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D4933" w14:textId="67241BF2" w:rsidR="00101893" w:rsidRDefault="00412D51">
      <w:r>
        <w:rPr>
          <w:noProof/>
        </w:rPr>
        <mc:AlternateContent>
          <mc:Choice Requires="wpg">
            <w:drawing>
              <wp:anchor distT="0" distB="0" distL="114300" distR="114300" simplePos="0" relativeHeight="251658240" behindDoc="0" locked="0" layoutInCell="1" allowOverlap="1" wp14:anchorId="64301098" wp14:editId="455EB70F">
                <wp:simplePos x="0" y="0"/>
                <wp:positionH relativeFrom="page">
                  <wp:posOffset>0</wp:posOffset>
                </wp:positionH>
                <wp:positionV relativeFrom="paragraph">
                  <wp:posOffset>-729189</wp:posOffset>
                </wp:positionV>
                <wp:extent cx="5494638" cy="8229600"/>
                <wp:effectExtent l="0" t="0" r="0" b="0"/>
                <wp:wrapNone/>
                <wp:docPr id="8" name="Grupo 8"/>
                <wp:cNvGraphicFramePr/>
                <a:graphic xmlns:a="http://schemas.openxmlformats.org/drawingml/2006/main">
                  <a:graphicData uri="http://schemas.microsoft.com/office/word/2010/wordprocessingGroup">
                    <wpg:wgp>
                      <wpg:cNvGrpSpPr/>
                      <wpg:grpSpPr>
                        <a:xfrm>
                          <a:off x="0" y="0"/>
                          <a:ext cx="5494638" cy="8229600"/>
                          <a:chOff x="0" y="181232"/>
                          <a:chExt cx="5494638" cy="8229600"/>
                        </a:xfrm>
                      </wpg:grpSpPr>
                      <pic:pic xmlns:pic="http://schemas.openxmlformats.org/drawingml/2006/picture">
                        <pic:nvPicPr>
                          <pic:cNvPr id="7" name="Picture 7"/>
                          <pic:cNvPicPr/>
                        </pic:nvPicPr>
                        <pic:blipFill>
                          <a:blip r:embed="rId8"/>
                          <a:stretch>
                            <a:fillRect/>
                          </a:stretch>
                        </pic:blipFill>
                        <pic:spPr>
                          <a:xfrm>
                            <a:off x="8238" y="181232"/>
                            <a:ext cx="5486400" cy="8229600"/>
                          </a:xfrm>
                          <a:prstGeom prst="rect">
                            <a:avLst/>
                          </a:prstGeom>
                          <a:solidFill>
                            <a:schemeClr val="tx1">
                              <a:lumMod val="85000"/>
                              <a:lumOff val="15000"/>
                            </a:schemeClr>
                          </a:solidFill>
                          <a:effectLst>
                            <a:softEdge rad="31750"/>
                          </a:effectLst>
                        </pic:spPr>
                      </pic:pic>
                      <wps:wsp>
                        <wps:cNvPr id="2" name="Cuadro de texto 2"/>
                        <wps:cNvSpPr txBox="1"/>
                        <wps:spPr>
                          <a:xfrm>
                            <a:off x="0" y="6764357"/>
                            <a:ext cx="5486400" cy="376518"/>
                          </a:xfrm>
                          <a:prstGeom prst="rect">
                            <a:avLst/>
                          </a:prstGeom>
                          <a:solidFill>
                            <a:schemeClr val="bg2">
                              <a:lumMod val="10000"/>
                            </a:schemeClr>
                          </a:solidFill>
                          <a:ln w="6350">
                            <a:noFill/>
                          </a:ln>
                        </wps:spPr>
                        <wps:txbx>
                          <w:txbxContent>
                            <w:p w14:paraId="70AB6CDD" w14:textId="77777777" w:rsidR="00412D51" w:rsidRPr="0015121C" w:rsidRDefault="00412D51" w:rsidP="00412D51">
                              <w:pPr>
                                <w:ind w:right="-91"/>
                                <w:jc w:val="center"/>
                                <w:rPr>
                                  <w:b/>
                                  <w:bCs/>
                                  <w:color w:val="FFD966" w:themeColor="accent4" w:themeTint="99"/>
                                  <w:spacing w:val="20"/>
                                  <w:sz w:val="28"/>
                                  <w:szCs w:val="36"/>
                                </w:rPr>
                              </w:pPr>
                              <w:r w:rsidRPr="0015121C">
                                <w:rPr>
                                  <w:b/>
                                  <w:bCs/>
                                  <w:color w:val="FFD966" w:themeColor="accent4" w:themeTint="99"/>
                                  <w:spacing w:val="20"/>
                                  <w:sz w:val="28"/>
                                  <w:szCs w:val="36"/>
                                </w:rPr>
                                <w:t>Un Manual Clásico sobre la Doctrina y la Meditación Budista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uadro de texto 3"/>
                        <wps:cNvSpPr txBox="1"/>
                        <wps:spPr>
                          <a:xfrm>
                            <a:off x="0" y="7138929"/>
                            <a:ext cx="5486400" cy="1238951"/>
                          </a:xfrm>
                          <a:prstGeom prst="rect">
                            <a:avLst/>
                          </a:prstGeom>
                          <a:solidFill>
                            <a:schemeClr val="tx1">
                              <a:lumMod val="75000"/>
                              <a:lumOff val="25000"/>
                            </a:schemeClr>
                          </a:solidFill>
                          <a:ln w="6350">
                            <a:noFill/>
                          </a:ln>
                        </wps:spPr>
                        <wps:txbx>
                          <w:txbxContent>
                            <w:p w14:paraId="6C3B0412" w14:textId="7B4DC1AA" w:rsidR="00412D51" w:rsidRDefault="00412D51" w:rsidP="00412D51">
                              <w:pPr>
                                <w:ind w:right="-91"/>
                                <w:jc w:val="center"/>
                                <w:rPr>
                                  <w:color w:val="F7CAAC" w:themeColor="accent2" w:themeTint="66"/>
                                  <w:spacing w:val="20"/>
                                  <w:sz w:val="44"/>
                                  <w:szCs w:val="52"/>
                                  <w14:glow w14:rad="0">
                                    <w14:schemeClr w14:val="bg1"/>
                                  </w14:glow>
                                </w:rPr>
                              </w:pPr>
                              <w:r w:rsidRPr="0015121C">
                                <w:rPr>
                                  <w:color w:val="F7CAAC" w:themeColor="accent2" w:themeTint="66"/>
                                  <w:spacing w:val="20"/>
                                  <w:sz w:val="28"/>
                                  <w:szCs w:val="36"/>
                                  <w14:glow w14:rad="0">
                                    <w14:schemeClr w14:val="bg1"/>
                                  </w14:glow>
                                </w:rPr>
                                <w:t xml:space="preserve">Traducido del </w:t>
                              </w:r>
                              <w:r w:rsidRPr="0015121C">
                                <w:rPr>
                                  <w:i/>
                                  <w:iCs/>
                                  <w:color w:val="F7CAAC" w:themeColor="accent2" w:themeTint="66"/>
                                  <w:spacing w:val="20"/>
                                  <w:sz w:val="28"/>
                                  <w:szCs w:val="36"/>
                                  <w14:glow w14:rad="0">
                                    <w14:schemeClr w14:val="bg1"/>
                                  </w14:glow>
                                </w:rPr>
                                <w:t>Pāḷi</w:t>
                              </w:r>
                              <w:r w:rsidRPr="0015121C">
                                <w:rPr>
                                  <w:color w:val="F7CAAC" w:themeColor="accent2" w:themeTint="66"/>
                                  <w:spacing w:val="20"/>
                                  <w:sz w:val="28"/>
                                  <w:szCs w:val="36"/>
                                  <w14:glow w14:rad="0">
                                    <w14:schemeClr w14:val="bg1"/>
                                  </w14:glow>
                                </w:rPr>
                                <w:t xml:space="preserve"> </w:t>
                              </w:r>
                              <w:r w:rsidR="00C016F1">
                                <w:rPr>
                                  <w:color w:val="F7CAAC" w:themeColor="accent2" w:themeTint="66"/>
                                  <w:spacing w:val="20"/>
                                  <w:sz w:val="28"/>
                                  <w:szCs w:val="36"/>
                                  <w14:glow w14:rad="0">
                                    <w14:schemeClr w14:val="bg1"/>
                                  </w14:glow>
                                </w:rPr>
                                <w:t xml:space="preserve">al inglés </w:t>
                              </w:r>
                              <w:r w:rsidRPr="0015121C">
                                <w:rPr>
                                  <w:color w:val="F7CAAC" w:themeColor="accent2" w:themeTint="66"/>
                                  <w:spacing w:val="20"/>
                                  <w:sz w:val="28"/>
                                  <w:szCs w:val="36"/>
                                  <w14:glow w14:rad="0">
                                    <w14:schemeClr w14:val="bg1"/>
                                  </w14:glow>
                                </w:rPr>
                                <w:t>por</w:t>
                              </w:r>
                              <w:r w:rsidRPr="0015121C">
                                <w:rPr>
                                  <w:color w:val="F7CAAC" w:themeColor="accent2" w:themeTint="66"/>
                                  <w:spacing w:val="20"/>
                                  <w:sz w:val="28"/>
                                  <w:szCs w:val="36"/>
                                  <w14:glow w14:rad="0">
                                    <w14:schemeClr w14:val="bg1"/>
                                  </w14:glow>
                                </w:rPr>
                                <w:br/>
                              </w:r>
                              <w:proofErr w:type="spellStart"/>
                              <w:r w:rsidRPr="0015121C">
                                <w:rPr>
                                  <w:color w:val="F7CAAC" w:themeColor="accent2" w:themeTint="66"/>
                                  <w:spacing w:val="20"/>
                                  <w:sz w:val="44"/>
                                  <w:szCs w:val="52"/>
                                  <w14:glow w14:rad="0">
                                    <w14:schemeClr w14:val="bg1"/>
                                  </w14:glow>
                                </w:rPr>
                                <w:t>Bhikkhu</w:t>
                              </w:r>
                              <w:proofErr w:type="spellEnd"/>
                              <w:r w:rsidRPr="0015121C">
                                <w:rPr>
                                  <w:color w:val="F7CAAC" w:themeColor="accent2" w:themeTint="66"/>
                                  <w:spacing w:val="20"/>
                                  <w:sz w:val="44"/>
                                  <w:szCs w:val="52"/>
                                  <w14:glow w14:rad="0">
                                    <w14:schemeClr w14:val="bg1"/>
                                  </w14:glow>
                                </w:rPr>
                                <w:t xml:space="preserve"> Ñāṇamoli</w:t>
                              </w:r>
                            </w:p>
                            <w:p w14:paraId="3972AB1A" w14:textId="2A6FD05E" w:rsidR="00293D26" w:rsidRPr="00CC043B" w:rsidRDefault="00293D26" w:rsidP="00412D51">
                              <w:pPr>
                                <w:ind w:right="-91"/>
                                <w:jc w:val="center"/>
                                <w:rPr>
                                  <w:color w:val="F7CAAC" w:themeColor="accent2" w:themeTint="66"/>
                                  <w:spacing w:val="20"/>
                                  <w:sz w:val="16"/>
                                  <w:szCs w:val="16"/>
                                  <w14:glow w14:rad="0">
                                    <w14:schemeClr w14:val="bg1"/>
                                  </w14:glow>
                                </w:rPr>
                              </w:pPr>
                              <w:r w:rsidRPr="00CC043B">
                                <w:rPr>
                                  <w:color w:val="F7CAAC" w:themeColor="accent2" w:themeTint="66"/>
                                  <w:spacing w:val="20"/>
                                  <w:sz w:val="16"/>
                                  <w:szCs w:val="16"/>
                                  <w14:glow w14:rad="0">
                                    <w14:schemeClr w14:val="bg1"/>
                                  </w14:glow>
                                </w:rPr>
                                <w:t>Traducido y adaptado al español po</w:t>
                              </w:r>
                              <w:r w:rsidR="001A272A" w:rsidRPr="00CC043B">
                                <w:rPr>
                                  <w:color w:val="F7CAAC" w:themeColor="accent2" w:themeTint="66"/>
                                  <w:spacing w:val="20"/>
                                  <w:sz w:val="16"/>
                                  <w:szCs w:val="16"/>
                                  <w14:glow w14:rad="0">
                                    <w14:schemeClr w14:val="bg1"/>
                                  </w14:glow>
                                </w:rPr>
                                <w:t>r D. Huamán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Diagrama de flujo: proceso alternativo 4"/>
                        <wps:cNvSpPr/>
                        <wps:spPr>
                          <a:xfrm>
                            <a:off x="264225" y="786348"/>
                            <a:ext cx="4855685" cy="2206323"/>
                          </a:xfrm>
                          <a:prstGeom prst="flowChartAlternateProcess">
                            <a:avLst/>
                          </a:prstGeom>
                          <a:solidFill>
                            <a:schemeClr val="tx1">
                              <a:lumMod val="75000"/>
                              <a:lumOff val="25000"/>
                            </a:schemeClr>
                          </a:solidFill>
                          <a:ln>
                            <a:noFill/>
                          </a:ln>
                          <a:effectLst>
                            <a:softEdge rad="1651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490A2C" w14:textId="172FD5FA" w:rsidR="00412D51" w:rsidRPr="009C1FD2" w:rsidRDefault="00412D51" w:rsidP="009174D0">
                              <w:pPr>
                                <w:spacing w:after="0" w:line="240" w:lineRule="auto"/>
                                <w:ind w:right="-11" w:hanging="11"/>
                                <w:jc w:val="center"/>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pPr>
                              <w:r w:rsidRPr="00F455CD">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E</w:t>
                              </w:r>
                              <w:r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 xml:space="preserve">l </w:t>
                              </w:r>
                              <w:r w:rsidRPr="009C1FD2">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S</w:t>
                              </w:r>
                              <w:r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 xml:space="preserve">endero de </w:t>
                              </w:r>
                              <w:r w:rsidR="00BB7DB3" w:rsidRPr="009C1FD2">
                                <w:rPr>
                                  <w:rFonts w:ascii="Palatino Linotype" w:hAnsi="Palatino Linotype"/>
                                  <w:smallCaps/>
                                  <w:color w:val="F7CAAC" w:themeColor="accent2" w:themeTint="66"/>
                                  <w:spacing w:val="20"/>
                                  <w:sz w:val="48"/>
                                  <w:szCs w:val="56"/>
                                  <w14:textOutline w14:w="12700" w14:cap="rnd" w14:cmpd="sng" w14:algn="ctr">
                                    <w14:noFill/>
                                    <w14:prstDash w14:val="solid"/>
                                    <w14:bevel/>
                                  </w14:textOutline>
                                </w:rPr>
                                <w:br/>
                              </w:r>
                              <w:r w:rsidR="00BB7DB3" w:rsidRPr="009C1FD2">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L</w:t>
                              </w:r>
                              <w:r w:rsidR="00BB7DB3"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a</w:t>
                              </w:r>
                              <w:r w:rsidRPr="009C1FD2">
                                <w:rPr>
                                  <w:rFonts w:ascii="Palatino Linotype" w:hAnsi="Palatino Linotype"/>
                                  <w:i/>
                                  <w:iCs/>
                                  <w:smallCaps/>
                                  <w:color w:val="F7CAAC" w:themeColor="accent2" w:themeTint="66"/>
                                  <w:spacing w:val="20"/>
                                  <w:sz w:val="52"/>
                                  <w:szCs w:val="72"/>
                                  <w14:textOutline w14:w="12700" w14:cap="rnd" w14:cmpd="sng" w14:algn="ctr">
                                    <w14:noFill/>
                                    <w14:prstDash w14:val="solid"/>
                                    <w14:bevel/>
                                  </w14:textOutline>
                                </w:rPr>
                                <w:t xml:space="preserve"> </w:t>
                              </w:r>
                              <w:r w:rsidRPr="009C1FD2">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P</w:t>
                              </w:r>
                              <w:r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urificación</w:t>
                              </w:r>
                            </w:p>
                            <w:p w14:paraId="32807535" w14:textId="75791B10" w:rsidR="009C1FD2" w:rsidRPr="009C1FD2" w:rsidRDefault="009C1FD2" w:rsidP="009174D0">
                              <w:pPr>
                                <w:spacing w:after="0" w:line="240" w:lineRule="auto"/>
                                <w:ind w:right="-11" w:hanging="11"/>
                                <w:jc w:val="center"/>
                                <w:rPr>
                                  <w:rFonts w:ascii="Palatino Linotype" w:hAnsi="Palatino Linotype"/>
                                  <w:i/>
                                  <w:iCs/>
                                  <w:smallCaps/>
                                  <w:color w:val="F7CAAC" w:themeColor="accent2" w:themeTint="66"/>
                                  <w:spacing w:val="20"/>
                                  <w:sz w:val="28"/>
                                  <w:szCs w:val="28"/>
                                  <w14:glow w14:rad="139700">
                                    <w14:schemeClr w14:val="accent1">
                                      <w14:alpha w14:val="60000"/>
                                      <w14:satMod w14:val="175000"/>
                                    </w14:schemeClr>
                                  </w14:glow>
                                  <w14:textOutline w14:w="12700" w14:cap="rnd" w14:cmpd="sng" w14:algn="ctr">
                                    <w14:noFill/>
                                    <w14:prstDash w14:val="solid"/>
                                    <w14:bevel/>
                                  </w14:textOutline>
                                </w:rPr>
                              </w:pPr>
                              <w:r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Traducción</w:t>
                              </w:r>
                              <w:r w:rsidR="00F1151B"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w:t>
                              </w:r>
                              <w:r w:rsidR="00135B2C"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Adaptación</w:t>
                              </w:r>
                              <w:r w:rsidR="00F1151B"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w:t>
                              </w:r>
                              <w:r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 xml:space="preserve"> Inglés-Español</w:t>
                              </w:r>
                            </w:p>
                            <w:p w14:paraId="35181BB1" w14:textId="77777777" w:rsidR="00412D51" w:rsidRPr="00EB1ED7" w:rsidRDefault="00412D51" w:rsidP="009174D0">
                              <w:pPr>
                                <w:spacing w:line="240" w:lineRule="auto"/>
                                <w:jc w:val="center"/>
                                <w:rPr>
                                  <w:color w:val="FFD966" w:themeColor="accent4" w:themeTint="99"/>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4301098" id="Grupo 8" o:spid="_x0000_s1026" style="position:absolute;margin-left:0;margin-top:-57.4pt;width:432.65pt;height:9in;z-index:251658240;mso-position-horizontal-relative:page;mso-width-relative:margin" coordorigin=",1812" coordsize="54946,822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2;top:1812;width:54864;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" filled="t" fillcolor="#272727 [2749]">
                  <v:imagedata r:id="rId9" o:title=""/>
                </v:shape>
                <v:shapetype id="_x0000_t202" coordsize="21600,21600" o:spt="202" path="m,l,21600r21600,l21600,xe">
                  <v:stroke joinstyle="miter"/>
                  <v:path gradientshapeok="t" o:connecttype="rect"/>
                </v:shapetype>
                <v:shape id="Cuadro de texto 2" o:spid="_x0000_s1028" type="#_x0000_t202" style="position:absolute;top:67643;width:54864;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" fillcolor="#161616 [334]" stroked="f" strokeweight=".5pt">
                  <v:textbox>
                    <w:txbxContent>
                      <w:p w14:paraId="70AB6CDD" w14:textId="77777777" w:rsidR="00412D51" w:rsidRPr="0015121C" w:rsidRDefault="00412D51" w:rsidP="00412D51">
                        <w:pPr>
                          <w:ind w:right="-91"/>
                          <w:jc w:val="center"/>
                          <w:rPr>
                            <w:b/>
                            <w:bCs/>
                            <w:color w:val="FFD966" w:themeColor="accent4" w:themeTint="99"/>
                            <w:spacing w:val="20"/>
                            <w:sz w:val="28"/>
                            <w:szCs w:val="36"/>
                          </w:rPr>
                        </w:pPr>
                        <w:r w:rsidRPr="0015121C">
                          <w:rPr>
                            <w:b/>
                            <w:bCs/>
                            <w:color w:val="FFD966" w:themeColor="accent4" w:themeTint="99"/>
                            <w:spacing w:val="20"/>
                            <w:sz w:val="28"/>
                            <w:szCs w:val="36"/>
                          </w:rPr>
                          <w:t>Un Manual Clásico sobre la Doctrina y la Meditación Budista</w:t>
                        </w:r>
                      </w:p>
                    </w:txbxContent>
                  </v:textbox>
                </v:shape>
                <v:shape id="Cuadro de texto 3" o:spid="_x0000_s1029" type="#_x0000_t202" style="position:absolute;top:71389;width:54864;height:1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" fillcolor="#404040 [2429]" stroked="f" strokeweight=".5pt">
                  <v:textbox>
                    <w:txbxContent>
                      <w:p w14:paraId="6C3B0412" w14:textId="7B4DC1AA" w:rsidR="00412D51" w:rsidRDefault="00412D51" w:rsidP="00412D51">
                        <w:pPr>
                          <w:ind w:right="-91"/>
                          <w:jc w:val="center"/>
                          <w:rPr>
                            <w:color w:val="F7CAAC" w:themeColor="accent2" w:themeTint="66"/>
                            <w:spacing w:val="20"/>
                            <w:sz w:val="44"/>
                            <w:szCs w:val="52"/>
                            <w14:glow w14:rad="0">
                              <w14:schemeClr w14:val="bg1"/>
                            </w14:glow>
                          </w:rPr>
                        </w:pPr>
                        <w:r w:rsidRPr="0015121C">
                          <w:rPr>
                            <w:color w:val="F7CAAC" w:themeColor="accent2" w:themeTint="66"/>
                            <w:spacing w:val="20"/>
                            <w:sz w:val="28"/>
                            <w:szCs w:val="36"/>
                            <w14:glow w14:rad="0">
                              <w14:schemeClr w14:val="bg1"/>
                            </w14:glow>
                          </w:rPr>
                          <w:t xml:space="preserve">Traducido del </w:t>
                        </w:r>
                        <w:r w:rsidRPr="0015121C">
                          <w:rPr>
                            <w:i/>
                            <w:iCs/>
                            <w:color w:val="F7CAAC" w:themeColor="accent2" w:themeTint="66"/>
                            <w:spacing w:val="20"/>
                            <w:sz w:val="28"/>
                            <w:szCs w:val="36"/>
                            <w14:glow w14:rad="0">
                              <w14:schemeClr w14:val="bg1"/>
                            </w14:glow>
                          </w:rPr>
                          <w:t>Pāḷi</w:t>
                        </w:r>
                        <w:r w:rsidRPr="0015121C">
                          <w:rPr>
                            <w:color w:val="F7CAAC" w:themeColor="accent2" w:themeTint="66"/>
                            <w:spacing w:val="20"/>
                            <w:sz w:val="28"/>
                            <w:szCs w:val="36"/>
                            <w14:glow w14:rad="0">
                              <w14:schemeClr w14:val="bg1"/>
                            </w14:glow>
                          </w:rPr>
                          <w:t xml:space="preserve"> </w:t>
                        </w:r>
                        <w:r w:rsidR="00C016F1">
                          <w:rPr>
                            <w:color w:val="F7CAAC" w:themeColor="accent2" w:themeTint="66"/>
                            <w:spacing w:val="20"/>
                            <w:sz w:val="28"/>
                            <w:szCs w:val="36"/>
                            <w14:glow w14:rad="0">
                              <w14:schemeClr w14:val="bg1"/>
                            </w14:glow>
                          </w:rPr>
                          <w:t xml:space="preserve">al inglés </w:t>
                        </w:r>
                        <w:r w:rsidRPr="0015121C">
                          <w:rPr>
                            <w:color w:val="F7CAAC" w:themeColor="accent2" w:themeTint="66"/>
                            <w:spacing w:val="20"/>
                            <w:sz w:val="28"/>
                            <w:szCs w:val="36"/>
                            <w14:glow w14:rad="0">
                              <w14:schemeClr w14:val="bg1"/>
                            </w14:glow>
                          </w:rPr>
                          <w:t>por</w:t>
                        </w:r>
                        <w:r w:rsidRPr="0015121C">
                          <w:rPr>
                            <w:color w:val="F7CAAC" w:themeColor="accent2" w:themeTint="66"/>
                            <w:spacing w:val="20"/>
                            <w:sz w:val="28"/>
                            <w:szCs w:val="36"/>
                            <w14:glow w14:rad="0">
                              <w14:schemeClr w14:val="bg1"/>
                            </w14:glow>
                          </w:rPr>
                          <w:br/>
                        </w:r>
                        <w:proofErr w:type="spellStart"/>
                        <w:r w:rsidRPr="0015121C">
                          <w:rPr>
                            <w:color w:val="F7CAAC" w:themeColor="accent2" w:themeTint="66"/>
                            <w:spacing w:val="20"/>
                            <w:sz w:val="44"/>
                            <w:szCs w:val="52"/>
                            <w14:glow w14:rad="0">
                              <w14:schemeClr w14:val="bg1"/>
                            </w14:glow>
                          </w:rPr>
                          <w:t>Bhikkhu</w:t>
                        </w:r>
                        <w:proofErr w:type="spellEnd"/>
                        <w:r w:rsidRPr="0015121C">
                          <w:rPr>
                            <w:color w:val="F7CAAC" w:themeColor="accent2" w:themeTint="66"/>
                            <w:spacing w:val="20"/>
                            <w:sz w:val="44"/>
                            <w:szCs w:val="52"/>
                            <w14:glow w14:rad="0">
                              <w14:schemeClr w14:val="bg1"/>
                            </w14:glow>
                          </w:rPr>
                          <w:t xml:space="preserve"> Ñāṇamoli</w:t>
                        </w:r>
                      </w:p>
                      <w:p w14:paraId="3972AB1A" w14:textId="2A6FD05E" w:rsidR="00293D26" w:rsidRPr="00CC043B" w:rsidRDefault="00293D26" w:rsidP="00412D51">
                        <w:pPr>
                          <w:ind w:right="-91"/>
                          <w:jc w:val="center"/>
                          <w:rPr>
                            <w:color w:val="F7CAAC" w:themeColor="accent2" w:themeTint="66"/>
                            <w:spacing w:val="20"/>
                            <w:sz w:val="16"/>
                            <w:szCs w:val="16"/>
                            <w14:glow w14:rad="0">
                              <w14:schemeClr w14:val="bg1"/>
                            </w14:glow>
                          </w:rPr>
                        </w:pPr>
                        <w:r w:rsidRPr="00CC043B">
                          <w:rPr>
                            <w:color w:val="F7CAAC" w:themeColor="accent2" w:themeTint="66"/>
                            <w:spacing w:val="20"/>
                            <w:sz w:val="16"/>
                            <w:szCs w:val="16"/>
                            <w14:glow w14:rad="0">
                              <w14:schemeClr w14:val="bg1"/>
                            </w14:glow>
                          </w:rPr>
                          <w:t>Traducido y adaptado al español po</w:t>
                        </w:r>
                        <w:r w:rsidR="001A272A" w:rsidRPr="00CC043B">
                          <w:rPr>
                            <w:color w:val="F7CAAC" w:themeColor="accent2" w:themeTint="66"/>
                            <w:spacing w:val="20"/>
                            <w:sz w:val="16"/>
                            <w:szCs w:val="16"/>
                            <w14:glow w14:rad="0">
                              <w14:schemeClr w14:val="bg1"/>
                            </w14:glow>
                          </w:rPr>
                          <w:t>r D. Huamán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 o:spid="_x0000_s1030" type="#_x0000_t176" style="position:absolute;left:2642;top:7863;width:48557;height:2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" fillcolor="#404040 [2429]" stroked="f" strokeweight="1pt">
                  <v:textbox>
                    <w:txbxContent>
                      <w:p w14:paraId="48490A2C" w14:textId="172FD5FA" w:rsidR="00412D51" w:rsidRPr="009C1FD2" w:rsidRDefault="00412D51" w:rsidP="009174D0">
                        <w:pPr>
                          <w:spacing w:after="0" w:line="240" w:lineRule="auto"/>
                          <w:ind w:right="-11" w:hanging="11"/>
                          <w:jc w:val="center"/>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pPr>
                        <w:r w:rsidRPr="00F455CD">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E</w:t>
                        </w:r>
                        <w:r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 xml:space="preserve">l </w:t>
                        </w:r>
                        <w:r w:rsidRPr="009C1FD2">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S</w:t>
                        </w:r>
                        <w:r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 xml:space="preserve">endero de </w:t>
                        </w:r>
                        <w:r w:rsidR="00BB7DB3" w:rsidRPr="009C1FD2">
                          <w:rPr>
                            <w:rFonts w:ascii="Palatino Linotype" w:hAnsi="Palatino Linotype"/>
                            <w:smallCaps/>
                            <w:color w:val="F7CAAC" w:themeColor="accent2" w:themeTint="66"/>
                            <w:spacing w:val="20"/>
                            <w:sz w:val="48"/>
                            <w:szCs w:val="56"/>
                            <w14:textOutline w14:w="12700" w14:cap="rnd" w14:cmpd="sng" w14:algn="ctr">
                              <w14:noFill/>
                              <w14:prstDash w14:val="solid"/>
                              <w14:bevel/>
                            </w14:textOutline>
                          </w:rPr>
                          <w:br/>
                        </w:r>
                        <w:r w:rsidR="00BB7DB3" w:rsidRPr="009C1FD2">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L</w:t>
                        </w:r>
                        <w:r w:rsidR="00BB7DB3"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a</w:t>
                        </w:r>
                        <w:r w:rsidRPr="009C1FD2">
                          <w:rPr>
                            <w:rFonts w:ascii="Palatino Linotype" w:hAnsi="Palatino Linotype"/>
                            <w:i/>
                            <w:iCs/>
                            <w:smallCaps/>
                            <w:color w:val="F7CAAC" w:themeColor="accent2" w:themeTint="66"/>
                            <w:spacing w:val="20"/>
                            <w:sz w:val="52"/>
                            <w:szCs w:val="72"/>
                            <w14:textOutline w14:w="12700" w14:cap="rnd" w14:cmpd="sng" w14:algn="ctr">
                              <w14:noFill/>
                              <w14:prstDash w14:val="solid"/>
                              <w14:bevel/>
                            </w14:textOutline>
                          </w:rPr>
                          <w:t xml:space="preserve"> </w:t>
                        </w:r>
                        <w:r w:rsidRPr="009C1FD2">
                          <w:rPr>
                            <w:rFonts w:ascii="Palatino Linotype" w:hAnsi="Palatino Linotype"/>
                            <w:smallCaps/>
                            <w:color w:val="F7CAAC" w:themeColor="accent2" w:themeTint="66"/>
                            <w:spacing w:val="20"/>
                            <w:sz w:val="72"/>
                            <w:szCs w:val="144"/>
                            <w14:textOutline w14:w="12700" w14:cap="rnd" w14:cmpd="sng" w14:algn="ctr">
                              <w14:noFill/>
                              <w14:prstDash w14:val="solid"/>
                              <w14:bevel/>
                            </w14:textOutline>
                          </w:rPr>
                          <w:t>P</w:t>
                        </w:r>
                        <w:r w:rsidRPr="009C1FD2">
                          <w:rPr>
                            <w:rFonts w:ascii="Palatino Linotype" w:hAnsi="Palatino Linotype"/>
                            <w:smallCaps/>
                            <w:color w:val="F7CAAC" w:themeColor="accent2" w:themeTint="66"/>
                            <w:spacing w:val="20"/>
                            <w:sz w:val="52"/>
                            <w:szCs w:val="72"/>
                            <w14:textOutline w14:w="12700" w14:cap="rnd" w14:cmpd="sng" w14:algn="ctr">
                              <w14:noFill/>
                              <w14:prstDash w14:val="solid"/>
                              <w14:bevel/>
                            </w14:textOutline>
                          </w:rPr>
                          <w:t>urificación</w:t>
                        </w:r>
                      </w:p>
                      <w:p w14:paraId="32807535" w14:textId="75791B10" w:rsidR="009C1FD2" w:rsidRPr="009C1FD2" w:rsidRDefault="009C1FD2" w:rsidP="009174D0">
                        <w:pPr>
                          <w:spacing w:after="0" w:line="240" w:lineRule="auto"/>
                          <w:ind w:right="-11" w:hanging="11"/>
                          <w:jc w:val="center"/>
                          <w:rPr>
                            <w:rFonts w:ascii="Palatino Linotype" w:hAnsi="Palatino Linotype"/>
                            <w:i/>
                            <w:iCs/>
                            <w:smallCaps/>
                            <w:color w:val="F7CAAC" w:themeColor="accent2" w:themeTint="66"/>
                            <w:spacing w:val="20"/>
                            <w:sz w:val="28"/>
                            <w:szCs w:val="28"/>
                            <w14:glow w14:rad="139700">
                              <w14:schemeClr w14:val="accent1">
                                <w14:alpha w14:val="60000"/>
                                <w14:satMod w14:val="175000"/>
                              </w14:schemeClr>
                            </w14:glow>
                            <w14:textOutline w14:w="12700" w14:cap="rnd" w14:cmpd="sng" w14:algn="ctr">
                              <w14:noFill/>
                              <w14:prstDash w14:val="solid"/>
                              <w14:bevel/>
                            </w14:textOutline>
                          </w:rPr>
                        </w:pPr>
                        <w:r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Traducción</w:t>
                        </w:r>
                        <w:r w:rsidR="00F1151B"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w:t>
                        </w:r>
                        <w:r w:rsidR="00135B2C"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Adaptación</w:t>
                        </w:r>
                        <w:r w:rsidR="00F1151B"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w:t>
                        </w:r>
                        <w:r w:rsidRPr="00F1151B">
                          <w:rPr>
                            <w:rFonts w:ascii="Palatino Linotype" w:hAnsi="Palatino Linotype"/>
                            <w:smallCaps/>
                            <w:color w:val="F7CAAC" w:themeColor="accent2" w:themeTint="66"/>
                            <w:spacing w:val="20"/>
                            <w:sz w:val="22"/>
                            <w14:textOutline w14:w="12700" w14:cap="rnd" w14:cmpd="sng" w14:algn="ctr">
                              <w14:noFill/>
                              <w14:prstDash w14:val="solid"/>
                              <w14:bevel/>
                            </w14:textOutline>
                          </w:rPr>
                          <w:t xml:space="preserve"> Inglés-Español</w:t>
                        </w:r>
                      </w:p>
                      <w:p w14:paraId="35181BB1" w14:textId="77777777" w:rsidR="00412D51" w:rsidRPr="00EB1ED7" w:rsidRDefault="00412D51" w:rsidP="009174D0">
                        <w:pPr>
                          <w:spacing w:line="240" w:lineRule="auto"/>
                          <w:jc w:val="center"/>
                          <w:rPr>
                            <w:color w:val="FFD966" w:themeColor="accent4" w:themeTint="99"/>
                            <w14:textOutline w14:w="9525" w14:cap="rnd" w14:cmpd="sng" w14:algn="ctr">
                              <w14:noFill/>
                              <w14:prstDash w14:val="solid"/>
                              <w14:bevel/>
                            </w14:textOutline>
                          </w:rPr>
                        </w:pPr>
                      </w:p>
                    </w:txbxContent>
                  </v:textbox>
                </v:shape>
                <w10:wrap anchorx="page"/>
              </v:group>
            </w:pict>
          </mc:Fallback>
        </mc:AlternateContent>
      </w:r>
      <w:r w:rsidR="00223263">
        <w:tab/>
      </w:r>
      <w:r w:rsidR="00101893">
        <w:t>422</w:t>
      </w:r>
    </w:p>
    <w:p w14:paraId="609C5E4C" w14:textId="6B95488D" w:rsidR="004D7819" w:rsidRDefault="004D7819">
      <w:r>
        <w:t>184</w:t>
      </w:r>
    </w:p>
    <w:p w14:paraId="1C15925C" w14:textId="0431B879" w:rsidR="00602AE1" w:rsidRDefault="00BF2C6F" w:rsidP="005737E4">
      <w:proofErr w:type="spellStart"/>
      <w:r w:rsidRPr="005028B3">
        <w:rPr>
          <w:b/>
          <w:bCs/>
        </w:rPr>
        <w:t>Budd</w:t>
      </w:r>
      <w:r w:rsidR="005028B3" w:rsidRPr="005028B3">
        <w:rPr>
          <w:b/>
          <w:bCs/>
        </w:rPr>
        <w:t>h</w:t>
      </w:r>
      <w:r w:rsidRPr="005028B3">
        <w:rPr>
          <w:b/>
          <w:bCs/>
        </w:rPr>
        <w:t>ist</w:t>
      </w:r>
      <w:proofErr w:type="spellEnd"/>
      <w:r w:rsidRPr="005028B3">
        <w:rPr>
          <w:b/>
          <w:bCs/>
        </w:rPr>
        <w:t xml:space="preserve"> </w:t>
      </w:r>
      <w:proofErr w:type="spellStart"/>
      <w:r w:rsidRPr="005028B3">
        <w:rPr>
          <w:b/>
          <w:bCs/>
        </w:rPr>
        <w:t>Publica</w:t>
      </w:r>
      <w:r w:rsidR="005028B3" w:rsidRPr="005028B3">
        <w:rPr>
          <w:b/>
          <w:bCs/>
        </w:rPr>
        <w:t>t</w:t>
      </w:r>
      <w:r w:rsidRPr="005028B3">
        <w:rPr>
          <w:b/>
          <w:bCs/>
        </w:rPr>
        <w:t>ion</w:t>
      </w:r>
      <w:proofErr w:type="spellEnd"/>
      <w:r w:rsidRPr="005028B3">
        <w:rPr>
          <w:b/>
          <w:bCs/>
        </w:rPr>
        <w:t xml:space="preserve"> </w:t>
      </w:r>
      <w:proofErr w:type="spellStart"/>
      <w:r w:rsidR="005028B3" w:rsidRPr="005028B3">
        <w:rPr>
          <w:b/>
          <w:bCs/>
        </w:rPr>
        <w:t>Socienty</w:t>
      </w:r>
      <w:proofErr w:type="spellEnd"/>
      <w:r w:rsidR="005028B3">
        <w:t xml:space="preserve"> </w:t>
      </w:r>
      <w:r w:rsidRPr="00BF2C6F">
        <w:t xml:space="preserve">es una organización benéfica </w:t>
      </w:r>
      <w:r w:rsidR="00734797">
        <w:t>certificada y</w:t>
      </w:r>
      <w:r w:rsidRPr="00BF2C6F">
        <w:t xml:space="preserve"> dedicada a dar a conocer la</w:t>
      </w:r>
      <w:r w:rsidR="00734797">
        <w:t>s</w:t>
      </w:r>
      <w:r w:rsidRPr="00BF2C6F">
        <w:t xml:space="preserve"> Enseñanza</w:t>
      </w:r>
      <w:r w:rsidR="00734797">
        <w:t>s</w:t>
      </w:r>
      <w:r w:rsidRPr="00BF2C6F">
        <w:t xml:space="preserve"> de </w:t>
      </w:r>
      <w:r w:rsidR="00057BF4" w:rsidRPr="00057BF4">
        <w:rPr>
          <w:i/>
        </w:rPr>
        <w:t>Buddha</w:t>
      </w:r>
      <w:r w:rsidRPr="00BF2C6F">
        <w:t xml:space="preserve">, </w:t>
      </w:r>
      <w:r w:rsidR="00E346C0">
        <w:t xml:space="preserve">las cuales posee </w:t>
      </w:r>
      <w:r w:rsidRPr="00BF2C6F">
        <w:t xml:space="preserve">un mensaje </w:t>
      </w:r>
      <w:r w:rsidR="0090609C">
        <w:t xml:space="preserve">de carácter </w:t>
      </w:r>
      <w:r w:rsidRPr="00BF2C6F">
        <w:t xml:space="preserve">vital para </w:t>
      </w:r>
      <w:r w:rsidR="0090609C">
        <w:t xml:space="preserve">las </w:t>
      </w:r>
      <w:r w:rsidRPr="00BF2C6F">
        <w:t>personas de todos los credos.</w:t>
      </w:r>
    </w:p>
    <w:p w14:paraId="5FD35201" w14:textId="3BD7DCC3" w:rsidR="005737E4" w:rsidRPr="005737E4" w:rsidRDefault="005737E4" w:rsidP="005737E4">
      <w:r w:rsidRPr="005737E4">
        <w:t xml:space="preserve">Fundada en 1958, BPS ha publicado una amplia variedad de libros y </w:t>
      </w:r>
      <w:r w:rsidR="0090609C">
        <w:t>folletos</w:t>
      </w:r>
      <w:r w:rsidRPr="005737E4">
        <w:t>, cubr</w:t>
      </w:r>
      <w:r w:rsidR="0090609C">
        <w:t>iend</w:t>
      </w:r>
      <w:r w:rsidRPr="005737E4">
        <w:t xml:space="preserve">o una </w:t>
      </w:r>
      <w:r w:rsidRPr="001A272A">
        <w:rPr>
          <w:vertAlign w:val="superscript"/>
        </w:rPr>
        <w:t xml:space="preserve">gran variedad de temas. Sus publicaciones incluyen traducciones </w:t>
      </w:r>
      <w:r w:rsidR="0090609C" w:rsidRPr="001A272A">
        <w:rPr>
          <w:vertAlign w:val="superscript"/>
        </w:rPr>
        <w:t xml:space="preserve">con </w:t>
      </w:r>
      <w:r w:rsidRPr="001A272A">
        <w:rPr>
          <w:vertAlign w:val="superscript"/>
        </w:rPr>
        <w:t>anota</w:t>
      </w:r>
      <w:r w:rsidR="0090609C" w:rsidRPr="001A272A">
        <w:rPr>
          <w:vertAlign w:val="superscript"/>
        </w:rPr>
        <w:t>ciones</w:t>
      </w:r>
      <w:r w:rsidRPr="001A272A">
        <w:rPr>
          <w:vertAlign w:val="superscript"/>
        </w:rPr>
        <w:t xml:space="preserve"> precisas </w:t>
      </w:r>
      <w:r w:rsidR="0090609C" w:rsidRPr="001A272A">
        <w:rPr>
          <w:vertAlign w:val="superscript"/>
        </w:rPr>
        <w:t>sobre</w:t>
      </w:r>
      <w:r w:rsidR="0090609C">
        <w:t xml:space="preserve"> </w:t>
      </w:r>
      <w:r w:rsidRPr="005737E4">
        <w:t xml:space="preserve">los discursos del </w:t>
      </w:r>
      <w:r w:rsidR="00057BF4" w:rsidRPr="00057BF4">
        <w:rPr>
          <w:i/>
        </w:rPr>
        <w:t>Buddha</w:t>
      </w:r>
      <w:r w:rsidRPr="005737E4">
        <w:t>, trabajos de referencia estándar, así como las exposiciones contemporáneas originales del pensamiento y la</w:t>
      </w:r>
      <w:r w:rsidR="00EB375B">
        <w:t>s</w:t>
      </w:r>
      <w:r w:rsidRPr="005737E4">
        <w:t xml:space="preserve"> práctica</w:t>
      </w:r>
      <w:r w:rsidR="00EB375B">
        <w:t>s</w:t>
      </w:r>
      <w:r w:rsidRPr="005737E4">
        <w:t xml:space="preserve"> budistas. Estas obras presentan </w:t>
      </w:r>
      <w:r w:rsidR="00EB375B">
        <w:t>a</w:t>
      </w:r>
      <w:r w:rsidRPr="005737E4">
        <w:t xml:space="preserve">l budismo </w:t>
      </w:r>
      <w:r w:rsidR="00EB375B">
        <w:t xml:space="preserve">tal </w:t>
      </w:r>
      <w:r w:rsidRPr="005737E4">
        <w:t>como realmente es: una fuerza dinámica que ha influido en las mentes receptivas durante los últimos 2</w:t>
      </w:r>
      <w:r w:rsidR="00EB375B">
        <w:t>,</w:t>
      </w:r>
      <w:r w:rsidRPr="005737E4">
        <w:t xml:space="preserve">500 años y </w:t>
      </w:r>
      <w:r w:rsidR="00EB375B">
        <w:t xml:space="preserve">que </w:t>
      </w:r>
      <w:r w:rsidRPr="005737E4">
        <w:t xml:space="preserve">sigue siendo tan relevante hoy como </w:t>
      </w:r>
      <w:r w:rsidR="00AF1B46">
        <w:t xml:space="preserve">lo </w:t>
      </w:r>
      <w:r w:rsidRPr="005737E4">
        <w:t>fue cuando surgi</w:t>
      </w:r>
      <w:r w:rsidR="00AF1B46">
        <w:t>era</w:t>
      </w:r>
      <w:r w:rsidRPr="005737E4">
        <w:t xml:space="preserve"> por primera vez.</w:t>
      </w:r>
    </w:p>
    <w:p w14:paraId="48FDD01F" w14:textId="54275268" w:rsidR="005737E4" w:rsidRPr="005737E4" w:rsidRDefault="005737E4" w:rsidP="00AF1B46">
      <w:pPr>
        <w:pStyle w:val="VersoIngls01Sangria"/>
      </w:pPr>
      <w:r w:rsidRPr="005737E4">
        <w:t>Sociedad de Publicación Budista</w:t>
      </w:r>
    </w:p>
    <w:p w14:paraId="07DDECB2" w14:textId="263ED969" w:rsidR="008E41E8" w:rsidRPr="00412D51" w:rsidRDefault="008E41E8" w:rsidP="00AF1B46">
      <w:pPr>
        <w:pStyle w:val="VersoIngls01Sangria"/>
      </w:pPr>
      <w:r w:rsidRPr="00412D51">
        <w:t>P.O. Box 61</w:t>
      </w:r>
    </w:p>
    <w:p w14:paraId="6BE76110" w14:textId="68FFC53C" w:rsidR="005737E4" w:rsidRPr="002B018F" w:rsidRDefault="005737E4" w:rsidP="00AF1B46">
      <w:pPr>
        <w:pStyle w:val="VersoIngls01Sangria"/>
      </w:pPr>
      <w:r w:rsidRPr="002B018F">
        <w:t xml:space="preserve">54, </w:t>
      </w:r>
      <w:proofErr w:type="spellStart"/>
      <w:r w:rsidRPr="002B018F">
        <w:t>Sangharaja</w:t>
      </w:r>
      <w:proofErr w:type="spellEnd"/>
      <w:r w:rsidRPr="002B018F">
        <w:t xml:space="preserve"> </w:t>
      </w:r>
      <w:proofErr w:type="spellStart"/>
      <w:r w:rsidRPr="002B018F">
        <w:t>Mawatha</w:t>
      </w:r>
      <w:proofErr w:type="spellEnd"/>
      <w:r w:rsidRPr="002B018F">
        <w:t xml:space="preserve">, </w:t>
      </w:r>
      <w:proofErr w:type="spellStart"/>
      <w:r w:rsidRPr="002B018F">
        <w:t>Kandy</w:t>
      </w:r>
      <w:proofErr w:type="spellEnd"/>
      <w:r w:rsidRPr="002B018F">
        <w:t>, Sri Lanka</w:t>
      </w:r>
    </w:p>
    <w:p w14:paraId="26838EA3" w14:textId="373E791F" w:rsidR="005737E4" w:rsidRPr="00641C27" w:rsidRDefault="005737E4" w:rsidP="00AF1B46">
      <w:pPr>
        <w:pStyle w:val="VersoIngls01Sangria"/>
        <w:spacing w:after="100"/>
        <w:ind w:left="1418"/>
        <w:rPr>
          <w:vertAlign w:val="superscript"/>
        </w:rPr>
      </w:pPr>
      <w:r w:rsidRPr="005737E4">
        <w:t>http://www.bps.lk</w:t>
      </w:r>
    </w:p>
    <w:p w14:paraId="2003C561" w14:textId="58DEDA56" w:rsidR="005737E4" w:rsidRPr="005737E4" w:rsidRDefault="005737E4" w:rsidP="005737E4">
      <w:r w:rsidRPr="005028B3">
        <w:rPr>
          <w:b/>
          <w:bCs/>
        </w:rPr>
        <w:t xml:space="preserve">Copia impresa de </w:t>
      </w:r>
      <w:r w:rsidR="000D07C6">
        <w:rPr>
          <w:b/>
          <w:bCs/>
        </w:rPr>
        <w:t>pasta dura</w:t>
      </w:r>
      <w:r w:rsidRPr="005737E4">
        <w:t xml:space="preserve">: una versión impresa de este libro está disponible en la Sociedad de Publicaciones Budistas; Vea la página "Traducciones del </w:t>
      </w:r>
      <w:r w:rsidR="00AD6B1D" w:rsidRPr="00AD6B1D">
        <w:rPr>
          <w:i/>
        </w:rPr>
        <w:t>Pāḷi</w:t>
      </w:r>
      <w:r w:rsidRPr="005737E4">
        <w:t>" en la librería en línea de BPS en http://www.bps.lk.</w:t>
      </w:r>
    </w:p>
    <w:p w14:paraId="4BB7DCA0" w14:textId="320B7F91" w:rsidR="005737E4" w:rsidRPr="005737E4" w:rsidRDefault="005737E4" w:rsidP="005737E4">
      <w:r w:rsidRPr="005028B3">
        <w:rPr>
          <w:b/>
          <w:bCs/>
        </w:rPr>
        <w:t>Términos de uso</w:t>
      </w:r>
      <w:r w:rsidRPr="005737E4">
        <w:t xml:space="preserve">: copyright revisado, tercera edición en línea. Copyright © 2011 </w:t>
      </w:r>
      <w:proofErr w:type="spellStart"/>
      <w:r w:rsidRPr="00021F7C">
        <w:rPr>
          <w:i/>
          <w:iCs/>
        </w:rPr>
        <w:t>Budist</w:t>
      </w:r>
      <w:proofErr w:type="spellEnd"/>
      <w:r w:rsidRPr="00021F7C">
        <w:rPr>
          <w:i/>
          <w:iCs/>
        </w:rPr>
        <w:t xml:space="preserve"> </w:t>
      </w:r>
      <w:proofErr w:type="spellStart"/>
      <w:r w:rsidRPr="00021F7C">
        <w:rPr>
          <w:i/>
          <w:iCs/>
        </w:rPr>
        <w:t>Publication</w:t>
      </w:r>
      <w:proofErr w:type="spellEnd"/>
      <w:r w:rsidRPr="00021F7C">
        <w:rPr>
          <w:i/>
          <w:iCs/>
        </w:rPr>
        <w:t xml:space="preserve"> </w:t>
      </w:r>
      <w:proofErr w:type="spellStart"/>
      <w:r w:rsidRPr="00021F7C">
        <w:rPr>
          <w:i/>
          <w:iCs/>
        </w:rPr>
        <w:t>Society</w:t>
      </w:r>
      <w:proofErr w:type="spellEnd"/>
      <w:r w:rsidRPr="005737E4">
        <w:t>.</w:t>
      </w:r>
    </w:p>
    <w:p w14:paraId="6797BD6A" w14:textId="7007912A" w:rsidR="005737E4" w:rsidRPr="00021F7C" w:rsidRDefault="005737E4" w:rsidP="005737E4">
      <w:r w:rsidRPr="005737E4">
        <w:t>Puede redistribuir</w:t>
      </w:r>
      <w:r w:rsidR="000D07C6">
        <w:t>se</w:t>
      </w:r>
      <w:r w:rsidRPr="005737E4">
        <w:t xml:space="preserve"> este archivo PDF en un formulario inalterado siempre que: (1) solo debe hacer tales copias PDF inalteradas disponibles de forma gratuita; (2) Usted indica claramente que cualquier pasaje de este trabajo reproducido en otras publicaciones (impresas y digitales) se derivan de este documento fuente. </w:t>
      </w:r>
      <w:r w:rsidR="000D07C6">
        <w:t>Caso contrario</w:t>
      </w:r>
      <w:r w:rsidRPr="00021F7C">
        <w:t xml:space="preserve">, </w:t>
      </w:r>
      <w:r w:rsidR="000D07C6">
        <w:t>queda todos los derechos reservados</w:t>
      </w:r>
      <w:r w:rsidRPr="00021F7C">
        <w:t>.</w:t>
      </w:r>
    </w:p>
    <w:p w14:paraId="2843F26C" w14:textId="0282D9F5" w:rsidR="00F669F8" w:rsidRDefault="009B7EEE" w:rsidP="005737E4">
      <w:r w:rsidRPr="00BD6C34">
        <w:rPr>
          <w:b/>
          <w:bCs/>
        </w:rPr>
        <w:t>Nota del editor</w:t>
      </w:r>
      <w:r w:rsidRPr="009B7EEE">
        <w:t xml:space="preserve">: el BPS agradece a todos los que ayudaron a hacer que este libro esté disponible en una edición digital </w:t>
      </w:r>
      <w:r w:rsidR="00D46949">
        <w:t>e</w:t>
      </w:r>
      <w:r w:rsidRPr="009B7EEE">
        <w:t xml:space="preserve"> impresa. Este libro es el resultado del trabajo del Sr. John </w:t>
      </w:r>
      <w:proofErr w:type="spellStart"/>
      <w:r w:rsidRPr="009B7EEE">
        <w:t>Bullitt</w:t>
      </w:r>
      <w:proofErr w:type="spellEnd"/>
      <w:r w:rsidRPr="009B7EEE">
        <w:t xml:space="preserve"> de </w:t>
      </w:r>
      <w:r w:rsidRPr="00D46949">
        <w:rPr>
          <w:i/>
          <w:iCs/>
        </w:rPr>
        <w:t xml:space="preserve">Access </w:t>
      </w:r>
      <w:proofErr w:type="spellStart"/>
      <w:r w:rsidR="00D46949" w:rsidRPr="00D46949">
        <w:rPr>
          <w:i/>
          <w:iCs/>
        </w:rPr>
        <w:t>to</w:t>
      </w:r>
      <w:proofErr w:type="spellEnd"/>
      <w:r w:rsidRPr="00D46949">
        <w:rPr>
          <w:i/>
          <w:iCs/>
        </w:rPr>
        <w:t xml:space="preserve"> </w:t>
      </w:r>
      <w:proofErr w:type="spellStart"/>
      <w:r w:rsidRPr="00D46949">
        <w:rPr>
          <w:i/>
          <w:iCs/>
        </w:rPr>
        <w:t>Insight</w:t>
      </w:r>
      <w:proofErr w:type="spellEnd"/>
      <w:r w:rsidRPr="009B7EEE">
        <w:t xml:space="preserve"> qu</w:t>
      </w:r>
      <w:r w:rsidR="00AD4A82">
        <w:t>ien</w:t>
      </w:r>
      <w:r w:rsidRPr="009B7EEE">
        <w:t xml:space="preserve"> inició esta edición digital, </w:t>
      </w:r>
      <w:r w:rsidR="00AD4A82">
        <w:t xml:space="preserve">a </w:t>
      </w:r>
      <w:r w:rsidRPr="009B7EEE">
        <w:t xml:space="preserve">los varios voluntarios que lo ayudaron a convertir la edición anterior de este libro </w:t>
      </w:r>
      <w:r w:rsidR="00AD4A82">
        <w:t>en</w:t>
      </w:r>
      <w:r w:rsidRPr="009B7EEE">
        <w:t xml:space="preserve"> texto digital, </w:t>
      </w:r>
      <w:r w:rsidR="00AD4A82">
        <w:t xml:space="preserve">a </w:t>
      </w:r>
      <w:r w:rsidRPr="009B7EEE">
        <w:t xml:space="preserve">los otros voluntarios que </w:t>
      </w:r>
      <w:r w:rsidR="007B46D9">
        <w:t>contribuyeron con</w:t>
      </w:r>
      <w:r w:rsidR="006E26D1">
        <w:t xml:space="preserve"> el</w:t>
      </w:r>
      <w:r w:rsidRPr="009B7EEE">
        <w:t xml:space="preserve"> BP</w:t>
      </w:r>
      <w:r w:rsidR="00D46949">
        <w:t>S</w:t>
      </w:r>
      <w:r w:rsidRPr="009B7EEE">
        <w:t xml:space="preserve"> </w:t>
      </w:r>
      <w:r w:rsidR="00BC6B39">
        <w:t xml:space="preserve">en </w:t>
      </w:r>
      <w:r w:rsidRPr="009B7EEE">
        <w:t>la revisión</w:t>
      </w:r>
      <w:r w:rsidR="00BC6B39">
        <w:t xml:space="preserve"> del texto</w:t>
      </w:r>
      <w:r w:rsidRPr="009B7EEE">
        <w:t xml:space="preserve">, </w:t>
      </w:r>
      <w:r w:rsidR="006E26D1">
        <w:t xml:space="preserve">a </w:t>
      </w:r>
      <w:proofErr w:type="spellStart"/>
      <w:r w:rsidR="00057BF4" w:rsidRPr="00057BF4">
        <w:rPr>
          <w:i/>
        </w:rPr>
        <w:t>Bhikkhu</w:t>
      </w:r>
      <w:proofErr w:type="spellEnd"/>
      <w:r w:rsidRPr="009B7EEE">
        <w:t xml:space="preserve"> </w:t>
      </w:r>
      <w:proofErr w:type="spellStart"/>
      <w:r w:rsidRPr="009B7EEE">
        <w:t>Nyanatusita</w:t>
      </w:r>
      <w:proofErr w:type="spellEnd"/>
      <w:r w:rsidRPr="009B7EEE">
        <w:t>, el editor de</w:t>
      </w:r>
      <w:r w:rsidR="006E26D1">
        <w:t>l</w:t>
      </w:r>
      <w:r w:rsidRPr="009B7EEE">
        <w:t xml:space="preserve"> BPS, que ayudó y coordinó la revisión, el formato y la composición tipográfica, </w:t>
      </w:r>
      <w:r w:rsidR="00A5159C">
        <w:t>la corrección d</w:t>
      </w:r>
      <w:r w:rsidRPr="009B7EEE">
        <w:t xml:space="preserve">el </w:t>
      </w:r>
      <w:r w:rsidR="00B11EFF">
        <w:t>Pāḷi</w:t>
      </w:r>
      <w:r w:rsidRPr="009B7EEE">
        <w:t xml:space="preserve">, etc., y </w:t>
      </w:r>
      <w:r w:rsidR="00B11EFF">
        <w:t>a</w:t>
      </w:r>
      <w:r w:rsidRPr="009B7EEE">
        <w:t xml:space="preserve">l trabajo de </w:t>
      </w:r>
      <w:r w:rsidR="00A5159C">
        <w:t xml:space="preserve">tipeo </w:t>
      </w:r>
      <w:r w:rsidRPr="009B7EEE">
        <w:t xml:space="preserve">de BPS </w:t>
      </w:r>
      <w:proofErr w:type="spellStart"/>
      <w:r w:rsidR="00057BF4" w:rsidRPr="00C049BD">
        <w:rPr>
          <w:i/>
        </w:rPr>
        <w:t>Bhikkhu</w:t>
      </w:r>
      <w:proofErr w:type="spellEnd"/>
      <w:r w:rsidRPr="009B7EEE">
        <w:t xml:space="preserve"> Sacramento </w:t>
      </w:r>
      <w:proofErr w:type="spellStart"/>
      <w:r w:rsidRPr="009B7EEE">
        <w:t>Upatissa</w:t>
      </w:r>
      <w:proofErr w:type="spellEnd"/>
      <w:r w:rsidRPr="009B7EEE">
        <w:t xml:space="preserve"> y </w:t>
      </w:r>
      <w:r w:rsidR="00C049BD">
        <w:t>a</w:t>
      </w:r>
      <w:r w:rsidRPr="009B7EEE">
        <w:t xml:space="preserve">l Sr. </w:t>
      </w:r>
      <w:proofErr w:type="spellStart"/>
      <w:r w:rsidRPr="009B7EEE">
        <w:t>Nalin</w:t>
      </w:r>
      <w:proofErr w:type="spellEnd"/>
      <w:r w:rsidRPr="009B7EEE">
        <w:t xml:space="preserve"> </w:t>
      </w:r>
      <w:proofErr w:type="spellStart"/>
      <w:r w:rsidRPr="009B7EEE">
        <w:t>Ariyaratna</w:t>
      </w:r>
      <w:proofErr w:type="spellEnd"/>
      <w:r w:rsidRPr="009B7EEE">
        <w:t xml:space="preserve"> qu</w:t>
      </w:r>
      <w:r w:rsidR="00064679">
        <w:t>ienes</w:t>
      </w:r>
      <w:r w:rsidRPr="009B7EEE">
        <w:t xml:space="preserve"> </w:t>
      </w:r>
      <w:r w:rsidR="00AD4A82">
        <w:t>digitaron</w:t>
      </w:r>
      <w:r w:rsidRPr="009B7EEE">
        <w:t xml:space="preserve"> el texto.</w:t>
      </w:r>
      <w:r w:rsidR="005737E4" w:rsidRPr="00021F7C">
        <w:t>.</w:t>
      </w:r>
    </w:p>
    <w:p w14:paraId="49F08E13" w14:textId="77777777" w:rsidR="00021F7C" w:rsidRDefault="00021F7C" w:rsidP="005737E4"/>
    <w:p w14:paraId="5E7701C1" w14:textId="77777777" w:rsidR="00021F7C" w:rsidRPr="00021F7C" w:rsidRDefault="00021F7C" w:rsidP="005737E4"/>
    <w:p w14:paraId="51B7F1A6" w14:textId="77777777" w:rsidR="00FF4F10" w:rsidRDefault="00F669F8" w:rsidP="00F669F8">
      <w:pPr>
        <w:jc w:val="center"/>
      </w:pPr>
      <w:r>
        <w:rPr>
          <w:noProof/>
          <w:sz w:val="22"/>
        </w:rPr>
        <mc:AlternateContent>
          <mc:Choice Requires="wpg">
            <w:drawing>
              <wp:inline distT="0" distB="0" distL="0" distR="0" wp14:anchorId="5B2787EF" wp14:editId="1696B4D8">
                <wp:extent cx="2986921" cy="599440"/>
                <wp:effectExtent l="0" t="0" r="0" b="0"/>
                <wp:docPr id="925542" name="Group 925542"/>
                <wp:cNvGraphicFramePr/>
                <a:graphic xmlns:a="http://schemas.openxmlformats.org/drawingml/2006/main">
                  <a:graphicData uri="http://schemas.microsoft.com/office/word/2010/wordprocessingGroup">
                    <wpg:wgp>
                      <wpg:cNvGrpSpPr/>
                      <wpg:grpSpPr>
                        <a:xfrm>
                          <a:off x="0" y="0"/>
                          <a:ext cx="2986921" cy="599440"/>
                          <a:chOff x="0" y="0"/>
                          <a:chExt cx="2986921" cy="599440"/>
                        </a:xfrm>
                      </wpg:grpSpPr>
                      <pic:pic xmlns:pic="http://schemas.openxmlformats.org/drawingml/2006/picture">
                        <pic:nvPicPr>
                          <pic:cNvPr id="66" name="Picture 66"/>
                          <pic:cNvPicPr/>
                        </pic:nvPicPr>
                        <pic:blipFill>
                          <a:blip r:embed="rId10"/>
                          <a:stretch>
                            <a:fillRect/>
                          </a:stretch>
                        </pic:blipFill>
                        <pic:spPr>
                          <a:xfrm>
                            <a:off x="0" y="27272"/>
                            <a:ext cx="736766" cy="527169"/>
                          </a:xfrm>
                          <a:prstGeom prst="rect">
                            <a:avLst/>
                          </a:prstGeom>
                        </pic:spPr>
                      </pic:pic>
                      <pic:pic xmlns:pic="http://schemas.openxmlformats.org/drawingml/2006/picture">
                        <pic:nvPicPr>
                          <pic:cNvPr id="68" name="Picture 68"/>
                          <pic:cNvPicPr/>
                        </pic:nvPicPr>
                        <pic:blipFill>
                          <a:blip r:embed="rId11"/>
                          <a:stretch>
                            <a:fillRect/>
                          </a:stretch>
                        </pic:blipFill>
                        <pic:spPr>
                          <a:xfrm>
                            <a:off x="2484000" y="0"/>
                            <a:ext cx="502920" cy="599440"/>
                          </a:xfrm>
                          <a:prstGeom prst="rect">
                            <a:avLst/>
                          </a:prstGeom>
                        </pic:spPr>
                      </pic:pic>
                    </wpg:wgp>
                  </a:graphicData>
                </a:graphic>
              </wp:inline>
            </w:drawing>
          </mc:Choice>
          <mc:Fallback>
            <w:pict>
              <v:group w14:anchorId="34FBFDF3" id="Group 925542" o:spid="_x0000_s1026" style="width:235.2pt;height:47.2pt;mso-position-horizontal-relative:char;mso-position-vertical-relative:line" coordsize="29869,59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">
                <v:shape id="Picture 66" o:spid="_x0000_s1027" type="#_x0000_t75" style="position:absolute;top:272;width:7367;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">
                  <v:imagedata r:id="rId12" o:title=""/>
                </v:shape>
                <v:shape id="Picture 68" o:spid="_x0000_s1028" type="#_x0000_t75" style="position:absolute;left:24840;width:5029;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">
                  <v:imagedata r:id="rId13" o:title=""/>
                </v:shape>
                <w10:anchorlock/>
              </v:group>
            </w:pict>
          </mc:Fallback>
        </mc:AlternateContent>
      </w:r>
    </w:p>
    <w:p w14:paraId="18BE5409" w14:textId="454444C4" w:rsidR="001B732D" w:rsidRDefault="001B732D" w:rsidP="001B732D">
      <w:pPr>
        <w:tabs>
          <w:tab w:val="center" w:pos="1485"/>
          <w:tab w:val="center" w:pos="2880"/>
          <w:tab w:val="center" w:pos="5041"/>
        </w:tabs>
        <w:spacing w:after="0"/>
        <w:rPr>
          <w:rFonts w:ascii="Times New Roman" w:eastAsia="Times New Roman" w:hAnsi="Times New Roman" w:cs="Times New Roman"/>
        </w:rPr>
      </w:pPr>
      <w:r>
        <w:rPr>
          <w:rFonts w:ascii="Times New Roman" w:eastAsia="Times New Roman" w:hAnsi="Times New Roman" w:cs="Times New Roman"/>
        </w:rPr>
        <w:tab/>
      </w:r>
      <w:r w:rsidR="00AD4A82">
        <w:rPr>
          <w:rFonts w:ascii="Times New Roman" w:eastAsia="Times New Roman" w:hAnsi="Times New Roman" w:cs="Times New Roman"/>
        </w:rPr>
        <w:tab/>
      </w:r>
      <w:r>
        <w:rPr>
          <w:rFonts w:ascii="Times New Roman" w:eastAsia="Times New Roman" w:hAnsi="Times New Roman" w:cs="Times New Roman"/>
        </w:rPr>
        <w:t xml:space="preserve">http://www.bps.lk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hyperlink r:id="rId14" w:history="1">
        <w:r w:rsidR="00D42919" w:rsidRPr="00B55C46">
          <w:rPr>
            <w:rStyle w:val="Hipervnculo"/>
            <w:rFonts w:ascii="Times New Roman" w:eastAsia="Times New Roman" w:hAnsi="Times New Roman" w:cs="Times New Roman"/>
          </w:rPr>
          <w:t>http://www.accesstoinsight.org</w:t>
        </w:r>
      </w:hyperlink>
    </w:p>
    <w:p w14:paraId="58AA91DE" w14:textId="77777777" w:rsidR="00D42919" w:rsidRDefault="00D42919" w:rsidP="001B732D">
      <w:pPr>
        <w:tabs>
          <w:tab w:val="center" w:pos="1485"/>
          <w:tab w:val="center" w:pos="2880"/>
          <w:tab w:val="center" w:pos="5041"/>
        </w:tabs>
        <w:spacing w:after="0"/>
        <w:rPr>
          <w:rFonts w:ascii="Times New Roman" w:eastAsia="Times New Roman" w:hAnsi="Times New Roman" w:cs="Times New Roman"/>
        </w:rPr>
      </w:pPr>
    </w:p>
    <w:p w14:paraId="22AADF1F" w14:textId="77777777" w:rsidR="00D42919" w:rsidRDefault="00D42919" w:rsidP="001B732D">
      <w:pPr>
        <w:tabs>
          <w:tab w:val="center" w:pos="1485"/>
          <w:tab w:val="center" w:pos="2880"/>
          <w:tab w:val="center" w:pos="5041"/>
        </w:tabs>
        <w:spacing w:after="0"/>
      </w:pPr>
    </w:p>
    <w:p w14:paraId="103E6A34" w14:textId="77777777" w:rsidR="00D42919" w:rsidRDefault="00D42919" w:rsidP="00B77A09">
      <w:pPr>
        <w:sectPr w:rsidR="00D42919" w:rsidSect="00305694">
          <w:footerReference w:type="default" r:id="rId15"/>
          <w:pgSz w:w="8641" w:h="12962"/>
          <w:pgMar w:top="1134" w:right="964" w:bottom="964" w:left="964" w:header="709" w:footer="709" w:gutter="0"/>
          <w:cols w:space="708"/>
          <w:docGrid w:linePitch="360"/>
        </w:sectPr>
      </w:pPr>
    </w:p>
    <w:p w14:paraId="255E5CC7" w14:textId="0447703A" w:rsidR="004B5D6C" w:rsidRDefault="004B5D6C" w:rsidP="004B5D6C">
      <w:r w:rsidRPr="004B5D6C">
        <w:lastRenderedPageBreak/>
        <w:t>El</w:t>
      </w:r>
      <w:r>
        <w:rPr>
          <w:b/>
          <w:bCs/>
        </w:rPr>
        <w:t xml:space="preserve"> </w:t>
      </w:r>
      <w:proofErr w:type="spellStart"/>
      <w:r w:rsidRPr="004B5D6C">
        <w:rPr>
          <w:b/>
          <w:bCs/>
          <w:i/>
          <w:iCs/>
        </w:rPr>
        <w:t>Buddhist</w:t>
      </w:r>
      <w:proofErr w:type="spellEnd"/>
      <w:r w:rsidRPr="004B5D6C">
        <w:rPr>
          <w:b/>
          <w:bCs/>
          <w:i/>
          <w:iCs/>
        </w:rPr>
        <w:t xml:space="preserve"> </w:t>
      </w:r>
      <w:proofErr w:type="spellStart"/>
      <w:r w:rsidRPr="004B5D6C">
        <w:rPr>
          <w:b/>
          <w:bCs/>
          <w:i/>
          <w:iCs/>
        </w:rPr>
        <w:t>Publication</w:t>
      </w:r>
      <w:proofErr w:type="spellEnd"/>
      <w:r w:rsidRPr="004B5D6C">
        <w:rPr>
          <w:b/>
          <w:bCs/>
          <w:i/>
          <w:iCs/>
        </w:rPr>
        <w:t xml:space="preserve"> </w:t>
      </w:r>
      <w:proofErr w:type="spellStart"/>
      <w:r w:rsidRPr="004B5D6C">
        <w:rPr>
          <w:b/>
          <w:bCs/>
          <w:i/>
          <w:iCs/>
        </w:rPr>
        <w:t>Socienty</w:t>
      </w:r>
      <w:proofErr w:type="spellEnd"/>
      <w:r>
        <w:t xml:space="preserve"> (BPS) </w:t>
      </w:r>
      <w:r w:rsidRPr="00BF2C6F">
        <w:t xml:space="preserve">es una organización benéfica </w:t>
      </w:r>
      <w:r>
        <w:t>certificada y</w:t>
      </w:r>
      <w:r w:rsidRPr="00BF2C6F">
        <w:t xml:space="preserve"> dedicada a dar a conocer la</w:t>
      </w:r>
      <w:r>
        <w:t>s</w:t>
      </w:r>
      <w:r w:rsidRPr="00BF2C6F">
        <w:t xml:space="preserve"> Enseñanza</w:t>
      </w:r>
      <w:r>
        <w:t>s</w:t>
      </w:r>
      <w:r w:rsidRPr="00BF2C6F">
        <w:t xml:space="preserve"> de</w:t>
      </w:r>
      <w:r>
        <w:t>l</w:t>
      </w:r>
      <w:r w:rsidRPr="00BF2C6F">
        <w:t xml:space="preserve"> </w:t>
      </w:r>
      <w:r w:rsidRPr="00057BF4">
        <w:rPr>
          <w:i/>
        </w:rPr>
        <w:t>Buddha</w:t>
      </w:r>
      <w:r w:rsidRPr="00BF2C6F">
        <w:t xml:space="preserve">, </w:t>
      </w:r>
      <w:r>
        <w:t xml:space="preserve">las cuales poseen </w:t>
      </w:r>
      <w:r w:rsidRPr="00BF2C6F">
        <w:t xml:space="preserve">un mensaje </w:t>
      </w:r>
      <w:r>
        <w:t xml:space="preserve">de carácter </w:t>
      </w:r>
      <w:r w:rsidRPr="00BF2C6F">
        <w:t xml:space="preserve">vital para </w:t>
      </w:r>
      <w:r>
        <w:t xml:space="preserve">las </w:t>
      </w:r>
      <w:r w:rsidRPr="00BF2C6F">
        <w:t>personas de todos los credos.</w:t>
      </w:r>
    </w:p>
    <w:p w14:paraId="301A0387" w14:textId="46DF184F" w:rsidR="004B5D6C" w:rsidRPr="005737E4" w:rsidRDefault="004B5D6C" w:rsidP="004B5D6C">
      <w:r w:rsidRPr="005737E4">
        <w:t xml:space="preserve">Fundada en 1958, BPS ha publicado una amplia variedad de libros y </w:t>
      </w:r>
      <w:r>
        <w:t>folletos</w:t>
      </w:r>
      <w:r w:rsidRPr="005737E4">
        <w:t>, cubr</w:t>
      </w:r>
      <w:r>
        <w:t>iend</w:t>
      </w:r>
      <w:r w:rsidRPr="005737E4">
        <w:t xml:space="preserve">o una gran variedad de temas. Sus publicaciones incluyen traducciones </w:t>
      </w:r>
      <w:r>
        <w:t xml:space="preserve">con </w:t>
      </w:r>
      <w:r w:rsidRPr="005737E4">
        <w:t>anota</w:t>
      </w:r>
      <w:r>
        <w:t>ciones</w:t>
      </w:r>
      <w:r w:rsidRPr="005737E4">
        <w:t xml:space="preserve"> precisas </w:t>
      </w:r>
      <w:r>
        <w:t xml:space="preserve">sobre </w:t>
      </w:r>
      <w:r w:rsidRPr="005737E4">
        <w:t xml:space="preserve">los discursos del </w:t>
      </w:r>
      <w:r w:rsidRPr="00057BF4">
        <w:rPr>
          <w:i/>
        </w:rPr>
        <w:t>Buddha</w:t>
      </w:r>
      <w:r w:rsidRPr="005737E4">
        <w:t>, trabajos de referencia estándar, así como exposiciones contemporáneas originales del pensamiento y la</w:t>
      </w:r>
      <w:r>
        <w:t>s</w:t>
      </w:r>
      <w:r w:rsidRPr="005737E4">
        <w:t xml:space="preserve"> práctica</w:t>
      </w:r>
      <w:r>
        <w:t>s</w:t>
      </w:r>
      <w:r w:rsidRPr="005737E4">
        <w:t xml:space="preserve"> budistas. Estas obras </w:t>
      </w:r>
      <w:r w:rsidR="003E1511">
        <w:t>exponen e</w:t>
      </w:r>
      <w:r w:rsidRPr="005737E4">
        <w:t xml:space="preserve">l budismo </w:t>
      </w:r>
      <w:r>
        <w:t xml:space="preserve">tal </w:t>
      </w:r>
      <w:r w:rsidRPr="005737E4">
        <w:t xml:space="preserve">como realmente es: </w:t>
      </w:r>
      <w:r w:rsidR="003E1511">
        <w:t xml:space="preserve">como </w:t>
      </w:r>
      <w:r w:rsidRPr="005737E4">
        <w:t>una fuerza dinámica que ha influido en las mentes receptivas durante los últimos 2</w:t>
      </w:r>
      <w:r>
        <w:t>,</w:t>
      </w:r>
      <w:r w:rsidRPr="005737E4">
        <w:t xml:space="preserve">500 años y </w:t>
      </w:r>
      <w:r>
        <w:t xml:space="preserve">que </w:t>
      </w:r>
      <w:r w:rsidRPr="005737E4">
        <w:t xml:space="preserve">sigue siendo tan relevante hoy como </w:t>
      </w:r>
      <w:r>
        <w:t xml:space="preserve">lo </w:t>
      </w:r>
      <w:r w:rsidRPr="005737E4">
        <w:t>fue cuando surgi</w:t>
      </w:r>
      <w:r>
        <w:t>e</w:t>
      </w:r>
      <w:r w:rsidR="003E1511">
        <w:t>se</w:t>
      </w:r>
      <w:r w:rsidRPr="005737E4">
        <w:t xml:space="preserve"> por primera vez.</w:t>
      </w:r>
    </w:p>
    <w:p w14:paraId="71062596" w14:textId="1E0286E0" w:rsidR="004B5D6C" w:rsidRPr="00A907F3" w:rsidRDefault="003E1511" w:rsidP="004B5D6C">
      <w:pPr>
        <w:pStyle w:val="VersoIngls01Sangria"/>
        <w:rPr>
          <w:lang w:val="en-US"/>
        </w:rPr>
      </w:pPr>
      <w:r w:rsidRPr="00A907F3">
        <w:rPr>
          <w:lang w:val="en-US"/>
        </w:rPr>
        <w:t xml:space="preserve">Buddhist Publication </w:t>
      </w:r>
      <w:proofErr w:type="spellStart"/>
      <w:r w:rsidRPr="00A907F3">
        <w:rPr>
          <w:lang w:val="en-US"/>
        </w:rPr>
        <w:t>Socienty</w:t>
      </w:r>
      <w:proofErr w:type="spellEnd"/>
    </w:p>
    <w:p w14:paraId="13DCD9A4" w14:textId="77777777" w:rsidR="004B5D6C" w:rsidRPr="00A907F3" w:rsidRDefault="004B5D6C" w:rsidP="004B5D6C">
      <w:pPr>
        <w:pStyle w:val="VersoIngls01Sangria"/>
        <w:rPr>
          <w:lang w:val="en-US"/>
        </w:rPr>
      </w:pPr>
      <w:r w:rsidRPr="00A907F3">
        <w:rPr>
          <w:lang w:val="en-US"/>
        </w:rPr>
        <w:t>P.O. Box 61</w:t>
      </w:r>
    </w:p>
    <w:p w14:paraId="1A961CA8" w14:textId="77777777" w:rsidR="004B5D6C" w:rsidRPr="002B018F" w:rsidRDefault="004B5D6C" w:rsidP="004B5D6C">
      <w:pPr>
        <w:pStyle w:val="VersoIngls01Sangria"/>
      </w:pPr>
      <w:r w:rsidRPr="002B018F">
        <w:t xml:space="preserve">54, </w:t>
      </w:r>
      <w:proofErr w:type="spellStart"/>
      <w:r w:rsidRPr="002B018F">
        <w:t>Sangharaja</w:t>
      </w:r>
      <w:proofErr w:type="spellEnd"/>
      <w:r w:rsidRPr="002B018F">
        <w:t xml:space="preserve"> </w:t>
      </w:r>
      <w:proofErr w:type="spellStart"/>
      <w:r w:rsidRPr="002B018F">
        <w:t>Mawatha</w:t>
      </w:r>
      <w:proofErr w:type="spellEnd"/>
      <w:r w:rsidRPr="002B018F">
        <w:t xml:space="preserve">, </w:t>
      </w:r>
      <w:proofErr w:type="spellStart"/>
      <w:r w:rsidRPr="002B018F">
        <w:t>Kandy</w:t>
      </w:r>
      <w:proofErr w:type="spellEnd"/>
      <w:r w:rsidRPr="002B018F">
        <w:t>, Sri Lanka</w:t>
      </w:r>
    </w:p>
    <w:p w14:paraId="0BD615BA" w14:textId="77777777" w:rsidR="004B5D6C" w:rsidRPr="005737E4" w:rsidRDefault="004B5D6C" w:rsidP="004B5D6C">
      <w:pPr>
        <w:pStyle w:val="VersoIngls01Sangria"/>
        <w:spacing w:after="100"/>
        <w:ind w:left="1418"/>
      </w:pPr>
      <w:r w:rsidRPr="005737E4">
        <w:t>http://www.bps.lk</w:t>
      </w:r>
    </w:p>
    <w:p w14:paraId="2F0C38FE" w14:textId="281CED97" w:rsidR="004B5D6C" w:rsidRPr="005737E4" w:rsidRDefault="004B5D6C" w:rsidP="004B5D6C">
      <w:r w:rsidRPr="005028B3">
        <w:rPr>
          <w:b/>
          <w:bCs/>
        </w:rPr>
        <w:t xml:space="preserve">Copia impresa de </w:t>
      </w:r>
      <w:r>
        <w:rPr>
          <w:b/>
          <w:bCs/>
        </w:rPr>
        <w:t>pasta dura</w:t>
      </w:r>
      <w:r w:rsidRPr="005737E4">
        <w:t xml:space="preserve">: una versión impresa de este libro está disponible en </w:t>
      </w:r>
      <w:r w:rsidR="003E1511">
        <w:t xml:space="preserve">el </w:t>
      </w:r>
      <w:proofErr w:type="spellStart"/>
      <w:r w:rsidR="003E1511" w:rsidRPr="003E1511">
        <w:rPr>
          <w:i/>
          <w:iCs/>
        </w:rPr>
        <w:t>Buddhist</w:t>
      </w:r>
      <w:proofErr w:type="spellEnd"/>
      <w:r w:rsidR="003E1511" w:rsidRPr="003E1511">
        <w:rPr>
          <w:i/>
          <w:iCs/>
        </w:rPr>
        <w:t xml:space="preserve"> </w:t>
      </w:r>
      <w:proofErr w:type="spellStart"/>
      <w:r w:rsidR="003E1511" w:rsidRPr="003E1511">
        <w:rPr>
          <w:i/>
          <w:iCs/>
        </w:rPr>
        <w:t>Publication</w:t>
      </w:r>
      <w:proofErr w:type="spellEnd"/>
      <w:r w:rsidR="003E1511" w:rsidRPr="003E1511">
        <w:rPr>
          <w:i/>
          <w:iCs/>
        </w:rPr>
        <w:t xml:space="preserve"> </w:t>
      </w:r>
      <w:proofErr w:type="spellStart"/>
      <w:r w:rsidR="003E1511" w:rsidRPr="003E1511">
        <w:rPr>
          <w:i/>
          <w:iCs/>
        </w:rPr>
        <w:t>Socienty</w:t>
      </w:r>
      <w:proofErr w:type="spellEnd"/>
      <w:r w:rsidRPr="005737E4">
        <w:t xml:space="preserve">; Vea la página "Traducciones del </w:t>
      </w:r>
      <w:r w:rsidRPr="00AD6B1D">
        <w:rPr>
          <w:i/>
        </w:rPr>
        <w:t>Pāḷi</w:t>
      </w:r>
      <w:r w:rsidRPr="005737E4">
        <w:t>" en la librería en línea de</w:t>
      </w:r>
      <w:r w:rsidR="003E1511">
        <w:t>l</w:t>
      </w:r>
      <w:r w:rsidRPr="005737E4">
        <w:t xml:space="preserve"> BPS en http://www.bps.lk.</w:t>
      </w:r>
    </w:p>
    <w:p w14:paraId="47F19314" w14:textId="3CE2C8DC" w:rsidR="004B5D6C" w:rsidRPr="00021F7C" w:rsidRDefault="004B5D6C" w:rsidP="004B5D6C">
      <w:r w:rsidRPr="005737E4">
        <w:t>Puede redistribuir</w:t>
      </w:r>
      <w:r>
        <w:t>se</w:t>
      </w:r>
      <w:r w:rsidRPr="005737E4">
        <w:t xml:space="preserve"> este archivo PDF en un formulario inalterado siempre que: (1) solo deb</w:t>
      </w:r>
      <w:r w:rsidR="00982A35">
        <w:t>a</w:t>
      </w:r>
      <w:r w:rsidRPr="005737E4">
        <w:t xml:space="preserve"> hacer</w:t>
      </w:r>
      <w:r w:rsidR="00982A35">
        <w:t>se</w:t>
      </w:r>
      <w:r w:rsidRPr="005737E4">
        <w:t xml:space="preserve"> tales copias PDF inalteradas disponibles de forma gratuita; (2) Usted indi</w:t>
      </w:r>
      <w:r w:rsidR="00982A35">
        <w:t>que</w:t>
      </w:r>
      <w:r w:rsidRPr="005737E4">
        <w:t xml:space="preserve"> claramente que cualquier pasaje de este trabajo reproducido en otras publicaciones (impresas y digitales) se derivan de este documento fuente. </w:t>
      </w:r>
      <w:r>
        <w:t>Caso contrario</w:t>
      </w:r>
      <w:r w:rsidRPr="00021F7C">
        <w:t xml:space="preserve">, </w:t>
      </w:r>
      <w:r>
        <w:t>queda</w:t>
      </w:r>
      <w:r w:rsidR="00982A35">
        <w:t>n</w:t>
      </w:r>
      <w:r>
        <w:t xml:space="preserve"> todos los derechos reservados</w:t>
      </w:r>
      <w:r w:rsidRPr="00021F7C">
        <w:t>.</w:t>
      </w:r>
    </w:p>
    <w:p w14:paraId="19A44D39" w14:textId="37535F66" w:rsidR="004B5D6C" w:rsidRDefault="004B5D6C" w:rsidP="004B5D6C">
      <w:r w:rsidRPr="00BD6C34">
        <w:rPr>
          <w:b/>
          <w:bCs/>
        </w:rPr>
        <w:t>Nota del editor</w:t>
      </w:r>
      <w:r w:rsidR="00982A35">
        <w:rPr>
          <w:b/>
          <w:bCs/>
        </w:rPr>
        <w:t xml:space="preserve"> en inglés</w:t>
      </w:r>
      <w:r w:rsidRPr="009B7EEE">
        <w:t xml:space="preserve">: el BPS agradece a todos los que </w:t>
      </w:r>
      <w:r w:rsidR="00982A35">
        <w:t xml:space="preserve">contribuyeron </w:t>
      </w:r>
      <w:r w:rsidRPr="009B7EEE">
        <w:t xml:space="preserve">a </w:t>
      </w:r>
      <w:r w:rsidR="00982A35">
        <w:t xml:space="preserve">producir </w:t>
      </w:r>
      <w:r w:rsidRPr="009B7EEE">
        <w:t xml:space="preserve">libro </w:t>
      </w:r>
      <w:r w:rsidR="00AB08DC">
        <w:t xml:space="preserve">y que </w:t>
      </w:r>
      <w:r w:rsidRPr="009B7EEE">
        <w:t xml:space="preserve">esté disponible en una edición digital </w:t>
      </w:r>
      <w:r>
        <w:t>e</w:t>
      </w:r>
      <w:r w:rsidRPr="009B7EEE">
        <w:t xml:space="preserve"> impresa. Este libro es el resultado del trabajo del Sr. John </w:t>
      </w:r>
      <w:proofErr w:type="spellStart"/>
      <w:r w:rsidRPr="009B7EEE">
        <w:t>Bullitt</w:t>
      </w:r>
      <w:proofErr w:type="spellEnd"/>
      <w:r w:rsidR="00AB08DC">
        <w:t>,</w:t>
      </w:r>
      <w:r w:rsidRPr="009B7EEE">
        <w:t xml:space="preserve"> de </w:t>
      </w:r>
      <w:r w:rsidRPr="00D46949">
        <w:rPr>
          <w:i/>
          <w:iCs/>
        </w:rPr>
        <w:t xml:space="preserve">Access </w:t>
      </w:r>
      <w:proofErr w:type="spellStart"/>
      <w:r w:rsidRPr="00D46949">
        <w:rPr>
          <w:i/>
          <w:iCs/>
        </w:rPr>
        <w:t>to</w:t>
      </w:r>
      <w:proofErr w:type="spellEnd"/>
      <w:r w:rsidRPr="00D46949">
        <w:rPr>
          <w:i/>
          <w:iCs/>
        </w:rPr>
        <w:t xml:space="preserve"> </w:t>
      </w:r>
      <w:proofErr w:type="spellStart"/>
      <w:r w:rsidRPr="00D46949">
        <w:rPr>
          <w:i/>
          <w:iCs/>
        </w:rPr>
        <w:t>Insight</w:t>
      </w:r>
      <w:proofErr w:type="spellEnd"/>
      <w:r w:rsidR="00AB08DC">
        <w:rPr>
          <w:i/>
          <w:iCs/>
        </w:rPr>
        <w:t>,</w:t>
      </w:r>
      <w:r w:rsidRPr="009B7EEE">
        <w:t xml:space="preserve"> qu</w:t>
      </w:r>
      <w:r>
        <w:t>ien</w:t>
      </w:r>
      <w:r w:rsidRPr="009B7EEE">
        <w:t xml:space="preserve"> inició esta edición digital, </w:t>
      </w:r>
      <w:r>
        <w:t xml:space="preserve">a </w:t>
      </w:r>
      <w:r w:rsidRPr="009B7EEE">
        <w:t xml:space="preserve">los varios voluntarios que lo ayudaron a convertir la edición anterior de este libro </w:t>
      </w:r>
      <w:r>
        <w:t>en</w:t>
      </w:r>
      <w:r w:rsidRPr="009B7EEE">
        <w:t xml:space="preserve"> </w:t>
      </w:r>
      <w:r w:rsidR="00AB08DC">
        <w:t xml:space="preserve">un </w:t>
      </w:r>
      <w:r w:rsidRPr="009B7EEE">
        <w:t xml:space="preserve">texto digital, </w:t>
      </w:r>
      <w:r>
        <w:t xml:space="preserve">a </w:t>
      </w:r>
      <w:r w:rsidRPr="009B7EEE">
        <w:t xml:space="preserve">los otros voluntarios que </w:t>
      </w:r>
      <w:r>
        <w:t>contribuyeron con el</w:t>
      </w:r>
      <w:r w:rsidRPr="009B7EEE">
        <w:t xml:space="preserve"> BP</w:t>
      </w:r>
      <w:r>
        <w:t>S</w:t>
      </w:r>
      <w:r w:rsidRPr="009B7EEE">
        <w:t xml:space="preserve"> </w:t>
      </w:r>
      <w:r>
        <w:t xml:space="preserve">en </w:t>
      </w:r>
      <w:r w:rsidRPr="009B7EEE">
        <w:t>la revisión</w:t>
      </w:r>
      <w:r>
        <w:t xml:space="preserve"> del texto</w:t>
      </w:r>
      <w:r w:rsidRPr="009B7EEE">
        <w:t xml:space="preserve">, </w:t>
      </w:r>
      <w:r>
        <w:t xml:space="preserve">a </w:t>
      </w:r>
      <w:proofErr w:type="spellStart"/>
      <w:r w:rsidRPr="00AB08DC">
        <w:rPr>
          <w:iCs/>
        </w:rPr>
        <w:t>Bhikkhu</w:t>
      </w:r>
      <w:proofErr w:type="spellEnd"/>
      <w:r w:rsidRPr="009B7EEE">
        <w:t xml:space="preserve"> </w:t>
      </w:r>
      <w:proofErr w:type="spellStart"/>
      <w:r w:rsidRPr="009B7EEE">
        <w:t>Nyanatusita</w:t>
      </w:r>
      <w:proofErr w:type="spellEnd"/>
      <w:r w:rsidRPr="009B7EEE">
        <w:t>, el editor de</w:t>
      </w:r>
      <w:r>
        <w:t>l</w:t>
      </w:r>
      <w:r w:rsidRPr="009B7EEE">
        <w:t xml:space="preserve"> BPS, que ayudó y coordinó la revisión, el formato y la composición tipográfica, </w:t>
      </w:r>
      <w:r>
        <w:t>la corrección d</w:t>
      </w:r>
      <w:r w:rsidRPr="009B7EEE">
        <w:t xml:space="preserve">el </w:t>
      </w:r>
      <w:r w:rsidRPr="00AB08DC">
        <w:rPr>
          <w:i/>
          <w:iCs/>
        </w:rPr>
        <w:t>Pāḷi</w:t>
      </w:r>
      <w:r w:rsidRPr="009B7EEE">
        <w:t xml:space="preserve">, etc., y </w:t>
      </w:r>
      <w:r>
        <w:t>a</w:t>
      </w:r>
      <w:r w:rsidRPr="009B7EEE">
        <w:t xml:space="preserve">l trabajo de </w:t>
      </w:r>
      <w:r>
        <w:t xml:space="preserve">tipeo </w:t>
      </w:r>
      <w:r w:rsidRPr="009B7EEE">
        <w:t xml:space="preserve">de BPS </w:t>
      </w:r>
      <w:proofErr w:type="spellStart"/>
      <w:r w:rsidRPr="00AB08DC">
        <w:rPr>
          <w:iCs/>
        </w:rPr>
        <w:t>Bhikkhu</w:t>
      </w:r>
      <w:proofErr w:type="spellEnd"/>
      <w:r w:rsidRPr="009B7EEE">
        <w:t xml:space="preserve"> Sacramento </w:t>
      </w:r>
      <w:proofErr w:type="spellStart"/>
      <w:r w:rsidRPr="009B7EEE">
        <w:t>Upatissa</w:t>
      </w:r>
      <w:proofErr w:type="spellEnd"/>
      <w:r w:rsidRPr="009B7EEE">
        <w:t xml:space="preserve"> y </w:t>
      </w:r>
      <w:r>
        <w:t>a</w:t>
      </w:r>
      <w:r w:rsidRPr="009B7EEE">
        <w:t xml:space="preserve">l Sr. </w:t>
      </w:r>
      <w:proofErr w:type="spellStart"/>
      <w:r w:rsidRPr="009B7EEE">
        <w:t>Nalin</w:t>
      </w:r>
      <w:proofErr w:type="spellEnd"/>
      <w:r w:rsidRPr="009B7EEE">
        <w:t xml:space="preserve"> </w:t>
      </w:r>
      <w:proofErr w:type="spellStart"/>
      <w:r w:rsidRPr="009B7EEE">
        <w:t>Ariyaratna</w:t>
      </w:r>
      <w:proofErr w:type="spellEnd"/>
      <w:r w:rsidRPr="009B7EEE">
        <w:t xml:space="preserve"> qu</w:t>
      </w:r>
      <w:r>
        <w:t>ienes</w:t>
      </w:r>
      <w:r w:rsidRPr="009B7EEE">
        <w:t xml:space="preserve"> </w:t>
      </w:r>
      <w:r>
        <w:t>digitaron</w:t>
      </w:r>
      <w:r w:rsidRPr="009B7EEE">
        <w:t xml:space="preserve"> el texto.</w:t>
      </w:r>
      <w:r w:rsidRPr="00021F7C">
        <w:t>.</w:t>
      </w:r>
    </w:p>
    <w:p w14:paraId="4F333DDA" w14:textId="77777777" w:rsidR="004B5D6C" w:rsidRDefault="004B5D6C" w:rsidP="004B5D6C"/>
    <w:p w14:paraId="7BD8AC3C" w14:textId="77777777" w:rsidR="004B5D6C" w:rsidRPr="00021F7C" w:rsidRDefault="004B5D6C" w:rsidP="004B5D6C"/>
    <w:p w14:paraId="4254640C" w14:textId="77777777" w:rsidR="004B5D6C" w:rsidRDefault="004B5D6C" w:rsidP="004B5D6C">
      <w:pPr>
        <w:jc w:val="center"/>
      </w:pPr>
      <w:r>
        <w:rPr>
          <w:noProof/>
          <w:sz w:val="22"/>
        </w:rPr>
        <mc:AlternateContent>
          <mc:Choice Requires="wpg">
            <w:drawing>
              <wp:inline distT="0" distB="0" distL="0" distR="0" wp14:anchorId="17A8E4A7" wp14:editId="4558A5F9">
                <wp:extent cx="2986921" cy="599440"/>
                <wp:effectExtent l="0" t="0" r="0" b="0"/>
                <wp:docPr id="497856139" name="Group 925542"/>
                <wp:cNvGraphicFramePr/>
                <a:graphic xmlns:a="http://schemas.openxmlformats.org/drawingml/2006/main">
                  <a:graphicData uri="http://schemas.microsoft.com/office/word/2010/wordprocessingGroup">
                    <wpg:wgp>
                      <wpg:cNvGrpSpPr/>
                      <wpg:grpSpPr>
                        <a:xfrm>
                          <a:off x="0" y="0"/>
                          <a:ext cx="2986921" cy="599440"/>
                          <a:chOff x="0" y="0"/>
                          <a:chExt cx="2986921" cy="599440"/>
                        </a:xfrm>
                      </wpg:grpSpPr>
                      <pic:pic xmlns:pic="http://schemas.openxmlformats.org/drawingml/2006/picture">
                        <pic:nvPicPr>
                          <pic:cNvPr id="837066841" name="Picture 66"/>
                          <pic:cNvPicPr/>
                        </pic:nvPicPr>
                        <pic:blipFill>
                          <a:blip r:embed="rId10"/>
                          <a:stretch>
                            <a:fillRect/>
                          </a:stretch>
                        </pic:blipFill>
                        <pic:spPr>
                          <a:xfrm>
                            <a:off x="0" y="27272"/>
                            <a:ext cx="736766" cy="527169"/>
                          </a:xfrm>
                          <a:prstGeom prst="rect">
                            <a:avLst/>
                          </a:prstGeom>
                        </pic:spPr>
                      </pic:pic>
                      <pic:pic xmlns:pic="http://schemas.openxmlformats.org/drawingml/2006/picture">
                        <pic:nvPicPr>
                          <pic:cNvPr id="947790749" name="Picture 68"/>
                          <pic:cNvPicPr/>
                        </pic:nvPicPr>
                        <pic:blipFill>
                          <a:blip r:embed="rId11"/>
                          <a:stretch>
                            <a:fillRect/>
                          </a:stretch>
                        </pic:blipFill>
                        <pic:spPr>
                          <a:xfrm>
                            <a:off x="2484000" y="0"/>
                            <a:ext cx="502920" cy="599440"/>
                          </a:xfrm>
                          <a:prstGeom prst="rect">
                            <a:avLst/>
                          </a:prstGeom>
                        </pic:spPr>
                      </pic:pic>
                    </wpg:wgp>
                  </a:graphicData>
                </a:graphic>
              </wp:inline>
            </w:drawing>
          </mc:Choice>
          <mc:Fallback>
            <w:pict>
              <v:group w14:anchorId="1941F31D" id="Group 925542" o:spid="_x0000_s1026" style="width:235.2pt;height:47.2pt;mso-position-horizontal-relative:char;mso-position-vertical-relative:line" coordsize="29869,59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">
                <v:shape id="Picture 66" o:spid="_x0000_s1027" type="#_x0000_t75" style="position:absolute;top:272;width:7367;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">
                  <v:imagedata r:id="rId12" o:title=""/>
                </v:shape>
                <v:shape id="Picture 68" o:spid="_x0000_s1028" type="#_x0000_t75" style="position:absolute;left:24840;width:5029;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">
                  <v:imagedata r:id="rId13" o:title=""/>
                </v:shape>
                <w10:anchorlock/>
              </v:group>
            </w:pict>
          </mc:Fallback>
        </mc:AlternateContent>
      </w:r>
    </w:p>
    <w:p w14:paraId="3A8EE9B7" w14:textId="77777777" w:rsidR="004B5D6C" w:rsidRDefault="004B5D6C" w:rsidP="004B5D6C">
      <w:pPr>
        <w:tabs>
          <w:tab w:val="center" w:pos="1485"/>
          <w:tab w:val="center" w:pos="2880"/>
          <w:tab w:val="center" w:pos="5041"/>
        </w:tabs>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http://www.bps.lk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hyperlink r:id="rId16" w:history="1">
        <w:r w:rsidRPr="00B55C46">
          <w:rPr>
            <w:rStyle w:val="Hipervnculo"/>
            <w:rFonts w:ascii="Times New Roman" w:eastAsia="Times New Roman" w:hAnsi="Times New Roman" w:cs="Times New Roman"/>
          </w:rPr>
          <w:t>http://www.accesstoinsight.org</w:t>
        </w:r>
      </w:hyperlink>
    </w:p>
    <w:p w14:paraId="457CFA5F" w14:textId="77777777" w:rsidR="00B77A09" w:rsidRDefault="00B77A09" w:rsidP="00B77A09"/>
    <w:p w14:paraId="543DD818" w14:textId="6397E8C2" w:rsidR="004B5D6C" w:rsidRDefault="004B5D6C">
      <w:pPr>
        <w:tabs>
          <w:tab w:val="clear" w:pos="425"/>
        </w:tabs>
        <w:spacing w:after="160"/>
      </w:pPr>
      <w:r>
        <w:br w:type="page"/>
      </w:r>
    </w:p>
    <w:p w14:paraId="55C944B9" w14:textId="77777777" w:rsidR="004B5D6C" w:rsidRDefault="004B5D6C" w:rsidP="00B77A09"/>
    <w:p w14:paraId="669DF22A" w14:textId="77777777" w:rsidR="00B77A09" w:rsidRDefault="00B77A09" w:rsidP="00B77A09"/>
    <w:p w14:paraId="5460256D" w14:textId="0F472E89" w:rsidR="00B77A09" w:rsidRPr="002F5F7E" w:rsidRDefault="008749F0" w:rsidP="00B77A09">
      <w:pPr>
        <w:pStyle w:val="Ttulo"/>
      </w:pPr>
      <w:r>
        <w:t xml:space="preserve">El </w:t>
      </w:r>
      <w:r w:rsidRPr="008657D3">
        <w:t>Sendero</w:t>
      </w:r>
      <w:r>
        <w:t xml:space="preserve"> de la </w:t>
      </w:r>
      <w:r w:rsidRPr="00BD6C34">
        <w:rPr>
          <w:i/>
          <w:iCs/>
        </w:rPr>
        <w:t>P</w:t>
      </w:r>
      <w:r>
        <w:t>u</w:t>
      </w:r>
      <w:r w:rsidR="005B31B6">
        <w:t>rificación</w:t>
      </w:r>
    </w:p>
    <w:p w14:paraId="07889D38" w14:textId="77777777" w:rsidR="00B77A09" w:rsidRPr="002F5F7E" w:rsidRDefault="00B77A09" w:rsidP="00B77A09"/>
    <w:p w14:paraId="1F041FEC" w14:textId="77777777" w:rsidR="001B732D" w:rsidRPr="002F5F7E" w:rsidRDefault="00B77A09" w:rsidP="00B77A09">
      <w:pPr>
        <w:pStyle w:val="Ttulo"/>
        <w:rPr>
          <w:i/>
          <w:iCs/>
        </w:rPr>
      </w:pPr>
      <w:r w:rsidRPr="002F5F7E">
        <w:rPr>
          <w:i/>
          <w:iCs/>
        </w:rPr>
        <w:t>Visuddhimagga</w:t>
      </w:r>
    </w:p>
    <w:p w14:paraId="7C496B82" w14:textId="77777777" w:rsidR="00D42919" w:rsidRPr="002F5F7E" w:rsidRDefault="00D42919" w:rsidP="00D42919"/>
    <w:p w14:paraId="27AE6512" w14:textId="77777777" w:rsidR="00D42919" w:rsidRPr="002F5F7E" w:rsidRDefault="00D42919">
      <w:r w:rsidRPr="002F5F7E">
        <w:br w:type="page"/>
      </w:r>
    </w:p>
    <w:p w14:paraId="68682D57" w14:textId="77777777" w:rsidR="00E65E64" w:rsidRPr="002F5F7E" w:rsidRDefault="00E65E64" w:rsidP="00E65E64">
      <w:pPr>
        <w:jc w:val="center"/>
        <w:rPr>
          <w:i/>
          <w:iCs/>
        </w:rPr>
      </w:pPr>
    </w:p>
    <w:p w14:paraId="7FA05F95" w14:textId="77777777" w:rsidR="00E65E64" w:rsidRPr="002F5F7E" w:rsidRDefault="00E65E64" w:rsidP="00E65E64">
      <w:pPr>
        <w:jc w:val="center"/>
        <w:rPr>
          <w:i/>
          <w:iCs/>
        </w:rPr>
      </w:pPr>
    </w:p>
    <w:p w14:paraId="467FD66F" w14:textId="77777777" w:rsidR="00E65E64" w:rsidRPr="002F5F7E" w:rsidRDefault="00E65E64" w:rsidP="00E65E64">
      <w:pPr>
        <w:jc w:val="center"/>
        <w:rPr>
          <w:i/>
          <w:iCs/>
        </w:rPr>
      </w:pPr>
    </w:p>
    <w:p w14:paraId="31522B2E" w14:textId="77777777" w:rsidR="00E65E64" w:rsidRPr="002F5F7E" w:rsidRDefault="00E65E64" w:rsidP="00E65E64">
      <w:pPr>
        <w:jc w:val="center"/>
        <w:rPr>
          <w:i/>
          <w:iCs/>
        </w:rPr>
      </w:pPr>
    </w:p>
    <w:p w14:paraId="384F48CC" w14:textId="77777777" w:rsidR="00E65E64" w:rsidRPr="002F5F7E" w:rsidRDefault="00E65E64" w:rsidP="00E65E64">
      <w:pPr>
        <w:jc w:val="center"/>
        <w:rPr>
          <w:i/>
          <w:iCs/>
        </w:rPr>
      </w:pPr>
    </w:p>
    <w:p w14:paraId="54A87FB8" w14:textId="77777777" w:rsidR="00835E30" w:rsidRPr="002F5F7E" w:rsidRDefault="00835E30" w:rsidP="00E65E64">
      <w:pPr>
        <w:pStyle w:val="VersoPali01Centrado"/>
      </w:pPr>
      <w:proofErr w:type="spellStart"/>
      <w:r w:rsidRPr="002F5F7E">
        <w:t>Cira</w:t>
      </w:r>
      <w:r w:rsidR="00756109">
        <w:t>ṃ</w:t>
      </w:r>
      <w:proofErr w:type="spellEnd"/>
      <w:r w:rsidRPr="002F5F7E">
        <w:t xml:space="preserve"> </w:t>
      </w:r>
      <w:proofErr w:type="spellStart"/>
      <w:r w:rsidRPr="002F5F7E">
        <w:t>ti</w:t>
      </w:r>
      <w:r w:rsidR="00756109">
        <w:t>ṭṭ</w:t>
      </w:r>
      <w:r w:rsidRPr="002F5F7E">
        <w:t>hatu</w:t>
      </w:r>
      <w:proofErr w:type="spellEnd"/>
      <w:r w:rsidRPr="002F5F7E">
        <w:t xml:space="preserve"> </w:t>
      </w:r>
      <w:proofErr w:type="spellStart"/>
      <w:r w:rsidRPr="002F5F7E">
        <w:t>saddhammo</w:t>
      </w:r>
      <w:proofErr w:type="spellEnd"/>
      <w:r w:rsidR="00E65E64" w:rsidRPr="002F5F7E">
        <w:br/>
      </w:r>
      <w:r w:rsidRPr="002F5F7E">
        <w:t xml:space="preserve"> </w:t>
      </w:r>
      <w:proofErr w:type="spellStart"/>
      <w:r w:rsidRPr="002F5F7E">
        <w:t>sabbe</w:t>
      </w:r>
      <w:proofErr w:type="spellEnd"/>
      <w:r w:rsidRPr="002F5F7E">
        <w:t xml:space="preserve"> </w:t>
      </w:r>
      <w:proofErr w:type="spellStart"/>
      <w:r w:rsidRPr="002F5F7E">
        <w:t>satt</w:t>
      </w:r>
      <w:r w:rsidR="00756109">
        <w:t>ā</w:t>
      </w:r>
      <w:proofErr w:type="spellEnd"/>
      <w:r w:rsidRPr="002F5F7E">
        <w:t xml:space="preserve"> </w:t>
      </w:r>
      <w:proofErr w:type="spellStart"/>
      <w:r w:rsidRPr="002F5F7E">
        <w:t>bhavantu</w:t>
      </w:r>
      <w:proofErr w:type="spellEnd"/>
      <w:r w:rsidRPr="002F5F7E">
        <w:t xml:space="preserve"> </w:t>
      </w:r>
      <w:proofErr w:type="spellStart"/>
      <w:r w:rsidRPr="002F5F7E">
        <w:t>sukhitatt</w:t>
      </w:r>
      <w:r w:rsidR="00756109">
        <w:t>ā</w:t>
      </w:r>
      <w:proofErr w:type="spellEnd"/>
    </w:p>
    <w:p w14:paraId="5F3885DE" w14:textId="77777777" w:rsidR="00E65E64" w:rsidRPr="002F5F7E" w:rsidRDefault="00E65E64" w:rsidP="00835E30"/>
    <w:p w14:paraId="16746F31" w14:textId="77777777" w:rsidR="00E65E64" w:rsidRPr="002F5F7E" w:rsidRDefault="00E65E64" w:rsidP="00835E30"/>
    <w:p w14:paraId="0BDA609A" w14:textId="77777777" w:rsidR="00E65E64" w:rsidRPr="002F5F7E" w:rsidRDefault="00E65E64" w:rsidP="00835E30"/>
    <w:p w14:paraId="53B8B774" w14:textId="77777777" w:rsidR="00E65E64" w:rsidRPr="002F5F7E" w:rsidRDefault="00E65E64" w:rsidP="00835E30"/>
    <w:p w14:paraId="7062D03A" w14:textId="05C0ACCA" w:rsidR="00D42919" w:rsidRPr="002F5F7E" w:rsidRDefault="005B31B6" w:rsidP="00E65E64">
      <w:pPr>
        <w:jc w:val="center"/>
      </w:pPr>
      <w:r>
        <w:t>A mi</w:t>
      </w:r>
      <w:r w:rsidR="00835E30" w:rsidRPr="002F5F7E">
        <w:t xml:space="preserve"> </w:t>
      </w:r>
      <w:proofErr w:type="spellStart"/>
      <w:r w:rsidR="00835E30" w:rsidRPr="002F5F7E">
        <w:t>Upajjh</w:t>
      </w:r>
      <w:r w:rsidR="00756109">
        <w:t>ā</w:t>
      </w:r>
      <w:r w:rsidR="00835E30" w:rsidRPr="002F5F7E">
        <w:t>ya</w:t>
      </w:r>
      <w:proofErr w:type="spellEnd"/>
      <w:r w:rsidR="00835E30" w:rsidRPr="002F5F7E">
        <w:t xml:space="preserve">, </w:t>
      </w:r>
      <w:r w:rsidR="00E65E64" w:rsidRPr="002F5F7E">
        <w:br/>
      </w:r>
      <w:r>
        <w:t xml:space="preserve">el </w:t>
      </w:r>
      <w:r w:rsidRPr="002F5F7E">
        <w:t xml:space="preserve">Venerable </w:t>
      </w:r>
      <w:r>
        <w:t xml:space="preserve">que en vida fuera </w:t>
      </w:r>
      <w:proofErr w:type="spellStart"/>
      <w:r w:rsidR="00835E30" w:rsidRPr="002F5F7E">
        <w:t>Pälänē</w:t>
      </w:r>
      <w:proofErr w:type="spellEnd"/>
      <w:r w:rsidR="00835E30" w:rsidRPr="002F5F7E">
        <w:t xml:space="preserve"> Siri </w:t>
      </w:r>
      <w:proofErr w:type="spellStart"/>
      <w:r w:rsidR="00835E30" w:rsidRPr="002F5F7E">
        <w:t>Vajira</w:t>
      </w:r>
      <w:r w:rsidR="003D5546">
        <w:t>ñāṇa</w:t>
      </w:r>
      <w:proofErr w:type="spellEnd"/>
      <w:r w:rsidR="003D5546">
        <w:t xml:space="preserve"> </w:t>
      </w:r>
      <w:r w:rsidR="00756109">
        <w:t xml:space="preserve"> </w:t>
      </w:r>
      <w:r w:rsidR="00E65E64" w:rsidRPr="002F5F7E">
        <w:br/>
      </w:r>
      <w:proofErr w:type="spellStart"/>
      <w:r w:rsidR="00835E30" w:rsidRPr="002F5F7E">
        <w:t>Mah</w:t>
      </w:r>
      <w:r w:rsidR="003D5546">
        <w:t>ā</w:t>
      </w:r>
      <w:r w:rsidR="00835E30" w:rsidRPr="002F5F7E">
        <w:t>n</w:t>
      </w:r>
      <w:r w:rsidR="003D5546">
        <w:t>ā</w:t>
      </w:r>
      <w:r w:rsidR="00835E30" w:rsidRPr="002F5F7E">
        <w:t>yakathera</w:t>
      </w:r>
      <w:proofErr w:type="spellEnd"/>
      <w:r w:rsidR="00835E30" w:rsidRPr="002F5F7E">
        <w:t xml:space="preserve"> </w:t>
      </w:r>
      <w:r>
        <w:t>de</w:t>
      </w:r>
      <w:r w:rsidR="00835E30" w:rsidRPr="002F5F7E">
        <w:t xml:space="preserve"> </w:t>
      </w:r>
      <w:proofErr w:type="spellStart"/>
      <w:r w:rsidR="00835E30" w:rsidRPr="002F5F7E">
        <w:t>Vajir</w:t>
      </w:r>
      <w:r w:rsidR="003D5546">
        <w:t>ā</w:t>
      </w:r>
      <w:r w:rsidR="00835E30" w:rsidRPr="002F5F7E">
        <w:t>r</w:t>
      </w:r>
      <w:r w:rsidR="003D5546">
        <w:t>ā</w:t>
      </w:r>
      <w:r w:rsidR="00835E30" w:rsidRPr="002F5F7E">
        <w:t>ma</w:t>
      </w:r>
      <w:proofErr w:type="spellEnd"/>
      <w:r w:rsidR="00835E30" w:rsidRPr="002F5F7E">
        <w:t xml:space="preserve">, </w:t>
      </w:r>
      <w:r w:rsidR="00E65E64" w:rsidRPr="002F5F7E">
        <w:br/>
      </w:r>
      <w:r w:rsidR="00835E30" w:rsidRPr="002F5F7E">
        <w:t>Colombo, Sri Lanka.</w:t>
      </w:r>
    </w:p>
    <w:p w14:paraId="19DB4146" w14:textId="77777777" w:rsidR="00E65E64" w:rsidRPr="002F5F7E" w:rsidRDefault="00E65E64">
      <w:r w:rsidRPr="002F5F7E">
        <w:br w:type="page"/>
      </w:r>
    </w:p>
    <w:p w14:paraId="0B63EC2E" w14:textId="77777777" w:rsidR="008538B4" w:rsidRDefault="008538B4" w:rsidP="008538B4"/>
    <w:p w14:paraId="13685AB5" w14:textId="77777777" w:rsidR="008538B4" w:rsidRDefault="008538B4" w:rsidP="008538B4"/>
    <w:p w14:paraId="256C9BDC" w14:textId="77777777" w:rsidR="008538B4" w:rsidRDefault="008538B4" w:rsidP="008538B4"/>
    <w:p w14:paraId="52A4130C" w14:textId="77777777" w:rsidR="008538B4" w:rsidRDefault="008538B4" w:rsidP="008538B4"/>
    <w:p w14:paraId="7B7BA22D" w14:textId="5EF317A5" w:rsidR="008538B4" w:rsidRDefault="00611B51" w:rsidP="008538B4">
      <w:pPr>
        <w:pStyle w:val="Ttulo"/>
      </w:pPr>
      <w:r>
        <w:t xml:space="preserve">El Sendero de la </w:t>
      </w:r>
      <w:r w:rsidRPr="00BD6C34">
        <w:rPr>
          <w:i/>
          <w:iCs/>
        </w:rPr>
        <w:t>P</w:t>
      </w:r>
      <w:r>
        <w:t>urificación</w:t>
      </w:r>
    </w:p>
    <w:p w14:paraId="51098AFD" w14:textId="77777777" w:rsidR="008538B4" w:rsidRPr="008538B4" w:rsidRDefault="008538B4" w:rsidP="008538B4">
      <w:pPr>
        <w:pStyle w:val="Ttulo"/>
      </w:pPr>
      <w:r w:rsidRPr="008538B4">
        <w:t>(</w:t>
      </w:r>
      <w:r w:rsidRPr="008538B4">
        <w:rPr>
          <w:i/>
          <w:iCs/>
        </w:rPr>
        <w:t>Visuddhimagga</w:t>
      </w:r>
      <w:r w:rsidRPr="008538B4">
        <w:t>)</w:t>
      </w:r>
    </w:p>
    <w:p w14:paraId="7625E273" w14:textId="77777777" w:rsidR="008538B4" w:rsidRDefault="008538B4" w:rsidP="008538B4">
      <w:pPr>
        <w:jc w:val="center"/>
      </w:pPr>
    </w:p>
    <w:p w14:paraId="266D4E1D" w14:textId="77777777" w:rsidR="008538B4" w:rsidRDefault="008538B4" w:rsidP="008538B4">
      <w:pPr>
        <w:jc w:val="center"/>
      </w:pPr>
    </w:p>
    <w:p w14:paraId="4A5A7D96" w14:textId="77777777" w:rsidR="002F5F7E" w:rsidRDefault="002F5F7E" w:rsidP="008538B4">
      <w:pPr>
        <w:jc w:val="center"/>
      </w:pPr>
    </w:p>
    <w:p w14:paraId="0C90AF2C" w14:textId="77777777" w:rsidR="008538B4" w:rsidRDefault="008538B4" w:rsidP="008538B4">
      <w:pPr>
        <w:jc w:val="center"/>
      </w:pPr>
    </w:p>
    <w:p w14:paraId="259CEFFF" w14:textId="239C8452" w:rsidR="008538B4" w:rsidRDefault="00BD6C34" w:rsidP="008538B4">
      <w:pPr>
        <w:jc w:val="center"/>
        <w:rPr>
          <w:sz w:val="24"/>
          <w:szCs w:val="28"/>
        </w:rPr>
      </w:pPr>
      <w:r w:rsidRPr="00BD6C34">
        <w:rPr>
          <w:sz w:val="16"/>
          <w:szCs w:val="20"/>
        </w:rPr>
        <w:t>Escrito por</w:t>
      </w:r>
      <w:r w:rsidR="000A29F7" w:rsidRPr="00BD6C34">
        <w:rPr>
          <w:sz w:val="16"/>
          <w:szCs w:val="20"/>
        </w:rPr>
        <w:br/>
      </w:r>
      <w:proofErr w:type="spellStart"/>
      <w:r w:rsidR="008538B4" w:rsidRPr="008538B4">
        <w:rPr>
          <w:sz w:val="24"/>
          <w:szCs w:val="28"/>
        </w:rPr>
        <w:t>Bhadant</w:t>
      </w:r>
      <w:r w:rsidR="003D5546">
        <w:t>ā</w:t>
      </w:r>
      <w:r w:rsidR="008538B4" w:rsidRPr="008538B4">
        <w:rPr>
          <w:sz w:val="24"/>
          <w:szCs w:val="28"/>
        </w:rPr>
        <w:t>cariya</w:t>
      </w:r>
      <w:proofErr w:type="spellEnd"/>
      <w:r w:rsidR="008538B4" w:rsidRPr="008538B4">
        <w:rPr>
          <w:sz w:val="24"/>
          <w:szCs w:val="28"/>
        </w:rPr>
        <w:t xml:space="preserve"> </w:t>
      </w:r>
      <w:r w:rsidR="00057BF4" w:rsidRPr="00057BF4">
        <w:rPr>
          <w:i/>
          <w:sz w:val="24"/>
          <w:szCs w:val="28"/>
        </w:rPr>
        <w:t>Buddha</w:t>
      </w:r>
      <w:r w:rsidR="008538B4" w:rsidRPr="008538B4">
        <w:rPr>
          <w:sz w:val="24"/>
          <w:szCs w:val="28"/>
        </w:rPr>
        <w:t>ghosa</w:t>
      </w:r>
    </w:p>
    <w:p w14:paraId="10AFC848" w14:textId="77777777" w:rsidR="002F5F7E" w:rsidRPr="008538B4" w:rsidRDefault="002F5F7E" w:rsidP="008538B4">
      <w:pPr>
        <w:jc w:val="center"/>
        <w:rPr>
          <w:sz w:val="24"/>
          <w:szCs w:val="28"/>
        </w:rPr>
      </w:pPr>
    </w:p>
    <w:p w14:paraId="42A31FF0" w14:textId="47027D9A" w:rsidR="00E65E64" w:rsidRDefault="00611B51" w:rsidP="008538B4">
      <w:pPr>
        <w:jc w:val="center"/>
        <w:rPr>
          <w:sz w:val="22"/>
          <w:szCs w:val="24"/>
        </w:rPr>
      </w:pPr>
      <w:r>
        <w:rPr>
          <w:szCs w:val="20"/>
        </w:rPr>
        <w:t>Traducido del</w:t>
      </w:r>
      <w:r w:rsidR="008538B4" w:rsidRPr="003D5546">
        <w:rPr>
          <w:szCs w:val="20"/>
        </w:rPr>
        <w:t xml:space="preserve"> </w:t>
      </w:r>
      <w:r w:rsidR="003D5546" w:rsidRPr="003D5546">
        <w:rPr>
          <w:i/>
          <w:iCs/>
          <w:szCs w:val="20"/>
        </w:rPr>
        <w:t>Pāḷi</w:t>
      </w:r>
      <w:r w:rsidR="008538B4" w:rsidRPr="003D5546">
        <w:rPr>
          <w:szCs w:val="20"/>
        </w:rPr>
        <w:t xml:space="preserve"> </w:t>
      </w:r>
      <w:r>
        <w:rPr>
          <w:szCs w:val="20"/>
        </w:rPr>
        <w:t xml:space="preserve">al </w:t>
      </w:r>
      <w:proofErr w:type="gramStart"/>
      <w:r>
        <w:rPr>
          <w:szCs w:val="20"/>
        </w:rPr>
        <w:t>Inglés</w:t>
      </w:r>
      <w:proofErr w:type="gramEnd"/>
      <w:r>
        <w:rPr>
          <w:szCs w:val="20"/>
        </w:rPr>
        <w:t xml:space="preserve"> por</w:t>
      </w:r>
      <w:r w:rsidR="008538B4" w:rsidRPr="003D5546">
        <w:rPr>
          <w:szCs w:val="20"/>
        </w:rPr>
        <w:t xml:space="preserve"> </w:t>
      </w:r>
      <w:r w:rsidR="008538B4" w:rsidRPr="003D5546">
        <w:rPr>
          <w:sz w:val="22"/>
          <w:szCs w:val="24"/>
        </w:rPr>
        <w:br/>
      </w:r>
      <w:proofErr w:type="spellStart"/>
      <w:r w:rsidR="00057BF4" w:rsidRPr="00057BF4">
        <w:rPr>
          <w:i/>
          <w:sz w:val="22"/>
          <w:szCs w:val="24"/>
        </w:rPr>
        <w:t>Bhikkhu</w:t>
      </w:r>
      <w:proofErr w:type="spellEnd"/>
      <w:r w:rsidR="008538B4" w:rsidRPr="000A29F7">
        <w:rPr>
          <w:sz w:val="22"/>
          <w:szCs w:val="24"/>
        </w:rPr>
        <w:t xml:space="preserve"> </w:t>
      </w:r>
      <w:r w:rsidR="002F5F7E" w:rsidRPr="000A29F7">
        <w:rPr>
          <w:sz w:val="22"/>
          <w:szCs w:val="24"/>
        </w:rPr>
        <w:t>Ñāṇa</w:t>
      </w:r>
      <w:r w:rsidR="008538B4" w:rsidRPr="000A29F7">
        <w:rPr>
          <w:sz w:val="22"/>
          <w:szCs w:val="24"/>
        </w:rPr>
        <w:t>moli</w:t>
      </w:r>
    </w:p>
    <w:p w14:paraId="070D135B" w14:textId="77777777" w:rsidR="000A29F7" w:rsidRDefault="000A29F7" w:rsidP="008538B4">
      <w:pPr>
        <w:jc w:val="center"/>
        <w:rPr>
          <w:sz w:val="22"/>
          <w:szCs w:val="24"/>
        </w:rPr>
      </w:pPr>
    </w:p>
    <w:p w14:paraId="26CE2404" w14:textId="77777777" w:rsidR="008C3803" w:rsidRDefault="008C3803" w:rsidP="008538B4">
      <w:pPr>
        <w:jc w:val="center"/>
        <w:rPr>
          <w:sz w:val="22"/>
          <w:szCs w:val="24"/>
        </w:rPr>
      </w:pPr>
    </w:p>
    <w:p w14:paraId="6F44FEE7" w14:textId="77777777" w:rsidR="008C3803" w:rsidRDefault="008C3803" w:rsidP="008538B4">
      <w:pPr>
        <w:jc w:val="center"/>
        <w:rPr>
          <w:sz w:val="22"/>
          <w:szCs w:val="24"/>
        </w:rPr>
      </w:pPr>
    </w:p>
    <w:p w14:paraId="18CB46A0" w14:textId="4457806E" w:rsidR="00611B51" w:rsidRPr="00BD6C34" w:rsidRDefault="00064679" w:rsidP="00611B51">
      <w:pPr>
        <w:jc w:val="center"/>
        <w:rPr>
          <w:sz w:val="16"/>
          <w:szCs w:val="18"/>
        </w:rPr>
      </w:pPr>
      <w:r>
        <w:rPr>
          <w:i/>
          <w:iCs/>
          <w:sz w:val="14"/>
          <w:szCs w:val="16"/>
        </w:rPr>
        <w:t xml:space="preserve">Editado </w:t>
      </w:r>
      <w:r w:rsidR="00611B51" w:rsidRPr="00611B51">
        <w:rPr>
          <w:i/>
          <w:iCs/>
          <w:sz w:val="14"/>
          <w:szCs w:val="16"/>
        </w:rPr>
        <w:t xml:space="preserve">al </w:t>
      </w:r>
      <w:proofErr w:type="gramStart"/>
      <w:r w:rsidR="00611B51" w:rsidRPr="00611B51">
        <w:rPr>
          <w:i/>
          <w:iCs/>
          <w:sz w:val="14"/>
          <w:szCs w:val="16"/>
        </w:rPr>
        <w:t>Español</w:t>
      </w:r>
      <w:proofErr w:type="gramEnd"/>
      <w:r w:rsidR="00611B51" w:rsidRPr="00611B51">
        <w:rPr>
          <w:i/>
          <w:iCs/>
          <w:sz w:val="14"/>
          <w:szCs w:val="16"/>
        </w:rPr>
        <w:t xml:space="preserve"> por </w:t>
      </w:r>
      <w:r w:rsidR="00611B51" w:rsidRPr="00611B51">
        <w:rPr>
          <w:i/>
          <w:iCs/>
          <w:szCs w:val="20"/>
        </w:rPr>
        <w:br/>
      </w:r>
      <w:r w:rsidR="00611B51" w:rsidRPr="00BD6C34">
        <w:rPr>
          <w:sz w:val="16"/>
          <w:szCs w:val="18"/>
        </w:rPr>
        <w:t>D</w:t>
      </w:r>
      <w:r>
        <w:rPr>
          <w:sz w:val="16"/>
          <w:szCs w:val="18"/>
        </w:rPr>
        <w:t>.</w:t>
      </w:r>
      <w:r w:rsidR="00611B51" w:rsidRPr="00BD6C34">
        <w:rPr>
          <w:sz w:val="16"/>
          <w:szCs w:val="18"/>
        </w:rPr>
        <w:t xml:space="preserve"> Huamán</w:t>
      </w:r>
    </w:p>
    <w:p w14:paraId="52A5458A" w14:textId="77777777" w:rsidR="00611B51" w:rsidRDefault="00611B51" w:rsidP="008538B4">
      <w:pPr>
        <w:jc w:val="center"/>
        <w:rPr>
          <w:sz w:val="22"/>
          <w:szCs w:val="24"/>
        </w:rPr>
      </w:pPr>
    </w:p>
    <w:p w14:paraId="1BAC4362" w14:textId="77777777" w:rsidR="000A29F7" w:rsidRDefault="000A29F7">
      <w:r>
        <w:br w:type="page"/>
      </w:r>
    </w:p>
    <w:p w14:paraId="76952978" w14:textId="2B85099A" w:rsidR="00141C6D" w:rsidRDefault="00056AC6" w:rsidP="00141C6D">
      <w:pPr>
        <w:spacing w:after="0" w:line="247" w:lineRule="auto"/>
        <w:ind w:left="-6"/>
        <w:rPr>
          <w:rFonts w:ascii="Calibri" w:hAnsi="Calibri"/>
        </w:rPr>
      </w:pPr>
      <w:r>
        <w:rPr>
          <w:rFonts w:ascii="Calibri" w:hAnsi="Calibri"/>
        </w:rPr>
        <w:lastRenderedPageBreak/>
        <w:t>Versión en inglés:</w:t>
      </w:r>
    </w:p>
    <w:p w14:paraId="3AA1B85B" w14:textId="189711DE" w:rsidR="00F0176C" w:rsidRPr="002B4337" w:rsidRDefault="00F0176C" w:rsidP="00F0176C">
      <w:pPr>
        <w:spacing w:after="268" w:line="248" w:lineRule="auto"/>
        <w:ind w:left="-5"/>
      </w:pPr>
      <w:r w:rsidRPr="002B4337">
        <w:rPr>
          <w:rFonts w:ascii="Calibri" w:hAnsi="Calibri"/>
        </w:rPr>
        <w:t xml:space="preserve">© </w:t>
      </w:r>
      <w:r w:rsidR="002B4337" w:rsidRPr="002B4337">
        <w:rPr>
          <w:rFonts w:ascii="Calibri" w:hAnsi="Calibri"/>
        </w:rPr>
        <w:t>1975,1991,2010</w:t>
      </w:r>
      <w:r w:rsidR="008C3803" w:rsidRPr="002B4337">
        <w:rPr>
          <w:rFonts w:ascii="Calibri" w:hAnsi="Calibri"/>
        </w:rPr>
        <w:t xml:space="preserve"> </w:t>
      </w:r>
      <w:proofErr w:type="spellStart"/>
      <w:r w:rsidRPr="002B4337">
        <w:rPr>
          <w:rFonts w:ascii="Calibri" w:hAnsi="Calibri"/>
        </w:rPr>
        <w:t>Buddhist</w:t>
      </w:r>
      <w:proofErr w:type="spellEnd"/>
      <w:r w:rsidRPr="002B4337">
        <w:rPr>
          <w:rFonts w:ascii="Calibri" w:hAnsi="Calibri"/>
        </w:rPr>
        <w:t xml:space="preserve"> </w:t>
      </w:r>
      <w:proofErr w:type="spellStart"/>
      <w:r w:rsidRPr="002B4337">
        <w:rPr>
          <w:rFonts w:ascii="Calibri" w:hAnsi="Calibri"/>
        </w:rPr>
        <w:t>Publication</w:t>
      </w:r>
      <w:proofErr w:type="spellEnd"/>
      <w:r w:rsidRPr="002B4337">
        <w:rPr>
          <w:rFonts w:ascii="Calibri" w:hAnsi="Calibri"/>
        </w:rPr>
        <w:t xml:space="preserve"> </w:t>
      </w:r>
      <w:proofErr w:type="spellStart"/>
      <w:r w:rsidRPr="002B4337">
        <w:rPr>
          <w:rFonts w:ascii="Calibri" w:hAnsi="Calibri"/>
        </w:rPr>
        <w:t>Society</w:t>
      </w:r>
      <w:proofErr w:type="spellEnd"/>
      <w:r w:rsidRPr="002B4337">
        <w:rPr>
          <w:rFonts w:ascii="Calibri" w:hAnsi="Calibri"/>
        </w:rPr>
        <w:t xml:space="preserve">. </w:t>
      </w:r>
      <w:r w:rsidR="002B4337" w:rsidRPr="002B4337">
        <w:rPr>
          <w:rFonts w:ascii="Calibri" w:hAnsi="Calibri"/>
        </w:rPr>
        <w:t>Todos los derechos reservados</w:t>
      </w:r>
      <w:r w:rsidRPr="002B4337">
        <w:rPr>
          <w:rFonts w:ascii="Calibri" w:hAnsi="Calibri"/>
        </w:rPr>
        <w:t>.</w:t>
      </w:r>
    </w:p>
    <w:p w14:paraId="256C702E" w14:textId="79D61C36" w:rsidR="00141C6D" w:rsidRPr="00141C6D" w:rsidRDefault="00141C6D" w:rsidP="00141C6D">
      <w:pPr>
        <w:spacing w:after="0" w:line="247" w:lineRule="auto"/>
        <w:ind w:left="-6"/>
        <w:rPr>
          <w:rFonts w:ascii="Calibri" w:hAnsi="Calibri"/>
        </w:rPr>
      </w:pPr>
      <w:r w:rsidRPr="00141C6D">
        <w:rPr>
          <w:rFonts w:ascii="Calibri" w:hAnsi="Calibri"/>
        </w:rPr>
        <w:t>Primera edición:</w:t>
      </w:r>
      <w:r w:rsidR="00056AC6">
        <w:rPr>
          <w:rFonts w:ascii="Calibri" w:hAnsi="Calibri"/>
        </w:rPr>
        <w:t xml:space="preserve"> 1956 por Sr. </w:t>
      </w:r>
      <w:r w:rsidR="00DA7D5A">
        <w:rPr>
          <w:rFonts w:ascii="Calibri" w:hAnsi="Calibri"/>
        </w:rPr>
        <w:t xml:space="preserve">Ānanda </w:t>
      </w:r>
      <w:proofErr w:type="spellStart"/>
      <w:r w:rsidR="00DA7D5A">
        <w:rPr>
          <w:rFonts w:ascii="Calibri" w:hAnsi="Calibri"/>
        </w:rPr>
        <w:t>Semage</w:t>
      </w:r>
      <w:proofErr w:type="spellEnd"/>
      <w:r w:rsidR="00DA7D5A">
        <w:rPr>
          <w:rFonts w:ascii="Calibri" w:hAnsi="Calibri"/>
        </w:rPr>
        <w:t>, Colombo</w:t>
      </w:r>
    </w:p>
    <w:p w14:paraId="4C185A3E" w14:textId="23AAF402" w:rsidR="00141C6D" w:rsidRPr="00141C6D" w:rsidRDefault="00141C6D" w:rsidP="00141C6D">
      <w:pPr>
        <w:spacing w:after="0" w:line="247" w:lineRule="auto"/>
        <w:ind w:left="-6"/>
        <w:rPr>
          <w:rFonts w:ascii="Calibri" w:hAnsi="Calibri"/>
        </w:rPr>
      </w:pPr>
      <w:r w:rsidRPr="00141C6D">
        <w:rPr>
          <w:rFonts w:ascii="Calibri" w:hAnsi="Calibri"/>
        </w:rPr>
        <w:t>Segunda edición:</w:t>
      </w:r>
      <w:r w:rsidR="00DA7D5A">
        <w:rPr>
          <w:rFonts w:ascii="Calibri" w:hAnsi="Calibri"/>
        </w:rPr>
        <w:t xml:space="preserve"> 1964</w:t>
      </w:r>
    </w:p>
    <w:p w14:paraId="5D4AEBF1" w14:textId="5C1826B1" w:rsidR="00141C6D" w:rsidRPr="00141C6D" w:rsidRDefault="00141C6D" w:rsidP="00141C6D">
      <w:pPr>
        <w:spacing w:after="0" w:line="247" w:lineRule="auto"/>
        <w:ind w:left="-6"/>
        <w:rPr>
          <w:rFonts w:ascii="Calibri" w:hAnsi="Calibri"/>
        </w:rPr>
      </w:pPr>
      <w:r w:rsidRPr="00141C6D">
        <w:rPr>
          <w:rFonts w:ascii="Calibri" w:hAnsi="Calibri"/>
        </w:rPr>
        <w:t>Reimpreso:</w:t>
      </w:r>
      <w:r w:rsidR="00DA7D5A">
        <w:rPr>
          <w:rFonts w:ascii="Calibri" w:hAnsi="Calibri"/>
        </w:rPr>
        <w:t xml:space="preserve"> 1979 por BPS</w:t>
      </w:r>
    </w:p>
    <w:p w14:paraId="1E4A5A37" w14:textId="0DF141BE" w:rsidR="00141C6D" w:rsidRPr="00141C6D" w:rsidRDefault="00141C6D" w:rsidP="00141C6D">
      <w:pPr>
        <w:spacing w:after="0" w:line="247" w:lineRule="auto"/>
        <w:ind w:left="-6"/>
        <w:rPr>
          <w:rFonts w:ascii="Calibri" w:hAnsi="Calibri"/>
        </w:rPr>
      </w:pPr>
      <w:r w:rsidRPr="00141C6D">
        <w:rPr>
          <w:rFonts w:ascii="Calibri" w:hAnsi="Calibri"/>
        </w:rPr>
        <w:t>Tercera edición:</w:t>
      </w:r>
      <w:r w:rsidR="00DA7D5A">
        <w:rPr>
          <w:rFonts w:ascii="Calibri" w:hAnsi="Calibri"/>
        </w:rPr>
        <w:t xml:space="preserve"> 1991</w:t>
      </w:r>
    </w:p>
    <w:p w14:paraId="2573A568" w14:textId="2363B590" w:rsidR="00141C6D" w:rsidRPr="00141C6D" w:rsidRDefault="00141C6D" w:rsidP="00141C6D">
      <w:pPr>
        <w:spacing w:after="0" w:line="247" w:lineRule="auto"/>
        <w:ind w:left="-6"/>
        <w:rPr>
          <w:rFonts w:ascii="Calibri" w:hAnsi="Calibri"/>
        </w:rPr>
      </w:pPr>
      <w:r w:rsidRPr="00141C6D">
        <w:rPr>
          <w:rFonts w:ascii="Calibri" w:hAnsi="Calibri"/>
        </w:rPr>
        <w:t>Reimpreso:</w:t>
      </w:r>
      <w:r w:rsidR="00DA7D5A">
        <w:rPr>
          <w:rFonts w:ascii="Calibri" w:hAnsi="Calibri"/>
        </w:rPr>
        <w:t xml:space="preserve"> 1999</w:t>
      </w:r>
    </w:p>
    <w:p w14:paraId="5A5530A5" w14:textId="76761231" w:rsidR="00F0176C" w:rsidRDefault="00141C6D" w:rsidP="00141C6D">
      <w:pPr>
        <w:spacing w:after="0" w:line="247" w:lineRule="auto"/>
        <w:ind w:left="-6"/>
        <w:rPr>
          <w:rFonts w:ascii="Calibri" w:hAnsi="Calibri"/>
        </w:rPr>
      </w:pPr>
      <w:r w:rsidRPr="00141C6D">
        <w:rPr>
          <w:rFonts w:ascii="Calibri" w:hAnsi="Calibri"/>
        </w:rPr>
        <w:t>Cuarta edición:</w:t>
      </w:r>
      <w:r>
        <w:rPr>
          <w:rFonts w:ascii="Calibri" w:hAnsi="Calibri"/>
        </w:rPr>
        <w:t xml:space="preserve"> </w:t>
      </w:r>
      <w:r w:rsidR="00DA7D5A">
        <w:rPr>
          <w:rFonts w:ascii="Calibri" w:hAnsi="Calibri"/>
        </w:rPr>
        <w:t>2010</w:t>
      </w:r>
    </w:p>
    <w:p w14:paraId="4C821335" w14:textId="77777777" w:rsidR="00141C6D" w:rsidRPr="00141C6D" w:rsidRDefault="00141C6D" w:rsidP="00141C6D">
      <w:pPr>
        <w:spacing w:after="0" w:line="247" w:lineRule="auto"/>
        <w:ind w:left="-6"/>
      </w:pPr>
    </w:p>
    <w:p w14:paraId="113813F8" w14:textId="77777777" w:rsidR="00F0176C" w:rsidRPr="00E6066F" w:rsidRDefault="00F0176C" w:rsidP="00F0176C">
      <w:pPr>
        <w:spacing w:after="9" w:line="248" w:lineRule="auto"/>
        <w:ind w:left="-5"/>
        <w:rPr>
          <w:color w:val="A6A6A6" w:themeColor="background1" w:themeShade="A6"/>
          <w:lang w:val="en-US"/>
        </w:rPr>
      </w:pPr>
      <w:r w:rsidRPr="00E6066F">
        <w:rPr>
          <w:rFonts w:ascii="Calibri" w:hAnsi="Calibri"/>
          <w:color w:val="A6A6A6" w:themeColor="background1" w:themeShade="A6"/>
          <w:lang w:val="en-US"/>
        </w:rPr>
        <w:t>National Library and Documentation C entre—Cataloguing-in-Publication Data</w:t>
      </w:r>
    </w:p>
    <w:tbl>
      <w:tblPr>
        <w:tblStyle w:val="TableGrid"/>
        <w:tblW w:w="6820" w:type="dxa"/>
        <w:tblInd w:w="10" w:type="dxa"/>
        <w:tblCellMar>
          <w:left w:w="62" w:type="dxa"/>
          <w:right w:w="115" w:type="dxa"/>
        </w:tblCellMar>
        <w:tblLook w:val="04A0" w:firstRow="1" w:lastRow="0" w:firstColumn="1" w:lastColumn="0" w:noHBand="0" w:noVBand="1"/>
      </w:tblPr>
      <w:tblGrid>
        <w:gridCol w:w="6820"/>
      </w:tblGrid>
      <w:tr w:rsidR="00E6066F" w:rsidRPr="00E6066F" w14:paraId="78EC9D51" w14:textId="77777777" w:rsidTr="004B0780">
        <w:trPr>
          <w:trHeight w:val="2360"/>
        </w:trPr>
        <w:tc>
          <w:tcPr>
            <w:tcW w:w="6820" w:type="dxa"/>
            <w:tcBorders>
              <w:top w:val="single" w:sz="8" w:space="0" w:color="000000"/>
              <w:left w:val="single" w:sz="8" w:space="0" w:color="000000"/>
              <w:bottom w:val="single" w:sz="8" w:space="0" w:color="000000"/>
              <w:right w:val="single" w:sz="8" w:space="0" w:color="000000"/>
            </w:tcBorders>
            <w:vAlign w:val="center"/>
          </w:tcPr>
          <w:p w14:paraId="2F62C565" w14:textId="2B384B09" w:rsidR="00F0176C" w:rsidRPr="00E6066F" w:rsidRDefault="00057BF4" w:rsidP="004B0780">
            <w:pPr>
              <w:spacing w:line="259" w:lineRule="auto"/>
              <w:rPr>
                <w:color w:val="A6A6A6" w:themeColor="background1" w:themeShade="A6"/>
                <w:lang w:val="en-US"/>
              </w:rPr>
            </w:pPr>
            <w:r w:rsidRPr="00E6066F">
              <w:rPr>
                <w:rFonts w:ascii="Calibri" w:hAnsi="Calibri"/>
                <w:i/>
                <w:color w:val="A6A6A6" w:themeColor="background1" w:themeShade="A6"/>
                <w:lang w:val="en-US"/>
              </w:rPr>
              <w:t>Buddha</w:t>
            </w:r>
            <w:r w:rsidR="00F0176C" w:rsidRPr="00E6066F">
              <w:rPr>
                <w:rFonts w:ascii="Calibri" w:hAnsi="Calibri"/>
                <w:color w:val="A6A6A6" w:themeColor="background1" w:themeShade="A6"/>
                <w:lang w:val="en-US"/>
              </w:rPr>
              <w:t>ghosa Himi</w:t>
            </w:r>
          </w:p>
          <w:p w14:paraId="7B3B8549" w14:textId="7D3B1AE7" w:rsidR="00F0176C" w:rsidRPr="00E6066F" w:rsidRDefault="00F0176C" w:rsidP="004B0780">
            <w:pPr>
              <w:spacing w:line="259" w:lineRule="auto"/>
              <w:ind w:left="168"/>
              <w:rPr>
                <w:color w:val="A6A6A6" w:themeColor="background1" w:themeShade="A6"/>
                <w:lang w:val="en-US"/>
              </w:rPr>
            </w:pPr>
            <w:r w:rsidRPr="00E6066F">
              <w:rPr>
                <w:rFonts w:ascii="Calibri" w:hAnsi="Calibri"/>
                <w:color w:val="A6A6A6" w:themeColor="background1" w:themeShade="A6"/>
                <w:lang w:val="en-US"/>
              </w:rPr>
              <w:t xml:space="preserve">The Path of Purification: </w:t>
            </w:r>
            <w:proofErr w:type="spellStart"/>
            <w:r w:rsidRPr="00E6066F">
              <w:rPr>
                <w:rFonts w:ascii="Calibri" w:hAnsi="Calibri"/>
                <w:color w:val="A6A6A6" w:themeColor="background1" w:themeShade="A6"/>
                <w:lang w:val="en-US"/>
              </w:rPr>
              <w:t>Visuddhimaga</w:t>
            </w:r>
            <w:proofErr w:type="spellEnd"/>
            <w:r w:rsidRPr="00E6066F">
              <w:rPr>
                <w:rFonts w:ascii="Calibri" w:hAnsi="Calibri"/>
                <w:color w:val="A6A6A6" w:themeColor="background1" w:themeShade="A6"/>
                <w:lang w:val="en-US"/>
              </w:rPr>
              <w:t xml:space="preserve">/ </w:t>
            </w:r>
            <w:r w:rsidR="00057BF4" w:rsidRPr="00E6066F">
              <w:rPr>
                <w:rFonts w:ascii="Calibri" w:hAnsi="Calibri"/>
                <w:i/>
                <w:color w:val="A6A6A6" w:themeColor="background1" w:themeShade="A6"/>
                <w:lang w:val="en-US"/>
              </w:rPr>
              <w:t>Buddha</w:t>
            </w:r>
            <w:r w:rsidRPr="00E6066F">
              <w:rPr>
                <w:rFonts w:ascii="Calibri" w:hAnsi="Calibri"/>
                <w:color w:val="A6A6A6" w:themeColor="background1" w:themeShade="A6"/>
                <w:lang w:val="en-US"/>
              </w:rPr>
              <w:t>ghosa Himi; tr. by</w:t>
            </w:r>
          </w:p>
          <w:p w14:paraId="35753A4E" w14:textId="77777777" w:rsidR="00F0176C" w:rsidRPr="00E6066F" w:rsidRDefault="00F0176C" w:rsidP="004B0780">
            <w:pPr>
              <w:spacing w:after="72" w:line="236" w:lineRule="auto"/>
              <w:ind w:left="168"/>
              <w:rPr>
                <w:color w:val="A6A6A6" w:themeColor="background1" w:themeShade="A6"/>
                <w:lang w:val="en-US"/>
              </w:rPr>
            </w:pPr>
            <w:proofErr w:type="spellStart"/>
            <w:r w:rsidRPr="00E6066F">
              <w:rPr>
                <w:rFonts w:ascii="Calibri" w:hAnsi="Calibri"/>
                <w:color w:val="A6A6A6" w:themeColor="background1" w:themeShade="A6"/>
                <w:lang w:val="en-US"/>
              </w:rPr>
              <w:t>Nyanamoli</w:t>
            </w:r>
            <w:proofErr w:type="spellEnd"/>
            <w:r w:rsidRPr="00E6066F">
              <w:rPr>
                <w:rFonts w:ascii="Calibri" w:hAnsi="Calibri"/>
                <w:color w:val="A6A6A6" w:themeColor="background1" w:themeShade="A6"/>
                <w:lang w:val="en-US"/>
              </w:rPr>
              <w:t xml:space="preserve"> </w:t>
            </w:r>
            <w:proofErr w:type="gramStart"/>
            <w:r w:rsidRPr="00E6066F">
              <w:rPr>
                <w:rFonts w:ascii="Calibri" w:hAnsi="Calibri"/>
                <w:color w:val="A6A6A6" w:themeColor="background1" w:themeShade="A6"/>
                <w:lang w:val="en-US"/>
              </w:rPr>
              <w:t>Himi.-</w:t>
            </w:r>
            <w:proofErr w:type="gramEnd"/>
            <w:r w:rsidRPr="00E6066F">
              <w:rPr>
                <w:rFonts w:ascii="Calibri" w:hAnsi="Calibri"/>
                <w:color w:val="A6A6A6" w:themeColor="background1" w:themeShade="A6"/>
                <w:lang w:val="en-US"/>
              </w:rPr>
              <w:t xml:space="preserve"> Kandy: Buddhist Publication Society, 2010, 794p.; 23cm.(BP </w:t>
            </w:r>
            <w:proofErr w:type="spellStart"/>
            <w:r w:rsidRPr="00E6066F">
              <w:rPr>
                <w:rFonts w:ascii="Calibri" w:hAnsi="Calibri"/>
                <w:color w:val="A6A6A6" w:themeColor="background1" w:themeShade="A6"/>
                <w:lang w:val="en-US"/>
              </w:rPr>
              <w:t>N o</w:t>
            </w:r>
            <w:proofErr w:type="spellEnd"/>
            <w:r w:rsidRPr="00E6066F">
              <w:rPr>
                <w:rFonts w:ascii="Calibri" w:hAnsi="Calibri"/>
                <w:color w:val="A6A6A6" w:themeColor="background1" w:themeShade="A6"/>
                <w:lang w:val="en-US"/>
              </w:rPr>
              <w:t xml:space="preserve"> 207)</w:t>
            </w:r>
          </w:p>
          <w:p w14:paraId="6D4A94AE" w14:textId="77777777" w:rsidR="00F0176C" w:rsidRPr="00E6066F" w:rsidRDefault="00F0176C" w:rsidP="004B0780">
            <w:pPr>
              <w:spacing w:after="67" w:line="259" w:lineRule="auto"/>
              <w:ind w:left="168"/>
              <w:rPr>
                <w:color w:val="A6A6A6" w:themeColor="background1" w:themeShade="A6"/>
                <w:lang w:val="en-US"/>
              </w:rPr>
            </w:pPr>
            <w:r w:rsidRPr="00E6066F">
              <w:rPr>
                <w:rFonts w:ascii="Calibri" w:hAnsi="Calibri"/>
                <w:color w:val="A6A6A6" w:themeColor="background1" w:themeShade="A6"/>
                <w:lang w:val="en-US"/>
              </w:rPr>
              <w:t>ISBN 978-955-24-0023-6</w:t>
            </w:r>
          </w:p>
          <w:p w14:paraId="6136C8F3" w14:textId="77777777" w:rsidR="00A86668" w:rsidRPr="00E6066F" w:rsidRDefault="00F0176C" w:rsidP="004B0780">
            <w:pPr>
              <w:spacing w:after="137" w:line="236" w:lineRule="auto"/>
              <w:ind w:left="168" w:right="3003"/>
              <w:rPr>
                <w:rFonts w:ascii="Calibri" w:hAnsi="Calibri"/>
                <w:color w:val="A6A6A6" w:themeColor="background1" w:themeShade="A6"/>
                <w:lang w:val="en-US"/>
              </w:rPr>
            </w:pPr>
            <w:proofErr w:type="spellStart"/>
            <w:r w:rsidRPr="00E6066F">
              <w:rPr>
                <w:rFonts w:ascii="Calibri" w:hAnsi="Calibri"/>
                <w:color w:val="A6A6A6" w:themeColor="background1" w:themeShade="A6"/>
                <w:lang w:val="en-US"/>
              </w:rPr>
              <w:t>i</w:t>
            </w:r>
            <w:proofErr w:type="spellEnd"/>
            <w:r w:rsidRPr="00E6066F">
              <w:rPr>
                <w:rFonts w:ascii="Calibri" w:hAnsi="Calibri"/>
                <w:color w:val="A6A6A6" w:themeColor="background1" w:themeShade="A6"/>
                <w:lang w:val="en-US"/>
              </w:rPr>
              <w:t>. 294.391 DDC 22</w:t>
            </w:r>
            <w:r w:rsidRPr="00E6066F">
              <w:rPr>
                <w:rFonts w:ascii="Calibri" w:hAnsi="Calibri"/>
                <w:color w:val="A6A6A6" w:themeColor="background1" w:themeShade="A6"/>
                <w:lang w:val="en-US"/>
              </w:rPr>
              <w:tab/>
              <w:t xml:space="preserve">ii. Title </w:t>
            </w:r>
            <w:r w:rsidR="00A86668" w:rsidRPr="00E6066F">
              <w:rPr>
                <w:rFonts w:ascii="Calibri" w:hAnsi="Calibri"/>
                <w:color w:val="A6A6A6" w:themeColor="background1" w:themeShade="A6"/>
                <w:lang w:val="en-US"/>
              </w:rPr>
              <w:br/>
            </w:r>
          </w:p>
          <w:p w14:paraId="0DC8084B" w14:textId="77777777" w:rsidR="00F0176C" w:rsidRPr="00E6066F" w:rsidRDefault="00F0176C" w:rsidP="004B0780">
            <w:pPr>
              <w:spacing w:after="137" w:line="236" w:lineRule="auto"/>
              <w:ind w:left="168" w:right="3003"/>
              <w:rPr>
                <w:color w:val="A6A6A6" w:themeColor="background1" w:themeShade="A6"/>
                <w:lang w:val="en-US"/>
              </w:rPr>
            </w:pPr>
            <w:r w:rsidRPr="00E6066F">
              <w:rPr>
                <w:rFonts w:ascii="Calibri" w:hAnsi="Calibri"/>
                <w:color w:val="A6A6A6" w:themeColor="background1" w:themeShade="A6"/>
                <w:lang w:val="en-US"/>
              </w:rPr>
              <w:t xml:space="preserve">iii. </w:t>
            </w:r>
            <w:proofErr w:type="spellStart"/>
            <w:r w:rsidRPr="00E6066F">
              <w:rPr>
                <w:rFonts w:ascii="Calibri" w:hAnsi="Calibri"/>
                <w:color w:val="A6A6A6" w:themeColor="background1" w:themeShade="A6"/>
                <w:lang w:val="en-US"/>
              </w:rPr>
              <w:t>Nyanamoli</w:t>
            </w:r>
            <w:proofErr w:type="spellEnd"/>
            <w:r w:rsidRPr="00E6066F">
              <w:rPr>
                <w:rFonts w:ascii="Calibri" w:hAnsi="Calibri"/>
                <w:color w:val="A6A6A6" w:themeColor="background1" w:themeShade="A6"/>
                <w:lang w:val="en-US"/>
              </w:rPr>
              <w:t xml:space="preserve"> Himi tr.</w:t>
            </w:r>
          </w:p>
          <w:p w14:paraId="4DF2DBF1" w14:textId="77777777" w:rsidR="00F0176C" w:rsidRPr="00E6066F" w:rsidRDefault="00F0176C" w:rsidP="004B0780">
            <w:pPr>
              <w:tabs>
                <w:tab w:val="center" w:pos="711"/>
                <w:tab w:val="center" w:pos="3891"/>
              </w:tabs>
              <w:spacing w:line="259" w:lineRule="auto"/>
              <w:rPr>
                <w:color w:val="A6A6A6" w:themeColor="background1" w:themeShade="A6"/>
              </w:rPr>
            </w:pPr>
            <w:r w:rsidRPr="00E6066F">
              <w:rPr>
                <w:rFonts w:ascii="Calibri" w:hAnsi="Calibri"/>
                <w:color w:val="A6A6A6" w:themeColor="background1" w:themeShade="A6"/>
                <w:sz w:val="22"/>
                <w:lang w:val="en-US"/>
              </w:rPr>
              <w:tab/>
            </w:r>
            <w:r w:rsidRPr="00E6066F">
              <w:rPr>
                <w:rFonts w:ascii="Calibri" w:hAnsi="Calibri"/>
                <w:color w:val="A6A6A6" w:themeColor="background1" w:themeShade="A6"/>
                <w:lang w:val="en-US"/>
              </w:rPr>
              <w:t>1. Buddhism</w:t>
            </w:r>
            <w:r w:rsidRPr="00E6066F">
              <w:rPr>
                <w:rFonts w:ascii="Calibri" w:hAnsi="Calibri"/>
                <w:color w:val="A6A6A6" w:themeColor="background1" w:themeShade="A6"/>
                <w:lang w:val="en-US"/>
              </w:rPr>
              <w:tab/>
              <w:t xml:space="preserve">2. </w:t>
            </w:r>
            <w:r w:rsidRPr="00E6066F">
              <w:rPr>
                <w:rFonts w:ascii="Calibri" w:hAnsi="Calibri"/>
                <w:color w:val="A6A6A6" w:themeColor="background1" w:themeShade="A6"/>
              </w:rPr>
              <w:t xml:space="preserve">Theravada </w:t>
            </w:r>
            <w:proofErr w:type="spellStart"/>
            <w:r w:rsidRPr="00E6066F">
              <w:rPr>
                <w:rFonts w:ascii="Calibri" w:hAnsi="Calibri"/>
                <w:color w:val="A6A6A6" w:themeColor="background1" w:themeShade="A6"/>
              </w:rPr>
              <w:t>Buddhism</w:t>
            </w:r>
            <w:proofErr w:type="spellEnd"/>
          </w:p>
        </w:tc>
      </w:tr>
    </w:tbl>
    <w:p w14:paraId="285C146E" w14:textId="78968045" w:rsidR="00F0176C" w:rsidRPr="00E6066F" w:rsidRDefault="00F0176C" w:rsidP="00F0176C">
      <w:pPr>
        <w:spacing w:after="680" w:line="248" w:lineRule="auto"/>
        <w:ind w:left="-5"/>
        <w:rPr>
          <w:color w:val="A6A6A6" w:themeColor="background1" w:themeShade="A6"/>
        </w:rPr>
      </w:pPr>
      <w:r w:rsidRPr="00E6066F">
        <w:rPr>
          <w:rFonts w:ascii="Calibri" w:hAnsi="Calibri"/>
          <w:color w:val="A6A6A6" w:themeColor="background1" w:themeShade="A6"/>
        </w:rPr>
        <w:t xml:space="preserve">ISBN </w:t>
      </w:r>
      <w:r w:rsidR="008C3803" w:rsidRPr="00E6066F">
        <w:rPr>
          <w:rFonts w:ascii="Calibri" w:hAnsi="Calibri"/>
          <w:color w:val="A6A6A6" w:themeColor="background1" w:themeShade="A6"/>
        </w:rPr>
        <w:t>########</w:t>
      </w:r>
    </w:p>
    <w:p w14:paraId="6F8877EE" w14:textId="384ED6B8" w:rsidR="00F0176C" w:rsidRPr="00CB3BE3" w:rsidRDefault="00CB3BE3" w:rsidP="00CA33FE">
      <w:pPr>
        <w:spacing w:after="900" w:line="247" w:lineRule="auto"/>
        <w:ind w:left="249"/>
      </w:pPr>
      <w:r w:rsidRPr="00CB3BE3">
        <w:rPr>
          <w:rFonts w:ascii="Calibri" w:hAnsi="Calibri"/>
        </w:rPr>
        <w:t>El patrocinador de esta edición de</w:t>
      </w:r>
      <w:r w:rsidR="000216FF">
        <w:rPr>
          <w:rFonts w:ascii="Calibri" w:hAnsi="Calibri"/>
        </w:rPr>
        <w:t>l</w:t>
      </w:r>
      <w:r w:rsidRPr="00CB3BE3">
        <w:rPr>
          <w:rFonts w:ascii="Calibri" w:hAnsi="Calibri"/>
        </w:rPr>
        <w:t xml:space="preserve"> </w:t>
      </w:r>
      <w:r w:rsidR="000216FF">
        <w:rPr>
          <w:rFonts w:ascii="Calibri" w:hAnsi="Calibri"/>
          <w:i/>
          <w:iCs/>
        </w:rPr>
        <w:t>Sendero de la Purificación</w:t>
      </w:r>
      <w:r w:rsidRPr="00CB3BE3">
        <w:rPr>
          <w:rFonts w:ascii="Calibri" w:hAnsi="Calibri"/>
        </w:rPr>
        <w:t xml:space="preserve"> ofrece devotamente </w:t>
      </w:r>
      <w:r w:rsidR="00D65255">
        <w:rPr>
          <w:rFonts w:ascii="Calibri" w:hAnsi="Calibri"/>
        </w:rPr>
        <w:t xml:space="preserve">los méritos </w:t>
      </w:r>
      <w:r w:rsidRPr="00CB3BE3">
        <w:rPr>
          <w:rFonts w:ascii="Calibri" w:hAnsi="Calibri"/>
        </w:rPr>
        <w:t xml:space="preserve">a los queridos miembros de su familia que han fallecido, a saber, </w:t>
      </w:r>
      <w:r w:rsidR="000216FF">
        <w:rPr>
          <w:rFonts w:ascii="Calibri" w:hAnsi="Calibri"/>
        </w:rPr>
        <w:t xml:space="preserve">a </w:t>
      </w:r>
      <w:r w:rsidRPr="00CB3BE3">
        <w:rPr>
          <w:rFonts w:ascii="Calibri" w:hAnsi="Calibri"/>
        </w:rPr>
        <w:t xml:space="preserve">sus padres, el Dr. Harry y </w:t>
      </w:r>
      <w:r w:rsidR="00D65255">
        <w:rPr>
          <w:rFonts w:ascii="Calibri" w:hAnsi="Calibri"/>
        </w:rPr>
        <w:t xml:space="preserve">a </w:t>
      </w:r>
      <w:r w:rsidRPr="00CB3BE3">
        <w:rPr>
          <w:rFonts w:ascii="Calibri" w:hAnsi="Calibri"/>
        </w:rPr>
        <w:t xml:space="preserve">la Sra. Mabel </w:t>
      </w:r>
      <w:proofErr w:type="spellStart"/>
      <w:r w:rsidRPr="00CB3BE3">
        <w:rPr>
          <w:rFonts w:ascii="Calibri" w:hAnsi="Calibri"/>
        </w:rPr>
        <w:t>Amarasinghe</w:t>
      </w:r>
      <w:proofErr w:type="spellEnd"/>
      <w:r w:rsidRPr="00CB3BE3">
        <w:rPr>
          <w:rFonts w:ascii="Calibri" w:hAnsi="Calibri"/>
        </w:rPr>
        <w:t xml:space="preserve">, su esposo, Joyce A. Fernando y </w:t>
      </w:r>
      <w:r w:rsidR="00AA3B04">
        <w:rPr>
          <w:rFonts w:ascii="Calibri" w:hAnsi="Calibri"/>
        </w:rPr>
        <w:t xml:space="preserve">a </w:t>
      </w:r>
      <w:r w:rsidRPr="00CB3BE3">
        <w:rPr>
          <w:rFonts w:ascii="Calibri" w:hAnsi="Calibri"/>
        </w:rPr>
        <w:t xml:space="preserve">sus hermanos, </w:t>
      </w:r>
      <w:r w:rsidR="009B58DB">
        <w:rPr>
          <w:rFonts w:ascii="Calibri" w:hAnsi="Calibri"/>
        </w:rPr>
        <w:t>e</w:t>
      </w:r>
      <w:r w:rsidR="00AA3B04">
        <w:rPr>
          <w:rFonts w:ascii="Calibri" w:hAnsi="Calibri"/>
        </w:rPr>
        <w:t xml:space="preserve">l </w:t>
      </w:r>
      <w:r w:rsidRPr="00CB3BE3">
        <w:rPr>
          <w:rFonts w:ascii="Calibri" w:hAnsi="Calibri"/>
        </w:rPr>
        <w:t xml:space="preserve">Dr. </w:t>
      </w:r>
      <w:proofErr w:type="spellStart"/>
      <w:r w:rsidRPr="00CB3BE3">
        <w:rPr>
          <w:rFonts w:ascii="Calibri" w:hAnsi="Calibri"/>
        </w:rPr>
        <w:t>Prasannatissa</w:t>
      </w:r>
      <w:proofErr w:type="spellEnd"/>
      <w:r w:rsidRPr="00CB3BE3">
        <w:rPr>
          <w:rFonts w:ascii="Calibri" w:hAnsi="Calibri"/>
        </w:rPr>
        <w:t xml:space="preserve"> </w:t>
      </w:r>
      <w:proofErr w:type="spellStart"/>
      <w:r w:rsidRPr="00CB3BE3">
        <w:rPr>
          <w:rFonts w:ascii="Calibri" w:hAnsi="Calibri"/>
        </w:rPr>
        <w:t>Harischandra</w:t>
      </w:r>
      <w:proofErr w:type="spellEnd"/>
      <w:r w:rsidRPr="00CB3BE3">
        <w:rPr>
          <w:rFonts w:ascii="Calibri" w:hAnsi="Calibri"/>
        </w:rPr>
        <w:t xml:space="preserve"> </w:t>
      </w:r>
      <w:proofErr w:type="spellStart"/>
      <w:r w:rsidRPr="00CB3BE3">
        <w:rPr>
          <w:rFonts w:ascii="Calibri" w:hAnsi="Calibri"/>
        </w:rPr>
        <w:t>Amarasinghe</w:t>
      </w:r>
      <w:proofErr w:type="spellEnd"/>
      <w:r w:rsidRPr="00CB3BE3">
        <w:rPr>
          <w:rFonts w:ascii="Calibri" w:hAnsi="Calibri"/>
        </w:rPr>
        <w:t xml:space="preserve">, Ananda </w:t>
      </w:r>
      <w:proofErr w:type="spellStart"/>
      <w:r w:rsidRPr="00CB3BE3">
        <w:rPr>
          <w:rFonts w:ascii="Calibri" w:hAnsi="Calibri"/>
        </w:rPr>
        <w:t>Lakshman</w:t>
      </w:r>
      <w:proofErr w:type="spellEnd"/>
      <w:r w:rsidRPr="00CB3BE3">
        <w:rPr>
          <w:rFonts w:ascii="Calibri" w:hAnsi="Calibri"/>
        </w:rPr>
        <w:t xml:space="preserve"> </w:t>
      </w:r>
      <w:proofErr w:type="spellStart"/>
      <w:r w:rsidRPr="00CB3BE3">
        <w:rPr>
          <w:rFonts w:ascii="Calibri" w:hAnsi="Calibri"/>
        </w:rPr>
        <w:t>Amarasinghe</w:t>
      </w:r>
      <w:proofErr w:type="spellEnd"/>
      <w:r w:rsidRPr="00CB3BE3">
        <w:rPr>
          <w:rFonts w:ascii="Calibri" w:hAnsi="Calibri"/>
        </w:rPr>
        <w:t xml:space="preserve"> y </w:t>
      </w:r>
      <w:r w:rsidR="009B58DB">
        <w:rPr>
          <w:rFonts w:ascii="Calibri" w:hAnsi="Calibri"/>
        </w:rPr>
        <w:t>e</w:t>
      </w:r>
      <w:r w:rsidRPr="00CB3BE3">
        <w:rPr>
          <w:rFonts w:ascii="Calibri" w:hAnsi="Calibri"/>
        </w:rPr>
        <w:t xml:space="preserve">l Dr. </w:t>
      </w:r>
      <w:proofErr w:type="spellStart"/>
      <w:r w:rsidRPr="00CB3BE3">
        <w:rPr>
          <w:rFonts w:ascii="Calibri" w:hAnsi="Calibri"/>
        </w:rPr>
        <w:t>U</w:t>
      </w:r>
      <w:r w:rsidR="00AD6B1D" w:rsidRPr="00AD6B1D">
        <w:rPr>
          <w:rFonts w:ascii="Calibri" w:hAnsi="Calibri"/>
          <w:i/>
        </w:rPr>
        <w:t>Pāḷi</w:t>
      </w:r>
      <w:proofErr w:type="spellEnd"/>
      <w:r w:rsidRPr="00CB3BE3">
        <w:rPr>
          <w:rFonts w:ascii="Calibri" w:hAnsi="Calibri"/>
        </w:rPr>
        <w:t xml:space="preserve"> </w:t>
      </w:r>
      <w:proofErr w:type="spellStart"/>
      <w:r w:rsidRPr="00CB3BE3">
        <w:rPr>
          <w:rFonts w:ascii="Calibri" w:hAnsi="Calibri"/>
        </w:rPr>
        <w:t>Amarasinghe</w:t>
      </w:r>
      <w:proofErr w:type="spellEnd"/>
      <w:r w:rsidRPr="00CB3BE3">
        <w:rPr>
          <w:rFonts w:ascii="Calibri" w:hAnsi="Calibri"/>
        </w:rPr>
        <w:t xml:space="preserve">, que vivieron felices de acuerdo con el </w:t>
      </w:r>
      <w:r w:rsidR="00057BF4" w:rsidRPr="00057BF4">
        <w:rPr>
          <w:rFonts w:ascii="Calibri" w:hAnsi="Calibri"/>
          <w:i/>
        </w:rPr>
        <w:t>Dhamma</w:t>
      </w:r>
      <w:r w:rsidRPr="00CB3BE3">
        <w:rPr>
          <w:rFonts w:ascii="Calibri" w:hAnsi="Calibri"/>
        </w:rPr>
        <w:t xml:space="preserve"> con gran amabilidad </w:t>
      </w:r>
      <w:r w:rsidR="0046698A">
        <w:rPr>
          <w:rFonts w:ascii="Calibri" w:hAnsi="Calibri"/>
        </w:rPr>
        <w:t>hacia</w:t>
      </w:r>
      <w:r w:rsidRPr="00CB3BE3">
        <w:rPr>
          <w:rFonts w:ascii="Calibri" w:hAnsi="Calibri"/>
        </w:rPr>
        <w:t xml:space="preserve"> todos, y con gran compromiso e integridad social.</w:t>
      </w:r>
    </w:p>
    <w:p w14:paraId="616DD999" w14:textId="77777777" w:rsidR="00CA33FE" w:rsidRPr="00CB3BE3" w:rsidRDefault="00CA33FE" w:rsidP="00F0176C">
      <w:pPr>
        <w:spacing w:after="9" w:line="248" w:lineRule="auto"/>
        <w:ind w:left="-5"/>
        <w:rPr>
          <w:rFonts w:ascii="Calibri" w:hAnsi="Calibri"/>
        </w:rPr>
      </w:pPr>
    </w:p>
    <w:p w14:paraId="7D828E18" w14:textId="77777777" w:rsidR="00A86668" w:rsidRDefault="00A86668" w:rsidP="000A29F7"/>
    <w:p w14:paraId="14922C87" w14:textId="77777777" w:rsidR="001E02DA" w:rsidRDefault="001E02DA" w:rsidP="001E02DA">
      <w:pPr>
        <w:spacing w:after="9" w:line="248" w:lineRule="auto"/>
        <w:ind w:left="-5"/>
        <w:rPr>
          <w:rFonts w:ascii="Calibri" w:hAnsi="Calibri"/>
        </w:rPr>
      </w:pPr>
    </w:p>
    <w:p w14:paraId="46C2E99F" w14:textId="07CD3338" w:rsidR="001E02DA" w:rsidRPr="00E6066F" w:rsidRDefault="001E02DA" w:rsidP="001E02DA">
      <w:pPr>
        <w:spacing w:after="9" w:line="248" w:lineRule="auto"/>
        <w:ind w:left="-5"/>
        <w:rPr>
          <w:color w:val="A6A6A6" w:themeColor="background1" w:themeShade="A6"/>
        </w:rPr>
      </w:pPr>
      <w:r w:rsidRPr="00E6066F">
        <w:rPr>
          <w:rFonts w:ascii="Calibri" w:hAnsi="Calibri"/>
          <w:color w:val="A6A6A6" w:themeColor="background1" w:themeShade="A6"/>
        </w:rPr>
        <w:t>Impreso por</w:t>
      </w:r>
    </w:p>
    <w:p w14:paraId="53F696B9" w14:textId="77777777" w:rsidR="00AA3B04" w:rsidRPr="00E6066F" w:rsidRDefault="001E02DA" w:rsidP="001E02DA">
      <w:pPr>
        <w:spacing w:after="9" w:line="248" w:lineRule="auto"/>
        <w:ind w:left="-5" w:right="4560"/>
        <w:rPr>
          <w:rFonts w:ascii="Calibri" w:hAnsi="Calibri"/>
          <w:color w:val="A6A6A6" w:themeColor="background1" w:themeShade="A6"/>
        </w:rPr>
      </w:pPr>
      <w:proofErr w:type="spellStart"/>
      <w:r w:rsidRPr="00E6066F">
        <w:rPr>
          <w:rFonts w:ascii="Calibri" w:hAnsi="Calibri"/>
          <w:color w:val="A6A6A6" w:themeColor="background1" w:themeShade="A6"/>
        </w:rPr>
        <w:t>Samayawardana</w:t>
      </w:r>
      <w:proofErr w:type="spellEnd"/>
      <w:r w:rsidRPr="00E6066F">
        <w:rPr>
          <w:rFonts w:ascii="Calibri" w:hAnsi="Calibri"/>
          <w:color w:val="A6A6A6" w:themeColor="background1" w:themeShade="A6"/>
        </w:rPr>
        <w:t xml:space="preserve"> </w:t>
      </w:r>
      <w:proofErr w:type="spellStart"/>
      <w:r w:rsidRPr="00E6066F">
        <w:rPr>
          <w:rFonts w:ascii="Calibri" w:hAnsi="Calibri"/>
          <w:color w:val="A6A6A6" w:themeColor="background1" w:themeShade="A6"/>
        </w:rPr>
        <w:t>Printers</w:t>
      </w:r>
      <w:proofErr w:type="spellEnd"/>
    </w:p>
    <w:p w14:paraId="3E89438A" w14:textId="36010835" w:rsidR="001E02DA" w:rsidRPr="00E6066F" w:rsidRDefault="001E02DA" w:rsidP="001E02DA">
      <w:pPr>
        <w:spacing w:after="9" w:line="248" w:lineRule="auto"/>
        <w:ind w:left="-5" w:right="4560"/>
        <w:rPr>
          <w:color w:val="A6A6A6" w:themeColor="background1" w:themeShade="A6"/>
        </w:rPr>
      </w:pPr>
      <w:r w:rsidRPr="00E6066F">
        <w:rPr>
          <w:rFonts w:ascii="Calibri" w:hAnsi="Calibri"/>
          <w:color w:val="A6A6A6" w:themeColor="background1" w:themeShade="A6"/>
        </w:rPr>
        <w:t>Colombo 10.</w:t>
      </w:r>
    </w:p>
    <w:p w14:paraId="256BEB0F" w14:textId="788E132D" w:rsidR="001E02DA" w:rsidRPr="00E6066F" w:rsidRDefault="001E02DA" w:rsidP="000A29F7">
      <w:pPr>
        <w:rPr>
          <w:color w:val="A6A6A6" w:themeColor="background1" w:themeShade="A6"/>
        </w:rPr>
        <w:sectPr w:rsidR="001E02DA" w:rsidRPr="00E6066F" w:rsidSect="00305694">
          <w:footerReference w:type="default" r:id="rId17"/>
          <w:pgSz w:w="8641" w:h="12962"/>
          <w:pgMar w:top="1134" w:right="964" w:bottom="964" w:left="964" w:header="709" w:footer="709" w:gutter="0"/>
          <w:cols w:space="708"/>
          <w:docGrid w:linePitch="360"/>
        </w:sectPr>
      </w:pPr>
    </w:p>
    <w:p w14:paraId="72948F80" w14:textId="77777777" w:rsidR="00B67276" w:rsidRPr="008B203B" w:rsidRDefault="00B67276" w:rsidP="008B203B">
      <w:pPr>
        <w:pStyle w:val="Ttulo1"/>
        <w:rPr>
          <w:smallCaps/>
          <w:sz w:val="16"/>
          <w:szCs w:val="18"/>
        </w:rPr>
      </w:pPr>
      <w:r w:rsidRPr="008B203B">
        <w:rPr>
          <w:rStyle w:val="Ttulo1Car"/>
          <w:smallCaps/>
          <w:sz w:val="28"/>
          <w:szCs w:val="20"/>
        </w:rPr>
        <w:lastRenderedPageBreak/>
        <w:t xml:space="preserve">Contenido </w:t>
      </w:r>
      <w:r w:rsidRPr="008B203B">
        <w:rPr>
          <w:rStyle w:val="Ttulo1Car"/>
          <w:smallCaps/>
          <w:sz w:val="28"/>
          <w:szCs w:val="20"/>
        </w:rPr>
        <w:br/>
      </w:r>
      <w:r w:rsidRPr="008B203B">
        <w:rPr>
          <w:smallCaps/>
          <w:sz w:val="16"/>
          <w:szCs w:val="18"/>
        </w:rPr>
        <w:t>(General)</w:t>
      </w:r>
    </w:p>
    <w:p w14:paraId="4852059B" w14:textId="77777777" w:rsidR="00B67276" w:rsidRPr="008D0479" w:rsidRDefault="00B67276" w:rsidP="00B67276">
      <w:pPr>
        <w:tabs>
          <w:tab w:val="left" w:pos="1418"/>
          <w:tab w:val="right" w:leader="dot" w:pos="6662"/>
        </w:tabs>
        <w:spacing w:after="0"/>
        <w:rPr>
          <w:sz w:val="16"/>
          <w:szCs w:val="20"/>
        </w:rPr>
      </w:pPr>
    </w:p>
    <w:p w14:paraId="0DADD890" w14:textId="3AF06A71"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Bibliografía</w:t>
      </w:r>
      <w:r w:rsidRPr="008D0479">
        <w:rPr>
          <w:i/>
          <w:iCs/>
          <w:sz w:val="16"/>
          <w:szCs w:val="20"/>
        </w:rPr>
        <w:tab/>
      </w:r>
      <w:r w:rsidRPr="008D0479">
        <w:rPr>
          <w:i/>
          <w:iCs/>
          <w:sz w:val="16"/>
          <w:szCs w:val="20"/>
        </w:rPr>
        <w:tab/>
      </w:r>
      <w:r w:rsidRPr="008D0479">
        <w:rPr>
          <w:i/>
          <w:iCs/>
          <w:sz w:val="16"/>
          <w:szCs w:val="20"/>
        </w:rPr>
        <w:tab/>
      </w:r>
      <w:proofErr w:type="spellStart"/>
      <w:r w:rsidR="007813E4" w:rsidRPr="00A27908">
        <w:rPr>
          <w:sz w:val="16"/>
          <w:szCs w:val="20"/>
        </w:rPr>
        <w:t>xxi</w:t>
      </w:r>
      <w:proofErr w:type="spellEnd"/>
    </w:p>
    <w:p w14:paraId="6159CA34" w14:textId="124A408B"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Ediciones impresas del Visuddhimagga</w:t>
      </w:r>
      <w:r w:rsidRPr="008D0479">
        <w:rPr>
          <w:i/>
          <w:iCs/>
          <w:sz w:val="16"/>
          <w:szCs w:val="20"/>
        </w:rPr>
        <w:tab/>
      </w:r>
      <w:r w:rsidRPr="008D0479">
        <w:rPr>
          <w:i/>
          <w:iCs/>
          <w:sz w:val="16"/>
          <w:szCs w:val="20"/>
        </w:rPr>
        <w:tab/>
      </w:r>
      <w:proofErr w:type="spellStart"/>
      <w:r w:rsidR="007813E4" w:rsidRPr="00A27908">
        <w:rPr>
          <w:sz w:val="16"/>
          <w:szCs w:val="20"/>
        </w:rPr>
        <w:t>xxi</w:t>
      </w:r>
      <w:proofErr w:type="spellEnd"/>
    </w:p>
    <w:p w14:paraId="4CAF0814" w14:textId="3BAD9F02"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Lista de Abreviaciones Utilizados en los Textos</w:t>
      </w:r>
      <w:r w:rsidRPr="008D0479">
        <w:rPr>
          <w:i/>
          <w:iCs/>
          <w:sz w:val="16"/>
          <w:szCs w:val="20"/>
        </w:rPr>
        <w:tab/>
      </w:r>
      <w:r w:rsidRPr="008D0479">
        <w:rPr>
          <w:i/>
          <w:iCs/>
          <w:sz w:val="16"/>
          <w:szCs w:val="20"/>
        </w:rPr>
        <w:tab/>
      </w:r>
      <w:proofErr w:type="spellStart"/>
      <w:r w:rsidR="007813E4" w:rsidRPr="00A27908">
        <w:rPr>
          <w:sz w:val="16"/>
          <w:szCs w:val="20"/>
        </w:rPr>
        <w:t>xxiii</w:t>
      </w:r>
      <w:proofErr w:type="spellEnd"/>
    </w:p>
    <w:p w14:paraId="71D5C346" w14:textId="640141D9"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Mensaje de Su Santidad el Dalai Lama</w:t>
      </w:r>
      <w:r w:rsidRPr="008D0479">
        <w:rPr>
          <w:i/>
          <w:iCs/>
          <w:sz w:val="16"/>
          <w:szCs w:val="20"/>
        </w:rPr>
        <w:tab/>
      </w:r>
      <w:r w:rsidRPr="008D0479">
        <w:rPr>
          <w:i/>
          <w:iCs/>
          <w:sz w:val="16"/>
          <w:szCs w:val="20"/>
        </w:rPr>
        <w:tab/>
      </w:r>
      <w:proofErr w:type="spellStart"/>
      <w:r w:rsidR="00A27908">
        <w:rPr>
          <w:i/>
          <w:iCs/>
          <w:sz w:val="16"/>
          <w:szCs w:val="20"/>
        </w:rPr>
        <w:t>xxv</w:t>
      </w:r>
      <w:proofErr w:type="spellEnd"/>
    </w:p>
    <w:p w14:paraId="30B156BB" w14:textId="13F228B7"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Prólogo del editor a la tercera edición</w:t>
      </w:r>
      <w:r w:rsidRPr="008D0479">
        <w:rPr>
          <w:i/>
          <w:iCs/>
          <w:sz w:val="16"/>
          <w:szCs w:val="20"/>
        </w:rPr>
        <w:tab/>
      </w:r>
      <w:r w:rsidRPr="008D0479">
        <w:rPr>
          <w:i/>
          <w:iCs/>
          <w:sz w:val="16"/>
          <w:szCs w:val="20"/>
        </w:rPr>
        <w:tab/>
      </w:r>
      <w:proofErr w:type="spellStart"/>
      <w:r w:rsidR="00A27908">
        <w:rPr>
          <w:i/>
          <w:iCs/>
          <w:sz w:val="16"/>
          <w:szCs w:val="20"/>
        </w:rPr>
        <w:t>xxvi</w:t>
      </w:r>
      <w:proofErr w:type="spellEnd"/>
    </w:p>
    <w:p w14:paraId="1E5918FB" w14:textId="5AA4EDD5"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Prólogo del Editor a la Cuarta Edición</w:t>
      </w:r>
      <w:r w:rsidRPr="008D0479">
        <w:rPr>
          <w:i/>
          <w:iCs/>
          <w:sz w:val="16"/>
          <w:szCs w:val="20"/>
        </w:rPr>
        <w:tab/>
      </w:r>
      <w:r w:rsidRPr="008D0479">
        <w:rPr>
          <w:i/>
          <w:iCs/>
          <w:sz w:val="16"/>
          <w:szCs w:val="20"/>
        </w:rPr>
        <w:tab/>
      </w:r>
      <w:proofErr w:type="spellStart"/>
      <w:r w:rsidR="00A27908">
        <w:rPr>
          <w:i/>
          <w:iCs/>
          <w:sz w:val="16"/>
          <w:szCs w:val="20"/>
        </w:rPr>
        <w:t>xxvi</w:t>
      </w:r>
      <w:proofErr w:type="spellEnd"/>
    </w:p>
    <w:p w14:paraId="5B200EE1" w14:textId="590C22C2"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Prólogo del Traductor</w:t>
      </w:r>
      <w:r w:rsidRPr="008D0479">
        <w:rPr>
          <w:i/>
          <w:iCs/>
          <w:sz w:val="16"/>
          <w:szCs w:val="20"/>
        </w:rPr>
        <w:tab/>
      </w:r>
      <w:r w:rsidRPr="008D0479">
        <w:rPr>
          <w:i/>
          <w:iCs/>
          <w:sz w:val="16"/>
          <w:szCs w:val="20"/>
        </w:rPr>
        <w:tab/>
      </w:r>
      <w:r w:rsidRPr="008D0479">
        <w:rPr>
          <w:i/>
          <w:iCs/>
          <w:sz w:val="16"/>
          <w:szCs w:val="20"/>
        </w:rPr>
        <w:tab/>
      </w:r>
      <w:proofErr w:type="spellStart"/>
      <w:r w:rsidR="00A27908">
        <w:rPr>
          <w:i/>
          <w:iCs/>
          <w:sz w:val="16"/>
          <w:szCs w:val="20"/>
        </w:rPr>
        <w:t>xxvii</w:t>
      </w:r>
      <w:proofErr w:type="spellEnd"/>
    </w:p>
    <w:p w14:paraId="77E7A254" w14:textId="48660A03"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Introducción</w:t>
      </w:r>
      <w:r w:rsidRPr="008D0479">
        <w:rPr>
          <w:i/>
          <w:iCs/>
          <w:sz w:val="16"/>
          <w:szCs w:val="20"/>
        </w:rPr>
        <w:tab/>
      </w:r>
      <w:r w:rsidRPr="008D0479">
        <w:rPr>
          <w:i/>
          <w:iCs/>
          <w:sz w:val="16"/>
          <w:szCs w:val="20"/>
        </w:rPr>
        <w:tab/>
      </w:r>
      <w:r w:rsidRPr="008D0479">
        <w:rPr>
          <w:i/>
          <w:iCs/>
          <w:sz w:val="16"/>
          <w:szCs w:val="20"/>
        </w:rPr>
        <w:tab/>
      </w:r>
      <w:proofErr w:type="spellStart"/>
      <w:r w:rsidR="00A27908">
        <w:rPr>
          <w:i/>
          <w:iCs/>
          <w:sz w:val="16"/>
          <w:szCs w:val="20"/>
        </w:rPr>
        <w:t>xxix</w:t>
      </w:r>
      <w:proofErr w:type="spellEnd"/>
    </w:p>
    <w:p w14:paraId="0C4B737E" w14:textId="3C484611" w:rsidR="00B67276" w:rsidRPr="008D0479" w:rsidRDefault="00B67276" w:rsidP="00B67276">
      <w:pPr>
        <w:tabs>
          <w:tab w:val="left" w:pos="1418"/>
          <w:tab w:val="left" w:pos="3402"/>
          <w:tab w:val="right" w:leader="dot" w:pos="6662"/>
        </w:tabs>
        <w:spacing w:after="0"/>
        <w:rPr>
          <w:i/>
          <w:iCs/>
          <w:sz w:val="16"/>
          <w:szCs w:val="20"/>
        </w:rPr>
      </w:pPr>
      <w:r w:rsidRPr="008D0479">
        <w:rPr>
          <w:i/>
          <w:iCs/>
          <w:sz w:val="16"/>
          <w:szCs w:val="20"/>
        </w:rPr>
        <w:t xml:space="preserve">Introducción del Editor al </w:t>
      </w:r>
      <w:proofErr w:type="gramStart"/>
      <w:r w:rsidRPr="008D0479">
        <w:rPr>
          <w:i/>
          <w:iCs/>
          <w:sz w:val="16"/>
          <w:szCs w:val="20"/>
        </w:rPr>
        <w:t>Español</w:t>
      </w:r>
      <w:proofErr w:type="gramEnd"/>
      <w:r w:rsidRPr="008D0479">
        <w:rPr>
          <w:i/>
          <w:iCs/>
          <w:sz w:val="16"/>
          <w:szCs w:val="20"/>
        </w:rPr>
        <w:tab/>
      </w:r>
      <w:r w:rsidRPr="008D0479">
        <w:rPr>
          <w:i/>
          <w:iCs/>
          <w:sz w:val="16"/>
          <w:szCs w:val="20"/>
        </w:rPr>
        <w:tab/>
      </w:r>
      <w:proofErr w:type="spellStart"/>
      <w:r w:rsidR="00A27908">
        <w:rPr>
          <w:i/>
          <w:iCs/>
          <w:sz w:val="16"/>
          <w:szCs w:val="20"/>
        </w:rPr>
        <w:t>lix</w:t>
      </w:r>
      <w:proofErr w:type="spellEnd"/>
    </w:p>
    <w:p w14:paraId="459A6FBB" w14:textId="77777777" w:rsidR="00B67276" w:rsidRPr="008D0479" w:rsidRDefault="00B67276" w:rsidP="00B67276">
      <w:pPr>
        <w:tabs>
          <w:tab w:val="left" w:pos="1418"/>
          <w:tab w:val="right" w:leader="dot" w:pos="6662"/>
        </w:tabs>
        <w:spacing w:after="0"/>
        <w:rPr>
          <w:sz w:val="16"/>
          <w:szCs w:val="20"/>
        </w:rPr>
      </w:pPr>
    </w:p>
    <w:p w14:paraId="50BD334C" w14:textId="77777777" w:rsidR="00B67276" w:rsidRPr="008D0479" w:rsidRDefault="00B67276" w:rsidP="00B67276">
      <w:pPr>
        <w:tabs>
          <w:tab w:val="left" w:pos="1418"/>
          <w:tab w:val="right" w:leader="dot" w:pos="6662"/>
        </w:tabs>
        <w:spacing w:after="0"/>
        <w:rPr>
          <w:sz w:val="16"/>
          <w:szCs w:val="20"/>
        </w:rPr>
      </w:pPr>
    </w:p>
    <w:p w14:paraId="0565C6B3" w14:textId="77777777" w:rsidR="00B67276" w:rsidRPr="008D0479" w:rsidRDefault="00B67276" w:rsidP="00B67276">
      <w:pPr>
        <w:tabs>
          <w:tab w:val="left" w:pos="1418"/>
          <w:tab w:val="right" w:leader="dot" w:pos="6662"/>
        </w:tabs>
        <w:spacing w:after="0"/>
        <w:jc w:val="center"/>
        <w:rPr>
          <w:i/>
          <w:iCs/>
          <w:sz w:val="22"/>
          <w:szCs w:val="28"/>
        </w:rPr>
      </w:pPr>
      <w:r w:rsidRPr="008D0479">
        <w:rPr>
          <w:i/>
          <w:iCs/>
          <w:sz w:val="22"/>
          <w:szCs w:val="28"/>
        </w:rPr>
        <w:t xml:space="preserve">Parte I </w:t>
      </w:r>
      <w:r w:rsidRPr="008D0479">
        <w:rPr>
          <w:rFonts w:cs="Cormorant"/>
          <w:i/>
          <w:iCs/>
          <w:sz w:val="22"/>
          <w:szCs w:val="28"/>
        </w:rPr>
        <w:t>—</w:t>
      </w:r>
      <w:r w:rsidRPr="008D0479">
        <w:rPr>
          <w:i/>
          <w:iCs/>
          <w:sz w:val="22"/>
          <w:szCs w:val="28"/>
        </w:rPr>
        <w:t xml:space="preserve"> Virtud (Sīla)</w:t>
      </w:r>
    </w:p>
    <w:p w14:paraId="2C847D92" w14:textId="77777777" w:rsidR="00B67276" w:rsidRPr="008D0479" w:rsidRDefault="00B67276" w:rsidP="00B67276">
      <w:pPr>
        <w:tabs>
          <w:tab w:val="left" w:pos="1418"/>
          <w:tab w:val="right" w:leader="dot" w:pos="6662"/>
        </w:tabs>
        <w:spacing w:after="0"/>
        <w:rPr>
          <w:sz w:val="16"/>
          <w:szCs w:val="20"/>
        </w:rPr>
      </w:pPr>
    </w:p>
    <w:p w14:paraId="71D21AE2"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I </w:t>
      </w:r>
      <w:r w:rsidRPr="008D0479">
        <w:rPr>
          <w:sz w:val="16"/>
          <w:szCs w:val="20"/>
        </w:rPr>
        <w:tab/>
      </w:r>
      <w:r w:rsidRPr="008D0479">
        <w:rPr>
          <w:smallCaps/>
          <w:sz w:val="16"/>
          <w:szCs w:val="20"/>
        </w:rPr>
        <w:t>Descripción de la Virtud</w:t>
      </w:r>
      <w:r w:rsidRPr="008D0479">
        <w:rPr>
          <w:sz w:val="16"/>
          <w:szCs w:val="20"/>
        </w:rPr>
        <w:tab/>
        <w:t>63</w:t>
      </w:r>
    </w:p>
    <w:p w14:paraId="245E4FEE"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[I. Introductorio]</w:t>
      </w:r>
      <w:r w:rsidRPr="008D0479">
        <w:rPr>
          <w:sz w:val="16"/>
          <w:szCs w:val="20"/>
        </w:rPr>
        <w:tab/>
        <w:t>63</w:t>
      </w:r>
    </w:p>
    <w:p w14:paraId="512D32CE"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[II. Virtud]</w:t>
      </w:r>
      <w:r w:rsidRPr="008D0479">
        <w:rPr>
          <w:sz w:val="16"/>
          <w:szCs w:val="20"/>
        </w:rPr>
        <w:tab/>
        <w:t>68</w:t>
      </w:r>
    </w:p>
    <w:p w14:paraId="4E02DE67"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II </w:t>
      </w:r>
      <w:r w:rsidRPr="008D0479">
        <w:rPr>
          <w:sz w:val="16"/>
          <w:szCs w:val="20"/>
        </w:rPr>
        <w:tab/>
      </w:r>
      <w:r w:rsidRPr="008D0479">
        <w:rPr>
          <w:smallCaps/>
          <w:sz w:val="16"/>
          <w:szCs w:val="20"/>
        </w:rPr>
        <w:t>Las Practicas Ascetas</w:t>
      </w:r>
      <w:r w:rsidRPr="008D0479">
        <w:rPr>
          <w:sz w:val="16"/>
          <w:szCs w:val="20"/>
        </w:rPr>
        <w:tab/>
        <w:t>113</w:t>
      </w:r>
    </w:p>
    <w:p w14:paraId="5F1AFFE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13 Tipos De Prácticas Ascetas]</w:t>
      </w:r>
      <w:r w:rsidRPr="008D0479">
        <w:rPr>
          <w:sz w:val="16"/>
          <w:szCs w:val="20"/>
        </w:rPr>
        <w:tab/>
        <w:t>113</w:t>
      </w:r>
    </w:p>
    <w:p w14:paraId="29D7ABF1" w14:textId="77777777" w:rsidR="00B67276" w:rsidRPr="008D0479" w:rsidRDefault="00B67276" w:rsidP="00B67276">
      <w:pPr>
        <w:tabs>
          <w:tab w:val="left" w:pos="992"/>
          <w:tab w:val="left" w:pos="1418"/>
          <w:tab w:val="right" w:leader="dot" w:pos="6662"/>
        </w:tabs>
        <w:spacing w:after="0"/>
        <w:rPr>
          <w:sz w:val="16"/>
          <w:szCs w:val="20"/>
        </w:rPr>
      </w:pPr>
    </w:p>
    <w:p w14:paraId="51EBF56C" w14:textId="77777777" w:rsidR="00B67276" w:rsidRPr="008D0479" w:rsidRDefault="00B67276" w:rsidP="00B67276">
      <w:pPr>
        <w:tabs>
          <w:tab w:val="left" w:pos="1418"/>
          <w:tab w:val="right" w:leader="dot" w:pos="6662"/>
        </w:tabs>
        <w:spacing w:after="0"/>
        <w:jc w:val="center"/>
        <w:rPr>
          <w:i/>
          <w:iCs/>
          <w:sz w:val="22"/>
          <w:szCs w:val="28"/>
        </w:rPr>
      </w:pPr>
      <w:r w:rsidRPr="008D0479">
        <w:rPr>
          <w:i/>
          <w:iCs/>
          <w:sz w:val="22"/>
          <w:szCs w:val="28"/>
        </w:rPr>
        <w:t xml:space="preserve">Parte II </w:t>
      </w:r>
      <w:r w:rsidRPr="008D0479">
        <w:rPr>
          <w:rFonts w:cs="Cormorant"/>
          <w:i/>
          <w:iCs/>
          <w:sz w:val="22"/>
          <w:szCs w:val="28"/>
        </w:rPr>
        <w:t xml:space="preserve">— </w:t>
      </w:r>
      <w:r w:rsidRPr="008D0479">
        <w:rPr>
          <w:i/>
          <w:iCs/>
          <w:sz w:val="22"/>
          <w:szCs w:val="28"/>
        </w:rPr>
        <w:t>Concentración (Samādhi)</w:t>
      </w:r>
    </w:p>
    <w:p w14:paraId="643304E7" w14:textId="77777777" w:rsidR="00B67276" w:rsidRPr="008D0479" w:rsidRDefault="00B67276" w:rsidP="00B67276">
      <w:pPr>
        <w:tabs>
          <w:tab w:val="left" w:pos="992"/>
          <w:tab w:val="left" w:pos="1418"/>
          <w:tab w:val="right" w:leader="dot" w:pos="6662"/>
        </w:tabs>
        <w:spacing w:after="0"/>
        <w:rPr>
          <w:sz w:val="16"/>
          <w:szCs w:val="20"/>
        </w:rPr>
      </w:pPr>
    </w:p>
    <w:p w14:paraId="144FF580"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III </w:t>
      </w:r>
      <w:r w:rsidRPr="008D0479">
        <w:rPr>
          <w:sz w:val="16"/>
          <w:szCs w:val="20"/>
        </w:rPr>
        <w:tab/>
      </w:r>
      <w:r w:rsidRPr="008D0479">
        <w:rPr>
          <w:smallCaps/>
          <w:sz w:val="16"/>
          <w:szCs w:val="20"/>
        </w:rPr>
        <w:t>Adopción de un Objeto De Meditación</w:t>
      </w:r>
      <w:r w:rsidRPr="008D0479">
        <w:rPr>
          <w:sz w:val="16"/>
          <w:szCs w:val="20"/>
        </w:rPr>
        <w:tab/>
        <w:t>139</w:t>
      </w:r>
    </w:p>
    <w:p w14:paraId="5A89F25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[A. Su Desarrollo, Resumen]</w:t>
      </w:r>
      <w:r w:rsidRPr="008D0479">
        <w:rPr>
          <w:sz w:val="16"/>
          <w:szCs w:val="20"/>
        </w:rPr>
        <w:tab/>
        <w:t>144</w:t>
      </w:r>
    </w:p>
    <w:p w14:paraId="7922A7F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[B. Desarrollo en detalle]</w:t>
      </w:r>
      <w:r w:rsidRPr="008D0479">
        <w:rPr>
          <w:sz w:val="16"/>
          <w:szCs w:val="20"/>
        </w:rPr>
        <w:tab/>
        <w:t>145</w:t>
      </w:r>
    </w:p>
    <w:p w14:paraId="419320C0"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[los 10 impedimentos]</w:t>
      </w:r>
      <w:r w:rsidRPr="008D0479">
        <w:rPr>
          <w:sz w:val="16"/>
          <w:szCs w:val="20"/>
        </w:rPr>
        <w:tab/>
        <w:t>145</w:t>
      </w:r>
    </w:p>
    <w:p w14:paraId="445C3433"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IV </w:t>
      </w:r>
      <w:r w:rsidRPr="008D0479">
        <w:rPr>
          <w:sz w:val="16"/>
          <w:szCs w:val="20"/>
        </w:rPr>
        <w:tab/>
      </w:r>
      <w:r w:rsidRPr="008D0479">
        <w:rPr>
          <w:smallCaps/>
          <w:sz w:val="16"/>
          <w:szCs w:val="20"/>
        </w:rPr>
        <w:t xml:space="preserve">El </w:t>
      </w:r>
      <w:proofErr w:type="spellStart"/>
      <w:r w:rsidRPr="008D0479">
        <w:rPr>
          <w:i/>
          <w:iCs/>
          <w:smallCaps/>
          <w:sz w:val="16"/>
          <w:szCs w:val="20"/>
        </w:rPr>
        <w:t>Kasiṇa</w:t>
      </w:r>
      <w:proofErr w:type="spellEnd"/>
      <w:r w:rsidRPr="008D0479">
        <w:rPr>
          <w:smallCaps/>
          <w:sz w:val="16"/>
          <w:szCs w:val="20"/>
        </w:rPr>
        <w:t xml:space="preserve"> Tierra</w:t>
      </w:r>
      <w:r w:rsidRPr="008D0479">
        <w:rPr>
          <w:sz w:val="16"/>
          <w:szCs w:val="20"/>
        </w:rPr>
        <w:tab/>
        <w:t>171</w:t>
      </w:r>
    </w:p>
    <w:p w14:paraId="204B693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18 Defectos De Un Monasterio]</w:t>
      </w:r>
      <w:r w:rsidRPr="008D0479">
        <w:rPr>
          <w:sz w:val="16"/>
          <w:szCs w:val="20"/>
        </w:rPr>
        <w:tab/>
        <w:t>171</w:t>
      </w:r>
    </w:p>
    <w:p w14:paraId="080F160E"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5 Factores de un Lugar de Descanso]</w:t>
      </w:r>
      <w:r w:rsidRPr="008D0479">
        <w:rPr>
          <w:sz w:val="16"/>
          <w:szCs w:val="20"/>
        </w:rPr>
        <w:tab/>
        <w:t>174</w:t>
      </w:r>
    </w:p>
    <w:p w14:paraId="45CDD2B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Impedimentos Menores]</w:t>
      </w:r>
      <w:r w:rsidRPr="008D0479">
        <w:rPr>
          <w:sz w:val="16"/>
          <w:szCs w:val="20"/>
        </w:rPr>
        <w:tab/>
        <w:t>174</w:t>
      </w:r>
    </w:p>
    <w:p w14:paraId="041A19E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[Instrucciones Detalladas Para Su Desarrollo]</w:t>
      </w:r>
      <w:r w:rsidRPr="008D0479">
        <w:rPr>
          <w:sz w:val="16"/>
          <w:szCs w:val="20"/>
        </w:rPr>
        <w:tab/>
        <w:t>175</w:t>
      </w:r>
    </w:p>
    <w:p w14:paraId="785FFE0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Tierra]</w:t>
      </w:r>
      <w:r w:rsidRPr="008D0479">
        <w:rPr>
          <w:sz w:val="16"/>
          <w:szCs w:val="20"/>
        </w:rPr>
        <w:tab/>
        <w:t>175</w:t>
      </w:r>
    </w:p>
    <w:p w14:paraId="15A0D68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[Construyendo Un </w:t>
      </w:r>
      <w:proofErr w:type="spellStart"/>
      <w:r w:rsidRPr="008D0479">
        <w:rPr>
          <w:i/>
          <w:iCs/>
          <w:sz w:val="16"/>
          <w:szCs w:val="20"/>
        </w:rPr>
        <w:t>Kasiṇa</w:t>
      </w:r>
      <w:proofErr w:type="spellEnd"/>
      <w:r w:rsidRPr="008D0479">
        <w:rPr>
          <w:sz w:val="16"/>
          <w:szCs w:val="20"/>
        </w:rPr>
        <w:t xml:space="preserve"> Tierra]</w:t>
      </w:r>
      <w:r w:rsidRPr="008D0479">
        <w:rPr>
          <w:sz w:val="16"/>
          <w:szCs w:val="20"/>
        </w:rPr>
        <w:tab/>
        <w:t>176</w:t>
      </w:r>
    </w:p>
    <w:p w14:paraId="5652518E"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[Contemplación Inicial]</w:t>
      </w:r>
      <w:r w:rsidRPr="008D0479">
        <w:rPr>
          <w:sz w:val="16"/>
          <w:szCs w:val="20"/>
        </w:rPr>
        <w:tab/>
        <w:t>177</w:t>
      </w:r>
    </w:p>
    <w:p w14:paraId="2F0F98FE"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[El Signo Contraparte]</w:t>
      </w:r>
      <w:r w:rsidRPr="008D0479">
        <w:rPr>
          <w:sz w:val="16"/>
          <w:szCs w:val="20"/>
        </w:rPr>
        <w:tab/>
        <w:t>178</w:t>
      </w:r>
    </w:p>
    <w:p w14:paraId="046D0B0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Dos Tipos De Concentración]</w:t>
      </w:r>
      <w:r w:rsidRPr="008D0479">
        <w:rPr>
          <w:sz w:val="16"/>
          <w:szCs w:val="20"/>
        </w:rPr>
        <w:tab/>
        <w:t>179</w:t>
      </w:r>
    </w:p>
    <w:p w14:paraId="664D2C0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[Preservando El Signo]</w:t>
      </w:r>
      <w:r w:rsidRPr="008D0479">
        <w:rPr>
          <w:sz w:val="16"/>
          <w:szCs w:val="20"/>
        </w:rPr>
        <w:tab/>
        <w:t>180</w:t>
      </w:r>
    </w:p>
    <w:p w14:paraId="399F585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Diez Tipos De Habilidades En La Absorción]</w:t>
      </w:r>
      <w:r w:rsidRPr="008D0479">
        <w:rPr>
          <w:sz w:val="16"/>
          <w:szCs w:val="20"/>
        </w:rPr>
        <w:tab/>
        <w:t>182</w:t>
      </w:r>
    </w:p>
    <w:p w14:paraId="310C0FB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Cinco Símiles]</w:t>
      </w:r>
      <w:r w:rsidRPr="008D0479">
        <w:rPr>
          <w:sz w:val="16"/>
          <w:szCs w:val="20"/>
        </w:rPr>
        <w:tab/>
        <w:t>188</w:t>
      </w:r>
    </w:p>
    <w:p w14:paraId="36C3B5B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Absorción En La Serie Cognitiva]</w:t>
      </w:r>
      <w:r w:rsidRPr="008D0479">
        <w:rPr>
          <w:sz w:val="16"/>
          <w:szCs w:val="20"/>
        </w:rPr>
        <w:tab/>
        <w:t>189</w:t>
      </w:r>
    </w:p>
    <w:p w14:paraId="0D1F56AC"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Primer </w:t>
      </w:r>
      <w:proofErr w:type="spellStart"/>
      <w:r w:rsidRPr="008D0479">
        <w:rPr>
          <w:i/>
          <w:iCs/>
          <w:sz w:val="16"/>
          <w:szCs w:val="20"/>
        </w:rPr>
        <w:t>Jhāna</w:t>
      </w:r>
      <w:proofErr w:type="spellEnd"/>
      <w:r w:rsidRPr="008D0479">
        <w:rPr>
          <w:sz w:val="16"/>
          <w:szCs w:val="20"/>
        </w:rPr>
        <w:t>]</w:t>
      </w:r>
      <w:r w:rsidRPr="008D0479">
        <w:rPr>
          <w:sz w:val="16"/>
          <w:szCs w:val="20"/>
        </w:rPr>
        <w:tab/>
        <w:t>191</w:t>
      </w:r>
    </w:p>
    <w:p w14:paraId="064CBD8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[Extensión Del Signo]</w:t>
      </w:r>
      <w:r w:rsidRPr="008D0479">
        <w:rPr>
          <w:sz w:val="16"/>
          <w:szCs w:val="20"/>
        </w:rPr>
        <w:tab/>
        <w:t>203</w:t>
      </w:r>
    </w:p>
    <w:p w14:paraId="490EE078"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Segundo </w:t>
      </w:r>
      <w:proofErr w:type="spellStart"/>
      <w:r w:rsidRPr="008D0479">
        <w:rPr>
          <w:i/>
          <w:iCs/>
          <w:sz w:val="16"/>
          <w:szCs w:val="20"/>
        </w:rPr>
        <w:t>Jhāna</w:t>
      </w:r>
      <w:proofErr w:type="spellEnd"/>
      <w:r w:rsidRPr="008D0479">
        <w:rPr>
          <w:sz w:val="16"/>
          <w:szCs w:val="20"/>
        </w:rPr>
        <w:t>]</w:t>
      </w:r>
      <w:r w:rsidRPr="008D0479">
        <w:rPr>
          <w:sz w:val="16"/>
          <w:szCs w:val="20"/>
        </w:rPr>
        <w:tab/>
        <w:t>206</w:t>
      </w:r>
    </w:p>
    <w:p w14:paraId="5AC636EE"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Tercer </w:t>
      </w:r>
      <w:proofErr w:type="spellStart"/>
      <w:r w:rsidRPr="008D0479">
        <w:rPr>
          <w:i/>
          <w:iCs/>
          <w:sz w:val="16"/>
          <w:szCs w:val="20"/>
        </w:rPr>
        <w:t>Jhāna</w:t>
      </w:r>
      <w:proofErr w:type="spellEnd"/>
      <w:r w:rsidRPr="008D0479">
        <w:rPr>
          <w:sz w:val="16"/>
          <w:szCs w:val="20"/>
        </w:rPr>
        <w:t>]</w:t>
      </w:r>
      <w:r w:rsidRPr="008D0479">
        <w:rPr>
          <w:sz w:val="16"/>
          <w:szCs w:val="20"/>
        </w:rPr>
        <w:tab/>
        <w:t>209</w:t>
      </w:r>
    </w:p>
    <w:p w14:paraId="0136326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Cuarto </w:t>
      </w:r>
      <w:proofErr w:type="spellStart"/>
      <w:r w:rsidRPr="008D0479">
        <w:rPr>
          <w:i/>
          <w:iCs/>
          <w:sz w:val="16"/>
          <w:szCs w:val="20"/>
        </w:rPr>
        <w:t>Jhāna</w:t>
      </w:r>
      <w:proofErr w:type="spellEnd"/>
      <w:r w:rsidRPr="008D0479">
        <w:rPr>
          <w:sz w:val="16"/>
          <w:szCs w:val="20"/>
        </w:rPr>
        <w:t>]</w:t>
      </w:r>
      <w:r w:rsidRPr="008D0479">
        <w:rPr>
          <w:sz w:val="16"/>
          <w:szCs w:val="20"/>
        </w:rPr>
        <w:tab/>
        <w:t>214</w:t>
      </w:r>
    </w:p>
    <w:p w14:paraId="1738B9D8"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 xml:space="preserve">[El Cómputo Quíntuple de los </w:t>
      </w:r>
      <w:proofErr w:type="spellStart"/>
      <w:r w:rsidRPr="008D0479">
        <w:rPr>
          <w:i/>
          <w:iCs/>
          <w:sz w:val="16"/>
          <w:szCs w:val="20"/>
        </w:rPr>
        <w:t>Jhānas</w:t>
      </w:r>
      <w:proofErr w:type="spellEnd"/>
      <w:r w:rsidRPr="008D0479">
        <w:rPr>
          <w:sz w:val="16"/>
          <w:szCs w:val="20"/>
        </w:rPr>
        <w:t>]</w:t>
      </w:r>
      <w:r w:rsidRPr="008D0479">
        <w:rPr>
          <w:sz w:val="16"/>
          <w:szCs w:val="20"/>
        </w:rPr>
        <w:tab/>
        <w:t>218</w:t>
      </w:r>
    </w:p>
    <w:p w14:paraId="763E42D2"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V </w:t>
      </w:r>
      <w:r w:rsidRPr="008D0479">
        <w:rPr>
          <w:sz w:val="16"/>
          <w:szCs w:val="20"/>
        </w:rPr>
        <w:tab/>
      </w:r>
      <w:r w:rsidRPr="008D0479">
        <w:rPr>
          <w:smallCaps/>
          <w:sz w:val="16"/>
          <w:szCs w:val="20"/>
        </w:rPr>
        <w:t xml:space="preserve">Los </w:t>
      </w:r>
      <w:proofErr w:type="spellStart"/>
      <w:r w:rsidRPr="008D0479">
        <w:rPr>
          <w:i/>
          <w:iCs/>
          <w:smallCaps/>
          <w:sz w:val="16"/>
          <w:szCs w:val="20"/>
        </w:rPr>
        <w:t>Kasiṇas</w:t>
      </w:r>
      <w:proofErr w:type="spellEnd"/>
      <w:r w:rsidRPr="008D0479">
        <w:rPr>
          <w:smallCaps/>
          <w:sz w:val="16"/>
          <w:szCs w:val="20"/>
        </w:rPr>
        <w:t xml:space="preserve"> Restantes</w:t>
      </w:r>
      <w:r w:rsidRPr="008D0479">
        <w:rPr>
          <w:sz w:val="16"/>
          <w:szCs w:val="20"/>
        </w:rPr>
        <w:tab/>
        <w:t>220</w:t>
      </w:r>
    </w:p>
    <w:p w14:paraId="4D967633"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Agua]</w:t>
      </w:r>
      <w:r w:rsidRPr="008D0479">
        <w:rPr>
          <w:sz w:val="16"/>
          <w:szCs w:val="20"/>
        </w:rPr>
        <w:tab/>
        <w:t>220</w:t>
      </w:r>
    </w:p>
    <w:p w14:paraId="2041672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lastRenderedPageBreak/>
        <w:t xml:space="preserve">[El </w:t>
      </w:r>
      <w:proofErr w:type="spellStart"/>
      <w:r w:rsidRPr="008D0479">
        <w:rPr>
          <w:i/>
          <w:iCs/>
          <w:sz w:val="16"/>
          <w:szCs w:val="20"/>
        </w:rPr>
        <w:t>Kasiṇa</w:t>
      </w:r>
      <w:proofErr w:type="spellEnd"/>
      <w:r w:rsidRPr="008D0479">
        <w:rPr>
          <w:sz w:val="16"/>
          <w:szCs w:val="20"/>
        </w:rPr>
        <w:t xml:space="preserve"> Fuego]</w:t>
      </w:r>
      <w:r w:rsidRPr="008D0479">
        <w:rPr>
          <w:sz w:val="16"/>
          <w:szCs w:val="20"/>
        </w:rPr>
        <w:tab/>
        <w:t>221</w:t>
      </w:r>
    </w:p>
    <w:p w14:paraId="081F4133"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Aire]</w:t>
      </w:r>
      <w:r w:rsidRPr="008D0479">
        <w:rPr>
          <w:sz w:val="16"/>
          <w:szCs w:val="20"/>
        </w:rPr>
        <w:tab/>
        <w:t>221</w:t>
      </w:r>
    </w:p>
    <w:p w14:paraId="321508EF"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[La </w:t>
      </w:r>
      <w:proofErr w:type="spellStart"/>
      <w:r w:rsidRPr="008D0479">
        <w:rPr>
          <w:i/>
          <w:iCs/>
          <w:sz w:val="16"/>
          <w:szCs w:val="20"/>
        </w:rPr>
        <w:t>Kasiṇa</w:t>
      </w:r>
      <w:proofErr w:type="spellEnd"/>
      <w:r w:rsidRPr="008D0479">
        <w:rPr>
          <w:sz w:val="16"/>
          <w:szCs w:val="20"/>
        </w:rPr>
        <w:t xml:space="preserve"> Azul]</w:t>
      </w:r>
      <w:r w:rsidRPr="008D0479">
        <w:rPr>
          <w:sz w:val="16"/>
          <w:szCs w:val="20"/>
        </w:rPr>
        <w:tab/>
        <w:t>222</w:t>
      </w:r>
    </w:p>
    <w:p w14:paraId="6C0496A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Amarillo]</w:t>
      </w:r>
      <w:r w:rsidRPr="008D0479">
        <w:rPr>
          <w:sz w:val="16"/>
          <w:szCs w:val="20"/>
        </w:rPr>
        <w:tab/>
        <w:t>222</w:t>
      </w:r>
    </w:p>
    <w:p w14:paraId="0713AE9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Rojo]</w:t>
      </w:r>
      <w:r w:rsidRPr="008D0479">
        <w:rPr>
          <w:sz w:val="16"/>
          <w:szCs w:val="20"/>
        </w:rPr>
        <w:tab/>
        <w:t>223</w:t>
      </w:r>
    </w:p>
    <w:p w14:paraId="191D22A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Blanco]</w:t>
      </w:r>
      <w:r w:rsidRPr="008D0479">
        <w:rPr>
          <w:sz w:val="16"/>
          <w:szCs w:val="20"/>
        </w:rPr>
        <w:tab/>
        <w:t>223</w:t>
      </w:r>
    </w:p>
    <w:p w14:paraId="0DC6638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Luz]</w:t>
      </w:r>
      <w:r w:rsidRPr="008D0479">
        <w:rPr>
          <w:sz w:val="16"/>
          <w:szCs w:val="20"/>
        </w:rPr>
        <w:tab/>
        <w:t>223</w:t>
      </w:r>
    </w:p>
    <w:p w14:paraId="0EE571F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del Espacio Limitado]</w:t>
      </w:r>
      <w:r w:rsidRPr="008D0479">
        <w:rPr>
          <w:sz w:val="16"/>
          <w:szCs w:val="20"/>
        </w:rPr>
        <w:tab/>
        <w:t>224</w:t>
      </w:r>
    </w:p>
    <w:p w14:paraId="1350BEA2"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[En General]</w:t>
      </w:r>
      <w:r w:rsidRPr="008D0479">
        <w:rPr>
          <w:sz w:val="16"/>
          <w:szCs w:val="20"/>
        </w:rPr>
        <w:tab/>
        <w:t>224</w:t>
      </w:r>
    </w:p>
    <w:p w14:paraId="1BAE1A68"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VI </w:t>
      </w:r>
      <w:r w:rsidRPr="008D0479">
        <w:rPr>
          <w:sz w:val="16"/>
          <w:szCs w:val="20"/>
        </w:rPr>
        <w:tab/>
      </w:r>
      <w:r w:rsidRPr="008D0479">
        <w:rPr>
          <w:smallCaps/>
          <w:sz w:val="16"/>
          <w:szCs w:val="20"/>
        </w:rPr>
        <w:t>La Repugnancia Como Objeto De Meditación</w:t>
      </w:r>
      <w:r w:rsidRPr="008D0479">
        <w:rPr>
          <w:sz w:val="16"/>
          <w:szCs w:val="20"/>
        </w:rPr>
        <w:tab/>
        <w:t>227</w:t>
      </w:r>
    </w:p>
    <w:p w14:paraId="0137BB3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[Definiciones Generales]</w:t>
      </w:r>
      <w:r w:rsidRPr="008D0479">
        <w:rPr>
          <w:sz w:val="16"/>
          <w:szCs w:val="20"/>
        </w:rPr>
        <w:tab/>
        <w:t>227</w:t>
      </w:r>
    </w:p>
    <w:p w14:paraId="5214C4C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Hinchado]</w:t>
      </w:r>
      <w:r w:rsidRPr="008D0479">
        <w:rPr>
          <w:sz w:val="16"/>
          <w:szCs w:val="20"/>
        </w:rPr>
        <w:tab/>
        <w:t>228</w:t>
      </w:r>
    </w:p>
    <w:p w14:paraId="01CDE3CF"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Lívido]</w:t>
      </w:r>
      <w:r w:rsidRPr="008D0479">
        <w:rPr>
          <w:sz w:val="16"/>
          <w:szCs w:val="20"/>
        </w:rPr>
        <w:tab/>
        <w:t>237</w:t>
      </w:r>
    </w:p>
    <w:p w14:paraId="52A92F2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Supurado]</w:t>
      </w:r>
      <w:r w:rsidRPr="008D0479">
        <w:rPr>
          <w:sz w:val="16"/>
          <w:szCs w:val="20"/>
        </w:rPr>
        <w:tab/>
        <w:t>237</w:t>
      </w:r>
    </w:p>
    <w:p w14:paraId="3F82B26D"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Cortado]</w:t>
      </w:r>
      <w:r w:rsidRPr="008D0479">
        <w:rPr>
          <w:sz w:val="16"/>
          <w:szCs w:val="20"/>
        </w:rPr>
        <w:tab/>
        <w:t>237</w:t>
      </w:r>
    </w:p>
    <w:p w14:paraId="1403E67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Roído]</w:t>
      </w:r>
      <w:r w:rsidRPr="008D0479">
        <w:rPr>
          <w:sz w:val="16"/>
          <w:szCs w:val="20"/>
        </w:rPr>
        <w:tab/>
        <w:t>238</w:t>
      </w:r>
    </w:p>
    <w:p w14:paraId="74AD98D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Disperso]</w:t>
      </w:r>
      <w:r w:rsidRPr="008D0479">
        <w:rPr>
          <w:sz w:val="16"/>
          <w:szCs w:val="20"/>
        </w:rPr>
        <w:tab/>
        <w:t>238</w:t>
      </w:r>
    </w:p>
    <w:p w14:paraId="42CDEEC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Infectado y Disperso]</w:t>
      </w:r>
      <w:r w:rsidRPr="008D0479">
        <w:rPr>
          <w:sz w:val="16"/>
          <w:szCs w:val="20"/>
        </w:rPr>
        <w:tab/>
        <w:t>238</w:t>
      </w:r>
    </w:p>
    <w:p w14:paraId="714E7E2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Sangrado]</w:t>
      </w:r>
      <w:r w:rsidRPr="008D0479">
        <w:rPr>
          <w:sz w:val="16"/>
          <w:szCs w:val="20"/>
        </w:rPr>
        <w:tab/>
        <w:t>238</w:t>
      </w:r>
    </w:p>
    <w:p w14:paraId="6B4A253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 Infestado de Gusanos]</w:t>
      </w:r>
      <w:r w:rsidRPr="008D0479">
        <w:rPr>
          <w:sz w:val="16"/>
          <w:szCs w:val="20"/>
        </w:rPr>
        <w:tab/>
        <w:t>238</w:t>
      </w:r>
    </w:p>
    <w:p w14:paraId="1682657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[Un Esqueleto]</w:t>
      </w:r>
      <w:r w:rsidRPr="008D0479">
        <w:rPr>
          <w:sz w:val="16"/>
          <w:szCs w:val="20"/>
        </w:rPr>
        <w:tab/>
        <w:t>238</w:t>
      </w:r>
    </w:p>
    <w:p w14:paraId="237AEF14"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[En General]</w:t>
      </w:r>
      <w:r w:rsidRPr="008D0479">
        <w:rPr>
          <w:sz w:val="16"/>
          <w:szCs w:val="20"/>
        </w:rPr>
        <w:tab/>
        <w:t>240</w:t>
      </w:r>
    </w:p>
    <w:p w14:paraId="3E32A73C"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VII </w:t>
      </w:r>
      <w:r w:rsidRPr="008D0479">
        <w:rPr>
          <w:sz w:val="16"/>
          <w:szCs w:val="20"/>
        </w:rPr>
        <w:tab/>
      </w:r>
      <w:r w:rsidRPr="008D0479">
        <w:rPr>
          <w:smallCaps/>
          <w:sz w:val="16"/>
          <w:szCs w:val="20"/>
        </w:rPr>
        <w:t>Seis Evocaciones</w:t>
      </w:r>
      <w:r w:rsidRPr="008D0479">
        <w:rPr>
          <w:sz w:val="16"/>
          <w:szCs w:val="20"/>
        </w:rPr>
        <w:tab/>
        <w:t>244</w:t>
      </w:r>
    </w:p>
    <w:p w14:paraId="384681E3"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[(1) La Evocación Del Iluminado]</w:t>
      </w:r>
      <w:r w:rsidRPr="008D0479">
        <w:rPr>
          <w:sz w:val="16"/>
          <w:szCs w:val="20"/>
        </w:rPr>
        <w:tab/>
        <w:t>246</w:t>
      </w:r>
    </w:p>
    <w:p w14:paraId="03F1BA2F"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[Consumado]</w:t>
      </w:r>
      <w:r w:rsidRPr="008D0479">
        <w:rPr>
          <w:sz w:val="16"/>
          <w:szCs w:val="20"/>
        </w:rPr>
        <w:tab/>
        <w:t>246</w:t>
      </w:r>
    </w:p>
    <w:p w14:paraId="6B8052F2"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[Totalmente Iluminado]</w:t>
      </w:r>
      <w:r w:rsidRPr="008D0479">
        <w:rPr>
          <w:sz w:val="16"/>
          <w:szCs w:val="20"/>
        </w:rPr>
        <w:tab/>
        <w:t>250</w:t>
      </w:r>
    </w:p>
    <w:p w14:paraId="34FAFEC2"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[Dotado De Visión Clara y Conducta Virtuosa]</w:t>
      </w:r>
      <w:r w:rsidRPr="008D0479">
        <w:rPr>
          <w:sz w:val="16"/>
          <w:szCs w:val="20"/>
        </w:rPr>
        <w:tab/>
        <w:t>251</w:t>
      </w:r>
    </w:p>
    <w:p w14:paraId="1C0C213C"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[Sublime]</w:t>
      </w:r>
      <w:r w:rsidRPr="008D0479">
        <w:rPr>
          <w:sz w:val="16"/>
          <w:szCs w:val="20"/>
        </w:rPr>
        <w:tab/>
        <w:t>254</w:t>
      </w:r>
    </w:p>
    <w:p w14:paraId="1863BC96"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[Conocedor De Mundos]</w:t>
      </w:r>
      <w:r w:rsidRPr="008D0479">
        <w:rPr>
          <w:sz w:val="16"/>
          <w:szCs w:val="20"/>
        </w:rPr>
        <w:tab/>
        <w:t>256</w:t>
      </w:r>
    </w:p>
    <w:p w14:paraId="45468C66"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[Líder Incomparable De Hombres A Ser Adiestrados]</w:t>
      </w:r>
      <w:r w:rsidRPr="008D0479">
        <w:rPr>
          <w:sz w:val="16"/>
          <w:szCs w:val="20"/>
        </w:rPr>
        <w:tab/>
        <w:t>260</w:t>
      </w:r>
    </w:p>
    <w:p w14:paraId="3E8510F4"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[Maestro De Dioses Y Hombres]</w:t>
      </w:r>
      <w:r w:rsidRPr="008D0479">
        <w:rPr>
          <w:sz w:val="16"/>
          <w:szCs w:val="20"/>
        </w:rPr>
        <w:tab/>
        <w:t>261</w:t>
      </w:r>
    </w:p>
    <w:p w14:paraId="11E829B3"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[Iluminado]</w:t>
      </w:r>
      <w:r w:rsidRPr="008D0479">
        <w:rPr>
          <w:sz w:val="16"/>
          <w:szCs w:val="20"/>
        </w:rPr>
        <w:tab/>
        <w:t>262</w:t>
      </w:r>
    </w:p>
    <w:p w14:paraId="12946F54"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[Bienaventurado]</w:t>
      </w:r>
      <w:r w:rsidRPr="008D0479">
        <w:rPr>
          <w:sz w:val="16"/>
          <w:szCs w:val="20"/>
        </w:rPr>
        <w:tab/>
        <w:t>262</w:t>
      </w:r>
    </w:p>
    <w:p w14:paraId="637F9EF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[(2) La Evocación Del Dhamma]</w:t>
      </w:r>
      <w:r w:rsidRPr="008D0479">
        <w:rPr>
          <w:sz w:val="16"/>
          <w:szCs w:val="20"/>
        </w:rPr>
        <w:tab/>
        <w:t>267</w:t>
      </w:r>
    </w:p>
    <w:p w14:paraId="32014A95"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[Bien Proclamado]</w:t>
      </w:r>
      <w:r w:rsidRPr="008D0479">
        <w:rPr>
          <w:sz w:val="16"/>
          <w:szCs w:val="20"/>
        </w:rPr>
        <w:tab/>
        <w:t>268</w:t>
      </w:r>
    </w:p>
    <w:p w14:paraId="76971775"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[Visible Aquí y Ahora]</w:t>
      </w:r>
      <w:r w:rsidRPr="008D0479">
        <w:rPr>
          <w:sz w:val="16"/>
          <w:szCs w:val="20"/>
        </w:rPr>
        <w:tab/>
        <w:t>270</w:t>
      </w:r>
    </w:p>
    <w:p w14:paraId="1D6BE1D6"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[No Demora]</w:t>
      </w:r>
      <w:r w:rsidRPr="008D0479">
        <w:rPr>
          <w:sz w:val="16"/>
          <w:szCs w:val="20"/>
        </w:rPr>
        <w:tab/>
        <w:t>271</w:t>
      </w:r>
    </w:p>
    <w:p w14:paraId="4EC38BCF"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[Invita a la Inspección]</w:t>
      </w:r>
      <w:r w:rsidRPr="008D0479">
        <w:rPr>
          <w:sz w:val="16"/>
          <w:szCs w:val="20"/>
        </w:rPr>
        <w:tab/>
        <w:t>271</w:t>
      </w:r>
    </w:p>
    <w:p w14:paraId="3ED75F76"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[Conducente Hacia la Meta]</w:t>
      </w:r>
      <w:r w:rsidRPr="008D0479">
        <w:rPr>
          <w:sz w:val="16"/>
          <w:szCs w:val="20"/>
        </w:rPr>
        <w:tab/>
        <w:t>272</w:t>
      </w:r>
    </w:p>
    <w:p w14:paraId="677614D8"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[Es Directamente Experimentable Por El Sabio]</w:t>
      </w:r>
      <w:r w:rsidRPr="008D0479">
        <w:rPr>
          <w:sz w:val="16"/>
          <w:szCs w:val="20"/>
        </w:rPr>
        <w:tab/>
        <w:t>272</w:t>
      </w:r>
    </w:p>
    <w:p w14:paraId="380AA0A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[(3) Evocación Del Saṅgha]</w:t>
      </w:r>
      <w:r w:rsidRPr="008D0479">
        <w:rPr>
          <w:sz w:val="16"/>
          <w:szCs w:val="20"/>
        </w:rPr>
        <w:tab/>
        <w:t>273</w:t>
      </w:r>
    </w:p>
    <w:p w14:paraId="0AC1D5A7"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[Ha entrado en el buen, recto, verdadero y apropiado sendero]</w:t>
      </w:r>
      <w:r w:rsidRPr="008D0479">
        <w:rPr>
          <w:sz w:val="16"/>
          <w:szCs w:val="20"/>
        </w:rPr>
        <w:tab/>
        <w:t>273</w:t>
      </w:r>
    </w:p>
    <w:p w14:paraId="492E16DF"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[Apto de Ofrecimientos]</w:t>
      </w:r>
      <w:r w:rsidRPr="008D0479">
        <w:rPr>
          <w:sz w:val="16"/>
          <w:szCs w:val="20"/>
        </w:rPr>
        <w:tab/>
        <w:t>274</w:t>
      </w:r>
    </w:p>
    <w:p w14:paraId="0830537D"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[Apto de Hospitalidad]</w:t>
      </w:r>
      <w:r w:rsidRPr="008D0479">
        <w:rPr>
          <w:sz w:val="16"/>
          <w:szCs w:val="20"/>
        </w:rPr>
        <w:tab/>
        <w:t>275</w:t>
      </w:r>
    </w:p>
    <w:p w14:paraId="40FF9A28"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[Apto de Ofrendas]</w:t>
      </w:r>
      <w:r w:rsidRPr="008D0479">
        <w:rPr>
          <w:sz w:val="16"/>
          <w:szCs w:val="20"/>
        </w:rPr>
        <w:tab/>
        <w:t>275</w:t>
      </w:r>
    </w:p>
    <w:p w14:paraId="28C9CFC4"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[Apto Para Recibir Saludos Reverenciales]</w:t>
      </w:r>
      <w:r w:rsidRPr="008D0479">
        <w:rPr>
          <w:sz w:val="16"/>
          <w:szCs w:val="20"/>
        </w:rPr>
        <w:tab/>
        <w:t>275</w:t>
      </w:r>
    </w:p>
    <w:p w14:paraId="613466DF"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[Es como un campo incomparable de méritos para el mundo]</w:t>
      </w:r>
      <w:r w:rsidRPr="008D0479">
        <w:rPr>
          <w:sz w:val="16"/>
          <w:szCs w:val="20"/>
        </w:rPr>
        <w:tab/>
        <w:t>275</w:t>
      </w:r>
    </w:p>
    <w:p w14:paraId="325B5C98"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[(4) Evocación De La Virtud]</w:t>
      </w:r>
      <w:r w:rsidRPr="008D0479">
        <w:rPr>
          <w:sz w:val="16"/>
          <w:szCs w:val="20"/>
        </w:rPr>
        <w:tab/>
        <w:t>276</w:t>
      </w:r>
    </w:p>
    <w:p w14:paraId="75FBF60D"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[(5) Evocación De la Generosidad]</w:t>
      </w:r>
      <w:r w:rsidRPr="008D0479">
        <w:rPr>
          <w:sz w:val="16"/>
          <w:szCs w:val="20"/>
        </w:rPr>
        <w:tab/>
        <w:t>278</w:t>
      </w:r>
    </w:p>
    <w:p w14:paraId="5E1B51D3"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[(6) La Evocación De Las Deidades]</w:t>
      </w:r>
      <w:r w:rsidRPr="008D0479">
        <w:rPr>
          <w:sz w:val="16"/>
          <w:szCs w:val="20"/>
        </w:rPr>
        <w:tab/>
        <w:t>279</w:t>
      </w:r>
    </w:p>
    <w:p w14:paraId="591EE44B"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[En General]</w:t>
      </w:r>
      <w:r w:rsidRPr="008D0479">
        <w:rPr>
          <w:sz w:val="16"/>
          <w:szCs w:val="20"/>
        </w:rPr>
        <w:tab/>
        <w:t>280</w:t>
      </w:r>
    </w:p>
    <w:p w14:paraId="1128E685"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VIII </w:t>
      </w:r>
      <w:r w:rsidRPr="008D0479">
        <w:rPr>
          <w:sz w:val="16"/>
          <w:szCs w:val="20"/>
        </w:rPr>
        <w:tab/>
      </w:r>
      <w:r w:rsidRPr="008D0479">
        <w:rPr>
          <w:smallCaps/>
          <w:sz w:val="16"/>
          <w:szCs w:val="20"/>
        </w:rPr>
        <w:t>Otras Evocaciones Como Objetos De Meditación</w:t>
      </w:r>
      <w:r w:rsidRPr="008D0479">
        <w:rPr>
          <w:sz w:val="16"/>
          <w:szCs w:val="20"/>
        </w:rPr>
        <w:tab/>
        <w:t>283</w:t>
      </w:r>
    </w:p>
    <w:p w14:paraId="6920248D"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lastRenderedPageBreak/>
        <w:t>[(7) Consciencia de La Muerte]</w:t>
      </w:r>
      <w:r w:rsidRPr="008D0479">
        <w:rPr>
          <w:sz w:val="16"/>
          <w:szCs w:val="20"/>
        </w:rPr>
        <w:tab/>
        <w:t>283</w:t>
      </w:r>
    </w:p>
    <w:p w14:paraId="112723D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[(8) Atención Orientada Hacia El Cuerpo]</w:t>
      </w:r>
      <w:r w:rsidRPr="008D0479">
        <w:rPr>
          <w:sz w:val="16"/>
          <w:szCs w:val="20"/>
        </w:rPr>
        <w:tab/>
        <w:t>294</w:t>
      </w:r>
    </w:p>
    <w:p w14:paraId="2595E6A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[(9) Atención en La Respiración]</w:t>
      </w:r>
      <w:r w:rsidRPr="008D0479">
        <w:rPr>
          <w:sz w:val="16"/>
          <w:szCs w:val="20"/>
        </w:rPr>
        <w:tab/>
        <w:t>317</w:t>
      </w:r>
    </w:p>
    <w:p w14:paraId="02BEC427"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[(10) Evocación de la Paz]</w:t>
      </w:r>
      <w:r w:rsidRPr="008D0479">
        <w:rPr>
          <w:sz w:val="16"/>
          <w:szCs w:val="20"/>
        </w:rPr>
        <w:tab/>
        <w:t>344</w:t>
      </w:r>
    </w:p>
    <w:p w14:paraId="6B77CF14"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IX </w:t>
      </w:r>
      <w:r w:rsidRPr="008D0479">
        <w:rPr>
          <w:sz w:val="16"/>
          <w:szCs w:val="20"/>
        </w:rPr>
        <w:tab/>
      </w:r>
      <w:r w:rsidRPr="008D0479">
        <w:rPr>
          <w:smallCaps/>
          <w:sz w:val="16"/>
          <w:szCs w:val="20"/>
        </w:rPr>
        <w:t>Los Estados Divinos</w:t>
      </w:r>
      <w:r w:rsidRPr="008D0479">
        <w:rPr>
          <w:sz w:val="16"/>
          <w:szCs w:val="20"/>
        </w:rPr>
        <w:tab/>
        <w:t>349</w:t>
      </w:r>
    </w:p>
    <w:p w14:paraId="6E5013F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[(1) El Amor Bondadoso]</w:t>
      </w:r>
      <w:r w:rsidRPr="008D0479">
        <w:rPr>
          <w:sz w:val="16"/>
          <w:szCs w:val="20"/>
        </w:rPr>
        <w:tab/>
        <w:t>349</w:t>
      </w:r>
    </w:p>
    <w:p w14:paraId="111B22F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[(2) La </w:t>
      </w:r>
      <w:r w:rsidRPr="008D0479">
        <w:rPr>
          <w:color w:val="833C0B" w:themeColor="accent2" w:themeShade="80"/>
          <w:sz w:val="16"/>
          <w:szCs w:val="20"/>
        </w:rPr>
        <w:t>Compasión</w:t>
      </w:r>
      <w:r w:rsidRPr="008D0479">
        <w:rPr>
          <w:sz w:val="16"/>
          <w:szCs w:val="20"/>
        </w:rPr>
        <w:t>]</w:t>
      </w:r>
      <w:r w:rsidRPr="008D0479">
        <w:rPr>
          <w:sz w:val="16"/>
          <w:szCs w:val="20"/>
        </w:rPr>
        <w:tab/>
        <w:t>366</w:t>
      </w:r>
    </w:p>
    <w:p w14:paraId="5919C3D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[(3) La Alegría Altruista]</w:t>
      </w:r>
      <w:r w:rsidRPr="008D0479">
        <w:rPr>
          <w:sz w:val="16"/>
          <w:szCs w:val="20"/>
        </w:rPr>
        <w:tab/>
        <w:t>367</w:t>
      </w:r>
    </w:p>
    <w:p w14:paraId="4C7ABB9D"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[(4) La Ecuanimidad]</w:t>
      </w:r>
      <w:r w:rsidRPr="008D0479">
        <w:rPr>
          <w:sz w:val="16"/>
          <w:szCs w:val="20"/>
        </w:rPr>
        <w:tab/>
        <w:t>368</w:t>
      </w:r>
    </w:p>
    <w:p w14:paraId="1B7C4BD5"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 </w:t>
      </w:r>
      <w:r w:rsidRPr="008D0479">
        <w:rPr>
          <w:sz w:val="16"/>
          <w:szCs w:val="20"/>
        </w:rPr>
        <w:tab/>
      </w:r>
      <w:r w:rsidRPr="008D0479">
        <w:rPr>
          <w:smallCaps/>
          <w:sz w:val="16"/>
          <w:szCs w:val="20"/>
        </w:rPr>
        <w:t>Los Estados Inmateriales</w:t>
      </w:r>
      <w:r w:rsidRPr="008D0479">
        <w:rPr>
          <w:sz w:val="16"/>
          <w:szCs w:val="20"/>
        </w:rPr>
        <w:tab/>
        <w:t>379</w:t>
      </w:r>
    </w:p>
    <w:p w14:paraId="0A75DD0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[(1) La Base Consistente del Espacio Ilimitado]</w:t>
      </w:r>
      <w:r w:rsidRPr="008D0479">
        <w:rPr>
          <w:sz w:val="16"/>
          <w:szCs w:val="20"/>
        </w:rPr>
        <w:tab/>
        <w:t>379</w:t>
      </w:r>
    </w:p>
    <w:p w14:paraId="66AD4DA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[(2) La Base Consistente de una Consciencia Ilimitada]</w:t>
      </w:r>
      <w:r w:rsidRPr="008D0479">
        <w:rPr>
          <w:sz w:val="16"/>
          <w:szCs w:val="20"/>
        </w:rPr>
        <w:tab/>
        <w:t>384</w:t>
      </w:r>
    </w:p>
    <w:p w14:paraId="2188E00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[(3) La Base Consistente del Vacío]</w:t>
      </w:r>
      <w:r w:rsidRPr="008D0479">
        <w:rPr>
          <w:sz w:val="16"/>
          <w:szCs w:val="20"/>
        </w:rPr>
        <w:tab/>
        <w:t>386</w:t>
      </w:r>
    </w:p>
    <w:p w14:paraId="1B0736A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[(4) La Base Consistente de la No-Percepción-ni-No-Percepción]</w:t>
      </w:r>
      <w:r w:rsidRPr="008D0479">
        <w:rPr>
          <w:sz w:val="16"/>
          <w:szCs w:val="20"/>
        </w:rPr>
        <w:tab/>
        <w:t>388</w:t>
      </w:r>
    </w:p>
    <w:p w14:paraId="7EC84A6E"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[General]</w:t>
      </w:r>
      <w:r w:rsidRPr="008D0479">
        <w:rPr>
          <w:sz w:val="16"/>
          <w:szCs w:val="20"/>
        </w:rPr>
        <w:tab/>
        <w:t>391</w:t>
      </w:r>
    </w:p>
    <w:p w14:paraId="64DC4CC7"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XI </w:t>
      </w:r>
      <w:r w:rsidRPr="008D0479">
        <w:rPr>
          <w:sz w:val="16"/>
          <w:szCs w:val="20"/>
        </w:rPr>
        <w:tab/>
      </w:r>
      <w:r w:rsidRPr="008D0479">
        <w:rPr>
          <w:smallCaps/>
          <w:sz w:val="16"/>
          <w:szCs w:val="20"/>
        </w:rPr>
        <w:t>Concentración—Conclusión:  Nutrimentos y los elementos</w:t>
      </w:r>
      <w:r w:rsidRPr="008D0479">
        <w:rPr>
          <w:sz w:val="16"/>
          <w:szCs w:val="20"/>
        </w:rPr>
        <w:tab/>
        <w:t>395</w:t>
      </w:r>
    </w:p>
    <w:p w14:paraId="727A6101"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[Percepción de Repulsividad Hacia los Nutrientes]</w:t>
      </w:r>
      <w:r w:rsidRPr="008D0479">
        <w:rPr>
          <w:sz w:val="16"/>
          <w:szCs w:val="20"/>
        </w:rPr>
        <w:tab/>
        <w:t>395</w:t>
      </w:r>
    </w:p>
    <w:p w14:paraId="5BE8671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[Definición de los Elementos: Definiciones de Palabras]</w:t>
      </w:r>
      <w:r w:rsidRPr="008D0479">
        <w:rPr>
          <w:sz w:val="16"/>
          <w:szCs w:val="20"/>
        </w:rPr>
        <w:tab/>
        <w:t>402</w:t>
      </w:r>
    </w:p>
    <w:p w14:paraId="7DC79D6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[Textos y Comentarios en Breve]</w:t>
      </w:r>
      <w:r w:rsidRPr="008D0479">
        <w:rPr>
          <w:sz w:val="16"/>
          <w:szCs w:val="20"/>
        </w:rPr>
        <w:tab/>
        <w:t>403</w:t>
      </w:r>
    </w:p>
    <w:p w14:paraId="6DEEF75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[En Detalle]</w:t>
      </w:r>
      <w:r w:rsidRPr="008D0479">
        <w:rPr>
          <w:sz w:val="16"/>
          <w:szCs w:val="20"/>
        </w:rPr>
        <w:tab/>
        <w:t>404</w:t>
      </w:r>
    </w:p>
    <w:p w14:paraId="039302E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[Método de Desarrollo Resumidamente]</w:t>
      </w:r>
      <w:r w:rsidRPr="008D0479">
        <w:rPr>
          <w:sz w:val="16"/>
          <w:szCs w:val="20"/>
        </w:rPr>
        <w:tab/>
        <w:t>406</w:t>
      </w:r>
    </w:p>
    <w:p w14:paraId="39E2D9A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[Método de Desarrollo Detalladamente]</w:t>
      </w:r>
      <w:r w:rsidRPr="008D0479">
        <w:rPr>
          <w:sz w:val="16"/>
          <w:szCs w:val="20"/>
        </w:rPr>
        <w:tab/>
        <w:t>407</w:t>
      </w:r>
    </w:p>
    <w:p w14:paraId="4EC4493C"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[(1) Mediante Los Constituyentes Resumidamente]</w:t>
      </w:r>
      <w:r w:rsidRPr="008D0479">
        <w:rPr>
          <w:sz w:val="16"/>
          <w:szCs w:val="20"/>
        </w:rPr>
        <w:tab/>
        <w:t>407</w:t>
      </w:r>
    </w:p>
    <w:p w14:paraId="5B3A68C6"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[(2) Mediante los Constituyentes a Través del Análisis]</w:t>
      </w:r>
      <w:r w:rsidRPr="008D0479">
        <w:rPr>
          <w:sz w:val="16"/>
          <w:szCs w:val="20"/>
        </w:rPr>
        <w:tab/>
        <w:t>407</w:t>
      </w:r>
    </w:p>
    <w:p w14:paraId="6AD255EF"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[(3) Con sus Características Resumidamente]</w:t>
      </w:r>
      <w:r w:rsidRPr="008D0479">
        <w:rPr>
          <w:sz w:val="16"/>
          <w:szCs w:val="20"/>
        </w:rPr>
        <w:tab/>
        <w:t>415</w:t>
      </w:r>
    </w:p>
    <w:p w14:paraId="2237A225"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[(4) Con las Características Mediante El Análisis]</w:t>
      </w:r>
      <w:r w:rsidRPr="008D0479">
        <w:rPr>
          <w:sz w:val="16"/>
          <w:szCs w:val="20"/>
        </w:rPr>
        <w:tab/>
        <w:t>416</w:t>
      </w:r>
    </w:p>
    <w:p w14:paraId="4B5423B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[Fórmulas Adicionales para Prestar Atención]</w:t>
      </w:r>
      <w:r w:rsidRPr="008D0479">
        <w:rPr>
          <w:sz w:val="16"/>
          <w:szCs w:val="20"/>
        </w:rPr>
        <w:tab/>
        <w:t>416</w:t>
      </w:r>
    </w:p>
    <w:p w14:paraId="75EAAE6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[Desarrollo de La Concentración—Conclusión]</w:t>
      </w:r>
      <w:r w:rsidRPr="008D0479">
        <w:rPr>
          <w:sz w:val="16"/>
          <w:szCs w:val="20"/>
        </w:rPr>
        <w:tab/>
        <w:t>425</w:t>
      </w:r>
    </w:p>
    <w:p w14:paraId="47322CA4"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[Los Beneficios de Desarrollar la Concentración]</w:t>
      </w:r>
      <w:r w:rsidRPr="008D0479">
        <w:rPr>
          <w:sz w:val="16"/>
          <w:szCs w:val="20"/>
        </w:rPr>
        <w:tab/>
        <w:t>425</w:t>
      </w:r>
    </w:p>
    <w:p w14:paraId="6AE76D76"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XII </w:t>
      </w:r>
      <w:r w:rsidRPr="008D0479">
        <w:rPr>
          <w:sz w:val="16"/>
          <w:szCs w:val="20"/>
        </w:rPr>
        <w:tab/>
      </w:r>
      <w:r w:rsidRPr="008D0479">
        <w:rPr>
          <w:smallCaps/>
          <w:sz w:val="16"/>
          <w:szCs w:val="20"/>
        </w:rPr>
        <w:t>Los Poderes Supernormales</w:t>
      </w:r>
      <w:r w:rsidRPr="008D0479">
        <w:rPr>
          <w:sz w:val="16"/>
          <w:szCs w:val="20"/>
        </w:rPr>
        <w:tab/>
        <w:t>427</w:t>
      </w:r>
    </w:p>
    <w:p w14:paraId="4B5F388F"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Beneficios de la Concentración (Continuación)]</w:t>
      </w:r>
      <w:r w:rsidRPr="008D0479">
        <w:rPr>
          <w:sz w:val="16"/>
          <w:szCs w:val="20"/>
        </w:rPr>
        <w:tab/>
        <w:t>427</w:t>
      </w:r>
    </w:p>
    <w:p w14:paraId="1F09A6FC"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[(1) Tipos de Poderes Supernormales]</w:t>
      </w:r>
      <w:r w:rsidRPr="008D0479">
        <w:rPr>
          <w:sz w:val="16"/>
          <w:szCs w:val="20"/>
        </w:rPr>
        <w:tab/>
        <w:t>427</w:t>
      </w:r>
    </w:p>
    <w:p w14:paraId="5057CDA4"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XIII </w:t>
      </w:r>
      <w:r w:rsidRPr="008D0479">
        <w:rPr>
          <w:sz w:val="16"/>
          <w:szCs w:val="20"/>
        </w:rPr>
        <w:tab/>
      </w:r>
      <w:r w:rsidRPr="008D0479">
        <w:rPr>
          <w:smallCaps/>
          <w:sz w:val="16"/>
          <w:szCs w:val="20"/>
        </w:rPr>
        <w:t>Otros Conocimientos–Directos</w:t>
      </w:r>
      <w:r w:rsidRPr="008D0479">
        <w:rPr>
          <w:sz w:val="16"/>
          <w:szCs w:val="20"/>
        </w:rPr>
        <w:tab/>
        <w:t>458</w:t>
      </w:r>
    </w:p>
    <w:p w14:paraId="5378D9F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[(2) El Elemento del Oído Divino]</w:t>
      </w:r>
      <w:r w:rsidRPr="008D0479">
        <w:rPr>
          <w:sz w:val="16"/>
          <w:szCs w:val="20"/>
        </w:rPr>
        <w:tab/>
        <w:t>458</w:t>
      </w:r>
    </w:p>
    <w:p w14:paraId="5E4F3E0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[(3) Penetración de Otras Mentes]</w:t>
      </w:r>
      <w:r w:rsidRPr="008D0479">
        <w:rPr>
          <w:sz w:val="16"/>
          <w:szCs w:val="20"/>
        </w:rPr>
        <w:tab/>
        <w:t>460</w:t>
      </w:r>
    </w:p>
    <w:p w14:paraId="210ACC0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[(4) Recuerdo De Vidas Pasadas]</w:t>
      </w:r>
      <w:r w:rsidRPr="008D0479">
        <w:rPr>
          <w:sz w:val="16"/>
          <w:szCs w:val="20"/>
        </w:rPr>
        <w:tab/>
        <w:t>462</w:t>
      </w:r>
    </w:p>
    <w:p w14:paraId="36425208" w14:textId="77777777" w:rsidR="00B67276" w:rsidRPr="008D0479" w:rsidRDefault="00B67276" w:rsidP="00B67276">
      <w:pPr>
        <w:tabs>
          <w:tab w:val="left" w:pos="1418"/>
          <w:tab w:val="right" w:leader="dot" w:pos="6662"/>
        </w:tabs>
        <w:spacing w:after="0"/>
        <w:ind w:left="1276" w:hanging="284"/>
        <w:rPr>
          <w:sz w:val="16"/>
          <w:szCs w:val="20"/>
        </w:rPr>
      </w:pPr>
      <w:r w:rsidRPr="008D0479">
        <w:rPr>
          <w:sz w:val="16"/>
          <w:szCs w:val="20"/>
        </w:rPr>
        <w:t xml:space="preserve">[(5) El Ojo Divino: el Conocimiento Del Fallecimiento y </w:t>
      </w:r>
      <w:r w:rsidRPr="008D0479">
        <w:rPr>
          <w:sz w:val="16"/>
          <w:szCs w:val="20"/>
        </w:rPr>
        <w:br/>
        <w:t>Reaparición de los Seres]</w:t>
      </w:r>
      <w:r w:rsidRPr="008D0479">
        <w:rPr>
          <w:sz w:val="16"/>
          <w:szCs w:val="20"/>
        </w:rPr>
        <w:tab/>
        <w:t>473</w:t>
      </w:r>
    </w:p>
    <w:p w14:paraId="2951D1CD"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[General]</w:t>
      </w:r>
      <w:r w:rsidRPr="008D0479">
        <w:rPr>
          <w:sz w:val="16"/>
          <w:szCs w:val="20"/>
        </w:rPr>
        <w:tab/>
        <w:t>479</w:t>
      </w:r>
    </w:p>
    <w:p w14:paraId="42EA7798" w14:textId="77777777" w:rsidR="00B67276" w:rsidRPr="008D0479" w:rsidRDefault="00B67276" w:rsidP="00B67276">
      <w:pPr>
        <w:tabs>
          <w:tab w:val="left" w:pos="992"/>
          <w:tab w:val="left" w:pos="1418"/>
          <w:tab w:val="right" w:leader="dot" w:pos="6662"/>
        </w:tabs>
        <w:spacing w:after="0"/>
        <w:rPr>
          <w:sz w:val="16"/>
          <w:szCs w:val="20"/>
        </w:rPr>
      </w:pPr>
    </w:p>
    <w:p w14:paraId="37FADF0E" w14:textId="77777777" w:rsidR="00B67276" w:rsidRPr="008D0479" w:rsidRDefault="00B67276" w:rsidP="00B67276">
      <w:pPr>
        <w:tabs>
          <w:tab w:val="left" w:pos="1418"/>
          <w:tab w:val="right" w:leader="dot" w:pos="6662"/>
        </w:tabs>
        <w:spacing w:after="0"/>
        <w:jc w:val="center"/>
        <w:rPr>
          <w:i/>
          <w:iCs/>
          <w:sz w:val="22"/>
          <w:szCs w:val="28"/>
        </w:rPr>
      </w:pPr>
      <w:r w:rsidRPr="008D0479">
        <w:rPr>
          <w:i/>
          <w:iCs/>
          <w:sz w:val="22"/>
          <w:szCs w:val="28"/>
        </w:rPr>
        <w:t xml:space="preserve">Parte III </w:t>
      </w:r>
      <w:r w:rsidRPr="008D0479">
        <w:rPr>
          <w:rFonts w:cs="Cormorant"/>
          <w:i/>
          <w:iCs/>
          <w:sz w:val="22"/>
          <w:szCs w:val="28"/>
        </w:rPr>
        <w:t xml:space="preserve">— </w:t>
      </w:r>
      <w:r w:rsidRPr="008D0479">
        <w:rPr>
          <w:i/>
          <w:iCs/>
          <w:sz w:val="22"/>
          <w:szCs w:val="28"/>
        </w:rPr>
        <w:t>La Sabiduría (Paññā)</w:t>
      </w:r>
    </w:p>
    <w:p w14:paraId="2E4BF7F3" w14:textId="77777777" w:rsidR="00B67276" w:rsidRPr="008D0479" w:rsidRDefault="00B67276" w:rsidP="00B67276">
      <w:pPr>
        <w:tabs>
          <w:tab w:val="left" w:pos="992"/>
          <w:tab w:val="left" w:pos="1418"/>
          <w:tab w:val="right" w:leader="dot" w:pos="6662"/>
        </w:tabs>
        <w:spacing w:after="0"/>
        <w:rPr>
          <w:sz w:val="16"/>
          <w:szCs w:val="20"/>
        </w:rPr>
      </w:pPr>
    </w:p>
    <w:p w14:paraId="3373F347"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XIV </w:t>
      </w:r>
      <w:r w:rsidRPr="008D0479">
        <w:rPr>
          <w:sz w:val="16"/>
          <w:szCs w:val="20"/>
        </w:rPr>
        <w:tab/>
      </w:r>
      <w:r w:rsidRPr="008D0479">
        <w:rPr>
          <w:smallCaps/>
          <w:sz w:val="16"/>
          <w:szCs w:val="20"/>
        </w:rPr>
        <w:t>Los Agregados</w:t>
      </w:r>
      <w:r w:rsidRPr="008D0479">
        <w:rPr>
          <w:sz w:val="16"/>
          <w:szCs w:val="20"/>
        </w:rPr>
        <w:tab/>
        <w:t>489</w:t>
      </w:r>
    </w:p>
    <w:p w14:paraId="0248C80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[A. Entendimiento]</w:t>
      </w:r>
      <w:r w:rsidRPr="008D0479">
        <w:rPr>
          <w:sz w:val="16"/>
          <w:szCs w:val="20"/>
        </w:rPr>
        <w:tab/>
        <w:t>489</w:t>
      </w:r>
    </w:p>
    <w:p w14:paraId="3D2DA6B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[B. Descripción de los 5 Agregados]</w:t>
      </w:r>
      <w:r w:rsidRPr="008D0479">
        <w:rPr>
          <w:sz w:val="16"/>
          <w:szCs w:val="20"/>
        </w:rPr>
        <w:tab/>
        <w:t>497</w:t>
      </w:r>
    </w:p>
    <w:p w14:paraId="1B61272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 Clasificación de los Agregados]</w:t>
      </w:r>
      <w:r w:rsidRPr="008D0479">
        <w:rPr>
          <w:sz w:val="16"/>
          <w:szCs w:val="20"/>
        </w:rPr>
        <w:tab/>
        <w:t>539</w:t>
      </w:r>
    </w:p>
    <w:p w14:paraId="7927D2E3"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[D. Clasificación del Conocimiento de los Agregados]</w:t>
      </w:r>
      <w:r w:rsidRPr="008D0479">
        <w:rPr>
          <w:sz w:val="16"/>
          <w:szCs w:val="20"/>
        </w:rPr>
        <w:tab/>
        <w:t>544</w:t>
      </w:r>
    </w:p>
    <w:p w14:paraId="07D258DC"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XV </w:t>
      </w:r>
      <w:r w:rsidRPr="008D0479">
        <w:rPr>
          <w:sz w:val="16"/>
          <w:szCs w:val="20"/>
        </w:rPr>
        <w:tab/>
      </w:r>
      <w:r w:rsidRPr="008D0479">
        <w:rPr>
          <w:smallCaps/>
          <w:sz w:val="16"/>
          <w:szCs w:val="20"/>
        </w:rPr>
        <w:t>Las Bases y los Elementos</w:t>
      </w:r>
      <w:r w:rsidRPr="008D0479">
        <w:rPr>
          <w:sz w:val="16"/>
          <w:szCs w:val="20"/>
        </w:rPr>
        <w:tab/>
        <w:t>550</w:t>
      </w:r>
    </w:p>
    <w:p w14:paraId="2BA7B648"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[A. Descripción de las Bases]</w:t>
      </w:r>
      <w:r w:rsidRPr="008D0479">
        <w:rPr>
          <w:sz w:val="16"/>
          <w:szCs w:val="20"/>
        </w:rPr>
        <w:tab/>
        <w:t>550</w:t>
      </w:r>
    </w:p>
    <w:p w14:paraId="5C08B123"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[B. Descripción de los Elementos]</w:t>
      </w:r>
      <w:r w:rsidRPr="008D0479">
        <w:rPr>
          <w:sz w:val="16"/>
          <w:szCs w:val="20"/>
        </w:rPr>
        <w:tab/>
        <w:t>554</w:t>
      </w:r>
    </w:p>
    <w:p w14:paraId="54806268"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XVI </w:t>
      </w:r>
      <w:r w:rsidRPr="008D0479">
        <w:rPr>
          <w:sz w:val="16"/>
          <w:szCs w:val="20"/>
        </w:rPr>
        <w:tab/>
      </w:r>
      <w:r w:rsidRPr="008D0479">
        <w:rPr>
          <w:smallCaps/>
          <w:sz w:val="16"/>
          <w:szCs w:val="20"/>
        </w:rPr>
        <w:t>Las Facultades y las Verdades</w:t>
      </w:r>
      <w:r w:rsidRPr="008D0479">
        <w:rPr>
          <w:sz w:val="16"/>
          <w:szCs w:val="20"/>
        </w:rPr>
        <w:tab/>
        <w:t>561</w:t>
      </w:r>
    </w:p>
    <w:p w14:paraId="5C4C0FB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lastRenderedPageBreak/>
        <w:t>[A. Descripción de las Facultades]</w:t>
      </w:r>
      <w:r w:rsidRPr="008D0479">
        <w:rPr>
          <w:sz w:val="16"/>
          <w:szCs w:val="20"/>
        </w:rPr>
        <w:tab/>
        <w:t>561</w:t>
      </w:r>
    </w:p>
    <w:p w14:paraId="6D02BFF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[B. Descripción de las Verdades]</w:t>
      </w:r>
      <w:r w:rsidRPr="008D0479">
        <w:rPr>
          <w:sz w:val="16"/>
          <w:szCs w:val="20"/>
        </w:rPr>
        <w:tab/>
        <w:t>564</w:t>
      </w:r>
    </w:p>
    <w:p w14:paraId="1D8AFEDC"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[La Verdad del Sufrimiento]</w:t>
      </w:r>
      <w:r w:rsidRPr="008D0479">
        <w:rPr>
          <w:sz w:val="16"/>
          <w:szCs w:val="20"/>
        </w:rPr>
        <w:tab/>
        <w:t>568</w:t>
      </w:r>
    </w:p>
    <w:p w14:paraId="78600447"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 Nacimiento]</w:t>
      </w:r>
      <w:r w:rsidRPr="008D0479">
        <w:rPr>
          <w:sz w:val="16"/>
          <w:szCs w:val="20"/>
        </w:rPr>
        <w:tab/>
        <w:t>568</w:t>
      </w:r>
    </w:p>
    <w:p w14:paraId="16910724"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[(II) La Vejez]</w:t>
      </w:r>
      <w:r w:rsidRPr="008D0479">
        <w:rPr>
          <w:sz w:val="16"/>
          <w:szCs w:val="20"/>
        </w:rPr>
        <w:tab/>
        <w:t>572</w:t>
      </w:r>
    </w:p>
    <w:p w14:paraId="54CBA08E"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[(III) La Muerte]</w:t>
      </w:r>
      <w:r w:rsidRPr="008D0479">
        <w:rPr>
          <w:sz w:val="16"/>
          <w:szCs w:val="20"/>
        </w:rPr>
        <w:tab/>
        <w:t>572</w:t>
      </w:r>
    </w:p>
    <w:p w14:paraId="22DB556F"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[(IV) Aflicción]</w:t>
      </w:r>
      <w:r w:rsidRPr="008D0479">
        <w:rPr>
          <w:sz w:val="16"/>
          <w:szCs w:val="20"/>
        </w:rPr>
        <w:tab/>
        <w:t>573</w:t>
      </w:r>
    </w:p>
    <w:p w14:paraId="536941BD"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[(V) La Lamentación]</w:t>
      </w:r>
      <w:r w:rsidRPr="008D0479">
        <w:rPr>
          <w:sz w:val="16"/>
          <w:szCs w:val="20"/>
        </w:rPr>
        <w:tab/>
        <w:t>573</w:t>
      </w:r>
    </w:p>
    <w:p w14:paraId="080BD544"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[(VI) Dolor]</w:t>
      </w:r>
      <w:r w:rsidRPr="008D0479">
        <w:rPr>
          <w:sz w:val="16"/>
          <w:szCs w:val="20"/>
        </w:rPr>
        <w:tab/>
        <w:t>574</w:t>
      </w:r>
    </w:p>
    <w:p w14:paraId="490150DE"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[(VII) La Angustia]</w:t>
      </w:r>
      <w:r w:rsidRPr="008D0479">
        <w:rPr>
          <w:sz w:val="16"/>
          <w:szCs w:val="20"/>
        </w:rPr>
        <w:tab/>
        <w:t>574</w:t>
      </w:r>
    </w:p>
    <w:p w14:paraId="52883335"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[(VIII) La Desesperación]</w:t>
      </w:r>
      <w:r w:rsidRPr="008D0479">
        <w:rPr>
          <w:sz w:val="16"/>
          <w:szCs w:val="20"/>
        </w:rPr>
        <w:tab/>
        <w:t>574</w:t>
      </w:r>
    </w:p>
    <w:p w14:paraId="4E215AEF"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[(IX) Asociación Con lo Indeseable]</w:t>
      </w:r>
      <w:r w:rsidRPr="008D0479">
        <w:rPr>
          <w:sz w:val="16"/>
          <w:szCs w:val="20"/>
        </w:rPr>
        <w:tab/>
        <w:t>575</w:t>
      </w:r>
    </w:p>
    <w:p w14:paraId="70AA6521"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[(X) Disociación De lo Estimado]</w:t>
      </w:r>
      <w:r w:rsidRPr="008D0479">
        <w:rPr>
          <w:sz w:val="16"/>
          <w:szCs w:val="20"/>
        </w:rPr>
        <w:tab/>
        <w:t>575</w:t>
      </w:r>
    </w:p>
    <w:p w14:paraId="53F688D1"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[(XI) Disociación de Lo Deseable]</w:t>
      </w:r>
      <w:r w:rsidRPr="008D0479">
        <w:rPr>
          <w:sz w:val="16"/>
          <w:szCs w:val="20"/>
        </w:rPr>
        <w:tab/>
        <w:t>575</w:t>
      </w:r>
    </w:p>
    <w:p w14:paraId="33EB8E12"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[(XII) Los Cinco Agregados]</w:t>
      </w:r>
      <w:r w:rsidRPr="008D0479">
        <w:rPr>
          <w:sz w:val="16"/>
          <w:szCs w:val="20"/>
        </w:rPr>
        <w:tab/>
        <w:t>576</w:t>
      </w:r>
    </w:p>
    <w:p w14:paraId="6EB621B4"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[La Verdad Del Origen Del Sufrimiento]</w:t>
      </w:r>
      <w:r w:rsidRPr="008D0479">
        <w:rPr>
          <w:sz w:val="16"/>
          <w:szCs w:val="20"/>
        </w:rPr>
        <w:tab/>
        <w:t>576</w:t>
      </w:r>
    </w:p>
    <w:p w14:paraId="5C37D613"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[La Verdad De la Cesación Del Sufrimiento]</w:t>
      </w:r>
      <w:r w:rsidRPr="008D0479">
        <w:rPr>
          <w:sz w:val="16"/>
          <w:szCs w:val="20"/>
        </w:rPr>
        <w:tab/>
        <w:t>577</w:t>
      </w:r>
    </w:p>
    <w:p w14:paraId="651C6F17"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[Discusión Sobre el Nibbāna]</w:t>
      </w:r>
      <w:r w:rsidRPr="008D0479">
        <w:rPr>
          <w:sz w:val="16"/>
          <w:szCs w:val="20"/>
        </w:rPr>
        <w:tab/>
        <w:t>578</w:t>
      </w:r>
    </w:p>
    <w:p w14:paraId="0EDEBD8B"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[La Verdad Del Sendero]</w:t>
      </w:r>
      <w:r w:rsidRPr="008D0479">
        <w:rPr>
          <w:sz w:val="16"/>
          <w:szCs w:val="20"/>
        </w:rPr>
        <w:tab/>
        <w:t>582</w:t>
      </w:r>
    </w:p>
    <w:p w14:paraId="121A3E76"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[En General]</w:t>
      </w:r>
      <w:r w:rsidRPr="008D0479">
        <w:rPr>
          <w:sz w:val="16"/>
          <w:szCs w:val="20"/>
        </w:rPr>
        <w:tab/>
        <w:t>584</w:t>
      </w:r>
    </w:p>
    <w:p w14:paraId="13DAFADA" w14:textId="77777777" w:rsidR="00B67276" w:rsidRPr="008D0479" w:rsidRDefault="00B67276" w:rsidP="00B67276">
      <w:pPr>
        <w:tabs>
          <w:tab w:val="left" w:pos="992"/>
          <w:tab w:val="left" w:pos="1418"/>
          <w:tab w:val="right" w:leader="dot" w:pos="6662"/>
        </w:tabs>
        <w:spacing w:after="0"/>
        <w:ind w:left="993" w:hanging="993"/>
        <w:rPr>
          <w:sz w:val="16"/>
          <w:szCs w:val="20"/>
        </w:rPr>
      </w:pPr>
      <w:r w:rsidRPr="008D0479">
        <w:rPr>
          <w:sz w:val="16"/>
          <w:szCs w:val="20"/>
        </w:rPr>
        <w:t xml:space="preserve">Cap. XVII </w:t>
      </w:r>
      <w:r w:rsidRPr="008D0479">
        <w:rPr>
          <w:sz w:val="16"/>
          <w:szCs w:val="20"/>
        </w:rPr>
        <w:tab/>
      </w:r>
      <w:r w:rsidRPr="008D0479">
        <w:rPr>
          <w:smallCaps/>
          <w:sz w:val="16"/>
          <w:szCs w:val="20"/>
        </w:rPr>
        <w:t>El Fundamento del Entendimiento—Conclusión</w:t>
      </w:r>
      <w:r w:rsidRPr="008D0479">
        <w:rPr>
          <w:sz w:val="16"/>
          <w:szCs w:val="20"/>
        </w:rPr>
        <w:t xml:space="preserve">: </w:t>
      </w:r>
      <w:r w:rsidRPr="008D0479">
        <w:rPr>
          <w:sz w:val="16"/>
          <w:szCs w:val="20"/>
        </w:rPr>
        <w:br/>
        <w:t>La Originación Dependiente Según su Condición</w:t>
      </w:r>
      <w:r w:rsidRPr="008D0479">
        <w:rPr>
          <w:sz w:val="16"/>
          <w:szCs w:val="20"/>
        </w:rPr>
        <w:tab/>
        <w:t>591</w:t>
      </w:r>
    </w:p>
    <w:p w14:paraId="52D649B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[Sección A. Definición de la Originación Dependiente]</w:t>
      </w:r>
      <w:r w:rsidRPr="008D0479">
        <w:rPr>
          <w:sz w:val="16"/>
          <w:szCs w:val="20"/>
        </w:rPr>
        <w:tab/>
        <w:t>591</w:t>
      </w:r>
    </w:p>
    <w:p w14:paraId="01D61CF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[Sección B. Exposición]</w:t>
      </w:r>
      <w:r w:rsidRPr="008D0479">
        <w:rPr>
          <w:sz w:val="16"/>
          <w:szCs w:val="20"/>
        </w:rPr>
        <w:tab/>
        <w:t>597</w:t>
      </w:r>
    </w:p>
    <w:p w14:paraId="0E21E768"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 Preámbulo]</w:t>
      </w:r>
      <w:r w:rsidRPr="008D0479">
        <w:rPr>
          <w:sz w:val="16"/>
          <w:szCs w:val="20"/>
        </w:rPr>
        <w:tab/>
        <w:t>598</w:t>
      </w:r>
    </w:p>
    <w:p w14:paraId="45B732B0"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[II. Breve Exposición]</w:t>
      </w:r>
      <w:r w:rsidRPr="008D0479">
        <w:rPr>
          <w:sz w:val="16"/>
          <w:szCs w:val="20"/>
        </w:rPr>
        <w:tab/>
        <w:t>599</w:t>
      </w:r>
    </w:p>
    <w:p w14:paraId="2020535F"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[III. Exposición detallada]</w:t>
      </w:r>
      <w:r w:rsidRPr="008D0479">
        <w:rPr>
          <w:sz w:val="16"/>
          <w:szCs w:val="20"/>
        </w:rPr>
        <w:tab/>
        <w:t>606</w:t>
      </w:r>
    </w:p>
    <w:p w14:paraId="132B174A"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 La Ignorancia]</w:t>
      </w:r>
      <w:r w:rsidRPr="008D0479">
        <w:rPr>
          <w:sz w:val="16"/>
          <w:szCs w:val="20"/>
        </w:rPr>
        <w:tab/>
        <w:t>606</w:t>
      </w:r>
    </w:p>
    <w:p w14:paraId="77293910"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w:t>
      </w:r>
      <w:proofErr w:type="spellStart"/>
      <w:r w:rsidRPr="008D0479">
        <w:rPr>
          <w:sz w:val="16"/>
          <w:szCs w:val="20"/>
        </w:rPr>
        <w:t>ii</w:t>
      </w:r>
      <w:proofErr w:type="spellEnd"/>
      <w:r w:rsidRPr="008D0479">
        <w:rPr>
          <w:sz w:val="16"/>
          <w:szCs w:val="20"/>
        </w:rPr>
        <w:t>) Las Formaciones]</w:t>
      </w:r>
      <w:r w:rsidRPr="008D0479">
        <w:rPr>
          <w:sz w:val="16"/>
          <w:szCs w:val="20"/>
        </w:rPr>
        <w:tab/>
        <w:t>607</w:t>
      </w:r>
    </w:p>
    <w:p w14:paraId="037F0A16"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w:t>
      </w:r>
      <w:proofErr w:type="spellStart"/>
      <w:r w:rsidRPr="008D0479">
        <w:rPr>
          <w:sz w:val="16"/>
          <w:szCs w:val="20"/>
        </w:rPr>
        <w:t>iii</w:t>
      </w:r>
      <w:proofErr w:type="spellEnd"/>
      <w:r w:rsidRPr="008D0479">
        <w:rPr>
          <w:sz w:val="16"/>
          <w:szCs w:val="20"/>
        </w:rPr>
        <w:t>) La Consciencia]</w:t>
      </w:r>
      <w:r w:rsidRPr="008D0479">
        <w:rPr>
          <w:sz w:val="16"/>
          <w:szCs w:val="20"/>
        </w:rPr>
        <w:tab/>
        <w:t>622</w:t>
      </w:r>
    </w:p>
    <w:p w14:paraId="3BB2976E"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w:t>
      </w:r>
      <w:proofErr w:type="spellStart"/>
      <w:r w:rsidRPr="008D0479">
        <w:rPr>
          <w:sz w:val="16"/>
          <w:szCs w:val="20"/>
        </w:rPr>
        <w:t>iv</w:t>
      </w:r>
      <w:proofErr w:type="spellEnd"/>
      <w:r w:rsidRPr="008D0479">
        <w:rPr>
          <w:sz w:val="16"/>
          <w:szCs w:val="20"/>
        </w:rPr>
        <w:t>) La Mentalidad–Materialidad]</w:t>
      </w:r>
      <w:r w:rsidRPr="008D0479">
        <w:rPr>
          <w:sz w:val="16"/>
          <w:szCs w:val="20"/>
        </w:rPr>
        <w:tab/>
        <w:t>638</w:t>
      </w:r>
    </w:p>
    <w:p w14:paraId="4D681B98"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[(v) Las 6 Bases]</w:t>
      </w:r>
      <w:r w:rsidRPr="008D0479">
        <w:rPr>
          <w:sz w:val="16"/>
          <w:szCs w:val="20"/>
        </w:rPr>
        <w:tab/>
        <w:t>642</w:t>
      </w:r>
    </w:p>
    <w:p w14:paraId="2DF77EBF"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[(vi) El Contacto]</w:t>
      </w:r>
      <w:r w:rsidRPr="008D0479">
        <w:rPr>
          <w:sz w:val="16"/>
          <w:szCs w:val="20"/>
        </w:rPr>
        <w:tab/>
        <w:t>645</w:t>
      </w:r>
    </w:p>
    <w:p w14:paraId="0AC627C7"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w:t>
      </w:r>
      <w:proofErr w:type="spellStart"/>
      <w:r w:rsidRPr="008D0479">
        <w:rPr>
          <w:sz w:val="16"/>
          <w:szCs w:val="20"/>
        </w:rPr>
        <w:t>vii</w:t>
      </w:r>
      <w:proofErr w:type="spellEnd"/>
      <w:r w:rsidRPr="008D0479">
        <w:rPr>
          <w:sz w:val="16"/>
          <w:szCs w:val="20"/>
        </w:rPr>
        <w:t>) La Sensación]</w:t>
      </w:r>
      <w:r w:rsidRPr="008D0479">
        <w:rPr>
          <w:sz w:val="16"/>
          <w:szCs w:val="20"/>
        </w:rPr>
        <w:tab/>
        <w:t>647</w:t>
      </w:r>
    </w:p>
    <w:p w14:paraId="6EF0AE38"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w:t>
      </w:r>
      <w:proofErr w:type="spellStart"/>
      <w:r w:rsidRPr="008D0479">
        <w:rPr>
          <w:sz w:val="16"/>
          <w:szCs w:val="20"/>
        </w:rPr>
        <w:t>viii</w:t>
      </w:r>
      <w:proofErr w:type="spellEnd"/>
      <w:r w:rsidRPr="008D0479">
        <w:rPr>
          <w:sz w:val="16"/>
          <w:szCs w:val="20"/>
        </w:rPr>
        <w:t>) El Deseo]</w:t>
      </w:r>
      <w:r w:rsidRPr="008D0479">
        <w:rPr>
          <w:sz w:val="16"/>
          <w:szCs w:val="20"/>
        </w:rPr>
        <w:tab/>
        <w:t>648</w:t>
      </w:r>
    </w:p>
    <w:p w14:paraId="22588BA3"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w:t>
      </w:r>
      <w:proofErr w:type="spellStart"/>
      <w:r w:rsidRPr="008D0479">
        <w:rPr>
          <w:sz w:val="16"/>
          <w:szCs w:val="20"/>
        </w:rPr>
        <w:t>ix</w:t>
      </w:r>
      <w:proofErr w:type="spellEnd"/>
      <w:r w:rsidRPr="008D0479">
        <w:rPr>
          <w:sz w:val="16"/>
          <w:szCs w:val="20"/>
        </w:rPr>
        <w:t>) El Apego]</w:t>
      </w:r>
      <w:r w:rsidRPr="008D0479">
        <w:rPr>
          <w:sz w:val="16"/>
          <w:szCs w:val="20"/>
        </w:rPr>
        <w:tab/>
        <w:t>649</w:t>
      </w:r>
    </w:p>
    <w:p w14:paraId="39F1B845"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[(x) El Devenir]</w:t>
      </w:r>
      <w:r w:rsidRPr="008D0479">
        <w:rPr>
          <w:sz w:val="16"/>
          <w:szCs w:val="20"/>
        </w:rPr>
        <w:tab/>
        <w:t>652</w:t>
      </w:r>
    </w:p>
    <w:p w14:paraId="0936F08F"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[(xi)–(</w:t>
      </w:r>
      <w:proofErr w:type="spellStart"/>
      <w:r w:rsidRPr="008D0479">
        <w:rPr>
          <w:sz w:val="16"/>
          <w:szCs w:val="20"/>
        </w:rPr>
        <w:t>xii</w:t>
      </w:r>
      <w:proofErr w:type="spellEnd"/>
      <w:r w:rsidRPr="008D0479">
        <w:rPr>
          <w:sz w:val="16"/>
          <w:szCs w:val="20"/>
        </w:rPr>
        <w:t>) Nacimiento, Muerte, Etc.]</w:t>
      </w:r>
      <w:r w:rsidRPr="008D0479">
        <w:rPr>
          <w:sz w:val="16"/>
          <w:szCs w:val="20"/>
        </w:rPr>
        <w:tab/>
        <w:t>656</w:t>
      </w:r>
    </w:p>
    <w:p w14:paraId="1BB747FD"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[Sección C. La Rueda del Devenir]</w:t>
      </w:r>
      <w:r w:rsidRPr="008D0479">
        <w:rPr>
          <w:sz w:val="16"/>
          <w:szCs w:val="20"/>
        </w:rPr>
        <w:tab/>
        <w:t>656</w:t>
      </w:r>
    </w:p>
    <w:p w14:paraId="61516490"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 La Rueda]</w:t>
      </w:r>
      <w:r w:rsidRPr="008D0479">
        <w:rPr>
          <w:sz w:val="16"/>
          <w:szCs w:val="20"/>
        </w:rPr>
        <w:tab/>
        <w:t>657</w:t>
      </w:r>
    </w:p>
    <w:p w14:paraId="0A8BD63C"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[(II) Los Tres Momentos]</w:t>
      </w:r>
      <w:r w:rsidRPr="008D0479">
        <w:rPr>
          <w:sz w:val="16"/>
          <w:szCs w:val="20"/>
        </w:rPr>
        <w:tab/>
        <w:t>659</w:t>
      </w:r>
    </w:p>
    <w:p w14:paraId="31A6812F"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[(III) Causa y Efecto]</w:t>
      </w:r>
      <w:r w:rsidRPr="008D0479">
        <w:rPr>
          <w:sz w:val="16"/>
          <w:szCs w:val="20"/>
        </w:rPr>
        <w:tab/>
        <w:t>659</w:t>
      </w:r>
    </w:p>
    <w:p w14:paraId="5BB6A331"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[(IV) Varios]</w:t>
      </w:r>
      <w:r w:rsidRPr="008D0479">
        <w:rPr>
          <w:sz w:val="16"/>
          <w:szCs w:val="20"/>
        </w:rPr>
        <w:tab/>
        <w:t>662</w:t>
      </w:r>
    </w:p>
    <w:p w14:paraId="089F74B5"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XVIII </w:t>
      </w:r>
      <w:r w:rsidRPr="008D0479">
        <w:rPr>
          <w:sz w:val="16"/>
          <w:szCs w:val="20"/>
        </w:rPr>
        <w:tab/>
      </w:r>
      <w:r w:rsidRPr="008D0479">
        <w:rPr>
          <w:smallCaps/>
          <w:sz w:val="16"/>
          <w:szCs w:val="20"/>
        </w:rPr>
        <w:t>Purificación De La Visión</w:t>
      </w:r>
      <w:r w:rsidRPr="008D0479">
        <w:rPr>
          <w:sz w:val="16"/>
          <w:szCs w:val="20"/>
        </w:rPr>
        <w:tab/>
        <w:t>667</w:t>
      </w:r>
    </w:p>
    <w:p w14:paraId="684CF86D"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[Definición De La Mentalidad–Materialidad]</w:t>
      </w:r>
      <w:r w:rsidRPr="008D0479">
        <w:rPr>
          <w:sz w:val="16"/>
          <w:szCs w:val="20"/>
        </w:rPr>
        <w:tab/>
        <w:t>667</w:t>
      </w:r>
    </w:p>
    <w:p w14:paraId="6BE36209"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[(1) Definición Basada En Los Cuatro Primarios]</w:t>
      </w:r>
      <w:r w:rsidRPr="008D0479">
        <w:rPr>
          <w:sz w:val="16"/>
          <w:szCs w:val="20"/>
        </w:rPr>
        <w:tab/>
        <w:t>668</w:t>
      </w:r>
    </w:p>
    <w:p w14:paraId="0D34D774"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lastRenderedPageBreak/>
        <w:t>[(2) Definición Basada en los 18 Elementos]</w:t>
      </w:r>
      <w:r w:rsidRPr="008D0479">
        <w:rPr>
          <w:sz w:val="16"/>
          <w:szCs w:val="20"/>
        </w:rPr>
        <w:tab/>
        <w:t>671</w:t>
      </w:r>
    </w:p>
    <w:p w14:paraId="3F3A2B12"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[(3) Definición Basada en las 12 Bases]</w:t>
      </w:r>
      <w:r w:rsidRPr="008D0479">
        <w:rPr>
          <w:sz w:val="16"/>
          <w:szCs w:val="20"/>
        </w:rPr>
        <w:tab/>
        <w:t>671</w:t>
      </w:r>
    </w:p>
    <w:p w14:paraId="359338A4"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[(4) Definición Basada En Los Cinco Agregados]</w:t>
      </w:r>
      <w:r w:rsidRPr="008D0479">
        <w:rPr>
          <w:sz w:val="16"/>
          <w:szCs w:val="20"/>
        </w:rPr>
        <w:tab/>
        <w:t>672</w:t>
      </w:r>
    </w:p>
    <w:p w14:paraId="6BF0C304"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[(5) Breve Definición Basada en los 4 Primarios]</w:t>
      </w:r>
      <w:r w:rsidRPr="008D0479">
        <w:rPr>
          <w:sz w:val="16"/>
          <w:szCs w:val="20"/>
        </w:rPr>
        <w:tab/>
        <w:t>672</w:t>
      </w:r>
    </w:p>
    <w:p w14:paraId="0E766FAF"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[Si lo Inmaterial no se Hace Evidente]</w:t>
      </w:r>
      <w:r w:rsidRPr="008D0479">
        <w:rPr>
          <w:sz w:val="16"/>
          <w:szCs w:val="20"/>
        </w:rPr>
        <w:tab/>
        <w:t>672</w:t>
      </w:r>
    </w:p>
    <w:p w14:paraId="70A75088"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[Cómo se Vuelven Evidentes los Estados Inmateriales]</w:t>
      </w:r>
      <w:r w:rsidRPr="008D0479">
        <w:rPr>
          <w:sz w:val="16"/>
          <w:szCs w:val="20"/>
        </w:rPr>
        <w:tab/>
        <w:t>672</w:t>
      </w:r>
    </w:p>
    <w:p w14:paraId="5DC967F1"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[No Existe Ningún Ser Aparte de la Mentalidad–Materialidad]</w:t>
      </w:r>
      <w:r w:rsidRPr="008D0479">
        <w:rPr>
          <w:sz w:val="16"/>
          <w:szCs w:val="20"/>
        </w:rPr>
        <w:tab/>
        <w:t>674</w:t>
      </w:r>
    </w:p>
    <w:p w14:paraId="12A5702E"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[Interdependencia de la Mentalidad y la Materialidad]</w:t>
      </w:r>
      <w:r w:rsidRPr="008D0479">
        <w:rPr>
          <w:sz w:val="16"/>
          <w:szCs w:val="20"/>
        </w:rPr>
        <w:tab/>
        <w:t>676</w:t>
      </w:r>
    </w:p>
    <w:p w14:paraId="6FCD5034"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XIX </w:t>
      </w:r>
      <w:r w:rsidRPr="008D0479">
        <w:rPr>
          <w:sz w:val="16"/>
          <w:szCs w:val="20"/>
        </w:rPr>
        <w:tab/>
      </w:r>
      <w:r w:rsidRPr="008D0479">
        <w:rPr>
          <w:smallCaps/>
          <w:sz w:val="16"/>
          <w:szCs w:val="20"/>
        </w:rPr>
        <w:t>Purificación Mediante la Disipación de la Duda</w:t>
      </w:r>
      <w:r w:rsidRPr="008D0479">
        <w:rPr>
          <w:sz w:val="16"/>
          <w:szCs w:val="20"/>
        </w:rPr>
        <w:tab/>
        <w:t>679</w:t>
      </w:r>
    </w:p>
    <w:p w14:paraId="328ABD46"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[Maneras de Discernir la Causa y la Condición]</w:t>
      </w:r>
      <w:r w:rsidRPr="008D0479">
        <w:rPr>
          <w:sz w:val="16"/>
          <w:szCs w:val="20"/>
        </w:rPr>
        <w:tab/>
        <w:t>679</w:t>
      </w:r>
    </w:p>
    <w:p w14:paraId="0F8BECF1"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[Ni Creado por un Creador Pero Tampoco sin Ninguna Causa]</w:t>
      </w:r>
      <w:r w:rsidRPr="008D0479">
        <w:rPr>
          <w:sz w:val="16"/>
          <w:szCs w:val="20"/>
        </w:rPr>
        <w:tab/>
        <w:t>679</w:t>
      </w:r>
    </w:p>
    <w:p w14:paraId="060D8A1C"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[Su Ocurrencia Siempre Se Deberá a Unas Condiciones]</w:t>
      </w:r>
      <w:r w:rsidRPr="008D0479">
        <w:rPr>
          <w:sz w:val="16"/>
          <w:szCs w:val="20"/>
        </w:rPr>
        <w:tab/>
        <w:t>680</w:t>
      </w:r>
    </w:p>
    <w:p w14:paraId="5077FC4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[Condiciones Generales y Particulares]</w:t>
      </w:r>
      <w:r w:rsidRPr="008D0479">
        <w:rPr>
          <w:sz w:val="16"/>
          <w:szCs w:val="20"/>
        </w:rPr>
        <w:tab/>
        <w:t>680</w:t>
      </w:r>
    </w:p>
    <w:p w14:paraId="261550A3"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Originación Dependiente en Orden Inverso]</w:t>
      </w:r>
      <w:r w:rsidRPr="008D0479">
        <w:rPr>
          <w:sz w:val="16"/>
          <w:szCs w:val="20"/>
        </w:rPr>
        <w:tab/>
        <w:t>681</w:t>
      </w:r>
    </w:p>
    <w:p w14:paraId="1AC33CD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[Originación Dependiente en Orden Progresivo]</w:t>
      </w:r>
      <w:r w:rsidRPr="008D0479">
        <w:rPr>
          <w:sz w:val="16"/>
          <w:szCs w:val="20"/>
        </w:rPr>
        <w:tab/>
        <w:t>681</w:t>
      </w:r>
    </w:p>
    <w:p w14:paraId="4F01730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 xml:space="preserve">[El </w:t>
      </w:r>
      <w:proofErr w:type="spellStart"/>
      <w:r w:rsidRPr="008D0479">
        <w:rPr>
          <w:i/>
          <w:iCs/>
          <w:sz w:val="16"/>
          <w:szCs w:val="20"/>
        </w:rPr>
        <w:t>Kamma</w:t>
      </w:r>
      <w:proofErr w:type="spellEnd"/>
      <w:r w:rsidRPr="008D0479">
        <w:rPr>
          <w:sz w:val="16"/>
          <w:szCs w:val="20"/>
        </w:rPr>
        <w:t xml:space="preserve"> y el Resultado </w:t>
      </w:r>
      <w:proofErr w:type="spellStart"/>
      <w:r w:rsidRPr="008D0479">
        <w:rPr>
          <w:i/>
          <w:iCs/>
          <w:sz w:val="16"/>
          <w:szCs w:val="20"/>
        </w:rPr>
        <w:t>Kammico</w:t>
      </w:r>
      <w:proofErr w:type="spellEnd"/>
      <w:r w:rsidRPr="008D0479">
        <w:rPr>
          <w:sz w:val="16"/>
          <w:szCs w:val="20"/>
        </w:rPr>
        <w:t>]</w:t>
      </w:r>
      <w:r w:rsidRPr="008D0479">
        <w:rPr>
          <w:sz w:val="16"/>
          <w:szCs w:val="20"/>
        </w:rPr>
        <w:tab/>
        <w:t>681</w:t>
      </w:r>
    </w:p>
    <w:p w14:paraId="05A67723" w14:textId="77777777" w:rsidR="00B67276" w:rsidRPr="008D0479" w:rsidRDefault="00B67276" w:rsidP="00B67276">
      <w:pPr>
        <w:tabs>
          <w:tab w:val="clear" w:pos="425"/>
        </w:tabs>
        <w:spacing w:after="160"/>
        <w:rPr>
          <w:sz w:val="16"/>
          <w:szCs w:val="20"/>
        </w:rPr>
      </w:pPr>
      <w:r w:rsidRPr="008D0479">
        <w:rPr>
          <w:sz w:val="16"/>
          <w:szCs w:val="20"/>
        </w:rPr>
        <w:br w:type="page"/>
      </w:r>
    </w:p>
    <w:p w14:paraId="5E3537E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lastRenderedPageBreak/>
        <w:t xml:space="preserve">[No Existe ningún Perpetrador Aparte del </w:t>
      </w:r>
      <w:proofErr w:type="spellStart"/>
      <w:r w:rsidRPr="008D0479">
        <w:rPr>
          <w:i/>
          <w:iCs/>
          <w:sz w:val="16"/>
          <w:szCs w:val="20"/>
        </w:rPr>
        <w:t>Kamma</w:t>
      </w:r>
      <w:proofErr w:type="spellEnd"/>
      <w:r w:rsidRPr="008D0479">
        <w:rPr>
          <w:sz w:val="16"/>
          <w:szCs w:val="20"/>
        </w:rPr>
        <w:t xml:space="preserve"> y de su Resultado]</w:t>
      </w:r>
      <w:r w:rsidRPr="008D0479">
        <w:rPr>
          <w:sz w:val="16"/>
          <w:szCs w:val="20"/>
        </w:rPr>
        <w:tab/>
        <w:t>685</w:t>
      </w:r>
    </w:p>
    <w:p w14:paraId="3AAE8FFB"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[Total Entendimiento sobre lo Conocido]</w:t>
      </w:r>
      <w:r w:rsidRPr="008D0479">
        <w:rPr>
          <w:sz w:val="16"/>
          <w:szCs w:val="20"/>
        </w:rPr>
        <w:tab/>
        <w:t>686</w:t>
      </w:r>
    </w:p>
    <w:p w14:paraId="55D65BB6" w14:textId="77777777" w:rsidR="00B67276" w:rsidRPr="008D0479" w:rsidRDefault="00B67276" w:rsidP="00B67276">
      <w:pPr>
        <w:tabs>
          <w:tab w:val="left" w:pos="992"/>
          <w:tab w:val="left" w:pos="1418"/>
          <w:tab w:val="right" w:leader="dot" w:pos="6662"/>
        </w:tabs>
        <w:spacing w:after="0"/>
        <w:ind w:left="993" w:hanging="993"/>
        <w:rPr>
          <w:sz w:val="16"/>
          <w:szCs w:val="20"/>
        </w:rPr>
      </w:pPr>
      <w:r w:rsidRPr="008D0479">
        <w:rPr>
          <w:sz w:val="16"/>
          <w:szCs w:val="20"/>
        </w:rPr>
        <w:t xml:space="preserve">Cap. XX </w:t>
      </w:r>
      <w:r w:rsidRPr="008D0479">
        <w:rPr>
          <w:sz w:val="16"/>
          <w:szCs w:val="20"/>
        </w:rPr>
        <w:tab/>
        <w:t xml:space="preserve">Purificación Mediante el Conocimiento y la </w:t>
      </w:r>
      <w:r w:rsidRPr="008D0479">
        <w:rPr>
          <w:sz w:val="16"/>
          <w:szCs w:val="20"/>
        </w:rPr>
        <w:br/>
        <w:t xml:space="preserve">Visión sobre Lo Que Es el </w:t>
      </w:r>
      <w:proofErr w:type="gramStart"/>
      <w:r w:rsidRPr="008D0479">
        <w:rPr>
          <w:sz w:val="16"/>
          <w:szCs w:val="20"/>
        </w:rPr>
        <w:t>Sendero  y</w:t>
      </w:r>
      <w:proofErr w:type="gramEnd"/>
      <w:r w:rsidRPr="008D0479">
        <w:rPr>
          <w:sz w:val="16"/>
          <w:szCs w:val="20"/>
        </w:rPr>
        <w:t xml:space="preserve"> Lo Que No Es el Sendero</w:t>
      </w:r>
      <w:r w:rsidRPr="008D0479">
        <w:rPr>
          <w:sz w:val="16"/>
          <w:szCs w:val="20"/>
        </w:rPr>
        <w:tab/>
        <w:t>689</w:t>
      </w:r>
    </w:p>
    <w:p w14:paraId="1B89328E"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[Las Tres Clases de Entendimiento Pleno]</w:t>
      </w:r>
      <w:r w:rsidRPr="008D0479">
        <w:rPr>
          <w:sz w:val="16"/>
          <w:szCs w:val="20"/>
        </w:rPr>
        <w:tab/>
        <w:t>689</w:t>
      </w:r>
    </w:p>
    <w:p w14:paraId="7965387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[Sabiduría: Comprensión mediante Grupos]</w:t>
      </w:r>
      <w:r w:rsidRPr="008D0479">
        <w:rPr>
          <w:sz w:val="16"/>
          <w:szCs w:val="20"/>
        </w:rPr>
        <w:tab/>
        <w:t>691</w:t>
      </w:r>
    </w:p>
    <w:p w14:paraId="3B3426FD"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[Comprensión Por Grupos—Aplicación Del Texto]</w:t>
      </w:r>
      <w:r w:rsidRPr="008D0479">
        <w:rPr>
          <w:sz w:val="16"/>
          <w:szCs w:val="20"/>
        </w:rPr>
        <w:tab/>
        <w:t>693</w:t>
      </w:r>
    </w:p>
    <w:p w14:paraId="5AC89831"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[Fortalecimiento de la Comprensión de Cuarenta Maneras]</w:t>
      </w:r>
      <w:r w:rsidRPr="008D0479">
        <w:rPr>
          <w:sz w:val="16"/>
          <w:szCs w:val="20"/>
        </w:rPr>
        <w:tab/>
        <w:t>695</w:t>
      </w:r>
    </w:p>
    <w:p w14:paraId="5C83794C"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[Nueve Maneras de Agudizar las Facultades, etc.]</w:t>
      </w:r>
      <w:r w:rsidRPr="008D0479">
        <w:rPr>
          <w:sz w:val="16"/>
          <w:szCs w:val="20"/>
        </w:rPr>
        <w:tab/>
        <w:t>697</w:t>
      </w:r>
    </w:p>
    <w:p w14:paraId="3AD14F3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[Comprensión de lo Material]</w:t>
      </w:r>
      <w:r w:rsidRPr="008D0479">
        <w:rPr>
          <w:sz w:val="16"/>
          <w:szCs w:val="20"/>
        </w:rPr>
        <w:tab/>
        <w:t>697</w:t>
      </w:r>
    </w:p>
    <w:p w14:paraId="0AD905CB"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 xml:space="preserve">[(a) Materialidad Nacida del </w:t>
      </w:r>
      <w:proofErr w:type="spellStart"/>
      <w:r w:rsidRPr="008D0479">
        <w:rPr>
          <w:i/>
          <w:iCs/>
          <w:sz w:val="16"/>
          <w:szCs w:val="20"/>
        </w:rPr>
        <w:t>Kamma</w:t>
      </w:r>
      <w:proofErr w:type="spellEnd"/>
      <w:r w:rsidRPr="008D0479">
        <w:rPr>
          <w:sz w:val="16"/>
          <w:szCs w:val="20"/>
        </w:rPr>
        <w:t>]</w:t>
      </w:r>
      <w:r w:rsidRPr="008D0479">
        <w:rPr>
          <w:sz w:val="16"/>
          <w:szCs w:val="20"/>
        </w:rPr>
        <w:tab/>
        <w:t>699</w:t>
      </w:r>
    </w:p>
    <w:p w14:paraId="42BFE62E"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[(b) Materialidad Nacida De La Consciencia]</w:t>
      </w:r>
      <w:r w:rsidRPr="008D0479">
        <w:rPr>
          <w:sz w:val="16"/>
          <w:szCs w:val="20"/>
        </w:rPr>
        <w:tab/>
        <w:t>700</w:t>
      </w:r>
    </w:p>
    <w:p w14:paraId="56EE5DB5"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[(c) Materialidad Surgida de los Nutrimentos]</w:t>
      </w:r>
      <w:r w:rsidRPr="008D0479">
        <w:rPr>
          <w:sz w:val="16"/>
          <w:szCs w:val="20"/>
        </w:rPr>
        <w:tab/>
        <w:t>701</w:t>
      </w:r>
    </w:p>
    <w:p w14:paraId="118DD148"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[(d) Materialidad Nacida de la Temperatura]</w:t>
      </w:r>
      <w:r w:rsidRPr="008D0479">
        <w:rPr>
          <w:sz w:val="16"/>
          <w:szCs w:val="20"/>
        </w:rPr>
        <w:tab/>
        <w:t>702</w:t>
      </w:r>
    </w:p>
    <w:p w14:paraId="08A2798C"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[Comprensión De Lo Inmaterial]</w:t>
      </w:r>
      <w:r w:rsidRPr="008D0479">
        <w:rPr>
          <w:sz w:val="16"/>
          <w:szCs w:val="20"/>
        </w:rPr>
        <w:tab/>
        <w:t>702</w:t>
      </w:r>
    </w:p>
    <w:p w14:paraId="5C1DA0C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[El Séptuplo Material]</w:t>
      </w:r>
      <w:r w:rsidRPr="008D0479">
        <w:rPr>
          <w:sz w:val="16"/>
          <w:szCs w:val="20"/>
        </w:rPr>
        <w:tab/>
        <w:t>703</w:t>
      </w:r>
    </w:p>
    <w:p w14:paraId="77AE304F"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[El Séptuplo Inmaterial]</w:t>
      </w:r>
      <w:r w:rsidRPr="008D0479">
        <w:rPr>
          <w:sz w:val="16"/>
          <w:szCs w:val="20"/>
        </w:rPr>
        <w:tab/>
        <w:t>710</w:t>
      </w:r>
    </w:p>
    <w:p w14:paraId="7080391D"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18 Tipos de Sabiduría]</w:t>
      </w:r>
      <w:r w:rsidRPr="008D0479">
        <w:rPr>
          <w:sz w:val="16"/>
          <w:szCs w:val="20"/>
        </w:rPr>
        <w:tab/>
        <w:t>712</w:t>
      </w:r>
    </w:p>
    <w:p w14:paraId="021BF57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[Conocimiento del Surgimiento y la Desaparición — I]</w:t>
      </w:r>
      <w:r w:rsidRPr="008D0479">
        <w:rPr>
          <w:sz w:val="16"/>
          <w:szCs w:val="20"/>
        </w:rPr>
        <w:tab/>
        <w:t>715</w:t>
      </w:r>
    </w:p>
    <w:p w14:paraId="05A48750"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[Las 10 Imperfecciones de la Sabiduría–Revelativa]</w:t>
      </w:r>
      <w:r w:rsidRPr="008D0479">
        <w:rPr>
          <w:sz w:val="16"/>
          <w:szCs w:val="20"/>
        </w:rPr>
        <w:tab/>
        <w:t>718</w:t>
      </w:r>
    </w:p>
    <w:p w14:paraId="13E7BA92"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XXI </w:t>
      </w:r>
      <w:r w:rsidRPr="008D0479">
        <w:rPr>
          <w:sz w:val="16"/>
          <w:szCs w:val="20"/>
        </w:rPr>
        <w:tab/>
      </w:r>
      <w:r w:rsidRPr="008D0479">
        <w:rPr>
          <w:smallCaps/>
          <w:sz w:val="16"/>
          <w:szCs w:val="20"/>
        </w:rPr>
        <w:t>Purificación Mediante el Conocimiento y la Visión del Sendero</w:t>
      </w:r>
      <w:r w:rsidRPr="008D0479">
        <w:rPr>
          <w:sz w:val="16"/>
          <w:szCs w:val="20"/>
        </w:rPr>
        <w:tab/>
        <w:t>724</w:t>
      </w:r>
    </w:p>
    <w:p w14:paraId="3BED277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[Sabiduría–Revelativa: Los Ocho Conocimientos]</w:t>
      </w:r>
      <w:r w:rsidRPr="008D0479">
        <w:rPr>
          <w:sz w:val="16"/>
          <w:szCs w:val="20"/>
        </w:rPr>
        <w:tab/>
        <w:t>725</w:t>
      </w:r>
    </w:p>
    <w:p w14:paraId="141069F9"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[1. Conocimiento del Surgimiento y la Desaparición —II]</w:t>
      </w:r>
      <w:r w:rsidRPr="008D0479">
        <w:rPr>
          <w:sz w:val="16"/>
          <w:szCs w:val="20"/>
        </w:rPr>
        <w:tab/>
        <w:t>726</w:t>
      </w:r>
    </w:p>
    <w:p w14:paraId="54BE2DCD"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[2. Conocimiento de la Disolución]</w:t>
      </w:r>
      <w:r w:rsidRPr="008D0479">
        <w:rPr>
          <w:sz w:val="16"/>
          <w:szCs w:val="20"/>
        </w:rPr>
        <w:tab/>
        <w:t>727</w:t>
      </w:r>
    </w:p>
    <w:p w14:paraId="1EF00218"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[3. Conocimiento de la Apariencia de Terror]</w:t>
      </w:r>
      <w:r w:rsidRPr="008D0479">
        <w:rPr>
          <w:sz w:val="16"/>
          <w:szCs w:val="20"/>
        </w:rPr>
        <w:tab/>
        <w:t>732</w:t>
      </w:r>
    </w:p>
    <w:p w14:paraId="788D066B"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[4. Conocimiento del Peligro]</w:t>
      </w:r>
      <w:r w:rsidRPr="008D0479">
        <w:rPr>
          <w:sz w:val="16"/>
          <w:szCs w:val="20"/>
        </w:rPr>
        <w:tab/>
        <w:t>734</w:t>
      </w:r>
    </w:p>
    <w:p w14:paraId="553C1D72"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[5. Conocimiento Del Desapasionamiento]</w:t>
      </w:r>
      <w:r w:rsidRPr="008D0479">
        <w:rPr>
          <w:sz w:val="16"/>
          <w:szCs w:val="20"/>
        </w:rPr>
        <w:tab/>
        <w:t>737</w:t>
      </w:r>
    </w:p>
    <w:p w14:paraId="7E4291E0"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[6. Conocimiento del Deseo de Liberación]</w:t>
      </w:r>
      <w:r w:rsidRPr="008D0479">
        <w:rPr>
          <w:sz w:val="16"/>
          <w:szCs w:val="20"/>
        </w:rPr>
        <w:tab/>
        <w:t>738</w:t>
      </w:r>
    </w:p>
    <w:p w14:paraId="5AE33B0E"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 xml:space="preserve">[7. Conocimiento </w:t>
      </w:r>
      <w:r w:rsidRPr="008D0479">
        <w:rPr>
          <w:color w:val="833C0B" w:themeColor="accent2" w:themeShade="80"/>
          <w:sz w:val="16"/>
          <w:szCs w:val="20"/>
        </w:rPr>
        <w:t>Reflexivo</w:t>
      </w:r>
      <w:r w:rsidRPr="008D0479">
        <w:rPr>
          <w:sz w:val="16"/>
          <w:szCs w:val="20"/>
        </w:rPr>
        <w:t>]</w:t>
      </w:r>
      <w:r w:rsidRPr="008D0479">
        <w:rPr>
          <w:sz w:val="16"/>
          <w:szCs w:val="20"/>
        </w:rPr>
        <w:tab/>
        <w:t>738</w:t>
      </w:r>
    </w:p>
    <w:p w14:paraId="5A5D6B8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[Discernimiento de Toda Formación como vacía]</w:t>
      </w:r>
      <w:r w:rsidRPr="008D0479">
        <w:rPr>
          <w:sz w:val="16"/>
          <w:szCs w:val="20"/>
        </w:rPr>
        <w:tab/>
        <w:t>739</w:t>
      </w:r>
    </w:p>
    <w:p w14:paraId="4CF28237" w14:textId="77777777" w:rsidR="00B67276" w:rsidRPr="008D0479" w:rsidRDefault="00B67276" w:rsidP="00B67276">
      <w:pPr>
        <w:tabs>
          <w:tab w:val="left" w:pos="992"/>
          <w:tab w:val="left" w:pos="1418"/>
          <w:tab w:val="right" w:leader="dot" w:pos="6662"/>
        </w:tabs>
        <w:spacing w:after="0"/>
        <w:ind w:left="1418"/>
        <w:rPr>
          <w:sz w:val="16"/>
          <w:szCs w:val="20"/>
        </w:rPr>
      </w:pPr>
      <w:r w:rsidRPr="008D0479">
        <w:rPr>
          <w:sz w:val="16"/>
          <w:szCs w:val="20"/>
        </w:rPr>
        <w:t>[8. Conocimiento de la Ecuanimidad Respecto a las Formaciones]</w:t>
      </w:r>
      <w:r w:rsidRPr="008D0479">
        <w:rPr>
          <w:sz w:val="16"/>
          <w:szCs w:val="20"/>
        </w:rPr>
        <w:tab/>
        <w:t>743</w:t>
      </w:r>
    </w:p>
    <w:p w14:paraId="0E7A5AF7"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Puerta Triple hacia La Liberación]</w:t>
      </w:r>
      <w:r w:rsidRPr="008D0479">
        <w:rPr>
          <w:sz w:val="16"/>
          <w:szCs w:val="20"/>
        </w:rPr>
        <w:tab/>
        <w:t>743</w:t>
      </w:r>
    </w:p>
    <w:p w14:paraId="0700673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[Las Siete Clases de Personas Nobles]</w:t>
      </w:r>
      <w:r w:rsidRPr="008D0479">
        <w:rPr>
          <w:sz w:val="16"/>
          <w:szCs w:val="20"/>
        </w:rPr>
        <w:tab/>
        <w:t>746</w:t>
      </w:r>
    </w:p>
    <w:p w14:paraId="35834B6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Tres Últimos Conocimientos Son Uno]</w:t>
      </w:r>
      <w:r w:rsidRPr="008D0479">
        <w:rPr>
          <w:sz w:val="16"/>
          <w:szCs w:val="20"/>
        </w:rPr>
        <w:tab/>
        <w:t>747</w:t>
      </w:r>
    </w:p>
    <w:p w14:paraId="08F11D71"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Sabiduría–Revelativa Conducente Hacia el Emerger]</w:t>
      </w:r>
      <w:r w:rsidRPr="008D0479">
        <w:rPr>
          <w:sz w:val="16"/>
          <w:szCs w:val="20"/>
        </w:rPr>
        <w:tab/>
        <w:t>748</w:t>
      </w:r>
    </w:p>
    <w:p w14:paraId="25033C2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[Los Doce Símiles]</w:t>
      </w:r>
      <w:r w:rsidRPr="008D0479">
        <w:rPr>
          <w:sz w:val="16"/>
          <w:szCs w:val="20"/>
        </w:rPr>
        <w:tab/>
        <w:t>750</w:t>
      </w:r>
    </w:p>
    <w:p w14:paraId="0827CF02"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Diferencia entre los Factores del Noble Sendero, etc.]</w:t>
      </w:r>
      <w:r w:rsidRPr="008D0479">
        <w:rPr>
          <w:sz w:val="16"/>
          <w:szCs w:val="20"/>
        </w:rPr>
        <w:tab/>
        <w:t>753</w:t>
      </w:r>
    </w:p>
    <w:p w14:paraId="7A3D3898" w14:textId="77777777" w:rsidR="00B67276" w:rsidRPr="008D0479" w:rsidRDefault="00B67276" w:rsidP="00B67276">
      <w:pPr>
        <w:tabs>
          <w:tab w:val="left" w:pos="992"/>
          <w:tab w:val="left" w:pos="1418"/>
          <w:tab w:val="right" w:leader="dot" w:pos="6662"/>
        </w:tabs>
        <w:spacing w:after="40"/>
        <w:ind w:left="1418"/>
        <w:rPr>
          <w:sz w:val="16"/>
          <w:szCs w:val="20"/>
        </w:rPr>
      </w:pPr>
      <w:r w:rsidRPr="008D0479">
        <w:rPr>
          <w:sz w:val="16"/>
          <w:szCs w:val="20"/>
        </w:rPr>
        <w:t>[9. El Conocimiento de la Conformidad]</w:t>
      </w:r>
      <w:r w:rsidRPr="008D0479">
        <w:rPr>
          <w:sz w:val="16"/>
          <w:szCs w:val="20"/>
        </w:rPr>
        <w:tab/>
        <w:t>757</w:t>
      </w:r>
    </w:p>
    <w:p w14:paraId="19B11A41"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[Suttas de Referencia]</w:t>
      </w:r>
      <w:r w:rsidRPr="008D0479">
        <w:rPr>
          <w:sz w:val="16"/>
          <w:szCs w:val="20"/>
        </w:rPr>
        <w:tab/>
        <w:t>757</w:t>
      </w:r>
    </w:p>
    <w:p w14:paraId="3A48ECFB"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XXII </w:t>
      </w:r>
      <w:r w:rsidRPr="008D0479">
        <w:rPr>
          <w:sz w:val="16"/>
          <w:szCs w:val="20"/>
        </w:rPr>
        <w:tab/>
        <w:t>Purificación Mediante el Conocimiento y la Visión</w:t>
      </w:r>
      <w:r w:rsidRPr="008D0479">
        <w:rPr>
          <w:sz w:val="16"/>
          <w:szCs w:val="20"/>
        </w:rPr>
        <w:tab/>
        <w:t>759</w:t>
      </w:r>
    </w:p>
    <w:p w14:paraId="1AB829F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[I. Cambio de linaje, Los Senderos y Las Fruición]</w:t>
      </w:r>
      <w:r w:rsidRPr="008D0479">
        <w:rPr>
          <w:sz w:val="16"/>
          <w:szCs w:val="20"/>
        </w:rPr>
        <w:tab/>
        <w:t>759</w:t>
      </w:r>
    </w:p>
    <w:p w14:paraId="262E6E8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[El Primer Sendero: La Primera Persona Noble]</w:t>
      </w:r>
      <w:r w:rsidRPr="008D0479">
        <w:rPr>
          <w:sz w:val="16"/>
          <w:szCs w:val="20"/>
        </w:rPr>
        <w:tab/>
        <w:t>759</w:t>
      </w:r>
    </w:p>
    <w:p w14:paraId="5E51FDD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Primera Fruición — La Segunda Persona Noble]</w:t>
      </w:r>
      <w:r w:rsidRPr="008D0479">
        <w:rPr>
          <w:sz w:val="16"/>
          <w:szCs w:val="20"/>
        </w:rPr>
        <w:tab/>
        <w:t>762</w:t>
      </w:r>
    </w:p>
    <w:p w14:paraId="0A830230"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[El Segundo Sendero: La Tercera Persona Noble]</w:t>
      </w:r>
      <w:r w:rsidRPr="008D0479">
        <w:rPr>
          <w:sz w:val="16"/>
          <w:szCs w:val="20"/>
        </w:rPr>
        <w:tab/>
        <w:t>763</w:t>
      </w:r>
    </w:p>
    <w:p w14:paraId="5EF794F2" w14:textId="77777777" w:rsidR="00B67276" w:rsidRPr="008D0479" w:rsidRDefault="00B67276" w:rsidP="00B67276">
      <w:pPr>
        <w:tabs>
          <w:tab w:val="clear" w:pos="425"/>
        </w:tabs>
        <w:spacing w:after="160"/>
        <w:rPr>
          <w:sz w:val="16"/>
          <w:szCs w:val="20"/>
        </w:rPr>
      </w:pPr>
      <w:r w:rsidRPr="008D0479">
        <w:rPr>
          <w:sz w:val="16"/>
          <w:szCs w:val="20"/>
        </w:rPr>
        <w:br w:type="page"/>
      </w:r>
    </w:p>
    <w:p w14:paraId="5B19F9E1"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lastRenderedPageBreak/>
        <w:t>[La Segunda Fruición — La Cuarta Persona Noble]</w:t>
      </w:r>
      <w:r w:rsidRPr="008D0479">
        <w:rPr>
          <w:sz w:val="16"/>
          <w:szCs w:val="20"/>
        </w:rPr>
        <w:tab/>
        <w:t>764</w:t>
      </w:r>
    </w:p>
    <w:p w14:paraId="0E941125"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[El Tercer Sendero — La Quinta Persona Noble]</w:t>
      </w:r>
      <w:r w:rsidRPr="008D0479">
        <w:rPr>
          <w:sz w:val="16"/>
          <w:szCs w:val="20"/>
        </w:rPr>
        <w:tab/>
        <w:t>764</w:t>
      </w:r>
    </w:p>
    <w:p w14:paraId="61627B33"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Tercera Fruición — La Sexta Persona Noble]</w:t>
      </w:r>
      <w:r w:rsidRPr="008D0479">
        <w:rPr>
          <w:sz w:val="16"/>
          <w:szCs w:val="20"/>
        </w:rPr>
        <w:tab/>
        <w:t>764</w:t>
      </w:r>
    </w:p>
    <w:p w14:paraId="1A1D4DAA"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[El Cuarto Sendero — La Séptima Persona Noble]</w:t>
      </w:r>
      <w:r w:rsidRPr="008D0479">
        <w:rPr>
          <w:sz w:val="16"/>
          <w:szCs w:val="20"/>
        </w:rPr>
        <w:tab/>
        <w:t>764</w:t>
      </w:r>
    </w:p>
    <w:p w14:paraId="71392914"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 Cuarta Fruición: La Octava Persona]</w:t>
      </w:r>
      <w:r w:rsidRPr="008D0479">
        <w:rPr>
          <w:sz w:val="16"/>
          <w:szCs w:val="20"/>
        </w:rPr>
        <w:tab/>
        <w:t>765</w:t>
      </w:r>
    </w:p>
    <w:p w14:paraId="38E9D88E"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[II. Los Estados Asociados al Sendero, etc.]</w:t>
      </w:r>
      <w:r w:rsidRPr="008D0479">
        <w:rPr>
          <w:sz w:val="16"/>
          <w:szCs w:val="20"/>
        </w:rPr>
        <w:tab/>
        <w:t>765</w:t>
      </w:r>
    </w:p>
    <w:p w14:paraId="7E2595D3"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[Las Cuatro Funciones]</w:t>
      </w:r>
      <w:r w:rsidRPr="008D0479">
        <w:rPr>
          <w:sz w:val="16"/>
          <w:szCs w:val="20"/>
        </w:rPr>
        <w:tab/>
        <w:t>779</w:t>
      </w:r>
    </w:p>
    <w:p w14:paraId="02F1C27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[Las Cuatro Funciones En Un Solo Momento]</w:t>
      </w:r>
      <w:r w:rsidRPr="008D0479">
        <w:rPr>
          <w:sz w:val="16"/>
          <w:szCs w:val="20"/>
        </w:rPr>
        <w:tab/>
        <w:t>779</w:t>
      </w:r>
    </w:p>
    <w:p w14:paraId="0FBEA1DB"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[Las Cuatro Funciones Descritas Independientemente]</w:t>
      </w:r>
      <w:r w:rsidRPr="008D0479">
        <w:rPr>
          <w:sz w:val="16"/>
          <w:szCs w:val="20"/>
        </w:rPr>
        <w:tab/>
        <w:t>781</w:t>
      </w:r>
    </w:p>
    <w:p w14:paraId="1F5418BE"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[Conclusión]</w:t>
      </w:r>
      <w:r w:rsidRPr="008D0479">
        <w:rPr>
          <w:sz w:val="16"/>
          <w:szCs w:val="20"/>
        </w:rPr>
        <w:tab/>
        <w:t>786</w:t>
      </w:r>
    </w:p>
    <w:p w14:paraId="7845F4C1" w14:textId="77777777" w:rsidR="00B67276" w:rsidRPr="008D0479" w:rsidRDefault="00B67276" w:rsidP="00B67276">
      <w:pPr>
        <w:tabs>
          <w:tab w:val="left" w:pos="992"/>
          <w:tab w:val="left" w:pos="1418"/>
          <w:tab w:val="right" w:leader="dot" w:pos="6662"/>
        </w:tabs>
        <w:spacing w:after="0"/>
        <w:rPr>
          <w:sz w:val="16"/>
          <w:szCs w:val="20"/>
        </w:rPr>
      </w:pPr>
      <w:r w:rsidRPr="008D0479">
        <w:rPr>
          <w:sz w:val="16"/>
          <w:szCs w:val="20"/>
        </w:rPr>
        <w:t xml:space="preserve">Cap. XXIII </w:t>
      </w:r>
      <w:r w:rsidRPr="008D0479">
        <w:rPr>
          <w:sz w:val="16"/>
          <w:szCs w:val="20"/>
        </w:rPr>
        <w:tab/>
        <w:t>Los Beneficios del Desarrollo de la Sabiduría</w:t>
      </w:r>
      <w:r w:rsidRPr="008D0479">
        <w:rPr>
          <w:sz w:val="16"/>
          <w:szCs w:val="20"/>
        </w:rPr>
        <w:tab/>
        <w:t>788</w:t>
      </w:r>
    </w:p>
    <w:p w14:paraId="2ECB981C"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[A. Eliminación de las Impurezas]</w:t>
      </w:r>
      <w:r w:rsidRPr="008D0479">
        <w:rPr>
          <w:sz w:val="16"/>
          <w:szCs w:val="20"/>
        </w:rPr>
        <w:tab/>
        <w:t>788</w:t>
      </w:r>
    </w:p>
    <w:p w14:paraId="539737B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[B. El Sabor de la Noble Fruición]</w:t>
      </w:r>
      <w:r w:rsidRPr="008D0479">
        <w:rPr>
          <w:sz w:val="16"/>
          <w:szCs w:val="20"/>
        </w:rPr>
        <w:tab/>
        <w:t>788</w:t>
      </w:r>
    </w:p>
    <w:p w14:paraId="6B418DF8"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[C. La Consumación de la Cesación]</w:t>
      </w:r>
      <w:r w:rsidRPr="008D0479">
        <w:rPr>
          <w:sz w:val="16"/>
          <w:szCs w:val="20"/>
        </w:rPr>
        <w:tab/>
        <w:t>792</w:t>
      </w:r>
    </w:p>
    <w:p w14:paraId="4CF05429" w14:textId="77777777" w:rsidR="00B67276" w:rsidRPr="008D0479" w:rsidRDefault="00B67276" w:rsidP="00B67276">
      <w:pPr>
        <w:tabs>
          <w:tab w:val="left" w:pos="992"/>
          <w:tab w:val="left" w:pos="1418"/>
          <w:tab w:val="right" w:leader="dot" w:pos="6662"/>
        </w:tabs>
        <w:spacing w:after="0"/>
        <w:ind w:left="992"/>
        <w:rPr>
          <w:sz w:val="16"/>
          <w:szCs w:val="20"/>
        </w:rPr>
      </w:pPr>
      <w:r w:rsidRPr="008D0479">
        <w:rPr>
          <w:sz w:val="16"/>
          <w:szCs w:val="20"/>
        </w:rPr>
        <w:t>[D. Digno de Recepción de Presentes]</w:t>
      </w:r>
      <w:r w:rsidRPr="008D0479">
        <w:rPr>
          <w:sz w:val="16"/>
          <w:szCs w:val="20"/>
        </w:rPr>
        <w:tab/>
        <w:t>800</w:t>
      </w:r>
    </w:p>
    <w:p w14:paraId="3AD9867B" w14:textId="77777777" w:rsidR="00B67276" w:rsidRPr="008D0479" w:rsidRDefault="00B67276" w:rsidP="00B67276">
      <w:pPr>
        <w:tabs>
          <w:tab w:val="left" w:pos="1418"/>
          <w:tab w:val="right" w:leader="dot" w:pos="6662"/>
        </w:tabs>
        <w:spacing w:after="0"/>
        <w:ind w:left="992"/>
        <w:rPr>
          <w:sz w:val="16"/>
          <w:szCs w:val="20"/>
        </w:rPr>
      </w:pPr>
      <w:r w:rsidRPr="008D0479">
        <w:rPr>
          <w:sz w:val="16"/>
          <w:szCs w:val="20"/>
        </w:rPr>
        <w:t>Conclusión</w:t>
      </w:r>
      <w:r w:rsidRPr="008D0479">
        <w:rPr>
          <w:sz w:val="16"/>
          <w:szCs w:val="20"/>
        </w:rPr>
        <w:tab/>
        <w:t>803</w:t>
      </w:r>
    </w:p>
    <w:p w14:paraId="4608F181" w14:textId="77777777" w:rsidR="00B67276" w:rsidRPr="008D0479" w:rsidRDefault="00B67276" w:rsidP="00B67276">
      <w:pPr>
        <w:tabs>
          <w:tab w:val="left" w:pos="992"/>
          <w:tab w:val="left" w:pos="1418"/>
          <w:tab w:val="right" w:leader="dot" w:pos="6662"/>
        </w:tabs>
        <w:spacing w:after="40"/>
        <w:ind w:left="992"/>
        <w:rPr>
          <w:sz w:val="16"/>
          <w:szCs w:val="20"/>
        </w:rPr>
      </w:pPr>
      <w:r w:rsidRPr="008D0479">
        <w:rPr>
          <w:sz w:val="16"/>
          <w:szCs w:val="20"/>
        </w:rPr>
        <w:t>[Nota Final]</w:t>
      </w:r>
      <w:r w:rsidRPr="008D0479">
        <w:rPr>
          <w:sz w:val="16"/>
          <w:szCs w:val="20"/>
        </w:rPr>
        <w:tab/>
        <w:t>804</w:t>
      </w:r>
    </w:p>
    <w:p w14:paraId="6025AD04" w14:textId="77777777" w:rsidR="00B67276" w:rsidRPr="008D0479" w:rsidRDefault="00B67276" w:rsidP="00B67276">
      <w:pPr>
        <w:tabs>
          <w:tab w:val="clear" w:pos="425"/>
          <w:tab w:val="right" w:leader="dot" w:pos="6662"/>
        </w:tabs>
        <w:spacing w:after="0"/>
        <w:rPr>
          <w:sz w:val="16"/>
          <w:szCs w:val="20"/>
        </w:rPr>
      </w:pPr>
      <w:r w:rsidRPr="008D0479">
        <w:rPr>
          <w:sz w:val="16"/>
          <w:szCs w:val="20"/>
        </w:rPr>
        <w:t>Conclusión</w:t>
      </w:r>
      <w:r w:rsidRPr="008D0479">
        <w:rPr>
          <w:sz w:val="16"/>
          <w:szCs w:val="20"/>
        </w:rPr>
        <w:tab/>
        <w:t>805</w:t>
      </w:r>
    </w:p>
    <w:p w14:paraId="206B536A" w14:textId="77777777" w:rsidR="00B67276" w:rsidRPr="008D0479" w:rsidRDefault="00B67276" w:rsidP="00B67276">
      <w:pPr>
        <w:tabs>
          <w:tab w:val="left" w:pos="1418"/>
          <w:tab w:val="right" w:leader="dot" w:pos="6662"/>
        </w:tabs>
        <w:spacing w:after="0"/>
        <w:rPr>
          <w:sz w:val="16"/>
          <w:szCs w:val="20"/>
        </w:rPr>
      </w:pPr>
    </w:p>
    <w:p w14:paraId="506BBEA2" w14:textId="77777777" w:rsidR="00B67276" w:rsidRPr="008D0479" w:rsidRDefault="00B67276" w:rsidP="00B67276">
      <w:pPr>
        <w:tabs>
          <w:tab w:val="left" w:pos="1418"/>
          <w:tab w:val="right" w:leader="dot" w:pos="6662"/>
        </w:tabs>
        <w:spacing w:after="0"/>
        <w:jc w:val="center"/>
        <w:rPr>
          <w:i/>
          <w:iCs/>
          <w:sz w:val="22"/>
          <w:szCs w:val="28"/>
        </w:rPr>
      </w:pPr>
      <w:r w:rsidRPr="008D0479">
        <w:rPr>
          <w:i/>
          <w:iCs/>
          <w:sz w:val="22"/>
          <w:szCs w:val="28"/>
        </w:rPr>
        <w:t>Índice, Glosario y Tablas I al VI</w:t>
      </w:r>
    </w:p>
    <w:p w14:paraId="507D1E5F" w14:textId="77777777" w:rsidR="00B67276" w:rsidRPr="008D0479" w:rsidRDefault="00B67276" w:rsidP="00B67276">
      <w:pPr>
        <w:tabs>
          <w:tab w:val="left" w:pos="1418"/>
          <w:tab w:val="right" w:leader="dot" w:pos="6662"/>
        </w:tabs>
        <w:spacing w:after="0"/>
        <w:rPr>
          <w:sz w:val="16"/>
          <w:szCs w:val="20"/>
        </w:rPr>
      </w:pPr>
    </w:p>
    <w:p w14:paraId="6B031453" w14:textId="77777777" w:rsidR="00B67276" w:rsidRPr="008D0479" w:rsidRDefault="00B67276" w:rsidP="00B67276">
      <w:pPr>
        <w:tabs>
          <w:tab w:val="left" w:pos="993"/>
          <w:tab w:val="right" w:leader="dot" w:pos="6662"/>
        </w:tabs>
        <w:spacing w:after="0"/>
        <w:rPr>
          <w:sz w:val="16"/>
          <w:szCs w:val="20"/>
        </w:rPr>
      </w:pPr>
      <w:r w:rsidRPr="008D0479">
        <w:rPr>
          <w:sz w:val="16"/>
          <w:szCs w:val="20"/>
        </w:rPr>
        <w:t>Índice</w:t>
      </w:r>
      <w:r w:rsidRPr="008D0479">
        <w:rPr>
          <w:sz w:val="16"/>
          <w:szCs w:val="20"/>
        </w:rPr>
        <w:tab/>
      </w:r>
      <w:r w:rsidRPr="008D0479">
        <w:rPr>
          <w:sz w:val="16"/>
          <w:szCs w:val="20"/>
        </w:rPr>
        <w:tab/>
        <w:t>809</w:t>
      </w:r>
    </w:p>
    <w:p w14:paraId="702FB0FB" w14:textId="77777777" w:rsidR="00B67276" w:rsidRPr="008D0479" w:rsidRDefault="00B67276" w:rsidP="00B67276">
      <w:pPr>
        <w:tabs>
          <w:tab w:val="left" w:pos="993"/>
          <w:tab w:val="right" w:leader="dot" w:pos="6662"/>
        </w:tabs>
        <w:spacing w:after="0"/>
        <w:rPr>
          <w:sz w:val="16"/>
          <w:szCs w:val="20"/>
        </w:rPr>
      </w:pPr>
      <w:r w:rsidRPr="008D0479">
        <w:rPr>
          <w:sz w:val="16"/>
          <w:szCs w:val="20"/>
        </w:rPr>
        <w:t xml:space="preserve">Glosario </w:t>
      </w:r>
      <w:r w:rsidRPr="008D0479">
        <w:rPr>
          <w:sz w:val="16"/>
          <w:szCs w:val="20"/>
        </w:rPr>
        <w:tab/>
        <w:t>Pali–</w:t>
      </w:r>
      <w:proofErr w:type="gramStart"/>
      <w:r w:rsidRPr="008D0479">
        <w:rPr>
          <w:sz w:val="16"/>
          <w:szCs w:val="20"/>
        </w:rPr>
        <w:t>Inglés</w:t>
      </w:r>
      <w:proofErr w:type="gramEnd"/>
      <w:r w:rsidRPr="008D0479">
        <w:rPr>
          <w:sz w:val="16"/>
          <w:szCs w:val="20"/>
        </w:rPr>
        <w:t xml:space="preserve"> de algunos temas y términos técnicos</w:t>
      </w:r>
      <w:r w:rsidRPr="008D0479">
        <w:rPr>
          <w:sz w:val="16"/>
          <w:szCs w:val="20"/>
        </w:rPr>
        <w:tab/>
        <w:t>832</w:t>
      </w:r>
    </w:p>
    <w:p w14:paraId="70A57EB3" w14:textId="77777777" w:rsidR="00B67276" w:rsidRPr="008D0479" w:rsidRDefault="00B67276" w:rsidP="00B67276">
      <w:pPr>
        <w:tabs>
          <w:tab w:val="left" w:pos="993"/>
          <w:tab w:val="right" w:leader="dot" w:pos="6662"/>
        </w:tabs>
        <w:spacing w:after="0"/>
        <w:rPr>
          <w:sz w:val="16"/>
          <w:szCs w:val="20"/>
        </w:rPr>
      </w:pPr>
      <w:r w:rsidRPr="008D0479">
        <w:rPr>
          <w:smallCaps/>
          <w:sz w:val="16"/>
          <w:szCs w:val="20"/>
        </w:rPr>
        <w:t>Tabla</w:t>
      </w:r>
      <w:r w:rsidRPr="008D0479">
        <w:rPr>
          <w:sz w:val="16"/>
          <w:szCs w:val="20"/>
        </w:rPr>
        <w:t xml:space="preserve"> I: </w:t>
      </w:r>
      <w:r w:rsidRPr="008D0479">
        <w:rPr>
          <w:sz w:val="16"/>
          <w:szCs w:val="20"/>
        </w:rPr>
        <w:tab/>
      </w:r>
      <w:r w:rsidRPr="008D0479">
        <w:rPr>
          <w:smallCaps/>
          <w:sz w:val="16"/>
          <w:szCs w:val="20"/>
        </w:rPr>
        <w:t>El Agregado de la Materialidad</w:t>
      </w:r>
      <w:r w:rsidRPr="008D0479">
        <w:rPr>
          <w:sz w:val="16"/>
          <w:szCs w:val="20"/>
        </w:rPr>
        <w:tab/>
        <w:t>846</w:t>
      </w:r>
    </w:p>
    <w:p w14:paraId="17FA7A10" w14:textId="77777777" w:rsidR="00B67276" w:rsidRPr="008D0479" w:rsidRDefault="00B67276" w:rsidP="00B67276">
      <w:pPr>
        <w:tabs>
          <w:tab w:val="left" w:pos="993"/>
          <w:tab w:val="right" w:leader="dot" w:pos="6662"/>
        </w:tabs>
        <w:spacing w:after="0"/>
        <w:rPr>
          <w:sz w:val="16"/>
          <w:szCs w:val="20"/>
        </w:rPr>
      </w:pPr>
      <w:r w:rsidRPr="008D0479">
        <w:rPr>
          <w:smallCaps/>
          <w:sz w:val="16"/>
          <w:szCs w:val="20"/>
        </w:rPr>
        <w:t>Tabla</w:t>
      </w:r>
      <w:r w:rsidRPr="008D0479">
        <w:rPr>
          <w:sz w:val="16"/>
          <w:szCs w:val="20"/>
        </w:rPr>
        <w:t xml:space="preserve"> II: </w:t>
      </w:r>
      <w:r w:rsidRPr="008D0479">
        <w:rPr>
          <w:sz w:val="16"/>
          <w:szCs w:val="20"/>
        </w:rPr>
        <w:tab/>
      </w:r>
      <w:r w:rsidRPr="008D0479">
        <w:rPr>
          <w:smallCaps/>
          <w:sz w:val="16"/>
          <w:szCs w:val="20"/>
        </w:rPr>
        <w:t>El Agregado De Formaciones</w:t>
      </w:r>
      <w:r w:rsidRPr="008D0479">
        <w:rPr>
          <w:sz w:val="16"/>
          <w:szCs w:val="20"/>
        </w:rPr>
        <w:tab/>
        <w:t>847</w:t>
      </w:r>
    </w:p>
    <w:p w14:paraId="7F2973FA" w14:textId="77777777" w:rsidR="00B67276" w:rsidRPr="008D0479" w:rsidRDefault="00B67276" w:rsidP="00B67276">
      <w:pPr>
        <w:tabs>
          <w:tab w:val="left" w:pos="993"/>
          <w:tab w:val="right" w:leader="dot" w:pos="6662"/>
        </w:tabs>
        <w:spacing w:after="0"/>
        <w:rPr>
          <w:sz w:val="16"/>
          <w:szCs w:val="20"/>
        </w:rPr>
      </w:pPr>
      <w:r w:rsidRPr="008D0479">
        <w:rPr>
          <w:smallCaps/>
          <w:sz w:val="16"/>
          <w:szCs w:val="20"/>
        </w:rPr>
        <w:t>Tabla</w:t>
      </w:r>
      <w:r w:rsidRPr="008D0479">
        <w:rPr>
          <w:sz w:val="16"/>
          <w:szCs w:val="20"/>
        </w:rPr>
        <w:t xml:space="preserve"> III: </w:t>
      </w:r>
      <w:r w:rsidRPr="008D0479">
        <w:rPr>
          <w:sz w:val="16"/>
          <w:szCs w:val="20"/>
        </w:rPr>
        <w:tab/>
      </w:r>
      <w:r w:rsidRPr="008D0479">
        <w:rPr>
          <w:smallCaps/>
          <w:sz w:val="16"/>
          <w:szCs w:val="20"/>
        </w:rPr>
        <w:t>Agregado de la Consciencia</w:t>
      </w:r>
      <w:r w:rsidRPr="008D0479">
        <w:rPr>
          <w:sz w:val="16"/>
          <w:szCs w:val="20"/>
        </w:rPr>
        <w:tab/>
        <w:t>848</w:t>
      </w:r>
    </w:p>
    <w:p w14:paraId="7453388D" w14:textId="77777777" w:rsidR="00B67276" w:rsidRPr="008D0479" w:rsidRDefault="00B67276" w:rsidP="00B67276">
      <w:pPr>
        <w:tabs>
          <w:tab w:val="left" w:pos="993"/>
          <w:tab w:val="right" w:leader="dot" w:pos="6662"/>
        </w:tabs>
        <w:spacing w:after="0"/>
        <w:ind w:left="1418" w:hanging="1418"/>
        <w:rPr>
          <w:sz w:val="16"/>
          <w:szCs w:val="20"/>
        </w:rPr>
      </w:pPr>
      <w:r w:rsidRPr="008D0479">
        <w:rPr>
          <w:smallCaps/>
          <w:sz w:val="16"/>
          <w:szCs w:val="20"/>
        </w:rPr>
        <w:t>Tabla</w:t>
      </w:r>
      <w:r w:rsidRPr="008D0479">
        <w:rPr>
          <w:sz w:val="16"/>
          <w:szCs w:val="20"/>
        </w:rPr>
        <w:t xml:space="preserve"> IV: </w:t>
      </w:r>
      <w:r w:rsidRPr="008D0479">
        <w:rPr>
          <w:sz w:val="16"/>
          <w:szCs w:val="20"/>
        </w:rPr>
        <w:tab/>
      </w:r>
      <w:r w:rsidRPr="008D0479">
        <w:rPr>
          <w:smallCaps/>
          <w:sz w:val="16"/>
          <w:szCs w:val="20"/>
        </w:rPr>
        <w:t xml:space="preserve">La Combinación del Agregado de las Formaciones y el </w:t>
      </w:r>
      <w:r w:rsidRPr="008D0479">
        <w:rPr>
          <w:smallCaps/>
          <w:sz w:val="16"/>
          <w:szCs w:val="20"/>
        </w:rPr>
        <w:br/>
        <w:t>Agregado de la Consciencia</w:t>
      </w:r>
      <w:r w:rsidRPr="008D0479">
        <w:rPr>
          <w:sz w:val="16"/>
          <w:szCs w:val="20"/>
        </w:rPr>
        <w:tab/>
        <w:t>850</w:t>
      </w:r>
    </w:p>
    <w:p w14:paraId="37AD6771" w14:textId="77777777" w:rsidR="00B67276" w:rsidRPr="008D0479" w:rsidRDefault="00B67276" w:rsidP="00B67276">
      <w:pPr>
        <w:tabs>
          <w:tab w:val="left" w:pos="993"/>
          <w:tab w:val="right" w:leader="dot" w:pos="6662"/>
        </w:tabs>
        <w:spacing w:after="0"/>
        <w:ind w:left="1418" w:hanging="1418"/>
        <w:rPr>
          <w:sz w:val="16"/>
          <w:szCs w:val="20"/>
        </w:rPr>
      </w:pPr>
      <w:r w:rsidRPr="008D0479">
        <w:rPr>
          <w:smallCaps/>
          <w:sz w:val="16"/>
          <w:szCs w:val="20"/>
        </w:rPr>
        <w:t>Tabla</w:t>
      </w:r>
      <w:r w:rsidRPr="008D0479">
        <w:rPr>
          <w:sz w:val="16"/>
          <w:szCs w:val="20"/>
        </w:rPr>
        <w:t xml:space="preserve"> V: </w:t>
      </w:r>
      <w:r w:rsidRPr="008D0479">
        <w:rPr>
          <w:sz w:val="16"/>
          <w:szCs w:val="20"/>
        </w:rPr>
        <w:tab/>
      </w:r>
      <w:r w:rsidRPr="008D0479">
        <w:rPr>
          <w:smallCaps/>
          <w:sz w:val="16"/>
          <w:szCs w:val="20"/>
        </w:rPr>
        <w:t>La Serie Cognitiva de la Ocurrencia de la Consciencia (</w:t>
      </w:r>
      <w:proofErr w:type="spellStart"/>
      <w:r w:rsidRPr="008D0479">
        <w:rPr>
          <w:i/>
          <w:iCs/>
          <w:smallCaps/>
          <w:sz w:val="16"/>
          <w:szCs w:val="20"/>
        </w:rPr>
        <w:t>Citta</w:t>
      </w:r>
      <w:proofErr w:type="spellEnd"/>
      <w:r w:rsidRPr="008D0479">
        <w:rPr>
          <w:i/>
          <w:iCs/>
          <w:smallCaps/>
          <w:sz w:val="16"/>
          <w:szCs w:val="20"/>
        </w:rPr>
        <w:t>–</w:t>
      </w:r>
      <w:proofErr w:type="spellStart"/>
      <w:r w:rsidRPr="008D0479">
        <w:rPr>
          <w:i/>
          <w:iCs/>
          <w:smallCaps/>
          <w:sz w:val="16"/>
          <w:szCs w:val="20"/>
        </w:rPr>
        <w:t>Vīthi</w:t>
      </w:r>
      <w:proofErr w:type="spellEnd"/>
      <w:r w:rsidRPr="008D0479">
        <w:rPr>
          <w:smallCaps/>
          <w:sz w:val="16"/>
          <w:szCs w:val="20"/>
        </w:rPr>
        <w:t xml:space="preserve">) </w:t>
      </w:r>
      <w:r w:rsidRPr="008D0479">
        <w:rPr>
          <w:smallCaps/>
          <w:sz w:val="16"/>
          <w:szCs w:val="20"/>
        </w:rPr>
        <w:br/>
        <w:t xml:space="preserve">Tal Como se Presenta en El </w:t>
      </w:r>
      <w:r w:rsidRPr="008D0479">
        <w:rPr>
          <w:i/>
          <w:iCs/>
          <w:smallCaps/>
          <w:sz w:val="16"/>
          <w:szCs w:val="20"/>
        </w:rPr>
        <w:t>Visuddhimagga</w:t>
      </w:r>
      <w:r w:rsidRPr="008D0479">
        <w:rPr>
          <w:smallCaps/>
          <w:sz w:val="16"/>
          <w:szCs w:val="20"/>
        </w:rPr>
        <w:t xml:space="preserve"> y Comentarios</w:t>
      </w:r>
      <w:r w:rsidRPr="008D0479">
        <w:rPr>
          <w:sz w:val="16"/>
          <w:szCs w:val="20"/>
        </w:rPr>
        <w:tab/>
        <w:t>851</w:t>
      </w:r>
    </w:p>
    <w:p w14:paraId="12663B63" w14:textId="77777777" w:rsidR="00B67276" w:rsidRPr="008D0479" w:rsidRDefault="00B67276" w:rsidP="00B67276">
      <w:pPr>
        <w:tabs>
          <w:tab w:val="left" w:pos="993"/>
          <w:tab w:val="right" w:leader="dot" w:pos="6662"/>
        </w:tabs>
        <w:spacing w:after="0"/>
        <w:rPr>
          <w:sz w:val="16"/>
          <w:szCs w:val="20"/>
        </w:rPr>
      </w:pPr>
      <w:r w:rsidRPr="008D0479">
        <w:rPr>
          <w:smallCaps/>
          <w:sz w:val="16"/>
          <w:szCs w:val="20"/>
        </w:rPr>
        <w:t>Tabla</w:t>
      </w:r>
      <w:r w:rsidRPr="008D0479">
        <w:rPr>
          <w:sz w:val="16"/>
          <w:szCs w:val="20"/>
        </w:rPr>
        <w:t xml:space="preserve"> VI: </w:t>
      </w:r>
      <w:r w:rsidRPr="008D0479">
        <w:rPr>
          <w:sz w:val="16"/>
          <w:szCs w:val="20"/>
        </w:rPr>
        <w:tab/>
      </w:r>
      <w:r w:rsidRPr="008D0479">
        <w:rPr>
          <w:smallCaps/>
          <w:sz w:val="16"/>
          <w:szCs w:val="20"/>
        </w:rPr>
        <w:t>Originación Dependiente</w:t>
      </w:r>
      <w:r w:rsidRPr="008D0479">
        <w:rPr>
          <w:sz w:val="16"/>
          <w:szCs w:val="20"/>
        </w:rPr>
        <w:t xml:space="preserve"> (</w:t>
      </w:r>
      <w:proofErr w:type="spellStart"/>
      <w:r w:rsidRPr="008D0479">
        <w:rPr>
          <w:i/>
          <w:iCs/>
          <w:sz w:val="16"/>
          <w:szCs w:val="20"/>
        </w:rPr>
        <w:t>Paṭicca</w:t>
      </w:r>
      <w:proofErr w:type="spellEnd"/>
      <w:r w:rsidRPr="008D0479">
        <w:rPr>
          <w:i/>
          <w:iCs/>
          <w:sz w:val="16"/>
          <w:szCs w:val="20"/>
        </w:rPr>
        <w:t>–</w:t>
      </w:r>
      <w:proofErr w:type="spellStart"/>
      <w:r w:rsidRPr="008D0479">
        <w:rPr>
          <w:i/>
          <w:iCs/>
          <w:sz w:val="16"/>
          <w:szCs w:val="20"/>
        </w:rPr>
        <w:t>Samuppāda</w:t>
      </w:r>
      <w:proofErr w:type="spellEnd"/>
      <w:r w:rsidRPr="008D0479">
        <w:rPr>
          <w:sz w:val="16"/>
          <w:szCs w:val="20"/>
        </w:rPr>
        <w:t>)</w:t>
      </w:r>
      <w:r w:rsidRPr="008D0479">
        <w:rPr>
          <w:sz w:val="16"/>
          <w:szCs w:val="20"/>
        </w:rPr>
        <w:tab/>
        <w:t>852</w:t>
      </w:r>
    </w:p>
    <w:p w14:paraId="7700F690" w14:textId="77777777" w:rsidR="00B67276" w:rsidRPr="008D0479" w:rsidRDefault="00B67276" w:rsidP="00B67276">
      <w:pPr>
        <w:ind w:left="360"/>
        <w:rPr>
          <w:sz w:val="16"/>
          <w:szCs w:val="20"/>
        </w:rPr>
      </w:pPr>
    </w:p>
    <w:p w14:paraId="7AFFFBF4" w14:textId="77777777" w:rsidR="00B67276" w:rsidRPr="008D0479" w:rsidRDefault="00B67276" w:rsidP="00B67276">
      <w:pPr>
        <w:rPr>
          <w:sz w:val="16"/>
          <w:szCs w:val="20"/>
        </w:rPr>
      </w:pPr>
      <w:r w:rsidRPr="008D0479">
        <w:rPr>
          <w:sz w:val="16"/>
          <w:szCs w:val="20"/>
        </w:rPr>
        <w:tab/>
      </w:r>
    </w:p>
    <w:p w14:paraId="4971B368" w14:textId="77777777" w:rsidR="00B67276" w:rsidRPr="008D0479" w:rsidRDefault="00B67276" w:rsidP="00B67276">
      <w:pPr>
        <w:ind w:left="360"/>
        <w:rPr>
          <w:sz w:val="16"/>
          <w:szCs w:val="20"/>
        </w:rPr>
        <w:sectPr w:rsidR="00B67276" w:rsidRPr="008D0479" w:rsidSect="00305694">
          <w:footerReference w:type="default" r:id="rId18"/>
          <w:pgSz w:w="8641" w:h="12962"/>
          <w:pgMar w:top="851" w:right="964" w:bottom="964" w:left="964" w:header="709" w:footer="709" w:gutter="0"/>
          <w:pgNumType w:fmt="lowerRoman" w:start="7"/>
          <w:cols w:space="708"/>
          <w:docGrid w:linePitch="360"/>
        </w:sectPr>
      </w:pPr>
    </w:p>
    <w:p w14:paraId="29FC68AF" w14:textId="77777777" w:rsidR="00B67276" w:rsidRPr="008D0479" w:rsidRDefault="00B67276" w:rsidP="00B67276">
      <w:pPr>
        <w:ind w:left="360"/>
        <w:rPr>
          <w:sz w:val="16"/>
          <w:szCs w:val="20"/>
        </w:rPr>
      </w:pPr>
    </w:p>
    <w:p w14:paraId="5348DB7D" w14:textId="77777777" w:rsidR="00B67276" w:rsidRPr="006A39D9" w:rsidRDefault="00B67276" w:rsidP="008B203B">
      <w:pPr>
        <w:pStyle w:val="Ttulo1"/>
        <w:rPr>
          <w:smallCaps/>
          <w:sz w:val="16"/>
          <w:szCs w:val="10"/>
        </w:rPr>
      </w:pPr>
      <w:r w:rsidRPr="006A39D9">
        <w:rPr>
          <w:smallCaps/>
          <w:color w:val="auto"/>
          <w:sz w:val="28"/>
          <w:szCs w:val="20"/>
        </w:rPr>
        <w:t>Contenido</w:t>
      </w:r>
      <w:r w:rsidRPr="006A39D9">
        <w:rPr>
          <w:smallCaps/>
          <w:color w:val="auto"/>
          <w:sz w:val="28"/>
          <w:szCs w:val="20"/>
        </w:rPr>
        <w:br/>
      </w:r>
      <w:r w:rsidRPr="006A39D9">
        <w:rPr>
          <w:smallCaps/>
          <w:sz w:val="16"/>
          <w:szCs w:val="10"/>
        </w:rPr>
        <w:t>(Detallado, por Tema y N0. de Párrafo)</w:t>
      </w:r>
    </w:p>
    <w:p w14:paraId="2D19230D" w14:textId="77777777" w:rsidR="00B67276" w:rsidRPr="008D0479" w:rsidRDefault="00B67276" w:rsidP="00B67276">
      <w:pPr>
        <w:spacing w:after="0"/>
        <w:ind w:left="357"/>
        <w:rPr>
          <w:sz w:val="16"/>
          <w:szCs w:val="20"/>
        </w:rPr>
      </w:pPr>
    </w:p>
    <w:p w14:paraId="38627EFE" w14:textId="77777777" w:rsidR="00B67276" w:rsidRPr="008D0479" w:rsidRDefault="00B67276" w:rsidP="00B67276">
      <w:pPr>
        <w:spacing w:after="0"/>
        <w:ind w:left="357"/>
        <w:jc w:val="center"/>
        <w:rPr>
          <w:i/>
          <w:iCs/>
          <w:sz w:val="16"/>
          <w:szCs w:val="20"/>
        </w:rPr>
      </w:pPr>
      <w:r w:rsidRPr="008D0479">
        <w:rPr>
          <w:i/>
          <w:iCs/>
          <w:sz w:val="16"/>
          <w:szCs w:val="20"/>
        </w:rPr>
        <w:t>PARTE I — VIRTUD</w:t>
      </w:r>
    </w:p>
    <w:p w14:paraId="35AEA4E0" w14:textId="77777777" w:rsidR="00B67276" w:rsidRPr="008D0479" w:rsidRDefault="00B67276" w:rsidP="00B67276">
      <w:pPr>
        <w:spacing w:after="0"/>
        <w:ind w:left="357"/>
        <w:jc w:val="center"/>
        <w:rPr>
          <w:i/>
          <w:iCs/>
          <w:sz w:val="16"/>
          <w:szCs w:val="20"/>
        </w:rPr>
      </w:pPr>
    </w:p>
    <w:p w14:paraId="07F7ED9C" w14:textId="77777777" w:rsidR="00B67276" w:rsidRPr="008D0479" w:rsidRDefault="00B67276" w:rsidP="00B67276">
      <w:pPr>
        <w:spacing w:after="0"/>
        <w:ind w:left="357"/>
        <w:jc w:val="center"/>
        <w:rPr>
          <w:b/>
          <w:bCs/>
          <w:i/>
          <w:iCs/>
          <w:sz w:val="16"/>
          <w:szCs w:val="20"/>
        </w:rPr>
      </w:pPr>
      <w:r w:rsidRPr="008D0479">
        <w:rPr>
          <w:b/>
          <w:bCs/>
          <w:i/>
          <w:iCs/>
          <w:sz w:val="16"/>
          <w:szCs w:val="20"/>
        </w:rPr>
        <w:t>1. Purificación de la virtud</w:t>
      </w:r>
    </w:p>
    <w:p w14:paraId="4D63310B" w14:textId="77777777" w:rsidR="00B67276" w:rsidRPr="008D0479" w:rsidRDefault="00B67276" w:rsidP="00B67276">
      <w:pPr>
        <w:spacing w:after="0"/>
        <w:ind w:left="357"/>
        <w:jc w:val="center"/>
        <w:rPr>
          <w:b/>
          <w:bCs/>
          <w:i/>
          <w:iCs/>
          <w:sz w:val="16"/>
          <w:szCs w:val="20"/>
        </w:rPr>
      </w:pPr>
    </w:p>
    <w:p w14:paraId="715D55C0" w14:textId="77777777" w:rsidR="00B67276" w:rsidRPr="008D0479" w:rsidRDefault="00B67276" w:rsidP="00B67276">
      <w:pPr>
        <w:tabs>
          <w:tab w:val="right" w:pos="6804"/>
        </w:tabs>
        <w:spacing w:after="0"/>
        <w:ind w:left="357"/>
        <w:rPr>
          <w:sz w:val="12"/>
          <w:szCs w:val="16"/>
        </w:rPr>
      </w:pPr>
      <w:r w:rsidRPr="008D0479">
        <w:rPr>
          <w:sz w:val="12"/>
          <w:szCs w:val="16"/>
        </w:rPr>
        <w:tab/>
      </w:r>
      <w:r w:rsidRPr="008D0479">
        <w:rPr>
          <w:sz w:val="12"/>
          <w:szCs w:val="16"/>
        </w:rPr>
        <w:tab/>
        <w:t>No. de Párrafo.</w:t>
      </w:r>
    </w:p>
    <w:p w14:paraId="24AF9007" w14:textId="77777777" w:rsidR="00B67276" w:rsidRPr="008D0479" w:rsidRDefault="00B67276" w:rsidP="00B67276">
      <w:pPr>
        <w:tabs>
          <w:tab w:val="clear" w:pos="425"/>
          <w:tab w:val="left" w:pos="357"/>
          <w:tab w:val="left" w:pos="851"/>
          <w:tab w:val="right" w:leader="hyphen" w:pos="6804"/>
        </w:tabs>
        <w:spacing w:after="0"/>
        <w:rPr>
          <w:smallCaps/>
          <w:sz w:val="16"/>
          <w:szCs w:val="20"/>
        </w:rPr>
      </w:pPr>
      <w:r w:rsidRPr="008D0479">
        <w:rPr>
          <w:smallCaps/>
          <w:sz w:val="16"/>
          <w:szCs w:val="20"/>
        </w:rPr>
        <w:t>Capítulo I — Descripción de la Virtud</w:t>
      </w:r>
    </w:p>
    <w:p w14:paraId="7E3517F5"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I </w:t>
      </w:r>
      <w:r w:rsidRPr="008D0479">
        <w:rPr>
          <w:sz w:val="16"/>
          <w:szCs w:val="20"/>
        </w:rPr>
        <w:tab/>
        <w:t xml:space="preserve">Introducción </w:t>
      </w:r>
      <w:r w:rsidRPr="008D0479">
        <w:rPr>
          <w:sz w:val="16"/>
          <w:szCs w:val="20"/>
        </w:rPr>
        <w:tab/>
        <w:t>1</w:t>
      </w:r>
    </w:p>
    <w:p w14:paraId="55E513C7"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II </w:t>
      </w:r>
      <w:r w:rsidRPr="008D0479">
        <w:rPr>
          <w:sz w:val="16"/>
          <w:szCs w:val="20"/>
        </w:rPr>
        <w:tab/>
        <w:t xml:space="preserve">Virtud </w:t>
      </w:r>
      <w:r w:rsidRPr="008D0479">
        <w:rPr>
          <w:sz w:val="16"/>
          <w:szCs w:val="20"/>
        </w:rPr>
        <w:tab/>
        <w:t>16</w:t>
      </w:r>
    </w:p>
    <w:p w14:paraId="5034AA3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 xml:space="preserve">(i) ¿Qué es virtud? </w:t>
      </w:r>
      <w:r w:rsidRPr="008D0479">
        <w:rPr>
          <w:sz w:val="16"/>
          <w:szCs w:val="20"/>
        </w:rPr>
        <w:tab/>
        <w:t>16</w:t>
      </w:r>
    </w:p>
    <w:p w14:paraId="0F72A932"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w:t>
      </w:r>
      <w:proofErr w:type="spellStart"/>
      <w:r w:rsidRPr="008D0479">
        <w:rPr>
          <w:sz w:val="16"/>
          <w:szCs w:val="20"/>
        </w:rPr>
        <w:t>ii</w:t>
      </w:r>
      <w:proofErr w:type="spellEnd"/>
      <w:r w:rsidRPr="008D0479">
        <w:rPr>
          <w:sz w:val="16"/>
          <w:szCs w:val="20"/>
        </w:rPr>
        <w:t xml:space="preserve">) ¿En qué sentido es virtud? </w:t>
      </w:r>
      <w:r w:rsidRPr="008D0479">
        <w:rPr>
          <w:sz w:val="16"/>
          <w:szCs w:val="20"/>
        </w:rPr>
        <w:tab/>
        <w:t>19</w:t>
      </w:r>
    </w:p>
    <w:p w14:paraId="3CD192E5"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w:t>
      </w:r>
      <w:proofErr w:type="spellStart"/>
      <w:r w:rsidRPr="008D0479">
        <w:rPr>
          <w:sz w:val="16"/>
          <w:szCs w:val="20"/>
        </w:rPr>
        <w:t>iii</w:t>
      </w:r>
      <w:proofErr w:type="spellEnd"/>
      <w:r w:rsidRPr="008D0479">
        <w:rPr>
          <w:sz w:val="16"/>
          <w:szCs w:val="20"/>
        </w:rPr>
        <w:t xml:space="preserve">) ¿Cuáles son sus características, etc.? </w:t>
      </w:r>
      <w:r w:rsidRPr="008D0479">
        <w:rPr>
          <w:sz w:val="16"/>
          <w:szCs w:val="20"/>
        </w:rPr>
        <w:tab/>
        <w:t>20</w:t>
      </w:r>
    </w:p>
    <w:p w14:paraId="4EFD29B7"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w:t>
      </w:r>
      <w:proofErr w:type="spellStart"/>
      <w:r w:rsidRPr="008D0479">
        <w:rPr>
          <w:sz w:val="16"/>
          <w:szCs w:val="20"/>
        </w:rPr>
        <w:t>iv</w:t>
      </w:r>
      <w:proofErr w:type="spellEnd"/>
      <w:r w:rsidRPr="008D0479">
        <w:rPr>
          <w:sz w:val="16"/>
          <w:szCs w:val="20"/>
        </w:rPr>
        <w:t>) ¿Cuáles son los beneficios de la virtud?</w:t>
      </w:r>
      <w:r w:rsidRPr="008D0479">
        <w:rPr>
          <w:sz w:val="16"/>
          <w:szCs w:val="20"/>
        </w:rPr>
        <w:tab/>
        <w:t>23</w:t>
      </w:r>
    </w:p>
    <w:p w14:paraId="6136391B"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(v) ¿Cuántas clases de virtudes existen?</w:t>
      </w:r>
      <w:r w:rsidRPr="008D0479">
        <w:rPr>
          <w:sz w:val="16"/>
          <w:szCs w:val="20"/>
        </w:rPr>
        <w:tab/>
        <w:t>25</w:t>
      </w:r>
    </w:p>
    <w:p w14:paraId="7839A2A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 xml:space="preserve">1 </w:t>
      </w:r>
      <w:proofErr w:type="gramStart"/>
      <w:r w:rsidRPr="008D0479">
        <w:rPr>
          <w:sz w:val="16"/>
          <w:szCs w:val="20"/>
        </w:rPr>
        <w:t>Unidad</w:t>
      </w:r>
      <w:proofErr w:type="gramEnd"/>
      <w:r w:rsidRPr="008D0479">
        <w:rPr>
          <w:sz w:val="16"/>
          <w:szCs w:val="20"/>
        </w:rPr>
        <w:t xml:space="preserve"> </w:t>
      </w:r>
      <w:r w:rsidRPr="008D0479">
        <w:rPr>
          <w:sz w:val="16"/>
          <w:szCs w:val="20"/>
        </w:rPr>
        <w:tab/>
        <w:t>26</w:t>
      </w:r>
    </w:p>
    <w:p w14:paraId="5622362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 xml:space="preserve">2–8 Díadas </w:t>
      </w:r>
      <w:r w:rsidRPr="008D0479">
        <w:rPr>
          <w:sz w:val="16"/>
          <w:szCs w:val="20"/>
        </w:rPr>
        <w:tab/>
        <w:t>26</w:t>
      </w:r>
    </w:p>
    <w:p w14:paraId="7983C995"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 xml:space="preserve">9–13 Tríadas </w:t>
      </w:r>
      <w:r w:rsidRPr="008D0479">
        <w:rPr>
          <w:sz w:val="16"/>
          <w:szCs w:val="20"/>
        </w:rPr>
        <w:tab/>
        <w:t>33</w:t>
      </w:r>
    </w:p>
    <w:p w14:paraId="4FD9566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 xml:space="preserve">14–17 Tétradas </w:t>
      </w:r>
      <w:r w:rsidRPr="008D0479">
        <w:rPr>
          <w:sz w:val="16"/>
          <w:szCs w:val="20"/>
        </w:rPr>
        <w:tab/>
        <w:t>39</w:t>
      </w:r>
    </w:p>
    <w:p w14:paraId="5FD4C898"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 xml:space="preserve">Virtud de las 4 purificaciones </w:t>
      </w:r>
      <w:r w:rsidRPr="008D0479">
        <w:rPr>
          <w:sz w:val="16"/>
          <w:szCs w:val="20"/>
        </w:rPr>
        <w:tab/>
        <w:t>42</w:t>
      </w:r>
    </w:p>
    <w:p w14:paraId="01204FE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18–19 Quíntuplos</w:t>
      </w:r>
      <w:r w:rsidRPr="008D0479">
        <w:rPr>
          <w:sz w:val="16"/>
          <w:szCs w:val="20"/>
        </w:rPr>
        <w:tab/>
        <w:t>131</w:t>
      </w:r>
    </w:p>
    <w:p w14:paraId="4FA52A5A"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(vi), (</w:t>
      </w:r>
      <w:proofErr w:type="spellStart"/>
      <w:r w:rsidRPr="008D0479">
        <w:rPr>
          <w:sz w:val="16"/>
          <w:szCs w:val="20"/>
        </w:rPr>
        <w:t>vii</w:t>
      </w:r>
      <w:proofErr w:type="spellEnd"/>
      <w:r w:rsidRPr="008D0479">
        <w:rPr>
          <w:sz w:val="16"/>
          <w:szCs w:val="20"/>
        </w:rPr>
        <w:t xml:space="preserve">) ¿Cuáles son las contaminaciones y la purificación de </w:t>
      </w:r>
      <w:proofErr w:type="gramStart"/>
      <w:r w:rsidRPr="008D0479">
        <w:rPr>
          <w:sz w:val="16"/>
          <w:szCs w:val="20"/>
        </w:rPr>
        <w:t>las mismas</w:t>
      </w:r>
      <w:proofErr w:type="gramEnd"/>
      <w:r w:rsidRPr="008D0479">
        <w:rPr>
          <w:sz w:val="16"/>
          <w:szCs w:val="20"/>
        </w:rPr>
        <w:t>?</w:t>
      </w:r>
      <w:r w:rsidRPr="008D0479">
        <w:rPr>
          <w:sz w:val="16"/>
          <w:szCs w:val="20"/>
        </w:rPr>
        <w:tab/>
        <w:t>143</w:t>
      </w:r>
    </w:p>
    <w:p w14:paraId="0E56A0B5" w14:textId="77777777" w:rsidR="00B67276" w:rsidRPr="008D0479" w:rsidRDefault="00B67276" w:rsidP="00B67276">
      <w:pPr>
        <w:tabs>
          <w:tab w:val="clear" w:pos="425"/>
          <w:tab w:val="left" w:pos="357"/>
          <w:tab w:val="left" w:pos="851"/>
          <w:tab w:val="right" w:leader="dot" w:pos="6804"/>
        </w:tabs>
        <w:spacing w:after="0"/>
        <w:rPr>
          <w:sz w:val="16"/>
          <w:szCs w:val="20"/>
        </w:rPr>
      </w:pPr>
    </w:p>
    <w:p w14:paraId="2C5FEECF"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II — Las Prácticas Ascéticas</w:t>
      </w:r>
    </w:p>
    <w:p w14:paraId="3987ADA6" w14:textId="77777777" w:rsidR="00B67276" w:rsidRPr="008D0479" w:rsidRDefault="00B67276" w:rsidP="00B67276">
      <w:pPr>
        <w:tabs>
          <w:tab w:val="clear" w:pos="425"/>
          <w:tab w:val="left" w:pos="357"/>
          <w:tab w:val="left" w:pos="851"/>
          <w:tab w:val="right" w:leader="dot" w:pos="6804"/>
        </w:tabs>
        <w:spacing w:after="0"/>
        <w:rPr>
          <w:sz w:val="16"/>
          <w:szCs w:val="20"/>
        </w:rPr>
      </w:pPr>
    </w:p>
    <w:p w14:paraId="251D97F1" w14:textId="77777777" w:rsidR="00B67276" w:rsidRPr="008D0479" w:rsidRDefault="00B67276" w:rsidP="00B67276">
      <w:pPr>
        <w:tabs>
          <w:tab w:val="clear" w:pos="425"/>
          <w:tab w:val="left" w:pos="357"/>
          <w:tab w:val="left" w:pos="851"/>
          <w:tab w:val="right" w:leader="dot" w:pos="6804"/>
        </w:tabs>
        <w:spacing w:after="0"/>
        <w:jc w:val="center"/>
        <w:rPr>
          <w:i/>
          <w:iCs/>
          <w:smallCaps/>
          <w:sz w:val="16"/>
          <w:szCs w:val="20"/>
        </w:rPr>
      </w:pPr>
      <w:r w:rsidRPr="008D0479">
        <w:rPr>
          <w:i/>
          <w:iCs/>
          <w:smallCaps/>
          <w:sz w:val="16"/>
          <w:szCs w:val="20"/>
        </w:rPr>
        <w:t>Parte II — Concentración</w:t>
      </w:r>
    </w:p>
    <w:p w14:paraId="7B5ABBD5" w14:textId="77777777" w:rsidR="00B67276" w:rsidRPr="008D0479" w:rsidRDefault="00B67276" w:rsidP="00B67276">
      <w:pPr>
        <w:tabs>
          <w:tab w:val="clear" w:pos="425"/>
          <w:tab w:val="left" w:pos="357"/>
          <w:tab w:val="left" w:pos="851"/>
          <w:tab w:val="right" w:leader="dot" w:pos="6804"/>
        </w:tabs>
        <w:spacing w:after="0"/>
        <w:jc w:val="center"/>
        <w:rPr>
          <w:i/>
          <w:iCs/>
          <w:sz w:val="16"/>
          <w:szCs w:val="20"/>
        </w:rPr>
      </w:pPr>
    </w:p>
    <w:p w14:paraId="62E4DEED" w14:textId="77777777" w:rsidR="00B67276" w:rsidRPr="008D0479" w:rsidRDefault="00B67276" w:rsidP="00B67276">
      <w:pPr>
        <w:tabs>
          <w:tab w:val="clear" w:pos="425"/>
          <w:tab w:val="left" w:pos="357"/>
          <w:tab w:val="left" w:pos="851"/>
          <w:tab w:val="right" w:leader="dot" w:pos="6804"/>
        </w:tabs>
        <w:spacing w:after="0"/>
        <w:jc w:val="center"/>
        <w:rPr>
          <w:b/>
          <w:bCs/>
          <w:i/>
          <w:iCs/>
          <w:sz w:val="16"/>
          <w:szCs w:val="20"/>
        </w:rPr>
      </w:pPr>
      <w:r w:rsidRPr="008D0479">
        <w:rPr>
          <w:b/>
          <w:bCs/>
          <w:i/>
          <w:iCs/>
          <w:sz w:val="16"/>
          <w:szCs w:val="20"/>
        </w:rPr>
        <w:t>2. Purificación de la Consciencia</w:t>
      </w:r>
    </w:p>
    <w:p w14:paraId="01491061" w14:textId="77777777" w:rsidR="00B67276" w:rsidRPr="008D0479" w:rsidRDefault="00B67276" w:rsidP="00B67276">
      <w:pPr>
        <w:tabs>
          <w:tab w:val="clear" w:pos="425"/>
          <w:tab w:val="left" w:pos="357"/>
          <w:tab w:val="left" w:pos="851"/>
          <w:tab w:val="right" w:leader="dot" w:pos="6804"/>
        </w:tabs>
        <w:spacing w:after="0"/>
        <w:jc w:val="center"/>
        <w:rPr>
          <w:sz w:val="16"/>
          <w:szCs w:val="20"/>
        </w:rPr>
      </w:pPr>
    </w:p>
    <w:p w14:paraId="6B060A64" w14:textId="77777777" w:rsidR="00B67276" w:rsidRPr="008D0479" w:rsidRDefault="00B67276" w:rsidP="00B67276">
      <w:pPr>
        <w:tabs>
          <w:tab w:val="right" w:pos="6804"/>
        </w:tabs>
        <w:spacing w:after="0"/>
        <w:ind w:left="357"/>
        <w:rPr>
          <w:sz w:val="12"/>
          <w:szCs w:val="16"/>
        </w:rPr>
      </w:pPr>
      <w:r w:rsidRPr="008D0479">
        <w:rPr>
          <w:sz w:val="12"/>
          <w:szCs w:val="16"/>
        </w:rPr>
        <w:tab/>
      </w:r>
      <w:r w:rsidRPr="008D0479">
        <w:rPr>
          <w:sz w:val="12"/>
          <w:szCs w:val="16"/>
        </w:rPr>
        <w:tab/>
        <w:t>No. de Párrafo.</w:t>
      </w:r>
    </w:p>
    <w:p w14:paraId="61C97E29"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III — Adopción de un Objeto de Meditación</w:t>
      </w:r>
    </w:p>
    <w:p w14:paraId="09F9DC90"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Concentración </w:t>
      </w:r>
      <w:r w:rsidRPr="008D0479">
        <w:rPr>
          <w:sz w:val="16"/>
          <w:szCs w:val="20"/>
        </w:rPr>
        <w:tab/>
        <w:t xml:space="preserve"> 1</w:t>
      </w:r>
    </w:p>
    <w:p w14:paraId="518F48D8"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(i) ¿Qué es la concentración? </w:t>
      </w:r>
      <w:r w:rsidRPr="008D0479">
        <w:rPr>
          <w:sz w:val="16"/>
          <w:szCs w:val="20"/>
        </w:rPr>
        <w:tab/>
        <w:t>2</w:t>
      </w:r>
    </w:p>
    <w:p w14:paraId="00EA59B8"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ii</w:t>
      </w:r>
      <w:proofErr w:type="spellEnd"/>
      <w:r w:rsidRPr="008D0479">
        <w:rPr>
          <w:sz w:val="16"/>
          <w:szCs w:val="20"/>
        </w:rPr>
        <w:t xml:space="preserve">) ¿En qué sentido es concentración? </w:t>
      </w:r>
      <w:r w:rsidRPr="008D0479">
        <w:rPr>
          <w:sz w:val="16"/>
          <w:szCs w:val="20"/>
        </w:rPr>
        <w:tab/>
        <w:t>3</w:t>
      </w:r>
    </w:p>
    <w:p w14:paraId="398093C1"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iii</w:t>
      </w:r>
      <w:proofErr w:type="spellEnd"/>
      <w:r w:rsidRPr="008D0479">
        <w:rPr>
          <w:sz w:val="16"/>
          <w:szCs w:val="20"/>
        </w:rPr>
        <w:t xml:space="preserve">) ¿Cuáles son sus características, </w:t>
      </w:r>
      <w:proofErr w:type="spellStart"/>
      <w:r w:rsidRPr="008D0479">
        <w:rPr>
          <w:sz w:val="16"/>
          <w:szCs w:val="20"/>
        </w:rPr>
        <w:t>etc</w:t>
      </w:r>
      <w:proofErr w:type="spellEnd"/>
      <w:r w:rsidRPr="008D0479">
        <w:rPr>
          <w:sz w:val="16"/>
          <w:szCs w:val="20"/>
        </w:rPr>
        <w:t>?</w:t>
      </w:r>
      <w:r w:rsidRPr="008D0479">
        <w:rPr>
          <w:sz w:val="16"/>
          <w:szCs w:val="20"/>
        </w:rPr>
        <w:tab/>
        <w:t>4</w:t>
      </w:r>
    </w:p>
    <w:p w14:paraId="14B11787"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iv</w:t>
      </w:r>
      <w:proofErr w:type="spellEnd"/>
      <w:r w:rsidRPr="008D0479">
        <w:rPr>
          <w:sz w:val="16"/>
          <w:szCs w:val="20"/>
        </w:rPr>
        <w:t xml:space="preserve">) ¿Cuántos tipos de concentración existen? </w:t>
      </w:r>
      <w:r w:rsidRPr="008D0479">
        <w:rPr>
          <w:sz w:val="16"/>
          <w:szCs w:val="20"/>
        </w:rPr>
        <w:tab/>
        <w:t>5</w:t>
      </w:r>
    </w:p>
    <w:p w14:paraId="68E04EC3"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(v), (vi) ¿Cuáles son las contaminaciones y la purificación de </w:t>
      </w:r>
      <w:proofErr w:type="gramStart"/>
      <w:r w:rsidRPr="008D0479">
        <w:rPr>
          <w:sz w:val="16"/>
          <w:szCs w:val="20"/>
        </w:rPr>
        <w:t>las mismas</w:t>
      </w:r>
      <w:proofErr w:type="gramEnd"/>
      <w:r w:rsidRPr="008D0479">
        <w:rPr>
          <w:sz w:val="16"/>
          <w:szCs w:val="20"/>
        </w:rPr>
        <w:t xml:space="preserve">? </w:t>
      </w:r>
      <w:r w:rsidRPr="008D0479">
        <w:rPr>
          <w:sz w:val="16"/>
          <w:szCs w:val="20"/>
        </w:rPr>
        <w:tab/>
        <w:t>26</w:t>
      </w:r>
    </w:p>
    <w:p w14:paraId="003A7BF1" w14:textId="77777777" w:rsidR="00B67276" w:rsidRPr="008D0479" w:rsidRDefault="00B67276" w:rsidP="00B67276">
      <w:pPr>
        <w:tabs>
          <w:tab w:val="clear" w:pos="425"/>
          <w:tab w:val="left" w:pos="851"/>
          <w:tab w:val="right" w:leader="dot" w:pos="6804"/>
        </w:tabs>
        <w:spacing w:after="0"/>
        <w:ind w:left="709" w:hanging="352"/>
        <w:rPr>
          <w:sz w:val="16"/>
          <w:szCs w:val="20"/>
        </w:rPr>
      </w:pPr>
      <w:r w:rsidRPr="008D0479">
        <w:rPr>
          <w:sz w:val="16"/>
          <w:szCs w:val="20"/>
        </w:rPr>
        <w:t>(</w:t>
      </w:r>
      <w:proofErr w:type="spellStart"/>
      <w:r w:rsidRPr="008D0479">
        <w:rPr>
          <w:sz w:val="16"/>
          <w:szCs w:val="20"/>
        </w:rPr>
        <w:t>vii</w:t>
      </w:r>
      <w:proofErr w:type="spellEnd"/>
      <w:r w:rsidRPr="008D0479">
        <w:rPr>
          <w:sz w:val="16"/>
          <w:szCs w:val="20"/>
        </w:rPr>
        <w:t>) ¿Cómo se desarrolla?</w:t>
      </w:r>
      <w:r w:rsidRPr="008D0479">
        <w:rPr>
          <w:sz w:val="16"/>
          <w:szCs w:val="20"/>
        </w:rPr>
        <w:br/>
        <w:t xml:space="preserve">(Nota: este título se aplica hasta el Capítulo XI, §110) </w:t>
      </w:r>
      <w:r w:rsidRPr="008D0479">
        <w:rPr>
          <w:sz w:val="16"/>
          <w:szCs w:val="20"/>
        </w:rPr>
        <w:tab/>
        <w:t>27</w:t>
      </w:r>
    </w:p>
    <w:p w14:paraId="5EB16BA5"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w:t>
      </w:r>
      <w:r w:rsidRPr="008D0479">
        <w:rPr>
          <w:sz w:val="16"/>
          <w:szCs w:val="20"/>
        </w:rPr>
        <w:tab/>
        <w:t xml:space="preserve">Desarrollo, Resumen </w:t>
      </w:r>
      <w:r w:rsidRPr="008D0479">
        <w:rPr>
          <w:sz w:val="16"/>
          <w:szCs w:val="20"/>
        </w:rPr>
        <w:tab/>
        <w:t>27</w:t>
      </w:r>
    </w:p>
    <w:p w14:paraId="577B8164"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B. </w:t>
      </w:r>
      <w:r w:rsidRPr="008D0479">
        <w:rPr>
          <w:sz w:val="16"/>
          <w:szCs w:val="20"/>
        </w:rPr>
        <w:tab/>
        <w:t xml:space="preserve">Desarrollo en detalle (ver nota arriba) </w:t>
      </w:r>
      <w:r w:rsidRPr="008D0479">
        <w:rPr>
          <w:sz w:val="16"/>
          <w:szCs w:val="20"/>
        </w:rPr>
        <w:tab/>
        <w:t>29</w:t>
      </w:r>
    </w:p>
    <w:p w14:paraId="381FC97F"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Los 10 impedimentos</w:t>
      </w:r>
      <w:r w:rsidRPr="008D0479">
        <w:rPr>
          <w:sz w:val="16"/>
          <w:szCs w:val="20"/>
        </w:rPr>
        <w:tab/>
        <w:t>29</w:t>
      </w:r>
    </w:p>
    <w:p w14:paraId="3681E3C1"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El buen amigo</w:t>
      </w:r>
      <w:r w:rsidRPr="008D0479">
        <w:rPr>
          <w:sz w:val="16"/>
          <w:szCs w:val="20"/>
        </w:rPr>
        <w:tab/>
        <w:t>5</w:t>
      </w:r>
    </w:p>
    <w:p w14:paraId="300B3C0E" w14:textId="77777777" w:rsidR="00B67276" w:rsidRPr="008D0479" w:rsidRDefault="00B67276" w:rsidP="00B67276">
      <w:pPr>
        <w:tabs>
          <w:tab w:val="clear" w:pos="425"/>
          <w:tab w:val="left" w:pos="357"/>
          <w:tab w:val="left" w:pos="851"/>
          <w:tab w:val="right" w:leader="dot" w:pos="6804"/>
        </w:tabs>
        <w:spacing w:after="160"/>
        <w:rPr>
          <w:sz w:val="16"/>
          <w:szCs w:val="20"/>
        </w:rPr>
      </w:pPr>
      <w:r w:rsidRPr="008D0479">
        <w:rPr>
          <w:sz w:val="16"/>
          <w:szCs w:val="20"/>
        </w:rPr>
        <w:br w:type="page"/>
      </w:r>
    </w:p>
    <w:p w14:paraId="3A0BAFDD"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lastRenderedPageBreak/>
        <w:t>Objetos de meditación, etc.</w:t>
      </w:r>
      <w:r w:rsidRPr="008D0479">
        <w:rPr>
          <w:sz w:val="16"/>
          <w:szCs w:val="20"/>
        </w:rPr>
        <w:tab/>
        <w:t xml:space="preserve"> 57</w:t>
      </w:r>
    </w:p>
    <w:p w14:paraId="6D6695C3"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Temperamentos </w:t>
      </w:r>
      <w:r w:rsidRPr="008D0479">
        <w:rPr>
          <w:sz w:val="16"/>
          <w:szCs w:val="20"/>
        </w:rPr>
        <w:tab/>
        <w:t xml:space="preserve"> 74</w:t>
      </w:r>
    </w:p>
    <w:p w14:paraId="138C49F0"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Definición de los objetos de meditación</w:t>
      </w:r>
      <w:r w:rsidRPr="008D0479">
        <w:rPr>
          <w:sz w:val="16"/>
          <w:szCs w:val="20"/>
        </w:rPr>
        <w:tab/>
        <w:t xml:space="preserve"> 103</w:t>
      </w:r>
    </w:p>
    <w:p w14:paraId="07FD257A"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Auto dedicación</w:t>
      </w:r>
      <w:r w:rsidRPr="008D0479">
        <w:rPr>
          <w:sz w:val="16"/>
          <w:szCs w:val="20"/>
        </w:rPr>
        <w:tab/>
        <w:t xml:space="preserve"> 123</w:t>
      </w:r>
    </w:p>
    <w:p w14:paraId="15937005"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Modos de exposición</w:t>
      </w:r>
      <w:r w:rsidRPr="008D0479">
        <w:rPr>
          <w:sz w:val="16"/>
          <w:szCs w:val="20"/>
        </w:rPr>
        <w:tab/>
        <w:t xml:space="preserve"> 130</w:t>
      </w:r>
    </w:p>
    <w:p w14:paraId="543D3A38" w14:textId="77777777" w:rsidR="00B67276" w:rsidRPr="008D0479" w:rsidRDefault="00B67276" w:rsidP="00B67276">
      <w:pPr>
        <w:tabs>
          <w:tab w:val="clear" w:pos="425"/>
          <w:tab w:val="left" w:pos="357"/>
          <w:tab w:val="left" w:pos="851"/>
          <w:tab w:val="right" w:leader="dot" w:pos="6804"/>
        </w:tabs>
        <w:spacing w:after="0"/>
        <w:rPr>
          <w:sz w:val="16"/>
          <w:szCs w:val="20"/>
        </w:rPr>
      </w:pPr>
    </w:p>
    <w:p w14:paraId="4BEF5E58"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 xml:space="preserve">Capítulo IV — El </w:t>
      </w:r>
      <w:proofErr w:type="spellStart"/>
      <w:r w:rsidRPr="008D0479">
        <w:rPr>
          <w:i/>
          <w:iCs/>
          <w:smallCaps/>
          <w:sz w:val="16"/>
          <w:szCs w:val="20"/>
        </w:rPr>
        <w:t>Kasiṇa</w:t>
      </w:r>
      <w:proofErr w:type="spellEnd"/>
      <w:r w:rsidRPr="008D0479">
        <w:rPr>
          <w:i/>
          <w:iCs/>
          <w:smallCaps/>
          <w:sz w:val="16"/>
          <w:szCs w:val="20"/>
        </w:rPr>
        <w:t xml:space="preserve"> </w:t>
      </w:r>
      <w:r w:rsidRPr="008D0479">
        <w:rPr>
          <w:smallCaps/>
          <w:sz w:val="16"/>
          <w:szCs w:val="20"/>
        </w:rPr>
        <w:t>Tierra</w:t>
      </w:r>
    </w:p>
    <w:p w14:paraId="3903344E"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mallCaps/>
          <w:sz w:val="16"/>
          <w:szCs w:val="20"/>
        </w:rPr>
        <w:t>Los 18 Defectos de un Monasterio</w:t>
      </w:r>
      <w:r w:rsidRPr="008D0479">
        <w:rPr>
          <w:sz w:val="16"/>
          <w:szCs w:val="20"/>
        </w:rPr>
        <w:t xml:space="preserve"> </w:t>
      </w:r>
      <w:r w:rsidRPr="008D0479">
        <w:rPr>
          <w:sz w:val="16"/>
          <w:szCs w:val="20"/>
        </w:rPr>
        <w:tab/>
        <w:t>2</w:t>
      </w:r>
    </w:p>
    <w:p w14:paraId="4AFA621C"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Los 5 factores del lugar de descanso </w:t>
      </w:r>
      <w:r w:rsidRPr="008D0479">
        <w:rPr>
          <w:sz w:val="16"/>
          <w:szCs w:val="20"/>
        </w:rPr>
        <w:tab/>
        <w:t>19</w:t>
      </w:r>
    </w:p>
    <w:p w14:paraId="0292BAD8"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Los impedimentos menores</w:t>
      </w:r>
      <w:r w:rsidRPr="008D0479">
        <w:rPr>
          <w:sz w:val="16"/>
          <w:szCs w:val="20"/>
        </w:rPr>
        <w:tab/>
        <w:t xml:space="preserve"> 20</w:t>
      </w:r>
    </w:p>
    <w:p w14:paraId="5216AECF"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Instrucciones detalladas para el desarrollo</w:t>
      </w:r>
      <w:r w:rsidRPr="008D0479">
        <w:rPr>
          <w:sz w:val="16"/>
          <w:szCs w:val="20"/>
        </w:rPr>
        <w:tab/>
        <w:t xml:space="preserve"> 21</w:t>
      </w:r>
    </w:p>
    <w:p w14:paraId="4B3D19D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Kasina</w:t>
      </w:r>
      <w:proofErr w:type="spellEnd"/>
      <w:r w:rsidRPr="008D0479">
        <w:rPr>
          <w:sz w:val="16"/>
          <w:szCs w:val="20"/>
        </w:rPr>
        <w:t xml:space="preserve"> Tierra</w:t>
      </w:r>
      <w:r w:rsidRPr="008D0479">
        <w:rPr>
          <w:sz w:val="16"/>
          <w:szCs w:val="20"/>
        </w:rPr>
        <w:tab/>
        <w:t xml:space="preserve"> 21</w:t>
      </w:r>
    </w:p>
    <w:p w14:paraId="0215010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Los 2 tipos de concentración </w:t>
      </w:r>
      <w:r w:rsidRPr="008D0479">
        <w:rPr>
          <w:sz w:val="16"/>
          <w:szCs w:val="20"/>
        </w:rPr>
        <w:tab/>
        <w:t xml:space="preserve"> 32</w:t>
      </w:r>
    </w:p>
    <w:p w14:paraId="7AD5650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Preservando el signo</w:t>
      </w:r>
      <w:r w:rsidRPr="008D0479">
        <w:rPr>
          <w:sz w:val="16"/>
          <w:szCs w:val="20"/>
        </w:rPr>
        <w:tab/>
        <w:t xml:space="preserve"> 34</w:t>
      </w:r>
    </w:p>
    <w:p w14:paraId="67917E35"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Los 10 tipos de habilidades en la absorción </w:t>
      </w:r>
      <w:r w:rsidRPr="008D0479">
        <w:rPr>
          <w:sz w:val="16"/>
          <w:szCs w:val="20"/>
        </w:rPr>
        <w:tab/>
        <w:t xml:space="preserve"> 42</w:t>
      </w:r>
    </w:p>
    <w:p w14:paraId="53A39EBB"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Equilibrio del esfuerzo </w:t>
      </w:r>
      <w:r w:rsidRPr="008D0479">
        <w:rPr>
          <w:sz w:val="16"/>
          <w:szCs w:val="20"/>
        </w:rPr>
        <w:tab/>
        <w:t xml:space="preserve"> 66</w:t>
      </w:r>
    </w:p>
    <w:p w14:paraId="470D3FDA"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Absorción en la serie cognitiva </w:t>
      </w:r>
      <w:r w:rsidRPr="008D0479">
        <w:rPr>
          <w:sz w:val="16"/>
          <w:szCs w:val="20"/>
        </w:rPr>
        <w:tab/>
        <w:t>74</w:t>
      </w:r>
    </w:p>
    <w:p w14:paraId="625778D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primer </w:t>
      </w:r>
      <w:proofErr w:type="spellStart"/>
      <w:r w:rsidRPr="008D0479">
        <w:rPr>
          <w:i/>
          <w:iCs/>
          <w:sz w:val="16"/>
          <w:szCs w:val="20"/>
        </w:rPr>
        <w:t>jhāna</w:t>
      </w:r>
      <w:proofErr w:type="spellEnd"/>
      <w:r w:rsidRPr="008D0479">
        <w:rPr>
          <w:sz w:val="16"/>
          <w:szCs w:val="20"/>
        </w:rPr>
        <w:t xml:space="preserve"> </w:t>
      </w:r>
      <w:r w:rsidRPr="008D0479">
        <w:rPr>
          <w:sz w:val="16"/>
          <w:szCs w:val="20"/>
        </w:rPr>
        <w:tab/>
        <w:t xml:space="preserve"> 79</w:t>
      </w:r>
    </w:p>
    <w:p w14:paraId="50C2D5F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Ampliación del signo</w:t>
      </w:r>
      <w:r w:rsidRPr="008D0479">
        <w:rPr>
          <w:sz w:val="16"/>
          <w:szCs w:val="20"/>
        </w:rPr>
        <w:tab/>
        <w:t xml:space="preserve"> 126</w:t>
      </w:r>
    </w:p>
    <w:p w14:paraId="5D97887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Dominio en 5 formas </w:t>
      </w:r>
      <w:r w:rsidRPr="008D0479">
        <w:rPr>
          <w:sz w:val="16"/>
          <w:szCs w:val="20"/>
        </w:rPr>
        <w:tab/>
        <w:t xml:space="preserve"> 131</w:t>
      </w:r>
    </w:p>
    <w:p w14:paraId="195A793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segundo </w:t>
      </w:r>
      <w:proofErr w:type="spellStart"/>
      <w:r w:rsidRPr="008D0479">
        <w:rPr>
          <w:i/>
          <w:iCs/>
          <w:sz w:val="16"/>
          <w:szCs w:val="20"/>
        </w:rPr>
        <w:t>jhāna</w:t>
      </w:r>
      <w:proofErr w:type="spellEnd"/>
      <w:r w:rsidRPr="008D0479">
        <w:rPr>
          <w:sz w:val="16"/>
          <w:szCs w:val="20"/>
        </w:rPr>
        <w:t xml:space="preserve"> </w:t>
      </w:r>
      <w:r w:rsidRPr="008D0479">
        <w:rPr>
          <w:sz w:val="16"/>
          <w:szCs w:val="20"/>
        </w:rPr>
        <w:tab/>
        <w:t xml:space="preserve"> 139</w:t>
      </w:r>
    </w:p>
    <w:p w14:paraId="3EE84FB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tercer </w:t>
      </w:r>
      <w:proofErr w:type="spellStart"/>
      <w:r w:rsidRPr="008D0479">
        <w:rPr>
          <w:i/>
          <w:iCs/>
          <w:sz w:val="16"/>
          <w:szCs w:val="20"/>
        </w:rPr>
        <w:t>jhāna</w:t>
      </w:r>
      <w:proofErr w:type="spellEnd"/>
      <w:r w:rsidRPr="008D0479">
        <w:rPr>
          <w:sz w:val="16"/>
          <w:szCs w:val="20"/>
        </w:rPr>
        <w:t xml:space="preserve"> </w:t>
      </w:r>
      <w:r w:rsidRPr="008D0479">
        <w:rPr>
          <w:sz w:val="16"/>
          <w:szCs w:val="20"/>
        </w:rPr>
        <w:tab/>
        <w:t xml:space="preserve"> 153</w:t>
      </w:r>
    </w:p>
    <w:p w14:paraId="71466C60"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cuarto </w:t>
      </w:r>
      <w:proofErr w:type="spellStart"/>
      <w:r w:rsidRPr="008D0479">
        <w:rPr>
          <w:i/>
          <w:iCs/>
          <w:sz w:val="16"/>
          <w:szCs w:val="20"/>
        </w:rPr>
        <w:t>jhāna</w:t>
      </w:r>
      <w:proofErr w:type="spellEnd"/>
      <w:r w:rsidRPr="008D0479">
        <w:rPr>
          <w:sz w:val="16"/>
          <w:szCs w:val="20"/>
        </w:rPr>
        <w:t xml:space="preserve"> </w:t>
      </w:r>
      <w:r w:rsidRPr="008D0479">
        <w:rPr>
          <w:sz w:val="16"/>
          <w:szCs w:val="20"/>
        </w:rPr>
        <w:tab/>
        <w:t xml:space="preserve"> 183</w:t>
      </w:r>
    </w:p>
    <w:p w14:paraId="35B8A3B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quíntuple cálculo de los </w:t>
      </w:r>
      <w:proofErr w:type="spellStart"/>
      <w:r w:rsidRPr="008D0479">
        <w:rPr>
          <w:i/>
          <w:iCs/>
          <w:sz w:val="16"/>
          <w:szCs w:val="20"/>
        </w:rPr>
        <w:t>jhānas</w:t>
      </w:r>
      <w:proofErr w:type="spellEnd"/>
      <w:r w:rsidRPr="008D0479">
        <w:rPr>
          <w:sz w:val="16"/>
          <w:szCs w:val="20"/>
        </w:rPr>
        <w:t xml:space="preserve"> </w:t>
      </w:r>
      <w:r w:rsidRPr="008D0479">
        <w:rPr>
          <w:sz w:val="16"/>
          <w:szCs w:val="20"/>
        </w:rPr>
        <w:tab/>
        <w:t xml:space="preserve"> 198</w:t>
      </w:r>
    </w:p>
    <w:p w14:paraId="076DCBFF" w14:textId="77777777" w:rsidR="00B67276" w:rsidRPr="008D0479" w:rsidRDefault="00B67276" w:rsidP="00B67276">
      <w:pPr>
        <w:tabs>
          <w:tab w:val="clear" w:pos="425"/>
          <w:tab w:val="left" w:pos="357"/>
          <w:tab w:val="left" w:pos="851"/>
          <w:tab w:val="right" w:leader="dot" w:pos="6804"/>
        </w:tabs>
        <w:spacing w:after="0"/>
        <w:rPr>
          <w:sz w:val="16"/>
          <w:szCs w:val="20"/>
        </w:rPr>
      </w:pPr>
    </w:p>
    <w:p w14:paraId="1A37BCAC"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 xml:space="preserve">Capítulo V — Los </w:t>
      </w:r>
      <w:proofErr w:type="spellStart"/>
      <w:r w:rsidRPr="008D0479">
        <w:rPr>
          <w:i/>
          <w:iCs/>
          <w:smallCaps/>
          <w:sz w:val="16"/>
          <w:szCs w:val="20"/>
        </w:rPr>
        <w:t>Kasiṇas</w:t>
      </w:r>
      <w:proofErr w:type="spellEnd"/>
      <w:r w:rsidRPr="008D0479">
        <w:rPr>
          <w:smallCaps/>
          <w:sz w:val="16"/>
          <w:szCs w:val="20"/>
        </w:rPr>
        <w:t xml:space="preserve"> Restantes</w:t>
      </w:r>
    </w:p>
    <w:p w14:paraId="674DCD7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La </w:t>
      </w:r>
      <w:proofErr w:type="spellStart"/>
      <w:r w:rsidRPr="008D0479">
        <w:rPr>
          <w:i/>
          <w:iCs/>
          <w:sz w:val="16"/>
          <w:szCs w:val="20"/>
        </w:rPr>
        <w:t>Kasiṇa</w:t>
      </w:r>
      <w:proofErr w:type="spellEnd"/>
      <w:r w:rsidRPr="008D0479">
        <w:rPr>
          <w:sz w:val="16"/>
          <w:szCs w:val="20"/>
        </w:rPr>
        <w:t xml:space="preserve"> Agua </w:t>
      </w:r>
      <w:r w:rsidRPr="008D0479">
        <w:rPr>
          <w:sz w:val="16"/>
          <w:szCs w:val="20"/>
        </w:rPr>
        <w:tab/>
        <w:t xml:space="preserve"> 1</w:t>
      </w:r>
    </w:p>
    <w:p w14:paraId="2ECFB31C"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Fuego</w:t>
      </w:r>
      <w:r w:rsidRPr="008D0479">
        <w:rPr>
          <w:sz w:val="16"/>
          <w:szCs w:val="20"/>
        </w:rPr>
        <w:tab/>
        <w:t xml:space="preserve"> 5</w:t>
      </w:r>
    </w:p>
    <w:p w14:paraId="7116F61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Aire</w:t>
      </w:r>
      <w:r w:rsidRPr="008D0479">
        <w:rPr>
          <w:sz w:val="16"/>
          <w:szCs w:val="20"/>
        </w:rPr>
        <w:tab/>
        <w:t xml:space="preserve"> 9</w:t>
      </w:r>
    </w:p>
    <w:p w14:paraId="18EB9DAF"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Azul </w:t>
      </w:r>
      <w:r w:rsidRPr="008D0479">
        <w:rPr>
          <w:sz w:val="16"/>
          <w:szCs w:val="20"/>
        </w:rPr>
        <w:tab/>
        <w:t xml:space="preserve"> 12</w:t>
      </w:r>
    </w:p>
    <w:p w14:paraId="220D076F"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Amarillo </w:t>
      </w:r>
      <w:r w:rsidRPr="008D0479">
        <w:rPr>
          <w:sz w:val="16"/>
          <w:szCs w:val="20"/>
        </w:rPr>
        <w:tab/>
        <w:t xml:space="preserve"> 15</w:t>
      </w:r>
    </w:p>
    <w:p w14:paraId="68E30464"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Rojo </w:t>
      </w:r>
      <w:r w:rsidRPr="008D0479">
        <w:rPr>
          <w:sz w:val="16"/>
          <w:szCs w:val="20"/>
        </w:rPr>
        <w:tab/>
        <w:t xml:space="preserve"> 17</w:t>
      </w:r>
    </w:p>
    <w:p w14:paraId="682C4CB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Blanco </w:t>
      </w:r>
      <w:r w:rsidRPr="008D0479">
        <w:rPr>
          <w:sz w:val="16"/>
          <w:szCs w:val="20"/>
        </w:rPr>
        <w:tab/>
        <w:t xml:space="preserve"> 19</w:t>
      </w:r>
    </w:p>
    <w:p w14:paraId="0687E0E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Luz</w:t>
      </w:r>
      <w:r w:rsidRPr="008D0479">
        <w:rPr>
          <w:sz w:val="16"/>
          <w:szCs w:val="20"/>
        </w:rPr>
        <w:tab/>
        <w:t xml:space="preserve"> 21</w:t>
      </w:r>
    </w:p>
    <w:p w14:paraId="25CB97EC"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El </w:t>
      </w:r>
      <w:proofErr w:type="spellStart"/>
      <w:r w:rsidRPr="008D0479">
        <w:rPr>
          <w:i/>
          <w:iCs/>
          <w:sz w:val="16"/>
          <w:szCs w:val="20"/>
        </w:rPr>
        <w:t>Kasiṇa</w:t>
      </w:r>
      <w:proofErr w:type="spellEnd"/>
      <w:r w:rsidRPr="008D0479">
        <w:rPr>
          <w:sz w:val="16"/>
          <w:szCs w:val="20"/>
        </w:rPr>
        <w:t xml:space="preserve"> de un espacio finito </w:t>
      </w:r>
      <w:r w:rsidRPr="008D0479">
        <w:rPr>
          <w:sz w:val="16"/>
          <w:szCs w:val="20"/>
        </w:rPr>
        <w:tab/>
        <w:t xml:space="preserve"> 24</w:t>
      </w:r>
    </w:p>
    <w:p w14:paraId="0E8FED5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En General </w:t>
      </w:r>
      <w:r w:rsidRPr="008D0479">
        <w:rPr>
          <w:sz w:val="16"/>
          <w:szCs w:val="20"/>
        </w:rPr>
        <w:tab/>
      </w:r>
      <w:r w:rsidRPr="008D0479">
        <w:rPr>
          <w:sz w:val="16"/>
          <w:szCs w:val="20"/>
        </w:rPr>
        <w:tab/>
        <w:t xml:space="preserve"> 27</w:t>
      </w:r>
    </w:p>
    <w:p w14:paraId="4290C359" w14:textId="77777777" w:rsidR="00B67276" w:rsidRPr="008D0479" w:rsidRDefault="00B67276" w:rsidP="00B67276">
      <w:pPr>
        <w:tabs>
          <w:tab w:val="clear" w:pos="425"/>
          <w:tab w:val="left" w:pos="357"/>
          <w:tab w:val="left" w:pos="851"/>
          <w:tab w:val="right" w:leader="dot" w:pos="6804"/>
        </w:tabs>
        <w:spacing w:after="0"/>
        <w:rPr>
          <w:smallCaps/>
          <w:sz w:val="16"/>
          <w:szCs w:val="20"/>
        </w:rPr>
      </w:pPr>
    </w:p>
    <w:p w14:paraId="46A315A2"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VI — La Repugnancia Como Objeto de Meditación</w:t>
      </w:r>
    </w:p>
    <w:p w14:paraId="7981BBB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Definiciones generales </w:t>
      </w:r>
      <w:r w:rsidRPr="008D0479">
        <w:rPr>
          <w:sz w:val="16"/>
          <w:szCs w:val="20"/>
        </w:rPr>
        <w:tab/>
        <w:t xml:space="preserve"> 1</w:t>
      </w:r>
    </w:p>
    <w:p w14:paraId="010A7F5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 hinchado </w:t>
      </w:r>
      <w:r w:rsidRPr="008D0479">
        <w:rPr>
          <w:sz w:val="16"/>
          <w:szCs w:val="20"/>
        </w:rPr>
        <w:tab/>
        <w:t xml:space="preserve"> 12</w:t>
      </w:r>
    </w:p>
    <w:p w14:paraId="0AC336BF"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 Lívido   </w:t>
      </w:r>
      <w:r w:rsidRPr="008D0479">
        <w:rPr>
          <w:sz w:val="16"/>
          <w:szCs w:val="20"/>
        </w:rPr>
        <w:tab/>
      </w:r>
      <w:r w:rsidRPr="008D0479">
        <w:rPr>
          <w:sz w:val="16"/>
          <w:szCs w:val="20"/>
        </w:rPr>
        <w:tab/>
        <w:t xml:space="preserve"> 70</w:t>
      </w:r>
    </w:p>
    <w:p w14:paraId="7E17FB9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Lo Supurado</w:t>
      </w:r>
      <w:r w:rsidRPr="008D0479">
        <w:rPr>
          <w:sz w:val="16"/>
          <w:szCs w:val="20"/>
        </w:rPr>
        <w:tab/>
        <w:t xml:space="preserve"> 71</w:t>
      </w:r>
    </w:p>
    <w:p w14:paraId="791B38F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 Cortado </w:t>
      </w:r>
      <w:r w:rsidRPr="008D0479">
        <w:rPr>
          <w:sz w:val="16"/>
          <w:szCs w:val="20"/>
        </w:rPr>
        <w:tab/>
        <w:t xml:space="preserve"> 72</w:t>
      </w:r>
    </w:p>
    <w:p w14:paraId="24653605"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 Roído </w:t>
      </w:r>
      <w:r w:rsidRPr="008D0479">
        <w:rPr>
          <w:sz w:val="16"/>
          <w:szCs w:val="20"/>
        </w:rPr>
        <w:tab/>
      </w:r>
      <w:r w:rsidRPr="008D0479">
        <w:rPr>
          <w:sz w:val="16"/>
          <w:szCs w:val="20"/>
        </w:rPr>
        <w:tab/>
        <w:t xml:space="preserve"> 73</w:t>
      </w:r>
    </w:p>
    <w:p w14:paraId="59D63302"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 Disperso </w:t>
      </w:r>
      <w:r w:rsidRPr="008D0479">
        <w:rPr>
          <w:sz w:val="16"/>
          <w:szCs w:val="20"/>
        </w:rPr>
        <w:tab/>
        <w:t xml:space="preserve"> 7</w:t>
      </w:r>
    </w:p>
    <w:p w14:paraId="096FC1BA" w14:textId="77777777" w:rsidR="00B67276" w:rsidRPr="008D0479" w:rsidRDefault="00B67276" w:rsidP="00B67276">
      <w:pPr>
        <w:tabs>
          <w:tab w:val="clear" w:pos="425"/>
          <w:tab w:val="left" w:pos="357"/>
          <w:tab w:val="left" w:pos="851"/>
          <w:tab w:val="right" w:leader="dot" w:pos="6804"/>
        </w:tabs>
        <w:spacing w:after="160"/>
        <w:rPr>
          <w:sz w:val="16"/>
          <w:szCs w:val="20"/>
        </w:rPr>
      </w:pPr>
      <w:r w:rsidRPr="008D0479">
        <w:rPr>
          <w:sz w:val="16"/>
          <w:szCs w:val="20"/>
        </w:rPr>
        <w:br w:type="page"/>
      </w:r>
    </w:p>
    <w:p w14:paraId="1F67A290"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lastRenderedPageBreak/>
        <w:t>Lo Infectado y Disperso</w:t>
      </w:r>
      <w:r w:rsidRPr="008D0479">
        <w:rPr>
          <w:sz w:val="16"/>
          <w:szCs w:val="20"/>
        </w:rPr>
        <w:tab/>
        <w:t xml:space="preserve"> 75</w:t>
      </w:r>
    </w:p>
    <w:p w14:paraId="65D4254F"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 Sangrado </w:t>
      </w:r>
      <w:r w:rsidRPr="008D0479">
        <w:rPr>
          <w:sz w:val="16"/>
          <w:szCs w:val="20"/>
        </w:rPr>
        <w:tab/>
        <w:t xml:space="preserve"> 76</w:t>
      </w:r>
    </w:p>
    <w:p w14:paraId="16A82DFB"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 Infestado de gusanos </w:t>
      </w:r>
      <w:r w:rsidRPr="008D0479">
        <w:rPr>
          <w:sz w:val="16"/>
          <w:szCs w:val="20"/>
        </w:rPr>
        <w:tab/>
        <w:t xml:space="preserve"> 77</w:t>
      </w:r>
    </w:p>
    <w:p w14:paraId="4CF8A75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Un esqueleto </w:t>
      </w:r>
      <w:r w:rsidRPr="008D0479">
        <w:rPr>
          <w:sz w:val="16"/>
          <w:szCs w:val="20"/>
        </w:rPr>
        <w:tab/>
        <w:t xml:space="preserve"> 78</w:t>
      </w:r>
    </w:p>
    <w:p w14:paraId="7A386E12"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En General</w:t>
      </w:r>
      <w:r w:rsidRPr="008D0479">
        <w:rPr>
          <w:sz w:val="16"/>
          <w:szCs w:val="20"/>
        </w:rPr>
        <w:tab/>
      </w:r>
      <w:r w:rsidRPr="008D0479">
        <w:rPr>
          <w:sz w:val="16"/>
          <w:szCs w:val="20"/>
        </w:rPr>
        <w:tab/>
        <w:t xml:space="preserve"> 82</w:t>
      </w:r>
    </w:p>
    <w:p w14:paraId="61E3B4F4" w14:textId="77777777" w:rsidR="00B67276" w:rsidRPr="008D0479" w:rsidRDefault="00B67276" w:rsidP="00B67276">
      <w:pPr>
        <w:tabs>
          <w:tab w:val="clear" w:pos="425"/>
          <w:tab w:val="left" w:pos="357"/>
          <w:tab w:val="left" w:pos="851"/>
          <w:tab w:val="right" w:leader="dot" w:pos="6804"/>
        </w:tabs>
        <w:spacing w:after="0"/>
        <w:rPr>
          <w:sz w:val="16"/>
          <w:szCs w:val="20"/>
        </w:rPr>
      </w:pPr>
    </w:p>
    <w:p w14:paraId="77A1DDC3"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Capitulo VII — Las Seis Evocaciones</w:t>
      </w:r>
    </w:p>
    <w:p w14:paraId="17C57BFA"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(1) Evocación del </w:t>
      </w:r>
      <w:r w:rsidRPr="008D0479">
        <w:rPr>
          <w:i/>
          <w:iCs/>
          <w:sz w:val="16"/>
          <w:szCs w:val="20"/>
        </w:rPr>
        <w:t>Buddha</w:t>
      </w:r>
      <w:r w:rsidRPr="008D0479">
        <w:rPr>
          <w:sz w:val="16"/>
          <w:szCs w:val="20"/>
        </w:rPr>
        <w:t xml:space="preserve"> </w:t>
      </w:r>
      <w:r w:rsidRPr="008D0479">
        <w:rPr>
          <w:sz w:val="16"/>
          <w:szCs w:val="20"/>
        </w:rPr>
        <w:tab/>
        <w:t xml:space="preserve"> 2</w:t>
      </w:r>
    </w:p>
    <w:p w14:paraId="0E31DC4C"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(2) Evocación del </w:t>
      </w:r>
      <w:r w:rsidRPr="008D0479">
        <w:rPr>
          <w:i/>
          <w:iCs/>
          <w:sz w:val="16"/>
          <w:szCs w:val="20"/>
        </w:rPr>
        <w:t>Dhamma</w:t>
      </w:r>
      <w:r w:rsidRPr="008D0479">
        <w:rPr>
          <w:sz w:val="16"/>
          <w:szCs w:val="20"/>
        </w:rPr>
        <w:t xml:space="preserve"> </w:t>
      </w:r>
      <w:r w:rsidRPr="008D0479">
        <w:rPr>
          <w:sz w:val="16"/>
          <w:szCs w:val="20"/>
        </w:rPr>
        <w:tab/>
        <w:t xml:space="preserve"> 68</w:t>
      </w:r>
    </w:p>
    <w:p w14:paraId="29DD051C"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(3) Evocación de la </w:t>
      </w:r>
      <w:r w:rsidRPr="008D0479">
        <w:rPr>
          <w:i/>
          <w:iCs/>
          <w:sz w:val="16"/>
          <w:szCs w:val="20"/>
        </w:rPr>
        <w:t>Saṅgha</w:t>
      </w:r>
      <w:r w:rsidRPr="008D0479">
        <w:rPr>
          <w:sz w:val="16"/>
          <w:szCs w:val="20"/>
        </w:rPr>
        <w:t xml:space="preserve"> </w:t>
      </w:r>
      <w:r w:rsidRPr="008D0479">
        <w:rPr>
          <w:sz w:val="16"/>
          <w:szCs w:val="20"/>
        </w:rPr>
        <w:tab/>
        <w:t xml:space="preserve"> 89</w:t>
      </w:r>
    </w:p>
    <w:p w14:paraId="1F19D12D"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(4) Evocación de la Virtud </w:t>
      </w:r>
      <w:r w:rsidRPr="008D0479">
        <w:rPr>
          <w:sz w:val="16"/>
          <w:szCs w:val="20"/>
        </w:rPr>
        <w:tab/>
        <w:t xml:space="preserve"> 101</w:t>
      </w:r>
    </w:p>
    <w:p w14:paraId="3C7A6232"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(5) Evocación de Generosidad </w:t>
      </w:r>
      <w:r w:rsidRPr="008D0479">
        <w:rPr>
          <w:sz w:val="16"/>
          <w:szCs w:val="20"/>
        </w:rPr>
        <w:tab/>
        <w:t xml:space="preserve"> 107</w:t>
      </w:r>
    </w:p>
    <w:p w14:paraId="3E15F08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(6) Evocación de las Deidades </w:t>
      </w:r>
      <w:r w:rsidRPr="008D0479">
        <w:rPr>
          <w:sz w:val="16"/>
          <w:szCs w:val="20"/>
        </w:rPr>
        <w:tab/>
        <w:t xml:space="preserve"> 115</w:t>
      </w:r>
    </w:p>
    <w:p w14:paraId="6AB8649F"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En General</w:t>
      </w:r>
      <w:r w:rsidRPr="008D0479">
        <w:rPr>
          <w:sz w:val="16"/>
          <w:szCs w:val="20"/>
        </w:rPr>
        <w:tab/>
        <w:t xml:space="preserve"> </w:t>
      </w:r>
      <w:r w:rsidRPr="008D0479">
        <w:rPr>
          <w:sz w:val="16"/>
          <w:szCs w:val="20"/>
        </w:rPr>
        <w:tab/>
        <w:t xml:space="preserve"> 119</w:t>
      </w:r>
    </w:p>
    <w:p w14:paraId="3EF906D9" w14:textId="77777777" w:rsidR="00B67276" w:rsidRPr="008D0479" w:rsidRDefault="00B67276" w:rsidP="00B67276">
      <w:pPr>
        <w:tabs>
          <w:tab w:val="clear" w:pos="425"/>
          <w:tab w:val="left" w:pos="357"/>
          <w:tab w:val="left" w:pos="851"/>
          <w:tab w:val="right" w:leader="dot" w:pos="6804"/>
        </w:tabs>
        <w:spacing w:after="0"/>
        <w:rPr>
          <w:sz w:val="16"/>
          <w:szCs w:val="20"/>
        </w:rPr>
      </w:pPr>
    </w:p>
    <w:p w14:paraId="72887990"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VIII — Otras Evocaciones Como Objetos De Meditación</w:t>
      </w:r>
    </w:p>
    <w:p w14:paraId="78AC7522"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(7) Consciencia de la muerte </w:t>
      </w:r>
      <w:r w:rsidRPr="008D0479">
        <w:rPr>
          <w:sz w:val="16"/>
          <w:szCs w:val="20"/>
        </w:rPr>
        <w:tab/>
        <w:t xml:space="preserve"> 1</w:t>
      </w:r>
    </w:p>
    <w:p w14:paraId="0B1681E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(8) Atención plena orientada hacia el cuerpo </w:t>
      </w:r>
      <w:r w:rsidRPr="008D0479">
        <w:rPr>
          <w:sz w:val="16"/>
          <w:szCs w:val="20"/>
        </w:rPr>
        <w:tab/>
        <w:t xml:space="preserve"> 42</w:t>
      </w:r>
    </w:p>
    <w:p w14:paraId="79815732"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(9) Atención plena en la respiración </w:t>
      </w:r>
      <w:r w:rsidRPr="008D0479">
        <w:rPr>
          <w:sz w:val="16"/>
          <w:szCs w:val="20"/>
        </w:rPr>
        <w:tab/>
        <w:t xml:space="preserve"> 145</w:t>
      </w:r>
    </w:p>
    <w:p w14:paraId="71FB1DC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(10) La evocación de la paz </w:t>
      </w:r>
      <w:r w:rsidRPr="008D0479">
        <w:rPr>
          <w:sz w:val="16"/>
          <w:szCs w:val="20"/>
        </w:rPr>
        <w:tab/>
        <w:t xml:space="preserve"> 245</w:t>
      </w:r>
    </w:p>
    <w:p w14:paraId="49B29557" w14:textId="77777777" w:rsidR="00B67276" w:rsidRPr="008D0479" w:rsidRDefault="00B67276" w:rsidP="00B67276">
      <w:pPr>
        <w:tabs>
          <w:tab w:val="clear" w:pos="425"/>
          <w:tab w:val="left" w:pos="357"/>
          <w:tab w:val="left" w:pos="851"/>
          <w:tab w:val="right" w:leader="dot" w:pos="6804"/>
        </w:tabs>
        <w:spacing w:after="0"/>
        <w:rPr>
          <w:sz w:val="16"/>
          <w:szCs w:val="20"/>
        </w:rPr>
      </w:pPr>
    </w:p>
    <w:p w14:paraId="6318050B"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 xml:space="preserve">Capítulo IX — Las Estados Divinos </w:t>
      </w:r>
    </w:p>
    <w:p w14:paraId="2B865A0E"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El Amor Bondadoso</w:t>
      </w:r>
      <w:r w:rsidRPr="008D0479">
        <w:rPr>
          <w:sz w:val="16"/>
          <w:szCs w:val="20"/>
        </w:rPr>
        <w:tab/>
        <w:t xml:space="preserve"> 1</w:t>
      </w:r>
    </w:p>
    <w:p w14:paraId="5C39838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La Compasión </w:t>
      </w:r>
      <w:r w:rsidRPr="008D0479">
        <w:rPr>
          <w:sz w:val="16"/>
          <w:szCs w:val="20"/>
        </w:rPr>
        <w:tab/>
        <w:t xml:space="preserve"> 77</w:t>
      </w:r>
    </w:p>
    <w:p w14:paraId="2576E373"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La Alegría Altruista</w:t>
      </w:r>
      <w:r w:rsidRPr="008D0479">
        <w:rPr>
          <w:sz w:val="16"/>
          <w:szCs w:val="20"/>
        </w:rPr>
        <w:tab/>
        <w:t xml:space="preserve"> 84</w:t>
      </w:r>
    </w:p>
    <w:p w14:paraId="5D0088B8"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La Ecuanimidad </w:t>
      </w:r>
      <w:r w:rsidRPr="008D0479">
        <w:rPr>
          <w:sz w:val="16"/>
          <w:szCs w:val="20"/>
        </w:rPr>
        <w:tab/>
        <w:t xml:space="preserve"> 88</w:t>
      </w:r>
    </w:p>
    <w:p w14:paraId="7889E1CB"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En General </w:t>
      </w:r>
      <w:r w:rsidRPr="008D0479">
        <w:rPr>
          <w:sz w:val="16"/>
          <w:szCs w:val="20"/>
        </w:rPr>
        <w:tab/>
      </w:r>
      <w:r w:rsidRPr="008D0479">
        <w:rPr>
          <w:sz w:val="16"/>
          <w:szCs w:val="20"/>
        </w:rPr>
        <w:tab/>
        <w:t xml:space="preserve"> 91</w:t>
      </w:r>
    </w:p>
    <w:p w14:paraId="5CA8189D" w14:textId="77777777" w:rsidR="00B67276" w:rsidRPr="008D0479" w:rsidRDefault="00B67276" w:rsidP="00B67276">
      <w:pPr>
        <w:tabs>
          <w:tab w:val="clear" w:pos="425"/>
          <w:tab w:val="left" w:pos="357"/>
          <w:tab w:val="left" w:pos="851"/>
          <w:tab w:val="right" w:leader="dot" w:pos="6804"/>
        </w:tabs>
        <w:spacing w:after="0"/>
        <w:rPr>
          <w:sz w:val="16"/>
          <w:szCs w:val="20"/>
        </w:rPr>
      </w:pPr>
    </w:p>
    <w:p w14:paraId="37C52038"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X — Los Estados Inmateriales</w:t>
      </w:r>
    </w:p>
    <w:p w14:paraId="2071CE60"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La base consistente del espacio ilimitado </w:t>
      </w:r>
      <w:r w:rsidRPr="008D0479">
        <w:rPr>
          <w:sz w:val="16"/>
          <w:szCs w:val="20"/>
        </w:rPr>
        <w:tab/>
        <w:t xml:space="preserve"> 1</w:t>
      </w:r>
    </w:p>
    <w:p w14:paraId="4906FE0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La base consistente de una conciencia ilimitada </w:t>
      </w:r>
      <w:r w:rsidRPr="008D0479">
        <w:rPr>
          <w:sz w:val="16"/>
          <w:szCs w:val="20"/>
        </w:rPr>
        <w:tab/>
        <w:t xml:space="preserve"> 25</w:t>
      </w:r>
    </w:p>
    <w:p w14:paraId="2C4C6BD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La base consistente en la nada </w:t>
      </w:r>
      <w:r w:rsidRPr="008D0479">
        <w:rPr>
          <w:sz w:val="16"/>
          <w:szCs w:val="20"/>
        </w:rPr>
        <w:tab/>
        <w:t xml:space="preserve"> 32</w:t>
      </w:r>
    </w:p>
    <w:p w14:paraId="0AD22FBD"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La base consistente de la no</w:t>
      </w:r>
      <w:r w:rsidRPr="008D0479">
        <w:rPr>
          <w:rFonts w:cs="Cormorant"/>
          <w:sz w:val="16"/>
          <w:szCs w:val="20"/>
        </w:rPr>
        <w:t>‒</w:t>
      </w:r>
      <w:r w:rsidRPr="008D0479">
        <w:rPr>
          <w:sz w:val="16"/>
          <w:szCs w:val="20"/>
        </w:rPr>
        <w:t>percepción</w:t>
      </w:r>
      <w:r w:rsidRPr="008D0479">
        <w:rPr>
          <w:rFonts w:cs="Cormorant"/>
          <w:sz w:val="16"/>
          <w:szCs w:val="20"/>
        </w:rPr>
        <w:t>‒</w:t>
      </w:r>
      <w:r w:rsidRPr="008D0479">
        <w:rPr>
          <w:sz w:val="16"/>
          <w:szCs w:val="20"/>
        </w:rPr>
        <w:t>ni</w:t>
      </w:r>
      <w:r w:rsidRPr="008D0479">
        <w:rPr>
          <w:rFonts w:cs="Cormorant"/>
          <w:sz w:val="16"/>
          <w:szCs w:val="20"/>
        </w:rPr>
        <w:t>‒</w:t>
      </w:r>
      <w:r w:rsidRPr="008D0479">
        <w:rPr>
          <w:sz w:val="16"/>
          <w:szCs w:val="20"/>
        </w:rPr>
        <w:t>no</w:t>
      </w:r>
      <w:r w:rsidRPr="008D0479">
        <w:rPr>
          <w:rFonts w:cs="Cormorant"/>
          <w:sz w:val="16"/>
          <w:szCs w:val="20"/>
        </w:rPr>
        <w:t>‒</w:t>
      </w:r>
      <w:r w:rsidRPr="008D0479">
        <w:rPr>
          <w:sz w:val="16"/>
          <w:szCs w:val="20"/>
        </w:rPr>
        <w:t xml:space="preserve">percepción </w:t>
      </w:r>
      <w:r w:rsidRPr="008D0479">
        <w:rPr>
          <w:sz w:val="16"/>
          <w:szCs w:val="20"/>
        </w:rPr>
        <w:tab/>
        <w:t xml:space="preserve"> 40</w:t>
      </w:r>
    </w:p>
    <w:p w14:paraId="3C7E193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En General </w:t>
      </w:r>
      <w:r w:rsidRPr="008D0479">
        <w:rPr>
          <w:sz w:val="16"/>
          <w:szCs w:val="20"/>
        </w:rPr>
        <w:tab/>
      </w:r>
      <w:r w:rsidRPr="008D0479">
        <w:rPr>
          <w:sz w:val="16"/>
          <w:szCs w:val="20"/>
        </w:rPr>
        <w:tab/>
        <w:t xml:space="preserve"> 56</w:t>
      </w:r>
    </w:p>
    <w:p w14:paraId="4C9A0542" w14:textId="77777777" w:rsidR="00B67276" w:rsidRPr="008D0479" w:rsidRDefault="00B67276" w:rsidP="00B67276">
      <w:pPr>
        <w:tabs>
          <w:tab w:val="clear" w:pos="425"/>
          <w:tab w:val="left" w:pos="357"/>
          <w:tab w:val="left" w:pos="851"/>
          <w:tab w:val="right" w:leader="dot" w:pos="6804"/>
        </w:tabs>
        <w:spacing w:after="0"/>
        <w:rPr>
          <w:sz w:val="16"/>
          <w:szCs w:val="20"/>
        </w:rPr>
      </w:pPr>
    </w:p>
    <w:p w14:paraId="4BC88A3F" w14:textId="77777777" w:rsidR="00B67276" w:rsidRPr="008D0479" w:rsidRDefault="00B67276" w:rsidP="00B67276">
      <w:pPr>
        <w:tabs>
          <w:tab w:val="clear" w:pos="425"/>
          <w:tab w:val="left" w:pos="357"/>
          <w:tab w:val="left" w:pos="851"/>
          <w:tab w:val="right" w:leader="dot" w:pos="6804"/>
        </w:tabs>
        <w:spacing w:after="0"/>
        <w:ind w:left="1134" w:hanging="1134"/>
        <w:rPr>
          <w:smallCaps/>
          <w:sz w:val="16"/>
          <w:szCs w:val="20"/>
        </w:rPr>
      </w:pPr>
      <w:r w:rsidRPr="008D0479">
        <w:rPr>
          <w:smallCaps/>
          <w:sz w:val="16"/>
          <w:szCs w:val="20"/>
        </w:rPr>
        <w:t xml:space="preserve">Capítulo XI — Concentración (conclusión): </w:t>
      </w:r>
      <w:r w:rsidRPr="008D0479">
        <w:rPr>
          <w:smallCaps/>
          <w:sz w:val="16"/>
          <w:szCs w:val="20"/>
        </w:rPr>
        <w:br/>
        <w:t>Nutrimento y los Elementos</w:t>
      </w:r>
    </w:p>
    <w:p w14:paraId="676C617C"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Percepción de repulsividad hacia los nutrimentos </w:t>
      </w:r>
      <w:r w:rsidRPr="008D0479">
        <w:rPr>
          <w:sz w:val="16"/>
          <w:szCs w:val="20"/>
        </w:rPr>
        <w:tab/>
        <w:t xml:space="preserve"> 1</w:t>
      </w:r>
    </w:p>
    <w:p w14:paraId="43E4C0A4"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Definición de los 4 elementos </w:t>
      </w:r>
      <w:r w:rsidRPr="008D0479">
        <w:rPr>
          <w:sz w:val="16"/>
          <w:szCs w:val="20"/>
        </w:rPr>
        <w:tab/>
        <w:t xml:space="preserve"> 27</w:t>
      </w:r>
    </w:p>
    <w:p w14:paraId="39BF3150"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Desarrollo de la concentración—conclusión </w:t>
      </w:r>
      <w:r w:rsidRPr="008D0479">
        <w:rPr>
          <w:sz w:val="16"/>
          <w:szCs w:val="20"/>
        </w:rPr>
        <w:tab/>
        <w:t xml:space="preserve"> 118</w:t>
      </w:r>
    </w:p>
    <w:p w14:paraId="76D3ACD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b/>
        <w:t>(</w:t>
      </w:r>
      <w:proofErr w:type="spellStart"/>
      <w:r w:rsidRPr="008D0479">
        <w:rPr>
          <w:sz w:val="16"/>
          <w:szCs w:val="20"/>
        </w:rPr>
        <w:t>viii</w:t>
      </w:r>
      <w:proofErr w:type="spellEnd"/>
      <w:r w:rsidRPr="008D0479">
        <w:rPr>
          <w:sz w:val="16"/>
          <w:szCs w:val="20"/>
        </w:rPr>
        <w:t xml:space="preserve">) ¿Cuáles son los beneficios de la concentración? (ver Capítulo III, §1) </w:t>
      </w:r>
      <w:r w:rsidRPr="008D0479">
        <w:rPr>
          <w:sz w:val="16"/>
          <w:szCs w:val="20"/>
        </w:rPr>
        <w:tab/>
        <w:t xml:space="preserve"> 120</w:t>
      </w:r>
    </w:p>
    <w:p w14:paraId="3199B734" w14:textId="77777777" w:rsidR="00B67276" w:rsidRPr="008D0479" w:rsidRDefault="00B67276" w:rsidP="00B67276">
      <w:pPr>
        <w:tabs>
          <w:tab w:val="clear" w:pos="425"/>
          <w:tab w:val="left" w:pos="357"/>
          <w:tab w:val="left" w:pos="851"/>
          <w:tab w:val="right" w:leader="dot" w:pos="6804"/>
        </w:tabs>
        <w:spacing w:after="0"/>
        <w:rPr>
          <w:sz w:val="16"/>
          <w:szCs w:val="20"/>
        </w:rPr>
      </w:pPr>
    </w:p>
    <w:p w14:paraId="7116014E"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XII — Los Poderes Supernormales</w:t>
      </w:r>
    </w:p>
    <w:p w14:paraId="743D0F1C"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Los beneficios de la concentración </w:t>
      </w:r>
      <w:r w:rsidRPr="008D0479">
        <w:rPr>
          <w:sz w:val="16"/>
          <w:szCs w:val="20"/>
        </w:rPr>
        <w:tab/>
        <w:t xml:space="preserve"> 1</w:t>
      </w:r>
    </w:p>
    <w:p w14:paraId="6579961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Los 5 tipos de conocimiento directo </w:t>
      </w:r>
      <w:r w:rsidRPr="008D0479">
        <w:rPr>
          <w:sz w:val="16"/>
          <w:szCs w:val="20"/>
        </w:rPr>
        <w:tab/>
        <w:t xml:space="preserve"> 2</w:t>
      </w:r>
    </w:p>
    <w:p w14:paraId="047FC002" w14:textId="77777777" w:rsidR="00B67276" w:rsidRPr="008D0479" w:rsidRDefault="00B67276" w:rsidP="00B67276">
      <w:pPr>
        <w:tabs>
          <w:tab w:val="clear" w:pos="425"/>
          <w:tab w:val="left" w:pos="357"/>
          <w:tab w:val="left" w:pos="851"/>
          <w:tab w:val="right" w:leader="dot" w:pos="6804"/>
        </w:tabs>
        <w:spacing w:after="160"/>
        <w:rPr>
          <w:sz w:val="16"/>
          <w:szCs w:val="20"/>
        </w:rPr>
      </w:pPr>
      <w:r w:rsidRPr="008D0479">
        <w:rPr>
          <w:sz w:val="16"/>
          <w:szCs w:val="20"/>
        </w:rPr>
        <w:br w:type="page"/>
      </w:r>
    </w:p>
    <w:p w14:paraId="33F5C36D"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lastRenderedPageBreak/>
        <w:t xml:space="preserve">(1). </w:t>
      </w:r>
      <w:r w:rsidRPr="008D0479">
        <w:rPr>
          <w:sz w:val="16"/>
          <w:szCs w:val="20"/>
        </w:rPr>
        <w:tab/>
        <w:t xml:space="preserve">Los tipos de poderes sobrenaturales </w:t>
      </w:r>
      <w:r w:rsidRPr="008D0479">
        <w:rPr>
          <w:sz w:val="16"/>
          <w:szCs w:val="20"/>
        </w:rPr>
        <w:tab/>
        <w:t xml:space="preserve"> 2</w:t>
      </w:r>
    </w:p>
    <w:p w14:paraId="7656F700"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(i) Poder sobrenatural como resolución </w:t>
      </w:r>
      <w:r w:rsidRPr="008D0479">
        <w:rPr>
          <w:sz w:val="16"/>
          <w:szCs w:val="20"/>
        </w:rPr>
        <w:tab/>
        <w:t xml:space="preserve"> 46</w:t>
      </w:r>
    </w:p>
    <w:p w14:paraId="014EA301"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ii</w:t>
      </w:r>
      <w:proofErr w:type="spellEnd"/>
      <w:r w:rsidRPr="008D0479">
        <w:rPr>
          <w:sz w:val="16"/>
          <w:szCs w:val="20"/>
        </w:rPr>
        <w:t xml:space="preserve">) Poder sobrenatural como transformación </w:t>
      </w:r>
      <w:r w:rsidRPr="008D0479">
        <w:rPr>
          <w:sz w:val="16"/>
          <w:szCs w:val="20"/>
        </w:rPr>
        <w:tab/>
        <w:t xml:space="preserve"> 137</w:t>
      </w:r>
    </w:p>
    <w:p w14:paraId="40D01556"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iii</w:t>
      </w:r>
      <w:proofErr w:type="spellEnd"/>
      <w:r w:rsidRPr="008D0479">
        <w:rPr>
          <w:sz w:val="16"/>
          <w:szCs w:val="20"/>
        </w:rPr>
        <w:t xml:space="preserve">) Poder sobrenatural como cuerpo creado por la mente </w:t>
      </w:r>
      <w:r w:rsidRPr="008D0479">
        <w:rPr>
          <w:sz w:val="16"/>
          <w:szCs w:val="20"/>
        </w:rPr>
        <w:tab/>
        <w:t xml:space="preserve"> 139</w:t>
      </w:r>
    </w:p>
    <w:p w14:paraId="09CF5206" w14:textId="77777777" w:rsidR="00B67276" w:rsidRPr="008D0479" w:rsidRDefault="00B67276" w:rsidP="00B67276">
      <w:pPr>
        <w:tabs>
          <w:tab w:val="clear" w:pos="425"/>
          <w:tab w:val="left" w:pos="357"/>
          <w:tab w:val="left" w:pos="851"/>
          <w:tab w:val="right" w:leader="dot" w:pos="6804"/>
        </w:tabs>
        <w:spacing w:after="0"/>
        <w:rPr>
          <w:sz w:val="16"/>
          <w:szCs w:val="20"/>
        </w:rPr>
      </w:pPr>
    </w:p>
    <w:p w14:paraId="718A5D95"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XIII — Otros Conocimientos Directos</w:t>
      </w:r>
    </w:p>
    <w:p w14:paraId="6435202D"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(2). El elemento del oído divino </w:t>
      </w:r>
      <w:r w:rsidRPr="008D0479">
        <w:rPr>
          <w:sz w:val="16"/>
          <w:szCs w:val="20"/>
        </w:rPr>
        <w:tab/>
        <w:t xml:space="preserve"> 1</w:t>
      </w:r>
    </w:p>
    <w:p w14:paraId="652052B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(3). La penetración de otras mentes </w:t>
      </w:r>
      <w:r w:rsidRPr="008D0479">
        <w:rPr>
          <w:sz w:val="16"/>
          <w:szCs w:val="20"/>
        </w:rPr>
        <w:tab/>
        <w:t xml:space="preserve"> 8</w:t>
      </w:r>
    </w:p>
    <w:p w14:paraId="2411ED54"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(4). El recuerdo de vidas pasadas </w:t>
      </w:r>
      <w:r w:rsidRPr="008D0479">
        <w:rPr>
          <w:sz w:val="16"/>
          <w:szCs w:val="20"/>
        </w:rPr>
        <w:tab/>
        <w:t xml:space="preserve"> 13</w:t>
      </w:r>
    </w:p>
    <w:p w14:paraId="5ECA87DB"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(5). El ojo divino </w:t>
      </w:r>
      <w:r w:rsidRPr="008D0479">
        <w:rPr>
          <w:sz w:val="16"/>
          <w:szCs w:val="20"/>
        </w:rPr>
        <w:tab/>
        <w:t xml:space="preserve"> 72</w:t>
      </w:r>
    </w:p>
    <w:p w14:paraId="1ACABC52"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En General</w:t>
      </w:r>
      <w:r w:rsidRPr="008D0479">
        <w:rPr>
          <w:sz w:val="16"/>
          <w:szCs w:val="20"/>
        </w:rPr>
        <w:tab/>
      </w:r>
      <w:r w:rsidRPr="008D0479">
        <w:rPr>
          <w:sz w:val="16"/>
          <w:szCs w:val="20"/>
        </w:rPr>
        <w:tab/>
        <w:t xml:space="preserve"> 102</w:t>
      </w:r>
    </w:p>
    <w:p w14:paraId="6EA74E82" w14:textId="77777777" w:rsidR="00B67276" w:rsidRPr="008D0479" w:rsidRDefault="00B67276" w:rsidP="00B67276">
      <w:pPr>
        <w:tabs>
          <w:tab w:val="clear" w:pos="425"/>
          <w:tab w:val="left" w:pos="357"/>
          <w:tab w:val="left" w:pos="851"/>
          <w:tab w:val="right" w:leader="dot" w:pos="6804"/>
        </w:tabs>
        <w:spacing w:after="0"/>
        <w:rPr>
          <w:sz w:val="16"/>
          <w:szCs w:val="20"/>
        </w:rPr>
      </w:pPr>
    </w:p>
    <w:p w14:paraId="237BBE53" w14:textId="77777777" w:rsidR="00B67276" w:rsidRPr="008D0479" w:rsidRDefault="00B67276" w:rsidP="00B67276">
      <w:pPr>
        <w:tabs>
          <w:tab w:val="clear" w:pos="425"/>
          <w:tab w:val="left" w:pos="357"/>
          <w:tab w:val="left" w:pos="851"/>
          <w:tab w:val="right" w:leader="dot" w:pos="6804"/>
        </w:tabs>
        <w:spacing w:after="0"/>
        <w:jc w:val="center"/>
        <w:rPr>
          <w:i/>
          <w:iCs/>
          <w:smallCaps/>
          <w:sz w:val="16"/>
          <w:szCs w:val="20"/>
        </w:rPr>
      </w:pPr>
      <w:r w:rsidRPr="008D0479">
        <w:rPr>
          <w:i/>
          <w:iCs/>
          <w:smallCaps/>
          <w:sz w:val="16"/>
          <w:szCs w:val="20"/>
        </w:rPr>
        <w:t>Parte III — El Entendimiento (Paññā)</w:t>
      </w:r>
    </w:p>
    <w:p w14:paraId="5D413B9C" w14:textId="77777777" w:rsidR="00B67276" w:rsidRPr="008D0479" w:rsidRDefault="00B67276" w:rsidP="00B67276">
      <w:pPr>
        <w:tabs>
          <w:tab w:val="clear" w:pos="425"/>
          <w:tab w:val="left" w:pos="357"/>
          <w:tab w:val="left" w:pos="851"/>
          <w:tab w:val="right" w:leader="dot" w:pos="6804"/>
        </w:tabs>
        <w:spacing w:after="0"/>
        <w:jc w:val="center"/>
        <w:rPr>
          <w:sz w:val="16"/>
          <w:szCs w:val="20"/>
        </w:rPr>
      </w:pPr>
    </w:p>
    <w:p w14:paraId="2A98B820" w14:textId="77777777" w:rsidR="00B67276" w:rsidRPr="008D0479" w:rsidRDefault="00B67276" w:rsidP="00B67276">
      <w:pPr>
        <w:tabs>
          <w:tab w:val="clear" w:pos="425"/>
          <w:tab w:val="left" w:pos="357"/>
          <w:tab w:val="left" w:pos="851"/>
          <w:tab w:val="right" w:leader="dot" w:pos="6804"/>
        </w:tabs>
        <w:spacing w:after="0"/>
        <w:jc w:val="center"/>
        <w:rPr>
          <w:i/>
          <w:iCs/>
          <w:sz w:val="16"/>
          <w:szCs w:val="20"/>
        </w:rPr>
      </w:pPr>
      <w:r w:rsidRPr="008D0479">
        <w:rPr>
          <w:i/>
          <w:iCs/>
          <w:sz w:val="16"/>
          <w:szCs w:val="20"/>
        </w:rPr>
        <w:t>El suelo en el que crece el entendimiento</w:t>
      </w:r>
    </w:p>
    <w:p w14:paraId="3FDC5F0B" w14:textId="77777777" w:rsidR="00B67276" w:rsidRPr="008D0479" w:rsidRDefault="00B67276" w:rsidP="00B67276">
      <w:pPr>
        <w:tabs>
          <w:tab w:val="clear" w:pos="425"/>
          <w:tab w:val="left" w:pos="357"/>
          <w:tab w:val="left" w:pos="851"/>
          <w:tab w:val="right" w:leader="dot" w:pos="6804"/>
        </w:tabs>
        <w:spacing w:after="0"/>
        <w:jc w:val="center"/>
        <w:rPr>
          <w:sz w:val="16"/>
          <w:szCs w:val="20"/>
        </w:rPr>
      </w:pPr>
      <w:r w:rsidRPr="008D0479">
        <w:rPr>
          <w:sz w:val="16"/>
          <w:szCs w:val="20"/>
        </w:rPr>
        <w:t>(Capítulos XIV al XVII)</w:t>
      </w:r>
    </w:p>
    <w:p w14:paraId="0437046A" w14:textId="77777777" w:rsidR="00B67276" w:rsidRPr="008D0479" w:rsidRDefault="00B67276" w:rsidP="00B67276">
      <w:pPr>
        <w:tabs>
          <w:tab w:val="right" w:pos="6804"/>
        </w:tabs>
        <w:spacing w:after="0"/>
        <w:ind w:left="357"/>
        <w:rPr>
          <w:sz w:val="12"/>
          <w:szCs w:val="16"/>
        </w:rPr>
      </w:pPr>
      <w:r w:rsidRPr="008D0479">
        <w:rPr>
          <w:sz w:val="12"/>
          <w:szCs w:val="16"/>
        </w:rPr>
        <w:tab/>
      </w:r>
      <w:r w:rsidRPr="008D0479">
        <w:rPr>
          <w:sz w:val="12"/>
          <w:szCs w:val="16"/>
        </w:rPr>
        <w:tab/>
        <w:t>No. de Párrafo.</w:t>
      </w:r>
    </w:p>
    <w:p w14:paraId="4DB0FAB3" w14:textId="77777777" w:rsidR="00B67276" w:rsidRPr="008D0479" w:rsidRDefault="00B67276" w:rsidP="00B67276">
      <w:pPr>
        <w:tabs>
          <w:tab w:val="clear" w:pos="425"/>
          <w:tab w:val="left" w:pos="357"/>
          <w:tab w:val="left" w:pos="851"/>
          <w:tab w:val="right" w:leader="dot" w:pos="6804"/>
        </w:tabs>
        <w:spacing w:after="0"/>
        <w:rPr>
          <w:sz w:val="16"/>
          <w:szCs w:val="20"/>
        </w:rPr>
      </w:pPr>
    </w:p>
    <w:p w14:paraId="198E749B"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XIV — Los Agregados</w:t>
      </w:r>
    </w:p>
    <w:p w14:paraId="091C0E0B"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A. </w:t>
      </w:r>
      <w:r w:rsidRPr="008D0479">
        <w:rPr>
          <w:sz w:val="16"/>
          <w:szCs w:val="20"/>
        </w:rPr>
        <w:tab/>
        <w:t xml:space="preserve">Entendimiento </w:t>
      </w:r>
      <w:r w:rsidRPr="008D0479">
        <w:rPr>
          <w:sz w:val="16"/>
          <w:szCs w:val="20"/>
        </w:rPr>
        <w:tab/>
        <w:t xml:space="preserve"> 1</w:t>
      </w:r>
    </w:p>
    <w:p w14:paraId="14536429"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(i). ¿Qué es el entendimiento? </w:t>
      </w:r>
      <w:r w:rsidRPr="008D0479">
        <w:rPr>
          <w:sz w:val="16"/>
          <w:szCs w:val="20"/>
        </w:rPr>
        <w:tab/>
        <w:t xml:space="preserve"> 2</w:t>
      </w:r>
    </w:p>
    <w:p w14:paraId="5E363A28"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ii</w:t>
      </w:r>
      <w:proofErr w:type="spellEnd"/>
      <w:r w:rsidRPr="008D0479">
        <w:rPr>
          <w:sz w:val="16"/>
          <w:szCs w:val="20"/>
        </w:rPr>
        <w:t xml:space="preserve">). ¿En qué sentido es entendimiento? </w:t>
      </w:r>
      <w:r w:rsidRPr="008D0479">
        <w:rPr>
          <w:sz w:val="16"/>
          <w:szCs w:val="20"/>
        </w:rPr>
        <w:tab/>
        <w:t xml:space="preserve"> 3</w:t>
      </w:r>
    </w:p>
    <w:p w14:paraId="6161F263"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iii</w:t>
      </w:r>
      <w:proofErr w:type="spellEnd"/>
      <w:r w:rsidRPr="008D0479">
        <w:rPr>
          <w:sz w:val="16"/>
          <w:szCs w:val="20"/>
        </w:rPr>
        <w:t xml:space="preserve">). ¿Cuáles son sus características, etc.? </w:t>
      </w:r>
      <w:r w:rsidRPr="008D0479">
        <w:rPr>
          <w:sz w:val="16"/>
          <w:szCs w:val="20"/>
        </w:rPr>
        <w:tab/>
        <w:t xml:space="preserve"> 7</w:t>
      </w:r>
    </w:p>
    <w:p w14:paraId="059CA259"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w:t>
      </w:r>
      <w:proofErr w:type="spellStart"/>
      <w:r w:rsidRPr="008D0479">
        <w:rPr>
          <w:sz w:val="16"/>
          <w:szCs w:val="20"/>
        </w:rPr>
        <w:t>iv</w:t>
      </w:r>
      <w:proofErr w:type="spellEnd"/>
      <w:r w:rsidRPr="008D0479">
        <w:rPr>
          <w:sz w:val="16"/>
          <w:szCs w:val="20"/>
        </w:rPr>
        <w:t xml:space="preserve">). ¿Cuántos tipos de entendimiento existen? </w:t>
      </w:r>
      <w:r w:rsidRPr="008D0479">
        <w:rPr>
          <w:sz w:val="16"/>
          <w:szCs w:val="20"/>
        </w:rPr>
        <w:tab/>
        <w:t xml:space="preserve"> 8</w:t>
      </w:r>
    </w:p>
    <w:p w14:paraId="650CF6C3"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(v). ¿Cómo se desarrolla? (termina con el final del Capítulo XXII) </w:t>
      </w:r>
      <w:r w:rsidRPr="008D0479">
        <w:rPr>
          <w:sz w:val="16"/>
          <w:szCs w:val="20"/>
        </w:rPr>
        <w:tab/>
        <w:t xml:space="preserve"> 32</w:t>
      </w:r>
    </w:p>
    <w:p w14:paraId="3D638D27"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B. </w:t>
      </w:r>
      <w:r w:rsidRPr="008D0479">
        <w:rPr>
          <w:sz w:val="16"/>
          <w:szCs w:val="20"/>
        </w:rPr>
        <w:tab/>
        <w:t xml:space="preserve">Descripción de los 5 agregados </w:t>
      </w:r>
      <w:r w:rsidRPr="008D0479">
        <w:rPr>
          <w:sz w:val="16"/>
          <w:szCs w:val="20"/>
        </w:rPr>
        <w:tab/>
        <w:t xml:space="preserve"> 33</w:t>
      </w:r>
    </w:p>
    <w:p w14:paraId="2F2AE3BE"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El agregado de la materialidad </w:t>
      </w:r>
      <w:r w:rsidRPr="008D0479">
        <w:rPr>
          <w:sz w:val="16"/>
          <w:szCs w:val="20"/>
        </w:rPr>
        <w:tab/>
        <w:t xml:space="preserve"> 34</w:t>
      </w:r>
    </w:p>
    <w:p w14:paraId="1B6FA9F2"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El agregado de consciencia </w:t>
      </w:r>
      <w:r w:rsidRPr="008D0479">
        <w:rPr>
          <w:sz w:val="16"/>
          <w:szCs w:val="20"/>
        </w:rPr>
        <w:tab/>
        <w:t xml:space="preserve"> 81</w:t>
      </w:r>
    </w:p>
    <w:p w14:paraId="25D76C0D"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El agregado de la sensación </w:t>
      </w:r>
      <w:r w:rsidRPr="008D0479">
        <w:rPr>
          <w:sz w:val="16"/>
          <w:szCs w:val="20"/>
        </w:rPr>
        <w:tab/>
        <w:t xml:space="preserve"> 125</w:t>
      </w:r>
    </w:p>
    <w:p w14:paraId="5458FEF8"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El agregado de la percepción </w:t>
      </w:r>
      <w:r w:rsidRPr="008D0479">
        <w:rPr>
          <w:sz w:val="16"/>
          <w:szCs w:val="20"/>
        </w:rPr>
        <w:tab/>
        <w:t xml:space="preserve"> 129</w:t>
      </w:r>
    </w:p>
    <w:p w14:paraId="753A5E89"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El agregado de las formaciones</w:t>
      </w:r>
      <w:r w:rsidRPr="008D0479">
        <w:rPr>
          <w:sz w:val="16"/>
          <w:szCs w:val="20"/>
        </w:rPr>
        <w:tab/>
        <w:t xml:space="preserve"> 131</w:t>
      </w:r>
    </w:p>
    <w:p w14:paraId="5B49A3EE"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C. </w:t>
      </w:r>
      <w:r w:rsidRPr="008D0479">
        <w:rPr>
          <w:sz w:val="16"/>
          <w:szCs w:val="20"/>
        </w:rPr>
        <w:tab/>
        <w:t>Clasificación de los agregados</w:t>
      </w:r>
      <w:r w:rsidRPr="008D0479">
        <w:rPr>
          <w:sz w:val="16"/>
          <w:szCs w:val="20"/>
        </w:rPr>
        <w:tab/>
        <w:t xml:space="preserve"> 185</w:t>
      </w:r>
    </w:p>
    <w:p w14:paraId="3322CC89"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D. </w:t>
      </w:r>
      <w:r w:rsidRPr="008D0479">
        <w:rPr>
          <w:sz w:val="16"/>
          <w:szCs w:val="20"/>
        </w:rPr>
        <w:tab/>
        <w:t xml:space="preserve">Clases de Conocimiento de los Agregados </w:t>
      </w:r>
      <w:r w:rsidRPr="008D0479">
        <w:rPr>
          <w:sz w:val="16"/>
          <w:szCs w:val="20"/>
        </w:rPr>
        <w:tab/>
        <w:t xml:space="preserve"> 210</w:t>
      </w:r>
    </w:p>
    <w:p w14:paraId="590D6CE6" w14:textId="77777777" w:rsidR="00B67276" w:rsidRPr="008D0479" w:rsidRDefault="00B67276" w:rsidP="00B67276">
      <w:pPr>
        <w:tabs>
          <w:tab w:val="clear" w:pos="425"/>
          <w:tab w:val="left" w:pos="357"/>
          <w:tab w:val="left" w:pos="851"/>
          <w:tab w:val="right" w:leader="dot" w:pos="6804"/>
        </w:tabs>
        <w:spacing w:after="0"/>
        <w:rPr>
          <w:sz w:val="16"/>
          <w:szCs w:val="20"/>
        </w:rPr>
      </w:pPr>
    </w:p>
    <w:p w14:paraId="7317982E"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XV — Las Bases y Elementos</w:t>
      </w:r>
    </w:p>
    <w:p w14:paraId="6B361ABD"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A </w:t>
      </w:r>
      <w:r w:rsidRPr="008D0479">
        <w:rPr>
          <w:sz w:val="16"/>
          <w:szCs w:val="20"/>
        </w:rPr>
        <w:tab/>
        <w:t xml:space="preserve">Descripción de las bases </w:t>
      </w:r>
      <w:r w:rsidRPr="008D0479">
        <w:rPr>
          <w:sz w:val="16"/>
          <w:szCs w:val="20"/>
        </w:rPr>
        <w:tab/>
        <w:t xml:space="preserve"> 1</w:t>
      </w:r>
    </w:p>
    <w:p w14:paraId="15ACB295"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B </w:t>
      </w:r>
      <w:r w:rsidRPr="008D0479">
        <w:rPr>
          <w:sz w:val="16"/>
          <w:szCs w:val="20"/>
        </w:rPr>
        <w:tab/>
        <w:t xml:space="preserve">Descripción de los elementos </w:t>
      </w:r>
      <w:r w:rsidRPr="008D0479">
        <w:rPr>
          <w:sz w:val="16"/>
          <w:szCs w:val="20"/>
        </w:rPr>
        <w:tab/>
        <w:t xml:space="preserve"> 17</w:t>
      </w:r>
    </w:p>
    <w:p w14:paraId="1D4BC397" w14:textId="77777777" w:rsidR="00B67276" w:rsidRPr="008D0479" w:rsidRDefault="00B67276" w:rsidP="00B67276">
      <w:pPr>
        <w:tabs>
          <w:tab w:val="clear" w:pos="425"/>
          <w:tab w:val="left" w:pos="357"/>
          <w:tab w:val="left" w:pos="851"/>
          <w:tab w:val="right" w:leader="dot" w:pos="6804"/>
        </w:tabs>
        <w:spacing w:after="0"/>
        <w:rPr>
          <w:sz w:val="16"/>
          <w:szCs w:val="20"/>
        </w:rPr>
      </w:pPr>
    </w:p>
    <w:p w14:paraId="7E9B39F0"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Capitulo XVI — Las Facultades y las Verdades</w:t>
      </w:r>
    </w:p>
    <w:p w14:paraId="240AB456"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A </w:t>
      </w:r>
      <w:r w:rsidRPr="008D0479">
        <w:rPr>
          <w:sz w:val="16"/>
          <w:szCs w:val="20"/>
        </w:rPr>
        <w:tab/>
        <w:t xml:space="preserve">Descripción de las facultades </w:t>
      </w:r>
      <w:r w:rsidRPr="008D0479">
        <w:rPr>
          <w:sz w:val="16"/>
          <w:szCs w:val="20"/>
        </w:rPr>
        <w:tab/>
        <w:t xml:space="preserve"> 1</w:t>
      </w:r>
    </w:p>
    <w:p w14:paraId="49B4FC5E"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B </w:t>
      </w:r>
      <w:r w:rsidRPr="008D0479">
        <w:rPr>
          <w:sz w:val="16"/>
          <w:szCs w:val="20"/>
        </w:rPr>
        <w:tab/>
        <w:t xml:space="preserve">Descripción de las Verdades </w:t>
      </w:r>
      <w:r w:rsidRPr="008D0479">
        <w:rPr>
          <w:sz w:val="16"/>
          <w:szCs w:val="20"/>
        </w:rPr>
        <w:tab/>
        <w:t xml:space="preserve"> 13</w:t>
      </w:r>
    </w:p>
    <w:p w14:paraId="3F4273AC" w14:textId="77777777" w:rsidR="00B67276" w:rsidRPr="008D0479" w:rsidRDefault="00B67276" w:rsidP="00B67276">
      <w:pPr>
        <w:tabs>
          <w:tab w:val="clear" w:pos="425"/>
          <w:tab w:val="left" w:pos="357"/>
          <w:tab w:val="left" w:pos="567"/>
          <w:tab w:val="left" w:pos="851"/>
          <w:tab w:val="right" w:leader="dot" w:pos="6804"/>
        </w:tabs>
        <w:spacing w:after="0"/>
        <w:ind w:left="357"/>
        <w:rPr>
          <w:sz w:val="16"/>
          <w:szCs w:val="20"/>
        </w:rPr>
      </w:pPr>
      <w:r w:rsidRPr="008D0479">
        <w:rPr>
          <w:sz w:val="16"/>
          <w:szCs w:val="20"/>
        </w:rPr>
        <w:t xml:space="preserve">1. </w:t>
      </w:r>
      <w:r w:rsidRPr="008D0479">
        <w:rPr>
          <w:sz w:val="16"/>
          <w:szCs w:val="20"/>
        </w:rPr>
        <w:tab/>
        <w:t xml:space="preserve">La Verdad sobre el Sufrimiento </w:t>
      </w:r>
      <w:r w:rsidRPr="008D0479">
        <w:rPr>
          <w:sz w:val="16"/>
          <w:szCs w:val="20"/>
        </w:rPr>
        <w:tab/>
        <w:t xml:space="preserve"> 32</w:t>
      </w:r>
    </w:p>
    <w:p w14:paraId="735C58EF" w14:textId="77777777" w:rsidR="00B67276" w:rsidRPr="008D0479" w:rsidRDefault="00B67276" w:rsidP="00B67276">
      <w:pPr>
        <w:tabs>
          <w:tab w:val="clear" w:pos="425"/>
          <w:tab w:val="left" w:pos="357"/>
          <w:tab w:val="left" w:pos="567"/>
          <w:tab w:val="left" w:pos="851"/>
          <w:tab w:val="right" w:leader="dot" w:pos="6804"/>
        </w:tabs>
        <w:spacing w:after="0"/>
        <w:ind w:left="357"/>
        <w:rPr>
          <w:sz w:val="16"/>
          <w:szCs w:val="20"/>
        </w:rPr>
      </w:pPr>
      <w:r w:rsidRPr="008D0479">
        <w:rPr>
          <w:sz w:val="16"/>
          <w:szCs w:val="20"/>
        </w:rPr>
        <w:t xml:space="preserve">2. </w:t>
      </w:r>
      <w:r w:rsidRPr="008D0479">
        <w:rPr>
          <w:sz w:val="16"/>
          <w:szCs w:val="20"/>
        </w:rPr>
        <w:tab/>
        <w:t xml:space="preserve">La Verdad sobre el Origen del Sufrimiento </w:t>
      </w:r>
      <w:r w:rsidRPr="008D0479">
        <w:rPr>
          <w:sz w:val="16"/>
          <w:szCs w:val="20"/>
        </w:rPr>
        <w:tab/>
        <w:t xml:space="preserve"> 61</w:t>
      </w:r>
    </w:p>
    <w:p w14:paraId="38CCC5A8" w14:textId="77777777" w:rsidR="00B67276" w:rsidRPr="008D0479" w:rsidRDefault="00B67276" w:rsidP="00B67276">
      <w:pPr>
        <w:tabs>
          <w:tab w:val="clear" w:pos="425"/>
          <w:tab w:val="left" w:pos="357"/>
          <w:tab w:val="left" w:pos="567"/>
          <w:tab w:val="left" w:pos="851"/>
          <w:tab w:val="right" w:leader="dot" w:pos="6804"/>
        </w:tabs>
        <w:spacing w:after="0"/>
        <w:ind w:left="357"/>
        <w:rPr>
          <w:sz w:val="16"/>
          <w:szCs w:val="20"/>
        </w:rPr>
      </w:pPr>
      <w:r w:rsidRPr="008D0479">
        <w:rPr>
          <w:sz w:val="16"/>
          <w:szCs w:val="20"/>
        </w:rPr>
        <w:t xml:space="preserve">3. </w:t>
      </w:r>
      <w:r w:rsidRPr="008D0479">
        <w:rPr>
          <w:sz w:val="16"/>
          <w:szCs w:val="20"/>
        </w:rPr>
        <w:tab/>
        <w:t xml:space="preserve">La Verdad sobre la Cesación del Sufrimiento </w:t>
      </w:r>
      <w:r w:rsidRPr="008D0479">
        <w:rPr>
          <w:sz w:val="16"/>
          <w:szCs w:val="20"/>
        </w:rPr>
        <w:tab/>
        <w:t xml:space="preserve"> 62</w:t>
      </w:r>
    </w:p>
    <w:p w14:paraId="22C78930" w14:textId="77777777" w:rsidR="00B67276" w:rsidRPr="008D0479" w:rsidRDefault="00B67276" w:rsidP="00B67276">
      <w:pPr>
        <w:tabs>
          <w:tab w:val="clear" w:pos="425"/>
          <w:tab w:val="left" w:pos="357"/>
          <w:tab w:val="left" w:pos="567"/>
          <w:tab w:val="right" w:leader="dot" w:pos="6804"/>
        </w:tabs>
        <w:spacing w:after="0"/>
        <w:ind w:left="357"/>
        <w:rPr>
          <w:sz w:val="16"/>
          <w:szCs w:val="20"/>
        </w:rPr>
      </w:pPr>
      <w:r w:rsidRPr="008D0479">
        <w:rPr>
          <w:sz w:val="16"/>
          <w:szCs w:val="20"/>
        </w:rPr>
        <w:tab/>
        <w:t xml:space="preserve">Discusión sobre el </w:t>
      </w:r>
      <w:r w:rsidRPr="008D0479">
        <w:rPr>
          <w:i/>
          <w:iCs/>
          <w:sz w:val="16"/>
          <w:szCs w:val="20"/>
        </w:rPr>
        <w:t>nibbāna</w:t>
      </w:r>
      <w:r w:rsidRPr="008D0479">
        <w:rPr>
          <w:sz w:val="16"/>
          <w:szCs w:val="20"/>
        </w:rPr>
        <w:t xml:space="preserve"> </w:t>
      </w:r>
      <w:r w:rsidRPr="008D0479">
        <w:rPr>
          <w:sz w:val="16"/>
          <w:szCs w:val="20"/>
        </w:rPr>
        <w:tab/>
        <w:t xml:space="preserve"> 6</w:t>
      </w:r>
    </w:p>
    <w:p w14:paraId="5BE6B108" w14:textId="77777777" w:rsidR="00B67276" w:rsidRPr="008D0479" w:rsidRDefault="00B67276" w:rsidP="00B67276">
      <w:pPr>
        <w:tabs>
          <w:tab w:val="clear" w:pos="425"/>
          <w:tab w:val="left" w:pos="357"/>
          <w:tab w:val="left" w:pos="851"/>
          <w:tab w:val="right" w:leader="dot" w:pos="6804"/>
        </w:tabs>
        <w:spacing w:after="160"/>
        <w:rPr>
          <w:sz w:val="16"/>
          <w:szCs w:val="20"/>
        </w:rPr>
      </w:pPr>
      <w:r w:rsidRPr="008D0479">
        <w:rPr>
          <w:sz w:val="16"/>
          <w:szCs w:val="20"/>
        </w:rPr>
        <w:br w:type="page"/>
      </w:r>
    </w:p>
    <w:p w14:paraId="3C225B65" w14:textId="77777777" w:rsidR="00B67276" w:rsidRPr="008D0479" w:rsidRDefault="00B67276" w:rsidP="00B67276">
      <w:pPr>
        <w:tabs>
          <w:tab w:val="clear" w:pos="425"/>
          <w:tab w:val="left" w:pos="357"/>
          <w:tab w:val="left" w:pos="567"/>
          <w:tab w:val="left" w:pos="851"/>
          <w:tab w:val="right" w:leader="dot" w:pos="6804"/>
        </w:tabs>
        <w:spacing w:after="0"/>
        <w:ind w:left="357"/>
        <w:rPr>
          <w:sz w:val="16"/>
          <w:szCs w:val="20"/>
        </w:rPr>
      </w:pPr>
      <w:r w:rsidRPr="008D0479">
        <w:rPr>
          <w:sz w:val="16"/>
          <w:szCs w:val="20"/>
        </w:rPr>
        <w:lastRenderedPageBreak/>
        <w:t xml:space="preserve">4. </w:t>
      </w:r>
      <w:r w:rsidRPr="008D0479">
        <w:rPr>
          <w:sz w:val="16"/>
          <w:szCs w:val="20"/>
        </w:rPr>
        <w:tab/>
        <w:t xml:space="preserve">La Verdad sobre el Sendero </w:t>
      </w:r>
      <w:r w:rsidRPr="008D0479">
        <w:rPr>
          <w:sz w:val="16"/>
          <w:szCs w:val="20"/>
        </w:rPr>
        <w:tab/>
        <w:t xml:space="preserve"> 75</w:t>
      </w:r>
    </w:p>
    <w:p w14:paraId="0D190338"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En General </w:t>
      </w:r>
      <w:r w:rsidRPr="008D0479">
        <w:rPr>
          <w:sz w:val="16"/>
          <w:szCs w:val="20"/>
        </w:rPr>
        <w:tab/>
        <w:t xml:space="preserve"> 84</w:t>
      </w:r>
    </w:p>
    <w:p w14:paraId="139D2070" w14:textId="77777777" w:rsidR="00B67276" w:rsidRPr="008D0479" w:rsidRDefault="00B67276" w:rsidP="00B67276">
      <w:pPr>
        <w:tabs>
          <w:tab w:val="clear" w:pos="425"/>
          <w:tab w:val="left" w:pos="357"/>
          <w:tab w:val="left" w:pos="851"/>
          <w:tab w:val="right" w:leader="dot" w:pos="6804"/>
        </w:tabs>
        <w:spacing w:after="0"/>
        <w:rPr>
          <w:sz w:val="12"/>
          <w:szCs w:val="16"/>
        </w:rPr>
      </w:pPr>
    </w:p>
    <w:p w14:paraId="0DF218CB" w14:textId="77777777" w:rsidR="00B67276" w:rsidRPr="008D0479" w:rsidRDefault="00B67276" w:rsidP="00B67276">
      <w:pPr>
        <w:tabs>
          <w:tab w:val="clear" w:pos="425"/>
          <w:tab w:val="left" w:pos="357"/>
          <w:tab w:val="left" w:pos="851"/>
          <w:tab w:val="right" w:leader="dot" w:pos="6804"/>
        </w:tabs>
        <w:spacing w:after="0"/>
        <w:ind w:left="1330" w:hanging="1330"/>
        <w:rPr>
          <w:sz w:val="16"/>
          <w:szCs w:val="20"/>
        </w:rPr>
      </w:pPr>
      <w:r w:rsidRPr="008D0479">
        <w:rPr>
          <w:smallCaps/>
          <w:sz w:val="16"/>
          <w:szCs w:val="20"/>
        </w:rPr>
        <w:t>Capítulo XVII — El Suelo del Entendimiento (conclusión):</w:t>
      </w:r>
      <w:r w:rsidRPr="008D0479">
        <w:rPr>
          <w:smallCaps/>
          <w:sz w:val="16"/>
          <w:szCs w:val="20"/>
        </w:rPr>
        <w:br/>
        <w:t>Originación Dependiente</w:t>
      </w:r>
    </w:p>
    <w:p w14:paraId="1BADEEC0" w14:textId="55B8F630"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A</w:t>
      </w:r>
      <w:r w:rsidR="008D0479" w:rsidRPr="008D0479">
        <w:rPr>
          <w:sz w:val="16"/>
          <w:szCs w:val="20"/>
        </w:rPr>
        <w:t>.</w:t>
      </w:r>
      <w:r w:rsidRPr="008D0479">
        <w:rPr>
          <w:sz w:val="16"/>
          <w:szCs w:val="20"/>
        </w:rPr>
        <w:t xml:space="preserve"> </w:t>
      </w:r>
      <w:r w:rsidRPr="008D0479">
        <w:rPr>
          <w:sz w:val="16"/>
          <w:szCs w:val="20"/>
        </w:rPr>
        <w:tab/>
        <w:t xml:space="preserve">Definición de la Originación Dependiente </w:t>
      </w:r>
      <w:r w:rsidRPr="008D0479">
        <w:rPr>
          <w:sz w:val="16"/>
          <w:szCs w:val="20"/>
        </w:rPr>
        <w:tab/>
        <w:t xml:space="preserve"> 1</w:t>
      </w:r>
    </w:p>
    <w:p w14:paraId="7AAD0EC4" w14:textId="33C96C93"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B</w:t>
      </w:r>
      <w:r w:rsidR="008D0479" w:rsidRPr="008D0479">
        <w:rPr>
          <w:sz w:val="16"/>
          <w:szCs w:val="20"/>
        </w:rPr>
        <w:t>.</w:t>
      </w:r>
      <w:r w:rsidRPr="008D0479">
        <w:rPr>
          <w:sz w:val="16"/>
          <w:szCs w:val="20"/>
        </w:rPr>
        <w:t xml:space="preserve"> </w:t>
      </w:r>
      <w:r w:rsidRPr="008D0479">
        <w:rPr>
          <w:sz w:val="16"/>
          <w:szCs w:val="20"/>
        </w:rPr>
        <w:tab/>
        <w:t xml:space="preserve">Exposición </w:t>
      </w:r>
      <w:r w:rsidRPr="008D0479">
        <w:rPr>
          <w:sz w:val="16"/>
          <w:szCs w:val="20"/>
        </w:rPr>
        <w:tab/>
        <w:t xml:space="preserve"> 25</w:t>
      </w:r>
    </w:p>
    <w:p w14:paraId="5C1C7F4B"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I. </w:t>
      </w:r>
      <w:r w:rsidRPr="008D0479">
        <w:rPr>
          <w:sz w:val="16"/>
          <w:szCs w:val="20"/>
        </w:rPr>
        <w:tab/>
        <w:t xml:space="preserve">Preámbulo </w:t>
      </w:r>
      <w:r w:rsidRPr="008D0479">
        <w:rPr>
          <w:sz w:val="16"/>
          <w:szCs w:val="20"/>
        </w:rPr>
        <w:tab/>
        <w:t xml:space="preserve"> 25</w:t>
      </w:r>
    </w:p>
    <w:p w14:paraId="4C4C5775"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II. </w:t>
      </w:r>
      <w:r w:rsidRPr="008D0479">
        <w:rPr>
          <w:sz w:val="16"/>
          <w:szCs w:val="20"/>
        </w:rPr>
        <w:tab/>
        <w:t xml:space="preserve">Breve exposición </w:t>
      </w:r>
      <w:r w:rsidRPr="008D0479">
        <w:rPr>
          <w:sz w:val="16"/>
          <w:szCs w:val="20"/>
        </w:rPr>
        <w:tab/>
        <w:t xml:space="preserve"> 27</w:t>
      </w:r>
    </w:p>
    <w:p w14:paraId="27C3FCF8"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III. </w:t>
      </w:r>
      <w:r w:rsidRPr="008D0479">
        <w:rPr>
          <w:sz w:val="16"/>
          <w:szCs w:val="20"/>
        </w:rPr>
        <w:tab/>
        <w:t xml:space="preserve">Exposición detallada </w:t>
      </w:r>
      <w:r w:rsidRPr="008D0479">
        <w:rPr>
          <w:sz w:val="16"/>
          <w:szCs w:val="20"/>
        </w:rPr>
        <w:tab/>
        <w:t xml:space="preserve"> 58</w:t>
      </w:r>
    </w:p>
    <w:p w14:paraId="24CC8B4A"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(1). Ignorancia </w:t>
      </w:r>
      <w:r w:rsidRPr="008D0479">
        <w:rPr>
          <w:sz w:val="16"/>
          <w:szCs w:val="20"/>
        </w:rPr>
        <w:tab/>
        <w:t xml:space="preserve"> 58</w:t>
      </w:r>
    </w:p>
    <w:p w14:paraId="56085D83"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(2). Formaciones </w:t>
      </w:r>
      <w:r w:rsidRPr="008D0479">
        <w:rPr>
          <w:sz w:val="16"/>
          <w:szCs w:val="20"/>
        </w:rPr>
        <w:tab/>
        <w:t xml:space="preserve"> 60</w:t>
      </w:r>
    </w:p>
    <w:p w14:paraId="19F85D4F" w14:textId="77777777" w:rsidR="00B67276" w:rsidRPr="008D0479" w:rsidRDefault="00B67276" w:rsidP="00B67276">
      <w:pPr>
        <w:tabs>
          <w:tab w:val="clear" w:pos="425"/>
          <w:tab w:val="left" w:pos="357"/>
          <w:tab w:val="left" w:pos="851"/>
          <w:tab w:val="right" w:leader="dot" w:pos="6804"/>
        </w:tabs>
        <w:spacing w:after="0"/>
        <w:ind w:left="1418"/>
        <w:rPr>
          <w:sz w:val="16"/>
          <w:szCs w:val="20"/>
        </w:rPr>
      </w:pPr>
      <w:r w:rsidRPr="008D0479">
        <w:rPr>
          <w:sz w:val="16"/>
          <w:szCs w:val="20"/>
        </w:rPr>
        <w:t xml:space="preserve">Las 24 condiciones </w:t>
      </w:r>
      <w:r w:rsidRPr="008D0479">
        <w:rPr>
          <w:sz w:val="16"/>
          <w:szCs w:val="20"/>
        </w:rPr>
        <w:tab/>
        <w:t xml:space="preserve"> 66</w:t>
      </w:r>
    </w:p>
    <w:p w14:paraId="682056B2" w14:textId="77777777" w:rsidR="00B67276" w:rsidRPr="008D0479" w:rsidRDefault="00B67276" w:rsidP="00B67276">
      <w:pPr>
        <w:tabs>
          <w:tab w:val="clear" w:pos="425"/>
          <w:tab w:val="left" w:pos="357"/>
          <w:tab w:val="left" w:pos="851"/>
          <w:tab w:val="right" w:leader="dot" w:pos="6804"/>
        </w:tabs>
        <w:spacing w:after="0"/>
        <w:ind w:left="1418"/>
        <w:rPr>
          <w:sz w:val="16"/>
          <w:szCs w:val="20"/>
        </w:rPr>
      </w:pPr>
      <w:r w:rsidRPr="008D0479">
        <w:rPr>
          <w:sz w:val="16"/>
          <w:szCs w:val="20"/>
        </w:rPr>
        <w:t>Cómo la ignorancia es una condición para las formaciones</w:t>
      </w:r>
      <w:r w:rsidRPr="008D0479">
        <w:rPr>
          <w:sz w:val="16"/>
          <w:szCs w:val="20"/>
        </w:rPr>
        <w:tab/>
        <w:t xml:space="preserve"> 101</w:t>
      </w:r>
    </w:p>
    <w:p w14:paraId="3BAAD0F1"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(3). Conciencias </w:t>
      </w:r>
      <w:r w:rsidRPr="008D0479">
        <w:rPr>
          <w:sz w:val="16"/>
          <w:szCs w:val="20"/>
        </w:rPr>
        <w:tab/>
        <w:t xml:space="preserve"> 120</w:t>
      </w:r>
    </w:p>
    <w:p w14:paraId="231E8512"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(4). Mentalidad</w:t>
      </w:r>
      <w:r w:rsidRPr="008D0479">
        <w:rPr>
          <w:rFonts w:cs="Cormorant"/>
          <w:sz w:val="16"/>
          <w:szCs w:val="20"/>
        </w:rPr>
        <w:t>‒</w:t>
      </w:r>
      <w:r w:rsidRPr="008D0479">
        <w:rPr>
          <w:sz w:val="16"/>
          <w:szCs w:val="20"/>
        </w:rPr>
        <w:t xml:space="preserve">materialidad </w:t>
      </w:r>
      <w:r w:rsidRPr="008D0479">
        <w:rPr>
          <w:sz w:val="16"/>
          <w:szCs w:val="20"/>
        </w:rPr>
        <w:tab/>
        <w:t xml:space="preserve"> 186</w:t>
      </w:r>
    </w:p>
    <w:p w14:paraId="64E3BD02"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(5). La base séxtuple </w:t>
      </w:r>
      <w:r w:rsidRPr="008D0479">
        <w:rPr>
          <w:sz w:val="16"/>
          <w:szCs w:val="20"/>
        </w:rPr>
        <w:tab/>
        <w:t xml:space="preserve"> 203</w:t>
      </w:r>
    </w:p>
    <w:p w14:paraId="0FD6DBC8"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(6). Contacto </w:t>
      </w:r>
      <w:r w:rsidRPr="008D0479">
        <w:rPr>
          <w:sz w:val="16"/>
          <w:szCs w:val="20"/>
        </w:rPr>
        <w:tab/>
        <w:t xml:space="preserve"> 220</w:t>
      </w:r>
    </w:p>
    <w:p w14:paraId="40BA4A45"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(7). Sensación </w:t>
      </w:r>
      <w:r w:rsidRPr="008D0479">
        <w:rPr>
          <w:sz w:val="16"/>
          <w:szCs w:val="20"/>
        </w:rPr>
        <w:tab/>
        <w:t xml:space="preserve"> 228</w:t>
      </w:r>
    </w:p>
    <w:p w14:paraId="45BFFEE6"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(8). Deseo </w:t>
      </w:r>
      <w:r w:rsidRPr="008D0479">
        <w:rPr>
          <w:sz w:val="16"/>
          <w:szCs w:val="20"/>
        </w:rPr>
        <w:tab/>
        <w:t xml:space="preserve"> 233</w:t>
      </w:r>
    </w:p>
    <w:p w14:paraId="71A2A27B"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(9). Apego</w:t>
      </w:r>
      <w:r w:rsidRPr="008D0479">
        <w:rPr>
          <w:sz w:val="16"/>
          <w:szCs w:val="20"/>
        </w:rPr>
        <w:tab/>
        <w:t xml:space="preserve"> 239</w:t>
      </w:r>
    </w:p>
    <w:p w14:paraId="07403C3A"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(10). Devenir(ser) </w:t>
      </w:r>
      <w:r w:rsidRPr="008D0479">
        <w:rPr>
          <w:sz w:val="16"/>
          <w:szCs w:val="20"/>
        </w:rPr>
        <w:tab/>
        <w:t xml:space="preserve"> 249</w:t>
      </w:r>
    </w:p>
    <w:p w14:paraId="46533424"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(11–12). Nacimiento, etc. </w:t>
      </w:r>
      <w:r w:rsidRPr="008D0479">
        <w:rPr>
          <w:sz w:val="16"/>
          <w:szCs w:val="20"/>
        </w:rPr>
        <w:tab/>
        <w:t xml:space="preserve"> 270</w:t>
      </w:r>
    </w:p>
    <w:p w14:paraId="01043654" w14:textId="14C4D3D0"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C</w:t>
      </w:r>
      <w:r w:rsidR="008D0479" w:rsidRPr="008D0479">
        <w:rPr>
          <w:sz w:val="16"/>
          <w:szCs w:val="20"/>
        </w:rPr>
        <w:t>.</w:t>
      </w:r>
      <w:r w:rsidRPr="008D0479">
        <w:rPr>
          <w:sz w:val="16"/>
          <w:szCs w:val="20"/>
        </w:rPr>
        <w:tab/>
        <w:t>La Rueda del Devenir   273</w:t>
      </w:r>
    </w:p>
    <w:p w14:paraId="19A4E18D"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i. </w:t>
      </w:r>
      <w:r w:rsidRPr="008D0479">
        <w:rPr>
          <w:sz w:val="16"/>
          <w:szCs w:val="20"/>
        </w:rPr>
        <w:tab/>
        <w:t xml:space="preserve">La rueda </w:t>
      </w:r>
      <w:r w:rsidRPr="008D0479">
        <w:rPr>
          <w:sz w:val="16"/>
          <w:szCs w:val="20"/>
        </w:rPr>
        <w:tab/>
        <w:t xml:space="preserve"> 273</w:t>
      </w:r>
    </w:p>
    <w:p w14:paraId="656D9811"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proofErr w:type="spellStart"/>
      <w:r w:rsidRPr="008D0479">
        <w:rPr>
          <w:sz w:val="16"/>
          <w:szCs w:val="20"/>
        </w:rPr>
        <w:t>ii</w:t>
      </w:r>
      <w:proofErr w:type="spellEnd"/>
      <w:r w:rsidRPr="008D0479">
        <w:rPr>
          <w:sz w:val="16"/>
          <w:szCs w:val="20"/>
        </w:rPr>
        <w:t>.</w:t>
      </w:r>
      <w:r w:rsidRPr="008D0479">
        <w:rPr>
          <w:sz w:val="16"/>
          <w:szCs w:val="20"/>
        </w:rPr>
        <w:tab/>
        <w:t xml:space="preserve">Los tres momentos </w:t>
      </w:r>
      <w:r w:rsidRPr="008D0479">
        <w:rPr>
          <w:sz w:val="16"/>
          <w:szCs w:val="20"/>
        </w:rPr>
        <w:tab/>
        <w:t xml:space="preserve"> 284</w:t>
      </w:r>
    </w:p>
    <w:p w14:paraId="386FB235"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proofErr w:type="spellStart"/>
      <w:r w:rsidRPr="008D0479">
        <w:rPr>
          <w:sz w:val="16"/>
          <w:szCs w:val="20"/>
        </w:rPr>
        <w:t>iii</w:t>
      </w:r>
      <w:proofErr w:type="spellEnd"/>
      <w:r w:rsidRPr="008D0479">
        <w:rPr>
          <w:sz w:val="16"/>
          <w:szCs w:val="20"/>
        </w:rPr>
        <w:t xml:space="preserve">. </w:t>
      </w:r>
      <w:r w:rsidRPr="008D0479">
        <w:rPr>
          <w:sz w:val="16"/>
          <w:szCs w:val="20"/>
        </w:rPr>
        <w:tab/>
        <w:t>Causa y efecto</w:t>
      </w:r>
      <w:r w:rsidRPr="008D0479">
        <w:rPr>
          <w:sz w:val="16"/>
          <w:szCs w:val="20"/>
        </w:rPr>
        <w:tab/>
        <w:t xml:space="preserve"> 288</w:t>
      </w:r>
    </w:p>
    <w:p w14:paraId="30147E4F"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proofErr w:type="spellStart"/>
      <w:r w:rsidRPr="008D0479">
        <w:rPr>
          <w:sz w:val="16"/>
          <w:szCs w:val="20"/>
        </w:rPr>
        <w:t>iv</w:t>
      </w:r>
      <w:proofErr w:type="spellEnd"/>
      <w:r w:rsidRPr="008D0479">
        <w:rPr>
          <w:sz w:val="16"/>
          <w:szCs w:val="20"/>
        </w:rPr>
        <w:t xml:space="preserve">. </w:t>
      </w:r>
      <w:r w:rsidRPr="008D0479">
        <w:rPr>
          <w:sz w:val="16"/>
          <w:szCs w:val="20"/>
        </w:rPr>
        <w:tab/>
        <w:t xml:space="preserve">Varios </w:t>
      </w:r>
      <w:r w:rsidRPr="008D0479">
        <w:rPr>
          <w:sz w:val="16"/>
          <w:szCs w:val="20"/>
        </w:rPr>
        <w:tab/>
        <w:t xml:space="preserve"> 299</w:t>
      </w:r>
    </w:p>
    <w:p w14:paraId="1D3E7B7C" w14:textId="77777777" w:rsidR="00B67276" w:rsidRPr="008D0479" w:rsidRDefault="00B67276" w:rsidP="00B67276">
      <w:pPr>
        <w:tabs>
          <w:tab w:val="clear" w:pos="425"/>
          <w:tab w:val="left" w:pos="357"/>
          <w:tab w:val="left" w:pos="851"/>
          <w:tab w:val="right" w:leader="dot" w:pos="6804"/>
        </w:tabs>
        <w:spacing w:after="0"/>
        <w:rPr>
          <w:sz w:val="12"/>
          <w:szCs w:val="16"/>
        </w:rPr>
      </w:pPr>
    </w:p>
    <w:p w14:paraId="01141546" w14:textId="77777777" w:rsidR="00B67276" w:rsidRPr="008D0479" w:rsidRDefault="00B67276" w:rsidP="00B67276">
      <w:pPr>
        <w:tabs>
          <w:tab w:val="clear" w:pos="425"/>
          <w:tab w:val="left" w:pos="357"/>
          <w:tab w:val="left" w:pos="851"/>
          <w:tab w:val="right" w:leader="dot" w:pos="6804"/>
        </w:tabs>
        <w:spacing w:after="0"/>
        <w:jc w:val="center"/>
        <w:rPr>
          <w:b/>
          <w:bCs/>
          <w:sz w:val="16"/>
          <w:szCs w:val="20"/>
        </w:rPr>
      </w:pPr>
      <w:r w:rsidRPr="008D0479">
        <w:rPr>
          <w:b/>
          <w:bCs/>
          <w:sz w:val="16"/>
          <w:szCs w:val="20"/>
        </w:rPr>
        <w:t>3. Purificación de la Visión Correcta</w:t>
      </w:r>
    </w:p>
    <w:p w14:paraId="7A80CE02" w14:textId="77777777" w:rsidR="00B67276" w:rsidRPr="008D0479" w:rsidRDefault="00B67276" w:rsidP="00B67276">
      <w:pPr>
        <w:tabs>
          <w:tab w:val="clear" w:pos="425"/>
          <w:tab w:val="left" w:pos="357"/>
          <w:tab w:val="left" w:pos="851"/>
          <w:tab w:val="right" w:leader="dot" w:pos="6804"/>
        </w:tabs>
        <w:spacing w:after="0"/>
        <w:rPr>
          <w:sz w:val="12"/>
          <w:szCs w:val="16"/>
        </w:rPr>
      </w:pPr>
    </w:p>
    <w:p w14:paraId="3A6C09AE" w14:textId="77777777" w:rsidR="00B67276" w:rsidRPr="008D0479" w:rsidRDefault="00B67276" w:rsidP="00B67276">
      <w:pPr>
        <w:tabs>
          <w:tab w:val="clear" w:pos="425"/>
          <w:tab w:val="left" w:pos="357"/>
          <w:tab w:val="left" w:pos="851"/>
          <w:tab w:val="right" w:leader="dot" w:pos="6804"/>
        </w:tabs>
        <w:spacing w:after="0"/>
        <w:rPr>
          <w:smallCaps/>
          <w:sz w:val="16"/>
          <w:szCs w:val="20"/>
        </w:rPr>
      </w:pPr>
      <w:r w:rsidRPr="008D0479">
        <w:rPr>
          <w:smallCaps/>
          <w:sz w:val="16"/>
          <w:szCs w:val="20"/>
        </w:rPr>
        <w:t>Capítulo XVIII — Purificación de la Visión Correcta</w:t>
      </w:r>
    </w:p>
    <w:p w14:paraId="5DBC2D41"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I. </w:t>
      </w:r>
      <w:r w:rsidRPr="008D0479">
        <w:rPr>
          <w:sz w:val="16"/>
          <w:szCs w:val="20"/>
        </w:rPr>
        <w:tab/>
        <w:t xml:space="preserve">Introducción </w:t>
      </w:r>
      <w:r w:rsidRPr="008D0479">
        <w:rPr>
          <w:sz w:val="16"/>
          <w:szCs w:val="20"/>
        </w:rPr>
        <w:tab/>
        <w:t xml:space="preserve"> 1</w:t>
      </w:r>
    </w:p>
    <w:p w14:paraId="1720F6AD" w14:textId="77777777" w:rsidR="00B67276" w:rsidRPr="008D0479" w:rsidRDefault="00B67276" w:rsidP="00B67276">
      <w:pPr>
        <w:tabs>
          <w:tab w:val="clear" w:pos="425"/>
          <w:tab w:val="left" w:pos="357"/>
          <w:tab w:val="left" w:pos="851"/>
          <w:tab w:val="right" w:leader="dot" w:pos="6804"/>
        </w:tabs>
        <w:spacing w:after="0"/>
        <w:rPr>
          <w:sz w:val="16"/>
          <w:szCs w:val="20"/>
        </w:rPr>
      </w:pPr>
      <w:r w:rsidRPr="008D0479">
        <w:rPr>
          <w:sz w:val="16"/>
          <w:szCs w:val="20"/>
        </w:rPr>
        <w:t xml:space="preserve">II. </w:t>
      </w:r>
      <w:r w:rsidRPr="008D0479">
        <w:rPr>
          <w:sz w:val="16"/>
          <w:szCs w:val="20"/>
        </w:rPr>
        <w:tab/>
        <w:t>Definición de la mentalidad</w:t>
      </w:r>
      <w:r w:rsidRPr="008D0479">
        <w:rPr>
          <w:rFonts w:cs="Cormorant"/>
          <w:sz w:val="16"/>
          <w:szCs w:val="20"/>
        </w:rPr>
        <w:t>–</w:t>
      </w:r>
      <w:r w:rsidRPr="008D0479">
        <w:rPr>
          <w:sz w:val="16"/>
          <w:szCs w:val="20"/>
        </w:rPr>
        <w:t xml:space="preserve">materialidad </w:t>
      </w:r>
      <w:r w:rsidRPr="008D0479">
        <w:rPr>
          <w:sz w:val="16"/>
          <w:szCs w:val="20"/>
        </w:rPr>
        <w:tab/>
        <w:t xml:space="preserve"> 3</w:t>
      </w:r>
    </w:p>
    <w:p w14:paraId="66A3F914"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1. </w:t>
      </w:r>
      <w:r w:rsidRPr="008D0479">
        <w:rPr>
          <w:sz w:val="16"/>
          <w:szCs w:val="20"/>
        </w:rPr>
        <w:tab/>
        <w:t>Definición de la mentalidad</w:t>
      </w:r>
      <w:r w:rsidRPr="008D0479">
        <w:rPr>
          <w:rFonts w:cs="Cormorant"/>
          <w:sz w:val="16"/>
          <w:szCs w:val="20"/>
        </w:rPr>
        <w:t>–</w:t>
      </w:r>
      <w:r w:rsidRPr="008D0479">
        <w:rPr>
          <w:sz w:val="16"/>
          <w:szCs w:val="20"/>
        </w:rPr>
        <w:t xml:space="preserve">materialidad </w:t>
      </w:r>
      <w:r w:rsidRPr="008D0479">
        <w:rPr>
          <w:sz w:val="16"/>
          <w:szCs w:val="20"/>
        </w:rPr>
        <w:tab/>
        <w:t xml:space="preserve"> 3</w:t>
      </w:r>
    </w:p>
    <w:p w14:paraId="3B9750E1"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(1). Basada en los 4 primarios </w:t>
      </w:r>
      <w:r w:rsidRPr="008D0479">
        <w:rPr>
          <w:sz w:val="16"/>
          <w:szCs w:val="20"/>
        </w:rPr>
        <w:tab/>
        <w:t xml:space="preserve"> 3</w:t>
      </w:r>
    </w:p>
    <w:p w14:paraId="37068EB2" w14:textId="77777777" w:rsidR="00B67276" w:rsidRPr="008D0479" w:rsidRDefault="00B67276" w:rsidP="00B67276">
      <w:pPr>
        <w:tabs>
          <w:tab w:val="clear" w:pos="425"/>
          <w:tab w:val="left" w:pos="357"/>
          <w:tab w:val="left" w:pos="851"/>
          <w:tab w:val="right" w:leader="dot" w:pos="6804"/>
        </w:tabs>
        <w:spacing w:after="0"/>
        <w:ind w:left="993"/>
        <w:rPr>
          <w:sz w:val="16"/>
          <w:szCs w:val="20"/>
        </w:rPr>
      </w:pPr>
      <w:r w:rsidRPr="008D0479">
        <w:rPr>
          <w:sz w:val="16"/>
          <w:szCs w:val="20"/>
        </w:rPr>
        <w:t xml:space="preserve">(a). Empezando por la mentalidad </w:t>
      </w:r>
      <w:r w:rsidRPr="008D0479">
        <w:rPr>
          <w:sz w:val="16"/>
          <w:szCs w:val="20"/>
        </w:rPr>
        <w:tab/>
        <w:t xml:space="preserve"> 3</w:t>
      </w:r>
    </w:p>
    <w:p w14:paraId="119D1D08" w14:textId="77777777" w:rsidR="00B67276" w:rsidRPr="008D0479" w:rsidRDefault="00B67276" w:rsidP="00B67276">
      <w:pPr>
        <w:tabs>
          <w:tab w:val="clear" w:pos="425"/>
          <w:tab w:val="left" w:pos="357"/>
          <w:tab w:val="left" w:pos="851"/>
          <w:tab w:val="right" w:leader="dot" w:pos="6804"/>
        </w:tabs>
        <w:spacing w:after="0"/>
        <w:ind w:left="993"/>
        <w:rPr>
          <w:sz w:val="16"/>
          <w:szCs w:val="20"/>
        </w:rPr>
      </w:pPr>
      <w:r w:rsidRPr="008D0479">
        <w:rPr>
          <w:sz w:val="16"/>
          <w:szCs w:val="20"/>
        </w:rPr>
        <w:t xml:space="preserve">(b). Empezando por la materialidad </w:t>
      </w:r>
      <w:r w:rsidRPr="008D0479">
        <w:rPr>
          <w:sz w:val="16"/>
          <w:szCs w:val="20"/>
        </w:rPr>
        <w:tab/>
        <w:t xml:space="preserve"> 5</w:t>
      </w:r>
    </w:p>
    <w:p w14:paraId="536F71A1"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(2). Basada en los 18 elementos </w:t>
      </w:r>
      <w:r w:rsidRPr="008D0479">
        <w:rPr>
          <w:sz w:val="16"/>
          <w:szCs w:val="20"/>
        </w:rPr>
        <w:tab/>
        <w:t xml:space="preserve"> 9</w:t>
      </w:r>
    </w:p>
    <w:p w14:paraId="75671064"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(3). Basado en las 12 bases </w:t>
      </w:r>
      <w:r w:rsidRPr="008D0479">
        <w:rPr>
          <w:sz w:val="16"/>
          <w:szCs w:val="20"/>
        </w:rPr>
        <w:tab/>
        <w:t xml:space="preserve"> 12</w:t>
      </w:r>
    </w:p>
    <w:p w14:paraId="0DECC38B"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(4). Basado en los 5 agregados </w:t>
      </w:r>
      <w:r w:rsidRPr="008D0479">
        <w:rPr>
          <w:sz w:val="16"/>
          <w:szCs w:val="20"/>
        </w:rPr>
        <w:tab/>
        <w:t xml:space="preserve"> 13</w:t>
      </w:r>
    </w:p>
    <w:p w14:paraId="4F165EAC" w14:textId="77777777" w:rsidR="00B67276" w:rsidRPr="008D0479" w:rsidRDefault="00B67276" w:rsidP="00B67276">
      <w:pPr>
        <w:tabs>
          <w:tab w:val="clear" w:pos="425"/>
          <w:tab w:val="left" w:pos="357"/>
          <w:tab w:val="left" w:pos="851"/>
          <w:tab w:val="right" w:leader="dot" w:pos="6804"/>
        </w:tabs>
        <w:spacing w:after="0"/>
        <w:ind w:left="709"/>
        <w:rPr>
          <w:sz w:val="16"/>
          <w:szCs w:val="20"/>
        </w:rPr>
      </w:pPr>
      <w:r w:rsidRPr="008D0479">
        <w:rPr>
          <w:sz w:val="16"/>
          <w:szCs w:val="20"/>
        </w:rPr>
        <w:t xml:space="preserve">(5). Breve definición </w:t>
      </w:r>
      <w:r w:rsidRPr="008D0479">
        <w:rPr>
          <w:sz w:val="16"/>
          <w:szCs w:val="20"/>
        </w:rPr>
        <w:tab/>
        <w:t xml:space="preserve"> 14</w:t>
      </w:r>
    </w:p>
    <w:p w14:paraId="283AC8A6"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2. </w:t>
      </w:r>
      <w:r w:rsidRPr="008D0479">
        <w:rPr>
          <w:sz w:val="16"/>
          <w:szCs w:val="20"/>
        </w:rPr>
        <w:tab/>
        <w:t xml:space="preserve">Si lo inmaterial no lograse hacerse evidente </w:t>
      </w:r>
      <w:r w:rsidRPr="008D0479">
        <w:rPr>
          <w:sz w:val="16"/>
          <w:szCs w:val="20"/>
        </w:rPr>
        <w:tab/>
        <w:t xml:space="preserve"> 15</w:t>
      </w:r>
    </w:p>
    <w:p w14:paraId="72304BD0"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3. </w:t>
      </w:r>
      <w:r w:rsidRPr="008D0479">
        <w:rPr>
          <w:sz w:val="16"/>
          <w:szCs w:val="20"/>
        </w:rPr>
        <w:tab/>
        <w:t xml:space="preserve">Cómo se hacen evidentes los estados inmateriales </w:t>
      </w:r>
      <w:r w:rsidRPr="008D0479">
        <w:rPr>
          <w:sz w:val="16"/>
          <w:szCs w:val="20"/>
        </w:rPr>
        <w:tab/>
        <w:t xml:space="preserve"> 18</w:t>
      </w:r>
    </w:p>
    <w:p w14:paraId="41D95DA7"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4. </w:t>
      </w:r>
      <w:r w:rsidRPr="008D0479">
        <w:rPr>
          <w:sz w:val="16"/>
          <w:szCs w:val="20"/>
        </w:rPr>
        <w:tab/>
        <w:t xml:space="preserve">Ningún ser aparte de la mentalidad-materialidad </w:t>
      </w:r>
      <w:r w:rsidRPr="008D0479">
        <w:rPr>
          <w:sz w:val="16"/>
          <w:szCs w:val="20"/>
        </w:rPr>
        <w:tab/>
        <w:t xml:space="preserve"> 24</w:t>
      </w:r>
    </w:p>
    <w:p w14:paraId="4AEAA982" w14:textId="77777777" w:rsidR="00B67276" w:rsidRPr="008D0479" w:rsidRDefault="00B67276" w:rsidP="00B67276">
      <w:pPr>
        <w:tabs>
          <w:tab w:val="clear" w:pos="425"/>
          <w:tab w:val="left" w:pos="357"/>
          <w:tab w:val="left" w:pos="709"/>
          <w:tab w:val="left" w:pos="851"/>
          <w:tab w:val="right" w:leader="dot" w:pos="6804"/>
        </w:tabs>
        <w:spacing w:after="0"/>
        <w:ind w:left="357"/>
        <w:rPr>
          <w:sz w:val="16"/>
          <w:szCs w:val="20"/>
        </w:rPr>
      </w:pPr>
      <w:r w:rsidRPr="008D0479">
        <w:rPr>
          <w:sz w:val="16"/>
          <w:szCs w:val="20"/>
        </w:rPr>
        <w:t xml:space="preserve">5. </w:t>
      </w:r>
      <w:r w:rsidRPr="008D0479">
        <w:rPr>
          <w:sz w:val="16"/>
          <w:szCs w:val="20"/>
        </w:rPr>
        <w:tab/>
        <w:t xml:space="preserve">Interdependencia de la mentalidad y materialidad </w:t>
      </w:r>
      <w:r w:rsidRPr="008D0479">
        <w:rPr>
          <w:sz w:val="16"/>
          <w:szCs w:val="20"/>
        </w:rPr>
        <w:tab/>
        <w:t xml:space="preserve"> 32</w:t>
      </w:r>
    </w:p>
    <w:p w14:paraId="2775B1E6" w14:textId="77777777" w:rsidR="00B67276" w:rsidRPr="008D0479" w:rsidRDefault="00B67276" w:rsidP="00B67276">
      <w:pPr>
        <w:tabs>
          <w:tab w:val="clear" w:pos="425"/>
          <w:tab w:val="left" w:pos="357"/>
          <w:tab w:val="left" w:pos="851"/>
          <w:tab w:val="right" w:leader="dot" w:pos="6804"/>
        </w:tabs>
        <w:spacing w:after="0"/>
        <w:ind w:left="357"/>
        <w:rPr>
          <w:sz w:val="16"/>
          <w:szCs w:val="20"/>
        </w:rPr>
      </w:pPr>
      <w:r w:rsidRPr="008D0479">
        <w:rPr>
          <w:sz w:val="16"/>
          <w:szCs w:val="20"/>
        </w:rPr>
        <w:t xml:space="preserve">Conclusión </w:t>
      </w:r>
      <w:r w:rsidRPr="008D0479">
        <w:rPr>
          <w:sz w:val="16"/>
          <w:szCs w:val="20"/>
        </w:rPr>
        <w:tab/>
        <w:t xml:space="preserve"> 3</w:t>
      </w:r>
    </w:p>
    <w:p w14:paraId="69369DF1" w14:textId="77777777" w:rsidR="00B67276" w:rsidRDefault="00B67276" w:rsidP="00B67276">
      <w:pPr>
        <w:tabs>
          <w:tab w:val="clear" w:pos="425"/>
          <w:tab w:val="left" w:pos="357"/>
          <w:tab w:val="left" w:pos="851"/>
          <w:tab w:val="right" w:leader="dot" w:pos="6804"/>
        </w:tabs>
        <w:spacing w:after="160"/>
      </w:pPr>
      <w:r w:rsidRPr="008D0479">
        <w:rPr>
          <w:sz w:val="16"/>
          <w:szCs w:val="20"/>
        </w:rPr>
        <w:br w:type="page"/>
      </w:r>
    </w:p>
    <w:p w14:paraId="6F561B23" w14:textId="77777777" w:rsidR="00B67276" w:rsidRPr="003171CD" w:rsidRDefault="00B67276" w:rsidP="00B67276">
      <w:pPr>
        <w:tabs>
          <w:tab w:val="clear" w:pos="425"/>
          <w:tab w:val="left" w:pos="357"/>
          <w:tab w:val="left" w:pos="851"/>
          <w:tab w:val="right" w:leader="dot" w:pos="6804"/>
        </w:tabs>
        <w:spacing w:after="0"/>
        <w:jc w:val="center"/>
        <w:rPr>
          <w:b/>
          <w:bCs/>
          <w:sz w:val="16"/>
          <w:szCs w:val="20"/>
        </w:rPr>
      </w:pPr>
      <w:r w:rsidRPr="003171CD">
        <w:rPr>
          <w:b/>
          <w:bCs/>
          <w:sz w:val="16"/>
          <w:szCs w:val="20"/>
        </w:rPr>
        <w:lastRenderedPageBreak/>
        <w:t>4. Purificación Mediante la Disipación la Duda</w:t>
      </w:r>
    </w:p>
    <w:p w14:paraId="555BFFD4" w14:textId="77777777" w:rsidR="00B67276" w:rsidRPr="003171CD" w:rsidRDefault="00B67276" w:rsidP="00B67276">
      <w:pPr>
        <w:tabs>
          <w:tab w:val="clear" w:pos="425"/>
          <w:tab w:val="left" w:pos="357"/>
          <w:tab w:val="left" w:pos="851"/>
          <w:tab w:val="right" w:leader="dot" w:pos="6804"/>
        </w:tabs>
        <w:spacing w:after="0"/>
        <w:rPr>
          <w:sz w:val="16"/>
          <w:szCs w:val="20"/>
        </w:rPr>
      </w:pPr>
    </w:p>
    <w:p w14:paraId="45725A6E" w14:textId="77777777" w:rsidR="00B67276" w:rsidRPr="003171CD" w:rsidRDefault="00B67276" w:rsidP="00B67276">
      <w:pPr>
        <w:tabs>
          <w:tab w:val="clear" w:pos="425"/>
          <w:tab w:val="left" w:pos="357"/>
          <w:tab w:val="left" w:pos="851"/>
          <w:tab w:val="right" w:leader="dot" w:pos="6804"/>
        </w:tabs>
        <w:spacing w:after="0"/>
        <w:rPr>
          <w:smallCaps/>
          <w:sz w:val="16"/>
          <w:szCs w:val="20"/>
        </w:rPr>
      </w:pPr>
      <w:r w:rsidRPr="003171CD">
        <w:rPr>
          <w:smallCaps/>
          <w:sz w:val="16"/>
          <w:szCs w:val="20"/>
        </w:rPr>
        <w:t>Capítulo XIX — Purificación Por La Disipación de la Duda</w:t>
      </w:r>
    </w:p>
    <w:p w14:paraId="4F0415D0"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I.</w:t>
      </w:r>
      <w:r w:rsidRPr="003171CD">
        <w:rPr>
          <w:sz w:val="16"/>
          <w:szCs w:val="20"/>
        </w:rPr>
        <w:tab/>
        <w:t xml:space="preserve">Introducción </w:t>
      </w:r>
      <w:r w:rsidRPr="003171CD">
        <w:rPr>
          <w:sz w:val="16"/>
          <w:szCs w:val="20"/>
        </w:rPr>
        <w:tab/>
        <w:t xml:space="preserve"> 1</w:t>
      </w:r>
    </w:p>
    <w:p w14:paraId="6AC59CF5"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II. </w:t>
      </w:r>
      <w:r w:rsidRPr="003171CD">
        <w:rPr>
          <w:sz w:val="16"/>
          <w:szCs w:val="20"/>
        </w:rPr>
        <w:tab/>
        <w:t xml:space="preserve">Formas de discernir causa y condición </w:t>
      </w:r>
      <w:r w:rsidRPr="003171CD">
        <w:rPr>
          <w:sz w:val="16"/>
          <w:szCs w:val="20"/>
        </w:rPr>
        <w:tab/>
        <w:t xml:space="preserve"> 2</w:t>
      </w:r>
    </w:p>
    <w:p w14:paraId="3A235F63" w14:textId="77777777" w:rsidR="00B67276" w:rsidRPr="003171CD" w:rsidRDefault="00B67276" w:rsidP="00B67276">
      <w:pPr>
        <w:tabs>
          <w:tab w:val="clear" w:pos="425"/>
          <w:tab w:val="left" w:pos="357"/>
          <w:tab w:val="left" w:pos="709"/>
          <w:tab w:val="right" w:leader="dot" w:pos="6804"/>
        </w:tabs>
        <w:spacing w:after="0"/>
        <w:ind w:left="357"/>
        <w:rPr>
          <w:sz w:val="16"/>
          <w:szCs w:val="20"/>
        </w:rPr>
      </w:pPr>
      <w:r w:rsidRPr="003171CD">
        <w:rPr>
          <w:sz w:val="16"/>
          <w:szCs w:val="20"/>
        </w:rPr>
        <w:t xml:space="preserve">1. </w:t>
      </w:r>
      <w:r w:rsidRPr="003171CD">
        <w:rPr>
          <w:sz w:val="16"/>
          <w:szCs w:val="20"/>
        </w:rPr>
        <w:tab/>
        <w:t xml:space="preserve">Ni creado por un creador ni sin causa </w:t>
      </w:r>
      <w:r w:rsidRPr="003171CD">
        <w:rPr>
          <w:sz w:val="16"/>
          <w:szCs w:val="20"/>
        </w:rPr>
        <w:tab/>
        <w:t xml:space="preserve"> 3</w:t>
      </w:r>
    </w:p>
    <w:p w14:paraId="7A0F2085" w14:textId="77777777" w:rsidR="00B67276" w:rsidRPr="003171CD" w:rsidRDefault="00B67276" w:rsidP="00B67276">
      <w:pPr>
        <w:tabs>
          <w:tab w:val="clear" w:pos="425"/>
          <w:tab w:val="left" w:pos="357"/>
          <w:tab w:val="left" w:pos="709"/>
          <w:tab w:val="right" w:leader="dot" w:pos="6804"/>
        </w:tabs>
        <w:spacing w:after="0"/>
        <w:ind w:left="357"/>
        <w:rPr>
          <w:sz w:val="16"/>
          <w:szCs w:val="20"/>
        </w:rPr>
      </w:pPr>
      <w:r w:rsidRPr="003171CD">
        <w:rPr>
          <w:sz w:val="16"/>
          <w:szCs w:val="20"/>
        </w:rPr>
        <w:t xml:space="preserve">2. </w:t>
      </w:r>
      <w:r w:rsidRPr="003171CD">
        <w:rPr>
          <w:sz w:val="16"/>
          <w:szCs w:val="20"/>
        </w:rPr>
        <w:tab/>
        <w:t xml:space="preserve">Su ocurrencia siempre será debida a unas condiciones </w:t>
      </w:r>
      <w:r w:rsidRPr="003171CD">
        <w:rPr>
          <w:sz w:val="16"/>
          <w:szCs w:val="20"/>
        </w:rPr>
        <w:tab/>
        <w:t xml:space="preserve"> 5</w:t>
      </w:r>
    </w:p>
    <w:p w14:paraId="315F7A11" w14:textId="77777777" w:rsidR="00B67276" w:rsidRPr="003171CD" w:rsidRDefault="00B67276" w:rsidP="00B67276">
      <w:pPr>
        <w:tabs>
          <w:tab w:val="clear" w:pos="425"/>
          <w:tab w:val="left" w:pos="357"/>
          <w:tab w:val="left" w:pos="709"/>
          <w:tab w:val="right" w:leader="dot" w:pos="6804"/>
        </w:tabs>
        <w:spacing w:after="0"/>
        <w:ind w:left="357"/>
        <w:rPr>
          <w:sz w:val="16"/>
          <w:szCs w:val="20"/>
        </w:rPr>
      </w:pPr>
      <w:r w:rsidRPr="003171CD">
        <w:rPr>
          <w:sz w:val="16"/>
          <w:szCs w:val="20"/>
        </w:rPr>
        <w:t xml:space="preserve">3. </w:t>
      </w:r>
      <w:r w:rsidRPr="003171CD">
        <w:rPr>
          <w:sz w:val="16"/>
          <w:szCs w:val="20"/>
        </w:rPr>
        <w:tab/>
        <w:t xml:space="preserve">Condiciones generales y particulares </w:t>
      </w:r>
      <w:r w:rsidRPr="003171CD">
        <w:rPr>
          <w:sz w:val="16"/>
          <w:szCs w:val="20"/>
        </w:rPr>
        <w:tab/>
        <w:t xml:space="preserve"> 7</w:t>
      </w:r>
    </w:p>
    <w:p w14:paraId="36DA9972" w14:textId="77777777" w:rsidR="00B67276" w:rsidRPr="003171CD" w:rsidRDefault="00B67276" w:rsidP="00B67276">
      <w:pPr>
        <w:tabs>
          <w:tab w:val="clear" w:pos="425"/>
          <w:tab w:val="left" w:pos="357"/>
          <w:tab w:val="left" w:pos="709"/>
          <w:tab w:val="right" w:leader="dot" w:pos="6804"/>
        </w:tabs>
        <w:spacing w:after="0"/>
        <w:ind w:left="357"/>
        <w:rPr>
          <w:sz w:val="16"/>
          <w:szCs w:val="20"/>
        </w:rPr>
      </w:pPr>
      <w:r w:rsidRPr="003171CD">
        <w:rPr>
          <w:sz w:val="16"/>
          <w:szCs w:val="20"/>
        </w:rPr>
        <w:t xml:space="preserve">4. </w:t>
      </w:r>
      <w:r w:rsidRPr="003171CD">
        <w:rPr>
          <w:sz w:val="16"/>
          <w:szCs w:val="20"/>
        </w:rPr>
        <w:tab/>
        <w:t xml:space="preserve">Originación dependiente en orden regresivo </w:t>
      </w:r>
      <w:r w:rsidRPr="003171CD">
        <w:rPr>
          <w:sz w:val="16"/>
          <w:szCs w:val="20"/>
        </w:rPr>
        <w:tab/>
        <w:t xml:space="preserve"> 11</w:t>
      </w:r>
    </w:p>
    <w:p w14:paraId="7B3D77E3" w14:textId="77777777" w:rsidR="00B67276" w:rsidRPr="003171CD" w:rsidRDefault="00B67276" w:rsidP="00B67276">
      <w:pPr>
        <w:tabs>
          <w:tab w:val="clear" w:pos="425"/>
          <w:tab w:val="left" w:pos="357"/>
          <w:tab w:val="left" w:pos="709"/>
          <w:tab w:val="right" w:leader="dot" w:pos="6804"/>
        </w:tabs>
        <w:spacing w:after="0"/>
        <w:ind w:left="357"/>
        <w:rPr>
          <w:sz w:val="16"/>
          <w:szCs w:val="20"/>
        </w:rPr>
      </w:pPr>
      <w:r w:rsidRPr="003171CD">
        <w:rPr>
          <w:sz w:val="16"/>
          <w:szCs w:val="20"/>
        </w:rPr>
        <w:t xml:space="preserve">5. </w:t>
      </w:r>
      <w:r w:rsidRPr="003171CD">
        <w:rPr>
          <w:sz w:val="16"/>
          <w:szCs w:val="20"/>
        </w:rPr>
        <w:tab/>
        <w:t>Originación dependiente en orden progresivo</w:t>
      </w:r>
      <w:r w:rsidRPr="003171CD">
        <w:rPr>
          <w:sz w:val="16"/>
          <w:szCs w:val="20"/>
        </w:rPr>
        <w:tab/>
        <w:t xml:space="preserve"> 12</w:t>
      </w:r>
    </w:p>
    <w:p w14:paraId="002D38A1" w14:textId="77777777" w:rsidR="00B67276" w:rsidRPr="003171CD" w:rsidRDefault="00B67276" w:rsidP="00B67276">
      <w:pPr>
        <w:tabs>
          <w:tab w:val="clear" w:pos="425"/>
          <w:tab w:val="left" w:pos="357"/>
          <w:tab w:val="left" w:pos="709"/>
          <w:tab w:val="right" w:leader="dot" w:pos="6804"/>
        </w:tabs>
        <w:spacing w:after="0"/>
        <w:ind w:left="357"/>
        <w:rPr>
          <w:sz w:val="16"/>
          <w:szCs w:val="20"/>
        </w:rPr>
      </w:pPr>
      <w:r w:rsidRPr="003171CD">
        <w:rPr>
          <w:sz w:val="16"/>
          <w:szCs w:val="20"/>
        </w:rPr>
        <w:t xml:space="preserve">6. </w:t>
      </w:r>
      <w:r w:rsidRPr="003171CD">
        <w:rPr>
          <w:sz w:val="16"/>
          <w:szCs w:val="20"/>
        </w:rPr>
        <w:tab/>
      </w:r>
      <w:proofErr w:type="spellStart"/>
      <w:r w:rsidRPr="003171CD">
        <w:rPr>
          <w:i/>
          <w:iCs/>
          <w:sz w:val="16"/>
          <w:szCs w:val="20"/>
        </w:rPr>
        <w:t>Kamma</w:t>
      </w:r>
      <w:proofErr w:type="spellEnd"/>
      <w:r w:rsidRPr="003171CD">
        <w:rPr>
          <w:sz w:val="16"/>
          <w:szCs w:val="20"/>
        </w:rPr>
        <w:t xml:space="preserve"> y resultante del </w:t>
      </w:r>
      <w:proofErr w:type="spellStart"/>
      <w:r w:rsidRPr="003171CD">
        <w:rPr>
          <w:i/>
          <w:iCs/>
          <w:sz w:val="16"/>
          <w:szCs w:val="20"/>
        </w:rPr>
        <w:t>kamma</w:t>
      </w:r>
      <w:proofErr w:type="spellEnd"/>
      <w:r w:rsidRPr="003171CD">
        <w:rPr>
          <w:sz w:val="16"/>
          <w:szCs w:val="20"/>
        </w:rPr>
        <w:tab/>
        <w:t xml:space="preserve"> 13</w:t>
      </w:r>
    </w:p>
    <w:p w14:paraId="61E22106" w14:textId="77777777" w:rsidR="00B67276" w:rsidRPr="003171CD" w:rsidRDefault="00B67276" w:rsidP="00B67276">
      <w:pPr>
        <w:tabs>
          <w:tab w:val="clear" w:pos="425"/>
          <w:tab w:val="left" w:pos="357"/>
          <w:tab w:val="left" w:pos="709"/>
          <w:tab w:val="right" w:leader="dot" w:pos="6804"/>
        </w:tabs>
        <w:spacing w:after="0"/>
        <w:ind w:left="357"/>
        <w:rPr>
          <w:sz w:val="16"/>
          <w:szCs w:val="20"/>
        </w:rPr>
      </w:pPr>
      <w:r w:rsidRPr="003171CD">
        <w:rPr>
          <w:sz w:val="16"/>
          <w:szCs w:val="20"/>
        </w:rPr>
        <w:t xml:space="preserve">7. </w:t>
      </w:r>
      <w:r w:rsidRPr="003171CD">
        <w:rPr>
          <w:sz w:val="16"/>
          <w:szCs w:val="20"/>
        </w:rPr>
        <w:tab/>
        <w:t xml:space="preserve">Ningún hacedor aparte del </w:t>
      </w:r>
      <w:proofErr w:type="spellStart"/>
      <w:r w:rsidRPr="003171CD">
        <w:rPr>
          <w:i/>
          <w:iCs/>
          <w:sz w:val="16"/>
          <w:szCs w:val="20"/>
        </w:rPr>
        <w:t>kamma</w:t>
      </w:r>
      <w:proofErr w:type="spellEnd"/>
      <w:r w:rsidRPr="003171CD">
        <w:rPr>
          <w:sz w:val="16"/>
          <w:szCs w:val="20"/>
        </w:rPr>
        <w:t xml:space="preserve"> y su resultado </w:t>
      </w:r>
      <w:r w:rsidRPr="003171CD">
        <w:rPr>
          <w:sz w:val="16"/>
          <w:szCs w:val="20"/>
        </w:rPr>
        <w:tab/>
        <w:t xml:space="preserve"> 19</w:t>
      </w:r>
    </w:p>
    <w:p w14:paraId="3B19C749"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III. </w:t>
      </w:r>
      <w:r w:rsidRPr="003171CD">
        <w:rPr>
          <w:sz w:val="16"/>
          <w:szCs w:val="20"/>
        </w:rPr>
        <w:tab/>
        <w:t xml:space="preserve">Comprensión plena de lo conocido </w:t>
      </w:r>
      <w:r w:rsidRPr="003171CD">
        <w:rPr>
          <w:sz w:val="16"/>
          <w:szCs w:val="20"/>
        </w:rPr>
        <w:tab/>
        <w:t xml:space="preserve"> 21</w:t>
      </w:r>
    </w:p>
    <w:p w14:paraId="66FF1728" w14:textId="77777777" w:rsidR="00B67276" w:rsidRPr="003171CD" w:rsidRDefault="00B67276" w:rsidP="00B67276">
      <w:pPr>
        <w:tabs>
          <w:tab w:val="clear" w:pos="425"/>
          <w:tab w:val="left" w:pos="357"/>
          <w:tab w:val="left" w:pos="851"/>
          <w:tab w:val="right" w:leader="dot" w:pos="6804"/>
        </w:tabs>
        <w:spacing w:after="0"/>
        <w:rPr>
          <w:sz w:val="16"/>
          <w:szCs w:val="20"/>
        </w:rPr>
      </w:pPr>
    </w:p>
    <w:p w14:paraId="632838FD" w14:textId="77777777" w:rsidR="00B67276" w:rsidRPr="003171CD" w:rsidRDefault="00B67276" w:rsidP="00B67276">
      <w:pPr>
        <w:tabs>
          <w:tab w:val="clear" w:pos="425"/>
          <w:tab w:val="left" w:pos="357"/>
          <w:tab w:val="left" w:pos="851"/>
          <w:tab w:val="right" w:leader="dot" w:pos="6804"/>
        </w:tabs>
        <w:spacing w:after="0"/>
        <w:jc w:val="center"/>
        <w:rPr>
          <w:b/>
          <w:bCs/>
          <w:sz w:val="16"/>
          <w:szCs w:val="20"/>
        </w:rPr>
      </w:pPr>
      <w:r w:rsidRPr="003171CD">
        <w:rPr>
          <w:b/>
          <w:bCs/>
          <w:sz w:val="16"/>
          <w:szCs w:val="20"/>
        </w:rPr>
        <w:t xml:space="preserve">5. Purificación Mediante el Conocimiento y la Visión Sobre lo que </w:t>
      </w:r>
      <w:r w:rsidRPr="003171CD">
        <w:rPr>
          <w:b/>
          <w:bCs/>
          <w:sz w:val="16"/>
          <w:szCs w:val="20"/>
        </w:rPr>
        <w:br/>
        <w:t xml:space="preserve">Es y Sobre lo que No Es el Sendero </w:t>
      </w:r>
    </w:p>
    <w:p w14:paraId="191F2B7D" w14:textId="77777777" w:rsidR="00B67276" w:rsidRPr="003171CD" w:rsidRDefault="00B67276" w:rsidP="00B67276">
      <w:pPr>
        <w:tabs>
          <w:tab w:val="clear" w:pos="425"/>
          <w:tab w:val="left" w:pos="357"/>
          <w:tab w:val="left" w:pos="851"/>
          <w:tab w:val="right" w:leader="dot" w:pos="6804"/>
        </w:tabs>
        <w:spacing w:after="0"/>
        <w:rPr>
          <w:sz w:val="16"/>
          <w:szCs w:val="20"/>
        </w:rPr>
      </w:pPr>
    </w:p>
    <w:p w14:paraId="5BD40B43" w14:textId="77777777" w:rsidR="00B67276" w:rsidRPr="003171CD" w:rsidRDefault="00B67276" w:rsidP="00B67276">
      <w:pPr>
        <w:tabs>
          <w:tab w:val="clear" w:pos="425"/>
          <w:tab w:val="left" w:pos="357"/>
          <w:tab w:val="left" w:pos="851"/>
          <w:tab w:val="right" w:leader="dot" w:pos="6804"/>
        </w:tabs>
        <w:spacing w:after="0"/>
        <w:ind w:left="1190" w:hanging="1190"/>
        <w:rPr>
          <w:smallCaps/>
          <w:sz w:val="16"/>
          <w:szCs w:val="20"/>
        </w:rPr>
      </w:pPr>
      <w:r w:rsidRPr="003171CD">
        <w:rPr>
          <w:smallCaps/>
          <w:sz w:val="16"/>
          <w:szCs w:val="20"/>
        </w:rPr>
        <w:t>Capítulo XX — Purificación Mediante El Conocimiento Y La Visión de lo que Es Y lo que No Es el Sendero</w:t>
      </w:r>
    </w:p>
    <w:p w14:paraId="70C0F3A9"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I. </w:t>
      </w:r>
      <w:r w:rsidRPr="003171CD">
        <w:rPr>
          <w:sz w:val="16"/>
          <w:szCs w:val="20"/>
        </w:rPr>
        <w:tab/>
        <w:t xml:space="preserve">Introducción </w:t>
      </w:r>
      <w:r w:rsidRPr="003171CD">
        <w:rPr>
          <w:sz w:val="16"/>
          <w:szCs w:val="20"/>
        </w:rPr>
        <w:tab/>
        <w:t xml:space="preserve"> 1</w:t>
      </w:r>
    </w:p>
    <w:p w14:paraId="355090EF"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 xml:space="preserve">La Quinta Purificación </w:t>
      </w:r>
      <w:r w:rsidRPr="003171CD">
        <w:rPr>
          <w:sz w:val="16"/>
          <w:szCs w:val="20"/>
        </w:rPr>
        <w:tab/>
        <w:t xml:space="preserve"> 2</w:t>
      </w:r>
    </w:p>
    <w:p w14:paraId="6ED4E216"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 xml:space="preserve">Los 3 tipos de entendimiento pleno </w:t>
      </w:r>
      <w:r w:rsidRPr="003171CD">
        <w:rPr>
          <w:sz w:val="16"/>
          <w:szCs w:val="20"/>
        </w:rPr>
        <w:tab/>
        <w:t xml:space="preserve"> 3</w:t>
      </w:r>
    </w:p>
    <w:p w14:paraId="77F247D8"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II. </w:t>
      </w:r>
      <w:r w:rsidRPr="003171CD">
        <w:rPr>
          <w:sz w:val="16"/>
          <w:szCs w:val="20"/>
        </w:rPr>
        <w:tab/>
        <w:t xml:space="preserve">Conocimiento </w:t>
      </w:r>
      <w:r w:rsidRPr="003171CD">
        <w:rPr>
          <w:sz w:val="16"/>
          <w:szCs w:val="20"/>
        </w:rPr>
        <w:tab/>
        <w:t xml:space="preserve"> 6</w:t>
      </w:r>
    </w:p>
    <w:p w14:paraId="24BB325D"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1. </w:t>
      </w:r>
      <w:r w:rsidRPr="003171CD">
        <w:rPr>
          <w:sz w:val="16"/>
          <w:szCs w:val="20"/>
        </w:rPr>
        <w:tab/>
        <w:t xml:space="preserve">Comprensión por grupos </w:t>
      </w:r>
      <w:r w:rsidRPr="003171CD">
        <w:rPr>
          <w:sz w:val="16"/>
          <w:szCs w:val="20"/>
        </w:rPr>
        <w:tab/>
        <w:t xml:space="preserve"> 6</w:t>
      </w:r>
    </w:p>
    <w:p w14:paraId="3C87EE3B"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2. </w:t>
      </w:r>
      <w:r w:rsidRPr="003171CD">
        <w:rPr>
          <w:sz w:val="16"/>
          <w:szCs w:val="20"/>
        </w:rPr>
        <w:tab/>
        <w:t xml:space="preserve">Fortalecimiento de la comprensión de 40 maneras </w:t>
      </w:r>
      <w:r w:rsidRPr="003171CD">
        <w:rPr>
          <w:sz w:val="16"/>
          <w:szCs w:val="20"/>
        </w:rPr>
        <w:tab/>
        <w:t xml:space="preserve"> 18</w:t>
      </w:r>
    </w:p>
    <w:p w14:paraId="45CB1C1C"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3. </w:t>
      </w:r>
      <w:r w:rsidRPr="003171CD">
        <w:rPr>
          <w:sz w:val="16"/>
          <w:szCs w:val="20"/>
        </w:rPr>
        <w:tab/>
        <w:t xml:space="preserve">Nueve formas de agudizar las facultades </w:t>
      </w:r>
      <w:r w:rsidRPr="003171CD">
        <w:rPr>
          <w:sz w:val="16"/>
          <w:szCs w:val="20"/>
        </w:rPr>
        <w:tab/>
        <w:t xml:space="preserve"> 21</w:t>
      </w:r>
    </w:p>
    <w:p w14:paraId="1C022D60"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4. </w:t>
      </w:r>
      <w:r w:rsidRPr="003171CD">
        <w:rPr>
          <w:sz w:val="16"/>
          <w:szCs w:val="20"/>
        </w:rPr>
        <w:tab/>
        <w:t xml:space="preserve">Comprensión de la materialidad </w:t>
      </w:r>
      <w:r w:rsidRPr="003171CD">
        <w:rPr>
          <w:sz w:val="16"/>
          <w:szCs w:val="20"/>
        </w:rPr>
        <w:tab/>
        <w:t xml:space="preserve"> 22</w:t>
      </w:r>
    </w:p>
    <w:p w14:paraId="1A936F21"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(a). </w:t>
      </w:r>
      <w:r w:rsidRPr="003171CD">
        <w:rPr>
          <w:sz w:val="16"/>
          <w:szCs w:val="20"/>
        </w:rPr>
        <w:tab/>
        <w:t xml:space="preserve">Materialidad surgida del </w:t>
      </w:r>
      <w:proofErr w:type="spellStart"/>
      <w:r w:rsidRPr="003171CD">
        <w:rPr>
          <w:i/>
          <w:iCs/>
          <w:sz w:val="16"/>
          <w:szCs w:val="20"/>
        </w:rPr>
        <w:t>Kamma</w:t>
      </w:r>
      <w:proofErr w:type="spellEnd"/>
      <w:r w:rsidRPr="003171CD">
        <w:rPr>
          <w:sz w:val="16"/>
          <w:szCs w:val="20"/>
        </w:rPr>
        <w:tab/>
        <w:t xml:space="preserve"> 27</w:t>
      </w:r>
    </w:p>
    <w:p w14:paraId="251B01C2"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(b). </w:t>
      </w:r>
      <w:r w:rsidRPr="003171CD">
        <w:rPr>
          <w:sz w:val="16"/>
          <w:szCs w:val="20"/>
        </w:rPr>
        <w:tab/>
        <w:t xml:space="preserve">Materialidad surgida de la consciencia </w:t>
      </w:r>
      <w:r w:rsidRPr="003171CD">
        <w:rPr>
          <w:sz w:val="16"/>
          <w:szCs w:val="20"/>
        </w:rPr>
        <w:tab/>
        <w:t xml:space="preserve"> 30</w:t>
      </w:r>
    </w:p>
    <w:p w14:paraId="181F2EDE"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(c). </w:t>
      </w:r>
      <w:r w:rsidRPr="003171CD">
        <w:rPr>
          <w:sz w:val="16"/>
          <w:szCs w:val="20"/>
        </w:rPr>
        <w:tab/>
        <w:t xml:space="preserve">Materialidad surgida de los nutrimentos </w:t>
      </w:r>
      <w:r w:rsidRPr="003171CD">
        <w:rPr>
          <w:sz w:val="16"/>
          <w:szCs w:val="20"/>
        </w:rPr>
        <w:tab/>
        <w:t xml:space="preserve"> 35</w:t>
      </w:r>
    </w:p>
    <w:p w14:paraId="7F55C7BF"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(d). </w:t>
      </w:r>
      <w:r w:rsidRPr="003171CD">
        <w:rPr>
          <w:sz w:val="16"/>
          <w:szCs w:val="20"/>
        </w:rPr>
        <w:tab/>
        <w:t xml:space="preserve">Materialidad surgida de la temperatura </w:t>
      </w:r>
      <w:r w:rsidRPr="003171CD">
        <w:rPr>
          <w:sz w:val="16"/>
          <w:szCs w:val="20"/>
        </w:rPr>
        <w:tab/>
        <w:t xml:space="preserve"> 39</w:t>
      </w:r>
    </w:p>
    <w:p w14:paraId="18DCE712"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5. </w:t>
      </w:r>
      <w:r w:rsidRPr="003171CD">
        <w:rPr>
          <w:sz w:val="16"/>
          <w:szCs w:val="20"/>
        </w:rPr>
        <w:tab/>
        <w:t xml:space="preserve">Comprensión de lo inmaterial </w:t>
      </w:r>
      <w:r w:rsidRPr="003171CD">
        <w:rPr>
          <w:sz w:val="16"/>
          <w:szCs w:val="20"/>
        </w:rPr>
        <w:tab/>
        <w:t xml:space="preserve"> 43</w:t>
      </w:r>
    </w:p>
    <w:p w14:paraId="6D995A9A"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6. </w:t>
      </w:r>
      <w:r w:rsidRPr="003171CD">
        <w:rPr>
          <w:sz w:val="16"/>
          <w:szCs w:val="20"/>
        </w:rPr>
        <w:tab/>
        <w:t xml:space="preserve">El séptuplo material </w:t>
      </w:r>
      <w:r w:rsidRPr="003171CD">
        <w:rPr>
          <w:sz w:val="16"/>
          <w:szCs w:val="20"/>
        </w:rPr>
        <w:tab/>
        <w:t xml:space="preserve"> 45</w:t>
      </w:r>
    </w:p>
    <w:p w14:paraId="2F35C793"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7. </w:t>
      </w:r>
      <w:r w:rsidRPr="003171CD">
        <w:rPr>
          <w:sz w:val="16"/>
          <w:szCs w:val="20"/>
        </w:rPr>
        <w:tab/>
        <w:t xml:space="preserve">El séptuplo inmaterial </w:t>
      </w:r>
      <w:r w:rsidRPr="003171CD">
        <w:rPr>
          <w:sz w:val="16"/>
          <w:szCs w:val="20"/>
        </w:rPr>
        <w:tab/>
        <w:t xml:space="preserve"> 76</w:t>
      </w:r>
    </w:p>
    <w:p w14:paraId="3D360F2B"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8. </w:t>
      </w:r>
      <w:r w:rsidRPr="003171CD">
        <w:rPr>
          <w:sz w:val="16"/>
          <w:szCs w:val="20"/>
        </w:rPr>
        <w:tab/>
        <w:t xml:space="preserve">Los 18 entendimientos principales </w:t>
      </w:r>
      <w:r w:rsidRPr="003171CD">
        <w:rPr>
          <w:sz w:val="16"/>
          <w:szCs w:val="20"/>
        </w:rPr>
        <w:tab/>
        <w:t xml:space="preserve"> 89</w:t>
      </w:r>
    </w:p>
    <w:p w14:paraId="5DF0CA5F"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9. </w:t>
      </w:r>
      <w:r w:rsidRPr="003171CD">
        <w:rPr>
          <w:sz w:val="16"/>
          <w:szCs w:val="20"/>
        </w:rPr>
        <w:tab/>
        <w:t xml:space="preserve">Conocimiento del surgimiento y la desaparición—(I) </w:t>
      </w:r>
      <w:r w:rsidRPr="003171CD">
        <w:rPr>
          <w:sz w:val="16"/>
          <w:szCs w:val="20"/>
        </w:rPr>
        <w:tab/>
        <w:t xml:space="preserve"> 93</w:t>
      </w:r>
    </w:p>
    <w:p w14:paraId="799091F9"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Las 10 imperfecciones del entendimiento</w:t>
      </w:r>
      <w:r w:rsidRPr="003171CD">
        <w:rPr>
          <w:sz w:val="16"/>
          <w:szCs w:val="20"/>
        </w:rPr>
        <w:tab/>
        <w:t xml:space="preserve"> 105</w:t>
      </w:r>
    </w:p>
    <w:p w14:paraId="3A3CFA23"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 xml:space="preserve">Conclusión </w:t>
      </w:r>
      <w:r w:rsidRPr="003171CD">
        <w:rPr>
          <w:sz w:val="16"/>
          <w:szCs w:val="20"/>
        </w:rPr>
        <w:tab/>
        <w:t xml:space="preserve"> 130</w:t>
      </w:r>
    </w:p>
    <w:p w14:paraId="5054F425" w14:textId="77777777" w:rsidR="00B67276" w:rsidRPr="003171CD" w:rsidRDefault="00B67276" w:rsidP="00B67276">
      <w:pPr>
        <w:tabs>
          <w:tab w:val="clear" w:pos="425"/>
          <w:tab w:val="left" w:pos="357"/>
          <w:tab w:val="left" w:pos="851"/>
          <w:tab w:val="right" w:leader="dot" w:pos="6804"/>
        </w:tabs>
        <w:spacing w:after="0"/>
        <w:rPr>
          <w:sz w:val="16"/>
          <w:szCs w:val="20"/>
        </w:rPr>
      </w:pPr>
    </w:p>
    <w:p w14:paraId="66270AB4" w14:textId="77777777" w:rsidR="00B67276" w:rsidRPr="003171CD" w:rsidRDefault="00B67276" w:rsidP="00B67276">
      <w:pPr>
        <w:tabs>
          <w:tab w:val="clear" w:pos="425"/>
          <w:tab w:val="left" w:pos="357"/>
          <w:tab w:val="left" w:pos="851"/>
          <w:tab w:val="right" w:leader="dot" w:pos="6804"/>
        </w:tabs>
        <w:spacing w:after="0"/>
        <w:jc w:val="center"/>
        <w:rPr>
          <w:b/>
          <w:bCs/>
          <w:sz w:val="16"/>
          <w:szCs w:val="20"/>
        </w:rPr>
      </w:pPr>
      <w:r w:rsidRPr="003171CD">
        <w:rPr>
          <w:b/>
          <w:bCs/>
          <w:sz w:val="16"/>
          <w:szCs w:val="20"/>
        </w:rPr>
        <w:t>6. Purificación por el Conocimiento y la Visión del Camino</w:t>
      </w:r>
    </w:p>
    <w:p w14:paraId="02D27E60" w14:textId="77777777" w:rsidR="00B67276" w:rsidRPr="003171CD" w:rsidRDefault="00B67276" w:rsidP="00B67276">
      <w:pPr>
        <w:tabs>
          <w:tab w:val="clear" w:pos="425"/>
          <w:tab w:val="left" w:pos="357"/>
          <w:tab w:val="left" w:pos="851"/>
          <w:tab w:val="right" w:leader="dot" w:pos="6804"/>
        </w:tabs>
        <w:spacing w:after="0"/>
        <w:rPr>
          <w:sz w:val="16"/>
          <w:szCs w:val="20"/>
        </w:rPr>
      </w:pPr>
    </w:p>
    <w:p w14:paraId="6046DA53" w14:textId="77777777" w:rsidR="00B67276" w:rsidRPr="003171CD" w:rsidRDefault="00B67276" w:rsidP="00B67276">
      <w:pPr>
        <w:tabs>
          <w:tab w:val="clear" w:pos="425"/>
          <w:tab w:val="left" w:pos="357"/>
          <w:tab w:val="left" w:pos="851"/>
          <w:tab w:val="right" w:leader="dot" w:pos="6804"/>
        </w:tabs>
        <w:spacing w:after="0"/>
        <w:rPr>
          <w:smallCaps/>
          <w:sz w:val="16"/>
          <w:szCs w:val="20"/>
        </w:rPr>
      </w:pPr>
      <w:r w:rsidRPr="003171CD">
        <w:rPr>
          <w:smallCaps/>
          <w:sz w:val="16"/>
          <w:szCs w:val="20"/>
        </w:rPr>
        <w:t>Capítulo XXI — Purificación Mediante el Conocimiento y la Visión del Sendero</w:t>
      </w:r>
    </w:p>
    <w:p w14:paraId="19329DDD"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Introducción</w:t>
      </w:r>
      <w:r w:rsidRPr="003171CD">
        <w:rPr>
          <w:sz w:val="16"/>
          <w:szCs w:val="20"/>
        </w:rPr>
        <w:tab/>
        <w:t xml:space="preserve"> 1</w:t>
      </w:r>
    </w:p>
    <w:p w14:paraId="45DEED7E"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 xml:space="preserve">Sabiduría: los 8 conocimientos </w:t>
      </w:r>
      <w:r w:rsidRPr="003171CD">
        <w:rPr>
          <w:sz w:val="16"/>
          <w:szCs w:val="20"/>
        </w:rPr>
        <w:tab/>
        <w:t xml:space="preserve"> 3</w:t>
      </w:r>
    </w:p>
    <w:p w14:paraId="1449DC2F"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1. </w:t>
      </w:r>
      <w:r w:rsidRPr="003171CD">
        <w:rPr>
          <w:sz w:val="16"/>
          <w:szCs w:val="20"/>
        </w:rPr>
        <w:tab/>
        <w:t xml:space="preserve">Conocimiento del surgimiento y la desaparición—II </w:t>
      </w:r>
      <w:r w:rsidRPr="003171CD">
        <w:rPr>
          <w:sz w:val="16"/>
          <w:szCs w:val="20"/>
        </w:rPr>
        <w:tab/>
        <w:t xml:space="preserve"> 3</w:t>
      </w:r>
    </w:p>
    <w:p w14:paraId="7090AFA4"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2. </w:t>
      </w:r>
      <w:r w:rsidRPr="003171CD">
        <w:rPr>
          <w:sz w:val="16"/>
          <w:szCs w:val="20"/>
        </w:rPr>
        <w:tab/>
        <w:t xml:space="preserve">Conocimiento de la disolución </w:t>
      </w:r>
      <w:r w:rsidRPr="003171CD">
        <w:rPr>
          <w:sz w:val="16"/>
          <w:szCs w:val="20"/>
        </w:rPr>
        <w:tab/>
        <w:t xml:space="preserve"> 1</w:t>
      </w:r>
    </w:p>
    <w:p w14:paraId="79AF2C19"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br w:type="page"/>
      </w:r>
    </w:p>
    <w:p w14:paraId="503BAF4C"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lastRenderedPageBreak/>
        <w:t xml:space="preserve">3. </w:t>
      </w:r>
      <w:r w:rsidRPr="003171CD">
        <w:rPr>
          <w:sz w:val="16"/>
          <w:szCs w:val="20"/>
        </w:rPr>
        <w:tab/>
        <w:t xml:space="preserve">Conocimiento de la apariencia de terror </w:t>
      </w:r>
      <w:r w:rsidRPr="003171CD">
        <w:rPr>
          <w:sz w:val="16"/>
          <w:szCs w:val="20"/>
        </w:rPr>
        <w:tab/>
        <w:t xml:space="preserve"> 29</w:t>
      </w:r>
    </w:p>
    <w:p w14:paraId="1CC0C5F6"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4. </w:t>
      </w:r>
      <w:r w:rsidRPr="003171CD">
        <w:rPr>
          <w:sz w:val="16"/>
          <w:szCs w:val="20"/>
        </w:rPr>
        <w:tab/>
        <w:t xml:space="preserve">Conocimiento del peligro </w:t>
      </w:r>
      <w:r w:rsidRPr="003171CD">
        <w:rPr>
          <w:sz w:val="16"/>
          <w:szCs w:val="20"/>
        </w:rPr>
        <w:tab/>
        <w:t xml:space="preserve"> 35</w:t>
      </w:r>
    </w:p>
    <w:p w14:paraId="2A772F8E"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5. </w:t>
      </w:r>
      <w:r w:rsidRPr="003171CD">
        <w:rPr>
          <w:sz w:val="16"/>
          <w:szCs w:val="20"/>
        </w:rPr>
        <w:tab/>
        <w:t xml:space="preserve">Conocimiento del desapasionamiento </w:t>
      </w:r>
      <w:r w:rsidRPr="003171CD">
        <w:rPr>
          <w:sz w:val="16"/>
          <w:szCs w:val="20"/>
        </w:rPr>
        <w:tab/>
        <w:t xml:space="preserve"> 43</w:t>
      </w:r>
    </w:p>
    <w:p w14:paraId="3968357A"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6. </w:t>
      </w:r>
      <w:r w:rsidRPr="003171CD">
        <w:rPr>
          <w:sz w:val="16"/>
          <w:szCs w:val="20"/>
        </w:rPr>
        <w:tab/>
        <w:t xml:space="preserve">Conocimiento del deseo por la liberación </w:t>
      </w:r>
      <w:r w:rsidRPr="003171CD">
        <w:rPr>
          <w:sz w:val="16"/>
          <w:szCs w:val="20"/>
        </w:rPr>
        <w:tab/>
        <w:t xml:space="preserve"> 45</w:t>
      </w:r>
    </w:p>
    <w:p w14:paraId="6DD84975"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7. </w:t>
      </w:r>
      <w:r w:rsidRPr="003171CD">
        <w:rPr>
          <w:sz w:val="16"/>
          <w:szCs w:val="20"/>
        </w:rPr>
        <w:tab/>
        <w:t xml:space="preserve">Conocimiento reflexivo </w:t>
      </w:r>
      <w:r w:rsidRPr="003171CD">
        <w:rPr>
          <w:sz w:val="16"/>
          <w:szCs w:val="20"/>
        </w:rPr>
        <w:tab/>
        <w:t xml:space="preserve"> 47</w:t>
      </w:r>
    </w:p>
    <w:p w14:paraId="1D86F9ED" w14:textId="77777777" w:rsidR="00B67276" w:rsidRPr="003171CD" w:rsidRDefault="00B67276" w:rsidP="00B67276">
      <w:pPr>
        <w:tabs>
          <w:tab w:val="clear" w:pos="425"/>
          <w:tab w:val="left" w:pos="357"/>
          <w:tab w:val="left" w:pos="851"/>
          <w:tab w:val="right" w:leader="dot" w:pos="6804"/>
        </w:tabs>
        <w:spacing w:after="0"/>
        <w:ind w:left="709"/>
        <w:rPr>
          <w:sz w:val="16"/>
          <w:szCs w:val="20"/>
        </w:rPr>
      </w:pPr>
      <w:r w:rsidRPr="003171CD">
        <w:rPr>
          <w:sz w:val="16"/>
          <w:szCs w:val="20"/>
        </w:rPr>
        <w:t xml:space="preserve">Discernimiento de las formaciones como vacías </w:t>
      </w:r>
      <w:r w:rsidRPr="003171CD">
        <w:rPr>
          <w:sz w:val="16"/>
          <w:szCs w:val="20"/>
        </w:rPr>
        <w:tab/>
        <w:t xml:space="preserve"> 53</w:t>
      </w:r>
    </w:p>
    <w:p w14:paraId="5E2ECCA4"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8. </w:t>
      </w:r>
      <w:r w:rsidRPr="003171CD">
        <w:rPr>
          <w:sz w:val="16"/>
          <w:szCs w:val="20"/>
        </w:rPr>
        <w:tab/>
        <w:t xml:space="preserve">Conocimiento de la ecuanimidad sobre las formaciones </w:t>
      </w:r>
      <w:r w:rsidRPr="003171CD">
        <w:rPr>
          <w:sz w:val="16"/>
          <w:szCs w:val="20"/>
        </w:rPr>
        <w:tab/>
        <w:t xml:space="preserve"> 61</w:t>
      </w:r>
    </w:p>
    <w:p w14:paraId="446D9DB9" w14:textId="77777777" w:rsidR="00B67276" w:rsidRPr="003171CD" w:rsidRDefault="00B67276" w:rsidP="00B67276">
      <w:pPr>
        <w:tabs>
          <w:tab w:val="clear" w:pos="425"/>
          <w:tab w:val="left" w:pos="357"/>
          <w:tab w:val="left" w:pos="851"/>
          <w:tab w:val="right" w:leader="dot" w:pos="6804"/>
        </w:tabs>
        <w:spacing w:after="0"/>
        <w:ind w:left="709"/>
        <w:rPr>
          <w:sz w:val="16"/>
          <w:szCs w:val="20"/>
        </w:rPr>
      </w:pPr>
      <w:r w:rsidRPr="003171CD">
        <w:rPr>
          <w:sz w:val="16"/>
          <w:szCs w:val="20"/>
        </w:rPr>
        <w:t xml:space="preserve">Las 3 puertas hacia la liberación </w:t>
      </w:r>
      <w:r w:rsidRPr="003171CD">
        <w:rPr>
          <w:sz w:val="16"/>
          <w:szCs w:val="20"/>
        </w:rPr>
        <w:tab/>
        <w:t xml:space="preserve"> 66</w:t>
      </w:r>
    </w:p>
    <w:p w14:paraId="3C489C7F" w14:textId="77777777" w:rsidR="00B67276" w:rsidRPr="003171CD" w:rsidRDefault="00B67276" w:rsidP="00B67276">
      <w:pPr>
        <w:tabs>
          <w:tab w:val="clear" w:pos="425"/>
          <w:tab w:val="left" w:pos="357"/>
          <w:tab w:val="left" w:pos="851"/>
          <w:tab w:val="right" w:leader="dot" w:pos="6804"/>
        </w:tabs>
        <w:spacing w:after="0"/>
        <w:ind w:left="709"/>
        <w:rPr>
          <w:sz w:val="16"/>
          <w:szCs w:val="20"/>
        </w:rPr>
      </w:pPr>
      <w:r w:rsidRPr="003171CD">
        <w:rPr>
          <w:sz w:val="16"/>
          <w:szCs w:val="20"/>
        </w:rPr>
        <w:t xml:space="preserve">Las 7 clases de personas nobles </w:t>
      </w:r>
      <w:r w:rsidRPr="003171CD">
        <w:rPr>
          <w:sz w:val="16"/>
          <w:szCs w:val="20"/>
        </w:rPr>
        <w:tab/>
        <w:t xml:space="preserve"> 74</w:t>
      </w:r>
    </w:p>
    <w:p w14:paraId="48A88941" w14:textId="77777777" w:rsidR="00B67276" w:rsidRPr="003171CD" w:rsidRDefault="00B67276" w:rsidP="00B67276">
      <w:pPr>
        <w:tabs>
          <w:tab w:val="clear" w:pos="425"/>
          <w:tab w:val="left" w:pos="357"/>
          <w:tab w:val="left" w:pos="851"/>
          <w:tab w:val="right" w:leader="dot" w:pos="6804"/>
        </w:tabs>
        <w:spacing w:after="0"/>
        <w:ind w:left="709"/>
        <w:rPr>
          <w:sz w:val="16"/>
          <w:szCs w:val="20"/>
        </w:rPr>
      </w:pPr>
      <w:r w:rsidRPr="003171CD">
        <w:rPr>
          <w:sz w:val="16"/>
          <w:szCs w:val="20"/>
        </w:rPr>
        <w:t>Los últimos 3 conocimientos son en realidad 1</w:t>
      </w:r>
      <w:r w:rsidRPr="003171CD">
        <w:rPr>
          <w:sz w:val="16"/>
          <w:szCs w:val="20"/>
        </w:rPr>
        <w:tab/>
        <w:t xml:space="preserve"> 79</w:t>
      </w:r>
    </w:p>
    <w:p w14:paraId="04A669A5" w14:textId="77777777" w:rsidR="00B67276" w:rsidRPr="003171CD" w:rsidRDefault="00B67276" w:rsidP="00B67276">
      <w:pPr>
        <w:tabs>
          <w:tab w:val="clear" w:pos="425"/>
          <w:tab w:val="left" w:pos="357"/>
          <w:tab w:val="left" w:pos="851"/>
          <w:tab w:val="right" w:leader="dot" w:pos="6804"/>
        </w:tabs>
        <w:spacing w:after="0"/>
        <w:ind w:left="709"/>
        <w:rPr>
          <w:sz w:val="16"/>
          <w:szCs w:val="20"/>
        </w:rPr>
      </w:pPr>
      <w:r w:rsidRPr="003171CD">
        <w:rPr>
          <w:sz w:val="16"/>
          <w:szCs w:val="20"/>
        </w:rPr>
        <w:t xml:space="preserve">Sabiduría que conduce hacia el emerger </w:t>
      </w:r>
      <w:r w:rsidRPr="003171CD">
        <w:rPr>
          <w:sz w:val="16"/>
          <w:szCs w:val="20"/>
        </w:rPr>
        <w:tab/>
        <w:t xml:space="preserve"> 83</w:t>
      </w:r>
    </w:p>
    <w:p w14:paraId="7F2F890C" w14:textId="77777777" w:rsidR="00B67276" w:rsidRPr="003171CD" w:rsidRDefault="00B67276" w:rsidP="00B67276">
      <w:pPr>
        <w:tabs>
          <w:tab w:val="clear" w:pos="425"/>
          <w:tab w:val="left" w:pos="357"/>
          <w:tab w:val="left" w:pos="851"/>
          <w:tab w:val="right" w:leader="dot" w:pos="6804"/>
        </w:tabs>
        <w:spacing w:after="0"/>
        <w:ind w:left="709"/>
        <w:rPr>
          <w:sz w:val="16"/>
          <w:szCs w:val="20"/>
        </w:rPr>
      </w:pPr>
      <w:r w:rsidRPr="003171CD">
        <w:rPr>
          <w:sz w:val="16"/>
          <w:szCs w:val="20"/>
        </w:rPr>
        <w:t xml:space="preserve">Los 12 símiles </w:t>
      </w:r>
      <w:r w:rsidRPr="003171CD">
        <w:rPr>
          <w:sz w:val="16"/>
          <w:szCs w:val="20"/>
        </w:rPr>
        <w:tab/>
        <w:t xml:space="preserve"> 90</w:t>
      </w:r>
    </w:p>
    <w:p w14:paraId="5DA994B5" w14:textId="77777777" w:rsidR="00B67276" w:rsidRPr="003171CD" w:rsidRDefault="00B67276" w:rsidP="00B67276">
      <w:pPr>
        <w:tabs>
          <w:tab w:val="clear" w:pos="425"/>
          <w:tab w:val="left" w:pos="357"/>
          <w:tab w:val="left" w:pos="851"/>
          <w:tab w:val="right" w:leader="dot" w:pos="6804"/>
        </w:tabs>
        <w:spacing w:after="0"/>
        <w:ind w:left="709"/>
        <w:rPr>
          <w:sz w:val="16"/>
          <w:szCs w:val="20"/>
        </w:rPr>
      </w:pPr>
      <w:r w:rsidRPr="003171CD">
        <w:rPr>
          <w:sz w:val="16"/>
          <w:szCs w:val="20"/>
        </w:rPr>
        <w:t xml:space="preserve">La diferencia entre los factores del noble sendero, etc. </w:t>
      </w:r>
      <w:r w:rsidRPr="003171CD">
        <w:rPr>
          <w:sz w:val="16"/>
          <w:szCs w:val="20"/>
        </w:rPr>
        <w:tab/>
        <w:t xml:space="preserve"> 111</w:t>
      </w:r>
    </w:p>
    <w:p w14:paraId="4DBACDA1"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9. </w:t>
      </w:r>
      <w:r w:rsidRPr="003171CD">
        <w:rPr>
          <w:sz w:val="16"/>
          <w:szCs w:val="20"/>
        </w:rPr>
        <w:tab/>
        <w:t xml:space="preserve">Conocimiento de la conformidad </w:t>
      </w:r>
      <w:r w:rsidRPr="003171CD">
        <w:rPr>
          <w:sz w:val="16"/>
          <w:szCs w:val="20"/>
        </w:rPr>
        <w:tab/>
        <w:t xml:space="preserve"> 128</w:t>
      </w:r>
    </w:p>
    <w:p w14:paraId="126F6638"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ab/>
      </w:r>
      <w:r w:rsidRPr="003171CD">
        <w:rPr>
          <w:sz w:val="16"/>
          <w:szCs w:val="20"/>
        </w:rPr>
        <w:tab/>
        <w:t xml:space="preserve">Referencias de los </w:t>
      </w:r>
      <w:r w:rsidRPr="003171CD">
        <w:rPr>
          <w:i/>
          <w:iCs/>
          <w:sz w:val="16"/>
          <w:szCs w:val="20"/>
        </w:rPr>
        <w:t>suttas</w:t>
      </w:r>
      <w:r w:rsidRPr="003171CD">
        <w:rPr>
          <w:sz w:val="16"/>
          <w:szCs w:val="20"/>
        </w:rPr>
        <w:t xml:space="preserve"> </w:t>
      </w:r>
      <w:r w:rsidRPr="003171CD">
        <w:rPr>
          <w:sz w:val="16"/>
          <w:szCs w:val="20"/>
        </w:rPr>
        <w:tab/>
        <w:t xml:space="preserve"> 135</w:t>
      </w:r>
    </w:p>
    <w:p w14:paraId="56B125D2" w14:textId="77777777" w:rsidR="00B67276" w:rsidRPr="003171CD" w:rsidRDefault="00B67276" w:rsidP="00B67276">
      <w:pPr>
        <w:tabs>
          <w:tab w:val="clear" w:pos="425"/>
          <w:tab w:val="left" w:pos="357"/>
          <w:tab w:val="left" w:pos="851"/>
          <w:tab w:val="right" w:leader="dot" w:pos="6804"/>
        </w:tabs>
        <w:spacing w:after="0"/>
        <w:rPr>
          <w:sz w:val="16"/>
          <w:szCs w:val="20"/>
        </w:rPr>
      </w:pPr>
    </w:p>
    <w:p w14:paraId="6504BAF5" w14:textId="77777777" w:rsidR="00B67276" w:rsidRPr="003171CD" w:rsidRDefault="00B67276" w:rsidP="00B67276">
      <w:pPr>
        <w:tabs>
          <w:tab w:val="clear" w:pos="425"/>
          <w:tab w:val="left" w:pos="357"/>
          <w:tab w:val="left" w:pos="851"/>
          <w:tab w:val="right" w:leader="dot" w:pos="6804"/>
        </w:tabs>
        <w:spacing w:after="0"/>
        <w:jc w:val="center"/>
        <w:rPr>
          <w:b/>
          <w:bCs/>
          <w:sz w:val="16"/>
          <w:szCs w:val="20"/>
        </w:rPr>
      </w:pPr>
      <w:r w:rsidRPr="003171CD">
        <w:rPr>
          <w:b/>
          <w:bCs/>
          <w:sz w:val="16"/>
          <w:szCs w:val="20"/>
        </w:rPr>
        <w:t>7. Purificación por el conocimiento y la visión</w:t>
      </w:r>
    </w:p>
    <w:p w14:paraId="018548C3" w14:textId="77777777" w:rsidR="00B67276" w:rsidRPr="003171CD" w:rsidRDefault="00B67276" w:rsidP="00B67276">
      <w:pPr>
        <w:tabs>
          <w:tab w:val="clear" w:pos="425"/>
          <w:tab w:val="left" w:pos="357"/>
          <w:tab w:val="left" w:pos="851"/>
          <w:tab w:val="right" w:leader="dot" w:pos="6804"/>
        </w:tabs>
        <w:spacing w:after="0"/>
        <w:jc w:val="center"/>
        <w:rPr>
          <w:b/>
          <w:bCs/>
          <w:sz w:val="16"/>
          <w:szCs w:val="20"/>
        </w:rPr>
      </w:pPr>
    </w:p>
    <w:p w14:paraId="714508B3" w14:textId="77777777" w:rsidR="00B67276" w:rsidRPr="003171CD" w:rsidRDefault="00B67276" w:rsidP="00B67276">
      <w:pPr>
        <w:tabs>
          <w:tab w:val="clear" w:pos="425"/>
          <w:tab w:val="left" w:pos="357"/>
          <w:tab w:val="left" w:pos="851"/>
          <w:tab w:val="right" w:leader="dot" w:pos="6804"/>
        </w:tabs>
        <w:spacing w:after="0"/>
        <w:rPr>
          <w:smallCaps/>
          <w:sz w:val="16"/>
          <w:szCs w:val="20"/>
        </w:rPr>
      </w:pPr>
      <w:r w:rsidRPr="003171CD">
        <w:rPr>
          <w:smallCaps/>
          <w:sz w:val="16"/>
          <w:szCs w:val="20"/>
        </w:rPr>
        <w:t>Capítulo XXII — Purificación Mediante el Conocimiento y la Visión</w:t>
      </w:r>
    </w:p>
    <w:p w14:paraId="006BAD26"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I. </w:t>
      </w:r>
      <w:r w:rsidRPr="003171CD">
        <w:rPr>
          <w:sz w:val="16"/>
          <w:szCs w:val="20"/>
        </w:rPr>
        <w:tab/>
        <w:t xml:space="preserve">Cambio de linaje, senderos y fruiciones </w:t>
      </w:r>
      <w:r w:rsidRPr="003171CD">
        <w:rPr>
          <w:sz w:val="16"/>
          <w:szCs w:val="20"/>
        </w:rPr>
        <w:tab/>
        <w:t xml:space="preserve"> 1</w:t>
      </w:r>
    </w:p>
    <w:p w14:paraId="3DDE3C08" w14:textId="77777777" w:rsidR="00B67276" w:rsidRPr="003171CD" w:rsidRDefault="00B67276" w:rsidP="00B67276">
      <w:pPr>
        <w:tabs>
          <w:tab w:val="clear" w:pos="425"/>
          <w:tab w:val="left" w:pos="357"/>
          <w:tab w:val="left" w:pos="851"/>
          <w:tab w:val="right" w:leader="dot" w:pos="6804"/>
        </w:tabs>
        <w:spacing w:after="0"/>
        <w:rPr>
          <w:sz w:val="16"/>
          <w:szCs w:val="20"/>
        </w:rPr>
      </w:pPr>
      <w:r w:rsidRPr="003171CD">
        <w:rPr>
          <w:sz w:val="16"/>
          <w:szCs w:val="20"/>
        </w:rPr>
        <w:t xml:space="preserve">II. </w:t>
      </w:r>
      <w:r w:rsidRPr="003171CD">
        <w:rPr>
          <w:sz w:val="16"/>
          <w:szCs w:val="20"/>
        </w:rPr>
        <w:tab/>
        <w:t xml:space="preserve">Los estados asociados al sendero, etc. </w:t>
      </w:r>
      <w:r w:rsidRPr="003171CD">
        <w:rPr>
          <w:sz w:val="16"/>
          <w:szCs w:val="20"/>
        </w:rPr>
        <w:tab/>
        <w:t xml:space="preserve"> 32</w:t>
      </w:r>
    </w:p>
    <w:p w14:paraId="11B1E5B6"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1. </w:t>
      </w:r>
      <w:r w:rsidRPr="003171CD">
        <w:rPr>
          <w:sz w:val="16"/>
          <w:szCs w:val="20"/>
        </w:rPr>
        <w:tab/>
        <w:t xml:space="preserve">Los 37 estados asociados a la iluminación </w:t>
      </w:r>
      <w:r w:rsidRPr="003171CD">
        <w:rPr>
          <w:sz w:val="16"/>
          <w:szCs w:val="20"/>
        </w:rPr>
        <w:tab/>
        <w:t xml:space="preserve"> 33</w:t>
      </w:r>
    </w:p>
    <w:p w14:paraId="70C63E26"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2. </w:t>
      </w:r>
      <w:r w:rsidRPr="003171CD">
        <w:rPr>
          <w:sz w:val="16"/>
          <w:szCs w:val="20"/>
        </w:rPr>
        <w:tab/>
        <w:t xml:space="preserve">Emerger y acoplamiento de los poderes </w:t>
      </w:r>
      <w:r w:rsidRPr="003171CD">
        <w:rPr>
          <w:sz w:val="16"/>
          <w:szCs w:val="20"/>
        </w:rPr>
        <w:tab/>
        <w:t xml:space="preserve"> 44</w:t>
      </w:r>
    </w:p>
    <w:p w14:paraId="004B1924"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3. </w:t>
      </w:r>
      <w:r w:rsidRPr="003171CD">
        <w:rPr>
          <w:sz w:val="16"/>
          <w:szCs w:val="20"/>
        </w:rPr>
        <w:tab/>
        <w:t xml:space="preserve">Estados a abandonar </w:t>
      </w:r>
      <w:r w:rsidRPr="003171CD">
        <w:rPr>
          <w:sz w:val="16"/>
          <w:szCs w:val="20"/>
        </w:rPr>
        <w:tab/>
        <w:t xml:space="preserve"> 47</w:t>
      </w:r>
    </w:p>
    <w:p w14:paraId="5C102BC1"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4. </w:t>
      </w:r>
      <w:r w:rsidRPr="003171CD">
        <w:rPr>
          <w:sz w:val="16"/>
          <w:szCs w:val="20"/>
        </w:rPr>
        <w:tab/>
        <w:t xml:space="preserve">Las 4 funciones en un solo momento </w:t>
      </w:r>
      <w:r w:rsidRPr="003171CD">
        <w:rPr>
          <w:sz w:val="16"/>
          <w:szCs w:val="20"/>
        </w:rPr>
        <w:tab/>
        <w:t xml:space="preserve"> 92</w:t>
      </w:r>
    </w:p>
    <w:p w14:paraId="736B755C" w14:textId="77777777" w:rsidR="00B67276" w:rsidRPr="003171CD" w:rsidRDefault="00B67276" w:rsidP="00B67276">
      <w:pPr>
        <w:tabs>
          <w:tab w:val="clear" w:pos="425"/>
          <w:tab w:val="left" w:pos="357"/>
          <w:tab w:val="left" w:pos="709"/>
          <w:tab w:val="left" w:pos="851"/>
          <w:tab w:val="right" w:leader="dot" w:pos="6804"/>
        </w:tabs>
        <w:spacing w:after="0"/>
        <w:ind w:left="357"/>
        <w:rPr>
          <w:sz w:val="16"/>
          <w:szCs w:val="20"/>
        </w:rPr>
      </w:pPr>
      <w:r w:rsidRPr="003171CD">
        <w:rPr>
          <w:sz w:val="16"/>
          <w:szCs w:val="20"/>
        </w:rPr>
        <w:t xml:space="preserve">5. </w:t>
      </w:r>
      <w:r w:rsidRPr="003171CD">
        <w:rPr>
          <w:sz w:val="16"/>
          <w:szCs w:val="20"/>
        </w:rPr>
        <w:tab/>
        <w:t>Las 4 funciones independientes</w:t>
      </w:r>
      <w:r w:rsidRPr="003171CD">
        <w:rPr>
          <w:sz w:val="16"/>
          <w:szCs w:val="20"/>
        </w:rPr>
        <w:tab/>
        <w:t xml:space="preserve"> 104</w:t>
      </w:r>
    </w:p>
    <w:p w14:paraId="7C82485F"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 xml:space="preserve">Conclusión </w:t>
      </w:r>
      <w:r w:rsidRPr="003171CD">
        <w:rPr>
          <w:sz w:val="16"/>
          <w:szCs w:val="20"/>
        </w:rPr>
        <w:tab/>
        <w:t xml:space="preserve"> 129</w:t>
      </w:r>
    </w:p>
    <w:p w14:paraId="2D1F71C1" w14:textId="77777777" w:rsidR="00B67276" w:rsidRPr="003171CD" w:rsidRDefault="00B67276" w:rsidP="00B67276">
      <w:pPr>
        <w:tabs>
          <w:tab w:val="clear" w:pos="425"/>
          <w:tab w:val="left" w:pos="357"/>
          <w:tab w:val="left" w:pos="851"/>
          <w:tab w:val="right" w:leader="dot" w:pos="6804"/>
        </w:tabs>
        <w:spacing w:after="0"/>
        <w:rPr>
          <w:sz w:val="16"/>
          <w:szCs w:val="20"/>
        </w:rPr>
      </w:pPr>
    </w:p>
    <w:p w14:paraId="2A5BBBBA" w14:textId="77777777" w:rsidR="00B67276" w:rsidRPr="003171CD" w:rsidRDefault="00B67276" w:rsidP="00B67276">
      <w:pPr>
        <w:tabs>
          <w:tab w:val="clear" w:pos="425"/>
          <w:tab w:val="left" w:pos="357"/>
          <w:tab w:val="left" w:pos="851"/>
          <w:tab w:val="right" w:leader="dot" w:pos="6804"/>
        </w:tabs>
        <w:spacing w:after="0"/>
        <w:jc w:val="center"/>
        <w:rPr>
          <w:b/>
          <w:bCs/>
          <w:sz w:val="16"/>
          <w:szCs w:val="20"/>
        </w:rPr>
      </w:pPr>
      <w:r w:rsidRPr="003171CD">
        <w:rPr>
          <w:b/>
          <w:bCs/>
          <w:sz w:val="16"/>
          <w:szCs w:val="20"/>
        </w:rPr>
        <w:t>Los Beneficios del Entendimiento</w:t>
      </w:r>
    </w:p>
    <w:p w14:paraId="1C3D9468" w14:textId="77777777" w:rsidR="00B67276" w:rsidRPr="003171CD" w:rsidRDefault="00B67276" w:rsidP="00B67276">
      <w:pPr>
        <w:tabs>
          <w:tab w:val="clear" w:pos="425"/>
          <w:tab w:val="left" w:pos="357"/>
          <w:tab w:val="left" w:pos="851"/>
          <w:tab w:val="right" w:leader="dot" w:pos="6804"/>
        </w:tabs>
        <w:spacing w:after="0"/>
        <w:rPr>
          <w:sz w:val="16"/>
          <w:szCs w:val="20"/>
        </w:rPr>
      </w:pPr>
    </w:p>
    <w:p w14:paraId="0173185A" w14:textId="77777777" w:rsidR="00B67276" w:rsidRPr="003171CD" w:rsidRDefault="00B67276" w:rsidP="00B67276">
      <w:pPr>
        <w:tabs>
          <w:tab w:val="clear" w:pos="425"/>
          <w:tab w:val="left" w:pos="357"/>
          <w:tab w:val="left" w:pos="851"/>
          <w:tab w:val="right" w:leader="dot" w:pos="6804"/>
        </w:tabs>
        <w:spacing w:after="0"/>
        <w:rPr>
          <w:smallCaps/>
          <w:sz w:val="16"/>
          <w:szCs w:val="20"/>
        </w:rPr>
      </w:pPr>
      <w:r w:rsidRPr="003171CD">
        <w:rPr>
          <w:smallCaps/>
          <w:sz w:val="16"/>
          <w:szCs w:val="20"/>
        </w:rPr>
        <w:t>Capítulo XXIII — Los Beneficios del Desarrollo del Entendimiento</w:t>
      </w:r>
    </w:p>
    <w:p w14:paraId="3779DB82" w14:textId="77777777" w:rsidR="00B67276" w:rsidRPr="003171CD" w:rsidRDefault="00B67276" w:rsidP="00B67276">
      <w:pPr>
        <w:tabs>
          <w:tab w:val="clear" w:pos="425"/>
          <w:tab w:val="left" w:pos="357"/>
          <w:tab w:val="left" w:pos="851"/>
          <w:tab w:val="right" w:leader="dot" w:pos="6804"/>
        </w:tabs>
        <w:spacing w:after="0"/>
        <w:ind w:left="357"/>
        <w:rPr>
          <w:sz w:val="16"/>
          <w:szCs w:val="20"/>
        </w:rPr>
      </w:pPr>
      <w:r w:rsidRPr="003171CD">
        <w:rPr>
          <w:sz w:val="16"/>
          <w:szCs w:val="20"/>
        </w:rPr>
        <w:t xml:space="preserve">(vi) ¿Cuáles son los beneficios del desarrollo del entendimiento? </w:t>
      </w:r>
      <w:r w:rsidRPr="003171CD">
        <w:rPr>
          <w:sz w:val="16"/>
          <w:szCs w:val="20"/>
        </w:rPr>
        <w:tab/>
        <w:t xml:space="preserve"> 1</w:t>
      </w:r>
    </w:p>
    <w:p w14:paraId="58E6E783"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A. </w:t>
      </w:r>
      <w:r w:rsidRPr="003171CD">
        <w:rPr>
          <w:sz w:val="16"/>
          <w:szCs w:val="20"/>
        </w:rPr>
        <w:tab/>
        <w:t xml:space="preserve">Eliminación de las impurezas </w:t>
      </w:r>
      <w:r w:rsidRPr="003171CD">
        <w:rPr>
          <w:sz w:val="16"/>
          <w:szCs w:val="20"/>
        </w:rPr>
        <w:tab/>
        <w:t xml:space="preserve"> 2</w:t>
      </w:r>
    </w:p>
    <w:p w14:paraId="2D4C775D"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B. </w:t>
      </w:r>
      <w:r w:rsidRPr="003171CD">
        <w:rPr>
          <w:sz w:val="16"/>
          <w:szCs w:val="20"/>
        </w:rPr>
        <w:tab/>
        <w:t xml:space="preserve">El sabor de la noble fruición </w:t>
      </w:r>
      <w:r w:rsidRPr="003171CD">
        <w:rPr>
          <w:sz w:val="16"/>
          <w:szCs w:val="20"/>
        </w:rPr>
        <w:tab/>
        <w:t xml:space="preserve"> 3</w:t>
      </w:r>
    </w:p>
    <w:p w14:paraId="698BFE67"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C. </w:t>
      </w:r>
      <w:r w:rsidRPr="003171CD">
        <w:rPr>
          <w:sz w:val="16"/>
          <w:szCs w:val="20"/>
        </w:rPr>
        <w:tab/>
        <w:t xml:space="preserve">La consumación de la cesación </w:t>
      </w:r>
      <w:r w:rsidRPr="003171CD">
        <w:rPr>
          <w:sz w:val="16"/>
          <w:szCs w:val="20"/>
        </w:rPr>
        <w:tab/>
        <w:t xml:space="preserve"> 16</w:t>
      </w:r>
    </w:p>
    <w:p w14:paraId="3AABAA88" w14:textId="77777777" w:rsidR="00B67276" w:rsidRPr="003171CD" w:rsidRDefault="00B67276" w:rsidP="00B67276">
      <w:pPr>
        <w:tabs>
          <w:tab w:val="clear" w:pos="425"/>
          <w:tab w:val="left" w:pos="357"/>
          <w:tab w:val="left" w:pos="1134"/>
          <w:tab w:val="right" w:leader="dot" w:pos="6804"/>
        </w:tabs>
        <w:spacing w:after="0"/>
        <w:ind w:left="709"/>
        <w:rPr>
          <w:sz w:val="16"/>
          <w:szCs w:val="20"/>
        </w:rPr>
      </w:pPr>
      <w:r w:rsidRPr="003171CD">
        <w:rPr>
          <w:sz w:val="16"/>
          <w:szCs w:val="20"/>
        </w:rPr>
        <w:t xml:space="preserve">D. </w:t>
      </w:r>
      <w:r w:rsidRPr="003171CD">
        <w:rPr>
          <w:sz w:val="16"/>
          <w:szCs w:val="20"/>
        </w:rPr>
        <w:tab/>
        <w:t xml:space="preserve">Digno de recepción de presentes </w:t>
      </w:r>
      <w:r w:rsidRPr="003171CD">
        <w:rPr>
          <w:sz w:val="16"/>
          <w:szCs w:val="20"/>
        </w:rPr>
        <w:tab/>
        <w:t xml:space="preserve"> 53</w:t>
      </w:r>
    </w:p>
    <w:p w14:paraId="66B9F992" w14:textId="77777777" w:rsidR="00B67276" w:rsidRPr="003171CD" w:rsidRDefault="00B67276" w:rsidP="00B67276">
      <w:pPr>
        <w:tabs>
          <w:tab w:val="clear" w:pos="425"/>
          <w:tab w:val="left" w:pos="357"/>
          <w:tab w:val="left" w:pos="851"/>
          <w:tab w:val="right" w:leader="dot" w:pos="6804"/>
        </w:tabs>
        <w:spacing w:after="0"/>
        <w:rPr>
          <w:sz w:val="16"/>
          <w:szCs w:val="20"/>
        </w:rPr>
      </w:pPr>
    </w:p>
    <w:p w14:paraId="07A851E6" w14:textId="77777777" w:rsidR="00B67276" w:rsidRPr="003171CD" w:rsidRDefault="00B67276" w:rsidP="00B67276">
      <w:pPr>
        <w:tabs>
          <w:tab w:val="clear" w:pos="425"/>
          <w:tab w:val="left" w:pos="357"/>
          <w:tab w:val="left" w:pos="851"/>
          <w:tab w:val="right" w:leader="dot" w:pos="6804"/>
        </w:tabs>
        <w:spacing w:after="0"/>
        <w:rPr>
          <w:sz w:val="16"/>
          <w:szCs w:val="20"/>
        </w:rPr>
      </w:pPr>
    </w:p>
    <w:p w14:paraId="5F5AA1B2" w14:textId="77777777" w:rsidR="00B67276" w:rsidRPr="003171CD" w:rsidRDefault="00B67276" w:rsidP="00B67276">
      <w:pPr>
        <w:tabs>
          <w:tab w:val="clear" w:pos="425"/>
          <w:tab w:val="left" w:pos="357"/>
          <w:tab w:val="left" w:pos="851"/>
          <w:tab w:val="right" w:leader="dot" w:pos="6804"/>
        </w:tabs>
        <w:spacing w:after="0"/>
        <w:rPr>
          <w:smallCaps/>
          <w:sz w:val="16"/>
          <w:szCs w:val="20"/>
        </w:rPr>
      </w:pPr>
      <w:r w:rsidRPr="003171CD">
        <w:rPr>
          <w:smallCaps/>
          <w:sz w:val="16"/>
          <w:szCs w:val="20"/>
        </w:rPr>
        <w:t>Conclusión (Epílogo)</w:t>
      </w:r>
    </w:p>
    <w:p w14:paraId="0D400631" w14:textId="77777777" w:rsidR="0046578C" w:rsidRPr="00DF62EA" w:rsidRDefault="0046578C" w:rsidP="0046578C"/>
    <w:p w14:paraId="6C3A42CA" w14:textId="77777777" w:rsidR="0046578C" w:rsidRPr="00DF62EA" w:rsidRDefault="0046578C" w:rsidP="0046578C"/>
    <w:p w14:paraId="12213A0B" w14:textId="77777777" w:rsidR="007C60D4" w:rsidRPr="00DF62EA" w:rsidRDefault="007C60D4">
      <w:pPr>
        <w:sectPr w:rsidR="007C60D4" w:rsidRPr="00DF62EA" w:rsidSect="00305694">
          <w:footerReference w:type="default" r:id="rId19"/>
          <w:pgSz w:w="8641" w:h="12962"/>
          <w:pgMar w:top="1134" w:right="964" w:bottom="964" w:left="964" w:header="709" w:footer="709" w:gutter="0"/>
          <w:pgNumType w:fmt="lowerRoman" w:start="14"/>
          <w:cols w:space="708"/>
          <w:docGrid w:linePitch="360"/>
        </w:sectPr>
      </w:pPr>
    </w:p>
    <w:p w14:paraId="1FBC78D0" w14:textId="77777777" w:rsidR="00B6306C" w:rsidRPr="00DF62EA" w:rsidRDefault="00B6306C"/>
    <w:p w14:paraId="77DB7B29" w14:textId="3D7EEA5A" w:rsidR="006A17AF" w:rsidRPr="001F2B71" w:rsidRDefault="00083C8A" w:rsidP="00083C8A">
      <w:pPr>
        <w:pStyle w:val="Ttulo1"/>
      </w:pPr>
      <w:r w:rsidRPr="001F2B71">
        <w:t>Bibliograf</w:t>
      </w:r>
      <w:r w:rsidR="00F459DC">
        <w:t>ía</w:t>
      </w:r>
    </w:p>
    <w:p w14:paraId="3A10D55F" w14:textId="77777777" w:rsidR="00433F9F" w:rsidRDefault="00433F9F" w:rsidP="00433F9F"/>
    <w:p w14:paraId="17040195" w14:textId="0FD68FC6" w:rsidR="00B4614B" w:rsidRPr="00B30365" w:rsidRDefault="00B4614B" w:rsidP="00DC6E65">
      <w:pPr>
        <w:pStyle w:val="Ttulo2"/>
      </w:pPr>
      <w:r w:rsidRPr="00B30365">
        <w:t>Ediciones impresas de</w:t>
      </w:r>
      <w:r w:rsidR="00422DC8" w:rsidRPr="00B30365">
        <w:t>l</w:t>
      </w:r>
      <w:r w:rsidRPr="00B30365">
        <w:t xml:space="preserve"> </w:t>
      </w:r>
      <w:r w:rsidRPr="00B30365">
        <w:rPr>
          <w:i/>
          <w:iCs/>
        </w:rPr>
        <w:t>Visuddhimagga</w:t>
      </w:r>
    </w:p>
    <w:p w14:paraId="67F591A4" w14:textId="627407F0" w:rsidR="00433F9F" w:rsidRPr="00B30365" w:rsidRDefault="00D95F20" w:rsidP="00704E0B">
      <w:pPr>
        <w:pStyle w:val="NumeracinReload"/>
      </w:pPr>
      <w:r w:rsidRPr="00B30365">
        <w:rPr>
          <w:i/>
          <w:iCs/>
        </w:rPr>
        <w:t>Transcripción Cingalesa</w:t>
      </w:r>
      <w:r w:rsidR="00433F9F" w:rsidRPr="00B30365">
        <w:rPr>
          <w:i/>
          <w:iCs/>
        </w:rPr>
        <w:t>:</w:t>
      </w:r>
      <w:r w:rsidR="00433F9F" w:rsidRPr="00B30365">
        <w:t xml:space="preserve"> </w:t>
      </w:r>
      <w:proofErr w:type="spellStart"/>
      <w:r w:rsidR="00433F9F" w:rsidRPr="00B30365">
        <w:t>Hewavitarne</w:t>
      </w:r>
      <w:proofErr w:type="spellEnd"/>
      <w:r w:rsidR="00433F9F" w:rsidRPr="00B30365">
        <w:t xml:space="preserve"> </w:t>
      </w:r>
      <w:proofErr w:type="spellStart"/>
      <w:r w:rsidR="00433F9F" w:rsidRPr="00B30365">
        <w:t>Bequest</w:t>
      </w:r>
      <w:proofErr w:type="spellEnd"/>
      <w:r w:rsidR="00433F9F" w:rsidRPr="00B30365">
        <w:t xml:space="preserve"> </w:t>
      </w:r>
      <w:proofErr w:type="spellStart"/>
      <w:r w:rsidR="00433F9F" w:rsidRPr="00B30365">
        <w:t>edition</w:t>
      </w:r>
      <w:proofErr w:type="spellEnd"/>
      <w:r w:rsidR="00433F9F" w:rsidRPr="00B30365">
        <w:t>, Colombo.</w:t>
      </w:r>
    </w:p>
    <w:p w14:paraId="52E13B89" w14:textId="766819DA" w:rsidR="00433F9F" w:rsidRPr="00B30365" w:rsidRDefault="00D95F20" w:rsidP="00704E0B">
      <w:pPr>
        <w:pStyle w:val="NumeracinReload"/>
      </w:pPr>
      <w:r w:rsidRPr="00B30365">
        <w:rPr>
          <w:i/>
          <w:iCs/>
        </w:rPr>
        <w:t>Transcripción Birmana</w:t>
      </w:r>
      <w:r w:rsidR="00433F9F" w:rsidRPr="00B30365">
        <w:t xml:space="preserve">: </w:t>
      </w:r>
      <w:proofErr w:type="spellStart"/>
      <w:r w:rsidR="00433F9F" w:rsidRPr="00B30365">
        <w:t>Hanthawaddy</w:t>
      </w:r>
      <w:proofErr w:type="spellEnd"/>
      <w:r w:rsidR="00433F9F" w:rsidRPr="00B30365">
        <w:t xml:space="preserve"> </w:t>
      </w:r>
      <w:proofErr w:type="spellStart"/>
      <w:r w:rsidR="00433F9F" w:rsidRPr="00B30365">
        <w:t>Press</w:t>
      </w:r>
      <w:proofErr w:type="spellEnd"/>
      <w:r w:rsidR="00433F9F" w:rsidRPr="00B30365">
        <w:t xml:space="preserve"> </w:t>
      </w:r>
      <w:proofErr w:type="spellStart"/>
      <w:r w:rsidR="00433F9F" w:rsidRPr="00B30365">
        <w:t>edition</w:t>
      </w:r>
      <w:proofErr w:type="spellEnd"/>
      <w:r w:rsidR="00433F9F" w:rsidRPr="00B30365">
        <w:t>, Rang</w:t>
      </w:r>
      <w:r w:rsidR="00B30365">
        <w:t>ú</w:t>
      </w:r>
      <w:r w:rsidR="00433F9F" w:rsidRPr="00B30365">
        <w:t>n, 1900.</w:t>
      </w:r>
    </w:p>
    <w:p w14:paraId="25B5D362" w14:textId="6B583C20" w:rsidR="00433F9F" w:rsidRPr="00B30365" w:rsidRDefault="00D90CF7" w:rsidP="00704E0B">
      <w:pPr>
        <w:pStyle w:val="NumeracinReload"/>
      </w:pPr>
      <w:r w:rsidRPr="00B30365">
        <w:rPr>
          <w:i/>
          <w:iCs/>
        </w:rPr>
        <w:t>Transcripción Siamés</w:t>
      </w:r>
      <w:r w:rsidR="00433F9F" w:rsidRPr="00B30365">
        <w:t xml:space="preserve">: Royal Siamese </w:t>
      </w:r>
      <w:proofErr w:type="spellStart"/>
      <w:r w:rsidR="00433F9F" w:rsidRPr="00B30365">
        <w:t>edition</w:t>
      </w:r>
      <w:proofErr w:type="spellEnd"/>
      <w:r w:rsidR="00433F9F" w:rsidRPr="00B30365">
        <w:t>, Bangkok.</w:t>
      </w:r>
    </w:p>
    <w:p w14:paraId="4B7B1D8F" w14:textId="08C2FB4A" w:rsidR="00433F9F" w:rsidRPr="00B30365" w:rsidRDefault="00D90CF7" w:rsidP="00704E0B">
      <w:pPr>
        <w:ind w:left="284" w:hanging="284"/>
      </w:pPr>
      <w:r w:rsidRPr="00B30365">
        <w:rPr>
          <w:i/>
          <w:iCs/>
        </w:rPr>
        <w:t>Transcripción Latina</w:t>
      </w:r>
      <w:r w:rsidR="00433F9F" w:rsidRPr="00B30365">
        <w:rPr>
          <w:i/>
          <w:iCs/>
        </w:rPr>
        <w:t xml:space="preserve">: </w:t>
      </w:r>
      <w:r w:rsidR="00AD6B1D" w:rsidRPr="00B30365">
        <w:rPr>
          <w:i/>
        </w:rPr>
        <w:t>Pāḷi</w:t>
      </w:r>
      <w:r w:rsidR="00433F9F" w:rsidRPr="00B30365">
        <w:t xml:space="preserve"> </w:t>
      </w:r>
      <w:r w:rsidR="00433F9F" w:rsidRPr="000D61BC">
        <w:rPr>
          <w:i/>
          <w:iCs/>
        </w:rPr>
        <w:t>Text</w:t>
      </w:r>
      <w:r w:rsidR="00433F9F" w:rsidRPr="00B30365">
        <w:t xml:space="preserve"> </w:t>
      </w:r>
      <w:proofErr w:type="spellStart"/>
      <w:r w:rsidR="00433F9F" w:rsidRPr="000D61BC">
        <w:rPr>
          <w:i/>
          <w:iCs/>
        </w:rPr>
        <w:t>Society’s</w:t>
      </w:r>
      <w:proofErr w:type="spellEnd"/>
      <w:r w:rsidR="00433F9F" w:rsidRPr="00B30365">
        <w:t xml:space="preserve"> </w:t>
      </w:r>
      <w:proofErr w:type="spellStart"/>
      <w:r w:rsidR="00433F9F" w:rsidRPr="00B30365">
        <w:t>edition</w:t>
      </w:r>
      <w:proofErr w:type="spellEnd"/>
      <w:r w:rsidR="00433F9F" w:rsidRPr="00B30365">
        <w:t xml:space="preserve">, London. Harvard </w:t>
      </w:r>
      <w:proofErr w:type="spellStart"/>
      <w:r w:rsidR="00433F9F" w:rsidRPr="00B30365">
        <w:t>University</w:t>
      </w:r>
      <w:proofErr w:type="spellEnd"/>
      <w:r w:rsidR="00433F9F" w:rsidRPr="00B30365">
        <w:t xml:space="preserve"> </w:t>
      </w:r>
      <w:proofErr w:type="spellStart"/>
      <w:r w:rsidR="00433F9F" w:rsidRPr="00B30365">
        <w:t>Press</w:t>
      </w:r>
      <w:proofErr w:type="spellEnd"/>
      <w:r w:rsidR="00433F9F" w:rsidRPr="00B30365">
        <w:t xml:space="preserve"> </w:t>
      </w:r>
      <w:proofErr w:type="spellStart"/>
      <w:r w:rsidR="00433F9F" w:rsidRPr="00B30365">
        <w:t>edition</w:t>
      </w:r>
      <w:proofErr w:type="spellEnd"/>
      <w:r w:rsidR="00433F9F" w:rsidRPr="00B30365">
        <w:t xml:space="preserve">, </w:t>
      </w:r>
      <w:r w:rsidR="00704E0B" w:rsidRPr="00B30365">
        <w:t xml:space="preserve"> </w:t>
      </w:r>
      <w:r w:rsidR="00704E0B" w:rsidRPr="00B30365">
        <w:br/>
      </w:r>
      <w:r w:rsidR="00433F9F" w:rsidRPr="00B30365">
        <w:t xml:space="preserve">Harvard Oriental Series, Vol. 41, Cambridge, </w:t>
      </w:r>
      <w:proofErr w:type="spellStart"/>
      <w:r w:rsidR="00433F9F" w:rsidRPr="00B30365">
        <w:t>Mass</w:t>
      </w:r>
      <w:proofErr w:type="spellEnd"/>
      <w:r w:rsidR="00433F9F" w:rsidRPr="00B30365">
        <w:t>., 1950.</w:t>
      </w:r>
    </w:p>
    <w:p w14:paraId="776278EB" w14:textId="77777777" w:rsidR="00E05C66" w:rsidRPr="00B30365" w:rsidRDefault="00E05C66" w:rsidP="00704E0B">
      <w:pPr>
        <w:ind w:left="284" w:hanging="284"/>
      </w:pPr>
    </w:p>
    <w:p w14:paraId="4D29D150" w14:textId="34CBD69F" w:rsidR="009E4E10" w:rsidRPr="00A907F3" w:rsidRDefault="00B4614B" w:rsidP="006E09AC">
      <w:pPr>
        <w:pStyle w:val="Ttulo2"/>
        <w:rPr>
          <w:i/>
          <w:lang w:val="en-US"/>
        </w:rPr>
      </w:pPr>
      <w:proofErr w:type="spellStart"/>
      <w:r w:rsidRPr="00A907F3">
        <w:rPr>
          <w:lang w:val="en-US"/>
        </w:rPr>
        <w:t>Traducciones</w:t>
      </w:r>
      <w:proofErr w:type="spellEnd"/>
      <w:r w:rsidRPr="00A907F3">
        <w:rPr>
          <w:lang w:val="en-US"/>
        </w:rPr>
        <w:t xml:space="preserve"> del </w:t>
      </w:r>
      <w:r w:rsidR="006E09AC" w:rsidRPr="00A907F3">
        <w:rPr>
          <w:i/>
          <w:lang w:val="en-US"/>
        </w:rPr>
        <w:t>Visuddhimagga</w:t>
      </w:r>
    </w:p>
    <w:p w14:paraId="584FC626" w14:textId="093FA9B1" w:rsidR="005D7B09" w:rsidRPr="00B30365" w:rsidRDefault="00D90CF7" w:rsidP="002A69AE">
      <w:pPr>
        <w:pStyle w:val="NumeracinReload"/>
        <w:ind w:left="426" w:right="334" w:hanging="426"/>
      </w:pPr>
      <w:proofErr w:type="spellStart"/>
      <w:r w:rsidRPr="00A907F3">
        <w:rPr>
          <w:i/>
          <w:iCs/>
          <w:lang w:val="en-US"/>
        </w:rPr>
        <w:t>Inglés</w:t>
      </w:r>
      <w:proofErr w:type="spellEnd"/>
      <w:r w:rsidR="005D7B09" w:rsidRPr="00A907F3">
        <w:rPr>
          <w:lang w:val="en-US"/>
        </w:rPr>
        <w:t xml:space="preserve">: </w:t>
      </w:r>
      <w:r w:rsidR="005D7B09" w:rsidRPr="00A907F3">
        <w:rPr>
          <w:i/>
          <w:iCs/>
          <w:lang w:val="en-US"/>
        </w:rPr>
        <w:t>The Path of Purity</w:t>
      </w:r>
      <w:r w:rsidR="005D7B09" w:rsidRPr="00A907F3">
        <w:rPr>
          <w:lang w:val="en-US"/>
        </w:rPr>
        <w:t xml:space="preserve"> </w:t>
      </w:r>
      <w:proofErr w:type="spellStart"/>
      <w:r w:rsidR="00651716" w:rsidRPr="00A907F3">
        <w:rPr>
          <w:lang w:val="en-US"/>
        </w:rPr>
        <w:t>por</w:t>
      </w:r>
      <w:proofErr w:type="spellEnd"/>
      <w:r w:rsidR="005D7B09" w:rsidRPr="00A907F3">
        <w:rPr>
          <w:lang w:val="en-US"/>
        </w:rPr>
        <w:t xml:space="preserve"> Pe Maung Tin, PTS, London. </w:t>
      </w:r>
      <w:r w:rsidR="005D7B09" w:rsidRPr="00B30365">
        <w:t xml:space="preserve">3 </w:t>
      </w:r>
      <w:proofErr w:type="gramStart"/>
      <w:r w:rsidR="002F5A16" w:rsidRPr="00B30365">
        <w:t>Vols</w:t>
      </w:r>
      <w:r w:rsidR="005D7B09" w:rsidRPr="00B30365">
        <w:t>.</w:t>
      </w:r>
      <w:proofErr w:type="gramEnd"/>
      <w:r w:rsidR="005D7B09" w:rsidRPr="00B30365">
        <w:t>, 1922–31.</w:t>
      </w:r>
    </w:p>
    <w:p w14:paraId="077182B7" w14:textId="3DCA32B6" w:rsidR="005D7B09" w:rsidRPr="00B30365" w:rsidRDefault="00D90CF7" w:rsidP="002A69AE">
      <w:pPr>
        <w:pStyle w:val="NumeracinReload"/>
        <w:ind w:left="426" w:right="334" w:hanging="426"/>
      </w:pPr>
      <w:r w:rsidRPr="00B30365">
        <w:rPr>
          <w:i/>
          <w:iCs/>
        </w:rPr>
        <w:t>Alemán</w:t>
      </w:r>
      <w:r w:rsidR="005D7B09" w:rsidRPr="00B30365">
        <w:t xml:space="preserve">: </w:t>
      </w:r>
      <w:r w:rsidR="005D7B09" w:rsidRPr="00B30365">
        <w:rPr>
          <w:i/>
          <w:iCs/>
        </w:rPr>
        <w:t>Visuddhimagga</w:t>
      </w:r>
      <w:r w:rsidR="005D7B09" w:rsidRPr="00B30365">
        <w:t xml:space="preserve"> (</w:t>
      </w:r>
      <w:proofErr w:type="spellStart"/>
      <w:r w:rsidR="005D7B09" w:rsidRPr="00B30365">
        <w:rPr>
          <w:i/>
          <w:iCs/>
        </w:rPr>
        <w:t>der</w:t>
      </w:r>
      <w:proofErr w:type="spellEnd"/>
      <w:r w:rsidR="005D7B09" w:rsidRPr="00B30365">
        <w:rPr>
          <w:i/>
          <w:iCs/>
        </w:rPr>
        <w:t xml:space="preserve"> </w:t>
      </w:r>
      <w:proofErr w:type="spellStart"/>
      <w:r w:rsidR="005D7B09" w:rsidRPr="00B30365">
        <w:rPr>
          <w:i/>
          <w:iCs/>
        </w:rPr>
        <w:t>Weg</w:t>
      </w:r>
      <w:proofErr w:type="spellEnd"/>
      <w:r w:rsidR="002422B0" w:rsidRPr="00B30365">
        <w:rPr>
          <w:i/>
          <w:iCs/>
        </w:rPr>
        <w:t xml:space="preserve"> </w:t>
      </w:r>
      <w:proofErr w:type="spellStart"/>
      <w:r w:rsidR="005D7B09" w:rsidRPr="00B30365">
        <w:rPr>
          <w:i/>
          <w:iCs/>
        </w:rPr>
        <w:t>zur</w:t>
      </w:r>
      <w:proofErr w:type="spellEnd"/>
      <w:r w:rsidR="005D7B09" w:rsidRPr="00B30365">
        <w:rPr>
          <w:i/>
          <w:iCs/>
        </w:rPr>
        <w:t xml:space="preserve"> </w:t>
      </w:r>
      <w:proofErr w:type="spellStart"/>
      <w:r w:rsidR="005D7B09" w:rsidRPr="00B30365">
        <w:rPr>
          <w:i/>
          <w:iCs/>
        </w:rPr>
        <w:t>Reinheit</w:t>
      </w:r>
      <w:proofErr w:type="spellEnd"/>
      <w:r w:rsidR="005D7B09" w:rsidRPr="00B30365">
        <w:t xml:space="preserve">) </w:t>
      </w:r>
      <w:r w:rsidR="005F3D8F" w:rsidRPr="00B30365">
        <w:t>por</w:t>
      </w:r>
      <w:r w:rsidR="005D7B09" w:rsidRPr="00B30365">
        <w:t xml:space="preserve"> </w:t>
      </w:r>
      <w:proofErr w:type="spellStart"/>
      <w:r w:rsidR="005D7B09" w:rsidRPr="00B30365">
        <w:t>Nyanatiloka</w:t>
      </w:r>
      <w:proofErr w:type="spellEnd"/>
      <w:r w:rsidR="005D7B09" w:rsidRPr="00B30365">
        <w:t xml:space="preserve">, </w:t>
      </w:r>
      <w:proofErr w:type="spellStart"/>
      <w:r w:rsidR="005D7B09" w:rsidRPr="00B30365">
        <w:t>Verlag</w:t>
      </w:r>
      <w:proofErr w:type="spellEnd"/>
      <w:r w:rsidR="005D7B09" w:rsidRPr="00B30365">
        <w:t xml:space="preserve"> </w:t>
      </w:r>
      <w:proofErr w:type="spellStart"/>
      <w:r w:rsidR="005D7B09" w:rsidRPr="00B30365">
        <w:t>Christiani</w:t>
      </w:r>
      <w:proofErr w:type="spellEnd"/>
      <w:r w:rsidR="005D7B09" w:rsidRPr="00B30365">
        <w:t xml:space="preserve">, </w:t>
      </w:r>
      <w:proofErr w:type="spellStart"/>
      <w:r w:rsidR="005D7B09" w:rsidRPr="00B30365">
        <w:t>Konstanz</w:t>
      </w:r>
      <w:proofErr w:type="spellEnd"/>
      <w:r w:rsidR="005D7B09" w:rsidRPr="00B30365">
        <w:t xml:space="preserve">, 1952. </w:t>
      </w:r>
      <w:r w:rsidR="00651716" w:rsidRPr="00B30365">
        <w:t>Reimpreso por</w:t>
      </w:r>
      <w:r w:rsidR="005D7B09" w:rsidRPr="00B30365">
        <w:t xml:space="preserve"> </w:t>
      </w:r>
      <w:proofErr w:type="spellStart"/>
      <w:r w:rsidR="005D7B09" w:rsidRPr="00B30365">
        <w:t>Jhana-Verlag</w:t>
      </w:r>
      <w:proofErr w:type="spellEnd"/>
      <w:r w:rsidR="005D7B09" w:rsidRPr="00B30365">
        <w:t xml:space="preserve">, </w:t>
      </w:r>
      <w:proofErr w:type="spellStart"/>
      <w:r w:rsidR="005D7B09" w:rsidRPr="00B30365">
        <w:t>Uttenb</w:t>
      </w:r>
      <w:r w:rsidR="002422B0" w:rsidRPr="00B30365">
        <w:t>ū</w:t>
      </w:r>
      <w:r w:rsidR="005D7B09" w:rsidRPr="00B30365">
        <w:t>hl</w:t>
      </w:r>
      <w:proofErr w:type="spellEnd"/>
      <w:r w:rsidR="005D7B09" w:rsidRPr="00B30365">
        <w:t>, 1997.</w:t>
      </w:r>
    </w:p>
    <w:p w14:paraId="28B050F7" w14:textId="0FE448B6" w:rsidR="005D7B09" w:rsidRPr="00B30365" w:rsidRDefault="00D90CF7" w:rsidP="002A69AE">
      <w:pPr>
        <w:pStyle w:val="NumeracinReload"/>
        <w:ind w:left="426" w:right="334" w:hanging="426"/>
      </w:pPr>
      <w:r w:rsidRPr="00B30365">
        <w:rPr>
          <w:i/>
          <w:iCs/>
        </w:rPr>
        <w:t>Cingalesa</w:t>
      </w:r>
      <w:r w:rsidR="005D7B09" w:rsidRPr="00B30365">
        <w:t xml:space="preserve">: </w:t>
      </w:r>
      <w:proofErr w:type="spellStart"/>
      <w:r w:rsidR="005D7B09" w:rsidRPr="00B30365">
        <w:rPr>
          <w:i/>
          <w:iCs/>
        </w:rPr>
        <w:t>Visuddhim</w:t>
      </w:r>
      <w:r w:rsidR="006D33E1" w:rsidRPr="00B30365">
        <w:rPr>
          <w:i/>
          <w:iCs/>
        </w:rPr>
        <w:t>ā</w:t>
      </w:r>
      <w:r w:rsidR="005D7B09" w:rsidRPr="00B30365">
        <w:rPr>
          <w:i/>
          <w:iCs/>
        </w:rPr>
        <w:t>rga-mah</w:t>
      </w:r>
      <w:r w:rsidR="002422B0" w:rsidRPr="00B30365">
        <w:rPr>
          <w:i/>
          <w:iCs/>
        </w:rPr>
        <w:t>ā</w:t>
      </w:r>
      <w:r w:rsidR="005D7B09" w:rsidRPr="00B30365">
        <w:rPr>
          <w:i/>
          <w:iCs/>
        </w:rPr>
        <w:t>sann</w:t>
      </w:r>
      <w:r w:rsidR="006D33E1" w:rsidRPr="00B30365">
        <w:rPr>
          <w:i/>
          <w:iCs/>
        </w:rPr>
        <w:t>ē</w:t>
      </w:r>
      <w:proofErr w:type="spellEnd"/>
      <w:r w:rsidR="005D7B09" w:rsidRPr="00B30365">
        <w:t xml:space="preserve">, ed. </w:t>
      </w:r>
      <w:proofErr w:type="spellStart"/>
      <w:r w:rsidR="005D7B09" w:rsidRPr="00B30365">
        <w:t>Ratanapala</w:t>
      </w:r>
      <w:proofErr w:type="spellEnd"/>
      <w:r w:rsidR="005D7B09" w:rsidRPr="00B30365">
        <w:t xml:space="preserve"> </w:t>
      </w:r>
      <w:proofErr w:type="spellStart"/>
      <w:r w:rsidR="005D7B09" w:rsidRPr="00B30365">
        <w:t>Medha</w:t>
      </w:r>
      <w:r w:rsidR="005623D2" w:rsidRPr="00B30365">
        <w:t>ṅ</w:t>
      </w:r>
      <w:r w:rsidR="005D7B09" w:rsidRPr="00B30365">
        <w:t>kara</w:t>
      </w:r>
      <w:proofErr w:type="spellEnd"/>
      <w:r w:rsidR="005D7B09" w:rsidRPr="00B30365">
        <w:t xml:space="preserve"> et al, 2 </w:t>
      </w:r>
      <w:r w:rsidR="002F5A16" w:rsidRPr="00B30365">
        <w:t>Vols</w:t>
      </w:r>
      <w:r w:rsidR="005D7B09" w:rsidRPr="00B30365">
        <w:t xml:space="preserve">., </w:t>
      </w:r>
      <w:proofErr w:type="spellStart"/>
      <w:r w:rsidR="005D7B09" w:rsidRPr="00B30365">
        <w:t>Kalutara</w:t>
      </w:r>
      <w:proofErr w:type="spellEnd"/>
      <w:r w:rsidR="005D7B09" w:rsidRPr="00B30365">
        <w:t>, 1949. (</w:t>
      </w:r>
      <w:proofErr w:type="spellStart"/>
      <w:r w:rsidR="005D7B09" w:rsidRPr="00B30365">
        <w:t>Also</w:t>
      </w:r>
      <w:proofErr w:type="spellEnd"/>
      <w:r w:rsidR="005D7B09" w:rsidRPr="00B30365">
        <w:t xml:space="preserve"> </w:t>
      </w:r>
      <w:proofErr w:type="spellStart"/>
      <w:r w:rsidR="005D7B09" w:rsidRPr="00B30365">
        <w:t>called</w:t>
      </w:r>
      <w:proofErr w:type="spellEnd"/>
      <w:r w:rsidR="005D7B09" w:rsidRPr="00B30365">
        <w:t xml:space="preserve"> </w:t>
      </w:r>
      <w:proofErr w:type="spellStart"/>
      <w:r w:rsidR="005D7B09" w:rsidRPr="00B30365">
        <w:rPr>
          <w:i/>
          <w:iCs/>
        </w:rPr>
        <w:t>Par</w:t>
      </w:r>
      <w:r w:rsidR="005623D2" w:rsidRPr="00B30365">
        <w:rPr>
          <w:i/>
          <w:iCs/>
        </w:rPr>
        <w:t>ā</w:t>
      </w:r>
      <w:r w:rsidR="005D7B09" w:rsidRPr="00B30365">
        <w:rPr>
          <w:i/>
          <w:iCs/>
        </w:rPr>
        <w:t>kramab</w:t>
      </w:r>
      <w:r w:rsidR="005623D2" w:rsidRPr="00B30365">
        <w:rPr>
          <w:i/>
          <w:iCs/>
        </w:rPr>
        <w:t>ā</w:t>
      </w:r>
      <w:r w:rsidR="005D7B09" w:rsidRPr="00B30365">
        <w:rPr>
          <w:i/>
          <w:iCs/>
        </w:rPr>
        <w:t>hu-sannaya</w:t>
      </w:r>
      <w:proofErr w:type="spellEnd"/>
      <w:r w:rsidR="005D7B09" w:rsidRPr="00B30365">
        <w:t xml:space="preserve">. </w:t>
      </w:r>
      <w:r w:rsidR="002F5A16" w:rsidRPr="00B30365">
        <w:t xml:space="preserve">Paráfrasis </w:t>
      </w:r>
      <w:r w:rsidR="00AD6B1D" w:rsidRPr="00B30365">
        <w:rPr>
          <w:i/>
        </w:rPr>
        <w:t>Pāḷi</w:t>
      </w:r>
      <w:r w:rsidR="003307A5" w:rsidRPr="00B30365">
        <w:t>-cingalés compuesta por el Rey</w:t>
      </w:r>
      <w:r w:rsidR="005D7B09" w:rsidRPr="00B30365">
        <w:t xml:space="preserve"> </w:t>
      </w:r>
      <w:proofErr w:type="spellStart"/>
      <w:r w:rsidR="005D7B09" w:rsidRPr="00B30365">
        <w:t>Pa</w:t>
      </w:r>
      <w:r w:rsidR="005623D2" w:rsidRPr="00B30365">
        <w:t>ṇḍ</w:t>
      </w:r>
      <w:r w:rsidR="005D7B09" w:rsidRPr="00B30365">
        <w:t>ita</w:t>
      </w:r>
      <w:proofErr w:type="spellEnd"/>
      <w:r w:rsidR="005D7B09" w:rsidRPr="00B30365">
        <w:t xml:space="preserve"> </w:t>
      </w:r>
      <w:proofErr w:type="spellStart"/>
      <w:r w:rsidR="005D7B09" w:rsidRPr="00B30365">
        <w:t>Par</w:t>
      </w:r>
      <w:r w:rsidR="005623D2" w:rsidRPr="00B30365">
        <w:t>ā</w:t>
      </w:r>
      <w:r w:rsidR="005D7B09" w:rsidRPr="00B30365">
        <w:t>kramab</w:t>
      </w:r>
      <w:r w:rsidR="005623D2" w:rsidRPr="00B30365">
        <w:t>ā</w:t>
      </w:r>
      <w:r w:rsidR="005D7B09" w:rsidRPr="00B30365">
        <w:t>hu</w:t>
      </w:r>
      <w:proofErr w:type="spellEnd"/>
      <w:r w:rsidR="005D7B09" w:rsidRPr="00B30365">
        <w:t xml:space="preserve"> II </w:t>
      </w:r>
      <w:r w:rsidR="003307A5" w:rsidRPr="00B30365">
        <w:t>en el siglo</w:t>
      </w:r>
      <w:r w:rsidR="005D7B09" w:rsidRPr="00B30365">
        <w:t xml:space="preserve"> 13th. E</w:t>
      </w:r>
      <w:r w:rsidR="0004566C" w:rsidRPr="00B30365">
        <w:t>C</w:t>
      </w:r>
      <w:r w:rsidR="005D7B09" w:rsidRPr="00B30365">
        <w:t xml:space="preserve">.) </w:t>
      </w:r>
      <w:proofErr w:type="spellStart"/>
      <w:r w:rsidR="005D7B09" w:rsidRPr="00B30365">
        <w:rPr>
          <w:i/>
          <w:iCs/>
        </w:rPr>
        <w:t>Visuddhim</w:t>
      </w:r>
      <w:r w:rsidR="005623D2" w:rsidRPr="00B30365">
        <w:t>ā</w:t>
      </w:r>
      <w:r w:rsidR="005D7B09" w:rsidRPr="00B30365">
        <w:rPr>
          <w:i/>
          <w:iCs/>
        </w:rPr>
        <w:t>rgaya</w:t>
      </w:r>
      <w:proofErr w:type="spellEnd"/>
      <w:r w:rsidR="005D7B09" w:rsidRPr="00B30365">
        <w:t xml:space="preserve">, </w:t>
      </w:r>
      <w:r w:rsidR="0004566C" w:rsidRPr="00B30365">
        <w:t xml:space="preserve">Traducción Cingalesa por </w:t>
      </w:r>
      <w:proofErr w:type="spellStart"/>
      <w:r w:rsidR="005D7B09" w:rsidRPr="00B30365">
        <w:t>Pa</w:t>
      </w:r>
      <w:r w:rsidR="00044F1A" w:rsidRPr="00B30365">
        <w:t>ṇḍ</w:t>
      </w:r>
      <w:r w:rsidR="005D7B09" w:rsidRPr="00B30365">
        <w:t>ita</w:t>
      </w:r>
      <w:proofErr w:type="spellEnd"/>
      <w:r w:rsidR="005D7B09" w:rsidRPr="00B30365">
        <w:t xml:space="preserve"> </w:t>
      </w:r>
      <w:proofErr w:type="spellStart"/>
      <w:r w:rsidR="005D7B09" w:rsidRPr="00B30365">
        <w:t>M</w:t>
      </w:r>
      <w:r w:rsidR="0004566C" w:rsidRPr="00B30365">
        <w:t>ā</w:t>
      </w:r>
      <w:r w:rsidR="005D7B09" w:rsidRPr="00B30365">
        <w:t>tara</w:t>
      </w:r>
      <w:proofErr w:type="spellEnd"/>
      <w:r w:rsidR="005D7B09" w:rsidRPr="00B30365">
        <w:t xml:space="preserve"> Sri </w:t>
      </w:r>
      <w:proofErr w:type="spellStart"/>
      <w:r w:rsidR="005D7B09" w:rsidRPr="00B30365">
        <w:t>Dharmava</w:t>
      </w:r>
      <w:r w:rsidR="0004566C" w:rsidRPr="00B30365">
        <w:t>ṃ</w:t>
      </w:r>
      <w:r w:rsidR="005D7B09" w:rsidRPr="00B30365">
        <w:t>sa</w:t>
      </w:r>
      <w:proofErr w:type="spellEnd"/>
      <w:r w:rsidR="005D7B09" w:rsidRPr="00B30365">
        <w:t xml:space="preserve"> </w:t>
      </w:r>
      <w:proofErr w:type="spellStart"/>
      <w:r w:rsidR="005D7B09" w:rsidRPr="00B30365">
        <w:t>Sthavira</w:t>
      </w:r>
      <w:proofErr w:type="spellEnd"/>
      <w:r w:rsidR="005D7B09" w:rsidRPr="00B30365">
        <w:t xml:space="preserve">, </w:t>
      </w:r>
      <w:proofErr w:type="spellStart"/>
      <w:r w:rsidR="005D7B09" w:rsidRPr="00B30365">
        <w:t>M</w:t>
      </w:r>
      <w:r w:rsidR="00044F1A" w:rsidRPr="00B30365">
        <w:t>ā</w:t>
      </w:r>
      <w:r w:rsidR="005D7B09" w:rsidRPr="00B30365">
        <w:t>tara</w:t>
      </w:r>
      <w:proofErr w:type="spellEnd"/>
      <w:r w:rsidR="005D7B09" w:rsidRPr="00B30365">
        <w:t>, 1953. Etc.</w:t>
      </w:r>
    </w:p>
    <w:p w14:paraId="0F1EED33" w14:textId="0D8D3083" w:rsidR="005D7B09" w:rsidRPr="00B30365" w:rsidRDefault="00D90CF7" w:rsidP="002A69AE">
      <w:pPr>
        <w:pStyle w:val="NumeracinReload"/>
        <w:ind w:left="426" w:right="334" w:hanging="426"/>
      </w:pPr>
      <w:r w:rsidRPr="00B30365">
        <w:rPr>
          <w:i/>
          <w:iCs/>
        </w:rPr>
        <w:t>Francesa</w:t>
      </w:r>
      <w:r w:rsidR="005D7B09" w:rsidRPr="00B30365">
        <w:t xml:space="preserve">: </w:t>
      </w:r>
      <w:r w:rsidR="005D7B09" w:rsidRPr="00B30365">
        <w:rPr>
          <w:i/>
          <w:iCs/>
        </w:rPr>
        <w:t xml:space="preserve">Le </w:t>
      </w:r>
      <w:proofErr w:type="spellStart"/>
      <w:r w:rsidR="005D7B09" w:rsidRPr="00B30365">
        <w:rPr>
          <w:i/>
          <w:iCs/>
        </w:rPr>
        <w:t>Chemin</w:t>
      </w:r>
      <w:proofErr w:type="spellEnd"/>
      <w:r w:rsidR="005D7B09" w:rsidRPr="00B30365">
        <w:rPr>
          <w:i/>
          <w:iCs/>
        </w:rPr>
        <w:t xml:space="preserve"> de la </w:t>
      </w:r>
      <w:proofErr w:type="spellStart"/>
      <w:r w:rsidR="002F5A16" w:rsidRPr="00B30365">
        <w:rPr>
          <w:i/>
          <w:iCs/>
        </w:rPr>
        <w:t>Pureté</w:t>
      </w:r>
      <w:proofErr w:type="spellEnd"/>
      <w:r w:rsidR="005D7B09" w:rsidRPr="00B30365">
        <w:t xml:space="preserve">, </w:t>
      </w:r>
      <w:r w:rsidR="0004566C" w:rsidRPr="00B30365">
        <w:t>trad</w:t>
      </w:r>
      <w:r w:rsidR="005D7B09" w:rsidRPr="00B30365">
        <w:t xml:space="preserve">. </w:t>
      </w:r>
      <w:r w:rsidR="002F5A16">
        <w:t>p</w:t>
      </w:r>
      <w:r w:rsidR="0004566C" w:rsidRPr="00B30365">
        <w:t xml:space="preserve">or </w:t>
      </w:r>
      <w:r w:rsidR="005D7B09" w:rsidRPr="00B30365">
        <w:t xml:space="preserve">Christian </w:t>
      </w:r>
      <w:proofErr w:type="spellStart"/>
      <w:r w:rsidR="005D7B09" w:rsidRPr="00B30365">
        <w:t>Maës</w:t>
      </w:r>
      <w:proofErr w:type="spellEnd"/>
      <w:r w:rsidR="005D7B09" w:rsidRPr="00B30365">
        <w:t xml:space="preserve">, </w:t>
      </w:r>
      <w:proofErr w:type="spellStart"/>
      <w:r w:rsidR="005D7B09" w:rsidRPr="00B30365">
        <w:t>Editions</w:t>
      </w:r>
      <w:proofErr w:type="spellEnd"/>
      <w:r w:rsidR="005D7B09" w:rsidRPr="00B30365">
        <w:t xml:space="preserve"> </w:t>
      </w:r>
      <w:proofErr w:type="spellStart"/>
      <w:r w:rsidR="005D7B09" w:rsidRPr="00B30365">
        <w:t>Fayard</w:t>
      </w:r>
      <w:proofErr w:type="spellEnd"/>
      <w:r w:rsidR="005D7B09" w:rsidRPr="00B30365">
        <w:t>, Paris 2002.</w:t>
      </w:r>
    </w:p>
    <w:p w14:paraId="307E6C5C" w14:textId="156287D0" w:rsidR="005D7B09" w:rsidRPr="00B30365" w:rsidRDefault="005D7B09" w:rsidP="002A69AE">
      <w:pPr>
        <w:pStyle w:val="NumeracinReload"/>
        <w:ind w:left="426" w:right="334" w:hanging="426"/>
      </w:pPr>
      <w:r w:rsidRPr="00B30365">
        <w:rPr>
          <w:i/>
          <w:iCs/>
        </w:rPr>
        <w:t>Italian</w:t>
      </w:r>
      <w:r w:rsidR="00D90CF7" w:rsidRPr="00B30365">
        <w:rPr>
          <w:i/>
          <w:iCs/>
        </w:rPr>
        <w:t>a</w:t>
      </w:r>
      <w:r w:rsidRPr="00B30365">
        <w:t xml:space="preserve">: </w:t>
      </w:r>
      <w:r w:rsidRPr="00B30365">
        <w:rPr>
          <w:i/>
          <w:iCs/>
        </w:rPr>
        <w:t>Visuddhimagga</w:t>
      </w:r>
      <w:r w:rsidRPr="00B30365">
        <w:t xml:space="preserve">: </w:t>
      </w:r>
      <w:r w:rsidR="00205900" w:rsidRPr="00B30365">
        <w:rPr>
          <w:i/>
          <w:iCs/>
        </w:rPr>
        <w:t>II</w:t>
      </w:r>
      <w:r w:rsidRPr="00B30365">
        <w:rPr>
          <w:i/>
          <w:iCs/>
        </w:rPr>
        <w:t xml:space="preserve"> </w:t>
      </w:r>
      <w:proofErr w:type="spellStart"/>
      <w:r w:rsidR="00FF030D" w:rsidRPr="00B30365">
        <w:rPr>
          <w:i/>
          <w:iCs/>
        </w:rPr>
        <w:t>Sentiero</w:t>
      </w:r>
      <w:proofErr w:type="spellEnd"/>
      <w:r w:rsidR="00FF030D" w:rsidRPr="00B30365">
        <w:rPr>
          <w:i/>
          <w:iCs/>
        </w:rPr>
        <w:t xml:space="preserve"> </w:t>
      </w:r>
      <w:proofErr w:type="spellStart"/>
      <w:r w:rsidRPr="00B30365">
        <w:rPr>
          <w:i/>
          <w:iCs/>
        </w:rPr>
        <w:t>della</w:t>
      </w:r>
      <w:proofErr w:type="spellEnd"/>
      <w:r w:rsidRPr="00B30365">
        <w:rPr>
          <w:i/>
          <w:iCs/>
        </w:rPr>
        <w:t xml:space="preserve"> </w:t>
      </w:r>
      <w:proofErr w:type="spellStart"/>
      <w:r w:rsidR="00FF030D" w:rsidRPr="00B30365">
        <w:rPr>
          <w:i/>
          <w:iCs/>
        </w:rPr>
        <w:t>Purificazione</w:t>
      </w:r>
      <w:proofErr w:type="spellEnd"/>
      <w:r w:rsidRPr="00B30365">
        <w:rPr>
          <w:i/>
          <w:iCs/>
        </w:rPr>
        <w:t>,</w:t>
      </w:r>
      <w:r w:rsidRPr="00B30365">
        <w:t xml:space="preserve"> </w:t>
      </w:r>
      <w:r w:rsidR="0004566C" w:rsidRPr="00B30365">
        <w:t>trad</w:t>
      </w:r>
      <w:r w:rsidRPr="00B30365">
        <w:t xml:space="preserve">. </w:t>
      </w:r>
      <w:r w:rsidR="00FF030D">
        <w:t>del</w:t>
      </w:r>
      <w:r w:rsidRPr="00B30365">
        <w:t xml:space="preserve"> </w:t>
      </w:r>
      <w:r w:rsidR="00057BF4" w:rsidRPr="00B30365">
        <w:rPr>
          <w:i/>
          <w:iCs/>
        </w:rPr>
        <w:t>samādhi</w:t>
      </w:r>
      <w:r w:rsidRPr="00B30365">
        <w:rPr>
          <w:i/>
          <w:iCs/>
        </w:rPr>
        <w:t>-</w:t>
      </w:r>
      <w:proofErr w:type="spellStart"/>
      <w:r w:rsidRPr="00B30365">
        <w:rPr>
          <w:i/>
          <w:iCs/>
        </w:rPr>
        <w:t>bheda</w:t>
      </w:r>
      <w:proofErr w:type="spellEnd"/>
      <w:r w:rsidRPr="00B30365">
        <w:t xml:space="preserve"> </w:t>
      </w:r>
      <w:r w:rsidR="0004566C" w:rsidRPr="00B30365">
        <w:t>por</w:t>
      </w:r>
      <w:r w:rsidRPr="00B30365">
        <w:t xml:space="preserve"> Antonella Serena Comba, Lulu.com, Raleigh, 2008.</w:t>
      </w:r>
    </w:p>
    <w:p w14:paraId="1BEF7E2F" w14:textId="77777777" w:rsidR="00E05C66" w:rsidRPr="00651716" w:rsidRDefault="00E05C66" w:rsidP="002A69AE">
      <w:pPr>
        <w:pStyle w:val="NumeracinReload"/>
        <w:ind w:left="426" w:right="334" w:hanging="426"/>
      </w:pPr>
    </w:p>
    <w:p w14:paraId="7D0FCD0D" w14:textId="69EA467A" w:rsidR="005D7B09" w:rsidRPr="005D7B09" w:rsidRDefault="00B4614B" w:rsidP="002A69AE">
      <w:pPr>
        <w:pStyle w:val="Ttulo2"/>
      </w:pPr>
      <w:r>
        <w:t>Otros Trabajos</w:t>
      </w:r>
    </w:p>
    <w:p w14:paraId="623A5E70" w14:textId="677CB1AA" w:rsidR="005D7B09" w:rsidRPr="00842719" w:rsidRDefault="00057BF4" w:rsidP="00D934BF">
      <w:pPr>
        <w:pStyle w:val="NumeracinReload"/>
        <w:ind w:left="426" w:right="334" w:hanging="426"/>
      </w:pPr>
      <w:proofErr w:type="spellStart"/>
      <w:r w:rsidRPr="00842719">
        <w:rPr>
          <w:i/>
          <w:iCs/>
        </w:rPr>
        <w:t>Buddha</w:t>
      </w:r>
      <w:r w:rsidR="005D7B09" w:rsidRPr="00842719">
        <w:rPr>
          <w:i/>
          <w:iCs/>
        </w:rPr>
        <w:t>ghosuppatti</w:t>
      </w:r>
      <w:proofErr w:type="spellEnd"/>
      <w:r w:rsidR="005D7B09" w:rsidRPr="00842719">
        <w:t xml:space="preserve">, </w:t>
      </w:r>
      <w:r w:rsidR="005C4387" w:rsidRPr="00842719">
        <w:t>editado y traducido al inglés</w:t>
      </w:r>
      <w:r w:rsidR="005D7B09" w:rsidRPr="00842719">
        <w:t xml:space="preserve">, </w:t>
      </w:r>
      <w:r w:rsidR="005C4387" w:rsidRPr="00842719">
        <w:t>por</w:t>
      </w:r>
      <w:r w:rsidR="005D7B09" w:rsidRPr="00842719">
        <w:t xml:space="preserve"> J. Gray, </w:t>
      </w:r>
      <w:proofErr w:type="spellStart"/>
      <w:r w:rsidR="005D7B09" w:rsidRPr="00842719">
        <w:t>Luzac</w:t>
      </w:r>
      <w:proofErr w:type="spellEnd"/>
      <w:r w:rsidR="005D7B09" w:rsidRPr="00842719">
        <w:t xml:space="preserve"> and Co., London, 1892.</w:t>
      </w:r>
    </w:p>
    <w:p w14:paraId="7445CC1F" w14:textId="217D41D4" w:rsidR="005D7B09" w:rsidRPr="00EE626D" w:rsidRDefault="005D7B09" w:rsidP="00D934BF">
      <w:pPr>
        <w:pStyle w:val="NumeracinReload"/>
        <w:ind w:left="426" w:right="334" w:hanging="426"/>
        <w:rPr>
          <w:lang w:val="en-US"/>
        </w:rPr>
      </w:pPr>
      <w:r w:rsidRPr="00EE626D">
        <w:rPr>
          <w:i/>
          <w:iCs/>
          <w:lang w:val="en-US"/>
        </w:rPr>
        <w:t xml:space="preserve">Critical </w:t>
      </w:r>
      <w:r w:rsidR="00AD6B1D" w:rsidRPr="00EE626D">
        <w:rPr>
          <w:i/>
          <w:iCs/>
          <w:lang w:val="en-US"/>
        </w:rPr>
        <w:t>Pāḷi</w:t>
      </w:r>
      <w:r w:rsidRPr="00EE626D">
        <w:rPr>
          <w:i/>
          <w:iCs/>
          <w:lang w:val="en-US"/>
        </w:rPr>
        <w:t xml:space="preserve"> Dictionary</w:t>
      </w:r>
      <w:r w:rsidRPr="00EE626D">
        <w:rPr>
          <w:lang w:val="en-US"/>
        </w:rPr>
        <w:t xml:space="preserve"> (</w:t>
      </w:r>
      <w:r w:rsidR="00AD6B1D" w:rsidRPr="00EE626D">
        <w:rPr>
          <w:i/>
          <w:lang w:val="en-US"/>
        </w:rPr>
        <w:t>Pāḷi</w:t>
      </w:r>
      <w:r w:rsidRPr="00EE626D">
        <w:rPr>
          <w:lang w:val="en-US"/>
        </w:rPr>
        <w:t>-</w:t>
      </w:r>
      <w:proofErr w:type="spellStart"/>
      <w:r w:rsidR="00842719" w:rsidRPr="00EE626D">
        <w:rPr>
          <w:lang w:val="en-US"/>
        </w:rPr>
        <w:t>inglés</w:t>
      </w:r>
      <w:proofErr w:type="spellEnd"/>
      <w:r w:rsidRPr="00EE626D">
        <w:rPr>
          <w:lang w:val="en-US"/>
        </w:rPr>
        <w:t>), Vol. I (</w:t>
      </w:r>
      <w:proofErr w:type="spellStart"/>
      <w:r w:rsidRPr="00EE626D">
        <w:rPr>
          <w:lang w:val="en-US"/>
        </w:rPr>
        <w:t>letr</w:t>
      </w:r>
      <w:r w:rsidR="00842719" w:rsidRPr="00EE626D">
        <w:rPr>
          <w:lang w:val="en-US"/>
        </w:rPr>
        <w:t>a</w:t>
      </w:r>
      <w:proofErr w:type="spellEnd"/>
      <w:r w:rsidRPr="00EE626D">
        <w:rPr>
          <w:lang w:val="en-US"/>
        </w:rPr>
        <w:t xml:space="preserve"> </w:t>
      </w:r>
      <w:r w:rsidRPr="00EE626D">
        <w:rPr>
          <w:i/>
          <w:iCs/>
          <w:lang w:val="en-US"/>
        </w:rPr>
        <w:t>a</w:t>
      </w:r>
      <w:r w:rsidRPr="00EE626D">
        <w:rPr>
          <w:lang w:val="en-US"/>
        </w:rPr>
        <w:t>), Copenhagen, 1924–48.</w:t>
      </w:r>
    </w:p>
    <w:p w14:paraId="34B4AE82" w14:textId="4DC89A5B" w:rsidR="005D7B09" w:rsidRPr="0077045C" w:rsidRDefault="005D7B09" w:rsidP="00D934BF">
      <w:pPr>
        <w:pStyle w:val="NumeracinReload"/>
        <w:ind w:left="426" w:right="334" w:hanging="426"/>
        <w:rPr>
          <w:lang w:val="en-US"/>
        </w:rPr>
      </w:pPr>
      <w:proofErr w:type="spellStart"/>
      <w:r w:rsidRPr="0077045C">
        <w:rPr>
          <w:i/>
          <w:iCs/>
          <w:lang w:val="en-US"/>
        </w:rPr>
        <w:t>C</w:t>
      </w:r>
      <w:r w:rsidR="00205900" w:rsidRPr="0077045C">
        <w:rPr>
          <w:i/>
          <w:iCs/>
          <w:lang w:val="en-US"/>
        </w:rPr>
        <w:t>ūḷ</w:t>
      </w:r>
      <w:r w:rsidRPr="0077045C">
        <w:rPr>
          <w:i/>
          <w:iCs/>
          <w:lang w:val="en-US"/>
        </w:rPr>
        <w:t>ava</w:t>
      </w:r>
      <w:r w:rsidR="00205900" w:rsidRPr="0077045C">
        <w:rPr>
          <w:i/>
          <w:iCs/>
          <w:lang w:val="en-US"/>
        </w:rPr>
        <w:t>ṃ</w:t>
      </w:r>
      <w:r w:rsidRPr="0077045C">
        <w:rPr>
          <w:i/>
          <w:iCs/>
          <w:lang w:val="en-US"/>
        </w:rPr>
        <w:t>sa</w:t>
      </w:r>
      <w:proofErr w:type="spellEnd"/>
      <w:r w:rsidRPr="0077045C">
        <w:rPr>
          <w:lang w:val="en-US"/>
        </w:rPr>
        <w:t xml:space="preserve"> o</w:t>
      </w:r>
      <w:r w:rsidRPr="0077045C">
        <w:rPr>
          <w:i/>
          <w:iCs/>
          <w:lang w:val="en-US"/>
        </w:rPr>
        <w:t xml:space="preserve"> Minor Chronicle of Ceylon</w:t>
      </w:r>
      <w:r w:rsidRPr="0077045C">
        <w:rPr>
          <w:lang w:val="en-US"/>
        </w:rPr>
        <w:t xml:space="preserve"> (o </w:t>
      </w:r>
      <w:proofErr w:type="spellStart"/>
      <w:r w:rsidRPr="0077045C">
        <w:rPr>
          <w:i/>
          <w:iCs/>
          <w:lang w:val="en-US"/>
        </w:rPr>
        <w:t>Mah</w:t>
      </w:r>
      <w:r w:rsidR="00205900" w:rsidRPr="0077045C">
        <w:rPr>
          <w:i/>
          <w:iCs/>
          <w:lang w:val="en-US"/>
        </w:rPr>
        <w:t>ā</w:t>
      </w:r>
      <w:r w:rsidRPr="0077045C">
        <w:rPr>
          <w:i/>
          <w:iCs/>
          <w:lang w:val="en-US"/>
        </w:rPr>
        <w:t>va</w:t>
      </w:r>
      <w:r w:rsidR="00205900" w:rsidRPr="0077045C">
        <w:rPr>
          <w:i/>
          <w:iCs/>
          <w:lang w:val="en-US"/>
        </w:rPr>
        <w:t>ṃ</w:t>
      </w:r>
      <w:r w:rsidRPr="0077045C">
        <w:rPr>
          <w:i/>
          <w:iCs/>
          <w:lang w:val="en-US"/>
        </w:rPr>
        <w:t>sa</w:t>
      </w:r>
      <w:proofErr w:type="spellEnd"/>
      <w:r w:rsidRPr="0077045C">
        <w:rPr>
          <w:lang w:val="en-US"/>
        </w:rPr>
        <w:t xml:space="preserve"> </w:t>
      </w:r>
      <w:r w:rsidRPr="0077045C">
        <w:rPr>
          <w:i/>
          <w:iCs/>
          <w:lang w:val="en-US"/>
        </w:rPr>
        <w:t>Part II</w:t>
      </w:r>
      <w:r w:rsidRPr="0077045C">
        <w:rPr>
          <w:lang w:val="en-US"/>
        </w:rPr>
        <w:t xml:space="preserve">), </w:t>
      </w:r>
      <w:proofErr w:type="spellStart"/>
      <w:r w:rsidR="0077409A" w:rsidRPr="0077045C">
        <w:rPr>
          <w:lang w:val="en-US"/>
        </w:rPr>
        <w:t>Traducido</w:t>
      </w:r>
      <w:proofErr w:type="spellEnd"/>
      <w:r w:rsidR="0077409A" w:rsidRPr="0077045C">
        <w:rPr>
          <w:lang w:val="en-US"/>
        </w:rPr>
        <w:t xml:space="preserve"> al </w:t>
      </w:r>
      <w:proofErr w:type="spellStart"/>
      <w:r w:rsidR="0077409A" w:rsidRPr="0077045C">
        <w:rPr>
          <w:lang w:val="en-US"/>
        </w:rPr>
        <w:t>inglés</w:t>
      </w:r>
      <w:proofErr w:type="spellEnd"/>
      <w:r w:rsidR="0077409A" w:rsidRPr="0077045C">
        <w:rPr>
          <w:lang w:val="en-US"/>
        </w:rPr>
        <w:t xml:space="preserve"> </w:t>
      </w:r>
      <w:proofErr w:type="spellStart"/>
      <w:r w:rsidR="0077409A" w:rsidRPr="0077045C">
        <w:rPr>
          <w:lang w:val="en-US"/>
        </w:rPr>
        <w:t>por</w:t>
      </w:r>
      <w:proofErr w:type="spellEnd"/>
      <w:r w:rsidRPr="0077045C">
        <w:rPr>
          <w:lang w:val="en-US"/>
        </w:rPr>
        <w:t xml:space="preserve"> </w:t>
      </w:r>
      <w:r w:rsidR="0077409A" w:rsidRPr="0077045C">
        <w:rPr>
          <w:lang w:val="en-US"/>
        </w:rPr>
        <w:br/>
      </w:r>
      <w:r w:rsidRPr="0077045C">
        <w:rPr>
          <w:lang w:val="en-US"/>
        </w:rPr>
        <w:t>W. Geiger, PTS London.</w:t>
      </w:r>
    </w:p>
    <w:p w14:paraId="129784C6" w14:textId="159795C8" w:rsidR="005D7B09" w:rsidRPr="0077045C" w:rsidRDefault="005D7B09" w:rsidP="00D934BF">
      <w:pPr>
        <w:pStyle w:val="NumeracinReload"/>
        <w:ind w:left="426" w:right="334" w:hanging="426"/>
        <w:rPr>
          <w:lang w:val="en-US"/>
        </w:rPr>
      </w:pPr>
      <w:proofErr w:type="spellStart"/>
      <w:r w:rsidRPr="0077045C">
        <w:rPr>
          <w:i/>
          <w:iCs/>
          <w:lang w:val="en-US"/>
        </w:rPr>
        <w:t>D</w:t>
      </w:r>
      <w:r w:rsidR="006D00B5" w:rsidRPr="0077045C">
        <w:rPr>
          <w:i/>
          <w:iCs/>
          <w:lang w:val="en-US"/>
        </w:rPr>
        <w:t>ī</w:t>
      </w:r>
      <w:r w:rsidRPr="0077045C">
        <w:rPr>
          <w:i/>
          <w:iCs/>
          <w:lang w:val="en-US"/>
        </w:rPr>
        <w:t>pava</w:t>
      </w:r>
      <w:r w:rsidR="006D00B5" w:rsidRPr="0077045C">
        <w:rPr>
          <w:i/>
          <w:iCs/>
          <w:lang w:val="en-US"/>
        </w:rPr>
        <w:t>ṃ</w:t>
      </w:r>
      <w:r w:rsidRPr="0077045C">
        <w:rPr>
          <w:i/>
          <w:iCs/>
          <w:lang w:val="en-US"/>
        </w:rPr>
        <w:t>sa</w:t>
      </w:r>
      <w:proofErr w:type="spellEnd"/>
      <w:r w:rsidRPr="0077045C">
        <w:rPr>
          <w:lang w:val="en-US"/>
        </w:rPr>
        <w:t xml:space="preserve"> (</w:t>
      </w:r>
      <w:r w:rsidRPr="0077045C">
        <w:rPr>
          <w:i/>
          <w:iCs/>
          <w:lang w:val="en-US"/>
        </w:rPr>
        <w:t>Chronicle of Ceylon</w:t>
      </w:r>
      <w:r w:rsidRPr="0077045C">
        <w:rPr>
          <w:lang w:val="en-US"/>
        </w:rPr>
        <w:t xml:space="preserve">), </w:t>
      </w:r>
      <w:proofErr w:type="spellStart"/>
      <w:r w:rsidR="005C4387" w:rsidRPr="0077045C">
        <w:rPr>
          <w:lang w:val="en-US"/>
        </w:rPr>
        <w:t>Traducción</w:t>
      </w:r>
      <w:proofErr w:type="spellEnd"/>
      <w:r w:rsidR="005C4387" w:rsidRPr="0077045C">
        <w:rPr>
          <w:lang w:val="en-US"/>
        </w:rPr>
        <w:t xml:space="preserve"> al </w:t>
      </w:r>
      <w:proofErr w:type="spellStart"/>
      <w:r w:rsidR="005C4387" w:rsidRPr="0077045C">
        <w:rPr>
          <w:lang w:val="en-US"/>
        </w:rPr>
        <w:t>inglés</w:t>
      </w:r>
      <w:proofErr w:type="spellEnd"/>
      <w:r w:rsidR="005C4387" w:rsidRPr="0077045C">
        <w:rPr>
          <w:lang w:val="en-US"/>
        </w:rPr>
        <w:t xml:space="preserve"> </w:t>
      </w:r>
      <w:proofErr w:type="spellStart"/>
      <w:r w:rsidR="005C4387" w:rsidRPr="0077045C">
        <w:rPr>
          <w:lang w:val="en-US"/>
        </w:rPr>
        <w:t>por</w:t>
      </w:r>
      <w:proofErr w:type="spellEnd"/>
      <w:r w:rsidR="005C4387" w:rsidRPr="0077045C">
        <w:rPr>
          <w:lang w:val="en-US"/>
        </w:rPr>
        <w:t xml:space="preserve"> </w:t>
      </w:r>
      <w:r w:rsidRPr="0077045C">
        <w:rPr>
          <w:lang w:val="en-US"/>
        </w:rPr>
        <w:t xml:space="preserve">H. Oldenberg, </w:t>
      </w:r>
      <w:proofErr w:type="spellStart"/>
      <w:r w:rsidRPr="0077045C">
        <w:rPr>
          <w:lang w:val="en-US"/>
        </w:rPr>
        <w:t>Lond</w:t>
      </w:r>
      <w:r w:rsidR="005C4387" w:rsidRPr="0077045C">
        <w:rPr>
          <w:lang w:val="en-US"/>
        </w:rPr>
        <w:t>res</w:t>
      </w:r>
      <w:proofErr w:type="spellEnd"/>
      <w:r w:rsidRPr="0077045C">
        <w:rPr>
          <w:lang w:val="en-US"/>
        </w:rPr>
        <w:t>, 1879.</w:t>
      </w:r>
    </w:p>
    <w:p w14:paraId="59CD67B6" w14:textId="479D325A" w:rsidR="005D7B09" w:rsidRPr="00A907F3" w:rsidRDefault="005D7B09" w:rsidP="00D934BF">
      <w:pPr>
        <w:pStyle w:val="NumeracinReload"/>
        <w:ind w:left="426" w:right="334" w:hanging="426"/>
        <w:rPr>
          <w:lang w:val="en-US"/>
        </w:rPr>
      </w:pPr>
      <w:r w:rsidRPr="00A907F3">
        <w:rPr>
          <w:i/>
          <w:iCs/>
          <w:lang w:val="en-US"/>
        </w:rPr>
        <w:t>The Early History of Buddhism in Ceylon</w:t>
      </w:r>
      <w:r w:rsidRPr="00A907F3">
        <w:rPr>
          <w:lang w:val="en-US"/>
        </w:rPr>
        <w:t xml:space="preserve">, </w:t>
      </w:r>
      <w:proofErr w:type="spellStart"/>
      <w:r w:rsidR="005C4387" w:rsidRPr="00A907F3">
        <w:rPr>
          <w:lang w:val="en-US"/>
        </w:rPr>
        <w:t>por</w:t>
      </w:r>
      <w:proofErr w:type="spellEnd"/>
      <w:r w:rsidRPr="00A907F3">
        <w:rPr>
          <w:lang w:val="en-US"/>
        </w:rPr>
        <w:t xml:space="preserve"> E. W. </w:t>
      </w:r>
      <w:proofErr w:type="spellStart"/>
      <w:r w:rsidRPr="00A907F3">
        <w:rPr>
          <w:lang w:val="en-US"/>
        </w:rPr>
        <w:t>Adikaram</w:t>
      </w:r>
      <w:proofErr w:type="spellEnd"/>
      <w:r w:rsidRPr="00A907F3">
        <w:rPr>
          <w:lang w:val="en-US"/>
        </w:rPr>
        <w:t>, Sri Lanka, 1946.</w:t>
      </w:r>
    </w:p>
    <w:p w14:paraId="38108B68" w14:textId="1789657A" w:rsidR="005D7B09" w:rsidRPr="00A907F3" w:rsidRDefault="005D7B09" w:rsidP="00D934BF">
      <w:pPr>
        <w:pStyle w:val="NumeracinReload"/>
        <w:ind w:left="426" w:right="334" w:hanging="426"/>
        <w:rPr>
          <w:lang w:val="en-US"/>
        </w:rPr>
      </w:pPr>
      <w:r w:rsidRPr="00A907F3">
        <w:rPr>
          <w:i/>
          <w:iCs/>
          <w:lang w:val="en-US"/>
        </w:rPr>
        <w:t>Guide through Visuddhimagga</w:t>
      </w:r>
      <w:r w:rsidRPr="00A907F3">
        <w:rPr>
          <w:lang w:val="en-US"/>
        </w:rPr>
        <w:t xml:space="preserve">, U. </w:t>
      </w:r>
      <w:proofErr w:type="spellStart"/>
      <w:r w:rsidR="00057BF4" w:rsidRPr="00A907F3">
        <w:rPr>
          <w:iCs/>
          <w:lang w:val="en-US"/>
        </w:rPr>
        <w:t>Dhamma</w:t>
      </w:r>
      <w:r w:rsidRPr="00A907F3">
        <w:rPr>
          <w:iCs/>
          <w:lang w:val="en-US"/>
        </w:rPr>
        <w:t>ratana</w:t>
      </w:r>
      <w:proofErr w:type="spellEnd"/>
      <w:r w:rsidRPr="00A907F3">
        <w:rPr>
          <w:lang w:val="en-US"/>
        </w:rPr>
        <w:t>, Sarnath, 1964</w:t>
      </w:r>
    </w:p>
    <w:p w14:paraId="6DC0E9E6" w14:textId="656194EB" w:rsidR="005D7B09" w:rsidRPr="00A907F3" w:rsidRDefault="005D7B09" w:rsidP="00D934BF">
      <w:pPr>
        <w:pStyle w:val="NumeracinReload"/>
        <w:ind w:left="426" w:right="334" w:hanging="426"/>
        <w:rPr>
          <w:lang w:val="en-US"/>
        </w:rPr>
      </w:pPr>
      <w:r w:rsidRPr="00A907F3">
        <w:rPr>
          <w:i/>
          <w:iCs/>
          <w:lang w:val="en-US"/>
        </w:rPr>
        <w:t>History of Indian Literature</w:t>
      </w:r>
      <w:r w:rsidRPr="00A907F3">
        <w:rPr>
          <w:lang w:val="en-US"/>
        </w:rPr>
        <w:t xml:space="preserve">, </w:t>
      </w:r>
      <w:proofErr w:type="spellStart"/>
      <w:r w:rsidR="0077409A" w:rsidRPr="00A907F3">
        <w:rPr>
          <w:lang w:val="en-US"/>
        </w:rPr>
        <w:t>por</w:t>
      </w:r>
      <w:proofErr w:type="spellEnd"/>
      <w:r w:rsidRPr="00A907F3">
        <w:rPr>
          <w:lang w:val="en-US"/>
        </w:rPr>
        <w:t xml:space="preserve"> M. Winternitz, </w:t>
      </w:r>
      <w:proofErr w:type="spellStart"/>
      <w:r w:rsidR="005C4387" w:rsidRPr="00A907F3">
        <w:rPr>
          <w:lang w:val="en-US"/>
        </w:rPr>
        <w:t>Traducción</w:t>
      </w:r>
      <w:proofErr w:type="spellEnd"/>
      <w:r w:rsidR="005C4387" w:rsidRPr="00A907F3">
        <w:rPr>
          <w:lang w:val="en-US"/>
        </w:rPr>
        <w:t xml:space="preserve"> al </w:t>
      </w:r>
      <w:proofErr w:type="spellStart"/>
      <w:r w:rsidR="005C4387" w:rsidRPr="00A907F3">
        <w:rPr>
          <w:lang w:val="en-US"/>
        </w:rPr>
        <w:t>inglés</w:t>
      </w:r>
      <w:proofErr w:type="spellEnd"/>
      <w:r w:rsidR="005C4387" w:rsidRPr="00A907F3">
        <w:rPr>
          <w:lang w:val="en-US"/>
        </w:rPr>
        <w:t xml:space="preserve"> </w:t>
      </w:r>
      <w:proofErr w:type="spellStart"/>
      <w:r w:rsidR="005C4387" w:rsidRPr="00A907F3">
        <w:rPr>
          <w:lang w:val="en-US"/>
        </w:rPr>
        <w:t>por</w:t>
      </w:r>
      <w:proofErr w:type="spellEnd"/>
      <w:r w:rsidRPr="00A907F3">
        <w:rPr>
          <w:lang w:val="en-US"/>
        </w:rPr>
        <w:t xml:space="preserve"> Mrs. S. Ketkar and Miss H. Kohn, Calcutta University, 1933.</w:t>
      </w:r>
    </w:p>
    <w:p w14:paraId="1CDA0395" w14:textId="36F7BAE1" w:rsidR="005D156B" w:rsidRPr="00A907F3" w:rsidRDefault="005D7B09" w:rsidP="00D934BF">
      <w:pPr>
        <w:pStyle w:val="NumeracinReload"/>
        <w:ind w:left="426" w:right="334" w:hanging="426"/>
        <w:rPr>
          <w:lang w:val="en-US"/>
        </w:rPr>
      </w:pPr>
      <w:r w:rsidRPr="00A907F3">
        <w:rPr>
          <w:i/>
          <w:iCs/>
          <w:lang w:val="en-US"/>
        </w:rPr>
        <w:t xml:space="preserve">History of </w:t>
      </w:r>
      <w:r w:rsidR="00AD6B1D" w:rsidRPr="00A907F3">
        <w:rPr>
          <w:i/>
          <w:iCs/>
          <w:lang w:val="en-US"/>
        </w:rPr>
        <w:t>Pāḷi</w:t>
      </w:r>
      <w:r w:rsidRPr="00A907F3">
        <w:rPr>
          <w:i/>
          <w:iCs/>
          <w:lang w:val="en-US"/>
        </w:rPr>
        <w:t xml:space="preserve"> Literature</w:t>
      </w:r>
      <w:r w:rsidRPr="00A907F3">
        <w:rPr>
          <w:lang w:val="en-US"/>
        </w:rPr>
        <w:t xml:space="preserve">, </w:t>
      </w:r>
      <w:proofErr w:type="spellStart"/>
      <w:r w:rsidR="0077409A" w:rsidRPr="00A907F3">
        <w:rPr>
          <w:lang w:val="en-US"/>
        </w:rPr>
        <w:t>por</w:t>
      </w:r>
      <w:proofErr w:type="spellEnd"/>
      <w:r w:rsidRPr="00A907F3">
        <w:rPr>
          <w:lang w:val="en-US"/>
        </w:rPr>
        <w:t xml:space="preserve"> B.C. Law, </w:t>
      </w:r>
      <w:proofErr w:type="spellStart"/>
      <w:r w:rsidR="005C4387" w:rsidRPr="00A907F3">
        <w:rPr>
          <w:lang w:val="en-US"/>
        </w:rPr>
        <w:t>Londres</w:t>
      </w:r>
      <w:proofErr w:type="spellEnd"/>
      <w:r w:rsidRPr="00A907F3">
        <w:rPr>
          <w:lang w:val="en-US"/>
        </w:rPr>
        <w:t>, 1933 (2 Vols.).</w:t>
      </w:r>
    </w:p>
    <w:p w14:paraId="72C83BAD" w14:textId="77777777" w:rsidR="005D156B" w:rsidRPr="005C4387" w:rsidRDefault="005D156B" w:rsidP="00622D47">
      <w:pPr>
        <w:pStyle w:val="NumeracinReload"/>
        <w:ind w:left="851" w:hanging="851"/>
        <w:rPr>
          <w:lang w:val="en-US"/>
        </w:rPr>
      </w:pPr>
      <w:r w:rsidRPr="005C4387">
        <w:rPr>
          <w:lang w:val="en-US"/>
        </w:rPr>
        <w:br w:type="page"/>
      </w:r>
    </w:p>
    <w:p w14:paraId="06A63FCE" w14:textId="77777777" w:rsidR="005D7B09" w:rsidRPr="005C4387" w:rsidRDefault="005D7B09" w:rsidP="00D934BF">
      <w:pPr>
        <w:pStyle w:val="NumeracinReload"/>
        <w:ind w:left="426" w:right="334" w:hanging="426"/>
        <w:rPr>
          <w:lang w:val="en-US"/>
        </w:rPr>
      </w:pPr>
    </w:p>
    <w:p w14:paraId="32EA814D" w14:textId="725E16C3" w:rsidR="005D7B09" w:rsidRPr="00A907F3" w:rsidRDefault="005D7B09" w:rsidP="00D934BF">
      <w:pPr>
        <w:pStyle w:val="NumeracinReload"/>
        <w:ind w:left="426" w:right="334" w:hanging="426"/>
        <w:rPr>
          <w:lang w:val="en-US"/>
        </w:rPr>
      </w:pPr>
      <w:r w:rsidRPr="00A907F3">
        <w:rPr>
          <w:i/>
          <w:iCs/>
          <w:lang w:val="en-US"/>
        </w:rPr>
        <w:t xml:space="preserve">The Life and Work of </w:t>
      </w:r>
      <w:r w:rsidR="00057BF4" w:rsidRPr="00A907F3">
        <w:rPr>
          <w:i/>
          <w:iCs/>
          <w:lang w:val="en-US"/>
        </w:rPr>
        <w:t>Buddha</w:t>
      </w:r>
      <w:r w:rsidRPr="00A907F3">
        <w:rPr>
          <w:i/>
          <w:iCs/>
          <w:lang w:val="en-US"/>
        </w:rPr>
        <w:t>ghosa</w:t>
      </w:r>
      <w:r w:rsidRPr="00A907F3">
        <w:rPr>
          <w:lang w:val="en-US"/>
        </w:rPr>
        <w:t xml:space="preserve">, </w:t>
      </w:r>
      <w:proofErr w:type="spellStart"/>
      <w:r w:rsidR="005C4387" w:rsidRPr="00A907F3">
        <w:rPr>
          <w:lang w:val="en-US"/>
        </w:rPr>
        <w:t>por</w:t>
      </w:r>
      <w:proofErr w:type="spellEnd"/>
      <w:r w:rsidRPr="00A907F3">
        <w:rPr>
          <w:lang w:val="en-US"/>
        </w:rPr>
        <w:t xml:space="preserve"> B.C. Law, Thacker, </w:t>
      </w:r>
      <w:r w:rsidR="005C4387" w:rsidRPr="00A907F3">
        <w:rPr>
          <w:lang w:val="en-US"/>
        </w:rPr>
        <w:t>y</w:t>
      </w:r>
      <w:r w:rsidRPr="00A907F3">
        <w:rPr>
          <w:lang w:val="en-US"/>
        </w:rPr>
        <w:t xml:space="preserve"> Spink, Calcutta </w:t>
      </w:r>
      <w:r w:rsidR="00E05C66" w:rsidRPr="00A907F3">
        <w:rPr>
          <w:lang w:val="en-US"/>
        </w:rPr>
        <w:t>y</w:t>
      </w:r>
      <w:r w:rsidRPr="00A907F3">
        <w:rPr>
          <w:lang w:val="en-US"/>
        </w:rPr>
        <w:t xml:space="preserve"> </w:t>
      </w:r>
      <w:proofErr w:type="spellStart"/>
      <w:r w:rsidRPr="00A907F3">
        <w:rPr>
          <w:lang w:val="en-US"/>
        </w:rPr>
        <w:t>Simla</w:t>
      </w:r>
      <w:proofErr w:type="spellEnd"/>
      <w:r w:rsidRPr="00A907F3">
        <w:rPr>
          <w:lang w:val="en-US"/>
        </w:rPr>
        <w:t>, 1923.</w:t>
      </w:r>
    </w:p>
    <w:p w14:paraId="696F3B0A" w14:textId="6223A6A3" w:rsidR="005D7B09" w:rsidRPr="00A907F3" w:rsidRDefault="005D7B09" w:rsidP="00D934BF">
      <w:pPr>
        <w:pStyle w:val="NumeracinReload"/>
        <w:ind w:left="426" w:right="334" w:hanging="426"/>
        <w:rPr>
          <w:lang w:val="en-US"/>
        </w:rPr>
      </w:pPr>
      <w:proofErr w:type="spellStart"/>
      <w:r w:rsidRPr="00A907F3">
        <w:rPr>
          <w:i/>
          <w:iCs/>
          <w:lang w:val="en-US"/>
        </w:rPr>
        <w:t>Mah</w:t>
      </w:r>
      <w:r w:rsidR="007C3D92" w:rsidRPr="00A907F3">
        <w:rPr>
          <w:i/>
          <w:iCs/>
          <w:lang w:val="en-US"/>
        </w:rPr>
        <w:t>ā</w:t>
      </w:r>
      <w:r w:rsidRPr="00A907F3">
        <w:rPr>
          <w:i/>
          <w:iCs/>
          <w:lang w:val="en-US"/>
        </w:rPr>
        <w:t>va</w:t>
      </w:r>
      <w:r w:rsidR="007C3D92" w:rsidRPr="00A907F3">
        <w:rPr>
          <w:i/>
          <w:iCs/>
          <w:lang w:val="en-US"/>
        </w:rPr>
        <w:t>ṃ</w:t>
      </w:r>
      <w:r w:rsidRPr="00A907F3">
        <w:rPr>
          <w:i/>
          <w:iCs/>
          <w:lang w:val="en-US"/>
        </w:rPr>
        <w:t>sa</w:t>
      </w:r>
      <w:proofErr w:type="spellEnd"/>
      <w:r w:rsidRPr="00A907F3">
        <w:rPr>
          <w:i/>
          <w:iCs/>
          <w:lang w:val="en-US"/>
        </w:rPr>
        <w:t xml:space="preserve"> or Great Chronicle of Ceylon</w:t>
      </w:r>
      <w:r w:rsidRPr="00A907F3">
        <w:rPr>
          <w:lang w:val="en-US"/>
        </w:rPr>
        <w:t xml:space="preserve">, </w:t>
      </w:r>
      <w:proofErr w:type="spellStart"/>
      <w:r w:rsidR="005C4387" w:rsidRPr="00A907F3">
        <w:rPr>
          <w:lang w:val="en-US"/>
        </w:rPr>
        <w:t>Traduc</w:t>
      </w:r>
      <w:r w:rsidR="00EC11C7" w:rsidRPr="00A907F3">
        <w:rPr>
          <w:lang w:val="en-US"/>
        </w:rPr>
        <w:t>ido</w:t>
      </w:r>
      <w:proofErr w:type="spellEnd"/>
      <w:r w:rsidR="005C4387" w:rsidRPr="00A907F3">
        <w:rPr>
          <w:lang w:val="en-US"/>
        </w:rPr>
        <w:t xml:space="preserve"> al </w:t>
      </w:r>
      <w:proofErr w:type="spellStart"/>
      <w:r w:rsidR="005C4387" w:rsidRPr="00A907F3">
        <w:rPr>
          <w:lang w:val="en-US"/>
        </w:rPr>
        <w:t>inglés</w:t>
      </w:r>
      <w:proofErr w:type="spellEnd"/>
      <w:r w:rsidR="005C4387" w:rsidRPr="00A907F3">
        <w:rPr>
          <w:lang w:val="en-US"/>
        </w:rPr>
        <w:t xml:space="preserve"> </w:t>
      </w:r>
      <w:proofErr w:type="spellStart"/>
      <w:r w:rsidR="005C4387" w:rsidRPr="00A907F3">
        <w:rPr>
          <w:lang w:val="en-US"/>
        </w:rPr>
        <w:t>por</w:t>
      </w:r>
      <w:proofErr w:type="spellEnd"/>
      <w:r w:rsidR="005C4387" w:rsidRPr="00A907F3">
        <w:rPr>
          <w:lang w:val="en-US"/>
        </w:rPr>
        <w:t xml:space="preserve"> </w:t>
      </w:r>
      <w:r w:rsidRPr="00A907F3">
        <w:rPr>
          <w:lang w:val="en-US"/>
        </w:rPr>
        <w:t>W. Geiger, PTS, London.</w:t>
      </w:r>
    </w:p>
    <w:p w14:paraId="6B38E731" w14:textId="7249ED15" w:rsidR="005D7B09" w:rsidRPr="00A907F3" w:rsidRDefault="00AD6B1D" w:rsidP="00D934BF">
      <w:pPr>
        <w:pStyle w:val="NumeracinReload"/>
        <w:ind w:left="426" w:right="334" w:hanging="426"/>
        <w:rPr>
          <w:lang w:val="en-US"/>
        </w:rPr>
      </w:pPr>
      <w:r w:rsidRPr="00A907F3">
        <w:rPr>
          <w:i/>
          <w:iCs/>
          <w:lang w:val="en-US"/>
        </w:rPr>
        <w:t>Pāḷi</w:t>
      </w:r>
      <w:r w:rsidR="005D7B09" w:rsidRPr="00A907F3">
        <w:rPr>
          <w:i/>
          <w:iCs/>
          <w:lang w:val="en-US"/>
        </w:rPr>
        <w:t>-English Dictionary</w:t>
      </w:r>
      <w:r w:rsidR="005D7B09" w:rsidRPr="00A907F3">
        <w:rPr>
          <w:lang w:val="en-US"/>
        </w:rPr>
        <w:t xml:space="preserve">, </w:t>
      </w:r>
      <w:r w:rsidRPr="00A907F3">
        <w:rPr>
          <w:i/>
          <w:lang w:val="en-US"/>
        </w:rPr>
        <w:t>Pāḷi</w:t>
      </w:r>
      <w:r w:rsidR="005D7B09" w:rsidRPr="00A907F3">
        <w:rPr>
          <w:lang w:val="en-US"/>
        </w:rPr>
        <w:t xml:space="preserve"> </w:t>
      </w:r>
      <w:r w:rsidR="005D7B09" w:rsidRPr="00A907F3">
        <w:rPr>
          <w:i/>
          <w:iCs/>
          <w:lang w:val="en-US"/>
        </w:rPr>
        <w:t>Text Society</w:t>
      </w:r>
      <w:r w:rsidR="005D7B09" w:rsidRPr="00A907F3">
        <w:rPr>
          <w:lang w:val="en-US"/>
        </w:rPr>
        <w:t xml:space="preserve">, </w:t>
      </w:r>
      <w:proofErr w:type="spellStart"/>
      <w:r w:rsidR="005D7B09" w:rsidRPr="00A907F3">
        <w:rPr>
          <w:lang w:val="en-US"/>
        </w:rPr>
        <w:t>Lond</w:t>
      </w:r>
      <w:r w:rsidR="00671C08" w:rsidRPr="00A907F3">
        <w:rPr>
          <w:lang w:val="en-US"/>
        </w:rPr>
        <w:t>res</w:t>
      </w:r>
      <w:proofErr w:type="spellEnd"/>
      <w:r w:rsidR="005D7B09" w:rsidRPr="00A907F3">
        <w:rPr>
          <w:lang w:val="en-US"/>
        </w:rPr>
        <w:t>.</w:t>
      </w:r>
    </w:p>
    <w:p w14:paraId="010A269C" w14:textId="777E0F47" w:rsidR="005D7B09" w:rsidRPr="009B31FA" w:rsidRDefault="005D7B09" w:rsidP="00D934BF">
      <w:pPr>
        <w:pStyle w:val="NumeracinReload"/>
        <w:ind w:left="426" w:right="334" w:hanging="426"/>
      </w:pPr>
      <w:r w:rsidRPr="00A907F3">
        <w:rPr>
          <w:i/>
          <w:iCs/>
          <w:lang w:val="en-US"/>
        </w:rPr>
        <w:t xml:space="preserve">The </w:t>
      </w:r>
      <w:r w:rsidR="00AD6B1D" w:rsidRPr="00A907F3">
        <w:rPr>
          <w:i/>
          <w:iCs/>
          <w:lang w:val="en-US"/>
        </w:rPr>
        <w:t>Pāḷi</w:t>
      </w:r>
      <w:r w:rsidRPr="00A907F3">
        <w:rPr>
          <w:i/>
          <w:iCs/>
          <w:lang w:val="en-US"/>
        </w:rPr>
        <w:t xml:space="preserve"> Literature of Ceylon</w:t>
      </w:r>
      <w:r w:rsidRPr="00A907F3">
        <w:rPr>
          <w:lang w:val="en-US"/>
        </w:rPr>
        <w:t xml:space="preserve">, by G.P. </w:t>
      </w:r>
      <w:proofErr w:type="spellStart"/>
      <w:r w:rsidRPr="00A907F3">
        <w:rPr>
          <w:lang w:val="en-US"/>
        </w:rPr>
        <w:t>Malalasekera</w:t>
      </w:r>
      <w:proofErr w:type="spellEnd"/>
      <w:r w:rsidRPr="00A907F3">
        <w:rPr>
          <w:lang w:val="en-US"/>
        </w:rPr>
        <w:t xml:space="preserve">, Royal Asiatic Society, </w:t>
      </w:r>
      <w:proofErr w:type="spellStart"/>
      <w:r w:rsidR="00671C08" w:rsidRPr="00A907F3">
        <w:rPr>
          <w:lang w:val="en-US"/>
        </w:rPr>
        <w:t>Londres</w:t>
      </w:r>
      <w:proofErr w:type="spellEnd"/>
      <w:r w:rsidRPr="00A907F3">
        <w:rPr>
          <w:lang w:val="en-US"/>
        </w:rPr>
        <w:t xml:space="preserve">, 1928. </w:t>
      </w:r>
      <w:r w:rsidRPr="009B31FA">
        <w:t>R</w:t>
      </w:r>
      <w:r w:rsidR="00671C08" w:rsidRPr="009B31FA">
        <w:t>eimpreso por</w:t>
      </w:r>
      <w:r w:rsidRPr="009B31FA">
        <w:t xml:space="preserve"> BPS, </w:t>
      </w:r>
      <w:proofErr w:type="spellStart"/>
      <w:r w:rsidRPr="009B31FA">
        <w:t>Kandy</w:t>
      </w:r>
      <w:proofErr w:type="spellEnd"/>
      <w:r w:rsidRPr="009B31FA">
        <w:t>, 1994.</w:t>
      </w:r>
    </w:p>
    <w:p w14:paraId="7D77E00C" w14:textId="6C85127A" w:rsidR="005D7B09" w:rsidRPr="009B31FA" w:rsidRDefault="00AD6B1D" w:rsidP="00D934BF">
      <w:pPr>
        <w:pStyle w:val="NumeracinReload"/>
        <w:ind w:left="426" w:right="334" w:hanging="426"/>
      </w:pPr>
      <w:r w:rsidRPr="009B31FA">
        <w:rPr>
          <w:i/>
          <w:iCs/>
        </w:rPr>
        <w:t>Pāḷi</w:t>
      </w:r>
      <w:r w:rsidR="005D7B09" w:rsidRPr="009B31FA">
        <w:rPr>
          <w:i/>
          <w:iCs/>
        </w:rPr>
        <w:t xml:space="preserve"> </w:t>
      </w:r>
      <w:proofErr w:type="spellStart"/>
      <w:r w:rsidR="005D7B09" w:rsidRPr="009B31FA">
        <w:rPr>
          <w:i/>
          <w:iCs/>
        </w:rPr>
        <w:t>Literature</w:t>
      </w:r>
      <w:proofErr w:type="spellEnd"/>
      <w:r w:rsidR="005D7B09" w:rsidRPr="009B31FA">
        <w:rPr>
          <w:i/>
          <w:iCs/>
        </w:rPr>
        <w:t xml:space="preserve"> and </w:t>
      </w:r>
      <w:proofErr w:type="spellStart"/>
      <w:r w:rsidR="005D7B09" w:rsidRPr="009B31FA">
        <w:rPr>
          <w:i/>
          <w:iCs/>
        </w:rPr>
        <w:t>Language</w:t>
      </w:r>
      <w:proofErr w:type="spellEnd"/>
      <w:r w:rsidR="005D7B09" w:rsidRPr="009B31FA">
        <w:t xml:space="preserve">, </w:t>
      </w:r>
      <w:r w:rsidR="00014DB7">
        <w:t>por</w:t>
      </w:r>
      <w:r w:rsidR="005D7B09" w:rsidRPr="009B31FA">
        <w:t xml:space="preserve"> W. Geiger, </w:t>
      </w:r>
      <w:r w:rsidR="00671C08" w:rsidRPr="009B31FA">
        <w:t xml:space="preserve">Traducción al inglés por </w:t>
      </w:r>
      <w:proofErr w:type="spellStart"/>
      <w:r w:rsidR="005D7B09" w:rsidRPr="009B31FA">
        <w:t>Batakrishna</w:t>
      </w:r>
      <w:proofErr w:type="spellEnd"/>
      <w:r w:rsidR="005D7B09" w:rsidRPr="009B31FA">
        <w:t xml:space="preserve"> Ghosh, </w:t>
      </w:r>
      <w:proofErr w:type="spellStart"/>
      <w:r w:rsidR="005D7B09" w:rsidRPr="009B31FA">
        <w:t>Calcutta</w:t>
      </w:r>
      <w:proofErr w:type="spellEnd"/>
      <w:r w:rsidR="005D7B09" w:rsidRPr="009B31FA">
        <w:t xml:space="preserve"> </w:t>
      </w:r>
      <w:proofErr w:type="spellStart"/>
      <w:r w:rsidR="005D7B09" w:rsidRPr="009B31FA">
        <w:t>University</w:t>
      </w:r>
      <w:proofErr w:type="spellEnd"/>
      <w:r w:rsidR="005D7B09" w:rsidRPr="009B31FA">
        <w:t>, 1943.</w:t>
      </w:r>
    </w:p>
    <w:p w14:paraId="7ADB2118" w14:textId="25329184" w:rsidR="005D7B09" w:rsidRPr="009B31FA" w:rsidRDefault="005D7B09" w:rsidP="00D934BF">
      <w:pPr>
        <w:pStyle w:val="NumeracinReload"/>
        <w:ind w:left="426" w:right="334" w:hanging="426"/>
      </w:pPr>
      <w:proofErr w:type="spellStart"/>
      <w:r w:rsidRPr="009B31FA">
        <w:rPr>
          <w:i/>
          <w:iCs/>
        </w:rPr>
        <w:t>Paramatthamañj</w:t>
      </w:r>
      <w:r w:rsidR="00047267" w:rsidRPr="009B31FA">
        <w:rPr>
          <w:i/>
          <w:iCs/>
        </w:rPr>
        <w:t>ū</w:t>
      </w:r>
      <w:r w:rsidRPr="009B31FA">
        <w:rPr>
          <w:i/>
          <w:iCs/>
        </w:rPr>
        <w:t>s</w:t>
      </w:r>
      <w:r w:rsidR="00047267" w:rsidRPr="009B31FA">
        <w:rPr>
          <w:i/>
          <w:iCs/>
        </w:rPr>
        <w:t>ā</w:t>
      </w:r>
      <w:proofErr w:type="spellEnd"/>
      <w:r w:rsidRPr="009B31FA">
        <w:t xml:space="preserve">, </w:t>
      </w:r>
      <w:proofErr w:type="spellStart"/>
      <w:r w:rsidR="00047267" w:rsidRPr="009B31FA">
        <w:t>Ācariya</w:t>
      </w:r>
      <w:proofErr w:type="spellEnd"/>
      <w:r w:rsidR="00047267" w:rsidRPr="009B31FA">
        <w:t xml:space="preserve"> </w:t>
      </w:r>
      <w:proofErr w:type="spellStart"/>
      <w:r w:rsidR="00057BF4" w:rsidRPr="00014DB7">
        <w:rPr>
          <w:iCs/>
        </w:rPr>
        <w:t>Dhamma</w:t>
      </w:r>
      <w:r w:rsidRPr="00014DB7">
        <w:rPr>
          <w:iCs/>
        </w:rPr>
        <w:t>p</w:t>
      </w:r>
      <w:r w:rsidR="00047267" w:rsidRPr="00014DB7">
        <w:rPr>
          <w:iCs/>
        </w:rPr>
        <w:t>ā</w:t>
      </w:r>
      <w:r w:rsidRPr="00014DB7">
        <w:rPr>
          <w:iCs/>
        </w:rPr>
        <w:t>la</w:t>
      </w:r>
      <w:proofErr w:type="spellEnd"/>
      <w:r w:rsidRPr="009B31FA">
        <w:t xml:space="preserve">, </w:t>
      </w:r>
      <w:r w:rsidR="00671C08" w:rsidRPr="009B31FA">
        <w:t>comentario del</w:t>
      </w:r>
      <w:r w:rsidRPr="009B31FA">
        <w:t xml:space="preserve"> </w:t>
      </w:r>
      <w:r w:rsidRPr="009B31FA">
        <w:rPr>
          <w:i/>
          <w:iCs/>
        </w:rPr>
        <w:t>Visuddhimagga</w:t>
      </w:r>
      <w:r w:rsidRPr="009B31FA">
        <w:t xml:space="preserve"> (</w:t>
      </w:r>
      <w:proofErr w:type="spellStart"/>
      <w:r w:rsidRPr="009B31FA">
        <w:rPr>
          <w:i/>
          <w:iCs/>
        </w:rPr>
        <w:t>Visuddhimaggamah</w:t>
      </w:r>
      <w:r w:rsidR="00047267" w:rsidRPr="009B31FA">
        <w:rPr>
          <w:i/>
          <w:iCs/>
        </w:rPr>
        <w:t>ā</w:t>
      </w:r>
      <w:r w:rsidRPr="009B31FA">
        <w:t>-</w:t>
      </w:r>
      <w:r w:rsidR="00047267" w:rsidRPr="009B31FA">
        <w:rPr>
          <w:i/>
          <w:iCs/>
        </w:rPr>
        <w:t>ṭī</w:t>
      </w:r>
      <w:r w:rsidRPr="009B31FA">
        <w:rPr>
          <w:i/>
          <w:iCs/>
        </w:rPr>
        <w:t>k</w:t>
      </w:r>
      <w:r w:rsidR="00047267" w:rsidRPr="009B31FA">
        <w:rPr>
          <w:i/>
          <w:iCs/>
        </w:rPr>
        <w:t>ā</w:t>
      </w:r>
      <w:proofErr w:type="spellEnd"/>
      <w:r w:rsidRPr="009B31FA">
        <w:t xml:space="preserve">). </w:t>
      </w:r>
      <w:r w:rsidR="00014DB7" w:rsidRPr="009B31FA">
        <w:t>Ed</w:t>
      </w:r>
      <w:r w:rsidR="00014DB7">
        <w:t>.</w:t>
      </w:r>
      <w:r w:rsidR="00014DB7" w:rsidRPr="009B31FA">
        <w:t xml:space="preserve"> </w:t>
      </w:r>
      <w:proofErr w:type="spellStart"/>
      <w:r w:rsidRPr="009B31FA">
        <w:t>Vidyodaya</w:t>
      </w:r>
      <w:proofErr w:type="spellEnd"/>
      <w:r w:rsidRPr="009B31FA">
        <w:t xml:space="preserve">. </w:t>
      </w:r>
      <w:r w:rsidR="00671C08" w:rsidRPr="009B31FA">
        <w:t>En trascripción cingalesa</w:t>
      </w:r>
      <w:r w:rsidRPr="009B31FA">
        <w:t>, Colombo (</w:t>
      </w:r>
      <w:proofErr w:type="spellStart"/>
      <w:r w:rsidRPr="009B31FA">
        <w:t>Chapters</w:t>
      </w:r>
      <w:proofErr w:type="spellEnd"/>
      <w:r w:rsidRPr="009B31FA">
        <w:t xml:space="preserve"> I </w:t>
      </w:r>
      <w:proofErr w:type="spellStart"/>
      <w:r w:rsidRPr="009B31FA">
        <w:t>to</w:t>
      </w:r>
      <w:proofErr w:type="spellEnd"/>
      <w:r w:rsidRPr="009B31FA">
        <w:t xml:space="preserve"> XVII </w:t>
      </w:r>
      <w:proofErr w:type="spellStart"/>
      <w:r w:rsidR="00014DB7">
        <w:t>sólamente</w:t>
      </w:r>
      <w:proofErr w:type="spellEnd"/>
      <w:r w:rsidRPr="009B31FA">
        <w:t xml:space="preserve">). P.C. </w:t>
      </w:r>
      <w:proofErr w:type="spellStart"/>
      <w:r w:rsidRPr="009B31FA">
        <w:t>Mundyne</w:t>
      </w:r>
      <w:proofErr w:type="spellEnd"/>
      <w:r w:rsidRPr="009B31FA">
        <w:t xml:space="preserve"> </w:t>
      </w:r>
      <w:proofErr w:type="spellStart"/>
      <w:r w:rsidRPr="009B31FA">
        <w:t>Pitaka</w:t>
      </w:r>
      <w:proofErr w:type="spellEnd"/>
      <w:r w:rsidRPr="009B31FA">
        <w:t xml:space="preserve"> </w:t>
      </w:r>
      <w:proofErr w:type="spellStart"/>
      <w:r w:rsidRPr="009B31FA">
        <w:t>Press</w:t>
      </w:r>
      <w:proofErr w:type="spellEnd"/>
      <w:r w:rsidRPr="009B31FA">
        <w:t xml:space="preserve"> ed. </w:t>
      </w:r>
      <w:r w:rsidR="00014DB7">
        <w:t>e</w:t>
      </w:r>
      <w:r w:rsidR="00671C08" w:rsidRPr="009B31FA">
        <w:t xml:space="preserve">n </w:t>
      </w:r>
      <w:r w:rsidR="00014DB7" w:rsidRPr="009B31FA">
        <w:t xml:space="preserve">transcripción </w:t>
      </w:r>
      <w:proofErr w:type="gramStart"/>
      <w:r w:rsidR="00671C08" w:rsidRPr="009B31FA">
        <w:t>Birmana</w:t>
      </w:r>
      <w:proofErr w:type="gramEnd"/>
      <w:r w:rsidRPr="009B31FA">
        <w:t>, Rang</w:t>
      </w:r>
      <w:r w:rsidR="00671C08" w:rsidRPr="009B31FA">
        <w:t>ú</w:t>
      </w:r>
      <w:r w:rsidRPr="009B31FA">
        <w:t>n, 1909 (</w:t>
      </w:r>
      <w:r w:rsidR="00671C08" w:rsidRPr="009B31FA">
        <w:t>Capítulos</w:t>
      </w:r>
      <w:r w:rsidRPr="009B31FA">
        <w:t xml:space="preserve"> I </w:t>
      </w:r>
      <w:r w:rsidR="00671C08" w:rsidRPr="009B31FA">
        <w:t>al</w:t>
      </w:r>
      <w:r w:rsidRPr="009B31FA">
        <w:t xml:space="preserve"> XI), 1910 (</w:t>
      </w:r>
      <w:r w:rsidR="00671C08" w:rsidRPr="009B31FA">
        <w:t xml:space="preserve">Capítulos </w:t>
      </w:r>
      <w:r w:rsidRPr="009B31FA">
        <w:t xml:space="preserve">XII </w:t>
      </w:r>
      <w:r w:rsidR="00671C08" w:rsidRPr="009B31FA">
        <w:t xml:space="preserve">al </w:t>
      </w:r>
      <w:r w:rsidRPr="009B31FA">
        <w:t xml:space="preserve">XXIII). </w:t>
      </w:r>
      <w:r w:rsidR="00671C08" w:rsidRPr="009B31FA">
        <w:t xml:space="preserve">Edición </w:t>
      </w:r>
      <w:r w:rsidR="00E37DE3" w:rsidRPr="009B31FA">
        <w:t>Siam</w:t>
      </w:r>
      <w:r w:rsidR="008929F1" w:rsidRPr="009B31FA">
        <w:t>és</w:t>
      </w:r>
      <w:r w:rsidRPr="009B31FA">
        <w:t xml:space="preserve"> </w:t>
      </w:r>
      <w:r w:rsidR="008929F1" w:rsidRPr="009B31FA">
        <w:t>e</w:t>
      </w:r>
      <w:r w:rsidRPr="009B31FA">
        <w:t xml:space="preserve">n </w:t>
      </w:r>
      <w:r w:rsidR="008929F1" w:rsidRPr="009B31FA">
        <w:t>Transcripción Siamés</w:t>
      </w:r>
      <w:r w:rsidRPr="009B31FA">
        <w:t xml:space="preserve">, Bangkok. </w:t>
      </w:r>
      <w:r w:rsidR="00F766D0" w:rsidRPr="009B31FA">
        <w:t>Edición de la transcripción l</w:t>
      </w:r>
      <w:r w:rsidRPr="009B31FA">
        <w:t>atin</w:t>
      </w:r>
      <w:r w:rsidR="00F766D0" w:rsidRPr="009B31FA">
        <w:t>a</w:t>
      </w:r>
      <w:r w:rsidRPr="009B31FA">
        <w:t xml:space="preserve"> </w:t>
      </w:r>
      <w:r w:rsidR="00F766D0" w:rsidRPr="009B31FA">
        <w:t xml:space="preserve">del </w:t>
      </w:r>
      <w:proofErr w:type="spellStart"/>
      <w:r w:rsidRPr="009B31FA">
        <w:rPr>
          <w:i/>
          <w:iCs/>
        </w:rPr>
        <w:t>Cha</w:t>
      </w:r>
      <w:r w:rsidR="00047267" w:rsidRPr="009B31FA">
        <w:rPr>
          <w:i/>
          <w:iCs/>
        </w:rPr>
        <w:t>ṭṭ</w:t>
      </w:r>
      <w:r w:rsidRPr="009B31FA">
        <w:rPr>
          <w:i/>
          <w:iCs/>
        </w:rPr>
        <w:t>ha</w:t>
      </w:r>
      <w:proofErr w:type="spellEnd"/>
      <w:r w:rsidRPr="009B31FA">
        <w:t xml:space="preserve"> </w:t>
      </w:r>
      <w:proofErr w:type="spellStart"/>
      <w:r w:rsidRPr="009B31FA">
        <w:rPr>
          <w:i/>
          <w:iCs/>
        </w:rPr>
        <w:t>Sa</w:t>
      </w:r>
      <w:r w:rsidR="00047267" w:rsidRPr="009B31FA">
        <w:rPr>
          <w:i/>
          <w:iCs/>
        </w:rPr>
        <w:t>ṅ</w:t>
      </w:r>
      <w:r w:rsidRPr="009B31FA">
        <w:rPr>
          <w:i/>
          <w:iCs/>
        </w:rPr>
        <w:t>g</w:t>
      </w:r>
      <w:r w:rsidR="00047267" w:rsidRPr="009B31FA">
        <w:rPr>
          <w:i/>
          <w:iCs/>
        </w:rPr>
        <w:t>ā</w:t>
      </w:r>
      <w:r w:rsidRPr="009B31FA">
        <w:rPr>
          <w:i/>
          <w:iCs/>
        </w:rPr>
        <w:t>yana</w:t>
      </w:r>
      <w:proofErr w:type="spellEnd"/>
      <w:r w:rsidRPr="009B31FA">
        <w:t xml:space="preserve"> CDROM </w:t>
      </w:r>
      <w:r w:rsidR="00F766D0" w:rsidRPr="009B31FA">
        <w:t xml:space="preserve">del </w:t>
      </w:r>
      <w:r w:rsidRPr="00014DB7">
        <w:rPr>
          <w:i/>
          <w:iCs/>
        </w:rPr>
        <w:t xml:space="preserve">Vipassana </w:t>
      </w:r>
      <w:proofErr w:type="spellStart"/>
      <w:r w:rsidRPr="00014DB7">
        <w:rPr>
          <w:i/>
          <w:iCs/>
        </w:rPr>
        <w:t>Research</w:t>
      </w:r>
      <w:proofErr w:type="spellEnd"/>
      <w:r w:rsidRPr="00014DB7">
        <w:rPr>
          <w:i/>
          <w:iCs/>
        </w:rPr>
        <w:t xml:space="preserve"> </w:t>
      </w:r>
      <w:proofErr w:type="spellStart"/>
      <w:r w:rsidRPr="00014DB7">
        <w:rPr>
          <w:i/>
          <w:iCs/>
        </w:rPr>
        <w:t>Institute</w:t>
      </w:r>
      <w:proofErr w:type="spellEnd"/>
      <w:r w:rsidRPr="009B31FA">
        <w:t xml:space="preserve">, </w:t>
      </w:r>
      <w:proofErr w:type="spellStart"/>
      <w:r w:rsidRPr="009B31FA">
        <w:t>Igatpuri</w:t>
      </w:r>
      <w:proofErr w:type="spellEnd"/>
      <w:r w:rsidRPr="009B31FA">
        <w:t xml:space="preserve">. </w:t>
      </w:r>
      <w:r w:rsidR="00F766D0" w:rsidRPr="009B31FA">
        <w:t>Ninguna traducción al inglés</w:t>
      </w:r>
      <w:r w:rsidRPr="009B31FA">
        <w:t>.</w:t>
      </w:r>
    </w:p>
    <w:p w14:paraId="44E63CD3" w14:textId="2DA66A26" w:rsidR="005D7B09" w:rsidRPr="009B31FA" w:rsidRDefault="005D7B09" w:rsidP="00D934BF">
      <w:pPr>
        <w:pStyle w:val="NumeracinReload"/>
        <w:ind w:left="426" w:right="334" w:hanging="426"/>
      </w:pPr>
      <w:r w:rsidRPr="009B31FA">
        <w:rPr>
          <w:i/>
          <w:iCs/>
        </w:rPr>
        <w:t xml:space="preserve">Theravada </w:t>
      </w:r>
      <w:proofErr w:type="spellStart"/>
      <w:r w:rsidRPr="009B31FA">
        <w:rPr>
          <w:i/>
          <w:iCs/>
        </w:rPr>
        <w:t>Buddhism</w:t>
      </w:r>
      <w:proofErr w:type="spellEnd"/>
      <w:r w:rsidRPr="009B31FA">
        <w:rPr>
          <w:i/>
          <w:iCs/>
        </w:rPr>
        <w:t xml:space="preserve"> in </w:t>
      </w:r>
      <w:proofErr w:type="spellStart"/>
      <w:r w:rsidRPr="009B31FA">
        <w:rPr>
          <w:i/>
          <w:iCs/>
        </w:rPr>
        <w:t>Burma</w:t>
      </w:r>
      <w:proofErr w:type="spellEnd"/>
      <w:r w:rsidRPr="009B31FA">
        <w:t xml:space="preserve">, </w:t>
      </w:r>
      <w:r w:rsidR="00F766D0" w:rsidRPr="009B31FA">
        <w:t>por</w:t>
      </w:r>
      <w:r w:rsidRPr="009B31FA">
        <w:t xml:space="preserve"> </w:t>
      </w:r>
      <w:proofErr w:type="spellStart"/>
      <w:r w:rsidRPr="009B31FA">
        <w:t>Niharranjan</w:t>
      </w:r>
      <w:proofErr w:type="spellEnd"/>
      <w:r w:rsidRPr="009B31FA">
        <w:t xml:space="preserve"> Ray, </w:t>
      </w:r>
      <w:proofErr w:type="spellStart"/>
      <w:r w:rsidRPr="009B31FA">
        <w:t>Calcutta</w:t>
      </w:r>
      <w:proofErr w:type="spellEnd"/>
      <w:r w:rsidRPr="009B31FA">
        <w:t xml:space="preserve"> </w:t>
      </w:r>
      <w:proofErr w:type="spellStart"/>
      <w:r w:rsidRPr="009B31FA">
        <w:t>University</w:t>
      </w:r>
      <w:proofErr w:type="spellEnd"/>
      <w:r w:rsidRPr="009B31FA">
        <w:t>, 1946</w:t>
      </w:r>
      <w:r w:rsidR="007B01B1" w:rsidRPr="009B31FA">
        <w:t xml:space="preserve"> </w:t>
      </w:r>
      <w:r w:rsidRPr="009B31FA">
        <w:t xml:space="preserve">(pp. 24 </w:t>
      </w:r>
      <w:proofErr w:type="spellStart"/>
      <w:r w:rsidRPr="009B31FA">
        <w:t>ff</w:t>
      </w:r>
      <w:proofErr w:type="spellEnd"/>
      <w:r w:rsidRPr="009B31FA">
        <w:t>.).</w:t>
      </w:r>
    </w:p>
    <w:p w14:paraId="4FB83E6C" w14:textId="5A94A9B7" w:rsidR="005D7B09" w:rsidRPr="009B31FA" w:rsidRDefault="005D7B09" w:rsidP="00D934BF">
      <w:pPr>
        <w:pStyle w:val="NumeracinReload"/>
        <w:ind w:left="426" w:right="334" w:hanging="426"/>
      </w:pPr>
      <w:proofErr w:type="spellStart"/>
      <w:r w:rsidRPr="009B31FA">
        <w:rPr>
          <w:i/>
          <w:iCs/>
        </w:rPr>
        <w:t>Vimuttimagga</w:t>
      </w:r>
      <w:proofErr w:type="spellEnd"/>
      <w:r w:rsidRPr="009B31FA">
        <w:t>,</w:t>
      </w:r>
      <w:r w:rsidR="007B01B1" w:rsidRPr="009B31FA">
        <w:t xml:space="preserve"> </w:t>
      </w:r>
      <w:r w:rsidR="00605700" w:rsidRPr="009B31FA">
        <w:t xml:space="preserve">traducción </w:t>
      </w:r>
      <w:r w:rsidR="00F766D0" w:rsidRPr="009B31FA">
        <w:t>China</w:t>
      </w:r>
      <w:r w:rsidRPr="009B31FA">
        <w:t xml:space="preserve">: </w:t>
      </w:r>
      <w:proofErr w:type="spellStart"/>
      <w:r w:rsidRPr="009B31FA">
        <w:t>Ji</w:t>
      </w:r>
      <w:r w:rsidR="00402CA2" w:rsidRPr="009B31FA">
        <w:t>ĕ</w:t>
      </w:r>
      <w:proofErr w:type="spellEnd"/>
      <w:r w:rsidRPr="009B31FA">
        <w:t>-tu-</w:t>
      </w:r>
      <w:proofErr w:type="spellStart"/>
      <w:r w:rsidRPr="009B31FA">
        <w:t>dào</w:t>
      </w:r>
      <w:proofErr w:type="spellEnd"/>
      <w:r w:rsidRPr="009B31FA">
        <w:t>-</w:t>
      </w:r>
      <w:proofErr w:type="spellStart"/>
      <w:r w:rsidRPr="009B31FA">
        <w:t>lùn</w:t>
      </w:r>
      <w:proofErr w:type="spellEnd"/>
      <w:r w:rsidR="00F20968" w:rsidRPr="009B31FA">
        <w:t xml:space="preserve"> </w:t>
      </w:r>
      <w:r w:rsidR="00F766D0" w:rsidRPr="009B31FA">
        <w:t>por</w:t>
      </w:r>
      <w:r w:rsidRPr="009B31FA">
        <w:t xml:space="preserve"> </w:t>
      </w:r>
      <w:r w:rsidRPr="009B31FA">
        <w:rPr>
          <w:i/>
          <w:iCs/>
        </w:rPr>
        <w:t>Tipi</w:t>
      </w:r>
      <w:r w:rsidR="00BB27C8" w:rsidRPr="009B31FA">
        <w:rPr>
          <w:i/>
          <w:iCs/>
        </w:rPr>
        <w:t>ṭ</w:t>
      </w:r>
      <w:r w:rsidRPr="009B31FA">
        <w:rPr>
          <w:i/>
          <w:iCs/>
        </w:rPr>
        <w:t>aka</w:t>
      </w:r>
      <w:r w:rsidRPr="009B31FA">
        <w:t xml:space="preserve"> </w:t>
      </w:r>
      <w:proofErr w:type="spellStart"/>
      <w:r w:rsidR="00BB27C8" w:rsidRPr="009B31FA">
        <w:rPr>
          <w:i/>
          <w:iCs/>
        </w:rPr>
        <w:t>Saṅgā</w:t>
      </w:r>
      <w:r w:rsidR="00D86731" w:rsidRPr="009B31FA">
        <w:rPr>
          <w:i/>
          <w:iCs/>
        </w:rPr>
        <w:t>phāl</w:t>
      </w:r>
      <w:r w:rsidR="00BB27C8" w:rsidRPr="009B31FA">
        <w:rPr>
          <w:i/>
          <w:iCs/>
        </w:rPr>
        <w:t>a</w:t>
      </w:r>
      <w:proofErr w:type="spellEnd"/>
      <w:r w:rsidR="00BB27C8" w:rsidRPr="009B31FA">
        <w:t xml:space="preserve"> </w:t>
      </w:r>
      <w:r w:rsidR="00F766D0" w:rsidRPr="009B31FA">
        <w:t>de</w:t>
      </w:r>
      <w:r w:rsidRPr="009B31FA">
        <w:t xml:space="preserve"> </w:t>
      </w:r>
      <w:proofErr w:type="spellStart"/>
      <w:r w:rsidRPr="009B31FA">
        <w:t>Funan</w:t>
      </w:r>
      <w:proofErr w:type="spellEnd"/>
      <w:r w:rsidRPr="009B31FA">
        <w:t xml:space="preserve"> (6th cent. CE). </w:t>
      </w:r>
      <w:r w:rsidR="00F766D0" w:rsidRPr="009B31FA">
        <w:t xml:space="preserve">Edición </w:t>
      </w:r>
      <w:proofErr w:type="spellStart"/>
      <w:r w:rsidRPr="009B31FA">
        <w:t>Taishõ</w:t>
      </w:r>
      <w:proofErr w:type="spellEnd"/>
      <w:r w:rsidRPr="009B31FA">
        <w:t xml:space="preserve"> </w:t>
      </w:r>
      <w:r w:rsidR="00F766D0" w:rsidRPr="009B31FA">
        <w:t>en</w:t>
      </w:r>
      <w:r w:rsidRPr="009B31FA">
        <w:t xml:space="preserve"> T 32, </w:t>
      </w:r>
      <w:r w:rsidR="00605700">
        <w:t>N</w:t>
      </w:r>
      <w:r w:rsidRPr="009B31FA">
        <w:t>o. 1648, p</w:t>
      </w:r>
      <w:r w:rsidR="00605700">
        <w:t>ág</w:t>
      </w:r>
      <w:r w:rsidRPr="009B31FA">
        <w:t>. 399c–461c (</w:t>
      </w:r>
      <w:proofErr w:type="spellStart"/>
      <w:r w:rsidRPr="009B31FA">
        <w:t>Nanjio</w:t>
      </w:r>
      <w:proofErr w:type="spellEnd"/>
      <w:r w:rsidRPr="009B31FA">
        <w:t xml:space="preserve"> </w:t>
      </w:r>
      <w:r w:rsidR="00605700">
        <w:t>N</w:t>
      </w:r>
      <w:r w:rsidRPr="009B31FA">
        <w:t>o. 1293).</w:t>
      </w:r>
    </w:p>
    <w:p w14:paraId="6A3F91EB" w14:textId="441262AE" w:rsidR="005D7B09" w:rsidRPr="009B31FA" w:rsidRDefault="00047267" w:rsidP="00D934BF">
      <w:pPr>
        <w:pStyle w:val="NumeracinReload"/>
        <w:ind w:left="426" w:right="334" w:hanging="426"/>
      </w:pPr>
      <w:r w:rsidRPr="009B31FA">
        <w:rPr>
          <w:i/>
          <w:iCs/>
        </w:rPr>
        <w:t xml:space="preserve">The </w:t>
      </w:r>
      <w:proofErr w:type="spellStart"/>
      <w:r w:rsidRPr="009B31FA">
        <w:rPr>
          <w:i/>
          <w:iCs/>
        </w:rPr>
        <w:t>Path</w:t>
      </w:r>
      <w:proofErr w:type="spellEnd"/>
      <w:r w:rsidRPr="009B31FA">
        <w:rPr>
          <w:i/>
          <w:iCs/>
        </w:rPr>
        <w:t xml:space="preserve"> of </w:t>
      </w:r>
      <w:proofErr w:type="spellStart"/>
      <w:r w:rsidRPr="009B31FA">
        <w:rPr>
          <w:i/>
          <w:iCs/>
        </w:rPr>
        <w:t>Freedom</w:t>
      </w:r>
      <w:proofErr w:type="spellEnd"/>
      <w:r w:rsidRPr="009B31FA">
        <w:t xml:space="preserve"> (</w:t>
      </w:r>
      <w:proofErr w:type="spellStart"/>
      <w:r w:rsidRPr="009B31FA">
        <w:rPr>
          <w:i/>
          <w:iCs/>
        </w:rPr>
        <w:t>Vimuttimagga</w:t>
      </w:r>
      <w:proofErr w:type="spellEnd"/>
      <w:r w:rsidRPr="009B31FA">
        <w:t>)</w:t>
      </w:r>
      <w:r w:rsidR="005D7B09" w:rsidRPr="009B31FA">
        <w:t xml:space="preserve"> </w:t>
      </w:r>
      <w:r w:rsidR="0009630C" w:rsidRPr="009B31FA">
        <w:t>tran</w:t>
      </w:r>
      <w:r w:rsidR="00F20968" w:rsidRPr="009B31FA">
        <w:t>s</w:t>
      </w:r>
      <w:r w:rsidR="0009630C" w:rsidRPr="009B31FA">
        <w:t xml:space="preserve">cripción privada de una traducción del </w:t>
      </w:r>
      <w:r w:rsidR="00605700" w:rsidRPr="009B31FA">
        <w:t>chino al inglés</w:t>
      </w:r>
      <w:r w:rsidR="00605700">
        <w:t>,</w:t>
      </w:r>
      <w:r w:rsidR="00605700" w:rsidRPr="009B31FA">
        <w:t xml:space="preserve"> </w:t>
      </w:r>
      <w:r w:rsidR="001E6C48" w:rsidRPr="009B31FA">
        <w:t xml:space="preserve">por </w:t>
      </w:r>
      <w:r w:rsidR="005D7B09" w:rsidRPr="009B31FA">
        <w:t xml:space="preserve">N.R.M. </w:t>
      </w:r>
      <w:proofErr w:type="spellStart"/>
      <w:r w:rsidR="005D7B09" w:rsidRPr="009B31FA">
        <w:t>Ehara</w:t>
      </w:r>
      <w:proofErr w:type="spellEnd"/>
      <w:r w:rsidR="005D7B09" w:rsidRPr="009B31FA">
        <w:t xml:space="preserve">, V.E.P. Pulle </w:t>
      </w:r>
      <w:r w:rsidR="001E6C48" w:rsidRPr="009B31FA">
        <w:t>y</w:t>
      </w:r>
      <w:r w:rsidR="005D7B09" w:rsidRPr="009B31FA">
        <w:t xml:space="preserve"> </w:t>
      </w:r>
      <w:r w:rsidR="001E6C48" w:rsidRPr="009B31FA">
        <w:t xml:space="preserve">la edición </w:t>
      </w:r>
      <w:r w:rsidR="005D7B09" w:rsidRPr="009B31FA">
        <w:t xml:space="preserve">G.S. </w:t>
      </w:r>
      <w:proofErr w:type="spellStart"/>
      <w:r w:rsidR="005D7B09" w:rsidRPr="009B31FA">
        <w:t>Prelis</w:t>
      </w:r>
      <w:proofErr w:type="spellEnd"/>
      <w:r w:rsidR="005D7B09" w:rsidRPr="009B31FA">
        <w:t xml:space="preserve">. </w:t>
      </w:r>
      <w:proofErr w:type="spellStart"/>
      <w:r w:rsidR="005D7B09" w:rsidRPr="009B31FA">
        <w:t>Printed</w:t>
      </w:r>
      <w:proofErr w:type="spellEnd"/>
      <w:r w:rsidR="005D7B09" w:rsidRPr="009B31FA">
        <w:t xml:space="preserve">, Colombo 1961; </w:t>
      </w:r>
      <w:r w:rsidR="001E6C48" w:rsidRPr="009B31FA">
        <w:t>reimpreso por</w:t>
      </w:r>
      <w:r w:rsidR="005D7B09" w:rsidRPr="009B31FA">
        <w:t xml:space="preserve"> BPS, </w:t>
      </w:r>
      <w:proofErr w:type="spellStart"/>
      <w:r w:rsidR="005D7B09" w:rsidRPr="009B31FA">
        <w:t>Kandy</w:t>
      </w:r>
      <w:proofErr w:type="spellEnd"/>
      <w:r w:rsidR="005D7B09" w:rsidRPr="009B31FA">
        <w:t xml:space="preserve"> 1995. (Revis</w:t>
      </w:r>
      <w:r w:rsidR="001E6C48" w:rsidRPr="009B31FA">
        <w:t>a</w:t>
      </w:r>
      <w:r w:rsidR="005D7B09" w:rsidRPr="009B31FA">
        <w:t>d</w:t>
      </w:r>
      <w:r w:rsidR="001E6C48" w:rsidRPr="009B31FA">
        <w:t>o</w:t>
      </w:r>
      <w:r w:rsidR="005D7B09" w:rsidRPr="009B31FA">
        <w:t xml:space="preserve">, </w:t>
      </w:r>
      <w:r w:rsidR="004A01ED" w:rsidRPr="009B31FA">
        <w:t xml:space="preserve">Edición próxima en 2010 </w:t>
      </w:r>
      <w:r w:rsidR="005D7B09" w:rsidRPr="009B31FA">
        <w:t>BPS.)</w:t>
      </w:r>
    </w:p>
    <w:p w14:paraId="23CDD8A9" w14:textId="13188A06" w:rsidR="002A69AE" w:rsidRPr="009B31FA" w:rsidRDefault="005D7B09" w:rsidP="00D934BF">
      <w:pPr>
        <w:pStyle w:val="NumeracinReload"/>
        <w:ind w:left="426" w:right="334" w:hanging="426"/>
      </w:pPr>
      <w:proofErr w:type="spellStart"/>
      <w:r w:rsidRPr="00A907F3">
        <w:rPr>
          <w:i/>
          <w:iCs/>
          <w:lang w:val="en-US"/>
        </w:rPr>
        <w:t>Vimuttimagga</w:t>
      </w:r>
      <w:proofErr w:type="spellEnd"/>
      <w:r w:rsidRPr="00A907F3">
        <w:rPr>
          <w:i/>
          <w:iCs/>
          <w:lang w:val="en-US"/>
        </w:rPr>
        <w:t xml:space="preserve"> and Visuddhimagga</w:t>
      </w:r>
      <w:r w:rsidRPr="00A907F3">
        <w:rPr>
          <w:lang w:val="en-US"/>
        </w:rPr>
        <w:t>—</w:t>
      </w:r>
      <w:r w:rsidRPr="00A907F3">
        <w:rPr>
          <w:i/>
          <w:iCs/>
          <w:lang w:val="en-US"/>
        </w:rPr>
        <w:t>Comparative Study</w:t>
      </w:r>
      <w:r w:rsidRPr="00A907F3">
        <w:rPr>
          <w:lang w:val="en-US"/>
        </w:rPr>
        <w:t xml:space="preserve">, </w:t>
      </w:r>
      <w:proofErr w:type="spellStart"/>
      <w:r w:rsidR="004A01ED" w:rsidRPr="00A907F3">
        <w:rPr>
          <w:lang w:val="en-US"/>
        </w:rPr>
        <w:t>por</w:t>
      </w:r>
      <w:proofErr w:type="spellEnd"/>
      <w:r w:rsidRPr="00A907F3">
        <w:rPr>
          <w:lang w:val="en-US"/>
        </w:rPr>
        <w:t xml:space="preserve"> P.V. Bapat, Poona, 1937.</w:t>
      </w:r>
      <w:r w:rsidR="00D934BF" w:rsidRPr="00A907F3">
        <w:rPr>
          <w:lang w:val="en-US"/>
        </w:rPr>
        <w:t xml:space="preserve"> </w:t>
      </w:r>
      <w:r w:rsidRPr="009B31FA">
        <w:t>((</w:t>
      </w:r>
      <w:r w:rsidR="004A01ED" w:rsidRPr="009B31FA">
        <w:t>Reimpreso por</w:t>
      </w:r>
      <w:r w:rsidRPr="009B31FA">
        <w:t xml:space="preserve"> BPS, 2010))</w:t>
      </w:r>
    </w:p>
    <w:p w14:paraId="2AFDA1A3" w14:textId="77777777" w:rsidR="002A69AE" w:rsidRDefault="002A69AE">
      <w:r>
        <w:br w:type="page"/>
      </w:r>
    </w:p>
    <w:p w14:paraId="5F2EC6AD" w14:textId="7784A136" w:rsidR="005D7B09" w:rsidRPr="005D7B09" w:rsidRDefault="00DF62EA" w:rsidP="00260D15">
      <w:pPr>
        <w:pStyle w:val="Ttulo2"/>
        <w:jc w:val="center"/>
      </w:pPr>
      <w:r w:rsidRPr="005D7B09">
        <w:lastRenderedPageBreak/>
        <w:t>List</w:t>
      </w:r>
      <w:r w:rsidR="004A01ED">
        <w:t>a</w:t>
      </w:r>
      <w:r w:rsidRPr="005D7B09">
        <w:t xml:space="preserve"> </w:t>
      </w:r>
      <w:r w:rsidR="004A01ED">
        <w:t>de</w:t>
      </w:r>
      <w:r w:rsidRPr="005D7B09">
        <w:t xml:space="preserve"> </w:t>
      </w:r>
      <w:r w:rsidR="00F20968" w:rsidRPr="005D7B09">
        <w:t>Abreviac</w:t>
      </w:r>
      <w:r w:rsidR="00F20968">
        <w:t>i</w:t>
      </w:r>
      <w:r w:rsidR="00F20968" w:rsidRPr="005D7B09">
        <w:t>one</w:t>
      </w:r>
      <w:r w:rsidR="00F20968">
        <w:t>s</w:t>
      </w:r>
      <w:r w:rsidRPr="005D7B09">
        <w:t xml:space="preserve"> </w:t>
      </w:r>
      <w:r w:rsidR="00060145">
        <w:t>Utilizados en los Textos</w:t>
      </w:r>
    </w:p>
    <w:p w14:paraId="3E474492" w14:textId="77777777" w:rsidR="00AF6816" w:rsidRDefault="00AF6816" w:rsidP="00DD6C6F">
      <w:pPr>
        <w:pStyle w:val="NumeracinReload"/>
        <w:tabs>
          <w:tab w:val="left" w:pos="851"/>
        </w:tabs>
        <w:ind w:left="851" w:hanging="851"/>
        <w:rPr>
          <w:i/>
          <w:iCs/>
        </w:rPr>
      </w:pPr>
    </w:p>
    <w:p w14:paraId="1EF70D3E" w14:textId="5EB9D25C" w:rsidR="00142741" w:rsidRDefault="00142741" w:rsidP="00DD6C6F">
      <w:pPr>
        <w:pStyle w:val="NumeracinReload"/>
        <w:tabs>
          <w:tab w:val="left" w:pos="851"/>
        </w:tabs>
        <w:ind w:left="851" w:hanging="851"/>
        <w:rPr>
          <w:i/>
          <w:iCs/>
        </w:rPr>
      </w:pPr>
      <w:r w:rsidRPr="00142741">
        <w:rPr>
          <w:i/>
          <w:iCs/>
        </w:rPr>
        <w:t xml:space="preserve">Todas </w:t>
      </w:r>
      <w:r>
        <w:rPr>
          <w:i/>
          <w:iCs/>
        </w:rPr>
        <w:t xml:space="preserve">pertenecen a </w:t>
      </w:r>
      <w:r w:rsidRPr="00142741">
        <w:rPr>
          <w:i/>
          <w:iCs/>
        </w:rPr>
        <w:t xml:space="preserve">las ediciones </w:t>
      </w:r>
      <w:r>
        <w:rPr>
          <w:i/>
          <w:iCs/>
        </w:rPr>
        <w:t xml:space="preserve">del </w:t>
      </w:r>
      <w:r w:rsidR="00AD6B1D" w:rsidRPr="00AD6B1D">
        <w:rPr>
          <w:i/>
          <w:iCs/>
        </w:rPr>
        <w:t>Pāḷi</w:t>
      </w:r>
      <w:r w:rsidRPr="00142741">
        <w:rPr>
          <w:i/>
          <w:iCs/>
        </w:rPr>
        <w:t xml:space="preserve"> Text </w:t>
      </w:r>
      <w:proofErr w:type="spellStart"/>
      <w:r w:rsidRPr="00142741">
        <w:rPr>
          <w:i/>
          <w:iCs/>
        </w:rPr>
        <w:t>Society</w:t>
      </w:r>
      <w:proofErr w:type="spellEnd"/>
      <w:r w:rsidRPr="00142741">
        <w:rPr>
          <w:i/>
          <w:iCs/>
        </w:rPr>
        <w:t xml:space="preserve"> a menos que se indique lo contrario </w:t>
      </w:r>
    </w:p>
    <w:p w14:paraId="385D4C0A" w14:textId="108070EF" w:rsidR="005D7B09" w:rsidRPr="005E069F" w:rsidRDefault="005D7B09" w:rsidP="005939EF">
      <w:pPr>
        <w:pStyle w:val="NumeracinReload"/>
        <w:tabs>
          <w:tab w:val="clear" w:pos="567"/>
          <w:tab w:val="left" w:pos="851"/>
        </w:tabs>
        <w:ind w:left="851" w:hanging="851"/>
        <w:rPr>
          <w:sz w:val="16"/>
          <w:szCs w:val="18"/>
        </w:rPr>
      </w:pPr>
      <w:r w:rsidRPr="005E069F">
        <w:rPr>
          <w:sz w:val="16"/>
          <w:szCs w:val="18"/>
        </w:rPr>
        <w:t>A</w:t>
      </w:r>
      <w:r w:rsidRPr="005E069F">
        <w:rPr>
          <w:sz w:val="16"/>
          <w:szCs w:val="18"/>
        </w:rPr>
        <w:tab/>
      </w:r>
      <w:r w:rsidR="001E5A7C">
        <w:rPr>
          <w:sz w:val="16"/>
          <w:szCs w:val="18"/>
        </w:rPr>
        <w:tab/>
      </w:r>
      <w:proofErr w:type="spellStart"/>
      <w:r w:rsidRPr="00EE78D2">
        <w:rPr>
          <w:sz w:val="16"/>
          <w:szCs w:val="18"/>
        </w:rPr>
        <w:t>A</w:t>
      </w:r>
      <w:r w:rsidR="00EE78D2" w:rsidRPr="007D04BA">
        <w:rPr>
          <w:sz w:val="16"/>
          <w:szCs w:val="20"/>
        </w:rPr>
        <w:t>ṅ</w:t>
      </w:r>
      <w:r w:rsidRPr="00EE78D2">
        <w:rPr>
          <w:sz w:val="16"/>
          <w:szCs w:val="18"/>
        </w:rPr>
        <w:t>guttara</w:t>
      </w:r>
      <w:proofErr w:type="spellEnd"/>
      <w:r w:rsidRPr="005E069F">
        <w:rPr>
          <w:sz w:val="16"/>
          <w:szCs w:val="18"/>
        </w:rPr>
        <w:t xml:space="preserve"> </w:t>
      </w:r>
      <w:r w:rsidRPr="00EE78D2">
        <w:rPr>
          <w:sz w:val="16"/>
          <w:szCs w:val="18"/>
        </w:rPr>
        <w:t>Nik</w:t>
      </w:r>
      <w:r w:rsidR="00EE78D2" w:rsidRPr="007D04BA">
        <w:rPr>
          <w:sz w:val="16"/>
          <w:szCs w:val="20"/>
        </w:rPr>
        <w:t>ā</w:t>
      </w:r>
      <w:r w:rsidRPr="00EE78D2">
        <w:rPr>
          <w:sz w:val="16"/>
          <w:szCs w:val="18"/>
        </w:rPr>
        <w:t>ya</w:t>
      </w:r>
    </w:p>
    <w:p w14:paraId="6E3AF6F8" w14:textId="2A7940D1" w:rsidR="005D7B09" w:rsidRPr="007D04BA" w:rsidRDefault="005D7B09" w:rsidP="005939EF">
      <w:pPr>
        <w:pStyle w:val="NumeracinReload"/>
        <w:tabs>
          <w:tab w:val="clear" w:pos="567"/>
          <w:tab w:val="left" w:pos="851"/>
        </w:tabs>
        <w:ind w:left="851" w:hanging="851"/>
        <w:rPr>
          <w:sz w:val="16"/>
          <w:szCs w:val="18"/>
        </w:rPr>
      </w:pPr>
      <w:r w:rsidRPr="005E069F">
        <w:rPr>
          <w:sz w:val="16"/>
          <w:szCs w:val="18"/>
        </w:rPr>
        <w:t>A-a</w:t>
      </w:r>
      <w:r w:rsidRPr="005E069F">
        <w:rPr>
          <w:sz w:val="16"/>
          <w:szCs w:val="18"/>
        </w:rPr>
        <w:tab/>
      </w:r>
      <w:r w:rsidR="001E5A7C">
        <w:rPr>
          <w:sz w:val="16"/>
          <w:szCs w:val="18"/>
        </w:rPr>
        <w:tab/>
      </w:r>
      <w:proofErr w:type="spellStart"/>
      <w:r w:rsidRPr="005E069F">
        <w:rPr>
          <w:i/>
          <w:iCs/>
          <w:sz w:val="16"/>
          <w:szCs w:val="18"/>
        </w:rPr>
        <w:t>A</w:t>
      </w:r>
      <w:r w:rsidR="00EE78D2" w:rsidRPr="007D04BA">
        <w:rPr>
          <w:i/>
          <w:iCs/>
          <w:sz w:val="16"/>
          <w:szCs w:val="20"/>
        </w:rPr>
        <w:t>ṅ</w:t>
      </w:r>
      <w:r w:rsidRPr="005E069F">
        <w:rPr>
          <w:i/>
          <w:iCs/>
          <w:sz w:val="16"/>
          <w:szCs w:val="18"/>
        </w:rPr>
        <w:t>guttara</w:t>
      </w:r>
      <w:proofErr w:type="spellEnd"/>
      <w:r w:rsidRPr="005E069F">
        <w:rPr>
          <w:i/>
          <w:iCs/>
          <w:sz w:val="16"/>
          <w:szCs w:val="18"/>
        </w:rPr>
        <w:t xml:space="preserve"> Nik</w:t>
      </w:r>
      <w:r w:rsidR="00EE78D2" w:rsidRPr="007D04BA">
        <w:rPr>
          <w:i/>
          <w:iCs/>
          <w:sz w:val="16"/>
          <w:szCs w:val="20"/>
        </w:rPr>
        <w:t>ā</w:t>
      </w:r>
      <w:r w:rsidRPr="005E069F">
        <w:rPr>
          <w:i/>
          <w:iCs/>
          <w:sz w:val="16"/>
          <w:szCs w:val="18"/>
        </w:rPr>
        <w:t xml:space="preserve">ya </w:t>
      </w:r>
      <w:proofErr w:type="spellStart"/>
      <w:r w:rsidRPr="005E069F">
        <w:rPr>
          <w:i/>
          <w:iCs/>
          <w:sz w:val="16"/>
          <w:szCs w:val="18"/>
        </w:rPr>
        <w:t>A</w:t>
      </w:r>
      <w:r w:rsidR="00EE78D2" w:rsidRPr="007D04BA">
        <w:rPr>
          <w:i/>
          <w:iCs/>
          <w:sz w:val="16"/>
          <w:szCs w:val="20"/>
        </w:rPr>
        <w:t>ṭṭ</w:t>
      </w:r>
      <w:r w:rsidRPr="005E069F">
        <w:rPr>
          <w:i/>
          <w:iCs/>
          <w:sz w:val="16"/>
          <w:szCs w:val="18"/>
        </w:rPr>
        <w:t>hakath</w:t>
      </w:r>
      <w:r w:rsidR="00EE78D2" w:rsidRPr="007D04BA">
        <w:rPr>
          <w:i/>
          <w:iCs/>
          <w:sz w:val="16"/>
          <w:szCs w:val="20"/>
        </w:rPr>
        <w:t>ā</w:t>
      </w:r>
      <w:proofErr w:type="spellEnd"/>
      <w:r w:rsidRPr="005E069F">
        <w:rPr>
          <w:sz w:val="16"/>
          <w:szCs w:val="18"/>
        </w:rPr>
        <w:t xml:space="preserve"> = </w:t>
      </w:r>
      <w:proofErr w:type="spellStart"/>
      <w:r w:rsidRPr="005E069F">
        <w:rPr>
          <w:i/>
          <w:iCs/>
          <w:sz w:val="16"/>
          <w:szCs w:val="18"/>
        </w:rPr>
        <w:t>Manorathapur</w:t>
      </w:r>
      <w:r w:rsidR="007D04BA" w:rsidRPr="007D04BA">
        <w:rPr>
          <w:i/>
          <w:iCs/>
          <w:sz w:val="16"/>
          <w:szCs w:val="20"/>
        </w:rPr>
        <w:t>āṇī</w:t>
      </w:r>
      <w:proofErr w:type="spellEnd"/>
    </w:p>
    <w:p w14:paraId="6721720A" w14:textId="08B84A0D" w:rsidR="005D7B09" w:rsidRPr="005E069F" w:rsidRDefault="005D7B09" w:rsidP="005939EF">
      <w:pPr>
        <w:pStyle w:val="NumeracinReload"/>
        <w:tabs>
          <w:tab w:val="clear" w:pos="567"/>
          <w:tab w:val="left" w:pos="851"/>
        </w:tabs>
        <w:ind w:left="851" w:hanging="851"/>
        <w:rPr>
          <w:sz w:val="16"/>
          <w:szCs w:val="18"/>
        </w:rPr>
      </w:pPr>
      <w:proofErr w:type="spellStart"/>
      <w:r w:rsidRPr="005E069F">
        <w:rPr>
          <w:sz w:val="16"/>
          <w:szCs w:val="18"/>
        </w:rPr>
        <w:t>Cp</w:t>
      </w:r>
      <w:proofErr w:type="spellEnd"/>
      <w:r w:rsidRPr="005E069F">
        <w:rPr>
          <w:sz w:val="16"/>
          <w:szCs w:val="18"/>
        </w:rPr>
        <w:tab/>
      </w:r>
      <w:r w:rsidR="001E5A7C">
        <w:rPr>
          <w:sz w:val="16"/>
          <w:szCs w:val="18"/>
        </w:rPr>
        <w:tab/>
      </w:r>
      <w:proofErr w:type="spellStart"/>
      <w:r w:rsidRPr="00940DD8">
        <w:rPr>
          <w:sz w:val="16"/>
          <w:szCs w:val="18"/>
        </w:rPr>
        <w:t>Cariy</w:t>
      </w:r>
      <w:r w:rsidR="007D04BA" w:rsidRPr="00940DD8">
        <w:rPr>
          <w:sz w:val="16"/>
          <w:szCs w:val="20"/>
        </w:rPr>
        <w:t>ā</w:t>
      </w:r>
      <w:r w:rsidRPr="00940DD8">
        <w:rPr>
          <w:sz w:val="16"/>
          <w:szCs w:val="18"/>
        </w:rPr>
        <w:t>pi</w:t>
      </w:r>
      <w:r w:rsidR="007D04BA" w:rsidRPr="00940DD8">
        <w:rPr>
          <w:sz w:val="16"/>
          <w:szCs w:val="20"/>
        </w:rPr>
        <w:t>ṭ</w:t>
      </w:r>
      <w:r w:rsidRPr="00940DD8">
        <w:rPr>
          <w:sz w:val="16"/>
          <w:szCs w:val="18"/>
        </w:rPr>
        <w:t>aka</w:t>
      </w:r>
      <w:proofErr w:type="spellEnd"/>
    </w:p>
    <w:p w14:paraId="0920E3D8" w14:textId="20FD8A13" w:rsidR="005D7B09" w:rsidRPr="007D04BA" w:rsidRDefault="005D7B09" w:rsidP="005939EF">
      <w:pPr>
        <w:pStyle w:val="NumeracinReload"/>
        <w:tabs>
          <w:tab w:val="clear" w:pos="567"/>
          <w:tab w:val="left" w:pos="851"/>
        </w:tabs>
        <w:ind w:left="851" w:hanging="851"/>
        <w:rPr>
          <w:sz w:val="16"/>
          <w:szCs w:val="18"/>
        </w:rPr>
      </w:pPr>
      <w:proofErr w:type="spellStart"/>
      <w:r w:rsidRPr="005E069F">
        <w:rPr>
          <w:sz w:val="16"/>
          <w:szCs w:val="18"/>
        </w:rPr>
        <w:t>Cp</w:t>
      </w:r>
      <w:proofErr w:type="spellEnd"/>
      <w:r w:rsidRPr="005E069F">
        <w:rPr>
          <w:sz w:val="16"/>
          <w:szCs w:val="18"/>
        </w:rPr>
        <w:t>-a</w:t>
      </w:r>
      <w:r w:rsidRPr="005E069F">
        <w:rPr>
          <w:sz w:val="16"/>
          <w:szCs w:val="18"/>
        </w:rPr>
        <w:tab/>
      </w:r>
      <w:r w:rsidR="001E5A7C">
        <w:rPr>
          <w:sz w:val="16"/>
          <w:szCs w:val="18"/>
        </w:rPr>
        <w:tab/>
      </w:r>
      <w:proofErr w:type="spellStart"/>
      <w:r w:rsidRPr="005E069F">
        <w:rPr>
          <w:i/>
          <w:iCs/>
          <w:sz w:val="16"/>
          <w:szCs w:val="18"/>
        </w:rPr>
        <w:t>Cariy</w:t>
      </w:r>
      <w:r w:rsidR="007D04BA" w:rsidRPr="007D04BA">
        <w:rPr>
          <w:i/>
          <w:iCs/>
          <w:sz w:val="16"/>
          <w:szCs w:val="20"/>
        </w:rPr>
        <w:t>ā</w:t>
      </w:r>
      <w:r w:rsidRPr="005E069F">
        <w:rPr>
          <w:i/>
          <w:iCs/>
          <w:sz w:val="16"/>
          <w:szCs w:val="18"/>
        </w:rPr>
        <w:t>pi</w:t>
      </w:r>
      <w:r w:rsidR="007D04BA" w:rsidRPr="007D04BA">
        <w:rPr>
          <w:i/>
          <w:iCs/>
          <w:sz w:val="16"/>
          <w:szCs w:val="20"/>
        </w:rPr>
        <w:t>ṭ</w:t>
      </w:r>
      <w:r w:rsidRPr="005E069F">
        <w:rPr>
          <w:i/>
          <w:iCs/>
          <w:sz w:val="16"/>
          <w:szCs w:val="18"/>
        </w:rPr>
        <w:t>aka</w:t>
      </w:r>
      <w:proofErr w:type="spellEnd"/>
      <w:r w:rsidRPr="005E069F">
        <w:rPr>
          <w:sz w:val="16"/>
          <w:szCs w:val="18"/>
        </w:rPr>
        <w:t xml:space="preserve"> </w:t>
      </w:r>
      <w:proofErr w:type="spellStart"/>
      <w:r w:rsidRPr="005E069F">
        <w:rPr>
          <w:i/>
          <w:iCs/>
          <w:sz w:val="16"/>
          <w:szCs w:val="18"/>
        </w:rPr>
        <w:t>A</w:t>
      </w:r>
      <w:r w:rsidR="007D04BA" w:rsidRPr="007D04BA">
        <w:rPr>
          <w:i/>
          <w:iCs/>
          <w:sz w:val="16"/>
          <w:szCs w:val="20"/>
        </w:rPr>
        <w:t>ṭṭ</w:t>
      </w:r>
      <w:r w:rsidRPr="005E069F">
        <w:rPr>
          <w:i/>
          <w:iCs/>
          <w:sz w:val="16"/>
          <w:szCs w:val="18"/>
        </w:rPr>
        <w:t>hakath</w:t>
      </w:r>
      <w:r w:rsidR="007D04BA" w:rsidRPr="007D04BA">
        <w:rPr>
          <w:i/>
          <w:iCs/>
          <w:sz w:val="16"/>
          <w:szCs w:val="20"/>
        </w:rPr>
        <w:t>ā</w:t>
      </w:r>
      <w:proofErr w:type="spellEnd"/>
    </w:p>
    <w:p w14:paraId="4DD192C2" w14:textId="39A6BAF7" w:rsidR="005D7B09" w:rsidRPr="005E069F" w:rsidRDefault="005D7B09" w:rsidP="005939EF">
      <w:pPr>
        <w:pStyle w:val="NumeracinReload"/>
        <w:tabs>
          <w:tab w:val="clear" w:pos="567"/>
          <w:tab w:val="left" w:pos="851"/>
        </w:tabs>
        <w:ind w:left="851" w:hanging="851"/>
        <w:rPr>
          <w:sz w:val="16"/>
          <w:szCs w:val="18"/>
        </w:rPr>
      </w:pPr>
      <w:proofErr w:type="spellStart"/>
      <w:r w:rsidRPr="005E069F">
        <w:rPr>
          <w:sz w:val="16"/>
          <w:szCs w:val="18"/>
        </w:rPr>
        <w:t>Dhp</w:t>
      </w:r>
      <w:proofErr w:type="spellEnd"/>
      <w:r w:rsidRPr="005E069F">
        <w:rPr>
          <w:sz w:val="16"/>
          <w:szCs w:val="18"/>
        </w:rPr>
        <w:tab/>
      </w:r>
      <w:r w:rsidR="001E5A7C">
        <w:rPr>
          <w:sz w:val="16"/>
          <w:szCs w:val="18"/>
        </w:rPr>
        <w:tab/>
      </w:r>
      <w:proofErr w:type="spellStart"/>
      <w:r w:rsidR="00057BF4" w:rsidRPr="00E05C66">
        <w:rPr>
          <w:iCs/>
          <w:sz w:val="16"/>
          <w:szCs w:val="18"/>
        </w:rPr>
        <w:t>Dhamma</w:t>
      </w:r>
      <w:r w:rsidRPr="00E05C66">
        <w:rPr>
          <w:iCs/>
          <w:sz w:val="16"/>
          <w:szCs w:val="18"/>
        </w:rPr>
        <w:t>pada</w:t>
      </w:r>
      <w:proofErr w:type="spellEnd"/>
    </w:p>
    <w:p w14:paraId="7BF80CA4" w14:textId="4C5F7B2F" w:rsidR="005D7B09" w:rsidRPr="005E069F" w:rsidRDefault="005D7B09" w:rsidP="005939EF">
      <w:pPr>
        <w:pStyle w:val="NumeracinReload"/>
        <w:tabs>
          <w:tab w:val="clear" w:pos="567"/>
          <w:tab w:val="left" w:pos="851"/>
        </w:tabs>
        <w:ind w:left="851" w:hanging="851"/>
        <w:rPr>
          <w:sz w:val="16"/>
          <w:szCs w:val="18"/>
        </w:rPr>
      </w:pPr>
      <w:proofErr w:type="spellStart"/>
      <w:r w:rsidRPr="005E069F">
        <w:rPr>
          <w:sz w:val="16"/>
          <w:szCs w:val="18"/>
        </w:rPr>
        <w:t>Dhp</w:t>
      </w:r>
      <w:proofErr w:type="spellEnd"/>
      <w:r w:rsidRPr="005E069F">
        <w:rPr>
          <w:sz w:val="16"/>
          <w:szCs w:val="18"/>
        </w:rPr>
        <w:t>-a</w:t>
      </w:r>
      <w:r w:rsidRPr="005E069F">
        <w:rPr>
          <w:sz w:val="16"/>
          <w:szCs w:val="18"/>
        </w:rPr>
        <w:tab/>
      </w:r>
      <w:r w:rsidR="001E5A7C">
        <w:rPr>
          <w:sz w:val="16"/>
          <w:szCs w:val="18"/>
        </w:rPr>
        <w:tab/>
      </w:r>
      <w:proofErr w:type="spellStart"/>
      <w:r w:rsidR="00057BF4" w:rsidRPr="00057BF4">
        <w:rPr>
          <w:i/>
          <w:iCs/>
          <w:sz w:val="16"/>
          <w:szCs w:val="18"/>
        </w:rPr>
        <w:t>Dhamma</w:t>
      </w:r>
      <w:r w:rsidRPr="005E069F">
        <w:rPr>
          <w:i/>
          <w:iCs/>
          <w:sz w:val="16"/>
          <w:szCs w:val="18"/>
        </w:rPr>
        <w:t>pada</w:t>
      </w:r>
      <w:proofErr w:type="spellEnd"/>
      <w:r w:rsidRPr="005E069F">
        <w:rPr>
          <w:i/>
          <w:iCs/>
          <w:sz w:val="16"/>
          <w:szCs w:val="18"/>
        </w:rPr>
        <w:t xml:space="preserve"> </w:t>
      </w:r>
      <w:proofErr w:type="spellStart"/>
      <w:r w:rsidR="007D04BA" w:rsidRPr="005E069F">
        <w:rPr>
          <w:i/>
          <w:iCs/>
          <w:sz w:val="16"/>
          <w:szCs w:val="18"/>
        </w:rPr>
        <w:t>A</w:t>
      </w:r>
      <w:r w:rsidR="007D04BA" w:rsidRPr="007D04BA">
        <w:rPr>
          <w:i/>
          <w:iCs/>
          <w:sz w:val="16"/>
          <w:szCs w:val="20"/>
        </w:rPr>
        <w:t>ṭṭ</w:t>
      </w:r>
      <w:r w:rsidR="007D04BA" w:rsidRPr="005E069F">
        <w:rPr>
          <w:i/>
          <w:iCs/>
          <w:sz w:val="16"/>
          <w:szCs w:val="18"/>
        </w:rPr>
        <w:t>hakath</w:t>
      </w:r>
      <w:r w:rsidR="007D04BA" w:rsidRPr="007D04BA">
        <w:rPr>
          <w:i/>
          <w:iCs/>
          <w:sz w:val="16"/>
          <w:szCs w:val="20"/>
        </w:rPr>
        <w:t>ā</w:t>
      </w:r>
      <w:proofErr w:type="spellEnd"/>
    </w:p>
    <w:p w14:paraId="7609EC8E" w14:textId="060591AB" w:rsidR="005D7B09" w:rsidRPr="007D04BA" w:rsidRDefault="005D7B09" w:rsidP="005939EF">
      <w:pPr>
        <w:pStyle w:val="NumeracinReload"/>
        <w:tabs>
          <w:tab w:val="clear" w:pos="567"/>
          <w:tab w:val="left" w:pos="851"/>
        </w:tabs>
        <w:ind w:left="851" w:hanging="851"/>
        <w:rPr>
          <w:sz w:val="16"/>
          <w:szCs w:val="18"/>
        </w:rPr>
      </w:pPr>
      <w:proofErr w:type="spellStart"/>
      <w:r w:rsidRPr="005E069F">
        <w:rPr>
          <w:sz w:val="16"/>
          <w:szCs w:val="18"/>
        </w:rPr>
        <w:t>Dhs</w:t>
      </w:r>
      <w:proofErr w:type="spellEnd"/>
      <w:r w:rsidRPr="005E069F">
        <w:rPr>
          <w:sz w:val="16"/>
          <w:szCs w:val="18"/>
        </w:rPr>
        <w:tab/>
      </w:r>
      <w:r w:rsidR="001E5A7C">
        <w:rPr>
          <w:sz w:val="16"/>
          <w:szCs w:val="18"/>
        </w:rPr>
        <w:tab/>
      </w:r>
      <w:proofErr w:type="spellStart"/>
      <w:r w:rsidR="00057BF4" w:rsidRPr="00E05C66">
        <w:rPr>
          <w:iCs/>
          <w:sz w:val="16"/>
          <w:szCs w:val="18"/>
        </w:rPr>
        <w:t>Dhamma</w:t>
      </w:r>
      <w:r w:rsidRPr="00E05C66">
        <w:rPr>
          <w:iCs/>
          <w:sz w:val="16"/>
          <w:szCs w:val="18"/>
        </w:rPr>
        <w:t>sa</w:t>
      </w:r>
      <w:r w:rsidR="007D04BA" w:rsidRPr="00E05C66">
        <w:rPr>
          <w:iCs/>
          <w:sz w:val="16"/>
          <w:szCs w:val="20"/>
        </w:rPr>
        <w:t>ṅ</w:t>
      </w:r>
      <w:r w:rsidRPr="00E05C66">
        <w:rPr>
          <w:iCs/>
          <w:sz w:val="16"/>
          <w:szCs w:val="18"/>
        </w:rPr>
        <w:t>ga</w:t>
      </w:r>
      <w:r w:rsidR="007D04BA" w:rsidRPr="00E05C66">
        <w:rPr>
          <w:iCs/>
          <w:sz w:val="16"/>
          <w:szCs w:val="20"/>
        </w:rPr>
        <w:t>ṇī</w:t>
      </w:r>
      <w:proofErr w:type="spellEnd"/>
    </w:p>
    <w:p w14:paraId="75C502E3" w14:textId="1E9C255D" w:rsidR="005D7B09" w:rsidRPr="005E069F" w:rsidRDefault="005D7B09" w:rsidP="005939EF">
      <w:pPr>
        <w:pStyle w:val="NumeracinReload"/>
        <w:tabs>
          <w:tab w:val="clear" w:pos="567"/>
          <w:tab w:val="left" w:pos="851"/>
        </w:tabs>
        <w:ind w:left="851" w:hanging="851"/>
        <w:rPr>
          <w:i/>
          <w:iCs/>
          <w:sz w:val="16"/>
          <w:szCs w:val="18"/>
        </w:rPr>
      </w:pPr>
      <w:proofErr w:type="spellStart"/>
      <w:r w:rsidRPr="005E069F">
        <w:rPr>
          <w:sz w:val="16"/>
          <w:szCs w:val="18"/>
        </w:rPr>
        <w:t>Dhs</w:t>
      </w:r>
      <w:proofErr w:type="spellEnd"/>
      <w:r w:rsidRPr="005E069F">
        <w:rPr>
          <w:sz w:val="16"/>
          <w:szCs w:val="18"/>
        </w:rPr>
        <w:t>-a</w:t>
      </w:r>
      <w:r w:rsidRPr="005E069F">
        <w:rPr>
          <w:sz w:val="16"/>
          <w:szCs w:val="18"/>
        </w:rPr>
        <w:tab/>
      </w:r>
      <w:r w:rsidR="001E5A7C">
        <w:rPr>
          <w:sz w:val="16"/>
          <w:szCs w:val="18"/>
        </w:rPr>
        <w:tab/>
      </w:r>
      <w:proofErr w:type="spellStart"/>
      <w:r w:rsidR="00057BF4" w:rsidRPr="00057BF4">
        <w:rPr>
          <w:i/>
          <w:iCs/>
          <w:sz w:val="16"/>
          <w:szCs w:val="18"/>
        </w:rPr>
        <w:t>Dhamma</w:t>
      </w:r>
      <w:r w:rsidRPr="005E069F">
        <w:rPr>
          <w:i/>
          <w:iCs/>
          <w:sz w:val="16"/>
          <w:szCs w:val="18"/>
        </w:rPr>
        <w:t>sa</w:t>
      </w:r>
      <w:r w:rsidR="007D04BA" w:rsidRPr="007D04BA">
        <w:rPr>
          <w:i/>
          <w:iCs/>
          <w:sz w:val="16"/>
          <w:szCs w:val="20"/>
        </w:rPr>
        <w:t>ṅ</w:t>
      </w:r>
      <w:r w:rsidRPr="005E069F">
        <w:rPr>
          <w:i/>
          <w:iCs/>
          <w:sz w:val="16"/>
          <w:szCs w:val="18"/>
        </w:rPr>
        <w:t>ga</w:t>
      </w:r>
      <w:r w:rsidR="007D04BA" w:rsidRPr="007D04BA">
        <w:rPr>
          <w:i/>
          <w:iCs/>
          <w:sz w:val="16"/>
          <w:szCs w:val="20"/>
        </w:rPr>
        <w:t>ṇī</w:t>
      </w:r>
      <w:proofErr w:type="spellEnd"/>
      <w:r w:rsidR="00E05C66">
        <w:rPr>
          <w:i/>
          <w:iCs/>
          <w:sz w:val="16"/>
          <w:szCs w:val="20"/>
        </w:rPr>
        <w:t xml:space="preserve"> </w:t>
      </w:r>
      <w:proofErr w:type="spellStart"/>
      <w:r w:rsidRPr="005E069F">
        <w:rPr>
          <w:i/>
          <w:iCs/>
          <w:sz w:val="16"/>
          <w:szCs w:val="18"/>
        </w:rPr>
        <w:t>A</w:t>
      </w:r>
      <w:r w:rsidR="007D04BA" w:rsidRPr="007D04BA">
        <w:rPr>
          <w:i/>
          <w:iCs/>
          <w:sz w:val="16"/>
          <w:szCs w:val="20"/>
        </w:rPr>
        <w:t>ṭṭ</w:t>
      </w:r>
      <w:r w:rsidRPr="005E069F">
        <w:rPr>
          <w:i/>
          <w:iCs/>
          <w:sz w:val="16"/>
          <w:szCs w:val="18"/>
        </w:rPr>
        <w:t>hakath</w:t>
      </w:r>
      <w:r w:rsidR="007D04BA" w:rsidRPr="007D04BA">
        <w:rPr>
          <w:i/>
          <w:iCs/>
          <w:sz w:val="16"/>
          <w:szCs w:val="20"/>
        </w:rPr>
        <w:t>ā</w:t>
      </w:r>
      <w:proofErr w:type="spellEnd"/>
      <w:r w:rsidRPr="005E069F">
        <w:rPr>
          <w:i/>
          <w:iCs/>
          <w:sz w:val="16"/>
          <w:szCs w:val="18"/>
        </w:rPr>
        <w:t xml:space="preserve"> = </w:t>
      </w:r>
      <w:proofErr w:type="spellStart"/>
      <w:r w:rsidRPr="005E069F">
        <w:rPr>
          <w:i/>
          <w:iCs/>
          <w:sz w:val="16"/>
          <w:szCs w:val="18"/>
        </w:rPr>
        <w:t>Atthas</w:t>
      </w:r>
      <w:r w:rsidR="007D04BA" w:rsidRPr="007D04BA">
        <w:rPr>
          <w:i/>
          <w:iCs/>
          <w:sz w:val="16"/>
          <w:szCs w:val="20"/>
        </w:rPr>
        <w:t>ā</w:t>
      </w:r>
      <w:r w:rsidRPr="005E069F">
        <w:rPr>
          <w:i/>
          <w:iCs/>
          <w:sz w:val="16"/>
          <w:szCs w:val="18"/>
        </w:rPr>
        <w:t>lin</w:t>
      </w:r>
      <w:r w:rsidR="007D04BA" w:rsidRPr="007D04BA">
        <w:rPr>
          <w:i/>
          <w:iCs/>
          <w:sz w:val="16"/>
          <w:szCs w:val="20"/>
        </w:rPr>
        <w:t>ī</w:t>
      </w:r>
      <w:proofErr w:type="spellEnd"/>
    </w:p>
    <w:p w14:paraId="220CAFAF" w14:textId="53D15B0A" w:rsidR="005D7B09" w:rsidRPr="005E069F" w:rsidRDefault="005D7B09" w:rsidP="005939EF">
      <w:pPr>
        <w:pStyle w:val="NumeracinReload"/>
        <w:tabs>
          <w:tab w:val="clear" w:pos="567"/>
          <w:tab w:val="left" w:pos="851"/>
        </w:tabs>
        <w:ind w:left="851" w:hanging="851"/>
        <w:rPr>
          <w:i/>
          <w:iCs/>
          <w:sz w:val="16"/>
          <w:szCs w:val="18"/>
        </w:rPr>
      </w:pPr>
      <w:proofErr w:type="spellStart"/>
      <w:r w:rsidRPr="005939EF">
        <w:rPr>
          <w:sz w:val="16"/>
          <w:szCs w:val="18"/>
        </w:rPr>
        <w:t>Dhs</w:t>
      </w:r>
      <w:proofErr w:type="spellEnd"/>
      <w:r w:rsidRPr="005939EF">
        <w:rPr>
          <w:sz w:val="16"/>
          <w:szCs w:val="18"/>
        </w:rPr>
        <w:t>-</w:t>
      </w:r>
      <w:r w:rsidR="001E5A7C" w:rsidRPr="005939EF">
        <w:rPr>
          <w:sz w:val="16"/>
          <w:szCs w:val="18"/>
        </w:rPr>
        <w:t>ṭ</w:t>
      </w:r>
      <w:r w:rsidR="001E5A7C">
        <w:rPr>
          <w:i/>
          <w:iCs/>
          <w:sz w:val="16"/>
          <w:szCs w:val="18"/>
        </w:rPr>
        <w:t xml:space="preserve"> </w:t>
      </w:r>
      <w:r w:rsidRPr="005E069F">
        <w:rPr>
          <w:i/>
          <w:iCs/>
          <w:sz w:val="16"/>
          <w:szCs w:val="18"/>
        </w:rPr>
        <w:tab/>
      </w:r>
      <w:r w:rsidR="001E5A7C">
        <w:rPr>
          <w:i/>
          <w:iCs/>
          <w:sz w:val="16"/>
          <w:szCs w:val="18"/>
        </w:rPr>
        <w:tab/>
      </w:r>
      <w:proofErr w:type="spellStart"/>
      <w:r w:rsidR="00057BF4" w:rsidRPr="00057BF4">
        <w:rPr>
          <w:i/>
          <w:iCs/>
          <w:sz w:val="16"/>
          <w:szCs w:val="18"/>
        </w:rPr>
        <w:t>Dhamma</w:t>
      </w:r>
      <w:r w:rsidRPr="005E069F">
        <w:rPr>
          <w:i/>
          <w:iCs/>
          <w:sz w:val="16"/>
          <w:szCs w:val="18"/>
        </w:rPr>
        <w:t>sa</w:t>
      </w:r>
      <w:r w:rsidR="007D04BA" w:rsidRPr="007D04BA">
        <w:rPr>
          <w:i/>
          <w:iCs/>
          <w:sz w:val="16"/>
          <w:szCs w:val="20"/>
        </w:rPr>
        <w:t>ṅ</w:t>
      </w:r>
      <w:r w:rsidRPr="005E069F">
        <w:rPr>
          <w:i/>
          <w:iCs/>
          <w:sz w:val="16"/>
          <w:szCs w:val="18"/>
        </w:rPr>
        <w:t>ga</w:t>
      </w:r>
      <w:r w:rsidR="007D04BA" w:rsidRPr="007D04BA">
        <w:rPr>
          <w:i/>
          <w:iCs/>
          <w:sz w:val="16"/>
          <w:szCs w:val="20"/>
        </w:rPr>
        <w:t>ṇī</w:t>
      </w:r>
      <w:proofErr w:type="spellEnd"/>
      <w:r w:rsidRPr="005E069F">
        <w:rPr>
          <w:i/>
          <w:iCs/>
          <w:sz w:val="16"/>
          <w:szCs w:val="18"/>
        </w:rPr>
        <w:t xml:space="preserve"> </w:t>
      </w:r>
      <w:proofErr w:type="spellStart"/>
      <w:r w:rsidR="007D04BA" w:rsidRPr="007D04BA">
        <w:rPr>
          <w:i/>
          <w:iCs/>
          <w:sz w:val="16"/>
          <w:szCs w:val="20"/>
        </w:rPr>
        <w:t>Ṭī</w:t>
      </w:r>
      <w:r w:rsidR="007D04BA" w:rsidRPr="005E069F">
        <w:rPr>
          <w:i/>
          <w:iCs/>
          <w:sz w:val="16"/>
          <w:szCs w:val="18"/>
        </w:rPr>
        <w:t>k</w:t>
      </w:r>
      <w:r w:rsidR="007D04BA" w:rsidRPr="007D04BA">
        <w:rPr>
          <w:i/>
          <w:iCs/>
          <w:sz w:val="16"/>
          <w:szCs w:val="20"/>
        </w:rPr>
        <w:t>ā</w:t>
      </w:r>
      <w:proofErr w:type="spellEnd"/>
      <w:r w:rsidR="007D04BA" w:rsidRPr="005E069F">
        <w:rPr>
          <w:i/>
          <w:iCs/>
          <w:sz w:val="16"/>
          <w:szCs w:val="18"/>
        </w:rPr>
        <w:t xml:space="preserve"> </w:t>
      </w:r>
      <w:r w:rsidRPr="005E069F">
        <w:rPr>
          <w:i/>
          <w:iCs/>
          <w:sz w:val="16"/>
          <w:szCs w:val="18"/>
        </w:rPr>
        <w:t xml:space="preserve">= </w:t>
      </w:r>
      <w:proofErr w:type="spellStart"/>
      <w:r w:rsidRPr="005E069F">
        <w:rPr>
          <w:i/>
          <w:iCs/>
          <w:sz w:val="16"/>
          <w:szCs w:val="18"/>
        </w:rPr>
        <w:t>M</w:t>
      </w:r>
      <w:r w:rsidR="007D04BA" w:rsidRPr="007D04BA">
        <w:rPr>
          <w:i/>
          <w:iCs/>
          <w:sz w:val="16"/>
          <w:szCs w:val="20"/>
        </w:rPr>
        <w:t>ū</w:t>
      </w:r>
      <w:r w:rsidRPr="005E069F">
        <w:rPr>
          <w:i/>
          <w:iCs/>
          <w:sz w:val="16"/>
          <w:szCs w:val="18"/>
        </w:rPr>
        <w:t>la</w:t>
      </w:r>
      <w:proofErr w:type="spellEnd"/>
      <w:r w:rsidRPr="005E069F">
        <w:rPr>
          <w:i/>
          <w:iCs/>
          <w:sz w:val="16"/>
          <w:szCs w:val="18"/>
        </w:rPr>
        <w:t xml:space="preserve"> </w:t>
      </w:r>
      <w:proofErr w:type="spellStart"/>
      <w:r w:rsidR="007D04BA" w:rsidRPr="007D04BA">
        <w:rPr>
          <w:i/>
          <w:iCs/>
          <w:sz w:val="16"/>
          <w:szCs w:val="20"/>
        </w:rPr>
        <w:t>Ṭī</w:t>
      </w:r>
      <w:r w:rsidR="007D04BA" w:rsidRPr="005E069F">
        <w:rPr>
          <w:i/>
          <w:iCs/>
          <w:sz w:val="16"/>
          <w:szCs w:val="18"/>
        </w:rPr>
        <w:t>k</w:t>
      </w:r>
      <w:r w:rsidR="007D04BA" w:rsidRPr="007D04BA">
        <w:rPr>
          <w:i/>
          <w:iCs/>
          <w:sz w:val="16"/>
          <w:szCs w:val="20"/>
        </w:rPr>
        <w:t>ā</w:t>
      </w:r>
      <w:proofErr w:type="spellEnd"/>
      <w:r w:rsidR="007D04BA" w:rsidRPr="005E069F">
        <w:rPr>
          <w:i/>
          <w:iCs/>
          <w:sz w:val="16"/>
          <w:szCs w:val="18"/>
        </w:rPr>
        <w:t xml:space="preserve"> </w:t>
      </w:r>
      <w:r w:rsidRPr="005E069F">
        <w:rPr>
          <w:i/>
          <w:iCs/>
          <w:sz w:val="16"/>
          <w:szCs w:val="18"/>
        </w:rPr>
        <w:t>II</w:t>
      </w:r>
    </w:p>
    <w:p w14:paraId="5BBC91BB" w14:textId="77777777" w:rsidR="005D7B09" w:rsidRPr="005E069F" w:rsidRDefault="005D7B09" w:rsidP="005939EF">
      <w:pPr>
        <w:pStyle w:val="NumeracinReload"/>
        <w:tabs>
          <w:tab w:val="clear" w:pos="567"/>
          <w:tab w:val="left" w:pos="851"/>
        </w:tabs>
        <w:ind w:left="851" w:hanging="851"/>
        <w:rPr>
          <w:sz w:val="16"/>
          <w:szCs w:val="18"/>
        </w:rPr>
      </w:pPr>
      <w:proofErr w:type="spellStart"/>
      <w:r w:rsidRPr="007D04BA">
        <w:rPr>
          <w:sz w:val="16"/>
          <w:szCs w:val="18"/>
        </w:rPr>
        <w:t>Dh</w:t>
      </w:r>
      <w:r w:rsidR="007D04BA" w:rsidRPr="007D04BA">
        <w:rPr>
          <w:sz w:val="16"/>
          <w:szCs w:val="20"/>
        </w:rPr>
        <w:t>ā</w:t>
      </w:r>
      <w:r w:rsidRPr="007D04BA">
        <w:rPr>
          <w:sz w:val="16"/>
          <w:szCs w:val="18"/>
        </w:rPr>
        <w:t>tuk</w:t>
      </w:r>
      <w:proofErr w:type="spellEnd"/>
      <w:r w:rsidRPr="005E069F">
        <w:rPr>
          <w:sz w:val="16"/>
          <w:szCs w:val="18"/>
        </w:rPr>
        <w:tab/>
      </w:r>
      <w:proofErr w:type="spellStart"/>
      <w:r w:rsidRPr="007D04BA">
        <w:rPr>
          <w:sz w:val="16"/>
          <w:szCs w:val="18"/>
        </w:rPr>
        <w:t>Dh</w:t>
      </w:r>
      <w:r w:rsidR="007D04BA" w:rsidRPr="007D04BA">
        <w:rPr>
          <w:sz w:val="16"/>
          <w:szCs w:val="20"/>
        </w:rPr>
        <w:t>ā</w:t>
      </w:r>
      <w:r w:rsidRPr="007D04BA">
        <w:rPr>
          <w:sz w:val="16"/>
          <w:szCs w:val="18"/>
        </w:rPr>
        <w:t>tukath</w:t>
      </w:r>
      <w:r w:rsidR="007D04BA" w:rsidRPr="007D04BA">
        <w:rPr>
          <w:sz w:val="16"/>
          <w:szCs w:val="20"/>
        </w:rPr>
        <w:t>ā</w:t>
      </w:r>
      <w:proofErr w:type="spellEnd"/>
    </w:p>
    <w:p w14:paraId="6C2FA5DF" w14:textId="69C23927" w:rsidR="005D7B09" w:rsidRPr="005E069F" w:rsidRDefault="005D7B09" w:rsidP="005939EF">
      <w:pPr>
        <w:pStyle w:val="NumeracinReload"/>
        <w:tabs>
          <w:tab w:val="clear" w:pos="567"/>
          <w:tab w:val="left" w:pos="851"/>
        </w:tabs>
        <w:ind w:left="851" w:hanging="851"/>
        <w:rPr>
          <w:sz w:val="16"/>
          <w:szCs w:val="18"/>
        </w:rPr>
      </w:pPr>
      <w:r w:rsidRPr="005E069F">
        <w:rPr>
          <w:sz w:val="16"/>
          <w:szCs w:val="18"/>
        </w:rPr>
        <w:t>D</w:t>
      </w:r>
      <w:r w:rsidRPr="005E069F">
        <w:rPr>
          <w:sz w:val="16"/>
          <w:szCs w:val="18"/>
        </w:rPr>
        <w:tab/>
      </w:r>
      <w:r w:rsidR="00D21929">
        <w:rPr>
          <w:sz w:val="16"/>
          <w:szCs w:val="18"/>
        </w:rPr>
        <w:tab/>
      </w:r>
      <w:r w:rsidRPr="007D04BA">
        <w:rPr>
          <w:sz w:val="16"/>
          <w:szCs w:val="18"/>
        </w:rPr>
        <w:t>D</w:t>
      </w:r>
      <w:r w:rsidR="007D04BA" w:rsidRPr="00CC1A6A">
        <w:rPr>
          <w:sz w:val="16"/>
          <w:szCs w:val="20"/>
        </w:rPr>
        <w:t>ī</w:t>
      </w:r>
      <w:r w:rsidRPr="007D04BA">
        <w:rPr>
          <w:sz w:val="16"/>
          <w:szCs w:val="18"/>
        </w:rPr>
        <w:t>gha</w:t>
      </w:r>
      <w:r w:rsidRPr="005E069F">
        <w:rPr>
          <w:sz w:val="16"/>
          <w:szCs w:val="18"/>
        </w:rPr>
        <w:t xml:space="preserve"> </w:t>
      </w:r>
      <w:r w:rsidRPr="007D04BA">
        <w:rPr>
          <w:sz w:val="16"/>
          <w:szCs w:val="18"/>
        </w:rPr>
        <w:t>Nik</w:t>
      </w:r>
      <w:r w:rsidR="007D04BA" w:rsidRPr="00CC1A6A">
        <w:rPr>
          <w:sz w:val="16"/>
          <w:szCs w:val="20"/>
        </w:rPr>
        <w:t>ā</w:t>
      </w:r>
      <w:r w:rsidRPr="007D04BA">
        <w:rPr>
          <w:sz w:val="16"/>
          <w:szCs w:val="18"/>
        </w:rPr>
        <w:t>ya</w:t>
      </w:r>
    </w:p>
    <w:p w14:paraId="7AFB4E46" w14:textId="3027C651" w:rsidR="005D7B09" w:rsidRPr="005E069F" w:rsidRDefault="005D7B09" w:rsidP="005939EF">
      <w:pPr>
        <w:pStyle w:val="NumeracinReload"/>
        <w:tabs>
          <w:tab w:val="clear" w:pos="567"/>
          <w:tab w:val="left" w:pos="851"/>
        </w:tabs>
        <w:ind w:left="851" w:hanging="851"/>
        <w:rPr>
          <w:i/>
          <w:iCs/>
          <w:sz w:val="16"/>
          <w:szCs w:val="18"/>
        </w:rPr>
      </w:pPr>
      <w:r w:rsidRPr="005E069F">
        <w:rPr>
          <w:sz w:val="16"/>
          <w:szCs w:val="18"/>
        </w:rPr>
        <w:t>D-a</w:t>
      </w:r>
      <w:r w:rsidRPr="005E069F">
        <w:rPr>
          <w:sz w:val="16"/>
          <w:szCs w:val="18"/>
        </w:rPr>
        <w:tab/>
      </w:r>
      <w:r w:rsidR="005939EF">
        <w:rPr>
          <w:sz w:val="16"/>
          <w:szCs w:val="18"/>
        </w:rPr>
        <w:tab/>
      </w:r>
      <w:r w:rsidRPr="005E069F">
        <w:rPr>
          <w:i/>
          <w:iCs/>
          <w:sz w:val="16"/>
          <w:szCs w:val="18"/>
        </w:rPr>
        <w:t>D</w:t>
      </w:r>
      <w:r w:rsidR="007D04BA" w:rsidRPr="00CC1A6A">
        <w:rPr>
          <w:i/>
          <w:iCs/>
          <w:sz w:val="16"/>
          <w:szCs w:val="20"/>
        </w:rPr>
        <w:t>ī</w:t>
      </w:r>
      <w:r w:rsidRPr="005E069F">
        <w:rPr>
          <w:i/>
          <w:iCs/>
          <w:sz w:val="16"/>
          <w:szCs w:val="18"/>
        </w:rPr>
        <w:t xml:space="preserve">gha </w:t>
      </w:r>
      <w:r w:rsidRPr="007D04BA">
        <w:rPr>
          <w:i/>
          <w:iCs/>
          <w:sz w:val="16"/>
          <w:szCs w:val="18"/>
        </w:rPr>
        <w:t>Nik</w:t>
      </w:r>
      <w:r w:rsidR="007D04BA" w:rsidRPr="00CC1A6A">
        <w:rPr>
          <w:i/>
          <w:iCs/>
          <w:sz w:val="16"/>
          <w:szCs w:val="20"/>
        </w:rPr>
        <w:t>ā</w:t>
      </w:r>
      <w:r w:rsidRPr="007D04BA">
        <w:rPr>
          <w:i/>
          <w:iCs/>
          <w:sz w:val="16"/>
          <w:szCs w:val="18"/>
        </w:rPr>
        <w:t>ya</w:t>
      </w:r>
      <w:r w:rsidRPr="005E069F">
        <w:rPr>
          <w:i/>
          <w:iCs/>
          <w:sz w:val="16"/>
          <w:szCs w:val="18"/>
        </w:rPr>
        <w:t xml:space="preserve"> </w:t>
      </w:r>
      <w:proofErr w:type="spellStart"/>
      <w:r w:rsidRPr="005E069F">
        <w:rPr>
          <w:i/>
          <w:iCs/>
          <w:sz w:val="16"/>
          <w:szCs w:val="18"/>
        </w:rPr>
        <w:t>A</w:t>
      </w:r>
      <w:r w:rsidR="007D04BA" w:rsidRPr="00CC1A6A">
        <w:rPr>
          <w:i/>
          <w:iCs/>
          <w:sz w:val="16"/>
          <w:szCs w:val="20"/>
        </w:rPr>
        <w:t>ṭṭ</w:t>
      </w:r>
      <w:r w:rsidRPr="005E069F">
        <w:rPr>
          <w:i/>
          <w:iCs/>
          <w:sz w:val="16"/>
          <w:szCs w:val="18"/>
        </w:rPr>
        <w:t>hakath</w:t>
      </w:r>
      <w:r w:rsidR="007D04BA" w:rsidRPr="00CC1A6A">
        <w:rPr>
          <w:i/>
          <w:iCs/>
          <w:sz w:val="16"/>
          <w:szCs w:val="20"/>
        </w:rPr>
        <w:t>ā</w:t>
      </w:r>
      <w:proofErr w:type="spellEnd"/>
      <w:r w:rsidRPr="005E069F">
        <w:rPr>
          <w:i/>
          <w:iCs/>
          <w:sz w:val="16"/>
          <w:szCs w:val="18"/>
        </w:rPr>
        <w:t xml:space="preserve"> = </w:t>
      </w:r>
      <w:proofErr w:type="spellStart"/>
      <w:r w:rsidRPr="005E069F">
        <w:rPr>
          <w:i/>
          <w:iCs/>
          <w:sz w:val="16"/>
          <w:szCs w:val="18"/>
        </w:rPr>
        <w:t>Suma</w:t>
      </w:r>
      <w:r w:rsidR="00CC1A6A" w:rsidRPr="00CC1A6A">
        <w:rPr>
          <w:i/>
          <w:iCs/>
          <w:sz w:val="16"/>
          <w:szCs w:val="20"/>
        </w:rPr>
        <w:t>ṅ</w:t>
      </w:r>
      <w:r w:rsidRPr="005E069F">
        <w:rPr>
          <w:i/>
          <w:iCs/>
          <w:sz w:val="16"/>
          <w:szCs w:val="18"/>
        </w:rPr>
        <w:t>gala-vil</w:t>
      </w:r>
      <w:r w:rsidR="00CC1A6A" w:rsidRPr="00CC1A6A">
        <w:rPr>
          <w:i/>
          <w:iCs/>
          <w:sz w:val="16"/>
          <w:szCs w:val="20"/>
        </w:rPr>
        <w:t>ā</w:t>
      </w:r>
      <w:r w:rsidRPr="005E069F">
        <w:rPr>
          <w:i/>
          <w:iCs/>
          <w:sz w:val="16"/>
          <w:szCs w:val="18"/>
        </w:rPr>
        <w:t>sinì</w:t>
      </w:r>
      <w:proofErr w:type="spellEnd"/>
    </w:p>
    <w:p w14:paraId="15F6D3C9" w14:textId="00EFD265"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It</w:t>
      </w:r>
      <w:r w:rsidRPr="002B018F">
        <w:rPr>
          <w:sz w:val="16"/>
          <w:szCs w:val="18"/>
          <w:lang w:val="en-US"/>
        </w:rPr>
        <w:tab/>
      </w:r>
      <w:r w:rsidR="005939EF">
        <w:rPr>
          <w:sz w:val="16"/>
          <w:szCs w:val="18"/>
          <w:lang w:val="en-US"/>
        </w:rPr>
        <w:tab/>
      </w:r>
      <w:r w:rsidRPr="002B018F">
        <w:rPr>
          <w:sz w:val="16"/>
          <w:szCs w:val="18"/>
          <w:lang w:val="en-US"/>
        </w:rPr>
        <w:t>Itivuttaka</w:t>
      </w:r>
    </w:p>
    <w:p w14:paraId="39277F57" w14:textId="0B670C51" w:rsidR="005D7B09" w:rsidRPr="002B018F" w:rsidRDefault="005D7B09" w:rsidP="005939EF">
      <w:pPr>
        <w:pStyle w:val="NumeracinReload"/>
        <w:tabs>
          <w:tab w:val="clear" w:pos="567"/>
          <w:tab w:val="left" w:pos="851"/>
        </w:tabs>
        <w:ind w:left="851" w:hanging="851"/>
        <w:rPr>
          <w:i/>
          <w:iCs/>
          <w:sz w:val="16"/>
          <w:szCs w:val="18"/>
          <w:lang w:val="en-US"/>
        </w:rPr>
      </w:pPr>
      <w:r w:rsidRPr="002B018F">
        <w:rPr>
          <w:sz w:val="16"/>
          <w:szCs w:val="18"/>
          <w:lang w:val="en-US"/>
        </w:rPr>
        <w:t>J-a</w:t>
      </w:r>
      <w:r w:rsidRPr="002B018F">
        <w:rPr>
          <w:sz w:val="16"/>
          <w:szCs w:val="18"/>
          <w:lang w:val="en-US"/>
        </w:rPr>
        <w:tab/>
      </w:r>
      <w:r w:rsidR="005939EF">
        <w:rPr>
          <w:sz w:val="16"/>
          <w:szCs w:val="18"/>
          <w:lang w:val="en-US"/>
        </w:rPr>
        <w:tab/>
      </w:r>
      <w:proofErr w:type="spellStart"/>
      <w:r w:rsidRPr="002B018F">
        <w:rPr>
          <w:i/>
          <w:iCs/>
          <w:sz w:val="16"/>
          <w:szCs w:val="18"/>
          <w:lang w:val="en-US"/>
        </w:rPr>
        <w:t>J</w:t>
      </w:r>
      <w:r w:rsidR="00CC1A6A" w:rsidRPr="002B018F">
        <w:rPr>
          <w:i/>
          <w:iCs/>
          <w:sz w:val="16"/>
          <w:szCs w:val="20"/>
          <w:lang w:val="en-US"/>
        </w:rPr>
        <w:t>ā</w:t>
      </w:r>
      <w:r w:rsidRPr="002B018F">
        <w:rPr>
          <w:i/>
          <w:iCs/>
          <w:sz w:val="16"/>
          <w:szCs w:val="18"/>
          <w:lang w:val="en-US"/>
        </w:rPr>
        <w:t>taka-a</w:t>
      </w:r>
      <w:r w:rsidR="00CC1A6A" w:rsidRPr="002B018F">
        <w:rPr>
          <w:i/>
          <w:iCs/>
          <w:sz w:val="16"/>
          <w:szCs w:val="20"/>
          <w:lang w:val="en-US"/>
        </w:rPr>
        <w:t>ṭṭ</w:t>
      </w:r>
      <w:r w:rsidRPr="002B018F">
        <w:rPr>
          <w:i/>
          <w:iCs/>
          <w:sz w:val="16"/>
          <w:szCs w:val="18"/>
          <w:lang w:val="en-US"/>
        </w:rPr>
        <w:t>hakath</w:t>
      </w:r>
      <w:r w:rsidR="00CC1A6A" w:rsidRPr="002B018F">
        <w:rPr>
          <w:i/>
          <w:iCs/>
          <w:sz w:val="16"/>
          <w:szCs w:val="20"/>
          <w:lang w:val="en-US"/>
        </w:rPr>
        <w:t>ā</w:t>
      </w:r>
      <w:proofErr w:type="spellEnd"/>
    </w:p>
    <w:p w14:paraId="3B4D04B9" w14:textId="0B502592" w:rsidR="005D7B09" w:rsidRPr="002B018F" w:rsidRDefault="005D7B09" w:rsidP="005939EF">
      <w:pPr>
        <w:pStyle w:val="NumeracinReload"/>
        <w:tabs>
          <w:tab w:val="clear" w:pos="567"/>
          <w:tab w:val="left" w:pos="851"/>
        </w:tabs>
        <w:ind w:left="851" w:hanging="851"/>
        <w:rPr>
          <w:sz w:val="16"/>
          <w:szCs w:val="18"/>
          <w:lang w:val="en-US"/>
        </w:rPr>
      </w:pPr>
      <w:proofErr w:type="spellStart"/>
      <w:r w:rsidRPr="002B018F">
        <w:rPr>
          <w:sz w:val="16"/>
          <w:szCs w:val="18"/>
          <w:lang w:val="en-US"/>
        </w:rPr>
        <w:t>Kv</w:t>
      </w:r>
      <w:proofErr w:type="spellEnd"/>
      <w:r w:rsidRPr="002B018F">
        <w:rPr>
          <w:sz w:val="16"/>
          <w:szCs w:val="18"/>
          <w:lang w:val="en-US"/>
        </w:rPr>
        <w:tab/>
      </w:r>
      <w:r w:rsidR="005939EF">
        <w:rPr>
          <w:sz w:val="16"/>
          <w:szCs w:val="18"/>
          <w:lang w:val="en-US"/>
        </w:rPr>
        <w:tab/>
      </w:r>
      <w:proofErr w:type="spellStart"/>
      <w:r w:rsidRPr="002B018F">
        <w:rPr>
          <w:sz w:val="16"/>
          <w:szCs w:val="18"/>
          <w:lang w:val="en-US"/>
        </w:rPr>
        <w:t>Kath</w:t>
      </w:r>
      <w:r w:rsidR="00CC1A6A" w:rsidRPr="002B018F">
        <w:rPr>
          <w:sz w:val="16"/>
          <w:szCs w:val="20"/>
          <w:lang w:val="en-US"/>
        </w:rPr>
        <w:t>ā</w:t>
      </w:r>
      <w:r w:rsidRPr="002B018F">
        <w:rPr>
          <w:sz w:val="16"/>
          <w:szCs w:val="18"/>
          <w:lang w:val="en-US"/>
        </w:rPr>
        <w:t>vatthu</w:t>
      </w:r>
      <w:proofErr w:type="spellEnd"/>
    </w:p>
    <w:p w14:paraId="14BAF810" w14:textId="1CBDFC1D" w:rsidR="005D7B09" w:rsidRPr="002B018F" w:rsidRDefault="005D7B09" w:rsidP="005939EF">
      <w:pPr>
        <w:pStyle w:val="NumeracinReload"/>
        <w:tabs>
          <w:tab w:val="clear" w:pos="567"/>
          <w:tab w:val="left" w:pos="851"/>
        </w:tabs>
        <w:ind w:left="851" w:hanging="851"/>
        <w:rPr>
          <w:i/>
          <w:iCs/>
          <w:sz w:val="16"/>
          <w:szCs w:val="18"/>
          <w:lang w:val="en-US"/>
        </w:rPr>
      </w:pPr>
      <w:proofErr w:type="spellStart"/>
      <w:r w:rsidRPr="002B018F">
        <w:rPr>
          <w:sz w:val="16"/>
          <w:szCs w:val="18"/>
          <w:lang w:val="en-US"/>
        </w:rPr>
        <w:t>Mhv</w:t>
      </w:r>
      <w:proofErr w:type="spellEnd"/>
      <w:r w:rsidR="005939EF">
        <w:rPr>
          <w:sz w:val="16"/>
          <w:szCs w:val="18"/>
          <w:lang w:val="en-US"/>
        </w:rPr>
        <w:tab/>
      </w:r>
      <w:r w:rsidRPr="002B018F">
        <w:rPr>
          <w:sz w:val="16"/>
          <w:szCs w:val="18"/>
          <w:lang w:val="en-US"/>
        </w:rPr>
        <w:tab/>
      </w:r>
      <w:proofErr w:type="spellStart"/>
      <w:r w:rsidRPr="002B018F">
        <w:rPr>
          <w:i/>
          <w:iCs/>
          <w:sz w:val="16"/>
          <w:szCs w:val="18"/>
          <w:lang w:val="en-US"/>
        </w:rPr>
        <w:t>Mah</w:t>
      </w:r>
      <w:r w:rsidR="00CC1A6A" w:rsidRPr="002B018F">
        <w:rPr>
          <w:i/>
          <w:iCs/>
          <w:sz w:val="16"/>
          <w:szCs w:val="20"/>
          <w:lang w:val="en-US"/>
        </w:rPr>
        <w:t>ā</w:t>
      </w:r>
      <w:r w:rsidRPr="002B018F">
        <w:rPr>
          <w:i/>
          <w:iCs/>
          <w:sz w:val="16"/>
          <w:szCs w:val="18"/>
          <w:lang w:val="en-US"/>
        </w:rPr>
        <w:t>va</w:t>
      </w:r>
      <w:r w:rsidR="001C29AF" w:rsidRPr="002B018F">
        <w:rPr>
          <w:i/>
          <w:iCs/>
          <w:sz w:val="16"/>
          <w:szCs w:val="20"/>
          <w:lang w:val="en-US"/>
        </w:rPr>
        <w:t>ṃ</w:t>
      </w:r>
      <w:r w:rsidRPr="002B018F">
        <w:rPr>
          <w:i/>
          <w:iCs/>
          <w:sz w:val="16"/>
          <w:szCs w:val="18"/>
          <w:lang w:val="en-US"/>
        </w:rPr>
        <w:t>sa</w:t>
      </w:r>
      <w:proofErr w:type="spellEnd"/>
    </w:p>
    <w:p w14:paraId="63CB42E5" w14:textId="3F7DAADB"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M</w:t>
      </w:r>
      <w:r w:rsidRPr="002B018F">
        <w:rPr>
          <w:sz w:val="16"/>
          <w:szCs w:val="18"/>
          <w:lang w:val="en-US"/>
        </w:rPr>
        <w:tab/>
      </w:r>
      <w:r w:rsidR="005939EF">
        <w:rPr>
          <w:sz w:val="16"/>
          <w:szCs w:val="18"/>
          <w:lang w:val="en-US"/>
        </w:rPr>
        <w:tab/>
      </w:r>
      <w:proofErr w:type="spellStart"/>
      <w:r w:rsidRPr="002B018F">
        <w:rPr>
          <w:sz w:val="16"/>
          <w:szCs w:val="18"/>
          <w:lang w:val="en-US"/>
        </w:rPr>
        <w:t>Majjhima</w:t>
      </w:r>
      <w:proofErr w:type="spellEnd"/>
      <w:r w:rsidRPr="002B018F">
        <w:rPr>
          <w:sz w:val="16"/>
          <w:szCs w:val="18"/>
          <w:lang w:val="en-US"/>
        </w:rPr>
        <w:t xml:space="preserve"> Nik</w:t>
      </w:r>
      <w:r w:rsidR="00675049" w:rsidRPr="002B018F">
        <w:rPr>
          <w:sz w:val="16"/>
          <w:szCs w:val="16"/>
          <w:lang w:val="en-US"/>
        </w:rPr>
        <w:t>ā</w:t>
      </w:r>
      <w:r w:rsidRPr="002B018F">
        <w:rPr>
          <w:sz w:val="16"/>
          <w:szCs w:val="18"/>
          <w:lang w:val="en-US"/>
        </w:rPr>
        <w:t>ya</w:t>
      </w:r>
    </w:p>
    <w:p w14:paraId="07D2372B" w14:textId="53106C3C" w:rsidR="005D7B09" w:rsidRPr="002B018F" w:rsidRDefault="005D7B09" w:rsidP="005939EF">
      <w:pPr>
        <w:pStyle w:val="NumeracinReload"/>
        <w:tabs>
          <w:tab w:val="clear" w:pos="567"/>
          <w:tab w:val="left" w:pos="851"/>
        </w:tabs>
        <w:ind w:left="851" w:hanging="851"/>
        <w:rPr>
          <w:i/>
          <w:iCs/>
          <w:sz w:val="16"/>
          <w:szCs w:val="16"/>
          <w:lang w:val="en-US"/>
        </w:rPr>
      </w:pPr>
      <w:r w:rsidRPr="002B018F">
        <w:rPr>
          <w:sz w:val="16"/>
          <w:szCs w:val="16"/>
          <w:lang w:val="en-US"/>
        </w:rPr>
        <w:t>M-a</w:t>
      </w:r>
      <w:r w:rsidRPr="002B018F">
        <w:rPr>
          <w:sz w:val="16"/>
          <w:szCs w:val="16"/>
          <w:lang w:val="en-US"/>
        </w:rPr>
        <w:tab/>
      </w:r>
      <w:r w:rsidR="005939EF">
        <w:rPr>
          <w:sz w:val="16"/>
          <w:szCs w:val="16"/>
          <w:lang w:val="en-US"/>
        </w:rPr>
        <w:tab/>
      </w:r>
      <w:proofErr w:type="spellStart"/>
      <w:r w:rsidRPr="002B018F">
        <w:rPr>
          <w:i/>
          <w:iCs/>
          <w:sz w:val="16"/>
          <w:szCs w:val="16"/>
          <w:lang w:val="en-US"/>
        </w:rPr>
        <w:t>Majjhima</w:t>
      </w:r>
      <w:proofErr w:type="spellEnd"/>
      <w:r w:rsidRPr="002B018F">
        <w:rPr>
          <w:i/>
          <w:iCs/>
          <w:sz w:val="16"/>
          <w:szCs w:val="16"/>
          <w:lang w:val="en-US"/>
        </w:rPr>
        <w:t xml:space="preserve"> Nik</w:t>
      </w:r>
      <w:r w:rsidR="001C29AF" w:rsidRPr="002B018F">
        <w:rPr>
          <w:i/>
          <w:iCs/>
          <w:sz w:val="16"/>
          <w:szCs w:val="16"/>
          <w:lang w:val="en-US"/>
        </w:rPr>
        <w:t>ā</w:t>
      </w:r>
      <w:r w:rsidRPr="002B018F">
        <w:rPr>
          <w:i/>
          <w:iCs/>
          <w:sz w:val="16"/>
          <w:szCs w:val="16"/>
          <w:lang w:val="en-US"/>
        </w:rPr>
        <w:t xml:space="preserve">ya </w:t>
      </w:r>
      <w:proofErr w:type="spellStart"/>
      <w:r w:rsidRPr="002B018F">
        <w:rPr>
          <w:i/>
          <w:iCs/>
          <w:sz w:val="16"/>
          <w:szCs w:val="16"/>
          <w:lang w:val="en-US"/>
        </w:rPr>
        <w:t>A</w:t>
      </w:r>
      <w:r w:rsidR="00A01F85" w:rsidRPr="002B018F">
        <w:rPr>
          <w:sz w:val="16"/>
          <w:szCs w:val="16"/>
          <w:lang w:val="en-US"/>
        </w:rPr>
        <w:t>ṭṭ</w:t>
      </w:r>
      <w:r w:rsidRPr="002B018F">
        <w:rPr>
          <w:i/>
          <w:iCs/>
          <w:sz w:val="16"/>
          <w:szCs w:val="16"/>
          <w:lang w:val="en-US"/>
        </w:rPr>
        <w:t>hakath</w:t>
      </w:r>
      <w:r w:rsidR="001C29AF" w:rsidRPr="002B018F">
        <w:rPr>
          <w:i/>
          <w:iCs/>
          <w:sz w:val="16"/>
          <w:szCs w:val="16"/>
          <w:lang w:val="en-US"/>
        </w:rPr>
        <w:t>ā</w:t>
      </w:r>
      <w:proofErr w:type="spellEnd"/>
      <w:r w:rsidRPr="002B018F">
        <w:rPr>
          <w:i/>
          <w:iCs/>
          <w:sz w:val="16"/>
          <w:szCs w:val="16"/>
          <w:lang w:val="en-US"/>
        </w:rPr>
        <w:t xml:space="preserve"> = </w:t>
      </w:r>
      <w:proofErr w:type="spellStart"/>
      <w:r w:rsidRPr="002B018F">
        <w:rPr>
          <w:i/>
          <w:iCs/>
          <w:sz w:val="16"/>
          <w:szCs w:val="16"/>
          <w:lang w:val="en-US"/>
        </w:rPr>
        <w:t>Papañca-s</w:t>
      </w:r>
      <w:r w:rsidR="001C29AF" w:rsidRPr="002B018F">
        <w:rPr>
          <w:i/>
          <w:iCs/>
          <w:sz w:val="16"/>
          <w:szCs w:val="16"/>
          <w:lang w:val="en-US"/>
        </w:rPr>
        <w:t>ū</w:t>
      </w:r>
      <w:r w:rsidRPr="002B018F">
        <w:rPr>
          <w:i/>
          <w:iCs/>
          <w:sz w:val="16"/>
          <w:szCs w:val="16"/>
          <w:lang w:val="en-US"/>
        </w:rPr>
        <w:t>danì</w:t>
      </w:r>
      <w:proofErr w:type="spellEnd"/>
    </w:p>
    <w:p w14:paraId="269B1648" w14:textId="381525B2"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Mil</w:t>
      </w:r>
      <w:r w:rsidR="005939EF">
        <w:rPr>
          <w:sz w:val="16"/>
          <w:szCs w:val="18"/>
          <w:lang w:val="en-US"/>
        </w:rPr>
        <w:tab/>
      </w:r>
      <w:r w:rsidRPr="002B018F">
        <w:rPr>
          <w:sz w:val="16"/>
          <w:szCs w:val="18"/>
          <w:lang w:val="en-US"/>
        </w:rPr>
        <w:tab/>
      </w:r>
      <w:proofErr w:type="spellStart"/>
      <w:r w:rsidRPr="002B018F">
        <w:rPr>
          <w:i/>
          <w:iCs/>
          <w:sz w:val="16"/>
          <w:szCs w:val="18"/>
          <w:lang w:val="en-US"/>
        </w:rPr>
        <w:t>Milindapañh</w:t>
      </w:r>
      <w:r w:rsidR="001C29AF" w:rsidRPr="002B018F">
        <w:rPr>
          <w:i/>
          <w:iCs/>
          <w:sz w:val="16"/>
          <w:szCs w:val="20"/>
          <w:lang w:val="en-US"/>
        </w:rPr>
        <w:t>ā</w:t>
      </w:r>
      <w:proofErr w:type="spellEnd"/>
    </w:p>
    <w:p w14:paraId="26B2A1B3" w14:textId="1E53E6B9"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Netti</w:t>
      </w:r>
      <w:r w:rsidRPr="002B018F">
        <w:rPr>
          <w:sz w:val="16"/>
          <w:szCs w:val="18"/>
          <w:lang w:val="en-US"/>
        </w:rPr>
        <w:tab/>
      </w:r>
      <w:r w:rsidR="005939EF">
        <w:rPr>
          <w:sz w:val="16"/>
          <w:szCs w:val="18"/>
          <w:lang w:val="en-US"/>
        </w:rPr>
        <w:tab/>
      </w:r>
      <w:proofErr w:type="spellStart"/>
      <w:r w:rsidRPr="002B018F">
        <w:rPr>
          <w:i/>
          <w:iCs/>
          <w:sz w:val="16"/>
          <w:szCs w:val="18"/>
          <w:lang w:val="en-US"/>
        </w:rPr>
        <w:t>Nettipakar</w:t>
      </w:r>
      <w:r w:rsidR="009B7185" w:rsidRPr="002B018F">
        <w:rPr>
          <w:i/>
          <w:iCs/>
          <w:sz w:val="16"/>
          <w:szCs w:val="18"/>
          <w:lang w:val="en-US"/>
        </w:rPr>
        <w:t>a</w:t>
      </w:r>
      <w:r w:rsidR="009B7185" w:rsidRPr="002B018F">
        <w:rPr>
          <w:i/>
          <w:iCs/>
          <w:sz w:val="16"/>
          <w:szCs w:val="20"/>
          <w:lang w:val="en-US"/>
        </w:rPr>
        <w:t>ṅ</w:t>
      </w:r>
      <w:r w:rsidRPr="002B018F">
        <w:rPr>
          <w:i/>
          <w:iCs/>
          <w:sz w:val="16"/>
          <w:szCs w:val="18"/>
          <w:lang w:val="en-US"/>
        </w:rPr>
        <w:t>a</w:t>
      </w:r>
      <w:proofErr w:type="spellEnd"/>
    </w:p>
    <w:p w14:paraId="2DF205D4" w14:textId="13C6FE82"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Nidd I</w:t>
      </w:r>
      <w:r w:rsidRPr="002B018F">
        <w:rPr>
          <w:sz w:val="16"/>
          <w:szCs w:val="18"/>
          <w:lang w:val="en-US"/>
        </w:rPr>
        <w:tab/>
      </w:r>
      <w:r w:rsidR="005939EF">
        <w:rPr>
          <w:sz w:val="16"/>
          <w:szCs w:val="18"/>
          <w:lang w:val="en-US"/>
        </w:rPr>
        <w:tab/>
      </w:r>
      <w:r w:rsidRPr="002B018F">
        <w:rPr>
          <w:sz w:val="16"/>
          <w:szCs w:val="18"/>
          <w:lang w:val="en-US"/>
        </w:rPr>
        <w:t>Mah</w:t>
      </w:r>
      <w:r w:rsidR="009B7185" w:rsidRPr="002B018F">
        <w:rPr>
          <w:sz w:val="16"/>
          <w:szCs w:val="20"/>
          <w:lang w:val="en-US"/>
        </w:rPr>
        <w:t>ā</w:t>
      </w:r>
      <w:r w:rsidRPr="002B018F">
        <w:rPr>
          <w:sz w:val="16"/>
          <w:szCs w:val="18"/>
          <w:lang w:val="en-US"/>
        </w:rPr>
        <w:t xml:space="preserve"> </w:t>
      </w:r>
      <w:proofErr w:type="spellStart"/>
      <w:r w:rsidRPr="002B018F">
        <w:rPr>
          <w:sz w:val="16"/>
          <w:szCs w:val="18"/>
          <w:lang w:val="en-US"/>
        </w:rPr>
        <w:t>Niddesa</w:t>
      </w:r>
      <w:proofErr w:type="spellEnd"/>
    </w:p>
    <w:p w14:paraId="38D65987" w14:textId="77777777" w:rsidR="005D7B09" w:rsidRPr="005E069F" w:rsidRDefault="005D7B09" w:rsidP="005939EF">
      <w:pPr>
        <w:pStyle w:val="NumeracinReload"/>
        <w:tabs>
          <w:tab w:val="clear" w:pos="567"/>
          <w:tab w:val="left" w:pos="851"/>
        </w:tabs>
        <w:ind w:left="851" w:hanging="851"/>
        <w:rPr>
          <w:sz w:val="16"/>
          <w:szCs w:val="18"/>
        </w:rPr>
      </w:pPr>
      <w:proofErr w:type="spellStart"/>
      <w:r w:rsidRPr="005E069F">
        <w:rPr>
          <w:sz w:val="16"/>
          <w:szCs w:val="18"/>
        </w:rPr>
        <w:t>Nidd</w:t>
      </w:r>
      <w:proofErr w:type="spellEnd"/>
      <w:r w:rsidRPr="005E069F">
        <w:rPr>
          <w:sz w:val="16"/>
          <w:szCs w:val="18"/>
        </w:rPr>
        <w:t xml:space="preserve"> II</w:t>
      </w:r>
      <w:r w:rsidRPr="005E069F">
        <w:rPr>
          <w:sz w:val="16"/>
          <w:szCs w:val="18"/>
        </w:rPr>
        <w:tab/>
      </w:r>
      <w:proofErr w:type="spellStart"/>
      <w:r w:rsidRPr="009B7185">
        <w:rPr>
          <w:sz w:val="16"/>
          <w:szCs w:val="18"/>
        </w:rPr>
        <w:t>C</w:t>
      </w:r>
      <w:r w:rsidR="009B7185" w:rsidRPr="009B7185">
        <w:rPr>
          <w:sz w:val="16"/>
          <w:szCs w:val="20"/>
        </w:rPr>
        <w:t>ūḷ</w:t>
      </w:r>
      <w:r w:rsidRPr="009B7185">
        <w:rPr>
          <w:sz w:val="16"/>
          <w:szCs w:val="18"/>
        </w:rPr>
        <w:t>a</w:t>
      </w:r>
      <w:proofErr w:type="spellEnd"/>
      <w:r w:rsidRPr="005E069F">
        <w:rPr>
          <w:sz w:val="16"/>
          <w:szCs w:val="18"/>
        </w:rPr>
        <w:t xml:space="preserve"> </w:t>
      </w:r>
      <w:proofErr w:type="spellStart"/>
      <w:r w:rsidRPr="005E069F">
        <w:rPr>
          <w:sz w:val="16"/>
          <w:szCs w:val="18"/>
        </w:rPr>
        <w:t>Niddesa</w:t>
      </w:r>
      <w:proofErr w:type="spellEnd"/>
      <w:r w:rsidRPr="005E069F">
        <w:rPr>
          <w:sz w:val="16"/>
          <w:szCs w:val="18"/>
        </w:rPr>
        <w:t xml:space="preserve"> (Siamese ed.)</w:t>
      </w:r>
    </w:p>
    <w:p w14:paraId="12355CC6" w14:textId="77777777" w:rsidR="005D7B09" w:rsidRPr="005E069F" w:rsidRDefault="005D7B09" w:rsidP="005939EF">
      <w:pPr>
        <w:pStyle w:val="NumeracinReload"/>
        <w:tabs>
          <w:tab w:val="clear" w:pos="567"/>
          <w:tab w:val="left" w:pos="851"/>
        </w:tabs>
        <w:ind w:left="851" w:hanging="851"/>
        <w:rPr>
          <w:sz w:val="16"/>
          <w:szCs w:val="18"/>
        </w:rPr>
      </w:pPr>
      <w:r w:rsidRPr="00247D7E">
        <w:rPr>
          <w:sz w:val="16"/>
          <w:szCs w:val="18"/>
        </w:rPr>
        <w:t>Nik</w:t>
      </w:r>
      <w:r w:rsidR="00247D7E" w:rsidRPr="00247D7E">
        <w:rPr>
          <w:sz w:val="16"/>
          <w:szCs w:val="20"/>
        </w:rPr>
        <w:t>ā</w:t>
      </w:r>
      <w:r w:rsidRPr="00247D7E">
        <w:rPr>
          <w:sz w:val="16"/>
          <w:szCs w:val="18"/>
        </w:rPr>
        <w:t>ya</w:t>
      </w:r>
      <w:r w:rsidRPr="005E069F">
        <w:rPr>
          <w:sz w:val="16"/>
          <w:szCs w:val="18"/>
        </w:rPr>
        <w:t>-s</w:t>
      </w:r>
      <w:r w:rsidRPr="005E069F">
        <w:rPr>
          <w:sz w:val="16"/>
          <w:szCs w:val="18"/>
        </w:rPr>
        <w:tab/>
      </w:r>
      <w:proofErr w:type="spellStart"/>
      <w:r w:rsidRPr="005E069F">
        <w:rPr>
          <w:i/>
          <w:iCs/>
          <w:sz w:val="16"/>
          <w:szCs w:val="18"/>
        </w:rPr>
        <w:t>Nik</w:t>
      </w:r>
      <w:r w:rsidR="009B7185" w:rsidRPr="00247D7E">
        <w:rPr>
          <w:i/>
          <w:iCs/>
          <w:sz w:val="16"/>
          <w:szCs w:val="20"/>
        </w:rPr>
        <w:t>ā</w:t>
      </w:r>
      <w:r w:rsidRPr="005E069F">
        <w:rPr>
          <w:i/>
          <w:iCs/>
          <w:sz w:val="16"/>
          <w:szCs w:val="18"/>
        </w:rPr>
        <w:t>yasa</w:t>
      </w:r>
      <w:r w:rsidR="009B7185" w:rsidRPr="00247D7E">
        <w:rPr>
          <w:i/>
          <w:iCs/>
          <w:sz w:val="16"/>
          <w:szCs w:val="20"/>
        </w:rPr>
        <w:t>ṃ</w:t>
      </w:r>
      <w:r w:rsidRPr="005E069F">
        <w:rPr>
          <w:i/>
          <w:iCs/>
          <w:sz w:val="16"/>
          <w:szCs w:val="18"/>
        </w:rPr>
        <w:t>grahaya</w:t>
      </w:r>
      <w:proofErr w:type="spellEnd"/>
    </w:p>
    <w:p w14:paraId="2434CB68" w14:textId="3B511EC5" w:rsidR="005D7B09" w:rsidRPr="00A01F85" w:rsidRDefault="005D7B09" w:rsidP="005939EF">
      <w:pPr>
        <w:pStyle w:val="NumeracinReload"/>
        <w:tabs>
          <w:tab w:val="clear" w:pos="567"/>
          <w:tab w:val="left" w:pos="851"/>
        </w:tabs>
        <w:ind w:left="851" w:hanging="851"/>
        <w:rPr>
          <w:sz w:val="16"/>
          <w:szCs w:val="16"/>
        </w:rPr>
      </w:pPr>
      <w:proofErr w:type="spellStart"/>
      <w:r w:rsidRPr="00A01F85">
        <w:rPr>
          <w:sz w:val="16"/>
          <w:szCs w:val="16"/>
        </w:rPr>
        <w:t>Pa</w:t>
      </w:r>
      <w:r w:rsidR="00247D7E" w:rsidRPr="00A01F85">
        <w:rPr>
          <w:sz w:val="16"/>
          <w:szCs w:val="16"/>
        </w:rPr>
        <w:t>ṭ</w:t>
      </w:r>
      <w:r w:rsidRPr="00A01F85">
        <w:rPr>
          <w:sz w:val="16"/>
          <w:szCs w:val="16"/>
        </w:rPr>
        <w:t>is</w:t>
      </w:r>
      <w:proofErr w:type="spellEnd"/>
      <w:r w:rsidRPr="00A01F85">
        <w:rPr>
          <w:sz w:val="16"/>
          <w:szCs w:val="16"/>
        </w:rPr>
        <w:tab/>
      </w:r>
      <w:r w:rsidR="005939EF">
        <w:rPr>
          <w:sz w:val="16"/>
          <w:szCs w:val="16"/>
        </w:rPr>
        <w:tab/>
      </w:r>
      <w:proofErr w:type="spellStart"/>
      <w:r w:rsidRPr="00D21929">
        <w:rPr>
          <w:sz w:val="16"/>
          <w:szCs w:val="16"/>
        </w:rPr>
        <w:t>Pa</w:t>
      </w:r>
      <w:r w:rsidR="00A01F85" w:rsidRPr="00D21929">
        <w:rPr>
          <w:sz w:val="16"/>
          <w:szCs w:val="16"/>
        </w:rPr>
        <w:t>ṭ</w:t>
      </w:r>
      <w:r w:rsidRPr="00D21929">
        <w:rPr>
          <w:sz w:val="16"/>
          <w:szCs w:val="16"/>
        </w:rPr>
        <w:t>isambhid</w:t>
      </w:r>
      <w:r w:rsidR="00A01F85" w:rsidRPr="00D21929">
        <w:rPr>
          <w:sz w:val="16"/>
          <w:szCs w:val="16"/>
        </w:rPr>
        <w:t>ā</w:t>
      </w:r>
      <w:r w:rsidRPr="00D21929">
        <w:rPr>
          <w:sz w:val="16"/>
          <w:szCs w:val="16"/>
        </w:rPr>
        <w:t>magga</w:t>
      </w:r>
      <w:proofErr w:type="spellEnd"/>
    </w:p>
    <w:p w14:paraId="186C2675" w14:textId="2E166F89" w:rsidR="005D7B09" w:rsidRPr="00A01F85" w:rsidRDefault="005D7B09" w:rsidP="005939EF">
      <w:pPr>
        <w:pStyle w:val="NumeracinReload"/>
        <w:tabs>
          <w:tab w:val="clear" w:pos="567"/>
          <w:tab w:val="left" w:pos="851"/>
        </w:tabs>
        <w:ind w:left="851" w:hanging="851"/>
        <w:rPr>
          <w:sz w:val="16"/>
          <w:szCs w:val="16"/>
        </w:rPr>
      </w:pPr>
      <w:proofErr w:type="spellStart"/>
      <w:r w:rsidRPr="00A01F85">
        <w:rPr>
          <w:sz w:val="16"/>
          <w:szCs w:val="16"/>
        </w:rPr>
        <w:t>Pa</w:t>
      </w:r>
      <w:r w:rsidR="00247D7E" w:rsidRPr="00A01F85">
        <w:rPr>
          <w:sz w:val="16"/>
          <w:szCs w:val="16"/>
        </w:rPr>
        <w:t>ṭ</w:t>
      </w:r>
      <w:r w:rsidRPr="00A01F85">
        <w:rPr>
          <w:sz w:val="16"/>
          <w:szCs w:val="16"/>
        </w:rPr>
        <w:t>is</w:t>
      </w:r>
      <w:proofErr w:type="spellEnd"/>
      <w:r w:rsidRPr="00A01F85">
        <w:rPr>
          <w:sz w:val="16"/>
          <w:szCs w:val="16"/>
        </w:rPr>
        <w:t>-a</w:t>
      </w:r>
      <w:r w:rsidRPr="00A01F85">
        <w:rPr>
          <w:sz w:val="16"/>
          <w:szCs w:val="16"/>
        </w:rPr>
        <w:tab/>
      </w:r>
      <w:r w:rsidR="005939EF">
        <w:rPr>
          <w:sz w:val="16"/>
          <w:szCs w:val="16"/>
        </w:rPr>
        <w:tab/>
      </w:r>
      <w:proofErr w:type="spellStart"/>
      <w:r w:rsidRPr="00A01F85">
        <w:rPr>
          <w:i/>
          <w:iCs/>
          <w:sz w:val="16"/>
          <w:szCs w:val="16"/>
        </w:rPr>
        <w:t>Pa</w:t>
      </w:r>
      <w:r w:rsidR="00A01F85" w:rsidRPr="00A01F85">
        <w:rPr>
          <w:i/>
          <w:iCs/>
          <w:sz w:val="16"/>
          <w:szCs w:val="16"/>
        </w:rPr>
        <w:t>ṭ</w:t>
      </w:r>
      <w:r w:rsidRPr="00A01F85">
        <w:rPr>
          <w:i/>
          <w:iCs/>
          <w:sz w:val="16"/>
          <w:szCs w:val="16"/>
        </w:rPr>
        <w:t>isambhidmagga</w:t>
      </w:r>
      <w:proofErr w:type="spellEnd"/>
      <w:r w:rsidRPr="00A01F85">
        <w:rPr>
          <w:i/>
          <w:iCs/>
          <w:sz w:val="16"/>
          <w:szCs w:val="16"/>
        </w:rPr>
        <w:t xml:space="preserve"> </w:t>
      </w:r>
      <w:proofErr w:type="spellStart"/>
      <w:r w:rsidRPr="00A01F85">
        <w:rPr>
          <w:i/>
          <w:iCs/>
          <w:sz w:val="16"/>
          <w:szCs w:val="16"/>
        </w:rPr>
        <w:t>A</w:t>
      </w:r>
      <w:r w:rsidR="00A01F85" w:rsidRPr="00A01F85">
        <w:rPr>
          <w:sz w:val="16"/>
          <w:szCs w:val="16"/>
        </w:rPr>
        <w:t>ṭṭ</w:t>
      </w:r>
      <w:r w:rsidRPr="00A01F85">
        <w:rPr>
          <w:i/>
          <w:iCs/>
          <w:sz w:val="16"/>
          <w:szCs w:val="16"/>
        </w:rPr>
        <w:t>hakath</w:t>
      </w:r>
      <w:r w:rsidR="00A01F85" w:rsidRPr="00A01F85">
        <w:rPr>
          <w:iCs/>
          <w:sz w:val="16"/>
          <w:szCs w:val="16"/>
        </w:rPr>
        <w:t>ā</w:t>
      </w:r>
      <w:proofErr w:type="spellEnd"/>
      <w:r w:rsidRPr="00A01F85">
        <w:rPr>
          <w:i/>
          <w:iCs/>
          <w:sz w:val="16"/>
          <w:szCs w:val="16"/>
        </w:rPr>
        <w:t xml:space="preserve"> = </w:t>
      </w:r>
      <w:proofErr w:type="spellStart"/>
      <w:r w:rsidRPr="00A01F85">
        <w:rPr>
          <w:i/>
          <w:iCs/>
          <w:sz w:val="16"/>
          <w:szCs w:val="16"/>
        </w:rPr>
        <w:t>Sad</w:t>
      </w:r>
      <w:r w:rsidR="00D21929">
        <w:rPr>
          <w:i/>
          <w:iCs/>
          <w:sz w:val="16"/>
          <w:szCs w:val="16"/>
        </w:rPr>
        <w:t>d</w:t>
      </w:r>
      <w:r w:rsidR="00057BF4" w:rsidRPr="00057BF4">
        <w:rPr>
          <w:i/>
          <w:iCs/>
          <w:sz w:val="16"/>
          <w:szCs w:val="16"/>
        </w:rPr>
        <w:t>hamma</w:t>
      </w:r>
      <w:r w:rsidRPr="00A01F85">
        <w:rPr>
          <w:i/>
          <w:iCs/>
          <w:sz w:val="16"/>
          <w:szCs w:val="16"/>
        </w:rPr>
        <w:t>ppak</w:t>
      </w:r>
      <w:r w:rsidR="00A01F85" w:rsidRPr="00A01F85">
        <w:rPr>
          <w:i/>
          <w:iCs/>
          <w:sz w:val="16"/>
          <w:szCs w:val="16"/>
        </w:rPr>
        <w:t>ā</w:t>
      </w:r>
      <w:r w:rsidRPr="00A01F85">
        <w:rPr>
          <w:i/>
          <w:iCs/>
          <w:sz w:val="16"/>
          <w:szCs w:val="16"/>
        </w:rPr>
        <w:t>sinì</w:t>
      </w:r>
      <w:proofErr w:type="spellEnd"/>
      <w:r w:rsidRPr="00A01F85">
        <w:rPr>
          <w:sz w:val="16"/>
          <w:szCs w:val="16"/>
        </w:rPr>
        <w:t xml:space="preserve"> (</w:t>
      </w:r>
      <w:proofErr w:type="spellStart"/>
      <w:r w:rsidRPr="00A01F85">
        <w:rPr>
          <w:sz w:val="16"/>
          <w:szCs w:val="16"/>
        </w:rPr>
        <w:t>Sinhalese</w:t>
      </w:r>
      <w:proofErr w:type="spellEnd"/>
      <w:r w:rsidRPr="00A01F85">
        <w:rPr>
          <w:sz w:val="16"/>
          <w:szCs w:val="16"/>
        </w:rPr>
        <w:t xml:space="preserve"> </w:t>
      </w:r>
      <w:proofErr w:type="spellStart"/>
      <w:r w:rsidRPr="00A01F85">
        <w:rPr>
          <w:sz w:val="16"/>
          <w:szCs w:val="16"/>
        </w:rPr>
        <w:t>Hewavitarne</w:t>
      </w:r>
      <w:proofErr w:type="spellEnd"/>
      <w:r w:rsidRPr="00A01F85">
        <w:rPr>
          <w:sz w:val="16"/>
          <w:szCs w:val="16"/>
        </w:rPr>
        <w:t xml:space="preserve"> ed.).</w:t>
      </w:r>
    </w:p>
    <w:p w14:paraId="080C0989" w14:textId="77777777" w:rsidR="005D7B09" w:rsidRPr="00D21929" w:rsidRDefault="005D7B09" w:rsidP="005939EF">
      <w:pPr>
        <w:pStyle w:val="NumeracinReload"/>
        <w:tabs>
          <w:tab w:val="clear" w:pos="567"/>
          <w:tab w:val="left" w:pos="851"/>
        </w:tabs>
        <w:ind w:left="851" w:hanging="851"/>
        <w:rPr>
          <w:sz w:val="16"/>
          <w:szCs w:val="18"/>
        </w:rPr>
      </w:pPr>
      <w:proofErr w:type="spellStart"/>
      <w:r w:rsidRPr="00247D7E">
        <w:rPr>
          <w:sz w:val="16"/>
          <w:szCs w:val="18"/>
        </w:rPr>
        <w:t>Pa</w:t>
      </w:r>
      <w:r w:rsidR="00247D7E" w:rsidRPr="00247D7E">
        <w:rPr>
          <w:sz w:val="16"/>
          <w:szCs w:val="20"/>
        </w:rPr>
        <w:t>ṭṭ</w:t>
      </w:r>
      <w:r w:rsidRPr="00247D7E">
        <w:rPr>
          <w:sz w:val="16"/>
          <w:szCs w:val="18"/>
        </w:rPr>
        <w:t>h</w:t>
      </w:r>
      <w:proofErr w:type="spellEnd"/>
      <w:r w:rsidRPr="005E069F">
        <w:rPr>
          <w:sz w:val="16"/>
          <w:szCs w:val="18"/>
        </w:rPr>
        <w:t xml:space="preserve"> I</w:t>
      </w:r>
      <w:r w:rsidRPr="005E069F">
        <w:rPr>
          <w:sz w:val="16"/>
          <w:szCs w:val="18"/>
        </w:rPr>
        <w:tab/>
      </w:r>
      <w:proofErr w:type="spellStart"/>
      <w:r w:rsidRPr="00D21929">
        <w:rPr>
          <w:sz w:val="16"/>
          <w:szCs w:val="18"/>
        </w:rPr>
        <w:t>Pa</w:t>
      </w:r>
      <w:r w:rsidR="00247D7E" w:rsidRPr="00D21929">
        <w:rPr>
          <w:sz w:val="16"/>
          <w:szCs w:val="20"/>
        </w:rPr>
        <w:t>ṭṭ</w:t>
      </w:r>
      <w:r w:rsidRPr="00D21929">
        <w:rPr>
          <w:sz w:val="16"/>
          <w:szCs w:val="18"/>
        </w:rPr>
        <w:t>h</w:t>
      </w:r>
      <w:r w:rsidR="00247D7E" w:rsidRPr="00D21929">
        <w:rPr>
          <w:sz w:val="16"/>
          <w:szCs w:val="20"/>
        </w:rPr>
        <w:t>ā</w:t>
      </w:r>
      <w:r w:rsidRPr="00D21929">
        <w:rPr>
          <w:sz w:val="16"/>
          <w:szCs w:val="18"/>
        </w:rPr>
        <w:t>na</w:t>
      </w:r>
      <w:proofErr w:type="spellEnd"/>
      <w:r w:rsidRPr="00D21929">
        <w:rPr>
          <w:sz w:val="16"/>
          <w:szCs w:val="18"/>
        </w:rPr>
        <w:t xml:space="preserve">, </w:t>
      </w:r>
      <w:proofErr w:type="spellStart"/>
      <w:r w:rsidRPr="00D21929">
        <w:rPr>
          <w:sz w:val="16"/>
          <w:szCs w:val="18"/>
        </w:rPr>
        <w:t>Tika</w:t>
      </w:r>
      <w:proofErr w:type="spellEnd"/>
      <w:r w:rsidRPr="00D21929">
        <w:rPr>
          <w:sz w:val="16"/>
          <w:szCs w:val="18"/>
        </w:rPr>
        <w:t xml:space="preserve"> </w:t>
      </w:r>
      <w:proofErr w:type="spellStart"/>
      <w:r w:rsidRPr="00D21929">
        <w:rPr>
          <w:sz w:val="16"/>
          <w:szCs w:val="18"/>
        </w:rPr>
        <w:t>Pa</w:t>
      </w:r>
      <w:r w:rsidR="00247D7E" w:rsidRPr="00D21929">
        <w:rPr>
          <w:sz w:val="16"/>
          <w:szCs w:val="20"/>
        </w:rPr>
        <w:t>ṭṭ</w:t>
      </w:r>
      <w:r w:rsidRPr="00D21929">
        <w:rPr>
          <w:sz w:val="16"/>
          <w:szCs w:val="18"/>
        </w:rPr>
        <w:t>h</w:t>
      </w:r>
      <w:r w:rsidR="00247D7E" w:rsidRPr="00D21929">
        <w:rPr>
          <w:sz w:val="16"/>
          <w:szCs w:val="20"/>
        </w:rPr>
        <w:t>ā</w:t>
      </w:r>
      <w:r w:rsidRPr="00D21929">
        <w:rPr>
          <w:sz w:val="16"/>
          <w:szCs w:val="18"/>
        </w:rPr>
        <w:t>na</w:t>
      </w:r>
      <w:proofErr w:type="spellEnd"/>
    </w:p>
    <w:p w14:paraId="50D674A1" w14:textId="77777777" w:rsidR="005D7B09" w:rsidRPr="005E069F" w:rsidRDefault="005D7B09" w:rsidP="005939EF">
      <w:pPr>
        <w:pStyle w:val="NumeracinReload"/>
        <w:tabs>
          <w:tab w:val="clear" w:pos="567"/>
          <w:tab w:val="left" w:pos="851"/>
        </w:tabs>
        <w:ind w:left="851" w:hanging="851"/>
        <w:rPr>
          <w:sz w:val="16"/>
          <w:szCs w:val="18"/>
        </w:rPr>
      </w:pPr>
      <w:proofErr w:type="spellStart"/>
      <w:r w:rsidRPr="00D21929">
        <w:rPr>
          <w:sz w:val="16"/>
          <w:szCs w:val="18"/>
        </w:rPr>
        <w:t>Pa</w:t>
      </w:r>
      <w:r w:rsidR="00247D7E" w:rsidRPr="00D21929">
        <w:rPr>
          <w:sz w:val="16"/>
          <w:szCs w:val="20"/>
        </w:rPr>
        <w:t>ṭṭ</w:t>
      </w:r>
      <w:r w:rsidRPr="00D21929">
        <w:rPr>
          <w:sz w:val="16"/>
          <w:szCs w:val="18"/>
        </w:rPr>
        <w:t>h</w:t>
      </w:r>
      <w:proofErr w:type="spellEnd"/>
      <w:r w:rsidRPr="00D21929">
        <w:rPr>
          <w:sz w:val="16"/>
          <w:szCs w:val="18"/>
        </w:rPr>
        <w:t xml:space="preserve"> II</w:t>
      </w:r>
      <w:r w:rsidRPr="00D21929">
        <w:rPr>
          <w:sz w:val="16"/>
          <w:szCs w:val="18"/>
        </w:rPr>
        <w:tab/>
      </w:r>
      <w:proofErr w:type="spellStart"/>
      <w:r w:rsidRPr="00D21929">
        <w:rPr>
          <w:sz w:val="16"/>
          <w:szCs w:val="18"/>
        </w:rPr>
        <w:t>Pa</w:t>
      </w:r>
      <w:r w:rsidR="00247D7E" w:rsidRPr="00D21929">
        <w:rPr>
          <w:sz w:val="16"/>
          <w:szCs w:val="20"/>
        </w:rPr>
        <w:t>ṭṭ</w:t>
      </w:r>
      <w:r w:rsidRPr="00D21929">
        <w:rPr>
          <w:sz w:val="16"/>
          <w:szCs w:val="18"/>
        </w:rPr>
        <w:t>h</w:t>
      </w:r>
      <w:r w:rsidR="00247D7E" w:rsidRPr="00D21929">
        <w:rPr>
          <w:sz w:val="16"/>
          <w:szCs w:val="20"/>
        </w:rPr>
        <w:t>ā</w:t>
      </w:r>
      <w:r w:rsidRPr="00D21929">
        <w:rPr>
          <w:sz w:val="16"/>
          <w:szCs w:val="18"/>
        </w:rPr>
        <w:t>na</w:t>
      </w:r>
      <w:proofErr w:type="spellEnd"/>
      <w:r w:rsidRPr="00D21929">
        <w:rPr>
          <w:sz w:val="16"/>
          <w:szCs w:val="18"/>
        </w:rPr>
        <w:t xml:space="preserve">, </w:t>
      </w:r>
      <w:proofErr w:type="spellStart"/>
      <w:r w:rsidRPr="00D21929">
        <w:rPr>
          <w:sz w:val="16"/>
          <w:szCs w:val="18"/>
        </w:rPr>
        <w:t>Duka</w:t>
      </w:r>
      <w:proofErr w:type="spellEnd"/>
      <w:r w:rsidRPr="00D21929">
        <w:rPr>
          <w:sz w:val="16"/>
          <w:szCs w:val="18"/>
        </w:rPr>
        <w:t xml:space="preserve"> </w:t>
      </w:r>
      <w:proofErr w:type="spellStart"/>
      <w:r w:rsidRPr="00D21929">
        <w:rPr>
          <w:sz w:val="16"/>
          <w:szCs w:val="18"/>
        </w:rPr>
        <w:t>Pa</w:t>
      </w:r>
      <w:r w:rsidR="00247D7E" w:rsidRPr="00D21929">
        <w:rPr>
          <w:sz w:val="16"/>
          <w:szCs w:val="20"/>
        </w:rPr>
        <w:t>ṭṭ</w:t>
      </w:r>
      <w:r w:rsidRPr="00D21929">
        <w:rPr>
          <w:sz w:val="16"/>
          <w:szCs w:val="18"/>
        </w:rPr>
        <w:t>h</w:t>
      </w:r>
      <w:r w:rsidR="00247D7E" w:rsidRPr="00D21929">
        <w:rPr>
          <w:sz w:val="16"/>
          <w:szCs w:val="20"/>
        </w:rPr>
        <w:t>ā</w:t>
      </w:r>
      <w:r w:rsidRPr="00D21929">
        <w:rPr>
          <w:sz w:val="16"/>
          <w:szCs w:val="18"/>
        </w:rPr>
        <w:t>na</w:t>
      </w:r>
      <w:proofErr w:type="spellEnd"/>
      <w:r w:rsidRPr="005E069F">
        <w:rPr>
          <w:sz w:val="16"/>
          <w:szCs w:val="18"/>
        </w:rPr>
        <w:t xml:space="preserve"> (Se and Be.)</w:t>
      </w:r>
    </w:p>
    <w:p w14:paraId="4E45369B" w14:textId="19D94AD2" w:rsidR="005D7B09" w:rsidRPr="005E069F" w:rsidRDefault="005D7B09" w:rsidP="005939EF">
      <w:pPr>
        <w:pStyle w:val="NumeracinReload"/>
        <w:tabs>
          <w:tab w:val="clear" w:pos="567"/>
          <w:tab w:val="left" w:pos="851"/>
        </w:tabs>
        <w:ind w:left="851" w:hanging="851"/>
        <w:rPr>
          <w:sz w:val="16"/>
          <w:szCs w:val="18"/>
        </w:rPr>
      </w:pPr>
      <w:proofErr w:type="spellStart"/>
      <w:r w:rsidRPr="00247D7E">
        <w:rPr>
          <w:sz w:val="16"/>
          <w:szCs w:val="18"/>
        </w:rPr>
        <w:t>Pe</w:t>
      </w:r>
      <w:r w:rsidR="00247D7E" w:rsidRPr="00955BB8">
        <w:rPr>
          <w:sz w:val="16"/>
          <w:szCs w:val="20"/>
        </w:rPr>
        <w:t>ṭ</w:t>
      </w:r>
      <w:proofErr w:type="spellEnd"/>
      <w:r w:rsidRPr="005E069F">
        <w:rPr>
          <w:sz w:val="16"/>
          <w:szCs w:val="18"/>
        </w:rPr>
        <w:tab/>
      </w:r>
      <w:r w:rsidR="005939EF">
        <w:rPr>
          <w:sz w:val="16"/>
          <w:szCs w:val="18"/>
        </w:rPr>
        <w:tab/>
      </w:r>
      <w:proofErr w:type="spellStart"/>
      <w:r w:rsidRPr="005E069F">
        <w:rPr>
          <w:i/>
          <w:iCs/>
          <w:sz w:val="16"/>
          <w:szCs w:val="18"/>
        </w:rPr>
        <w:t>Pe</w:t>
      </w:r>
      <w:r w:rsidR="00247D7E" w:rsidRPr="00955BB8">
        <w:rPr>
          <w:i/>
          <w:iCs/>
          <w:sz w:val="16"/>
          <w:szCs w:val="20"/>
        </w:rPr>
        <w:t>ṭ</w:t>
      </w:r>
      <w:r w:rsidRPr="005E069F">
        <w:rPr>
          <w:i/>
          <w:iCs/>
          <w:sz w:val="16"/>
          <w:szCs w:val="18"/>
        </w:rPr>
        <w:t>akopadesa</w:t>
      </w:r>
      <w:proofErr w:type="spellEnd"/>
    </w:p>
    <w:p w14:paraId="504CA449" w14:textId="4018170E" w:rsidR="005D7B09" w:rsidRPr="005E069F" w:rsidRDefault="005D7B09" w:rsidP="005939EF">
      <w:pPr>
        <w:pStyle w:val="NumeracinReload"/>
        <w:tabs>
          <w:tab w:val="clear" w:pos="567"/>
          <w:tab w:val="left" w:pos="851"/>
        </w:tabs>
        <w:ind w:left="851" w:hanging="851"/>
        <w:rPr>
          <w:sz w:val="16"/>
          <w:szCs w:val="18"/>
        </w:rPr>
      </w:pPr>
      <w:proofErr w:type="spellStart"/>
      <w:r w:rsidRPr="005E069F">
        <w:rPr>
          <w:sz w:val="16"/>
          <w:szCs w:val="18"/>
        </w:rPr>
        <w:t>Pv</w:t>
      </w:r>
      <w:proofErr w:type="spellEnd"/>
      <w:r w:rsidR="005939EF">
        <w:rPr>
          <w:sz w:val="16"/>
          <w:szCs w:val="18"/>
        </w:rPr>
        <w:tab/>
      </w:r>
      <w:r w:rsidRPr="005E069F">
        <w:rPr>
          <w:sz w:val="16"/>
          <w:szCs w:val="18"/>
        </w:rPr>
        <w:tab/>
      </w:r>
      <w:proofErr w:type="spellStart"/>
      <w:r w:rsidRPr="005E069F">
        <w:rPr>
          <w:sz w:val="16"/>
          <w:szCs w:val="18"/>
        </w:rPr>
        <w:t>Petavatthu</w:t>
      </w:r>
      <w:proofErr w:type="spellEnd"/>
    </w:p>
    <w:p w14:paraId="27476567" w14:textId="773959D6" w:rsidR="005D7B09" w:rsidRPr="005E069F" w:rsidRDefault="005D7B09" w:rsidP="005939EF">
      <w:pPr>
        <w:pStyle w:val="NumeracinReload"/>
        <w:tabs>
          <w:tab w:val="clear" w:pos="567"/>
          <w:tab w:val="left" w:pos="851"/>
        </w:tabs>
        <w:ind w:left="851" w:hanging="851"/>
        <w:rPr>
          <w:sz w:val="16"/>
          <w:szCs w:val="18"/>
        </w:rPr>
      </w:pPr>
      <w:r w:rsidRPr="005E069F">
        <w:rPr>
          <w:sz w:val="16"/>
          <w:szCs w:val="18"/>
        </w:rPr>
        <w:t>S</w:t>
      </w:r>
      <w:r w:rsidR="005939EF">
        <w:rPr>
          <w:sz w:val="16"/>
          <w:szCs w:val="18"/>
        </w:rPr>
        <w:tab/>
      </w:r>
      <w:r w:rsidRPr="005E069F">
        <w:rPr>
          <w:sz w:val="16"/>
          <w:szCs w:val="18"/>
        </w:rPr>
        <w:tab/>
      </w:r>
      <w:proofErr w:type="spellStart"/>
      <w:r w:rsidRPr="00247D7E">
        <w:rPr>
          <w:sz w:val="16"/>
          <w:szCs w:val="18"/>
        </w:rPr>
        <w:t>Sa</w:t>
      </w:r>
      <w:r w:rsidR="00247D7E" w:rsidRPr="00833E70">
        <w:rPr>
          <w:sz w:val="16"/>
          <w:szCs w:val="20"/>
        </w:rPr>
        <w:t>ṃ</w:t>
      </w:r>
      <w:r w:rsidRPr="00247D7E">
        <w:rPr>
          <w:sz w:val="16"/>
          <w:szCs w:val="18"/>
        </w:rPr>
        <w:t>yutta</w:t>
      </w:r>
      <w:proofErr w:type="spellEnd"/>
      <w:r w:rsidRPr="005E069F">
        <w:rPr>
          <w:sz w:val="16"/>
          <w:szCs w:val="18"/>
        </w:rPr>
        <w:t xml:space="preserve"> </w:t>
      </w:r>
      <w:r w:rsidRPr="00247D7E">
        <w:rPr>
          <w:sz w:val="16"/>
          <w:szCs w:val="18"/>
        </w:rPr>
        <w:t>Nik</w:t>
      </w:r>
      <w:r w:rsidR="00247D7E" w:rsidRPr="00833E70">
        <w:rPr>
          <w:sz w:val="16"/>
          <w:szCs w:val="20"/>
        </w:rPr>
        <w:t>ā</w:t>
      </w:r>
      <w:r w:rsidRPr="00247D7E">
        <w:rPr>
          <w:sz w:val="16"/>
          <w:szCs w:val="18"/>
        </w:rPr>
        <w:t>ya</w:t>
      </w:r>
    </w:p>
    <w:p w14:paraId="7909F4EF" w14:textId="6E385A34" w:rsidR="005D7B09" w:rsidRPr="00D21929" w:rsidRDefault="005D7B09" w:rsidP="005939EF">
      <w:pPr>
        <w:pStyle w:val="NumeracinReload"/>
        <w:tabs>
          <w:tab w:val="clear" w:pos="567"/>
          <w:tab w:val="left" w:pos="851"/>
        </w:tabs>
        <w:ind w:left="851" w:hanging="851"/>
        <w:rPr>
          <w:i/>
          <w:iCs/>
          <w:sz w:val="16"/>
          <w:szCs w:val="18"/>
        </w:rPr>
      </w:pPr>
      <w:r w:rsidRPr="005E069F">
        <w:rPr>
          <w:sz w:val="16"/>
          <w:szCs w:val="18"/>
        </w:rPr>
        <w:t>S-a</w:t>
      </w:r>
      <w:r w:rsidR="005939EF">
        <w:rPr>
          <w:sz w:val="16"/>
          <w:szCs w:val="18"/>
        </w:rPr>
        <w:tab/>
      </w:r>
      <w:r w:rsidRPr="005E069F">
        <w:rPr>
          <w:sz w:val="16"/>
          <w:szCs w:val="18"/>
        </w:rPr>
        <w:tab/>
      </w:r>
      <w:proofErr w:type="spellStart"/>
      <w:r w:rsidRPr="00D21929">
        <w:rPr>
          <w:i/>
          <w:iCs/>
          <w:sz w:val="16"/>
          <w:szCs w:val="18"/>
        </w:rPr>
        <w:t>Sa</w:t>
      </w:r>
      <w:r w:rsidR="00247D7E" w:rsidRPr="00D21929">
        <w:rPr>
          <w:i/>
          <w:iCs/>
          <w:sz w:val="16"/>
          <w:szCs w:val="20"/>
        </w:rPr>
        <w:t>ṃ</w:t>
      </w:r>
      <w:r w:rsidRPr="00D21929">
        <w:rPr>
          <w:i/>
          <w:iCs/>
          <w:sz w:val="16"/>
          <w:szCs w:val="18"/>
        </w:rPr>
        <w:t>yutta</w:t>
      </w:r>
      <w:proofErr w:type="spellEnd"/>
      <w:r w:rsidRPr="00D21929">
        <w:rPr>
          <w:i/>
          <w:iCs/>
          <w:sz w:val="16"/>
          <w:szCs w:val="18"/>
        </w:rPr>
        <w:t xml:space="preserve"> Nik</w:t>
      </w:r>
      <w:r w:rsidR="00247D7E" w:rsidRPr="00D21929">
        <w:rPr>
          <w:i/>
          <w:iCs/>
          <w:sz w:val="16"/>
          <w:szCs w:val="20"/>
        </w:rPr>
        <w:t>ā</w:t>
      </w:r>
      <w:r w:rsidRPr="00D21929">
        <w:rPr>
          <w:i/>
          <w:iCs/>
          <w:sz w:val="16"/>
          <w:szCs w:val="18"/>
        </w:rPr>
        <w:t xml:space="preserve">ya </w:t>
      </w:r>
      <w:proofErr w:type="spellStart"/>
      <w:r w:rsidRPr="00D21929">
        <w:rPr>
          <w:i/>
          <w:iCs/>
          <w:sz w:val="16"/>
          <w:szCs w:val="18"/>
        </w:rPr>
        <w:t>A</w:t>
      </w:r>
      <w:r w:rsidR="00247D7E" w:rsidRPr="00D21929">
        <w:rPr>
          <w:i/>
          <w:iCs/>
          <w:sz w:val="16"/>
          <w:szCs w:val="20"/>
        </w:rPr>
        <w:t>ṭṭ</w:t>
      </w:r>
      <w:r w:rsidRPr="00D21929">
        <w:rPr>
          <w:i/>
          <w:iCs/>
          <w:sz w:val="16"/>
          <w:szCs w:val="18"/>
        </w:rPr>
        <w:t>hakath</w:t>
      </w:r>
      <w:r w:rsidR="00247D7E" w:rsidRPr="00D21929">
        <w:rPr>
          <w:i/>
          <w:iCs/>
          <w:sz w:val="16"/>
          <w:szCs w:val="20"/>
        </w:rPr>
        <w:t>ā</w:t>
      </w:r>
      <w:proofErr w:type="spellEnd"/>
      <w:r w:rsidRPr="00D21929">
        <w:rPr>
          <w:i/>
          <w:iCs/>
          <w:sz w:val="16"/>
          <w:szCs w:val="18"/>
        </w:rPr>
        <w:t xml:space="preserve"> = </w:t>
      </w:r>
      <w:proofErr w:type="spellStart"/>
      <w:r w:rsidRPr="00D21929">
        <w:rPr>
          <w:i/>
          <w:iCs/>
          <w:sz w:val="16"/>
          <w:szCs w:val="18"/>
        </w:rPr>
        <w:t>S</w:t>
      </w:r>
      <w:r w:rsidR="00247D7E" w:rsidRPr="00D21929">
        <w:rPr>
          <w:i/>
          <w:iCs/>
          <w:sz w:val="16"/>
          <w:szCs w:val="20"/>
        </w:rPr>
        <w:t>ā</w:t>
      </w:r>
      <w:r w:rsidRPr="00D21929">
        <w:rPr>
          <w:i/>
          <w:iCs/>
          <w:sz w:val="16"/>
          <w:szCs w:val="18"/>
        </w:rPr>
        <w:t>ratthappak</w:t>
      </w:r>
      <w:r w:rsidR="00247D7E" w:rsidRPr="00D21929">
        <w:rPr>
          <w:i/>
          <w:iCs/>
          <w:sz w:val="16"/>
          <w:szCs w:val="20"/>
        </w:rPr>
        <w:t>ā</w:t>
      </w:r>
      <w:r w:rsidRPr="00D21929">
        <w:rPr>
          <w:i/>
          <w:iCs/>
          <w:sz w:val="16"/>
          <w:szCs w:val="18"/>
        </w:rPr>
        <w:t>sin</w:t>
      </w:r>
      <w:r w:rsidR="00833E70" w:rsidRPr="00D21929">
        <w:rPr>
          <w:i/>
          <w:iCs/>
          <w:sz w:val="16"/>
          <w:szCs w:val="20"/>
        </w:rPr>
        <w:t>ī</w:t>
      </w:r>
      <w:proofErr w:type="spellEnd"/>
    </w:p>
    <w:p w14:paraId="0E0670D5" w14:textId="02E979A6" w:rsidR="005D7B09" w:rsidRPr="005E069F" w:rsidRDefault="005D7B09" w:rsidP="005939EF">
      <w:pPr>
        <w:pStyle w:val="NumeracinReload"/>
        <w:tabs>
          <w:tab w:val="clear" w:pos="567"/>
          <w:tab w:val="left" w:pos="851"/>
        </w:tabs>
        <w:ind w:left="851" w:hanging="851"/>
        <w:rPr>
          <w:sz w:val="16"/>
          <w:szCs w:val="18"/>
        </w:rPr>
      </w:pPr>
      <w:r w:rsidRPr="005E069F">
        <w:rPr>
          <w:sz w:val="16"/>
          <w:szCs w:val="18"/>
        </w:rPr>
        <w:t>Sn</w:t>
      </w:r>
      <w:r w:rsidR="005939EF">
        <w:rPr>
          <w:sz w:val="16"/>
          <w:szCs w:val="18"/>
        </w:rPr>
        <w:tab/>
      </w:r>
      <w:r w:rsidRPr="005E069F">
        <w:rPr>
          <w:sz w:val="16"/>
          <w:szCs w:val="18"/>
        </w:rPr>
        <w:tab/>
        <w:t>Sutta-</w:t>
      </w:r>
      <w:proofErr w:type="spellStart"/>
      <w:r w:rsidRPr="00833E70">
        <w:rPr>
          <w:sz w:val="16"/>
          <w:szCs w:val="18"/>
        </w:rPr>
        <w:t>nip</w:t>
      </w:r>
      <w:r w:rsidR="00833E70" w:rsidRPr="00833E70">
        <w:rPr>
          <w:sz w:val="16"/>
          <w:szCs w:val="20"/>
        </w:rPr>
        <w:t>ā</w:t>
      </w:r>
      <w:r w:rsidRPr="00833E70">
        <w:rPr>
          <w:sz w:val="16"/>
          <w:szCs w:val="18"/>
        </w:rPr>
        <w:t>ta</w:t>
      </w:r>
      <w:proofErr w:type="spellEnd"/>
    </w:p>
    <w:p w14:paraId="28236689" w14:textId="51EC996A" w:rsidR="005D7B09" w:rsidRPr="00833E70" w:rsidRDefault="005D7B09" w:rsidP="005939EF">
      <w:pPr>
        <w:pStyle w:val="NumeracinReload"/>
        <w:tabs>
          <w:tab w:val="clear" w:pos="567"/>
          <w:tab w:val="left" w:pos="851"/>
        </w:tabs>
        <w:ind w:left="851" w:hanging="851"/>
        <w:rPr>
          <w:i/>
          <w:iCs/>
          <w:sz w:val="16"/>
          <w:szCs w:val="18"/>
        </w:rPr>
      </w:pPr>
      <w:r w:rsidRPr="005E069F">
        <w:rPr>
          <w:sz w:val="16"/>
          <w:szCs w:val="18"/>
        </w:rPr>
        <w:t>Sn-a</w:t>
      </w:r>
      <w:r w:rsidRPr="005E069F">
        <w:rPr>
          <w:sz w:val="16"/>
          <w:szCs w:val="18"/>
        </w:rPr>
        <w:tab/>
      </w:r>
      <w:r w:rsidR="005939EF">
        <w:rPr>
          <w:sz w:val="16"/>
          <w:szCs w:val="18"/>
        </w:rPr>
        <w:tab/>
      </w:r>
      <w:r w:rsidRPr="005E069F">
        <w:rPr>
          <w:i/>
          <w:iCs/>
          <w:sz w:val="16"/>
          <w:szCs w:val="18"/>
        </w:rPr>
        <w:t>Sutta-</w:t>
      </w:r>
      <w:proofErr w:type="spellStart"/>
      <w:r w:rsidRPr="005E069F">
        <w:rPr>
          <w:i/>
          <w:iCs/>
          <w:sz w:val="16"/>
          <w:szCs w:val="18"/>
        </w:rPr>
        <w:t>nip</w:t>
      </w:r>
      <w:r w:rsidR="00833E70" w:rsidRPr="00833E70">
        <w:rPr>
          <w:i/>
          <w:iCs/>
          <w:sz w:val="16"/>
          <w:szCs w:val="20"/>
        </w:rPr>
        <w:t>ā</w:t>
      </w:r>
      <w:r w:rsidRPr="005E069F">
        <w:rPr>
          <w:i/>
          <w:iCs/>
          <w:sz w:val="16"/>
          <w:szCs w:val="18"/>
        </w:rPr>
        <w:t>ta</w:t>
      </w:r>
      <w:proofErr w:type="spellEnd"/>
      <w:r w:rsidRPr="005E069F">
        <w:rPr>
          <w:i/>
          <w:iCs/>
          <w:sz w:val="16"/>
          <w:szCs w:val="18"/>
        </w:rPr>
        <w:t xml:space="preserve"> </w:t>
      </w:r>
      <w:proofErr w:type="spellStart"/>
      <w:r w:rsidRPr="005E069F">
        <w:rPr>
          <w:i/>
          <w:iCs/>
          <w:sz w:val="16"/>
          <w:szCs w:val="18"/>
        </w:rPr>
        <w:t>A</w:t>
      </w:r>
      <w:r w:rsidR="00833E70" w:rsidRPr="00833E70">
        <w:rPr>
          <w:i/>
          <w:iCs/>
          <w:sz w:val="16"/>
          <w:szCs w:val="20"/>
        </w:rPr>
        <w:t>ṭṭ</w:t>
      </w:r>
      <w:r w:rsidRPr="005E069F">
        <w:rPr>
          <w:i/>
          <w:iCs/>
          <w:sz w:val="16"/>
          <w:szCs w:val="18"/>
        </w:rPr>
        <w:t>hakath</w:t>
      </w:r>
      <w:r w:rsidR="00833E70" w:rsidRPr="00833E70">
        <w:rPr>
          <w:i/>
          <w:iCs/>
          <w:sz w:val="16"/>
          <w:szCs w:val="20"/>
        </w:rPr>
        <w:t>ā</w:t>
      </w:r>
      <w:proofErr w:type="spellEnd"/>
      <w:r w:rsidRPr="005E069F">
        <w:rPr>
          <w:i/>
          <w:iCs/>
          <w:sz w:val="16"/>
          <w:szCs w:val="18"/>
        </w:rPr>
        <w:t xml:space="preserve"> = </w:t>
      </w:r>
      <w:proofErr w:type="spellStart"/>
      <w:r w:rsidRPr="005E069F">
        <w:rPr>
          <w:i/>
          <w:iCs/>
          <w:sz w:val="16"/>
          <w:szCs w:val="18"/>
        </w:rPr>
        <w:t>Paramatthajotik</w:t>
      </w:r>
      <w:r w:rsidR="00833E70" w:rsidRPr="00833E70">
        <w:rPr>
          <w:i/>
          <w:iCs/>
          <w:sz w:val="16"/>
          <w:szCs w:val="20"/>
        </w:rPr>
        <w:t>ā</w:t>
      </w:r>
      <w:proofErr w:type="spellEnd"/>
    </w:p>
    <w:p w14:paraId="7121505C" w14:textId="7CC6559E"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Th</w:t>
      </w:r>
      <w:r w:rsidRPr="002B018F">
        <w:rPr>
          <w:sz w:val="16"/>
          <w:szCs w:val="18"/>
          <w:lang w:val="en-US"/>
        </w:rPr>
        <w:tab/>
      </w:r>
      <w:r w:rsidR="005939EF">
        <w:rPr>
          <w:sz w:val="16"/>
          <w:szCs w:val="18"/>
          <w:lang w:val="en-US"/>
        </w:rPr>
        <w:tab/>
      </w:r>
      <w:r w:rsidRPr="002B018F">
        <w:rPr>
          <w:sz w:val="16"/>
          <w:szCs w:val="18"/>
          <w:lang w:val="en-US"/>
        </w:rPr>
        <w:t>Thera-</w:t>
      </w:r>
      <w:proofErr w:type="spellStart"/>
      <w:r w:rsidRPr="002B018F">
        <w:rPr>
          <w:sz w:val="16"/>
          <w:szCs w:val="18"/>
          <w:lang w:val="en-US"/>
        </w:rPr>
        <w:t>g</w:t>
      </w:r>
      <w:r w:rsidR="00833E70" w:rsidRPr="002B018F">
        <w:rPr>
          <w:sz w:val="16"/>
          <w:szCs w:val="20"/>
          <w:lang w:val="en-US"/>
        </w:rPr>
        <w:t>ā</w:t>
      </w:r>
      <w:r w:rsidRPr="002B018F">
        <w:rPr>
          <w:sz w:val="16"/>
          <w:szCs w:val="18"/>
          <w:lang w:val="en-US"/>
        </w:rPr>
        <w:t>th</w:t>
      </w:r>
      <w:r w:rsidR="00833E70" w:rsidRPr="002B018F">
        <w:rPr>
          <w:sz w:val="16"/>
          <w:szCs w:val="20"/>
          <w:lang w:val="en-US"/>
        </w:rPr>
        <w:t>ā</w:t>
      </w:r>
      <w:proofErr w:type="spellEnd"/>
    </w:p>
    <w:p w14:paraId="2614DB46" w14:textId="5FCF84A2" w:rsidR="005D7B09" w:rsidRPr="002B018F" w:rsidRDefault="005D7B09" w:rsidP="005939EF">
      <w:pPr>
        <w:pStyle w:val="NumeracinReload"/>
        <w:tabs>
          <w:tab w:val="clear" w:pos="567"/>
          <w:tab w:val="left" w:pos="851"/>
        </w:tabs>
        <w:ind w:left="851" w:hanging="851"/>
        <w:rPr>
          <w:sz w:val="16"/>
          <w:szCs w:val="18"/>
          <w:lang w:val="en-US"/>
        </w:rPr>
      </w:pPr>
      <w:proofErr w:type="spellStart"/>
      <w:r w:rsidRPr="002B018F">
        <w:rPr>
          <w:sz w:val="16"/>
          <w:szCs w:val="18"/>
          <w:lang w:val="en-US"/>
        </w:rPr>
        <w:t>Ud</w:t>
      </w:r>
      <w:proofErr w:type="spellEnd"/>
      <w:r w:rsidRPr="002B018F">
        <w:rPr>
          <w:sz w:val="16"/>
          <w:szCs w:val="18"/>
          <w:lang w:val="en-US"/>
        </w:rPr>
        <w:tab/>
      </w:r>
      <w:r w:rsidR="005939EF">
        <w:rPr>
          <w:sz w:val="16"/>
          <w:szCs w:val="18"/>
          <w:lang w:val="en-US"/>
        </w:rPr>
        <w:tab/>
      </w:r>
      <w:proofErr w:type="spellStart"/>
      <w:r w:rsidRPr="002B018F">
        <w:rPr>
          <w:sz w:val="16"/>
          <w:szCs w:val="18"/>
          <w:lang w:val="en-US"/>
        </w:rPr>
        <w:t>Ud</w:t>
      </w:r>
      <w:r w:rsidR="00833E70" w:rsidRPr="002B018F">
        <w:rPr>
          <w:sz w:val="16"/>
          <w:szCs w:val="20"/>
          <w:lang w:val="en-US"/>
        </w:rPr>
        <w:t>ā</w:t>
      </w:r>
      <w:r w:rsidRPr="002B018F">
        <w:rPr>
          <w:sz w:val="16"/>
          <w:szCs w:val="18"/>
          <w:lang w:val="en-US"/>
        </w:rPr>
        <w:t>na</w:t>
      </w:r>
      <w:proofErr w:type="spellEnd"/>
    </w:p>
    <w:p w14:paraId="092CDE08" w14:textId="37202CF8" w:rsidR="005D7B09" w:rsidRPr="002B018F" w:rsidRDefault="005D7B09" w:rsidP="005939EF">
      <w:pPr>
        <w:pStyle w:val="NumeracinReload"/>
        <w:tabs>
          <w:tab w:val="clear" w:pos="567"/>
          <w:tab w:val="left" w:pos="851"/>
        </w:tabs>
        <w:ind w:left="851" w:hanging="851"/>
        <w:rPr>
          <w:sz w:val="16"/>
          <w:szCs w:val="18"/>
          <w:lang w:val="en-US"/>
        </w:rPr>
      </w:pPr>
      <w:proofErr w:type="spellStart"/>
      <w:r w:rsidRPr="002B018F">
        <w:rPr>
          <w:sz w:val="16"/>
          <w:szCs w:val="18"/>
          <w:lang w:val="en-US"/>
        </w:rPr>
        <w:t>Vibh</w:t>
      </w:r>
      <w:proofErr w:type="spellEnd"/>
      <w:r w:rsidRPr="002B018F">
        <w:rPr>
          <w:sz w:val="16"/>
          <w:szCs w:val="18"/>
          <w:lang w:val="en-US"/>
        </w:rPr>
        <w:tab/>
      </w:r>
      <w:r w:rsidR="005939EF">
        <w:rPr>
          <w:sz w:val="16"/>
          <w:szCs w:val="18"/>
          <w:lang w:val="en-US"/>
        </w:rPr>
        <w:tab/>
      </w:r>
      <w:proofErr w:type="spellStart"/>
      <w:r w:rsidRPr="002B018F">
        <w:rPr>
          <w:sz w:val="16"/>
          <w:szCs w:val="18"/>
          <w:lang w:val="en-US"/>
        </w:rPr>
        <w:t>Vibha</w:t>
      </w:r>
      <w:r w:rsidR="00833E70" w:rsidRPr="002B018F">
        <w:rPr>
          <w:sz w:val="16"/>
          <w:szCs w:val="20"/>
          <w:lang w:val="en-US"/>
        </w:rPr>
        <w:t>ṅ</w:t>
      </w:r>
      <w:r w:rsidRPr="002B018F">
        <w:rPr>
          <w:sz w:val="16"/>
          <w:szCs w:val="18"/>
          <w:lang w:val="en-US"/>
        </w:rPr>
        <w:t>ga</w:t>
      </w:r>
      <w:proofErr w:type="spellEnd"/>
    </w:p>
    <w:p w14:paraId="194E84F7" w14:textId="77777777" w:rsidR="005D7B09" w:rsidRPr="002B018F" w:rsidRDefault="005D7B09" w:rsidP="005939EF">
      <w:pPr>
        <w:pStyle w:val="NumeracinReload"/>
        <w:tabs>
          <w:tab w:val="clear" w:pos="567"/>
          <w:tab w:val="left" w:pos="851"/>
        </w:tabs>
        <w:ind w:left="851" w:hanging="851"/>
        <w:rPr>
          <w:i/>
          <w:iCs/>
          <w:sz w:val="16"/>
          <w:szCs w:val="18"/>
          <w:lang w:val="en-US"/>
        </w:rPr>
      </w:pPr>
      <w:proofErr w:type="spellStart"/>
      <w:r w:rsidRPr="002B018F">
        <w:rPr>
          <w:sz w:val="16"/>
          <w:szCs w:val="18"/>
          <w:lang w:val="en-US"/>
        </w:rPr>
        <w:t>Vibh</w:t>
      </w:r>
      <w:proofErr w:type="spellEnd"/>
      <w:r w:rsidRPr="002B018F">
        <w:rPr>
          <w:sz w:val="16"/>
          <w:szCs w:val="18"/>
          <w:lang w:val="en-US"/>
        </w:rPr>
        <w:t>-a</w:t>
      </w:r>
      <w:r w:rsidRPr="002B018F">
        <w:rPr>
          <w:sz w:val="16"/>
          <w:szCs w:val="18"/>
          <w:lang w:val="en-US"/>
        </w:rPr>
        <w:tab/>
      </w:r>
      <w:proofErr w:type="spellStart"/>
      <w:r w:rsidRPr="002B018F">
        <w:rPr>
          <w:i/>
          <w:iCs/>
          <w:sz w:val="16"/>
          <w:szCs w:val="18"/>
          <w:lang w:val="en-US"/>
        </w:rPr>
        <w:t>Vibha</w:t>
      </w:r>
      <w:r w:rsidR="00833E70" w:rsidRPr="002B018F">
        <w:rPr>
          <w:i/>
          <w:iCs/>
          <w:sz w:val="16"/>
          <w:szCs w:val="20"/>
          <w:lang w:val="en-US"/>
        </w:rPr>
        <w:t>ṅ</w:t>
      </w:r>
      <w:r w:rsidRPr="002B018F">
        <w:rPr>
          <w:i/>
          <w:iCs/>
          <w:sz w:val="16"/>
          <w:szCs w:val="18"/>
          <w:lang w:val="en-US"/>
        </w:rPr>
        <w:t>ga</w:t>
      </w:r>
      <w:proofErr w:type="spellEnd"/>
      <w:r w:rsidRPr="002B018F">
        <w:rPr>
          <w:i/>
          <w:iCs/>
          <w:sz w:val="16"/>
          <w:szCs w:val="18"/>
          <w:lang w:val="en-US"/>
        </w:rPr>
        <w:t xml:space="preserve"> </w:t>
      </w:r>
      <w:proofErr w:type="spellStart"/>
      <w:r w:rsidRPr="002B018F">
        <w:rPr>
          <w:i/>
          <w:iCs/>
          <w:sz w:val="16"/>
          <w:szCs w:val="18"/>
          <w:lang w:val="en-US"/>
        </w:rPr>
        <w:t>A</w:t>
      </w:r>
      <w:r w:rsidR="00833E70" w:rsidRPr="002B018F">
        <w:rPr>
          <w:i/>
          <w:iCs/>
          <w:sz w:val="16"/>
          <w:szCs w:val="20"/>
          <w:lang w:val="en-US"/>
        </w:rPr>
        <w:t>ṭṭ</w:t>
      </w:r>
      <w:r w:rsidRPr="002B018F">
        <w:rPr>
          <w:i/>
          <w:iCs/>
          <w:sz w:val="16"/>
          <w:szCs w:val="18"/>
          <w:lang w:val="en-US"/>
        </w:rPr>
        <w:t>hakath</w:t>
      </w:r>
      <w:r w:rsidR="00833E70" w:rsidRPr="002B018F">
        <w:rPr>
          <w:i/>
          <w:iCs/>
          <w:sz w:val="16"/>
          <w:szCs w:val="20"/>
          <w:lang w:val="en-US"/>
        </w:rPr>
        <w:t>ā</w:t>
      </w:r>
      <w:proofErr w:type="spellEnd"/>
      <w:r w:rsidRPr="002B018F">
        <w:rPr>
          <w:i/>
          <w:iCs/>
          <w:sz w:val="16"/>
          <w:szCs w:val="18"/>
          <w:lang w:val="en-US"/>
        </w:rPr>
        <w:t xml:space="preserve"> = </w:t>
      </w:r>
      <w:proofErr w:type="spellStart"/>
      <w:r w:rsidRPr="002B018F">
        <w:rPr>
          <w:i/>
          <w:iCs/>
          <w:sz w:val="16"/>
          <w:szCs w:val="18"/>
          <w:lang w:val="en-US"/>
        </w:rPr>
        <w:t>Sammohavinodan</w:t>
      </w:r>
      <w:r w:rsidR="00833E70" w:rsidRPr="002B018F">
        <w:rPr>
          <w:i/>
          <w:iCs/>
          <w:sz w:val="16"/>
          <w:szCs w:val="20"/>
          <w:lang w:val="en-US"/>
        </w:rPr>
        <w:t>ī</w:t>
      </w:r>
      <w:proofErr w:type="spellEnd"/>
    </w:p>
    <w:p w14:paraId="744FCA13" w14:textId="30FD1B1D" w:rsidR="005D7B09" w:rsidRPr="002B018F" w:rsidRDefault="005D7B09" w:rsidP="005939EF">
      <w:pPr>
        <w:pStyle w:val="NumeracinReload"/>
        <w:tabs>
          <w:tab w:val="clear" w:pos="567"/>
          <w:tab w:val="left" w:pos="851"/>
        </w:tabs>
        <w:ind w:left="851" w:hanging="851"/>
        <w:rPr>
          <w:sz w:val="16"/>
          <w:szCs w:val="18"/>
          <w:lang w:val="en-US"/>
        </w:rPr>
      </w:pPr>
      <w:proofErr w:type="spellStart"/>
      <w:r w:rsidRPr="002B018F">
        <w:rPr>
          <w:sz w:val="16"/>
          <w:szCs w:val="18"/>
          <w:lang w:val="en-US"/>
        </w:rPr>
        <w:t>Vibh</w:t>
      </w:r>
      <w:proofErr w:type="spellEnd"/>
      <w:r w:rsidRPr="002B018F">
        <w:rPr>
          <w:sz w:val="16"/>
          <w:szCs w:val="18"/>
          <w:lang w:val="en-US"/>
        </w:rPr>
        <w:t>-</w:t>
      </w:r>
      <w:r w:rsidR="005939EF">
        <w:rPr>
          <w:sz w:val="16"/>
          <w:szCs w:val="18"/>
          <w:lang w:val="en-US"/>
        </w:rPr>
        <w:t>ṭ</w:t>
      </w:r>
      <w:r w:rsidR="005939EF">
        <w:rPr>
          <w:sz w:val="16"/>
          <w:szCs w:val="18"/>
          <w:lang w:val="en-US"/>
        </w:rPr>
        <w:tab/>
      </w:r>
      <w:r w:rsidRPr="002B018F">
        <w:rPr>
          <w:sz w:val="16"/>
          <w:szCs w:val="18"/>
          <w:lang w:val="en-US"/>
        </w:rPr>
        <w:tab/>
      </w:r>
      <w:proofErr w:type="spellStart"/>
      <w:r w:rsidRPr="002B018F">
        <w:rPr>
          <w:i/>
          <w:iCs/>
          <w:sz w:val="16"/>
          <w:szCs w:val="18"/>
          <w:lang w:val="en-US"/>
        </w:rPr>
        <w:t>Vibha</w:t>
      </w:r>
      <w:r w:rsidR="00833E70" w:rsidRPr="002B018F">
        <w:rPr>
          <w:i/>
          <w:iCs/>
          <w:sz w:val="16"/>
          <w:szCs w:val="20"/>
          <w:lang w:val="en-US"/>
        </w:rPr>
        <w:t>ṅ</w:t>
      </w:r>
      <w:r w:rsidRPr="002B018F">
        <w:rPr>
          <w:i/>
          <w:iCs/>
          <w:sz w:val="16"/>
          <w:szCs w:val="18"/>
          <w:lang w:val="en-US"/>
        </w:rPr>
        <w:t>ga</w:t>
      </w:r>
      <w:proofErr w:type="spellEnd"/>
      <w:r w:rsidRPr="002B018F">
        <w:rPr>
          <w:i/>
          <w:iCs/>
          <w:sz w:val="16"/>
          <w:szCs w:val="18"/>
          <w:lang w:val="en-US"/>
        </w:rPr>
        <w:t xml:space="preserve"> </w:t>
      </w:r>
      <w:proofErr w:type="spellStart"/>
      <w:r w:rsidR="00833E70" w:rsidRPr="002B018F">
        <w:rPr>
          <w:i/>
          <w:iCs/>
          <w:sz w:val="16"/>
          <w:szCs w:val="20"/>
          <w:lang w:val="en-US"/>
        </w:rPr>
        <w:t>Ṭī</w:t>
      </w:r>
      <w:r w:rsidR="00833E70" w:rsidRPr="002B018F">
        <w:rPr>
          <w:i/>
          <w:iCs/>
          <w:sz w:val="16"/>
          <w:szCs w:val="18"/>
          <w:lang w:val="en-US"/>
        </w:rPr>
        <w:t>k</w:t>
      </w:r>
      <w:r w:rsidR="00833E70" w:rsidRPr="002B018F">
        <w:rPr>
          <w:i/>
          <w:iCs/>
          <w:sz w:val="16"/>
          <w:szCs w:val="20"/>
          <w:lang w:val="en-US"/>
        </w:rPr>
        <w:t>ā</w:t>
      </w:r>
      <w:proofErr w:type="spellEnd"/>
      <w:r w:rsidR="00833E70" w:rsidRPr="002B018F">
        <w:rPr>
          <w:i/>
          <w:iCs/>
          <w:sz w:val="16"/>
          <w:szCs w:val="18"/>
          <w:lang w:val="en-US"/>
        </w:rPr>
        <w:t xml:space="preserve"> </w:t>
      </w:r>
      <w:r w:rsidRPr="002B018F">
        <w:rPr>
          <w:i/>
          <w:iCs/>
          <w:sz w:val="16"/>
          <w:szCs w:val="18"/>
          <w:lang w:val="en-US"/>
        </w:rPr>
        <w:t xml:space="preserve">= </w:t>
      </w:r>
      <w:proofErr w:type="spellStart"/>
      <w:r w:rsidRPr="002B018F">
        <w:rPr>
          <w:i/>
          <w:iCs/>
          <w:sz w:val="16"/>
          <w:szCs w:val="18"/>
          <w:lang w:val="en-US"/>
        </w:rPr>
        <w:t>M</w:t>
      </w:r>
      <w:r w:rsidR="00833E70" w:rsidRPr="002B018F">
        <w:rPr>
          <w:i/>
          <w:iCs/>
          <w:sz w:val="16"/>
          <w:szCs w:val="20"/>
          <w:lang w:val="en-US"/>
        </w:rPr>
        <w:t>ū</w:t>
      </w:r>
      <w:r w:rsidRPr="002B018F">
        <w:rPr>
          <w:i/>
          <w:iCs/>
          <w:sz w:val="16"/>
          <w:szCs w:val="18"/>
          <w:lang w:val="en-US"/>
        </w:rPr>
        <w:t>la</w:t>
      </w:r>
      <w:proofErr w:type="spellEnd"/>
      <w:r w:rsidRPr="002B018F">
        <w:rPr>
          <w:i/>
          <w:iCs/>
          <w:sz w:val="16"/>
          <w:szCs w:val="18"/>
          <w:lang w:val="en-US"/>
        </w:rPr>
        <w:t xml:space="preserve"> </w:t>
      </w:r>
      <w:proofErr w:type="spellStart"/>
      <w:r w:rsidR="00833E70" w:rsidRPr="002B018F">
        <w:rPr>
          <w:i/>
          <w:iCs/>
          <w:sz w:val="16"/>
          <w:szCs w:val="20"/>
          <w:lang w:val="en-US"/>
        </w:rPr>
        <w:t>Ṭī</w:t>
      </w:r>
      <w:r w:rsidR="00833E70" w:rsidRPr="002B018F">
        <w:rPr>
          <w:i/>
          <w:iCs/>
          <w:sz w:val="16"/>
          <w:szCs w:val="18"/>
          <w:lang w:val="en-US"/>
        </w:rPr>
        <w:t>k</w:t>
      </w:r>
      <w:r w:rsidR="00833E70" w:rsidRPr="002B018F">
        <w:rPr>
          <w:i/>
          <w:iCs/>
          <w:sz w:val="16"/>
          <w:szCs w:val="20"/>
          <w:lang w:val="en-US"/>
        </w:rPr>
        <w:t>ā</w:t>
      </w:r>
      <w:proofErr w:type="spellEnd"/>
      <w:r w:rsidR="00833E70" w:rsidRPr="002B018F">
        <w:rPr>
          <w:i/>
          <w:iCs/>
          <w:sz w:val="16"/>
          <w:szCs w:val="18"/>
          <w:lang w:val="en-US"/>
        </w:rPr>
        <w:t xml:space="preserve"> </w:t>
      </w:r>
      <w:r w:rsidRPr="002B018F">
        <w:rPr>
          <w:i/>
          <w:iCs/>
          <w:sz w:val="16"/>
          <w:szCs w:val="18"/>
          <w:lang w:val="en-US"/>
        </w:rPr>
        <w:t>II</w:t>
      </w:r>
    </w:p>
    <w:p w14:paraId="34082CA5" w14:textId="79060617" w:rsidR="005D7B09" w:rsidRPr="002B018F" w:rsidRDefault="005D7B09" w:rsidP="005939EF">
      <w:pPr>
        <w:pStyle w:val="NumeracinReload"/>
        <w:tabs>
          <w:tab w:val="clear" w:pos="567"/>
          <w:tab w:val="left" w:pos="851"/>
        </w:tabs>
        <w:ind w:left="851" w:hanging="851"/>
        <w:rPr>
          <w:sz w:val="16"/>
          <w:szCs w:val="18"/>
          <w:lang w:val="en-US"/>
        </w:rPr>
      </w:pPr>
      <w:proofErr w:type="spellStart"/>
      <w:r w:rsidRPr="002B018F">
        <w:rPr>
          <w:sz w:val="16"/>
          <w:szCs w:val="18"/>
          <w:lang w:val="en-US"/>
        </w:rPr>
        <w:t>Vv</w:t>
      </w:r>
      <w:proofErr w:type="spellEnd"/>
      <w:r w:rsidRPr="002B018F">
        <w:rPr>
          <w:sz w:val="16"/>
          <w:szCs w:val="18"/>
          <w:lang w:val="en-US"/>
        </w:rPr>
        <w:tab/>
      </w:r>
      <w:r w:rsidR="005939EF">
        <w:rPr>
          <w:sz w:val="16"/>
          <w:szCs w:val="18"/>
          <w:lang w:val="en-US"/>
        </w:rPr>
        <w:tab/>
      </w:r>
      <w:proofErr w:type="spellStart"/>
      <w:r w:rsidRPr="002B018F">
        <w:rPr>
          <w:sz w:val="16"/>
          <w:szCs w:val="18"/>
          <w:lang w:val="en-US"/>
        </w:rPr>
        <w:t>Vim</w:t>
      </w:r>
      <w:r w:rsidR="00833E70" w:rsidRPr="002B018F">
        <w:rPr>
          <w:sz w:val="16"/>
          <w:szCs w:val="20"/>
          <w:lang w:val="en-US"/>
        </w:rPr>
        <w:t>ā</w:t>
      </w:r>
      <w:r w:rsidRPr="002B018F">
        <w:rPr>
          <w:sz w:val="16"/>
          <w:szCs w:val="18"/>
          <w:lang w:val="en-US"/>
        </w:rPr>
        <w:t>navatthu</w:t>
      </w:r>
      <w:proofErr w:type="spellEnd"/>
    </w:p>
    <w:p w14:paraId="38A58597" w14:textId="7724A965"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Vin I</w:t>
      </w:r>
      <w:r w:rsidRPr="002B018F">
        <w:rPr>
          <w:sz w:val="16"/>
          <w:szCs w:val="18"/>
          <w:lang w:val="en-US"/>
        </w:rPr>
        <w:tab/>
      </w:r>
      <w:r w:rsidR="005939EF">
        <w:rPr>
          <w:sz w:val="16"/>
          <w:szCs w:val="18"/>
          <w:lang w:val="en-US"/>
        </w:rPr>
        <w:tab/>
      </w:r>
      <w:r w:rsidRPr="002B018F">
        <w:rPr>
          <w:sz w:val="16"/>
          <w:szCs w:val="18"/>
          <w:lang w:val="en-US"/>
        </w:rPr>
        <w:t xml:space="preserve">Vinaya </w:t>
      </w:r>
      <w:proofErr w:type="spellStart"/>
      <w:r w:rsidRPr="00D21929">
        <w:rPr>
          <w:sz w:val="16"/>
          <w:szCs w:val="18"/>
          <w:lang w:val="en-US"/>
        </w:rPr>
        <w:t>Pi</w:t>
      </w:r>
      <w:r w:rsidR="00833E70" w:rsidRPr="00D21929">
        <w:rPr>
          <w:sz w:val="16"/>
          <w:szCs w:val="20"/>
          <w:lang w:val="en-US"/>
        </w:rPr>
        <w:t>ṭ</w:t>
      </w:r>
      <w:r w:rsidRPr="00D21929">
        <w:rPr>
          <w:sz w:val="16"/>
          <w:szCs w:val="18"/>
          <w:lang w:val="en-US"/>
        </w:rPr>
        <w:t>aka</w:t>
      </w:r>
      <w:proofErr w:type="spellEnd"/>
      <w:r w:rsidRPr="002B018F">
        <w:rPr>
          <w:sz w:val="16"/>
          <w:szCs w:val="18"/>
          <w:lang w:val="en-US"/>
        </w:rPr>
        <w:t xml:space="preserve"> (3)—</w:t>
      </w:r>
      <w:proofErr w:type="spellStart"/>
      <w:r w:rsidRPr="002B018F">
        <w:rPr>
          <w:sz w:val="16"/>
          <w:szCs w:val="18"/>
          <w:lang w:val="en-US"/>
        </w:rPr>
        <w:t>Mah</w:t>
      </w:r>
      <w:r w:rsidR="00833E70" w:rsidRPr="002B018F">
        <w:rPr>
          <w:sz w:val="16"/>
          <w:szCs w:val="20"/>
          <w:lang w:val="en-US"/>
        </w:rPr>
        <w:t>ā</w:t>
      </w:r>
      <w:r w:rsidRPr="002B018F">
        <w:rPr>
          <w:sz w:val="16"/>
          <w:szCs w:val="18"/>
          <w:lang w:val="en-US"/>
        </w:rPr>
        <w:t>vagga</w:t>
      </w:r>
      <w:proofErr w:type="spellEnd"/>
    </w:p>
    <w:p w14:paraId="4102CEEB" w14:textId="5483906F"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Vin II</w:t>
      </w:r>
      <w:r w:rsidRPr="002B018F">
        <w:rPr>
          <w:sz w:val="16"/>
          <w:szCs w:val="18"/>
          <w:lang w:val="en-US"/>
        </w:rPr>
        <w:tab/>
      </w:r>
      <w:r w:rsidR="005939EF">
        <w:rPr>
          <w:sz w:val="16"/>
          <w:szCs w:val="18"/>
          <w:lang w:val="en-US"/>
        </w:rPr>
        <w:tab/>
      </w:r>
      <w:r w:rsidRPr="002B018F">
        <w:rPr>
          <w:sz w:val="16"/>
          <w:szCs w:val="18"/>
          <w:lang w:val="en-US"/>
        </w:rPr>
        <w:t xml:space="preserve">Vinaya </w:t>
      </w:r>
      <w:proofErr w:type="spellStart"/>
      <w:r w:rsidRPr="002B018F">
        <w:rPr>
          <w:sz w:val="16"/>
          <w:szCs w:val="18"/>
          <w:lang w:val="en-US"/>
        </w:rPr>
        <w:t>Pi</w:t>
      </w:r>
      <w:r w:rsidR="00833E70" w:rsidRPr="002B018F">
        <w:rPr>
          <w:sz w:val="16"/>
          <w:szCs w:val="20"/>
          <w:lang w:val="en-US"/>
        </w:rPr>
        <w:t>ṭ</w:t>
      </w:r>
      <w:r w:rsidRPr="002B018F">
        <w:rPr>
          <w:sz w:val="16"/>
          <w:szCs w:val="18"/>
          <w:lang w:val="en-US"/>
        </w:rPr>
        <w:t>aka</w:t>
      </w:r>
      <w:proofErr w:type="spellEnd"/>
      <w:r w:rsidRPr="002B018F">
        <w:rPr>
          <w:sz w:val="16"/>
          <w:szCs w:val="18"/>
          <w:lang w:val="en-US"/>
        </w:rPr>
        <w:t xml:space="preserve"> (4)—</w:t>
      </w:r>
      <w:proofErr w:type="spellStart"/>
      <w:r w:rsidRPr="002B018F">
        <w:rPr>
          <w:sz w:val="16"/>
          <w:szCs w:val="18"/>
          <w:lang w:val="en-US"/>
        </w:rPr>
        <w:t>C</w:t>
      </w:r>
      <w:r w:rsidR="00833E70" w:rsidRPr="002B018F">
        <w:rPr>
          <w:sz w:val="16"/>
          <w:szCs w:val="20"/>
          <w:lang w:val="en-US"/>
        </w:rPr>
        <w:t>ūḷ</w:t>
      </w:r>
      <w:r w:rsidRPr="002B018F">
        <w:rPr>
          <w:sz w:val="16"/>
          <w:szCs w:val="18"/>
          <w:lang w:val="en-US"/>
        </w:rPr>
        <w:t>avagga</w:t>
      </w:r>
      <w:proofErr w:type="spellEnd"/>
    </w:p>
    <w:p w14:paraId="23C8D7C7" w14:textId="77777777" w:rsidR="005D7B09" w:rsidRPr="002B018F" w:rsidRDefault="005D7B09" w:rsidP="005939EF">
      <w:pPr>
        <w:pStyle w:val="NumeracinReload"/>
        <w:tabs>
          <w:tab w:val="clear" w:pos="567"/>
          <w:tab w:val="left" w:pos="851"/>
        </w:tabs>
        <w:ind w:left="851" w:hanging="851"/>
        <w:rPr>
          <w:sz w:val="16"/>
          <w:szCs w:val="18"/>
          <w:lang w:val="en-US"/>
        </w:rPr>
      </w:pPr>
      <w:r w:rsidRPr="002B018F">
        <w:rPr>
          <w:sz w:val="16"/>
          <w:szCs w:val="18"/>
          <w:lang w:val="en-US"/>
        </w:rPr>
        <w:t>Vin III</w:t>
      </w:r>
      <w:r w:rsidRPr="002B018F">
        <w:rPr>
          <w:sz w:val="16"/>
          <w:szCs w:val="18"/>
          <w:lang w:val="en-US"/>
        </w:rPr>
        <w:tab/>
        <w:t xml:space="preserve">Vinaya </w:t>
      </w:r>
      <w:proofErr w:type="spellStart"/>
      <w:r w:rsidRPr="002B018F">
        <w:rPr>
          <w:sz w:val="16"/>
          <w:szCs w:val="18"/>
          <w:lang w:val="en-US"/>
        </w:rPr>
        <w:t>Pi</w:t>
      </w:r>
      <w:r w:rsidR="00833E70" w:rsidRPr="002B018F">
        <w:rPr>
          <w:sz w:val="16"/>
          <w:szCs w:val="20"/>
          <w:lang w:val="en-US"/>
        </w:rPr>
        <w:t>ṭ</w:t>
      </w:r>
      <w:r w:rsidRPr="002B018F">
        <w:rPr>
          <w:sz w:val="16"/>
          <w:szCs w:val="18"/>
          <w:lang w:val="en-US"/>
        </w:rPr>
        <w:t>aka</w:t>
      </w:r>
      <w:proofErr w:type="spellEnd"/>
      <w:r w:rsidRPr="002B018F">
        <w:rPr>
          <w:sz w:val="16"/>
          <w:szCs w:val="18"/>
          <w:lang w:val="en-US"/>
        </w:rPr>
        <w:t xml:space="preserve"> (1)—</w:t>
      </w:r>
      <w:proofErr w:type="spellStart"/>
      <w:r w:rsidRPr="002B018F">
        <w:rPr>
          <w:sz w:val="16"/>
          <w:szCs w:val="18"/>
          <w:lang w:val="en-US"/>
        </w:rPr>
        <w:t>Suttavibha</w:t>
      </w:r>
      <w:r w:rsidR="00945168" w:rsidRPr="002B018F">
        <w:rPr>
          <w:sz w:val="16"/>
          <w:szCs w:val="20"/>
          <w:lang w:val="en-US"/>
        </w:rPr>
        <w:t>ṅ</w:t>
      </w:r>
      <w:r w:rsidRPr="002B018F">
        <w:rPr>
          <w:sz w:val="16"/>
          <w:szCs w:val="18"/>
          <w:lang w:val="en-US"/>
        </w:rPr>
        <w:t>ga</w:t>
      </w:r>
      <w:proofErr w:type="spellEnd"/>
      <w:r w:rsidRPr="002B018F">
        <w:rPr>
          <w:sz w:val="16"/>
          <w:szCs w:val="18"/>
          <w:lang w:val="en-US"/>
        </w:rPr>
        <w:t xml:space="preserve"> 1</w:t>
      </w:r>
    </w:p>
    <w:p w14:paraId="6B0AAEEE" w14:textId="77777777" w:rsidR="005D7B09" w:rsidRPr="005E069F" w:rsidRDefault="005D7B09" w:rsidP="005939EF">
      <w:pPr>
        <w:pStyle w:val="NumeracinReload"/>
        <w:tabs>
          <w:tab w:val="clear" w:pos="567"/>
          <w:tab w:val="left" w:pos="851"/>
        </w:tabs>
        <w:ind w:left="851" w:hanging="851"/>
        <w:rPr>
          <w:sz w:val="16"/>
          <w:szCs w:val="18"/>
        </w:rPr>
      </w:pPr>
      <w:proofErr w:type="spellStart"/>
      <w:r w:rsidRPr="005E069F">
        <w:rPr>
          <w:sz w:val="16"/>
          <w:szCs w:val="18"/>
        </w:rPr>
        <w:t>Vin</w:t>
      </w:r>
      <w:proofErr w:type="spellEnd"/>
      <w:r w:rsidRPr="005E069F">
        <w:rPr>
          <w:sz w:val="16"/>
          <w:szCs w:val="18"/>
        </w:rPr>
        <w:t xml:space="preserve"> IV</w:t>
      </w:r>
      <w:r w:rsidRPr="005E069F">
        <w:rPr>
          <w:sz w:val="16"/>
          <w:szCs w:val="18"/>
        </w:rPr>
        <w:tab/>
      </w:r>
      <w:proofErr w:type="spellStart"/>
      <w:r w:rsidRPr="005E069F">
        <w:rPr>
          <w:sz w:val="16"/>
          <w:szCs w:val="18"/>
        </w:rPr>
        <w:t>Vinaya</w:t>
      </w:r>
      <w:proofErr w:type="spellEnd"/>
      <w:r w:rsidRPr="005E069F">
        <w:rPr>
          <w:sz w:val="16"/>
          <w:szCs w:val="18"/>
        </w:rPr>
        <w:t xml:space="preserve"> </w:t>
      </w:r>
      <w:proofErr w:type="spellStart"/>
      <w:r w:rsidRPr="00833E70">
        <w:rPr>
          <w:sz w:val="16"/>
          <w:szCs w:val="18"/>
        </w:rPr>
        <w:t>Pi</w:t>
      </w:r>
      <w:r w:rsidR="00833E70" w:rsidRPr="00833E70">
        <w:rPr>
          <w:sz w:val="16"/>
          <w:szCs w:val="20"/>
        </w:rPr>
        <w:t>ṭ</w:t>
      </w:r>
      <w:r w:rsidRPr="00833E70">
        <w:rPr>
          <w:sz w:val="16"/>
          <w:szCs w:val="18"/>
        </w:rPr>
        <w:t>aka</w:t>
      </w:r>
      <w:proofErr w:type="spellEnd"/>
      <w:r w:rsidRPr="005E069F">
        <w:rPr>
          <w:sz w:val="16"/>
          <w:szCs w:val="18"/>
        </w:rPr>
        <w:t xml:space="preserve"> (2)—</w:t>
      </w:r>
      <w:proofErr w:type="spellStart"/>
      <w:r w:rsidRPr="00945168">
        <w:rPr>
          <w:sz w:val="16"/>
          <w:szCs w:val="18"/>
        </w:rPr>
        <w:t>Suttavibha</w:t>
      </w:r>
      <w:r w:rsidR="00945168" w:rsidRPr="00945168">
        <w:rPr>
          <w:sz w:val="16"/>
          <w:szCs w:val="20"/>
        </w:rPr>
        <w:t>ṅ</w:t>
      </w:r>
      <w:r w:rsidRPr="00945168">
        <w:rPr>
          <w:sz w:val="16"/>
          <w:szCs w:val="18"/>
        </w:rPr>
        <w:t>ga</w:t>
      </w:r>
      <w:proofErr w:type="spellEnd"/>
      <w:r w:rsidRPr="005E069F">
        <w:rPr>
          <w:sz w:val="16"/>
          <w:szCs w:val="18"/>
        </w:rPr>
        <w:t xml:space="preserve"> 2</w:t>
      </w:r>
    </w:p>
    <w:p w14:paraId="13E5BECC" w14:textId="62EAEC14" w:rsidR="005D7B09" w:rsidRPr="00996246" w:rsidRDefault="005D7B09" w:rsidP="005939EF">
      <w:pPr>
        <w:pStyle w:val="NumeracinReload"/>
        <w:tabs>
          <w:tab w:val="clear" w:pos="567"/>
          <w:tab w:val="left" w:pos="851"/>
        </w:tabs>
        <w:ind w:left="851" w:hanging="851"/>
        <w:rPr>
          <w:sz w:val="16"/>
          <w:szCs w:val="18"/>
          <w:lang w:val="en-US"/>
        </w:rPr>
      </w:pPr>
      <w:r w:rsidRPr="00996246">
        <w:rPr>
          <w:sz w:val="16"/>
          <w:szCs w:val="18"/>
          <w:lang w:val="en-US"/>
        </w:rPr>
        <w:t>Vin V</w:t>
      </w:r>
      <w:r w:rsidRPr="00996246">
        <w:rPr>
          <w:sz w:val="16"/>
          <w:szCs w:val="18"/>
          <w:lang w:val="en-US"/>
        </w:rPr>
        <w:tab/>
      </w:r>
      <w:r w:rsidR="005939EF" w:rsidRPr="00996246">
        <w:rPr>
          <w:sz w:val="16"/>
          <w:szCs w:val="18"/>
          <w:lang w:val="en-US"/>
        </w:rPr>
        <w:tab/>
      </w:r>
      <w:r w:rsidRPr="00996246">
        <w:rPr>
          <w:sz w:val="16"/>
          <w:szCs w:val="18"/>
          <w:lang w:val="en-US"/>
        </w:rPr>
        <w:t xml:space="preserve">Vinaya </w:t>
      </w:r>
      <w:proofErr w:type="spellStart"/>
      <w:r w:rsidRPr="00996246">
        <w:rPr>
          <w:sz w:val="16"/>
          <w:szCs w:val="18"/>
          <w:lang w:val="en-US"/>
        </w:rPr>
        <w:t>Pi</w:t>
      </w:r>
      <w:r w:rsidR="00833E70" w:rsidRPr="00996246">
        <w:rPr>
          <w:sz w:val="16"/>
          <w:szCs w:val="20"/>
          <w:lang w:val="en-US"/>
        </w:rPr>
        <w:t>ṭ</w:t>
      </w:r>
      <w:r w:rsidRPr="00996246">
        <w:rPr>
          <w:sz w:val="16"/>
          <w:szCs w:val="18"/>
          <w:lang w:val="en-US"/>
        </w:rPr>
        <w:t>aka</w:t>
      </w:r>
      <w:proofErr w:type="spellEnd"/>
      <w:r w:rsidRPr="00996246">
        <w:rPr>
          <w:sz w:val="16"/>
          <w:szCs w:val="18"/>
          <w:lang w:val="en-US"/>
        </w:rPr>
        <w:t xml:space="preserve"> (5)—</w:t>
      </w:r>
      <w:proofErr w:type="spellStart"/>
      <w:r w:rsidRPr="00996246">
        <w:rPr>
          <w:sz w:val="16"/>
          <w:szCs w:val="18"/>
          <w:lang w:val="en-US"/>
        </w:rPr>
        <w:t>Pariv</w:t>
      </w:r>
      <w:r w:rsidR="00833E70" w:rsidRPr="00996246">
        <w:rPr>
          <w:sz w:val="16"/>
          <w:szCs w:val="20"/>
          <w:lang w:val="en-US"/>
        </w:rPr>
        <w:t>ā</w:t>
      </w:r>
      <w:r w:rsidRPr="00996246">
        <w:rPr>
          <w:sz w:val="16"/>
          <w:szCs w:val="18"/>
          <w:lang w:val="en-US"/>
        </w:rPr>
        <w:t>ra</w:t>
      </w:r>
      <w:proofErr w:type="spellEnd"/>
    </w:p>
    <w:p w14:paraId="6FD565F5" w14:textId="696F9BEC" w:rsidR="00B00193" w:rsidRPr="002B018F" w:rsidRDefault="005D7B09" w:rsidP="005939EF">
      <w:pPr>
        <w:pStyle w:val="NumeracinReload"/>
        <w:tabs>
          <w:tab w:val="clear" w:pos="567"/>
          <w:tab w:val="left" w:pos="851"/>
        </w:tabs>
        <w:ind w:left="851" w:hanging="851"/>
        <w:rPr>
          <w:sz w:val="16"/>
          <w:szCs w:val="18"/>
          <w:lang w:val="en-US"/>
        </w:rPr>
      </w:pPr>
      <w:proofErr w:type="spellStart"/>
      <w:r w:rsidRPr="00996246">
        <w:rPr>
          <w:sz w:val="16"/>
          <w:szCs w:val="18"/>
          <w:lang w:val="en-US"/>
        </w:rPr>
        <w:t>Vism</w:t>
      </w:r>
      <w:proofErr w:type="spellEnd"/>
      <w:r w:rsidRPr="00996246">
        <w:rPr>
          <w:sz w:val="16"/>
          <w:szCs w:val="18"/>
          <w:lang w:val="en-US"/>
        </w:rPr>
        <w:tab/>
      </w:r>
      <w:r w:rsidR="005939EF" w:rsidRPr="00996246">
        <w:rPr>
          <w:sz w:val="16"/>
          <w:szCs w:val="18"/>
          <w:lang w:val="en-US"/>
        </w:rPr>
        <w:tab/>
      </w:r>
      <w:r w:rsidRPr="00996246">
        <w:rPr>
          <w:i/>
          <w:iCs/>
          <w:sz w:val="16"/>
          <w:szCs w:val="18"/>
          <w:lang w:val="en-US"/>
        </w:rPr>
        <w:t>Visuddhimagga</w:t>
      </w:r>
      <w:r w:rsidRPr="00996246">
        <w:rPr>
          <w:sz w:val="16"/>
          <w:szCs w:val="18"/>
          <w:lang w:val="en-US"/>
        </w:rPr>
        <w:t xml:space="preserve"> (PTS ed. </w:t>
      </w:r>
      <w:r w:rsidRPr="002B018F">
        <w:rPr>
          <w:sz w:val="16"/>
          <w:szCs w:val="18"/>
          <w:lang w:val="en-US"/>
        </w:rPr>
        <w:t>[= Ee] and Harvard Oriental Series ed. [= Ae])</w:t>
      </w:r>
    </w:p>
    <w:p w14:paraId="68B55DA4" w14:textId="77777777" w:rsidR="00B00193" w:rsidRPr="002B018F" w:rsidRDefault="00B00193" w:rsidP="005939EF">
      <w:pPr>
        <w:tabs>
          <w:tab w:val="left" w:pos="851"/>
        </w:tabs>
        <w:rPr>
          <w:sz w:val="16"/>
          <w:szCs w:val="18"/>
          <w:lang w:val="en-US"/>
        </w:rPr>
      </w:pPr>
      <w:r w:rsidRPr="002B018F">
        <w:rPr>
          <w:sz w:val="16"/>
          <w:szCs w:val="18"/>
          <w:lang w:val="en-US"/>
        </w:rPr>
        <w:br w:type="page"/>
      </w:r>
    </w:p>
    <w:p w14:paraId="10D63D50" w14:textId="77777777" w:rsidR="005D7B09" w:rsidRPr="002B018F" w:rsidRDefault="005D7B09" w:rsidP="005939EF">
      <w:pPr>
        <w:pStyle w:val="NumeracinReload"/>
        <w:tabs>
          <w:tab w:val="clear" w:pos="567"/>
          <w:tab w:val="left" w:pos="851"/>
        </w:tabs>
        <w:ind w:left="851" w:hanging="851"/>
        <w:rPr>
          <w:sz w:val="16"/>
          <w:szCs w:val="18"/>
          <w:lang w:val="en-US"/>
        </w:rPr>
      </w:pPr>
    </w:p>
    <w:p w14:paraId="05FAECA6" w14:textId="5B708D20" w:rsidR="005D7B09" w:rsidRPr="00F112AD" w:rsidRDefault="005D7B09" w:rsidP="005939EF">
      <w:pPr>
        <w:pStyle w:val="NumeracinReload"/>
        <w:tabs>
          <w:tab w:val="clear" w:pos="567"/>
          <w:tab w:val="left" w:pos="851"/>
        </w:tabs>
        <w:ind w:left="851" w:hanging="851"/>
        <w:rPr>
          <w:sz w:val="16"/>
          <w:szCs w:val="18"/>
        </w:rPr>
      </w:pPr>
      <w:proofErr w:type="spellStart"/>
      <w:r w:rsidRPr="002B018F">
        <w:rPr>
          <w:sz w:val="16"/>
          <w:szCs w:val="18"/>
          <w:lang w:val="en-US"/>
        </w:rPr>
        <w:t>Vism-</w:t>
      </w:r>
      <w:r w:rsidRPr="002B018F">
        <w:rPr>
          <w:i/>
          <w:iCs/>
          <w:sz w:val="16"/>
          <w:szCs w:val="18"/>
          <w:lang w:val="en-US"/>
        </w:rPr>
        <w:t>mh</w:t>
      </w:r>
      <w:r w:rsidR="00945168" w:rsidRPr="002B018F">
        <w:rPr>
          <w:i/>
          <w:iCs/>
          <w:sz w:val="16"/>
          <w:szCs w:val="20"/>
          <w:lang w:val="en-US"/>
        </w:rPr>
        <w:t>ṭ</w:t>
      </w:r>
      <w:proofErr w:type="spellEnd"/>
      <w:r w:rsidRPr="002B018F">
        <w:rPr>
          <w:sz w:val="16"/>
          <w:szCs w:val="18"/>
          <w:lang w:val="en-US"/>
        </w:rPr>
        <w:t xml:space="preserve"> </w:t>
      </w:r>
      <w:r w:rsidR="00B00193" w:rsidRPr="002B018F">
        <w:rPr>
          <w:sz w:val="16"/>
          <w:szCs w:val="18"/>
          <w:lang w:val="en-US"/>
        </w:rPr>
        <w:tab/>
      </w:r>
      <w:proofErr w:type="spellStart"/>
      <w:r w:rsidRPr="002B018F">
        <w:rPr>
          <w:i/>
          <w:iCs/>
          <w:sz w:val="16"/>
          <w:szCs w:val="18"/>
          <w:lang w:val="en-US"/>
        </w:rPr>
        <w:t>Paramatthamañj</w:t>
      </w:r>
      <w:r w:rsidR="00945168" w:rsidRPr="002B018F">
        <w:rPr>
          <w:i/>
          <w:iCs/>
          <w:sz w:val="16"/>
          <w:szCs w:val="20"/>
          <w:lang w:val="en-US"/>
        </w:rPr>
        <w:t>ū</w:t>
      </w:r>
      <w:r w:rsidRPr="002B018F">
        <w:rPr>
          <w:i/>
          <w:iCs/>
          <w:sz w:val="16"/>
          <w:szCs w:val="18"/>
          <w:lang w:val="en-US"/>
        </w:rPr>
        <w:t>s</w:t>
      </w:r>
      <w:r w:rsidR="00945168" w:rsidRPr="002B018F">
        <w:rPr>
          <w:i/>
          <w:iCs/>
          <w:sz w:val="16"/>
          <w:szCs w:val="20"/>
          <w:lang w:val="en-US"/>
        </w:rPr>
        <w:t>ā</w:t>
      </w:r>
      <w:proofErr w:type="spellEnd"/>
      <w:r w:rsidRPr="002B018F">
        <w:rPr>
          <w:sz w:val="16"/>
          <w:szCs w:val="18"/>
          <w:lang w:val="en-US"/>
        </w:rPr>
        <w:t xml:space="preserve">, </w:t>
      </w:r>
      <w:r w:rsidRPr="00D21929">
        <w:rPr>
          <w:i/>
          <w:iCs/>
          <w:sz w:val="16"/>
          <w:szCs w:val="18"/>
          <w:lang w:val="en-US"/>
        </w:rPr>
        <w:t>Visuddhimagga</w:t>
      </w:r>
      <w:r w:rsidRPr="002B018F">
        <w:rPr>
          <w:sz w:val="16"/>
          <w:szCs w:val="18"/>
          <w:lang w:val="en-US"/>
        </w:rPr>
        <w:t xml:space="preserve"> </w:t>
      </w:r>
      <w:proofErr w:type="spellStart"/>
      <w:r w:rsidRPr="00D21929">
        <w:rPr>
          <w:i/>
          <w:iCs/>
          <w:sz w:val="16"/>
          <w:szCs w:val="18"/>
          <w:lang w:val="en-US"/>
        </w:rPr>
        <w:t>A</w:t>
      </w:r>
      <w:r w:rsidR="00945168" w:rsidRPr="00D21929">
        <w:rPr>
          <w:i/>
          <w:iCs/>
          <w:sz w:val="16"/>
          <w:szCs w:val="20"/>
          <w:lang w:val="en-US"/>
        </w:rPr>
        <w:t>ṭṭ</w:t>
      </w:r>
      <w:r w:rsidRPr="00D21929">
        <w:rPr>
          <w:i/>
          <w:iCs/>
          <w:sz w:val="16"/>
          <w:szCs w:val="18"/>
          <w:lang w:val="en-US"/>
        </w:rPr>
        <w:t>hakath</w:t>
      </w:r>
      <w:r w:rsidR="00945168" w:rsidRPr="00D21929">
        <w:rPr>
          <w:i/>
          <w:iCs/>
          <w:sz w:val="16"/>
          <w:szCs w:val="20"/>
          <w:lang w:val="en-US"/>
        </w:rPr>
        <w:t>ā</w:t>
      </w:r>
      <w:proofErr w:type="spellEnd"/>
      <w:r w:rsidRPr="002B018F">
        <w:rPr>
          <w:sz w:val="16"/>
          <w:szCs w:val="18"/>
          <w:lang w:val="en-US"/>
        </w:rPr>
        <w:t xml:space="preserve"> = </w:t>
      </w:r>
      <w:r w:rsidR="00945168" w:rsidRPr="00D21929">
        <w:rPr>
          <w:i/>
          <w:iCs/>
          <w:sz w:val="16"/>
          <w:szCs w:val="18"/>
          <w:lang w:val="en-US"/>
        </w:rPr>
        <w:t xml:space="preserve">Mahā </w:t>
      </w:r>
      <w:proofErr w:type="spellStart"/>
      <w:r w:rsidR="00945168" w:rsidRPr="00D21929">
        <w:rPr>
          <w:i/>
          <w:iCs/>
          <w:sz w:val="16"/>
          <w:szCs w:val="20"/>
          <w:lang w:val="en-US"/>
        </w:rPr>
        <w:t>Ṭī</w:t>
      </w:r>
      <w:r w:rsidR="00945168" w:rsidRPr="00D21929">
        <w:rPr>
          <w:i/>
          <w:iCs/>
          <w:sz w:val="16"/>
          <w:szCs w:val="18"/>
          <w:lang w:val="en-US"/>
        </w:rPr>
        <w:t>k</w:t>
      </w:r>
      <w:r w:rsidR="00945168" w:rsidRPr="00D21929">
        <w:rPr>
          <w:i/>
          <w:iCs/>
          <w:sz w:val="16"/>
          <w:szCs w:val="20"/>
          <w:lang w:val="en-US"/>
        </w:rPr>
        <w:t>ā</w:t>
      </w:r>
      <w:proofErr w:type="spellEnd"/>
      <w:r w:rsidR="00945168" w:rsidRPr="002B018F">
        <w:rPr>
          <w:sz w:val="16"/>
          <w:szCs w:val="18"/>
          <w:lang w:val="en-US"/>
        </w:rPr>
        <w:t xml:space="preserve"> </w:t>
      </w:r>
      <w:r w:rsidRPr="002B018F">
        <w:rPr>
          <w:sz w:val="16"/>
          <w:szCs w:val="18"/>
          <w:lang w:val="en-US"/>
        </w:rPr>
        <w:t>(C</w:t>
      </w:r>
      <w:r w:rsidR="00675049" w:rsidRPr="002B018F">
        <w:rPr>
          <w:sz w:val="16"/>
          <w:szCs w:val="18"/>
          <w:lang w:val="en-US"/>
        </w:rPr>
        <w:t>ap</w:t>
      </w:r>
      <w:r w:rsidRPr="002B018F">
        <w:rPr>
          <w:sz w:val="16"/>
          <w:szCs w:val="18"/>
          <w:lang w:val="en-US"/>
        </w:rPr>
        <w:t xml:space="preserve">s. </w:t>
      </w:r>
      <w:r w:rsidRPr="00324971">
        <w:rPr>
          <w:sz w:val="16"/>
          <w:szCs w:val="18"/>
        </w:rPr>
        <w:t xml:space="preserve">I </w:t>
      </w:r>
      <w:r w:rsidR="00285406" w:rsidRPr="00324971">
        <w:rPr>
          <w:sz w:val="16"/>
          <w:szCs w:val="18"/>
        </w:rPr>
        <w:t xml:space="preserve">al </w:t>
      </w:r>
      <w:r w:rsidRPr="00324971">
        <w:rPr>
          <w:sz w:val="16"/>
          <w:szCs w:val="18"/>
        </w:rPr>
        <w:t xml:space="preserve">XVII </w:t>
      </w:r>
      <w:r w:rsidR="00675049" w:rsidRPr="00324971">
        <w:rPr>
          <w:sz w:val="16"/>
          <w:szCs w:val="18"/>
        </w:rPr>
        <w:t xml:space="preserve">Edición Cingalesa </w:t>
      </w:r>
      <w:proofErr w:type="spellStart"/>
      <w:r w:rsidRPr="00324971">
        <w:rPr>
          <w:sz w:val="16"/>
          <w:szCs w:val="18"/>
        </w:rPr>
        <w:t>Vidyodaya</w:t>
      </w:r>
      <w:proofErr w:type="spellEnd"/>
      <w:r w:rsidRPr="00324971">
        <w:rPr>
          <w:sz w:val="16"/>
          <w:szCs w:val="18"/>
        </w:rPr>
        <w:t>; C</w:t>
      </w:r>
      <w:r w:rsidR="00675049" w:rsidRPr="00324971">
        <w:rPr>
          <w:sz w:val="16"/>
          <w:szCs w:val="18"/>
        </w:rPr>
        <w:t>ap</w:t>
      </w:r>
      <w:r w:rsidRPr="00324971">
        <w:rPr>
          <w:sz w:val="16"/>
          <w:szCs w:val="18"/>
        </w:rPr>
        <w:t xml:space="preserve">s. </w:t>
      </w:r>
      <w:r w:rsidRPr="00F112AD">
        <w:rPr>
          <w:sz w:val="16"/>
          <w:szCs w:val="18"/>
        </w:rPr>
        <w:t xml:space="preserve">XVIII </w:t>
      </w:r>
      <w:r w:rsidR="00675049" w:rsidRPr="00F112AD">
        <w:rPr>
          <w:sz w:val="16"/>
          <w:szCs w:val="18"/>
        </w:rPr>
        <w:t>al</w:t>
      </w:r>
      <w:r w:rsidRPr="00F112AD">
        <w:rPr>
          <w:sz w:val="16"/>
          <w:szCs w:val="18"/>
        </w:rPr>
        <w:t xml:space="preserve"> XXIII Be ed.)</w:t>
      </w:r>
    </w:p>
    <w:p w14:paraId="065553D5" w14:textId="77777777" w:rsidR="00B00193" w:rsidRPr="00F112AD" w:rsidRDefault="00B00193" w:rsidP="00B00193">
      <w:pPr>
        <w:pStyle w:val="NumeracinReload"/>
        <w:ind w:left="851" w:hanging="851"/>
        <w:rPr>
          <w:sz w:val="16"/>
          <w:szCs w:val="18"/>
        </w:rPr>
      </w:pPr>
    </w:p>
    <w:p w14:paraId="127DB659" w14:textId="5BFCE084" w:rsidR="005D7B09" w:rsidRPr="00F112AD" w:rsidRDefault="00285406" w:rsidP="00B00193">
      <w:pPr>
        <w:pStyle w:val="Ttulo3"/>
      </w:pPr>
      <w:r w:rsidRPr="00F112AD">
        <w:t xml:space="preserve">Otras Abreviaciones </w:t>
      </w:r>
    </w:p>
    <w:p w14:paraId="7BC92EFF" w14:textId="002FCB2D" w:rsidR="005D7B09" w:rsidRPr="00F112AD" w:rsidRDefault="005D7B09" w:rsidP="00B35F20">
      <w:pPr>
        <w:pStyle w:val="NumeracinReload"/>
        <w:tabs>
          <w:tab w:val="clear" w:pos="567"/>
          <w:tab w:val="left" w:pos="851"/>
        </w:tabs>
        <w:ind w:left="851" w:hanging="851"/>
        <w:rPr>
          <w:sz w:val="16"/>
          <w:szCs w:val="18"/>
        </w:rPr>
      </w:pPr>
      <w:proofErr w:type="spellStart"/>
      <w:r w:rsidRPr="00F112AD">
        <w:rPr>
          <w:sz w:val="16"/>
          <w:szCs w:val="18"/>
        </w:rPr>
        <w:t>Ae</w:t>
      </w:r>
      <w:proofErr w:type="spellEnd"/>
      <w:r w:rsidRPr="00F112AD">
        <w:rPr>
          <w:sz w:val="16"/>
          <w:szCs w:val="18"/>
        </w:rPr>
        <w:tab/>
      </w:r>
      <w:r w:rsidR="00B35F20">
        <w:rPr>
          <w:sz w:val="16"/>
          <w:szCs w:val="18"/>
        </w:rPr>
        <w:tab/>
      </w:r>
      <w:r w:rsidR="00C213FD">
        <w:rPr>
          <w:sz w:val="16"/>
          <w:szCs w:val="18"/>
        </w:rPr>
        <w:t>Edición Americana</w:t>
      </w:r>
      <w:r w:rsidRPr="00F112AD">
        <w:rPr>
          <w:sz w:val="16"/>
          <w:szCs w:val="18"/>
        </w:rPr>
        <w:t xml:space="preserve"> (= Harvard Oriental Series)</w:t>
      </w:r>
    </w:p>
    <w:p w14:paraId="701CF574" w14:textId="554AF7F2" w:rsidR="005D7B09" w:rsidRPr="00C213FD" w:rsidRDefault="005D7B09" w:rsidP="00B35F20">
      <w:pPr>
        <w:pStyle w:val="NumeracinReload"/>
        <w:tabs>
          <w:tab w:val="clear" w:pos="567"/>
          <w:tab w:val="left" w:pos="851"/>
        </w:tabs>
        <w:ind w:left="851" w:hanging="851"/>
        <w:rPr>
          <w:sz w:val="16"/>
          <w:szCs w:val="18"/>
        </w:rPr>
      </w:pPr>
      <w:r w:rsidRPr="00C213FD">
        <w:rPr>
          <w:sz w:val="16"/>
          <w:szCs w:val="18"/>
        </w:rPr>
        <w:t>Be</w:t>
      </w:r>
      <w:r w:rsidRPr="00C213FD">
        <w:rPr>
          <w:sz w:val="16"/>
          <w:szCs w:val="18"/>
        </w:rPr>
        <w:tab/>
      </w:r>
      <w:r w:rsidR="00B35F20" w:rsidRPr="00C213FD">
        <w:rPr>
          <w:sz w:val="16"/>
          <w:szCs w:val="18"/>
        </w:rPr>
        <w:tab/>
      </w:r>
      <w:r w:rsidR="00C213FD" w:rsidRPr="00C213FD">
        <w:rPr>
          <w:sz w:val="16"/>
          <w:szCs w:val="18"/>
        </w:rPr>
        <w:t xml:space="preserve">Edición </w:t>
      </w:r>
      <w:r w:rsidRPr="00C213FD">
        <w:rPr>
          <w:sz w:val="16"/>
          <w:szCs w:val="18"/>
        </w:rPr>
        <w:t>B</w:t>
      </w:r>
      <w:r w:rsidR="00C213FD" w:rsidRPr="00C213FD">
        <w:rPr>
          <w:sz w:val="16"/>
          <w:szCs w:val="18"/>
        </w:rPr>
        <w:t>irmana</w:t>
      </w:r>
    </w:p>
    <w:p w14:paraId="2201570F" w14:textId="3A212367" w:rsidR="005D7B09" w:rsidRPr="00C213FD" w:rsidRDefault="005D7B09" w:rsidP="00B35F20">
      <w:pPr>
        <w:pStyle w:val="NumeracinReload"/>
        <w:tabs>
          <w:tab w:val="clear" w:pos="567"/>
          <w:tab w:val="left" w:pos="851"/>
        </w:tabs>
        <w:ind w:left="851" w:hanging="851"/>
        <w:rPr>
          <w:sz w:val="16"/>
          <w:szCs w:val="18"/>
        </w:rPr>
      </w:pPr>
      <w:r w:rsidRPr="00C213FD">
        <w:rPr>
          <w:sz w:val="16"/>
          <w:szCs w:val="18"/>
        </w:rPr>
        <w:t>Ce</w:t>
      </w:r>
      <w:r w:rsidRPr="00C213FD">
        <w:rPr>
          <w:sz w:val="16"/>
          <w:szCs w:val="18"/>
        </w:rPr>
        <w:tab/>
      </w:r>
      <w:r w:rsidR="00B35F20" w:rsidRPr="00C213FD">
        <w:rPr>
          <w:sz w:val="16"/>
          <w:szCs w:val="18"/>
        </w:rPr>
        <w:tab/>
      </w:r>
      <w:r w:rsidR="00C213FD" w:rsidRPr="00C213FD">
        <w:rPr>
          <w:sz w:val="16"/>
          <w:szCs w:val="18"/>
        </w:rPr>
        <w:t>Ed</w:t>
      </w:r>
      <w:r w:rsidR="00C213FD">
        <w:rPr>
          <w:sz w:val="16"/>
          <w:szCs w:val="18"/>
        </w:rPr>
        <w:t>ición Cingalesa</w:t>
      </w:r>
    </w:p>
    <w:p w14:paraId="28758DED" w14:textId="53EFAB1A" w:rsidR="005D7B09" w:rsidRPr="002E55C1" w:rsidRDefault="005D7B09" w:rsidP="00B35F20">
      <w:pPr>
        <w:pStyle w:val="NumeracinReload"/>
        <w:tabs>
          <w:tab w:val="clear" w:pos="567"/>
          <w:tab w:val="left" w:pos="851"/>
        </w:tabs>
        <w:ind w:left="851" w:hanging="851"/>
        <w:rPr>
          <w:sz w:val="16"/>
          <w:szCs w:val="18"/>
        </w:rPr>
      </w:pPr>
      <w:r w:rsidRPr="002E55C1">
        <w:rPr>
          <w:sz w:val="16"/>
          <w:szCs w:val="18"/>
        </w:rPr>
        <w:t>CPD</w:t>
      </w:r>
      <w:r w:rsidRPr="002E55C1">
        <w:rPr>
          <w:sz w:val="16"/>
          <w:szCs w:val="18"/>
        </w:rPr>
        <w:tab/>
      </w:r>
      <w:r w:rsidR="00B35F20" w:rsidRPr="002E55C1">
        <w:rPr>
          <w:sz w:val="16"/>
          <w:szCs w:val="18"/>
        </w:rPr>
        <w:tab/>
      </w:r>
      <w:proofErr w:type="spellStart"/>
      <w:r w:rsidRPr="007D5B0B">
        <w:rPr>
          <w:i/>
          <w:iCs/>
          <w:sz w:val="16"/>
          <w:szCs w:val="18"/>
        </w:rPr>
        <w:t>Critical</w:t>
      </w:r>
      <w:proofErr w:type="spellEnd"/>
      <w:r w:rsidRPr="007D5B0B">
        <w:rPr>
          <w:i/>
          <w:iCs/>
          <w:sz w:val="16"/>
          <w:szCs w:val="18"/>
        </w:rPr>
        <w:t xml:space="preserve"> </w:t>
      </w:r>
      <w:r w:rsidR="008D6A3A" w:rsidRPr="007D5B0B">
        <w:rPr>
          <w:i/>
          <w:iCs/>
          <w:sz w:val="16"/>
          <w:szCs w:val="18"/>
        </w:rPr>
        <w:t>Pāḷi</w:t>
      </w:r>
      <w:r w:rsidRPr="007D5B0B">
        <w:rPr>
          <w:i/>
          <w:iCs/>
          <w:sz w:val="16"/>
          <w:szCs w:val="18"/>
        </w:rPr>
        <w:t xml:space="preserve"> </w:t>
      </w:r>
      <w:proofErr w:type="spellStart"/>
      <w:r w:rsidRPr="007D5B0B">
        <w:rPr>
          <w:i/>
          <w:iCs/>
          <w:sz w:val="16"/>
          <w:szCs w:val="18"/>
        </w:rPr>
        <w:t>Dictionary</w:t>
      </w:r>
      <w:proofErr w:type="spellEnd"/>
      <w:r w:rsidRPr="007D5B0B">
        <w:rPr>
          <w:i/>
          <w:iCs/>
          <w:sz w:val="16"/>
          <w:szCs w:val="18"/>
        </w:rPr>
        <w:t xml:space="preserve">; </w:t>
      </w:r>
      <w:proofErr w:type="spellStart"/>
      <w:r w:rsidRPr="007D5B0B">
        <w:rPr>
          <w:i/>
          <w:iCs/>
          <w:sz w:val="16"/>
          <w:szCs w:val="18"/>
        </w:rPr>
        <w:t>Treckner</w:t>
      </w:r>
      <w:proofErr w:type="spellEnd"/>
    </w:p>
    <w:p w14:paraId="40D28EC5" w14:textId="0B4CF6B1" w:rsidR="005D7B09" w:rsidRPr="002E55C1" w:rsidRDefault="005D7B09" w:rsidP="00B35F20">
      <w:pPr>
        <w:pStyle w:val="NumeracinReload"/>
        <w:tabs>
          <w:tab w:val="clear" w:pos="567"/>
          <w:tab w:val="left" w:pos="851"/>
        </w:tabs>
        <w:ind w:left="851" w:hanging="851"/>
        <w:rPr>
          <w:sz w:val="16"/>
          <w:szCs w:val="18"/>
        </w:rPr>
      </w:pPr>
      <w:proofErr w:type="spellStart"/>
      <w:r w:rsidRPr="002E55C1">
        <w:rPr>
          <w:sz w:val="16"/>
          <w:szCs w:val="18"/>
        </w:rPr>
        <w:t>Ee</w:t>
      </w:r>
      <w:proofErr w:type="spellEnd"/>
      <w:r w:rsidRPr="002E55C1">
        <w:rPr>
          <w:sz w:val="16"/>
          <w:szCs w:val="18"/>
        </w:rPr>
        <w:tab/>
      </w:r>
      <w:r w:rsidR="00B35F20" w:rsidRPr="002E55C1">
        <w:rPr>
          <w:sz w:val="16"/>
          <w:szCs w:val="18"/>
        </w:rPr>
        <w:tab/>
      </w:r>
      <w:r w:rsidR="002E55C1" w:rsidRPr="002E55C1">
        <w:rPr>
          <w:sz w:val="16"/>
          <w:szCs w:val="18"/>
        </w:rPr>
        <w:t xml:space="preserve">Edición Europea </w:t>
      </w:r>
      <w:r w:rsidRPr="002E55C1">
        <w:rPr>
          <w:sz w:val="16"/>
          <w:szCs w:val="18"/>
        </w:rPr>
        <w:t>(= PTS)</w:t>
      </w:r>
    </w:p>
    <w:p w14:paraId="68BBF4F4" w14:textId="5181644F" w:rsidR="0078465D" w:rsidRPr="002B018F" w:rsidRDefault="005D7B09" w:rsidP="00B35F20">
      <w:pPr>
        <w:pStyle w:val="NumeracinReload"/>
        <w:tabs>
          <w:tab w:val="clear" w:pos="567"/>
          <w:tab w:val="left" w:pos="851"/>
        </w:tabs>
        <w:ind w:left="851" w:hanging="851"/>
        <w:rPr>
          <w:sz w:val="16"/>
          <w:szCs w:val="18"/>
          <w:lang w:val="en-US"/>
        </w:rPr>
      </w:pPr>
      <w:r w:rsidRPr="002B018F">
        <w:rPr>
          <w:sz w:val="16"/>
          <w:szCs w:val="18"/>
          <w:lang w:val="en-US"/>
        </w:rPr>
        <w:t>EHBC</w:t>
      </w:r>
      <w:r w:rsidR="00B35F20">
        <w:rPr>
          <w:sz w:val="16"/>
          <w:szCs w:val="18"/>
          <w:lang w:val="en-US"/>
        </w:rPr>
        <w:tab/>
      </w:r>
      <w:r w:rsidRPr="002B018F">
        <w:rPr>
          <w:sz w:val="16"/>
          <w:szCs w:val="18"/>
          <w:lang w:val="en-US"/>
        </w:rPr>
        <w:tab/>
      </w:r>
      <w:r w:rsidRPr="002B018F">
        <w:rPr>
          <w:i/>
          <w:iCs/>
          <w:sz w:val="16"/>
          <w:szCs w:val="18"/>
          <w:lang w:val="en-US"/>
        </w:rPr>
        <w:t>The Early History of Buddhism in Ceylon</w:t>
      </w:r>
      <w:r w:rsidR="002E55C1">
        <w:rPr>
          <w:i/>
          <w:iCs/>
          <w:sz w:val="16"/>
          <w:szCs w:val="18"/>
          <w:lang w:val="en-US"/>
        </w:rPr>
        <w:t xml:space="preserve"> </w:t>
      </w:r>
      <w:r w:rsidR="002E55C1" w:rsidRPr="002E55C1">
        <w:rPr>
          <w:sz w:val="16"/>
          <w:szCs w:val="18"/>
          <w:lang w:val="en-US"/>
        </w:rPr>
        <w:t>[</w:t>
      </w:r>
      <w:r w:rsidR="00601693">
        <w:rPr>
          <w:i/>
          <w:iCs/>
          <w:sz w:val="16"/>
          <w:szCs w:val="18"/>
          <w:lang w:val="en-US"/>
        </w:rPr>
        <w:t xml:space="preserve">La Historia del Buddhismo </w:t>
      </w:r>
      <w:proofErr w:type="spellStart"/>
      <w:r w:rsidR="00601693" w:rsidRPr="007D5B0B">
        <w:rPr>
          <w:i/>
          <w:iCs/>
          <w:sz w:val="16"/>
          <w:szCs w:val="18"/>
          <w:lang w:val="en-US"/>
        </w:rPr>
        <w:t>en</w:t>
      </w:r>
      <w:proofErr w:type="spellEnd"/>
      <w:r w:rsidR="00601693" w:rsidRPr="007D5B0B">
        <w:rPr>
          <w:i/>
          <w:iCs/>
          <w:sz w:val="16"/>
          <w:szCs w:val="18"/>
          <w:lang w:val="en-US"/>
        </w:rPr>
        <w:t xml:space="preserve"> </w:t>
      </w:r>
      <w:proofErr w:type="spellStart"/>
      <w:r w:rsidR="00601693" w:rsidRPr="007D5B0B">
        <w:rPr>
          <w:i/>
          <w:iCs/>
          <w:sz w:val="16"/>
          <w:szCs w:val="18"/>
          <w:lang w:val="en-US"/>
        </w:rPr>
        <w:t>Ceilán</w:t>
      </w:r>
      <w:proofErr w:type="spellEnd"/>
      <w:r w:rsidR="002E55C1" w:rsidRPr="002E55C1">
        <w:rPr>
          <w:sz w:val="16"/>
          <w:szCs w:val="18"/>
          <w:lang w:val="en-US"/>
        </w:rPr>
        <w:t>]</w:t>
      </w:r>
      <w:r w:rsidRPr="002B018F">
        <w:rPr>
          <w:sz w:val="16"/>
          <w:szCs w:val="18"/>
          <w:lang w:val="en-US"/>
        </w:rPr>
        <w:t xml:space="preserve">, E. W. </w:t>
      </w:r>
      <w:proofErr w:type="spellStart"/>
      <w:r w:rsidRPr="002B018F">
        <w:rPr>
          <w:sz w:val="16"/>
          <w:szCs w:val="18"/>
          <w:lang w:val="en-US"/>
        </w:rPr>
        <w:t>Adikaram</w:t>
      </w:r>
      <w:proofErr w:type="spellEnd"/>
      <w:r w:rsidRPr="002B018F">
        <w:rPr>
          <w:sz w:val="16"/>
          <w:szCs w:val="18"/>
          <w:lang w:val="en-US"/>
        </w:rPr>
        <w:t xml:space="preserve">. </w:t>
      </w:r>
    </w:p>
    <w:p w14:paraId="0DB1293C" w14:textId="4FC20714" w:rsidR="005D7B09" w:rsidRPr="008D6A3A" w:rsidRDefault="005D7B09" w:rsidP="00B35F20">
      <w:pPr>
        <w:pStyle w:val="NumeracinReload"/>
        <w:tabs>
          <w:tab w:val="clear" w:pos="567"/>
          <w:tab w:val="left" w:pos="851"/>
        </w:tabs>
        <w:ind w:left="851" w:hanging="851"/>
        <w:rPr>
          <w:sz w:val="16"/>
          <w:szCs w:val="18"/>
          <w:lang w:val="en-US"/>
        </w:rPr>
      </w:pPr>
      <w:r w:rsidRPr="008D6A3A">
        <w:rPr>
          <w:sz w:val="16"/>
          <w:szCs w:val="18"/>
          <w:lang w:val="en-US"/>
        </w:rPr>
        <w:t>PED</w:t>
      </w:r>
      <w:r w:rsidRPr="008D6A3A">
        <w:rPr>
          <w:sz w:val="16"/>
          <w:szCs w:val="18"/>
          <w:lang w:val="en-US"/>
        </w:rPr>
        <w:tab/>
      </w:r>
      <w:r w:rsidR="00B35F20">
        <w:rPr>
          <w:sz w:val="16"/>
          <w:szCs w:val="18"/>
          <w:lang w:val="en-US"/>
        </w:rPr>
        <w:tab/>
      </w:r>
      <w:r w:rsidR="008D6A3A" w:rsidRPr="008D6A3A">
        <w:rPr>
          <w:i/>
          <w:iCs/>
          <w:sz w:val="16"/>
          <w:szCs w:val="18"/>
          <w:lang w:val="en-US"/>
        </w:rPr>
        <w:t>Pāḷi</w:t>
      </w:r>
      <w:r w:rsidRPr="008D6A3A">
        <w:rPr>
          <w:i/>
          <w:iCs/>
          <w:sz w:val="16"/>
          <w:szCs w:val="18"/>
          <w:lang w:val="en-US"/>
        </w:rPr>
        <w:t>-English Dictionary</w:t>
      </w:r>
    </w:p>
    <w:p w14:paraId="6087882F" w14:textId="5F38E51E" w:rsidR="005D7B09" w:rsidRPr="007D5B0B" w:rsidRDefault="005D7B09" w:rsidP="00B35F20">
      <w:pPr>
        <w:pStyle w:val="NumeracinReload"/>
        <w:tabs>
          <w:tab w:val="clear" w:pos="567"/>
          <w:tab w:val="left" w:pos="851"/>
        </w:tabs>
        <w:ind w:left="851" w:hanging="851"/>
        <w:rPr>
          <w:sz w:val="16"/>
          <w:szCs w:val="18"/>
          <w:lang w:val="en-US"/>
        </w:rPr>
      </w:pPr>
      <w:r w:rsidRPr="007D5B0B">
        <w:rPr>
          <w:sz w:val="16"/>
          <w:szCs w:val="18"/>
          <w:lang w:val="en-US"/>
        </w:rPr>
        <w:t>PLC</w:t>
      </w:r>
      <w:r w:rsidRPr="007D5B0B">
        <w:rPr>
          <w:sz w:val="16"/>
          <w:szCs w:val="18"/>
          <w:lang w:val="en-US"/>
        </w:rPr>
        <w:tab/>
      </w:r>
      <w:r w:rsidR="00B35F20" w:rsidRPr="007D5B0B">
        <w:rPr>
          <w:sz w:val="16"/>
          <w:szCs w:val="18"/>
          <w:lang w:val="en-US"/>
        </w:rPr>
        <w:tab/>
      </w:r>
      <w:r w:rsidR="008D6A3A" w:rsidRPr="00FC2DF3">
        <w:rPr>
          <w:i/>
          <w:iCs/>
          <w:sz w:val="16"/>
          <w:szCs w:val="18"/>
          <w:lang w:val="en-US"/>
        </w:rPr>
        <w:t>Pāḷi</w:t>
      </w:r>
      <w:r w:rsidRPr="00FC2DF3">
        <w:rPr>
          <w:i/>
          <w:iCs/>
          <w:sz w:val="16"/>
          <w:szCs w:val="18"/>
          <w:lang w:val="en-US"/>
        </w:rPr>
        <w:t xml:space="preserve"> Literature of Ceylon</w:t>
      </w:r>
      <w:r w:rsidR="00FC2DF3" w:rsidRPr="007D5B0B">
        <w:rPr>
          <w:sz w:val="16"/>
          <w:szCs w:val="18"/>
          <w:lang w:val="en-US"/>
        </w:rPr>
        <w:t xml:space="preserve"> [</w:t>
      </w:r>
      <w:proofErr w:type="spellStart"/>
      <w:r w:rsidR="00FC2DF3" w:rsidRPr="007D5B0B">
        <w:rPr>
          <w:i/>
          <w:iCs/>
          <w:sz w:val="16"/>
          <w:szCs w:val="18"/>
          <w:lang w:val="en-US"/>
        </w:rPr>
        <w:t>Literatura</w:t>
      </w:r>
      <w:proofErr w:type="spellEnd"/>
      <w:r w:rsidR="00FC2DF3" w:rsidRPr="007D5B0B">
        <w:rPr>
          <w:i/>
          <w:iCs/>
          <w:sz w:val="16"/>
          <w:szCs w:val="18"/>
          <w:lang w:val="en-US"/>
        </w:rPr>
        <w:t xml:space="preserve"> Pāḷi de </w:t>
      </w:r>
      <w:proofErr w:type="spellStart"/>
      <w:r w:rsidR="00FC2DF3" w:rsidRPr="007D5B0B">
        <w:rPr>
          <w:i/>
          <w:iCs/>
          <w:sz w:val="16"/>
          <w:szCs w:val="18"/>
          <w:lang w:val="en-US"/>
        </w:rPr>
        <w:t>Ceilán</w:t>
      </w:r>
      <w:proofErr w:type="spellEnd"/>
      <w:r w:rsidR="00FC2DF3" w:rsidRPr="007D5B0B">
        <w:rPr>
          <w:sz w:val="16"/>
          <w:szCs w:val="18"/>
          <w:lang w:val="en-US"/>
        </w:rPr>
        <w:t>],</w:t>
      </w:r>
      <w:r w:rsidRPr="007D5B0B">
        <w:rPr>
          <w:sz w:val="16"/>
          <w:szCs w:val="18"/>
          <w:lang w:val="en-US"/>
        </w:rPr>
        <w:t xml:space="preserve"> </w:t>
      </w:r>
      <w:proofErr w:type="spellStart"/>
      <w:r w:rsidRPr="007D5B0B">
        <w:rPr>
          <w:sz w:val="16"/>
          <w:szCs w:val="18"/>
          <w:lang w:val="en-US"/>
        </w:rPr>
        <w:t>Malalasekera</w:t>
      </w:r>
      <w:proofErr w:type="spellEnd"/>
      <w:r w:rsidRPr="007D5B0B">
        <w:rPr>
          <w:sz w:val="16"/>
          <w:szCs w:val="18"/>
          <w:lang w:val="en-US"/>
        </w:rPr>
        <w:t>.</w:t>
      </w:r>
    </w:p>
    <w:p w14:paraId="4A80656A" w14:textId="6012A26C" w:rsidR="005D7B09" w:rsidRPr="007D5B0B" w:rsidRDefault="005D7B09" w:rsidP="00B35F20">
      <w:pPr>
        <w:pStyle w:val="NumeracinReload"/>
        <w:tabs>
          <w:tab w:val="clear" w:pos="567"/>
          <w:tab w:val="left" w:pos="851"/>
        </w:tabs>
        <w:ind w:left="851" w:hanging="851"/>
        <w:rPr>
          <w:sz w:val="16"/>
          <w:szCs w:val="18"/>
        </w:rPr>
      </w:pPr>
      <w:r w:rsidRPr="007D5B0B">
        <w:rPr>
          <w:sz w:val="16"/>
          <w:szCs w:val="18"/>
        </w:rPr>
        <w:t>PTS</w:t>
      </w:r>
      <w:r w:rsidR="00B35F20" w:rsidRPr="007D5B0B">
        <w:rPr>
          <w:sz w:val="16"/>
          <w:szCs w:val="18"/>
        </w:rPr>
        <w:tab/>
      </w:r>
      <w:r w:rsidRPr="007D5B0B">
        <w:rPr>
          <w:sz w:val="16"/>
          <w:szCs w:val="18"/>
        </w:rPr>
        <w:tab/>
      </w:r>
      <w:r w:rsidR="008D6A3A" w:rsidRPr="007D5B0B">
        <w:rPr>
          <w:sz w:val="16"/>
          <w:szCs w:val="18"/>
        </w:rPr>
        <w:t>Pāḷi</w:t>
      </w:r>
      <w:r w:rsidRPr="007D5B0B">
        <w:rPr>
          <w:sz w:val="16"/>
          <w:szCs w:val="18"/>
        </w:rPr>
        <w:t xml:space="preserve"> Text </w:t>
      </w:r>
      <w:proofErr w:type="spellStart"/>
      <w:r w:rsidRPr="007D5B0B">
        <w:rPr>
          <w:sz w:val="16"/>
          <w:szCs w:val="18"/>
        </w:rPr>
        <w:t>Society</w:t>
      </w:r>
      <w:proofErr w:type="spellEnd"/>
    </w:p>
    <w:p w14:paraId="3ABF7464" w14:textId="24909A2D" w:rsidR="005D7B09" w:rsidRPr="00FC2DF3" w:rsidRDefault="005D7B09" w:rsidP="00B35F20">
      <w:pPr>
        <w:pStyle w:val="NumeracinReload"/>
        <w:tabs>
          <w:tab w:val="clear" w:pos="567"/>
          <w:tab w:val="left" w:pos="851"/>
        </w:tabs>
        <w:ind w:left="851" w:hanging="851"/>
        <w:rPr>
          <w:sz w:val="16"/>
          <w:szCs w:val="18"/>
        </w:rPr>
      </w:pPr>
      <w:r w:rsidRPr="007D5B0B">
        <w:rPr>
          <w:sz w:val="16"/>
          <w:szCs w:val="18"/>
        </w:rPr>
        <w:t>Se</w:t>
      </w:r>
      <w:r w:rsidRPr="007D5B0B">
        <w:rPr>
          <w:sz w:val="16"/>
          <w:szCs w:val="18"/>
        </w:rPr>
        <w:tab/>
      </w:r>
      <w:r w:rsidR="00B35F20" w:rsidRPr="007D5B0B">
        <w:rPr>
          <w:sz w:val="16"/>
          <w:szCs w:val="18"/>
        </w:rPr>
        <w:tab/>
      </w:r>
      <w:r w:rsidR="00FC2DF3" w:rsidRPr="00FC2DF3">
        <w:rPr>
          <w:sz w:val="16"/>
          <w:szCs w:val="18"/>
        </w:rPr>
        <w:t xml:space="preserve">Edición </w:t>
      </w:r>
      <w:r w:rsidRPr="00FC2DF3">
        <w:rPr>
          <w:sz w:val="16"/>
          <w:szCs w:val="18"/>
        </w:rPr>
        <w:t>Siames</w:t>
      </w:r>
      <w:r w:rsidR="00FC2DF3" w:rsidRPr="00FC2DF3">
        <w:rPr>
          <w:sz w:val="16"/>
          <w:szCs w:val="18"/>
        </w:rPr>
        <w:t>a</w:t>
      </w:r>
      <w:r w:rsidRPr="00FC2DF3">
        <w:rPr>
          <w:sz w:val="16"/>
          <w:szCs w:val="18"/>
        </w:rPr>
        <w:t xml:space="preserve"> </w:t>
      </w:r>
    </w:p>
    <w:p w14:paraId="5DE0F4D9" w14:textId="77777777" w:rsidR="00B00193" w:rsidRPr="007D5B0B" w:rsidRDefault="00B00193" w:rsidP="00B00193">
      <w:pPr>
        <w:pStyle w:val="NumeracinReload"/>
        <w:ind w:left="851" w:hanging="851"/>
        <w:rPr>
          <w:sz w:val="16"/>
          <w:szCs w:val="18"/>
        </w:rPr>
      </w:pPr>
    </w:p>
    <w:p w14:paraId="1A1DFE7A" w14:textId="77777777" w:rsidR="00B00193" w:rsidRPr="007D5B0B" w:rsidRDefault="00B00193" w:rsidP="00B00193">
      <w:pPr>
        <w:pStyle w:val="NumeracinReload"/>
        <w:ind w:left="851" w:hanging="851"/>
        <w:rPr>
          <w:sz w:val="16"/>
          <w:szCs w:val="18"/>
        </w:rPr>
      </w:pPr>
    </w:p>
    <w:p w14:paraId="0BB85967" w14:textId="77777777" w:rsidR="00935F56" w:rsidRPr="007D5B0B" w:rsidRDefault="00935F56" w:rsidP="00B00193">
      <w:pPr>
        <w:pStyle w:val="NumeracinReload"/>
        <w:ind w:left="851" w:hanging="851"/>
        <w:rPr>
          <w:sz w:val="16"/>
          <w:szCs w:val="18"/>
        </w:rPr>
      </w:pPr>
    </w:p>
    <w:p w14:paraId="5490E756" w14:textId="21765792" w:rsidR="00BD2F19" w:rsidRDefault="00BD2F19" w:rsidP="00BD2F19">
      <w:r>
        <w:t>Los números en</w:t>
      </w:r>
      <w:r w:rsidR="00CA76EA">
        <w:t>tre</w:t>
      </w:r>
      <w:r>
        <w:t xml:space="preserve"> </w:t>
      </w:r>
      <w:r w:rsidR="00CA76EA">
        <w:t>corchetes</w:t>
      </w:r>
      <w:r>
        <w:t xml:space="preserve"> en el texto</w:t>
      </w:r>
      <w:r w:rsidR="00EE2931">
        <w:t xml:space="preserve"> de la siguiente manera</w:t>
      </w:r>
      <w:r>
        <w:t xml:space="preserve"> [25] se refieren a los números de página de la edición </w:t>
      </w:r>
      <w:r w:rsidR="004224D3">
        <w:t xml:space="preserve">del </w:t>
      </w:r>
      <w:r w:rsidR="008D6A3A">
        <w:rPr>
          <w:i/>
          <w:iCs/>
        </w:rPr>
        <w:t>Pāḷi</w:t>
      </w:r>
      <w:r w:rsidR="003C309E" w:rsidRPr="003C309E">
        <w:rPr>
          <w:i/>
          <w:iCs/>
        </w:rPr>
        <w:t xml:space="preserve"> Text </w:t>
      </w:r>
      <w:proofErr w:type="spellStart"/>
      <w:r w:rsidR="003C309E" w:rsidRPr="003C309E">
        <w:rPr>
          <w:i/>
          <w:iCs/>
        </w:rPr>
        <w:t>Society</w:t>
      </w:r>
      <w:proofErr w:type="spellEnd"/>
      <w:r w:rsidR="003C309E">
        <w:t xml:space="preserve"> en</w:t>
      </w:r>
      <w:r>
        <w:t xml:space="preserve"> </w:t>
      </w:r>
      <w:r w:rsidR="008D6A3A">
        <w:rPr>
          <w:i/>
          <w:iCs/>
        </w:rPr>
        <w:t>Pāḷi</w:t>
      </w:r>
      <w:r>
        <w:t>.</w:t>
      </w:r>
    </w:p>
    <w:p w14:paraId="5607B69E" w14:textId="1B6EB8BF" w:rsidR="00BD2F19" w:rsidRDefault="00BD2F19" w:rsidP="00664393">
      <w:pPr>
        <w:pStyle w:val="NormalConSangria"/>
      </w:pPr>
      <w:r>
        <w:t xml:space="preserve">Los números de párrafo a la izquierda corresponden a los números de párrafo de la edición </w:t>
      </w:r>
      <w:r w:rsidR="008D6A3A">
        <w:rPr>
          <w:i/>
          <w:iCs/>
        </w:rPr>
        <w:t>Pāḷi</w:t>
      </w:r>
      <w:r w:rsidR="003C309E" w:rsidRPr="003C309E">
        <w:t xml:space="preserve"> </w:t>
      </w:r>
      <w:r w:rsidR="003C309E">
        <w:t>de Harvard</w:t>
      </w:r>
      <w:r>
        <w:t>.</w:t>
      </w:r>
    </w:p>
    <w:p w14:paraId="3BA41B7B" w14:textId="44162DBF" w:rsidR="00935F56" w:rsidRDefault="009721BE" w:rsidP="00664393">
      <w:pPr>
        <w:pStyle w:val="NormalConSangria"/>
      </w:pPr>
      <w:r>
        <w:t xml:space="preserve">Se han insertado para mayor claridad </w:t>
      </w:r>
      <w:r w:rsidR="00BD2F19">
        <w:t>encabezados de capítulo</w:t>
      </w:r>
      <w:r w:rsidR="00815D9E">
        <w:t>,</w:t>
      </w:r>
      <w:r w:rsidR="00BD2F19">
        <w:t xml:space="preserve"> sección y otr</w:t>
      </w:r>
      <w:r>
        <w:t>a</w:t>
      </w:r>
      <w:r w:rsidR="00BD2F19">
        <w:t>s numer</w:t>
      </w:r>
      <w:r>
        <w:t>aciones</w:t>
      </w:r>
      <w:r w:rsidR="00BD2F19">
        <w:t>.</w:t>
      </w:r>
      <w:r w:rsidR="00935F56" w:rsidRPr="005E069F">
        <w:br w:type="page"/>
      </w:r>
    </w:p>
    <w:p w14:paraId="155A2B8C" w14:textId="77777777" w:rsidR="008D6A3A" w:rsidRPr="002B018F" w:rsidRDefault="008D6A3A" w:rsidP="004F1495">
      <w:pPr>
        <w:pStyle w:val="Ttulo2"/>
        <w:jc w:val="center"/>
      </w:pPr>
      <w:r w:rsidRPr="002B018F">
        <w:lastRenderedPageBreak/>
        <w:t>Mensaje de Su Santidad el Dalai Lama</w:t>
      </w:r>
    </w:p>
    <w:p w14:paraId="1F9D77EB" w14:textId="77777777" w:rsidR="00AF6816" w:rsidRDefault="00AF6816" w:rsidP="003D6723">
      <w:pPr>
        <w:ind w:left="5" w:right="5" w:firstLine="240"/>
        <w:rPr>
          <w:sz w:val="16"/>
          <w:szCs w:val="20"/>
        </w:rPr>
      </w:pPr>
    </w:p>
    <w:p w14:paraId="42F7E610" w14:textId="75E18A95" w:rsidR="003D6723" w:rsidRPr="003D6723" w:rsidRDefault="003D6723" w:rsidP="003D6723">
      <w:pPr>
        <w:ind w:left="5" w:right="5" w:firstLine="240"/>
        <w:rPr>
          <w:sz w:val="16"/>
          <w:szCs w:val="20"/>
        </w:rPr>
      </w:pPr>
      <w:r w:rsidRPr="003D6723">
        <w:rPr>
          <w:sz w:val="16"/>
          <w:szCs w:val="20"/>
        </w:rPr>
        <w:t xml:space="preserve">La historia del desarrollo de la literatura budista parece estar marcada por períodos en los que las enseñanzas recibidas y las escrituras establecidas </w:t>
      </w:r>
      <w:r w:rsidR="00076A5F">
        <w:rPr>
          <w:sz w:val="16"/>
          <w:szCs w:val="20"/>
        </w:rPr>
        <w:t xml:space="preserve">o </w:t>
      </w:r>
      <w:r w:rsidRPr="003D6723">
        <w:rPr>
          <w:sz w:val="16"/>
          <w:szCs w:val="20"/>
        </w:rPr>
        <w:t>se asimilan</w:t>
      </w:r>
      <w:r w:rsidR="00645B60">
        <w:rPr>
          <w:sz w:val="16"/>
          <w:szCs w:val="20"/>
        </w:rPr>
        <w:t>,</w:t>
      </w:r>
      <w:r w:rsidRPr="003D6723">
        <w:rPr>
          <w:sz w:val="16"/>
          <w:szCs w:val="20"/>
        </w:rPr>
        <w:t xml:space="preserve"> </w:t>
      </w:r>
      <w:r w:rsidR="00076A5F">
        <w:rPr>
          <w:sz w:val="16"/>
          <w:szCs w:val="20"/>
        </w:rPr>
        <w:t xml:space="preserve">se </w:t>
      </w:r>
      <w:r w:rsidRPr="003D6723">
        <w:rPr>
          <w:sz w:val="16"/>
          <w:szCs w:val="20"/>
        </w:rPr>
        <w:t xml:space="preserve">consolidan </w:t>
      </w:r>
      <w:r w:rsidR="00076A5F">
        <w:rPr>
          <w:sz w:val="16"/>
          <w:szCs w:val="20"/>
        </w:rPr>
        <w:t>o</w:t>
      </w:r>
      <w:r w:rsidR="00645B60">
        <w:rPr>
          <w:sz w:val="16"/>
          <w:szCs w:val="20"/>
        </w:rPr>
        <w:t>,</w:t>
      </w:r>
      <w:r w:rsidRPr="003D6723">
        <w:rPr>
          <w:sz w:val="16"/>
          <w:szCs w:val="20"/>
        </w:rPr>
        <w:t xml:space="preserve"> </w:t>
      </w:r>
      <w:r w:rsidR="003D179A">
        <w:rPr>
          <w:sz w:val="16"/>
          <w:szCs w:val="20"/>
        </w:rPr>
        <w:t>adicionalmente</w:t>
      </w:r>
      <w:r w:rsidR="00645B60">
        <w:rPr>
          <w:sz w:val="16"/>
          <w:szCs w:val="20"/>
        </w:rPr>
        <w:t>,</w:t>
      </w:r>
      <w:r w:rsidR="003D179A">
        <w:rPr>
          <w:sz w:val="16"/>
          <w:szCs w:val="20"/>
        </w:rPr>
        <w:t xml:space="preserve"> </w:t>
      </w:r>
      <w:r w:rsidR="000A25E5">
        <w:rPr>
          <w:sz w:val="16"/>
          <w:szCs w:val="20"/>
        </w:rPr>
        <w:t xml:space="preserve">por </w:t>
      </w:r>
      <w:r w:rsidRPr="003D6723">
        <w:rPr>
          <w:sz w:val="16"/>
          <w:szCs w:val="20"/>
        </w:rPr>
        <w:t xml:space="preserve">períodos de </w:t>
      </w:r>
      <w:r w:rsidR="005323D4" w:rsidRPr="003D6723">
        <w:rPr>
          <w:sz w:val="16"/>
          <w:szCs w:val="20"/>
        </w:rPr>
        <w:t xml:space="preserve">madura </w:t>
      </w:r>
      <w:r w:rsidRPr="003D6723">
        <w:rPr>
          <w:sz w:val="16"/>
          <w:szCs w:val="20"/>
        </w:rPr>
        <w:t xml:space="preserve">creatividad </w:t>
      </w:r>
      <w:r w:rsidR="005323D4">
        <w:rPr>
          <w:sz w:val="16"/>
          <w:szCs w:val="20"/>
        </w:rPr>
        <w:t xml:space="preserve">en donde </w:t>
      </w:r>
      <w:r w:rsidRPr="003D6723">
        <w:rPr>
          <w:sz w:val="16"/>
          <w:szCs w:val="20"/>
        </w:rPr>
        <w:t xml:space="preserve">la esencia de </w:t>
      </w:r>
      <w:r w:rsidR="00AF4089">
        <w:rPr>
          <w:sz w:val="16"/>
          <w:szCs w:val="20"/>
        </w:rPr>
        <w:t>dicha</w:t>
      </w:r>
      <w:r w:rsidRPr="003D6723">
        <w:rPr>
          <w:sz w:val="16"/>
          <w:szCs w:val="20"/>
        </w:rPr>
        <w:t xml:space="preserve"> transmisión se expresa nuev</w:t>
      </w:r>
      <w:r w:rsidR="003D179A">
        <w:rPr>
          <w:sz w:val="16"/>
          <w:szCs w:val="20"/>
        </w:rPr>
        <w:t>amente</w:t>
      </w:r>
      <w:r w:rsidRPr="003D6723">
        <w:rPr>
          <w:sz w:val="16"/>
          <w:szCs w:val="20"/>
        </w:rPr>
        <w:t xml:space="preserve">. </w:t>
      </w:r>
      <w:r w:rsidR="003D179A">
        <w:rPr>
          <w:sz w:val="16"/>
          <w:szCs w:val="20"/>
        </w:rPr>
        <w:t xml:space="preserve">El </w:t>
      </w:r>
      <w:r w:rsidRPr="003D179A">
        <w:rPr>
          <w:i/>
          <w:iCs/>
          <w:sz w:val="16"/>
          <w:szCs w:val="20"/>
        </w:rPr>
        <w:t>Visuddhimagga</w:t>
      </w:r>
      <w:r w:rsidRPr="003D6723">
        <w:rPr>
          <w:sz w:val="16"/>
          <w:szCs w:val="20"/>
        </w:rPr>
        <w:t xml:space="preserve"> de </w:t>
      </w:r>
      <w:proofErr w:type="spellStart"/>
      <w:r w:rsidRPr="003D6723">
        <w:rPr>
          <w:sz w:val="16"/>
          <w:szCs w:val="20"/>
        </w:rPr>
        <w:t>Bhadantācariya</w:t>
      </w:r>
      <w:proofErr w:type="spellEnd"/>
      <w:r w:rsidRPr="003D6723">
        <w:rPr>
          <w:sz w:val="16"/>
          <w:szCs w:val="20"/>
        </w:rPr>
        <w:t xml:space="preserve"> </w:t>
      </w:r>
      <w:r w:rsidR="00057BF4" w:rsidRPr="005323D4">
        <w:rPr>
          <w:iCs/>
          <w:sz w:val="16"/>
          <w:szCs w:val="20"/>
        </w:rPr>
        <w:t>Buddha</w:t>
      </w:r>
      <w:r w:rsidRPr="005323D4">
        <w:rPr>
          <w:iCs/>
          <w:sz w:val="16"/>
          <w:szCs w:val="20"/>
        </w:rPr>
        <w:t>ghosa</w:t>
      </w:r>
      <w:r w:rsidRPr="003D6723">
        <w:rPr>
          <w:sz w:val="16"/>
          <w:szCs w:val="20"/>
        </w:rPr>
        <w:t xml:space="preserve"> es un texto clásico del último tipo. Representa el epítome de la literatura budista e</w:t>
      </w:r>
      <w:r w:rsidR="003D179A">
        <w:rPr>
          <w:sz w:val="16"/>
          <w:szCs w:val="20"/>
        </w:rPr>
        <w:t>n</w:t>
      </w:r>
      <w:r w:rsidRPr="003D6723">
        <w:rPr>
          <w:sz w:val="16"/>
          <w:szCs w:val="20"/>
        </w:rPr>
        <w:t xml:space="preserve"> </w:t>
      </w:r>
      <w:r w:rsidR="00AD6B1D" w:rsidRPr="00AD6B1D">
        <w:rPr>
          <w:i/>
          <w:sz w:val="16"/>
          <w:szCs w:val="20"/>
        </w:rPr>
        <w:t>Pāḷi</w:t>
      </w:r>
      <w:r w:rsidRPr="003D6723">
        <w:rPr>
          <w:sz w:val="16"/>
          <w:szCs w:val="20"/>
        </w:rPr>
        <w:t>, entrelazando sus muchos hilos para crear este maravilloso manual de meditación que</w:t>
      </w:r>
      <w:r w:rsidR="00C851B3">
        <w:rPr>
          <w:sz w:val="16"/>
          <w:szCs w:val="20"/>
        </w:rPr>
        <w:t>,</w:t>
      </w:r>
      <w:r w:rsidRPr="003D6723">
        <w:rPr>
          <w:sz w:val="16"/>
          <w:szCs w:val="20"/>
        </w:rPr>
        <w:t xml:space="preserve"> inclus</w:t>
      </w:r>
      <w:r w:rsidR="000715B7">
        <w:rPr>
          <w:sz w:val="16"/>
          <w:szCs w:val="20"/>
        </w:rPr>
        <w:t>ive</w:t>
      </w:r>
      <w:r w:rsidRPr="003D6723">
        <w:rPr>
          <w:sz w:val="16"/>
          <w:szCs w:val="20"/>
        </w:rPr>
        <w:t xml:space="preserve"> hoy</w:t>
      </w:r>
      <w:r w:rsidR="00C851B3">
        <w:rPr>
          <w:sz w:val="16"/>
          <w:szCs w:val="20"/>
        </w:rPr>
        <w:t>,</w:t>
      </w:r>
      <w:r w:rsidRPr="003D6723">
        <w:rPr>
          <w:sz w:val="16"/>
          <w:szCs w:val="20"/>
        </w:rPr>
        <w:t xml:space="preserve"> conserva la claridad que revel</w:t>
      </w:r>
      <w:r w:rsidR="00C851B3">
        <w:rPr>
          <w:sz w:val="16"/>
          <w:szCs w:val="20"/>
        </w:rPr>
        <w:t>ase</w:t>
      </w:r>
      <w:r w:rsidRPr="003D6723">
        <w:rPr>
          <w:sz w:val="16"/>
          <w:szCs w:val="20"/>
        </w:rPr>
        <w:t xml:space="preserve"> cuando se escribió.</w:t>
      </w:r>
    </w:p>
    <w:p w14:paraId="3B41C7F5" w14:textId="05768574" w:rsidR="003D6723" w:rsidRPr="003D6723" w:rsidRDefault="003D6723" w:rsidP="003D6723">
      <w:pPr>
        <w:ind w:left="5" w:right="5" w:firstLine="240"/>
        <w:rPr>
          <w:sz w:val="16"/>
          <w:szCs w:val="20"/>
        </w:rPr>
      </w:pPr>
      <w:r w:rsidRPr="003D6723">
        <w:rPr>
          <w:sz w:val="16"/>
          <w:szCs w:val="20"/>
        </w:rPr>
        <w:t xml:space="preserve">Hay ocasiones en que a las personas les gusta hacer muchas de las supuestas diferencias en las diversas tradiciones del budismo que han evolucionado en diferentes momentos y lugares. Lo que encuentro especialmente alentador sobre un libro como </w:t>
      </w:r>
      <w:r w:rsidR="000715B7">
        <w:rPr>
          <w:sz w:val="16"/>
          <w:szCs w:val="20"/>
        </w:rPr>
        <w:t>é</w:t>
      </w:r>
      <w:r w:rsidRPr="003D6723">
        <w:rPr>
          <w:sz w:val="16"/>
          <w:szCs w:val="20"/>
        </w:rPr>
        <w:t>ste es que muestr</w:t>
      </w:r>
      <w:r w:rsidR="005323D4">
        <w:rPr>
          <w:sz w:val="16"/>
          <w:szCs w:val="20"/>
        </w:rPr>
        <w:t>e</w:t>
      </w:r>
      <w:r w:rsidRPr="003D6723">
        <w:rPr>
          <w:sz w:val="16"/>
          <w:szCs w:val="20"/>
        </w:rPr>
        <w:t xml:space="preserve"> </w:t>
      </w:r>
      <w:r w:rsidR="000715B7">
        <w:rPr>
          <w:sz w:val="16"/>
          <w:szCs w:val="20"/>
        </w:rPr>
        <w:t>muy</w:t>
      </w:r>
      <w:r w:rsidRPr="003D6723">
        <w:rPr>
          <w:sz w:val="16"/>
          <w:szCs w:val="20"/>
        </w:rPr>
        <w:t xml:space="preserve"> claramente cuánto tienen en común todas las escuelas </w:t>
      </w:r>
      <w:r w:rsidR="00C851B3">
        <w:rPr>
          <w:sz w:val="16"/>
          <w:szCs w:val="20"/>
        </w:rPr>
        <w:t xml:space="preserve">de </w:t>
      </w:r>
      <w:r w:rsidRPr="003D6723">
        <w:rPr>
          <w:sz w:val="16"/>
          <w:szCs w:val="20"/>
        </w:rPr>
        <w:t>budismo. Dentro de una estructura basada en los tres entrenamientos tradicionales de disciplina ética, concentración y sabiduría</w:t>
      </w:r>
      <w:r w:rsidR="00C851B3">
        <w:rPr>
          <w:sz w:val="16"/>
          <w:szCs w:val="20"/>
        </w:rPr>
        <w:t>,</w:t>
      </w:r>
      <w:r w:rsidRPr="003D6723">
        <w:rPr>
          <w:sz w:val="16"/>
          <w:szCs w:val="20"/>
        </w:rPr>
        <w:t xml:space="preserve"> </w:t>
      </w:r>
      <w:r w:rsidR="00B75FCB">
        <w:rPr>
          <w:sz w:val="16"/>
          <w:szCs w:val="20"/>
        </w:rPr>
        <w:t xml:space="preserve">se </w:t>
      </w:r>
      <w:r w:rsidRPr="003D6723">
        <w:rPr>
          <w:sz w:val="16"/>
          <w:szCs w:val="20"/>
        </w:rPr>
        <w:t>detalla</w:t>
      </w:r>
      <w:r w:rsidR="00B75FCB">
        <w:rPr>
          <w:sz w:val="16"/>
          <w:szCs w:val="20"/>
        </w:rPr>
        <w:t>n instrucciones</w:t>
      </w:r>
      <w:r w:rsidRPr="003D6723">
        <w:rPr>
          <w:sz w:val="16"/>
          <w:szCs w:val="20"/>
        </w:rPr>
        <w:t xml:space="preserve"> sobre cómo adoptar un enfoque ético </w:t>
      </w:r>
      <w:r w:rsidR="00B75FCB">
        <w:rPr>
          <w:sz w:val="16"/>
          <w:szCs w:val="20"/>
        </w:rPr>
        <w:t xml:space="preserve">en </w:t>
      </w:r>
      <w:r w:rsidRPr="003D6723">
        <w:rPr>
          <w:sz w:val="16"/>
          <w:szCs w:val="20"/>
        </w:rPr>
        <w:t>la vida, cómo meditar y calmar la mente y</w:t>
      </w:r>
      <w:r w:rsidR="00ED43BC">
        <w:rPr>
          <w:sz w:val="16"/>
          <w:szCs w:val="20"/>
        </w:rPr>
        <w:t>,</w:t>
      </w:r>
      <w:r w:rsidRPr="003D6723">
        <w:rPr>
          <w:sz w:val="16"/>
          <w:szCs w:val="20"/>
        </w:rPr>
        <w:t xml:space="preserve"> sobre la base de </w:t>
      </w:r>
      <w:r w:rsidR="00B75FCB">
        <w:rPr>
          <w:sz w:val="16"/>
          <w:szCs w:val="20"/>
        </w:rPr>
        <w:t>ello,</w:t>
      </w:r>
      <w:r w:rsidRPr="003D6723">
        <w:rPr>
          <w:sz w:val="16"/>
          <w:szCs w:val="20"/>
        </w:rPr>
        <w:t xml:space="preserve"> cómo desarrollar un </w:t>
      </w:r>
      <w:r w:rsidR="005323D4">
        <w:rPr>
          <w:sz w:val="16"/>
          <w:szCs w:val="20"/>
        </w:rPr>
        <w:t>entendimiento</w:t>
      </w:r>
      <w:r w:rsidRPr="003D6723">
        <w:rPr>
          <w:sz w:val="16"/>
          <w:szCs w:val="20"/>
        </w:rPr>
        <w:t xml:space="preserve"> correct</w:t>
      </w:r>
      <w:r w:rsidR="00C851B3">
        <w:rPr>
          <w:sz w:val="16"/>
          <w:szCs w:val="20"/>
        </w:rPr>
        <w:t>o</w:t>
      </w:r>
      <w:r w:rsidRPr="003D6723">
        <w:rPr>
          <w:sz w:val="16"/>
          <w:szCs w:val="20"/>
        </w:rPr>
        <w:t xml:space="preserve"> </w:t>
      </w:r>
      <w:r w:rsidR="005323D4">
        <w:rPr>
          <w:sz w:val="16"/>
          <w:szCs w:val="20"/>
        </w:rPr>
        <w:t>sobre</w:t>
      </w:r>
      <w:r w:rsidRPr="003D6723">
        <w:rPr>
          <w:sz w:val="16"/>
          <w:szCs w:val="20"/>
        </w:rPr>
        <w:t xml:space="preserve"> la realidad. Encontramos consejos prácticos sobre la creación de un entorno apropiado para la meditación, la importancia de desarrollar el amor y la compasión</w:t>
      </w:r>
      <w:r w:rsidR="00C851B3">
        <w:rPr>
          <w:sz w:val="16"/>
          <w:szCs w:val="20"/>
        </w:rPr>
        <w:t>;</w:t>
      </w:r>
      <w:r w:rsidRPr="003D6723">
        <w:rPr>
          <w:sz w:val="16"/>
          <w:szCs w:val="20"/>
        </w:rPr>
        <w:t xml:space="preserve"> </w:t>
      </w:r>
      <w:r w:rsidR="00C851B3">
        <w:rPr>
          <w:sz w:val="16"/>
          <w:szCs w:val="20"/>
        </w:rPr>
        <w:t xml:space="preserve">además, </w:t>
      </w:r>
      <w:r w:rsidR="005323D4">
        <w:rPr>
          <w:sz w:val="16"/>
          <w:szCs w:val="20"/>
        </w:rPr>
        <w:t>un</w:t>
      </w:r>
      <w:r w:rsidRPr="003D6723">
        <w:rPr>
          <w:sz w:val="16"/>
          <w:szCs w:val="20"/>
        </w:rPr>
        <w:t xml:space="preserve">a discusión </w:t>
      </w:r>
      <w:r w:rsidR="005323D4">
        <w:rPr>
          <w:sz w:val="16"/>
          <w:szCs w:val="20"/>
        </w:rPr>
        <w:t>sobre</w:t>
      </w:r>
      <w:r w:rsidR="00ED43BC">
        <w:rPr>
          <w:sz w:val="16"/>
          <w:szCs w:val="20"/>
        </w:rPr>
        <w:t xml:space="preserve"> </w:t>
      </w:r>
      <w:r w:rsidRPr="003D6723">
        <w:rPr>
          <w:sz w:val="16"/>
          <w:szCs w:val="20"/>
        </w:rPr>
        <w:t>l</w:t>
      </w:r>
      <w:r w:rsidR="00ED43BC">
        <w:rPr>
          <w:sz w:val="16"/>
          <w:szCs w:val="20"/>
        </w:rPr>
        <w:t>a</w:t>
      </w:r>
      <w:r w:rsidRPr="003D6723">
        <w:rPr>
          <w:sz w:val="16"/>
          <w:szCs w:val="20"/>
        </w:rPr>
        <w:t xml:space="preserve"> orig</w:t>
      </w:r>
      <w:r w:rsidR="00ED43BC">
        <w:rPr>
          <w:sz w:val="16"/>
          <w:szCs w:val="20"/>
        </w:rPr>
        <w:t>inación</w:t>
      </w:r>
      <w:r w:rsidRPr="003D6723">
        <w:rPr>
          <w:sz w:val="16"/>
          <w:szCs w:val="20"/>
        </w:rPr>
        <w:t xml:space="preserve"> dependiente que subyace </w:t>
      </w:r>
      <w:r w:rsidR="00ED43BC">
        <w:rPr>
          <w:sz w:val="16"/>
          <w:szCs w:val="20"/>
        </w:rPr>
        <w:t xml:space="preserve">a </w:t>
      </w:r>
      <w:r w:rsidRPr="003D6723">
        <w:rPr>
          <w:sz w:val="16"/>
          <w:szCs w:val="20"/>
        </w:rPr>
        <w:t xml:space="preserve">la visión budista </w:t>
      </w:r>
      <w:r w:rsidR="00ED43BC">
        <w:rPr>
          <w:sz w:val="16"/>
          <w:szCs w:val="20"/>
        </w:rPr>
        <w:t xml:space="preserve">sobre </w:t>
      </w:r>
      <w:r w:rsidRPr="003D6723">
        <w:rPr>
          <w:sz w:val="16"/>
          <w:szCs w:val="20"/>
        </w:rPr>
        <w:t>la realidad. El título mismo del trabajo</w:t>
      </w:r>
      <w:r w:rsidRPr="00ED43BC">
        <w:rPr>
          <w:i/>
          <w:iCs/>
          <w:sz w:val="16"/>
          <w:szCs w:val="20"/>
        </w:rPr>
        <w:t xml:space="preserve">, </w:t>
      </w:r>
      <w:r w:rsidR="00ED43BC" w:rsidRPr="00ED43BC">
        <w:rPr>
          <w:i/>
          <w:iCs/>
          <w:sz w:val="16"/>
          <w:szCs w:val="20"/>
        </w:rPr>
        <w:t>E</w:t>
      </w:r>
      <w:r w:rsidRPr="00ED43BC">
        <w:rPr>
          <w:i/>
          <w:iCs/>
          <w:sz w:val="16"/>
          <w:szCs w:val="20"/>
        </w:rPr>
        <w:t xml:space="preserve">l </w:t>
      </w:r>
      <w:r w:rsidR="00ED43BC" w:rsidRPr="00ED43BC">
        <w:rPr>
          <w:i/>
          <w:iCs/>
          <w:sz w:val="16"/>
          <w:szCs w:val="20"/>
        </w:rPr>
        <w:t>Sendero</w:t>
      </w:r>
      <w:r w:rsidRPr="00ED43BC">
        <w:rPr>
          <w:i/>
          <w:iCs/>
          <w:sz w:val="16"/>
          <w:szCs w:val="20"/>
        </w:rPr>
        <w:t xml:space="preserve"> de la </w:t>
      </w:r>
      <w:r w:rsidR="00ED43BC" w:rsidRPr="00ED43BC">
        <w:rPr>
          <w:i/>
          <w:iCs/>
          <w:sz w:val="16"/>
          <w:szCs w:val="20"/>
        </w:rPr>
        <w:t>Purificación</w:t>
      </w:r>
      <w:r w:rsidRPr="003D6723">
        <w:rPr>
          <w:sz w:val="16"/>
          <w:szCs w:val="20"/>
        </w:rPr>
        <w:t xml:space="preserve">, </w:t>
      </w:r>
      <w:r w:rsidR="00A13082">
        <w:rPr>
          <w:sz w:val="16"/>
          <w:szCs w:val="20"/>
        </w:rPr>
        <w:t>alude</w:t>
      </w:r>
      <w:r w:rsidRPr="003D6723">
        <w:rPr>
          <w:sz w:val="16"/>
          <w:szCs w:val="20"/>
        </w:rPr>
        <w:t xml:space="preserve"> al </w:t>
      </w:r>
      <w:r w:rsidR="00A13082">
        <w:rPr>
          <w:sz w:val="16"/>
          <w:szCs w:val="20"/>
        </w:rPr>
        <w:t>entendimiento</w:t>
      </w:r>
      <w:r w:rsidRPr="003D6723">
        <w:rPr>
          <w:sz w:val="16"/>
          <w:szCs w:val="20"/>
        </w:rPr>
        <w:t xml:space="preserve"> budista esencial </w:t>
      </w:r>
      <w:r w:rsidR="00A13082">
        <w:rPr>
          <w:sz w:val="16"/>
          <w:szCs w:val="20"/>
        </w:rPr>
        <w:t>sobr</w:t>
      </w:r>
      <w:r w:rsidRPr="003D6723">
        <w:rPr>
          <w:sz w:val="16"/>
          <w:szCs w:val="20"/>
        </w:rPr>
        <w:t xml:space="preserve">e la naturaleza básica de la mente como clara y consciente, sin </w:t>
      </w:r>
      <w:r w:rsidR="007F0881">
        <w:rPr>
          <w:sz w:val="16"/>
          <w:szCs w:val="20"/>
        </w:rPr>
        <w:t xml:space="preserve">los </w:t>
      </w:r>
      <w:r w:rsidRPr="003D6723">
        <w:rPr>
          <w:sz w:val="16"/>
          <w:szCs w:val="20"/>
        </w:rPr>
        <w:t xml:space="preserve">obstáculos </w:t>
      </w:r>
      <w:r w:rsidR="007F0881">
        <w:rPr>
          <w:sz w:val="16"/>
          <w:szCs w:val="20"/>
        </w:rPr>
        <w:t xml:space="preserve">de </w:t>
      </w:r>
      <w:r w:rsidR="00E74E10">
        <w:rPr>
          <w:sz w:val="16"/>
          <w:szCs w:val="20"/>
        </w:rPr>
        <w:t xml:space="preserve">las </w:t>
      </w:r>
      <w:r w:rsidR="00E74E10" w:rsidRPr="003D6723">
        <w:rPr>
          <w:sz w:val="16"/>
          <w:szCs w:val="20"/>
        </w:rPr>
        <w:t xml:space="preserve">inquietantes </w:t>
      </w:r>
      <w:r w:rsidRPr="003D6723">
        <w:rPr>
          <w:sz w:val="16"/>
          <w:szCs w:val="20"/>
        </w:rPr>
        <w:t>emociones. Esta c</w:t>
      </w:r>
      <w:r w:rsidR="00A13082">
        <w:rPr>
          <w:sz w:val="16"/>
          <w:szCs w:val="20"/>
        </w:rPr>
        <w:t>ua</w:t>
      </w:r>
      <w:r w:rsidRPr="003D6723">
        <w:rPr>
          <w:sz w:val="16"/>
          <w:szCs w:val="20"/>
        </w:rPr>
        <w:t xml:space="preserve">lidad </w:t>
      </w:r>
      <w:r w:rsidR="00A13082">
        <w:rPr>
          <w:sz w:val="16"/>
          <w:szCs w:val="20"/>
        </w:rPr>
        <w:t>se encuentra presente</w:t>
      </w:r>
      <w:r w:rsidRPr="003D6723">
        <w:rPr>
          <w:sz w:val="16"/>
          <w:szCs w:val="20"/>
        </w:rPr>
        <w:t xml:space="preserve"> </w:t>
      </w:r>
      <w:r w:rsidR="00A13082">
        <w:rPr>
          <w:sz w:val="16"/>
          <w:szCs w:val="20"/>
        </w:rPr>
        <w:t>en</w:t>
      </w:r>
      <w:r w:rsidRPr="003D6723">
        <w:rPr>
          <w:sz w:val="16"/>
          <w:szCs w:val="20"/>
        </w:rPr>
        <w:t xml:space="preserve"> todos los seres </w:t>
      </w:r>
      <w:r w:rsidR="00E74E10">
        <w:rPr>
          <w:sz w:val="16"/>
          <w:szCs w:val="20"/>
        </w:rPr>
        <w:t>s</w:t>
      </w:r>
      <w:r w:rsidR="00ED43BC" w:rsidRPr="003D6723">
        <w:rPr>
          <w:sz w:val="16"/>
          <w:szCs w:val="20"/>
        </w:rPr>
        <w:t xml:space="preserve">intientes </w:t>
      </w:r>
      <w:r w:rsidR="00ED43BC">
        <w:rPr>
          <w:sz w:val="16"/>
          <w:szCs w:val="20"/>
        </w:rPr>
        <w:t xml:space="preserve">y </w:t>
      </w:r>
      <w:r w:rsidRPr="003D6723">
        <w:rPr>
          <w:sz w:val="16"/>
          <w:szCs w:val="20"/>
        </w:rPr>
        <w:t xml:space="preserve">todos </w:t>
      </w:r>
      <w:r w:rsidR="005A5131">
        <w:rPr>
          <w:sz w:val="16"/>
          <w:szCs w:val="20"/>
        </w:rPr>
        <w:t xml:space="preserve">podremos </w:t>
      </w:r>
      <w:r w:rsidR="00A13082">
        <w:rPr>
          <w:sz w:val="16"/>
          <w:szCs w:val="20"/>
        </w:rPr>
        <w:t>desarrollarla</w:t>
      </w:r>
      <w:r w:rsidR="005A5131">
        <w:rPr>
          <w:sz w:val="16"/>
          <w:szCs w:val="20"/>
        </w:rPr>
        <w:t xml:space="preserve"> </w:t>
      </w:r>
      <w:r w:rsidRPr="003D6723">
        <w:rPr>
          <w:sz w:val="16"/>
          <w:szCs w:val="20"/>
        </w:rPr>
        <w:t xml:space="preserve">si seguimos tal </w:t>
      </w:r>
      <w:r w:rsidR="005A5131">
        <w:rPr>
          <w:sz w:val="16"/>
          <w:szCs w:val="20"/>
        </w:rPr>
        <w:t>sendero</w:t>
      </w:r>
      <w:r w:rsidRPr="003D6723">
        <w:rPr>
          <w:sz w:val="16"/>
          <w:szCs w:val="20"/>
        </w:rPr>
        <w:t>.</w:t>
      </w:r>
    </w:p>
    <w:p w14:paraId="65A0DB2B" w14:textId="7B2800E4" w:rsidR="003D6723" w:rsidRPr="003D6723" w:rsidRDefault="003D6723" w:rsidP="003D6723">
      <w:pPr>
        <w:ind w:left="5" w:right="5" w:firstLine="240"/>
        <w:rPr>
          <w:sz w:val="16"/>
          <w:szCs w:val="20"/>
        </w:rPr>
      </w:pPr>
      <w:r w:rsidRPr="003D6723">
        <w:rPr>
          <w:sz w:val="16"/>
          <w:szCs w:val="20"/>
        </w:rPr>
        <w:t xml:space="preserve">A veces me preguntan si el budismo es adecuado para los occidentales o no. Creo que la esencia de todas las religiones se ocupa de los problemas humanos básicos y el budismo no es </w:t>
      </w:r>
      <w:r w:rsidR="00A13082">
        <w:rPr>
          <w:sz w:val="16"/>
          <w:szCs w:val="20"/>
        </w:rPr>
        <w:t>un</w:t>
      </w:r>
      <w:r w:rsidRPr="003D6723">
        <w:rPr>
          <w:sz w:val="16"/>
          <w:szCs w:val="20"/>
        </w:rPr>
        <w:t xml:space="preserve">a excepción. Mientras continuemos experimentando </w:t>
      </w:r>
      <w:r w:rsidR="00A13082">
        <w:rPr>
          <w:sz w:val="16"/>
          <w:szCs w:val="20"/>
        </w:rPr>
        <w:t>e</w:t>
      </w:r>
      <w:r w:rsidRPr="003D6723">
        <w:rPr>
          <w:sz w:val="16"/>
          <w:szCs w:val="20"/>
        </w:rPr>
        <w:t>l sufrimiento humano básico de</w:t>
      </w:r>
      <w:r w:rsidR="005A5131">
        <w:rPr>
          <w:sz w:val="16"/>
          <w:szCs w:val="20"/>
        </w:rPr>
        <w:t>l</w:t>
      </w:r>
      <w:r w:rsidRPr="003D6723">
        <w:rPr>
          <w:sz w:val="16"/>
          <w:szCs w:val="20"/>
        </w:rPr>
        <w:t xml:space="preserve"> nacimiento, </w:t>
      </w:r>
      <w:r w:rsidR="005A5131">
        <w:rPr>
          <w:sz w:val="16"/>
          <w:szCs w:val="20"/>
        </w:rPr>
        <w:t xml:space="preserve">la </w:t>
      </w:r>
      <w:r w:rsidRPr="003D6723">
        <w:rPr>
          <w:sz w:val="16"/>
          <w:szCs w:val="20"/>
        </w:rPr>
        <w:t xml:space="preserve">enfermedad, </w:t>
      </w:r>
      <w:r w:rsidR="005A5131">
        <w:rPr>
          <w:sz w:val="16"/>
          <w:szCs w:val="20"/>
        </w:rPr>
        <w:t xml:space="preserve">la </w:t>
      </w:r>
      <w:r w:rsidRPr="003D6723">
        <w:rPr>
          <w:sz w:val="16"/>
          <w:szCs w:val="20"/>
        </w:rPr>
        <w:t xml:space="preserve">vejez y </w:t>
      </w:r>
      <w:r w:rsidR="005A5131">
        <w:rPr>
          <w:sz w:val="16"/>
          <w:szCs w:val="20"/>
        </w:rPr>
        <w:t xml:space="preserve">la </w:t>
      </w:r>
      <w:r w:rsidRPr="003D6723">
        <w:rPr>
          <w:sz w:val="16"/>
          <w:szCs w:val="20"/>
        </w:rPr>
        <w:t>muerte, no hay duda de si s</w:t>
      </w:r>
      <w:r w:rsidR="00FA57CB">
        <w:rPr>
          <w:sz w:val="16"/>
          <w:szCs w:val="20"/>
        </w:rPr>
        <w:t>erá</w:t>
      </w:r>
      <w:r w:rsidRPr="003D6723">
        <w:rPr>
          <w:sz w:val="16"/>
          <w:szCs w:val="20"/>
        </w:rPr>
        <w:t xml:space="preserve"> adecuado o no como remedio</w:t>
      </w:r>
      <w:r w:rsidR="00FA57CB">
        <w:rPr>
          <w:sz w:val="16"/>
          <w:szCs w:val="20"/>
        </w:rPr>
        <w:t xml:space="preserve"> al problema en cuestión</w:t>
      </w:r>
      <w:r w:rsidRPr="003D6723">
        <w:rPr>
          <w:sz w:val="16"/>
          <w:szCs w:val="20"/>
        </w:rPr>
        <w:t xml:space="preserve">. La paz interior es la clave. En ese estado mental </w:t>
      </w:r>
      <w:r w:rsidR="00B74985">
        <w:rPr>
          <w:sz w:val="16"/>
          <w:szCs w:val="20"/>
        </w:rPr>
        <w:t>se podrá</w:t>
      </w:r>
      <w:r w:rsidRPr="003D6723">
        <w:rPr>
          <w:sz w:val="16"/>
          <w:szCs w:val="20"/>
        </w:rPr>
        <w:t xml:space="preserve"> enfrentar </w:t>
      </w:r>
      <w:r w:rsidR="00B74985">
        <w:rPr>
          <w:sz w:val="16"/>
          <w:szCs w:val="20"/>
        </w:rPr>
        <w:t xml:space="preserve">las </w:t>
      </w:r>
      <w:r w:rsidRPr="003D6723">
        <w:rPr>
          <w:sz w:val="16"/>
          <w:szCs w:val="20"/>
        </w:rPr>
        <w:t xml:space="preserve">dificultades </w:t>
      </w:r>
      <w:r w:rsidR="00B74985">
        <w:rPr>
          <w:sz w:val="16"/>
          <w:szCs w:val="20"/>
        </w:rPr>
        <w:t xml:space="preserve">de la vida </w:t>
      </w:r>
      <w:r w:rsidRPr="003D6723">
        <w:rPr>
          <w:sz w:val="16"/>
          <w:szCs w:val="20"/>
        </w:rPr>
        <w:t xml:space="preserve">con calma y </w:t>
      </w:r>
      <w:r w:rsidR="00FA57CB" w:rsidRPr="003D6723">
        <w:rPr>
          <w:sz w:val="16"/>
          <w:szCs w:val="20"/>
        </w:rPr>
        <w:t>conocimiento</w:t>
      </w:r>
      <w:r w:rsidRPr="003D6723">
        <w:rPr>
          <w:sz w:val="16"/>
          <w:szCs w:val="20"/>
        </w:rPr>
        <w:t>. Las enseñanzas del amor, la amabilidad y la tolerancia, la conducta de la no</w:t>
      </w:r>
      <w:r w:rsidR="00AE6465">
        <w:rPr>
          <w:rFonts w:cs="Cormorant"/>
          <w:sz w:val="16"/>
          <w:szCs w:val="20"/>
        </w:rPr>
        <w:t>–</w:t>
      </w:r>
      <w:r w:rsidRPr="003D6723">
        <w:rPr>
          <w:sz w:val="16"/>
          <w:szCs w:val="20"/>
        </w:rPr>
        <w:t>violencia y</w:t>
      </w:r>
      <w:r w:rsidR="00AE6465">
        <w:rPr>
          <w:sz w:val="16"/>
          <w:szCs w:val="20"/>
        </w:rPr>
        <w:t>,</w:t>
      </w:r>
      <w:r w:rsidRPr="003D6723">
        <w:rPr>
          <w:sz w:val="16"/>
          <w:szCs w:val="20"/>
        </w:rPr>
        <w:t xml:space="preserve"> especialmente</w:t>
      </w:r>
      <w:r w:rsidR="00AE6465">
        <w:rPr>
          <w:sz w:val="16"/>
          <w:szCs w:val="20"/>
        </w:rPr>
        <w:t>,</w:t>
      </w:r>
      <w:r w:rsidRPr="003D6723">
        <w:rPr>
          <w:sz w:val="16"/>
          <w:szCs w:val="20"/>
        </w:rPr>
        <w:t xml:space="preserve"> la teoría budista de que todas las cosas son relativas</w:t>
      </w:r>
      <w:r w:rsidR="00285489">
        <w:rPr>
          <w:sz w:val="16"/>
          <w:szCs w:val="20"/>
        </w:rPr>
        <w:t>,</w:t>
      </w:r>
      <w:r w:rsidRPr="003D6723">
        <w:rPr>
          <w:sz w:val="16"/>
          <w:szCs w:val="20"/>
        </w:rPr>
        <w:t xml:space="preserve"> </w:t>
      </w:r>
      <w:proofErr w:type="gramStart"/>
      <w:r w:rsidRPr="003D6723">
        <w:rPr>
          <w:sz w:val="16"/>
          <w:szCs w:val="20"/>
        </w:rPr>
        <w:t>pueden</w:t>
      </w:r>
      <w:proofErr w:type="gramEnd"/>
      <w:r w:rsidRPr="003D6723">
        <w:rPr>
          <w:sz w:val="16"/>
          <w:szCs w:val="20"/>
        </w:rPr>
        <w:t xml:space="preserve"> </w:t>
      </w:r>
      <w:r w:rsidR="00FA57CB">
        <w:rPr>
          <w:sz w:val="16"/>
          <w:szCs w:val="20"/>
        </w:rPr>
        <w:t>conformar</w:t>
      </w:r>
      <w:r w:rsidRPr="003D6723">
        <w:rPr>
          <w:sz w:val="16"/>
          <w:szCs w:val="20"/>
        </w:rPr>
        <w:t xml:space="preserve"> una fuente de esa paz interior.</w:t>
      </w:r>
    </w:p>
    <w:p w14:paraId="6704E04D" w14:textId="61454A54" w:rsidR="003D6723" w:rsidRPr="003D6723" w:rsidRDefault="003D6723" w:rsidP="003D6723">
      <w:pPr>
        <w:ind w:left="5" w:right="5" w:firstLine="240"/>
        <w:rPr>
          <w:sz w:val="16"/>
          <w:szCs w:val="20"/>
        </w:rPr>
      </w:pPr>
      <w:r w:rsidRPr="003D6723">
        <w:rPr>
          <w:sz w:val="16"/>
          <w:szCs w:val="20"/>
        </w:rPr>
        <w:t xml:space="preserve">Si bien la esencia del budismo </w:t>
      </w:r>
      <w:r w:rsidR="00707C37">
        <w:rPr>
          <w:sz w:val="16"/>
          <w:szCs w:val="20"/>
        </w:rPr>
        <w:t>es invariable</w:t>
      </w:r>
      <w:r w:rsidRPr="003D6723">
        <w:rPr>
          <w:sz w:val="16"/>
          <w:szCs w:val="20"/>
        </w:rPr>
        <w:t xml:space="preserve">, los aspectos culturales superficiales </w:t>
      </w:r>
      <w:r w:rsidR="00707C37">
        <w:rPr>
          <w:sz w:val="16"/>
          <w:szCs w:val="20"/>
        </w:rPr>
        <w:t>variarán</w:t>
      </w:r>
      <w:r w:rsidRPr="003D6723">
        <w:rPr>
          <w:sz w:val="16"/>
          <w:szCs w:val="20"/>
        </w:rPr>
        <w:t xml:space="preserve">. Pero </w:t>
      </w:r>
      <w:r w:rsidR="00707C37" w:rsidRPr="003D6723">
        <w:rPr>
          <w:sz w:val="16"/>
          <w:szCs w:val="20"/>
        </w:rPr>
        <w:t xml:space="preserve">no </w:t>
      </w:r>
      <w:r w:rsidR="00707C37">
        <w:rPr>
          <w:sz w:val="16"/>
          <w:szCs w:val="20"/>
        </w:rPr>
        <w:t xml:space="preserve">se </w:t>
      </w:r>
      <w:r w:rsidR="00707C37" w:rsidRPr="003D6723">
        <w:rPr>
          <w:sz w:val="16"/>
          <w:szCs w:val="20"/>
        </w:rPr>
        <w:t>p</w:t>
      </w:r>
      <w:r w:rsidR="00707C37">
        <w:rPr>
          <w:sz w:val="16"/>
          <w:szCs w:val="20"/>
        </w:rPr>
        <w:t>uede</w:t>
      </w:r>
      <w:r w:rsidR="00707C37" w:rsidRPr="003D6723">
        <w:rPr>
          <w:sz w:val="16"/>
          <w:szCs w:val="20"/>
        </w:rPr>
        <w:t xml:space="preserve"> </w:t>
      </w:r>
      <w:r w:rsidR="00707C37">
        <w:rPr>
          <w:sz w:val="16"/>
          <w:szCs w:val="20"/>
        </w:rPr>
        <w:t>afirmar</w:t>
      </w:r>
      <w:r w:rsidR="00707C37" w:rsidRPr="003D6723">
        <w:rPr>
          <w:sz w:val="16"/>
          <w:szCs w:val="20"/>
        </w:rPr>
        <w:t xml:space="preserve"> </w:t>
      </w:r>
      <w:r w:rsidRPr="003D6723">
        <w:rPr>
          <w:sz w:val="16"/>
          <w:szCs w:val="20"/>
        </w:rPr>
        <w:t xml:space="preserve">cómo </w:t>
      </w:r>
      <w:r w:rsidR="00707C37">
        <w:rPr>
          <w:sz w:val="16"/>
          <w:szCs w:val="20"/>
        </w:rPr>
        <w:t>variarán</w:t>
      </w:r>
      <w:r w:rsidRPr="003D6723">
        <w:rPr>
          <w:sz w:val="16"/>
          <w:szCs w:val="20"/>
        </w:rPr>
        <w:t xml:space="preserve"> en un lugar en particular. Esto evoluciona</w:t>
      </w:r>
      <w:r w:rsidR="00707C37">
        <w:rPr>
          <w:sz w:val="16"/>
          <w:szCs w:val="20"/>
        </w:rPr>
        <w:t>rá</w:t>
      </w:r>
      <w:r w:rsidRPr="003D6723">
        <w:rPr>
          <w:sz w:val="16"/>
          <w:szCs w:val="20"/>
        </w:rPr>
        <w:t xml:space="preserve"> con el tiempo. Cuando el budismo </w:t>
      </w:r>
      <w:r w:rsidR="00707C37">
        <w:rPr>
          <w:sz w:val="16"/>
          <w:szCs w:val="20"/>
        </w:rPr>
        <w:t>llegó</w:t>
      </w:r>
      <w:r w:rsidRPr="003D6723">
        <w:rPr>
          <w:sz w:val="16"/>
          <w:szCs w:val="20"/>
        </w:rPr>
        <w:t xml:space="preserve"> por primera vez de la India a países como Sri Lanka o </w:t>
      </w:r>
      <w:r w:rsidR="00B21BEB">
        <w:rPr>
          <w:sz w:val="16"/>
          <w:szCs w:val="20"/>
        </w:rPr>
        <w:t xml:space="preserve">el </w:t>
      </w:r>
      <w:r w:rsidRPr="003D6723">
        <w:rPr>
          <w:sz w:val="16"/>
          <w:szCs w:val="20"/>
        </w:rPr>
        <w:t>Tíbet, evolucionó gradualmente y, con el tiempo, surgió una tradición única. Esto también está sucediendo en Occidente y</w:t>
      </w:r>
      <w:r w:rsidR="000C219D">
        <w:rPr>
          <w:sz w:val="16"/>
          <w:szCs w:val="20"/>
        </w:rPr>
        <w:t>,</w:t>
      </w:r>
      <w:r w:rsidRPr="003D6723">
        <w:rPr>
          <w:sz w:val="16"/>
          <w:szCs w:val="20"/>
        </w:rPr>
        <w:t xml:space="preserve"> gradualmente</w:t>
      </w:r>
      <w:r w:rsidR="000C219D">
        <w:rPr>
          <w:sz w:val="16"/>
          <w:szCs w:val="20"/>
        </w:rPr>
        <w:t>,</w:t>
      </w:r>
      <w:r w:rsidRPr="003D6723">
        <w:rPr>
          <w:sz w:val="16"/>
          <w:szCs w:val="20"/>
        </w:rPr>
        <w:t xml:space="preserve"> el budismo </w:t>
      </w:r>
      <w:r w:rsidR="00DB679B">
        <w:rPr>
          <w:sz w:val="16"/>
          <w:szCs w:val="20"/>
        </w:rPr>
        <w:t>podrá</w:t>
      </w:r>
      <w:r w:rsidRPr="003D6723">
        <w:rPr>
          <w:sz w:val="16"/>
          <w:szCs w:val="20"/>
        </w:rPr>
        <w:t xml:space="preserve"> evolucionar con la cultura occidental.</w:t>
      </w:r>
    </w:p>
    <w:p w14:paraId="32F97072" w14:textId="6CDB086B" w:rsidR="00246F87" w:rsidRPr="003D6723" w:rsidRDefault="003D6723" w:rsidP="003D6723">
      <w:pPr>
        <w:ind w:left="5" w:right="5" w:firstLine="240"/>
        <w:rPr>
          <w:sz w:val="16"/>
          <w:szCs w:val="18"/>
        </w:rPr>
      </w:pPr>
      <w:r w:rsidRPr="003D6723">
        <w:rPr>
          <w:sz w:val="16"/>
          <w:szCs w:val="20"/>
        </w:rPr>
        <w:t xml:space="preserve">Por supuesto, lo que distingue la situación contemporánea de las transmisiones pasadas del budismo es que </w:t>
      </w:r>
      <w:r w:rsidR="00DB679B">
        <w:rPr>
          <w:sz w:val="16"/>
          <w:szCs w:val="20"/>
        </w:rPr>
        <w:t xml:space="preserve">ahora </w:t>
      </w:r>
      <w:r w:rsidRPr="003D6723">
        <w:rPr>
          <w:sz w:val="16"/>
          <w:szCs w:val="20"/>
        </w:rPr>
        <w:t xml:space="preserve">casi toda la variedad de tradiciones que </w:t>
      </w:r>
      <w:r w:rsidR="0071567E">
        <w:rPr>
          <w:sz w:val="16"/>
          <w:szCs w:val="20"/>
        </w:rPr>
        <w:t xml:space="preserve">han </w:t>
      </w:r>
      <w:r w:rsidRPr="003D6723">
        <w:rPr>
          <w:sz w:val="16"/>
          <w:szCs w:val="20"/>
        </w:rPr>
        <w:t>evoluciona</w:t>
      </w:r>
      <w:r w:rsidR="0071567E">
        <w:rPr>
          <w:sz w:val="16"/>
          <w:szCs w:val="20"/>
        </w:rPr>
        <w:t>do</w:t>
      </w:r>
      <w:r w:rsidRPr="003D6723">
        <w:rPr>
          <w:sz w:val="16"/>
          <w:szCs w:val="20"/>
        </w:rPr>
        <w:t xml:space="preserve"> en otros lugares</w:t>
      </w:r>
      <w:r w:rsidR="0095105C">
        <w:rPr>
          <w:sz w:val="16"/>
          <w:szCs w:val="20"/>
        </w:rPr>
        <w:t>,</w:t>
      </w:r>
      <w:r w:rsidRPr="003D6723">
        <w:rPr>
          <w:sz w:val="16"/>
          <w:szCs w:val="20"/>
        </w:rPr>
        <w:t xml:space="preserve"> </w:t>
      </w:r>
      <w:r w:rsidR="00DB679B">
        <w:rPr>
          <w:sz w:val="16"/>
          <w:szCs w:val="20"/>
        </w:rPr>
        <w:t xml:space="preserve">se </w:t>
      </w:r>
      <w:proofErr w:type="gramStart"/>
      <w:r w:rsidR="00DB679B">
        <w:rPr>
          <w:sz w:val="16"/>
          <w:szCs w:val="20"/>
        </w:rPr>
        <w:t>encuentra</w:t>
      </w:r>
      <w:r w:rsidR="0071567E">
        <w:rPr>
          <w:sz w:val="16"/>
          <w:szCs w:val="20"/>
        </w:rPr>
        <w:t>n</w:t>
      </w:r>
      <w:proofErr w:type="gramEnd"/>
      <w:r w:rsidR="00DB679B">
        <w:rPr>
          <w:sz w:val="16"/>
          <w:szCs w:val="20"/>
        </w:rPr>
        <w:t xml:space="preserve"> </w:t>
      </w:r>
      <w:r w:rsidRPr="003D6723">
        <w:rPr>
          <w:sz w:val="16"/>
          <w:szCs w:val="20"/>
        </w:rPr>
        <w:t>accesible</w:t>
      </w:r>
      <w:r w:rsidR="00DB679B">
        <w:rPr>
          <w:sz w:val="16"/>
          <w:szCs w:val="20"/>
        </w:rPr>
        <w:t>s</w:t>
      </w:r>
      <w:r w:rsidRPr="003D6723">
        <w:rPr>
          <w:sz w:val="16"/>
          <w:szCs w:val="20"/>
        </w:rPr>
        <w:t xml:space="preserve"> para cualquier interesad</w:t>
      </w:r>
      <w:r w:rsidR="0095105C">
        <w:rPr>
          <w:sz w:val="16"/>
          <w:szCs w:val="20"/>
        </w:rPr>
        <w:t>o</w:t>
      </w:r>
      <w:r w:rsidRPr="003D6723">
        <w:rPr>
          <w:sz w:val="16"/>
          <w:szCs w:val="20"/>
        </w:rPr>
        <w:t xml:space="preserve">. Y </w:t>
      </w:r>
      <w:r w:rsidR="0071567E">
        <w:rPr>
          <w:sz w:val="16"/>
          <w:szCs w:val="20"/>
        </w:rPr>
        <w:t xml:space="preserve">es bajo </w:t>
      </w:r>
      <w:r w:rsidRPr="003D6723">
        <w:rPr>
          <w:sz w:val="16"/>
          <w:szCs w:val="20"/>
        </w:rPr>
        <w:t xml:space="preserve">ese contexto que doy la bienvenida a esta nueva edición de la famosa traducción al inglés de </w:t>
      </w:r>
      <w:proofErr w:type="spellStart"/>
      <w:r w:rsidR="00057BF4" w:rsidRPr="00801765">
        <w:rPr>
          <w:iCs/>
          <w:sz w:val="16"/>
          <w:szCs w:val="20"/>
        </w:rPr>
        <w:t>Bhikkhu</w:t>
      </w:r>
      <w:proofErr w:type="spellEnd"/>
      <w:r w:rsidRPr="003D6723">
        <w:rPr>
          <w:sz w:val="16"/>
          <w:szCs w:val="20"/>
        </w:rPr>
        <w:t xml:space="preserve"> </w:t>
      </w:r>
      <w:r w:rsidR="00AF6816" w:rsidRPr="003D6723">
        <w:rPr>
          <w:sz w:val="16"/>
          <w:szCs w:val="20"/>
        </w:rPr>
        <w:t xml:space="preserve">Ñāṇamoli </w:t>
      </w:r>
      <w:r w:rsidRPr="003D6723">
        <w:rPr>
          <w:sz w:val="16"/>
          <w:szCs w:val="20"/>
        </w:rPr>
        <w:t>de</w:t>
      </w:r>
      <w:r w:rsidR="00801765">
        <w:rPr>
          <w:sz w:val="16"/>
          <w:szCs w:val="20"/>
        </w:rPr>
        <w:t xml:space="preserve"> </w:t>
      </w:r>
      <w:r w:rsidR="00801765" w:rsidRPr="00801765">
        <w:rPr>
          <w:i/>
          <w:iCs/>
          <w:sz w:val="16"/>
          <w:szCs w:val="20"/>
        </w:rPr>
        <w:t>El</w:t>
      </w:r>
      <w:r w:rsidRPr="003D6723">
        <w:rPr>
          <w:sz w:val="16"/>
          <w:szCs w:val="20"/>
        </w:rPr>
        <w:t xml:space="preserve"> </w:t>
      </w:r>
      <w:r w:rsidR="00AF6816" w:rsidRPr="00AF6816">
        <w:rPr>
          <w:i/>
          <w:iCs/>
          <w:sz w:val="16"/>
          <w:szCs w:val="20"/>
        </w:rPr>
        <w:t xml:space="preserve">Sendero </w:t>
      </w:r>
      <w:r w:rsidRPr="00AF6816">
        <w:rPr>
          <w:i/>
          <w:iCs/>
          <w:sz w:val="16"/>
          <w:szCs w:val="20"/>
        </w:rPr>
        <w:t xml:space="preserve">de la </w:t>
      </w:r>
      <w:r w:rsidR="00AF6816" w:rsidRPr="00AF6816">
        <w:rPr>
          <w:i/>
          <w:iCs/>
          <w:sz w:val="16"/>
          <w:szCs w:val="20"/>
        </w:rPr>
        <w:t>Purificación</w:t>
      </w:r>
      <w:r w:rsidRPr="003D6723">
        <w:rPr>
          <w:sz w:val="16"/>
          <w:szCs w:val="20"/>
        </w:rPr>
        <w:t xml:space="preserve">. Ofrezco mis oraciones para que los lectores, donde sea que </w:t>
      </w:r>
      <w:r w:rsidR="0095105C">
        <w:rPr>
          <w:sz w:val="16"/>
          <w:szCs w:val="20"/>
        </w:rPr>
        <w:t>se encuentren</w:t>
      </w:r>
      <w:r w:rsidRPr="003D6723">
        <w:rPr>
          <w:sz w:val="16"/>
          <w:szCs w:val="20"/>
        </w:rPr>
        <w:t xml:space="preserve">, puedan encontrar consejos e inspiración para desarrollar esa paz interior que contribuirá a crear un mundo más feliz y </w:t>
      </w:r>
      <w:r w:rsidR="009164E1">
        <w:rPr>
          <w:sz w:val="16"/>
          <w:szCs w:val="20"/>
        </w:rPr>
        <w:t>apacible</w:t>
      </w:r>
      <w:r w:rsidRPr="003D6723">
        <w:rPr>
          <w:sz w:val="16"/>
          <w:szCs w:val="20"/>
        </w:rPr>
        <w:t>.</w:t>
      </w:r>
    </w:p>
    <w:p w14:paraId="265B88C7" w14:textId="7E8D2EDB" w:rsidR="00246F87" w:rsidRPr="006D231C" w:rsidRDefault="00246F87" w:rsidP="00246F87">
      <w:pPr>
        <w:spacing w:after="3" w:line="264" w:lineRule="auto"/>
        <w:ind w:left="10" w:right="-12"/>
        <w:jc w:val="right"/>
      </w:pPr>
      <w:r w:rsidRPr="00AF0E58">
        <w:rPr>
          <w:szCs w:val="20"/>
        </w:rPr>
        <w:t>May</w:t>
      </w:r>
      <w:r w:rsidR="008D6A3A">
        <w:rPr>
          <w:szCs w:val="20"/>
        </w:rPr>
        <w:t>o del</w:t>
      </w:r>
      <w:r w:rsidRPr="00AF0E58">
        <w:rPr>
          <w:szCs w:val="20"/>
        </w:rPr>
        <w:t xml:space="preserve"> 2000</w:t>
      </w:r>
    </w:p>
    <w:p w14:paraId="209AF916" w14:textId="77777777" w:rsidR="0081147B" w:rsidRDefault="0081147B">
      <w:r w:rsidRPr="005E069F">
        <w:br w:type="page"/>
      </w:r>
    </w:p>
    <w:p w14:paraId="592324FF" w14:textId="77777777" w:rsidR="009164E1" w:rsidRDefault="009164E1" w:rsidP="009164E1"/>
    <w:p w14:paraId="3B82239D" w14:textId="454091B8" w:rsidR="00007FB4" w:rsidRDefault="00007FB4" w:rsidP="00AF6816">
      <w:pPr>
        <w:pStyle w:val="Ttulo2"/>
        <w:jc w:val="center"/>
      </w:pPr>
      <w:r>
        <w:t>Prólogo del editor a la tercera edición</w:t>
      </w:r>
    </w:p>
    <w:p w14:paraId="4F95EA0B" w14:textId="77777777" w:rsidR="009164E1" w:rsidRDefault="009164E1" w:rsidP="00007FB4">
      <w:pPr>
        <w:ind w:left="5" w:right="5" w:firstLine="240"/>
      </w:pPr>
    </w:p>
    <w:p w14:paraId="0A9D12A2" w14:textId="41C45F82" w:rsidR="00007FB4" w:rsidRDefault="00007FB4" w:rsidP="00007FB4">
      <w:pPr>
        <w:ind w:left="5" w:right="5" w:firstLine="240"/>
      </w:pPr>
      <w:r>
        <w:t xml:space="preserve">La traducción de </w:t>
      </w:r>
      <w:proofErr w:type="spellStart"/>
      <w:r w:rsidR="00057BF4" w:rsidRPr="00801765">
        <w:rPr>
          <w:iCs/>
        </w:rPr>
        <w:t>Bhikkhu</w:t>
      </w:r>
      <w:proofErr w:type="spellEnd"/>
      <w:r>
        <w:t xml:space="preserve"> </w:t>
      </w:r>
      <w:proofErr w:type="spellStart"/>
      <w:r w:rsidR="00AF6816">
        <w:t>Ñāṅamoli</w:t>
      </w:r>
      <w:proofErr w:type="spellEnd"/>
      <w:r w:rsidR="00AF6816">
        <w:t xml:space="preserve"> </w:t>
      </w:r>
      <w:r>
        <w:t xml:space="preserve">del </w:t>
      </w:r>
      <w:r w:rsidRPr="00AF6816">
        <w:rPr>
          <w:i/>
          <w:iCs/>
        </w:rPr>
        <w:t>Visuddhimagga</w:t>
      </w:r>
      <w:r>
        <w:t xml:space="preserve"> no s</w:t>
      </w:r>
      <w:r w:rsidR="00E83467">
        <w:t>ó</w:t>
      </w:r>
      <w:r>
        <w:t>lo pone a disposición</w:t>
      </w:r>
      <w:r w:rsidR="00294377">
        <w:t>,</w:t>
      </w:r>
      <w:r>
        <w:t xml:space="preserve"> en </w:t>
      </w:r>
      <w:r w:rsidR="003B214F">
        <w:t xml:space="preserve">un </w:t>
      </w:r>
      <w:r>
        <w:t>inglés fluid</w:t>
      </w:r>
      <w:r w:rsidR="003B214F">
        <w:t>o</w:t>
      </w:r>
      <w:r>
        <w:t xml:space="preserve">, este difícil e intrincado trabajo clásico </w:t>
      </w:r>
      <w:r w:rsidR="00E83467">
        <w:t xml:space="preserve">sobre </w:t>
      </w:r>
      <w:r>
        <w:t xml:space="preserve">el budismo </w:t>
      </w:r>
      <w:r w:rsidR="0079414E" w:rsidRPr="0079414E">
        <w:rPr>
          <w:i/>
          <w:iCs/>
        </w:rPr>
        <w:t>Th</w:t>
      </w:r>
      <w:r w:rsidRPr="0079414E">
        <w:rPr>
          <w:i/>
          <w:iCs/>
        </w:rPr>
        <w:t>eravāda</w:t>
      </w:r>
      <w:r>
        <w:t>, punto culminante de la era de los comentarios, sino que</w:t>
      </w:r>
      <w:r w:rsidR="00294377">
        <w:t>,</w:t>
      </w:r>
      <w:r>
        <w:t xml:space="preserve"> en sí mismo</w:t>
      </w:r>
      <w:r w:rsidR="00294377">
        <w:t>,</w:t>
      </w:r>
      <w:r>
        <w:t xml:space="preserve"> se ubica como un logro cultural sobresaliente quizás sin </w:t>
      </w:r>
      <w:r w:rsidR="00294377">
        <w:t xml:space="preserve">par </w:t>
      </w:r>
      <w:r w:rsidR="001D6C51">
        <w:t>entre los</w:t>
      </w:r>
      <w:r>
        <w:t xml:space="preserve"> </w:t>
      </w:r>
      <w:r w:rsidR="00850DDC">
        <w:t xml:space="preserve">eruditos </w:t>
      </w:r>
      <w:proofErr w:type="gramStart"/>
      <w:r>
        <w:t>Budistas</w:t>
      </w:r>
      <w:proofErr w:type="gramEnd"/>
      <w:r>
        <w:t xml:space="preserve"> de</w:t>
      </w:r>
      <w:r w:rsidR="007B05CB">
        <w:t>l</w:t>
      </w:r>
      <w:r>
        <w:t xml:space="preserve"> </w:t>
      </w:r>
      <w:r w:rsidRPr="00AF6816">
        <w:rPr>
          <w:i/>
          <w:iCs/>
        </w:rPr>
        <w:t>Pāḷi</w:t>
      </w:r>
      <w:r>
        <w:t xml:space="preserve"> </w:t>
      </w:r>
      <w:r w:rsidR="00E83467">
        <w:t>d</w:t>
      </w:r>
      <w:r>
        <w:t>el siglo XXI. Este logro es aún más notable porque el traductor hab</w:t>
      </w:r>
      <w:r w:rsidR="00850DDC">
        <w:t>r</w:t>
      </w:r>
      <w:r>
        <w:t xml:space="preserve">ía completado el primer borrador dentro de sus primeros cuatro años como </w:t>
      </w:r>
      <w:proofErr w:type="spellStart"/>
      <w:r w:rsidR="00057BF4" w:rsidRPr="00057BF4">
        <w:rPr>
          <w:i/>
          <w:iCs/>
        </w:rPr>
        <w:t>bhikkhu</w:t>
      </w:r>
      <w:proofErr w:type="spellEnd"/>
      <w:r>
        <w:t>, que también es la cantidad de tiempo que hab</w:t>
      </w:r>
      <w:r w:rsidR="007B05CB">
        <w:t>r</w:t>
      </w:r>
      <w:r>
        <w:t xml:space="preserve">ía sido estudiante de </w:t>
      </w:r>
      <w:r w:rsidRPr="007B05CB">
        <w:rPr>
          <w:i/>
          <w:iCs/>
        </w:rPr>
        <w:t>Pāḷi</w:t>
      </w:r>
      <w:r>
        <w:t>.</w:t>
      </w:r>
    </w:p>
    <w:p w14:paraId="46E08719" w14:textId="15F0D72B" w:rsidR="00007FB4" w:rsidRDefault="00FD4347" w:rsidP="00007FB4">
      <w:pPr>
        <w:ind w:left="5" w:right="5" w:firstLine="240"/>
      </w:pPr>
      <w:proofErr w:type="spellStart"/>
      <w:r w:rsidRPr="00FD4347">
        <w:rPr>
          <w:i/>
          <w:iCs/>
        </w:rPr>
        <w:t>Buddhist</w:t>
      </w:r>
      <w:proofErr w:type="spellEnd"/>
      <w:r w:rsidRPr="00FD4347">
        <w:rPr>
          <w:i/>
          <w:iCs/>
        </w:rPr>
        <w:t xml:space="preserve"> </w:t>
      </w:r>
      <w:proofErr w:type="spellStart"/>
      <w:r w:rsidRPr="00FD4347">
        <w:rPr>
          <w:i/>
          <w:iCs/>
        </w:rPr>
        <w:t>Publication</w:t>
      </w:r>
      <w:proofErr w:type="spellEnd"/>
      <w:r w:rsidRPr="00FD4347">
        <w:rPr>
          <w:i/>
          <w:iCs/>
        </w:rPr>
        <w:t xml:space="preserve"> </w:t>
      </w:r>
      <w:proofErr w:type="spellStart"/>
      <w:r w:rsidRPr="00FD4347">
        <w:rPr>
          <w:i/>
          <w:iCs/>
        </w:rPr>
        <w:t>Society</w:t>
      </w:r>
      <w:proofErr w:type="spellEnd"/>
      <w:r w:rsidRPr="00FD4347">
        <w:t xml:space="preserve"> </w:t>
      </w:r>
      <w:r w:rsidR="001C7178">
        <w:t>publicó</w:t>
      </w:r>
      <w:r w:rsidR="00007FB4">
        <w:t xml:space="preserve"> por primera vez este trabajo </w:t>
      </w:r>
      <w:r w:rsidR="001C7178">
        <w:t>a comienzos</w:t>
      </w:r>
      <w:r w:rsidR="00007FB4">
        <w:t xml:space="preserve"> de 1975, con el amable consentimiento del editor original, el Sr. </w:t>
      </w:r>
      <w:r>
        <w:t xml:space="preserve">Ānanda </w:t>
      </w:r>
      <w:proofErr w:type="spellStart"/>
      <w:r w:rsidR="00007FB4">
        <w:t>Semage</w:t>
      </w:r>
      <w:proofErr w:type="spellEnd"/>
      <w:r w:rsidR="00007FB4">
        <w:t xml:space="preserve"> de Colombo. </w:t>
      </w:r>
      <w:r>
        <w:t>Aquella</w:t>
      </w:r>
      <w:r w:rsidR="00007FB4">
        <w:t xml:space="preserve"> fue una reimpresión </w:t>
      </w:r>
      <w:r>
        <w:t>re</w:t>
      </w:r>
      <w:r w:rsidR="00007FB4">
        <w:t xml:space="preserve">producida por </w:t>
      </w:r>
      <w:r w:rsidR="0079758C">
        <w:t>un</w:t>
      </w:r>
      <w:r w:rsidR="00007FB4">
        <w:t xml:space="preserve"> proceso fotolitográfico de la edición de 1964. La reimpresión de 1979 también fue una reimpresión fotolitográfica, con algunas correcciones menores.</w:t>
      </w:r>
    </w:p>
    <w:p w14:paraId="1079B840" w14:textId="246FC21A" w:rsidR="00FB605D" w:rsidRPr="006D231C" w:rsidRDefault="00007FB4" w:rsidP="00007FB4">
      <w:pPr>
        <w:ind w:left="5" w:right="5" w:firstLine="240"/>
      </w:pPr>
      <w:r>
        <w:t>Para esta edición, el texto se ha recompuesto por completo, esta vez con la ayuda de los asombrosos equipos de composición tipográfica electrónica que ha</w:t>
      </w:r>
      <w:r w:rsidR="003C14F1">
        <w:t>n</w:t>
      </w:r>
      <w:r>
        <w:t xml:space="preserve"> proliferado durante los últimos años. El texto en sí no ha sido alterado, excepto en algunos lugares donde el traductor original evidentemente </w:t>
      </w:r>
      <w:r w:rsidR="00CA34F0">
        <w:t xml:space="preserve">las </w:t>
      </w:r>
      <w:r>
        <w:t>hab</w:t>
      </w:r>
      <w:r w:rsidR="00CA34F0">
        <w:t>r</w:t>
      </w:r>
      <w:r>
        <w:t xml:space="preserve">ía </w:t>
      </w:r>
      <w:r w:rsidR="00CA34F0">
        <w:t>r</w:t>
      </w:r>
      <w:r>
        <w:t>escrito. Sin embargo, se han introducido numerosos cambios estilísticos menores, particularmente en l</w:t>
      </w:r>
      <w:r w:rsidR="00DE78C5">
        <w:t>os</w:t>
      </w:r>
      <w:r>
        <w:t xml:space="preserve"> </w:t>
      </w:r>
      <w:r w:rsidR="00DE78C5">
        <w:t xml:space="preserve">casos menores </w:t>
      </w:r>
      <w:r>
        <w:t xml:space="preserve">de muchos términos técnicos que </w:t>
      </w:r>
      <w:r w:rsidR="00DE78C5">
        <w:t xml:space="preserve">el </w:t>
      </w:r>
      <w:r>
        <w:t xml:space="preserve">Ven. Ñāṇamoli </w:t>
      </w:r>
      <w:r w:rsidR="00E43261">
        <w:t xml:space="preserve">las </w:t>
      </w:r>
      <w:r>
        <w:t>hab</w:t>
      </w:r>
      <w:r w:rsidR="00E43261">
        <w:t>r</w:t>
      </w:r>
      <w:r>
        <w:t xml:space="preserve">ía puesto </w:t>
      </w:r>
      <w:r w:rsidR="00052E0D">
        <w:t>con</w:t>
      </w:r>
      <w:r>
        <w:t xml:space="preserve"> </w:t>
      </w:r>
      <w:r w:rsidR="003E57B5">
        <w:t xml:space="preserve">letras mayúsculas </w:t>
      </w:r>
      <w:r>
        <w:t xml:space="preserve">iniciales y, ocasionalmente, </w:t>
      </w:r>
      <w:r w:rsidR="003C14F1">
        <w:t>sobre</w:t>
      </w:r>
      <w:r>
        <w:t xml:space="preserve"> el párrafo.</w:t>
      </w:r>
    </w:p>
    <w:p w14:paraId="289E3742" w14:textId="77777777" w:rsidR="00FB605D" w:rsidRPr="006D231C" w:rsidRDefault="00FB605D" w:rsidP="00FB605D">
      <w:pPr>
        <w:spacing w:after="3" w:line="264" w:lineRule="auto"/>
        <w:ind w:left="10" w:right="-12"/>
        <w:jc w:val="right"/>
      </w:pPr>
      <w:proofErr w:type="spellStart"/>
      <w:r w:rsidRPr="00AF6816">
        <w:rPr>
          <w:i/>
          <w:iCs/>
        </w:rPr>
        <w:t>Buddhist</w:t>
      </w:r>
      <w:proofErr w:type="spellEnd"/>
      <w:r w:rsidRPr="00AF6816">
        <w:rPr>
          <w:i/>
          <w:iCs/>
        </w:rPr>
        <w:t xml:space="preserve"> </w:t>
      </w:r>
      <w:proofErr w:type="spellStart"/>
      <w:r w:rsidRPr="00AF6816">
        <w:rPr>
          <w:i/>
          <w:iCs/>
        </w:rPr>
        <w:t>Publication</w:t>
      </w:r>
      <w:proofErr w:type="spellEnd"/>
      <w:r w:rsidRPr="00AF6816">
        <w:rPr>
          <w:i/>
          <w:iCs/>
        </w:rPr>
        <w:t xml:space="preserve"> </w:t>
      </w:r>
      <w:proofErr w:type="spellStart"/>
      <w:r w:rsidRPr="00AF6816">
        <w:rPr>
          <w:i/>
          <w:iCs/>
        </w:rPr>
        <w:t>Society</w:t>
      </w:r>
      <w:proofErr w:type="spellEnd"/>
      <w:r w:rsidRPr="006D231C">
        <w:t>,</w:t>
      </w:r>
    </w:p>
    <w:p w14:paraId="58BAA7CE" w14:textId="77777777" w:rsidR="00FB605D" w:rsidRPr="006D231C" w:rsidRDefault="00FB605D" w:rsidP="00FB605D">
      <w:pPr>
        <w:spacing w:after="679" w:line="264" w:lineRule="auto"/>
        <w:ind w:left="10" w:right="-12"/>
        <w:jc w:val="right"/>
      </w:pPr>
      <w:r w:rsidRPr="006D231C">
        <w:t>1991</w:t>
      </w:r>
    </w:p>
    <w:p w14:paraId="66660CC9" w14:textId="44E9312E" w:rsidR="00723B32" w:rsidRDefault="00723B32" w:rsidP="00AF6816">
      <w:pPr>
        <w:pStyle w:val="Ttulo2"/>
        <w:jc w:val="center"/>
      </w:pPr>
      <w:r>
        <w:t xml:space="preserve">Prólogo del </w:t>
      </w:r>
      <w:r w:rsidR="00AF6816">
        <w:t xml:space="preserve">Editor </w:t>
      </w:r>
      <w:r>
        <w:t xml:space="preserve">a la </w:t>
      </w:r>
      <w:r w:rsidR="00AF6816">
        <w:t>Cuarta E</w:t>
      </w:r>
      <w:r>
        <w:t>dición</w:t>
      </w:r>
    </w:p>
    <w:p w14:paraId="74056F15" w14:textId="5CB55752" w:rsidR="00723B32" w:rsidRDefault="00723B32" w:rsidP="00723B32">
      <w:pPr>
        <w:ind w:left="15" w:right="5"/>
      </w:pPr>
      <w:r>
        <w:t xml:space="preserve">Esta cuarta edición tuvo que volver a ser </w:t>
      </w:r>
      <w:r w:rsidR="003E57B2">
        <w:t>r</w:t>
      </w:r>
      <w:r>
        <w:t>e</w:t>
      </w:r>
      <w:r w:rsidR="0037570F">
        <w:t xml:space="preserve"> </w:t>
      </w:r>
      <w:r>
        <w:t>tipe</w:t>
      </w:r>
      <w:r w:rsidR="00720975">
        <w:t>ada</w:t>
      </w:r>
      <w:r>
        <w:t xml:space="preserve"> porque los archivos digitales de la edición anterior, preparados "con la ayuda del sorprendente equipo de composición tipográfica electrónic</w:t>
      </w:r>
      <w:r w:rsidR="0020003A">
        <w:t>a</w:t>
      </w:r>
      <w:r>
        <w:t>" (como se mencionó en el prólogo de la tercera edición) se perdieron.</w:t>
      </w:r>
    </w:p>
    <w:p w14:paraId="0F836055" w14:textId="20D4F647" w:rsidR="00723B32" w:rsidRDefault="00723B32" w:rsidP="003D45CA">
      <w:pPr>
        <w:pStyle w:val="NormalConSangria"/>
      </w:pPr>
      <w:r>
        <w:t xml:space="preserve">Al igual que en la edición anterior, el texto en sí no ha sido alterado, excepto en algunos lugares donde </w:t>
      </w:r>
      <w:r w:rsidR="003E57B2">
        <w:t xml:space="preserve">el </w:t>
      </w:r>
      <w:r>
        <w:t xml:space="preserve">Ven. Ñāṇamoli evidentemente </w:t>
      </w:r>
      <w:r w:rsidR="003E57B2">
        <w:t xml:space="preserve">las </w:t>
      </w:r>
      <w:r>
        <w:t xml:space="preserve">había </w:t>
      </w:r>
      <w:r w:rsidR="003E57B2">
        <w:t>r</w:t>
      </w:r>
      <w:r>
        <w:t xml:space="preserve">escrito. Se han introducido nuevamente algunos cambios estilísticos menores, como la utilización del sistema de abreviatura del </w:t>
      </w:r>
      <w:proofErr w:type="spellStart"/>
      <w:r w:rsidR="00B35945" w:rsidRPr="00B35945">
        <w:rPr>
          <w:i/>
          <w:iCs/>
        </w:rPr>
        <w:t>Critical</w:t>
      </w:r>
      <w:proofErr w:type="spellEnd"/>
      <w:r w:rsidR="00B35945" w:rsidRPr="00B35945">
        <w:rPr>
          <w:i/>
          <w:iCs/>
        </w:rPr>
        <w:t xml:space="preserve"> </w:t>
      </w:r>
      <w:r w:rsidR="00AD6B1D" w:rsidRPr="00AD6B1D">
        <w:rPr>
          <w:i/>
          <w:iCs/>
        </w:rPr>
        <w:t>Pāḷi</w:t>
      </w:r>
      <w:r w:rsidR="00B35945" w:rsidRPr="00B35945">
        <w:rPr>
          <w:i/>
          <w:iCs/>
        </w:rPr>
        <w:t xml:space="preserve"> </w:t>
      </w:r>
      <w:proofErr w:type="spellStart"/>
      <w:r w:rsidR="00B35945" w:rsidRPr="00B35945">
        <w:rPr>
          <w:i/>
          <w:iCs/>
        </w:rPr>
        <w:t>Dictionary</w:t>
      </w:r>
      <w:proofErr w:type="spellEnd"/>
      <w:r w:rsidR="00B35945" w:rsidRPr="00B35945">
        <w:t xml:space="preserve"> </w:t>
      </w:r>
      <w:r>
        <w:t>en lugar del sistema PTS</w:t>
      </w:r>
    </w:p>
    <w:p w14:paraId="0B6110CB" w14:textId="42326337" w:rsidR="00FB605D" w:rsidRPr="007C22AB" w:rsidRDefault="00723B32" w:rsidP="003D45CA">
      <w:pPr>
        <w:pStyle w:val="NormalConSangria"/>
      </w:pPr>
      <w:r w:rsidRPr="003C7534">
        <w:t xml:space="preserve">El BPS desea agradecer a John </w:t>
      </w:r>
      <w:proofErr w:type="spellStart"/>
      <w:r w:rsidRPr="003C7534">
        <w:t>Bullitt</w:t>
      </w:r>
      <w:proofErr w:type="spellEnd"/>
      <w:r w:rsidRPr="003C7534">
        <w:t xml:space="preserve">, Ester Barias-Wolf, Michael </w:t>
      </w:r>
      <w:proofErr w:type="spellStart"/>
      <w:r w:rsidRPr="003C7534">
        <w:t>Zoll</w:t>
      </w:r>
      <w:proofErr w:type="spellEnd"/>
      <w:r w:rsidRPr="003C7534">
        <w:t xml:space="preserve">, Manfred </w:t>
      </w:r>
      <w:proofErr w:type="spellStart"/>
      <w:r w:rsidRPr="003C7534">
        <w:t>Wierich</w:t>
      </w:r>
      <w:proofErr w:type="spellEnd"/>
      <w:r w:rsidRPr="003C7534">
        <w:t xml:space="preserve"> y todos los demás </w:t>
      </w:r>
      <w:r w:rsidR="00874CC2">
        <w:t xml:space="preserve">compañeros </w:t>
      </w:r>
      <w:r w:rsidRPr="003C7534">
        <w:t>que ayudaron con este proyecto</w:t>
      </w:r>
      <w:r w:rsidR="00FB605D" w:rsidRPr="007C22AB">
        <w:t>.</w:t>
      </w:r>
    </w:p>
    <w:p w14:paraId="1E5336BC" w14:textId="2C8BD67D" w:rsidR="00FB605D" w:rsidRPr="003C7534" w:rsidRDefault="00FB605D" w:rsidP="00FB605D">
      <w:pPr>
        <w:spacing w:after="3" w:line="264" w:lineRule="auto"/>
        <w:ind w:left="3940" w:right="-12"/>
        <w:jc w:val="right"/>
      </w:pPr>
      <w:proofErr w:type="spellStart"/>
      <w:r w:rsidRPr="003C7534">
        <w:rPr>
          <w:i/>
          <w:iCs/>
        </w:rPr>
        <w:t>Buddhist</w:t>
      </w:r>
      <w:proofErr w:type="spellEnd"/>
      <w:r w:rsidRPr="003C7534">
        <w:rPr>
          <w:i/>
          <w:iCs/>
        </w:rPr>
        <w:t xml:space="preserve"> </w:t>
      </w:r>
      <w:proofErr w:type="spellStart"/>
      <w:r w:rsidRPr="003C7534">
        <w:rPr>
          <w:i/>
          <w:iCs/>
        </w:rPr>
        <w:t>Publication</w:t>
      </w:r>
      <w:proofErr w:type="spellEnd"/>
      <w:r w:rsidRPr="003C7534">
        <w:rPr>
          <w:i/>
          <w:iCs/>
        </w:rPr>
        <w:t xml:space="preserve"> </w:t>
      </w:r>
      <w:proofErr w:type="spellStart"/>
      <w:r w:rsidRPr="003C7534">
        <w:rPr>
          <w:i/>
          <w:iCs/>
        </w:rPr>
        <w:t>Society</w:t>
      </w:r>
      <w:proofErr w:type="spellEnd"/>
      <w:r w:rsidRPr="003C7534">
        <w:rPr>
          <w:i/>
          <w:iCs/>
        </w:rPr>
        <w:t>,</w:t>
      </w:r>
      <w:r w:rsidRPr="003C7534">
        <w:t xml:space="preserve"> </w:t>
      </w:r>
      <w:r w:rsidR="004B5ADC">
        <w:br/>
      </w:r>
      <w:r w:rsidRPr="003C7534">
        <w:t>2010</w:t>
      </w:r>
    </w:p>
    <w:p w14:paraId="796781AA" w14:textId="77777777" w:rsidR="00FB605D" w:rsidRDefault="00FB605D">
      <w:r w:rsidRPr="005E069F">
        <w:br w:type="page"/>
      </w:r>
    </w:p>
    <w:p w14:paraId="645B2636" w14:textId="1ADB3780" w:rsidR="00314433" w:rsidRDefault="00874CC2" w:rsidP="00314433">
      <w:pPr>
        <w:pStyle w:val="Ttulo2"/>
        <w:jc w:val="center"/>
      </w:pPr>
      <w:r>
        <w:lastRenderedPageBreak/>
        <w:t>Prólogo</w:t>
      </w:r>
      <w:r w:rsidR="00314433">
        <w:t xml:space="preserve"> del </w:t>
      </w:r>
      <w:r w:rsidR="00FC578F">
        <w:t>Traductor</w:t>
      </w:r>
    </w:p>
    <w:p w14:paraId="0D7F6BC0" w14:textId="77777777" w:rsidR="00314433" w:rsidRDefault="00314433" w:rsidP="00314433"/>
    <w:p w14:paraId="01073BAF" w14:textId="303226C7" w:rsidR="00314433" w:rsidRDefault="00314433" w:rsidP="00314433">
      <w:r>
        <w:t xml:space="preserve">Originalmente hice esta traducción para mi propia instrucción porque </w:t>
      </w:r>
      <w:r w:rsidR="00FC7C23">
        <w:t>entonces</w:t>
      </w:r>
      <w:r w:rsidR="00B62740">
        <w:t xml:space="preserve"> no era posible acceder a </w:t>
      </w:r>
      <w:r>
        <w:t xml:space="preserve">la única versión publicada </w:t>
      </w:r>
      <w:r w:rsidR="00B62740">
        <w:t>del libro</w:t>
      </w:r>
      <w:r>
        <w:t xml:space="preserve">. Por lo tanto, no se hizo con ninguna intención </w:t>
      </w:r>
      <w:r w:rsidR="00B62740">
        <w:t>de</w:t>
      </w:r>
      <w:r>
        <w:t xml:space="preserve"> publica</w:t>
      </w:r>
      <w:r w:rsidR="00BF6264">
        <w:t>rla</w:t>
      </w:r>
      <w:r w:rsidR="00B62740">
        <w:t xml:space="preserve"> en lo absoluto</w:t>
      </w:r>
      <w:r>
        <w:t xml:space="preserve">; </w:t>
      </w:r>
      <w:r w:rsidR="00B62740">
        <w:t>sino</w:t>
      </w:r>
      <w:r>
        <w:t xml:space="preserve"> más bien</w:t>
      </w:r>
      <w:r w:rsidR="00FC7C23">
        <w:t>,</w:t>
      </w:r>
      <w:r>
        <w:t xml:space="preserve"> </w:t>
      </w:r>
      <w:r w:rsidR="00BF6264">
        <w:t xml:space="preserve">como una iniciativa </w:t>
      </w:r>
      <w:r>
        <w:t xml:space="preserve">a partir de </w:t>
      </w:r>
      <w:r w:rsidR="00BF6264">
        <w:t xml:space="preserve">unas </w:t>
      </w:r>
      <w:r w:rsidR="00701147">
        <w:t>anotaciones efectuadas</w:t>
      </w:r>
      <w:r>
        <w:t xml:space="preserve"> en algunos de los pasajes del libro. </w:t>
      </w:r>
      <w:r w:rsidR="009C27D7">
        <w:t>Esto se habría terminado a</w:t>
      </w:r>
      <w:r>
        <w:t xml:space="preserve"> finales de 1953, más o menos, </w:t>
      </w:r>
      <w:r w:rsidR="006D7364">
        <w:t xml:space="preserve">para luego dejarlo </w:t>
      </w:r>
      <w:r w:rsidR="009C27D7">
        <w:t xml:space="preserve">a un </w:t>
      </w:r>
      <w:r>
        <w:t xml:space="preserve">lado. A principios del año siguiente, se me </w:t>
      </w:r>
      <w:r w:rsidR="00701147">
        <w:t>h</w:t>
      </w:r>
      <w:r w:rsidR="009C27D7">
        <w:t>izo</w:t>
      </w:r>
      <w:r>
        <w:t xml:space="preserve"> una sugerencia y finalmente estuve de acuerdo, aunque no sin much</w:t>
      </w:r>
      <w:r w:rsidR="0067492B">
        <w:t>as</w:t>
      </w:r>
      <w:r>
        <w:t xml:space="preserve"> </w:t>
      </w:r>
      <w:r w:rsidR="00287BF4">
        <w:t>reticencias</w:t>
      </w:r>
      <w:r>
        <w:t xml:space="preserve">. Sin embargo, las razones para </w:t>
      </w:r>
      <w:r w:rsidR="00287BF4">
        <w:t>asentir</w:t>
      </w:r>
      <w:r>
        <w:t xml:space="preserve"> no parec</w:t>
      </w:r>
      <w:r w:rsidR="00577BB7">
        <w:t>ían</w:t>
      </w:r>
      <w:r>
        <w:t xml:space="preserve"> completamente </w:t>
      </w:r>
      <w:r w:rsidR="006B7432">
        <w:t>carentes</w:t>
      </w:r>
      <w:r w:rsidR="009C27D7">
        <w:t xml:space="preserve"> de </w:t>
      </w:r>
      <w:r w:rsidR="00870BAA">
        <w:t>reticencias</w:t>
      </w:r>
      <w:r>
        <w:t xml:space="preserve">. La única versión en inglés anterior de este notable trabajo había </w:t>
      </w:r>
      <w:r w:rsidR="000C1A9A">
        <w:t>dejado de imprimirse hac</w:t>
      </w:r>
      <w:r w:rsidR="009C27D7">
        <w:t>ía</w:t>
      </w:r>
      <w:r>
        <w:t xml:space="preserve"> mucho tiempo. La justificación también podría fundarse</w:t>
      </w:r>
      <w:r w:rsidR="00870BAA">
        <w:t>,</w:t>
      </w:r>
      <w:r>
        <w:t xml:space="preserve"> en algún grado</w:t>
      </w:r>
      <w:r w:rsidR="00870BAA">
        <w:t>,</w:t>
      </w:r>
      <w:r>
        <w:t xml:space="preserve"> en el </w:t>
      </w:r>
      <w:r w:rsidR="009C27D7">
        <w:t>punto de vista</w:t>
      </w:r>
      <w:r>
        <w:t xml:space="preserve"> bastante diferente desde el cual </w:t>
      </w:r>
      <w:r w:rsidR="005C7DFD">
        <w:t xml:space="preserve">fue </w:t>
      </w:r>
      <w:r w:rsidR="008247BD">
        <w:t>realizad</w:t>
      </w:r>
      <w:r w:rsidR="005C7DFD">
        <w:t>a</w:t>
      </w:r>
      <w:r>
        <w:t xml:space="preserve"> esta versión.</w:t>
      </w:r>
    </w:p>
    <w:p w14:paraId="0D89626C" w14:textId="1EBD9449" w:rsidR="00314433" w:rsidRDefault="00314433" w:rsidP="00314433">
      <w:pPr>
        <w:pStyle w:val="NormalConSangria"/>
      </w:pPr>
      <w:r>
        <w:t>Luego</w:t>
      </w:r>
      <w:r w:rsidR="005C7DFD">
        <w:t>,</w:t>
      </w:r>
      <w:r>
        <w:t xml:space="preserve"> se dedicó más de un año </w:t>
      </w:r>
      <w:r w:rsidR="008247BD">
        <w:t>en</w:t>
      </w:r>
      <w:r>
        <w:t xml:space="preserve"> escribir el manuscrito durante el cual, y desde entonces, se ha producido una gran cantidad de revisi</w:t>
      </w:r>
      <w:r w:rsidR="008247BD">
        <w:t>o</w:t>
      </w:r>
      <w:r>
        <w:t>n</w:t>
      </w:r>
      <w:r w:rsidR="008247BD">
        <w:t>es</w:t>
      </w:r>
      <w:r w:rsidR="005C7DFD">
        <w:t>;</w:t>
      </w:r>
      <w:r>
        <w:t xml:space="preserve"> la intención de la revisión </w:t>
      </w:r>
      <w:r w:rsidR="00D813AC">
        <w:t xml:space="preserve">fue </w:t>
      </w:r>
      <w:r w:rsidR="008D6820">
        <w:t>hacer evidente</w:t>
      </w:r>
      <w:r>
        <w:t xml:space="preserve"> al demonio de la inexactitud y al mismo tiempo hacer que la traducción sea perspicaz y el traductor discreto. Si se hubie</w:t>
      </w:r>
      <w:r w:rsidR="000C4B03">
        <w:t>se</w:t>
      </w:r>
      <w:r>
        <w:t xml:space="preserve"> retrasado </w:t>
      </w:r>
      <w:r w:rsidR="000C4B03">
        <w:t xml:space="preserve">un poco </w:t>
      </w:r>
      <w:r>
        <w:t>la publicación, bien podría haber sido pulido</w:t>
      </w:r>
      <w:r w:rsidR="009C27D7">
        <w:t xml:space="preserve"> adicionalmente</w:t>
      </w:r>
      <w:r>
        <w:t xml:space="preserve">. </w:t>
      </w:r>
      <w:r w:rsidR="00E54971">
        <w:t xml:space="preserve">No obstante, </w:t>
      </w:r>
      <w:r>
        <w:t xml:space="preserve">el trabajo de </w:t>
      </w:r>
      <w:r w:rsidR="00D813AC">
        <w:t>depuración</w:t>
      </w:r>
      <w:r>
        <w:t xml:space="preserve"> </w:t>
      </w:r>
      <w:r w:rsidR="00E54971">
        <w:t xml:space="preserve">será, lo más probable, </w:t>
      </w:r>
      <w:proofErr w:type="spellStart"/>
      <w:r w:rsidR="002F5F76">
        <w:t>seimrep</w:t>
      </w:r>
      <w:proofErr w:type="spellEnd"/>
      <w:r w:rsidR="002F5F76">
        <w:t xml:space="preserve"> </w:t>
      </w:r>
      <w:r>
        <w:t xml:space="preserve">interminable. En algún </w:t>
      </w:r>
      <w:r w:rsidR="002F5F76">
        <w:t xml:space="preserve">momento </w:t>
      </w:r>
      <w:r>
        <w:t>deb</w:t>
      </w:r>
      <w:r w:rsidR="009C27D7">
        <w:t xml:space="preserve">ía </w:t>
      </w:r>
      <w:r>
        <w:t>detener</w:t>
      </w:r>
      <w:r w:rsidR="002F5F76">
        <w:t>se estas revisiones</w:t>
      </w:r>
      <w:r>
        <w:t>.</w:t>
      </w:r>
    </w:p>
    <w:p w14:paraId="6A918567" w14:textId="2B128C12" w:rsidR="00314433" w:rsidRDefault="00314433" w:rsidP="00314433">
      <w:pPr>
        <w:pStyle w:val="NormalConSangria"/>
      </w:pPr>
      <w:r>
        <w:t xml:space="preserve">Un principio rector, el principal de hecho, ha sido evitar </w:t>
      </w:r>
      <w:r w:rsidR="00094564">
        <w:t xml:space="preserve">rigurosamente </w:t>
      </w:r>
      <w:r>
        <w:t>la tergiversación o la distorsión</w:t>
      </w:r>
      <w:r w:rsidR="009C27D7">
        <w:t xml:space="preserve"> del texto</w:t>
      </w:r>
      <w:r>
        <w:t xml:space="preserve">; </w:t>
      </w:r>
      <w:r w:rsidR="00094564">
        <w:t>ya que</w:t>
      </w:r>
      <w:r>
        <w:t xml:space="preserve"> </w:t>
      </w:r>
      <w:r w:rsidR="00365D2D">
        <w:t>un</w:t>
      </w:r>
      <w:r>
        <w:t>a traducción ideal (que aún no se ha</w:t>
      </w:r>
      <w:r w:rsidR="00564D22">
        <w:t>ya</w:t>
      </w:r>
      <w:r>
        <w:t xml:space="preserve"> </w:t>
      </w:r>
      <w:r w:rsidR="00D66E38">
        <w:t>realizado</w:t>
      </w:r>
      <w:r>
        <w:t xml:space="preserve">) debería, como un </w:t>
      </w:r>
      <w:r w:rsidR="004414EB">
        <w:t>espejo</w:t>
      </w:r>
      <w:r>
        <w:t>, no decolorarse</w:t>
      </w:r>
      <w:r w:rsidR="00564D22">
        <w:t>,</w:t>
      </w:r>
      <w:r>
        <w:t xml:space="preserve"> difuminar o deformar el original que reflej</w:t>
      </w:r>
      <w:r w:rsidR="004414EB">
        <w:t>e</w:t>
      </w:r>
      <w:r>
        <w:t xml:space="preserve">. Sin embargo, la literalidad, por un lado, y las consideraciones de claridad y estilo, por </w:t>
      </w:r>
      <w:r w:rsidR="0010152B">
        <w:t xml:space="preserve">el </w:t>
      </w:r>
      <w:r>
        <w:t xml:space="preserve">otro, </w:t>
      </w:r>
      <w:r w:rsidR="009C27D7">
        <w:t>dan lugar a</w:t>
      </w:r>
      <w:r>
        <w:t xml:space="preserve"> afirmaciones irreconciliables sobre un traductor, que tiene que elegir y comprometerse. La reivindicación de su elección a veces es difícil.</w:t>
      </w:r>
    </w:p>
    <w:p w14:paraId="6BB7A049" w14:textId="2F904738" w:rsidR="00314433" w:rsidRDefault="00314433" w:rsidP="00314433">
      <w:pPr>
        <w:pStyle w:val="NormalConSangria"/>
      </w:pPr>
      <w:r>
        <w:t>He tratado</w:t>
      </w:r>
      <w:r w:rsidR="0010152B">
        <w:t>,</w:t>
      </w:r>
      <w:r>
        <w:t xml:space="preserve"> al final de la introducción</w:t>
      </w:r>
      <w:r w:rsidR="0010152B">
        <w:t>,</w:t>
      </w:r>
      <w:r>
        <w:t xml:space="preserve"> algunos problemas particulares</w:t>
      </w:r>
      <w:r w:rsidR="00D20663">
        <w:t xml:space="preserve"> al respecto</w:t>
      </w:r>
      <w:r>
        <w:t xml:space="preserve">. Sin embargo, no con todos ellos o completamente; porque el espacio asignado </w:t>
      </w:r>
      <w:r w:rsidR="0040744F">
        <w:t>para</w:t>
      </w:r>
      <w:r>
        <w:t xml:space="preserve"> una introducción es limitado.</w:t>
      </w:r>
    </w:p>
    <w:p w14:paraId="7E8D0D32" w14:textId="160F46C4" w:rsidR="00314433" w:rsidRDefault="00314433" w:rsidP="00314433">
      <w:pPr>
        <w:pStyle w:val="NormalConSangria"/>
      </w:pPr>
      <w:r>
        <w:t xml:space="preserve">Mucho </w:t>
      </w:r>
      <w:r w:rsidR="008A5D25">
        <w:t>de lo</w:t>
      </w:r>
      <w:r>
        <w:t xml:space="preserve"> circunstancial ahora ha cambiado desde que el </w:t>
      </w:r>
      <w:r w:rsidR="00057BF4" w:rsidRPr="00057BF4">
        <w:rPr>
          <w:i/>
        </w:rPr>
        <w:t>Buddha</w:t>
      </w:r>
      <w:r>
        <w:t xml:space="preserve"> descubrió </w:t>
      </w:r>
      <w:r w:rsidR="00A72F01">
        <w:t xml:space="preserve">e hizo conocer </w:t>
      </w:r>
      <w:r>
        <w:t>su doctrina liberadora hace 2</w:t>
      </w:r>
      <w:r w:rsidR="00A72F01">
        <w:t>,</w:t>
      </w:r>
      <w:r>
        <w:t xml:space="preserve">500 años, y también desde que este trabajo se compuso unos nueve siglos después. Por otro lado, la verdad que descubrió ha </w:t>
      </w:r>
      <w:r w:rsidR="00D20663">
        <w:t>permanecido intacta</w:t>
      </w:r>
      <w:r>
        <w:t xml:space="preserve"> </w:t>
      </w:r>
      <w:r w:rsidR="00C76DBC">
        <w:t>durante</w:t>
      </w:r>
      <w:r>
        <w:t xml:space="preserve"> todo ese cambio circunstancial. Las cosmologías antiguas dan lugar a </w:t>
      </w:r>
      <w:r w:rsidR="00CA4298">
        <w:t>una</w:t>
      </w:r>
      <w:r w:rsidR="00D20663">
        <w:t>s</w:t>
      </w:r>
      <w:r w:rsidR="00CA4298">
        <w:t xml:space="preserve"> </w:t>
      </w:r>
      <w:r>
        <w:t>nuev</w:t>
      </w:r>
      <w:r w:rsidR="00CA4298">
        <w:t>a</w:t>
      </w:r>
      <w:r w:rsidR="00D20663">
        <w:t>s</w:t>
      </w:r>
      <w:r>
        <w:t xml:space="preserve">; </w:t>
      </w:r>
      <w:r w:rsidR="00D80D1A">
        <w:t xml:space="preserve">no obstante, </w:t>
      </w:r>
      <w:r>
        <w:t xml:space="preserve">las cuestiones </w:t>
      </w:r>
      <w:r w:rsidR="00CA4298">
        <w:t>sobr</w:t>
      </w:r>
      <w:r>
        <w:t xml:space="preserve">e </w:t>
      </w:r>
      <w:r w:rsidR="006F07A1">
        <w:t xml:space="preserve">la </w:t>
      </w:r>
      <w:r>
        <w:t>con</w:t>
      </w:r>
      <w:r w:rsidR="00CA4298">
        <w:t>s</w:t>
      </w:r>
      <w:r>
        <w:t xml:space="preserve">ciencia, el dolor y la muerte, </w:t>
      </w:r>
      <w:r w:rsidR="00CA4298">
        <w:t xml:space="preserve">sobre </w:t>
      </w:r>
      <w:r>
        <w:t xml:space="preserve">la responsabilidad de </w:t>
      </w:r>
      <w:r w:rsidR="001A2546">
        <w:t xml:space="preserve">nuestros </w:t>
      </w:r>
      <w:r>
        <w:t xml:space="preserve">actos y </w:t>
      </w:r>
      <w:r w:rsidR="001A2546">
        <w:t>sobre</w:t>
      </w:r>
      <w:r>
        <w:t xml:space="preserve"> lo que se debe buscar en </w:t>
      </w:r>
      <w:r w:rsidR="00D80D1A">
        <w:t>un</w:t>
      </w:r>
      <w:r>
        <w:t xml:space="preserve">a escala </w:t>
      </w:r>
      <w:r w:rsidR="00C76DBC">
        <w:t xml:space="preserve">de valores </w:t>
      </w:r>
      <w:r>
        <w:t xml:space="preserve">como la más </w:t>
      </w:r>
      <w:r w:rsidR="00A771F6">
        <w:t>elevada</w:t>
      </w:r>
      <w:r>
        <w:t xml:space="preserve"> de todas, </w:t>
      </w:r>
      <w:r w:rsidR="001A2546">
        <w:t>prevalece</w:t>
      </w:r>
      <w:r w:rsidR="00D20663">
        <w:t>rá</w:t>
      </w:r>
      <w:r w:rsidR="001A2546">
        <w:t>n</w:t>
      </w:r>
      <w:r w:rsidR="00D04996">
        <w:t xml:space="preserve"> en el tiempo</w:t>
      </w:r>
      <w:r>
        <w:t xml:space="preserve">. Las razones de la frescura perenne de la enseñanza del </w:t>
      </w:r>
      <w:r w:rsidR="00057BF4" w:rsidRPr="00057BF4">
        <w:rPr>
          <w:i/>
        </w:rPr>
        <w:t>Buddha</w:t>
      </w:r>
      <w:r w:rsidR="005446D3">
        <w:t xml:space="preserve"> ―</w:t>
      </w:r>
      <w:r>
        <w:t xml:space="preserve"> </w:t>
      </w:r>
      <w:r w:rsidR="00186D56">
        <w:t>sobre</w:t>
      </w:r>
      <w:r>
        <w:t xml:space="preserve"> </w:t>
      </w:r>
      <w:r w:rsidR="005446D3">
        <w:t>el</w:t>
      </w:r>
      <w:r>
        <w:t xml:space="preserve"> manejo </w:t>
      </w:r>
      <w:r w:rsidR="005446D3">
        <w:t>que tenía para</w:t>
      </w:r>
      <w:r>
        <w:t xml:space="preserve"> estas </w:t>
      </w:r>
      <w:r w:rsidR="00AD1D5C">
        <w:t>cuestiones</w:t>
      </w:r>
      <w:r w:rsidR="005446D3">
        <w:t xml:space="preserve"> ― </w:t>
      </w:r>
      <w:r>
        <w:t xml:space="preserve">son varias, pero no menos entre ellas es su independencia de cualquier cosmología particular. Establecido como su base la inseguridad evidente </w:t>
      </w:r>
      <w:r w:rsidR="00A50BC1">
        <w:t>sobre</w:t>
      </w:r>
      <w:r>
        <w:t xml:space="preserve"> la situación humana (la verdad del sufrimiento), la estructura de las cuatro </w:t>
      </w:r>
      <w:r w:rsidR="00E06827">
        <w:t xml:space="preserve">nobles </w:t>
      </w:r>
      <w:r>
        <w:t xml:space="preserve">verdades proporciona un estándar de valor inagotable, único en su simplicidad, su integridad y su pureza ética, por medio de la cual se puede evaluar cualquier situación y </w:t>
      </w:r>
      <w:r w:rsidR="00E06827">
        <w:t xml:space="preserve">hacer </w:t>
      </w:r>
      <w:r>
        <w:t xml:space="preserve">una elección </w:t>
      </w:r>
      <w:r w:rsidR="00E06827">
        <w:t>productiva</w:t>
      </w:r>
      <w:r>
        <w:t>.</w:t>
      </w:r>
    </w:p>
    <w:p w14:paraId="044040F6" w14:textId="02757779" w:rsidR="00314433" w:rsidRDefault="00314433" w:rsidP="00314433">
      <w:pPr>
        <w:pStyle w:val="NormalConSangria"/>
      </w:pPr>
      <w:r>
        <w:t>Ahora me gustaría hacer reconocimientos, de la siguiente manera, a todos aquellos sin cuya ayuda esta traducción nunca habría sido comenzad</w:t>
      </w:r>
      <w:r w:rsidR="00A50BC1">
        <w:t>a</w:t>
      </w:r>
      <w:r>
        <w:t>, persistid</w:t>
      </w:r>
      <w:r w:rsidR="00A50BC1">
        <w:t>a</w:t>
      </w:r>
      <w:r>
        <w:t xml:space="preserve"> o </w:t>
      </w:r>
      <w:r w:rsidR="00A50BC1">
        <w:t>terminada</w:t>
      </w:r>
      <w:r>
        <w:t>.</w:t>
      </w:r>
    </w:p>
    <w:p w14:paraId="3008D258" w14:textId="2B2A5161" w:rsidR="00E06827" w:rsidRDefault="00E06827">
      <w:pPr>
        <w:tabs>
          <w:tab w:val="clear" w:pos="425"/>
        </w:tabs>
        <w:spacing w:after="160"/>
      </w:pPr>
      <w:r>
        <w:br w:type="page"/>
      </w:r>
    </w:p>
    <w:p w14:paraId="1180B4BC" w14:textId="77777777" w:rsidR="00314433" w:rsidRDefault="00314433" w:rsidP="00314433">
      <w:pPr>
        <w:pStyle w:val="NormalConSangria"/>
      </w:pPr>
    </w:p>
    <w:p w14:paraId="5D7A3D8D" w14:textId="551F8C38" w:rsidR="00314433" w:rsidRDefault="00314433" w:rsidP="00314433">
      <w:pPr>
        <w:pStyle w:val="NormalConSangria"/>
      </w:pPr>
      <w:r>
        <w:t xml:space="preserve">Al </w:t>
      </w:r>
      <w:r w:rsidR="00446563">
        <w:t xml:space="preserve">Venerable </w:t>
      </w:r>
      <w:proofErr w:type="spellStart"/>
      <w:r w:rsidR="007078F4">
        <w:t>Ñāṇatiloka</w:t>
      </w:r>
      <w:proofErr w:type="spellEnd"/>
      <w:r w:rsidR="007078F4">
        <w:t xml:space="preserve"> </w:t>
      </w:r>
      <w:proofErr w:type="spellStart"/>
      <w:r>
        <w:t>Mahātera</w:t>
      </w:r>
      <w:proofErr w:type="spellEnd"/>
      <w:r>
        <w:t xml:space="preserve"> (de quien aprendí </w:t>
      </w:r>
      <w:r w:rsidR="00E06827">
        <w:rPr>
          <w:i/>
          <w:iCs/>
        </w:rPr>
        <w:t>Pāḷi</w:t>
      </w:r>
      <w:r>
        <w:t xml:space="preserve"> por primera vez) por su consentimiento más amable para verificar el borrador del manuscrito. </w:t>
      </w:r>
      <w:r w:rsidR="003B5AC2">
        <w:t>No obstante</w:t>
      </w:r>
      <w:r>
        <w:t xml:space="preserve">, aunque en realidad </w:t>
      </w:r>
      <w:r w:rsidR="003B5AC2">
        <w:t>ley</w:t>
      </w:r>
      <w:r w:rsidR="00F7606D">
        <w:t>ese</w:t>
      </w:r>
      <w:r w:rsidR="003B5AC2">
        <w:t xml:space="preserve"> sólo</w:t>
      </w:r>
      <w:r>
        <w:t xml:space="preserve"> los dos primeros capítulos, un largo período de enfermedad desafortunadamente le impidió continuar con e</w:t>
      </w:r>
      <w:r w:rsidR="00AB3FB1">
        <w:t>ll</w:t>
      </w:r>
      <w:r>
        <w:t>o.</w:t>
      </w:r>
    </w:p>
    <w:p w14:paraId="35984448" w14:textId="365329EB" w:rsidR="00314433" w:rsidRDefault="00AB3FB1" w:rsidP="00314433">
      <w:pPr>
        <w:pStyle w:val="NormalConSangria"/>
      </w:pPr>
      <w:r>
        <w:t>A</w:t>
      </w:r>
      <w:r w:rsidR="00314433">
        <w:t xml:space="preserve">l </w:t>
      </w:r>
      <w:r>
        <w:t xml:space="preserve">Venerable </w:t>
      </w:r>
      <w:r w:rsidR="00314433">
        <w:t xml:space="preserve">Soma </w:t>
      </w:r>
      <w:proofErr w:type="spellStart"/>
      <w:r w:rsidR="00314433">
        <w:t>Thera</w:t>
      </w:r>
      <w:proofErr w:type="spellEnd"/>
      <w:r w:rsidR="00F7606D">
        <w:t>,</w:t>
      </w:r>
      <w:r w:rsidR="00314433">
        <w:t xml:space="preserve"> por su inagotable asistencia tanto </w:t>
      </w:r>
      <w:r w:rsidR="0038047C">
        <w:t>al</w:t>
      </w:r>
      <w:r w:rsidR="00314433">
        <w:t xml:space="preserve"> ayudarme a familiarizar</w:t>
      </w:r>
      <w:r w:rsidR="00D349A5">
        <w:t>me</w:t>
      </w:r>
      <w:r w:rsidR="00314433">
        <w:t xml:space="preserve"> con el lenguaje a menudo difícil de los comentarios como </w:t>
      </w:r>
      <w:r w:rsidR="0038047C">
        <w:t>al</w:t>
      </w:r>
      <w:r w:rsidR="00314433">
        <w:t xml:space="preserve"> </w:t>
      </w:r>
      <w:r w:rsidR="008937EA">
        <w:t xml:space="preserve">permitirme experimentar </w:t>
      </w:r>
      <w:r w:rsidR="00314433">
        <w:t xml:space="preserve">algo de la sensación, por así decirlo, "del interior" de la literatura </w:t>
      </w:r>
      <w:r w:rsidR="00AC1DCF">
        <w:rPr>
          <w:i/>
          <w:iCs/>
        </w:rPr>
        <w:t>Pāḷi</w:t>
      </w:r>
      <w:r w:rsidR="00314433">
        <w:t xml:space="preserve"> </w:t>
      </w:r>
      <w:r w:rsidR="00CB2CA1">
        <w:t>ante</w:t>
      </w:r>
      <w:r w:rsidR="00314433">
        <w:t xml:space="preserve"> sus antecedentes indios. De lo contrario, nunca se habría hecho </w:t>
      </w:r>
      <w:r w:rsidR="00AC1DCF">
        <w:t xml:space="preserve">ninguna </w:t>
      </w:r>
      <w:r w:rsidR="00314433">
        <w:t xml:space="preserve">traducción: no puedo decir qué tan lejos </w:t>
      </w:r>
      <w:r w:rsidR="00B7592D">
        <w:t xml:space="preserve">estoy de </w:t>
      </w:r>
      <w:r w:rsidR="00314433">
        <w:t xml:space="preserve">expresar </w:t>
      </w:r>
      <w:r w:rsidR="009154A7">
        <w:t xml:space="preserve">algo sobre </w:t>
      </w:r>
      <w:r w:rsidR="007F737E">
        <w:t>este sentimiento</w:t>
      </w:r>
      <w:r w:rsidR="00314433">
        <w:t>.</w:t>
      </w:r>
    </w:p>
    <w:p w14:paraId="2D8053E0" w14:textId="28DF6168" w:rsidR="00314433" w:rsidRDefault="00CB2CA1" w:rsidP="00314433">
      <w:pPr>
        <w:pStyle w:val="NormalConSangria"/>
      </w:pPr>
      <w:r>
        <w:t>Al</w:t>
      </w:r>
      <w:r w:rsidR="00314433">
        <w:t xml:space="preserve"> </w:t>
      </w:r>
      <w:r w:rsidR="007F737E">
        <w:t xml:space="preserve">Venerable </w:t>
      </w:r>
      <w:proofErr w:type="spellStart"/>
      <w:r w:rsidR="00314433">
        <w:t>Nyanaponika</w:t>
      </w:r>
      <w:proofErr w:type="spellEnd"/>
      <w:r w:rsidR="00314433">
        <w:t xml:space="preserve"> </w:t>
      </w:r>
      <w:proofErr w:type="spellStart"/>
      <w:r w:rsidR="00314433">
        <w:t>Thera</w:t>
      </w:r>
      <w:proofErr w:type="spellEnd"/>
      <w:r w:rsidR="00314433">
        <w:t xml:space="preserve">, </w:t>
      </w:r>
      <w:r>
        <w:t>discípulo</w:t>
      </w:r>
      <w:r w:rsidR="00314433">
        <w:t xml:space="preserve"> alemán del </w:t>
      </w:r>
      <w:r w:rsidR="007F737E">
        <w:t xml:space="preserve">Venerable </w:t>
      </w:r>
      <w:proofErr w:type="spellStart"/>
      <w:r w:rsidR="007078F4">
        <w:t>Ñāṇatiloka</w:t>
      </w:r>
      <w:proofErr w:type="spellEnd"/>
      <w:r w:rsidR="007078F4">
        <w:t xml:space="preserve"> </w:t>
      </w:r>
      <w:proofErr w:type="spellStart"/>
      <w:r w:rsidR="00314433">
        <w:t>Mahātera</w:t>
      </w:r>
      <w:proofErr w:type="spellEnd"/>
      <w:r w:rsidR="00314433">
        <w:t xml:space="preserve">, por comprometerse muy amablemente a </w:t>
      </w:r>
      <w:r w:rsidR="00EC3B69">
        <w:t>cotejar</w:t>
      </w:r>
      <w:r w:rsidR="00314433">
        <w:t xml:space="preserve"> todo el manuscrito en detalle con la </w:t>
      </w:r>
      <w:r w:rsidR="007F737E">
        <w:t xml:space="preserve">traducción alemana del Venerable </w:t>
      </w:r>
      <w:proofErr w:type="spellStart"/>
      <w:r w:rsidR="007078F4">
        <w:t>Ñāṇatiloka</w:t>
      </w:r>
      <w:proofErr w:type="spellEnd"/>
      <w:r w:rsidR="007078F4">
        <w:t xml:space="preserve"> </w:t>
      </w:r>
      <w:proofErr w:type="spellStart"/>
      <w:r w:rsidR="00314433">
        <w:t>Mahātera</w:t>
      </w:r>
      <w:proofErr w:type="spellEnd"/>
      <w:r w:rsidR="00314433">
        <w:t xml:space="preserve"> (no </w:t>
      </w:r>
      <w:r w:rsidR="007F737E">
        <w:t>sé</w:t>
      </w:r>
      <w:r w:rsidR="00314433">
        <w:t xml:space="preserve"> alemán).</w:t>
      </w:r>
    </w:p>
    <w:p w14:paraId="2F1E8A6C" w14:textId="603D7CED" w:rsidR="00314433" w:rsidRDefault="00314433" w:rsidP="00314433">
      <w:pPr>
        <w:pStyle w:val="NormalConSangria"/>
      </w:pPr>
      <w:r>
        <w:t xml:space="preserve">A todos aquellos con quienes he tenido </w:t>
      </w:r>
      <w:r w:rsidR="0038047C">
        <w:t>conversaciones</w:t>
      </w:r>
      <w:r>
        <w:t xml:space="preserve"> sobre el </w:t>
      </w:r>
      <w:r w:rsidR="00057BF4" w:rsidRPr="00057BF4">
        <w:rPr>
          <w:i/>
        </w:rPr>
        <w:t>Dhamma</w:t>
      </w:r>
      <w:r>
        <w:t xml:space="preserve">, que han sido muchos y han contribuido a la limpieza de no pocos puntos </w:t>
      </w:r>
      <w:r w:rsidR="007D5644">
        <w:t xml:space="preserve">que </w:t>
      </w:r>
      <w:r w:rsidR="00105E8F">
        <w:t>se encontraban</w:t>
      </w:r>
      <w:r w:rsidR="007D5644">
        <w:t xml:space="preserve"> </w:t>
      </w:r>
      <w:r w:rsidR="005771D5">
        <w:t>difusos</w:t>
      </w:r>
      <w:r>
        <w:t>.</w:t>
      </w:r>
    </w:p>
    <w:p w14:paraId="01D922CD" w14:textId="5C9EBD56" w:rsidR="00BB74C7" w:rsidRDefault="00314433" w:rsidP="00314433">
      <w:pPr>
        <w:pStyle w:val="NormalConSangria"/>
      </w:pPr>
      <w:r>
        <w:t>Por último, y lo que se mencion</w:t>
      </w:r>
      <w:r w:rsidR="00DF5900">
        <w:t>e al último tendrá</w:t>
      </w:r>
      <w:r>
        <w:t xml:space="preserve"> u</w:t>
      </w:r>
      <w:r w:rsidR="00EC3B69">
        <w:t>n</w:t>
      </w:r>
      <w:r>
        <w:t xml:space="preserve"> propio énfasis especial, ha sido </w:t>
      </w:r>
      <w:r w:rsidR="00DF5900">
        <w:t xml:space="preserve">el </w:t>
      </w:r>
      <w:r>
        <w:t xml:space="preserve">acto de mérito singular por parte del Sr. A. </w:t>
      </w:r>
      <w:proofErr w:type="spellStart"/>
      <w:r>
        <w:t>Semage</w:t>
      </w:r>
      <w:proofErr w:type="spellEnd"/>
      <w:r>
        <w:t xml:space="preserve">, de Colombo, </w:t>
      </w:r>
      <w:r w:rsidR="00702160">
        <w:t xml:space="preserve">por </w:t>
      </w:r>
      <w:r w:rsidR="00930477">
        <w:t>realizar la publicación de</w:t>
      </w:r>
      <w:r>
        <w:t xml:space="preserve"> esta traducción.</w:t>
      </w:r>
    </w:p>
    <w:p w14:paraId="3E259F08" w14:textId="77777777" w:rsidR="00446563" w:rsidRPr="006D231C" w:rsidRDefault="00446563" w:rsidP="00314433">
      <w:pPr>
        <w:pStyle w:val="NormalConSangria"/>
      </w:pPr>
    </w:p>
    <w:tbl>
      <w:tblPr>
        <w:tblStyle w:val="TableGrid"/>
        <w:tblW w:w="6127" w:type="dxa"/>
        <w:tblInd w:w="0" w:type="dxa"/>
        <w:tblLook w:val="04A0" w:firstRow="1" w:lastRow="0" w:firstColumn="1" w:lastColumn="0" w:noHBand="0" w:noVBand="1"/>
      </w:tblPr>
      <w:tblGrid>
        <w:gridCol w:w="3476"/>
        <w:gridCol w:w="2651"/>
      </w:tblGrid>
      <w:tr w:rsidR="00BB74C7" w:rsidRPr="00702160" w14:paraId="46730CC6" w14:textId="77777777" w:rsidTr="00002FAD">
        <w:trPr>
          <w:trHeight w:val="236"/>
        </w:trPr>
        <w:tc>
          <w:tcPr>
            <w:tcW w:w="3476" w:type="dxa"/>
            <w:tcBorders>
              <w:top w:val="nil"/>
              <w:left w:val="nil"/>
              <w:bottom w:val="nil"/>
              <w:right w:val="nil"/>
            </w:tcBorders>
          </w:tcPr>
          <w:p w14:paraId="0218C5E1" w14:textId="5B0EFB7A" w:rsidR="00BB74C7" w:rsidRPr="00702160" w:rsidRDefault="00BB74C7" w:rsidP="00702160">
            <w:pPr>
              <w:spacing w:after="0" w:line="259" w:lineRule="auto"/>
              <w:rPr>
                <w:sz w:val="14"/>
                <w:szCs w:val="18"/>
              </w:rPr>
            </w:pPr>
            <w:r w:rsidRPr="00702160">
              <w:rPr>
                <w:sz w:val="14"/>
                <w:szCs w:val="18"/>
              </w:rPr>
              <w:t>Isla Hermitage</w:t>
            </w:r>
          </w:p>
        </w:tc>
        <w:tc>
          <w:tcPr>
            <w:tcW w:w="2651" w:type="dxa"/>
            <w:tcBorders>
              <w:top w:val="nil"/>
              <w:left w:val="nil"/>
              <w:bottom w:val="nil"/>
              <w:right w:val="nil"/>
            </w:tcBorders>
          </w:tcPr>
          <w:p w14:paraId="0B6BED16" w14:textId="309623B7" w:rsidR="00BB74C7" w:rsidRPr="00702160" w:rsidRDefault="00057BF4" w:rsidP="00702160">
            <w:pPr>
              <w:spacing w:after="0" w:line="259" w:lineRule="auto"/>
              <w:ind w:right="8"/>
              <w:rPr>
                <w:sz w:val="14"/>
                <w:szCs w:val="18"/>
              </w:rPr>
            </w:pPr>
            <w:proofErr w:type="spellStart"/>
            <w:r w:rsidRPr="00702160">
              <w:rPr>
                <w:iCs/>
                <w:sz w:val="14"/>
                <w:szCs w:val="18"/>
              </w:rPr>
              <w:t>Bhikkhu</w:t>
            </w:r>
            <w:proofErr w:type="spellEnd"/>
            <w:r w:rsidR="002E3C7F" w:rsidRPr="00702160">
              <w:rPr>
                <w:sz w:val="14"/>
                <w:szCs w:val="18"/>
              </w:rPr>
              <w:t xml:space="preserve"> Ñ</w:t>
            </w:r>
            <w:r w:rsidR="002E3C7F" w:rsidRPr="00702160">
              <w:rPr>
                <w:iCs/>
                <w:sz w:val="14"/>
                <w:szCs w:val="18"/>
              </w:rPr>
              <w:t>ā</w:t>
            </w:r>
            <w:r w:rsidR="002E3C7F" w:rsidRPr="00702160">
              <w:rPr>
                <w:sz w:val="14"/>
                <w:szCs w:val="18"/>
              </w:rPr>
              <w:t>ṇamoli</w:t>
            </w:r>
            <w:r w:rsidR="00BB74C7" w:rsidRPr="00702160">
              <w:rPr>
                <w:sz w:val="14"/>
                <w:szCs w:val="18"/>
              </w:rPr>
              <w:t>,</w:t>
            </w:r>
          </w:p>
        </w:tc>
      </w:tr>
      <w:tr w:rsidR="00BB74C7" w:rsidRPr="00702160" w14:paraId="08A07FF4" w14:textId="77777777" w:rsidTr="00002FAD">
        <w:trPr>
          <w:trHeight w:val="236"/>
        </w:trPr>
        <w:tc>
          <w:tcPr>
            <w:tcW w:w="3476" w:type="dxa"/>
            <w:tcBorders>
              <w:top w:val="nil"/>
              <w:left w:val="nil"/>
              <w:bottom w:val="nil"/>
              <w:right w:val="nil"/>
            </w:tcBorders>
          </w:tcPr>
          <w:p w14:paraId="46BDEB74" w14:textId="77777777" w:rsidR="00BB74C7" w:rsidRPr="00702160" w:rsidRDefault="00BB74C7" w:rsidP="00702160">
            <w:pPr>
              <w:spacing w:after="0" w:line="259" w:lineRule="auto"/>
              <w:rPr>
                <w:sz w:val="14"/>
                <w:szCs w:val="18"/>
              </w:rPr>
            </w:pPr>
            <w:proofErr w:type="spellStart"/>
            <w:r w:rsidRPr="00702160">
              <w:rPr>
                <w:sz w:val="14"/>
                <w:szCs w:val="18"/>
              </w:rPr>
              <w:t>Dodanduwa</w:t>
            </w:r>
            <w:proofErr w:type="spellEnd"/>
            <w:r w:rsidRPr="00702160">
              <w:rPr>
                <w:sz w:val="14"/>
                <w:szCs w:val="18"/>
              </w:rPr>
              <w:t>, Sri Lanka</w:t>
            </w:r>
          </w:p>
        </w:tc>
        <w:tc>
          <w:tcPr>
            <w:tcW w:w="2651" w:type="dxa"/>
            <w:tcBorders>
              <w:top w:val="nil"/>
              <w:left w:val="nil"/>
              <w:bottom w:val="nil"/>
              <w:right w:val="nil"/>
            </w:tcBorders>
          </w:tcPr>
          <w:p w14:paraId="7EFE9B80" w14:textId="68D24F5C" w:rsidR="00BB74C7" w:rsidRPr="00702160" w:rsidRDefault="00BB74C7" w:rsidP="00702160">
            <w:pPr>
              <w:spacing w:after="0" w:line="259" w:lineRule="auto"/>
              <w:rPr>
                <w:sz w:val="14"/>
                <w:szCs w:val="18"/>
              </w:rPr>
            </w:pPr>
            <w:proofErr w:type="spellStart"/>
            <w:r w:rsidRPr="00702160">
              <w:rPr>
                <w:sz w:val="14"/>
                <w:szCs w:val="18"/>
              </w:rPr>
              <w:t>Ves</w:t>
            </w:r>
            <w:r w:rsidR="0036061D" w:rsidRPr="00702160">
              <w:rPr>
                <w:iCs/>
                <w:sz w:val="14"/>
                <w:szCs w:val="18"/>
              </w:rPr>
              <w:t>ā</w:t>
            </w:r>
            <w:r w:rsidRPr="00702160">
              <w:rPr>
                <w:sz w:val="14"/>
                <w:szCs w:val="18"/>
              </w:rPr>
              <w:t>kham</w:t>
            </w:r>
            <w:r w:rsidR="0036061D" w:rsidRPr="00702160">
              <w:rPr>
                <w:iCs/>
                <w:sz w:val="14"/>
                <w:szCs w:val="18"/>
              </w:rPr>
              <w:t>ā</w:t>
            </w:r>
            <w:r w:rsidRPr="00702160">
              <w:rPr>
                <w:sz w:val="14"/>
                <w:szCs w:val="18"/>
              </w:rPr>
              <w:t>se</w:t>
            </w:r>
            <w:proofErr w:type="spellEnd"/>
            <w:r w:rsidRPr="00702160">
              <w:rPr>
                <w:sz w:val="14"/>
                <w:szCs w:val="18"/>
              </w:rPr>
              <w:t>, 2499: May</w:t>
            </w:r>
            <w:r w:rsidR="00314433" w:rsidRPr="00702160">
              <w:rPr>
                <w:sz w:val="14"/>
                <w:szCs w:val="18"/>
              </w:rPr>
              <w:t>o</w:t>
            </w:r>
            <w:r w:rsidRPr="00702160">
              <w:rPr>
                <w:sz w:val="14"/>
                <w:szCs w:val="18"/>
              </w:rPr>
              <w:t>, 1956</w:t>
            </w:r>
          </w:p>
        </w:tc>
      </w:tr>
      <w:tr w:rsidR="002B018F" w14:paraId="7874ED0D" w14:textId="77777777" w:rsidTr="00002FAD">
        <w:trPr>
          <w:trHeight w:val="236"/>
        </w:trPr>
        <w:tc>
          <w:tcPr>
            <w:tcW w:w="3476" w:type="dxa"/>
            <w:tcBorders>
              <w:top w:val="nil"/>
              <w:left w:val="nil"/>
              <w:bottom w:val="nil"/>
              <w:right w:val="nil"/>
            </w:tcBorders>
          </w:tcPr>
          <w:p w14:paraId="0BDCF2B9" w14:textId="77777777" w:rsidR="002B018F" w:rsidRDefault="002B018F" w:rsidP="00002FAD"/>
        </w:tc>
        <w:tc>
          <w:tcPr>
            <w:tcW w:w="2651" w:type="dxa"/>
            <w:tcBorders>
              <w:top w:val="nil"/>
              <w:left w:val="nil"/>
              <w:bottom w:val="nil"/>
              <w:right w:val="nil"/>
            </w:tcBorders>
          </w:tcPr>
          <w:p w14:paraId="36586705" w14:textId="77777777" w:rsidR="002B018F" w:rsidRDefault="002B018F" w:rsidP="00002FAD"/>
        </w:tc>
      </w:tr>
    </w:tbl>
    <w:p w14:paraId="10597043" w14:textId="5BDC31CE" w:rsidR="00481FD1" w:rsidRDefault="00481FD1" w:rsidP="00935F56">
      <w:pPr>
        <w:pStyle w:val="NormalConSangria"/>
      </w:pPr>
    </w:p>
    <w:p w14:paraId="296FA48C" w14:textId="77777777" w:rsidR="00481FD1" w:rsidRDefault="00481FD1">
      <w:r>
        <w:br w:type="page"/>
      </w:r>
    </w:p>
    <w:p w14:paraId="15870FBD" w14:textId="77777777" w:rsidR="00594C58" w:rsidRDefault="00594C58" w:rsidP="00BF37A9">
      <w:pPr>
        <w:pStyle w:val="Ttulo1"/>
      </w:pPr>
      <w:r>
        <w:lastRenderedPageBreak/>
        <w:t>Introducción</w:t>
      </w:r>
    </w:p>
    <w:p w14:paraId="3CE2586A" w14:textId="77777777" w:rsidR="00CD602B" w:rsidRDefault="00CD602B" w:rsidP="001D27AF"/>
    <w:p w14:paraId="79738FE9" w14:textId="56D6F351" w:rsidR="00594C58" w:rsidRDefault="00594C58" w:rsidP="001D27AF">
      <w:r>
        <w:t xml:space="preserve">El </w:t>
      </w:r>
      <w:r w:rsidRPr="00D57D89">
        <w:rPr>
          <w:i/>
          <w:iCs/>
        </w:rPr>
        <w:t>Visuddhimagga</w:t>
      </w:r>
      <w:r>
        <w:t xml:space="preserve">, </w:t>
      </w:r>
      <w:r w:rsidR="00A039D9">
        <w:t xml:space="preserve">referido aquí como </w:t>
      </w:r>
      <w:r w:rsidR="007078F4" w:rsidRPr="007078F4">
        <w:rPr>
          <w:i/>
          <w:iCs/>
        </w:rPr>
        <w:t>El</w:t>
      </w:r>
      <w:r w:rsidRPr="007078F4">
        <w:rPr>
          <w:i/>
          <w:iCs/>
        </w:rPr>
        <w:t xml:space="preserve"> </w:t>
      </w:r>
      <w:r w:rsidR="007078F4" w:rsidRPr="007078F4">
        <w:rPr>
          <w:i/>
          <w:iCs/>
        </w:rPr>
        <w:t xml:space="preserve">Sendero </w:t>
      </w:r>
      <w:r w:rsidRPr="007078F4">
        <w:rPr>
          <w:i/>
          <w:iCs/>
        </w:rPr>
        <w:t xml:space="preserve">de la </w:t>
      </w:r>
      <w:r w:rsidR="007078F4" w:rsidRPr="007078F4">
        <w:rPr>
          <w:i/>
          <w:iCs/>
        </w:rPr>
        <w:t>Purificación</w:t>
      </w:r>
      <w:r>
        <w:t xml:space="preserve">, es quizás único </w:t>
      </w:r>
      <w:r w:rsidR="00BD4155">
        <w:t xml:space="preserve">en su clase </w:t>
      </w:r>
      <w:r>
        <w:t xml:space="preserve">en la literatura </w:t>
      </w:r>
      <w:r w:rsidR="00A92693">
        <w:t xml:space="preserve">a </w:t>
      </w:r>
      <w:r w:rsidR="007F2DBF">
        <w:t>nivel mundial</w:t>
      </w:r>
      <w:r>
        <w:t xml:space="preserve">. Resume e interpreta sistemáticamente la enseñanza del </w:t>
      </w:r>
      <w:r w:rsidR="00057BF4" w:rsidRPr="00057BF4">
        <w:rPr>
          <w:i/>
        </w:rPr>
        <w:t>Buddha</w:t>
      </w:r>
      <w:r>
        <w:t xml:space="preserve"> contenida en el </w:t>
      </w:r>
      <w:r w:rsidRPr="001D27AF">
        <w:rPr>
          <w:i/>
          <w:iCs/>
        </w:rPr>
        <w:t>Tipiṭaka</w:t>
      </w:r>
      <w:r w:rsidR="004F19CD" w:rsidRPr="004F19CD">
        <w:rPr>
          <w:i/>
          <w:iCs/>
        </w:rPr>
        <w:t xml:space="preserve"> </w:t>
      </w:r>
      <w:r w:rsidR="004F19CD">
        <w:t xml:space="preserve">en </w:t>
      </w:r>
      <w:r w:rsidR="004F19CD" w:rsidRPr="001D27AF">
        <w:rPr>
          <w:i/>
          <w:iCs/>
        </w:rPr>
        <w:t>Pāḷi</w:t>
      </w:r>
      <w:r>
        <w:t xml:space="preserve">, que ahora se reconoce en Europa como el registro más antiguo y auténtico de las palabras del </w:t>
      </w:r>
      <w:r w:rsidR="00057BF4" w:rsidRPr="00057BF4">
        <w:rPr>
          <w:i/>
        </w:rPr>
        <w:t>Buddha</w:t>
      </w:r>
      <w:r>
        <w:t xml:space="preserve">. Como la principal autoridad no canónica </w:t>
      </w:r>
      <w:r w:rsidRPr="001D27AF">
        <w:rPr>
          <w:i/>
          <w:iCs/>
        </w:rPr>
        <w:t>Theravāda</w:t>
      </w:r>
      <w:r>
        <w:t xml:space="preserve">, </w:t>
      </w:r>
      <w:r w:rsidR="00BF1D4E">
        <w:t xml:space="preserve">representa </w:t>
      </w:r>
      <w:r w:rsidR="00D6753A">
        <w:t xml:space="preserve">un núcleo </w:t>
      </w:r>
      <w:r>
        <w:t>centr</w:t>
      </w:r>
      <w:r w:rsidR="00D6753A">
        <w:t>al</w:t>
      </w:r>
      <w:r>
        <w:t xml:space="preserve"> </w:t>
      </w:r>
      <w:r w:rsidR="00C564D4">
        <w:t>sobre</w:t>
      </w:r>
      <w:r>
        <w:t xml:space="preserve"> un método completo y coherente de exégesis </w:t>
      </w:r>
      <w:r w:rsidR="007617CF">
        <w:t>sobre</w:t>
      </w:r>
      <w:r>
        <w:t xml:space="preserve"> </w:t>
      </w:r>
      <w:r w:rsidR="007617CF">
        <w:t xml:space="preserve">el </w:t>
      </w:r>
      <w:r w:rsidRPr="007617CF">
        <w:rPr>
          <w:i/>
          <w:iCs/>
        </w:rPr>
        <w:t>Tipiṭaka</w:t>
      </w:r>
      <w:r>
        <w:t xml:space="preserve">, utilizando el "método </w:t>
      </w:r>
      <w:proofErr w:type="spellStart"/>
      <w:r w:rsidR="000E3EF7" w:rsidRPr="000E3EF7">
        <w:rPr>
          <w:i/>
          <w:iCs/>
        </w:rPr>
        <w:t>Abhi</w:t>
      </w:r>
      <w:r w:rsidR="003C6FE8">
        <w:rPr>
          <w:i/>
          <w:iCs/>
        </w:rPr>
        <w:t>d</w:t>
      </w:r>
      <w:r w:rsidR="00057BF4" w:rsidRPr="00057BF4">
        <w:rPr>
          <w:i/>
          <w:iCs/>
        </w:rPr>
        <w:t>hamma</w:t>
      </w:r>
      <w:proofErr w:type="spellEnd"/>
      <w:r>
        <w:t xml:space="preserve">" </w:t>
      </w:r>
      <w:r w:rsidR="007617CF">
        <w:t xml:space="preserve">tal </w:t>
      </w:r>
      <w:r>
        <w:t xml:space="preserve">como se le </w:t>
      </w:r>
      <w:r w:rsidR="007617CF">
        <w:t>conoce</w:t>
      </w:r>
      <w:r>
        <w:t xml:space="preserve">. </w:t>
      </w:r>
      <w:r w:rsidR="007617CF">
        <w:t>Adicionalmente,</w:t>
      </w:r>
      <w:r>
        <w:t xml:space="preserve"> establece instrucciones prácticas detalladas para </w:t>
      </w:r>
      <w:r w:rsidR="007617CF">
        <w:t xml:space="preserve">el </w:t>
      </w:r>
      <w:r>
        <w:t>desarrol</w:t>
      </w:r>
      <w:r w:rsidR="007617CF">
        <w:t>lo</w:t>
      </w:r>
      <w:r>
        <w:t xml:space="preserve"> </w:t>
      </w:r>
      <w:r w:rsidR="007617CF">
        <w:t xml:space="preserve">de </w:t>
      </w:r>
      <w:r>
        <w:t>la purificación ment</w:t>
      </w:r>
      <w:r w:rsidR="007617CF">
        <w:t>al</w:t>
      </w:r>
      <w:r>
        <w:t>.</w:t>
      </w:r>
    </w:p>
    <w:p w14:paraId="6164DE12" w14:textId="4A3A3339" w:rsidR="00594C58" w:rsidRDefault="00594C58" w:rsidP="00B322C6">
      <w:pPr>
        <w:pStyle w:val="Ttulo3"/>
        <w:ind w:left="708"/>
      </w:pPr>
      <w:r>
        <w:t xml:space="preserve">Antecedentes y </w:t>
      </w:r>
      <w:r w:rsidR="003D45CA">
        <w:t>Hechos Principales</w:t>
      </w:r>
    </w:p>
    <w:p w14:paraId="75A83F43" w14:textId="717277DF" w:rsidR="00594C58" w:rsidRDefault="00594C58" w:rsidP="003D45CA">
      <w:r>
        <w:t>La</w:t>
      </w:r>
      <w:r w:rsidR="00B854D4">
        <w:t xml:space="preserve"> colección de</w:t>
      </w:r>
      <w:r>
        <w:t xml:space="preserve"> obras de </w:t>
      </w:r>
      <w:proofErr w:type="spellStart"/>
      <w:r>
        <w:t>Bhadantācariya</w:t>
      </w:r>
      <w:proofErr w:type="spellEnd"/>
      <w:r>
        <w:t xml:space="preserve"> </w:t>
      </w:r>
      <w:r w:rsidR="00057BF4" w:rsidRPr="00E62A52">
        <w:rPr>
          <w:iCs/>
        </w:rPr>
        <w:t>Buddha</w:t>
      </w:r>
      <w:r w:rsidRPr="00E62A52">
        <w:rPr>
          <w:iCs/>
        </w:rPr>
        <w:t>ghosa</w:t>
      </w:r>
      <w:r>
        <w:t xml:space="preserve"> </w:t>
      </w:r>
      <w:r w:rsidR="00F55AD8">
        <w:t>está conformad</w:t>
      </w:r>
      <w:r w:rsidR="00B854D4">
        <w:t>a</w:t>
      </w:r>
      <w:r w:rsidR="00F55AD8">
        <w:t xml:space="preserve"> por</w:t>
      </w:r>
      <w:r>
        <w:t xml:space="preserve"> más de treinta volúmenes en la edición </w:t>
      </w:r>
      <w:r w:rsidR="00CA0857">
        <w:t xml:space="preserve">escrita </w:t>
      </w:r>
      <w:r w:rsidR="00D4194E">
        <w:t>y tipogr</w:t>
      </w:r>
      <w:r w:rsidR="00A907F3">
        <w:t>á</w:t>
      </w:r>
      <w:r w:rsidR="00D4194E">
        <w:t>f</w:t>
      </w:r>
      <w:r w:rsidR="00A907F3">
        <w:t>ica</w:t>
      </w:r>
      <w:r w:rsidR="00D4194E">
        <w:t xml:space="preserve"> </w:t>
      </w:r>
      <w:r w:rsidR="00CA0857">
        <w:t>latina</w:t>
      </w:r>
      <w:r>
        <w:t xml:space="preserve"> de</w:t>
      </w:r>
      <w:r w:rsidR="00367FF5">
        <w:t>l</w:t>
      </w:r>
      <w:r>
        <w:t xml:space="preserve"> </w:t>
      </w:r>
      <w:r w:rsidR="00AD6B1D" w:rsidRPr="00AD6B1D">
        <w:rPr>
          <w:i/>
          <w:iCs/>
        </w:rPr>
        <w:t>P</w:t>
      </w:r>
      <w:r w:rsidR="00A907F3">
        <w:rPr>
          <w:i/>
          <w:iCs/>
        </w:rPr>
        <w:t>ali</w:t>
      </w:r>
      <w:r w:rsidR="00367FF5" w:rsidRPr="00367FF5">
        <w:rPr>
          <w:i/>
          <w:iCs/>
        </w:rPr>
        <w:t xml:space="preserve"> Text </w:t>
      </w:r>
      <w:proofErr w:type="spellStart"/>
      <w:r w:rsidR="00367FF5" w:rsidRPr="00367FF5">
        <w:rPr>
          <w:i/>
          <w:iCs/>
        </w:rPr>
        <w:t>Society</w:t>
      </w:r>
      <w:proofErr w:type="spellEnd"/>
      <w:r>
        <w:t xml:space="preserve">; </w:t>
      </w:r>
      <w:r w:rsidR="00A907F3">
        <w:t xml:space="preserve">no obstante, </w:t>
      </w:r>
      <w:r>
        <w:t xml:space="preserve">lo que se sabe del escritor mismo es lo suficientemente escaso </w:t>
      </w:r>
      <w:r w:rsidR="00D4194E">
        <w:t xml:space="preserve">como </w:t>
      </w:r>
      <w:r>
        <w:t xml:space="preserve">para que una o dos páginas contenga </w:t>
      </w:r>
      <w:r w:rsidR="000711A9">
        <w:t>simplemente datos factuales sobre su vida</w:t>
      </w:r>
      <w:r>
        <w:t>.</w:t>
      </w:r>
    </w:p>
    <w:p w14:paraId="528FEEAA" w14:textId="5017B830" w:rsidR="00594C58" w:rsidRDefault="00594C58" w:rsidP="00594C58">
      <w:pPr>
        <w:pStyle w:val="NormalConSangria"/>
      </w:pPr>
      <w:r>
        <w:t xml:space="preserve">Sin embargo, antes de lidiar con esos </w:t>
      </w:r>
      <w:r w:rsidR="00DB1D36">
        <w:t>eventos</w:t>
      </w:r>
      <w:r w:rsidR="00312EAA">
        <w:t>,</w:t>
      </w:r>
      <w:r>
        <w:t xml:space="preserve"> para que </w:t>
      </w:r>
      <w:r w:rsidR="00AC2D3D">
        <w:t xml:space="preserve">éstos </w:t>
      </w:r>
      <w:r>
        <w:t xml:space="preserve">puedan </w:t>
      </w:r>
      <w:r w:rsidR="00A20DE3">
        <w:t>conformar una orientación</w:t>
      </w:r>
      <w:r w:rsidR="00D65F34">
        <w:t xml:space="preserve"> al respecto</w:t>
      </w:r>
      <w:r>
        <w:t xml:space="preserve">, </w:t>
      </w:r>
      <w:r w:rsidR="00A20DE3">
        <w:t xml:space="preserve">bien </w:t>
      </w:r>
      <w:r>
        <w:t>vale la pena desviarse un poco</w:t>
      </w:r>
      <w:r w:rsidR="00A907F3">
        <w:t>,</w:t>
      </w:r>
      <w:r>
        <w:t xml:space="preserve"> señala</w:t>
      </w:r>
      <w:r w:rsidR="00A20DE3">
        <w:t>ndo</w:t>
      </w:r>
      <w:r>
        <w:t xml:space="preserve"> cómo la literatura </w:t>
      </w:r>
      <w:r w:rsidR="00A20DE3">
        <w:rPr>
          <w:i/>
          <w:iCs/>
        </w:rPr>
        <w:t>Pāḷi</w:t>
      </w:r>
      <w:r>
        <w:t xml:space="preserve"> </w:t>
      </w:r>
      <w:r w:rsidR="00A20DE3">
        <w:t xml:space="preserve">está </w:t>
      </w:r>
      <w:r>
        <w:t xml:space="preserve">naturalmente </w:t>
      </w:r>
      <w:r w:rsidR="00240D8B">
        <w:t xml:space="preserve">compuesta </w:t>
      </w:r>
      <w:r w:rsidR="00E41D92">
        <w:t>de</w:t>
      </w:r>
      <w:r>
        <w:t xml:space="preserve"> tres períodos históricos principales. El período temprano o clásico, </w:t>
      </w:r>
      <w:r w:rsidR="00240D8B">
        <w:t>al cual se le</w:t>
      </w:r>
      <w:r>
        <w:t xml:space="preserve"> </w:t>
      </w:r>
      <w:r w:rsidR="00A907F3">
        <w:t xml:space="preserve">podría </w:t>
      </w:r>
      <w:r>
        <w:t xml:space="preserve">llamar el primer período, </w:t>
      </w:r>
      <w:r w:rsidR="00AC2D3D">
        <w:t xml:space="preserve">el cual </w:t>
      </w:r>
      <w:r>
        <w:t xml:space="preserve">comienza con el </w:t>
      </w:r>
      <w:r w:rsidRPr="00240D8B">
        <w:rPr>
          <w:i/>
          <w:iCs/>
        </w:rPr>
        <w:t>Tipiṭaka</w:t>
      </w:r>
      <w:r>
        <w:t xml:space="preserve"> </w:t>
      </w:r>
      <w:r w:rsidR="00240D8B">
        <w:t>d</w:t>
      </w:r>
      <w:r>
        <w:t>el siglo VI a. C. y</w:t>
      </w:r>
      <w:r w:rsidR="00AC2D3D">
        <w:t xml:space="preserve"> que </w:t>
      </w:r>
      <w:r>
        <w:t xml:space="preserve">termina con </w:t>
      </w:r>
      <w:proofErr w:type="spellStart"/>
      <w:r w:rsidRPr="000E3EF7">
        <w:rPr>
          <w:i/>
          <w:iCs/>
        </w:rPr>
        <w:t>Milindapañhā</w:t>
      </w:r>
      <w:proofErr w:type="spellEnd"/>
      <w:r w:rsidR="00A907F3">
        <w:rPr>
          <w:i/>
          <w:iCs/>
        </w:rPr>
        <w:t>,</w:t>
      </w:r>
      <w:r>
        <w:t xml:space="preserve"> unos cinco siglos después. Estas obras, compuestas en la India, fueron traídas a Sri Lanka, donde se </w:t>
      </w:r>
      <w:r w:rsidR="008021F6">
        <w:t>preservaron</w:t>
      </w:r>
      <w:r>
        <w:t xml:space="preserve"> en </w:t>
      </w:r>
      <w:r w:rsidR="00342CFC">
        <w:rPr>
          <w:i/>
          <w:iCs/>
        </w:rPr>
        <w:t>Pāḷi,</w:t>
      </w:r>
      <w:r>
        <w:t xml:space="preserve"> </w:t>
      </w:r>
      <w:r w:rsidR="005A60FA">
        <w:t xml:space="preserve">no obstante </w:t>
      </w:r>
      <w:r w:rsidR="00E6170C">
        <w:t xml:space="preserve">lo que </w:t>
      </w:r>
      <w:r>
        <w:t>se escribi</w:t>
      </w:r>
      <w:r w:rsidR="005A60FA">
        <w:t>era</w:t>
      </w:r>
      <w:r>
        <w:t xml:space="preserve"> </w:t>
      </w:r>
      <w:r w:rsidR="00E6170C">
        <w:t xml:space="preserve">al respecto </w:t>
      </w:r>
      <w:r w:rsidR="00D75F08">
        <w:t>fue</w:t>
      </w:r>
      <w:r w:rsidR="005A60FA">
        <w:t>se</w:t>
      </w:r>
      <w:r w:rsidR="00D75F08">
        <w:t xml:space="preserve"> </w:t>
      </w:r>
      <w:r>
        <w:t xml:space="preserve">en Singalés. </w:t>
      </w:r>
      <w:r w:rsidR="00D75F08">
        <w:t xml:space="preserve">Durante </w:t>
      </w:r>
      <w:r>
        <w:t xml:space="preserve">el primer siglo </w:t>
      </w:r>
      <w:r w:rsidR="0094695D">
        <w:t xml:space="preserve">de la </w:t>
      </w:r>
      <w:r>
        <w:t>E</w:t>
      </w:r>
      <w:r w:rsidR="00D75F08">
        <w:t xml:space="preserve">. </w:t>
      </w:r>
      <w:r>
        <w:t>C, el sánscrito (independientemente del surgimiento de</w:t>
      </w:r>
      <w:r w:rsidR="0094695D">
        <w:t xml:space="preserve"> </w:t>
      </w:r>
      <w:r w:rsidR="00F105A7">
        <w:t>l</w:t>
      </w:r>
      <w:r w:rsidR="0094695D">
        <w:t>a tradición</w:t>
      </w:r>
      <w:r>
        <w:t xml:space="preserve"> </w:t>
      </w:r>
      <w:proofErr w:type="spellStart"/>
      <w:r w:rsidRPr="000E3EF7">
        <w:rPr>
          <w:i/>
          <w:iCs/>
        </w:rPr>
        <w:t>Mahayana</w:t>
      </w:r>
      <w:proofErr w:type="spellEnd"/>
      <w:r>
        <w:t>) o una lengua vernácula</w:t>
      </w:r>
      <w:r w:rsidR="005A60FA">
        <w:t>,</w:t>
      </w:r>
      <w:r>
        <w:t xml:space="preserve"> probablemente</w:t>
      </w:r>
      <w:r w:rsidR="0094695D">
        <w:t>,</w:t>
      </w:r>
      <w:r>
        <w:t xml:space="preserve"> hab</w:t>
      </w:r>
      <w:r w:rsidR="00F105A7">
        <w:t>rí</w:t>
      </w:r>
      <w:r>
        <w:t>an desplazado a</w:t>
      </w:r>
      <w:r w:rsidR="00F105A7">
        <w:t>l</w:t>
      </w:r>
      <w:r>
        <w:t xml:space="preserve"> </w:t>
      </w:r>
      <w:r w:rsidR="00F105A7">
        <w:rPr>
          <w:i/>
          <w:iCs/>
        </w:rPr>
        <w:t>Pāḷi</w:t>
      </w:r>
      <w:r>
        <w:t xml:space="preserve"> como medio de estudio en todas las "escuelas" budistas en el continente indio. La actividad literaria en Sri Lanka declinó y, al parecer, cayó en </w:t>
      </w:r>
      <w:r w:rsidR="00F105A7">
        <w:t>una</w:t>
      </w:r>
      <w:r>
        <w:t xml:space="preserve"> virtual </w:t>
      </w:r>
      <w:r w:rsidR="00F105A7">
        <w:t xml:space="preserve">suspensión </w:t>
      </w:r>
      <w:r>
        <w:t xml:space="preserve">entre </w:t>
      </w:r>
      <w:r w:rsidR="0031692B">
        <w:t>los años</w:t>
      </w:r>
      <w:r>
        <w:t xml:space="preserve"> 150 y 350</w:t>
      </w:r>
      <w:r w:rsidR="0031692B">
        <w:t xml:space="preserve"> </w:t>
      </w:r>
      <w:r w:rsidR="007C3A60">
        <w:t xml:space="preserve">de la </w:t>
      </w:r>
      <w:r w:rsidR="0031692B">
        <w:t>E. C.</w:t>
      </w:r>
      <w:r>
        <w:t xml:space="preserve">, como </w:t>
      </w:r>
      <w:r w:rsidR="007C3A60">
        <w:t>se presentará</w:t>
      </w:r>
      <w:r>
        <w:t xml:space="preserve"> a continuación. El primer </w:t>
      </w:r>
      <w:r w:rsidR="0031692B">
        <w:t xml:space="preserve">renacimiento del </w:t>
      </w:r>
      <w:r w:rsidR="007078F4">
        <w:rPr>
          <w:i/>
          <w:iCs/>
        </w:rPr>
        <w:t>Pāḷi</w:t>
      </w:r>
      <w:r>
        <w:t xml:space="preserve"> </w:t>
      </w:r>
      <w:r w:rsidR="0031692B">
        <w:t>se puso</w:t>
      </w:r>
      <w:r>
        <w:t xml:space="preserve"> en marcha en Sri Lanka y </w:t>
      </w:r>
      <w:r w:rsidR="0031692B">
        <w:t xml:space="preserve">en </w:t>
      </w:r>
      <w:r>
        <w:t>el sur de la India</w:t>
      </w:r>
      <w:r w:rsidR="00E22AA3">
        <w:t>,</w:t>
      </w:r>
      <w:r>
        <w:t xml:space="preserve"> aproximadamente</w:t>
      </w:r>
      <w:r w:rsidR="00E22AA3">
        <w:t>,</w:t>
      </w:r>
      <w:r>
        <w:t xml:space="preserve"> </w:t>
      </w:r>
      <w:r w:rsidR="00342CFC">
        <w:t xml:space="preserve">en el año </w:t>
      </w:r>
      <w:r>
        <w:t xml:space="preserve">400 y fue </w:t>
      </w:r>
      <w:r w:rsidR="00C666B5">
        <w:t>posible</w:t>
      </w:r>
      <w:r>
        <w:t xml:space="preserve"> </w:t>
      </w:r>
      <w:r w:rsidR="00342CFC">
        <w:t>gracias a</w:t>
      </w:r>
      <w:r>
        <w:t xml:space="preserve"> </w:t>
      </w:r>
      <w:proofErr w:type="spellStart"/>
      <w:r>
        <w:t>Bhadantācariya</w:t>
      </w:r>
      <w:proofErr w:type="spellEnd"/>
      <w:r>
        <w:t xml:space="preserve"> </w:t>
      </w:r>
      <w:r w:rsidR="00057BF4" w:rsidRPr="00342CFC">
        <w:rPr>
          <w:iCs/>
        </w:rPr>
        <w:t>Buddha</w:t>
      </w:r>
      <w:r w:rsidRPr="00342CFC">
        <w:rPr>
          <w:iCs/>
        </w:rPr>
        <w:t>ghosa</w:t>
      </w:r>
      <w:r>
        <w:t xml:space="preserve">. </w:t>
      </w:r>
      <w:r w:rsidR="00342CFC">
        <w:t xml:space="preserve">A </w:t>
      </w:r>
      <w:r w:rsidR="00C666B5">
        <w:t>é</w:t>
      </w:r>
      <w:r>
        <w:t>st</w:t>
      </w:r>
      <w:r w:rsidR="00C666B5">
        <w:t>e</w:t>
      </w:r>
      <w:r>
        <w:t xml:space="preserve"> se </w:t>
      </w:r>
      <w:r w:rsidR="00ED0515">
        <w:t xml:space="preserve">le </w:t>
      </w:r>
      <w:r w:rsidR="00342CFC">
        <w:t>podría</w:t>
      </w:r>
      <w:r>
        <w:t xml:space="preserve"> llamar el período </w:t>
      </w:r>
      <w:r w:rsidR="00342CFC">
        <w:t>inter</w:t>
      </w:r>
      <w:r>
        <w:t xml:space="preserve">medio. Muchas de sus principales figuras </w:t>
      </w:r>
      <w:r w:rsidR="003E3B59">
        <w:t xml:space="preserve">provenían </w:t>
      </w:r>
      <w:r w:rsidR="008157E3">
        <w:t>de la India</w:t>
      </w:r>
      <w:r>
        <w:t>. Se desarrolló en varios centros del continente</w:t>
      </w:r>
      <w:r w:rsidR="00ED0515">
        <w:t>,</w:t>
      </w:r>
      <w:r>
        <w:t xml:space="preserve"> </w:t>
      </w:r>
      <w:r w:rsidR="00F914FC">
        <w:t>hasta el</w:t>
      </w:r>
      <w:r>
        <w:t xml:space="preserve"> sur de la India y se extendió </w:t>
      </w:r>
      <w:r w:rsidR="00ED0515">
        <w:t>hasta</w:t>
      </w:r>
      <w:r>
        <w:t xml:space="preserve"> Birmania</w:t>
      </w:r>
      <w:r w:rsidR="00F914FC">
        <w:t>;</w:t>
      </w:r>
      <w:r>
        <w:t xml:space="preserve"> se puede decir que duró hasta</w:t>
      </w:r>
      <w:r w:rsidR="00F914FC">
        <w:t>,</w:t>
      </w:r>
      <w:r>
        <w:t xml:space="preserve"> aproximadamente</w:t>
      </w:r>
      <w:r w:rsidR="00F914FC">
        <w:t>,</w:t>
      </w:r>
      <w:r>
        <w:t xml:space="preserve"> el siglo XII. Mientras tanto, la </w:t>
      </w:r>
      <w:r w:rsidR="00ED0515">
        <w:t xml:space="preserve">renovación de la </w:t>
      </w:r>
      <w:r>
        <w:t xml:space="preserve">actividad literaria disminuyó nuevamente en Sri Lanka hasta que fue eclipsada por la desastrosa invasión de </w:t>
      </w:r>
      <w:proofErr w:type="spellStart"/>
      <w:r>
        <w:t>Magha</w:t>
      </w:r>
      <w:proofErr w:type="spellEnd"/>
      <w:r w:rsidR="003E3B59">
        <w:t>,</w:t>
      </w:r>
      <w:r>
        <w:t xml:space="preserve"> en el siglo XI. El segundo renaci</w:t>
      </w:r>
      <w:r w:rsidR="00ED0515">
        <w:t>miento</w:t>
      </w:r>
      <w:r>
        <w:t>, o el tercer período</w:t>
      </w:r>
      <w:r w:rsidR="003E3B59">
        <w:t>,</w:t>
      </w:r>
      <w:r>
        <w:t xml:space="preserve"> como se </w:t>
      </w:r>
      <w:r w:rsidR="00ED0515">
        <w:t xml:space="preserve">le podría </w:t>
      </w:r>
      <w:r>
        <w:t>denominar, comienza en el siglo siguiente con la recuperación de Sri Lanka, coincidiendo</w:t>
      </w:r>
      <w:r w:rsidR="00ED0515">
        <w:t>,</w:t>
      </w:r>
      <w:r>
        <w:t xml:space="preserve"> más o menos</w:t>
      </w:r>
      <w:r w:rsidR="00ED0515">
        <w:t>,</w:t>
      </w:r>
      <w:r>
        <w:t xml:space="preserve"> con grandes cambios políticos en Birmania. En Sri Lanka duró varios siglos y</w:t>
      </w:r>
      <w:r w:rsidR="00F914FC">
        <w:t>,</w:t>
      </w:r>
      <w:r>
        <w:t xml:space="preserve"> en Birmania</w:t>
      </w:r>
      <w:r w:rsidR="00F914FC">
        <w:t>,</w:t>
      </w:r>
      <w:r>
        <w:t xml:space="preserve"> por mucho más tiempo, aunque </w:t>
      </w:r>
      <w:r w:rsidR="00713098">
        <w:t xml:space="preserve">en la </w:t>
      </w:r>
      <w:r>
        <w:t>India</w:t>
      </w:r>
      <w:r w:rsidR="00B72B10">
        <w:t>,</w:t>
      </w:r>
      <w:r>
        <w:t xml:space="preserve"> aproximadamente </w:t>
      </w:r>
      <w:r w:rsidR="00B72B10">
        <w:t>durante</w:t>
      </w:r>
      <w:r>
        <w:t xml:space="preserve"> es</w:t>
      </w:r>
      <w:r w:rsidR="005F112E">
        <w:t>a</w:t>
      </w:r>
      <w:r>
        <w:t xml:space="preserve"> </w:t>
      </w:r>
      <w:r w:rsidR="005F112E">
        <w:t>época</w:t>
      </w:r>
      <w:r>
        <w:t xml:space="preserve"> o poco después</w:t>
      </w:r>
      <w:r w:rsidR="00B72B10">
        <w:t>,</w:t>
      </w:r>
      <w:r>
        <w:t xml:space="preserve"> </w:t>
      </w:r>
      <w:r w:rsidR="00713098">
        <w:t xml:space="preserve">se </w:t>
      </w:r>
      <w:r>
        <w:t>perdi</w:t>
      </w:r>
      <w:r w:rsidR="004E678C">
        <w:t>ese</w:t>
      </w:r>
      <w:r>
        <w:t xml:space="preserve"> todas las formas de budismo. </w:t>
      </w:r>
      <w:r w:rsidR="004E678C">
        <w:t xml:space="preserve">No obstante, </w:t>
      </w:r>
      <w:r>
        <w:t xml:space="preserve">este período no se </w:t>
      </w:r>
      <w:r w:rsidR="00354EE2">
        <w:t>vincula</w:t>
      </w:r>
      <w:r>
        <w:t xml:space="preserve"> al presente propósito y solo se esboza</w:t>
      </w:r>
      <w:r w:rsidR="00EE626D">
        <w:t>rá</w:t>
      </w:r>
      <w:r>
        <w:t xml:space="preserve"> en aras de </w:t>
      </w:r>
      <w:r w:rsidR="00713098">
        <w:t>una</w:t>
      </w:r>
      <w:r>
        <w:t xml:space="preserve"> </w:t>
      </w:r>
      <w:r w:rsidR="00C666B5">
        <w:t xml:space="preserve">visión general </w:t>
      </w:r>
      <w:r w:rsidR="00EE626D">
        <w:t xml:space="preserve">e </w:t>
      </w:r>
      <w:r w:rsidR="00C666B5">
        <w:t>histórica</w:t>
      </w:r>
      <w:r>
        <w:t>.</w:t>
      </w:r>
    </w:p>
    <w:p w14:paraId="5310A21C" w14:textId="77777777" w:rsidR="00594C58" w:rsidRPr="00594C58" w:rsidRDefault="00594C58" w:rsidP="00594C58">
      <w:pPr>
        <w:pStyle w:val="PiedepginaLegal"/>
        <w:rPr>
          <w:u w:val="single"/>
        </w:rPr>
      </w:pPr>
      <w:r w:rsidRPr="00594C58">
        <w:rPr>
          <w:u w:val="single"/>
        </w:rPr>
        <w:t xml:space="preserve">                                                                                       .</w:t>
      </w:r>
    </w:p>
    <w:p w14:paraId="52346BCB" w14:textId="0FF84718" w:rsidR="003B2CAB" w:rsidRDefault="00594C58" w:rsidP="00B70B6D">
      <w:pPr>
        <w:pStyle w:val="PiedepginaLegal"/>
      </w:pPr>
      <w:r>
        <w:t xml:space="preserve">1. </w:t>
      </w:r>
      <w:r>
        <w:tab/>
      </w:r>
      <w:r w:rsidRPr="00B70B6D">
        <w:rPr>
          <w:sz w:val="12"/>
          <w:szCs w:val="20"/>
        </w:rPr>
        <w:t xml:space="preserve">No </w:t>
      </w:r>
      <w:r w:rsidR="00CD311E" w:rsidRPr="00B70B6D">
        <w:rPr>
          <w:sz w:val="12"/>
          <w:szCs w:val="20"/>
        </w:rPr>
        <w:t>existe un acuerdo</w:t>
      </w:r>
      <w:r w:rsidRPr="00B70B6D">
        <w:rPr>
          <w:sz w:val="12"/>
          <w:szCs w:val="20"/>
        </w:rPr>
        <w:t xml:space="preserve"> </w:t>
      </w:r>
      <w:r w:rsidR="00CD311E" w:rsidRPr="00B70B6D">
        <w:rPr>
          <w:sz w:val="12"/>
          <w:szCs w:val="20"/>
        </w:rPr>
        <w:t xml:space="preserve">sobre </w:t>
      </w:r>
      <w:r w:rsidRPr="00B70B6D">
        <w:rPr>
          <w:sz w:val="12"/>
          <w:szCs w:val="20"/>
        </w:rPr>
        <w:t xml:space="preserve">fechas exactas. </w:t>
      </w:r>
      <w:r w:rsidRPr="00B70B6D">
        <w:rPr>
          <w:i/>
          <w:iCs/>
          <w:sz w:val="12"/>
          <w:szCs w:val="20"/>
        </w:rPr>
        <w:t xml:space="preserve">Las </w:t>
      </w:r>
      <w:r w:rsidR="003311A7" w:rsidRPr="00B70B6D">
        <w:rPr>
          <w:i/>
          <w:iCs/>
          <w:sz w:val="12"/>
          <w:szCs w:val="20"/>
        </w:rPr>
        <w:t xml:space="preserve">Crónicas </w:t>
      </w:r>
      <w:r w:rsidRPr="00B70B6D">
        <w:rPr>
          <w:i/>
          <w:iCs/>
          <w:sz w:val="12"/>
          <w:szCs w:val="20"/>
        </w:rPr>
        <w:t>de Sri Lanka</w:t>
      </w:r>
      <w:r w:rsidRPr="00B70B6D">
        <w:rPr>
          <w:sz w:val="12"/>
          <w:szCs w:val="20"/>
        </w:rPr>
        <w:t xml:space="preserve"> </w:t>
      </w:r>
      <w:r w:rsidR="00514882" w:rsidRPr="00B70B6D">
        <w:rPr>
          <w:sz w:val="12"/>
          <w:szCs w:val="20"/>
        </w:rPr>
        <w:t>[</w:t>
      </w:r>
      <w:r w:rsidR="00FB7C10" w:rsidRPr="00B70B6D">
        <w:rPr>
          <w:i/>
          <w:iCs/>
          <w:sz w:val="12"/>
          <w:szCs w:val="20"/>
        </w:rPr>
        <w:t xml:space="preserve">Sri Lanka </w:t>
      </w:r>
      <w:proofErr w:type="spellStart"/>
      <w:r w:rsidR="00FB7C10" w:rsidRPr="00B70B6D">
        <w:rPr>
          <w:i/>
          <w:iCs/>
          <w:sz w:val="12"/>
          <w:szCs w:val="20"/>
        </w:rPr>
        <w:t>Chronicles</w:t>
      </w:r>
      <w:proofErr w:type="spellEnd"/>
      <w:r w:rsidR="00514882" w:rsidRPr="00B70B6D">
        <w:rPr>
          <w:sz w:val="12"/>
          <w:szCs w:val="20"/>
        </w:rPr>
        <w:t xml:space="preserve">] </w:t>
      </w:r>
      <w:r w:rsidR="00FB7C10" w:rsidRPr="00B70B6D">
        <w:rPr>
          <w:sz w:val="12"/>
          <w:szCs w:val="20"/>
        </w:rPr>
        <w:t>asignan</w:t>
      </w:r>
      <w:r w:rsidRPr="00B70B6D">
        <w:rPr>
          <w:sz w:val="12"/>
          <w:szCs w:val="20"/>
        </w:rPr>
        <w:t xml:space="preserve"> </w:t>
      </w:r>
      <w:r w:rsidR="00D20437">
        <w:rPr>
          <w:sz w:val="12"/>
          <w:szCs w:val="20"/>
        </w:rPr>
        <w:t xml:space="preserve">la </w:t>
      </w:r>
      <w:r w:rsidR="00D20437" w:rsidRPr="008B6697">
        <w:rPr>
          <w:sz w:val="12"/>
          <w:szCs w:val="20"/>
        </w:rPr>
        <w:t>duraci</w:t>
      </w:r>
      <w:r w:rsidR="00B52FD4" w:rsidRPr="008B6697">
        <w:rPr>
          <w:sz w:val="12"/>
          <w:szCs w:val="20"/>
        </w:rPr>
        <w:t>ón</w:t>
      </w:r>
      <w:r w:rsidRPr="00B70B6D">
        <w:rPr>
          <w:sz w:val="12"/>
          <w:szCs w:val="20"/>
        </w:rPr>
        <w:t xml:space="preserve"> de los reinados de los reyes de Sri Lanka </w:t>
      </w:r>
      <w:r w:rsidR="00B52FD4">
        <w:rPr>
          <w:sz w:val="12"/>
          <w:szCs w:val="20"/>
        </w:rPr>
        <w:t>desde</w:t>
      </w:r>
      <w:r w:rsidRPr="00B70B6D">
        <w:rPr>
          <w:sz w:val="12"/>
          <w:szCs w:val="20"/>
        </w:rPr>
        <w:t xml:space="preserve"> la época del </w:t>
      </w:r>
      <w:r w:rsidR="00057BF4" w:rsidRPr="00B70B6D">
        <w:rPr>
          <w:i/>
          <w:sz w:val="12"/>
          <w:szCs w:val="20"/>
        </w:rPr>
        <w:t>Buddha</w:t>
      </w:r>
      <w:r w:rsidRPr="00B70B6D">
        <w:rPr>
          <w:sz w:val="12"/>
          <w:szCs w:val="20"/>
        </w:rPr>
        <w:t xml:space="preserve"> y</w:t>
      </w:r>
      <w:r w:rsidR="002D7BAC">
        <w:rPr>
          <w:sz w:val="12"/>
          <w:szCs w:val="20"/>
        </w:rPr>
        <w:t>,</w:t>
      </w:r>
      <w:r w:rsidRPr="00B70B6D">
        <w:rPr>
          <w:sz w:val="12"/>
          <w:szCs w:val="20"/>
        </w:rPr>
        <w:t xml:space="preserve"> también</w:t>
      </w:r>
      <w:r w:rsidR="002D7BAC">
        <w:rPr>
          <w:sz w:val="12"/>
          <w:szCs w:val="20"/>
        </w:rPr>
        <w:t>,</w:t>
      </w:r>
      <w:r w:rsidRPr="00B70B6D">
        <w:rPr>
          <w:sz w:val="12"/>
          <w:szCs w:val="20"/>
        </w:rPr>
        <w:t xml:space="preserve"> de los reyes de Magadha de </w:t>
      </w:r>
      <w:proofErr w:type="spellStart"/>
      <w:r w:rsidRPr="00B70B6D">
        <w:rPr>
          <w:sz w:val="12"/>
          <w:szCs w:val="20"/>
        </w:rPr>
        <w:t>Asoka</w:t>
      </w:r>
      <w:proofErr w:type="spellEnd"/>
      <w:r w:rsidR="002D7BAC">
        <w:rPr>
          <w:sz w:val="12"/>
          <w:szCs w:val="20"/>
        </w:rPr>
        <w:t>,</w:t>
      </w:r>
      <w:r w:rsidRPr="00B70B6D">
        <w:rPr>
          <w:sz w:val="12"/>
          <w:szCs w:val="20"/>
        </w:rPr>
        <w:t xml:space="preserve"> a</w:t>
      </w:r>
      <w:r w:rsidR="00027DFA" w:rsidRPr="00B70B6D">
        <w:rPr>
          <w:sz w:val="12"/>
          <w:szCs w:val="20"/>
        </w:rPr>
        <w:t xml:space="preserve"> </w:t>
      </w:r>
      <w:r w:rsidRPr="00B70B6D">
        <w:rPr>
          <w:sz w:val="12"/>
          <w:szCs w:val="20"/>
        </w:rPr>
        <w:t>l</w:t>
      </w:r>
      <w:r w:rsidR="00027DFA" w:rsidRPr="00B70B6D">
        <w:rPr>
          <w:sz w:val="12"/>
          <w:szCs w:val="20"/>
        </w:rPr>
        <w:t>os</w:t>
      </w:r>
      <w:r w:rsidRPr="00B70B6D">
        <w:rPr>
          <w:sz w:val="12"/>
          <w:szCs w:val="20"/>
        </w:rPr>
        <w:t xml:space="preserve"> mism</w:t>
      </w:r>
      <w:r w:rsidR="00027DFA" w:rsidRPr="00B70B6D">
        <w:rPr>
          <w:sz w:val="12"/>
          <w:szCs w:val="20"/>
        </w:rPr>
        <w:t>os periodos</w:t>
      </w:r>
      <w:r w:rsidRPr="00B70B6D">
        <w:rPr>
          <w:sz w:val="12"/>
          <w:szCs w:val="20"/>
        </w:rPr>
        <w:t>. Calculad</w:t>
      </w:r>
      <w:r w:rsidR="00027DFA" w:rsidRPr="00B70B6D">
        <w:rPr>
          <w:sz w:val="12"/>
          <w:szCs w:val="20"/>
        </w:rPr>
        <w:t>o</w:t>
      </w:r>
      <w:r w:rsidRPr="00B70B6D">
        <w:rPr>
          <w:sz w:val="12"/>
          <w:szCs w:val="20"/>
        </w:rPr>
        <w:t xml:space="preserve"> al revés, la lista </w:t>
      </w:r>
      <w:r w:rsidR="007A7125" w:rsidRPr="00B70B6D">
        <w:rPr>
          <w:sz w:val="12"/>
          <w:szCs w:val="20"/>
        </w:rPr>
        <w:t>establece al año</w:t>
      </w:r>
      <w:r w:rsidRPr="00B70B6D">
        <w:rPr>
          <w:sz w:val="12"/>
          <w:szCs w:val="20"/>
        </w:rPr>
        <w:t xml:space="preserve"> 543 a. C. como el año del </w:t>
      </w:r>
      <w:r w:rsidR="003F7D16" w:rsidRPr="00B70B6D">
        <w:rPr>
          <w:i/>
          <w:iCs/>
          <w:sz w:val="12"/>
          <w:szCs w:val="20"/>
        </w:rPr>
        <w:t>Parinibbāna</w:t>
      </w:r>
      <w:r w:rsidR="003F7D16" w:rsidRPr="00B70B6D">
        <w:rPr>
          <w:sz w:val="12"/>
          <w:szCs w:val="20"/>
        </w:rPr>
        <w:t xml:space="preserve"> </w:t>
      </w:r>
      <w:r w:rsidRPr="00B70B6D">
        <w:rPr>
          <w:sz w:val="12"/>
          <w:szCs w:val="20"/>
        </w:rPr>
        <w:t>de</w:t>
      </w:r>
      <w:r w:rsidR="007A7125" w:rsidRPr="00B70B6D">
        <w:rPr>
          <w:sz w:val="12"/>
          <w:szCs w:val="20"/>
        </w:rPr>
        <w:t>l</w:t>
      </w:r>
      <w:r w:rsidRPr="00B70B6D">
        <w:rPr>
          <w:sz w:val="12"/>
          <w:szCs w:val="20"/>
        </w:rPr>
        <w:t xml:space="preserve"> </w:t>
      </w:r>
      <w:r w:rsidR="00057BF4" w:rsidRPr="00B70B6D">
        <w:rPr>
          <w:i/>
          <w:sz w:val="12"/>
          <w:szCs w:val="20"/>
        </w:rPr>
        <w:t>Buddha</w:t>
      </w:r>
      <w:r w:rsidRPr="00B70B6D">
        <w:rPr>
          <w:sz w:val="12"/>
          <w:szCs w:val="20"/>
        </w:rPr>
        <w:t xml:space="preserve"> (ver lista de reyes en la </w:t>
      </w:r>
      <w:r w:rsidR="003311A7" w:rsidRPr="00B70B6D">
        <w:rPr>
          <w:i/>
          <w:iCs/>
          <w:sz w:val="12"/>
          <w:szCs w:val="20"/>
        </w:rPr>
        <w:t xml:space="preserve">Corta Historia </w:t>
      </w:r>
      <w:r w:rsidRPr="00B70B6D">
        <w:rPr>
          <w:i/>
          <w:iCs/>
          <w:sz w:val="12"/>
          <w:szCs w:val="20"/>
        </w:rPr>
        <w:t>de Ceilán</w:t>
      </w:r>
      <w:r w:rsidR="003311A7" w:rsidRPr="00B70B6D">
        <w:rPr>
          <w:i/>
          <w:iCs/>
          <w:sz w:val="12"/>
          <w:szCs w:val="20"/>
        </w:rPr>
        <w:t xml:space="preserve"> </w:t>
      </w:r>
      <w:r w:rsidR="003704CA" w:rsidRPr="00B70B6D">
        <w:rPr>
          <w:sz w:val="12"/>
          <w:szCs w:val="20"/>
        </w:rPr>
        <w:t>[</w:t>
      </w:r>
      <w:r w:rsidR="00B70B6D" w:rsidRPr="00B70B6D">
        <w:rPr>
          <w:i/>
          <w:iCs/>
          <w:sz w:val="12"/>
          <w:szCs w:val="20"/>
        </w:rPr>
        <w:t xml:space="preserve">Short </w:t>
      </w:r>
      <w:proofErr w:type="spellStart"/>
      <w:r w:rsidR="00B70B6D" w:rsidRPr="00B70B6D">
        <w:rPr>
          <w:i/>
          <w:iCs/>
          <w:sz w:val="12"/>
          <w:szCs w:val="20"/>
        </w:rPr>
        <w:t>History</w:t>
      </w:r>
      <w:proofErr w:type="spellEnd"/>
      <w:r w:rsidR="00B70B6D">
        <w:rPr>
          <w:i/>
          <w:iCs/>
          <w:sz w:val="12"/>
          <w:szCs w:val="20"/>
        </w:rPr>
        <w:t xml:space="preserve"> </w:t>
      </w:r>
      <w:r w:rsidR="00B70B6D" w:rsidRPr="00B70B6D">
        <w:rPr>
          <w:i/>
          <w:iCs/>
          <w:sz w:val="12"/>
          <w:szCs w:val="20"/>
        </w:rPr>
        <w:t xml:space="preserve">of </w:t>
      </w:r>
      <w:proofErr w:type="spellStart"/>
      <w:r w:rsidR="00B70B6D" w:rsidRPr="00B70B6D">
        <w:rPr>
          <w:i/>
          <w:iCs/>
          <w:sz w:val="12"/>
          <w:szCs w:val="20"/>
        </w:rPr>
        <w:t>Ceylon</w:t>
      </w:r>
      <w:proofErr w:type="spellEnd"/>
      <w:r w:rsidR="003704CA" w:rsidRPr="00B70B6D">
        <w:rPr>
          <w:sz w:val="12"/>
          <w:szCs w:val="20"/>
        </w:rPr>
        <w:t>]</w:t>
      </w:r>
      <w:r w:rsidR="003704CA" w:rsidRPr="00B70B6D">
        <w:rPr>
          <w:sz w:val="12"/>
          <w:szCs w:val="20"/>
          <w:lang w:val="es-MX"/>
        </w:rPr>
        <w:t xml:space="preserve"> </w:t>
      </w:r>
      <w:r w:rsidR="003311A7" w:rsidRPr="00B70B6D">
        <w:rPr>
          <w:sz w:val="12"/>
          <w:szCs w:val="20"/>
        </w:rPr>
        <w:t xml:space="preserve">de </w:t>
      </w:r>
      <w:proofErr w:type="spellStart"/>
      <w:r w:rsidR="003311A7" w:rsidRPr="00B70B6D">
        <w:rPr>
          <w:sz w:val="12"/>
          <w:szCs w:val="20"/>
        </w:rPr>
        <w:t>Codrington</w:t>
      </w:r>
      <w:proofErr w:type="spellEnd"/>
      <w:r w:rsidRPr="00B70B6D">
        <w:rPr>
          <w:sz w:val="12"/>
          <w:szCs w:val="20"/>
        </w:rPr>
        <w:t xml:space="preserve">, Macmillan 1947, p. </w:t>
      </w:r>
      <w:r w:rsidR="00B52FD4" w:rsidRPr="00B70B6D">
        <w:rPr>
          <w:sz w:val="12"/>
          <w:szCs w:val="20"/>
        </w:rPr>
        <w:t>XVI</w:t>
      </w:r>
      <w:r w:rsidRPr="00B70B6D">
        <w:rPr>
          <w:sz w:val="12"/>
          <w:szCs w:val="20"/>
        </w:rPr>
        <w:t xml:space="preserve">.). Para ajustes </w:t>
      </w:r>
      <w:r w:rsidR="00B52FD4">
        <w:rPr>
          <w:sz w:val="12"/>
          <w:szCs w:val="20"/>
        </w:rPr>
        <w:t>sobre</w:t>
      </w:r>
      <w:r w:rsidRPr="00B70B6D">
        <w:rPr>
          <w:sz w:val="12"/>
          <w:szCs w:val="20"/>
        </w:rPr>
        <w:t xml:space="preserve"> este cálculo que </w:t>
      </w:r>
      <w:r w:rsidR="005F27C0">
        <w:rPr>
          <w:sz w:val="12"/>
          <w:szCs w:val="20"/>
        </w:rPr>
        <w:t>conllev</w:t>
      </w:r>
      <w:r w:rsidR="003F7D16">
        <w:rPr>
          <w:sz w:val="12"/>
          <w:szCs w:val="20"/>
        </w:rPr>
        <w:t>e</w:t>
      </w:r>
      <w:r w:rsidR="005F27C0">
        <w:rPr>
          <w:sz w:val="12"/>
          <w:szCs w:val="20"/>
        </w:rPr>
        <w:t>n</w:t>
      </w:r>
      <w:r w:rsidR="002D7BAC" w:rsidRPr="002D7BAC">
        <w:t xml:space="preserve"> </w:t>
      </w:r>
      <w:r w:rsidR="002D7BAC" w:rsidRPr="002D7BAC">
        <w:rPr>
          <w:sz w:val="12"/>
          <w:szCs w:val="20"/>
        </w:rPr>
        <w:t xml:space="preserve">a que la fecha del </w:t>
      </w:r>
      <w:proofErr w:type="spellStart"/>
      <w:r w:rsidR="002D7BAC" w:rsidRPr="002D7BAC">
        <w:rPr>
          <w:i/>
          <w:iCs/>
          <w:sz w:val="12"/>
          <w:szCs w:val="20"/>
        </w:rPr>
        <w:t>Parinibbana</w:t>
      </w:r>
      <w:proofErr w:type="spellEnd"/>
      <w:r w:rsidR="002D7BAC" w:rsidRPr="002D7BAC">
        <w:rPr>
          <w:sz w:val="12"/>
          <w:szCs w:val="20"/>
        </w:rPr>
        <w:t xml:space="preserve"> fuera en el año 483 a. C. </w:t>
      </w:r>
      <w:r w:rsidR="002D7BAC">
        <w:rPr>
          <w:sz w:val="12"/>
          <w:szCs w:val="20"/>
        </w:rPr>
        <w:tab/>
      </w:r>
      <w:r w:rsidR="0077553F">
        <w:rPr>
          <w:sz w:val="12"/>
          <w:szCs w:val="20"/>
        </w:rPr>
        <w:t>…</w:t>
      </w:r>
      <w:r w:rsidR="003B2CAB">
        <w:br w:type="page"/>
      </w:r>
    </w:p>
    <w:p w14:paraId="2D1E1FE7" w14:textId="77777777" w:rsidR="00B12748" w:rsidRDefault="00B12748" w:rsidP="00B12748">
      <w:pPr>
        <w:pStyle w:val="NumeracinReload"/>
      </w:pPr>
    </w:p>
    <w:p w14:paraId="09E8B826" w14:textId="77777777" w:rsidR="004E678C" w:rsidRDefault="004E678C" w:rsidP="004E678C">
      <w:pPr>
        <w:pStyle w:val="NormalConSangria"/>
      </w:pPr>
      <w:r>
        <w:t>Los hechos registrados relacionados con los eventos ocurridos en Sri Lanka respecto al surgimiento del período intermedio son muy pocos y valdrá la pena describirlos.</w:t>
      </w:r>
      <w:r w:rsidRPr="00D57D89">
        <w:rPr>
          <w:vertAlign w:val="superscript"/>
        </w:rPr>
        <w:t>1</w:t>
      </w:r>
    </w:p>
    <w:p w14:paraId="3F24F33C" w14:textId="747B69C2" w:rsidR="00B12748" w:rsidRDefault="00B12748" w:rsidP="00B12748">
      <w:pPr>
        <w:pStyle w:val="NormalConSangria"/>
      </w:pPr>
      <w:r>
        <w:t xml:space="preserve">¿Por qué </w:t>
      </w:r>
      <w:proofErr w:type="spellStart"/>
      <w:r>
        <w:t>Bhadantācariya</w:t>
      </w:r>
      <w:proofErr w:type="spellEnd"/>
      <w:r>
        <w:t xml:space="preserve"> </w:t>
      </w:r>
      <w:r w:rsidR="00057BF4" w:rsidRPr="00B70B6D">
        <w:rPr>
          <w:iCs/>
        </w:rPr>
        <w:t>Buddha</w:t>
      </w:r>
      <w:r w:rsidRPr="00B70B6D">
        <w:rPr>
          <w:iCs/>
        </w:rPr>
        <w:t>ghosa</w:t>
      </w:r>
      <w:r>
        <w:t xml:space="preserve"> </w:t>
      </w:r>
      <w:r w:rsidR="00B70B6D">
        <w:t>llegó</w:t>
      </w:r>
      <w:r>
        <w:t xml:space="preserve"> a Sri Lanka? ¿Y por qué su trabajo se hizo </w:t>
      </w:r>
      <w:r w:rsidR="00F474F0">
        <w:t xml:space="preserve">muy </w:t>
      </w:r>
      <w:r>
        <w:t xml:space="preserve">famoso más allá de las costas de la isla? Los </w:t>
      </w:r>
      <w:r w:rsidR="00E54351">
        <w:t>datos fácticos</w:t>
      </w:r>
      <w:r w:rsidR="004B07F6">
        <w:t>,</w:t>
      </w:r>
      <w:r>
        <w:t xml:space="preserve"> sin </w:t>
      </w:r>
      <w:r w:rsidR="00E54351">
        <w:t>nin</w:t>
      </w:r>
      <w:r>
        <w:t>guna interpretación</w:t>
      </w:r>
      <w:r w:rsidR="004B07F6">
        <w:t>,</w:t>
      </w:r>
      <w:r>
        <w:t xml:space="preserve"> difícilmente responder</w:t>
      </w:r>
      <w:r w:rsidR="004B07F6">
        <w:t>ía</w:t>
      </w:r>
      <w:r>
        <w:t xml:space="preserve">n a </w:t>
      </w:r>
      <w:r w:rsidRPr="00B12748">
        <w:t>estas</w:t>
      </w:r>
      <w:r>
        <w:t xml:space="preserve"> preguntas. Ciertamente, cualquier interpretación </w:t>
      </w:r>
      <w:r w:rsidR="00E54351">
        <w:t>será</w:t>
      </w:r>
      <w:r>
        <w:t xml:space="preserve"> especulativa; </w:t>
      </w:r>
      <w:r w:rsidR="00B33378">
        <w:t xml:space="preserve">no obstante, </w:t>
      </w:r>
      <w:r>
        <w:t xml:space="preserve">si esto </w:t>
      </w:r>
      <w:r w:rsidR="00E54351">
        <w:t xml:space="preserve">se </w:t>
      </w:r>
      <w:r w:rsidR="00D74046">
        <w:t>tuviese</w:t>
      </w:r>
      <w:r>
        <w:t xml:space="preserve"> en cuenta, se </w:t>
      </w:r>
      <w:r w:rsidR="001439B2">
        <w:t>podrá</w:t>
      </w:r>
      <w:r>
        <w:t xml:space="preserve"> hacer algún intento (sin reclamo de originalidad) en las siguientes líneas.</w:t>
      </w:r>
    </w:p>
    <w:p w14:paraId="6DF912C4" w14:textId="712625EE" w:rsidR="00B322C6" w:rsidRDefault="00B12748" w:rsidP="00B12748">
      <w:pPr>
        <w:pStyle w:val="NormalConSangria"/>
      </w:pPr>
      <w:r>
        <w:t xml:space="preserve">Hasta el reinado del </w:t>
      </w:r>
      <w:r w:rsidR="003311A7">
        <w:t xml:space="preserve">Rey </w:t>
      </w:r>
      <w:proofErr w:type="spellStart"/>
      <w:r w:rsidR="003311A7">
        <w:t>Vaṭṭagāmaṇi</w:t>
      </w:r>
      <w:proofErr w:type="spellEnd"/>
      <w:r w:rsidR="003311A7">
        <w:t xml:space="preserve"> </w:t>
      </w:r>
      <w:proofErr w:type="spellStart"/>
      <w:r w:rsidR="003311A7">
        <w:t>Abhaya</w:t>
      </w:r>
      <w:proofErr w:type="spellEnd"/>
      <w:r w:rsidR="00105903">
        <w:t>,</w:t>
      </w:r>
      <w:r w:rsidR="003311A7">
        <w:t xml:space="preserve"> </w:t>
      </w:r>
      <w:r>
        <w:t>en el primer siglo a. C.</w:t>
      </w:r>
      <w:r w:rsidR="00105903">
        <w:t xml:space="preserve">, </w:t>
      </w:r>
      <w:r w:rsidR="001439B2">
        <w:t>e</w:t>
      </w:r>
      <w:r>
        <w:t xml:space="preserve">l </w:t>
      </w:r>
      <w:r w:rsidR="001439B2">
        <w:t>Gran Monasterio</w:t>
      </w:r>
      <w:r>
        <w:t xml:space="preserve">, fundado por el hijo de </w:t>
      </w:r>
      <w:proofErr w:type="spellStart"/>
      <w:r>
        <w:t>Asoka</w:t>
      </w:r>
      <w:proofErr w:type="spellEnd"/>
      <w:r>
        <w:t xml:space="preserve">, el </w:t>
      </w:r>
      <w:r w:rsidR="00057BF4" w:rsidRPr="00057BF4">
        <w:rPr>
          <w:i/>
          <w:iCs/>
        </w:rPr>
        <w:t>Arahant</w:t>
      </w:r>
      <w:r w:rsidR="003311A7">
        <w:t xml:space="preserve"> </w:t>
      </w:r>
      <w:proofErr w:type="spellStart"/>
      <w:r w:rsidR="003311A7">
        <w:t>Mahinda</w:t>
      </w:r>
      <w:proofErr w:type="spellEnd"/>
      <w:r>
        <w:t xml:space="preserve">, y hasta </w:t>
      </w:r>
      <w:r w:rsidR="00D61F1C">
        <w:t>entonces</w:t>
      </w:r>
      <w:r>
        <w:t xml:space="preserve"> sin rival </w:t>
      </w:r>
      <w:r w:rsidR="00D61F1C">
        <w:t>en los</w:t>
      </w:r>
      <w:r>
        <w:t xml:space="preserve"> favor</w:t>
      </w:r>
      <w:r w:rsidR="00D61F1C">
        <w:t>es</w:t>
      </w:r>
      <w:r>
        <w:t xml:space="preserve"> real</w:t>
      </w:r>
      <w:r w:rsidR="00D61F1C">
        <w:t>es</w:t>
      </w:r>
      <w:r>
        <w:t>, hab</w:t>
      </w:r>
      <w:r w:rsidR="00B33378">
        <w:t>r</w:t>
      </w:r>
      <w:r>
        <w:t xml:space="preserve">ía preservado </w:t>
      </w:r>
      <w:r w:rsidR="00DF3931">
        <w:t>la</w:t>
      </w:r>
      <w:r>
        <w:t xml:space="preserve"> reputación </w:t>
      </w:r>
      <w:r w:rsidR="00DF3931">
        <w:t xml:space="preserve">sobre </w:t>
      </w:r>
      <w:r>
        <w:t>la santidad de su</w:t>
      </w:r>
      <w:r w:rsidR="00B33378">
        <w:t>s</w:t>
      </w:r>
      <w:r w:rsidR="00105903" w:rsidRPr="00105903">
        <w:rPr>
          <w:i/>
          <w:iCs/>
        </w:rPr>
        <w:t xml:space="preserve"> </w:t>
      </w:r>
      <w:proofErr w:type="spellStart"/>
      <w:r w:rsidR="00105903" w:rsidRPr="00057BF4">
        <w:rPr>
          <w:i/>
          <w:iCs/>
        </w:rPr>
        <w:t>bhikkhu</w:t>
      </w:r>
      <w:r w:rsidR="00105903" w:rsidRPr="00D94F28">
        <w:rPr>
          <w:i/>
          <w:iCs/>
        </w:rPr>
        <w:t>s</w:t>
      </w:r>
      <w:proofErr w:type="spellEnd"/>
      <w:r w:rsidR="00105903">
        <w:t>.</w:t>
      </w:r>
    </w:p>
    <w:p w14:paraId="0CB32A48" w14:textId="77777777" w:rsidR="00842672" w:rsidRDefault="00842672" w:rsidP="00B12748">
      <w:pPr>
        <w:pStyle w:val="NormalConSangria"/>
      </w:pPr>
    </w:p>
    <w:tbl>
      <w:tblPr>
        <w:tblStyle w:val="Tablaconcuadrcula"/>
        <w:tblW w:w="0" w:type="auto"/>
        <w:tblLook w:val="04A0" w:firstRow="1" w:lastRow="0" w:firstColumn="1" w:lastColumn="0" w:noHBand="0" w:noVBand="1"/>
      </w:tblPr>
      <w:tblGrid>
        <w:gridCol w:w="1564"/>
        <w:gridCol w:w="3534"/>
        <w:gridCol w:w="1605"/>
      </w:tblGrid>
      <w:tr w:rsidR="00D4098B" w:rsidRPr="00A83C8D" w14:paraId="54DBBCB5" w14:textId="77777777" w:rsidTr="00664BB3">
        <w:tc>
          <w:tcPr>
            <w:tcW w:w="1564" w:type="dxa"/>
          </w:tcPr>
          <w:p w14:paraId="0108B47C" w14:textId="3BE02343" w:rsidR="00D4098B" w:rsidRPr="000613C5" w:rsidRDefault="002479E5" w:rsidP="009220D1">
            <w:pPr>
              <w:pStyle w:val="NormalConSangria"/>
              <w:spacing w:after="0"/>
              <w:ind w:firstLine="0"/>
              <w:rPr>
                <w:b/>
                <w:bCs/>
                <w:smallCaps/>
              </w:rPr>
            </w:pPr>
            <w:r w:rsidRPr="000613C5">
              <w:rPr>
                <w:b/>
                <w:bCs/>
                <w:smallCaps/>
              </w:rPr>
              <w:t xml:space="preserve">Reyes de </w:t>
            </w:r>
            <w:r w:rsidR="00E30131" w:rsidRPr="000613C5">
              <w:rPr>
                <w:b/>
                <w:bCs/>
                <w:smallCaps/>
              </w:rPr>
              <w:t>Ceilán</w:t>
            </w:r>
          </w:p>
        </w:tc>
        <w:tc>
          <w:tcPr>
            <w:tcW w:w="3534" w:type="dxa"/>
          </w:tcPr>
          <w:p w14:paraId="4600AE79" w14:textId="65AD43D4" w:rsidR="00D4098B" w:rsidRPr="000613C5" w:rsidRDefault="002479E5" w:rsidP="009220D1">
            <w:pPr>
              <w:pStyle w:val="NormalConSangria"/>
              <w:spacing w:after="0"/>
              <w:ind w:firstLine="0"/>
              <w:rPr>
                <w:b/>
                <w:bCs/>
                <w:smallCaps/>
              </w:rPr>
            </w:pPr>
            <w:r w:rsidRPr="000613C5">
              <w:rPr>
                <w:b/>
                <w:bCs/>
                <w:smallCaps/>
              </w:rPr>
              <w:t>Eventos relevantes</w:t>
            </w:r>
          </w:p>
        </w:tc>
        <w:tc>
          <w:tcPr>
            <w:tcW w:w="1605" w:type="dxa"/>
          </w:tcPr>
          <w:p w14:paraId="23321EFE" w14:textId="47545B29" w:rsidR="00D4098B" w:rsidRPr="000613C5" w:rsidRDefault="00E30131" w:rsidP="009220D1">
            <w:pPr>
              <w:pStyle w:val="NormalConSangria"/>
              <w:spacing w:after="0"/>
              <w:ind w:firstLine="0"/>
              <w:rPr>
                <w:b/>
                <w:bCs/>
                <w:smallCaps/>
              </w:rPr>
            </w:pPr>
            <w:r w:rsidRPr="000613C5">
              <w:rPr>
                <w:b/>
                <w:bCs/>
                <w:smallCaps/>
              </w:rPr>
              <w:t>Ref.</w:t>
            </w:r>
          </w:p>
        </w:tc>
      </w:tr>
      <w:tr w:rsidR="00D4098B" w:rsidRPr="00DF4F1F" w14:paraId="6DEAFCCD" w14:textId="77777777" w:rsidTr="002D2B3B">
        <w:tc>
          <w:tcPr>
            <w:tcW w:w="1564" w:type="dxa"/>
          </w:tcPr>
          <w:p w14:paraId="5F9AE98B" w14:textId="77777777" w:rsidR="002479E5" w:rsidRPr="00DF4F1F" w:rsidRDefault="002479E5" w:rsidP="009220D1">
            <w:pPr>
              <w:pStyle w:val="NormalConSangria"/>
              <w:spacing w:after="0"/>
              <w:ind w:firstLine="0"/>
              <w:rPr>
                <w:sz w:val="14"/>
                <w:szCs w:val="14"/>
              </w:rPr>
            </w:pPr>
            <w:proofErr w:type="spellStart"/>
            <w:r w:rsidRPr="00DF4F1F">
              <w:rPr>
                <w:sz w:val="14"/>
                <w:szCs w:val="14"/>
              </w:rPr>
              <w:t>DevānampiyaTissa</w:t>
            </w:r>
            <w:proofErr w:type="spellEnd"/>
            <w:r w:rsidRPr="00DF4F1F">
              <w:rPr>
                <w:sz w:val="14"/>
                <w:szCs w:val="14"/>
              </w:rPr>
              <w:t>:</w:t>
            </w:r>
          </w:p>
          <w:p w14:paraId="54FE7474" w14:textId="07471199" w:rsidR="002479E5" w:rsidRPr="00DF4F1F" w:rsidRDefault="002479E5" w:rsidP="009220D1">
            <w:pPr>
              <w:pStyle w:val="NormalConSangria"/>
              <w:spacing w:after="0"/>
              <w:ind w:firstLine="0"/>
              <w:rPr>
                <w:sz w:val="14"/>
                <w:szCs w:val="14"/>
              </w:rPr>
            </w:pPr>
            <w:r w:rsidRPr="00DF4F1F">
              <w:rPr>
                <w:sz w:val="14"/>
                <w:szCs w:val="14"/>
              </w:rPr>
              <w:t>307–267</w:t>
            </w:r>
            <w:r w:rsidR="0030490F" w:rsidRPr="00DF4F1F">
              <w:rPr>
                <w:sz w:val="14"/>
                <w:szCs w:val="14"/>
              </w:rPr>
              <w:t xml:space="preserve"> </w:t>
            </w:r>
            <w:r w:rsidR="00C626A6">
              <w:rPr>
                <w:sz w:val="14"/>
                <w:szCs w:val="14"/>
              </w:rPr>
              <w:t>AEC</w:t>
            </w:r>
          </w:p>
          <w:p w14:paraId="40C662C1" w14:textId="77777777" w:rsidR="002479E5" w:rsidRPr="00DF4F1F" w:rsidRDefault="002479E5" w:rsidP="009220D1">
            <w:pPr>
              <w:pStyle w:val="NormalConSangria"/>
              <w:spacing w:after="0"/>
              <w:ind w:firstLine="0"/>
              <w:rPr>
                <w:sz w:val="14"/>
                <w:szCs w:val="14"/>
              </w:rPr>
            </w:pPr>
          </w:p>
          <w:p w14:paraId="15C74D13" w14:textId="77777777" w:rsidR="002479E5" w:rsidRPr="00DF4F1F" w:rsidRDefault="002479E5" w:rsidP="009220D1">
            <w:pPr>
              <w:pStyle w:val="NormalConSangria"/>
              <w:spacing w:after="0"/>
              <w:ind w:firstLine="0"/>
              <w:rPr>
                <w:sz w:val="14"/>
                <w:szCs w:val="14"/>
              </w:rPr>
            </w:pPr>
          </w:p>
          <w:p w14:paraId="19E485E8" w14:textId="4ADC9C60" w:rsidR="002479E5" w:rsidRPr="00DF4F1F" w:rsidRDefault="002479E5" w:rsidP="009220D1">
            <w:pPr>
              <w:pStyle w:val="NormalConSangria"/>
              <w:spacing w:after="0"/>
              <w:ind w:firstLine="0"/>
              <w:rPr>
                <w:sz w:val="14"/>
                <w:szCs w:val="14"/>
              </w:rPr>
            </w:pPr>
            <w:proofErr w:type="spellStart"/>
            <w:r w:rsidRPr="00DF4F1F">
              <w:rPr>
                <w:sz w:val="14"/>
                <w:szCs w:val="14"/>
              </w:rPr>
              <w:t>Duṭṭhagāmaṇi</w:t>
            </w:r>
            <w:proofErr w:type="spellEnd"/>
            <w:r w:rsidRPr="00DF4F1F">
              <w:rPr>
                <w:sz w:val="14"/>
                <w:szCs w:val="14"/>
              </w:rPr>
              <w:t xml:space="preserve"> </w:t>
            </w:r>
          </w:p>
          <w:p w14:paraId="6EF1CB01" w14:textId="06686176" w:rsidR="002479E5" w:rsidRPr="00DF4F1F" w:rsidRDefault="002479E5" w:rsidP="009220D1">
            <w:pPr>
              <w:pStyle w:val="NormalConSangria"/>
              <w:spacing w:after="0"/>
              <w:ind w:firstLine="0"/>
              <w:rPr>
                <w:sz w:val="14"/>
                <w:szCs w:val="14"/>
              </w:rPr>
            </w:pPr>
            <w:r w:rsidRPr="00DF4F1F">
              <w:rPr>
                <w:sz w:val="14"/>
                <w:szCs w:val="14"/>
              </w:rPr>
              <w:t>161–137</w:t>
            </w:r>
            <w:r w:rsidR="0030490F" w:rsidRPr="00DF4F1F">
              <w:rPr>
                <w:sz w:val="14"/>
                <w:szCs w:val="14"/>
              </w:rPr>
              <w:t xml:space="preserve"> </w:t>
            </w:r>
            <w:r w:rsidR="00C626A6">
              <w:rPr>
                <w:sz w:val="14"/>
                <w:szCs w:val="14"/>
              </w:rPr>
              <w:t>AEC</w:t>
            </w:r>
          </w:p>
          <w:p w14:paraId="4D05C845" w14:textId="77777777" w:rsidR="002479E5" w:rsidRPr="00DF4F1F" w:rsidRDefault="002479E5" w:rsidP="009220D1">
            <w:pPr>
              <w:pStyle w:val="NormalConSangria"/>
              <w:spacing w:after="0"/>
              <w:ind w:firstLine="0"/>
              <w:rPr>
                <w:sz w:val="14"/>
                <w:szCs w:val="14"/>
              </w:rPr>
            </w:pPr>
          </w:p>
          <w:p w14:paraId="71E0CFE9" w14:textId="77777777" w:rsidR="002479E5" w:rsidRPr="00DF4F1F" w:rsidRDefault="002479E5" w:rsidP="009220D1">
            <w:pPr>
              <w:pStyle w:val="NormalConSangria"/>
              <w:spacing w:after="0"/>
              <w:ind w:firstLine="0"/>
              <w:rPr>
                <w:sz w:val="14"/>
                <w:szCs w:val="14"/>
              </w:rPr>
            </w:pPr>
          </w:p>
          <w:p w14:paraId="58951D79" w14:textId="77777777" w:rsidR="002479E5" w:rsidRPr="00DF4F1F" w:rsidRDefault="002479E5" w:rsidP="009220D1">
            <w:pPr>
              <w:pStyle w:val="NormalConSangria"/>
              <w:spacing w:after="0"/>
              <w:ind w:firstLine="0"/>
              <w:rPr>
                <w:sz w:val="14"/>
                <w:szCs w:val="14"/>
              </w:rPr>
            </w:pPr>
          </w:p>
          <w:p w14:paraId="6B98804C" w14:textId="77777777" w:rsidR="002479E5" w:rsidRPr="00DF4F1F" w:rsidRDefault="002479E5" w:rsidP="009220D1">
            <w:pPr>
              <w:pStyle w:val="NormalConSangria"/>
              <w:spacing w:after="0"/>
              <w:ind w:firstLine="0"/>
              <w:rPr>
                <w:sz w:val="14"/>
                <w:szCs w:val="14"/>
              </w:rPr>
            </w:pPr>
          </w:p>
          <w:p w14:paraId="547EDF8A" w14:textId="77777777" w:rsidR="002479E5" w:rsidRDefault="002479E5" w:rsidP="009220D1">
            <w:pPr>
              <w:pStyle w:val="NormalConSangria"/>
              <w:spacing w:after="0"/>
              <w:ind w:firstLine="0"/>
              <w:rPr>
                <w:sz w:val="14"/>
                <w:szCs w:val="14"/>
              </w:rPr>
            </w:pPr>
          </w:p>
          <w:p w14:paraId="7CDA9F47" w14:textId="77777777" w:rsidR="007C7991" w:rsidRPr="00DF4F1F" w:rsidRDefault="007C7991" w:rsidP="009220D1">
            <w:pPr>
              <w:pStyle w:val="NormalConSangria"/>
              <w:spacing w:after="0"/>
              <w:ind w:firstLine="0"/>
              <w:rPr>
                <w:sz w:val="14"/>
                <w:szCs w:val="14"/>
              </w:rPr>
            </w:pPr>
          </w:p>
          <w:p w14:paraId="22529BC2" w14:textId="45EE924C" w:rsidR="002479E5" w:rsidRPr="00DF4F1F" w:rsidRDefault="002479E5" w:rsidP="009220D1">
            <w:pPr>
              <w:pStyle w:val="NormalConSangria"/>
              <w:spacing w:after="0"/>
              <w:ind w:firstLine="0"/>
              <w:rPr>
                <w:sz w:val="14"/>
                <w:szCs w:val="14"/>
              </w:rPr>
            </w:pPr>
            <w:proofErr w:type="spellStart"/>
            <w:r w:rsidRPr="00DF4F1F">
              <w:rPr>
                <w:sz w:val="14"/>
                <w:szCs w:val="14"/>
              </w:rPr>
              <w:t>Vaṭṭagāmaṇi</w:t>
            </w:r>
            <w:proofErr w:type="spellEnd"/>
            <w:r w:rsidRPr="00DF4F1F">
              <w:rPr>
                <w:sz w:val="14"/>
                <w:szCs w:val="14"/>
              </w:rPr>
              <w:t xml:space="preserve"> </w:t>
            </w:r>
          </w:p>
          <w:p w14:paraId="0CE33BB5" w14:textId="75215F2A" w:rsidR="00D4098B" w:rsidRPr="00DF4F1F" w:rsidRDefault="002479E5" w:rsidP="009220D1">
            <w:pPr>
              <w:pStyle w:val="NormalConSangria"/>
              <w:tabs>
                <w:tab w:val="left" w:pos="0"/>
              </w:tabs>
              <w:spacing w:after="0"/>
              <w:ind w:firstLine="0"/>
              <w:rPr>
                <w:sz w:val="14"/>
                <w:szCs w:val="14"/>
              </w:rPr>
            </w:pPr>
            <w:r w:rsidRPr="00DF4F1F">
              <w:rPr>
                <w:sz w:val="14"/>
                <w:szCs w:val="14"/>
              </w:rPr>
              <w:t>104–88</w:t>
            </w:r>
            <w:r w:rsidR="0030490F" w:rsidRPr="00DF4F1F">
              <w:rPr>
                <w:sz w:val="14"/>
                <w:szCs w:val="14"/>
              </w:rPr>
              <w:t xml:space="preserve"> </w:t>
            </w:r>
            <w:r w:rsidR="00C626A6">
              <w:rPr>
                <w:sz w:val="14"/>
                <w:szCs w:val="14"/>
              </w:rPr>
              <w:t>AEC</w:t>
            </w:r>
          </w:p>
        </w:tc>
        <w:tc>
          <w:tcPr>
            <w:tcW w:w="3534" w:type="dxa"/>
          </w:tcPr>
          <w:p w14:paraId="3DA4B811" w14:textId="2312106D" w:rsidR="002D2B3B" w:rsidRPr="00DF4F1F" w:rsidRDefault="002D2B3B" w:rsidP="009220D1">
            <w:pPr>
              <w:pStyle w:val="NormalConSangria"/>
              <w:spacing w:after="0"/>
              <w:ind w:firstLine="0"/>
              <w:rPr>
                <w:sz w:val="14"/>
                <w:szCs w:val="14"/>
              </w:rPr>
            </w:pPr>
            <w:r w:rsidRPr="00DF4F1F">
              <w:rPr>
                <w:sz w:val="14"/>
                <w:szCs w:val="14"/>
              </w:rPr>
              <w:t xml:space="preserve">Llegada a Sri Lanka del </w:t>
            </w:r>
            <w:r w:rsidR="00057BF4" w:rsidRPr="00057BF4">
              <w:rPr>
                <w:i/>
                <w:sz w:val="14"/>
                <w:szCs w:val="14"/>
              </w:rPr>
              <w:t>Arahant</w:t>
            </w:r>
            <w:r w:rsidRPr="00DF4F1F">
              <w:rPr>
                <w:sz w:val="14"/>
                <w:szCs w:val="14"/>
              </w:rPr>
              <w:t xml:space="preserve"> </w:t>
            </w:r>
            <w:proofErr w:type="spellStart"/>
            <w:r w:rsidRPr="00DF4F1F">
              <w:rPr>
                <w:sz w:val="14"/>
                <w:szCs w:val="14"/>
              </w:rPr>
              <w:t>Mahinda</w:t>
            </w:r>
            <w:proofErr w:type="spellEnd"/>
            <w:r w:rsidRPr="00DF4F1F">
              <w:rPr>
                <w:sz w:val="14"/>
                <w:szCs w:val="14"/>
              </w:rPr>
              <w:t xml:space="preserve"> </w:t>
            </w:r>
            <w:r w:rsidR="00E30131">
              <w:rPr>
                <w:sz w:val="14"/>
                <w:szCs w:val="14"/>
              </w:rPr>
              <w:t>llevando el</w:t>
            </w:r>
            <w:r w:rsidRPr="00DF4F1F">
              <w:rPr>
                <w:sz w:val="14"/>
                <w:szCs w:val="14"/>
              </w:rPr>
              <w:t xml:space="preserve"> </w:t>
            </w:r>
            <w:r w:rsidRPr="00D70561">
              <w:rPr>
                <w:i/>
                <w:iCs/>
                <w:sz w:val="14"/>
                <w:szCs w:val="14"/>
              </w:rPr>
              <w:t>Tipiṭaka</w:t>
            </w:r>
            <w:r w:rsidRPr="00DF4F1F">
              <w:rPr>
                <w:sz w:val="14"/>
                <w:szCs w:val="14"/>
              </w:rPr>
              <w:t xml:space="preserve"> </w:t>
            </w:r>
            <w:r w:rsidR="00E30131">
              <w:rPr>
                <w:sz w:val="14"/>
                <w:szCs w:val="14"/>
              </w:rPr>
              <w:t xml:space="preserve">en </w:t>
            </w:r>
            <w:r w:rsidR="00E30131">
              <w:rPr>
                <w:i/>
                <w:iCs/>
                <w:sz w:val="14"/>
                <w:szCs w:val="14"/>
              </w:rPr>
              <w:t>Pāḷi</w:t>
            </w:r>
            <w:r w:rsidR="00E30131" w:rsidRPr="00DF4F1F">
              <w:rPr>
                <w:sz w:val="14"/>
                <w:szCs w:val="14"/>
              </w:rPr>
              <w:t xml:space="preserve"> </w:t>
            </w:r>
            <w:r w:rsidRPr="00DF4F1F">
              <w:rPr>
                <w:sz w:val="14"/>
                <w:szCs w:val="14"/>
              </w:rPr>
              <w:t xml:space="preserve">con </w:t>
            </w:r>
            <w:r w:rsidR="00E30131">
              <w:rPr>
                <w:sz w:val="14"/>
                <w:szCs w:val="14"/>
              </w:rPr>
              <w:t xml:space="preserve">sus </w:t>
            </w:r>
            <w:r w:rsidRPr="00DF4F1F">
              <w:rPr>
                <w:sz w:val="14"/>
                <w:szCs w:val="14"/>
              </w:rPr>
              <w:t xml:space="preserve">comentarios; Comentarios traducidos al cingalés; </w:t>
            </w:r>
            <w:r w:rsidR="00A57851">
              <w:rPr>
                <w:sz w:val="14"/>
                <w:szCs w:val="14"/>
              </w:rPr>
              <w:t xml:space="preserve">es </w:t>
            </w:r>
            <w:r w:rsidR="00A57851" w:rsidRPr="00DF4F1F">
              <w:rPr>
                <w:sz w:val="14"/>
                <w:szCs w:val="14"/>
              </w:rPr>
              <w:t>fundado</w:t>
            </w:r>
            <w:r w:rsidR="00A57851">
              <w:rPr>
                <w:sz w:val="14"/>
                <w:szCs w:val="14"/>
              </w:rPr>
              <w:t xml:space="preserve"> </w:t>
            </w:r>
            <w:r w:rsidR="00E30131">
              <w:rPr>
                <w:sz w:val="14"/>
                <w:szCs w:val="14"/>
              </w:rPr>
              <w:t xml:space="preserve">el </w:t>
            </w:r>
            <w:r w:rsidRPr="00DF4F1F">
              <w:rPr>
                <w:sz w:val="14"/>
                <w:szCs w:val="14"/>
              </w:rPr>
              <w:t xml:space="preserve">Gran </w:t>
            </w:r>
            <w:r w:rsidR="00E30131" w:rsidRPr="00DF4F1F">
              <w:rPr>
                <w:sz w:val="14"/>
                <w:szCs w:val="14"/>
              </w:rPr>
              <w:t>Monasterio</w:t>
            </w:r>
            <w:r w:rsidRPr="00DF4F1F">
              <w:rPr>
                <w:sz w:val="14"/>
                <w:szCs w:val="14"/>
              </w:rPr>
              <w:t>.</w:t>
            </w:r>
          </w:p>
          <w:p w14:paraId="7336413C" w14:textId="77777777" w:rsidR="002D2B3B" w:rsidRPr="00DF4F1F" w:rsidRDefault="002D2B3B" w:rsidP="009220D1">
            <w:pPr>
              <w:pStyle w:val="NormalConSangria"/>
              <w:spacing w:after="0"/>
              <w:ind w:firstLine="0"/>
              <w:rPr>
                <w:sz w:val="14"/>
                <w:szCs w:val="14"/>
              </w:rPr>
            </w:pPr>
          </w:p>
          <w:p w14:paraId="03718B91" w14:textId="17061D5B" w:rsidR="002D2B3B" w:rsidRPr="00DF4F1F" w:rsidRDefault="002D2B3B" w:rsidP="009220D1">
            <w:pPr>
              <w:pStyle w:val="NormalConSangria"/>
              <w:spacing w:after="0"/>
              <w:ind w:firstLine="0"/>
              <w:rPr>
                <w:sz w:val="14"/>
                <w:szCs w:val="14"/>
              </w:rPr>
            </w:pPr>
            <w:r w:rsidRPr="00DF4F1F">
              <w:rPr>
                <w:sz w:val="14"/>
                <w:szCs w:val="14"/>
              </w:rPr>
              <w:t xml:space="preserve">Expulsión de invasores después de 76 años de ocupación extranjera de </w:t>
            </w:r>
            <w:r w:rsidR="00E30131">
              <w:rPr>
                <w:sz w:val="14"/>
                <w:szCs w:val="14"/>
              </w:rPr>
              <w:t xml:space="preserve">la </w:t>
            </w:r>
            <w:r w:rsidRPr="00DF4F1F">
              <w:rPr>
                <w:sz w:val="14"/>
                <w:szCs w:val="14"/>
              </w:rPr>
              <w:t>capital; Restauración de la unidad y</w:t>
            </w:r>
            <w:r w:rsidR="00753C65">
              <w:rPr>
                <w:sz w:val="14"/>
                <w:szCs w:val="14"/>
              </w:rPr>
              <w:t xml:space="preserve"> de</w:t>
            </w:r>
            <w:r w:rsidRPr="00DF4F1F">
              <w:rPr>
                <w:sz w:val="14"/>
                <w:szCs w:val="14"/>
              </w:rPr>
              <w:t xml:space="preserve"> la independencia.</w:t>
            </w:r>
          </w:p>
          <w:p w14:paraId="3603FB64" w14:textId="77777777" w:rsidR="002D2B3B" w:rsidRPr="00DF4F1F" w:rsidRDefault="002D2B3B" w:rsidP="009220D1">
            <w:pPr>
              <w:pStyle w:val="NormalConSangria"/>
              <w:spacing w:after="0"/>
              <w:ind w:firstLine="0"/>
              <w:rPr>
                <w:sz w:val="14"/>
                <w:szCs w:val="14"/>
              </w:rPr>
            </w:pPr>
          </w:p>
          <w:p w14:paraId="51CFEA44" w14:textId="0FE36DBD" w:rsidR="002D2B3B" w:rsidRPr="00DF4F1F" w:rsidRDefault="002D2B3B" w:rsidP="009220D1">
            <w:pPr>
              <w:pStyle w:val="NormalConSangria"/>
              <w:spacing w:after="0"/>
              <w:ind w:firstLine="0"/>
              <w:rPr>
                <w:sz w:val="14"/>
                <w:szCs w:val="14"/>
              </w:rPr>
            </w:pPr>
            <w:r w:rsidRPr="00DF4F1F">
              <w:rPr>
                <w:sz w:val="14"/>
                <w:szCs w:val="14"/>
              </w:rPr>
              <w:t xml:space="preserve">Muchos nombres de </w:t>
            </w:r>
            <w:r w:rsidR="00E30131">
              <w:rPr>
                <w:sz w:val="14"/>
                <w:szCs w:val="14"/>
              </w:rPr>
              <w:t xml:space="preserve">los </w:t>
            </w:r>
            <w:r w:rsidR="009C3845">
              <w:rPr>
                <w:sz w:val="14"/>
                <w:szCs w:val="14"/>
              </w:rPr>
              <w:t xml:space="preserve">Venerables </w:t>
            </w:r>
            <w:r w:rsidRPr="00DF4F1F">
              <w:rPr>
                <w:sz w:val="14"/>
                <w:szCs w:val="14"/>
              </w:rPr>
              <w:t xml:space="preserve">del </w:t>
            </w:r>
            <w:r w:rsidR="00217843" w:rsidRPr="00DF4F1F">
              <w:rPr>
                <w:sz w:val="14"/>
                <w:szCs w:val="14"/>
              </w:rPr>
              <w:t>Gran Monasterio</w:t>
            </w:r>
            <w:r w:rsidRPr="00DF4F1F">
              <w:rPr>
                <w:sz w:val="14"/>
                <w:szCs w:val="14"/>
              </w:rPr>
              <w:t xml:space="preserve"> </w:t>
            </w:r>
            <w:r w:rsidR="00217843">
              <w:rPr>
                <w:sz w:val="14"/>
                <w:szCs w:val="14"/>
              </w:rPr>
              <w:t xml:space="preserve">son registrados </w:t>
            </w:r>
            <w:r w:rsidRPr="00DF4F1F">
              <w:rPr>
                <w:sz w:val="14"/>
                <w:szCs w:val="14"/>
              </w:rPr>
              <w:t xml:space="preserve">en </w:t>
            </w:r>
            <w:r w:rsidR="00217843">
              <w:rPr>
                <w:sz w:val="14"/>
                <w:szCs w:val="14"/>
              </w:rPr>
              <w:t xml:space="preserve">los </w:t>
            </w:r>
            <w:r w:rsidR="00217843" w:rsidRPr="00DF4F1F">
              <w:rPr>
                <w:sz w:val="14"/>
                <w:szCs w:val="14"/>
              </w:rPr>
              <w:t xml:space="preserve">Comentarios </w:t>
            </w:r>
            <w:r w:rsidR="00217843">
              <w:rPr>
                <w:sz w:val="14"/>
                <w:szCs w:val="14"/>
              </w:rPr>
              <w:t>por su</w:t>
            </w:r>
            <w:r w:rsidRPr="00DF4F1F">
              <w:rPr>
                <w:sz w:val="14"/>
                <w:szCs w:val="14"/>
              </w:rPr>
              <w:t xml:space="preserve"> comportamiento virtuoso, rastreables </w:t>
            </w:r>
            <w:r w:rsidR="00EF47D0">
              <w:rPr>
                <w:sz w:val="14"/>
                <w:szCs w:val="14"/>
              </w:rPr>
              <w:t xml:space="preserve">hasta </w:t>
            </w:r>
            <w:r w:rsidR="00ED3E31">
              <w:rPr>
                <w:sz w:val="14"/>
                <w:szCs w:val="14"/>
              </w:rPr>
              <w:t>entonces</w:t>
            </w:r>
            <w:r w:rsidRPr="00DF4F1F">
              <w:rPr>
                <w:sz w:val="14"/>
                <w:szCs w:val="14"/>
              </w:rPr>
              <w:t xml:space="preserve"> y después del reinado.</w:t>
            </w:r>
          </w:p>
          <w:p w14:paraId="305B22B9" w14:textId="77777777" w:rsidR="002D2B3B" w:rsidRPr="00DF4F1F" w:rsidRDefault="002D2B3B" w:rsidP="009220D1">
            <w:pPr>
              <w:pStyle w:val="NormalConSangria"/>
              <w:spacing w:after="0"/>
              <w:ind w:firstLine="0"/>
              <w:rPr>
                <w:sz w:val="14"/>
                <w:szCs w:val="14"/>
              </w:rPr>
            </w:pPr>
          </w:p>
          <w:p w14:paraId="334FDBE3" w14:textId="76BF0D6D" w:rsidR="002D2B3B" w:rsidRPr="00DF4F1F" w:rsidRDefault="002D2B3B" w:rsidP="009220D1">
            <w:pPr>
              <w:pStyle w:val="NormalConSangria"/>
              <w:spacing w:after="0"/>
              <w:ind w:firstLine="0"/>
              <w:rPr>
                <w:sz w:val="14"/>
                <w:szCs w:val="14"/>
              </w:rPr>
            </w:pPr>
            <w:r w:rsidRPr="00DF4F1F">
              <w:rPr>
                <w:sz w:val="14"/>
                <w:szCs w:val="14"/>
              </w:rPr>
              <w:t>Rein</w:t>
            </w:r>
            <w:r w:rsidR="00DF4F1F">
              <w:rPr>
                <w:sz w:val="14"/>
                <w:szCs w:val="14"/>
              </w:rPr>
              <w:t>ado</w:t>
            </w:r>
            <w:r w:rsidRPr="00DF4F1F">
              <w:rPr>
                <w:sz w:val="14"/>
                <w:szCs w:val="14"/>
              </w:rPr>
              <w:t xml:space="preserve"> interrumpi</w:t>
            </w:r>
            <w:r w:rsidR="00DF4F1F">
              <w:rPr>
                <w:sz w:val="14"/>
                <w:szCs w:val="14"/>
              </w:rPr>
              <w:t>do</w:t>
            </w:r>
            <w:r w:rsidRPr="00DF4F1F">
              <w:rPr>
                <w:sz w:val="14"/>
                <w:szCs w:val="14"/>
              </w:rPr>
              <w:t xml:space="preserve"> después de 5 meses </w:t>
            </w:r>
            <w:r w:rsidR="00F040EE">
              <w:rPr>
                <w:sz w:val="14"/>
                <w:szCs w:val="14"/>
              </w:rPr>
              <w:t>de</w:t>
            </w:r>
            <w:r w:rsidRPr="00DF4F1F">
              <w:rPr>
                <w:sz w:val="14"/>
                <w:szCs w:val="14"/>
              </w:rPr>
              <w:t xml:space="preserve"> rebelión </w:t>
            </w:r>
            <w:r w:rsidR="00F040EE">
              <w:rPr>
                <w:sz w:val="14"/>
                <w:szCs w:val="14"/>
              </w:rPr>
              <w:t>por</w:t>
            </w:r>
            <w:r w:rsidRPr="00DF4F1F">
              <w:rPr>
                <w:sz w:val="14"/>
                <w:szCs w:val="14"/>
              </w:rPr>
              <w:t xml:space="preserve"> </w:t>
            </w:r>
            <w:r w:rsidRPr="00EF47D0">
              <w:rPr>
                <w:sz w:val="14"/>
                <w:szCs w:val="14"/>
              </w:rPr>
              <w:t>Brahman</w:t>
            </w:r>
            <w:r w:rsidRPr="00DF4F1F">
              <w:rPr>
                <w:sz w:val="14"/>
                <w:szCs w:val="14"/>
              </w:rPr>
              <w:t xml:space="preserve"> </w:t>
            </w:r>
            <w:proofErr w:type="spellStart"/>
            <w:r w:rsidRPr="00DF4F1F">
              <w:rPr>
                <w:sz w:val="14"/>
                <w:szCs w:val="14"/>
              </w:rPr>
              <w:t>Tissa</w:t>
            </w:r>
            <w:proofErr w:type="spellEnd"/>
            <w:r w:rsidR="00F040EE">
              <w:rPr>
                <w:sz w:val="14"/>
                <w:szCs w:val="14"/>
              </w:rPr>
              <w:t>;</w:t>
            </w:r>
            <w:r w:rsidRPr="00DF4F1F">
              <w:rPr>
                <w:sz w:val="14"/>
                <w:szCs w:val="14"/>
              </w:rPr>
              <w:t xml:space="preserve"> hambruna, invasión y exilio del </w:t>
            </w:r>
            <w:r w:rsidR="00271A14" w:rsidRPr="00DF4F1F">
              <w:rPr>
                <w:sz w:val="14"/>
                <w:szCs w:val="14"/>
              </w:rPr>
              <w:t>Rey</w:t>
            </w:r>
            <w:r w:rsidRPr="00DF4F1F">
              <w:rPr>
                <w:sz w:val="14"/>
                <w:szCs w:val="14"/>
              </w:rPr>
              <w:t>.</w:t>
            </w:r>
          </w:p>
          <w:p w14:paraId="19B374A6" w14:textId="77777777" w:rsidR="002D2B3B" w:rsidRPr="00DF4F1F" w:rsidRDefault="002D2B3B" w:rsidP="009220D1">
            <w:pPr>
              <w:pStyle w:val="NormalConSangria"/>
              <w:spacing w:after="0"/>
              <w:ind w:firstLine="0"/>
              <w:rPr>
                <w:sz w:val="14"/>
                <w:szCs w:val="14"/>
              </w:rPr>
            </w:pPr>
          </w:p>
          <w:p w14:paraId="148ECE56" w14:textId="7D5DB88F" w:rsidR="002D2B3B" w:rsidRPr="00DF4F1F" w:rsidRDefault="00EF47D0" w:rsidP="009220D1">
            <w:pPr>
              <w:pStyle w:val="NormalConSangria"/>
              <w:spacing w:after="0"/>
              <w:ind w:firstLine="0"/>
              <w:rPr>
                <w:sz w:val="14"/>
                <w:szCs w:val="14"/>
              </w:rPr>
            </w:pPr>
            <w:r>
              <w:rPr>
                <w:sz w:val="14"/>
                <w:szCs w:val="14"/>
              </w:rPr>
              <w:t xml:space="preserve">Los </w:t>
            </w:r>
            <w:proofErr w:type="spellStart"/>
            <w:r w:rsidRPr="00057BF4">
              <w:rPr>
                <w:i/>
                <w:iCs/>
                <w:sz w:val="14"/>
                <w:szCs w:val="14"/>
              </w:rPr>
              <w:t>bhikkhu</w:t>
            </w:r>
            <w:r w:rsidRPr="00DF4F1F">
              <w:rPr>
                <w:i/>
                <w:iCs/>
                <w:sz w:val="14"/>
                <w:szCs w:val="14"/>
              </w:rPr>
              <w:t>s</w:t>
            </w:r>
            <w:proofErr w:type="spellEnd"/>
            <w:r w:rsidRPr="00DF4F1F">
              <w:rPr>
                <w:sz w:val="14"/>
                <w:szCs w:val="14"/>
              </w:rPr>
              <w:t xml:space="preserve"> </w:t>
            </w:r>
            <w:r w:rsidR="002D2B3B" w:rsidRPr="00DF4F1F">
              <w:rPr>
                <w:sz w:val="14"/>
                <w:szCs w:val="14"/>
              </w:rPr>
              <w:t xml:space="preserve">se dispersan desde </w:t>
            </w:r>
            <w:r>
              <w:rPr>
                <w:sz w:val="14"/>
                <w:szCs w:val="14"/>
              </w:rPr>
              <w:t>el</w:t>
            </w:r>
            <w:r w:rsidR="002D2B3B" w:rsidRPr="00DF4F1F">
              <w:rPr>
                <w:sz w:val="14"/>
                <w:szCs w:val="14"/>
              </w:rPr>
              <w:t xml:space="preserve"> </w:t>
            </w:r>
            <w:r w:rsidRPr="00DF4F1F">
              <w:rPr>
                <w:sz w:val="14"/>
                <w:szCs w:val="14"/>
              </w:rPr>
              <w:t xml:space="preserve">Gran Monasterio </w:t>
            </w:r>
            <w:r w:rsidR="002D2B3B" w:rsidRPr="00DF4F1F">
              <w:rPr>
                <w:sz w:val="14"/>
                <w:szCs w:val="14"/>
              </w:rPr>
              <w:t>ha</w:t>
            </w:r>
            <w:r w:rsidR="00FF6A8A">
              <w:rPr>
                <w:sz w:val="14"/>
                <w:szCs w:val="14"/>
              </w:rPr>
              <w:t>cia</w:t>
            </w:r>
            <w:r w:rsidR="002D2B3B" w:rsidRPr="00DF4F1F">
              <w:rPr>
                <w:sz w:val="14"/>
                <w:szCs w:val="14"/>
              </w:rPr>
              <w:t xml:space="preserve"> </w:t>
            </w:r>
            <w:r w:rsidR="00FF6A8A">
              <w:rPr>
                <w:sz w:val="14"/>
                <w:szCs w:val="14"/>
              </w:rPr>
              <w:t>el Sur de</w:t>
            </w:r>
            <w:r w:rsidR="002D2B3B" w:rsidRPr="00DF4F1F">
              <w:rPr>
                <w:sz w:val="14"/>
                <w:szCs w:val="14"/>
              </w:rPr>
              <w:t xml:space="preserve"> SL y </w:t>
            </w:r>
            <w:r w:rsidR="00FF6A8A">
              <w:rPr>
                <w:sz w:val="14"/>
                <w:szCs w:val="14"/>
              </w:rPr>
              <w:t>hacia</w:t>
            </w:r>
            <w:r w:rsidR="002D2B3B" w:rsidRPr="00DF4F1F">
              <w:rPr>
                <w:sz w:val="14"/>
                <w:szCs w:val="14"/>
              </w:rPr>
              <w:t xml:space="preserve"> la India.</w:t>
            </w:r>
          </w:p>
          <w:p w14:paraId="458E7E67" w14:textId="77777777" w:rsidR="002D2B3B" w:rsidRPr="00DF4F1F" w:rsidRDefault="002D2B3B" w:rsidP="009220D1">
            <w:pPr>
              <w:pStyle w:val="NormalConSangria"/>
              <w:spacing w:after="0"/>
              <w:ind w:firstLine="0"/>
              <w:rPr>
                <w:sz w:val="14"/>
                <w:szCs w:val="14"/>
              </w:rPr>
            </w:pPr>
          </w:p>
          <w:p w14:paraId="06940200" w14:textId="40F5C0FF" w:rsidR="002D2B3B" w:rsidRPr="00DF4F1F" w:rsidRDefault="002D2B3B" w:rsidP="009220D1">
            <w:pPr>
              <w:pStyle w:val="NormalConSangria"/>
              <w:spacing w:after="0"/>
              <w:ind w:firstLine="0"/>
              <w:rPr>
                <w:sz w:val="14"/>
                <w:szCs w:val="14"/>
              </w:rPr>
            </w:pPr>
            <w:r w:rsidRPr="00DF4F1F">
              <w:rPr>
                <w:sz w:val="14"/>
                <w:szCs w:val="14"/>
              </w:rPr>
              <w:t xml:space="preserve">Restauración del </w:t>
            </w:r>
            <w:r w:rsidR="00271A14" w:rsidRPr="00DF4F1F">
              <w:rPr>
                <w:sz w:val="14"/>
                <w:szCs w:val="14"/>
              </w:rPr>
              <w:t xml:space="preserve">Rey </w:t>
            </w:r>
            <w:r w:rsidRPr="00DF4F1F">
              <w:rPr>
                <w:sz w:val="14"/>
                <w:szCs w:val="14"/>
              </w:rPr>
              <w:t xml:space="preserve">después de 14 años y regreso de </w:t>
            </w:r>
            <w:r w:rsidR="00FF6A8A">
              <w:rPr>
                <w:sz w:val="14"/>
                <w:szCs w:val="14"/>
              </w:rPr>
              <w:t xml:space="preserve">los </w:t>
            </w:r>
            <w:proofErr w:type="spellStart"/>
            <w:r w:rsidR="00FF6A8A" w:rsidRPr="00057BF4">
              <w:rPr>
                <w:i/>
                <w:iCs/>
                <w:sz w:val="14"/>
                <w:szCs w:val="14"/>
              </w:rPr>
              <w:t>bhikkhu</w:t>
            </w:r>
            <w:r w:rsidR="00FF6A8A" w:rsidRPr="00DF4F1F">
              <w:rPr>
                <w:i/>
                <w:iCs/>
                <w:sz w:val="14"/>
                <w:szCs w:val="14"/>
              </w:rPr>
              <w:t>s</w:t>
            </w:r>
            <w:proofErr w:type="spellEnd"/>
            <w:r w:rsidRPr="00DF4F1F">
              <w:rPr>
                <w:sz w:val="14"/>
                <w:szCs w:val="14"/>
              </w:rPr>
              <w:t>.</w:t>
            </w:r>
          </w:p>
          <w:p w14:paraId="771D5F89" w14:textId="77777777" w:rsidR="002D2B3B" w:rsidRPr="00DF4F1F" w:rsidRDefault="002D2B3B" w:rsidP="009220D1">
            <w:pPr>
              <w:pStyle w:val="NormalConSangria"/>
              <w:spacing w:after="0"/>
              <w:ind w:firstLine="0"/>
              <w:rPr>
                <w:sz w:val="14"/>
                <w:szCs w:val="14"/>
              </w:rPr>
            </w:pPr>
          </w:p>
          <w:p w14:paraId="3CE70B0C" w14:textId="476569FE" w:rsidR="002D2B3B" w:rsidRPr="00DF4F1F" w:rsidRDefault="002D2B3B" w:rsidP="009220D1">
            <w:pPr>
              <w:pStyle w:val="NormalConSangria"/>
              <w:spacing w:after="0"/>
              <w:ind w:firstLine="0"/>
              <w:rPr>
                <w:sz w:val="14"/>
                <w:szCs w:val="14"/>
              </w:rPr>
            </w:pPr>
            <w:r w:rsidRPr="00DF4F1F">
              <w:rPr>
                <w:sz w:val="14"/>
                <w:szCs w:val="14"/>
              </w:rPr>
              <w:t xml:space="preserve">Fundación del </w:t>
            </w:r>
            <w:r w:rsidR="00FF6A8A" w:rsidRPr="00DF4F1F">
              <w:rPr>
                <w:sz w:val="14"/>
                <w:szCs w:val="14"/>
              </w:rPr>
              <w:t xml:space="preserve">Monasterio </w:t>
            </w:r>
            <w:proofErr w:type="spellStart"/>
            <w:r w:rsidRPr="00DF4F1F">
              <w:rPr>
                <w:sz w:val="14"/>
                <w:szCs w:val="14"/>
              </w:rPr>
              <w:t>Abhayagiri</w:t>
            </w:r>
            <w:proofErr w:type="spellEnd"/>
            <w:r w:rsidRPr="00DF4F1F">
              <w:rPr>
                <w:sz w:val="14"/>
                <w:szCs w:val="14"/>
              </w:rPr>
              <w:t xml:space="preserve"> por </w:t>
            </w:r>
            <w:r w:rsidR="00F040EE">
              <w:rPr>
                <w:sz w:val="14"/>
                <w:szCs w:val="14"/>
              </w:rPr>
              <w:t>medio d</w:t>
            </w:r>
            <w:r w:rsidR="00DF4F1F">
              <w:rPr>
                <w:sz w:val="14"/>
                <w:szCs w:val="14"/>
              </w:rPr>
              <w:t>el Rey</w:t>
            </w:r>
            <w:r w:rsidRPr="00DF4F1F">
              <w:rPr>
                <w:sz w:val="14"/>
                <w:szCs w:val="14"/>
              </w:rPr>
              <w:t>.</w:t>
            </w:r>
          </w:p>
          <w:p w14:paraId="069FA401" w14:textId="77777777" w:rsidR="002D2B3B" w:rsidRPr="00DF4F1F" w:rsidRDefault="002D2B3B" w:rsidP="009220D1">
            <w:pPr>
              <w:pStyle w:val="NormalConSangria"/>
              <w:spacing w:after="0"/>
              <w:ind w:firstLine="0"/>
              <w:rPr>
                <w:sz w:val="14"/>
                <w:szCs w:val="14"/>
              </w:rPr>
            </w:pPr>
          </w:p>
          <w:p w14:paraId="35636945" w14:textId="74162494" w:rsidR="002D2B3B" w:rsidRPr="00DF4F1F" w:rsidRDefault="002D2B3B" w:rsidP="009220D1">
            <w:pPr>
              <w:pStyle w:val="NormalConSangria"/>
              <w:spacing w:after="0"/>
              <w:ind w:firstLine="0"/>
              <w:rPr>
                <w:sz w:val="14"/>
                <w:szCs w:val="14"/>
              </w:rPr>
            </w:pPr>
            <w:r w:rsidRPr="00DF4F1F">
              <w:rPr>
                <w:sz w:val="14"/>
                <w:szCs w:val="14"/>
              </w:rPr>
              <w:t xml:space="preserve">El </w:t>
            </w:r>
            <w:r w:rsidR="00FF6A8A" w:rsidRPr="00DF4F1F">
              <w:rPr>
                <w:sz w:val="14"/>
                <w:szCs w:val="14"/>
              </w:rPr>
              <w:t xml:space="preserve">Monasterio </w:t>
            </w:r>
            <w:proofErr w:type="spellStart"/>
            <w:r w:rsidRPr="00DF4F1F">
              <w:rPr>
                <w:sz w:val="14"/>
                <w:szCs w:val="14"/>
              </w:rPr>
              <w:t>Abhayagiri</w:t>
            </w:r>
            <w:proofErr w:type="spellEnd"/>
            <w:r w:rsidRPr="00DF4F1F">
              <w:rPr>
                <w:sz w:val="14"/>
                <w:szCs w:val="14"/>
              </w:rPr>
              <w:t xml:space="preserve"> se separa del </w:t>
            </w:r>
            <w:r w:rsidR="00FF6A8A" w:rsidRPr="00DF4F1F">
              <w:rPr>
                <w:sz w:val="14"/>
                <w:szCs w:val="14"/>
              </w:rPr>
              <w:t xml:space="preserve">Gran Monasterio </w:t>
            </w:r>
            <w:r w:rsidRPr="00DF4F1F">
              <w:rPr>
                <w:sz w:val="14"/>
                <w:szCs w:val="14"/>
              </w:rPr>
              <w:t xml:space="preserve">y se </w:t>
            </w:r>
            <w:r w:rsidR="00E431C4">
              <w:rPr>
                <w:sz w:val="14"/>
                <w:szCs w:val="14"/>
              </w:rPr>
              <w:t>hace</w:t>
            </w:r>
            <w:r w:rsidRPr="00DF4F1F">
              <w:rPr>
                <w:sz w:val="14"/>
                <w:szCs w:val="14"/>
              </w:rPr>
              <w:t xml:space="preserve"> cismático.</w:t>
            </w:r>
          </w:p>
          <w:p w14:paraId="41CA4AAB" w14:textId="77777777" w:rsidR="002D2B3B" w:rsidRPr="00DF4F1F" w:rsidRDefault="002D2B3B" w:rsidP="009220D1">
            <w:pPr>
              <w:pStyle w:val="NormalConSangria"/>
              <w:spacing w:after="0"/>
              <w:ind w:firstLine="0"/>
              <w:rPr>
                <w:sz w:val="14"/>
                <w:szCs w:val="14"/>
              </w:rPr>
            </w:pPr>
          </w:p>
          <w:p w14:paraId="089F4A5B" w14:textId="580D90CB" w:rsidR="002D2B3B" w:rsidRPr="00DF4F1F" w:rsidRDefault="002D2B3B" w:rsidP="009220D1">
            <w:pPr>
              <w:pStyle w:val="NormalConSangria"/>
              <w:spacing w:after="0"/>
              <w:ind w:firstLine="0"/>
              <w:rPr>
                <w:sz w:val="14"/>
                <w:szCs w:val="14"/>
              </w:rPr>
            </w:pPr>
            <w:r w:rsidRPr="00DF4F1F">
              <w:rPr>
                <w:sz w:val="14"/>
                <w:szCs w:val="14"/>
              </w:rPr>
              <w:t xml:space="preserve">Comisión </w:t>
            </w:r>
            <w:r w:rsidR="006A7B6C">
              <w:rPr>
                <w:sz w:val="14"/>
                <w:szCs w:val="14"/>
              </w:rPr>
              <w:t>d</w:t>
            </w:r>
            <w:r w:rsidRPr="00DF4F1F">
              <w:rPr>
                <w:sz w:val="14"/>
                <w:szCs w:val="14"/>
              </w:rPr>
              <w:t xml:space="preserve">el Gran Monasterio </w:t>
            </w:r>
            <w:r w:rsidR="006A7B6C">
              <w:rPr>
                <w:sz w:val="14"/>
                <w:szCs w:val="14"/>
              </w:rPr>
              <w:t>para</w:t>
            </w:r>
            <w:r w:rsidR="006A7B6C" w:rsidRPr="00DF4F1F">
              <w:rPr>
                <w:sz w:val="14"/>
                <w:szCs w:val="14"/>
              </w:rPr>
              <w:t xml:space="preserve"> escribir </w:t>
            </w:r>
            <w:r w:rsidR="006A7B6C">
              <w:rPr>
                <w:sz w:val="14"/>
                <w:szCs w:val="14"/>
              </w:rPr>
              <w:t xml:space="preserve">el </w:t>
            </w:r>
            <w:r w:rsidRPr="00893803">
              <w:rPr>
                <w:i/>
                <w:iCs/>
                <w:sz w:val="14"/>
                <w:szCs w:val="14"/>
              </w:rPr>
              <w:t>Tipiṭaka</w:t>
            </w:r>
            <w:r w:rsidRPr="00DF4F1F">
              <w:rPr>
                <w:sz w:val="14"/>
                <w:szCs w:val="14"/>
              </w:rPr>
              <w:t xml:space="preserve"> </w:t>
            </w:r>
            <w:r w:rsidR="00893803">
              <w:rPr>
                <w:sz w:val="14"/>
                <w:szCs w:val="14"/>
              </w:rPr>
              <w:t xml:space="preserve">en </w:t>
            </w:r>
            <w:r w:rsidR="00893803" w:rsidRPr="00AD6B1D">
              <w:rPr>
                <w:i/>
                <w:sz w:val="14"/>
                <w:szCs w:val="14"/>
              </w:rPr>
              <w:t>Pāḷi</w:t>
            </w:r>
            <w:r w:rsidR="00893803">
              <w:rPr>
                <w:i/>
                <w:sz w:val="14"/>
                <w:szCs w:val="14"/>
              </w:rPr>
              <w:t>,</w:t>
            </w:r>
            <w:r w:rsidR="00893803" w:rsidRPr="00DF4F1F">
              <w:rPr>
                <w:sz w:val="14"/>
                <w:szCs w:val="14"/>
              </w:rPr>
              <w:t xml:space="preserve"> </w:t>
            </w:r>
            <w:r w:rsidRPr="00DF4F1F">
              <w:rPr>
                <w:sz w:val="14"/>
                <w:szCs w:val="14"/>
              </w:rPr>
              <w:t xml:space="preserve">por primera vez (lejos de </w:t>
            </w:r>
            <w:r w:rsidR="00BB4BB9">
              <w:rPr>
                <w:sz w:val="14"/>
                <w:szCs w:val="14"/>
              </w:rPr>
              <w:t xml:space="preserve">la </w:t>
            </w:r>
            <w:r w:rsidRPr="00DF4F1F">
              <w:rPr>
                <w:sz w:val="14"/>
                <w:szCs w:val="14"/>
              </w:rPr>
              <w:t>Capital</w:t>
            </w:r>
            <w:r w:rsidR="00BB4BB9" w:rsidRPr="00DF4F1F">
              <w:rPr>
                <w:sz w:val="14"/>
                <w:szCs w:val="14"/>
              </w:rPr>
              <w:t xml:space="preserve"> Royal</w:t>
            </w:r>
            <w:r w:rsidRPr="00DF4F1F">
              <w:rPr>
                <w:sz w:val="14"/>
                <w:szCs w:val="14"/>
              </w:rPr>
              <w:t>).</w:t>
            </w:r>
          </w:p>
          <w:p w14:paraId="61F43C6E" w14:textId="77777777" w:rsidR="002D2B3B" w:rsidRPr="00DF4F1F" w:rsidRDefault="002D2B3B" w:rsidP="009220D1">
            <w:pPr>
              <w:pStyle w:val="NormalConSangria"/>
              <w:spacing w:after="0"/>
              <w:ind w:firstLine="0"/>
              <w:rPr>
                <w:sz w:val="14"/>
                <w:szCs w:val="14"/>
              </w:rPr>
            </w:pPr>
          </w:p>
          <w:p w14:paraId="71BF2AB7" w14:textId="77777777" w:rsidR="002D2B3B" w:rsidRPr="00DF4F1F" w:rsidRDefault="002D2B3B" w:rsidP="009220D1">
            <w:pPr>
              <w:pStyle w:val="NormalConSangria"/>
              <w:spacing w:after="0"/>
              <w:ind w:firstLine="0"/>
              <w:rPr>
                <w:sz w:val="14"/>
                <w:szCs w:val="14"/>
              </w:rPr>
            </w:pPr>
          </w:p>
          <w:p w14:paraId="4DD697C1" w14:textId="76E02F99" w:rsidR="002D2B3B" w:rsidRPr="00DF4F1F" w:rsidRDefault="002D2B3B" w:rsidP="009220D1">
            <w:pPr>
              <w:pStyle w:val="NormalConSangria"/>
              <w:spacing w:after="0"/>
              <w:ind w:firstLine="0"/>
              <w:rPr>
                <w:sz w:val="14"/>
                <w:szCs w:val="14"/>
              </w:rPr>
            </w:pPr>
            <w:r w:rsidRPr="00DF4F1F">
              <w:rPr>
                <w:sz w:val="14"/>
                <w:szCs w:val="14"/>
              </w:rPr>
              <w:t xml:space="preserve">El </w:t>
            </w:r>
            <w:r w:rsidR="00FA7E3E" w:rsidRPr="00DF4F1F">
              <w:rPr>
                <w:sz w:val="14"/>
                <w:szCs w:val="14"/>
              </w:rPr>
              <w:t xml:space="preserve">Monasterio </w:t>
            </w:r>
            <w:proofErr w:type="spellStart"/>
            <w:r w:rsidR="00FA7E3E" w:rsidRPr="00DF4F1F">
              <w:rPr>
                <w:sz w:val="14"/>
                <w:szCs w:val="14"/>
              </w:rPr>
              <w:t>Abhayagiri</w:t>
            </w:r>
            <w:proofErr w:type="spellEnd"/>
            <w:r w:rsidR="00FA7E3E" w:rsidRPr="00DF4F1F">
              <w:rPr>
                <w:sz w:val="14"/>
                <w:szCs w:val="14"/>
              </w:rPr>
              <w:t xml:space="preserve"> </w:t>
            </w:r>
            <w:r w:rsidRPr="00DF4F1F">
              <w:rPr>
                <w:sz w:val="14"/>
                <w:szCs w:val="14"/>
              </w:rPr>
              <w:t>adopta</w:t>
            </w:r>
            <w:r w:rsidR="00FA7E3E">
              <w:rPr>
                <w:sz w:val="14"/>
                <w:szCs w:val="14"/>
              </w:rPr>
              <w:t xml:space="preserve"> el</w:t>
            </w:r>
          </w:p>
          <w:p w14:paraId="04763AF7" w14:textId="35493A56" w:rsidR="00D4098B" w:rsidRPr="00DF4F1F" w:rsidRDefault="002D2B3B" w:rsidP="009220D1">
            <w:pPr>
              <w:pStyle w:val="NormalConSangria"/>
              <w:spacing w:after="0"/>
              <w:ind w:firstLine="0"/>
              <w:rPr>
                <w:sz w:val="14"/>
                <w:szCs w:val="14"/>
              </w:rPr>
            </w:pPr>
            <w:r w:rsidRPr="00DF4F1F">
              <w:rPr>
                <w:sz w:val="14"/>
                <w:szCs w:val="14"/>
              </w:rPr>
              <w:t>"</w:t>
            </w:r>
            <w:proofErr w:type="spellStart"/>
            <w:r w:rsidR="00057BF4" w:rsidRPr="00057BF4">
              <w:rPr>
                <w:i/>
                <w:iCs/>
                <w:sz w:val="14"/>
                <w:szCs w:val="14"/>
              </w:rPr>
              <w:t>Dhamma</w:t>
            </w:r>
            <w:r w:rsidRPr="00DF4F1F">
              <w:rPr>
                <w:i/>
                <w:iCs/>
                <w:sz w:val="14"/>
                <w:szCs w:val="14"/>
              </w:rPr>
              <w:t>ruci</w:t>
            </w:r>
            <w:proofErr w:type="spellEnd"/>
            <w:r w:rsidRPr="00DF4F1F">
              <w:rPr>
                <w:i/>
                <w:iCs/>
                <w:sz w:val="14"/>
                <w:szCs w:val="14"/>
              </w:rPr>
              <w:t xml:space="preserve"> </w:t>
            </w:r>
            <w:proofErr w:type="spellStart"/>
            <w:r w:rsidRPr="00DF4F1F">
              <w:rPr>
                <w:i/>
                <w:iCs/>
                <w:sz w:val="14"/>
                <w:szCs w:val="14"/>
              </w:rPr>
              <w:t>nikāya</w:t>
            </w:r>
            <w:proofErr w:type="spellEnd"/>
            <w:r w:rsidRPr="00DF4F1F">
              <w:rPr>
                <w:sz w:val="14"/>
                <w:szCs w:val="14"/>
              </w:rPr>
              <w:t xml:space="preserve"> de la </w:t>
            </w:r>
            <w:r w:rsidR="00FA7E3E" w:rsidRPr="00DF4F1F">
              <w:rPr>
                <w:sz w:val="14"/>
                <w:szCs w:val="14"/>
              </w:rPr>
              <w:t xml:space="preserve">Secta </w:t>
            </w:r>
            <w:proofErr w:type="spellStart"/>
            <w:r w:rsidRPr="00DF4F1F">
              <w:rPr>
                <w:sz w:val="14"/>
                <w:szCs w:val="14"/>
              </w:rPr>
              <w:t>Vajjiputtaka</w:t>
            </w:r>
            <w:proofErr w:type="spellEnd"/>
            <w:r w:rsidRPr="00DF4F1F">
              <w:rPr>
                <w:sz w:val="14"/>
                <w:szCs w:val="14"/>
              </w:rPr>
              <w:t>" de la India.</w:t>
            </w:r>
          </w:p>
        </w:tc>
        <w:tc>
          <w:tcPr>
            <w:tcW w:w="1605" w:type="dxa"/>
          </w:tcPr>
          <w:p w14:paraId="6530BC58" w14:textId="355F301F" w:rsidR="00664BB3" w:rsidRPr="00DF4F1F" w:rsidRDefault="00664BB3" w:rsidP="009220D1">
            <w:pPr>
              <w:pStyle w:val="NormalConSangria"/>
              <w:spacing w:after="0"/>
              <w:ind w:firstLine="0"/>
              <w:rPr>
                <w:sz w:val="14"/>
                <w:szCs w:val="14"/>
              </w:rPr>
            </w:pPr>
            <w:proofErr w:type="spellStart"/>
            <w:r w:rsidRPr="00D52FD3">
              <w:rPr>
                <w:i/>
                <w:iCs/>
                <w:sz w:val="14"/>
                <w:szCs w:val="14"/>
              </w:rPr>
              <w:t>Mahāvaṃsa</w:t>
            </w:r>
            <w:proofErr w:type="spellEnd"/>
            <w:r w:rsidRPr="00DF4F1F">
              <w:rPr>
                <w:sz w:val="14"/>
                <w:szCs w:val="14"/>
              </w:rPr>
              <w:t xml:space="preserve">, </w:t>
            </w:r>
            <w:proofErr w:type="spellStart"/>
            <w:r w:rsidR="0037168F" w:rsidRPr="00DF4F1F">
              <w:rPr>
                <w:sz w:val="14"/>
                <w:szCs w:val="14"/>
              </w:rPr>
              <w:t>Mhv</w:t>
            </w:r>
            <w:proofErr w:type="spellEnd"/>
            <w:r w:rsidR="0037168F" w:rsidRPr="00DF4F1F">
              <w:rPr>
                <w:sz w:val="14"/>
                <w:szCs w:val="14"/>
              </w:rPr>
              <w:t xml:space="preserve"> </w:t>
            </w:r>
            <w:proofErr w:type="spellStart"/>
            <w:r w:rsidRPr="00DF4F1F">
              <w:rPr>
                <w:sz w:val="14"/>
                <w:szCs w:val="14"/>
              </w:rPr>
              <w:t>xiii</w:t>
            </w:r>
            <w:proofErr w:type="spellEnd"/>
            <w:r w:rsidRPr="00DF4F1F">
              <w:rPr>
                <w:sz w:val="14"/>
                <w:szCs w:val="14"/>
              </w:rPr>
              <w:t>.</w:t>
            </w:r>
          </w:p>
          <w:p w14:paraId="19B65E0D" w14:textId="77777777" w:rsidR="00664BB3" w:rsidRPr="00DF4F1F" w:rsidRDefault="00664BB3" w:rsidP="009220D1">
            <w:pPr>
              <w:pStyle w:val="NormalConSangria"/>
              <w:spacing w:after="0"/>
              <w:ind w:firstLine="0"/>
              <w:rPr>
                <w:sz w:val="14"/>
                <w:szCs w:val="14"/>
              </w:rPr>
            </w:pPr>
          </w:p>
          <w:p w14:paraId="0442E9A6" w14:textId="77777777" w:rsidR="00664BB3" w:rsidRPr="00DF4F1F" w:rsidRDefault="00664BB3" w:rsidP="009220D1">
            <w:pPr>
              <w:pStyle w:val="NormalConSangria"/>
              <w:spacing w:after="0"/>
              <w:ind w:firstLine="0"/>
              <w:rPr>
                <w:sz w:val="14"/>
                <w:szCs w:val="14"/>
              </w:rPr>
            </w:pPr>
          </w:p>
          <w:p w14:paraId="160A3F61" w14:textId="77777777" w:rsidR="00664BB3" w:rsidRPr="00DF4F1F" w:rsidRDefault="00664BB3" w:rsidP="009220D1">
            <w:pPr>
              <w:pStyle w:val="NormalConSangria"/>
              <w:spacing w:after="0"/>
              <w:ind w:firstLine="0"/>
              <w:rPr>
                <w:sz w:val="14"/>
                <w:szCs w:val="14"/>
              </w:rPr>
            </w:pPr>
          </w:p>
          <w:p w14:paraId="222E16F3" w14:textId="6338CE11" w:rsidR="00664BB3" w:rsidRPr="00DF4F1F" w:rsidRDefault="006A56B7" w:rsidP="009220D1">
            <w:pPr>
              <w:pStyle w:val="NormalConSangria"/>
              <w:spacing w:after="0"/>
              <w:ind w:firstLine="0"/>
              <w:rPr>
                <w:sz w:val="14"/>
                <w:szCs w:val="14"/>
              </w:rPr>
            </w:pPr>
            <w:proofErr w:type="spellStart"/>
            <w:r w:rsidRPr="00DF4F1F">
              <w:rPr>
                <w:sz w:val="14"/>
                <w:szCs w:val="14"/>
              </w:rPr>
              <w:t>Mhv</w:t>
            </w:r>
            <w:proofErr w:type="spellEnd"/>
            <w:r w:rsidRPr="00DF4F1F">
              <w:rPr>
                <w:sz w:val="14"/>
                <w:szCs w:val="14"/>
              </w:rPr>
              <w:t xml:space="preserve"> </w:t>
            </w:r>
            <w:r w:rsidR="00664BB3" w:rsidRPr="00DF4F1F">
              <w:rPr>
                <w:sz w:val="14"/>
                <w:szCs w:val="14"/>
              </w:rPr>
              <w:t>XXV - XXXII</w:t>
            </w:r>
          </w:p>
          <w:p w14:paraId="5D333048" w14:textId="77777777" w:rsidR="00664BB3" w:rsidRPr="00DF4F1F" w:rsidRDefault="00664BB3" w:rsidP="009220D1">
            <w:pPr>
              <w:pStyle w:val="NormalConSangria"/>
              <w:spacing w:after="0"/>
              <w:ind w:firstLine="0"/>
              <w:rPr>
                <w:sz w:val="14"/>
                <w:szCs w:val="14"/>
              </w:rPr>
            </w:pPr>
          </w:p>
          <w:p w14:paraId="0FD0295A" w14:textId="77777777" w:rsidR="00664BB3" w:rsidRDefault="00664BB3" w:rsidP="009220D1">
            <w:pPr>
              <w:pStyle w:val="NormalConSangria"/>
              <w:spacing w:after="0"/>
              <w:ind w:firstLine="0"/>
              <w:rPr>
                <w:sz w:val="14"/>
                <w:szCs w:val="14"/>
              </w:rPr>
            </w:pPr>
          </w:p>
          <w:p w14:paraId="04457764" w14:textId="77777777" w:rsidR="00842672" w:rsidRPr="00DF4F1F" w:rsidRDefault="00842672" w:rsidP="009220D1">
            <w:pPr>
              <w:pStyle w:val="NormalConSangria"/>
              <w:spacing w:after="0"/>
              <w:ind w:firstLine="0"/>
              <w:rPr>
                <w:sz w:val="14"/>
                <w:szCs w:val="14"/>
              </w:rPr>
            </w:pPr>
          </w:p>
          <w:p w14:paraId="3FCF2A73" w14:textId="7F112C76" w:rsidR="00664BB3" w:rsidRPr="00ED3E31" w:rsidRDefault="00664BB3" w:rsidP="009220D1">
            <w:pPr>
              <w:pStyle w:val="NormalConSangria"/>
              <w:spacing w:after="0"/>
              <w:ind w:firstLine="0"/>
              <w:rPr>
                <w:sz w:val="14"/>
                <w:szCs w:val="14"/>
                <w:lang w:val="en-US"/>
              </w:rPr>
            </w:pPr>
            <w:proofErr w:type="spellStart"/>
            <w:r w:rsidRPr="00ED3E31">
              <w:rPr>
                <w:i/>
                <w:iCs/>
                <w:sz w:val="14"/>
                <w:szCs w:val="14"/>
                <w:lang w:val="en-US"/>
              </w:rPr>
              <w:t>Adikaram</w:t>
            </w:r>
            <w:proofErr w:type="spellEnd"/>
            <w:r w:rsidRPr="00ED3E31">
              <w:rPr>
                <w:i/>
                <w:iCs/>
                <w:sz w:val="14"/>
                <w:szCs w:val="14"/>
                <w:lang w:val="en-US"/>
              </w:rPr>
              <w:t xml:space="preserve">, </w:t>
            </w:r>
            <w:r w:rsidR="00ED3E31" w:rsidRPr="00ED3E31">
              <w:rPr>
                <w:i/>
                <w:iCs/>
                <w:sz w:val="14"/>
                <w:szCs w:val="14"/>
                <w:lang w:val="en-US"/>
              </w:rPr>
              <w:t>Early History of Buddhism in Sri Lank</w:t>
            </w:r>
            <w:r w:rsidRPr="00ED3E31">
              <w:rPr>
                <w:sz w:val="14"/>
                <w:szCs w:val="14"/>
                <w:lang w:val="en-US"/>
              </w:rPr>
              <w:t xml:space="preserve">, </w:t>
            </w:r>
            <w:proofErr w:type="spellStart"/>
            <w:r w:rsidRPr="00ED3E31">
              <w:rPr>
                <w:sz w:val="14"/>
                <w:szCs w:val="14"/>
                <w:lang w:val="en-US"/>
              </w:rPr>
              <w:t>p</w:t>
            </w:r>
            <w:r w:rsidR="00ED3E31" w:rsidRPr="00ED3E31">
              <w:rPr>
                <w:sz w:val="14"/>
                <w:szCs w:val="14"/>
                <w:lang w:val="en-US"/>
              </w:rPr>
              <w:t>ág</w:t>
            </w:r>
            <w:proofErr w:type="spellEnd"/>
            <w:r w:rsidRPr="00ED3E31">
              <w:rPr>
                <w:sz w:val="14"/>
                <w:szCs w:val="14"/>
                <w:lang w:val="en-US"/>
              </w:rPr>
              <w:t>. 65–70</w:t>
            </w:r>
          </w:p>
          <w:p w14:paraId="444DC20B" w14:textId="77777777" w:rsidR="006A56B7" w:rsidRPr="00ED3E31" w:rsidRDefault="006A56B7" w:rsidP="009220D1">
            <w:pPr>
              <w:pStyle w:val="NormalConSangria"/>
              <w:spacing w:after="0"/>
              <w:ind w:firstLine="0"/>
              <w:rPr>
                <w:sz w:val="14"/>
                <w:szCs w:val="14"/>
                <w:lang w:val="en-US"/>
              </w:rPr>
            </w:pPr>
          </w:p>
          <w:p w14:paraId="4FFF215E" w14:textId="0B4BEE55" w:rsidR="00664BB3" w:rsidRPr="00DF4F1F" w:rsidRDefault="006A56B7" w:rsidP="009220D1">
            <w:pPr>
              <w:pStyle w:val="NormalConSangria"/>
              <w:spacing w:after="0"/>
              <w:ind w:firstLine="0"/>
              <w:rPr>
                <w:sz w:val="14"/>
                <w:szCs w:val="14"/>
                <w:lang w:val="en-US"/>
              </w:rPr>
            </w:pPr>
            <w:proofErr w:type="spellStart"/>
            <w:r w:rsidRPr="00DF4F1F">
              <w:rPr>
                <w:sz w:val="14"/>
                <w:szCs w:val="14"/>
                <w:lang w:val="en-US"/>
              </w:rPr>
              <w:t>Mhv</w:t>
            </w:r>
            <w:proofErr w:type="spellEnd"/>
            <w:r w:rsidRPr="00DF4F1F">
              <w:rPr>
                <w:sz w:val="14"/>
                <w:szCs w:val="14"/>
                <w:lang w:val="en-US"/>
              </w:rPr>
              <w:t xml:space="preserve"> </w:t>
            </w:r>
            <w:r w:rsidR="00664BB3" w:rsidRPr="00DF4F1F">
              <w:rPr>
                <w:sz w:val="14"/>
                <w:szCs w:val="14"/>
                <w:lang w:val="en-US"/>
              </w:rPr>
              <w:t>xxxiii.33f.</w:t>
            </w:r>
          </w:p>
          <w:p w14:paraId="09AFFF0C" w14:textId="77777777" w:rsidR="00664BB3" w:rsidRPr="00DF4F1F" w:rsidRDefault="00664BB3" w:rsidP="009220D1">
            <w:pPr>
              <w:pStyle w:val="NormalConSangria"/>
              <w:spacing w:after="0"/>
              <w:ind w:firstLine="0"/>
              <w:rPr>
                <w:sz w:val="14"/>
                <w:szCs w:val="14"/>
                <w:lang w:val="en-US"/>
              </w:rPr>
            </w:pPr>
          </w:p>
          <w:p w14:paraId="3FD8386A" w14:textId="77777777" w:rsidR="00664BB3" w:rsidRPr="00DF4F1F" w:rsidRDefault="00664BB3" w:rsidP="009220D1">
            <w:pPr>
              <w:pStyle w:val="NormalConSangria"/>
              <w:spacing w:after="0"/>
              <w:ind w:firstLine="0"/>
              <w:rPr>
                <w:sz w:val="14"/>
                <w:szCs w:val="14"/>
                <w:lang w:val="en-US"/>
              </w:rPr>
            </w:pPr>
          </w:p>
          <w:p w14:paraId="64F9182B" w14:textId="4C814F68" w:rsidR="00664BB3" w:rsidRPr="00DF4F1F" w:rsidRDefault="00664BB3" w:rsidP="009220D1">
            <w:pPr>
              <w:pStyle w:val="NormalConSangria"/>
              <w:spacing w:after="0"/>
              <w:ind w:firstLine="0"/>
              <w:rPr>
                <w:sz w:val="14"/>
                <w:szCs w:val="14"/>
                <w:lang w:val="en-US"/>
              </w:rPr>
            </w:pPr>
            <w:r w:rsidRPr="00DF4F1F">
              <w:rPr>
                <w:sz w:val="14"/>
                <w:szCs w:val="14"/>
                <w:lang w:val="en-US"/>
              </w:rPr>
              <w:t xml:space="preserve">A-a </w:t>
            </w:r>
            <w:r w:rsidR="00F040EE" w:rsidRPr="00DF4F1F">
              <w:rPr>
                <w:sz w:val="14"/>
                <w:szCs w:val="14"/>
                <w:lang w:val="en-US"/>
              </w:rPr>
              <w:t xml:space="preserve">I </w:t>
            </w:r>
            <w:r w:rsidRPr="00DF4F1F">
              <w:rPr>
                <w:sz w:val="14"/>
                <w:szCs w:val="14"/>
                <w:lang w:val="en-US"/>
              </w:rPr>
              <w:t>92</w:t>
            </w:r>
          </w:p>
          <w:p w14:paraId="43210569" w14:textId="77777777" w:rsidR="00664BB3" w:rsidRPr="00DF4F1F" w:rsidRDefault="00664BB3" w:rsidP="009220D1">
            <w:pPr>
              <w:pStyle w:val="NormalConSangria"/>
              <w:spacing w:after="0"/>
              <w:ind w:firstLine="0"/>
              <w:rPr>
                <w:sz w:val="14"/>
                <w:szCs w:val="14"/>
                <w:lang w:val="en-US"/>
              </w:rPr>
            </w:pPr>
          </w:p>
          <w:p w14:paraId="64D9542D" w14:textId="77777777" w:rsidR="00664BB3" w:rsidRPr="00DF4F1F" w:rsidRDefault="00664BB3" w:rsidP="009220D1">
            <w:pPr>
              <w:pStyle w:val="NormalConSangria"/>
              <w:spacing w:after="0"/>
              <w:ind w:firstLine="0"/>
              <w:rPr>
                <w:sz w:val="14"/>
                <w:szCs w:val="14"/>
                <w:lang w:val="en-US"/>
              </w:rPr>
            </w:pPr>
          </w:p>
          <w:p w14:paraId="007F23AF" w14:textId="5D917707" w:rsidR="00664BB3" w:rsidRPr="00DF4F1F" w:rsidRDefault="006A56B7" w:rsidP="009220D1">
            <w:pPr>
              <w:pStyle w:val="NormalConSangria"/>
              <w:spacing w:after="0"/>
              <w:ind w:firstLine="0"/>
              <w:rPr>
                <w:sz w:val="14"/>
                <w:szCs w:val="14"/>
                <w:lang w:val="en-US"/>
              </w:rPr>
            </w:pPr>
            <w:proofErr w:type="spellStart"/>
            <w:r w:rsidRPr="00DF4F1F">
              <w:rPr>
                <w:sz w:val="14"/>
                <w:szCs w:val="14"/>
                <w:lang w:val="en-US"/>
              </w:rPr>
              <w:t>Mhv</w:t>
            </w:r>
            <w:proofErr w:type="spellEnd"/>
            <w:r w:rsidRPr="00DF4F1F">
              <w:rPr>
                <w:sz w:val="14"/>
                <w:szCs w:val="14"/>
                <w:lang w:val="en-US"/>
              </w:rPr>
              <w:t xml:space="preserve"> </w:t>
            </w:r>
            <w:r w:rsidR="00664BB3" w:rsidRPr="00DF4F1F">
              <w:rPr>
                <w:sz w:val="14"/>
                <w:szCs w:val="14"/>
                <w:lang w:val="en-US"/>
              </w:rPr>
              <w:t>XXXIII.78</w:t>
            </w:r>
          </w:p>
          <w:p w14:paraId="2888A22E" w14:textId="77777777" w:rsidR="00664BB3" w:rsidRPr="00DF4F1F" w:rsidRDefault="00664BB3" w:rsidP="009220D1">
            <w:pPr>
              <w:pStyle w:val="NormalConSangria"/>
              <w:spacing w:after="0"/>
              <w:ind w:firstLine="0"/>
              <w:rPr>
                <w:sz w:val="14"/>
                <w:szCs w:val="14"/>
                <w:lang w:val="en-US"/>
              </w:rPr>
            </w:pPr>
          </w:p>
          <w:p w14:paraId="143DBDA2" w14:textId="77777777" w:rsidR="00842672" w:rsidRDefault="00842672" w:rsidP="009220D1">
            <w:pPr>
              <w:pStyle w:val="NormalConSangria"/>
              <w:spacing w:after="0"/>
              <w:ind w:firstLine="0"/>
              <w:rPr>
                <w:sz w:val="14"/>
                <w:szCs w:val="14"/>
                <w:lang w:val="en-US"/>
              </w:rPr>
            </w:pPr>
          </w:p>
          <w:p w14:paraId="1CC27BA2" w14:textId="22117EE4" w:rsidR="00664BB3" w:rsidRPr="00DF4F1F" w:rsidRDefault="006A56B7" w:rsidP="009220D1">
            <w:pPr>
              <w:pStyle w:val="NormalConSangria"/>
              <w:spacing w:after="0"/>
              <w:ind w:firstLine="0"/>
              <w:rPr>
                <w:sz w:val="14"/>
                <w:szCs w:val="14"/>
                <w:lang w:val="en-US"/>
              </w:rPr>
            </w:pPr>
            <w:proofErr w:type="spellStart"/>
            <w:r w:rsidRPr="00DF4F1F">
              <w:rPr>
                <w:sz w:val="14"/>
                <w:szCs w:val="14"/>
                <w:lang w:val="en-US"/>
              </w:rPr>
              <w:t>Mhv</w:t>
            </w:r>
            <w:proofErr w:type="spellEnd"/>
            <w:r w:rsidRPr="00DF4F1F">
              <w:rPr>
                <w:sz w:val="14"/>
                <w:szCs w:val="14"/>
                <w:lang w:val="en-US"/>
              </w:rPr>
              <w:t xml:space="preserve"> </w:t>
            </w:r>
            <w:r w:rsidR="00664BB3" w:rsidRPr="00DF4F1F">
              <w:rPr>
                <w:sz w:val="14"/>
                <w:szCs w:val="14"/>
                <w:lang w:val="en-US"/>
              </w:rPr>
              <w:t>XXXIII.81</w:t>
            </w:r>
          </w:p>
          <w:p w14:paraId="6C0DA850" w14:textId="77777777" w:rsidR="00664BB3" w:rsidRPr="00DF4F1F" w:rsidRDefault="00664BB3" w:rsidP="009220D1">
            <w:pPr>
              <w:pStyle w:val="NormalConSangria"/>
              <w:spacing w:after="0"/>
              <w:ind w:firstLine="0"/>
              <w:rPr>
                <w:sz w:val="14"/>
                <w:szCs w:val="14"/>
                <w:lang w:val="en-US"/>
              </w:rPr>
            </w:pPr>
          </w:p>
          <w:p w14:paraId="62FEFEEE" w14:textId="5A92C122" w:rsidR="00664BB3" w:rsidRPr="00DF4F1F" w:rsidRDefault="006A56B7" w:rsidP="009220D1">
            <w:pPr>
              <w:pStyle w:val="NormalConSangria"/>
              <w:spacing w:after="0"/>
              <w:ind w:firstLine="0"/>
              <w:rPr>
                <w:sz w:val="14"/>
                <w:szCs w:val="14"/>
                <w:lang w:val="en-US"/>
              </w:rPr>
            </w:pPr>
            <w:proofErr w:type="spellStart"/>
            <w:r w:rsidRPr="00DF4F1F">
              <w:rPr>
                <w:sz w:val="14"/>
                <w:szCs w:val="14"/>
                <w:lang w:val="en-US"/>
              </w:rPr>
              <w:t>Mhv</w:t>
            </w:r>
            <w:proofErr w:type="spellEnd"/>
            <w:r w:rsidRPr="00DF4F1F">
              <w:rPr>
                <w:sz w:val="14"/>
                <w:szCs w:val="14"/>
                <w:lang w:val="en-US"/>
              </w:rPr>
              <w:t xml:space="preserve"> </w:t>
            </w:r>
            <w:r w:rsidR="00664BB3" w:rsidRPr="00DF4F1F">
              <w:rPr>
                <w:sz w:val="14"/>
                <w:szCs w:val="14"/>
                <w:lang w:val="en-US"/>
              </w:rPr>
              <w:t>XXXIII.96</w:t>
            </w:r>
          </w:p>
          <w:p w14:paraId="6B86EE6A" w14:textId="77777777" w:rsidR="00664BB3" w:rsidRPr="00DF4F1F" w:rsidRDefault="00664BB3" w:rsidP="009220D1">
            <w:pPr>
              <w:pStyle w:val="NormalConSangria"/>
              <w:spacing w:after="0"/>
              <w:ind w:firstLine="0"/>
              <w:rPr>
                <w:sz w:val="14"/>
                <w:szCs w:val="14"/>
                <w:lang w:val="en-US"/>
              </w:rPr>
            </w:pPr>
          </w:p>
          <w:p w14:paraId="32753F50" w14:textId="77777777" w:rsidR="00664BB3" w:rsidRPr="00DF4F1F" w:rsidRDefault="00664BB3" w:rsidP="009220D1">
            <w:pPr>
              <w:pStyle w:val="NormalConSangria"/>
              <w:spacing w:after="0"/>
              <w:ind w:firstLine="0"/>
              <w:rPr>
                <w:sz w:val="14"/>
                <w:szCs w:val="14"/>
                <w:lang w:val="en-US"/>
              </w:rPr>
            </w:pPr>
          </w:p>
          <w:p w14:paraId="570A9BA1" w14:textId="168C1959" w:rsidR="00664BB3" w:rsidRPr="00DF4F1F" w:rsidRDefault="006A56B7" w:rsidP="009220D1">
            <w:pPr>
              <w:pStyle w:val="NormalConSangria"/>
              <w:spacing w:after="0"/>
              <w:ind w:firstLine="0"/>
              <w:rPr>
                <w:sz w:val="14"/>
                <w:szCs w:val="14"/>
              </w:rPr>
            </w:pPr>
            <w:proofErr w:type="spellStart"/>
            <w:r w:rsidRPr="00DF4F1F">
              <w:rPr>
                <w:sz w:val="14"/>
                <w:szCs w:val="14"/>
              </w:rPr>
              <w:t>Mhv</w:t>
            </w:r>
            <w:proofErr w:type="spellEnd"/>
            <w:r w:rsidRPr="00DF4F1F">
              <w:rPr>
                <w:sz w:val="14"/>
                <w:szCs w:val="14"/>
              </w:rPr>
              <w:t xml:space="preserve"> </w:t>
            </w:r>
            <w:r w:rsidR="00664BB3" w:rsidRPr="00DF4F1F">
              <w:rPr>
                <w:sz w:val="14"/>
                <w:szCs w:val="14"/>
              </w:rPr>
              <w:t>XXXIII.100;</w:t>
            </w:r>
          </w:p>
          <w:p w14:paraId="4D0158D6" w14:textId="77777777" w:rsidR="00664BB3" w:rsidRPr="00DF4F1F" w:rsidRDefault="00664BB3" w:rsidP="009220D1">
            <w:pPr>
              <w:pStyle w:val="NormalConSangria"/>
              <w:spacing w:after="0"/>
              <w:ind w:firstLine="0"/>
              <w:rPr>
                <w:sz w:val="14"/>
                <w:szCs w:val="14"/>
              </w:rPr>
            </w:pPr>
            <w:r w:rsidRPr="00DF4F1F">
              <w:rPr>
                <w:sz w:val="14"/>
                <w:szCs w:val="14"/>
              </w:rPr>
              <w:t>Nikāya-s (traducción)</w:t>
            </w:r>
          </w:p>
          <w:p w14:paraId="47B9F26B" w14:textId="77777777" w:rsidR="00664BB3" w:rsidRPr="00DF4F1F" w:rsidRDefault="00664BB3" w:rsidP="009220D1">
            <w:pPr>
              <w:pStyle w:val="NormalConSangria"/>
              <w:spacing w:after="0"/>
              <w:ind w:firstLine="0"/>
              <w:rPr>
                <w:sz w:val="14"/>
                <w:szCs w:val="14"/>
              </w:rPr>
            </w:pPr>
            <w:r w:rsidRPr="00DF4F1F">
              <w:rPr>
                <w:sz w:val="14"/>
                <w:szCs w:val="14"/>
              </w:rPr>
              <w:t>10-11</w:t>
            </w:r>
          </w:p>
          <w:p w14:paraId="4395C332" w14:textId="77777777" w:rsidR="00664BB3" w:rsidRPr="00DF4F1F" w:rsidRDefault="00664BB3" w:rsidP="009220D1">
            <w:pPr>
              <w:pStyle w:val="NormalConSangria"/>
              <w:spacing w:after="0"/>
              <w:ind w:firstLine="0"/>
              <w:rPr>
                <w:sz w:val="14"/>
                <w:szCs w:val="14"/>
              </w:rPr>
            </w:pPr>
          </w:p>
          <w:p w14:paraId="46C0CFA6" w14:textId="0283400E" w:rsidR="00D4098B" w:rsidRPr="00DF4F1F" w:rsidRDefault="00664BB3" w:rsidP="009220D1">
            <w:pPr>
              <w:pStyle w:val="NormalConSangria"/>
              <w:spacing w:after="0"/>
              <w:ind w:firstLine="0"/>
              <w:rPr>
                <w:sz w:val="14"/>
                <w:szCs w:val="14"/>
              </w:rPr>
            </w:pPr>
            <w:r w:rsidRPr="00DF4F1F">
              <w:rPr>
                <w:sz w:val="14"/>
                <w:szCs w:val="14"/>
              </w:rPr>
              <w:t>Nikāya-s 11</w:t>
            </w:r>
          </w:p>
        </w:tc>
      </w:tr>
    </w:tbl>
    <w:p w14:paraId="69A56CDB" w14:textId="77777777" w:rsidR="00B322C6" w:rsidRDefault="00B322C6" w:rsidP="00B12748">
      <w:pPr>
        <w:pStyle w:val="NormalConSangria"/>
      </w:pPr>
    </w:p>
    <w:p w14:paraId="50249FFF" w14:textId="77777777" w:rsidR="008A60D8" w:rsidRDefault="008A60D8" w:rsidP="008A60D8">
      <w:pPr>
        <w:pStyle w:val="Piedepgina"/>
        <w:rPr>
          <w:sz w:val="16"/>
          <w:u w:val="single"/>
        </w:rPr>
      </w:pPr>
      <w:r>
        <w:rPr>
          <w:u w:val="single"/>
        </w:rPr>
        <w:t xml:space="preserve">                                                                                       .</w:t>
      </w:r>
    </w:p>
    <w:p w14:paraId="7E2EF0C9" w14:textId="20A4397F" w:rsidR="008A60D8" w:rsidRDefault="00842672" w:rsidP="008A60D8">
      <w:pPr>
        <w:pStyle w:val="PiedepginaLegal"/>
      </w:pPr>
      <w:r w:rsidRPr="00842672">
        <w:t xml:space="preserve">... </w:t>
      </w:r>
      <w:r>
        <w:tab/>
      </w:r>
      <w:r w:rsidRPr="00842672">
        <w:t xml:space="preserve"> (la fecha más generalmente aceptada en Europa), ver, por ejemplo, Geiger, Traducción </w:t>
      </w:r>
      <w:proofErr w:type="spellStart"/>
      <w:r w:rsidR="001D27AF" w:rsidRPr="001D27AF">
        <w:rPr>
          <w:i/>
          <w:iCs/>
        </w:rPr>
        <w:t>Mahavaṃsa</w:t>
      </w:r>
      <w:proofErr w:type="spellEnd"/>
      <w:r w:rsidR="001D27AF" w:rsidRPr="00842672">
        <w:t xml:space="preserve"> </w:t>
      </w:r>
      <w:r w:rsidRPr="00842672">
        <w:t xml:space="preserve">(Introducción) </w:t>
      </w:r>
      <w:proofErr w:type="spellStart"/>
      <w:r w:rsidRPr="00ED04B1">
        <w:rPr>
          <w:i/>
          <w:iCs/>
        </w:rPr>
        <w:t>Epigraphia</w:t>
      </w:r>
      <w:proofErr w:type="spellEnd"/>
      <w:r w:rsidRPr="00ED04B1">
        <w:rPr>
          <w:i/>
          <w:iCs/>
        </w:rPr>
        <w:t xml:space="preserve"> </w:t>
      </w:r>
      <w:proofErr w:type="spellStart"/>
      <w:r w:rsidRPr="00ED04B1">
        <w:rPr>
          <w:i/>
          <w:iCs/>
        </w:rPr>
        <w:t>Zeylanica</w:t>
      </w:r>
      <w:proofErr w:type="spellEnd"/>
      <w:r w:rsidRPr="00842672">
        <w:t xml:space="preserve"> I, 156; E. J. Thomas, </w:t>
      </w:r>
      <w:r w:rsidR="00742EF6">
        <w:rPr>
          <w:i/>
          <w:iCs/>
        </w:rPr>
        <w:t xml:space="preserve">La Vida del Buddha </w:t>
      </w:r>
      <w:r w:rsidR="00FA7E3E" w:rsidRPr="00742EF6">
        <w:t>[</w:t>
      </w:r>
      <w:proofErr w:type="spellStart"/>
      <w:r w:rsidRPr="001D27AF">
        <w:rPr>
          <w:i/>
          <w:iCs/>
        </w:rPr>
        <w:t>Life</w:t>
      </w:r>
      <w:proofErr w:type="spellEnd"/>
      <w:r w:rsidRPr="001D27AF">
        <w:rPr>
          <w:i/>
          <w:iCs/>
        </w:rPr>
        <w:t xml:space="preserve"> of </w:t>
      </w:r>
      <w:proofErr w:type="spellStart"/>
      <w:r w:rsidRPr="001D27AF">
        <w:rPr>
          <w:i/>
          <w:iCs/>
        </w:rPr>
        <w:t>the</w:t>
      </w:r>
      <w:proofErr w:type="spellEnd"/>
      <w:r w:rsidRPr="001D27AF">
        <w:rPr>
          <w:i/>
          <w:iCs/>
        </w:rPr>
        <w:t xml:space="preserve"> </w:t>
      </w:r>
      <w:r w:rsidR="00057BF4" w:rsidRPr="00057BF4">
        <w:rPr>
          <w:i/>
          <w:iCs/>
        </w:rPr>
        <w:t>Buddha</w:t>
      </w:r>
      <w:r w:rsidR="00FA7E3E">
        <w:t>]</w:t>
      </w:r>
      <w:r w:rsidRPr="00842672">
        <w:t xml:space="preserve">, </w:t>
      </w:r>
      <w:proofErr w:type="spellStart"/>
      <w:r w:rsidRPr="00842672">
        <w:t>Kegan</w:t>
      </w:r>
      <w:proofErr w:type="spellEnd"/>
      <w:r w:rsidRPr="00842672">
        <w:t xml:space="preserve"> Paul, p. 26, n.1. Sin embargo, parece seguro que </w:t>
      </w:r>
      <w:proofErr w:type="spellStart"/>
      <w:r w:rsidRPr="001D27AF">
        <w:rPr>
          <w:i/>
          <w:iCs/>
        </w:rPr>
        <w:t>Mahanama</w:t>
      </w:r>
      <w:proofErr w:type="spellEnd"/>
      <w:r w:rsidRPr="00842672">
        <w:t xml:space="preserve"> estaba reinando en el año 428 debido a una carta enviada por él a la corte </w:t>
      </w:r>
      <w:r w:rsidR="00643941" w:rsidRPr="00842672">
        <w:t xml:space="preserve">China </w:t>
      </w:r>
      <w:r w:rsidRPr="00842672">
        <w:t>(</w:t>
      </w:r>
      <w:proofErr w:type="spellStart"/>
      <w:r w:rsidRPr="00842672">
        <w:t>Codrington</w:t>
      </w:r>
      <w:proofErr w:type="spellEnd"/>
      <w:r w:rsidRPr="00842672">
        <w:t xml:space="preserve"> P.29; E.Z. III, 12). Si se acepta </w:t>
      </w:r>
      <w:r w:rsidR="00742EF6">
        <w:t xml:space="preserve">el ajuste de </w:t>
      </w:r>
      <w:proofErr w:type="spellStart"/>
      <w:r w:rsidR="004A2B01">
        <w:t>esta</w:t>
      </w:r>
      <w:r w:rsidRPr="00842672">
        <w:t>a</w:t>
      </w:r>
      <w:proofErr w:type="spellEnd"/>
      <w:r w:rsidRPr="00842672">
        <w:t xml:space="preserve"> fecha, entonces 60 años adicionales</w:t>
      </w:r>
      <w:r w:rsidR="004A2B01">
        <w:t>,</w:t>
      </w:r>
      <w:r w:rsidRPr="00842672">
        <w:t xml:space="preserve"> de alguna manera</w:t>
      </w:r>
      <w:r w:rsidR="004A2B01">
        <w:t>,</w:t>
      </w:r>
      <w:r w:rsidRPr="00842672">
        <w:t xml:space="preserve"> </w:t>
      </w:r>
      <w:r w:rsidR="00FC58EA" w:rsidRPr="00C61425">
        <w:t>tendrían</w:t>
      </w:r>
      <w:r w:rsidRPr="00842672">
        <w:t xml:space="preserve"> que ser </w:t>
      </w:r>
      <w:r w:rsidR="008F0FD6">
        <w:t>com</w:t>
      </w:r>
      <w:r w:rsidRPr="00842672">
        <w:t xml:space="preserve">primidos sin desplazar </w:t>
      </w:r>
      <w:r w:rsidR="00643941">
        <w:t>a</w:t>
      </w:r>
      <w:r w:rsidRPr="00842672">
        <w:t xml:space="preserve">l reinado de </w:t>
      </w:r>
      <w:proofErr w:type="spellStart"/>
      <w:r w:rsidRPr="001D27AF">
        <w:rPr>
          <w:i/>
          <w:iCs/>
        </w:rPr>
        <w:t>Mahanama</w:t>
      </w:r>
      <w:proofErr w:type="spellEnd"/>
      <w:r w:rsidRPr="00842672">
        <w:t>. Aquí se ha utilizado la fecha anterior.</w:t>
      </w:r>
    </w:p>
    <w:p w14:paraId="1DCFFBDA" w14:textId="77777777" w:rsidR="00842672" w:rsidRDefault="00842672">
      <w:r>
        <w:br w:type="page"/>
      </w:r>
    </w:p>
    <w:tbl>
      <w:tblPr>
        <w:tblStyle w:val="Tablaconcuadrcula"/>
        <w:tblW w:w="0" w:type="auto"/>
        <w:tblLook w:val="04A0" w:firstRow="1" w:lastRow="0" w:firstColumn="1" w:lastColumn="0" w:noHBand="0" w:noVBand="1"/>
      </w:tblPr>
      <w:tblGrid>
        <w:gridCol w:w="1555"/>
        <w:gridCol w:w="3536"/>
        <w:gridCol w:w="1612"/>
      </w:tblGrid>
      <w:tr w:rsidR="00033B6E" w:rsidRPr="00996246" w14:paraId="15471EDE" w14:textId="77777777" w:rsidTr="00033B6E">
        <w:tc>
          <w:tcPr>
            <w:tcW w:w="1555" w:type="dxa"/>
          </w:tcPr>
          <w:p w14:paraId="045B087B" w14:textId="77777777" w:rsidR="00EA6E5E" w:rsidRDefault="00EA6E5E" w:rsidP="009220D1">
            <w:pPr>
              <w:pStyle w:val="NormalConSangria"/>
              <w:spacing w:after="0"/>
            </w:pPr>
          </w:p>
          <w:p w14:paraId="336106CA" w14:textId="77777777" w:rsidR="00EA6E5E" w:rsidRDefault="00EA6E5E" w:rsidP="009220D1">
            <w:pPr>
              <w:pStyle w:val="NormalConSangria"/>
              <w:spacing w:after="0"/>
              <w:ind w:firstLine="0"/>
              <w:rPr>
                <w:sz w:val="14"/>
                <w:szCs w:val="18"/>
              </w:rPr>
            </w:pPr>
          </w:p>
          <w:p w14:paraId="3D8F6331" w14:textId="77777777" w:rsidR="00594E2A" w:rsidRDefault="00594E2A" w:rsidP="009220D1">
            <w:pPr>
              <w:pStyle w:val="NormalConSangria"/>
              <w:spacing w:after="0"/>
              <w:ind w:firstLine="0"/>
              <w:rPr>
                <w:sz w:val="14"/>
                <w:szCs w:val="18"/>
              </w:rPr>
            </w:pPr>
          </w:p>
          <w:p w14:paraId="7C031490" w14:textId="77777777" w:rsidR="00594E2A" w:rsidRPr="00EA6E5E" w:rsidRDefault="00594E2A" w:rsidP="009220D1">
            <w:pPr>
              <w:pStyle w:val="NormalConSangria"/>
              <w:spacing w:after="0"/>
              <w:ind w:firstLine="0"/>
              <w:rPr>
                <w:sz w:val="14"/>
                <w:szCs w:val="18"/>
              </w:rPr>
            </w:pPr>
          </w:p>
          <w:p w14:paraId="2C4E3E63" w14:textId="77777777" w:rsidR="00EA6E5E" w:rsidRPr="00EA6E5E" w:rsidRDefault="00EA6E5E" w:rsidP="009220D1">
            <w:pPr>
              <w:pStyle w:val="NormalConSangria"/>
              <w:spacing w:after="0"/>
              <w:ind w:firstLine="0"/>
              <w:rPr>
                <w:sz w:val="14"/>
                <w:szCs w:val="18"/>
              </w:rPr>
            </w:pPr>
          </w:p>
          <w:p w14:paraId="50BC2EFC" w14:textId="77777777" w:rsidR="00EA6E5E" w:rsidRDefault="00EA6E5E" w:rsidP="009220D1">
            <w:pPr>
              <w:pStyle w:val="NormalConSangria"/>
              <w:spacing w:after="0"/>
              <w:ind w:firstLine="0"/>
              <w:rPr>
                <w:sz w:val="14"/>
                <w:szCs w:val="18"/>
              </w:rPr>
            </w:pPr>
          </w:p>
          <w:p w14:paraId="47533305" w14:textId="77777777" w:rsidR="009E056F" w:rsidRDefault="009E056F" w:rsidP="009220D1">
            <w:pPr>
              <w:pStyle w:val="NormalConSangria"/>
              <w:spacing w:after="0"/>
              <w:ind w:firstLine="0"/>
              <w:rPr>
                <w:sz w:val="14"/>
                <w:szCs w:val="18"/>
              </w:rPr>
            </w:pPr>
          </w:p>
          <w:p w14:paraId="6E959564" w14:textId="77777777" w:rsidR="009E056F" w:rsidRDefault="009E056F" w:rsidP="009220D1">
            <w:pPr>
              <w:pStyle w:val="NormalConSangria"/>
              <w:spacing w:after="0"/>
              <w:ind w:firstLine="0"/>
              <w:rPr>
                <w:sz w:val="14"/>
                <w:szCs w:val="18"/>
              </w:rPr>
            </w:pPr>
          </w:p>
          <w:p w14:paraId="04DCAD8F" w14:textId="77777777" w:rsidR="009E056F" w:rsidRPr="00EA6E5E" w:rsidRDefault="009E056F" w:rsidP="009220D1">
            <w:pPr>
              <w:pStyle w:val="NormalConSangria"/>
              <w:spacing w:after="0"/>
              <w:ind w:firstLine="0"/>
              <w:rPr>
                <w:sz w:val="14"/>
                <w:szCs w:val="18"/>
              </w:rPr>
            </w:pPr>
          </w:p>
          <w:p w14:paraId="5E635D46" w14:textId="77777777" w:rsidR="00EA6E5E" w:rsidRPr="00EA6E5E" w:rsidRDefault="00EA6E5E" w:rsidP="009220D1">
            <w:pPr>
              <w:pStyle w:val="NormalConSangria"/>
              <w:spacing w:after="0"/>
              <w:ind w:firstLine="0"/>
              <w:rPr>
                <w:sz w:val="14"/>
                <w:szCs w:val="18"/>
              </w:rPr>
            </w:pPr>
            <w:proofErr w:type="spellStart"/>
            <w:r w:rsidRPr="00EA6E5E">
              <w:rPr>
                <w:sz w:val="14"/>
                <w:szCs w:val="18"/>
              </w:rPr>
              <w:t>Kuṭakaṇṇa</w:t>
            </w:r>
            <w:proofErr w:type="spellEnd"/>
            <w:r w:rsidRPr="00EA6E5E">
              <w:rPr>
                <w:sz w:val="14"/>
                <w:szCs w:val="18"/>
              </w:rPr>
              <w:t xml:space="preserve"> Tissa</w:t>
            </w:r>
          </w:p>
          <w:p w14:paraId="24FE3D91" w14:textId="1592F951" w:rsidR="00EA6E5E" w:rsidRPr="00EA6E5E" w:rsidRDefault="00EA6E5E" w:rsidP="009220D1">
            <w:pPr>
              <w:pStyle w:val="NormalConSangria"/>
              <w:spacing w:after="0"/>
              <w:ind w:firstLine="0"/>
              <w:rPr>
                <w:sz w:val="14"/>
                <w:szCs w:val="18"/>
              </w:rPr>
            </w:pPr>
            <w:r w:rsidRPr="00EA6E5E">
              <w:rPr>
                <w:sz w:val="14"/>
                <w:szCs w:val="18"/>
              </w:rPr>
              <w:t>30–33</w:t>
            </w:r>
            <w:r w:rsidR="00C626A6">
              <w:rPr>
                <w:sz w:val="14"/>
                <w:szCs w:val="18"/>
              </w:rPr>
              <w:t xml:space="preserve"> </w:t>
            </w:r>
            <w:r w:rsidR="00C626A6">
              <w:rPr>
                <w:sz w:val="14"/>
                <w:szCs w:val="14"/>
              </w:rPr>
              <w:t>AEC</w:t>
            </w:r>
          </w:p>
          <w:p w14:paraId="488CB62C" w14:textId="77777777" w:rsidR="00EA6E5E" w:rsidRPr="00EA6E5E" w:rsidRDefault="00EA6E5E" w:rsidP="009220D1">
            <w:pPr>
              <w:pStyle w:val="NormalConSangria"/>
              <w:spacing w:after="0"/>
              <w:ind w:firstLine="0"/>
              <w:rPr>
                <w:sz w:val="14"/>
                <w:szCs w:val="18"/>
              </w:rPr>
            </w:pPr>
          </w:p>
          <w:p w14:paraId="59358F4C" w14:textId="77777777" w:rsidR="00EA6E5E" w:rsidRPr="00EA6E5E" w:rsidRDefault="00EA6E5E" w:rsidP="009220D1">
            <w:pPr>
              <w:pStyle w:val="NormalConSangria"/>
              <w:spacing w:after="0"/>
              <w:ind w:firstLine="0"/>
              <w:rPr>
                <w:sz w:val="14"/>
                <w:szCs w:val="18"/>
              </w:rPr>
            </w:pPr>
          </w:p>
          <w:p w14:paraId="76C7443A" w14:textId="77777777" w:rsidR="00EA6E5E" w:rsidRPr="00EA6E5E" w:rsidRDefault="00EA6E5E" w:rsidP="009220D1">
            <w:pPr>
              <w:pStyle w:val="NormalConSangria"/>
              <w:spacing w:after="0"/>
              <w:ind w:firstLine="0"/>
              <w:rPr>
                <w:sz w:val="14"/>
                <w:szCs w:val="18"/>
              </w:rPr>
            </w:pPr>
          </w:p>
          <w:p w14:paraId="55915B4E" w14:textId="77777777" w:rsidR="00EA6E5E" w:rsidRPr="00EA6E5E" w:rsidRDefault="00EA6E5E" w:rsidP="009220D1">
            <w:pPr>
              <w:pStyle w:val="NormalConSangria"/>
              <w:spacing w:after="0"/>
              <w:ind w:firstLine="0"/>
              <w:rPr>
                <w:sz w:val="14"/>
                <w:szCs w:val="18"/>
              </w:rPr>
            </w:pPr>
          </w:p>
          <w:p w14:paraId="4468B174" w14:textId="77777777" w:rsidR="00EA6E5E" w:rsidRPr="00EA6E5E" w:rsidRDefault="00EA6E5E" w:rsidP="009220D1">
            <w:pPr>
              <w:pStyle w:val="NormalConSangria"/>
              <w:spacing w:after="0"/>
              <w:ind w:firstLine="0"/>
              <w:rPr>
                <w:sz w:val="14"/>
                <w:szCs w:val="18"/>
              </w:rPr>
            </w:pPr>
          </w:p>
          <w:p w14:paraId="7F6C7B1D" w14:textId="77777777" w:rsidR="00EA6E5E" w:rsidRPr="00EA6E5E" w:rsidRDefault="00EA6E5E" w:rsidP="009220D1">
            <w:pPr>
              <w:pStyle w:val="NormalConSangria"/>
              <w:spacing w:after="0"/>
              <w:ind w:firstLine="0"/>
              <w:rPr>
                <w:sz w:val="14"/>
                <w:szCs w:val="18"/>
              </w:rPr>
            </w:pPr>
          </w:p>
          <w:p w14:paraId="7FBC0EC7" w14:textId="77777777" w:rsidR="00EA6E5E" w:rsidRPr="00EA6E5E" w:rsidRDefault="00EA6E5E" w:rsidP="009220D1">
            <w:pPr>
              <w:pStyle w:val="NormalConSangria"/>
              <w:spacing w:after="0"/>
              <w:ind w:firstLine="0"/>
              <w:rPr>
                <w:sz w:val="14"/>
                <w:szCs w:val="18"/>
              </w:rPr>
            </w:pPr>
            <w:proofErr w:type="spellStart"/>
            <w:r w:rsidRPr="00EA6E5E">
              <w:rPr>
                <w:sz w:val="14"/>
                <w:szCs w:val="18"/>
              </w:rPr>
              <w:t>Bhātikābhaya</w:t>
            </w:r>
            <w:proofErr w:type="spellEnd"/>
            <w:r w:rsidRPr="00EA6E5E">
              <w:rPr>
                <w:sz w:val="14"/>
                <w:szCs w:val="18"/>
              </w:rPr>
              <w:t xml:space="preserve"> </w:t>
            </w:r>
          </w:p>
          <w:p w14:paraId="6C8FE33F" w14:textId="123D642C" w:rsidR="00EA6E5E" w:rsidRPr="00EA6E5E" w:rsidRDefault="00EA6E5E" w:rsidP="009220D1">
            <w:pPr>
              <w:pStyle w:val="NormalConSangria"/>
              <w:spacing w:after="0"/>
              <w:ind w:firstLine="0"/>
              <w:rPr>
                <w:sz w:val="14"/>
                <w:szCs w:val="18"/>
              </w:rPr>
            </w:pPr>
            <w:r w:rsidRPr="00EA6E5E">
              <w:rPr>
                <w:sz w:val="14"/>
                <w:szCs w:val="18"/>
              </w:rPr>
              <w:t>20</w:t>
            </w:r>
            <w:r w:rsidR="00C626A6">
              <w:rPr>
                <w:sz w:val="14"/>
                <w:szCs w:val="18"/>
              </w:rPr>
              <w:t xml:space="preserve"> </w:t>
            </w:r>
            <w:r w:rsidR="00C626A6">
              <w:rPr>
                <w:sz w:val="14"/>
                <w:szCs w:val="14"/>
              </w:rPr>
              <w:t>AEC</w:t>
            </w:r>
            <w:r w:rsidR="00C626A6" w:rsidRPr="00EA6E5E">
              <w:rPr>
                <w:sz w:val="14"/>
                <w:szCs w:val="18"/>
              </w:rPr>
              <w:t xml:space="preserve"> </w:t>
            </w:r>
            <w:r w:rsidRPr="00EA6E5E">
              <w:rPr>
                <w:sz w:val="14"/>
                <w:szCs w:val="18"/>
              </w:rPr>
              <w:t>– 9</w:t>
            </w:r>
            <w:r w:rsidR="00C626A6">
              <w:rPr>
                <w:sz w:val="14"/>
                <w:szCs w:val="18"/>
              </w:rPr>
              <w:t xml:space="preserve"> EC</w:t>
            </w:r>
          </w:p>
          <w:p w14:paraId="670DEAEF" w14:textId="77777777" w:rsidR="00EA6E5E" w:rsidRPr="001E7201" w:rsidRDefault="00EA6E5E" w:rsidP="009220D1">
            <w:pPr>
              <w:pStyle w:val="NormalConSangria"/>
              <w:spacing w:after="0"/>
              <w:ind w:firstLine="0"/>
              <w:rPr>
                <w:sz w:val="12"/>
                <w:szCs w:val="16"/>
              </w:rPr>
            </w:pPr>
          </w:p>
          <w:p w14:paraId="1BFAC731" w14:textId="77777777" w:rsidR="00EA6E5E" w:rsidRPr="001E7201" w:rsidRDefault="00EA6E5E" w:rsidP="009220D1">
            <w:pPr>
              <w:pStyle w:val="NormalConSangria"/>
              <w:spacing w:after="0"/>
              <w:ind w:firstLine="0"/>
              <w:rPr>
                <w:sz w:val="12"/>
                <w:szCs w:val="16"/>
              </w:rPr>
            </w:pPr>
          </w:p>
          <w:p w14:paraId="7EB859A5" w14:textId="60DDD841" w:rsidR="00EA6E5E" w:rsidRPr="00EA6E5E" w:rsidRDefault="00EA6E5E" w:rsidP="009220D1">
            <w:pPr>
              <w:pStyle w:val="NormalConSangria"/>
              <w:spacing w:after="0"/>
              <w:ind w:firstLine="0"/>
              <w:rPr>
                <w:sz w:val="14"/>
                <w:szCs w:val="18"/>
              </w:rPr>
            </w:pPr>
            <w:proofErr w:type="spellStart"/>
            <w:r w:rsidRPr="00EA6E5E">
              <w:rPr>
                <w:sz w:val="14"/>
                <w:szCs w:val="18"/>
              </w:rPr>
              <w:t>Khanirājānu-Tissa</w:t>
            </w:r>
            <w:proofErr w:type="spellEnd"/>
            <w:r w:rsidRPr="00EA6E5E">
              <w:rPr>
                <w:sz w:val="14"/>
                <w:szCs w:val="18"/>
              </w:rPr>
              <w:t xml:space="preserve"> </w:t>
            </w:r>
            <w:r w:rsidR="001E7201">
              <w:rPr>
                <w:sz w:val="14"/>
                <w:szCs w:val="18"/>
              </w:rPr>
              <w:br/>
            </w:r>
            <w:r w:rsidRPr="00EA6E5E">
              <w:rPr>
                <w:sz w:val="14"/>
                <w:szCs w:val="18"/>
              </w:rPr>
              <w:t>30–33</w:t>
            </w:r>
          </w:p>
          <w:p w14:paraId="109C52C7" w14:textId="60EF2373" w:rsidR="00EA6E5E" w:rsidRPr="00EA6E5E" w:rsidRDefault="00EA6E5E" w:rsidP="009220D1">
            <w:pPr>
              <w:pStyle w:val="NormalConSangria"/>
              <w:spacing w:after="0"/>
              <w:ind w:firstLine="0"/>
              <w:rPr>
                <w:sz w:val="14"/>
                <w:szCs w:val="18"/>
              </w:rPr>
            </w:pPr>
            <w:proofErr w:type="spellStart"/>
            <w:r w:rsidRPr="00EA6E5E">
              <w:rPr>
                <w:sz w:val="14"/>
                <w:szCs w:val="18"/>
              </w:rPr>
              <w:t>Vasabha</w:t>
            </w:r>
            <w:proofErr w:type="spellEnd"/>
            <w:r w:rsidRPr="00EA6E5E">
              <w:rPr>
                <w:sz w:val="14"/>
                <w:szCs w:val="18"/>
              </w:rPr>
              <w:t xml:space="preserve"> </w:t>
            </w:r>
            <w:r w:rsidR="001E7201">
              <w:rPr>
                <w:sz w:val="14"/>
                <w:szCs w:val="18"/>
              </w:rPr>
              <w:br/>
            </w:r>
            <w:r w:rsidRPr="00EA6E5E">
              <w:rPr>
                <w:sz w:val="14"/>
                <w:szCs w:val="18"/>
              </w:rPr>
              <w:t>66–110</w:t>
            </w:r>
          </w:p>
          <w:p w14:paraId="58205BFB" w14:textId="77777777" w:rsidR="00EA6E5E" w:rsidRPr="00EA6E5E" w:rsidRDefault="00EA6E5E" w:rsidP="009220D1">
            <w:pPr>
              <w:pStyle w:val="NormalConSangria"/>
              <w:spacing w:after="0"/>
              <w:ind w:firstLine="0"/>
              <w:rPr>
                <w:sz w:val="14"/>
                <w:szCs w:val="18"/>
              </w:rPr>
            </w:pPr>
          </w:p>
          <w:p w14:paraId="77A147E9" w14:textId="77777777" w:rsidR="00EA6E5E" w:rsidRPr="00EA6E5E" w:rsidRDefault="00EA6E5E" w:rsidP="009220D1">
            <w:pPr>
              <w:pStyle w:val="NormalConSangria"/>
              <w:spacing w:after="0"/>
              <w:ind w:firstLine="0"/>
              <w:rPr>
                <w:sz w:val="14"/>
                <w:szCs w:val="18"/>
              </w:rPr>
            </w:pPr>
          </w:p>
          <w:p w14:paraId="0150B1A8" w14:textId="77777777" w:rsidR="00EA6E5E" w:rsidRPr="00EA6E5E" w:rsidRDefault="00EA6E5E" w:rsidP="009220D1">
            <w:pPr>
              <w:pStyle w:val="NormalConSangria"/>
              <w:spacing w:after="0"/>
              <w:ind w:firstLine="0"/>
              <w:rPr>
                <w:sz w:val="14"/>
                <w:szCs w:val="18"/>
              </w:rPr>
            </w:pPr>
          </w:p>
          <w:p w14:paraId="0FBC1ED3" w14:textId="77777777" w:rsidR="00EA6E5E" w:rsidRPr="00EA6E5E" w:rsidRDefault="00EA6E5E" w:rsidP="009220D1">
            <w:pPr>
              <w:pStyle w:val="NormalConSangria"/>
              <w:spacing w:after="0"/>
              <w:ind w:firstLine="0"/>
              <w:rPr>
                <w:sz w:val="14"/>
                <w:szCs w:val="18"/>
              </w:rPr>
            </w:pPr>
          </w:p>
          <w:p w14:paraId="3EF73F3F" w14:textId="77777777" w:rsidR="00EA6E5E" w:rsidRPr="00EA6E5E" w:rsidRDefault="00EA6E5E" w:rsidP="009220D1">
            <w:pPr>
              <w:pStyle w:val="NormalConSangria"/>
              <w:spacing w:after="0"/>
              <w:ind w:firstLine="0"/>
              <w:rPr>
                <w:sz w:val="14"/>
                <w:szCs w:val="18"/>
              </w:rPr>
            </w:pPr>
            <w:proofErr w:type="spellStart"/>
            <w:r w:rsidRPr="00EA6E5E">
              <w:rPr>
                <w:sz w:val="14"/>
                <w:szCs w:val="18"/>
              </w:rPr>
              <w:t>Gajabāhu</w:t>
            </w:r>
            <w:proofErr w:type="spellEnd"/>
            <w:r w:rsidRPr="00EA6E5E">
              <w:rPr>
                <w:sz w:val="14"/>
                <w:szCs w:val="18"/>
              </w:rPr>
              <w:t xml:space="preserve"> I </w:t>
            </w:r>
          </w:p>
          <w:p w14:paraId="2E423AE1" w14:textId="77777777" w:rsidR="00EA6E5E" w:rsidRPr="00EA6E5E" w:rsidRDefault="00EA6E5E" w:rsidP="009220D1">
            <w:pPr>
              <w:pStyle w:val="NormalConSangria"/>
              <w:spacing w:after="0"/>
              <w:ind w:firstLine="0"/>
              <w:rPr>
                <w:sz w:val="14"/>
                <w:szCs w:val="18"/>
              </w:rPr>
            </w:pPr>
            <w:r w:rsidRPr="00EA6E5E">
              <w:rPr>
                <w:sz w:val="14"/>
                <w:szCs w:val="18"/>
              </w:rPr>
              <w:t>113–135</w:t>
            </w:r>
          </w:p>
          <w:p w14:paraId="3DD98395" w14:textId="77777777" w:rsidR="00EA6E5E" w:rsidRPr="00EA6E5E" w:rsidRDefault="00EA6E5E" w:rsidP="009220D1">
            <w:pPr>
              <w:pStyle w:val="NormalConSangria"/>
              <w:spacing w:after="0"/>
              <w:ind w:firstLine="0"/>
              <w:rPr>
                <w:sz w:val="14"/>
                <w:szCs w:val="18"/>
              </w:rPr>
            </w:pPr>
          </w:p>
          <w:p w14:paraId="5C99CDA8" w14:textId="4E44377B" w:rsidR="00EA6E5E" w:rsidRPr="00EA6E5E" w:rsidRDefault="00EA6E5E" w:rsidP="009220D1">
            <w:pPr>
              <w:pStyle w:val="NormalConSangria"/>
              <w:spacing w:after="0"/>
              <w:ind w:firstLine="0"/>
              <w:rPr>
                <w:sz w:val="14"/>
                <w:szCs w:val="18"/>
              </w:rPr>
            </w:pPr>
            <w:r w:rsidRPr="00EA6E5E">
              <w:rPr>
                <w:sz w:val="14"/>
                <w:szCs w:val="18"/>
              </w:rPr>
              <w:t xml:space="preserve">6 </w:t>
            </w:r>
            <w:r w:rsidR="009E056F">
              <w:rPr>
                <w:sz w:val="14"/>
                <w:szCs w:val="18"/>
              </w:rPr>
              <w:t>reyes</w:t>
            </w:r>
          </w:p>
          <w:p w14:paraId="1373A0C4" w14:textId="77777777" w:rsidR="00EA6E5E" w:rsidRPr="00EA6E5E" w:rsidRDefault="00EA6E5E" w:rsidP="009220D1">
            <w:pPr>
              <w:pStyle w:val="NormalConSangria"/>
              <w:spacing w:after="0"/>
              <w:ind w:firstLine="0"/>
              <w:rPr>
                <w:sz w:val="14"/>
                <w:szCs w:val="18"/>
              </w:rPr>
            </w:pPr>
            <w:r w:rsidRPr="00EA6E5E">
              <w:rPr>
                <w:sz w:val="14"/>
                <w:szCs w:val="18"/>
              </w:rPr>
              <w:t>135–215</w:t>
            </w:r>
          </w:p>
          <w:p w14:paraId="55EB46E9" w14:textId="77777777" w:rsidR="00EA6E5E" w:rsidRPr="00EA6E5E" w:rsidRDefault="00EA6E5E" w:rsidP="009220D1">
            <w:pPr>
              <w:pStyle w:val="NormalConSangria"/>
              <w:spacing w:after="0"/>
              <w:ind w:firstLine="0"/>
              <w:rPr>
                <w:sz w:val="14"/>
                <w:szCs w:val="18"/>
              </w:rPr>
            </w:pPr>
          </w:p>
          <w:p w14:paraId="3E0C2BF7" w14:textId="77777777" w:rsidR="00EA6E5E" w:rsidRPr="00EA6E5E" w:rsidRDefault="00EA6E5E" w:rsidP="009220D1">
            <w:pPr>
              <w:pStyle w:val="NormalConSangria"/>
              <w:spacing w:after="0"/>
              <w:ind w:firstLine="0"/>
              <w:rPr>
                <w:sz w:val="14"/>
                <w:szCs w:val="18"/>
              </w:rPr>
            </w:pPr>
            <w:proofErr w:type="spellStart"/>
            <w:r w:rsidRPr="00EA6E5E">
              <w:rPr>
                <w:sz w:val="14"/>
                <w:szCs w:val="18"/>
              </w:rPr>
              <w:t>Vohārika-Tissa</w:t>
            </w:r>
            <w:proofErr w:type="spellEnd"/>
            <w:r w:rsidRPr="00EA6E5E">
              <w:rPr>
                <w:sz w:val="14"/>
                <w:szCs w:val="18"/>
              </w:rPr>
              <w:t xml:space="preserve"> </w:t>
            </w:r>
          </w:p>
          <w:p w14:paraId="73FF7BF8" w14:textId="77777777" w:rsidR="00EA6E5E" w:rsidRPr="00EA6E5E" w:rsidRDefault="00EA6E5E" w:rsidP="009220D1">
            <w:pPr>
              <w:pStyle w:val="NormalConSangria"/>
              <w:spacing w:after="0"/>
              <w:ind w:firstLine="0"/>
              <w:rPr>
                <w:sz w:val="14"/>
                <w:szCs w:val="18"/>
              </w:rPr>
            </w:pPr>
            <w:r w:rsidRPr="00EA6E5E">
              <w:rPr>
                <w:sz w:val="14"/>
                <w:szCs w:val="18"/>
              </w:rPr>
              <w:t>215–237</w:t>
            </w:r>
          </w:p>
          <w:p w14:paraId="2B43BFBF" w14:textId="77777777" w:rsidR="00EA6E5E" w:rsidRPr="00EA6E5E" w:rsidRDefault="00EA6E5E" w:rsidP="009220D1">
            <w:pPr>
              <w:pStyle w:val="NormalConSangria"/>
              <w:spacing w:after="0"/>
              <w:ind w:firstLine="0"/>
              <w:rPr>
                <w:sz w:val="14"/>
                <w:szCs w:val="18"/>
              </w:rPr>
            </w:pPr>
          </w:p>
          <w:p w14:paraId="611FD688" w14:textId="77777777" w:rsidR="00EA6E5E" w:rsidRPr="00EA6E5E" w:rsidRDefault="00EA6E5E" w:rsidP="009220D1">
            <w:pPr>
              <w:pStyle w:val="NormalConSangria"/>
              <w:spacing w:after="0"/>
              <w:ind w:firstLine="0"/>
              <w:rPr>
                <w:sz w:val="14"/>
                <w:szCs w:val="18"/>
              </w:rPr>
            </w:pPr>
          </w:p>
          <w:p w14:paraId="1D75F893" w14:textId="77777777" w:rsidR="00EA6E5E" w:rsidRPr="00EA6E5E" w:rsidRDefault="00EA6E5E" w:rsidP="009220D1">
            <w:pPr>
              <w:pStyle w:val="NormalConSangria"/>
              <w:spacing w:after="0"/>
              <w:ind w:firstLine="0"/>
              <w:rPr>
                <w:sz w:val="14"/>
                <w:szCs w:val="18"/>
              </w:rPr>
            </w:pPr>
          </w:p>
          <w:p w14:paraId="51CDD8B9" w14:textId="77777777" w:rsidR="00EA6E5E" w:rsidRPr="00EA6E5E" w:rsidRDefault="00EA6E5E" w:rsidP="009220D1">
            <w:pPr>
              <w:pStyle w:val="NormalConSangria"/>
              <w:spacing w:after="0"/>
              <w:ind w:firstLine="0"/>
              <w:rPr>
                <w:sz w:val="14"/>
                <w:szCs w:val="18"/>
              </w:rPr>
            </w:pPr>
          </w:p>
          <w:p w14:paraId="61000952" w14:textId="77777777" w:rsidR="00EA6E5E" w:rsidRPr="00EA6E5E" w:rsidRDefault="00EA6E5E" w:rsidP="009220D1">
            <w:pPr>
              <w:pStyle w:val="NormalConSangria"/>
              <w:spacing w:after="0"/>
              <w:ind w:firstLine="0"/>
              <w:rPr>
                <w:sz w:val="14"/>
                <w:szCs w:val="18"/>
              </w:rPr>
            </w:pPr>
          </w:p>
          <w:p w14:paraId="22D79E2C" w14:textId="77777777" w:rsidR="00EA6E5E" w:rsidRPr="00EA6E5E" w:rsidRDefault="00EA6E5E" w:rsidP="009220D1">
            <w:pPr>
              <w:pStyle w:val="NormalConSangria"/>
              <w:spacing w:after="0"/>
              <w:ind w:firstLine="0"/>
              <w:rPr>
                <w:sz w:val="14"/>
                <w:szCs w:val="18"/>
              </w:rPr>
            </w:pPr>
          </w:p>
          <w:p w14:paraId="44DBCE02" w14:textId="77777777" w:rsidR="00EA6E5E" w:rsidRPr="001B6546" w:rsidRDefault="00EA6E5E" w:rsidP="009220D1">
            <w:pPr>
              <w:pStyle w:val="NormalConSangria"/>
              <w:spacing w:after="0"/>
              <w:ind w:firstLine="0"/>
              <w:rPr>
                <w:sz w:val="12"/>
                <w:szCs w:val="16"/>
              </w:rPr>
            </w:pPr>
          </w:p>
          <w:p w14:paraId="3F7AFC44" w14:textId="77777777" w:rsidR="00EA6E5E" w:rsidRPr="001B6546" w:rsidRDefault="00EA6E5E" w:rsidP="009220D1">
            <w:pPr>
              <w:pStyle w:val="NormalConSangria"/>
              <w:spacing w:after="0"/>
              <w:ind w:firstLine="0"/>
              <w:rPr>
                <w:sz w:val="12"/>
                <w:szCs w:val="16"/>
              </w:rPr>
            </w:pPr>
          </w:p>
          <w:p w14:paraId="6C2C98DD" w14:textId="77777777" w:rsidR="00EA6E5E" w:rsidRDefault="00EA6E5E" w:rsidP="009220D1">
            <w:pPr>
              <w:pStyle w:val="NormalConSangria"/>
              <w:spacing w:after="0"/>
              <w:ind w:firstLine="0"/>
              <w:rPr>
                <w:sz w:val="14"/>
                <w:szCs w:val="18"/>
              </w:rPr>
            </w:pPr>
          </w:p>
          <w:p w14:paraId="469BD63C" w14:textId="77777777" w:rsidR="001B6546" w:rsidRPr="00EA6E5E" w:rsidRDefault="001B6546" w:rsidP="009220D1">
            <w:pPr>
              <w:pStyle w:val="NormalConSangria"/>
              <w:spacing w:after="0"/>
              <w:ind w:firstLine="0"/>
              <w:rPr>
                <w:sz w:val="14"/>
                <w:szCs w:val="18"/>
              </w:rPr>
            </w:pPr>
          </w:p>
          <w:p w14:paraId="12725F40" w14:textId="77777777" w:rsidR="00324902" w:rsidRDefault="00324902" w:rsidP="009220D1">
            <w:pPr>
              <w:pStyle w:val="NormalConSangria"/>
              <w:spacing w:after="0"/>
              <w:ind w:firstLine="0"/>
              <w:rPr>
                <w:sz w:val="14"/>
                <w:szCs w:val="18"/>
              </w:rPr>
            </w:pPr>
          </w:p>
          <w:p w14:paraId="05F1402A" w14:textId="1EA74798" w:rsidR="00EA6E5E" w:rsidRPr="00EA6E5E" w:rsidRDefault="00EA6E5E" w:rsidP="009220D1">
            <w:pPr>
              <w:pStyle w:val="NormalConSangria"/>
              <w:spacing w:after="0"/>
              <w:ind w:firstLine="0"/>
              <w:rPr>
                <w:sz w:val="14"/>
                <w:szCs w:val="18"/>
              </w:rPr>
            </w:pPr>
            <w:proofErr w:type="spellStart"/>
            <w:r w:rsidRPr="00EA6E5E">
              <w:rPr>
                <w:sz w:val="14"/>
                <w:szCs w:val="18"/>
              </w:rPr>
              <w:t>Gothābhaya</w:t>
            </w:r>
            <w:proofErr w:type="spellEnd"/>
          </w:p>
          <w:p w14:paraId="75A3C8EA" w14:textId="133731B3" w:rsidR="00033B6E" w:rsidRDefault="00EA6E5E" w:rsidP="009220D1">
            <w:pPr>
              <w:pStyle w:val="NormalConSangria"/>
              <w:spacing w:after="0"/>
              <w:ind w:firstLine="0"/>
            </w:pPr>
            <w:r w:rsidRPr="00EA6E5E">
              <w:rPr>
                <w:sz w:val="14"/>
                <w:szCs w:val="18"/>
              </w:rPr>
              <w:t>254–267</w:t>
            </w:r>
          </w:p>
        </w:tc>
        <w:tc>
          <w:tcPr>
            <w:tcW w:w="3536" w:type="dxa"/>
          </w:tcPr>
          <w:p w14:paraId="3A61B4F7" w14:textId="09FFAF6E" w:rsidR="009E056F" w:rsidRPr="009E056F" w:rsidRDefault="00A403D0" w:rsidP="009220D1">
            <w:pPr>
              <w:pStyle w:val="NormalConSangria"/>
              <w:spacing w:after="0"/>
              <w:ind w:firstLine="0"/>
              <w:rPr>
                <w:sz w:val="14"/>
                <w:szCs w:val="18"/>
              </w:rPr>
            </w:pPr>
            <w:r>
              <w:rPr>
                <w:sz w:val="14"/>
                <w:szCs w:val="18"/>
              </w:rPr>
              <w:t>En una r</w:t>
            </w:r>
            <w:r w:rsidR="008F0FD6" w:rsidRPr="009E056F">
              <w:rPr>
                <w:sz w:val="14"/>
                <w:szCs w:val="18"/>
              </w:rPr>
              <w:t xml:space="preserve">eunión </w:t>
            </w:r>
            <w:r w:rsidR="009E056F" w:rsidRPr="009E056F">
              <w:rPr>
                <w:sz w:val="14"/>
                <w:szCs w:val="18"/>
              </w:rPr>
              <w:t xml:space="preserve">del </w:t>
            </w:r>
            <w:r w:rsidR="008F0FD6" w:rsidRPr="009E056F">
              <w:rPr>
                <w:sz w:val="14"/>
                <w:szCs w:val="18"/>
              </w:rPr>
              <w:t xml:space="preserve">Gran Monasterio </w:t>
            </w:r>
            <w:r>
              <w:rPr>
                <w:sz w:val="14"/>
                <w:szCs w:val="18"/>
              </w:rPr>
              <w:t xml:space="preserve">los </w:t>
            </w:r>
            <w:proofErr w:type="spellStart"/>
            <w:r w:rsidRPr="00057BF4">
              <w:rPr>
                <w:i/>
                <w:sz w:val="14"/>
                <w:szCs w:val="18"/>
              </w:rPr>
              <w:t>bhikkhu</w:t>
            </w:r>
            <w:r w:rsidRPr="009E056F">
              <w:rPr>
                <w:sz w:val="14"/>
                <w:szCs w:val="18"/>
              </w:rPr>
              <w:t>s</w:t>
            </w:r>
            <w:proofErr w:type="spellEnd"/>
            <w:r w:rsidRPr="009E056F">
              <w:rPr>
                <w:sz w:val="14"/>
                <w:szCs w:val="18"/>
              </w:rPr>
              <w:t xml:space="preserve"> </w:t>
            </w:r>
            <w:r w:rsidR="009E056F" w:rsidRPr="009E056F">
              <w:rPr>
                <w:sz w:val="14"/>
                <w:szCs w:val="18"/>
              </w:rPr>
              <w:t>decide</w:t>
            </w:r>
            <w:r>
              <w:rPr>
                <w:sz w:val="14"/>
                <w:szCs w:val="18"/>
              </w:rPr>
              <w:t>n</w:t>
            </w:r>
            <w:r w:rsidR="009E056F" w:rsidRPr="009E056F">
              <w:rPr>
                <w:sz w:val="14"/>
                <w:szCs w:val="18"/>
              </w:rPr>
              <w:t xml:space="preserve"> que el cuidado de los textos y la predicación ven</w:t>
            </w:r>
            <w:r>
              <w:rPr>
                <w:sz w:val="14"/>
                <w:szCs w:val="18"/>
              </w:rPr>
              <w:t>ga</w:t>
            </w:r>
            <w:r w:rsidR="009E056F" w:rsidRPr="009E056F">
              <w:rPr>
                <w:sz w:val="14"/>
                <w:szCs w:val="18"/>
              </w:rPr>
              <w:t xml:space="preserve"> antes de la práctica de su contenido.</w:t>
            </w:r>
          </w:p>
          <w:p w14:paraId="51684265" w14:textId="77777777" w:rsidR="009E056F" w:rsidRPr="009E056F" w:rsidRDefault="009E056F" w:rsidP="009220D1">
            <w:pPr>
              <w:pStyle w:val="NormalConSangria"/>
              <w:spacing w:after="0"/>
              <w:ind w:firstLine="0"/>
              <w:rPr>
                <w:sz w:val="14"/>
                <w:szCs w:val="18"/>
              </w:rPr>
            </w:pPr>
          </w:p>
          <w:p w14:paraId="27C7EE4A" w14:textId="726C63AB" w:rsidR="009E056F" w:rsidRPr="009E056F" w:rsidRDefault="009E056F" w:rsidP="009220D1">
            <w:pPr>
              <w:pStyle w:val="NormalConSangria"/>
              <w:spacing w:after="0"/>
              <w:ind w:firstLine="0"/>
              <w:rPr>
                <w:sz w:val="14"/>
                <w:szCs w:val="18"/>
              </w:rPr>
            </w:pPr>
            <w:r w:rsidRPr="009E056F">
              <w:rPr>
                <w:sz w:val="14"/>
                <w:szCs w:val="18"/>
              </w:rPr>
              <w:t xml:space="preserve">Muchos nombres de </w:t>
            </w:r>
            <w:r w:rsidR="008B22DD">
              <w:rPr>
                <w:sz w:val="14"/>
                <w:szCs w:val="18"/>
              </w:rPr>
              <w:t>Venerables</w:t>
            </w:r>
            <w:r w:rsidR="008B22DD" w:rsidRPr="009E056F">
              <w:rPr>
                <w:sz w:val="14"/>
                <w:szCs w:val="18"/>
              </w:rPr>
              <w:t xml:space="preserve"> </w:t>
            </w:r>
            <w:r w:rsidRPr="009E056F">
              <w:rPr>
                <w:sz w:val="14"/>
                <w:szCs w:val="18"/>
              </w:rPr>
              <w:t xml:space="preserve">del </w:t>
            </w:r>
            <w:r w:rsidR="00092331">
              <w:rPr>
                <w:sz w:val="14"/>
                <w:szCs w:val="18"/>
              </w:rPr>
              <w:t xml:space="preserve">Gran </w:t>
            </w:r>
            <w:r w:rsidR="00092331" w:rsidRPr="009E056F">
              <w:rPr>
                <w:sz w:val="14"/>
                <w:szCs w:val="18"/>
              </w:rPr>
              <w:t xml:space="preserve">Monasterio </w:t>
            </w:r>
            <w:r w:rsidR="00CF7BE5">
              <w:rPr>
                <w:sz w:val="14"/>
                <w:szCs w:val="18"/>
              </w:rPr>
              <w:t>indican</w:t>
            </w:r>
            <w:r w:rsidRPr="009E056F">
              <w:rPr>
                <w:sz w:val="14"/>
                <w:szCs w:val="18"/>
              </w:rPr>
              <w:t xml:space="preserve"> en los comentarios</w:t>
            </w:r>
            <w:r w:rsidR="00BB10B1">
              <w:rPr>
                <w:sz w:val="14"/>
                <w:szCs w:val="18"/>
              </w:rPr>
              <w:t xml:space="preserve"> aportes </w:t>
            </w:r>
            <w:r w:rsidRPr="009E056F">
              <w:rPr>
                <w:sz w:val="14"/>
                <w:szCs w:val="18"/>
              </w:rPr>
              <w:t>para el aprendizaje y la contribuci</w:t>
            </w:r>
            <w:r w:rsidR="00BB10B1">
              <w:rPr>
                <w:sz w:val="14"/>
                <w:szCs w:val="18"/>
              </w:rPr>
              <w:t>ó</w:t>
            </w:r>
            <w:r w:rsidRPr="009E056F">
              <w:rPr>
                <w:sz w:val="14"/>
                <w:szCs w:val="18"/>
              </w:rPr>
              <w:t xml:space="preserve">n a la decisión de problemas textuales, </w:t>
            </w:r>
            <w:r w:rsidR="006549BF">
              <w:rPr>
                <w:sz w:val="14"/>
                <w:szCs w:val="18"/>
              </w:rPr>
              <w:t xml:space="preserve">los cuales son </w:t>
            </w:r>
            <w:r w:rsidRPr="009E056F">
              <w:rPr>
                <w:sz w:val="14"/>
                <w:szCs w:val="18"/>
              </w:rPr>
              <w:t xml:space="preserve">rastreables </w:t>
            </w:r>
            <w:r w:rsidR="006549BF">
              <w:rPr>
                <w:sz w:val="14"/>
                <w:szCs w:val="18"/>
              </w:rPr>
              <w:t>hasta</w:t>
            </w:r>
            <w:r w:rsidRPr="009E056F">
              <w:rPr>
                <w:sz w:val="14"/>
                <w:szCs w:val="18"/>
              </w:rPr>
              <w:t xml:space="preserve"> este reinado.</w:t>
            </w:r>
          </w:p>
          <w:p w14:paraId="3C0D5F4E" w14:textId="77777777" w:rsidR="009E056F" w:rsidRPr="009E056F" w:rsidRDefault="009E056F" w:rsidP="009220D1">
            <w:pPr>
              <w:pStyle w:val="NormalConSangria"/>
              <w:spacing w:after="0"/>
              <w:ind w:firstLine="0"/>
              <w:rPr>
                <w:sz w:val="14"/>
                <w:szCs w:val="18"/>
              </w:rPr>
            </w:pPr>
          </w:p>
          <w:p w14:paraId="680E05AE" w14:textId="3B1CFB7A" w:rsidR="009E056F" w:rsidRPr="009E056F" w:rsidRDefault="009E056F" w:rsidP="009220D1">
            <w:pPr>
              <w:pStyle w:val="NormalConSangria"/>
              <w:spacing w:after="0"/>
              <w:ind w:firstLine="0"/>
              <w:rPr>
                <w:sz w:val="14"/>
                <w:szCs w:val="18"/>
              </w:rPr>
            </w:pPr>
            <w:r w:rsidRPr="009E056F">
              <w:rPr>
                <w:sz w:val="14"/>
                <w:szCs w:val="18"/>
              </w:rPr>
              <w:t xml:space="preserve">Muchos </w:t>
            </w:r>
            <w:r w:rsidR="00C475C2">
              <w:rPr>
                <w:sz w:val="14"/>
                <w:szCs w:val="18"/>
              </w:rPr>
              <w:t>Venerables</w:t>
            </w:r>
            <w:r w:rsidRPr="009E056F">
              <w:rPr>
                <w:sz w:val="14"/>
                <w:szCs w:val="18"/>
              </w:rPr>
              <w:t xml:space="preserve">, como se dijo por última vez, </w:t>
            </w:r>
            <w:r w:rsidR="008C1CC9">
              <w:rPr>
                <w:sz w:val="14"/>
                <w:szCs w:val="18"/>
              </w:rPr>
              <w:t xml:space="preserve">son </w:t>
            </w:r>
            <w:r w:rsidR="00C475C2">
              <w:rPr>
                <w:sz w:val="14"/>
                <w:szCs w:val="18"/>
              </w:rPr>
              <w:t xml:space="preserve">rastreables </w:t>
            </w:r>
            <w:r w:rsidR="008C1CC9" w:rsidRPr="009E056F">
              <w:rPr>
                <w:sz w:val="14"/>
                <w:szCs w:val="18"/>
              </w:rPr>
              <w:t xml:space="preserve">también </w:t>
            </w:r>
            <w:r w:rsidR="00C475C2">
              <w:rPr>
                <w:sz w:val="14"/>
                <w:szCs w:val="18"/>
              </w:rPr>
              <w:t>hasta</w:t>
            </w:r>
            <w:r w:rsidRPr="009E056F">
              <w:rPr>
                <w:sz w:val="14"/>
                <w:szCs w:val="18"/>
              </w:rPr>
              <w:t xml:space="preserve"> este reinado.</w:t>
            </w:r>
          </w:p>
          <w:p w14:paraId="7CFCD5F3" w14:textId="77777777" w:rsidR="009E056F" w:rsidRPr="009E056F" w:rsidRDefault="009E056F" w:rsidP="009220D1">
            <w:pPr>
              <w:pStyle w:val="NormalConSangria"/>
              <w:spacing w:after="0"/>
              <w:ind w:firstLine="0"/>
              <w:rPr>
                <w:sz w:val="14"/>
                <w:szCs w:val="18"/>
              </w:rPr>
            </w:pPr>
          </w:p>
          <w:p w14:paraId="07065148" w14:textId="70365175" w:rsidR="009E056F" w:rsidRPr="009E056F" w:rsidRDefault="00DE3381" w:rsidP="009220D1">
            <w:pPr>
              <w:pStyle w:val="NormalConSangria"/>
              <w:spacing w:after="0"/>
              <w:ind w:firstLine="0"/>
              <w:rPr>
                <w:sz w:val="14"/>
                <w:szCs w:val="18"/>
              </w:rPr>
            </w:pPr>
            <w:r>
              <w:rPr>
                <w:sz w:val="14"/>
                <w:szCs w:val="18"/>
              </w:rPr>
              <w:t xml:space="preserve">Los </w:t>
            </w:r>
            <w:r w:rsidR="00343949">
              <w:rPr>
                <w:sz w:val="14"/>
                <w:szCs w:val="18"/>
              </w:rPr>
              <w:t>ú</w:t>
            </w:r>
            <w:r w:rsidR="009E056F" w:rsidRPr="009E056F">
              <w:rPr>
                <w:sz w:val="14"/>
                <w:szCs w:val="18"/>
              </w:rPr>
              <w:t xml:space="preserve">ltimos nombres de </w:t>
            </w:r>
            <w:r w:rsidR="00343949">
              <w:rPr>
                <w:sz w:val="14"/>
                <w:szCs w:val="18"/>
              </w:rPr>
              <w:t xml:space="preserve">los </w:t>
            </w:r>
            <w:r w:rsidR="00483110">
              <w:rPr>
                <w:sz w:val="14"/>
                <w:szCs w:val="18"/>
              </w:rPr>
              <w:t>Venerables</w:t>
            </w:r>
            <w:r w:rsidR="00483110" w:rsidRPr="009E056F">
              <w:rPr>
                <w:sz w:val="14"/>
                <w:szCs w:val="18"/>
              </w:rPr>
              <w:t xml:space="preserve"> </w:t>
            </w:r>
            <w:r w:rsidR="009E056F" w:rsidRPr="009E056F">
              <w:rPr>
                <w:sz w:val="14"/>
                <w:szCs w:val="18"/>
              </w:rPr>
              <w:t xml:space="preserve">de Sri Lanka en </w:t>
            </w:r>
            <w:r w:rsidR="004C4942">
              <w:rPr>
                <w:sz w:val="14"/>
                <w:szCs w:val="18"/>
              </w:rPr>
              <w:t xml:space="preserve">el </w:t>
            </w:r>
            <w:proofErr w:type="spellStart"/>
            <w:r w:rsidR="009E056F" w:rsidRPr="00B936B0">
              <w:rPr>
                <w:i/>
                <w:iCs/>
                <w:sz w:val="14"/>
                <w:szCs w:val="18"/>
              </w:rPr>
              <w:t>Vinaya</w:t>
            </w:r>
            <w:proofErr w:type="spellEnd"/>
            <w:r w:rsidR="00343949" w:rsidRPr="00B936B0">
              <w:rPr>
                <w:i/>
                <w:iCs/>
                <w:sz w:val="14"/>
                <w:szCs w:val="18"/>
              </w:rPr>
              <w:t xml:space="preserve"> </w:t>
            </w:r>
            <w:proofErr w:type="spellStart"/>
            <w:r w:rsidR="009E056F" w:rsidRPr="00B936B0">
              <w:rPr>
                <w:i/>
                <w:iCs/>
                <w:sz w:val="14"/>
                <w:szCs w:val="18"/>
              </w:rPr>
              <w:t>Parivāra</w:t>
            </w:r>
            <w:proofErr w:type="spellEnd"/>
            <w:r w:rsidR="009E056F" w:rsidRPr="009E056F">
              <w:rPr>
                <w:sz w:val="14"/>
                <w:szCs w:val="18"/>
              </w:rPr>
              <w:t xml:space="preserve"> (p. 2) </w:t>
            </w:r>
            <w:r w:rsidR="00343949">
              <w:rPr>
                <w:sz w:val="14"/>
                <w:szCs w:val="18"/>
              </w:rPr>
              <w:t xml:space="preserve">son </w:t>
            </w:r>
            <w:r w:rsidR="009E056F" w:rsidRPr="009E056F">
              <w:rPr>
                <w:sz w:val="14"/>
                <w:szCs w:val="18"/>
              </w:rPr>
              <w:t>rastreable</w:t>
            </w:r>
            <w:r w:rsidR="00343949">
              <w:rPr>
                <w:sz w:val="14"/>
                <w:szCs w:val="18"/>
              </w:rPr>
              <w:t>s</w:t>
            </w:r>
            <w:r w:rsidR="009E056F" w:rsidRPr="009E056F">
              <w:rPr>
                <w:sz w:val="14"/>
                <w:szCs w:val="18"/>
              </w:rPr>
              <w:t xml:space="preserve"> </w:t>
            </w:r>
            <w:r w:rsidR="00B936B0">
              <w:rPr>
                <w:sz w:val="14"/>
                <w:szCs w:val="18"/>
              </w:rPr>
              <w:t>hasta</w:t>
            </w:r>
            <w:r w:rsidR="009E056F" w:rsidRPr="009E056F">
              <w:rPr>
                <w:sz w:val="14"/>
                <w:szCs w:val="18"/>
              </w:rPr>
              <w:t xml:space="preserve"> este reinado; </w:t>
            </w:r>
            <w:r w:rsidR="003B5C63">
              <w:rPr>
                <w:sz w:val="14"/>
                <w:szCs w:val="18"/>
              </w:rPr>
              <w:t xml:space="preserve">el </w:t>
            </w:r>
            <w:proofErr w:type="spellStart"/>
            <w:r w:rsidR="009E056F" w:rsidRPr="00B936B0">
              <w:rPr>
                <w:i/>
                <w:iCs/>
                <w:sz w:val="14"/>
                <w:szCs w:val="18"/>
              </w:rPr>
              <w:t>Parivāra</w:t>
            </w:r>
            <w:proofErr w:type="spellEnd"/>
            <w:r w:rsidR="009E056F" w:rsidRPr="009E056F">
              <w:rPr>
                <w:sz w:val="14"/>
                <w:szCs w:val="18"/>
              </w:rPr>
              <w:t xml:space="preserve"> </w:t>
            </w:r>
            <w:r w:rsidR="00B936B0">
              <w:rPr>
                <w:sz w:val="14"/>
                <w:szCs w:val="18"/>
              </w:rPr>
              <w:t>podría</w:t>
            </w:r>
            <w:r w:rsidR="009E056F" w:rsidRPr="009E056F">
              <w:rPr>
                <w:sz w:val="14"/>
                <w:szCs w:val="18"/>
              </w:rPr>
              <w:t xml:space="preserve"> haber sido completado por </w:t>
            </w:r>
            <w:r w:rsidR="004C4942">
              <w:rPr>
                <w:sz w:val="14"/>
                <w:szCs w:val="18"/>
              </w:rPr>
              <w:t>el</w:t>
            </w:r>
            <w:r w:rsidR="009E056F" w:rsidRPr="009E056F">
              <w:rPr>
                <w:sz w:val="14"/>
                <w:szCs w:val="18"/>
              </w:rPr>
              <w:t xml:space="preserve"> </w:t>
            </w:r>
            <w:r w:rsidR="004C4942" w:rsidRPr="009E056F">
              <w:rPr>
                <w:sz w:val="14"/>
                <w:szCs w:val="18"/>
              </w:rPr>
              <w:t xml:space="preserve">Gran Monasterio </w:t>
            </w:r>
            <w:r w:rsidR="009E056F" w:rsidRPr="009E056F">
              <w:rPr>
                <w:sz w:val="14"/>
                <w:szCs w:val="18"/>
              </w:rPr>
              <w:t xml:space="preserve">en cualquier momento posterior, antes del </w:t>
            </w:r>
            <w:r w:rsidR="004C4942">
              <w:rPr>
                <w:sz w:val="14"/>
                <w:szCs w:val="18"/>
              </w:rPr>
              <w:t xml:space="preserve">siglo </w:t>
            </w:r>
            <w:r w:rsidR="009E056F" w:rsidRPr="009E056F">
              <w:rPr>
                <w:sz w:val="14"/>
                <w:szCs w:val="18"/>
              </w:rPr>
              <w:t>quinto.</w:t>
            </w:r>
          </w:p>
          <w:p w14:paraId="1868EA69" w14:textId="77777777" w:rsidR="009E056F" w:rsidRPr="009E056F" w:rsidRDefault="009E056F" w:rsidP="009220D1">
            <w:pPr>
              <w:pStyle w:val="NormalConSangria"/>
              <w:spacing w:after="0"/>
              <w:ind w:firstLine="0"/>
              <w:rPr>
                <w:sz w:val="14"/>
                <w:szCs w:val="18"/>
              </w:rPr>
            </w:pPr>
          </w:p>
          <w:p w14:paraId="0BF57AEA" w14:textId="6E326A8A" w:rsidR="009E056F" w:rsidRPr="009E056F" w:rsidRDefault="009E056F" w:rsidP="009220D1">
            <w:pPr>
              <w:pStyle w:val="NormalConSangria"/>
              <w:spacing w:after="0"/>
              <w:ind w:firstLine="0"/>
              <w:rPr>
                <w:sz w:val="14"/>
                <w:szCs w:val="18"/>
              </w:rPr>
            </w:pPr>
            <w:r w:rsidRPr="009E056F">
              <w:rPr>
                <w:sz w:val="14"/>
                <w:szCs w:val="18"/>
              </w:rPr>
              <w:t xml:space="preserve">Disputa entre el </w:t>
            </w:r>
            <w:r w:rsidR="004C4942" w:rsidRPr="009E056F">
              <w:rPr>
                <w:sz w:val="14"/>
                <w:szCs w:val="18"/>
              </w:rPr>
              <w:t xml:space="preserve">Gran Monasterio </w:t>
            </w:r>
            <w:r w:rsidRPr="009E056F">
              <w:rPr>
                <w:sz w:val="14"/>
                <w:szCs w:val="18"/>
              </w:rPr>
              <w:t xml:space="preserve">y el </w:t>
            </w:r>
            <w:r w:rsidR="004C4942" w:rsidRPr="009E056F">
              <w:rPr>
                <w:sz w:val="14"/>
                <w:szCs w:val="18"/>
              </w:rPr>
              <w:t xml:space="preserve">Monasterio </w:t>
            </w:r>
            <w:proofErr w:type="spellStart"/>
            <w:r w:rsidRPr="009E056F">
              <w:rPr>
                <w:sz w:val="14"/>
                <w:szCs w:val="18"/>
              </w:rPr>
              <w:t>Abhayagiri</w:t>
            </w:r>
            <w:proofErr w:type="spellEnd"/>
            <w:r w:rsidRPr="009E056F">
              <w:rPr>
                <w:sz w:val="14"/>
                <w:szCs w:val="18"/>
              </w:rPr>
              <w:t xml:space="preserve"> sobre </w:t>
            </w:r>
            <w:r w:rsidR="004C4942">
              <w:rPr>
                <w:sz w:val="14"/>
                <w:szCs w:val="18"/>
              </w:rPr>
              <w:t xml:space="preserve">el </w:t>
            </w:r>
            <w:proofErr w:type="spellStart"/>
            <w:r w:rsidRPr="009E056F">
              <w:rPr>
                <w:sz w:val="14"/>
                <w:szCs w:val="18"/>
              </w:rPr>
              <w:t>Vinaya</w:t>
            </w:r>
            <w:proofErr w:type="spellEnd"/>
            <w:r w:rsidRPr="009E056F">
              <w:rPr>
                <w:sz w:val="14"/>
                <w:szCs w:val="18"/>
              </w:rPr>
              <w:t xml:space="preserve"> adjudicado </w:t>
            </w:r>
            <w:r w:rsidR="00954E90">
              <w:rPr>
                <w:sz w:val="14"/>
                <w:szCs w:val="18"/>
              </w:rPr>
              <w:t>al</w:t>
            </w:r>
            <w:r w:rsidRPr="009E056F">
              <w:rPr>
                <w:sz w:val="14"/>
                <w:szCs w:val="18"/>
              </w:rPr>
              <w:t xml:space="preserve"> Brahman </w:t>
            </w:r>
            <w:proofErr w:type="spellStart"/>
            <w:r w:rsidR="004C4942">
              <w:rPr>
                <w:sz w:val="14"/>
                <w:szCs w:val="18"/>
              </w:rPr>
              <w:t>Dīgha</w:t>
            </w:r>
            <w:r w:rsidRPr="009E056F">
              <w:rPr>
                <w:sz w:val="14"/>
                <w:szCs w:val="18"/>
              </w:rPr>
              <w:t>kārāyana</w:t>
            </w:r>
            <w:proofErr w:type="spellEnd"/>
            <w:r w:rsidRPr="009E056F">
              <w:rPr>
                <w:sz w:val="14"/>
                <w:szCs w:val="18"/>
              </w:rPr>
              <w:t xml:space="preserve"> a favor del </w:t>
            </w:r>
            <w:r w:rsidR="00EC4B36" w:rsidRPr="009E056F">
              <w:rPr>
                <w:sz w:val="14"/>
                <w:szCs w:val="18"/>
              </w:rPr>
              <w:t>Gran Monasterio</w:t>
            </w:r>
            <w:r w:rsidRPr="009E056F">
              <w:rPr>
                <w:sz w:val="14"/>
                <w:szCs w:val="18"/>
              </w:rPr>
              <w:t>.</w:t>
            </w:r>
          </w:p>
          <w:p w14:paraId="63792265" w14:textId="77777777" w:rsidR="009E056F" w:rsidRPr="009E056F" w:rsidRDefault="009E056F" w:rsidP="009220D1">
            <w:pPr>
              <w:pStyle w:val="NormalConSangria"/>
              <w:spacing w:after="0"/>
              <w:ind w:firstLine="0"/>
              <w:rPr>
                <w:sz w:val="14"/>
                <w:szCs w:val="18"/>
              </w:rPr>
            </w:pPr>
          </w:p>
          <w:p w14:paraId="39297028" w14:textId="0FCC4E2D" w:rsidR="009E056F" w:rsidRPr="009E056F" w:rsidRDefault="009E056F" w:rsidP="009220D1">
            <w:pPr>
              <w:pStyle w:val="NormalConSangria"/>
              <w:spacing w:after="0"/>
              <w:ind w:firstLine="0"/>
              <w:rPr>
                <w:sz w:val="14"/>
                <w:szCs w:val="18"/>
              </w:rPr>
            </w:pPr>
            <w:r w:rsidRPr="009E056F">
              <w:rPr>
                <w:sz w:val="14"/>
                <w:szCs w:val="18"/>
              </w:rPr>
              <w:t xml:space="preserve">60 </w:t>
            </w:r>
            <w:proofErr w:type="spellStart"/>
            <w:r w:rsidR="00CE780D" w:rsidRPr="00057BF4">
              <w:rPr>
                <w:i/>
                <w:sz w:val="14"/>
                <w:szCs w:val="18"/>
              </w:rPr>
              <w:t>bhikkhu</w:t>
            </w:r>
            <w:r w:rsidR="00CE780D" w:rsidRPr="009E056F">
              <w:rPr>
                <w:sz w:val="14"/>
                <w:szCs w:val="18"/>
              </w:rPr>
              <w:t>s</w:t>
            </w:r>
            <w:proofErr w:type="spellEnd"/>
            <w:r w:rsidR="00CE780D" w:rsidRPr="009E056F">
              <w:rPr>
                <w:sz w:val="14"/>
                <w:szCs w:val="18"/>
              </w:rPr>
              <w:t xml:space="preserve"> </w:t>
            </w:r>
            <w:r w:rsidR="00CE780D">
              <w:rPr>
                <w:sz w:val="14"/>
                <w:szCs w:val="18"/>
              </w:rPr>
              <w:t xml:space="preserve">son </w:t>
            </w:r>
            <w:r w:rsidRPr="009E056F">
              <w:rPr>
                <w:sz w:val="14"/>
                <w:szCs w:val="18"/>
              </w:rPr>
              <w:t>castigado</w:t>
            </w:r>
            <w:r w:rsidR="00CE780D">
              <w:rPr>
                <w:sz w:val="14"/>
                <w:szCs w:val="18"/>
              </w:rPr>
              <w:t>s</w:t>
            </w:r>
            <w:r w:rsidRPr="009E056F">
              <w:rPr>
                <w:sz w:val="14"/>
                <w:szCs w:val="18"/>
              </w:rPr>
              <w:t xml:space="preserve"> por traición.</w:t>
            </w:r>
          </w:p>
          <w:p w14:paraId="05C084DA" w14:textId="77777777" w:rsidR="009E056F" w:rsidRPr="009E056F" w:rsidRDefault="009E056F" w:rsidP="009220D1">
            <w:pPr>
              <w:pStyle w:val="NormalConSangria"/>
              <w:spacing w:after="0"/>
              <w:ind w:firstLine="0"/>
              <w:rPr>
                <w:sz w:val="14"/>
                <w:szCs w:val="18"/>
              </w:rPr>
            </w:pPr>
          </w:p>
          <w:p w14:paraId="45B55C43" w14:textId="57D5C0A4" w:rsidR="009E056F" w:rsidRPr="009E056F" w:rsidRDefault="009E056F" w:rsidP="009220D1">
            <w:pPr>
              <w:pStyle w:val="NormalConSangria"/>
              <w:spacing w:after="0"/>
              <w:ind w:firstLine="0"/>
              <w:rPr>
                <w:sz w:val="14"/>
                <w:szCs w:val="18"/>
              </w:rPr>
            </w:pPr>
            <w:r w:rsidRPr="009E056F">
              <w:rPr>
                <w:sz w:val="14"/>
                <w:szCs w:val="18"/>
              </w:rPr>
              <w:t xml:space="preserve">Último reinado mencionado en el cuerpo de </w:t>
            </w:r>
            <w:r w:rsidR="00CE780D">
              <w:rPr>
                <w:sz w:val="14"/>
                <w:szCs w:val="18"/>
              </w:rPr>
              <w:t xml:space="preserve">los </w:t>
            </w:r>
            <w:r w:rsidRPr="009E056F">
              <w:rPr>
                <w:sz w:val="14"/>
                <w:szCs w:val="18"/>
              </w:rPr>
              <w:t>comentarios.</w:t>
            </w:r>
          </w:p>
          <w:p w14:paraId="59A1519A" w14:textId="77777777" w:rsidR="009E056F" w:rsidRDefault="009E056F" w:rsidP="009220D1">
            <w:pPr>
              <w:pStyle w:val="NormalConSangria"/>
              <w:spacing w:after="0"/>
              <w:ind w:firstLine="0"/>
              <w:rPr>
                <w:sz w:val="14"/>
                <w:szCs w:val="18"/>
              </w:rPr>
            </w:pPr>
          </w:p>
          <w:p w14:paraId="0AE1BA45" w14:textId="77777777" w:rsidR="00787AB2" w:rsidRPr="009E056F" w:rsidRDefault="00787AB2" w:rsidP="009220D1">
            <w:pPr>
              <w:pStyle w:val="NormalConSangria"/>
              <w:spacing w:after="0"/>
              <w:ind w:firstLine="0"/>
              <w:rPr>
                <w:sz w:val="14"/>
                <w:szCs w:val="18"/>
              </w:rPr>
            </w:pPr>
          </w:p>
          <w:p w14:paraId="1CC463EE" w14:textId="10B3B293" w:rsidR="009E056F" w:rsidRPr="009E056F" w:rsidRDefault="009E056F" w:rsidP="009220D1">
            <w:pPr>
              <w:pStyle w:val="NormalConSangria"/>
              <w:spacing w:after="0"/>
              <w:ind w:firstLine="0"/>
              <w:rPr>
                <w:sz w:val="14"/>
                <w:szCs w:val="18"/>
              </w:rPr>
            </w:pPr>
            <w:r w:rsidRPr="009E056F">
              <w:rPr>
                <w:sz w:val="14"/>
                <w:szCs w:val="18"/>
              </w:rPr>
              <w:t>Los comentarios cingaleses pueden haberse cerrado en cualquier momento</w:t>
            </w:r>
            <w:r w:rsidR="00787AB2">
              <w:rPr>
                <w:sz w:val="14"/>
                <w:szCs w:val="18"/>
              </w:rPr>
              <w:t>,</w:t>
            </w:r>
            <w:r w:rsidRPr="009E056F">
              <w:rPr>
                <w:sz w:val="14"/>
                <w:szCs w:val="18"/>
              </w:rPr>
              <w:t xml:space="preserve"> después de este reinado.</w:t>
            </w:r>
          </w:p>
          <w:p w14:paraId="353A52EA" w14:textId="77777777" w:rsidR="009E056F" w:rsidRPr="009E056F" w:rsidRDefault="009E056F" w:rsidP="009220D1">
            <w:pPr>
              <w:pStyle w:val="NormalConSangria"/>
              <w:spacing w:after="0"/>
              <w:ind w:firstLine="0"/>
              <w:rPr>
                <w:sz w:val="14"/>
                <w:szCs w:val="18"/>
              </w:rPr>
            </w:pPr>
          </w:p>
          <w:p w14:paraId="198BB05B" w14:textId="74C02929" w:rsidR="009E056F" w:rsidRPr="009E056F" w:rsidRDefault="009E056F" w:rsidP="009220D1">
            <w:pPr>
              <w:pStyle w:val="NormalConSangria"/>
              <w:spacing w:after="0"/>
              <w:ind w:firstLine="0"/>
              <w:rPr>
                <w:sz w:val="14"/>
                <w:szCs w:val="18"/>
              </w:rPr>
            </w:pPr>
            <w:r w:rsidRPr="009E056F">
              <w:rPr>
                <w:sz w:val="14"/>
                <w:szCs w:val="18"/>
              </w:rPr>
              <w:t xml:space="preserve">Monasterio </w:t>
            </w:r>
            <w:proofErr w:type="spellStart"/>
            <w:r w:rsidRPr="009E056F">
              <w:rPr>
                <w:sz w:val="14"/>
                <w:szCs w:val="18"/>
              </w:rPr>
              <w:t>Abhayagiri</w:t>
            </w:r>
            <w:proofErr w:type="spellEnd"/>
            <w:r w:rsidRPr="009E056F">
              <w:rPr>
                <w:sz w:val="14"/>
                <w:szCs w:val="18"/>
              </w:rPr>
              <w:t xml:space="preserve"> </w:t>
            </w:r>
            <w:r w:rsidR="00CE780D">
              <w:rPr>
                <w:sz w:val="14"/>
                <w:szCs w:val="18"/>
              </w:rPr>
              <w:t xml:space="preserve">es </w:t>
            </w:r>
            <w:r w:rsidRPr="009E056F">
              <w:rPr>
                <w:sz w:val="14"/>
                <w:szCs w:val="18"/>
              </w:rPr>
              <w:t xml:space="preserve">apoyado por el </w:t>
            </w:r>
            <w:r w:rsidR="00333B42" w:rsidRPr="009E056F">
              <w:rPr>
                <w:sz w:val="14"/>
                <w:szCs w:val="18"/>
              </w:rPr>
              <w:t xml:space="preserve">Rey </w:t>
            </w:r>
            <w:r w:rsidRPr="009E056F">
              <w:rPr>
                <w:sz w:val="14"/>
                <w:szCs w:val="18"/>
              </w:rPr>
              <w:t>y ampliado.</w:t>
            </w:r>
          </w:p>
          <w:p w14:paraId="1EF94244" w14:textId="77777777" w:rsidR="009E056F" w:rsidRPr="009E056F" w:rsidRDefault="009E056F" w:rsidP="009220D1">
            <w:pPr>
              <w:pStyle w:val="NormalConSangria"/>
              <w:spacing w:after="0"/>
              <w:ind w:firstLine="0"/>
              <w:rPr>
                <w:sz w:val="14"/>
                <w:szCs w:val="18"/>
              </w:rPr>
            </w:pPr>
          </w:p>
          <w:p w14:paraId="73B753DB" w14:textId="77777777" w:rsidR="00AC6B3F" w:rsidRDefault="00AC6B3F" w:rsidP="009220D1">
            <w:pPr>
              <w:pStyle w:val="NormalConSangria"/>
              <w:spacing w:after="0"/>
              <w:ind w:firstLine="0"/>
              <w:rPr>
                <w:sz w:val="14"/>
                <w:szCs w:val="18"/>
              </w:rPr>
            </w:pPr>
          </w:p>
          <w:p w14:paraId="5B6FEED0" w14:textId="58B3E12D" w:rsidR="009E056F" w:rsidRPr="009E056F" w:rsidRDefault="009E056F" w:rsidP="009220D1">
            <w:pPr>
              <w:pStyle w:val="NormalConSangria"/>
              <w:spacing w:after="0"/>
              <w:ind w:firstLine="0"/>
              <w:rPr>
                <w:sz w:val="14"/>
                <w:szCs w:val="18"/>
              </w:rPr>
            </w:pPr>
            <w:r w:rsidRPr="009E056F">
              <w:rPr>
                <w:sz w:val="14"/>
                <w:szCs w:val="18"/>
              </w:rPr>
              <w:t xml:space="preserve">Menciones del </w:t>
            </w:r>
            <w:r w:rsidR="00381EA9">
              <w:rPr>
                <w:sz w:val="14"/>
                <w:szCs w:val="18"/>
              </w:rPr>
              <w:t xml:space="preserve">soporte </w:t>
            </w:r>
            <w:r w:rsidRPr="009E056F">
              <w:rPr>
                <w:sz w:val="14"/>
                <w:szCs w:val="18"/>
              </w:rPr>
              <w:t xml:space="preserve">real </w:t>
            </w:r>
            <w:r w:rsidR="00CE780D">
              <w:rPr>
                <w:sz w:val="14"/>
                <w:szCs w:val="18"/>
              </w:rPr>
              <w:t>a</w:t>
            </w:r>
            <w:r w:rsidRPr="009E056F">
              <w:rPr>
                <w:sz w:val="14"/>
                <w:szCs w:val="18"/>
              </w:rPr>
              <w:t xml:space="preserve">l </w:t>
            </w:r>
            <w:r w:rsidR="00CE780D" w:rsidRPr="009E056F">
              <w:rPr>
                <w:sz w:val="14"/>
                <w:szCs w:val="18"/>
              </w:rPr>
              <w:t xml:space="preserve">Gran Monasterio </w:t>
            </w:r>
            <w:r w:rsidRPr="009E056F">
              <w:rPr>
                <w:sz w:val="14"/>
                <w:szCs w:val="18"/>
              </w:rPr>
              <w:t xml:space="preserve">y </w:t>
            </w:r>
            <w:r w:rsidR="00CE780D">
              <w:rPr>
                <w:sz w:val="14"/>
                <w:szCs w:val="18"/>
              </w:rPr>
              <w:t>a</w:t>
            </w:r>
            <w:r w:rsidRPr="009E056F">
              <w:rPr>
                <w:sz w:val="14"/>
                <w:szCs w:val="18"/>
              </w:rPr>
              <w:t xml:space="preserve">l </w:t>
            </w:r>
            <w:r w:rsidR="00CE780D" w:rsidRPr="009E056F">
              <w:rPr>
                <w:sz w:val="14"/>
                <w:szCs w:val="18"/>
              </w:rPr>
              <w:t xml:space="preserve">Monasterio </w:t>
            </w:r>
            <w:proofErr w:type="spellStart"/>
            <w:r w:rsidRPr="009E056F">
              <w:rPr>
                <w:sz w:val="14"/>
                <w:szCs w:val="18"/>
              </w:rPr>
              <w:t>Abhayagiri</w:t>
            </w:r>
            <w:proofErr w:type="spellEnd"/>
          </w:p>
          <w:p w14:paraId="70297FAB" w14:textId="77777777" w:rsidR="009E056F" w:rsidRPr="009E056F" w:rsidRDefault="009E056F" w:rsidP="009220D1">
            <w:pPr>
              <w:pStyle w:val="NormalConSangria"/>
              <w:spacing w:after="0"/>
              <w:ind w:firstLine="0"/>
              <w:rPr>
                <w:sz w:val="14"/>
                <w:szCs w:val="18"/>
              </w:rPr>
            </w:pPr>
          </w:p>
          <w:p w14:paraId="0313C8B9" w14:textId="7C9F8B52" w:rsidR="009E056F" w:rsidRPr="009E056F" w:rsidRDefault="00CE780D" w:rsidP="009220D1">
            <w:pPr>
              <w:pStyle w:val="NormalConSangria"/>
              <w:spacing w:after="0"/>
              <w:ind w:firstLine="0"/>
              <w:rPr>
                <w:sz w:val="14"/>
                <w:szCs w:val="18"/>
              </w:rPr>
            </w:pPr>
            <w:r>
              <w:rPr>
                <w:sz w:val="14"/>
                <w:szCs w:val="18"/>
              </w:rPr>
              <w:t>El Rey</w:t>
            </w:r>
            <w:r w:rsidR="009E056F" w:rsidRPr="009E056F">
              <w:rPr>
                <w:sz w:val="14"/>
                <w:szCs w:val="18"/>
              </w:rPr>
              <w:t xml:space="preserve"> apoya a ambos monasterios.</w:t>
            </w:r>
          </w:p>
          <w:p w14:paraId="29080F97" w14:textId="77777777" w:rsidR="009E056F" w:rsidRPr="009E056F" w:rsidRDefault="009E056F" w:rsidP="009220D1">
            <w:pPr>
              <w:pStyle w:val="NormalConSangria"/>
              <w:spacing w:after="0"/>
              <w:ind w:firstLine="0"/>
              <w:rPr>
                <w:sz w:val="14"/>
                <w:szCs w:val="18"/>
              </w:rPr>
            </w:pPr>
          </w:p>
          <w:p w14:paraId="354AD80B" w14:textId="0F8EE25D" w:rsidR="009E056F" w:rsidRPr="009E056F" w:rsidRDefault="009E056F" w:rsidP="009220D1">
            <w:pPr>
              <w:pStyle w:val="NormalConSangria"/>
              <w:spacing w:after="0"/>
              <w:ind w:firstLine="0"/>
              <w:rPr>
                <w:sz w:val="14"/>
                <w:szCs w:val="18"/>
              </w:rPr>
            </w:pPr>
            <w:r w:rsidRPr="009E056F">
              <w:rPr>
                <w:sz w:val="14"/>
                <w:szCs w:val="18"/>
              </w:rPr>
              <w:t xml:space="preserve">El </w:t>
            </w:r>
            <w:r w:rsidR="007C0FBF" w:rsidRPr="009E056F">
              <w:rPr>
                <w:sz w:val="14"/>
                <w:szCs w:val="18"/>
              </w:rPr>
              <w:t xml:space="preserve">Monasterio </w:t>
            </w:r>
            <w:proofErr w:type="spellStart"/>
            <w:r w:rsidRPr="009E056F">
              <w:rPr>
                <w:sz w:val="14"/>
                <w:szCs w:val="18"/>
              </w:rPr>
              <w:t>Abhayagiri</w:t>
            </w:r>
            <w:proofErr w:type="spellEnd"/>
            <w:r w:rsidRPr="009E056F">
              <w:rPr>
                <w:sz w:val="14"/>
                <w:szCs w:val="18"/>
              </w:rPr>
              <w:t xml:space="preserve"> adopta </w:t>
            </w:r>
            <w:r w:rsidR="001B6546">
              <w:rPr>
                <w:sz w:val="14"/>
                <w:szCs w:val="18"/>
              </w:rPr>
              <w:t xml:space="preserve">el </w:t>
            </w:r>
            <w:proofErr w:type="spellStart"/>
            <w:r w:rsidRPr="00381EA9">
              <w:rPr>
                <w:i/>
                <w:iCs/>
                <w:sz w:val="14"/>
                <w:szCs w:val="18"/>
              </w:rPr>
              <w:t>Vetulya</w:t>
            </w:r>
            <w:proofErr w:type="spellEnd"/>
            <w:r w:rsidRPr="009E056F">
              <w:rPr>
                <w:sz w:val="14"/>
                <w:szCs w:val="18"/>
              </w:rPr>
              <w:t xml:space="preserve"> (</w:t>
            </w:r>
            <w:proofErr w:type="spellStart"/>
            <w:r w:rsidRPr="00381EA9">
              <w:rPr>
                <w:i/>
                <w:iCs/>
                <w:sz w:val="14"/>
                <w:szCs w:val="18"/>
              </w:rPr>
              <w:t>Mahāyāna</w:t>
            </w:r>
            <w:proofErr w:type="spellEnd"/>
            <w:r w:rsidRPr="009E056F">
              <w:rPr>
                <w:sz w:val="14"/>
                <w:szCs w:val="18"/>
              </w:rPr>
              <w:t xml:space="preserve">?) </w:t>
            </w:r>
            <w:proofErr w:type="spellStart"/>
            <w:r w:rsidRPr="00381EA9">
              <w:rPr>
                <w:i/>
                <w:iCs/>
                <w:sz w:val="14"/>
                <w:szCs w:val="18"/>
              </w:rPr>
              <w:t>Piṭaka</w:t>
            </w:r>
            <w:proofErr w:type="spellEnd"/>
            <w:r w:rsidRPr="009E056F">
              <w:rPr>
                <w:sz w:val="14"/>
                <w:szCs w:val="18"/>
              </w:rPr>
              <w:t>.</w:t>
            </w:r>
          </w:p>
          <w:p w14:paraId="134EF3B8" w14:textId="77777777" w:rsidR="009E056F" w:rsidRPr="009E056F" w:rsidRDefault="009E056F" w:rsidP="009220D1">
            <w:pPr>
              <w:pStyle w:val="NormalConSangria"/>
              <w:spacing w:after="0"/>
              <w:ind w:firstLine="0"/>
              <w:rPr>
                <w:sz w:val="14"/>
                <w:szCs w:val="18"/>
              </w:rPr>
            </w:pPr>
          </w:p>
          <w:p w14:paraId="56E88587" w14:textId="7C26A7B6" w:rsidR="009E056F" w:rsidRPr="009E056F" w:rsidRDefault="001B6546" w:rsidP="009220D1">
            <w:pPr>
              <w:pStyle w:val="NormalConSangria"/>
              <w:spacing w:after="0"/>
              <w:ind w:firstLine="0"/>
              <w:rPr>
                <w:sz w:val="14"/>
                <w:szCs w:val="18"/>
              </w:rPr>
            </w:pPr>
            <w:r>
              <w:rPr>
                <w:sz w:val="14"/>
                <w:szCs w:val="18"/>
              </w:rPr>
              <w:t>El Rey</w:t>
            </w:r>
            <w:r w:rsidRPr="009E056F">
              <w:rPr>
                <w:sz w:val="14"/>
                <w:szCs w:val="18"/>
              </w:rPr>
              <w:t xml:space="preserve"> </w:t>
            </w:r>
            <w:r w:rsidR="009E056F" w:rsidRPr="009E056F">
              <w:rPr>
                <w:sz w:val="14"/>
                <w:szCs w:val="18"/>
              </w:rPr>
              <w:t xml:space="preserve">suprime las doctrinas </w:t>
            </w:r>
            <w:proofErr w:type="spellStart"/>
            <w:r w:rsidR="009E056F" w:rsidRPr="00381EA9">
              <w:rPr>
                <w:i/>
                <w:iCs/>
                <w:sz w:val="14"/>
                <w:szCs w:val="18"/>
              </w:rPr>
              <w:t>Vetulya</w:t>
            </w:r>
            <w:proofErr w:type="spellEnd"/>
            <w:r w:rsidR="009E056F" w:rsidRPr="009E056F">
              <w:rPr>
                <w:sz w:val="14"/>
                <w:szCs w:val="18"/>
              </w:rPr>
              <w:t>.</w:t>
            </w:r>
          </w:p>
          <w:p w14:paraId="315761E9" w14:textId="77777777" w:rsidR="009E056F" w:rsidRPr="009E056F" w:rsidRDefault="009E056F" w:rsidP="009220D1">
            <w:pPr>
              <w:pStyle w:val="NormalConSangria"/>
              <w:spacing w:after="0"/>
              <w:ind w:firstLine="0"/>
              <w:rPr>
                <w:sz w:val="14"/>
                <w:szCs w:val="18"/>
              </w:rPr>
            </w:pPr>
          </w:p>
          <w:p w14:paraId="005407A2" w14:textId="3FD29658" w:rsidR="009E056F" w:rsidRPr="009E056F" w:rsidRDefault="009E056F" w:rsidP="009220D1">
            <w:pPr>
              <w:pStyle w:val="NormalConSangria"/>
              <w:spacing w:after="0"/>
              <w:ind w:firstLine="0"/>
              <w:rPr>
                <w:sz w:val="14"/>
                <w:szCs w:val="18"/>
              </w:rPr>
            </w:pPr>
            <w:r w:rsidRPr="009E056F">
              <w:rPr>
                <w:sz w:val="14"/>
                <w:szCs w:val="18"/>
              </w:rPr>
              <w:t xml:space="preserve">Los libros </w:t>
            </w:r>
            <w:proofErr w:type="spellStart"/>
            <w:r w:rsidRPr="00ED7611">
              <w:rPr>
                <w:i/>
                <w:iCs/>
                <w:sz w:val="14"/>
                <w:szCs w:val="18"/>
              </w:rPr>
              <w:t>Vetulya</w:t>
            </w:r>
            <w:proofErr w:type="spellEnd"/>
            <w:r w:rsidRPr="009E056F">
              <w:rPr>
                <w:sz w:val="14"/>
                <w:szCs w:val="18"/>
              </w:rPr>
              <w:t xml:space="preserve"> </w:t>
            </w:r>
            <w:r w:rsidR="001B6546">
              <w:rPr>
                <w:sz w:val="14"/>
                <w:szCs w:val="18"/>
              </w:rPr>
              <w:t>son quemados</w:t>
            </w:r>
            <w:r w:rsidRPr="009E056F">
              <w:rPr>
                <w:sz w:val="14"/>
                <w:szCs w:val="18"/>
              </w:rPr>
              <w:t xml:space="preserve"> y </w:t>
            </w:r>
            <w:r w:rsidR="001B6546">
              <w:rPr>
                <w:sz w:val="14"/>
                <w:szCs w:val="18"/>
              </w:rPr>
              <w:t xml:space="preserve">los </w:t>
            </w:r>
            <w:proofErr w:type="spellStart"/>
            <w:r w:rsidR="001B6546" w:rsidRPr="001B6546">
              <w:rPr>
                <w:i/>
                <w:iCs/>
                <w:sz w:val="14"/>
                <w:szCs w:val="18"/>
              </w:rPr>
              <w:t>b</w:t>
            </w:r>
            <w:r w:rsidR="00057BF4" w:rsidRPr="001B6546">
              <w:rPr>
                <w:i/>
                <w:iCs/>
                <w:sz w:val="14"/>
                <w:szCs w:val="18"/>
              </w:rPr>
              <w:t>hikkhu</w:t>
            </w:r>
            <w:r w:rsidRPr="001B6546">
              <w:rPr>
                <w:i/>
                <w:iCs/>
                <w:sz w:val="14"/>
                <w:szCs w:val="18"/>
              </w:rPr>
              <w:t>s</w:t>
            </w:r>
            <w:proofErr w:type="spellEnd"/>
            <w:r w:rsidRPr="009E056F">
              <w:rPr>
                <w:sz w:val="14"/>
                <w:szCs w:val="18"/>
              </w:rPr>
              <w:t xml:space="preserve"> deshonra</w:t>
            </w:r>
            <w:r w:rsidR="001B6546">
              <w:rPr>
                <w:sz w:val="14"/>
                <w:szCs w:val="18"/>
              </w:rPr>
              <w:t>dos</w:t>
            </w:r>
            <w:r w:rsidRPr="009E056F">
              <w:rPr>
                <w:sz w:val="14"/>
                <w:szCs w:val="18"/>
              </w:rPr>
              <w:t>.</w:t>
            </w:r>
          </w:p>
          <w:p w14:paraId="5096DBAA" w14:textId="77777777" w:rsidR="00ED7611" w:rsidRPr="009E056F" w:rsidRDefault="00ED7611" w:rsidP="009220D1">
            <w:pPr>
              <w:pStyle w:val="NormalConSangria"/>
              <w:spacing w:after="0"/>
              <w:ind w:firstLine="0"/>
              <w:rPr>
                <w:sz w:val="14"/>
                <w:szCs w:val="18"/>
              </w:rPr>
            </w:pPr>
          </w:p>
          <w:p w14:paraId="76F42E44" w14:textId="2BB4A3DB" w:rsidR="009E056F" w:rsidRPr="009E056F" w:rsidRDefault="009E056F" w:rsidP="009220D1">
            <w:pPr>
              <w:pStyle w:val="NormalConSangria"/>
              <w:spacing w:after="0"/>
              <w:ind w:firstLine="0"/>
              <w:rPr>
                <w:sz w:val="14"/>
                <w:szCs w:val="18"/>
              </w:rPr>
            </w:pPr>
            <w:r w:rsidRPr="009E056F">
              <w:rPr>
                <w:sz w:val="14"/>
                <w:szCs w:val="18"/>
              </w:rPr>
              <w:t xml:space="preserve">Corrupción de </w:t>
            </w:r>
            <w:proofErr w:type="spellStart"/>
            <w:r w:rsidR="001B6546" w:rsidRPr="00057BF4">
              <w:rPr>
                <w:i/>
                <w:sz w:val="14"/>
                <w:szCs w:val="18"/>
              </w:rPr>
              <w:t>bhikkhu</w:t>
            </w:r>
            <w:r w:rsidR="001B6546" w:rsidRPr="009E056F">
              <w:rPr>
                <w:sz w:val="14"/>
                <w:szCs w:val="18"/>
              </w:rPr>
              <w:t>s</w:t>
            </w:r>
            <w:proofErr w:type="spellEnd"/>
            <w:r w:rsidR="001B6546" w:rsidRPr="009E056F">
              <w:rPr>
                <w:sz w:val="14"/>
                <w:szCs w:val="18"/>
              </w:rPr>
              <w:t xml:space="preserve"> </w:t>
            </w:r>
            <w:r w:rsidRPr="009E056F">
              <w:rPr>
                <w:sz w:val="14"/>
                <w:szCs w:val="18"/>
              </w:rPr>
              <w:t xml:space="preserve">por </w:t>
            </w:r>
            <w:proofErr w:type="spellStart"/>
            <w:r w:rsidRPr="009E056F">
              <w:rPr>
                <w:sz w:val="14"/>
                <w:szCs w:val="18"/>
              </w:rPr>
              <w:t>Vitaṇḍavadins</w:t>
            </w:r>
            <w:proofErr w:type="spellEnd"/>
            <w:r w:rsidRPr="009E056F">
              <w:rPr>
                <w:sz w:val="14"/>
                <w:szCs w:val="18"/>
              </w:rPr>
              <w:t xml:space="preserve"> (herejes o críticos destructivos).</w:t>
            </w:r>
          </w:p>
          <w:p w14:paraId="109FE20A" w14:textId="77777777" w:rsidR="009E056F" w:rsidRPr="00ED7611" w:rsidRDefault="009E056F" w:rsidP="009220D1">
            <w:pPr>
              <w:pStyle w:val="NormalConSangria"/>
              <w:spacing w:after="0"/>
              <w:ind w:firstLine="0"/>
              <w:rPr>
                <w:sz w:val="22"/>
                <w:szCs w:val="28"/>
              </w:rPr>
            </w:pPr>
          </w:p>
          <w:p w14:paraId="60AF4C82" w14:textId="55C5B43B" w:rsidR="009E056F" w:rsidRPr="009E056F" w:rsidRDefault="001B6546" w:rsidP="009220D1">
            <w:pPr>
              <w:pStyle w:val="NormalConSangria"/>
              <w:spacing w:after="0"/>
              <w:ind w:firstLine="0"/>
              <w:rPr>
                <w:sz w:val="14"/>
                <w:szCs w:val="18"/>
              </w:rPr>
            </w:pPr>
            <w:r>
              <w:rPr>
                <w:sz w:val="14"/>
                <w:szCs w:val="18"/>
              </w:rPr>
              <w:t xml:space="preserve">El </w:t>
            </w:r>
            <w:r w:rsidR="009E056F" w:rsidRPr="009E056F">
              <w:rPr>
                <w:sz w:val="14"/>
                <w:szCs w:val="18"/>
              </w:rPr>
              <w:t xml:space="preserve">Gran </w:t>
            </w:r>
            <w:r w:rsidR="005C38E4" w:rsidRPr="009E056F">
              <w:rPr>
                <w:sz w:val="14"/>
                <w:szCs w:val="18"/>
              </w:rPr>
              <w:t xml:space="preserve">Monasterio </w:t>
            </w:r>
            <w:r>
              <w:rPr>
                <w:sz w:val="14"/>
                <w:szCs w:val="18"/>
              </w:rPr>
              <w:t xml:space="preserve">es </w:t>
            </w:r>
            <w:r w:rsidR="009E056F" w:rsidRPr="009E056F">
              <w:rPr>
                <w:sz w:val="14"/>
                <w:szCs w:val="18"/>
              </w:rPr>
              <w:t xml:space="preserve">apoyado por </w:t>
            </w:r>
            <w:r w:rsidR="005C38E4">
              <w:rPr>
                <w:sz w:val="14"/>
                <w:szCs w:val="18"/>
              </w:rPr>
              <w:t xml:space="preserve">el </w:t>
            </w:r>
            <w:r>
              <w:rPr>
                <w:sz w:val="14"/>
                <w:szCs w:val="18"/>
              </w:rPr>
              <w:t>Rey</w:t>
            </w:r>
            <w:r w:rsidR="009E056F" w:rsidRPr="009E056F">
              <w:rPr>
                <w:sz w:val="14"/>
                <w:szCs w:val="18"/>
              </w:rPr>
              <w:t>.</w:t>
            </w:r>
          </w:p>
          <w:p w14:paraId="4016FDE1" w14:textId="77777777" w:rsidR="009E056F" w:rsidRPr="009E056F" w:rsidRDefault="009E056F" w:rsidP="009220D1">
            <w:pPr>
              <w:pStyle w:val="NormalConSangria"/>
              <w:spacing w:after="0"/>
              <w:ind w:firstLine="0"/>
              <w:rPr>
                <w:sz w:val="14"/>
                <w:szCs w:val="18"/>
              </w:rPr>
            </w:pPr>
          </w:p>
          <w:p w14:paraId="4D1674BC" w14:textId="23FA3F27" w:rsidR="009E056F" w:rsidRPr="009E056F" w:rsidRDefault="009E056F" w:rsidP="009220D1">
            <w:pPr>
              <w:pStyle w:val="NormalConSangria"/>
              <w:spacing w:after="0"/>
              <w:ind w:firstLine="0"/>
              <w:rPr>
                <w:sz w:val="14"/>
                <w:szCs w:val="18"/>
              </w:rPr>
            </w:pPr>
            <w:r w:rsidRPr="009E056F">
              <w:rPr>
                <w:sz w:val="14"/>
                <w:szCs w:val="18"/>
              </w:rPr>
              <w:t xml:space="preserve">60 </w:t>
            </w:r>
            <w:proofErr w:type="spellStart"/>
            <w:r w:rsidR="001B6546" w:rsidRPr="00057BF4">
              <w:rPr>
                <w:i/>
                <w:iCs/>
                <w:sz w:val="14"/>
                <w:szCs w:val="18"/>
              </w:rPr>
              <w:t>bhikkhu</w:t>
            </w:r>
            <w:r w:rsidR="001B6546" w:rsidRPr="005C38E4">
              <w:rPr>
                <w:i/>
                <w:iCs/>
                <w:sz w:val="14"/>
                <w:szCs w:val="18"/>
              </w:rPr>
              <w:t>s</w:t>
            </w:r>
            <w:proofErr w:type="spellEnd"/>
            <w:r w:rsidR="00ED7611">
              <w:rPr>
                <w:i/>
                <w:iCs/>
                <w:sz w:val="14"/>
                <w:szCs w:val="18"/>
              </w:rPr>
              <w:t>,</w:t>
            </w:r>
            <w:r w:rsidR="001B6546" w:rsidRPr="009E056F">
              <w:rPr>
                <w:sz w:val="14"/>
                <w:szCs w:val="18"/>
              </w:rPr>
              <w:t xml:space="preserve"> </w:t>
            </w:r>
            <w:r w:rsidRPr="009E056F">
              <w:rPr>
                <w:sz w:val="14"/>
                <w:szCs w:val="18"/>
              </w:rPr>
              <w:t xml:space="preserve">en el </w:t>
            </w:r>
            <w:r w:rsidR="001B6546" w:rsidRPr="009E056F">
              <w:rPr>
                <w:sz w:val="14"/>
                <w:szCs w:val="18"/>
              </w:rPr>
              <w:t xml:space="preserve">Monasterio </w:t>
            </w:r>
            <w:proofErr w:type="spellStart"/>
            <w:r w:rsidRPr="009E056F">
              <w:rPr>
                <w:sz w:val="14"/>
                <w:szCs w:val="18"/>
              </w:rPr>
              <w:t>Abhayagiri</w:t>
            </w:r>
            <w:proofErr w:type="spellEnd"/>
            <w:r w:rsidR="00ED7611">
              <w:rPr>
                <w:sz w:val="14"/>
                <w:szCs w:val="18"/>
              </w:rPr>
              <w:t>,</w:t>
            </w:r>
            <w:r w:rsidRPr="009E056F">
              <w:rPr>
                <w:sz w:val="14"/>
                <w:szCs w:val="18"/>
              </w:rPr>
              <w:t xml:space="preserve"> </w:t>
            </w:r>
            <w:r w:rsidR="001B6546">
              <w:rPr>
                <w:sz w:val="14"/>
                <w:szCs w:val="18"/>
              </w:rPr>
              <w:t xml:space="preserve">son </w:t>
            </w:r>
            <w:r w:rsidRPr="009E056F">
              <w:rPr>
                <w:sz w:val="14"/>
                <w:szCs w:val="18"/>
              </w:rPr>
              <w:t>desterrado</w:t>
            </w:r>
            <w:r w:rsidR="001B6546">
              <w:rPr>
                <w:sz w:val="14"/>
                <w:szCs w:val="18"/>
              </w:rPr>
              <w:t>s</w:t>
            </w:r>
            <w:r w:rsidRPr="009E056F">
              <w:rPr>
                <w:sz w:val="14"/>
                <w:szCs w:val="18"/>
              </w:rPr>
              <w:t xml:space="preserve"> por el </w:t>
            </w:r>
            <w:r w:rsidR="001B6546" w:rsidRPr="009E056F">
              <w:rPr>
                <w:sz w:val="14"/>
                <w:szCs w:val="18"/>
              </w:rPr>
              <w:t xml:space="preserve">Rey </w:t>
            </w:r>
            <w:r w:rsidRPr="009E056F">
              <w:rPr>
                <w:sz w:val="14"/>
                <w:szCs w:val="18"/>
              </w:rPr>
              <w:t xml:space="preserve">por defender las doctrinas </w:t>
            </w:r>
            <w:proofErr w:type="spellStart"/>
            <w:r w:rsidRPr="00ED7611">
              <w:rPr>
                <w:i/>
                <w:iCs/>
                <w:sz w:val="14"/>
                <w:szCs w:val="18"/>
              </w:rPr>
              <w:t>Vetulya</w:t>
            </w:r>
            <w:proofErr w:type="spellEnd"/>
            <w:r w:rsidRPr="009E056F">
              <w:rPr>
                <w:sz w:val="14"/>
                <w:szCs w:val="18"/>
              </w:rPr>
              <w:t>.</w:t>
            </w:r>
          </w:p>
          <w:p w14:paraId="71891B86" w14:textId="77777777" w:rsidR="009E056F" w:rsidRPr="009E056F" w:rsidRDefault="009E056F" w:rsidP="009220D1">
            <w:pPr>
              <w:pStyle w:val="NormalConSangria"/>
              <w:spacing w:after="0"/>
              <w:ind w:firstLine="0"/>
              <w:rPr>
                <w:sz w:val="14"/>
                <w:szCs w:val="18"/>
              </w:rPr>
            </w:pPr>
          </w:p>
          <w:p w14:paraId="33F1CB9B" w14:textId="690AC9C5" w:rsidR="009E056F" w:rsidRPr="009E056F" w:rsidRDefault="009E056F" w:rsidP="009220D1">
            <w:pPr>
              <w:pStyle w:val="NormalConSangria"/>
              <w:spacing w:after="0"/>
              <w:ind w:firstLine="0"/>
              <w:rPr>
                <w:sz w:val="14"/>
                <w:szCs w:val="18"/>
              </w:rPr>
            </w:pPr>
            <w:r w:rsidRPr="009E056F">
              <w:rPr>
                <w:sz w:val="14"/>
                <w:szCs w:val="18"/>
              </w:rPr>
              <w:t xml:space="preserve">Secesión del </w:t>
            </w:r>
            <w:r w:rsidR="001B6546" w:rsidRPr="009E056F">
              <w:rPr>
                <w:sz w:val="14"/>
                <w:szCs w:val="18"/>
              </w:rPr>
              <w:t xml:space="preserve">Monasterio </w:t>
            </w:r>
            <w:proofErr w:type="spellStart"/>
            <w:r w:rsidRPr="009E056F">
              <w:rPr>
                <w:sz w:val="14"/>
                <w:szCs w:val="18"/>
              </w:rPr>
              <w:t>Abhayagiri</w:t>
            </w:r>
            <w:proofErr w:type="spellEnd"/>
            <w:r w:rsidRPr="009E056F">
              <w:rPr>
                <w:sz w:val="14"/>
                <w:szCs w:val="18"/>
              </w:rPr>
              <w:t xml:space="preserve">; </w:t>
            </w:r>
            <w:r w:rsidR="001B6546" w:rsidRPr="009E056F">
              <w:rPr>
                <w:sz w:val="14"/>
                <w:szCs w:val="18"/>
              </w:rPr>
              <w:t>forma</w:t>
            </w:r>
            <w:r w:rsidR="001B6546">
              <w:rPr>
                <w:sz w:val="14"/>
                <w:szCs w:val="18"/>
              </w:rPr>
              <w:t>ción</w:t>
            </w:r>
            <w:r w:rsidR="001B6546" w:rsidRPr="009E056F">
              <w:rPr>
                <w:sz w:val="14"/>
                <w:szCs w:val="18"/>
              </w:rPr>
              <w:t xml:space="preserve"> </w:t>
            </w:r>
            <w:r w:rsidRPr="009E056F">
              <w:rPr>
                <w:sz w:val="14"/>
                <w:szCs w:val="18"/>
              </w:rPr>
              <w:t xml:space="preserve">nueva secta </w:t>
            </w:r>
          </w:p>
          <w:p w14:paraId="5E1CD0C0" w14:textId="77777777" w:rsidR="009E056F" w:rsidRPr="009E056F" w:rsidRDefault="009E056F" w:rsidP="009220D1">
            <w:pPr>
              <w:pStyle w:val="NormalConSangria"/>
              <w:spacing w:after="0"/>
              <w:ind w:firstLine="0"/>
              <w:rPr>
                <w:sz w:val="14"/>
                <w:szCs w:val="18"/>
              </w:rPr>
            </w:pPr>
          </w:p>
          <w:p w14:paraId="12812E9E" w14:textId="7890CB05" w:rsidR="009E056F" w:rsidRPr="009E056F" w:rsidRDefault="006E57DB" w:rsidP="009220D1">
            <w:pPr>
              <w:pStyle w:val="NormalConSangria"/>
              <w:spacing w:after="0"/>
              <w:ind w:firstLine="0"/>
              <w:rPr>
                <w:sz w:val="14"/>
                <w:szCs w:val="18"/>
              </w:rPr>
            </w:pPr>
            <w:r>
              <w:rPr>
                <w:iCs/>
                <w:sz w:val="14"/>
                <w:szCs w:val="18"/>
              </w:rPr>
              <w:t xml:space="preserve">El </w:t>
            </w:r>
            <w:proofErr w:type="spellStart"/>
            <w:r w:rsidR="00D0032D" w:rsidRPr="006E57DB">
              <w:rPr>
                <w:iCs/>
                <w:sz w:val="14"/>
                <w:szCs w:val="18"/>
              </w:rPr>
              <w:t>Bhikkhu</w:t>
            </w:r>
            <w:proofErr w:type="spellEnd"/>
            <w:r w:rsidR="00D0032D" w:rsidRPr="009E056F">
              <w:rPr>
                <w:sz w:val="14"/>
                <w:szCs w:val="18"/>
              </w:rPr>
              <w:t xml:space="preserve"> </w:t>
            </w:r>
            <w:proofErr w:type="spellStart"/>
            <w:r w:rsidR="00057BF4" w:rsidRPr="00D0032D">
              <w:rPr>
                <w:iCs/>
                <w:sz w:val="14"/>
                <w:szCs w:val="18"/>
              </w:rPr>
              <w:t>Saṅgha</w:t>
            </w:r>
            <w:r w:rsidR="009E056F" w:rsidRPr="00D0032D">
              <w:rPr>
                <w:iCs/>
                <w:sz w:val="14"/>
                <w:szCs w:val="18"/>
              </w:rPr>
              <w:t>mitta</w:t>
            </w:r>
            <w:proofErr w:type="spellEnd"/>
            <w:r w:rsidR="00167CEE">
              <w:rPr>
                <w:iCs/>
                <w:sz w:val="14"/>
                <w:szCs w:val="18"/>
              </w:rPr>
              <w:t xml:space="preserve"> de la </w:t>
            </w:r>
            <w:r>
              <w:rPr>
                <w:iCs/>
                <w:sz w:val="14"/>
                <w:szCs w:val="18"/>
              </w:rPr>
              <w:t xml:space="preserve">India </w:t>
            </w:r>
            <w:r w:rsidR="00167CEE">
              <w:rPr>
                <w:iCs/>
                <w:sz w:val="14"/>
                <w:szCs w:val="18"/>
              </w:rPr>
              <w:t>apoya al</w:t>
            </w:r>
          </w:p>
          <w:p w14:paraId="275FBB76" w14:textId="2EEA083E" w:rsidR="00033B6E" w:rsidRDefault="009E056F" w:rsidP="009220D1">
            <w:pPr>
              <w:pStyle w:val="NormalConSangria"/>
              <w:spacing w:after="0"/>
              <w:ind w:firstLine="0"/>
            </w:pPr>
            <w:r w:rsidRPr="009E056F">
              <w:rPr>
                <w:sz w:val="14"/>
                <w:szCs w:val="18"/>
              </w:rPr>
              <w:t xml:space="preserve">Monasterio </w:t>
            </w:r>
            <w:proofErr w:type="spellStart"/>
            <w:r w:rsidR="001B6546" w:rsidRPr="009E056F">
              <w:rPr>
                <w:sz w:val="14"/>
                <w:szCs w:val="18"/>
              </w:rPr>
              <w:t>Abhayagiri</w:t>
            </w:r>
            <w:proofErr w:type="spellEnd"/>
          </w:p>
        </w:tc>
        <w:tc>
          <w:tcPr>
            <w:tcW w:w="1612" w:type="dxa"/>
          </w:tcPr>
          <w:p w14:paraId="6E52B12D" w14:textId="12E96F83" w:rsidR="004C0DF4" w:rsidRPr="004C0DF4" w:rsidRDefault="004C0DF4" w:rsidP="009220D1">
            <w:pPr>
              <w:pStyle w:val="NormalConSangria"/>
              <w:spacing w:after="0"/>
              <w:ind w:firstLine="0"/>
              <w:rPr>
                <w:sz w:val="14"/>
                <w:szCs w:val="14"/>
                <w:lang w:val="en-US"/>
              </w:rPr>
            </w:pPr>
            <w:r w:rsidRPr="004C0DF4">
              <w:rPr>
                <w:sz w:val="14"/>
                <w:szCs w:val="14"/>
                <w:lang w:val="en-US"/>
              </w:rPr>
              <w:t>A-a I 92</w:t>
            </w:r>
            <w:r w:rsidR="006549BF">
              <w:rPr>
                <w:sz w:val="14"/>
                <w:szCs w:val="14"/>
                <w:lang w:val="en-US"/>
              </w:rPr>
              <w:t>s</w:t>
            </w:r>
            <w:r w:rsidRPr="004C0DF4">
              <w:rPr>
                <w:sz w:val="14"/>
                <w:szCs w:val="14"/>
                <w:lang w:val="en-US"/>
              </w:rPr>
              <w:t>; EHBC 78</w:t>
            </w:r>
          </w:p>
          <w:p w14:paraId="7563EB2E" w14:textId="77777777" w:rsidR="004C0DF4" w:rsidRPr="004C0DF4" w:rsidRDefault="004C0DF4" w:rsidP="009220D1">
            <w:pPr>
              <w:pStyle w:val="NormalConSangria"/>
              <w:spacing w:after="0"/>
              <w:ind w:firstLine="0"/>
              <w:rPr>
                <w:sz w:val="14"/>
                <w:szCs w:val="14"/>
                <w:lang w:val="en-US"/>
              </w:rPr>
            </w:pPr>
          </w:p>
          <w:p w14:paraId="154229D7" w14:textId="77777777" w:rsidR="004C0DF4" w:rsidRPr="004C0DF4" w:rsidRDefault="004C0DF4" w:rsidP="009220D1">
            <w:pPr>
              <w:pStyle w:val="NormalConSangria"/>
              <w:spacing w:after="0"/>
              <w:ind w:firstLine="0"/>
              <w:rPr>
                <w:sz w:val="14"/>
                <w:szCs w:val="14"/>
                <w:lang w:val="en-US"/>
              </w:rPr>
            </w:pPr>
          </w:p>
          <w:p w14:paraId="264BE6C3" w14:textId="77777777" w:rsidR="004C0DF4" w:rsidRPr="004C0DF4" w:rsidRDefault="004C0DF4" w:rsidP="009220D1">
            <w:pPr>
              <w:pStyle w:val="NormalConSangria"/>
              <w:spacing w:after="0"/>
              <w:ind w:firstLine="0"/>
              <w:rPr>
                <w:sz w:val="14"/>
                <w:szCs w:val="14"/>
                <w:lang w:val="en-US"/>
              </w:rPr>
            </w:pPr>
          </w:p>
          <w:p w14:paraId="48E08F85" w14:textId="77777777" w:rsidR="004C0DF4" w:rsidRPr="004C0DF4" w:rsidRDefault="004C0DF4" w:rsidP="009220D1">
            <w:pPr>
              <w:pStyle w:val="NormalConSangria"/>
              <w:spacing w:after="0"/>
              <w:ind w:firstLine="0"/>
              <w:rPr>
                <w:sz w:val="14"/>
                <w:szCs w:val="14"/>
                <w:lang w:val="en-US"/>
              </w:rPr>
            </w:pPr>
            <w:r w:rsidRPr="004C0DF4">
              <w:rPr>
                <w:sz w:val="14"/>
                <w:szCs w:val="14"/>
                <w:lang w:val="en-US"/>
              </w:rPr>
              <w:t>EHBC 76</w:t>
            </w:r>
          </w:p>
          <w:p w14:paraId="69EEC27F" w14:textId="77777777" w:rsidR="004C0DF4" w:rsidRPr="004C0DF4" w:rsidRDefault="004C0DF4" w:rsidP="009220D1">
            <w:pPr>
              <w:pStyle w:val="NormalConSangria"/>
              <w:spacing w:after="0"/>
              <w:ind w:firstLine="0"/>
              <w:rPr>
                <w:sz w:val="14"/>
                <w:szCs w:val="14"/>
                <w:lang w:val="en-US"/>
              </w:rPr>
            </w:pPr>
          </w:p>
          <w:p w14:paraId="07A87288" w14:textId="77777777" w:rsidR="004C0DF4" w:rsidRPr="004C0DF4" w:rsidRDefault="004C0DF4" w:rsidP="009220D1">
            <w:pPr>
              <w:pStyle w:val="NormalConSangria"/>
              <w:spacing w:after="0"/>
              <w:ind w:firstLine="0"/>
              <w:rPr>
                <w:sz w:val="14"/>
                <w:szCs w:val="14"/>
                <w:lang w:val="en-US"/>
              </w:rPr>
            </w:pPr>
          </w:p>
          <w:p w14:paraId="643E9090" w14:textId="77777777" w:rsidR="004C0DF4" w:rsidRPr="004C0DF4" w:rsidRDefault="004C0DF4" w:rsidP="009220D1">
            <w:pPr>
              <w:pStyle w:val="NormalConSangria"/>
              <w:spacing w:after="0"/>
              <w:ind w:firstLine="0"/>
              <w:rPr>
                <w:sz w:val="14"/>
                <w:szCs w:val="14"/>
                <w:lang w:val="en-US"/>
              </w:rPr>
            </w:pPr>
          </w:p>
          <w:p w14:paraId="4F3CD740" w14:textId="77777777" w:rsidR="004C0DF4" w:rsidRPr="004C0DF4" w:rsidRDefault="004C0DF4" w:rsidP="009220D1">
            <w:pPr>
              <w:pStyle w:val="NormalConSangria"/>
              <w:spacing w:after="0"/>
              <w:ind w:firstLine="0"/>
              <w:rPr>
                <w:sz w:val="14"/>
                <w:szCs w:val="14"/>
                <w:lang w:val="en-US"/>
              </w:rPr>
            </w:pPr>
          </w:p>
          <w:p w14:paraId="6C1AA483" w14:textId="77777777" w:rsidR="004C0DF4" w:rsidRPr="004C0DF4" w:rsidRDefault="004C0DF4" w:rsidP="009220D1">
            <w:pPr>
              <w:pStyle w:val="NormalConSangria"/>
              <w:spacing w:after="0"/>
              <w:ind w:firstLine="0"/>
              <w:rPr>
                <w:sz w:val="14"/>
                <w:szCs w:val="14"/>
                <w:lang w:val="en-US"/>
              </w:rPr>
            </w:pPr>
            <w:r w:rsidRPr="004C0DF4">
              <w:rPr>
                <w:sz w:val="14"/>
                <w:szCs w:val="14"/>
                <w:lang w:val="en-US"/>
              </w:rPr>
              <w:t>EHBC 80</w:t>
            </w:r>
          </w:p>
          <w:p w14:paraId="552635DE" w14:textId="77777777" w:rsidR="004C0DF4" w:rsidRPr="004C0DF4" w:rsidRDefault="004C0DF4" w:rsidP="009220D1">
            <w:pPr>
              <w:pStyle w:val="NormalConSangria"/>
              <w:spacing w:after="0"/>
              <w:ind w:firstLine="0"/>
              <w:rPr>
                <w:sz w:val="14"/>
                <w:szCs w:val="14"/>
                <w:lang w:val="en-US"/>
              </w:rPr>
            </w:pPr>
          </w:p>
          <w:p w14:paraId="35ED5E4A" w14:textId="77777777" w:rsidR="004C0DF4" w:rsidRPr="004C0DF4" w:rsidRDefault="004C0DF4" w:rsidP="009220D1">
            <w:pPr>
              <w:pStyle w:val="NormalConSangria"/>
              <w:spacing w:after="0"/>
              <w:ind w:firstLine="0"/>
              <w:rPr>
                <w:sz w:val="14"/>
                <w:szCs w:val="14"/>
                <w:lang w:val="en-US"/>
              </w:rPr>
            </w:pPr>
          </w:p>
          <w:p w14:paraId="6E471226" w14:textId="77777777" w:rsidR="004C0DF4" w:rsidRPr="004C0DF4" w:rsidRDefault="004C0DF4" w:rsidP="009220D1">
            <w:pPr>
              <w:pStyle w:val="NormalConSangria"/>
              <w:spacing w:after="0"/>
              <w:ind w:firstLine="0"/>
              <w:rPr>
                <w:sz w:val="14"/>
                <w:szCs w:val="14"/>
                <w:lang w:val="en-US"/>
              </w:rPr>
            </w:pPr>
            <w:r w:rsidRPr="004C0DF4">
              <w:rPr>
                <w:sz w:val="14"/>
                <w:szCs w:val="14"/>
                <w:lang w:val="en-US"/>
              </w:rPr>
              <w:t>EHBC 86</w:t>
            </w:r>
          </w:p>
          <w:p w14:paraId="379030C5" w14:textId="77777777" w:rsidR="004C0DF4" w:rsidRPr="004C0DF4" w:rsidRDefault="004C0DF4" w:rsidP="009220D1">
            <w:pPr>
              <w:pStyle w:val="NormalConSangria"/>
              <w:spacing w:after="0"/>
              <w:ind w:firstLine="0"/>
              <w:rPr>
                <w:sz w:val="14"/>
                <w:szCs w:val="14"/>
                <w:lang w:val="en-US"/>
              </w:rPr>
            </w:pPr>
          </w:p>
          <w:p w14:paraId="31ABBDE0" w14:textId="77777777" w:rsidR="004C0DF4" w:rsidRPr="004C0DF4" w:rsidRDefault="004C0DF4" w:rsidP="009220D1">
            <w:pPr>
              <w:pStyle w:val="NormalConSangria"/>
              <w:spacing w:after="0"/>
              <w:ind w:firstLine="0"/>
              <w:rPr>
                <w:sz w:val="14"/>
                <w:szCs w:val="14"/>
                <w:lang w:val="en-US"/>
              </w:rPr>
            </w:pPr>
          </w:p>
          <w:p w14:paraId="249FF8B8" w14:textId="77777777" w:rsidR="004C0DF4" w:rsidRPr="004C0DF4" w:rsidRDefault="004C0DF4" w:rsidP="009220D1">
            <w:pPr>
              <w:pStyle w:val="NormalConSangria"/>
              <w:spacing w:after="0"/>
              <w:ind w:firstLine="0"/>
              <w:rPr>
                <w:sz w:val="14"/>
                <w:szCs w:val="14"/>
                <w:lang w:val="en-US"/>
              </w:rPr>
            </w:pPr>
          </w:p>
          <w:p w14:paraId="2815631E" w14:textId="77777777" w:rsidR="004C0DF4" w:rsidRPr="004C0DF4" w:rsidRDefault="004C0DF4" w:rsidP="009220D1">
            <w:pPr>
              <w:pStyle w:val="NormalConSangria"/>
              <w:spacing w:after="0"/>
              <w:ind w:firstLine="0"/>
              <w:rPr>
                <w:sz w:val="14"/>
                <w:szCs w:val="14"/>
                <w:lang w:val="en-US"/>
              </w:rPr>
            </w:pPr>
          </w:p>
          <w:p w14:paraId="5788392F" w14:textId="77777777" w:rsidR="004C0DF4" w:rsidRPr="004C0DF4" w:rsidRDefault="004C0DF4" w:rsidP="009220D1">
            <w:pPr>
              <w:pStyle w:val="NormalConSangria"/>
              <w:spacing w:after="0"/>
              <w:ind w:firstLine="0"/>
              <w:rPr>
                <w:sz w:val="14"/>
                <w:szCs w:val="14"/>
                <w:lang w:val="en-US"/>
              </w:rPr>
            </w:pPr>
            <w:r w:rsidRPr="004C0DF4">
              <w:rPr>
                <w:sz w:val="14"/>
                <w:szCs w:val="14"/>
                <w:lang w:val="en-US"/>
              </w:rPr>
              <w:t>Vin-a 582; EHBC 99</w:t>
            </w:r>
          </w:p>
          <w:p w14:paraId="20069E43" w14:textId="77777777" w:rsidR="004C0DF4" w:rsidRPr="004C0DF4" w:rsidRDefault="004C0DF4" w:rsidP="009220D1">
            <w:pPr>
              <w:pStyle w:val="NormalConSangria"/>
              <w:spacing w:after="0"/>
              <w:ind w:firstLine="0"/>
              <w:rPr>
                <w:sz w:val="14"/>
                <w:szCs w:val="14"/>
                <w:lang w:val="en-US"/>
              </w:rPr>
            </w:pPr>
          </w:p>
          <w:p w14:paraId="38F2302E" w14:textId="77777777" w:rsidR="004C0DF4" w:rsidRPr="004C0DF4" w:rsidRDefault="004C0DF4" w:rsidP="009220D1">
            <w:pPr>
              <w:pStyle w:val="NormalConSangria"/>
              <w:spacing w:after="0"/>
              <w:ind w:firstLine="0"/>
              <w:rPr>
                <w:sz w:val="14"/>
                <w:szCs w:val="14"/>
                <w:lang w:val="en-US"/>
              </w:rPr>
            </w:pPr>
          </w:p>
          <w:p w14:paraId="3E2F2542" w14:textId="77777777" w:rsidR="004C0DF4" w:rsidRPr="004C0DF4" w:rsidRDefault="004C0DF4" w:rsidP="009220D1">
            <w:pPr>
              <w:pStyle w:val="NormalConSangria"/>
              <w:spacing w:after="0"/>
              <w:ind w:firstLine="0"/>
              <w:rPr>
                <w:sz w:val="14"/>
                <w:szCs w:val="14"/>
                <w:lang w:val="en-US"/>
              </w:rPr>
            </w:pPr>
          </w:p>
          <w:p w14:paraId="31B538EF" w14:textId="77777777" w:rsidR="004C0DF4" w:rsidRPr="004C0DF4" w:rsidRDefault="004C0DF4" w:rsidP="009220D1">
            <w:pPr>
              <w:pStyle w:val="NormalConSangria"/>
              <w:spacing w:after="0"/>
              <w:ind w:firstLine="0"/>
              <w:rPr>
                <w:sz w:val="14"/>
                <w:szCs w:val="14"/>
                <w:lang w:val="en-US"/>
              </w:rPr>
            </w:pPr>
            <w:proofErr w:type="spellStart"/>
            <w:r w:rsidRPr="004C0DF4">
              <w:rPr>
                <w:sz w:val="14"/>
                <w:szCs w:val="14"/>
                <w:lang w:val="en-US"/>
              </w:rPr>
              <w:t>Mhv</w:t>
            </w:r>
            <w:proofErr w:type="spellEnd"/>
            <w:r w:rsidRPr="004C0DF4">
              <w:rPr>
                <w:sz w:val="14"/>
                <w:szCs w:val="14"/>
                <w:lang w:val="en-US"/>
              </w:rPr>
              <w:t xml:space="preserve"> XXXV.10</w:t>
            </w:r>
          </w:p>
          <w:p w14:paraId="1055E824" w14:textId="77777777" w:rsidR="004C0DF4" w:rsidRPr="004C0DF4" w:rsidRDefault="004C0DF4" w:rsidP="009220D1">
            <w:pPr>
              <w:pStyle w:val="NormalConSangria"/>
              <w:spacing w:after="0"/>
              <w:ind w:firstLine="0"/>
              <w:rPr>
                <w:sz w:val="14"/>
                <w:szCs w:val="14"/>
                <w:lang w:val="en-US"/>
              </w:rPr>
            </w:pPr>
          </w:p>
          <w:p w14:paraId="4AB77336" w14:textId="77777777" w:rsidR="004C0DF4" w:rsidRPr="004C0DF4" w:rsidRDefault="004C0DF4" w:rsidP="009220D1">
            <w:pPr>
              <w:pStyle w:val="NormalConSangria"/>
              <w:spacing w:after="0"/>
              <w:ind w:firstLine="0"/>
              <w:rPr>
                <w:sz w:val="14"/>
                <w:szCs w:val="14"/>
                <w:lang w:val="en-US"/>
              </w:rPr>
            </w:pPr>
            <w:r w:rsidRPr="004C0DF4">
              <w:rPr>
                <w:sz w:val="14"/>
                <w:szCs w:val="14"/>
                <w:lang w:val="en-US"/>
              </w:rPr>
              <w:t>EHBC 3, 86–7</w:t>
            </w:r>
          </w:p>
          <w:p w14:paraId="7ACBB90D" w14:textId="77777777" w:rsidR="004C0DF4" w:rsidRPr="004C0DF4" w:rsidRDefault="004C0DF4" w:rsidP="009220D1">
            <w:pPr>
              <w:pStyle w:val="NormalConSangria"/>
              <w:spacing w:after="0"/>
              <w:ind w:firstLine="0"/>
              <w:rPr>
                <w:sz w:val="14"/>
                <w:szCs w:val="14"/>
                <w:lang w:val="en-US"/>
              </w:rPr>
            </w:pPr>
          </w:p>
          <w:p w14:paraId="74873123" w14:textId="77777777" w:rsidR="004C0DF4" w:rsidRPr="004C0DF4" w:rsidRDefault="004C0DF4" w:rsidP="009220D1">
            <w:pPr>
              <w:pStyle w:val="NormalConSangria"/>
              <w:spacing w:after="0"/>
              <w:ind w:firstLine="0"/>
              <w:rPr>
                <w:sz w:val="14"/>
                <w:szCs w:val="14"/>
                <w:lang w:val="en-US"/>
              </w:rPr>
            </w:pPr>
          </w:p>
          <w:p w14:paraId="01751104" w14:textId="77777777" w:rsidR="004C0DF4" w:rsidRPr="004C0DF4" w:rsidRDefault="004C0DF4" w:rsidP="009220D1">
            <w:pPr>
              <w:pStyle w:val="NormalConSangria"/>
              <w:spacing w:after="0"/>
              <w:ind w:firstLine="0"/>
              <w:rPr>
                <w:sz w:val="14"/>
                <w:szCs w:val="14"/>
                <w:lang w:val="en-US"/>
              </w:rPr>
            </w:pPr>
            <w:r w:rsidRPr="004C0DF4">
              <w:rPr>
                <w:sz w:val="14"/>
                <w:szCs w:val="14"/>
                <w:lang w:val="en-US"/>
              </w:rPr>
              <w:t>EHBC 3, 86–7</w:t>
            </w:r>
          </w:p>
          <w:p w14:paraId="031A7F54" w14:textId="77777777" w:rsidR="004C0DF4" w:rsidRPr="004C0DF4" w:rsidRDefault="004C0DF4" w:rsidP="009220D1">
            <w:pPr>
              <w:pStyle w:val="NormalConSangria"/>
              <w:spacing w:after="0"/>
              <w:ind w:firstLine="0"/>
              <w:rPr>
                <w:sz w:val="14"/>
                <w:szCs w:val="14"/>
                <w:lang w:val="en-US"/>
              </w:rPr>
            </w:pPr>
          </w:p>
          <w:p w14:paraId="2A9367D3" w14:textId="77777777" w:rsidR="004C0DF4" w:rsidRPr="004C0DF4" w:rsidRDefault="004C0DF4" w:rsidP="009220D1">
            <w:pPr>
              <w:pStyle w:val="NormalConSangria"/>
              <w:spacing w:after="0"/>
              <w:ind w:firstLine="0"/>
              <w:rPr>
                <w:sz w:val="14"/>
                <w:szCs w:val="14"/>
                <w:lang w:val="en-US"/>
              </w:rPr>
            </w:pPr>
          </w:p>
          <w:p w14:paraId="7402D25D" w14:textId="77777777" w:rsidR="004C0DF4" w:rsidRPr="004C0DF4" w:rsidRDefault="004C0DF4" w:rsidP="009220D1">
            <w:pPr>
              <w:pStyle w:val="NormalConSangria"/>
              <w:spacing w:after="0"/>
              <w:ind w:firstLine="0"/>
              <w:rPr>
                <w:sz w:val="14"/>
                <w:szCs w:val="14"/>
                <w:lang w:val="en-US"/>
              </w:rPr>
            </w:pPr>
            <w:proofErr w:type="spellStart"/>
            <w:r w:rsidRPr="004C0DF4">
              <w:rPr>
                <w:sz w:val="14"/>
                <w:szCs w:val="14"/>
                <w:lang w:val="en-US"/>
              </w:rPr>
              <w:t>Mhv</w:t>
            </w:r>
            <w:proofErr w:type="spellEnd"/>
            <w:r w:rsidRPr="004C0DF4">
              <w:rPr>
                <w:sz w:val="14"/>
                <w:szCs w:val="14"/>
                <w:lang w:val="en-US"/>
              </w:rPr>
              <w:t xml:space="preserve"> XXXV.119</w:t>
            </w:r>
          </w:p>
          <w:p w14:paraId="2B4D40FF" w14:textId="77777777" w:rsidR="004C0DF4" w:rsidRPr="004C0DF4" w:rsidRDefault="004C0DF4" w:rsidP="009220D1">
            <w:pPr>
              <w:pStyle w:val="NormalConSangria"/>
              <w:spacing w:after="0"/>
              <w:ind w:firstLine="0"/>
              <w:rPr>
                <w:sz w:val="14"/>
                <w:szCs w:val="14"/>
                <w:lang w:val="en-US"/>
              </w:rPr>
            </w:pPr>
          </w:p>
          <w:p w14:paraId="4DC3349A" w14:textId="77777777" w:rsidR="004C0DF4" w:rsidRPr="004C0DF4" w:rsidRDefault="004C0DF4" w:rsidP="009220D1">
            <w:pPr>
              <w:pStyle w:val="NormalConSangria"/>
              <w:spacing w:after="0"/>
              <w:ind w:firstLine="0"/>
              <w:rPr>
                <w:sz w:val="14"/>
                <w:szCs w:val="14"/>
                <w:lang w:val="en-US"/>
              </w:rPr>
            </w:pPr>
          </w:p>
          <w:p w14:paraId="54C5DA1A" w14:textId="77777777" w:rsidR="004C0DF4" w:rsidRPr="004C0DF4" w:rsidRDefault="004C0DF4" w:rsidP="009220D1">
            <w:pPr>
              <w:pStyle w:val="NormalConSangria"/>
              <w:spacing w:after="0"/>
              <w:ind w:firstLine="0"/>
              <w:rPr>
                <w:sz w:val="14"/>
                <w:szCs w:val="14"/>
                <w:lang w:val="en-US"/>
              </w:rPr>
            </w:pPr>
            <w:proofErr w:type="spellStart"/>
            <w:r w:rsidRPr="004C0DF4">
              <w:rPr>
                <w:sz w:val="14"/>
                <w:szCs w:val="14"/>
                <w:lang w:val="en-US"/>
              </w:rPr>
              <w:t>Mhv</w:t>
            </w:r>
            <w:proofErr w:type="spellEnd"/>
            <w:r w:rsidRPr="004C0DF4">
              <w:rPr>
                <w:sz w:val="14"/>
                <w:szCs w:val="14"/>
                <w:lang w:val="en-US"/>
              </w:rPr>
              <w:t xml:space="preserve"> XXXV.1, 7, 24, 33, 65</w:t>
            </w:r>
          </w:p>
          <w:p w14:paraId="454CEF56" w14:textId="77777777" w:rsidR="004C0DF4" w:rsidRPr="004C0DF4" w:rsidRDefault="004C0DF4" w:rsidP="009220D1">
            <w:pPr>
              <w:pStyle w:val="NormalConSangria"/>
              <w:spacing w:after="0"/>
              <w:ind w:firstLine="0"/>
              <w:rPr>
                <w:sz w:val="14"/>
                <w:szCs w:val="14"/>
                <w:lang w:val="en-US"/>
              </w:rPr>
            </w:pPr>
          </w:p>
          <w:p w14:paraId="3386928E" w14:textId="77777777" w:rsidR="004C0DF4" w:rsidRPr="004C0DF4" w:rsidRDefault="004C0DF4" w:rsidP="009220D1">
            <w:pPr>
              <w:pStyle w:val="NormalConSangria"/>
              <w:spacing w:after="0"/>
              <w:ind w:firstLine="0"/>
              <w:rPr>
                <w:sz w:val="14"/>
                <w:szCs w:val="14"/>
                <w:lang w:val="en-US"/>
              </w:rPr>
            </w:pPr>
          </w:p>
          <w:p w14:paraId="4CB12308" w14:textId="77777777" w:rsidR="004C0DF4" w:rsidRPr="004C0DF4" w:rsidRDefault="004C0DF4" w:rsidP="009220D1">
            <w:pPr>
              <w:pStyle w:val="NormalConSangria"/>
              <w:spacing w:after="0"/>
              <w:ind w:firstLine="0"/>
              <w:rPr>
                <w:sz w:val="14"/>
                <w:szCs w:val="14"/>
                <w:lang w:val="en-US"/>
              </w:rPr>
            </w:pPr>
          </w:p>
          <w:p w14:paraId="48A483A8" w14:textId="77777777" w:rsidR="00D06BA9" w:rsidRDefault="00D06BA9" w:rsidP="009220D1">
            <w:pPr>
              <w:pStyle w:val="NormalConSangria"/>
              <w:spacing w:after="0"/>
              <w:ind w:firstLine="0"/>
              <w:rPr>
                <w:sz w:val="14"/>
                <w:szCs w:val="14"/>
                <w:lang w:val="en-US"/>
              </w:rPr>
            </w:pPr>
          </w:p>
          <w:p w14:paraId="4299D4C1" w14:textId="066AC216" w:rsidR="004C0DF4" w:rsidRPr="004C0DF4" w:rsidRDefault="004C0DF4" w:rsidP="009220D1">
            <w:pPr>
              <w:pStyle w:val="NormalConSangria"/>
              <w:spacing w:after="0"/>
              <w:ind w:firstLine="0"/>
              <w:rPr>
                <w:sz w:val="14"/>
                <w:szCs w:val="14"/>
                <w:lang w:val="en-US"/>
              </w:rPr>
            </w:pPr>
            <w:r>
              <w:rPr>
                <w:sz w:val="14"/>
                <w:szCs w:val="14"/>
                <w:lang w:val="en-US"/>
              </w:rPr>
              <w:t>Nikāya</w:t>
            </w:r>
            <w:r w:rsidRPr="004C0DF4">
              <w:rPr>
                <w:sz w:val="14"/>
                <w:szCs w:val="14"/>
                <w:lang w:val="en-US"/>
              </w:rPr>
              <w:t>-s 12</w:t>
            </w:r>
          </w:p>
          <w:p w14:paraId="2283CAB4" w14:textId="77777777" w:rsidR="004C0DF4" w:rsidRPr="004C0DF4" w:rsidRDefault="004C0DF4" w:rsidP="009220D1">
            <w:pPr>
              <w:pStyle w:val="NormalConSangria"/>
              <w:spacing w:after="0"/>
              <w:ind w:firstLine="0"/>
              <w:rPr>
                <w:sz w:val="14"/>
                <w:szCs w:val="14"/>
                <w:lang w:val="en-US"/>
              </w:rPr>
            </w:pPr>
          </w:p>
          <w:p w14:paraId="35042605" w14:textId="77777777" w:rsidR="004C0DF4" w:rsidRPr="004C0DF4" w:rsidRDefault="004C0DF4" w:rsidP="009220D1">
            <w:pPr>
              <w:pStyle w:val="NormalConSangria"/>
              <w:spacing w:after="0"/>
              <w:ind w:firstLine="0"/>
              <w:rPr>
                <w:sz w:val="14"/>
                <w:szCs w:val="14"/>
                <w:lang w:val="en-US"/>
              </w:rPr>
            </w:pPr>
          </w:p>
          <w:p w14:paraId="7B33645B" w14:textId="77777777" w:rsidR="004C0DF4" w:rsidRPr="004C0DF4" w:rsidRDefault="004C0DF4" w:rsidP="009220D1">
            <w:pPr>
              <w:pStyle w:val="NormalConSangria"/>
              <w:spacing w:after="0"/>
              <w:ind w:firstLine="0"/>
              <w:rPr>
                <w:sz w:val="14"/>
                <w:szCs w:val="14"/>
                <w:lang w:val="en-US"/>
              </w:rPr>
            </w:pPr>
            <w:proofErr w:type="spellStart"/>
            <w:r w:rsidRPr="004C0DF4">
              <w:rPr>
                <w:sz w:val="14"/>
                <w:szCs w:val="14"/>
                <w:lang w:val="en-US"/>
              </w:rPr>
              <w:t>Mhv</w:t>
            </w:r>
            <w:proofErr w:type="spellEnd"/>
            <w:r w:rsidRPr="004C0DF4">
              <w:rPr>
                <w:sz w:val="14"/>
                <w:szCs w:val="14"/>
                <w:lang w:val="en-US"/>
              </w:rPr>
              <w:t xml:space="preserve"> XXXVI.41</w:t>
            </w:r>
          </w:p>
          <w:p w14:paraId="7D9DEF64" w14:textId="77777777" w:rsidR="004C0DF4" w:rsidRPr="004C0DF4" w:rsidRDefault="004C0DF4" w:rsidP="009220D1">
            <w:pPr>
              <w:pStyle w:val="NormalConSangria"/>
              <w:spacing w:after="0"/>
              <w:ind w:firstLine="0"/>
              <w:rPr>
                <w:sz w:val="14"/>
                <w:szCs w:val="14"/>
                <w:lang w:val="en-US"/>
              </w:rPr>
            </w:pPr>
          </w:p>
          <w:p w14:paraId="2EF5C4BE" w14:textId="77777777" w:rsidR="004C0DF4" w:rsidRPr="004C0DF4" w:rsidRDefault="004C0DF4" w:rsidP="009220D1">
            <w:pPr>
              <w:pStyle w:val="NormalConSangria"/>
              <w:spacing w:after="0"/>
              <w:ind w:firstLine="0"/>
              <w:rPr>
                <w:sz w:val="14"/>
                <w:szCs w:val="14"/>
                <w:lang w:val="en-US"/>
              </w:rPr>
            </w:pPr>
            <w:proofErr w:type="spellStart"/>
            <w:r w:rsidRPr="004C0DF4">
              <w:rPr>
                <w:sz w:val="14"/>
                <w:szCs w:val="14"/>
                <w:lang w:val="en-US"/>
              </w:rPr>
              <w:t>Nikáya</w:t>
            </w:r>
            <w:proofErr w:type="spellEnd"/>
            <w:r w:rsidRPr="004C0DF4">
              <w:rPr>
                <w:sz w:val="14"/>
                <w:szCs w:val="14"/>
                <w:lang w:val="en-US"/>
              </w:rPr>
              <w:t>-s 12</w:t>
            </w:r>
          </w:p>
          <w:p w14:paraId="25EB3646" w14:textId="77777777" w:rsidR="004C0DF4" w:rsidRPr="004C0DF4" w:rsidRDefault="004C0DF4" w:rsidP="009220D1">
            <w:pPr>
              <w:pStyle w:val="NormalConSangria"/>
              <w:spacing w:after="0"/>
              <w:ind w:firstLine="0"/>
              <w:rPr>
                <w:sz w:val="14"/>
                <w:szCs w:val="14"/>
                <w:lang w:val="en-US"/>
              </w:rPr>
            </w:pPr>
          </w:p>
          <w:p w14:paraId="4B8DD5F3" w14:textId="4278D4F2" w:rsidR="004C0DF4" w:rsidRPr="004C0DF4" w:rsidRDefault="004C0DF4" w:rsidP="009220D1">
            <w:pPr>
              <w:pStyle w:val="NormalConSangria"/>
              <w:spacing w:after="0"/>
              <w:ind w:firstLine="0"/>
              <w:rPr>
                <w:sz w:val="14"/>
                <w:szCs w:val="14"/>
                <w:lang w:val="en-US"/>
              </w:rPr>
            </w:pPr>
            <w:proofErr w:type="spellStart"/>
            <w:r w:rsidRPr="00274D3A">
              <w:rPr>
                <w:i/>
                <w:iCs/>
                <w:sz w:val="14"/>
                <w:szCs w:val="14"/>
                <w:lang w:val="en-US"/>
              </w:rPr>
              <w:t>Dìpavaṃsa</w:t>
            </w:r>
            <w:proofErr w:type="spellEnd"/>
            <w:r w:rsidRPr="004C0DF4">
              <w:rPr>
                <w:sz w:val="14"/>
                <w:szCs w:val="14"/>
                <w:lang w:val="en-US"/>
              </w:rPr>
              <w:t xml:space="preserve"> XXII–XXIII</w:t>
            </w:r>
          </w:p>
          <w:p w14:paraId="1B559FCD" w14:textId="77777777" w:rsidR="004C0DF4" w:rsidRPr="004C0DF4" w:rsidRDefault="004C0DF4" w:rsidP="009220D1">
            <w:pPr>
              <w:pStyle w:val="NormalConSangria"/>
              <w:spacing w:after="0"/>
              <w:ind w:firstLine="0"/>
              <w:rPr>
                <w:sz w:val="14"/>
                <w:szCs w:val="14"/>
                <w:lang w:val="en-US"/>
              </w:rPr>
            </w:pPr>
          </w:p>
          <w:p w14:paraId="3EE02AC1" w14:textId="77777777" w:rsidR="004C0DF4" w:rsidRPr="004C0DF4" w:rsidRDefault="004C0DF4" w:rsidP="009220D1">
            <w:pPr>
              <w:pStyle w:val="NormalConSangria"/>
              <w:spacing w:after="0"/>
              <w:ind w:firstLine="0"/>
              <w:rPr>
                <w:sz w:val="14"/>
                <w:szCs w:val="14"/>
                <w:lang w:val="en-US"/>
              </w:rPr>
            </w:pPr>
          </w:p>
          <w:p w14:paraId="38D4F931" w14:textId="77777777" w:rsidR="004C0DF4" w:rsidRPr="004C0DF4" w:rsidRDefault="004C0DF4" w:rsidP="009220D1">
            <w:pPr>
              <w:pStyle w:val="NormalConSangria"/>
              <w:spacing w:after="0"/>
              <w:ind w:firstLine="0"/>
              <w:rPr>
                <w:sz w:val="14"/>
                <w:szCs w:val="14"/>
                <w:lang w:val="en-US"/>
              </w:rPr>
            </w:pPr>
            <w:proofErr w:type="spellStart"/>
            <w:r w:rsidRPr="004C0DF4">
              <w:rPr>
                <w:sz w:val="14"/>
                <w:szCs w:val="14"/>
                <w:lang w:val="en-US"/>
              </w:rPr>
              <w:t>Mhv</w:t>
            </w:r>
            <w:proofErr w:type="spellEnd"/>
            <w:r w:rsidRPr="004C0DF4">
              <w:rPr>
                <w:sz w:val="14"/>
                <w:szCs w:val="14"/>
                <w:lang w:val="en-US"/>
              </w:rPr>
              <w:t xml:space="preserve"> XXXVI.102</w:t>
            </w:r>
          </w:p>
          <w:p w14:paraId="5D68A6CA" w14:textId="77777777" w:rsidR="004C0DF4" w:rsidRPr="004C0DF4" w:rsidRDefault="004C0DF4" w:rsidP="009220D1">
            <w:pPr>
              <w:pStyle w:val="NormalConSangria"/>
              <w:spacing w:after="0"/>
              <w:ind w:firstLine="0"/>
              <w:rPr>
                <w:sz w:val="14"/>
                <w:szCs w:val="14"/>
                <w:lang w:val="en-US"/>
              </w:rPr>
            </w:pPr>
          </w:p>
          <w:p w14:paraId="12D372FF" w14:textId="77777777" w:rsidR="004C0DF4" w:rsidRPr="004C0DF4" w:rsidRDefault="004C0DF4" w:rsidP="009220D1">
            <w:pPr>
              <w:pStyle w:val="NormalConSangria"/>
              <w:spacing w:after="0"/>
              <w:ind w:firstLine="0"/>
              <w:rPr>
                <w:sz w:val="14"/>
                <w:szCs w:val="14"/>
                <w:lang w:val="en-US"/>
              </w:rPr>
            </w:pPr>
            <w:proofErr w:type="spellStart"/>
            <w:r w:rsidRPr="004C0DF4">
              <w:rPr>
                <w:sz w:val="14"/>
                <w:szCs w:val="14"/>
                <w:lang w:val="en-US"/>
              </w:rPr>
              <w:t>Mhv</w:t>
            </w:r>
            <w:proofErr w:type="spellEnd"/>
            <w:r w:rsidRPr="004C0DF4">
              <w:rPr>
                <w:sz w:val="14"/>
                <w:szCs w:val="14"/>
                <w:lang w:val="en-US"/>
              </w:rPr>
              <w:t xml:space="preserve"> XXXVI.111</w:t>
            </w:r>
          </w:p>
          <w:p w14:paraId="54EF4B6B" w14:textId="77777777" w:rsidR="004C0DF4" w:rsidRDefault="004C0DF4" w:rsidP="009220D1">
            <w:pPr>
              <w:pStyle w:val="NormalConSangria"/>
              <w:spacing w:after="0"/>
              <w:ind w:firstLine="0"/>
              <w:rPr>
                <w:sz w:val="14"/>
                <w:szCs w:val="14"/>
                <w:lang w:val="en-US"/>
              </w:rPr>
            </w:pPr>
          </w:p>
          <w:p w14:paraId="37CAADDD" w14:textId="77777777" w:rsidR="00167CEE" w:rsidRPr="00ED7611" w:rsidRDefault="00167CEE" w:rsidP="009220D1">
            <w:pPr>
              <w:pStyle w:val="NormalConSangria"/>
              <w:spacing w:after="0"/>
              <w:ind w:firstLine="0"/>
              <w:rPr>
                <w:sz w:val="12"/>
                <w:szCs w:val="12"/>
                <w:lang w:val="en-US"/>
              </w:rPr>
            </w:pPr>
          </w:p>
          <w:p w14:paraId="7B2D3D35" w14:textId="77777777" w:rsidR="004C0DF4" w:rsidRPr="00ED7611" w:rsidRDefault="004C0DF4" w:rsidP="009220D1">
            <w:pPr>
              <w:pStyle w:val="NormalConSangria"/>
              <w:spacing w:after="0"/>
              <w:ind w:firstLine="0"/>
              <w:rPr>
                <w:sz w:val="12"/>
                <w:szCs w:val="12"/>
                <w:lang w:val="en-US"/>
              </w:rPr>
            </w:pPr>
          </w:p>
          <w:p w14:paraId="11920554" w14:textId="52AE806A" w:rsidR="004C0DF4" w:rsidRPr="004C0DF4" w:rsidRDefault="00274D3A" w:rsidP="009220D1">
            <w:pPr>
              <w:pStyle w:val="NormalConSangria"/>
              <w:spacing w:after="0"/>
              <w:ind w:firstLine="0"/>
              <w:rPr>
                <w:sz w:val="14"/>
                <w:szCs w:val="14"/>
                <w:lang w:val="en-US"/>
              </w:rPr>
            </w:pPr>
            <w:r>
              <w:rPr>
                <w:sz w:val="14"/>
                <w:szCs w:val="14"/>
                <w:lang w:val="en-US"/>
              </w:rPr>
              <w:t>Nikāya</w:t>
            </w:r>
            <w:r w:rsidR="004C0DF4" w:rsidRPr="004C0DF4">
              <w:rPr>
                <w:sz w:val="14"/>
                <w:szCs w:val="14"/>
                <w:lang w:val="en-US"/>
              </w:rPr>
              <w:t>-s 13</w:t>
            </w:r>
          </w:p>
          <w:p w14:paraId="0BD0EE72" w14:textId="77777777" w:rsidR="004C0DF4" w:rsidRPr="004C0DF4" w:rsidRDefault="004C0DF4" w:rsidP="009220D1">
            <w:pPr>
              <w:pStyle w:val="NormalConSangria"/>
              <w:spacing w:after="0"/>
              <w:ind w:firstLine="0"/>
              <w:rPr>
                <w:sz w:val="14"/>
                <w:szCs w:val="14"/>
                <w:lang w:val="en-US"/>
              </w:rPr>
            </w:pPr>
          </w:p>
          <w:p w14:paraId="1EA75A7D" w14:textId="69583898" w:rsidR="00033B6E" w:rsidRPr="004C0DF4" w:rsidRDefault="004C0DF4" w:rsidP="009220D1">
            <w:pPr>
              <w:pStyle w:val="NormalConSangria"/>
              <w:spacing w:after="0"/>
              <w:ind w:firstLine="0"/>
              <w:rPr>
                <w:lang w:val="en-US"/>
              </w:rPr>
            </w:pPr>
            <w:proofErr w:type="spellStart"/>
            <w:r w:rsidRPr="004C0DF4">
              <w:rPr>
                <w:sz w:val="14"/>
                <w:szCs w:val="14"/>
                <w:lang w:val="en-US"/>
              </w:rPr>
              <w:t>Mhv</w:t>
            </w:r>
            <w:proofErr w:type="spellEnd"/>
            <w:r w:rsidRPr="004C0DF4">
              <w:rPr>
                <w:sz w:val="14"/>
                <w:szCs w:val="14"/>
                <w:lang w:val="en-US"/>
              </w:rPr>
              <w:t xml:space="preserve"> XXXVI.112</w:t>
            </w:r>
          </w:p>
        </w:tc>
      </w:tr>
    </w:tbl>
    <w:p w14:paraId="0D15429C" w14:textId="77777777" w:rsidR="005C38E4" w:rsidRDefault="005C38E4" w:rsidP="00B12748">
      <w:pPr>
        <w:pStyle w:val="NormalConSangria"/>
        <w:rPr>
          <w:lang w:val="en-US"/>
        </w:rPr>
      </w:pPr>
    </w:p>
    <w:p w14:paraId="077C7A63" w14:textId="77777777" w:rsidR="005C38E4" w:rsidRDefault="005C38E4">
      <w:pPr>
        <w:rPr>
          <w:lang w:val="en-US"/>
        </w:rPr>
      </w:pPr>
      <w:r>
        <w:rPr>
          <w:lang w:val="en-US"/>
        </w:rPr>
        <w:br w:type="page"/>
      </w:r>
    </w:p>
    <w:tbl>
      <w:tblPr>
        <w:tblStyle w:val="Tablaconcuadrcula"/>
        <w:tblW w:w="0" w:type="auto"/>
        <w:tblLook w:val="04A0" w:firstRow="1" w:lastRow="0" w:firstColumn="1" w:lastColumn="0" w:noHBand="0" w:noVBand="1"/>
      </w:tblPr>
      <w:tblGrid>
        <w:gridCol w:w="1555"/>
        <w:gridCol w:w="3536"/>
        <w:gridCol w:w="1612"/>
      </w:tblGrid>
      <w:tr w:rsidR="005C38E4" w:rsidRPr="00B70C95" w14:paraId="4A3306AD" w14:textId="77777777" w:rsidTr="00A47051">
        <w:tc>
          <w:tcPr>
            <w:tcW w:w="1555" w:type="dxa"/>
          </w:tcPr>
          <w:p w14:paraId="7E8DB330" w14:textId="77777777" w:rsidR="00855E85" w:rsidRPr="00855E85" w:rsidRDefault="00855E85" w:rsidP="009220D1">
            <w:pPr>
              <w:pStyle w:val="NormalConSangria"/>
              <w:spacing w:after="0"/>
              <w:ind w:firstLine="0"/>
              <w:rPr>
                <w:sz w:val="14"/>
                <w:szCs w:val="18"/>
                <w:lang w:val="en-US"/>
              </w:rPr>
            </w:pPr>
            <w:proofErr w:type="spellStart"/>
            <w:r w:rsidRPr="00855E85">
              <w:rPr>
                <w:sz w:val="14"/>
                <w:szCs w:val="18"/>
                <w:lang w:val="en-US"/>
              </w:rPr>
              <w:lastRenderedPageBreak/>
              <w:t>Jeṭṭha</w:t>
            </w:r>
            <w:proofErr w:type="spellEnd"/>
            <w:r w:rsidRPr="00855E85">
              <w:rPr>
                <w:sz w:val="14"/>
                <w:szCs w:val="18"/>
                <w:lang w:val="en-US"/>
              </w:rPr>
              <w:t>-Tissa</w:t>
            </w:r>
          </w:p>
          <w:p w14:paraId="1D20302D" w14:textId="77777777" w:rsidR="00855E85" w:rsidRPr="00855E85" w:rsidRDefault="00855E85" w:rsidP="009220D1">
            <w:pPr>
              <w:pStyle w:val="NormalConSangria"/>
              <w:spacing w:after="0"/>
              <w:ind w:firstLine="0"/>
              <w:rPr>
                <w:sz w:val="14"/>
                <w:szCs w:val="18"/>
                <w:lang w:val="en-US"/>
              </w:rPr>
            </w:pPr>
            <w:r w:rsidRPr="00855E85">
              <w:rPr>
                <w:sz w:val="14"/>
                <w:szCs w:val="18"/>
                <w:lang w:val="en-US"/>
              </w:rPr>
              <w:t>267–277</w:t>
            </w:r>
          </w:p>
          <w:p w14:paraId="76E4EC03" w14:textId="77777777" w:rsidR="00855E85" w:rsidRPr="00855E85" w:rsidRDefault="00855E85" w:rsidP="009220D1">
            <w:pPr>
              <w:pStyle w:val="NormalConSangria"/>
              <w:spacing w:after="0"/>
              <w:ind w:firstLine="0"/>
              <w:rPr>
                <w:sz w:val="14"/>
                <w:szCs w:val="18"/>
                <w:lang w:val="en-US"/>
              </w:rPr>
            </w:pPr>
          </w:p>
          <w:p w14:paraId="5B17E3D2" w14:textId="327BEA77" w:rsidR="00855E85" w:rsidRPr="00855E85" w:rsidRDefault="00855E85" w:rsidP="009220D1">
            <w:pPr>
              <w:pStyle w:val="NormalConSangria"/>
              <w:spacing w:after="0"/>
              <w:ind w:firstLine="0"/>
              <w:rPr>
                <w:sz w:val="14"/>
                <w:szCs w:val="18"/>
                <w:lang w:val="en-US"/>
              </w:rPr>
            </w:pPr>
            <w:proofErr w:type="spellStart"/>
            <w:r w:rsidRPr="00855E85">
              <w:rPr>
                <w:sz w:val="14"/>
                <w:szCs w:val="18"/>
                <w:lang w:val="en-US"/>
              </w:rPr>
              <w:t>Mahāsena</w:t>
            </w:r>
            <w:proofErr w:type="spellEnd"/>
            <w:r w:rsidRPr="00855E85">
              <w:rPr>
                <w:sz w:val="14"/>
                <w:szCs w:val="18"/>
                <w:lang w:val="en-US"/>
              </w:rPr>
              <w:t xml:space="preserve"> </w:t>
            </w:r>
            <w:r w:rsidR="006E57DB">
              <w:rPr>
                <w:sz w:val="14"/>
                <w:szCs w:val="18"/>
                <w:lang w:val="en-US"/>
              </w:rPr>
              <w:br/>
            </w:r>
            <w:r w:rsidRPr="00855E85">
              <w:rPr>
                <w:sz w:val="14"/>
                <w:szCs w:val="18"/>
                <w:lang w:val="en-US"/>
              </w:rPr>
              <w:t>277–304</w:t>
            </w:r>
          </w:p>
          <w:p w14:paraId="3E8BD80A" w14:textId="77777777" w:rsidR="00855E85" w:rsidRPr="00855E85" w:rsidRDefault="00855E85" w:rsidP="009220D1">
            <w:pPr>
              <w:pStyle w:val="NormalConSangria"/>
              <w:spacing w:after="0"/>
              <w:ind w:firstLine="0"/>
              <w:rPr>
                <w:sz w:val="14"/>
                <w:szCs w:val="18"/>
                <w:lang w:val="en-US"/>
              </w:rPr>
            </w:pPr>
          </w:p>
          <w:p w14:paraId="15EBCEED" w14:textId="77777777" w:rsidR="00855E85" w:rsidRPr="00855E85" w:rsidRDefault="00855E85" w:rsidP="009220D1">
            <w:pPr>
              <w:pStyle w:val="NormalConSangria"/>
              <w:spacing w:after="0"/>
              <w:ind w:firstLine="0"/>
              <w:rPr>
                <w:sz w:val="14"/>
                <w:szCs w:val="18"/>
                <w:lang w:val="en-US"/>
              </w:rPr>
            </w:pPr>
          </w:p>
          <w:p w14:paraId="126E2507" w14:textId="77777777" w:rsidR="00855E85" w:rsidRPr="00855E85" w:rsidRDefault="00855E85" w:rsidP="009220D1">
            <w:pPr>
              <w:pStyle w:val="NormalConSangria"/>
              <w:spacing w:after="0"/>
              <w:ind w:firstLine="0"/>
              <w:rPr>
                <w:sz w:val="14"/>
                <w:szCs w:val="18"/>
                <w:lang w:val="en-US"/>
              </w:rPr>
            </w:pPr>
          </w:p>
          <w:p w14:paraId="268F4999" w14:textId="77777777" w:rsidR="00855E85" w:rsidRPr="00855E85" w:rsidRDefault="00855E85" w:rsidP="009220D1">
            <w:pPr>
              <w:pStyle w:val="NormalConSangria"/>
              <w:spacing w:after="0"/>
              <w:ind w:firstLine="0"/>
              <w:rPr>
                <w:sz w:val="14"/>
                <w:szCs w:val="18"/>
                <w:lang w:val="en-US"/>
              </w:rPr>
            </w:pPr>
          </w:p>
          <w:p w14:paraId="62073411" w14:textId="77777777" w:rsidR="00855E85" w:rsidRPr="00855E85" w:rsidRDefault="00855E85" w:rsidP="009220D1">
            <w:pPr>
              <w:pStyle w:val="NormalConSangria"/>
              <w:spacing w:after="0"/>
              <w:ind w:firstLine="0"/>
              <w:rPr>
                <w:sz w:val="14"/>
                <w:szCs w:val="18"/>
                <w:lang w:val="en-US"/>
              </w:rPr>
            </w:pPr>
          </w:p>
          <w:p w14:paraId="496566F0" w14:textId="77777777" w:rsidR="00855E85" w:rsidRPr="00855E85" w:rsidRDefault="00855E85" w:rsidP="009220D1">
            <w:pPr>
              <w:pStyle w:val="NormalConSangria"/>
              <w:spacing w:after="0"/>
              <w:ind w:firstLine="0"/>
              <w:rPr>
                <w:sz w:val="14"/>
                <w:szCs w:val="18"/>
                <w:lang w:val="en-US"/>
              </w:rPr>
            </w:pPr>
          </w:p>
          <w:p w14:paraId="1157BBF3" w14:textId="77777777" w:rsidR="00855E85" w:rsidRPr="00855E85" w:rsidRDefault="00855E85" w:rsidP="009220D1">
            <w:pPr>
              <w:pStyle w:val="NormalConSangria"/>
              <w:spacing w:after="0"/>
              <w:ind w:firstLine="0"/>
              <w:rPr>
                <w:sz w:val="14"/>
                <w:szCs w:val="18"/>
                <w:lang w:val="en-US"/>
              </w:rPr>
            </w:pPr>
          </w:p>
          <w:p w14:paraId="6DD21465" w14:textId="77777777" w:rsidR="00855E85" w:rsidRDefault="00855E85" w:rsidP="009220D1">
            <w:pPr>
              <w:pStyle w:val="NormalConSangria"/>
              <w:spacing w:after="0"/>
              <w:ind w:firstLine="0"/>
              <w:rPr>
                <w:sz w:val="14"/>
                <w:szCs w:val="18"/>
                <w:lang w:val="en-US"/>
              </w:rPr>
            </w:pPr>
          </w:p>
          <w:p w14:paraId="140F6A87" w14:textId="77777777" w:rsidR="00C51F5C" w:rsidRDefault="00C51F5C" w:rsidP="009220D1">
            <w:pPr>
              <w:pStyle w:val="NormalConSangria"/>
              <w:spacing w:after="0"/>
              <w:ind w:firstLine="0"/>
              <w:rPr>
                <w:sz w:val="14"/>
                <w:szCs w:val="18"/>
                <w:lang w:val="en-US"/>
              </w:rPr>
            </w:pPr>
          </w:p>
          <w:p w14:paraId="11880754" w14:textId="77777777" w:rsidR="00C51F5C" w:rsidRDefault="00C51F5C" w:rsidP="009220D1">
            <w:pPr>
              <w:pStyle w:val="NormalConSangria"/>
              <w:spacing w:after="0"/>
              <w:ind w:firstLine="0"/>
              <w:rPr>
                <w:sz w:val="14"/>
                <w:szCs w:val="18"/>
                <w:lang w:val="en-US"/>
              </w:rPr>
            </w:pPr>
          </w:p>
          <w:p w14:paraId="1CFD53C9" w14:textId="77777777" w:rsidR="00C51F5C" w:rsidRPr="00855E85" w:rsidRDefault="00C51F5C" w:rsidP="009220D1">
            <w:pPr>
              <w:pStyle w:val="NormalConSangria"/>
              <w:spacing w:after="0"/>
              <w:ind w:firstLine="0"/>
              <w:rPr>
                <w:sz w:val="14"/>
                <w:szCs w:val="18"/>
                <w:lang w:val="en-US"/>
              </w:rPr>
            </w:pPr>
          </w:p>
          <w:p w14:paraId="2F654C98" w14:textId="77777777" w:rsidR="00855E85" w:rsidRPr="00855E85" w:rsidRDefault="00855E85" w:rsidP="009220D1">
            <w:pPr>
              <w:pStyle w:val="NormalConSangria"/>
              <w:spacing w:after="0"/>
              <w:ind w:firstLine="0"/>
              <w:rPr>
                <w:sz w:val="14"/>
                <w:szCs w:val="18"/>
                <w:lang w:val="en-US"/>
              </w:rPr>
            </w:pPr>
            <w:r w:rsidRPr="00855E85">
              <w:rPr>
                <w:sz w:val="14"/>
                <w:szCs w:val="18"/>
                <w:lang w:val="en-US"/>
              </w:rPr>
              <w:t xml:space="preserve">Siri </w:t>
            </w:r>
            <w:proofErr w:type="spellStart"/>
            <w:r w:rsidRPr="00855E85">
              <w:rPr>
                <w:sz w:val="14"/>
                <w:szCs w:val="18"/>
                <w:lang w:val="en-US"/>
              </w:rPr>
              <w:t>Meghavaṇṇa</w:t>
            </w:r>
            <w:proofErr w:type="spellEnd"/>
          </w:p>
          <w:p w14:paraId="5C383E41" w14:textId="77777777" w:rsidR="00855E85" w:rsidRPr="00855E85" w:rsidRDefault="00855E85" w:rsidP="009220D1">
            <w:pPr>
              <w:pStyle w:val="NormalConSangria"/>
              <w:spacing w:after="0"/>
              <w:ind w:firstLine="0"/>
              <w:rPr>
                <w:sz w:val="14"/>
                <w:szCs w:val="18"/>
                <w:lang w:val="en-US"/>
              </w:rPr>
            </w:pPr>
            <w:r w:rsidRPr="00855E85">
              <w:rPr>
                <w:sz w:val="14"/>
                <w:szCs w:val="18"/>
                <w:lang w:val="en-US"/>
              </w:rPr>
              <w:t>304–332</w:t>
            </w:r>
          </w:p>
          <w:p w14:paraId="74B9380D" w14:textId="77777777" w:rsidR="00855E85" w:rsidRPr="00855E85" w:rsidRDefault="00855E85" w:rsidP="009220D1">
            <w:pPr>
              <w:pStyle w:val="NormalConSangria"/>
              <w:spacing w:after="0"/>
              <w:ind w:firstLine="0"/>
              <w:rPr>
                <w:sz w:val="14"/>
                <w:szCs w:val="18"/>
                <w:lang w:val="en-US"/>
              </w:rPr>
            </w:pPr>
          </w:p>
          <w:p w14:paraId="4F1C2836" w14:textId="77777777" w:rsidR="00855E85" w:rsidRPr="00855E85" w:rsidRDefault="00855E85" w:rsidP="009220D1">
            <w:pPr>
              <w:pStyle w:val="NormalConSangria"/>
              <w:spacing w:after="0"/>
              <w:ind w:firstLine="0"/>
              <w:rPr>
                <w:sz w:val="14"/>
                <w:szCs w:val="18"/>
                <w:lang w:val="en-US"/>
              </w:rPr>
            </w:pPr>
          </w:p>
          <w:p w14:paraId="063F86B9" w14:textId="77777777" w:rsidR="00855E85" w:rsidRDefault="00855E85" w:rsidP="009220D1">
            <w:pPr>
              <w:pStyle w:val="NormalConSangria"/>
              <w:spacing w:after="0"/>
              <w:ind w:firstLine="0"/>
              <w:rPr>
                <w:sz w:val="14"/>
                <w:szCs w:val="18"/>
                <w:lang w:val="en-US"/>
              </w:rPr>
            </w:pPr>
          </w:p>
          <w:p w14:paraId="78DDA727" w14:textId="77777777" w:rsidR="00B70B65" w:rsidRDefault="00B70B65" w:rsidP="009220D1">
            <w:pPr>
              <w:pStyle w:val="NormalConSangria"/>
              <w:spacing w:after="0"/>
              <w:ind w:firstLine="0"/>
              <w:rPr>
                <w:sz w:val="14"/>
                <w:szCs w:val="18"/>
                <w:lang w:val="en-US"/>
              </w:rPr>
            </w:pPr>
          </w:p>
          <w:p w14:paraId="04691A85" w14:textId="77777777" w:rsidR="00B70B65" w:rsidRPr="00855E85" w:rsidRDefault="00B70B65" w:rsidP="009220D1">
            <w:pPr>
              <w:pStyle w:val="NormalConSangria"/>
              <w:spacing w:after="0"/>
              <w:ind w:firstLine="0"/>
              <w:rPr>
                <w:sz w:val="14"/>
                <w:szCs w:val="18"/>
                <w:lang w:val="en-US"/>
              </w:rPr>
            </w:pPr>
          </w:p>
          <w:p w14:paraId="4E2023C0" w14:textId="77777777" w:rsidR="00855E85" w:rsidRPr="00855E85" w:rsidRDefault="00855E85" w:rsidP="009220D1">
            <w:pPr>
              <w:pStyle w:val="NormalConSangria"/>
              <w:spacing w:after="0"/>
              <w:ind w:firstLine="0"/>
              <w:rPr>
                <w:sz w:val="14"/>
                <w:szCs w:val="18"/>
                <w:lang w:val="en-US"/>
              </w:rPr>
            </w:pPr>
            <w:proofErr w:type="spellStart"/>
            <w:r w:rsidRPr="00855E85">
              <w:rPr>
                <w:sz w:val="14"/>
                <w:szCs w:val="18"/>
                <w:lang w:val="en-US"/>
              </w:rPr>
              <w:t>Jeṭṭha</w:t>
            </w:r>
            <w:proofErr w:type="spellEnd"/>
            <w:r w:rsidRPr="00855E85">
              <w:rPr>
                <w:sz w:val="14"/>
                <w:szCs w:val="18"/>
                <w:lang w:val="en-US"/>
              </w:rPr>
              <w:t xml:space="preserve">-Tissa II </w:t>
            </w:r>
          </w:p>
          <w:p w14:paraId="42084D99" w14:textId="77777777" w:rsidR="00855E85" w:rsidRPr="00855E85" w:rsidRDefault="00855E85" w:rsidP="009220D1">
            <w:pPr>
              <w:pStyle w:val="NormalConSangria"/>
              <w:spacing w:after="0"/>
              <w:ind w:firstLine="0"/>
              <w:rPr>
                <w:sz w:val="14"/>
                <w:szCs w:val="18"/>
                <w:lang w:val="en-US"/>
              </w:rPr>
            </w:pPr>
            <w:r w:rsidRPr="00855E85">
              <w:rPr>
                <w:sz w:val="14"/>
                <w:szCs w:val="18"/>
                <w:lang w:val="en-US"/>
              </w:rPr>
              <w:t>332–34</w:t>
            </w:r>
          </w:p>
          <w:p w14:paraId="5395C00C" w14:textId="77777777" w:rsidR="00855E85" w:rsidRPr="00855E85" w:rsidRDefault="00855E85" w:rsidP="009220D1">
            <w:pPr>
              <w:pStyle w:val="NormalConSangria"/>
              <w:spacing w:after="0"/>
              <w:ind w:firstLine="0"/>
              <w:rPr>
                <w:sz w:val="14"/>
                <w:szCs w:val="18"/>
                <w:lang w:val="en-US"/>
              </w:rPr>
            </w:pPr>
          </w:p>
          <w:p w14:paraId="32F5618E" w14:textId="2518BA71" w:rsidR="00855E85" w:rsidRPr="00855E85" w:rsidRDefault="00057BF4" w:rsidP="009220D1">
            <w:pPr>
              <w:pStyle w:val="NormalConSangria"/>
              <w:spacing w:after="0"/>
              <w:ind w:firstLine="0"/>
              <w:rPr>
                <w:sz w:val="14"/>
                <w:szCs w:val="18"/>
                <w:lang w:val="en-US"/>
              </w:rPr>
            </w:pPr>
            <w:proofErr w:type="spellStart"/>
            <w:r w:rsidRPr="00057BF4">
              <w:rPr>
                <w:i/>
                <w:sz w:val="14"/>
                <w:szCs w:val="18"/>
                <w:lang w:val="en-US"/>
              </w:rPr>
              <w:t>Buddha</w:t>
            </w:r>
            <w:r w:rsidR="00855E85" w:rsidRPr="00855E85">
              <w:rPr>
                <w:sz w:val="14"/>
                <w:szCs w:val="18"/>
                <w:lang w:val="en-US"/>
              </w:rPr>
              <w:t>dāsa</w:t>
            </w:r>
            <w:proofErr w:type="spellEnd"/>
          </w:p>
          <w:p w14:paraId="0AAC4C39" w14:textId="77777777" w:rsidR="00855E85" w:rsidRPr="00855E85" w:rsidRDefault="00855E85" w:rsidP="009220D1">
            <w:pPr>
              <w:pStyle w:val="NormalConSangria"/>
              <w:spacing w:after="0"/>
              <w:ind w:firstLine="0"/>
              <w:rPr>
                <w:sz w:val="14"/>
                <w:szCs w:val="18"/>
                <w:lang w:val="en-US"/>
              </w:rPr>
            </w:pPr>
            <w:r w:rsidRPr="00855E85">
              <w:rPr>
                <w:sz w:val="14"/>
                <w:szCs w:val="18"/>
                <w:lang w:val="en-US"/>
              </w:rPr>
              <w:t xml:space="preserve">341–70 </w:t>
            </w:r>
          </w:p>
          <w:p w14:paraId="0EF4CCB3" w14:textId="77777777" w:rsidR="00855E85" w:rsidRPr="00855E85" w:rsidRDefault="00855E85" w:rsidP="009220D1">
            <w:pPr>
              <w:pStyle w:val="NormalConSangria"/>
              <w:spacing w:after="0"/>
              <w:ind w:firstLine="0"/>
              <w:rPr>
                <w:sz w:val="14"/>
                <w:szCs w:val="18"/>
                <w:lang w:val="en-US"/>
              </w:rPr>
            </w:pPr>
            <w:proofErr w:type="spellStart"/>
            <w:r w:rsidRPr="00855E85">
              <w:rPr>
                <w:sz w:val="14"/>
                <w:szCs w:val="18"/>
                <w:lang w:val="en-US"/>
              </w:rPr>
              <w:t>Upatissa</w:t>
            </w:r>
            <w:proofErr w:type="spellEnd"/>
            <w:r w:rsidRPr="00855E85">
              <w:rPr>
                <w:sz w:val="14"/>
                <w:szCs w:val="18"/>
                <w:lang w:val="en-US"/>
              </w:rPr>
              <w:t xml:space="preserve"> </w:t>
            </w:r>
          </w:p>
          <w:p w14:paraId="605DA606" w14:textId="77777777" w:rsidR="00855E85" w:rsidRPr="00855E85" w:rsidRDefault="00855E85" w:rsidP="009220D1">
            <w:pPr>
              <w:pStyle w:val="NormalConSangria"/>
              <w:spacing w:after="0"/>
              <w:ind w:firstLine="0"/>
              <w:rPr>
                <w:sz w:val="14"/>
                <w:szCs w:val="18"/>
                <w:lang w:val="en-US"/>
              </w:rPr>
            </w:pPr>
            <w:r w:rsidRPr="00855E85">
              <w:rPr>
                <w:sz w:val="14"/>
                <w:szCs w:val="18"/>
                <w:lang w:val="en-US"/>
              </w:rPr>
              <w:t>370–412</w:t>
            </w:r>
          </w:p>
          <w:p w14:paraId="03B71A76" w14:textId="77777777" w:rsidR="00855E85" w:rsidRPr="00855E85" w:rsidRDefault="00855E85" w:rsidP="009220D1">
            <w:pPr>
              <w:pStyle w:val="NormalConSangria"/>
              <w:spacing w:after="0"/>
              <w:ind w:firstLine="0"/>
              <w:rPr>
                <w:sz w:val="14"/>
                <w:szCs w:val="18"/>
                <w:lang w:val="en-US"/>
              </w:rPr>
            </w:pPr>
          </w:p>
          <w:p w14:paraId="227ED206" w14:textId="7169001B" w:rsidR="00855E85" w:rsidRPr="00855E85" w:rsidRDefault="00855E85" w:rsidP="009220D1">
            <w:pPr>
              <w:pStyle w:val="NormalConSangria"/>
              <w:spacing w:after="0"/>
              <w:ind w:firstLine="0"/>
              <w:rPr>
                <w:sz w:val="14"/>
                <w:szCs w:val="18"/>
              </w:rPr>
            </w:pPr>
            <w:proofErr w:type="spellStart"/>
            <w:r w:rsidRPr="00855E85">
              <w:rPr>
                <w:sz w:val="14"/>
                <w:szCs w:val="18"/>
              </w:rPr>
              <w:t>Mahā</w:t>
            </w:r>
            <w:r w:rsidR="00057BF4" w:rsidRPr="00057BF4">
              <w:rPr>
                <w:i/>
                <w:sz w:val="14"/>
                <w:szCs w:val="18"/>
              </w:rPr>
              <w:t>nāma</w:t>
            </w:r>
            <w:proofErr w:type="spellEnd"/>
          </w:p>
          <w:p w14:paraId="22A721BA" w14:textId="764BE9A6" w:rsidR="005C38E4" w:rsidRDefault="00855E85" w:rsidP="009220D1">
            <w:pPr>
              <w:pStyle w:val="NormalConSangria"/>
              <w:spacing w:after="0"/>
              <w:ind w:firstLine="0"/>
            </w:pPr>
            <w:r w:rsidRPr="00855E85">
              <w:rPr>
                <w:sz w:val="14"/>
                <w:szCs w:val="18"/>
              </w:rPr>
              <w:t>412–434</w:t>
            </w:r>
          </w:p>
        </w:tc>
        <w:tc>
          <w:tcPr>
            <w:tcW w:w="3536" w:type="dxa"/>
          </w:tcPr>
          <w:p w14:paraId="2FA3872F" w14:textId="4D7E0B06" w:rsidR="00B70C95" w:rsidRPr="00B70C95" w:rsidRDefault="00167CEE" w:rsidP="009220D1">
            <w:pPr>
              <w:pStyle w:val="NormalConSangria"/>
              <w:spacing w:after="0"/>
              <w:ind w:firstLine="0"/>
              <w:rPr>
                <w:sz w:val="14"/>
                <w:szCs w:val="18"/>
              </w:rPr>
            </w:pPr>
            <w:r>
              <w:rPr>
                <w:sz w:val="14"/>
                <w:szCs w:val="18"/>
              </w:rPr>
              <w:t xml:space="preserve">El Rey </w:t>
            </w:r>
            <w:r w:rsidR="00B70C95" w:rsidRPr="00B70C95">
              <w:rPr>
                <w:sz w:val="14"/>
                <w:szCs w:val="18"/>
              </w:rPr>
              <w:t xml:space="preserve">favorece </w:t>
            </w:r>
            <w:r>
              <w:rPr>
                <w:sz w:val="14"/>
                <w:szCs w:val="18"/>
              </w:rPr>
              <w:t>a</w:t>
            </w:r>
            <w:r w:rsidR="00B70C95" w:rsidRPr="00B70C95">
              <w:rPr>
                <w:sz w:val="14"/>
                <w:szCs w:val="18"/>
              </w:rPr>
              <w:t xml:space="preserve">l </w:t>
            </w:r>
            <w:r w:rsidRPr="00B70C95">
              <w:rPr>
                <w:sz w:val="14"/>
                <w:szCs w:val="18"/>
              </w:rPr>
              <w:t>Gran Monasterio</w:t>
            </w:r>
            <w:r w:rsidR="00B70C95" w:rsidRPr="00B70C95">
              <w:rPr>
                <w:sz w:val="14"/>
                <w:szCs w:val="18"/>
              </w:rPr>
              <w:t xml:space="preserve">; </w:t>
            </w:r>
            <w:proofErr w:type="spellStart"/>
            <w:r w:rsidR="00057BF4" w:rsidRPr="00167CEE">
              <w:rPr>
                <w:iCs/>
                <w:sz w:val="14"/>
                <w:szCs w:val="18"/>
              </w:rPr>
              <w:t>Saṅgha</w:t>
            </w:r>
            <w:r w:rsidR="00B70C95" w:rsidRPr="00167CEE">
              <w:rPr>
                <w:iCs/>
                <w:sz w:val="14"/>
                <w:szCs w:val="18"/>
              </w:rPr>
              <w:t>mitta</w:t>
            </w:r>
            <w:proofErr w:type="spellEnd"/>
            <w:r w:rsidR="00B70C95" w:rsidRPr="00B70C95">
              <w:rPr>
                <w:sz w:val="14"/>
                <w:szCs w:val="18"/>
              </w:rPr>
              <w:t xml:space="preserve"> huye a la India.</w:t>
            </w:r>
          </w:p>
          <w:p w14:paraId="2F85EFC4" w14:textId="77777777" w:rsidR="00B70C95" w:rsidRPr="00B70C95" w:rsidRDefault="00B70C95" w:rsidP="009220D1">
            <w:pPr>
              <w:pStyle w:val="NormalConSangria"/>
              <w:spacing w:after="0"/>
              <w:ind w:firstLine="0"/>
              <w:rPr>
                <w:sz w:val="14"/>
                <w:szCs w:val="18"/>
              </w:rPr>
            </w:pPr>
          </w:p>
          <w:p w14:paraId="404BF5F0" w14:textId="5B6405C4" w:rsidR="00B70C95" w:rsidRPr="00B70C95" w:rsidRDefault="00167CEE" w:rsidP="009220D1">
            <w:pPr>
              <w:pStyle w:val="NormalConSangria"/>
              <w:spacing w:after="0"/>
              <w:ind w:firstLine="0"/>
              <w:rPr>
                <w:sz w:val="14"/>
                <w:szCs w:val="18"/>
              </w:rPr>
            </w:pPr>
            <w:r>
              <w:rPr>
                <w:sz w:val="14"/>
                <w:szCs w:val="18"/>
              </w:rPr>
              <w:t xml:space="preserve">El Rey </w:t>
            </w:r>
            <w:r w:rsidR="00B70C95" w:rsidRPr="00B70C95">
              <w:rPr>
                <w:sz w:val="14"/>
                <w:szCs w:val="18"/>
              </w:rPr>
              <w:t xml:space="preserve">protege a </w:t>
            </w:r>
            <w:proofErr w:type="spellStart"/>
            <w:r w:rsidR="00057BF4" w:rsidRPr="00167CEE">
              <w:rPr>
                <w:iCs/>
                <w:sz w:val="14"/>
                <w:szCs w:val="18"/>
              </w:rPr>
              <w:t>Saṅgha</w:t>
            </w:r>
            <w:r w:rsidR="00B70C95" w:rsidRPr="00167CEE">
              <w:rPr>
                <w:iCs/>
                <w:sz w:val="14"/>
                <w:szCs w:val="18"/>
              </w:rPr>
              <w:t>mitta</w:t>
            </w:r>
            <w:proofErr w:type="spellEnd"/>
            <w:r w:rsidR="00B70C95" w:rsidRPr="00B70C95">
              <w:rPr>
                <w:sz w:val="14"/>
                <w:szCs w:val="18"/>
              </w:rPr>
              <w:t xml:space="preserve">, quien regresa. Persecución del </w:t>
            </w:r>
            <w:r w:rsidRPr="00B70C95">
              <w:rPr>
                <w:sz w:val="14"/>
                <w:szCs w:val="18"/>
              </w:rPr>
              <w:t>Gran Monasterio</w:t>
            </w:r>
            <w:r w:rsidR="00B70C95" w:rsidRPr="00B70C95">
              <w:rPr>
                <w:sz w:val="14"/>
                <w:szCs w:val="18"/>
              </w:rPr>
              <w:t xml:space="preserve">; </w:t>
            </w:r>
            <w:proofErr w:type="spellStart"/>
            <w:r w:rsidRPr="00057BF4">
              <w:rPr>
                <w:i/>
                <w:sz w:val="14"/>
                <w:szCs w:val="18"/>
              </w:rPr>
              <w:t>bhikkhu</w:t>
            </w:r>
            <w:r w:rsidRPr="00B70C95">
              <w:rPr>
                <w:sz w:val="14"/>
                <w:szCs w:val="18"/>
              </w:rPr>
              <w:t>s</w:t>
            </w:r>
            <w:proofErr w:type="spellEnd"/>
            <w:r w:rsidRPr="00B70C95">
              <w:rPr>
                <w:sz w:val="14"/>
                <w:szCs w:val="18"/>
              </w:rPr>
              <w:t xml:space="preserve"> </w:t>
            </w:r>
            <w:r w:rsidR="00F711E0">
              <w:rPr>
                <w:sz w:val="14"/>
                <w:szCs w:val="18"/>
              </w:rPr>
              <w:t xml:space="preserve">son </w:t>
            </w:r>
            <w:r w:rsidR="00B70C95" w:rsidRPr="00B70C95">
              <w:rPr>
                <w:sz w:val="14"/>
                <w:szCs w:val="18"/>
              </w:rPr>
              <w:t>expulsado</w:t>
            </w:r>
            <w:r w:rsidR="00F711E0">
              <w:rPr>
                <w:sz w:val="14"/>
                <w:szCs w:val="18"/>
              </w:rPr>
              <w:t>s</w:t>
            </w:r>
            <w:r w:rsidR="00B70C95" w:rsidRPr="00B70C95">
              <w:rPr>
                <w:sz w:val="14"/>
                <w:szCs w:val="18"/>
              </w:rPr>
              <w:t xml:space="preserve"> de</w:t>
            </w:r>
            <w:r w:rsidR="00F711E0">
              <w:rPr>
                <w:sz w:val="14"/>
                <w:szCs w:val="18"/>
              </w:rPr>
              <w:t xml:space="preserve"> </w:t>
            </w:r>
            <w:r w:rsidR="00B70C95" w:rsidRPr="00B70C95">
              <w:rPr>
                <w:sz w:val="14"/>
                <w:szCs w:val="18"/>
              </w:rPr>
              <w:t>l</w:t>
            </w:r>
            <w:r w:rsidR="00F711E0">
              <w:rPr>
                <w:sz w:val="14"/>
                <w:szCs w:val="18"/>
              </w:rPr>
              <w:t>a</w:t>
            </w:r>
            <w:r w:rsidR="00B70C95" w:rsidRPr="00B70C95">
              <w:rPr>
                <w:sz w:val="14"/>
                <w:szCs w:val="18"/>
              </w:rPr>
              <w:t xml:space="preserve"> capital durante 9 años.</w:t>
            </w:r>
          </w:p>
          <w:p w14:paraId="3D26D9D2" w14:textId="77777777" w:rsidR="00B70C95" w:rsidRPr="00B70C95" w:rsidRDefault="00B70C95" w:rsidP="009220D1">
            <w:pPr>
              <w:pStyle w:val="NormalConSangria"/>
              <w:spacing w:after="0"/>
              <w:ind w:firstLine="0"/>
              <w:rPr>
                <w:sz w:val="14"/>
                <w:szCs w:val="18"/>
              </w:rPr>
            </w:pPr>
          </w:p>
          <w:p w14:paraId="36FD95D9" w14:textId="77777777" w:rsidR="00DD13CA" w:rsidRDefault="00057BF4" w:rsidP="009220D1">
            <w:pPr>
              <w:pStyle w:val="NormalConSangria"/>
              <w:spacing w:after="0"/>
              <w:ind w:firstLine="0"/>
              <w:rPr>
                <w:sz w:val="14"/>
                <w:szCs w:val="18"/>
              </w:rPr>
            </w:pPr>
            <w:proofErr w:type="spellStart"/>
            <w:r w:rsidRPr="00F711E0">
              <w:rPr>
                <w:iCs/>
                <w:sz w:val="14"/>
                <w:szCs w:val="18"/>
              </w:rPr>
              <w:t>Saṅgha</w:t>
            </w:r>
            <w:r w:rsidR="00B70C95" w:rsidRPr="00F711E0">
              <w:rPr>
                <w:iCs/>
                <w:sz w:val="14"/>
                <w:szCs w:val="18"/>
              </w:rPr>
              <w:t>mitta</w:t>
            </w:r>
            <w:proofErr w:type="spellEnd"/>
            <w:r w:rsidR="00B70C95" w:rsidRPr="00B70C95">
              <w:rPr>
                <w:sz w:val="14"/>
                <w:szCs w:val="18"/>
              </w:rPr>
              <w:t xml:space="preserve"> </w:t>
            </w:r>
            <w:r w:rsidR="00F711E0">
              <w:rPr>
                <w:sz w:val="14"/>
                <w:szCs w:val="18"/>
              </w:rPr>
              <w:t xml:space="preserve">es </w:t>
            </w:r>
            <w:r w:rsidR="00B70C95" w:rsidRPr="00B70C95">
              <w:rPr>
                <w:sz w:val="14"/>
                <w:szCs w:val="18"/>
              </w:rPr>
              <w:t>asesinad</w:t>
            </w:r>
            <w:r w:rsidR="00F711E0">
              <w:rPr>
                <w:sz w:val="14"/>
                <w:szCs w:val="18"/>
              </w:rPr>
              <w:t>o</w:t>
            </w:r>
            <w:r w:rsidR="00B70C95" w:rsidRPr="00B70C95">
              <w:rPr>
                <w:sz w:val="14"/>
                <w:szCs w:val="18"/>
              </w:rPr>
              <w:t xml:space="preserve">. </w:t>
            </w:r>
          </w:p>
          <w:p w14:paraId="431B98E7" w14:textId="77777777" w:rsidR="00DD13CA" w:rsidRDefault="00DD13CA" w:rsidP="009220D1">
            <w:pPr>
              <w:pStyle w:val="NormalConSangria"/>
              <w:spacing w:after="0"/>
              <w:ind w:firstLine="0"/>
              <w:rPr>
                <w:sz w:val="14"/>
                <w:szCs w:val="18"/>
              </w:rPr>
            </w:pPr>
          </w:p>
          <w:p w14:paraId="7D340B52" w14:textId="77777777" w:rsidR="00DD13CA" w:rsidRDefault="00B70C95" w:rsidP="009220D1">
            <w:pPr>
              <w:pStyle w:val="NormalConSangria"/>
              <w:spacing w:after="0"/>
              <w:ind w:firstLine="0"/>
              <w:rPr>
                <w:sz w:val="14"/>
                <w:szCs w:val="18"/>
              </w:rPr>
            </w:pPr>
            <w:r w:rsidRPr="00B70C95">
              <w:rPr>
                <w:sz w:val="14"/>
                <w:szCs w:val="18"/>
              </w:rPr>
              <w:t xml:space="preserve">Restauración del </w:t>
            </w:r>
            <w:r w:rsidR="00F711E0" w:rsidRPr="00B70C95">
              <w:rPr>
                <w:sz w:val="14"/>
                <w:szCs w:val="18"/>
              </w:rPr>
              <w:t xml:space="preserve">Gran Monasterio </w:t>
            </w:r>
            <w:proofErr w:type="spellStart"/>
            <w:r w:rsidRPr="00B70C95">
              <w:rPr>
                <w:sz w:val="14"/>
                <w:szCs w:val="18"/>
              </w:rPr>
              <w:t>Vetulya</w:t>
            </w:r>
            <w:proofErr w:type="spellEnd"/>
          </w:p>
          <w:p w14:paraId="21BE5AD6" w14:textId="77777777" w:rsidR="00DD13CA" w:rsidRDefault="00DD13CA" w:rsidP="009220D1">
            <w:pPr>
              <w:pStyle w:val="NormalConSangria"/>
              <w:spacing w:after="0"/>
              <w:ind w:firstLine="0"/>
              <w:rPr>
                <w:sz w:val="14"/>
                <w:szCs w:val="18"/>
              </w:rPr>
            </w:pPr>
          </w:p>
          <w:p w14:paraId="167F1AC5" w14:textId="1EAF7C64" w:rsidR="00B70C95" w:rsidRPr="00B70C95" w:rsidRDefault="00B70C95" w:rsidP="009220D1">
            <w:pPr>
              <w:pStyle w:val="NormalConSangria"/>
              <w:spacing w:after="0"/>
              <w:ind w:firstLine="0"/>
              <w:rPr>
                <w:sz w:val="14"/>
                <w:szCs w:val="18"/>
              </w:rPr>
            </w:pPr>
            <w:r w:rsidRPr="00B70C95">
              <w:rPr>
                <w:sz w:val="14"/>
                <w:szCs w:val="18"/>
              </w:rPr>
              <w:t>Libros quemados nuevamente.</w:t>
            </w:r>
          </w:p>
          <w:p w14:paraId="2532A400" w14:textId="77777777" w:rsidR="00B70C95" w:rsidRPr="00B70C95" w:rsidRDefault="00B70C95" w:rsidP="009220D1">
            <w:pPr>
              <w:pStyle w:val="NormalConSangria"/>
              <w:spacing w:after="0"/>
              <w:ind w:firstLine="0"/>
              <w:rPr>
                <w:sz w:val="14"/>
                <w:szCs w:val="18"/>
              </w:rPr>
            </w:pPr>
          </w:p>
          <w:p w14:paraId="22CA62D4" w14:textId="39A2AECA" w:rsidR="00B70C95" w:rsidRPr="00B70C95" w:rsidRDefault="00B70C95" w:rsidP="009220D1">
            <w:pPr>
              <w:pStyle w:val="NormalConSangria"/>
              <w:spacing w:after="0"/>
              <w:ind w:firstLine="0"/>
              <w:rPr>
                <w:sz w:val="14"/>
                <w:szCs w:val="18"/>
              </w:rPr>
            </w:pPr>
            <w:r w:rsidRPr="00B70C95">
              <w:rPr>
                <w:sz w:val="14"/>
                <w:szCs w:val="18"/>
              </w:rPr>
              <w:t xml:space="preserve">Disputa sobre el límite del </w:t>
            </w:r>
            <w:r w:rsidR="00C51F5C" w:rsidRPr="00B70C95">
              <w:rPr>
                <w:sz w:val="14"/>
                <w:szCs w:val="18"/>
              </w:rPr>
              <w:t>Gran Mo</w:t>
            </w:r>
            <w:r w:rsidRPr="00B70C95">
              <w:rPr>
                <w:sz w:val="14"/>
                <w:szCs w:val="18"/>
              </w:rPr>
              <w:t xml:space="preserve">nasterio; </w:t>
            </w:r>
            <w:proofErr w:type="spellStart"/>
            <w:r w:rsidR="00C51F5C" w:rsidRPr="00057BF4">
              <w:rPr>
                <w:i/>
                <w:sz w:val="14"/>
                <w:szCs w:val="18"/>
              </w:rPr>
              <w:t>bhikkhu</w:t>
            </w:r>
            <w:r w:rsidR="00C51F5C" w:rsidRPr="00B70C95">
              <w:rPr>
                <w:sz w:val="14"/>
                <w:szCs w:val="18"/>
              </w:rPr>
              <w:t>s</w:t>
            </w:r>
            <w:proofErr w:type="spellEnd"/>
            <w:r w:rsidR="00C51F5C" w:rsidRPr="00B70C95">
              <w:rPr>
                <w:sz w:val="14"/>
                <w:szCs w:val="18"/>
              </w:rPr>
              <w:t xml:space="preserve"> </w:t>
            </w:r>
            <w:r w:rsidRPr="00B70C95">
              <w:rPr>
                <w:sz w:val="14"/>
                <w:szCs w:val="18"/>
              </w:rPr>
              <w:t>nuevamente ausente</w:t>
            </w:r>
            <w:r w:rsidR="00C51F5C">
              <w:rPr>
                <w:sz w:val="14"/>
                <w:szCs w:val="18"/>
              </w:rPr>
              <w:t>s</w:t>
            </w:r>
            <w:r w:rsidRPr="00B70C95">
              <w:rPr>
                <w:sz w:val="14"/>
                <w:szCs w:val="18"/>
              </w:rPr>
              <w:t xml:space="preserve"> del </w:t>
            </w:r>
            <w:r w:rsidR="00C51F5C" w:rsidRPr="00B70C95">
              <w:rPr>
                <w:sz w:val="14"/>
                <w:szCs w:val="18"/>
              </w:rPr>
              <w:t xml:space="preserve">Gran Monasterio </w:t>
            </w:r>
            <w:r w:rsidRPr="00B70C95">
              <w:rPr>
                <w:sz w:val="14"/>
                <w:szCs w:val="18"/>
              </w:rPr>
              <w:t>durante 9 meses.</w:t>
            </w:r>
          </w:p>
          <w:p w14:paraId="493E15CA" w14:textId="77777777" w:rsidR="00B70C95" w:rsidRPr="00B70C95" w:rsidRDefault="00B70C95" w:rsidP="009220D1">
            <w:pPr>
              <w:pStyle w:val="NormalConSangria"/>
              <w:spacing w:after="0"/>
              <w:ind w:firstLine="0"/>
              <w:rPr>
                <w:sz w:val="14"/>
                <w:szCs w:val="18"/>
              </w:rPr>
            </w:pPr>
          </w:p>
          <w:p w14:paraId="6DD6B7C1" w14:textId="2225706E" w:rsidR="00B70C95" w:rsidRPr="00B70C95" w:rsidRDefault="00C51F5C" w:rsidP="009220D1">
            <w:pPr>
              <w:pStyle w:val="NormalConSangria"/>
              <w:spacing w:after="0"/>
              <w:ind w:firstLine="0"/>
              <w:rPr>
                <w:sz w:val="14"/>
                <w:szCs w:val="18"/>
              </w:rPr>
            </w:pPr>
            <w:r>
              <w:rPr>
                <w:sz w:val="14"/>
                <w:szCs w:val="18"/>
              </w:rPr>
              <w:t xml:space="preserve">El Rey </w:t>
            </w:r>
            <w:r w:rsidR="00B70C95" w:rsidRPr="00B70C95">
              <w:rPr>
                <w:sz w:val="14"/>
                <w:szCs w:val="18"/>
              </w:rPr>
              <w:t xml:space="preserve">favorece </w:t>
            </w:r>
            <w:r>
              <w:rPr>
                <w:sz w:val="14"/>
                <w:szCs w:val="18"/>
              </w:rPr>
              <w:t>a</w:t>
            </w:r>
            <w:r w:rsidR="00B70C95" w:rsidRPr="00B70C95">
              <w:rPr>
                <w:sz w:val="14"/>
                <w:szCs w:val="18"/>
              </w:rPr>
              <w:t xml:space="preserve">l </w:t>
            </w:r>
            <w:r w:rsidRPr="00B70C95">
              <w:rPr>
                <w:sz w:val="14"/>
                <w:szCs w:val="18"/>
              </w:rPr>
              <w:t>Gran Monasterio</w:t>
            </w:r>
          </w:p>
          <w:p w14:paraId="61544AFE" w14:textId="77777777" w:rsidR="00B70C95" w:rsidRPr="00B70C95" w:rsidRDefault="00B70C95" w:rsidP="009220D1">
            <w:pPr>
              <w:pStyle w:val="NormalConSangria"/>
              <w:spacing w:after="0"/>
              <w:ind w:firstLine="0"/>
              <w:rPr>
                <w:sz w:val="14"/>
                <w:szCs w:val="18"/>
              </w:rPr>
            </w:pPr>
          </w:p>
          <w:p w14:paraId="79CDD10E" w14:textId="77777777" w:rsidR="00B70C95" w:rsidRPr="00B70C95" w:rsidRDefault="00B70C95" w:rsidP="009220D1">
            <w:pPr>
              <w:pStyle w:val="NormalConSangria"/>
              <w:spacing w:after="0"/>
              <w:ind w:firstLine="0"/>
              <w:rPr>
                <w:sz w:val="14"/>
                <w:szCs w:val="18"/>
              </w:rPr>
            </w:pPr>
          </w:p>
          <w:p w14:paraId="67D9FDAB" w14:textId="172927E3" w:rsidR="00B70C95" w:rsidRPr="00B70C95" w:rsidRDefault="00B70C95" w:rsidP="009220D1">
            <w:pPr>
              <w:pStyle w:val="NormalConSangria"/>
              <w:spacing w:after="0"/>
              <w:ind w:firstLine="0"/>
              <w:rPr>
                <w:sz w:val="14"/>
                <w:szCs w:val="18"/>
              </w:rPr>
            </w:pPr>
            <w:r w:rsidRPr="00B70C95">
              <w:rPr>
                <w:sz w:val="14"/>
                <w:szCs w:val="18"/>
              </w:rPr>
              <w:t xml:space="preserve">Monasterio cingalés </w:t>
            </w:r>
            <w:r w:rsidR="00C51F5C">
              <w:rPr>
                <w:sz w:val="14"/>
                <w:szCs w:val="18"/>
              </w:rPr>
              <w:t xml:space="preserve">es </w:t>
            </w:r>
            <w:r w:rsidRPr="00B70C95">
              <w:rPr>
                <w:sz w:val="14"/>
                <w:szCs w:val="18"/>
              </w:rPr>
              <w:t xml:space="preserve">establecido en </w:t>
            </w:r>
            <w:r w:rsidR="00057BF4" w:rsidRPr="00C51F5C">
              <w:rPr>
                <w:iCs/>
                <w:sz w:val="14"/>
                <w:szCs w:val="18"/>
              </w:rPr>
              <w:t>Buddha</w:t>
            </w:r>
            <w:r w:rsidRPr="00B70C95">
              <w:rPr>
                <w:sz w:val="14"/>
                <w:szCs w:val="18"/>
              </w:rPr>
              <w:t xml:space="preserve"> </w:t>
            </w:r>
            <w:proofErr w:type="spellStart"/>
            <w:r w:rsidR="00CF5881">
              <w:rPr>
                <w:sz w:val="14"/>
                <w:szCs w:val="18"/>
              </w:rPr>
              <w:t>Gayā</w:t>
            </w:r>
            <w:proofErr w:type="spellEnd"/>
            <w:r w:rsidR="00F827CD">
              <w:rPr>
                <w:sz w:val="14"/>
                <w:szCs w:val="18"/>
              </w:rPr>
              <w:t>,</w:t>
            </w:r>
            <w:r w:rsidRPr="00B70C95">
              <w:rPr>
                <w:sz w:val="14"/>
                <w:szCs w:val="18"/>
              </w:rPr>
              <w:t xml:space="preserve"> en </w:t>
            </w:r>
            <w:r w:rsidR="00CF5881">
              <w:rPr>
                <w:sz w:val="14"/>
                <w:szCs w:val="18"/>
              </w:rPr>
              <w:t xml:space="preserve">la </w:t>
            </w:r>
            <w:r w:rsidRPr="00B70C95">
              <w:rPr>
                <w:sz w:val="14"/>
                <w:szCs w:val="18"/>
              </w:rPr>
              <w:t>India</w:t>
            </w:r>
          </w:p>
          <w:p w14:paraId="30E5856E" w14:textId="77777777" w:rsidR="00B70C95" w:rsidRDefault="00B70C95" w:rsidP="009220D1">
            <w:pPr>
              <w:pStyle w:val="NormalConSangria"/>
              <w:spacing w:after="0"/>
              <w:ind w:firstLine="0"/>
              <w:rPr>
                <w:sz w:val="14"/>
                <w:szCs w:val="18"/>
              </w:rPr>
            </w:pPr>
          </w:p>
          <w:p w14:paraId="66E5B69A" w14:textId="77777777" w:rsidR="00B70B65" w:rsidRPr="00B70C95" w:rsidRDefault="00B70B65" w:rsidP="009220D1">
            <w:pPr>
              <w:pStyle w:val="NormalConSangria"/>
              <w:spacing w:after="0"/>
              <w:ind w:firstLine="0"/>
              <w:rPr>
                <w:sz w:val="14"/>
                <w:szCs w:val="18"/>
              </w:rPr>
            </w:pPr>
          </w:p>
          <w:p w14:paraId="703C8D8C" w14:textId="2565A5E7" w:rsidR="00B70C95" w:rsidRPr="00B70C95" w:rsidRDefault="00CF5881" w:rsidP="009220D1">
            <w:pPr>
              <w:pStyle w:val="NormalConSangria"/>
              <w:spacing w:after="0"/>
              <w:ind w:firstLine="0"/>
              <w:rPr>
                <w:sz w:val="14"/>
                <w:szCs w:val="18"/>
              </w:rPr>
            </w:pPr>
            <w:r w:rsidRPr="00CF5881">
              <w:rPr>
                <w:sz w:val="14"/>
                <w:szCs w:val="18"/>
              </w:rPr>
              <w:t>El</w:t>
            </w:r>
            <w:r>
              <w:rPr>
                <w:i/>
                <w:iCs/>
                <w:sz w:val="14"/>
                <w:szCs w:val="18"/>
              </w:rPr>
              <w:t xml:space="preserve"> </w:t>
            </w:r>
            <w:proofErr w:type="spellStart"/>
            <w:r>
              <w:rPr>
                <w:i/>
                <w:iCs/>
                <w:sz w:val="14"/>
                <w:szCs w:val="18"/>
              </w:rPr>
              <w:t>Dīpa</w:t>
            </w:r>
            <w:r w:rsidR="00B70C95" w:rsidRPr="000D581B">
              <w:rPr>
                <w:i/>
                <w:iCs/>
                <w:sz w:val="14"/>
                <w:szCs w:val="18"/>
              </w:rPr>
              <w:t>va</w:t>
            </w:r>
            <w:r w:rsidR="000D581B" w:rsidRPr="000D581B">
              <w:rPr>
                <w:i/>
                <w:iCs/>
                <w:sz w:val="14"/>
                <w:szCs w:val="18"/>
              </w:rPr>
              <w:t>ṃ</w:t>
            </w:r>
            <w:r w:rsidR="00B70C95" w:rsidRPr="000D581B">
              <w:rPr>
                <w:i/>
                <w:iCs/>
                <w:sz w:val="14"/>
                <w:szCs w:val="18"/>
              </w:rPr>
              <w:t>sa</w:t>
            </w:r>
            <w:proofErr w:type="spellEnd"/>
            <w:r w:rsidR="00B70C95" w:rsidRPr="00B70C95">
              <w:rPr>
                <w:sz w:val="14"/>
                <w:szCs w:val="18"/>
              </w:rPr>
              <w:t xml:space="preserve"> </w:t>
            </w:r>
            <w:r>
              <w:rPr>
                <w:sz w:val="14"/>
                <w:szCs w:val="18"/>
              </w:rPr>
              <w:t xml:space="preserve">es </w:t>
            </w:r>
            <w:r w:rsidR="00B70C95" w:rsidRPr="00B70C95">
              <w:rPr>
                <w:sz w:val="14"/>
                <w:szCs w:val="18"/>
              </w:rPr>
              <w:t>compuest</w:t>
            </w:r>
            <w:r>
              <w:rPr>
                <w:sz w:val="14"/>
                <w:szCs w:val="18"/>
              </w:rPr>
              <w:t>o</w:t>
            </w:r>
            <w:r w:rsidR="00B70C95" w:rsidRPr="00B70C95">
              <w:rPr>
                <w:sz w:val="14"/>
                <w:szCs w:val="18"/>
              </w:rPr>
              <w:t xml:space="preserve"> en este período.</w:t>
            </w:r>
          </w:p>
          <w:p w14:paraId="5E0F23BA" w14:textId="77777777" w:rsidR="00B70C95" w:rsidRPr="00B70C95" w:rsidRDefault="00B70C95" w:rsidP="009220D1">
            <w:pPr>
              <w:pStyle w:val="NormalConSangria"/>
              <w:spacing w:after="0"/>
              <w:ind w:firstLine="0"/>
              <w:rPr>
                <w:sz w:val="14"/>
                <w:szCs w:val="18"/>
              </w:rPr>
            </w:pPr>
          </w:p>
          <w:p w14:paraId="05DA77C2" w14:textId="77777777" w:rsidR="00B70C95" w:rsidRPr="00B70C95" w:rsidRDefault="00B70C95" w:rsidP="009220D1">
            <w:pPr>
              <w:pStyle w:val="NormalConSangria"/>
              <w:spacing w:after="0"/>
              <w:ind w:firstLine="0"/>
              <w:rPr>
                <w:sz w:val="14"/>
                <w:szCs w:val="18"/>
              </w:rPr>
            </w:pPr>
          </w:p>
          <w:p w14:paraId="2930F125" w14:textId="1875FACC" w:rsidR="00B70C95" w:rsidRPr="00B70C95" w:rsidRDefault="00B70C95" w:rsidP="009220D1">
            <w:pPr>
              <w:pStyle w:val="NormalConSangria"/>
              <w:spacing w:after="0"/>
              <w:ind w:firstLine="0"/>
              <w:rPr>
                <w:sz w:val="14"/>
                <w:szCs w:val="18"/>
              </w:rPr>
            </w:pPr>
            <w:r w:rsidRPr="00B70C95">
              <w:rPr>
                <w:sz w:val="14"/>
                <w:szCs w:val="18"/>
              </w:rPr>
              <w:t>También</w:t>
            </w:r>
            <w:r w:rsidR="00F827CD">
              <w:rPr>
                <w:sz w:val="14"/>
                <w:szCs w:val="18"/>
              </w:rPr>
              <w:t>,</w:t>
            </w:r>
            <w:r w:rsidRPr="00B70C95">
              <w:rPr>
                <w:sz w:val="14"/>
                <w:szCs w:val="18"/>
              </w:rPr>
              <w:t xml:space="preserve"> quizás</w:t>
            </w:r>
            <w:r w:rsidR="00F827CD">
              <w:rPr>
                <w:sz w:val="14"/>
                <w:szCs w:val="18"/>
              </w:rPr>
              <w:t>,</w:t>
            </w:r>
            <w:r w:rsidRPr="00B70C95">
              <w:rPr>
                <w:sz w:val="14"/>
                <w:szCs w:val="18"/>
              </w:rPr>
              <w:t xml:space="preserve"> </w:t>
            </w:r>
            <w:proofErr w:type="spellStart"/>
            <w:r w:rsidR="000D581B" w:rsidRPr="000D581B">
              <w:rPr>
                <w:i/>
                <w:iCs/>
                <w:sz w:val="14"/>
                <w:szCs w:val="18"/>
              </w:rPr>
              <w:t>Mūlasikkhā</w:t>
            </w:r>
            <w:proofErr w:type="spellEnd"/>
            <w:r w:rsidR="000D581B" w:rsidRPr="00B70C95">
              <w:rPr>
                <w:sz w:val="14"/>
                <w:szCs w:val="18"/>
              </w:rPr>
              <w:t xml:space="preserve"> </w:t>
            </w:r>
            <w:r w:rsidRPr="00B70C95">
              <w:rPr>
                <w:sz w:val="14"/>
                <w:szCs w:val="18"/>
              </w:rPr>
              <w:t xml:space="preserve">y </w:t>
            </w:r>
            <w:proofErr w:type="spellStart"/>
            <w:r w:rsidR="000D581B" w:rsidRPr="000D581B">
              <w:rPr>
                <w:i/>
                <w:iCs/>
                <w:sz w:val="14"/>
                <w:szCs w:val="18"/>
              </w:rPr>
              <w:t>Khuddasikkhā</w:t>
            </w:r>
            <w:proofErr w:type="spellEnd"/>
          </w:p>
          <w:p w14:paraId="559FDD99" w14:textId="012327D9" w:rsidR="00B70C95" w:rsidRPr="00B70C95" w:rsidRDefault="00B70C95" w:rsidP="009220D1">
            <w:pPr>
              <w:pStyle w:val="NormalConSangria"/>
              <w:spacing w:after="0"/>
              <w:ind w:firstLine="0"/>
              <w:rPr>
                <w:sz w:val="14"/>
                <w:szCs w:val="18"/>
              </w:rPr>
            </w:pPr>
            <w:r w:rsidRPr="00B70C95">
              <w:rPr>
                <w:sz w:val="14"/>
                <w:szCs w:val="18"/>
              </w:rPr>
              <w:t xml:space="preserve">(Resúmenes de </w:t>
            </w:r>
            <w:proofErr w:type="spellStart"/>
            <w:r w:rsidR="00F827CD">
              <w:rPr>
                <w:sz w:val="14"/>
                <w:szCs w:val="18"/>
              </w:rPr>
              <w:t>l</w:t>
            </w:r>
            <w:r w:rsidRPr="000D581B">
              <w:rPr>
                <w:i/>
                <w:iCs/>
                <w:sz w:val="14"/>
                <w:szCs w:val="18"/>
              </w:rPr>
              <w:t>Vinaya</w:t>
            </w:r>
            <w:proofErr w:type="spellEnd"/>
            <w:r w:rsidRPr="00B70C95">
              <w:rPr>
                <w:sz w:val="14"/>
                <w:szCs w:val="18"/>
              </w:rPr>
              <w:t xml:space="preserve">) y algunas de </w:t>
            </w:r>
            <w:r w:rsidRPr="00CF5881">
              <w:rPr>
                <w:sz w:val="14"/>
                <w:szCs w:val="18"/>
              </w:rPr>
              <w:t>las</w:t>
            </w:r>
            <w:r w:rsidRPr="00B70C95">
              <w:rPr>
                <w:sz w:val="14"/>
                <w:szCs w:val="18"/>
              </w:rPr>
              <w:t xml:space="preserve"> obras de </w:t>
            </w:r>
            <w:proofErr w:type="spellStart"/>
            <w:r w:rsidR="00057BF4" w:rsidRPr="00CF5881">
              <w:rPr>
                <w:iCs/>
                <w:sz w:val="14"/>
                <w:szCs w:val="18"/>
              </w:rPr>
              <w:t>Buddha</w:t>
            </w:r>
            <w:r w:rsidRPr="00CF5881">
              <w:rPr>
                <w:iCs/>
                <w:sz w:val="14"/>
                <w:szCs w:val="18"/>
              </w:rPr>
              <w:t>datta</w:t>
            </w:r>
            <w:proofErr w:type="spellEnd"/>
            <w:r w:rsidRPr="00B70C95">
              <w:rPr>
                <w:sz w:val="14"/>
                <w:szCs w:val="18"/>
              </w:rPr>
              <w:t xml:space="preserve"> </w:t>
            </w:r>
            <w:proofErr w:type="spellStart"/>
            <w:r w:rsidRPr="00B70C95">
              <w:rPr>
                <w:sz w:val="14"/>
                <w:szCs w:val="18"/>
              </w:rPr>
              <w:t>Thera</w:t>
            </w:r>
            <w:proofErr w:type="spellEnd"/>
            <w:r w:rsidRPr="00B70C95">
              <w:rPr>
                <w:sz w:val="14"/>
                <w:szCs w:val="18"/>
              </w:rPr>
              <w:t>.</w:t>
            </w:r>
          </w:p>
          <w:p w14:paraId="71052985" w14:textId="77777777" w:rsidR="00B70C95" w:rsidRPr="00B70C95" w:rsidRDefault="00B70C95" w:rsidP="009220D1">
            <w:pPr>
              <w:pStyle w:val="NormalConSangria"/>
              <w:spacing w:after="0"/>
              <w:ind w:firstLine="0"/>
              <w:rPr>
                <w:sz w:val="14"/>
                <w:szCs w:val="18"/>
              </w:rPr>
            </w:pPr>
          </w:p>
          <w:p w14:paraId="41A9BC34" w14:textId="77777777" w:rsidR="000D581B" w:rsidRDefault="000D581B" w:rsidP="009220D1">
            <w:pPr>
              <w:pStyle w:val="NormalConSangria"/>
              <w:spacing w:after="0"/>
              <w:ind w:firstLine="0"/>
              <w:rPr>
                <w:sz w:val="14"/>
                <w:szCs w:val="18"/>
              </w:rPr>
            </w:pPr>
          </w:p>
          <w:p w14:paraId="6E16C594" w14:textId="1A64DCA2" w:rsidR="00B70C95" w:rsidRPr="00B70C95" w:rsidRDefault="00B70C95" w:rsidP="009220D1">
            <w:pPr>
              <w:pStyle w:val="NormalConSangria"/>
              <w:spacing w:after="0"/>
              <w:ind w:firstLine="0"/>
              <w:rPr>
                <w:sz w:val="14"/>
                <w:szCs w:val="18"/>
              </w:rPr>
            </w:pPr>
            <w:proofErr w:type="spellStart"/>
            <w:r w:rsidRPr="00B70C95">
              <w:rPr>
                <w:sz w:val="14"/>
                <w:szCs w:val="18"/>
              </w:rPr>
              <w:t>Bhadantācariya</w:t>
            </w:r>
            <w:proofErr w:type="spellEnd"/>
            <w:r w:rsidRPr="00B70C95">
              <w:rPr>
                <w:sz w:val="14"/>
                <w:szCs w:val="18"/>
              </w:rPr>
              <w:t xml:space="preserve"> </w:t>
            </w:r>
            <w:r w:rsidR="00057BF4" w:rsidRPr="00CF5881">
              <w:rPr>
                <w:iCs/>
                <w:sz w:val="14"/>
                <w:szCs w:val="18"/>
              </w:rPr>
              <w:t>Buddha</w:t>
            </w:r>
            <w:r w:rsidRPr="00CF5881">
              <w:rPr>
                <w:iCs/>
                <w:sz w:val="14"/>
                <w:szCs w:val="18"/>
              </w:rPr>
              <w:t>ghosa</w:t>
            </w:r>
            <w:r w:rsidRPr="00B70C95">
              <w:rPr>
                <w:sz w:val="14"/>
                <w:szCs w:val="18"/>
              </w:rPr>
              <w:t xml:space="preserve"> llega a Sri Lanka.</w:t>
            </w:r>
          </w:p>
          <w:p w14:paraId="7AA6BF1D" w14:textId="77777777" w:rsidR="00B70C95" w:rsidRPr="00B70C95" w:rsidRDefault="00B70C95" w:rsidP="009220D1">
            <w:pPr>
              <w:pStyle w:val="NormalConSangria"/>
              <w:spacing w:after="0"/>
              <w:ind w:firstLine="0"/>
              <w:rPr>
                <w:sz w:val="14"/>
                <w:szCs w:val="18"/>
              </w:rPr>
            </w:pPr>
          </w:p>
          <w:p w14:paraId="44E0897B" w14:textId="207CA7BE" w:rsidR="005C38E4" w:rsidRPr="00B70C95" w:rsidRDefault="00B70C95" w:rsidP="009220D1">
            <w:pPr>
              <w:pStyle w:val="NormalConSangria"/>
              <w:spacing w:after="0"/>
              <w:ind w:firstLine="0"/>
              <w:rPr>
                <w:sz w:val="14"/>
                <w:szCs w:val="18"/>
              </w:rPr>
            </w:pPr>
            <w:proofErr w:type="spellStart"/>
            <w:r w:rsidRPr="00D740D2">
              <w:rPr>
                <w:i/>
                <w:iCs/>
                <w:sz w:val="14"/>
                <w:szCs w:val="18"/>
              </w:rPr>
              <w:t>Samantapāsādik</w:t>
            </w:r>
            <w:r w:rsidR="00D740D2" w:rsidRPr="00D740D2">
              <w:rPr>
                <w:i/>
                <w:iCs/>
                <w:sz w:val="14"/>
                <w:szCs w:val="18"/>
              </w:rPr>
              <w:t>ā</w:t>
            </w:r>
            <w:proofErr w:type="spellEnd"/>
            <w:r w:rsidRPr="00B70C95">
              <w:rPr>
                <w:sz w:val="14"/>
                <w:szCs w:val="18"/>
              </w:rPr>
              <w:t xml:space="preserve"> (comentario de</w:t>
            </w:r>
            <w:r w:rsidR="00CF5881">
              <w:rPr>
                <w:sz w:val="14"/>
                <w:szCs w:val="18"/>
              </w:rPr>
              <w:t>l</w:t>
            </w:r>
            <w:r w:rsidRPr="00B70C95">
              <w:rPr>
                <w:sz w:val="14"/>
                <w:szCs w:val="18"/>
              </w:rPr>
              <w:t xml:space="preserve"> </w:t>
            </w:r>
            <w:proofErr w:type="spellStart"/>
            <w:r w:rsidRPr="00D740D2">
              <w:rPr>
                <w:i/>
                <w:iCs/>
                <w:sz w:val="14"/>
                <w:szCs w:val="18"/>
              </w:rPr>
              <w:t>Vinaya</w:t>
            </w:r>
            <w:proofErr w:type="spellEnd"/>
            <w:r w:rsidRPr="00B70C95">
              <w:rPr>
                <w:sz w:val="14"/>
                <w:szCs w:val="18"/>
              </w:rPr>
              <w:t xml:space="preserve">) comenzó en el 20 y terminó en el año 21 del reinado de este </w:t>
            </w:r>
            <w:r w:rsidR="00DC3344" w:rsidRPr="00B70C95">
              <w:rPr>
                <w:sz w:val="14"/>
                <w:szCs w:val="18"/>
              </w:rPr>
              <w:t>Rey</w:t>
            </w:r>
          </w:p>
        </w:tc>
        <w:tc>
          <w:tcPr>
            <w:tcW w:w="1612" w:type="dxa"/>
          </w:tcPr>
          <w:p w14:paraId="2FD96C39" w14:textId="77777777" w:rsidR="00241B21" w:rsidRPr="00241B21" w:rsidRDefault="00241B21" w:rsidP="009220D1">
            <w:pPr>
              <w:pStyle w:val="NormalConSangria"/>
              <w:spacing w:after="0"/>
              <w:ind w:firstLine="0"/>
              <w:rPr>
                <w:sz w:val="14"/>
                <w:szCs w:val="18"/>
              </w:rPr>
            </w:pPr>
            <w:proofErr w:type="spellStart"/>
            <w:r w:rsidRPr="00241B21">
              <w:rPr>
                <w:sz w:val="14"/>
                <w:szCs w:val="18"/>
              </w:rPr>
              <w:t>Mhv</w:t>
            </w:r>
            <w:proofErr w:type="spellEnd"/>
            <w:r w:rsidRPr="00241B21">
              <w:rPr>
                <w:sz w:val="14"/>
                <w:szCs w:val="18"/>
              </w:rPr>
              <w:t xml:space="preserve"> XXXVI.123</w:t>
            </w:r>
          </w:p>
          <w:p w14:paraId="431984BF" w14:textId="77777777" w:rsidR="00241B21" w:rsidRPr="00241B21" w:rsidRDefault="00241B21" w:rsidP="009220D1">
            <w:pPr>
              <w:pStyle w:val="NormalConSangria"/>
              <w:spacing w:after="0"/>
              <w:ind w:firstLine="0"/>
              <w:rPr>
                <w:sz w:val="14"/>
                <w:szCs w:val="18"/>
              </w:rPr>
            </w:pPr>
          </w:p>
          <w:p w14:paraId="45067C83" w14:textId="77777777" w:rsidR="00241B21" w:rsidRPr="00241B21" w:rsidRDefault="00241B21" w:rsidP="009220D1">
            <w:pPr>
              <w:pStyle w:val="NormalConSangria"/>
              <w:spacing w:after="0"/>
              <w:ind w:firstLine="0"/>
              <w:rPr>
                <w:sz w:val="14"/>
                <w:szCs w:val="18"/>
              </w:rPr>
            </w:pPr>
          </w:p>
          <w:p w14:paraId="24E3815D" w14:textId="77777777" w:rsidR="00241B21" w:rsidRPr="00241B21" w:rsidRDefault="00241B21" w:rsidP="009220D1">
            <w:pPr>
              <w:pStyle w:val="NormalConSangria"/>
              <w:spacing w:after="0"/>
              <w:ind w:firstLine="0"/>
              <w:rPr>
                <w:sz w:val="14"/>
                <w:szCs w:val="18"/>
              </w:rPr>
            </w:pPr>
            <w:proofErr w:type="spellStart"/>
            <w:r w:rsidRPr="00241B21">
              <w:rPr>
                <w:sz w:val="14"/>
                <w:szCs w:val="18"/>
              </w:rPr>
              <w:t>Mhv</w:t>
            </w:r>
            <w:proofErr w:type="spellEnd"/>
            <w:r w:rsidRPr="00241B21">
              <w:rPr>
                <w:sz w:val="14"/>
                <w:szCs w:val="18"/>
              </w:rPr>
              <w:t xml:space="preserve"> XXXVII.1–50</w:t>
            </w:r>
          </w:p>
          <w:p w14:paraId="46E6831C" w14:textId="77777777" w:rsidR="00241B21" w:rsidRPr="00241B21" w:rsidRDefault="00241B21" w:rsidP="009220D1">
            <w:pPr>
              <w:pStyle w:val="NormalConSangria"/>
              <w:spacing w:after="0"/>
              <w:ind w:firstLine="0"/>
              <w:rPr>
                <w:sz w:val="14"/>
                <w:szCs w:val="18"/>
              </w:rPr>
            </w:pPr>
          </w:p>
          <w:p w14:paraId="1440971A" w14:textId="77777777" w:rsidR="00241B21" w:rsidRPr="00241B21" w:rsidRDefault="00241B21" w:rsidP="009220D1">
            <w:pPr>
              <w:pStyle w:val="NormalConSangria"/>
              <w:spacing w:after="0"/>
              <w:ind w:firstLine="0"/>
              <w:rPr>
                <w:sz w:val="14"/>
                <w:szCs w:val="18"/>
              </w:rPr>
            </w:pPr>
          </w:p>
          <w:p w14:paraId="0CF17054" w14:textId="77777777" w:rsidR="00241B21" w:rsidRPr="00241B21" w:rsidRDefault="00241B21" w:rsidP="009220D1">
            <w:pPr>
              <w:pStyle w:val="NormalConSangria"/>
              <w:spacing w:after="0"/>
              <w:ind w:firstLine="0"/>
              <w:rPr>
                <w:sz w:val="14"/>
                <w:szCs w:val="18"/>
              </w:rPr>
            </w:pPr>
          </w:p>
          <w:p w14:paraId="256EFC9E" w14:textId="77777777" w:rsidR="00241B21" w:rsidRPr="00241B21" w:rsidRDefault="00241B21" w:rsidP="009220D1">
            <w:pPr>
              <w:pStyle w:val="NormalConSangria"/>
              <w:spacing w:after="0"/>
              <w:ind w:firstLine="0"/>
              <w:rPr>
                <w:sz w:val="14"/>
                <w:szCs w:val="18"/>
              </w:rPr>
            </w:pPr>
            <w:proofErr w:type="spellStart"/>
            <w:r w:rsidRPr="00241B21">
              <w:rPr>
                <w:sz w:val="14"/>
                <w:szCs w:val="18"/>
              </w:rPr>
              <w:t>Mhv</w:t>
            </w:r>
            <w:proofErr w:type="spellEnd"/>
            <w:r w:rsidRPr="00241B21">
              <w:rPr>
                <w:sz w:val="14"/>
                <w:szCs w:val="18"/>
              </w:rPr>
              <w:t xml:space="preserve"> XXXVII.27</w:t>
            </w:r>
          </w:p>
          <w:p w14:paraId="4F96B859" w14:textId="77777777" w:rsidR="00C51F5C" w:rsidRDefault="00C51F5C" w:rsidP="009220D1">
            <w:pPr>
              <w:pStyle w:val="NormalConSangria"/>
              <w:spacing w:after="0"/>
              <w:ind w:firstLine="0"/>
              <w:rPr>
                <w:sz w:val="14"/>
                <w:szCs w:val="18"/>
              </w:rPr>
            </w:pPr>
          </w:p>
          <w:p w14:paraId="2DDDF26C" w14:textId="411EA46D" w:rsidR="00241B21" w:rsidRPr="00241B21" w:rsidRDefault="00241B21" w:rsidP="009220D1">
            <w:pPr>
              <w:pStyle w:val="NormalConSangria"/>
              <w:spacing w:after="0"/>
              <w:ind w:firstLine="0"/>
              <w:rPr>
                <w:sz w:val="14"/>
                <w:szCs w:val="18"/>
              </w:rPr>
            </w:pPr>
            <w:r w:rsidRPr="00241B21">
              <w:rPr>
                <w:sz w:val="14"/>
                <w:szCs w:val="18"/>
              </w:rPr>
              <w:t xml:space="preserve">EHBC 92 </w:t>
            </w:r>
          </w:p>
          <w:p w14:paraId="615877FE" w14:textId="77777777" w:rsidR="00C51F5C" w:rsidRDefault="00C51F5C" w:rsidP="009220D1">
            <w:pPr>
              <w:pStyle w:val="NormalConSangria"/>
              <w:spacing w:after="0"/>
              <w:ind w:firstLine="0"/>
              <w:rPr>
                <w:sz w:val="14"/>
                <w:szCs w:val="18"/>
              </w:rPr>
            </w:pPr>
          </w:p>
          <w:p w14:paraId="36A9D57A" w14:textId="642B047F" w:rsidR="00241B21" w:rsidRPr="00241B21" w:rsidRDefault="00241B21" w:rsidP="009220D1">
            <w:pPr>
              <w:pStyle w:val="NormalConSangria"/>
              <w:spacing w:after="0"/>
              <w:ind w:firstLine="0"/>
              <w:rPr>
                <w:sz w:val="14"/>
                <w:szCs w:val="18"/>
              </w:rPr>
            </w:pPr>
            <w:r w:rsidRPr="00241B21">
              <w:rPr>
                <w:sz w:val="14"/>
                <w:szCs w:val="18"/>
              </w:rPr>
              <w:t>EHBC 92</w:t>
            </w:r>
          </w:p>
          <w:p w14:paraId="2C6F84A9" w14:textId="77777777" w:rsidR="00241B21" w:rsidRPr="00241B21" w:rsidRDefault="00241B21" w:rsidP="009220D1">
            <w:pPr>
              <w:pStyle w:val="NormalConSangria"/>
              <w:spacing w:after="0"/>
              <w:ind w:firstLine="0"/>
              <w:rPr>
                <w:sz w:val="14"/>
                <w:szCs w:val="18"/>
              </w:rPr>
            </w:pPr>
          </w:p>
          <w:p w14:paraId="4D410AFB" w14:textId="77777777" w:rsidR="00241B21" w:rsidRPr="00241B21" w:rsidRDefault="00241B21" w:rsidP="009220D1">
            <w:pPr>
              <w:pStyle w:val="NormalConSangria"/>
              <w:spacing w:after="0"/>
              <w:ind w:firstLine="0"/>
              <w:rPr>
                <w:sz w:val="14"/>
                <w:szCs w:val="18"/>
              </w:rPr>
            </w:pPr>
            <w:proofErr w:type="spellStart"/>
            <w:r w:rsidRPr="00241B21">
              <w:rPr>
                <w:sz w:val="14"/>
                <w:szCs w:val="18"/>
              </w:rPr>
              <w:t>Mhv</w:t>
            </w:r>
            <w:proofErr w:type="spellEnd"/>
            <w:r w:rsidRPr="00241B21">
              <w:rPr>
                <w:sz w:val="14"/>
                <w:szCs w:val="18"/>
              </w:rPr>
              <w:t xml:space="preserve"> XXXVII.32</w:t>
            </w:r>
          </w:p>
          <w:p w14:paraId="534F12E1" w14:textId="77777777" w:rsidR="00241B21" w:rsidRPr="00241B21" w:rsidRDefault="00241B21" w:rsidP="009220D1">
            <w:pPr>
              <w:pStyle w:val="NormalConSangria"/>
              <w:spacing w:after="0"/>
              <w:ind w:firstLine="0"/>
              <w:rPr>
                <w:sz w:val="14"/>
                <w:szCs w:val="18"/>
              </w:rPr>
            </w:pPr>
          </w:p>
          <w:p w14:paraId="6B4075AB" w14:textId="77777777" w:rsidR="00811A80" w:rsidRDefault="00811A80" w:rsidP="009220D1">
            <w:pPr>
              <w:pStyle w:val="NormalConSangria"/>
              <w:spacing w:after="0"/>
              <w:ind w:firstLine="0"/>
              <w:rPr>
                <w:sz w:val="14"/>
                <w:szCs w:val="18"/>
              </w:rPr>
            </w:pPr>
          </w:p>
          <w:p w14:paraId="1BC5B818" w14:textId="4ECB6076" w:rsidR="00241B21" w:rsidRPr="00241B21" w:rsidRDefault="00241B21" w:rsidP="009220D1">
            <w:pPr>
              <w:pStyle w:val="NormalConSangria"/>
              <w:spacing w:after="0"/>
              <w:ind w:firstLine="0"/>
              <w:rPr>
                <w:sz w:val="14"/>
                <w:szCs w:val="18"/>
              </w:rPr>
            </w:pPr>
            <w:r w:rsidRPr="00241B21">
              <w:rPr>
                <w:sz w:val="14"/>
                <w:szCs w:val="18"/>
              </w:rPr>
              <w:t>EHBC 92;</w:t>
            </w:r>
          </w:p>
          <w:p w14:paraId="0B342A58" w14:textId="77777777" w:rsidR="00241B21" w:rsidRPr="00241B21" w:rsidRDefault="00241B21" w:rsidP="009220D1">
            <w:pPr>
              <w:pStyle w:val="NormalConSangria"/>
              <w:spacing w:after="0"/>
              <w:ind w:firstLine="0"/>
              <w:rPr>
                <w:sz w:val="14"/>
                <w:szCs w:val="18"/>
              </w:rPr>
            </w:pPr>
            <w:proofErr w:type="spellStart"/>
            <w:r w:rsidRPr="00241B21">
              <w:rPr>
                <w:sz w:val="14"/>
                <w:szCs w:val="18"/>
              </w:rPr>
              <w:t>Mhv</w:t>
            </w:r>
            <w:proofErr w:type="spellEnd"/>
            <w:r w:rsidRPr="00241B21">
              <w:rPr>
                <w:sz w:val="14"/>
                <w:szCs w:val="18"/>
              </w:rPr>
              <w:t xml:space="preserve"> XXXVII.51f</w:t>
            </w:r>
          </w:p>
          <w:p w14:paraId="6B49193B" w14:textId="77777777" w:rsidR="00241B21" w:rsidRPr="00241B21" w:rsidRDefault="00241B21" w:rsidP="009220D1">
            <w:pPr>
              <w:pStyle w:val="NormalConSangria"/>
              <w:spacing w:after="0"/>
              <w:ind w:firstLine="0"/>
              <w:rPr>
                <w:sz w:val="14"/>
                <w:szCs w:val="18"/>
              </w:rPr>
            </w:pPr>
          </w:p>
          <w:p w14:paraId="6E59CD2A" w14:textId="311853A6" w:rsidR="00241B21" w:rsidRPr="00241B21" w:rsidRDefault="00241B21" w:rsidP="009220D1">
            <w:pPr>
              <w:pStyle w:val="NormalConSangria"/>
              <w:spacing w:after="0"/>
              <w:ind w:firstLine="0"/>
              <w:rPr>
                <w:sz w:val="14"/>
                <w:szCs w:val="18"/>
              </w:rPr>
            </w:pPr>
            <w:proofErr w:type="spellStart"/>
            <w:r w:rsidRPr="00241B21">
              <w:rPr>
                <w:sz w:val="14"/>
                <w:szCs w:val="18"/>
              </w:rPr>
              <w:t>Malalasekera</w:t>
            </w:r>
            <w:proofErr w:type="spellEnd"/>
            <w:r w:rsidRPr="00241B21">
              <w:rPr>
                <w:sz w:val="14"/>
                <w:szCs w:val="18"/>
              </w:rPr>
              <w:t xml:space="preserve"> PLC, p.68; </w:t>
            </w:r>
            <w:proofErr w:type="spellStart"/>
            <w:r w:rsidRPr="00241B21">
              <w:rPr>
                <w:sz w:val="14"/>
                <w:szCs w:val="18"/>
              </w:rPr>
              <w:t>Epigraphia</w:t>
            </w:r>
            <w:proofErr w:type="spellEnd"/>
            <w:r w:rsidRPr="00241B21">
              <w:rPr>
                <w:sz w:val="14"/>
                <w:szCs w:val="18"/>
              </w:rPr>
              <w:t xml:space="preserve"> </w:t>
            </w:r>
            <w:proofErr w:type="spellStart"/>
            <w:r w:rsidRPr="00241B21">
              <w:rPr>
                <w:sz w:val="14"/>
                <w:szCs w:val="18"/>
              </w:rPr>
              <w:t>Zeylanica</w:t>
            </w:r>
            <w:proofErr w:type="spellEnd"/>
            <w:r w:rsidRPr="00241B21">
              <w:rPr>
                <w:sz w:val="14"/>
                <w:szCs w:val="18"/>
              </w:rPr>
              <w:t xml:space="preserve"> </w:t>
            </w:r>
            <w:proofErr w:type="spellStart"/>
            <w:r w:rsidRPr="00241B21">
              <w:rPr>
                <w:sz w:val="14"/>
                <w:szCs w:val="18"/>
              </w:rPr>
              <w:t>iii</w:t>
            </w:r>
            <w:proofErr w:type="spellEnd"/>
            <w:r w:rsidRPr="00241B21">
              <w:rPr>
                <w:sz w:val="14"/>
                <w:szCs w:val="18"/>
              </w:rPr>
              <w:t>, II</w:t>
            </w:r>
          </w:p>
          <w:p w14:paraId="0620B148" w14:textId="77777777" w:rsidR="00241B21" w:rsidRPr="00241B21" w:rsidRDefault="00241B21" w:rsidP="009220D1">
            <w:pPr>
              <w:pStyle w:val="NormalConSangria"/>
              <w:spacing w:after="0"/>
              <w:ind w:firstLine="0"/>
              <w:rPr>
                <w:sz w:val="14"/>
                <w:szCs w:val="18"/>
              </w:rPr>
            </w:pPr>
          </w:p>
          <w:p w14:paraId="2F3DD5B9" w14:textId="1F2CB271" w:rsidR="00241B21" w:rsidRPr="00D94469" w:rsidRDefault="00B70B65" w:rsidP="009220D1">
            <w:pPr>
              <w:pStyle w:val="NormalConSangria"/>
              <w:spacing w:after="0"/>
              <w:ind w:firstLine="0"/>
              <w:rPr>
                <w:sz w:val="14"/>
                <w:szCs w:val="18"/>
              </w:rPr>
            </w:pPr>
            <w:r w:rsidRPr="00D94469">
              <w:rPr>
                <w:sz w:val="14"/>
                <w:szCs w:val="18"/>
              </w:rPr>
              <w:t>Citado en</w:t>
            </w:r>
            <w:r w:rsidR="00241B21" w:rsidRPr="00D94469">
              <w:rPr>
                <w:sz w:val="14"/>
                <w:szCs w:val="18"/>
              </w:rPr>
              <w:t xml:space="preserve"> </w:t>
            </w:r>
            <w:proofErr w:type="spellStart"/>
            <w:r w:rsidR="00241B21" w:rsidRPr="00D94469">
              <w:rPr>
                <w:sz w:val="14"/>
                <w:szCs w:val="18"/>
              </w:rPr>
              <w:t>Vin</w:t>
            </w:r>
            <w:proofErr w:type="spellEnd"/>
            <w:r w:rsidR="00241B21" w:rsidRPr="00D94469">
              <w:rPr>
                <w:sz w:val="14"/>
                <w:szCs w:val="18"/>
              </w:rPr>
              <w:t>-a</w:t>
            </w:r>
          </w:p>
          <w:p w14:paraId="723CE761" w14:textId="77777777" w:rsidR="00241B21" w:rsidRPr="00D94469" w:rsidRDefault="00241B21" w:rsidP="009220D1">
            <w:pPr>
              <w:pStyle w:val="NormalConSangria"/>
              <w:spacing w:after="0"/>
              <w:ind w:firstLine="0"/>
              <w:rPr>
                <w:sz w:val="14"/>
                <w:szCs w:val="18"/>
              </w:rPr>
            </w:pPr>
          </w:p>
          <w:p w14:paraId="258577E4" w14:textId="77777777" w:rsidR="00241B21" w:rsidRPr="00D94469" w:rsidRDefault="00241B21" w:rsidP="009220D1">
            <w:pPr>
              <w:pStyle w:val="NormalConSangria"/>
              <w:spacing w:after="0"/>
              <w:ind w:firstLine="0"/>
              <w:rPr>
                <w:sz w:val="14"/>
                <w:szCs w:val="18"/>
              </w:rPr>
            </w:pPr>
          </w:p>
          <w:p w14:paraId="0C551EDA" w14:textId="77777777" w:rsidR="00241B21" w:rsidRPr="00D94469" w:rsidRDefault="00241B21" w:rsidP="009220D1">
            <w:pPr>
              <w:pStyle w:val="NormalConSangria"/>
              <w:spacing w:after="0"/>
              <w:ind w:firstLine="0"/>
              <w:rPr>
                <w:sz w:val="14"/>
                <w:szCs w:val="18"/>
              </w:rPr>
            </w:pPr>
            <w:r w:rsidRPr="00D94469">
              <w:rPr>
                <w:sz w:val="14"/>
                <w:szCs w:val="18"/>
              </w:rPr>
              <w:t>PLC, p.77</w:t>
            </w:r>
          </w:p>
          <w:p w14:paraId="388D4D70" w14:textId="77777777" w:rsidR="00241B21" w:rsidRPr="00D94469" w:rsidRDefault="00241B21" w:rsidP="009220D1">
            <w:pPr>
              <w:pStyle w:val="NormalConSangria"/>
              <w:spacing w:after="0"/>
              <w:ind w:firstLine="0"/>
              <w:rPr>
                <w:sz w:val="14"/>
                <w:szCs w:val="18"/>
              </w:rPr>
            </w:pPr>
          </w:p>
          <w:p w14:paraId="1FE09D07" w14:textId="77777777" w:rsidR="00241B21" w:rsidRPr="00D94469" w:rsidRDefault="00241B21" w:rsidP="009220D1">
            <w:pPr>
              <w:pStyle w:val="NormalConSangria"/>
              <w:spacing w:after="0"/>
              <w:ind w:firstLine="0"/>
              <w:rPr>
                <w:sz w:val="14"/>
                <w:szCs w:val="18"/>
              </w:rPr>
            </w:pPr>
          </w:p>
          <w:p w14:paraId="06F4D922" w14:textId="77777777" w:rsidR="00241B21" w:rsidRPr="00D94469" w:rsidRDefault="00241B21" w:rsidP="009220D1">
            <w:pPr>
              <w:pStyle w:val="NormalConSangria"/>
              <w:spacing w:after="0"/>
              <w:ind w:firstLine="0"/>
              <w:rPr>
                <w:sz w:val="14"/>
                <w:szCs w:val="18"/>
              </w:rPr>
            </w:pPr>
          </w:p>
          <w:p w14:paraId="7A3A9AAE" w14:textId="77777777" w:rsidR="00241B21" w:rsidRPr="00D94469" w:rsidRDefault="00241B21" w:rsidP="009220D1">
            <w:pPr>
              <w:pStyle w:val="NormalConSangria"/>
              <w:spacing w:after="0"/>
              <w:ind w:firstLine="0"/>
              <w:rPr>
                <w:sz w:val="14"/>
                <w:szCs w:val="18"/>
              </w:rPr>
            </w:pPr>
          </w:p>
          <w:p w14:paraId="354D014B" w14:textId="77777777" w:rsidR="00241B21" w:rsidRPr="00241B21" w:rsidRDefault="00241B21" w:rsidP="009220D1">
            <w:pPr>
              <w:pStyle w:val="NormalConSangria"/>
              <w:spacing w:after="0"/>
              <w:ind w:firstLine="0"/>
              <w:rPr>
                <w:sz w:val="14"/>
                <w:szCs w:val="18"/>
              </w:rPr>
            </w:pPr>
            <w:proofErr w:type="spellStart"/>
            <w:r w:rsidRPr="00241B21">
              <w:rPr>
                <w:sz w:val="14"/>
                <w:szCs w:val="18"/>
              </w:rPr>
              <w:t>Mhv</w:t>
            </w:r>
            <w:proofErr w:type="spellEnd"/>
            <w:r w:rsidRPr="00241B21">
              <w:rPr>
                <w:sz w:val="14"/>
                <w:szCs w:val="18"/>
              </w:rPr>
              <w:t xml:space="preserve"> XXXVII.215–46</w:t>
            </w:r>
          </w:p>
          <w:p w14:paraId="77424F1C" w14:textId="77777777" w:rsidR="00241B21" w:rsidRPr="00241B21" w:rsidRDefault="00241B21" w:rsidP="009220D1">
            <w:pPr>
              <w:pStyle w:val="NormalConSangria"/>
              <w:spacing w:after="0"/>
              <w:ind w:firstLine="0"/>
              <w:rPr>
                <w:sz w:val="14"/>
                <w:szCs w:val="18"/>
              </w:rPr>
            </w:pPr>
          </w:p>
          <w:p w14:paraId="5E3C4BC1" w14:textId="45E1EB85" w:rsidR="005C38E4" w:rsidRPr="00241B21" w:rsidRDefault="00241B21" w:rsidP="009220D1">
            <w:pPr>
              <w:pStyle w:val="NormalConSangria"/>
              <w:spacing w:after="0"/>
              <w:ind w:firstLine="0"/>
              <w:rPr>
                <w:sz w:val="14"/>
                <w:szCs w:val="18"/>
              </w:rPr>
            </w:pPr>
            <w:proofErr w:type="spellStart"/>
            <w:r w:rsidRPr="00241B21">
              <w:rPr>
                <w:sz w:val="14"/>
                <w:szCs w:val="18"/>
              </w:rPr>
              <w:t>Vin</w:t>
            </w:r>
            <w:proofErr w:type="spellEnd"/>
            <w:r w:rsidRPr="00241B21">
              <w:rPr>
                <w:sz w:val="14"/>
                <w:szCs w:val="18"/>
              </w:rPr>
              <w:t>-a Epilogue</w:t>
            </w:r>
          </w:p>
        </w:tc>
      </w:tr>
    </w:tbl>
    <w:p w14:paraId="0B5070FF" w14:textId="77777777" w:rsidR="00D94F28" w:rsidRDefault="00D94F28" w:rsidP="00B12748">
      <w:pPr>
        <w:pStyle w:val="NormalConSangria"/>
      </w:pPr>
    </w:p>
    <w:p w14:paraId="6F847DC9" w14:textId="2EA993D6" w:rsidR="00D94F28" w:rsidRDefault="00D94F28" w:rsidP="00D94F28">
      <w:r>
        <w:t>L</w:t>
      </w:r>
      <w:r w:rsidR="000D515F">
        <w:t>o</w:t>
      </w:r>
      <w:r>
        <w:t>s violent</w:t>
      </w:r>
      <w:r w:rsidR="000D515F">
        <w:t>o</w:t>
      </w:r>
      <w:r>
        <w:t xml:space="preserve">s </w:t>
      </w:r>
      <w:r w:rsidR="000D515F">
        <w:t xml:space="preserve">acosos durante </w:t>
      </w:r>
      <w:r>
        <w:t>su reinado</w:t>
      </w:r>
      <w:r w:rsidR="002B19E0">
        <w:t>,</w:t>
      </w:r>
      <w:r>
        <w:t xml:space="preserve"> seguidos por </w:t>
      </w:r>
      <w:r w:rsidR="00D61F1C">
        <w:t>la</w:t>
      </w:r>
      <w:r>
        <w:t xml:space="preserve"> fundación de</w:t>
      </w:r>
      <w:r w:rsidR="00D61F1C">
        <w:t xml:space="preserve"> su</w:t>
      </w:r>
      <w:r>
        <w:t xml:space="preserve"> </w:t>
      </w:r>
      <w:r w:rsidR="00026C0F">
        <w:t xml:space="preserve">Monasterio </w:t>
      </w:r>
      <w:proofErr w:type="spellStart"/>
      <w:r>
        <w:t>Abhayagiri</w:t>
      </w:r>
      <w:proofErr w:type="spellEnd"/>
      <w:r>
        <w:t xml:space="preserve">, su secesión y cisma, cambiaron toda la situación en </w:t>
      </w:r>
      <w:r w:rsidR="003A5123">
        <w:t>su ciudad</w:t>
      </w:r>
      <w:r>
        <w:t xml:space="preserve">. Sintiendo </w:t>
      </w:r>
      <w:r w:rsidR="005341C5">
        <w:t>est</w:t>
      </w:r>
      <w:r>
        <w:t xml:space="preserve">a inseguridad, el Gran Monasterio tomó la precaución de </w:t>
      </w:r>
      <w:r w:rsidR="002A0620">
        <w:t>realiza</w:t>
      </w:r>
      <w:r w:rsidR="00451DA2">
        <w:t>r</w:t>
      </w:r>
      <w:r w:rsidR="002A0620">
        <w:t xml:space="preserve"> por primera vez la transcripción</w:t>
      </w:r>
      <w:r>
        <w:t xml:space="preserve"> </w:t>
      </w:r>
      <w:r w:rsidR="002A0620">
        <w:t>d</w:t>
      </w:r>
      <w:r>
        <w:t xml:space="preserve">el </w:t>
      </w:r>
      <w:r w:rsidRPr="0092396F">
        <w:rPr>
          <w:i/>
          <w:iCs/>
        </w:rPr>
        <w:t>Tipiṭaka</w:t>
      </w:r>
      <w:r>
        <w:t xml:space="preserve">, haciéndolo en </w:t>
      </w:r>
      <w:r w:rsidR="002A0620">
        <w:t>un</w:t>
      </w:r>
      <w:r>
        <w:t>as provincias</w:t>
      </w:r>
      <w:r w:rsidR="00113397">
        <w:t>,</w:t>
      </w:r>
      <w:r>
        <w:t xml:space="preserve"> lejos de la presencia del </w:t>
      </w:r>
      <w:r w:rsidR="005A479A">
        <w:t>Rey</w:t>
      </w:r>
      <w:r>
        <w:t>. Ahora</w:t>
      </w:r>
      <w:r w:rsidR="002A0620">
        <w:t xml:space="preserve"> bien</w:t>
      </w:r>
      <w:r>
        <w:t xml:space="preserve">, a fines del siglo I a. C. (las fechas son muy vagas), la literatura budista sánscrita se lanzó a su larga era de magnificencia, el sánscrito </w:t>
      </w:r>
      <w:r w:rsidR="00BA246D">
        <w:t>se encontró entonces</w:t>
      </w:r>
      <w:r>
        <w:t xml:space="preserve"> en camino de convertirse en un idioma de cultura internacional. En Sri Lanka, el Gran Monasterio, ya comprometido por la tradición de una ortodoxia estricta basada en </w:t>
      </w:r>
      <w:r w:rsidR="00BA246D">
        <w:t xml:space="preserve">el </w:t>
      </w:r>
      <w:r w:rsidR="00BA246D">
        <w:rPr>
          <w:i/>
          <w:iCs/>
        </w:rPr>
        <w:t>Pāḷi</w:t>
      </w:r>
      <w:r>
        <w:t xml:space="preserve">, </w:t>
      </w:r>
      <w:r w:rsidR="003334E6">
        <w:t xml:space="preserve">se </w:t>
      </w:r>
      <w:r>
        <w:t>hab</w:t>
      </w:r>
      <w:r w:rsidR="003334E6">
        <w:t>r</w:t>
      </w:r>
      <w:r>
        <w:t xml:space="preserve">ía confirmado en </w:t>
      </w:r>
      <w:r w:rsidR="003334E6">
        <w:t>aquella</w:t>
      </w:r>
      <w:r>
        <w:t xml:space="preserve"> actitud cism</w:t>
      </w:r>
      <w:r w:rsidR="005341C5">
        <w:t>ática</w:t>
      </w:r>
      <w:r>
        <w:t xml:space="preserve"> de su rival, que </w:t>
      </w:r>
      <w:r w:rsidR="000656F2">
        <w:t xml:space="preserve">entonces </w:t>
      </w:r>
      <w:r>
        <w:t>comenz</w:t>
      </w:r>
      <w:r w:rsidR="000656F2">
        <w:t>aba</w:t>
      </w:r>
      <w:r>
        <w:t xml:space="preserve"> públicamente a estudiar las nuevas ideas </w:t>
      </w:r>
      <w:r w:rsidR="005341C5">
        <w:t>sobre</w:t>
      </w:r>
      <w:r>
        <w:t xml:space="preserve"> la India. En el primer siglo a. C., probablemente la afluencia del pensamiento sánscrito aún era bastante </w:t>
      </w:r>
      <w:r w:rsidR="000656F2">
        <w:t>pequeña</w:t>
      </w:r>
      <w:r>
        <w:t xml:space="preserve">, por lo que el </w:t>
      </w:r>
      <w:r w:rsidR="000656F2">
        <w:t xml:space="preserve">Gran Monasterio </w:t>
      </w:r>
      <w:r>
        <w:t>p</w:t>
      </w:r>
      <w:r w:rsidR="000656F2">
        <w:t>udo</w:t>
      </w:r>
      <w:r>
        <w:t xml:space="preserve"> mantener su nombre </w:t>
      </w:r>
      <w:r w:rsidR="00ED0BA8">
        <w:t>en</w:t>
      </w:r>
      <w:r w:rsidR="005341C5">
        <w:t xml:space="preserve"> </w:t>
      </w:r>
      <w:proofErr w:type="spellStart"/>
      <w:r>
        <w:t>Anurādhapura</w:t>
      </w:r>
      <w:proofErr w:type="spellEnd"/>
      <w:r w:rsidR="00BF33F0">
        <w:t>,</w:t>
      </w:r>
      <w:r>
        <w:t xml:space="preserve"> como el centro principal de aprendizaje desarrollando sus antiguos comentarios de</w:t>
      </w:r>
      <w:r w:rsidR="00A04E2F">
        <w:t>l</w:t>
      </w:r>
      <w:r>
        <w:t xml:space="preserve"> </w:t>
      </w:r>
      <w:r w:rsidRPr="00A04E2F">
        <w:rPr>
          <w:i/>
          <w:iCs/>
        </w:rPr>
        <w:t>Tipiṭaka</w:t>
      </w:r>
      <w:r>
        <w:t xml:space="preserve"> en </w:t>
      </w:r>
      <w:r w:rsidR="00A04E2F">
        <w:t>Cingalés</w:t>
      </w:r>
      <w:r>
        <w:t xml:space="preserve">. Esto podría explicar el cambio de énfasis de la práctica </w:t>
      </w:r>
      <w:r w:rsidR="00831361">
        <w:t>hacia la erudición</w:t>
      </w:r>
      <w:r>
        <w:t xml:space="preserve"> </w:t>
      </w:r>
      <w:r w:rsidR="00051303">
        <w:t xml:space="preserve">teórica </w:t>
      </w:r>
      <w:r w:rsidR="00BF33F0">
        <w:t>durante</w:t>
      </w:r>
      <w:r>
        <w:t xml:space="preserve"> el </w:t>
      </w:r>
      <w:r w:rsidR="00BF33F0">
        <w:t xml:space="preserve">gobierno </w:t>
      </w:r>
      <w:r>
        <w:t xml:space="preserve">del </w:t>
      </w:r>
      <w:r w:rsidR="0092396F">
        <w:t xml:space="preserve">Rey </w:t>
      </w:r>
      <w:proofErr w:type="spellStart"/>
      <w:r>
        <w:t>Vaṭṭagāmani</w:t>
      </w:r>
      <w:proofErr w:type="spellEnd"/>
      <w:r>
        <w:t xml:space="preserve">. La evidencia muestra una gran actividad en este último campo durante el primer siglo a. C. y todo este material </w:t>
      </w:r>
      <w:r w:rsidR="008C0E07">
        <w:t>fue sin dudad</w:t>
      </w:r>
      <w:r>
        <w:t xml:space="preserve"> </w:t>
      </w:r>
      <w:r w:rsidR="008C0E07">
        <w:t>también trans</w:t>
      </w:r>
      <w:r>
        <w:t>crito.</w:t>
      </w:r>
    </w:p>
    <w:p w14:paraId="7C53AF35" w14:textId="3F930AD7" w:rsidR="00D94F28" w:rsidRDefault="00D94F28" w:rsidP="00441D60">
      <w:pPr>
        <w:pStyle w:val="NormalConSangria"/>
      </w:pPr>
      <w:r>
        <w:t xml:space="preserve">En el primer siglo </w:t>
      </w:r>
      <w:r w:rsidR="00A131CB">
        <w:t xml:space="preserve">de la </w:t>
      </w:r>
      <w:r>
        <w:t>E</w:t>
      </w:r>
      <w:r w:rsidR="008C0E07">
        <w:t xml:space="preserve">. </w:t>
      </w:r>
      <w:r>
        <w:t>C, el budismo sánscrito ("</w:t>
      </w:r>
      <w:proofErr w:type="spellStart"/>
      <w:r w:rsidRPr="003311A7">
        <w:rPr>
          <w:i/>
          <w:iCs/>
        </w:rPr>
        <w:t>Hīnayāna</w:t>
      </w:r>
      <w:proofErr w:type="spellEnd"/>
      <w:r>
        <w:t xml:space="preserve">", y tal vez para entonces </w:t>
      </w:r>
      <w:proofErr w:type="spellStart"/>
      <w:r w:rsidRPr="003311A7">
        <w:rPr>
          <w:i/>
          <w:iCs/>
        </w:rPr>
        <w:t>Mahāyāna</w:t>
      </w:r>
      <w:proofErr w:type="spellEnd"/>
      <w:r>
        <w:t xml:space="preserve">) </w:t>
      </w:r>
      <w:r w:rsidR="008C0E07">
        <w:t xml:space="preserve">se encontraba </w:t>
      </w:r>
      <w:r>
        <w:t>creciendo rápidamente y se extend</w:t>
      </w:r>
      <w:r w:rsidR="008C0E07">
        <w:t>ió</w:t>
      </w:r>
      <w:r>
        <w:t xml:space="preserve"> </w:t>
      </w:r>
      <w:r w:rsidR="00A131CB">
        <w:t>hasta</w:t>
      </w:r>
      <w:r>
        <w:t xml:space="preserve"> el extranjero. El </w:t>
      </w:r>
      <w:r w:rsidR="004D13F9">
        <w:t xml:space="preserve">Monasterio </w:t>
      </w:r>
      <w:proofErr w:type="spellStart"/>
      <w:r>
        <w:t>Abhayagiri</w:t>
      </w:r>
      <w:proofErr w:type="spellEnd"/>
      <w:r>
        <w:t xml:space="preserve">, naturalmente, habría estado ocupado estudiando y abogando </w:t>
      </w:r>
      <w:r w:rsidR="00E1563A">
        <w:t xml:space="preserve">pesadamente </w:t>
      </w:r>
      <w:r>
        <w:t xml:space="preserve">por algunos de estos </w:t>
      </w:r>
      <w:r w:rsidR="00C921C0">
        <w:t>progresos</w:t>
      </w:r>
      <w:r>
        <w:t xml:space="preserve">, mientras que el </w:t>
      </w:r>
      <w:r w:rsidR="00357E1D">
        <w:t xml:space="preserve">Gran Monasterio </w:t>
      </w:r>
      <w:r>
        <w:t xml:space="preserve">no </w:t>
      </w:r>
      <w:r w:rsidR="00EC0AE4">
        <w:t>disponía</w:t>
      </w:r>
      <w:r w:rsidR="00390A83">
        <w:t xml:space="preserve"> </w:t>
      </w:r>
      <w:r>
        <w:t xml:space="preserve">nada nuevo que </w:t>
      </w:r>
      <w:r>
        <w:br w:type="page"/>
      </w:r>
    </w:p>
    <w:p w14:paraId="43AFA29E" w14:textId="77777777" w:rsidR="00D57D89" w:rsidRDefault="00D57D89" w:rsidP="00D94F28"/>
    <w:p w14:paraId="48DA7ACF" w14:textId="0E75A3FE" w:rsidR="00D94F28" w:rsidRDefault="00F3266E" w:rsidP="00D94F28">
      <w:r>
        <w:t xml:space="preserve">ofrecer: el rival </w:t>
      </w:r>
      <w:r w:rsidR="00F568B1">
        <w:t>fue de esta manera</w:t>
      </w:r>
      <w:r>
        <w:t xml:space="preserve"> </w:t>
      </w:r>
      <w:r w:rsidR="00357E1D">
        <w:t xml:space="preserve">capaz, </w:t>
      </w:r>
      <w:r w:rsidR="009425EE">
        <w:t>con</w:t>
      </w:r>
      <w:r w:rsidR="00D94F28">
        <w:t xml:space="preserve"> cierto riesgo, de parecer </w:t>
      </w:r>
      <w:r w:rsidR="00150B7E">
        <w:t>acelerado</w:t>
      </w:r>
      <w:r w:rsidR="00D94F28">
        <w:t xml:space="preserve"> y actualizado, mientras que </w:t>
      </w:r>
      <w:r w:rsidR="009425EE">
        <w:t>la antigua</w:t>
      </w:r>
      <w:r w:rsidR="00D94F28">
        <w:t xml:space="preserve"> institución</w:t>
      </w:r>
      <w:r w:rsidR="00AE370B">
        <w:t>,</w:t>
      </w:r>
      <w:r w:rsidR="00D94F28">
        <w:t xml:space="preserve"> tal vez</w:t>
      </w:r>
      <w:r w:rsidR="00AE370B">
        <w:t>,</w:t>
      </w:r>
      <w:r w:rsidR="00D94F28">
        <w:t xml:space="preserve"> comenz</w:t>
      </w:r>
      <w:r w:rsidR="009425EE">
        <w:t>aba</w:t>
      </w:r>
      <w:r w:rsidR="00D94F28">
        <w:t xml:space="preserve"> a quedarse atrás por falta de </w:t>
      </w:r>
      <w:r w:rsidR="003A0A15">
        <w:t xml:space="preserve">nuevo </w:t>
      </w:r>
      <w:r w:rsidR="00D94F28">
        <w:t>material, nueva inspiración y conexiones internacionales</w:t>
      </w:r>
      <w:r w:rsidR="00C43EE6">
        <w:t>;</w:t>
      </w:r>
      <w:r w:rsidR="00D94F28">
        <w:t xml:space="preserve"> </w:t>
      </w:r>
      <w:r w:rsidR="0030314E">
        <w:t>debido a</w:t>
      </w:r>
      <w:r w:rsidR="009425EE">
        <w:t xml:space="preserve"> </w:t>
      </w:r>
      <w:r w:rsidR="00D94F28">
        <w:t>que sus estudios se limita</w:t>
      </w:r>
      <w:r w:rsidR="009425EE">
        <w:t>ba</w:t>
      </w:r>
      <w:r w:rsidR="00D94F28">
        <w:t xml:space="preserve">n a la presentación ortodoxa en el idioma cingalés, </w:t>
      </w:r>
      <w:r w:rsidR="00C43EE6">
        <w:t>se</w:t>
      </w:r>
      <w:r w:rsidR="00C6468A">
        <w:t xml:space="preserve"> </w:t>
      </w:r>
      <w:r w:rsidR="00D94F28">
        <w:t>hab</w:t>
      </w:r>
      <w:r w:rsidR="00441D60">
        <w:t>r</w:t>
      </w:r>
      <w:r w:rsidR="00D94F28">
        <w:t xml:space="preserve">ía hecho lo que </w:t>
      </w:r>
      <w:r w:rsidR="00C43EE6">
        <w:t xml:space="preserve">se </w:t>
      </w:r>
      <w:r w:rsidR="00C6468A">
        <w:t>pud</w:t>
      </w:r>
      <w:r w:rsidR="00C30700">
        <w:t>o</w:t>
      </w:r>
      <w:r w:rsidR="00D94F28">
        <w:t xml:space="preserve"> </w:t>
      </w:r>
      <w:r w:rsidR="00C6468A">
        <w:t xml:space="preserve">para </w:t>
      </w:r>
      <w:r w:rsidR="00D94F28">
        <w:t>desarrollar el aprendizaje de</w:t>
      </w:r>
      <w:r w:rsidR="00CC33FD">
        <w:t>l</w:t>
      </w:r>
      <w:r w:rsidR="00D94F28">
        <w:t xml:space="preserve"> </w:t>
      </w:r>
      <w:r w:rsidR="00D94F28" w:rsidRPr="00CC33FD">
        <w:rPr>
          <w:i/>
          <w:iCs/>
        </w:rPr>
        <w:t>Tipiṭaka</w:t>
      </w:r>
      <w:r w:rsidR="00D94F28">
        <w:t xml:space="preserve"> (en el continent</w:t>
      </w:r>
      <w:r w:rsidR="00441D60">
        <w:t>e</w:t>
      </w:r>
      <w:r w:rsidR="00D94F28">
        <w:t xml:space="preserve"> </w:t>
      </w:r>
      <w:r w:rsidR="00441D60">
        <w:t xml:space="preserve">el </w:t>
      </w:r>
      <w:r w:rsidR="00441D60" w:rsidRPr="00CC33FD">
        <w:rPr>
          <w:i/>
          <w:iCs/>
        </w:rPr>
        <w:t>Theravāda</w:t>
      </w:r>
      <w:r w:rsidR="00441D60">
        <w:t xml:space="preserve"> </w:t>
      </w:r>
      <w:r w:rsidR="00D94F28">
        <w:t>era</w:t>
      </w:r>
      <w:r w:rsidR="00C6468A">
        <w:t>,</w:t>
      </w:r>
      <w:r w:rsidR="00D94F28">
        <w:t xml:space="preserve"> sin duda</w:t>
      </w:r>
      <w:r w:rsidR="00C6468A">
        <w:t>,</w:t>
      </w:r>
      <w:r w:rsidR="00D94F28">
        <w:t xml:space="preserve"> más profundo en la misma </w:t>
      </w:r>
      <w:r w:rsidR="008F1D04">
        <w:t>predicación</w:t>
      </w:r>
      <w:r w:rsidR="00D94F28">
        <w:t xml:space="preserve">). De todos modos, encontramos que desde el primer siglo en adelante su erudición constructiva se </w:t>
      </w:r>
      <w:r w:rsidR="00C43EE6">
        <w:t>drenaba</w:t>
      </w:r>
      <w:r w:rsidR="00D94F28">
        <w:t xml:space="preserve">, y en cambio, con el reinado del </w:t>
      </w:r>
      <w:r w:rsidR="003311A7">
        <w:t xml:space="preserve">Rey </w:t>
      </w:r>
      <w:proofErr w:type="spellStart"/>
      <w:r w:rsidR="00D94F28">
        <w:t>Bhātika</w:t>
      </w:r>
      <w:proofErr w:type="spellEnd"/>
      <w:r w:rsidR="00D94F28">
        <w:t xml:space="preserve"> </w:t>
      </w:r>
      <w:proofErr w:type="spellStart"/>
      <w:r w:rsidR="00D94F28">
        <w:t>Abhaya</w:t>
      </w:r>
      <w:proofErr w:type="spellEnd"/>
      <w:r w:rsidR="00D94F28">
        <w:t xml:space="preserve"> (20 </w:t>
      </w:r>
      <w:r w:rsidR="008E002B">
        <w:t>a. C. –</w:t>
      </w:r>
      <w:r w:rsidR="00D94F28">
        <w:t xml:space="preserve"> 9</w:t>
      </w:r>
      <w:r w:rsidR="008E002B">
        <w:t xml:space="preserve"> EC</w:t>
      </w:r>
      <w:r w:rsidR="00D94F28">
        <w:t>), las disputas públicas comenza</w:t>
      </w:r>
      <w:r w:rsidR="00041C0C">
        <w:t>ro</w:t>
      </w:r>
      <w:r w:rsidR="00D94F28">
        <w:t xml:space="preserve">n a estallar entre los dos monasterios. De hecho, esta escena se prolonga, empeorando gradualmente durante los próximos tres siglos, </w:t>
      </w:r>
      <w:r w:rsidR="00FE5BB1">
        <w:t>tan llanamente</w:t>
      </w:r>
      <w:r w:rsidR="00D94F28">
        <w:t xml:space="preserve"> como </w:t>
      </w:r>
      <w:r w:rsidR="00FE5BB1">
        <w:t xml:space="preserve">lo </w:t>
      </w:r>
      <w:r w:rsidR="00604731">
        <w:t>es la</w:t>
      </w:r>
      <w:r w:rsidR="00D94F28">
        <w:t xml:space="preserve"> información </w:t>
      </w:r>
      <w:r w:rsidR="00604731">
        <w:t xml:space="preserve">que </w:t>
      </w:r>
      <w:r w:rsidR="00A9190F">
        <w:t>la aclare al respecto</w:t>
      </w:r>
      <w:r w:rsidR="00D94F28">
        <w:t xml:space="preserve">. El </w:t>
      </w:r>
      <w:r w:rsidR="00B82AEE">
        <w:t>gobierno</w:t>
      </w:r>
      <w:r w:rsidR="00D94F28">
        <w:t xml:space="preserve"> del </w:t>
      </w:r>
      <w:r w:rsidR="003311A7">
        <w:t xml:space="preserve">Rey </w:t>
      </w:r>
      <w:proofErr w:type="spellStart"/>
      <w:r w:rsidR="00D94F28">
        <w:t>Vasabha</w:t>
      </w:r>
      <w:proofErr w:type="spellEnd"/>
      <w:r w:rsidR="00D94F28">
        <w:t xml:space="preserve"> (66-110</w:t>
      </w:r>
      <w:r w:rsidR="00D46163">
        <w:t xml:space="preserve"> EC</w:t>
      </w:r>
      <w:r w:rsidR="00D94F28">
        <w:t>) parec</w:t>
      </w:r>
      <w:r w:rsidR="00A9190F">
        <w:t>iera</w:t>
      </w:r>
      <w:r w:rsidR="00D94F28">
        <w:t xml:space="preserve"> ser el último mencionado en los comentarios </w:t>
      </w:r>
      <w:r w:rsidR="00B31C47">
        <w:t>según la información que se dispone actualmente</w:t>
      </w:r>
      <w:r w:rsidR="00D94F28">
        <w:t xml:space="preserve">, de donde se puede suponer que poco después </w:t>
      </w:r>
      <w:r w:rsidR="00A2108B">
        <w:t>quedaron</w:t>
      </w:r>
      <w:r w:rsidR="00D94F28">
        <w:t xml:space="preserve"> cerrados (o ya no se mantuvieron), </w:t>
      </w:r>
      <w:r w:rsidR="00A2108B">
        <w:t xml:space="preserve">y </w:t>
      </w:r>
      <w:r w:rsidR="00D94F28">
        <w:t>no se agreg</w:t>
      </w:r>
      <w:r w:rsidR="00A2108B">
        <w:t>ó</w:t>
      </w:r>
      <w:r w:rsidR="00D94F28">
        <w:t xml:space="preserve"> nada más. Quizás el </w:t>
      </w:r>
      <w:r w:rsidR="00A2108B">
        <w:t>Gran Monasterio</w:t>
      </w:r>
      <w:r w:rsidR="00D94F28">
        <w:t xml:space="preserve">, que ahora vive solo </w:t>
      </w:r>
      <w:r w:rsidR="0042508D">
        <w:t>de</w:t>
      </w:r>
      <w:r w:rsidR="00D94F28">
        <w:t xml:space="preserve"> su pasado, se est</w:t>
      </w:r>
      <w:r w:rsidR="0042508D">
        <w:t>uvo</w:t>
      </w:r>
      <w:r w:rsidR="00D94F28">
        <w:t xml:space="preserve"> infectando </w:t>
      </w:r>
      <w:r w:rsidR="00A2108B">
        <w:t>de</w:t>
      </w:r>
      <w:r w:rsidR="00D94F28">
        <w:t xml:space="preserve"> herejías. </w:t>
      </w:r>
      <w:r w:rsidR="00D46163">
        <w:t>No obstante, s</w:t>
      </w:r>
      <w:r w:rsidR="00D94F28">
        <w:t xml:space="preserve">in especular sobre las razones inmediatas que lo indujeron a dejar que su cadena de maestros </w:t>
      </w:r>
      <w:r w:rsidR="00EF7F53">
        <w:t>se extinguiese</w:t>
      </w:r>
      <w:r w:rsidR="00D94F28">
        <w:t xml:space="preserve"> y deja</w:t>
      </w:r>
      <w:r w:rsidR="00EF7F53">
        <w:t>se</w:t>
      </w:r>
      <w:r w:rsidR="00D94F28">
        <w:t xml:space="preserve"> de </w:t>
      </w:r>
      <w:r w:rsidR="00EF7F53">
        <w:t>aportar</w:t>
      </w:r>
      <w:r w:rsidR="00D94F28">
        <w:t xml:space="preserve"> a su </w:t>
      </w:r>
      <w:r w:rsidR="007E2500">
        <w:t xml:space="preserve">congregación </w:t>
      </w:r>
      <w:r w:rsidR="00D94F28">
        <w:t>e</w:t>
      </w:r>
      <w:r w:rsidR="00AF0754">
        <w:t>l</w:t>
      </w:r>
      <w:r w:rsidR="00D94F28">
        <w:t xml:space="preserve"> aprendizaje cingalés, es suficiente tener en cuenta que la situación se deterioró, complica</w:t>
      </w:r>
      <w:r w:rsidR="007E2500">
        <w:t>d</w:t>
      </w:r>
      <w:r w:rsidR="00B030A2">
        <w:t>a</w:t>
      </w:r>
      <w:r w:rsidR="00D94F28">
        <w:t xml:space="preserve"> aún más por las intrigas, hasta el </w:t>
      </w:r>
      <w:r w:rsidR="007E2500">
        <w:t xml:space="preserve">gobierno </w:t>
      </w:r>
      <w:r w:rsidR="00D94F28">
        <w:t xml:space="preserve">de </w:t>
      </w:r>
      <w:proofErr w:type="spellStart"/>
      <w:r w:rsidR="00D94F28">
        <w:t>Mahāsena</w:t>
      </w:r>
      <w:proofErr w:type="spellEnd"/>
      <w:r w:rsidR="00D94F28">
        <w:t xml:space="preserve"> (CE 277–304) </w:t>
      </w:r>
      <w:r w:rsidR="00EF7F53">
        <w:t xml:space="preserve">donde </w:t>
      </w:r>
      <w:r w:rsidR="0042508D">
        <w:t>l</w:t>
      </w:r>
      <w:r w:rsidR="00D94F28">
        <w:t>as cosas llegaron a un punto crítico.</w:t>
      </w:r>
    </w:p>
    <w:p w14:paraId="52621451" w14:textId="6CFF85C0" w:rsidR="00D94708" w:rsidRDefault="00D94F28" w:rsidP="00D94F28">
      <w:pPr>
        <w:pStyle w:val="NormalConSangria"/>
      </w:pPr>
      <w:r>
        <w:t xml:space="preserve">Con la persecución del </w:t>
      </w:r>
      <w:r w:rsidR="00EF7F53">
        <w:t xml:space="preserve">Gran Monasterio </w:t>
      </w:r>
      <w:r>
        <w:t>dado el asentimiento real y la expulsión de su</w:t>
      </w:r>
      <w:r w:rsidR="00EF7F53">
        <w:t>s</w:t>
      </w:r>
      <w:r>
        <w:t xml:space="preserve"> </w:t>
      </w:r>
      <w:proofErr w:type="spellStart"/>
      <w:r w:rsidRPr="003311A7">
        <w:rPr>
          <w:i/>
          <w:iCs/>
        </w:rPr>
        <w:t>bhik</w:t>
      </w:r>
      <w:r w:rsidR="003311A7" w:rsidRPr="003311A7">
        <w:rPr>
          <w:i/>
          <w:iCs/>
        </w:rPr>
        <w:t>k</w:t>
      </w:r>
      <w:r w:rsidRPr="003311A7">
        <w:rPr>
          <w:i/>
          <w:iCs/>
        </w:rPr>
        <w:t>khus</w:t>
      </w:r>
      <w:proofErr w:type="spellEnd"/>
      <w:r>
        <w:t xml:space="preserve"> de la capital, el </w:t>
      </w:r>
      <w:r w:rsidR="00AA3B44">
        <w:t xml:space="preserve">Monasterio </w:t>
      </w:r>
      <w:proofErr w:type="spellStart"/>
      <w:r>
        <w:t>Abhayagiri</w:t>
      </w:r>
      <w:proofErr w:type="spellEnd"/>
      <w:r>
        <w:t xml:space="preserve"> disfrutó de nueve años de </w:t>
      </w:r>
      <w:r w:rsidR="003F757C">
        <w:t>éxitos</w:t>
      </w:r>
      <w:r>
        <w:t xml:space="preserve">. </w:t>
      </w:r>
      <w:r w:rsidR="006A5EE6">
        <w:t>No obstante,</w:t>
      </w:r>
      <w:r>
        <w:t xml:space="preserve"> la antigua institución reunió a sus partidarios en las provincias del sur y el </w:t>
      </w:r>
      <w:r w:rsidR="006A5EE6">
        <w:t xml:space="preserve">Rey </w:t>
      </w:r>
      <w:r>
        <w:t xml:space="preserve">se arrepintió. </w:t>
      </w:r>
      <w:r w:rsidR="003311A7">
        <w:t>Los</w:t>
      </w:r>
      <w:r>
        <w:t xml:space="preserve"> </w:t>
      </w:r>
      <w:proofErr w:type="spellStart"/>
      <w:r w:rsidR="00057BF4" w:rsidRPr="00057BF4">
        <w:rPr>
          <w:i/>
          <w:iCs/>
        </w:rPr>
        <w:t>bhikkhu</w:t>
      </w:r>
      <w:r w:rsidR="003311A7" w:rsidRPr="003311A7">
        <w:rPr>
          <w:i/>
          <w:iCs/>
        </w:rPr>
        <w:t>s</w:t>
      </w:r>
      <w:proofErr w:type="spellEnd"/>
      <w:r w:rsidR="003311A7">
        <w:t xml:space="preserve"> </w:t>
      </w:r>
      <w:r w:rsidR="000B1EAC">
        <w:t xml:space="preserve">retornaron al </w:t>
      </w:r>
      <w:r w:rsidR="00EA7A3A">
        <w:t>monasterio</w:t>
      </w:r>
      <w:r>
        <w:t xml:space="preserve"> y el </w:t>
      </w:r>
      <w:r w:rsidR="00AA3B44">
        <w:t xml:space="preserve">Rey </w:t>
      </w:r>
      <w:r>
        <w:t>restauró l</w:t>
      </w:r>
      <w:r w:rsidR="006A5EE6">
        <w:t>a</w:t>
      </w:r>
      <w:r>
        <w:t>s edific</w:t>
      </w:r>
      <w:r w:rsidR="006A5EE6">
        <w:t>acione</w:t>
      </w:r>
      <w:r>
        <w:t>s que habían sido despojad</w:t>
      </w:r>
      <w:r w:rsidR="006A5EE6">
        <w:t>a</w:t>
      </w:r>
      <w:r>
        <w:t>s</w:t>
      </w:r>
      <w:r w:rsidR="00623E78">
        <w:t>,</w:t>
      </w:r>
      <w:r>
        <w:t xml:space="preserve"> para adornar a</w:t>
      </w:r>
      <w:r w:rsidR="00EA7A3A">
        <w:t xml:space="preserve"> su</w:t>
      </w:r>
      <w:r>
        <w:t xml:space="preserve"> rival. </w:t>
      </w:r>
      <w:r w:rsidR="007D70F4">
        <w:t>Aun</w:t>
      </w:r>
      <w:r>
        <w:t xml:space="preserve"> así, el </w:t>
      </w:r>
      <w:r w:rsidR="00AA3B44">
        <w:t xml:space="preserve">Gran Monasterio </w:t>
      </w:r>
      <w:r>
        <w:t>debe haber previsto, después de este asunto</w:t>
      </w:r>
      <w:r w:rsidR="007D70F4">
        <w:t>,</w:t>
      </w:r>
      <w:r>
        <w:t xml:space="preserve"> que, a menos que pueda competir con éxito con</w:t>
      </w:r>
      <w:r w:rsidR="00623E78">
        <w:t>tra</w:t>
      </w:r>
      <w:r>
        <w:t xml:space="preserve"> el sánscrito, </w:t>
      </w:r>
      <w:r w:rsidR="00AA3B44">
        <w:t>poseía poca</w:t>
      </w:r>
      <w:r>
        <w:t xml:space="preserve"> esperanza de </w:t>
      </w:r>
      <w:r w:rsidR="00EA7A3A">
        <w:t>preservar</w:t>
      </w:r>
      <w:r>
        <w:t xml:space="preserve"> su posición. Con e</w:t>
      </w:r>
      <w:r w:rsidR="00AF2265">
        <w:t>ll</w:t>
      </w:r>
      <w:r>
        <w:t xml:space="preserve">o, el único curso abierto era lanzar un impulso para </w:t>
      </w:r>
      <w:r w:rsidR="00AF2265">
        <w:t>el resurgimiento</w:t>
      </w:r>
      <w:r>
        <w:t xml:space="preserve"> de</w:t>
      </w:r>
      <w:r w:rsidR="00AF2265">
        <w:t>l</w:t>
      </w:r>
      <w:r>
        <w:t xml:space="preserve"> </w:t>
      </w:r>
      <w:r w:rsidR="00AF2265">
        <w:rPr>
          <w:i/>
          <w:iCs/>
        </w:rPr>
        <w:t>Pāḷi</w:t>
      </w:r>
      <w:r>
        <w:t xml:space="preserve">, un impulso para llevar el estudio de ese idioma </w:t>
      </w:r>
      <w:r w:rsidR="00A8758D">
        <w:t xml:space="preserve">hasta alcanzar </w:t>
      </w:r>
      <w:r w:rsidR="00AA3B44">
        <w:t xml:space="preserve">un </w:t>
      </w:r>
      <w:r>
        <w:t xml:space="preserve">estándar </w:t>
      </w:r>
      <w:r w:rsidR="0006408E">
        <w:t xml:space="preserve">óptimo como </w:t>
      </w:r>
      <w:r>
        <w:t xml:space="preserve">para competir con el sánscrito "moderno" en el campo de la cultura budista internacional: cultivando </w:t>
      </w:r>
      <w:r w:rsidR="0006408E">
        <w:t xml:space="preserve">el </w:t>
      </w:r>
      <w:r w:rsidR="0006408E">
        <w:rPr>
          <w:i/>
          <w:iCs/>
        </w:rPr>
        <w:t>Pāḷi</w:t>
      </w:r>
      <w:r>
        <w:t xml:space="preserve"> </w:t>
      </w:r>
      <w:r w:rsidR="0006408E">
        <w:t>e</w:t>
      </w:r>
      <w:r>
        <w:t xml:space="preserve">n </w:t>
      </w:r>
      <w:r w:rsidR="0006408E">
        <w:t>el país</w:t>
      </w:r>
      <w:r>
        <w:t xml:space="preserve"> y en el extranjero podría asegurar</w:t>
      </w:r>
      <w:r w:rsidR="00623E78">
        <w:t>se</w:t>
      </w:r>
      <w:r>
        <w:t xml:space="preserve"> </w:t>
      </w:r>
      <w:r w:rsidR="0006408E">
        <w:t xml:space="preserve">una </w:t>
      </w:r>
      <w:r>
        <w:t xml:space="preserve">posición </w:t>
      </w:r>
      <w:r w:rsidR="0006408E">
        <w:t>local</w:t>
      </w:r>
      <w:r>
        <w:t xml:space="preserve">. Fue un proyecto revolucionario que involucró el desplazamiento del cingalés por </w:t>
      </w:r>
      <w:r w:rsidR="0006408E">
        <w:t xml:space="preserve">el </w:t>
      </w:r>
      <w:r w:rsidR="0006408E">
        <w:rPr>
          <w:i/>
          <w:iCs/>
        </w:rPr>
        <w:t>Pāḷi</w:t>
      </w:r>
      <w:r>
        <w:t xml:space="preserve"> como lenguaje para el estudio y la discusión de las enseñanzas budistas, </w:t>
      </w:r>
      <w:r w:rsidR="00AA3B44">
        <w:t xml:space="preserve">para </w:t>
      </w:r>
      <w:r>
        <w:t xml:space="preserve">la fundación de una composición literaria de la Escuela </w:t>
      </w:r>
      <w:r w:rsidR="0006408E">
        <w:rPr>
          <w:i/>
          <w:iCs/>
        </w:rPr>
        <w:t>Pāḷi</w:t>
      </w:r>
      <w:r>
        <w:t>. Anteriormente</w:t>
      </w:r>
      <w:r w:rsidR="00C65C4D">
        <w:t>,</w:t>
      </w:r>
      <w:r>
        <w:t xml:space="preserve"> sin duda</w:t>
      </w:r>
      <w:r w:rsidR="00C65C4D">
        <w:t>,</w:t>
      </w:r>
      <w:r>
        <w:t xml:space="preserve"> habría sido impracticable; </w:t>
      </w:r>
      <w:r w:rsidR="00433B4A">
        <w:t>no obstante,</w:t>
      </w:r>
      <w:r>
        <w:t xml:space="preserve"> el ambiente había cambiado. Aunque varias sectas sánscritas que no </w:t>
      </w:r>
      <w:r w:rsidR="00433B4A">
        <w:t>eran</w:t>
      </w:r>
      <w:r>
        <w:t xml:space="preserve"> </w:t>
      </w:r>
      <w:proofErr w:type="spellStart"/>
      <w:r w:rsidRPr="003311A7">
        <w:rPr>
          <w:i/>
          <w:iCs/>
        </w:rPr>
        <w:t>Mahayana</w:t>
      </w:r>
      <w:proofErr w:type="spellEnd"/>
      <w:r>
        <w:t xml:space="preserve"> </w:t>
      </w:r>
      <w:r w:rsidR="00622429">
        <w:t>eran</w:t>
      </w:r>
      <w:r>
        <w:t xml:space="preserve"> bien conocidas por haber seguido floreciendo en toda la India, no </w:t>
      </w:r>
      <w:r w:rsidR="00433B4A">
        <w:t>quedó</w:t>
      </w:r>
      <w:r>
        <w:t xml:space="preserve"> casi nada </w:t>
      </w:r>
      <w:r w:rsidR="002422CE">
        <w:t xml:space="preserve">de ello </w:t>
      </w:r>
      <w:r w:rsidR="00433B4A">
        <w:t xml:space="preserve">que pudiese </w:t>
      </w:r>
      <w:r w:rsidR="0029013C">
        <w:t>exponer</w:t>
      </w:r>
      <w:r>
        <w:t xml:space="preserve"> el estado del idioma </w:t>
      </w:r>
      <w:r w:rsidR="003311A7">
        <w:rPr>
          <w:i/>
          <w:iCs/>
        </w:rPr>
        <w:t>Pāḷi</w:t>
      </w:r>
      <w:r>
        <w:t xml:space="preserve"> </w:t>
      </w:r>
      <w:r w:rsidR="002422CE">
        <w:t>entonces</w:t>
      </w:r>
      <w:r>
        <w:t xml:space="preserve">. Solo el </w:t>
      </w:r>
      <w:proofErr w:type="spellStart"/>
      <w:r w:rsidRPr="0025050D">
        <w:rPr>
          <w:i/>
          <w:iCs/>
        </w:rPr>
        <w:t>Mahāva</w:t>
      </w:r>
      <w:r w:rsidR="0025050D" w:rsidRPr="0025050D">
        <w:rPr>
          <w:i/>
          <w:iCs/>
        </w:rPr>
        <w:t>ṃ</w:t>
      </w:r>
      <w:r w:rsidRPr="0025050D">
        <w:rPr>
          <w:i/>
          <w:iCs/>
        </w:rPr>
        <w:t>sa</w:t>
      </w:r>
      <w:proofErr w:type="spellEnd"/>
      <w:r>
        <w:t xml:space="preserve"> [</w:t>
      </w:r>
      <w:r w:rsidR="00120C9A">
        <w:t>XXXVII</w:t>
      </w:r>
      <w:r>
        <w:t>.215</w:t>
      </w:r>
      <w:r w:rsidR="002422CE">
        <w:t>s</w:t>
      </w:r>
      <w:r>
        <w:t xml:space="preserve">. citado a continuación] sugiere que la secta </w:t>
      </w:r>
      <w:r w:rsidRPr="00433B4A">
        <w:rPr>
          <w:i/>
          <w:iCs/>
        </w:rPr>
        <w:t>Theravāda</w:t>
      </w:r>
      <w:r>
        <w:t xml:space="preserve"> allí no solo </w:t>
      </w:r>
      <w:r w:rsidR="00433B4A">
        <w:t xml:space="preserve">se </w:t>
      </w:r>
      <w:r>
        <w:t>hab</w:t>
      </w:r>
      <w:r w:rsidR="00AC1CD0">
        <w:t>r</w:t>
      </w:r>
      <w:r>
        <w:t xml:space="preserve">ía dejado </w:t>
      </w:r>
      <w:r w:rsidR="00433B4A">
        <w:t>a un</w:t>
      </w:r>
      <w:r>
        <w:t xml:space="preserve"> lado, sino que quizás perdió todo su antiguo material no</w:t>
      </w:r>
      <w:r w:rsidR="00AA3B44">
        <w:t>-</w:t>
      </w:r>
      <w:proofErr w:type="spellStart"/>
      <w:r w:rsidR="003311A7" w:rsidRPr="003311A7">
        <w:rPr>
          <w:i/>
          <w:iCs/>
        </w:rPr>
        <w:t>Piṭaka</w:t>
      </w:r>
      <w:proofErr w:type="spellEnd"/>
      <w:r w:rsidR="003311A7">
        <w:t xml:space="preserve"> </w:t>
      </w:r>
      <w:r>
        <w:t>que data</w:t>
      </w:r>
      <w:r w:rsidR="00433B4A">
        <w:t>ba</w:t>
      </w:r>
      <w:r>
        <w:t xml:space="preserve"> </w:t>
      </w:r>
      <w:proofErr w:type="gramStart"/>
      <w:r>
        <w:t>de</w:t>
      </w:r>
      <w:r w:rsidR="002422CE">
        <w:t>sde</w:t>
      </w:r>
      <w:proofErr w:type="gramEnd"/>
      <w:r w:rsidR="00433B4A">
        <w:t xml:space="preserve"> la época de</w:t>
      </w:r>
      <w:r>
        <w:t xml:space="preserve"> Asoka</w:t>
      </w:r>
      <w:r w:rsidRPr="00D57D89">
        <w:rPr>
          <w:vertAlign w:val="superscript"/>
        </w:rPr>
        <w:t>2</w:t>
      </w:r>
      <w:r>
        <w:t xml:space="preserve">. Uno </w:t>
      </w:r>
      <w:r w:rsidR="002422CE">
        <w:t xml:space="preserve">podrá </w:t>
      </w:r>
      <w:r>
        <w:t xml:space="preserve">adivinar que el patrón de </w:t>
      </w:r>
      <w:r w:rsidR="00433B4A">
        <w:t>ocurrencias</w:t>
      </w:r>
      <w:r>
        <w:t xml:space="preserve"> en Sri Lanka solo se hizo eco de</w:t>
      </w:r>
      <w:r w:rsidR="00433B4A">
        <w:t>bido a</w:t>
      </w:r>
      <w:r>
        <w:t xml:space="preserve"> un proceso que hab</w:t>
      </w:r>
      <w:r w:rsidR="0041306A">
        <w:t>r</w:t>
      </w:r>
      <w:r>
        <w:t xml:space="preserve">ía ido mucho más lejos </w:t>
      </w:r>
      <w:r w:rsidR="0047187B">
        <w:t xml:space="preserve">que </w:t>
      </w:r>
      <w:r>
        <w:t xml:space="preserve">en la India. </w:t>
      </w:r>
      <w:r w:rsidR="00DD3D41">
        <w:t xml:space="preserve">No obstante, </w:t>
      </w:r>
      <w:r>
        <w:t xml:space="preserve">en la isla de Sri Lanka </w:t>
      </w:r>
      <w:r w:rsidR="0041306A">
        <w:t>la congregación</w:t>
      </w:r>
      <w:r>
        <w:t xml:space="preserve"> </w:t>
      </w:r>
    </w:p>
    <w:p w14:paraId="17B25307" w14:textId="77777777" w:rsidR="00D94708" w:rsidRDefault="00D94708" w:rsidP="00D94708">
      <w:pPr>
        <w:pStyle w:val="Piedepgina"/>
        <w:rPr>
          <w:sz w:val="16"/>
          <w:u w:val="single"/>
        </w:rPr>
      </w:pPr>
      <w:r>
        <w:rPr>
          <w:u w:val="single"/>
        </w:rPr>
        <w:t xml:space="preserve">                                                                                       .</w:t>
      </w:r>
    </w:p>
    <w:p w14:paraId="136D58F4" w14:textId="32529645" w:rsidR="00234A34" w:rsidRDefault="00D57D89" w:rsidP="00D57D89">
      <w:pPr>
        <w:pStyle w:val="PiedepginaLegal"/>
      </w:pPr>
      <w:r w:rsidRPr="00D57D89">
        <w:t xml:space="preserve">2. </w:t>
      </w:r>
      <w:r>
        <w:tab/>
      </w:r>
      <w:r w:rsidRPr="00D57D89">
        <w:t xml:space="preserve">Véase también </w:t>
      </w:r>
      <w:r w:rsidR="004F4CE2" w:rsidRPr="00120C9A">
        <w:rPr>
          <w:i/>
          <w:iCs/>
        </w:rPr>
        <w:t>Un Registro</w:t>
      </w:r>
      <w:r w:rsidR="004F4CE2">
        <w:rPr>
          <w:i/>
          <w:iCs/>
        </w:rPr>
        <w:t xml:space="preserve"> d</w:t>
      </w:r>
      <w:r w:rsidR="004F4CE2" w:rsidRPr="00120C9A">
        <w:rPr>
          <w:i/>
          <w:iCs/>
        </w:rPr>
        <w:t xml:space="preserve">e </w:t>
      </w:r>
      <w:r w:rsidR="004F4CE2">
        <w:rPr>
          <w:i/>
          <w:iCs/>
        </w:rPr>
        <w:t>l</w:t>
      </w:r>
      <w:r w:rsidR="004F4CE2" w:rsidRPr="00120C9A">
        <w:rPr>
          <w:i/>
          <w:iCs/>
        </w:rPr>
        <w:t>a Religión Budista</w:t>
      </w:r>
      <w:r w:rsidR="004F4CE2" w:rsidRPr="004F4CE2">
        <w:t xml:space="preserve"> </w:t>
      </w:r>
      <w:r w:rsidR="00DD3D41" w:rsidRPr="004F4CE2">
        <w:t>[</w:t>
      </w:r>
      <w:r w:rsidR="00C27261" w:rsidRPr="00C27261">
        <w:rPr>
          <w:i/>
          <w:iCs/>
        </w:rPr>
        <w:t xml:space="preserve">A </w:t>
      </w:r>
      <w:proofErr w:type="spellStart"/>
      <w:r w:rsidR="00C27261" w:rsidRPr="00C27261">
        <w:rPr>
          <w:i/>
          <w:iCs/>
        </w:rPr>
        <w:t>Record</w:t>
      </w:r>
      <w:proofErr w:type="spellEnd"/>
      <w:r w:rsidR="00C27261" w:rsidRPr="00C27261">
        <w:rPr>
          <w:i/>
          <w:iCs/>
        </w:rPr>
        <w:t xml:space="preserve"> of </w:t>
      </w:r>
      <w:proofErr w:type="spellStart"/>
      <w:r w:rsidR="00C27261" w:rsidRPr="00C27261">
        <w:rPr>
          <w:i/>
          <w:iCs/>
        </w:rPr>
        <w:t>Buddhist</w:t>
      </w:r>
      <w:proofErr w:type="spellEnd"/>
      <w:r w:rsidR="00C27261" w:rsidRPr="00C27261">
        <w:rPr>
          <w:i/>
          <w:iCs/>
        </w:rPr>
        <w:t xml:space="preserve"> </w:t>
      </w:r>
      <w:proofErr w:type="spellStart"/>
      <w:r w:rsidR="00C27261" w:rsidRPr="00C27261">
        <w:rPr>
          <w:i/>
          <w:iCs/>
        </w:rPr>
        <w:t>Religion</w:t>
      </w:r>
      <w:proofErr w:type="spellEnd"/>
      <w:r w:rsidR="004F4CE2">
        <w:t>]</w:t>
      </w:r>
      <w:r w:rsidRPr="00D57D89">
        <w:t xml:space="preserve"> de I-Tsing, Traducción de J. </w:t>
      </w:r>
      <w:proofErr w:type="spellStart"/>
      <w:r w:rsidRPr="00D57D89">
        <w:t>Takakusu</w:t>
      </w:r>
      <w:proofErr w:type="spellEnd"/>
      <w:r w:rsidRPr="00D57D89">
        <w:t xml:space="preserve">, </w:t>
      </w:r>
      <w:proofErr w:type="spellStart"/>
      <w:r w:rsidRPr="00D57D89">
        <w:t>Claren</w:t>
      </w:r>
      <w:proofErr w:type="spellEnd"/>
      <w:r w:rsidRPr="00D57D89">
        <w:t xml:space="preserve"> do </w:t>
      </w:r>
      <w:proofErr w:type="spellStart"/>
      <w:r w:rsidRPr="00D57D89">
        <w:t>Press</w:t>
      </w:r>
      <w:proofErr w:type="spellEnd"/>
      <w:r w:rsidRPr="00D57D89">
        <w:t xml:space="preserve">, 1896, p. XXIII, donde una distribución geográfica de varias escuelas </w:t>
      </w:r>
      <w:r w:rsidR="00997ABB">
        <w:t>designa como ubicación de</w:t>
      </w:r>
      <w:r w:rsidRPr="00D57D89">
        <w:t xml:space="preserve"> </w:t>
      </w:r>
      <w:proofErr w:type="spellStart"/>
      <w:r w:rsidRPr="00997ABB">
        <w:t>Mūlasarv</w:t>
      </w:r>
      <w:r w:rsidR="00392E16" w:rsidRPr="00997ABB">
        <w:t>ā</w:t>
      </w:r>
      <w:r w:rsidRPr="00997ABB">
        <w:t>stiv</w:t>
      </w:r>
      <w:r w:rsidR="00392E16" w:rsidRPr="00997ABB">
        <w:t>ā</w:t>
      </w:r>
      <w:r w:rsidRPr="00997ABB">
        <w:t>da</w:t>
      </w:r>
      <w:proofErr w:type="spellEnd"/>
      <w:r w:rsidRPr="00D57D89">
        <w:t xml:space="preserve"> principalmente </w:t>
      </w:r>
      <w:r w:rsidR="00392E16">
        <w:t>hacia</w:t>
      </w:r>
      <w:r w:rsidRPr="00D57D89">
        <w:t xml:space="preserve"> el norte y</w:t>
      </w:r>
      <w:r w:rsidR="00ED14FA">
        <w:t>,</w:t>
      </w:r>
      <w:r w:rsidRPr="00D57D89">
        <w:t xml:space="preserve"> </w:t>
      </w:r>
      <w:r w:rsidR="00A31244">
        <w:t xml:space="preserve">a </w:t>
      </w:r>
      <w:proofErr w:type="spellStart"/>
      <w:r w:rsidRPr="00D57D89">
        <w:t>Ariyasthavira</w:t>
      </w:r>
      <w:proofErr w:type="spellEnd"/>
      <w:r w:rsidRPr="00D57D89">
        <w:t xml:space="preserve">, principalmente </w:t>
      </w:r>
      <w:r w:rsidR="00A31244">
        <w:t>hacia</w:t>
      </w:r>
      <w:r w:rsidRPr="00D57D89">
        <w:t xml:space="preserve"> el sur de la India. I-Tsing, que no visitó </w:t>
      </w:r>
      <w:r w:rsidR="00ED14FA">
        <w:t xml:space="preserve">nunca </w:t>
      </w:r>
      <w:r w:rsidRPr="00D57D89">
        <w:t xml:space="preserve">Sri Lanka, </w:t>
      </w:r>
      <w:r w:rsidR="00ED14FA">
        <w:t xml:space="preserve">se encontró </w:t>
      </w:r>
      <w:r w:rsidRPr="00D57D89">
        <w:t xml:space="preserve">en India a fines del siglo VII; </w:t>
      </w:r>
      <w:r w:rsidR="002B1F1C">
        <w:t xml:space="preserve">no obstante, </w:t>
      </w:r>
      <w:r w:rsidRPr="00D57D89">
        <w:t xml:space="preserve">no menciona si el </w:t>
      </w:r>
      <w:proofErr w:type="spellStart"/>
      <w:r w:rsidRPr="00ED14FA">
        <w:rPr>
          <w:i/>
          <w:iCs/>
        </w:rPr>
        <w:t>Ariyasthavira</w:t>
      </w:r>
      <w:proofErr w:type="spellEnd"/>
      <w:r w:rsidRPr="00D57D89">
        <w:t xml:space="preserve"> </w:t>
      </w:r>
      <w:r w:rsidRPr="00ED14FA">
        <w:rPr>
          <w:i/>
          <w:iCs/>
        </w:rPr>
        <w:t>Nikāya</w:t>
      </w:r>
      <w:r w:rsidRPr="00D57D89">
        <w:t xml:space="preserve"> </w:t>
      </w:r>
      <w:r w:rsidR="00ED14FA" w:rsidRPr="00D57D89">
        <w:t>(</w:t>
      </w:r>
      <w:r w:rsidR="00ED14FA" w:rsidRPr="00ED14FA">
        <w:rPr>
          <w:i/>
          <w:iCs/>
        </w:rPr>
        <w:t>Theravāda</w:t>
      </w:r>
      <w:r w:rsidR="00ED14FA" w:rsidRPr="00D57D89">
        <w:t xml:space="preserve">) </w:t>
      </w:r>
      <w:r w:rsidR="002B1F1C">
        <w:t>de</w:t>
      </w:r>
      <w:r w:rsidRPr="00D57D89">
        <w:t xml:space="preserve"> la India realizó sus estudios </w:t>
      </w:r>
      <w:r w:rsidR="00C74C2A" w:rsidRPr="00D57D89">
        <w:t>de</w:t>
      </w:r>
      <w:r w:rsidR="00C74C2A">
        <w:t>l</w:t>
      </w:r>
      <w:r w:rsidR="00C74C2A" w:rsidRPr="00D57D89">
        <w:t xml:space="preserve"> </w:t>
      </w:r>
      <w:r w:rsidR="00C74C2A" w:rsidRPr="00DD497A">
        <w:rPr>
          <w:i/>
          <w:iCs/>
        </w:rPr>
        <w:t>Tipiṭaka</w:t>
      </w:r>
      <w:r w:rsidR="00C74C2A" w:rsidRPr="00D57D89">
        <w:t xml:space="preserve"> </w:t>
      </w:r>
      <w:r w:rsidRPr="00D57D89">
        <w:t xml:space="preserve">en </w:t>
      </w:r>
      <w:r w:rsidR="00AD6B1D" w:rsidRPr="00AD6B1D">
        <w:rPr>
          <w:i/>
        </w:rPr>
        <w:t>Pāḷi</w:t>
      </w:r>
      <w:r w:rsidR="00C74C2A">
        <w:rPr>
          <w:i/>
        </w:rPr>
        <w:t>,</w:t>
      </w:r>
      <w:r w:rsidRPr="00D57D89">
        <w:t xml:space="preserve"> en sánscrito o en </w:t>
      </w:r>
      <w:r w:rsidR="00C74C2A">
        <w:t>alg</w:t>
      </w:r>
      <w:r w:rsidRPr="00D57D89">
        <w:t>una lengua vernácula local.</w:t>
      </w:r>
    </w:p>
    <w:p w14:paraId="72800517" w14:textId="77777777" w:rsidR="00234A34" w:rsidRDefault="00234A34">
      <w:r>
        <w:br w:type="page"/>
      </w:r>
    </w:p>
    <w:p w14:paraId="1DCE3956" w14:textId="306E8222" w:rsidR="00330828" w:rsidRDefault="00513274" w:rsidP="00330828">
      <w:r>
        <w:lastRenderedPageBreak/>
        <w:t>antigua</w:t>
      </w:r>
      <w:r w:rsidRPr="00B70C95">
        <w:t xml:space="preserve"> </w:t>
      </w:r>
      <w:r w:rsidR="00330828">
        <w:t>de</w:t>
      </w:r>
      <w:r>
        <w:t>l</w:t>
      </w:r>
      <w:r w:rsidR="00330828">
        <w:t xml:space="preserve"> aprendizaje, gran parte de él, antes de </w:t>
      </w:r>
      <w:proofErr w:type="spellStart"/>
      <w:r w:rsidR="00900047">
        <w:t>Asokan</w:t>
      </w:r>
      <w:proofErr w:type="spellEnd"/>
      <w:r w:rsidR="00330828">
        <w:t>, hab</w:t>
      </w:r>
      <w:r w:rsidR="0041306A">
        <w:t>r</w:t>
      </w:r>
      <w:r w:rsidR="00330828">
        <w:t xml:space="preserve">ía estado </w:t>
      </w:r>
      <w:r w:rsidR="002435D0">
        <w:t>descuidándose</w:t>
      </w:r>
      <w:r w:rsidR="00330828">
        <w:t xml:space="preserve">, ya que </w:t>
      </w:r>
      <w:r w:rsidR="00BE581E">
        <w:t xml:space="preserve">ello </w:t>
      </w:r>
      <w:r w:rsidR="00330828">
        <w:t>est</w:t>
      </w:r>
      <w:r w:rsidR="00BE581E">
        <w:t>uvo</w:t>
      </w:r>
      <w:r w:rsidR="00330828">
        <w:t xml:space="preserve"> madurando en sus dos siglos y medio de negligencia, </w:t>
      </w:r>
      <w:r w:rsidR="00BE581E">
        <w:t>para entonces</w:t>
      </w:r>
      <w:r w:rsidR="00330828">
        <w:t xml:space="preserve"> </w:t>
      </w:r>
      <w:r w:rsidR="00DD3D41">
        <w:t>re</w:t>
      </w:r>
      <w:r w:rsidR="00330828">
        <w:t>adquiri</w:t>
      </w:r>
      <w:r w:rsidR="00BE581E">
        <w:t>r</w:t>
      </w:r>
      <w:r w:rsidR="00330828">
        <w:t xml:space="preserve"> un valor potencial nuevo y grande</w:t>
      </w:r>
      <w:r w:rsidR="00A045E3">
        <w:t>,</w:t>
      </w:r>
      <w:r w:rsidR="00330828">
        <w:t xml:space="preserve"> debido a la pureza de su pedigrí en contraste con </w:t>
      </w:r>
      <w:r w:rsidR="0061681F">
        <w:t>la confusión</w:t>
      </w:r>
      <w:r w:rsidR="00330828">
        <w:t xml:space="preserve"> de</w:t>
      </w:r>
      <w:r w:rsidR="00A045E3">
        <w:t xml:space="preserve"> un</w:t>
      </w:r>
      <w:r w:rsidR="00330828">
        <w:t xml:space="preserve"> nuevo pensamiento original. Los centros de aprendizaje </w:t>
      </w:r>
      <w:r w:rsidR="00330828" w:rsidRPr="0061681F">
        <w:rPr>
          <w:i/>
          <w:iCs/>
        </w:rPr>
        <w:t>Theravāda</w:t>
      </w:r>
      <w:r w:rsidR="00330828">
        <w:t xml:space="preserve"> en el continente también </w:t>
      </w:r>
      <w:r w:rsidR="00BF27B3">
        <w:t xml:space="preserve">estuvieron </w:t>
      </w:r>
      <w:r w:rsidR="00330828">
        <w:t xml:space="preserve">muy interesados ​​y ansiosos por </w:t>
      </w:r>
      <w:r w:rsidR="00E2104D">
        <w:t>una contribución</w:t>
      </w:r>
      <w:r w:rsidR="00330828">
        <w:t xml:space="preserve"> en </w:t>
      </w:r>
      <w:r w:rsidR="00E2104D">
        <w:t xml:space="preserve">su </w:t>
      </w:r>
      <w:r w:rsidR="00330828">
        <w:t>repristinización.</w:t>
      </w:r>
      <w:r w:rsidR="00330828" w:rsidRPr="00C27261">
        <w:rPr>
          <w:vertAlign w:val="superscript"/>
        </w:rPr>
        <w:t>3</w:t>
      </w:r>
      <w:r w:rsidR="00330828">
        <w:t xml:space="preserve"> Sin tal cooperación </w:t>
      </w:r>
      <w:r w:rsidR="00E2104D">
        <w:t>hubiese habido</w:t>
      </w:r>
      <w:r w:rsidR="00330828">
        <w:t xml:space="preserve"> pocas esperanzas de éxito.</w:t>
      </w:r>
    </w:p>
    <w:p w14:paraId="0B7A6905" w14:textId="187CDE25" w:rsidR="00330828" w:rsidRDefault="00330828" w:rsidP="00330828">
      <w:pPr>
        <w:pStyle w:val="NormalConSangria"/>
      </w:pPr>
      <w:r>
        <w:t xml:space="preserve">No se sabe cuál fue la primera composición original </w:t>
      </w:r>
      <w:r w:rsidR="00540471">
        <w:rPr>
          <w:i/>
          <w:iCs/>
        </w:rPr>
        <w:t>Pāḷi</w:t>
      </w:r>
      <w:r>
        <w:t xml:space="preserve"> en este período; Pero el </w:t>
      </w:r>
      <w:proofErr w:type="spellStart"/>
      <w:r w:rsidR="0025050D" w:rsidRPr="0025050D">
        <w:rPr>
          <w:i/>
          <w:iCs/>
        </w:rPr>
        <w:t>Dīpavaṃsa</w:t>
      </w:r>
      <w:proofErr w:type="spellEnd"/>
      <w:r w:rsidR="0025050D">
        <w:t xml:space="preserve"> </w:t>
      </w:r>
      <w:r>
        <w:t xml:space="preserve">(que </w:t>
      </w:r>
      <w:r w:rsidR="004C30CF">
        <w:t xml:space="preserve">se </w:t>
      </w:r>
      <w:r>
        <w:t xml:space="preserve">trata con evidencia histórica) pertenece </w:t>
      </w:r>
      <w:r w:rsidR="004C30CF">
        <w:t>a este periodo</w:t>
      </w:r>
      <w:r>
        <w:t xml:space="preserve"> (porque termina con el reinado de </w:t>
      </w:r>
      <w:proofErr w:type="spellStart"/>
      <w:r w:rsidR="0025050D">
        <w:t>Mahā</w:t>
      </w:r>
      <w:r>
        <w:t>sena</w:t>
      </w:r>
      <w:proofErr w:type="spellEnd"/>
      <w:r>
        <w:t xml:space="preserve"> y se cita en el </w:t>
      </w:r>
      <w:proofErr w:type="spellStart"/>
      <w:r w:rsidR="00C27261" w:rsidRPr="00C27261">
        <w:rPr>
          <w:i/>
          <w:iCs/>
        </w:rPr>
        <w:t>Samantapāsādikā</w:t>
      </w:r>
      <w:proofErr w:type="spellEnd"/>
      <w:r>
        <w:t xml:space="preserve">), y posiblemente el </w:t>
      </w:r>
      <w:proofErr w:type="spellStart"/>
      <w:r w:rsidR="00B40FBD" w:rsidRPr="00B40FBD">
        <w:rPr>
          <w:i/>
          <w:iCs/>
        </w:rPr>
        <w:t>Vimuttimagga</w:t>
      </w:r>
      <w:proofErr w:type="spellEnd"/>
      <w:r w:rsidR="00B40FBD">
        <w:t xml:space="preserve"> </w:t>
      </w:r>
      <w:r>
        <w:t xml:space="preserve">(que trata </w:t>
      </w:r>
      <w:r w:rsidR="004825A0">
        <w:t>sobre</w:t>
      </w:r>
      <w:r>
        <w:t xml:space="preserve"> la práctica, ver a continuación) fue otro intento temprano del </w:t>
      </w:r>
      <w:r w:rsidR="00745F02">
        <w:t xml:space="preserve">Gran Monasterio </w:t>
      </w:r>
      <w:r>
        <w:t>en este período (</w:t>
      </w:r>
      <w:r w:rsidR="00745F02">
        <w:t xml:space="preserve">Siglo </w:t>
      </w:r>
      <w:r w:rsidRPr="001651AC">
        <w:t>4</w:t>
      </w:r>
      <w:r>
        <w:t xml:space="preserve">to.) </w:t>
      </w:r>
      <w:r w:rsidR="00745F02">
        <w:t>p</w:t>
      </w:r>
      <w:r>
        <w:t xml:space="preserve">ara reafirmar su supremacía a través de </w:t>
      </w:r>
      <w:r w:rsidR="00970BB6">
        <w:t>una</w:t>
      </w:r>
      <w:r>
        <w:t xml:space="preserve"> composición literaria </w:t>
      </w:r>
      <w:r w:rsidR="00745F02">
        <w:rPr>
          <w:i/>
          <w:iCs/>
        </w:rPr>
        <w:t>Pāḷi</w:t>
      </w:r>
      <w:r>
        <w:t xml:space="preserve"> original: </w:t>
      </w:r>
      <w:r w:rsidR="00970BB6">
        <w:t xml:space="preserve">posteriormente </w:t>
      </w:r>
      <w:r>
        <w:t xml:space="preserve">también </w:t>
      </w:r>
      <w:r w:rsidR="00970BB6">
        <w:t xml:space="preserve">se </w:t>
      </w:r>
      <w:r>
        <w:t>habr</w:t>
      </w:r>
      <w:r w:rsidR="000F2BF5">
        <w:t>ían</w:t>
      </w:r>
      <w:r w:rsidR="00970BB6">
        <w:t xml:space="preserve"> dado</w:t>
      </w:r>
      <w:r>
        <w:t xml:space="preserve"> otros</w:t>
      </w:r>
      <w:r w:rsidR="005429F4">
        <w:t xml:space="preserve"> intentos</w:t>
      </w:r>
      <w:r>
        <w:t>.</w:t>
      </w:r>
      <w:r w:rsidRPr="00EE114E">
        <w:rPr>
          <w:vertAlign w:val="superscript"/>
        </w:rPr>
        <w:t>4</w:t>
      </w:r>
      <w:r>
        <w:t xml:space="preserve"> Por supuesto, gran parte de esto es muy conjetural. </w:t>
      </w:r>
      <w:r w:rsidR="00B7227B">
        <w:t>Aun</w:t>
      </w:r>
      <w:r>
        <w:t xml:space="preserve"> así, es lo suficientemente claro que por </w:t>
      </w:r>
      <w:r w:rsidR="000F2BF5">
        <w:t xml:space="preserve">el año </w:t>
      </w:r>
      <w:r>
        <w:t xml:space="preserve">400 </w:t>
      </w:r>
      <w:r w:rsidR="000F2BF5">
        <w:t xml:space="preserve">de la </w:t>
      </w:r>
      <w:r>
        <w:t>E</w:t>
      </w:r>
      <w:r w:rsidR="000F2BF5">
        <w:t>. C.</w:t>
      </w:r>
      <w:r>
        <w:t xml:space="preserve"> un movimiento hab</w:t>
      </w:r>
      <w:r w:rsidR="00816E77">
        <w:t>r</w:t>
      </w:r>
      <w:r>
        <w:t xml:space="preserve">ía comenzado, no confinado a Sri Lanka, y que </w:t>
      </w:r>
      <w:r w:rsidR="00816E77">
        <w:t>la ocasión hab</w:t>
      </w:r>
      <w:r w:rsidR="005429F4">
        <w:t>r</w:t>
      </w:r>
      <w:r w:rsidR="00816E77">
        <w:t>ía llegado</w:t>
      </w:r>
      <w:r>
        <w:t xml:space="preserve"> para el trabajo crucial, para una recensión </w:t>
      </w:r>
      <w:r w:rsidR="008328E0">
        <w:rPr>
          <w:i/>
          <w:iCs/>
        </w:rPr>
        <w:t>Pāḷi</w:t>
      </w:r>
      <w:r w:rsidR="008328E0">
        <w:t xml:space="preserve"> </w:t>
      </w:r>
      <w:r>
        <w:t>de los comentarios cingaleses con su tradición única. Solo faltaba la personalidad correcta, capaz de manejarla de manera competente. Esa personalidad apareció en el primer cuarto del siglo V.</w:t>
      </w:r>
    </w:p>
    <w:p w14:paraId="721B90F2" w14:textId="77777777" w:rsidR="00330828" w:rsidRDefault="00330828" w:rsidP="00330828">
      <w:pPr>
        <w:pStyle w:val="Ttulo3"/>
        <w:ind w:left="708"/>
      </w:pPr>
      <w:r>
        <w:t xml:space="preserve">El </w:t>
      </w:r>
      <w:r w:rsidRPr="00C27261">
        <w:rPr>
          <w:i/>
          <w:iCs/>
        </w:rPr>
        <w:t>Visuddhimagga</w:t>
      </w:r>
      <w:r>
        <w:t xml:space="preserve"> y su autor</w:t>
      </w:r>
    </w:p>
    <w:p w14:paraId="26949398" w14:textId="27491E64" w:rsidR="00330828" w:rsidRDefault="00330828" w:rsidP="00330828">
      <w:r>
        <w:t>Fuentes de información sobre es</w:t>
      </w:r>
      <w:r w:rsidR="000C61B9">
        <w:t>t</w:t>
      </w:r>
      <w:r>
        <w:t xml:space="preserve">a persona se dividen en tres grupos. En primer lugar, </w:t>
      </w:r>
      <w:r w:rsidR="000C61B9">
        <w:t>se cuenta con</w:t>
      </w:r>
      <w:r>
        <w:t xml:space="preserve"> los </w:t>
      </w:r>
      <w:r w:rsidR="00DC32BC">
        <w:t>segmentos</w:t>
      </w:r>
      <w:r>
        <w:t xml:space="preserve"> contenidos en los prólogos y epílogos de las obras atribuidas a él. Luego está el relato </w:t>
      </w:r>
      <w:r w:rsidR="00DC32BC">
        <w:t>ofrecido</w:t>
      </w:r>
      <w:r>
        <w:t xml:space="preserve"> en la segunda parte de la </w:t>
      </w:r>
      <w:r w:rsidR="00DC32BC" w:rsidRPr="00DC32BC">
        <w:rPr>
          <w:i/>
          <w:iCs/>
        </w:rPr>
        <w:t xml:space="preserve">Crónica </w:t>
      </w:r>
      <w:r w:rsidRPr="00DC32BC">
        <w:rPr>
          <w:i/>
          <w:iCs/>
        </w:rPr>
        <w:t>de Sri Lanka</w:t>
      </w:r>
      <w:r>
        <w:t xml:space="preserve">, el </w:t>
      </w:r>
      <w:proofErr w:type="spellStart"/>
      <w:r w:rsidRPr="00C27261">
        <w:rPr>
          <w:i/>
          <w:iCs/>
        </w:rPr>
        <w:t>Mahāvaṃsa</w:t>
      </w:r>
      <w:proofErr w:type="spellEnd"/>
      <w:r>
        <w:t xml:space="preserve"> (o </w:t>
      </w:r>
      <w:proofErr w:type="spellStart"/>
      <w:r w:rsidRPr="00C27261">
        <w:rPr>
          <w:i/>
          <w:iCs/>
        </w:rPr>
        <w:t>Cūḷavaṃsa</w:t>
      </w:r>
      <w:proofErr w:type="spellEnd"/>
      <w:r>
        <w:t xml:space="preserve"> como parte de ella</w:t>
      </w:r>
      <w:r w:rsidR="00D17D17">
        <w:t>,</w:t>
      </w:r>
      <w:r>
        <w:t xml:space="preserve"> </w:t>
      </w:r>
      <w:r w:rsidR="00E85910">
        <w:t>tal como a</w:t>
      </w:r>
      <w:r>
        <w:t xml:space="preserve"> menudo se </w:t>
      </w:r>
      <w:r w:rsidR="00E85910">
        <w:t xml:space="preserve">le </w:t>
      </w:r>
      <w:r>
        <w:t xml:space="preserve">llama), escrita aproximadamente el siglo XIII, que describe los </w:t>
      </w:r>
      <w:r w:rsidR="00E85910">
        <w:t>eventos</w:t>
      </w:r>
      <w:r>
        <w:t xml:space="preserve"> </w:t>
      </w:r>
      <w:r w:rsidR="00E85910">
        <w:t xml:space="preserve">reportados </w:t>
      </w:r>
      <w:r>
        <w:t xml:space="preserve">por él en el siglo V y, </w:t>
      </w:r>
      <w:r w:rsidR="0030710F">
        <w:t>p</w:t>
      </w:r>
      <w:r>
        <w:t xml:space="preserve">or último, el aún más </w:t>
      </w:r>
      <w:r w:rsidR="00E85910">
        <w:t xml:space="preserve">reciente </w:t>
      </w:r>
      <w:proofErr w:type="spellStart"/>
      <w:r w:rsidR="00057BF4" w:rsidRPr="00057BF4">
        <w:rPr>
          <w:i/>
          <w:iCs/>
        </w:rPr>
        <w:t>Buddha</w:t>
      </w:r>
      <w:r w:rsidRPr="00C27261">
        <w:rPr>
          <w:i/>
          <w:iCs/>
        </w:rPr>
        <w:t>ghosuppatti</w:t>
      </w:r>
      <w:proofErr w:type="spellEnd"/>
      <w:r>
        <w:t xml:space="preserve"> (</w:t>
      </w:r>
      <w:r w:rsidR="00E85910">
        <w:rPr>
          <w:lang w:val="es-MX"/>
        </w:rPr>
        <w:t>¿</w:t>
      </w:r>
      <w:r w:rsidR="00B40FBD">
        <w:t>S</w:t>
      </w:r>
      <w:r w:rsidR="00E85910">
        <w:t>iglo</w:t>
      </w:r>
      <w:r w:rsidR="00B40FBD">
        <w:t xml:space="preserve"> </w:t>
      </w:r>
      <w:r>
        <w:t xml:space="preserve">15?) </w:t>
      </w:r>
      <w:r w:rsidR="00CD7C0B">
        <w:t xml:space="preserve">y </w:t>
      </w:r>
      <w:r>
        <w:t>otras obras posteriores.</w:t>
      </w:r>
    </w:p>
    <w:p w14:paraId="2CEEF57A" w14:textId="6AF37DFD" w:rsidR="00330828" w:rsidRDefault="00330828" w:rsidP="00330828">
      <w:pPr>
        <w:pStyle w:val="NormalConSangria"/>
      </w:pPr>
      <w:r>
        <w:t>Parec</w:t>
      </w:r>
      <w:r w:rsidR="00CD642C">
        <w:t>iera</w:t>
      </w:r>
      <w:r>
        <w:t xml:space="preserve"> </w:t>
      </w:r>
      <w:r w:rsidR="00CD642C">
        <w:t xml:space="preserve">hasta </w:t>
      </w:r>
      <w:r>
        <w:t xml:space="preserve">incierto cómo evaluar los </w:t>
      </w:r>
      <w:r w:rsidR="00BD4FB4">
        <w:t xml:space="preserve">antiguos </w:t>
      </w:r>
      <w:r>
        <w:t xml:space="preserve">registros </w:t>
      </w:r>
      <w:proofErr w:type="spellStart"/>
      <w:r>
        <w:t>Talaing</w:t>
      </w:r>
      <w:proofErr w:type="spellEnd"/>
      <w:r>
        <w:t xml:space="preserve"> </w:t>
      </w:r>
      <w:r w:rsidR="00BD4FB4">
        <w:t xml:space="preserve">en </w:t>
      </w:r>
      <w:r>
        <w:t xml:space="preserve">Birmania, que pueden no referirse a la misma persona (ver más abajo). La propia India no nos </w:t>
      </w:r>
      <w:r w:rsidR="00BD4FB4">
        <w:t>indica</w:t>
      </w:r>
      <w:r>
        <w:t xml:space="preserve"> nada </w:t>
      </w:r>
      <w:r w:rsidR="000369BA">
        <w:t xml:space="preserve">al respecto </w:t>
      </w:r>
      <w:r>
        <w:t xml:space="preserve">en </w:t>
      </w:r>
      <w:r w:rsidR="000369BA">
        <w:t xml:space="preserve">lo </w:t>
      </w:r>
      <w:r>
        <w:t>absoluto.</w:t>
      </w:r>
    </w:p>
    <w:p w14:paraId="20AB4904" w14:textId="249A888E" w:rsidR="00D23B26" w:rsidRDefault="00330828" w:rsidP="00330828">
      <w:pPr>
        <w:pStyle w:val="NormalConSangria"/>
      </w:pPr>
      <w:r>
        <w:t>Parec</w:t>
      </w:r>
      <w:r w:rsidR="00CD642C">
        <w:t>iera</w:t>
      </w:r>
      <w:r>
        <w:t xml:space="preserve"> que val</w:t>
      </w:r>
      <w:r w:rsidR="00CD642C">
        <w:t>iese</w:t>
      </w:r>
      <w:r>
        <w:t xml:space="preserve"> la pena, por lo tanto, dar una representación aquí del pasaje principal de los prólogos y epílogos de las obras atribuidas </w:t>
      </w:r>
      <w:r w:rsidR="00CD642C">
        <w:t>a</w:t>
      </w:r>
      <w:r>
        <w:t xml:space="preserve"> su nombre; porque son pocos y cortos, y tienen un valor auténtico </w:t>
      </w:r>
      <w:r w:rsidR="006A5942">
        <w:t xml:space="preserve">y </w:t>
      </w:r>
      <w:r>
        <w:t xml:space="preserve">especial como evidencia. La </w:t>
      </w:r>
      <w:r w:rsidR="00CD642C">
        <w:t>narración</w:t>
      </w:r>
      <w:r>
        <w:t xml:space="preserve"> de</w:t>
      </w:r>
      <w:r w:rsidR="00CD642C">
        <w:t>l</w:t>
      </w:r>
      <w:r>
        <w:t xml:space="preserve"> </w:t>
      </w:r>
      <w:proofErr w:type="spellStart"/>
      <w:r w:rsidRPr="005850B5">
        <w:rPr>
          <w:i/>
          <w:iCs/>
        </w:rPr>
        <w:t>Mahāvaṃsa</w:t>
      </w:r>
      <w:proofErr w:type="spellEnd"/>
      <w:r>
        <w:t xml:space="preserve"> también se reproducirá en su totalidad, ya que se considera que ha sido compuesta </w:t>
      </w:r>
      <w:r w:rsidR="00681EF8">
        <w:t>con</w:t>
      </w:r>
      <w:r>
        <w:t xml:space="preserve"> evidencia</w:t>
      </w:r>
      <w:r w:rsidR="00681EF8">
        <w:t>s</w:t>
      </w:r>
      <w:r>
        <w:t xml:space="preserve"> y registros ante su </w:t>
      </w:r>
      <w:r w:rsidR="0027699F">
        <w:t xml:space="preserve">propio </w:t>
      </w:r>
      <w:r>
        <w:t xml:space="preserve">autor y </w:t>
      </w:r>
      <w:r w:rsidR="003D55C8">
        <w:t>por</w:t>
      </w:r>
      <w:r>
        <w:t xml:space="preserve">que </w:t>
      </w:r>
      <w:r w:rsidR="00642C41">
        <w:t>pose</w:t>
      </w:r>
      <w:r w:rsidR="002F21A4">
        <w:t>e</w:t>
      </w:r>
      <w:r>
        <w:t xml:space="preserve"> el anillo de la verdad detrás de las leyendas que </w:t>
      </w:r>
      <w:r w:rsidR="002F21A4">
        <w:t>éste alberga</w:t>
      </w:r>
      <w:r>
        <w:t xml:space="preserve">. </w:t>
      </w:r>
      <w:r w:rsidR="002F21A4">
        <w:t>No obstante,</w:t>
      </w:r>
      <w:r>
        <w:t xml:space="preserve"> los trabajos posteriores (que los académicos europeos consideran legendarios en lugar de históricos</w:t>
      </w:r>
      <w:r w:rsidR="003D55C8">
        <w:t>,</w:t>
      </w:r>
      <w:r>
        <w:t xml:space="preserve"> </w:t>
      </w:r>
      <w:r w:rsidR="0027699F">
        <w:t>a</w:t>
      </w:r>
      <w:r>
        <w:t xml:space="preserve"> lo</w:t>
      </w:r>
      <w:r w:rsidR="006A1957">
        <w:t>s</w:t>
      </w:r>
      <w:r>
        <w:t xml:space="preserve"> </w:t>
      </w:r>
      <w:r w:rsidR="00523430">
        <w:t>cuales</w:t>
      </w:r>
      <w:r>
        <w:t xml:space="preserve"> agregan </w:t>
      </w:r>
      <w:r w:rsidR="0027699F">
        <w:t>narraciones</w:t>
      </w:r>
      <w:r>
        <w:t xml:space="preserve"> ya mencionadas) solo </w:t>
      </w:r>
      <w:r w:rsidR="003D55C8">
        <w:t xml:space="preserve">podrán </w:t>
      </w:r>
      <w:r>
        <w:t xml:space="preserve">tratarse </w:t>
      </w:r>
      <w:r w:rsidR="0027699F">
        <w:t xml:space="preserve">aquí </w:t>
      </w:r>
      <w:r>
        <w:t>muy sumariamente.</w:t>
      </w:r>
    </w:p>
    <w:p w14:paraId="5239E9FC" w14:textId="77777777" w:rsidR="00D23B26" w:rsidRPr="009C3D21" w:rsidRDefault="00D23B26" w:rsidP="00D23B26">
      <w:pPr>
        <w:pStyle w:val="Piedepgina"/>
        <w:rPr>
          <w:sz w:val="16"/>
          <w:u w:val="single"/>
        </w:rPr>
      </w:pPr>
      <w:r w:rsidRPr="00D94469">
        <w:rPr>
          <w:u w:val="single"/>
        </w:rPr>
        <w:t xml:space="preserve">                                                                                       </w:t>
      </w:r>
      <w:r w:rsidRPr="009C3D21">
        <w:rPr>
          <w:u w:val="single"/>
        </w:rPr>
        <w:t>.</w:t>
      </w:r>
    </w:p>
    <w:p w14:paraId="303798F6" w14:textId="4583D854" w:rsidR="00D3343A" w:rsidRPr="00D3343A" w:rsidRDefault="00D3343A" w:rsidP="00D3343A">
      <w:pPr>
        <w:pStyle w:val="PiedepginaLegal"/>
      </w:pPr>
      <w:r w:rsidRPr="00D3343A">
        <w:t xml:space="preserve">3. </w:t>
      </w:r>
      <w:r>
        <w:tab/>
      </w:r>
      <w:r w:rsidRPr="00D3343A">
        <w:t>En los epílogos y prólogos de varias obras entre los siglos V y XII</w:t>
      </w:r>
      <w:r w:rsidR="00142CA4">
        <w:t>,</w:t>
      </w:r>
      <w:r w:rsidRPr="00D3343A">
        <w:t xml:space="preserve"> se menciona, por ejemplo, </w:t>
      </w:r>
      <w:proofErr w:type="spellStart"/>
      <w:r w:rsidRPr="00D3343A">
        <w:t>Badaratittha</w:t>
      </w:r>
      <w:proofErr w:type="spellEnd"/>
      <w:r w:rsidRPr="00D3343A">
        <w:t xml:space="preserve"> (</w:t>
      </w:r>
      <w:proofErr w:type="spellStart"/>
      <w:r w:rsidRPr="00D3343A">
        <w:t>Vism</w:t>
      </w:r>
      <w:proofErr w:type="spellEnd"/>
      <w:r w:rsidRPr="00D3343A">
        <w:t xml:space="preserve">-a </w:t>
      </w:r>
      <w:proofErr w:type="spellStart"/>
      <w:r w:rsidRPr="00D3343A">
        <w:t>prol</w:t>
      </w:r>
      <w:proofErr w:type="spellEnd"/>
      <w:r w:rsidRPr="00D3343A">
        <w:t xml:space="preserve">.: cerca de Chennai), </w:t>
      </w:r>
      <w:proofErr w:type="spellStart"/>
      <w:r w:rsidRPr="00D3343A">
        <w:t>Kañcipura</w:t>
      </w:r>
      <w:proofErr w:type="spellEnd"/>
      <w:r w:rsidRPr="00D3343A">
        <w:t xml:space="preserve"> (A-a </w:t>
      </w:r>
      <w:proofErr w:type="spellStart"/>
      <w:r w:rsidRPr="00D3343A">
        <w:t>epil</w:t>
      </w:r>
      <w:proofErr w:type="spellEnd"/>
      <w:r w:rsidRPr="00D3343A">
        <w:t xml:space="preserve">.: = </w:t>
      </w:r>
      <w:proofErr w:type="spellStart"/>
      <w:r w:rsidRPr="00D3343A">
        <w:t>Conjevaram</w:t>
      </w:r>
      <w:proofErr w:type="spellEnd"/>
      <w:r w:rsidRPr="00D3343A">
        <w:t xml:space="preserve"> cerca de Chennai), y otros lugares donde vivieron y trabajaron diferentes maestros que aceptaban la tradición del Gran Monasterio. Véase también </w:t>
      </w:r>
      <w:proofErr w:type="spellStart"/>
      <w:r w:rsidRPr="00C95DF4">
        <w:rPr>
          <w:i/>
          <w:iCs/>
        </w:rPr>
        <w:t>Malalasekera</w:t>
      </w:r>
      <w:proofErr w:type="spellEnd"/>
      <w:r w:rsidRPr="00D3343A">
        <w:t xml:space="preserve">, </w:t>
      </w:r>
      <w:r w:rsidR="005850B5">
        <w:rPr>
          <w:i/>
          <w:iCs/>
        </w:rPr>
        <w:t>Pāḷi</w:t>
      </w:r>
      <w:r w:rsidRPr="005850B5">
        <w:rPr>
          <w:i/>
          <w:iCs/>
        </w:rPr>
        <w:t xml:space="preserve"> </w:t>
      </w:r>
      <w:proofErr w:type="spellStart"/>
      <w:r w:rsidRPr="005850B5">
        <w:rPr>
          <w:i/>
          <w:iCs/>
        </w:rPr>
        <w:t>Literature</w:t>
      </w:r>
      <w:proofErr w:type="spellEnd"/>
      <w:r w:rsidRPr="005850B5">
        <w:rPr>
          <w:i/>
          <w:iCs/>
        </w:rPr>
        <w:t xml:space="preserve"> of </w:t>
      </w:r>
      <w:proofErr w:type="spellStart"/>
      <w:r w:rsidRPr="005850B5">
        <w:rPr>
          <w:i/>
          <w:iCs/>
        </w:rPr>
        <w:t>Ceylon</w:t>
      </w:r>
      <w:proofErr w:type="spellEnd"/>
      <w:r w:rsidRPr="00D3343A">
        <w:t>, pág. 13; EZ, IV, 69-71; Revista de Investigación Oriental, Madrás, vol. XIX, págs. 278 y ss.</w:t>
      </w:r>
    </w:p>
    <w:p w14:paraId="082DBCDC" w14:textId="694532D0" w:rsidR="00515963" w:rsidRPr="009C3D21" w:rsidRDefault="00D3343A" w:rsidP="00D3343A">
      <w:pPr>
        <w:pStyle w:val="PiedepginaLegal"/>
      </w:pPr>
      <w:r w:rsidRPr="00D3343A">
        <w:t xml:space="preserve">4. </w:t>
      </w:r>
      <w:r>
        <w:tab/>
      </w:r>
      <w:r w:rsidRPr="00D3343A">
        <w:t>Posiblemente</w:t>
      </w:r>
      <w:r w:rsidR="000D0487">
        <w:t>,</w:t>
      </w:r>
      <w:r w:rsidRPr="00D3343A">
        <w:t xml:space="preserve"> los resúmenes de</w:t>
      </w:r>
      <w:r w:rsidR="00EC3057">
        <w:t>l</w:t>
      </w:r>
      <w:r w:rsidRPr="00D3343A">
        <w:t xml:space="preserve"> </w:t>
      </w:r>
      <w:proofErr w:type="spellStart"/>
      <w:r w:rsidRPr="00D3343A">
        <w:rPr>
          <w:i/>
          <w:iCs/>
        </w:rPr>
        <w:t>Vinaya</w:t>
      </w:r>
      <w:proofErr w:type="spellEnd"/>
      <w:r w:rsidRPr="00D3343A">
        <w:t xml:space="preserve">, </w:t>
      </w:r>
      <w:proofErr w:type="spellStart"/>
      <w:r w:rsidRPr="00D3343A">
        <w:rPr>
          <w:i/>
          <w:iCs/>
        </w:rPr>
        <w:t>Mūlasikkhā</w:t>
      </w:r>
      <w:proofErr w:type="spellEnd"/>
      <w:r w:rsidRPr="00D3343A">
        <w:t xml:space="preserve"> y </w:t>
      </w:r>
      <w:proofErr w:type="spellStart"/>
      <w:r w:rsidRPr="00D3343A">
        <w:rPr>
          <w:i/>
          <w:iCs/>
        </w:rPr>
        <w:t>Khuddasikkhā</w:t>
      </w:r>
      <w:proofErr w:type="spellEnd"/>
      <w:r w:rsidRPr="00D3343A">
        <w:t xml:space="preserve"> (aunque Geiger los </w:t>
      </w:r>
      <w:r w:rsidR="00C95DF4">
        <w:t>trace</w:t>
      </w:r>
      <w:r w:rsidRPr="00D3343A">
        <w:t xml:space="preserve"> mucho más tarde), así como algunas obras de </w:t>
      </w:r>
      <w:proofErr w:type="spellStart"/>
      <w:r w:rsidR="00057BF4" w:rsidRPr="00EC3057">
        <w:rPr>
          <w:iCs/>
        </w:rPr>
        <w:t>Buddha</w:t>
      </w:r>
      <w:r w:rsidRPr="00EC3057">
        <w:rPr>
          <w:iCs/>
        </w:rPr>
        <w:t>datta</w:t>
      </w:r>
      <w:proofErr w:type="spellEnd"/>
      <w:r w:rsidRPr="00D3343A">
        <w:t xml:space="preserve"> </w:t>
      </w:r>
      <w:proofErr w:type="spellStart"/>
      <w:r w:rsidRPr="00D3343A">
        <w:t>Thera</w:t>
      </w:r>
      <w:proofErr w:type="spellEnd"/>
      <w:r w:rsidRPr="00D3343A">
        <w:t xml:space="preserve">. No se ha explicado satisfactoriamente por qué el </w:t>
      </w:r>
      <w:proofErr w:type="spellStart"/>
      <w:r w:rsidRPr="00D3343A">
        <w:rPr>
          <w:i/>
          <w:iCs/>
        </w:rPr>
        <w:t>Mahāvaṃsa</w:t>
      </w:r>
      <w:proofErr w:type="spellEnd"/>
      <w:r w:rsidRPr="00D3343A">
        <w:t>, compuesto a finales del siglo IV o principios del V, termina abruptamente a la mitad del capítulo 37</w:t>
      </w:r>
      <w:r w:rsidR="000D0487">
        <w:t>,</w:t>
      </w:r>
      <w:r w:rsidRPr="00D3343A">
        <w:t xml:space="preserve"> con el reinado de </w:t>
      </w:r>
      <w:proofErr w:type="spellStart"/>
      <w:r w:rsidRPr="00D3343A">
        <w:t>Mahāsena</w:t>
      </w:r>
      <w:proofErr w:type="spellEnd"/>
      <w:r w:rsidRPr="00D3343A">
        <w:t xml:space="preserve"> (la Crónica se reanudó ocho siglos después).</w:t>
      </w:r>
    </w:p>
    <w:p w14:paraId="5367AEEB" w14:textId="77777777" w:rsidR="00515963" w:rsidRPr="009C3D21" w:rsidRDefault="00515963">
      <w:r w:rsidRPr="009C3D21">
        <w:br w:type="page"/>
      </w:r>
    </w:p>
    <w:p w14:paraId="03A6D10A" w14:textId="77777777" w:rsidR="006853A7" w:rsidRPr="006403BE" w:rsidRDefault="006853A7" w:rsidP="00515963"/>
    <w:p w14:paraId="33D14E37" w14:textId="163E2F22" w:rsidR="00F24C25" w:rsidRPr="004626EC" w:rsidRDefault="004626EC" w:rsidP="00515963">
      <w:r w:rsidRPr="004626EC">
        <w:t xml:space="preserve">Los libros realmente atribuidos a </w:t>
      </w:r>
      <w:proofErr w:type="spellStart"/>
      <w:r w:rsidRPr="004626EC">
        <w:t>Bhadantācariya</w:t>
      </w:r>
      <w:proofErr w:type="spellEnd"/>
      <w:r w:rsidRPr="004626EC">
        <w:t xml:space="preserve"> </w:t>
      </w:r>
      <w:r w:rsidR="00057BF4" w:rsidRPr="00EC3057">
        <w:rPr>
          <w:iCs/>
        </w:rPr>
        <w:t>Buddha</w:t>
      </w:r>
      <w:r w:rsidRPr="00EC3057">
        <w:rPr>
          <w:iCs/>
        </w:rPr>
        <w:t>ghosa</w:t>
      </w:r>
      <w:r w:rsidRPr="004626EC">
        <w:t xml:space="preserve"> tienen cada uno una “posdata” idéntica en forma a la del final del Capítulo XXIII del presente trabajo, mencionando </w:t>
      </w:r>
      <w:r w:rsidR="0019781F">
        <w:t>a</w:t>
      </w:r>
      <w:r w:rsidRPr="004626EC">
        <w:t xml:space="preserve">l título y </w:t>
      </w:r>
      <w:r w:rsidR="0019781F">
        <w:t>a</w:t>
      </w:r>
      <w:r w:rsidRPr="004626EC">
        <w:t xml:space="preserve">l autor por su nombre. Se puede considerar que esto fue agregado, presumiblemente al mismo tiempo, por el Gran Monasterio (el </w:t>
      </w:r>
      <w:proofErr w:type="spellStart"/>
      <w:r w:rsidRPr="004626EC">
        <w:rPr>
          <w:i/>
          <w:iCs/>
        </w:rPr>
        <w:t>Mahāvaṃsa</w:t>
      </w:r>
      <w:proofErr w:type="spellEnd"/>
      <w:r w:rsidRPr="004626EC">
        <w:t>)</w:t>
      </w:r>
      <w:r w:rsidR="001B563A">
        <w:t>,</w:t>
      </w:r>
      <w:r w:rsidRPr="004626EC">
        <w:t xml:space="preserve"> en </w:t>
      </w:r>
      <w:proofErr w:type="spellStart"/>
      <w:r w:rsidRPr="004626EC">
        <w:t>Anurādhapura</w:t>
      </w:r>
      <w:proofErr w:type="spellEnd"/>
      <w:r w:rsidR="001B563A">
        <w:t>,</w:t>
      </w:r>
      <w:r w:rsidRPr="004626EC">
        <w:t xml:space="preserve"> en Sri Lanka</w:t>
      </w:r>
      <w:r w:rsidR="001B563A">
        <w:t>,</w:t>
      </w:r>
      <w:r w:rsidRPr="004626EC">
        <w:t xml:space="preserve"> como su sello oficial de aprobación. Aquí hay una lista de las obras (también enumeradas en el moderno </w:t>
      </w:r>
      <w:proofErr w:type="spellStart"/>
      <w:r w:rsidRPr="001B563A">
        <w:rPr>
          <w:i/>
          <w:iCs/>
        </w:rPr>
        <w:t>Gandhavaṃsa</w:t>
      </w:r>
      <w:proofErr w:type="spellEnd"/>
      <w:r w:rsidRPr="004626EC">
        <w:t xml:space="preserve"> y </w:t>
      </w:r>
      <w:proofErr w:type="spellStart"/>
      <w:r w:rsidRPr="001B563A">
        <w:rPr>
          <w:i/>
          <w:iCs/>
        </w:rPr>
        <w:t>Sāsanavaṃsa</w:t>
      </w:r>
      <w:proofErr w:type="spellEnd"/>
      <w:r w:rsidRPr="004626EC">
        <w:t xml:space="preserve"> con una o dos discrepancias)</w:t>
      </w:r>
      <w:r w:rsidR="00A36768" w:rsidRPr="004626EC">
        <w:rPr>
          <w:vertAlign w:val="superscript"/>
        </w:rPr>
        <w:t>5</w:t>
      </w:r>
    </w:p>
    <w:p w14:paraId="5F393CFC" w14:textId="77777777" w:rsidR="00F24C25" w:rsidRPr="00D94469" w:rsidRDefault="00F24C25" w:rsidP="00350947">
      <w:pPr>
        <w:spacing w:after="60"/>
        <w:ind w:left="6" w:right="6" w:hanging="6"/>
        <w:rPr>
          <w:b/>
          <w:i/>
        </w:rPr>
      </w:pPr>
      <w:r w:rsidRPr="00D94469">
        <w:rPr>
          <w:b/>
          <w:i/>
        </w:rPr>
        <w:t xml:space="preserve">Comentarios al </w:t>
      </w:r>
      <w:proofErr w:type="spellStart"/>
      <w:r w:rsidRPr="00D94469">
        <w:rPr>
          <w:b/>
          <w:i/>
        </w:rPr>
        <w:t>Vinaya</w:t>
      </w:r>
      <w:proofErr w:type="spellEnd"/>
      <w:r w:rsidRPr="00D94469">
        <w:rPr>
          <w:b/>
          <w:i/>
        </w:rPr>
        <w:t xml:space="preserve"> </w:t>
      </w:r>
      <w:proofErr w:type="spellStart"/>
      <w:r w:rsidRPr="00D94469">
        <w:rPr>
          <w:b/>
          <w:i/>
        </w:rPr>
        <w:t>Piṭaka</w:t>
      </w:r>
      <w:proofErr w:type="spellEnd"/>
    </w:p>
    <w:p w14:paraId="31E58483" w14:textId="5AEA8C2D" w:rsidR="00F24C25" w:rsidRPr="000F2F3E" w:rsidRDefault="000F2F3E" w:rsidP="000F2F3E">
      <w:pPr>
        <w:spacing w:after="0"/>
        <w:ind w:left="360"/>
        <w:rPr>
          <w:rFonts w:eastAsiaTheme="minorEastAsia"/>
          <w:b/>
          <w:lang w:eastAsia="es-MX"/>
        </w:rPr>
      </w:pPr>
      <w:r w:rsidRPr="000F2F3E">
        <w:rPr>
          <w:rFonts w:eastAsiaTheme="minorEastAsia"/>
          <w:b/>
          <w:lang w:eastAsia="es-MX"/>
        </w:rPr>
        <w:t xml:space="preserve">Título </w:t>
      </w:r>
      <w:r w:rsidRPr="000F2F3E">
        <w:rPr>
          <w:rFonts w:eastAsiaTheme="minorEastAsia"/>
          <w:b/>
          <w:lang w:eastAsia="es-MX"/>
        </w:rPr>
        <w:tab/>
      </w:r>
      <w:r w:rsidR="00126256">
        <w:rPr>
          <w:rFonts w:eastAsiaTheme="minorEastAsia"/>
          <w:b/>
          <w:lang w:eastAsia="es-MX"/>
        </w:rPr>
        <w:tab/>
      </w:r>
      <w:r w:rsidR="00F24C25" w:rsidRPr="000F2F3E">
        <w:rPr>
          <w:rFonts w:eastAsiaTheme="minorEastAsia"/>
          <w:b/>
          <w:lang w:eastAsia="es-MX"/>
        </w:rPr>
        <w:t xml:space="preserve">Comentario </w:t>
      </w:r>
      <w:r>
        <w:rPr>
          <w:rFonts w:eastAsiaTheme="minorEastAsia"/>
          <w:b/>
          <w:lang w:eastAsia="es-MX"/>
        </w:rPr>
        <w:t>del</w:t>
      </w:r>
    </w:p>
    <w:p w14:paraId="4D195DD2" w14:textId="6D535FCB" w:rsidR="00F24C25" w:rsidRPr="00126256" w:rsidRDefault="00F24C25" w:rsidP="007E641B">
      <w:pPr>
        <w:spacing w:after="0"/>
        <w:ind w:left="360"/>
        <w:rPr>
          <w:rFonts w:eastAsiaTheme="minorEastAsia"/>
          <w:i/>
          <w:sz w:val="16"/>
          <w:szCs w:val="16"/>
          <w:lang w:eastAsia="es-MX"/>
        </w:rPr>
      </w:pPr>
      <w:proofErr w:type="spellStart"/>
      <w:r w:rsidRPr="00126256">
        <w:rPr>
          <w:rFonts w:eastAsiaTheme="minorEastAsia"/>
          <w:i/>
          <w:sz w:val="16"/>
          <w:szCs w:val="16"/>
          <w:lang w:eastAsia="es-MX"/>
        </w:rPr>
        <w:t>Samantapāsādikā</w:t>
      </w:r>
      <w:proofErr w:type="spellEnd"/>
      <w:r w:rsidRPr="00126256">
        <w:rPr>
          <w:rFonts w:eastAsiaTheme="minorEastAsia"/>
          <w:i/>
          <w:sz w:val="16"/>
          <w:szCs w:val="16"/>
          <w:lang w:eastAsia="es-MX"/>
        </w:rPr>
        <w:t xml:space="preserve"> </w:t>
      </w:r>
      <w:r w:rsidR="00126256" w:rsidRPr="00126256">
        <w:rPr>
          <w:rFonts w:eastAsiaTheme="minorEastAsia"/>
          <w:i/>
          <w:sz w:val="16"/>
          <w:szCs w:val="16"/>
          <w:lang w:eastAsia="es-MX"/>
        </w:rPr>
        <w:tab/>
      </w:r>
      <w:r w:rsidR="00126256" w:rsidRPr="00126256">
        <w:rPr>
          <w:rFonts w:eastAsiaTheme="minorEastAsia"/>
          <w:i/>
          <w:sz w:val="16"/>
          <w:szCs w:val="16"/>
          <w:lang w:eastAsia="es-MX"/>
        </w:rPr>
        <w:tab/>
      </w:r>
      <w:proofErr w:type="spellStart"/>
      <w:r w:rsidR="00126256" w:rsidRPr="00126256">
        <w:rPr>
          <w:rFonts w:eastAsiaTheme="minorEastAsia"/>
          <w:i/>
          <w:sz w:val="16"/>
          <w:szCs w:val="16"/>
          <w:lang w:eastAsia="es-MX"/>
        </w:rPr>
        <w:t>Vinaya</w:t>
      </w:r>
      <w:proofErr w:type="spellEnd"/>
    </w:p>
    <w:p w14:paraId="61311F06" w14:textId="47AE63D8" w:rsidR="00F24C25" w:rsidRPr="00126256" w:rsidRDefault="00F24C25" w:rsidP="007E641B">
      <w:pPr>
        <w:spacing w:after="0"/>
        <w:ind w:left="360"/>
        <w:rPr>
          <w:rFonts w:eastAsiaTheme="minorEastAsia"/>
          <w:i/>
          <w:sz w:val="16"/>
          <w:szCs w:val="16"/>
          <w:lang w:eastAsia="es-MX"/>
        </w:rPr>
      </w:pPr>
      <w:proofErr w:type="spellStart"/>
      <w:r w:rsidRPr="00126256">
        <w:rPr>
          <w:rFonts w:eastAsiaTheme="minorEastAsia"/>
          <w:i/>
          <w:sz w:val="16"/>
          <w:szCs w:val="16"/>
          <w:lang w:eastAsia="es-MX"/>
        </w:rPr>
        <w:t>Kaṅkhāvitaraṇī</w:t>
      </w:r>
      <w:proofErr w:type="spellEnd"/>
      <w:r w:rsidRPr="00126256">
        <w:rPr>
          <w:rFonts w:eastAsiaTheme="minorEastAsia"/>
          <w:i/>
          <w:sz w:val="16"/>
          <w:szCs w:val="16"/>
          <w:lang w:eastAsia="es-MX"/>
        </w:rPr>
        <w:t xml:space="preserve"> </w:t>
      </w:r>
      <w:r w:rsidR="00126256" w:rsidRPr="00126256">
        <w:rPr>
          <w:rFonts w:eastAsiaTheme="minorEastAsia"/>
          <w:i/>
          <w:sz w:val="16"/>
          <w:szCs w:val="16"/>
          <w:lang w:eastAsia="es-MX"/>
        </w:rPr>
        <w:tab/>
      </w:r>
      <w:r w:rsidR="00126256" w:rsidRPr="00126256">
        <w:rPr>
          <w:rFonts w:eastAsiaTheme="minorEastAsia"/>
          <w:i/>
          <w:sz w:val="16"/>
          <w:szCs w:val="16"/>
          <w:lang w:eastAsia="es-MX"/>
        </w:rPr>
        <w:tab/>
      </w:r>
      <w:proofErr w:type="spellStart"/>
      <w:r w:rsidR="00126256" w:rsidRPr="00126256">
        <w:rPr>
          <w:rFonts w:eastAsiaTheme="minorEastAsia"/>
          <w:i/>
          <w:sz w:val="16"/>
          <w:szCs w:val="16"/>
          <w:lang w:eastAsia="es-MX"/>
        </w:rPr>
        <w:t>Pātimokkha</w:t>
      </w:r>
      <w:proofErr w:type="spellEnd"/>
      <w:r w:rsidR="001F1A12">
        <w:rPr>
          <w:rFonts w:eastAsiaTheme="minorEastAsia"/>
          <w:i/>
          <w:sz w:val="16"/>
          <w:szCs w:val="16"/>
          <w:lang w:eastAsia="es-MX"/>
        </w:rPr>
        <w:t xml:space="preserve"> </w:t>
      </w:r>
    </w:p>
    <w:p w14:paraId="34800BF0" w14:textId="77777777" w:rsidR="00F24C25" w:rsidRPr="00D94469" w:rsidRDefault="00F24C25" w:rsidP="00825C64">
      <w:pPr>
        <w:spacing w:after="60"/>
        <w:ind w:left="6" w:right="6" w:hanging="6"/>
        <w:rPr>
          <w:b/>
          <w:i/>
        </w:rPr>
      </w:pPr>
      <w:r w:rsidRPr="00D94469">
        <w:rPr>
          <w:b/>
          <w:i/>
        </w:rPr>
        <w:t xml:space="preserve">Comentarios al Sutta </w:t>
      </w:r>
      <w:proofErr w:type="spellStart"/>
      <w:r w:rsidRPr="00D94469">
        <w:rPr>
          <w:b/>
          <w:i/>
        </w:rPr>
        <w:t>Piṭaka</w:t>
      </w:r>
      <w:proofErr w:type="spellEnd"/>
    </w:p>
    <w:p w14:paraId="0C47B08E" w14:textId="51A281DD" w:rsidR="000F2F3E" w:rsidRPr="000F2F3E" w:rsidRDefault="000F2F3E" w:rsidP="000F2F3E">
      <w:pPr>
        <w:spacing w:after="0"/>
        <w:ind w:left="360"/>
        <w:rPr>
          <w:rFonts w:eastAsiaTheme="minorEastAsia"/>
          <w:b/>
          <w:lang w:eastAsia="es-MX"/>
        </w:rPr>
      </w:pPr>
      <w:r w:rsidRPr="000F2F3E">
        <w:rPr>
          <w:rFonts w:eastAsiaTheme="minorEastAsia"/>
          <w:b/>
          <w:lang w:eastAsia="es-MX"/>
        </w:rPr>
        <w:t xml:space="preserve">Título </w:t>
      </w:r>
      <w:r w:rsidRPr="000F2F3E">
        <w:rPr>
          <w:rFonts w:eastAsiaTheme="minorEastAsia"/>
          <w:b/>
          <w:lang w:eastAsia="es-MX"/>
        </w:rPr>
        <w:tab/>
      </w:r>
      <w:r w:rsidR="00126256">
        <w:rPr>
          <w:rFonts w:eastAsiaTheme="minorEastAsia"/>
          <w:b/>
          <w:lang w:eastAsia="es-MX"/>
        </w:rPr>
        <w:tab/>
      </w:r>
      <w:r w:rsidRPr="000F2F3E">
        <w:rPr>
          <w:rFonts w:eastAsiaTheme="minorEastAsia"/>
          <w:b/>
          <w:lang w:eastAsia="es-MX"/>
        </w:rPr>
        <w:t xml:space="preserve">Comentario </w:t>
      </w:r>
      <w:r>
        <w:rPr>
          <w:rFonts w:eastAsiaTheme="minorEastAsia"/>
          <w:b/>
          <w:lang w:eastAsia="es-MX"/>
        </w:rPr>
        <w:t>del</w:t>
      </w:r>
    </w:p>
    <w:p w14:paraId="2D07D5CA" w14:textId="7A03987F" w:rsidR="00F24C25" w:rsidRPr="00126256" w:rsidRDefault="00F24C25" w:rsidP="00126256">
      <w:pPr>
        <w:spacing w:after="0"/>
        <w:ind w:left="360"/>
        <w:rPr>
          <w:rFonts w:eastAsiaTheme="minorEastAsia"/>
          <w:i/>
          <w:sz w:val="16"/>
          <w:szCs w:val="16"/>
          <w:lang w:eastAsia="es-MX"/>
        </w:rPr>
      </w:pPr>
      <w:proofErr w:type="spellStart"/>
      <w:r w:rsidRPr="00126256">
        <w:rPr>
          <w:rFonts w:eastAsiaTheme="minorEastAsia"/>
          <w:i/>
          <w:sz w:val="16"/>
          <w:szCs w:val="16"/>
          <w:lang w:eastAsia="es-MX"/>
        </w:rPr>
        <w:t>Sumaṅgalavilāsin</w:t>
      </w:r>
      <w:r w:rsidR="00604490" w:rsidRPr="00604490">
        <w:rPr>
          <w:rFonts w:eastAsiaTheme="minorEastAsia"/>
          <w:i/>
          <w:sz w:val="16"/>
          <w:szCs w:val="16"/>
          <w:lang w:eastAsia="es-MX"/>
        </w:rPr>
        <w:t>ṃ</w:t>
      </w:r>
      <w:proofErr w:type="spellEnd"/>
      <w:r w:rsidRPr="00126256">
        <w:rPr>
          <w:rFonts w:eastAsiaTheme="minorEastAsia"/>
          <w:i/>
          <w:sz w:val="16"/>
          <w:szCs w:val="16"/>
          <w:lang w:eastAsia="es-MX"/>
        </w:rPr>
        <w:t xml:space="preserve"> </w:t>
      </w:r>
      <w:r w:rsidR="00126256" w:rsidRPr="00126256">
        <w:rPr>
          <w:rFonts w:eastAsiaTheme="minorEastAsia"/>
          <w:i/>
          <w:sz w:val="16"/>
          <w:szCs w:val="16"/>
          <w:lang w:eastAsia="es-MX"/>
        </w:rPr>
        <w:tab/>
        <w:t>Dīgha Nik</w:t>
      </w:r>
      <w:r w:rsidRPr="00126256">
        <w:rPr>
          <w:rFonts w:eastAsiaTheme="minorEastAsia"/>
          <w:i/>
          <w:sz w:val="16"/>
          <w:szCs w:val="16"/>
          <w:lang w:eastAsia="es-MX"/>
        </w:rPr>
        <w:t>āya</w:t>
      </w:r>
    </w:p>
    <w:p w14:paraId="20A17AD4" w14:textId="6046277F" w:rsidR="00F24C25" w:rsidRPr="00126256" w:rsidRDefault="00F24C25" w:rsidP="00126256">
      <w:pPr>
        <w:spacing w:after="0"/>
        <w:ind w:left="360"/>
        <w:rPr>
          <w:rFonts w:eastAsiaTheme="minorEastAsia"/>
          <w:i/>
          <w:sz w:val="16"/>
          <w:szCs w:val="16"/>
          <w:lang w:eastAsia="es-MX"/>
        </w:rPr>
      </w:pPr>
      <w:proofErr w:type="spellStart"/>
      <w:r w:rsidRPr="00126256">
        <w:rPr>
          <w:rFonts w:eastAsiaTheme="minorEastAsia"/>
          <w:i/>
          <w:sz w:val="16"/>
          <w:szCs w:val="16"/>
          <w:lang w:eastAsia="es-MX"/>
        </w:rPr>
        <w:t>Papañcasūdani</w:t>
      </w:r>
      <w:r w:rsidR="00604490" w:rsidRPr="00604490">
        <w:rPr>
          <w:rFonts w:eastAsiaTheme="minorEastAsia"/>
          <w:i/>
          <w:sz w:val="16"/>
          <w:szCs w:val="16"/>
          <w:lang w:eastAsia="es-MX"/>
        </w:rPr>
        <w:t>ṃ</w:t>
      </w:r>
      <w:proofErr w:type="spellEnd"/>
      <w:r w:rsidRPr="00126256">
        <w:rPr>
          <w:rFonts w:eastAsiaTheme="minorEastAsia"/>
          <w:i/>
          <w:sz w:val="16"/>
          <w:szCs w:val="16"/>
          <w:lang w:eastAsia="es-MX"/>
        </w:rPr>
        <w:t xml:space="preserve"> </w:t>
      </w:r>
      <w:r w:rsidR="00126256" w:rsidRPr="00126256">
        <w:rPr>
          <w:rFonts w:eastAsiaTheme="minorEastAsia"/>
          <w:i/>
          <w:sz w:val="16"/>
          <w:szCs w:val="16"/>
          <w:lang w:eastAsia="es-MX"/>
        </w:rPr>
        <w:tab/>
      </w:r>
      <w:r w:rsidR="00126256" w:rsidRPr="00126256">
        <w:rPr>
          <w:rFonts w:eastAsiaTheme="minorEastAsia"/>
          <w:i/>
          <w:sz w:val="16"/>
          <w:szCs w:val="16"/>
          <w:lang w:eastAsia="es-MX"/>
        </w:rPr>
        <w:tab/>
      </w:r>
      <w:proofErr w:type="spellStart"/>
      <w:r w:rsidR="00126256" w:rsidRPr="00126256">
        <w:rPr>
          <w:rFonts w:eastAsiaTheme="minorEastAsia"/>
          <w:i/>
          <w:sz w:val="16"/>
          <w:szCs w:val="16"/>
          <w:lang w:eastAsia="es-MX"/>
        </w:rPr>
        <w:t>Majjhima</w:t>
      </w:r>
      <w:proofErr w:type="spellEnd"/>
      <w:r w:rsidR="00126256" w:rsidRPr="00126256">
        <w:rPr>
          <w:rFonts w:eastAsiaTheme="minorEastAsia"/>
          <w:i/>
          <w:sz w:val="16"/>
          <w:szCs w:val="16"/>
          <w:lang w:eastAsia="es-MX"/>
        </w:rPr>
        <w:t xml:space="preserve"> Nikāya</w:t>
      </w:r>
    </w:p>
    <w:p w14:paraId="6DF1E5B0" w14:textId="657FE54F" w:rsidR="00F24C25" w:rsidRPr="00126256" w:rsidRDefault="00F24C25" w:rsidP="00126256">
      <w:pPr>
        <w:spacing w:after="0"/>
        <w:ind w:left="360"/>
        <w:rPr>
          <w:rFonts w:eastAsiaTheme="minorEastAsia"/>
          <w:i/>
          <w:sz w:val="16"/>
          <w:szCs w:val="16"/>
          <w:lang w:eastAsia="es-MX"/>
        </w:rPr>
      </w:pPr>
      <w:proofErr w:type="spellStart"/>
      <w:r w:rsidRPr="00126256">
        <w:rPr>
          <w:rFonts w:eastAsiaTheme="minorEastAsia"/>
          <w:i/>
          <w:sz w:val="16"/>
          <w:szCs w:val="16"/>
          <w:lang w:eastAsia="es-MX"/>
        </w:rPr>
        <w:t>Sāratthappakāsin</w:t>
      </w:r>
      <w:r w:rsidR="00604490" w:rsidRPr="00604490">
        <w:rPr>
          <w:rFonts w:eastAsiaTheme="minorEastAsia"/>
          <w:i/>
          <w:sz w:val="16"/>
          <w:szCs w:val="16"/>
          <w:lang w:eastAsia="es-MX"/>
        </w:rPr>
        <w:t>ṃ</w:t>
      </w:r>
      <w:proofErr w:type="spellEnd"/>
      <w:r w:rsidRPr="00126256">
        <w:rPr>
          <w:rFonts w:eastAsiaTheme="minorEastAsia"/>
          <w:i/>
          <w:sz w:val="16"/>
          <w:szCs w:val="16"/>
          <w:lang w:eastAsia="es-MX"/>
        </w:rPr>
        <w:t xml:space="preserve"> </w:t>
      </w:r>
      <w:r w:rsidR="00126256" w:rsidRPr="00126256">
        <w:rPr>
          <w:rFonts w:eastAsiaTheme="minorEastAsia"/>
          <w:i/>
          <w:sz w:val="16"/>
          <w:szCs w:val="16"/>
          <w:lang w:eastAsia="es-MX"/>
        </w:rPr>
        <w:tab/>
      </w:r>
      <w:proofErr w:type="spellStart"/>
      <w:r w:rsidR="00126256" w:rsidRPr="00126256">
        <w:rPr>
          <w:rFonts w:eastAsiaTheme="minorEastAsia"/>
          <w:i/>
          <w:sz w:val="16"/>
          <w:szCs w:val="16"/>
          <w:lang w:eastAsia="es-MX"/>
        </w:rPr>
        <w:t>Saṃyutta</w:t>
      </w:r>
      <w:proofErr w:type="spellEnd"/>
      <w:r w:rsidR="00126256" w:rsidRPr="00126256">
        <w:rPr>
          <w:rFonts w:eastAsiaTheme="minorEastAsia"/>
          <w:i/>
          <w:sz w:val="16"/>
          <w:szCs w:val="16"/>
          <w:lang w:eastAsia="es-MX"/>
        </w:rPr>
        <w:t xml:space="preserve"> Nikā</w:t>
      </w:r>
      <w:r w:rsidRPr="00126256">
        <w:rPr>
          <w:rFonts w:eastAsiaTheme="minorEastAsia"/>
          <w:i/>
          <w:sz w:val="16"/>
          <w:szCs w:val="16"/>
          <w:lang w:eastAsia="es-MX"/>
        </w:rPr>
        <w:t>ya</w:t>
      </w:r>
    </w:p>
    <w:p w14:paraId="7405867F" w14:textId="6F4EA5AF" w:rsidR="00F24C25" w:rsidRPr="00126256" w:rsidRDefault="00F24C25" w:rsidP="00126256">
      <w:pPr>
        <w:spacing w:after="0"/>
        <w:ind w:left="360"/>
        <w:rPr>
          <w:rFonts w:eastAsiaTheme="minorEastAsia"/>
          <w:i/>
          <w:sz w:val="16"/>
          <w:szCs w:val="16"/>
          <w:lang w:eastAsia="es-MX"/>
        </w:rPr>
      </w:pPr>
      <w:proofErr w:type="spellStart"/>
      <w:r w:rsidRPr="00126256">
        <w:rPr>
          <w:rFonts w:eastAsiaTheme="minorEastAsia"/>
          <w:i/>
          <w:sz w:val="16"/>
          <w:szCs w:val="16"/>
          <w:lang w:eastAsia="es-MX"/>
        </w:rPr>
        <w:t>Manorathapurāṇ</w:t>
      </w:r>
      <w:r w:rsidR="00604490" w:rsidRPr="00604490">
        <w:rPr>
          <w:rFonts w:eastAsiaTheme="minorEastAsia"/>
          <w:i/>
          <w:sz w:val="16"/>
          <w:szCs w:val="16"/>
          <w:lang w:eastAsia="es-MX"/>
        </w:rPr>
        <w:t>ṃ</w:t>
      </w:r>
      <w:proofErr w:type="spellEnd"/>
      <w:r w:rsidRPr="00126256">
        <w:rPr>
          <w:rFonts w:eastAsiaTheme="minorEastAsia"/>
          <w:i/>
          <w:sz w:val="16"/>
          <w:szCs w:val="16"/>
          <w:lang w:eastAsia="es-MX"/>
        </w:rPr>
        <w:t xml:space="preserve"> </w:t>
      </w:r>
      <w:r w:rsidR="00126256" w:rsidRPr="00126256">
        <w:rPr>
          <w:rFonts w:eastAsiaTheme="minorEastAsia"/>
          <w:i/>
          <w:sz w:val="16"/>
          <w:szCs w:val="16"/>
          <w:lang w:eastAsia="es-MX"/>
        </w:rPr>
        <w:tab/>
      </w:r>
      <w:proofErr w:type="spellStart"/>
      <w:r w:rsidR="00126256" w:rsidRPr="00126256">
        <w:rPr>
          <w:rFonts w:eastAsiaTheme="minorEastAsia"/>
          <w:i/>
          <w:sz w:val="16"/>
          <w:szCs w:val="16"/>
          <w:lang w:eastAsia="es-MX"/>
        </w:rPr>
        <w:t>Aṅguttara</w:t>
      </w:r>
      <w:proofErr w:type="spellEnd"/>
      <w:r w:rsidR="00126256" w:rsidRPr="00126256">
        <w:rPr>
          <w:rFonts w:eastAsiaTheme="minorEastAsia"/>
          <w:i/>
          <w:sz w:val="16"/>
          <w:szCs w:val="16"/>
          <w:lang w:eastAsia="es-MX"/>
        </w:rPr>
        <w:t xml:space="preserve"> </w:t>
      </w:r>
      <w:r w:rsidRPr="00126256">
        <w:rPr>
          <w:rFonts w:eastAsiaTheme="minorEastAsia"/>
          <w:i/>
          <w:sz w:val="16"/>
          <w:szCs w:val="16"/>
          <w:lang w:eastAsia="es-MX"/>
        </w:rPr>
        <w:t>Nikāya</w:t>
      </w:r>
    </w:p>
    <w:p w14:paraId="1305B631" w14:textId="53E3225C" w:rsidR="00F24C25" w:rsidRPr="00001239" w:rsidRDefault="00F24C25" w:rsidP="00126256">
      <w:pPr>
        <w:spacing w:after="0"/>
        <w:ind w:left="360"/>
        <w:rPr>
          <w:rFonts w:eastAsiaTheme="minorEastAsia"/>
          <w:i/>
          <w:sz w:val="16"/>
          <w:szCs w:val="16"/>
          <w:lang w:eastAsia="es-MX"/>
        </w:rPr>
      </w:pPr>
      <w:proofErr w:type="spellStart"/>
      <w:r w:rsidRPr="00001239">
        <w:rPr>
          <w:rFonts w:eastAsiaTheme="minorEastAsia"/>
          <w:i/>
          <w:sz w:val="16"/>
          <w:szCs w:val="16"/>
          <w:lang w:eastAsia="es-MX"/>
        </w:rPr>
        <w:t>Paramatthajotikā</w:t>
      </w:r>
      <w:proofErr w:type="spellEnd"/>
      <w:r w:rsidRPr="00001239">
        <w:rPr>
          <w:rFonts w:eastAsiaTheme="minorEastAsia"/>
          <w:i/>
          <w:sz w:val="16"/>
          <w:szCs w:val="16"/>
          <w:lang w:eastAsia="es-MX"/>
        </w:rPr>
        <w:t xml:space="preserve"> </w:t>
      </w:r>
      <w:r w:rsidR="00126256" w:rsidRPr="00001239">
        <w:rPr>
          <w:rFonts w:eastAsiaTheme="minorEastAsia"/>
          <w:i/>
          <w:sz w:val="16"/>
          <w:szCs w:val="16"/>
          <w:lang w:eastAsia="es-MX"/>
        </w:rPr>
        <w:tab/>
      </w:r>
      <w:r w:rsidR="00126256" w:rsidRPr="00001239">
        <w:rPr>
          <w:rFonts w:eastAsiaTheme="minorEastAsia"/>
          <w:i/>
          <w:sz w:val="16"/>
          <w:szCs w:val="16"/>
          <w:lang w:eastAsia="es-MX"/>
        </w:rPr>
        <w:tab/>
      </w:r>
      <w:proofErr w:type="spellStart"/>
      <w:r w:rsidR="00126256" w:rsidRPr="00001239">
        <w:rPr>
          <w:rFonts w:eastAsiaTheme="minorEastAsia"/>
          <w:i/>
          <w:sz w:val="16"/>
          <w:szCs w:val="16"/>
          <w:lang w:eastAsia="es-MX"/>
        </w:rPr>
        <w:t>Khuddakap</w:t>
      </w:r>
      <w:r w:rsidR="0018719A">
        <w:rPr>
          <w:rFonts w:eastAsiaTheme="minorEastAsia"/>
          <w:i/>
          <w:sz w:val="16"/>
          <w:szCs w:val="16"/>
          <w:lang w:eastAsia="es-MX"/>
        </w:rPr>
        <w:t>ā</w:t>
      </w:r>
      <w:r w:rsidR="00126256" w:rsidRPr="00001239">
        <w:rPr>
          <w:rFonts w:eastAsiaTheme="minorEastAsia"/>
          <w:i/>
          <w:sz w:val="16"/>
          <w:szCs w:val="16"/>
          <w:lang w:eastAsia="es-MX"/>
        </w:rPr>
        <w:t>ṭha</w:t>
      </w:r>
      <w:proofErr w:type="spellEnd"/>
    </w:p>
    <w:p w14:paraId="5D2B399C" w14:textId="77777777" w:rsidR="00F24C25" w:rsidRPr="00D94469" w:rsidRDefault="00F24C25" w:rsidP="00825C64">
      <w:pPr>
        <w:spacing w:after="60"/>
        <w:ind w:left="6" w:right="6" w:hanging="6"/>
        <w:rPr>
          <w:b/>
          <w:i/>
        </w:rPr>
      </w:pPr>
      <w:r w:rsidRPr="00D94469">
        <w:rPr>
          <w:b/>
          <w:i/>
        </w:rPr>
        <w:t xml:space="preserve">Comentario a </w:t>
      </w:r>
      <w:proofErr w:type="spellStart"/>
      <w:r w:rsidRPr="00D94469">
        <w:rPr>
          <w:b/>
          <w:i/>
        </w:rPr>
        <w:t>Suttanipāta</w:t>
      </w:r>
      <w:proofErr w:type="spellEnd"/>
    </w:p>
    <w:p w14:paraId="1D2B2B9D" w14:textId="6CD4ECBE" w:rsidR="00825C64" w:rsidRPr="000F2F3E" w:rsidRDefault="00825C64" w:rsidP="00825C64">
      <w:pPr>
        <w:spacing w:after="0"/>
        <w:ind w:left="360"/>
        <w:rPr>
          <w:rFonts w:eastAsiaTheme="minorEastAsia"/>
          <w:b/>
          <w:lang w:eastAsia="es-MX"/>
        </w:rPr>
      </w:pPr>
      <w:r w:rsidRPr="000F2F3E">
        <w:rPr>
          <w:rFonts w:eastAsiaTheme="minorEastAsia"/>
          <w:b/>
          <w:lang w:eastAsia="es-MX"/>
        </w:rPr>
        <w:t xml:space="preserve">Título </w:t>
      </w:r>
      <w:r w:rsidRPr="000F2F3E">
        <w:rPr>
          <w:rFonts w:eastAsiaTheme="minorEastAsia"/>
          <w:b/>
          <w:lang w:eastAsia="es-MX"/>
        </w:rPr>
        <w:tab/>
      </w:r>
      <w:r w:rsidR="00126256">
        <w:rPr>
          <w:rFonts w:eastAsiaTheme="minorEastAsia"/>
          <w:b/>
          <w:lang w:eastAsia="es-MX"/>
        </w:rPr>
        <w:tab/>
      </w:r>
      <w:r w:rsidRPr="000F2F3E">
        <w:rPr>
          <w:rFonts w:eastAsiaTheme="minorEastAsia"/>
          <w:b/>
          <w:lang w:eastAsia="es-MX"/>
        </w:rPr>
        <w:t xml:space="preserve">Comentario </w:t>
      </w:r>
      <w:r>
        <w:rPr>
          <w:rFonts w:eastAsiaTheme="minorEastAsia"/>
          <w:b/>
          <w:lang w:eastAsia="es-MX"/>
        </w:rPr>
        <w:t>del</w:t>
      </w:r>
    </w:p>
    <w:p w14:paraId="71208CC8" w14:textId="1C87C724" w:rsidR="00F24C25" w:rsidRPr="00126256" w:rsidRDefault="00057BF4" w:rsidP="00126256">
      <w:pPr>
        <w:spacing w:after="0"/>
        <w:ind w:left="360"/>
        <w:rPr>
          <w:rFonts w:eastAsiaTheme="minorEastAsia"/>
          <w:i/>
          <w:sz w:val="16"/>
          <w:szCs w:val="16"/>
          <w:lang w:eastAsia="es-MX"/>
        </w:rPr>
      </w:pPr>
      <w:proofErr w:type="spellStart"/>
      <w:r w:rsidRPr="00057BF4">
        <w:rPr>
          <w:rFonts w:eastAsiaTheme="minorEastAsia"/>
          <w:i/>
          <w:sz w:val="16"/>
          <w:szCs w:val="16"/>
          <w:lang w:eastAsia="es-MX"/>
        </w:rPr>
        <w:t>Dhamma</w:t>
      </w:r>
      <w:r w:rsidR="00F24C25" w:rsidRPr="00126256">
        <w:rPr>
          <w:rFonts w:eastAsiaTheme="minorEastAsia"/>
          <w:i/>
          <w:sz w:val="16"/>
          <w:szCs w:val="16"/>
          <w:lang w:eastAsia="es-MX"/>
        </w:rPr>
        <w:t>padaṭṭhakathā</w:t>
      </w:r>
      <w:proofErr w:type="spellEnd"/>
      <w:r w:rsidR="00F24C25" w:rsidRPr="00126256">
        <w:rPr>
          <w:rFonts w:eastAsiaTheme="minorEastAsia"/>
          <w:i/>
          <w:sz w:val="16"/>
          <w:szCs w:val="16"/>
          <w:lang w:eastAsia="es-MX"/>
        </w:rPr>
        <w:t xml:space="preserve"> </w:t>
      </w:r>
      <w:r w:rsidR="00126256" w:rsidRPr="00126256">
        <w:rPr>
          <w:rFonts w:eastAsiaTheme="minorEastAsia"/>
          <w:i/>
          <w:sz w:val="16"/>
          <w:szCs w:val="16"/>
          <w:lang w:eastAsia="es-MX"/>
        </w:rPr>
        <w:tab/>
      </w:r>
      <w:proofErr w:type="spellStart"/>
      <w:r w:rsidRPr="00057BF4">
        <w:rPr>
          <w:rFonts w:eastAsiaTheme="minorEastAsia"/>
          <w:i/>
          <w:sz w:val="16"/>
          <w:szCs w:val="16"/>
          <w:lang w:eastAsia="es-MX"/>
        </w:rPr>
        <w:t>Dhamma</w:t>
      </w:r>
      <w:r w:rsidR="00126256" w:rsidRPr="00126256">
        <w:rPr>
          <w:rFonts w:eastAsiaTheme="minorEastAsia"/>
          <w:i/>
          <w:sz w:val="16"/>
          <w:szCs w:val="16"/>
          <w:lang w:eastAsia="es-MX"/>
        </w:rPr>
        <w:t>pada</w:t>
      </w:r>
      <w:proofErr w:type="spellEnd"/>
    </w:p>
    <w:p w14:paraId="08C5CE32" w14:textId="10C84D6A" w:rsidR="00F24C25" w:rsidRPr="00126256" w:rsidRDefault="00F24C25" w:rsidP="00126256">
      <w:pPr>
        <w:spacing w:after="0"/>
        <w:ind w:left="360"/>
        <w:rPr>
          <w:rFonts w:eastAsiaTheme="minorEastAsia"/>
          <w:i/>
          <w:sz w:val="16"/>
          <w:szCs w:val="16"/>
          <w:lang w:eastAsia="es-MX"/>
        </w:rPr>
      </w:pPr>
      <w:proofErr w:type="spellStart"/>
      <w:r w:rsidRPr="00126256">
        <w:rPr>
          <w:rFonts w:eastAsiaTheme="minorEastAsia"/>
          <w:i/>
          <w:sz w:val="16"/>
          <w:szCs w:val="16"/>
          <w:lang w:eastAsia="es-MX"/>
        </w:rPr>
        <w:t>JātakaÞÞkakath</w:t>
      </w:r>
      <w:r w:rsidR="00604490">
        <w:rPr>
          <w:rFonts w:eastAsiaTheme="minorEastAsia"/>
          <w:i/>
          <w:sz w:val="16"/>
          <w:szCs w:val="16"/>
          <w:lang w:eastAsia="es-MX"/>
        </w:rPr>
        <w:t>ā</w:t>
      </w:r>
      <w:proofErr w:type="spellEnd"/>
      <w:r w:rsidR="00604490">
        <w:rPr>
          <w:rFonts w:eastAsiaTheme="minorEastAsia"/>
          <w:i/>
          <w:sz w:val="16"/>
          <w:szCs w:val="16"/>
          <w:lang w:eastAsia="es-MX"/>
        </w:rPr>
        <w:t xml:space="preserve"> </w:t>
      </w:r>
      <w:r w:rsidR="00126256" w:rsidRPr="00126256">
        <w:rPr>
          <w:rFonts w:eastAsiaTheme="minorEastAsia"/>
          <w:i/>
          <w:sz w:val="16"/>
          <w:szCs w:val="16"/>
          <w:lang w:eastAsia="es-MX"/>
        </w:rPr>
        <w:tab/>
      </w:r>
      <w:r w:rsidR="00126256" w:rsidRPr="00126256">
        <w:rPr>
          <w:rFonts w:eastAsiaTheme="minorEastAsia"/>
          <w:i/>
          <w:sz w:val="16"/>
          <w:szCs w:val="16"/>
          <w:lang w:eastAsia="es-MX"/>
        </w:rPr>
        <w:tab/>
      </w:r>
      <w:r w:rsidRPr="00126256">
        <w:rPr>
          <w:rFonts w:eastAsiaTheme="minorEastAsia"/>
          <w:i/>
          <w:sz w:val="16"/>
          <w:szCs w:val="16"/>
          <w:lang w:eastAsia="es-MX"/>
        </w:rPr>
        <w:t xml:space="preserve"> </w:t>
      </w:r>
      <w:proofErr w:type="spellStart"/>
      <w:r w:rsidR="00126256" w:rsidRPr="00126256">
        <w:rPr>
          <w:rFonts w:eastAsiaTheme="minorEastAsia"/>
          <w:i/>
          <w:sz w:val="16"/>
          <w:szCs w:val="16"/>
          <w:lang w:eastAsia="es-MX"/>
        </w:rPr>
        <w:t>Jātaka</w:t>
      </w:r>
      <w:proofErr w:type="spellEnd"/>
    </w:p>
    <w:p w14:paraId="2783F941" w14:textId="3ED3845C" w:rsidR="00F24C25" w:rsidRPr="00D94469" w:rsidRDefault="00F24C25" w:rsidP="00825C64">
      <w:pPr>
        <w:spacing w:after="60"/>
        <w:ind w:left="6" w:right="6" w:hanging="6"/>
        <w:rPr>
          <w:b/>
          <w:i/>
        </w:rPr>
      </w:pPr>
      <w:r w:rsidRPr="00D94469">
        <w:rPr>
          <w:b/>
          <w:i/>
        </w:rPr>
        <w:t xml:space="preserve">Comentarios al </w:t>
      </w:r>
      <w:proofErr w:type="spellStart"/>
      <w:r w:rsidRPr="00D94469">
        <w:rPr>
          <w:b/>
          <w:i/>
        </w:rPr>
        <w:t>abhi</w:t>
      </w:r>
      <w:r w:rsidR="00057BF4" w:rsidRPr="00057BF4">
        <w:rPr>
          <w:b/>
          <w:i/>
        </w:rPr>
        <w:t>Dhamma</w:t>
      </w:r>
      <w:proofErr w:type="spellEnd"/>
      <w:r w:rsidRPr="00D94469">
        <w:rPr>
          <w:b/>
          <w:i/>
        </w:rPr>
        <w:t xml:space="preserve"> </w:t>
      </w:r>
      <w:proofErr w:type="spellStart"/>
      <w:r w:rsidRPr="00D94469">
        <w:rPr>
          <w:b/>
          <w:i/>
        </w:rPr>
        <w:t>piṭaka</w:t>
      </w:r>
      <w:proofErr w:type="spellEnd"/>
    </w:p>
    <w:p w14:paraId="2123098E" w14:textId="2F9A2FB6" w:rsidR="00825C64" w:rsidRPr="000F2F3E" w:rsidRDefault="00825C64" w:rsidP="00825C64">
      <w:pPr>
        <w:spacing w:after="0"/>
        <w:ind w:left="360"/>
        <w:rPr>
          <w:rFonts w:eastAsiaTheme="minorEastAsia"/>
          <w:b/>
          <w:lang w:eastAsia="es-MX"/>
        </w:rPr>
      </w:pPr>
      <w:r w:rsidRPr="000F2F3E">
        <w:rPr>
          <w:rFonts w:eastAsiaTheme="minorEastAsia"/>
          <w:b/>
          <w:lang w:eastAsia="es-MX"/>
        </w:rPr>
        <w:t xml:space="preserve">Título </w:t>
      </w:r>
      <w:r w:rsidRPr="000F2F3E">
        <w:rPr>
          <w:rFonts w:eastAsiaTheme="minorEastAsia"/>
          <w:b/>
          <w:lang w:eastAsia="es-MX"/>
        </w:rPr>
        <w:tab/>
      </w:r>
      <w:r w:rsidR="00126256">
        <w:rPr>
          <w:rFonts w:eastAsiaTheme="minorEastAsia"/>
          <w:b/>
          <w:lang w:eastAsia="es-MX"/>
        </w:rPr>
        <w:tab/>
      </w:r>
      <w:r w:rsidRPr="000F2F3E">
        <w:rPr>
          <w:rFonts w:eastAsiaTheme="minorEastAsia"/>
          <w:b/>
          <w:lang w:eastAsia="es-MX"/>
        </w:rPr>
        <w:t xml:space="preserve">Comentario </w:t>
      </w:r>
      <w:r>
        <w:rPr>
          <w:rFonts w:eastAsiaTheme="minorEastAsia"/>
          <w:b/>
          <w:lang w:eastAsia="es-MX"/>
        </w:rPr>
        <w:t>del</w:t>
      </w:r>
    </w:p>
    <w:p w14:paraId="08AF35A3" w14:textId="6117F007" w:rsidR="00F24C25" w:rsidRPr="001F1A12" w:rsidRDefault="00F24C25" w:rsidP="00126256">
      <w:pPr>
        <w:spacing w:after="0"/>
        <w:ind w:left="360"/>
        <w:rPr>
          <w:rFonts w:eastAsiaTheme="minorEastAsia"/>
          <w:i/>
          <w:sz w:val="16"/>
          <w:szCs w:val="16"/>
          <w:lang w:eastAsia="es-MX"/>
        </w:rPr>
      </w:pPr>
      <w:proofErr w:type="spellStart"/>
      <w:r w:rsidRPr="001F1A12">
        <w:rPr>
          <w:rFonts w:eastAsiaTheme="minorEastAsia"/>
          <w:i/>
          <w:sz w:val="16"/>
          <w:szCs w:val="16"/>
          <w:lang w:eastAsia="es-MX"/>
        </w:rPr>
        <w:t>Atthasālinī</w:t>
      </w:r>
      <w:proofErr w:type="spellEnd"/>
      <w:r w:rsidR="00126256" w:rsidRPr="001F1A12">
        <w:rPr>
          <w:rFonts w:eastAsiaTheme="minorEastAsia"/>
          <w:i/>
          <w:sz w:val="16"/>
          <w:szCs w:val="16"/>
          <w:lang w:eastAsia="es-MX"/>
        </w:rPr>
        <w:tab/>
      </w:r>
      <w:r w:rsidR="00126256" w:rsidRPr="001F1A12">
        <w:rPr>
          <w:rFonts w:eastAsiaTheme="minorEastAsia"/>
          <w:i/>
          <w:sz w:val="16"/>
          <w:szCs w:val="16"/>
          <w:lang w:eastAsia="es-MX"/>
        </w:rPr>
        <w:tab/>
      </w:r>
      <w:proofErr w:type="spellStart"/>
      <w:r w:rsidR="00057BF4" w:rsidRPr="00057BF4">
        <w:rPr>
          <w:rFonts w:eastAsiaTheme="minorEastAsia"/>
          <w:i/>
          <w:sz w:val="16"/>
          <w:szCs w:val="16"/>
          <w:lang w:eastAsia="es-MX"/>
        </w:rPr>
        <w:t>Dhamma</w:t>
      </w:r>
      <w:r w:rsidR="001F1A12" w:rsidRPr="001F1A12">
        <w:rPr>
          <w:rFonts w:eastAsiaTheme="minorEastAsia"/>
          <w:i/>
          <w:sz w:val="16"/>
          <w:szCs w:val="16"/>
          <w:lang w:eastAsia="es-MX"/>
        </w:rPr>
        <w:t>saṅgaṇī</w:t>
      </w:r>
      <w:proofErr w:type="spellEnd"/>
    </w:p>
    <w:p w14:paraId="44A95ADF" w14:textId="4F215028" w:rsidR="00F24C25" w:rsidRPr="001F1A12" w:rsidRDefault="00F24C25" w:rsidP="00126256">
      <w:pPr>
        <w:spacing w:after="0"/>
        <w:ind w:left="360"/>
        <w:rPr>
          <w:rFonts w:eastAsiaTheme="minorEastAsia"/>
          <w:i/>
          <w:sz w:val="16"/>
          <w:szCs w:val="16"/>
          <w:lang w:eastAsia="es-MX"/>
        </w:rPr>
      </w:pPr>
      <w:proofErr w:type="spellStart"/>
      <w:r w:rsidRPr="001F1A12">
        <w:rPr>
          <w:rFonts w:eastAsiaTheme="minorEastAsia"/>
          <w:i/>
          <w:sz w:val="16"/>
          <w:szCs w:val="16"/>
          <w:lang w:eastAsia="es-MX"/>
        </w:rPr>
        <w:t>Sammohavinodanī</w:t>
      </w:r>
      <w:proofErr w:type="spellEnd"/>
      <w:r w:rsidRPr="001F1A12">
        <w:rPr>
          <w:rFonts w:eastAsiaTheme="minorEastAsia"/>
          <w:i/>
          <w:sz w:val="16"/>
          <w:szCs w:val="16"/>
          <w:lang w:eastAsia="es-MX"/>
        </w:rPr>
        <w:t xml:space="preserve"> </w:t>
      </w:r>
      <w:r w:rsidR="00126256" w:rsidRPr="001F1A12">
        <w:rPr>
          <w:rFonts w:eastAsiaTheme="minorEastAsia"/>
          <w:i/>
          <w:sz w:val="16"/>
          <w:szCs w:val="16"/>
          <w:lang w:eastAsia="es-MX"/>
        </w:rPr>
        <w:tab/>
      </w:r>
      <w:proofErr w:type="spellStart"/>
      <w:r w:rsidR="001F1A12" w:rsidRPr="001F1A12">
        <w:rPr>
          <w:rFonts w:eastAsiaTheme="minorEastAsia"/>
          <w:i/>
          <w:sz w:val="16"/>
          <w:szCs w:val="16"/>
          <w:lang w:eastAsia="es-MX"/>
        </w:rPr>
        <w:t>Vibhaṅga</w:t>
      </w:r>
      <w:proofErr w:type="spellEnd"/>
    </w:p>
    <w:p w14:paraId="301000BE" w14:textId="4E29F139" w:rsidR="00F24C25" w:rsidRPr="00D94469" w:rsidRDefault="00F24C25" w:rsidP="00126256">
      <w:pPr>
        <w:spacing w:after="0"/>
        <w:ind w:left="360"/>
        <w:rPr>
          <w:rFonts w:eastAsiaTheme="minorEastAsia"/>
          <w:i/>
          <w:sz w:val="16"/>
          <w:szCs w:val="16"/>
          <w:lang w:eastAsia="es-MX"/>
        </w:rPr>
      </w:pPr>
      <w:proofErr w:type="spellStart"/>
      <w:r w:rsidRPr="00D94469">
        <w:rPr>
          <w:rFonts w:eastAsiaTheme="minorEastAsia"/>
          <w:i/>
          <w:sz w:val="16"/>
          <w:szCs w:val="16"/>
          <w:lang w:eastAsia="es-MX"/>
        </w:rPr>
        <w:t>Pañcappakaraṇaṭṭhakathā</w:t>
      </w:r>
      <w:proofErr w:type="spellEnd"/>
      <w:r w:rsidRPr="00D94469">
        <w:rPr>
          <w:rFonts w:eastAsiaTheme="minorEastAsia"/>
          <w:i/>
          <w:sz w:val="16"/>
          <w:szCs w:val="16"/>
          <w:lang w:eastAsia="es-MX"/>
        </w:rPr>
        <w:t xml:space="preserve"> </w:t>
      </w:r>
      <w:r w:rsidR="001F1A12" w:rsidRPr="00D94469">
        <w:rPr>
          <w:rFonts w:eastAsiaTheme="minorEastAsia"/>
          <w:i/>
          <w:sz w:val="16"/>
          <w:szCs w:val="16"/>
          <w:lang w:eastAsia="es-MX"/>
        </w:rPr>
        <w:tab/>
      </w:r>
      <w:r w:rsidRPr="00D94469">
        <w:rPr>
          <w:rFonts w:eastAsiaTheme="minorEastAsia"/>
          <w:i/>
          <w:sz w:val="16"/>
          <w:szCs w:val="16"/>
          <w:lang w:eastAsia="es-MX"/>
        </w:rPr>
        <w:t>5 libros restantes</w:t>
      </w:r>
    </w:p>
    <w:p w14:paraId="70F949CB" w14:textId="77777777" w:rsidR="00F24C25" w:rsidRPr="00F24C25" w:rsidRDefault="00F24C25" w:rsidP="00F24C25"/>
    <w:p w14:paraId="2690E99B" w14:textId="643F465C" w:rsidR="00F24C25" w:rsidRPr="00F24C25" w:rsidRDefault="00F24C25" w:rsidP="00F24C25">
      <w:r w:rsidRPr="00F24C25">
        <w:t xml:space="preserve">Más allá de la </w:t>
      </w:r>
      <w:r w:rsidR="00E636CA">
        <w:t xml:space="preserve">simple </w:t>
      </w:r>
      <w:r w:rsidRPr="00F24C25">
        <w:t xml:space="preserve">pista de que </w:t>
      </w:r>
      <w:r w:rsidR="005C7ABE">
        <w:t xml:space="preserve">él </w:t>
      </w:r>
      <w:r w:rsidRPr="00F24C25">
        <w:t>lleg</w:t>
      </w:r>
      <w:r w:rsidR="005C7ABE">
        <w:t>ara</w:t>
      </w:r>
      <w:r w:rsidRPr="00F24C25">
        <w:t xml:space="preserve"> a Sri Lanka desde </w:t>
      </w:r>
      <w:r w:rsidR="00E636CA">
        <w:t xml:space="preserve">la </w:t>
      </w:r>
      <w:r w:rsidRPr="00F24C25">
        <w:t xml:space="preserve">India, sus obras reales no cuentan nada sobre sus orígenes o antecedentes. </w:t>
      </w:r>
      <w:r w:rsidR="00E636CA">
        <w:t>Él m</w:t>
      </w:r>
      <w:r w:rsidRPr="00F24C25">
        <w:t xml:space="preserve">enciona "el </w:t>
      </w:r>
      <w:r w:rsidR="00E636CA">
        <w:t>Venerable</w:t>
      </w:r>
      <w:r w:rsidRPr="00F24C25">
        <w:t xml:space="preserve"> </w:t>
      </w:r>
      <w:proofErr w:type="spellStart"/>
      <w:r w:rsidR="00057BF4" w:rsidRPr="00E636CA">
        <w:rPr>
          <w:iCs/>
        </w:rPr>
        <w:t>Buddha</w:t>
      </w:r>
      <w:r w:rsidRPr="00E636CA">
        <w:rPr>
          <w:iCs/>
        </w:rPr>
        <w:t>mitta</w:t>
      </w:r>
      <w:proofErr w:type="spellEnd"/>
      <w:r w:rsidR="007737B9">
        <w:rPr>
          <w:iCs/>
        </w:rPr>
        <w:t>,</w:t>
      </w:r>
      <w:r w:rsidRPr="00F24C25">
        <w:t xml:space="preserve"> con quien anteriormente vivía en </w:t>
      </w:r>
      <w:proofErr w:type="spellStart"/>
      <w:r w:rsidRPr="00F24C25">
        <w:t>Mayūra</w:t>
      </w:r>
      <w:proofErr w:type="spellEnd"/>
      <w:r w:rsidRPr="00F24C25">
        <w:t xml:space="preserve"> </w:t>
      </w:r>
      <w:proofErr w:type="spellStart"/>
      <w:r w:rsidRPr="00F24C25">
        <w:t>Suttapa</w:t>
      </w:r>
      <w:r w:rsidR="00E636CA">
        <w:t>ṭ</w:t>
      </w:r>
      <w:r w:rsidRPr="00F24C25">
        <w:t>ana</w:t>
      </w:r>
      <w:proofErr w:type="spellEnd"/>
      <w:r w:rsidRPr="00F24C25">
        <w:t xml:space="preserve">" (M-A </w:t>
      </w:r>
      <w:proofErr w:type="spellStart"/>
      <w:r w:rsidRPr="00F24C25">
        <w:t>Epil</w:t>
      </w:r>
      <w:proofErr w:type="spellEnd"/>
      <w:r w:rsidRPr="00F24C25">
        <w:t>.),</w:t>
      </w:r>
      <w:r w:rsidRPr="00447D92">
        <w:rPr>
          <w:vertAlign w:val="superscript"/>
        </w:rPr>
        <w:t>6</w:t>
      </w:r>
      <w:r w:rsidRPr="00F24C25">
        <w:t xml:space="preserve"> y "El </w:t>
      </w:r>
      <w:r w:rsidR="00E636CA">
        <w:t>re</w:t>
      </w:r>
      <w:r w:rsidRPr="00F24C25">
        <w:t xml:space="preserve">conocido </w:t>
      </w:r>
      <w:r w:rsidR="00E636CA">
        <w:t>Venerable</w:t>
      </w:r>
      <w:r w:rsidR="00E636CA" w:rsidRPr="00F24C25">
        <w:t xml:space="preserve"> </w:t>
      </w:r>
      <w:proofErr w:type="spellStart"/>
      <w:r w:rsidRPr="00F24C25">
        <w:t>Jotipāla</w:t>
      </w:r>
      <w:proofErr w:type="spellEnd"/>
      <w:r w:rsidRPr="00F24C25">
        <w:t xml:space="preserve">, con quien una vez viví en </w:t>
      </w:r>
      <w:proofErr w:type="spellStart"/>
      <w:r w:rsidRPr="00F24C25">
        <w:t>Kañcipura</w:t>
      </w:r>
      <w:proofErr w:type="spellEnd"/>
      <w:r w:rsidRPr="00F24C25">
        <w:t xml:space="preserve"> y en otros lugares" (A-A </w:t>
      </w:r>
      <w:proofErr w:type="spellStart"/>
      <w:r w:rsidRPr="00F24C25">
        <w:t>Epil</w:t>
      </w:r>
      <w:proofErr w:type="spellEnd"/>
      <w:r w:rsidRPr="00F24C25">
        <w:t>.).</w:t>
      </w:r>
      <w:r w:rsidRPr="00447D92">
        <w:rPr>
          <w:vertAlign w:val="superscript"/>
        </w:rPr>
        <w:t>7</w:t>
      </w:r>
      <w:r w:rsidRPr="00F24C25">
        <w:t xml:space="preserve"> también l</w:t>
      </w:r>
      <w:r w:rsidR="004477DE">
        <w:t>a</w:t>
      </w:r>
      <w:r w:rsidRPr="00F24C25">
        <w:t xml:space="preserve"> "Post</w:t>
      </w:r>
      <w:r w:rsidR="004477DE">
        <w:t>data</w:t>
      </w:r>
      <w:r w:rsidRPr="00F24C25">
        <w:t>"</w:t>
      </w:r>
      <w:r w:rsidR="004477DE">
        <w:t xml:space="preserve"> </w:t>
      </w:r>
      <w:r w:rsidRPr="00F24C25">
        <w:t>adjunt</w:t>
      </w:r>
      <w:r w:rsidR="004477DE">
        <w:t>a</w:t>
      </w:r>
      <w:r w:rsidRPr="00F24C25">
        <w:t xml:space="preserve"> al </w:t>
      </w:r>
      <w:r w:rsidRPr="00447D92">
        <w:rPr>
          <w:i/>
          <w:iCs/>
        </w:rPr>
        <w:t>Visuddhimagga</w:t>
      </w:r>
      <w:r w:rsidRPr="00F24C25">
        <w:t xml:space="preserve"> dice, además de mencionar su nombre, que</w:t>
      </w:r>
      <w:r w:rsidR="004477DE">
        <w:t xml:space="preserve"> él </w:t>
      </w:r>
      <w:r w:rsidRPr="00F24C25">
        <w:t>"debería ser llamado '</w:t>
      </w:r>
      <w:r w:rsidR="004477DE">
        <w:t>como</w:t>
      </w:r>
      <w:r w:rsidRPr="00F24C25">
        <w:t xml:space="preserve"> Mora</w:t>
      </w:r>
      <w:r w:rsidR="00447D92">
        <w:t>ṇḍ</w:t>
      </w:r>
      <w:r w:rsidRPr="00F24C25">
        <w:t>acetaka"</w:t>
      </w:r>
      <w:r w:rsidR="004477DE">
        <w:t>,</w:t>
      </w:r>
      <w:r w:rsidRPr="00447D92">
        <w:rPr>
          <w:vertAlign w:val="superscript"/>
        </w:rPr>
        <w:t>8</w:t>
      </w:r>
      <w:r w:rsidRPr="00F24C25">
        <w:t xml:space="preserve"> y eso es todo.</w:t>
      </w:r>
    </w:p>
    <w:p w14:paraId="6CE07940" w14:textId="77777777" w:rsidR="00F24C25" w:rsidRPr="001F1A12" w:rsidRDefault="00F24C25" w:rsidP="001F1A12">
      <w:pPr>
        <w:pStyle w:val="PiedepginaLegal"/>
        <w:rPr>
          <w:u w:val="single"/>
        </w:rPr>
      </w:pPr>
      <w:r w:rsidRPr="001F1A12">
        <w:rPr>
          <w:u w:val="single"/>
        </w:rPr>
        <w:t xml:space="preserve">                                                                                       .</w:t>
      </w:r>
    </w:p>
    <w:p w14:paraId="7A987E5D" w14:textId="4CFEBF4F" w:rsidR="00F24C25" w:rsidRPr="00F24C25" w:rsidRDefault="00F24C25" w:rsidP="001F1A12">
      <w:pPr>
        <w:pStyle w:val="PiedepginaLegal"/>
      </w:pPr>
      <w:r w:rsidRPr="00F24C25">
        <w:t xml:space="preserve">5. </w:t>
      </w:r>
      <w:r w:rsidR="001F1A12">
        <w:tab/>
      </w:r>
      <w:r w:rsidRPr="00F24C25">
        <w:t xml:space="preserve">El </w:t>
      </w:r>
      <w:proofErr w:type="spellStart"/>
      <w:r w:rsidRPr="00447D92">
        <w:rPr>
          <w:i/>
          <w:iCs/>
        </w:rPr>
        <w:t>Gandhavaṃsa</w:t>
      </w:r>
      <w:proofErr w:type="spellEnd"/>
      <w:r w:rsidRPr="00F24C25">
        <w:t xml:space="preserve"> también </w:t>
      </w:r>
      <w:r w:rsidR="004477DE">
        <w:t>asigna</w:t>
      </w:r>
      <w:r w:rsidRPr="00F24C25">
        <w:t xml:space="preserve"> </w:t>
      </w:r>
      <w:r w:rsidR="004A3865">
        <w:t>a</w:t>
      </w:r>
      <w:r w:rsidRPr="00F24C25">
        <w:t xml:space="preserve">l </w:t>
      </w:r>
      <w:r w:rsidR="004A3865" w:rsidRPr="004A3865">
        <w:rPr>
          <w:i/>
          <w:iCs/>
        </w:rPr>
        <w:t>Comentario</w:t>
      </w:r>
      <w:r w:rsidR="004A3865" w:rsidRPr="00F24C25">
        <w:t xml:space="preserve"> </w:t>
      </w:r>
      <w:proofErr w:type="spellStart"/>
      <w:r w:rsidRPr="004477DE">
        <w:rPr>
          <w:i/>
          <w:iCs/>
        </w:rPr>
        <w:t>Apadāna</w:t>
      </w:r>
      <w:proofErr w:type="spellEnd"/>
      <w:r w:rsidRPr="00F24C25">
        <w:t xml:space="preserve"> como </w:t>
      </w:r>
      <w:r w:rsidR="004477DE">
        <w:t xml:space="preserve">realizado </w:t>
      </w:r>
      <w:r w:rsidRPr="00F24C25">
        <w:t>por él.</w:t>
      </w:r>
    </w:p>
    <w:p w14:paraId="4734A833" w14:textId="1D7BC3C8" w:rsidR="00F24C25" w:rsidRPr="00F24C25" w:rsidRDefault="00F24C25" w:rsidP="001F1A12">
      <w:pPr>
        <w:pStyle w:val="PiedepginaLegal"/>
      </w:pPr>
      <w:r w:rsidRPr="00F24C25">
        <w:t xml:space="preserve">6. </w:t>
      </w:r>
      <w:r w:rsidR="001F1A12">
        <w:tab/>
      </w:r>
      <w:r w:rsidRPr="00F24C25">
        <w:t xml:space="preserve">Otras lecturas son: </w:t>
      </w:r>
      <w:proofErr w:type="spellStart"/>
      <w:r w:rsidRPr="005850B5">
        <w:rPr>
          <w:i/>
          <w:iCs/>
        </w:rPr>
        <w:t>Mayūra</w:t>
      </w:r>
      <w:r w:rsidR="00057BF4" w:rsidRPr="00057BF4">
        <w:rPr>
          <w:i/>
          <w:iCs/>
        </w:rPr>
        <w:t>rūpa</w:t>
      </w:r>
      <w:r w:rsidRPr="005850B5">
        <w:rPr>
          <w:i/>
          <w:iCs/>
        </w:rPr>
        <w:t>ṭṭana</w:t>
      </w:r>
      <w:proofErr w:type="spellEnd"/>
      <w:r w:rsidRPr="00F24C25">
        <w:t xml:space="preserve">, </w:t>
      </w:r>
      <w:proofErr w:type="spellStart"/>
      <w:r w:rsidRPr="005850B5">
        <w:rPr>
          <w:i/>
          <w:iCs/>
        </w:rPr>
        <w:t>Mayūradūtapaṭṭana</w:t>
      </w:r>
      <w:proofErr w:type="spellEnd"/>
      <w:r w:rsidRPr="00F24C25">
        <w:t>. Identificado co</w:t>
      </w:r>
      <w:r w:rsidR="0093459F">
        <w:t>mo</w:t>
      </w:r>
      <w:r w:rsidRPr="00F24C25">
        <w:t xml:space="preserve"> </w:t>
      </w:r>
      <w:proofErr w:type="spellStart"/>
      <w:r w:rsidRPr="00F24C25">
        <w:t>Mylapore</w:t>
      </w:r>
      <w:proofErr w:type="spellEnd"/>
      <w:r w:rsidR="0093459F">
        <w:t>,</w:t>
      </w:r>
      <w:r w:rsidRPr="00F24C25">
        <w:t xml:space="preserve"> cerca de Chennai (J.O.R., </w:t>
      </w:r>
      <w:proofErr w:type="spellStart"/>
      <w:r w:rsidRPr="00F24C25">
        <w:t>Madras</w:t>
      </w:r>
      <w:proofErr w:type="spellEnd"/>
      <w:r w:rsidRPr="00F24C25">
        <w:t xml:space="preserve">, Vol. </w:t>
      </w:r>
      <w:proofErr w:type="spellStart"/>
      <w:r w:rsidRPr="00F24C25">
        <w:t>Xix</w:t>
      </w:r>
      <w:proofErr w:type="spellEnd"/>
      <w:r w:rsidRPr="00F24C25">
        <w:t>, p. 281).</w:t>
      </w:r>
    </w:p>
    <w:p w14:paraId="4A259474" w14:textId="25360183" w:rsidR="00F24C25" w:rsidRPr="00F24C25" w:rsidRDefault="00F24C25" w:rsidP="001F1A12">
      <w:pPr>
        <w:pStyle w:val="PiedepginaLegal"/>
      </w:pPr>
      <w:r w:rsidRPr="00F24C25">
        <w:t xml:space="preserve">7. </w:t>
      </w:r>
      <w:r w:rsidR="001F1A12">
        <w:tab/>
      </w:r>
      <w:r w:rsidRPr="00F24C25">
        <w:t>Identificado co</w:t>
      </w:r>
      <w:r w:rsidR="0093459F">
        <w:t>mo</w:t>
      </w:r>
      <w:r w:rsidRPr="00F24C25">
        <w:t xml:space="preserve"> </w:t>
      </w:r>
      <w:proofErr w:type="spellStart"/>
      <w:r w:rsidR="005850B5" w:rsidRPr="00F24C25">
        <w:t>Conjevaram</w:t>
      </w:r>
      <w:proofErr w:type="spellEnd"/>
      <w:r w:rsidR="005850B5" w:rsidRPr="00F24C25">
        <w:t xml:space="preserve"> </w:t>
      </w:r>
      <w:r w:rsidRPr="00F24C25">
        <w:t xml:space="preserve">cerca de Chennai: </w:t>
      </w:r>
      <w:r w:rsidR="00081AB3" w:rsidRPr="00F24C25">
        <w:t>PLC</w:t>
      </w:r>
      <w:r w:rsidRPr="00F24C25">
        <w:t xml:space="preserve">, p. 113. </w:t>
      </w:r>
      <w:proofErr w:type="spellStart"/>
      <w:r w:rsidR="00081AB3" w:rsidRPr="00F24C25">
        <w:t>Ācariya</w:t>
      </w:r>
      <w:proofErr w:type="spellEnd"/>
      <w:r w:rsidR="00081AB3" w:rsidRPr="00F24C25">
        <w:t xml:space="preserve"> Ānanda</w:t>
      </w:r>
      <w:r w:rsidRPr="00F24C25">
        <w:t xml:space="preserve">, autor del </w:t>
      </w:r>
      <w:proofErr w:type="spellStart"/>
      <w:r w:rsidR="0093459F" w:rsidRPr="00F24C25">
        <w:t>sub-comentari</w:t>
      </w:r>
      <w:r w:rsidR="0093459F">
        <w:t>o</w:t>
      </w:r>
      <w:proofErr w:type="spellEnd"/>
      <w:r w:rsidRPr="00F24C25">
        <w:t xml:space="preserve"> </w:t>
      </w:r>
      <w:r w:rsidR="00081AB3">
        <w:t>de</w:t>
      </w:r>
      <w:r w:rsidRPr="00F24C25">
        <w:t xml:space="preserve">l </w:t>
      </w:r>
      <w:proofErr w:type="spellStart"/>
      <w:r w:rsidR="00EB394F" w:rsidRPr="005850B5">
        <w:rPr>
          <w:i/>
          <w:iCs/>
        </w:rPr>
        <w:t>Abhi</w:t>
      </w:r>
      <w:r w:rsidR="00EB394F" w:rsidRPr="00057BF4">
        <w:rPr>
          <w:i/>
          <w:iCs/>
        </w:rPr>
        <w:t>dhamma</w:t>
      </w:r>
      <w:proofErr w:type="spellEnd"/>
      <w:r w:rsidR="00EB394F" w:rsidRPr="005850B5">
        <w:rPr>
          <w:i/>
          <w:iCs/>
        </w:rPr>
        <w:t xml:space="preserve"> </w:t>
      </w:r>
      <w:proofErr w:type="spellStart"/>
      <w:r w:rsidRPr="005850B5">
        <w:rPr>
          <w:i/>
          <w:iCs/>
        </w:rPr>
        <w:t>Pitaka</w:t>
      </w:r>
      <w:proofErr w:type="spellEnd"/>
      <w:r w:rsidRPr="00F24C25">
        <w:t xml:space="preserve"> (</w:t>
      </w:r>
      <w:proofErr w:type="spellStart"/>
      <w:r w:rsidRPr="005850B5">
        <w:rPr>
          <w:i/>
          <w:iCs/>
        </w:rPr>
        <w:t>Mūla</w:t>
      </w:r>
      <w:proofErr w:type="spellEnd"/>
      <w:r w:rsidRPr="005850B5">
        <w:rPr>
          <w:i/>
          <w:iCs/>
        </w:rPr>
        <w:t xml:space="preserve"> </w:t>
      </w:r>
      <w:proofErr w:type="spellStart"/>
      <w:r w:rsidRPr="005850B5">
        <w:rPr>
          <w:i/>
          <w:iCs/>
        </w:rPr>
        <w:t>ṭīkā</w:t>
      </w:r>
      <w:proofErr w:type="spellEnd"/>
      <w:r w:rsidRPr="00F24C25">
        <w:t xml:space="preserve">), también vivió allí, tal vez en cualquier momento </w:t>
      </w:r>
      <w:r w:rsidR="00EB394F">
        <w:t>posterior</w:t>
      </w:r>
      <w:r w:rsidR="00777C74">
        <w:t xml:space="preserve"> a los</w:t>
      </w:r>
      <w:r w:rsidRPr="00F24C25">
        <w:t xml:space="preserve"> mediados del siglo V. El </w:t>
      </w:r>
      <w:r w:rsidR="005850B5">
        <w:t>Venerable</w:t>
      </w:r>
      <w:r w:rsidRPr="00F24C25">
        <w:t xml:space="preserve"> </w:t>
      </w:r>
      <w:proofErr w:type="spellStart"/>
      <w:r w:rsidR="00057BF4" w:rsidRPr="000B2F7F">
        <w:rPr>
          <w:iCs/>
        </w:rPr>
        <w:t>Dhamma</w:t>
      </w:r>
      <w:r w:rsidRPr="000B2F7F">
        <w:rPr>
          <w:iCs/>
        </w:rPr>
        <w:t>pāla</w:t>
      </w:r>
      <w:proofErr w:type="spellEnd"/>
      <w:r w:rsidRPr="00F24C25">
        <w:t xml:space="preserve"> a veces se refiere a los viejos comentarios cingaleses como si aún estuvie</w:t>
      </w:r>
      <w:r w:rsidR="000B2F7F">
        <w:t>se</w:t>
      </w:r>
      <w:r w:rsidRPr="00F24C25">
        <w:t>n disponibles para él.</w:t>
      </w:r>
    </w:p>
    <w:p w14:paraId="068EBAE1" w14:textId="007FE197" w:rsidR="00001239" w:rsidRPr="00C016F1" w:rsidRDefault="00F24C25" w:rsidP="001F1A12">
      <w:pPr>
        <w:pStyle w:val="PiedepginaLegal"/>
      </w:pPr>
      <w:r w:rsidRPr="00C016F1">
        <w:t xml:space="preserve">8. </w:t>
      </w:r>
      <w:r w:rsidR="001F1A12" w:rsidRPr="00C016F1">
        <w:tab/>
      </w:r>
      <w:r w:rsidRPr="005850B5">
        <w:t xml:space="preserve">Otras </w:t>
      </w:r>
      <w:r w:rsidR="00B60AFB">
        <w:t>posibilidades</w:t>
      </w:r>
      <w:r w:rsidRPr="005850B5">
        <w:t xml:space="preserve"> </w:t>
      </w:r>
      <w:r w:rsidR="000B2F7F">
        <w:t xml:space="preserve">al respecto </w:t>
      </w:r>
      <w:r w:rsidRPr="005850B5">
        <w:t xml:space="preserve">son: </w:t>
      </w:r>
      <w:proofErr w:type="spellStart"/>
      <w:r w:rsidRPr="00B60AFB">
        <w:t>Moraṇḍakhe</w:t>
      </w:r>
      <w:r w:rsidR="00A27A2E" w:rsidRPr="00B60AFB">
        <w:t>tac</w:t>
      </w:r>
      <w:r w:rsidR="00243BFA" w:rsidRPr="00B60AFB">
        <w:t>a</w:t>
      </w:r>
      <w:proofErr w:type="spellEnd"/>
      <w:r w:rsidRPr="005850B5">
        <w:t xml:space="preserve">, </w:t>
      </w:r>
      <w:proofErr w:type="spellStart"/>
      <w:r w:rsidRPr="00B60AFB">
        <w:t>Mudantakhedaka</w:t>
      </w:r>
      <w:proofErr w:type="spellEnd"/>
      <w:r w:rsidRPr="005850B5">
        <w:t xml:space="preserve">, </w:t>
      </w:r>
      <w:proofErr w:type="spellStart"/>
      <w:r w:rsidRPr="00B60AFB">
        <w:t>Muraṇḍakheṭaka</w:t>
      </w:r>
      <w:proofErr w:type="spellEnd"/>
      <w:r w:rsidRPr="005850B5">
        <w:t xml:space="preserve">, etc.; </w:t>
      </w:r>
      <w:r w:rsidR="00780073">
        <w:t xml:space="preserve">los cuales </w:t>
      </w:r>
      <w:r w:rsidR="005850B5" w:rsidRPr="005850B5">
        <w:t xml:space="preserve">todavía no </w:t>
      </w:r>
      <w:r w:rsidR="00780073">
        <w:t xml:space="preserve">han sido </w:t>
      </w:r>
      <w:r w:rsidR="005850B5" w:rsidRPr="005850B5">
        <w:t>identificados</w:t>
      </w:r>
      <w:r w:rsidRPr="005850B5">
        <w:t xml:space="preserve">. </w:t>
      </w:r>
      <w:r w:rsidR="00E25C1E" w:rsidRPr="00E25C1E">
        <w:t>Más probablemente referid</w:t>
      </w:r>
      <w:r w:rsidR="00142852">
        <w:t>o</w:t>
      </w:r>
      <w:r w:rsidR="00E25C1E" w:rsidRPr="00E25C1E">
        <w:t xml:space="preserve">s a su lugar de </w:t>
      </w:r>
      <w:r w:rsidR="00142852">
        <w:t>n</w:t>
      </w:r>
      <w:r w:rsidR="00E25C1E" w:rsidRPr="00E25C1E">
        <w:t xml:space="preserve">acimiento que </w:t>
      </w:r>
      <w:r w:rsidR="00E25C1E">
        <w:t xml:space="preserve">al lugar </w:t>
      </w:r>
      <w:proofErr w:type="spellStart"/>
      <w:r w:rsidRPr="00E25C1E">
        <w:rPr>
          <w:i/>
          <w:iCs/>
        </w:rPr>
        <w:t>pabbajjā</w:t>
      </w:r>
      <w:proofErr w:type="spellEnd"/>
      <w:r w:rsidRPr="00E25C1E">
        <w:t xml:space="preserve">. </w:t>
      </w:r>
      <w:r w:rsidR="008020F7" w:rsidRPr="00C016F1">
        <w:t>V</w:t>
      </w:r>
      <w:r w:rsidR="00780073">
        <w:t>éase</w:t>
      </w:r>
      <w:r w:rsidR="008020F7" w:rsidRPr="00C016F1">
        <w:t xml:space="preserve"> también</w:t>
      </w:r>
      <w:r w:rsidRPr="00C016F1">
        <w:t xml:space="preserve"> J.O.R., </w:t>
      </w:r>
      <w:proofErr w:type="spellStart"/>
      <w:r w:rsidRPr="00C016F1">
        <w:t>Madras</w:t>
      </w:r>
      <w:proofErr w:type="spellEnd"/>
      <w:r w:rsidRPr="00C016F1">
        <w:t xml:space="preserve">, Vol. XIX, p. 282, </w:t>
      </w:r>
      <w:r w:rsidR="008020F7" w:rsidRPr="00C016F1">
        <w:t xml:space="preserve">el </w:t>
      </w:r>
      <w:r w:rsidRPr="00C016F1">
        <w:t>art</w:t>
      </w:r>
      <w:r w:rsidR="008020F7" w:rsidRPr="00C016F1">
        <w:t>í</w:t>
      </w:r>
      <w:r w:rsidRPr="00C016F1">
        <w:t>c</w:t>
      </w:r>
      <w:r w:rsidR="008020F7" w:rsidRPr="00C016F1">
        <w:t>ulo</w:t>
      </w:r>
      <w:r w:rsidRPr="00C016F1">
        <w:t xml:space="preserve"> </w:t>
      </w:r>
      <w:r w:rsidR="00C213FD">
        <w:t>“</w:t>
      </w:r>
      <w:r w:rsidR="00E87729">
        <w:rPr>
          <w:i/>
          <w:iCs/>
        </w:rPr>
        <w:t xml:space="preserve">Buddhaghosa </w:t>
      </w:r>
      <w:r w:rsidR="00C213FD" w:rsidRPr="00C016F1">
        <w:rPr>
          <w:i/>
          <w:iCs/>
        </w:rPr>
        <w:t>—</w:t>
      </w:r>
      <w:r w:rsidR="00C213FD">
        <w:rPr>
          <w:i/>
          <w:iCs/>
        </w:rPr>
        <w:t xml:space="preserve"> S</w:t>
      </w:r>
      <w:r w:rsidR="00E87729">
        <w:rPr>
          <w:i/>
          <w:iCs/>
        </w:rPr>
        <w:t xml:space="preserve">u Lugar de Nacimiento </w:t>
      </w:r>
      <w:r w:rsidR="00E87729">
        <w:t>[</w:t>
      </w:r>
      <w:r w:rsidR="00057BF4" w:rsidRPr="00057BF4">
        <w:rPr>
          <w:i/>
          <w:iCs/>
        </w:rPr>
        <w:t>Buddha</w:t>
      </w:r>
      <w:r w:rsidRPr="00C016F1">
        <w:rPr>
          <w:i/>
          <w:iCs/>
        </w:rPr>
        <w:t>ghosa—</w:t>
      </w:r>
      <w:proofErr w:type="spellStart"/>
      <w:r w:rsidRPr="00C016F1">
        <w:rPr>
          <w:i/>
          <w:iCs/>
        </w:rPr>
        <w:t>His</w:t>
      </w:r>
      <w:proofErr w:type="spellEnd"/>
      <w:r w:rsidRPr="00C016F1">
        <w:rPr>
          <w:i/>
          <w:iCs/>
        </w:rPr>
        <w:t xml:space="preserve"> Place of </w:t>
      </w:r>
      <w:proofErr w:type="spellStart"/>
      <w:r w:rsidRPr="00C016F1">
        <w:rPr>
          <w:i/>
          <w:iCs/>
        </w:rPr>
        <w:t>Birth</w:t>
      </w:r>
      <w:proofErr w:type="spellEnd"/>
      <w:r w:rsidR="00E87729">
        <w:t>]</w:t>
      </w:r>
      <w:r w:rsidRPr="00C016F1">
        <w:t xml:space="preserve"> </w:t>
      </w:r>
      <w:r w:rsidR="00C213FD">
        <w:t>escrito por</w:t>
      </w:r>
      <w:r w:rsidR="00142852" w:rsidRPr="00142852">
        <w:t xml:space="preserve"> </w:t>
      </w:r>
      <w:r w:rsidR="00142852" w:rsidRPr="00001239">
        <w:t xml:space="preserve">R. </w:t>
      </w:r>
      <w:proofErr w:type="spellStart"/>
      <w:r w:rsidR="00142852" w:rsidRPr="00001239">
        <w:t>Subramaniam</w:t>
      </w:r>
      <w:proofErr w:type="spellEnd"/>
      <w:r w:rsidR="00142852" w:rsidRPr="00001239">
        <w:t xml:space="preserve"> y S. P. </w:t>
      </w:r>
      <w:proofErr w:type="spellStart"/>
      <w:r w:rsidR="00142852" w:rsidRPr="00001239">
        <w:t>Nainar</w:t>
      </w:r>
      <w:proofErr w:type="spellEnd"/>
      <w:r w:rsidR="00142852" w:rsidRPr="00001239">
        <w:t>,</w:t>
      </w:r>
    </w:p>
    <w:p w14:paraId="2B190E70" w14:textId="77777777" w:rsidR="00001239" w:rsidRPr="00C016F1" w:rsidRDefault="00001239">
      <w:pPr>
        <w:rPr>
          <w:color w:val="000000" w:themeColor="text1"/>
          <w:sz w:val="14"/>
        </w:rPr>
      </w:pPr>
      <w:r w:rsidRPr="00C016F1">
        <w:br w:type="page"/>
      </w:r>
    </w:p>
    <w:p w14:paraId="7B65CFF5" w14:textId="77777777" w:rsidR="00D93B91" w:rsidRDefault="00D93B91" w:rsidP="008006BA">
      <w:pPr>
        <w:pStyle w:val="NormalConSangria"/>
      </w:pPr>
    </w:p>
    <w:p w14:paraId="11FDFA3E" w14:textId="04E0ADD9" w:rsidR="00001239" w:rsidRPr="00001239" w:rsidRDefault="008006BA" w:rsidP="008006BA">
      <w:pPr>
        <w:pStyle w:val="NormalConSangria"/>
      </w:pPr>
      <w:r w:rsidRPr="00F24C25">
        <w:t xml:space="preserve">Al llegar a Sri Lanka, </w:t>
      </w:r>
      <w:r w:rsidR="00F403A8">
        <w:t>se dirigió</w:t>
      </w:r>
      <w:r w:rsidRPr="00F24C25">
        <w:t xml:space="preserve"> a </w:t>
      </w:r>
      <w:proofErr w:type="spellStart"/>
      <w:r w:rsidRPr="00F24C25">
        <w:t>Anurādhapura</w:t>
      </w:r>
      <w:proofErr w:type="spellEnd"/>
      <w:r w:rsidRPr="00F24C25">
        <w:t>, la capital real, y se puso a estudiar. Parece haber vivido y trabajado allí durante toda su estadía en la isla,</w:t>
      </w:r>
      <w:r w:rsidR="008020F7">
        <w:t xml:space="preserve"> </w:t>
      </w:r>
      <w:r w:rsidR="00001239" w:rsidRPr="00001239">
        <w:t xml:space="preserve">aunque no sabemos cuánto duró esa estancia. Para </w:t>
      </w:r>
      <w:r w:rsidR="00AE341A">
        <w:t>reproducir</w:t>
      </w:r>
      <w:r w:rsidR="00001239" w:rsidRPr="00001239">
        <w:t xml:space="preserve"> sus propias palabras</w:t>
      </w:r>
      <w:r w:rsidR="0058401F">
        <w:t>,</w:t>
      </w:r>
      <w:r w:rsidR="00AE341A">
        <w:t xml:space="preserve"> aquí una cita</w:t>
      </w:r>
      <w:r w:rsidR="00001239" w:rsidRPr="00001239">
        <w:t xml:space="preserve">: “Aprendí tres comentarios cingaleses: el </w:t>
      </w:r>
      <w:r w:rsidR="00001239" w:rsidRPr="008006BA">
        <w:rPr>
          <w:i/>
          <w:iCs/>
        </w:rPr>
        <w:t>Mahā</w:t>
      </w:r>
      <w:r w:rsidR="0058401F">
        <w:rPr>
          <w:rFonts w:cs="Cormorant"/>
        </w:rPr>
        <w:t>–</w:t>
      </w:r>
      <w:proofErr w:type="spellStart"/>
      <w:r w:rsidR="00001239" w:rsidRPr="008006BA">
        <w:rPr>
          <w:i/>
          <w:iCs/>
        </w:rPr>
        <w:t>aṭṭha</w:t>
      </w:r>
      <w:proofErr w:type="spellEnd"/>
      <w:r w:rsidR="0058401F">
        <w:rPr>
          <w:rFonts w:cs="Cormorant"/>
        </w:rPr>
        <w:t>–</w:t>
      </w:r>
      <w:r w:rsidR="0058401F" w:rsidRPr="00001239">
        <w:t xml:space="preserve"> </w:t>
      </w:r>
      <w:r w:rsidR="00001239" w:rsidRPr="00001239">
        <w:t>[</w:t>
      </w:r>
      <w:proofErr w:type="spellStart"/>
      <w:r w:rsidR="00001239" w:rsidRPr="008006BA">
        <w:rPr>
          <w:i/>
          <w:iCs/>
        </w:rPr>
        <w:t>kathā</w:t>
      </w:r>
      <w:proofErr w:type="spellEnd"/>
      <w:r w:rsidR="00001239" w:rsidRPr="00001239">
        <w:t xml:space="preserve">], </w:t>
      </w:r>
      <w:proofErr w:type="spellStart"/>
      <w:r w:rsidR="00001239" w:rsidRPr="008006BA">
        <w:rPr>
          <w:i/>
          <w:iCs/>
        </w:rPr>
        <w:t>Mahāpaccar</w:t>
      </w:r>
      <w:r>
        <w:rPr>
          <w:i/>
          <w:iCs/>
        </w:rPr>
        <w:t>ī</w:t>
      </w:r>
      <w:proofErr w:type="spellEnd"/>
      <w:r w:rsidR="00001239" w:rsidRPr="00001239">
        <w:t xml:space="preserve">, </w:t>
      </w:r>
      <w:proofErr w:type="spellStart"/>
      <w:r w:rsidR="00001239" w:rsidRPr="008006BA">
        <w:rPr>
          <w:i/>
          <w:iCs/>
        </w:rPr>
        <w:t>Kuruṇḍ</w:t>
      </w:r>
      <w:r>
        <w:rPr>
          <w:i/>
          <w:iCs/>
        </w:rPr>
        <w:t>ī</w:t>
      </w:r>
      <w:proofErr w:type="spellEnd"/>
      <w:r w:rsidR="00001239" w:rsidRPr="00001239">
        <w:t xml:space="preserve">, del famoso </w:t>
      </w:r>
      <w:r w:rsidR="00FA1109">
        <w:t>Venerable</w:t>
      </w:r>
      <w:r w:rsidR="00AE341A">
        <w:t xml:space="preserve"> </w:t>
      </w:r>
      <w:r w:rsidR="00001239" w:rsidRPr="00001239">
        <w:t xml:space="preserve">conocido con el nombre de </w:t>
      </w:r>
      <w:proofErr w:type="spellStart"/>
      <w:r w:rsidR="00057BF4" w:rsidRPr="00AE341A">
        <w:rPr>
          <w:iCs/>
        </w:rPr>
        <w:t>Buddha</w:t>
      </w:r>
      <w:r w:rsidR="00001239" w:rsidRPr="00AE341A">
        <w:rPr>
          <w:iCs/>
        </w:rPr>
        <w:t>mitta</w:t>
      </w:r>
      <w:proofErr w:type="spellEnd"/>
      <w:r w:rsidR="00001239" w:rsidRPr="00001239">
        <w:t xml:space="preserve">, quien </w:t>
      </w:r>
      <w:r w:rsidR="00AE341A">
        <w:t>posee</w:t>
      </w:r>
      <w:r w:rsidR="00001239" w:rsidRPr="00001239">
        <w:t xml:space="preserve"> un conocimiento </w:t>
      </w:r>
      <w:r w:rsidR="00FA1109">
        <w:t>prolífico</w:t>
      </w:r>
      <w:r w:rsidR="00001239" w:rsidRPr="00001239">
        <w:t xml:space="preserve"> </w:t>
      </w:r>
      <w:r w:rsidR="00FA1109">
        <w:t xml:space="preserve">sobre </w:t>
      </w:r>
      <w:r w:rsidR="00001239" w:rsidRPr="00001239">
        <w:t xml:space="preserve">el </w:t>
      </w:r>
      <w:proofErr w:type="spellStart"/>
      <w:r w:rsidR="00001239" w:rsidRPr="008006BA">
        <w:rPr>
          <w:i/>
          <w:iCs/>
        </w:rPr>
        <w:t>Vinaya</w:t>
      </w:r>
      <w:proofErr w:type="spellEnd"/>
      <w:r w:rsidR="00001239" w:rsidRPr="00001239">
        <w:t xml:space="preserve">. Ubicado en los terrenos del Parque </w:t>
      </w:r>
      <w:r w:rsidR="00001239" w:rsidRPr="008006BA">
        <w:t xml:space="preserve">Mahā </w:t>
      </w:r>
      <w:proofErr w:type="spellStart"/>
      <w:r w:rsidR="00001239" w:rsidRPr="008006BA">
        <w:t>Meghavana</w:t>
      </w:r>
      <w:proofErr w:type="spellEnd"/>
      <w:r w:rsidR="00001239" w:rsidRPr="00001239">
        <w:t xml:space="preserve"> [en </w:t>
      </w:r>
      <w:proofErr w:type="spellStart"/>
      <w:r w:rsidR="00001239" w:rsidRPr="00001239">
        <w:t>Anurādhapura</w:t>
      </w:r>
      <w:proofErr w:type="spellEnd"/>
      <w:r w:rsidR="00001239" w:rsidRPr="00001239">
        <w:t xml:space="preserve">] se encuentra el Gran Monasterio adornado por el [retoño del] Árbol de la Iluminación del Maestro. Un constante partidario de la Comunidad, </w:t>
      </w:r>
      <w:r w:rsidR="00AE341A">
        <w:t>dotado de</w:t>
      </w:r>
      <w:r w:rsidR="00001239" w:rsidRPr="00001239">
        <w:t xml:space="preserve"> </w:t>
      </w:r>
      <w:r w:rsidR="00AE341A">
        <w:t xml:space="preserve">una </w:t>
      </w:r>
      <w:r w:rsidR="00001239" w:rsidRPr="00001239">
        <w:t xml:space="preserve">fe inquebrantable en las Tres </w:t>
      </w:r>
      <w:r w:rsidR="008B0E85">
        <w:t>Gemas</w:t>
      </w:r>
      <w:r w:rsidR="00001239" w:rsidRPr="00001239">
        <w:t xml:space="preserve">, perteneciente a una ilustre familia y conocido con el nombre de </w:t>
      </w:r>
      <w:proofErr w:type="spellStart"/>
      <w:r w:rsidR="00001239" w:rsidRPr="00001239">
        <w:t>Mahānigamasāmi</w:t>
      </w:r>
      <w:proofErr w:type="spellEnd"/>
      <w:r w:rsidR="00001239" w:rsidRPr="00001239">
        <w:t xml:space="preserve"> (Señor de la Gran Ciudad), hizo construir allí</w:t>
      </w:r>
      <w:r w:rsidR="00AE341A">
        <w:t>,</w:t>
      </w:r>
      <w:r w:rsidR="00001239" w:rsidRPr="00001239">
        <w:t xml:space="preserve"> </w:t>
      </w:r>
      <w:r w:rsidR="00AE341A">
        <w:t xml:space="preserve">hacia el </w:t>
      </w:r>
      <w:r w:rsidR="00001239" w:rsidRPr="00001239">
        <w:t>sur</w:t>
      </w:r>
      <w:r w:rsidR="00AE341A">
        <w:t>,</w:t>
      </w:r>
      <w:r w:rsidR="00001239" w:rsidRPr="00001239">
        <w:t xml:space="preserve"> un excelente taller de trabajo accesible </w:t>
      </w:r>
      <w:r w:rsidR="009A6C4E">
        <w:t>para</w:t>
      </w:r>
      <w:r w:rsidR="00001239" w:rsidRPr="00001239">
        <w:t xml:space="preserve"> tod</w:t>
      </w:r>
      <w:r w:rsidR="00AE341A">
        <w:t xml:space="preserve">a y </w:t>
      </w:r>
      <w:r w:rsidR="00001239" w:rsidRPr="00001239">
        <w:t xml:space="preserve">la siempre virtuosa Comunidad de </w:t>
      </w:r>
      <w:proofErr w:type="spellStart"/>
      <w:r w:rsidR="00AE341A" w:rsidRPr="00057BF4">
        <w:rPr>
          <w:i/>
          <w:iCs/>
        </w:rPr>
        <w:t>Bhikkhu</w:t>
      </w:r>
      <w:r w:rsidR="00AE341A" w:rsidRPr="008020F7">
        <w:rPr>
          <w:i/>
          <w:iCs/>
        </w:rPr>
        <w:t>s</w:t>
      </w:r>
      <w:proofErr w:type="spellEnd"/>
      <w:r w:rsidR="00001239" w:rsidRPr="00001239">
        <w:t xml:space="preserve">. </w:t>
      </w:r>
      <w:r w:rsidR="008268E4">
        <w:t xml:space="preserve">La edificación </w:t>
      </w:r>
      <w:r w:rsidR="00001239" w:rsidRPr="00001239">
        <w:t>estaba bellamente decorad</w:t>
      </w:r>
      <w:r w:rsidR="008268E4">
        <w:t>a</w:t>
      </w:r>
      <w:r w:rsidR="00001239" w:rsidRPr="00001239">
        <w:t>, agradablemente dotad</w:t>
      </w:r>
      <w:r w:rsidR="008268E4">
        <w:t>a</w:t>
      </w:r>
      <w:r w:rsidR="00001239" w:rsidRPr="00001239">
        <w:t xml:space="preserve"> de una fresca sombra y </w:t>
      </w:r>
      <w:r w:rsidR="00AE341A">
        <w:t>contaba de</w:t>
      </w:r>
      <w:r w:rsidR="00001239" w:rsidRPr="00001239">
        <w:t xml:space="preserve"> un espléndido suministro de agua. El Comentario del </w:t>
      </w:r>
      <w:proofErr w:type="spellStart"/>
      <w:r w:rsidR="00001239" w:rsidRPr="008020F7">
        <w:rPr>
          <w:i/>
          <w:iCs/>
        </w:rPr>
        <w:t>Vinaya</w:t>
      </w:r>
      <w:proofErr w:type="spellEnd"/>
      <w:r w:rsidR="00001239" w:rsidRPr="00001239">
        <w:t xml:space="preserve"> lo comencé </w:t>
      </w:r>
      <w:r w:rsidR="00AE341A">
        <w:t>a escribir para beneficio</w:t>
      </w:r>
      <w:r w:rsidR="00001239" w:rsidRPr="00001239">
        <w:t xml:space="preserve"> del </w:t>
      </w:r>
      <w:r w:rsidR="008020F7">
        <w:t>Venerable</w:t>
      </w:r>
      <w:r w:rsidR="00001239" w:rsidRPr="00001239">
        <w:t xml:space="preserve"> </w:t>
      </w:r>
      <w:proofErr w:type="spellStart"/>
      <w:r w:rsidR="00057BF4" w:rsidRPr="00AE341A">
        <w:rPr>
          <w:iCs/>
        </w:rPr>
        <w:t>Buddha</w:t>
      </w:r>
      <w:r w:rsidR="00001239" w:rsidRPr="00AE341A">
        <w:rPr>
          <w:iCs/>
        </w:rPr>
        <w:t>siri</w:t>
      </w:r>
      <w:proofErr w:type="spellEnd"/>
      <w:r w:rsidR="00AE341A">
        <w:rPr>
          <w:iCs/>
        </w:rPr>
        <w:t>,</w:t>
      </w:r>
      <w:r w:rsidR="00001239" w:rsidRPr="00001239">
        <w:t xml:space="preserve"> de comportamiento puro y virtuoso</w:t>
      </w:r>
      <w:r w:rsidR="00AE341A">
        <w:t>,</w:t>
      </w:r>
      <w:r w:rsidR="00727CED">
        <w:t xml:space="preserve"> </w:t>
      </w:r>
      <w:r w:rsidR="00001239" w:rsidRPr="00001239">
        <w:t xml:space="preserve">mientras </w:t>
      </w:r>
      <w:r w:rsidR="00AE341A">
        <w:t>me encontraba viviendo</w:t>
      </w:r>
      <w:r w:rsidR="00001239" w:rsidRPr="00001239">
        <w:t xml:space="preserve"> allí en </w:t>
      </w:r>
      <w:r w:rsidR="008268E4">
        <w:t xml:space="preserve">la edificación </w:t>
      </w:r>
      <w:proofErr w:type="spellStart"/>
      <w:r w:rsidR="00001239" w:rsidRPr="00001239">
        <w:t>Mahānigamasāmi</w:t>
      </w:r>
      <w:proofErr w:type="spellEnd"/>
      <w:r w:rsidR="00001239" w:rsidRPr="00001239">
        <w:t xml:space="preserve">, </w:t>
      </w:r>
      <w:r w:rsidR="00631C21">
        <w:t>que</w:t>
      </w:r>
      <w:r w:rsidR="00001239" w:rsidRPr="00001239">
        <w:t xml:space="preserve"> ahora </w:t>
      </w:r>
      <w:r w:rsidR="00AE341A">
        <w:t>se encuentra</w:t>
      </w:r>
      <w:r w:rsidR="00001239" w:rsidRPr="00001239">
        <w:t xml:space="preserve"> </w:t>
      </w:r>
      <w:r w:rsidR="00AE341A">
        <w:t>terminado</w:t>
      </w:r>
      <w:r w:rsidR="00001239" w:rsidRPr="00001239">
        <w:t xml:space="preserve">. Lo comencé en el vigésimo año del reinado de paz del Rey </w:t>
      </w:r>
      <w:proofErr w:type="spellStart"/>
      <w:r w:rsidR="00001239" w:rsidRPr="00001239">
        <w:t>Sirinivāsa</w:t>
      </w:r>
      <w:proofErr w:type="spellEnd"/>
      <w:r w:rsidR="00001239" w:rsidRPr="00001239">
        <w:t xml:space="preserve"> (De </w:t>
      </w:r>
      <w:r w:rsidR="00AE341A" w:rsidRPr="00001239">
        <w:t xml:space="preserve">Gloriosa </w:t>
      </w:r>
      <w:r w:rsidR="00001239" w:rsidRPr="00001239">
        <w:t>Vida), el renombrado y glorioso guardián que ha mantenido libre de problemas a toda la isla de Lanka. Se terminó en un año sin contratiempos</w:t>
      </w:r>
      <w:r w:rsidR="00631C21">
        <w:t>,</w:t>
      </w:r>
      <w:r w:rsidR="00001239" w:rsidRPr="00001239">
        <w:t xml:space="preserve"> en un mundo acosado por contratiempos, para que todos los seres logren…’’ (Epílogo de </w:t>
      </w:r>
      <w:proofErr w:type="spellStart"/>
      <w:r w:rsidR="00001239" w:rsidRPr="00001239">
        <w:t>Vin</w:t>
      </w:r>
      <w:proofErr w:type="spellEnd"/>
      <w:r w:rsidR="00001239" w:rsidRPr="00001239">
        <w:t>-a).</w:t>
      </w:r>
    </w:p>
    <w:p w14:paraId="5775CAD4" w14:textId="6066E50B" w:rsidR="00001239" w:rsidRPr="00001239" w:rsidRDefault="00001239" w:rsidP="00001239">
      <w:pPr>
        <w:pStyle w:val="NormalConSangria"/>
      </w:pPr>
      <w:r w:rsidRPr="00001239">
        <w:t xml:space="preserve">En general, se supone que escribió y "publicó" sus obras una por una, como lo hacen los autores de hoy. La suposición puede no ser correcta. Hay una coherencia infalible en todo el sistema de explicación que adopta y </w:t>
      </w:r>
      <w:r w:rsidR="00720AF7">
        <w:t xml:space="preserve">se encuentran </w:t>
      </w:r>
      <w:r w:rsidRPr="00001239">
        <w:t xml:space="preserve">referencias cruzadas entre </w:t>
      </w:r>
      <w:r w:rsidR="00720AF7">
        <w:t xml:space="preserve">sus </w:t>
      </w:r>
      <w:r w:rsidRPr="00001239">
        <w:t xml:space="preserve">obras. Esto sugiere que, si bien el </w:t>
      </w:r>
      <w:r w:rsidRPr="008006BA">
        <w:rPr>
          <w:i/>
          <w:iCs/>
        </w:rPr>
        <w:t>Visuddhimagga</w:t>
      </w:r>
      <w:r w:rsidRPr="00001239">
        <w:t xml:space="preserve"> en sí tal vez se compuso y produjo primero, es más probable que los otros</w:t>
      </w:r>
      <w:r w:rsidR="00720AF7">
        <w:t xml:space="preserve"> textos</w:t>
      </w:r>
      <w:r w:rsidRPr="00001239">
        <w:t>, tal como existen ahora, se trabajar</w:t>
      </w:r>
      <w:r w:rsidR="00F16AD9">
        <w:t>a</w:t>
      </w:r>
      <w:r w:rsidRPr="00001239">
        <w:t>n al mismo tiempo y se terminar</w:t>
      </w:r>
      <w:r w:rsidR="00F16AD9">
        <w:t>a</w:t>
      </w:r>
      <w:r w:rsidRPr="00001239">
        <w:t xml:space="preserve">n más o menos antes de que se distribuyera </w:t>
      </w:r>
      <w:r w:rsidR="00AE341A">
        <w:t>cualquiera</w:t>
      </w:r>
      <w:r w:rsidRPr="00001239">
        <w:t xml:space="preserve"> de ellos. Es posible que se hayan </w:t>
      </w:r>
      <w:r w:rsidR="00AE341A">
        <w:t>distribuido</w:t>
      </w:r>
      <w:r w:rsidRPr="00001239">
        <w:t xml:space="preserve"> entonces siguiendo el orden de los libros en el </w:t>
      </w:r>
      <w:r w:rsidRPr="00AE341A">
        <w:rPr>
          <w:i/>
          <w:iCs/>
        </w:rPr>
        <w:t>Tipiṭaka</w:t>
      </w:r>
      <w:r w:rsidR="00AE341A">
        <w:rPr>
          <w:i/>
          <w:iCs/>
        </w:rPr>
        <w:t xml:space="preserve">, </w:t>
      </w:r>
      <w:r w:rsidR="00AE341A">
        <w:t>las cuales ellas</w:t>
      </w:r>
      <w:r w:rsidRPr="00001239">
        <w:t xml:space="preserve"> explican. Entonces, de esa manera, se puede </w:t>
      </w:r>
      <w:r w:rsidR="00AE341A">
        <w:t>considerar</w:t>
      </w:r>
      <w:r w:rsidRPr="00001239">
        <w:t xml:space="preserve"> que el </w:t>
      </w:r>
      <w:r w:rsidRPr="005771F4">
        <w:rPr>
          <w:i/>
          <w:iCs/>
        </w:rPr>
        <w:t>Comentario</w:t>
      </w:r>
      <w:r w:rsidRPr="00001239">
        <w:t xml:space="preserve"> </w:t>
      </w:r>
      <w:proofErr w:type="spellStart"/>
      <w:r w:rsidRPr="00AE341A">
        <w:rPr>
          <w:i/>
          <w:iCs/>
        </w:rPr>
        <w:t>Vinaya</w:t>
      </w:r>
      <w:proofErr w:type="spellEnd"/>
      <w:r w:rsidRPr="00001239">
        <w:t xml:space="preserve"> </w:t>
      </w:r>
      <w:r w:rsidR="005771F4">
        <w:t xml:space="preserve">surgió </w:t>
      </w:r>
      <w:r w:rsidRPr="00001239">
        <w:t xml:space="preserve">después del </w:t>
      </w:r>
      <w:r w:rsidRPr="008006BA">
        <w:rPr>
          <w:i/>
          <w:iCs/>
        </w:rPr>
        <w:t>Visuddhimagga</w:t>
      </w:r>
      <w:r w:rsidRPr="00001239">
        <w:t xml:space="preserve">; luego los </w:t>
      </w:r>
      <w:r w:rsidR="005771F4" w:rsidRPr="00001239">
        <w:t xml:space="preserve">cuatro </w:t>
      </w:r>
      <w:r w:rsidRPr="005771F4">
        <w:rPr>
          <w:i/>
          <w:iCs/>
        </w:rPr>
        <w:t>Comentarios</w:t>
      </w:r>
      <w:r w:rsidRPr="00001239">
        <w:t xml:space="preserve"> </w:t>
      </w:r>
      <w:r w:rsidR="00AE341A">
        <w:rPr>
          <w:i/>
          <w:iCs/>
        </w:rPr>
        <w:t>Nikāya</w:t>
      </w:r>
      <w:r w:rsidRPr="00001239">
        <w:t xml:space="preserve"> (Colecciones de </w:t>
      </w:r>
      <w:r w:rsidR="00AE341A">
        <w:t xml:space="preserve">los </w:t>
      </w:r>
      <w:r w:rsidRPr="00AE341A">
        <w:rPr>
          <w:i/>
          <w:iCs/>
        </w:rPr>
        <w:t>Suttas</w:t>
      </w:r>
      <w:r w:rsidRPr="00001239">
        <w:t xml:space="preserve">), y después de ellos los </w:t>
      </w:r>
      <w:r w:rsidRPr="008006BA">
        <w:rPr>
          <w:i/>
          <w:iCs/>
        </w:rPr>
        <w:t>Comentarios</w:t>
      </w:r>
      <w:r w:rsidRPr="00001239">
        <w:t xml:space="preserve"> </w:t>
      </w:r>
      <w:proofErr w:type="spellStart"/>
      <w:r w:rsidRPr="008006BA">
        <w:rPr>
          <w:i/>
          <w:iCs/>
        </w:rPr>
        <w:t>Abhi</w:t>
      </w:r>
      <w:r w:rsidR="00AE341A">
        <w:rPr>
          <w:i/>
          <w:iCs/>
        </w:rPr>
        <w:t>d</w:t>
      </w:r>
      <w:r w:rsidR="00057BF4" w:rsidRPr="00057BF4">
        <w:rPr>
          <w:i/>
          <w:iCs/>
        </w:rPr>
        <w:t>hamma</w:t>
      </w:r>
      <w:proofErr w:type="spellEnd"/>
      <w:r w:rsidRPr="00001239">
        <w:t xml:space="preserve">. Aunque no se dice que el </w:t>
      </w:r>
      <w:r w:rsidRPr="00AE341A">
        <w:rPr>
          <w:i/>
          <w:iCs/>
        </w:rPr>
        <w:t>Comentario</w:t>
      </w:r>
      <w:r w:rsidRPr="00001239">
        <w:t xml:space="preserve"> </w:t>
      </w:r>
      <w:proofErr w:type="spellStart"/>
      <w:r w:rsidRPr="00AE341A">
        <w:rPr>
          <w:i/>
          <w:iCs/>
        </w:rPr>
        <w:t>Vinaya</w:t>
      </w:r>
      <w:proofErr w:type="spellEnd"/>
      <w:r w:rsidRPr="00001239">
        <w:t xml:space="preserve"> se </w:t>
      </w:r>
      <w:r w:rsidR="00F16AD9">
        <w:t>terminase</w:t>
      </w:r>
      <w:r w:rsidRPr="00001239">
        <w:t xml:space="preserve"> primero, el prólogo y el epílogo contienen la mayor parte de la información. Los cuatro </w:t>
      </w:r>
      <w:r w:rsidRPr="008006BA">
        <w:rPr>
          <w:i/>
          <w:iCs/>
        </w:rPr>
        <w:t>Comentarios Nikāya</w:t>
      </w:r>
      <w:r w:rsidRPr="00001239">
        <w:t xml:space="preserve"> tienen el mismo </w:t>
      </w:r>
      <w:r w:rsidR="005771F4">
        <w:t xml:space="preserve">y </w:t>
      </w:r>
      <w:r w:rsidR="005771F4" w:rsidRPr="00001239">
        <w:t xml:space="preserve">básico </w:t>
      </w:r>
      <w:r w:rsidRPr="00001239">
        <w:t xml:space="preserve">prólogo; pero el </w:t>
      </w:r>
      <w:r w:rsidRPr="008006BA">
        <w:rPr>
          <w:i/>
          <w:iCs/>
        </w:rPr>
        <w:t xml:space="preserve">Comentario </w:t>
      </w:r>
      <w:proofErr w:type="spellStart"/>
      <w:r w:rsidRPr="008006BA">
        <w:rPr>
          <w:i/>
          <w:iCs/>
        </w:rPr>
        <w:t>Saṃyutta</w:t>
      </w:r>
      <w:proofErr w:type="spellEnd"/>
      <w:r w:rsidRPr="008006BA">
        <w:rPr>
          <w:i/>
          <w:iCs/>
        </w:rPr>
        <w:t xml:space="preserve"> Nikāya</w:t>
      </w:r>
      <w:r w:rsidRPr="00001239">
        <w:t xml:space="preserve"> inserta en su prólogo una estrofa que remite al lector a "las dos Colecciones anteriores" (es decir, </w:t>
      </w:r>
      <w:r w:rsidR="00A07E57">
        <w:t xml:space="preserve">al </w:t>
      </w:r>
      <w:r w:rsidRPr="008006BA">
        <w:rPr>
          <w:i/>
          <w:iCs/>
        </w:rPr>
        <w:t>Dīgha</w:t>
      </w:r>
      <w:r w:rsidRPr="00001239">
        <w:t xml:space="preserve"> y </w:t>
      </w:r>
      <w:r w:rsidR="00A07E57">
        <w:t xml:space="preserve">al </w:t>
      </w:r>
      <w:proofErr w:type="spellStart"/>
      <w:r w:rsidRPr="008006BA">
        <w:rPr>
          <w:i/>
          <w:iCs/>
        </w:rPr>
        <w:t>Majjhima</w:t>
      </w:r>
      <w:proofErr w:type="spellEnd"/>
      <w:r w:rsidRPr="008006BA">
        <w:rPr>
          <w:i/>
          <w:iCs/>
        </w:rPr>
        <w:t xml:space="preserve"> Nikāya</w:t>
      </w:r>
      <w:r w:rsidRPr="00001239">
        <w:t>) para explica</w:t>
      </w:r>
      <w:r w:rsidR="00AE341A">
        <w:t>r</w:t>
      </w:r>
      <w:r w:rsidRPr="00001239">
        <w:t xml:space="preserve"> los nombres de pueblos y para </w:t>
      </w:r>
      <w:r w:rsidR="00A07E57">
        <w:t xml:space="preserve">las </w:t>
      </w:r>
      <w:r w:rsidRPr="00001239">
        <w:t xml:space="preserve">historias ilustrativas, mientras que </w:t>
      </w:r>
      <w:r w:rsidR="00AE341A">
        <w:t xml:space="preserve">el </w:t>
      </w:r>
      <w:r w:rsidR="00AE341A" w:rsidRPr="00AE341A">
        <w:rPr>
          <w:i/>
          <w:iCs/>
        </w:rPr>
        <w:t>Comentario</w:t>
      </w:r>
      <w:r w:rsidR="00AE341A">
        <w:t xml:space="preserve"> </w:t>
      </w:r>
    </w:p>
    <w:p w14:paraId="5CF30A98" w14:textId="77777777" w:rsidR="00001239" w:rsidRPr="00001239" w:rsidRDefault="00001239" w:rsidP="00001239"/>
    <w:p w14:paraId="72EA526A" w14:textId="77777777" w:rsidR="00001239" w:rsidRPr="00001239" w:rsidRDefault="00001239" w:rsidP="00001239">
      <w:pPr>
        <w:pStyle w:val="PiedepginaLegal"/>
        <w:rPr>
          <w:u w:val="single"/>
        </w:rPr>
      </w:pPr>
      <w:r w:rsidRPr="00001239">
        <w:rPr>
          <w:u w:val="single"/>
        </w:rPr>
        <w:t xml:space="preserve">                                                                                       .</w:t>
      </w:r>
    </w:p>
    <w:p w14:paraId="6F5071DF" w14:textId="77777777" w:rsidR="00001239" w:rsidRDefault="00001239" w:rsidP="00001239">
      <w:pPr>
        <w:pStyle w:val="PiedepginaLegal"/>
      </w:pPr>
      <w:r w:rsidRPr="00001239">
        <w:t xml:space="preserve">… </w:t>
      </w:r>
    </w:p>
    <w:p w14:paraId="178091AA" w14:textId="263209A2" w:rsidR="003555C1" w:rsidRDefault="00001239" w:rsidP="00001239">
      <w:pPr>
        <w:pStyle w:val="PiedepginaLegal"/>
      </w:pPr>
      <w:r>
        <w:tab/>
      </w:r>
      <w:r w:rsidRPr="00001239">
        <w:t xml:space="preserve">donde se menciona cierta coincidencia de nombres que podría sugerir una posible identificación de </w:t>
      </w:r>
      <w:proofErr w:type="spellStart"/>
      <w:r w:rsidRPr="00001239">
        <w:t>Mora</w:t>
      </w:r>
      <w:r w:rsidR="008006BA">
        <w:t>ṇḍ</w:t>
      </w:r>
      <w:r w:rsidRPr="00001239">
        <w:t>akhe</w:t>
      </w:r>
      <w:r w:rsidR="008006BA">
        <w:t>ṭ</w:t>
      </w:r>
      <w:r w:rsidRPr="00001239">
        <w:t>aka</w:t>
      </w:r>
      <w:proofErr w:type="spellEnd"/>
      <w:r w:rsidRPr="00001239">
        <w:t xml:space="preserve"> (siendo </w:t>
      </w:r>
      <w:r w:rsidR="008006BA">
        <w:t xml:space="preserve">el </w:t>
      </w:r>
      <w:r w:rsidR="008006BA">
        <w:rPr>
          <w:i/>
          <w:iCs/>
        </w:rPr>
        <w:t>Pāḷi</w:t>
      </w:r>
      <w:r w:rsidR="008006BA">
        <w:t xml:space="preserve"> de</w:t>
      </w:r>
      <w:r w:rsidR="008006BA" w:rsidRPr="00001239">
        <w:t xml:space="preserve"> </w:t>
      </w:r>
      <w:proofErr w:type="spellStart"/>
      <w:r w:rsidRPr="008006BA">
        <w:rPr>
          <w:i/>
          <w:iCs/>
        </w:rPr>
        <w:t>mora</w:t>
      </w:r>
      <w:r w:rsidR="008006BA" w:rsidRPr="008006BA">
        <w:rPr>
          <w:i/>
          <w:iCs/>
        </w:rPr>
        <w:t>ṇḍ</w:t>
      </w:r>
      <w:r w:rsidRPr="008006BA">
        <w:rPr>
          <w:i/>
          <w:iCs/>
        </w:rPr>
        <w:t>a</w:t>
      </w:r>
      <w:proofErr w:type="spellEnd"/>
      <w:r w:rsidRPr="00001239">
        <w:t xml:space="preserve"> 'huevo de pavo real' y </w:t>
      </w:r>
      <w:proofErr w:type="spellStart"/>
      <w:r w:rsidRPr="008006BA">
        <w:rPr>
          <w:i/>
          <w:iCs/>
        </w:rPr>
        <w:t>khedaka</w:t>
      </w:r>
      <w:proofErr w:type="spellEnd"/>
      <w:r w:rsidRPr="00001239">
        <w:t xml:space="preserve"> </w:t>
      </w:r>
      <w:proofErr w:type="spellStart"/>
      <w:r w:rsidRPr="00001239">
        <w:t>Skr</w:t>
      </w:r>
      <w:proofErr w:type="spellEnd"/>
      <w:r w:rsidRPr="00001239">
        <w:t xml:space="preserve">. para “pueblo”—ver </w:t>
      </w:r>
      <w:proofErr w:type="spellStart"/>
      <w:r w:rsidRPr="00001239">
        <w:t>Vism</w:t>
      </w:r>
      <w:proofErr w:type="spellEnd"/>
      <w:r w:rsidRPr="00001239">
        <w:t xml:space="preserve"> </w:t>
      </w:r>
      <w:proofErr w:type="spellStart"/>
      <w:r w:rsidRPr="00001239">
        <w:t>Ae</w:t>
      </w:r>
      <w:proofErr w:type="spellEnd"/>
      <w:r w:rsidRPr="00001239">
        <w:t xml:space="preserve"> ed., p. </w:t>
      </w:r>
      <w:proofErr w:type="spellStart"/>
      <w:r w:rsidRPr="00001239">
        <w:t>xv</w:t>
      </w:r>
      <w:proofErr w:type="spellEnd"/>
      <w:r w:rsidRPr="00001239">
        <w:t xml:space="preserve">) con pueblos adyacentes, a 51 millas de </w:t>
      </w:r>
      <w:proofErr w:type="spellStart"/>
      <w:r w:rsidRPr="00001239">
        <w:t>Nāgārjunakoṇḍa</w:t>
      </w:r>
      <w:proofErr w:type="spellEnd"/>
      <w:r w:rsidRPr="00001239">
        <w:t xml:space="preserve"> y a 58 millas de </w:t>
      </w:r>
      <w:proofErr w:type="spellStart"/>
      <w:r w:rsidRPr="00001239">
        <w:t>Amarāvatī</w:t>
      </w:r>
      <w:proofErr w:type="spellEnd"/>
      <w:r w:rsidRPr="00001239">
        <w:t xml:space="preserve">, llamados </w:t>
      </w:r>
      <w:proofErr w:type="spellStart"/>
      <w:r w:rsidRPr="00001239">
        <w:t>Kotanemalipuri</w:t>
      </w:r>
      <w:proofErr w:type="spellEnd"/>
      <w:r w:rsidRPr="00001239">
        <w:t xml:space="preserve"> y </w:t>
      </w:r>
      <w:proofErr w:type="spellStart"/>
      <w:r w:rsidRPr="00001239">
        <w:t>Gundlapalli</w:t>
      </w:r>
      <w:proofErr w:type="spellEnd"/>
      <w:r w:rsidRPr="00001239">
        <w:t xml:space="preserve"> (</w:t>
      </w:r>
      <w:proofErr w:type="spellStart"/>
      <w:r w:rsidRPr="008006BA">
        <w:rPr>
          <w:i/>
          <w:iCs/>
        </w:rPr>
        <w:t>nemali</w:t>
      </w:r>
      <w:proofErr w:type="spellEnd"/>
      <w:r w:rsidRPr="00001239">
        <w:t xml:space="preserve"> y </w:t>
      </w:r>
      <w:proofErr w:type="spellStart"/>
      <w:r w:rsidRPr="008006BA">
        <w:rPr>
          <w:i/>
          <w:iCs/>
        </w:rPr>
        <w:t>gundla</w:t>
      </w:r>
      <w:proofErr w:type="spellEnd"/>
      <w:r w:rsidRPr="00001239">
        <w:t xml:space="preserve"> </w:t>
      </w:r>
      <w:r w:rsidR="00A51889">
        <w:t xml:space="preserve">están </w:t>
      </w:r>
      <w:r w:rsidR="003677B3">
        <w:t xml:space="preserve">escritos </w:t>
      </w:r>
      <w:r w:rsidR="00A51889">
        <w:t>en el dialecto</w:t>
      </w:r>
      <w:r w:rsidRPr="00001239">
        <w:t xml:space="preserve"> </w:t>
      </w:r>
      <w:proofErr w:type="spellStart"/>
      <w:r w:rsidRPr="00001239">
        <w:t>Telegu</w:t>
      </w:r>
      <w:proofErr w:type="spellEnd"/>
      <w:r w:rsidRPr="00001239">
        <w:t xml:space="preserve"> </w:t>
      </w:r>
      <w:r w:rsidR="00A51889">
        <w:t xml:space="preserve">y significan </w:t>
      </w:r>
      <w:r w:rsidRPr="00001239">
        <w:t>respectivamente “pavo real” y “huevo”). Sin embargo, se necesitar</w:t>
      </w:r>
      <w:r w:rsidR="00A51889">
        <w:t>ía</w:t>
      </w:r>
      <w:r w:rsidRPr="00001239">
        <w:t xml:space="preserve"> información más </w:t>
      </w:r>
      <w:r w:rsidRPr="008006BA">
        <w:t>específica</w:t>
      </w:r>
      <w:r w:rsidRPr="00001239">
        <w:t xml:space="preserve"> antes de que pueda aceptarse como </w:t>
      </w:r>
      <w:r w:rsidR="00F403A8">
        <w:t>afirmación</w:t>
      </w:r>
      <w:r w:rsidRPr="00001239">
        <w:t xml:space="preserve"> de que el </w:t>
      </w:r>
      <w:proofErr w:type="spellStart"/>
      <w:r w:rsidRPr="008006BA">
        <w:rPr>
          <w:i/>
          <w:iCs/>
        </w:rPr>
        <w:t>Mahāvaṃsa</w:t>
      </w:r>
      <w:proofErr w:type="spellEnd"/>
      <w:r w:rsidRPr="00001239">
        <w:t xml:space="preserve"> est</w:t>
      </w:r>
      <w:r w:rsidR="00A51889">
        <w:t>é</w:t>
      </w:r>
      <w:r w:rsidRPr="00001239">
        <w:t xml:space="preserve"> </w:t>
      </w:r>
      <w:r w:rsidR="00F403A8">
        <w:t xml:space="preserve">errado respecto a </w:t>
      </w:r>
      <w:r w:rsidRPr="00001239">
        <w:t>su lugar de nacimiento. Se necesita urgentemente más información sobre cualquier conexión entre Sri Lanka y esos grandes centros budistas</w:t>
      </w:r>
      <w:r w:rsidR="0058401F">
        <w:t>,</w:t>
      </w:r>
      <w:r w:rsidRPr="00001239">
        <w:t xml:space="preserve"> </w:t>
      </w:r>
      <w:r w:rsidR="00223A62">
        <w:t>a</w:t>
      </w:r>
      <w:r w:rsidRPr="00001239">
        <w:t>l sur de la India.</w:t>
      </w:r>
    </w:p>
    <w:p w14:paraId="7F5151B0" w14:textId="77777777" w:rsidR="003555C1" w:rsidRDefault="003555C1">
      <w:r>
        <w:br w:type="page"/>
      </w:r>
    </w:p>
    <w:p w14:paraId="4FD0E347" w14:textId="17B9A595" w:rsidR="00EF761C" w:rsidRDefault="005771F4" w:rsidP="00EF761C">
      <w:proofErr w:type="spellStart"/>
      <w:r w:rsidRPr="008006BA">
        <w:rPr>
          <w:i/>
          <w:iCs/>
        </w:rPr>
        <w:lastRenderedPageBreak/>
        <w:t>Aṅguttara</w:t>
      </w:r>
      <w:proofErr w:type="spellEnd"/>
      <w:r w:rsidRPr="008006BA">
        <w:rPr>
          <w:i/>
          <w:iCs/>
        </w:rPr>
        <w:t xml:space="preserve"> </w:t>
      </w:r>
      <w:r w:rsidR="00EF761C" w:rsidRPr="008006BA">
        <w:rPr>
          <w:i/>
          <w:iCs/>
        </w:rPr>
        <w:t xml:space="preserve">Nikāya </w:t>
      </w:r>
      <w:r w:rsidR="00EF761C">
        <w:t>reemplaza esta estrofa con otra</w:t>
      </w:r>
      <w:r w:rsidR="007F29D9">
        <w:t>,</w:t>
      </w:r>
      <w:r w:rsidR="00EF761C">
        <w:t xml:space="preserve"> que se refiere </w:t>
      </w:r>
      <w:r w:rsidR="00AE341A">
        <w:t xml:space="preserve">por su nombre </w:t>
      </w:r>
      <w:r w:rsidR="00EF761C">
        <w:t>a</w:t>
      </w:r>
      <w:r w:rsidR="00AE341A">
        <w:t>l</w:t>
      </w:r>
      <w:r w:rsidR="00EF761C">
        <w:t xml:space="preserve"> “</w:t>
      </w:r>
      <w:r w:rsidR="00EF761C" w:rsidRPr="008006BA">
        <w:rPr>
          <w:i/>
          <w:iCs/>
        </w:rPr>
        <w:t>Dīgha</w:t>
      </w:r>
      <w:r w:rsidR="00EF761C">
        <w:t xml:space="preserve"> y </w:t>
      </w:r>
      <w:proofErr w:type="spellStart"/>
      <w:r w:rsidR="00EF761C" w:rsidRPr="008006BA">
        <w:rPr>
          <w:i/>
          <w:iCs/>
        </w:rPr>
        <w:t>Majjhima</w:t>
      </w:r>
      <w:proofErr w:type="spellEnd"/>
      <w:r w:rsidR="00EF761C">
        <w:t>” con el mismo propósito. El punto puede parecer laborioso e inclus</w:t>
      </w:r>
      <w:r w:rsidR="007F29D9">
        <w:t>ive</w:t>
      </w:r>
      <w:r w:rsidR="00EF761C">
        <w:t xml:space="preserve"> trivial, pero no es irrelevante; porque si se supone que estas obras fueron escritas y “publicadas” en algún orden histórico </w:t>
      </w:r>
      <w:r w:rsidR="00621E4E">
        <w:t>en su</w:t>
      </w:r>
      <w:r w:rsidR="00EF761C">
        <w:t xml:space="preserve"> composición, uno espera</w:t>
      </w:r>
      <w:r w:rsidR="00AE341A">
        <w:t>ría</w:t>
      </w:r>
      <w:r w:rsidR="00EF761C">
        <w:t xml:space="preserve"> encontrar algún desarrollo de pensamiento</w:t>
      </w:r>
      <w:r w:rsidR="00AE341A">
        <w:t>s</w:t>
      </w:r>
      <w:r w:rsidR="00EF761C">
        <w:t xml:space="preserve"> correspondiente</w:t>
      </w:r>
      <w:r w:rsidR="00AE341A">
        <w:t>s</w:t>
      </w:r>
      <w:r w:rsidR="00EF761C">
        <w:t xml:space="preserve"> y tal vez descubr</w:t>
      </w:r>
      <w:r w:rsidR="00AE341A">
        <w:t>iría</w:t>
      </w:r>
      <w:r w:rsidR="00EF761C">
        <w:t xml:space="preserve"> lo que la suposición ha</w:t>
      </w:r>
      <w:r w:rsidR="00AE341A">
        <w:t>ya</w:t>
      </w:r>
      <w:r w:rsidR="00EF761C">
        <w:t xml:space="preserve"> proyectado sobre ellas. La suposición más probable, basada en la consideración de los contenidos reales, es que su forma y contenido se establecieron antes de que se diera</w:t>
      </w:r>
      <w:r w:rsidR="007F29D9">
        <w:t>n</w:t>
      </w:r>
      <w:r w:rsidR="00EF761C">
        <w:t xml:space="preserve"> a conocer cualquiera de ellos.</w:t>
      </w:r>
    </w:p>
    <w:p w14:paraId="1BABEECA" w14:textId="3E101362" w:rsidR="00EF761C" w:rsidRDefault="00AE341A" w:rsidP="00EF761C">
      <w:r>
        <w:tab/>
      </w:r>
      <w:r w:rsidR="00EF761C">
        <w:t xml:space="preserve">A veces se argumenta que los </w:t>
      </w:r>
      <w:r w:rsidR="00D805C4" w:rsidRPr="00D805C4">
        <w:rPr>
          <w:i/>
          <w:iCs/>
        </w:rPr>
        <w:t>Comentarios</w:t>
      </w:r>
      <w:r w:rsidR="00D805C4">
        <w:t xml:space="preserve"> </w:t>
      </w:r>
      <w:proofErr w:type="spellStart"/>
      <w:r w:rsidR="00057BF4" w:rsidRPr="00057BF4">
        <w:rPr>
          <w:i/>
          <w:iCs/>
        </w:rPr>
        <w:t>Dhamma</w:t>
      </w:r>
      <w:r w:rsidR="00EF761C" w:rsidRPr="008006BA">
        <w:rPr>
          <w:i/>
          <w:iCs/>
        </w:rPr>
        <w:t>pada</w:t>
      </w:r>
      <w:proofErr w:type="spellEnd"/>
      <w:r w:rsidR="00EF761C">
        <w:t xml:space="preserve"> y </w:t>
      </w:r>
      <w:r w:rsidR="00D805C4">
        <w:t xml:space="preserve">de </w:t>
      </w:r>
      <w:r w:rsidR="00EF761C">
        <w:t>l</w:t>
      </w:r>
      <w:r w:rsidR="00D805C4">
        <w:t>os</w:t>
      </w:r>
      <w:r w:rsidR="00EF761C">
        <w:t xml:space="preserve"> </w:t>
      </w:r>
      <w:proofErr w:type="spellStart"/>
      <w:r w:rsidR="00EF761C" w:rsidRPr="008006BA">
        <w:rPr>
          <w:i/>
          <w:iCs/>
        </w:rPr>
        <w:t>Jātaka</w:t>
      </w:r>
      <w:r w:rsidR="001E3235">
        <w:rPr>
          <w:i/>
          <w:iCs/>
        </w:rPr>
        <w:t>s</w:t>
      </w:r>
      <w:proofErr w:type="spellEnd"/>
      <w:r w:rsidR="00EF761C">
        <w:t xml:space="preserve"> pueden no ser del mismo autor porque el estilo </w:t>
      </w:r>
      <w:r w:rsidR="00D805C4">
        <w:t>difiere</w:t>
      </w:r>
      <w:r w:rsidR="00EF761C">
        <w:t xml:space="preserve">. </w:t>
      </w:r>
      <w:r w:rsidR="00D805C4">
        <w:t xml:space="preserve">No obstante, </w:t>
      </w:r>
      <w:r w:rsidR="00EF761C">
        <w:t xml:space="preserve">ese hecho podría explicarse por la diferencia </w:t>
      </w:r>
      <w:r>
        <w:t>de los</w:t>
      </w:r>
      <w:r w:rsidR="00EF761C">
        <w:t xml:space="preserve"> tema</w:t>
      </w:r>
      <w:r>
        <w:t>s</w:t>
      </w:r>
      <w:r w:rsidR="00EF761C">
        <w:t xml:space="preserve">; porque estos dos comentarios consisten principalmente </w:t>
      </w:r>
      <w:r>
        <w:t>de</w:t>
      </w:r>
      <w:r w:rsidR="00EF761C">
        <w:t xml:space="preserve"> historias populares, que juegan un papel muy secundario en las </w:t>
      </w:r>
      <w:r>
        <w:t>demás</w:t>
      </w:r>
      <w:r w:rsidR="00EF761C">
        <w:t xml:space="preserve"> obras. Además, aunque este autor es inexorablemente consistente </w:t>
      </w:r>
      <w:r>
        <w:t xml:space="preserve">en sus explicaciones sobre el </w:t>
      </w:r>
      <w:r w:rsidRPr="00057BF4">
        <w:rPr>
          <w:i/>
        </w:rPr>
        <w:t>Dhamma</w:t>
      </w:r>
      <w:r>
        <w:t xml:space="preserve"> </w:t>
      </w:r>
      <w:r w:rsidR="00EF761C">
        <w:t xml:space="preserve">a lo largo de sus obras, de ninguna </w:t>
      </w:r>
      <w:r>
        <w:t xml:space="preserve">otra forma, </w:t>
      </w:r>
      <w:r w:rsidR="00EF761C">
        <w:t>mant</w:t>
      </w:r>
      <w:r>
        <w:t>uvo siempre</w:t>
      </w:r>
      <w:r w:rsidR="00EF761C">
        <w:t xml:space="preserve"> esa coherencia en </w:t>
      </w:r>
      <w:r>
        <w:t xml:space="preserve">las </w:t>
      </w:r>
      <w:r w:rsidR="00EF761C">
        <w:t xml:space="preserve">diferentes versiones de </w:t>
      </w:r>
      <w:r w:rsidR="00867016">
        <w:t>un</w:t>
      </w:r>
      <w:r w:rsidR="00EF761C">
        <w:t xml:space="preserve">a misma historia </w:t>
      </w:r>
      <w:r>
        <w:t>como</w:t>
      </w:r>
      <w:r w:rsidR="00EF761C">
        <w:t xml:space="preserve">, digamos, </w:t>
      </w:r>
      <w:r w:rsidR="00867016">
        <w:t xml:space="preserve">en </w:t>
      </w:r>
      <w:r>
        <w:t xml:space="preserve">los </w:t>
      </w:r>
      <w:r w:rsidR="00EF761C">
        <w:t xml:space="preserve">diferentes </w:t>
      </w:r>
      <w:r w:rsidR="00EF761C" w:rsidRPr="00AE341A">
        <w:rPr>
          <w:i/>
          <w:iCs/>
        </w:rPr>
        <w:t>Comentarios Nikāya</w:t>
      </w:r>
      <w:r w:rsidR="00EF761C">
        <w:t xml:space="preserve"> (compárese, por ejemplo, la versión de la historia del </w:t>
      </w:r>
      <w:r w:rsidR="008020F7">
        <w:t>Venerable</w:t>
      </w:r>
      <w:r w:rsidR="008020F7" w:rsidRPr="00001239">
        <w:t xml:space="preserve"> </w:t>
      </w:r>
      <w:proofErr w:type="spellStart"/>
      <w:r w:rsidR="00EF761C">
        <w:t>Tissabhūti</w:t>
      </w:r>
      <w:proofErr w:type="spellEnd"/>
      <w:r w:rsidR="00EF761C">
        <w:t xml:space="preserve"> dad</w:t>
      </w:r>
      <w:r>
        <w:t>a</w:t>
      </w:r>
      <w:r w:rsidR="00EF761C">
        <w:t xml:space="preserve"> en el comentario </w:t>
      </w:r>
      <w:r w:rsidR="00867016">
        <w:t>de</w:t>
      </w:r>
      <w:r>
        <w:t>l</w:t>
      </w:r>
      <w:r w:rsidR="00EF761C">
        <w:t xml:space="preserve"> AN 1:2.6, con </w:t>
      </w:r>
      <w:r>
        <w:t>la misma</w:t>
      </w:r>
      <w:r w:rsidR="00EF761C">
        <w:t xml:space="preserve"> </w:t>
      </w:r>
      <w:r w:rsidR="00867016">
        <w:t>d</w:t>
      </w:r>
      <w:r>
        <w:t xml:space="preserve">el </w:t>
      </w:r>
      <w:r w:rsidR="00EF761C">
        <w:t xml:space="preserve">M-a I 66; también la versión de la historia del </w:t>
      </w:r>
      <w:r>
        <w:t xml:space="preserve">Venerable </w:t>
      </w:r>
      <w:r w:rsidR="00EF761C">
        <w:t xml:space="preserve">Mahā </w:t>
      </w:r>
      <w:proofErr w:type="spellStart"/>
      <w:r w:rsidR="00EF761C">
        <w:t>Tissa</w:t>
      </w:r>
      <w:proofErr w:type="spellEnd"/>
      <w:r w:rsidR="00EF761C">
        <w:t xml:space="preserve"> </w:t>
      </w:r>
      <w:r w:rsidR="00867016">
        <w:t>del</w:t>
      </w:r>
      <w:r w:rsidR="00EF761C">
        <w:t xml:space="preserve"> A-a, </w:t>
      </w:r>
      <w:r>
        <w:t xml:space="preserve">y la </w:t>
      </w:r>
      <w:r w:rsidR="00EF761C">
        <w:t xml:space="preserve">misma ref., </w:t>
      </w:r>
      <w:r w:rsidR="00867016">
        <w:t>d</w:t>
      </w:r>
      <w:r>
        <w:t xml:space="preserve">el </w:t>
      </w:r>
      <w:r w:rsidR="00EF761C">
        <w:t>M-a I 185). Quizás sintió menos necesidad de rigor con ese material hist</w:t>
      </w:r>
      <w:r>
        <w:t>ó</w:t>
      </w:r>
      <w:r w:rsidR="00EF761C">
        <w:t>r</w:t>
      </w:r>
      <w:r>
        <w:t>ico</w:t>
      </w:r>
      <w:r w:rsidR="00EF761C">
        <w:t xml:space="preserve">. </w:t>
      </w:r>
      <w:r>
        <w:t>T</w:t>
      </w:r>
      <w:r w:rsidR="00EF761C">
        <w:t xml:space="preserve">ambién </w:t>
      </w:r>
      <w:r w:rsidR="00867016">
        <w:t xml:space="preserve">pueden existir </w:t>
      </w:r>
      <w:r w:rsidR="00EF761C">
        <w:t>otra posibilidad. No sin razón</w:t>
      </w:r>
      <w:r w:rsidR="00867016">
        <w:t>,</w:t>
      </w:r>
      <w:r w:rsidR="00EF761C">
        <w:t xml:space="preserve"> se puede suponer que no trabajaba solo, sin </w:t>
      </w:r>
      <w:r w:rsidR="00867016">
        <w:t xml:space="preserve">ninguna </w:t>
      </w:r>
      <w:r w:rsidR="00EF761C">
        <w:t xml:space="preserve">ayuda, y que </w:t>
      </w:r>
      <w:r w:rsidR="00867016">
        <w:t xml:space="preserve">dispusiese de </w:t>
      </w:r>
      <w:r w:rsidR="00EF761C">
        <w:t xml:space="preserve">asistentes competentes. Si es así, bien podría haber delegado la redacción de los </w:t>
      </w:r>
      <w:r w:rsidR="00EF761C" w:rsidRPr="00AE341A">
        <w:rPr>
          <w:i/>
          <w:iCs/>
        </w:rPr>
        <w:t>Comentarios</w:t>
      </w:r>
      <w:r w:rsidR="00EF761C">
        <w:t xml:space="preserve"> </w:t>
      </w:r>
      <w:proofErr w:type="spellStart"/>
      <w:r w:rsidR="00EF761C" w:rsidRPr="008020F7">
        <w:rPr>
          <w:i/>
          <w:iCs/>
        </w:rPr>
        <w:t>Khuddaka</w:t>
      </w:r>
      <w:proofErr w:type="spellEnd"/>
      <w:r w:rsidR="00EF761C" w:rsidRPr="008020F7">
        <w:rPr>
          <w:i/>
          <w:iCs/>
        </w:rPr>
        <w:t xml:space="preserve"> Nikāya,</w:t>
      </w:r>
      <w:r w:rsidR="00EF761C">
        <w:t xml:space="preserve"> los de</w:t>
      </w:r>
      <w:r w:rsidR="00985B76">
        <w:t>l</w:t>
      </w:r>
      <w:r w:rsidR="00EF761C">
        <w:t xml:space="preserve"> </w:t>
      </w:r>
      <w:proofErr w:type="spellStart"/>
      <w:r w:rsidR="00EF761C" w:rsidRPr="008020F7">
        <w:rPr>
          <w:i/>
          <w:iCs/>
        </w:rPr>
        <w:t>Khuddakapāṭha</w:t>
      </w:r>
      <w:proofErr w:type="spellEnd"/>
      <w:r w:rsidR="00EF761C">
        <w:t xml:space="preserve"> y </w:t>
      </w:r>
      <w:proofErr w:type="spellStart"/>
      <w:r w:rsidR="00EF761C" w:rsidRPr="008020F7">
        <w:rPr>
          <w:i/>
          <w:iCs/>
        </w:rPr>
        <w:t>Suttanipāta</w:t>
      </w:r>
      <w:proofErr w:type="spellEnd"/>
      <w:r w:rsidR="00EF761C">
        <w:t xml:space="preserve">, </w:t>
      </w:r>
      <w:proofErr w:type="spellStart"/>
      <w:r w:rsidR="00057BF4" w:rsidRPr="00057BF4">
        <w:rPr>
          <w:i/>
          <w:iCs/>
        </w:rPr>
        <w:t>Dhamma</w:t>
      </w:r>
      <w:r w:rsidR="00EF761C" w:rsidRPr="008020F7">
        <w:rPr>
          <w:i/>
          <w:iCs/>
        </w:rPr>
        <w:t>pada</w:t>
      </w:r>
      <w:proofErr w:type="spellEnd"/>
      <w:r w:rsidR="00EF761C">
        <w:t xml:space="preserve"> y </w:t>
      </w:r>
      <w:r w:rsidR="00867016">
        <w:t xml:space="preserve">de los </w:t>
      </w:r>
      <w:proofErr w:type="spellStart"/>
      <w:r w:rsidR="00EF761C" w:rsidRPr="008020F7">
        <w:rPr>
          <w:i/>
          <w:iCs/>
        </w:rPr>
        <w:t>Jātaka</w:t>
      </w:r>
      <w:proofErr w:type="spellEnd"/>
      <w:r w:rsidR="00EF761C">
        <w:t>, o parte de ellos, supervisándolos y completándolos él mismo, después de lo cual agreg</w:t>
      </w:r>
      <w:r w:rsidR="00E014CD">
        <w:t>ase</w:t>
      </w:r>
      <w:r w:rsidR="00EF761C">
        <w:t xml:space="preserve"> la "posdata" oficial. Esta suposición no parece inverosímil y entraña menos dificultades que sus </w:t>
      </w:r>
      <w:r w:rsidR="000306B7">
        <w:t xml:space="preserve">correspondientes </w:t>
      </w:r>
      <w:r w:rsidR="00EF761C">
        <w:t>alternativas.</w:t>
      </w:r>
      <w:r w:rsidR="00EF761C" w:rsidRPr="00AE341A">
        <w:rPr>
          <w:vertAlign w:val="superscript"/>
        </w:rPr>
        <w:t>9</w:t>
      </w:r>
      <w:r w:rsidR="00EF761C">
        <w:t xml:space="preserve"> Estos comentarios secundarios bien pueden haber sido compuestos después </w:t>
      </w:r>
      <w:r w:rsidR="00247249">
        <w:t xml:space="preserve">que </w:t>
      </w:r>
      <w:r w:rsidR="00EF761C">
        <w:t>los demás.</w:t>
      </w:r>
    </w:p>
    <w:p w14:paraId="2DF4869D" w14:textId="6CBC9772" w:rsidR="00EF761C" w:rsidRDefault="00EF761C" w:rsidP="00EF761C">
      <w:pPr>
        <w:pStyle w:val="NormalConSangria"/>
      </w:pPr>
      <w:r>
        <w:t xml:space="preserve">La historia temprana </w:t>
      </w:r>
      <w:r w:rsidR="00AE341A">
        <w:t xml:space="preserve">y </w:t>
      </w:r>
      <w:r>
        <w:t xml:space="preserve">completa del </w:t>
      </w:r>
      <w:r w:rsidR="008006BA">
        <w:rPr>
          <w:i/>
          <w:iCs/>
        </w:rPr>
        <w:t xml:space="preserve">Pāḷi </w:t>
      </w:r>
      <w:r w:rsidRPr="008006BA">
        <w:rPr>
          <w:i/>
          <w:iCs/>
        </w:rPr>
        <w:t>Tipiṭaka</w:t>
      </w:r>
      <w:r>
        <w:t xml:space="preserve"> y sus comentarios en cingalés se encuentra en </w:t>
      </w:r>
      <w:r w:rsidR="00AE341A">
        <w:t xml:space="preserve">los textos </w:t>
      </w:r>
      <w:r w:rsidR="00B0608F">
        <w:rPr>
          <w:i/>
          <w:iCs/>
        </w:rPr>
        <w:t xml:space="preserve">Las Crónicas Sobre Sri Lanka </w:t>
      </w:r>
      <w:r w:rsidR="00B0608F">
        <w:t>[</w:t>
      </w:r>
      <w:r w:rsidRPr="00AE341A">
        <w:rPr>
          <w:i/>
          <w:iCs/>
        </w:rPr>
        <w:t xml:space="preserve">Sri Lanka </w:t>
      </w:r>
      <w:proofErr w:type="spellStart"/>
      <w:r w:rsidRPr="00AE341A">
        <w:rPr>
          <w:i/>
          <w:iCs/>
        </w:rPr>
        <w:t>Chronicle</w:t>
      </w:r>
      <w:r w:rsidR="00247249">
        <w:rPr>
          <w:i/>
          <w:iCs/>
        </w:rPr>
        <w:t>s</w:t>
      </w:r>
      <w:proofErr w:type="spellEnd"/>
      <w:r w:rsidR="00B0608F" w:rsidRPr="00B0608F">
        <w:t>]</w:t>
      </w:r>
      <w:r>
        <w:t xml:space="preserve">, </w:t>
      </w:r>
      <w:proofErr w:type="spellStart"/>
      <w:r w:rsidRPr="008006BA">
        <w:rPr>
          <w:i/>
          <w:iCs/>
        </w:rPr>
        <w:t>Dīpavaṃsa</w:t>
      </w:r>
      <w:proofErr w:type="spellEnd"/>
      <w:r>
        <w:t xml:space="preserve"> y </w:t>
      </w:r>
      <w:proofErr w:type="spellStart"/>
      <w:r w:rsidRPr="008006BA">
        <w:rPr>
          <w:i/>
          <w:iCs/>
        </w:rPr>
        <w:t>Mahāvaṃsa</w:t>
      </w:r>
      <w:proofErr w:type="spellEnd"/>
      <w:r>
        <w:t xml:space="preserve">, y también en la introducción al </w:t>
      </w:r>
      <w:r w:rsidR="00AE341A" w:rsidRPr="00AE341A">
        <w:rPr>
          <w:i/>
          <w:iCs/>
        </w:rPr>
        <w:t xml:space="preserve">Comentario </w:t>
      </w:r>
      <w:proofErr w:type="spellStart"/>
      <w:r w:rsidRPr="00AE341A">
        <w:rPr>
          <w:i/>
          <w:iCs/>
        </w:rPr>
        <w:t>Vinaya</w:t>
      </w:r>
      <w:proofErr w:type="spellEnd"/>
      <w:r>
        <w:t xml:space="preserve">. En el prólogo de cada uno de los cuatro </w:t>
      </w:r>
      <w:r w:rsidRPr="008006BA">
        <w:rPr>
          <w:i/>
          <w:iCs/>
        </w:rPr>
        <w:t>Comentarios Nikāya</w:t>
      </w:r>
      <w:r>
        <w:t xml:space="preserve">, </w:t>
      </w:r>
      <w:r w:rsidR="00AE341A">
        <w:t xml:space="preserve">el mismo </w:t>
      </w:r>
      <w:proofErr w:type="spellStart"/>
      <w:r>
        <w:t>Bhadantācariya</w:t>
      </w:r>
      <w:proofErr w:type="spellEnd"/>
      <w:r>
        <w:t xml:space="preserve"> </w:t>
      </w:r>
      <w:r w:rsidR="00057BF4" w:rsidRPr="00AE341A">
        <w:rPr>
          <w:iCs/>
        </w:rPr>
        <w:t>Buddha</w:t>
      </w:r>
      <w:r w:rsidRPr="00AE341A">
        <w:rPr>
          <w:iCs/>
        </w:rPr>
        <w:t>ghosa</w:t>
      </w:r>
      <w:r>
        <w:t xml:space="preserve"> lo resume convenientemente de la siguiente manera: “[Tomaré ahora] el comentario, cuyo objeto </w:t>
      </w:r>
      <w:r w:rsidR="004C59F2">
        <w:t>consiste</w:t>
      </w:r>
      <w:r>
        <w:t xml:space="preserve"> </w:t>
      </w:r>
      <w:r w:rsidR="004C59F2">
        <w:t xml:space="preserve">en </w:t>
      </w:r>
      <w:r>
        <w:t>aclarar el significado de la sutil y excelente Colección Larga (</w:t>
      </w:r>
      <w:r w:rsidRPr="00AE341A">
        <w:rPr>
          <w:i/>
          <w:iCs/>
        </w:rPr>
        <w:t>Dīgha Nikāya</w:t>
      </w:r>
      <w:r>
        <w:t xml:space="preserve">) … expuesto en detalle por el </w:t>
      </w:r>
      <w:r w:rsidR="00057BF4" w:rsidRPr="00057BF4">
        <w:rPr>
          <w:i/>
        </w:rPr>
        <w:t>Buddha</w:t>
      </w:r>
      <w:r>
        <w:t xml:space="preserve"> y por sus semejantes [es decir, el </w:t>
      </w:r>
      <w:r w:rsidR="00AE341A">
        <w:t xml:space="preserve">Venerable </w:t>
      </w:r>
      <w:r>
        <w:t xml:space="preserve">Sāriputta y otros expositores de </w:t>
      </w:r>
      <w:r w:rsidR="00AE341A">
        <w:t xml:space="preserve">los </w:t>
      </w:r>
      <w:r>
        <w:t xml:space="preserve">discursos </w:t>
      </w:r>
      <w:r w:rsidR="00AE341A">
        <w:t>d</w:t>
      </w:r>
      <w:r>
        <w:t xml:space="preserve">el </w:t>
      </w:r>
      <w:r w:rsidRPr="0018719A">
        <w:rPr>
          <w:i/>
          <w:iCs/>
        </w:rPr>
        <w:t xml:space="preserve">Sutta </w:t>
      </w:r>
      <w:proofErr w:type="spellStart"/>
      <w:r w:rsidRPr="0018719A">
        <w:rPr>
          <w:i/>
          <w:iCs/>
        </w:rPr>
        <w:t>Piṭaka</w:t>
      </w:r>
      <w:proofErr w:type="spellEnd"/>
      <w:r>
        <w:t>]—</w:t>
      </w:r>
      <w:r w:rsidR="00AE341A">
        <w:t xml:space="preserve"> </w:t>
      </w:r>
      <w:r w:rsidR="00920172">
        <w:t>d</w:t>
      </w:r>
      <w:r>
        <w:t>el comentario que al principio fue</w:t>
      </w:r>
      <w:r w:rsidR="00AE341A">
        <w:t>se</w:t>
      </w:r>
      <w:r>
        <w:t xml:space="preserve"> </w:t>
      </w:r>
      <w:r w:rsidR="00AE341A">
        <w:t>enunciado</w:t>
      </w:r>
      <w:r>
        <w:t xml:space="preserve"> [en el Primer Concilio] y luego </w:t>
      </w:r>
      <w:proofErr w:type="spellStart"/>
      <w:r>
        <w:t>re-</w:t>
      </w:r>
      <w:r w:rsidR="00AE341A">
        <w:t>enunciado</w:t>
      </w:r>
      <w:proofErr w:type="spellEnd"/>
      <w:r>
        <w:t xml:space="preserve"> [en el Segundo y Tercero], y </w:t>
      </w:r>
      <w:r w:rsidR="00920172">
        <w:t xml:space="preserve">posteriormente </w:t>
      </w:r>
      <w:r>
        <w:t>fue</w:t>
      </w:r>
      <w:r w:rsidR="00AE341A">
        <w:t>se</w:t>
      </w:r>
      <w:r>
        <w:t xml:space="preserve"> llevado a la Isla </w:t>
      </w:r>
      <w:proofErr w:type="spellStart"/>
      <w:r>
        <w:t>Sīhala</w:t>
      </w:r>
      <w:proofErr w:type="spellEnd"/>
      <w:r>
        <w:t xml:space="preserve"> (Sri Lanka) por el </w:t>
      </w:r>
      <w:r w:rsidR="00057BF4" w:rsidRPr="00057BF4">
        <w:rPr>
          <w:i/>
          <w:iCs/>
        </w:rPr>
        <w:t>Arahant</w:t>
      </w:r>
      <w:r>
        <w:t xml:space="preserve"> </w:t>
      </w:r>
      <w:proofErr w:type="spellStart"/>
      <w:r w:rsidRPr="0018719A">
        <w:t>Mahinda</w:t>
      </w:r>
      <w:proofErr w:type="spellEnd"/>
      <w:r w:rsidR="00AE341A">
        <w:t>,</w:t>
      </w:r>
      <w:r>
        <w:t xml:space="preserve"> el Grande</w:t>
      </w:r>
      <w:r w:rsidR="00AE341A">
        <w:t>,</w:t>
      </w:r>
      <w:r>
        <w:t xml:space="preserve"> y traducido a la lengua </w:t>
      </w:r>
      <w:proofErr w:type="spellStart"/>
      <w:r w:rsidRPr="0018719A">
        <w:rPr>
          <w:i/>
          <w:iCs/>
        </w:rPr>
        <w:t>sīhala</w:t>
      </w:r>
      <w:proofErr w:type="spellEnd"/>
      <w:r>
        <w:t xml:space="preserve"> para beneficio de los isleños, y de ese comentario eliminaré la lengua </w:t>
      </w:r>
      <w:proofErr w:type="spellStart"/>
      <w:r w:rsidRPr="00AE341A">
        <w:rPr>
          <w:i/>
          <w:iCs/>
        </w:rPr>
        <w:t>sīhala</w:t>
      </w:r>
      <w:proofErr w:type="spellEnd"/>
      <w:r>
        <w:t xml:space="preserve">, reemplazándola por </w:t>
      </w:r>
      <w:r w:rsidR="00AE341A">
        <w:t>un</w:t>
      </w:r>
      <w:r>
        <w:t xml:space="preserve"> lenguaje elegante que se ajust</w:t>
      </w:r>
      <w:r w:rsidR="00AE341A">
        <w:t>e</w:t>
      </w:r>
      <w:r>
        <w:t xml:space="preserve"> a las Escrituras</w:t>
      </w:r>
      <w:r w:rsidR="00920172">
        <w:t>,</w:t>
      </w:r>
      <w:r>
        <w:t xml:space="preserve"> purificado y libre de defectos. Sin apartarme de</w:t>
      </w:r>
      <w:r w:rsidR="009C318D">
        <w:t xml:space="preserve"> </w:t>
      </w:r>
      <w:r>
        <w:t>l</w:t>
      </w:r>
      <w:r w:rsidR="009C318D">
        <w:t>a</w:t>
      </w:r>
      <w:r>
        <w:t xml:space="preserve"> </w:t>
      </w:r>
      <w:r w:rsidR="006D5638">
        <w:t xml:space="preserve">visión </w:t>
      </w:r>
      <w:r>
        <w:t xml:space="preserve">de los </w:t>
      </w:r>
      <w:r w:rsidR="00AE341A">
        <w:t xml:space="preserve">Venerables </w:t>
      </w:r>
      <w:r>
        <w:t xml:space="preserve">que residen en el Gran Monasterio [en </w:t>
      </w:r>
      <w:proofErr w:type="spellStart"/>
      <w:r>
        <w:t>Anurādhapura</w:t>
      </w:r>
      <w:proofErr w:type="spellEnd"/>
      <w:r>
        <w:t xml:space="preserve">], quienes iluminan la herencia de los </w:t>
      </w:r>
    </w:p>
    <w:p w14:paraId="59414DBE" w14:textId="77777777" w:rsidR="000A76A7" w:rsidRDefault="000A76A7" w:rsidP="00EF761C">
      <w:pPr>
        <w:pStyle w:val="NormalConSangria"/>
      </w:pPr>
    </w:p>
    <w:p w14:paraId="18DCF69A" w14:textId="77777777" w:rsidR="00EF761C" w:rsidRPr="00EF761C" w:rsidRDefault="00EF761C" w:rsidP="00EF761C">
      <w:pPr>
        <w:pStyle w:val="PiedepginaLegal"/>
        <w:rPr>
          <w:u w:val="single"/>
        </w:rPr>
      </w:pPr>
      <w:r w:rsidRPr="00EF761C">
        <w:rPr>
          <w:u w:val="single"/>
        </w:rPr>
        <w:t xml:space="preserve">                                                                                       .</w:t>
      </w:r>
    </w:p>
    <w:p w14:paraId="15E3F79E" w14:textId="2308AF16" w:rsidR="00EF761C" w:rsidRDefault="00EF761C" w:rsidP="00EF761C">
      <w:pPr>
        <w:pStyle w:val="PiedepginaLegal"/>
      </w:pPr>
      <w:r>
        <w:t xml:space="preserve">9. </w:t>
      </w:r>
      <w:r>
        <w:tab/>
        <w:t xml:space="preserve">Una declaración definitiva de que el </w:t>
      </w:r>
      <w:proofErr w:type="spellStart"/>
      <w:r>
        <w:t>Dhp</w:t>
      </w:r>
      <w:proofErr w:type="spellEnd"/>
      <w:r>
        <w:t>-a fue</w:t>
      </w:r>
      <w:r w:rsidR="00AE341A">
        <w:t>ra</w:t>
      </w:r>
      <w:r>
        <w:t xml:space="preserve"> escrito más tarde por otra persona</w:t>
      </w:r>
      <w:r w:rsidR="002C4A23">
        <w:t>,</w:t>
      </w:r>
      <w:r>
        <w:t xml:space="preserve"> difícilmente </w:t>
      </w:r>
      <w:r w:rsidR="004F253C">
        <w:t>podría</w:t>
      </w:r>
      <w:r>
        <w:t xml:space="preserve"> evitar la inferencia de que la "posdata" fue</w:t>
      </w:r>
      <w:r w:rsidR="00AE341A">
        <w:t>se</w:t>
      </w:r>
      <w:r>
        <w:t xml:space="preserve"> un fraude, o al menos</w:t>
      </w:r>
      <w:r w:rsidR="002C4A23">
        <w:t xml:space="preserve">, </w:t>
      </w:r>
      <w:r>
        <w:t>engañosa.</w:t>
      </w:r>
    </w:p>
    <w:p w14:paraId="3A2D8564" w14:textId="77777777" w:rsidR="00683FF2" w:rsidRDefault="00683FF2">
      <w:r>
        <w:br w:type="page"/>
      </w:r>
    </w:p>
    <w:p w14:paraId="7F12A737" w14:textId="74FCAAB1" w:rsidR="00AE341A" w:rsidRDefault="006D5638" w:rsidP="00AE341A">
      <w:r>
        <w:lastRenderedPageBreak/>
        <w:t xml:space="preserve">Venerables </w:t>
      </w:r>
      <w:r w:rsidR="007B3AC8">
        <w:t xml:space="preserve">y están bien versados ​​en la </w:t>
      </w:r>
      <w:r w:rsidR="00AE341A">
        <w:t xml:space="preserve">exposición, y rechazando el tema que se repita innecesariamente, aclararé el significado </w:t>
      </w:r>
      <w:r w:rsidR="00F16482">
        <w:t xml:space="preserve">al respecto </w:t>
      </w:r>
      <w:r w:rsidR="00AE341A">
        <w:t xml:space="preserve">con el propósito de traer satisfacción a las buenas personas y para contribuir a la larga </w:t>
      </w:r>
      <w:r w:rsidR="007B3AC8" w:rsidRPr="0029517C">
        <w:t>preservaci</w:t>
      </w:r>
      <w:r w:rsidR="0029517C" w:rsidRPr="0029517C">
        <w:t>ó</w:t>
      </w:r>
      <w:r w:rsidR="007B3AC8" w:rsidRPr="0029517C">
        <w:t>n</w:t>
      </w:r>
      <w:r w:rsidR="00AE341A">
        <w:t xml:space="preserve"> del </w:t>
      </w:r>
      <w:r w:rsidR="00AE341A" w:rsidRPr="00057BF4">
        <w:rPr>
          <w:i/>
          <w:iCs/>
        </w:rPr>
        <w:t>Dhamma</w:t>
      </w:r>
      <w:r w:rsidR="00AE341A">
        <w:t>”.</w:t>
      </w:r>
    </w:p>
    <w:p w14:paraId="04C93895" w14:textId="432920FB" w:rsidR="000A76CB" w:rsidRDefault="000A76CB" w:rsidP="000A76CB">
      <w:pPr>
        <w:pStyle w:val="NormalConSangria"/>
      </w:pPr>
      <w:r>
        <w:t xml:space="preserve">Hay referencias en estas obras a “los </w:t>
      </w:r>
      <w:r w:rsidR="00F16482">
        <w:t>Venerables</w:t>
      </w:r>
      <w:r>
        <w:t>” (</w:t>
      </w:r>
      <w:proofErr w:type="spellStart"/>
      <w:r w:rsidRPr="00D72847">
        <w:rPr>
          <w:i/>
          <w:iCs/>
        </w:rPr>
        <w:t>porāṇā</w:t>
      </w:r>
      <w:proofErr w:type="spellEnd"/>
      <w:r>
        <w:t>) o “</w:t>
      </w:r>
      <w:r w:rsidR="00F16482">
        <w:t xml:space="preserve">Venerables </w:t>
      </w:r>
      <w:r>
        <w:t>Maestros” (</w:t>
      </w:r>
      <w:proofErr w:type="spellStart"/>
      <w:r w:rsidRPr="00D72847">
        <w:rPr>
          <w:i/>
          <w:iCs/>
        </w:rPr>
        <w:t>pubbācariyā</w:t>
      </w:r>
      <w:proofErr w:type="spellEnd"/>
      <w:r>
        <w:t xml:space="preserve">), así como a varios comentarios cingaleses adicionales a los tres mencionados en la cita anterior. El hecho bastante claro </w:t>
      </w:r>
      <w:r w:rsidR="00AE341A">
        <w:t xml:space="preserve">es </w:t>
      </w:r>
      <w:r>
        <w:t>que se h</w:t>
      </w:r>
      <w:r w:rsidR="0029517C">
        <w:t>ubo</w:t>
      </w:r>
      <w:r>
        <w:t xml:space="preserve"> construido un cuerpo completo de comentarios durante los nueve siglos que separan a </w:t>
      </w:r>
      <w:proofErr w:type="spellStart"/>
      <w:r>
        <w:t>Bhadantācariya</w:t>
      </w:r>
      <w:proofErr w:type="spellEnd"/>
      <w:r>
        <w:t xml:space="preserve"> </w:t>
      </w:r>
      <w:r w:rsidR="00057BF4" w:rsidRPr="00AE341A">
        <w:rPr>
          <w:iCs/>
        </w:rPr>
        <w:t>Buddha</w:t>
      </w:r>
      <w:r w:rsidRPr="00AE341A">
        <w:rPr>
          <w:iCs/>
        </w:rPr>
        <w:t>ghosa</w:t>
      </w:r>
      <w:r>
        <w:t xml:space="preserve"> del </w:t>
      </w:r>
      <w:r w:rsidR="00057BF4" w:rsidRPr="00057BF4">
        <w:rPr>
          <w:i/>
        </w:rPr>
        <w:t>Buddha</w:t>
      </w:r>
      <w:r>
        <w:t xml:space="preserve">. Una buena proporción data sin duda de la época real del propio </w:t>
      </w:r>
      <w:r w:rsidR="00057BF4" w:rsidRPr="00057BF4">
        <w:rPr>
          <w:i/>
        </w:rPr>
        <w:t>Buddha</w:t>
      </w:r>
      <w:r>
        <w:t>, y este núcleo se hab</w:t>
      </w:r>
      <w:r w:rsidR="00AE341A">
        <w:t>r</w:t>
      </w:r>
      <w:r>
        <w:t xml:space="preserve">ía agregado en la India (probablemente en </w:t>
      </w:r>
      <w:r w:rsidR="00AE341A">
        <w:rPr>
          <w:i/>
          <w:iCs/>
        </w:rPr>
        <w:t>Pāḷi</w:t>
      </w:r>
      <w:r>
        <w:t xml:space="preserve">), y más tarde por sabios </w:t>
      </w:r>
      <w:r w:rsidR="00AE341A">
        <w:t>Venerables de</w:t>
      </w:r>
      <w:r>
        <w:t xml:space="preserve"> Sri Lanka (en cingalés), como </w:t>
      </w:r>
      <w:r w:rsidR="00AE341A">
        <w:t xml:space="preserve">lo </w:t>
      </w:r>
      <w:r>
        <w:t xml:space="preserve">muestran las referencias </w:t>
      </w:r>
      <w:r w:rsidR="00AE341A">
        <w:t>en</w:t>
      </w:r>
      <w:r>
        <w:t xml:space="preserve"> sus </w:t>
      </w:r>
      <w:r w:rsidR="00AE341A">
        <w:t xml:space="preserve">propios </w:t>
      </w:r>
      <w:r>
        <w:t>pronunciamientos. (por ejemplo, XII.105 y 117).</w:t>
      </w:r>
    </w:p>
    <w:p w14:paraId="368C5AA9" w14:textId="03CF3F47" w:rsidR="000A76CB" w:rsidRDefault="00AE341A" w:rsidP="000A76CB">
      <w:pPr>
        <w:pStyle w:val="NormalConSangria"/>
      </w:pPr>
      <w:r>
        <w:t>Respecto a e</w:t>
      </w:r>
      <w:r w:rsidR="000A76CB">
        <w:t>ste cuerpo de</w:t>
      </w:r>
      <w:r>
        <w:t>l</w:t>
      </w:r>
      <w:r w:rsidR="000A76CB">
        <w:t xml:space="preserve"> material, uno </w:t>
      </w:r>
      <w:r>
        <w:t xml:space="preserve">podría </w:t>
      </w:r>
      <w:r w:rsidR="000A76CB">
        <w:t xml:space="preserve">suponer que su volumen era enorme, </w:t>
      </w:r>
      <w:proofErr w:type="spellStart"/>
      <w:r w:rsidR="000A76CB">
        <w:t>Bhadantācariya</w:t>
      </w:r>
      <w:proofErr w:type="spellEnd"/>
      <w:r w:rsidR="000A76CB">
        <w:t xml:space="preserve"> </w:t>
      </w:r>
      <w:r w:rsidR="00057BF4" w:rsidRPr="00AE341A">
        <w:rPr>
          <w:iCs/>
        </w:rPr>
        <w:t>Buddha</w:t>
      </w:r>
      <w:r w:rsidR="000A76CB" w:rsidRPr="00AE341A">
        <w:rPr>
          <w:iCs/>
        </w:rPr>
        <w:t>ghosa</w:t>
      </w:r>
      <w:r w:rsidR="000A76CB">
        <w:t xml:space="preserve"> se dispuso a editarlo y convertirlo </w:t>
      </w:r>
      <w:r w:rsidR="0029517C">
        <w:t>al</w:t>
      </w:r>
      <w:r w:rsidR="000A76CB">
        <w:t xml:space="preserve"> </w:t>
      </w:r>
      <w:r w:rsidR="008006BA">
        <w:rPr>
          <w:i/>
          <w:iCs/>
        </w:rPr>
        <w:t>Pāḷi</w:t>
      </w:r>
      <w:r w:rsidR="000A76CB">
        <w:t xml:space="preserve"> (el </w:t>
      </w:r>
      <w:r w:rsidR="000A76CB" w:rsidRPr="008006BA">
        <w:rPr>
          <w:i/>
          <w:iCs/>
        </w:rPr>
        <w:t>Tipiṭaka</w:t>
      </w:r>
      <w:r w:rsidR="000A76CB">
        <w:t xml:space="preserve"> en sí se hab</w:t>
      </w:r>
      <w:r w:rsidR="00AA2419">
        <w:t>r</w:t>
      </w:r>
      <w:r w:rsidR="000A76CB">
        <w:t xml:space="preserve">ía </w:t>
      </w:r>
      <w:r w:rsidR="00AA2419">
        <w:t>mantenido</w:t>
      </w:r>
      <w:r w:rsidR="000A76CB">
        <w:t xml:space="preserve"> en el </w:t>
      </w:r>
      <w:r w:rsidR="008006BA">
        <w:rPr>
          <w:i/>
          <w:iCs/>
        </w:rPr>
        <w:t>Pāḷi</w:t>
      </w:r>
      <w:r w:rsidR="000A76CB">
        <w:t xml:space="preserve"> original). Para ello</w:t>
      </w:r>
      <w:r w:rsidR="00AA2419">
        <w:t>,</w:t>
      </w:r>
      <w:r w:rsidR="000A76CB">
        <w:t xml:space="preserve"> tuvo aprobación e invitación expresa </w:t>
      </w:r>
      <w:r w:rsidR="0029517C">
        <w:t xml:space="preserve">para así hacerlo </w:t>
      </w:r>
      <w:r w:rsidR="000A76CB">
        <w:t xml:space="preserve">(véase, por ejemplo, el epílogo de la presente obra, que el </w:t>
      </w:r>
      <w:r w:rsidR="00D72847">
        <w:t xml:space="preserve">Venerable </w:t>
      </w:r>
      <w:proofErr w:type="spellStart"/>
      <w:r w:rsidR="00057BF4" w:rsidRPr="00AE341A">
        <w:rPr>
          <w:iCs/>
        </w:rPr>
        <w:t>Saṅgha</w:t>
      </w:r>
      <w:r w:rsidR="000A76CB" w:rsidRPr="00AE341A">
        <w:rPr>
          <w:iCs/>
        </w:rPr>
        <w:t>pāla</w:t>
      </w:r>
      <w:proofErr w:type="spellEnd"/>
      <w:r w:rsidR="000A76CB">
        <w:t xml:space="preserve"> </w:t>
      </w:r>
      <w:proofErr w:type="spellStart"/>
      <w:r w:rsidR="000A76CB">
        <w:t>l</w:t>
      </w:r>
      <w:r w:rsidR="003A2FF7">
        <w:t>p</w:t>
      </w:r>
      <w:proofErr w:type="spellEnd"/>
      <w:r w:rsidR="000A76CB">
        <w:t xml:space="preserve"> invitó a componer). Los críticos modernos le han reprochado su falta de originalidad: pero si vamos a juzgar por </w:t>
      </w:r>
      <w:r w:rsidR="0029517C">
        <w:t>los</w:t>
      </w:r>
      <w:r w:rsidR="000A76CB">
        <w:t xml:space="preserve"> objetivos declarados</w:t>
      </w:r>
      <w:r w:rsidR="0029517C">
        <w:t xml:space="preserve"> por él</w:t>
      </w:r>
      <w:r w:rsidR="000A76CB">
        <w:t>, la originalidad, o para usar su propia frase, "</w:t>
      </w:r>
      <w:r w:rsidR="00415DC9">
        <w:t>difundir</w:t>
      </w:r>
      <w:r w:rsidR="000A76CB">
        <w:t xml:space="preserve"> su propio punto de vista" (XVII.25), parec</w:t>
      </w:r>
      <w:r w:rsidR="00415DC9">
        <w:t>iera</w:t>
      </w:r>
      <w:r w:rsidR="000A76CB">
        <w:t xml:space="preserve"> probable que haya sido una de las cosas </w:t>
      </w:r>
      <w:r>
        <w:t xml:space="preserve">que </w:t>
      </w:r>
      <w:r w:rsidR="00415DC9">
        <w:t xml:space="preserve">más </w:t>
      </w:r>
      <w:r w:rsidR="000A76CB">
        <w:t>hubie</w:t>
      </w:r>
      <w:r w:rsidR="0071513F">
        <w:t>se</w:t>
      </w:r>
      <w:r w:rsidR="000A76CB">
        <w:t xml:space="preserve"> querido evitar. Él dice, por ejemplo, “Expondré el reconfortante </w:t>
      </w:r>
      <w:r w:rsidR="008006BA" w:rsidRPr="008006BA">
        <w:rPr>
          <w:i/>
          <w:iCs/>
        </w:rPr>
        <w:t>Sendero</w:t>
      </w:r>
      <w:r w:rsidR="000A76CB" w:rsidRPr="008006BA">
        <w:rPr>
          <w:i/>
          <w:iCs/>
        </w:rPr>
        <w:t xml:space="preserve"> de </w:t>
      </w:r>
      <w:r w:rsidR="008006BA" w:rsidRPr="008006BA">
        <w:rPr>
          <w:i/>
          <w:iCs/>
        </w:rPr>
        <w:t xml:space="preserve">la </w:t>
      </w:r>
      <w:r w:rsidR="000A76CB" w:rsidRPr="008006BA">
        <w:rPr>
          <w:i/>
          <w:iCs/>
        </w:rPr>
        <w:t>Purificación</w:t>
      </w:r>
      <w:r w:rsidR="000A76CB">
        <w:t xml:space="preserve">, puro en exposiciones, confiando en la enseñanza de los moradores </w:t>
      </w:r>
      <w:r w:rsidR="00415DC9">
        <w:t>d</w:t>
      </w:r>
      <w:r w:rsidR="000A76CB">
        <w:t>el Gran Monasterio” (I.4; véase también el epílogo), y nuevamente “Ahora</w:t>
      </w:r>
      <w:r>
        <w:t xml:space="preserve"> bien</w:t>
      </w:r>
      <w:r w:rsidR="000A76CB">
        <w:t>, en cuanto a</w:t>
      </w:r>
      <w:r w:rsidR="00123618">
        <w:t xml:space="preserve"> </w:t>
      </w:r>
      <w:r w:rsidR="000A76CB">
        <w:t>l</w:t>
      </w:r>
      <w:r w:rsidR="00123618">
        <w:t>a</w:t>
      </w:r>
      <w:r w:rsidR="000A76CB">
        <w:t xml:space="preserve"> total confiabilidad (</w:t>
      </w:r>
      <w:proofErr w:type="spellStart"/>
      <w:r w:rsidR="000A76CB" w:rsidRPr="008006BA">
        <w:rPr>
          <w:i/>
          <w:iCs/>
        </w:rPr>
        <w:t>samantapāsādikatta</w:t>
      </w:r>
      <w:proofErr w:type="spellEnd"/>
      <w:r w:rsidR="000A76CB">
        <w:t xml:space="preserve">) de este </w:t>
      </w:r>
      <w:proofErr w:type="spellStart"/>
      <w:r w:rsidR="000A76CB" w:rsidRPr="008006BA">
        <w:rPr>
          <w:i/>
          <w:iCs/>
        </w:rPr>
        <w:t>Samantapāsādika</w:t>
      </w:r>
      <w:proofErr w:type="spellEnd"/>
      <w:r w:rsidR="000A76CB">
        <w:t xml:space="preserve">: los sabios no </w:t>
      </w:r>
      <w:r w:rsidR="002F0ABB">
        <w:t>han visto</w:t>
      </w:r>
      <w:r w:rsidR="000A76CB">
        <w:t xml:space="preserve"> nada que no sea digno de confianza aquí cuando </w:t>
      </w:r>
      <w:r w:rsidR="0087252D">
        <w:t>ha leído</w:t>
      </w:r>
      <w:r w:rsidR="000A76CB">
        <w:t xml:space="preserve">: </w:t>
      </w:r>
      <w:r w:rsidR="0087252D">
        <w:t xml:space="preserve">sobre </w:t>
      </w:r>
      <w:r w:rsidR="000A76CB">
        <w:t xml:space="preserve">la cadena de maestros, </w:t>
      </w:r>
      <w:r w:rsidR="0087252D">
        <w:t xml:space="preserve">sobre </w:t>
      </w:r>
      <w:r w:rsidR="000A76CB">
        <w:t>las citas de circunstancia, instancia</w:t>
      </w:r>
      <w:r w:rsidR="00415DC9">
        <w:t>s</w:t>
      </w:r>
      <w:r w:rsidR="000A76CB">
        <w:t xml:space="preserve"> y categoría</w:t>
      </w:r>
      <w:r w:rsidR="00415DC9">
        <w:t>s</w:t>
      </w:r>
      <w:r w:rsidR="000A76CB">
        <w:t xml:space="preserve"> [en cada caso], </w:t>
      </w:r>
      <w:r w:rsidR="0087252D">
        <w:t xml:space="preserve">sobre </w:t>
      </w:r>
      <w:r w:rsidR="000A76CB">
        <w:t xml:space="preserve">la </w:t>
      </w:r>
      <w:r w:rsidR="0087252D">
        <w:t>elusión</w:t>
      </w:r>
      <w:r w:rsidR="000A76CB">
        <w:t xml:space="preserve"> de los puntos de vista de </w:t>
      </w:r>
      <w:r w:rsidR="0087252D">
        <w:t>los demás</w:t>
      </w:r>
      <w:r w:rsidR="000A76CB">
        <w:t xml:space="preserve">, </w:t>
      </w:r>
      <w:r w:rsidR="0087252D">
        <w:t xml:space="preserve">sobre </w:t>
      </w:r>
      <w:r w:rsidR="000A76CB">
        <w:t>l</w:t>
      </w:r>
      <w:r>
        <w:t>a</w:t>
      </w:r>
      <w:r w:rsidR="000A76CB">
        <w:t xml:space="preserve"> pureza de [nuestro] propio punto de vista, </w:t>
      </w:r>
      <w:r w:rsidR="0087252D">
        <w:t xml:space="preserve">sobre </w:t>
      </w:r>
      <w:r w:rsidR="000A76CB">
        <w:t xml:space="preserve">la corrección de los detalles, </w:t>
      </w:r>
      <w:r w:rsidR="0087252D">
        <w:t xml:space="preserve">sobre </w:t>
      </w:r>
      <w:r w:rsidR="000A76CB">
        <w:t xml:space="preserve">los significados de las palabras, </w:t>
      </w:r>
      <w:r w:rsidR="0087252D">
        <w:t xml:space="preserve">sobre </w:t>
      </w:r>
      <w:r w:rsidR="000A76CB">
        <w:t xml:space="preserve">el orden de interpretación del texto, </w:t>
      </w:r>
      <w:r w:rsidR="0087252D">
        <w:t xml:space="preserve">sobre </w:t>
      </w:r>
      <w:r w:rsidR="000A76CB">
        <w:t xml:space="preserve">la exposición de los preceptos de entrenamiento </w:t>
      </w:r>
      <w:r w:rsidR="0087252D">
        <w:t xml:space="preserve">y sobre </w:t>
      </w:r>
      <w:r w:rsidR="000A76CB">
        <w:t xml:space="preserve">el uso de la clasificación </w:t>
      </w:r>
      <w:r w:rsidR="00F536B6">
        <w:t>mediante</w:t>
      </w:r>
      <w:r w:rsidR="000A76CB">
        <w:t xml:space="preserve"> el método analítico</w:t>
      </w:r>
      <w:r w:rsidR="0087252D">
        <w:t>;</w:t>
      </w:r>
      <w:r w:rsidR="000A76CB">
        <w:t xml:space="preserve"> razón por la cual </w:t>
      </w:r>
      <w:r w:rsidR="007C751C">
        <w:t xml:space="preserve">a </w:t>
      </w:r>
      <w:r w:rsidR="000A76CB">
        <w:t xml:space="preserve">este comentario detallado sobre el </w:t>
      </w:r>
      <w:proofErr w:type="spellStart"/>
      <w:r w:rsidR="000A76CB" w:rsidRPr="00F536B6">
        <w:rPr>
          <w:i/>
          <w:iCs/>
        </w:rPr>
        <w:t>Vinaya</w:t>
      </w:r>
      <w:proofErr w:type="spellEnd"/>
      <w:r w:rsidR="000A76CB">
        <w:t xml:space="preserve">... se </w:t>
      </w:r>
      <w:r w:rsidR="007C751C">
        <w:t xml:space="preserve">le </w:t>
      </w:r>
      <w:r w:rsidR="000A76CB">
        <w:t>llama</w:t>
      </w:r>
      <w:r w:rsidR="00F536B6">
        <w:t>rá</w:t>
      </w:r>
      <w:r w:rsidR="000A76CB">
        <w:t xml:space="preserve"> </w:t>
      </w:r>
      <w:proofErr w:type="spellStart"/>
      <w:r w:rsidR="000A76CB" w:rsidRPr="008006BA">
        <w:rPr>
          <w:i/>
          <w:iCs/>
        </w:rPr>
        <w:t>Samantapāsādika</w:t>
      </w:r>
      <w:proofErr w:type="spellEnd"/>
      <w:r w:rsidR="000A76CB">
        <w:t xml:space="preserve"> (epílogo de </w:t>
      </w:r>
      <w:proofErr w:type="spellStart"/>
      <w:r w:rsidR="000A76CB">
        <w:t>Vin</w:t>
      </w:r>
      <w:proofErr w:type="spellEnd"/>
      <w:r w:rsidR="000A76CB">
        <w:t>-a). Y luego: “</w:t>
      </w:r>
      <w:r w:rsidR="007C751C">
        <w:t>Se ha terminado e</w:t>
      </w:r>
      <w:r w:rsidR="000A76CB">
        <w:t xml:space="preserve">l </w:t>
      </w:r>
      <w:r w:rsidR="00F536B6" w:rsidRPr="00F536B6">
        <w:rPr>
          <w:i/>
          <w:iCs/>
        </w:rPr>
        <w:t>Comentario</w:t>
      </w:r>
      <w:r w:rsidR="00F536B6">
        <w:t xml:space="preserve"> </w:t>
      </w:r>
      <w:proofErr w:type="spellStart"/>
      <w:r w:rsidR="000A76CB" w:rsidRPr="00B17B27">
        <w:rPr>
          <w:i/>
          <w:iCs/>
        </w:rPr>
        <w:t>Pātimokkha</w:t>
      </w:r>
      <w:proofErr w:type="spellEnd"/>
      <w:r w:rsidR="000A76CB">
        <w:t xml:space="preserve">, que comencé a </w:t>
      </w:r>
      <w:r w:rsidR="00F536B6">
        <w:t xml:space="preserve">solicitud </w:t>
      </w:r>
      <w:r w:rsidR="000A76CB">
        <w:t xml:space="preserve">del </w:t>
      </w:r>
      <w:r>
        <w:t xml:space="preserve">Venerable </w:t>
      </w:r>
      <w:proofErr w:type="spellStart"/>
      <w:r w:rsidR="000A76CB">
        <w:t>Soṇa</w:t>
      </w:r>
      <w:proofErr w:type="spellEnd"/>
      <w:r w:rsidR="000A76CB">
        <w:t xml:space="preserve"> con el propósito de disipar</w:t>
      </w:r>
      <w:r w:rsidR="007C751C">
        <w:t xml:space="preserve"> la</w:t>
      </w:r>
      <w:r w:rsidR="000A76CB">
        <w:t xml:space="preserve"> dudas en aquellos que no est</w:t>
      </w:r>
      <w:r w:rsidR="00007775">
        <w:t>uviesen</w:t>
      </w:r>
      <w:r w:rsidR="000A76CB">
        <w:t xml:space="preserve"> seguros </w:t>
      </w:r>
      <w:r>
        <w:t xml:space="preserve">sobre </w:t>
      </w:r>
      <w:r w:rsidR="000A76CB">
        <w:t xml:space="preserve">el </w:t>
      </w:r>
      <w:proofErr w:type="spellStart"/>
      <w:r w:rsidR="000A76CB" w:rsidRPr="00B17B27">
        <w:rPr>
          <w:i/>
          <w:iCs/>
        </w:rPr>
        <w:t>Vinaya</w:t>
      </w:r>
      <w:proofErr w:type="spellEnd"/>
      <w:r w:rsidR="000A76CB">
        <w:t xml:space="preserve">, y que cubre todo el sistema de comentarios cingalés basado en el arreglo adoptado por los habitantes del Gran Monasterio. Se ha extraído toda la esencia del comentario y todo el significado del texto y no hay ninguna oración aquí que pueda entrar en conflicto con el texto o con los comentarios de los habitantes del Gran Monasterio o </w:t>
      </w:r>
      <w:r w:rsidR="007C751C">
        <w:t xml:space="preserve">con </w:t>
      </w:r>
      <w:r w:rsidR="000A76CB">
        <w:t xml:space="preserve">los de los </w:t>
      </w:r>
      <w:r w:rsidR="00D50EAE">
        <w:t>Venerables</w:t>
      </w:r>
      <w:r w:rsidR="000A76CB">
        <w:t xml:space="preserve">” (epílogo del </w:t>
      </w:r>
      <w:r w:rsidR="000A76CB" w:rsidRPr="00AE341A">
        <w:rPr>
          <w:i/>
          <w:iCs/>
        </w:rPr>
        <w:t>Comentario</w:t>
      </w:r>
      <w:r w:rsidR="000A76CB">
        <w:t xml:space="preserve"> </w:t>
      </w:r>
      <w:proofErr w:type="spellStart"/>
      <w:r w:rsidR="000A76CB" w:rsidRPr="00B17B27">
        <w:rPr>
          <w:i/>
          <w:iCs/>
        </w:rPr>
        <w:t>Pātimokkha</w:t>
      </w:r>
      <w:proofErr w:type="spellEnd"/>
      <w:r w:rsidR="000A76CB">
        <w:t>). Tales ejemplos podrían multiplicarse (ver especialmente también XVII.25).</w:t>
      </w:r>
    </w:p>
    <w:p w14:paraId="79475AB5" w14:textId="451B5F9C" w:rsidR="000A76CB" w:rsidRDefault="000A76CB" w:rsidP="000A76CB">
      <w:pPr>
        <w:pStyle w:val="NormalConSangria"/>
      </w:pPr>
      <w:r>
        <w:t xml:space="preserve">Solo hay un caso en el </w:t>
      </w:r>
      <w:r w:rsidRPr="00B17B27">
        <w:rPr>
          <w:i/>
          <w:iCs/>
        </w:rPr>
        <w:t>Visuddhimagga</w:t>
      </w:r>
      <w:r>
        <w:t xml:space="preserve"> donde </w:t>
      </w:r>
      <w:r w:rsidR="008B0BD1">
        <w:t xml:space="preserve">el Venerable </w:t>
      </w:r>
      <w:r>
        <w:t xml:space="preserve">presenta abiertamente una </w:t>
      </w:r>
      <w:proofErr w:type="gramStart"/>
      <w:r>
        <w:t xml:space="preserve">opinión </w:t>
      </w:r>
      <w:r w:rsidR="008B0BD1">
        <w:t>personal</w:t>
      </w:r>
      <w:proofErr w:type="gramEnd"/>
      <w:r>
        <w:t xml:space="preserve">, con las palabras “nuestra preferencia aquí es </w:t>
      </w:r>
      <w:r w:rsidR="007C751C">
        <w:t>é</w:t>
      </w:r>
      <w:r>
        <w:t xml:space="preserve">sta” (XIII.123). También lo hace una vez en el </w:t>
      </w:r>
      <w:r w:rsidRPr="00AE341A">
        <w:rPr>
          <w:i/>
          <w:iCs/>
        </w:rPr>
        <w:t>Comentario</w:t>
      </w:r>
      <w:r>
        <w:t xml:space="preserve"> </w:t>
      </w:r>
      <w:proofErr w:type="spellStart"/>
      <w:r w:rsidRPr="00D72847">
        <w:rPr>
          <w:i/>
          <w:iCs/>
        </w:rPr>
        <w:t>Majjhima</w:t>
      </w:r>
      <w:proofErr w:type="spellEnd"/>
      <w:r w:rsidRPr="00D72847">
        <w:rPr>
          <w:i/>
          <w:iCs/>
        </w:rPr>
        <w:t xml:space="preserve"> Nikāya</w:t>
      </w:r>
      <w:r>
        <w:t xml:space="preserve">, diciendo que “los </w:t>
      </w:r>
      <w:r w:rsidR="00D50EAE">
        <w:t>Venerable</w:t>
      </w:r>
      <w:r w:rsidR="008B0BD1">
        <w:t>s</w:t>
      </w:r>
      <w:r>
        <w:t xml:space="preserve"> no trat</w:t>
      </w:r>
      <w:r w:rsidR="00D50EAE">
        <w:t>a</w:t>
      </w:r>
      <w:r>
        <w:t>n e</w:t>
      </w:r>
      <w:r w:rsidR="00AE341A">
        <w:t>ste</w:t>
      </w:r>
      <w:r>
        <w:t xml:space="preserve"> punto, pero </w:t>
      </w:r>
      <w:r w:rsidR="00AE341A">
        <w:t>é</w:t>
      </w:r>
      <w:r>
        <w:t>sta es mi opinión” (M-a I 28). La rareza de tales casos y la cautela expresada en ell</w:t>
      </w:r>
      <w:r w:rsidR="00AA3DDF">
        <w:t>a</w:t>
      </w:r>
      <w:r>
        <w:t xml:space="preserve">s implican que él mismo no estaba inclinado a especular y </w:t>
      </w:r>
      <w:r w:rsidR="00AE341A">
        <w:t>sentía</w:t>
      </w:r>
      <w:r>
        <w:t xml:space="preserve"> la necesidad de </w:t>
      </w:r>
      <w:r w:rsidR="00E978A6">
        <w:t xml:space="preserve">exponer la realidad factual </w:t>
      </w:r>
      <w:r>
        <w:t xml:space="preserve">cuando lo </w:t>
      </w:r>
      <w:r w:rsidR="00AE341A">
        <w:t>hacía</w:t>
      </w:r>
      <w:r>
        <w:t xml:space="preserve">. De hecho, dice que "la opinión propia es la autoridad más débil de todas y solo debe aceptarse si está de acuerdo con los </w:t>
      </w:r>
      <w:r w:rsidRPr="00B17B27">
        <w:rPr>
          <w:i/>
          <w:iCs/>
        </w:rPr>
        <w:t>Suttas</w:t>
      </w:r>
      <w:r>
        <w:t xml:space="preserve">" (D-a 567-68). Así que es </w:t>
      </w:r>
      <w:r w:rsidR="00E978A6">
        <w:t xml:space="preserve">muy </w:t>
      </w:r>
      <w:r>
        <w:t>probable que considera</w:t>
      </w:r>
      <w:r w:rsidR="00AE341A">
        <w:t>se</w:t>
      </w:r>
      <w:r>
        <w:t xml:space="preserve"> </w:t>
      </w:r>
      <w:r w:rsidR="000B3CD0">
        <w:t xml:space="preserve">como aquello denominado como </w:t>
      </w:r>
      <w:r w:rsidR="00E978A6">
        <w:t xml:space="preserve">pensamiento original como jurisdicción </w:t>
      </w:r>
    </w:p>
    <w:p w14:paraId="6309704D" w14:textId="77777777" w:rsidR="00D4473C" w:rsidRDefault="00D4473C">
      <w:r>
        <w:br w:type="page"/>
      </w:r>
    </w:p>
    <w:p w14:paraId="01E309D0" w14:textId="34C5FCDC" w:rsidR="00586316" w:rsidRDefault="000B3CD0" w:rsidP="00586316">
      <w:r>
        <w:lastRenderedPageBreak/>
        <w:t xml:space="preserve">exclusiva </w:t>
      </w:r>
      <w:r w:rsidR="004914F2" w:rsidRPr="004914F2">
        <w:rPr>
          <w:iCs/>
        </w:rPr>
        <w:t>de</w:t>
      </w:r>
      <w:r w:rsidR="004914F2">
        <w:rPr>
          <w:iCs/>
        </w:rPr>
        <w:t>l</w:t>
      </w:r>
      <w:r w:rsidR="004914F2">
        <w:rPr>
          <w:i/>
        </w:rPr>
        <w:t xml:space="preserve"> </w:t>
      </w:r>
      <w:r w:rsidR="00E978A6" w:rsidRPr="00057BF4">
        <w:rPr>
          <w:i/>
        </w:rPr>
        <w:t>Buddha</w:t>
      </w:r>
      <w:r w:rsidR="00E978A6">
        <w:t>,</w:t>
      </w:r>
      <w:r w:rsidR="004914F2">
        <w:t xml:space="preserve"> </w:t>
      </w:r>
      <w:r w:rsidR="00586316">
        <w:t xml:space="preserve">y </w:t>
      </w:r>
      <w:r>
        <w:t xml:space="preserve">a </w:t>
      </w:r>
      <w:r w:rsidR="00586316">
        <w:t xml:space="preserve">su propia tarea como la fortificación de ese pensamiento mediante la coordinación de las explicaciones </w:t>
      </w:r>
      <w:r w:rsidR="002A4752">
        <w:t xml:space="preserve">sobre </w:t>
      </w:r>
      <w:r w:rsidR="00586316">
        <w:t xml:space="preserve">la misma. Sin embargo, no todos los detalles que editó pueden reclamar </w:t>
      </w:r>
      <w:r w:rsidR="00AE341A">
        <w:t>un soporte</w:t>
      </w:r>
      <w:r w:rsidR="00586316">
        <w:t xml:space="preserve"> directo </w:t>
      </w:r>
      <w:r w:rsidR="00AA3DDF">
        <w:t>desde</w:t>
      </w:r>
      <w:r w:rsidR="00586316">
        <w:t xml:space="preserve"> los </w:t>
      </w:r>
      <w:r w:rsidR="00586316" w:rsidRPr="00AE341A">
        <w:rPr>
          <w:i/>
          <w:iCs/>
        </w:rPr>
        <w:t>Suttas</w:t>
      </w:r>
      <w:r w:rsidR="00586316">
        <w:t>.</w:t>
      </w:r>
    </w:p>
    <w:p w14:paraId="7DFC3053" w14:textId="364A2E9F" w:rsidR="00586316" w:rsidRDefault="00586316" w:rsidP="00586316">
      <w:pPr>
        <w:pStyle w:val="NormalConSangria"/>
      </w:pPr>
      <w:r>
        <w:t xml:space="preserve">Las siguientes consideraciones prestan cierto </w:t>
      </w:r>
      <w:r w:rsidR="00AE341A">
        <w:t xml:space="preserve">soporte </w:t>
      </w:r>
      <w:r>
        <w:t>a las suposiciones que acabamos de hacer. Se ha señalado</w:t>
      </w:r>
      <w:r w:rsidRPr="00B30E15">
        <w:rPr>
          <w:vertAlign w:val="superscript"/>
        </w:rPr>
        <w:t>10</w:t>
      </w:r>
      <w:r>
        <w:t xml:space="preserve"> que al describir en el </w:t>
      </w:r>
      <w:r w:rsidRPr="00B17B27">
        <w:rPr>
          <w:i/>
          <w:iCs/>
        </w:rPr>
        <w:t xml:space="preserve">Comentario </w:t>
      </w:r>
      <w:proofErr w:type="spellStart"/>
      <w:r w:rsidRPr="00B17B27">
        <w:rPr>
          <w:i/>
          <w:iCs/>
        </w:rPr>
        <w:t>Vinaya</w:t>
      </w:r>
      <w:proofErr w:type="spellEnd"/>
      <w:r>
        <w:t xml:space="preserve"> cómo la tradición ha</w:t>
      </w:r>
      <w:r w:rsidR="00AE341A">
        <w:t>bía</w:t>
      </w:r>
      <w:r>
        <w:t xml:space="preserve"> sido “mantenida hasta el día de hoy por la cadena de maestros y </w:t>
      </w:r>
      <w:r w:rsidR="00AE341A">
        <w:t>discípulos</w:t>
      </w:r>
      <w:r>
        <w:t>” (</w:t>
      </w:r>
      <w:proofErr w:type="spellStart"/>
      <w:r>
        <w:t>Vin</w:t>
      </w:r>
      <w:proofErr w:type="spellEnd"/>
      <w:r>
        <w:t xml:space="preserve">-a 61–62), la lista de nombres de maestros que </w:t>
      </w:r>
      <w:r w:rsidR="00AE341A">
        <w:t xml:space="preserve">le </w:t>
      </w:r>
      <w:r>
        <w:t xml:space="preserve">sigue contiene nombres </w:t>
      </w:r>
      <w:r w:rsidR="00AE341A">
        <w:t xml:space="preserve">que solo </w:t>
      </w:r>
      <w:r>
        <w:t>se puede</w:t>
      </w:r>
      <w:r w:rsidR="00AE341A">
        <w:t>n</w:t>
      </w:r>
      <w:r>
        <w:t xml:space="preserve"> rastrear hasta mediados del siglo II d.C., pero no </w:t>
      </w:r>
      <w:r w:rsidR="00AE341A">
        <w:t>antes</w:t>
      </w:r>
      <w:r>
        <w:t xml:space="preserve">. Una vez más, aparecen en sus obras numerosas historias ilustrativas, todas ellas ambientadas en </w:t>
      </w:r>
      <w:r w:rsidR="00AE341A">
        <w:t xml:space="preserve">la </w:t>
      </w:r>
      <w:r>
        <w:t xml:space="preserve">India o </w:t>
      </w:r>
      <w:r w:rsidR="00AE341A">
        <w:t xml:space="preserve">en </w:t>
      </w:r>
      <w:r>
        <w:t>Sri Lanka. Sin embargo, ningun</w:t>
      </w:r>
      <w:r w:rsidR="001B55EF">
        <w:t>a</w:t>
      </w:r>
      <w:r>
        <w:t xml:space="preserve"> de ell</w:t>
      </w:r>
      <w:r w:rsidR="00AE341A">
        <w:t>a</w:t>
      </w:r>
      <w:r>
        <w:t>s puede señalarse como contemporáne</w:t>
      </w:r>
      <w:r w:rsidR="00AE341A">
        <w:t>a</w:t>
      </w:r>
      <w:r>
        <w:t>. Las historias sobre la India</w:t>
      </w:r>
      <w:r w:rsidR="00AE341A">
        <w:t>,</w:t>
      </w:r>
      <w:r>
        <w:t xml:space="preserve"> en todos los casos en los que se puede asignar una fecha</w:t>
      </w:r>
      <w:r w:rsidR="00AE341A">
        <w:t>,</w:t>
      </w:r>
      <w:r>
        <w:t xml:space="preserve"> no son posteriores a </w:t>
      </w:r>
      <w:r w:rsidR="00AE341A">
        <w:t xml:space="preserve">la época de </w:t>
      </w:r>
      <w:proofErr w:type="spellStart"/>
      <w:r>
        <w:t>Asoka</w:t>
      </w:r>
      <w:proofErr w:type="spellEnd"/>
      <w:r>
        <w:t xml:space="preserve"> (siglo III a. C.). Muchas historias sobre Sri Lanka no pueden fecharse, pero las que </w:t>
      </w:r>
      <w:r w:rsidR="00AE341A">
        <w:t xml:space="preserve">sí </w:t>
      </w:r>
      <w:r>
        <w:t>pueden, ninguna parec</w:t>
      </w:r>
      <w:r w:rsidR="00AE341A">
        <w:t>iera</w:t>
      </w:r>
      <w:r>
        <w:t xml:space="preserve"> </w:t>
      </w:r>
      <w:r w:rsidR="00AE341A">
        <w:t xml:space="preserve">ser </w:t>
      </w:r>
      <w:r>
        <w:t xml:space="preserve">posterior al siglo II d.C. Esto sugiere que el material que </w:t>
      </w:r>
      <w:r w:rsidR="00AE341A">
        <w:t xml:space="preserve">tuvo </w:t>
      </w:r>
      <w:r>
        <w:t>ante sí para editar y traducir ya hab</w:t>
      </w:r>
      <w:r w:rsidR="0002000B">
        <w:t>r</w:t>
      </w:r>
      <w:r>
        <w:t xml:space="preserve">ía sido </w:t>
      </w:r>
      <w:r w:rsidR="00AE341A">
        <w:t xml:space="preserve">terminado </w:t>
      </w:r>
      <w:r>
        <w:t>y fijado más de dos siglos antes en Sri Lanka, y que las palabras "</w:t>
      </w:r>
      <w:r w:rsidR="000C5031">
        <w:t>presentes días</w:t>
      </w:r>
      <w:r>
        <w:t>" no fueron utilizadas por él para referirse a su propi</w:t>
      </w:r>
      <w:r w:rsidR="00AE341A">
        <w:t>a</w:t>
      </w:r>
      <w:r>
        <w:t xml:space="preserve"> </w:t>
      </w:r>
      <w:r w:rsidR="00AE341A">
        <w:t>época</w:t>
      </w:r>
      <w:r>
        <w:t xml:space="preserve">, sino </w:t>
      </w:r>
      <w:r w:rsidR="000C5031">
        <w:t>para</w:t>
      </w:r>
      <w:r w:rsidR="00AE341A">
        <w:t xml:space="preserve"> l</w:t>
      </w:r>
      <w:r w:rsidR="005806B9">
        <w:t>os</w:t>
      </w:r>
      <w:r w:rsidR="00AE341A">
        <w:t xml:space="preserve"> que </w:t>
      </w:r>
      <w:r>
        <w:t>ya estaba</w:t>
      </w:r>
      <w:r w:rsidR="005806B9">
        <w:t>n</w:t>
      </w:r>
      <w:r>
        <w:t xml:space="preserve"> </w:t>
      </w:r>
      <w:r w:rsidR="00AE341A">
        <w:t>registrad</w:t>
      </w:r>
      <w:r w:rsidR="005806B9">
        <w:t>os</w:t>
      </w:r>
      <w:r w:rsidR="00AE341A">
        <w:t xml:space="preserve"> </w:t>
      </w:r>
      <w:r>
        <w:t xml:space="preserve">en el material que estaba coordinando. Esta fijación final, si </w:t>
      </w:r>
      <w:r w:rsidR="00C61E1A">
        <w:t>fuera</w:t>
      </w:r>
      <w:r>
        <w:t xml:space="preserve"> un hecho, podría haber sido consecuencia de la decisión tomada en Sri Lanka en el siglo I a. C. </w:t>
      </w:r>
      <w:r w:rsidR="00087826">
        <w:t>en la transcripción d</w:t>
      </w:r>
      <w:r>
        <w:t xml:space="preserve">el </w:t>
      </w:r>
      <w:r w:rsidR="004F7C67" w:rsidRPr="004F7C67">
        <w:rPr>
          <w:i/>
          <w:iCs/>
        </w:rPr>
        <w:t>Pāḷi</w:t>
      </w:r>
      <w:r>
        <w:t xml:space="preserve"> </w:t>
      </w:r>
      <w:r w:rsidR="004F7C67" w:rsidRPr="004F7C67">
        <w:rPr>
          <w:i/>
          <w:iCs/>
        </w:rPr>
        <w:t>Tipiṭaka</w:t>
      </w:r>
      <w:r>
        <w:t>.</w:t>
      </w:r>
    </w:p>
    <w:p w14:paraId="4ED6D019" w14:textId="37CEDD85" w:rsidR="00586316" w:rsidRDefault="00586316" w:rsidP="00586316">
      <w:pPr>
        <w:pStyle w:val="NormalConSangria"/>
      </w:pPr>
      <w:r>
        <w:t xml:space="preserve">Ahora </w:t>
      </w:r>
      <w:r w:rsidR="00FF4FDA">
        <w:t xml:space="preserve">bien, </w:t>
      </w:r>
      <w:r>
        <w:t xml:space="preserve">es necesario decir algo sobre la relación del </w:t>
      </w:r>
      <w:r w:rsidRPr="00B17B27">
        <w:rPr>
          <w:i/>
          <w:iCs/>
        </w:rPr>
        <w:t>Visuddhimagga</w:t>
      </w:r>
      <w:r>
        <w:t xml:space="preserve"> con otros libros. La obra de este autor se caracteriza por una implacable precisión, consistencia y fluidez </w:t>
      </w:r>
      <w:r w:rsidR="008468C8">
        <w:t>en su</w:t>
      </w:r>
      <w:r>
        <w:t xml:space="preserve"> erudición y muy dominada por el formalismo. Este formalismo no s</w:t>
      </w:r>
      <w:r w:rsidR="005633F7">
        <w:t>ó</w:t>
      </w:r>
      <w:r>
        <w:t xml:space="preserve">lo es evidente en el elaborado </w:t>
      </w:r>
      <w:r w:rsidR="00AE341A">
        <w:t xml:space="preserve">patrón </w:t>
      </w:r>
      <w:r>
        <w:t xml:space="preserve">del </w:t>
      </w:r>
      <w:r w:rsidRPr="004F7C67">
        <w:rPr>
          <w:i/>
          <w:iCs/>
        </w:rPr>
        <w:t>Visuddhimagga</w:t>
      </w:r>
      <w:r>
        <w:t>, sino que también rige la relación de</w:t>
      </w:r>
      <w:r w:rsidR="00716F25">
        <w:t xml:space="preserve"> este</w:t>
      </w:r>
      <w:r>
        <w:t xml:space="preserve"> trabajo con </w:t>
      </w:r>
      <w:r w:rsidR="00716F25">
        <w:t>otros</w:t>
      </w:r>
      <w:r>
        <w:t xml:space="preserve">. El propio </w:t>
      </w:r>
      <w:r w:rsidRPr="004F7C67">
        <w:rPr>
          <w:i/>
          <w:iCs/>
        </w:rPr>
        <w:t>Visuddhimagga</w:t>
      </w:r>
      <w:r>
        <w:t xml:space="preserve"> extrae del </w:t>
      </w:r>
      <w:r w:rsidRPr="00AE341A">
        <w:rPr>
          <w:i/>
          <w:iCs/>
        </w:rPr>
        <w:t>Tipiṭaka</w:t>
      </w:r>
      <w:r>
        <w:t xml:space="preserve"> todas las doctrinas centrales que giran en torno a las Cuatro Nobles Verdades, presentándolas como un</w:t>
      </w:r>
      <w:r w:rsidR="00AE341A">
        <w:t>a</w:t>
      </w:r>
      <w:r>
        <w:t xml:space="preserve"> to</w:t>
      </w:r>
      <w:r w:rsidR="00AE341A">
        <w:t>talidad</w:t>
      </w:r>
      <w:r>
        <w:t xml:space="preserve"> sistemátic</w:t>
      </w:r>
      <w:r w:rsidR="00AE341A">
        <w:t>a</w:t>
      </w:r>
      <w:r>
        <w:t xml:space="preserve"> </w:t>
      </w:r>
      <w:r w:rsidR="00AE341A">
        <w:t xml:space="preserve">y </w:t>
      </w:r>
      <w:r>
        <w:t>coherente mediante citas y explicaciones intercaladas con tratados sobre temas de más o menos importancia relativa, todo ello soldado en un</w:t>
      </w:r>
      <w:r w:rsidR="00AE341A">
        <w:t>a</w:t>
      </w:r>
      <w:r>
        <w:t xml:space="preserve"> intrincad</w:t>
      </w:r>
      <w:r w:rsidR="00AE341A">
        <w:t>a</w:t>
      </w:r>
      <w:r>
        <w:t xml:space="preserve"> </w:t>
      </w:r>
      <w:r w:rsidR="00AE341A">
        <w:t>estructura</w:t>
      </w:r>
      <w:r>
        <w:t>. El trabajo puede</w:t>
      </w:r>
      <w:r w:rsidR="009E0DE7">
        <w:t>,</w:t>
      </w:r>
      <w:r>
        <w:t xml:space="preserve"> </w:t>
      </w:r>
      <w:r w:rsidR="00AE341A">
        <w:t>por lo tanto</w:t>
      </w:r>
      <w:r w:rsidR="009E0DE7">
        <w:t>,</w:t>
      </w:r>
      <w:r>
        <w:t xml:space="preserve"> </w:t>
      </w:r>
      <w:r w:rsidR="00AE341A">
        <w:t>sostenerse por sí mismo</w:t>
      </w:r>
      <w:r>
        <w:t xml:space="preserve">. Pero el objetivo de los comentarios a los cuatro principales </w:t>
      </w:r>
      <w:proofErr w:type="spellStart"/>
      <w:r w:rsidRPr="004F7C67">
        <w:rPr>
          <w:i/>
          <w:iCs/>
        </w:rPr>
        <w:t>Nikāyas</w:t>
      </w:r>
      <w:proofErr w:type="spellEnd"/>
      <w:r>
        <w:t xml:space="preserve"> o </w:t>
      </w:r>
      <w:r w:rsidRPr="009E0DE7">
        <w:rPr>
          <w:i/>
          <w:iCs/>
        </w:rPr>
        <w:t>Colecciones</w:t>
      </w:r>
      <w:r>
        <w:t xml:space="preserve"> de </w:t>
      </w:r>
      <w:r w:rsidR="00AE341A">
        <w:t xml:space="preserve">los </w:t>
      </w:r>
      <w:r w:rsidRPr="00AE341A">
        <w:rPr>
          <w:i/>
          <w:iCs/>
        </w:rPr>
        <w:t>Suttas</w:t>
      </w:r>
      <w:r>
        <w:t xml:space="preserve"> es explicar el tema de los discursos individuales y, también</w:t>
      </w:r>
      <w:r w:rsidR="0064578B">
        <w:t>,</w:t>
      </w:r>
      <w:r>
        <w:t xml:space="preserve"> ciertos temas y doctrinas especiales que no se tratan en el </w:t>
      </w:r>
      <w:r w:rsidRPr="004F7C67">
        <w:rPr>
          <w:i/>
          <w:iCs/>
        </w:rPr>
        <w:t>Visuddhimagga</w:t>
      </w:r>
      <w:r>
        <w:t xml:space="preserve"> (muchos pasajes que comentan material idéntico en los </w:t>
      </w:r>
      <w:r w:rsidRPr="00AE341A">
        <w:rPr>
          <w:i/>
          <w:iCs/>
        </w:rPr>
        <w:t>Suttas</w:t>
      </w:r>
      <w:r>
        <w:t xml:space="preserve"> en diferentes </w:t>
      </w:r>
      <w:proofErr w:type="spellStart"/>
      <w:r w:rsidRPr="004F7C67">
        <w:rPr>
          <w:i/>
          <w:iCs/>
        </w:rPr>
        <w:t>Nikāyas</w:t>
      </w:r>
      <w:proofErr w:type="spellEnd"/>
      <w:r>
        <w:t xml:space="preserve"> se reproducen palabra por palabra en cada comentario y en otros lugares, por ejemplo, MN 10, cf. DN 22, </w:t>
      </w:r>
      <w:r w:rsidRPr="004F7C67">
        <w:rPr>
          <w:i/>
          <w:iCs/>
        </w:rPr>
        <w:t>Satipaṭṭhāna</w:t>
      </w:r>
      <w:r>
        <w:t xml:space="preserve"> </w:t>
      </w:r>
      <w:proofErr w:type="spellStart"/>
      <w:r w:rsidRPr="004F7C67">
        <w:rPr>
          <w:i/>
          <w:iCs/>
        </w:rPr>
        <w:t>Vibhaṅga</w:t>
      </w:r>
      <w:proofErr w:type="spellEnd"/>
      <w:r>
        <w:t xml:space="preserve">, etc., y comentarios respectivos). Pero estos comentarios siempre remiten al lector al </w:t>
      </w:r>
      <w:r w:rsidRPr="004F7C67">
        <w:rPr>
          <w:i/>
          <w:iCs/>
        </w:rPr>
        <w:t>Visuddhimagga</w:t>
      </w:r>
      <w:r>
        <w:t xml:space="preserve"> para obtener explicaciones de las doctrinas centrales. Y aunque los comentarios </w:t>
      </w:r>
      <w:proofErr w:type="spellStart"/>
      <w:r w:rsidRPr="00B17B27">
        <w:rPr>
          <w:i/>
          <w:iCs/>
        </w:rPr>
        <w:t>Vinaya</w:t>
      </w:r>
      <w:proofErr w:type="spellEnd"/>
      <w:r>
        <w:t xml:space="preserve"> y </w:t>
      </w:r>
      <w:proofErr w:type="spellStart"/>
      <w:r w:rsidR="00E445DF" w:rsidRPr="00B17B27">
        <w:rPr>
          <w:i/>
          <w:iCs/>
        </w:rPr>
        <w:t>Abhi</w:t>
      </w:r>
      <w:r w:rsidR="00E445DF" w:rsidRPr="00057BF4">
        <w:rPr>
          <w:i/>
          <w:iCs/>
        </w:rPr>
        <w:t>dhamma</w:t>
      </w:r>
      <w:proofErr w:type="spellEnd"/>
      <w:r w:rsidR="00E445DF">
        <w:t xml:space="preserve"> </w:t>
      </w:r>
      <w:r>
        <w:t xml:space="preserve">están menos ligados al </w:t>
      </w:r>
      <w:r w:rsidRPr="00B17B27">
        <w:rPr>
          <w:i/>
          <w:iCs/>
        </w:rPr>
        <w:t>Visuddhimagga</w:t>
      </w:r>
      <w:r>
        <w:t xml:space="preserve">, también remiten al lector a él o reproducen grandes </w:t>
      </w:r>
      <w:r w:rsidR="006A1AA9">
        <w:t>fragmentos</w:t>
      </w:r>
      <w:r>
        <w:t xml:space="preserve"> </w:t>
      </w:r>
      <w:proofErr w:type="gramStart"/>
      <w:r w:rsidR="00E445DF">
        <w:t>d</w:t>
      </w:r>
      <w:r>
        <w:t>el mismo</w:t>
      </w:r>
      <w:proofErr w:type="gramEnd"/>
      <w:r>
        <w:t xml:space="preserve">. El autor mismo dice: “Los tratados sobre la virtud y sobre las reglas del asceta, todos los </w:t>
      </w:r>
      <w:r w:rsidR="006A1AA9">
        <w:t xml:space="preserve">objetos </w:t>
      </w:r>
      <w:r>
        <w:t xml:space="preserve">de meditación, los detalles </w:t>
      </w:r>
      <w:r w:rsidR="00E445DF">
        <w:t>sobre</w:t>
      </w:r>
      <w:r>
        <w:t xml:space="preserve"> </w:t>
      </w:r>
      <w:proofErr w:type="gramStart"/>
      <w:r>
        <w:t xml:space="preserve">los </w:t>
      </w:r>
      <w:r w:rsidR="006A1AA9">
        <w:t>absorciones</w:t>
      </w:r>
      <w:proofErr w:type="gramEnd"/>
      <w:r w:rsidR="006A1AA9">
        <w:t xml:space="preserve"> </w:t>
      </w:r>
      <w:r>
        <w:t xml:space="preserve">de los </w:t>
      </w:r>
      <w:proofErr w:type="spellStart"/>
      <w:r w:rsidR="00057BF4" w:rsidRPr="00057BF4">
        <w:rPr>
          <w:i/>
        </w:rPr>
        <w:t>jhāna</w:t>
      </w:r>
      <w:r>
        <w:t>s</w:t>
      </w:r>
      <w:proofErr w:type="spellEnd"/>
      <w:r>
        <w:t>, junto con las instrucciones para cada temperamento, todos los diversos tipos de conocimiento directo, la exposición de la definición de</w:t>
      </w:r>
      <w:r w:rsidR="006A1AA9">
        <w:t>l</w:t>
      </w:r>
      <w:r>
        <w:t xml:space="preserve"> </w:t>
      </w:r>
      <w:r w:rsidR="0035310B">
        <w:t>entendimiento</w:t>
      </w:r>
      <w:r>
        <w:t xml:space="preserve">, los agregados, </w:t>
      </w:r>
      <w:r w:rsidR="00E445DF">
        <w:t xml:space="preserve">los </w:t>
      </w:r>
      <w:r>
        <w:t xml:space="preserve">elementos, </w:t>
      </w:r>
      <w:r w:rsidR="00E445DF">
        <w:t xml:space="preserve">las </w:t>
      </w:r>
      <w:r>
        <w:t>bases y facultades, l</w:t>
      </w:r>
      <w:r w:rsidR="00AE341A">
        <w:t>a</w:t>
      </w:r>
      <w:r>
        <w:t xml:space="preserve">s Cuatro Nobles Verdades, </w:t>
      </w:r>
      <w:r w:rsidR="006A1AA9">
        <w:t>la explicación sobre la estructura de las condiciones (la originación</w:t>
      </w:r>
    </w:p>
    <w:p w14:paraId="21FA27E0" w14:textId="77777777" w:rsidR="00586316" w:rsidRPr="00CA444D" w:rsidRDefault="00586316" w:rsidP="00586316">
      <w:pPr>
        <w:pStyle w:val="PiedepginaLegal"/>
        <w:rPr>
          <w:u w:val="single"/>
          <w:lang w:val="en-US"/>
        </w:rPr>
      </w:pPr>
      <w:r w:rsidRPr="00586316">
        <w:rPr>
          <w:u w:val="single"/>
        </w:rPr>
        <w:t xml:space="preserve">                                                                                       </w:t>
      </w:r>
      <w:r w:rsidRPr="00CA444D">
        <w:rPr>
          <w:u w:val="single"/>
          <w:lang w:val="en-US"/>
        </w:rPr>
        <w:t>.</w:t>
      </w:r>
    </w:p>
    <w:p w14:paraId="3E829ACF" w14:textId="61716D7E" w:rsidR="009C3D21" w:rsidRDefault="00586316" w:rsidP="006A1AA9">
      <w:pPr>
        <w:pStyle w:val="PiedepginaLegal"/>
      </w:pPr>
      <w:r w:rsidRPr="00BC019E">
        <w:rPr>
          <w:lang w:val="en-US"/>
        </w:rPr>
        <w:t xml:space="preserve">10. </w:t>
      </w:r>
      <w:proofErr w:type="spellStart"/>
      <w:r w:rsidRPr="006A1AA9">
        <w:rPr>
          <w:i/>
          <w:iCs/>
          <w:lang w:val="en-US"/>
        </w:rPr>
        <w:t>Adikaram</w:t>
      </w:r>
      <w:proofErr w:type="spellEnd"/>
      <w:r w:rsidRPr="00BC019E">
        <w:rPr>
          <w:lang w:val="en-US"/>
        </w:rPr>
        <w:t xml:space="preserve">, </w:t>
      </w:r>
      <w:r w:rsidRPr="00BC019E">
        <w:rPr>
          <w:i/>
          <w:iCs/>
          <w:lang w:val="en-US"/>
        </w:rPr>
        <w:t>Early History of Buddhism</w:t>
      </w:r>
      <w:r w:rsidRPr="00BC019E">
        <w:rPr>
          <w:lang w:val="en-US"/>
        </w:rPr>
        <w:t xml:space="preserve"> </w:t>
      </w:r>
      <w:r w:rsidRPr="00BC019E">
        <w:rPr>
          <w:i/>
          <w:iCs/>
          <w:lang w:val="en-US"/>
        </w:rPr>
        <w:t>in Ceylon</w:t>
      </w:r>
      <w:r w:rsidRPr="00BC019E">
        <w:rPr>
          <w:lang w:val="en-US"/>
        </w:rPr>
        <w:t>,</w:t>
      </w:r>
      <w:r w:rsidR="00BC019E" w:rsidRPr="00BC019E">
        <w:rPr>
          <w:lang w:val="en-US"/>
        </w:rPr>
        <w:t xml:space="preserve"> </w:t>
      </w:r>
      <w:r w:rsidR="00BC019E">
        <w:rPr>
          <w:lang w:val="en-US"/>
        </w:rPr>
        <w:t>[</w:t>
      </w:r>
      <w:r w:rsidR="00BC019E" w:rsidRPr="00CA444D">
        <w:rPr>
          <w:i/>
          <w:iCs/>
          <w:lang w:val="en-US"/>
        </w:rPr>
        <w:t xml:space="preserve">Historia </w:t>
      </w:r>
      <w:proofErr w:type="spellStart"/>
      <w:r w:rsidR="00BC019E" w:rsidRPr="00CA444D">
        <w:rPr>
          <w:i/>
          <w:iCs/>
          <w:lang w:val="en-US"/>
        </w:rPr>
        <w:t>Temprana</w:t>
      </w:r>
      <w:proofErr w:type="spellEnd"/>
      <w:r w:rsidR="00BC019E" w:rsidRPr="00CA444D">
        <w:rPr>
          <w:i/>
          <w:iCs/>
          <w:lang w:val="en-US"/>
        </w:rPr>
        <w:t xml:space="preserve"> del Buddhismo </w:t>
      </w:r>
      <w:proofErr w:type="spellStart"/>
      <w:r w:rsidR="00BC019E" w:rsidRPr="00CA444D">
        <w:rPr>
          <w:i/>
          <w:iCs/>
          <w:lang w:val="en-US"/>
        </w:rPr>
        <w:t>en</w:t>
      </w:r>
      <w:proofErr w:type="spellEnd"/>
      <w:r w:rsidR="00BC019E" w:rsidRPr="00CA444D">
        <w:rPr>
          <w:i/>
          <w:iCs/>
          <w:lang w:val="en-US"/>
        </w:rPr>
        <w:t xml:space="preserve"> </w:t>
      </w:r>
      <w:proofErr w:type="spellStart"/>
      <w:r w:rsidR="00BC019E" w:rsidRPr="00CA444D">
        <w:rPr>
          <w:i/>
          <w:iCs/>
          <w:lang w:val="en-US"/>
        </w:rPr>
        <w:t>Ceilán</w:t>
      </w:r>
      <w:proofErr w:type="spellEnd"/>
      <w:r w:rsidR="00BC019E">
        <w:rPr>
          <w:lang w:val="en-US"/>
        </w:rPr>
        <w:t>]</w:t>
      </w:r>
      <w:r w:rsidRPr="00BC019E">
        <w:rPr>
          <w:lang w:val="en-US"/>
        </w:rPr>
        <w:t xml:space="preserve"> </w:t>
      </w:r>
      <w:proofErr w:type="spellStart"/>
      <w:r w:rsidRPr="00BC019E">
        <w:rPr>
          <w:lang w:val="en-US"/>
        </w:rPr>
        <w:t>págs</w:t>
      </w:r>
      <w:proofErr w:type="spellEnd"/>
      <w:r w:rsidRPr="00BC019E">
        <w:rPr>
          <w:lang w:val="en-US"/>
        </w:rPr>
        <w:t xml:space="preserve">. </w:t>
      </w:r>
      <w:r>
        <w:t>3 y 86</w:t>
      </w:r>
    </w:p>
    <w:p w14:paraId="0CA29313" w14:textId="77777777" w:rsidR="003B35B7" w:rsidRDefault="003B35B7">
      <w:r>
        <w:br w:type="page"/>
      </w:r>
    </w:p>
    <w:p w14:paraId="6861587C" w14:textId="113D9414" w:rsidR="001563BC" w:rsidRDefault="001563BC" w:rsidP="001563BC">
      <w:r>
        <w:lastRenderedPageBreak/>
        <w:t>dependiente) y</w:t>
      </w:r>
      <w:r w:rsidR="006A1AA9">
        <w:t>,</w:t>
      </w:r>
      <w:r>
        <w:t xml:space="preserve"> finalmente</w:t>
      </w:r>
      <w:r w:rsidR="006A1AA9">
        <w:t>,</w:t>
      </w:r>
      <w:r>
        <w:t xml:space="preserve"> el desarrollo de la visión</w:t>
      </w:r>
      <w:r w:rsidR="006A1AA9">
        <w:t xml:space="preserve"> correcta</w:t>
      </w:r>
      <w:r>
        <w:t>, por métodos que est</w:t>
      </w:r>
      <w:r w:rsidR="00AE341A">
        <w:t>é</w:t>
      </w:r>
      <w:r>
        <w:t>n purificados y seguros y no divergentes de las Escrituras</w:t>
      </w:r>
      <w:r w:rsidR="00E445DF">
        <w:t xml:space="preserve">; </w:t>
      </w:r>
      <w:proofErr w:type="gramStart"/>
      <w:r w:rsidR="00E445DF">
        <w:t>toda</w:t>
      </w:r>
      <w:r w:rsidR="00500C37">
        <w:t xml:space="preserve"> esta</w:t>
      </w:r>
      <w:r>
        <w:t>s cosas</w:t>
      </w:r>
      <w:proofErr w:type="gramEnd"/>
      <w:r>
        <w:t xml:space="preserve"> ya han sido claramente establecidas en el </w:t>
      </w:r>
      <w:r w:rsidRPr="004F7C67">
        <w:rPr>
          <w:i/>
          <w:iCs/>
        </w:rPr>
        <w:t>Visuddhimagga</w:t>
      </w:r>
      <w:r>
        <w:t>, ya no me detendré más</w:t>
      </w:r>
      <w:r w:rsidR="00AE341A">
        <w:t xml:space="preserve"> aquí al respecto</w:t>
      </w:r>
      <w:r>
        <w:t xml:space="preserve">; </w:t>
      </w:r>
      <w:r w:rsidR="00AE341A">
        <w:t>ya que</w:t>
      </w:r>
      <w:r>
        <w:t xml:space="preserve"> el </w:t>
      </w:r>
      <w:r w:rsidRPr="004F7C67">
        <w:rPr>
          <w:i/>
          <w:iCs/>
        </w:rPr>
        <w:t>Visuddhimagga</w:t>
      </w:r>
      <w:r>
        <w:t xml:space="preserve"> se encuentra entre y en medio de las cuatro colecciones (</w:t>
      </w:r>
      <w:proofErr w:type="spellStart"/>
      <w:r w:rsidRPr="004F7C67">
        <w:rPr>
          <w:i/>
          <w:iCs/>
        </w:rPr>
        <w:t>Nikāyas</w:t>
      </w:r>
      <w:proofErr w:type="spellEnd"/>
      <w:r>
        <w:t>) y aclarará el significado de tales cosas establecidas en l</w:t>
      </w:r>
      <w:r w:rsidR="00AE341A">
        <w:t>os</w:t>
      </w:r>
      <w:r>
        <w:t xml:space="preserve"> mismo</w:t>
      </w:r>
      <w:r w:rsidR="00AE341A">
        <w:t>s</w:t>
      </w:r>
      <w:r>
        <w:t xml:space="preserve">. Fue hecho de esa manera: </w:t>
      </w:r>
      <w:r w:rsidR="006A1AA9">
        <w:t>consúltese</w:t>
      </w:r>
      <w:r>
        <w:t xml:space="preserve">, por lo tanto, junto </w:t>
      </w:r>
      <w:r w:rsidR="00AE341A">
        <w:t>a</w:t>
      </w:r>
      <w:r>
        <w:t xml:space="preserve"> este mismo comentario y con</w:t>
      </w:r>
      <w:r w:rsidR="00AE341A">
        <w:t>ózcase</w:t>
      </w:r>
      <w:r>
        <w:t xml:space="preserve"> el significado de la larga colección (</w:t>
      </w:r>
      <w:r w:rsidR="004F7C67" w:rsidRPr="004F7C67">
        <w:rPr>
          <w:i/>
          <w:iCs/>
        </w:rPr>
        <w:t>Dīgha Nikāya</w:t>
      </w:r>
      <w:r>
        <w:t>)”</w:t>
      </w:r>
      <w:r w:rsidR="00AE341A">
        <w:t xml:space="preserve"> </w:t>
      </w:r>
      <w:r>
        <w:t xml:space="preserve">(Prólogo a los cuatro </w:t>
      </w:r>
      <w:proofErr w:type="spellStart"/>
      <w:r w:rsidRPr="004F7C67">
        <w:rPr>
          <w:i/>
          <w:iCs/>
        </w:rPr>
        <w:t>Nikāyas</w:t>
      </w:r>
      <w:proofErr w:type="spellEnd"/>
      <w:r>
        <w:t>).</w:t>
      </w:r>
    </w:p>
    <w:p w14:paraId="798C8E85" w14:textId="4A18FFDB" w:rsidR="001563BC" w:rsidRDefault="001563BC" w:rsidP="001563BC">
      <w:pPr>
        <w:pStyle w:val="NormalConSangria"/>
      </w:pPr>
      <w:r>
        <w:t xml:space="preserve">Esto es todo lo que </w:t>
      </w:r>
      <w:r w:rsidR="00AE341A">
        <w:t>se ha podido</w:t>
      </w:r>
      <w:r>
        <w:t>, sin inferencias inseguras, obten</w:t>
      </w:r>
      <w:r w:rsidR="00AE341A">
        <w:t>er</w:t>
      </w:r>
      <w:r>
        <w:t xml:space="preserve"> de</w:t>
      </w:r>
      <w:r w:rsidR="00AE341A">
        <w:t>l propio</w:t>
      </w:r>
      <w:r>
        <w:t xml:space="preserve"> </w:t>
      </w:r>
      <w:r w:rsidR="00AE341A">
        <w:br/>
      </w:r>
      <w:proofErr w:type="spellStart"/>
      <w:r w:rsidRPr="004F7C67">
        <w:t>Bhadantācariya</w:t>
      </w:r>
      <w:proofErr w:type="spellEnd"/>
      <w:r>
        <w:t xml:space="preserve"> </w:t>
      </w:r>
      <w:r w:rsidR="00057BF4" w:rsidRPr="00AE341A">
        <w:rPr>
          <w:iCs/>
        </w:rPr>
        <w:t>Buddha</w:t>
      </w:r>
      <w:r w:rsidRPr="00AE341A">
        <w:rPr>
          <w:iCs/>
        </w:rPr>
        <w:t>ghosa</w:t>
      </w:r>
      <w:r>
        <w:t xml:space="preserve"> de sus propias obras (</w:t>
      </w:r>
      <w:r w:rsidR="00DB15FA">
        <w:t xml:space="preserve">no obstante, </w:t>
      </w:r>
      <w:r w:rsidR="00FA0B65">
        <w:t>lee</w:t>
      </w:r>
      <w:r>
        <w:t>r más abajo). Ahora</w:t>
      </w:r>
      <w:r w:rsidR="00AE341A">
        <w:t xml:space="preserve"> bien</w:t>
      </w:r>
      <w:r>
        <w:t xml:space="preserve">, </w:t>
      </w:r>
      <w:r w:rsidR="00AE341A">
        <w:t xml:space="preserve">se cuenta con la narración </w:t>
      </w:r>
      <w:proofErr w:type="spellStart"/>
      <w:r w:rsidRPr="004F7C67">
        <w:rPr>
          <w:i/>
          <w:iCs/>
        </w:rPr>
        <w:t>Mahāvaṃsa</w:t>
      </w:r>
      <w:proofErr w:type="spellEnd"/>
      <w:r>
        <w:t xml:space="preserve">. La composición de la segunda parte (a menudo llamada </w:t>
      </w:r>
      <w:proofErr w:type="spellStart"/>
      <w:r w:rsidR="004F7C67" w:rsidRPr="004F7C67">
        <w:rPr>
          <w:i/>
          <w:iCs/>
        </w:rPr>
        <w:t>Cūḷavaṃsa</w:t>
      </w:r>
      <w:proofErr w:type="spellEnd"/>
      <w:r>
        <w:t>) de ese poema histórico se atribuye a</w:t>
      </w:r>
      <w:r w:rsidR="00AE341A">
        <w:t>l</w:t>
      </w:r>
      <w:r>
        <w:t xml:space="preserve"> </w:t>
      </w:r>
      <w:r w:rsidR="00AE341A">
        <w:t>Venerable</w:t>
      </w:r>
      <w:r w:rsidR="00AE341A" w:rsidRPr="00057BF4">
        <w:rPr>
          <w:i/>
        </w:rPr>
        <w:t xml:space="preserve"> </w:t>
      </w:r>
      <w:proofErr w:type="spellStart"/>
      <w:r w:rsidR="00057BF4" w:rsidRPr="00AE341A">
        <w:rPr>
          <w:iCs/>
        </w:rPr>
        <w:t>Dhamma</w:t>
      </w:r>
      <w:r w:rsidRPr="00AE341A">
        <w:rPr>
          <w:iCs/>
        </w:rPr>
        <w:t>kitti</w:t>
      </w:r>
      <w:proofErr w:type="spellEnd"/>
      <w:r>
        <w:t>, que viv</w:t>
      </w:r>
      <w:r w:rsidR="00AE341A">
        <w:t>ió</w:t>
      </w:r>
      <w:r>
        <w:t xml:space="preserve"> </w:t>
      </w:r>
      <w:r w:rsidR="00AE341A">
        <w:t xml:space="preserve">por el </w:t>
      </w:r>
      <w:r>
        <w:t>siglo XIII</w:t>
      </w:r>
      <w:r w:rsidR="00AE341A">
        <w:t xml:space="preserve"> d. C.</w:t>
      </w:r>
      <w:r>
        <w:t xml:space="preserve"> Aquí </w:t>
      </w:r>
      <w:r w:rsidR="00AE341A">
        <w:t>se cuenta</w:t>
      </w:r>
      <w:r>
        <w:t xml:space="preserve"> </w:t>
      </w:r>
      <w:r w:rsidR="00AE341A">
        <w:t xml:space="preserve">con </w:t>
      </w:r>
      <w:r>
        <w:t>una traducción de</w:t>
      </w:r>
      <w:r w:rsidR="00AE341A">
        <w:t xml:space="preserve"> un</w:t>
      </w:r>
      <w:r>
        <w:t xml:space="preserve"> pasaje relevante:</w:t>
      </w:r>
    </w:p>
    <w:p w14:paraId="20447FBA" w14:textId="0B9E8D5D" w:rsidR="001563BC" w:rsidRDefault="001563BC" w:rsidP="00E14A8C">
      <w:pPr>
        <w:pStyle w:val="NormalConSangria"/>
        <w:ind w:left="568"/>
      </w:pPr>
      <w:r>
        <w:t xml:space="preserve">“Había un estudiante </w:t>
      </w:r>
      <w:r w:rsidRPr="00741807">
        <w:rPr>
          <w:i/>
          <w:iCs/>
        </w:rPr>
        <w:t>Brahman</w:t>
      </w:r>
      <w:r>
        <w:t xml:space="preserve"> que nació cerca del </w:t>
      </w:r>
      <w:r w:rsidR="00AE341A">
        <w:t>lugar</w:t>
      </w:r>
      <w:r>
        <w:t xml:space="preserve"> del árbol de </w:t>
      </w:r>
      <w:r w:rsidR="00AE341A">
        <w:t xml:space="preserve">la </w:t>
      </w:r>
      <w:r>
        <w:t xml:space="preserve">iluminación. </w:t>
      </w:r>
      <w:r w:rsidR="00793178">
        <w:t>Él</w:t>
      </w:r>
      <w:r>
        <w:t xml:space="preserve"> </w:t>
      </w:r>
      <w:r w:rsidR="00AE341A">
        <w:t>estaba</w:t>
      </w:r>
      <w:r>
        <w:t xml:space="preserve"> familiariz</w:t>
      </w:r>
      <w:r w:rsidR="00AE341A">
        <w:t>ado</w:t>
      </w:r>
      <w:r>
        <w:t xml:space="preserve"> con las artes y los </w:t>
      </w:r>
      <w:r w:rsidR="00AE341A">
        <w:t>logros</w:t>
      </w:r>
      <w:r>
        <w:t xml:space="preserve"> de las ciencias y </w:t>
      </w:r>
      <w:r w:rsidR="00AE341A">
        <w:t xml:space="preserve">versado </w:t>
      </w:r>
      <w:r>
        <w:t xml:space="preserve">en los </w:t>
      </w:r>
      <w:r w:rsidRPr="00AE341A">
        <w:rPr>
          <w:i/>
          <w:iCs/>
        </w:rPr>
        <w:t>Vedas</w:t>
      </w:r>
      <w:r>
        <w:t xml:space="preserve">. </w:t>
      </w:r>
      <w:r w:rsidR="00327024">
        <w:t>Estaba</w:t>
      </w:r>
      <w:r w:rsidR="00AE341A">
        <w:t xml:space="preserve"> </w:t>
      </w:r>
      <w:r>
        <w:t xml:space="preserve">bien versado en lo que </w:t>
      </w:r>
      <w:r w:rsidR="00AE341A">
        <w:t xml:space="preserve">conocía </w:t>
      </w:r>
      <w:r>
        <w:t xml:space="preserve">y sin </w:t>
      </w:r>
      <w:r w:rsidR="00AE341A">
        <w:t xml:space="preserve">ninguna </w:t>
      </w:r>
      <w:r>
        <w:t xml:space="preserve">duda sobre cualquier frase. Al estar interesado en las doctrinas, </w:t>
      </w:r>
      <w:r w:rsidR="00AE341A">
        <w:t xml:space="preserve">peregrinó </w:t>
      </w:r>
      <w:r>
        <w:t xml:space="preserve">por </w:t>
      </w:r>
      <w:proofErr w:type="spellStart"/>
      <w:r>
        <w:t>Jambudīpa</w:t>
      </w:r>
      <w:proofErr w:type="spellEnd"/>
      <w:r>
        <w:t xml:space="preserve"> (India) </w:t>
      </w:r>
      <w:r w:rsidR="00AE341A">
        <w:t>comprometido en las discusiones</w:t>
      </w:r>
      <w:r>
        <w:t>.</w:t>
      </w:r>
    </w:p>
    <w:p w14:paraId="7EE4BC56" w14:textId="22B70002" w:rsidR="001563BC" w:rsidRDefault="001563BC" w:rsidP="00E14A8C">
      <w:pPr>
        <w:pStyle w:val="NormalConSangria"/>
        <w:ind w:left="568"/>
      </w:pPr>
      <w:r>
        <w:t>"</w:t>
      </w:r>
      <w:r w:rsidR="00741807">
        <w:t>Él</w:t>
      </w:r>
      <w:r>
        <w:t xml:space="preserve"> </w:t>
      </w:r>
      <w:r w:rsidR="00517945">
        <w:t>llegó a</w:t>
      </w:r>
      <w:r>
        <w:t xml:space="preserve"> cierto monaster</w:t>
      </w:r>
      <w:r w:rsidR="00517945">
        <w:t>io</w:t>
      </w:r>
      <w:r>
        <w:t xml:space="preserve"> y allí</w:t>
      </w:r>
      <w:r w:rsidR="00CE5316">
        <w:t>,</w:t>
      </w:r>
      <w:r>
        <w:t xml:space="preserve"> </w:t>
      </w:r>
      <w:r w:rsidR="00CE5316">
        <w:t>durante</w:t>
      </w:r>
      <w:r>
        <w:t xml:space="preserve"> la noche</w:t>
      </w:r>
      <w:r w:rsidR="00CE5316">
        <w:t>,</w:t>
      </w:r>
      <w:r>
        <w:t xml:space="preserve"> recitó el sistema </w:t>
      </w:r>
      <w:proofErr w:type="spellStart"/>
      <w:r w:rsidRPr="0082112C">
        <w:rPr>
          <w:i/>
          <w:iCs/>
        </w:rPr>
        <w:t>Pātañjali</w:t>
      </w:r>
      <w:proofErr w:type="spellEnd"/>
      <w:r>
        <w:t xml:space="preserve"> con cada frase completa y bien </w:t>
      </w:r>
      <w:r w:rsidR="00AE341A">
        <w:t>elaborada</w:t>
      </w:r>
      <w:r>
        <w:t xml:space="preserve">. El </w:t>
      </w:r>
      <w:r w:rsidR="00AE341A">
        <w:t xml:space="preserve">Venerable </w:t>
      </w:r>
      <w:r>
        <w:t xml:space="preserve">mayor </w:t>
      </w:r>
      <w:r w:rsidR="002373E5">
        <w:t>del lugar</w:t>
      </w:r>
      <w:r>
        <w:t xml:space="preserve">, </w:t>
      </w:r>
      <w:proofErr w:type="spellStart"/>
      <w:r>
        <w:t>Revata</w:t>
      </w:r>
      <w:proofErr w:type="spellEnd"/>
      <w:r>
        <w:t xml:space="preserve"> por nombre, reconoció: </w:t>
      </w:r>
      <w:r w:rsidR="00ED4666">
        <w:t>‘</w:t>
      </w:r>
      <w:r>
        <w:t xml:space="preserve">Este es un ser de gran comprensión </w:t>
      </w:r>
      <w:r w:rsidR="00AE341A">
        <w:t>y</w:t>
      </w:r>
      <w:r>
        <w:t xml:space="preserve"> quién </w:t>
      </w:r>
      <w:r w:rsidR="00ED4666">
        <w:t>habrá</w:t>
      </w:r>
      <w:r w:rsidR="00AE341A">
        <w:t xml:space="preserve"> de ser adiestrado</w:t>
      </w:r>
      <w:r w:rsidR="00ED4666">
        <w:t>’</w:t>
      </w:r>
      <w:r>
        <w:t>.</w:t>
      </w:r>
      <w:r w:rsidR="00C06492">
        <w:t xml:space="preserve"> Él </w:t>
      </w:r>
      <w:r w:rsidR="00101C7B">
        <w:t xml:space="preserve">le </w:t>
      </w:r>
      <w:r w:rsidR="00C06492">
        <w:t>dijo</w:t>
      </w:r>
      <w:r>
        <w:t xml:space="preserve"> </w:t>
      </w:r>
      <w:r w:rsidR="00C06492">
        <w:t>‘</w:t>
      </w:r>
      <w:r>
        <w:t>¿</w:t>
      </w:r>
      <w:r w:rsidR="00C06492">
        <w:t xml:space="preserve">Quién es aquel </w:t>
      </w:r>
      <w:r w:rsidR="000B3456">
        <w:t xml:space="preserve">rebuznando </w:t>
      </w:r>
      <w:r w:rsidR="00AE341A">
        <w:t xml:space="preserve">el </w:t>
      </w:r>
      <w:r w:rsidR="000B3456">
        <w:t xml:space="preserve">rebuzne del </w:t>
      </w:r>
      <w:r w:rsidR="00AE341A">
        <w:t>asno</w:t>
      </w:r>
      <w:r>
        <w:t>?'</w:t>
      </w:r>
      <w:r w:rsidR="000B3456">
        <w:t xml:space="preserve"> </w:t>
      </w:r>
      <w:r>
        <w:t xml:space="preserve">El </w:t>
      </w:r>
      <w:r w:rsidR="00AE341A">
        <w:t xml:space="preserve">otro preguntó ‘¿Qué </w:t>
      </w:r>
      <w:r w:rsidR="00BF3423">
        <w:t xml:space="preserve">conoce </w:t>
      </w:r>
      <w:r w:rsidR="00AE341A">
        <w:t xml:space="preserve">entonces sobre </w:t>
      </w:r>
      <w:r w:rsidR="0014265E">
        <w:t>el significado d</w:t>
      </w:r>
      <w:r w:rsidR="00AE341A">
        <w:t>el rebuznar del asno?</w:t>
      </w:r>
      <w:r w:rsidR="0014265E">
        <w:t>’</w:t>
      </w:r>
      <w:r w:rsidR="00AE341A">
        <w:t xml:space="preserve"> </w:t>
      </w:r>
      <w:r>
        <w:t xml:space="preserve"> y el </w:t>
      </w:r>
      <w:r w:rsidR="00397595">
        <w:t>otro</w:t>
      </w:r>
      <w:r w:rsidR="00AE341A">
        <w:t xml:space="preserve"> respondió: </w:t>
      </w:r>
      <w:r>
        <w:t>'</w:t>
      </w:r>
      <w:r w:rsidR="00397595">
        <w:t xml:space="preserve">conozco algo </w:t>
      </w:r>
      <w:r w:rsidR="00AE341A">
        <w:t>al respecto</w:t>
      </w:r>
      <w:r>
        <w:t xml:space="preserve">', y </w:t>
      </w:r>
      <w:r w:rsidR="00397595">
        <w:t xml:space="preserve">entonces </w:t>
      </w:r>
      <w:r>
        <w:t xml:space="preserve">no solo lo expuso, </w:t>
      </w:r>
      <w:r w:rsidR="00AE341A">
        <w:t>sino</w:t>
      </w:r>
      <w:r>
        <w:t xml:space="preserve"> </w:t>
      </w:r>
      <w:r w:rsidR="00AE341A">
        <w:t xml:space="preserve">que </w:t>
      </w:r>
      <w:r>
        <w:t xml:space="preserve">explicó cada declaración de manera correcta y, por lo tanto, señaló las contradicciones. </w:t>
      </w:r>
      <w:r w:rsidR="00397595">
        <w:t xml:space="preserve">Entonces </w:t>
      </w:r>
      <w:r>
        <w:t>l</w:t>
      </w:r>
      <w:r w:rsidR="00AE341A">
        <w:t>o</w:t>
      </w:r>
      <w:r>
        <w:t xml:space="preserve"> instó: </w:t>
      </w:r>
      <w:r w:rsidR="0014265E">
        <w:t>‘</w:t>
      </w:r>
      <w:r>
        <w:t>Ahora expon</w:t>
      </w:r>
      <w:r w:rsidR="00AE341A">
        <w:t>ga</w:t>
      </w:r>
      <w:r>
        <w:t xml:space="preserve"> su doctrina</w:t>
      </w:r>
      <w:r w:rsidR="0014265E">
        <w:t>’</w:t>
      </w:r>
      <w:r>
        <w:t xml:space="preserve">, y el </w:t>
      </w:r>
      <w:r w:rsidR="00AE341A">
        <w:t xml:space="preserve">Venerable </w:t>
      </w:r>
      <w:r w:rsidR="00397595">
        <w:t>recitó</w:t>
      </w:r>
      <w:r>
        <w:t xml:space="preserve"> un texto </w:t>
      </w:r>
      <w:r w:rsidR="00397595">
        <w:t xml:space="preserve">sobre </w:t>
      </w:r>
      <w:r>
        <w:t xml:space="preserve">el </w:t>
      </w:r>
      <w:proofErr w:type="spellStart"/>
      <w:r w:rsidR="00AE341A" w:rsidRPr="00517945">
        <w:rPr>
          <w:i/>
          <w:iCs/>
        </w:rPr>
        <w:t>Abhi</w:t>
      </w:r>
      <w:r w:rsidR="00AE341A" w:rsidRPr="00057BF4">
        <w:rPr>
          <w:i/>
          <w:iCs/>
        </w:rPr>
        <w:t>dhamma</w:t>
      </w:r>
      <w:proofErr w:type="spellEnd"/>
      <w:r>
        <w:t xml:space="preserve">, </w:t>
      </w:r>
      <w:r w:rsidR="00985658">
        <w:t>n</w:t>
      </w:r>
      <w:r w:rsidR="0014265E">
        <w:t xml:space="preserve">o obstante, </w:t>
      </w:r>
      <w:r>
        <w:t xml:space="preserve">el visitante no pudo resolver su significado. </w:t>
      </w:r>
      <w:r w:rsidR="00985658">
        <w:t>É</w:t>
      </w:r>
      <w:r w:rsidR="00FD6734">
        <w:t>ste</w:t>
      </w:r>
      <w:r w:rsidR="00985658">
        <w:t xml:space="preserve"> p</w:t>
      </w:r>
      <w:r>
        <w:t xml:space="preserve">reguntó: </w:t>
      </w:r>
      <w:r w:rsidR="00985658">
        <w:t>‘</w:t>
      </w:r>
      <w:r>
        <w:t>De quién es este sistema?</w:t>
      </w:r>
      <w:r w:rsidR="00985658">
        <w:t>’</w:t>
      </w:r>
      <w:r>
        <w:t xml:space="preserve"> Y el </w:t>
      </w:r>
      <w:r w:rsidR="00BF16E9">
        <w:t xml:space="preserve">Venerable </w:t>
      </w:r>
      <w:r>
        <w:t xml:space="preserve">respondió: </w:t>
      </w:r>
      <w:r w:rsidR="00985658">
        <w:t>‘</w:t>
      </w:r>
      <w:r>
        <w:t xml:space="preserve">Es el sistema </w:t>
      </w:r>
      <w:r w:rsidR="00BF16E9">
        <w:t>del Iluminado</w:t>
      </w:r>
      <w:r w:rsidR="00985658">
        <w:t>’</w:t>
      </w:r>
      <w:r>
        <w:t xml:space="preserve">. </w:t>
      </w:r>
      <w:r w:rsidR="00985658">
        <w:t>‘</w:t>
      </w:r>
      <w:r w:rsidR="00AE341A">
        <w:t>Muéstremelo</w:t>
      </w:r>
      <w:r w:rsidR="00985658">
        <w:t>’</w:t>
      </w:r>
      <w:r>
        <w:t xml:space="preserve">, dijo </w:t>
      </w:r>
      <w:r w:rsidR="00AE341A">
        <w:t>é</w:t>
      </w:r>
      <w:r w:rsidR="00AC5D9C">
        <w:t>l</w:t>
      </w:r>
      <w:r>
        <w:t xml:space="preserve">, pero el </w:t>
      </w:r>
      <w:r w:rsidR="00AE341A">
        <w:t xml:space="preserve">Venerable </w:t>
      </w:r>
      <w:r>
        <w:t xml:space="preserve">respondió: </w:t>
      </w:r>
      <w:r w:rsidR="007B6E08">
        <w:t>‘</w:t>
      </w:r>
      <w:r>
        <w:t xml:space="preserve">Tendrá que </w:t>
      </w:r>
      <w:r w:rsidR="00AE341A">
        <w:t xml:space="preserve">renunciar a la vida </w:t>
      </w:r>
      <w:r w:rsidR="00BF3423">
        <w:t xml:space="preserve">seglar </w:t>
      </w:r>
      <w:r w:rsidR="00AE341A">
        <w:t>y partir hacia una</w:t>
      </w:r>
      <w:r>
        <w:t xml:space="preserve"> </w:t>
      </w:r>
      <w:r w:rsidR="00AE341A">
        <w:t>sin hogar</w:t>
      </w:r>
      <w:r w:rsidR="007B6E08">
        <w:t>’</w:t>
      </w:r>
      <w:r>
        <w:t xml:space="preserve">. Entonces </w:t>
      </w:r>
      <w:r w:rsidR="00FD6734">
        <w:t xml:space="preserve">el otro </w:t>
      </w:r>
      <w:r w:rsidR="00AE341A">
        <w:t>se ordenó</w:t>
      </w:r>
      <w:r>
        <w:t>, ya que estaba interesado en el sistema y</w:t>
      </w:r>
      <w:r w:rsidR="00BF3423">
        <w:t>, así,</w:t>
      </w:r>
      <w:r>
        <w:t xml:space="preserve"> ​​aprendió los tres </w:t>
      </w:r>
      <w:proofErr w:type="spellStart"/>
      <w:r w:rsidR="00BF16E9" w:rsidRPr="00BF16E9">
        <w:rPr>
          <w:i/>
          <w:iCs/>
        </w:rPr>
        <w:t>Piṭakas</w:t>
      </w:r>
      <w:proofErr w:type="spellEnd"/>
      <w:r>
        <w:t xml:space="preserve">, después de lo cual </w:t>
      </w:r>
      <w:r w:rsidR="00AE341A">
        <w:t>cayó en la convicción</w:t>
      </w:r>
      <w:r>
        <w:t>:</w:t>
      </w:r>
      <w:r w:rsidR="00AE341A">
        <w:t xml:space="preserve"> </w:t>
      </w:r>
      <w:r>
        <w:t>'</w:t>
      </w:r>
      <w:r w:rsidR="00AE341A">
        <w:t>É</w:t>
      </w:r>
      <w:r>
        <w:t>st</w:t>
      </w:r>
      <w:r w:rsidR="007B6E08">
        <w:t>e</w:t>
      </w:r>
      <w:r>
        <w:t xml:space="preserve"> es </w:t>
      </w:r>
      <w:r w:rsidR="00AE341A">
        <w:t>e</w:t>
      </w:r>
      <w:r>
        <w:t>l únic</w:t>
      </w:r>
      <w:r w:rsidR="00AE341A">
        <w:t>o</w:t>
      </w:r>
      <w:r>
        <w:t xml:space="preserve"> </w:t>
      </w:r>
      <w:r w:rsidR="00AE341A">
        <w:t xml:space="preserve">sendero </w:t>
      </w:r>
      <w:r>
        <w:t>'(</w:t>
      </w:r>
      <w:r w:rsidR="00AE341A">
        <w:t>M I</w:t>
      </w:r>
      <w:r>
        <w:t xml:space="preserve"> 55). </w:t>
      </w:r>
      <w:r w:rsidR="00AE341A">
        <w:t xml:space="preserve">Debido a que su lenguaje </w:t>
      </w:r>
      <w:r>
        <w:t>(</w:t>
      </w:r>
      <w:proofErr w:type="spellStart"/>
      <w:r w:rsidR="00BF16E9" w:rsidRPr="00BF16E9">
        <w:rPr>
          <w:i/>
          <w:iCs/>
        </w:rPr>
        <w:t>ghosa</w:t>
      </w:r>
      <w:proofErr w:type="spellEnd"/>
      <w:r>
        <w:t>) era profundo (</w:t>
      </w:r>
      <w:r w:rsidR="000E39BF">
        <w:t xml:space="preserve">a que </w:t>
      </w:r>
      <w:r w:rsidR="00AE341A">
        <w:t>su</w:t>
      </w:r>
      <w:r w:rsidR="007B6E08">
        <w:t xml:space="preserve"> </w:t>
      </w:r>
      <w:r>
        <w:t xml:space="preserve">voz era profunda) como </w:t>
      </w:r>
      <w:r w:rsidR="00AE341A">
        <w:t xml:space="preserve">la </w:t>
      </w:r>
      <w:r>
        <w:t>de</w:t>
      </w:r>
      <w:r w:rsidR="00AE341A">
        <w:t>l</w:t>
      </w:r>
      <w:r>
        <w:t xml:space="preserve"> </w:t>
      </w:r>
      <w:r w:rsidR="00AE341A">
        <w:t xml:space="preserve">Iluminado </w:t>
      </w:r>
      <w:r>
        <w:t>(</w:t>
      </w:r>
      <w:r w:rsidR="00057BF4" w:rsidRPr="00057BF4">
        <w:rPr>
          <w:i/>
        </w:rPr>
        <w:t>Buddha</w:t>
      </w:r>
      <w:r>
        <w:t xml:space="preserve">) </w:t>
      </w:r>
      <w:r w:rsidR="00AE341A">
        <w:t xml:space="preserve">fue </w:t>
      </w:r>
      <w:r>
        <w:t xml:space="preserve">que lo llamaron </w:t>
      </w:r>
      <w:r w:rsidR="00057BF4" w:rsidRPr="00AE341A">
        <w:rPr>
          <w:iCs/>
        </w:rPr>
        <w:t>Buddha</w:t>
      </w:r>
      <w:r w:rsidRPr="00AE341A">
        <w:rPr>
          <w:iCs/>
        </w:rPr>
        <w:t>ghosa</w:t>
      </w:r>
      <w:r>
        <w:t xml:space="preserve">, de modo que, </w:t>
      </w:r>
      <w:proofErr w:type="spellStart"/>
      <w:r w:rsidR="00AE341A">
        <w:t>a</w:t>
      </w:r>
      <w:proofErr w:type="spellEnd"/>
      <w:r w:rsidR="00AE341A">
        <w:t xml:space="preserve"> igual que</w:t>
      </w:r>
      <w:r>
        <w:t xml:space="preserve"> el </w:t>
      </w:r>
      <w:r w:rsidR="00AE341A">
        <w:t>Iluminado</w:t>
      </w:r>
      <w:r>
        <w:t xml:space="preserve">, </w:t>
      </w:r>
      <w:r w:rsidR="00AE341A">
        <w:t>él tuviese una voz</w:t>
      </w:r>
      <w:r>
        <w:t xml:space="preserve"> sobre la superficie de la tierra.</w:t>
      </w:r>
    </w:p>
    <w:p w14:paraId="0FDD1744" w14:textId="5E0641CF" w:rsidR="001563BC" w:rsidRDefault="001563BC" w:rsidP="00E14A8C">
      <w:pPr>
        <w:pStyle w:val="NormalConSangria"/>
        <w:ind w:left="568"/>
      </w:pPr>
      <w:r>
        <w:t>“</w:t>
      </w:r>
      <w:r w:rsidR="00AE341A">
        <w:t>Él p</w:t>
      </w:r>
      <w:r>
        <w:t xml:space="preserve">reparó un tratado allí llamado </w:t>
      </w:r>
      <w:proofErr w:type="spellStart"/>
      <w:r w:rsidR="00AC5D9C" w:rsidRPr="00AC5D9C">
        <w:rPr>
          <w:i/>
          <w:iCs/>
        </w:rPr>
        <w:t>Ñāṇodakya</w:t>
      </w:r>
      <w:proofErr w:type="spellEnd"/>
      <w:r>
        <w:t xml:space="preserve">, y luego el </w:t>
      </w:r>
      <w:proofErr w:type="spellStart"/>
      <w:r w:rsidR="00AC5D9C" w:rsidRPr="00AC5D9C">
        <w:rPr>
          <w:i/>
          <w:iCs/>
        </w:rPr>
        <w:t>Atthasālinī</w:t>
      </w:r>
      <w:proofErr w:type="spellEnd"/>
      <w:r>
        <w:t xml:space="preserve">, un comentario sobre el </w:t>
      </w:r>
      <w:proofErr w:type="spellStart"/>
      <w:r w:rsidR="00057BF4" w:rsidRPr="00057BF4">
        <w:rPr>
          <w:i/>
          <w:iCs/>
        </w:rPr>
        <w:t>Dhamma</w:t>
      </w:r>
      <w:r w:rsidR="00AC5D9C" w:rsidRPr="00AC5D9C">
        <w:rPr>
          <w:i/>
          <w:iCs/>
        </w:rPr>
        <w:t>saṅgaṇī</w:t>
      </w:r>
      <w:proofErr w:type="spellEnd"/>
      <w:r>
        <w:t xml:space="preserve">. Luego comenzó a trabajar en un comentario </w:t>
      </w:r>
      <w:r w:rsidR="00AE341A">
        <w:t>sobre e</w:t>
      </w:r>
      <w:r>
        <w:t xml:space="preserve">l </w:t>
      </w:r>
      <w:r w:rsidRPr="00B30E15">
        <w:rPr>
          <w:i/>
          <w:iCs/>
        </w:rPr>
        <w:t>Paritta</w:t>
      </w:r>
      <w:r>
        <w:t>.</w:t>
      </w:r>
      <w:r w:rsidRPr="00B30E15">
        <w:rPr>
          <w:vertAlign w:val="superscript"/>
        </w:rPr>
        <w:t>11</w:t>
      </w:r>
      <w:r>
        <w:t xml:space="preserve"> cuando el </w:t>
      </w:r>
      <w:r w:rsidR="00AE341A">
        <w:t xml:space="preserve">Venerable </w:t>
      </w:r>
      <w:proofErr w:type="spellStart"/>
      <w:r>
        <w:t>Revata</w:t>
      </w:r>
      <w:proofErr w:type="spellEnd"/>
      <w:r>
        <w:t xml:space="preserve"> vio e</w:t>
      </w:r>
      <w:r w:rsidR="00AE341A">
        <w:t>ll</w:t>
      </w:r>
      <w:r>
        <w:t>o, dijo: ‘Aquí solo se ha</w:t>
      </w:r>
      <w:r w:rsidR="000E391C">
        <w:t>n</w:t>
      </w:r>
      <w:r>
        <w:t xml:space="preserve"> conservado l</w:t>
      </w:r>
      <w:r w:rsidR="00AE341A">
        <w:t>os</w:t>
      </w:r>
      <w:r>
        <w:t xml:space="preserve"> texto</w:t>
      </w:r>
      <w:r w:rsidR="00AE341A">
        <w:t>s</w:t>
      </w:r>
      <w:r>
        <w:t xml:space="preserve">. No </w:t>
      </w:r>
      <w:r w:rsidR="00AE341A">
        <w:t>existen</w:t>
      </w:r>
      <w:r>
        <w:t xml:space="preserve"> comentarios y</w:t>
      </w:r>
      <w:r w:rsidR="00195A86">
        <w:t>,</w:t>
      </w:r>
      <w:r>
        <w:t xml:space="preserve"> </w:t>
      </w:r>
      <w:r w:rsidR="00AE341A">
        <w:t>de la misma manera</w:t>
      </w:r>
      <w:r w:rsidR="00195A86">
        <w:t>,</w:t>
      </w:r>
      <w:r w:rsidR="00AE341A">
        <w:t xml:space="preserve"> tampoco</w:t>
      </w:r>
      <w:r>
        <w:t xml:space="preserve"> maestros; </w:t>
      </w:r>
      <w:r w:rsidR="00AE341A">
        <w:t xml:space="preserve">ya que </w:t>
      </w:r>
      <w:r>
        <w:t>se ha permitido hacer</w:t>
      </w:r>
      <w:r w:rsidR="00AE341A">
        <w:t>los</w:t>
      </w:r>
      <w:r>
        <w:t xml:space="preserve"> pedazos y </w:t>
      </w:r>
      <w:r w:rsidR="00AE341A">
        <w:t xml:space="preserve">que </w:t>
      </w:r>
      <w:r>
        <w:t>no se l</w:t>
      </w:r>
      <w:r w:rsidR="00AE341A">
        <w:t>es</w:t>
      </w:r>
      <w:r>
        <w:t xml:space="preserve"> cono</w:t>
      </w:r>
      <w:r w:rsidR="00AE341A">
        <w:t>zca</w:t>
      </w:r>
      <w:r>
        <w:t xml:space="preserve">. Sin embargo, todavía existe un comentario cingalés, </w:t>
      </w:r>
      <w:r w:rsidR="00AE341A">
        <w:t>e</w:t>
      </w:r>
      <w:r>
        <w:t xml:space="preserve">l cual es puro. Fue presentado en la lengua cingalés por </w:t>
      </w:r>
      <w:r w:rsidR="00AE341A">
        <w:t>e</w:t>
      </w:r>
      <w:r>
        <w:t xml:space="preserve">l </w:t>
      </w:r>
      <w:r w:rsidR="00AE341A">
        <w:t xml:space="preserve">erudito </w:t>
      </w:r>
      <w:proofErr w:type="spellStart"/>
      <w:r w:rsidR="00AC5D9C" w:rsidRPr="00AC5D9C">
        <w:rPr>
          <w:i/>
          <w:iCs/>
        </w:rPr>
        <w:t>Mahinda</w:t>
      </w:r>
      <w:proofErr w:type="spellEnd"/>
      <w:r w:rsidR="00AC5D9C">
        <w:t xml:space="preserve"> </w:t>
      </w:r>
      <w:r>
        <w:t xml:space="preserve">con el respeto adecuado </w:t>
      </w:r>
      <w:r w:rsidR="00AE341A">
        <w:t>en</w:t>
      </w:r>
      <w:r>
        <w:t xml:space="preserve"> la forma de comentario </w:t>
      </w:r>
      <w:r w:rsidR="00AE341A">
        <w:t>que fue conce</w:t>
      </w:r>
      <w:r w:rsidR="000E391C">
        <w:t>b</w:t>
      </w:r>
      <w:r w:rsidR="00AE341A">
        <w:t xml:space="preserve">ido por </w:t>
      </w:r>
    </w:p>
    <w:p w14:paraId="2FD23A9C" w14:textId="77777777" w:rsidR="001563BC" w:rsidRPr="00E14A8C" w:rsidRDefault="001563BC" w:rsidP="00E14A8C">
      <w:pPr>
        <w:pStyle w:val="PiedepginaLegal"/>
        <w:rPr>
          <w:u w:val="single"/>
        </w:rPr>
      </w:pPr>
      <w:r w:rsidRPr="00E14A8C">
        <w:rPr>
          <w:u w:val="single"/>
        </w:rPr>
        <w:t xml:space="preserve">                                                                                       .</w:t>
      </w:r>
    </w:p>
    <w:p w14:paraId="60518069" w14:textId="77777777" w:rsidR="00E14A8C" w:rsidRDefault="001563BC" w:rsidP="00E14A8C">
      <w:pPr>
        <w:pStyle w:val="PiedepginaLegal"/>
      </w:pPr>
      <w:r>
        <w:t xml:space="preserve">11. </w:t>
      </w:r>
      <w:r w:rsidR="00E14A8C">
        <w:tab/>
      </w:r>
      <w:proofErr w:type="spellStart"/>
      <w:r w:rsidRPr="00AC5D9C">
        <w:rPr>
          <w:i/>
          <w:iCs/>
        </w:rPr>
        <w:t>Paritta</w:t>
      </w:r>
      <w:proofErr w:type="spellEnd"/>
      <w:r>
        <w:t xml:space="preserve"> o "Protección": un nombre para ciertos </w:t>
      </w:r>
      <w:r w:rsidRPr="00BC019E">
        <w:rPr>
          <w:i/>
          <w:iCs/>
        </w:rPr>
        <w:t>Suttas</w:t>
      </w:r>
      <w:r>
        <w:t xml:space="preserve"> recitados para ese propósito. Ver M-A IV 114</w:t>
      </w:r>
    </w:p>
    <w:p w14:paraId="1C7D2C48" w14:textId="77777777" w:rsidR="00E14A8C" w:rsidRDefault="00E14A8C">
      <w:r>
        <w:br w:type="page"/>
      </w:r>
    </w:p>
    <w:p w14:paraId="6B798A3B" w14:textId="7BF37336" w:rsidR="00C32793" w:rsidRDefault="00A87410" w:rsidP="00C32793">
      <w:pPr>
        <w:ind w:left="568"/>
      </w:pPr>
      <w:r>
        <w:lastRenderedPageBreak/>
        <w:t xml:space="preserve">los tres </w:t>
      </w:r>
      <w:r w:rsidR="00AE341A">
        <w:t>Concilios</w:t>
      </w:r>
      <w:r>
        <w:t xml:space="preserve"> </w:t>
      </w:r>
      <w:r w:rsidR="00AE341A">
        <w:t xml:space="preserve">tal como lo fuera enseñado por </w:t>
      </w:r>
      <w:r>
        <w:t>el iluminado e inculcado por Sāriputta y otro</w:t>
      </w:r>
      <w:r w:rsidR="00AE341A">
        <w:t>s</w:t>
      </w:r>
      <w:r>
        <w:t>. V</w:t>
      </w:r>
      <w:r w:rsidR="00AE341A">
        <w:t>aya</w:t>
      </w:r>
      <w:r>
        <w:t xml:space="preserve"> y</w:t>
      </w:r>
      <w:r w:rsidR="00102736">
        <w:t>,</w:t>
      </w:r>
      <w:r>
        <w:t xml:space="preserve"> después de haber aprendido</w:t>
      </w:r>
      <w:r w:rsidR="00102736">
        <w:t>,</w:t>
      </w:r>
      <w:r>
        <w:t xml:space="preserve"> trad</w:t>
      </w:r>
      <w:r w:rsidR="00AE341A">
        <w:t>úzcalo</w:t>
      </w:r>
      <w:r>
        <w:t xml:space="preserve"> al idioma de los </w:t>
      </w:r>
      <w:r w:rsidR="00AE341A">
        <w:br/>
      </w:r>
      <w:proofErr w:type="spellStart"/>
      <w:r w:rsidRPr="00AC5D9C">
        <w:rPr>
          <w:i/>
          <w:iCs/>
        </w:rPr>
        <w:t>Magadhans</w:t>
      </w:r>
      <w:proofErr w:type="spellEnd"/>
      <w:r>
        <w:t>. E</w:t>
      </w:r>
      <w:r w:rsidR="00AE341A">
        <w:t>llo</w:t>
      </w:r>
      <w:r>
        <w:t xml:space="preserve"> t</w:t>
      </w:r>
      <w:r w:rsidR="00C32793">
        <w:t>raerá beneficios a todo el mundo</w:t>
      </w:r>
      <w:r w:rsidR="00AE341A">
        <w:t>’</w:t>
      </w:r>
      <w:r w:rsidR="00C32793">
        <w:t xml:space="preserve">. </w:t>
      </w:r>
      <w:r w:rsidR="00455700">
        <w:t>Tan pronto como se dijo esto</w:t>
      </w:r>
      <w:r w:rsidR="00C32793">
        <w:t xml:space="preserve">, </w:t>
      </w:r>
      <w:r w:rsidR="00AE341A">
        <w:t xml:space="preserve">él </w:t>
      </w:r>
      <w:r w:rsidR="00C32793">
        <w:t xml:space="preserve">decidió </w:t>
      </w:r>
      <w:r w:rsidR="00AE341A">
        <w:t>emprender su viaje</w:t>
      </w:r>
      <w:r w:rsidR="00C32793">
        <w:t>.</w:t>
      </w:r>
    </w:p>
    <w:p w14:paraId="30B8D9B8" w14:textId="4769F2ED" w:rsidR="00C32793" w:rsidRDefault="00C32793" w:rsidP="00C32793">
      <w:pPr>
        <w:pStyle w:val="NormalConSangria"/>
        <w:ind w:left="568"/>
      </w:pPr>
      <w:r>
        <w:t>“</w:t>
      </w:r>
      <w:r w:rsidR="00A87410">
        <w:t xml:space="preserve">Él </w:t>
      </w:r>
      <w:r w:rsidR="00AE341A">
        <w:t xml:space="preserve">llegó </w:t>
      </w:r>
      <w:r>
        <w:t>desde allí hasta esta isla en el reino de este rey (</w:t>
      </w:r>
      <w:proofErr w:type="spellStart"/>
      <w:r w:rsidRPr="00A87410">
        <w:rPr>
          <w:i/>
          <w:iCs/>
        </w:rPr>
        <w:t>Mahā</w:t>
      </w:r>
      <w:r w:rsidR="00057BF4" w:rsidRPr="00057BF4">
        <w:rPr>
          <w:i/>
          <w:iCs/>
        </w:rPr>
        <w:t>nāma</w:t>
      </w:r>
      <w:proofErr w:type="spellEnd"/>
      <w:r>
        <w:t xml:space="preserve">). </w:t>
      </w:r>
      <w:r w:rsidR="00AE341A">
        <w:t xml:space="preserve">Él llegó </w:t>
      </w:r>
      <w:r>
        <w:t>al (</w:t>
      </w:r>
      <w:r w:rsidR="00AE341A">
        <w:t>Gran Monasterio)</w:t>
      </w:r>
      <w:r>
        <w:t xml:space="preserve">, monasterio de todos los </w:t>
      </w:r>
      <w:r w:rsidR="00AE341A">
        <w:t xml:space="preserve">verdaderos </w:t>
      </w:r>
      <w:r>
        <w:t xml:space="preserve">hombres. Allí </w:t>
      </w:r>
      <w:r w:rsidR="00F70B14">
        <w:t>residió</w:t>
      </w:r>
      <w:r>
        <w:t xml:space="preserve"> en una gran sala de trabajo y aprendió todo el comentario cingalés de la doctrina de los </w:t>
      </w:r>
      <w:r w:rsidR="00AE341A">
        <w:t xml:space="preserve">Venerables </w:t>
      </w:r>
      <w:r>
        <w:t>(</w:t>
      </w:r>
      <w:r w:rsidRPr="005B2255">
        <w:rPr>
          <w:i/>
        </w:rPr>
        <w:t>Therav</w:t>
      </w:r>
      <w:r w:rsidR="005B2255" w:rsidRPr="005B2255">
        <w:rPr>
          <w:i/>
        </w:rPr>
        <w:t>āda</w:t>
      </w:r>
      <w:r>
        <w:t xml:space="preserve">) bajo </w:t>
      </w:r>
      <w:r w:rsidR="00AE341A">
        <w:t xml:space="preserve">la mentoría de </w:t>
      </w:r>
      <w:r>
        <w:t>Sagghap</w:t>
      </w:r>
      <w:r w:rsidR="00AE341A">
        <w:t>ā</w:t>
      </w:r>
      <w:r>
        <w:t>la.</w:t>
      </w:r>
      <w:r w:rsidRPr="005B2255">
        <w:rPr>
          <w:vertAlign w:val="superscript"/>
        </w:rPr>
        <w:t>12</w:t>
      </w:r>
      <w:r>
        <w:t xml:space="preserve"> </w:t>
      </w:r>
      <w:r w:rsidR="00AE341A">
        <w:t>Entonces d</w:t>
      </w:r>
      <w:r>
        <w:t xml:space="preserve">ecidió: </w:t>
      </w:r>
      <w:r w:rsidR="000E391C">
        <w:t>‘</w:t>
      </w:r>
      <w:r>
        <w:t xml:space="preserve">solo </w:t>
      </w:r>
      <w:r w:rsidR="00AE341A">
        <w:t xml:space="preserve">ésta </w:t>
      </w:r>
      <w:r>
        <w:t xml:space="preserve">es la intención del </w:t>
      </w:r>
      <w:r w:rsidR="00AE341A">
        <w:t xml:space="preserve">Venerable </w:t>
      </w:r>
      <w:r>
        <w:t xml:space="preserve">Señor del </w:t>
      </w:r>
      <w:r w:rsidR="00057BF4" w:rsidRPr="00057BF4">
        <w:rPr>
          <w:i/>
        </w:rPr>
        <w:t>Dhamma</w:t>
      </w:r>
      <w:r w:rsidR="000E391C">
        <w:rPr>
          <w:i/>
        </w:rPr>
        <w:t>’</w:t>
      </w:r>
      <w:r w:rsidR="00AE341A">
        <w:t xml:space="preserve">. </w:t>
      </w:r>
      <w:r>
        <w:t xml:space="preserve">Así que reunió a la comunidad </w:t>
      </w:r>
      <w:r w:rsidR="00AE341A">
        <w:t>del lugar</w:t>
      </w:r>
      <w:r>
        <w:t xml:space="preserve"> y </w:t>
      </w:r>
      <w:r w:rsidR="00AE341A">
        <w:t>solicitó</w:t>
      </w:r>
      <w:r>
        <w:t>:</w:t>
      </w:r>
      <w:r w:rsidR="00AE341A">
        <w:t xml:space="preserve"> </w:t>
      </w:r>
      <w:r w:rsidR="000E391C">
        <w:t>‘</w:t>
      </w:r>
      <w:r>
        <w:t>D</w:t>
      </w:r>
      <w:r w:rsidR="00AE341A">
        <w:t>enme</w:t>
      </w:r>
      <w:r>
        <w:t xml:space="preserve"> todos los libros para </w:t>
      </w:r>
      <w:r w:rsidR="00AE341A">
        <w:t>componer</w:t>
      </w:r>
      <w:r>
        <w:t xml:space="preserve"> un comentario</w:t>
      </w:r>
      <w:r w:rsidR="000E391C">
        <w:t>’</w:t>
      </w:r>
      <w:r>
        <w:t>. Luego, para probarlo, la comunidad le dio dos estrofas, diciendo</w:t>
      </w:r>
      <w:r w:rsidR="00AE341A">
        <w:t xml:space="preserve"> </w:t>
      </w:r>
      <w:r w:rsidR="000E391C">
        <w:t>‘</w:t>
      </w:r>
      <w:r>
        <w:t>Muestr</w:t>
      </w:r>
      <w:r w:rsidR="00AE341A">
        <w:t>e</w:t>
      </w:r>
      <w:r>
        <w:t xml:space="preserve"> </w:t>
      </w:r>
      <w:r w:rsidR="00AE341A">
        <w:t>s</w:t>
      </w:r>
      <w:r>
        <w:t xml:space="preserve">u habilidad con </w:t>
      </w:r>
      <w:r w:rsidR="00AE341A">
        <w:t>éstos</w:t>
      </w:r>
      <w:r>
        <w:t xml:space="preserve">; </w:t>
      </w:r>
      <w:r w:rsidR="004A58A0">
        <w:t>cuando hayamos</w:t>
      </w:r>
      <w:r>
        <w:t xml:space="preserve"> visto que l</w:t>
      </w:r>
      <w:r w:rsidR="00AE341A">
        <w:t>a</w:t>
      </w:r>
      <w:r>
        <w:t xml:space="preserve"> tiene, </w:t>
      </w:r>
      <w:r w:rsidR="004A58A0">
        <w:t xml:space="preserve">entonces </w:t>
      </w:r>
      <w:r w:rsidR="00AE341A">
        <w:t>l</w:t>
      </w:r>
      <w:r>
        <w:t>e daremos todos los libros</w:t>
      </w:r>
      <w:r w:rsidR="004A58A0">
        <w:t>’</w:t>
      </w:r>
      <w:r w:rsidR="00AE341A">
        <w:t xml:space="preserve">. </w:t>
      </w:r>
      <w:r>
        <w:t xml:space="preserve">Solo </w:t>
      </w:r>
      <w:r w:rsidR="004A58A0">
        <w:t>bajo</w:t>
      </w:r>
      <w:r>
        <w:t xml:space="preserve"> ese texto </w:t>
      </w:r>
      <w:r w:rsidR="00AE341A">
        <w:t xml:space="preserve">se </w:t>
      </w:r>
      <w:r>
        <w:t>resumió las tres pie</w:t>
      </w:r>
      <w:r w:rsidR="00B30E15">
        <w:t>z</w:t>
      </w:r>
      <w:r>
        <w:t xml:space="preserve">as junto con el comentario como epítome, </w:t>
      </w:r>
      <w:r w:rsidR="00AE341A">
        <w:t xml:space="preserve">al cual </w:t>
      </w:r>
      <w:r>
        <w:t xml:space="preserve">se </w:t>
      </w:r>
      <w:r w:rsidR="00AE341A">
        <w:t xml:space="preserve">le </w:t>
      </w:r>
      <w:r>
        <w:t>llam</w:t>
      </w:r>
      <w:r w:rsidR="00AE341A">
        <w:t>ó</w:t>
      </w:r>
      <w:r>
        <w:t xml:space="preserve"> </w:t>
      </w:r>
      <w:r w:rsidR="00AE341A">
        <w:rPr>
          <w:i/>
          <w:iCs/>
        </w:rPr>
        <w:t>E</w:t>
      </w:r>
      <w:r w:rsidRPr="00AE341A">
        <w:rPr>
          <w:i/>
          <w:iCs/>
        </w:rPr>
        <w:t xml:space="preserve">l </w:t>
      </w:r>
      <w:r w:rsidR="00AE341A" w:rsidRPr="00AE341A">
        <w:rPr>
          <w:i/>
          <w:iCs/>
        </w:rPr>
        <w:t xml:space="preserve">Sendero </w:t>
      </w:r>
      <w:r w:rsidRPr="00AE341A">
        <w:rPr>
          <w:i/>
          <w:iCs/>
        </w:rPr>
        <w:t xml:space="preserve">de la </w:t>
      </w:r>
      <w:r w:rsidR="00AE341A" w:rsidRPr="00AE341A">
        <w:rPr>
          <w:i/>
          <w:iCs/>
        </w:rPr>
        <w:t>Purificación</w:t>
      </w:r>
      <w:r w:rsidR="00AE341A">
        <w:t xml:space="preserve"> </w:t>
      </w:r>
      <w:r>
        <w:t>(</w:t>
      </w:r>
      <w:r w:rsidRPr="00B30E15">
        <w:rPr>
          <w:i/>
          <w:iCs/>
        </w:rPr>
        <w:t>Visuddhimagga</w:t>
      </w:r>
      <w:r>
        <w:t xml:space="preserve">). Entonces, en los recintos </w:t>
      </w:r>
      <w:r w:rsidR="00AE341A">
        <w:t>d</w:t>
      </w:r>
      <w:r>
        <w:t xml:space="preserve">el (retoño del) árbol de </w:t>
      </w:r>
      <w:r w:rsidR="00AE341A">
        <w:t xml:space="preserve">la </w:t>
      </w:r>
      <w:r>
        <w:t xml:space="preserve">iluminación (en </w:t>
      </w:r>
      <w:proofErr w:type="spellStart"/>
      <w:r w:rsidR="00B30E15" w:rsidRPr="00B30E15">
        <w:rPr>
          <w:i/>
          <w:iCs/>
        </w:rPr>
        <w:t>Anurādhapura</w:t>
      </w:r>
      <w:proofErr w:type="spellEnd"/>
      <w:r>
        <w:t xml:space="preserve">), </w:t>
      </w:r>
      <w:r w:rsidR="00AE341A">
        <w:t xml:space="preserve">él </w:t>
      </w:r>
      <w:r>
        <w:t>reunió a</w:t>
      </w:r>
      <w:r w:rsidR="00AE341A">
        <w:t xml:space="preserve"> </w:t>
      </w:r>
      <w:r>
        <w:t>l</w:t>
      </w:r>
      <w:r w:rsidR="00AE341A">
        <w:t>os</w:t>
      </w:r>
      <w:r>
        <w:t xml:space="preserve"> experto</w:t>
      </w:r>
      <w:r w:rsidR="00AE341A">
        <w:t>s</w:t>
      </w:r>
      <w:r>
        <w:t xml:space="preserve"> de la comunidad en el sistema </w:t>
      </w:r>
      <w:r w:rsidR="00AE341A">
        <w:t>del Completamente Iluminado</w:t>
      </w:r>
      <w:r>
        <w:t xml:space="preserve"> y comenzó a leerlo. Para demostrar su habilidad a las multitudes</w:t>
      </w:r>
      <w:r w:rsidR="00AE341A">
        <w:t>,</w:t>
      </w:r>
      <w:r>
        <w:t xml:space="preserve"> </w:t>
      </w:r>
      <w:r w:rsidR="00AE341A">
        <w:t xml:space="preserve">las </w:t>
      </w:r>
      <w:r>
        <w:t>deidades ocult</w:t>
      </w:r>
      <w:r w:rsidR="00AE341A">
        <w:t>aron</w:t>
      </w:r>
      <w:r>
        <w:t xml:space="preserve"> el libro, y </w:t>
      </w:r>
      <w:r w:rsidR="00AE341A">
        <w:t>él fue</w:t>
      </w:r>
      <w:r>
        <w:t xml:space="preserve"> oblig</w:t>
      </w:r>
      <w:r w:rsidR="00AE341A">
        <w:t>ado</w:t>
      </w:r>
      <w:r>
        <w:t xml:space="preserve"> a preparar</w:t>
      </w:r>
      <w:r w:rsidR="00AE341A">
        <w:t>lo</w:t>
      </w:r>
      <w:r>
        <w:t xml:space="preserve"> por segunda vez, y nuevamente </w:t>
      </w:r>
      <w:r w:rsidR="00AE341A">
        <w:t xml:space="preserve">por otra </w:t>
      </w:r>
      <w:r>
        <w:t xml:space="preserve">tercera vez. Cuando el libro fue traído por tercera vez para ser leído, los dioses </w:t>
      </w:r>
      <w:r w:rsidR="00AE341A">
        <w:t>mostraron</w:t>
      </w:r>
      <w:r>
        <w:t xml:space="preserve"> las otras dos copias con él. Luego, los </w:t>
      </w:r>
      <w:proofErr w:type="spellStart"/>
      <w:r w:rsidR="00AE341A" w:rsidRPr="00057BF4">
        <w:rPr>
          <w:i/>
          <w:iCs/>
        </w:rPr>
        <w:t>bhikkhu</w:t>
      </w:r>
      <w:r w:rsidR="00AE341A" w:rsidRPr="00B30E15">
        <w:rPr>
          <w:i/>
          <w:iCs/>
        </w:rPr>
        <w:t>s</w:t>
      </w:r>
      <w:proofErr w:type="spellEnd"/>
      <w:r w:rsidR="00AE341A">
        <w:t xml:space="preserve"> </w:t>
      </w:r>
      <w:r>
        <w:t xml:space="preserve">leyeron las tres copias </w:t>
      </w:r>
      <w:r w:rsidR="00AE341A">
        <w:t>con</w:t>
      </w:r>
      <w:r>
        <w:t>junta</w:t>
      </w:r>
      <w:r w:rsidR="00AE341A">
        <w:t>mente</w:t>
      </w:r>
      <w:r>
        <w:t xml:space="preserve">, y se descubrió que no había diferencia </w:t>
      </w:r>
      <w:r w:rsidR="00AE341A">
        <w:t xml:space="preserve">alguna </w:t>
      </w:r>
      <w:r>
        <w:t xml:space="preserve">entre los tres </w:t>
      </w:r>
      <w:r w:rsidR="00AE341A">
        <w:t xml:space="preserve">en cualesquiera de los </w:t>
      </w:r>
      <w:r>
        <w:t>capítulos</w:t>
      </w:r>
      <w:r w:rsidR="00AE341A">
        <w:t>,</w:t>
      </w:r>
      <w:r>
        <w:t xml:space="preserve"> </w:t>
      </w:r>
      <w:r w:rsidR="00AE341A">
        <w:t xml:space="preserve">en </w:t>
      </w:r>
      <w:r>
        <w:t>el significado</w:t>
      </w:r>
      <w:r w:rsidR="00AE341A">
        <w:t>,</w:t>
      </w:r>
      <w:r>
        <w:t xml:space="preserve"> </w:t>
      </w:r>
      <w:r w:rsidR="00AE341A">
        <w:t xml:space="preserve">en </w:t>
      </w:r>
      <w:r>
        <w:t xml:space="preserve">el orden del material o </w:t>
      </w:r>
      <w:r w:rsidR="00AE341A">
        <w:t xml:space="preserve">en </w:t>
      </w:r>
      <w:r>
        <w:t xml:space="preserve">las frases y sílabas de los textos </w:t>
      </w:r>
      <w:r w:rsidRPr="00AE341A">
        <w:rPr>
          <w:i/>
          <w:iCs/>
        </w:rPr>
        <w:t>Theravāda</w:t>
      </w:r>
      <w:r>
        <w:t>. Con e</w:t>
      </w:r>
      <w:r w:rsidR="00AE341A">
        <w:t>ll</w:t>
      </w:r>
      <w:r>
        <w:t xml:space="preserve">o, la comunidad aplaudió en gran </w:t>
      </w:r>
      <w:r w:rsidR="00AE341A">
        <w:t>dicha</w:t>
      </w:r>
      <w:r>
        <w:t xml:space="preserve"> y </w:t>
      </w:r>
      <w:r w:rsidR="00AE341A">
        <w:t>se dijo una y otra vez</w:t>
      </w:r>
      <w:r>
        <w:t xml:space="preserve">: </w:t>
      </w:r>
      <w:r w:rsidR="00CC2BCB">
        <w:t>‘</w:t>
      </w:r>
      <w:r>
        <w:t xml:space="preserve">Seguramente </w:t>
      </w:r>
      <w:r w:rsidR="00AE341A">
        <w:t>e</w:t>
      </w:r>
      <w:r>
        <w:t>st</w:t>
      </w:r>
      <w:r w:rsidR="00AE341A">
        <w:t>e</w:t>
      </w:r>
      <w:r>
        <w:t xml:space="preserve"> </w:t>
      </w:r>
      <w:proofErr w:type="spellStart"/>
      <w:r w:rsidR="00AE341A">
        <w:rPr>
          <w:i/>
          <w:iCs/>
        </w:rPr>
        <w:t>bhikkhu</w:t>
      </w:r>
      <w:proofErr w:type="spellEnd"/>
      <w:r w:rsidR="00AE341A">
        <w:rPr>
          <w:i/>
          <w:iCs/>
        </w:rPr>
        <w:t xml:space="preserve"> </w:t>
      </w:r>
      <w:r>
        <w:t xml:space="preserve">es (el </w:t>
      </w:r>
      <w:r w:rsidR="00057BF4" w:rsidRPr="00057BF4">
        <w:rPr>
          <w:i/>
          <w:iCs/>
        </w:rPr>
        <w:t>Bodhisatta</w:t>
      </w:r>
      <w:r>
        <w:t xml:space="preserve">) </w:t>
      </w:r>
      <w:proofErr w:type="spellStart"/>
      <w:r>
        <w:t>Metteyya</w:t>
      </w:r>
      <w:proofErr w:type="spellEnd"/>
      <w:r w:rsidR="00CC2BCB">
        <w:t>’</w:t>
      </w:r>
      <w:r>
        <w:t xml:space="preserve">. </w:t>
      </w:r>
      <w:r w:rsidR="00CC2BCB">
        <w:t>‘</w:t>
      </w:r>
      <w:r w:rsidR="00AE341A">
        <w:t>Ellos l</w:t>
      </w:r>
      <w:r>
        <w:t xml:space="preserve">e dieron los libros de los tres </w:t>
      </w:r>
      <w:proofErr w:type="spellStart"/>
      <w:r w:rsidRPr="00B30E15">
        <w:rPr>
          <w:i/>
          <w:iCs/>
        </w:rPr>
        <w:t>Piṭakas</w:t>
      </w:r>
      <w:proofErr w:type="spellEnd"/>
      <w:r>
        <w:t xml:space="preserve"> juntos </w:t>
      </w:r>
      <w:r w:rsidR="00AE341A">
        <w:t xml:space="preserve">con </w:t>
      </w:r>
      <w:r>
        <w:t>l</w:t>
      </w:r>
      <w:r w:rsidR="00CC2BCB">
        <w:t>os</w:t>
      </w:r>
      <w:r>
        <w:t xml:space="preserve"> comentario</w:t>
      </w:r>
      <w:r w:rsidR="00CC2BCB">
        <w:t>s</w:t>
      </w:r>
      <w:r>
        <w:t>. Luego, mientras permanec</w:t>
      </w:r>
      <w:r w:rsidR="00AE341A">
        <w:t>ió</w:t>
      </w:r>
      <w:r>
        <w:t xml:space="preserve"> sin ser molestado en la biblioteca</w:t>
      </w:r>
      <w:r w:rsidR="00AE341A" w:rsidRPr="00AE341A">
        <w:t xml:space="preserve"> </w:t>
      </w:r>
      <w:r w:rsidR="00AE341A">
        <w:t>del monasterio</w:t>
      </w:r>
      <w:r>
        <w:t xml:space="preserve">, tradujo el comentario cingalés al idioma </w:t>
      </w:r>
      <w:proofErr w:type="spellStart"/>
      <w:r w:rsidRPr="00B30E15">
        <w:rPr>
          <w:i/>
          <w:iCs/>
        </w:rPr>
        <w:t>Magadhan</w:t>
      </w:r>
      <w:proofErr w:type="spellEnd"/>
      <w:r>
        <w:t xml:space="preserve">, </w:t>
      </w:r>
      <w:r w:rsidR="00B75830">
        <w:t>a</w:t>
      </w:r>
      <w:r>
        <w:t xml:space="preserve">l </w:t>
      </w:r>
      <w:r w:rsidR="00AE341A">
        <w:t>dialecto</w:t>
      </w:r>
      <w:r>
        <w:t xml:space="preserve"> raíz de todos</w:t>
      </w:r>
      <w:r w:rsidR="00CC2BCB">
        <w:t xml:space="preserve"> los demás dialectos</w:t>
      </w:r>
      <w:r>
        <w:t xml:space="preserve">, por </w:t>
      </w:r>
      <w:r w:rsidR="00AE341A">
        <w:t>lo</w:t>
      </w:r>
      <w:r>
        <w:t xml:space="preserve"> cual trajo beneficios </w:t>
      </w:r>
      <w:r w:rsidR="00AE341A">
        <w:t>para</w:t>
      </w:r>
      <w:r>
        <w:t xml:space="preserve"> todas las lenguas. Los maestros de la tradición de los </w:t>
      </w:r>
      <w:r w:rsidR="00AE341A">
        <w:t xml:space="preserve">Venerables </w:t>
      </w:r>
      <w:r>
        <w:t xml:space="preserve">lo aceptaron como </w:t>
      </w:r>
      <w:r w:rsidR="00AE341A">
        <w:t>sus pares</w:t>
      </w:r>
      <w:r>
        <w:t xml:space="preserve"> en autoridad </w:t>
      </w:r>
      <w:r w:rsidR="00AE341A">
        <w:t>sobre</w:t>
      </w:r>
      <w:r>
        <w:t xml:space="preserve"> </w:t>
      </w:r>
      <w:r w:rsidR="00B75830">
        <w:t>est</w:t>
      </w:r>
      <w:r>
        <w:t xml:space="preserve">os textos. Luego, cuando se terminó las tareas a realizar, </w:t>
      </w:r>
      <w:r w:rsidR="00AE341A">
        <w:t>regresó</w:t>
      </w:r>
      <w:r>
        <w:t xml:space="preserve"> a </w:t>
      </w:r>
      <w:proofErr w:type="spellStart"/>
      <w:r>
        <w:t>Jambudīpa</w:t>
      </w:r>
      <w:proofErr w:type="spellEnd"/>
      <w:r>
        <w:t xml:space="preserve"> para rendir </w:t>
      </w:r>
      <w:r w:rsidR="00AE341A">
        <w:t xml:space="preserve">reverencia </w:t>
      </w:r>
      <w:r>
        <w:t xml:space="preserve">al </w:t>
      </w:r>
      <w:r w:rsidR="00AE341A">
        <w:t xml:space="preserve">Gran Árbol </w:t>
      </w:r>
      <w:r>
        <w:t xml:space="preserve">de la </w:t>
      </w:r>
      <w:r w:rsidR="00AE341A">
        <w:t>Iluminación</w:t>
      </w:r>
      <w:r>
        <w:t>.</w:t>
      </w:r>
    </w:p>
    <w:p w14:paraId="3E852B0E" w14:textId="5B665A5B" w:rsidR="00C32793" w:rsidRDefault="00C32793" w:rsidP="00C32793">
      <w:pPr>
        <w:pStyle w:val="NormalConSangria"/>
        <w:ind w:left="568"/>
      </w:pPr>
      <w:r>
        <w:t xml:space="preserve">"Y cuando </w:t>
      </w:r>
      <w:proofErr w:type="spellStart"/>
      <w:r w:rsidRPr="00AE341A">
        <w:rPr>
          <w:iCs/>
        </w:rPr>
        <w:t>Mahā</w:t>
      </w:r>
      <w:r w:rsidR="00057BF4" w:rsidRPr="00AE341A">
        <w:rPr>
          <w:iCs/>
        </w:rPr>
        <w:t>nāma</w:t>
      </w:r>
      <w:proofErr w:type="spellEnd"/>
      <w:r>
        <w:t xml:space="preserve"> h</w:t>
      </w:r>
      <w:r w:rsidR="00AE341A">
        <w:t>ubo</w:t>
      </w:r>
      <w:r>
        <w:t xml:space="preserve"> disfrutado de veintidós años </w:t>
      </w:r>
      <w:r w:rsidR="00AE341A">
        <w:t>de</w:t>
      </w:r>
      <w:r>
        <w:t xml:space="preserve"> reinado </w:t>
      </w:r>
      <w:r w:rsidR="00AE341A">
        <w:t>sobr</w:t>
      </w:r>
      <w:r>
        <w:t xml:space="preserve">e la Tierra y realizado una variedad de </w:t>
      </w:r>
      <w:r w:rsidR="00AE341A">
        <w:t>acciones</w:t>
      </w:r>
      <w:r>
        <w:t xml:space="preserve"> meritorias, falleció </w:t>
      </w:r>
      <w:r w:rsidR="00CC2BCB">
        <w:t>conforme</w:t>
      </w:r>
      <w:r>
        <w:t xml:space="preserve"> </w:t>
      </w:r>
      <w:r w:rsidR="00AE341A">
        <w:t>a sus acciones</w:t>
      </w:r>
      <w:r>
        <w:t>"-(</w:t>
      </w:r>
      <w:proofErr w:type="spellStart"/>
      <w:r w:rsidR="00AE341A">
        <w:t>Mhv</w:t>
      </w:r>
      <w:proofErr w:type="spellEnd"/>
      <w:r w:rsidR="00AE341A">
        <w:t xml:space="preserve"> </w:t>
      </w:r>
      <w:r>
        <w:t>XXXVII.215–47).</w:t>
      </w:r>
    </w:p>
    <w:p w14:paraId="15D18F4E" w14:textId="211342CC" w:rsidR="00C32793" w:rsidRDefault="00AE341A" w:rsidP="00C32793">
      <w:pPr>
        <w:pStyle w:val="NormalConSangria"/>
      </w:pPr>
      <w:r>
        <w:t>A</w:t>
      </w:r>
      <w:r w:rsidR="00C32793">
        <w:t xml:space="preserve">l </w:t>
      </w:r>
      <w:r w:rsidR="00B30E15">
        <w:t xml:space="preserve">Rey </w:t>
      </w:r>
      <w:proofErr w:type="spellStart"/>
      <w:r w:rsidR="00C32793" w:rsidRPr="00CC2BCB">
        <w:rPr>
          <w:iCs/>
        </w:rPr>
        <w:t>Mahā</w:t>
      </w:r>
      <w:r w:rsidR="00057BF4" w:rsidRPr="00CC2BCB">
        <w:rPr>
          <w:iCs/>
        </w:rPr>
        <w:t>nāma</w:t>
      </w:r>
      <w:proofErr w:type="spellEnd"/>
      <w:r w:rsidR="00C32793">
        <w:t xml:space="preserve"> se </w:t>
      </w:r>
      <w:r>
        <w:t xml:space="preserve">le </w:t>
      </w:r>
      <w:r w:rsidR="00C32793">
        <w:t xml:space="preserve">identifica con el "Rey </w:t>
      </w:r>
      <w:proofErr w:type="spellStart"/>
      <w:r w:rsidR="00C32793">
        <w:t>Sirinivāsa</w:t>
      </w:r>
      <w:proofErr w:type="spellEnd"/>
      <w:r w:rsidR="00C32793">
        <w:t xml:space="preserve">" y </w:t>
      </w:r>
      <w:r w:rsidR="00B67F4B">
        <w:t>a</w:t>
      </w:r>
      <w:r w:rsidR="00C32793">
        <w:t xml:space="preserve">l "Rey </w:t>
      </w:r>
      <w:proofErr w:type="spellStart"/>
      <w:r w:rsidR="00C32793">
        <w:t>Sirikuḍḍa</w:t>
      </w:r>
      <w:proofErr w:type="spellEnd"/>
      <w:r w:rsidR="00C32793">
        <w:t>" mencionado</w:t>
      </w:r>
      <w:r w:rsidR="00B67F4B">
        <w:t>s</w:t>
      </w:r>
      <w:r w:rsidR="00C32793">
        <w:t xml:space="preserve"> respectivamente en los epílogos de los comentarios de</w:t>
      </w:r>
      <w:r>
        <w:t>l</w:t>
      </w:r>
      <w:r w:rsidR="00C32793">
        <w:t xml:space="preserve"> </w:t>
      </w:r>
      <w:proofErr w:type="spellStart"/>
      <w:r w:rsidR="00C32793" w:rsidRPr="00DF6534">
        <w:rPr>
          <w:i/>
          <w:iCs/>
        </w:rPr>
        <w:t>Vinaya</w:t>
      </w:r>
      <w:proofErr w:type="spellEnd"/>
      <w:r w:rsidR="00C32793">
        <w:t xml:space="preserve"> y </w:t>
      </w:r>
      <w:proofErr w:type="spellStart"/>
      <w:r w:rsidR="00057BF4" w:rsidRPr="00057BF4">
        <w:rPr>
          <w:i/>
          <w:iCs/>
        </w:rPr>
        <w:t>Dhamma</w:t>
      </w:r>
      <w:r w:rsidR="00C32793" w:rsidRPr="00DF6534">
        <w:rPr>
          <w:i/>
          <w:iCs/>
        </w:rPr>
        <w:t>pada</w:t>
      </w:r>
      <w:proofErr w:type="spellEnd"/>
      <w:r w:rsidR="00C32793">
        <w:t xml:space="preserve">. No hay rastro y ninguna otra mención </w:t>
      </w:r>
      <w:r w:rsidR="00B67F4B">
        <w:t xml:space="preserve">al respecto </w:t>
      </w:r>
      <w:r w:rsidR="00C32793">
        <w:t xml:space="preserve">en ningún lado </w:t>
      </w:r>
      <w:r w:rsidR="007D5B0B">
        <w:t xml:space="preserve">en </w:t>
      </w:r>
      <w:r w:rsidR="00C32793">
        <w:t xml:space="preserve">el </w:t>
      </w:r>
      <w:proofErr w:type="spellStart"/>
      <w:r w:rsidR="00DF6534" w:rsidRPr="00DF6534">
        <w:rPr>
          <w:i/>
          <w:iCs/>
        </w:rPr>
        <w:t>Ñāṇodaya</w:t>
      </w:r>
      <w:proofErr w:type="spellEnd"/>
      <w:r w:rsidR="00C32793">
        <w:t xml:space="preserve">. El </w:t>
      </w:r>
      <w:proofErr w:type="spellStart"/>
      <w:r w:rsidR="00DF6534" w:rsidRPr="00DF6534">
        <w:rPr>
          <w:i/>
          <w:iCs/>
        </w:rPr>
        <w:t>Atthansālinī</w:t>
      </w:r>
      <w:proofErr w:type="spellEnd"/>
      <w:r w:rsidR="00B75830">
        <w:rPr>
          <w:i/>
          <w:iCs/>
        </w:rPr>
        <w:t>,</w:t>
      </w:r>
      <w:r w:rsidR="00DF6534">
        <w:t xml:space="preserve"> </w:t>
      </w:r>
      <w:r w:rsidR="00C32793">
        <w:t>descrito como compuesto en la India</w:t>
      </w:r>
      <w:r w:rsidR="00B75830">
        <w:t>,</w:t>
      </w:r>
      <w:r w:rsidR="00C32793">
        <w:t xml:space="preserve"> no podría ser la </w:t>
      </w:r>
      <w:r>
        <w:t xml:space="preserve">misma </w:t>
      </w:r>
      <w:r w:rsidR="00C32793">
        <w:t xml:space="preserve">versión existente </w:t>
      </w:r>
      <w:r>
        <w:t>de la actualidad</w:t>
      </w:r>
      <w:r w:rsidR="00C32793">
        <w:t xml:space="preserve">, </w:t>
      </w:r>
      <w:r w:rsidR="009564CE">
        <w:t xml:space="preserve">ya </w:t>
      </w:r>
      <w:r w:rsidR="00C32793">
        <w:t xml:space="preserve">que cita los comentarios de Sri Lanka y </w:t>
      </w:r>
      <w:r>
        <w:t xml:space="preserve">hace </w:t>
      </w:r>
      <w:r w:rsidR="00C32793">
        <w:t>refere</w:t>
      </w:r>
      <w:r>
        <w:t>ncia</w:t>
      </w:r>
      <w:r w:rsidR="00C32793">
        <w:t xml:space="preserve"> al </w:t>
      </w:r>
      <w:r w:rsidR="00C32793" w:rsidRPr="00DF6534">
        <w:rPr>
          <w:i/>
          <w:iCs/>
        </w:rPr>
        <w:t>Visuddhimagga</w:t>
      </w:r>
      <w:r w:rsidR="00C32793">
        <w:t xml:space="preserve">; </w:t>
      </w:r>
      <w:r>
        <w:t>h</w:t>
      </w:r>
      <w:r w:rsidR="00C32793">
        <w:t>abr</w:t>
      </w:r>
      <w:r>
        <w:t>ía</w:t>
      </w:r>
      <w:r w:rsidR="00C32793">
        <w:t xml:space="preserve"> sido revisado </w:t>
      </w:r>
      <w:r>
        <w:t>posteriormente</w:t>
      </w:r>
      <w:r w:rsidR="00C32793">
        <w:t>.</w:t>
      </w:r>
    </w:p>
    <w:p w14:paraId="2373674C" w14:textId="35D55848" w:rsidR="00C32793" w:rsidRDefault="00C32793" w:rsidP="00546648">
      <w:pPr>
        <w:pStyle w:val="NormalConSangria"/>
      </w:pPr>
      <w:r>
        <w:t xml:space="preserve">Los prólogos y epílogos de estas obras </w:t>
      </w:r>
      <w:r w:rsidR="009564CE">
        <w:t>representan</w:t>
      </w:r>
      <w:r>
        <w:t xml:space="preserve"> la única instancia en la que podemos </w:t>
      </w:r>
      <w:r w:rsidR="009564CE">
        <w:t>estar</w:t>
      </w:r>
      <w:r>
        <w:t xml:space="preserve"> segur</w:t>
      </w:r>
      <w:r w:rsidR="009564CE">
        <w:t>os</w:t>
      </w:r>
      <w:r>
        <w:t xml:space="preserve"> </w:t>
      </w:r>
      <w:r w:rsidR="009564CE">
        <w:t xml:space="preserve">de </w:t>
      </w:r>
      <w:r>
        <w:t>que él est</w:t>
      </w:r>
      <w:r w:rsidR="009564CE">
        <w:t>aba</w:t>
      </w:r>
      <w:r>
        <w:t xml:space="preserve"> hablando de su propia experiencia y no solo </w:t>
      </w:r>
      <w:r w:rsidR="009564CE">
        <w:t>simplemente de una</w:t>
      </w:r>
      <w:r>
        <w:t xml:space="preserve"> edición; </w:t>
      </w:r>
      <w:r w:rsidR="0077045C">
        <w:t>y</w:t>
      </w:r>
      <w:r>
        <w:t xml:space="preserve"> aunque solo </w:t>
      </w:r>
      <w:r w:rsidR="00775CC4">
        <w:t>se indique</w:t>
      </w:r>
      <w:r>
        <w:t xml:space="preserve"> su residencia en el sur de la India, no </w:t>
      </w:r>
      <w:r w:rsidR="00775CC4">
        <w:t xml:space="preserve">se </w:t>
      </w:r>
      <w:r w:rsidR="009564CE">
        <w:t>asegura</w:t>
      </w:r>
      <w:r>
        <w:t xml:space="preserve"> ni </w:t>
      </w:r>
      <w:r w:rsidR="00775CC4">
        <w:t>se</w:t>
      </w:r>
    </w:p>
    <w:p w14:paraId="1D4E9EC9" w14:textId="77777777" w:rsidR="00C32793" w:rsidRPr="00546648" w:rsidRDefault="00C32793" w:rsidP="00546648">
      <w:pPr>
        <w:pStyle w:val="PiedepginaLegal"/>
        <w:rPr>
          <w:u w:val="single"/>
        </w:rPr>
      </w:pPr>
      <w:r w:rsidRPr="00546648">
        <w:rPr>
          <w:u w:val="single"/>
        </w:rPr>
        <w:t xml:space="preserve">                                                                                       .</w:t>
      </w:r>
    </w:p>
    <w:p w14:paraId="55B77FC8" w14:textId="57826911" w:rsidR="00546648" w:rsidRDefault="00C32793" w:rsidP="00DF6534">
      <w:pPr>
        <w:pStyle w:val="PiedepginaLegal"/>
      </w:pPr>
      <w:r>
        <w:t xml:space="preserve">12. </w:t>
      </w:r>
      <w:r w:rsidR="00546648">
        <w:tab/>
      </w:r>
      <w:r>
        <w:t xml:space="preserve">Ver Epílogo </w:t>
      </w:r>
      <w:proofErr w:type="spellStart"/>
      <w:r w:rsidR="005C300E">
        <w:t>Vism</w:t>
      </w:r>
      <w:proofErr w:type="spellEnd"/>
      <w:r w:rsidR="00BC019E">
        <w:t>.</w:t>
      </w:r>
      <w:r w:rsidR="00546648">
        <w:br w:type="page"/>
      </w:r>
    </w:p>
    <w:p w14:paraId="4D285509" w14:textId="77777777" w:rsidR="00FE15AB" w:rsidRDefault="00FE15AB" w:rsidP="00D52BD5"/>
    <w:p w14:paraId="0951D4B8" w14:textId="61C779ED" w:rsidR="00D52BD5" w:rsidRDefault="009564CE" w:rsidP="00D52BD5">
      <w:r>
        <w:t xml:space="preserve">confirma </w:t>
      </w:r>
      <w:r w:rsidR="005C300E">
        <w:t>la declaración de</w:t>
      </w:r>
      <w:r>
        <w:t>l</w:t>
      </w:r>
      <w:r w:rsidR="005C300E">
        <w:t xml:space="preserve"> </w:t>
      </w:r>
      <w:proofErr w:type="spellStart"/>
      <w:r w:rsidR="005C300E" w:rsidRPr="00DF6534">
        <w:rPr>
          <w:i/>
          <w:iCs/>
        </w:rPr>
        <w:t>Mahāvaṃsa</w:t>
      </w:r>
      <w:proofErr w:type="spellEnd"/>
      <w:r w:rsidR="005C300E">
        <w:t xml:space="preserve"> de que naci</w:t>
      </w:r>
      <w:r>
        <w:t>era</w:t>
      </w:r>
      <w:r w:rsidR="005C300E">
        <w:t xml:space="preserve"> en Magadha (ver Nota 8). </w:t>
      </w:r>
      <w:r w:rsidR="005C300E" w:rsidRPr="00F94B1E">
        <w:rPr>
          <w:i/>
          <w:iCs/>
        </w:rPr>
        <w:t xml:space="preserve">Las </w:t>
      </w:r>
      <w:r w:rsidR="00F94B1E" w:rsidRPr="00F94B1E">
        <w:rPr>
          <w:i/>
          <w:iCs/>
        </w:rPr>
        <w:t xml:space="preserve">Crónicas </w:t>
      </w:r>
      <w:r w:rsidR="005C300E" w:rsidRPr="00F94B1E">
        <w:rPr>
          <w:i/>
          <w:iCs/>
        </w:rPr>
        <w:t>de Sri Lanka</w:t>
      </w:r>
      <w:r w:rsidR="005C300E">
        <w:t xml:space="preserve"> sobrevivieron a las críticas históricas a l</w:t>
      </w:r>
      <w:r w:rsidR="005A4B5F">
        <w:t>as</w:t>
      </w:r>
      <w:r w:rsidR="005C300E">
        <w:t xml:space="preserve"> que fueron sometid</w:t>
      </w:r>
      <w:r w:rsidR="005A4B5F">
        <w:t>a</w:t>
      </w:r>
      <w:r w:rsidR="005C300E">
        <w:t xml:space="preserve">s en los últimos cien años. La evidencia independiente </w:t>
      </w:r>
      <w:r w:rsidR="00F94B1E">
        <w:t xml:space="preserve">de </w:t>
      </w:r>
      <w:r w:rsidR="005C300E">
        <w:t xml:space="preserve">que </w:t>
      </w:r>
      <w:r w:rsidR="00884E2C">
        <w:t xml:space="preserve">pudo </w:t>
      </w:r>
      <w:r w:rsidR="00E53ECE">
        <w:t>subsistir a ello lo justifica</w:t>
      </w:r>
      <w:r w:rsidR="005C300E">
        <w:t xml:space="preserve">, </w:t>
      </w:r>
      <w:r w:rsidR="00E53ECE">
        <w:t>además que</w:t>
      </w:r>
      <w:r w:rsidR="005C300E">
        <w:t xml:space="preserve"> los académicos occidentales terminaron </w:t>
      </w:r>
      <w:r w:rsidR="00D52BD5">
        <w:t xml:space="preserve">pronunciándolos </w:t>
      </w:r>
      <w:r w:rsidR="00E53ECE">
        <w:t xml:space="preserve">como </w:t>
      </w:r>
      <w:r w:rsidR="00D52BD5">
        <w:t xml:space="preserve">confiables </w:t>
      </w:r>
      <w:r w:rsidR="00AC1662">
        <w:t>en lo</w:t>
      </w:r>
      <w:r w:rsidR="00D52BD5">
        <w:t xml:space="preserve"> esencial. La </w:t>
      </w:r>
      <w:r w:rsidR="00F94B1E">
        <w:t>afirmación</w:t>
      </w:r>
      <w:r w:rsidR="00D52BD5">
        <w:t xml:space="preserve"> recién citada se considera basada en hechos históricos, incluso si cont</w:t>
      </w:r>
      <w:r w:rsidR="00F94B1E">
        <w:t>uviese</w:t>
      </w:r>
      <w:r w:rsidR="00D52BD5">
        <w:t xml:space="preserve"> </w:t>
      </w:r>
      <w:r w:rsidR="00F94B1E">
        <w:t xml:space="preserve">algún </w:t>
      </w:r>
      <w:r w:rsidR="00D52BD5">
        <w:t>materia</w:t>
      </w:r>
      <w:r w:rsidR="00F94B1E">
        <w:t>l</w:t>
      </w:r>
      <w:r w:rsidR="00D52BD5">
        <w:t xml:space="preserve"> </w:t>
      </w:r>
      <w:r w:rsidR="00A744C7">
        <w:t>en calidad de leyenda</w:t>
      </w:r>
      <w:r w:rsidR="00D52BD5">
        <w:t>.</w:t>
      </w:r>
    </w:p>
    <w:p w14:paraId="235A54D0" w14:textId="462C1372" w:rsidR="00D52BD5" w:rsidRDefault="00D52BD5" w:rsidP="00817351">
      <w:pPr>
        <w:pStyle w:val="NormalConSangria"/>
      </w:pPr>
      <w:r>
        <w:t>No es posible hacer uso de</w:t>
      </w:r>
      <w:r w:rsidR="00EC08BA">
        <w:t xml:space="preserve"> la colección</w:t>
      </w:r>
      <w:r>
        <w:t xml:space="preserve"> de las obras de </w:t>
      </w:r>
      <w:proofErr w:type="spellStart"/>
      <w:r>
        <w:t>Bhadantācariya</w:t>
      </w:r>
      <w:proofErr w:type="spellEnd"/>
      <w:r>
        <w:t xml:space="preserve"> </w:t>
      </w:r>
      <w:r w:rsidR="00057BF4" w:rsidRPr="00A744C7">
        <w:rPr>
          <w:iCs/>
        </w:rPr>
        <w:t>Buddha</w:t>
      </w:r>
      <w:r w:rsidRPr="00A744C7">
        <w:rPr>
          <w:iCs/>
        </w:rPr>
        <w:t>ghosa</w:t>
      </w:r>
      <w:r>
        <w:t xml:space="preserve"> para </w:t>
      </w:r>
      <w:r w:rsidR="00EC08BA">
        <w:t>com</w:t>
      </w:r>
      <w:r>
        <w:t>probar la afirmación de</w:t>
      </w:r>
      <w:r w:rsidR="001459E0">
        <w:t>l</w:t>
      </w:r>
      <w:r>
        <w:t xml:space="preserve"> </w:t>
      </w:r>
      <w:proofErr w:type="spellStart"/>
      <w:r w:rsidRPr="00DF6534">
        <w:rPr>
          <w:i/>
          <w:iCs/>
        </w:rPr>
        <w:t>Mahāvaṃsa</w:t>
      </w:r>
      <w:proofErr w:type="spellEnd"/>
      <w:r>
        <w:t xml:space="preserve"> de que era un erudito </w:t>
      </w:r>
      <w:r w:rsidR="00EC08BA" w:rsidRPr="00EC08BA">
        <w:rPr>
          <w:i/>
          <w:iCs/>
        </w:rPr>
        <w:t>brahmán</w:t>
      </w:r>
      <w:r w:rsidR="00EC08BA">
        <w:t xml:space="preserve"> </w:t>
      </w:r>
      <w:r>
        <w:t xml:space="preserve">de la India central, </w:t>
      </w:r>
      <w:r w:rsidR="005A4492">
        <w:t>entre otras afirmaci</w:t>
      </w:r>
      <w:r w:rsidR="006F6889">
        <w:t>o</w:t>
      </w:r>
      <w:r w:rsidR="005A4492">
        <w:t>n</w:t>
      </w:r>
      <w:r w:rsidR="006F6889">
        <w:t>es</w:t>
      </w:r>
      <w:r>
        <w:t xml:space="preserve">. </w:t>
      </w:r>
      <w:r w:rsidR="001229B4" w:rsidRPr="001229B4">
        <w:t xml:space="preserve">Ya se ha mostrado cómo </w:t>
      </w:r>
      <w:r w:rsidR="009065A7">
        <w:t>la presunción ha sido</w:t>
      </w:r>
      <w:r w:rsidR="001229B4" w:rsidRPr="001229B4">
        <w:t>, cuando no se estable</w:t>
      </w:r>
      <w:r w:rsidR="00964ECF">
        <w:t>zca</w:t>
      </w:r>
      <w:r w:rsidR="001229B4" w:rsidRPr="001229B4">
        <w:t xml:space="preserve"> explícitamente lo contrario, </w:t>
      </w:r>
      <w:r w:rsidR="00964ECF">
        <w:t xml:space="preserve">de </w:t>
      </w:r>
      <w:r w:rsidR="001229B4" w:rsidRPr="001229B4">
        <w:t>que</w:t>
      </w:r>
      <w:r w:rsidR="00964ECF">
        <w:t xml:space="preserve"> él</w:t>
      </w:r>
      <w:r w:rsidR="001229B4" w:rsidRPr="001229B4">
        <w:t xml:space="preserve"> est</w:t>
      </w:r>
      <w:r w:rsidR="009065A7">
        <w:t>aba</w:t>
      </w:r>
      <w:r w:rsidR="001229B4" w:rsidRPr="001229B4">
        <w:t xml:space="preserve"> editando y traduciendo el material que se </w:t>
      </w:r>
      <w:r w:rsidR="00C65072">
        <w:t xml:space="preserve">le </w:t>
      </w:r>
      <w:r w:rsidR="001229B4" w:rsidRPr="001229B4">
        <w:t xml:space="preserve">presenta en lugar de mostrar su propio conocimiento, experiencia y </w:t>
      </w:r>
      <w:proofErr w:type="gramStart"/>
      <w:r w:rsidR="001229B4" w:rsidRPr="001229B4">
        <w:t xml:space="preserve">opiniones </w:t>
      </w:r>
      <w:r w:rsidR="0026680F">
        <w:t>personales</w:t>
      </w:r>
      <w:proofErr w:type="gramEnd"/>
      <w:r w:rsidR="001229B4" w:rsidRPr="001229B4">
        <w:t>.</w:t>
      </w:r>
      <w:r>
        <w:t xml:space="preserve"> </w:t>
      </w:r>
      <w:r w:rsidR="0026680F">
        <w:t xml:space="preserve">Por ello, sería un </w:t>
      </w:r>
      <w:r w:rsidR="009065A7">
        <w:t xml:space="preserve">grave </w:t>
      </w:r>
      <w:r w:rsidR="0078036A">
        <w:t xml:space="preserve">error utilizar cualquier pasaje de su trabajo </w:t>
      </w:r>
      <w:r w:rsidR="00FA3BE9">
        <w:t>para deducir sus rasgos personales;</w:t>
      </w:r>
      <w:r w:rsidR="00CA5476">
        <w:t xml:space="preserve"> ya que </w:t>
      </w:r>
      <w:r w:rsidR="00F509B2">
        <w:t xml:space="preserve">al respecto es bastante probable </w:t>
      </w:r>
      <w:r w:rsidR="002D2A3B">
        <w:t xml:space="preserve">que no sea con él con lo que estemos tratando </w:t>
      </w:r>
      <w:r w:rsidR="00563151">
        <w:t>en lo absoluto</w:t>
      </w:r>
      <w:r w:rsidR="0039120D">
        <w:t>,</w:t>
      </w:r>
      <w:r w:rsidR="00563151">
        <w:t xml:space="preserve"> sino con la gente que </w:t>
      </w:r>
      <w:r w:rsidR="00B606A5">
        <w:t>vivió dos o tres siglos atrás.</w:t>
      </w:r>
      <w:r>
        <w:t xml:space="preserve"> Esos pasajes probablemente nos di</w:t>
      </w:r>
      <w:r w:rsidR="00B606A5">
        <w:t>ga</w:t>
      </w:r>
      <w:r>
        <w:t>n simplemente que él era un editor escrupulosamente preciso y con</w:t>
      </w:r>
      <w:r w:rsidR="00B606A5">
        <w:t>s</w:t>
      </w:r>
      <w:r>
        <w:t>cien</w:t>
      </w:r>
      <w:r w:rsidR="00B606A5">
        <w:t>te</w:t>
      </w:r>
      <w:r>
        <w:t xml:space="preserve">. Sus descripciones geográficas son traducciones, no </w:t>
      </w:r>
      <w:r w:rsidR="00171CD7">
        <w:t>narraciones</w:t>
      </w:r>
      <w:r>
        <w:t xml:space="preserve"> de testigos oculares. Entonces, un pasaje de</w:t>
      </w:r>
      <w:r w:rsidR="00171CD7">
        <w:t>l</w:t>
      </w:r>
      <w:r>
        <w:t xml:space="preserve"> </w:t>
      </w:r>
      <w:proofErr w:type="spellStart"/>
      <w:r w:rsidRPr="00DF6534">
        <w:rPr>
          <w:i/>
          <w:iCs/>
        </w:rPr>
        <w:t>sutta</w:t>
      </w:r>
      <w:proofErr w:type="spellEnd"/>
      <w:r>
        <w:t xml:space="preserve"> como se comentó en el Capítulo I, 86–97 del presente trabajo, que es parte de un </w:t>
      </w:r>
      <w:r w:rsidRPr="005C300E">
        <w:rPr>
          <w:i/>
          <w:iCs/>
        </w:rPr>
        <w:t>Sutta</w:t>
      </w:r>
      <w:r>
        <w:t xml:space="preserve"> utilizado por </w:t>
      </w:r>
      <w:r w:rsidR="00171CD7">
        <w:t xml:space="preserve">los </w:t>
      </w:r>
      <w:proofErr w:type="spellStart"/>
      <w:r w:rsidR="00057BF4" w:rsidRPr="00057BF4">
        <w:rPr>
          <w:i/>
          <w:iCs/>
        </w:rPr>
        <w:t>bhikkhu</w:t>
      </w:r>
      <w:r w:rsidR="005C300E" w:rsidRPr="00DF6534">
        <w:rPr>
          <w:i/>
          <w:iCs/>
        </w:rPr>
        <w:t>s</w:t>
      </w:r>
      <w:proofErr w:type="spellEnd"/>
      <w:r w:rsidR="005C300E">
        <w:t xml:space="preserve"> </w:t>
      </w:r>
      <w:r>
        <w:t xml:space="preserve">para la reflexión diaria sobre los cuatro requisitos de la vida de un </w:t>
      </w:r>
      <w:proofErr w:type="spellStart"/>
      <w:r w:rsidR="00057BF4" w:rsidRPr="00057BF4">
        <w:rPr>
          <w:i/>
          <w:iCs/>
        </w:rPr>
        <w:t>bhikkhu</w:t>
      </w:r>
      <w:proofErr w:type="spellEnd"/>
      <w:r>
        <w:t xml:space="preserve">, es cierto </w:t>
      </w:r>
      <w:r w:rsidR="002E4612">
        <w:t>que estuvo co</w:t>
      </w:r>
      <w:r>
        <w:t xml:space="preserve">mentado </w:t>
      </w:r>
      <w:r w:rsidR="002E4612">
        <w:t>d</w:t>
      </w:r>
      <w:r>
        <w:t xml:space="preserve">esde los primeros tiempos, </w:t>
      </w:r>
      <w:r w:rsidR="002E4612">
        <w:t xml:space="preserve">por lo que </w:t>
      </w:r>
      <w:r>
        <w:t xml:space="preserve">sería un error crítico inferir de este comentario cualquiera de sus habilidades como comentarista original, o cualquier otra cosa </w:t>
      </w:r>
      <w:r w:rsidR="002E4612">
        <w:t>sobre</w:t>
      </w:r>
      <w:r>
        <w:t xml:space="preserve"> una naturaleza personal o </w:t>
      </w:r>
      <w:r w:rsidR="002E4612">
        <w:t xml:space="preserve">sobre </w:t>
      </w:r>
      <w:r>
        <w:t>su propia experiencia pasada.</w:t>
      </w:r>
      <w:r w:rsidRPr="002E4612">
        <w:rPr>
          <w:vertAlign w:val="superscript"/>
        </w:rPr>
        <w:t>13</w:t>
      </w:r>
      <w:r>
        <w:t xml:space="preserve"> </w:t>
      </w:r>
      <w:r w:rsidR="002E4612">
        <w:t>Y</w:t>
      </w:r>
      <w:r w:rsidR="00DA096F">
        <w:t>,</w:t>
      </w:r>
      <w:r w:rsidR="002E4612">
        <w:t xml:space="preserve"> </w:t>
      </w:r>
      <w:r>
        <w:t xml:space="preserve">nuevamente, </w:t>
      </w:r>
      <w:r w:rsidR="002E4612">
        <w:t>e</w:t>
      </w:r>
      <w:r>
        <w:t>l controvertid</w:t>
      </w:r>
      <w:r w:rsidR="002E4612">
        <w:t>o</w:t>
      </w:r>
      <w:r>
        <w:t xml:space="preserve"> </w:t>
      </w:r>
      <w:r w:rsidR="002E4612">
        <w:t>tema sobre</w:t>
      </w:r>
      <w:r>
        <w:t xml:space="preserve"> </w:t>
      </w:r>
      <w:r w:rsidR="0043282F">
        <w:t>su</w:t>
      </w:r>
      <w:r>
        <w:t xml:space="preserve"> origen de casta </w:t>
      </w:r>
      <w:r w:rsidRPr="002E4612">
        <w:rPr>
          <w:i/>
          <w:iCs/>
        </w:rPr>
        <w:t>Brahm</w:t>
      </w:r>
      <w:r w:rsidR="00CD2DB9">
        <w:rPr>
          <w:i/>
          <w:iCs/>
        </w:rPr>
        <w:t>a</w:t>
      </w:r>
      <w:r w:rsidRPr="002E4612">
        <w:rPr>
          <w:i/>
          <w:iCs/>
        </w:rPr>
        <w:t>n</w:t>
      </w:r>
      <w:r>
        <w:t xml:space="preserve"> (ver M-A II 418) debe</w:t>
      </w:r>
      <w:r w:rsidR="006E7E83">
        <w:t xml:space="preserve"> haber </w:t>
      </w:r>
      <w:r w:rsidR="0043282F">
        <w:t>sido</w:t>
      </w:r>
      <w:r>
        <w:t xml:space="preserve"> completamente explicad</w:t>
      </w:r>
      <w:r w:rsidR="00385D33">
        <w:t>o</w:t>
      </w:r>
      <w:r>
        <w:t xml:space="preserve"> </w:t>
      </w:r>
      <w:r w:rsidR="00AA52D5">
        <w:t xml:space="preserve">desde un principio y </w:t>
      </w:r>
      <w:r>
        <w:t xml:space="preserve">desde </w:t>
      </w:r>
      <w:r w:rsidR="00344D39">
        <w:t>un</w:t>
      </w:r>
      <w:r>
        <w:t xml:space="preserve"> punto de vista budista. Si esa </w:t>
      </w:r>
      <w:r w:rsidR="00385D33">
        <w:t xml:space="preserve">narración </w:t>
      </w:r>
      <w:r>
        <w:t>no est</w:t>
      </w:r>
      <w:r w:rsidR="00385D33">
        <w:t>uviese</w:t>
      </w:r>
      <w:r>
        <w:t xml:space="preserve"> de acuerdo con la tradición </w:t>
      </w:r>
      <w:r w:rsidRPr="00D65622">
        <w:rPr>
          <w:i/>
          <w:iCs/>
        </w:rPr>
        <w:t>brahmánica</w:t>
      </w:r>
      <w:r w:rsidR="00D65622">
        <w:t xml:space="preserve"> ―</w:t>
      </w:r>
      <w:r>
        <w:t xml:space="preserve"> y sería extraño, </w:t>
      </w:r>
      <w:r w:rsidR="00D65622">
        <w:t>considerad</w:t>
      </w:r>
      <w:r w:rsidR="004E286D">
        <w:t>o</w:t>
      </w:r>
      <w:r w:rsidR="00D65622">
        <w:t xml:space="preserve"> todo al respecto</w:t>
      </w:r>
      <w:r>
        <w:t xml:space="preserve">, si no lo </w:t>
      </w:r>
      <w:r w:rsidR="00147920">
        <w:t>fuera</w:t>
      </w:r>
      <w:r>
        <w:t xml:space="preserve"> </w:t>
      </w:r>
      <w:r w:rsidR="00D65622">
        <w:t xml:space="preserve">― </w:t>
      </w:r>
      <w:r>
        <w:t>no hay justificación para concluir por esos motivos que el autor de</w:t>
      </w:r>
      <w:r w:rsidR="00385D33">
        <w:t>l</w:t>
      </w:r>
      <w:r>
        <w:t xml:space="preserve"> </w:t>
      </w:r>
      <w:r w:rsidRPr="00DF6534">
        <w:rPr>
          <w:i/>
          <w:iCs/>
        </w:rPr>
        <w:t>Visuddhimagga</w:t>
      </w:r>
      <w:r>
        <w:t xml:space="preserve"> no </w:t>
      </w:r>
      <w:r w:rsidR="00371993">
        <w:t>fuese</w:t>
      </w:r>
      <w:r>
        <w:t xml:space="preserve"> de origen </w:t>
      </w:r>
      <w:r w:rsidRPr="00147920">
        <w:rPr>
          <w:i/>
          <w:iCs/>
        </w:rPr>
        <w:t>Brahman</w:t>
      </w:r>
      <w:r>
        <w:t xml:space="preserve"> y que el </w:t>
      </w:r>
      <w:proofErr w:type="spellStart"/>
      <w:r w:rsidRPr="00DF6534">
        <w:rPr>
          <w:i/>
          <w:iCs/>
        </w:rPr>
        <w:t>Mah</w:t>
      </w:r>
      <w:r w:rsidR="00DF6534" w:rsidRPr="00DF6534">
        <w:rPr>
          <w:i/>
          <w:iCs/>
        </w:rPr>
        <w:t>ā</w:t>
      </w:r>
      <w:r w:rsidRPr="00DF6534">
        <w:rPr>
          <w:i/>
          <w:iCs/>
        </w:rPr>
        <w:t>va</w:t>
      </w:r>
      <w:r w:rsidR="00DF6534" w:rsidRPr="00DF6534">
        <w:rPr>
          <w:i/>
          <w:iCs/>
        </w:rPr>
        <w:t>ṃ</w:t>
      </w:r>
      <w:r w:rsidRPr="00DF6534">
        <w:rPr>
          <w:i/>
          <w:iCs/>
        </w:rPr>
        <w:t>sa</w:t>
      </w:r>
      <w:proofErr w:type="spellEnd"/>
      <w:r>
        <w:t xml:space="preserve"> </w:t>
      </w:r>
      <w:r w:rsidR="00371993">
        <w:t xml:space="preserve">estuviese </w:t>
      </w:r>
      <w:r w:rsidR="0043282F">
        <w:t xml:space="preserve">en lo </w:t>
      </w:r>
      <w:r w:rsidR="005873AB">
        <w:t>incorrecto</w:t>
      </w:r>
      <w:r>
        <w:t>. Lo que realmente parece impr</w:t>
      </w:r>
      <w:r w:rsidR="00DF6534">
        <w:t>oba</w:t>
      </w:r>
      <w:r>
        <w:t>ble es que las autoridades del Gran Mona</w:t>
      </w:r>
      <w:r w:rsidR="00DF6534">
        <w:t>s</w:t>
      </w:r>
      <w:r>
        <w:t>ter</w:t>
      </w:r>
      <w:r w:rsidR="00DF6534">
        <w:t>io</w:t>
      </w:r>
      <w:r>
        <w:t>, decididamente comprometida a oponerse a la no</w:t>
      </w:r>
      <w:r w:rsidR="00572EFB">
        <w:rPr>
          <w:rFonts w:cs="Cormorant"/>
        </w:rPr>
        <w:t>–</w:t>
      </w:r>
      <w:r>
        <w:t>ortodoxia, ha</w:t>
      </w:r>
      <w:r w:rsidR="002477E5">
        <w:t>ya</w:t>
      </w:r>
      <w:r>
        <w:t xml:space="preserve">n </w:t>
      </w:r>
      <w:r w:rsidR="002477E5">
        <w:t xml:space="preserve">otorgado </w:t>
      </w:r>
      <w:r w:rsidR="00C36DDE">
        <w:t>carta</w:t>
      </w:r>
      <w:r>
        <w:t xml:space="preserve"> libre para "corregir" las tradiciones </w:t>
      </w:r>
      <w:proofErr w:type="gramStart"/>
      <w:r>
        <w:t xml:space="preserve">de acuerdo </w:t>
      </w:r>
      <w:r w:rsidR="0085076B">
        <w:t>a</w:t>
      </w:r>
      <w:proofErr w:type="gramEnd"/>
      <w:r>
        <w:t xml:space="preserve"> </w:t>
      </w:r>
      <w:r w:rsidR="005873AB">
        <w:t>un</w:t>
      </w:r>
      <w:r>
        <w:t xml:space="preserve"> texto </w:t>
      </w:r>
      <w:r w:rsidRPr="005873AB">
        <w:rPr>
          <w:i/>
          <w:iCs/>
        </w:rPr>
        <w:t>brahmánico</w:t>
      </w:r>
      <w:r>
        <w:t xml:space="preserve"> o </w:t>
      </w:r>
      <w:r w:rsidR="002477E5">
        <w:t xml:space="preserve">a través de </w:t>
      </w:r>
      <w:r>
        <w:t xml:space="preserve">otras fuentes </w:t>
      </w:r>
      <w:r w:rsidR="005873AB">
        <w:t>extranjeras</w:t>
      </w:r>
      <w:r>
        <w:t xml:space="preserve">, incluso si </w:t>
      </w:r>
      <w:r w:rsidR="00C36DDE">
        <w:t xml:space="preserve">así </w:t>
      </w:r>
      <w:r>
        <w:t>lo hubie</w:t>
      </w:r>
      <w:r w:rsidR="005873AB">
        <w:t>se</w:t>
      </w:r>
      <w:r w:rsidR="001F0E8B">
        <w:t>n</w:t>
      </w:r>
      <w:r>
        <w:t xml:space="preserve"> deseado. Una vez más, el hecho de que hay</w:t>
      </w:r>
      <w:r w:rsidR="00C36DDE">
        <w:t>a</w:t>
      </w:r>
      <w:r>
        <w:t xml:space="preserve"> alusiones a la literatura extra</w:t>
      </w:r>
      <w:r w:rsidR="00C36DDE">
        <w:t>njera</w:t>
      </w:r>
      <w:r>
        <w:t xml:space="preserve"> y no</w:t>
      </w:r>
      <w:r w:rsidR="002477E5">
        <w:rPr>
          <w:rFonts w:cs="Cormorant"/>
        </w:rPr>
        <w:t>–</w:t>
      </w:r>
      <w:r>
        <w:t xml:space="preserve">budista (por ejemplo, </w:t>
      </w:r>
      <w:r w:rsidR="00C36DDE">
        <w:t>VII</w:t>
      </w:r>
      <w:r>
        <w:t xml:space="preserve">.58; </w:t>
      </w:r>
      <w:r w:rsidR="00C36DDE">
        <w:t>XVI</w:t>
      </w:r>
      <w:r>
        <w:t xml:space="preserve">.4 n.2; </w:t>
      </w:r>
      <w:r w:rsidR="00C36DDE">
        <w:t>XVI</w:t>
      </w:r>
      <w:r>
        <w:t xml:space="preserve">.85, etc.) afecta </w:t>
      </w:r>
      <w:r w:rsidR="00DB3A0C">
        <w:t xml:space="preserve">apenas </w:t>
      </w:r>
      <w:r>
        <w:t>est</w:t>
      </w:r>
      <w:r w:rsidR="00DB3A0C">
        <w:t>e asunto</w:t>
      </w:r>
      <w:r>
        <w:t xml:space="preserve"> porque ellos también pueden </w:t>
      </w:r>
      <w:r w:rsidR="00EA0F53">
        <w:t>haber estado al tanto sobre el</w:t>
      </w:r>
      <w:r>
        <w:t xml:space="preserve"> material</w:t>
      </w:r>
      <w:r w:rsidR="006E1DEE">
        <w:t xml:space="preserve"> que él ya se encontraba</w:t>
      </w:r>
      <w:r>
        <w:t xml:space="preserve"> edita</w:t>
      </w:r>
      <w:r w:rsidR="006E1DEE">
        <w:t>ndo</w:t>
      </w:r>
      <w:r>
        <w:t xml:space="preserve"> o </w:t>
      </w:r>
      <w:r w:rsidR="00110BB3">
        <w:t xml:space="preserve">porque </w:t>
      </w:r>
      <w:r w:rsidR="00015091">
        <w:t>fuesen</w:t>
      </w:r>
      <w:r w:rsidR="000C78AB">
        <w:t xml:space="preserve"> </w:t>
      </w:r>
      <w:r>
        <w:t>suministra</w:t>
      </w:r>
      <w:r w:rsidR="000C78AB">
        <w:t>dos</w:t>
      </w:r>
      <w:r>
        <w:t xml:space="preserve"> por los </w:t>
      </w:r>
      <w:r w:rsidR="00FF1B5F">
        <w:t xml:space="preserve">Venerables </w:t>
      </w:r>
      <w:r>
        <w:t xml:space="preserve">con los que </w:t>
      </w:r>
      <w:r w:rsidR="000C78AB">
        <w:t>él trabajaba.</w:t>
      </w:r>
      <w:r>
        <w:t xml:space="preserve"> </w:t>
      </w:r>
    </w:p>
    <w:p w14:paraId="5B746B5B" w14:textId="777ED769" w:rsidR="00D52BD5" w:rsidRPr="00D52BD5" w:rsidRDefault="00D52BD5" w:rsidP="00D52BD5">
      <w:pPr>
        <w:pStyle w:val="PiedepginaLegal"/>
        <w:rPr>
          <w:u w:val="single"/>
        </w:rPr>
      </w:pPr>
      <w:r w:rsidRPr="00D52BD5">
        <w:rPr>
          <w:u w:val="single"/>
        </w:rPr>
        <w:t xml:space="preserve">                                                                       </w:t>
      </w:r>
      <w:r>
        <w:rPr>
          <w:u w:val="single"/>
        </w:rPr>
        <w:t xml:space="preserve">                            </w:t>
      </w:r>
      <w:r w:rsidRPr="00D52BD5">
        <w:rPr>
          <w:u w:val="single"/>
        </w:rPr>
        <w:t xml:space="preserve">                .</w:t>
      </w:r>
    </w:p>
    <w:p w14:paraId="739D3B6A" w14:textId="1DACA112" w:rsidR="00904490" w:rsidRDefault="00D52BD5" w:rsidP="00D40BDE">
      <w:pPr>
        <w:pStyle w:val="PiedepginaLegal"/>
      </w:pPr>
      <w:r>
        <w:t xml:space="preserve">13. </w:t>
      </w:r>
      <w:r>
        <w:tab/>
        <w:t xml:space="preserve">Por ejemplo, el Prof. </w:t>
      </w:r>
      <w:proofErr w:type="spellStart"/>
      <w:r>
        <w:t>Kosambi</w:t>
      </w:r>
      <w:proofErr w:type="spellEnd"/>
      <w:r>
        <w:t xml:space="preserve">, en su prefacio al </w:t>
      </w:r>
      <w:r w:rsidRPr="00DF6534">
        <w:rPr>
          <w:i/>
          <w:iCs/>
        </w:rPr>
        <w:t>Visuddhimagga</w:t>
      </w:r>
      <w:r>
        <w:t xml:space="preserve">, Harvard Ed., </w:t>
      </w:r>
      <w:r w:rsidR="00BC019E">
        <w:t>Pasa por alto estas</w:t>
      </w:r>
      <w:r>
        <w:t xml:space="preserve"> consideraciones cuando dice: “La evidencia más positiva (que no s</w:t>
      </w:r>
      <w:r w:rsidR="00BC019E">
        <w:t>ea</w:t>
      </w:r>
      <w:r>
        <w:t xml:space="preserve"> un </w:t>
      </w:r>
      <w:r w:rsidRPr="00BC019E">
        <w:rPr>
          <w:i/>
          <w:iCs/>
        </w:rPr>
        <w:t>Brahman</w:t>
      </w:r>
      <w:r>
        <w:t xml:space="preserve"> del Norte-</w:t>
      </w:r>
      <w:proofErr w:type="gramStart"/>
      <w:r>
        <w:t>Indio</w:t>
      </w:r>
      <w:proofErr w:type="gramEnd"/>
      <w:r>
        <w:t xml:space="preserve">) está en el pasaje </w:t>
      </w:r>
      <w:r w:rsidRPr="00DF6534">
        <w:rPr>
          <w:i/>
          <w:iCs/>
        </w:rPr>
        <w:t>'</w:t>
      </w:r>
      <w:proofErr w:type="spellStart"/>
      <w:r w:rsidRPr="00DF6534">
        <w:rPr>
          <w:i/>
          <w:iCs/>
        </w:rPr>
        <w:t>Uoesa</w:t>
      </w:r>
      <w:proofErr w:type="spellEnd"/>
      <w:r w:rsidRPr="00DF6534">
        <w:rPr>
          <w:i/>
          <w:iCs/>
        </w:rPr>
        <w:t xml:space="preserve"> ti </w:t>
      </w:r>
      <w:proofErr w:type="spellStart"/>
      <w:r w:rsidRPr="00DF6534">
        <w:rPr>
          <w:i/>
          <w:iCs/>
        </w:rPr>
        <w:t>Aggisantāpassa</w:t>
      </w:r>
      <w:proofErr w:type="spellEnd"/>
      <w:r w:rsidRPr="00DF6534">
        <w:rPr>
          <w:i/>
          <w:iCs/>
        </w:rPr>
        <w:t xml:space="preserve">. </w:t>
      </w:r>
      <w:proofErr w:type="spellStart"/>
      <w:r w:rsidRPr="00DF6534">
        <w:rPr>
          <w:i/>
          <w:iCs/>
        </w:rPr>
        <w:t>Tassa</w:t>
      </w:r>
      <w:proofErr w:type="spellEnd"/>
      <w:r w:rsidRPr="00DF6534">
        <w:rPr>
          <w:i/>
          <w:iCs/>
        </w:rPr>
        <w:t xml:space="preserve"> </w:t>
      </w:r>
      <w:proofErr w:type="spellStart"/>
      <w:r w:rsidRPr="00DF6534">
        <w:rPr>
          <w:i/>
          <w:iCs/>
        </w:rPr>
        <w:t>Vanadāhādisu</w:t>
      </w:r>
      <w:proofErr w:type="spellEnd"/>
      <w:r w:rsidRPr="00DF6534">
        <w:rPr>
          <w:i/>
          <w:iCs/>
        </w:rPr>
        <w:t xml:space="preserve"> </w:t>
      </w:r>
      <w:proofErr w:type="spellStart"/>
      <w:r w:rsidRPr="00DF6534">
        <w:rPr>
          <w:i/>
          <w:iCs/>
        </w:rPr>
        <w:t>Sambhavo</w:t>
      </w:r>
      <w:proofErr w:type="spellEnd"/>
      <w:r w:rsidRPr="00DF6534">
        <w:rPr>
          <w:i/>
          <w:iCs/>
        </w:rPr>
        <w:t xml:space="preserve"> </w:t>
      </w:r>
      <w:proofErr w:type="spellStart"/>
      <w:r w:rsidRPr="00DF6534">
        <w:rPr>
          <w:i/>
          <w:iCs/>
        </w:rPr>
        <w:t>Veditabbo</w:t>
      </w:r>
      <w:proofErr w:type="spellEnd"/>
      <w:r>
        <w:t>’</w:t>
      </w:r>
      <w:r w:rsidR="00BC019E">
        <w:t xml:space="preserve"> </w:t>
      </w:r>
      <w:r>
        <w:t xml:space="preserve">(I.86). "Calor: el calor del fuego, la búsqueda como ocurre en el momento de los incendios forestales, etc." </w:t>
      </w:r>
      <w:r w:rsidR="00BC019E">
        <w:t>É</w:t>
      </w:r>
      <w:r>
        <w:t xml:space="preserve">ste es un comentario sobre la protección contra el calor dada por un </w:t>
      </w:r>
      <w:proofErr w:type="spellStart"/>
      <w:r w:rsidR="00BC019E" w:rsidRPr="00DF6534">
        <w:rPr>
          <w:i/>
          <w:iCs/>
        </w:rPr>
        <w:t>cīvara</w:t>
      </w:r>
      <w:proofErr w:type="spellEnd"/>
      <w:r>
        <w:t>. Su explicación es obviamente ridícula: "</w:t>
      </w:r>
      <w:r w:rsidR="00BC019E" w:rsidRPr="00BC019E">
        <w:t>Los sureños de la India no saben que una piel desnuda seguramente se quemar</w:t>
      </w:r>
      <w:r w:rsidR="00BC019E">
        <w:t>ía</w:t>
      </w:r>
      <w:r w:rsidR="00BC019E" w:rsidRPr="00BC019E">
        <w:t xml:space="preserve"> con el Sol en el verano del norte</w:t>
      </w:r>
      <w:r>
        <w:t xml:space="preserve">" (p. </w:t>
      </w:r>
      <w:r w:rsidR="001E1B93">
        <w:t>XII</w:t>
      </w:r>
      <w:r>
        <w:t xml:space="preserve">). </w:t>
      </w:r>
      <w:r w:rsidR="00BC019E" w:rsidRPr="00BC019E">
        <w:t xml:space="preserve">Y el profesor </w:t>
      </w:r>
      <w:proofErr w:type="spellStart"/>
      <w:r w:rsidR="00BC019E" w:rsidRPr="00BC019E">
        <w:t>Kosambi</w:t>
      </w:r>
      <w:proofErr w:type="spellEnd"/>
      <w:r w:rsidR="00BC019E" w:rsidRPr="00BC019E">
        <w:t xml:space="preserve"> no solamente ha pasado por alto el hecho de que es casi seguro que se trate de un material traducido que él critica como si fuera una composición original, sino que parece no haber leído el pasaje completo</w:t>
      </w:r>
      <w:r>
        <w:t xml:space="preserve">. La oración </w:t>
      </w:r>
      <w:r w:rsidRPr="00BC019E">
        <w:rPr>
          <w:i/>
          <w:iCs/>
        </w:rPr>
        <w:t>Sutta</w:t>
      </w:r>
      <w:r>
        <w:t xml:space="preserve"> (M I 10) coment</w:t>
      </w:r>
      <w:r w:rsidR="00BC019E">
        <w:t>ada</w:t>
      </w:r>
      <w:r>
        <w:t xml:space="preserve"> en </w:t>
      </w:r>
      <w:r w:rsidR="00BC019E">
        <w:t xml:space="preserve">el </w:t>
      </w:r>
      <w:r w:rsidRPr="00DF6534">
        <w:rPr>
          <w:i/>
          <w:iCs/>
        </w:rPr>
        <w:t>Visuddhimagga</w:t>
      </w:r>
      <w:r>
        <w:t xml:space="preserve"> (I.86-87) contiene dos palabras </w:t>
      </w:r>
      <w:proofErr w:type="spellStart"/>
      <w:r w:rsidR="00DF6534" w:rsidRPr="00DF6534">
        <w:rPr>
          <w:i/>
          <w:iCs/>
        </w:rPr>
        <w:t>uṇha</w:t>
      </w:r>
      <w:proofErr w:type="spellEnd"/>
      <w:r w:rsidR="00DF6534">
        <w:t xml:space="preserve"> </w:t>
      </w:r>
      <w:r>
        <w:t xml:space="preserve">y </w:t>
      </w:r>
      <w:proofErr w:type="spellStart"/>
      <w:r w:rsidRPr="00DF6534">
        <w:rPr>
          <w:i/>
          <w:iCs/>
        </w:rPr>
        <w:t>ātapa</w:t>
      </w:r>
      <w:proofErr w:type="spellEnd"/>
      <w:r>
        <w:t xml:space="preserve">. Si, antes de confiar </w:t>
      </w:r>
      <w:r w:rsidR="00BC019E">
        <w:t xml:space="preserve">en </w:t>
      </w:r>
      <w:r>
        <w:t>la explicación como "ridícul</w:t>
      </w:r>
      <w:r w:rsidR="00BC019E">
        <w:t>a</w:t>
      </w:r>
      <w:r>
        <w:t xml:space="preserve">" </w:t>
      </w:r>
      <w:r w:rsidR="00BC019E">
        <w:t>la hubiese leído</w:t>
      </w:r>
      <w:r>
        <w:t xml:space="preserve">, </w:t>
      </w:r>
      <w:r w:rsidR="00BC019E">
        <w:t>hubiese</w:t>
      </w:r>
      <w:r>
        <w:t xml:space="preserve"> encontrado, una o dos líneas a continuación, las palabras </w:t>
      </w:r>
      <w:proofErr w:type="spellStart"/>
      <w:r w:rsidR="00DF6534" w:rsidRPr="00DF6534">
        <w:rPr>
          <w:i/>
          <w:iCs/>
        </w:rPr>
        <w:t>Ātapo</w:t>
      </w:r>
      <w:proofErr w:type="spellEnd"/>
      <w:r w:rsidR="00DF6534">
        <w:t xml:space="preserve"> </w:t>
      </w:r>
      <w:r w:rsidRPr="00DF6534">
        <w:rPr>
          <w:i/>
          <w:iCs/>
        </w:rPr>
        <w:t xml:space="preserve">ti </w:t>
      </w:r>
      <w:proofErr w:type="spellStart"/>
      <w:r w:rsidRPr="00DF6534">
        <w:rPr>
          <w:i/>
          <w:iCs/>
        </w:rPr>
        <w:t>suriyātapo</w:t>
      </w:r>
      <w:proofErr w:type="spellEnd"/>
      <w:r>
        <w:t xml:space="preserve"> ("'ardor' está ardiendo del sol" -I.87).</w:t>
      </w:r>
    </w:p>
    <w:p w14:paraId="1EFDBBD0" w14:textId="77777777" w:rsidR="00904490" w:rsidRDefault="00904490">
      <w:r>
        <w:br w:type="page"/>
      </w:r>
    </w:p>
    <w:p w14:paraId="59203C5B" w14:textId="77777777" w:rsidR="00F966DE" w:rsidRDefault="00F966DE" w:rsidP="00AD748E"/>
    <w:p w14:paraId="15506069" w14:textId="415E9885" w:rsidR="00AD748E" w:rsidRDefault="006E7EE8" w:rsidP="00AD748E">
      <w:r>
        <w:t xml:space="preserve">Lo que podría </w:t>
      </w:r>
      <w:r w:rsidR="00E8500E">
        <w:t>compensar</w:t>
      </w:r>
      <w:r>
        <w:t xml:space="preserve"> un estudio cuidadoso </w:t>
      </w:r>
      <w:r w:rsidR="008E28FF">
        <w:t>podrían ser,</w:t>
      </w:r>
      <w:r>
        <w:t xml:space="preserve"> quizás</w:t>
      </w:r>
      <w:r w:rsidR="008E28FF">
        <w:t>,</w:t>
      </w:r>
      <w:r>
        <w:t xml:space="preserve"> aquell</w:t>
      </w:r>
      <w:r w:rsidR="00582D4D">
        <w:t>a</w:t>
      </w:r>
      <w:r>
        <w:t>s</w:t>
      </w:r>
      <w:r w:rsidR="00582D4D">
        <w:t xml:space="preserve"> cosas</w:t>
      </w:r>
      <w:r>
        <w:t>, como ciertas enseñanzas y nombres de</w:t>
      </w:r>
      <w:r w:rsidR="00582D4D">
        <w:t>l</w:t>
      </w:r>
      <w:r>
        <w:t xml:space="preserve"> </w:t>
      </w:r>
      <w:proofErr w:type="spellStart"/>
      <w:r w:rsidRPr="001E1B93">
        <w:rPr>
          <w:i/>
          <w:iCs/>
        </w:rPr>
        <w:t>Mahayana</w:t>
      </w:r>
      <w:proofErr w:type="spellEnd"/>
      <w:r>
        <w:t xml:space="preserve">, así como </w:t>
      </w:r>
      <w:r w:rsidR="00553832">
        <w:t>abundante</w:t>
      </w:r>
      <w:r>
        <w:t xml:space="preserve"> filosofía </w:t>
      </w:r>
      <w:r w:rsidRPr="00582D4D">
        <w:rPr>
          <w:i/>
          <w:iCs/>
        </w:rPr>
        <w:t>brahmánica</w:t>
      </w:r>
      <w:r>
        <w:t xml:space="preserve"> que </w:t>
      </w:r>
      <w:r w:rsidR="00A738B2">
        <w:t xml:space="preserve">él </w:t>
      </w:r>
      <w:r w:rsidR="00ED2CEE">
        <w:t>ignorase,</w:t>
      </w:r>
      <w:r>
        <w:t xml:space="preserve"> aunque deb</w:t>
      </w:r>
      <w:r w:rsidR="00A421AA">
        <w:t>a</w:t>
      </w:r>
      <w:r>
        <w:t xml:space="preserve"> haber sabido</w:t>
      </w:r>
      <w:r w:rsidR="000131F4">
        <w:t xml:space="preserve"> algo al respecto</w:t>
      </w:r>
      <w:r>
        <w:t>. Est</w:t>
      </w:r>
      <w:r w:rsidR="008E28FF">
        <w:t>e</w:t>
      </w:r>
      <w:r>
        <w:t xml:space="preserve"> </w:t>
      </w:r>
      <w:r w:rsidR="00A421AA">
        <w:t>desconocimiento</w:t>
      </w:r>
      <w:r>
        <w:t xml:space="preserve"> no puede </w:t>
      </w:r>
      <w:r w:rsidR="00ED2CEE">
        <w:t>atribuirse</w:t>
      </w:r>
      <w:r>
        <w:t xml:space="preserve"> de manera segura a </w:t>
      </w:r>
      <w:r w:rsidR="001B7F61">
        <w:t>su</w:t>
      </w:r>
      <w:r>
        <w:t xml:space="preserve"> ignorancia</w:t>
      </w:r>
      <w:r w:rsidR="00B20BB1">
        <w:t xml:space="preserve"> en general</w:t>
      </w:r>
      <w:r w:rsidR="00F47C29">
        <w:t xml:space="preserve">, </w:t>
      </w:r>
      <w:r>
        <w:t>a menos que estemos seguros de que no fue dictad</w:t>
      </w:r>
      <w:r w:rsidR="00ED2CEE">
        <w:t>o</w:t>
      </w:r>
      <w:r>
        <w:t xml:space="preserve"> por </w:t>
      </w:r>
      <w:r w:rsidR="00F47C29">
        <w:t xml:space="preserve">alguna </w:t>
      </w:r>
      <w:r>
        <w:t>política</w:t>
      </w:r>
      <w:r w:rsidR="00BC3860">
        <w:t xml:space="preserve"> de entonces</w:t>
      </w:r>
      <w:r>
        <w:t xml:space="preserve">; y no </w:t>
      </w:r>
      <w:r w:rsidR="00F45642">
        <w:t xml:space="preserve">estamos </w:t>
      </w:r>
      <w:r w:rsidR="003E43CD">
        <w:t xml:space="preserve">seguros </w:t>
      </w:r>
      <w:r w:rsidR="0035779D">
        <w:t xml:space="preserve">de ello </w:t>
      </w:r>
      <w:r w:rsidR="003E43CD">
        <w:t>en lo absoluto</w:t>
      </w:r>
      <w:r>
        <w:t>. Su</w:t>
      </w:r>
      <w:r w:rsidR="003E43CD">
        <w:t xml:space="preserve"> </w:t>
      </w:r>
      <w:r w:rsidR="00AD748E">
        <w:t xml:space="preserve">silencio (en contraste con el autor del </w:t>
      </w:r>
      <w:proofErr w:type="spellStart"/>
      <w:r w:rsidR="00DF6534" w:rsidRPr="00DF6534">
        <w:rPr>
          <w:i/>
          <w:iCs/>
        </w:rPr>
        <w:t>Paramathamañjūsā</w:t>
      </w:r>
      <w:proofErr w:type="spellEnd"/>
      <w:r w:rsidR="00AD748E">
        <w:t>) son</w:t>
      </w:r>
      <w:r w:rsidR="00261635">
        <w:t>,</w:t>
      </w:r>
      <w:r w:rsidR="00AD748E">
        <w:t xml:space="preserve"> a veces</w:t>
      </w:r>
      <w:r w:rsidR="00261635">
        <w:t xml:space="preserve">, </w:t>
      </w:r>
      <w:r w:rsidR="00AD748E">
        <w:t>notables a</w:t>
      </w:r>
      <w:r w:rsidR="00BC3860">
        <w:t>l</w:t>
      </w:r>
      <w:r w:rsidR="00AD748E">
        <w:t xml:space="preserve"> respecto.</w:t>
      </w:r>
    </w:p>
    <w:p w14:paraId="478F53E4" w14:textId="783B049F" w:rsidR="00AD748E" w:rsidRDefault="00AD748E" w:rsidP="00F966DE">
      <w:pPr>
        <w:pStyle w:val="NormalConSangria"/>
      </w:pPr>
      <w:r>
        <w:t>La "popular</w:t>
      </w:r>
      <w:r w:rsidR="0035779D" w:rsidRPr="0035779D">
        <w:t xml:space="preserve"> </w:t>
      </w:r>
      <w:r w:rsidR="0035779D">
        <w:t xml:space="preserve">novela </w:t>
      </w:r>
      <w:r>
        <w:t xml:space="preserve">" llamada </w:t>
      </w:r>
      <w:proofErr w:type="spellStart"/>
      <w:r w:rsidR="00057BF4" w:rsidRPr="00057BF4">
        <w:rPr>
          <w:i/>
          <w:iCs/>
        </w:rPr>
        <w:t>Buddha</w:t>
      </w:r>
      <w:r w:rsidRPr="00DF6534">
        <w:rPr>
          <w:i/>
          <w:iCs/>
        </w:rPr>
        <w:t>ghosuppatti</w:t>
      </w:r>
      <w:proofErr w:type="spellEnd"/>
      <w:r>
        <w:t xml:space="preserve">, que fue compuesta en Birmania por un </w:t>
      </w:r>
      <w:r w:rsidR="005C1C6E">
        <w:t xml:space="preserve">Venerable </w:t>
      </w:r>
      <w:r>
        <w:t xml:space="preserve">llamado </w:t>
      </w:r>
      <w:proofErr w:type="spellStart"/>
      <w:r w:rsidRPr="00DF6534">
        <w:rPr>
          <w:i/>
          <w:iCs/>
        </w:rPr>
        <w:t>Mahāmaṅgala</w:t>
      </w:r>
      <w:proofErr w:type="spellEnd"/>
      <w:r>
        <w:t xml:space="preserve">, tal vez ya en el siglo XV, es menos </w:t>
      </w:r>
      <w:r w:rsidR="005F08C3">
        <w:t>confiable</w:t>
      </w:r>
      <w:r>
        <w:t xml:space="preserve">. </w:t>
      </w:r>
      <w:r w:rsidR="00BC3860">
        <w:t>No obstante,</w:t>
      </w:r>
      <w:r>
        <w:t xml:space="preserve"> una </w:t>
      </w:r>
      <w:r w:rsidR="00D00502">
        <w:t xml:space="preserve">examinación </w:t>
      </w:r>
      <w:r w:rsidR="00FD7B3B">
        <w:t>así</w:t>
      </w:r>
      <w:r>
        <w:t xml:space="preserve"> </w:t>
      </w:r>
      <w:r w:rsidR="00076E36">
        <w:t xml:space="preserve">sin </w:t>
      </w:r>
      <w:r w:rsidR="00FD7B3B">
        <w:t xml:space="preserve">una </w:t>
      </w:r>
      <w:r w:rsidR="00076E36">
        <w:t xml:space="preserve">descripción </w:t>
      </w:r>
      <w:r w:rsidR="00F02C98">
        <w:t xml:space="preserve">adicional </w:t>
      </w:r>
      <w:r>
        <w:t>sería incompleta. Así que aquí</w:t>
      </w:r>
      <w:r w:rsidR="00FD7B3B">
        <w:t>,</w:t>
      </w:r>
      <w:r>
        <w:t xml:space="preserve"> un </w:t>
      </w:r>
      <w:proofErr w:type="spellStart"/>
      <w:r w:rsidR="00DF6534" w:rsidRPr="00DF6534">
        <w:rPr>
          <w:i/>
          <w:iCs/>
        </w:rPr>
        <w:t>précis</w:t>
      </w:r>
      <w:proofErr w:type="spellEnd"/>
      <w:r w:rsidR="00DF6534">
        <w:t>:</w:t>
      </w:r>
    </w:p>
    <w:p w14:paraId="6092310F" w14:textId="4AEFD233" w:rsidR="00AD748E" w:rsidRDefault="00AD748E" w:rsidP="00F966DE">
      <w:pPr>
        <w:pStyle w:val="NormalConSangria"/>
      </w:pPr>
      <w:r>
        <w:t xml:space="preserve">Cerca del árbol </w:t>
      </w:r>
      <w:proofErr w:type="spellStart"/>
      <w:r w:rsidRPr="00DF6534">
        <w:rPr>
          <w:i/>
          <w:iCs/>
        </w:rPr>
        <w:t>Bodhi</w:t>
      </w:r>
      <w:proofErr w:type="spellEnd"/>
      <w:r>
        <w:t xml:space="preserve"> en </w:t>
      </w:r>
      <w:proofErr w:type="spellStart"/>
      <w:r>
        <w:t>Gayā</w:t>
      </w:r>
      <w:proofErr w:type="spellEnd"/>
      <w:r>
        <w:t xml:space="preserve"> había un pueblo llamado </w:t>
      </w:r>
      <w:proofErr w:type="spellStart"/>
      <w:r>
        <w:t>Ghosa</w:t>
      </w:r>
      <w:proofErr w:type="spellEnd"/>
      <w:r>
        <w:t xml:space="preserve">. Su gobernante tenía un capellán </w:t>
      </w:r>
      <w:r w:rsidRPr="00DF6534">
        <w:rPr>
          <w:i/>
          <w:iCs/>
        </w:rPr>
        <w:t>Brahman</w:t>
      </w:r>
      <w:r>
        <w:t xml:space="preserve"> llamado </w:t>
      </w:r>
      <w:proofErr w:type="spellStart"/>
      <w:r>
        <w:t>Kesi</w:t>
      </w:r>
      <w:proofErr w:type="spellEnd"/>
      <w:r w:rsidR="000278FB">
        <w:t>,</w:t>
      </w:r>
      <w:r>
        <w:t xml:space="preserve"> casado con </w:t>
      </w:r>
      <w:r w:rsidR="000278FB">
        <w:t>una mujer</w:t>
      </w:r>
      <w:r>
        <w:t xml:space="preserve"> llamada </w:t>
      </w:r>
      <w:proofErr w:type="spellStart"/>
      <w:r>
        <w:t>Kesinī</w:t>
      </w:r>
      <w:proofErr w:type="spellEnd"/>
      <w:r>
        <w:t xml:space="preserve">. Un </w:t>
      </w:r>
      <w:r w:rsidR="000131F4">
        <w:t>venerable</w:t>
      </w:r>
      <w:r>
        <w:t xml:space="preserve"> </w:t>
      </w:r>
      <w:proofErr w:type="spellStart"/>
      <w:r w:rsidR="000131F4" w:rsidRPr="00057BF4">
        <w:rPr>
          <w:i/>
          <w:iCs/>
        </w:rPr>
        <w:t>bhikkhu</w:t>
      </w:r>
      <w:proofErr w:type="spellEnd"/>
      <w:r>
        <w:t xml:space="preserve">, que era amigo de </w:t>
      </w:r>
      <w:proofErr w:type="spellStart"/>
      <w:r>
        <w:t>Kesi</w:t>
      </w:r>
      <w:proofErr w:type="spellEnd"/>
      <w:r>
        <w:t xml:space="preserve">, </w:t>
      </w:r>
      <w:r w:rsidR="00FE15BB">
        <w:t>solía preguntarse</w:t>
      </w:r>
      <w:r>
        <w:t xml:space="preserve">, cuando la enseñanza del </w:t>
      </w:r>
      <w:r w:rsidR="00057BF4" w:rsidRPr="00057BF4">
        <w:rPr>
          <w:i/>
        </w:rPr>
        <w:t>Buddha</w:t>
      </w:r>
      <w:r>
        <w:t xml:space="preserve"> se recitaba en cingalés y la gente no entendía, qu</w:t>
      </w:r>
      <w:r w:rsidR="00387691">
        <w:t>ién</w:t>
      </w:r>
      <w:r>
        <w:t xml:space="preserve"> podría traducirlo a</w:t>
      </w:r>
      <w:r w:rsidR="00387691">
        <w:t>l</w:t>
      </w:r>
      <w:r>
        <w:t xml:space="preserve"> </w:t>
      </w:r>
      <w:proofErr w:type="spellStart"/>
      <w:r w:rsidRPr="00DF6534">
        <w:rPr>
          <w:i/>
          <w:iCs/>
        </w:rPr>
        <w:t>Magadhan</w:t>
      </w:r>
      <w:proofErr w:type="spellEnd"/>
      <w:r>
        <w:t xml:space="preserve"> (</w:t>
      </w:r>
      <w:r w:rsidR="00387691">
        <w:t xml:space="preserve">al </w:t>
      </w:r>
      <w:r w:rsidRPr="00DF6534">
        <w:rPr>
          <w:i/>
          <w:iCs/>
        </w:rPr>
        <w:t>Pāḷi</w:t>
      </w:r>
      <w:r>
        <w:t xml:space="preserve">). </w:t>
      </w:r>
      <w:r w:rsidR="00387691">
        <w:t xml:space="preserve">Él </w:t>
      </w:r>
      <w:r w:rsidR="0004223D">
        <w:t xml:space="preserve">apreció </w:t>
      </w:r>
      <w:r>
        <w:t xml:space="preserve">que </w:t>
      </w:r>
      <w:r w:rsidR="00A859C4">
        <w:t>existía</w:t>
      </w:r>
      <w:r>
        <w:t xml:space="preserve"> </w:t>
      </w:r>
      <w:r w:rsidR="0004223D">
        <w:t xml:space="preserve">un joven, </w:t>
      </w:r>
      <w:r>
        <w:t>hijo de una deidad</w:t>
      </w:r>
      <w:r w:rsidR="0004223D">
        <w:t>,</w:t>
      </w:r>
      <w:r>
        <w:t xml:space="preserve"> viv</w:t>
      </w:r>
      <w:r w:rsidR="0004223D">
        <w:t>iendo</w:t>
      </w:r>
      <w:r>
        <w:t xml:space="preserve"> en el cielo </w:t>
      </w:r>
      <w:proofErr w:type="spellStart"/>
      <w:r w:rsidR="00DF6534" w:rsidRPr="00DF6534">
        <w:rPr>
          <w:i/>
          <w:iCs/>
        </w:rPr>
        <w:t>Tāvatiṃsa</w:t>
      </w:r>
      <w:proofErr w:type="spellEnd"/>
      <w:r>
        <w:t xml:space="preserve">, cuyo nombre era </w:t>
      </w:r>
      <w:proofErr w:type="spellStart"/>
      <w:r>
        <w:t>Ghosa</w:t>
      </w:r>
      <w:proofErr w:type="spellEnd"/>
      <w:r>
        <w:t xml:space="preserve"> y que </w:t>
      </w:r>
      <w:r w:rsidR="00FE15BB">
        <w:t xml:space="preserve">él sería </w:t>
      </w:r>
      <w:r>
        <w:t xml:space="preserve">capaz de </w:t>
      </w:r>
      <w:r w:rsidR="0004223D">
        <w:t>conseguirlo</w:t>
      </w:r>
      <w:r>
        <w:t>. Est</w:t>
      </w:r>
      <w:r w:rsidR="00A859C4">
        <w:t>a</w:t>
      </w:r>
      <w:r>
        <w:t xml:space="preserve"> Dei</w:t>
      </w:r>
      <w:r w:rsidR="000131F4">
        <w:t>dad</w:t>
      </w:r>
      <w:r>
        <w:t xml:space="preserve"> fue persuadid</w:t>
      </w:r>
      <w:r w:rsidR="000131F4">
        <w:t>a</w:t>
      </w:r>
      <w:r>
        <w:t xml:space="preserve"> para </w:t>
      </w:r>
      <w:r w:rsidR="00FE15BB">
        <w:t xml:space="preserve">que </w:t>
      </w:r>
      <w:r>
        <w:t>renac</w:t>
      </w:r>
      <w:r w:rsidR="00FE15BB">
        <w:t>iera</w:t>
      </w:r>
      <w:r>
        <w:t xml:space="preserve"> en el mundo humano como </w:t>
      </w:r>
      <w:r w:rsidR="00390D57">
        <w:t xml:space="preserve">el </w:t>
      </w:r>
      <w:r>
        <w:t xml:space="preserve">hijo del </w:t>
      </w:r>
      <w:r w:rsidRPr="00DF6534">
        <w:rPr>
          <w:i/>
          <w:iCs/>
        </w:rPr>
        <w:t>Brahman</w:t>
      </w:r>
      <w:r>
        <w:t xml:space="preserve"> </w:t>
      </w:r>
      <w:proofErr w:type="spellStart"/>
      <w:r>
        <w:t>Kesi</w:t>
      </w:r>
      <w:proofErr w:type="spellEnd"/>
      <w:r>
        <w:t xml:space="preserve">. </w:t>
      </w:r>
      <w:r w:rsidR="000131F4">
        <w:t>Él</w:t>
      </w:r>
      <w:r>
        <w:t xml:space="preserve"> aprend</w:t>
      </w:r>
      <w:r w:rsidR="000131F4">
        <w:t>ió</w:t>
      </w:r>
      <w:r>
        <w:t xml:space="preserve"> los </w:t>
      </w:r>
      <w:r w:rsidRPr="000131F4">
        <w:rPr>
          <w:i/>
          <w:iCs/>
        </w:rPr>
        <w:t>Vedas</w:t>
      </w:r>
      <w:r>
        <w:t>. Un día</w:t>
      </w:r>
      <w:r w:rsidR="0004223D">
        <w:t>,</w:t>
      </w:r>
      <w:r>
        <w:t xml:space="preserve"> se sentó en un lugar </w:t>
      </w:r>
      <w:r w:rsidR="00642C6C">
        <w:t>con</w:t>
      </w:r>
      <w:r>
        <w:t xml:space="preserve">sagrado a </w:t>
      </w:r>
      <w:proofErr w:type="spellStart"/>
      <w:r w:rsidRPr="0004223D">
        <w:rPr>
          <w:i/>
          <w:iCs/>
        </w:rPr>
        <w:t>Vishnu</w:t>
      </w:r>
      <w:proofErr w:type="spellEnd"/>
      <w:r>
        <w:t xml:space="preserve"> y comió guisantes. Los </w:t>
      </w:r>
      <w:r w:rsidRPr="000131F4">
        <w:rPr>
          <w:i/>
          <w:iCs/>
        </w:rPr>
        <w:t>brahmanes</w:t>
      </w:r>
      <w:r>
        <w:t xml:space="preserve"> lo reprendieron, pero </w:t>
      </w:r>
      <w:r w:rsidR="00FE15BB">
        <w:t xml:space="preserve">él </w:t>
      </w:r>
      <w:r>
        <w:t xml:space="preserve">pronunció </w:t>
      </w:r>
      <w:r w:rsidR="00FE15BB">
        <w:t>esta</w:t>
      </w:r>
      <w:r>
        <w:t xml:space="preserve"> estrofa: “El guisante en sí es </w:t>
      </w:r>
      <w:proofErr w:type="spellStart"/>
      <w:r w:rsidRPr="00701143">
        <w:rPr>
          <w:i/>
          <w:iCs/>
        </w:rPr>
        <w:t>Vishnu</w:t>
      </w:r>
      <w:proofErr w:type="spellEnd"/>
      <w:r>
        <w:t xml:space="preserve">; ¿A quién se </w:t>
      </w:r>
      <w:r w:rsidR="00FE15BB">
        <w:t xml:space="preserve">le </w:t>
      </w:r>
      <w:r>
        <w:t xml:space="preserve">llama </w:t>
      </w:r>
      <w:proofErr w:type="spellStart"/>
      <w:r w:rsidRPr="00701143">
        <w:rPr>
          <w:i/>
          <w:iCs/>
        </w:rPr>
        <w:t>Vishnu</w:t>
      </w:r>
      <w:proofErr w:type="spellEnd"/>
      <w:r>
        <w:t xml:space="preserve">? ¿Y cómo sé </w:t>
      </w:r>
      <w:r w:rsidR="00701143">
        <w:t>quién</w:t>
      </w:r>
      <w:r>
        <w:t xml:space="preserve"> es </w:t>
      </w:r>
      <w:proofErr w:type="spellStart"/>
      <w:r w:rsidRPr="00701143">
        <w:rPr>
          <w:i/>
          <w:iCs/>
        </w:rPr>
        <w:t>Vishnu</w:t>
      </w:r>
      <w:proofErr w:type="spellEnd"/>
      <w:r>
        <w:t xml:space="preserve">? " Y nadie </w:t>
      </w:r>
      <w:r w:rsidR="00642C6C">
        <w:t>pudo</w:t>
      </w:r>
      <w:r>
        <w:t xml:space="preserve"> responderle. Entonces, un día, mientras </w:t>
      </w:r>
      <w:proofErr w:type="spellStart"/>
      <w:r>
        <w:t>Kesi</w:t>
      </w:r>
      <w:proofErr w:type="spellEnd"/>
      <w:r>
        <w:t xml:space="preserve"> instru</w:t>
      </w:r>
      <w:r w:rsidR="000131F4">
        <w:t>ía</w:t>
      </w:r>
      <w:r>
        <w:t xml:space="preserve"> al gobernante de la ciudad en los </w:t>
      </w:r>
      <w:r w:rsidRPr="000131F4">
        <w:rPr>
          <w:i/>
          <w:iCs/>
        </w:rPr>
        <w:t>Vedas</w:t>
      </w:r>
      <w:r>
        <w:t xml:space="preserve">, cierto pasaje lo desconcertó, </w:t>
      </w:r>
      <w:r w:rsidR="00FE15BB">
        <w:t xml:space="preserve">no obstante, </w:t>
      </w:r>
      <w:proofErr w:type="spellStart"/>
      <w:r>
        <w:t>Ghosa</w:t>
      </w:r>
      <w:proofErr w:type="spellEnd"/>
      <w:r>
        <w:t xml:space="preserve"> escribió las explicaciones sobre una hoja de palma, que fue encontrada por su padre</w:t>
      </w:r>
      <w:r w:rsidR="001E1B93">
        <w:t>.</w:t>
      </w:r>
      <w:r>
        <w:t xml:space="preserve"> (Capítulo I).</w:t>
      </w:r>
    </w:p>
    <w:p w14:paraId="6371077B" w14:textId="3AF8D419" w:rsidR="00AD748E" w:rsidRDefault="00AD748E" w:rsidP="00F966DE">
      <w:pPr>
        <w:pStyle w:val="NormalConSangria"/>
      </w:pPr>
      <w:r>
        <w:t xml:space="preserve">Una vez, cuando el </w:t>
      </w:r>
      <w:r w:rsidR="00461039">
        <w:t xml:space="preserve">Venerable </w:t>
      </w:r>
      <w:proofErr w:type="spellStart"/>
      <w:r w:rsidR="00642C6C" w:rsidRPr="00057BF4">
        <w:rPr>
          <w:i/>
          <w:iCs/>
        </w:rPr>
        <w:t>bhikkhu</w:t>
      </w:r>
      <w:proofErr w:type="spellEnd"/>
      <w:r w:rsidR="00642C6C">
        <w:t xml:space="preserve"> </w:t>
      </w:r>
      <w:r>
        <w:t xml:space="preserve">fue invitado a la casa de </w:t>
      </w:r>
      <w:proofErr w:type="spellStart"/>
      <w:r>
        <w:t>Kesi</w:t>
      </w:r>
      <w:proofErr w:type="spellEnd"/>
      <w:r>
        <w:t xml:space="preserve"> para una comida</w:t>
      </w:r>
      <w:r w:rsidR="00642C6C">
        <w:t>,</w:t>
      </w:r>
      <w:r>
        <w:t xml:space="preserve"> se le entregó la alfombra de </w:t>
      </w:r>
      <w:proofErr w:type="spellStart"/>
      <w:r>
        <w:t>Ghosa</w:t>
      </w:r>
      <w:proofErr w:type="spellEnd"/>
      <w:r>
        <w:t xml:space="preserve"> para que se sentara. </w:t>
      </w:r>
      <w:proofErr w:type="spellStart"/>
      <w:r>
        <w:t>Ghosa</w:t>
      </w:r>
      <w:proofErr w:type="spellEnd"/>
      <w:r>
        <w:t xml:space="preserve"> </w:t>
      </w:r>
      <w:r w:rsidR="000F68A9">
        <w:t>se puso</w:t>
      </w:r>
      <w:r>
        <w:t xml:space="preserve"> furios</w:t>
      </w:r>
      <w:r w:rsidR="00022677">
        <w:t>o</w:t>
      </w:r>
      <w:r>
        <w:t xml:space="preserve"> </w:t>
      </w:r>
      <w:r w:rsidR="000F68A9">
        <w:t>e insultó</w:t>
      </w:r>
      <w:r>
        <w:t xml:space="preserve"> </w:t>
      </w:r>
      <w:r w:rsidR="000F68A9">
        <w:t>a</w:t>
      </w:r>
      <w:r>
        <w:t xml:space="preserve">l </w:t>
      </w:r>
      <w:r w:rsidR="00803A29">
        <w:t>Venerable</w:t>
      </w:r>
      <w:r>
        <w:t>. Luego</w:t>
      </w:r>
      <w:r w:rsidR="00461039">
        <w:t>,</w:t>
      </w:r>
      <w:r>
        <w:t xml:space="preserve"> </w:t>
      </w:r>
      <w:r w:rsidR="001C0920">
        <w:t xml:space="preserve">él </w:t>
      </w:r>
      <w:r>
        <w:t xml:space="preserve">le preguntó si conocía los </w:t>
      </w:r>
      <w:r w:rsidRPr="00803A29">
        <w:rPr>
          <w:i/>
          <w:iCs/>
        </w:rPr>
        <w:t>Vedas</w:t>
      </w:r>
      <w:r>
        <w:t xml:space="preserve"> </w:t>
      </w:r>
      <w:r w:rsidR="00803A29">
        <w:t>o</w:t>
      </w:r>
      <w:r>
        <w:t xml:space="preserve"> cualquier otro sistema. El </w:t>
      </w:r>
      <w:r w:rsidR="00803A29">
        <w:t xml:space="preserve">Venerable </w:t>
      </w:r>
      <w:r w:rsidR="001C0920">
        <w:t xml:space="preserve">le </w:t>
      </w:r>
      <w:r>
        <w:t xml:space="preserve">dio una recitación de los </w:t>
      </w:r>
      <w:r w:rsidRPr="00803A29">
        <w:rPr>
          <w:i/>
          <w:iCs/>
        </w:rPr>
        <w:t>Vedas</w:t>
      </w:r>
      <w:r>
        <w:t xml:space="preserve">. Luego, </w:t>
      </w:r>
      <w:proofErr w:type="spellStart"/>
      <w:r>
        <w:t>Ghosa</w:t>
      </w:r>
      <w:proofErr w:type="spellEnd"/>
      <w:r>
        <w:t xml:space="preserve"> le </w:t>
      </w:r>
      <w:r w:rsidR="00833CFD">
        <w:t>preguntó sobre</w:t>
      </w:r>
      <w:r>
        <w:t xml:space="preserve"> su propio sistema, </w:t>
      </w:r>
      <w:r w:rsidR="00460307">
        <w:t>a</w:t>
      </w:r>
      <w:r w:rsidR="00461039">
        <w:t>nte</w:t>
      </w:r>
      <w:r>
        <w:t xml:space="preserve"> lo cual el </w:t>
      </w:r>
      <w:r w:rsidR="00833CFD">
        <w:t xml:space="preserve">Venerable </w:t>
      </w:r>
      <w:r>
        <w:t xml:space="preserve">expuso la primera tríada de la </w:t>
      </w:r>
      <w:r w:rsidR="00833CFD">
        <w:t>colección</w:t>
      </w:r>
      <w:r>
        <w:t xml:space="preserve"> </w:t>
      </w:r>
      <w:proofErr w:type="spellStart"/>
      <w:r w:rsidR="00833CFD" w:rsidRPr="00DF6534">
        <w:rPr>
          <w:i/>
          <w:iCs/>
        </w:rPr>
        <w:t>Abhi</w:t>
      </w:r>
      <w:r w:rsidR="00833CFD" w:rsidRPr="00057BF4">
        <w:rPr>
          <w:i/>
          <w:iCs/>
        </w:rPr>
        <w:t>dhamma</w:t>
      </w:r>
      <w:proofErr w:type="spellEnd"/>
      <w:r>
        <w:t xml:space="preserve">, </w:t>
      </w:r>
      <w:r w:rsidR="00C0380B">
        <w:t>sobre</w:t>
      </w:r>
      <w:r>
        <w:t xml:space="preserve"> el </w:t>
      </w:r>
      <w:r w:rsidR="00D50881">
        <w:t xml:space="preserve">surgimiento del </w:t>
      </w:r>
      <w:r>
        <w:t xml:space="preserve">pensamiento </w:t>
      </w:r>
      <w:r w:rsidR="00C0380B">
        <w:t>productivo</w:t>
      </w:r>
      <w:r>
        <w:t xml:space="preserve">, </w:t>
      </w:r>
      <w:r w:rsidR="00C0380B">
        <w:t xml:space="preserve">el </w:t>
      </w:r>
      <w:r w:rsidR="00461039">
        <w:t>im</w:t>
      </w:r>
      <w:r w:rsidR="00C0380B">
        <w:t>productivo y el</w:t>
      </w:r>
      <w:r>
        <w:t xml:space="preserve"> indeterminado. </w:t>
      </w:r>
      <w:proofErr w:type="spellStart"/>
      <w:r>
        <w:t>Ghosa</w:t>
      </w:r>
      <w:proofErr w:type="spellEnd"/>
      <w:r>
        <w:t xml:space="preserve"> preguntó de quién era el sistema, </w:t>
      </w:r>
      <w:r w:rsidR="00550088">
        <w:t>se le</w:t>
      </w:r>
      <w:r>
        <w:t xml:space="preserve"> dijo que eran </w:t>
      </w:r>
      <w:r w:rsidR="00550088">
        <w:t xml:space="preserve">del </w:t>
      </w:r>
      <w:r w:rsidR="00057BF4" w:rsidRPr="00057BF4">
        <w:rPr>
          <w:i/>
        </w:rPr>
        <w:t>Buddha</w:t>
      </w:r>
      <w:r>
        <w:t xml:space="preserve"> y que solo se podía aprender </w:t>
      </w:r>
      <w:r w:rsidR="00550088">
        <w:t xml:space="preserve">de él </w:t>
      </w:r>
      <w:r>
        <w:t xml:space="preserve">después de convertirse en </w:t>
      </w:r>
      <w:proofErr w:type="spellStart"/>
      <w:r w:rsidR="00057BF4" w:rsidRPr="00057BF4">
        <w:rPr>
          <w:i/>
          <w:iCs/>
        </w:rPr>
        <w:t>bhikkhu</w:t>
      </w:r>
      <w:proofErr w:type="spellEnd"/>
      <w:r w:rsidR="00460307">
        <w:rPr>
          <w:i/>
          <w:iCs/>
        </w:rPr>
        <w:t>.</w:t>
      </w:r>
      <w:r>
        <w:t xml:space="preserve"> En consecuencia, </w:t>
      </w:r>
      <w:r w:rsidR="002C4E3E">
        <w:t xml:space="preserve">renunció a la vida </w:t>
      </w:r>
      <w:r w:rsidR="00F40474">
        <w:t xml:space="preserve">laica </w:t>
      </w:r>
      <w:r w:rsidR="002C4E3E">
        <w:t>por una sin hogar,</w:t>
      </w:r>
      <w:r>
        <w:t xml:space="preserve"> como </w:t>
      </w:r>
      <w:proofErr w:type="spellStart"/>
      <w:r w:rsidR="00057BF4" w:rsidRPr="00057BF4">
        <w:rPr>
          <w:i/>
          <w:iCs/>
        </w:rPr>
        <w:t>bhikkhu</w:t>
      </w:r>
      <w:proofErr w:type="spellEnd"/>
      <w:r>
        <w:t xml:space="preserve">, y en un mes aprendió los tres </w:t>
      </w:r>
      <w:proofErr w:type="spellStart"/>
      <w:r w:rsidRPr="00DF6534">
        <w:rPr>
          <w:i/>
          <w:iCs/>
        </w:rPr>
        <w:t>Piṭakas</w:t>
      </w:r>
      <w:proofErr w:type="spellEnd"/>
      <w:r>
        <w:t xml:space="preserve">. Después de recibir la admisión completa, adquirió las cuatro </w:t>
      </w:r>
      <w:r w:rsidR="00803A29">
        <w:t>discriminaciones</w:t>
      </w:r>
      <w:r>
        <w:t xml:space="preserve">. El nombre que </w:t>
      </w:r>
      <w:r w:rsidR="002C4E3E">
        <w:t xml:space="preserve">se </w:t>
      </w:r>
      <w:r>
        <w:t xml:space="preserve">le </w:t>
      </w:r>
      <w:r w:rsidR="00F40474">
        <w:t xml:space="preserve">asignó </w:t>
      </w:r>
      <w:r>
        <w:t xml:space="preserve">fue </w:t>
      </w:r>
      <w:r w:rsidR="00057BF4" w:rsidRPr="00057BF4">
        <w:rPr>
          <w:i/>
        </w:rPr>
        <w:t>Buddha</w:t>
      </w:r>
      <w:r>
        <w:t>ghosa— (Capítulo II).</w:t>
      </w:r>
    </w:p>
    <w:p w14:paraId="4C5D9AE9" w14:textId="3EE18C32" w:rsidR="003E43CD" w:rsidRDefault="00AD748E" w:rsidP="00DF6534">
      <w:pPr>
        <w:pStyle w:val="NormalConSangria"/>
      </w:pPr>
      <w:r>
        <w:t>Un día</w:t>
      </w:r>
      <w:r w:rsidR="00F40474">
        <w:t>,</w:t>
      </w:r>
      <w:r>
        <w:t xml:space="preserve"> surgió </w:t>
      </w:r>
      <w:r w:rsidR="00F40474">
        <w:t>un</w:t>
      </w:r>
      <w:r>
        <w:t xml:space="preserve">a pregunta en su mente: "¿Quién </w:t>
      </w:r>
      <w:r w:rsidR="00F40474">
        <w:t>posee</w:t>
      </w:r>
      <w:r>
        <w:t xml:space="preserve"> más </w:t>
      </w:r>
      <w:r w:rsidR="00F40474">
        <w:t xml:space="preserve">entendimiento </w:t>
      </w:r>
      <w:r w:rsidR="00E459D4">
        <w:t>sobre</w:t>
      </w:r>
      <w:r>
        <w:t xml:space="preserve"> la palabra de </w:t>
      </w:r>
      <w:r w:rsidR="00057BF4" w:rsidRPr="00057BF4">
        <w:rPr>
          <w:i/>
        </w:rPr>
        <w:t>Buddha</w:t>
      </w:r>
      <w:r>
        <w:t>, yo o mi preceptor?" Su preceptor, cuy</w:t>
      </w:r>
      <w:r w:rsidR="004C5F14">
        <w:t>a</w:t>
      </w:r>
      <w:r>
        <w:t xml:space="preserve">s </w:t>
      </w:r>
      <w:r w:rsidR="004C5F14">
        <w:t>corrupciones se encontraban extintas</w:t>
      </w:r>
      <w:r>
        <w:t>, ley</w:t>
      </w:r>
      <w:r w:rsidR="004C5F14">
        <w:t>ó</w:t>
      </w:r>
      <w:r>
        <w:t xml:space="preserve"> el pensamiento en su mente y lo </w:t>
      </w:r>
      <w:r w:rsidR="00DF5310">
        <w:t>reprendió</w:t>
      </w:r>
      <w:r>
        <w:t xml:space="preserve">, diciéndole que le pidiera perdón. El </w:t>
      </w:r>
      <w:r w:rsidR="00E459D4">
        <w:t>discípulo</w:t>
      </w:r>
      <w:r>
        <w:t xml:space="preserve"> </w:t>
      </w:r>
      <w:r w:rsidR="00E459D4">
        <w:t xml:space="preserve">tuvo </w:t>
      </w:r>
      <w:r w:rsidR="000D3C4E">
        <w:t>entonces</w:t>
      </w:r>
      <w:r w:rsidR="003C4400">
        <w:t xml:space="preserve"> mucho</w:t>
      </w:r>
      <w:r>
        <w:t xml:space="preserve"> miedo</w:t>
      </w:r>
      <w:r w:rsidR="006D3F9B">
        <w:t xml:space="preserve"> </w:t>
      </w:r>
      <w:r>
        <w:t>y después de pedir</w:t>
      </w:r>
      <w:r w:rsidR="006D3F9B">
        <w:t>le</w:t>
      </w:r>
      <w:r>
        <w:t xml:space="preserve"> perdón, le </w:t>
      </w:r>
      <w:r w:rsidR="00154E6E">
        <w:t>dijeron</w:t>
      </w:r>
      <w:r>
        <w:t xml:space="preserve"> que</w:t>
      </w:r>
      <w:r w:rsidR="00154E6E">
        <w:t>,</w:t>
      </w:r>
      <w:r>
        <w:t xml:space="preserve"> para hacer las paces</w:t>
      </w:r>
      <w:r w:rsidR="00154E6E">
        <w:t>,</w:t>
      </w:r>
      <w:r>
        <w:t xml:space="preserve"> </w:t>
      </w:r>
      <w:r w:rsidR="006D3F9B">
        <w:t xml:space="preserve">vaya </w:t>
      </w:r>
      <w:r>
        <w:t>a Sri Lanka y tradu</w:t>
      </w:r>
      <w:r w:rsidR="006D3F9B">
        <w:t>zca</w:t>
      </w:r>
      <w:r>
        <w:t xml:space="preserve"> la</w:t>
      </w:r>
      <w:r w:rsidR="006D3F9B">
        <w:t>s</w:t>
      </w:r>
      <w:r>
        <w:t xml:space="preserve"> palabra</w:t>
      </w:r>
      <w:r w:rsidR="006D3F9B">
        <w:t>s</w:t>
      </w:r>
      <w:r>
        <w:t xml:space="preserve"> de</w:t>
      </w:r>
      <w:r w:rsidR="003C4400">
        <w:t>l</w:t>
      </w:r>
      <w:r>
        <w:t xml:space="preserve"> </w:t>
      </w:r>
      <w:r w:rsidR="00057BF4" w:rsidRPr="00057BF4">
        <w:rPr>
          <w:i/>
        </w:rPr>
        <w:t>Buddha</w:t>
      </w:r>
      <w:r>
        <w:t xml:space="preserve"> (</w:t>
      </w:r>
      <w:r w:rsidRPr="003C4400">
        <w:rPr>
          <w:i/>
          <w:iCs/>
        </w:rPr>
        <w:t>sic</w:t>
      </w:r>
      <w:r>
        <w:t xml:space="preserve">) del </w:t>
      </w:r>
      <w:r w:rsidR="00154E6E">
        <w:t xml:space="preserve">Cingalés </w:t>
      </w:r>
      <w:r>
        <w:t xml:space="preserve">al </w:t>
      </w:r>
      <w:proofErr w:type="spellStart"/>
      <w:r w:rsidRPr="00DF6534">
        <w:rPr>
          <w:i/>
          <w:iCs/>
        </w:rPr>
        <w:t>Magadhan</w:t>
      </w:r>
      <w:proofErr w:type="spellEnd"/>
      <w:r>
        <w:t xml:space="preserve">. </w:t>
      </w:r>
      <w:r w:rsidR="00154E6E">
        <w:t>Él e</w:t>
      </w:r>
      <w:r>
        <w:t xml:space="preserve">stuvo de acuerdo, pero pidió que se le permitiera convertir a su padre de la religión </w:t>
      </w:r>
      <w:r w:rsidRPr="003C4400">
        <w:rPr>
          <w:i/>
          <w:iCs/>
        </w:rPr>
        <w:t>Brahman</w:t>
      </w:r>
      <w:r>
        <w:t xml:space="preserve"> a la</w:t>
      </w:r>
      <w:r w:rsidR="00154E6E">
        <w:t>s</w:t>
      </w:r>
      <w:r>
        <w:t xml:space="preserve"> enseñanza</w:t>
      </w:r>
      <w:r w:rsidR="00154E6E">
        <w:t>s</w:t>
      </w:r>
      <w:r>
        <w:t xml:space="preserve"> del </w:t>
      </w:r>
      <w:r w:rsidR="00057BF4" w:rsidRPr="00057BF4">
        <w:rPr>
          <w:i/>
        </w:rPr>
        <w:t>Buddha</w:t>
      </w:r>
      <w:r>
        <w:t>. Para lograr esto, tenía un apartamento de ladrillo</w:t>
      </w:r>
      <w:r w:rsidR="00154E6E">
        <w:t>s</w:t>
      </w:r>
      <w:r>
        <w:t xml:space="preserve"> equipado con cerraduras </w:t>
      </w:r>
      <w:r w:rsidR="004D68AC">
        <w:t xml:space="preserve">con suministros de </w:t>
      </w:r>
      <w:r>
        <w:t xml:space="preserve">comida y agua. </w:t>
      </w:r>
      <w:r w:rsidR="004D68AC">
        <w:t>Inventó algo</w:t>
      </w:r>
      <w:r>
        <w:t xml:space="preserve"> para que</w:t>
      </w:r>
      <w:r w:rsidR="00154E6E">
        <w:t>,</w:t>
      </w:r>
      <w:r>
        <w:t xml:space="preserve"> </w:t>
      </w:r>
      <w:r w:rsidR="00BF09E7">
        <w:t xml:space="preserve">cuando </w:t>
      </w:r>
      <w:r>
        <w:t>su padre entr</w:t>
      </w:r>
      <w:r w:rsidR="00022677">
        <w:t>ase</w:t>
      </w:r>
      <w:r>
        <w:t xml:space="preserve">, </w:t>
      </w:r>
      <w:r w:rsidR="00BF09E7">
        <w:t xml:space="preserve">quede </w:t>
      </w:r>
      <w:r>
        <w:t>atrapado</w:t>
      </w:r>
      <w:r w:rsidR="00154E6E">
        <w:t xml:space="preserve"> en él</w:t>
      </w:r>
      <w:r>
        <w:t xml:space="preserve">. Luego </w:t>
      </w:r>
      <w:r w:rsidR="00BF09E7">
        <w:t xml:space="preserve">le </w:t>
      </w:r>
      <w:r>
        <w:t xml:space="preserve">predicó a su padre las virtudes </w:t>
      </w:r>
      <w:r w:rsidR="00BF09E7">
        <w:t xml:space="preserve">sobre </w:t>
      </w:r>
      <w:r>
        <w:t xml:space="preserve">el </w:t>
      </w:r>
      <w:r w:rsidR="00057BF4" w:rsidRPr="00057BF4">
        <w:rPr>
          <w:i/>
        </w:rPr>
        <w:t>Buddha</w:t>
      </w:r>
      <w:r>
        <w:t xml:space="preserve"> y </w:t>
      </w:r>
      <w:r w:rsidR="00BF09E7">
        <w:t>sobre</w:t>
      </w:r>
      <w:r>
        <w:t xml:space="preserve"> el dolor del infierno resultante de</w:t>
      </w:r>
      <w:r w:rsidR="00154E6E">
        <w:t xml:space="preserve"> </w:t>
      </w:r>
      <w:r>
        <w:t>l</w:t>
      </w:r>
      <w:r w:rsidR="00154E6E">
        <w:t>as</w:t>
      </w:r>
      <w:r>
        <w:t xml:space="preserve"> </w:t>
      </w:r>
      <w:r w:rsidR="00A4692F">
        <w:t>creencias incorrectas</w:t>
      </w:r>
      <w:r>
        <w:t xml:space="preserve">. Después de tres días, su padre se convirtió </w:t>
      </w:r>
      <w:r w:rsidR="006A4B59">
        <w:t xml:space="preserve">al </w:t>
      </w:r>
      <w:r w:rsidR="006A4B59" w:rsidRPr="006A4B59">
        <w:rPr>
          <w:i/>
          <w:iCs/>
        </w:rPr>
        <w:t>Dhamma</w:t>
      </w:r>
      <w:r w:rsidR="006A4B59">
        <w:t xml:space="preserve"> </w:t>
      </w:r>
      <w:r>
        <w:t xml:space="preserve">y </w:t>
      </w:r>
      <w:r w:rsidR="00A4692F">
        <w:t>adoptó</w:t>
      </w:r>
      <w:r>
        <w:t xml:space="preserve"> los tres refugios. El </w:t>
      </w:r>
      <w:r w:rsidR="006A4B59">
        <w:t xml:space="preserve">hijo luego abrió la puerta e hizo las paces con su padre con flores </w:t>
      </w:r>
      <w:r w:rsidR="003E43CD">
        <w:br w:type="page"/>
      </w:r>
    </w:p>
    <w:p w14:paraId="460D2D51" w14:textId="4E4EBDB4" w:rsidR="00177171" w:rsidRDefault="00177171" w:rsidP="00DF6534">
      <w:r>
        <w:lastRenderedPageBreak/>
        <w:t xml:space="preserve">y cosas </w:t>
      </w:r>
      <w:r w:rsidR="006A4B59">
        <w:t xml:space="preserve">semejantes, </w:t>
      </w:r>
      <w:r>
        <w:t>p</w:t>
      </w:r>
      <w:r w:rsidR="00842570">
        <w:t>or</w:t>
      </w:r>
      <w:r>
        <w:t xml:space="preserve"> la </w:t>
      </w:r>
      <w:r w:rsidR="00A4692F">
        <w:t xml:space="preserve">ofensa </w:t>
      </w:r>
      <w:r w:rsidR="00842570">
        <w:t xml:space="preserve">que </w:t>
      </w:r>
      <w:r>
        <w:t xml:space="preserve">le </w:t>
      </w:r>
      <w:r w:rsidR="00022677">
        <w:t>hubiese resultado</w:t>
      </w:r>
      <w:r>
        <w:t xml:space="preserve">. </w:t>
      </w:r>
      <w:proofErr w:type="spellStart"/>
      <w:r>
        <w:t>Kesi</w:t>
      </w:r>
      <w:proofErr w:type="spellEnd"/>
      <w:r>
        <w:t xml:space="preserve"> se convirtió en un entrante </w:t>
      </w:r>
      <w:r w:rsidR="00842570">
        <w:t>a</w:t>
      </w:r>
      <w:r>
        <w:t xml:space="preserve"> la corriente (Capítulo III).</w:t>
      </w:r>
    </w:p>
    <w:p w14:paraId="0290578B" w14:textId="5321B975" w:rsidR="00177171" w:rsidRDefault="00177171" w:rsidP="00177171">
      <w:pPr>
        <w:pStyle w:val="NormalConSangria"/>
      </w:pPr>
      <w:r>
        <w:t xml:space="preserve">Hecho esto, zarpó en un barco </w:t>
      </w:r>
      <w:r w:rsidR="00842570">
        <w:t>hacia</w:t>
      </w:r>
      <w:r>
        <w:t xml:space="preserve"> Sri Lanka. El </w:t>
      </w:r>
      <w:proofErr w:type="spellStart"/>
      <w:r>
        <w:t>Mahāthera</w:t>
      </w:r>
      <w:proofErr w:type="spellEnd"/>
      <w:r>
        <w:t xml:space="preserve"> </w:t>
      </w:r>
      <w:r w:rsidR="00057BF4" w:rsidRPr="0086533B">
        <w:rPr>
          <w:iCs/>
        </w:rPr>
        <w:t>Buddha</w:t>
      </w:r>
      <w:r w:rsidRPr="0086533B">
        <w:rPr>
          <w:iCs/>
        </w:rPr>
        <w:t>datta</w:t>
      </w:r>
      <w:r w:rsidRPr="0086533B">
        <w:rPr>
          <w:iCs/>
          <w:vertAlign w:val="superscript"/>
        </w:rPr>
        <w:t>14</w:t>
      </w:r>
      <w:r>
        <w:t xml:space="preserve"> hab</w:t>
      </w:r>
      <w:r w:rsidR="00022677">
        <w:t>r</w:t>
      </w:r>
      <w:r>
        <w:t xml:space="preserve">ía zarpado ese día </w:t>
      </w:r>
      <w:r w:rsidR="00127499">
        <w:t xml:space="preserve">y en sentido contrario </w:t>
      </w:r>
      <w:r>
        <w:t xml:space="preserve">desde Sri Lanka </w:t>
      </w:r>
      <w:r w:rsidR="0086533B">
        <w:t>hacia</w:t>
      </w:r>
      <w:r>
        <w:t xml:space="preserve"> la India. Los dos barcos </w:t>
      </w:r>
      <w:r w:rsidR="0086533B">
        <w:t>se encontraron</w:t>
      </w:r>
      <w:r>
        <w:t xml:space="preserve"> por la intervención del gobernante de los dioses</w:t>
      </w:r>
      <w:r w:rsidR="00127499">
        <w:t>,</w:t>
      </w:r>
      <w:r>
        <w:t xml:space="preserve"> </w:t>
      </w:r>
      <w:r w:rsidRPr="0086533B">
        <w:rPr>
          <w:i/>
          <w:iCs/>
        </w:rPr>
        <w:t>Sakka</w:t>
      </w:r>
      <w:r>
        <w:t xml:space="preserve">. Cuando los dos </w:t>
      </w:r>
      <w:r w:rsidR="00A8528C">
        <w:t xml:space="preserve">Venerables se </w:t>
      </w:r>
      <w:r>
        <w:t xml:space="preserve">vieron </w:t>
      </w:r>
      <w:r w:rsidR="00A8528C">
        <w:t>mutuamente</w:t>
      </w:r>
      <w:r>
        <w:t xml:space="preserve">, el </w:t>
      </w:r>
      <w:r w:rsidR="00A8528C">
        <w:t>Venerable</w:t>
      </w:r>
      <w:r w:rsidR="00A8528C" w:rsidRPr="00057BF4">
        <w:rPr>
          <w:i/>
        </w:rPr>
        <w:t xml:space="preserve"> </w:t>
      </w:r>
      <w:r w:rsidR="00057BF4" w:rsidRPr="00A8528C">
        <w:rPr>
          <w:iCs/>
        </w:rPr>
        <w:t>Buddha</w:t>
      </w:r>
      <w:r w:rsidRPr="00A8528C">
        <w:rPr>
          <w:iCs/>
        </w:rPr>
        <w:t>ghosa</w:t>
      </w:r>
      <w:r>
        <w:t xml:space="preserve"> le dijo al otro: "La </w:t>
      </w:r>
      <w:r w:rsidR="00155F87">
        <w:t xml:space="preserve">Dispensación </w:t>
      </w:r>
      <w:r>
        <w:t xml:space="preserve">del </w:t>
      </w:r>
      <w:r w:rsidR="00057BF4" w:rsidRPr="00057BF4">
        <w:rPr>
          <w:i/>
        </w:rPr>
        <w:t>Buddha</w:t>
      </w:r>
      <w:r>
        <w:t xml:space="preserve"> se ha </w:t>
      </w:r>
      <w:r w:rsidR="00A8528C">
        <w:t>establecido</w:t>
      </w:r>
      <w:r>
        <w:t xml:space="preserve"> en </w:t>
      </w:r>
      <w:r w:rsidR="004933A0">
        <w:t>Cingalés</w:t>
      </w:r>
      <w:r>
        <w:t xml:space="preserve">; </w:t>
      </w:r>
      <w:r w:rsidR="00127499">
        <w:t>i</w:t>
      </w:r>
      <w:r>
        <w:t xml:space="preserve">ré </w:t>
      </w:r>
      <w:r w:rsidR="004933A0">
        <w:t>a Sri Lanka,</w:t>
      </w:r>
      <w:r>
        <w:t xml:space="preserve"> lo traduciré y lo </w:t>
      </w:r>
      <w:r w:rsidR="0028292A">
        <w:t>transcribiré</w:t>
      </w:r>
      <w:r>
        <w:t xml:space="preserve"> a</w:t>
      </w:r>
      <w:r w:rsidR="0028292A">
        <w:t>l</w:t>
      </w:r>
      <w:r>
        <w:t xml:space="preserve"> </w:t>
      </w:r>
      <w:proofErr w:type="spellStart"/>
      <w:r w:rsidRPr="0028292A">
        <w:rPr>
          <w:i/>
          <w:iCs/>
        </w:rPr>
        <w:t>Magadhan</w:t>
      </w:r>
      <w:proofErr w:type="spellEnd"/>
      <w:r>
        <w:t xml:space="preserve"> ". El otro dijo: “</w:t>
      </w:r>
      <w:r w:rsidR="004933A0">
        <w:t xml:space="preserve">He sido enviado para </w:t>
      </w:r>
      <w:r>
        <w:t>traducir la palabra de</w:t>
      </w:r>
      <w:r w:rsidR="0028292A">
        <w:t>l</w:t>
      </w:r>
      <w:r>
        <w:t xml:space="preserve"> </w:t>
      </w:r>
      <w:r w:rsidR="00057BF4" w:rsidRPr="00057BF4">
        <w:rPr>
          <w:i/>
        </w:rPr>
        <w:t>Buddha</w:t>
      </w:r>
      <w:r>
        <w:t xml:space="preserve"> y escribirla </w:t>
      </w:r>
      <w:r w:rsidR="00B4205B">
        <w:t>al</w:t>
      </w:r>
      <w:r>
        <w:t xml:space="preserve"> </w:t>
      </w:r>
      <w:proofErr w:type="spellStart"/>
      <w:r w:rsidRPr="004933A0">
        <w:rPr>
          <w:i/>
          <w:iCs/>
        </w:rPr>
        <w:t>Magadhan</w:t>
      </w:r>
      <w:proofErr w:type="spellEnd"/>
      <w:r>
        <w:t xml:space="preserve">. Solo tengo el </w:t>
      </w:r>
      <w:proofErr w:type="spellStart"/>
      <w:r w:rsidR="00DF6534" w:rsidRPr="00DF6534">
        <w:rPr>
          <w:i/>
          <w:iCs/>
        </w:rPr>
        <w:t>Jinālaṅkāra</w:t>
      </w:r>
      <w:proofErr w:type="spellEnd"/>
      <w:r>
        <w:t xml:space="preserve">, el </w:t>
      </w:r>
      <w:proofErr w:type="spellStart"/>
      <w:r w:rsidR="00DF6534" w:rsidRPr="00DF6534">
        <w:rPr>
          <w:i/>
          <w:iCs/>
        </w:rPr>
        <w:t>Dantavaṃsa</w:t>
      </w:r>
      <w:proofErr w:type="spellEnd"/>
      <w:r>
        <w:t xml:space="preserve">, el </w:t>
      </w:r>
      <w:proofErr w:type="spellStart"/>
      <w:r w:rsidR="00DF6534" w:rsidRPr="00DF6534">
        <w:rPr>
          <w:i/>
          <w:iCs/>
        </w:rPr>
        <w:t>Dhātuvaṃsa</w:t>
      </w:r>
      <w:proofErr w:type="spellEnd"/>
      <w:r w:rsidR="00DF6534">
        <w:t xml:space="preserve"> </w:t>
      </w:r>
      <w:r>
        <w:t xml:space="preserve">y el </w:t>
      </w:r>
      <w:proofErr w:type="spellStart"/>
      <w:r w:rsidR="00DF6534" w:rsidRPr="00DF6534">
        <w:rPr>
          <w:i/>
          <w:iCs/>
        </w:rPr>
        <w:t>Bodhivaṃsa</w:t>
      </w:r>
      <w:proofErr w:type="spellEnd"/>
      <w:r>
        <w:t xml:space="preserve">, no los comentarios </w:t>
      </w:r>
      <w:r w:rsidR="004933A0">
        <w:t>ni</w:t>
      </w:r>
      <w:r>
        <w:t xml:space="preserve"> los </w:t>
      </w:r>
      <w:r w:rsidR="00B4205B">
        <w:t>sub-comentarios</w:t>
      </w:r>
      <w:r>
        <w:t xml:space="preserve"> (</w:t>
      </w:r>
      <w:proofErr w:type="spellStart"/>
      <w:r w:rsidR="00DF6534" w:rsidRPr="00DF6534">
        <w:rPr>
          <w:i/>
        </w:rPr>
        <w:t>Ṭīkā</w:t>
      </w:r>
      <w:proofErr w:type="spellEnd"/>
      <w:r>
        <w:t xml:space="preserve">). Si usted, </w:t>
      </w:r>
      <w:r w:rsidR="00B4205B">
        <w:t>Señor</w:t>
      </w:r>
      <w:r>
        <w:t xml:space="preserve">, </w:t>
      </w:r>
      <w:r w:rsidR="00B4205B">
        <w:t xml:space="preserve">va a traducir </w:t>
      </w:r>
      <w:r>
        <w:t>la dispensación de</w:t>
      </w:r>
      <w:r w:rsidR="004933A0">
        <w:t>l</w:t>
      </w:r>
      <w:r>
        <w:t xml:space="preserve"> </w:t>
      </w:r>
      <w:r w:rsidR="004933A0">
        <w:t xml:space="preserve">Cingalés </w:t>
      </w:r>
      <w:r>
        <w:t>a</w:t>
      </w:r>
      <w:r w:rsidR="004933A0">
        <w:t>l</w:t>
      </w:r>
      <w:r>
        <w:t xml:space="preserve"> </w:t>
      </w:r>
      <w:proofErr w:type="spellStart"/>
      <w:r w:rsidRPr="004933A0">
        <w:rPr>
          <w:i/>
          <w:iCs/>
        </w:rPr>
        <w:t>Magadhan</w:t>
      </w:r>
      <w:proofErr w:type="spellEnd"/>
      <w:r>
        <w:t xml:space="preserve">, haga los comentarios </w:t>
      </w:r>
      <w:r w:rsidR="004933A0">
        <w:t>de</w:t>
      </w:r>
      <w:r>
        <w:t xml:space="preserve"> los tres </w:t>
      </w:r>
      <w:proofErr w:type="spellStart"/>
      <w:r w:rsidR="004933A0" w:rsidRPr="004933A0">
        <w:rPr>
          <w:i/>
          <w:iCs/>
        </w:rPr>
        <w:t>Piṭakas</w:t>
      </w:r>
      <w:proofErr w:type="spellEnd"/>
      <w:r>
        <w:t>". Luego</w:t>
      </w:r>
      <w:r w:rsidR="00083857">
        <w:t>,</w:t>
      </w:r>
      <w:r>
        <w:t xml:space="preserve"> alabando al </w:t>
      </w:r>
      <w:r w:rsidR="004933A0">
        <w:t>Venerable</w:t>
      </w:r>
      <w:r w:rsidR="004933A0" w:rsidRPr="00057BF4">
        <w:rPr>
          <w:i/>
        </w:rPr>
        <w:t xml:space="preserve"> </w:t>
      </w:r>
      <w:proofErr w:type="spellStart"/>
      <w:r w:rsidR="00057BF4" w:rsidRPr="004933A0">
        <w:rPr>
          <w:iCs/>
        </w:rPr>
        <w:t>Buddha</w:t>
      </w:r>
      <w:r w:rsidRPr="004933A0">
        <w:rPr>
          <w:iCs/>
        </w:rPr>
        <w:t>gosa</w:t>
      </w:r>
      <w:proofErr w:type="spellEnd"/>
      <w:r>
        <w:t xml:space="preserve">, le dio </w:t>
      </w:r>
      <w:r w:rsidR="007E2364">
        <w:t>una</w:t>
      </w:r>
      <w:r w:rsidR="00083857">
        <w:t>s</w:t>
      </w:r>
      <w:r>
        <w:t xml:space="preserve"> nueces de </w:t>
      </w:r>
      <w:r w:rsidR="007E2364">
        <w:t>roble</w:t>
      </w:r>
      <w:r>
        <w:t xml:space="preserve">, </w:t>
      </w:r>
      <w:r w:rsidR="007E2364">
        <w:t>un</w:t>
      </w:r>
      <w:r w:rsidR="00083857">
        <w:t>a</w:t>
      </w:r>
      <w:r>
        <w:t xml:space="preserve"> </w:t>
      </w:r>
      <w:r w:rsidR="002501A8">
        <w:t>pluma</w:t>
      </w:r>
      <w:r>
        <w:t xml:space="preserve"> de hierro y la piedra que le dio el gobernante de los dioses</w:t>
      </w:r>
      <w:r w:rsidR="00083857">
        <w:t>,</w:t>
      </w:r>
      <w:r>
        <w:t xml:space="preserve"> </w:t>
      </w:r>
      <w:r w:rsidRPr="004933A0">
        <w:rPr>
          <w:i/>
          <w:iCs/>
        </w:rPr>
        <w:t>Sakka</w:t>
      </w:r>
      <w:r w:rsidR="00083857">
        <w:rPr>
          <w:i/>
          <w:iCs/>
        </w:rPr>
        <w:t>,</w:t>
      </w:r>
      <w:r>
        <w:t xml:space="preserve"> y agregó: “Si tiene problemas o dolor de espalda, frot</w:t>
      </w:r>
      <w:r w:rsidR="004933A0">
        <w:t>e</w:t>
      </w:r>
      <w:r>
        <w:t xml:space="preserve"> la</w:t>
      </w:r>
      <w:r w:rsidR="00083857">
        <w:t>s</w:t>
      </w:r>
      <w:r>
        <w:t xml:space="preserve"> nueces en la piedra y humede</w:t>
      </w:r>
      <w:r w:rsidR="004933A0">
        <w:t>zca</w:t>
      </w:r>
      <w:r>
        <w:t xml:space="preserve"> el </w:t>
      </w:r>
      <w:r w:rsidR="004933A0">
        <w:t>l</w:t>
      </w:r>
      <w:r>
        <w:t xml:space="preserve">ugar que </w:t>
      </w:r>
      <w:r w:rsidR="004933A0">
        <w:t xml:space="preserve">le </w:t>
      </w:r>
      <w:r>
        <w:t>duel</w:t>
      </w:r>
      <w:r w:rsidR="004933A0">
        <w:t>a</w:t>
      </w:r>
      <w:r>
        <w:t>; Entonces</w:t>
      </w:r>
      <w:r w:rsidR="00083857">
        <w:t>,</w:t>
      </w:r>
      <w:r>
        <w:t xml:space="preserve"> </w:t>
      </w:r>
      <w:r w:rsidR="002501A8">
        <w:t>s</w:t>
      </w:r>
      <w:r>
        <w:t xml:space="preserve">u dolencia </w:t>
      </w:r>
      <w:r w:rsidR="002501A8">
        <w:t>se desvanecerá</w:t>
      </w:r>
      <w:r>
        <w:t>". Luego</w:t>
      </w:r>
      <w:r w:rsidR="00083857">
        <w:t>,</w:t>
      </w:r>
      <w:r>
        <w:t xml:space="preserve"> recitó una estrofa de</w:t>
      </w:r>
      <w:r w:rsidR="002501A8">
        <w:t>l</w:t>
      </w:r>
      <w:r>
        <w:t xml:space="preserve"> </w:t>
      </w:r>
      <w:proofErr w:type="spellStart"/>
      <w:r w:rsidR="00DF6534" w:rsidRPr="00DF6534">
        <w:rPr>
          <w:i/>
          <w:iCs/>
        </w:rPr>
        <w:t>Jinālaṅkāra</w:t>
      </w:r>
      <w:proofErr w:type="spellEnd"/>
      <w:r w:rsidR="002501A8">
        <w:rPr>
          <w:i/>
          <w:iCs/>
        </w:rPr>
        <w:t xml:space="preserve"> </w:t>
      </w:r>
      <w:r w:rsidR="0058511B">
        <w:t>que tenía</w:t>
      </w:r>
      <w:r w:rsidR="00083857">
        <w:t xml:space="preserve"> en mano</w:t>
      </w:r>
      <w:r>
        <w:t xml:space="preserve">. El otro dijo: “Venerable </w:t>
      </w:r>
      <w:r w:rsidR="00083857">
        <w:t>Señor</w:t>
      </w:r>
      <w:r>
        <w:t xml:space="preserve">, su libro está escrito en un estilo muy ornamentado. </w:t>
      </w:r>
      <w:r w:rsidR="0058511B">
        <w:t xml:space="preserve">Futuros hombres de clan </w:t>
      </w:r>
      <w:r>
        <w:t xml:space="preserve">no </w:t>
      </w:r>
      <w:r w:rsidR="0058511B">
        <w:t xml:space="preserve">podrán </w:t>
      </w:r>
      <w:r>
        <w:t xml:space="preserve">seguirlo. </w:t>
      </w:r>
      <w:r w:rsidR="0058511B">
        <w:t xml:space="preserve">Será </w:t>
      </w:r>
      <w:r>
        <w:t xml:space="preserve">difícil para las personas simples entenderlo". </w:t>
      </w:r>
      <w:r w:rsidR="00DE74E7">
        <w:t>"</w:t>
      </w:r>
      <w:r>
        <w:t xml:space="preserve">Amigo </w:t>
      </w:r>
      <w:r w:rsidR="00057BF4" w:rsidRPr="00022677">
        <w:rPr>
          <w:iCs/>
        </w:rPr>
        <w:t>Buddha</w:t>
      </w:r>
      <w:r w:rsidRPr="00022677">
        <w:rPr>
          <w:iCs/>
        </w:rPr>
        <w:t>ghosa</w:t>
      </w:r>
      <w:r>
        <w:t xml:space="preserve">, fui a Sri Lanka antes que </w:t>
      </w:r>
      <w:r w:rsidR="00083857">
        <w:t>su</w:t>
      </w:r>
      <w:r w:rsidR="00DE74E7">
        <w:t xml:space="preserve"> Venerable</w:t>
      </w:r>
      <w:r>
        <w:t xml:space="preserve"> para trabajar en la dispensación</w:t>
      </w:r>
      <w:r w:rsidR="00DE74E7">
        <w:t xml:space="preserve"> del </w:t>
      </w:r>
      <w:r w:rsidR="00A70116" w:rsidRPr="00A70116">
        <w:rPr>
          <w:i/>
          <w:iCs/>
        </w:rPr>
        <w:t>Bhagavā</w:t>
      </w:r>
      <w:r>
        <w:t xml:space="preserve">. Pero </w:t>
      </w:r>
      <w:r w:rsidR="00A70116">
        <w:t>me queda</w:t>
      </w:r>
      <w:r>
        <w:t xml:space="preserve"> poco tiempo y no viviré mucho. Entonces</w:t>
      </w:r>
      <w:r w:rsidR="00083857">
        <w:t>,</w:t>
      </w:r>
      <w:r>
        <w:t xml:space="preserve"> no </w:t>
      </w:r>
      <w:r w:rsidR="00A70116">
        <w:t xml:space="preserve">podré </w:t>
      </w:r>
      <w:r>
        <w:t>hacerlo. H</w:t>
      </w:r>
      <w:r w:rsidR="00A70116">
        <w:t>ága</w:t>
      </w:r>
      <w:r>
        <w:t xml:space="preserve">lo, por lo tanto, </w:t>
      </w:r>
      <w:r w:rsidR="00A70116">
        <w:t>usted</w:t>
      </w:r>
      <w:r>
        <w:t xml:space="preserve"> mismo y h</w:t>
      </w:r>
      <w:r w:rsidR="00A70116">
        <w:t>ága</w:t>
      </w:r>
      <w:r>
        <w:t xml:space="preserve">lo </w:t>
      </w:r>
      <w:r w:rsidR="00DF7F75">
        <w:t>correctamente</w:t>
      </w:r>
      <w:r>
        <w:t>". Luego</w:t>
      </w:r>
      <w:r w:rsidR="00DF7F75">
        <w:t>,</w:t>
      </w:r>
      <w:r>
        <w:t xml:space="preserve"> los dos barcos se separaron. Poco después de completar sus viajes, el </w:t>
      </w:r>
      <w:r w:rsidR="00A70116">
        <w:t xml:space="preserve">Venerable </w:t>
      </w:r>
      <w:proofErr w:type="spellStart"/>
      <w:r w:rsidR="00057BF4" w:rsidRPr="00A70116">
        <w:rPr>
          <w:iCs/>
        </w:rPr>
        <w:t>Buddha</w:t>
      </w:r>
      <w:r w:rsidRPr="00A70116">
        <w:rPr>
          <w:iCs/>
        </w:rPr>
        <w:t>datta</w:t>
      </w:r>
      <w:proofErr w:type="spellEnd"/>
      <w:r>
        <w:t xml:space="preserve"> murió y renació en el cielo </w:t>
      </w:r>
      <w:proofErr w:type="spellStart"/>
      <w:r w:rsidRPr="00DF6534">
        <w:rPr>
          <w:i/>
          <w:iCs/>
        </w:rPr>
        <w:t>Tusita</w:t>
      </w:r>
      <w:proofErr w:type="spellEnd"/>
      <w:r>
        <w:t>— (Capítulo IV).</w:t>
      </w:r>
    </w:p>
    <w:p w14:paraId="767B1E2C" w14:textId="0AA3C533" w:rsidR="00177171" w:rsidRDefault="00177171" w:rsidP="00177171">
      <w:pPr>
        <w:pStyle w:val="NormalConSangria"/>
      </w:pPr>
      <w:r>
        <w:t xml:space="preserve">El </w:t>
      </w:r>
      <w:r w:rsidR="00A70116">
        <w:t>Venerable</w:t>
      </w:r>
      <w:r w:rsidR="00F92ACD">
        <w:t xml:space="preserve"> </w:t>
      </w:r>
      <w:r w:rsidR="00057BF4" w:rsidRPr="00022677">
        <w:rPr>
          <w:iCs/>
        </w:rPr>
        <w:t>Buddha</w:t>
      </w:r>
      <w:r w:rsidRPr="00022677">
        <w:rPr>
          <w:iCs/>
        </w:rPr>
        <w:t>ghosa</w:t>
      </w:r>
      <w:r>
        <w:t xml:space="preserve"> </w:t>
      </w:r>
      <w:r w:rsidR="00F92ACD">
        <w:t>residió</w:t>
      </w:r>
      <w:r>
        <w:t xml:space="preserve"> cerca del puerto </w:t>
      </w:r>
      <w:proofErr w:type="spellStart"/>
      <w:r>
        <w:t>Dvijaṭhāna</w:t>
      </w:r>
      <w:proofErr w:type="spellEnd"/>
      <w:r w:rsidR="00F92ACD">
        <w:t>,</w:t>
      </w:r>
      <w:r>
        <w:t xml:space="preserve"> en Sri Lanka. Mientras est</w:t>
      </w:r>
      <w:r w:rsidR="00DF7F75">
        <w:t>uvo</w:t>
      </w:r>
      <w:r>
        <w:t xml:space="preserve"> allí, vio a una mujer portadora de agua romper el frasco de otr</w:t>
      </w:r>
      <w:r w:rsidR="00DF7F75">
        <w:t>a</w:t>
      </w:r>
      <w:r>
        <w:t>, lo que condujo a una pelea violenta entre ell</w:t>
      </w:r>
      <w:r w:rsidR="00DF7F75">
        <w:t>a</w:t>
      </w:r>
      <w:r>
        <w:t xml:space="preserve">s con </w:t>
      </w:r>
      <w:r w:rsidR="0096724E">
        <w:t>insultos</w:t>
      </w:r>
      <w:r w:rsidR="00982280">
        <w:t xml:space="preserve"> terribles</w:t>
      </w:r>
      <w:r>
        <w:t xml:space="preserve">. Sabiendo que podría ser llamado como testigo, escribió lo que </w:t>
      </w:r>
      <w:r w:rsidR="00982280">
        <w:t xml:space="preserve">ellas </w:t>
      </w:r>
      <w:r>
        <w:t xml:space="preserve">dijeron en un libro. Cuando el caso llegó ante el </w:t>
      </w:r>
      <w:r w:rsidR="00500FB3">
        <w:t>Rey</w:t>
      </w:r>
      <w:r>
        <w:t xml:space="preserve">, el </w:t>
      </w:r>
      <w:r w:rsidR="0096724E">
        <w:t>Venerable</w:t>
      </w:r>
      <w:r w:rsidR="00500FB3">
        <w:t xml:space="preserve"> </w:t>
      </w:r>
      <w:r>
        <w:t xml:space="preserve">fue citado como testigo. </w:t>
      </w:r>
      <w:r w:rsidR="0096724E">
        <w:t>Llevó</w:t>
      </w:r>
      <w:r>
        <w:t xml:space="preserve"> su cuaderno, </w:t>
      </w:r>
      <w:r w:rsidR="0096724E">
        <w:t>lo cual</w:t>
      </w:r>
      <w:r>
        <w:t xml:space="preserve"> decidió el caso. </w:t>
      </w:r>
      <w:r w:rsidR="00982280">
        <w:t>Luego, e</w:t>
      </w:r>
      <w:r>
        <w:t xml:space="preserve">l </w:t>
      </w:r>
      <w:r w:rsidR="00982280">
        <w:t xml:space="preserve">Rey </w:t>
      </w:r>
      <w:r>
        <w:t>pidió verlo: (Capítulo V).</w:t>
      </w:r>
    </w:p>
    <w:p w14:paraId="6C418468" w14:textId="4443F116" w:rsidR="00177171" w:rsidRDefault="00177171" w:rsidP="00177171">
      <w:pPr>
        <w:pStyle w:val="NormalConSangria"/>
      </w:pPr>
      <w:r>
        <w:t xml:space="preserve">Después de esto, el </w:t>
      </w:r>
      <w:r w:rsidR="0096724E">
        <w:t xml:space="preserve">Venerable </w:t>
      </w:r>
      <w:r>
        <w:t xml:space="preserve">fue a rendir </w:t>
      </w:r>
      <w:r w:rsidR="0096724E">
        <w:t>reverencia</w:t>
      </w:r>
      <w:r>
        <w:t xml:space="preserve"> al </w:t>
      </w:r>
      <w:r w:rsidR="00057BF4" w:rsidRPr="00057BF4">
        <w:rPr>
          <w:i/>
          <w:iCs/>
        </w:rPr>
        <w:t>Saṅgha</w:t>
      </w:r>
      <w:r w:rsidRPr="00DF6534">
        <w:rPr>
          <w:i/>
          <w:iCs/>
        </w:rPr>
        <w:t>r</w:t>
      </w:r>
      <w:r w:rsidR="00DF6534" w:rsidRPr="00DF6534">
        <w:rPr>
          <w:i/>
          <w:iCs/>
        </w:rPr>
        <w:t>ā</w:t>
      </w:r>
      <w:r w:rsidRPr="00DF6534">
        <w:rPr>
          <w:i/>
          <w:iCs/>
        </w:rPr>
        <w:t>ja</w:t>
      </w:r>
      <w:r>
        <w:t>,</w:t>
      </w:r>
      <w:r w:rsidRPr="00DF6534">
        <w:rPr>
          <w:vertAlign w:val="superscript"/>
        </w:rPr>
        <w:t>15</w:t>
      </w:r>
      <w:r>
        <w:t xml:space="preserve"> </w:t>
      </w:r>
      <w:r w:rsidR="00500FB3">
        <w:t>a</w:t>
      </w:r>
      <w:r>
        <w:t xml:space="preserve">l </w:t>
      </w:r>
      <w:r w:rsidR="0096724E">
        <w:t>Venerable</w:t>
      </w:r>
      <w:r w:rsidR="00BC68D1">
        <w:t xml:space="preserve"> </w:t>
      </w:r>
      <w:r>
        <w:t xml:space="preserve">principal de Sri Lanka. Un día, mientras el </w:t>
      </w:r>
      <w:r w:rsidR="0096724E">
        <w:t>Venerable</w:t>
      </w:r>
      <w:r w:rsidR="00BC68D1">
        <w:t xml:space="preserve"> principal instruía</w:t>
      </w:r>
      <w:r>
        <w:t xml:space="preserve"> a </w:t>
      </w:r>
      <w:r w:rsidR="00BC68D1">
        <w:t xml:space="preserve">los </w:t>
      </w:r>
      <w:proofErr w:type="spellStart"/>
      <w:r w:rsidR="00057BF4" w:rsidRPr="00057BF4">
        <w:rPr>
          <w:i/>
          <w:iCs/>
        </w:rPr>
        <w:t>bhikkhu</w:t>
      </w:r>
      <w:r w:rsidR="00DF5310" w:rsidRPr="00DF6534">
        <w:rPr>
          <w:i/>
          <w:iCs/>
        </w:rPr>
        <w:t>s</w:t>
      </w:r>
      <w:proofErr w:type="spellEnd"/>
      <w:r>
        <w:t>, se encontró con un punto difícil de</w:t>
      </w:r>
      <w:r w:rsidR="00BC68D1">
        <w:t>l</w:t>
      </w:r>
      <w:r>
        <w:t xml:space="preserve"> </w:t>
      </w:r>
      <w:proofErr w:type="spellStart"/>
      <w:r w:rsidR="0096724E" w:rsidRPr="00DF6534">
        <w:rPr>
          <w:i/>
          <w:iCs/>
        </w:rPr>
        <w:t>Abhi</w:t>
      </w:r>
      <w:r w:rsidR="0096724E" w:rsidRPr="00057BF4">
        <w:rPr>
          <w:i/>
          <w:iCs/>
        </w:rPr>
        <w:t>dhamma</w:t>
      </w:r>
      <w:proofErr w:type="spellEnd"/>
      <w:r w:rsidR="0096724E">
        <w:t xml:space="preserve"> </w:t>
      </w:r>
      <w:r>
        <w:t xml:space="preserve">que no podía explicar. El </w:t>
      </w:r>
      <w:r w:rsidR="0096724E">
        <w:t xml:space="preserve">Venerable </w:t>
      </w:r>
      <w:r w:rsidR="00057BF4" w:rsidRPr="0096724E">
        <w:rPr>
          <w:iCs/>
        </w:rPr>
        <w:t>Buddha</w:t>
      </w:r>
      <w:r w:rsidRPr="0096724E">
        <w:rPr>
          <w:iCs/>
        </w:rPr>
        <w:t>ghosa</w:t>
      </w:r>
      <w:r>
        <w:t xml:space="preserve"> sabía su significado y lo escribió en una </w:t>
      </w:r>
      <w:r w:rsidR="00EE5D69">
        <w:t>tablilla</w:t>
      </w:r>
      <w:r>
        <w:t xml:space="preserve"> después de que el </w:t>
      </w:r>
      <w:r w:rsidR="0096724E">
        <w:t xml:space="preserve">Venerable </w:t>
      </w:r>
      <w:r w:rsidR="00BC68D1">
        <w:t xml:space="preserve">principal </w:t>
      </w:r>
      <w:r>
        <w:t xml:space="preserve">se </w:t>
      </w:r>
      <w:r w:rsidR="0096724E">
        <w:t>hubiese marchado</w:t>
      </w:r>
      <w:r>
        <w:t>. Al día siguiente</w:t>
      </w:r>
      <w:r w:rsidR="00F422C2">
        <w:t>,</w:t>
      </w:r>
      <w:r>
        <w:t xml:space="preserve"> </w:t>
      </w:r>
      <w:r w:rsidR="00EE5D69">
        <w:t xml:space="preserve">esto </w:t>
      </w:r>
      <w:r>
        <w:t xml:space="preserve">fue descubierto y luego el </w:t>
      </w:r>
      <w:r w:rsidR="0096724E">
        <w:t xml:space="preserve">Venerable </w:t>
      </w:r>
      <w:r>
        <w:t xml:space="preserve">mayor sugirió que debería </w:t>
      </w:r>
      <w:r w:rsidR="0096724E">
        <w:t>instruir a</w:t>
      </w:r>
      <w:r>
        <w:t xml:space="preserve"> la orden de </w:t>
      </w:r>
      <w:proofErr w:type="spellStart"/>
      <w:r w:rsidR="00057BF4" w:rsidRPr="00057BF4">
        <w:rPr>
          <w:i/>
          <w:iCs/>
        </w:rPr>
        <w:t>bhikkhu</w:t>
      </w:r>
      <w:r w:rsidR="00DF5310" w:rsidRPr="00DF6534">
        <w:rPr>
          <w:i/>
          <w:iCs/>
        </w:rPr>
        <w:t>s</w:t>
      </w:r>
      <w:proofErr w:type="spellEnd"/>
      <w:r>
        <w:t xml:space="preserve">. La respuesta fue: "He venido a traducir la </w:t>
      </w:r>
      <w:r w:rsidR="0096724E">
        <w:t xml:space="preserve">Dispensación </w:t>
      </w:r>
      <w:r>
        <w:t xml:space="preserve">del </w:t>
      </w:r>
      <w:r w:rsidR="00057BF4" w:rsidRPr="00057BF4">
        <w:rPr>
          <w:i/>
        </w:rPr>
        <w:t>Buddha</w:t>
      </w:r>
      <w:r>
        <w:t xml:space="preserve"> a</w:t>
      </w:r>
      <w:r w:rsidR="0096724E">
        <w:t>l</w:t>
      </w:r>
      <w:r>
        <w:t xml:space="preserve"> </w:t>
      </w:r>
      <w:proofErr w:type="spellStart"/>
      <w:r w:rsidRPr="0096724E">
        <w:rPr>
          <w:i/>
          <w:iCs/>
        </w:rPr>
        <w:t>Magadhan</w:t>
      </w:r>
      <w:proofErr w:type="spellEnd"/>
      <w:r>
        <w:t xml:space="preserve">". El </w:t>
      </w:r>
      <w:r w:rsidR="0096724E">
        <w:t xml:space="preserve">Venerable </w:t>
      </w:r>
      <w:r w:rsidR="00EE5D69">
        <w:t xml:space="preserve">principal </w:t>
      </w:r>
      <w:r>
        <w:t xml:space="preserve">le dijo: "Si es así, </w:t>
      </w:r>
      <w:r w:rsidR="00426F80">
        <w:t>comience</w:t>
      </w:r>
      <w:r>
        <w:t xml:space="preserve"> </w:t>
      </w:r>
      <w:r w:rsidR="00B761FE">
        <w:t xml:space="preserve">con </w:t>
      </w:r>
      <w:r>
        <w:t xml:space="preserve">los tres </w:t>
      </w:r>
      <w:proofErr w:type="spellStart"/>
      <w:r w:rsidRPr="00DF6534">
        <w:rPr>
          <w:i/>
          <w:iCs/>
        </w:rPr>
        <w:t>Piṭakas</w:t>
      </w:r>
      <w:proofErr w:type="spellEnd"/>
      <w:r>
        <w:t xml:space="preserve"> </w:t>
      </w:r>
      <w:r w:rsidR="00B761FE">
        <w:t>por medio d</w:t>
      </w:r>
      <w:r w:rsidR="00426F80">
        <w:t>e</w:t>
      </w:r>
      <w:r w:rsidR="00B761FE">
        <w:t xml:space="preserve"> </w:t>
      </w:r>
      <w:r w:rsidR="00426F80">
        <w:t>l</w:t>
      </w:r>
      <w:r w:rsidR="00B761FE">
        <w:t>a</w:t>
      </w:r>
      <w:r w:rsidR="00426F80">
        <w:t xml:space="preserve"> siguiente</w:t>
      </w:r>
      <w:r>
        <w:t xml:space="preserve"> </w:t>
      </w:r>
      <w:r w:rsidR="00B761FE">
        <w:t>frase</w:t>
      </w:r>
      <w:r>
        <w:t xml:space="preserve">, </w:t>
      </w:r>
      <w:r w:rsidR="00500FB3">
        <w:t>‘</w:t>
      </w:r>
      <w:r>
        <w:t xml:space="preserve">cuando un hombre sabio, </w:t>
      </w:r>
      <w:r w:rsidR="00500FB3">
        <w:t xml:space="preserve">bien </w:t>
      </w:r>
      <w:r>
        <w:t xml:space="preserve">establecido en </w:t>
      </w:r>
      <w:r w:rsidR="00EE5D69">
        <w:t xml:space="preserve">la </w:t>
      </w:r>
      <w:r>
        <w:t>virtud ... "</w:t>
      </w:r>
      <w:r w:rsidR="00426F80">
        <w:t>.</w:t>
      </w:r>
      <w:r>
        <w:t xml:space="preserve"> </w:t>
      </w:r>
      <w:r w:rsidR="00426F80">
        <w:t xml:space="preserve">Él </w:t>
      </w:r>
      <w:r>
        <w:t xml:space="preserve">comenzó el trabajo ese </w:t>
      </w:r>
      <w:r w:rsidR="00426F80">
        <w:t xml:space="preserve">mismo </w:t>
      </w:r>
      <w:r>
        <w:t>día, la</w:t>
      </w:r>
      <w:r w:rsidR="00051EFD">
        <w:t xml:space="preserve"> posición de la</w:t>
      </w:r>
      <w:r>
        <w:t xml:space="preserve">s estrellas </w:t>
      </w:r>
      <w:r w:rsidR="00051EFD">
        <w:t>eran</w:t>
      </w:r>
      <w:r>
        <w:t xml:space="preserve"> favorables y escribi</w:t>
      </w:r>
      <w:r w:rsidR="00426F80">
        <w:t>ó</w:t>
      </w:r>
      <w:r>
        <w:t xml:space="preserve"> muy rápidamente. Cuando terminó, lo dejó a un lado y se fue a dormir. Mientras tanto, </w:t>
      </w:r>
      <w:r w:rsidRPr="00DF6534">
        <w:rPr>
          <w:i/>
          <w:iCs/>
        </w:rPr>
        <w:t>Sakka</w:t>
      </w:r>
      <w:r>
        <w:t xml:space="preserve">, gobernante de los dioses, </w:t>
      </w:r>
      <w:r w:rsidR="00DF5310">
        <w:t>sustrajo</w:t>
      </w:r>
      <w:r>
        <w:t xml:space="preserve"> el libro. El </w:t>
      </w:r>
      <w:r w:rsidR="00426F80">
        <w:t xml:space="preserve">Venerable </w:t>
      </w:r>
      <w:r>
        <w:t xml:space="preserve">se despertó y </w:t>
      </w:r>
      <w:r w:rsidR="00B761FE">
        <w:t xml:space="preserve">se dio cuenta </w:t>
      </w:r>
      <w:r w:rsidR="00051EFD">
        <w:t xml:space="preserve">que </w:t>
      </w:r>
      <w:r>
        <w:t xml:space="preserve">lo </w:t>
      </w:r>
      <w:r w:rsidR="00051EFD">
        <w:t xml:space="preserve">había </w:t>
      </w:r>
      <w:r>
        <w:t>perdi</w:t>
      </w:r>
      <w:r w:rsidR="00051EFD">
        <w:t>do</w:t>
      </w:r>
      <w:r>
        <w:t xml:space="preserve">, </w:t>
      </w:r>
      <w:r w:rsidR="009B6234">
        <w:t xml:space="preserve">entonces </w:t>
      </w:r>
      <w:r w:rsidR="00DF6534">
        <w:t>escribió otra copia muy rápidamente bajo una l</w:t>
      </w:r>
      <w:r w:rsidR="00426F80">
        <w:t>á</w:t>
      </w:r>
      <w:r w:rsidR="00DF6534">
        <w:t xml:space="preserve">mpara, luego la dejó a un lado y </w:t>
      </w:r>
      <w:r w:rsidR="00500FB3">
        <w:t>otra vez</w:t>
      </w:r>
      <w:r w:rsidR="00500FB3" w:rsidRPr="00500FB3">
        <w:t xml:space="preserve"> </w:t>
      </w:r>
      <w:r w:rsidR="009B6234">
        <w:t>se puso a dormir</w:t>
      </w:r>
      <w:r w:rsidR="00500FB3">
        <w:t xml:space="preserve">. </w:t>
      </w:r>
      <w:r w:rsidR="00500FB3" w:rsidRPr="00DF6534">
        <w:rPr>
          <w:i/>
          <w:iCs/>
        </w:rPr>
        <w:t>Sakka</w:t>
      </w:r>
      <w:r w:rsidR="00500FB3">
        <w:t xml:space="preserve"> también sustrajo esa copia.</w:t>
      </w:r>
      <w:r w:rsidR="009B6234" w:rsidRPr="009B6234">
        <w:t xml:space="preserve"> </w:t>
      </w:r>
      <w:r w:rsidR="009B6234">
        <w:t>El Venerable despertó y, al no ver su libro,</w:t>
      </w:r>
    </w:p>
    <w:p w14:paraId="28817574" w14:textId="77777777" w:rsidR="00177171" w:rsidRPr="00177171" w:rsidRDefault="00177171" w:rsidP="00177171">
      <w:pPr>
        <w:pStyle w:val="PiedepginaLegal"/>
        <w:rPr>
          <w:u w:val="single"/>
        </w:rPr>
      </w:pPr>
      <w:r w:rsidRPr="00177171">
        <w:rPr>
          <w:u w:val="single"/>
        </w:rPr>
        <w:t xml:space="preserve">                                                                                       .</w:t>
      </w:r>
    </w:p>
    <w:p w14:paraId="0983BDBC" w14:textId="24CE260E" w:rsidR="00177171" w:rsidRDefault="00177171" w:rsidP="00177171">
      <w:pPr>
        <w:pStyle w:val="PiedepginaLegal"/>
      </w:pPr>
      <w:r>
        <w:t xml:space="preserve">14. </w:t>
      </w:r>
      <w:r>
        <w:tab/>
        <w:t xml:space="preserve">La alusión es para el autor de varias obras </w:t>
      </w:r>
      <w:r w:rsidR="009B6234">
        <w:t>en</w:t>
      </w:r>
      <w:r>
        <w:t xml:space="preserve"> </w:t>
      </w:r>
      <w:r w:rsidR="00DF6534">
        <w:rPr>
          <w:i/>
          <w:iCs/>
        </w:rPr>
        <w:t>Pāḷi</w:t>
      </w:r>
      <w:r>
        <w:t xml:space="preserve">, incluido el </w:t>
      </w:r>
      <w:proofErr w:type="spellStart"/>
      <w:r w:rsidRPr="00DF6534">
        <w:rPr>
          <w:i/>
          <w:iCs/>
        </w:rPr>
        <w:t>Abhidhammāvatāra</w:t>
      </w:r>
      <w:proofErr w:type="spellEnd"/>
      <w:r>
        <w:t>; Ver n. 4.</w:t>
      </w:r>
    </w:p>
    <w:p w14:paraId="7E077EA6" w14:textId="23DC425E" w:rsidR="00227E60" w:rsidRDefault="00177171" w:rsidP="00227E60">
      <w:pPr>
        <w:pStyle w:val="PiedepginaLegal"/>
      </w:pPr>
      <w:r>
        <w:t xml:space="preserve">15. </w:t>
      </w:r>
      <w:r>
        <w:tab/>
      </w:r>
      <w:proofErr w:type="spellStart"/>
      <w:r w:rsidR="00057BF4" w:rsidRPr="00057BF4">
        <w:rPr>
          <w:i/>
          <w:iCs/>
        </w:rPr>
        <w:t>Saṅgha</w:t>
      </w:r>
      <w:r w:rsidRPr="00DF6534">
        <w:rPr>
          <w:i/>
          <w:iCs/>
        </w:rPr>
        <w:t>rāja</w:t>
      </w:r>
      <w:proofErr w:type="spellEnd"/>
      <w:r>
        <w:t xml:space="preserve"> ("Gobernante de la comunidad": un título </w:t>
      </w:r>
      <w:r w:rsidR="0096724E">
        <w:t xml:space="preserve">todavía </w:t>
      </w:r>
      <w:r>
        <w:t xml:space="preserve">existente </w:t>
      </w:r>
      <w:r w:rsidR="00BC019E">
        <w:t xml:space="preserve">hoy </w:t>
      </w:r>
      <w:r>
        <w:t xml:space="preserve">en Tailandia): </w:t>
      </w:r>
      <w:r w:rsidR="0096724E">
        <w:t xml:space="preserve">aquí es </w:t>
      </w:r>
      <w:r>
        <w:t xml:space="preserve">posiblemente </w:t>
      </w:r>
      <w:r w:rsidR="0096724E">
        <w:t xml:space="preserve">que se trate de </w:t>
      </w:r>
      <w:r>
        <w:t xml:space="preserve">un error </w:t>
      </w:r>
      <w:r w:rsidR="009B6234">
        <w:t>de</w:t>
      </w:r>
      <w:r>
        <w:t xml:space="preserve"> </w:t>
      </w:r>
      <w:proofErr w:type="spellStart"/>
      <w:r w:rsidRPr="00DF6534">
        <w:rPr>
          <w:i/>
          <w:iCs/>
        </w:rPr>
        <w:t>Saṅgghapāla</w:t>
      </w:r>
      <w:proofErr w:type="spellEnd"/>
      <w:r>
        <w:t xml:space="preserve"> (ver Vis. </w:t>
      </w:r>
      <w:proofErr w:type="spellStart"/>
      <w:r>
        <w:t>Epil</w:t>
      </w:r>
      <w:proofErr w:type="spellEnd"/>
      <w:r>
        <w:t>.).</w:t>
      </w:r>
      <w:r w:rsidR="00227E60">
        <w:br w:type="page"/>
      </w:r>
    </w:p>
    <w:p w14:paraId="6D7F935A" w14:textId="77777777" w:rsidR="00AE3B13" w:rsidRDefault="00AE3B13" w:rsidP="00F125CA"/>
    <w:p w14:paraId="7732BF8A" w14:textId="10B174E6" w:rsidR="00F125CA" w:rsidRDefault="00AE3B13" w:rsidP="00F125CA">
      <w:r>
        <w:t>escribió una tercera copia</w:t>
      </w:r>
      <w:r w:rsidR="009B6234">
        <w:t>,</w:t>
      </w:r>
      <w:r>
        <w:t xml:space="preserve"> </w:t>
      </w:r>
      <w:r w:rsidR="00426F80">
        <w:t>muy rápidamente</w:t>
      </w:r>
      <w:r w:rsidR="009B6234">
        <w:t xml:space="preserve">, </w:t>
      </w:r>
      <w:r w:rsidR="00426F80">
        <w:t xml:space="preserve">bajo </w:t>
      </w:r>
      <w:r>
        <w:t xml:space="preserve">la luz </w:t>
      </w:r>
      <w:r w:rsidR="00426F80">
        <w:t xml:space="preserve">de la lámpara </w:t>
      </w:r>
      <w:r>
        <w:t xml:space="preserve">y la envolvió en su </w:t>
      </w:r>
      <w:r w:rsidR="00426F80">
        <w:t>ropaje</w:t>
      </w:r>
      <w:r>
        <w:t xml:space="preserve">. </w:t>
      </w:r>
      <w:r w:rsidR="009B6234">
        <w:t>Entonces, se puso a dormir</w:t>
      </w:r>
      <w:r>
        <w:t xml:space="preserve"> nuev</w:t>
      </w:r>
      <w:r w:rsidR="009B6234">
        <w:t>amente</w:t>
      </w:r>
      <w:r>
        <w:t xml:space="preserve">. Mientras dormía, </w:t>
      </w:r>
      <w:r w:rsidRPr="00DF6534">
        <w:rPr>
          <w:i/>
          <w:iCs/>
        </w:rPr>
        <w:t>Sakka</w:t>
      </w:r>
      <w:r>
        <w:t xml:space="preserve"> puso los otros dos libros a su lado</w:t>
      </w:r>
      <w:r w:rsidR="009B6234">
        <w:t>,</w:t>
      </w:r>
      <w:r>
        <w:t xml:space="preserve"> cuando despertó encontró las tres copias. </w:t>
      </w:r>
      <w:r w:rsidR="00A87876">
        <w:t xml:space="preserve">Llevó las copias </w:t>
      </w:r>
      <w:r>
        <w:t xml:space="preserve">al </w:t>
      </w:r>
      <w:r w:rsidR="00426F80">
        <w:t xml:space="preserve">Venerable </w:t>
      </w:r>
      <w:r w:rsidR="00A87876">
        <w:t xml:space="preserve">principal </w:t>
      </w:r>
      <w:r>
        <w:t xml:space="preserve">y le contó lo que había sucedido. Cuando </w:t>
      </w:r>
      <w:r w:rsidR="004860A6">
        <w:t>fueron leíd</w:t>
      </w:r>
      <w:r w:rsidR="009B6234">
        <w:t>as las tre</w:t>
      </w:r>
      <w:r w:rsidR="004860A6">
        <w:t>s</w:t>
      </w:r>
      <w:r w:rsidR="009B6234">
        <w:t xml:space="preserve"> copias</w:t>
      </w:r>
      <w:r>
        <w:t xml:space="preserve">, no hubo diferencia ni siquiera en una sola </w:t>
      </w:r>
      <w:r w:rsidR="008E794F" w:rsidRPr="008E794F">
        <w:t>letra</w:t>
      </w:r>
      <w:r>
        <w:t xml:space="preserve">. Entonces, el </w:t>
      </w:r>
      <w:r w:rsidR="00FB7BAC">
        <w:t xml:space="preserve">Venerable </w:t>
      </w:r>
      <w:r w:rsidR="009B6234">
        <w:t xml:space="preserve">mayor </w:t>
      </w:r>
      <w:r>
        <w:t>dio permiso para l</w:t>
      </w:r>
      <w:r w:rsidR="00F125CA">
        <w:t xml:space="preserve">a traducción de la </w:t>
      </w:r>
      <w:r w:rsidR="00FB7BAC">
        <w:t xml:space="preserve">Dispensación </w:t>
      </w:r>
      <w:r w:rsidR="00F125CA">
        <w:t xml:space="preserve">del </w:t>
      </w:r>
      <w:r w:rsidR="00057BF4" w:rsidRPr="00057BF4">
        <w:rPr>
          <w:i/>
        </w:rPr>
        <w:t>Buddha</w:t>
      </w:r>
      <w:r w:rsidR="00F125CA">
        <w:t xml:space="preserve">. A partir de entonces, el </w:t>
      </w:r>
      <w:r w:rsidR="00FB7BAC">
        <w:t>Venerable fue</w:t>
      </w:r>
      <w:r w:rsidR="00F125CA">
        <w:t xml:space="preserve"> conocido por la gente de Sri Lanka con el nombre de </w:t>
      </w:r>
      <w:r w:rsidR="00057BF4" w:rsidRPr="00A87876">
        <w:rPr>
          <w:iCs/>
        </w:rPr>
        <w:t>Buddha</w:t>
      </w:r>
      <w:r w:rsidR="00F125CA" w:rsidRPr="00A87876">
        <w:rPr>
          <w:iCs/>
        </w:rPr>
        <w:t>ghosa</w:t>
      </w:r>
      <w:r w:rsidR="00F125CA">
        <w:t>— (Capítulo VI).</w:t>
      </w:r>
    </w:p>
    <w:p w14:paraId="70EB008C" w14:textId="32C0AEA4" w:rsidR="00F125CA" w:rsidRDefault="00FB7BAC" w:rsidP="00F125CA">
      <w:pPr>
        <w:pStyle w:val="NormalConSangria"/>
      </w:pPr>
      <w:r>
        <w:t xml:space="preserve">Se le </w:t>
      </w:r>
      <w:r w:rsidR="009B6234">
        <w:t>asignó</w:t>
      </w:r>
      <w:r>
        <w:t xml:space="preserve"> una</w:t>
      </w:r>
      <w:r w:rsidR="00622E00">
        <w:t xml:space="preserve"> sala </w:t>
      </w:r>
      <w:r w:rsidR="00F125CA">
        <w:t xml:space="preserve">en el </w:t>
      </w:r>
      <w:r w:rsidR="001F0F65">
        <w:t xml:space="preserve">Palacio </w:t>
      </w:r>
      <w:r w:rsidR="009B6234">
        <w:t>de Bronce</w:t>
      </w:r>
      <w:r w:rsidR="00F125CA">
        <w:t>, de cuyos siete pisos ocup</w:t>
      </w:r>
      <w:r w:rsidR="007D5525">
        <w:t>ó</w:t>
      </w:r>
      <w:r w:rsidR="00F125CA">
        <w:t xml:space="preserve"> el más bajo</w:t>
      </w:r>
      <w:r w:rsidR="007D5525">
        <w:t>. Él</w:t>
      </w:r>
      <w:r w:rsidR="00F125CA">
        <w:t xml:space="preserve"> observó las prácticas </w:t>
      </w:r>
      <w:r w:rsidR="00656CF3">
        <w:t>asceta</w:t>
      </w:r>
      <w:r w:rsidR="00F125CA">
        <w:t xml:space="preserve">s y </w:t>
      </w:r>
      <w:r w:rsidR="00E72810">
        <w:t>se hizo</w:t>
      </w:r>
      <w:r w:rsidR="00F125CA">
        <w:t xml:space="preserve"> experto en todas las </w:t>
      </w:r>
      <w:r w:rsidR="00E72810">
        <w:t>escrituras</w:t>
      </w:r>
      <w:r w:rsidR="00F125CA">
        <w:t xml:space="preserve">. Fue durante su estadía allí que tradujo la </w:t>
      </w:r>
      <w:r w:rsidR="00E72810">
        <w:t xml:space="preserve">Dispensación </w:t>
      </w:r>
      <w:r w:rsidR="00F125CA">
        <w:t xml:space="preserve">del </w:t>
      </w:r>
      <w:r w:rsidR="00057BF4" w:rsidRPr="00057BF4">
        <w:rPr>
          <w:i/>
        </w:rPr>
        <w:t>Buddha</w:t>
      </w:r>
      <w:r w:rsidR="00F125CA">
        <w:t xml:space="preserve">. Cuando en su </w:t>
      </w:r>
      <w:r w:rsidR="00E72810">
        <w:t>ronda de ofrendas</w:t>
      </w:r>
      <w:r w:rsidR="00F125CA">
        <w:t xml:space="preserve">, </w:t>
      </w:r>
      <w:r w:rsidR="00E72810">
        <w:t xml:space="preserve">veía </w:t>
      </w:r>
      <w:r w:rsidR="00F125CA">
        <w:t xml:space="preserve">las hojas de palma caídas, las recogía; </w:t>
      </w:r>
      <w:r w:rsidR="009B6234">
        <w:t>é</w:t>
      </w:r>
      <w:r w:rsidR="00F125CA" w:rsidRPr="00E7105C">
        <w:t>st</w:t>
      </w:r>
      <w:r w:rsidR="009B6234">
        <w:t>a</w:t>
      </w:r>
      <w:r w:rsidR="00F125CA">
        <w:t xml:space="preserve"> </w:t>
      </w:r>
      <w:r w:rsidR="00C9529E">
        <w:t xml:space="preserve">fue </w:t>
      </w:r>
      <w:r w:rsidR="00F125CA">
        <w:t>un</w:t>
      </w:r>
      <w:r w:rsidR="009B6234">
        <w:t>a</w:t>
      </w:r>
      <w:r w:rsidR="00F125CA">
        <w:t xml:space="preserve"> </w:t>
      </w:r>
      <w:r w:rsidR="009B6234">
        <w:t>tarea que emprendió él con regularidad</w:t>
      </w:r>
      <w:r w:rsidR="00F125CA">
        <w:t xml:space="preserve">. Un día, un hombre que había subido </w:t>
      </w:r>
      <w:r w:rsidR="00C9529E">
        <w:t xml:space="preserve">a </w:t>
      </w:r>
      <w:r w:rsidR="00F125CA">
        <w:t xml:space="preserve">una palmera lo vio. </w:t>
      </w:r>
      <w:r w:rsidR="00143D75">
        <w:t>Él dejó unas</w:t>
      </w:r>
      <w:r w:rsidR="00F125CA">
        <w:t xml:space="preserve"> </w:t>
      </w:r>
      <w:r w:rsidR="000707AE">
        <w:t xml:space="preserve">hojas de </w:t>
      </w:r>
      <w:r w:rsidR="00143D75">
        <w:t>p</w:t>
      </w:r>
      <w:r w:rsidR="00F125CA">
        <w:t>alm</w:t>
      </w:r>
      <w:r w:rsidR="00143D75">
        <w:t xml:space="preserve">a </w:t>
      </w:r>
      <w:r w:rsidR="00F125CA">
        <w:t>en el suelo, lo vio recogerlos y luego lo siguió. Luego</w:t>
      </w:r>
      <w:r w:rsidR="009B6234">
        <w:t>,</w:t>
      </w:r>
      <w:r w:rsidR="00F125CA">
        <w:t xml:space="preserve"> le </w:t>
      </w:r>
      <w:r w:rsidR="009B6234">
        <w:t xml:space="preserve">llevó </w:t>
      </w:r>
      <w:r w:rsidR="00F125CA">
        <w:t>un</w:t>
      </w:r>
      <w:r w:rsidR="000707AE">
        <w:t>a</w:t>
      </w:r>
      <w:r w:rsidR="00F125CA">
        <w:t xml:space="preserve"> </w:t>
      </w:r>
      <w:r w:rsidR="00143D75">
        <w:t>ofrenda</w:t>
      </w:r>
      <w:r w:rsidR="00F125CA">
        <w:t xml:space="preserve"> de </w:t>
      </w:r>
      <w:r w:rsidR="00143D75">
        <w:t>alimentos</w:t>
      </w:r>
      <w:r w:rsidR="00F125CA">
        <w:t xml:space="preserve">. El </w:t>
      </w:r>
      <w:r w:rsidR="00143D75">
        <w:t xml:space="preserve">Venerable </w:t>
      </w:r>
      <w:r w:rsidR="00F125CA">
        <w:t xml:space="preserve">concluyó su escritura sobre la </w:t>
      </w:r>
      <w:r w:rsidR="00143D75">
        <w:t xml:space="preserve">Dispensación </w:t>
      </w:r>
      <w:r w:rsidR="00F125CA">
        <w:t xml:space="preserve">en tres meses. Cuando terminó la temporada de lluvias y </w:t>
      </w:r>
      <w:r w:rsidR="000707AE">
        <w:t>hubo</w:t>
      </w:r>
      <w:r w:rsidR="00F125CA">
        <w:t xml:space="preserve"> </w:t>
      </w:r>
      <w:r w:rsidR="000707AE">
        <w:t>terminado</w:t>
      </w:r>
      <w:r w:rsidR="00F125CA">
        <w:t xml:space="preserve"> la ceremonia </w:t>
      </w:r>
      <w:proofErr w:type="spellStart"/>
      <w:r w:rsidR="00F125CA" w:rsidRPr="00DF6534">
        <w:rPr>
          <w:i/>
          <w:iCs/>
        </w:rPr>
        <w:t>Pavāraṇā</w:t>
      </w:r>
      <w:proofErr w:type="spellEnd"/>
      <w:r w:rsidR="00F125CA">
        <w:t xml:space="preserve">, envió los libros al </w:t>
      </w:r>
      <w:r w:rsidR="00143D75">
        <w:t xml:space="preserve">Venerable </w:t>
      </w:r>
      <w:r w:rsidR="009B6234">
        <w:t>mayor</w:t>
      </w:r>
      <w:r w:rsidR="00F125CA">
        <w:t xml:space="preserve">, </w:t>
      </w:r>
      <w:r w:rsidR="00E7105C">
        <w:t>a</w:t>
      </w:r>
      <w:r w:rsidR="00F125CA">
        <w:t xml:space="preserve">l </w:t>
      </w:r>
      <w:proofErr w:type="spellStart"/>
      <w:r w:rsidR="00F125CA" w:rsidRPr="00DF6534">
        <w:rPr>
          <w:i/>
          <w:iCs/>
        </w:rPr>
        <w:t>Saṅggharāja</w:t>
      </w:r>
      <w:proofErr w:type="spellEnd"/>
      <w:r w:rsidR="00F125CA">
        <w:t xml:space="preserve">. </w:t>
      </w:r>
      <w:r w:rsidR="001B7198">
        <w:t>Luego</w:t>
      </w:r>
      <w:r w:rsidR="00F125CA">
        <w:t xml:space="preserve"> el </w:t>
      </w:r>
      <w:r w:rsidR="00143D75">
        <w:t xml:space="preserve">Venerable </w:t>
      </w:r>
      <w:r w:rsidR="00057BF4" w:rsidRPr="00143D75">
        <w:rPr>
          <w:iCs/>
        </w:rPr>
        <w:t>Buddha</w:t>
      </w:r>
      <w:r w:rsidR="00F125CA" w:rsidRPr="00143D75">
        <w:rPr>
          <w:iCs/>
        </w:rPr>
        <w:t>ghosa</w:t>
      </w:r>
      <w:r w:rsidR="00F125CA">
        <w:t xml:space="preserve"> </w:t>
      </w:r>
      <w:r w:rsidR="001B7198">
        <w:t xml:space="preserve">dispuso de </w:t>
      </w:r>
      <w:r w:rsidR="00F125CA">
        <w:t xml:space="preserve">los libros escritos por el </w:t>
      </w:r>
      <w:r w:rsidR="00DF6534">
        <w:t>Venerable</w:t>
      </w:r>
      <w:r w:rsidR="00F125CA">
        <w:t xml:space="preserve"> </w:t>
      </w:r>
      <w:proofErr w:type="spellStart"/>
      <w:r w:rsidR="00F125CA">
        <w:t>Mahinda</w:t>
      </w:r>
      <w:proofErr w:type="spellEnd"/>
      <w:r w:rsidR="001B7198">
        <w:t>, los</w:t>
      </w:r>
      <w:r w:rsidR="00F125CA">
        <w:t xml:space="preserve"> apil</w:t>
      </w:r>
      <w:r w:rsidR="001B7198">
        <w:t>ó</w:t>
      </w:r>
      <w:r w:rsidR="00F125CA">
        <w:t xml:space="preserve"> y </w:t>
      </w:r>
      <w:r w:rsidR="001B7198">
        <w:t xml:space="preserve">los </w:t>
      </w:r>
      <w:r w:rsidR="00F125CA">
        <w:t>quem</w:t>
      </w:r>
      <w:r w:rsidR="001B7198">
        <w:t>ó</w:t>
      </w:r>
      <w:r w:rsidR="00F125CA">
        <w:t xml:space="preserve"> cerca del Gran Santuario; </w:t>
      </w:r>
      <w:r w:rsidR="003858DA">
        <w:t>l</w:t>
      </w:r>
      <w:r w:rsidR="00F125CA">
        <w:t xml:space="preserve">a pila </w:t>
      </w:r>
      <w:r w:rsidR="000707AE">
        <w:t>era</w:t>
      </w:r>
      <w:r w:rsidR="0007749F">
        <w:t xml:space="preserve"> tan </w:t>
      </w:r>
      <w:r w:rsidR="00F125CA">
        <w:t xml:space="preserve">alta como siete elefantes. Ahora </w:t>
      </w:r>
      <w:r w:rsidR="0006115A">
        <w:t xml:space="preserve">que </w:t>
      </w:r>
      <w:r w:rsidR="0007749F">
        <w:t xml:space="preserve">su </w:t>
      </w:r>
      <w:r w:rsidR="00F125CA">
        <w:t xml:space="preserve">trabajo </w:t>
      </w:r>
      <w:r w:rsidR="0007749F">
        <w:t xml:space="preserve">estaba terminado </w:t>
      </w:r>
      <w:r w:rsidR="00F125CA">
        <w:t xml:space="preserve">y queriendo ver a sus padres, </w:t>
      </w:r>
      <w:r w:rsidR="00961884">
        <w:t>se despidió</w:t>
      </w:r>
      <w:r w:rsidR="00F125CA">
        <w:t xml:space="preserve"> antes de regresar a la India. Antes de irse, sin embargo, su conocimiento </w:t>
      </w:r>
      <w:r w:rsidR="00F73B7D">
        <w:t xml:space="preserve">sobre </w:t>
      </w:r>
      <w:r w:rsidR="00F125CA">
        <w:t xml:space="preserve">el </w:t>
      </w:r>
      <w:r w:rsidR="00F73B7D">
        <w:t xml:space="preserve">Sánscrito </w:t>
      </w:r>
      <w:r w:rsidR="00F125CA">
        <w:t xml:space="preserve">fue </w:t>
      </w:r>
      <w:r w:rsidR="009B6234">
        <w:t xml:space="preserve">evaluado </w:t>
      </w:r>
      <w:r w:rsidR="00F125CA">
        <w:t xml:space="preserve">por </w:t>
      </w:r>
      <w:r w:rsidR="007366D1">
        <w:t xml:space="preserve">los </w:t>
      </w:r>
      <w:proofErr w:type="spellStart"/>
      <w:r w:rsidR="007366D1" w:rsidRPr="00057BF4">
        <w:rPr>
          <w:i/>
          <w:iCs/>
        </w:rPr>
        <w:t>bhikkhu</w:t>
      </w:r>
      <w:r w:rsidR="007366D1" w:rsidRPr="00DF6534">
        <w:rPr>
          <w:i/>
          <w:iCs/>
        </w:rPr>
        <w:t>s</w:t>
      </w:r>
      <w:proofErr w:type="spellEnd"/>
      <w:r w:rsidR="00F125CA">
        <w:t xml:space="preserve">; </w:t>
      </w:r>
      <w:r w:rsidR="009B6234">
        <w:t>n</w:t>
      </w:r>
      <w:r w:rsidR="00276FF9">
        <w:t xml:space="preserve">o obstante, él </w:t>
      </w:r>
      <w:r w:rsidR="00F125CA">
        <w:t xml:space="preserve">silenció esto entregando un sermón en </w:t>
      </w:r>
      <w:r w:rsidR="00276FF9">
        <w:t xml:space="preserve">dicho </w:t>
      </w:r>
      <w:r w:rsidR="00F125CA">
        <w:t xml:space="preserve">idioma </w:t>
      </w:r>
      <w:r w:rsidR="00714D5F">
        <w:t>en e</w:t>
      </w:r>
      <w:r w:rsidR="00F125CA">
        <w:t xml:space="preserve">l Gran Santuario. Luego </w:t>
      </w:r>
      <w:r w:rsidR="00714D5F">
        <w:t xml:space="preserve">se marchó </w:t>
      </w:r>
      <w:r w:rsidR="00F125CA">
        <w:t>(Capítulo VIII).</w:t>
      </w:r>
    </w:p>
    <w:p w14:paraId="0280FEF6" w14:textId="28CEEC2C" w:rsidR="00F125CA" w:rsidRDefault="00F125CA" w:rsidP="00F125CA">
      <w:pPr>
        <w:pStyle w:val="NormalConSangria"/>
      </w:pPr>
      <w:r>
        <w:t xml:space="preserve">A su regreso, fue a </w:t>
      </w:r>
      <w:r w:rsidR="00714D5F">
        <w:t xml:space="preserve">ver a </w:t>
      </w:r>
      <w:r>
        <w:t xml:space="preserve">su preceptor y </w:t>
      </w:r>
      <w:r w:rsidR="00714D5F">
        <w:t xml:space="preserve">se liberó </w:t>
      </w:r>
      <w:r w:rsidR="000E25A2">
        <w:t>así</w:t>
      </w:r>
      <w:r>
        <w:t xml:space="preserve"> de su penitencia. Sus padres también l</w:t>
      </w:r>
      <w:r w:rsidR="000E25A2">
        <w:t>e</w:t>
      </w:r>
      <w:r>
        <w:t xml:space="preserve"> perdonaron su</w:t>
      </w:r>
      <w:r w:rsidR="000E25A2">
        <w:t>s</w:t>
      </w:r>
      <w:r>
        <w:t xml:space="preserve"> </w:t>
      </w:r>
      <w:r w:rsidR="000E25A2">
        <w:t>ofensas</w:t>
      </w:r>
      <w:r>
        <w:t xml:space="preserve">; cuando </w:t>
      </w:r>
      <w:r w:rsidR="009B6234">
        <w:t xml:space="preserve">estos </w:t>
      </w:r>
      <w:r>
        <w:t xml:space="preserve">murieron, renacieron en el cielo </w:t>
      </w:r>
      <w:proofErr w:type="spellStart"/>
      <w:r w:rsidRPr="00DF6534">
        <w:rPr>
          <w:i/>
          <w:iCs/>
        </w:rPr>
        <w:t>Tusita</w:t>
      </w:r>
      <w:proofErr w:type="spellEnd"/>
      <w:r>
        <w:t xml:space="preserve">. </w:t>
      </w:r>
      <w:r w:rsidR="00DF6534">
        <w:t>Él mismo</w:t>
      </w:r>
      <w:r>
        <w:t xml:space="preserve">, sabiendo que no viviría mucho más, </w:t>
      </w:r>
      <w:r w:rsidR="00DF6534">
        <w:t>rindió</w:t>
      </w:r>
      <w:r>
        <w:t xml:space="preserve"> </w:t>
      </w:r>
      <w:r w:rsidR="004F5D4B">
        <w:t>reverencia</w:t>
      </w:r>
      <w:r>
        <w:t xml:space="preserve"> a su preceptor y </w:t>
      </w:r>
      <w:r w:rsidR="002E6F9B">
        <w:t>viajó para visitar</w:t>
      </w:r>
      <w:r>
        <w:t xml:space="preserve"> </w:t>
      </w:r>
      <w:r w:rsidR="003858DA">
        <w:t>a</w:t>
      </w:r>
      <w:r>
        <w:t xml:space="preserve">l gran árbol de </w:t>
      </w:r>
      <w:r w:rsidR="00866730">
        <w:t xml:space="preserve">la </w:t>
      </w:r>
      <w:r>
        <w:t xml:space="preserve">iluminación. Previendo </w:t>
      </w:r>
      <w:r w:rsidR="002E6F9B">
        <w:t xml:space="preserve">que </w:t>
      </w:r>
      <w:r>
        <w:t>su muerte se acerca</w:t>
      </w:r>
      <w:r w:rsidR="00866730">
        <w:t>ba</w:t>
      </w:r>
      <w:r>
        <w:t xml:space="preserve">, consideró </w:t>
      </w:r>
      <w:r w:rsidR="009B6234">
        <w:t>lo siguiente</w:t>
      </w:r>
      <w:r>
        <w:t>: “</w:t>
      </w:r>
      <w:r w:rsidR="002E6F9B">
        <w:t>Existen</w:t>
      </w:r>
      <w:r>
        <w:t xml:space="preserve"> tres tipos de muerte: la muerte como </w:t>
      </w:r>
      <w:r w:rsidR="00B1451A">
        <w:t>truncamiento</w:t>
      </w:r>
      <w:r>
        <w:t xml:space="preserve">, </w:t>
      </w:r>
      <w:r w:rsidR="00B1451A">
        <w:t xml:space="preserve">la </w:t>
      </w:r>
      <w:r>
        <w:t xml:space="preserve">muerte momentánea y </w:t>
      </w:r>
      <w:r w:rsidR="00B1451A">
        <w:t xml:space="preserve">la </w:t>
      </w:r>
      <w:r>
        <w:t xml:space="preserve">muerte convencional. La muerte como </w:t>
      </w:r>
      <w:r w:rsidR="00B1451A">
        <w:t>truncamiento</w:t>
      </w:r>
      <w:r>
        <w:t xml:space="preserve"> pertenece a aquellos cuy</w:t>
      </w:r>
      <w:r w:rsidR="00DF5310">
        <w:t>a</w:t>
      </w:r>
      <w:r>
        <w:t xml:space="preserve">s </w:t>
      </w:r>
      <w:r w:rsidR="00DF5310">
        <w:t>corrupciones se encuentran extintas</w:t>
      </w:r>
      <w:r>
        <w:t xml:space="preserve"> (y </w:t>
      </w:r>
      <w:r w:rsidR="00C176CC">
        <w:t xml:space="preserve">pertenece a lo </w:t>
      </w:r>
      <w:r w:rsidR="00057BF4" w:rsidRPr="00057BF4">
        <w:rPr>
          <w:i/>
          <w:iCs/>
        </w:rPr>
        <w:t>arahant</w:t>
      </w:r>
      <w:r w:rsidRPr="00DF5310">
        <w:rPr>
          <w:i/>
          <w:iCs/>
        </w:rPr>
        <w:t>s</w:t>
      </w:r>
      <w:r>
        <w:t xml:space="preserve">). La muerte momentánea </w:t>
      </w:r>
      <w:r w:rsidR="002E6F9B">
        <w:t xml:space="preserve">pertenece a </w:t>
      </w:r>
      <w:r>
        <w:t>la de cada con</w:t>
      </w:r>
      <w:r w:rsidR="002E6F9B">
        <w:t>s</w:t>
      </w:r>
      <w:r>
        <w:t>ciencia de la serie cognitiva que comienza con la con</w:t>
      </w:r>
      <w:r w:rsidR="002E6F9B">
        <w:t>s</w:t>
      </w:r>
      <w:r>
        <w:t>ciencia de</w:t>
      </w:r>
      <w:r w:rsidR="00C176CC">
        <w:t>l</w:t>
      </w:r>
      <w:r>
        <w:t xml:space="preserve"> </w:t>
      </w:r>
      <w:r w:rsidR="00C176CC">
        <w:t xml:space="preserve">continuum </w:t>
      </w:r>
      <w:r w:rsidR="009B6234">
        <w:t>vital</w:t>
      </w:r>
      <w:r>
        <w:t xml:space="preserve">, que surge </w:t>
      </w:r>
      <w:r w:rsidR="00C176CC">
        <w:t xml:space="preserve">en </w:t>
      </w:r>
      <w:r>
        <w:t xml:space="preserve">cada uno inmediatamente en </w:t>
      </w:r>
      <w:r w:rsidR="00C176CC">
        <w:t>la</w:t>
      </w:r>
      <w:r>
        <w:t xml:space="preserve"> ces</w:t>
      </w:r>
      <w:r w:rsidR="00C176CC">
        <w:t>ación</w:t>
      </w:r>
      <w:r>
        <w:t xml:space="preserve"> de la </w:t>
      </w:r>
      <w:r w:rsidR="00C176CC">
        <w:t xml:space="preserve">vida </w:t>
      </w:r>
      <w:r>
        <w:t xml:space="preserve">anterior. La muerte convencional es la </w:t>
      </w:r>
      <w:r w:rsidR="00C176CC">
        <w:t xml:space="preserve">que pertenece a todo </w:t>
      </w:r>
      <w:r w:rsidR="00B53CE9">
        <w:t xml:space="preserve">ser </w:t>
      </w:r>
      <w:r w:rsidR="009B6234">
        <w:t xml:space="preserve">(denominado) </w:t>
      </w:r>
      <w:r>
        <w:t>vi</w:t>
      </w:r>
      <w:r w:rsidR="00B53CE9">
        <w:t>vo</w:t>
      </w:r>
      <w:r>
        <w:t>.</w:t>
      </w:r>
      <w:r w:rsidRPr="00C45AA8">
        <w:rPr>
          <w:vertAlign w:val="superscript"/>
        </w:rPr>
        <w:t>16</w:t>
      </w:r>
      <w:r>
        <w:t xml:space="preserve"> La mía será la muerte convencional". Después de su muerte, renació en el cielo </w:t>
      </w:r>
      <w:proofErr w:type="spellStart"/>
      <w:r w:rsidRPr="00DF6534">
        <w:rPr>
          <w:i/>
          <w:iCs/>
        </w:rPr>
        <w:t>Tusita</w:t>
      </w:r>
      <w:proofErr w:type="spellEnd"/>
      <w:r>
        <w:t xml:space="preserve"> en una mansión dorada </w:t>
      </w:r>
      <w:r w:rsidR="007259D3">
        <w:t xml:space="preserve">de </w:t>
      </w:r>
      <w:r>
        <w:t xml:space="preserve">siete leguas de ancho rodeadas de ninfas divinas. Cuando el </w:t>
      </w:r>
      <w:r w:rsidR="00057BF4" w:rsidRPr="00057BF4">
        <w:rPr>
          <w:i/>
          <w:iCs/>
        </w:rPr>
        <w:t>Bodhisatta</w:t>
      </w:r>
      <w:r>
        <w:t xml:space="preserve"> </w:t>
      </w:r>
      <w:proofErr w:type="spellStart"/>
      <w:r>
        <w:t>Metteyya</w:t>
      </w:r>
      <w:proofErr w:type="spellEnd"/>
      <w:r>
        <w:t xml:space="preserve"> </w:t>
      </w:r>
      <w:r w:rsidR="00C45AA8">
        <w:t xml:space="preserve">venga </w:t>
      </w:r>
      <w:r>
        <w:t xml:space="preserve">a este mundo humano, él será su </w:t>
      </w:r>
      <w:r w:rsidR="00DF6534">
        <w:t>discípulo</w:t>
      </w:r>
      <w:r>
        <w:t xml:space="preserve">. Después de su cremación, sus reliquias fueron depositadas cerca del </w:t>
      </w:r>
      <w:r w:rsidR="00C45AA8">
        <w:t xml:space="preserve">Árbol </w:t>
      </w:r>
      <w:r>
        <w:t xml:space="preserve">de </w:t>
      </w:r>
      <w:r w:rsidR="00C45AA8">
        <w:t xml:space="preserve">la Iluminación </w:t>
      </w:r>
      <w:r>
        <w:t xml:space="preserve">y </w:t>
      </w:r>
      <w:r w:rsidR="00C45AA8">
        <w:t>se erigieron</w:t>
      </w:r>
      <w:r>
        <w:t xml:space="preserve"> santuarios sobre ellos</w:t>
      </w:r>
      <w:r w:rsidR="00C45AA8">
        <w:t>.</w:t>
      </w:r>
      <w:r>
        <w:t xml:space="preserve"> (Capítulo VIII).</w:t>
      </w:r>
    </w:p>
    <w:p w14:paraId="29C1DFD6" w14:textId="0C38E7CA" w:rsidR="00F125CA" w:rsidRDefault="00F125CA" w:rsidP="00F125CA">
      <w:pPr>
        <w:pStyle w:val="NormalConSangria"/>
      </w:pPr>
      <w:r>
        <w:t xml:space="preserve">Ya ha </w:t>
      </w:r>
      <w:r w:rsidR="00641876">
        <w:t xml:space="preserve">sido </w:t>
      </w:r>
      <w:r w:rsidR="00382ED5">
        <w:t xml:space="preserve">indicado </w:t>
      </w:r>
      <w:r>
        <w:t xml:space="preserve">que la opinión general de los </w:t>
      </w:r>
      <w:r w:rsidR="003F2DB7">
        <w:t>eruditos</w:t>
      </w:r>
      <w:r>
        <w:t xml:space="preserve"> europeos es que donde esta historia imaginativa difier</w:t>
      </w:r>
      <w:r w:rsidR="007259D3">
        <w:t>a</w:t>
      </w:r>
      <w:r>
        <w:t xml:space="preserve"> o se sum</w:t>
      </w:r>
      <w:r w:rsidR="007259D3">
        <w:t>e</w:t>
      </w:r>
      <w:r>
        <w:t xml:space="preserve"> a la </w:t>
      </w:r>
      <w:r w:rsidR="00382ED5">
        <w:t>narración</w:t>
      </w:r>
      <w:r>
        <w:t xml:space="preserve"> de</w:t>
      </w:r>
      <w:r w:rsidR="00641876">
        <w:t>l</w:t>
      </w:r>
      <w:r>
        <w:t xml:space="preserve"> </w:t>
      </w:r>
      <w:proofErr w:type="spellStart"/>
      <w:r w:rsidRPr="00DF6534">
        <w:rPr>
          <w:i/>
          <w:iCs/>
        </w:rPr>
        <w:t>Mahāvaṃsa</w:t>
      </w:r>
      <w:proofErr w:type="spellEnd"/>
      <w:r>
        <w:t xml:space="preserve">, </w:t>
      </w:r>
      <w:r w:rsidR="00D71DF7">
        <w:t>consist</w:t>
      </w:r>
      <w:r w:rsidR="007259D3">
        <w:t>irá</w:t>
      </w:r>
      <w:r w:rsidR="00D71DF7">
        <w:t xml:space="preserve"> más de una</w:t>
      </w:r>
      <w:r>
        <w:t xml:space="preserve"> leyenda </w:t>
      </w:r>
      <w:r w:rsidR="00D71DF7">
        <w:t xml:space="preserve">que de </w:t>
      </w:r>
      <w:r w:rsidR="00536806">
        <w:t xml:space="preserve">un </w:t>
      </w:r>
      <w:r w:rsidR="00B24A30">
        <w:t xml:space="preserve">evento </w:t>
      </w:r>
      <w:r>
        <w:t>hist</w:t>
      </w:r>
      <w:r w:rsidR="00B24A30">
        <w:t>ó</w:t>
      </w:r>
      <w:r>
        <w:t>ri</w:t>
      </w:r>
      <w:r w:rsidR="00B24A30">
        <w:t>co</w:t>
      </w:r>
      <w:r>
        <w:t>.</w:t>
      </w:r>
    </w:p>
    <w:p w14:paraId="6ECD6E59" w14:textId="7ED51268" w:rsidR="00F125CA" w:rsidRDefault="00F125CA" w:rsidP="007701CD">
      <w:pPr>
        <w:pStyle w:val="NormalConSangria"/>
      </w:pPr>
      <w:r>
        <w:t>Final</w:t>
      </w:r>
      <w:r w:rsidR="00DF6534">
        <w:t>mente</w:t>
      </w:r>
      <w:r>
        <w:t xml:space="preserve"> está la cuestión de las </w:t>
      </w:r>
      <w:r w:rsidR="00D71DF7" w:rsidRPr="00536806">
        <w:t xml:space="preserve">Crónicas </w:t>
      </w:r>
      <w:r w:rsidRPr="00536806">
        <w:t>e</w:t>
      </w:r>
      <w:r w:rsidR="00536806">
        <w:t>n</w:t>
      </w:r>
      <w:r w:rsidRPr="00536806">
        <w:t xml:space="preserve"> </w:t>
      </w:r>
      <w:r w:rsidR="009B6234">
        <w:t xml:space="preserve">idioma </w:t>
      </w:r>
      <w:proofErr w:type="spellStart"/>
      <w:r w:rsidRPr="00536806">
        <w:t>Talaing</w:t>
      </w:r>
      <w:proofErr w:type="spellEnd"/>
      <w:r>
        <w:t xml:space="preserve"> </w:t>
      </w:r>
      <w:r w:rsidR="00536806">
        <w:t>sobre</w:t>
      </w:r>
      <w:r>
        <w:t xml:space="preserve"> Birmania, que mencionan al </w:t>
      </w:r>
      <w:r w:rsidR="00D71DF7">
        <w:t xml:space="preserve">Venerable </w:t>
      </w:r>
      <w:r w:rsidR="00F03483">
        <w:t>conocido como</w:t>
      </w:r>
      <w:r>
        <w:t xml:space="preserve"> </w:t>
      </w:r>
      <w:r w:rsidR="00057BF4" w:rsidRPr="00F03483">
        <w:rPr>
          <w:iCs/>
        </w:rPr>
        <w:t>Buddha</w:t>
      </w:r>
      <w:r w:rsidRPr="00F03483">
        <w:rPr>
          <w:iCs/>
        </w:rPr>
        <w:t>ghosa</w:t>
      </w:r>
      <w:r>
        <w:t xml:space="preserve">, de </w:t>
      </w:r>
      <w:r w:rsidR="00F03483">
        <w:t xml:space="preserve">casta </w:t>
      </w:r>
      <w:r w:rsidRPr="00DF6534">
        <w:rPr>
          <w:i/>
          <w:iCs/>
        </w:rPr>
        <w:t>Brahman</w:t>
      </w:r>
      <w:r>
        <w:t xml:space="preserve">, </w:t>
      </w:r>
      <w:r w:rsidR="00B24A30">
        <w:t>ellos</w:t>
      </w:r>
      <w:r w:rsidR="00F03483">
        <w:t xml:space="preserve"> </w:t>
      </w:r>
      <w:r w:rsidR="00B24A30">
        <w:t xml:space="preserve">viajaron </w:t>
      </w:r>
      <w:r>
        <w:t>de</w:t>
      </w:r>
      <w:r w:rsidR="009B6234">
        <w:t>sde</w:t>
      </w:r>
      <w:r>
        <w:t xml:space="preserve"> </w:t>
      </w:r>
      <w:proofErr w:type="spellStart"/>
      <w:r>
        <w:t>Thatōn</w:t>
      </w:r>
      <w:proofErr w:type="spellEnd"/>
      <w:r>
        <w:t xml:space="preserve"> (</w:t>
      </w:r>
      <w:r w:rsidR="009B6234">
        <w:t>una</w:t>
      </w:r>
      <w:r>
        <w:t xml:space="preserve"> antigu</w:t>
      </w:r>
      <w:r w:rsidR="00B24A30">
        <w:t>a</w:t>
      </w:r>
      <w:r>
        <w:t xml:space="preserve"> fortaleza budista </w:t>
      </w:r>
      <w:r w:rsidR="00F03483">
        <w:t>de</w:t>
      </w:r>
      <w:r>
        <w:t xml:space="preserve"> </w:t>
      </w:r>
      <w:proofErr w:type="spellStart"/>
      <w:r>
        <w:t>Rāmañadesa</w:t>
      </w:r>
      <w:proofErr w:type="spellEnd"/>
      <w:r>
        <w:t xml:space="preserve"> de Birmania) a Sri Lanka (tal vez a través de la </w:t>
      </w:r>
    </w:p>
    <w:p w14:paraId="5A0F3E72" w14:textId="77777777" w:rsidR="00F125CA" w:rsidRPr="00F125CA" w:rsidRDefault="00F125CA" w:rsidP="00F125CA">
      <w:pPr>
        <w:pStyle w:val="PiedepginaLegal"/>
        <w:rPr>
          <w:u w:val="single"/>
        </w:rPr>
      </w:pPr>
      <w:r w:rsidRPr="00F125CA">
        <w:rPr>
          <w:u w:val="single"/>
        </w:rPr>
        <w:t xml:space="preserve">                                                                                       .</w:t>
      </w:r>
    </w:p>
    <w:p w14:paraId="3702C08E" w14:textId="1B0C36DA" w:rsidR="00F966DE" w:rsidRDefault="00F125CA" w:rsidP="00F125CA">
      <w:pPr>
        <w:pStyle w:val="PiedepginaLegal"/>
      </w:pPr>
      <w:r>
        <w:t xml:space="preserve">16. </w:t>
      </w:r>
      <w:r>
        <w:tab/>
        <w:t xml:space="preserve">Una alusión </w:t>
      </w:r>
      <w:r w:rsidR="00BC019E">
        <w:t>versada</w:t>
      </w:r>
      <w:r>
        <w:t xml:space="preserve"> a</w:t>
      </w:r>
      <w:r w:rsidR="00BC019E">
        <w:t>l</w:t>
      </w:r>
      <w:r>
        <w:t xml:space="preserve"> VIII.1.</w:t>
      </w:r>
    </w:p>
    <w:p w14:paraId="378BA421" w14:textId="53129F0B" w:rsidR="00FF4D05" w:rsidRPr="00DF6534" w:rsidRDefault="009B6234" w:rsidP="00FF4D05">
      <w:pPr>
        <w:rPr>
          <w:vertAlign w:val="superscript"/>
        </w:rPr>
      </w:pPr>
      <w:r>
        <w:lastRenderedPageBreak/>
        <w:t xml:space="preserve">India) para </w:t>
      </w:r>
      <w:r w:rsidR="00F03483">
        <w:t>traducir la</w:t>
      </w:r>
      <w:r w:rsidR="00916E7D">
        <w:t>s</w:t>
      </w:r>
      <w:r w:rsidR="00F03483" w:rsidRPr="00057BF4">
        <w:rPr>
          <w:i/>
        </w:rPr>
        <w:t xml:space="preserve"> </w:t>
      </w:r>
      <w:r w:rsidR="00F03483">
        <w:rPr>
          <w:iCs/>
        </w:rPr>
        <w:t>palabra</w:t>
      </w:r>
      <w:r w:rsidR="00916E7D">
        <w:rPr>
          <w:iCs/>
        </w:rPr>
        <w:t>s</w:t>
      </w:r>
      <w:r w:rsidR="00F03483">
        <w:rPr>
          <w:iCs/>
        </w:rPr>
        <w:t xml:space="preserve"> del </w:t>
      </w:r>
      <w:r w:rsidR="00057BF4" w:rsidRPr="00057BF4">
        <w:rPr>
          <w:i/>
        </w:rPr>
        <w:t>Buddha</w:t>
      </w:r>
      <w:r w:rsidR="00FF4D05">
        <w:t xml:space="preserve"> </w:t>
      </w:r>
      <w:r w:rsidR="00B24A30">
        <w:t>al</w:t>
      </w:r>
      <w:r w:rsidR="00FF4D05">
        <w:t xml:space="preserve"> </w:t>
      </w:r>
      <w:proofErr w:type="spellStart"/>
      <w:r w:rsidR="00DF6534">
        <w:t>Talaing</w:t>
      </w:r>
      <w:proofErr w:type="spellEnd"/>
      <w:r w:rsidR="00DF6534">
        <w:t xml:space="preserve"> </w:t>
      </w:r>
      <w:r w:rsidR="00FF4D05">
        <w:t xml:space="preserve">y </w:t>
      </w:r>
      <w:r w:rsidR="004108E9">
        <w:t>llevarl</w:t>
      </w:r>
      <w:r w:rsidR="00AB423D">
        <w:t>a</w:t>
      </w:r>
      <w:r w:rsidR="00916E7D">
        <w:t>s</w:t>
      </w:r>
      <w:r w:rsidR="004108E9">
        <w:t xml:space="preserve"> de regreso</w:t>
      </w:r>
      <w:r w:rsidR="00FF4D05">
        <w:t xml:space="preserve">. Es difícil evaluar esta tradición </w:t>
      </w:r>
      <w:r w:rsidR="004108E9">
        <w:t>con</w:t>
      </w:r>
      <w:r w:rsidR="00FF4D05">
        <w:t xml:space="preserve"> la evidencia disponible; </w:t>
      </w:r>
      <w:r w:rsidR="00AB423D">
        <w:t xml:space="preserve">pero </w:t>
      </w:r>
      <w:r w:rsidR="00FF4D05">
        <w:t xml:space="preserve">según la opinión de eruditos occidentales más confiables, otro </w:t>
      </w:r>
      <w:r w:rsidR="004108E9">
        <w:t xml:space="preserve">venerable </w:t>
      </w:r>
      <w:r w:rsidR="00FF4D05">
        <w:t>del mismo nombre est</w:t>
      </w:r>
      <w:r w:rsidR="004108E9">
        <w:t>aría</w:t>
      </w:r>
      <w:r w:rsidR="00FF4D05">
        <w:t xml:space="preserve"> involucrado aquí.</w:t>
      </w:r>
      <w:r w:rsidR="00DF6534">
        <w:rPr>
          <w:vertAlign w:val="superscript"/>
        </w:rPr>
        <w:t>17</w:t>
      </w:r>
    </w:p>
    <w:p w14:paraId="03246168" w14:textId="45BAB8EC" w:rsidR="00FF4D05" w:rsidRDefault="00FF4D05" w:rsidP="003C310A">
      <w:pPr>
        <w:pStyle w:val="NormalConSangria"/>
      </w:pPr>
      <w:r>
        <w:t>Lo que se pued</w:t>
      </w:r>
      <w:r w:rsidR="002553DF">
        <w:t>a</w:t>
      </w:r>
      <w:r>
        <w:t xml:space="preserve"> decir del autor de</w:t>
      </w:r>
      <w:r w:rsidR="004108E9">
        <w:t>l</w:t>
      </w:r>
      <w:r>
        <w:t xml:space="preserve"> </w:t>
      </w:r>
      <w:r w:rsidRPr="00DF6534">
        <w:rPr>
          <w:i/>
          <w:iCs/>
        </w:rPr>
        <w:t>Visuddhimagga</w:t>
      </w:r>
      <w:r w:rsidR="00AB423D">
        <w:rPr>
          <w:i/>
          <w:iCs/>
        </w:rPr>
        <w:t>,</w:t>
      </w:r>
      <w:r>
        <w:t xml:space="preserve"> sin aventurarse en especulaciones infundadas</w:t>
      </w:r>
      <w:r w:rsidR="00AB423D">
        <w:t>,</w:t>
      </w:r>
      <w:r>
        <w:t xml:space="preserve"> ahora </w:t>
      </w:r>
      <w:r w:rsidR="002553DF">
        <w:t>ha desaparecido</w:t>
      </w:r>
      <w:r>
        <w:t>, al menos en la medida en que el alcance restringido de esta introducción lo permit</w:t>
      </w:r>
      <w:r w:rsidR="00F54D73">
        <w:t>e</w:t>
      </w:r>
      <w:r>
        <w:t xml:space="preserve">. Los hechos </w:t>
      </w:r>
      <w:r w:rsidR="00F54D73">
        <w:t xml:space="preserve">factuales </w:t>
      </w:r>
      <w:r>
        <w:t xml:space="preserve">son tentadoramente pocos. De hecho, esto, como muchas escenas en la historia </w:t>
      </w:r>
      <w:r w:rsidR="00185BD4">
        <w:t xml:space="preserve">de la </w:t>
      </w:r>
      <w:r w:rsidR="00BC68D1">
        <w:t>India</w:t>
      </w:r>
      <w:r>
        <w:t>, tiene algo de las transparencias enigmáticas y sombr</w:t>
      </w:r>
      <w:r w:rsidR="00BC68D1">
        <w:t>ía</w:t>
      </w:r>
      <w:r>
        <w:t xml:space="preserve">s poco comunicativas de un paisaje iluminado por la </w:t>
      </w:r>
      <w:r w:rsidR="00BC68D1">
        <w:t>Luna</w:t>
      </w:r>
      <w:r>
        <w:t xml:space="preserve"> </w:t>
      </w:r>
      <w:r w:rsidR="00CF21EC">
        <w:t>―</w:t>
      </w:r>
      <w:r w:rsidR="000D208F">
        <w:t xml:space="preserve"> </w:t>
      </w:r>
      <w:r>
        <w:t>al mismo tiempo</w:t>
      </w:r>
      <w:r w:rsidR="00D974B6">
        <w:t>,</w:t>
      </w:r>
      <w:r>
        <w:t xml:space="preserve"> </w:t>
      </w:r>
      <w:r w:rsidR="00CF21EC">
        <w:t xml:space="preserve">posee algo </w:t>
      </w:r>
      <w:r w:rsidR="000D208F">
        <w:t xml:space="preserve">de </w:t>
      </w:r>
      <w:r>
        <w:t xml:space="preserve">ineludible e </w:t>
      </w:r>
      <w:r w:rsidR="00DF6534">
        <w:t>incomprensible</w:t>
      </w:r>
      <w:r w:rsidR="00D974B6">
        <w:t xml:space="preserve"> naturaleza</w:t>
      </w:r>
      <w:r>
        <w:t>.</w:t>
      </w:r>
    </w:p>
    <w:p w14:paraId="5715FE08" w14:textId="0434B53E" w:rsidR="00FF4D05" w:rsidRDefault="00FF4D05" w:rsidP="003C310A">
      <w:pPr>
        <w:pStyle w:val="NormalConSangria"/>
      </w:pPr>
      <w:r>
        <w:t xml:space="preserve">Sin embargo, alguna respuesta ha sido </w:t>
      </w:r>
      <w:r w:rsidR="000D208F">
        <w:t>ajustada</w:t>
      </w:r>
      <w:r>
        <w:t xml:space="preserve"> a las dos preguntas: ¿por qué </w:t>
      </w:r>
      <w:r w:rsidR="00BA214A">
        <w:t>fue</w:t>
      </w:r>
      <w:r>
        <w:t xml:space="preserve"> a Sri Lanka? ¿Y por qué </w:t>
      </w:r>
      <w:r w:rsidR="00821D36">
        <w:t>su</w:t>
      </w:r>
      <w:r>
        <w:t xml:space="preserve"> trabajo se hizo </w:t>
      </w:r>
      <w:r w:rsidR="00CD05A4">
        <w:t xml:space="preserve">tan </w:t>
      </w:r>
      <w:r>
        <w:t xml:space="preserve">famoso </w:t>
      </w:r>
      <w:r w:rsidR="00CD05A4">
        <w:t xml:space="preserve">y </w:t>
      </w:r>
      <w:r w:rsidR="00BD7F71">
        <w:t xml:space="preserve">llegó </w:t>
      </w:r>
      <w:r>
        <w:t>más allá de</w:t>
      </w:r>
      <w:r w:rsidR="00BA214A">
        <w:t xml:space="preserve"> </w:t>
      </w:r>
      <w:r w:rsidR="00172ADF">
        <w:t>l</w:t>
      </w:r>
      <w:r w:rsidR="00BA214A">
        <w:t>as</w:t>
      </w:r>
      <w:r>
        <w:t xml:space="preserve"> </w:t>
      </w:r>
      <w:r w:rsidR="00BA214A">
        <w:t xml:space="preserve">fronteras </w:t>
      </w:r>
      <w:r w:rsidR="00172ADF">
        <w:t>del país</w:t>
      </w:r>
      <w:r>
        <w:t xml:space="preserve">? </w:t>
      </w:r>
      <w:r w:rsidR="00F64A39">
        <w:t xml:space="preserve">Tendencias tales </w:t>
      </w:r>
      <w:r w:rsidR="002C3965">
        <w:t>t</w:t>
      </w:r>
      <w:r w:rsidR="00F64A39">
        <w:t xml:space="preserve">al </w:t>
      </w:r>
      <w:r w:rsidR="002C3965">
        <w:t>como la</w:t>
      </w:r>
      <w:r w:rsidR="00B23EC0">
        <w:t>s</w:t>
      </w:r>
      <w:r w:rsidR="002C3965">
        <w:t xml:space="preserve"> </w:t>
      </w:r>
      <w:r w:rsidR="00F64A39">
        <w:t xml:space="preserve">que </w:t>
      </w:r>
      <w:r>
        <w:t>se ha</w:t>
      </w:r>
      <w:r w:rsidR="00B23EC0">
        <w:t>n</w:t>
      </w:r>
      <w:r>
        <w:t xml:space="preserve"> descrito, </w:t>
      </w:r>
      <w:r w:rsidR="00EE77DE">
        <w:t xml:space="preserve">las cuales </w:t>
      </w:r>
      <w:r w:rsidR="002C3965">
        <w:t>no funcionan</w:t>
      </w:r>
      <w:r>
        <w:t xml:space="preserve"> del todo </w:t>
      </w:r>
      <w:r w:rsidR="002C3965">
        <w:t xml:space="preserve">en </w:t>
      </w:r>
      <w:r>
        <w:t xml:space="preserve">paralelo en la </w:t>
      </w:r>
      <w:r w:rsidR="00053984">
        <w:t xml:space="preserve">tradición </w:t>
      </w:r>
      <w:proofErr w:type="spellStart"/>
      <w:r w:rsidRPr="00DF6534">
        <w:rPr>
          <w:i/>
          <w:iCs/>
        </w:rPr>
        <w:t>Therv</w:t>
      </w:r>
      <w:r w:rsidR="00DF6534" w:rsidRPr="00DF6534">
        <w:rPr>
          <w:i/>
          <w:iCs/>
        </w:rPr>
        <w:t>āda</w:t>
      </w:r>
      <w:proofErr w:type="spellEnd"/>
      <w:r>
        <w:t xml:space="preserve"> </w:t>
      </w:r>
      <w:r w:rsidR="002C3965">
        <w:t xml:space="preserve">de la </w:t>
      </w:r>
      <w:r>
        <w:t>India y Sri Lanka, ha</w:t>
      </w:r>
      <w:r w:rsidR="00172ADF">
        <w:t>n</w:t>
      </w:r>
      <w:r>
        <w:t xml:space="preserve"> evolucionado </w:t>
      </w:r>
      <w:r w:rsidR="00BD7F71">
        <w:t xml:space="preserve">en </w:t>
      </w:r>
      <w:r>
        <w:t>una situación que favorec</w:t>
      </w:r>
      <w:r w:rsidR="00EE77DE">
        <w:t>er</w:t>
      </w:r>
      <w:r>
        <w:t xml:space="preserve">ía </w:t>
      </w:r>
      <w:r w:rsidR="00BD7F71">
        <w:t>al</w:t>
      </w:r>
      <w:r>
        <w:t xml:space="preserve"> </w:t>
      </w:r>
      <w:r w:rsidR="00EE77DE">
        <w:t xml:space="preserve">resurgimiento </w:t>
      </w:r>
      <w:r>
        <w:t>de</w:t>
      </w:r>
      <w:r w:rsidR="00EE77DE">
        <w:t>l idioma</w:t>
      </w:r>
      <w:r>
        <w:t xml:space="preserve"> </w:t>
      </w:r>
      <w:r w:rsidR="00EE77DE">
        <w:rPr>
          <w:i/>
          <w:iCs/>
        </w:rPr>
        <w:t>Pāḷi</w:t>
      </w:r>
      <w:r>
        <w:t>, y en consecuencia</w:t>
      </w:r>
      <w:r w:rsidR="00BA214A">
        <w:t>,</w:t>
      </w:r>
      <w:r>
        <w:t xml:space="preserve"> </w:t>
      </w:r>
      <w:r w:rsidR="00EE77DE">
        <w:t>la cuestión</w:t>
      </w:r>
      <w:r>
        <w:t xml:space="preserve"> </w:t>
      </w:r>
      <w:r w:rsidR="00BD7F71">
        <w:t xml:space="preserve">no </w:t>
      </w:r>
      <w:r w:rsidR="00D14C3D">
        <w:t>resultó</w:t>
      </w:r>
      <w:r w:rsidR="00BD7F71">
        <w:t xml:space="preserve"> solo</w:t>
      </w:r>
      <w:r>
        <w:t xml:space="preserve"> de interés </w:t>
      </w:r>
      <w:r w:rsidR="00D14C3D">
        <w:t>para</w:t>
      </w:r>
      <w:r w:rsidR="00EE77DE">
        <w:t xml:space="preserve"> Sri </w:t>
      </w:r>
      <w:r>
        <w:t xml:space="preserve">Lanka, donde se conservó el </w:t>
      </w:r>
      <w:r w:rsidR="00EE77DE">
        <w:t xml:space="preserve">antiguo </w:t>
      </w:r>
      <w:r>
        <w:t xml:space="preserve">material. Una vez más, el autor </w:t>
      </w:r>
      <w:r w:rsidR="0029272B">
        <w:t xml:space="preserve">era </w:t>
      </w:r>
      <w:r>
        <w:t>sobresal</w:t>
      </w:r>
      <w:r w:rsidR="0029272B">
        <w:t>ie</w:t>
      </w:r>
      <w:r>
        <w:t xml:space="preserve">nte solo </w:t>
      </w:r>
      <w:r w:rsidR="0029272B">
        <w:t xml:space="preserve">en </w:t>
      </w:r>
      <w:r>
        <w:t xml:space="preserve">aquellos </w:t>
      </w:r>
      <w:r w:rsidR="0029272B">
        <w:t xml:space="preserve">rasgos </w:t>
      </w:r>
      <w:r>
        <w:t>personales que se adapt</w:t>
      </w:r>
      <w:r w:rsidR="00172ADF">
        <w:t>ab</w:t>
      </w:r>
      <w:r>
        <w:t>a</w:t>
      </w:r>
      <w:r w:rsidR="005A7AA8">
        <w:t>n</w:t>
      </w:r>
      <w:r>
        <w:t xml:space="preserve"> a la necesidad</w:t>
      </w:r>
      <w:r w:rsidR="005A7AA8">
        <w:t xml:space="preserve"> del caso ―</w:t>
      </w:r>
      <w:r>
        <w:t xml:space="preserve"> precisión, </w:t>
      </w:r>
      <w:r w:rsidR="00172ADF">
        <w:t xml:space="preserve">un infatigable </w:t>
      </w:r>
      <w:r>
        <w:t xml:space="preserve">orden mental y una idea capaz de cristalizar la vasta exégesis acumulada </w:t>
      </w:r>
      <w:r w:rsidR="00D14C3D">
        <w:t>sobre</w:t>
      </w:r>
      <w:r w:rsidR="009F6200">
        <w:t xml:space="preserve"> e</w:t>
      </w:r>
      <w:r>
        <w:t>l</w:t>
      </w:r>
      <w:r w:rsidR="009F6200">
        <w:t xml:space="preserve"> </w:t>
      </w:r>
      <w:r w:rsidR="00DF6534" w:rsidRPr="00DF6534">
        <w:rPr>
          <w:i/>
          <w:iCs/>
        </w:rPr>
        <w:t>Tipiṭaka</w:t>
      </w:r>
      <w:r w:rsidR="00DF6534">
        <w:t xml:space="preserve"> </w:t>
      </w:r>
      <w:r>
        <w:t>en un</w:t>
      </w:r>
      <w:r w:rsidR="009F6200">
        <w:t>a</w:t>
      </w:r>
      <w:r>
        <w:t xml:space="preserve"> coherente </w:t>
      </w:r>
      <w:r w:rsidR="009F6200">
        <w:t>totalidad</w:t>
      </w:r>
      <w:r w:rsidR="000A1577">
        <w:t>,</w:t>
      </w:r>
      <w:r>
        <w:t xml:space="preserve"> </w:t>
      </w:r>
      <w:r w:rsidR="00CB0489">
        <w:t>con un estilo</w:t>
      </w:r>
      <w:r>
        <w:t xml:space="preserve"> digno </w:t>
      </w:r>
      <w:r w:rsidR="00CB0489">
        <w:t xml:space="preserve">y </w:t>
      </w:r>
      <w:r>
        <w:t xml:space="preserve">vital, </w:t>
      </w:r>
      <w:r w:rsidR="000A1577">
        <w:t xml:space="preserve">con </w:t>
      </w:r>
      <w:r w:rsidR="00306C9F">
        <w:t>respeto hacia la autenticidad</w:t>
      </w:r>
      <w:r>
        <w:t xml:space="preserve"> y disgusto </w:t>
      </w:r>
      <w:r w:rsidR="00306C9F">
        <w:t xml:space="preserve">hacia la </w:t>
      </w:r>
      <w:r>
        <w:t xml:space="preserve">especulación, y (en circunstancias </w:t>
      </w:r>
      <w:r w:rsidR="00B17260">
        <w:t>para nada</w:t>
      </w:r>
      <w:r>
        <w:t xml:space="preserve"> paradójicas) </w:t>
      </w:r>
      <w:r w:rsidR="00B17260">
        <w:t xml:space="preserve">una </w:t>
      </w:r>
      <w:r>
        <w:t xml:space="preserve">preferencia </w:t>
      </w:r>
      <w:r w:rsidR="000A1577">
        <w:t xml:space="preserve">singular </w:t>
      </w:r>
      <w:r>
        <w:t xml:space="preserve">por </w:t>
      </w:r>
      <w:proofErr w:type="gramStart"/>
      <w:r w:rsidR="00406E15">
        <w:t>la auto</w:t>
      </w:r>
      <w:proofErr w:type="gramEnd"/>
      <w:r w:rsidR="00FB507A">
        <w:t>–</w:t>
      </w:r>
      <w:r w:rsidR="007909EF">
        <w:t>purificación</w:t>
      </w:r>
      <w:r>
        <w:t xml:space="preserve">. El ímpetu dado por él </w:t>
      </w:r>
      <w:r w:rsidR="004958AA">
        <w:t>a</w:t>
      </w:r>
      <w:r w:rsidR="00F74648">
        <w:t xml:space="preserve"> </w:t>
      </w:r>
      <w:r w:rsidR="00DF6534">
        <w:t>l</w:t>
      </w:r>
      <w:r w:rsidR="00F74648">
        <w:t>a erudición del</w:t>
      </w:r>
      <w:r>
        <w:t xml:space="preserve"> </w:t>
      </w:r>
      <w:r w:rsidR="00F74648">
        <w:rPr>
          <w:i/>
          <w:iCs/>
        </w:rPr>
        <w:t>Pāḷi</w:t>
      </w:r>
      <w:r>
        <w:t xml:space="preserve"> es una marca indeleble a </w:t>
      </w:r>
      <w:r w:rsidR="00F74648">
        <w:t xml:space="preserve">través de </w:t>
      </w:r>
      <w:r>
        <w:t xml:space="preserve">los siglos que </w:t>
      </w:r>
      <w:r w:rsidR="00F74648">
        <w:t xml:space="preserve">le </w:t>
      </w:r>
      <w:r>
        <w:t>siguieron, lo que le permit</w:t>
      </w:r>
      <w:r w:rsidR="009F7950">
        <w:t>ió</w:t>
      </w:r>
      <w:r>
        <w:t xml:space="preserve"> sobrevivir de</w:t>
      </w:r>
      <w:r w:rsidR="009F7950">
        <w:t>sde</w:t>
      </w:r>
      <w:r>
        <w:t xml:space="preserve"> entonces </w:t>
      </w:r>
      <w:r w:rsidR="009F7950">
        <w:t>a</w:t>
      </w:r>
      <w:r>
        <w:t xml:space="preserve"> </w:t>
      </w:r>
      <w:r w:rsidR="009F7950">
        <w:t>su</w:t>
      </w:r>
      <w:r>
        <w:t xml:space="preserve"> victoria </w:t>
      </w:r>
      <w:r w:rsidR="009F7950">
        <w:t xml:space="preserve">sobre </w:t>
      </w:r>
      <w:r w:rsidR="004958AA">
        <w:t xml:space="preserve">el </w:t>
      </w:r>
      <w:r>
        <w:t>sánscrit</w:t>
      </w:r>
      <w:r w:rsidR="009F7950">
        <w:t>o</w:t>
      </w:r>
      <w:r>
        <w:t xml:space="preserve">, así como </w:t>
      </w:r>
      <w:r w:rsidR="004958AA">
        <w:t>a</w:t>
      </w:r>
      <w:r w:rsidR="006F5441">
        <w:t xml:space="preserve"> </w:t>
      </w:r>
      <w:r>
        <w:t>l</w:t>
      </w:r>
      <w:r w:rsidR="006F5441">
        <w:t>os</w:t>
      </w:r>
      <w:r>
        <w:t xml:space="preserve"> cisma</w:t>
      </w:r>
      <w:r w:rsidR="006F5441">
        <w:t>s</w:t>
      </w:r>
      <w:r>
        <w:t xml:space="preserve"> continu</w:t>
      </w:r>
      <w:r w:rsidR="004958AA">
        <w:t>o</w:t>
      </w:r>
      <w:r w:rsidR="006F5441">
        <w:t>s</w:t>
      </w:r>
      <w:r w:rsidR="000A1577">
        <w:t>,</w:t>
      </w:r>
      <w:r>
        <w:t xml:space="preserve"> </w:t>
      </w:r>
      <w:r w:rsidR="004958AA">
        <w:t xml:space="preserve">a </w:t>
      </w:r>
      <w:r>
        <w:t>las dificultades políticas</w:t>
      </w:r>
      <w:r w:rsidR="000A1577">
        <w:t xml:space="preserve"> y</w:t>
      </w:r>
      <w:r>
        <w:t xml:space="preserve"> </w:t>
      </w:r>
      <w:r w:rsidR="000A1577">
        <w:t xml:space="preserve">a </w:t>
      </w:r>
      <w:r>
        <w:t>los desastres que acosaron a Sr</w:t>
      </w:r>
      <w:r w:rsidR="00DF6534">
        <w:t>i</w:t>
      </w:r>
      <w:r>
        <w:t xml:space="preserve"> Lanka </w:t>
      </w:r>
      <w:r w:rsidR="004958AA">
        <w:t>durante</w:t>
      </w:r>
      <w:r>
        <w:t xml:space="preserve"> </w:t>
      </w:r>
      <w:r w:rsidR="004958AA">
        <w:t>el</w:t>
      </w:r>
      <w:r>
        <w:t xml:space="preserve"> "segund</w:t>
      </w:r>
      <w:r w:rsidR="004958AA">
        <w:t>o</w:t>
      </w:r>
      <w:r>
        <w:t xml:space="preserve"> renac</w:t>
      </w:r>
      <w:r w:rsidR="004958AA">
        <w:t>imiento</w:t>
      </w:r>
      <w:r>
        <w:t xml:space="preserve">".  Una larga época de cultura </w:t>
      </w:r>
      <w:r w:rsidR="00142FC6">
        <w:t>re</w:t>
      </w:r>
      <w:r w:rsidR="004556B5">
        <w:t>nació a partir</w:t>
      </w:r>
      <w:r>
        <w:t xml:space="preserve"> de él. Sus sucesores en la </w:t>
      </w:r>
      <w:r w:rsidR="004958AA">
        <w:t xml:space="preserve">tradición </w:t>
      </w:r>
      <w:r>
        <w:t>de</w:t>
      </w:r>
      <w:r w:rsidR="004958AA">
        <w:t>l</w:t>
      </w:r>
      <w:r>
        <w:t xml:space="preserve"> </w:t>
      </w:r>
      <w:r w:rsidR="004958AA">
        <w:t xml:space="preserve">Gran </w:t>
      </w:r>
      <w:r>
        <w:t>Monaster</w:t>
      </w:r>
      <w:r w:rsidR="00DF6534">
        <w:t>io</w:t>
      </w:r>
      <w:r>
        <w:t xml:space="preserve"> continuaron escribiendo en varios centros en el </w:t>
      </w:r>
      <w:r w:rsidR="00F77906">
        <w:t xml:space="preserve">Sur </w:t>
      </w:r>
      <w:r>
        <w:t>de la India hasta el siglo XII</w:t>
      </w:r>
      <w:r w:rsidR="00F77906">
        <w:t>,</w:t>
      </w:r>
      <w:r>
        <w:t xml:space="preserve"> más o menos, mientras que </w:t>
      </w:r>
      <w:r w:rsidR="00F77906">
        <w:t xml:space="preserve">sus </w:t>
      </w:r>
      <w:r>
        <w:t xml:space="preserve">propias obras se extendieron </w:t>
      </w:r>
      <w:r w:rsidR="00F77906">
        <w:t>hasta</w:t>
      </w:r>
      <w:r>
        <w:t xml:space="preserve"> Birmania y más allá</w:t>
      </w:r>
      <w:r w:rsidR="00142FC6">
        <w:t xml:space="preserve"> de él</w:t>
      </w:r>
      <w:r>
        <w:t>. Hoy</w:t>
      </w:r>
      <w:r w:rsidR="00142FC6">
        <w:t>,</w:t>
      </w:r>
      <w:r>
        <w:t xml:space="preserve"> en Sri Lanka y el sudeste asiático, su autoridad </w:t>
      </w:r>
      <w:r w:rsidR="00172ADF">
        <w:t>posee tan profunda relevancia</w:t>
      </w:r>
      <w:r>
        <w:t xml:space="preserve"> como </w:t>
      </w:r>
      <w:r w:rsidR="00172ADF">
        <w:t xml:space="preserve">la ha tenido </w:t>
      </w:r>
      <w:r>
        <w:t xml:space="preserve">siempre y su </w:t>
      </w:r>
      <w:r w:rsidR="00172ADF">
        <w:t>re</w:t>
      </w:r>
      <w:r>
        <w:t xml:space="preserve">nombre se </w:t>
      </w:r>
      <w:r w:rsidR="00172ADF">
        <w:t>vislumbra</w:t>
      </w:r>
      <w:r>
        <w:t xml:space="preserve"> </w:t>
      </w:r>
      <w:r w:rsidR="004556B5">
        <w:t>en la actualidad</w:t>
      </w:r>
      <w:r w:rsidR="00172ADF">
        <w:t xml:space="preserve"> como en el pasado</w:t>
      </w:r>
      <w:r>
        <w:t>.</w:t>
      </w:r>
    </w:p>
    <w:p w14:paraId="01BF6602" w14:textId="789BCDDB" w:rsidR="00FF4D05" w:rsidRDefault="00FF4D05" w:rsidP="003C310A">
      <w:pPr>
        <w:pStyle w:val="Ttulo3"/>
        <w:ind w:left="708"/>
      </w:pPr>
      <w:r>
        <w:t xml:space="preserve">El </w:t>
      </w:r>
      <w:proofErr w:type="spellStart"/>
      <w:r w:rsidR="003C310A">
        <w:t>Vimuttimagga</w:t>
      </w:r>
      <w:proofErr w:type="spellEnd"/>
    </w:p>
    <w:p w14:paraId="26B8F9D3" w14:textId="066808DC" w:rsidR="00FF4D05" w:rsidRDefault="00FF4D05" w:rsidP="00FF4D05">
      <w:r>
        <w:t xml:space="preserve">Además de los libros en </w:t>
      </w:r>
      <w:r w:rsidR="007663CA">
        <w:t>Cingalés</w:t>
      </w:r>
      <w:r w:rsidR="00517C37">
        <w:t>,</w:t>
      </w:r>
      <w:r w:rsidR="007663CA">
        <w:t xml:space="preserve"> </w:t>
      </w:r>
      <w:proofErr w:type="spellStart"/>
      <w:r>
        <w:t>Bhadantācariya</w:t>
      </w:r>
      <w:proofErr w:type="spellEnd"/>
      <w:r>
        <w:t xml:space="preserve"> </w:t>
      </w:r>
      <w:r w:rsidR="00057BF4" w:rsidRPr="00605FC9">
        <w:rPr>
          <w:iCs/>
        </w:rPr>
        <w:t>Buddha</w:t>
      </w:r>
      <w:r w:rsidRPr="00605FC9">
        <w:rPr>
          <w:iCs/>
        </w:rPr>
        <w:t>ghosa</w:t>
      </w:r>
      <w:r>
        <w:t xml:space="preserve"> </w:t>
      </w:r>
      <w:r w:rsidR="00DF6534">
        <w:t xml:space="preserve">nombra </w:t>
      </w:r>
      <w:r w:rsidR="003B5A7D">
        <w:t xml:space="preserve">entre los que le </w:t>
      </w:r>
      <w:r w:rsidR="00F63548">
        <w:t>estaban</w:t>
      </w:r>
      <w:r>
        <w:t xml:space="preserve"> disponibles (que </w:t>
      </w:r>
      <w:r w:rsidR="003B5A7D">
        <w:t xml:space="preserve">ahora </w:t>
      </w:r>
      <w:r>
        <w:t>han desaparecido) un manual (existente ahora solo en una traducción china del siglo VI), presumi</w:t>
      </w:r>
      <w:r w:rsidR="003B5A7D">
        <w:t>blemente</w:t>
      </w:r>
      <w:r>
        <w:t xml:space="preserve"> en </w:t>
      </w:r>
      <w:r w:rsidRPr="00187D69">
        <w:rPr>
          <w:i/>
          <w:iCs/>
        </w:rPr>
        <w:t>Pāḷi</w:t>
      </w:r>
      <w:r>
        <w:t xml:space="preserve">. </w:t>
      </w:r>
      <w:proofErr w:type="spellStart"/>
      <w:r>
        <w:t>Bhadantācariya</w:t>
      </w:r>
      <w:proofErr w:type="spellEnd"/>
      <w:r>
        <w:t xml:space="preserve"> </w:t>
      </w:r>
      <w:r w:rsidR="00057BF4" w:rsidRPr="003B5A7D">
        <w:rPr>
          <w:iCs/>
        </w:rPr>
        <w:t>Buddha</w:t>
      </w:r>
      <w:r w:rsidR="00DF6534" w:rsidRPr="003B5A7D">
        <w:rPr>
          <w:iCs/>
        </w:rPr>
        <w:t>ghosa</w:t>
      </w:r>
      <w:r w:rsidR="00DF6534">
        <w:t xml:space="preserve"> </w:t>
      </w:r>
      <w:r>
        <w:t xml:space="preserve">no hace </w:t>
      </w:r>
      <w:r w:rsidR="003B5A7D">
        <w:t>mención</w:t>
      </w:r>
      <w:r>
        <w:t xml:space="preserve"> </w:t>
      </w:r>
      <w:proofErr w:type="gramStart"/>
      <w:r w:rsidR="004D4CB1">
        <w:t>a</w:t>
      </w:r>
      <w:r w:rsidR="00315BF7">
        <w:t>l</w:t>
      </w:r>
      <w:proofErr w:type="gramEnd"/>
      <w:r w:rsidR="00315BF7">
        <w:t xml:space="preserve"> </w:t>
      </w:r>
      <w:r w:rsidR="004D4CB1">
        <w:t>respecto</w:t>
      </w:r>
      <w:r>
        <w:t xml:space="preserve">; </w:t>
      </w:r>
      <w:r w:rsidR="00B86398">
        <w:t>p</w:t>
      </w:r>
      <w:r>
        <w:t xml:space="preserve">ero su comentarista, </w:t>
      </w:r>
      <w:proofErr w:type="spellStart"/>
      <w:r>
        <w:t>Bhadantācariya</w:t>
      </w:r>
      <w:proofErr w:type="spellEnd"/>
      <w:r>
        <w:t xml:space="preserve"> </w:t>
      </w:r>
      <w:proofErr w:type="spellStart"/>
      <w:r w:rsidR="00057BF4" w:rsidRPr="004D4CB1">
        <w:rPr>
          <w:iCs/>
        </w:rPr>
        <w:t>Dhamma</w:t>
      </w:r>
      <w:r w:rsidR="00DF6534" w:rsidRPr="004D4CB1">
        <w:rPr>
          <w:iCs/>
        </w:rPr>
        <w:t>pāla</w:t>
      </w:r>
      <w:proofErr w:type="spellEnd"/>
      <w:r w:rsidR="00DF6534">
        <w:t xml:space="preserve"> </w:t>
      </w:r>
      <w:r>
        <w:t>(</w:t>
      </w:r>
      <w:r w:rsidR="005D074E">
        <w:t xml:space="preserve">quien </w:t>
      </w:r>
      <w:r>
        <w:t>escribi</w:t>
      </w:r>
      <w:r w:rsidR="005D074E">
        <w:t>ó</w:t>
      </w:r>
      <w:r>
        <w:t xml:space="preserve"> quizás dos siglos</w:t>
      </w:r>
      <w:r w:rsidR="00315BF7" w:rsidRPr="00315BF7">
        <w:t xml:space="preserve"> </w:t>
      </w:r>
      <w:r w:rsidR="00315BF7">
        <w:t>después de él</w:t>
      </w:r>
      <w:r>
        <w:t xml:space="preserve">), lo menciona por su nombre (ver Ch. III, n. 19). El </w:t>
      </w:r>
      <w:r w:rsidRPr="00DF6534">
        <w:rPr>
          <w:i/>
          <w:iCs/>
        </w:rPr>
        <w:t>Visuddhimagga</w:t>
      </w:r>
      <w:r>
        <w:t xml:space="preserve"> refuta cierto método para clasificar l</w:t>
      </w:r>
      <w:r w:rsidR="00B86398">
        <w:t>os</w:t>
      </w:r>
      <w:r>
        <w:t xml:space="preserve"> temperamento</w:t>
      </w:r>
      <w:r w:rsidR="00B86398">
        <w:t>s</w:t>
      </w:r>
      <w:r>
        <w:t xml:space="preserve"> como poco sólido. El </w:t>
      </w:r>
      <w:r w:rsidR="005D074E">
        <w:t>Venerable</w:t>
      </w:r>
      <w:r>
        <w:t xml:space="preserve"> </w:t>
      </w:r>
      <w:proofErr w:type="spellStart"/>
      <w:r w:rsidR="00057BF4" w:rsidRPr="005D074E">
        <w:t>Dhamma</w:t>
      </w:r>
      <w:r w:rsidRPr="005D074E">
        <w:t>pāla</w:t>
      </w:r>
      <w:proofErr w:type="spellEnd"/>
      <w:r>
        <w:t xml:space="preserve"> </w:t>
      </w:r>
      <w:r w:rsidR="00790B49">
        <w:t>suscribe</w:t>
      </w:r>
      <w:r>
        <w:t xml:space="preserve"> la teoría refutada al </w:t>
      </w:r>
      <w:proofErr w:type="spellStart"/>
      <w:r w:rsidRPr="00DF6534">
        <w:rPr>
          <w:i/>
          <w:iCs/>
        </w:rPr>
        <w:t>Vimuttimagga</w:t>
      </w:r>
      <w:proofErr w:type="spellEnd"/>
      <w:r>
        <w:t>. La teoría referida se encuentra</w:t>
      </w:r>
      <w:r w:rsidR="00B86398">
        <w:t>,</w:t>
      </w:r>
      <w:r>
        <w:t xml:space="preserve"> </w:t>
      </w:r>
      <w:r w:rsidR="00EC005F">
        <w:t xml:space="preserve">en </w:t>
      </w:r>
      <w:r>
        <w:t>real</w:t>
      </w:r>
      <w:r w:rsidR="00EC005F">
        <w:t>idad</w:t>
      </w:r>
      <w:r w:rsidR="00B86398">
        <w:t>,</w:t>
      </w:r>
      <w:r>
        <w:t xml:space="preserve"> en la versión china. Luego</w:t>
      </w:r>
      <w:r w:rsidR="00B86398">
        <w:t>,</w:t>
      </w:r>
      <w:r>
        <w:t xml:space="preserve"> se </w:t>
      </w:r>
      <w:r w:rsidR="00EC005F">
        <w:t xml:space="preserve">pueden </w:t>
      </w:r>
      <w:r>
        <w:t>enc</w:t>
      </w:r>
      <w:r w:rsidR="00EC005F">
        <w:t>o</w:t>
      </w:r>
      <w:r>
        <w:t>ntra</w:t>
      </w:r>
      <w:r w:rsidR="00EC005F">
        <w:t>r</w:t>
      </w:r>
      <w:r>
        <w:t xml:space="preserve"> </w:t>
      </w:r>
      <w:r w:rsidR="00AE638F">
        <w:t>en el</w:t>
      </w:r>
      <w:r w:rsidR="00AE638F" w:rsidRPr="00AE638F">
        <w:rPr>
          <w:i/>
          <w:iCs/>
        </w:rPr>
        <w:t xml:space="preserve"> </w:t>
      </w:r>
      <w:proofErr w:type="spellStart"/>
      <w:r w:rsidR="00AE638F" w:rsidRPr="00DF6534">
        <w:rPr>
          <w:i/>
          <w:iCs/>
        </w:rPr>
        <w:t>Vimuttimagga</w:t>
      </w:r>
      <w:proofErr w:type="spellEnd"/>
      <w:r w:rsidR="00AE638F">
        <w:t xml:space="preserve"> </w:t>
      </w:r>
      <w:r>
        <w:t xml:space="preserve">otros puntos rechazados por </w:t>
      </w:r>
      <w:r w:rsidR="00EC005F">
        <w:t xml:space="preserve">el </w:t>
      </w:r>
    </w:p>
    <w:p w14:paraId="2154D5BE" w14:textId="77777777" w:rsidR="00FF4D05" w:rsidRDefault="00FF4D05" w:rsidP="00FF4D05"/>
    <w:p w14:paraId="4E98AC72" w14:textId="77777777" w:rsidR="00FF4D05" w:rsidRPr="003C310A" w:rsidRDefault="00FF4D05" w:rsidP="003C310A">
      <w:pPr>
        <w:pStyle w:val="PiedepginaLegal"/>
        <w:rPr>
          <w:u w:val="single"/>
        </w:rPr>
      </w:pPr>
      <w:r w:rsidRPr="003C310A">
        <w:rPr>
          <w:u w:val="single"/>
        </w:rPr>
        <w:t xml:space="preserve">                                                                                       .</w:t>
      </w:r>
    </w:p>
    <w:p w14:paraId="1D78CE73" w14:textId="67C97549" w:rsidR="00AE3B13" w:rsidRDefault="00FF4D05" w:rsidP="003C310A">
      <w:pPr>
        <w:pStyle w:val="PiedepginaLegal"/>
      </w:pPr>
      <w:r>
        <w:t xml:space="preserve">17. </w:t>
      </w:r>
      <w:r w:rsidR="003C310A">
        <w:tab/>
      </w:r>
      <w:r>
        <w:t>Enciclopedia de religión Hastings, artículo "</w:t>
      </w:r>
      <w:proofErr w:type="spellStart"/>
      <w:r w:rsidR="00057BF4" w:rsidRPr="00057BF4">
        <w:rPr>
          <w:i/>
        </w:rPr>
        <w:t>Buddha</w:t>
      </w:r>
      <w:r>
        <w:t>gosa</w:t>
      </w:r>
      <w:proofErr w:type="spellEnd"/>
      <w:r>
        <w:t xml:space="preserve">" de T. W. </w:t>
      </w:r>
      <w:proofErr w:type="spellStart"/>
      <w:r>
        <w:t>Rhys</w:t>
      </w:r>
      <w:proofErr w:type="spellEnd"/>
      <w:r>
        <w:t xml:space="preserve"> Davids. Tenga en cuenta que otro </w:t>
      </w:r>
      <w:r w:rsidR="00BC019E">
        <w:t>Venerable</w:t>
      </w:r>
      <w:r>
        <w:t xml:space="preserve"> del mismo nombre invitó a la escritura del </w:t>
      </w:r>
      <w:proofErr w:type="spellStart"/>
      <w:r w:rsidRPr="00DF6534">
        <w:rPr>
          <w:i/>
          <w:iCs/>
        </w:rPr>
        <w:t>Sammohavinodanī</w:t>
      </w:r>
      <w:proofErr w:type="spellEnd"/>
      <w:r>
        <w:t xml:space="preserve">. El problema es discutido con cierta </w:t>
      </w:r>
      <w:r w:rsidR="00BC019E">
        <w:t>extensión</w:t>
      </w:r>
      <w:r>
        <w:t xml:space="preserve"> por el </w:t>
      </w:r>
      <w:r w:rsidR="00BC019E">
        <w:t xml:space="preserve">Profesor </w:t>
      </w:r>
      <w:proofErr w:type="spellStart"/>
      <w:r>
        <w:t>Niharanjan</w:t>
      </w:r>
      <w:proofErr w:type="spellEnd"/>
      <w:r>
        <w:t xml:space="preserve"> Ray, </w:t>
      </w:r>
      <w:r w:rsidRPr="00BC019E">
        <w:rPr>
          <w:i/>
          <w:iCs/>
        </w:rPr>
        <w:t>Budismo Theravada en Birmania</w:t>
      </w:r>
      <w:r>
        <w:t>,</w:t>
      </w:r>
      <w:r w:rsidR="00BC019E">
        <w:t xml:space="preserve"> </w:t>
      </w:r>
      <w:r w:rsidR="00BC019E" w:rsidRPr="00BC019E">
        <w:t>[</w:t>
      </w:r>
      <w:r w:rsidR="00BC019E" w:rsidRPr="00BC019E">
        <w:rPr>
          <w:i/>
          <w:iCs/>
        </w:rPr>
        <w:t xml:space="preserve">Theravada </w:t>
      </w:r>
      <w:proofErr w:type="spellStart"/>
      <w:r w:rsidR="00BC019E" w:rsidRPr="00BC019E">
        <w:rPr>
          <w:i/>
          <w:iCs/>
        </w:rPr>
        <w:t>Buddhism</w:t>
      </w:r>
      <w:proofErr w:type="spellEnd"/>
      <w:r w:rsidR="00BC019E" w:rsidRPr="00BC019E">
        <w:rPr>
          <w:i/>
          <w:iCs/>
        </w:rPr>
        <w:t xml:space="preserve"> in </w:t>
      </w:r>
      <w:proofErr w:type="spellStart"/>
      <w:r w:rsidR="00BC019E" w:rsidRPr="00BC019E">
        <w:rPr>
          <w:i/>
          <w:iCs/>
        </w:rPr>
        <w:t>Burm</w:t>
      </w:r>
      <w:proofErr w:type="spellEnd"/>
      <w:r w:rsidR="00BC019E" w:rsidRPr="00BC019E">
        <w:t>]</w:t>
      </w:r>
      <w:r>
        <w:t xml:space="preserve"> pp. 24ff</w:t>
      </w:r>
      <w:r w:rsidR="003C310A">
        <w:t>.</w:t>
      </w:r>
      <w:r w:rsidR="00AE3B13">
        <w:br w:type="page"/>
      </w:r>
    </w:p>
    <w:p w14:paraId="36F501A0" w14:textId="6482AEF5" w:rsidR="00E90ED1" w:rsidRDefault="00AE638F" w:rsidP="00EC005F">
      <w:r w:rsidRPr="00DF6534">
        <w:rPr>
          <w:i/>
          <w:iCs/>
        </w:rPr>
        <w:lastRenderedPageBreak/>
        <w:t>Visuddhimagga</w:t>
      </w:r>
      <w:r w:rsidR="00E90ED1">
        <w:t xml:space="preserve">. Algunos de estos son atribuidos </w:t>
      </w:r>
      <w:r w:rsidR="00A21824">
        <w:t>a</w:t>
      </w:r>
      <w:r w:rsidR="00E90ED1">
        <w:t xml:space="preserve">l </w:t>
      </w:r>
      <w:r w:rsidR="00DF6534">
        <w:t xml:space="preserve">Venerable </w:t>
      </w:r>
      <w:proofErr w:type="spellStart"/>
      <w:r w:rsidR="00057BF4" w:rsidRPr="00AE638F">
        <w:rPr>
          <w:iCs/>
        </w:rPr>
        <w:t>Dhamma</w:t>
      </w:r>
      <w:r w:rsidR="00E90ED1" w:rsidRPr="00AE638F">
        <w:rPr>
          <w:iCs/>
        </w:rPr>
        <w:t>pāla</w:t>
      </w:r>
      <w:proofErr w:type="spellEnd"/>
      <w:r w:rsidR="00E90ED1">
        <w:t xml:space="preserve"> </w:t>
      </w:r>
      <w:r w:rsidR="00304841">
        <w:t>en relación con el</w:t>
      </w:r>
      <w:r w:rsidR="00E90ED1">
        <w:t xml:space="preserve"> </w:t>
      </w:r>
      <w:r>
        <w:t xml:space="preserve">Monasterio </w:t>
      </w:r>
      <w:proofErr w:type="spellStart"/>
      <w:r w:rsidR="00E90ED1">
        <w:t>Abhayagiri</w:t>
      </w:r>
      <w:proofErr w:type="spellEnd"/>
      <w:r w:rsidR="00E90ED1">
        <w:t xml:space="preserve">. Sin embargo, el </w:t>
      </w:r>
      <w:proofErr w:type="spellStart"/>
      <w:r w:rsidR="00E90ED1" w:rsidRPr="00DF6534">
        <w:rPr>
          <w:i/>
          <w:iCs/>
        </w:rPr>
        <w:t>Vimuttimagga</w:t>
      </w:r>
      <w:proofErr w:type="spellEnd"/>
      <w:r w:rsidR="00E90ED1">
        <w:t xml:space="preserve"> en sí no contiene nada </w:t>
      </w:r>
      <w:r w:rsidR="00AF7A37">
        <w:t>respecto al</w:t>
      </w:r>
      <w:r w:rsidR="00E90ED1">
        <w:t xml:space="preserve"> </w:t>
      </w:r>
      <w:proofErr w:type="spellStart"/>
      <w:r w:rsidR="00E90ED1" w:rsidRPr="00AF7A37">
        <w:rPr>
          <w:i/>
          <w:iCs/>
        </w:rPr>
        <w:t>Mahāyāna</w:t>
      </w:r>
      <w:proofErr w:type="spellEnd"/>
      <w:r w:rsidR="00E90ED1">
        <w:t xml:space="preserve">, sus </w:t>
      </w:r>
      <w:r w:rsidR="00576C0B">
        <w:t>heter</w:t>
      </w:r>
      <w:r w:rsidR="00E90ED1">
        <w:t xml:space="preserve">odoxias </w:t>
      </w:r>
      <w:r w:rsidR="00BF3409">
        <w:t>se encuentran notoriamente</w:t>
      </w:r>
      <w:r w:rsidR="00E90ED1">
        <w:t xml:space="preserve"> dentro del campo "</w:t>
      </w:r>
      <w:proofErr w:type="spellStart"/>
      <w:r w:rsidR="00E90ED1" w:rsidRPr="00DF6534">
        <w:rPr>
          <w:i/>
          <w:iCs/>
        </w:rPr>
        <w:t>Hīnayāna</w:t>
      </w:r>
      <w:proofErr w:type="spellEnd"/>
      <w:r w:rsidR="00E90ED1">
        <w:t>".</w:t>
      </w:r>
    </w:p>
    <w:p w14:paraId="704C21AD" w14:textId="77C360AB" w:rsidR="00E90ED1" w:rsidRDefault="00E90ED1" w:rsidP="00E90ED1">
      <w:pPr>
        <w:pStyle w:val="NormalConSangria"/>
      </w:pPr>
      <w:r>
        <w:t>E</w:t>
      </w:r>
      <w:r w:rsidR="00B86398">
        <w:t>ste</w:t>
      </w:r>
      <w:r>
        <w:t xml:space="preserve"> libro es mucho más corto que el </w:t>
      </w:r>
      <w:r w:rsidRPr="00DF6534">
        <w:rPr>
          <w:i/>
          <w:iCs/>
        </w:rPr>
        <w:t>Visuddhimagga</w:t>
      </w:r>
      <w:r>
        <w:t>. Aunque se estable</w:t>
      </w:r>
      <w:r w:rsidR="00B86398">
        <w:t>zca</w:t>
      </w:r>
      <w:r>
        <w:t xml:space="preserve"> en las mismas tres divisiones generales de virtud, concentración y </w:t>
      </w:r>
      <w:r w:rsidR="008F5B64">
        <w:t>s</w:t>
      </w:r>
      <w:r w:rsidR="00F30EF9">
        <w:t>abiduría</w:t>
      </w:r>
      <w:r>
        <w:t xml:space="preserve">, </w:t>
      </w:r>
      <w:r w:rsidR="002F50A9">
        <w:t>se hace</w:t>
      </w:r>
      <w:r>
        <w:t xml:space="preserve"> </w:t>
      </w:r>
      <w:r w:rsidR="00304841">
        <w:t xml:space="preserve">sin </w:t>
      </w:r>
      <w:r w:rsidR="002A7E2C">
        <w:t>sobre</w:t>
      </w:r>
      <w:r>
        <w:t>pone</w:t>
      </w:r>
      <w:r w:rsidR="00304841">
        <w:t>r</w:t>
      </w:r>
      <w:r>
        <w:t xml:space="preserve"> el patrón de las siete purificaciones. Proporcionadamente</w:t>
      </w:r>
      <w:r w:rsidR="00B86398">
        <w:t>,</w:t>
      </w:r>
      <w:r>
        <w:t xml:space="preserve"> mucho menos espacio es </w:t>
      </w:r>
      <w:r w:rsidR="00780837">
        <w:t>dedicado</w:t>
      </w:r>
      <w:r>
        <w:t xml:space="preserve"> a la </w:t>
      </w:r>
      <w:r w:rsidR="00780837">
        <w:t>sabiduría</w:t>
      </w:r>
      <w:r>
        <w:t xml:space="preserve"> y no </w:t>
      </w:r>
      <w:r w:rsidR="00780837">
        <w:t xml:space="preserve">se </w:t>
      </w:r>
      <w:r w:rsidR="00304841">
        <w:t xml:space="preserve">puede </w:t>
      </w:r>
      <w:r w:rsidR="00780837">
        <w:t>enc</w:t>
      </w:r>
      <w:r w:rsidR="00304841">
        <w:t>on</w:t>
      </w:r>
      <w:r w:rsidR="00780837">
        <w:t>tra</w:t>
      </w:r>
      <w:r w:rsidR="00304841">
        <w:t>r</w:t>
      </w:r>
      <w:r w:rsidR="002B5CB2">
        <w:t xml:space="preserve"> ninguna</w:t>
      </w:r>
      <w:r>
        <w:t xml:space="preserve"> historia. Aunque la aparición en ambos libros de números de pasajes casi idénticos sugiere que ambos </w:t>
      </w:r>
      <w:r w:rsidR="00304841">
        <w:t>realizaron</w:t>
      </w:r>
      <w:r>
        <w:t xml:space="preserve"> un</w:t>
      </w:r>
      <w:r w:rsidR="002B5CB2">
        <w:t>a</w:t>
      </w:r>
      <w:r>
        <w:t xml:space="preserve"> buen</w:t>
      </w:r>
      <w:r w:rsidR="002B5CB2">
        <w:t>a</w:t>
      </w:r>
      <w:r>
        <w:t xml:space="preserve"> </w:t>
      </w:r>
      <w:r w:rsidR="002B5CB2">
        <w:t xml:space="preserve">gestión </w:t>
      </w:r>
      <w:r>
        <w:t xml:space="preserve">de las mismas fuentes, el estilo general difiere ampliamente. Los cuatro estados </w:t>
      </w:r>
      <w:r w:rsidR="00816F7B">
        <w:t>ilimitables</w:t>
      </w:r>
      <w:r>
        <w:t xml:space="preserve"> y los cuatro estados inmateriales se </w:t>
      </w:r>
      <w:r w:rsidR="007B679B">
        <w:t>abor</w:t>
      </w:r>
      <w:r w:rsidR="00C63983">
        <w:t>dan</w:t>
      </w:r>
      <w:r>
        <w:t xml:space="preserve"> de manera diferente en los dos libros. Además de l</w:t>
      </w:r>
      <w:r w:rsidR="00E94892">
        <w:t>o</w:t>
      </w:r>
      <w:r>
        <w:t>s "</w:t>
      </w:r>
      <w:r w:rsidR="00E94892">
        <w:t>ó</w:t>
      </w:r>
      <w:r w:rsidR="00E241E5">
        <w:t>ct</w:t>
      </w:r>
      <w:r w:rsidR="00E94892">
        <w:t>uplos</w:t>
      </w:r>
      <w:r w:rsidR="00E241E5">
        <w:t xml:space="preserve"> </w:t>
      </w:r>
      <w:r>
        <w:t>materiales", "</w:t>
      </w:r>
      <w:r w:rsidR="00E94892">
        <w:t>nónuplos</w:t>
      </w:r>
      <w:r>
        <w:t>" y "</w:t>
      </w:r>
      <w:r w:rsidR="00E94892">
        <w:t>décuplos</w:t>
      </w:r>
      <w:r>
        <w:t xml:space="preserve">", también </w:t>
      </w:r>
      <w:r w:rsidR="00E94892">
        <w:t xml:space="preserve">se </w:t>
      </w:r>
      <w:r>
        <w:t>menciona "</w:t>
      </w:r>
      <w:r w:rsidR="009822F3">
        <w:t>endécadas</w:t>
      </w:r>
      <w:r>
        <w:t xml:space="preserve">", etc. Su descripción de las trece prácticas </w:t>
      </w:r>
      <w:r w:rsidR="00656CF3">
        <w:t>asceta</w:t>
      </w:r>
      <w:r>
        <w:t xml:space="preserve">s es </w:t>
      </w:r>
      <w:r w:rsidR="009822F3">
        <w:t>abundante</w:t>
      </w:r>
      <w:r>
        <w:t xml:space="preserve">. </w:t>
      </w:r>
      <w:r w:rsidR="0076494D">
        <w:t>Además</w:t>
      </w:r>
      <w:r>
        <w:t xml:space="preserve">, </w:t>
      </w:r>
      <w:r w:rsidR="009822F3">
        <w:t xml:space="preserve">el </w:t>
      </w:r>
      <w:proofErr w:type="spellStart"/>
      <w:r w:rsidR="009822F3" w:rsidRPr="00DF6534">
        <w:rPr>
          <w:i/>
          <w:iCs/>
        </w:rPr>
        <w:t>Abhi</w:t>
      </w:r>
      <w:r w:rsidR="009822F3" w:rsidRPr="00057BF4">
        <w:rPr>
          <w:i/>
          <w:iCs/>
        </w:rPr>
        <w:t>dhamma</w:t>
      </w:r>
      <w:proofErr w:type="spellEnd"/>
      <w:r>
        <w:t xml:space="preserve">, que es la piedra angular de la exégesis de </w:t>
      </w:r>
      <w:proofErr w:type="spellStart"/>
      <w:r>
        <w:t>Bhadantācariya</w:t>
      </w:r>
      <w:proofErr w:type="spellEnd"/>
      <w:r>
        <w:t xml:space="preserve"> </w:t>
      </w:r>
      <w:r w:rsidR="00057BF4" w:rsidRPr="009822F3">
        <w:rPr>
          <w:iCs/>
        </w:rPr>
        <w:t>Buddha</w:t>
      </w:r>
      <w:r w:rsidRPr="009822F3">
        <w:rPr>
          <w:iCs/>
        </w:rPr>
        <w:t>ghosa</w:t>
      </w:r>
      <w:r>
        <w:t xml:space="preserve">, no se </w:t>
      </w:r>
      <w:r w:rsidR="009822F3">
        <w:t>utiliza</w:t>
      </w:r>
      <w:r>
        <w:t xml:space="preserve"> en </w:t>
      </w:r>
      <w:r w:rsidR="009822F3">
        <w:t xml:space="preserve">lo </w:t>
      </w:r>
      <w:r>
        <w:t xml:space="preserve">absoluto en el </w:t>
      </w:r>
      <w:proofErr w:type="spellStart"/>
      <w:r w:rsidRPr="009822F3">
        <w:rPr>
          <w:i/>
          <w:iCs/>
        </w:rPr>
        <w:t>Vimuttimagga</w:t>
      </w:r>
      <w:proofErr w:type="spellEnd"/>
      <w:r>
        <w:t xml:space="preserve"> (agregados, verdades, etc., no constituye</w:t>
      </w:r>
      <w:r w:rsidR="000E427D">
        <w:t>n</w:t>
      </w:r>
      <w:r>
        <w:t xml:space="preserve"> </w:t>
      </w:r>
      <w:r w:rsidR="009822F3" w:rsidRPr="00FA5E29">
        <w:rPr>
          <w:i/>
          <w:iCs/>
        </w:rPr>
        <w:t>por sí mism</w:t>
      </w:r>
      <w:r w:rsidR="0076494D" w:rsidRPr="00FA5E29">
        <w:rPr>
          <w:i/>
          <w:iCs/>
        </w:rPr>
        <w:t>o</w:t>
      </w:r>
      <w:r w:rsidR="000E427D">
        <w:rPr>
          <w:i/>
          <w:iCs/>
        </w:rPr>
        <w:t>s</w:t>
      </w:r>
      <w:r>
        <w:t xml:space="preserve"> </w:t>
      </w:r>
      <w:r w:rsidR="003828B2">
        <w:t xml:space="preserve">el </w:t>
      </w:r>
      <w:proofErr w:type="spellStart"/>
      <w:r w:rsidR="009822F3" w:rsidRPr="00DF6534">
        <w:rPr>
          <w:i/>
          <w:iCs/>
        </w:rPr>
        <w:t>Abhi</w:t>
      </w:r>
      <w:r w:rsidR="009822F3" w:rsidRPr="00057BF4">
        <w:rPr>
          <w:i/>
          <w:iCs/>
        </w:rPr>
        <w:t>dhamma</w:t>
      </w:r>
      <w:proofErr w:type="spellEnd"/>
      <w:r w:rsidR="009822F3">
        <w:t xml:space="preserve"> </w:t>
      </w:r>
      <w:r>
        <w:t xml:space="preserve">en </w:t>
      </w:r>
      <w:r w:rsidR="003828B2">
        <w:t>el sentido de ese</w:t>
      </w:r>
      <w:r>
        <w:t xml:space="preserve"> </w:t>
      </w:r>
      <w:proofErr w:type="spellStart"/>
      <w:r w:rsidR="00DF6534" w:rsidRPr="00DF6534">
        <w:rPr>
          <w:i/>
          <w:iCs/>
        </w:rPr>
        <w:t>Piṭaka</w:t>
      </w:r>
      <w:proofErr w:type="spellEnd"/>
      <w:r>
        <w:t xml:space="preserve">). Por ejemplo, incluso en su descripción del agregado de </w:t>
      </w:r>
      <w:r w:rsidR="003828B2">
        <w:t xml:space="preserve">la </w:t>
      </w:r>
      <w:r>
        <w:t>con</w:t>
      </w:r>
      <w:r w:rsidR="003828B2">
        <w:t>s</w:t>
      </w:r>
      <w:r>
        <w:t xml:space="preserve">ciencia, no </w:t>
      </w:r>
      <w:r w:rsidR="00531526">
        <w:t>se encuentra</w:t>
      </w:r>
      <w:r>
        <w:t xml:space="preserve"> referencia </w:t>
      </w:r>
      <w:r w:rsidR="00531526">
        <w:t xml:space="preserve">alguna </w:t>
      </w:r>
      <w:r>
        <w:t xml:space="preserve">a la clasificación de </w:t>
      </w:r>
      <w:proofErr w:type="spellStart"/>
      <w:r w:rsidR="00057BF4" w:rsidRPr="00057BF4">
        <w:rPr>
          <w:i/>
          <w:iCs/>
        </w:rPr>
        <w:t>Dhamma</w:t>
      </w:r>
      <w:r w:rsidRPr="00DF6534">
        <w:rPr>
          <w:i/>
          <w:iCs/>
        </w:rPr>
        <w:t>saṅgaṇī</w:t>
      </w:r>
      <w:proofErr w:type="spellEnd"/>
      <w:r>
        <w:t xml:space="preserve"> de 89 tipos y </w:t>
      </w:r>
      <w:r w:rsidR="00531526">
        <w:t xml:space="preserve">tampoco </w:t>
      </w:r>
      <w:r>
        <w:t xml:space="preserve">nada </w:t>
      </w:r>
      <w:r w:rsidR="006F4852">
        <w:t xml:space="preserve">sobre </w:t>
      </w:r>
      <w:r>
        <w:t xml:space="preserve">el </w:t>
      </w:r>
      <w:proofErr w:type="spellStart"/>
      <w:r w:rsidR="00DF6534" w:rsidRPr="00DF6534">
        <w:rPr>
          <w:i/>
          <w:iCs/>
        </w:rPr>
        <w:t>Paṭṭhāna</w:t>
      </w:r>
      <w:proofErr w:type="spellEnd"/>
      <w:r>
        <w:t xml:space="preserve">; </w:t>
      </w:r>
      <w:r w:rsidR="00AA03C6">
        <w:t>aunque</w:t>
      </w:r>
      <w:r>
        <w:t xml:space="preserve"> la serie cognitiva se </w:t>
      </w:r>
      <w:r w:rsidR="00AA03C6">
        <w:t xml:space="preserve">expone </w:t>
      </w:r>
      <w:r>
        <w:t xml:space="preserve">en su forma </w:t>
      </w:r>
      <w:r w:rsidR="00AA03C6">
        <w:t xml:space="preserve">íntegra </w:t>
      </w:r>
      <w:r>
        <w:t xml:space="preserve">(en el </w:t>
      </w:r>
      <w:r w:rsidR="0083112E">
        <w:t xml:space="preserve">Capítulo </w:t>
      </w:r>
      <w:r>
        <w:t xml:space="preserve">11) </w:t>
      </w:r>
      <w:r w:rsidR="006F4852">
        <w:t>n</w:t>
      </w:r>
      <w:r>
        <w:t xml:space="preserve">o se hace uso </w:t>
      </w:r>
      <w:r w:rsidR="0059228B">
        <w:t xml:space="preserve">de ella </w:t>
      </w:r>
      <w:r>
        <w:t>para explicar l</w:t>
      </w:r>
      <w:r w:rsidR="001644E5">
        <w:t>a funcionalidad de la</w:t>
      </w:r>
      <w:r>
        <w:t xml:space="preserve"> conscien</w:t>
      </w:r>
      <w:r w:rsidR="001644E5">
        <w:t>cia</w:t>
      </w:r>
      <w:r>
        <w:t xml:space="preserve">. Este </w:t>
      </w:r>
      <w:proofErr w:type="spellStart"/>
      <w:r w:rsidRPr="00DF6534">
        <w:rPr>
          <w:i/>
          <w:iCs/>
        </w:rPr>
        <w:t>Vimuttimagga</w:t>
      </w:r>
      <w:proofErr w:type="spellEnd"/>
      <w:r>
        <w:t xml:space="preserve"> es, de hecho, un libro de instrucciones práctica</w:t>
      </w:r>
      <w:r w:rsidR="001644E5">
        <w:t>s</w:t>
      </w:r>
      <w:r>
        <w:t>, no de exégesis.</w:t>
      </w:r>
    </w:p>
    <w:p w14:paraId="33B4DFC9" w14:textId="1895D263" w:rsidR="00E90ED1" w:rsidRDefault="00E90ED1" w:rsidP="00E90ED1">
      <w:pPr>
        <w:pStyle w:val="NormalConSangria"/>
      </w:pPr>
      <w:r>
        <w:t xml:space="preserve">Su autoría se </w:t>
      </w:r>
      <w:r w:rsidR="001644E5">
        <w:t>le asigna</w:t>
      </w:r>
      <w:r>
        <w:t xml:space="preserve"> </w:t>
      </w:r>
      <w:r w:rsidR="001644E5">
        <w:t xml:space="preserve">al </w:t>
      </w:r>
      <w:r w:rsidR="00DF6534">
        <w:t>Venerable</w:t>
      </w:r>
      <w:r w:rsidR="00DF6534" w:rsidRPr="00DF6534">
        <w:t xml:space="preserve"> </w:t>
      </w:r>
      <w:proofErr w:type="spellStart"/>
      <w:r w:rsidR="00DF6534" w:rsidRPr="00DF6534">
        <w:t>Upatissa</w:t>
      </w:r>
      <w:proofErr w:type="spellEnd"/>
      <w:r>
        <w:t xml:space="preserve">. Pero la mera coincidencia de los nombres es insuficiente para identificarlo con </w:t>
      </w:r>
      <w:r w:rsidR="001644E5">
        <w:t>e</w:t>
      </w:r>
      <w:r>
        <w:t xml:space="preserve">l </w:t>
      </w:r>
      <w:r w:rsidRPr="001644E5">
        <w:t>Arahan</w:t>
      </w:r>
      <w:r w:rsidR="001644E5" w:rsidRPr="001644E5">
        <w:t>t</w:t>
      </w:r>
      <w:r>
        <w:t xml:space="preserve"> </w:t>
      </w:r>
      <w:proofErr w:type="spellStart"/>
      <w:r>
        <w:t>Upatissa</w:t>
      </w:r>
      <w:proofErr w:type="spellEnd"/>
      <w:r>
        <w:t xml:space="preserve"> (antes del 3er </w:t>
      </w:r>
      <w:r w:rsidR="001644E5">
        <w:t>sig</w:t>
      </w:r>
      <w:r w:rsidR="00531526">
        <w:t>l</w:t>
      </w:r>
      <w:r w:rsidR="001644E5">
        <w:t>o de la E.</w:t>
      </w:r>
      <w:r>
        <w:t>C</w:t>
      </w:r>
      <w:r w:rsidR="001644E5">
        <w:t>.</w:t>
      </w:r>
      <w:r>
        <w:t xml:space="preserve">) </w:t>
      </w:r>
      <w:r w:rsidR="001644E5">
        <w:t>mencionado</w:t>
      </w:r>
      <w:r>
        <w:t xml:space="preserve"> en el </w:t>
      </w:r>
      <w:proofErr w:type="spellStart"/>
      <w:r w:rsidRPr="00DF6534">
        <w:rPr>
          <w:i/>
          <w:iCs/>
        </w:rPr>
        <w:t>Vinaya</w:t>
      </w:r>
      <w:proofErr w:type="spellEnd"/>
      <w:r w:rsidRPr="00DF6534">
        <w:rPr>
          <w:i/>
          <w:iCs/>
        </w:rPr>
        <w:t xml:space="preserve"> </w:t>
      </w:r>
      <w:proofErr w:type="spellStart"/>
      <w:r w:rsidRPr="00DF6534">
        <w:rPr>
          <w:i/>
          <w:iCs/>
        </w:rPr>
        <w:t>Parivāra</w:t>
      </w:r>
      <w:proofErr w:type="spellEnd"/>
      <w:r>
        <w:t xml:space="preserve">. Una teoría plausible </w:t>
      </w:r>
      <w:r w:rsidR="008452DE">
        <w:t>plantea que</w:t>
      </w:r>
      <w:r>
        <w:t xml:space="preserve"> su composición </w:t>
      </w:r>
      <w:r w:rsidR="008452DE">
        <w:t xml:space="preserve">se dio </w:t>
      </w:r>
      <w:r>
        <w:t xml:space="preserve">en </w:t>
      </w:r>
      <w:r w:rsidR="00531526">
        <w:t>algún</w:t>
      </w:r>
      <w:r>
        <w:t xml:space="preserve"> </w:t>
      </w:r>
      <w:r w:rsidR="00531526">
        <w:t xml:space="preserve">momento </w:t>
      </w:r>
      <w:r>
        <w:t xml:space="preserve">antes del </w:t>
      </w:r>
      <w:r w:rsidRPr="00DF6534">
        <w:rPr>
          <w:i/>
          <w:iCs/>
        </w:rPr>
        <w:t>Visuddhimagga</w:t>
      </w:r>
      <w:r>
        <w:t>, posiblemente en la India. E</w:t>
      </w:r>
      <w:r w:rsidR="00944750">
        <w:t>ll</w:t>
      </w:r>
      <w:r>
        <w:t xml:space="preserve">o es bastante compatible con </w:t>
      </w:r>
      <w:r w:rsidR="00944750">
        <w:t xml:space="preserve">la posibilidad </w:t>
      </w:r>
      <w:r w:rsidR="00531526">
        <w:t xml:space="preserve">de </w:t>
      </w:r>
      <w:r w:rsidR="00944750">
        <w:t>que</w:t>
      </w:r>
      <w:r w:rsidR="00531526">
        <w:t xml:space="preserve"> sea</w:t>
      </w:r>
      <w:r>
        <w:t xml:space="preserve"> producto del </w:t>
      </w:r>
      <w:r w:rsidR="00944750">
        <w:t xml:space="preserve">Gran Monasterio </w:t>
      </w:r>
      <w:r>
        <w:t xml:space="preserve">antes de que se escribiera el </w:t>
      </w:r>
      <w:r w:rsidRPr="00DF6534">
        <w:rPr>
          <w:i/>
          <w:iCs/>
        </w:rPr>
        <w:t>Visuddhimagga</w:t>
      </w:r>
      <w:r>
        <w:t xml:space="preserve">, aunque nuevamente se necesita evidencia para apoyar </w:t>
      </w:r>
      <w:r w:rsidR="00944750">
        <w:t>est</w:t>
      </w:r>
      <w:r>
        <w:t xml:space="preserve">a hipótesis. Que contenga algunos puntos menores aceptados por el </w:t>
      </w:r>
      <w:r w:rsidR="00944750">
        <w:t xml:space="preserve">Monasterio </w:t>
      </w:r>
      <w:proofErr w:type="spellStart"/>
      <w:r>
        <w:t>Abayagiri</w:t>
      </w:r>
      <w:proofErr w:type="spellEnd"/>
      <w:r>
        <w:t xml:space="preserve"> no necesariamente implica que tuviera </w:t>
      </w:r>
      <w:r w:rsidR="00531526">
        <w:t>alg</w:t>
      </w:r>
      <w:r>
        <w:t xml:space="preserve">una conexión especial con ese centro. La fuente puede haber sido común a ambos. Los puntos en disputa no son cismáticos. </w:t>
      </w:r>
      <w:proofErr w:type="spellStart"/>
      <w:r>
        <w:t>Bhadantācariya</w:t>
      </w:r>
      <w:proofErr w:type="spellEnd"/>
      <w:r>
        <w:t xml:space="preserve"> </w:t>
      </w:r>
      <w:r w:rsidR="00057BF4" w:rsidRPr="00944750">
        <w:rPr>
          <w:iCs/>
        </w:rPr>
        <w:t>Buddha</w:t>
      </w:r>
      <w:r w:rsidRPr="00944750">
        <w:rPr>
          <w:iCs/>
        </w:rPr>
        <w:t>ghosa</w:t>
      </w:r>
      <w:r>
        <w:t xml:space="preserve"> </w:t>
      </w:r>
      <w:r w:rsidR="00DF6534">
        <w:t>mismo</w:t>
      </w:r>
      <w:r>
        <w:t xml:space="preserve"> nunca lo mencion</w:t>
      </w:r>
      <w:r w:rsidR="00947C71">
        <w:t>a</w:t>
      </w:r>
      <w:r>
        <w:t>.</w:t>
      </w:r>
    </w:p>
    <w:p w14:paraId="3CF9F843" w14:textId="518182FA" w:rsidR="00E90ED1" w:rsidRDefault="00E90ED1" w:rsidP="00C0675A">
      <w:pPr>
        <w:pStyle w:val="Ttulo3"/>
        <w:ind w:left="708"/>
      </w:pPr>
      <w:r>
        <w:t xml:space="preserve">Tendencias en el </w:t>
      </w:r>
      <w:r w:rsidR="00947C71">
        <w:t xml:space="preserve">Desarrollo </w:t>
      </w:r>
      <w:r>
        <w:t xml:space="preserve">de la </w:t>
      </w:r>
      <w:r w:rsidR="00947C71">
        <w:t xml:space="preserve">Doctrina </w:t>
      </w:r>
      <w:r w:rsidRPr="00DF6534">
        <w:rPr>
          <w:i/>
          <w:iCs/>
        </w:rPr>
        <w:t>Theravāda</w:t>
      </w:r>
    </w:p>
    <w:p w14:paraId="5CB5FECD" w14:textId="7FDB691A" w:rsidR="00E90ED1" w:rsidRDefault="00E90ED1" w:rsidP="00C0675A">
      <w:r>
        <w:t>Las doctrinas (</w:t>
      </w:r>
      <w:r w:rsidR="00057BF4" w:rsidRPr="00057BF4">
        <w:rPr>
          <w:i/>
        </w:rPr>
        <w:t>Dhamma</w:t>
      </w:r>
      <w:r>
        <w:t xml:space="preserve">) de la tradición </w:t>
      </w:r>
      <w:r w:rsidRPr="00947C71">
        <w:rPr>
          <w:i/>
          <w:iCs/>
        </w:rPr>
        <w:t>Theravāda Pāḷi</w:t>
      </w:r>
      <w:r>
        <w:t xml:space="preserve"> se pueden rastrear convenientemente en tres </w:t>
      </w:r>
      <w:r w:rsidR="00D01F7E">
        <w:t>partes</w:t>
      </w:r>
      <w:r>
        <w:t xml:space="preserve"> principales. (1) El primero de </w:t>
      </w:r>
      <w:r w:rsidR="00D01F7E">
        <w:t>estos</w:t>
      </w:r>
      <w:r>
        <w:t xml:space="preserve"> contiene los libros principales del </w:t>
      </w:r>
      <w:r w:rsidRPr="00B61E13">
        <w:rPr>
          <w:i/>
          <w:iCs/>
        </w:rPr>
        <w:t>Pāḷi Sutta</w:t>
      </w:r>
      <w:r>
        <w:t xml:space="preserve"> </w:t>
      </w:r>
      <w:proofErr w:type="spellStart"/>
      <w:r w:rsidRPr="00DF6534">
        <w:rPr>
          <w:i/>
          <w:iCs/>
        </w:rPr>
        <w:t>Piṭaka</w:t>
      </w:r>
      <w:proofErr w:type="spellEnd"/>
      <w:r>
        <w:t xml:space="preserve">. (2) El segundo es el </w:t>
      </w:r>
      <w:proofErr w:type="spellStart"/>
      <w:r w:rsidR="00D01F7E" w:rsidRPr="00DF6534">
        <w:rPr>
          <w:i/>
          <w:iCs/>
        </w:rPr>
        <w:t>Abhi</w:t>
      </w:r>
      <w:r w:rsidR="00D01F7E" w:rsidRPr="00057BF4">
        <w:rPr>
          <w:i/>
          <w:iCs/>
        </w:rPr>
        <w:t>dhamma</w:t>
      </w:r>
      <w:proofErr w:type="spellEnd"/>
      <w:r w:rsidR="00D01F7E" w:rsidRPr="00DF6534">
        <w:rPr>
          <w:i/>
          <w:iCs/>
        </w:rPr>
        <w:t xml:space="preserve"> </w:t>
      </w:r>
      <w:proofErr w:type="spellStart"/>
      <w:r w:rsidR="00DF6534" w:rsidRPr="00DF6534">
        <w:rPr>
          <w:i/>
          <w:iCs/>
        </w:rPr>
        <w:t>Piṭaka</w:t>
      </w:r>
      <w:proofErr w:type="spellEnd"/>
      <w:r>
        <w:t xml:space="preserve">, especialmente los libros estrechamente </w:t>
      </w:r>
      <w:r w:rsidR="00B61E13">
        <w:t>vinculados</w:t>
      </w:r>
      <w:r>
        <w:t xml:space="preserve">, el </w:t>
      </w:r>
      <w:proofErr w:type="spellStart"/>
      <w:r w:rsidR="00057BF4" w:rsidRPr="00057BF4">
        <w:rPr>
          <w:i/>
          <w:iCs/>
        </w:rPr>
        <w:t>Dhamma</w:t>
      </w:r>
      <w:r w:rsidR="00DF6534" w:rsidRPr="00DF6534">
        <w:rPr>
          <w:i/>
          <w:iCs/>
        </w:rPr>
        <w:t>saṇgaṇī</w:t>
      </w:r>
      <w:proofErr w:type="spellEnd"/>
      <w:r>
        <w:t xml:space="preserve">, </w:t>
      </w:r>
      <w:proofErr w:type="spellStart"/>
      <w:r w:rsidR="00DF6534" w:rsidRPr="00DF6534">
        <w:rPr>
          <w:i/>
          <w:iCs/>
        </w:rPr>
        <w:t>Vibhaṅga</w:t>
      </w:r>
      <w:proofErr w:type="spellEnd"/>
      <w:r>
        <w:t xml:space="preserve">, </w:t>
      </w:r>
      <w:proofErr w:type="spellStart"/>
      <w:r w:rsidR="00DF6534" w:rsidRPr="00DF6534">
        <w:rPr>
          <w:i/>
          <w:iCs/>
        </w:rPr>
        <w:t>Paṭṭhāna</w:t>
      </w:r>
      <w:proofErr w:type="spellEnd"/>
      <w:r>
        <w:t xml:space="preserve">. (3) El tercero </w:t>
      </w:r>
      <w:r w:rsidR="00631FE2">
        <w:t>corresponde</w:t>
      </w:r>
      <w:r>
        <w:t xml:space="preserve"> </w:t>
      </w:r>
      <w:r w:rsidR="00631FE2">
        <w:t>a</w:t>
      </w:r>
      <w:r>
        <w:t xml:space="preserve">l sistema que el autor del </w:t>
      </w:r>
      <w:r w:rsidRPr="00DF6534">
        <w:rPr>
          <w:i/>
          <w:iCs/>
        </w:rPr>
        <w:t>Visuddhimagga</w:t>
      </w:r>
      <w:r>
        <w:t xml:space="preserve"> </w:t>
      </w:r>
      <w:r w:rsidR="007B4E24">
        <w:t>terminó</w:t>
      </w:r>
      <w:r>
        <w:t xml:space="preserve">, o encontró </w:t>
      </w:r>
      <w:r w:rsidR="007B4E24">
        <w:t>terminado</w:t>
      </w:r>
      <w:r>
        <w:t xml:space="preserve">, y que él mismo se </w:t>
      </w:r>
      <w:r w:rsidR="007B4E24">
        <w:t>dedicó</w:t>
      </w:r>
      <w:r>
        <w:t xml:space="preserve"> a editar y traducir de nuevo a</w:t>
      </w:r>
      <w:r w:rsidR="007B4E24">
        <w:t>l</w:t>
      </w:r>
      <w:r>
        <w:t xml:space="preserve"> </w:t>
      </w:r>
      <w:r w:rsidR="007B4E24">
        <w:rPr>
          <w:i/>
          <w:iCs/>
        </w:rPr>
        <w:t>Pāḷi</w:t>
      </w:r>
      <w:r>
        <w:t xml:space="preserve"> (algunos desarrollos adicionales tuvieron lugar</w:t>
      </w:r>
      <w:r w:rsidR="00BC5B03">
        <w:t>,</w:t>
      </w:r>
      <w:r>
        <w:t xml:space="preserve"> posteriormente</w:t>
      </w:r>
      <w:r w:rsidR="00BC5B03">
        <w:t xml:space="preserve"> y</w:t>
      </w:r>
      <w:r>
        <w:t xml:space="preserve"> en particular, </w:t>
      </w:r>
      <w:r w:rsidR="00ED3734">
        <w:t xml:space="preserve">el </w:t>
      </w:r>
      <w:proofErr w:type="spellStart"/>
      <w:r w:rsidR="00ED3734" w:rsidRPr="00ED3734">
        <w:rPr>
          <w:i/>
          <w:iCs/>
        </w:rPr>
        <w:t>Abhidhammatthasaṅgaha</w:t>
      </w:r>
      <w:proofErr w:type="spellEnd"/>
      <w:r w:rsidR="00DF5253" w:rsidRPr="00DF5253">
        <w:t xml:space="preserve"> </w:t>
      </w:r>
      <w:r w:rsidR="00DF5253">
        <w:t>del siglo XII (?)</w:t>
      </w:r>
      <w:r w:rsidR="00131A0C">
        <w:rPr>
          <w:i/>
          <w:iCs/>
        </w:rPr>
        <w:t>,</w:t>
      </w:r>
      <w:r w:rsidR="00ED3734" w:rsidRPr="00ED3734">
        <w:t xml:space="preserve"> </w:t>
      </w:r>
      <w:r w:rsidR="00131A0C">
        <w:t>p</w:t>
      </w:r>
      <w:r>
        <w:t xml:space="preserve">ero están fuera del alcance </w:t>
      </w:r>
      <w:r w:rsidR="003341D9">
        <w:t>presente</w:t>
      </w:r>
      <w:r>
        <w:t xml:space="preserve">). El punto aquí no es la cuestión histórica </w:t>
      </w:r>
      <w:r w:rsidR="009C5119">
        <w:t xml:space="preserve">y debatible </w:t>
      </w:r>
      <w:r>
        <w:t>de hasta qué punto los libros de</w:t>
      </w:r>
      <w:r w:rsidR="00707AA0">
        <w:t>l</w:t>
      </w:r>
      <w:r>
        <w:t xml:space="preserve"> </w:t>
      </w:r>
      <w:proofErr w:type="spellStart"/>
      <w:r w:rsidR="003341D9" w:rsidRPr="007663CA">
        <w:rPr>
          <w:i/>
          <w:iCs/>
        </w:rPr>
        <w:t>Abhi</w:t>
      </w:r>
      <w:r w:rsidR="003341D9" w:rsidRPr="00057BF4">
        <w:rPr>
          <w:i/>
          <w:iCs/>
        </w:rPr>
        <w:t>dhamma</w:t>
      </w:r>
      <w:proofErr w:type="spellEnd"/>
      <w:r w:rsidR="003341D9">
        <w:t xml:space="preserve"> </w:t>
      </w:r>
      <w:r>
        <w:t>(</w:t>
      </w:r>
      <w:r w:rsidR="0021130D">
        <w:t>dejando a un lado</w:t>
      </w:r>
      <w:r>
        <w:t xml:space="preserve"> el </w:t>
      </w:r>
      <w:proofErr w:type="spellStart"/>
      <w:r w:rsidRPr="007663CA">
        <w:rPr>
          <w:i/>
          <w:iCs/>
        </w:rPr>
        <w:t>Kathāvatthu</w:t>
      </w:r>
      <w:proofErr w:type="spellEnd"/>
      <w:r>
        <w:t xml:space="preserve">) eran contemporáneos </w:t>
      </w:r>
      <w:r w:rsidR="007C7B1D">
        <w:t>a</w:t>
      </w:r>
      <w:r>
        <w:t xml:space="preserve">l </w:t>
      </w:r>
      <w:proofErr w:type="spellStart"/>
      <w:r w:rsidRPr="007663CA">
        <w:rPr>
          <w:i/>
          <w:iCs/>
        </w:rPr>
        <w:t>Vinaya</w:t>
      </w:r>
      <w:proofErr w:type="spellEnd"/>
      <w:r>
        <w:t xml:space="preserve"> y</w:t>
      </w:r>
      <w:r w:rsidR="007C7B1D">
        <w:t xml:space="preserve"> a</w:t>
      </w:r>
      <w:r>
        <w:t xml:space="preserve"> los </w:t>
      </w:r>
      <w:r w:rsidRPr="007663CA">
        <w:rPr>
          <w:i/>
          <w:iCs/>
        </w:rPr>
        <w:t>Suttas</w:t>
      </w:r>
      <w:r>
        <w:t xml:space="preserve">, sino en qué dirección discernible </w:t>
      </w:r>
      <w:r w:rsidR="00707AA0">
        <w:t xml:space="preserve">se </w:t>
      </w:r>
      <w:r>
        <w:t>muestran en la evolución del pensamiento.</w:t>
      </w:r>
    </w:p>
    <w:p w14:paraId="4CFCDDDB" w14:textId="585BCCD5" w:rsidR="00E90ED1" w:rsidRDefault="00E90ED1" w:rsidP="00E90ED1">
      <w:pPr>
        <w:pStyle w:val="NormalConSangria"/>
      </w:pPr>
      <w:r>
        <w:t xml:space="preserve">(1) Los </w:t>
      </w:r>
      <w:r w:rsidRPr="009C5119">
        <w:rPr>
          <w:i/>
          <w:iCs/>
        </w:rPr>
        <w:t>Suttas</w:t>
      </w:r>
      <w:r>
        <w:t xml:space="preserve"> </w:t>
      </w:r>
      <w:r w:rsidR="006A1717">
        <w:t>representan</w:t>
      </w:r>
      <w:r>
        <w:t xml:space="preserve"> la exposición original de la enseñanza del </w:t>
      </w:r>
      <w:r w:rsidR="00057BF4" w:rsidRPr="00057BF4">
        <w:rPr>
          <w:i/>
        </w:rPr>
        <w:t>Buddha</w:t>
      </w:r>
      <w:r>
        <w:t xml:space="preserve">, (2) el </w:t>
      </w:r>
      <w:proofErr w:type="spellStart"/>
      <w:r w:rsidR="006A1717" w:rsidRPr="00DF6534">
        <w:rPr>
          <w:i/>
          <w:iCs/>
        </w:rPr>
        <w:t>Abhi</w:t>
      </w:r>
      <w:r w:rsidR="006A1717" w:rsidRPr="00057BF4">
        <w:rPr>
          <w:i/>
          <w:iCs/>
        </w:rPr>
        <w:t>dhamma</w:t>
      </w:r>
      <w:proofErr w:type="spellEnd"/>
      <w:r w:rsidR="006A1717">
        <w:t xml:space="preserve"> </w:t>
      </w:r>
      <w:proofErr w:type="spellStart"/>
      <w:r w:rsidRPr="00DF6534">
        <w:rPr>
          <w:i/>
          <w:iCs/>
        </w:rPr>
        <w:t>Piṭaka</w:t>
      </w:r>
      <w:proofErr w:type="spellEnd"/>
      <w:r w:rsidR="00670856">
        <w:rPr>
          <w:i/>
          <w:iCs/>
        </w:rPr>
        <w:t>,</w:t>
      </w:r>
      <w:r>
        <w:t xml:space="preserve"> en sí</w:t>
      </w:r>
      <w:r w:rsidR="00670856">
        <w:t>,</w:t>
      </w:r>
      <w:r>
        <w:t xml:space="preserve"> </w:t>
      </w:r>
      <w:r w:rsidR="006A1717">
        <w:t>a</w:t>
      </w:r>
      <w:r>
        <w:t xml:space="preserve">parece </w:t>
      </w:r>
      <w:r w:rsidR="006A1717">
        <w:t xml:space="preserve">como </w:t>
      </w:r>
      <w:r>
        <w:t xml:space="preserve">una sistematización </w:t>
      </w:r>
      <w:r w:rsidR="005D411C">
        <w:t>sumamente</w:t>
      </w:r>
      <w:r>
        <w:t xml:space="preserve"> técnica y especializada, o un conjunto complementario de modificaciones </w:t>
      </w:r>
      <w:r w:rsidR="005D411C">
        <w:t>construid</w:t>
      </w:r>
      <w:r w:rsidR="009A2BD8">
        <w:t>as</w:t>
      </w:r>
      <w:r>
        <w:t xml:space="preserve"> </w:t>
      </w:r>
      <w:r w:rsidR="000D4178">
        <w:t>al respecto</w:t>
      </w:r>
      <w:r>
        <w:t xml:space="preserve">. </w:t>
      </w:r>
      <w:r w:rsidR="00D03127">
        <w:t>Se basa en ello</w:t>
      </w:r>
      <w:r>
        <w:t xml:space="preserve">. Su </w:t>
      </w:r>
    </w:p>
    <w:p w14:paraId="1BD7FD2B" w14:textId="75097910" w:rsidR="00D65120" w:rsidRDefault="00D65120">
      <w:r>
        <w:br w:type="page"/>
      </w:r>
    </w:p>
    <w:p w14:paraId="07764BF5" w14:textId="77777777" w:rsidR="00E90ED1" w:rsidRDefault="00E90ED1" w:rsidP="00E90ED1">
      <w:pPr>
        <w:pStyle w:val="NormalConSangria"/>
      </w:pPr>
    </w:p>
    <w:p w14:paraId="0EA115E8" w14:textId="503DBB57" w:rsidR="00E90ED1" w:rsidRDefault="00FC071D" w:rsidP="00C0675A">
      <w:r>
        <w:t xml:space="preserve">inmediato </w:t>
      </w:r>
      <w:r w:rsidR="00D03127">
        <w:t xml:space="preserve">propósito es, </w:t>
      </w:r>
      <w:r w:rsidR="00C0675A">
        <w:t>s</w:t>
      </w:r>
      <w:r w:rsidR="00E90ED1">
        <w:t xml:space="preserve">e puede decir, describir </w:t>
      </w:r>
      <w:r w:rsidR="00DF6534">
        <w:t>e</w:t>
      </w:r>
      <w:r w:rsidR="00E90ED1">
        <w:t xml:space="preserve"> identificar constituyentes y características mentales y relacionarlos con su base material </w:t>
      </w:r>
      <w:r w:rsidR="000D4178">
        <w:t>e</w:t>
      </w:r>
      <w:r w:rsidR="00E90ED1">
        <w:t>ntre sí (con el objet</w:t>
      </w:r>
      <w:r w:rsidR="005F4D43">
        <w:t>ivo</w:t>
      </w:r>
      <w:r w:rsidR="00E90ED1">
        <w:t xml:space="preserve"> secundario, tal vez, de proporcionar una defensa eficiente </w:t>
      </w:r>
      <w:r w:rsidR="00640F9D">
        <w:t>contra las</w:t>
      </w:r>
      <w:r w:rsidR="00E90ED1">
        <w:t xml:space="preserve"> disputas </w:t>
      </w:r>
      <w:r w:rsidR="00640F9D">
        <w:t>de</w:t>
      </w:r>
      <w:r w:rsidR="00E90ED1">
        <w:t xml:space="preserve"> herejes </w:t>
      </w:r>
      <w:r w:rsidR="00640F9D">
        <w:t>o</w:t>
      </w:r>
      <w:r w:rsidR="00E90ED1">
        <w:t xml:space="preserve"> exponentes de doctrinas </w:t>
      </w:r>
      <w:r w:rsidR="00D03127">
        <w:t>foráneas</w:t>
      </w:r>
      <w:r w:rsidR="00E90ED1">
        <w:t xml:space="preserve">). Su propósito final es </w:t>
      </w:r>
      <w:r w:rsidR="00C21B4E">
        <w:t>suministrar</w:t>
      </w:r>
      <w:r w:rsidR="00E90ED1">
        <w:t xml:space="preserve"> técnicas adicionales para </w:t>
      </w:r>
      <w:r w:rsidR="00C21B4E">
        <w:t>liberarse</w:t>
      </w:r>
      <w:r w:rsidR="00E90ED1">
        <w:t xml:space="preserve"> de </w:t>
      </w:r>
      <w:r w:rsidR="00640F9D">
        <w:t xml:space="preserve">las </w:t>
      </w:r>
      <w:r w:rsidR="00E90ED1">
        <w:t xml:space="preserve">suposiciones injustificadas que </w:t>
      </w:r>
      <w:r w:rsidR="00A16895">
        <w:t>propicien adhesiones</w:t>
      </w:r>
      <w:r w:rsidR="00E90ED1">
        <w:t xml:space="preserve"> y obstruy</w:t>
      </w:r>
      <w:r w:rsidR="00A16895">
        <w:t>a</w:t>
      </w:r>
      <w:r w:rsidR="00E90ED1">
        <w:t xml:space="preserve">n el logro de la extinción del </w:t>
      </w:r>
      <w:r w:rsidR="00417097">
        <w:t>apego</w:t>
      </w:r>
      <w:r w:rsidR="00E90ED1">
        <w:t xml:space="preserve">. Se han forjado varios instrumentos en él para clasificar y </w:t>
      </w:r>
      <w:r w:rsidR="00E90ED1" w:rsidRPr="00417097">
        <w:t>reor</w:t>
      </w:r>
      <w:r w:rsidR="00417097">
        <w:t>d</w:t>
      </w:r>
      <w:r w:rsidR="00E90ED1" w:rsidRPr="00417097">
        <w:t>e</w:t>
      </w:r>
      <w:r w:rsidR="00417097">
        <w:t>n</w:t>
      </w:r>
      <w:r w:rsidR="00E90ED1" w:rsidRPr="00417097">
        <w:t>ar</w:t>
      </w:r>
      <w:r w:rsidR="00E90ED1">
        <w:t xml:space="preserve"> la experiencia expresada como </w:t>
      </w:r>
      <w:r w:rsidR="001F6471" w:rsidRPr="00057BF4">
        <w:rPr>
          <w:i/>
        </w:rPr>
        <w:t>dhamma</w:t>
      </w:r>
      <w:r w:rsidR="001F6471">
        <w:t xml:space="preserve">s </w:t>
      </w:r>
      <w:r w:rsidR="00E90ED1">
        <w:t xml:space="preserve">(ver cap. VII, n.1). </w:t>
      </w:r>
      <w:r w:rsidR="001F6471">
        <w:t>Varios</w:t>
      </w:r>
      <w:r w:rsidR="00E90ED1">
        <w:t xml:space="preserve"> instrumentos son nuevos </w:t>
      </w:r>
      <w:r w:rsidR="00F021D4">
        <w:t>a</w:t>
      </w:r>
      <w:r w:rsidR="00E90ED1">
        <w:t xml:space="preserve"> los </w:t>
      </w:r>
      <w:r w:rsidR="00E90ED1" w:rsidRPr="00422EBE">
        <w:rPr>
          <w:i/>
          <w:iCs/>
        </w:rPr>
        <w:t>Suttas</w:t>
      </w:r>
      <w:r w:rsidR="00E90ED1">
        <w:t xml:space="preserve">, aunque parcialmente rastreables </w:t>
      </w:r>
      <w:r w:rsidR="00F021D4">
        <w:t>en</w:t>
      </w:r>
      <w:r w:rsidR="00E90ED1">
        <w:t xml:space="preserve"> ellos. Los principales instrumentos peculiares </w:t>
      </w:r>
      <w:r w:rsidR="00C040C7">
        <w:t xml:space="preserve">a él </w:t>
      </w:r>
      <w:r w:rsidR="00E90ED1">
        <w:t>son tres: (a) el tratamiento estricto de la experiencia (o l</w:t>
      </w:r>
      <w:r w:rsidR="000C644D">
        <w:t>o</w:t>
      </w:r>
      <w:r w:rsidR="00E90ED1">
        <w:t xml:space="preserve"> co</w:t>
      </w:r>
      <w:r w:rsidR="00F021D4">
        <w:t>g</w:t>
      </w:r>
      <w:r w:rsidR="00E90ED1">
        <w:t>no</w:t>
      </w:r>
      <w:r w:rsidR="008B6E89">
        <w:t>s</w:t>
      </w:r>
      <w:r w:rsidR="00E90ED1">
        <w:t xml:space="preserve">cible y el conocimiento, utilizando las palabras en </w:t>
      </w:r>
      <w:r w:rsidR="000C644D">
        <w:t>el</w:t>
      </w:r>
      <w:r w:rsidR="00E90ED1">
        <w:t xml:space="preserve"> sentido más amplio posible) en términos de estados </w:t>
      </w:r>
      <w:r w:rsidR="000C644D">
        <w:t>cognoscible</w:t>
      </w:r>
      <w:r w:rsidR="00C13A25">
        <w:t>s</w:t>
      </w:r>
      <w:r w:rsidR="00E90ED1">
        <w:t xml:space="preserve"> momentáneos (</w:t>
      </w:r>
      <w:r w:rsidR="00F021D4" w:rsidRPr="00057BF4">
        <w:rPr>
          <w:i/>
        </w:rPr>
        <w:t>dhamma</w:t>
      </w:r>
      <w:r w:rsidR="00E90ED1">
        <w:t xml:space="preserve">) y la definición de </w:t>
      </w:r>
      <w:r w:rsidR="00DF64A9">
        <w:t>estos estados</w:t>
      </w:r>
      <w:r w:rsidR="00E90ED1">
        <w:t xml:space="preserve">, </w:t>
      </w:r>
      <w:r w:rsidR="00405FDF">
        <w:t xml:space="preserve">todo </w:t>
      </w:r>
      <w:r w:rsidR="00244923">
        <w:t>l</w:t>
      </w:r>
      <w:r w:rsidR="00405FDF">
        <w:t>o</w:t>
      </w:r>
      <w:r w:rsidR="00244923">
        <w:t xml:space="preserve"> cual</w:t>
      </w:r>
      <w:r w:rsidR="00E90ED1">
        <w:t xml:space="preserve"> es </w:t>
      </w:r>
      <w:r w:rsidR="00507118">
        <w:t>elaborado</w:t>
      </w:r>
      <w:r w:rsidR="00E90ED1">
        <w:t xml:space="preserve"> en el </w:t>
      </w:r>
      <w:proofErr w:type="spellStart"/>
      <w:r w:rsidR="00057BF4" w:rsidRPr="00057BF4">
        <w:rPr>
          <w:i/>
          <w:iCs/>
        </w:rPr>
        <w:t>Dhamma</w:t>
      </w:r>
      <w:r w:rsidR="00DF6534" w:rsidRPr="00DF6534">
        <w:rPr>
          <w:i/>
          <w:iCs/>
        </w:rPr>
        <w:t>saṅgaṇī</w:t>
      </w:r>
      <w:proofErr w:type="spellEnd"/>
      <w:r w:rsidR="00DF6534">
        <w:t xml:space="preserve"> </w:t>
      </w:r>
      <w:r w:rsidR="00E90ED1">
        <w:t xml:space="preserve">y </w:t>
      </w:r>
      <w:r w:rsidR="00F021D4">
        <w:t xml:space="preserve">el </w:t>
      </w:r>
      <w:proofErr w:type="spellStart"/>
      <w:r w:rsidR="00DF6534" w:rsidRPr="00DF6534">
        <w:rPr>
          <w:i/>
          <w:iCs/>
        </w:rPr>
        <w:t>Vibhaṅga</w:t>
      </w:r>
      <w:proofErr w:type="spellEnd"/>
      <w:r w:rsidR="00E90ED1">
        <w:t>; (b) la creación de un</w:t>
      </w:r>
      <w:r w:rsidR="005E4B7E">
        <w:t>a</w:t>
      </w:r>
      <w:r w:rsidR="00E90ED1">
        <w:t xml:space="preserve"> "</w:t>
      </w:r>
      <w:r w:rsidR="00C13A25">
        <w:t>programa</w:t>
      </w:r>
      <w:r w:rsidR="005E4B7E">
        <w:t>ción</w:t>
      </w:r>
      <w:r w:rsidR="00E90ED1">
        <w:t>" (</w:t>
      </w:r>
      <w:proofErr w:type="spellStart"/>
      <w:r w:rsidR="00244923" w:rsidRPr="00DF6534">
        <w:rPr>
          <w:i/>
          <w:iCs/>
        </w:rPr>
        <w:t>mātikā</w:t>
      </w:r>
      <w:proofErr w:type="spellEnd"/>
      <w:r w:rsidR="00E90ED1">
        <w:t>) que consist</w:t>
      </w:r>
      <w:r w:rsidR="00C13A25">
        <w:t>a</w:t>
      </w:r>
      <w:r w:rsidR="00E90ED1">
        <w:t xml:space="preserve"> </w:t>
      </w:r>
      <w:r w:rsidR="00C13A25">
        <w:t>de</w:t>
      </w:r>
      <w:r w:rsidR="00E90ED1">
        <w:t xml:space="preserve"> un conjunto de clasificaciones triples (</w:t>
      </w:r>
      <w:proofErr w:type="spellStart"/>
      <w:r w:rsidR="00E90ED1" w:rsidRPr="00DF6534">
        <w:rPr>
          <w:i/>
          <w:iCs/>
        </w:rPr>
        <w:t>tika</w:t>
      </w:r>
      <w:proofErr w:type="spellEnd"/>
      <w:r w:rsidR="00E90ED1">
        <w:t>) y dobles (</w:t>
      </w:r>
      <w:proofErr w:type="spellStart"/>
      <w:r w:rsidR="00E90ED1" w:rsidRPr="00DF6534">
        <w:rPr>
          <w:i/>
          <w:iCs/>
        </w:rPr>
        <w:t>duka</w:t>
      </w:r>
      <w:proofErr w:type="spellEnd"/>
      <w:r w:rsidR="00E90ED1">
        <w:t xml:space="preserve">) </w:t>
      </w:r>
      <w:r w:rsidR="005E4B7E">
        <w:t xml:space="preserve">que </w:t>
      </w:r>
      <w:r w:rsidR="00E90ED1">
        <w:t>clasifi</w:t>
      </w:r>
      <w:r w:rsidR="005E4B7E">
        <w:t>quen</w:t>
      </w:r>
      <w:r w:rsidR="00E90ED1">
        <w:t xml:space="preserve"> </w:t>
      </w:r>
      <w:r w:rsidR="00C13A25">
        <w:t>esto</w:t>
      </w:r>
      <w:r w:rsidR="00E90ED1">
        <w:t>s estados; y (c) la enumeración de veinticuatro tipos de relaciones condiciona</w:t>
      </w:r>
      <w:r w:rsidR="00C13A25">
        <w:t>les</w:t>
      </w:r>
      <w:r w:rsidR="00E90ED1">
        <w:t xml:space="preserve"> (</w:t>
      </w:r>
      <w:proofErr w:type="spellStart"/>
      <w:r w:rsidR="005910D0" w:rsidRPr="00DF6534">
        <w:rPr>
          <w:i/>
          <w:iCs/>
        </w:rPr>
        <w:t>paccaya</w:t>
      </w:r>
      <w:proofErr w:type="spellEnd"/>
      <w:r w:rsidR="00E90ED1">
        <w:t xml:space="preserve">), que se realiza en el </w:t>
      </w:r>
      <w:proofErr w:type="spellStart"/>
      <w:r w:rsidR="00DF6534" w:rsidRPr="00DF6534">
        <w:rPr>
          <w:i/>
          <w:iCs/>
        </w:rPr>
        <w:t>Paṭṭhāna</w:t>
      </w:r>
      <w:proofErr w:type="spellEnd"/>
      <w:r w:rsidR="00E90ED1">
        <w:t>. Los estados, tal como se define</w:t>
      </w:r>
      <w:r w:rsidR="00824780">
        <w:t>n</w:t>
      </w:r>
      <w:r w:rsidR="00E90ED1">
        <w:t>, son así, por decirlo</w:t>
      </w:r>
      <w:r w:rsidR="004F06DF">
        <w:t xml:space="preserve"> de alguna manera</w:t>
      </w:r>
      <w:r w:rsidR="00E90ED1">
        <w:t xml:space="preserve">, "imágenes" momentáneas; </w:t>
      </w:r>
      <w:r w:rsidR="00824780">
        <w:t xml:space="preserve">la </w:t>
      </w:r>
      <w:r w:rsidR="00E90ED1">
        <w:t xml:space="preserve">estructura de relaciones combina las imágenes fijas en continuidades; </w:t>
      </w:r>
      <w:r w:rsidR="00405FDF">
        <w:t>l</w:t>
      </w:r>
      <w:r w:rsidR="00E90ED1">
        <w:t xml:space="preserve">as clasificaciones de </w:t>
      </w:r>
      <w:r w:rsidR="003C1757">
        <w:t xml:space="preserve">la </w:t>
      </w:r>
      <w:r w:rsidR="00E90ED1">
        <w:t>programación indican la dirección de las continuidades.</w:t>
      </w:r>
      <w:r w:rsidR="00E90ED1" w:rsidRPr="00001239">
        <w:t xml:space="preserve"> </w:t>
      </w:r>
    </w:p>
    <w:p w14:paraId="40F78DDE" w14:textId="1D693BB4" w:rsidR="00C0675A" w:rsidRDefault="00C0675A" w:rsidP="00C0675A">
      <w:pPr>
        <w:pStyle w:val="NormalConSangria"/>
      </w:pPr>
      <w:r>
        <w:t>Los tres libros de</w:t>
      </w:r>
      <w:r w:rsidR="005B2144">
        <w:t>l</w:t>
      </w:r>
      <w:r>
        <w:t xml:space="preserve"> </w:t>
      </w:r>
      <w:proofErr w:type="spellStart"/>
      <w:r w:rsidR="00F02797" w:rsidRPr="00DF6534">
        <w:rPr>
          <w:i/>
          <w:iCs/>
        </w:rPr>
        <w:t>Abhi</w:t>
      </w:r>
      <w:r w:rsidR="00F02797" w:rsidRPr="00057BF4">
        <w:rPr>
          <w:i/>
          <w:iCs/>
        </w:rPr>
        <w:t>dhamma</w:t>
      </w:r>
      <w:proofErr w:type="spellEnd"/>
      <w:r w:rsidR="004231C0">
        <w:rPr>
          <w:i/>
          <w:iCs/>
        </w:rPr>
        <w:t>,</w:t>
      </w:r>
      <w:r w:rsidR="00F02797">
        <w:t xml:space="preserve"> </w:t>
      </w:r>
      <w:r>
        <w:t>ya mencionados</w:t>
      </w:r>
      <w:r w:rsidR="004231C0">
        <w:t>,</w:t>
      </w:r>
      <w:r>
        <w:t xml:space="preserve"> son la base esencial para lo que más tarde se </w:t>
      </w:r>
      <w:r w:rsidR="004231C0">
        <w:t xml:space="preserve">denominó </w:t>
      </w:r>
      <w:r>
        <w:t xml:space="preserve">el "Método </w:t>
      </w:r>
      <w:proofErr w:type="spellStart"/>
      <w:r w:rsidR="00F02797" w:rsidRPr="00DF6534">
        <w:rPr>
          <w:i/>
          <w:iCs/>
        </w:rPr>
        <w:t>Abhi</w:t>
      </w:r>
      <w:r w:rsidR="00F02797" w:rsidRPr="00057BF4">
        <w:rPr>
          <w:i/>
          <w:iCs/>
        </w:rPr>
        <w:t>dhamma</w:t>
      </w:r>
      <w:proofErr w:type="spellEnd"/>
      <w:r>
        <w:t xml:space="preserve">": juntos </w:t>
      </w:r>
      <w:r w:rsidR="009B67F7">
        <w:t>con</w:t>
      </w:r>
      <w:r>
        <w:t xml:space="preserve">forman </w:t>
      </w:r>
      <w:r w:rsidR="009B67F7">
        <w:t>un</w:t>
      </w:r>
      <w:r w:rsidR="004231C0">
        <w:t>a</w:t>
      </w:r>
      <w:r>
        <w:t xml:space="preserve"> to</w:t>
      </w:r>
      <w:r w:rsidR="004231C0">
        <w:t>talidad</w:t>
      </w:r>
      <w:r>
        <w:t xml:space="preserve"> integral. Los otros cuatro libros, que se puede decir que los </w:t>
      </w:r>
      <w:r w:rsidR="009B67F7">
        <w:t>sostienen</w:t>
      </w:r>
      <w:r>
        <w:t xml:space="preserve"> en varios campos técnicos, no </w:t>
      </w:r>
      <w:r w:rsidR="00E10C29">
        <w:t xml:space="preserve">requieren </w:t>
      </w:r>
      <w:r>
        <w:t xml:space="preserve">ser discutidos aquí. </w:t>
      </w:r>
      <w:r w:rsidR="003D6E31">
        <w:t>É</w:t>
      </w:r>
      <w:r>
        <w:t>st</w:t>
      </w:r>
      <w:r w:rsidR="003D6E31">
        <w:t>e</w:t>
      </w:r>
      <w:r>
        <w:t xml:space="preserve"> es</w:t>
      </w:r>
      <w:r w:rsidR="00E10C29">
        <w:t>,</w:t>
      </w:r>
      <w:r>
        <w:t xml:space="preserve"> </w:t>
      </w:r>
      <w:r w:rsidR="005B2144">
        <w:t>entonces</w:t>
      </w:r>
      <w:r w:rsidR="00E10C29">
        <w:t>,</w:t>
      </w:r>
      <w:r w:rsidR="005B2144">
        <w:t xml:space="preserve"> </w:t>
      </w:r>
      <w:r>
        <w:t xml:space="preserve">un </w:t>
      </w:r>
      <w:r w:rsidR="003D6E31">
        <w:t xml:space="preserve">simple </w:t>
      </w:r>
      <w:r>
        <w:t>esquema de lo que</w:t>
      </w:r>
      <w:r w:rsidR="009E7995">
        <w:t>,</w:t>
      </w:r>
      <w:r>
        <w:t xml:space="preserve"> de hecho</w:t>
      </w:r>
      <w:r w:rsidR="009E7995">
        <w:t>,</w:t>
      </w:r>
      <w:r>
        <w:t xml:space="preserve"> es un enorme laberinto </w:t>
      </w:r>
      <w:r w:rsidR="009E7995">
        <w:t>de</w:t>
      </w:r>
      <w:r>
        <w:t xml:space="preserve"> </w:t>
      </w:r>
      <w:r w:rsidR="00803977">
        <w:t>múltiples</w:t>
      </w:r>
      <w:r>
        <w:t xml:space="preserve"> giros </w:t>
      </w:r>
      <w:r w:rsidR="00FB244A">
        <w:t xml:space="preserve">inexplorados </w:t>
      </w:r>
      <w:r w:rsidR="00AC335F">
        <w:t xml:space="preserve">y </w:t>
      </w:r>
      <w:r w:rsidR="00096263">
        <w:t>alternos</w:t>
      </w:r>
      <w:r>
        <w:t>.</w:t>
      </w:r>
    </w:p>
    <w:p w14:paraId="7401F758" w14:textId="69B4C3D2" w:rsidR="00DB2792" w:rsidRDefault="00C0675A" w:rsidP="00C0675A">
      <w:pPr>
        <w:pStyle w:val="NormalConSangria"/>
      </w:pPr>
      <w:r>
        <w:t xml:space="preserve">(3) El sistema que se encuentra en los comentarios ha avanzado (quizás ligeramente </w:t>
      </w:r>
      <w:r w:rsidR="00822BA2">
        <w:t>divergido</w:t>
      </w:r>
      <w:r>
        <w:t>) desde el estricto punto de vista de</w:t>
      </w:r>
      <w:r w:rsidR="00803977">
        <w:t>l</w:t>
      </w:r>
      <w:r>
        <w:t xml:space="preserve"> </w:t>
      </w:r>
      <w:proofErr w:type="spellStart"/>
      <w:r w:rsidR="00822BA2" w:rsidRPr="00DF6534">
        <w:rPr>
          <w:i/>
          <w:iCs/>
        </w:rPr>
        <w:t>Abhi</w:t>
      </w:r>
      <w:r w:rsidR="00822BA2" w:rsidRPr="00057BF4">
        <w:rPr>
          <w:i/>
          <w:iCs/>
        </w:rPr>
        <w:t>dhamma</w:t>
      </w:r>
      <w:proofErr w:type="spellEnd"/>
      <w:r w:rsidR="00822BA2" w:rsidRPr="00DF6534">
        <w:rPr>
          <w:i/>
          <w:iCs/>
        </w:rPr>
        <w:t xml:space="preserve"> </w:t>
      </w:r>
      <w:proofErr w:type="spellStart"/>
      <w:r w:rsidRPr="00DF6534">
        <w:rPr>
          <w:i/>
          <w:iCs/>
        </w:rPr>
        <w:t>Piṭaka</w:t>
      </w:r>
      <w:proofErr w:type="spellEnd"/>
      <w:r>
        <w:t xml:space="preserve">. Los </w:t>
      </w:r>
      <w:r w:rsidRPr="00DF6534">
        <w:rPr>
          <w:i/>
          <w:iCs/>
        </w:rPr>
        <w:t>Suttas</w:t>
      </w:r>
      <w:r>
        <w:t xml:space="preserve"> ofrec</w:t>
      </w:r>
      <w:r w:rsidR="00BF3614">
        <w:t>ían</w:t>
      </w:r>
      <w:r>
        <w:t xml:space="preserve"> descripciones </w:t>
      </w:r>
      <w:r w:rsidR="00A050F5">
        <w:t>para un</w:t>
      </w:r>
      <w:r>
        <w:t xml:space="preserve"> descubrimiento; </w:t>
      </w:r>
      <w:r w:rsidR="00807031">
        <w:t xml:space="preserve">para </w:t>
      </w:r>
      <w:r w:rsidR="00A050F5">
        <w:t>l</w:t>
      </w:r>
      <w:r>
        <w:t>a creación de</w:t>
      </w:r>
      <w:r w:rsidR="00BF4956">
        <w:t xml:space="preserve"> un</w:t>
      </w:r>
      <w:r>
        <w:t xml:space="preserve"> mapa </w:t>
      </w:r>
      <w:r w:rsidR="00BF4956">
        <w:t xml:space="preserve">sobre </w:t>
      </w:r>
      <w:r>
        <w:t>e</w:t>
      </w:r>
      <w:r w:rsidR="00A050F5">
        <w:t>l</w:t>
      </w:r>
      <w:r>
        <w:t xml:space="preserve"> </w:t>
      </w:r>
      <w:proofErr w:type="spellStart"/>
      <w:r w:rsidR="00A050F5" w:rsidRPr="00DF6534">
        <w:rPr>
          <w:i/>
          <w:iCs/>
        </w:rPr>
        <w:t>Abhi</w:t>
      </w:r>
      <w:r w:rsidR="00A050F5" w:rsidRPr="00057BF4">
        <w:rPr>
          <w:i/>
          <w:iCs/>
        </w:rPr>
        <w:t>dhamma</w:t>
      </w:r>
      <w:proofErr w:type="spellEnd"/>
      <w:r>
        <w:t xml:space="preserve">; </w:t>
      </w:r>
      <w:r w:rsidR="00807031">
        <w:t xml:space="preserve">pero </w:t>
      </w:r>
      <w:r>
        <w:t xml:space="preserve">el énfasis ahora no </w:t>
      </w:r>
      <w:r w:rsidR="00807031">
        <w:t>consiste</w:t>
      </w:r>
      <w:r>
        <w:t xml:space="preserve"> en </w:t>
      </w:r>
      <w:r w:rsidR="00A74D73">
        <w:t>un</w:t>
      </w:r>
      <w:r>
        <w:t xml:space="preserve"> descubrimiento, o incluso </w:t>
      </w:r>
      <w:r w:rsidR="00EC4BF8">
        <w:t xml:space="preserve">en </w:t>
      </w:r>
      <w:r w:rsidR="00A74D73">
        <w:t>un</w:t>
      </w:r>
      <w:r>
        <w:t xml:space="preserve"> </w:t>
      </w:r>
      <w:r w:rsidR="000229C0">
        <w:t>mapeo</w:t>
      </w:r>
      <w:r>
        <w:t xml:space="preserve">, sino en </w:t>
      </w:r>
      <w:r w:rsidR="00396297">
        <w:t xml:space="preserve">una </w:t>
      </w:r>
      <w:r>
        <w:t>consolida</w:t>
      </w:r>
      <w:r w:rsidR="00396297">
        <w:t>ción</w:t>
      </w:r>
      <w:r>
        <w:t xml:space="preserve">, </w:t>
      </w:r>
      <w:r w:rsidR="00A74D73">
        <w:t>construcción</w:t>
      </w:r>
      <w:r>
        <w:t xml:space="preserve"> y explica</w:t>
      </w:r>
      <w:r w:rsidR="00514B92">
        <w:t>ción</w:t>
      </w:r>
      <w:r w:rsidR="00BF4956">
        <w:t xml:space="preserve"> al respecto</w:t>
      </w:r>
      <w:r>
        <w:t xml:space="preserve">. El material se trabaja </w:t>
      </w:r>
      <w:r w:rsidR="00D116D1">
        <w:t>en virtud de una</w:t>
      </w:r>
      <w:r>
        <w:t xml:space="preserve"> consistencia. Entre los nuevos desarrollos principales aquí se encuentran </w:t>
      </w:r>
      <w:r w:rsidR="00D116D1">
        <w:t>estos</w:t>
      </w:r>
      <w:r>
        <w:t xml:space="preserve">. Se organiza </w:t>
      </w:r>
      <w:r w:rsidR="001A3DD3">
        <w:t xml:space="preserve">y completa </w:t>
      </w:r>
      <w:r>
        <w:t>la "serie cognitiva" (</w:t>
      </w:r>
      <w:proofErr w:type="spellStart"/>
      <w:r w:rsidRPr="00DF6534">
        <w:rPr>
          <w:i/>
          <w:iCs/>
        </w:rPr>
        <w:t>Citta-Vīthi</w:t>
      </w:r>
      <w:proofErr w:type="spellEnd"/>
      <w:r>
        <w:t xml:space="preserve">) en la aparición del proceso consciente (ver Ch. IV, n.13 y Tabla V), y </w:t>
      </w:r>
      <w:r w:rsidR="0042567E">
        <w:t xml:space="preserve">también se establece </w:t>
      </w:r>
      <w:r>
        <w:t xml:space="preserve">su asociación con tres tipos diferentes de </w:t>
      </w:r>
      <w:proofErr w:type="spellStart"/>
      <w:r w:rsidR="00057BF4" w:rsidRPr="00057BF4">
        <w:rPr>
          <w:i/>
          <w:iCs/>
        </w:rPr>
        <w:t>kamma</w:t>
      </w:r>
      <w:proofErr w:type="spellEnd"/>
      <w:r>
        <w:t xml:space="preserve">. El término </w:t>
      </w:r>
      <w:proofErr w:type="spellStart"/>
      <w:r w:rsidRPr="00DF6534">
        <w:rPr>
          <w:i/>
          <w:iCs/>
        </w:rPr>
        <w:t>sabhāva</w:t>
      </w:r>
      <w:proofErr w:type="spellEnd"/>
      <w:r>
        <w:t xml:space="preserve"> ("esencia individual", </w:t>
      </w:r>
      <w:r w:rsidR="00CB46A4">
        <w:t xml:space="preserve">"el propio ser" </w:t>
      </w:r>
      <w:r>
        <w:t>"o</w:t>
      </w:r>
      <w:r w:rsidR="006576A9">
        <w:t xml:space="preserve"> </w:t>
      </w:r>
      <w:r>
        <w:t>"</w:t>
      </w:r>
      <w:r w:rsidR="009259EE">
        <w:t>el estado físico</w:t>
      </w:r>
      <w:r>
        <w:t xml:space="preserve">", véase el cap. VII, n.68) </w:t>
      </w:r>
      <w:r w:rsidR="009259EE">
        <w:t>es introducido</w:t>
      </w:r>
      <w:r>
        <w:t xml:space="preserve"> para explicar la palabra clave </w:t>
      </w:r>
      <w:r w:rsidR="00EC4BF8" w:rsidRPr="00057BF4">
        <w:rPr>
          <w:i/>
        </w:rPr>
        <w:t>dhamma</w:t>
      </w:r>
      <w:r>
        <w:t xml:space="preserve">, sometiendo así </w:t>
      </w:r>
      <w:r w:rsidR="009259EE">
        <w:t xml:space="preserve">dicho </w:t>
      </w:r>
      <w:r>
        <w:t xml:space="preserve">término a la crítica ontológica, mientras que </w:t>
      </w:r>
      <w:r w:rsidR="00EC4BF8">
        <w:t xml:space="preserve">a </w:t>
      </w:r>
      <w:r w:rsidR="00FF3D47">
        <w:t>la palabra</w:t>
      </w:r>
      <w:r>
        <w:t xml:space="preserve"> </w:t>
      </w:r>
      <w:proofErr w:type="spellStart"/>
      <w:r w:rsidRPr="00DF6534">
        <w:rPr>
          <w:i/>
          <w:iCs/>
        </w:rPr>
        <w:t>samaya</w:t>
      </w:r>
      <w:proofErr w:type="spellEnd"/>
      <w:r>
        <w:t xml:space="preserve"> ("</w:t>
      </w:r>
      <w:r w:rsidR="00FF3D47">
        <w:t>e</w:t>
      </w:r>
      <w:r>
        <w:t xml:space="preserve">vento" </w:t>
      </w:r>
      <w:r w:rsidR="007663CA">
        <w:t>u</w:t>
      </w:r>
      <w:r>
        <w:t xml:space="preserve"> "ocasión") del </w:t>
      </w:r>
      <w:proofErr w:type="spellStart"/>
      <w:r w:rsidR="00057BF4" w:rsidRPr="00057BF4">
        <w:rPr>
          <w:i/>
          <w:iCs/>
        </w:rPr>
        <w:t>Dhamma</w:t>
      </w:r>
      <w:r w:rsidRPr="00DF6534">
        <w:rPr>
          <w:i/>
          <w:iCs/>
        </w:rPr>
        <w:t>saṅgaṇī</w:t>
      </w:r>
      <w:proofErr w:type="spellEnd"/>
      <w:r>
        <w:t xml:space="preserve"> se </w:t>
      </w:r>
      <w:r w:rsidR="00FF3D47">
        <w:t xml:space="preserve">le </w:t>
      </w:r>
      <w:r>
        <w:t xml:space="preserve">denomina </w:t>
      </w:r>
      <w:r w:rsidR="00FF3D47">
        <w:t xml:space="preserve">ahora </w:t>
      </w:r>
      <w:proofErr w:type="spellStart"/>
      <w:r w:rsidRPr="00DF6534">
        <w:rPr>
          <w:i/>
          <w:iCs/>
        </w:rPr>
        <w:t>khaṇa</w:t>
      </w:r>
      <w:proofErr w:type="spellEnd"/>
      <w:r>
        <w:t xml:space="preserve"> ("momento"), cambiando</w:t>
      </w:r>
      <w:r w:rsidR="00967C36">
        <w:t>,</w:t>
      </w:r>
      <w:r>
        <w:t xml:space="preserve"> así</w:t>
      </w:r>
      <w:r w:rsidR="00967C36">
        <w:t>,</w:t>
      </w:r>
      <w:r>
        <w:t xml:space="preserve"> </w:t>
      </w:r>
      <w:r w:rsidR="00A64DCC">
        <w:t xml:space="preserve">un poco </w:t>
      </w:r>
      <w:r>
        <w:t xml:space="preserve">el peso y el equilibrio en el tratamiento del tiempo. </w:t>
      </w:r>
      <w:r w:rsidR="00A64DCC">
        <w:t>Luego</w:t>
      </w:r>
      <w:r>
        <w:t xml:space="preserve"> existe la atribución específica de los tres "instantes" (también</w:t>
      </w:r>
      <w:r w:rsidR="00FF3D47" w:rsidRPr="00FF3D47">
        <w:rPr>
          <w:i/>
          <w:iCs/>
        </w:rPr>
        <w:t xml:space="preserve"> </w:t>
      </w:r>
      <w:proofErr w:type="spellStart"/>
      <w:r w:rsidR="00FF3D47" w:rsidRPr="00DF6534">
        <w:rPr>
          <w:i/>
          <w:iCs/>
        </w:rPr>
        <w:t>khaṇa</w:t>
      </w:r>
      <w:proofErr w:type="spellEnd"/>
      <w:r>
        <w:t>) de</w:t>
      </w:r>
      <w:r w:rsidR="00DE42E1">
        <w:t>l</w:t>
      </w:r>
      <w:r>
        <w:t xml:space="preserve"> surgimiento, </w:t>
      </w:r>
      <w:r w:rsidR="00FF3D47">
        <w:t>permanencia</w:t>
      </w:r>
      <w:r>
        <w:t xml:space="preserve"> y disolución (</w:t>
      </w:r>
      <w:proofErr w:type="spellStart"/>
      <w:r w:rsidRPr="00284AE8">
        <w:rPr>
          <w:i/>
          <w:iCs/>
        </w:rPr>
        <w:t>upp</w:t>
      </w:r>
      <w:r w:rsidR="00DE42E1" w:rsidRPr="00284AE8">
        <w:rPr>
          <w:i/>
          <w:iCs/>
        </w:rPr>
        <w:t>ā</w:t>
      </w:r>
      <w:r w:rsidRPr="00284AE8">
        <w:rPr>
          <w:i/>
          <w:iCs/>
        </w:rPr>
        <w:t>da</w:t>
      </w:r>
      <w:proofErr w:type="spellEnd"/>
      <w:r w:rsidR="00967C36">
        <w:rPr>
          <w:rFonts w:cs="Cormorant"/>
          <w:i/>
          <w:iCs/>
        </w:rPr>
        <w:t>–</w:t>
      </w:r>
      <w:proofErr w:type="spellStart"/>
      <w:r w:rsidR="00284AE8" w:rsidRPr="00284AE8">
        <w:rPr>
          <w:i/>
          <w:iCs/>
        </w:rPr>
        <w:t>ṭṭhiti</w:t>
      </w:r>
      <w:proofErr w:type="spellEnd"/>
      <w:r w:rsidR="00967C36">
        <w:rPr>
          <w:rFonts w:cs="Cormorant"/>
          <w:i/>
          <w:iCs/>
        </w:rPr>
        <w:t>–</w:t>
      </w:r>
      <w:proofErr w:type="spellStart"/>
      <w:r w:rsidR="00284AE8" w:rsidRPr="00284AE8">
        <w:rPr>
          <w:i/>
          <w:iCs/>
        </w:rPr>
        <w:t>bhaṅga</w:t>
      </w:r>
      <w:proofErr w:type="spellEnd"/>
      <w:r>
        <w:t>) a cada "momento" (</w:t>
      </w:r>
      <w:proofErr w:type="spellStart"/>
      <w:r w:rsidRPr="00DF6534">
        <w:rPr>
          <w:i/>
          <w:iCs/>
        </w:rPr>
        <w:t>khaṇa</w:t>
      </w:r>
      <w:proofErr w:type="spellEnd"/>
      <w:r>
        <w:t>), un registro de</w:t>
      </w:r>
      <w:r w:rsidR="005813EF">
        <w:t>l</w:t>
      </w:r>
      <w:r>
        <w:t xml:space="preserve"> "momento material" calculado </w:t>
      </w:r>
      <w:r w:rsidR="0066017F">
        <w:t xml:space="preserve">como si durase </w:t>
      </w:r>
      <w:r>
        <w:t xml:space="preserve">hasta el </w:t>
      </w:r>
      <w:r w:rsidR="00B75E77">
        <w:t>final de</w:t>
      </w:r>
      <w:r>
        <w:t xml:space="preserve"> </w:t>
      </w:r>
      <w:r w:rsidR="005813EF">
        <w:t xml:space="preserve">16 </w:t>
      </w:r>
      <w:r>
        <w:t xml:space="preserve">"momentos mentales" (xx.24; </w:t>
      </w:r>
      <w:proofErr w:type="spellStart"/>
      <w:r>
        <w:t>dhs</w:t>
      </w:r>
      <w:proofErr w:type="spellEnd"/>
      <w:r>
        <w:t>-a 60) .</w:t>
      </w:r>
      <w:r w:rsidRPr="00DF6534">
        <w:rPr>
          <w:vertAlign w:val="superscript"/>
        </w:rPr>
        <w:t>18</w:t>
      </w:r>
      <w:r>
        <w:t xml:space="preserve"> Nuevos </w:t>
      </w:r>
      <w:r w:rsidR="0066017F">
        <w:t xml:space="preserve">rasgos </w:t>
      </w:r>
      <w:r>
        <w:t>en l</w:t>
      </w:r>
      <w:r w:rsidR="0066017F">
        <w:t>o</w:t>
      </w:r>
      <w:r>
        <w:t xml:space="preserve">s </w:t>
      </w:r>
      <w:proofErr w:type="spellStart"/>
      <w:r w:rsidR="00DF6534" w:rsidRPr="00DF6534">
        <w:rPr>
          <w:i/>
          <w:iCs/>
        </w:rPr>
        <w:t>Piṭakas</w:t>
      </w:r>
      <w:proofErr w:type="spellEnd"/>
      <w:r w:rsidR="00DF6534">
        <w:t xml:space="preserve"> </w:t>
      </w:r>
      <w:r>
        <w:t xml:space="preserve">son la enumeración bastante difícil </w:t>
      </w:r>
      <w:r w:rsidR="00C2403C">
        <w:t>de</w:t>
      </w:r>
      <w:r>
        <w:t xml:space="preserve"> manejar </w:t>
      </w:r>
      <w:r w:rsidR="00C2403C">
        <w:t xml:space="preserve">de </w:t>
      </w:r>
      <w:r>
        <w:t>los conceptos (</w:t>
      </w:r>
      <w:proofErr w:type="spellStart"/>
      <w:r w:rsidRPr="00DF6534">
        <w:rPr>
          <w:i/>
          <w:iCs/>
        </w:rPr>
        <w:t>Pañatti</w:t>
      </w:r>
      <w:proofErr w:type="spellEnd"/>
      <w:r>
        <w:t xml:space="preserve">, ver Ch. VIII, n.11), </w:t>
      </w:r>
      <w:r w:rsidR="009F7100" w:rsidRPr="009F7100">
        <w:t xml:space="preserve">y la útil fórmula </w:t>
      </w:r>
      <w:r w:rsidR="007F6D09">
        <w:t>de definición</w:t>
      </w:r>
      <w:r w:rsidR="009F7100" w:rsidRPr="009F7100">
        <w:t xml:space="preserve"> del significado de las palabras, </w:t>
      </w:r>
    </w:p>
    <w:p w14:paraId="543F58FB" w14:textId="06CB7D14" w:rsidR="00DB2792" w:rsidRPr="00DB2792" w:rsidRDefault="00DB2792" w:rsidP="00DB2792">
      <w:pPr>
        <w:pStyle w:val="PiedepginaLegal"/>
        <w:rPr>
          <w:u w:val="single"/>
        </w:rPr>
      </w:pPr>
      <w:r>
        <w:rPr>
          <w:u w:val="single"/>
        </w:rPr>
        <w:t xml:space="preserve">                                                 </w:t>
      </w:r>
      <w:r w:rsidR="00652CD6">
        <w:rPr>
          <w:u w:val="single"/>
        </w:rPr>
        <w:t xml:space="preserve">                                                </w:t>
      </w:r>
      <w:r>
        <w:rPr>
          <w:u w:val="single"/>
        </w:rPr>
        <w:t xml:space="preserve">                                          </w:t>
      </w:r>
      <w:r w:rsidRPr="00DB2792">
        <w:rPr>
          <w:u w:val="single"/>
        </w:rPr>
        <w:t>.</w:t>
      </w:r>
    </w:p>
    <w:p w14:paraId="48AF422C" w14:textId="0D90D8CA" w:rsidR="00652CD6" w:rsidRDefault="00DB2792" w:rsidP="00DB2792">
      <w:pPr>
        <w:pStyle w:val="PiedepginaLegal"/>
      </w:pPr>
      <w:r>
        <w:t xml:space="preserve">18. </w:t>
      </w:r>
      <w:r w:rsidR="00652CD6">
        <w:tab/>
      </w:r>
      <w:r>
        <w:t xml:space="preserve">La legitimación del momento mental de </w:t>
      </w:r>
      <w:r w:rsidR="00320559">
        <w:t xml:space="preserve">la </w:t>
      </w:r>
      <w:r>
        <w:t>"presencia" (</w:t>
      </w:r>
      <w:proofErr w:type="spellStart"/>
      <w:r w:rsidRPr="00DF6534">
        <w:rPr>
          <w:i/>
          <w:iCs/>
        </w:rPr>
        <w:t>ṭhiti</w:t>
      </w:r>
      <w:proofErr w:type="spellEnd"/>
      <w:r>
        <w:t>) como deducible de</w:t>
      </w:r>
      <w:r w:rsidR="00320559">
        <w:t>l A</w:t>
      </w:r>
      <w:r>
        <w:t xml:space="preserve"> I 152 es cuestionad</w:t>
      </w:r>
      <w:r w:rsidR="00BC019E">
        <w:t>a</w:t>
      </w:r>
      <w:r>
        <w:t xml:space="preserve"> por </w:t>
      </w:r>
      <w:r w:rsidR="005813EF">
        <w:t xml:space="preserve">el </w:t>
      </w:r>
      <w:proofErr w:type="spellStart"/>
      <w:r w:rsidR="00DF6534" w:rsidRPr="00DF6534">
        <w:t>Ācariya</w:t>
      </w:r>
      <w:proofErr w:type="spellEnd"/>
      <w:r w:rsidR="00DF6534" w:rsidRPr="00DF6534">
        <w:t xml:space="preserve"> Ānanda</w:t>
      </w:r>
      <w:r w:rsidR="00DF6534">
        <w:t xml:space="preserve"> </w:t>
      </w:r>
      <w:r>
        <w:t>(</w:t>
      </w:r>
      <w:proofErr w:type="spellStart"/>
      <w:r>
        <w:t>vibh</w:t>
      </w:r>
      <w:proofErr w:type="spellEnd"/>
      <w:r>
        <w:t>-</w:t>
      </w:r>
      <w:r w:rsidR="00BC019E">
        <w:t>ṭ</w:t>
      </w:r>
      <w:r>
        <w:t>), quien escribió tempran</w:t>
      </w:r>
      <w:r w:rsidR="00320559">
        <w:t>am</w:t>
      </w:r>
      <w:r w:rsidR="00DA2D97">
        <w:t>ente</w:t>
      </w:r>
      <w:r>
        <w:t xml:space="preserve"> en el período </w:t>
      </w:r>
      <w:r w:rsidR="005813EF">
        <w:t>inter</w:t>
      </w:r>
      <w:r>
        <w:t xml:space="preserve">medio; </w:t>
      </w:r>
      <w:r w:rsidR="00DA2D97">
        <w:t>él c</w:t>
      </w:r>
      <w:r>
        <w:t xml:space="preserve">ita </w:t>
      </w:r>
      <w:r w:rsidR="00DA2D97">
        <w:t>a</w:t>
      </w:r>
      <w:r>
        <w:t xml:space="preserve">l </w:t>
      </w:r>
      <w:proofErr w:type="spellStart"/>
      <w:r w:rsidRPr="00BC019E">
        <w:rPr>
          <w:i/>
          <w:iCs/>
        </w:rPr>
        <w:t>Yamaka</w:t>
      </w:r>
      <w:proofErr w:type="spellEnd"/>
      <w:r>
        <w:t xml:space="preserve"> (Ref.: II 13–14; y I 216-17) </w:t>
      </w:r>
      <w:r w:rsidR="00DA2D97">
        <w:t>como contra</w:t>
      </w:r>
      <w:r w:rsidR="00BC019E">
        <w:t xml:space="preserve"> argumento</w:t>
      </w:r>
      <w:r>
        <w:t>.</w:t>
      </w:r>
    </w:p>
    <w:p w14:paraId="091A9B06" w14:textId="77777777" w:rsidR="00652CD6" w:rsidRDefault="00652CD6">
      <w:pPr>
        <w:rPr>
          <w:color w:val="000000" w:themeColor="text1"/>
          <w:spacing w:val="10"/>
          <w:sz w:val="14"/>
        </w:rPr>
      </w:pPr>
      <w:r>
        <w:br w:type="page"/>
      </w:r>
    </w:p>
    <w:p w14:paraId="1E8F8067" w14:textId="77777777" w:rsidR="00F90344" w:rsidRDefault="00F90344" w:rsidP="006861AD"/>
    <w:p w14:paraId="427D0D8B" w14:textId="645E013E" w:rsidR="006861AD" w:rsidRPr="006861AD" w:rsidRDefault="0066017F" w:rsidP="006861AD">
      <w:r w:rsidRPr="009F7100">
        <w:t xml:space="preserve">característica, función, manifestación y causa próxima (locus); también muchos </w:t>
      </w:r>
      <w:r w:rsidR="007F6D09" w:rsidRPr="009F7100">
        <w:t xml:space="preserve">casos menores </w:t>
      </w:r>
      <w:r w:rsidR="00EF78AB">
        <w:t xml:space="preserve">de </w:t>
      </w:r>
      <w:r w:rsidR="007F6D09" w:rsidRPr="009F7100">
        <w:t>sustitución</w:t>
      </w:r>
      <w:r w:rsidR="000A788B">
        <w:t>,</w:t>
      </w:r>
      <w:r w:rsidR="007F6D09" w:rsidRPr="009F7100">
        <w:t xml:space="preserve"> </w:t>
      </w:r>
      <w:r w:rsidR="00EF78AB" w:rsidRPr="009F7100">
        <w:t xml:space="preserve">como la </w:t>
      </w:r>
      <w:r w:rsidR="007F6D09" w:rsidRPr="009F7100">
        <w:t xml:space="preserve">“base material de la mente” del </w:t>
      </w:r>
      <w:proofErr w:type="spellStart"/>
      <w:r w:rsidR="00AC71AC" w:rsidRPr="00AC71AC">
        <w:rPr>
          <w:i/>
          <w:iCs/>
        </w:rPr>
        <w:t>Paṭṭhāna</w:t>
      </w:r>
      <w:proofErr w:type="spellEnd"/>
      <w:r w:rsidR="007F6D09" w:rsidRPr="009F7100">
        <w:t xml:space="preserve"> por la </w:t>
      </w:r>
      <w:r w:rsidR="00EF78AB" w:rsidRPr="009F7100">
        <w:t xml:space="preserve">específica </w:t>
      </w:r>
      <w:r w:rsidR="007F6D09" w:rsidRPr="009F7100">
        <w:t>“base de</w:t>
      </w:r>
      <w:r w:rsidR="00AC3641">
        <w:t xml:space="preserve"> </w:t>
      </w:r>
      <w:r w:rsidR="007F6D09" w:rsidRPr="009F7100">
        <w:t>l</w:t>
      </w:r>
      <w:r w:rsidR="00AC3641">
        <w:t>a</w:t>
      </w:r>
      <w:r w:rsidR="007F6D09" w:rsidRPr="009F7100">
        <w:t xml:space="preserve"> </w:t>
      </w:r>
      <w:r w:rsidR="00AC3641">
        <w:t>memoria</w:t>
      </w:r>
      <w:r w:rsidR="007F6D09" w:rsidRPr="009F7100">
        <w:t>”, la concepción de “</w:t>
      </w:r>
      <w:r w:rsidR="000A788B">
        <w:t>óctuplos</w:t>
      </w:r>
      <w:r w:rsidR="007F6D09" w:rsidRPr="009F7100">
        <w:t xml:space="preserve"> materiales”, etc., las descripciones detalladas de las </w:t>
      </w:r>
      <w:r w:rsidR="000A788B">
        <w:t xml:space="preserve">32 </w:t>
      </w:r>
      <w:r w:rsidR="007F6D09" w:rsidRPr="009F7100">
        <w:t>partes del cuerpo</w:t>
      </w:r>
      <w:r w:rsidR="000A788B">
        <w:t>,</w:t>
      </w:r>
      <w:r w:rsidR="007F6D09" w:rsidRPr="009F7100">
        <w:t xml:space="preserve"> en lugar de la simple enumeración de los nombres </w:t>
      </w:r>
      <w:r w:rsidR="000F6E7C">
        <w:t xml:space="preserve">encontrados </w:t>
      </w:r>
      <w:r w:rsidR="007F6D09" w:rsidRPr="009F7100">
        <w:t xml:space="preserve">en los </w:t>
      </w:r>
      <w:r w:rsidR="007F6D09" w:rsidRPr="000F6E7C">
        <w:rPr>
          <w:i/>
          <w:iCs/>
        </w:rPr>
        <w:t>Suttas</w:t>
      </w:r>
      <w:r w:rsidR="007F6D09" w:rsidRPr="009F7100">
        <w:t xml:space="preserve"> (</w:t>
      </w:r>
      <w:r w:rsidR="000A788B">
        <w:t xml:space="preserve">31 </w:t>
      </w:r>
      <w:r w:rsidR="007F6D09" w:rsidRPr="009F7100">
        <w:t xml:space="preserve">en los cuatro </w:t>
      </w:r>
      <w:proofErr w:type="spellStart"/>
      <w:r w:rsidR="000F6E7C" w:rsidRPr="000F6E7C">
        <w:rPr>
          <w:i/>
          <w:iCs/>
        </w:rPr>
        <w:t>Nikāya</w:t>
      </w:r>
      <w:r w:rsidR="007F6D09" w:rsidRPr="000F6E7C">
        <w:rPr>
          <w:i/>
          <w:iCs/>
        </w:rPr>
        <w:t>s</w:t>
      </w:r>
      <w:proofErr w:type="spellEnd"/>
      <w:r w:rsidR="007F6D09" w:rsidRPr="009F7100">
        <w:t xml:space="preserve"> y </w:t>
      </w:r>
      <w:r w:rsidR="000A788B">
        <w:t>32</w:t>
      </w:r>
      <w:r w:rsidR="007F6D09" w:rsidRPr="009F7100">
        <w:t xml:space="preserve">en el </w:t>
      </w:r>
      <w:proofErr w:type="spellStart"/>
      <w:r w:rsidR="007F6D09" w:rsidRPr="00833DDB">
        <w:rPr>
          <w:i/>
          <w:iCs/>
        </w:rPr>
        <w:t>Khuddakap</w:t>
      </w:r>
      <w:r w:rsidR="000F6E7C" w:rsidRPr="00833DDB">
        <w:rPr>
          <w:i/>
          <w:iCs/>
        </w:rPr>
        <w:t>ā</w:t>
      </w:r>
      <w:r w:rsidR="00833DDB" w:rsidRPr="00833DDB">
        <w:rPr>
          <w:i/>
          <w:iCs/>
        </w:rPr>
        <w:t>ṭ</w:t>
      </w:r>
      <w:r w:rsidR="007F6D09" w:rsidRPr="00833DDB">
        <w:rPr>
          <w:i/>
          <w:iCs/>
        </w:rPr>
        <w:t>ha</w:t>
      </w:r>
      <w:proofErr w:type="spellEnd"/>
      <w:r w:rsidR="007F6D09" w:rsidRPr="009F7100">
        <w:t xml:space="preserve"> y el </w:t>
      </w:r>
      <w:proofErr w:type="spellStart"/>
      <w:r w:rsidR="007F6D09" w:rsidRPr="00833DDB">
        <w:rPr>
          <w:i/>
          <w:iCs/>
        </w:rPr>
        <w:t>Pa</w:t>
      </w:r>
      <w:r w:rsidR="00ED166C" w:rsidRPr="00833DDB">
        <w:rPr>
          <w:i/>
          <w:iCs/>
        </w:rPr>
        <w:t>ṭ</w:t>
      </w:r>
      <w:r w:rsidR="007F6D09" w:rsidRPr="00833DDB">
        <w:rPr>
          <w:i/>
          <w:iCs/>
        </w:rPr>
        <w:t>isambhid</w:t>
      </w:r>
      <w:r w:rsidR="000F6E7C" w:rsidRPr="00833DDB">
        <w:rPr>
          <w:i/>
          <w:iCs/>
        </w:rPr>
        <w:t>a</w:t>
      </w:r>
      <w:r w:rsidR="007F6D09" w:rsidRPr="00833DDB">
        <w:rPr>
          <w:i/>
          <w:iCs/>
        </w:rPr>
        <w:t>m</w:t>
      </w:r>
      <w:r w:rsidR="00ED166C" w:rsidRPr="00833DDB">
        <w:rPr>
          <w:i/>
          <w:iCs/>
        </w:rPr>
        <w:t>ā</w:t>
      </w:r>
      <w:r w:rsidR="007F6D09" w:rsidRPr="00833DDB">
        <w:rPr>
          <w:i/>
          <w:iCs/>
        </w:rPr>
        <w:t>gga</w:t>
      </w:r>
      <w:proofErr w:type="spellEnd"/>
      <w:r w:rsidR="007F6D09" w:rsidRPr="009F7100">
        <w:t>), y muchos más.</w:t>
      </w:r>
      <w:r w:rsidR="00ED166C">
        <w:t xml:space="preserve"> </w:t>
      </w:r>
      <w:r w:rsidR="006861AD" w:rsidRPr="006861AD">
        <w:t xml:space="preserve">Y la palabra </w:t>
      </w:r>
      <w:proofErr w:type="spellStart"/>
      <w:r w:rsidR="006861AD" w:rsidRPr="00DF6534">
        <w:rPr>
          <w:i/>
          <w:iCs/>
        </w:rPr>
        <w:t>paramattha</w:t>
      </w:r>
      <w:proofErr w:type="spellEnd"/>
      <w:r w:rsidR="006861AD" w:rsidRPr="006861AD">
        <w:t xml:space="preserve"> adquiere un</w:t>
      </w:r>
      <w:r w:rsidR="00ED166C">
        <w:t xml:space="preserve"> uso </w:t>
      </w:r>
      <w:r w:rsidR="006861AD" w:rsidRPr="006861AD">
        <w:t>nuev</w:t>
      </w:r>
      <w:r w:rsidR="00ED166C">
        <w:t>o</w:t>
      </w:r>
      <w:r w:rsidR="006861AD" w:rsidRPr="006861AD">
        <w:t xml:space="preserve"> y ligeramente </w:t>
      </w:r>
      <w:r w:rsidR="00195304">
        <w:t>modificado</w:t>
      </w:r>
      <w:r w:rsidR="006861AD" w:rsidRPr="006861AD">
        <w:t xml:space="preserve">. La cuestión </w:t>
      </w:r>
      <w:r w:rsidR="0035367F">
        <w:t>sobre</w:t>
      </w:r>
      <w:r w:rsidR="006861AD" w:rsidRPr="006861AD">
        <w:t xml:space="preserve"> cuánto </w:t>
      </w:r>
      <w:r w:rsidR="0035367F">
        <w:t xml:space="preserve">de </w:t>
      </w:r>
      <w:r w:rsidR="006861AD" w:rsidRPr="006861AD">
        <w:t xml:space="preserve">este proceso </w:t>
      </w:r>
      <w:r w:rsidR="0035367F" w:rsidRPr="006861AD">
        <w:t xml:space="preserve">se debe </w:t>
      </w:r>
      <w:r w:rsidR="0035367F">
        <w:t xml:space="preserve">al </w:t>
      </w:r>
      <w:r w:rsidR="006861AD" w:rsidRPr="006861AD">
        <w:t xml:space="preserve">desarrollo </w:t>
      </w:r>
      <w:r w:rsidR="0035367F">
        <w:t>y</w:t>
      </w:r>
      <w:r w:rsidR="006861AD" w:rsidRPr="006861AD">
        <w:t xml:space="preserve"> la evolución pos</w:t>
      </w:r>
      <w:r w:rsidR="00DF6534">
        <w:t>t</w:t>
      </w:r>
      <w:r w:rsidR="00195304">
        <w:rPr>
          <w:rFonts w:cs="Cormorant"/>
        </w:rPr>
        <w:t>–</w:t>
      </w:r>
      <w:proofErr w:type="spellStart"/>
      <w:r w:rsidR="00DF6534">
        <w:t>Maoriya</w:t>
      </w:r>
      <w:proofErr w:type="spellEnd"/>
      <w:r w:rsidR="00DF6534">
        <w:t xml:space="preserve"> </w:t>
      </w:r>
      <w:r w:rsidR="006861AD" w:rsidRPr="006861AD">
        <w:t xml:space="preserve">del pensamiento sánscrito en el continente indio (ya sea a través de la asimilación o la oposición) aún </w:t>
      </w:r>
      <w:r w:rsidR="003B088E">
        <w:t>resta</w:t>
      </w:r>
      <w:r w:rsidR="006861AD" w:rsidRPr="006861AD">
        <w:t xml:space="preserve"> por explorar, como muchos otros</w:t>
      </w:r>
      <w:r w:rsidR="0035367F">
        <w:t xml:space="preserve"> aspectos</w:t>
      </w:r>
      <w:r w:rsidR="006861AD" w:rsidRPr="006861AD">
        <w:t xml:space="preserve"> en este campo. El objetivo de este </w:t>
      </w:r>
      <w:r w:rsidR="009A2BD8">
        <w:t>planteamiento</w:t>
      </w:r>
      <w:r w:rsidR="006861AD" w:rsidRPr="006861AD">
        <w:t xml:space="preserve"> es solo señalar algunos puntos de referencia.</w:t>
      </w:r>
    </w:p>
    <w:p w14:paraId="2F4B676B" w14:textId="662709AB" w:rsidR="006861AD" w:rsidRPr="006861AD" w:rsidRDefault="006861AD" w:rsidP="006861AD">
      <w:pPr>
        <w:pStyle w:val="Ttulo3"/>
        <w:ind w:left="708"/>
      </w:pPr>
      <w:r w:rsidRPr="006861AD">
        <w:t xml:space="preserve">El </w:t>
      </w:r>
      <w:proofErr w:type="spellStart"/>
      <w:r w:rsidRPr="003B088E">
        <w:rPr>
          <w:i/>
          <w:iCs/>
        </w:rPr>
        <w:t>Paramatthamañjusā</w:t>
      </w:r>
      <w:proofErr w:type="spellEnd"/>
    </w:p>
    <w:p w14:paraId="7ACB2FBC" w14:textId="71983C0D" w:rsidR="006861AD" w:rsidRPr="006861AD" w:rsidRDefault="006861AD" w:rsidP="006861AD">
      <w:r w:rsidRPr="006861AD">
        <w:t xml:space="preserve">Las notas de esta traducción contienen muchas citas del </w:t>
      </w:r>
      <w:r w:rsidR="00AA31E1" w:rsidRPr="00AA31E1">
        <w:rPr>
          <w:i/>
          <w:iCs/>
        </w:rPr>
        <w:t>Comentario</w:t>
      </w:r>
      <w:r w:rsidR="00AA31E1" w:rsidRPr="006861AD">
        <w:t xml:space="preserve"> </w:t>
      </w:r>
      <w:r w:rsidRPr="00DF6534">
        <w:rPr>
          <w:i/>
          <w:iCs/>
        </w:rPr>
        <w:t>Visuddhimagga</w:t>
      </w:r>
      <w:r w:rsidRPr="006861AD">
        <w:t xml:space="preserve">, </w:t>
      </w:r>
      <w:r w:rsidR="00533BB9">
        <w:t>llamado</w:t>
      </w:r>
      <w:r w:rsidRPr="006861AD">
        <w:t xml:space="preserve"> </w:t>
      </w:r>
      <w:proofErr w:type="spellStart"/>
      <w:r w:rsidRPr="00DF6534">
        <w:rPr>
          <w:i/>
          <w:iCs/>
        </w:rPr>
        <w:t>Paramatthamañjūsā</w:t>
      </w:r>
      <w:proofErr w:type="spellEnd"/>
      <w:r w:rsidRPr="006861AD">
        <w:t xml:space="preserve"> o </w:t>
      </w:r>
      <w:r w:rsidRPr="00DF6534">
        <w:rPr>
          <w:i/>
          <w:iCs/>
        </w:rPr>
        <w:t>Mahā-</w:t>
      </w:r>
      <w:proofErr w:type="spellStart"/>
      <w:r w:rsidRPr="00DF6534">
        <w:rPr>
          <w:i/>
          <w:iCs/>
        </w:rPr>
        <w:t>ṭīkā</w:t>
      </w:r>
      <w:proofErr w:type="spellEnd"/>
      <w:r w:rsidRPr="006861AD">
        <w:t xml:space="preserve">. Se considera un trabajo autorizado. Las citas se incluyen tanto para </w:t>
      </w:r>
      <w:r w:rsidR="00195B57">
        <w:t>dar</w:t>
      </w:r>
      <w:r w:rsidRPr="006861AD">
        <w:t xml:space="preserve"> luz sobre pasajes difíciles </w:t>
      </w:r>
      <w:r w:rsidR="00195B57">
        <w:t>d</w:t>
      </w:r>
      <w:r w:rsidR="00727FEF">
        <w:t xml:space="preserve">el </w:t>
      </w:r>
      <w:r w:rsidRPr="00DF6534">
        <w:rPr>
          <w:i/>
          <w:iCs/>
        </w:rPr>
        <w:t>Visuddhimagga</w:t>
      </w:r>
      <w:r w:rsidRPr="006861AD">
        <w:t xml:space="preserve"> como p</w:t>
      </w:r>
      <w:r w:rsidR="00727FEF">
        <w:t>a</w:t>
      </w:r>
      <w:r w:rsidRPr="006861AD">
        <w:t>r</w:t>
      </w:r>
      <w:r w:rsidR="00727FEF">
        <w:t>a</w:t>
      </w:r>
      <w:r w:rsidRPr="006861AD">
        <w:t xml:space="preserve"> </w:t>
      </w:r>
      <w:r w:rsidR="00DD2F9C">
        <w:t>una buena</w:t>
      </w:r>
      <w:r w:rsidRPr="006861AD">
        <w:t xml:space="preserve"> representación</w:t>
      </w:r>
      <w:r w:rsidR="00DD2F9C">
        <w:t>,</w:t>
      </w:r>
      <w:r w:rsidRPr="006861AD">
        <w:t xml:space="preserve"> por vez </w:t>
      </w:r>
      <w:r w:rsidR="0096160D" w:rsidRPr="006861AD">
        <w:t>primera</w:t>
      </w:r>
      <w:r w:rsidR="00DD2F9C">
        <w:t>,</w:t>
      </w:r>
      <w:r w:rsidR="0096160D" w:rsidRPr="006861AD">
        <w:t xml:space="preserve"> </w:t>
      </w:r>
      <w:r w:rsidR="0096160D">
        <w:t xml:space="preserve">de </w:t>
      </w:r>
      <w:r w:rsidRPr="006861AD">
        <w:t xml:space="preserve">algunos de los ensayos intercalados en él. El prólogo y el epílogo </w:t>
      </w:r>
      <w:r w:rsidR="0096160D">
        <w:t>aluden como su</w:t>
      </w:r>
      <w:r w:rsidRPr="006861AD">
        <w:t xml:space="preserve"> autor </w:t>
      </w:r>
      <w:r w:rsidR="0096160D">
        <w:t>a</w:t>
      </w:r>
      <w:r w:rsidRPr="006861AD">
        <w:t xml:space="preserve"> un </w:t>
      </w:r>
      <w:r w:rsidR="0096160D">
        <w:t>Venerable</w:t>
      </w:r>
      <w:r w:rsidRPr="006861AD">
        <w:t xml:space="preserve"> llamado </w:t>
      </w:r>
      <w:proofErr w:type="spellStart"/>
      <w:r w:rsidR="00057BF4" w:rsidRPr="0096160D">
        <w:rPr>
          <w:iCs/>
        </w:rPr>
        <w:t>Dhamma</w:t>
      </w:r>
      <w:r w:rsidRPr="0096160D">
        <w:rPr>
          <w:iCs/>
        </w:rPr>
        <w:t>pāla</w:t>
      </w:r>
      <w:proofErr w:type="spellEnd"/>
      <w:r w:rsidRPr="006861AD">
        <w:t xml:space="preserve">, que vivía en </w:t>
      </w:r>
      <w:proofErr w:type="spellStart"/>
      <w:r w:rsidRPr="006861AD">
        <w:t>Badaratittha</w:t>
      </w:r>
      <w:proofErr w:type="spellEnd"/>
      <w:r w:rsidRPr="006861AD">
        <w:t xml:space="preserve"> (identificado como </w:t>
      </w:r>
      <w:r w:rsidR="00C9305A">
        <w:t xml:space="preserve">un lugar </w:t>
      </w:r>
      <w:r w:rsidRPr="006861AD">
        <w:t xml:space="preserve">cerca de Chennai). </w:t>
      </w:r>
      <w:r w:rsidR="00C9305A" w:rsidRPr="006861AD">
        <w:t xml:space="preserve">Este </w:t>
      </w:r>
      <w:r w:rsidRPr="006861AD">
        <w:t xml:space="preserve">autor también es indio, generalmente vivió </w:t>
      </w:r>
      <w:r w:rsidR="00A11C9E">
        <w:t>entre los</w:t>
      </w:r>
      <w:r w:rsidRPr="006861AD">
        <w:t xml:space="preserve"> dos siglos</w:t>
      </w:r>
      <w:r w:rsidR="000D52EF">
        <w:t>,</w:t>
      </w:r>
      <w:r w:rsidRPr="006861AD">
        <w:t xml:space="preserve"> </w:t>
      </w:r>
      <w:r w:rsidR="00E4103D">
        <w:t>aproximadamente</w:t>
      </w:r>
      <w:r w:rsidR="000D52EF">
        <w:t>,</w:t>
      </w:r>
      <w:r w:rsidRPr="006861AD">
        <w:t xml:space="preserve"> </w:t>
      </w:r>
      <w:r w:rsidR="00E4103D">
        <w:t xml:space="preserve">que vivió </w:t>
      </w:r>
      <w:proofErr w:type="spellStart"/>
      <w:r w:rsidRPr="006861AD">
        <w:t>Bhadantācariya</w:t>
      </w:r>
      <w:proofErr w:type="spellEnd"/>
      <w:r w:rsidRPr="006861AD">
        <w:t xml:space="preserve"> </w:t>
      </w:r>
      <w:r w:rsidR="00057BF4" w:rsidRPr="00742A20">
        <w:rPr>
          <w:iCs/>
        </w:rPr>
        <w:t>Buddha</w:t>
      </w:r>
      <w:r w:rsidRPr="00742A20">
        <w:rPr>
          <w:iCs/>
        </w:rPr>
        <w:t>ghosa</w:t>
      </w:r>
      <w:r w:rsidRPr="006861AD">
        <w:t xml:space="preserve">. No </w:t>
      </w:r>
      <w:r w:rsidR="000D52EF">
        <w:t>existe</w:t>
      </w:r>
      <w:r w:rsidRPr="006861AD">
        <w:t xml:space="preserve"> nada que </w:t>
      </w:r>
      <w:r w:rsidR="00AD4A2B">
        <w:t xml:space="preserve">se pueda </w:t>
      </w:r>
      <w:r w:rsidRPr="006861AD">
        <w:t xml:space="preserve">decir </w:t>
      </w:r>
      <w:r w:rsidR="00742A20">
        <w:t>sobre si</w:t>
      </w:r>
      <w:r w:rsidRPr="006861AD">
        <w:t xml:space="preserve"> alguna vez </w:t>
      </w:r>
      <w:r w:rsidR="00742A20">
        <w:t>viajara</w:t>
      </w:r>
      <w:r w:rsidRPr="006861AD">
        <w:t xml:space="preserve"> </w:t>
      </w:r>
      <w:r w:rsidR="00E4103D">
        <w:t xml:space="preserve">o no </w:t>
      </w:r>
      <w:r w:rsidRPr="006861AD">
        <w:t>a Sri Lanka.</w:t>
      </w:r>
    </w:p>
    <w:p w14:paraId="5FF34485" w14:textId="4393320E" w:rsidR="006861AD" w:rsidRPr="00DF6534" w:rsidRDefault="006861AD" w:rsidP="00FC16AA">
      <w:pPr>
        <w:pStyle w:val="NormalConSangria"/>
      </w:pPr>
      <w:r w:rsidRPr="006861AD">
        <w:t xml:space="preserve">El </w:t>
      </w:r>
      <w:r w:rsidRPr="00DF6534">
        <w:rPr>
          <w:i/>
          <w:iCs/>
        </w:rPr>
        <w:t>Visuddhimagga</w:t>
      </w:r>
      <w:r w:rsidRPr="006861AD">
        <w:t xml:space="preserve"> cita </w:t>
      </w:r>
      <w:r w:rsidR="00AD4A2B">
        <w:t>a discreción</w:t>
      </w:r>
      <w:r w:rsidRPr="006861AD">
        <w:t xml:space="preserve"> </w:t>
      </w:r>
      <w:r w:rsidR="000D52EF">
        <w:t>e</w:t>
      </w:r>
      <w:r w:rsidRPr="006861AD">
        <w:t xml:space="preserve">l </w:t>
      </w:r>
      <w:proofErr w:type="spellStart"/>
      <w:r w:rsidRPr="00DF6534">
        <w:rPr>
          <w:i/>
          <w:iCs/>
        </w:rPr>
        <w:t>Paṭisambhidāmagga</w:t>
      </w:r>
      <w:proofErr w:type="spellEnd"/>
      <w:r w:rsidRPr="006861AD">
        <w:t xml:space="preserve">, </w:t>
      </w:r>
      <w:r w:rsidR="00D84D14">
        <w:t>cuyo</w:t>
      </w:r>
      <w:r w:rsidRPr="006861AD">
        <w:t xml:space="preserve"> comentario fue escrito por un </w:t>
      </w:r>
      <w:r w:rsidR="00B72C91">
        <w:t>Venerable</w:t>
      </w:r>
      <w:r w:rsidR="00B72C91" w:rsidRPr="006861AD">
        <w:t xml:space="preserve"> </w:t>
      </w:r>
      <w:r w:rsidRPr="006861AD">
        <w:t xml:space="preserve">llamado </w:t>
      </w:r>
      <w:proofErr w:type="spellStart"/>
      <w:r w:rsidRPr="00D84D14">
        <w:t>Mahā</w:t>
      </w:r>
      <w:r w:rsidR="00057BF4" w:rsidRPr="00D84D14">
        <w:t>nāma</w:t>
      </w:r>
      <w:proofErr w:type="spellEnd"/>
      <w:r w:rsidRPr="006861AD">
        <w:t xml:space="preserve"> (</w:t>
      </w:r>
      <w:r w:rsidR="00724BA8">
        <w:t>datado</w:t>
      </w:r>
      <w:r w:rsidRPr="006861AD">
        <w:t xml:space="preserve"> en el período </w:t>
      </w:r>
      <w:r w:rsidR="000D52EF">
        <w:t>interm</w:t>
      </w:r>
      <w:r w:rsidRPr="006861AD">
        <w:t xml:space="preserve">edio y </w:t>
      </w:r>
      <w:r w:rsidR="00724BA8">
        <w:t xml:space="preserve">con </w:t>
      </w:r>
      <w:r w:rsidRPr="006861AD">
        <w:t xml:space="preserve">lugar de residencia incierto). Principalmente, pero no siempre, el </w:t>
      </w:r>
      <w:r w:rsidR="00724BA8">
        <w:t>Venerable</w:t>
      </w:r>
      <w:r w:rsidR="00724BA8" w:rsidRPr="006861AD">
        <w:t xml:space="preserve"> </w:t>
      </w:r>
      <w:proofErr w:type="spellStart"/>
      <w:r w:rsidR="00057BF4" w:rsidRPr="00724BA8">
        <w:rPr>
          <w:iCs/>
        </w:rPr>
        <w:t>Dhamma</w:t>
      </w:r>
      <w:r w:rsidRPr="00724BA8">
        <w:rPr>
          <w:iCs/>
        </w:rPr>
        <w:t>pāla</w:t>
      </w:r>
      <w:proofErr w:type="spellEnd"/>
      <w:r w:rsidRPr="006861AD">
        <w:t xml:space="preserve"> </w:t>
      </w:r>
      <w:r w:rsidR="00724BA8">
        <w:t>afirma</w:t>
      </w:r>
      <w:r w:rsidRPr="006861AD">
        <w:t xml:space="preserve"> lo mismo al comentar sobre estos pasajes citados, </w:t>
      </w:r>
      <w:r w:rsidR="00576B48">
        <w:t xml:space="preserve">tal </w:t>
      </w:r>
      <w:r w:rsidRPr="006861AD">
        <w:t xml:space="preserve">como el </w:t>
      </w:r>
      <w:r w:rsidR="00724BA8">
        <w:t>Venerable</w:t>
      </w:r>
      <w:r w:rsidR="00724BA8" w:rsidRPr="006861AD">
        <w:t xml:space="preserve"> </w:t>
      </w:r>
      <w:proofErr w:type="spellStart"/>
      <w:r w:rsidRPr="00724BA8">
        <w:rPr>
          <w:iCs/>
        </w:rPr>
        <w:t>Mahā</w:t>
      </w:r>
      <w:r w:rsidR="00057BF4" w:rsidRPr="00724BA8">
        <w:rPr>
          <w:iCs/>
        </w:rPr>
        <w:t>nāma</w:t>
      </w:r>
      <w:proofErr w:type="spellEnd"/>
      <w:r w:rsidR="00EF6B60">
        <w:rPr>
          <w:iCs/>
        </w:rPr>
        <w:t>,</w:t>
      </w:r>
      <w:r w:rsidRPr="006861AD">
        <w:t xml:space="preserve"> pero </w:t>
      </w:r>
      <w:r w:rsidR="00724BA8">
        <w:t>con</w:t>
      </w:r>
      <w:r w:rsidRPr="006861AD">
        <w:t xml:space="preserve"> más palabras.</w:t>
      </w:r>
      <w:r w:rsidRPr="00724BA8">
        <w:rPr>
          <w:vertAlign w:val="superscript"/>
        </w:rPr>
        <w:t>19</w:t>
      </w:r>
      <w:r w:rsidRPr="006861AD">
        <w:t xml:space="preserve"> Se basa mucho en los silogismos y los argumentos lógicos. También </w:t>
      </w:r>
      <w:r w:rsidR="00D84D14">
        <w:t xml:space="preserve">se encuentran </w:t>
      </w:r>
      <w:r w:rsidRPr="006861AD">
        <w:t xml:space="preserve">varias discusiones sobre algunos de los sistemas de las "seis escuelas" de la filosofía </w:t>
      </w:r>
      <w:r w:rsidRPr="00724BA8">
        <w:rPr>
          <w:i/>
          <w:iCs/>
        </w:rPr>
        <w:t>brahmánica</w:t>
      </w:r>
      <w:r w:rsidRPr="006861AD">
        <w:t xml:space="preserve">. No </w:t>
      </w:r>
      <w:r w:rsidR="009B0916">
        <w:t>se encuentran</w:t>
      </w:r>
      <w:r w:rsidRPr="006861AD">
        <w:t xml:space="preserve"> historias</w:t>
      </w:r>
      <w:r w:rsidR="009A17B7">
        <w:t xml:space="preserve"> en él</w:t>
      </w:r>
      <w:r w:rsidRPr="006861AD">
        <w:t>. Este escritor académico es difícil, formalista y</w:t>
      </w:r>
      <w:r w:rsidR="00191695">
        <w:t>,</w:t>
      </w:r>
      <w:r w:rsidRPr="006861AD">
        <w:t xml:space="preserve"> a menudo</w:t>
      </w:r>
      <w:r w:rsidR="00191695">
        <w:t>,</w:t>
      </w:r>
      <w:r w:rsidRPr="006861AD">
        <w:t xml:space="preserve"> </w:t>
      </w:r>
      <w:r w:rsidR="00191695">
        <w:t>comprometido</w:t>
      </w:r>
      <w:r w:rsidRPr="006861AD">
        <w:t xml:space="preserve">, muy cuidadoso y preciso. </w:t>
      </w:r>
      <w:r w:rsidRPr="00DF6534">
        <w:t>Se atribuyen varias otras obras</w:t>
      </w:r>
      <w:r w:rsidR="00363C61">
        <w:t xml:space="preserve"> a él</w:t>
      </w:r>
      <w:r w:rsidRPr="00DF6534">
        <w:t>.</w:t>
      </w:r>
    </w:p>
    <w:p w14:paraId="12987AA9" w14:textId="77777777" w:rsidR="006861AD" w:rsidRPr="00AC6AAB" w:rsidRDefault="006861AD" w:rsidP="006861AD">
      <w:pPr>
        <w:pStyle w:val="PiedepginaLegal"/>
      </w:pPr>
    </w:p>
    <w:p w14:paraId="7EA65EC9" w14:textId="3CF40B50" w:rsidR="006861AD" w:rsidRPr="00AC6AAB" w:rsidRDefault="006861AD" w:rsidP="006861AD">
      <w:pPr>
        <w:pStyle w:val="PiedepginaLegal"/>
        <w:rPr>
          <w:u w:val="single"/>
        </w:rPr>
      </w:pPr>
      <w:r w:rsidRPr="00AC6AAB">
        <w:rPr>
          <w:u w:val="single"/>
        </w:rPr>
        <w:t xml:space="preserve">                                                                    </w:t>
      </w:r>
      <w:r w:rsidR="00F90344" w:rsidRPr="00AC6AAB">
        <w:rPr>
          <w:u w:val="single"/>
        </w:rPr>
        <w:t xml:space="preserve">                                                 </w:t>
      </w:r>
      <w:r w:rsidRPr="00AC6AAB">
        <w:rPr>
          <w:u w:val="single"/>
        </w:rPr>
        <w:t xml:space="preserve">                   .</w:t>
      </w:r>
    </w:p>
    <w:p w14:paraId="5F15CC1F" w14:textId="3E4CE319" w:rsidR="00F90344" w:rsidRDefault="006861AD" w:rsidP="006861AD">
      <w:pPr>
        <w:pStyle w:val="PiedepginaLegal"/>
      </w:pPr>
      <w:r w:rsidRPr="00AC6AAB">
        <w:t xml:space="preserve">19. </w:t>
      </w:r>
      <w:r w:rsidRPr="00AC6AAB">
        <w:tab/>
      </w:r>
      <w:r w:rsidR="00DF6534" w:rsidRPr="00DF6534">
        <w:t>El Venerable</w:t>
      </w:r>
      <w:r w:rsidRPr="00DF6534">
        <w:t xml:space="preserve"> </w:t>
      </w:r>
      <w:proofErr w:type="spellStart"/>
      <w:r w:rsidR="00057BF4" w:rsidRPr="00830B84">
        <w:rPr>
          <w:iCs/>
        </w:rPr>
        <w:t>Dhamma</w:t>
      </w:r>
      <w:r w:rsidRPr="00830B84">
        <w:rPr>
          <w:iCs/>
        </w:rPr>
        <w:t>pāla</w:t>
      </w:r>
      <w:proofErr w:type="spellEnd"/>
      <w:r w:rsidRPr="00DF6534">
        <w:t xml:space="preserve">, </w:t>
      </w:r>
      <w:r w:rsidR="00DF6534" w:rsidRPr="00DF6534">
        <w:t xml:space="preserve">al comentar </w:t>
      </w:r>
      <w:r w:rsidR="00830B84">
        <w:t xml:space="preserve">el </w:t>
      </w:r>
      <w:proofErr w:type="spellStart"/>
      <w:r w:rsidRPr="00DF6534">
        <w:t>Vism</w:t>
      </w:r>
      <w:proofErr w:type="spellEnd"/>
      <w:r w:rsidRPr="00DF6534">
        <w:t xml:space="preserve"> XXI.77, </w:t>
      </w:r>
      <w:r w:rsidR="00DF6534" w:rsidRPr="00DF6534">
        <w:t>adopta la lectura de</w:t>
      </w:r>
      <w:r w:rsidRPr="00DF6534">
        <w:t xml:space="preserve"> </w:t>
      </w:r>
      <w:proofErr w:type="spellStart"/>
      <w:r w:rsidRPr="00DF6534">
        <w:rPr>
          <w:i/>
          <w:iCs/>
        </w:rPr>
        <w:t>phuṭṭhanta</w:t>
      </w:r>
      <w:r w:rsidR="00830B84">
        <w:rPr>
          <w:i/>
          <w:iCs/>
        </w:rPr>
        <w:t>ṃ</w:t>
      </w:r>
      <w:proofErr w:type="spellEnd"/>
      <w:r w:rsidRPr="00DF6534">
        <w:rPr>
          <w:i/>
          <w:iCs/>
        </w:rPr>
        <w:t xml:space="preserve"> </w:t>
      </w:r>
      <w:proofErr w:type="spellStart"/>
      <w:r w:rsidRPr="00DF6534">
        <w:rPr>
          <w:i/>
          <w:iCs/>
        </w:rPr>
        <w:t>sacchikato</w:t>
      </w:r>
      <w:proofErr w:type="spellEnd"/>
      <w:r w:rsidRPr="00DF6534">
        <w:t xml:space="preserve"> </w:t>
      </w:r>
      <w:r w:rsidR="00DF6534" w:rsidRPr="00DF6534">
        <w:t xml:space="preserve">y </w:t>
      </w:r>
      <w:r w:rsidR="00191695">
        <w:t xml:space="preserve">lo </w:t>
      </w:r>
      <w:r w:rsidR="00DF6534" w:rsidRPr="00DF6534">
        <w:t xml:space="preserve">explica </w:t>
      </w:r>
      <w:r w:rsidRPr="00DF6534">
        <w:t xml:space="preserve">(cf. </w:t>
      </w:r>
      <w:proofErr w:type="spellStart"/>
      <w:r w:rsidRPr="00DF6534">
        <w:rPr>
          <w:i/>
          <w:iCs/>
        </w:rPr>
        <w:t>Mūla</w:t>
      </w:r>
      <w:proofErr w:type="spellEnd"/>
      <w:r w:rsidRPr="00DF6534">
        <w:rPr>
          <w:i/>
          <w:iCs/>
        </w:rPr>
        <w:t xml:space="preserve"> </w:t>
      </w:r>
      <w:proofErr w:type="spellStart"/>
      <w:r w:rsidRPr="00DF6534">
        <w:rPr>
          <w:i/>
          <w:iCs/>
        </w:rPr>
        <w:t>Ṭīkā</w:t>
      </w:r>
      <w:proofErr w:type="spellEnd"/>
      <w:r w:rsidRPr="00DF6534">
        <w:t xml:space="preserve">, </w:t>
      </w:r>
      <w:proofErr w:type="spellStart"/>
      <w:r w:rsidRPr="00DF6534">
        <w:t>Pug</w:t>
      </w:r>
      <w:proofErr w:type="spellEnd"/>
      <w:r w:rsidRPr="00DF6534">
        <w:t xml:space="preserve">-þ 32), </w:t>
      </w:r>
      <w:r w:rsidR="00DF6534" w:rsidRPr="00DF6534">
        <w:t xml:space="preserve">pero el Venerable </w:t>
      </w:r>
      <w:proofErr w:type="spellStart"/>
      <w:r w:rsidRPr="00400AF9">
        <w:rPr>
          <w:iCs/>
        </w:rPr>
        <w:t>Mahā</w:t>
      </w:r>
      <w:r w:rsidR="00057BF4" w:rsidRPr="00400AF9">
        <w:rPr>
          <w:iCs/>
        </w:rPr>
        <w:t>nāma</w:t>
      </w:r>
      <w:proofErr w:type="spellEnd"/>
      <w:r w:rsidRPr="00DF6534">
        <w:t xml:space="preserve">, </w:t>
      </w:r>
      <w:r w:rsidR="00DF6534">
        <w:t xml:space="preserve">al comentar sobre el </w:t>
      </w:r>
      <w:r w:rsidR="00BC019E">
        <w:br/>
      </w:r>
      <w:proofErr w:type="spellStart"/>
      <w:r w:rsidRPr="00DF6534">
        <w:rPr>
          <w:i/>
          <w:iCs/>
        </w:rPr>
        <w:t>Paṭisambhidāmagga</w:t>
      </w:r>
      <w:proofErr w:type="spellEnd"/>
      <w:r w:rsidRPr="00DF6534">
        <w:t xml:space="preserve"> </w:t>
      </w:r>
      <w:r w:rsidR="00DF6534">
        <w:t>del cual se cita el pasaje</w:t>
      </w:r>
      <w:r w:rsidRPr="00DF6534">
        <w:t xml:space="preserve">, </w:t>
      </w:r>
      <w:r w:rsidR="00DF6534">
        <w:t xml:space="preserve">recoge la lectura </w:t>
      </w:r>
      <w:r w:rsidR="00400AF9">
        <w:t xml:space="preserve">de </w:t>
      </w:r>
      <w:proofErr w:type="spellStart"/>
      <w:r w:rsidR="00342013" w:rsidRPr="00DF6534">
        <w:rPr>
          <w:i/>
          <w:iCs/>
        </w:rPr>
        <w:t>phuṭṭhattā</w:t>
      </w:r>
      <w:proofErr w:type="spellEnd"/>
      <w:r w:rsidR="00342013" w:rsidRPr="00DF6534">
        <w:t xml:space="preserve"> </w:t>
      </w:r>
      <w:proofErr w:type="spellStart"/>
      <w:r w:rsidR="00342013" w:rsidRPr="00DF6534">
        <w:rPr>
          <w:i/>
          <w:iCs/>
        </w:rPr>
        <w:t>sacchikato</w:t>
      </w:r>
      <w:proofErr w:type="spellEnd"/>
      <w:r w:rsidR="00342013" w:rsidRPr="00DF6534">
        <w:t xml:space="preserve"> </w:t>
      </w:r>
      <w:r w:rsidRPr="00DF6534">
        <w:t xml:space="preserve">y </w:t>
      </w:r>
      <w:r w:rsidR="00400AF9">
        <w:t xml:space="preserve">lo </w:t>
      </w:r>
      <w:r w:rsidRPr="00DF6534">
        <w:t>comenta de manera diferente (</w:t>
      </w:r>
      <w:proofErr w:type="spellStart"/>
      <w:r w:rsidRPr="00DF6534">
        <w:rPr>
          <w:i/>
          <w:iCs/>
        </w:rPr>
        <w:t>Pa</w:t>
      </w:r>
      <w:r w:rsidR="00DF6534" w:rsidRPr="00DF6534">
        <w:rPr>
          <w:i/>
          <w:iCs/>
        </w:rPr>
        <w:t>ṭ</w:t>
      </w:r>
      <w:r w:rsidRPr="00DF6534">
        <w:rPr>
          <w:i/>
          <w:iCs/>
        </w:rPr>
        <w:t>is</w:t>
      </w:r>
      <w:proofErr w:type="spellEnd"/>
      <w:r w:rsidRPr="00DF6534">
        <w:t xml:space="preserve">-A 396, </w:t>
      </w:r>
      <w:proofErr w:type="spellStart"/>
      <w:r w:rsidRPr="00DF6534">
        <w:t>Hewavitarne</w:t>
      </w:r>
      <w:proofErr w:type="spellEnd"/>
      <w:r w:rsidRPr="00DF6534">
        <w:t xml:space="preserve"> ed.). </w:t>
      </w:r>
      <w:r w:rsidRPr="006861AD">
        <w:t xml:space="preserve">Nuevamente, lo que el </w:t>
      </w:r>
      <w:r w:rsidR="00DF6534">
        <w:t>Venerable</w:t>
      </w:r>
      <w:r w:rsidR="00DF6534" w:rsidRPr="006861AD">
        <w:t xml:space="preserve"> </w:t>
      </w:r>
      <w:proofErr w:type="spellStart"/>
      <w:r w:rsidRPr="00BC019E">
        <w:rPr>
          <w:iCs/>
        </w:rPr>
        <w:t>Mahā</w:t>
      </w:r>
      <w:r w:rsidR="00057BF4" w:rsidRPr="00BC019E">
        <w:rPr>
          <w:iCs/>
        </w:rPr>
        <w:t>nāma</w:t>
      </w:r>
      <w:proofErr w:type="spellEnd"/>
      <w:r w:rsidRPr="006861AD">
        <w:t xml:space="preserve"> presenta se conoce como "</w:t>
      </w:r>
      <w:r w:rsidR="00BC019E">
        <w:t>afirmación de</w:t>
      </w:r>
      <w:r w:rsidRPr="006861AD">
        <w:t xml:space="preserve"> algunos (</w:t>
      </w:r>
      <w:proofErr w:type="spellStart"/>
      <w:r w:rsidRPr="00342013">
        <w:rPr>
          <w:i/>
          <w:iCs/>
        </w:rPr>
        <w:t>Keci</w:t>
      </w:r>
      <w:proofErr w:type="spellEnd"/>
      <w:r w:rsidRPr="006861AD">
        <w:t xml:space="preserve">)" en el comentario del </w:t>
      </w:r>
      <w:r w:rsidR="00DF6534">
        <w:t>Venerable</w:t>
      </w:r>
      <w:r w:rsidR="00DF6534" w:rsidRPr="006861AD">
        <w:t xml:space="preserve"> </w:t>
      </w:r>
      <w:proofErr w:type="spellStart"/>
      <w:r w:rsidR="00057BF4" w:rsidRPr="00144075">
        <w:rPr>
          <w:iCs/>
        </w:rPr>
        <w:t>Dhamma</w:t>
      </w:r>
      <w:r w:rsidRPr="00144075">
        <w:rPr>
          <w:iCs/>
        </w:rPr>
        <w:t>pāla</w:t>
      </w:r>
      <w:proofErr w:type="spellEnd"/>
      <w:r w:rsidRPr="006861AD">
        <w:t xml:space="preserve"> sobre el </w:t>
      </w:r>
      <w:r w:rsidRPr="00DF6534">
        <w:rPr>
          <w:i/>
          <w:iCs/>
        </w:rPr>
        <w:t>Visuddhimagga</w:t>
      </w:r>
      <w:r w:rsidRPr="006861AD">
        <w:t xml:space="preserve"> (ver VISM VIII, N.46). Es el estándar habitual de consistencia estricta lo que hace que tan pequeñas divergencias sean notables. Sin embargo, estos dos comentaristas rara vez se reproducen literalmente. En contraste, donde el </w:t>
      </w:r>
      <w:proofErr w:type="spellStart"/>
      <w:r w:rsidRPr="00DF6534">
        <w:rPr>
          <w:i/>
          <w:iCs/>
        </w:rPr>
        <w:t>paramatthamañjūsā</w:t>
      </w:r>
      <w:proofErr w:type="spellEnd"/>
      <w:r w:rsidRPr="006861AD">
        <w:t xml:space="preserve"> y el </w:t>
      </w:r>
      <w:proofErr w:type="spellStart"/>
      <w:r w:rsidRPr="00DF6534">
        <w:rPr>
          <w:i/>
          <w:iCs/>
        </w:rPr>
        <w:t>mūlaṭīkā</w:t>
      </w:r>
      <w:proofErr w:type="spellEnd"/>
      <w:r w:rsidRPr="006861AD">
        <w:t xml:space="preserve"> se superponen de manera similar, las oraciones son en su mayoría literales, pero la primera, con material adicional, parece una versión expandida de la segunda, o la última una versión </w:t>
      </w:r>
      <w:r w:rsidR="00B74EBC">
        <w:t>re</w:t>
      </w:r>
      <w:r w:rsidRPr="006861AD">
        <w:t>cortada de la primera.</w:t>
      </w:r>
    </w:p>
    <w:p w14:paraId="2A903C08" w14:textId="77777777" w:rsidR="004C7903" w:rsidRDefault="004C7903">
      <w:r>
        <w:br w:type="page"/>
      </w:r>
    </w:p>
    <w:p w14:paraId="7C5447D3" w14:textId="4B2F2357" w:rsidR="004C7903" w:rsidRDefault="004C7903" w:rsidP="004C7903">
      <w:pPr>
        <w:pStyle w:val="Ttulo3"/>
        <w:ind w:left="708"/>
      </w:pPr>
      <w:r>
        <w:lastRenderedPageBreak/>
        <w:t xml:space="preserve">Algunos Hilos Principales </w:t>
      </w:r>
      <w:r w:rsidR="00363C61">
        <w:t xml:space="preserve">del </w:t>
      </w:r>
      <w:r w:rsidRPr="009B0916">
        <w:rPr>
          <w:i/>
          <w:iCs/>
        </w:rPr>
        <w:t>Visuddhimagga</w:t>
      </w:r>
    </w:p>
    <w:p w14:paraId="48545CAB" w14:textId="31F00DDB" w:rsidR="004C7903" w:rsidRDefault="004C7903" w:rsidP="004C7903">
      <w:r>
        <w:t xml:space="preserve">El </w:t>
      </w:r>
      <w:r w:rsidRPr="00DF6534">
        <w:rPr>
          <w:i/>
          <w:iCs/>
        </w:rPr>
        <w:t>Visuddhimagga</w:t>
      </w:r>
      <w:r>
        <w:t xml:space="preserve"> </w:t>
      </w:r>
      <w:r w:rsidR="00187A09">
        <w:t>es</w:t>
      </w:r>
      <w:r>
        <w:t xml:space="preserve"> probablemente mejor considerado como un manual detallado para los maestros de meditación y como un trabajo de referencia. En cuanto a su construcción bastante compleja, la lista de contenidos se da </w:t>
      </w:r>
      <w:r w:rsidR="00D844D9">
        <w:t>muy extensamente</w:t>
      </w:r>
      <w:r>
        <w:t xml:space="preserve"> para servir como guía para la forma</w:t>
      </w:r>
      <w:r w:rsidR="00A02C0F">
        <w:t>,</w:t>
      </w:r>
      <w:r>
        <w:t xml:space="preserve"> a menudo</w:t>
      </w:r>
      <w:r w:rsidR="00A02C0F">
        <w:t>,</w:t>
      </w:r>
      <w:r>
        <w:t xml:space="preserve"> complicada de los capítulos y del trabajo en su conjunto. Además, se pueden observar las siguientes consideraciones.</w:t>
      </w:r>
    </w:p>
    <w:p w14:paraId="6773DF11" w14:textId="32B08024" w:rsidR="004C7903" w:rsidRDefault="004C7903" w:rsidP="005033E4">
      <w:pPr>
        <w:pStyle w:val="NormalConSangria"/>
      </w:pPr>
      <w:r>
        <w:t xml:space="preserve">Los </w:t>
      </w:r>
      <w:r w:rsidR="00D844D9">
        <w:t xml:space="preserve">Capítulos </w:t>
      </w:r>
      <w:r>
        <w:t xml:space="preserve">I y II, que tratan </w:t>
      </w:r>
      <w:r w:rsidR="00D844D9">
        <w:t>sobre</w:t>
      </w:r>
      <w:r>
        <w:t xml:space="preserve"> la virtud como </w:t>
      </w:r>
      <w:r w:rsidR="00851072">
        <w:t>un</w:t>
      </w:r>
      <w:r>
        <w:t xml:space="preserve">a práctica de restricción, o retiro, no </w:t>
      </w:r>
      <w:r w:rsidR="0098796E">
        <w:t>presentan</w:t>
      </w:r>
      <w:r>
        <w:t xml:space="preserve"> dificultades. Sin embargo, se puede comentar aquí que cuando el asceta budista entra en reclusión (</w:t>
      </w:r>
      <w:r w:rsidR="0085112D">
        <w:t xml:space="preserve">se </w:t>
      </w:r>
      <w:r>
        <w:t xml:space="preserve">restringe </w:t>
      </w:r>
      <w:r w:rsidR="0085112D">
        <w:t xml:space="preserve">de </w:t>
      </w:r>
      <w:r>
        <w:t>las puertas sensoriales), sería incorrecto decir de él que "</w:t>
      </w:r>
      <w:r w:rsidR="0085112D">
        <w:t>abandona</w:t>
      </w:r>
      <w:r>
        <w:t xml:space="preserve"> el mundo"; Porque donde est</w:t>
      </w:r>
      <w:r w:rsidR="0085112D">
        <w:t>é</w:t>
      </w:r>
      <w:r>
        <w:t xml:space="preserve"> un hombre, est</w:t>
      </w:r>
      <w:r w:rsidR="0085112D">
        <w:t>ar</w:t>
      </w:r>
      <w:r>
        <w:t>á su mundo (</w:t>
      </w:r>
      <w:r w:rsidR="0085112D" w:rsidRPr="0085112D">
        <w:rPr>
          <w:i/>
          <w:iCs/>
        </w:rPr>
        <w:t>loka</w:t>
      </w:r>
      <w:r>
        <w:t xml:space="preserve">), como aparece en el discurso citado en </w:t>
      </w:r>
      <w:r w:rsidR="00D062E9">
        <w:t xml:space="preserve">el Cap. </w:t>
      </w:r>
      <w:r>
        <w:t>VII.</w:t>
      </w:r>
      <w:r w:rsidR="003E6DF8" w:rsidRPr="003E6DF8">
        <w:t xml:space="preserve"> </w:t>
      </w:r>
      <w:r w:rsidR="003E6DF8" w:rsidRPr="003716D8">
        <w:t>§</w:t>
      </w:r>
      <w:r>
        <w:t xml:space="preserve">36 (cf. También S IV 116, así como </w:t>
      </w:r>
      <w:r w:rsidR="0085112D">
        <w:t xml:space="preserve">en </w:t>
      </w:r>
      <w:r>
        <w:t xml:space="preserve">muchos otros </w:t>
      </w:r>
      <w:r w:rsidRPr="0085112D">
        <w:rPr>
          <w:i/>
          <w:iCs/>
        </w:rPr>
        <w:t>suttas</w:t>
      </w:r>
      <w:r>
        <w:t xml:space="preserve"> sobre el mismo tema). Entonces, cuando se retira del clamor de la sociedad a los bosques y rocas, lleva su mundo con él, como si se retirara a su laboratorio, para analizarlo mejor.</w:t>
      </w:r>
    </w:p>
    <w:p w14:paraId="63416BEF" w14:textId="6D175834" w:rsidR="004C7903" w:rsidRDefault="004C7903" w:rsidP="005033E4">
      <w:pPr>
        <w:pStyle w:val="NormalConSangria"/>
      </w:pPr>
      <w:r>
        <w:t xml:space="preserve">Los </w:t>
      </w:r>
      <w:r w:rsidR="0085112D">
        <w:t xml:space="preserve">Capítulos </w:t>
      </w:r>
      <w:r>
        <w:t>III a</w:t>
      </w:r>
      <w:r w:rsidR="0085112D">
        <w:t>l</w:t>
      </w:r>
      <w:r>
        <w:t xml:space="preserve"> XI describen el proceso de concentración y dan instrucciones para lograrlo mediante una opción de cuarenta </w:t>
      </w:r>
      <w:r w:rsidR="0085112D">
        <w:t>objetos</w:t>
      </w:r>
      <w:r>
        <w:t xml:space="preserve"> de meditación para desarrollar </w:t>
      </w:r>
      <w:r w:rsidR="005277AC">
        <w:t>tal</w:t>
      </w:r>
      <w:r>
        <w:t xml:space="preserve"> concentración. </w:t>
      </w:r>
      <w:r w:rsidR="00A97FD5">
        <w:t>La descripción sobre</w:t>
      </w:r>
      <w:r>
        <w:t xml:space="preserve"> cada </w:t>
      </w:r>
      <w:r w:rsidR="0085112D">
        <w:t xml:space="preserve">objeto </w:t>
      </w:r>
      <w:r>
        <w:t>de meditación único que se da aquí est</w:t>
      </w:r>
      <w:r w:rsidR="00A97FD5">
        <w:t>ar</w:t>
      </w:r>
      <w:r w:rsidR="005B1898">
        <w:t>ía</w:t>
      </w:r>
      <w:r>
        <w:t xml:space="preserve"> incomplet</w:t>
      </w:r>
      <w:r w:rsidR="00B208C6">
        <w:t>a</w:t>
      </w:r>
      <w:r>
        <w:t xml:space="preserve"> a menos que se </w:t>
      </w:r>
      <w:r w:rsidR="00A97FD5">
        <w:t>adopte</w:t>
      </w:r>
      <w:r>
        <w:t xml:space="preserve"> </w:t>
      </w:r>
      <w:proofErr w:type="gramStart"/>
      <w:r w:rsidR="00A97FD5">
        <w:t>con</w:t>
      </w:r>
      <w:r>
        <w:t>junt</w:t>
      </w:r>
      <w:r w:rsidR="00A97FD5">
        <w:t>amente</w:t>
      </w:r>
      <w:r>
        <w:t xml:space="preserve"> con</w:t>
      </w:r>
      <w:proofErr w:type="gramEnd"/>
      <w:r>
        <w:t xml:space="preserve"> toda la Parte III (</w:t>
      </w:r>
      <w:r w:rsidR="001C5594">
        <w:t>sabiduría</w:t>
      </w:r>
      <w:r>
        <w:t>), que se aplica a todos</w:t>
      </w:r>
      <w:r w:rsidR="004B445D">
        <w:t xml:space="preserve"> estos objetos</w:t>
      </w:r>
      <w:r>
        <w:t xml:space="preserve">. La concentración es el entrenamiento en intensidad y profundidad de </w:t>
      </w:r>
      <w:r w:rsidR="001C5594">
        <w:t>la atención</w:t>
      </w:r>
      <w:r>
        <w:t xml:space="preserve"> y en una mentalidad</w:t>
      </w:r>
      <w:r w:rsidR="00C96937">
        <w:t xml:space="preserve"> individual</w:t>
      </w:r>
      <w:r>
        <w:t xml:space="preserve">. Si bien el budismo no hace un reclamo exclusivo </w:t>
      </w:r>
      <w:r w:rsidR="00B208C6">
        <w:t xml:space="preserve">de la </w:t>
      </w:r>
      <w:r>
        <w:t>enseña</w:t>
      </w:r>
      <w:r w:rsidR="00B208C6">
        <w:t>nza</w:t>
      </w:r>
      <w:r>
        <w:t xml:space="preserve"> </w:t>
      </w:r>
      <w:r w:rsidR="00B208C6">
        <w:t xml:space="preserve">de </w:t>
      </w:r>
      <w:r>
        <w:t>la concentración de</w:t>
      </w:r>
      <w:r w:rsidR="00B208C6">
        <w:t xml:space="preserve"> los</w:t>
      </w:r>
      <w:r>
        <w:t xml:space="preserve"> </w:t>
      </w:r>
      <w:proofErr w:type="spellStart"/>
      <w:r w:rsidR="00057BF4" w:rsidRPr="00057BF4">
        <w:rPr>
          <w:i/>
          <w:iCs/>
        </w:rPr>
        <w:t>jhāna</w:t>
      </w:r>
      <w:r w:rsidR="003C5320">
        <w:rPr>
          <w:i/>
          <w:iCs/>
        </w:rPr>
        <w:t>s</w:t>
      </w:r>
      <w:proofErr w:type="spellEnd"/>
      <w:r>
        <w:t xml:space="preserve"> (</w:t>
      </w:r>
      <w:proofErr w:type="spellStart"/>
      <w:r w:rsidRPr="00DF6534">
        <w:rPr>
          <w:i/>
          <w:iCs/>
        </w:rPr>
        <w:t>samatha</w:t>
      </w:r>
      <w:proofErr w:type="spellEnd"/>
      <w:r>
        <w:t xml:space="preserve"> = </w:t>
      </w:r>
      <w:r w:rsidR="00057BF4" w:rsidRPr="00057BF4">
        <w:rPr>
          <w:i/>
          <w:iCs/>
        </w:rPr>
        <w:t>samādhi</w:t>
      </w:r>
      <w:r>
        <w:t xml:space="preserve">), sí afirma que el desarrollo de la </w:t>
      </w:r>
      <w:r w:rsidR="003C5320">
        <w:t>sabiduría</w:t>
      </w:r>
      <w:r>
        <w:t xml:space="preserve"> (</w:t>
      </w:r>
      <w:proofErr w:type="spellStart"/>
      <w:r w:rsidRPr="00DF6534">
        <w:rPr>
          <w:i/>
          <w:iCs/>
        </w:rPr>
        <w:t>vipassanā</w:t>
      </w:r>
      <w:proofErr w:type="spellEnd"/>
      <w:r>
        <w:t>)</w:t>
      </w:r>
      <w:r w:rsidR="004B445D">
        <w:t>,</w:t>
      </w:r>
      <w:r>
        <w:t xml:space="preserve"> que culmin</w:t>
      </w:r>
      <w:r w:rsidR="00B208C6">
        <w:t>a</w:t>
      </w:r>
      <w:r>
        <w:t xml:space="preserve"> </w:t>
      </w:r>
      <w:r w:rsidR="0017392A">
        <w:t xml:space="preserve">con </w:t>
      </w:r>
      <w:r>
        <w:t xml:space="preserve">la penetración de las </w:t>
      </w:r>
      <w:r w:rsidR="00B208C6">
        <w:t>Cuatro Nobles Verdades</w:t>
      </w:r>
      <w:r w:rsidR="004B445D">
        <w:t>,</w:t>
      </w:r>
      <w:r w:rsidR="00B208C6">
        <w:t xml:space="preserve"> </w:t>
      </w:r>
      <w:r>
        <w:t xml:space="preserve">es peculiar </w:t>
      </w:r>
      <w:r w:rsidR="00681C96">
        <w:t>al</w:t>
      </w:r>
      <w:r>
        <w:t xml:space="preserve"> </w:t>
      </w:r>
      <w:r w:rsidR="00681C96">
        <w:t>budismo</w:t>
      </w:r>
      <w:r>
        <w:t xml:space="preserve">. Los dos tienen que acoplarse </w:t>
      </w:r>
      <w:r w:rsidR="0017392A">
        <w:t xml:space="preserve">conjuntamente </w:t>
      </w:r>
      <w:r>
        <w:t xml:space="preserve">para </w:t>
      </w:r>
      <w:r w:rsidR="00B208C6">
        <w:t>consumar</w:t>
      </w:r>
      <w:r>
        <w:t xml:space="preserve"> las verdades</w:t>
      </w:r>
      <w:r w:rsidRPr="00B208C6">
        <w:rPr>
          <w:vertAlign w:val="superscript"/>
        </w:rPr>
        <w:t>20</w:t>
      </w:r>
      <w:r>
        <w:t xml:space="preserve"> y el final del sufrimiento. </w:t>
      </w:r>
      <w:r w:rsidR="00DF6534">
        <w:t xml:space="preserve">La Sabiduría </w:t>
      </w:r>
      <w:r>
        <w:t xml:space="preserve">inicialmente </w:t>
      </w:r>
      <w:r w:rsidR="00DF6534">
        <w:t xml:space="preserve">consiste en el entrenamiento </w:t>
      </w:r>
      <w:r>
        <w:t xml:space="preserve">para </w:t>
      </w:r>
      <w:r w:rsidR="00DF6534">
        <w:t>apreciar</w:t>
      </w:r>
      <w:r>
        <w:t xml:space="preserve"> la experiencia tal como ocurr</w:t>
      </w:r>
      <w:r w:rsidR="00DF6534">
        <w:t>a</w:t>
      </w:r>
      <w:r>
        <w:t xml:space="preserve">, sin </w:t>
      </w:r>
      <w:r w:rsidR="00681C96">
        <w:t xml:space="preserve">una </w:t>
      </w:r>
      <w:r>
        <w:t xml:space="preserve">percepción errónea, </w:t>
      </w:r>
      <w:r w:rsidR="00492153">
        <w:t xml:space="preserve">sin </w:t>
      </w:r>
      <w:r>
        <w:t>suposiciones inválidas o inferencias incorrectas.</w:t>
      </w:r>
    </w:p>
    <w:p w14:paraId="5FD6AB14" w14:textId="6B8EDD90" w:rsidR="004C7903" w:rsidRDefault="004C7903" w:rsidP="005033E4">
      <w:pPr>
        <w:pStyle w:val="NormalConSangria"/>
      </w:pPr>
      <w:r>
        <w:t xml:space="preserve">Los </w:t>
      </w:r>
      <w:r w:rsidR="006C70F3">
        <w:t xml:space="preserve">Capítulos </w:t>
      </w:r>
      <w:r>
        <w:t xml:space="preserve">XII y XIII describen las recompensas de la concentración completamente desarrolladas sin </w:t>
      </w:r>
      <w:r w:rsidR="00842E1E">
        <w:t>sabiduría</w:t>
      </w:r>
      <w:r>
        <w:t>.</w:t>
      </w:r>
    </w:p>
    <w:p w14:paraId="496E16C0" w14:textId="56D622B6" w:rsidR="004C7903" w:rsidRDefault="004C7903" w:rsidP="005033E4">
      <w:pPr>
        <w:pStyle w:val="NormalConSangria"/>
      </w:pPr>
      <w:r>
        <w:t xml:space="preserve">Los </w:t>
      </w:r>
      <w:r w:rsidR="00F41187">
        <w:t xml:space="preserve">Capítulos </w:t>
      </w:r>
      <w:r>
        <w:t>XIV a</w:t>
      </w:r>
      <w:r w:rsidR="00F41187">
        <w:t>l</w:t>
      </w:r>
      <w:r>
        <w:t xml:space="preserve"> XVII</w:t>
      </w:r>
      <w:r w:rsidR="004F69E9">
        <w:t>,</w:t>
      </w:r>
      <w:r>
        <w:t xml:space="preserve"> sobre la </w:t>
      </w:r>
      <w:r w:rsidR="00F41187">
        <w:t>sabiduría</w:t>
      </w:r>
      <w:r w:rsidR="004F69E9">
        <w:t>,</w:t>
      </w:r>
      <w:r>
        <w:t xml:space="preserve"> son completamente teóricos. La experiencia en general </w:t>
      </w:r>
      <w:r w:rsidR="00E36073">
        <w:t xml:space="preserve">es </w:t>
      </w:r>
      <w:r>
        <w:t>disecciona</w:t>
      </w:r>
      <w:r w:rsidR="00E36073">
        <w:t>da</w:t>
      </w:r>
      <w:r>
        <w:t xml:space="preserve"> y los componentes </w:t>
      </w:r>
      <w:r w:rsidR="008814F5">
        <w:t>individuales</w:t>
      </w:r>
      <w:r>
        <w:t xml:space="preserve"> se describen y agrupan en varios patrones alternativos en los </w:t>
      </w:r>
      <w:r w:rsidR="00F41187">
        <w:t xml:space="preserve">Capítulos </w:t>
      </w:r>
      <w:r>
        <w:t>XIV a</w:t>
      </w:r>
      <w:r w:rsidR="00E36073">
        <w:t>l</w:t>
      </w:r>
      <w:r>
        <w:t xml:space="preserve"> XVI.1–12. El resto del Capítulo XVI expone las </w:t>
      </w:r>
      <w:r w:rsidR="005E22BF" w:rsidRPr="008814F5">
        <w:t>Cuatro Nobles Verdades</w:t>
      </w:r>
      <w:r>
        <w:t xml:space="preserve">, el centro de la enseñanza del </w:t>
      </w:r>
      <w:r w:rsidR="00057BF4" w:rsidRPr="00057BF4">
        <w:rPr>
          <w:i/>
        </w:rPr>
        <w:t>Buddha</w:t>
      </w:r>
      <w:r>
        <w:t>. Después de e</w:t>
      </w:r>
      <w:r w:rsidR="00E36073">
        <w:t>ll</w:t>
      </w:r>
      <w:r>
        <w:t>o, l</w:t>
      </w:r>
      <w:r w:rsidR="005E22BF">
        <w:t>a</w:t>
      </w:r>
      <w:r>
        <w:t xml:space="preserve"> orig</w:t>
      </w:r>
      <w:r w:rsidR="005E22BF">
        <w:t>inación</w:t>
      </w:r>
      <w:r>
        <w:t xml:space="preserve"> dependiente, o la estructura de </w:t>
      </w:r>
      <w:r w:rsidR="005E22BF">
        <w:t xml:space="preserve">la </w:t>
      </w:r>
      <w:r>
        <w:t xml:space="preserve">condicionalidad, se trata en su aspecto de </w:t>
      </w:r>
      <w:r w:rsidRPr="005E22BF">
        <w:rPr>
          <w:i/>
          <w:iCs/>
        </w:rPr>
        <w:t>surgi</w:t>
      </w:r>
      <w:r w:rsidR="005E22BF" w:rsidRPr="005E22BF">
        <w:rPr>
          <w:i/>
          <w:iCs/>
        </w:rPr>
        <w:t>miento</w:t>
      </w:r>
      <w:r>
        <w:t xml:space="preserve">, o </w:t>
      </w:r>
      <w:r w:rsidR="00323D04">
        <w:t xml:space="preserve">en </w:t>
      </w:r>
      <w:r>
        <w:t>el proceso de</w:t>
      </w:r>
      <w:r w:rsidR="005E22BF">
        <w:t>l</w:t>
      </w:r>
      <w:r>
        <w:t xml:space="preserve"> </w:t>
      </w:r>
      <w:r w:rsidR="004F69E9">
        <w:t>devenir</w:t>
      </w:r>
      <w:r>
        <w:t xml:space="preserve"> (</w:t>
      </w:r>
      <w:r w:rsidR="00323D04">
        <w:t>Cap</w:t>
      </w:r>
      <w:r>
        <w:t xml:space="preserve">. XVII; como </w:t>
      </w:r>
      <w:r w:rsidRPr="005E22BF">
        <w:rPr>
          <w:i/>
          <w:iCs/>
        </w:rPr>
        <w:t>ces</w:t>
      </w:r>
      <w:r w:rsidR="005E22BF" w:rsidRPr="005E22BF">
        <w:rPr>
          <w:i/>
          <w:iCs/>
        </w:rPr>
        <w:t>ación</w:t>
      </w:r>
      <w:r>
        <w:t xml:space="preserve">, o </w:t>
      </w:r>
      <w:r w:rsidR="00C934BB" w:rsidRPr="005E22BF">
        <w:rPr>
          <w:i/>
          <w:iCs/>
        </w:rPr>
        <w:t>Nibbāna</w:t>
      </w:r>
      <w:r>
        <w:t xml:space="preserve">, se trata por separado en los </w:t>
      </w:r>
      <w:r w:rsidR="00C934BB">
        <w:t xml:space="preserve">Capítulos </w:t>
      </w:r>
      <w:r>
        <w:t xml:space="preserve">XVI y XIX). La fórmula de </w:t>
      </w:r>
      <w:r w:rsidR="00C934BB">
        <w:t xml:space="preserve">la </w:t>
      </w:r>
      <w:r w:rsidRPr="00AA364E">
        <w:rPr>
          <w:i/>
          <w:iCs/>
        </w:rPr>
        <w:t>orig</w:t>
      </w:r>
      <w:r w:rsidR="00C934BB" w:rsidRPr="00AA364E">
        <w:rPr>
          <w:i/>
          <w:iCs/>
        </w:rPr>
        <w:t>inación</w:t>
      </w:r>
      <w:r w:rsidRPr="00AA364E">
        <w:rPr>
          <w:i/>
          <w:iCs/>
        </w:rPr>
        <w:t xml:space="preserve"> dependiente</w:t>
      </w:r>
      <w:r>
        <w:t xml:space="preserve"> en sus variables </w:t>
      </w:r>
      <w:r w:rsidR="00D73DCA">
        <w:t>forma</w:t>
      </w:r>
      <w:r w:rsidR="00902726">
        <w:t>s</w:t>
      </w:r>
      <w:r w:rsidR="00D73DCA">
        <w:t xml:space="preserve"> </w:t>
      </w:r>
      <w:r>
        <w:t xml:space="preserve">describe la economía </w:t>
      </w:r>
      <w:r w:rsidR="00CA4159">
        <w:t>funcional</w:t>
      </w:r>
      <w:r>
        <w:t xml:space="preserve"> de las dos primeras verdades (sufri</w:t>
      </w:r>
      <w:r w:rsidR="00CA4159">
        <w:t>miento</w:t>
      </w:r>
      <w:r>
        <w:t xml:space="preserve"> como resultado de</w:t>
      </w:r>
      <w:r w:rsidR="00CA4159">
        <w:t>l</w:t>
      </w:r>
      <w:r>
        <w:t xml:space="preserve"> </w:t>
      </w:r>
      <w:r w:rsidR="005538FF">
        <w:t xml:space="preserve">deseo </w:t>
      </w:r>
      <w:r>
        <w:t xml:space="preserve">y </w:t>
      </w:r>
      <w:r w:rsidR="005538FF">
        <w:t>como deseo en sí</w:t>
      </w:r>
      <w:r>
        <w:t>, v</w:t>
      </w:r>
      <w:r w:rsidR="005538FF">
        <w:t>éase</w:t>
      </w:r>
      <w:r>
        <w:t xml:space="preserve"> también C</w:t>
      </w:r>
      <w:r w:rsidR="00902726">
        <w:t>ap</w:t>
      </w:r>
      <w:r>
        <w:t xml:space="preserve">. </w:t>
      </w:r>
      <w:r w:rsidR="00DF6534">
        <w:t>XVII</w:t>
      </w:r>
      <w:r>
        <w:t xml:space="preserve">, n. 48). Sin una comprensión de la condicionalidad, la enseñanza del </w:t>
      </w:r>
      <w:r w:rsidR="00057BF4" w:rsidRPr="00057BF4">
        <w:rPr>
          <w:i/>
        </w:rPr>
        <w:t>Buddha</w:t>
      </w:r>
      <w:r>
        <w:t xml:space="preserve"> no se p</w:t>
      </w:r>
      <w:r w:rsidR="00B1565F">
        <w:t>o</w:t>
      </w:r>
      <w:r>
        <w:t>d</w:t>
      </w:r>
      <w:r w:rsidR="00B1565F">
        <w:t>rá</w:t>
      </w:r>
      <w:r>
        <w:t xml:space="preserve"> comprender: "El que ve</w:t>
      </w:r>
      <w:r w:rsidR="005538FF">
        <w:t>a</w:t>
      </w:r>
      <w:r>
        <w:t xml:space="preserve"> l</w:t>
      </w:r>
      <w:r w:rsidR="005538FF">
        <w:t>a</w:t>
      </w:r>
      <w:r>
        <w:t xml:space="preserve"> </w:t>
      </w:r>
      <w:r w:rsidRPr="00AA364E">
        <w:rPr>
          <w:i/>
          <w:iCs/>
        </w:rPr>
        <w:t>orig</w:t>
      </w:r>
      <w:r w:rsidR="005538FF" w:rsidRPr="00AA364E">
        <w:rPr>
          <w:i/>
          <w:iCs/>
        </w:rPr>
        <w:t>inación</w:t>
      </w:r>
      <w:r w:rsidRPr="00AA364E">
        <w:rPr>
          <w:i/>
          <w:iCs/>
        </w:rPr>
        <w:t xml:space="preserve"> dependiente</w:t>
      </w:r>
      <w:r>
        <w:t xml:space="preserve"> ve</w:t>
      </w:r>
      <w:r w:rsidR="005538FF">
        <w:t>rá</w:t>
      </w:r>
      <w:r>
        <w:t xml:space="preserve"> el </w:t>
      </w:r>
      <w:r w:rsidR="00057BF4" w:rsidRPr="00057BF4">
        <w:rPr>
          <w:i/>
        </w:rPr>
        <w:t>Dhamma</w:t>
      </w:r>
      <w:r>
        <w:t xml:space="preserve">" (M I 191), aunque no todos los detalles en este trabajo </w:t>
      </w:r>
      <w:r w:rsidR="000D0FF9">
        <w:t xml:space="preserve">sean </w:t>
      </w:r>
      <w:r>
        <w:t>siempre necesarios. Dado que la parte detallada de este capítulo es muy elaborada (§58–272), una primera lectura confinada a</w:t>
      </w:r>
      <w:r w:rsidR="00F901F9">
        <w:t>l</w:t>
      </w:r>
      <w:r>
        <w:t xml:space="preserve"> §1–6, §20–57 y §273–314, podría ayudar a evitar perder el hilo. Estos cuatro capítulos son "teóricos" porque contienen en forma detallada lo que </w:t>
      </w:r>
      <w:r w:rsidR="00F901F9">
        <w:t xml:space="preserve">se </w:t>
      </w:r>
      <w:r>
        <w:t>debe aprender,</w:t>
      </w:r>
      <w:r w:rsidR="00AA364E" w:rsidRPr="00AA364E">
        <w:t xml:space="preserve"> </w:t>
      </w:r>
      <w:r w:rsidR="00AA364E">
        <w:t>aunque solo sea en esquema,</w:t>
      </w:r>
    </w:p>
    <w:p w14:paraId="1F6BA097" w14:textId="76EE20B7" w:rsidR="004C7903" w:rsidRPr="005033E4" w:rsidRDefault="004C7903" w:rsidP="005033E4">
      <w:pPr>
        <w:pStyle w:val="PiedepginaLegal"/>
        <w:rPr>
          <w:u w:val="single"/>
        </w:rPr>
      </w:pPr>
      <w:r w:rsidRPr="005033E4">
        <w:rPr>
          <w:u w:val="single"/>
        </w:rPr>
        <w:t xml:space="preserve">                                 </w:t>
      </w:r>
      <w:r w:rsidR="005033E4">
        <w:rPr>
          <w:u w:val="single"/>
        </w:rPr>
        <w:t xml:space="preserve">                                                </w:t>
      </w:r>
      <w:r w:rsidRPr="005033E4">
        <w:rPr>
          <w:u w:val="single"/>
        </w:rPr>
        <w:t xml:space="preserve">                                                      .</w:t>
      </w:r>
    </w:p>
    <w:p w14:paraId="613ECA41" w14:textId="565203AB" w:rsidR="005033E4" w:rsidRDefault="004C7903" w:rsidP="005033E4">
      <w:pPr>
        <w:pStyle w:val="PiedepginaLegal"/>
      </w:pPr>
      <w:r>
        <w:t>20.</w:t>
      </w:r>
      <w:r w:rsidR="005033E4">
        <w:tab/>
      </w:r>
      <w:r>
        <w:t xml:space="preserve">Ver </w:t>
      </w:r>
      <w:r w:rsidR="00DF6534">
        <w:t>A</w:t>
      </w:r>
      <w:r>
        <w:t xml:space="preserve"> II 56; </w:t>
      </w:r>
      <w:proofErr w:type="spellStart"/>
      <w:r w:rsidRPr="00DF6534">
        <w:rPr>
          <w:i/>
          <w:iCs/>
        </w:rPr>
        <w:t>Pa</w:t>
      </w:r>
      <w:r w:rsidR="00DF6534" w:rsidRPr="00DF6534">
        <w:rPr>
          <w:i/>
          <w:iCs/>
        </w:rPr>
        <w:t>ṭ</w:t>
      </w:r>
      <w:r w:rsidRPr="00DF6534">
        <w:rPr>
          <w:i/>
          <w:iCs/>
        </w:rPr>
        <w:t>is</w:t>
      </w:r>
      <w:proofErr w:type="spellEnd"/>
      <w:r>
        <w:t xml:space="preserve"> II 92F.</w:t>
      </w:r>
    </w:p>
    <w:p w14:paraId="38AD02FE" w14:textId="77777777" w:rsidR="005033E4" w:rsidRDefault="005033E4">
      <w:pPr>
        <w:rPr>
          <w:color w:val="000000" w:themeColor="text1"/>
          <w:spacing w:val="10"/>
          <w:sz w:val="14"/>
        </w:rPr>
      </w:pPr>
      <w:r>
        <w:br w:type="page"/>
      </w:r>
    </w:p>
    <w:p w14:paraId="1784C727" w14:textId="7275092A" w:rsidR="001D316A" w:rsidRDefault="001D316A" w:rsidP="001D316A">
      <w:r>
        <w:lastRenderedPageBreak/>
        <w:t xml:space="preserve">como </w:t>
      </w:r>
      <w:r w:rsidR="007A6608">
        <w:t>el</w:t>
      </w:r>
      <w:r w:rsidR="006759CA">
        <w:t xml:space="preserve"> </w:t>
      </w:r>
      <w:r>
        <w:t xml:space="preserve">"aprendizaje de </w:t>
      </w:r>
      <w:r w:rsidR="007A6608">
        <w:t xml:space="preserve">un </w:t>
      </w:r>
      <w:r>
        <w:t>libro" (</w:t>
      </w:r>
      <w:proofErr w:type="spellStart"/>
      <w:r w:rsidRPr="00DF6534">
        <w:rPr>
          <w:i/>
          <w:iCs/>
        </w:rPr>
        <w:t>Sotāvadhāna</w:t>
      </w:r>
      <w:proofErr w:type="spellEnd"/>
      <w:r>
        <w:t>-</w:t>
      </w:r>
      <w:r w:rsidRPr="00DF6534">
        <w:rPr>
          <w:i/>
          <w:iCs/>
        </w:rPr>
        <w:t>ñāṇa</w:t>
      </w:r>
      <w:r>
        <w:t>). Proporcionan técnicas para describir la experiencia total y l</w:t>
      </w:r>
      <w:r w:rsidR="001E2D4D">
        <w:t>o</w:t>
      </w:r>
      <w:r>
        <w:t xml:space="preserve"> </w:t>
      </w:r>
      <w:proofErr w:type="spellStart"/>
      <w:r>
        <w:t>experiencia</w:t>
      </w:r>
      <w:r w:rsidR="001E2D4D">
        <w:t>ble</w:t>
      </w:r>
      <w:proofErr w:type="spellEnd"/>
      <w:r>
        <w:t xml:space="preserve">, </w:t>
      </w:r>
      <w:r w:rsidR="00F27BF6">
        <w:t>así como</w:t>
      </w:r>
      <w:r>
        <w:t xml:space="preserve"> las ramas de la aritmética y doble entrada </w:t>
      </w:r>
      <w:r w:rsidR="001E2D4D">
        <w:t xml:space="preserve">datos </w:t>
      </w:r>
      <w:r w:rsidR="00977A34">
        <w:t xml:space="preserve">en los libros de contabilidad se </w:t>
      </w:r>
      <w:r>
        <w:t xml:space="preserve">deben aprender como técnicas para mantener </w:t>
      </w:r>
      <w:r w:rsidR="00E36073">
        <w:t xml:space="preserve">precisas </w:t>
      </w:r>
      <w:r w:rsidR="00977A34">
        <w:t xml:space="preserve">las </w:t>
      </w:r>
      <w:r>
        <w:t>cuentas.</w:t>
      </w:r>
    </w:p>
    <w:p w14:paraId="5BD8F48A" w14:textId="07094FAD" w:rsidR="001D316A" w:rsidRDefault="001D316A" w:rsidP="001D316A">
      <w:pPr>
        <w:pStyle w:val="NormalConSangria"/>
      </w:pPr>
      <w:r>
        <w:t xml:space="preserve">Los </w:t>
      </w:r>
      <w:r w:rsidR="00E36073">
        <w:t xml:space="preserve">Capítulos </w:t>
      </w:r>
      <w:r>
        <w:t>XVIII a</w:t>
      </w:r>
      <w:r w:rsidR="00E36073">
        <w:t>l</w:t>
      </w:r>
      <w:r>
        <w:t xml:space="preserve"> XXI, por el contrario, son prácticos y dan instrucciones para aplicar el conocimiento del libro aprendido de los </w:t>
      </w:r>
      <w:r w:rsidR="00C533AC">
        <w:t xml:space="preserve">Capítulos </w:t>
      </w:r>
      <w:r>
        <w:t>XIV a</w:t>
      </w:r>
      <w:r w:rsidR="00C533AC">
        <w:t>l</w:t>
      </w:r>
      <w:r>
        <w:t xml:space="preserve"> XVII</w:t>
      </w:r>
      <w:r w:rsidR="00363335">
        <w:t>,</w:t>
      </w:r>
      <w:r>
        <w:t xml:space="preserve"> analizando en sus términos la experiencia individual del meditador, tratando también con lo que se espera que suceda en el curso del desarrollo. </w:t>
      </w:r>
      <w:r w:rsidR="00363335">
        <w:t xml:space="preserve">El </w:t>
      </w:r>
      <w:r>
        <w:t xml:space="preserve">Capítulo XVIII </w:t>
      </w:r>
      <w:r w:rsidR="00363335">
        <w:t>como</w:t>
      </w:r>
      <w:r>
        <w:t xml:space="preserve"> "Definición de la mentalidad</w:t>
      </w:r>
      <w:r w:rsidR="005D2230">
        <w:t>-materialidad</w:t>
      </w:r>
      <w:r>
        <w:t xml:space="preserve">" (primera aplicación de los </w:t>
      </w:r>
      <w:r w:rsidR="007D3B86">
        <w:t xml:space="preserve">Capítulos </w:t>
      </w:r>
      <w:r>
        <w:t xml:space="preserve">XIV a XVI) y el Capítulo XIX como "Condiciones de discernimiento" (primera aplicación del Capítulo XVII) son preparatorios para la </w:t>
      </w:r>
      <w:r w:rsidR="007D3B86">
        <w:t>sabiduría</w:t>
      </w:r>
      <w:r>
        <w:t xml:space="preserve"> propiamente</w:t>
      </w:r>
      <w:r w:rsidR="005D2230">
        <w:t xml:space="preserve"> dicha</w:t>
      </w:r>
      <w:r w:rsidR="00C12473">
        <w:t xml:space="preserve">, el cual comienza con el Capítulo XX con la contemplación del surgir </w:t>
      </w:r>
      <w:r w:rsidR="00AD0656">
        <w:t>y desparecer</w:t>
      </w:r>
      <w:r>
        <w:t>. Después de esto, el progreso contin</w:t>
      </w:r>
      <w:r w:rsidR="00BB541F">
        <w:t>u</w:t>
      </w:r>
      <w:r>
        <w:t>a</w:t>
      </w:r>
      <w:r w:rsidR="00BB541F">
        <w:t>rá</w:t>
      </w:r>
      <w:r>
        <w:t xml:space="preserve"> a través de los "ocho conocimientos" con una aclaración sucesiva (clasificación de la visión del objeto y las alteraciones consecuentes de la actitud subjetiva hacia él) </w:t>
      </w:r>
      <w:r w:rsidR="00BB541F">
        <w:t>hasta</w:t>
      </w:r>
      <w:r>
        <w:t xml:space="preserve"> alcanza</w:t>
      </w:r>
      <w:r w:rsidR="00BB541F">
        <w:t>r</w:t>
      </w:r>
      <w:r>
        <w:t xml:space="preserve"> un punto, llamado "conocimiento de conformidad", que, a través de uno de l</w:t>
      </w:r>
      <w:r w:rsidR="00AC3CEE">
        <w:t>a</w:t>
      </w:r>
      <w:r>
        <w:t xml:space="preserve">s "tres </w:t>
      </w:r>
      <w:r w:rsidR="00AC3CEE">
        <w:t xml:space="preserve">puertas </w:t>
      </w:r>
      <w:r>
        <w:t>de entrada a la liberación", anuncia</w:t>
      </w:r>
      <w:r w:rsidR="00BB541F">
        <w:t>rá</w:t>
      </w:r>
      <w:r>
        <w:t xml:space="preserve"> </w:t>
      </w:r>
      <w:r w:rsidR="00BB541F">
        <w:t xml:space="preserve">la consumación </w:t>
      </w:r>
      <w:r>
        <w:t xml:space="preserve">del primer </w:t>
      </w:r>
      <w:r w:rsidR="00AC3CEE">
        <w:t>sendero</w:t>
      </w:r>
      <w:r>
        <w:t xml:space="preserve"> supramundano.</w:t>
      </w:r>
    </w:p>
    <w:p w14:paraId="2D2A3604" w14:textId="77648999" w:rsidR="001D316A" w:rsidRDefault="001D316A" w:rsidP="001D316A">
      <w:pPr>
        <w:pStyle w:val="NormalConSangria"/>
      </w:pPr>
      <w:r>
        <w:t xml:space="preserve">En el Capítulo XXII, se describe </w:t>
      </w:r>
      <w:r w:rsidR="00BB541F">
        <w:t xml:space="preserve">la consumación </w:t>
      </w:r>
      <w:r>
        <w:t xml:space="preserve">de los cuatro </w:t>
      </w:r>
      <w:r w:rsidR="00AC3CEE">
        <w:t>senderos</w:t>
      </w:r>
      <w:r>
        <w:t xml:space="preserve"> supramundanos sucesivos (o etapas sucesivas </w:t>
      </w:r>
      <w:r w:rsidR="00841C41">
        <w:t>de</w:t>
      </w:r>
      <w:r>
        <w:t xml:space="preserve"> </w:t>
      </w:r>
      <w:r w:rsidR="00AC3CEE">
        <w:t>consumación</w:t>
      </w:r>
      <w:r>
        <w:t xml:space="preserve">), con el primero de los cuales </w:t>
      </w:r>
      <w:r w:rsidR="00D85C69">
        <w:t>se "aprecia" por primera vez</w:t>
      </w:r>
      <w:r w:rsidR="00D85C69" w:rsidRPr="00AC3CEE">
        <w:rPr>
          <w:i/>
          <w:iCs/>
        </w:rPr>
        <w:t xml:space="preserve"> </w:t>
      </w:r>
      <w:r w:rsidR="00BB541F">
        <w:rPr>
          <w:i/>
          <w:iCs/>
        </w:rPr>
        <w:t xml:space="preserve">el </w:t>
      </w:r>
      <w:r w:rsidRPr="00AC3CEE">
        <w:rPr>
          <w:i/>
          <w:iCs/>
        </w:rPr>
        <w:t>Nibbāna</w:t>
      </w:r>
      <w:r>
        <w:t xml:space="preserve"> (</w:t>
      </w:r>
      <w:r w:rsidR="00D85C69">
        <w:t xml:space="preserve">la </w:t>
      </w:r>
      <w:r>
        <w:t xml:space="preserve">extinción del </w:t>
      </w:r>
      <w:r w:rsidR="00BE44DF">
        <w:t xml:space="preserve">deseo </w:t>
      </w:r>
      <w:r>
        <w:t>que origina el sufrimiento), ya que hasta entonces ha</w:t>
      </w:r>
      <w:r w:rsidR="00BB541F">
        <w:t>bría</w:t>
      </w:r>
      <w:r>
        <w:t xml:space="preserve"> sido </w:t>
      </w:r>
      <w:r w:rsidR="00BE44DF">
        <w:t>s</w:t>
      </w:r>
      <w:r>
        <w:t xml:space="preserve">olo concebido intelectualmente. En ese </w:t>
      </w:r>
      <w:r w:rsidR="00BB541F">
        <w:t>instante</w:t>
      </w:r>
      <w:r>
        <w:t xml:space="preserve">, el sufrimiento como noble </w:t>
      </w:r>
      <w:r w:rsidR="00D85C69">
        <w:t xml:space="preserve">verdad </w:t>
      </w:r>
      <w:r>
        <w:t xml:space="preserve">se </w:t>
      </w:r>
      <w:r w:rsidR="00066D03">
        <w:t xml:space="preserve">consumará y </w:t>
      </w:r>
      <w:r>
        <w:t>entende</w:t>
      </w:r>
      <w:r w:rsidR="00BE44DF">
        <w:t>rá</w:t>
      </w:r>
      <w:r>
        <w:t xml:space="preserve"> completamente, </w:t>
      </w:r>
      <w:r w:rsidR="00BE44DF">
        <w:t>el deseo</w:t>
      </w:r>
      <w:r>
        <w:t>, su origen, se abandona</w:t>
      </w:r>
      <w:r w:rsidR="00BE44DF">
        <w:t>rá</w:t>
      </w:r>
      <w:r>
        <w:t xml:space="preserve">, </w:t>
      </w:r>
      <w:r w:rsidR="00BE44DF">
        <w:t xml:space="preserve">la </w:t>
      </w:r>
      <w:r>
        <w:t>ces</w:t>
      </w:r>
      <w:r w:rsidR="00BE44DF">
        <w:t>ación</w:t>
      </w:r>
      <w:r>
        <w:t xml:space="preserve"> de</w:t>
      </w:r>
      <w:r w:rsidR="00BE44DF">
        <w:t>l</w:t>
      </w:r>
      <w:r>
        <w:t xml:space="preserve"> sufrimiento se </w:t>
      </w:r>
      <w:r w:rsidR="00BE44DF">
        <w:t xml:space="preserve">consumará </w:t>
      </w:r>
      <w:r>
        <w:t>y se desarrolla</w:t>
      </w:r>
      <w:r w:rsidR="00BE44DF">
        <w:t>rá</w:t>
      </w:r>
      <w:r>
        <w:t xml:space="preserve"> el </w:t>
      </w:r>
      <w:r w:rsidR="00BE44DF">
        <w:t xml:space="preserve">sendero </w:t>
      </w:r>
      <w:r>
        <w:t>hacia su ces</w:t>
      </w:r>
      <w:r w:rsidR="00D85C69">
        <w:t>ación</w:t>
      </w:r>
      <w:r>
        <w:t>.</w:t>
      </w:r>
      <w:r w:rsidRPr="00BC019E">
        <w:rPr>
          <w:vertAlign w:val="superscript"/>
        </w:rPr>
        <w:t>21</w:t>
      </w:r>
      <w:r>
        <w:t xml:space="preserve"> L</w:t>
      </w:r>
      <w:r w:rsidR="006A2105">
        <w:t>o</w:t>
      </w:r>
      <w:r>
        <w:t xml:space="preserve">s tres </w:t>
      </w:r>
      <w:r w:rsidR="006A2105">
        <w:t xml:space="preserve">senderos </w:t>
      </w:r>
      <w:r>
        <w:t>restantes se desarrolla</w:t>
      </w:r>
      <w:r w:rsidR="006A2105">
        <w:t>rá</w:t>
      </w:r>
      <w:r>
        <w:t>n aún más y completa</w:t>
      </w:r>
      <w:r w:rsidR="006A2105">
        <w:t>rán</w:t>
      </w:r>
      <w:r>
        <w:t xml:space="preserve"> </w:t>
      </w:r>
      <w:r w:rsidR="00066D03">
        <w:t xml:space="preserve">dicha </w:t>
      </w:r>
      <w:r>
        <w:t>visión.</w:t>
      </w:r>
    </w:p>
    <w:p w14:paraId="4766EFCD" w14:textId="241CEC35" w:rsidR="001D316A" w:rsidRDefault="001D316A" w:rsidP="001D316A">
      <w:pPr>
        <w:pStyle w:val="NormalConSangria"/>
      </w:pPr>
      <w:r>
        <w:t xml:space="preserve">Finalmente, el Capítulo XXIII, como contraparte de los capítulos XII y XIII, describe los beneficios de la </w:t>
      </w:r>
      <w:r w:rsidR="006A2105">
        <w:t>sabiduría</w:t>
      </w:r>
      <w:r>
        <w:t>. La descripción de</w:t>
      </w:r>
      <w:r w:rsidR="006A2105">
        <w:t>l</w:t>
      </w:r>
      <w:r>
        <w:t xml:space="preserve"> </w:t>
      </w:r>
      <w:r w:rsidRPr="006A2105">
        <w:rPr>
          <w:i/>
          <w:iCs/>
        </w:rPr>
        <w:t>Nibbāna</w:t>
      </w:r>
      <w:r>
        <w:t xml:space="preserve"> se </w:t>
      </w:r>
      <w:r w:rsidR="00066D03">
        <w:t xml:space="preserve">expone </w:t>
      </w:r>
      <w:r>
        <w:t>en el Capítulo VIII, §245</w:t>
      </w:r>
      <w:r w:rsidR="00066D03">
        <w:t>s</w:t>
      </w:r>
      <w:r>
        <w:t xml:space="preserve">., </w:t>
      </w:r>
      <w:r w:rsidR="00066D03">
        <w:t>y</w:t>
      </w:r>
      <w:r>
        <w:t xml:space="preserve"> una discusión sobre ella en el Cap</w:t>
      </w:r>
      <w:r w:rsidR="00066D03">
        <w:t>.</w:t>
      </w:r>
      <w:r>
        <w:t xml:space="preserve"> XVI, §66</w:t>
      </w:r>
      <w:r w:rsidR="00066D03">
        <w:t>s</w:t>
      </w:r>
      <w:r>
        <w:t>.</w:t>
      </w:r>
    </w:p>
    <w:p w14:paraId="43441F6E" w14:textId="2FFFB37C" w:rsidR="001D316A" w:rsidRDefault="001D316A" w:rsidP="001D316A">
      <w:pPr>
        <w:pStyle w:val="Ttulo3"/>
        <w:ind w:left="708"/>
      </w:pPr>
      <w:r>
        <w:t>Sobre La Traducción</w:t>
      </w:r>
    </w:p>
    <w:p w14:paraId="27768BFD" w14:textId="3DB435BD" w:rsidR="001D316A" w:rsidRDefault="001D316A" w:rsidP="001D316A">
      <w:r>
        <w:t xml:space="preserve">Las trampas que </w:t>
      </w:r>
      <w:r w:rsidR="00711437">
        <w:t xml:space="preserve">le </w:t>
      </w:r>
      <w:r>
        <w:t xml:space="preserve">esperan a cualquiera que traduzca de </w:t>
      </w:r>
      <w:r w:rsidR="004E5E57">
        <w:t>un</w:t>
      </w:r>
      <w:r>
        <w:t xml:space="preserve"> idioma europeo a su propio </w:t>
      </w:r>
      <w:r w:rsidR="003956AF">
        <w:t xml:space="preserve">idioma </w:t>
      </w:r>
      <w:r>
        <w:t xml:space="preserve">inglés nativo son lo suficientemente familiares; </w:t>
      </w:r>
      <w:r w:rsidR="00A75DAD">
        <w:t>n</w:t>
      </w:r>
      <w:r>
        <w:t xml:space="preserve">o hay necesidad de </w:t>
      </w:r>
      <w:r w:rsidR="00697633">
        <w:t xml:space="preserve">tratar </w:t>
      </w:r>
      <w:r w:rsidR="007D6654">
        <w:t xml:space="preserve">con </w:t>
      </w:r>
      <w:r>
        <w:t>ell</w:t>
      </w:r>
      <w:r w:rsidR="00852840">
        <w:t>a</w:t>
      </w:r>
      <w:r>
        <w:t xml:space="preserve">s. Pero cuando </w:t>
      </w:r>
      <w:r w:rsidR="00697633">
        <w:t xml:space="preserve">alguien </w:t>
      </w:r>
      <w:r>
        <w:t xml:space="preserve">se aventura a </w:t>
      </w:r>
      <w:r w:rsidR="00A75DAD">
        <w:t>reproducir</w:t>
      </w:r>
      <w:r>
        <w:t xml:space="preserve"> un idioma oriental, </w:t>
      </w:r>
      <w:r w:rsidR="00437551">
        <w:t>el traductor</w:t>
      </w:r>
      <w:r w:rsidR="00A90DAF">
        <w:t xml:space="preserve"> </w:t>
      </w:r>
      <w:r>
        <w:t>tendrá que ser</w:t>
      </w:r>
      <w:r w:rsidR="005064DF">
        <w:t>,</w:t>
      </w:r>
      <w:r>
        <w:t xml:space="preserve"> </w:t>
      </w:r>
      <w:r w:rsidR="005064DF">
        <w:t xml:space="preserve">a menudo, </w:t>
      </w:r>
      <w:r>
        <w:t>su propia guía.</w:t>
      </w:r>
    </w:p>
    <w:p w14:paraId="09E53843" w14:textId="57DCA139" w:rsidR="001D316A" w:rsidRDefault="001D316A" w:rsidP="001D316A">
      <w:pPr>
        <w:pStyle w:val="NormalConSangria"/>
      </w:pPr>
      <w:r>
        <w:t>Naturalmente, un traductor de</w:t>
      </w:r>
      <w:r w:rsidR="00697633">
        <w:t>l</w:t>
      </w:r>
      <w:r>
        <w:t xml:space="preserve"> </w:t>
      </w:r>
      <w:r w:rsidR="00697633">
        <w:rPr>
          <w:i/>
          <w:iCs/>
        </w:rPr>
        <w:t>Pāḷi</w:t>
      </w:r>
      <w:r>
        <w:t xml:space="preserve"> hoy </w:t>
      </w:r>
      <w:r w:rsidR="008919B0">
        <w:t>contrae</w:t>
      </w:r>
      <w:r>
        <w:t xml:space="preserve"> una gran deuda con sus predecesores y con las publicaciones de</w:t>
      </w:r>
      <w:r w:rsidR="00300328">
        <w:t xml:space="preserve">l </w:t>
      </w:r>
      <w:r w:rsidR="00AD6B1D" w:rsidRPr="00AD6B1D">
        <w:rPr>
          <w:i/>
          <w:iCs/>
        </w:rPr>
        <w:t>Pāḷi</w:t>
      </w:r>
      <w:r w:rsidR="00420A21" w:rsidRPr="00420A21">
        <w:rPr>
          <w:i/>
          <w:iCs/>
        </w:rPr>
        <w:t xml:space="preserve"> </w:t>
      </w:r>
      <w:r w:rsidR="001425D0" w:rsidRPr="001425D0">
        <w:rPr>
          <w:i/>
          <w:iCs/>
        </w:rPr>
        <w:t xml:space="preserve">Text </w:t>
      </w:r>
      <w:proofErr w:type="spellStart"/>
      <w:r w:rsidR="001425D0" w:rsidRPr="001425D0">
        <w:rPr>
          <w:i/>
          <w:iCs/>
        </w:rPr>
        <w:t>Society</w:t>
      </w:r>
      <w:proofErr w:type="spellEnd"/>
      <w:r>
        <w:t>, inclu</w:t>
      </w:r>
      <w:r w:rsidR="00466C92">
        <w:t>yendo</w:t>
      </w:r>
      <w:r>
        <w:t xml:space="preserve"> en particular </w:t>
      </w:r>
      <w:r w:rsidR="00852840">
        <w:t>a</w:t>
      </w:r>
      <w:r>
        <w:t xml:space="preserve">l invaluable diccionario </w:t>
      </w:r>
      <w:proofErr w:type="gramStart"/>
      <w:r w:rsidR="000A1A44">
        <w:t>Inglés</w:t>
      </w:r>
      <w:proofErr w:type="gramEnd"/>
      <w:r w:rsidR="000A1A44">
        <w:t>-</w:t>
      </w:r>
      <w:r w:rsidR="00AD6B1D" w:rsidRPr="00AD6B1D">
        <w:rPr>
          <w:i/>
        </w:rPr>
        <w:t>Pāḷi</w:t>
      </w:r>
      <w:r>
        <w:t xml:space="preserve"> de la sociedad. Un traductor de</w:t>
      </w:r>
      <w:r w:rsidR="000A1A44">
        <w:t>l</w:t>
      </w:r>
      <w:r>
        <w:t xml:space="preserve"> </w:t>
      </w:r>
      <w:r w:rsidRPr="00DF6534">
        <w:rPr>
          <w:i/>
          <w:iCs/>
        </w:rPr>
        <w:t>Visuddhimagga</w:t>
      </w:r>
      <w:r>
        <w:t xml:space="preserve"> también debe</w:t>
      </w:r>
      <w:r w:rsidR="00A412E8">
        <w:t>ría</w:t>
      </w:r>
      <w:r>
        <w:t xml:space="preserve"> hacer </w:t>
      </w:r>
      <w:r w:rsidR="000A1A44">
        <w:t xml:space="preserve">el </w:t>
      </w:r>
      <w:r>
        <w:t xml:space="preserve">debido reconocimiento </w:t>
      </w:r>
      <w:r w:rsidR="00852840">
        <w:t>a</w:t>
      </w:r>
      <w:r>
        <w:t xml:space="preserve"> </w:t>
      </w:r>
      <w:r w:rsidR="00A412E8">
        <w:t>la</w:t>
      </w:r>
      <w:r>
        <w:t xml:space="preserve"> traducción pionera</w:t>
      </w:r>
      <w:r w:rsidR="00A412E8">
        <w:t xml:space="preserve"> al respecto</w:t>
      </w:r>
      <w:r w:rsidR="00466C92">
        <w:t>,</w:t>
      </w:r>
      <w:r w:rsidRPr="00DF6534">
        <w:rPr>
          <w:vertAlign w:val="superscript"/>
        </w:rPr>
        <w:t>22</w:t>
      </w:r>
      <w:r>
        <w:t xml:space="preserve"> </w:t>
      </w:r>
      <w:r w:rsidR="00466C92">
        <w:t xml:space="preserve">la de </w:t>
      </w:r>
      <w:r w:rsidR="00DF6534">
        <w:t xml:space="preserve">U Pe </w:t>
      </w:r>
      <w:proofErr w:type="spellStart"/>
      <w:r w:rsidR="00DF6534">
        <w:t>Maung</w:t>
      </w:r>
      <w:proofErr w:type="spellEnd"/>
      <w:r w:rsidR="00DF6534">
        <w:t xml:space="preserve"> Tin</w:t>
      </w:r>
      <w:r>
        <w:t>.</w:t>
      </w:r>
    </w:p>
    <w:p w14:paraId="39AC2387" w14:textId="7B202373" w:rsidR="001D316A" w:rsidRPr="001D316A" w:rsidRDefault="001D316A" w:rsidP="001D316A">
      <w:pPr>
        <w:pStyle w:val="PiedepginaLegal"/>
        <w:rPr>
          <w:u w:val="single"/>
        </w:rPr>
      </w:pPr>
      <w:r w:rsidRPr="001D316A">
        <w:rPr>
          <w:u w:val="single"/>
        </w:rPr>
        <w:t xml:space="preserve">                                                                                                                                         .</w:t>
      </w:r>
    </w:p>
    <w:p w14:paraId="1BDBCCEF" w14:textId="2308D88B" w:rsidR="001D316A" w:rsidRDefault="001D316A" w:rsidP="001D316A">
      <w:pPr>
        <w:pStyle w:val="PiedepginaLegal"/>
      </w:pPr>
      <w:r>
        <w:t xml:space="preserve">21. </w:t>
      </w:r>
      <w:r>
        <w:tab/>
        <w:t>En el presente trabajo, el desarrollo de la serenidad (</w:t>
      </w:r>
      <w:r w:rsidR="00BC019E">
        <w:t xml:space="preserve">la </w:t>
      </w:r>
      <w:r>
        <w:t xml:space="preserve">concentración) se lleva </w:t>
      </w:r>
      <w:r w:rsidR="00BC019E">
        <w:t>hasta</w:t>
      </w:r>
      <w:r>
        <w:t xml:space="preserve"> su límite antes de que se trat</w:t>
      </w:r>
      <w:r w:rsidR="00E63747">
        <w:t>e</w:t>
      </w:r>
      <w:r>
        <w:t xml:space="preserve"> la </w:t>
      </w:r>
      <w:r w:rsidR="00E63747">
        <w:t>sabiduría</w:t>
      </w:r>
      <w:r>
        <w:t xml:space="preserve"> (</w:t>
      </w:r>
      <w:r w:rsidR="00E63747">
        <w:t>entendimiento</w:t>
      </w:r>
      <w:r>
        <w:t xml:space="preserve">). Esto </w:t>
      </w:r>
      <w:r w:rsidR="00BC019E">
        <w:t>se da</w:t>
      </w:r>
      <w:r>
        <w:t xml:space="preserve"> </w:t>
      </w:r>
      <w:r w:rsidR="000A5172">
        <w:t>en virtud de la</w:t>
      </w:r>
      <w:r>
        <w:t xml:space="preserve"> claridad. Pero en el </w:t>
      </w:r>
      <w:r w:rsidR="008A50E5" w:rsidRPr="008A50E5">
        <w:rPr>
          <w:i/>
          <w:iCs/>
        </w:rPr>
        <w:t>Comentario</w:t>
      </w:r>
      <w:r w:rsidR="008A50E5">
        <w:t xml:space="preserve"> </w:t>
      </w:r>
      <w:r w:rsidRPr="00E63747">
        <w:rPr>
          <w:i/>
          <w:iCs/>
        </w:rPr>
        <w:t>Satipaṭṭhāna</w:t>
      </w:r>
      <w:r>
        <w:t xml:space="preserve"> </w:t>
      </w:r>
      <w:r w:rsidRPr="00E63747">
        <w:rPr>
          <w:i/>
          <w:iCs/>
        </w:rPr>
        <w:t>Sutta</w:t>
      </w:r>
      <w:r>
        <w:t xml:space="preserve"> (DN 22, Mn 10), o los dos se desarrollan de manera </w:t>
      </w:r>
      <w:r w:rsidR="00E63747">
        <w:t>simultánea</w:t>
      </w:r>
      <w:r>
        <w:t xml:space="preserve"> o se permite que la </w:t>
      </w:r>
      <w:r w:rsidR="00E63747">
        <w:t>sabiduría</w:t>
      </w:r>
      <w:r>
        <w:t xml:space="preserve"> preceda a la concentración de </w:t>
      </w:r>
      <w:r w:rsidR="00E63747">
        <w:t xml:space="preserve">los </w:t>
      </w:r>
      <w:proofErr w:type="spellStart"/>
      <w:r w:rsidR="00057BF4" w:rsidRPr="00057BF4">
        <w:rPr>
          <w:i/>
          <w:iCs/>
        </w:rPr>
        <w:t>jhāna</w:t>
      </w:r>
      <w:r w:rsidR="00E63747">
        <w:rPr>
          <w:i/>
          <w:iCs/>
        </w:rPr>
        <w:t>s</w:t>
      </w:r>
      <w:proofErr w:type="spellEnd"/>
      <w:r>
        <w:t xml:space="preserve">. Según los </w:t>
      </w:r>
      <w:r w:rsidRPr="00E63747">
        <w:rPr>
          <w:i/>
          <w:iCs/>
        </w:rPr>
        <w:t>Suttas</w:t>
      </w:r>
      <w:r>
        <w:t>, la concentración de la fuerza de</w:t>
      </w:r>
      <w:r w:rsidR="00BC019E">
        <w:t xml:space="preserve"> </w:t>
      </w:r>
      <w:r w:rsidR="00E63747">
        <w:t>l</w:t>
      </w:r>
      <w:r w:rsidR="00BC019E">
        <w:t>os</w:t>
      </w:r>
      <w:r>
        <w:t xml:space="preserve"> </w:t>
      </w:r>
      <w:proofErr w:type="spellStart"/>
      <w:r w:rsidR="00057BF4" w:rsidRPr="00057BF4">
        <w:rPr>
          <w:i/>
          <w:iCs/>
        </w:rPr>
        <w:t>Jhāna</w:t>
      </w:r>
      <w:r w:rsidR="00BC019E">
        <w:rPr>
          <w:i/>
          <w:iCs/>
        </w:rPr>
        <w:t>s</w:t>
      </w:r>
      <w:proofErr w:type="spellEnd"/>
      <w:r>
        <w:t xml:space="preserve"> es necesaria para la manifestación de</w:t>
      </w:r>
      <w:r w:rsidR="00E63747">
        <w:t xml:space="preserve">l sendero </w:t>
      </w:r>
      <w:r>
        <w:t xml:space="preserve">(ver, por ejemplo, XIV.127; XV, N.7; D II 313 = M III 252; A II 156, citado en </w:t>
      </w:r>
      <w:proofErr w:type="spellStart"/>
      <w:r w:rsidRPr="00E63747">
        <w:rPr>
          <w:i/>
          <w:iCs/>
        </w:rPr>
        <w:t>Paṭis</w:t>
      </w:r>
      <w:proofErr w:type="spellEnd"/>
      <w:r>
        <w:t xml:space="preserve"> II 92F.).</w:t>
      </w:r>
    </w:p>
    <w:p w14:paraId="71F94085" w14:textId="4D7188CF" w:rsidR="00DE6134" w:rsidRDefault="001D316A" w:rsidP="001D316A">
      <w:pPr>
        <w:pStyle w:val="PiedepginaLegal"/>
      </w:pPr>
      <w:r>
        <w:t xml:space="preserve">22. </w:t>
      </w:r>
      <w:r>
        <w:tab/>
        <w:t xml:space="preserve">Reimpreso por </w:t>
      </w:r>
      <w:r w:rsidR="008A50E5">
        <w:t>e</w:t>
      </w:r>
      <w:r>
        <w:t xml:space="preserve">l </w:t>
      </w:r>
      <w:r w:rsidR="00AD6B1D" w:rsidRPr="00AD6B1D">
        <w:rPr>
          <w:i/>
          <w:iCs/>
        </w:rPr>
        <w:t>P</w:t>
      </w:r>
      <w:r w:rsidR="008A50E5">
        <w:rPr>
          <w:i/>
          <w:iCs/>
        </w:rPr>
        <w:t>ali</w:t>
      </w:r>
      <w:r w:rsidR="00420A21" w:rsidRPr="00420A21">
        <w:rPr>
          <w:i/>
          <w:iCs/>
        </w:rPr>
        <w:t xml:space="preserve"> Text </w:t>
      </w:r>
      <w:proofErr w:type="spellStart"/>
      <w:r w:rsidR="00420A21" w:rsidRPr="00420A21">
        <w:rPr>
          <w:i/>
          <w:iCs/>
        </w:rPr>
        <w:t>Society</w:t>
      </w:r>
      <w:proofErr w:type="spellEnd"/>
      <w:r>
        <w:t xml:space="preserve"> como </w:t>
      </w:r>
      <w:r w:rsidR="000A5172" w:rsidRPr="000A5172">
        <w:rPr>
          <w:i/>
          <w:iCs/>
        </w:rPr>
        <w:t>Sendero hacia</w:t>
      </w:r>
      <w:r w:rsidRPr="000A5172">
        <w:rPr>
          <w:i/>
          <w:iCs/>
        </w:rPr>
        <w:t xml:space="preserve"> la </w:t>
      </w:r>
      <w:r w:rsidR="000A5172" w:rsidRPr="000A5172">
        <w:rPr>
          <w:i/>
          <w:iCs/>
        </w:rPr>
        <w:t>Pureza</w:t>
      </w:r>
      <w:r>
        <w:t>, 1922–31.</w:t>
      </w:r>
    </w:p>
    <w:p w14:paraId="1ADCF060" w14:textId="77777777" w:rsidR="00DE6134" w:rsidRDefault="00DE6134" w:rsidP="001D316A">
      <w:pPr>
        <w:pStyle w:val="PiedepginaLegal"/>
      </w:pPr>
    </w:p>
    <w:p w14:paraId="5D28C85E" w14:textId="77777777" w:rsidR="00DE6134" w:rsidRDefault="00DE6134">
      <w:r>
        <w:br w:type="page"/>
      </w:r>
    </w:p>
    <w:p w14:paraId="330F3E68" w14:textId="719C3CF6" w:rsidR="00F74722" w:rsidRDefault="00F74722" w:rsidP="00F74722">
      <w:pPr>
        <w:pStyle w:val="NormalConSangria"/>
      </w:pPr>
      <w:r>
        <w:lastRenderedPageBreak/>
        <w:t xml:space="preserve">La palabra </w:t>
      </w:r>
      <w:r w:rsidR="004D093D" w:rsidRPr="004D093D">
        <w:rPr>
          <w:i/>
          <w:iCs/>
        </w:rPr>
        <w:t>Pāḷi</w:t>
      </w:r>
      <w:r w:rsidR="004D093D">
        <w:t xml:space="preserve"> </w:t>
      </w:r>
      <w:r>
        <w:t xml:space="preserve">es traducible </w:t>
      </w:r>
      <w:r w:rsidR="004D093D">
        <w:t xml:space="preserve">como </w:t>
      </w:r>
      <w:r>
        <w:t xml:space="preserve">"texto". El idioma </w:t>
      </w:r>
      <w:r w:rsidRPr="004D093D">
        <w:rPr>
          <w:i/>
          <w:iCs/>
        </w:rPr>
        <w:t>Pāḷi</w:t>
      </w:r>
      <w:r>
        <w:t xml:space="preserve"> (el "idioma de</w:t>
      </w:r>
      <w:r w:rsidR="004D093D">
        <w:t>l</w:t>
      </w:r>
      <w:r>
        <w:t xml:space="preserve"> texto", que los comentaristas llaman </w:t>
      </w:r>
      <w:proofErr w:type="spellStart"/>
      <w:r w:rsidRPr="007521D1">
        <w:rPr>
          <w:i/>
          <w:iCs/>
        </w:rPr>
        <w:t>Magadhan</w:t>
      </w:r>
      <w:proofErr w:type="spellEnd"/>
      <w:r>
        <w:t xml:space="preserve">) ocupa una posición especial, sin paralelo </w:t>
      </w:r>
      <w:r w:rsidR="007521D1">
        <w:t>en Europa</w:t>
      </w:r>
      <w:r>
        <w:t xml:space="preserve">, reservado a un </w:t>
      </w:r>
      <w:r w:rsidR="0032749E">
        <w:t>solo objetivo</w:t>
      </w:r>
      <w:r>
        <w:t xml:space="preserve">, </w:t>
      </w:r>
      <w:r w:rsidR="004D093D">
        <w:t>es decir</w:t>
      </w:r>
      <w:r>
        <w:t xml:space="preserve">, </w:t>
      </w:r>
      <w:r w:rsidR="004D093D">
        <w:t xml:space="preserve">a </w:t>
      </w:r>
      <w:r>
        <w:t xml:space="preserve">la enseñanza del </w:t>
      </w:r>
      <w:r w:rsidR="00057BF4" w:rsidRPr="00057BF4">
        <w:rPr>
          <w:i/>
        </w:rPr>
        <w:t>Buddha</w:t>
      </w:r>
      <w:r>
        <w:t xml:space="preserve">. </w:t>
      </w:r>
      <w:r w:rsidR="0032749E">
        <w:t>Por lo tanto,</w:t>
      </w:r>
      <w:r>
        <w:t xml:space="preserve"> no </w:t>
      </w:r>
      <w:r w:rsidR="004D093D">
        <w:t xml:space="preserve">existen </w:t>
      </w:r>
      <w:r>
        <w:t xml:space="preserve">ecos </w:t>
      </w:r>
      <w:r w:rsidR="00C51CB6">
        <w:t>externos o foráneos</w:t>
      </w:r>
      <w:r w:rsidR="00BD6079">
        <w:t xml:space="preserve"> al respecto</w:t>
      </w:r>
      <w:r>
        <w:t xml:space="preserve">. En los </w:t>
      </w:r>
      <w:r w:rsidRPr="00C51CB6">
        <w:rPr>
          <w:i/>
          <w:iCs/>
        </w:rPr>
        <w:t>Suttas</w:t>
      </w:r>
      <w:r>
        <w:t xml:space="preserve">, el </w:t>
      </w:r>
      <w:r w:rsidRPr="00C51CB6">
        <w:rPr>
          <w:i/>
          <w:iCs/>
        </w:rPr>
        <w:t>sánscrito</w:t>
      </w:r>
      <w:r>
        <w:t xml:space="preserve"> </w:t>
      </w:r>
      <w:r w:rsidR="00C51CB6">
        <w:t>guarda</w:t>
      </w:r>
      <w:r>
        <w:t xml:space="preserve"> silencio y </w:t>
      </w:r>
      <w:r w:rsidR="0032749E">
        <w:t xml:space="preserve">se encuentra </w:t>
      </w:r>
      <w:r w:rsidR="003F54E8">
        <w:t>ausente de voces</w:t>
      </w:r>
      <w:r>
        <w:t xml:space="preserve"> en la literatura posterior. Este hecho, junto con la riqueza y la integridad del </w:t>
      </w:r>
      <w:r w:rsidR="003F54E8">
        <w:t>tema</w:t>
      </w:r>
      <w:r>
        <w:t xml:space="preserve"> en sí, le </w:t>
      </w:r>
      <w:r w:rsidR="009C67D9">
        <w:t>asigna</w:t>
      </w:r>
      <w:r>
        <w:t xml:space="preserve"> </w:t>
      </w:r>
      <w:r w:rsidR="00E602CD">
        <w:t xml:space="preserve">al </w:t>
      </w:r>
      <w:r w:rsidR="00E602CD" w:rsidRPr="00E602CD">
        <w:rPr>
          <w:i/>
          <w:iCs/>
        </w:rPr>
        <w:t>Pāḷi</w:t>
      </w:r>
      <w:r w:rsidR="00E602CD">
        <w:t xml:space="preserve"> </w:t>
      </w:r>
      <w:r>
        <w:t xml:space="preserve">una </w:t>
      </w:r>
      <w:r w:rsidR="00B1251D">
        <w:t>claridad</w:t>
      </w:r>
      <w:r>
        <w:t xml:space="preserve"> y profundidad singulares en su forma temprana, como un cuarteto de cuerda</w:t>
      </w:r>
      <w:r w:rsidR="007D1A64">
        <w:t>s</w:t>
      </w:r>
      <w:r>
        <w:t xml:space="preserve"> o el océano transparente, que </w:t>
      </w:r>
      <w:r w:rsidR="007959E6">
        <w:t>logra</w:t>
      </w:r>
      <w:r>
        <w:t xml:space="preserve"> </w:t>
      </w:r>
      <w:r w:rsidR="00316EA0">
        <w:t>e</w:t>
      </w:r>
      <w:r>
        <w:t xml:space="preserve">l estilo de los </w:t>
      </w:r>
      <w:r w:rsidRPr="003F54E8">
        <w:rPr>
          <w:i/>
          <w:iCs/>
        </w:rPr>
        <w:t>Suttas</w:t>
      </w:r>
      <w:r>
        <w:t xml:space="preserve"> </w:t>
      </w:r>
      <w:r w:rsidR="007959E6">
        <w:t xml:space="preserve">con </w:t>
      </w:r>
      <w:r>
        <w:t xml:space="preserve">una belleza exquisita e inigualable no </w:t>
      </w:r>
      <w:r w:rsidR="00D73FE1">
        <w:t>interpretable</w:t>
      </w:r>
      <w:r>
        <w:t xml:space="preserve"> por cualquier representación. L</w:t>
      </w:r>
      <w:r w:rsidR="00B00CB8">
        <w:t>o</w:t>
      </w:r>
      <w:r>
        <w:t xml:space="preserve">s </w:t>
      </w:r>
      <w:r w:rsidR="00D73FE1">
        <w:t>rasgos</w:t>
      </w:r>
      <w:r>
        <w:t xml:space="preserve"> parec</w:t>
      </w:r>
      <w:r w:rsidR="00D73FE1">
        <w:t>ieran</w:t>
      </w:r>
      <w:r>
        <w:t xml:space="preserve"> </w:t>
      </w:r>
      <w:r w:rsidR="007521D1">
        <w:t>persistir i</w:t>
      </w:r>
      <w:r>
        <w:t>nclus</w:t>
      </w:r>
      <w:r w:rsidR="007521D1">
        <w:t>ive</w:t>
      </w:r>
      <w:r>
        <w:t xml:space="preserve"> en el intrincado formalismo preferido por los comentaristas.</w:t>
      </w:r>
    </w:p>
    <w:p w14:paraId="6AD9E924" w14:textId="54D08ACE" w:rsidR="00F74722" w:rsidRDefault="00F74722" w:rsidP="00F74722">
      <w:pPr>
        <w:pStyle w:val="NormalConSangria"/>
      </w:pPr>
      <w:r>
        <w:t xml:space="preserve">Esta traducción presenta muchos problemas formidables. Principalmente, </w:t>
      </w:r>
      <w:r w:rsidR="00A42BB8">
        <w:t>son los</w:t>
      </w:r>
      <w:r w:rsidR="00403863">
        <w:t xml:space="preserve"> </w:t>
      </w:r>
      <w:r>
        <w:t xml:space="preserve">epistemológicos y psicológicos, o de </w:t>
      </w:r>
      <w:r w:rsidR="00D50EEC">
        <w:t>otra manera</w:t>
      </w:r>
      <w:r w:rsidR="00847A46">
        <w:t xml:space="preserve"> </w:t>
      </w:r>
      <w:r w:rsidR="00383DEF">
        <w:t xml:space="preserve">los </w:t>
      </w:r>
      <w:r w:rsidR="00847A46">
        <w:t>lingüísticos</w:t>
      </w:r>
      <w:r>
        <w:t xml:space="preserve">, </w:t>
      </w:r>
      <w:r w:rsidR="00847A46">
        <w:t xml:space="preserve">ellos </w:t>
      </w:r>
      <w:r>
        <w:t>se relacionan con las ideas y las cosas que se est</w:t>
      </w:r>
      <w:r w:rsidR="00E964BE">
        <w:t>é</w:t>
      </w:r>
      <w:r>
        <w:t xml:space="preserve">n discutiendo </w:t>
      </w:r>
      <w:r w:rsidR="00A42BB8">
        <w:t>y</w:t>
      </w:r>
      <w:r w:rsidR="00564494">
        <w:t>,</w:t>
      </w:r>
      <w:r w:rsidR="00A42BB8">
        <w:t xml:space="preserve"> si se da d</w:t>
      </w:r>
      <w:r w:rsidR="00564494">
        <w:t>iese</w:t>
      </w:r>
      <w:r w:rsidR="00A42BB8">
        <w:t xml:space="preserve"> otra manera</w:t>
      </w:r>
      <w:r w:rsidR="00807990">
        <w:t>,</w:t>
      </w:r>
      <w:r>
        <w:t xml:space="preserve"> con </w:t>
      </w:r>
      <w:r w:rsidR="00374481">
        <w:t>el manejo</w:t>
      </w:r>
      <w:r>
        <w:t xml:space="preserve"> de los significados del diccionario de </w:t>
      </w:r>
      <w:r w:rsidR="00A42BB8">
        <w:t xml:space="preserve">las </w:t>
      </w:r>
      <w:r>
        <w:t>palabras utilizadas en la discusión.</w:t>
      </w:r>
    </w:p>
    <w:p w14:paraId="44D20BF7" w14:textId="3AE7048C" w:rsidR="00F74722" w:rsidRDefault="00F74722" w:rsidP="00F74722">
      <w:pPr>
        <w:pStyle w:val="NormalConSangria"/>
      </w:pPr>
      <w:r>
        <w:t xml:space="preserve">El primero es quizás dominante. Como se </w:t>
      </w:r>
      <w:r w:rsidRPr="006046F9">
        <w:t>mencionó</w:t>
      </w:r>
      <w:r>
        <w:t xml:space="preserve"> anteriormente, el </w:t>
      </w:r>
      <w:r w:rsidRPr="00DF6534">
        <w:rPr>
          <w:i/>
          <w:iCs/>
        </w:rPr>
        <w:t>Visuddhimagga</w:t>
      </w:r>
      <w:r>
        <w:t xml:space="preserve"> se puede estudiar adecuadamente solo como parte de </w:t>
      </w:r>
      <w:r w:rsidR="00564494">
        <w:t>un</w:t>
      </w:r>
      <w:r w:rsidR="00B5414A">
        <w:t>a estructura de los</w:t>
      </w:r>
      <w:r>
        <w:t xml:space="preserve"> comentarios</w:t>
      </w:r>
      <w:r w:rsidR="00564494">
        <w:t xml:space="preserve"> en su totalidad</w:t>
      </w:r>
      <w:r>
        <w:t xml:space="preserve">, cuya piedra angular </w:t>
      </w:r>
      <w:r w:rsidR="008C0CBF">
        <w:t>representa</w:t>
      </w:r>
      <w:r>
        <w:t xml:space="preserve">. </w:t>
      </w:r>
      <w:r w:rsidR="002221EB">
        <w:t xml:space="preserve">No obstante, </w:t>
      </w:r>
      <w:r w:rsidR="002F3533">
        <w:t xml:space="preserve">si bien se disponen de </w:t>
      </w:r>
      <w:r>
        <w:t xml:space="preserve">los índices de palabras y </w:t>
      </w:r>
      <w:r w:rsidR="008C0CBF">
        <w:t>los tema</w:t>
      </w:r>
      <w:r w:rsidR="00374481">
        <w:t>s</w:t>
      </w:r>
      <w:r w:rsidR="008C0CBF">
        <w:t xml:space="preserve"> de</w:t>
      </w:r>
      <w:r>
        <w:t xml:space="preserve"> edición </w:t>
      </w:r>
      <w:r w:rsidR="00383DEF">
        <w:t xml:space="preserve">del </w:t>
      </w:r>
      <w:r>
        <w:t>PTS de</w:t>
      </w:r>
      <w:r w:rsidR="00383DEF">
        <w:t>l</w:t>
      </w:r>
      <w:r>
        <w:t xml:space="preserve"> </w:t>
      </w:r>
      <w:r w:rsidRPr="00DF6534">
        <w:rPr>
          <w:i/>
          <w:iCs/>
        </w:rPr>
        <w:t>Visuddhimagga</w:t>
      </w:r>
      <w:r>
        <w:t xml:space="preserve">, la mayoría de las obras de su autor solo </w:t>
      </w:r>
      <w:r w:rsidR="00383DEF">
        <w:t>poseen</w:t>
      </w:r>
      <w:r>
        <w:t xml:space="preserve"> índices de palabras de</w:t>
      </w:r>
      <w:r w:rsidR="00AA230C">
        <w:t>l</w:t>
      </w:r>
      <w:r>
        <w:t xml:space="preserve"> </w:t>
      </w:r>
      <w:proofErr w:type="spellStart"/>
      <w:r w:rsidRPr="00DF6534">
        <w:rPr>
          <w:i/>
          <w:iCs/>
        </w:rPr>
        <w:t>Piṭaka</w:t>
      </w:r>
      <w:proofErr w:type="spellEnd"/>
      <w:r>
        <w:t xml:space="preserve"> </w:t>
      </w:r>
      <w:r w:rsidR="00AA230C">
        <w:t xml:space="preserve">y nombres </w:t>
      </w:r>
      <w:r w:rsidR="008E41A2">
        <w:t>comentados,</w:t>
      </w:r>
      <w:r>
        <w:t xml:space="preserve"> pero </w:t>
      </w:r>
      <w:r w:rsidR="00C1199F">
        <w:t xml:space="preserve">no dispone de </w:t>
      </w:r>
      <w:r>
        <w:t>ningun</w:t>
      </w:r>
      <w:r w:rsidR="00383DEF">
        <w:t>a referencia</w:t>
      </w:r>
      <w:r>
        <w:t xml:space="preserve"> para la </w:t>
      </w:r>
      <w:r w:rsidR="006C0FE7">
        <w:t>totalidad</w:t>
      </w:r>
      <w:r>
        <w:t xml:space="preserve"> del tema. </w:t>
      </w:r>
      <w:r w:rsidR="00383DEF">
        <w:t>Por lo tanto,</w:t>
      </w:r>
      <w:r>
        <w:t xml:space="preserve"> el estudiante </w:t>
      </w:r>
      <w:r w:rsidR="002879E0">
        <w:t xml:space="preserve">tendrá </w:t>
      </w:r>
      <w:r>
        <w:t xml:space="preserve">que hacer el suyo. De los comentarios también, solo el </w:t>
      </w:r>
      <w:proofErr w:type="spellStart"/>
      <w:r w:rsidRPr="00DF6534">
        <w:rPr>
          <w:i/>
          <w:iCs/>
        </w:rPr>
        <w:t>Atthasālinī</w:t>
      </w:r>
      <w:proofErr w:type="spellEnd"/>
      <w:r>
        <w:t xml:space="preserve">, el </w:t>
      </w:r>
      <w:r w:rsidR="002879E0" w:rsidRPr="002879E0">
        <w:rPr>
          <w:i/>
          <w:iCs/>
        </w:rPr>
        <w:t>Comentario</w:t>
      </w:r>
      <w:r w:rsidR="002879E0">
        <w:t xml:space="preserve"> </w:t>
      </w:r>
      <w:proofErr w:type="spellStart"/>
      <w:r w:rsidR="00057BF4" w:rsidRPr="00057BF4">
        <w:rPr>
          <w:i/>
          <w:iCs/>
        </w:rPr>
        <w:t>Dhamma</w:t>
      </w:r>
      <w:r w:rsidRPr="00DF6534">
        <w:rPr>
          <w:i/>
          <w:iCs/>
        </w:rPr>
        <w:t>pada</w:t>
      </w:r>
      <w:proofErr w:type="spellEnd"/>
      <w:r>
        <w:t xml:space="preserve"> y el </w:t>
      </w:r>
      <w:r w:rsidR="002879E0" w:rsidRPr="002879E0">
        <w:rPr>
          <w:i/>
          <w:iCs/>
        </w:rPr>
        <w:t>Comentario</w:t>
      </w:r>
      <w:r w:rsidR="002879E0">
        <w:t xml:space="preserve"> </w:t>
      </w:r>
      <w:proofErr w:type="spellStart"/>
      <w:r w:rsidRPr="00DF6534">
        <w:rPr>
          <w:i/>
          <w:iCs/>
        </w:rPr>
        <w:t>Jātaka</w:t>
      </w:r>
      <w:proofErr w:type="spellEnd"/>
      <w:r>
        <w:t xml:space="preserve"> han sido traducidos hasta </w:t>
      </w:r>
      <w:r w:rsidR="002879E0">
        <w:t xml:space="preserve">el momento </w:t>
      </w:r>
      <w:r>
        <w:t xml:space="preserve">(y los dos últimos </w:t>
      </w:r>
      <w:r w:rsidR="008F39C9">
        <w:t>se encuentran</w:t>
      </w:r>
      <w:r>
        <w:t xml:space="preserve"> más bien en una clas</w:t>
      </w:r>
      <w:r w:rsidR="008F39C9">
        <w:t>ificación</w:t>
      </w:r>
      <w:r>
        <w:t xml:space="preserve"> </w:t>
      </w:r>
      <w:r w:rsidR="008F39C9">
        <w:t>diferente</w:t>
      </w:r>
      <w:r>
        <w:t xml:space="preserve">). </w:t>
      </w:r>
      <w:r w:rsidR="00C40F1E">
        <w:t xml:space="preserve">No obstante, </w:t>
      </w:r>
      <w:r w:rsidR="008F39C9">
        <w:t>é</w:t>
      </w:r>
      <w:r>
        <w:t>se es un aspecto menor.</w:t>
      </w:r>
    </w:p>
    <w:p w14:paraId="1EB3D542" w14:textId="0E077F32" w:rsidR="00F74722" w:rsidRDefault="00F74722" w:rsidP="001547BB">
      <w:pPr>
        <w:pStyle w:val="NormalConSangria"/>
      </w:pPr>
      <w:r>
        <w:t>Este libro es</w:t>
      </w:r>
      <w:r w:rsidR="00A10AEC">
        <w:t>,</w:t>
      </w:r>
      <w:r>
        <w:t xml:space="preserve"> en gran medida</w:t>
      </w:r>
      <w:r w:rsidR="00A10AEC">
        <w:t>,</w:t>
      </w:r>
      <w:r>
        <w:t xml:space="preserve"> técnico y presenta todas las dificultades peculiares de </w:t>
      </w:r>
      <w:r w:rsidR="00EC7C0C">
        <w:t>una</w:t>
      </w:r>
      <w:r>
        <w:t xml:space="preserve"> traducción técnica: trata, además, </w:t>
      </w:r>
      <w:r w:rsidR="00A10AEC">
        <w:t>sobre</w:t>
      </w:r>
      <w:r>
        <w:t xml:space="preserve"> </w:t>
      </w:r>
      <w:r w:rsidR="001921C9">
        <w:t>ocurrencias</w:t>
      </w:r>
      <w:r>
        <w:t xml:space="preserve"> mentales. Ahora</w:t>
      </w:r>
      <w:r w:rsidR="001921C9">
        <w:t xml:space="preserve"> bien</w:t>
      </w:r>
      <w:r>
        <w:t>, donde se us</w:t>
      </w:r>
      <w:r w:rsidR="00EC7C0C">
        <w:t>e</w:t>
      </w:r>
      <w:r>
        <w:t xml:space="preserve">n muchos sinónimos, como a menudo </w:t>
      </w:r>
      <w:r w:rsidR="001E2BE1">
        <w:t>ocurren</w:t>
      </w:r>
      <w:r>
        <w:t xml:space="preserve"> en </w:t>
      </w:r>
      <w:r w:rsidR="00996524">
        <w:t xml:space="preserve">el </w:t>
      </w:r>
      <w:r w:rsidR="00AD6B1D" w:rsidRPr="00AD6B1D">
        <w:rPr>
          <w:i/>
          <w:iCs/>
        </w:rPr>
        <w:t>Pāḷi</w:t>
      </w:r>
      <w:r>
        <w:t xml:space="preserve">, </w:t>
      </w:r>
      <w:r w:rsidR="00EA5D62">
        <w:t>como objeto de</w:t>
      </w:r>
      <w:r>
        <w:t xml:space="preserve"> material público</w:t>
      </w:r>
      <w:r w:rsidR="0032265B">
        <w:t xml:space="preserve"> ―</w:t>
      </w:r>
      <w:r>
        <w:t xml:space="preserve"> un elefante, por ejemplo, el oro o el </w:t>
      </w:r>
      <w:r w:rsidR="001921C9">
        <w:t>Sol</w:t>
      </w:r>
      <w:r w:rsidR="0032265B">
        <w:t xml:space="preserve"> ―</w:t>
      </w:r>
      <w:r>
        <w:t xml:space="preserve"> los "objetos materiales" debe</w:t>
      </w:r>
      <w:r w:rsidR="00BD564B">
        <w:t>rá</w:t>
      </w:r>
      <w:r>
        <w:t xml:space="preserve">n ser </w:t>
      </w:r>
      <w:r w:rsidR="00BD564B">
        <w:t>aludidos</w:t>
      </w:r>
      <w:r>
        <w:t xml:space="preserve">, si </w:t>
      </w:r>
      <w:r w:rsidR="0032265B">
        <w:t>hubiese</w:t>
      </w:r>
      <w:r>
        <w:t xml:space="preserve"> dudas sobre </w:t>
      </w:r>
      <w:r w:rsidR="0032265B">
        <w:t xml:space="preserve">a </w:t>
      </w:r>
      <w:r>
        <w:t>lo que ha</w:t>
      </w:r>
      <w:r w:rsidR="0032265B">
        <w:t>ga</w:t>
      </w:r>
      <w:r>
        <w:t xml:space="preserve"> referencia. Nuevamente, incluso </w:t>
      </w:r>
      <w:r w:rsidR="005C000E">
        <w:t xml:space="preserve">aquellas </w:t>
      </w:r>
      <w:r>
        <w:t>experiencias privadas generalmente reconoci</w:t>
      </w:r>
      <w:r w:rsidR="005C000E">
        <w:t>bles</w:t>
      </w:r>
      <w:r>
        <w:t xml:space="preserve"> que ha</w:t>
      </w:r>
      <w:r w:rsidR="0032265B">
        <w:t>ga</w:t>
      </w:r>
      <w:r w:rsidR="005C000E">
        <w:t>n</w:t>
      </w:r>
      <w:r>
        <w:t xml:space="preserve"> referencia </w:t>
      </w:r>
      <w:r w:rsidR="005C000E">
        <w:t xml:space="preserve">a </w:t>
      </w:r>
      <w:r>
        <w:t xml:space="preserve">palabras </w:t>
      </w:r>
      <w:r w:rsidR="005C000E">
        <w:t xml:space="preserve">tales como </w:t>
      </w:r>
      <w:r>
        <w:t>"con</w:t>
      </w:r>
      <w:r w:rsidR="0032265B">
        <w:t>s</w:t>
      </w:r>
      <w:r>
        <w:t>ciencia" o "dolor" parece</w:t>
      </w:r>
      <w:r w:rsidR="004325B3">
        <w:t>rá</w:t>
      </w:r>
      <w:r>
        <w:t xml:space="preserve">n demasiado obvias para </w:t>
      </w:r>
      <w:r w:rsidR="005C000E">
        <w:t>cualquier</w:t>
      </w:r>
      <w:r>
        <w:t xml:space="preserve"> introspección que surja (comunicación </w:t>
      </w:r>
      <w:r w:rsidR="000C51C4">
        <w:t xml:space="preserve">destinada </w:t>
      </w:r>
      <w:r w:rsidR="00E93B13">
        <w:t>a</w:t>
      </w:r>
      <w:r>
        <w:t xml:space="preserve"> fallar) si se les </w:t>
      </w:r>
      <w:r w:rsidR="004325B3">
        <w:t>dieran</w:t>
      </w:r>
      <w:r>
        <w:t xml:space="preserve"> símbolos variantes. Aquí</w:t>
      </w:r>
      <w:r w:rsidR="000C51C4">
        <w:t>,</w:t>
      </w:r>
      <w:r>
        <w:t xml:space="preserve"> el traductor de</w:t>
      </w:r>
      <w:r w:rsidR="00F06FF2">
        <w:t>l</w:t>
      </w:r>
      <w:r>
        <w:t xml:space="preserve"> inglés abandon</w:t>
      </w:r>
      <w:r w:rsidR="0082387B">
        <w:t>a</w:t>
      </w:r>
      <w:r>
        <w:t xml:space="preserve"> la asignación de sinónimos </w:t>
      </w:r>
      <w:r w:rsidR="0040529E">
        <w:t>al</w:t>
      </w:r>
      <w:r>
        <w:t xml:space="preserve"> </w:t>
      </w:r>
      <w:r w:rsidR="00F06FF2">
        <w:rPr>
          <w:i/>
          <w:iCs/>
        </w:rPr>
        <w:t>Pāḷi</w:t>
      </w:r>
      <w:r>
        <w:t xml:space="preserve"> y </w:t>
      </w:r>
      <w:r w:rsidR="007310C5">
        <w:t>se</w:t>
      </w:r>
      <w:r w:rsidR="0040529E">
        <w:t>r</w:t>
      </w:r>
      <w:r w:rsidR="007310C5">
        <w:t xml:space="preserve"> indulgente</w:t>
      </w:r>
      <w:r>
        <w:t xml:space="preserve"> a</w:t>
      </w:r>
      <w:r w:rsidR="00F1527B">
        <w:t>l</w:t>
      </w:r>
      <w:r>
        <w:t xml:space="preserve"> gusto por </w:t>
      </w:r>
      <w:r w:rsidR="007310C5">
        <w:t>un</w:t>
      </w:r>
      <w:r>
        <w:t xml:space="preserve">a "variación elegante", si la </w:t>
      </w:r>
      <w:r w:rsidR="007310C5">
        <w:t>tuviese</w:t>
      </w:r>
      <w:r>
        <w:t xml:space="preserve">, sin temor a </w:t>
      </w:r>
      <w:r w:rsidR="006046F9">
        <w:t>confusión</w:t>
      </w:r>
      <w:r>
        <w:t>. Pero la mente es fluida, por así decirlo, y materialmente negativa, y su análisis necesita</w:t>
      </w:r>
      <w:r w:rsidR="0040529E">
        <w:t>rá</w:t>
      </w:r>
      <w:r>
        <w:t xml:space="preserve"> un tratamiento diferente y estricto. En los </w:t>
      </w:r>
      <w:r w:rsidRPr="0040529E">
        <w:rPr>
          <w:i/>
          <w:iCs/>
        </w:rPr>
        <w:t>Suttas</w:t>
      </w:r>
      <w:r>
        <w:t xml:space="preserve"> y</w:t>
      </w:r>
      <w:r w:rsidR="0082387B">
        <w:t>,</w:t>
      </w:r>
      <w:r>
        <w:t xml:space="preserve"> aún más en el </w:t>
      </w:r>
      <w:proofErr w:type="spellStart"/>
      <w:r w:rsidR="0040529E" w:rsidRPr="00DF6534">
        <w:rPr>
          <w:i/>
          <w:iCs/>
        </w:rPr>
        <w:t>Abhi</w:t>
      </w:r>
      <w:r w:rsidR="0040529E" w:rsidRPr="00057BF4">
        <w:rPr>
          <w:i/>
          <w:iCs/>
        </w:rPr>
        <w:t>dhamma</w:t>
      </w:r>
      <w:proofErr w:type="spellEnd"/>
      <w:r>
        <w:t xml:space="preserve">, </w:t>
      </w:r>
      <w:r w:rsidR="0040529E">
        <w:t>las representaciones mediante el</w:t>
      </w:r>
      <w:r>
        <w:t xml:space="preserve"> análisis y </w:t>
      </w:r>
      <w:r w:rsidR="0040529E">
        <w:t xml:space="preserve">la </w:t>
      </w:r>
      <w:r>
        <w:t xml:space="preserve">definición de </w:t>
      </w:r>
      <w:r w:rsidR="0040529E">
        <w:t xml:space="preserve">los </w:t>
      </w:r>
      <w:r>
        <w:t xml:space="preserve">estados mentales </w:t>
      </w:r>
      <w:r w:rsidR="0040529E">
        <w:t>conduc</w:t>
      </w:r>
      <w:r w:rsidR="0088007D">
        <w:t>irán</w:t>
      </w:r>
      <w:r w:rsidR="0040529E">
        <w:t xml:space="preserve"> hacia</w:t>
      </w:r>
      <w:r>
        <w:t xml:space="preserve"> aguas desconocidas</w:t>
      </w:r>
      <w:r w:rsidR="0040529E">
        <w:t xml:space="preserve"> y remotas</w:t>
      </w:r>
      <w:r>
        <w:t xml:space="preserve">. Ya se </w:t>
      </w:r>
      <w:r w:rsidR="0040529E">
        <w:t xml:space="preserve">ha </w:t>
      </w:r>
      <w:r>
        <w:t>reconoci</w:t>
      </w:r>
      <w:r w:rsidR="0040529E">
        <w:t>do</w:t>
      </w:r>
      <w:r>
        <w:t xml:space="preserve"> entonces que </w:t>
      </w:r>
      <w:r w:rsidR="00891AF2">
        <w:t>no se trata</w:t>
      </w:r>
      <w:r>
        <w:t xml:space="preserve"> </w:t>
      </w:r>
      <w:r w:rsidR="00F67469">
        <w:t xml:space="preserve">de </w:t>
      </w:r>
      <w:r>
        <w:t xml:space="preserve">un paisaje sólido de "cosas" a </w:t>
      </w:r>
      <w:r w:rsidR="00891AF2">
        <w:t>ser</w:t>
      </w:r>
      <w:r>
        <w:t xml:space="preserve"> </w:t>
      </w:r>
      <w:r w:rsidR="005E43BB">
        <w:t xml:space="preserve">expuesto </w:t>
      </w:r>
      <w:r>
        <w:t>cuando la variación ha</w:t>
      </w:r>
      <w:r w:rsidR="00891AF2">
        <w:t>ya</w:t>
      </w:r>
      <w:r>
        <w:t xml:space="preserve"> </w:t>
      </w:r>
      <w:r w:rsidR="003D27FA">
        <w:t xml:space="preserve">dado como </w:t>
      </w:r>
      <w:r>
        <w:t xml:space="preserve">resultado </w:t>
      </w:r>
      <w:r w:rsidR="003357B2">
        <w:t xml:space="preserve">cierta </w:t>
      </w:r>
      <w:r w:rsidR="00891AF2">
        <w:t>ambigüedad</w:t>
      </w:r>
      <w:r>
        <w:t xml:space="preserve">. Como una </w:t>
      </w:r>
      <w:r w:rsidR="00512FAC">
        <w:t>invocación</w:t>
      </w:r>
      <w:r>
        <w:t xml:space="preserve"> </w:t>
      </w:r>
      <w:r w:rsidR="00342235">
        <w:t xml:space="preserve">para no considerar </w:t>
      </w:r>
      <w:r>
        <w:t xml:space="preserve">este hecho: un académico </w:t>
      </w:r>
      <w:r w:rsidR="00994680">
        <w:t xml:space="preserve">más grande </w:t>
      </w:r>
      <w:r>
        <w:t>con un juicio histórico y filológico impecable (quizás el más eminente de</w:t>
      </w:r>
      <w:r w:rsidR="00633BB1">
        <w:t xml:space="preserve"> todos</w:t>
      </w:r>
      <w:r>
        <w:t xml:space="preserve"> los traductores de</w:t>
      </w:r>
      <w:r w:rsidR="00A9331E">
        <w:t>l</w:t>
      </w:r>
      <w:r>
        <w:t xml:space="preserve"> inglés) ha </w:t>
      </w:r>
      <w:r w:rsidR="00A9331E">
        <w:t>realizado</w:t>
      </w:r>
      <w:r>
        <w:t xml:space="preserve"> en un solo trabajo el </w:t>
      </w:r>
      <w:proofErr w:type="spellStart"/>
      <w:r w:rsidRPr="00DF6534">
        <w:rPr>
          <w:i/>
          <w:iCs/>
        </w:rPr>
        <w:t>Cattāro</w:t>
      </w:r>
      <w:proofErr w:type="spellEnd"/>
      <w:r w:rsidRPr="00DF6534">
        <w:rPr>
          <w:i/>
          <w:iCs/>
        </w:rPr>
        <w:t xml:space="preserve"> Satipaṭṭhāna</w:t>
      </w:r>
      <w:r>
        <w:t xml:space="preserve"> (aquí representad</w:t>
      </w:r>
      <w:r w:rsidR="00633BB1">
        <w:t>o</w:t>
      </w:r>
      <w:r>
        <w:t xml:space="preserve"> por "</w:t>
      </w:r>
      <w:r w:rsidR="00ED579B" w:rsidRPr="00ED579B">
        <w:t xml:space="preserve"> </w:t>
      </w:r>
      <w:r w:rsidR="00ED579B">
        <w:t xml:space="preserve">los </w:t>
      </w:r>
      <w:r>
        <w:t>Cuatro</w:t>
      </w:r>
      <w:r w:rsidR="00A9331E">
        <w:t xml:space="preserve"> Fundamento</w:t>
      </w:r>
      <w:r>
        <w:t xml:space="preserve"> de la </w:t>
      </w:r>
      <w:r w:rsidR="00A9331E">
        <w:t>Atención Plena</w:t>
      </w:r>
      <w:r>
        <w:t xml:space="preserve">") </w:t>
      </w:r>
      <w:r w:rsidR="00633BB1">
        <w:t>mediante</w:t>
      </w:r>
      <w:r>
        <w:t xml:space="preserve"> "</w:t>
      </w:r>
      <w:r w:rsidR="00ED579B">
        <w:t xml:space="preserve">Los </w:t>
      </w:r>
      <w:r>
        <w:t xml:space="preserve">Cuatro </w:t>
      </w:r>
      <w:r w:rsidR="007F4390">
        <w:t xml:space="preserve">Incepciones </w:t>
      </w:r>
      <w:r>
        <w:t xml:space="preserve">de </w:t>
      </w:r>
      <w:r w:rsidR="00201BB3">
        <w:t xml:space="preserve">la </w:t>
      </w:r>
      <w:r w:rsidR="00D15B22">
        <w:t>Liberación</w:t>
      </w:r>
      <w:r>
        <w:t>",</w:t>
      </w:r>
      <w:r w:rsidR="00201BB3">
        <w:t xml:space="preserve"> </w:t>
      </w:r>
      <w:r>
        <w:t>"</w:t>
      </w:r>
      <w:r w:rsidR="00ED579B">
        <w:t xml:space="preserve">Los </w:t>
      </w:r>
      <w:r w:rsidR="00D15B22">
        <w:t xml:space="preserve">Cuarto Establecimientos </w:t>
      </w:r>
      <w:r>
        <w:t xml:space="preserve">de la </w:t>
      </w:r>
      <w:r w:rsidR="00CD5FC7">
        <w:t xml:space="preserve">Atención Plena </w:t>
      </w:r>
      <w:r>
        <w:t>","</w:t>
      </w:r>
      <w:r w:rsidR="00ED579B">
        <w:t xml:space="preserve">Los </w:t>
      </w:r>
      <w:r w:rsidR="0023496F">
        <w:t xml:space="preserve">Cuatro Establecimientos </w:t>
      </w:r>
      <w:r>
        <w:t xml:space="preserve">del </w:t>
      </w:r>
      <w:r w:rsidR="0023496F">
        <w:t>Inicio</w:t>
      </w:r>
      <w:r>
        <w:t>",</w:t>
      </w:r>
      <w:r w:rsidR="009A038C">
        <w:t xml:space="preserve"> </w:t>
      </w:r>
      <w:r>
        <w:t>"</w:t>
      </w:r>
      <w:r w:rsidR="00ED579B">
        <w:t xml:space="preserve">Los </w:t>
      </w:r>
      <w:r>
        <w:t xml:space="preserve">Cuatro </w:t>
      </w:r>
      <w:r w:rsidR="007F4390">
        <w:t xml:space="preserve">Aplicaciones </w:t>
      </w:r>
      <w:r>
        <w:t xml:space="preserve">de </w:t>
      </w:r>
      <w:r w:rsidR="00D15B22">
        <w:t>Atención Plena</w:t>
      </w:r>
      <w:r>
        <w:t>"</w:t>
      </w:r>
      <w:r w:rsidR="00D15B22">
        <w:t xml:space="preserve"> </w:t>
      </w:r>
      <w:r>
        <w:t>y otras variantes. El prólogo de</w:t>
      </w:r>
      <w:r w:rsidR="00AB7D48">
        <w:t>l</w:t>
      </w:r>
      <w:r>
        <w:t xml:space="preserve"> PED observa: "Nadie necesita usar </w:t>
      </w:r>
      <w:r w:rsidR="004223BE">
        <w:t>un</w:t>
      </w:r>
      <w:r>
        <w:t>a única palabra en inglés</w:t>
      </w:r>
      <w:r w:rsidR="004223BE">
        <w:t xml:space="preserve"> para </w:t>
      </w:r>
      <w:r>
        <w:t>"deseo"</w:t>
      </w:r>
      <w:r w:rsidR="004223BE">
        <w:t xml:space="preserve"> ya que</w:t>
      </w:r>
      <w:r>
        <w:t xml:space="preserve"> </w:t>
      </w:r>
      <w:r w:rsidR="005D7013">
        <w:t xml:space="preserve">existe </w:t>
      </w:r>
      <w:r>
        <w:t xml:space="preserve">una </w:t>
      </w:r>
      <w:r w:rsidR="001051CA">
        <w:t>definición</w:t>
      </w:r>
      <w:r>
        <w:t xml:space="preserve"> de dieciséis palabras </w:t>
      </w:r>
      <w:r w:rsidR="000B73B2">
        <w:rPr>
          <w:i/>
          <w:iCs/>
        </w:rPr>
        <w:t>Pāḷi</w:t>
      </w:r>
      <w:r>
        <w:t xml:space="preserve"> distintas, </w:t>
      </w:r>
      <w:r w:rsidR="000B73B2">
        <w:t>ninguna</w:t>
      </w:r>
      <w:r>
        <w:t xml:space="preserve"> de l</w:t>
      </w:r>
      <w:r w:rsidR="000B73B2">
        <w:t>a</w:t>
      </w:r>
      <w:r>
        <w:t xml:space="preserve">s cuales significa precisamente deseo. Sin embargo, esto se hizo </w:t>
      </w:r>
      <w:r w:rsidR="00011A24">
        <w:t>as</w:t>
      </w:r>
      <w:r w:rsidR="00011A24">
        <w:rPr>
          <w:lang w:val="es-MX"/>
        </w:rPr>
        <w:t>í</w:t>
      </w:r>
      <w:r w:rsidR="00011A24">
        <w:t xml:space="preserve"> </w:t>
      </w:r>
      <w:r>
        <w:t xml:space="preserve">en </w:t>
      </w:r>
      <w:r w:rsidR="000B73B2">
        <w:t>el Vol</w:t>
      </w:r>
      <w:r>
        <w:t xml:space="preserve">. X de </w:t>
      </w:r>
      <w:r w:rsidR="000B73B2" w:rsidRPr="000B73B2">
        <w:rPr>
          <w:i/>
          <w:iCs/>
        </w:rPr>
        <w:t>Los Libros Sagrados del Este</w:t>
      </w:r>
      <w:r>
        <w:t xml:space="preserve"> </w:t>
      </w:r>
      <w:r w:rsidR="000B73B2" w:rsidRPr="000B73B2">
        <w:t>[</w:t>
      </w:r>
      <w:proofErr w:type="spellStart"/>
      <w:r w:rsidR="001547BB" w:rsidRPr="001547BB">
        <w:rPr>
          <w:i/>
          <w:iCs/>
        </w:rPr>
        <w:t>Sacred</w:t>
      </w:r>
      <w:proofErr w:type="spellEnd"/>
      <w:r w:rsidR="001547BB" w:rsidRPr="001547BB">
        <w:rPr>
          <w:i/>
          <w:iCs/>
        </w:rPr>
        <w:t xml:space="preserve"> </w:t>
      </w:r>
      <w:proofErr w:type="spellStart"/>
      <w:r w:rsidR="001547BB" w:rsidRPr="001547BB">
        <w:rPr>
          <w:i/>
          <w:iCs/>
        </w:rPr>
        <w:t>Books</w:t>
      </w:r>
      <w:proofErr w:type="spellEnd"/>
      <w:r w:rsidR="001547BB" w:rsidRPr="001547BB">
        <w:rPr>
          <w:i/>
          <w:iCs/>
        </w:rPr>
        <w:t xml:space="preserve"> of </w:t>
      </w:r>
      <w:proofErr w:type="spellStart"/>
      <w:r w:rsidR="001547BB" w:rsidRPr="001547BB">
        <w:rPr>
          <w:i/>
          <w:iCs/>
        </w:rPr>
        <w:t>the</w:t>
      </w:r>
      <w:proofErr w:type="spellEnd"/>
      <w:r w:rsidR="001547BB" w:rsidRPr="001547BB">
        <w:rPr>
          <w:i/>
          <w:iCs/>
        </w:rPr>
        <w:t xml:space="preserve"> East</w:t>
      </w:r>
      <w:r w:rsidR="000B73B2" w:rsidRPr="000B73B2">
        <w:t>]</w:t>
      </w:r>
      <w:r w:rsidR="000B73B2">
        <w:t xml:space="preserve"> </w:t>
      </w:r>
      <w:r w:rsidR="001547BB">
        <w:t>de</w:t>
      </w:r>
      <w:r>
        <w:t xml:space="preserve"> Max Müller y </w:t>
      </w:r>
      <w:proofErr w:type="spellStart"/>
      <w:r>
        <w:t>Fausböll</w:t>
      </w:r>
      <w:proofErr w:type="spellEnd"/>
      <w:r>
        <w:t xml:space="preserve"> "; </w:t>
      </w:r>
      <w:r w:rsidR="00011A24">
        <w:t>no obstante, ¿se requiere</w:t>
      </w:r>
      <w:r>
        <w:t xml:space="preserve"> </w:t>
      </w:r>
      <w:r w:rsidR="00011A24">
        <w:t>llegar</w:t>
      </w:r>
      <w:r>
        <w:t xml:space="preserve"> al otro extremo? </w:t>
      </w:r>
      <w:r w:rsidR="00DF6534">
        <w:t>¿</w:t>
      </w:r>
      <w:r>
        <w:t>Cómo</w:t>
      </w:r>
      <w:r w:rsidR="003B343E">
        <w:t>,</w:t>
      </w:r>
      <w:r>
        <w:t xml:space="preserve"> sin </w:t>
      </w:r>
      <w:r w:rsidR="00011A24">
        <w:t>recurrir</w:t>
      </w:r>
      <w:r>
        <w:t xml:space="preserve"> </w:t>
      </w:r>
      <w:r w:rsidR="00011A24">
        <w:t>a</w:t>
      </w:r>
      <w:r>
        <w:t xml:space="preserve">l </w:t>
      </w:r>
      <w:r w:rsidR="00DF6534">
        <w:rPr>
          <w:i/>
          <w:iCs/>
        </w:rPr>
        <w:t>Pāḷi</w:t>
      </w:r>
      <w:r w:rsidR="003B343E">
        <w:rPr>
          <w:i/>
          <w:iCs/>
        </w:rPr>
        <w:t>,</w:t>
      </w:r>
      <w:r w:rsidR="00DF6534">
        <w:t xml:space="preserve"> </w:t>
      </w:r>
      <w:r w:rsidR="00011A24">
        <w:t xml:space="preserve">se </w:t>
      </w:r>
      <w:r w:rsidR="00215B03">
        <w:t>podría</w:t>
      </w:r>
      <w:r>
        <w:t xml:space="preserve"> estar seguro si la misma </w:t>
      </w:r>
      <w:r>
        <w:br w:type="page"/>
      </w:r>
    </w:p>
    <w:p w14:paraId="38511490" w14:textId="1DFBAC63" w:rsidR="00F1388E" w:rsidRDefault="00C9207C" w:rsidP="00F1388E">
      <w:r>
        <w:lastRenderedPageBreak/>
        <w:t>idea es</w:t>
      </w:r>
      <w:r w:rsidRPr="00E959E3">
        <w:t xml:space="preserve"> </w:t>
      </w:r>
      <w:r w:rsidR="00215B03">
        <w:t xml:space="preserve">referida por </w:t>
      </w:r>
      <w:r w:rsidR="00011A24">
        <w:t>todas estas variantes y no otras,</w:t>
      </w:r>
      <w:r w:rsidR="00011A24" w:rsidRPr="00E959E3">
        <w:t xml:space="preserve"> </w:t>
      </w:r>
      <w:r w:rsidR="00011A24">
        <w:t xml:space="preserve">como </w:t>
      </w:r>
      <w:r w:rsidR="006C518F">
        <w:t xml:space="preserve">en el caso de </w:t>
      </w:r>
      <w:r w:rsidR="0076499D">
        <w:t>aquellas</w:t>
      </w:r>
      <w:r w:rsidR="00F1388E">
        <w:t xml:space="preserve"> mencionadas </w:t>
      </w:r>
      <w:r w:rsidR="00011A24">
        <w:t>en</w:t>
      </w:r>
      <w:r w:rsidR="00F1388E">
        <w:t xml:space="preserve"> </w:t>
      </w:r>
      <w:r w:rsidR="0076499D">
        <w:t xml:space="preserve">los </w:t>
      </w:r>
      <w:proofErr w:type="spellStart"/>
      <w:r w:rsidR="00F1388E" w:rsidRPr="00DF6534">
        <w:rPr>
          <w:i/>
          <w:iCs/>
        </w:rPr>
        <w:t>Cattāro</w:t>
      </w:r>
      <w:proofErr w:type="spellEnd"/>
      <w:r w:rsidR="00F1388E" w:rsidRPr="00DF6534">
        <w:rPr>
          <w:i/>
          <w:iCs/>
        </w:rPr>
        <w:t xml:space="preserve"> </w:t>
      </w:r>
      <w:proofErr w:type="spellStart"/>
      <w:r w:rsidR="00F1388E" w:rsidRPr="00DF6534">
        <w:rPr>
          <w:i/>
          <w:iCs/>
        </w:rPr>
        <w:t>Iddhipādā</w:t>
      </w:r>
      <w:proofErr w:type="spellEnd"/>
      <w:r w:rsidR="00F1388E">
        <w:t xml:space="preserve"> ("</w:t>
      </w:r>
      <w:r w:rsidR="00215B03">
        <w:t xml:space="preserve">los </w:t>
      </w:r>
      <w:r w:rsidR="00530DE6">
        <w:t xml:space="preserve">cuatro </w:t>
      </w:r>
      <w:r w:rsidR="00215B03">
        <w:t>s</w:t>
      </w:r>
      <w:r w:rsidR="00530DE6">
        <w:t>enderos</w:t>
      </w:r>
      <w:r w:rsidR="00F1388E">
        <w:t xml:space="preserve"> </w:t>
      </w:r>
      <w:r w:rsidR="00215B03">
        <w:t>de</w:t>
      </w:r>
      <w:r w:rsidR="00F1388E">
        <w:t>l poder" o "</w:t>
      </w:r>
      <w:r w:rsidR="00215B03">
        <w:t xml:space="preserve">las </w:t>
      </w:r>
      <w:r w:rsidR="00530DE6">
        <w:t xml:space="preserve">bases </w:t>
      </w:r>
      <w:r w:rsidR="00F1388E">
        <w:t>de</w:t>
      </w:r>
      <w:r w:rsidR="00FD4C35">
        <w:t>l</w:t>
      </w:r>
      <w:r w:rsidR="00F1388E">
        <w:t xml:space="preserve"> éxito"), </w:t>
      </w:r>
      <w:r w:rsidR="0076499D">
        <w:t xml:space="preserve">los </w:t>
      </w:r>
      <w:proofErr w:type="spellStart"/>
      <w:r w:rsidR="00F1388E" w:rsidRPr="00DF6534">
        <w:rPr>
          <w:i/>
          <w:iCs/>
        </w:rPr>
        <w:t>Cattāro</w:t>
      </w:r>
      <w:proofErr w:type="spellEnd"/>
      <w:r w:rsidR="00F1388E" w:rsidRPr="00DF6534">
        <w:rPr>
          <w:i/>
          <w:iCs/>
        </w:rPr>
        <w:t xml:space="preserve"> </w:t>
      </w:r>
      <w:proofErr w:type="spellStart"/>
      <w:r w:rsidR="00F1388E" w:rsidRPr="00DF6534">
        <w:rPr>
          <w:i/>
          <w:iCs/>
        </w:rPr>
        <w:t>Sammappadhānā</w:t>
      </w:r>
      <w:proofErr w:type="spellEnd"/>
      <w:r w:rsidR="00F1388E">
        <w:t xml:space="preserve"> ("</w:t>
      </w:r>
      <w:r w:rsidR="00215B03">
        <w:t>los c</w:t>
      </w:r>
      <w:r w:rsidR="00F1388E">
        <w:t>uatro esfuerzos correctos"), etc., o uno de los muchos otros "cuatro</w:t>
      </w:r>
      <w:r w:rsidR="00530DE6">
        <w:t>s</w:t>
      </w:r>
      <w:r w:rsidR="00F1388E">
        <w:t xml:space="preserve">"? </w:t>
      </w:r>
      <w:r w:rsidR="00F1388E" w:rsidRPr="00E561A6">
        <w:rPr>
          <w:color w:val="833C0B" w:themeColor="accent2" w:themeShade="80"/>
        </w:rPr>
        <w:t>Es habitual no variar, por ejemplo, l</w:t>
      </w:r>
      <w:r w:rsidR="00BD24ED" w:rsidRPr="00E561A6">
        <w:rPr>
          <w:color w:val="833C0B" w:themeColor="accent2" w:themeShade="80"/>
        </w:rPr>
        <w:t>a</w:t>
      </w:r>
      <w:r w:rsidR="00F1388E" w:rsidRPr="00E561A6">
        <w:rPr>
          <w:color w:val="833C0B" w:themeColor="accent2" w:themeShade="80"/>
        </w:rPr>
        <w:t xml:space="preserve"> "</w:t>
      </w:r>
      <w:r w:rsidR="00CE38B6" w:rsidRPr="00E561A6">
        <w:rPr>
          <w:color w:val="833C0B" w:themeColor="accent2" w:themeShade="80"/>
        </w:rPr>
        <w:t>invoca</w:t>
      </w:r>
      <w:r w:rsidR="00BD24ED" w:rsidRPr="00E561A6">
        <w:rPr>
          <w:color w:val="833C0B" w:themeColor="accent2" w:themeShade="80"/>
        </w:rPr>
        <w:t>ción</w:t>
      </w:r>
      <w:r w:rsidR="00F1388E" w:rsidRPr="00E561A6">
        <w:rPr>
          <w:color w:val="833C0B" w:themeColor="accent2" w:themeShade="80"/>
        </w:rPr>
        <w:t xml:space="preserve"> </w:t>
      </w:r>
      <w:r w:rsidR="007D0BBB" w:rsidRPr="00E561A6">
        <w:rPr>
          <w:color w:val="833C0B" w:themeColor="accent2" w:themeShade="80"/>
        </w:rPr>
        <w:t>d</w:t>
      </w:r>
      <w:r w:rsidR="00F1388E" w:rsidRPr="00E561A6">
        <w:rPr>
          <w:color w:val="833C0B" w:themeColor="accent2" w:themeShade="80"/>
        </w:rPr>
        <w:t xml:space="preserve">el imperativo categórico" </w:t>
      </w:r>
      <w:r w:rsidR="00F6249F">
        <w:rPr>
          <w:color w:val="833C0B" w:themeColor="accent2" w:themeShade="80"/>
        </w:rPr>
        <w:t>en</w:t>
      </w:r>
      <w:r w:rsidR="00F1388E" w:rsidRPr="00E561A6">
        <w:rPr>
          <w:color w:val="833C0B" w:themeColor="accent2" w:themeShade="80"/>
        </w:rPr>
        <w:t xml:space="preserve"> un nuevo contexto </w:t>
      </w:r>
      <w:r w:rsidR="00601F95" w:rsidRPr="00E561A6">
        <w:rPr>
          <w:color w:val="833C0B" w:themeColor="accent2" w:themeShade="80"/>
        </w:rPr>
        <w:t>a través</w:t>
      </w:r>
      <w:r w:rsidR="00F1388E" w:rsidRPr="00E561A6">
        <w:rPr>
          <w:color w:val="833C0B" w:themeColor="accent2" w:themeShade="80"/>
        </w:rPr>
        <w:t xml:space="preserve"> de algunas alternativas</w:t>
      </w:r>
      <w:r w:rsidR="00F6249F">
        <w:rPr>
          <w:color w:val="833C0B" w:themeColor="accent2" w:themeShade="80"/>
        </w:rPr>
        <w:t>,</w:t>
      </w:r>
      <w:r w:rsidR="00F1388E" w:rsidRPr="00E561A6">
        <w:rPr>
          <w:color w:val="833C0B" w:themeColor="accent2" w:themeShade="80"/>
        </w:rPr>
        <w:t xml:space="preserve"> como "</w:t>
      </w:r>
      <w:r w:rsidR="002B2DA8" w:rsidRPr="00E561A6">
        <w:rPr>
          <w:color w:val="833C0B" w:themeColor="accent2" w:themeShade="80"/>
        </w:rPr>
        <w:t xml:space="preserve">orden </w:t>
      </w:r>
      <w:r w:rsidR="00E73F1A">
        <w:rPr>
          <w:color w:val="833C0B" w:themeColor="accent2" w:themeShade="80"/>
        </w:rPr>
        <w:t>sin concesiones</w:t>
      </w:r>
      <w:r w:rsidR="00F1388E" w:rsidRPr="00E561A6">
        <w:rPr>
          <w:color w:val="833C0B" w:themeColor="accent2" w:themeShade="80"/>
        </w:rPr>
        <w:t>" o</w:t>
      </w:r>
      <w:r w:rsidR="002B2DA8" w:rsidRPr="00E561A6">
        <w:rPr>
          <w:color w:val="833C0B" w:themeColor="accent2" w:themeShade="80"/>
        </w:rPr>
        <w:t xml:space="preserve"> una</w:t>
      </w:r>
      <w:r w:rsidR="00F1388E" w:rsidRPr="00E561A6">
        <w:rPr>
          <w:color w:val="833C0B" w:themeColor="accent2" w:themeShade="80"/>
        </w:rPr>
        <w:t xml:space="preserve"> "</w:t>
      </w:r>
      <w:r w:rsidR="00075135" w:rsidRPr="00E561A6">
        <w:rPr>
          <w:color w:val="833C0B" w:themeColor="accent2" w:themeShade="80"/>
        </w:rPr>
        <w:t>unión</w:t>
      </w:r>
      <w:r w:rsidR="00F1388E" w:rsidRPr="00E561A6">
        <w:rPr>
          <w:color w:val="833C0B" w:themeColor="accent2" w:themeShade="80"/>
        </w:rPr>
        <w:t xml:space="preserve"> </w:t>
      </w:r>
      <w:r w:rsidR="002B2DA8" w:rsidRPr="00E561A6">
        <w:rPr>
          <w:color w:val="833C0B" w:themeColor="accent2" w:themeShade="80"/>
        </w:rPr>
        <w:t xml:space="preserve">simple </w:t>
      </w:r>
      <w:r w:rsidR="00F1388E" w:rsidRPr="00E561A6">
        <w:rPr>
          <w:color w:val="833C0B" w:themeColor="accent2" w:themeShade="80"/>
        </w:rPr>
        <w:t>de</w:t>
      </w:r>
      <w:r w:rsidR="00075135" w:rsidRPr="00E561A6">
        <w:rPr>
          <w:color w:val="833C0B" w:themeColor="accent2" w:themeShade="80"/>
        </w:rPr>
        <w:t>l</w:t>
      </w:r>
      <w:r w:rsidR="00F1388E" w:rsidRPr="00E561A6">
        <w:rPr>
          <w:color w:val="833C0B" w:themeColor="accent2" w:themeShade="80"/>
        </w:rPr>
        <w:t xml:space="preserve"> </w:t>
      </w:r>
      <w:r w:rsidR="00075135" w:rsidRPr="00E561A6">
        <w:rPr>
          <w:color w:val="833C0B" w:themeColor="accent2" w:themeShade="80"/>
        </w:rPr>
        <w:t>lenguaje</w:t>
      </w:r>
      <w:r w:rsidR="001133C6" w:rsidRPr="00E561A6">
        <w:rPr>
          <w:color w:val="833C0B" w:themeColor="accent2" w:themeShade="80"/>
        </w:rPr>
        <w:t xml:space="preserve"> </w:t>
      </w:r>
      <w:r w:rsidR="00F1388E" w:rsidRPr="00E561A6">
        <w:rPr>
          <w:color w:val="833C0B" w:themeColor="accent2" w:themeShade="80"/>
        </w:rPr>
        <w:t xml:space="preserve">" o </w:t>
      </w:r>
      <w:r w:rsidR="0091442C" w:rsidRPr="00E561A6">
        <w:rPr>
          <w:color w:val="833C0B" w:themeColor="accent2" w:themeShade="80"/>
        </w:rPr>
        <w:t xml:space="preserve">la </w:t>
      </w:r>
      <w:r w:rsidR="00F1388E" w:rsidRPr="00E561A6">
        <w:rPr>
          <w:color w:val="833C0B" w:themeColor="accent2" w:themeShade="80"/>
        </w:rPr>
        <w:t>"</w:t>
      </w:r>
      <w:r w:rsidR="00CE38B6" w:rsidRPr="00E561A6">
        <w:rPr>
          <w:color w:val="833C0B" w:themeColor="accent2" w:themeShade="80"/>
        </w:rPr>
        <w:t>invoca</w:t>
      </w:r>
      <w:r w:rsidR="0091442C" w:rsidRPr="00E561A6">
        <w:rPr>
          <w:color w:val="833C0B" w:themeColor="accent2" w:themeShade="80"/>
        </w:rPr>
        <w:t>ción a</w:t>
      </w:r>
      <w:r w:rsidR="00CE38B6" w:rsidRPr="00E561A6">
        <w:rPr>
          <w:color w:val="833C0B" w:themeColor="accent2" w:themeShade="80"/>
        </w:rPr>
        <w:t xml:space="preserve"> </w:t>
      </w:r>
      <w:r w:rsidR="002B2DA8" w:rsidRPr="00E561A6">
        <w:rPr>
          <w:color w:val="833C0B" w:themeColor="accent2" w:themeShade="80"/>
        </w:rPr>
        <w:t>una</w:t>
      </w:r>
      <w:r w:rsidR="00F1388E" w:rsidRPr="00E561A6">
        <w:rPr>
          <w:color w:val="833C0B" w:themeColor="accent2" w:themeShade="80"/>
        </w:rPr>
        <w:t xml:space="preserve"> rendición incondicional", que los diccionarios justificarían, o "fe" que los </w:t>
      </w:r>
      <w:proofErr w:type="spellStart"/>
      <w:r w:rsidR="00F1388E" w:rsidRPr="00E561A6">
        <w:rPr>
          <w:color w:val="833C0B" w:themeColor="accent2" w:themeShade="80"/>
        </w:rPr>
        <w:t>exegetistas</w:t>
      </w:r>
      <w:proofErr w:type="spellEnd"/>
      <w:r w:rsidR="00F1388E" w:rsidRPr="00E561A6">
        <w:rPr>
          <w:color w:val="833C0B" w:themeColor="accent2" w:themeShade="80"/>
        </w:rPr>
        <w:t xml:space="preserve"> podrían recomendar; </w:t>
      </w:r>
      <w:r w:rsidR="00183789" w:rsidRPr="00E561A6">
        <w:rPr>
          <w:color w:val="833C0B" w:themeColor="accent2" w:themeShade="80"/>
        </w:rPr>
        <w:t xml:space="preserve">es </w:t>
      </w:r>
      <w:r w:rsidR="00F1388E" w:rsidRPr="00E561A6">
        <w:rPr>
          <w:color w:val="833C0B" w:themeColor="accent2" w:themeShade="80"/>
        </w:rPr>
        <w:t>decir, si se espera</w:t>
      </w:r>
      <w:r w:rsidR="00573751" w:rsidRPr="00E561A6">
        <w:rPr>
          <w:color w:val="833C0B" w:themeColor="accent2" w:themeShade="80"/>
        </w:rPr>
        <w:t>ra</w:t>
      </w:r>
      <w:r w:rsidR="00F1388E" w:rsidRPr="00E561A6">
        <w:rPr>
          <w:color w:val="833C0B" w:themeColor="accent2" w:themeShade="80"/>
        </w:rPr>
        <w:t xml:space="preserve"> evitar </w:t>
      </w:r>
      <w:r w:rsidR="000A6558" w:rsidRPr="00E561A6">
        <w:rPr>
          <w:color w:val="833C0B" w:themeColor="accent2" w:themeShade="80"/>
        </w:rPr>
        <w:t>un</w:t>
      </w:r>
      <w:r w:rsidR="00F1388E" w:rsidRPr="00E561A6">
        <w:rPr>
          <w:color w:val="833C0B" w:themeColor="accent2" w:themeShade="80"/>
        </w:rPr>
        <w:t>a confusión</w:t>
      </w:r>
      <w:r w:rsidR="00F1388E">
        <w:t>. Sin embargo, la elección de una representación adecuada es un problema bastante diferente.</w:t>
      </w:r>
    </w:p>
    <w:p w14:paraId="198EA4AB" w14:textId="17AB024B" w:rsidR="00F1388E" w:rsidRDefault="00FD4358" w:rsidP="00F1388E">
      <w:pPr>
        <w:pStyle w:val="NormalConSangria"/>
      </w:pPr>
      <w:r>
        <w:t xml:space="preserve">No obstante, </w:t>
      </w:r>
      <w:r w:rsidR="00F1388E">
        <w:t>hay algo más que considerar antes de llegar a e</w:t>
      </w:r>
      <w:r w:rsidR="00573751">
        <w:t>ll</w:t>
      </w:r>
      <w:r w:rsidR="00F1388E">
        <w:t xml:space="preserve">o. Hasta ahora, solo se ha mencionado la dificultad de aislar, simbolizar y describir los estados mentales individuales. Pero aquí también se trata </w:t>
      </w:r>
      <w:r w:rsidR="004D528E">
        <w:t xml:space="preserve">con </w:t>
      </w:r>
      <w:r w:rsidR="00F1388E">
        <w:t xml:space="preserve">toda la estructura mental </w:t>
      </w:r>
      <w:r w:rsidR="00B75EF7">
        <w:t>y</w:t>
      </w:r>
      <w:r w:rsidR="00F1388E">
        <w:t xml:space="preserve"> </w:t>
      </w:r>
      <w:r w:rsidR="00C34D83">
        <w:t xml:space="preserve">también con </w:t>
      </w:r>
      <w:r w:rsidR="00F1388E">
        <w:t>su proceso dinámico temporal</w:t>
      </w:r>
      <w:r w:rsidR="008620A5">
        <w:t xml:space="preserve"> con el cual se vincula</w:t>
      </w:r>
      <w:r w:rsidR="00F1388E">
        <w:t>. Los estados mentales y materiales identificados (ninguno de los cuales puede surgir de forma independiente) debe</w:t>
      </w:r>
      <w:r w:rsidR="0011707E">
        <w:t>n</w:t>
      </w:r>
      <w:r w:rsidR="00F1388E">
        <w:t xml:space="preserve"> ser reconocible</w:t>
      </w:r>
      <w:r w:rsidR="0011707E">
        <w:t>s</w:t>
      </w:r>
      <w:r w:rsidR="00F1388E">
        <w:t xml:space="preserve"> con sus asociaciones cuando se encuentr</w:t>
      </w:r>
      <w:r>
        <w:t>e</w:t>
      </w:r>
      <w:r w:rsidR="00F1388E">
        <w:t>n en nuevas circunstancias: porque aquí surge la cuestión central de la asociación de</w:t>
      </w:r>
      <w:r w:rsidR="0013131C">
        <w:t>l</w:t>
      </w:r>
      <w:r w:rsidR="00F1388E">
        <w:t xml:space="preserve"> pensamiento y su manipulación. Eso se reconoce tácitamente en el </w:t>
      </w:r>
      <w:r w:rsidR="00783C8B">
        <w:rPr>
          <w:i/>
          <w:iCs/>
        </w:rPr>
        <w:t>Pāḷi</w:t>
      </w:r>
      <w:r w:rsidR="00F1388E">
        <w:t xml:space="preserve">. Si no se </w:t>
      </w:r>
      <w:r w:rsidR="007203C1">
        <w:t xml:space="preserve">considera </w:t>
      </w:r>
      <w:r w:rsidR="00076FA4">
        <w:t xml:space="preserve">la representación </w:t>
      </w:r>
      <w:r w:rsidR="007203C1">
        <w:t xml:space="preserve">en </w:t>
      </w:r>
      <w:r w:rsidR="007203C1" w:rsidRPr="008620A5">
        <w:rPr>
          <w:i/>
          <w:iCs/>
        </w:rPr>
        <w:t>inglés</w:t>
      </w:r>
      <w:r w:rsidR="00F1388E">
        <w:t xml:space="preserve"> la estructura tenue con sus inferencias y negaciones, </w:t>
      </w:r>
      <w:r w:rsidR="00783C8B">
        <w:t xml:space="preserve">ya no se podrá comunicar o seguir </w:t>
      </w:r>
      <w:r w:rsidR="00F1388E">
        <w:t>el patrón flexible de las asociaciones de</w:t>
      </w:r>
      <w:r w:rsidR="00E674F2">
        <w:t>l</w:t>
      </w:r>
      <w:r w:rsidR="00F1388E">
        <w:t xml:space="preserve"> pensamiento, porque el patrón de</w:t>
      </w:r>
      <w:r w:rsidR="00BF3FE1">
        <w:t>l</w:t>
      </w:r>
      <w:r w:rsidR="00F1388E">
        <w:t xml:space="preserve"> </w:t>
      </w:r>
      <w:r w:rsidR="00BF3FE1">
        <w:t>lenguaje</w:t>
      </w:r>
      <w:r w:rsidR="00F1388E">
        <w:t xml:space="preserve"> ya no lo refleja</w:t>
      </w:r>
      <w:r w:rsidR="00BF3FE1">
        <w:t>rá</w:t>
      </w:r>
      <w:r w:rsidR="00F1388E">
        <w:t xml:space="preserve"> y lo que sea que se pueda comunicar </w:t>
      </w:r>
      <w:r w:rsidR="00BF3FE1">
        <w:t xml:space="preserve">será </w:t>
      </w:r>
      <w:r w:rsidR="00F1388E">
        <w:t xml:space="preserve">solo fragmentario y quizás engañoso. Las representaciones de </w:t>
      </w:r>
      <w:r w:rsidR="00E674F2">
        <w:t xml:space="preserve">unas </w:t>
      </w:r>
      <w:r w:rsidR="00F1388E">
        <w:t>palabras también debe</w:t>
      </w:r>
      <w:r w:rsidR="00E674F2">
        <w:t>rá</w:t>
      </w:r>
      <w:r w:rsidR="00F1388E">
        <w:t xml:space="preserve">n distinguirse de las representaciones de </w:t>
      </w:r>
      <w:r w:rsidR="00E764CA">
        <w:t xml:space="preserve">las </w:t>
      </w:r>
      <w:r w:rsidR="00F1388E">
        <w:t>palabras utilizadas para explicar esas palabras. A partir de este aspecto, el sistema oriental de la traducción de palabra por palabra, que transliter</w:t>
      </w:r>
      <w:r w:rsidR="00D62FF3">
        <w:t>a</w:t>
      </w:r>
      <w:r w:rsidR="00F1388E">
        <w:t xml:space="preserve"> el sonido del principal sustantivo y los tallos verbales y se adhier</w:t>
      </w:r>
      <w:r w:rsidR="00940FDB">
        <w:t>e</w:t>
      </w:r>
      <w:r w:rsidR="00F1388E">
        <w:t>n a las inflexiones locales, tiene mucho que recomendar</w:t>
      </w:r>
      <w:r w:rsidR="008377DA">
        <w:t>se</w:t>
      </w:r>
      <w:r w:rsidR="00F1388E">
        <w:t>, aunque, por supuesto, no s</w:t>
      </w:r>
      <w:r w:rsidR="008377DA">
        <w:t>ea</w:t>
      </w:r>
      <w:r w:rsidR="00F1388E">
        <w:t xml:space="preserve"> legible como </w:t>
      </w:r>
      <w:r w:rsidR="000463E1">
        <w:t xml:space="preserve">una </w:t>
      </w:r>
      <w:r w:rsidR="00F1388E">
        <w:t>"literatura"</w:t>
      </w:r>
      <w:r w:rsidR="008620A5">
        <w:t>.</w:t>
      </w:r>
      <w:r w:rsidR="00F1388E">
        <w:t xml:space="preserve"> </w:t>
      </w:r>
      <w:r w:rsidR="00FA276A" w:rsidRPr="00FA276A">
        <w:t xml:space="preserve">Uno está manejando, en lugar de imágenes de ideas aisladas o incluso grupos de ideas, un sistema completo de gráficos coherentes. </w:t>
      </w:r>
      <w:r w:rsidR="00687E24" w:rsidRPr="00FA276A">
        <w:t>Además</w:t>
      </w:r>
      <w:r w:rsidR="00FA276A" w:rsidRPr="00FA276A">
        <w:t>, las palabras, como los mapas y los gráficos, se utilizan convencionalmente para representar grandes dimensiones.</w:t>
      </w:r>
    </w:p>
    <w:p w14:paraId="104FEB1F" w14:textId="45EC184D" w:rsidR="00F1388E" w:rsidRDefault="00F1388E" w:rsidP="00F1388E">
      <w:pPr>
        <w:pStyle w:val="NormalConSangria"/>
      </w:pPr>
      <w:r>
        <w:t xml:space="preserve">Cuando </w:t>
      </w:r>
      <w:r w:rsidR="00A33588">
        <w:t>se</w:t>
      </w:r>
      <w:r w:rsidR="00FF55AB">
        <w:t>an</w:t>
      </w:r>
      <w:r w:rsidR="00A33588">
        <w:t xml:space="preserve"> </w:t>
      </w:r>
      <w:r w:rsidR="00FF55AB">
        <w:t xml:space="preserve">encontrados </w:t>
      </w:r>
      <w:r>
        <w:t xml:space="preserve">estados </w:t>
      </w:r>
      <w:r w:rsidR="00530256">
        <w:t xml:space="preserve">ya identificados </w:t>
      </w:r>
      <w:r>
        <w:t xml:space="preserve">o corrientes desde nuevos ángulos, la nueva situación se </w:t>
      </w:r>
      <w:r w:rsidR="000454C0">
        <w:t>podrá</w:t>
      </w:r>
      <w:r>
        <w:t xml:space="preserve"> verbalizar </w:t>
      </w:r>
      <w:r w:rsidR="000454C0">
        <w:t xml:space="preserve">al menos </w:t>
      </w:r>
      <w:r>
        <w:t>e</w:t>
      </w:r>
      <w:r w:rsidR="001D520A">
        <w:t>n</w:t>
      </w:r>
      <w:r>
        <w:t xml:space="preserve"> una de dos maneras: ya sea utilizando una nueva </w:t>
      </w:r>
      <w:r w:rsidR="00225926">
        <w:t xml:space="preserve">y apropiada </w:t>
      </w:r>
      <w:r>
        <w:t xml:space="preserve">configuración verbal </w:t>
      </w:r>
      <w:r w:rsidR="003B1FB1">
        <w:t>agr</w:t>
      </w:r>
      <w:r w:rsidR="00AB3870">
        <w:t xml:space="preserve">upando </w:t>
      </w:r>
      <w:r>
        <w:t>palabras ya asignadas a estos estados, o describiendo toda la situación nuev</w:t>
      </w:r>
      <w:r w:rsidR="00AB3870">
        <w:t>amente</w:t>
      </w:r>
      <w:r>
        <w:t xml:space="preserve"> </w:t>
      </w:r>
      <w:r w:rsidR="001D520A">
        <w:t>e</w:t>
      </w:r>
      <w:r>
        <w:t>n una terminología diferente, elegid</w:t>
      </w:r>
      <w:r w:rsidR="001D520A">
        <w:t>a</w:t>
      </w:r>
      <w:r>
        <w:t xml:space="preserve"> </w:t>
      </w:r>
      <w:r w:rsidRPr="002C0A17">
        <w:rPr>
          <w:i/>
          <w:iCs/>
        </w:rPr>
        <w:t>ad hoc</w:t>
      </w:r>
      <w:r>
        <w:t>. Si bien l</w:t>
      </w:r>
      <w:r w:rsidR="008F477A">
        <w:t>a</w:t>
      </w:r>
      <w:r>
        <w:t xml:space="preserve"> segund</w:t>
      </w:r>
      <w:r w:rsidR="008F477A">
        <w:t>a opción</w:t>
      </w:r>
      <w:r>
        <w:t xml:space="preserve"> puede ganar </w:t>
      </w:r>
      <w:r w:rsidR="008F477A">
        <w:t xml:space="preserve">un </w:t>
      </w:r>
      <w:r>
        <w:t xml:space="preserve">brillo individual, las conexiones con otras referencias aliadas difícilmente </w:t>
      </w:r>
      <w:r w:rsidR="00FE724E">
        <w:t>dejarán</w:t>
      </w:r>
      <w:r>
        <w:t xml:space="preserve"> </w:t>
      </w:r>
      <w:r w:rsidR="00FE724E">
        <w:t>de</w:t>
      </w:r>
      <w:r>
        <w:t xml:space="preserve"> perderse. Las fotografías aéreas deben tomarse de</w:t>
      </w:r>
      <w:r w:rsidR="00E36C80">
        <w:t>sde</w:t>
      </w:r>
      <w:r>
        <w:t xml:space="preserve"> altitudes consistentes, si se van a usar para hacer mapas. Y las palabras tienen el doble propósito de </w:t>
      </w:r>
      <w:r w:rsidR="00A856E4">
        <w:t>registrar</w:t>
      </w:r>
      <w:r>
        <w:t xml:space="preserve"> ideas ya formadas y despertar </w:t>
      </w:r>
      <w:r w:rsidR="006C6706">
        <w:t xml:space="preserve">otras </w:t>
      </w:r>
      <w:r>
        <w:t>nuevas.</w:t>
      </w:r>
    </w:p>
    <w:p w14:paraId="64FBC42C" w14:textId="79E5130E" w:rsidR="00F1388E" w:rsidRDefault="00F1388E" w:rsidP="00F1388E">
      <w:pPr>
        <w:pStyle w:val="NormalConSangria"/>
      </w:pPr>
      <w:r>
        <w:t xml:space="preserve">La coherencia estructural entre diferentes partes </w:t>
      </w:r>
      <w:r w:rsidR="00E226E0">
        <w:t>d</w:t>
      </w:r>
      <w:r>
        <w:t xml:space="preserve">el </w:t>
      </w:r>
      <w:r w:rsidR="00E226E0">
        <w:rPr>
          <w:i/>
          <w:iCs/>
        </w:rPr>
        <w:t>Pāḷi</w:t>
      </w:r>
      <w:r>
        <w:t xml:space="preserve"> del presente trabajo </w:t>
      </w:r>
      <w:r w:rsidR="00E226E0">
        <w:t>requiere</w:t>
      </w:r>
      <w:r>
        <w:t xml:space="preserve"> reflejarse en la traducción, especialmente en los últimos diez capítulos, si </w:t>
      </w:r>
      <w:r w:rsidR="00E226E0">
        <w:t xml:space="preserve">no </w:t>
      </w:r>
      <w:r>
        <w:t>se perderá pronto</w:t>
      </w:r>
      <w:r w:rsidR="00F82509" w:rsidRPr="00F82509">
        <w:t xml:space="preserve"> </w:t>
      </w:r>
      <w:r w:rsidR="00F82509">
        <w:t>el hilo</w:t>
      </w:r>
      <w:r>
        <w:t xml:space="preserve">. De hecho, en el </w:t>
      </w:r>
      <w:r w:rsidR="00E226E0">
        <w:rPr>
          <w:i/>
          <w:iCs/>
        </w:rPr>
        <w:t>Pāḷi</w:t>
      </w:r>
      <w:r>
        <w:t xml:space="preserve"> (tanto en el </w:t>
      </w:r>
      <w:r w:rsidR="00DF6534" w:rsidRPr="00DF6534">
        <w:rPr>
          <w:i/>
          <w:iCs/>
        </w:rPr>
        <w:t>Tipiṭaka</w:t>
      </w:r>
      <w:r w:rsidR="00DF6534">
        <w:t xml:space="preserve"> </w:t>
      </w:r>
      <w:r>
        <w:t xml:space="preserve">como en sus comentarios), cuando se manejan tales </w:t>
      </w:r>
      <w:r w:rsidR="00E226E0">
        <w:t>temas</w:t>
      </w:r>
      <w:r>
        <w:t xml:space="preserve">, se </w:t>
      </w:r>
      <w:r w:rsidR="001A4EBE">
        <w:t>encontrará</w:t>
      </w:r>
      <w:r>
        <w:t xml:space="preserve"> que una regla tácita, “Un término y una definición flexible para una idea (o estado o evento o situación) referido", se adhiere bastante a fondo. La razón ya se ha dejado </w:t>
      </w:r>
      <w:r w:rsidR="00AA5A15">
        <w:t xml:space="preserve">en </w:t>
      </w:r>
      <w:r>
        <w:t xml:space="preserve">claro. Sin tal regla, las ideas </w:t>
      </w:r>
      <w:r w:rsidR="00621E41">
        <w:t>podrán</w:t>
      </w:r>
      <w:r>
        <w:t xml:space="preserve"> desintegrarse o unirse o multiplicarse ficticiamente (y, por supuesto, cualquier intento </w:t>
      </w:r>
      <w:r w:rsidR="00B87951">
        <w:t>serio</w:t>
      </w:r>
      <w:r>
        <w:t xml:space="preserve"> de indexación en inglés </w:t>
      </w:r>
      <w:r w:rsidR="00EE075E" w:rsidRPr="00EE075E">
        <w:rPr>
          <w:color w:val="833C0B" w:themeColor="accent2" w:themeShade="80"/>
        </w:rPr>
        <w:t>será inútil</w:t>
      </w:r>
      <w:r>
        <w:t xml:space="preserve">). </w:t>
      </w:r>
    </w:p>
    <w:p w14:paraId="29A1C9DE" w14:textId="77777777" w:rsidR="00F1388E" w:rsidRPr="00CA444D" w:rsidRDefault="00F1388E" w:rsidP="00E959E3">
      <w:pPr>
        <w:pStyle w:val="PiedepginaLegal"/>
        <w:rPr>
          <w:u w:val="single"/>
        </w:rPr>
      </w:pPr>
      <w:r w:rsidRPr="00E959E3">
        <w:rPr>
          <w:u w:val="single"/>
        </w:rPr>
        <w:t xml:space="preserve">                                                                                                </w:t>
      </w:r>
      <w:r w:rsidRPr="00CA444D">
        <w:rPr>
          <w:u w:val="single"/>
        </w:rPr>
        <w:t>.</w:t>
      </w:r>
    </w:p>
    <w:p w14:paraId="144D7D8F" w14:textId="692856C3" w:rsidR="00E959E3" w:rsidRPr="00BC019E" w:rsidRDefault="00F1388E" w:rsidP="00E959E3">
      <w:pPr>
        <w:pStyle w:val="PiedepginaLegal"/>
      </w:pPr>
      <w:r w:rsidRPr="00CA444D">
        <w:t xml:space="preserve">23. </w:t>
      </w:r>
      <w:r w:rsidR="00E959E3" w:rsidRPr="00CA444D">
        <w:tab/>
      </w:r>
      <w:r w:rsidRPr="00BC019E">
        <w:t xml:space="preserve">Ver Prof. I. A. Richards, </w:t>
      </w:r>
      <w:proofErr w:type="spellStart"/>
      <w:r w:rsidR="00BC019E" w:rsidRPr="00BC019E">
        <w:rPr>
          <w:i/>
          <w:iCs/>
        </w:rPr>
        <w:t>Mencio</w:t>
      </w:r>
      <w:proofErr w:type="spellEnd"/>
      <w:r w:rsidR="00BC019E" w:rsidRPr="00BC019E">
        <w:rPr>
          <w:i/>
          <w:iCs/>
        </w:rPr>
        <w:t xml:space="preserve"> sobre la Mente</w:t>
      </w:r>
      <w:r w:rsidR="00BC019E">
        <w:rPr>
          <w:i/>
          <w:iCs/>
        </w:rPr>
        <w:t xml:space="preserve"> </w:t>
      </w:r>
      <w:r w:rsidR="00BC019E" w:rsidRPr="00BC019E">
        <w:t>[</w:t>
      </w:r>
      <w:proofErr w:type="spellStart"/>
      <w:r w:rsidRPr="00BC019E">
        <w:rPr>
          <w:i/>
          <w:iCs/>
        </w:rPr>
        <w:t>Mencius</w:t>
      </w:r>
      <w:proofErr w:type="spellEnd"/>
      <w:r w:rsidRPr="00BC019E">
        <w:rPr>
          <w:i/>
          <w:iCs/>
        </w:rPr>
        <w:t xml:space="preserve"> </w:t>
      </w:r>
      <w:proofErr w:type="spellStart"/>
      <w:r w:rsidRPr="00BC019E">
        <w:rPr>
          <w:i/>
          <w:iCs/>
        </w:rPr>
        <w:t>on</w:t>
      </w:r>
      <w:proofErr w:type="spellEnd"/>
      <w:r w:rsidRPr="00BC019E">
        <w:rPr>
          <w:i/>
          <w:iCs/>
        </w:rPr>
        <w:t xml:space="preserve"> </w:t>
      </w:r>
      <w:proofErr w:type="spellStart"/>
      <w:r w:rsidRPr="00BC019E">
        <w:rPr>
          <w:i/>
          <w:iCs/>
        </w:rPr>
        <w:t>Mind</w:t>
      </w:r>
      <w:proofErr w:type="spellEnd"/>
      <w:r w:rsidR="00BC019E" w:rsidRPr="00BC019E">
        <w:t>]</w:t>
      </w:r>
      <w:r w:rsidRPr="00BC019E">
        <w:t xml:space="preserve">, </w:t>
      </w:r>
      <w:proofErr w:type="spellStart"/>
      <w:r w:rsidRPr="00BC019E">
        <w:t>Kegan</w:t>
      </w:r>
      <w:proofErr w:type="spellEnd"/>
      <w:r w:rsidRPr="00BC019E">
        <w:t xml:space="preserve"> Paul, 1932.</w:t>
      </w:r>
      <w:r w:rsidR="00E959E3" w:rsidRPr="00BC019E">
        <w:br w:type="page"/>
      </w:r>
    </w:p>
    <w:p w14:paraId="64C43312" w14:textId="41317D0F" w:rsidR="00314DE3" w:rsidRPr="00314DE3" w:rsidRDefault="00AA5412" w:rsidP="00314DE3">
      <w:r>
        <w:lastRenderedPageBreak/>
        <w:t xml:space="preserve">Sin embargo, una cosa debe dejarse en claro; </w:t>
      </w:r>
      <w:r w:rsidR="00EB249E">
        <w:t>y es</w:t>
      </w:r>
      <w:r w:rsidR="00562E09">
        <w:t xml:space="preserve"> </w:t>
      </w:r>
      <w:r>
        <w:t xml:space="preserve">que </w:t>
      </w:r>
      <w:r w:rsidR="00562E09">
        <w:t>existirá</w:t>
      </w:r>
      <w:r>
        <w:t xml:space="preserve"> confusión de pensamiento sobre todo este tema (uno hasta ahora solo investiga</w:t>
      </w:r>
      <w:r w:rsidR="00385401">
        <w:t>do</w:t>
      </w:r>
      <w:r>
        <w:t xml:space="preserve"> en parte).</w:t>
      </w:r>
      <w:r w:rsidRPr="00621E41">
        <w:rPr>
          <w:vertAlign w:val="superscript"/>
        </w:rPr>
        <w:t>23</w:t>
      </w:r>
      <w:r>
        <w:t xml:space="preserve"> Esta "regla de parsimonia en variantes" no tiene nada </w:t>
      </w:r>
      <w:r w:rsidR="00314DE3" w:rsidRPr="00314DE3">
        <w:t>que ver con la transliteración mecánica, que s</w:t>
      </w:r>
      <w:r w:rsidR="0068439A">
        <w:t>erá</w:t>
      </w:r>
      <w:r w:rsidR="00314DE3" w:rsidRPr="00314DE3">
        <w:t xml:space="preserve"> un refugio de</w:t>
      </w:r>
      <w:r w:rsidR="0068439A">
        <w:t>l</w:t>
      </w:r>
      <w:r w:rsidR="00314DE3" w:rsidRPr="00314DE3">
        <w:t xml:space="preserve"> traductor cuando no est</w:t>
      </w:r>
      <w:r w:rsidR="00671CC4">
        <w:t>é</w:t>
      </w:r>
      <w:r w:rsidR="00314DE3" w:rsidRPr="00314DE3">
        <w:t xml:space="preserve"> seguro de sí mismo. La regla </w:t>
      </w:r>
      <w:r w:rsidR="0068439A">
        <w:t>directriz</w:t>
      </w:r>
      <w:r w:rsidR="00314DE3" w:rsidRPr="00314DE3">
        <w:t>, "una idea reconocible, una palabra o frase para simbolizarla", en ningún sentido implica</w:t>
      </w:r>
      <w:r w:rsidR="0068439A">
        <w:t>rá</w:t>
      </w:r>
      <w:r w:rsidR="00314DE3" w:rsidRPr="00314DE3">
        <w:t xml:space="preserve"> ninguna regla como "una palabra </w:t>
      </w:r>
      <w:r w:rsidR="0068439A">
        <w:rPr>
          <w:i/>
          <w:iCs/>
        </w:rPr>
        <w:t>Pāḷi</w:t>
      </w:r>
      <w:r w:rsidR="00314DE3" w:rsidRPr="00314DE3">
        <w:t xml:space="preserve">, una palabra inglesa", que no </w:t>
      </w:r>
      <w:r w:rsidR="00671CC4">
        <w:t>será</w:t>
      </w:r>
      <w:r w:rsidR="00314DE3" w:rsidRPr="00314DE3">
        <w:t xml:space="preserve"> ni deseable ni practicable. </w:t>
      </w:r>
      <w:r w:rsidR="008542E1" w:rsidRPr="00314DE3">
        <w:t xml:space="preserve">Al traducir la necesidad de la regla </w:t>
      </w:r>
      <w:r w:rsidR="008542E1">
        <w:t>t</w:t>
      </w:r>
      <w:r w:rsidR="00314DE3" w:rsidRPr="00314DE3">
        <w:t xml:space="preserve">ampoco </w:t>
      </w:r>
      <w:r w:rsidR="00671CC4" w:rsidRPr="00314DE3">
        <w:t>se aplica</w:t>
      </w:r>
      <w:r w:rsidR="00671CC4">
        <w:t>rá</w:t>
      </w:r>
      <w:r w:rsidR="00671CC4" w:rsidRPr="00314DE3">
        <w:t xml:space="preserve"> más allá del alcance </w:t>
      </w:r>
      <w:r w:rsidR="00D36A38">
        <w:t>examinado</w:t>
      </w:r>
      <w:r w:rsidR="00314DE3" w:rsidRPr="00314DE3">
        <w:t>.</w:t>
      </w:r>
    </w:p>
    <w:p w14:paraId="55E82549" w14:textId="6026AD95" w:rsidR="00314DE3" w:rsidRPr="00314DE3" w:rsidRDefault="00D36A38" w:rsidP="000C36B1">
      <w:pPr>
        <w:pStyle w:val="NormalConSangria"/>
      </w:pPr>
      <w:r>
        <w:t xml:space="preserve">Esto será toco </w:t>
      </w:r>
      <w:r w:rsidR="008542E1">
        <w:t>con</w:t>
      </w:r>
      <w:r w:rsidR="00314DE3" w:rsidRPr="00314DE3">
        <w:t xml:space="preserve"> </w:t>
      </w:r>
      <w:r w:rsidR="008542E1">
        <w:t xml:space="preserve">respecto a </w:t>
      </w:r>
      <w:r w:rsidR="00314DE3" w:rsidRPr="00314DE3">
        <w:t>los problemas epistemológicos y psicológicos.</w:t>
      </w:r>
    </w:p>
    <w:p w14:paraId="45EB4300" w14:textId="77016642" w:rsidR="00314DE3" w:rsidRPr="00314DE3" w:rsidRDefault="00314DE3" w:rsidP="00314DE3">
      <w:pPr>
        <w:pStyle w:val="NormalConSangria"/>
      </w:pPr>
      <w:r w:rsidRPr="00314DE3">
        <w:t>El problema lingüístico es apenas menos formidable, aunque mucho mejor reconoci</w:t>
      </w:r>
      <w:r w:rsidR="00DF35CC">
        <w:t>ble</w:t>
      </w:r>
      <w:r w:rsidRPr="00314DE3">
        <w:t xml:space="preserve">. Si bien el inglés es extremadamente analítico, </w:t>
      </w:r>
      <w:r w:rsidR="00EA7FD4">
        <w:t xml:space="preserve">el </w:t>
      </w:r>
      <w:r w:rsidR="00EA7FD4">
        <w:rPr>
          <w:i/>
          <w:iCs/>
        </w:rPr>
        <w:t>Pāḷi</w:t>
      </w:r>
      <w:r w:rsidRPr="00314DE3">
        <w:t xml:space="preserve"> (otro idioma indoeuropeo) es uno de los grupos de lenguas considerados dominados por </w:t>
      </w:r>
      <w:r w:rsidR="00EA7FD4">
        <w:t xml:space="preserve">el </w:t>
      </w:r>
      <w:r w:rsidRPr="00314DE3">
        <w:t>sánscrito, fuertemente aglutinativo, formado</w:t>
      </w:r>
      <w:r w:rsidR="008542E1">
        <w:t>r</w:t>
      </w:r>
      <w:r w:rsidRPr="00314DE3">
        <w:t xml:space="preserve"> </w:t>
      </w:r>
      <w:r w:rsidR="008542E1">
        <w:t xml:space="preserve">de términos </w:t>
      </w:r>
      <w:r w:rsidRPr="00314DE3">
        <w:t xml:space="preserve">compuestos largos y </w:t>
      </w:r>
      <w:r w:rsidR="005F5408">
        <w:t xml:space="preserve">distinguiblemente </w:t>
      </w:r>
      <w:r w:rsidR="00695BF9">
        <w:t>extintos</w:t>
      </w:r>
      <w:r w:rsidRPr="00314DE3">
        <w:t xml:space="preserve">. El vocabulario elegido ocasionó mucha búsqueda </w:t>
      </w:r>
      <w:r w:rsidR="008542E1">
        <w:t xml:space="preserve">agotadora y </w:t>
      </w:r>
      <w:r w:rsidR="00D86209">
        <w:t>ex</w:t>
      </w:r>
      <w:r w:rsidR="00946742">
        <w:t>h</w:t>
      </w:r>
      <w:r w:rsidR="00D86209">
        <w:t>a</w:t>
      </w:r>
      <w:r w:rsidR="00946742">
        <w:t>ustiva</w:t>
      </w:r>
      <w:r w:rsidRPr="00314DE3">
        <w:t xml:space="preserve">, pero </w:t>
      </w:r>
      <w:r w:rsidR="00946742">
        <w:t>continúa</w:t>
      </w:r>
      <w:r w:rsidRPr="00314DE3">
        <w:t xml:space="preserve"> siendo </w:t>
      </w:r>
      <w:r w:rsidR="00946742">
        <w:t xml:space="preserve">bastante </w:t>
      </w:r>
      <w:r w:rsidRPr="00314DE3">
        <w:t>imperfecto. Si algunas de las palabras encontradas parec</w:t>
      </w:r>
      <w:r w:rsidR="00946742">
        <w:t>iera</w:t>
      </w:r>
      <w:r w:rsidRPr="00314DE3">
        <w:t xml:space="preserve">n un poco algebraicas al principio, los contextos y las definiciones deberían aclararlas. En la traducción de un lenguaje oriental, especialmente uno clásico, el traductor debe reconocer que </w:t>
      </w:r>
      <w:r w:rsidR="00E57E99">
        <w:t>el</w:t>
      </w:r>
      <w:r w:rsidRPr="00314DE3">
        <w:t xml:space="preserve"> conocimiento que el lector oriental d</w:t>
      </w:r>
      <w:r w:rsidR="001B42C3">
        <w:t>é</w:t>
      </w:r>
      <w:r w:rsidRPr="00314DE3">
        <w:t xml:space="preserve"> por sentado </w:t>
      </w:r>
      <w:r w:rsidR="00E57E99">
        <w:t>se encuentra ausente</w:t>
      </w:r>
      <w:r w:rsidRPr="00314DE3">
        <w:t xml:space="preserve"> en su homólogo europeo, que tiende a no reconocer los vacíos de su propia </w:t>
      </w:r>
      <w:r w:rsidR="007E5C01">
        <w:t>mente</w:t>
      </w:r>
      <w:r w:rsidRPr="00314DE3">
        <w:t xml:space="preserve"> extranjera: </w:t>
      </w:r>
      <w:r w:rsidR="001B42C3">
        <w:t>e</w:t>
      </w:r>
      <w:r w:rsidRPr="00314DE3">
        <w:t xml:space="preserve">l resultado puede ser como tomar dos fotos en una película. El fondo común no solo se evoca por las palabras sombrías </w:t>
      </w:r>
      <w:r w:rsidR="007E5C01">
        <w:t>e</w:t>
      </w:r>
      <w:r w:rsidRPr="00314DE3">
        <w:t xml:space="preserve"> irregulares, sino que el pensamiento europeo y el pensamiento indio tienden a abordar los problemas de la existencia humana desde </w:t>
      </w:r>
      <w:r w:rsidR="000958C8">
        <w:t xml:space="preserve">perspectivas </w:t>
      </w:r>
      <w:r w:rsidRPr="00314DE3">
        <w:t xml:space="preserve">opuestas. Esto afecta la </w:t>
      </w:r>
      <w:r w:rsidR="007E5C01">
        <w:t>con</w:t>
      </w:r>
      <w:r w:rsidRPr="00314DE3">
        <w:t>formaci</w:t>
      </w:r>
      <w:r w:rsidR="007E5C01">
        <w:t>ó</w:t>
      </w:r>
      <w:r w:rsidRPr="00314DE3">
        <w:t xml:space="preserve">n de </w:t>
      </w:r>
      <w:r w:rsidR="007E5C01">
        <w:t xml:space="preserve">las </w:t>
      </w:r>
      <w:r w:rsidRPr="00314DE3">
        <w:t>palabras. Y así, los significados dobles (</w:t>
      </w:r>
      <w:proofErr w:type="spellStart"/>
      <w:r w:rsidRPr="00314DE3">
        <w:t>utraquismos</w:t>
      </w:r>
      <w:proofErr w:type="spellEnd"/>
      <w:r w:rsidRPr="00314DE3">
        <w:t xml:space="preserve">, juegos de palabras y metáforas) y los vínculos etimológicos a menudo siguen pistas muy diferentes, un hecho que es particularmente intrusivo para describir los eventos mentales, donde los términos empleados son principalmente "materiales" utilizados metafóricamente. Los contextos </w:t>
      </w:r>
      <w:r w:rsidR="00395514">
        <w:t>in</w:t>
      </w:r>
      <w:r w:rsidRPr="00314DE3">
        <w:t>desea</w:t>
      </w:r>
      <w:r w:rsidR="00395514">
        <w:t>bles</w:t>
      </w:r>
      <w:r w:rsidRPr="00314DE3">
        <w:t xml:space="preserve"> se arrastran constantemente y </w:t>
      </w:r>
      <w:r w:rsidR="00470D60">
        <w:t xml:space="preserve">se </w:t>
      </w:r>
      <w:r w:rsidRPr="00314DE3">
        <w:t>quer</w:t>
      </w:r>
      <w:r w:rsidR="00470D60">
        <w:t>rá</w:t>
      </w:r>
      <w:r w:rsidRPr="00314DE3">
        <w:t xml:space="preserve"> que </w:t>
      </w:r>
      <w:r w:rsidR="007E5359">
        <w:t>se ubiquen</w:t>
      </w:r>
      <w:r w:rsidRPr="00314DE3">
        <w:t xml:space="preserve"> fuera. Entonces no ha</w:t>
      </w:r>
      <w:r w:rsidR="00470D60">
        <w:t>brá</w:t>
      </w:r>
      <w:r w:rsidRPr="00314DE3">
        <w:t xml:space="preserve"> técnicas bien definidas para reconocer y manejar </w:t>
      </w:r>
      <w:r w:rsidR="00395514">
        <w:t xml:space="preserve">los </w:t>
      </w:r>
      <w:r w:rsidRPr="00314DE3">
        <w:t xml:space="preserve">modismos, cuya representación literal </w:t>
      </w:r>
      <w:r w:rsidR="00395514">
        <w:t>al respecto</w:t>
      </w:r>
      <w:r w:rsidRPr="00314DE3">
        <w:t xml:space="preserve"> engaña</w:t>
      </w:r>
      <w:r w:rsidR="009D434D">
        <w:t>rá</w:t>
      </w:r>
      <w:r w:rsidRPr="00314DE3">
        <w:t xml:space="preserve">n </w:t>
      </w:r>
      <w:r w:rsidR="00395514">
        <w:t xml:space="preserve">al lector </w:t>
      </w:r>
      <w:r w:rsidRPr="00314DE3">
        <w:t xml:space="preserve">(si bien, por ejemplo, uno no </w:t>
      </w:r>
      <w:r w:rsidR="00ED1918">
        <w:t>podría</w:t>
      </w:r>
      <w:r w:rsidRPr="00314DE3">
        <w:t xml:space="preserve"> preguntarse si el </w:t>
      </w:r>
      <w:r w:rsidRPr="00DF6534">
        <w:rPr>
          <w:i/>
          <w:iCs/>
        </w:rPr>
        <w:t xml:space="preserve">Tour de </w:t>
      </w:r>
      <w:proofErr w:type="spellStart"/>
      <w:r w:rsidRPr="00DF6534">
        <w:rPr>
          <w:i/>
          <w:iCs/>
        </w:rPr>
        <w:t>Force</w:t>
      </w:r>
      <w:proofErr w:type="spellEnd"/>
      <w:r w:rsidRPr="00314DE3">
        <w:t xml:space="preserve"> sea "Tour forzado" o "Torre de Fuerza", no siempre se </w:t>
      </w:r>
      <w:r w:rsidR="00395514">
        <w:t>podr</w:t>
      </w:r>
      <w:r w:rsidR="00615BF9">
        <w:t>ía</w:t>
      </w:r>
      <w:r w:rsidRPr="00314DE3">
        <w:t xml:space="preserve"> </w:t>
      </w:r>
      <w:r w:rsidR="009D434D">
        <w:t>estar</w:t>
      </w:r>
      <w:r w:rsidRPr="00314DE3">
        <w:t xml:space="preserve"> </w:t>
      </w:r>
      <w:r w:rsidR="00DF6534">
        <w:t>t</w:t>
      </w:r>
      <w:r w:rsidRPr="00314DE3">
        <w:t xml:space="preserve">an seguro en </w:t>
      </w:r>
      <w:r w:rsidR="00DF6534">
        <w:rPr>
          <w:i/>
          <w:iCs/>
        </w:rPr>
        <w:t>Pāḷi</w:t>
      </w:r>
      <w:r w:rsidRPr="00314DE3">
        <w:t>).</w:t>
      </w:r>
    </w:p>
    <w:p w14:paraId="6D763CE6" w14:textId="7CF4FAC9" w:rsidR="00314DE3" w:rsidRPr="00314DE3" w:rsidRDefault="00314DE3" w:rsidP="00314DE3">
      <w:pPr>
        <w:pStyle w:val="NormalConSangria"/>
      </w:pPr>
      <w:r w:rsidRPr="00314DE3">
        <w:t xml:space="preserve">Por otra parte, solo en el </w:t>
      </w:r>
      <w:r w:rsidRPr="00DF6534">
        <w:rPr>
          <w:i/>
          <w:iCs/>
        </w:rPr>
        <w:t>Visuddhimagga</w:t>
      </w:r>
      <w:r w:rsidRPr="00314DE3">
        <w:t>, las palabras</w:t>
      </w:r>
      <w:r w:rsidR="00AE0E6A">
        <w:t xml:space="preserve"> reales</w:t>
      </w:r>
      <w:r w:rsidRPr="00314DE3">
        <w:t xml:space="preserve"> y los </w:t>
      </w:r>
      <w:r w:rsidR="00C57502">
        <w:t>significados</w:t>
      </w:r>
      <w:r w:rsidRPr="00314DE3">
        <w:t xml:space="preserve"> de </w:t>
      </w:r>
      <w:r w:rsidR="00C57502">
        <w:t xml:space="preserve">las </w:t>
      </w:r>
      <w:r w:rsidRPr="00314DE3">
        <w:t xml:space="preserve">palabras que no </w:t>
      </w:r>
      <w:r w:rsidR="00AE0E6A">
        <w:t>se encuentr</w:t>
      </w:r>
      <w:r w:rsidR="00B142E1">
        <w:t>a</w:t>
      </w:r>
      <w:r w:rsidR="00AE0E6A">
        <w:t>n</w:t>
      </w:r>
      <w:r w:rsidRPr="00314DE3">
        <w:t xml:space="preserve"> en el PED llegan a más de </w:t>
      </w:r>
      <w:r w:rsidR="00B142E1">
        <w:t>240,</w:t>
      </w:r>
      <w:r w:rsidRPr="00314DE3">
        <w:t xml:space="preserve"> </w:t>
      </w:r>
      <w:r w:rsidR="00B142E1">
        <w:t>e</w:t>
      </w:r>
      <w:r w:rsidRPr="00314DE3">
        <w:t xml:space="preserve">l PED, como dice su prefacio, es "esencialmente preliminar"; </w:t>
      </w:r>
      <w:r w:rsidR="00061F9D">
        <w:t xml:space="preserve">ya </w:t>
      </w:r>
      <w:r w:rsidRPr="00314DE3">
        <w:t xml:space="preserve">que cuando </w:t>
      </w:r>
      <w:r w:rsidR="00061F9D">
        <w:t>fueron</w:t>
      </w:r>
      <w:r w:rsidRPr="00314DE3">
        <w:t xml:space="preserve"> public</w:t>
      </w:r>
      <w:r w:rsidR="00C57502">
        <w:t>a</w:t>
      </w:r>
      <w:r w:rsidR="00061F9D">
        <w:t>dos</w:t>
      </w:r>
      <w:r w:rsidRPr="00314DE3">
        <w:t xml:space="preserve"> muchos libros todavía no se habían recopilado; </w:t>
      </w:r>
      <w:r w:rsidR="00DF6FAC" w:rsidRPr="00314DE3">
        <w:t>deja</w:t>
      </w:r>
      <w:r w:rsidR="00DF6FAC">
        <w:t>n</w:t>
      </w:r>
      <w:r w:rsidR="00DF6FAC" w:rsidRPr="00314DE3">
        <w:t xml:space="preserve"> </w:t>
      </w:r>
      <w:r w:rsidR="00DF6FAC">
        <w:t xml:space="preserve">fuera </w:t>
      </w:r>
      <w:r w:rsidRPr="00314DE3">
        <w:t xml:space="preserve">muchas palabras incluso del </w:t>
      </w:r>
      <w:r w:rsidRPr="00DF6534">
        <w:rPr>
          <w:i/>
          <w:iCs/>
        </w:rPr>
        <w:t xml:space="preserve">Sutta </w:t>
      </w:r>
      <w:proofErr w:type="spellStart"/>
      <w:r w:rsidRPr="00DF6534">
        <w:rPr>
          <w:i/>
          <w:iCs/>
        </w:rPr>
        <w:t>Piṭaka</w:t>
      </w:r>
      <w:proofErr w:type="spellEnd"/>
      <w:r w:rsidRPr="00314DE3">
        <w:t>, y los sub</w:t>
      </w:r>
      <w:r w:rsidR="002F52CC">
        <w:rPr>
          <w:rFonts w:cs="Cormorant"/>
        </w:rPr>
        <w:t>–</w:t>
      </w:r>
      <w:r w:rsidRPr="00314DE3">
        <w:t>comentarios n</w:t>
      </w:r>
      <w:r w:rsidR="002F52CC">
        <w:t>i</w:t>
      </w:r>
      <w:r w:rsidRPr="00314DE3">
        <w:t xml:space="preserve"> se </w:t>
      </w:r>
      <w:r w:rsidR="002F52CC">
        <w:t>abordan</w:t>
      </w:r>
      <w:r w:rsidRPr="00314DE3">
        <w:t xml:space="preserve">. Además, y lo más importante aquí, en la </w:t>
      </w:r>
      <w:r w:rsidR="002F52CC">
        <w:t xml:space="preserve">construcción </w:t>
      </w:r>
      <w:r w:rsidRPr="00314DE3">
        <w:t xml:space="preserve">de </w:t>
      </w:r>
      <w:r w:rsidR="00F6126C">
        <w:t>dicho</w:t>
      </w:r>
      <w:r w:rsidRPr="00314DE3">
        <w:t xml:space="preserve"> diccionario, el estudio de la literatura </w:t>
      </w:r>
      <w:r w:rsidR="00DF6FAC">
        <w:rPr>
          <w:i/>
          <w:iCs/>
        </w:rPr>
        <w:t>Pāḷi</w:t>
      </w:r>
      <w:r w:rsidR="00F6126C">
        <w:rPr>
          <w:i/>
          <w:iCs/>
        </w:rPr>
        <w:t>,</w:t>
      </w:r>
      <w:r w:rsidRPr="00314DE3">
        <w:t xml:space="preserve"> en su mayor parte</w:t>
      </w:r>
      <w:r w:rsidR="00F6126C">
        <w:t>,</w:t>
      </w:r>
      <w:r w:rsidRPr="00314DE3">
        <w:t xml:space="preserve"> no se había abordado </w:t>
      </w:r>
      <w:r w:rsidR="0051261C">
        <w:t>considerablemente</w:t>
      </w:r>
      <w:r w:rsidRPr="00314DE3">
        <w:t xml:space="preserve"> </w:t>
      </w:r>
      <w:r w:rsidR="005F034D">
        <w:t>y</w:t>
      </w:r>
      <w:r w:rsidR="00F6126C">
        <w:t>,</w:t>
      </w:r>
      <w:r w:rsidR="005F034D">
        <w:t xml:space="preserve"> </w:t>
      </w:r>
      <w:r w:rsidRPr="00314DE3">
        <w:t>se dirá, l</w:t>
      </w:r>
      <w:r w:rsidR="00F81711">
        <w:t>o</w:t>
      </w:r>
      <w:r w:rsidRPr="00314DE3">
        <w:t xml:space="preserve"> filosófico o</w:t>
      </w:r>
      <w:r w:rsidR="00F96E01">
        <w:t xml:space="preserve">, </w:t>
      </w:r>
      <w:r w:rsidRPr="00314DE3">
        <w:t>mejor</w:t>
      </w:r>
      <w:r w:rsidR="00F96E01">
        <w:t xml:space="preserve"> dicho</w:t>
      </w:r>
      <w:r w:rsidRPr="00314DE3">
        <w:t>, el ángulo epistemológico, l</w:t>
      </w:r>
      <w:r w:rsidR="006D6205">
        <w:t>os</w:t>
      </w:r>
      <w:r w:rsidRPr="00314DE3">
        <w:t xml:space="preserve"> trabajo</w:t>
      </w:r>
      <w:r w:rsidR="006D6205">
        <w:t>s</w:t>
      </w:r>
      <w:r w:rsidRPr="00314DE3">
        <w:t>,</w:t>
      </w:r>
      <w:r w:rsidRPr="00F81711">
        <w:rPr>
          <w:vertAlign w:val="superscript"/>
        </w:rPr>
        <w:t>24</w:t>
      </w:r>
      <w:r w:rsidRPr="00314DE3">
        <w:t xml:space="preserve"> y el interés se ha</w:t>
      </w:r>
      <w:r w:rsidR="007825F3">
        <w:t>bía</w:t>
      </w:r>
      <w:r w:rsidR="00EA74D2">
        <w:t>n</w:t>
      </w:r>
      <w:r w:rsidRPr="00314DE3">
        <w:t xml:space="preserve"> concentrado </w:t>
      </w:r>
      <w:r w:rsidR="00F81711">
        <w:t>h</w:t>
      </w:r>
      <w:r w:rsidRPr="00314DE3">
        <w:t>asta entonces, casi exclusivamente</w:t>
      </w:r>
      <w:r w:rsidR="00F109F7">
        <w:t>,</w:t>
      </w:r>
      <w:r w:rsidRPr="00314DE3">
        <w:t xml:space="preserve"> en </w:t>
      </w:r>
      <w:r w:rsidR="00EA74D2">
        <w:t xml:space="preserve">la </w:t>
      </w:r>
      <w:r w:rsidRPr="00314DE3">
        <w:t xml:space="preserve">historia y </w:t>
      </w:r>
      <w:r w:rsidR="00EA74D2">
        <w:t xml:space="preserve">la </w:t>
      </w:r>
      <w:r w:rsidRPr="00314DE3">
        <w:t xml:space="preserve">filología. Por ejemplo, </w:t>
      </w:r>
      <w:r w:rsidR="00CD4097">
        <w:t xml:space="preserve">a </w:t>
      </w:r>
      <w:r w:rsidRPr="00314DE3">
        <w:t>la palabra epistemológicamente sin importancia</w:t>
      </w:r>
      <w:r w:rsidR="00CD4097">
        <w:t>,</w:t>
      </w:r>
      <w:r w:rsidRPr="00314DE3">
        <w:t xml:space="preserve"> </w:t>
      </w:r>
      <w:proofErr w:type="spellStart"/>
      <w:r w:rsidRPr="00DF6534">
        <w:rPr>
          <w:i/>
          <w:iCs/>
        </w:rPr>
        <w:t>vimāna</w:t>
      </w:r>
      <w:proofErr w:type="spellEnd"/>
      <w:r w:rsidRPr="00314DE3">
        <w:t xml:space="preserve"> (mansión divina) se le </w:t>
      </w:r>
      <w:r w:rsidR="00CD4097">
        <w:t xml:space="preserve">asigna </w:t>
      </w:r>
      <w:r w:rsidRPr="00314DE3">
        <w:t xml:space="preserve">más del doble del espacio asignado al término </w:t>
      </w:r>
      <w:proofErr w:type="spellStart"/>
      <w:r w:rsidRPr="00DF6534">
        <w:rPr>
          <w:i/>
          <w:iCs/>
        </w:rPr>
        <w:t>paṭiccasamuppāda</w:t>
      </w:r>
      <w:proofErr w:type="spellEnd"/>
      <w:r w:rsidRPr="00314DE3">
        <w:t xml:space="preserve"> (orig</w:t>
      </w:r>
      <w:r w:rsidR="00EA74D2">
        <w:t>i</w:t>
      </w:r>
      <w:r w:rsidRPr="00314DE3">
        <w:t>n</w:t>
      </w:r>
      <w:r w:rsidR="00EA74D2">
        <w:t>ación</w:t>
      </w:r>
      <w:r w:rsidRPr="00314DE3">
        <w:t xml:space="preserve"> dependiente), un tema difícil </w:t>
      </w:r>
      <w:r w:rsidR="00EA74D2">
        <w:t xml:space="preserve">y </w:t>
      </w:r>
      <w:r w:rsidRPr="00314DE3">
        <w:t xml:space="preserve">de importancia central, </w:t>
      </w:r>
      <w:r w:rsidR="005E4CB7">
        <w:t xml:space="preserve">el </w:t>
      </w:r>
      <w:r w:rsidRPr="00314DE3">
        <w:t xml:space="preserve">artículo </w:t>
      </w:r>
      <w:r w:rsidR="005E4CB7">
        <w:t xml:space="preserve">al respecto </w:t>
      </w:r>
      <w:r w:rsidRPr="00314DE3">
        <w:t xml:space="preserve">es completamente inadecuado </w:t>
      </w:r>
      <w:r w:rsidR="00991A73">
        <w:t>y engaños</w:t>
      </w:r>
      <w:r w:rsidR="005E4CB7">
        <w:t>o</w:t>
      </w:r>
      <w:r w:rsidRPr="00314DE3">
        <w:t xml:space="preserve"> (debido</w:t>
      </w:r>
      <w:r w:rsidR="00CD4097">
        <w:t>,</w:t>
      </w:r>
      <w:r w:rsidRPr="00314DE3">
        <w:t xml:space="preserve"> </w:t>
      </w:r>
      <w:r w:rsidR="006A708B">
        <w:t>en</w:t>
      </w:r>
      <w:r w:rsidRPr="00314DE3">
        <w:t xml:space="preserve"> parte</w:t>
      </w:r>
      <w:r w:rsidR="00CD4097">
        <w:t>,</w:t>
      </w:r>
      <w:r w:rsidRPr="00314DE3">
        <w:t xml:space="preserve"> a la aplicación errónea del "método histórico"). </w:t>
      </w:r>
      <w:r w:rsidR="008348C2" w:rsidRPr="00314DE3">
        <w:t xml:space="preserve">Luego, </w:t>
      </w:r>
      <w:r w:rsidR="008348C2" w:rsidRPr="006A708B">
        <w:rPr>
          <w:i/>
          <w:iCs/>
        </w:rPr>
        <w:t>gala</w:t>
      </w:r>
      <w:r w:rsidR="008348C2" w:rsidRPr="00314DE3">
        <w:t xml:space="preserve"> (garganta) se ha encontrado más interesante que </w:t>
      </w:r>
      <w:proofErr w:type="spellStart"/>
      <w:r w:rsidR="008348C2" w:rsidRPr="00DF6534">
        <w:rPr>
          <w:i/>
          <w:iCs/>
        </w:rPr>
        <w:t>Paṭisandhi</w:t>
      </w:r>
      <w:proofErr w:type="spellEnd"/>
      <w:r w:rsidR="008348C2" w:rsidRPr="00314DE3">
        <w:t xml:space="preserve"> (</w:t>
      </w:r>
      <w:r w:rsidR="008348C2">
        <w:t>nexo del</w:t>
      </w:r>
      <w:r w:rsidR="008348C2" w:rsidRPr="00314DE3">
        <w:t xml:space="preserve"> renacimiento), </w:t>
      </w:r>
      <w:r w:rsidR="008348C2">
        <w:t>palabra cuyo</w:t>
      </w:r>
      <w:r w:rsidR="008348C2" w:rsidRPr="00314DE3">
        <w:t xml:space="preserve"> uso original se ignora en </w:t>
      </w:r>
      <w:r w:rsidR="00D064D2">
        <w:t xml:space="preserve">el </w:t>
      </w:r>
      <w:r w:rsidR="008348C2" w:rsidRPr="00314DE3">
        <w:t>M III 230.</w:t>
      </w:r>
    </w:p>
    <w:p w14:paraId="6C0B44F4" w14:textId="77777777" w:rsidR="00314DE3" w:rsidRPr="000C36B1" w:rsidRDefault="00314DE3" w:rsidP="00314DE3">
      <w:pPr>
        <w:pStyle w:val="PiedepginaLegal"/>
        <w:rPr>
          <w:u w:val="single"/>
        </w:rPr>
      </w:pPr>
      <w:r w:rsidRPr="000C36B1">
        <w:rPr>
          <w:u w:val="single"/>
        </w:rPr>
        <w:t xml:space="preserve">                                                                                                .</w:t>
      </w:r>
    </w:p>
    <w:p w14:paraId="0A577176" w14:textId="440D62ED" w:rsidR="000C36B1" w:rsidRDefault="00314DE3" w:rsidP="000C36B1">
      <w:pPr>
        <w:pStyle w:val="PiedepginaLegal"/>
      </w:pPr>
      <w:r w:rsidRPr="00314DE3">
        <w:t xml:space="preserve">24. </w:t>
      </w:r>
      <w:r w:rsidR="000C36B1">
        <w:tab/>
      </w:r>
      <w:r w:rsidRPr="00314DE3">
        <w:t xml:space="preserve">Las excepciones son ciertas obras tempranas de la Sra. C.A.F. </w:t>
      </w:r>
      <w:proofErr w:type="spellStart"/>
      <w:r w:rsidRPr="00314DE3">
        <w:t>Rhys</w:t>
      </w:r>
      <w:proofErr w:type="spellEnd"/>
      <w:r w:rsidRPr="00314DE3">
        <w:t xml:space="preserve"> Davids. Véase también las discusiones en los apéndices de las traducciones del </w:t>
      </w:r>
      <w:proofErr w:type="spellStart"/>
      <w:r w:rsidRPr="00DF6534">
        <w:rPr>
          <w:i/>
          <w:iCs/>
        </w:rPr>
        <w:t>Kathāvatthu</w:t>
      </w:r>
      <w:proofErr w:type="spellEnd"/>
      <w:r w:rsidRPr="00314DE3">
        <w:t xml:space="preserve"> (puntos de controversia, PTS) y el </w:t>
      </w:r>
      <w:proofErr w:type="spellStart"/>
      <w:r w:rsidR="006A708B" w:rsidRPr="00DF6534">
        <w:rPr>
          <w:i/>
          <w:iCs/>
        </w:rPr>
        <w:t>Abhi</w:t>
      </w:r>
      <w:r w:rsidR="006A708B" w:rsidRPr="00057BF4">
        <w:rPr>
          <w:i/>
          <w:iCs/>
        </w:rPr>
        <w:t>dhamma</w:t>
      </w:r>
      <w:r w:rsidR="006A708B" w:rsidRPr="00DF6534">
        <w:rPr>
          <w:i/>
          <w:iCs/>
        </w:rPr>
        <w:t>tthasaṅgaha</w:t>
      </w:r>
      <w:proofErr w:type="spellEnd"/>
      <w:r w:rsidR="006A708B" w:rsidRPr="00314DE3">
        <w:t xml:space="preserve"> </w:t>
      </w:r>
      <w:r w:rsidRPr="00314DE3">
        <w:t>(Compendio de Filosofía</w:t>
      </w:r>
      <w:r w:rsidR="00BC019E">
        <w:t xml:space="preserve"> [</w:t>
      </w:r>
      <w:proofErr w:type="spellStart"/>
      <w:r w:rsidR="00BC019E" w:rsidRPr="00BC019E">
        <w:rPr>
          <w:i/>
          <w:iCs/>
        </w:rPr>
        <w:t>Compendium</w:t>
      </w:r>
      <w:proofErr w:type="spellEnd"/>
      <w:r w:rsidR="00BC019E" w:rsidRPr="00BC019E">
        <w:rPr>
          <w:i/>
          <w:iCs/>
        </w:rPr>
        <w:t xml:space="preserve"> of </w:t>
      </w:r>
      <w:proofErr w:type="spellStart"/>
      <w:r w:rsidR="00BC019E" w:rsidRPr="00BC019E">
        <w:rPr>
          <w:i/>
          <w:iCs/>
        </w:rPr>
        <w:t>Philosophy</w:t>
      </w:r>
      <w:proofErr w:type="spellEnd"/>
      <w:r w:rsidR="00BC019E">
        <w:t>]</w:t>
      </w:r>
      <w:r w:rsidRPr="00314DE3">
        <w:t>, PTS).</w:t>
      </w:r>
      <w:r w:rsidR="000C36B1">
        <w:br w:type="page"/>
      </w:r>
    </w:p>
    <w:p w14:paraId="5CF2C673" w14:textId="5F29AAE5" w:rsidR="004E22E4" w:rsidRPr="004E22E4" w:rsidRDefault="00B57502" w:rsidP="004E22E4">
      <w:r>
        <w:lastRenderedPageBreak/>
        <w:t xml:space="preserve">En relación </w:t>
      </w:r>
      <w:r w:rsidR="001B262F">
        <w:t>con</w:t>
      </w:r>
      <w:r>
        <w:t xml:space="preserve"> </w:t>
      </w:r>
      <w:proofErr w:type="spellStart"/>
      <w:r w:rsidRPr="00057BF4">
        <w:rPr>
          <w:i/>
          <w:iCs/>
        </w:rPr>
        <w:t>nāma</w:t>
      </w:r>
      <w:proofErr w:type="spellEnd"/>
      <w:r w:rsidR="00AA5412" w:rsidRPr="00314DE3">
        <w:t xml:space="preserve">, también, </w:t>
      </w:r>
      <w:proofErr w:type="spellStart"/>
      <w:r w:rsidRPr="00057BF4">
        <w:rPr>
          <w:i/>
          <w:iCs/>
        </w:rPr>
        <w:t>nāma</w:t>
      </w:r>
      <w:proofErr w:type="spellEnd"/>
      <w:r w:rsidR="00C54CC0">
        <w:rPr>
          <w:rFonts w:cs="Cormorant"/>
          <w:i/>
          <w:iCs/>
        </w:rPr>
        <w:t>–</w:t>
      </w:r>
      <w:r w:rsidRPr="00057BF4">
        <w:rPr>
          <w:i/>
          <w:iCs/>
        </w:rPr>
        <w:t>rūpa</w:t>
      </w:r>
      <w:r w:rsidRPr="00314DE3">
        <w:t xml:space="preserve"> </w:t>
      </w:r>
      <w:r w:rsidR="003F4980">
        <w:t xml:space="preserve">se confunde </w:t>
      </w:r>
      <w:r w:rsidR="00AA5412" w:rsidRPr="00314DE3">
        <w:t xml:space="preserve">con </w:t>
      </w:r>
      <w:proofErr w:type="spellStart"/>
      <w:r w:rsidRPr="00057BF4">
        <w:rPr>
          <w:i/>
          <w:iCs/>
        </w:rPr>
        <w:t>nāma</w:t>
      </w:r>
      <w:r w:rsidRPr="00DF6534">
        <w:rPr>
          <w:i/>
          <w:iCs/>
        </w:rPr>
        <w:t>kāya</w:t>
      </w:r>
      <w:proofErr w:type="spellEnd"/>
      <w:r w:rsidR="00AA5412" w:rsidRPr="00314DE3">
        <w:t xml:space="preserve">. Y </w:t>
      </w:r>
      <w:r>
        <w:t>así</w:t>
      </w:r>
      <w:r w:rsidR="00C54CC0">
        <w:t>,</w:t>
      </w:r>
      <w:r w:rsidR="00AA5412" w:rsidRPr="00314DE3">
        <w:t xml:space="preserve"> uno podría continuar. </w:t>
      </w:r>
      <w:r w:rsidR="00C91AB9">
        <w:t>Debido a esto</w:t>
      </w:r>
      <w:r w:rsidR="00AA5412" w:rsidRPr="00314DE3">
        <w:t xml:space="preserve">, sin embargo, </w:t>
      </w:r>
      <w:r w:rsidR="00C91AB9">
        <w:t xml:space="preserve">uno </w:t>
      </w:r>
      <w:r w:rsidR="00AA5412" w:rsidRPr="00314DE3">
        <w:t xml:space="preserve">no </w:t>
      </w:r>
      <w:r w:rsidR="00C91AB9">
        <w:t xml:space="preserve">desestimará el uso de </w:t>
      </w:r>
      <w:r w:rsidR="004E22E4" w:rsidRPr="004E22E4">
        <w:t>es</w:t>
      </w:r>
      <w:r w:rsidR="00F77D46">
        <w:t>t</w:t>
      </w:r>
      <w:r w:rsidR="004E22E4" w:rsidRPr="004E22E4">
        <w:t xml:space="preserve">e gran diccionario, pero solo </w:t>
      </w:r>
      <w:r w:rsidR="0078244F">
        <w:t xml:space="preserve">teniendo en cuenta </w:t>
      </w:r>
      <w:r w:rsidR="006D6418" w:rsidRPr="004E22E4">
        <w:t>que,</w:t>
      </w:r>
      <w:r w:rsidR="004E22E4" w:rsidRPr="004E22E4">
        <w:t xml:space="preserve"> al usarlo, el estudiante de </w:t>
      </w:r>
      <w:r w:rsidR="0078244F">
        <w:rPr>
          <w:i/>
          <w:iCs/>
        </w:rPr>
        <w:t>Pāḷi</w:t>
      </w:r>
      <w:r w:rsidR="004E22E4" w:rsidRPr="004E22E4">
        <w:t xml:space="preserve"> a veces debe</w:t>
      </w:r>
      <w:r w:rsidR="0078244F">
        <w:t>rá</w:t>
      </w:r>
      <w:r w:rsidR="004E22E4" w:rsidRPr="004E22E4">
        <w:t xml:space="preserve"> ser cauteloso: si </w:t>
      </w:r>
      <w:r w:rsidR="000D1CC0">
        <w:t>é</w:t>
      </w:r>
      <w:r w:rsidR="0078244F">
        <w:t>ste es</w:t>
      </w:r>
      <w:r w:rsidR="004E22E4" w:rsidRPr="004E22E4">
        <w:t xml:space="preserve"> critica</w:t>
      </w:r>
      <w:r w:rsidR="0078244F">
        <w:t>do</w:t>
      </w:r>
      <w:r w:rsidR="004E22E4" w:rsidRPr="004E22E4">
        <w:t xml:space="preserve"> particular</w:t>
      </w:r>
      <w:r w:rsidR="00C54CC0">
        <w:t>mente</w:t>
      </w:r>
      <w:r w:rsidR="004E22E4" w:rsidRPr="004E22E4">
        <w:t xml:space="preserve"> aquí (y bien </w:t>
      </w:r>
      <w:r w:rsidR="0053605A">
        <w:t>podría</w:t>
      </w:r>
      <w:r w:rsidR="004E22E4" w:rsidRPr="004E22E4">
        <w:t xml:space="preserve"> mantenerse </w:t>
      </w:r>
      <w:r w:rsidR="0053605A">
        <w:t xml:space="preserve">por sí mismo </w:t>
      </w:r>
      <w:r w:rsidR="004E22E4" w:rsidRPr="004E22E4">
        <w:t xml:space="preserve">en contra de las críticas), el tributo también debe pagarse a sus propio </w:t>
      </w:r>
      <w:r w:rsidR="0078244F">
        <w:t xml:space="preserve">e </w:t>
      </w:r>
      <w:r w:rsidR="004E22E4" w:rsidRPr="004E22E4">
        <w:t xml:space="preserve">inestimable valor </w:t>
      </w:r>
      <w:r w:rsidR="0078244F">
        <w:t xml:space="preserve">en </w:t>
      </w:r>
      <w:r w:rsidR="004E22E4" w:rsidRPr="004E22E4">
        <w:t>general.</w:t>
      </w:r>
    </w:p>
    <w:p w14:paraId="68B406E9" w14:textId="3B52E671" w:rsidR="004E22E4" w:rsidRPr="004E22E4" w:rsidRDefault="004E22E4" w:rsidP="004E22E4">
      <w:pPr>
        <w:pStyle w:val="Ttulo3"/>
        <w:ind w:left="708"/>
      </w:pPr>
      <w:r w:rsidRPr="004E22E4">
        <w:t>Observaciones Finales</w:t>
      </w:r>
    </w:p>
    <w:p w14:paraId="5D7A1061" w14:textId="43E0261A" w:rsidR="004E22E4" w:rsidRPr="004E22E4" w:rsidRDefault="00554790" w:rsidP="004E22E4">
      <w:r>
        <w:t>A</w:t>
      </w:r>
      <w:r w:rsidR="004E22E4" w:rsidRPr="004E22E4">
        <w:t xml:space="preserve">l </w:t>
      </w:r>
      <w:r w:rsidR="004E22E4" w:rsidRPr="000D1CC0">
        <w:rPr>
          <w:i/>
          <w:iCs/>
        </w:rPr>
        <w:t>inglés</w:t>
      </w:r>
      <w:r w:rsidR="004E22E4" w:rsidRPr="004E22E4">
        <w:t xml:space="preserve"> estándar actual</w:t>
      </w:r>
      <w:r w:rsidR="007B14AD">
        <w:t>,</w:t>
      </w:r>
      <w:r w:rsidR="004E22E4" w:rsidRPr="004E22E4">
        <w:t xml:space="preserve"> </w:t>
      </w:r>
      <w:r w:rsidR="001133D5">
        <w:t xml:space="preserve">tanto </w:t>
      </w:r>
      <w:r w:rsidR="008D406E">
        <w:t>en su</w:t>
      </w:r>
      <w:r w:rsidR="00435BD8">
        <w:t xml:space="preserve"> orientación </w:t>
      </w:r>
      <w:r w:rsidR="008D406E">
        <w:t xml:space="preserve">como </w:t>
      </w:r>
      <w:r w:rsidR="000172B2">
        <w:t>en</w:t>
      </w:r>
      <w:r w:rsidR="00435BD8">
        <w:t xml:space="preserve"> </w:t>
      </w:r>
      <w:r>
        <w:t>su</w:t>
      </w:r>
      <w:r w:rsidR="008D406E">
        <w:t>s</w:t>
      </w:r>
      <w:r w:rsidR="004E22E4" w:rsidRPr="004E22E4">
        <w:t xml:space="preserve"> preferencia</w:t>
      </w:r>
      <w:r w:rsidR="008D406E">
        <w:t>s</w:t>
      </w:r>
      <w:r w:rsidR="007B14AD">
        <w:t xml:space="preserve">, </w:t>
      </w:r>
      <w:r w:rsidR="004E22E4" w:rsidRPr="004E22E4">
        <w:t xml:space="preserve">siempre </w:t>
      </w:r>
      <w:r w:rsidR="00435BD8">
        <w:t xml:space="preserve">se la ha </w:t>
      </w:r>
      <w:r w:rsidR="000172B2">
        <w:t>asociado con</w:t>
      </w:r>
      <w:r w:rsidR="004E22E4" w:rsidRPr="004E22E4">
        <w:t xml:space="preserve"> la simplicidad. Esto</w:t>
      </w:r>
      <w:r w:rsidR="007B14AD">
        <w:t>,</w:t>
      </w:r>
      <w:r w:rsidR="004E22E4" w:rsidRPr="004E22E4">
        <w:t xml:space="preserve"> a menudo</w:t>
      </w:r>
      <w:r w:rsidR="007B14AD">
        <w:t>,</w:t>
      </w:r>
      <w:r w:rsidR="004E22E4" w:rsidRPr="004E22E4">
        <w:t xml:space="preserve"> ha requerido </w:t>
      </w:r>
      <w:r w:rsidR="00D8439C">
        <w:t>frecuentemente re</w:t>
      </w:r>
      <w:r w:rsidR="004E22E4" w:rsidRPr="004E22E4">
        <w:t xml:space="preserve">cortar </w:t>
      </w:r>
      <w:r w:rsidR="005136EA">
        <w:t>la</w:t>
      </w:r>
      <w:r w:rsidR="007B14AD">
        <w:t>s</w:t>
      </w:r>
      <w:r w:rsidR="005136EA">
        <w:t xml:space="preserve"> </w:t>
      </w:r>
      <w:r w:rsidR="004E22E4" w:rsidRPr="004E22E4">
        <w:t xml:space="preserve">oraciones largas, omitiendo </w:t>
      </w:r>
      <w:r w:rsidR="00F21497">
        <w:t>términos</w:t>
      </w:r>
      <w:r w:rsidR="004E22E4" w:rsidRPr="004E22E4">
        <w:t xml:space="preserve"> de conexión (como </w:t>
      </w:r>
      <w:r w:rsidR="00DF6534" w:rsidRPr="00DF6534">
        <w:rPr>
          <w:i/>
          <w:iCs/>
        </w:rPr>
        <w:t>pana</w:t>
      </w:r>
      <w:r w:rsidR="004E22E4" w:rsidRPr="00DF6534">
        <w:rPr>
          <w:i/>
          <w:iCs/>
        </w:rPr>
        <w:t xml:space="preserve">, </w:t>
      </w:r>
      <w:proofErr w:type="spellStart"/>
      <w:r w:rsidR="00DF6534" w:rsidRPr="00DF6534">
        <w:rPr>
          <w:i/>
          <w:iCs/>
        </w:rPr>
        <w:t>pan’ettha</w:t>
      </w:r>
      <w:proofErr w:type="spellEnd"/>
      <w:r w:rsidR="004E22E4" w:rsidRPr="00DF6534">
        <w:rPr>
          <w:i/>
          <w:iCs/>
        </w:rPr>
        <w:t xml:space="preserve">, </w:t>
      </w:r>
      <w:proofErr w:type="spellStart"/>
      <w:r w:rsidR="00DF6534" w:rsidRPr="00DF6534">
        <w:rPr>
          <w:i/>
          <w:iCs/>
        </w:rPr>
        <w:t>yasmā</w:t>
      </w:r>
      <w:proofErr w:type="spellEnd"/>
      <w:r w:rsidR="00DF6534" w:rsidRPr="004E22E4">
        <w:t xml:space="preserve"> </w:t>
      </w:r>
      <w:r w:rsidR="004E22E4" w:rsidRPr="004E22E4">
        <w:t xml:space="preserve">cuando le </w:t>
      </w:r>
      <w:r w:rsidR="00DF7EAC">
        <w:t>son seguidas por</w:t>
      </w:r>
      <w:r w:rsidR="004E22E4" w:rsidRPr="004E22E4">
        <w:t xml:space="preserve"> </w:t>
      </w:r>
      <w:proofErr w:type="spellStart"/>
      <w:r w:rsidR="00DF6534" w:rsidRPr="00DF6534">
        <w:rPr>
          <w:i/>
          <w:iCs/>
        </w:rPr>
        <w:t>tasmā</w:t>
      </w:r>
      <w:proofErr w:type="spellEnd"/>
      <w:r w:rsidR="004E22E4" w:rsidRPr="004E22E4">
        <w:t xml:space="preserve">, </w:t>
      </w:r>
      <w:r w:rsidR="00DF6534" w:rsidRPr="00DF6534">
        <w:rPr>
          <w:i/>
          <w:iCs/>
        </w:rPr>
        <w:t>hi</w:t>
      </w:r>
      <w:r w:rsidR="004E22E4" w:rsidRPr="004E22E4">
        <w:t xml:space="preserve">, </w:t>
      </w:r>
      <w:proofErr w:type="spellStart"/>
      <w:r w:rsidR="00DF6534" w:rsidRPr="00DF6534">
        <w:rPr>
          <w:i/>
          <w:iCs/>
        </w:rPr>
        <w:t>kho</w:t>
      </w:r>
      <w:proofErr w:type="spellEnd"/>
      <w:r w:rsidR="004E22E4" w:rsidRPr="004E22E4">
        <w:t xml:space="preserve">, etc.), que sirven simplemente como </w:t>
      </w:r>
      <w:r w:rsidR="00236FCF">
        <w:t>como lubricantes</w:t>
      </w:r>
      <w:r w:rsidR="004E22E4" w:rsidRPr="004E22E4">
        <w:t xml:space="preserve"> gramaticales en </w:t>
      </w:r>
      <w:r w:rsidR="00236FCF">
        <w:t xml:space="preserve">las </w:t>
      </w:r>
      <w:r w:rsidR="004E22E4" w:rsidRPr="004E22E4">
        <w:t xml:space="preserve">largas cadenas de períodos subordinados. Por el contrario, el autor a veces es extraordinariamente </w:t>
      </w:r>
      <w:r w:rsidR="004E5861" w:rsidRPr="004E22E4">
        <w:t>implícito</w:t>
      </w:r>
      <w:r w:rsidR="004E22E4" w:rsidRPr="004E22E4">
        <w:t xml:space="preserve"> (como en </w:t>
      </w:r>
      <w:r w:rsidR="006A5E87" w:rsidRPr="004E22E4">
        <w:t>XIV</w:t>
      </w:r>
      <w:r w:rsidR="004E22E4" w:rsidRPr="004E22E4">
        <w:t xml:space="preserve">.46 y </w:t>
      </w:r>
      <w:r w:rsidR="006A5E87" w:rsidRPr="004E22E4">
        <w:t>XVI</w:t>
      </w:r>
      <w:r w:rsidR="004E22E4" w:rsidRPr="004E22E4">
        <w:t xml:space="preserve">.68f.), </w:t>
      </w:r>
      <w:r w:rsidR="00E634BD">
        <w:t>así que</w:t>
      </w:r>
      <w:r w:rsidR="004E22E4" w:rsidRPr="004E22E4">
        <w:t xml:space="preserve"> el dispositivo de los </w:t>
      </w:r>
      <w:r w:rsidR="004E2C47">
        <w:t>corchetes</w:t>
      </w:r>
      <w:r w:rsidR="004E22E4" w:rsidRPr="004E22E4">
        <w:t xml:space="preserve"> se ha utilizado para agregar </w:t>
      </w:r>
      <w:r w:rsidR="00C0162E">
        <w:t>un</w:t>
      </w:r>
      <w:r w:rsidR="002D33A4">
        <w:t>a</w:t>
      </w:r>
      <w:r w:rsidR="00C0162E">
        <w:t xml:space="preserve"> </w:t>
      </w:r>
      <w:r w:rsidR="003E5E43">
        <w:t>importancia</w:t>
      </w:r>
      <w:r w:rsidR="004E22E4" w:rsidRPr="004E22E4">
        <w:t xml:space="preserve"> suplementari</w:t>
      </w:r>
      <w:r w:rsidR="003E5E43">
        <w:t>a</w:t>
      </w:r>
      <w:r w:rsidR="004E22E4" w:rsidRPr="004E22E4">
        <w:t>, sin l</w:t>
      </w:r>
      <w:r w:rsidR="003E5E43">
        <w:t>a</w:t>
      </w:r>
      <w:r w:rsidR="004E22E4" w:rsidRPr="004E22E4">
        <w:t xml:space="preserve"> cual la oración sería demasiado </w:t>
      </w:r>
      <w:r w:rsidR="00B03ABB">
        <w:t xml:space="preserve">y </w:t>
      </w:r>
      <w:r w:rsidR="004E22E4" w:rsidRPr="004E22E4">
        <w:t>enigmáticamente</w:t>
      </w:r>
      <w:r w:rsidR="00B03ABB" w:rsidRPr="00B03ABB">
        <w:t xml:space="preserve"> </w:t>
      </w:r>
      <w:r w:rsidR="00B03ABB" w:rsidRPr="004E22E4">
        <w:t>abreviada</w:t>
      </w:r>
      <w:r w:rsidR="004E22E4" w:rsidRPr="004E22E4">
        <w:t xml:space="preserve">. Dichas adiciones (mantenidas al mínimo) están en casi todos los casos </w:t>
      </w:r>
      <w:r w:rsidR="00B03ABB">
        <w:t>extraídos</w:t>
      </w:r>
      <w:r w:rsidR="004E22E4" w:rsidRPr="004E22E4">
        <w:t xml:space="preserve"> de otras partes del trabajo en sí o del </w:t>
      </w:r>
      <w:proofErr w:type="spellStart"/>
      <w:r w:rsidR="00B03ABB" w:rsidRPr="00DF6534">
        <w:rPr>
          <w:i/>
          <w:iCs/>
        </w:rPr>
        <w:t>Paramatthamañjūsā</w:t>
      </w:r>
      <w:proofErr w:type="spellEnd"/>
      <w:r w:rsidR="004E22E4" w:rsidRPr="004E22E4">
        <w:t xml:space="preserve">. Los </w:t>
      </w:r>
      <w:r w:rsidR="00B03ABB">
        <w:t>paréntesis</w:t>
      </w:r>
      <w:r w:rsidR="004E22E4" w:rsidRPr="004E22E4">
        <w:t xml:space="preserve"> se han reservado para referencias y para representaciones alternativas (como, por ejemplo, en I.140), donde exist</w:t>
      </w:r>
      <w:r w:rsidR="001668D2">
        <w:t>a</w:t>
      </w:r>
      <w:r w:rsidR="004E22E4" w:rsidRPr="004E22E4">
        <w:t xml:space="preserve"> un sentido demasiado </w:t>
      </w:r>
      <w:r w:rsidR="00B03ABB">
        <w:t>amplio</w:t>
      </w:r>
      <w:r w:rsidR="004E22E4" w:rsidRPr="004E22E4">
        <w:t xml:space="preserve"> </w:t>
      </w:r>
      <w:r w:rsidR="00AF7F6E">
        <w:t xml:space="preserve">como </w:t>
      </w:r>
      <w:r w:rsidR="004E22E4" w:rsidRPr="004E22E4">
        <w:t xml:space="preserve">para que cualquier palabra inglesa apropiada </w:t>
      </w:r>
      <w:r w:rsidR="00654691">
        <w:t>la represente</w:t>
      </w:r>
      <w:r w:rsidR="004E22E4" w:rsidRPr="004E22E4">
        <w:t>.</w:t>
      </w:r>
    </w:p>
    <w:p w14:paraId="2ED33D1E" w14:textId="4A7FEC6F" w:rsidR="004E22E4" w:rsidRPr="004E22E4" w:rsidRDefault="004E22E4" w:rsidP="004E22E4">
      <w:pPr>
        <w:pStyle w:val="NormalConSangria"/>
      </w:pPr>
      <w:r w:rsidRPr="004E22E4">
        <w:t xml:space="preserve">Se han dejado algunas palabras no traducidas (ver notas individuales). La elección es necesariamente arbitraria. Incluye </w:t>
      </w:r>
      <w:proofErr w:type="spellStart"/>
      <w:r w:rsidR="00057BF4" w:rsidRPr="00057BF4">
        <w:rPr>
          <w:i/>
          <w:iCs/>
        </w:rPr>
        <w:t>kamma</w:t>
      </w:r>
      <w:proofErr w:type="spellEnd"/>
      <w:r w:rsidR="00DF6534" w:rsidRPr="00DF6534">
        <w:rPr>
          <w:i/>
          <w:iCs/>
        </w:rPr>
        <w:t xml:space="preserve">, </w:t>
      </w:r>
      <w:r w:rsidR="009D4DB6" w:rsidRPr="00057BF4">
        <w:rPr>
          <w:i/>
          <w:iCs/>
        </w:rPr>
        <w:t>dhamma</w:t>
      </w:r>
      <w:r w:rsidR="009D4DB6" w:rsidRPr="004E22E4">
        <w:t xml:space="preserve"> </w:t>
      </w:r>
      <w:r w:rsidRPr="004E22E4">
        <w:t xml:space="preserve">(a veces), </w:t>
      </w:r>
      <w:proofErr w:type="spellStart"/>
      <w:r w:rsidR="00057BF4" w:rsidRPr="00057BF4">
        <w:rPr>
          <w:i/>
          <w:iCs/>
        </w:rPr>
        <w:t>jhāna</w:t>
      </w:r>
      <w:proofErr w:type="spellEnd"/>
      <w:r w:rsidRPr="004E22E4">
        <w:t xml:space="preserve">, </w:t>
      </w:r>
      <w:r w:rsidR="00057BF4" w:rsidRPr="00057BF4">
        <w:rPr>
          <w:i/>
        </w:rPr>
        <w:t>Buddha</w:t>
      </w:r>
      <w:r w:rsidRPr="004E22E4">
        <w:t xml:space="preserve"> (a veces), </w:t>
      </w:r>
      <w:proofErr w:type="spellStart"/>
      <w:r w:rsidR="00057BF4" w:rsidRPr="00057BF4">
        <w:rPr>
          <w:i/>
          <w:iCs/>
        </w:rPr>
        <w:t>bhikkhu</w:t>
      </w:r>
      <w:proofErr w:type="spellEnd"/>
      <w:r w:rsidRPr="004E22E4">
        <w:t xml:space="preserve">, </w:t>
      </w:r>
      <w:r w:rsidRPr="00DF6534">
        <w:rPr>
          <w:i/>
          <w:iCs/>
        </w:rPr>
        <w:t>Nibbāna</w:t>
      </w:r>
      <w:r w:rsidRPr="004E22E4">
        <w:t xml:space="preserve">, </w:t>
      </w:r>
      <w:proofErr w:type="spellStart"/>
      <w:r w:rsidR="00DF6534" w:rsidRPr="00DF6534">
        <w:rPr>
          <w:i/>
          <w:iCs/>
        </w:rPr>
        <w:t>Pātimokkha</w:t>
      </w:r>
      <w:proofErr w:type="spellEnd"/>
      <w:r w:rsidR="00DF6534" w:rsidRPr="00DF6534">
        <w:rPr>
          <w:i/>
          <w:iCs/>
        </w:rPr>
        <w:t xml:space="preserve">, </w:t>
      </w:r>
      <w:proofErr w:type="spellStart"/>
      <w:r w:rsidR="00057BF4" w:rsidRPr="00057BF4">
        <w:rPr>
          <w:i/>
          <w:iCs/>
        </w:rPr>
        <w:t>kasiṇa</w:t>
      </w:r>
      <w:proofErr w:type="spellEnd"/>
      <w:r w:rsidR="00DF6534" w:rsidRPr="00DF6534">
        <w:rPr>
          <w:i/>
          <w:iCs/>
        </w:rPr>
        <w:t xml:space="preserve">, </w:t>
      </w:r>
      <w:proofErr w:type="spellStart"/>
      <w:r w:rsidR="00DF6534" w:rsidRPr="00DF6534">
        <w:rPr>
          <w:i/>
          <w:iCs/>
        </w:rPr>
        <w:t>Piṭaka</w:t>
      </w:r>
      <w:proofErr w:type="spellEnd"/>
      <w:r w:rsidR="00DF6534" w:rsidRPr="00DF6534">
        <w:rPr>
          <w:i/>
          <w:iCs/>
        </w:rPr>
        <w:t xml:space="preserve"> y </w:t>
      </w:r>
      <w:r w:rsidR="00057BF4" w:rsidRPr="00057BF4">
        <w:rPr>
          <w:i/>
          <w:iCs/>
        </w:rPr>
        <w:t>arahant</w:t>
      </w:r>
      <w:r w:rsidRPr="004E22E4">
        <w:t xml:space="preserve">. No parecía ninguna ventaja </w:t>
      </w:r>
      <w:r w:rsidR="009D4DB6">
        <w:t>sino</w:t>
      </w:r>
      <w:r w:rsidRPr="004E22E4">
        <w:t xml:space="preserve"> mucha desventaja </w:t>
      </w:r>
      <w:r w:rsidR="009D4DB6">
        <w:t>utilizar</w:t>
      </w:r>
      <w:r w:rsidR="00573B2F">
        <w:t xml:space="preserve"> </w:t>
      </w:r>
      <w:r w:rsidRPr="004E22E4">
        <w:t xml:space="preserve">las formas sánscritas, </w:t>
      </w:r>
      <w:proofErr w:type="spellStart"/>
      <w:r w:rsidR="00DF6534" w:rsidRPr="00DF6534">
        <w:rPr>
          <w:i/>
          <w:iCs/>
        </w:rPr>
        <w:t>bhikṣu</w:t>
      </w:r>
      <w:proofErr w:type="spellEnd"/>
      <w:r w:rsidR="00DF6534" w:rsidRPr="004E22E4">
        <w:t xml:space="preserve">, </w:t>
      </w:r>
      <w:r w:rsidR="00DF6534" w:rsidRPr="00DF6534">
        <w:rPr>
          <w:i/>
          <w:iCs/>
        </w:rPr>
        <w:t>dharma</w:t>
      </w:r>
      <w:r w:rsidR="00DF6534" w:rsidRPr="004E22E4">
        <w:t xml:space="preserve">, </w:t>
      </w:r>
      <w:proofErr w:type="spellStart"/>
      <w:r w:rsidR="00DF6534" w:rsidRPr="00DF6534">
        <w:rPr>
          <w:i/>
          <w:iCs/>
        </w:rPr>
        <w:t>dhyāna</w:t>
      </w:r>
      <w:proofErr w:type="spellEnd"/>
      <w:r w:rsidR="00DF6534" w:rsidRPr="004E22E4">
        <w:t xml:space="preserve">, </w:t>
      </w:r>
      <w:proofErr w:type="spellStart"/>
      <w:r w:rsidR="00DF6534" w:rsidRPr="00DF6534">
        <w:rPr>
          <w:i/>
          <w:iCs/>
        </w:rPr>
        <w:t>arhat</w:t>
      </w:r>
      <w:proofErr w:type="spellEnd"/>
      <w:r w:rsidRPr="004E22E4">
        <w:t xml:space="preserve">, etc., como a veces se </w:t>
      </w:r>
      <w:r w:rsidR="009D4DB6">
        <w:t xml:space="preserve">suele </w:t>
      </w:r>
      <w:r w:rsidRPr="004E22E4">
        <w:t>hace</w:t>
      </w:r>
      <w:r w:rsidR="009D4DB6">
        <w:t>r</w:t>
      </w:r>
      <w:r w:rsidRPr="004E22E4">
        <w:t xml:space="preserve"> (aunque "</w:t>
      </w:r>
      <w:r w:rsidR="00DF6534" w:rsidRPr="00DF6534">
        <w:rPr>
          <w:i/>
          <w:iCs/>
        </w:rPr>
        <w:t>karma</w:t>
      </w:r>
      <w:r w:rsidRPr="004E22E4">
        <w:t>" y "</w:t>
      </w:r>
      <w:r w:rsidR="00DF6534" w:rsidRPr="00DF6534">
        <w:rPr>
          <w:i/>
          <w:iCs/>
        </w:rPr>
        <w:t>nirvana</w:t>
      </w:r>
      <w:r w:rsidRPr="004E22E4">
        <w:t xml:space="preserve">" </w:t>
      </w:r>
      <w:r w:rsidR="009D4DB6">
        <w:t>se encuentren</w:t>
      </w:r>
      <w:r w:rsidRPr="004E22E4">
        <w:t xml:space="preserve"> en el </w:t>
      </w:r>
      <w:r w:rsidR="003A2396" w:rsidRPr="003A2396">
        <w:rPr>
          <w:i/>
          <w:iCs/>
        </w:rPr>
        <w:t xml:space="preserve">Conciso </w:t>
      </w:r>
      <w:r w:rsidRPr="003A2396">
        <w:rPr>
          <w:i/>
          <w:iCs/>
        </w:rPr>
        <w:t>Diccionario de Oxford</w:t>
      </w:r>
      <w:r w:rsidR="00A85B3C">
        <w:rPr>
          <w:i/>
          <w:iCs/>
        </w:rPr>
        <w:t xml:space="preserve"> </w:t>
      </w:r>
      <w:r w:rsidR="00A85B3C" w:rsidRPr="00A85B3C">
        <w:t>[</w:t>
      </w:r>
      <w:r w:rsidR="00A85B3C" w:rsidRPr="00A85B3C">
        <w:rPr>
          <w:i/>
          <w:iCs/>
        </w:rPr>
        <w:t xml:space="preserve">Concise Oxford </w:t>
      </w:r>
      <w:proofErr w:type="spellStart"/>
      <w:r w:rsidR="00A85B3C" w:rsidRPr="00A85B3C">
        <w:rPr>
          <w:i/>
          <w:iCs/>
        </w:rPr>
        <w:t>Dictionary</w:t>
      </w:r>
      <w:proofErr w:type="spellEnd"/>
      <w:r w:rsidR="00A85B3C" w:rsidRPr="00A85B3C">
        <w:t>]</w:t>
      </w:r>
      <w:r w:rsidRPr="004E22E4">
        <w:t xml:space="preserve">), y no </w:t>
      </w:r>
      <w:r w:rsidR="009D4DB6">
        <w:t>existe alg</w:t>
      </w:r>
      <w:r w:rsidR="00573B2F">
        <w:t>ú</w:t>
      </w:r>
      <w:r w:rsidR="009D4DB6">
        <w:t>n</w:t>
      </w:r>
      <w:r w:rsidRPr="004E22E4">
        <w:t xml:space="preserve"> </w:t>
      </w:r>
      <w:r w:rsidR="009D4DB6" w:rsidRPr="004E22E4">
        <w:t>contra</w:t>
      </w:r>
      <w:r w:rsidR="00573B2F">
        <w:t xml:space="preserve"> argumento </w:t>
      </w:r>
      <w:r w:rsidR="003A2396">
        <w:t xml:space="preserve">para absorber </w:t>
      </w:r>
      <w:r w:rsidRPr="004E22E4">
        <w:t xml:space="preserve">las palabras </w:t>
      </w:r>
      <w:r w:rsidR="003A2396">
        <w:rPr>
          <w:i/>
          <w:iCs/>
        </w:rPr>
        <w:t>Pāḷi</w:t>
      </w:r>
      <w:r w:rsidRPr="004E22E4">
        <w:t xml:space="preserve"> </w:t>
      </w:r>
      <w:r w:rsidR="00A85B3C">
        <w:t>al</w:t>
      </w:r>
      <w:r w:rsidRPr="004E22E4">
        <w:t xml:space="preserve"> inglés </w:t>
      </w:r>
      <w:r w:rsidR="00F16AE7">
        <w:t xml:space="preserve">y dejarlas </w:t>
      </w:r>
      <w:r w:rsidRPr="004E22E4">
        <w:t>tal como están</w:t>
      </w:r>
      <w:r w:rsidR="0040326C">
        <w:t>,</w:t>
      </w:r>
      <w:r w:rsidRPr="004E22E4">
        <w:t xml:space="preserve"> dejando </w:t>
      </w:r>
      <w:r w:rsidR="00F16AE7">
        <w:t>que</w:t>
      </w:r>
      <w:r w:rsidRPr="004E22E4">
        <w:t xml:space="preserve"> las marcas diacríticas</w:t>
      </w:r>
      <w:r w:rsidR="00F16AE7">
        <w:t xml:space="preserve"> jueguen su papel</w:t>
      </w:r>
      <w:r w:rsidRPr="004E22E4">
        <w:t xml:space="preserve">. Los nombres propios aparecen en su ortografía </w:t>
      </w:r>
      <w:r w:rsidR="005C3E9D">
        <w:rPr>
          <w:i/>
          <w:iCs/>
        </w:rPr>
        <w:t>Pāḷi</w:t>
      </w:r>
      <w:r w:rsidRPr="004E22E4">
        <w:t xml:space="preserve"> sin cursiva y con marcas diacríticas. Donde sea que aparezcan palabras o nombres </w:t>
      </w:r>
      <w:r w:rsidR="005C3E9D">
        <w:rPr>
          <w:i/>
          <w:iCs/>
        </w:rPr>
        <w:t>Pāḷi</w:t>
      </w:r>
      <w:r w:rsidRPr="004E22E4">
        <w:t xml:space="preserve">, se ha utilizado la forma </w:t>
      </w:r>
      <w:r w:rsidR="008969A7">
        <w:t>radical</w:t>
      </w:r>
      <w:r w:rsidRPr="004E22E4">
        <w:t xml:space="preserve"> (</w:t>
      </w:r>
      <w:r w:rsidR="007B01FB">
        <w:t>como,</w:t>
      </w:r>
      <w:r w:rsidR="008969A7">
        <w:t xml:space="preserve"> </w:t>
      </w:r>
      <w:r w:rsidRPr="004E22E4">
        <w:t xml:space="preserve">por ejemplo, </w:t>
      </w:r>
      <w:r w:rsidR="00057BF4" w:rsidRPr="00057BF4">
        <w:rPr>
          <w:i/>
        </w:rPr>
        <w:t>Buddha</w:t>
      </w:r>
      <w:r w:rsidRPr="004E22E4">
        <w:t xml:space="preserve">, </w:t>
      </w:r>
      <w:proofErr w:type="spellStart"/>
      <w:r w:rsidR="00181300" w:rsidRPr="00057BF4">
        <w:rPr>
          <w:i/>
          <w:iCs/>
        </w:rPr>
        <w:t>kamma</w:t>
      </w:r>
      <w:proofErr w:type="spellEnd"/>
      <w:r w:rsidRPr="004E22E4">
        <w:t>) en lugar del nominativo inflexi</w:t>
      </w:r>
      <w:r w:rsidR="008969A7">
        <w:t>vo</w:t>
      </w:r>
      <w:r w:rsidRPr="004E22E4">
        <w:t xml:space="preserve"> (</w:t>
      </w:r>
      <w:proofErr w:type="spellStart"/>
      <w:r w:rsidR="00057BF4" w:rsidRPr="00057BF4">
        <w:rPr>
          <w:i/>
          <w:iCs/>
        </w:rPr>
        <w:t>Buddh</w:t>
      </w:r>
      <w:r w:rsidR="004D2085">
        <w:rPr>
          <w:i/>
          <w:iCs/>
        </w:rPr>
        <w:t>o</w:t>
      </w:r>
      <w:proofErr w:type="spellEnd"/>
      <w:r w:rsidRPr="004E22E4">
        <w:t xml:space="preserve">, </w:t>
      </w:r>
      <w:proofErr w:type="spellStart"/>
      <w:r w:rsidR="00057BF4" w:rsidRPr="00057BF4">
        <w:rPr>
          <w:i/>
          <w:iCs/>
        </w:rPr>
        <w:t>kamma</w:t>
      </w:r>
      <w:r w:rsidR="00DF6534" w:rsidRPr="00DF6534">
        <w:rPr>
          <w:i/>
          <w:iCs/>
        </w:rPr>
        <w:t>ṃ</w:t>
      </w:r>
      <w:proofErr w:type="spellEnd"/>
      <w:r w:rsidRPr="004E22E4">
        <w:t xml:space="preserve">), a menos que </w:t>
      </w:r>
      <w:r w:rsidR="007B01FB">
        <w:t>se presentasen</w:t>
      </w:r>
      <w:r w:rsidRPr="004E22E4">
        <w:t xml:space="preserve"> razones </w:t>
      </w:r>
      <w:r w:rsidR="007B01FB">
        <w:t>para no hacerlo</w:t>
      </w:r>
      <w:r w:rsidRPr="004E22E4">
        <w:t>.</w:t>
      </w:r>
      <w:r w:rsidRPr="00DF6534">
        <w:rPr>
          <w:vertAlign w:val="superscript"/>
        </w:rPr>
        <w:t>25</w:t>
      </w:r>
    </w:p>
    <w:p w14:paraId="3F24D8ED" w14:textId="032F90B7" w:rsidR="004E22E4" w:rsidRPr="00DF6534" w:rsidRDefault="004E22E4" w:rsidP="004E22E4">
      <w:pPr>
        <w:pStyle w:val="NormalConSangria"/>
        <w:rPr>
          <w:vertAlign w:val="superscript"/>
        </w:rPr>
      </w:pPr>
      <w:r w:rsidRPr="004E22E4">
        <w:t xml:space="preserve">Las </w:t>
      </w:r>
      <w:r w:rsidR="00996C45">
        <w:t>representaciones</w:t>
      </w:r>
      <w:r w:rsidRPr="004E22E4">
        <w:t xml:space="preserve"> aceptadas no se han apartado de los traductores </w:t>
      </w:r>
      <w:r w:rsidR="00D43672">
        <w:t xml:space="preserve">no tradicionales </w:t>
      </w:r>
      <w:r w:rsidR="00B73435">
        <w:t>yendo en contra de ello</w:t>
      </w:r>
      <w:r w:rsidR="00996C45">
        <w:t>,</w:t>
      </w:r>
      <w:r w:rsidRPr="004E22E4">
        <w:t xml:space="preserve"> caprichosamente. Parec</w:t>
      </w:r>
      <w:r w:rsidR="00B73435">
        <w:t>ier</w:t>
      </w:r>
      <w:r w:rsidRPr="004E22E4">
        <w:t xml:space="preserve">a aconsejable tratar ciertas palabras cargadas </w:t>
      </w:r>
      <w:r w:rsidR="00B73435">
        <w:t>emotivamente</w:t>
      </w:r>
      <w:r w:rsidRPr="004E22E4">
        <w:t xml:space="preserve"> como</w:t>
      </w:r>
      <w:r w:rsidR="00B93897">
        <w:t>,</w:t>
      </w:r>
      <w:r w:rsidRPr="004E22E4">
        <w:t xml:space="preserve"> </w:t>
      </w:r>
      <w:r w:rsidR="00B93897">
        <w:t xml:space="preserve">por ejemplo, </w:t>
      </w:r>
      <w:r w:rsidRPr="004E22E4">
        <w:t>"real" (especialmente con un</w:t>
      </w:r>
      <w:r w:rsidR="00B93897">
        <w:t>a</w:t>
      </w:r>
      <w:r w:rsidRPr="004E22E4">
        <w:t xml:space="preserve"> R</w:t>
      </w:r>
      <w:r w:rsidR="00B93897">
        <w:t xml:space="preserve"> may</w:t>
      </w:r>
      <w:r w:rsidR="0015335A">
        <w:t>ú</w:t>
      </w:r>
      <w:r w:rsidR="00B93897">
        <w:t>scula</w:t>
      </w:r>
      <w:r w:rsidRPr="004E22E4">
        <w:t xml:space="preserve">) con precaución. </w:t>
      </w:r>
      <w:r w:rsidR="0015335A">
        <w:t>En c</w:t>
      </w:r>
      <w:r w:rsidRPr="004E22E4">
        <w:t xml:space="preserve">iertas otras palabras se han evitado por completo. Por ejemplo, </w:t>
      </w:r>
      <w:proofErr w:type="spellStart"/>
      <w:r w:rsidR="0015335A" w:rsidRPr="00DF6534">
        <w:rPr>
          <w:i/>
          <w:iCs/>
        </w:rPr>
        <w:t>vassa</w:t>
      </w:r>
      <w:proofErr w:type="spellEnd"/>
      <w:r w:rsidR="0015335A" w:rsidRPr="004E22E4">
        <w:t xml:space="preserve"> </w:t>
      </w:r>
      <w:r w:rsidRPr="004E22E4">
        <w:t xml:space="preserve">("lluvias") significa un período de residencia de tres meses en un lugar durante la temporada de lluvias, ordenado a </w:t>
      </w:r>
      <w:r w:rsidR="0015335A">
        <w:t xml:space="preserve">los </w:t>
      </w:r>
      <w:proofErr w:type="spellStart"/>
      <w:r w:rsidR="00057BF4" w:rsidRPr="00057BF4">
        <w:rPr>
          <w:i/>
          <w:iCs/>
        </w:rPr>
        <w:t>bhikkhu</w:t>
      </w:r>
      <w:r w:rsidRPr="00DF6534">
        <w:rPr>
          <w:i/>
          <w:iCs/>
        </w:rPr>
        <w:t>s</w:t>
      </w:r>
      <w:proofErr w:type="spellEnd"/>
      <w:r w:rsidRPr="004E22E4">
        <w:t xml:space="preserve"> por el </w:t>
      </w:r>
      <w:r w:rsidR="00057BF4" w:rsidRPr="00057BF4">
        <w:rPr>
          <w:i/>
        </w:rPr>
        <w:t>Buddha</w:t>
      </w:r>
      <w:r w:rsidRPr="004E22E4">
        <w:t xml:space="preserve"> para que no viajen sobre los cultivos </w:t>
      </w:r>
      <w:r w:rsidR="008801F3" w:rsidRPr="004E22E4">
        <w:t>pisotea</w:t>
      </w:r>
      <w:r w:rsidR="0082726C">
        <w:t>dos</w:t>
      </w:r>
      <w:r w:rsidR="008801F3" w:rsidRPr="004E22E4">
        <w:t xml:space="preserve"> </w:t>
      </w:r>
      <w:r w:rsidRPr="004E22E4">
        <w:t>y así molest</w:t>
      </w:r>
      <w:r w:rsidR="000669BF">
        <w:t>en</w:t>
      </w:r>
      <w:r w:rsidRPr="004E22E4">
        <w:t xml:space="preserve"> a los </w:t>
      </w:r>
    </w:p>
    <w:p w14:paraId="03A2D63E" w14:textId="732EC421" w:rsidR="004E22E4" w:rsidRPr="004E22E4" w:rsidRDefault="004E22E4" w:rsidP="004E22E4">
      <w:pPr>
        <w:pStyle w:val="PiedepginaLegal"/>
        <w:rPr>
          <w:u w:val="single"/>
        </w:rPr>
      </w:pPr>
      <w:r w:rsidRPr="004E22E4">
        <w:rPr>
          <w:u w:val="single"/>
        </w:rPr>
        <w:t xml:space="preserve">                                                                                                                                                      .</w:t>
      </w:r>
    </w:p>
    <w:p w14:paraId="1901A958" w14:textId="7DD81463" w:rsidR="004E22E4" w:rsidRPr="004E22E4" w:rsidRDefault="004E22E4" w:rsidP="004E22E4">
      <w:pPr>
        <w:pStyle w:val="PiedepginaLegal"/>
      </w:pPr>
      <w:r w:rsidRPr="004E22E4">
        <w:t xml:space="preserve">25. </w:t>
      </w:r>
      <w:r>
        <w:tab/>
      </w:r>
      <w:r w:rsidR="007B01FB" w:rsidRPr="004E22E4">
        <w:t xml:space="preserve">Pronuncie </w:t>
      </w:r>
      <w:r w:rsidRPr="004E22E4">
        <w:t>las letras de la siguiente manera</w:t>
      </w:r>
      <w:r w:rsidR="00BC019E">
        <w:t xml:space="preserve"> [</w:t>
      </w:r>
      <w:r w:rsidR="00BC019E">
        <w:rPr>
          <w:lang w:val="es-MX"/>
        </w:rPr>
        <w:t xml:space="preserve">se mantendrá la fonética sugerida en </w:t>
      </w:r>
      <w:r w:rsidR="00BC019E" w:rsidRPr="00BC019E">
        <w:rPr>
          <w:i/>
          <w:iCs/>
          <w:lang w:val="es-MX"/>
        </w:rPr>
        <w:t>inglés</w:t>
      </w:r>
      <w:r w:rsidR="00BC019E">
        <w:t>]</w:t>
      </w:r>
      <w:r w:rsidRPr="004E22E4">
        <w:t xml:space="preserve">: </w:t>
      </w:r>
      <w:r w:rsidRPr="00DF6534">
        <w:rPr>
          <w:i/>
          <w:iCs/>
        </w:rPr>
        <w:t>a</w:t>
      </w:r>
      <w:r w:rsidRPr="004E22E4">
        <w:t xml:space="preserve"> como en el </w:t>
      </w:r>
      <w:proofErr w:type="spellStart"/>
      <w:r w:rsidR="00BC019E">
        <w:rPr>
          <w:i/>
          <w:iCs/>
        </w:rPr>
        <w:t>contryman</w:t>
      </w:r>
      <w:proofErr w:type="spellEnd"/>
      <w:r w:rsidRPr="004E22E4">
        <w:t xml:space="preserve">, </w:t>
      </w:r>
      <w:r w:rsidR="00DF6534" w:rsidRPr="00DF6534">
        <w:rPr>
          <w:i/>
        </w:rPr>
        <w:t>ā</w:t>
      </w:r>
      <w:r w:rsidRPr="004E22E4">
        <w:t xml:space="preserve"> </w:t>
      </w:r>
      <w:r w:rsidR="00BC019E">
        <w:t xml:space="preserve">como en </w:t>
      </w:r>
      <w:proofErr w:type="spellStart"/>
      <w:r w:rsidR="00BC019E">
        <w:rPr>
          <w:i/>
          <w:iCs/>
        </w:rPr>
        <w:t>father</w:t>
      </w:r>
      <w:proofErr w:type="spellEnd"/>
      <w:r w:rsidRPr="004E22E4">
        <w:t xml:space="preserve">, </w:t>
      </w:r>
      <w:r w:rsidR="00DF6534" w:rsidRPr="00DF6534">
        <w:rPr>
          <w:i/>
          <w:iCs/>
        </w:rPr>
        <w:t>e</w:t>
      </w:r>
      <w:r w:rsidR="00DF6534">
        <w:t xml:space="preserve"> </w:t>
      </w:r>
      <w:r w:rsidR="00BC019E">
        <w:t xml:space="preserve">como en </w:t>
      </w:r>
      <w:proofErr w:type="spellStart"/>
      <w:r w:rsidR="00BC019E" w:rsidRPr="00BC019E">
        <w:rPr>
          <w:i/>
          <w:iCs/>
        </w:rPr>
        <w:t>whey</w:t>
      </w:r>
      <w:proofErr w:type="spellEnd"/>
      <w:r w:rsidRPr="004E22E4">
        <w:t xml:space="preserve">, </w:t>
      </w:r>
      <w:r w:rsidR="00DF6534">
        <w:rPr>
          <w:i/>
          <w:iCs/>
        </w:rPr>
        <w:t xml:space="preserve">i </w:t>
      </w:r>
      <w:r w:rsidR="00BC019E">
        <w:t xml:space="preserve">como en </w:t>
      </w:r>
      <w:r w:rsidRPr="00BC019E">
        <w:rPr>
          <w:i/>
          <w:iCs/>
        </w:rPr>
        <w:t>chin</w:t>
      </w:r>
      <w:r w:rsidRPr="004E22E4">
        <w:t xml:space="preserve">, </w:t>
      </w:r>
      <w:r w:rsidR="00DF6534" w:rsidRPr="00DF6534">
        <w:rPr>
          <w:i/>
          <w:iCs/>
        </w:rPr>
        <w:t>ī</w:t>
      </w:r>
      <w:r w:rsidR="00DF6534" w:rsidRPr="004E22E4">
        <w:t xml:space="preserve"> </w:t>
      </w:r>
      <w:r w:rsidR="00BC019E">
        <w:t xml:space="preserve">como en </w:t>
      </w:r>
      <w:r w:rsidR="00BC019E">
        <w:rPr>
          <w:i/>
          <w:iCs/>
        </w:rPr>
        <w:t>machine</w:t>
      </w:r>
      <w:r w:rsidRPr="004E22E4">
        <w:t>,</w:t>
      </w:r>
      <w:r w:rsidRPr="00DF6534">
        <w:rPr>
          <w:i/>
          <w:iCs/>
        </w:rPr>
        <w:t xml:space="preserve"> u</w:t>
      </w:r>
      <w:r w:rsidRPr="004E22E4">
        <w:t xml:space="preserve"> </w:t>
      </w:r>
      <w:r w:rsidR="00BC019E">
        <w:t xml:space="preserve">como en </w:t>
      </w:r>
      <w:r w:rsidR="00BC019E">
        <w:rPr>
          <w:i/>
          <w:iCs/>
        </w:rPr>
        <w:t>full</w:t>
      </w:r>
      <w:r w:rsidRPr="004E22E4">
        <w:t xml:space="preserve">, </w:t>
      </w:r>
      <w:r w:rsidR="00DF6534" w:rsidRPr="00DF6534">
        <w:rPr>
          <w:i/>
          <w:iCs/>
        </w:rPr>
        <w:t>ū</w:t>
      </w:r>
      <w:r w:rsidRPr="004E22E4">
        <w:t xml:space="preserve"> </w:t>
      </w:r>
      <w:r w:rsidR="00BC019E">
        <w:t xml:space="preserve">como en </w:t>
      </w:r>
      <w:r w:rsidR="00BC019E">
        <w:rPr>
          <w:i/>
          <w:iCs/>
        </w:rPr>
        <w:t>rule</w:t>
      </w:r>
      <w:r w:rsidRPr="004E22E4">
        <w:t xml:space="preserve">; </w:t>
      </w:r>
      <w:r w:rsidR="00BC019E" w:rsidRPr="00BC019E">
        <w:rPr>
          <w:i/>
          <w:iCs/>
        </w:rPr>
        <w:t>c</w:t>
      </w:r>
      <w:r w:rsidRPr="004E22E4">
        <w:t xml:space="preserve"> </w:t>
      </w:r>
      <w:r w:rsidR="00BC019E">
        <w:t xml:space="preserve">como en </w:t>
      </w:r>
      <w:proofErr w:type="spellStart"/>
      <w:r w:rsidR="00BC019E">
        <w:rPr>
          <w:i/>
          <w:iCs/>
        </w:rPr>
        <w:t>church</w:t>
      </w:r>
      <w:proofErr w:type="spellEnd"/>
      <w:r w:rsidR="00BC019E">
        <w:rPr>
          <w:i/>
          <w:iCs/>
        </w:rPr>
        <w:t xml:space="preserve"> </w:t>
      </w:r>
      <w:r w:rsidRPr="004E22E4">
        <w:t xml:space="preserve">(siempre), </w:t>
      </w:r>
      <w:r w:rsidR="00DF6534" w:rsidRPr="00DF6534">
        <w:rPr>
          <w:i/>
          <w:iCs/>
        </w:rPr>
        <w:t>g</w:t>
      </w:r>
      <w:r w:rsidRPr="004E22E4">
        <w:t xml:space="preserve"> </w:t>
      </w:r>
      <w:r w:rsidR="00BC019E">
        <w:t xml:space="preserve">como en </w:t>
      </w:r>
      <w:r w:rsidR="00BC019E" w:rsidRPr="00BC019E">
        <w:rPr>
          <w:i/>
          <w:iCs/>
        </w:rPr>
        <w:t>g</w:t>
      </w:r>
      <w:r w:rsidRPr="00BC019E">
        <w:rPr>
          <w:i/>
          <w:iCs/>
        </w:rPr>
        <w:t>ive</w:t>
      </w:r>
      <w:r w:rsidRPr="004E22E4">
        <w:t xml:space="preserve"> (siempre); </w:t>
      </w:r>
      <w:r w:rsidR="00DF6534" w:rsidRPr="00DF6534">
        <w:rPr>
          <w:i/>
          <w:iCs/>
        </w:rPr>
        <w:t>h</w:t>
      </w:r>
      <w:r w:rsidRPr="004E22E4">
        <w:t xml:space="preserve"> siempre </w:t>
      </w:r>
      <w:r w:rsidR="00BC019E">
        <w:t xml:space="preserve">suena </w:t>
      </w:r>
      <w:r w:rsidRPr="004E22E4">
        <w:t xml:space="preserve">por separado, </w:t>
      </w:r>
      <w:r w:rsidR="00BC019E">
        <w:t xml:space="preserve">como </w:t>
      </w:r>
      <w:proofErr w:type="spellStart"/>
      <w:r w:rsidR="00BC019E" w:rsidRPr="00BC019E">
        <w:rPr>
          <w:i/>
          <w:iCs/>
        </w:rPr>
        <w:t>bh</w:t>
      </w:r>
      <w:proofErr w:type="spellEnd"/>
      <w:r w:rsidR="00BC019E">
        <w:t xml:space="preserve"> en </w:t>
      </w:r>
      <w:proofErr w:type="spellStart"/>
      <w:r w:rsidR="00BC019E">
        <w:rPr>
          <w:i/>
          <w:iCs/>
        </w:rPr>
        <w:t>cab-horse</w:t>
      </w:r>
      <w:proofErr w:type="spellEnd"/>
      <w:r w:rsidRPr="004E22E4">
        <w:t xml:space="preserve">, </w:t>
      </w:r>
      <w:r w:rsidR="00DF6534" w:rsidRPr="00DF6534">
        <w:rPr>
          <w:i/>
          <w:iCs/>
        </w:rPr>
        <w:t>ch</w:t>
      </w:r>
      <w:r w:rsidRPr="004E22E4">
        <w:t xml:space="preserve"> </w:t>
      </w:r>
      <w:r w:rsidR="00BC019E">
        <w:t>como en</w:t>
      </w:r>
      <w:r w:rsidRPr="004E22E4">
        <w:t xml:space="preserve"> </w:t>
      </w:r>
      <w:r w:rsidR="00DF6534" w:rsidRPr="00BC019E">
        <w:rPr>
          <w:i/>
          <w:iCs/>
        </w:rPr>
        <w:t xml:space="preserve">catch </w:t>
      </w:r>
      <w:proofErr w:type="spellStart"/>
      <w:r w:rsidR="00DF6534" w:rsidRPr="00BC019E">
        <w:rPr>
          <w:i/>
          <w:iCs/>
        </w:rPr>
        <w:t>him</w:t>
      </w:r>
      <w:proofErr w:type="spellEnd"/>
      <w:r w:rsidRPr="004E22E4">
        <w:t xml:space="preserve"> (no </w:t>
      </w:r>
      <w:proofErr w:type="spellStart"/>
      <w:r w:rsidR="00DF6534" w:rsidRPr="00BC019E">
        <w:rPr>
          <w:i/>
          <w:iCs/>
        </w:rPr>
        <w:t>kitchen</w:t>
      </w:r>
      <w:proofErr w:type="spellEnd"/>
      <w:r w:rsidRPr="004E22E4">
        <w:t xml:space="preserve">), </w:t>
      </w:r>
      <w:proofErr w:type="spellStart"/>
      <w:r w:rsidR="00DF6534" w:rsidRPr="00DF6534">
        <w:rPr>
          <w:i/>
          <w:iCs/>
        </w:rPr>
        <w:t>ph</w:t>
      </w:r>
      <w:proofErr w:type="spellEnd"/>
      <w:r w:rsidR="00DF6534" w:rsidRPr="004E22E4">
        <w:t xml:space="preserve"> </w:t>
      </w:r>
      <w:r w:rsidR="00BC019E">
        <w:t xml:space="preserve">como </w:t>
      </w:r>
      <w:proofErr w:type="spellStart"/>
      <w:r w:rsidR="00BC019E" w:rsidRPr="00BC019E">
        <w:rPr>
          <w:i/>
          <w:iCs/>
        </w:rPr>
        <w:t>upholstery</w:t>
      </w:r>
      <w:proofErr w:type="spellEnd"/>
      <w:r w:rsidR="00BC019E">
        <w:t xml:space="preserve"> </w:t>
      </w:r>
      <w:r w:rsidRPr="004E22E4">
        <w:t xml:space="preserve">(no </w:t>
      </w:r>
      <w:proofErr w:type="spellStart"/>
      <w:r w:rsidR="00BC019E" w:rsidRPr="00BC019E">
        <w:rPr>
          <w:i/>
          <w:iCs/>
        </w:rPr>
        <w:t>telephone</w:t>
      </w:r>
      <w:proofErr w:type="spellEnd"/>
      <w:r w:rsidRPr="004E22E4">
        <w:t xml:space="preserve">), </w:t>
      </w:r>
      <w:proofErr w:type="spellStart"/>
      <w:r w:rsidRPr="00DF6534">
        <w:rPr>
          <w:i/>
          <w:iCs/>
        </w:rPr>
        <w:t>th</w:t>
      </w:r>
      <w:proofErr w:type="spellEnd"/>
      <w:r w:rsidRPr="004E22E4">
        <w:t xml:space="preserve"> </w:t>
      </w:r>
      <w:r w:rsidR="00BC019E">
        <w:t xml:space="preserve">como en </w:t>
      </w:r>
      <w:proofErr w:type="spellStart"/>
      <w:r w:rsidR="00DF6534" w:rsidRPr="00BC019E">
        <w:rPr>
          <w:i/>
          <w:iCs/>
        </w:rPr>
        <w:t>hot</w:t>
      </w:r>
      <w:r w:rsidR="00BC019E">
        <w:rPr>
          <w:i/>
          <w:iCs/>
        </w:rPr>
        <w:t>-</w:t>
      </w:r>
      <w:r w:rsidR="00DF6534" w:rsidRPr="00BC019E">
        <w:rPr>
          <w:i/>
          <w:iCs/>
        </w:rPr>
        <w:t>house</w:t>
      </w:r>
      <w:proofErr w:type="spellEnd"/>
      <w:r w:rsidR="00DF6534" w:rsidRPr="004E22E4">
        <w:t xml:space="preserve"> </w:t>
      </w:r>
      <w:r w:rsidRPr="004E22E4">
        <w:t xml:space="preserve">(no </w:t>
      </w:r>
      <w:r w:rsidR="00DF6534" w:rsidRPr="00BC019E">
        <w:rPr>
          <w:i/>
          <w:iCs/>
        </w:rPr>
        <w:t>pathos</w:t>
      </w:r>
      <w:r w:rsidRPr="004E22E4">
        <w:t>), etc</w:t>
      </w:r>
      <w:r w:rsidRPr="00DF6534">
        <w:rPr>
          <w:i/>
          <w:iCs/>
        </w:rPr>
        <w:t>.;</w:t>
      </w:r>
      <w:r w:rsidR="00BC019E">
        <w:rPr>
          <w:i/>
          <w:iCs/>
        </w:rPr>
        <w:t xml:space="preserve"> </w:t>
      </w:r>
      <w:r w:rsidR="00DF6534">
        <w:rPr>
          <w:i/>
          <w:iCs/>
        </w:rPr>
        <w:t>j</w:t>
      </w:r>
      <w:r w:rsidRPr="004E22E4">
        <w:t xml:space="preserve"> </w:t>
      </w:r>
      <w:r w:rsidR="00BC019E">
        <w:t xml:space="preserve">como en </w:t>
      </w:r>
      <w:proofErr w:type="spellStart"/>
      <w:r w:rsidR="00BC019E">
        <w:rPr>
          <w:i/>
          <w:iCs/>
        </w:rPr>
        <w:t>joke</w:t>
      </w:r>
      <w:proofErr w:type="spellEnd"/>
      <w:r w:rsidRPr="004E22E4">
        <w:t xml:space="preserve">; </w:t>
      </w:r>
      <w:r w:rsidR="00DF6534" w:rsidRPr="00DF6534">
        <w:rPr>
          <w:i/>
          <w:iCs/>
        </w:rPr>
        <w:t>ṃ</w:t>
      </w:r>
      <w:r w:rsidRPr="004E22E4">
        <w:t xml:space="preserve"> y </w:t>
      </w:r>
      <w:r w:rsidR="00DF6534" w:rsidRPr="00DF6534">
        <w:rPr>
          <w:i/>
          <w:iCs/>
        </w:rPr>
        <w:t>ṅ</w:t>
      </w:r>
      <w:r w:rsidRPr="004E22E4">
        <w:t xml:space="preserve"> como </w:t>
      </w:r>
      <w:r w:rsidRPr="00BC019E">
        <w:rPr>
          <w:i/>
          <w:iCs/>
        </w:rPr>
        <w:t>ng</w:t>
      </w:r>
      <w:r w:rsidRPr="004E22E4">
        <w:t xml:space="preserve"> en </w:t>
      </w:r>
      <w:proofErr w:type="spellStart"/>
      <w:r w:rsidR="00BC019E">
        <w:rPr>
          <w:i/>
          <w:iCs/>
        </w:rPr>
        <w:t>singer</w:t>
      </w:r>
      <w:proofErr w:type="spellEnd"/>
      <w:r w:rsidRPr="004E22E4">
        <w:t xml:space="preserve">, </w:t>
      </w:r>
      <w:r w:rsidRPr="00DF6534">
        <w:rPr>
          <w:i/>
          <w:iCs/>
        </w:rPr>
        <w:t xml:space="preserve">ñ </w:t>
      </w:r>
      <w:r w:rsidRPr="004E22E4">
        <w:t xml:space="preserve">como </w:t>
      </w:r>
      <w:r w:rsidRPr="00BC019E">
        <w:rPr>
          <w:i/>
          <w:iCs/>
        </w:rPr>
        <w:t>ni</w:t>
      </w:r>
      <w:r w:rsidRPr="004E22E4">
        <w:t xml:space="preserve"> en </w:t>
      </w:r>
      <w:proofErr w:type="spellStart"/>
      <w:r w:rsidR="00BC019E">
        <w:rPr>
          <w:i/>
          <w:iCs/>
        </w:rPr>
        <w:t>onion</w:t>
      </w:r>
      <w:proofErr w:type="spellEnd"/>
      <w:r w:rsidRPr="004E22E4">
        <w:t xml:space="preserve">; </w:t>
      </w:r>
      <w:r w:rsidRPr="00DF6534">
        <w:rPr>
          <w:i/>
          <w:iCs/>
        </w:rPr>
        <w:t>ḍ, ḷ, ṇ</w:t>
      </w:r>
      <w:r w:rsidRPr="004E22E4">
        <w:t xml:space="preserve"> y </w:t>
      </w:r>
      <w:r w:rsidRPr="00DF6534">
        <w:rPr>
          <w:i/>
          <w:iCs/>
        </w:rPr>
        <w:t>ṭ</w:t>
      </w:r>
      <w:r w:rsidRPr="004E22E4">
        <w:t xml:space="preserve"> se pronuncian con la punta de la lengua </w:t>
      </w:r>
      <w:r w:rsidR="00BC019E">
        <w:t>contra</w:t>
      </w:r>
      <w:r w:rsidRPr="004E22E4">
        <w:t xml:space="preserve"> el paladar; </w:t>
      </w:r>
      <w:r w:rsidRPr="00DF6534">
        <w:rPr>
          <w:i/>
          <w:iCs/>
        </w:rPr>
        <w:t xml:space="preserve">d, t, n </w:t>
      </w:r>
      <w:r w:rsidRPr="004E22E4">
        <w:t xml:space="preserve">y </w:t>
      </w:r>
      <w:r w:rsidR="00DF6534" w:rsidRPr="00DF6534">
        <w:rPr>
          <w:i/>
          <w:iCs/>
        </w:rPr>
        <w:t>ñ</w:t>
      </w:r>
      <w:r w:rsidR="00DF6534">
        <w:t xml:space="preserve"> </w:t>
      </w:r>
      <w:r w:rsidRPr="004E22E4">
        <w:t xml:space="preserve">con </w:t>
      </w:r>
      <w:r w:rsidR="00BC019E">
        <w:t xml:space="preserve">las </w:t>
      </w:r>
      <w:r w:rsidRPr="004E22E4">
        <w:t xml:space="preserve">punta de lengua en los dientes; consonantes dobles como en italiano, p. </w:t>
      </w:r>
      <w:proofErr w:type="spellStart"/>
      <w:r w:rsidR="00DF6534" w:rsidRPr="00DF6534">
        <w:rPr>
          <w:i/>
          <w:iCs/>
        </w:rPr>
        <w:t>dd</w:t>
      </w:r>
      <w:proofErr w:type="spellEnd"/>
      <w:r w:rsidRPr="004E22E4">
        <w:t xml:space="preserve"> como en </w:t>
      </w:r>
      <w:proofErr w:type="spellStart"/>
      <w:r w:rsidRPr="00BC019E">
        <w:rPr>
          <w:i/>
          <w:iCs/>
        </w:rPr>
        <w:t>Mad</w:t>
      </w:r>
      <w:proofErr w:type="spellEnd"/>
      <w:r w:rsidRPr="00BC019E">
        <w:rPr>
          <w:i/>
          <w:iCs/>
        </w:rPr>
        <w:t xml:space="preserve"> </w:t>
      </w:r>
      <w:proofErr w:type="spellStart"/>
      <w:r w:rsidRPr="00BC019E">
        <w:rPr>
          <w:i/>
          <w:iCs/>
        </w:rPr>
        <w:t>Dog</w:t>
      </w:r>
      <w:proofErr w:type="spellEnd"/>
      <w:r w:rsidRPr="004E22E4">
        <w:t xml:space="preserve"> (no </w:t>
      </w:r>
      <w:proofErr w:type="spellStart"/>
      <w:r w:rsidR="00BC019E">
        <w:rPr>
          <w:i/>
          <w:iCs/>
        </w:rPr>
        <w:t>madder</w:t>
      </w:r>
      <w:proofErr w:type="spellEnd"/>
      <w:r w:rsidRPr="004E22E4">
        <w:t xml:space="preserve">), </w:t>
      </w:r>
      <w:proofErr w:type="spellStart"/>
      <w:r w:rsidR="00DF6534" w:rsidRPr="00DF6534">
        <w:rPr>
          <w:i/>
          <w:iCs/>
        </w:rPr>
        <w:t>gg</w:t>
      </w:r>
      <w:proofErr w:type="spellEnd"/>
      <w:r w:rsidRPr="004E22E4">
        <w:t xml:space="preserve"> como en </w:t>
      </w:r>
      <w:proofErr w:type="spellStart"/>
      <w:r w:rsidR="00BC019E" w:rsidRPr="00BC019E">
        <w:rPr>
          <w:i/>
          <w:iCs/>
        </w:rPr>
        <w:t>big</w:t>
      </w:r>
      <w:proofErr w:type="spellEnd"/>
      <w:r w:rsidR="00BC019E" w:rsidRPr="00BC019E">
        <w:rPr>
          <w:i/>
          <w:iCs/>
        </w:rPr>
        <w:t xml:space="preserve"> </w:t>
      </w:r>
      <w:proofErr w:type="spellStart"/>
      <w:r w:rsidR="00BC019E" w:rsidRPr="00BC019E">
        <w:rPr>
          <w:i/>
          <w:iCs/>
        </w:rPr>
        <w:t>gun</w:t>
      </w:r>
      <w:proofErr w:type="spellEnd"/>
      <w:r w:rsidRPr="004E22E4">
        <w:t xml:space="preserve"> (no </w:t>
      </w:r>
      <w:proofErr w:type="spellStart"/>
      <w:r w:rsidR="00BC019E" w:rsidRPr="00BC019E">
        <w:rPr>
          <w:i/>
          <w:iCs/>
        </w:rPr>
        <w:t>bigger</w:t>
      </w:r>
      <w:proofErr w:type="spellEnd"/>
      <w:r w:rsidRPr="004E22E4">
        <w:t xml:space="preserve">); </w:t>
      </w:r>
      <w:r w:rsidR="00DF6534">
        <w:t>el resto</w:t>
      </w:r>
      <w:r w:rsidRPr="004E22E4">
        <w:t xml:space="preserve"> como en </w:t>
      </w:r>
      <w:r w:rsidR="00DF6534">
        <w:t xml:space="preserve">el </w:t>
      </w:r>
      <w:r w:rsidRPr="00BC019E">
        <w:rPr>
          <w:i/>
          <w:iCs/>
        </w:rPr>
        <w:t>inglés</w:t>
      </w:r>
      <w:r w:rsidRPr="004E22E4">
        <w:t>.</w:t>
      </w:r>
    </w:p>
    <w:p w14:paraId="13396581" w14:textId="1589177A" w:rsidR="004C005C" w:rsidRDefault="004E22E4" w:rsidP="008348C2">
      <w:pPr>
        <w:pStyle w:val="PiedepginaLegal"/>
      </w:pPr>
      <w:r w:rsidRPr="004E22E4">
        <w:t xml:space="preserve">26. </w:t>
      </w:r>
      <w:r>
        <w:tab/>
      </w:r>
      <w:r w:rsidRPr="004E22E4">
        <w:t>De las principales palabras de valor en inglés, "real", "verdad", "belleza", "buena", "absoluta", "ser", etc.: "</w:t>
      </w:r>
      <w:r w:rsidR="00BC019E" w:rsidRPr="004E22E4">
        <w:t>real</w:t>
      </w:r>
      <w:r w:rsidRPr="004E22E4">
        <w:t xml:space="preserve">" se ha utilizado para </w:t>
      </w:r>
      <w:proofErr w:type="spellStart"/>
      <w:r w:rsidR="00DF6534" w:rsidRPr="00BC019E">
        <w:rPr>
          <w:i/>
          <w:iCs/>
        </w:rPr>
        <w:t>tatha</w:t>
      </w:r>
      <w:proofErr w:type="spellEnd"/>
      <w:r w:rsidR="00DF6534" w:rsidRPr="004E22E4">
        <w:t xml:space="preserve"> </w:t>
      </w:r>
      <w:r w:rsidRPr="004E22E4">
        <w:t>(xvi.24), "</w:t>
      </w:r>
      <w:r w:rsidR="00BC019E" w:rsidRPr="004E22E4">
        <w:t>verdad</w:t>
      </w:r>
      <w:r w:rsidRPr="004E22E4">
        <w:t xml:space="preserve">" </w:t>
      </w:r>
      <w:r w:rsidR="00BC019E">
        <w:t xml:space="preserve">es </w:t>
      </w:r>
      <w:r w:rsidRPr="004E22E4">
        <w:t xml:space="preserve">asignada a </w:t>
      </w:r>
      <w:r w:rsidR="00DF6534" w:rsidRPr="00DF6534">
        <w:rPr>
          <w:i/>
          <w:iCs/>
        </w:rPr>
        <w:t>sacca</w:t>
      </w:r>
      <w:r w:rsidR="00DF6534" w:rsidRPr="004E22E4">
        <w:t xml:space="preserve"> </w:t>
      </w:r>
      <w:r w:rsidRPr="004E22E4">
        <w:t>(XVI.25) y "</w:t>
      </w:r>
      <w:r w:rsidR="00BC019E" w:rsidRPr="004E22E4">
        <w:t>belleza</w:t>
      </w:r>
      <w:r w:rsidRPr="004E22E4">
        <w:t xml:space="preserve">" a </w:t>
      </w:r>
      <w:proofErr w:type="spellStart"/>
      <w:r w:rsidR="00DF6534" w:rsidRPr="00DF6534">
        <w:rPr>
          <w:i/>
          <w:iCs/>
        </w:rPr>
        <w:t>subha</w:t>
      </w:r>
      <w:proofErr w:type="spellEnd"/>
      <w:r w:rsidR="00DF6534" w:rsidRPr="004E22E4">
        <w:t xml:space="preserve"> </w:t>
      </w:r>
      <w:r w:rsidRPr="004E22E4">
        <w:t>(IX.119); "</w:t>
      </w:r>
      <w:r w:rsidR="00BC019E" w:rsidRPr="004E22E4">
        <w:t>bueno</w:t>
      </w:r>
      <w:r w:rsidRPr="004E22E4">
        <w:t xml:space="preserve">" se ha utilizado a veces para el prefijo </w:t>
      </w:r>
      <w:r w:rsidR="00DF6534" w:rsidRPr="00DF6534">
        <w:rPr>
          <w:i/>
          <w:iCs/>
        </w:rPr>
        <w:t>su</w:t>
      </w:r>
      <w:r w:rsidRPr="004E22E4">
        <w:t>- y</w:t>
      </w:r>
      <w:r w:rsidR="004C005C">
        <w:br w:type="page"/>
      </w:r>
    </w:p>
    <w:p w14:paraId="5BD12D23" w14:textId="7DD7CE75" w:rsidR="0082726C" w:rsidRPr="00DF6534" w:rsidRDefault="0082726C" w:rsidP="0082726C">
      <w:pPr>
        <w:rPr>
          <w:vertAlign w:val="superscript"/>
        </w:rPr>
      </w:pPr>
      <w:r w:rsidRPr="004E22E4">
        <w:lastRenderedPageBreak/>
        <w:t xml:space="preserve">agricultores. Traducirlo </w:t>
      </w:r>
      <w:r>
        <w:t>como</w:t>
      </w:r>
      <w:r w:rsidRPr="004E22E4">
        <w:t xml:space="preserve"> "</w:t>
      </w:r>
      <w:r w:rsidR="00AB2CED" w:rsidRPr="004E22E4">
        <w:t>cuaresma</w:t>
      </w:r>
      <w:r w:rsidRPr="004E22E4">
        <w:t xml:space="preserve">", como se hace a veces, </w:t>
      </w:r>
      <w:r w:rsidR="005A1CEC">
        <w:t>conduce a</w:t>
      </w:r>
      <w:r w:rsidRPr="004E22E4">
        <w:t xml:space="preserve"> un </w:t>
      </w:r>
      <w:r w:rsidR="005A1CEC">
        <w:t>tras</w:t>
      </w:r>
      <w:r w:rsidRPr="004E22E4">
        <w:t>fondo histórico y una atmósfera religiosa de luto y ayuno, bastante ajeno (</w:t>
      </w:r>
      <w:r w:rsidR="0003224A">
        <w:t xml:space="preserve">y </w:t>
      </w:r>
      <w:r w:rsidRPr="004E22E4">
        <w:t xml:space="preserve">sin </w:t>
      </w:r>
      <w:r w:rsidR="00AB2CED">
        <w:t>soporte</w:t>
      </w:r>
      <w:r w:rsidRPr="004E22E4">
        <w:t xml:space="preserve"> etimológico)</w:t>
      </w:r>
      <w:r w:rsidR="0003224A">
        <w:t xml:space="preserve"> a nuestro propósito</w:t>
      </w:r>
      <w:r w:rsidRPr="004E22E4">
        <w:t xml:space="preserve">. "Metempsicosis" para </w:t>
      </w:r>
      <w:proofErr w:type="spellStart"/>
      <w:r w:rsidR="009D1B6E" w:rsidRPr="009D1B6E">
        <w:rPr>
          <w:i/>
          <w:iCs/>
        </w:rPr>
        <w:t>paṭiskandhi</w:t>
      </w:r>
      <w:proofErr w:type="spellEnd"/>
      <w:r w:rsidR="009D1B6E" w:rsidRPr="004E22E4">
        <w:t xml:space="preserve"> </w:t>
      </w:r>
      <w:r w:rsidRPr="004E22E4">
        <w:t>es otr</w:t>
      </w:r>
      <w:r w:rsidR="007637A7">
        <w:t>o</w:t>
      </w:r>
      <w:r w:rsidRPr="004E22E4">
        <w:t xml:space="preserve"> </w:t>
      </w:r>
      <w:r w:rsidR="00097231">
        <w:t>ejemplo</w:t>
      </w:r>
      <w:r w:rsidRPr="004E22E4">
        <w:t xml:space="preserve"> notable.</w:t>
      </w:r>
      <w:r w:rsidRPr="00DF6534">
        <w:rPr>
          <w:vertAlign w:val="superscript"/>
        </w:rPr>
        <w:t>26</w:t>
      </w:r>
    </w:p>
    <w:p w14:paraId="7ADE9401" w14:textId="07496BBA" w:rsidR="00E00BE5" w:rsidRDefault="00E00BE5" w:rsidP="00E00BE5">
      <w:pPr>
        <w:pStyle w:val="NormalConSangria"/>
      </w:pPr>
      <w:r>
        <w:t xml:space="preserve">El manejo de tres palabras, </w:t>
      </w:r>
      <w:r w:rsidR="007637A7" w:rsidRPr="00057BF4">
        <w:rPr>
          <w:i/>
          <w:iCs/>
        </w:rPr>
        <w:t>dhamma</w:t>
      </w:r>
      <w:r>
        <w:t xml:space="preserve">, </w:t>
      </w:r>
      <w:proofErr w:type="spellStart"/>
      <w:r w:rsidRPr="00DF6534">
        <w:rPr>
          <w:i/>
          <w:iCs/>
        </w:rPr>
        <w:t>citta</w:t>
      </w:r>
      <w:proofErr w:type="spellEnd"/>
      <w:r>
        <w:t xml:space="preserve"> y </w:t>
      </w:r>
      <w:proofErr w:type="spellStart"/>
      <w:r w:rsidR="00005844">
        <w:rPr>
          <w:i/>
          <w:iCs/>
          <w:color w:val="833C0B" w:themeColor="accent2" w:themeShade="80"/>
        </w:rPr>
        <w:t>nāma</w:t>
      </w:r>
      <w:proofErr w:type="spellEnd"/>
      <w:r>
        <w:t xml:space="preserve"> (ver glosario y notas relevantes) es ciertamente una especie de improvisación. La única palabra inglesa que podría usarse </w:t>
      </w:r>
      <w:r w:rsidR="00A0524E">
        <w:t xml:space="preserve">consistentemente </w:t>
      </w:r>
      <w:r>
        <w:t xml:space="preserve">con cierta agilidad para </w:t>
      </w:r>
      <w:r w:rsidR="007637A7" w:rsidRPr="00057BF4">
        <w:rPr>
          <w:i/>
        </w:rPr>
        <w:t>dhamma</w:t>
      </w:r>
      <w:r w:rsidR="007637A7">
        <w:t xml:space="preserve"> </w:t>
      </w:r>
      <w:r>
        <w:t>parec</w:t>
      </w:r>
      <w:r w:rsidR="007637A7">
        <w:t>iera</w:t>
      </w:r>
      <w:r>
        <w:t xml:space="preserve"> ser "idea"; </w:t>
      </w:r>
      <w:r w:rsidR="007637A7">
        <w:t xml:space="preserve">pero </w:t>
      </w:r>
      <w:r>
        <w:t xml:space="preserve">ha sido </w:t>
      </w:r>
      <w:r w:rsidR="009473F6">
        <w:t>descontinuado</w:t>
      </w:r>
      <w:r>
        <w:t xml:space="preserve"> por</w:t>
      </w:r>
      <w:r w:rsidR="00E23BDA">
        <w:t xml:space="preserve"> algunos</w:t>
      </w:r>
      <w:r>
        <w:t xml:space="preserve"> filósofos y tal vez </w:t>
      </w:r>
      <w:r w:rsidR="00E23BDA">
        <w:t>podría propiciar alguna desorientación</w:t>
      </w:r>
      <w:r>
        <w:t xml:space="preserve">. </w:t>
      </w:r>
      <w:proofErr w:type="spellStart"/>
      <w:r w:rsidRPr="00DF6534">
        <w:rPr>
          <w:i/>
          <w:iCs/>
        </w:rPr>
        <w:t>Citta</w:t>
      </w:r>
      <w:proofErr w:type="spellEnd"/>
      <w:r>
        <w:t xml:space="preserve"> podría haberse </w:t>
      </w:r>
      <w:r w:rsidR="00976E9A">
        <w:t>traducido</w:t>
      </w:r>
      <w:r>
        <w:t xml:space="preserve"> ventaj</w:t>
      </w:r>
      <w:r w:rsidR="00976E9A">
        <w:t>osamente</w:t>
      </w:r>
      <w:r>
        <w:t xml:space="preserve"> en todo momento </w:t>
      </w:r>
      <w:r w:rsidR="00911B1F">
        <w:t>como</w:t>
      </w:r>
      <w:r>
        <w:t xml:space="preserve"> "</w:t>
      </w:r>
      <w:r w:rsidR="00D779C0">
        <w:t>conocimiento</w:t>
      </w:r>
      <w:r>
        <w:t xml:space="preserve">", para preservar su independencia, en lugar de </w:t>
      </w:r>
      <w:r w:rsidR="009F1FB5">
        <w:t>traducirla</w:t>
      </w:r>
      <w:r>
        <w:t xml:space="preserve"> a veces </w:t>
      </w:r>
      <w:r w:rsidR="009F1FB5">
        <w:t xml:space="preserve">como </w:t>
      </w:r>
      <w:r>
        <w:t xml:space="preserve">"mente" (compartida con </w:t>
      </w:r>
      <w:r w:rsidR="009F1FB5" w:rsidRPr="009F1FB5">
        <w:rPr>
          <w:i/>
          <w:iCs/>
        </w:rPr>
        <w:t>mano</w:t>
      </w:r>
      <w:r>
        <w:t xml:space="preserve">) y, a veces, </w:t>
      </w:r>
      <w:r w:rsidR="001A5B97">
        <w:t xml:space="preserve">como </w:t>
      </w:r>
      <w:r>
        <w:t>"con</w:t>
      </w:r>
      <w:r w:rsidR="009F1FB5">
        <w:t>s</w:t>
      </w:r>
      <w:r>
        <w:t xml:space="preserve">ciencia" (compartida con </w:t>
      </w:r>
      <w:r w:rsidR="00057BF4" w:rsidRPr="00057BF4">
        <w:rPr>
          <w:i/>
        </w:rPr>
        <w:t>viññāṇa</w:t>
      </w:r>
      <w:r>
        <w:t xml:space="preserve">) </w:t>
      </w:r>
      <w:r w:rsidR="009F1FB5">
        <w:t xml:space="preserve">tal </w:t>
      </w:r>
      <w:r>
        <w:t xml:space="preserve">como se ha </w:t>
      </w:r>
      <w:r w:rsidR="009F1FB5">
        <w:t>venido haciendo</w:t>
      </w:r>
      <w:r>
        <w:t xml:space="preserve">. </w:t>
      </w:r>
      <w:r w:rsidR="001A5B97">
        <w:t xml:space="preserve">No obstante, </w:t>
      </w:r>
      <w:r>
        <w:t xml:space="preserve">en muchos contextos, las tres palabras </w:t>
      </w:r>
      <w:r w:rsidR="00300318">
        <w:rPr>
          <w:i/>
          <w:iCs/>
        </w:rPr>
        <w:t>Pāḷi</w:t>
      </w:r>
      <w:r>
        <w:t xml:space="preserve"> son sinónim</w:t>
      </w:r>
      <w:r w:rsidR="001A5B97">
        <w:t>a</w:t>
      </w:r>
      <w:r>
        <w:t xml:space="preserve">s para la misma noción general </w:t>
      </w:r>
      <w:r w:rsidR="00300318">
        <w:t xml:space="preserve">al respecto </w:t>
      </w:r>
      <w:r>
        <w:t xml:space="preserve">(ver </w:t>
      </w:r>
      <w:r w:rsidR="00300318">
        <w:t>XIV</w:t>
      </w:r>
      <w:r>
        <w:t xml:space="preserve">.82); y técnicamente, la noción de "cognición", </w:t>
      </w:r>
      <w:r w:rsidR="00934F4C">
        <w:t>referida</w:t>
      </w:r>
      <w:r>
        <w:t xml:space="preserve"> </w:t>
      </w:r>
      <w:r w:rsidR="001E1F82">
        <w:t>a</w:t>
      </w:r>
      <w:r>
        <w:t xml:space="preserve"> su </w:t>
      </w:r>
      <w:r w:rsidR="00934F4C">
        <w:t xml:space="preserve">simple </w:t>
      </w:r>
      <w:r>
        <w:t xml:space="preserve">aspecto </w:t>
      </w:r>
      <w:r w:rsidR="00385153">
        <w:t>como</w:t>
      </w:r>
      <w:r w:rsidR="00D057CC">
        <w:t xml:space="preserve"> </w:t>
      </w:r>
      <w:r w:rsidR="00934F4C" w:rsidRPr="00057BF4">
        <w:rPr>
          <w:i/>
        </w:rPr>
        <w:t>viññāṇa</w:t>
      </w:r>
      <w:r w:rsidR="00D057CC">
        <w:t>,</w:t>
      </w:r>
      <w:r w:rsidR="00901FF9">
        <w:t xml:space="preserve"> </w:t>
      </w:r>
      <w:r w:rsidR="00D057CC">
        <w:t xml:space="preserve">es </w:t>
      </w:r>
      <w:r>
        <w:t>también refer</w:t>
      </w:r>
      <w:r w:rsidR="00D057CC">
        <w:t>ida</w:t>
      </w:r>
      <w:r>
        <w:t xml:space="preserve"> junto </w:t>
      </w:r>
      <w:r w:rsidR="00D057CC">
        <w:t xml:space="preserve">a </w:t>
      </w:r>
      <w:r>
        <w:t>su colorante afectivo concomitante, pensamiento y memoria, etc</w:t>
      </w:r>
      <w:r w:rsidR="00385153">
        <w:t>.</w:t>
      </w:r>
      <w:r w:rsidR="00D057CC">
        <w:t xml:space="preserve">, </w:t>
      </w:r>
      <w:r w:rsidR="0061238D">
        <w:t>mediante</w:t>
      </w:r>
      <w:r w:rsidR="00D057CC">
        <w:t xml:space="preserve"> </w:t>
      </w:r>
      <w:proofErr w:type="spellStart"/>
      <w:r w:rsidR="00D057CC">
        <w:rPr>
          <w:i/>
          <w:iCs/>
        </w:rPr>
        <w:t>citta</w:t>
      </w:r>
      <w:proofErr w:type="spellEnd"/>
      <w:r>
        <w:t xml:space="preserve">. </w:t>
      </w:r>
      <w:r w:rsidR="00686E75">
        <w:t>Por lo tanto</w:t>
      </w:r>
      <w:r>
        <w:t xml:space="preserve">, el tratamiento otorgado a </w:t>
      </w:r>
      <w:proofErr w:type="spellStart"/>
      <w:r w:rsidR="00686E75" w:rsidRPr="00DF6534">
        <w:rPr>
          <w:i/>
          <w:iCs/>
        </w:rPr>
        <w:t>citta</w:t>
      </w:r>
      <w:proofErr w:type="spellEnd"/>
      <w:r w:rsidR="00686E75">
        <w:t xml:space="preserve"> </w:t>
      </w:r>
      <w:r>
        <w:t xml:space="preserve">aquí encuentra </w:t>
      </w:r>
      <w:r w:rsidR="00696E69">
        <w:t>soporte</w:t>
      </w:r>
      <w:r>
        <w:t xml:space="preserve"> en esa medida. Por último, la "mentalidad</w:t>
      </w:r>
      <w:r w:rsidR="00385153">
        <w:rPr>
          <w:rFonts w:cs="Cormorant"/>
        </w:rPr>
        <w:t>–</w:t>
      </w:r>
      <w:r w:rsidR="00696E69">
        <w:t>materialidad</w:t>
      </w:r>
      <w:r>
        <w:t xml:space="preserve">" para </w:t>
      </w:r>
      <w:proofErr w:type="spellStart"/>
      <w:r w:rsidR="00696E69" w:rsidRPr="00057BF4">
        <w:rPr>
          <w:i/>
          <w:iCs/>
        </w:rPr>
        <w:t>nāma</w:t>
      </w:r>
      <w:proofErr w:type="spellEnd"/>
      <w:r w:rsidR="00385153">
        <w:rPr>
          <w:rFonts w:cs="Cormorant"/>
        </w:rPr>
        <w:t>–</w:t>
      </w:r>
      <w:r w:rsidR="00696E69" w:rsidRPr="00057BF4">
        <w:rPr>
          <w:i/>
          <w:iCs/>
        </w:rPr>
        <w:t>rūpa</w:t>
      </w:r>
      <w:r w:rsidR="00696E69">
        <w:t xml:space="preserve"> </w:t>
      </w:r>
      <w:r>
        <w:t>es inadecuada y "nombre y forma" de alguna manera preferible. "</w:t>
      </w:r>
      <w:r w:rsidR="00E9217D">
        <w:t>Nombre</w:t>
      </w:r>
      <w:r>
        <w:t xml:space="preserve">" (ver Ch. </w:t>
      </w:r>
      <w:r w:rsidR="00DF6534">
        <w:t>XVIII</w:t>
      </w:r>
      <w:r>
        <w:t xml:space="preserve">, n. 4) todavía sugiere la función de "nombrar" de </w:t>
      </w:r>
      <w:proofErr w:type="spellStart"/>
      <w:r w:rsidR="002D1A78" w:rsidRPr="00057BF4">
        <w:rPr>
          <w:i/>
          <w:iCs/>
        </w:rPr>
        <w:t>nāma</w:t>
      </w:r>
      <w:proofErr w:type="spellEnd"/>
      <w:r>
        <w:t xml:space="preserve">; y "forma" para </w:t>
      </w:r>
      <w:r w:rsidR="00057BF4" w:rsidRPr="00057BF4">
        <w:rPr>
          <w:i/>
        </w:rPr>
        <w:t>rūpa</w:t>
      </w:r>
      <w:r>
        <w:t xml:space="preserve"> del </w:t>
      </w:r>
      <w:proofErr w:type="spellStart"/>
      <w:r w:rsidR="00057BF4" w:rsidRPr="00057BF4">
        <w:rPr>
          <w:i/>
          <w:iCs/>
        </w:rPr>
        <w:t>rūpa</w:t>
      </w:r>
      <w:r w:rsidRPr="00DF6534">
        <w:rPr>
          <w:i/>
          <w:iCs/>
        </w:rPr>
        <w:t>kkhandha</w:t>
      </w:r>
      <w:proofErr w:type="spellEnd"/>
      <w:r>
        <w:t xml:space="preserve"> ("agregado de </w:t>
      </w:r>
      <w:r w:rsidR="002D1A78">
        <w:t xml:space="preserve">la </w:t>
      </w:r>
      <w:r>
        <w:t xml:space="preserve">materialidad") puede preservar el vínculo </w:t>
      </w:r>
      <w:r w:rsidR="00915322">
        <w:t>de</w:t>
      </w:r>
      <w:r>
        <w:t xml:space="preserve"> </w:t>
      </w:r>
      <w:r w:rsidR="00057BF4" w:rsidRPr="00057BF4">
        <w:rPr>
          <w:i/>
        </w:rPr>
        <w:t>rūpa</w:t>
      </w:r>
      <w:r>
        <w:t xml:space="preserve"> </w:t>
      </w:r>
      <w:r w:rsidR="00915322">
        <w:t>con</w:t>
      </w:r>
      <w:r>
        <w:t xml:space="preserve"> </w:t>
      </w:r>
      <w:proofErr w:type="spellStart"/>
      <w:r w:rsidRPr="00DF6534">
        <w:rPr>
          <w:i/>
          <w:iCs/>
        </w:rPr>
        <w:t>rūpāyatana</w:t>
      </w:r>
      <w:proofErr w:type="spellEnd"/>
      <w:r>
        <w:t>, ("base de</w:t>
      </w:r>
      <w:r w:rsidR="002D1A78">
        <w:t>l</w:t>
      </w:r>
      <w:r>
        <w:t xml:space="preserve"> objeto visible") </w:t>
      </w:r>
      <w:r w:rsidR="005B276A">
        <w:t xml:space="preserve">representándolos </w:t>
      </w:r>
      <w:r>
        <w:t>respectivamente co</w:t>
      </w:r>
      <w:r w:rsidR="005B276A">
        <w:t>mo</w:t>
      </w:r>
      <w:r>
        <w:t xml:space="preserve"> "agregado de </w:t>
      </w:r>
      <w:r w:rsidR="005B276A">
        <w:t xml:space="preserve">la </w:t>
      </w:r>
      <w:r>
        <w:t xml:space="preserve">forma material" y </w:t>
      </w:r>
      <w:r w:rsidR="005B276A">
        <w:t xml:space="preserve">la </w:t>
      </w:r>
      <w:r>
        <w:t>"base de</w:t>
      </w:r>
      <w:r w:rsidR="00221254">
        <w:t xml:space="preserve"> </w:t>
      </w:r>
      <w:r w:rsidR="00A706E6">
        <w:t xml:space="preserve">la </w:t>
      </w:r>
      <w:r>
        <w:t>forma visible"</w:t>
      </w:r>
      <w:r w:rsidR="00385153">
        <w:t xml:space="preserve">. </w:t>
      </w:r>
      <w:r>
        <w:t xml:space="preserve">Un punto no sin importancia filosófica. Se ha hecho un compromiso </w:t>
      </w:r>
      <w:r w:rsidR="00A706E6">
        <w:t xml:space="preserve">al respecto </w:t>
      </w:r>
      <w:r>
        <w:t>en el Cap</w:t>
      </w:r>
      <w:r w:rsidR="00385153">
        <w:t>.</w:t>
      </w:r>
      <w:r>
        <w:t xml:space="preserve"> X.13. "Materialidad" o "materia" donde sea utilizada</w:t>
      </w:r>
      <w:r w:rsidR="00385153">
        <w:t>,</w:t>
      </w:r>
      <w:r>
        <w:t xml:space="preserve"> no debe tomarse como </w:t>
      </w:r>
      <w:r w:rsidR="00A706E6">
        <w:t>que implique</w:t>
      </w:r>
      <w:r>
        <w:t xml:space="preserve"> cualquier hipostasis, cualquier "sustancia permanente o semipermanente detrás de las apariencias" (la contraparte objetiva del ego subjetivo), </w:t>
      </w:r>
      <w:r w:rsidR="008477B2">
        <w:t>lo cual</w:t>
      </w:r>
      <w:r>
        <w:t xml:space="preserve"> no encontrar</w:t>
      </w:r>
      <w:r w:rsidR="008477B2">
        <w:t>á</w:t>
      </w:r>
      <w:r>
        <w:t xml:space="preserve"> </w:t>
      </w:r>
      <w:r w:rsidR="008477B2">
        <w:t xml:space="preserve">soporte </w:t>
      </w:r>
      <w:r>
        <w:t xml:space="preserve">en el </w:t>
      </w:r>
      <w:r w:rsidR="008477B2">
        <w:rPr>
          <w:i/>
          <w:iCs/>
        </w:rPr>
        <w:t>Pāḷi</w:t>
      </w:r>
      <w:r>
        <w:t>.</w:t>
      </w:r>
    </w:p>
    <w:p w14:paraId="47E0E240" w14:textId="475D751E" w:rsidR="00E00BE5" w:rsidRDefault="000C5FF1" w:rsidP="00E00BE5">
      <w:pPr>
        <w:pStyle w:val="NormalConSangria"/>
      </w:pPr>
      <w:r>
        <w:t xml:space="preserve">Han sido consultadas las </w:t>
      </w:r>
      <w:r w:rsidR="00E00BE5">
        <w:t xml:space="preserve">ediciones de Sri Lanka, Birmania y Tailandia, así como las dos ediciones de </w:t>
      </w:r>
      <w:r w:rsidR="00316726">
        <w:t xml:space="preserve">tipografía </w:t>
      </w:r>
      <w:r w:rsidR="00E00BE5">
        <w:t>Latin</w:t>
      </w:r>
      <w:r w:rsidR="005727FA">
        <w:t>a</w:t>
      </w:r>
      <w:r w:rsidR="00E00BE5">
        <w:t xml:space="preserve">; </w:t>
      </w:r>
      <w:r w:rsidR="00316726">
        <w:t>además de</w:t>
      </w:r>
      <w:r w:rsidR="00E00BE5">
        <w:t xml:space="preserve"> </w:t>
      </w:r>
      <w:r w:rsidR="00316726">
        <w:t xml:space="preserve">las </w:t>
      </w:r>
      <w:r w:rsidR="00E00BE5">
        <w:t xml:space="preserve">traducciones </w:t>
      </w:r>
      <w:r w:rsidR="00316726">
        <w:t>Cingalesas</w:t>
      </w:r>
      <w:r w:rsidR="00E00BE5">
        <w:t xml:space="preserve">. Los números de párrafos de la edición de prensa de la Universidad de Harvard se encontrarán al comienzo de los párrafos y los números de página de la edición de la </w:t>
      </w:r>
      <w:r w:rsidR="00E00BE5" w:rsidRPr="00001931">
        <w:rPr>
          <w:i/>
          <w:iCs/>
        </w:rPr>
        <w:t xml:space="preserve">Sociedad de Textos </w:t>
      </w:r>
      <w:r w:rsidR="00AD6B1D" w:rsidRPr="00AD6B1D">
        <w:rPr>
          <w:i/>
          <w:iCs/>
        </w:rPr>
        <w:t>Pāḷi</w:t>
      </w:r>
      <w:r w:rsidR="00E00BE5">
        <w:t xml:space="preserve"> </w:t>
      </w:r>
      <w:r w:rsidR="00001931" w:rsidRPr="00001931">
        <w:t>[</w:t>
      </w:r>
      <w:r w:rsidR="008F6D75">
        <w:t>PTS,</w:t>
      </w:r>
      <w:r w:rsidR="008F6D75" w:rsidRPr="00001931">
        <w:rPr>
          <w:i/>
          <w:iCs/>
        </w:rPr>
        <w:t xml:space="preserve"> </w:t>
      </w:r>
      <w:r w:rsidR="00001931" w:rsidRPr="00001931">
        <w:rPr>
          <w:i/>
          <w:iCs/>
        </w:rPr>
        <w:t>P</w:t>
      </w:r>
      <w:r>
        <w:rPr>
          <w:i/>
          <w:iCs/>
        </w:rPr>
        <w:t>ali</w:t>
      </w:r>
      <w:r w:rsidR="00001931" w:rsidRPr="00001931">
        <w:rPr>
          <w:i/>
          <w:iCs/>
        </w:rPr>
        <w:t xml:space="preserve"> Text </w:t>
      </w:r>
      <w:proofErr w:type="spellStart"/>
      <w:r w:rsidR="00001931" w:rsidRPr="00001931">
        <w:rPr>
          <w:i/>
          <w:iCs/>
        </w:rPr>
        <w:t>Society</w:t>
      </w:r>
      <w:proofErr w:type="spellEnd"/>
      <w:r w:rsidR="00001931">
        <w:t xml:space="preserve">] </w:t>
      </w:r>
      <w:r w:rsidR="00E00BE5">
        <w:t xml:space="preserve">en </w:t>
      </w:r>
      <w:r w:rsidR="00001931">
        <w:t>corchetes</w:t>
      </w:r>
      <w:r w:rsidR="00E00BE5">
        <w:t xml:space="preserve"> en el texto (este último, aunque a veces apare</w:t>
      </w:r>
      <w:r w:rsidR="00F2655D">
        <w:t>zca</w:t>
      </w:r>
      <w:r w:rsidR="00E00BE5">
        <w:t xml:space="preserve"> al final de los párrafos, marcan los inicios de las páginas de PTS). </w:t>
      </w:r>
      <w:r w:rsidR="006E00AC">
        <w:t xml:space="preserve">En las notas no </w:t>
      </w:r>
      <w:r w:rsidR="000C694A">
        <w:t>se han mencionado l</w:t>
      </w:r>
      <w:r w:rsidR="00E00BE5">
        <w:t xml:space="preserve">os errores de lectura y puntuación </w:t>
      </w:r>
      <w:r w:rsidR="000C694A">
        <w:t>de</w:t>
      </w:r>
      <w:r w:rsidR="00E00BE5">
        <w:t xml:space="preserve"> la edición </w:t>
      </w:r>
      <w:r w:rsidR="000C694A">
        <w:t>PTS,</w:t>
      </w:r>
      <w:r w:rsidR="00E00BE5">
        <w:t xml:space="preserve"> n</w:t>
      </w:r>
      <w:r w:rsidR="0037506C">
        <w:t>i</w:t>
      </w:r>
      <w:r w:rsidR="00E00BE5">
        <w:t xml:space="preserve"> </w:t>
      </w:r>
      <w:r w:rsidR="000C694A">
        <w:t xml:space="preserve">de </w:t>
      </w:r>
      <w:r w:rsidR="00E00BE5">
        <w:t>la edición Harvard.</w:t>
      </w:r>
    </w:p>
    <w:p w14:paraId="19547CB5" w14:textId="6762DE88" w:rsidR="00E00BE5" w:rsidRDefault="00E00BE5" w:rsidP="00E00BE5">
      <w:pPr>
        <w:pStyle w:val="NormalConSangria"/>
      </w:pPr>
      <w:r>
        <w:t>Para las citas de</w:t>
      </w:r>
      <w:r w:rsidR="000C694A">
        <w:t>l</w:t>
      </w:r>
      <w:r>
        <w:t xml:space="preserve"> </w:t>
      </w:r>
      <w:r w:rsidRPr="000C694A">
        <w:rPr>
          <w:i/>
          <w:iCs/>
        </w:rPr>
        <w:t>Tipiṭaka</w:t>
      </w:r>
      <w:r>
        <w:t xml:space="preserve">, </w:t>
      </w:r>
      <w:r w:rsidR="009214D4" w:rsidRPr="0071455E">
        <w:t>resultó</w:t>
      </w:r>
      <w:r>
        <w:t xml:space="preserve"> imposible hacer uso de las traducciones publicadas existentes porque carecían del tipo de tratamiento buscado. Sin embargo, otro trabajo de traducción </w:t>
      </w:r>
      <w:r w:rsidR="009214D4">
        <w:t xml:space="preserve">a </w:t>
      </w:r>
      <w:r>
        <w:t xml:space="preserve">mano sirvió como base para todas las citas de </w:t>
      </w:r>
      <w:r w:rsidR="009214D4">
        <w:t xml:space="preserve">los </w:t>
      </w:r>
      <w:proofErr w:type="spellStart"/>
      <w:r w:rsidRPr="00DF6534">
        <w:rPr>
          <w:i/>
          <w:iCs/>
        </w:rPr>
        <w:t>Piṭaka</w:t>
      </w:r>
      <w:r w:rsidR="0037506C">
        <w:rPr>
          <w:i/>
          <w:iCs/>
        </w:rPr>
        <w:t>s</w:t>
      </w:r>
      <w:proofErr w:type="spellEnd"/>
      <w:r>
        <w:t>.</w:t>
      </w:r>
    </w:p>
    <w:p w14:paraId="5940DBDB" w14:textId="3E36FD20" w:rsidR="00E00BE5" w:rsidRDefault="00E00BE5" w:rsidP="00E00BE5">
      <w:pPr>
        <w:pStyle w:val="NormalConSangria"/>
      </w:pPr>
      <w:r>
        <w:t>Las rimas parec</w:t>
      </w:r>
      <w:r w:rsidR="0071455E">
        <w:t>er</w:t>
      </w:r>
      <w:r>
        <w:t xml:space="preserve">ían inadecuadas para los versos del </w:t>
      </w:r>
      <w:r w:rsidR="00DF6534" w:rsidRPr="00DF6534">
        <w:rPr>
          <w:i/>
          <w:iCs/>
        </w:rPr>
        <w:t>Tipiṭaka</w:t>
      </w:r>
      <w:r w:rsidR="00DF6534">
        <w:t xml:space="preserve"> </w:t>
      </w:r>
      <w:r>
        <w:t>y los "</w:t>
      </w:r>
      <w:r w:rsidR="00337C34">
        <w:t>Venerables</w:t>
      </w:r>
      <w:r>
        <w:t xml:space="preserve">"; </w:t>
      </w:r>
      <w:r w:rsidR="00424629">
        <w:t>no obstante,</w:t>
      </w:r>
      <w:r w:rsidR="00337C34">
        <w:t xml:space="preserve"> </w:t>
      </w:r>
      <w:r w:rsidR="00424629">
        <w:t xml:space="preserve">se </w:t>
      </w:r>
      <w:r>
        <w:t xml:space="preserve">ha recurrido </w:t>
      </w:r>
      <w:r w:rsidR="00424629">
        <w:t xml:space="preserve">a ellas </w:t>
      </w:r>
      <w:r>
        <w:t>para los versos resum</w:t>
      </w:r>
      <w:r w:rsidR="007042B3">
        <w:t>idos</w:t>
      </w:r>
      <w:r>
        <w:t xml:space="preserve"> que pertene</w:t>
      </w:r>
      <w:r w:rsidR="00D305C8">
        <w:t>zca</w:t>
      </w:r>
      <w:r>
        <w:t xml:space="preserve">n al propio </w:t>
      </w:r>
      <w:r w:rsidRPr="00DF6534">
        <w:rPr>
          <w:i/>
          <w:iCs/>
        </w:rPr>
        <w:t>Visuddhimagga</w:t>
      </w:r>
      <w:r>
        <w:t xml:space="preserve">. El idioma inglés es demasiado débil en tensiones fijas </w:t>
      </w:r>
      <w:r w:rsidR="00AD6B1D">
        <w:t xml:space="preserve">como </w:t>
      </w:r>
      <w:r>
        <w:t>para prestar</w:t>
      </w:r>
      <w:r w:rsidR="00AD6B1D">
        <w:t>se</w:t>
      </w:r>
    </w:p>
    <w:p w14:paraId="2036C41F" w14:textId="7926DD5A" w:rsidR="00E00BE5" w:rsidRPr="00E00BE5" w:rsidRDefault="00E00BE5" w:rsidP="00E00BE5">
      <w:pPr>
        <w:pStyle w:val="PiedepginaLegal"/>
        <w:rPr>
          <w:u w:val="single"/>
        </w:rPr>
      </w:pPr>
      <w:r w:rsidRPr="00E00BE5">
        <w:rPr>
          <w:u w:val="single"/>
        </w:rPr>
        <w:t xml:space="preserve">                                                                                                                                            .</w:t>
      </w:r>
    </w:p>
    <w:p w14:paraId="4A51DB09" w14:textId="77777777" w:rsidR="00E00BE5" w:rsidRDefault="00E00BE5" w:rsidP="00E00BE5">
      <w:pPr>
        <w:pStyle w:val="PiedepginaLegal"/>
      </w:pPr>
      <w:r>
        <w:t xml:space="preserve"> ... </w:t>
      </w:r>
    </w:p>
    <w:p w14:paraId="031B35B8" w14:textId="71E06AFD" w:rsidR="001A1D0C" w:rsidRDefault="00E00BE5" w:rsidP="00E00BE5">
      <w:pPr>
        <w:pStyle w:val="PiedepginaLegal"/>
      </w:pPr>
      <w:r>
        <w:tab/>
        <w:t xml:space="preserve">también para el adj. </w:t>
      </w:r>
      <w:proofErr w:type="spellStart"/>
      <w:r w:rsidR="00DF6534" w:rsidRPr="00DF6534">
        <w:rPr>
          <w:i/>
          <w:iCs/>
        </w:rPr>
        <w:t>kalyāṇa</w:t>
      </w:r>
      <w:proofErr w:type="spellEnd"/>
      <w:r w:rsidR="00DF6534">
        <w:t xml:space="preserve"> </w:t>
      </w:r>
      <w:r>
        <w:t xml:space="preserve">y el </w:t>
      </w:r>
      <w:proofErr w:type="spellStart"/>
      <w:r>
        <w:t>sust</w:t>
      </w:r>
      <w:proofErr w:type="spellEnd"/>
      <w:r>
        <w:t xml:space="preserve">. </w:t>
      </w:r>
      <w:proofErr w:type="spellStart"/>
      <w:r w:rsidR="00DF6534" w:rsidRPr="00DF6534">
        <w:rPr>
          <w:i/>
          <w:iCs/>
        </w:rPr>
        <w:t>attha</w:t>
      </w:r>
      <w:proofErr w:type="spellEnd"/>
      <w:r>
        <w:t>. "</w:t>
      </w:r>
      <w:r w:rsidR="00BC019E">
        <w:t>absoluto</w:t>
      </w:r>
      <w:r>
        <w:t xml:space="preserve">" no se ha empleado, aunque tal vez podría usarse para la palabra </w:t>
      </w:r>
      <w:proofErr w:type="spellStart"/>
      <w:r w:rsidRPr="00DF6534">
        <w:rPr>
          <w:i/>
          <w:iCs/>
        </w:rPr>
        <w:t>advaya</w:t>
      </w:r>
      <w:proofErr w:type="spellEnd"/>
      <w:r>
        <w:t xml:space="preserve">, que califica la palabra </w:t>
      </w:r>
      <w:proofErr w:type="spellStart"/>
      <w:r w:rsidR="00057BF4" w:rsidRPr="00057BF4">
        <w:rPr>
          <w:i/>
          <w:iCs/>
        </w:rPr>
        <w:t>kasiṇa</w:t>
      </w:r>
      <w:proofErr w:type="spellEnd"/>
      <w:r>
        <w:t xml:space="preserve"> ("universalidad", "totalización") en </w:t>
      </w:r>
      <w:r w:rsidR="00DF6534">
        <w:t xml:space="preserve">M II </w:t>
      </w:r>
      <w:r>
        <w:t xml:space="preserve">14, y luego: "un (hombre) percibe la tierra como una universalidad </w:t>
      </w:r>
      <w:r w:rsidR="00BC019E">
        <w:t xml:space="preserve">hacia </w:t>
      </w:r>
      <w:r>
        <w:t xml:space="preserve">arriba, </w:t>
      </w:r>
      <w:r w:rsidR="00BC019E">
        <w:t>a</w:t>
      </w:r>
      <w:r>
        <w:t xml:space="preserve">bajo, alrededor, absoluta, </w:t>
      </w:r>
      <w:r w:rsidR="00BC019E">
        <w:t>inmensurable</w:t>
      </w:r>
      <w:r>
        <w:t>"</w:t>
      </w:r>
      <w:r w:rsidR="00BC019E">
        <w:t xml:space="preserve"> </w:t>
      </w:r>
      <w:r>
        <w:t>podría ser una alternativa para la representación dada en V.38. "</w:t>
      </w:r>
      <w:r w:rsidR="00BC019E">
        <w:t>Ser</w:t>
      </w:r>
      <w:r>
        <w:t>" (como subst</w:t>
      </w:r>
      <w:r w:rsidR="00BC019E">
        <w:t>ituto</w:t>
      </w:r>
      <w:r>
        <w:t xml:space="preserve">.) </w:t>
      </w:r>
      <w:r w:rsidR="00BC019E">
        <w:t>a</w:t>
      </w:r>
      <w:r>
        <w:t xml:space="preserve"> veces se ha utilizado para </w:t>
      </w:r>
      <w:proofErr w:type="spellStart"/>
      <w:r w:rsidR="00DF6534" w:rsidRPr="00DF6534">
        <w:rPr>
          <w:i/>
          <w:iCs/>
        </w:rPr>
        <w:t>bhava</w:t>
      </w:r>
      <w:proofErr w:type="spellEnd"/>
      <w:r>
        <w:t>, que de otro modo se convierte en "</w:t>
      </w:r>
      <w:r w:rsidR="00BC019E">
        <w:t>devenir</w:t>
      </w:r>
      <w:r>
        <w:t>".</w:t>
      </w:r>
    </w:p>
    <w:p w14:paraId="46C997F7" w14:textId="77777777" w:rsidR="001A1D0C" w:rsidRDefault="001A1D0C" w:rsidP="001A1D0C"/>
    <w:p w14:paraId="776E4C93" w14:textId="77777777" w:rsidR="001A1D0C" w:rsidRDefault="001A1D0C">
      <w:r>
        <w:br w:type="page"/>
      </w:r>
    </w:p>
    <w:p w14:paraId="039C9352" w14:textId="26EB9F51" w:rsidR="00580885" w:rsidRDefault="00AD6B1D" w:rsidP="00580885">
      <w:proofErr w:type="spellStart"/>
      <w:r>
        <w:lastRenderedPageBreak/>
        <w:t>a</w:t>
      </w:r>
      <w:r w:rsidR="00580885">
        <w:t xml:space="preserve"> sí</w:t>
      </w:r>
      <w:proofErr w:type="spellEnd"/>
      <w:r w:rsidR="00580885">
        <w:t xml:space="preserve"> mismo a los ritmos </w:t>
      </w:r>
      <w:r>
        <w:rPr>
          <w:i/>
          <w:iCs/>
        </w:rPr>
        <w:t>Pāḷi</w:t>
      </w:r>
      <w:r w:rsidR="00580885">
        <w:t xml:space="preserve">, aunque se </w:t>
      </w:r>
      <w:r>
        <w:t>ha</w:t>
      </w:r>
      <w:r w:rsidR="00084EE1">
        <w:t>ya</w:t>
      </w:r>
      <w:r>
        <w:t xml:space="preserve"> hecho</w:t>
      </w:r>
      <w:r w:rsidR="00580885">
        <w:t xml:space="preserve"> un intento de reproducirlos en el Capítulo IV.</w:t>
      </w:r>
    </w:p>
    <w:p w14:paraId="28CC58BA" w14:textId="665D1640" w:rsidR="00580885" w:rsidRDefault="00580885" w:rsidP="00580885">
      <w:pPr>
        <w:pStyle w:val="NormalConSangria"/>
      </w:pPr>
      <w:r>
        <w:t>Cuando se coment</w:t>
      </w:r>
      <w:r w:rsidR="00AD6B1D">
        <w:t>e</w:t>
      </w:r>
      <w:r>
        <w:t xml:space="preserve"> </w:t>
      </w:r>
      <w:r w:rsidR="00AD6B1D">
        <w:t>el</w:t>
      </w:r>
      <w:r>
        <w:t xml:space="preserve"> pasaje de un </w:t>
      </w:r>
      <w:proofErr w:type="spellStart"/>
      <w:r w:rsidR="00AD6B1D" w:rsidRPr="00AD6B1D">
        <w:rPr>
          <w:i/>
          <w:iCs/>
        </w:rPr>
        <w:t>sutta</w:t>
      </w:r>
      <w:proofErr w:type="spellEnd"/>
      <w:r>
        <w:t xml:space="preserve">, el orden de los comentarios explicativos </w:t>
      </w:r>
      <w:r w:rsidR="00AD6B1D">
        <w:t>seguirá</w:t>
      </w:r>
      <w:r>
        <w:t xml:space="preserve"> el orden de </w:t>
      </w:r>
      <w:r w:rsidR="00AD6B1D">
        <w:t xml:space="preserve">las </w:t>
      </w:r>
      <w:r>
        <w:t xml:space="preserve">palabras </w:t>
      </w:r>
      <w:r w:rsidR="00AD6B1D" w:rsidRPr="00AD6B1D">
        <w:rPr>
          <w:i/>
        </w:rPr>
        <w:t>Pāḷi</w:t>
      </w:r>
      <w:r>
        <w:t xml:space="preserve"> en la oración original, que no siempre </w:t>
      </w:r>
      <w:r w:rsidR="00AD6B1D">
        <w:t>corresponde al orden de</w:t>
      </w:r>
      <w:r>
        <w:t xml:space="preserve"> la traducción de </w:t>
      </w:r>
      <w:proofErr w:type="gramStart"/>
      <w:r>
        <w:t>la misma</w:t>
      </w:r>
      <w:proofErr w:type="gramEnd"/>
      <w:r>
        <w:t>.</w:t>
      </w:r>
    </w:p>
    <w:p w14:paraId="4274AA4B" w14:textId="0490A79E" w:rsidR="00580885" w:rsidRDefault="00580885" w:rsidP="00580885">
      <w:pPr>
        <w:pStyle w:val="NormalConSangria"/>
      </w:pPr>
      <w:r>
        <w:t xml:space="preserve">En los libros </w:t>
      </w:r>
      <w:r w:rsidR="0045141E">
        <w:t>indios</w:t>
      </w:r>
      <w:r>
        <w:t xml:space="preserve">, los títulos y subtítulos se colocan solo </w:t>
      </w:r>
      <w:r w:rsidR="00AD6B1D">
        <w:t>a</w:t>
      </w:r>
      <w:r>
        <w:t>l final del tema</w:t>
      </w:r>
      <w:r w:rsidR="00AD6B1D">
        <w:t xml:space="preserve"> en cuestión</w:t>
      </w:r>
      <w:r>
        <w:t>. En las traducciones</w:t>
      </w:r>
      <w:r w:rsidR="0045141E">
        <w:t>,</w:t>
      </w:r>
      <w:r>
        <w:t xml:space="preserve"> </w:t>
      </w:r>
      <w:r w:rsidR="00AD6B1D">
        <w:t xml:space="preserve">éstas </w:t>
      </w:r>
      <w:r>
        <w:t>se han insertado al principio y algunos subtítulos se agregaron en aras de la claridad. A</w:t>
      </w:r>
      <w:r w:rsidR="00AD6B1D">
        <w:t>l</w:t>
      </w:r>
      <w:r>
        <w:t xml:space="preserve"> respecto, el título al final del Cap</w:t>
      </w:r>
      <w:r w:rsidR="00EA1471">
        <w:t>.</w:t>
      </w:r>
      <w:r>
        <w:t xml:space="preserve"> XI, "Descripción de la </w:t>
      </w:r>
      <w:r w:rsidR="00AD6B1D">
        <w:t>Concentración</w:t>
      </w:r>
      <w:r>
        <w:t>" es un "</w:t>
      </w:r>
      <w:r w:rsidR="0045141E">
        <w:t>título</w:t>
      </w:r>
      <w:r>
        <w:t>" que se aplica no solo a ese capítulo sino al comienzo del Cap</w:t>
      </w:r>
      <w:r w:rsidR="00EA1471">
        <w:t>.</w:t>
      </w:r>
      <w:r>
        <w:t xml:space="preserve"> III. Del mismo modo, el título al final del </w:t>
      </w:r>
      <w:r w:rsidR="00EA1471">
        <w:t xml:space="preserve">Cap. </w:t>
      </w:r>
      <w:r>
        <w:t>XIII se refiere al comienzo del Cap</w:t>
      </w:r>
      <w:r w:rsidR="00EA1471">
        <w:t>.</w:t>
      </w:r>
      <w:r>
        <w:t xml:space="preserve"> XII. El </w:t>
      </w:r>
      <w:r w:rsidR="00EA1471">
        <w:t>título</w:t>
      </w:r>
      <w:r>
        <w:t xml:space="preserve"> "Descripción del </w:t>
      </w:r>
      <w:r w:rsidR="00AD6B1D">
        <w:t>Suelo sobre</w:t>
      </w:r>
      <w:r>
        <w:t xml:space="preserve"> el que crece la </w:t>
      </w:r>
      <w:r w:rsidR="00AD6B1D">
        <w:t>Sabiduría</w:t>
      </w:r>
      <w:r>
        <w:t>" (</w:t>
      </w:r>
      <w:proofErr w:type="spellStart"/>
      <w:r w:rsidRPr="00DF6534">
        <w:rPr>
          <w:i/>
          <w:iCs/>
        </w:rPr>
        <w:t>Pañine</w:t>
      </w:r>
      <w:proofErr w:type="spellEnd"/>
      <w:r w:rsidRPr="00DF6534">
        <w:rPr>
          <w:i/>
          <w:iCs/>
        </w:rPr>
        <w:t xml:space="preserve"> ora-</w:t>
      </w:r>
      <w:proofErr w:type="spellStart"/>
      <w:r w:rsidRPr="00DF6534">
        <w:rPr>
          <w:i/>
          <w:iCs/>
        </w:rPr>
        <w:t>Bhūmi</w:t>
      </w:r>
      <w:proofErr w:type="spellEnd"/>
      <w:r w:rsidRPr="00DF6534">
        <w:rPr>
          <w:i/>
          <w:iCs/>
        </w:rPr>
        <w:t>-</w:t>
      </w:r>
      <w:proofErr w:type="spellStart"/>
      <w:r w:rsidRPr="00DF6534">
        <w:rPr>
          <w:i/>
          <w:iCs/>
        </w:rPr>
        <w:t>Niddesa</w:t>
      </w:r>
      <w:proofErr w:type="spellEnd"/>
      <w:r>
        <w:t xml:space="preserve">) se refiere desde el final del </w:t>
      </w:r>
      <w:r w:rsidR="00EA1471">
        <w:t xml:space="preserve">Cap. </w:t>
      </w:r>
      <w:r>
        <w:t xml:space="preserve">XVII </w:t>
      </w:r>
      <w:r w:rsidR="00BF7CDC">
        <w:t>hacia atrás, hasta el</w:t>
      </w:r>
      <w:r>
        <w:t xml:space="preserve"> comienzo del </w:t>
      </w:r>
      <w:r w:rsidR="00BF7CDC">
        <w:t xml:space="preserve">Cap. </w:t>
      </w:r>
      <w:r>
        <w:t>XIV.</w:t>
      </w:r>
    </w:p>
    <w:p w14:paraId="10B5C71B" w14:textId="7826CBCC" w:rsidR="00580885" w:rsidRDefault="00580885" w:rsidP="00580885">
      <w:pPr>
        <w:pStyle w:val="NormalConSangria"/>
      </w:pPr>
      <w:r>
        <w:t>El libro abunda en alusiones "taquigr</w:t>
      </w:r>
      <w:r w:rsidR="00EF5693">
        <w:t>á</w:t>
      </w:r>
      <w:r>
        <w:t>f</w:t>
      </w:r>
      <w:r w:rsidR="00EF5693">
        <w:t>icas</w:t>
      </w:r>
      <w:r>
        <w:t xml:space="preserve">" a los </w:t>
      </w:r>
      <w:proofErr w:type="spellStart"/>
      <w:r w:rsidRPr="00DF6534">
        <w:rPr>
          <w:i/>
          <w:iCs/>
        </w:rPr>
        <w:t>Piṭakas</w:t>
      </w:r>
      <w:proofErr w:type="spellEnd"/>
      <w:r>
        <w:t xml:space="preserve"> y a otras partes de sí mism</w:t>
      </w:r>
      <w:r w:rsidR="00C63C1E">
        <w:t>o</w:t>
      </w:r>
      <w:r>
        <w:t xml:space="preserve">. A menudo son difíciles de reconocer y la incapacidad de hacerlo resulta en una oración con </w:t>
      </w:r>
      <w:r w:rsidR="00AD6B1D">
        <w:t>medio significado</w:t>
      </w:r>
      <w:r>
        <w:t xml:space="preserve">. Se espera que la mayoría de ellos hayan sido </w:t>
      </w:r>
      <w:r w:rsidR="00AD6B1D">
        <w:t>identificados</w:t>
      </w:r>
      <w:r>
        <w:t>.</w:t>
      </w:r>
    </w:p>
    <w:p w14:paraId="28A411B4" w14:textId="157B4616" w:rsidR="00580885" w:rsidRDefault="00580885" w:rsidP="00580885">
      <w:pPr>
        <w:pStyle w:val="NormalConSangria"/>
      </w:pPr>
      <w:r>
        <w:t>La crítica se ha limitado estrictamente a la aplicación de los estándares budistas de</w:t>
      </w:r>
      <w:r w:rsidR="00AD6B1D">
        <w:t>l</w:t>
      </w:r>
      <w:r>
        <w:t xml:space="preserve"> </w:t>
      </w:r>
      <w:r w:rsidR="00AD6B1D" w:rsidRPr="00AD6B1D">
        <w:rPr>
          <w:i/>
        </w:rPr>
        <w:t>Pāḷi</w:t>
      </w:r>
      <w:r>
        <w:t xml:space="preserve"> en un intento de </w:t>
      </w:r>
      <w:r w:rsidR="00AD6B1D">
        <w:t>re</w:t>
      </w:r>
      <w:r>
        <w:t xml:space="preserve">producir una contraparte inglesa equilibrada y sin </w:t>
      </w:r>
      <w:r w:rsidR="00D462E3">
        <w:t xml:space="preserve">el </w:t>
      </w:r>
      <w:r>
        <w:t>color del original. El uso de palabras ha sido más estricto en la traducción en sí que en la introducción a ella.</w:t>
      </w:r>
    </w:p>
    <w:p w14:paraId="7AA55380" w14:textId="4213949A" w:rsidR="00580885" w:rsidRDefault="00580885" w:rsidP="00580885">
      <w:pPr>
        <w:pStyle w:val="NormalConSangria"/>
      </w:pPr>
      <w:r>
        <w:t>El traductor, por supuesto, a veces habrá resbalado o no ha</w:t>
      </w:r>
      <w:r w:rsidR="00AD6B1D">
        <w:t>brá</w:t>
      </w:r>
      <w:r>
        <w:t xml:space="preserve"> podido seguir sus propias reglas; y hay muchos pasajes </w:t>
      </w:r>
      <w:r w:rsidR="00AD6B1D">
        <w:t>cuyas traducciones</w:t>
      </w:r>
      <w:r>
        <w:t xml:space="preserve"> está</w:t>
      </w:r>
      <w:r w:rsidR="00AD6B1D">
        <w:t>n</w:t>
      </w:r>
      <w:r>
        <w:t xml:space="preserve"> destinada</w:t>
      </w:r>
      <w:r w:rsidR="00AD6B1D">
        <w:t>s</w:t>
      </w:r>
      <w:r>
        <w:t xml:space="preserve"> a evocar </w:t>
      </w:r>
      <w:r w:rsidR="00AD6B1D">
        <w:t xml:space="preserve">la </w:t>
      </w:r>
      <w:r>
        <w:t>consulta de alg</w:t>
      </w:r>
      <w:r w:rsidR="00AD6B1D">
        <w:t>u</w:t>
      </w:r>
      <w:r>
        <w:t>n</w:t>
      </w:r>
      <w:r w:rsidR="00AD6B1D">
        <w:t>a</w:t>
      </w:r>
      <w:r>
        <w:t xml:space="preserve"> </w:t>
      </w:r>
      <w:r w:rsidR="00AD6B1D">
        <w:t>fuente</w:t>
      </w:r>
      <w:r>
        <w:t xml:space="preserve"> donde hay</w:t>
      </w:r>
      <w:r w:rsidR="00AD6B1D">
        <w:t>a</w:t>
      </w:r>
      <w:r>
        <w:t xml:space="preserve"> interés </w:t>
      </w:r>
      <w:r w:rsidR="00AD6B1D">
        <w:t>sobre</w:t>
      </w:r>
      <w:r>
        <w:t xml:space="preserve"> el tema. Sin embargo, en cuanto a las reglas y el vocabulario elegido, no </w:t>
      </w:r>
      <w:r w:rsidR="00AD6B1D">
        <w:t xml:space="preserve">se </w:t>
      </w:r>
      <w:r>
        <w:t xml:space="preserve">ha </w:t>
      </w:r>
      <w:r w:rsidR="00AD6B1D">
        <w:t>pretendido</w:t>
      </w:r>
      <w:r>
        <w:t xml:space="preserve"> establecer </w:t>
      </w:r>
      <w:r w:rsidR="00AD6B1D">
        <w:t>normas</w:t>
      </w:r>
      <w:r>
        <w:t xml:space="preserve"> y</w:t>
      </w:r>
      <w:r w:rsidR="005D330F">
        <w:t>,</w:t>
      </w:r>
      <w:r>
        <w:t xml:space="preserve"> cuando </w:t>
      </w:r>
      <w:r w:rsidR="00AD6B1D">
        <w:t>se describ</w:t>
      </w:r>
      <w:r w:rsidR="00AE70FF">
        <w:t>a</w:t>
      </w:r>
      <w:r w:rsidR="00AD6B1D">
        <w:t xml:space="preserve">n </w:t>
      </w:r>
      <w:r>
        <w:t>los métodos adoptados</w:t>
      </w:r>
      <w:r w:rsidR="00AE70FF">
        <w:t xml:space="preserve"> anteriormente</w:t>
      </w:r>
      <w:r>
        <w:t xml:space="preserve">, </w:t>
      </w:r>
      <w:r w:rsidR="00AD6B1D">
        <w:t xml:space="preserve">ello </w:t>
      </w:r>
      <w:r>
        <w:t xml:space="preserve">se </w:t>
      </w:r>
      <w:r w:rsidR="007E4EF0">
        <w:t xml:space="preserve">ha efectuado </w:t>
      </w:r>
      <w:r>
        <w:t xml:space="preserve">simplemente para indicar la línea </w:t>
      </w:r>
      <w:r w:rsidR="007E4EF0">
        <w:t>seguida</w:t>
      </w:r>
      <w:r w:rsidRPr="00DF6534">
        <w:rPr>
          <w:i/>
          <w:iCs/>
        </w:rPr>
        <w:t xml:space="preserve">: </w:t>
      </w:r>
      <w:proofErr w:type="spellStart"/>
      <w:r w:rsidRPr="00DF6534">
        <w:rPr>
          <w:i/>
          <w:iCs/>
        </w:rPr>
        <w:t>Janapada-niruttiṃ</w:t>
      </w:r>
      <w:proofErr w:type="spellEnd"/>
      <w:r w:rsidRPr="00DF6534">
        <w:rPr>
          <w:i/>
          <w:iCs/>
        </w:rPr>
        <w:t xml:space="preserve"> </w:t>
      </w:r>
      <w:proofErr w:type="spellStart"/>
      <w:r w:rsidRPr="00DF6534">
        <w:rPr>
          <w:i/>
          <w:iCs/>
        </w:rPr>
        <w:t>nābhiniveseyya</w:t>
      </w:r>
      <w:proofErr w:type="spellEnd"/>
      <w:r w:rsidRPr="00DF6534">
        <w:rPr>
          <w:i/>
          <w:iCs/>
        </w:rPr>
        <w:t xml:space="preserve">, </w:t>
      </w:r>
      <w:proofErr w:type="spellStart"/>
      <w:r w:rsidR="00DF6534" w:rsidRPr="00DF6534">
        <w:rPr>
          <w:i/>
          <w:iCs/>
        </w:rPr>
        <w:t>samañaṃ</w:t>
      </w:r>
      <w:proofErr w:type="spellEnd"/>
      <w:r w:rsidR="00DF6534" w:rsidRPr="00DF6534">
        <w:rPr>
          <w:i/>
          <w:iCs/>
        </w:rPr>
        <w:t xml:space="preserve"> </w:t>
      </w:r>
      <w:proofErr w:type="spellStart"/>
      <w:r w:rsidRPr="00DF6534">
        <w:rPr>
          <w:i/>
          <w:iCs/>
        </w:rPr>
        <w:t>nāti-dhāveyā</w:t>
      </w:r>
      <w:proofErr w:type="spellEnd"/>
      <w:r w:rsidRPr="00DF6534">
        <w:rPr>
          <w:i/>
          <w:iCs/>
        </w:rPr>
        <w:t xml:space="preserve"> </w:t>
      </w:r>
      <w:proofErr w:type="spellStart"/>
      <w:r w:rsidRPr="00DF6534">
        <w:rPr>
          <w:i/>
          <w:iCs/>
        </w:rPr>
        <w:t>tii</w:t>
      </w:r>
      <w:proofErr w:type="spellEnd"/>
      <w:r>
        <w:t xml:space="preserve"> (Ver XVII.24).</w:t>
      </w:r>
    </w:p>
    <w:p w14:paraId="53418E69" w14:textId="6171C5EA" w:rsidR="0059206B" w:rsidRDefault="0059206B">
      <w:r>
        <w:br w:type="page"/>
      </w:r>
    </w:p>
    <w:p w14:paraId="64C28270" w14:textId="4B027E88" w:rsidR="0078571A" w:rsidRDefault="0078571A">
      <w:pPr>
        <w:tabs>
          <w:tab w:val="clear" w:pos="425"/>
        </w:tabs>
        <w:spacing w:after="160"/>
      </w:pPr>
      <w:r>
        <w:lastRenderedPageBreak/>
        <w:br w:type="page"/>
      </w:r>
    </w:p>
    <w:p w14:paraId="7DC93DD2" w14:textId="3AB8CB71" w:rsidR="00E56D68" w:rsidRDefault="00E56D68" w:rsidP="00E56D68">
      <w:pPr>
        <w:pStyle w:val="Ttulo2"/>
        <w:jc w:val="center"/>
      </w:pPr>
      <w:r w:rsidRPr="0027004F">
        <w:lastRenderedPageBreak/>
        <w:t>Introducción</w:t>
      </w:r>
      <w:r>
        <w:br/>
      </w:r>
      <w:r w:rsidRPr="0027004F">
        <w:t>del Editor al Español</w:t>
      </w:r>
    </w:p>
    <w:p w14:paraId="2C5594E8" w14:textId="77777777" w:rsidR="00E56D68" w:rsidRDefault="00E56D68" w:rsidP="00E56D68">
      <w:pPr>
        <w:ind w:left="360"/>
      </w:pPr>
    </w:p>
    <w:p w14:paraId="6A3E463F" w14:textId="77777777" w:rsidR="00E56D68" w:rsidRPr="007777A7" w:rsidRDefault="00E56D68" w:rsidP="00E56D68">
      <w:pPr>
        <w:pStyle w:val="Ttulo3"/>
        <w:rPr>
          <w:b/>
          <w:bCs/>
          <w:sz w:val="14"/>
          <w:szCs w:val="20"/>
        </w:rPr>
      </w:pPr>
      <w:r w:rsidRPr="007777A7">
        <w:rPr>
          <w:b/>
          <w:bCs/>
          <w:sz w:val="14"/>
          <w:szCs w:val="20"/>
        </w:rPr>
        <w:t>Tradición y Objetivo del Emprendimiento</w:t>
      </w:r>
    </w:p>
    <w:p w14:paraId="7219C10A" w14:textId="1D2AE0E9" w:rsidR="00E56D68" w:rsidRDefault="00E56D68" w:rsidP="00E56D68">
      <w:pPr>
        <w:ind w:firstLine="284"/>
        <w:rPr>
          <w:sz w:val="14"/>
          <w:szCs w:val="18"/>
        </w:rPr>
      </w:pPr>
      <w:r>
        <w:rPr>
          <w:sz w:val="14"/>
          <w:szCs w:val="18"/>
        </w:rPr>
        <w:t xml:space="preserve">La presente versión del </w:t>
      </w:r>
      <w:r w:rsidRPr="002C7D28">
        <w:rPr>
          <w:i/>
          <w:iCs/>
          <w:sz w:val="14"/>
          <w:szCs w:val="18"/>
        </w:rPr>
        <w:t>Visuddhimagga</w:t>
      </w:r>
      <w:r>
        <w:rPr>
          <w:sz w:val="14"/>
          <w:szCs w:val="18"/>
        </w:rPr>
        <w:t xml:space="preserve"> es una bastante diferente de la mayoría de la literatura encontrada en la bibliografía budista. El autor de este trabajo, es un practicante de la meditación </w:t>
      </w:r>
      <w:r w:rsidRPr="00490FB3">
        <w:rPr>
          <w:i/>
          <w:iCs/>
          <w:sz w:val="14"/>
          <w:szCs w:val="18"/>
        </w:rPr>
        <w:t>Vipassana</w:t>
      </w:r>
      <w:r>
        <w:rPr>
          <w:sz w:val="14"/>
          <w:szCs w:val="18"/>
        </w:rPr>
        <w:t xml:space="preserve"> en la tradición originalmente birmana y, cabe muy oportunamente resaltar, esencialmente laica, constituida cronológicamente por la tradición de maestros identificada, hasta donde lo permite los registros históricos, por Ledi Sayādaw (un reconocido monje birmano), Saya Thetgyi, Sayagyi U Ba Khin y, el último maestro indo-birmano, </w:t>
      </w:r>
      <w:proofErr w:type="spellStart"/>
      <w:r>
        <w:rPr>
          <w:sz w:val="14"/>
          <w:szCs w:val="18"/>
        </w:rPr>
        <w:t>Satyan</w:t>
      </w:r>
      <w:proofErr w:type="spellEnd"/>
      <w:r>
        <w:rPr>
          <w:sz w:val="14"/>
          <w:szCs w:val="18"/>
        </w:rPr>
        <w:t xml:space="preserve"> </w:t>
      </w:r>
      <w:proofErr w:type="spellStart"/>
      <w:r>
        <w:rPr>
          <w:sz w:val="14"/>
          <w:szCs w:val="18"/>
        </w:rPr>
        <w:t>Narayan</w:t>
      </w:r>
      <w:proofErr w:type="spellEnd"/>
      <w:r>
        <w:rPr>
          <w:sz w:val="14"/>
          <w:szCs w:val="18"/>
        </w:rPr>
        <w:t xml:space="preserve"> Goenka, siendo estos últimos hombres tres convencionales laicos y padres familia de la sociedad birmana. </w:t>
      </w:r>
    </w:p>
    <w:p w14:paraId="610F9AE3" w14:textId="483E8C0F" w:rsidR="00E56D68" w:rsidRDefault="00E56D68" w:rsidP="00E56D68">
      <w:pPr>
        <w:ind w:firstLine="284"/>
        <w:rPr>
          <w:sz w:val="14"/>
          <w:szCs w:val="18"/>
        </w:rPr>
      </w:pPr>
      <w:r>
        <w:rPr>
          <w:sz w:val="14"/>
          <w:szCs w:val="18"/>
        </w:rPr>
        <w:t>Aunque sea lícito e irreprochable, sino más bien encomiable y auspicioso, el objetivo del presente libro no consiste en satisfacer una sana curiosidad intelectual</w:t>
      </w:r>
      <w:r w:rsidR="0030493E">
        <w:rPr>
          <w:sz w:val="14"/>
          <w:szCs w:val="18"/>
        </w:rPr>
        <w:t>, literaria</w:t>
      </w:r>
      <w:r>
        <w:rPr>
          <w:sz w:val="14"/>
          <w:szCs w:val="18"/>
        </w:rPr>
        <w:t xml:space="preserve"> o histórica sobre las enseñanzas del </w:t>
      </w:r>
      <w:r w:rsidRPr="009215B0">
        <w:rPr>
          <w:i/>
          <w:iCs/>
          <w:sz w:val="14"/>
          <w:szCs w:val="18"/>
        </w:rPr>
        <w:t>Buddha</w:t>
      </w:r>
      <w:r>
        <w:rPr>
          <w:sz w:val="14"/>
          <w:szCs w:val="18"/>
        </w:rPr>
        <w:t xml:space="preserve"> o sobre su vida, sino más bien, complementar la práctica de la meditación de la purificación mental con textos que puedan servir como inspiración para continuar con el desarrollo personal. En la presente tradición, la máxima importancia es asignada a la práctica de la purificación mental, es decir</w:t>
      </w:r>
      <w:r w:rsidR="0030493E">
        <w:rPr>
          <w:sz w:val="14"/>
          <w:szCs w:val="18"/>
        </w:rPr>
        <w:t>,</w:t>
      </w:r>
      <w:r>
        <w:rPr>
          <w:sz w:val="14"/>
          <w:szCs w:val="18"/>
        </w:rPr>
        <w:t xml:space="preserve"> a la meditación </w:t>
      </w:r>
      <w:r w:rsidRPr="00ED6F4C">
        <w:rPr>
          <w:i/>
          <w:iCs/>
          <w:sz w:val="14"/>
          <w:szCs w:val="18"/>
        </w:rPr>
        <w:t>Vipassana</w:t>
      </w:r>
      <w:r>
        <w:rPr>
          <w:sz w:val="14"/>
          <w:szCs w:val="18"/>
        </w:rPr>
        <w:t xml:space="preserve"> o también, </w:t>
      </w:r>
      <w:r w:rsidRPr="00ED6F4C">
        <w:rPr>
          <w:i/>
          <w:iCs/>
          <w:sz w:val="14"/>
          <w:szCs w:val="18"/>
        </w:rPr>
        <w:t>Satipaṭṭhāna</w:t>
      </w:r>
      <w:r>
        <w:rPr>
          <w:i/>
          <w:iCs/>
          <w:sz w:val="14"/>
          <w:szCs w:val="18"/>
        </w:rPr>
        <w:t>,</w:t>
      </w:r>
      <w:r>
        <w:rPr>
          <w:sz w:val="14"/>
          <w:szCs w:val="18"/>
        </w:rPr>
        <w:t xml:space="preserve"> </w:t>
      </w:r>
      <w:r w:rsidR="0030493E">
        <w:rPr>
          <w:sz w:val="14"/>
          <w:szCs w:val="18"/>
        </w:rPr>
        <w:t xml:space="preserve">las cuales </w:t>
      </w:r>
      <w:r>
        <w:rPr>
          <w:sz w:val="14"/>
          <w:szCs w:val="18"/>
        </w:rPr>
        <w:t xml:space="preserve">en la presente tradición son inminentemente sinónimas. No sólo en opinión del editor en español, sino de otros autores, es sabido que el presente libro fue diseñado especialmente para la comunidad monástica del </w:t>
      </w:r>
      <w:r w:rsidRPr="0033387D">
        <w:rPr>
          <w:i/>
          <w:iCs/>
          <w:sz w:val="14"/>
          <w:szCs w:val="18"/>
        </w:rPr>
        <w:t>Saṅgha</w:t>
      </w:r>
      <w:r>
        <w:rPr>
          <w:sz w:val="14"/>
          <w:szCs w:val="18"/>
        </w:rPr>
        <w:t xml:space="preserve"> y que la práctica laica es conspicuamente diferente. El objetivo es </w:t>
      </w:r>
      <w:r w:rsidR="0030493E">
        <w:rPr>
          <w:sz w:val="14"/>
          <w:szCs w:val="18"/>
        </w:rPr>
        <w:t xml:space="preserve">que el lecto pueda </w:t>
      </w:r>
      <w:r>
        <w:rPr>
          <w:sz w:val="14"/>
          <w:szCs w:val="18"/>
        </w:rPr>
        <w:t xml:space="preserve">reconocer tales diferencias y reconocer las invaluables cualidades del </w:t>
      </w:r>
      <w:r w:rsidRPr="000142C3">
        <w:rPr>
          <w:i/>
          <w:iCs/>
          <w:sz w:val="14"/>
          <w:szCs w:val="18"/>
        </w:rPr>
        <w:t>Buddha</w:t>
      </w:r>
      <w:r>
        <w:rPr>
          <w:i/>
          <w:iCs/>
          <w:sz w:val="14"/>
          <w:szCs w:val="18"/>
        </w:rPr>
        <w:t>,</w:t>
      </w:r>
      <w:r>
        <w:rPr>
          <w:sz w:val="14"/>
          <w:szCs w:val="18"/>
        </w:rPr>
        <w:t xml:space="preserve"> pero sobre todo, en el caso presente, del </w:t>
      </w:r>
      <w:r w:rsidRPr="000142C3">
        <w:rPr>
          <w:i/>
          <w:iCs/>
          <w:sz w:val="14"/>
          <w:szCs w:val="18"/>
        </w:rPr>
        <w:t>Saṅgha</w:t>
      </w:r>
      <w:r>
        <w:rPr>
          <w:sz w:val="14"/>
          <w:szCs w:val="18"/>
        </w:rPr>
        <w:t xml:space="preserve">, los practicantes emblemáticos del </w:t>
      </w:r>
      <w:r w:rsidRPr="00202B3F">
        <w:rPr>
          <w:i/>
          <w:iCs/>
          <w:sz w:val="14"/>
          <w:szCs w:val="18"/>
        </w:rPr>
        <w:t>Dhamma</w:t>
      </w:r>
      <w:r w:rsidR="00C02FC3">
        <w:rPr>
          <w:sz w:val="14"/>
          <w:szCs w:val="18"/>
        </w:rPr>
        <w:t xml:space="preserve"> bajo el régimen de clausura</w:t>
      </w:r>
      <w:r>
        <w:rPr>
          <w:sz w:val="14"/>
          <w:szCs w:val="18"/>
        </w:rPr>
        <w:t>.</w:t>
      </w:r>
    </w:p>
    <w:p w14:paraId="2EB5D2DA" w14:textId="3F94CAF5" w:rsidR="00E56D68" w:rsidRDefault="00E56D68" w:rsidP="00E56D68">
      <w:pPr>
        <w:ind w:firstLine="284"/>
        <w:rPr>
          <w:sz w:val="14"/>
          <w:szCs w:val="18"/>
        </w:rPr>
      </w:pPr>
      <w:r>
        <w:rPr>
          <w:sz w:val="14"/>
          <w:szCs w:val="18"/>
        </w:rPr>
        <w:t xml:space="preserve">La presente versión del </w:t>
      </w:r>
      <w:r>
        <w:rPr>
          <w:i/>
          <w:iCs/>
          <w:sz w:val="14"/>
          <w:szCs w:val="18"/>
        </w:rPr>
        <w:t>Visuddhimagga</w:t>
      </w:r>
      <w:r>
        <w:t xml:space="preserve"> </w:t>
      </w:r>
      <w:r w:rsidRPr="007F644C">
        <w:rPr>
          <w:sz w:val="14"/>
          <w:szCs w:val="18"/>
        </w:rPr>
        <w:t>no representa</w:t>
      </w:r>
      <w:r>
        <w:rPr>
          <w:sz w:val="14"/>
          <w:szCs w:val="18"/>
        </w:rPr>
        <w:t xml:space="preserve"> una traducción literal del inglés al español y mucho menos del </w:t>
      </w:r>
      <w:r w:rsidRPr="00C02FC3">
        <w:rPr>
          <w:i/>
          <w:iCs/>
          <w:sz w:val="14"/>
          <w:szCs w:val="18"/>
        </w:rPr>
        <w:t>pāḷi</w:t>
      </w:r>
      <w:r>
        <w:rPr>
          <w:sz w:val="14"/>
          <w:szCs w:val="18"/>
        </w:rPr>
        <w:t xml:space="preserve"> al español, ésta es una adaptación de la versión traducida </w:t>
      </w:r>
      <w:r w:rsidR="00FB5F0F">
        <w:rPr>
          <w:sz w:val="14"/>
          <w:szCs w:val="18"/>
        </w:rPr>
        <w:t xml:space="preserve">del </w:t>
      </w:r>
      <w:r w:rsidR="002E4EE9">
        <w:rPr>
          <w:sz w:val="14"/>
          <w:szCs w:val="18"/>
        </w:rPr>
        <w:t xml:space="preserve">inglés </w:t>
      </w:r>
      <w:r w:rsidR="00FB5F0F">
        <w:rPr>
          <w:sz w:val="14"/>
          <w:szCs w:val="18"/>
        </w:rPr>
        <w:t xml:space="preserve">al pāḷi, </w:t>
      </w:r>
      <w:r>
        <w:rPr>
          <w:sz w:val="14"/>
          <w:szCs w:val="18"/>
        </w:rPr>
        <w:t>a través de un lenguaje moderno, contemporáneo</w:t>
      </w:r>
      <w:r w:rsidR="00FB5F0F">
        <w:rPr>
          <w:sz w:val="14"/>
          <w:szCs w:val="18"/>
        </w:rPr>
        <w:t>,</w:t>
      </w:r>
      <w:r>
        <w:rPr>
          <w:sz w:val="14"/>
          <w:szCs w:val="18"/>
        </w:rPr>
        <w:t xml:space="preserve"> que se adapte a la idiosincrasia de la </w:t>
      </w:r>
      <w:r w:rsidR="000A6287">
        <w:rPr>
          <w:sz w:val="14"/>
          <w:szCs w:val="18"/>
        </w:rPr>
        <w:t>sociedad moderna</w:t>
      </w:r>
      <w:r>
        <w:rPr>
          <w:sz w:val="14"/>
          <w:szCs w:val="18"/>
        </w:rPr>
        <w:t xml:space="preserve">, </w:t>
      </w:r>
      <w:r w:rsidR="000A6287">
        <w:rPr>
          <w:sz w:val="14"/>
          <w:szCs w:val="18"/>
        </w:rPr>
        <w:t xml:space="preserve">a </w:t>
      </w:r>
      <w:r>
        <w:rPr>
          <w:sz w:val="14"/>
          <w:szCs w:val="18"/>
        </w:rPr>
        <w:t xml:space="preserve">una época colmada de excesiva oferta informativa, conflictos bélicos internacionales y smartphones en el rostro. </w:t>
      </w:r>
    </w:p>
    <w:p w14:paraId="1066CD9D" w14:textId="77777777" w:rsidR="00E56D68" w:rsidRPr="007777A7" w:rsidRDefault="00E56D68" w:rsidP="00E56D68">
      <w:pPr>
        <w:pStyle w:val="Ttulo3"/>
        <w:rPr>
          <w:b/>
          <w:bCs/>
          <w:i/>
          <w:iCs/>
          <w:sz w:val="14"/>
          <w:szCs w:val="20"/>
        </w:rPr>
      </w:pPr>
      <w:r w:rsidRPr="007777A7">
        <w:rPr>
          <w:b/>
          <w:bCs/>
          <w:sz w:val="14"/>
          <w:szCs w:val="20"/>
        </w:rPr>
        <w:t xml:space="preserve">Sobre el Lector Objetivo, </w:t>
      </w:r>
    </w:p>
    <w:p w14:paraId="52EAC066" w14:textId="49BBDCD3" w:rsidR="00E56D68" w:rsidRPr="00AB7414" w:rsidRDefault="00E56D68" w:rsidP="00E56D68">
      <w:pPr>
        <w:ind w:firstLine="284"/>
        <w:rPr>
          <w:sz w:val="14"/>
          <w:szCs w:val="18"/>
        </w:rPr>
      </w:pPr>
      <w:r>
        <w:rPr>
          <w:sz w:val="14"/>
          <w:szCs w:val="18"/>
        </w:rPr>
        <w:t xml:space="preserve">Por lo tanto, la presente versión del </w:t>
      </w:r>
      <w:r w:rsidRPr="00173555">
        <w:rPr>
          <w:i/>
          <w:iCs/>
          <w:sz w:val="14"/>
          <w:szCs w:val="18"/>
        </w:rPr>
        <w:t>Visuddhimagga</w:t>
      </w:r>
      <w:r>
        <w:rPr>
          <w:sz w:val="14"/>
          <w:szCs w:val="18"/>
        </w:rPr>
        <w:t xml:space="preserve"> está orientada esencialmente a aquellos practicantes laicos de la meditación </w:t>
      </w:r>
      <w:r w:rsidRPr="00B33A2B">
        <w:rPr>
          <w:i/>
          <w:iCs/>
          <w:sz w:val="14"/>
          <w:szCs w:val="18"/>
        </w:rPr>
        <w:t>Vipassana</w:t>
      </w:r>
      <w:r>
        <w:rPr>
          <w:sz w:val="14"/>
          <w:szCs w:val="18"/>
        </w:rPr>
        <w:t xml:space="preserve"> que deseen satisfacer sus conocimientos prácticos con detalles sobre la vida monástica y los eventos cotidianos en los que se basaba, o se basa, su régimen de vida diario, como parte de una también sana curiosidad, pero surgida de la práctica meditativa, de tal forma de evocar las inconmensurables cualidades del </w:t>
      </w:r>
      <w:r w:rsidRPr="001730A4">
        <w:rPr>
          <w:i/>
          <w:iCs/>
          <w:sz w:val="14"/>
          <w:szCs w:val="18"/>
        </w:rPr>
        <w:t>Saṅgha</w:t>
      </w:r>
      <w:r>
        <w:rPr>
          <w:sz w:val="14"/>
          <w:szCs w:val="18"/>
        </w:rPr>
        <w:t xml:space="preserve"> de forma más objetiva, aspecto imprescindible de la práctica y</w:t>
      </w:r>
      <w:r w:rsidR="000D4B1C">
        <w:rPr>
          <w:sz w:val="14"/>
          <w:szCs w:val="18"/>
        </w:rPr>
        <w:t>,</w:t>
      </w:r>
      <w:r>
        <w:rPr>
          <w:sz w:val="14"/>
          <w:szCs w:val="18"/>
        </w:rPr>
        <w:t xml:space="preserve"> </w:t>
      </w:r>
      <w:r w:rsidR="000D4B1C">
        <w:rPr>
          <w:sz w:val="14"/>
          <w:szCs w:val="18"/>
        </w:rPr>
        <w:t xml:space="preserve">así, </w:t>
      </w:r>
      <w:r>
        <w:rPr>
          <w:sz w:val="14"/>
          <w:szCs w:val="18"/>
        </w:rPr>
        <w:t xml:space="preserve">poder continuar con su trabajo de purificación personal.  </w:t>
      </w:r>
    </w:p>
    <w:p w14:paraId="12E3E405" w14:textId="77777777" w:rsidR="00E56D68" w:rsidRDefault="00E56D68" w:rsidP="00E56D68">
      <w:pPr>
        <w:pStyle w:val="Ttulo4"/>
        <w:rPr>
          <w:sz w:val="14"/>
          <w:szCs w:val="18"/>
        </w:rPr>
      </w:pPr>
      <w:r w:rsidRPr="003E0C6E">
        <w:rPr>
          <w:sz w:val="14"/>
          <w:szCs w:val="18"/>
        </w:rPr>
        <w:t xml:space="preserve">Vida Laica y Vida Monástica, </w:t>
      </w:r>
    </w:p>
    <w:p w14:paraId="4BAF5AEC" w14:textId="77777777" w:rsidR="00E56D68" w:rsidRDefault="00E56D68" w:rsidP="00E56D68">
      <w:pPr>
        <w:ind w:firstLine="284"/>
        <w:rPr>
          <w:sz w:val="14"/>
          <w:szCs w:val="18"/>
        </w:rPr>
      </w:pPr>
      <w:r>
        <w:rPr>
          <w:sz w:val="14"/>
          <w:szCs w:val="18"/>
        </w:rPr>
        <w:t xml:space="preserve">Dicho esto, cabe destacar que en la presente tradición es común enfatizar sobre la gran diferencia que existe en las enseñanzas en el formato monástico y el laico. Se pretende que lecturas como éstas permitan aclarar al meditador qué corresponde realistamente a su régimen de práctica laico y qué a la práctica monástica, exclusiva para los monjes, cuyo objetivo consiste en alcanzar la purificación total en el menor récord de tiempo posible. La enorme cantidad de contaminaciones e impurezas ante la que se ve expuesto un practicante laico de meditación </w:t>
      </w:r>
      <w:r w:rsidRPr="00A87D75">
        <w:rPr>
          <w:i/>
          <w:iCs/>
          <w:sz w:val="14"/>
          <w:szCs w:val="18"/>
        </w:rPr>
        <w:t>Vipassana</w:t>
      </w:r>
      <w:r>
        <w:rPr>
          <w:sz w:val="14"/>
          <w:szCs w:val="18"/>
        </w:rPr>
        <w:t xml:space="preserve"> le haría imposible emprender aspectos de la practica monástica cuyo poder supremo sólo se lo permite un régimen de vida de máxima clausura, renunciación y virtud superior. </w:t>
      </w:r>
    </w:p>
    <w:p w14:paraId="213FF809" w14:textId="77777777" w:rsidR="00E56D68" w:rsidRDefault="00E56D68" w:rsidP="00E56D68">
      <w:pPr>
        <w:pStyle w:val="Ttulo4"/>
        <w:rPr>
          <w:sz w:val="14"/>
          <w:szCs w:val="18"/>
        </w:rPr>
      </w:pPr>
      <w:r w:rsidRPr="003E0C6E">
        <w:rPr>
          <w:sz w:val="14"/>
          <w:szCs w:val="18"/>
        </w:rPr>
        <w:t>Tipo</w:t>
      </w:r>
      <w:r>
        <w:rPr>
          <w:sz w:val="14"/>
          <w:szCs w:val="18"/>
        </w:rPr>
        <w:t>s</w:t>
      </w:r>
      <w:r w:rsidRPr="003E0C6E">
        <w:rPr>
          <w:sz w:val="14"/>
          <w:szCs w:val="18"/>
        </w:rPr>
        <w:t xml:space="preserve"> de meditador </w:t>
      </w:r>
    </w:p>
    <w:p w14:paraId="2E1B451E" w14:textId="340B81FF" w:rsidR="00E56D68" w:rsidRDefault="00E56D68" w:rsidP="00E56D68">
      <w:pPr>
        <w:ind w:firstLine="284"/>
        <w:rPr>
          <w:sz w:val="14"/>
          <w:szCs w:val="18"/>
        </w:rPr>
      </w:pPr>
      <w:r>
        <w:rPr>
          <w:sz w:val="14"/>
          <w:szCs w:val="18"/>
        </w:rPr>
        <w:t xml:space="preserve">Habiendo hecho esta distinción, el editor del libro se atreverá a la audacia de hacer otra distinción. Debe tenerse en cuenta que existen muchos tipos de purificación mental de acuerdo a las inclinaciones y tendencias subyacentes de un meditador, esta afirmación está basada en la práctica personal y en la tangencial referencia que hace el Venerable Ledi </w:t>
      </w:r>
      <w:proofErr w:type="spellStart"/>
      <w:r>
        <w:rPr>
          <w:sz w:val="14"/>
          <w:szCs w:val="18"/>
        </w:rPr>
        <w:t>Sayādaw</w:t>
      </w:r>
      <w:r w:rsidRPr="00C457FF">
        <w:rPr>
          <w:sz w:val="14"/>
          <w:szCs w:val="18"/>
          <w:vertAlign w:val="superscript"/>
        </w:rPr>
        <w:t>a</w:t>
      </w:r>
      <w:proofErr w:type="spellEnd"/>
      <w:r>
        <w:rPr>
          <w:sz w:val="14"/>
          <w:szCs w:val="18"/>
        </w:rPr>
        <w:t xml:space="preserve"> con respecto a estos dos tipos de meditadores: el meditador </w:t>
      </w:r>
      <w:proofErr w:type="spellStart"/>
      <w:r w:rsidRPr="00874E28">
        <w:rPr>
          <w:i/>
          <w:iCs/>
          <w:sz w:val="14"/>
          <w:szCs w:val="18"/>
        </w:rPr>
        <w:t>sukkha</w:t>
      </w:r>
      <w:proofErr w:type="spellEnd"/>
      <w:r w:rsidRPr="00874E28">
        <w:rPr>
          <w:i/>
          <w:iCs/>
          <w:sz w:val="14"/>
          <w:szCs w:val="18"/>
        </w:rPr>
        <w:t xml:space="preserve"> </w:t>
      </w:r>
      <w:proofErr w:type="spellStart"/>
      <w:r w:rsidRPr="00874E28">
        <w:rPr>
          <w:i/>
          <w:iCs/>
          <w:sz w:val="14"/>
          <w:szCs w:val="18"/>
        </w:rPr>
        <w:t>vipa</w:t>
      </w:r>
      <w:r>
        <w:rPr>
          <w:i/>
          <w:iCs/>
          <w:sz w:val="14"/>
          <w:szCs w:val="18"/>
        </w:rPr>
        <w:t>s</w:t>
      </w:r>
      <w:r w:rsidRPr="00874E28">
        <w:rPr>
          <w:i/>
          <w:iCs/>
          <w:sz w:val="14"/>
          <w:szCs w:val="18"/>
        </w:rPr>
        <w:t>saka</w:t>
      </w:r>
      <w:proofErr w:type="spellEnd"/>
      <w:r>
        <w:rPr>
          <w:i/>
          <w:iCs/>
          <w:sz w:val="14"/>
          <w:szCs w:val="18"/>
        </w:rPr>
        <w:t xml:space="preserve"> </w:t>
      </w:r>
      <w:r>
        <w:rPr>
          <w:sz w:val="14"/>
          <w:szCs w:val="18"/>
        </w:rPr>
        <w:t xml:space="preserve">y el meditador </w:t>
      </w:r>
      <w:proofErr w:type="spellStart"/>
      <w:r w:rsidRPr="00C457FF">
        <w:rPr>
          <w:i/>
          <w:iCs/>
          <w:sz w:val="14"/>
          <w:szCs w:val="18"/>
        </w:rPr>
        <w:t>jhāna</w:t>
      </w:r>
      <w:proofErr w:type="spellEnd"/>
      <w:r w:rsidRPr="00C457FF">
        <w:rPr>
          <w:i/>
          <w:iCs/>
          <w:sz w:val="14"/>
          <w:szCs w:val="18"/>
        </w:rPr>
        <w:t xml:space="preserve"> </w:t>
      </w:r>
      <w:proofErr w:type="spellStart"/>
      <w:r w:rsidRPr="00C457FF">
        <w:rPr>
          <w:i/>
          <w:iCs/>
          <w:sz w:val="14"/>
          <w:szCs w:val="18"/>
        </w:rPr>
        <w:t>labbi</w:t>
      </w:r>
      <w:proofErr w:type="spellEnd"/>
      <w:r>
        <w:rPr>
          <w:sz w:val="14"/>
          <w:szCs w:val="18"/>
        </w:rPr>
        <w:t xml:space="preserve">, el primero es el que se dedica a la purificación mediante la </w:t>
      </w:r>
      <w:r w:rsidRPr="00C678F7">
        <w:rPr>
          <w:i/>
          <w:iCs/>
          <w:sz w:val="14"/>
          <w:szCs w:val="18"/>
        </w:rPr>
        <w:t>sola sabiduría</w:t>
      </w:r>
      <w:r>
        <w:rPr>
          <w:i/>
          <w:iCs/>
          <w:sz w:val="14"/>
          <w:szCs w:val="18"/>
        </w:rPr>
        <w:t xml:space="preserve">, </w:t>
      </w:r>
      <w:r w:rsidRPr="008A7B49">
        <w:rPr>
          <w:sz w:val="14"/>
          <w:szCs w:val="18"/>
        </w:rPr>
        <w:t>a través del desarrollo de una concentración</w:t>
      </w:r>
      <w:r>
        <w:rPr>
          <w:sz w:val="14"/>
          <w:szCs w:val="18"/>
        </w:rPr>
        <w:t xml:space="preserve"> instantánea o ajeno a cualquier tipo de absorción, </w:t>
      </w:r>
      <w:proofErr w:type="spellStart"/>
      <w:r w:rsidRPr="00AD14AD">
        <w:rPr>
          <w:i/>
          <w:iCs/>
          <w:sz w:val="14"/>
          <w:szCs w:val="18"/>
        </w:rPr>
        <w:t>khaṇika</w:t>
      </w:r>
      <w:proofErr w:type="spellEnd"/>
      <w:r w:rsidRPr="00AD14AD">
        <w:rPr>
          <w:i/>
          <w:iCs/>
          <w:sz w:val="14"/>
          <w:szCs w:val="18"/>
        </w:rPr>
        <w:t xml:space="preserve"> samādhi</w:t>
      </w:r>
      <w:r>
        <w:rPr>
          <w:sz w:val="14"/>
          <w:szCs w:val="18"/>
        </w:rPr>
        <w:t xml:space="preserve">, es decir, sin el desarrollo de ninguna absorción </w:t>
      </w:r>
      <w:proofErr w:type="spellStart"/>
      <w:r w:rsidRPr="00AD14AD">
        <w:rPr>
          <w:i/>
          <w:iCs/>
          <w:sz w:val="14"/>
          <w:szCs w:val="18"/>
        </w:rPr>
        <w:t>jhanica</w:t>
      </w:r>
      <w:proofErr w:type="spellEnd"/>
      <w:r>
        <w:rPr>
          <w:sz w:val="14"/>
          <w:szCs w:val="18"/>
        </w:rPr>
        <w:t xml:space="preserve"> como parte de su trabajo; el segundo, es el que</w:t>
      </w:r>
      <w:r w:rsidR="00F935A6">
        <w:rPr>
          <w:sz w:val="14"/>
          <w:szCs w:val="18"/>
        </w:rPr>
        <w:t>,</w:t>
      </w:r>
      <w:r>
        <w:rPr>
          <w:sz w:val="14"/>
          <w:szCs w:val="18"/>
        </w:rPr>
        <w:t xml:space="preserve"> efectivamente</w:t>
      </w:r>
      <w:r w:rsidR="00F935A6">
        <w:rPr>
          <w:sz w:val="14"/>
          <w:szCs w:val="18"/>
        </w:rPr>
        <w:t>,</w:t>
      </w:r>
      <w:r>
        <w:rPr>
          <w:sz w:val="14"/>
          <w:szCs w:val="18"/>
        </w:rPr>
        <w:t xml:space="preserve"> desarrolla las absorciones de los </w:t>
      </w:r>
      <w:proofErr w:type="spellStart"/>
      <w:r w:rsidRPr="00C678F7">
        <w:rPr>
          <w:i/>
          <w:iCs/>
          <w:sz w:val="14"/>
          <w:szCs w:val="18"/>
        </w:rPr>
        <w:t>jhānas</w:t>
      </w:r>
      <w:proofErr w:type="spellEnd"/>
      <w:r>
        <w:rPr>
          <w:i/>
          <w:iCs/>
          <w:sz w:val="14"/>
          <w:szCs w:val="18"/>
        </w:rPr>
        <w:t xml:space="preserve">, </w:t>
      </w:r>
      <w:r>
        <w:rPr>
          <w:sz w:val="14"/>
          <w:szCs w:val="18"/>
        </w:rPr>
        <w:t xml:space="preserve">caso muy común y representativo de los </w:t>
      </w:r>
      <w:proofErr w:type="spellStart"/>
      <w:r w:rsidRPr="00AD14AD">
        <w:rPr>
          <w:i/>
          <w:iCs/>
          <w:sz w:val="14"/>
          <w:szCs w:val="18"/>
        </w:rPr>
        <w:t>bhikkhus</w:t>
      </w:r>
      <w:proofErr w:type="spellEnd"/>
      <w:r>
        <w:rPr>
          <w:sz w:val="14"/>
          <w:szCs w:val="18"/>
        </w:rPr>
        <w:t xml:space="preserve"> a los que se dirige el presente libro. </w:t>
      </w:r>
    </w:p>
    <w:p w14:paraId="67374D30" w14:textId="00C328A9" w:rsidR="00E56D68" w:rsidRDefault="00E56D68" w:rsidP="00E56D68">
      <w:pPr>
        <w:ind w:firstLine="284"/>
        <w:rPr>
          <w:sz w:val="14"/>
          <w:szCs w:val="18"/>
        </w:rPr>
      </w:pPr>
      <w:r>
        <w:rPr>
          <w:sz w:val="14"/>
          <w:szCs w:val="18"/>
        </w:rPr>
        <w:t xml:space="preserve">Si bien un meditador laico podría desarrollar algún </w:t>
      </w:r>
      <w:proofErr w:type="spellStart"/>
      <w:r w:rsidRPr="00613355">
        <w:rPr>
          <w:i/>
          <w:iCs/>
          <w:sz w:val="14"/>
          <w:szCs w:val="18"/>
        </w:rPr>
        <w:t>jhāna</w:t>
      </w:r>
      <w:proofErr w:type="spellEnd"/>
      <w:r>
        <w:rPr>
          <w:sz w:val="14"/>
          <w:szCs w:val="18"/>
        </w:rPr>
        <w:t xml:space="preserve"> en algún curso largo de meditación, la práctica aconsejable</w:t>
      </w:r>
      <w:r w:rsidR="00F935A6">
        <w:rPr>
          <w:sz w:val="14"/>
          <w:szCs w:val="18"/>
        </w:rPr>
        <w:t>,</w:t>
      </w:r>
      <w:r>
        <w:rPr>
          <w:sz w:val="14"/>
          <w:szCs w:val="18"/>
        </w:rPr>
        <w:t xml:space="preserve"> impartida por el maestro en esta tradición</w:t>
      </w:r>
      <w:r w:rsidR="00F935A6">
        <w:rPr>
          <w:sz w:val="14"/>
          <w:szCs w:val="18"/>
        </w:rPr>
        <w:t>,</w:t>
      </w:r>
      <w:r>
        <w:rPr>
          <w:sz w:val="14"/>
          <w:szCs w:val="18"/>
        </w:rPr>
        <w:t xml:space="preserve"> es la de desestimar el desarrollo de cualquier </w:t>
      </w:r>
      <w:proofErr w:type="spellStart"/>
      <w:r w:rsidRPr="00613355">
        <w:rPr>
          <w:i/>
          <w:iCs/>
          <w:sz w:val="14"/>
          <w:szCs w:val="18"/>
        </w:rPr>
        <w:t>jhāna</w:t>
      </w:r>
      <w:proofErr w:type="spellEnd"/>
      <w:r>
        <w:rPr>
          <w:i/>
          <w:iCs/>
          <w:sz w:val="14"/>
          <w:szCs w:val="18"/>
        </w:rPr>
        <w:t xml:space="preserve"> </w:t>
      </w:r>
      <w:r>
        <w:rPr>
          <w:sz w:val="14"/>
          <w:szCs w:val="18"/>
        </w:rPr>
        <w:t>y cualquier poder que éste involucre, justamente debido a la enorme exposición a la que se ve sometido un laico frente a la inmensurable cantidad de impurezas que genera la sociedad y con la cual tiene que coexistir</w:t>
      </w:r>
      <w:r w:rsidRPr="00AC3FFC">
        <w:rPr>
          <w:sz w:val="14"/>
          <w:szCs w:val="18"/>
        </w:rPr>
        <w:t xml:space="preserve"> </w:t>
      </w:r>
      <w:r>
        <w:rPr>
          <w:sz w:val="14"/>
          <w:szCs w:val="18"/>
        </w:rPr>
        <w:t xml:space="preserve">inevitablemente. Pareciera que esta bipolaridad de realidades, máxima pureza y profunda </w:t>
      </w:r>
      <w:proofErr w:type="gramStart"/>
      <w:r w:rsidR="00F935A6">
        <w:rPr>
          <w:sz w:val="14"/>
          <w:szCs w:val="18"/>
        </w:rPr>
        <w:t>ignorancia,</w:t>
      </w:r>
      <w:proofErr w:type="gramEnd"/>
      <w:r>
        <w:rPr>
          <w:sz w:val="14"/>
          <w:szCs w:val="18"/>
        </w:rPr>
        <w:t xml:space="preserve"> haría la experiencia excesiva e innecesariamente riesgosa, además de ser, para </w:t>
      </w:r>
      <w:r>
        <w:rPr>
          <w:sz w:val="14"/>
          <w:szCs w:val="18"/>
        </w:rPr>
        <w:lastRenderedPageBreak/>
        <w:t xml:space="preserve">los objetivos de su práctica, definitivamente prescindible. Durante la época del </w:t>
      </w:r>
      <w:r w:rsidRPr="00D039B3">
        <w:rPr>
          <w:i/>
          <w:iCs/>
          <w:sz w:val="14"/>
          <w:szCs w:val="18"/>
        </w:rPr>
        <w:t>Buddha</w:t>
      </w:r>
      <w:r>
        <w:rPr>
          <w:sz w:val="14"/>
          <w:szCs w:val="18"/>
        </w:rPr>
        <w:t xml:space="preserve"> hubo innumerables </w:t>
      </w:r>
      <w:proofErr w:type="spellStart"/>
      <w:r w:rsidRPr="00D039B3">
        <w:rPr>
          <w:i/>
          <w:iCs/>
          <w:sz w:val="14"/>
          <w:szCs w:val="18"/>
        </w:rPr>
        <w:t>arahats</w:t>
      </w:r>
      <w:proofErr w:type="spellEnd"/>
      <w:r w:rsidRPr="00D039B3">
        <w:rPr>
          <w:i/>
          <w:iCs/>
          <w:sz w:val="14"/>
          <w:szCs w:val="18"/>
        </w:rPr>
        <w:t xml:space="preserve"> </w:t>
      </w:r>
      <w:proofErr w:type="spellStart"/>
      <w:r w:rsidRPr="00D039B3">
        <w:rPr>
          <w:i/>
          <w:iCs/>
          <w:sz w:val="14"/>
          <w:szCs w:val="18"/>
        </w:rPr>
        <w:t>sukkha</w:t>
      </w:r>
      <w:proofErr w:type="spellEnd"/>
      <w:r w:rsidRPr="00D039B3">
        <w:rPr>
          <w:i/>
          <w:iCs/>
          <w:sz w:val="14"/>
          <w:szCs w:val="18"/>
        </w:rPr>
        <w:t xml:space="preserve"> </w:t>
      </w:r>
      <w:proofErr w:type="spellStart"/>
      <w:r w:rsidRPr="00D039B3">
        <w:rPr>
          <w:i/>
          <w:iCs/>
          <w:sz w:val="14"/>
          <w:szCs w:val="18"/>
        </w:rPr>
        <w:t>vipa</w:t>
      </w:r>
      <w:r>
        <w:rPr>
          <w:i/>
          <w:iCs/>
          <w:sz w:val="14"/>
          <w:szCs w:val="18"/>
        </w:rPr>
        <w:t>s</w:t>
      </w:r>
      <w:r w:rsidRPr="00D039B3">
        <w:rPr>
          <w:i/>
          <w:iCs/>
          <w:sz w:val="14"/>
          <w:szCs w:val="18"/>
        </w:rPr>
        <w:t>saka</w:t>
      </w:r>
      <w:r>
        <w:rPr>
          <w:i/>
          <w:iCs/>
          <w:sz w:val="14"/>
          <w:szCs w:val="18"/>
        </w:rPr>
        <w:t>s</w:t>
      </w:r>
      <w:proofErr w:type="spellEnd"/>
      <w:r w:rsidR="00F935A6">
        <w:rPr>
          <w:i/>
          <w:iCs/>
          <w:sz w:val="14"/>
          <w:szCs w:val="18"/>
        </w:rPr>
        <w:t xml:space="preserve">, </w:t>
      </w:r>
      <w:r w:rsidR="00F935A6">
        <w:rPr>
          <w:sz w:val="14"/>
          <w:szCs w:val="18"/>
        </w:rPr>
        <w:t xml:space="preserve">sin ningún poder sobre natural y sin el desarrollo de </w:t>
      </w:r>
      <w:r w:rsidR="00A9770E">
        <w:rPr>
          <w:sz w:val="14"/>
          <w:szCs w:val="18"/>
        </w:rPr>
        <w:t xml:space="preserve">los </w:t>
      </w:r>
      <w:proofErr w:type="spellStart"/>
      <w:r w:rsidR="00A9770E" w:rsidRPr="00A9770E">
        <w:rPr>
          <w:i/>
          <w:iCs/>
          <w:sz w:val="14"/>
          <w:szCs w:val="18"/>
        </w:rPr>
        <w:t>jhāna</w:t>
      </w:r>
      <w:r w:rsidR="00A9770E">
        <w:rPr>
          <w:sz w:val="14"/>
          <w:szCs w:val="18"/>
        </w:rPr>
        <w:t>s</w:t>
      </w:r>
      <w:proofErr w:type="spellEnd"/>
      <w:r w:rsidR="00A9770E">
        <w:rPr>
          <w:sz w:val="14"/>
          <w:szCs w:val="18"/>
        </w:rPr>
        <w:t>, al menos así lo ha entendido el autor.</w:t>
      </w:r>
    </w:p>
    <w:p w14:paraId="36B7F93E" w14:textId="4BFEEA2A" w:rsidR="00B85CB7" w:rsidRPr="00F935A6" w:rsidRDefault="00B85CB7" w:rsidP="00E56D68">
      <w:pPr>
        <w:ind w:firstLine="284"/>
        <w:rPr>
          <w:sz w:val="14"/>
          <w:szCs w:val="18"/>
        </w:rPr>
      </w:pPr>
      <w:r>
        <w:rPr>
          <w:sz w:val="14"/>
          <w:szCs w:val="18"/>
        </w:rPr>
        <w:t xml:space="preserve">Los conocimientos que haya desarrollado un meditador y, en particular, el presente autor de </w:t>
      </w:r>
      <w:r w:rsidR="00F44B8E">
        <w:rPr>
          <w:sz w:val="14"/>
          <w:szCs w:val="18"/>
        </w:rPr>
        <w:t xml:space="preserve">esta edición, se encuentran </w:t>
      </w:r>
      <w:r w:rsidR="005A0B88">
        <w:rPr>
          <w:sz w:val="14"/>
          <w:szCs w:val="18"/>
        </w:rPr>
        <w:t>c</w:t>
      </w:r>
      <w:r w:rsidR="00EE1BA5">
        <w:rPr>
          <w:sz w:val="14"/>
          <w:szCs w:val="18"/>
        </w:rPr>
        <w:t>i</w:t>
      </w:r>
      <w:r w:rsidR="005A0B88">
        <w:rPr>
          <w:sz w:val="14"/>
          <w:szCs w:val="18"/>
        </w:rPr>
        <w:t xml:space="preserve">rcunscritos </w:t>
      </w:r>
      <w:r w:rsidR="00F44B8E">
        <w:rPr>
          <w:sz w:val="14"/>
          <w:szCs w:val="18"/>
        </w:rPr>
        <w:t>con mayor autoridad en los aspecto</w:t>
      </w:r>
      <w:r w:rsidR="00357988">
        <w:rPr>
          <w:sz w:val="14"/>
          <w:szCs w:val="18"/>
        </w:rPr>
        <w:t>s</w:t>
      </w:r>
      <w:r w:rsidR="00F44B8E">
        <w:rPr>
          <w:sz w:val="14"/>
          <w:szCs w:val="18"/>
        </w:rPr>
        <w:t xml:space="preserve"> de </w:t>
      </w:r>
      <w:r w:rsidR="00F44B8E" w:rsidRPr="00357988">
        <w:rPr>
          <w:i/>
          <w:iCs/>
          <w:sz w:val="14"/>
          <w:szCs w:val="18"/>
        </w:rPr>
        <w:t>sīla</w:t>
      </w:r>
      <w:r w:rsidR="00F44B8E">
        <w:rPr>
          <w:sz w:val="14"/>
          <w:szCs w:val="18"/>
        </w:rPr>
        <w:t xml:space="preserve"> y </w:t>
      </w:r>
      <w:r w:rsidR="00F44B8E" w:rsidRPr="00357988">
        <w:rPr>
          <w:i/>
          <w:iCs/>
          <w:sz w:val="14"/>
          <w:szCs w:val="18"/>
        </w:rPr>
        <w:t>paññā</w:t>
      </w:r>
      <w:r w:rsidR="00F44B8E">
        <w:rPr>
          <w:sz w:val="14"/>
          <w:szCs w:val="18"/>
        </w:rPr>
        <w:t xml:space="preserve">, siendo lo más dificultoso </w:t>
      </w:r>
      <w:r w:rsidR="00EE1BA5">
        <w:rPr>
          <w:sz w:val="14"/>
          <w:szCs w:val="18"/>
        </w:rPr>
        <w:t xml:space="preserve">para </w:t>
      </w:r>
      <w:r w:rsidR="00065F22">
        <w:rPr>
          <w:sz w:val="14"/>
          <w:szCs w:val="18"/>
        </w:rPr>
        <w:t>desarrollar</w:t>
      </w:r>
      <w:r w:rsidR="00EE1BA5">
        <w:rPr>
          <w:sz w:val="14"/>
          <w:szCs w:val="18"/>
        </w:rPr>
        <w:t>lo</w:t>
      </w:r>
      <w:r w:rsidR="00065F22">
        <w:rPr>
          <w:sz w:val="14"/>
          <w:szCs w:val="18"/>
        </w:rPr>
        <w:t xml:space="preserve"> rigurosamente el asunto del </w:t>
      </w:r>
      <w:r w:rsidR="00065F22" w:rsidRPr="00357988">
        <w:rPr>
          <w:i/>
          <w:iCs/>
          <w:sz w:val="14"/>
          <w:szCs w:val="18"/>
        </w:rPr>
        <w:t>samādhi</w:t>
      </w:r>
      <w:r w:rsidR="00065F22">
        <w:rPr>
          <w:sz w:val="14"/>
          <w:szCs w:val="18"/>
        </w:rPr>
        <w:t xml:space="preserve"> y el desarrollo de las absorciones. Se recuerda al lector que uno de los famosos </w:t>
      </w:r>
      <w:r w:rsidR="00357988">
        <w:rPr>
          <w:sz w:val="14"/>
          <w:szCs w:val="18"/>
        </w:rPr>
        <w:t xml:space="preserve">“impensables” exhortados por el </w:t>
      </w:r>
      <w:r w:rsidR="00357988" w:rsidRPr="00EE1BA5">
        <w:rPr>
          <w:i/>
          <w:iCs/>
          <w:sz w:val="14"/>
          <w:szCs w:val="18"/>
        </w:rPr>
        <w:t>Buddha</w:t>
      </w:r>
      <w:r w:rsidR="00357988">
        <w:rPr>
          <w:sz w:val="14"/>
          <w:szCs w:val="18"/>
        </w:rPr>
        <w:t>, yace en la intelectualización</w:t>
      </w:r>
      <w:r w:rsidR="00897680">
        <w:rPr>
          <w:sz w:val="14"/>
          <w:szCs w:val="18"/>
        </w:rPr>
        <w:t>,</w:t>
      </w:r>
      <w:r w:rsidR="00357988">
        <w:rPr>
          <w:sz w:val="14"/>
          <w:szCs w:val="18"/>
        </w:rPr>
        <w:t xml:space="preserve"> </w:t>
      </w:r>
      <w:r w:rsidR="00897680">
        <w:rPr>
          <w:sz w:val="14"/>
          <w:szCs w:val="18"/>
        </w:rPr>
        <w:t xml:space="preserve">bajo la condición de </w:t>
      </w:r>
      <w:r w:rsidR="005A0B88">
        <w:rPr>
          <w:sz w:val="14"/>
          <w:szCs w:val="18"/>
        </w:rPr>
        <w:t>oficio</w:t>
      </w:r>
      <w:r w:rsidR="00897680">
        <w:rPr>
          <w:sz w:val="14"/>
          <w:szCs w:val="18"/>
        </w:rPr>
        <w:t>,</w:t>
      </w:r>
      <w:r w:rsidR="005A0B88">
        <w:rPr>
          <w:sz w:val="14"/>
          <w:szCs w:val="18"/>
        </w:rPr>
        <w:t xml:space="preserve"> </w:t>
      </w:r>
      <w:r w:rsidR="00897680">
        <w:rPr>
          <w:sz w:val="14"/>
          <w:szCs w:val="18"/>
        </w:rPr>
        <w:t xml:space="preserve">sobre </w:t>
      </w:r>
      <w:r w:rsidR="005A0B88">
        <w:rPr>
          <w:sz w:val="14"/>
          <w:szCs w:val="18"/>
        </w:rPr>
        <w:t xml:space="preserve">los </w:t>
      </w:r>
      <w:proofErr w:type="spellStart"/>
      <w:r w:rsidR="005A0B88" w:rsidRPr="005A0B88">
        <w:rPr>
          <w:i/>
          <w:iCs/>
          <w:sz w:val="14"/>
          <w:szCs w:val="18"/>
        </w:rPr>
        <w:t>jhāna</w:t>
      </w:r>
      <w:r w:rsidR="005A0B88">
        <w:rPr>
          <w:sz w:val="14"/>
          <w:szCs w:val="18"/>
        </w:rPr>
        <w:t>s</w:t>
      </w:r>
      <w:proofErr w:type="spellEnd"/>
      <w:r w:rsidR="005A0B88">
        <w:rPr>
          <w:sz w:val="14"/>
          <w:szCs w:val="18"/>
        </w:rPr>
        <w:t>. Por lo tanto</w:t>
      </w:r>
      <w:r w:rsidR="00897680">
        <w:rPr>
          <w:sz w:val="14"/>
          <w:szCs w:val="18"/>
        </w:rPr>
        <w:t>,</w:t>
      </w:r>
      <w:r w:rsidR="005A0B88">
        <w:rPr>
          <w:sz w:val="14"/>
          <w:szCs w:val="18"/>
        </w:rPr>
        <w:t xml:space="preserve"> es recomendable que cualquier asunto “incomprensible” al respecto, se pase por alto, no sólo por lo intrincado del tema sin la </w:t>
      </w:r>
      <w:r w:rsidR="00897680">
        <w:rPr>
          <w:sz w:val="14"/>
          <w:szCs w:val="18"/>
        </w:rPr>
        <w:t xml:space="preserve">debida </w:t>
      </w:r>
      <w:r w:rsidR="005A0B88">
        <w:rPr>
          <w:sz w:val="14"/>
          <w:szCs w:val="18"/>
        </w:rPr>
        <w:t>experiencia personal</w:t>
      </w:r>
      <w:r w:rsidR="00897680">
        <w:rPr>
          <w:sz w:val="14"/>
          <w:szCs w:val="18"/>
        </w:rPr>
        <w:t>,</w:t>
      </w:r>
      <w:r w:rsidR="005A0B88">
        <w:rPr>
          <w:sz w:val="14"/>
          <w:szCs w:val="18"/>
        </w:rPr>
        <w:t xml:space="preserve"> sino por las muy probables inexactitudes plasmadas por el autor como producto de su propia ignorancia al respecto.</w:t>
      </w:r>
    </w:p>
    <w:p w14:paraId="4F991A9B" w14:textId="77777777" w:rsidR="00E56D68" w:rsidRPr="007777A7" w:rsidRDefault="00E56D68" w:rsidP="00E56D68">
      <w:pPr>
        <w:pStyle w:val="Ttulo3"/>
        <w:rPr>
          <w:b/>
          <w:bCs/>
          <w:sz w:val="14"/>
          <w:szCs w:val="20"/>
        </w:rPr>
      </w:pPr>
      <w:r w:rsidRPr="007777A7">
        <w:rPr>
          <w:b/>
          <w:bCs/>
          <w:sz w:val="14"/>
          <w:szCs w:val="20"/>
        </w:rPr>
        <w:t>Inexactitudes e Interpretaciones</w:t>
      </w:r>
    </w:p>
    <w:p w14:paraId="3F9E82ED" w14:textId="26DDA122" w:rsidR="00E56D68" w:rsidRDefault="00E56D68" w:rsidP="00E56D68">
      <w:pPr>
        <w:ind w:firstLine="284"/>
        <w:rPr>
          <w:sz w:val="14"/>
          <w:szCs w:val="18"/>
        </w:rPr>
      </w:pPr>
      <w:r w:rsidRPr="006A5E7B">
        <w:rPr>
          <w:sz w:val="14"/>
          <w:szCs w:val="18"/>
        </w:rPr>
        <w:t xml:space="preserve">Con el </w:t>
      </w:r>
      <w:r>
        <w:rPr>
          <w:sz w:val="14"/>
          <w:szCs w:val="18"/>
        </w:rPr>
        <w:t xml:space="preserve">paso del tiempo, los cuales se cuentan por siglos, ha sido inevitable la distorsión de muchos términos originalmente utilizados por el </w:t>
      </w:r>
      <w:r w:rsidRPr="00764C2A">
        <w:rPr>
          <w:i/>
          <w:iCs/>
          <w:sz w:val="14"/>
          <w:szCs w:val="18"/>
        </w:rPr>
        <w:t>Tathāgatā</w:t>
      </w:r>
      <w:r>
        <w:rPr>
          <w:sz w:val="14"/>
          <w:szCs w:val="18"/>
        </w:rPr>
        <w:t xml:space="preserve"> y esto afecta más aún el carácter del presente trabajo, el cual no pretende ser una traducción purista de las fuentes originales en </w:t>
      </w:r>
      <w:r w:rsidRPr="00962D9B">
        <w:rPr>
          <w:i/>
          <w:iCs/>
          <w:sz w:val="14"/>
          <w:szCs w:val="18"/>
        </w:rPr>
        <w:t>Pāḷi</w:t>
      </w:r>
      <w:r>
        <w:rPr>
          <w:sz w:val="14"/>
          <w:szCs w:val="18"/>
        </w:rPr>
        <w:t xml:space="preserve">. Es una traducción del inglés de otra traducción, del </w:t>
      </w:r>
      <w:r w:rsidRPr="006C6FBF">
        <w:rPr>
          <w:i/>
          <w:iCs/>
          <w:sz w:val="14"/>
          <w:szCs w:val="18"/>
        </w:rPr>
        <w:t>Pāḷi</w:t>
      </w:r>
      <w:r>
        <w:rPr>
          <w:sz w:val="14"/>
          <w:szCs w:val="18"/>
        </w:rPr>
        <w:t xml:space="preserve"> al inglés, efectuada por el Venerable </w:t>
      </w:r>
      <w:proofErr w:type="spellStart"/>
      <w:r>
        <w:rPr>
          <w:sz w:val="14"/>
          <w:szCs w:val="18"/>
        </w:rPr>
        <w:t>Bhikkhu</w:t>
      </w:r>
      <w:proofErr w:type="spellEnd"/>
      <w:r>
        <w:rPr>
          <w:sz w:val="14"/>
          <w:szCs w:val="18"/>
        </w:rPr>
        <w:t xml:space="preserve"> Ñāṇamoli, el cual incuestionablemente habrá poblado a la presente versión de adicionales distorsiones sobre temas considerados </w:t>
      </w:r>
      <w:r w:rsidR="008705E5">
        <w:rPr>
          <w:sz w:val="14"/>
          <w:szCs w:val="18"/>
        </w:rPr>
        <w:t xml:space="preserve">posiblemente </w:t>
      </w:r>
      <w:r>
        <w:rPr>
          <w:sz w:val="14"/>
          <w:szCs w:val="18"/>
        </w:rPr>
        <w:t xml:space="preserve">menores y difícilmente relacionados con la práctica laica. </w:t>
      </w:r>
    </w:p>
    <w:p w14:paraId="3F11970A" w14:textId="4CAAE59C" w:rsidR="00E56D68" w:rsidRDefault="00E56D68" w:rsidP="00E56D68">
      <w:pPr>
        <w:ind w:firstLine="284"/>
        <w:rPr>
          <w:sz w:val="14"/>
          <w:szCs w:val="18"/>
        </w:rPr>
      </w:pPr>
      <w:r>
        <w:rPr>
          <w:sz w:val="14"/>
          <w:szCs w:val="18"/>
        </w:rPr>
        <w:t xml:space="preserve">Un caso emblemático de las muchas discusiones que existen entre diversos autores es, por ejemplo, la del término </w:t>
      </w:r>
      <w:r w:rsidRPr="00752476">
        <w:rPr>
          <w:i/>
          <w:iCs/>
          <w:sz w:val="14"/>
          <w:szCs w:val="18"/>
        </w:rPr>
        <w:t>kappa</w:t>
      </w:r>
      <w:r>
        <w:rPr>
          <w:i/>
          <w:iCs/>
          <w:sz w:val="14"/>
          <w:szCs w:val="18"/>
        </w:rPr>
        <w:t xml:space="preserve">, </w:t>
      </w:r>
      <w:r>
        <w:rPr>
          <w:sz w:val="14"/>
          <w:szCs w:val="18"/>
        </w:rPr>
        <w:t xml:space="preserve">cuando el </w:t>
      </w:r>
      <w:r w:rsidRPr="00B80B5A">
        <w:rPr>
          <w:i/>
          <w:iCs/>
          <w:sz w:val="14"/>
          <w:szCs w:val="18"/>
        </w:rPr>
        <w:t>Buddha</w:t>
      </w:r>
      <w:r>
        <w:rPr>
          <w:sz w:val="14"/>
          <w:szCs w:val="18"/>
        </w:rPr>
        <w:t xml:space="preserve"> le insinúa al Venerable Ānanda que podría extender su lapso de vida por </w:t>
      </w:r>
      <w:proofErr w:type="gramStart"/>
      <w:r>
        <w:rPr>
          <w:sz w:val="14"/>
          <w:szCs w:val="18"/>
        </w:rPr>
        <w:t xml:space="preserve">un </w:t>
      </w:r>
      <w:r w:rsidRPr="00B80B5A">
        <w:rPr>
          <w:i/>
          <w:iCs/>
          <w:sz w:val="14"/>
          <w:szCs w:val="18"/>
        </w:rPr>
        <w:t>kappa</w:t>
      </w:r>
      <w:proofErr w:type="gramEnd"/>
      <w:r>
        <w:rPr>
          <w:i/>
          <w:iCs/>
          <w:sz w:val="14"/>
          <w:szCs w:val="18"/>
        </w:rPr>
        <w:t>,</w:t>
      </w:r>
      <w:r>
        <w:rPr>
          <w:sz w:val="14"/>
          <w:szCs w:val="18"/>
        </w:rPr>
        <w:t xml:space="preserve"> si así lo deseara. </w:t>
      </w:r>
      <w:r w:rsidRPr="00962D9B">
        <w:rPr>
          <w:i/>
          <w:iCs/>
          <w:sz w:val="14"/>
          <w:szCs w:val="18"/>
        </w:rPr>
        <w:t>Kappa</w:t>
      </w:r>
      <w:r>
        <w:rPr>
          <w:sz w:val="14"/>
          <w:szCs w:val="18"/>
        </w:rPr>
        <w:t xml:space="preserve"> alude a un periodo de tiempo y es utilizado diversos contextos temporales para ello, puede representar un periodo estelar, o uno de vida, como el de un ser humano, un animal; el del planeta tierra, el del sistema solar, el de una galaxia, etc. Aquí, algunos dicen que el </w:t>
      </w:r>
      <w:r w:rsidRPr="007077F2">
        <w:rPr>
          <w:i/>
          <w:iCs/>
          <w:sz w:val="14"/>
          <w:szCs w:val="18"/>
        </w:rPr>
        <w:t>Buddha</w:t>
      </w:r>
      <w:r>
        <w:rPr>
          <w:sz w:val="14"/>
          <w:szCs w:val="18"/>
        </w:rPr>
        <w:t xml:space="preserve"> se refería a un </w:t>
      </w:r>
      <w:r w:rsidRPr="00EA334E">
        <w:rPr>
          <w:i/>
          <w:iCs/>
          <w:sz w:val="14"/>
          <w:szCs w:val="18"/>
        </w:rPr>
        <w:t>eón estelar</w:t>
      </w:r>
      <w:r>
        <w:rPr>
          <w:i/>
          <w:iCs/>
          <w:sz w:val="14"/>
          <w:szCs w:val="18"/>
        </w:rPr>
        <w:t xml:space="preserve"> </w:t>
      </w:r>
      <w:r>
        <w:rPr>
          <w:sz w:val="14"/>
          <w:szCs w:val="18"/>
        </w:rPr>
        <w:t>y otros</w:t>
      </w:r>
      <w:r w:rsidR="008705E5">
        <w:rPr>
          <w:sz w:val="14"/>
          <w:szCs w:val="18"/>
        </w:rPr>
        <w:t>,</w:t>
      </w:r>
      <w:r>
        <w:rPr>
          <w:sz w:val="14"/>
          <w:szCs w:val="18"/>
        </w:rPr>
        <w:t xml:space="preserve"> simplemente</w:t>
      </w:r>
      <w:r w:rsidR="008705E5">
        <w:rPr>
          <w:sz w:val="14"/>
          <w:szCs w:val="18"/>
        </w:rPr>
        <w:t>,</w:t>
      </w:r>
      <w:r>
        <w:rPr>
          <w:sz w:val="14"/>
          <w:szCs w:val="18"/>
        </w:rPr>
        <w:t xml:space="preserve"> al lapso de vida media del ser humano de la época, 100 años, ya que el </w:t>
      </w:r>
      <w:r w:rsidRPr="007077F2">
        <w:rPr>
          <w:i/>
          <w:iCs/>
          <w:sz w:val="14"/>
          <w:szCs w:val="18"/>
        </w:rPr>
        <w:t>Buddha</w:t>
      </w:r>
      <w:r>
        <w:rPr>
          <w:sz w:val="14"/>
          <w:szCs w:val="18"/>
        </w:rPr>
        <w:t xml:space="preserve"> vivió sólo las 4/5 partes de lo que se decía vivía un ser humano común en aquel entonces. Otros casos cuestionables por cualquiera en el presente libro podrían ser los referidos al dimensionamiento de los astros celestes, los cuales se dan explícitamente durante el libro, la dimensión del planeta tierra, de la Luna, el Sol, etc.</w:t>
      </w:r>
    </w:p>
    <w:p w14:paraId="20DC256A" w14:textId="64D5D534" w:rsidR="00E56D68" w:rsidRDefault="00E56D68" w:rsidP="00E56D68">
      <w:pPr>
        <w:ind w:firstLine="284"/>
        <w:rPr>
          <w:sz w:val="14"/>
          <w:szCs w:val="18"/>
        </w:rPr>
      </w:pPr>
      <w:r>
        <w:rPr>
          <w:sz w:val="14"/>
          <w:szCs w:val="18"/>
        </w:rPr>
        <w:t xml:space="preserve">Cómo éste, el autor ha tenido la necesidad imperiosa de destacar algunas diferencias principales en la connotación de algunos términos concernientes con la presente tradición, la cual se desarrollará más adelante. El uso del español en el ámbito de la literatura budista es bastante precario, existe mucho más experiencia, investigación y bibliografía en el inglés, motivo por el cual se ha requerido, en el español, el uso de adicionales términos, sinónimos, inminentemente sinónimos y compuestos, los cuales permitan contextualizar de forma menos dificultosa la identificación de términos técnicos, que como laicos, es muy probable que en esta vida no se lleguen a experimentar jamás. En el inglés se suele construir, con mucha facilidad, la </w:t>
      </w:r>
      <w:proofErr w:type="spellStart"/>
      <w:r>
        <w:rPr>
          <w:sz w:val="14"/>
          <w:szCs w:val="18"/>
        </w:rPr>
        <w:t>sustantivización</w:t>
      </w:r>
      <w:proofErr w:type="spellEnd"/>
      <w:r>
        <w:rPr>
          <w:sz w:val="14"/>
          <w:szCs w:val="18"/>
        </w:rPr>
        <w:t xml:space="preserve"> de verbos y adjetivos, y viceversa, lo cual resulta bastante difícil replicar</w:t>
      </w:r>
      <w:r w:rsidRPr="001E635D">
        <w:rPr>
          <w:sz w:val="14"/>
          <w:szCs w:val="18"/>
        </w:rPr>
        <w:t xml:space="preserve"> </w:t>
      </w:r>
      <w:r>
        <w:rPr>
          <w:sz w:val="14"/>
          <w:szCs w:val="18"/>
        </w:rPr>
        <w:t>en el español, ello ha conducido también a dificultar el uso de términos compuestos equivalentes en la traducción. Esta versión en español resume su principal característica en la redundancia de términos y sinónimos cuya intención es la de aclarar cualquier ambigüedad.</w:t>
      </w:r>
      <w:r w:rsidR="00A30E5E">
        <w:rPr>
          <w:sz w:val="14"/>
          <w:szCs w:val="18"/>
        </w:rPr>
        <w:t xml:space="preserve"> </w:t>
      </w:r>
    </w:p>
    <w:p w14:paraId="42551946" w14:textId="25FB9743" w:rsidR="00E009D2" w:rsidRPr="00442013" w:rsidRDefault="00E009D2" w:rsidP="00E56D68">
      <w:pPr>
        <w:ind w:firstLine="284"/>
        <w:rPr>
          <w:sz w:val="14"/>
          <w:szCs w:val="18"/>
        </w:rPr>
      </w:pPr>
      <w:r>
        <w:rPr>
          <w:sz w:val="14"/>
          <w:szCs w:val="18"/>
        </w:rPr>
        <w:t xml:space="preserve">El idioma español podrá ser rico en muchos aspecto pero en cuanto al marco de desarrollo de los aspectos literarios sobre </w:t>
      </w:r>
      <w:r w:rsidR="007441AD">
        <w:rPr>
          <w:sz w:val="14"/>
          <w:szCs w:val="18"/>
        </w:rPr>
        <w:t xml:space="preserve">el Dhamma, se pueden encontrar vacío tales como no poder encontrar el significado del término </w:t>
      </w:r>
      <w:r w:rsidR="00442013">
        <w:rPr>
          <w:i/>
          <w:iCs/>
          <w:sz w:val="14"/>
          <w:szCs w:val="18"/>
        </w:rPr>
        <w:t xml:space="preserve">impermanencia </w:t>
      </w:r>
      <w:r w:rsidR="00442013">
        <w:rPr>
          <w:sz w:val="14"/>
          <w:szCs w:val="18"/>
        </w:rPr>
        <w:t xml:space="preserve">en muchos diccionarios, el cual alude a </w:t>
      </w:r>
      <w:proofErr w:type="gramStart"/>
      <w:r w:rsidR="00442013">
        <w:rPr>
          <w:sz w:val="14"/>
          <w:szCs w:val="18"/>
        </w:rPr>
        <w:t>una rasgo</w:t>
      </w:r>
      <w:proofErr w:type="gramEnd"/>
      <w:r w:rsidR="00442013">
        <w:rPr>
          <w:sz w:val="14"/>
          <w:szCs w:val="18"/>
        </w:rPr>
        <w:t xml:space="preserve"> de máxima prioridad para la descripción del fenómeno mente</w:t>
      </w:r>
      <w:r w:rsidR="007C4CFC">
        <w:rPr>
          <w:rFonts w:cs="Cormorant"/>
          <w:sz w:val="14"/>
          <w:szCs w:val="18"/>
        </w:rPr>
        <w:t>–</w:t>
      </w:r>
      <w:r w:rsidR="007C4CFC">
        <w:rPr>
          <w:sz w:val="14"/>
          <w:szCs w:val="18"/>
        </w:rPr>
        <w:t xml:space="preserve">materia: </w:t>
      </w:r>
      <w:r w:rsidR="007C4CFC" w:rsidRPr="007C4CFC">
        <w:rPr>
          <w:i/>
          <w:iCs/>
          <w:sz w:val="14"/>
          <w:szCs w:val="18"/>
        </w:rPr>
        <w:t>anicca</w:t>
      </w:r>
      <w:r w:rsidR="007C4CFC">
        <w:rPr>
          <w:sz w:val="14"/>
          <w:szCs w:val="18"/>
        </w:rPr>
        <w:t>.</w:t>
      </w:r>
    </w:p>
    <w:p w14:paraId="389411A0" w14:textId="0D111522" w:rsidR="00E56D68" w:rsidRPr="007777A7" w:rsidRDefault="00E56D68" w:rsidP="00E56D68">
      <w:pPr>
        <w:pStyle w:val="Ttulo3"/>
        <w:rPr>
          <w:b/>
          <w:bCs/>
          <w:sz w:val="14"/>
          <w:szCs w:val="20"/>
        </w:rPr>
      </w:pPr>
      <w:r w:rsidRPr="007777A7">
        <w:rPr>
          <w:b/>
          <w:bCs/>
          <w:sz w:val="14"/>
          <w:szCs w:val="20"/>
        </w:rPr>
        <w:t xml:space="preserve">Consideraciones Especiales e Indulgencias para la presente </w:t>
      </w:r>
      <w:r w:rsidR="007C4CFC" w:rsidRPr="007777A7">
        <w:rPr>
          <w:b/>
          <w:bCs/>
          <w:sz w:val="14"/>
          <w:szCs w:val="20"/>
        </w:rPr>
        <w:t>Redacción</w:t>
      </w:r>
      <w:r w:rsidRPr="007777A7">
        <w:rPr>
          <w:b/>
          <w:bCs/>
          <w:sz w:val="14"/>
          <w:szCs w:val="20"/>
        </w:rPr>
        <w:t xml:space="preserve">, </w:t>
      </w:r>
    </w:p>
    <w:p w14:paraId="2374F0DB" w14:textId="77777777" w:rsidR="00E56D68" w:rsidRDefault="00E56D68" w:rsidP="00E56D68">
      <w:pPr>
        <w:ind w:firstLine="284"/>
        <w:rPr>
          <w:sz w:val="14"/>
          <w:szCs w:val="18"/>
        </w:rPr>
      </w:pPr>
      <w:r>
        <w:rPr>
          <w:sz w:val="14"/>
          <w:szCs w:val="18"/>
        </w:rPr>
        <w:t xml:space="preserve">Como el lector objetivo del presente libro posee conocimientos previos de muchos términos </w:t>
      </w:r>
      <w:r w:rsidRPr="00912C9E">
        <w:rPr>
          <w:i/>
          <w:iCs/>
          <w:sz w:val="14"/>
          <w:szCs w:val="18"/>
        </w:rPr>
        <w:t>pāḷi</w:t>
      </w:r>
      <w:r>
        <w:rPr>
          <w:sz w:val="14"/>
          <w:szCs w:val="18"/>
        </w:rPr>
        <w:t xml:space="preserve"> como, por ejemplo, los refugios </w:t>
      </w:r>
      <w:r w:rsidRPr="00852243">
        <w:rPr>
          <w:i/>
          <w:iCs/>
          <w:sz w:val="14"/>
          <w:szCs w:val="18"/>
        </w:rPr>
        <w:t>Buddha, Dhamma</w:t>
      </w:r>
      <w:r>
        <w:rPr>
          <w:i/>
          <w:iCs/>
          <w:sz w:val="14"/>
          <w:szCs w:val="18"/>
        </w:rPr>
        <w:t xml:space="preserve"> y</w:t>
      </w:r>
      <w:r w:rsidRPr="00852243">
        <w:rPr>
          <w:i/>
          <w:iCs/>
          <w:sz w:val="14"/>
          <w:szCs w:val="18"/>
        </w:rPr>
        <w:t xml:space="preserve"> Saṅgha</w:t>
      </w:r>
      <w:r>
        <w:rPr>
          <w:sz w:val="14"/>
          <w:szCs w:val="18"/>
        </w:rPr>
        <w:t xml:space="preserve">; o los constituyentes del sendero de </w:t>
      </w:r>
      <w:r w:rsidRPr="003C3858">
        <w:rPr>
          <w:i/>
          <w:iCs/>
          <w:sz w:val="14"/>
          <w:szCs w:val="18"/>
        </w:rPr>
        <w:t>sīla, samādhi</w:t>
      </w:r>
      <w:r>
        <w:rPr>
          <w:sz w:val="14"/>
          <w:szCs w:val="18"/>
        </w:rPr>
        <w:t xml:space="preserve"> y </w:t>
      </w:r>
      <w:r w:rsidRPr="003C3858">
        <w:rPr>
          <w:i/>
          <w:iCs/>
          <w:sz w:val="14"/>
          <w:szCs w:val="18"/>
        </w:rPr>
        <w:t>paññā</w:t>
      </w:r>
      <w:r>
        <w:rPr>
          <w:i/>
          <w:iCs/>
          <w:sz w:val="14"/>
          <w:szCs w:val="18"/>
        </w:rPr>
        <w:t>, etc.</w:t>
      </w:r>
      <w:r w:rsidRPr="00912C9E">
        <w:rPr>
          <w:sz w:val="14"/>
          <w:szCs w:val="18"/>
        </w:rPr>
        <w:t>;</w:t>
      </w:r>
      <w:r>
        <w:rPr>
          <w:i/>
          <w:iCs/>
          <w:sz w:val="14"/>
          <w:szCs w:val="18"/>
        </w:rPr>
        <w:t xml:space="preserve"> </w:t>
      </w:r>
      <w:r w:rsidRPr="00912C9E">
        <w:rPr>
          <w:sz w:val="14"/>
          <w:szCs w:val="18"/>
        </w:rPr>
        <w:t>y</w:t>
      </w:r>
      <w:r>
        <w:rPr>
          <w:sz w:val="14"/>
          <w:szCs w:val="18"/>
        </w:rPr>
        <w:t xml:space="preserve"> como también el presente libro va dirigido a un segmento de la población afectado por una memoria diferente que la de seres superdotados en mente e intelecto de aquellas épocas (siglo V a.C.), el autor se ha atribuido algunas indulgencias al respecto.</w:t>
      </w:r>
    </w:p>
    <w:p w14:paraId="5848D135" w14:textId="77777777" w:rsidR="00E56D68" w:rsidRPr="00955B4D" w:rsidRDefault="00E56D68" w:rsidP="00E56D68">
      <w:pPr>
        <w:pStyle w:val="Ttulo4"/>
        <w:rPr>
          <w:spacing w:val="20"/>
          <w:sz w:val="14"/>
          <w:szCs w:val="18"/>
        </w:rPr>
      </w:pPr>
      <w:r w:rsidRPr="00955B4D">
        <w:rPr>
          <w:spacing w:val="20"/>
          <w:sz w:val="14"/>
          <w:szCs w:val="18"/>
        </w:rPr>
        <w:t>Bhagavā.</w:t>
      </w:r>
    </w:p>
    <w:p w14:paraId="7C8EBB50" w14:textId="77777777" w:rsidR="00E56D68" w:rsidRDefault="00E56D68" w:rsidP="00E56D68">
      <w:pPr>
        <w:ind w:firstLine="284"/>
        <w:rPr>
          <w:sz w:val="14"/>
          <w:szCs w:val="18"/>
        </w:rPr>
      </w:pPr>
      <w:r>
        <w:rPr>
          <w:sz w:val="14"/>
          <w:szCs w:val="18"/>
        </w:rPr>
        <w:t xml:space="preserve">En vez de la traducción del inglés </w:t>
      </w:r>
      <w:r w:rsidRPr="0054671B">
        <w:rPr>
          <w:i/>
          <w:iCs/>
          <w:sz w:val="14"/>
          <w:szCs w:val="18"/>
        </w:rPr>
        <w:t>Sublime</w:t>
      </w:r>
      <w:r>
        <w:rPr>
          <w:sz w:val="14"/>
          <w:szCs w:val="18"/>
        </w:rPr>
        <w:t xml:space="preserve"> o </w:t>
      </w:r>
      <w:proofErr w:type="spellStart"/>
      <w:r w:rsidRPr="0054671B">
        <w:rPr>
          <w:i/>
          <w:iCs/>
          <w:sz w:val="14"/>
          <w:szCs w:val="18"/>
        </w:rPr>
        <w:t>Bless</w:t>
      </w:r>
      <w:r>
        <w:rPr>
          <w:i/>
          <w:iCs/>
          <w:sz w:val="14"/>
          <w:szCs w:val="18"/>
        </w:rPr>
        <w:t>ed</w:t>
      </w:r>
      <w:proofErr w:type="spellEnd"/>
      <w:r w:rsidRPr="0054671B">
        <w:rPr>
          <w:i/>
          <w:iCs/>
          <w:sz w:val="14"/>
          <w:szCs w:val="18"/>
        </w:rPr>
        <w:t xml:space="preserve"> </w:t>
      </w:r>
      <w:proofErr w:type="spellStart"/>
      <w:r w:rsidRPr="0054671B">
        <w:rPr>
          <w:i/>
          <w:iCs/>
          <w:sz w:val="14"/>
          <w:szCs w:val="18"/>
        </w:rPr>
        <w:t>One</w:t>
      </w:r>
      <w:proofErr w:type="spellEnd"/>
      <w:r>
        <w:rPr>
          <w:i/>
          <w:iCs/>
          <w:sz w:val="14"/>
          <w:szCs w:val="18"/>
        </w:rPr>
        <w:t xml:space="preserve">, </w:t>
      </w:r>
      <w:r>
        <w:rPr>
          <w:sz w:val="14"/>
          <w:szCs w:val="18"/>
        </w:rPr>
        <w:t xml:space="preserve">como el autor ha podido ver que en la mayoría de los casos se refieren a un término que en el original </w:t>
      </w:r>
      <w:r w:rsidRPr="003E0E58">
        <w:rPr>
          <w:i/>
          <w:iCs/>
          <w:sz w:val="14"/>
          <w:szCs w:val="18"/>
        </w:rPr>
        <w:t>pāḷi</w:t>
      </w:r>
      <w:r>
        <w:rPr>
          <w:sz w:val="14"/>
          <w:szCs w:val="18"/>
        </w:rPr>
        <w:t xml:space="preserve"> es </w:t>
      </w:r>
      <w:r w:rsidRPr="007A639A">
        <w:rPr>
          <w:i/>
          <w:iCs/>
          <w:sz w:val="14"/>
          <w:szCs w:val="18"/>
        </w:rPr>
        <w:t>Bhagavā</w:t>
      </w:r>
      <w:r>
        <w:rPr>
          <w:i/>
          <w:iCs/>
          <w:sz w:val="14"/>
          <w:szCs w:val="18"/>
        </w:rPr>
        <w:t xml:space="preserve">, </w:t>
      </w:r>
      <w:r>
        <w:rPr>
          <w:sz w:val="14"/>
          <w:szCs w:val="18"/>
        </w:rPr>
        <w:t xml:space="preserve">término a ser fácilmente reconocido por el lector objetivo, se ha mantenido este término original </w:t>
      </w:r>
      <w:r w:rsidRPr="00577DAF">
        <w:rPr>
          <w:i/>
          <w:iCs/>
          <w:sz w:val="14"/>
          <w:szCs w:val="18"/>
        </w:rPr>
        <w:t>pāḷi</w:t>
      </w:r>
      <w:r>
        <w:rPr>
          <w:sz w:val="14"/>
          <w:szCs w:val="18"/>
        </w:rPr>
        <w:t xml:space="preserve"> para referirse muchas veces al </w:t>
      </w:r>
      <w:r>
        <w:rPr>
          <w:i/>
          <w:iCs/>
          <w:sz w:val="14"/>
          <w:szCs w:val="18"/>
        </w:rPr>
        <w:t>Buddha.</w:t>
      </w:r>
      <w:r>
        <w:rPr>
          <w:sz w:val="14"/>
          <w:szCs w:val="18"/>
        </w:rPr>
        <w:t xml:space="preserve"> </w:t>
      </w:r>
    </w:p>
    <w:p w14:paraId="0AB4DCD5" w14:textId="77777777" w:rsidR="00E56D68" w:rsidRPr="00955B4D" w:rsidRDefault="00E56D68" w:rsidP="00E56D68">
      <w:pPr>
        <w:pStyle w:val="Ttulo4"/>
        <w:rPr>
          <w:spacing w:val="20"/>
          <w:sz w:val="14"/>
          <w:szCs w:val="18"/>
        </w:rPr>
      </w:pPr>
      <w:r w:rsidRPr="00955B4D">
        <w:rPr>
          <w:spacing w:val="20"/>
          <w:sz w:val="14"/>
          <w:szCs w:val="18"/>
        </w:rPr>
        <w:t xml:space="preserve">Cursivas, </w:t>
      </w:r>
    </w:p>
    <w:p w14:paraId="57889917" w14:textId="6737A7A2" w:rsidR="00E56D68" w:rsidRDefault="00E56D68" w:rsidP="00E56D68">
      <w:pPr>
        <w:ind w:firstLine="284"/>
        <w:rPr>
          <w:sz w:val="14"/>
          <w:szCs w:val="18"/>
        </w:rPr>
      </w:pPr>
      <w:r>
        <w:rPr>
          <w:sz w:val="14"/>
          <w:szCs w:val="18"/>
        </w:rPr>
        <w:t xml:space="preserve">Se ha utilizado el formato cursivo con especial atención </w:t>
      </w:r>
      <w:r w:rsidR="002E6382">
        <w:rPr>
          <w:sz w:val="14"/>
          <w:szCs w:val="18"/>
        </w:rPr>
        <w:t>al sugerido originalmente por su versión original en inglés y par</w:t>
      </w:r>
      <w:r>
        <w:rPr>
          <w:sz w:val="14"/>
          <w:szCs w:val="18"/>
        </w:rPr>
        <w:t xml:space="preserve">a cualquier término técnico </w:t>
      </w:r>
      <w:r w:rsidRPr="00BD5A2B">
        <w:rPr>
          <w:i/>
          <w:iCs/>
          <w:sz w:val="14"/>
          <w:szCs w:val="18"/>
        </w:rPr>
        <w:t>pāḷi</w:t>
      </w:r>
      <w:r>
        <w:rPr>
          <w:sz w:val="14"/>
          <w:szCs w:val="18"/>
        </w:rPr>
        <w:t xml:space="preserve"> que requiera especial atención por parte del lector, de manera que, si deseara apuntarlo, registrarlo o detenerse en él, pueda hacerlo con mayor facilidad, ya que el libro no se caracteriza en lo absoluto por su accesibilidad didáctica. Inclusive</w:t>
      </w:r>
      <w:r w:rsidR="002E6382">
        <w:rPr>
          <w:sz w:val="14"/>
          <w:szCs w:val="18"/>
        </w:rPr>
        <w:t>,</w:t>
      </w:r>
      <w:r>
        <w:rPr>
          <w:sz w:val="14"/>
          <w:szCs w:val="18"/>
        </w:rPr>
        <w:t xml:space="preserve"> se ha mantenido en cursiva todas las referencias efectuadas </w:t>
      </w:r>
      <w:r w:rsidR="002E6382">
        <w:rPr>
          <w:sz w:val="14"/>
          <w:szCs w:val="18"/>
        </w:rPr>
        <w:t>a</w:t>
      </w:r>
      <w:r>
        <w:rPr>
          <w:sz w:val="14"/>
          <w:szCs w:val="18"/>
        </w:rPr>
        <w:t xml:space="preserve">l </w:t>
      </w:r>
      <w:r w:rsidRPr="00CF52E7">
        <w:rPr>
          <w:i/>
          <w:iCs/>
          <w:sz w:val="14"/>
          <w:szCs w:val="18"/>
        </w:rPr>
        <w:t>Buddha, Dhamma y Saṅgha</w:t>
      </w:r>
      <w:r>
        <w:rPr>
          <w:sz w:val="14"/>
          <w:szCs w:val="18"/>
        </w:rPr>
        <w:t xml:space="preserve"> debido a la consciencia de muchos meditadores de que éstos representan, en realidad, toda una serie de cualidades las cuales</w:t>
      </w:r>
      <w:r w:rsidR="005C3698">
        <w:rPr>
          <w:sz w:val="14"/>
          <w:szCs w:val="18"/>
        </w:rPr>
        <w:t>,</w:t>
      </w:r>
      <w:r>
        <w:rPr>
          <w:sz w:val="14"/>
          <w:szCs w:val="18"/>
        </w:rPr>
        <w:t xml:space="preserve"> </w:t>
      </w:r>
      <w:r>
        <w:rPr>
          <w:sz w:val="14"/>
          <w:szCs w:val="18"/>
        </w:rPr>
        <w:lastRenderedPageBreak/>
        <w:t>muchas veces</w:t>
      </w:r>
      <w:r w:rsidR="005C3698">
        <w:rPr>
          <w:sz w:val="14"/>
          <w:szCs w:val="18"/>
        </w:rPr>
        <w:t>,</w:t>
      </w:r>
      <w:r>
        <w:rPr>
          <w:sz w:val="14"/>
          <w:szCs w:val="18"/>
        </w:rPr>
        <w:t xml:space="preserve"> destellarán naturalmente como reconocimiento del entendimiento de sus enseñanzas como, por ejemplo, </w:t>
      </w:r>
      <w:proofErr w:type="spellStart"/>
      <w:r w:rsidRPr="00CF52E7">
        <w:rPr>
          <w:i/>
          <w:iCs/>
          <w:sz w:val="14"/>
          <w:szCs w:val="18"/>
        </w:rPr>
        <w:t>bhagava</w:t>
      </w:r>
      <w:proofErr w:type="spellEnd"/>
      <w:r w:rsidRPr="00CF52E7">
        <w:rPr>
          <w:i/>
          <w:iCs/>
          <w:sz w:val="14"/>
          <w:szCs w:val="18"/>
        </w:rPr>
        <w:t xml:space="preserve">, arahant, </w:t>
      </w:r>
      <w:proofErr w:type="spellStart"/>
      <w:r w:rsidRPr="00CF52E7">
        <w:rPr>
          <w:i/>
          <w:iCs/>
          <w:sz w:val="14"/>
          <w:szCs w:val="18"/>
        </w:rPr>
        <w:t>sammā</w:t>
      </w:r>
      <w:proofErr w:type="spellEnd"/>
      <w:r w:rsidRPr="00CF52E7">
        <w:rPr>
          <w:i/>
          <w:iCs/>
          <w:sz w:val="14"/>
          <w:szCs w:val="18"/>
        </w:rPr>
        <w:t xml:space="preserve"> </w:t>
      </w:r>
      <w:proofErr w:type="spellStart"/>
      <w:r w:rsidRPr="00CF52E7">
        <w:rPr>
          <w:i/>
          <w:iCs/>
          <w:sz w:val="14"/>
          <w:szCs w:val="18"/>
        </w:rPr>
        <w:t>sambuddho</w:t>
      </w:r>
      <w:proofErr w:type="spellEnd"/>
      <w:r w:rsidRPr="00CF52E7">
        <w:rPr>
          <w:i/>
          <w:iCs/>
          <w:sz w:val="14"/>
          <w:szCs w:val="18"/>
        </w:rPr>
        <w:t xml:space="preserve">, </w:t>
      </w:r>
      <w:proofErr w:type="spellStart"/>
      <w:r w:rsidRPr="00CF52E7">
        <w:rPr>
          <w:i/>
          <w:iCs/>
          <w:sz w:val="14"/>
          <w:szCs w:val="18"/>
        </w:rPr>
        <w:t>vija</w:t>
      </w:r>
      <w:proofErr w:type="spellEnd"/>
      <w:r w:rsidRPr="00CF52E7">
        <w:rPr>
          <w:i/>
          <w:iCs/>
          <w:sz w:val="14"/>
          <w:szCs w:val="18"/>
        </w:rPr>
        <w:t xml:space="preserve"> </w:t>
      </w:r>
      <w:proofErr w:type="spellStart"/>
      <w:r w:rsidRPr="00CF52E7">
        <w:rPr>
          <w:i/>
          <w:iCs/>
          <w:sz w:val="14"/>
          <w:szCs w:val="18"/>
        </w:rPr>
        <w:t>caraṇa</w:t>
      </w:r>
      <w:proofErr w:type="spellEnd"/>
      <w:r w:rsidRPr="00CF52E7">
        <w:rPr>
          <w:i/>
          <w:iCs/>
          <w:sz w:val="14"/>
          <w:szCs w:val="18"/>
        </w:rPr>
        <w:t xml:space="preserve"> </w:t>
      </w:r>
      <w:proofErr w:type="spellStart"/>
      <w:r w:rsidRPr="00CF52E7">
        <w:rPr>
          <w:i/>
          <w:iCs/>
          <w:sz w:val="14"/>
          <w:szCs w:val="18"/>
        </w:rPr>
        <w:t>samapano</w:t>
      </w:r>
      <w:proofErr w:type="spellEnd"/>
      <w:r>
        <w:rPr>
          <w:sz w:val="14"/>
          <w:szCs w:val="18"/>
        </w:rPr>
        <w:t xml:space="preserve">, etc., en el caso del </w:t>
      </w:r>
      <w:r w:rsidRPr="00CF52E7">
        <w:rPr>
          <w:i/>
          <w:iCs/>
          <w:sz w:val="14"/>
          <w:szCs w:val="18"/>
        </w:rPr>
        <w:t>Buddha</w:t>
      </w:r>
      <w:r>
        <w:rPr>
          <w:sz w:val="14"/>
          <w:szCs w:val="18"/>
        </w:rPr>
        <w:t>.</w:t>
      </w:r>
    </w:p>
    <w:p w14:paraId="2E65ECA9" w14:textId="384F29B6" w:rsidR="00E56D68" w:rsidRPr="005B4F46" w:rsidRDefault="00E56D68" w:rsidP="00E56D68">
      <w:pPr>
        <w:ind w:firstLine="284"/>
        <w:rPr>
          <w:sz w:val="14"/>
          <w:szCs w:val="18"/>
        </w:rPr>
      </w:pPr>
      <w:r>
        <w:rPr>
          <w:sz w:val="14"/>
          <w:szCs w:val="18"/>
        </w:rPr>
        <w:t xml:space="preserve">En algunas ocasiones, se ha utilizado la fuente cursiva para hacer referencia a términos técnicos específico dentro del contexto </w:t>
      </w:r>
      <w:proofErr w:type="spellStart"/>
      <w:r>
        <w:rPr>
          <w:i/>
          <w:iCs/>
          <w:sz w:val="14"/>
          <w:szCs w:val="18"/>
        </w:rPr>
        <w:t>d</w:t>
      </w:r>
      <w:r w:rsidRPr="007365D6">
        <w:rPr>
          <w:i/>
          <w:iCs/>
          <w:sz w:val="14"/>
          <w:szCs w:val="18"/>
        </w:rPr>
        <w:t>hammico</w:t>
      </w:r>
      <w:proofErr w:type="spellEnd"/>
      <w:r>
        <w:rPr>
          <w:sz w:val="14"/>
          <w:szCs w:val="18"/>
        </w:rPr>
        <w:t xml:space="preserve"> que pudiesen confundirse con algún término gramatical u ocasional dentro de una oración, como </w:t>
      </w:r>
      <w:r w:rsidRPr="008A03D8">
        <w:rPr>
          <w:i/>
          <w:iCs/>
          <w:sz w:val="14"/>
          <w:szCs w:val="18"/>
        </w:rPr>
        <w:t>primario</w:t>
      </w:r>
      <w:r>
        <w:rPr>
          <w:i/>
          <w:iCs/>
          <w:sz w:val="14"/>
          <w:szCs w:val="18"/>
        </w:rPr>
        <w:t xml:space="preserve">/a/os/as, base/s, puerta/s, elemento/s, último/s, verdad/es, sabiduría </w:t>
      </w:r>
      <w:r w:rsidRPr="007365D6">
        <w:rPr>
          <w:sz w:val="14"/>
          <w:szCs w:val="18"/>
        </w:rPr>
        <w:t>etc.</w:t>
      </w:r>
      <w:r>
        <w:rPr>
          <w:sz w:val="14"/>
          <w:szCs w:val="18"/>
        </w:rPr>
        <w:t>,</w:t>
      </w:r>
      <w:r>
        <w:rPr>
          <w:i/>
          <w:iCs/>
          <w:sz w:val="14"/>
          <w:szCs w:val="18"/>
        </w:rPr>
        <w:t xml:space="preserve"> l</w:t>
      </w:r>
      <w:r>
        <w:rPr>
          <w:sz w:val="14"/>
          <w:szCs w:val="18"/>
        </w:rPr>
        <w:t xml:space="preserve">os cuales intentarán hacer referencia a </w:t>
      </w:r>
      <w:r>
        <w:rPr>
          <w:i/>
          <w:iCs/>
          <w:sz w:val="14"/>
          <w:szCs w:val="18"/>
        </w:rPr>
        <w:t xml:space="preserve">realidades </w:t>
      </w:r>
      <w:r>
        <w:rPr>
          <w:sz w:val="14"/>
          <w:szCs w:val="18"/>
        </w:rPr>
        <w:t xml:space="preserve">específicas del </w:t>
      </w:r>
      <w:r w:rsidRPr="005B4F46">
        <w:rPr>
          <w:i/>
          <w:iCs/>
          <w:sz w:val="14"/>
          <w:szCs w:val="18"/>
        </w:rPr>
        <w:t>fenómeno mente</w:t>
      </w:r>
      <w:r w:rsidR="005C3698">
        <w:rPr>
          <w:rFonts w:cs="Cormorant"/>
          <w:i/>
          <w:iCs/>
          <w:sz w:val="14"/>
          <w:szCs w:val="18"/>
        </w:rPr>
        <w:t>–</w:t>
      </w:r>
      <w:r w:rsidRPr="005B4F46">
        <w:rPr>
          <w:i/>
          <w:iCs/>
          <w:sz w:val="14"/>
          <w:szCs w:val="18"/>
        </w:rPr>
        <w:t>materia</w:t>
      </w:r>
      <w:r>
        <w:rPr>
          <w:i/>
          <w:iCs/>
          <w:sz w:val="14"/>
          <w:szCs w:val="18"/>
        </w:rPr>
        <w:t>.</w:t>
      </w:r>
    </w:p>
    <w:p w14:paraId="1734D90D" w14:textId="77777777" w:rsidR="00E56D68" w:rsidRDefault="00E56D68" w:rsidP="00E56D68">
      <w:pPr>
        <w:ind w:firstLine="284"/>
        <w:rPr>
          <w:sz w:val="14"/>
          <w:szCs w:val="18"/>
        </w:rPr>
      </w:pPr>
      <w:r>
        <w:rPr>
          <w:sz w:val="14"/>
          <w:szCs w:val="18"/>
        </w:rPr>
        <w:t xml:space="preserve">También se ha utilizado el formato cursivo para hacer énfasis en cualquier término compuesto técnico que en español haya resultado más extensivamente </w:t>
      </w:r>
      <w:r w:rsidRPr="00EE5FB3">
        <w:rPr>
          <w:i/>
          <w:iCs/>
          <w:sz w:val="14"/>
          <w:szCs w:val="18"/>
        </w:rPr>
        <w:t>compuesto</w:t>
      </w:r>
      <w:r>
        <w:rPr>
          <w:sz w:val="14"/>
          <w:szCs w:val="18"/>
        </w:rPr>
        <w:t xml:space="preserve"> que en el inglés, como, por ejemplo, </w:t>
      </w:r>
      <w:r>
        <w:rPr>
          <w:i/>
          <w:iCs/>
          <w:sz w:val="14"/>
          <w:szCs w:val="18"/>
        </w:rPr>
        <w:t xml:space="preserve">el elemento de la base de la consciencia mental, </w:t>
      </w:r>
      <w:r>
        <w:rPr>
          <w:sz w:val="14"/>
          <w:szCs w:val="18"/>
        </w:rPr>
        <w:t xml:space="preserve">el cual hace referencia a una sola realidad mental en </w:t>
      </w:r>
      <w:r w:rsidRPr="00EE5FB3">
        <w:rPr>
          <w:i/>
          <w:iCs/>
          <w:sz w:val="14"/>
          <w:szCs w:val="18"/>
        </w:rPr>
        <w:t>pāḷi</w:t>
      </w:r>
      <w:r>
        <w:rPr>
          <w:sz w:val="14"/>
          <w:szCs w:val="18"/>
        </w:rPr>
        <w:t>.</w:t>
      </w:r>
    </w:p>
    <w:p w14:paraId="61779067" w14:textId="77777777" w:rsidR="00E56D68" w:rsidRPr="00EE5FB3" w:rsidRDefault="00E56D68" w:rsidP="00E56D68">
      <w:pPr>
        <w:ind w:firstLine="284"/>
        <w:rPr>
          <w:sz w:val="14"/>
          <w:szCs w:val="18"/>
        </w:rPr>
      </w:pPr>
      <w:r>
        <w:rPr>
          <w:sz w:val="14"/>
          <w:szCs w:val="18"/>
        </w:rPr>
        <w:t xml:space="preserve">El formato cursivo también se ha utilizado para cualquier referencia bibliográfica budista, en </w:t>
      </w:r>
      <w:r w:rsidRPr="00D44280">
        <w:rPr>
          <w:i/>
          <w:iCs/>
          <w:sz w:val="14"/>
          <w:szCs w:val="18"/>
        </w:rPr>
        <w:t>pāḷi</w:t>
      </w:r>
      <w:r>
        <w:rPr>
          <w:sz w:val="14"/>
          <w:szCs w:val="18"/>
        </w:rPr>
        <w:t xml:space="preserve"> o inglés, para una fácil y cómoda identificación.  </w:t>
      </w:r>
    </w:p>
    <w:p w14:paraId="42EBA09A" w14:textId="77777777" w:rsidR="00E56D68" w:rsidRPr="00955B4D" w:rsidRDefault="00E56D68" w:rsidP="00E56D68">
      <w:pPr>
        <w:pStyle w:val="Ttulo4"/>
        <w:rPr>
          <w:spacing w:val="20"/>
          <w:sz w:val="14"/>
          <w:szCs w:val="18"/>
        </w:rPr>
      </w:pPr>
      <w:r w:rsidRPr="00955B4D">
        <w:rPr>
          <w:spacing w:val="20"/>
          <w:sz w:val="14"/>
          <w:szCs w:val="18"/>
        </w:rPr>
        <w:t xml:space="preserve">Corchetes, </w:t>
      </w:r>
    </w:p>
    <w:p w14:paraId="647CFDF9" w14:textId="6A86048D" w:rsidR="00E56D68" w:rsidRPr="0054671B" w:rsidRDefault="00E56D68" w:rsidP="00E56D68">
      <w:pPr>
        <w:ind w:firstLine="284"/>
        <w:rPr>
          <w:sz w:val="14"/>
          <w:szCs w:val="18"/>
        </w:rPr>
      </w:pPr>
      <w:r>
        <w:rPr>
          <w:sz w:val="14"/>
          <w:szCs w:val="18"/>
        </w:rPr>
        <w:t xml:space="preserve">El uso de corchetes pareciera haber sido utilizado para la traducción del </w:t>
      </w:r>
      <w:r w:rsidRPr="00A23DD8">
        <w:rPr>
          <w:i/>
          <w:iCs/>
          <w:sz w:val="14"/>
          <w:szCs w:val="18"/>
        </w:rPr>
        <w:t>pāḷi</w:t>
      </w:r>
      <w:r>
        <w:rPr>
          <w:sz w:val="14"/>
          <w:szCs w:val="18"/>
        </w:rPr>
        <w:t xml:space="preserve"> </w:t>
      </w:r>
      <w:r w:rsidR="00235F44">
        <w:rPr>
          <w:sz w:val="14"/>
          <w:szCs w:val="18"/>
        </w:rPr>
        <w:t>a</w:t>
      </w:r>
      <w:r>
        <w:rPr>
          <w:sz w:val="14"/>
          <w:szCs w:val="18"/>
        </w:rPr>
        <w:t xml:space="preserve">l inglés por el Venerable </w:t>
      </w:r>
      <w:proofErr w:type="spellStart"/>
      <w:r>
        <w:rPr>
          <w:sz w:val="14"/>
          <w:szCs w:val="18"/>
        </w:rPr>
        <w:t>Bhikkhu</w:t>
      </w:r>
      <w:proofErr w:type="spellEnd"/>
      <w:r>
        <w:rPr>
          <w:sz w:val="14"/>
          <w:szCs w:val="18"/>
        </w:rPr>
        <w:t xml:space="preserve"> Ñāṇamoli y pareciera haber consistido en añadir un complemento explicativo de cualquier término técnico especial</w:t>
      </w:r>
      <w:r w:rsidR="00235F44">
        <w:rPr>
          <w:sz w:val="14"/>
          <w:szCs w:val="18"/>
        </w:rPr>
        <w:t>, según lo entendido</w:t>
      </w:r>
      <w:r>
        <w:rPr>
          <w:sz w:val="14"/>
          <w:szCs w:val="18"/>
        </w:rPr>
        <w:t xml:space="preserve">. En la mayoría de los casos, por tratarse de una adaptación del libro original y no de una traducción profesional </w:t>
      </w:r>
      <w:r w:rsidR="00235F44">
        <w:rPr>
          <w:sz w:val="14"/>
          <w:szCs w:val="18"/>
        </w:rPr>
        <w:t xml:space="preserve">y literal </w:t>
      </w:r>
      <w:r>
        <w:rPr>
          <w:sz w:val="14"/>
          <w:szCs w:val="18"/>
        </w:rPr>
        <w:t xml:space="preserve">del </w:t>
      </w:r>
      <w:r w:rsidRPr="00E25EDB">
        <w:rPr>
          <w:i/>
          <w:iCs/>
          <w:sz w:val="14"/>
          <w:szCs w:val="18"/>
        </w:rPr>
        <w:t>pāḷi</w:t>
      </w:r>
      <w:r>
        <w:rPr>
          <w:sz w:val="14"/>
          <w:szCs w:val="18"/>
        </w:rPr>
        <w:t xml:space="preserve"> al español, se ha omitido estos corchetes incorporando su contenido a toda la oración que la contuviese.</w:t>
      </w:r>
    </w:p>
    <w:p w14:paraId="2A2824FB" w14:textId="77777777" w:rsidR="00E56D68" w:rsidRPr="00955B4D" w:rsidRDefault="00E56D68" w:rsidP="00E56D68">
      <w:pPr>
        <w:pStyle w:val="Ttulo4"/>
        <w:rPr>
          <w:spacing w:val="20"/>
          <w:sz w:val="14"/>
          <w:szCs w:val="18"/>
        </w:rPr>
      </w:pPr>
      <w:r w:rsidRPr="00955B4D">
        <w:rPr>
          <w:spacing w:val="20"/>
          <w:sz w:val="14"/>
          <w:szCs w:val="18"/>
        </w:rPr>
        <w:t xml:space="preserve">Numeración </w:t>
      </w:r>
    </w:p>
    <w:p w14:paraId="611F7DC2" w14:textId="5E01B846" w:rsidR="00E56D68" w:rsidRDefault="00E56D68" w:rsidP="00E56D68">
      <w:pPr>
        <w:ind w:firstLine="284"/>
        <w:rPr>
          <w:sz w:val="14"/>
          <w:szCs w:val="18"/>
        </w:rPr>
      </w:pPr>
      <w:r>
        <w:rPr>
          <w:sz w:val="14"/>
          <w:szCs w:val="18"/>
        </w:rPr>
        <w:t xml:space="preserve">Lo primero es lo concerniente a la numeración de cualquier clasificación que se haga en el libro, el cual es bastante conspicuo al respecto. Si bien las normas aconsejan el uso de la escritura literal de cualquier número, el autor, </w:t>
      </w:r>
      <w:r w:rsidR="00736537">
        <w:rPr>
          <w:sz w:val="14"/>
          <w:szCs w:val="18"/>
        </w:rPr>
        <w:t>(</w:t>
      </w:r>
      <w:r>
        <w:rPr>
          <w:sz w:val="14"/>
          <w:szCs w:val="18"/>
        </w:rPr>
        <w:t>comprensiblemente</w:t>
      </w:r>
      <w:r w:rsidR="00736537">
        <w:rPr>
          <w:sz w:val="14"/>
          <w:szCs w:val="18"/>
        </w:rPr>
        <w:t>,</w:t>
      </w:r>
      <w:r>
        <w:rPr>
          <w:sz w:val="14"/>
          <w:szCs w:val="18"/>
        </w:rPr>
        <w:t xml:space="preserve"> por pertenecer a una profesión técnica</w:t>
      </w:r>
      <w:r w:rsidR="00736537">
        <w:rPr>
          <w:sz w:val="14"/>
          <w:szCs w:val="18"/>
        </w:rPr>
        <w:t>)</w:t>
      </w:r>
      <w:r>
        <w:rPr>
          <w:sz w:val="14"/>
          <w:szCs w:val="18"/>
        </w:rPr>
        <w:t>, ha creído mucho más conveniente el uso numérico de cualquier clasificación. Es decir, en vez de “las tres raíces” está utilizando “las 3 raíces”, ello se ha hecho con el objeto de no sólo facilitar la identificación numérica de cualquier clasificación</w:t>
      </w:r>
      <w:r w:rsidR="00F701CA">
        <w:rPr>
          <w:sz w:val="14"/>
          <w:szCs w:val="18"/>
        </w:rPr>
        <w:t xml:space="preserve"> o referencia al respecto</w:t>
      </w:r>
      <w:r>
        <w:rPr>
          <w:sz w:val="14"/>
          <w:szCs w:val="18"/>
        </w:rPr>
        <w:t>, ya que así es más sencillo, sino con la de facilitar la imperativa aritmética que éstas demandan, por medio de subclasificaciones, sub</w:t>
      </w:r>
      <w:r>
        <w:rPr>
          <w:rFonts w:cs="Cormorant"/>
          <w:sz w:val="14"/>
          <w:szCs w:val="18"/>
        </w:rPr>
        <w:t>–</w:t>
      </w:r>
      <w:r>
        <w:rPr>
          <w:sz w:val="14"/>
          <w:szCs w:val="18"/>
        </w:rPr>
        <w:t xml:space="preserve">subclasificaciones, etc. </w:t>
      </w:r>
    </w:p>
    <w:p w14:paraId="10286DBF" w14:textId="746125B8" w:rsidR="00E56D68" w:rsidRPr="00935C24" w:rsidRDefault="00E56D68" w:rsidP="00E56D68">
      <w:pPr>
        <w:ind w:firstLine="284"/>
        <w:rPr>
          <w:sz w:val="14"/>
          <w:szCs w:val="18"/>
        </w:rPr>
      </w:pPr>
      <w:r>
        <w:rPr>
          <w:sz w:val="14"/>
          <w:szCs w:val="18"/>
        </w:rPr>
        <w:t xml:space="preserve">Existen clasificaciones que no enumeran cada elemento respectivo, el autor ha añadido la numeración respectiva para poder identificar con mayor facilidad la lectura al respecto.  Además, se está complementando el presente libro con su resumen de clasificaciones por capítulo de todos los tipos de enumeración que posea el libro por medio del título anexo </w:t>
      </w:r>
      <w:r w:rsidRPr="00F6400C">
        <w:rPr>
          <w:i/>
          <w:iCs/>
          <w:sz w:val="14"/>
          <w:szCs w:val="18"/>
        </w:rPr>
        <w:t>Esquematización de Clasificaciones del Visuddhimagga</w:t>
      </w:r>
      <w:r>
        <w:rPr>
          <w:sz w:val="14"/>
          <w:szCs w:val="18"/>
        </w:rPr>
        <w:t xml:space="preserve"> el cual suma casi cien páginas. Esta necesidad se ha debido a la abundancia numérica que caracteriza a este libro. Bajo este contexto, en éste se pueden leer “Los 5 símiles” como si fuera un nombre propio, “los 4 </w:t>
      </w:r>
      <w:proofErr w:type="spellStart"/>
      <w:r w:rsidRPr="00397AB6">
        <w:rPr>
          <w:i/>
          <w:iCs/>
          <w:sz w:val="14"/>
          <w:szCs w:val="18"/>
        </w:rPr>
        <w:t>jhānas</w:t>
      </w:r>
      <w:proofErr w:type="spellEnd"/>
      <w:r>
        <w:rPr>
          <w:sz w:val="14"/>
          <w:szCs w:val="18"/>
        </w:rPr>
        <w:t xml:space="preserve">”, “los 5 </w:t>
      </w:r>
      <w:proofErr w:type="spellStart"/>
      <w:r w:rsidRPr="00397AB6">
        <w:rPr>
          <w:i/>
          <w:iCs/>
          <w:sz w:val="14"/>
          <w:szCs w:val="18"/>
        </w:rPr>
        <w:t>jhānas</w:t>
      </w:r>
      <w:proofErr w:type="spellEnd"/>
      <w:r>
        <w:rPr>
          <w:sz w:val="14"/>
          <w:szCs w:val="18"/>
        </w:rPr>
        <w:t>”, “los 89 tipos de consciencia”, “</w:t>
      </w:r>
      <w:r w:rsidRPr="00E10AAE">
        <w:rPr>
          <w:sz w:val="14"/>
          <w:szCs w:val="18"/>
        </w:rPr>
        <w:t>los</w:t>
      </w:r>
      <w:r>
        <w:rPr>
          <w:sz w:val="14"/>
          <w:szCs w:val="18"/>
        </w:rPr>
        <w:t xml:space="preserve"> 2 factores de abandono del 2</w:t>
      </w:r>
      <w:r w:rsidRPr="00654715">
        <w:rPr>
          <w:sz w:val="14"/>
          <w:szCs w:val="18"/>
          <w:vertAlign w:val="superscript"/>
        </w:rPr>
        <w:t>do</w:t>
      </w:r>
      <w:r>
        <w:rPr>
          <w:sz w:val="14"/>
          <w:szCs w:val="18"/>
        </w:rPr>
        <w:t xml:space="preserve"> </w:t>
      </w:r>
      <w:proofErr w:type="spellStart"/>
      <w:r w:rsidRPr="00654715">
        <w:rPr>
          <w:i/>
          <w:iCs/>
          <w:sz w:val="14"/>
          <w:szCs w:val="18"/>
        </w:rPr>
        <w:t>jhāna</w:t>
      </w:r>
      <w:proofErr w:type="spellEnd"/>
      <w:r>
        <w:rPr>
          <w:sz w:val="14"/>
          <w:szCs w:val="18"/>
        </w:rPr>
        <w:t>”, “los 24 tipos de materialidad derivada”</w:t>
      </w:r>
      <w:r w:rsidR="00F701CA">
        <w:rPr>
          <w:sz w:val="14"/>
          <w:szCs w:val="18"/>
        </w:rPr>
        <w:t>;</w:t>
      </w:r>
      <w:r>
        <w:rPr>
          <w:sz w:val="14"/>
          <w:szCs w:val="18"/>
        </w:rPr>
        <w:t xml:space="preserve"> “los 19 grupos de virtud”, “Grupo de a 1”, “grupo de a 2”, etc.</w:t>
      </w:r>
      <w:r w:rsidR="00F701CA">
        <w:rPr>
          <w:sz w:val="14"/>
          <w:szCs w:val="18"/>
        </w:rPr>
        <w:t>;</w:t>
      </w:r>
      <w:r>
        <w:rPr>
          <w:sz w:val="14"/>
          <w:szCs w:val="18"/>
        </w:rPr>
        <w:t xml:space="preserve"> “los 13 tipos de practica asceta”, “los 5 tipos de concentración por grupos”, “1</w:t>
      </w:r>
      <w:r w:rsidRPr="00BF1D22">
        <w:rPr>
          <w:sz w:val="14"/>
          <w:szCs w:val="18"/>
          <w:vertAlign w:val="superscript"/>
        </w:rPr>
        <w:t>er</w:t>
      </w:r>
      <w:r>
        <w:rPr>
          <w:sz w:val="14"/>
          <w:szCs w:val="18"/>
          <w:vertAlign w:val="superscript"/>
        </w:rPr>
        <w:t xml:space="preserve"> </w:t>
      </w:r>
      <w:r>
        <w:rPr>
          <w:sz w:val="14"/>
          <w:szCs w:val="18"/>
        </w:rPr>
        <w:t>grupo de 1 tipo”</w:t>
      </w:r>
      <w:r w:rsidR="00F701CA">
        <w:rPr>
          <w:sz w:val="14"/>
          <w:szCs w:val="18"/>
        </w:rPr>
        <w:t>,</w:t>
      </w:r>
      <w:r>
        <w:rPr>
          <w:sz w:val="14"/>
          <w:szCs w:val="18"/>
        </w:rPr>
        <w:t xml:space="preserve"> “2</w:t>
      </w:r>
      <w:r w:rsidRPr="00661032">
        <w:rPr>
          <w:sz w:val="14"/>
          <w:szCs w:val="18"/>
          <w:vertAlign w:val="superscript"/>
        </w:rPr>
        <w:t>do</w:t>
      </w:r>
      <w:r>
        <w:rPr>
          <w:sz w:val="14"/>
          <w:szCs w:val="18"/>
        </w:rPr>
        <w:t xml:space="preserve"> grupo de 2 tipos”, cada uno de 5 y 1 tipos, respectivamente más un extensivo etc., que en el anexo externo a este libro suman, como ya se mencionó, casi cien páginas. </w:t>
      </w:r>
    </w:p>
    <w:p w14:paraId="7A06EBEF" w14:textId="77777777" w:rsidR="00E56D68" w:rsidRPr="00955B4D" w:rsidRDefault="00E56D68" w:rsidP="00E56D68">
      <w:pPr>
        <w:pStyle w:val="Ttulo4"/>
        <w:rPr>
          <w:spacing w:val="20"/>
          <w:sz w:val="14"/>
          <w:szCs w:val="18"/>
        </w:rPr>
      </w:pPr>
      <w:r w:rsidRPr="00955B4D">
        <w:rPr>
          <w:spacing w:val="20"/>
          <w:sz w:val="14"/>
          <w:szCs w:val="18"/>
        </w:rPr>
        <w:t>Conjugación</w:t>
      </w:r>
    </w:p>
    <w:p w14:paraId="76962ED3" w14:textId="379C6CE1" w:rsidR="00E56D68" w:rsidRPr="00866749" w:rsidRDefault="00E56D68" w:rsidP="00E56D68">
      <w:pPr>
        <w:ind w:firstLine="284"/>
        <w:rPr>
          <w:sz w:val="14"/>
          <w:szCs w:val="18"/>
        </w:rPr>
      </w:pPr>
      <w:r w:rsidRPr="001B5DEE">
        <w:rPr>
          <w:sz w:val="14"/>
          <w:szCs w:val="18"/>
        </w:rPr>
        <w:t xml:space="preserve">El formato </w:t>
      </w:r>
      <w:r>
        <w:rPr>
          <w:sz w:val="14"/>
          <w:szCs w:val="18"/>
        </w:rPr>
        <w:t xml:space="preserve">de redacción de la versión en inglés suele, en primer lugar, estar redactado bajo la conjugación de verbos en el tiempo presente; en la mayoría de los casos se ha optado por redactar este tipo de textos con la conjugación futura, como </w:t>
      </w:r>
      <w:r w:rsidR="00A850F3">
        <w:rPr>
          <w:sz w:val="14"/>
          <w:szCs w:val="18"/>
        </w:rPr>
        <w:t xml:space="preserve">si fuera </w:t>
      </w:r>
      <w:r>
        <w:rPr>
          <w:sz w:val="14"/>
          <w:szCs w:val="18"/>
        </w:rPr>
        <w:t xml:space="preserve">algo que se iría a experimentar por el practicante una vez seguidas las instrucciones; o porque se estén acuñando definiciones o clasificaciones particulares al especial contexto del </w:t>
      </w:r>
      <w:r w:rsidRPr="00E93FC0">
        <w:rPr>
          <w:i/>
          <w:iCs/>
          <w:sz w:val="14"/>
          <w:szCs w:val="18"/>
        </w:rPr>
        <w:t>Dhamma</w:t>
      </w:r>
      <w:r>
        <w:rPr>
          <w:sz w:val="14"/>
          <w:szCs w:val="18"/>
        </w:rPr>
        <w:t xml:space="preserve">, ajeno a cualquier dogmatismo; esto también se ha optado así debido a la dificultad para identificar el subjuntivo implícito o inexistente del idioma inglés. Por ejemplo, en vez de, Cap. VII. </w:t>
      </w:r>
      <w:r w:rsidRPr="00BB19F8">
        <w:rPr>
          <w:sz w:val="14"/>
          <w:szCs w:val="18"/>
        </w:rPr>
        <w:t xml:space="preserve">§ </w:t>
      </w:r>
      <w:r>
        <w:rPr>
          <w:sz w:val="14"/>
          <w:szCs w:val="18"/>
        </w:rPr>
        <w:t>114: “</w:t>
      </w:r>
      <w:r>
        <w:rPr>
          <w:i/>
          <w:iCs/>
          <w:sz w:val="14"/>
          <w:szCs w:val="18"/>
        </w:rPr>
        <w:t xml:space="preserve">Cuando un </w:t>
      </w:r>
      <w:proofErr w:type="spellStart"/>
      <w:r>
        <w:rPr>
          <w:i/>
          <w:iCs/>
          <w:sz w:val="14"/>
          <w:szCs w:val="18"/>
        </w:rPr>
        <w:t>bhikkhu</w:t>
      </w:r>
      <w:proofErr w:type="spellEnd"/>
      <w:r>
        <w:rPr>
          <w:i/>
          <w:iCs/>
          <w:sz w:val="14"/>
          <w:szCs w:val="18"/>
        </w:rPr>
        <w:t xml:space="preserve"> es devoto en su evocación de la generosidad se vuelve más inclinado hacia esta generosidad” </w:t>
      </w:r>
      <w:r>
        <w:rPr>
          <w:sz w:val="14"/>
          <w:szCs w:val="18"/>
        </w:rPr>
        <w:t>se ha traducido como “</w:t>
      </w:r>
      <w:r>
        <w:rPr>
          <w:i/>
          <w:iCs/>
          <w:sz w:val="14"/>
          <w:szCs w:val="18"/>
        </w:rPr>
        <w:t xml:space="preserve">Cuando un </w:t>
      </w:r>
      <w:proofErr w:type="spellStart"/>
      <w:r>
        <w:rPr>
          <w:i/>
          <w:iCs/>
          <w:sz w:val="14"/>
          <w:szCs w:val="18"/>
        </w:rPr>
        <w:t>bhikkhu</w:t>
      </w:r>
      <w:proofErr w:type="spellEnd"/>
      <w:r>
        <w:rPr>
          <w:i/>
          <w:iCs/>
          <w:sz w:val="14"/>
          <w:szCs w:val="18"/>
        </w:rPr>
        <w:t xml:space="preserve"> sea devoto en su evocación de la generosidad se volverá más inclinado hacia esta generosidad”. </w:t>
      </w:r>
      <w:r>
        <w:rPr>
          <w:sz w:val="14"/>
          <w:szCs w:val="18"/>
        </w:rPr>
        <w:t xml:space="preserve">En vez de “debe entenderse” o “debería entenderse” se utiliza “deberá entenderse”; en vez de “la materialidad es de 24 clases en términos del ojo…” se utiliza “la materialidad será de 24 clases en término del ojo…”, etc. Pareciera que el uso de esta forma </w:t>
      </w:r>
      <w:r w:rsidR="00A850F3">
        <w:rPr>
          <w:sz w:val="14"/>
          <w:szCs w:val="18"/>
        </w:rPr>
        <w:t xml:space="preserve">de </w:t>
      </w:r>
      <w:r>
        <w:rPr>
          <w:sz w:val="14"/>
          <w:szCs w:val="18"/>
        </w:rPr>
        <w:t>redacción fuese más didáctic</w:t>
      </w:r>
      <w:r w:rsidR="00A850F3">
        <w:rPr>
          <w:sz w:val="14"/>
          <w:szCs w:val="18"/>
        </w:rPr>
        <w:t>o</w:t>
      </w:r>
      <w:r>
        <w:rPr>
          <w:sz w:val="14"/>
          <w:szCs w:val="18"/>
        </w:rPr>
        <w:t xml:space="preserve"> y de más fácil lectura.</w:t>
      </w:r>
    </w:p>
    <w:p w14:paraId="7A8F505B" w14:textId="77777777" w:rsidR="00E56D68" w:rsidRPr="007777A7" w:rsidRDefault="00E56D68" w:rsidP="00E56D68">
      <w:pPr>
        <w:pStyle w:val="Ttulo3"/>
        <w:rPr>
          <w:b/>
          <w:bCs/>
          <w:sz w:val="14"/>
          <w:szCs w:val="20"/>
        </w:rPr>
      </w:pPr>
      <w:r w:rsidRPr="007777A7">
        <w:rPr>
          <w:b/>
          <w:bCs/>
          <w:sz w:val="14"/>
          <w:szCs w:val="20"/>
        </w:rPr>
        <w:t>Distinciones de Algunos Términos en la Presente Tradición</w:t>
      </w:r>
    </w:p>
    <w:p w14:paraId="670AAF10" w14:textId="17A5B7A4" w:rsidR="00E56D68" w:rsidRPr="00C2276A" w:rsidRDefault="00E56D68" w:rsidP="00E56D68">
      <w:pPr>
        <w:ind w:firstLine="284"/>
        <w:rPr>
          <w:sz w:val="14"/>
          <w:szCs w:val="18"/>
        </w:rPr>
      </w:pPr>
      <w:r>
        <w:rPr>
          <w:sz w:val="14"/>
          <w:szCs w:val="18"/>
        </w:rPr>
        <w:t>Como se mencionó anteriormente, en este libro también se ha presentado la necesidad de utilizar una especial interpretación, connotación o acepción, con respecto a algunos términos que en el marco de esta tradición posee algunas diferencias que requieren cierto grado de explicación que</w:t>
      </w:r>
      <w:r w:rsidR="00B944BA">
        <w:rPr>
          <w:sz w:val="14"/>
          <w:szCs w:val="18"/>
        </w:rPr>
        <w:t>,</w:t>
      </w:r>
      <w:r>
        <w:rPr>
          <w:sz w:val="14"/>
          <w:szCs w:val="18"/>
        </w:rPr>
        <w:t xml:space="preserve"> aunque prescindibles no están de más, ya que como dice la tradición, una vez desarrollada la práctica cada término encontrará la interpretación correcta</w:t>
      </w:r>
      <w:r w:rsidR="00B944BA">
        <w:rPr>
          <w:sz w:val="14"/>
          <w:szCs w:val="18"/>
        </w:rPr>
        <w:t xml:space="preserve"> y</w:t>
      </w:r>
      <w:r>
        <w:rPr>
          <w:sz w:val="14"/>
          <w:szCs w:val="18"/>
        </w:rPr>
        <w:t xml:space="preserve"> naturalmente.</w:t>
      </w:r>
    </w:p>
    <w:p w14:paraId="1FEAEA55" w14:textId="77777777" w:rsidR="00E56D68" w:rsidRPr="00955B4D" w:rsidRDefault="00E56D68" w:rsidP="00E56D68">
      <w:pPr>
        <w:pStyle w:val="Ttulo4"/>
        <w:rPr>
          <w:spacing w:val="20"/>
          <w:sz w:val="14"/>
          <w:szCs w:val="18"/>
        </w:rPr>
      </w:pPr>
      <w:r w:rsidRPr="00955B4D">
        <w:rPr>
          <w:spacing w:val="20"/>
          <w:sz w:val="14"/>
          <w:szCs w:val="18"/>
        </w:rPr>
        <w:t>Visión–incorrecta</w:t>
      </w:r>
    </w:p>
    <w:p w14:paraId="122C797A" w14:textId="77777777" w:rsidR="00E56D68" w:rsidRDefault="00E56D68" w:rsidP="00E56D68">
      <w:pPr>
        <w:ind w:firstLine="284"/>
        <w:rPr>
          <w:sz w:val="14"/>
          <w:szCs w:val="18"/>
        </w:rPr>
      </w:pPr>
      <w:r>
        <w:rPr>
          <w:sz w:val="14"/>
          <w:szCs w:val="18"/>
        </w:rPr>
        <w:t xml:space="preserve">A través del </w:t>
      </w:r>
      <w:r w:rsidRPr="00861EF4">
        <w:rPr>
          <w:i/>
          <w:iCs/>
          <w:sz w:val="14"/>
          <w:szCs w:val="18"/>
        </w:rPr>
        <w:t>Visuddhimagga</w:t>
      </w:r>
      <w:r>
        <w:rPr>
          <w:i/>
          <w:iCs/>
          <w:sz w:val="14"/>
          <w:szCs w:val="18"/>
        </w:rPr>
        <w:t xml:space="preserve"> </w:t>
      </w:r>
      <w:r>
        <w:rPr>
          <w:sz w:val="14"/>
          <w:szCs w:val="18"/>
        </w:rPr>
        <w:t xml:space="preserve">se hace uso del término inglés </w:t>
      </w:r>
      <w:proofErr w:type="spellStart"/>
      <w:r w:rsidRPr="00737E4F">
        <w:rPr>
          <w:i/>
          <w:iCs/>
          <w:sz w:val="14"/>
          <w:szCs w:val="18"/>
        </w:rPr>
        <w:t>view</w:t>
      </w:r>
      <w:proofErr w:type="spellEnd"/>
      <w:r>
        <w:rPr>
          <w:i/>
          <w:iCs/>
          <w:sz w:val="14"/>
          <w:szCs w:val="18"/>
        </w:rPr>
        <w:t xml:space="preserve"> </w:t>
      </w:r>
      <w:r>
        <w:rPr>
          <w:sz w:val="14"/>
          <w:szCs w:val="18"/>
        </w:rPr>
        <w:t xml:space="preserve">para referirse implícitamente a </w:t>
      </w:r>
      <w:proofErr w:type="spellStart"/>
      <w:r w:rsidRPr="00506C63">
        <w:rPr>
          <w:i/>
          <w:iCs/>
          <w:sz w:val="14"/>
          <w:szCs w:val="18"/>
        </w:rPr>
        <w:t>sakaya</w:t>
      </w:r>
      <w:proofErr w:type="spellEnd"/>
      <w:r w:rsidRPr="00506C63">
        <w:rPr>
          <w:i/>
          <w:iCs/>
          <w:sz w:val="14"/>
          <w:szCs w:val="18"/>
        </w:rPr>
        <w:t xml:space="preserve"> diṭṭhi</w:t>
      </w:r>
      <w:r>
        <w:rPr>
          <w:i/>
          <w:iCs/>
          <w:sz w:val="14"/>
          <w:szCs w:val="18"/>
        </w:rPr>
        <w:t xml:space="preserve">, a la visión identitaria, </w:t>
      </w:r>
      <w:r>
        <w:rPr>
          <w:sz w:val="14"/>
          <w:szCs w:val="18"/>
        </w:rPr>
        <w:t xml:space="preserve">o a una visión incorrecta en general. Se ha encontrado, a veces, que se ha utilizado de forma general bajo la acepción convencional de simplemente </w:t>
      </w:r>
      <w:r w:rsidRPr="00861EF4">
        <w:rPr>
          <w:i/>
          <w:iCs/>
          <w:sz w:val="14"/>
          <w:szCs w:val="18"/>
        </w:rPr>
        <w:t>visión</w:t>
      </w:r>
      <w:r>
        <w:rPr>
          <w:sz w:val="14"/>
          <w:szCs w:val="18"/>
        </w:rPr>
        <w:t xml:space="preserve">. En todos los casos que el autor haya detectado que este término se está refiriendo a una visión incorrecta bajo el contexto </w:t>
      </w:r>
      <w:proofErr w:type="spellStart"/>
      <w:r>
        <w:rPr>
          <w:i/>
          <w:iCs/>
          <w:sz w:val="14"/>
          <w:szCs w:val="18"/>
        </w:rPr>
        <w:t>dhammico</w:t>
      </w:r>
      <w:proofErr w:type="spellEnd"/>
      <w:r>
        <w:rPr>
          <w:sz w:val="14"/>
          <w:szCs w:val="18"/>
        </w:rPr>
        <w:t xml:space="preserve">, como contraposición a una </w:t>
      </w:r>
      <w:r w:rsidRPr="00E0324A">
        <w:rPr>
          <w:i/>
          <w:iCs/>
          <w:sz w:val="14"/>
          <w:szCs w:val="18"/>
        </w:rPr>
        <w:t>visión correcta</w:t>
      </w:r>
      <w:r>
        <w:rPr>
          <w:sz w:val="14"/>
          <w:szCs w:val="18"/>
        </w:rPr>
        <w:t xml:space="preserve">, constituyente del noble </w:t>
      </w:r>
      <w:r>
        <w:rPr>
          <w:sz w:val="14"/>
          <w:szCs w:val="18"/>
        </w:rPr>
        <w:lastRenderedPageBreak/>
        <w:t xml:space="preserve">sendero, se ha utilizado el término completo, </w:t>
      </w:r>
      <w:r w:rsidRPr="00A01456">
        <w:rPr>
          <w:i/>
          <w:iCs/>
          <w:sz w:val="14"/>
          <w:szCs w:val="18"/>
        </w:rPr>
        <w:t>visión</w:t>
      </w:r>
      <w:r>
        <w:rPr>
          <w:sz w:val="14"/>
          <w:szCs w:val="18"/>
        </w:rPr>
        <w:t xml:space="preserve"> </w:t>
      </w:r>
      <w:r w:rsidRPr="00A01456">
        <w:rPr>
          <w:i/>
          <w:iCs/>
          <w:sz w:val="14"/>
          <w:szCs w:val="18"/>
        </w:rPr>
        <w:t>incorrecta</w:t>
      </w:r>
      <w:r>
        <w:rPr>
          <w:i/>
          <w:iCs/>
          <w:sz w:val="14"/>
          <w:szCs w:val="18"/>
        </w:rPr>
        <w:t xml:space="preserve">, </w:t>
      </w:r>
      <w:r>
        <w:rPr>
          <w:sz w:val="14"/>
          <w:szCs w:val="18"/>
        </w:rPr>
        <w:t xml:space="preserve">o también, más precisamente, para referirse a la visión de un alma, o la visión en una personalidad, o específicamente a </w:t>
      </w:r>
      <w:proofErr w:type="spellStart"/>
      <w:r w:rsidRPr="00306775">
        <w:rPr>
          <w:i/>
          <w:iCs/>
          <w:sz w:val="14"/>
          <w:szCs w:val="18"/>
        </w:rPr>
        <w:t>sakaya</w:t>
      </w:r>
      <w:proofErr w:type="spellEnd"/>
      <w:r w:rsidRPr="00306775">
        <w:rPr>
          <w:i/>
          <w:iCs/>
          <w:sz w:val="14"/>
          <w:szCs w:val="18"/>
        </w:rPr>
        <w:t xml:space="preserve"> diṭṭhi</w:t>
      </w:r>
      <w:r>
        <w:rPr>
          <w:sz w:val="14"/>
          <w:szCs w:val="18"/>
        </w:rPr>
        <w:t>.</w:t>
      </w:r>
    </w:p>
    <w:p w14:paraId="4F3CF272" w14:textId="77777777" w:rsidR="00E56D68" w:rsidRPr="00955B4D" w:rsidRDefault="00E56D68" w:rsidP="00E56D68">
      <w:pPr>
        <w:pStyle w:val="Ttulo4"/>
        <w:rPr>
          <w:spacing w:val="20"/>
          <w:sz w:val="14"/>
          <w:szCs w:val="18"/>
        </w:rPr>
      </w:pPr>
      <w:r w:rsidRPr="00955B4D">
        <w:rPr>
          <w:spacing w:val="20"/>
          <w:sz w:val="14"/>
          <w:szCs w:val="18"/>
        </w:rPr>
        <w:t>Aplicación y Sustentación Mental</w:t>
      </w:r>
    </w:p>
    <w:p w14:paraId="702DD0EF" w14:textId="2E2D200B" w:rsidR="00E56D68" w:rsidRDefault="00E56D68" w:rsidP="00E56D68">
      <w:pPr>
        <w:ind w:firstLine="284"/>
        <w:rPr>
          <w:sz w:val="14"/>
          <w:szCs w:val="18"/>
        </w:rPr>
      </w:pPr>
      <w:r w:rsidRPr="007E513F">
        <w:rPr>
          <w:sz w:val="14"/>
          <w:szCs w:val="18"/>
        </w:rPr>
        <w:t xml:space="preserve">Como </w:t>
      </w:r>
      <w:r>
        <w:rPr>
          <w:sz w:val="14"/>
          <w:szCs w:val="18"/>
        </w:rPr>
        <w:t xml:space="preserve">parte del desarrollo de la concentración, el </w:t>
      </w:r>
      <w:r w:rsidRPr="00467C27">
        <w:rPr>
          <w:i/>
          <w:iCs/>
          <w:sz w:val="14"/>
          <w:szCs w:val="18"/>
        </w:rPr>
        <w:t>Visuddhimagga</w:t>
      </w:r>
      <w:r>
        <w:rPr>
          <w:sz w:val="14"/>
          <w:szCs w:val="18"/>
        </w:rPr>
        <w:t xml:space="preserve"> hace reiteradamente referencia a dos estados o procesos mentales designados en inglés como </w:t>
      </w:r>
      <w:proofErr w:type="spellStart"/>
      <w:r w:rsidRPr="0084647B">
        <w:rPr>
          <w:i/>
          <w:iCs/>
          <w:sz w:val="14"/>
          <w:szCs w:val="18"/>
        </w:rPr>
        <w:t>applied</w:t>
      </w:r>
      <w:proofErr w:type="spellEnd"/>
      <w:r w:rsidRPr="0084647B">
        <w:rPr>
          <w:i/>
          <w:iCs/>
          <w:sz w:val="14"/>
          <w:szCs w:val="18"/>
        </w:rPr>
        <w:t xml:space="preserve"> </w:t>
      </w:r>
      <w:proofErr w:type="spellStart"/>
      <w:r w:rsidRPr="0084647B">
        <w:rPr>
          <w:i/>
          <w:iCs/>
          <w:sz w:val="14"/>
          <w:szCs w:val="18"/>
        </w:rPr>
        <w:t>thought</w:t>
      </w:r>
      <w:proofErr w:type="spellEnd"/>
      <w:r>
        <w:rPr>
          <w:sz w:val="14"/>
          <w:szCs w:val="18"/>
        </w:rPr>
        <w:t xml:space="preserve"> y </w:t>
      </w:r>
      <w:proofErr w:type="spellStart"/>
      <w:r w:rsidRPr="0084647B">
        <w:rPr>
          <w:i/>
          <w:iCs/>
          <w:sz w:val="14"/>
          <w:szCs w:val="18"/>
        </w:rPr>
        <w:t>sustained</w:t>
      </w:r>
      <w:proofErr w:type="spellEnd"/>
      <w:r w:rsidRPr="0084647B">
        <w:rPr>
          <w:i/>
          <w:iCs/>
          <w:sz w:val="14"/>
          <w:szCs w:val="18"/>
        </w:rPr>
        <w:t xml:space="preserve"> </w:t>
      </w:r>
      <w:proofErr w:type="spellStart"/>
      <w:r w:rsidRPr="0084647B">
        <w:rPr>
          <w:i/>
          <w:iCs/>
          <w:sz w:val="14"/>
          <w:szCs w:val="18"/>
        </w:rPr>
        <w:t>thouth</w:t>
      </w:r>
      <w:proofErr w:type="spellEnd"/>
      <w:r>
        <w:rPr>
          <w:i/>
          <w:iCs/>
          <w:sz w:val="14"/>
          <w:szCs w:val="18"/>
        </w:rPr>
        <w:t xml:space="preserve">, </w:t>
      </w:r>
      <w:r>
        <w:rPr>
          <w:sz w:val="14"/>
          <w:szCs w:val="18"/>
        </w:rPr>
        <w:t xml:space="preserve">los cuales se han encontrado en otras bibliografías en español como </w:t>
      </w:r>
      <w:r>
        <w:rPr>
          <w:i/>
          <w:iCs/>
          <w:sz w:val="14"/>
          <w:szCs w:val="18"/>
        </w:rPr>
        <w:t xml:space="preserve">pensamiento aplicado </w:t>
      </w:r>
      <w:r>
        <w:rPr>
          <w:sz w:val="14"/>
          <w:szCs w:val="18"/>
        </w:rPr>
        <w:t xml:space="preserve">y </w:t>
      </w:r>
      <w:r w:rsidRPr="008D50D9">
        <w:rPr>
          <w:i/>
          <w:iCs/>
          <w:sz w:val="14"/>
          <w:szCs w:val="18"/>
        </w:rPr>
        <w:t>pensamiento sostenido</w:t>
      </w:r>
      <w:r>
        <w:rPr>
          <w:i/>
          <w:iCs/>
          <w:sz w:val="14"/>
          <w:szCs w:val="18"/>
        </w:rPr>
        <w:t xml:space="preserve">. </w:t>
      </w:r>
      <w:r>
        <w:rPr>
          <w:sz w:val="14"/>
          <w:szCs w:val="18"/>
        </w:rPr>
        <w:t xml:space="preserve">Éstos se refieren a situaciones mentales cuando la concentración se desarrolla mediante un objeto de atención que se dé sobre cualquiera de los 10 </w:t>
      </w:r>
      <w:proofErr w:type="spellStart"/>
      <w:r>
        <w:rPr>
          <w:i/>
          <w:iCs/>
          <w:sz w:val="14"/>
          <w:szCs w:val="18"/>
        </w:rPr>
        <w:t>kasiṇas</w:t>
      </w:r>
      <w:proofErr w:type="spellEnd"/>
      <w:r>
        <w:rPr>
          <w:i/>
          <w:iCs/>
          <w:sz w:val="14"/>
          <w:szCs w:val="18"/>
        </w:rPr>
        <w:t xml:space="preserve">, </w:t>
      </w:r>
      <w:r>
        <w:rPr>
          <w:sz w:val="14"/>
          <w:szCs w:val="18"/>
        </w:rPr>
        <w:t xml:space="preserve">cualquier de los objetos o dispositivos de contemplación descritos en el libro. Ocurre que en esta tradición laica se utiliza sólo uno de esos </w:t>
      </w:r>
      <w:proofErr w:type="spellStart"/>
      <w:r>
        <w:rPr>
          <w:i/>
          <w:iCs/>
          <w:sz w:val="14"/>
          <w:szCs w:val="18"/>
        </w:rPr>
        <w:t>kasiṇas</w:t>
      </w:r>
      <w:proofErr w:type="spellEnd"/>
      <w:r>
        <w:rPr>
          <w:i/>
          <w:iCs/>
          <w:sz w:val="14"/>
          <w:szCs w:val="18"/>
        </w:rPr>
        <w:t xml:space="preserve"> </w:t>
      </w:r>
      <w:r>
        <w:rPr>
          <w:sz w:val="14"/>
          <w:szCs w:val="18"/>
        </w:rPr>
        <w:t xml:space="preserve">y es la respiración. Cuando se manifiesta la atención sobre la inhalación y exhalación como objeto de atención, no se suele referir a este estado mental de orientar la atención hacia la respiración como un “pensamiento”, ni en el proceso de regresar recurrentemente la atención a la respiración, una vez que la mente se </w:t>
      </w:r>
      <w:r w:rsidR="001200FF">
        <w:rPr>
          <w:sz w:val="14"/>
          <w:szCs w:val="18"/>
        </w:rPr>
        <w:t xml:space="preserve">haya </w:t>
      </w:r>
      <w:r>
        <w:rPr>
          <w:sz w:val="14"/>
          <w:szCs w:val="18"/>
        </w:rPr>
        <w:t>distra</w:t>
      </w:r>
      <w:r w:rsidR="001200FF">
        <w:rPr>
          <w:sz w:val="14"/>
          <w:szCs w:val="18"/>
        </w:rPr>
        <w:t>ído</w:t>
      </w:r>
      <w:r>
        <w:rPr>
          <w:sz w:val="14"/>
          <w:szCs w:val="18"/>
        </w:rPr>
        <w:t xml:space="preserve">, ni en el proceso de sostenimiento de esta atención cuando no haya </w:t>
      </w:r>
      <w:r w:rsidR="001200FF">
        <w:rPr>
          <w:sz w:val="14"/>
          <w:szCs w:val="18"/>
        </w:rPr>
        <w:t xml:space="preserve">tal </w:t>
      </w:r>
      <w:r>
        <w:rPr>
          <w:sz w:val="14"/>
          <w:szCs w:val="18"/>
        </w:rPr>
        <w:t xml:space="preserve">distracción. De hecho, se considera a “cualquier pensamiento que surja” como una desconcentración de la atención sobre la respiración. </w:t>
      </w:r>
    </w:p>
    <w:p w14:paraId="28B552A4" w14:textId="0231AF76" w:rsidR="00E56D68" w:rsidRPr="00D33120" w:rsidRDefault="00E56D68" w:rsidP="00E56D68">
      <w:pPr>
        <w:ind w:firstLine="284"/>
        <w:rPr>
          <w:sz w:val="14"/>
          <w:szCs w:val="18"/>
        </w:rPr>
      </w:pPr>
      <w:r>
        <w:rPr>
          <w:sz w:val="14"/>
          <w:szCs w:val="18"/>
        </w:rPr>
        <w:t xml:space="preserve">Por lo tanto, el autor ha considerado como una satisfactoria opción el uso de “aplicación mental” y “sustentación mental” para referirse a los términos que en </w:t>
      </w:r>
      <w:r w:rsidRPr="00337202">
        <w:rPr>
          <w:i/>
          <w:iCs/>
          <w:sz w:val="14"/>
          <w:szCs w:val="18"/>
        </w:rPr>
        <w:t>pāḷi</w:t>
      </w:r>
      <w:r>
        <w:rPr>
          <w:sz w:val="14"/>
          <w:szCs w:val="18"/>
        </w:rPr>
        <w:t xml:space="preserve"> alud</w:t>
      </w:r>
      <w:r w:rsidR="009767F3">
        <w:rPr>
          <w:sz w:val="14"/>
          <w:szCs w:val="18"/>
        </w:rPr>
        <w:t>a</w:t>
      </w:r>
      <w:r>
        <w:rPr>
          <w:sz w:val="14"/>
          <w:szCs w:val="18"/>
        </w:rPr>
        <w:t xml:space="preserve">n a </w:t>
      </w:r>
      <w:proofErr w:type="spellStart"/>
      <w:r w:rsidRPr="004D5247">
        <w:rPr>
          <w:i/>
          <w:iCs/>
          <w:sz w:val="14"/>
          <w:szCs w:val="18"/>
        </w:rPr>
        <w:t>vitakka</w:t>
      </w:r>
      <w:proofErr w:type="spellEnd"/>
      <w:r>
        <w:rPr>
          <w:sz w:val="14"/>
          <w:szCs w:val="18"/>
        </w:rPr>
        <w:t xml:space="preserve"> y </w:t>
      </w:r>
      <w:proofErr w:type="spellStart"/>
      <w:r w:rsidRPr="004D5247">
        <w:rPr>
          <w:i/>
          <w:iCs/>
          <w:sz w:val="14"/>
          <w:szCs w:val="18"/>
        </w:rPr>
        <w:t>vicāra</w:t>
      </w:r>
      <w:proofErr w:type="spellEnd"/>
      <w:r>
        <w:rPr>
          <w:sz w:val="14"/>
          <w:szCs w:val="18"/>
        </w:rPr>
        <w:t xml:space="preserve">, usualmente traducidos como </w:t>
      </w:r>
      <w:r w:rsidRPr="004D5247">
        <w:rPr>
          <w:i/>
          <w:iCs/>
          <w:sz w:val="14"/>
          <w:szCs w:val="18"/>
        </w:rPr>
        <w:t>pensamiento aplicado</w:t>
      </w:r>
      <w:r>
        <w:rPr>
          <w:sz w:val="14"/>
          <w:szCs w:val="18"/>
        </w:rPr>
        <w:t xml:space="preserve"> y </w:t>
      </w:r>
      <w:r w:rsidRPr="004D5247">
        <w:rPr>
          <w:i/>
          <w:iCs/>
          <w:sz w:val="14"/>
          <w:szCs w:val="18"/>
        </w:rPr>
        <w:t>pensamiento sostenido</w:t>
      </w:r>
      <w:r>
        <w:rPr>
          <w:sz w:val="14"/>
          <w:szCs w:val="18"/>
        </w:rPr>
        <w:t xml:space="preserve">, respectivamente, tal y como se da en el ejercicio de </w:t>
      </w:r>
      <w:r w:rsidRPr="00120E4D">
        <w:rPr>
          <w:i/>
          <w:iCs/>
          <w:sz w:val="14"/>
          <w:szCs w:val="18"/>
        </w:rPr>
        <w:t>ānāpāna</w:t>
      </w:r>
      <w:r>
        <w:rPr>
          <w:i/>
          <w:iCs/>
          <w:sz w:val="14"/>
          <w:szCs w:val="18"/>
        </w:rPr>
        <w:t>.</w:t>
      </w:r>
      <w:r>
        <w:rPr>
          <w:sz w:val="14"/>
          <w:szCs w:val="18"/>
        </w:rPr>
        <w:t xml:space="preserve"> Pareciera comprensible extender esta lógica a los demás </w:t>
      </w:r>
      <w:proofErr w:type="spellStart"/>
      <w:r>
        <w:rPr>
          <w:i/>
          <w:iCs/>
          <w:sz w:val="14"/>
          <w:szCs w:val="18"/>
        </w:rPr>
        <w:t>kasiṇas</w:t>
      </w:r>
      <w:proofErr w:type="spellEnd"/>
      <w:r>
        <w:rPr>
          <w:i/>
          <w:iCs/>
          <w:sz w:val="14"/>
          <w:szCs w:val="18"/>
        </w:rPr>
        <w:t xml:space="preserve"> </w:t>
      </w:r>
      <w:r>
        <w:rPr>
          <w:sz w:val="14"/>
          <w:szCs w:val="18"/>
        </w:rPr>
        <w:t xml:space="preserve">aunque el autor no posea ninguna </w:t>
      </w:r>
      <w:r w:rsidR="009767F3">
        <w:rPr>
          <w:sz w:val="14"/>
          <w:szCs w:val="18"/>
        </w:rPr>
        <w:t xml:space="preserve">autoridad para tal afirmación </w:t>
      </w:r>
      <w:r>
        <w:rPr>
          <w:sz w:val="14"/>
          <w:szCs w:val="18"/>
        </w:rPr>
        <w:t xml:space="preserve">al respecto. Pareciera que </w:t>
      </w:r>
      <w:proofErr w:type="spellStart"/>
      <w:r w:rsidRPr="004D5247">
        <w:rPr>
          <w:i/>
          <w:iCs/>
          <w:sz w:val="14"/>
          <w:szCs w:val="18"/>
        </w:rPr>
        <w:t>vitakka</w:t>
      </w:r>
      <w:proofErr w:type="spellEnd"/>
      <w:r>
        <w:rPr>
          <w:sz w:val="14"/>
          <w:szCs w:val="18"/>
        </w:rPr>
        <w:t xml:space="preserve"> y </w:t>
      </w:r>
      <w:proofErr w:type="spellStart"/>
      <w:r w:rsidRPr="004D5247">
        <w:rPr>
          <w:i/>
          <w:iCs/>
          <w:sz w:val="14"/>
          <w:szCs w:val="18"/>
        </w:rPr>
        <w:t>vicāra</w:t>
      </w:r>
      <w:proofErr w:type="spellEnd"/>
      <w:r>
        <w:rPr>
          <w:sz w:val="14"/>
          <w:szCs w:val="18"/>
        </w:rPr>
        <w:t xml:space="preserve"> se refiriese más a un fenómeno físico</w:t>
      </w:r>
      <w:r>
        <w:rPr>
          <w:rFonts w:cs="Cormorant"/>
          <w:sz w:val="14"/>
          <w:szCs w:val="18"/>
        </w:rPr>
        <w:t>–</w:t>
      </w:r>
      <w:r>
        <w:rPr>
          <w:sz w:val="14"/>
          <w:szCs w:val="18"/>
        </w:rPr>
        <w:t xml:space="preserve">mental basado en la experiencia presente de </w:t>
      </w:r>
      <w:r w:rsidR="009767F3">
        <w:rPr>
          <w:sz w:val="14"/>
          <w:szCs w:val="18"/>
        </w:rPr>
        <w:t>un</w:t>
      </w:r>
      <w:r>
        <w:rPr>
          <w:sz w:val="14"/>
          <w:szCs w:val="18"/>
        </w:rPr>
        <w:t>a observación</w:t>
      </w:r>
      <w:r w:rsidR="009767F3">
        <w:rPr>
          <w:sz w:val="14"/>
          <w:szCs w:val="18"/>
        </w:rPr>
        <w:t xml:space="preserve"> o contemplaci</w:t>
      </w:r>
      <w:r w:rsidR="004D03D3">
        <w:rPr>
          <w:sz w:val="14"/>
          <w:szCs w:val="18"/>
        </w:rPr>
        <w:t>ón</w:t>
      </w:r>
      <w:r>
        <w:rPr>
          <w:sz w:val="14"/>
          <w:szCs w:val="18"/>
        </w:rPr>
        <w:t>, que simplemente a un pensamiento.</w:t>
      </w:r>
      <w:r w:rsidR="004D03D3">
        <w:rPr>
          <w:sz w:val="14"/>
          <w:szCs w:val="18"/>
        </w:rPr>
        <w:t xml:space="preserve"> Pareciera más apropiado hacer una distinción entre la </w:t>
      </w:r>
      <w:r w:rsidR="004D03D3" w:rsidRPr="00D33120">
        <w:rPr>
          <w:i/>
          <w:iCs/>
          <w:sz w:val="14"/>
          <w:szCs w:val="18"/>
        </w:rPr>
        <w:t>contemplación</w:t>
      </w:r>
      <w:r w:rsidR="004D03D3">
        <w:rPr>
          <w:sz w:val="14"/>
          <w:szCs w:val="18"/>
        </w:rPr>
        <w:t xml:space="preserve">, como producto de la </w:t>
      </w:r>
      <w:r w:rsidR="00D33120">
        <w:rPr>
          <w:i/>
          <w:iCs/>
          <w:sz w:val="14"/>
          <w:szCs w:val="18"/>
        </w:rPr>
        <w:t>sola observación del presente</w:t>
      </w:r>
      <w:r w:rsidR="00A301B4">
        <w:rPr>
          <w:i/>
          <w:iCs/>
          <w:sz w:val="14"/>
          <w:szCs w:val="18"/>
        </w:rPr>
        <w:t>,</w:t>
      </w:r>
      <w:r w:rsidR="00D33120">
        <w:rPr>
          <w:sz w:val="14"/>
          <w:szCs w:val="18"/>
        </w:rPr>
        <w:t xml:space="preserve"> </w:t>
      </w:r>
      <w:r w:rsidR="00A301B4">
        <w:rPr>
          <w:sz w:val="14"/>
          <w:szCs w:val="18"/>
        </w:rPr>
        <w:t>y</w:t>
      </w:r>
      <w:r w:rsidR="00D33120">
        <w:rPr>
          <w:sz w:val="14"/>
          <w:szCs w:val="18"/>
        </w:rPr>
        <w:t xml:space="preserve"> un pensamiento. </w:t>
      </w:r>
    </w:p>
    <w:p w14:paraId="4F30341F" w14:textId="77777777" w:rsidR="00E56D68" w:rsidRPr="00955B4D" w:rsidRDefault="00E56D68" w:rsidP="00E56D68">
      <w:pPr>
        <w:pStyle w:val="Ttulo4"/>
        <w:rPr>
          <w:spacing w:val="20"/>
          <w:sz w:val="14"/>
          <w:szCs w:val="18"/>
        </w:rPr>
      </w:pPr>
      <w:r w:rsidRPr="00955B4D">
        <w:rPr>
          <w:spacing w:val="20"/>
          <w:sz w:val="14"/>
          <w:szCs w:val="18"/>
        </w:rPr>
        <w:t xml:space="preserve">Paññā y Sabiduría </w:t>
      </w:r>
    </w:p>
    <w:p w14:paraId="074C5B3D" w14:textId="77777777" w:rsidR="00E56D68" w:rsidRDefault="00E56D68" w:rsidP="00E56D68">
      <w:pPr>
        <w:ind w:firstLine="284"/>
        <w:rPr>
          <w:sz w:val="14"/>
          <w:szCs w:val="18"/>
        </w:rPr>
      </w:pPr>
      <w:r>
        <w:rPr>
          <w:sz w:val="14"/>
          <w:szCs w:val="18"/>
        </w:rPr>
        <w:t xml:space="preserve">En esta tradición se coincide lógicamente con otras en el hecho de que el noble sendero está constituido por </w:t>
      </w:r>
      <w:r w:rsidRPr="005403CC">
        <w:rPr>
          <w:i/>
          <w:iCs/>
          <w:sz w:val="14"/>
          <w:szCs w:val="18"/>
        </w:rPr>
        <w:t>sīla</w:t>
      </w:r>
      <w:r>
        <w:rPr>
          <w:sz w:val="14"/>
          <w:szCs w:val="18"/>
        </w:rPr>
        <w:t xml:space="preserve">, </w:t>
      </w:r>
      <w:r w:rsidRPr="00130D48">
        <w:rPr>
          <w:i/>
          <w:iCs/>
          <w:sz w:val="14"/>
          <w:szCs w:val="18"/>
        </w:rPr>
        <w:t>samādhi</w:t>
      </w:r>
      <w:r>
        <w:rPr>
          <w:sz w:val="14"/>
          <w:szCs w:val="18"/>
        </w:rPr>
        <w:t xml:space="preserve"> y </w:t>
      </w:r>
      <w:r w:rsidRPr="00130D48">
        <w:rPr>
          <w:i/>
          <w:iCs/>
          <w:sz w:val="14"/>
          <w:szCs w:val="18"/>
        </w:rPr>
        <w:t>paññā</w:t>
      </w:r>
      <w:r>
        <w:rPr>
          <w:sz w:val="14"/>
          <w:szCs w:val="18"/>
        </w:rPr>
        <w:t xml:space="preserve">, los cuales podrían ser traducidos apropiadamente como virtud, concentración y sabiduría. No obstante, se conoce las diferentes distinciones que existen en cuanto al desarrollo de la sabiduría. Tal así, que se considera que puede haber un </w:t>
      </w:r>
      <w:proofErr w:type="spellStart"/>
      <w:r>
        <w:rPr>
          <w:i/>
          <w:iCs/>
          <w:sz w:val="14"/>
          <w:szCs w:val="18"/>
        </w:rPr>
        <w:t>s</w:t>
      </w:r>
      <w:r w:rsidRPr="000A0AFC">
        <w:rPr>
          <w:i/>
          <w:iCs/>
          <w:sz w:val="14"/>
          <w:szCs w:val="18"/>
        </w:rPr>
        <w:t>utta</w:t>
      </w:r>
      <w:proofErr w:type="spellEnd"/>
      <w:r w:rsidRPr="000A0AFC">
        <w:rPr>
          <w:i/>
          <w:iCs/>
          <w:sz w:val="14"/>
          <w:szCs w:val="18"/>
        </w:rPr>
        <w:t xml:space="preserve"> </w:t>
      </w:r>
      <w:proofErr w:type="spellStart"/>
      <w:r w:rsidRPr="000A0AFC">
        <w:rPr>
          <w:i/>
          <w:iCs/>
          <w:sz w:val="14"/>
          <w:szCs w:val="18"/>
        </w:rPr>
        <w:t>mayā</w:t>
      </w:r>
      <w:proofErr w:type="spellEnd"/>
      <w:r w:rsidRPr="000A0AFC">
        <w:rPr>
          <w:i/>
          <w:iCs/>
          <w:sz w:val="14"/>
          <w:szCs w:val="18"/>
        </w:rPr>
        <w:t xml:space="preserve"> paññā</w:t>
      </w:r>
      <w:r>
        <w:rPr>
          <w:sz w:val="14"/>
          <w:szCs w:val="18"/>
        </w:rPr>
        <w:t xml:space="preserve">, </w:t>
      </w:r>
      <w:r w:rsidRPr="000A0AFC">
        <w:rPr>
          <w:i/>
          <w:iCs/>
          <w:sz w:val="14"/>
          <w:szCs w:val="18"/>
        </w:rPr>
        <w:t xml:space="preserve">cinta </w:t>
      </w:r>
      <w:proofErr w:type="spellStart"/>
      <w:r w:rsidRPr="000A0AFC">
        <w:rPr>
          <w:i/>
          <w:iCs/>
          <w:sz w:val="14"/>
          <w:szCs w:val="18"/>
        </w:rPr>
        <w:t>mayā</w:t>
      </w:r>
      <w:proofErr w:type="spellEnd"/>
      <w:r w:rsidRPr="000A0AFC">
        <w:rPr>
          <w:i/>
          <w:iCs/>
          <w:sz w:val="14"/>
          <w:szCs w:val="18"/>
        </w:rPr>
        <w:t xml:space="preserve"> paññā</w:t>
      </w:r>
      <w:r>
        <w:rPr>
          <w:sz w:val="14"/>
          <w:szCs w:val="18"/>
        </w:rPr>
        <w:t xml:space="preserve"> y </w:t>
      </w:r>
      <w:proofErr w:type="spellStart"/>
      <w:r w:rsidRPr="000A0AFC">
        <w:rPr>
          <w:i/>
          <w:iCs/>
          <w:sz w:val="14"/>
          <w:szCs w:val="18"/>
        </w:rPr>
        <w:t>bhāvanā</w:t>
      </w:r>
      <w:proofErr w:type="spellEnd"/>
      <w:r w:rsidRPr="000A0AFC">
        <w:rPr>
          <w:i/>
          <w:iCs/>
          <w:sz w:val="14"/>
          <w:szCs w:val="18"/>
        </w:rPr>
        <w:t xml:space="preserve"> </w:t>
      </w:r>
      <w:proofErr w:type="spellStart"/>
      <w:r w:rsidRPr="000A0AFC">
        <w:rPr>
          <w:i/>
          <w:iCs/>
          <w:sz w:val="14"/>
          <w:szCs w:val="18"/>
        </w:rPr>
        <w:t>mayā</w:t>
      </w:r>
      <w:proofErr w:type="spellEnd"/>
      <w:r w:rsidRPr="000A0AFC">
        <w:rPr>
          <w:i/>
          <w:iCs/>
          <w:sz w:val="14"/>
          <w:szCs w:val="18"/>
        </w:rPr>
        <w:t xml:space="preserve"> </w:t>
      </w:r>
      <w:r>
        <w:rPr>
          <w:i/>
          <w:iCs/>
          <w:sz w:val="14"/>
          <w:szCs w:val="18"/>
        </w:rPr>
        <w:t xml:space="preserve">paññā, </w:t>
      </w:r>
      <w:r>
        <w:rPr>
          <w:sz w:val="14"/>
          <w:szCs w:val="18"/>
        </w:rPr>
        <w:t xml:space="preserve">los cuales se refieren a la sabiduría leída, a la racionada y a la desarrollada mediante la práctica de la purificación. Todas las evidencias indican que el término inglés utilizado en el libro como </w:t>
      </w:r>
      <w:proofErr w:type="spellStart"/>
      <w:r w:rsidRPr="003B67F2">
        <w:rPr>
          <w:i/>
          <w:iCs/>
          <w:sz w:val="14"/>
          <w:szCs w:val="18"/>
        </w:rPr>
        <w:t>understanding</w:t>
      </w:r>
      <w:proofErr w:type="spellEnd"/>
      <w:r>
        <w:rPr>
          <w:i/>
          <w:iCs/>
          <w:sz w:val="14"/>
          <w:szCs w:val="18"/>
        </w:rPr>
        <w:t xml:space="preserve">, </w:t>
      </w:r>
      <w:proofErr w:type="spellStart"/>
      <w:r>
        <w:rPr>
          <w:i/>
          <w:iCs/>
          <w:sz w:val="14"/>
          <w:szCs w:val="18"/>
        </w:rPr>
        <w:t>wisdom</w:t>
      </w:r>
      <w:proofErr w:type="spellEnd"/>
      <w:r>
        <w:rPr>
          <w:i/>
          <w:iCs/>
          <w:sz w:val="14"/>
          <w:szCs w:val="18"/>
        </w:rPr>
        <w:t xml:space="preserve"> </w:t>
      </w:r>
      <w:r>
        <w:rPr>
          <w:sz w:val="14"/>
          <w:szCs w:val="18"/>
        </w:rPr>
        <w:t xml:space="preserve">o </w:t>
      </w:r>
      <w:proofErr w:type="spellStart"/>
      <w:r w:rsidRPr="003B67F2">
        <w:rPr>
          <w:i/>
          <w:iCs/>
          <w:sz w:val="14"/>
          <w:szCs w:val="18"/>
        </w:rPr>
        <w:t>insight</w:t>
      </w:r>
      <w:proofErr w:type="spellEnd"/>
      <w:r>
        <w:rPr>
          <w:sz w:val="14"/>
          <w:szCs w:val="18"/>
        </w:rPr>
        <w:t xml:space="preserve">, se refieren en la vasta y mayoría de los casos al último término descrito como </w:t>
      </w:r>
      <w:proofErr w:type="spellStart"/>
      <w:r w:rsidRPr="007D6411">
        <w:rPr>
          <w:i/>
          <w:iCs/>
          <w:sz w:val="14"/>
          <w:szCs w:val="18"/>
        </w:rPr>
        <w:t>bhāvanā</w:t>
      </w:r>
      <w:proofErr w:type="spellEnd"/>
      <w:r w:rsidRPr="007D6411">
        <w:rPr>
          <w:i/>
          <w:iCs/>
          <w:sz w:val="14"/>
          <w:szCs w:val="18"/>
        </w:rPr>
        <w:t xml:space="preserve"> </w:t>
      </w:r>
      <w:proofErr w:type="spellStart"/>
      <w:r w:rsidRPr="007D6411">
        <w:rPr>
          <w:i/>
          <w:iCs/>
          <w:sz w:val="14"/>
          <w:szCs w:val="18"/>
        </w:rPr>
        <w:t>mayā</w:t>
      </w:r>
      <w:proofErr w:type="spellEnd"/>
      <w:r w:rsidRPr="007D6411">
        <w:rPr>
          <w:i/>
          <w:iCs/>
          <w:sz w:val="14"/>
          <w:szCs w:val="18"/>
        </w:rPr>
        <w:t xml:space="preserve"> paññā</w:t>
      </w:r>
      <w:r>
        <w:rPr>
          <w:i/>
          <w:iCs/>
          <w:sz w:val="14"/>
          <w:szCs w:val="18"/>
        </w:rPr>
        <w:t xml:space="preserve">, </w:t>
      </w:r>
      <w:r>
        <w:rPr>
          <w:sz w:val="14"/>
          <w:szCs w:val="18"/>
        </w:rPr>
        <w:t xml:space="preserve">el cual podría traducirse simplemente como </w:t>
      </w:r>
      <w:r w:rsidRPr="007B48B2">
        <w:rPr>
          <w:i/>
          <w:iCs/>
          <w:sz w:val="14"/>
          <w:szCs w:val="18"/>
        </w:rPr>
        <w:t>entendimiento</w:t>
      </w:r>
      <w:r>
        <w:rPr>
          <w:sz w:val="14"/>
          <w:szCs w:val="18"/>
        </w:rPr>
        <w:t xml:space="preserve"> o </w:t>
      </w:r>
      <w:r w:rsidRPr="007B48B2">
        <w:rPr>
          <w:i/>
          <w:iCs/>
          <w:sz w:val="14"/>
          <w:szCs w:val="18"/>
        </w:rPr>
        <w:t>sabiduría</w:t>
      </w:r>
      <w:r>
        <w:rPr>
          <w:sz w:val="14"/>
          <w:szCs w:val="18"/>
        </w:rPr>
        <w:t xml:space="preserve">. No obstante, se ha optado por un término compuesto que no aluda a otro muy utilizado de forma general, </w:t>
      </w:r>
      <w:r w:rsidRPr="00625916">
        <w:rPr>
          <w:i/>
          <w:iCs/>
          <w:sz w:val="14"/>
          <w:szCs w:val="18"/>
        </w:rPr>
        <w:t>sabiduría</w:t>
      </w:r>
      <w:r>
        <w:rPr>
          <w:i/>
          <w:iCs/>
          <w:sz w:val="14"/>
          <w:szCs w:val="18"/>
        </w:rPr>
        <w:t xml:space="preserve">, </w:t>
      </w:r>
      <w:r>
        <w:rPr>
          <w:sz w:val="14"/>
          <w:szCs w:val="18"/>
        </w:rPr>
        <w:t xml:space="preserve">así que combinando </w:t>
      </w:r>
      <w:r w:rsidRPr="004B7160">
        <w:rPr>
          <w:i/>
          <w:iCs/>
          <w:sz w:val="14"/>
          <w:szCs w:val="18"/>
        </w:rPr>
        <w:t>sabiduría</w:t>
      </w:r>
      <w:r>
        <w:rPr>
          <w:sz w:val="14"/>
          <w:szCs w:val="18"/>
        </w:rPr>
        <w:t xml:space="preserve"> con </w:t>
      </w:r>
      <w:proofErr w:type="spellStart"/>
      <w:r w:rsidRPr="004B7160">
        <w:rPr>
          <w:i/>
          <w:iCs/>
          <w:sz w:val="14"/>
          <w:szCs w:val="18"/>
        </w:rPr>
        <w:t>insight</w:t>
      </w:r>
      <w:proofErr w:type="spellEnd"/>
      <w:r>
        <w:rPr>
          <w:i/>
          <w:iCs/>
          <w:sz w:val="14"/>
          <w:szCs w:val="18"/>
        </w:rPr>
        <w:t>,</w:t>
      </w:r>
      <w:r>
        <w:rPr>
          <w:sz w:val="14"/>
          <w:szCs w:val="18"/>
        </w:rPr>
        <w:t xml:space="preserve"> además de teniendo presente cómo se da la sabiduría por medio de la práctica meditativa, se ha optado para los términos ingleses </w:t>
      </w:r>
      <w:proofErr w:type="spellStart"/>
      <w:r w:rsidRPr="00B426BF">
        <w:rPr>
          <w:i/>
          <w:iCs/>
          <w:sz w:val="14"/>
          <w:szCs w:val="18"/>
        </w:rPr>
        <w:t>understanding</w:t>
      </w:r>
      <w:proofErr w:type="spellEnd"/>
      <w:r>
        <w:rPr>
          <w:sz w:val="14"/>
          <w:szCs w:val="18"/>
        </w:rPr>
        <w:t xml:space="preserve"> o </w:t>
      </w:r>
      <w:proofErr w:type="spellStart"/>
      <w:r w:rsidRPr="00B426BF">
        <w:rPr>
          <w:i/>
          <w:iCs/>
          <w:sz w:val="14"/>
          <w:szCs w:val="18"/>
        </w:rPr>
        <w:t>insight</w:t>
      </w:r>
      <w:proofErr w:type="spellEnd"/>
      <w:r>
        <w:rPr>
          <w:sz w:val="14"/>
          <w:szCs w:val="18"/>
        </w:rPr>
        <w:t xml:space="preserve">, el término </w:t>
      </w:r>
      <w:r w:rsidRPr="009B4076">
        <w:rPr>
          <w:i/>
          <w:iCs/>
          <w:sz w:val="14"/>
          <w:szCs w:val="18"/>
        </w:rPr>
        <w:t>sabiduría</w:t>
      </w:r>
      <w:r w:rsidRPr="009B4076">
        <w:rPr>
          <w:rFonts w:cs="Cormorant"/>
          <w:i/>
          <w:iCs/>
          <w:sz w:val="14"/>
          <w:szCs w:val="18"/>
        </w:rPr>
        <w:t>–</w:t>
      </w:r>
      <w:r w:rsidRPr="009B4076">
        <w:rPr>
          <w:i/>
          <w:iCs/>
          <w:sz w:val="14"/>
          <w:szCs w:val="18"/>
        </w:rPr>
        <w:t>revelativa</w:t>
      </w:r>
      <w:r>
        <w:rPr>
          <w:i/>
          <w:iCs/>
          <w:sz w:val="14"/>
          <w:szCs w:val="18"/>
        </w:rPr>
        <w:t xml:space="preserve">, </w:t>
      </w:r>
      <w:r>
        <w:rPr>
          <w:sz w:val="14"/>
          <w:szCs w:val="18"/>
        </w:rPr>
        <w:t xml:space="preserve">el cual alude en el libro al </w:t>
      </w:r>
      <w:r>
        <w:rPr>
          <w:i/>
          <w:iCs/>
          <w:sz w:val="14"/>
          <w:szCs w:val="18"/>
        </w:rPr>
        <w:t xml:space="preserve">paññā </w:t>
      </w:r>
      <w:r>
        <w:rPr>
          <w:sz w:val="14"/>
          <w:szCs w:val="18"/>
        </w:rPr>
        <w:t xml:space="preserve">que se desarrolla mediante la meditación </w:t>
      </w:r>
      <w:proofErr w:type="spellStart"/>
      <w:r>
        <w:rPr>
          <w:i/>
          <w:iCs/>
          <w:sz w:val="14"/>
          <w:szCs w:val="18"/>
        </w:rPr>
        <w:t>bhāvanā</w:t>
      </w:r>
      <w:proofErr w:type="spellEnd"/>
      <w:r>
        <w:rPr>
          <w:i/>
          <w:iCs/>
          <w:sz w:val="14"/>
          <w:szCs w:val="18"/>
        </w:rPr>
        <w:t xml:space="preserve"> </w:t>
      </w:r>
      <w:r>
        <w:rPr>
          <w:sz w:val="14"/>
          <w:szCs w:val="18"/>
        </w:rPr>
        <w:t>o mediante al experiencia directa de la purificación, del auto conocimiento, el cual se manifiesta recurrentemente como una revelación, sin necesidad de ninguna intelectualización, de ninguna inducción mental, etc.</w:t>
      </w:r>
    </w:p>
    <w:p w14:paraId="1754DBB3" w14:textId="77777777" w:rsidR="00E56D68" w:rsidRPr="00955B4D" w:rsidRDefault="00E56D68" w:rsidP="00E56D68">
      <w:pPr>
        <w:pStyle w:val="Ttulo4"/>
        <w:rPr>
          <w:spacing w:val="20"/>
          <w:sz w:val="14"/>
          <w:szCs w:val="18"/>
        </w:rPr>
      </w:pPr>
      <w:r w:rsidRPr="00955B4D">
        <w:rPr>
          <w:spacing w:val="20"/>
          <w:sz w:val="14"/>
          <w:szCs w:val="18"/>
        </w:rPr>
        <w:t>Consumación</w:t>
      </w:r>
    </w:p>
    <w:p w14:paraId="2D7D1FC5" w14:textId="0999CCE4" w:rsidR="00E56D68" w:rsidRPr="00D9698F" w:rsidRDefault="00E56D68" w:rsidP="00E56D68">
      <w:pPr>
        <w:ind w:firstLine="284"/>
        <w:rPr>
          <w:sz w:val="14"/>
          <w:szCs w:val="18"/>
        </w:rPr>
      </w:pPr>
      <w:r>
        <w:rPr>
          <w:sz w:val="14"/>
          <w:szCs w:val="18"/>
        </w:rPr>
        <w:t xml:space="preserve">La experiencia de una realidad vinculada con el </w:t>
      </w:r>
      <w:r w:rsidRPr="00DE57FA">
        <w:rPr>
          <w:i/>
          <w:iCs/>
          <w:sz w:val="14"/>
          <w:szCs w:val="18"/>
        </w:rPr>
        <w:t>Nibbāna</w:t>
      </w:r>
      <w:r>
        <w:rPr>
          <w:sz w:val="14"/>
          <w:szCs w:val="18"/>
        </w:rPr>
        <w:t xml:space="preserve"> se dice que se vincula con un estado de liberación, un estado que permite liberar al practicante de la purificación mental de los planos inferiores de la existencia. Para estos casos</w:t>
      </w:r>
      <w:r w:rsidR="009C2423">
        <w:rPr>
          <w:sz w:val="14"/>
          <w:szCs w:val="18"/>
        </w:rPr>
        <w:t>,</w:t>
      </w:r>
      <w:r>
        <w:rPr>
          <w:sz w:val="14"/>
          <w:szCs w:val="18"/>
        </w:rPr>
        <w:t xml:space="preserve"> el </w:t>
      </w:r>
      <w:r w:rsidRPr="007D1780">
        <w:rPr>
          <w:i/>
          <w:iCs/>
          <w:sz w:val="14"/>
          <w:szCs w:val="18"/>
        </w:rPr>
        <w:t>Visuddhimagga</w:t>
      </w:r>
      <w:r>
        <w:rPr>
          <w:sz w:val="14"/>
          <w:szCs w:val="18"/>
        </w:rPr>
        <w:t xml:space="preserve"> en su versión en inglés utiliza el término </w:t>
      </w:r>
      <w:proofErr w:type="spellStart"/>
      <w:r w:rsidRPr="007D1780">
        <w:rPr>
          <w:i/>
          <w:iCs/>
          <w:sz w:val="14"/>
          <w:szCs w:val="18"/>
        </w:rPr>
        <w:t>attainment</w:t>
      </w:r>
      <w:proofErr w:type="spellEnd"/>
      <w:r>
        <w:rPr>
          <w:i/>
          <w:iCs/>
          <w:sz w:val="14"/>
          <w:szCs w:val="18"/>
        </w:rPr>
        <w:t xml:space="preserve"> </w:t>
      </w:r>
      <w:r>
        <w:rPr>
          <w:sz w:val="14"/>
          <w:szCs w:val="18"/>
        </w:rPr>
        <w:t xml:space="preserve">o </w:t>
      </w:r>
      <w:proofErr w:type="spellStart"/>
      <w:r w:rsidRPr="00D9698F">
        <w:rPr>
          <w:i/>
          <w:iCs/>
          <w:sz w:val="14"/>
          <w:szCs w:val="18"/>
        </w:rPr>
        <w:t>realization</w:t>
      </w:r>
      <w:proofErr w:type="spellEnd"/>
      <w:r>
        <w:rPr>
          <w:sz w:val="14"/>
          <w:szCs w:val="18"/>
        </w:rPr>
        <w:t>. Como se trata de una experiencia particular, singular y sin paralelo, el autor ha decido utilizar el término, mucho menos utilizado en el uso castizo</w:t>
      </w:r>
      <w:r w:rsidR="00874284">
        <w:rPr>
          <w:sz w:val="14"/>
          <w:szCs w:val="18"/>
        </w:rPr>
        <w:t xml:space="preserve"> y literario sobre el </w:t>
      </w:r>
      <w:r w:rsidR="00874284" w:rsidRPr="00874284">
        <w:rPr>
          <w:i/>
          <w:iCs/>
          <w:sz w:val="14"/>
          <w:szCs w:val="18"/>
        </w:rPr>
        <w:t>Dhamma</w:t>
      </w:r>
      <w:r>
        <w:rPr>
          <w:sz w:val="14"/>
          <w:szCs w:val="18"/>
        </w:rPr>
        <w:t xml:space="preserve">, de </w:t>
      </w:r>
      <w:r>
        <w:rPr>
          <w:i/>
          <w:iCs/>
          <w:sz w:val="14"/>
          <w:szCs w:val="18"/>
        </w:rPr>
        <w:t>consumación</w:t>
      </w:r>
      <w:r>
        <w:rPr>
          <w:sz w:val="14"/>
          <w:szCs w:val="18"/>
        </w:rPr>
        <w:t xml:space="preserve">. Otros motivos que lo impulsaron a utilizar una traducción diferente es que estas experiencias ocurren de manera disruptiva en el devenir y patrón </w:t>
      </w:r>
      <w:proofErr w:type="spellStart"/>
      <w:r w:rsidRPr="00565A0F">
        <w:rPr>
          <w:i/>
          <w:iCs/>
          <w:sz w:val="14"/>
          <w:szCs w:val="18"/>
        </w:rPr>
        <w:t>karmico</w:t>
      </w:r>
      <w:proofErr w:type="spellEnd"/>
      <w:r>
        <w:rPr>
          <w:i/>
          <w:iCs/>
          <w:sz w:val="14"/>
          <w:szCs w:val="18"/>
        </w:rPr>
        <w:t>,</w:t>
      </w:r>
      <w:r>
        <w:rPr>
          <w:sz w:val="14"/>
          <w:szCs w:val="18"/>
        </w:rPr>
        <w:t xml:space="preserve"> para nunca más volver a repetirse, tal es así que se habla inclusive de una experiencia que origina un </w:t>
      </w:r>
      <w:r w:rsidRPr="009861FE">
        <w:rPr>
          <w:i/>
          <w:iCs/>
          <w:sz w:val="14"/>
          <w:szCs w:val="18"/>
        </w:rPr>
        <w:t>cambio de linaje</w:t>
      </w:r>
      <w:r>
        <w:rPr>
          <w:sz w:val="14"/>
          <w:szCs w:val="18"/>
        </w:rPr>
        <w:t xml:space="preserve">, una </w:t>
      </w:r>
      <w:r w:rsidRPr="009861FE">
        <w:rPr>
          <w:i/>
          <w:iCs/>
          <w:sz w:val="14"/>
          <w:szCs w:val="18"/>
        </w:rPr>
        <w:t>iluminación</w:t>
      </w:r>
      <w:r>
        <w:rPr>
          <w:sz w:val="14"/>
          <w:szCs w:val="18"/>
        </w:rPr>
        <w:t xml:space="preserve">, un </w:t>
      </w:r>
      <w:r w:rsidRPr="00882C42">
        <w:rPr>
          <w:i/>
          <w:iCs/>
          <w:sz w:val="14"/>
          <w:szCs w:val="18"/>
        </w:rPr>
        <w:t>despertar</w:t>
      </w:r>
      <w:r>
        <w:rPr>
          <w:sz w:val="14"/>
          <w:szCs w:val="18"/>
        </w:rPr>
        <w:t xml:space="preserve">, un sendero sin retorno, etc. Puede decirse que el </w:t>
      </w:r>
      <w:r>
        <w:rPr>
          <w:i/>
          <w:iCs/>
          <w:sz w:val="14"/>
          <w:szCs w:val="18"/>
        </w:rPr>
        <w:t xml:space="preserve">Nibbāna </w:t>
      </w:r>
      <w:r>
        <w:rPr>
          <w:sz w:val="14"/>
          <w:szCs w:val="18"/>
        </w:rPr>
        <w:t xml:space="preserve">debe </w:t>
      </w:r>
      <w:r w:rsidRPr="00AC6A1C">
        <w:rPr>
          <w:i/>
          <w:iCs/>
          <w:sz w:val="14"/>
          <w:szCs w:val="18"/>
        </w:rPr>
        <w:t>experimentarse</w:t>
      </w:r>
      <w:r>
        <w:rPr>
          <w:sz w:val="14"/>
          <w:szCs w:val="18"/>
        </w:rPr>
        <w:t xml:space="preserve"> para manifestar su fruición, que debe </w:t>
      </w:r>
      <w:r w:rsidRPr="00AC6A1C">
        <w:rPr>
          <w:i/>
          <w:iCs/>
          <w:sz w:val="14"/>
          <w:szCs w:val="18"/>
        </w:rPr>
        <w:t>alcanzarse</w:t>
      </w:r>
      <w:r>
        <w:rPr>
          <w:sz w:val="14"/>
          <w:szCs w:val="18"/>
        </w:rPr>
        <w:t xml:space="preserve">, que debe </w:t>
      </w:r>
      <w:r>
        <w:rPr>
          <w:i/>
          <w:iCs/>
          <w:sz w:val="14"/>
          <w:szCs w:val="18"/>
        </w:rPr>
        <w:t xml:space="preserve">lograrse; </w:t>
      </w:r>
      <w:r w:rsidRPr="00AC6A1C">
        <w:rPr>
          <w:sz w:val="14"/>
          <w:szCs w:val="18"/>
        </w:rPr>
        <w:t>no obstante,</w:t>
      </w:r>
      <w:r>
        <w:rPr>
          <w:i/>
          <w:iCs/>
          <w:sz w:val="14"/>
          <w:szCs w:val="18"/>
        </w:rPr>
        <w:t xml:space="preserve"> </w:t>
      </w:r>
      <w:r>
        <w:rPr>
          <w:sz w:val="14"/>
          <w:szCs w:val="18"/>
        </w:rPr>
        <w:t xml:space="preserve">se ha considerado como mejor representación del objetivo final de la enseñanza, </w:t>
      </w:r>
      <w:r>
        <w:rPr>
          <w:i/>
          <w:iCs/>
          <w:sz w:val="14"/>
          <w:szCs w:val="18"/>
        </w:rPr>
        <w:t xml:space="preserve">consumarse. </w:t>
      </w:r>
    </w:p>
    <w:p w14:paraId="343895D2" w14:textId="77777777" w:rsidR="00E56D68" w:rsidRPr="00E56D68" w:rsidRDefault="00E56D68" w:rsidP="00E56D68">
      <w:pPr>
        <w:pStyle w:val="Ttulo4"/>
        <w:rPr>
          <w:spacing w:val="20"/>
          <w:sz w:val="14"/>
          <w:szCs w:val="18"/>
        </w:rPr>
      </w:pPr>
      <w:r w:rsidRPr="00E56D68">
        <w:rPr>
          <w:spacing w:val="20"/>
          <w:sz w:val="14"/>
          <w:szCs w:val="18"/>
        </w:rPr>
        <w:t>Sufrimiento e Insatisfactoriedad</w:t>
      </w:r>
    </w:p>
    <w:p w14:paraId="79D8572D" w14:textId="1DD13C23" w:rsidR="00E56D68" w:rsidRPr="0053709F" w:rsidRDefault="00E56D68" w:rsidP="00E56D68">
      <w:pPr>
        <w:ind w:firstLine="284"/>
        <w:rPr>
          <w:sz w:val="14"/>
          <w:szCs w:val="18"/>
        </w:rPr>
      </w:pPr>
      <w:r>
        <w:rPr>
          <w:sz w:val="14"/>
          <w:szCs w:val="18"/>
        </w:rPr>
        <w:t>Si bien la</w:t>
      </w:r>
      <w:r w:rsidR="00874284">
        <w:rPr>
          <w:sz w:val="14"/>
          <w:szCs w:val="18"/>
        </w:rPr>
        <w:t>s</w:t>
      </w:r>
      <w:r>
        <w:rPr>
          <w:sz w:val="14"/>
          <w:szCs w:val="18"/>
        </w:rPr>
        <w:t xml:space="preserve"> cuatro nobles verdades aluden expresamente al sufrimiento, el libro hace</w:t>
      </w:r>
      <w:r w:rsidR="00874284">
        <w:rPr>
          <w:sz w:val="14"/>
          <w:szCs w:val="18"/>
        </w:rPr>
        <w:t>,</w:t>
      </w:r>
      <w:r>
        <w:rPr>
          <w:sz w:val="14"/>
          <w:szCs w:val="18"/>
        </w:rPr>
        <w:t xml:space="preserve"> muchas veces</w:t>
      </w:r>
      <w:r w:rsidR="00874284">
        <w:rPr>
          <w:sz w:val="14"/>
          <w:szCs w:val="18"/>
        </w:rPr>
        <w:t>,</w:t>
      </w:r>
      <w:r>
        <w:rPr>
          <w:sz w:val="14"/>
          <w:szCs w:val="18"/>
        </w:rPr>
        <w:t xml:space="preserve"> referencia a</w:t>
      </w:r>
      <w:r w:rsidR="003C5DB3">
        <w:rPr>
          <w:sz w:val="14"/>
          <w:szCs w:val="18"/>
        </w:rPr>
        <w:t xml:space="preserve">l término inglés </w:t>
      </w:r>
      <w:proofErr w:type="spellStart"/>
      <w:r>
        <w:rPr>
          <w:i/>
          <w:iCs/>
          <w:sz w:val="14"/>
          <w:szCs w:val="18"/>
        </w:rPr>
        <w:t>pain</w:t>
      </w:r>
      <w:proofErr w:type="spellEnd"/>
      <w:r>
        <w:rPr>
          <w:sz w:val="14"/>
          <w:szCs w:val="18"/>
        </w:rPr>
        <w:t xml:space="preserve">, es decir, dolor. El autor ha considerado, más apropiadamente en la versión en español, que sufrimiento se adapta mejor a la estructura de la construcción mental del </w:t>
      </w:r>
      <w:r w:rsidRPr="007C6EBA">
        <w:rPr>
          <w:i/>
          <w:iCs/>
          <w:sz w:val="14"/>
          <w:szCs w:val="18"/>
        </w:rPr>
        <w:t>Dhamma</w:t>
      </w:r>
      <w:r>
        <w:rPr>
          <w:sz w:val="14"/>
          <w:szCs w:val="18"/>
        </w:rPr>
        <w:t>. Cuando se habla de las 3 principales características de fenómeno físico</w:t>
      </w:r>
      <w:r>
        <w:rPr>
          <w:rFonts w:cs="Cormorant"/>
          <w:sz w:val="14"/>
          <w:szCs w:val="18"/>
        </w:rPr>
        <w:t>–</w:t>
      </w:r>
      <w:r>
        <w:rPr>
          <w:sz w:val="14"/>
          <w:szCs w:val="18"/>
        </w:rPr>
        <w:t xml:space="preserve">mental, es decir, de </w:t>
      </w:r>
      <w:r w:rsidRPr="00BA7E7C">
        <w:rPr>
          <w:i/>
          <w:iCs/>
          <w:sz w:val="14"/>
          <w:szCs w:val="18"/>
        </w:rPr>
        <w:t>anicca, dukkha</w:t>
      </w:r>
      <w:r>
        <w:rPr>
          <w:sz w:val="14"/>
          <w:szCs w:val="18"/>
        </w:rPr>
        <w:t xml:space="preserve"> y </w:t>
      </w:r>
      <w:r w:rsidRPr="00BA7E7C">
        <w:rPr>
          <w:i/>
          <w:iCs/>
          <w:sz w:val="14"/>
          <w:szCs w:val="18"/>
        </w:rPr>
        <w:t>anattā</w:t>
      </w:r>
      <w:r>
        <w:rPr>
          <w:sz w:val="14"/>
          <w:szCs w:val="18"/>
        </w:rPr>
        <w:t>, se ha considerado más didáctico referirse a ellos como “las 3 características de la impermanencia, la insatisfactoriedad y no</w:t>
      </w:r>
      <w:r>
        <w:rPr>
          <w:rFonts w:cs="Cormorant"/>
          <w:sz w:val="14"/>
          <w:szCs w:val="18"/>
        </w:rPr>
        <w:t>–</w:t>
      </w:r>
      <w:r>
        <w:rPr>
          <w:sz w:val="14"/>
          <w:szCs w:val="18"/>
        </w:rPr>
        <w:t>alma de todo fenómeno físico</w:t>
      </w:r>
      <w:r>
        <w:rPr>
          <w:rFonts w:cs="Cormorant"/>
          <w:sz w:val="14"/>
          <w:szCs w:val="18"/>
        </w:rPr>
        <w:t>–</w:t>
      </w:r>
      <w:r>
        <w:rPr>
          <w:sz w:val="14"/>
          <w:szCs w:val="18"/>
        </w:rPr>
        <w:t xml:space="preserve">mental” en vez de simplemente sufrimiento. Haciendo alusión a la famosa frase atribuida al </w:t>
      </w:r>
      <w:r w:rsidRPr="007A7912">
        <w:rPr>
          <w:i/>
          <w:iCs/>
          <w:sz w:val="14"/>
          <w:szCs w:val="18"/>
        </w:rPr>
        <w:t>Buddha</w:t>
      </w:r>
      <w:r>
        <w:rPr>
          <w:sz w:val="14"/>
          <w:szCs w:val="18"/>
        </w:rPr>
        <w:t xml:space="preserve"> de que </w:t>
      </w:r>
      <w:r w:rsidRPr="007A7912">
        <w:rPr>
          <w:i/>
          <w:iCs/>
          <w:sz w:val="14"/>
          <w:szCs w:val="18"/>
        </w:rPr>
        <w:t>el dolor es inevitable pero el sufrimiento</w:t>
      </w:r>
      <w:r w:rsidR="003C5DB3">
        <w:rPr>
          <w:i/>
          <w:iCs/>
          <w:sz w:val="14"/>
          <w:szCs w:val="18"/>
        </w:rPr>
        <w:t>,</w:t>
      </w:r>
      <w:r w:rsidRPr="007A7912">
        <w:rPr>
          <w:i/>
          <w:iCs/>
          <w:sz w:val="14"/>
          <w:szCs w:val="18"/>
        </w:rPr>
        <w:t xml:space="preserve"> opcional</w:t>
      </w:r>
      <w:r>
        <w:rPr>
          <w:sz w:val="14"/>
          <w:szCs w:val="18"/>
        </w:rPr>
        <w:t xml:space="preserve">, se ha relegado al término </w:t>
      </w:r>
      <w:r w:rsidRPr="007A7912">
        <w:rPr>
          <w:i/>
          <w:iCs/>
          <w:sz w:val="14"/>
          <w:szCs w:val="18"/>
        </w:rPr>
        <w:t>dolor</w:t>
      </w:r>
      <w:r>
        <w:rPr>
          <w:sz w:val="14"/>
          <w:szCs w:val="18"/>
        </w:rPr>
        <w:t xml:space="preserve">, para referirse exclusivamente al </w:t>
      </w:r>
      <w:r w:rsidRPr="008E70E7">
        <w:rPr>
          <w:i/>
          <w:iCs/>
          <w:sz w:val="14"/>
          <w:szCs w:val="18"/>
        </w:rPr>
        <w:t>dolor físico</w:t>
      </w:r>
      <w:r>
        <w:rPr>
          <w:sz w:val="14"/>
          <w:szCs w:val="18"/>
        </w:rPr>
        <w:t xml:space="preserve"> y, como </w:t>
      </w:r>
      <w:r w:rsidRPr="00ED0B2F">
        <w:rPr>
          <w:i/>
          <w:iCs/>
          <w:sz w:val="14"/>
          <w:szCs w:val="18"/>
        </w:rPr>
        <w:t>dukkha</w:t>
      </w:r>
      <w:r>
        <w:rPr>
          <w:i/>
          <w:iCs/>
          <w:sz w:val="14"/>
          <w:szCs w:val="18"/>
        </w:rPr>
        <w:t>,</w:t>
      </w:r>
      <w:r>
        <w:rPr>
          <w:sz w:val="14"/>
          <w:szCs w:val="18"/>
        </w:rPr>
        <w:t xml:space="preserve"> se ha utilizado</w:t>
      </w:r>
      <w:r w:rsidR="0050656A">
        <w:rPr>
          <w:sz w:val="14"/>
          <w:szCs w:val="18"/>
        </w:rPr>
        <w:t>,</w:t>
      </w:r>
      <w:r>
        <w:rPr>
          <w:sz w:val="14"/>
          <w:szCs w:val="18"/>
        </w:rPr>
        <w:t xml:space="preserve"> como representación del </w:t>
      </w:r>
      <w:r w:rsidRPr="00612F64">
        <w:rPr>
          <w:i/>
          <w:iCs/>
          <w:sz w:val="14"/>
          <w:szCs w:val="18"/>
        </w:rPr>
        <w:t>sufrimiento</w:t>
      </w:r>
      <w:r>
        <w:rPr>
          <w:i/>
          <w:iCs/>
          <w:sz w:val="14"/>
          <w:szCs w:val="18"/>
        </w:rPr>
        <w:t>,</w:t>
      </w:r>
      <w:r>
        <w:rPr>
          <w:sz w:val="14"/>
          <w:szCs w:val="18"/>
        </w:rPr>
        <w:t xml:space="preserve"> una palabra que aluda esencialmente a este tipo de </w:t>
      </w:r>
      <w:r w:rsidRPr="00855045">
        <w:rPr>
          <w:i/>
          <w:iCs/>
          <w:sz w:val="14"/>
          <w:szCs w:val="18"/>
        </w:rPr>
        <w:t>emoción</w:t>
      </w:r>
      <w:r>
        <w:rPr>
          <w:sz w:val="14"/>
          <w:szCs w:val="18"/>
        </w:rPr>
        <w:t xml:space="preserve">, </w:t>
      </w:r>
      <w:r>
        <w:rPr>
          <w:i/>
          <w:iCs/>
          <w:sz w:val="14"/>
          <w:szCs w:val="18"/>
        </w:rPr>
        <w:t xml:space="preserve">insatisfactoriedad. </w:t>
      </w:r>
    </w:p>
    <w:p w14:paraId="7B955AE5" w14:textId="77777777" w:rsidR="00E56D68" w:rsidRPr="008D2B27" w:rsidRDefault="00E56D68" w:rsidP="00E56D68">
      <w:pPr>
        <w:pStyle w:val="Ttulo3"/>
        <w:rPr>
          <w:sz w:val="14"/>
          <w:szCs w:val="20"/>
        </w:rPr>
      </w:pPr>
      <w:r w:rsidRPr="008D2B27">
        <w:rPr>
          <w:sz w:val="14"/>
          <w:szCs w:val="20"/>
        </w:rPr>
        <w:lastRenderedPageBreak/>
        <w:t>Anexo</w:t>
      </w:r>
      <w:r>
        <w:rPr>
          <w:sz w:val="14"/>
          <w:szCs w:val="20"/>
        </w:rPr>
        <w:t xml:space="preserve">: </w:t>
      </w:r>
      <w:r>
        <w:rPr>
          <w:sz w:val="14"/>
          <w:szCs w:val="20"/>
        </w:rPr>
        <w:br/>
      </w:r>
      <w:r w:rsidRPr="00AF1A84">
        <w:rPr>
          <w:i/>
          <w:iCs/>
          <w:sz w:val="14"/>
          <w:szCs w:val="20"/>
        </w:rPr>
        <w:t>Esquematización de Clasificaciones del Visuddhimagga</w:t>
      </w:r>
    </w:p>
    <w:p w14:paraId="2BCD05A5" w14:textId="0C7659DA" w:rsidR="00E56D68" w:rsidRDefault="00E56D68" w:rsidP="00E56D68">
      <w:pPr>
        <w:ind w:firstLine="284"/>
        <w:rPr>
          <w:sz w:val="14"/>
          <w:szCs w:val="18"/>
        </w:rPr>
      </w:pPr>
      <w:r w:rsidRPr="00AF1A84">
        <w:rPr>
          <w:sz w:val="14"/>
          <w:szCs w:val="18"/>
        </w:rPr>
        <w:t>El autor</w:t>
      </w:r>
      <w:r>
        <w:rPr>
          <w:sz w:val="14"/>
          <w:szCs w:val="18"/>
        </w:rPr>
        <w:t xml:space="preserve"> hizo uso de un resumen de clasificaciones que le permitiese disponer de un esquema que a su vez le facilite cualquier referencia sutil y corta que el autor original del libro, el Venerable Ashin Buddhaghosa, recurrentemente suele citar en su narra</w:t>
      </w:r>
      <w:r w:rsidR="0050656A">
        <w:rPr>
          <w:sz w:val="14"/>
          <w:szCs w:val="18"/>
        </w:rPr>
        <w:t>tiva</w:t>
      </w:r>
      <w:r>
        <w:rPr>
          <w:sz w:val="14"/>
          <w:szCs w:val="18"/>
        </w:rPr>
        <w:t xml:space="preserve">. </w:t>
      </w:r>
      <w:r w:rsidR="00215260">
        <w:rPr>
          <w:sz w:val="14"/>
          <w:szCs w:val="18"/>
        </w:rPr>
        <w:t xml:space="preserve">El autor redactó este </w:t>
      </w:r>
      <w:r>
        <w:rPr>
          <w:sz w:val="14"/>
          <w:szCs w:val="18"/>
        </w:rPr>
        <w:t xml:space="preserve">esquema paralelamente a la edición que hizo del libro, debido a no gozar, en lo absoluto, de una buena memoria ni capacidad intelectual para retener semejante cantidad de ítems en su mente y quien creyó que podría contribuir también a la lectura de cualquier lector que quisiese ubicar estas referencias más </w:t>
      </w:r>
      <w:r w:rsidR="00215260">
        <w:rPr>
          <w:sz w:val="14"/>
          <w:szCs w:val="18"/>
        </w:rPr>
        <w:t xml:space="preserve">rápida </w:t>
      </w:r>
      <w:r>
        <w:rPr>
          <w:sz w:val="14"/>
          <w:szCs w:val="18"/>
        </w:rPr>
        <w:t xml:space="preserve">sistemáticamente </w:t>
      </w:r>
      <w:r w:rsidR="00215260">
        <w:rPr>
          <w:sz w:val="14"/>
          <w:szCs w:val="18"/>
        </w:rPr>
        <w:t xml:space="preserve">haciendo uso de las herramientas informática </w:t>
      </w:r>
      <w:r>
        <w:rPr>
          <w:sz w:val="14"/>
          <w:szCs w:val="18"/>
        </w:rPr>
        <w:t>durante las alusiones que hiciera el autor</w:t>
      </w:r>
      <w:r w:rsidR="00215260">
        <w:rPr>
          <w:sz w:val="14"/>
          <w:szCs w:val="18"/>
        </w:rPr>
        <w:t xml:space="preserve"> </w:t>
      </w:r>
      <w:r w:rsidR="00E710AC">
        <w:rPr>
          <w:sz w:val="14"/>
          <w:szCs w:val="18"/>
        </w:rPr>
        <w:t>original del libro</w:t>
      </w:r>
      <w:r>
        <w:rPr>
          <w:sz w:val="14"/>
          <w:szCs w:val="18"/>
        </w:rPr>
        <w:t xml:space="preserve">. Esta esquematización se refiere a otros capítulos, clasificaciones, enumeraciones, etc. de cualquier índole, ubicados en su capítulo y título correspondiente. </w:t>
      </w:r>
    </w:p>
    <w:p w14:paraId="735E478E" w14:textId="0E1F9F77" w:rsidR="00E56D68" w:rsidRDefault="00E56D68" w:rsidP="00E56D68">
      <w:pPr>
        <w:ind w:firstLine="284"/>
        <w:rPr>
          <w:sz w:val="14"/>
          <w:szCs w:val="18"/>
        </w:rPr>
      </w:pPr>
      <w:r>
        <w:rPr>
          <w:sz w:val="14"/>
          <w:szCs w:val="18"/>
        </w:rPr>
        <w:t xml:space="preserve">Es incuestionable que esta primera revisión, que le ha tomado al autor un pocos más de dos años, requerirá la contribución de otros lectores, editores y profesionales en la materia, con el objeto de depurar la calidad de redacción de este </w:t>
      </w:r>
      <w:r w:rsidRPr="00E710AC">
        <w:rPr>
          <w:i/>
          <w:iCs/>
          <w:sz w:val="14"/>
          <w:szCs w:val="18"/>
        </w:rPr>
        <w:t>alucinante</w:t>
      </w:r>
      <w:r>
        <w:rPr>
          <w:sz w:val="14"/>
          <w:szCs w:val="18"/>
        </w:rPr>
        <w:t xml:space="preserve"> libro desde la perspectiva laica. Se presentan muchas situaciones que al autor le han resultado simplemente </w:t>
      </w:r>
      <w:r w:rsidRPr="00D83EC5">
        <w:rPr>
          <w:i/>
          <w:iCs/>
          <w:sz w:val="14"/>
          <w:szCs w:val="18"/>
        </w:rPr>
        <w:t>incomprensibles</w:t>
      </w:r>
      <w:r>
        <w:rPr>
          <w:sz w:val="14"/>
          <w:szCs w:val="18"/>
        </w:rPr>
        <w:t xml:space="preserve"> y en cualquier lector que le ocurriese lo mis</w:t>
      </w:r>
      <w:r w:rsidR="00D83EC5">
        <w:rPr>
          <w:sz w:val="14"/>
          <w:szCs w:val="18"/>
        </w:rPr>
        <w:t>m</w:t>
      </w:r>
      <w:r>
        <w:rPr>
          <w:sz w:val="14"/>
          <w:szCs w:val="18"/>
        </w:rPr>
        <w:t xml:space="preserve">o, lo recomendable será simplemente pasarlo por alto. No obstante, sí se encontrará muchos aspectos vinculados con la práctica personal de purificación mental </w:t>
      </w:r>
      <w:r w:rsidR="00D83EC5">
        <w:rPr>
          <w:sz w:val="14"/>
          <w:szCs w:val="18"/>
        </w:rPr>
        <w:t xml:space="preserve">de su propia experiencia y </w:t>
      </w:r>
      <w:r>
        <w:rPr>
          <w:sz w:val="14"/>
          <w:szCs w:val="18"/>
        </w:rPr>
        <w:t xml:space="preserve">en la tradición laica de manera maravillosa y satisfactoria. Las grandes lagunas parecieran valer muy bien la pena </w:t>
      </w:r>
      <w:r w:rsidR="00D83EC5">
        <w:rPr>
          <w:sz w:val="14"/>
          <w:szCs w:val="18"/>
        </w:rPr>
        <w:t xml:space="preserve">de </w:t>
      </w:r>
      <w:r>
        <w:rPr>
          <w:sz w:val="14"/>
          <w:szCs w:val="18"/>
        </w:rPr>
        <w:t>tal</w:t>
      </w:r>
      <w:r w:rsidR="00D83EC5">
        <w:rPr>
          <w:sz w:val="14"/>
          <w:szCs w:val="18"/>
        </w:rPr>
        <w:t>es</w:t>
      </w:r>
      <w:r>
        <w:rPr>
          <w:sz w:val="14"/>
          <w:szCs w:val="18"/>
        </w:rPr>
        <w:t xml:space="preserve"> sufrimiento</w:t>
      </w:r>
      <w:r w:rsidR="00D83EC5">
        <w:rPr>
          <w:sz w:val="14"/>
          <w:szCs w:val="18"/>
        </w:rPr>
        <w:t>s</w:t>
      </w:r>
      <w:r>
        <w:rPr>
          <w:sz w:val="14"/>
          <w:szCs w:val="18"/>
        </w:rPr>
        <w:t xml:space="preserve">. </w:t>
      </w:r>
    </w:p>
    <w:p w14:paraId="792A63A2" w14:textId="66E6A8C2" w:rsidR="00456713" w:rsidRPr="00AF1A84" w:rsidRDefault="00456713" w:rsidP="00E56D68">
      <w:pPr>
        <w:ind w:firstLine="284"/>
        <w:rPr>
          <w:sz w:val="14"/>
          <w:szCs w:val="18"/>
        </w:rPr>
      </w:pPr>
      <w:r>
        <w:rPr>
          <w:sz w:val="14"/>
          <w:szCs w:val="18"/>
        </w:rPr>
        <w:t>La numeración de página desde el Capítulo I</w:t>
      </w:r>
      <w:r w:rsidR="00A27908">
        <w:rPr>
          <w:sz w:val="14"/>
          <w:szCs w:val="18"/>
        </w:rPr>
        <w:t xml:space="preserve"> hasta el final</w:t>
      </w:r>
      <w:r>
        <w:rPr>
          <w:sz w:val="14"/>
          <w:szCs w:val="18"/>
        </w:rPr>
        <w:t xml:space="preserve"> sigue la numeración </w:t>
      </w:r>
      <w:r w:rsidR="00C961E3">
        <w:rPr>
          <w:sz w:val="14"/>
          <w:szCs w:val="18"/>
        </w:rPr>
        <w:t xml:space="preserve">de navegación </w:t>
      </w:r>
      <w:r w:rsidR="00A27908">
        <w:rPr>
          <w:sz w:val="14"/>
          <w:szCs w:val="18"/>
        </w:rPr>
        <w:t xml:space="preserve">de la versión en el formato </w:t>
      </w:r>
      <w:r>
        <w:rPr>
          <w:sz w:val="14"/>
          <w:szCs w:val="18"/>
        </w:rPr>
        <w:t>PDF</w:t>
      </w:r>
      <w:r w:rsidR="00C961E3">
        <w:rPr>
          <w:sz w:val="14"/>
          <w:szCs w:val="18"/>
        </w:rPr>
        <w:t>, con el objeto de facilitar, por el momento</w:t>
      </w:r>
      <w:r w:rsidR="00D83EC5">
        <w:rPr>
          <w:sz w:val="14"/>
          <w:szCs w:val="18"/>
        </w:rPr>
        <w:t>,</w:t>
      </w:r>
      <w:r w:rsidR="00C961E3">
        <w:rPr>
          <w:sz w:val="14"/>
          <w:szCs w:val="18"/>
        </w:rPr>
        <w:t xml:space="preserve"> cualquier </w:t>
      </w:r>
      <w:r w:rsidR="0089484E">
        <w:rPr>
          <w:sz w:val="14"/>
          <w:szCs w:val="18"/>
        </w:rPr>
        <w:t xml:space="preserve">revisión, edición y corrección </w:t>
      </w:r>
      <w:r w:rsidR="00C961E3">
        <w:rPr>
          <w:sz w:val="14"/>
          <w:szCs w:val="18"/>
        </w:rPr>
        <w:t xml:space="preserve">que se </w:t>
      </w:r>
      <w:r w:rsidR="00CC043B">
        <w:rPr>
          <w:sz w:val="14"/>
          <w:szCs w:val="18"/>
        </w:rPr>
        <w:t xml:space="preserve">efectúe hasta una versión </w:t>
      </w:r>
      <w:r w:rsidR="0089484E">
        <w:rPr>
          <w:sz w:val="14"/>
          <w:szCs w:val="18"/>
        </w:rPr>
        <w:t>“</w:t>
      </w:r>
      <w:r w:rsidR="00D83EC5">
        <w:rPr>
          <w:sz w:val="14"/>
          <w:szCs w:val="18"/>
        </w:rPr>
        <w:t>más</w:t>
      </w:r>
      <w:r w:rsidR="0089484E">
        <w:rPr>
          <w:sz w:val="14"/>
          <w:szCs w:val="18"/>
        </w:rPr>
        <w:t>”</w:t>
      </w:r>
      <w:r w:rsidR="00D83EC5">
        <w:rPr>
          <w:sz w:val="14"/>
          <w:szCs w:val="18"/>
        </w:rPr>
        <w:t xml:space="preserve"> </w:t>
      </w:r>
      <w:r w:rsidR="00CC043B">
        <w:rPr>
          <w:sz w:val="14"/>
          <w:szCs w:val="18"/>
        </w:rPr>
        <w:t>definitiva.</w:t>
      </w:r>
    </w:p>
    <w:p w14:paraId="39BCFA94" w14:textId="77777777" w:rsidR="0059206B" w:rsidRDefault="0059206B"/>
    <w:p w14:paraId="6D9B3209" w14:textId="77777777" w:rsidR="00E52CE3" w:rsidRDefault="00E52CE3"/>
    <w:p w14:paraId="7E80EB08" w14:textId="77777777" w:rsidR="00E52CE3" w:rsidRDefault="00E52CE3"/>
    <w:p w14:paraId="3C7949F9" w14:textId="77777777" w:rsidR="00E52CE3" w:rsidRDefault="00E52CE3">
      <w:pPr>
        <w:sectPr w:rsidR="00E52CE3" w:rsidSect="00305694">
          <w:footerReference w:type="default" r:id="rId20"/>
          <w:pgSz w:w="8641" w:h="12962"/>
          <w:pgMar w:top="851" w:right="964" w:bottom="964" w:left="964" w:header="709" w:footer="709" w:gutter="0"/>
          <w:pgNumType w:fmt="lowerRoman" w:start="21"/>
          <w:cols w:space="708"/>
          <w:docGrid w:linePitch="360"/>
        </w:sectPr>
      </w:pPr>
    </w:p>
    <w:p w14:paraId="29445A3F" w14:textId="77777777" w:rsidR="00327361" w:rsidRDefault="00327361" w:rsidP="00580885">
      <w:pPr>
        <w:pStyle w:val="NormalConSangria"/>
      </w:pPr>
    </w:p>
    <w:p w14:paraId="3F7D953E" w14:textId="77777777" w:rsidR="00327361" w:rsidRDefault="00327361" w:rsidP="00580885">
      <w:pPr>
        <w:pStyle w:val="NormalConSangria"/>
      </w:pPr>
    </w:p>
    <w:p w14:paraId="50EA0913" w14:textId="77777777" w:rsidR="00327361" w:rsidRDefault="00327361" w:rsidP="00580885">
      <w:pPr>
        <w:pStyle w:val="NormalConSangria"/>
      </w:pPr>
    </w:p>
    <w:p w14:paraId="6EF14CA9" w14:textId="77777777" w:rsidR="00604F95" w:rsidRDefault="00327361" w:rsidP="002A59FC">
      <w:pPr>
        <w:pStyle w:val="Ttulo"/>
      </w:pPr>
      <w:r>
        <w:t>El Sendero de la Purificación</w:t>
      </w:r>
      <w:r>
        <w:br/>
        <w:t>(</w:t>
      </w:r>
      <w:r w:rsidRPr="00327361">
        <w:rPr>
          <w:i/>
          <w:iCs/>
        </w:rPr>
        <w:t>Visuddhimagga</w:t>
      </w:r>
      <w:r>
        <w:t>)</w:t>
      </w:r>
    </w:p>
    <w:p w14:paraId="07B5C2E1" w14:textId="77777777" w:rsidR="00604F95" w:rsidRDefault="00604F95" w:rsidP="00604F95"/>
    <w:p w14:paraId="5CD148FC" w14:textId="77777777" w:rsidR="00E52CE3" w:rsidRDefault="00E52CE3" w:rsidP="00604F95"/>
    <w:p w14:paraId="3DC2724A" w14:textId="25E31990" w:rsidR="008F7981" w:rsidRDefault="00E52CE3">
      <w:r>
        <w:br w:type="page"/>
      </w:r>
      <w:r w:rsidR="008F7981">
        <w:lastRenderedPageBreak/>
        <w:br w:type="page"/>
      </w:r>
    </w:p>
    <w:p w14:paraId="145875F8" w14:textId="77777777" w:rsidR="00E52CE3" w:rsidRDefault="00E52CE3"/>
    <w:p w14:paraId="424499F2" w14:textId="77777777" w:rsidR="00622B0F" w:rsidRDefault="00622B0F"/>
    <w:p w14:paraId="19BEAC2F" w14:textId="77777777" w:rsidR="00622B0F" w:rsidRDefault="00622B0F"/>
    <w:p w14:paraId="32E1DA7A" w14:textId="273B8B96" w:rsidR="00622B0F" w:rsidRDefault="00622B0F" w:rsidP="00622B0F">
      <w:pPr>
        <w:pStyle w:val="Ttulo1"/>
      </w:pPr>
      <w:r>
        <w:t xml:space="preserve">Parte I </w:t>
      </w:r>
      <w:r>
        <w:br/>
      </w:r>
      <w:r w:rsidR="002D528E">
        <w:t>Virtud</w:t>
      </w:r>
      <w:r>
        <w:t xml:space="preserve"> (</w:t>
      </w:r>
      <w:r w:rsidR="00102305">
        <w:rPr>
          <w:i/>
          <w:iCs/>
        </w:rPr>
        <w:t>Sīla</w:t>
      </w:r>
      <w:r>
        <w:t>)</w:t>
      </w:r>
    </w:p>
    <w:p w14:paraId="0FFC0CC1" w14:textId="77777777" w:rsidR="00622B0F" w:rsidRDefault="00622B0F" w:rsidP="00622B0F"/>
    <w:p w14:paraId="3CCB9F75" w14:textId="77777777" w:rsidR="00622B0F" w:rsidRDefault="00622B0F">
      <w:r>
        <w:br w:type="page"/>
      </w:r>
    </w:p>
    <w:p w14:paraId="6CDE2BED" w14:textId="77777777" w:rsidR="00E5298E" w:rsidRDefault="00E5298E"/>
    <w:p w14:paraId="425FCB3D" w14:textId="77777777" w:rsidR="00E5298E" w:rsidRDefault="00E5298E"/>
    <w:p w14:paraId="6B365AFA" w14:textId="77777777" w:rsidR="00E5298E" w:rsidRDefault="00E5298E">
      <w:pPr>
        <w:sectPr w:rsidR="00E5298E" w:rsidSect="00305694">
          <w:pgSz w:w="8641" w:h="12962"/>
          <w:pgMar w:top="851" w:right="964" w:bottom="964" w:left="964" w:header="709" w:footer="709" w:gutter="0"/>
          <w:pgNumType w:start="59"/>
          <w:cols w:space="708"/>
          <w:docGrid w:linePitch="360"/>
        </w:sectPr>
      </w:pPr>
    </w:p>
    <w:p w14:paraId="1F34117B" w14:textId="7004AFBC" w:rsidR="00000F1F" w:rsidRDefault="00000F1F"/>
    <w:p w14:paraId="6B738A71" w14:textId="77777777" w:rsidR="00546A24" w:rsidRDefault="00546A24" w:rsidP="00F73D73">
      <w:pPr>
        <w:jc w:val="center"/>
        <w:rPr>
          <w:i/>
          <w:iCs/>
        </w:rPr>
      </w:pPr>
    </w:p>
    <w:p w14:paraId="22CAF573" w14:textId="77777777" w:rsidR="00D05EDB" w:rsidRDefault="00D05EDB" w:rsidP="00F73D73">
      <w:pPr>
        <w:jc w:val="center"/>
        <w:rPr>
          <w:i/>
          <w:iCs/>
        </w:rPr>
      </w:pPr>
    </w:p>
    <w:p w14:paraId="5B32ADB2" w14:textId="77777777" w:rsidR="00D05EDB" w:rsidRDefault="00D05EDB" w:rsidP="00F73D73">
      <w:pPr>
        <w:jc w:val="center"/>
        <w:rPr>
          <w:i/>
          <w:iCs/>
        </w:rPr>
      </w:pPr>
    </w:p>
    <w:p w14:paraId="4EEEB63A" w14:textId="3935071D" w:rsidR="00A20DD8" w:rsidRDefault="00A20DD8" w:rsidP="00F73D73">
      <w:pPr>
        <w:jc w:val="center"/>
        <w:rPr>
          <w:i/>
          <w:iCs/>
        </w:rPr>
      </w:pPr>
      <w:proofErr w:type="spellStart"/>
      <w:r w:rsidRPr="00F73D73">
        <w:rPr>
          <w:i/>
          <w:iCs/>
        </w:rPr>
        <w:t>Namo</w:t>
      </w:r>
      <w:proofErr w:type="spellEnd"/>
      <w:r w:rsidRPr="00F73D73">
        <w:rPr>
          <w:i/>
          <w:iCs/>
        </w:rPr>
        <w:t xml:space="preserve"> </w:t>
      </w:r>
      <w:proofErr w:type="spellStart"/>
      <w:r w:rsidRPr="00F73D73">
        <w:rPr>
          <w:i/>
          <w:iCs/>
        </w:rPr>
        <w:t>tassa</w:t>
      </w:r>
      <w:proofErr w:type="spellEnd"/>
      <w:r w:rsidRPr="00F73D73">
        <w:rPr>
          <w:i/>
          <w:iCs/>
        </w:rPr>
        <w:t xml:space="preserve"> </w:t>
      </w:r>
      <w:proofErr w:type="spellStart"/>
      <w:r w:rsidRPr="00F73D73">
        <w:rPr>
          <w:i/>
          <w:iCs/>
        </w:rPr>
        <w:t>bhagavato</w:t>
      </w:r>
      <w:proofErr w:type="spellEnd"/>
      <w:r w:rsidRPr="00F73D73">
        <w:rPr>
          <w:i/>
          <w:iCs/>
        </w:rPr>
        <w:t xml:space="preserve"> </w:t>
      </w:r>
      <w:proofErr w:type="spellStart"/>
      <w:r w:rsidR="00057BF4" w:rsidRPr="00057BF4">
        <w:rPr>
          <w:i/>
          <w:iCs/>
        </w:rPr>
        <w:t>Arahat</w:t>
      </w:r>
      <w:r w:rsidRPr="00F73D73">
        <w:rPr>
          <w:i/>
          <w:iCs/>
        </w:rPr>
        <w:t>o</w:t>
      </w:r>
      <w:proofErr w:type="spellEnd"/>
      <w:r w:rsidR="00F73D73" w:rsidRPr="00F73D73">
        <w:rPr>
          <w:i/>
          <w:iCs/>
        </w:rPr>
        <w:br/>
      </w:r>
      <w:proofErr w:type="spellStart"/>
      <w:r w:rsidR="00AD6B1D">
        <w:rPr>
          <w:i/>
          <w:iCs/>
        </w:rPr>
        <w:t>sammā</w:t>
      </w:r>
      <w:r w:rsidR="00AD6B1D" w:rsidRPr="00F73D73">
        <w:rPr>
          <w:i/>
          <w:iCs/>
        </w:rPr>
        <w:t>sam</w:t>
      </w:r>
      <w:r w:rsidR="00AD6B1D" w:rsidRPr="00057BF4">
        <w:rPr>
          <w:i/>
          <w:iCs/>
        </w:rPr>
        <w:t>buddha</w:t>
      </w:r>
      <w:r w:rsidR="00AD6B1D" w:rsidRPr="00F73D73">
        <w:rPr>
          <w:i/>
          <w:iCs/>
        </w:rPr>
        <w:t>ssa</w:t>
      </w:r>
      <w:proofErr w:type="spellEnd"/>
    </w:p>
    <w:p w14:paraId="2A87DD1E" w14:textId="77777777" w:rsidR="00B97F40" w:rsidRPr="00F73D73" w:rsidRDefault="00B97F40" w:rsidP="00F73D73">
      <w:pPr>
        <w:jc w:val="center"/>
        <w:rPr>
          <w:i/>
          <w:iCs/>
        </w:rPr>
      </w:pPr>
    </w:p>
    <w:p w14:paraId="26F8C569" w14:textId="5E4A719D" w:rsidR="00A20DD8" w:rsidRDefault="0096018D" w:rsidP="00551BEC">
      <w:pPr>
        <w:pStyle w:val="Ttulo2"/>
        <w:jc w:val="center"/>
      </w:pPr>
      <w:r>
        <w:t xml:space="preserve">Capítulo </w:t>
      </w:r>
      <w:r w:rsidR="00A20DD8">
        <w:t>I</w:t>
      </w:r>
      <w:r w:rsidR="00F73D73">
        <w:br/>
      </w:r>
      <w:r w:rsidR="00A20DD8">
        <w:t>Descripción de la virtud</w:t>
      </w:r>
    </w:p>
    <w:p w14:paraId="4CF1AE7F" w14:textId="77777777" w:rsidR="00B93D01" w:rsidRPr="00B93D01" w:rsidRDefault="00B93D01" w:rsidP="00551BEC">
      <w:pPr>
        <w:jc w:val="center"/>
      </w:pPr>
    </w:p>
    <w:p w14:paraId="70105071" w14:textId="60C05109" w:rsidR="00D05EDB" w:rsidRPr="00551BEC" w:rsidRDefault="00A20DD8" w:rsidP="00551BEC">
      <w:pPr>
        <w:jc w:val="center"/>
        <w:rPr>
          <w:sz w:val="24"/>
          <w:szCs w:val="32"/>
        </w:rPr>
      </w:pPr>
      <w:r w:rsidRPr="00551BEC">
        <w:rPr>
          <w:sz w:val="24"/>
          <w:szCs w:val="32"/>
        </w:rPr>
        <w:t>(</w:t>
      </w:r>
      <w:r w:rsidRPr="00027839">
        <w:rPr>
          <w:b/>
          <w:bCs/>
          <w:i/>
          <w:iCs/>
          <w:sz w:val="22"/>
          <w:szCs w:val="28"/>
        </w:rPr>
        <w:t>Sīla-</w:t>
      </w:r>
      <w:proofErr w:type="spellStart"/>
      <w:r w:rsidRPr="00027839">
        <w:rPr>
          <w:b/>
          <w:bCs/>
          <w:i/>
          <w:iCs/>
          <w:sz w:val="22"/>
          <w:szCs w:val="28"/>
        </w:rPr>
        <w:t>Niddesa</w:t>
      </w:r>
      <w:proofErr w:type="spellEnd"/>
      <w:r w:rsidRPr="00551BEC">
        <w:rPr>
          <w:sz w:val="24"/>
          <w:szCs w:val="32"/>
        </w:rPr>
        <w:t>)</w:t>
      </w:r>
    </w:p>
    <w:p w14:paraId="6C85709C" w14:textId="6EF69200" w:rsidR="00A20DD8" w:rsidRDefault="00A20DD8" w:rsidP="00551BEC">
      <w:pPr>
        <w:pStyle w:val="Ttulo3"/>
        <w:ind w:left="708"/>
      </w:pPr>
      <w:r>
        <w:t>[</w:t>
      </w:r>
      <w:r w:rsidR="00551BEC">
        <w:t>I</w:t>
      </w:r>
      <w:r>
        <w:t xml:space="preserve">. </w:t>
      </w:r>
      <w:r w:rsidR="00551BEC">
        <w:t>Introductorio</w:t>
      </w:r>
      <w:r>
        <w:t>]</w:t>
      </w:r>
    </w:p>
    <w:p w14:paraId="563E051C" w14:textId="206E186C" w:rsidR="00A20DD8" w:rsidRDefault="00A20DD8" w:rsidP="00551BEC">
      <w:pPr>
        <w:pStyle w:val="VersoIngls01Sangria"/>
        <w:ind w:hanging="1416"/>
      </w:pPr>
      <w:r>
        <w:t xml:space="preserve">1. [1] </w:t>
      </w:r>
      <w:r w:rsidR="00551BEC">
        <w:tab/>
      </w:r>
      <w:r w:rsidR="004B01B2">
        <w:tab/>
      </w:r>
      <w:r>
        <w:t xml:space="preserve">“Cuando un hombre sabio, </w:t>
      </w:r>
      <w:r w:rsidR="00AD6B1D">
        <w:t xml:space="preserve">bien </w:t>
      </w:r>
      <w:r>
        <w:t xml:space="preserve">establecido en </w:t>
      </w:r>
      <w:r w:rsidR="00AD6B1D">
        <w:t xml:space="preserve">la </w:t>
      </w:r>
      <w:r>
        <w:t>virtud,</w:t>
      </w:r>
    </w:p>
    <w:p w14:paraId="2456E781" w14:textId="7C7693C5" w:rsidR="00A20DD8" w:rsidRDefault="00A20DD8" w:rsidP="00551BEC">
      <w:pPr>
        <w:pStyle w:val="VersoIngls01Sangria"/>
      </w:pPr>
      <w:r>
        <w:t>Desarroll</w:t>
      </w:r>
      <w:r w:rsidR="00AD6B1D">
        <w:t>e</w:t>
      </w:r>
      <w:r>
        <w:t xml:space="preserve"> con</w:t>
      </w:r>
      <w:r w:rsidR="00AD6B1D">
        <w:t>s</w:t>
      </w:r>
      <w:r>
        <w:t xml:space="preserve">ciencia y </w:t>
      </w:r>
      <w:r w:rsidR="00AD6B1D">
        <w:t>sabiduría</w:t>
      </w:r>
      <w:r>
        <w:t>,</w:t>
      </w:r>
    </w:p>
    <w:p w14:paraId="34FBFBA8" w14:textId="416B8826" w:rsidR="00A20DD8" w:rsidRDefault="00AD6B1D" w:rsidP="00551BEC">
      <w:pPr>
        <w:pStyle w:val="VersoIngls01Sangria"/>
      </w:pPr>
      <w:r>
        <w:t>Entonces,</w:t>
      </w:r>
      <w:r w:rsidR="00A20DD8">
        <w:t xml:space="preserve"> </w:t>
      </w:r>
      <w:r w:rsidR="000612E0">
        <w:t>al</w:t>
      </w:r>
      <w:r>
        <w:t xml:space="preserve"> igual que</w:t>
      </w:r>
      <w:r w:rsidR="00A20DD8">
        <w:t xml:space="preserve"> un </w:t>
      </w:r>
      <w:r>
        <w:t xml:space="preserve">ardiente </w:t>
      </w:r>
      <w:r w:rsidR="00A20DD8">
        <w:t>y sagaz</w:t>
      </w:r>
      <w:r w:rsidRPr="00AD6B1D">
        <w:rPr>
          <w:i/>
          <w:iCs/>
        </w:rPr>
        <w:t xml:space="preserve"> </w:t>
      </w:r>
      <w:proofErr w:type="spellStart"/>
      <w:r w:rsidRPr="00057BF4">
        <w:rPr>
          <w:i/>
          <w:iCs/>
        </w:rPr>
        <w:t>bhikkhu</w:t>
      </w:r>
      <w:proofErr w:type="spellEnd"/>
    </w:p>
    <w:p w14:paraId="41F233EC" w14:textId="1D941488" w:rsidR="00A20DD8" w:rsidRDefault="00AD6B1D" w:rsidP="00551BEC">
      <w:pPr>
        <w:pStyle w:val="VersoIngls01Sangria"/>
        <w:spacing w:after="100"/>
        <w:ind w:left="1418"/>
      </w:pPr>
      <w:r>
        <w:t xml:space="preserve">Logrará </w:t>
      </w:r>
      <w:r w:rsidR="00A20DD8">
        <w:t>desenredar este enredo”</w:t>
      </w:r>
      <w:r w:rsidR="00DF6534">
        <w:t xml:space="preserve"> </w:t>
      </w:r>
      <w:r w:rsidR="00A20DD8">
        <w:t>(S I 13).</w:t>
      </w:r>
    </w:p>
    <w:p w14:paraId="4800BACE" w14:textId="5623D3D0" w:rsidR="00A20DD8" w:rsidRDefault="00A20DD8" w:rsidP="00551BEC">
      <w:pPr>
        <w:pStyle w:val="NormalConSangria"/>
      </w:pPr>
      <w:r>
        <w:t xml:space="preserve">Esto se dijo. Pero ¿por qué se dijo? Mientras el </w:t>
      </w:r>
      <w:r w:rsidR="00AD6B1D" w:rsidRPr="00AD6B1D">
        <w:rPr>
          <w:i/>
          <w:iCs/>
        </w:rPr>
        <w:t>Bhagavā</w:t>
      </w:r>
      <w:r>
        <w:t xml:space="preserve"> </w:t>
      </w:r>
      <w:r w:rsidR="00AD6B1D">
        <w:t>residía</w:t>
      </w:r>
      <w:r>
        <w:t xml:space="preserve"> en </w:t>
      </w:r>
      <w:proofErr w:type="spellStart"/>
      <w:r>
        <w:t>Sāvatthī</w:t>
      </w:r>
      <w:proofErr w:type="spellEnd"/>
      <w:r>
        <w:t xml:space="preserve">, al parecer, </w:t>
      </w:r>
      <w:r w:rsidR="00AD6B1D">
        <w:t xml:space="preserve">a </w:t>
      </w:r>
      <w:r>
        <w:t xml:space="preserve">cierta deidad se le ocurrió </w:t>
      </w:r>
      <w:r w:rsidR="00AD6B1D">
        <w:t>esto durante</w:t>
      </w:r>
      <w:r>
        <w:t xml:space="preserve"> la noche y</w:t>
      </w:r>
      <w:r w:rsidR="00043F9F">
        <w:t>,</w:t>
      </w:r>
      <w:r>
        <w:t xml:space="preserve"> para eliminar </w:t>
      </w:r>
      <w:r w:rsidR="00AD6B1D">
        <w:t>toda</w:t>
      </w:r>
      <w:r>
        <w:t xml:space="preserve"> duda, hizo esta pregunta:</w:t>
      </w:r>
    </w:p>
    <w:p w14:paraId="5F0B5BAF" w14:textId="376C3D66" w:rsidR="00A20DD8" w:rsidRDefault="00A20DD8" w:rsidP="00551BEC">
      <w:pPr>
        <w:pStyle w:val="VersoIngls01Sangria"/>
      </w:pPr>
      <w:r>
        <w:t>“</w:t>
      </w:r>
      <w:r w:rsidR="00043F9F">
        <w:t xml:space="preserve">Bajo </w:t>
      </w:r>
      <w:r w:rsidR="00AD6B1D">
        <w:t xml:space="preserve">un </w:t>
      </w:r>
      <w:r>
        <w:t xml:space="preserve">enredo interno y </w:t>
      </w:r>
      <w:r w:rsidR="00AD6B1D">
        <w:t xml:space="preserve">otro </w:t>
      </w:r>
      <w:r>
        <w:t>exter</w:t>
      </w:r>
      <w:r w:rsidR="00AD6B1D">
        <w:t xml:space="preserve">no </w:t>
      </w:r>
      <w:r>
        <w:t>—</w:t>
      </w:r>
    </w:p>
    <w:p w14:paraId="51C92329" w14:textId="31CAB92A" w:rsidR="00A20DD8" w:rsidRDefault="00A20DD8" w:rsidP="00551BEC">
      <w:pPr>
        <w:pStyle w:val="VersoIngls01Sangria"/>
      </w:pPr>
      <w:r>
        <w:t xml:space="preserve">Esta generación está enredada en </w:t>
      </w:r>
      <w:r w:rsidR="00043F9F">
        <w:t>este</w:t>
      </w:r>
      <w:r>
        <w:t xml:space="preserve"> enredo.</w:t>
      </w:r>
    </w:p>
    <w:p w14:paraId="2C56CCE3" w14:textId="553198D6" w:rsidR="00A20DD8" w:rsidRDefault="00AD6B1D" w:rsidP="00551BEC">
      <w:pPr>
        <w:pStyle w:val="VersoIngls01Sangria"/>
      </w:pPr>
      <w:r>
        <w:t xml:space="preserve">Así es que </w:t>
      </w:r>
      <w:r w:rsidR="00A20DD8">
        <w:t xml:space="preserve">le </w:t>
      </w:r>
      <w:r>
        <w:t xml:space="preserve">preguntó </w:t>
      </w:r>
      <w:r w:rsidR="00A20DD8">
        <w:t xml:space="preserve">a </w:t>
      </w:r>
      <w:r w:rsidR="000718A2">
        <w:t xml:space="preserve">Gotama </w:t>
      </w:r>
      <w:r>
        <w:t xml:space="preserve">la siguiente </w:t>
      </w:r>
      <w:r w:rsidR="00A20DD8">
        <w:t>pregunta:</w:t>
      </w:r>
    </w:p>
    <w:p w14:paraId="18FEF702" w14:textId="78EE36BE" w:rsidR="00A20DD8" w:rsidRDefault="00A20DD8" w:rsidP="00867DCD">
      <w:pPr>
        <w:pStyle w:val="VersoIngls01Sangria"/>
        <w:spacing w:after="100"/>
        <w:ind w:left="1418"/>
      </w:pPr>
      <w:r>
        <w:t xml:space="preserve">¿Quién </w:t>
      </w:r>
      <w:r w:rsidR="00AD6B1D">
        <w:t xml:space="preserve">logrará </w:t>
      </w:r>
      <w:r>
        <w:t>desenredar este enredo? (S I 13).</w:t>
      </w:r>
    </w:p>
    <w:p w14:paraId="6BE14633" w14:textId="6D6EA590" w:rsidR="00A20DD8" w:rsidRDefault="00A20DD8" w:rsidP="00A20DD8">
      <w:r>
        <w:t xml:space="preserve">2. </w:t>
      </w:r>
      <w:r w:rsidR="00551BEC">
        <w:tab/>
      </w:r>
      <w:r>
        <w:t xml:space="preserve">Aquí está el </w:t>
      </w:r>
      <w:r w:rsidR="00AD6B1D">
        <w:t xml:space="preserve">resumen del </w:t>
      </w:r>
      <w:r>
        <w:t xml:space="preserve">significado. </w:t>
      </w:r>
      <w:r w:rsidR="00DF6534" w:rsidRPr="00DF6534">
        <w:rPr>
          <w:i/>
          <w:iCs/>
        </w:rPr>
        <w:t>Enredo</w:t>
      </w:r>
      <w:r w:rsidR="00DF6534" w:rsidRPr="00DF6534">
        <w:t xml:space="preserve"> </w:t>
      </w:r>
      <w:r>
        <w:t xml:space="preserve">es un término </w:t>
      </w:r>
      <w:r w:rsidR="00AD6B1D">
        <w:t xml:space="preserve">designado </w:t>
      </w:r>
      <w:r>
        <w:t xml:space="preserve">para la red de </w:t>
      </w:r>
      <w:r w:rsidR="00AD6B1D">
        <w:t xml:space="preserve">los </w:t>
      </w:r>
      <w:r w:rsidR="00AD6B1D" w:rsidRPr="00AD6B1D">
        <w:rPr>
          <w:i/>
          <w:iCs/>
        </w:rPr>
        <w:t>deseos</w:t>
      </w:r>
      <w:r>
        <w:t xml:space="preserve">. </w:t>
      </w:r>
      <w:r w:rsidR="00AD6B1D">
        <w:t>Ya que</w:t>
      </w:r>
      <w:r>
        <w:t xml:space="preserve"> </w:t>
      </w:r>
      <w:r w:rsidR="00AD6B1D">
        <w:t>se trata de</w:t>
      </w:r>
      <w:r>
        <w:t xml:space="preserve"> un enredo en el sentido de</w:t>
      </w:r>
      <w:r w:rsidR="00AD6B1D">
        <w:t xml:space="preserve"> entrelazarse mutuamente</w:t>
      </w:r>
      <w:r>
        <w:t xml:space="preserve">, como </w:t>
      </w:r>
      <w:r w:rsidR="00AD6B1D">
        <w:t>e</w:t>
      </w:r>
      <w:r>
        <w:t xml:space="preserve">l enredo </w:t>
      </w:r>
      <w:r w:rsidR="00AD6B1D">
        <w:t>de la conocida</w:t>
      </w:r>
      <w:r>
        <w:t xml:space="preserve"> red de ramas </w:t>
      </w:r>
      <w:r w:rsidR="00AD6B1D">
        <w:t>en</w:t>
      </w:r>
      <w:r>
        <w:t xml:space="preserve"> </w:t>
      </w:r>
      <w:r w:rsidR="00AD6B1D">
        <w:t xml:space="preserve">los </w:t>
      </w:r>
      <w:r>
        <w:t xml:space="preserve">matorrales de bambú, etc., </w:t>
      </w:r>
      <w:r w:rsidR="00AD6B1D">
        <w:t xml:space="preserve">ya </w:t>
      </w:r>
      <w:r>
        <w:t>que continúa surgiendo una y otra vez</w:t>
      </w:r>
      <w:r w:rsidR="00AD6B1D">
        <w:t>,</w:t>
      </w:r>
      <w:r>
        <w:t xml:space="preserve"> </w:t>
      </w:r>
      <w:r w:rsidR="00AD6B1D">
        <w:t>de</w:t>
      </w:r>
      <w:r w:rsidR="0040393F">
        <w:t>sde</w:t>
      </w:r>
      <w:r>
        <w:t xml:space="preserve"> </w:t>
      </w:r>
      <w:r w:rsidR="0040393F">
        <w:t>lo superior</w:t>
      </w:r>
      <w:r>
        <w:t xml:space="preserve"> hacia </w:t>
      </w:r>
      <w:r w:rsidR="0040393F">
        <w:t>lo inferior,</w:t>
      </w:r>
      <w:r w:rsidRPr="00A418C9">
        <w:rPr>
          <w:vertAlign w:val="superscript"/>
        </w:rPr>
        <w:t>1</w:t>
      </w:r>
      <w:r>
        <w:t xml:space="preserve"> entre los objetos de la con</w:t>
      </w:r>
      <w:r w:rsidR="00AD6B1D">
        <w:t>s</w:t>
      </w:r>
      <w:r>
        <w:t>ciencia que comienza</w:t>
      </w:r>
      <w:r w:rsidR="009D20BF">
        <w:t>n</w:t>
      </w:r>
      <w:r>
        <w:t xml:space="preserve"> con lo que </w:t>
      </w:r>
      <w:r w:rsidR="009D20BF">
        <w:t>sea</w:t>
      </w:r>
      <w:r>
        <w:t xml:space="preserve"> visible. </w:t>
      </w:r>
      <w:r w:rsidR="00AD6B1D">
        <w:t>No obstante,</w:t>
      </w:r>
      <w:r>
        <w:t xml:space="preserve"> se llama </w:t>
      </w:r>
      <w:r w:rsidRPr="00DF6534">
        <w:rPr>
          <w:i/>
          <w:iCs/>
        </w:rPr>
        <w:t>enredo interno y enredo externo</w:t>
      </w:r>
      <w:r>
        <w:t xml:space="preserve"> porque surge [como </w:t>
      </w:r>
      <w:r w:rsidR="00AD6B1D">
        <w:t>deseo</w:t>
      </w:r>
      <w:r>
        <w:t xml:space="preserve">] para los propios requisitos </w:t>
      </w:r>
      <w:r w:rsidR="00AD6B1D">
        <w:t xml:space="preserve">personales </w:t>
      </w:r>
      <w:r>
        <w:t xml:space="preserve">y </w:t>
      </w:r>
      <w:r w:rsidR="00AD6B1D">
        <w:t xml:space="preserve">los </w:t>
      </w:r>
      <w:r>
        <w:t>de otro</w:t>
      </w:r>
      <w:r w:rsidR="00AD6B1D">
        <w:t>s</w:t>
      </w:r>
      <w:r w:rsidR="00760C5F">
        <w:t xml:space="preserve"> seres</w:t>
      </w:r>
      <w:r>
        <w:t xml:space="preserve">, para la propia persona y </w:t>
      </w:r>
      <w:r w:rsidR="00AD6B1D">
        <w:t xml:space="preserve">para </w:t>
      </w:r>
      <w:r>
        <w:t>otra</w:t>
      </w:r>
      <w:r w:rsidR="00AD6B1D">
        <w:t>s</w:t>
      </w:r>
      <w:r>
        <w:t xml:space="preserve">, y para las bases internas y </w:t>
      </w:r>
      <w:r w:rsidR="00AD6B1D">
        <w:t xml:space="preserve">las </w:t>
      </w:r>
      <w:r>
        <w:t>externas [</w:t>
      </w:r>
      <w:r w:rsidR="00AD6B1D">
        <w:t>de</w:t>
      </w:r>
      <w:r>
        <w:t xml:space="preserve"> la con</w:t>
      </w:r>
      <w:r w:rsidR="00AD6B1D">
        <w:t>s</w:t>
      </w:r>
      <w:r>
        <w:t xml:space="preserve">ciencia]. Como surge de esta manera, </w:t>
      </w:r>
      <w:r w:rsidRPr="00DF6534">
        <w:rPr>
          <w:i/>
          <w:iCs/>
        </w:rPr>
        <w:t xml:space="preserve">esta generación está enredada en </w:t>
      </w:r>
      <w:r w:rsidR="009D20BF">
        <w:rPr>
          <w:i/>
          <w:iCs/>
        </w:rPr>
        <w:t>este</w:t>
      </w:r>
      <w:r w:rsidRPr="00DF6534">
        <w:rPr>
          <w:i/>
          <w:iCs/>
        </w:rPr>
        <w:t xml:space="preserve"> enredo</w:t>
      </w:r>
      <w:r>
        <w:t>. Como los bambúes, etc., están enredados por l</w:t>
      </w:r>
      <w:r w:rsidR="00AD6B1D">
        <w:t>as</w:t>
      </w:r>
      <w:r>
        <w:t xml:space="preserve"> enred</w:t>
      </w:r>
      <w:r w:rsidR="00AD6B1D">
        <w:t>aderas</w:t>
      </w:r>
      <w:r>
        <w:t xml:space="preserve"> de</w:t>
      </w:r>
      <w:r w:rsidR="00AD6B1D">
        <w:t>l</w:t>
      </w:r>
      <w:r>
        <w:t xml:space="preserve"> bambú, etc., así también esta generación, en otras palabras, este orden de seres </w:t>
      </w:r>
      <w:r w:rsidR="00AD6B1D">
        <w:t>vivos</w:t>
      </w:r>
      <w:r>
        <w:t xml:space="preserve"> está enredado </w:t>
      </w:r>
      <w:r w:rsidR="009D20BF">
        <w:t xml:space="preserve">en </w:t>
      </w:r>
      <w:r>
        <w:t>la maraña d</w:t>
      </w:r>
      <w:r w:rsidR="00AD6B1D">
        <w:t>el deseo ―</w:t>
      </w:r>
      <w:r>
        <w:t xml:space="preserve"> el significado es que está entrelazado, </w:t>
      </w:r>
      <w:r w:rsidR="00AD6B1D">
        <w:t>entretejido</w:t>
      </w:r>
      <w:r>
        <w:t xml:space="preserve"> por e</w:t>
      </w:r>
      <w:r w:rsidR="00AD6B1D">
        <w:t>sta maraña</w:t>
      </w:r>
      <w:r>
        <w:t xml:space="preserve">. [2] Y </w:t>
      </w:r>
      <w:r w:rsidR="00AD6B1D">
        <w:t>como</w:t>
      </w:r>
      <w:r>
        <w:t xml:space="preserve"> está enredad</w:t>
      </w:r>
      <w:r w:rsidR="00AD6B1D">
        <w:t>o</w:t>
      </w:r>
      <w:r>
        <w:t xml:space="preserve"> de esta manera, </w:t>
      </w:r>
      <w:r w:rsidRPr="00AD6B1D">
        <w:rPr>
          <w:i/>
          <w:iCs/>
        </w:rPr>
        <w:t>así</w:t>
      </w:r>
      <w:r>
        <w:t xml:space="preserve"> </w:t>
      </w:r>
      <w:r w:rsidR="00AD6B1D">
        <w:t xml:space="preserve">es </w:t>
      </w:r>
      <w:r w:rsidRPr="00DF6534">
        <w:rPr>
          <w:i/>
          <w:iCs/>
        </w:rPr>
        <w:t xml:space="preserve">que le </w:t>
      </w:r>
      <w:r w:rsidR="00DF6534">
        <w:rPr>
          <w:i/>
          <w:iCs/>
        </w:rPr>
        <w:t>pregunto</w:t>
      </w:r>
      <w:r w:rsidRPr="00DF6534">
        <w:rPr>
          <w:i/>
          <w:iCs/>
        </w:rPr>
        <w:t xml:space="preserve"> a Gotama</w:t>
      </w:r>
      <w:r>
        <w:t xml:space="preserve"> </w:t>
      </w:r>
      <w:r w:rsidRPr="00DF6534">
        <w:rPr>
          <w:i/>
          <w:iCs/>
        </w:rPr>
        <w:t>esta pregunta</w:t>
      </w:r>
      <w:r>
        <w:t xml:space="preserve">, </w:t>
      </w:r>
      <w:r w:rsidR="00AD6B1D">
        <w:t xml:space="preserve">es </w:t>
      </w:r>
      <w:r>
        <w:t xml:space="preserve">por eso </w:t>
      </w:r>
      <w:proofErr w:type="gramStart"/>
      <w:r w:rsidR="00AD6B1D">
        <w:t>que</w:t>
      </w:r>
      <w:proofErr w:type="gramEnd"/>
      <w:r>
        <w:t xml:space="preserve"> pregunto esto. Se dirigió al </w:t>
      </w:r>
      <w:r w:rsidR="00AD6B1D">
        <w:rPr>
          <w:i/>
          <w:iCs/>
        </w:rPr>
        <w:t xml:space="preserve">Bhagavā </w:t>
      </w:r>
      <w:r>
        <w:t>por su nombre de clan</w:t>
      </w:r>
      <w:r w:rsidR="00A254E9">
        <w:t>,</w:t>
      </w:r>
      <w:r>
        <w:t xml:space="preserve"> </w:t>
      </w:r>
      <w:r w:rsidRPr="00C336FE">
        <w:t>Gotama</w:t>
      </w:r>
      <w:r>
        <w:t xml:space="preserve">. </w:t>
      </w:r>
    </w:p>
    <w:p w14:paraId="3C4F0624" w14:textId="29BAB8A7" w:rsidR="00A20DD8" w:rsidRPr="00F73D73" w:rsidRDefault="00A20DD8" w:rsidP="00A20DD8">
      <w:pPr>
        <w:pStyle w:val="PiedepginaLegal"/>
        <w:rPr>
          <w:u w:val="single"/>
        </w:rPr>
      </w:pPr>
      <w:r w:rsidRPr="00F73D73">
        <w:rPr>
          <w:u w:val="single"/>
        </w:rPr>
        <w:t xml:space="preserve">                                                                                                                           .</w:t>
      </w:r>
    </w:p>
    <w:p w14:paraId="37D63BC9" w14:textId="6109917A" w:rsidR="00000F1F" w:rsidRDefault="00A20DD8" w:rsidP="00A20DD8">
      <w:pPr>
        <w:pStyle w:val="PiedepginaLegal"/>
      </w:pPr>
      <w:r>
        <w:t xml:space="preserve">1. </w:t>
      </w:r>
      <w:r w:rsidR="00867DCD">
        <w:tab/>
      </w:r>
      <w:r>
        <w:t xml:space="preserve">“Desde un </w:t>
      </w:r>
      <w:r w:rsidR="00AD6B1D">
        <w:t>objeto</w:t>
      </w:r>
      <w:r>
        <w:t xml:space="preserve"> visible tan </w:t>
      </w:r>
      <w:r w:rsidR="00AD6B1D">
        <w:t>inferior</w:t>
      </w:r>
      <w:r>
        <w:t xml:space="preserve"> </w:t>
      </w:r>
      <w:r w:rsidR="00AD6B1D">
        <w:t xml:space="preserve">a veces </w:t>
      </w:r>
      <w:r>
        <w:t xml:space="preserve">como </w:t>
      </w:r>
      <w:r w:rsidR="00024C99">
        <w:t xml:space="preserve">hasta </w:t>
      </w:r>
      <w:r>
        <w:t xml:space="preserve">un </w:t>
      </w:r>
      <w:r w:rsidR="00AD6B1D">
        <w:t>objeto</w:t>
      </w:r>
      <w:r>
        <w:t xml:space="preserve"> mental, o viceversa, siguiendo el orden de los seis tipos de objetos de </w:t>
      </w:r>
      <w:r w:rsidR="00BC019E">
        <w:t xml:space="preserve">la </w:t>
      </w:r>
      <w:r>
        <w:t>con</w:t>
      </w:r>
      <w:r w:rsidR="00AD6B1D">
        <w:t>s</w:t>
      </w:r>
      <w:r>
        <w:t>ciencia como se dan en la enseñanza" (VISM-MHÞ 5, ver XV.32).</w:t>
      </w:r>
    </w:p>
    <w:p w14:paraId="3B65CE7A" w14:textId="77777777" w:rsidR="00686539" w:rsidRDefault="00686539" w:rsidP="00B93D01">
      <w:pPr>
        <w:pStyle w:val="Ttulo4"/>
      </w:pPr>
      <w:r>
        <w:br w:type="page"/>
      </w:r>
    </w:p>
    <w:p w14:paraId="1D717AFF" w14:textId="401CA585" w:rsidR="00686539" w:rsidRDefault="00DF6534" w:rsidP="00686539">
      <w:r w:rsidRPr="00DF6534">
        <w:rPr>
          <w:i/>
          <w:iCs/>
        </w:rPr>
        <w:lastRenderedPageBreak/>
        <w:t xml:space="preserve">Quien </w:t>
      </w:r>
      <w:r w:rsidR="00AD6B1D">
        <w:rPr>
          <w:i/>
          <w:iCs/>
        </w:rPr>
        <w:t>logrará</w:t>
      </w:r>
      <w:r w:rsidRPr="00DF6534">
        <w:rPr>
          <w:i/>
          <w:iCs/>
        </w:rPr>
        <w:t xml:space="preserve"> desenredar e</w:t>
      </w:r>
      <w:r w:rsidR="00686539" w:rsidRPr="00DF6534">
        <w:rPr>
          <w:i/>
          <w:iCs/>
        </w:rPr>
        <w:t>ste</w:t>
      </w:r>
      <w:r w:rsidR="00686539">
        <w:t xml:space="preserve"> </w:t>
      </w:r>
      <w:r w:rsidR="00686539" w:rsidRPr="00686539">
        <w:rPr>
          <w:i/>
          <w:iCs/>
        </w:rPr>
        <w:t>enredo</w:t>
      </w:r>
      <w:r w:rsidR="00686539">
        <w:t xml:space="preserve">: ¿Quién puede desenredar este enredo que mantiene </w:t>
      </w:r>
      <w:r w:rsidR="00AD6B1D">
        <w:t xml:space="preserve">a </w:t>
      </w:r>
      <w:r w:rsidR="00686539">
        <w:t xml:space="preserve">los tres tipos de existencia </w:t>
      </w:r>
      <w:r w:rsidR="00AD6B1D">
        <w:t xml:space="preserve">en </w:t>
      </w:r>
      <w:r w:rsidR="00686539">
        <w:t xml:space="preserve">enredos </w:t>
      </w:r>
      <w:r w:rsidR="00AD6B1D">
        <w:t>semejantes</w:t>
      </w:r>
      <w:r w:rsidR="00686539">
        <w:t xml:space="preserve">? — Lo que </w:t>
      </w:r>
      <w:r w:rsidR="00760C5F">
        <w:t xml:space="preserve">se </w:t>
      </w:r>
      <w:r w:rsidR="00686539">
        <w:t xml:space="preserve">pregunta es, ¿quién </w:t>
      </w:r>
      <w:r w:rsidR="00AD6B1D">
        <w:t>será</w:t>
      </w:r>
      <w:r w:rsidR="00686539">
        <w:t xml:space="preserve"> capaz de desenredarlo?</w:t>
      </w:r>
    </w:p>
    <w:p w14:paraId="76CA5274" w14:textId="2F3A2DA3" w:rsidR="00686539" w:rsidRDefault="00686539" w:rsidP="00686539">
      <w:r>
        <w:t xml:space="preserve">3. </w:t>
      </w:r>
      <w:r w:rsidR="00760C5F">
        <w:tab/>
      </w:r>
      <w:r>
        <w:t xml:space="preserve">Sin embargo, cuando se </w:t>
      </w:r>
      <w:r w:rsidR="009D20BF">
        <w:t>pregunta</w:t>
      </w:r>
      <w:r>
        <w:t xml:space="preserve"> así, el </w:t>
      </w:r>
      <w:r w:rsidR="00AD6B1D">
        <w:rPr>
          <w:i/>
          <w:iCs/>
        </w:rPr>
        <w:t>Bhagavā</w:t>
      </w:r>
      <w:r>
        <w:t xml:space="preserve">, cuyo conocimiento </w:t>
      </w:r>
      <w:r w:rsidR="00AD6B1D">
        <w:t>sobre</w:t>
      </w:r>
      <w:r>
        <w:t xml:space="preserve"> todas las cosas no tiene obstáculos, </w:t>
      </w:r>
      <w:r w:rsidR="00AD6B1D">
        <w:t xml:space="preserve">quien es la </w:t>
      </w:r>
      <w:r>
        <w:t>deidad de deidades, sobresalie</w:t>
      </w:r>
      <w:r w:rsidR="00AD6B1D">
        <w:t>nte</w:t>
      </w:r>
      <w:r>
        <w:t xml:space="preserve"> </w:t>
      </w:r>
      <w:r w:rsidR="009D20BF">
        <w:t xml:space="preserve">con </w:t>
      </w:r>
      <w:r w:rsidR="00AD6B1D">
        <w:t xml:space="preserve">respecto </w:t>
      </w:r>
      <w:r>
        <w:t xml:space="preserve">a </w:t>
      </w:r>
      <w:r w:rsidRPr="00693547">
        <w:rPr>
          <w:i/>
          <w:iCs/>
        </w:rPr>
        <w:t>Sakka</w:t>
      </w:r>
      <w:r>
        <w:t xml:space="preserve"> (gobernante de </w:t>
      </w:r>
      <w:r w:rsidR="00AD6B1D">
        <w:t xml:space="preserve">los </w:t>
      </w:r>
      <w:r>
        <w:t>dioses), sobresalie</w:t>
      </w:r>
      <w:r w:rsidR="00AD6B1D">
        <w:t xml:space="preserve">nte </w:t>
      </w:r>
      <w:r w:rsidR="009D20BF">
        <w:t xml:space="preserve">con </w:t>
      </w:r>
      <w:r w:rsidR="00AD6B1D">
        <w:t>respecto a</w:t>
      </w:r>
      <w:r>
        <w:t xml:space="preserve"> </w:t>
      </w:r>
      <w:r w:rsidR="00057BF4" w:rsidRPr="00057BF4">
        <w:rPr>
          <w:i/>
        </w:rPr>
        <w:t>Brahmā</w:t>
      </w:r>
      <w:r>
        <w:t xml:space="preserve">, </w:t>
      </w:r>
      <w:r w:rsidR="00AD6B1D">
        <w:t>intrépido</w:t>
      </w:r>
      <w:r>
        <w:t xml:space="preserve"> en </w:t>
      </w:r>
      <w:r w:rsidR="00AD6B1D">
        <w:t xml:space="preserve">la </w:t>
      </w:r>
      <w:r>
        <w:t>posesión de los cuatro tipos de confianza perfecta, portador de</w:t>
      </w:r>
      <w:r w:rsidR="00AD6B1D">
        <w:t xml:space="preserve"> </w:t>
      </w:r>
      <w:r>
        <w:t>l</w:t>
      </w:r>
      <w:r w:rsidR="00AD6B1D">
        <w:t>os</w:t>
      </w:r>
      <w:r>
        <w:t xml:space="preserve"> </w:t>
      </w:r>
      <w:r w:rsidR="00AD6B1D">
        <w:t xml:space="preserve">diez </w:t>
      </w:r>
      <w:r>
        <w:t xml:space="preserve">poderes, </w:t>
      </w:r>
      <w:r w:rsidR="00AD6B1D">
        <w:t>visionario de todo</w:t>
      </w:r>
      <w:r>
        <w:t xml:space="preserve"> conocimiento sin obstáculos, pronunci</w:t>
      </w:r>
      <w:r w:rsidR="00AD6B1D">
        <w:t>ó</w:t>
      </w:r>
      <w:r>
        <w:t xml:space="preserve"> esta estrofa en respuesta </w:t>
      </w:r>
      <w:r w:rsidR="00AD6B1D">
        <w:t>a la</w:t>
      </w:r>
      <w:r>
        <w:t xml:space="preserve"> explica</w:t>
      </w:r>
      <w:r w:rsidR="00AD6B1D">
        <w:t>ción</w:t>
      </w:r>
      <w:r>
        <w:t xml:space="preserve"> </w:t>
      </w:r>
      <w:r w:rsidR="00AD6B1D">
        <w:t>d</w:t>
      </w:r>
      <w:r>
        <w:t>el significado:</w:t>
      </w:r>
    </w:p>
    <w:p w14:paraId="4ACA2779" w14:textId="51BD6ADA" w:rsidR="00686539" w:rsidRDefault="00686539" w:rsidP="00686539">
      <w:pPr>
        <w:pStyle w:val="VersoIngls01Sangria"/>
      </w:pPr>
      <w:r>
        <w:t xml:space="preserve">“Cuando un hombre sabio, </w:t>
      </w:r>
      <w:r w:rsidR="00AD6B1D">
        <w:t xml:space="preserve">bien </w:t>
      </w:r>
      <w:r>
        <w:t xml:space="preserve">establecido en </w:t>
      </w:r>
      <w:r w:rsidR="00AD6B1D">
        <w:t xml:space="preserve">la </w:t>
      </w:r>
      <w:r>
        <w:t>virtud,</w:t>
      </w:r>
    </w:p>
    <w:p w14:paraId="48592632" w14:textId="36B0D82C" w:rsidR="00686539" w:rsidRDefault="00686539" w:rsidP="00686539">
      <w:pPr>
        <w:pStyle w:val="VersoIngls01Sangria"/>
      </w:pPr>
      <w:r>
        <w:t>Desarroll</w:t>
      </w:r>
      <w:r w:rsidR="00AD6B1D">
        <w:t>e</w:t>
      </w:r>
      <w:r>
        <w:t xml:space="preserve"> con</w:t>
      </w:r>
      <w:r w:rsidR="00AD6B1D">
        <w:t>s</w:t>
      </w:r>
      <w:r>
        <w:t xml:space="preserve">ciencia y </w:t>
      </w:r>
      <w:r w:rsidR="00AD6B1D">
        <w:t>sabiduría</w:t>
      </w:r>
      <w:r>
        <w:t>,</w:t>
      </w:r>
    </w:p>
    <w:p w14:paraId="1F1B32D1" w14:textId="7BA9F4CA" w:rsidR="00686539" w:rsidRDefault="00686539" w:rsidP="00686539">
      <w:pPr>
        <w:pStyle w:val="VersoIngls01Sangria"/>
      </w:pPr>
      <w:r>
        <w:t>Luego</w:t>
      </w:r>
      <w:r w:rsidR="00281866">
        <w:t>,</w:t>
      </w:r>
      <w:r>
        <w:t xml:space="preserve"> </w:t>
      </w:r>
      <w:r w:rsidR="009D20BF">
        <w:t xml:space="preserve">al igual que </w:t>
      </w:r>
      <w:r>
        <w:t xml:space="preserve">un </w:t>
      </w:r>
      <w:proofErr w:type="spellStart"/>
      <w:r w:rsidR="00281866" w:rsidRPr="00057BF4">
        <w:rPr>
          <w:i/>
          <w:iCs/>
        </w:rPr>
        <w:t>bhikkhu</w:t>
      </w:r>
      <w:proofErr w:type="spellEnd"/>
      <w:r w:rsidR="00281866">
        <w:t xml:space="preserve"> </w:t>
      </w:r>
      <w:r w:rsidR="001D4633">
        <w:t>ardiente</w:t>
      </w:r>
      <w:r w:rsidR="00AD6B1D">
        <w:t xml:space="preserve"> </w:t>
      </w:r>
      <w:r>
        <w:t>y sagaz</w:t>
      </w:r>
      <w:r w:rsidR="00AD6B1D" w:rsidRPr="00AD6B1D">
        <w:rPr>
          <w:i/>
          <w:iCs/>
        </w:rPr>
        <w:t xml:space="preserve"> </w:t>
      </w:r>
    </w:p>
    <w:p w14:paraId="71794FEB" w14:textId="6AA3A877" w:rsidR="00686539" w:rsidRDefault="00AD6B1D" w:rsidP="00686539">
      <w:pPr>
        <w:pStyle w:val="VersoIngls01Sangria"/>
        <w:spacing w:after="100"/>
        <w:ind w:left="1418"/>
      </w:pPr>
      <w:r>
        <w:t xml:space="preserve">Logrará </w:t>
      </w:r>
      <w:r w:rsidR="00686539">
        <w:t>desenredar este enredo".</w:t>
      </w:r>
    </w:p>
    <w:p w14:paraId="3A32544B" w14:textId="72319D57" w:rsidR="00686539" w:rsidRDefault="00686539" w:rsidP="00686539">
      <w:pPr>
        <w:pStyle w:val="VersoIngls01Sangria"/>
        <w:ind w:hanging="1416"/>
      </w:pPr>
      <w:r>
        <w:t xml:space="preserve">4. </w:t>
      </w:r>
      <w:r>
        <w:tab/>
      </w:r>
      <w:r>
        <w:tab/>
        <w:t>Mi tarea ahora es establecer el verdadero sentido</w:t>
      </w:r>
      <w:r w:rsidR="00AD6B1D">
        <w:t xml:space="preserve"> al respecto</w:t>
      </w:r>
      <w:r>
        <w:t>,</w:t>
      </w:r>
    </w:p>
    <w:p w14:paraId="37D8989D" w14:textId="2D826E7A" w:rsidR="00686539" w:rsidRDefault="00AD6B1D" w:rsidP="00686539">
      <w:pPr>
        <w:pStyle w:val="VersoIngls01Sangria"/>
      </w:pPr>
      <w:r>
        <w:t>Comprendido por</w:t>
      </w:r>
      <w:r w:rsidR="00686539">
        <w:t xml:space="preserve"> </w:t>
      </w:r>
      <w:r>
        <w:t xml:space="preserve">la </w:t>
      </w:r>
      <w:r w:rsidR="00686539">
        <w:t xml:space="preserve">virtud y </w:t>
      </w:r>
      <w:r w:rsidR="009D20BF">
        <w:t>lo restante</w:t>
      </w:r>
      <w:r w:rsidR="00686539">
        <w:t>,</w:t>
      </w:r>
    </w:p>
    <w:p w14:paraId="77E8CCE4" w14:textId="17CF26A2" w:rsidR="00686539" w:rsidRDefault="00603418" w:rsidP="00686539">
      <w:pPr>
        <w:pStyle w:val="VersoIngls01Sangria"/>
      </w:pPr>
      <w:r>
        <w:t>Y a partir de este mismo verso c</w:t>
      </w:r>
      <w:r w:rsidR="00AD6B1D">
        <w:t>ompuesto por el Gran Sabio</w:t>
      </w:r>
      <w:r w:rsidR="00686539">
        <w:t xml:space="preserve">. </w:t>
      </w:r>
    </w:p>
    <w:p w14:paraId="0B6390EF" w14:textId="540F0DC5" w:rsidR="00686539" w:rsidRDefault="00AD6B1D" w:rsidP="00686539">
      <w:pPr>
        <w:pStyle w:val="VersoIngls01Sangria"/>
      </w:pPr>
      <w:r>
        <w:t>Aquí</w:t>
      </w:r>
      <w:r w:rsidR="00AC4DC9">
        <w:t>,</w:t>
      </w:r>
      <w:r w:rsidRPr="00AD6B1D">
        <w:t xml:space="preserve"> </w:t>
      </w:r>
      <w:r>
        <w:t xml:space="preserve">existen en </w:t>
      </w:r>
      <w:r w:rsidR="00686539">
        <w:t xml:space="preserve">la </w:t>
      </w:r>
      <w:r>
        <w:t xml:space="preserve">Dispensación </w:t>
      </w:r>
      <w:r w:rsidR="00686539">
        <w:t xml:space="preserve">del </w:t>
      </w:r>
      <w:r>
        <w:t>Vencedor</w:t>
      </w:r>
      <w:r w:rsidRPr="00AD6B1D">
        <w:t xml:space="preserve"> </w:t>
      </w:r>
    </w:p>
    <w:p w14:paraId="05BBE8C2" w14:textId="203820E4" w:rsidR="00686539" w:rsidRDefault="00AD6B1D" w:rsidP="00686539">
      <w:pPr>
        <w:pStyle w:val="VersoIngls01Sangria"/>
      </w:pPr>
      <w:r>
        <w:t>Exploradores que renunciaron a la vida de hogar por una sin hogar</w:t>
      </w:r>
      <w:r w:rsidR="00686539">
        <w:t>,</w:t>
      </w:r>
    </w:p>
    <w:p w14:paraId="14DD1C57" w14:textId="1CC854A9" w:rsidR="00686539" w:rsidRDefault="00686539" w:rsidP="00686539">
      <w:pPr>
        <w:pStyle w:val="VersoIngls01Sangria"/>
      </w:pPr>
      <w:r>
        <w:t>Y quien</w:t>
      </w:r>
      <w:r w:rsidR="00AD6B1D">
        <w:t>es</w:t>
      </w:r>
      <w:r>
        <w:t xml:space="preserve">, aunque </w:t>
      </w:r>
      <w:r w:rsidR="00AD6B1D">
        <w:t>anhelen la</w:t>
      </w:r>
      <w:r>
        <w:t xml:space="preserve"> pureza</w:t>
      </w:r>
    </w:p>
    <w:p w14:paraId="0195027C" w14:textId="56E3CDD9" w:rsidR="00686539" w:rsidRDefault="00686539" w:rsidP="00686539">
      <w:pPr>
        <w:pStyle w:val="VersoIngls01Sangria"/>
      </w:pPr>
      <w:r>
        <w:t xml:space="preserve">No </w:t>
      </w:r>
      <w:r w:rsidR="00AD6B1D">
        <w:t>poseen</w:t>
      </w:r>
      <w:r>
        <w:t xml:space="preserve"> el conocimiento correcto de</w:t>
      </w:r>
      <w:r w:rsidR="00AD6B1D">
        <w:t>l sendero de la renunciación</w:t>
      </w:r>
    </w:p>
    <w:p w14:paraId="4C8D1075" w14:textId="41CB6D62" w:rsidR="00686539" w:rsidRDefault="00AD6B1D" w:rsidP="00686539">
      <w:pPr>
        <w:pStyle w:val="VersoIngls01Sangria"/>
      </w:pPr>
      <w:r>
        <w:t>Comprendido</w:t>
      </w:r>
      <w:r w:rsidR="00686539">
        <w:t xml:space="preserve"> por la virtud y los otros dos,</w:t>
      </w:r>
    </w:p>
    <w:p w14:paraId="5ABD484C" w14:textId="71D73B1E" w:rsidR="00686539" w:rsidRDefault="00AD6B1D" w:rsidP="00686539">
      <w:pPr>
        <w:pStyle w:val="VersoIngls01Sangria"/>
      </w:pPr>
      <w:r>
        <w:t>Bien</w:t>
      </w:r>
      <w:r w:rsidR="00686539">
        <w:t xml:space="preserve"> difícil de encontrar, </w:t>
      </w:r>
      <w:r>
        <w:t xml:space="preserve">es aquello que </w:t>
      </w:r>
      <w:r w:rsidR="00686539">
        <w:t>condu</w:t>
      </w:r>
      <w:r>
        <w:t>zca</w:t>
      </w:r>
      <w:r w:rsidR="00686539">
        <w:t xml:space="preserve"> </w:t>
      </w:r>
      <w:r>
        <w:t>hacia</w:t>
      </w:r>
      <w:r w:rsidR="00686539">
        <w:t xml:space="preserve"> la pureza</w:t>
      </w:r>
      <w:r>
        <w:t xml:space="preserve"> ―</w:t>
      </w:r>
    </w:p>
    <w:p w14:paraId="2A8B7137" w14:textId="2E8E09F5" w:rsidR="00686539" w:rsidRDefault="00AD6B1D" w:rsidP="00686539">
      <w:pPr>
        <w:pStyle w:val="VersoIngls01Sangria"/>
      </w:pPr>
      <w:r>
        <w:t>A aquellos</w:t>
      </w:r>
      <w:r w:rsidR="00686539">
        <w:t xml:space="preserve"> </w:t>
      </w:r>
      <w:r>
        <w:t>que</w:t>
      </w:r>
      <w:r w:rsidR="00603418">
        <w:t>,</w:t>
      </w:r>
      <w:r>
        <w:t xml:space="preserve"> </w:t>
      </w:r>
      <w:r w:rsidR="00686539">
        <w:t>aunque se esfuer</w:t>
      </w:r>
      <w:r w:rsidR="00360A96">
        <w:t>ce</w:t>
      </w:r>
      <w:r w:rsidR="00686539">
        <w:t xml:space="preserve">n, no </w:t>
      </w:r>
      <w:r>
        <w:t>encuentr</w:t>
      </w:r>
      <w:r w:rsidR="00360A96">
        <w:t>e</w:t>
      </w:r>
      <w:r>
        <w:t xml:space="preserve">n aquí </w:t>
      </w:r>
      <w:r w:rsidR="00686539">
        <w:t>pureza.</w:t>
      </w:r>
    </w:p>
    <w:p w14:paraId="42830A25" w14:textId="32E2EB6B" w:rsidR="00686539" w:rsidRDefault="00686539" w:rsidP="00686539">
      <w:pPr>
        <w:pStyle w:val="VersoIngls01Sangria"/>
      </w:pPr>
      <w:r>
        <w:t xml:space="preserve">A ellos </w:t>
      </w:r>
      <w:r w:rsidR="00AD6B1D">
        <w:t xml:space="preserve">les </w:t>
      </w:r>
      <w:r>
        <w:t>expondré el reconfortante</w:t>
      </w:r>
      <w:r w:rsidR="00AD6B1D" w:rsidRPr="00AD6B1D">
        <w:rPr>
          <w:i/>
          <w:iCs/>
        </w:rPr>
        <w:t xml:space="preserve"> Sendero</w:t>
      </w:r>
    </w:p>
    <w:p w14:paraId="38290C00" w14:textId="33D5E29E" w:rsidR="00686539" w:rsidRDefault="00686539" w:rsidP="00686539">
      <w:pPr>
        <w:pStyle w:val="VersoIngls01Sangria"/>
      </w:pPr>
      <w:r w:rsidRPr="00360A96">
        <w:rPr>
          <w:i/>
          <w:iCs/>
        </w:rPr>
        <w:t xml:space="preserve">De </w:t>
      </w:r>
      <w:r w:rsidR="00AD6B1D" w:rsidRPr="00360A96">
        <w:rPr>
          <w:i/>
          <w:iCs/>
        </w:rPr>
        <w:t>la</w:t>
      </w:r>
      <w:r w:rsidR="00AD6B1D">
        <w:t xml:space="preserve"> </w:t>
      </w:r>
      <w:r w:rsidR="00AD6B1D" w:rsidRPr="00AD6B1D">
        <w:rPr>
          <w:i/>
          <w:iCs/>
        </w:rPr>
        <w:t>Purificación</w:t>
      </w:r>
      <w:r>
        <w:t xml:space="preserve">, puro en </w:t>
      </w:r>
      <w:r w:rsidR="00AD6B1D">
        <w:t xml:space="preserve">su </w:t>
      </w:r>
      <w:r>
        <w:t>exposici</w:t>
      </w:r>
      <w:r w:rsidR="00AD6B1D">
        <w:t>ó</w:t>
      </w:r>
      <w:r>
        <w:t>n,</w:t>
      </w:r>
    </w:p>
    <w:p w14:paraId="19BE3EAF" w14:textId="65F72B26" w:rsidR="00686539" w:rsidRDefault="00AD6B1D" w:rsidP="00686539">
      <w:pPr>
        <w:pStyle w:val="VersoIngls01Sangria"/>
      </w:pPr>
      <w:r>
        <w:t>Yacido</w:t>
      </w:r>
      <w:r w:rsidR="00686539">
        <w:t xml:space="preserve"> </w:t>
      </w:r>
      <w:r>
        <w:t>sobre</w:t>
      </w:r>
      <w:r w:rsidR="00686539">
        <w:t xml:space="preserve"> la enseñanza de los habitantes</w:t>
      </w:r>
    </w:p>
    <w:p w14:paraId="32777B85" w14:textId="7932559A" w:rsidR="00686539" w:rsidRDefault="00AD6B1D" w:rsidP="00686539">
      <w:pPr>
        <w:pStyle w:val="VersoIngls01Sangria"/>
      </w:pPr>
      <w:r>
        <w:t>De</w:t>
      </w:r>
      <w:r w:rsidR="00686539">
        <w:t xml:space="preserve">l </w:t>
      </w:r>
      <w:r>
        <w:t>Gran Monasterio</w:t>
      </w:r>
      <w:r w:rsidR="00686539">
        <w:t>;</w:t>
      </w:r>
      <w:r w:rsidR="0031396E">
        <w:rPr>
          <w:vertAlign w:val="superscript"/>
        </w:rPr>
        <w:t>2</w:t>
      </w:r>
      <w:r w:rsidR="00686539">
        <w:t xml:space="preserve"> </w:t>
      </w:r>
      <w:r>
        <w:t xml:space="preserve">Que </w:t>
      </w:r>
      <w:r w:rsidR="00686539">
        <w:t>todos esos</w:t>
      </w:r>
    </w:p>
    <w:p w14:paraId="2CCA5CC8" w14:textId="1A20B5ED" w:rsidR="00686539" w:rsidRDefault="00686539" w:rsidP="00686539">
      <w:pPr>
        <w:pStyle w:val="VersoIngls01Sangria"/>
      </w:pPr>
      <w:r>
        <w:t xml:space="preserve">Buenos hombres que </w:t>
      </w:r>
      <w:r w:rsidR="00AD6B1D">
        <w:t xml:space="preserve">anhelen </w:t>
      </w:r>
      <w:r>
        <w:t>pureza</w:t>
      </w:r>
    </w:p>
    <w:p w14:paraId="6A5638B9" w14:textId="4F6BD421" w:rsidR="00686539" w:rsidRDefault="00686539" w:rsidP="00686539">
      <w:pPr>
        <w:pStyle w:val="VersoIngls01Sangria"/>
      </w:pPr>
      <w:r>
        <w:t>Escuche</w:t>
      </w:r>
      <w:r w:rsidR="00AD6B1D">
        <w:t>n</w:t>
      </w:r>
      <w:r>
        <w:t xml:space="preserve"> atentamente mi exposición.</w:t>
      </w:r>
    </w:p>
    <w:p w14:paraId="08CB09C5" w14:textId="77777777" w:rsidR="00686539" w:rsidRDefault="00686539" w:rsidP="00686539">
      <w:pPr>
        <w:pStyle w:val="VersoIngls01Sangria"/>
      </w:pPr>
    </w:p>
    <w:p w14:paraId="70428801" w14:textId="2373A304" w:rsidR="00686539" w:rsidRDefault="00686539" w:rsidP="00686539">
      <w:r>
        <w:t xml:space="preserve">5. </w:t>
      </w:r>
      <w:r>
        <w:tab/>
      </w:r>
      <w:r w:rsidR="00AD6B1D">
        <w:t>Aquí</w:t>
      </w:r>
      <w:r>
        <w:t xml:space="preserve">, la </w:t>
      </w:r>
      <w:r w:rsidRPr="00DF6534">
        <w:rPr>
          <w:i/>
          <w:iCs/>
        </w:rPr>
        <w:t>purificación</w:t>
      </w:r>
      <w:r>
        <w:t xml:space="preserve"> debe</w:t>
      </w:r>
      <w:r w:rsidR="00D97950">
        <w:t>ría</w:t>
      </w:r>
      <w:r>
        <w:t xml:space="preserve"> entenderse como </w:t>
      </w:r>
      <w:r w:rsidR="00AD6B1D">
        <w:t xml:space="preserve">el </w:t>
      </w:r>
      <w:r w:rsidR="00DF6534" w:rsidRPr="00DF6534">
        <w:rPr>
          <w:i/>
          <w:iCs/>
        </w:rPr>
        <w:t>Nibbāna</w:t>
      </w:r>
      <w:r>
        <w:t xml:space="preserve"> que</w:t>
      </w:r>
      <w:r w:rsidR="00AD6B1D">
        <w:t>,</w:t>
      </w:r>
      <w:r>
        <w:t xml:space="preserve"> al </w:t>
      </w:r>
      <w:r w:rsidR="00AD6B1D">
        <w:t xml:space="preserve">estar </w:t>
      </w:r>
      <w:r>
        <w:t>desprovist</w:t>
      </w:r>
      <w:r w:rsidR="00AD6B1D">
        <w:t>o</w:t>
      </w:r>
      <w:r>
        <w:t xml:space="preserve"> de</w:t>
      </w:r>
      <w:r w:rsidR="00DB0A19">
        <w:t>l</w:t>
      </w:r>
      <w:r>
        <w:t xml:space="preserve"> </w:t>
      </w:r>
      <w:r w:rsidR="00DB0A19">
        <w:t>ciclo</w:t>
      </w:r>
      <w:r>
        <w:t xml:space="preserve"> </w:t>
      </w:r>
      <w:r w:rsidR="00D97950">
        <w:t>contaminaci</w:t>
      </w:r>
      <w:r w:rsidR="00AC4DC9">
        <w:t>o</w:t>
      </w:r>
      <w:r w:rsidR="00D97950">
        <w:t>n</w:t>
      </w:r>
      <w:r w:rsidR="00AC4DC9">
        <w:t>es</w:t>
      </w:r>
      <w:r>
        <w:t>, es completamente pur</w:t>
      </w:r>
      <w:r w:rsidR="00AD6B1D">
        <w:t>o</w:t>
      </w:r>
      <w:r>
        <w:t xml:space="preserve">. </w:t>
      </w:r>
      <w:r w:rsidRPr="00DF6534">
        <w:rPr>
          <w:i/>
          <w:iCs/>
        </w:rPr>
        <w:t xml:space="preserve">El </w:t>
      </w:r>
      <w:r w:rsidR="00693547">
        <w:rPr>
          <w:i/>
          <w:iCs/>
        </w:rPr>
        <w:t>Sendero</w:t>
      </w:r>
      <w:r w:rsidRPr="00DF6534">
        <w:rPr>
          <w:i/>
          <w:iCs/>
        </w:rPr>
        <w:t xml:space="preserve"> de la </w:t>
      </w:r>
      <w:r w:rsidR="00693547" w:rsidRPr="00DF6534">
        <w:rPr>
          <w:i/>
          <w:iCs/>
        </w:rPr>
        <w:t>Purificación</w:t>
      </w:r>
      <w:r w:rsidR="00693547">
        <w:t xml:space="preserve"> </w:t>
      </w:r>
      <w:r>
        <w:t xml:space="preserve">es el </w:t>
      </w:r>
      <w:r w:rsidR="00AD6B1D">
        <w:t>sendero</w:t>
      </w:r>
      <w:r>
        <w:t xml:space="preserve"> hacia esa purificación; </w:t>
      </w:r>
      <w:r w:rsidR="00D97950">
        <w:t xml:space="preserve">a lo que se le denomina </w:t>
      </w:r>
      <w:r w:rsidR="00D97950" w:rsidRPr="00AC4DC9">
        <w:rPr>
          <w:i/>
          <w:iCs/>
        </w:rPr>
        <w:t>sendero</w:t>
      </w:r>
      <w:r w:rsidR="00D97950">
        <w:t xml:space="preserve"> </w:t>
      </w:r>
      <w:r w:rsidR="007002D8">
        <w:t xml:space="preserve">está representado por </w:t>
      </w:r>
      <w:r w:rsidR="00AD6B1D">
        <w:t xml:space="preserve">los </w:t>
      </w:r>
      <w:r>
        <w:t>medio</w:t>
      </w:r>
      <w:r w:rsidR="00AD6B1D">
        <w:t>s</w:t>
      </w:r>
      <w:r>
        <w:t xml:space="preserve"> de</w:t>
      </w:r>
      <w:r w:rsidR="00AD6B1D">
        <w:t>l</w:t>
      </w:r>
      <w:r>
        <w:t xml:space="preserve"> </w:t>
      </w:r>
      <w:r w:rsidR="00AD6B1D">
        <w:t>planteamiento</w:t>
      </w:r>
      <w:r w:rsidR="00D97950">
        <w:t xml:space="preserve"> para conseguir tal purificación</w:t>
      </w:r>
      <w:r>
        <w:t xml:space="preserve">. El significado es que </w:t>
      </w:r>
      <w:r w:rsidRPr="009F12DD">
        <w:t xml:space="preserve">expondré ese </w:t>
      </w:r>
      <w:r w:rsidR="00AD6B1D" w:rsidRPr="009F12DD">
        <w:t>sendero</w:t>
      </w:r>
      <w:r w:rsidRPr="009F12DD">
        <w:t xml:space="preserve"> de </w:t>
      </w:r>
      <w:r w:rsidR="00AD6B1D" w:rsidRPr="009F12DD">
        <w:t xml:space="preserve">la </w:t>
      </w:r>
      <w:r w:rsidRPr="009F12DD">
        <w:t>purificación</w:t>
      </w:r>
      <w:r>
        <w:t>.</w:t>
      </w:r>
    </w:p>
    <w:p w14:paraId="43688C78" w14:textId="30916066" w:rsidR="00686539" w:rsidRDefault="00686539" w:rsidP="00686539">
      <w:r>
        <w:t xml:space="preserve">6. </w:t>
      </w:r>
      <w:r w:rsidR="00AD6B1D">
        <w:tab/>
      </w:r>
      <w:r>
        <w:t xml:space="preserve">En algunos casos, este </w:t>
      </w:r>
      <w:r w:rsidR="00693547">
        <w:t>sendero</w:t>
      </w:r>
      <w:r>
        <w:t xml:space="preserve"> de </w:t>
      </w:r>
      <w:r w:rsidR="00693547">
        <w:t xml:space="preserve">la </w:t>
      </w:r>
      <w:r>
        <w:t xml:space="preserve">purificación </w:t>
      </w:r>
      <w:r w:rsidR="00263D14">
        <w:t xml:space="preserve">será expuesto </w:t>
      </w:r>
      <w:r w:rsidR="00DB7E96">
        <w:t xml:space="preserve">mediante la </w:t>
      </w:r>
      <w:r w:rsidR="000A6DF4" w:rsidRPr="00527EA6">
        <w:t>sabid</w:t>
      </w:r>
      <w:r w:rsidR="000A6DF4">
        <w:t>uría–revelativa</w:t>
      </w:r>
      <w:r w:rsidR="00AD6B1D">
        <w:t xml:space="preserve"> únicamente</w:t>
      </w:r>
      <w:r>
        <w:t>,</w:t>
      </w:r>
      <w:r w:rsidR="001014E3">
        <w:rPr>
          <w:vertAlign w:val="superscript"/>
        </w:rPr>
        <w:t>3</w:t>
      </w:r>
      <w:r>
        <w:t xml:space="preserve"> </w:t>
      </w:r>
      <w:r w:rsidR="00D97950">
        <w:t>ya que está dicho</w:t>
      </w:r>
      <w:r>
        <w:t>:</w:t>
      </w:r>
    </w:p>
    <w:p w14:paraId="1CE1A60C" w14:textId="69C3B345" w:rsidR="00686539" w:rsidRPr="00686539" w:rsidRDefault="00686539" w:rsidP="00686539">
      <w:pPr>
        <w:pStyle w:val="PiedepginaLegal"/>
        <w:rPr>
          <w:u w:val="single"/>
        </w:rPr>
      </w:pPr>
      <w:r w:rsidRPr="00686539">
        <w:rPr>
          <w:u w:val="single"/>
        </w:rPr>
        <w:t xml:space="preserve">                                                                                                                                       .</w:t>
      </w:r>
    </w:p>
    <w:p w14:paraId="17ABD4A8" w14:textId="6E176112" w:rsidR="00686539" w:rsidRDefault="00686539" w:rsidP="00686539">
      <w:pPr>
        <w:pStyle w:val="PiedepginaLegal"/>
      </w:pPr>
      <w:r>
        <w:t xml:space="preserve">2. </w:t>
      </w:r>
      <w:r>
        <w:tab/>
        <w:t xml:space="preserve">El </w:t>
      </w:r>
      <w:r w:rsidR="00DF6534">
        <w:t xml:space="preserve">Gran Monasterio </w:t>
      </w:r>
      <w:r>
        <w:t>(</w:t>
      </w:r>
      <w:proofErr w:type="spellStart"/>
      <w:r w:rsidRPr="00DF6534">
        <w:rPr>
          <w:i/>
          <w:iCs/>
        </w:rPr>
        <w:t>Mahāvihāra</w:t>
      </w:r>
      <w:proofErr w:type="spellEnd"/>
      <w:r>
        <w:t xml:space="preserve">) en </w:t>
      </w:r>
      <w:proofErr w:type="spellStart"/>
      <w:r>
        <w:t>Anurādhapura</w:t>
      </w:r>
      <w:proofErr w:type="spellEnd"/>
      <w:r w:rsidR="00BC019E">
        <w:t>,</w:t>
      </w:r>
      <w:r>
        <w:t xml:space="preserve"> en Sri Lanka.</w:t>
      </w:r>
    </w:p>
    <w:p w14:paraId="12958D04" w14:textId="27E8E74A" w:rsidR="00686539" w:rsidRDefault="00686539" w:rsidP="00686539">
      <w:pPr>
        <w:pStyle w:val="PiedepginaLegal"/>
      </w:pPr>
      <w:r>
        <w:t xml:space="preserve">3. </w:t>
      </w:r>
      <w:r>
        <w:tab/>
        <w:t xml:space="preserve">"Las palabras </w:t>
      </w:r>
      <w:r w:rsidR="00AD6B1D">
        <w:t>‘</w:t>
      </w:r>
      <w:r w:rsidR="000A6DF4" w:rsidRPr="00527EA6">
        <w:t>sabid</w:t>
      </w:r>
      <w:r w:rsidR="000A6DF4">
        <w:t>uría–revelativa</w:t>
      </w:r>
      <w:r w:rsidR="000A6DF4" w:rsidRPr="00527EA6">
        <w:t xml:space="preserve"> </w:t>
      </w:r>
      <w:r w:rsidR="00AD6B1D">
        <w:t xml:space="preserve">únicamente’ </w:t>
      </w:r>
      <w:r>
        <w:t xml:space="preserve">están destinadas a excluir no </w:t>
      </w:r>
      <w:r w:rsidR="00AD6B1D">
        <w:t xml:space="preserve">a </w:t>
      </w:r>
      <w:r>
        <w:t xml:space="preserve">la virtud, etc., sino </w:t>
      </w:r>
      <w:r w:rsidR="00AD6B1D">
        <w:t xml:space="preserve">a </w:t>
      </w:r>
      <w:r>
        <w:t xml:space="preserve">la serenidad (es decir, </w:t>
      </w:r>
      <w:r w:rsidR="00AD6B1D">
        <w:t xml:space="preserve">a los </w:t>
      </w:r>
      <w:proofErr w:type="spellStart"/>
      <w:r w:rsidR="00057BF4" w:rsidRPr="00057BF4">
        <w:rPr>
          <w:i/>
          <w:iCs/>
        </w:rPr>
        <w:t>jhāna</w:t>
      </w:r>
      <w:proofErr w:type="spellEnd"/>
      <w:r>
        <w:t xml:space="preserve">), que es el número opuesto </w:t>
      </w:r>
      <w:r w:rsidR="00AD6B1D">
        <w:t>a</w:t>
      </w:r>
      <w:r>
        <w:t xml:space="preserve">l par, serenidad y </w:t>
      </w:r>
      <w:r w:rsidR="00AD6B1D">
        <w:t>sabiduría</w:t>
      </w:r>
      <w:r>
        <w:t xml:space="preserve">. Esto </w:t>
      </w:r>
      <w:r w:rsidR="00AD6B1D">
        <w:t>sirve</w:t>
      </w:r>
      <w:r>
        <w:t xml:space="preserve"> para</w:t>
      </w:r>
      <w:r w:rsidR="00AD6B1D">
        <w:t xml:space="preserve"> dar</w:t>
      </w:r>
      <w:r>
        <w:t xml:space="preserve"> énfasis. </w:t>
      </w:r>
      <w:r w:rsidR="00AD6B1D">
        <w:t xml:space="preserve">No obstante, </w:t>
      </w:r>
      <w:r>
        <w:t>la palabra "</w:t>
      </w:r>
      <w:r w:rsidR="00AD6B1D">
        <w:t>únicamente</w:t>
      </w:r>
      <w:r>
        <w:t xml:space="preserve">" en realidad excluye solo </w:t>
      </w:r>
      <w:r w:rsidR="00AD6B1D">
        <w:t xml:space="preserve">a </w:t>
      </w:r>
      <w:r>
        <w:t>esa concentración distin</w:t>
      </w:r>
      <w:r w:rsidR="00AD6B1D">
        <w:t>tiva</w:t>
      </w:r>
      <w:r>
        <w:t xml:space="preserve"> [de </w:t>
      </w:r>
      <w:r w:rsidR="00AD6B1D">
        <w:t xml:space="preserve">los </w:t>
      </w:r>
      <w:proofErr w:type="spellStart"/>
      <w:r w:rsidR="00057BF4" w:rsidRPr="00057BF4">
        <w:rPr>
          <w:i/>
          <w:iCs/>
        </w:rPr>
        <w:t>jhāna</w:t>
      </w:r>
      <w:proofErr w:type="spellEnd"/>
      <w:r>
        <w:t xml:space="preserve">]; </w:t>
      </w:r>
      <w:r w:rsidR="00AD6B1D">
        <w:t xml:space="preserve">ya que </w:t>
      </w:r>
      <w:r>
        <w:t xml:space="preserve">la concentración se clasifica como acceso y absorción (ver IV.32). </w:t>
      </w:r>
      <w:r w:rsidR="00AD6B1D">
        <w:t xml:space="preserve">Adoptando </w:t>
      </w:r>
      <w:r>
        <w:t xml:space="preserve">esta estrofa como la enseñanza </w:t>
      </w:r>
      <w:r w:rsidR="000A6DF4">
        <w:t>orientada</w:t>
      </w:r>
      <w:r>
        <w:t xml:space="preserve"> alguien cuyo vehículo s</w:t>
      </w:r>
      <w:r w:rsidR="00AD6B1D">
        <w:t>ea</w:t>
      </w:r>
      <w:r>
        <w:t xml:space="preserve"> </w:t>
      </w:r>
      <w:r w:rsidR="00AD6B1D">
        <w:t>la sabiduría</w:t>
      </w:r>
      <w:r>
        <w:t xml:space="preserve"> no implica que no </w:t>
      </w:r>
      <w:r w:rsidR="00AD6B1D">
        <w:t>exist</w:t>
      </w:r>
      <w:r w:rsidR="001F3B95">
        <w:t>irá</w:t>
      </w:r>
      <w:r w:rsidR="00AD6B1D">
        <w:t xml:space="preserve"> </w:t>
      </w:r>
      <w:r>
        <w:t xml:space="preserve">concentración; </w:t>
      </w:r>
      <w:r w:rsidR="001F3B95">
        <w:t xml:space="preserve">ya </w:t>
      </w:r>
      <w:r>
        <w:t>que no se produc</w:t>
      </w:r>
      <w:r w:rsidR="001F3B95">
        <w:t>iría</w:t>
      </w:r>
      <w:r>
        <w:t xml:space="preserve"> </w:t>
      </w:r>
      <w:r w:rsidR="001F3B95">
        <w:t xml:space="preserve">una </w:t>
      </w:r>
      <w:r w:rsidR="001F3B95" w:rsidRPr="00527EA6">
        <w:t>sabid</w:t>
      </w:r>
      <w:r w:rsidR="001F3B95">
        <w:t>uría–revelativa</w:t>
      </w:r>
      <w:r w:rsidR="00AD6B1D">
        <w:t xml:space="preserve"> </w:t>
      </w:r>
      <w:r>
        <w:t xml:space="preserve">sin </w:t>
      </w:r>
      <w:r w:rsidR="00AD6B1D">
        <w:t xml:space="preserve">la </w:t>
      </w:r>
      <w:r>
        <w:t>concentración momentánea</w:t>
      </w:r>
      <w:r w:rsidR="001F3B95">
        <w:t xml:space="preserve"> requerida</w:t>
      </w:r>
      <w:r>
        <w:t xml:space="preserve">. </w:t>
      </w:r>
      <w:r w:rsidR="001F3B95">
        <w:t>N</w:t>
      </w:r>
      <w:r>
        <w:t xml:space="preserve">uevamente, la </w:t>
      </w:r>
      <w:r w:rsidR="001F3B95" w:rsidRPr="00527EA6">
        <w:t>sabid</w:t>
      </w:r>
      <w:r w:rsidR="001F3B95">
        <w:t>uría–revelativa</w:t>
      </w:r>
      <w:r w:rsidR="001F3B95" w:rsidRPr="00527EA6">
        <w:t xml:space="preserve"> </w:t>
      </w:r>
      <w:r>
        <w:t xml:space="preserve">debe entenderse como las </w:t>
      </w:r>
      <w:r w:rsidR="00232FFC">
        <w:t>3</w:t>
      </w:r>
      <w:r>
        <w:t xml:space="preserve"> contemplaciones de impermanencia, </w:t>
      </w:r>
      <w:r w:rsidR="00F80288">
        <w:t xml:space="preserve">insatisfactoriedad </w:t>
      </w:r>
      <w:r>
        <w:t>y no</w:t>
      </w:r>
      <w:r w:rsidR="00AD6B1D">
        <w:t>-alma</w:t>
      </w:r>
      <w:r>
        <w:t xml:space="preserve">; </w:t>
      </w:r>
      <w:r w:rsidR="00F80288">
        <w:t>n</w:t>
      </w:r>
      <w:r>
        <w:t>o</w:t>
      </w:r>
      <w:r w:rsidR="00AD6B1D">
        <w:t xml:space="preserve"> </w:t>
      </w:r>
      <w:r w:rsidR="00F80288">
        <w:t xml:space="preserve">como </w:t>
      </w:r>
      <w:r w:rsidR="00AD6B1D">
        <w:t>la</w:t>
      </w:r>
      <w:r>
        <w:t xml:space="preserve"> contemplación de la impermanencia </w:t>
      </w:r>
      <w:r w:rsidR="00AD6B1D">
        <w:t>únicamente</w:t>
      </w:r>
      <w:r>
        <w:t>”</w:t>
      </w:r>
      <w:r w:rsidR="00DF6534">
        <w:t xml:space="preserve"> </w:t>
      </w:r>
      <w:r>
        <w:t>(</w:t>
      </w:r>
      <w:proofErr w:type="spellStart"/>
      <w:r w:rsidR="00DF6534">
        <w:t>Vism-mhṭ</w:t>
      </w:r>
      <w:proofErr w:type="spellEnd"/>
      <w:r w:rsidR="00DF6534">
        <w:t xml:space="preserve"> </w:t>
      </w:r>
      <w:r>
        <w:t>9-10).</w:t>
      </w:r>
    </w:p>
    <w:p w14:paraId="4C47D018" w14:textId="77777777" w:rsidR="00D75317" w:rsidRDefault="00D75317">
      <w:pPr>
        <w:tabs>
          <w:tab w:val="clear" w:pos="425"/>
        </w:tabs>
      </w:pPr>
      <w:r>
        <w:br w:type="page"/>
      </w:r>
    </w:p>
    <w:p w14:paraId="3208D712" w14:textId="77777777" w:rsidR="00D75317" w:rsidRDefault="00D75317" w:rsidP="00D75317">
      <w:pPr>
        <w:pStyle w:val="VersoIngls01Sangria"/>
      </w:pPr>
      <w:r>
        <w:lastRenderedPageBreak/>
        <w:t>“Las formaciones son impermanentes:</w:t>
      </w:r>
    </w:p>
    <w:p w14:paraId="182FA91B" w14:textId="51CD8E8A" w:rsidR="00D75317" w:rsidRDefault="00D75317" w:rsidP="00D75317">
      <w:pPr>
        <w:pStyle w:val="VersoIngls01Sangria"/>
      </w:pPr>
      <w:r>
        <w:t xml:space="preserve">Cuando </w:t>
      </w:r>
      <w:r w:rsidR="00AD6B1D">
        <w:t xml:space="preserve">él </w:t>
      </w:r>
      <w:r w:rsidR="004256A5">
        <w:t>contemple</w:t>
      </w:r>
      <w:r>
        <w:t xml:space="preserve"> así con </w:t>
      </w:r>
      <w:r w:rsidR="00AD6B1D">
        <w:t>entendimiento</w:t>
      </w:r>
    </w:p>
    <w:p w14:paraId="777722EF" w14:textId="786DD380" w:rsidR="00D75317" w:rsidRDefault="00D75317" w:rsidP="00D75317">
      <w:pPr>
        <w:pStyle w:val="VersoIngls01Sangria"/>
      </w:pPr>
      <w:r>
        <w:t>Y se alej</w:t>
      </w:r>
      <w:r w:rsidR="00AD6B1D">
        <w:t>e</w:t>
      </w:r>
      <w:r>
        <w:t xml:space="preserve"> de lo que </w:t>
      </w:r>
      <w:r w:rsidR="00AD6B1D">
        <w:t>sea perjudicial</w:t>
      </w:r>
      <w:r>
        <w:t>,</w:t>
      </w:r>
    </w:p>
    <w:p w14:paraId="30841885" w14:textId="4B91A468" w:rsidR="00D75317" w:rsidRDefault="00AD6B1D" w:rsidP="00D75317">
      <w:pPr>
        <w:pStyle w:val="VersoIngls01Sangria"/>
        <w:spacing w:after="100"/>
        <w:ind w:left="1418"/>
      </w:pPr>
      <w:r>
        <w:t>É</w:t>
      </w:r>
      <w:r w:rsidR="00D75317">
        <w:t xml:space="preserve">se </w:t>
      </w:r>
      <w:r>
        <w:t xml:space="preserve">será </w:t>
      </w:r>
      <w:r w:rsidR="00D75317">
        <w:t xml:space="preserve">el </w:t>
      </w:r>
      <w:r>
        <w:t xml:space="preserve">sendero </w:t>
      </w:r>
      <w:r w:rsidR="00D75317">
        <w:t>hacia la pureza”</w:t>
      </w:r>
      <w:r w:rsidR="00DF6534">
        <w:t xml:space="preserve"> (</w:t>
      </w:r>
      <w:proofErr w:type="spellStart"/>
      <w:r w:rsidR="00DF6534">
        <w:t>Dhp</w:t>
      </w:r>
      <w:proofErr w:type="spellEnd"/>
      <w:r w:rsidR="00DF6534">
        <w:t xml:space="preserve"> </w:t>
      </w:r>
      <w:r w:rsidR="00D75317">
        <w:t>277). [3]</w:t>
      </w:r>
    </w:p>
    <w:p w14:paraId="56AD7D28" w14:textId="01D38217" w:rsidR="00D75317" w:rsidRDefault="00D75317" w:rsidP="00D75317">
      <w:r>
        <w:t xml:space="preserve">Y en algunos casos </w:t>
      </w:r>
      <w:r w:rsidR="00AD6B1D">
        <w:t>mediante los</w:t>
      </w:r>
      <w:r>
        <w:t xml:space="preserve"> </w:t>
      </w:r>
      <w:proofErr w:type="spellStart"/>
      <w:r w:rsidR="00057BF4" w:rsidRPr="00057BF4">
        <w:rPr>
          <w:i/>
          <w:iCs/>
        </w:rPr>
        <w:t>jhāna</w:t>
      </w:r>
      <w:proofErr w:type="spellEnd"/>
      <w:r w:rsidR="00DF6534">
        <w:t xml:space="preserve"> </w:t>
      </w:r>
      <w:r>
        <w:t xml:space="preserve">y </w:t>
      </w:r>
      <w:r w:rsidR="00AD6B1D">
        <w:t>el entendimiento</w:t>
      </w:r>
      <w:r>
        <w:t xml:space="preserve">, </w:t>
      </w:r>
      <w:r w:rsidR="00AD6B1D">
        <w:t>ya que está dicho</w:t>
      </w:r>
      <w:r>
        <w:t>:</w:t>
      </w:r>
    </w:p>
    <w:p w14:paraId="58A75560" w14:textId="34FCD030" w:rsidR="00D75317" w:rsidRDefault="00D75317" w:rsidP="00D75317">
      <w:pPr>
        <w:pStyle w:val="VersoIngls01Sangria"/>
      </w:pPr>
      <w:r>
        <w:t>"Él está cerca de</w:t>
      </w:r>
      <w:r w:rsidR="00AD6B1D">
        <w:t>l</w:t>
      </w:r>
      <w:r>
        <w:t xml:space="preserve"> </w:t>
      </w:r>
      <w:r w:rsidRPr="00DF6534">
        <w:rPr>
          <w:i/>
          <w:iCs/>
        </w:rPr>
        <w:t>Nibbāna</w:t>
      </w:r>
    </w:p>
    <w:p w14:paraId="268328A8" w14:textId="79453132" w:rsidR="00D75317" w:rsidRDefault="00AD6B1D" w:rsidP="00D75317">
      <w:pPr>
        <w:pStyle w:val="VersoIngls01Sangria"/>
        <w:spacing w:after="100"/>
        <w:ind w:left="1418"/>
      </w:pPr>
      <w:r>
        <w:t>Aquel que habit</w:t>
      </w:r>
      <w:r w:rsidR="00F81CB6">
        <w:t>e</w:t>
      </w:r>
      <w:r>
        <w:t xml:space="preserve"> en los </w:t>
      </w:r>
      <w:proofErr w:type="spellStart"/>
      <w:r w:rsidR="00057BF4" w:rsidRPr="00057BF4">
        <w:rPr>
          <w:i/>
          <w:iCs/>
        </w:rPr>
        <w:t>jhāna</w:t>
      </w:r>
      <w:proofErr w:type="spellEnd"/>
      <w:r w:rsidR="00D75317">
        <w:t xml:space="preserve"> y </w:t>
      </w:r>
      <w:r w:rsidR="000A65BC">
        <w:t xml:space="preserve">en </w:t>
      </w:r>
      <w:r>
        <w:t>el entendimiento</w:t>
      </w:r>
      <w:r w:rsidR="00D75317">
        <w:t>”</w:t>
      </w:r>
      <w:r w:rsidR="00DF6534">
        <w:t xml:space="preserve"> </w:t>
      </w:r>
      <w:r w:rsidR="00D75317">
        <w:t>(</w:t>
      </w:r>
      <w:proofErr w:type="spellStart"/>
      <w:r w:rsidR="00DF6534">
        <w:t>Dhp</w:t>
      </w:r>
      <w:proofErr w:type="spellEnd"/>
      <w:r w:rsidR="00DF6534">
        <w:t xml:space="preserve"> </w:t>
      </w:r>
      <w:r w:rsidR="00D75317">
        <w:t>372).</w:t>
      </w:r>
    </w:p>
    <w:p w14:paraId="10BB7446" w14:textId="6E7632E3" w:rsidR="00D75317" w:rsidRDefault="00D75317" w:rsidP="00D75317">
      <w:r>
        <w:t xml:space="preserve">Y en algunos casos </w:t>
      </w:r>
      <w:r w:rsidR="00AD6B1D">
        <w:t>mediante las acciones</w:t>
      </w:r>
      <w:r>
        <w:t xml:space="preserve"> (</w:t>
      </w:r>
      <w:proofErr w:type="spellStart"/>
      <w:r w:rsidR="00057BF4" w:rsidRPr="00057BF4">
        <w:rPr>
          <w:i/>
          <w:iCs/>
        </w:rPr>
        <w:t>kamma</w:t>
      </w:r>
      <w:proofErr w:type="spellEnd"/>
      <w:r>
        <w:t xml:space="preserve">), etc., </w:t>
      </w:r>
      <w:r w:rsidR="00AD6B1D">
        <w:t>ya que está dicho</w:t>
      </w:r>
      <w:r>
        <w:t>:</w:t>
      </w:r>
    </w:p>
    <w:p w14:paraId="02686099" w14:textId="622C2E58" w:rsidR="00D75317" w:rsidRDefault="00D75317" w:rsidP="00D75317">
      <w:pPr>
        <w:pStyle w:val="VersoIngls01Sangria"/>
      </w:pPr>
      <w:r>
        <w:t>“</w:t>
      </w:r>
      <w:r w:rsidR="00AD6B1D">
        <w:t>Mediante las acciones</w:t>
      </w:r>
      <w:r>
        <w:t xml:space="preserve">, </w:t>
      </w:r>
      <w:r w:rsidR="00AD6B1D">
        <w:t xml:space="preserve">la </w:t>
      </w:r>
      <w:r>
        <w:t xml:space="preserve">visión y </w:t>
      </w:r>
      <w:r w:rsidR="00AD6B1D">
        <w:t>la rectitud</w:t>
      </w:r>
      <w:r>
        <w:t>,</w:t>
      </w:r>
    </w:p>
    <w:p w14:paraId="794E85C6" w14:textId="3E152774" w:rsidR="00D75317" w:rsidRDefault="00AD6B1D" w:rsidP="00D75317">
      <w:pPr>
        <w:pStyle w:val="VersoIngls01Sangria"/>
      </w:pPr>
      <w:r>
        <w:t>Mediante la</w:t>
      </w:r>
      <w:r w:rsidR="00D75317">
        <w:t xml:space="preserve"> virtud, la vida más sublim</w:t>
      </w:r>
      <w:r w:rsidR="00DF6534">
        <w:t>e</w:t>
      </w:r>
      <w:r>
        <w:t xml:space="preserve"> ―</w:t>
      </w:r>
    </w:p>
    <w:p w14:paraId="546F05FA" w14:textId="3DEC286C" w:rsidR="00D75317" w:rsidRDefault="00AD6B1D" w:rsidP="00D75317">
      <w:pPr>
        <w:pStyle w:val="VersoIngls01Sangria"/>
      </w:pPr>
      <w:r>
        <w:t>Mediante esto</w:t>
      </w:r>
      <w:r w:rsidR="0098721C">
        <w:t>s</w:t>
      </w:r>
      <w:r w:rsidR="00D75317">
        <w:t xml:space="preserve"> son </w:t>
      </w:r>
      <w:r>
        <w:t xml:space="preserve">purificados </w:t>
      </w:r>
      <w:r w:rsidR="00D75317">
        <w:t>los mortales,</w:t>
      </w:r>
    </w:p>
    <w:p w14:paraId="42451AC4" w14:textId="17233D1C" w:rsidR="00D75317" w:rsidRDefault="00D75317" w:rsidP="00D75317">
      <w:pPr>
        <w:pStyle w:val="VersoIngls01Sangria"/>
        <w:spacing w:after="100"/>
        <w:ind w:left="1418"/>
      </w:pPr>
      <w:r>
        <w:t xml:space="preserve">Y no por </w:t>
      </w:r>
      <w:r w:rsidR="00AD6B1D">
        <w:t xml:space="preserve">el </w:t>
      </w:r>
      <w:r>
        <w:t xml:space="preserve">linaje </w:t>
      </w:r>
      <w:r w:rsidR="0098721C">
        <w:t>ni</w:t>
      </w:r>
      <w:r w:rsidR="00AD6B1D">
        <w:t xml:space="preserve"> la</w:t>
      </w:r>
      <w:r>
        <w:t xml:space="preserve"> riqueza”</w:t>
      </w:r>
      <w:r w:rsidR="00DF6534">
        <w:t xml:space="preserve"> </w:t>
      </w:r>
      <w:r>
        <w:t>(M III 262).</w:t>
      </w:r>
    </w:p>
    <w:p w14:paraId="7020ADF6" w14:textId="056C5ACF" w:rsidR="00D75317" w:rsidRDefault="00D75317" w:rsidP="00D75317">
      <w:r>
        <w:t xml:space="preserve">Y en algunos casos </w:t>
      </w:r>
      <w:r w:rsidR="00AD6B1D">
        <w:t>mediante la</w:t>
      </w:r>
      <w:r>
        <w:t xml:space="preserve"> virtud, etc., </w:t>
      </w:r>
      <w:r w:rsidR="00AD6B1D">
        <w:t>ya que está dicho</w:t>
      </w:r>
      <w:r>
        <w:t>:</w:t>
      </w:r>
    </w:p>
    <w:p w14:paraId="30BEB1A0" w14:textId="76693E42" w:rsidR="00D75317" w:rsidRDefault="00D75317" w:rsidP="00D75317">
      <w:pPr>
        <w:pStyle w:val="VersoIngls01Sangria"/>
      </w:pPr>
      <w:r>
        <w:t>"El que pose</w:t>
      </w:r>
      <w:r w:rsidR="00AD6B1D">
        <w:t>a</w:t>
      </w:r>
      <w:r>
        <w:t xml:space="preserve"> una virtud constante,</w:t>
      </w:r>
    </w:p>
    <w:p w14:paraId="1EB11953" w14:textId="657FEA30" w:rsidR="00D75317" w:rsidRDefault="00AD6B1D" w:rsidP="00D75317">
      <w:pPr>
        <w:pStyle w:val="VersoIngls01Sangria"/>
      </w:pPr>
      <w:r>
        <w:t>Aquel que posea entendimiento</w:t>
      </w:r>
      <w:r w:rsidR="00D75317">
        <w:t xml:space="preserve"> y est</w:t>
      </w:r>
      <w:r>
        <w:t>é</w:t>
      </w:r>
      <w:r w:rsidR="00D75317">
        <w:t xml:space="preserve"> concentrado,</w:t>
      </w:r>
    </w:p>
    <w:p w14:paraId="0B254299" w14:textId="35BB9C10" w:rsidR="00D75317" w:rsidRDefault="00AD6B1D" w:rsidP="00D75317">
      <w:pPr>
        <w:pStyle w:val="VersoIngls01Sangria"/>
      </w:pPr>
      <w:r>
        <w:t>Aquel que</w:t>
      </w:r>
      <w:r w:rsidR="00D75317">
        <w:t xml:space="preserve"> también </w:t>
      </w:r>
      <w:r>
        <w:t xml:space="preserve">sea enérgico </w:t>
      </w:r>
      <w:r w:rsidR="00D75317">
        <w:t>y diligente,</w:t>
      </w:r>
    </w:p>
    <w:p w14:paraId="2F7898F6" w14:textId="2848A90E" w:rsidR="00D75317" w:rsidRDefault="00D75317" w:rsidP="00D75317">
      <w:pPr>
        <w:pStyle w:val="VersoIngls01Sangria"/>
        <w:spacing w:after="100"/>
        <w:ind w:left="1418"/>
      </w:pPr>
      <w:r>
        <w:t xml:space="preserve">Cruzará la </w:t>
      </w:r>
      <w:r w:rsidR="00AD6B1D">
        <w:t>corriente</w:t>
      </w:r>
      <w:r>
        <w:t xml:space="preserve"> </w:t>
      </w:r>
      <w:r w:rsidR="00AD6B1D">
        <w:t xml:space="preserve">que es </w:t>
      </w:r>
      <w:r>
        <w:t>tan difícil de cruzar”</w:t>
      </w:r>
      <w:r w:rsidR="00DF6534">
        <w:t xml:space="preserve"> </w:t>
      </w:r>
      <w:r>
        <w:t>(S I 53).</w:t>
      </w:r>
    </w:p>
    <w:p w14:paraId="4090E3BE" w14:textId="1689E883" w:rsidR="00D75317" w:rsidRDefault="00D75317" w:rsidP="00AD6B1D">
      <w:pPr>
        <w:pStyle w:val="NormalConSangria"/>
      </w:pPr>
      <w:r>
        <w:t xml:space="preserve">Y en algunos casos </w:t>
      </w:r>
      <w:r w:rsidR="00AD6B1D">
        <w:t>mediante</w:t>
      </w:r>
      <w:r>
        <w:t xml:space="preserve"> los </w:t>
      </w:r>
      <w:r w:rsidR="00C133A5">
        <w:t>fundamentos</w:t>
      </w:r>
      <w:r>
        <w:t xml:space="preserve"> de la atención plena, etc., </w:t>
      </w:r>
      <w:r w:rsidR="00AD6B1D">
        <w:t>ya que está dicho</w:t>
      </w:r>
      <w:r>
        <w:t>: “</w:t>
      </w:r>
      <w:proofErr w:type="spellStart"/>
      <w:r w:rsidR="00057BF4" w:rsidRPr="00057BF4">
        <w:rPr>
          <w:i/>
          <w:iCs/>
        </w:rPr>
        <w:t>Bhikkhu</w:t>
      </w:r>
      <w:r w:rsidRPr="00DF6534">
        <w:rPr>
          <w:i/>
          <w:iCs/>
        </w:rPr>
        <w:t>s</w:t>
      </w:r>
      <w:proofErr w:type="spellEnd"/>
      <w:r>
        <w:t xml:space="preserve">, este </w:t>
      </w:r>
      <w:r w:rsidR="00AD6B1D">
        <w:t xml:space="preserve">sendero </w:t>
      </w:r>
      <w:r>
        <w:t xml:space="preserve">es la única forma de purificar a los seres... para la </w:t>
      </w:r>
      <w:r w:rsidR="00AD6B1D">
        <w:t xml:space="preserve">consumación </w:t>
      </w:r>
      <w:r>
        <w:t>de</w:t>
      </w:r>
      <w:r w:rsidR="00AD6B1D">
        <w:t>l</w:t>
      </w:r>
      <w:r>
        <w:t xml:space="preserve"> </w:t>
      </w:r>
      <w:r w:rsidR="00DF6534">
        <w:rPr>
          <w:i/>
          <w:iCs/>
        </w:rPr>
        <w:t>Nibbāna</w:t>
      </w:r>
      <w:r>
        <w:t>, es decir, los cuatro fundamentos de la atención plena”</w:t>
      </w:r>
      <w:r w:rsidR="00AD6B1D">
        <w:t xml:space="preserve"> </w:t>
      </w:r>
      <w:r>
        <w:t xml:space="preserve">(D II 290); y de manera similar en el caso del esfuerzo correcto, </w:t>
      </w:r>
      <w:r w:rsidR="00AD6B1D">
        <w:t>etc</w:t>
      </w:r>
      <w:r>
        <w:t xml:space="preserve">. </w:t>
      </w:r>
      <w:r w:rsidR="00AD6B1D">
        <w:t>No obstante,</w:t>
      </w:r>
      <w:r>
        <w:t xml:space="preserve"> </w:t>
      </w:r>
      <w:r w:rsidR="00AD6B1D">
        <w:t>en</w:t>
      </w:r>
      <w:r>
        <w:t xml:space="preserve"> respuesta a esta pregunta </w:t>
      </w:r>
      <w:r w:rsidR="00AD6B1D">
        <w:t xml:space="preserve">lo que </w:t>
      </w:r>
      <w:r>
        <w:t xml:space="preserve">se </w:t>
      </w:r>
      <w:r w:rsidR="00AD6B1D">
        <w:t xml:space="preserve">instruye </w:t>
      </w:r>
      <w:r>
        <w:t>e</w:t>
      </w:r>
      <w:r w:rsidR="00AD6B1D">
        <w:t>s</w:t>
      </w:r>
      <w:r>
        <w:t xml:space="preserve"> virtud y l</w:t>
      </w:r>
      <w:r w:rsidR="00E24A16">
        <w:t>o</w:t>
      </w:r>
      <w:r>
        <w:t>s otr</w:t>
      </w:r>
      <w:r w:rsidR="00E24A16">
        <w:t>o</w:t>
      </w:r>
      <w:r>
        <w:t>s dos.</w:t>
      </w:r>
    </w:p>
    <w:p w14:paraId="117DC9B7" w14:textId="345F50AD" w:rsidR="00D75317" w:rsidRDefault="00D75317" w:rsidP="00D75317">
      <w:r>
        <w:t xml:space="preserve">7. </w:t>
      </w:r>
      <w:r w:rsidR="0038539E">
        <w:tab/>
      </w:r>
      <w:r>
        <w:t xml:space="preserve">Aquí </w:t>
      </w:r>
      <w:r w:rsidR="00AD6B1D">
        <w:t>se presentará</w:t>
      </w:r>
      <w:r>
        <w:t xml:space="preserve"> un breve comentario [sobre la estrofa]. </w:t>
      </w:r>
      <w:r w:rsidR="00F96D97" w:rsidRPr="00F96D97">
        <w:rPr>
          <w:i/>
          <w:iCs/>
        </w:rPr>
        <w:t>Bien</w:t>
      </w:r>
      <w:r w:rsidR="00F96D97">
        <w:t xml:space="preserve"> </w:t>
      </w:r>
      <w:r w:rsidR="00F96D97">
        <w:rPr>
          <w:i/>
          <w:iCs/>
        </w:rPr>
        <w:t>e</w:t>
      </w:r>
      <w:r w:rsidRPr="00F96D97">
        <w:rPr>
          <w:i/>
          <w:iCs/>
        </w:rPr>
        <w:t>stablecido en la virtud</w:t>
      </w:r>
      <w:r>
        <w:t xml:space="preserve">: </w:t>
      </w:r>
      <w:r w:rsidR="00AD6B1D">
        <w:t>habita</w:t>
      </w:r>
      <w:r>
        <w:t xml:space="preserve"> en la virtud. Es solo </w:t>
      </w:r>
      <w:r w:rsidR="00AD6B1D">
        <w:t xml:space="preserve">a </w:t>
      </w:r>
      <w:r>
        <w:t xml:space="preserve">una virtud realmente satisfactoria </w:t>
      </w:r>
      <w:r w:rsidR="00282F45">
        <w:t>a la que</w:t>
      </w:r>
      <w:r w:rsidR="00AD6B1D">
        <w:t xml:space="preserve"> </w:t>
      </w:r>
      <w:r>
        <w:t xml:space="preserve">se </w:t>
      </w:r>
      <w:r w:rsidR="00A251CE">
        <w:t xml:space="preserve">refiere </w:t>
      </w:r>
      <w:r w:rsidR="00282F45">
        <w:t xml:space="preserve">con </w:t>
      </w:r>
      <w:r>
        <w:t>"</w:t>
      </w:r>
      <w:r w:rsidR="00AD6B1D">
        <w:t>habita</w:t>
      </w:r>
      <w:r>
        <w:t xml:space="preserve"> en </w:t>
      </w:r>
      <w:r w:rsidR="00AD6B1D">
        <w:t xml:space="preserve">la </w:t>
      </w:r>
      <w:r>
        <w:t xml:space="preserve">virtud". </w:t>
      </w:r>
      <w:r w:rsidR="004F352E">
        <w:t>Por lo tanto</w:t>
      </w:r>
      <w:r>
        <w:t xml:space="preserve">, el significado aquí es </w:t>
      </w:r>
      <w:r w:rsidR="00AD6B1D">
        <w:t>é</w:t>
      </w:r>
      <w:r>
        <w:t>ste: est</w:t>
      </w:r>
      <w:r w:rsidR="00330FA0">
        <w:t>á</w:t>
      </w:r>
      <w:r>
        <w:t xml:space="preserve"> bien establecido </w:t>
      </w:r>
      <w:r w:rsidR="00AD6B1D">
        <w:t xml:space="preserve">en la virtud mediante el desarrollo de </w:t>
      </w:r>
      <w:r w:rsidR="004F352E">
        <w:t xml:space="preserve">tal </w:t>
      </w:r>
      <w:r>
        <w:t xml:space="preserve">virtud. </w:t>
      </w:r>
      <w:r w:rsidRPr="00834651">
        <w:rPr>
          <w:i/>
          <w:iCs/>
        </w:rPr>
        <w:t>Un hombre</w:t>
      </w:r>
      <w:r>
        <w:t xml:space="preserve">: un ser vivo. </w:t>
      </w:r>
      <w:r w:rsidRPr="00834651">
        <w:rPr>
          <w:i/>
          <w:iCs/>
        </w:rPr>
        <w:t>Sabio</w:t>
      </w:r>
      <w:r>
        <w:t>: Posee</w:t>
      </w:r>
      <w:r w:rsidR="00AD6B1D">
        <w:t>dor</w:t>
      </w:r>
      <w:r>
        <w:t xml:space="preserve"> </w:t>
      </w:r>
      <w:r w:rsidR="00AD6B1D">
        <w:t>d</w:t>
      </w:r>
      <w:r>
        <w:t xml:space="preserve">el tipo de </w:t>
      </w:r>
      <w:r w:rsidR="00834651">
        <w:t>entendimiento</w:t>
      </w:r>
      <w:r>
        <w:t xml:space="preserve"> que nace de</w:t>
      </w:r>
      <w:r w:rsidR="00AD6B1D">
        <w:t>l</w:t>
      </w:r>
      <w:r>
        <w:t xml:space="preserve"> </w:t>
      </w:r>
      <w:proofErr w:type="spellStart"/>
      <w:r w:rsidR="00057BF4" w:rsidRPr="00057BF4">
        <w:rPr>
          <w:i/>
          <w:iCs/>
        </w:rPr>
        <w:t>kamma</w:t>
      </w:r>
      <w:proofErr w:type="spellEnd"/>
      <w:r w:rsidR="00DF6534">
        <w:t xml:space="preserve"> </w:t>
      </w:r>
      <w:r>
        <w:t xml:space="preserve">por medio de un </w:t>
      </w:r>
      <w:r w:rsidR="00C47153" w:rsidRPr="00C71EC8">
        <w:t>vín</w:t>
      </w:r>
      <w:r w:rsidR="00C47153">
        <w:t>culo</w:t>
      </w:r>
      <w:r w:rsidR="00C47153" w:rsidRPr="00C71EC8">
        <w:t>–</w:t>
      </w:r>
      <w:r w:rsidR="00C47153">
        <w:t>de</w:t>
      </w:r>
      <w:r w:rsidR="00C47153" w:rsidRPr="00C71EC8">
        <w:t>–</w:t>
      </w:r>
      <w:r w:rsidR="00C47153">
        <w:t>renacimiento</w:t>
      </w:r>
      <w:r w:rsidR="00C47153" w:rsidRPr="00C71EC8">
        <w:t xml:space="preserve"> </w:t>
      </w:r>
      <w:r>
        <w:t xml:space="preserve">con </w:t>
      </w:r>
      <w:r w:rsidR="00330FA0">
        <w:t xml:space="preserve">la </w:t>
      </w:r>
      <w:r>
        <w:t xml:space="preserve">triple </w:t>
      </w:r>
      <w:r w:rsidR="00EE16AF">
        <w:t>causa–raíz</w:t>
      </w:r>
      <w:r>
        <w:t xml:space="preserve">. </w:t>
      </w:r>
      <w:r w:rsidRPr="001311AF">
        <w:rPr>
          <w:i/>
          <w:iCs/>
        </w:rPr>
        <w:t xml:space="preserve">Desarrolla </w:t>
      </w:r>
      <w:r w:rsidR="00305E12">
        <w:rPr>
          <w:i/>
          <w:iCs/>
        </w:rPr>
        <w:t>consciencia</w:t>
      </w:r>
      <w:r w:rsidRPr="001311AF">
        <w:rPr>
          <w:i/>
          <w:iCs/>
        </w:rPr>
        <w:t xml:space="preserve"> y </w:t>
      </w:r>
      <w:r w:rsidR="00AD6B1D" w:rsidRPr="001311AF">
        <w:rPr>
          <w:i/>
          <w:iCs/>
        </w:rPr>
        <w:t>entendimiento</w:t>
      </w:r>
      <w:r>
        <w:t xml:space="preserve">: desarrolla tanto la concentración como la </w:t>
      </w:r>
      <w:r w:rsidR="00EA7DF8" w:rsidRPr="00527EA6">
        <w:t>sabid</w:t>
      </w:r>
      <w:r w:rsidR="00EA7DF8">
        <w:t>uría–revelativa</w:t>
      </w:r>
      <w:r>
        <w:t xml:space="preserve">. Porque es la concentración </w:t>
      </w:r>
      <w:r w:rsidR="00AD6B1D">
        <w:t xml:space="preserve">la </w:t>
      </w:r>
      <w:r>
        <w:t xml:space="preserve">que se describe aquí bajo el </w:t>
      </w:r>
      <w:r w:rsidR="00AD6B1D">
        <w:t xml:space="preserve">término </w:t>
      </w:r>
      <w:r>
        <w:t>de "</w:t>
      </w:r>
      <w:r w:rsidR="00305E12">
        <w:t>consciencia</w:t>
      </w:r>
      <w:r>
        <w:t xml:space="preserve">" y </w:t>
      </w:r>
      <w:r w:rsidR="00AD6B1D">
        <w:t>la sabiduría</w:t>
      </w:r>
      <w:r>
        <w:t xml:space="preserve"> bajo </w:t>
      </w:r>
      <w:r w:rsidR="00AD6B1D">
        <w:t>el término</w:t>
      </w:r>
      <w:r>
        <w:t xml:space="preserve"> de "</w:t>
      </w:r>
      <w:r w:rsidR="00330FA0">
        <w:t>entendimiento</w:t>
      </w:r>
      <w:r>
        <w:t>".</w:t>
      </w:r>
      <w:r w:rsidRPr="00693547">
        <w:rPr>
          <w:vertAlign w:val="superscript"/>
        </w:rPr>
        <w:t>4</w:t>
      </w:r>
      <w:r>
        <w:t xml:space="preserve"> </w:t>
      </w:r>
      <w:r w:rsidR="00AD6B1D">
        <w:t>ardiente</w:t>
      </w:r>
      <w:r>
        <w:t xml:space="preserve"> (</w:t>
      </w:r>
      <w:proofErr w:type="spellStart"/>
      <w:r w:rsidRPr="00DF6534">
        <w:rPr>
          <w:i/>
          <w:iCs/>
        </w:rPr>
        <w:t>ātāpin</w:t>
      </w:r>
      <w:proofErr w:type="spellEnd"/>
      <w:r>
        <w:t>): posee</w:t>
      </w:r>
      <w:r w:rsidR="00AD6B1D">
        <w:t>dor de</w:t>
      </w:r>
      <w:r>
        <w:t xml:space="preserve"> energía. Porque es </w:t>
      </w:r>
      <w:r w:rsidR="00AD6B1D">
        <w:t xml:space="preserve">a </w:t>
      </w:r>
      <w:r>
        <w:t xml:space="preserve">la energía </w:t>
      </w:r>
      <w:r w:rsidR="00AD6B1D">
        <w:t xml:space="preserve">a lo </w:t>
      </w:r>
      <w:r>
        <w:t xml:space="preserve">que se </w:t>
      </w:r>
      <w:r w:rsidR="00AD6B1D">
        <w:t xml:space="preserve">le denomina </w:t>
      </w:r>
      <w:r>
        <w:t>"</w:t>
      </w:r>
      <w:r w:rsidR="00AD6B1D">
        <w:t>ardor</w:t>
      </w:r>
      <w:r>
        <w:t>" (</w:t>
      </w:r>
      <w:proofErr w:type="spellStart"/>
      <w:r w:rsidRPr="00F233C8">
        <w:rPr>
          <w:i/>
          <w:iCs/>
        </w:rPr>
        <w:t>ātāpa</w:t>
      </w:r>
      <w:proofErr w:type="spellEnd"/>
      <w:r>
        <w:t>) en el sentido de quemar y consumir (</w:t>
      </w:r>
      <w:proofErr w:type="spellStart"/>
      <w:r w:rsidRPr="00DF6534">
        <w:rPr>
          <w:i/>
          <w:iCs/>
        </w:rPr>
        <w:t>ātāpana-paritāpana</w:t>
      </w:r>
      <w:proofErr w:type="spellEnd"/>
      <w:r>
        <w:t xml:space="preserve">). Él </w:t>
      </w:r>
      <w:r w:rsidR="00330FA0">
        <w:t>posee</w:t>
      </w:r>
      <w:r>
        <w:t xml:space="preserve"> e</w:t>
      </w:r>
      <w:r w:rsidR="00330FA0">
        <w:t>ll</w:t>
      </w:r>
      <w:r>
        <w:t xml:space="preserve">o, por lo que es ardiente. </w:t>
      </w:r>
      <w:r w:rsidRPr="00834651">
        <w:rPr>
          <w:i/>
          <w:iCs/>
        </w:rPr>
        <w:t>Sagaz</w:t>
      </w:r>
      <w:r>
        <w:t xml:space="preserve">: es </w:t>
      </w:r>
      <w:r w:rsidR="00AD6B1D">
        <w:t>aquel entendimiento</w:t>
      </w:r>
      <w:r>
        <w:t xml:space="preserve"> </w:t>
      </w:r>
      <w:r w:rsidR="00AD6B1D">
        <w:t xml:space="preserve">al </w:t>
      </w:r>
      <w:r>
        <w:t xml:space="preserve">que se </w:t>
      </w:r>
      <w:r w:rsidR="00AD6B1D">
        <w:t xml:space="preserve">le </w:t>
      </w:r>
      <w:r>
        <w:t xml:space="preserve">llama "sagacidad"; </w:t>
      </w:r>
      <w:r w:rsidR="00834651">
        <w:t xml:space="preserve">poseer </w:t>
      </w:r>
      <w:r>
        <w:t>eso, es el</w:t>
      </w:r>
      <w:r w:rsidR="00834651">
        <w:t>lo</w:t>
      </w:r>
      <w:r>
        <w:t xml:space="preserve"> </w:t>
      </w:r>
    </w:p>
    <w:p w14:paraId="21B03538" w14:textId="1EF8AED1" w:rsidR="00D75317" w:rsidRPr="00D75317" w:rsidRDefault="00D75317" w:rsidP="00D75317">
      <w:pPr>
        <w:pStyle w:val="PiedepginaLegal"/>
        <w:rPr>
          <w:u w:val="single"/>
        </w:rPr>
      </w:pPr>
      <w:r w:rsidRPr="00D75317">
        <w:rPr>
          <w:u w:val="single"/>
        </w:rPr>
        <w:t xml:space="preserve">                                                                                                                                       .</w:t>
      </w:r>
    </w:p>
    <w:p w14:paraId="1E64D274" w14:textId="65843B3F" w:rsidR="00672E5D" w:rsidRDefault="00D75317" w:rsidP="00D75317">
      <w:pPr>
        <w:pStyle w:val="PiedepginaLegal"/>
      </w:pPr>
      <w:r>
        <w:t xml:space="preserve">4. </w:t>
      </w:r>
      <w:r>
        <w:tab/>
        <w:t>"</w:t>
      </w:r>
      <w:r w:rsidR="00BC019E">
        <w:t>’</w:t>
      </w:r>
      <w:r>
        <w:t>Desarrolla</w:t>
      </w:r>
      <w:r w:rsidR="00BC019E">
        <w:t xml:space="preserve">’ </w:t>
      </w:r>
      <w:r>
        <w:t xml:space="preserve">se aplica tanto </w:t>
      </w:r>
      <w:r w:rsidR="00BC019E">
        <w:t>en</w:t>
      </w:r>
      <w:r>
        <w:t xml:space="preserve"> la</w:t>
      </w:r>
      <w:r w:rsidR="00BC019E">
        <w:t xml:space="preserve"> ‘</w:t>
      </w:r>
      <w:r w:rsidR="00305E12">
        <w:t>consciencia</w:t>
      </w:r>
      <w:r w:rsidR="00BC019E">
        <w:t xml:space="preserve">’ </w:t>
      </w:r>
      <w:r>
        <w:t xml:space="preserve">como </w:t>
      </w:r>
      <w:r w:rsidR="00BC019E">
        <w:t>en</w:t>
      </w:r>
      <w:r>
        <w:t xml:space="preserve"> la</w:t>
      </w:r>
      <w:r w:rsidR="00BC019E">
        <w:t xml:space="preserve"> ‘</w:t>
      </w:r>
      <w:r>
        <w:t>comprensión</w:t>
      </w:r>
      <w:r w:rsidR="00BC019E">
        <w:t>’</w:t>
      </w:r>
      <w:r>
        <w:t xml:space="preserve">. ¿Pero son mundanos o supramundanos? Son supramundanos, porque se describe el objetivo sublime; </w:t>
      </w:r>
      <w:r w:rsidR="00BC019E">
        <w:t xml:space="preserve">ya que para </w:t>
      </w:r>
      <w:r>
        <w:t xml:space="preserve">que uno </w:t>
      </w:r>
      <w:r w:rsidR="00BC019E">
        <w:t xml:space="preserve">los </w:t>
      </w:r>
      <w:r>
        <w:t>desarrolle,</w:t>
      </w:r>
      <w:r w:rsidR="00BC019E">
        <w:t xml:space="preserve"> se dice que</w:t>
      </w:r>
      <w:r>
        <w:t xml:space="preserve"> desenreda</w:t>
      </w:r>
      <w:r w:rsidR="00BC019E">
        <w:t>rá</w:t>
      </w:r>
      <w:r>
        <w:t xml:space="preserve"> </w:t>
      </w:r>
      <w:r w:rsidR="00BC019E">
        <w:t xml:space="preserve">el enredo del deseo </w:t>
      </w:r>
      <w:r>
        <w:t xml:space="preserve">al </w:t>
      </w:r>
      <w:r w:rsidR="00BC019E">
        <w:t>erradicarlo</w:t>
      </w:r>
      <w:r>
        <w:t xml:space="preserve"> en el momento del </w:t>
      </w:r>
      <w:r w:rsidR="00BC019E">
        <w:t>sendero</w:t>
      </w:r>
      <w:r>
        <w:t xml:space="preserve">, y eso no es mundano. </w:t>
      </w:r>
      <w:r w:rsidR="00BC019E">
        <w:t xml:space="preserve">No obstante, </w:t>
      </w:r>
      <w:r>
        <w:t xml:space="preserve">los mundanos también se incluyen aquí porque </w:t>
      </w:r>
      <w:r w:rsidR="00BC019E">
        <w:t xml:space="preserve">lo </w:t>
      </w:r>
      <w:r>
        <w:t xml:space="preserve">preceden inmediatamente, ya que la concentración y la visión supramundana (ver cap. III n. 5) son imposibles sin la concentración mundana y la visión para precederlos; </w:t>
      </w:r>
      <w:r w:rsidR="00BC019E">
        <w:t xml:space="preserve">ya </w:t>
      </w:r>
      <w:r>
        <w:t xml:space="preserve">que sin la concentración de acceso y absorción en </w:t>
      </w:r>
      <w:r w:rsidR="00BC019E">
        <w:t>alguien</w:t>
      </w:r>
      <w:r>
        <w:t xml:space="preserve"> cuyo vehículo es </w:t>
      </w:r>
      <w:r w:rsidR="00BC019E">
        <w:t xml:space="preserve">la </w:t>
      </w:r>
      <w:r>
        <w:t xml:space="preserve">serenidad, o sin la concentración momentánea en </w:t>
      </w:r>
      <w:r w:rsidR="00BC019E">
        <w:t>alguien</w:t>
      </w:r>
      <w:r>
        <w:t xml:space="preserve"> cuyo vehículo </w:t>
      </w:r>
      <w:r w:rsidR="00232FFC">
        <w:t>sea</w:t>
      </w:r>
      <w:r>
        <w:t xml:space="preserve"> </w:t>
      </w:r>
      <w:r w:rsidR="00BC019E">
        <w:t>la sabiduría</w:t>
      </w:r>
      <w:r>
        <w:t xml:space="preserve">, y sin las puertas de enlace de la liberación (ver xxi.66f.), </w:t>
      </w:r>
      <w:r w:rsidR="00BC019E">
        <w:t>lo</w:t>
      </w:r>
      <w:r>
        <w:t xml:space="preserve"> supramundano nunca </w:t>
      </w:r>
      <w:r w:rsidR="00BC019E">
        <w:t>podrá</w:t>
      </w:r>
      <w:r>
        <w:t xml:space="preserve"> llegar </w:t>
      </w:r>
      <w:r w:rsidR="00BC019E">
        <w:t xml:space="preserve">consumarse </w:t>
      </w:r>
      <w:r>
        <w:t xml:space="preserve">a ninguno de los casos" (VISM-MHÞ 13). "Con triple </w:t>
      </w:r>
      <w:r w:rsidR="00EE16AF">
        <w:t>causa–raíz</w:t>
      </w:r>
      <w:r>
        <w:t>" significa con no</w:t>
      </w:r>
      <w:r w:rsidR="00BC019E">
        <w:t>-codicia</w:t>
      </w:r>
      <w:r>
        <w:t xml:space="preserve">, </w:t>
      </w:r>
      <w:r w:rsidR="00BC019E">
        <w:t>no-</w:t>
      </w:r>
      <w:r>
        <w:t xml:space="preserve">odio y </w:t>
      </w:r>
      <w:r w:rsidR="00BC019E">
        <w:t>no-ilusión</w:t>
      </w:r>
      <w:r>
        <w:t>.</w:t>
      </w:r>
    </w:p>
    <w:p w14:paraId="6B2E6AD9" w14:textId="77777777" w:rsidR="00672E5D" w:rsidRDefault="00672E5D">
      <w:pPr>
        <w:tabs>
          <w:tab w:val="clear" w:pos="425"/>
        </w:tabs>
        <w:rPr>
          <w:color w:val="000000" w:themeColor="text1"/>
          <w:spacing w:val="10"/>
          <w:sz w:val="14"/>
        </w:rPr>
      </w:pPr>
      <w:r>
        <w:br w:type="page"/>
      </w:r>
    </w:p>
    <w:p w14:paraId="6AA913F3" w14:textId="77777777" w:rsidR="00672E5D" w:rsidRDefault="00672E5D" w:rsidP="00672E5D"/>
    <w:p w14:paraId="579D1CD5" w14:textId="380566D8" w:rsidR="00672E5D" w:rsidRDefault="000023C6" w:rsidP="00672E5D">
      <w:r>
        <w:t xml:space="preserve">significado. Esta palabra alude a un entendimiento protector. El entendimiento se </w:t>
      </w:r>
      <w:r w:rsidR="00AD6B1D">
        <w:t xml:space="preserve">menciona </w:t>
      </w:r>
      <w:r w:rsidR="00672E5D">
        <w:t xml:space="preserve">tres veces en la respuesta a la pregunta. Aquí, el primero es </w:t>
      </w:r>
      <w:r w:rsidR="00AD6B1D">
        <w:t xml:space="preserve">el </w:t>
      </w:r>
      <w:r w:rsidR="00672E5D">
        <w:t xml:space="preserve">entendimiento ingenuo, el segundo es </w:t>
      </w:r>
      <w:r w:rsidR="00AD6B1D">
        <w:t xml:space="preserve">el </w:t>
      </w:r>
      <w:r w:rsidR="00672E5D">
        <w:t>entendimiento consiste</w:t>
      </w:r>
      <w:r w:rsidR="00D201F1">
        <w:t>nte</w:t>
      </w:r>
      <w:r w:rsidR="00672E5D">
        <w:t xml:space="preserve"> </w:t>
      </w:r>
      <w:r w:rsidR="00AD6B1D">
        <w:t>en la sabiduría</w:t>
      </w:r>
      <w:r w:rsidR="00672E5D">
        <w:t xml:space="preserve">, mientras que el tercero es el entendimiento protector que guía todos los asuntos. </w:t>
      </w:r>
      <w:r w:rsidR="00D201F1">
        <w:t>Observa</w:t>
      </w:r>
      <w:r w:rsidR="007254C5">
        <w:t>r</w:t>
      </w:r>
      <w:r w:rsidR="00D201F1">
        <w:t xml:space="preserve"> el</w:t>
      </w:r>
      <w:r w:rsidR="00672E5D">
        <w:t xml:space="preserve"> miedo (</w:t>
      </w:r>
      <w:proofErr w:type="spellStart"/>
      <w:r w:rsidR="00672E5D" w:rsidRPr="0010259C">
        <w:rPr>
          <w:i/>
          <w:iCs/>
        </w:rPr>
        <w:t>bhayaṃ</w:t>
      </w:r>
      <w:proofErr w:type="spellEnd"/>
      <w:r w:rsidR="00672E5D" w:rsidRPr="0010259C">
        <w:rPr>
          <w:i/>
          <w:iCs/>
        </w:rPr>
        <w:t xml:space="preserve"> </w:t>
      </w:r>
      <w:proofErr w:type="spellStart"/>
      <w:r w:rsidR="00672E5D" w:rsidRPr="0010259C">
        <w:rPr>
          <w:i/>
          <w:iCs/>
        </w:rPr>
        <w:t>ikkhati</w:t>
      </w:r>
      <w:proofErr w:type="spellEnd"/>
      <w:r w:rsidR="00672E5D">
        <w:t xml:space="preserve">) en </w:t>
      </w:r>
      <w:r w:rsidR="00AD6B1D">
        <w:t xml:space="preserve">el ciclo </w:t>
      </w:r>
      <w:r w:rsidR="00672E5D">
        <w:t xml:space="preserve">de renacimientos, </w:t>
      </w:r>
      <w:r w:rsidR="007254C5">
        <w:t xml:space="preserve">es </w:t>
      </w:r>
      <w:r w:rsidR="00672E5D">
        <w:t xml:space="preserve">lo que </w:t>
      </w:r>
      <w:r w:rsidR="00C62078">
        <w:t>hace</w:t>
      </w:r>
      <w:r w:rsidR="00672E5D">
        <w:t xml:space="preserve"> un </w:t>
      </w:r>
      <w:proofErr w:type="spellStart"/>
      <w:r w:rsidR="00057BF4" w:rsidRPr="00057BF4">
        <w:rPr>
          <w:i/>
          <w:iCs/>
        </w:rPr>
        <w:t>bhikkhu</w:t>
      </w:r>
      <w:proofErr w:type="spellEnd"/>
      <w:r w:rsidR="00672E5D">
        <w:t xml:space="preserve">. </w:t>
      </w:r>
      <w:r w:rsidR="00672E5D" w:rsidRPr="00107C32">
        <w:rPr>
          <w:i/>
          <w:iCs/>
        </w:rPr>
        <w:t xml:space="preserve">Logra desenredar esta </w:t>
      </w:r>
      <w:r w:rsidR="00AD6B1D">
        <w:rPr>
          <w:i/>
          <w:iCs/>
        </w:rPr>
        <w:t>enredo</w:t>
      </w:r>
      <w:r w:rsidR="00672E5D">
        <w:t xml:space="preserve">: [4] Así como un hombre parado en el suelo y tomando un </w:t>
      </w:r>
      <w:r w:rsidR="00AD6B1D">
        <w:t>machete</w:t>
      </w:r>
      <w:r w:rsidR="00672E5D">
        <w:t xml:space="preserve"> bien afilado puede desenredar una gran maraña de bambúes, así también él, </w:t>
      </w:r>
      <w:r w:rsidR="00C62078">
        <w:t xml:space="preserve">— </w:t>
      </w:r>
      <w:r w:rsidR="00672E5D">
        <w:t xml:space="preserve">este </w:t>
      </w:r>
      <w:proofErr w:type="spellStart"/>
      <w:r w:rsidR="00057BF4" w:rsidRPr="00057BF4">
        <w:rPr>
          <w:i/>
          <w:iCs/>
        </w:rPr>
        <w:t>bhikkhu</w:t>
      </w:r>
      <w:proofErr w:type="spellEnd"/>
      <w:r w:rsidR="00672E5D">
        <w:t xml:space="preserve"> que posee las seis cosas, </w:t>
      </w:r>
      <w:r w:rsidR="00AD6B1D">
        <w:t>es decir</w:t>
      </w:r>
      <w:r w:rsidR="00672E5D">
        <w:t>, est</w:t>
      </w:r>
      <w:r w:rsidR="00AD6B1D">
        <w:t>a</w:t>
      </w:r>
      <w:r w:rsidR="00672E5D">
        <w:t xml:space="preserve"> virtud, y esta concentración descrita bajo el </w:t>
      </w:r>
      <w:r w:rsidR="00AD6B1D">
        <w:t xml:space="preserve">término </w:t>
      </w:r>
      <w:r w:rsidR="00672E5D">
        <w:t xml:space="preserve">de </w:t>
      </w:r>
      <w:r w:rsidR="00305E12">
        <w:t>consciencia</w:t>
      </w:r>
      <w:r w:rsidR="00672E5D">
        <w:t xml:space="preserve">, y este triple entendimiento, y este ardor—de pie </w:t>
      </w:r>
      <w:r w:rsidR="008E6F0D">
        <w:t>sobre</w:t>
      </w:r>
      <w:r w:rsidR="00672E5D">
        <w:t xml:space="preserve"> el suelo de la virtud y empuñando con la mano de la comprensión protectora</w:t>
      </w:r>
      <w:r w:rsidR="00F60B49">
        <w:t>,</w:t>
      </w:r>
      <w:r w:rsidR="00672E5D">
        <w:t xml:space="preserve"> ejercida por el poder de la energía</w:t>
      </w:r>
      <w:r w:rsidR="008E6F0D">
        <w:t>,</w:t>
      </w:r>
      <w:r w:rsidR="00672E5D">
        <w:t xml:space="preserve"> el </w:t>
      </w:r>
      <w:r w:rsidR="00AD6B1D">
        <w:t xml:space="preserve">machete </w:t>
      </w:r>
      <w:r w:rsidR="00672E5D">
        <w:t xml:space="preserve">de la </w:t>
      </w:r>
      <w:r w:rsidR="00AD6B1D">
        <w:t xml:space="preserve">sabiduría </w:t>
      </w:r>
      <w:r w:rsidR="00672E5D">
        <w:t>bien afilad</w:t>
      </w:r>
      <w:r w:rsidR="008E6F0D">
        <w:t>o</w:t>
      </w:r>
      <w:r w:rsidR="00672E5D">
        <w:t xml:space="preserve"> </w:t>
      </w:r>
      <w:r w:rsidR="00AD6B1D">
        <w:t>sobre</w:t>
      </w:r>
      <w:r w:rsidR="00672E5D">
        <w:t xml:space="preserve"> la piedra de la concentración, podr</w:t>
      </w:r>
      <w:r w:rsidR="00AD6B1D">
        <w:t>á</w:t>
      </w:r>
      <w:r w:rsidR="00672E5D">
        <w:t xml:space="preserve"> desenredar, cortar y demoler toda </w:t>
      </w:r>
      <w:r w:rsidR="008E6F0D">
        <w:t>el enredo</w:t>
      </w:r>
      <w:r w:rsidR="00672E5D">
        <w:t xml:space="preserve"> de</w:t>
      </w:r>
      <w:r w:rsidR="008E6F0D">
        <w:t>l</w:t>
      </w:r>
      <w:r w:rsidR="00672E5D">
        <w:t xml:space="preserve"> </w:t>
      </w:r>
      <w:r w:rsidR="00AD6B1D">
        <w:t>deseo</w:t>
      </w:r>
      <w:r w:rsidR="00672E5D">
        <w:t xml:space="preserve"> que ha invadido la continuidad de su propia vida. </w:t>
      </w:r>
      <w:r w:rsidR="00866437">
        <w:t>No obstante,</w:t>
      </w:r>
      <w:r w:rsidR="00672E5D">
        <w:t xml:space="preserve"> es en el momento </w:t>
      </w:r>
      <w:r w:rsidR="007254C5">
        <w:t>que consum</w:t>
      </w:r>
      <w:r w:rsidR="007A02BD">
        <w:t>a el</w:t>
      </w:r>
      <w:r w:rsidR="00672E5D">
        <w:t xml:space="preserve"> </w:t>
      </w:r>
      <w:r w:rsidR="007254C5">
        <w:t>sendero</w:t>
      </w:r>
      <w:r w:rsidR="00AF030F">
        <w:t xml:space="preserve"> </w:t>
      </w:r>
      <w:r w:rsidR="00672E5D">
        <w:t>que se di</w:t>
      </w:r>
      <w:r w:rsidR="00866437">
        <w:t>rá</w:t>
      </w:r>
      <w:r w:rsidR="00672E5D">
        <w:t xml:space="preserve"> que </w:t>
      </w:r>
      <w:r w:rsidR="00AD6B1D">
        <w:t xml:space="preserve">se </w:t>
      </w:r>
      <w:r w:rsidR="00672E5D">
        <w:t xml:space="preserve">está desenredando </w:t>
      </w:r>
      <w:r w:rsidR="007A02BD">
        <w:t>d</w:t>
      </w:r>
      <w:r w:rsidR="00AD6B1D">
        <w:t>el</w:t>
      </w:r>
      <w:r w:rsidR="00672E5D">
        <w:t xml:space="preserve"> </w:t>
      </w:r>
      <w:r w:rsidR="00AD6B1D">
        <w:t>enredo</w:t>
      </w:r>
      <w:r w:rsidR="00672E5D">
        <w:t xml:space="preserve">; en el momento de la fruición </w:t>
      </w:r>
      <w:r w:rsidR="00AD6B1D">
        <w:t xml:space="preserve">se </w:t>
      </w:r>
      <w:r w:rsidR="00672E5D">
        <w:t>ha</w:t>
      </w:r>
      <w:r w:rsidR="00866437">
        <w:t>brá</w:t>
      </w:r>
      <w:r w:rsidR="00672E5D">
        <w:t xml:space="preserve"> desenredado </w:t>
      </w:r>
      <w:r w:rsidR="00AD6B1D">
        <w:t>el enredo</w:t>
      </w:r>
      <w:r w:rsidR="00672E5D">
        <w:t xml:space="preserve"> y </w:t>
      </w:r>
      <w:r w:rsidR="0015699E">
        <w:t>él será</w:t>
      </w:r>
      <w:r w:rsidR="00672E5D">
        <w:t xml:space="preserve"> digno de las más </w:t>
      </w:r>
      <w:r w:rsidR="00AD6B1D">
        <w:t xml:space="preserve">elevadas </w:t>
      </w:r>
      <w:r w:rsidR="00672E5D">
        <w:t xml:space="preserve">ofrendas del mundo con </w:t>
      </w:r>
      <w:r w:rsidR="00AD6B1D">
        <w:t xml:space="preserve">todas </w:t>
      </w:r>
      <w:r w:rsidR="00672E5D">
        <w:t>sus deidades. Por e</w:t>
      </w:r>
      <w:r w:rsidR="00AD6B1D">
        <w:t>ll</w:t>
      </w:r>
      <w:r w:rsidR="00672E5D">
        <w:t xml:space="preserve">o el </w:t>
      </w:r>
      <w:r w:rsidR="00AD6B1D" w:rsidRPr="00AD6B1D">
        <w:rPr>
          <w:i/>
          <w:iCs/>
        </w:rPr>
        <w:t>Bhagavā</w:t>
      </w:r>
      <w:r w:rsidR="00AD6B1D">
        <w:t xml:space="preserve"> </w:t>
      </w:r>
      <w:r w:rsidR="00672E5D">
        <w:t>dijo:</w:t>
      </w:r>
    </w:p>
    <w:p w14:paraId="4167F0FE" w14:textId="77777777" w:rsidR="00672E5D" w:rsidRDefault="00672E5D" w:rsidP="00672E5D">
      <w:pPr>
        <w:pStyle w:val="VersoIngls01Sangria"/>
      </w:pPr>
      <w:r>
        <w:t>“Cuando un hombre sabio, bien establecido en la virtud,</w:t>
      </w:r>
    </w:p>
    <w:p w14:paraId="4B952367" w14:textId="4421ADB5" w:rsidR="00672E5D" w:rsidRDefault="00672E5D" w:rsidP="00672E5D">
      <w:pPr>
        <w:pStyle w:val="VersoIngls01Sangria"/>
      </w:pPr>
      <w:r>
        <w:t>Desarroll</w:t>
      </w:r>
      <w:r w:rsidR="00AD6B1D">
        <w:t>e</w:t>
      </w:r>
      <w:r>
        <w:t xml:space="preserve"> </w:t>
      </w:r>
      <w:r w:rsidR="00305E12">
        <w:t>consciencia</w:t>
      </w:r>
      <w:r>
        <w:t xml:space="preserve"> y </w:t>
      </w:r>
      <w:r w:rsidR="00AD6B1D">
        <w:t>entendimiento</w:t>
      </w:r>
      <w:r>
        <w:t>,</w:t>
      </w:r>
    </w:p>
    <w:p w14:paraId="337C0C2C" w14:textId="2BA1E8E2" w:rsidR="00672E5D" w:rsidRDefault="00AD6B1D" w:rsidP="00672E5D">
      <w:pPr>
        <w:pStyle w:val="VersoIngls01Sangria"/>
      </w:pPr>
      <w:r>
        <w:t>Entonces</w:t>
      </w:r>
      <w:r w:rsidR="00672E5D">
        <w:t xml:space="preserve">, </w:t>
      </w:r>
      <w:proofErr w:type="spellStart"/>
      <w:r>
        <w:t>a</w:t>
      </w:r>
      <w:proofErr w:type="spellEnd"/>
      <w:r>
        <w:t xml:space="preserve"> igual que </w:t>
      </w:r>
      <w:r w:rsidR="00672E5D">
        <w:t>un ardiente y sagaz</w:t>
      </w:r>
      <w:r w:rsidRPr="00AD6B1D">
        <w:rPr>
          <w:i/>
          <w:iCs/>
        </w:rPr>
        <w:t xml:space="preserve"> </w:t>
      </w:r>
      <w:proofErr w:type="spellStart"/>
      <w:r w:rsidRPr="00057BF4">
        <w:rPr>
          <w:i/>
          <w:iCs/>
        </w:rPr>
        <w:t>bhikkhu</w:t>
      </w:r>
      <w:proofErr w:type="spellEnd"/>
    </w:p>
    <w:p w14:paraId="38EBC116" w14:textId="48650424" w:rsidR="00672E5D" w:rsidRDefault="00672E5D" w:rsidP="00672E5D">
      <w:pPr>
        <w:pStyle w:val="VersoIngls01Sangria"/>
        <w:spacing w:after="100"/>
        <w:ind w:left="1418"/>
      </w:pPr>
      <w:r>
        <w:t>Logra</w:t>
      </w:r>
      <w:r w:rsidR="00AD6B1D">
        <w:t>rá</w:t>
      </w:r>
      <w:r>
        <w:t xml:space="preserve"> desenredar este enredo”.</w:t>
      </w:r>
    </w:p>
    <w:p w14:paraId="475B3F4F" w14:textId="549550BA" w:rsidR="00672E5D" w:rsidRDefault="00672E5D" w:rsidP="00672E5D">
      <w:r>
        <w:t xml:space="preserve">8. </w:t>
      </w:r>
      <w:r w:rsidR="00107C32">
        <w:tab/>
      </w:r>
      <w:r>
        <w:t xml:space="preserve">Aquí no tiene nada que </w:t>
      </w:r>
      <w:r w:rsidR="00A96137">
        <w:t>ver</w:t>
      </w:r>
      <w:r>
        <w:t xml:space="preserve"> el entendimiento [ingenuo] </w:t>
      </w:r>
      <w:r w:rsidR="001D2E57">
        <w:t>a lo</w:t>
      </w:r>
      <w:r w:rsidR="00D223AF">
        <w:t xml:space="preserve"> que </w:t>
      </w:r>
      <w:r>
        <w:t xml:space="preserve">se le </w:t>
      </w:r>
      <w:r w:rsidR="001D2E57">
        <w:t>designe como</w:t>
      </w:r>
      <w:r>
        <w:t xml:space="preserve"> </w:t>
      </w:r>
      <w:r w:rsidRPr="00A96137">
        <w:rPr>
          <w:i/>
          <w:iCs/>
        </w:rPr>
        <w:t>sabio</w:t>
      </w:r>
      <w:r>
        <w:t xml:space="preserve">; porque eso ha sido establecido en él simplemente por la influencia del </w:t>
      </w:r>
      <w:proofErr w:type="spellStart"/>
      <w:r w:rsidR="00057BF4" w:rsidRPr="00057BF4">
        <w:rPr>
          <w:i/>
          <w:iCs/>
        </w:rPr>
        <w:t>kamma</w:t>
      </w:r>
      <w:proofErr w:type="spellEnd"/>
      <w:r>
        <w:t xml:space="preserve"> </w:t>
      </w:r>
      <w:r w:rsidR="00D223AF">
        <w:t>del pasado</w:t>
      </w:r>
      <w:r>
        <w:t xml:space="preserve">. Pero las palabras </w:t>
      </w:r>
      <w:r w:rsidRPr="00365B12">
        <w:rPr>
          <w:i/>
          <w:iCs/>
        </w:rPr>
        <w:t>ardiente</w:t>
      </w:r>
      <w:r>
        <w:t xml:space="preserve"> y </w:t>
      </w:r>
      <w:r w:rsidRPr="00D223AF">
        <w:rPr>
          <w:i/>
          <w:iCs/>
        </w:rPr>
        <w:t>sagaz</w:t>
      </w:r>
      <w:r>
        <w:t xml:space="preserve"> significan que, perseverando con la energía descrita aquí y actuando con plena </w:t>
      </w:r>
      <w:r w:rsidR="00305E12">
        <w:t>consciencia</w:t>
      </w:r>
      <w:r>
        <w:t xml:space="preserve"> y </w:t>
      </w:r>
      <w:r w:rsidR="00D223AF">
        <w:t>entendimiento</w:t>
      </w:r>
      <w:r>
        <w:t xml:space="preserve">, debe, habiéndose </w:t>
      </w:r>
      <w:r w:rsidR="00D223AF">
        <w:t xml:space="preserve">bien </w:t>
      </w:r>
      <w:r>
        <w:t xml:space="preserve">establecido en la virtud, desarrollar la serenidad y la </w:t>
      </w:r>
      <w:r w:rsidR="003776B4">
        <w:t>sabiduría</w:t>
      </w:r>
      <w:r>
        <w:t xml:space="preserve"> que se describen como </w:t>
      </w:r>
      <w:r w:rsidRPr="00365B12">
        <w:rPr>
          <w:i/>
          <w:iCs/>
        </w:rPr>
        <w:t>concentración</w:t>
      </w:r>
      <w:r>
        <w:t xml:space="preserve"> y </w:t>
      </w:r>
      <w:r w:rsidR="003776B4">
        <w:rPr>
          <w:i/>
          <w:iCs/>
        </w:rPr>
        <w:t>entendimiento</w:t>
      </w:r>
      <w:r>
        <w:t xml:space="preserve">. Así es como el </w:t>
      </w:r>
      <w:r w:rsidR="003776B4" w:rsidRPr="003776B4">
        <w:rPr>
          <w:i/>
          <w:iCs/>
        </w:rPr>
        <w:t>Bhagavā</w:t>
      </w:r>
      <w:r>
        <w:t xml:space="preserve"> muestra </w:t>
      </w:r>
      <w:r w:rsidR="003776B4">
        <w:t xml:space="preserve">anteriormente </w:t>
      </w:r>
      <w:r>
        <w:t xml:space="preserve">el </w:t>
      </w:r>
      <w:r w:rsidR="003776B4">
        <w:t xml:space="preserve">sendero </w:t>
      </w:r>
      <w:r>
        <w:t xml:space="preserve">de la purificación bajo los </w:t>
      </w:r>
      <w:r w:rsidR="003776B4">
        <w:t>términos</w:t>
      </w:r>
      <w:r>
        <w:t xml:space="preserve"> de virtud, concentración y </w:t>
      </w:r>
      <w:r w:rsidR="003776B4">
        <w:t>sabiduría</w:t>
      </w:r>
      <w:r>
        <w:t>.</w:t>
      </w:r>
    </w:p>
    <w:p w14:paraId="12989D22" w14:textId="68E3BCE5" w:rsidR="00672E5D" w:rsidRDefault="00672E5D" w:rsidP="00672E5D">
      <w:r>
        <w:t xml:space="preserve">9. </w:t>
      </w:r>
      <w:r w:rsidR="00107C32">
        <w:tab/>
      </w:r>
      <w:r>
        <w:t xml:space="preserve">Lo que se ha mostrado hasta ahora son los tres entrenamientos, la dispensación que es buena en tres formas, la condición necesaria para la triple visión clara, etc., la </w:t>
      </w:r>
      <w:r w:rsidR="00172691">
        <w:t>elusión</w:t>
      </w:r>
      <w:r>
        <w:t xml:space="preserve"> de los dos extremos y el cultivo del </w:t>
      </w:r>
      <w:r w:rsidR="00172691">
        <w:t>sendero</w:t>
      </w:r>
      <w:r>
        <w:t xml:space="preserve"> medio, </w:t>
      </w:r>
      <w:r w:rsidR="008F6C95">
        <w:t xml:space="preserve">los </w:t>
      </w:r>
      <w:r>
        <w:t>medios para superar los estados de p</w:t>
      </w:r>
      <w:r w:rsidR="008F6C95">
        <w:t>e</w:t>
      </w:r>
      <w:r>
        <w:t>rdi</w:t>
      </w:r>
      <w:r w:rsidR="008F6C95">
        <w:t>ción</w:t>
      </w:r>
      <w:r>
        <w:t xml:space="preserve">, etc., el abandono de las impurezas en </w:t>
      </w:r>
      <w:r w:rsidR="006509E7">
        <w:t>3</w:t>
      </w:r>
      <w:r>
        <w:t xml:space="preserve"> aspectos, la prevención de la transgresión, etc., la purificación de los tres tipos de impurezas, y la razón de los estados </w:t>
      </w:r>
      <w:r w:rsidR="00E14A83">
        <w:t>para la</w:t>
      </w:r>
      <w:r>
        <w:t xml:space="preserve"> entrada </w:t>
      </w:r>
      <w:r w:rsidR="00E14A83">
        <w:t xml:space="preserve">a </w:t>
      </w:r>
      <w:r>
        <w:t>la corriente, etc. ¿Cómo?</w:t>
      </w:r>
    </w:p>
    <w:p w14:paraId="03D0D641" w14:textId="23FE3248" w:rsidR="00672E5D" w:rsidRDefault="00672E5D" w:rsidP="00672E5D">
      <w:r>
        <w:t xml:space="preserve">10. </w:t>
      </w:r>
      <w:r w:rsidR="00107C32">
        <w:tab/>
      </w:r>
      <w:r>
        <w:t xml:space="preserve">Aquí el entrenamiento de la </w:t>
      </w:r>
      <w:r w:rsidR="002A1EC2">
        <w:t xml:space="preserve">elevada </w:t>
      </w:r>
      <w:r>
        <w:t xml:space="preserve">virtud se muestra </w:t>
      </w:r>
      <w:r w:rsidR="000730B1">
        <w:t xml:space="preserve">mediante </w:t>
      </w:r>
      <w:r>
        <w:t xml:space="preserve">la </w:t>
      </w:r>
      <w:r w:rsidRPr="00365B12">
        <w:rPr>
          <w:i/>
          <w:iCs/>
        </w:rPr>
        <w:t>virtud</w:t>
      </w:r>
      <w:r>
        <w:t xml:space="preserve">; el entrenamiento de la </w:t>
      </w:r>
      <w:r w:rsidR="00305E12">
        <w:t>consciencia</w:t>
      </w:r>
      <w:r>
        <w:t xml:space="preserve"> superior, </w:t>
      </w:r>
      <w:r w:rsidR="00567ACA">
        <w:t>mediante la</w:t>
      </w:r>
      <w:r>
        <w:t xml:space="preserve"> </w:t>
      </w:r>
      <w:r w:rsidRPr="00365B12">
        <w:rPr>
          <w:i/>
          <w:iCs/>
        </w:rPr>
        <w:t>concentración</w:t>
      </w:r>
      <w:r>
        <w:t xml:space="preserve">; y </w:t>
      </w:r>
      <w:r w:rsidR="00567ACA">
        <w:t>el entrenamiento</w:t>
      </w:r>
      <w:r>
        <w:t xml:space="preserve">, </w:t>
      </w:r>
      <w:r w:rsidR="004B5F80">
        <w:t xml:space="preserve">mediante el </w:t>
      </w:r>
      <w:r w:rsidR="00C97693">
        <w:rPr>
          <w:i/>
          <w:iCs/>
        </w:rPr>
        <w:t xml:space="preserve">elevado </w:t>
      </w:r>
      <w:r w:rsidR="004B5F80">
        <w:rPr>
          <w:i/>
          <w:iCs/>
        </w:rPr>
        <w:t>entendimiento</w:t>
      </w:r>
      <w:r>
        <w:t>.</w:t>
      </w:r>
    </w:p>
    <w:p w14:paraId="7DB8383A" w14:textId="4DC301A0" w:rsidR="00672E5D" w:rsidRDefault="00672E5D" w:rsidP="00672E5D">
      <w:pPr>
        <w:pStyle w:val="NormalConSangria"/>
      </w:pPr>
      <w:r w:rsidRPr="00365B12">
        <w:rPr>
          <w:i/>
          <w:iCs/>
        </w:rPr>
        <w:t xml:space="preserve">La bondad de la dispensación al </w:t>
      </w:r>
      <w:r w:rsidR="000170AF">
        <w:rPr>
          <w:i/>
          <w:iCs/>
        </w:rPr>
        <w:t xml:space="preserve">comienzo </w:t>
      </w:r>
      <w:r w:rsidR="00406806">
        <w:rPr>
          <w:i/>
          <w:iCs/>
        </w:rPr>
        <w:t>es expuesta</w:t>
      </w:r>
      <w:r w:rsidRPr="00365B12">
        <w:rPr>
          <w:i/>
          <w:iCs/>
        </w:rPr>
        <w:t xml:space="preserve"> </w:t>
      </w:r>
      <w:r w:rsidR="008F027D">
        <w:rPr>
          <w:i/>
          <w:iCs/>
        </w:rPr>
        <w:t>mediante</w:t>
      </w:r>
      <w:r w:rsidRPr="00365B12">
        <w:rPr>
          <w:i/>
          <w:iCs/>
        </w:rPr>
        <w:t xml:space="preserve"> la virtud</w:t>
      </w:r>
      <w:r>
        <w:t xml:space="preserve">. </w:t>
      </w:r>
      <w:r w:rsidR="005F7BEF">
        <w:t>Mediante</w:t>
      </w:r>
      <w:r>
        <w:t xml:space="preserve"> el pasaje, “¿Y cuál es el </w:t>
      </w:r>
      <w:r w:rsidR="000170AF">
        <w:t xml:space="preserve">comienzo </w:t>
      </w:r>
      <w:r>
        <w:t xml:space="preserve">de las cosas </w:t>
      </w:r>
      <w:r w:rsidR="001619EB">
        <w:t>productivas</w:t>
      </w:r>
      <w:r>
        <w:t xml:space="preserve">? </w:t>
      </w:r>
      <w:r w:rsidR="000170AF">
        <w:t>La v</w:t>
      </w:r>
      <w:r>
        <w:t>irtud que est</w:t>
      </w:r>
      <w:r w:rsidR="000170AF">
        <w:t>é</w:t>
      </w:r>
      <w:r>
        <w:t xml:space="preserve"> </w:t>
      </w:r>
      <w:r w:rsidR="00B639E3">
        <w:t xml:space="preserve">plenamente </w:t>
      </w:r>
      <w:r>
        <w:t>purificada” (S V 143), y debido al pasaje que comienza, “</w:t>
      </w:r>
      <w:r w:rsidR="005F7BEF">
        <w:t>E</w:t>
      </w:r>
      <w:r>
        <w:t xml:space="preserve">l no </w:t>
      </w:r>
      <w:r w:rsidR="00B639E3">
        <w:t>realizar</w:t>
      </w:r>
      <w:r>
        <w:t xml:space="preserve"> ningún mal” (</w:t>
      </w:r>
      <w:proofErr w:type="spellStart"/>
      <w:r>
        <w:t>Dhp</w:t>
      </w:r>
      <w:proofErr w:type="spellEnd"/>
      <w:r>
        <w:t xml:space="preserve"> 183), la </w:t>
      </w:r>
      <w:r w:rsidRPr="001619EB">
        <w:rPr>
          <w:i/>
          <w:iCs/>
        </w:rPr>
        <w:t>virtud</w:t>
      </w:r>
      <w:r>
        <w:t xml:space="preserve"> es el comienzo de la dispensación. Y eso es bueno porque produce las cualidades especiales de</w:t>
      </w:r>
      <w:r w:rsidR="008848D0">
        <w:t>l</w:t>
      </w:r>
      <w:r>
        <w:t xml:space="preserve"> no</w:t>
      </w:r>
      <w:r w:rsidR="0096196F">
        <w:t>-</w:t>
      </w:r>
      <w:r>
        <w:t>remordimiento,</w:t>
      </w:r>
      <w:r w:rsidRPr="00880431">
        <w:rPr>
          <w:vertAlign w:val="superscript"/>
        </w:rPr>
        <w:t>5</w:t>
      </w:r>
      <w:r>
        <w:t xml:space="preserve"> </w:t>
      </w:r>
      <w:r w:rsidR="0096196F">
        <w:t xml:space="preserve">etc. Su bondad en el medio </w:t>
      </w:r>
      <w:r w:rsidR="0096196F" w:rsidRPr="00E32C72">
        <w:t>es expuesta</w:t>
      </w:r>
      <w:r w:rsidR="0096196F">
        <w:t xml:space="preserve"> mediante la </w:t>
      </w:r>
      <w:r w:rsidR="0096196F" w:rsidRPr="000315F1">
        <w:rPr>
          <w:i/>
          <w:iCs/>
        </w:rPr>
        <w:t>concentración</w:t>
      </w:r>
      <w:r w:rsidR="0096196F">
        <w:t>.</w:t>
      </w:r>
    </w:p>
    <w:p w14:paraId="1F520740" w14:textId="566FA5AC" w:rsidR="00672E5D" w:rsidRPr="00672E5D" w:rsidRDefault="00672E5D" w:rsidP="00672E5D">
      <w:pPr>
        <w:pStyle w:val="PiedepginaLegal"/>
        <w:rPr>
          <w:u w:val="single"/>
        </w:rPr>
      </w:pPr>
      <w:r w:rsidRPr="00672E5D">
        <w:rPr>
          <w:u w:val="single"/>
        </w:rPr>
        <w:t xml:space="preserve">                                                                                                                               .</w:t>
      </w:r>
    </w:p>
    <w:p w14:paraId="0EF4E01C" w14:textId="52ACEC6B" w:rsidR="00672E5D" w:rsidRDefault="00672E5D" w:rsidP="00672E5D">
      <w:pPr>
        <w:pStyle w:val="PiedepginaLegal"/>
      </w:pPr>
      <w:r>
        <w:t xml:space="preserve">5. </w:t>
      </w:r>
      <w:r>
        <w:tab/>
      </w:r>
      <w:r w:rsidR="00BC019E">
        <w:t>Alguien</w:t>
      </w:r>
      <w:r>
        <w:t xml:space="preserve"> que </w:t>
      </w:r>
      <w:r w:rsidR="00BC019E">
        <w:t xml:space="preserve">sea </w:t>
      </w:r>
      <w:r>
        <w:t xml:space="preserve">virtuoso no </w:t>
      </w:r>
      <w:r w:rsidR="00BC019E">
        <w:t xml:space="preserve">tendrá nada </w:t>
      </w:r>
      <w:r w:rsidR="008848D0">
        <w:t>de</w:t>
      </w:r>
      <w:r>
        <w:t xml:space="preserve"> qué arrepentirse.</w:t>
      </w:r>
    </w:p>
    <w:p w14:paraId="613C228D" w14:textId="77777777" w:rsidR="00672E5D" w:rsidRDefault="00672E5D">
      <w:pPr>
        <w:tabs>
          <w:tab w:val="clear" w:pos="425"/>
        </w:tabs>
      </w:pPr>
      <w:r>
        <w:br w:type="page"/>
      </w:r>
    </w:p>
    <w:p w14:paraId="6A5B2BFD" w14:textId="77777777" w:rsidR="00CD7851" w:rsidRDefault="00CD7851" w:rsidP="00A36337"/>
    <w:p w14:paraId="309A1033" w14:textId="52173B57" w:rsidR="00A36337" w:rsidRDefault="00A36337" w:rsidP="00A36337">
      <w:r>
        <w:t xml:space="preserve">[5] </w:t>
      </w:r>
      <w:r w:rsidR="0096196F">
        <w:t>Mediante</w:t>
      </w:r>
      <w:r>
        <w:t xml:space="preserve"> al pasaje</w:t>
      </w:r>
      <w:r w:rsidR="00E32C72">
        <w:t xml:space="preserve"> inicial</w:t>
      </w:r>
      <w:r>
        <w:t>, “Entrando en lo provechoso” (</w:t>
      </w:r>
      <w:proofErr w:type="spellStart"/>
      <w:r>
        <w:t>Dhp</w:t>
      </w:r>
      <w:proofErr w:type="spellEnd"/>
      <w:r>
        <w:t xml:space="preserve"> 183), la </w:t>
      </w:r>
      <w:r w:rsidRPr="000315F1">
        <w:rPr>
          <w:i/>
          <w:iCs/>
        </w:rPr>
        <w:t>concentración</w:t>
      </w:r>
      <w:r>
        <w:t xml:space="preserve"> </w:t>
      </w:r>
      <w:r w:rsidR="009F373B">
        <w:t>se convierte en</w:t>
      </w:r>
      <w:r>
        <w:t xml:space="preserve"> el medio de la dispensación. Y eso es bueno porque produce cualidades especiales </w:t>
      </w:r>
      <w:r w:rsidR="009F373B">
        <w:t xml:space="preserve">como </w:t>
      </w:r>
      <w:r>
        <w:t xml:space="preserve">el poder sobrenatural, </w:t>
      </w:r>
      <w:r w:rsidR="004F43F9">
        <w:t>etc</w:t>
      </w:r>
      <w:r>
        <w:t xml:space="preserve">. Su bondad al final </w:t>
      </w:r>
      <w:r w:rsidR="004F43F9" w:rsidRPr="004F43F9">
        <w:t>es expuesta</w:t>
      </w:r>
      <w:r w:rsidR="004F43F9">
        <w:t xml:space="preserve"> </w:t>
      </w:r>
      <w:r w:rsidR="00E967D3">
        <w:t>mediante</w:t>
      </w:r>
      <w:r>
        <w:t xml:space="preserve"> </w:t>
      </w:r>
      <w:r w:rsidR="00E967D3">
        <w:t xml:space="preserve">el </w:t>
      </w:r>
      <w:r w:rsidR="00E967D3">
        <w:rPr>
          <w:i/>
          <w:iCs/>
        </w:rPr>
        <w:t>entendimiento</w:t>
      </w:r>
      <w:r>
        <w:t xml:space="preserve">. </w:t>
      </w:r>
      <w:r w:rsidR="00376BE6">
        <w:t>Mediante e</w:t>
      </w:r>
      <w:r>
        <w:t xml:space="preserve">l pasaje, “La purificación de la propia mente: </w:t>
      </w:r>
      <w:r w:rsidR="00376BE6">
        <w:t>se encuentra</w:t>
      </w:r>
      <w:r>
        <w:t xml:space="preserve"> es la dispensación de los </w:t>
      </w:r>
      <w:r w:rsidR="00057BF4" w:rsidRPr="00057BF4">
        <w:rPr>
          <w:i/>
        </w:rPr>
        <w:t>Buddha</w:t>
      </w:r>
      <w:r>
        <w:t>s” (</w:t>
      </w:r>
      <w:proofErr w:type="spellStart"/>
      <w:r>
        <w:t>Dhp</w:t>
      </w:r>
      <w:proofErr w:type="spellEnd"/>
      <w:r>
        <w:t xml:space="preserve"> 183), y debido a que </w:t>
      </w:r>
      <w:r w:rsidR="00E967D3">
        <w:t xml:space="preserve">el </w:t>
      </w:r>
      <w:r w:rsidR="00E967D3">
        <w:rPr>
          <w:i/>
          <w:iCs/>
        </w:rPr>
        <w:t>entendimiento</w:t>
      </w:r>
      <w:r w:rsidR="00E967D3">
        <w:t xml:space="preserve"> </w:t>
      </w:r>
      <w:r>
        <w:t xml:space="preserve">es su culminación, </w:t>
      </w:r>
      <w:r w:rsidR="00E967D3">
        <w:t xml:space="preserve">el </w:t>
      </w:r>
      <w:r w:rsidR="00E967D3">
        <w:rPr>
          <w:i/>
          <w:iCs/>
        </w:rPr>
        <w:t>entendimiento</w:t>
      </w:r>
      <w:r w:rsidR="00E967D3">
        <w:t xml:space="preserve"> </w:t>
      </w:r>
      <w:r w:rsidR="00E34C4C">
        <w:t xml:space="preserve">se convierte en </w:t>
      </w:r>
      <w:r>
        <w:t>el final de la dispensación. Y eso es bueno porque produce equilibrio con respecto a lo desea</w:t>
      </w:r>
      <w:r w:rsidR="00E34C4C">
        <w:t>ble</w:t>
      </w:r>
      <w:r>
        <w:t xml:space="preserve"> y lo indeseable. Por esto </w:t>
      </w:r>
      <w:r w:rsidR="00E34C4C">
        <w:t>está dicho</w:t>
      </w:r>
      <w:r>
        <w:t>:</w:t>
      </w:r>
    </w:p>
    <w:p w14:paraId="216C3C16" w14:textId="751FA968" w:rsidR="00A36337" w:rsidRDefault="00A36337" w:rsidP="00CD7851">
      <w:pPr>
        <w:pStyle w:val="VersoIngls01Sangria"/>
      </w:pPr>
      <w:r>
        <w:t>“Así como una maciza</w:t>
      </w:r>
      <w:r w:rsidR="00E34C4C">
        <w:t xml:space="preserve"> y</w:t>
      </w:r>
      <w:r>
        <w:t xml:space="preserve"> sólida</w:t>
      </w:r>
      <w:r w:rsidR="00E34C4C" w:rsidRPr="00E34C4C">
        <w:t xml:space="preserve"> </w:t>
      </w:r>
      <w:r w:rsidR="00E34C4C">
        <w:t>roca</w:t>
      </w:r>
    </w:p>
    <w:p w14:paraId="5049DD60" w14:textId="77777777" w:rsidR="00A36337" w:rsidRDefault="00A36337" w:rsidP="00CD7851">
      <w:pPr>
        <w:pStyle w:val="VersoIngls01Sangria"/>
      </w:pPr>
      <w:r>
        <w:t>Permanece imperturbable ante el viento,</w:t>
      </w:r>
    </w:p>
    <w:p w14:paraId="3CBE8D5B" w14:textId="093412FD" w:rsidR="00A36337" w:rsidRDefault="00A36337" w:rsidP="00CD7851">
      <w:pPr>
        <w:pStyle w:val="VersoIngls01Sangria"/>
      </w:pPr>
      <w:r>
        <w:t xml:space="preserve">Así también, frente a la </w:t>
      </w:r>
      <w:r w:rsidR="00E34C4C">
        <w:t>censura</w:t>
      </w:r>
      <w:r>
        <w:t xml:space="preserve"> y </w:t>
      </w:r>
      <w:r w:rsidR="00E34C4C">
        <w:t>el elogio</w:t>
      </w:r>
    </w:p>
    <w:p w14:paraId="7541C1F5" w14:textId="219D0BAD" w:rsidR="00A36337" w:rsidRDefault="00A36337" w:rsidP="00CD7851">
      <w:pPr>
        <w:pStyle w:val="VersoIngls01Sangria"/>
        <w:spacing w:after="100"/>
        <w:ind w:left="1418"/>
      </w:pPr>
      <w:r>
        <w:t xml:space="preserve">Los sabios </w:t>
      </w:r>
      <w:r w:rsidR="0014149B">
        <w:t>habitan</w:t>
      </w:r>
      <w:r>
        <w:t xml:space="preserve"> in</w:t>
      </w:r>
      <w:r w:rsidR="00E34C4C">
        <w:t>con</w:t>
      </w:r>
      <w:r>
        <w:t>movibles” (</w:t>
      </w:r>
      <w:proofErr w:type="spellStart"/>
      <w:r>
        <w:t>Dhp</w:t>
      </w:r>
      <w:proofErr w:type="spellEnd"/>
      <w:r>
        <w:t xml:space="preserve"> 81).</w:t>
      </w:r>
    </w:p>
    <w:p w14:paraId="76BAD567" w14:textId="173230A2" w:rsidR="00A36337" w:rsidRPr="00BB1D87" w:rsidRDefault="00A36337" w:rsidP="00A36337">
      <w:pPr>
        <w:rPr>
          <w:vertAlign w:val="superscript"/>
        </w:rPr>
      </w:pPr>
      <w:r>
        <w:t xml:space="preserve">11. </w:t>
      </w:r>
      <w:r w:rsidR="00365F13">
        <w:tab/>
      </w:r>
      <w:r>
        <w:t>Asimismo la condición necesaria para la triple clarividencia</w:t>
      </w:r>
      <w:r w:rsidR="00F86E26" w:rsidRPr="00F86E26">
        <w:t xml:space="preserve"> </w:t>
      </w:r>
      <w:r w:rsidR="00F86E26">
        <w:t xml:space="preserve">es expuesta mediante la </w:t>
      </w:r>
      <w:r w:rsidR="00F86E26">
        <w:br/>
      </w:r>
      <w:r w:rsidR="00F86E26" w:rsidRPr="00F86E26">
        <w:rPr>
          <w:i/>
          <w:iCs/>
        </w:rPr>
        <w:t>virtud</w:t>
      </w:r>
      <w:r>
        <w:t xml:space="preserve">. Porque con el </w:t>
      </w:r>
      <w:r w:rsidR="00F86E26">
        <w:t>soporte</w:t>
      </w:r>
      <w:r>
        <w:t xml:space="preserve"> de la virtud </w:t>
      </w:r>
      <w:r w:rsidR="0079096A">
        <w:t xml:space="preserve">perfecta </w:t>
      </w:r>
      <w:r w:rsidR="00265736">
        <w:t xml:space="preserve">uno puede </w:t>
      </w:r>
      <w:r>
        <w:t>llega</w:t>
      </w:r>
      <w:r w:rsidR="00265736">
        <w:t>r</w:t>
      </w:r>
      <w:r>
        <w:t xml:space="preserve"> a las tres clases de visión clara, pero nada más</w:t>
      </w:r>
      <w:r w:rsidR="00B47C22" w:rsidRPr="00B47C22">
        <w:t xml:space="preserve"> </w:t>
      </w:r>
      <w:r w:rsidR="00B47C22">
        <w:t>que ello</w:t>
      </w:r>
      <w:r>
        <w:t>. La condición necesaria para l</w:t>
      </w:r>
      <w:r w:rsidR="00BE3F00">
        <w:t>a</w:t>
      </w:r>
      <w:r>
        <w:t xml:space="preserve">s seis clases de conocimiento directo </w:t>
      </w:r>
      <w:r w:rsidR="00BE3F00">
        <w:t>es expuesta</w:t>
      </w:r>
      <w:r>
        <w:t xml:space="preserve"> </w:t>
      </w:r>
      <w:r w:rsidR="004623D6">
        <w:t xml:space="preserve">mediante </w:t>
      </w:r>
      <w:r>
        <w:t xml:space="preserve">la </w:t>
      </w:r>
      <w:r w:rsidRPr="005F7103">
        <w:rPr>
          <w:i/>
          <w:iCs/>
        </w:rPr>
        <w:t>concentración</w:t>
      </w:r>
      <w:r>
        <w:t xml:space="preserve">. Porque con el </w:t>
      </w:r>
      <w:r w:rsidR="00BE3F00">
        <w:t xml:space="preserve">soporte </w:t>
      </w:r>
      <w:r>
        <w:t>de la concentración perfecta uno llega a las seis clases de conocimiento directo, pero nada más que e</w:t>
      </w:r>
      <w:r w:rsidR="00BE3F00">
        <w:t>ll</w:t>
      </w:r>
      <w:r>
        <w:t xml:space="preserve">o. La condición necesaria para las categorías de discriminación </w:t>
      </w:r>
      <w:r w:rsidR="004623D6">
        <w:t xml:space="preserve">es expuesta mediante el </w:t>
      </w:r>
      <w:r w:rsidR="004623D6" w:rsidRPr="004623D6">
        <w:rPr>
          <w:i/>
          <w:iCs/>
        </w:rPr>
        <w:t>entendimiento</w:t>
      </w:r>
      <w:r>
        <w:t xml:space="preserve">. Porque </w:t>
      </w:r>
      <w:r w:rsidR="00D31D21">
        <w:t>mediante</w:t>
      </w:r>
      <w:r>
        <w:t xml:space="preserve"> el </w:t>
      </w:r>
      <w:r w:rsidR="004623D6">
        <w:t xml:space="preserve">soporte </w:t>
      </w:r>
      <w:r>
        <w:t xml:space="preserve">del </w:t>
      </w:r>
      <w:r w:rsidR="004623D6">
        <w:t xml:space="preserve">entendimiento </w:t>
      </w:r>
      <w:r w:rsidR="0079096A">
        <w:t xml:space="preserve">perfecto </w:t>
      </w:r>
      <w:r>
        <w:t xml:space="preserve">se llega a las cuatro clases de discriminación, </w:t>
      </w:r>
      <w:r w:rsidR="00272C76">
        <w:t>y</w:t>
      </w:r>
      <w:r>
        <w:t xml:space="preserve"> no por ning</w:t>
      </w:r>
      <w:r w:rsidR="00272C76">
        <w:t>ú</w:t>
      </w:r>
      <w:r>
        <w:t>n otr</w:t>
      </w:r>
      <w:r w:rsidR="00272C76">
        <w:t>o</w:t>
      </w:r>
      <w:r>
        <w:t xml:space="preserve"> </w:t>
      </w:r>
      <w:r w:rsidR="00272C76">
        <w:t>medio</w:t>
      </w:r>
      <w:r>
        <w:t>.</w:t>
      </w:r>
      <w:r w:rsidR="00BB1D87" w:rsidRPr="00D82BC1">
        <w:rPr>
          <w:vertAlign w:val="superscript"/>
        </w:rPr>
        <w:t>6</w:t>
      </w:r>
    </w:p>
    <w:p w14:paraId="7899C4EE" w14:textId="7B8076D6" w:rsidR="00A36337" w:rsidRDefault="00A36337" w:rsidP="00CD7851">
      <w:pPr>
        <w:pStyle w:val="NormalConSangria"/>
      </w:pPr>
      <w:r w:rsidRPr="00D31D21">
        <w:t xml:space="preserve">Y la </w:t>
      </w:r>
      <w:r w:rsidR="00DB0967" w:rsidRPr="00D31D21">
        <w:t>elusión</w:t>
      </w:r>
      <w:r w:rsidRPr="00D31D21">
        <w:t xml:space="preserve"> del extremo </w:t>
      </w:r>
      <w:r w:rsidR="00730DC1" w:rsidRPr="00D31D21">
        <w:t>conocido como la</w:t>
      </w:r>
      <w:r w:rsidRPr="00D31D21">
        <w:t xml:space="preserve"> devoción a la </w:t>
      </w:r>
      <w:r w:rsidR="00163DCD" w:rsidRPr="00D31D21">
        <w:t>indulgencia en</w:t>
      </w:r>
      <w:r w:rsidRPr="00D31D21">
        <w:t xml:space="preserve"> los deseos </w:t>
      </w:r>
      <w:r w:rsidR="00163DCD" w:rsidRPr="00D31D21">
        <w:t xml:space="preserve">es expuesta mediante </w:t>
      </w:r>
      <w:r w:rsidRPr="00D31D21">
        <w:t xml:space="preserve">la </w:t>
      </w:r>
      <w:r w:rsidRPr="00D31D21">
        <w:rPr>
          <w:i/>
          <w:iCs/>
        </w:rPr>
        <w:t>virtud</w:t>
      </w:r>
      <w:r w:rsidRPr="00D31D21">
        <w:t>.</w:t>
      </w:r>
      <w:r>
        <w:t xml:space="preserve"> La </w:t>
      </w:r>
      <w:r w:rsidR="00163DCD">
        <w:t xml:space="preserve">elusión </w:t>
      </w:r>
      <w:r>
        <w:t xml:space="preserve">del extremo </w:t>
      </w:r>
      <w:r w:rsidR="00D45BCD">
        <w:t>conocido como</w:t>
      </w:r>
      <w:r>
        <w:t xml:space="preserve"> devoción </w:t>
      </w:r>
      <w:r w:rsidR="00163DCD">
        <w:t>hacia</w:t>
      </w:r>
      <w:r>
        <w:t xml:space="preserve"> la mortificación del </w:t>
      </w:r>
      <w:r w:rsidR="00D45BCD">
        <w:t>se</w:t>
      </w:r>
      <w:r w:rsidR="00AC4FDF">
        <w:t>r</w:t>
      </w:r>
      <w:r>
        <w:t xml:space="preserve"> </w:t>
      </w:r>
      <w:r w:rsidR="00D45BCD">
        <w:t>es expuesta mediante</w:t>
      </w:r>
      <w:r>
        <w:t xml:space="preserve"> la </w:t>
      </w:r>
      <w:r w:rsidRPr="005F7103">
        <w:rPr>
          <w:i/>
          <w:iCs/>
        </w:rPr>
        <w:t>concentración</w:t>
      </w:r>
      <w:r>
        <w:t xml:space="preserve">. El cultivo del </w:t>
      </w:r>
      <w:r w:rsidR="00D45BCD">
        <w:t>sendero</w:t>
      </w:r>
      <w:r>
        <w:t xml:space="preserve"> medio </w:t>
      </w:r>
      <w:r w:rsidR="00D45BCD">
        <w:t xml:space="preserve">es expuesto mediante el </w:t>
      </w:r>
      <w:r w:rsidR="00D45BCD">
        <w:rPr>
          <w:i/>
          <w:iCs/>
        </w:rPr>
        <w:t>entendimiento</w:t>
      </w:r>
      <w:r>
        <w:t>.</w:t>
      </w:r>
    </w:p>
    <w:p w14:paraId="3E24C9AF" w14:textId="0B3FE841" w:rsidR="00A36337" w:rsidRDefault="00A36337" w:rsidP="00A36337">
      <w:r>
        <w:t xml:space="preserve">12. </w:t>
      </w:r>
      <w:r w:rsidR="00C34F22">
        <w:tab/>
      </w:r>
      <w:r w:rsidRPr="005F7103">
        <w:rPr>
          <w:i/>
          <w:iCs/>
        </w:rPr>
        <w:t>Asimismo</w:t>
      </w:r>
      <w:r w:rsidR="005F0566">
        <w:rPr>
          <w:i/>
          <w:iCs/>
        </w:rPr>
        <w:t>,</w:t>
      </w:r>
      <w:r w:rsidRPr="005F7103">
        <w:rPr>
          <w:i/>
          <w:iCs/>
        </w:rPr>
        <w:t xml:space="preserve"> el medio para superar los estados de p</w:t>
      </w:r>
      <w:r w:rsidR="00FA032F">
        <w:rPr>
          <w:i/>
          <w:iCs/>
        </w:rPr>
        <w:t>e</w:t>
      </w:r>
      <w:r w:rsidRPr="005F7103">
        <w:rPr>
          <w:i/>
          <w:iCs/>
        </w:rPr>
        <w:t>rdi</w:t>
      </w:r>
      <w:r w:rsidR="00FA032F">
        <w:rPr>
          <w:i/>
          <w:iCs/>
        </w:rPr>
        <w:t>ción</w:t>
      </w:r>
      <w:r w:rsidR="007D49DC" w:rsidRPr="007D49DC">
        <w:rPr>
          <w:i/>
          <w:iCs/>
        </w:rPr>
        <w:t xml:space="preserve"> </w:t>
      </w:r>
      <w:r w:rsidR="007D49DC" w:rsidRPr="00FA032F">
        <w:rPr>
          <w:i/>
          <w:iCs/>
        </w:rPr>
        <w:t>es expuest</w:t>
      </w:r>
      <w:r w:rsidR="006A2ADF" w:rsidRPr="00FA032F">
        <w:rPr>
          <w:i/>
          <w:iCs/>
        </w:rPr>
        <w:t>o</w:t>
      </w:r>
      <w:r w:rsidR="007D49DC" w:rsidRPr="00FA032F">
        <w:rPr>
          <w:i/>
          <w:iCs/>
        </w:rPr>
        <w:t xml:space="preserve"> mediante</w:t>
      </w:r>
      <w:r w:rsidR="007D49DC" w:rsidRPr="005F7103">
        <w:rPr>
          <w:i/>
          <w:iCs/>
        </w:rPr>
        <w:t xml:space="preserve"> </w:t>
      </w:r>
      <w:r w:rsidR="00973B93">
        <w:rPr>
          <w:i/>
          <w:iCs/>
        </w:rPr>
        <w:t>la</w:t>
      </w:r>
      <w:r w:rsidR="007D49DC" w:rsidRPr="005F7103">
        <w:rPr>
          <w:i/>
          <w:iCs/>
        </w:rPr>
        <w:t xml:space="preserve"> virtud</w:t>
      </w:r>
      <w:r>
        <w:t xml:space="preserve">; </w:t>
      </w:r>
      <w:r w:rsidR="002F342B">
        <w:t>el</w:t>
      </w:r>
      <w:r>
        <w:t xml:space="preserve"> medio para </w:t>
      </w:r>
      <w:r w:rsidR="007E7E66">
        <w:t>trascender</w:t>
      </w:r>
      <w:r>
        <w:t xml:space="preserve"> el elemento de los deseos </w:t>
      </w:r>
      <w:r w:rsidR="005F0566">
        <w:t>sensoriales</w:t>
      </w:r>
      <w:r>
        <w:t xml:space="preserve"> </w:t>
      </w:r>
      <w:r w:rsidR="005F0566">
        <w:t xml:space="preserve">será </w:t>
      </w:r>
      <w:r w:rsidR="002F342B">
        <w:t xml:space="preserve">expuesto </w:t>
      </w:r>
      <w:r w:rsidR="005F0566">
        <w:t xml:space="preserve">a través de </w:t>
      </w:r>
      <w:r w:rsidR="002F342B">
        <w:t xml:space="preserve">la </w:t>
      </w:r>
      <w:r w:rsidR="002F342B" w:rsidRPr="002F342B">
        <w:rPr>
          <w:i/>
          <w:iCs/>
        </w:rPr>
        <w:t>concentración</w:t>
      </w:r>
      <w:r>
        <w:t xml:space="preserve">; y el medio para </w:t>
      </w:r>
      <w:r w:rsidR="007E7E66">
        <w:t xml:space="preserve">trascender </w:t>
      </w:r>
      <w:r>
        <w:t xml:space="preserve">todo devenir, </w:t>
      </w:r>
      <w:r w:rsidR="005F0566">
        <w:t xml:space="preserve">será </w:t>
      </w:r>
      <w:r w:rsidR="002F342B">
        <w:t xml:space="preserve">expuesto </w:t>
      </w:r>
      <w:r w:rsidR="005F0566">
        <w:t>a través d</w:t>
      </w:r>
      <w:r w:rsidR="002F342B">
        <w:t xml:space="preserve">el </w:t>
      </w:r>
      <w:r w:rsidR="002F342B">
        <w:rPr>
          <w:i/>
          <w:iCs/>
        </w:rPr>
        <w:t>entendimiento</w:t>
      </w:r>
      <w:r>
        <w:t>.</w:t>
      </w:r>
    </w:p>
    <w:p w14:paraId="245A15B8" w14:textId="24A9DD95" w:rsidR="00A36337" w:rsidRDefault="00A36337" w:rsidP="00CD7851">
      <w:pPr>
        <w:pStyle w:val="NormalConSangria"/>
      </w:pPr>
      <w:r w:rsidRPr="002C5105">
        <w:rPr>
          <w:i/>
          <w:iCs/>
        </w:rPr>
        <w:t xml:space="preserve">Y el abandono de las impurezas </w:t>
      </w:r>
      <w:r w:rsidR="009A7F06">
        <w:rPr>
          <w:i/>
          <w:iCs/>
        </w:rPr>
        <w:t xml:space="preserve">a través de la </w:t>
      </w:r>
      <w:r w:rsidRPr="002C5105">
        <w:rPr>
          <w:i/>
          <w:iCs/>
        </w:rPr>
        <w:t xml:space="preserve">sustitución de </w:t>
      </w:r>
      <w:r w:rsidR="009A7F06">
        <w:rPr>
          <w:i/>
          <w:iCs/>
        </w:rPr>
        <w:t>su</w:t>
      </w:r>
      <w:r w:rsidRPr="002C5105">
        <w:rPr>
          <w:i/>
          <w:iCs/>
        </w:rPr>
        <w:t xml:space="preserve">s opuestos </w:t>
      </w:r>
      <w:r w:rsidR="009D1B63">
        <w:rPr>
          <w:i/>
          <w:iCs/>
        </w:rPr>
        <w:t xml:space="preserve">será </w:t>
      </w:r>
      <w:r w:rsidR="002F342B" w:rsidRPr="00FA032F">
        <w:rPr>
          <w:i/>
          <w:iCs/>
        </w:rPr>
        <w:t>expuesto mediante</w:t>
      </w:r>
      <w:r w:rsidR="002F342B" w:rsidRPr="005F7103">
        <w:rPr>
          <w:i/>
          <w:iCs/>
        </w:rPr>
        <w:t xml:space="preserve"> </w:t>
      </w:r>
      <w:r w:rsidRPr="002C5105">
        <w:rPr>
          <w:i/>
          <w:iCs/>
        </w:rPr>
        <w:t>la virtud</w:t>
      </w:r>
      <w:r>
        <w:t xml:space="preserve">; </w:t>
      </w:r>
      <w:r w:rsidR="002F342B">
        <w:t>lo mismo</w:t>
      </w:r>
      <w:r>
        <w:t xml:space="preserve"> </w:t>
      </w:r>
      <w:r w:rsidR="001E130E">
        <w:t>a través de</w:t>
      </w:r>
      <w:r>
        <w:t xml:space="preserve"> </w:t>
      </w:r>
      <w:r w:rsidR="009D1B63">
        <w:t xml:space="preserve">la supresión </w:t>
      </w:r>
      <w:r w:rsidR="00AD20FA">
        <w:t xml:space="preserve">será </w:t>
      </w:r>
      <w:r w:rsidR="005916F6" w:rsidRPr="005916F6">
        <w:t>expuesto mediante la</w:t>
      </w:r>
      <w:r w:rsidR="005916F6">
        <w:rPr>
          <w:i/>
          <w:iCs/>
        </w:rPr>
        <w:t xml:space="preserve"> </w:t>
      </w:r>
      <w:r w:rsidRPr="005916F6">
        <w:rPr>
          <w:i/>
          <w:iCs/>
        </w:rPr>
        <w:t>concentración</w:t>
      </w:r>
      <w:r>
        <w:t xml:space="preserve">; </w:t>
      </w:r>
      <w:r w:rsidR="005916F6">
        <w:t xml:space="preserve">y lo mismo </w:t>
      </w:r>
      <w:r w:rsidR="00B23A0F">
        <w:t xml:space="preserve">a través de la erradicación es expuesto mediante el </w:t>
      </w:r>
      <w:r w:rsidRPr="002C5105">
        <w:rPr>
          <w:i/>
          <w:iCs/>
        </w:rPr>
        <w:t>entendiendo</w:t>
      </w:r>
      <w:r>
        <w:t>.</w:t>
      </w:r>
    </w:p>
    <w:p w14:paraId="2EFFF0D6" w14:textId="1BECDCF4" w:rsidR="00A36337" w:rsidRDefault="00A36337" w:rsidP="00A36337">
      <w:r>
        <w:t xml:space="preserve">13. </w:t>
      </w:r>
      <w:r w:rsidR="002C5105">
        <w:tab/>
      </w:r>
      <w:r w:rsidRPr="002C5105">
        <w:rPr>
          <w:i/>
          <w:iCs/>
        </w:rPr>
        <w:t xml:space="preserve">Asimismo, la prevención de la transgresión de las impurezas </w:t>
      </w:r>
      <w:r w:rsidR="00023CE4" w:rsidRPr="00023CE4">
        <w:rPr>
          <w:i/>
          <w:iCs/>
        </w:rPr>
        <w:t>es expuesta mediante</w:t>
      </w:r>
      <w:r w:rsidR="00023CE4">
        <w:rPr>
          <w:i/>
          <w:iCs/>
        </w:rPr>
        <w:t xml:space="preserve"> la</w:t>
      </w:r>
      <w:r w:rsidR="00023CE4" w:rsidRPr="00023CE4">
        <w:rPr>
          <w:i/>
          <w:iCs/>
        </w:rPr>
        <w:t xml:space="preserve"> </w:t>
      </w:r>
      <w:r w:rsidRPr="002C5105">
        <w:rPr>
          <w:i/>
          <w:iCs/>
        </w:rPr>
        <w:t>virtud</w:t>
      </w:r>
      <w:r>
        <w:t>; la prevención de la obsesión (por la</w:t>
      </w:r>
      <w:r w:rsidR="00B14953">
        <w:t>s</w:t>
      </w:r>
      <w:r>
        <w:t xml:space="preserve"> contaminaci</w:t>
      </w:r>
      <w:r w:rsidR="00B14953">
        <w:t>ones</w:t>
      </w:r>
      <w:r>
        <w:t xml:space="preserve">) </w:t>
      </w:r>
      <w:r w:rsidR="00F343F6">
        <w:t xml:space="preserve">será </w:t>
      </w:r>
      <w:r w:rsidR="00023CE4">
        <w:t xml:space="preserve">expuesta </w:t>
      </w:r>
      <w:r w:rsidR="00F343F6">
        <w:t xml:space="preserve">a través de </w:t>
      </w:r>
      <w:r>
        <w:t xml:space="preserve">la </w:t>
      </w:r>
      <w:r w:rsidRPr="00023CE4">
        <w:rPr>
          <w:i/>
          <w:iCs/>
        </w:rPr>
        <w:t>concentración</w:t>
      </w:r>
      <w:r>
        <w:t xml:space="preserve">; la prevención de las tendencias inherentes </w:t>
      </w:r>
      <w:r w:rsidR="0043609C">
        <w:t xml:space="preserve">será </w:t>
      </w:r>
      <w:r w:rsidR="00023CE4">
        <w:t xml:space="preserve">expuesta </w:t>
      </w:r>
      <w:r w:rsidR="0043609C">
        <w:t>a través d</w:t>
      </w:r>
      <w:r w:rsidR="00023CE4">
        <w:t xml:space="preserve">el </w:t>
      </w:r>
      <w:r w:rsidR="00023CE4">
        <w:rPr>
          <w:i/>
          <w:iCs/>
        </w:rPr>
        <w:t>entendimiento</w:t>
      </w:r>
      <w:r w:rsidR="009D6F89">
        <w:rPr>
          <w:i/>
          <w:iCs/>
        </w:rPr>
        <w:t>.</w:t>
      </w:r>
    </w:p>
    <w:p w14:paraId="0FA53E60" w14:textId="2F1785C6" w:rsidR="00A36337" w:rsidRDefault="00A36337" w:rsidP="00CD7851">
      <w:pPr>
        <w:pStyle w:val="NormalConSangria"/>
      </w:pPr>
      <w:r w:rsidRPr="00AC4FDF">
        <w:rPr>
          <w:i/>
          <w:iCs/>
        </w:rPr>
        <w:t>Y la purificación de la</w:t>
      </w:r>
      <w:r w:rsidR="00AC4FDF">
        <w:rPr>
          <w:i/>
          <w:iCs/>
        </w:rPr>
        <w:t>s</w:t>
      </w:r>
      <w:r w:rsidRPr="00AC4FDF">
        <w:rPr>
          <w:i/>
          <w:iCs/>
        </w:rPr>
        <w:t xml:space="preserve"> </w:t>
      </w:r>
      <w:r w:rsidR="00AC4FDF">
        <w:rPr>
          <w:i/>
          <w:iCs/>
        </w:rPr>
        <w:t>impurezas</w:t>
      </w:r>
      <w:r w:rsidRPr="00AC4FDF">
        <w:rPr>
          <w:i/>
          <w:iCs/>
        </w:rPr>
        <w:t xml:space="preserve"> de la mala conducta </w:t>
      </w:r>
      <w:r w:rsidR="00AC4FDF" w:rsidRPr="00AC4FDF">
        <w:rPr>
          <w:i/>
          <w:iCs/>
        </w:rPr>
        <w:t xml:space="preserve">es expuesta mediante </w:t>
      </w:r>
      <w:r w:rsidRPr="00AC4FDF">
        <w:rPr>
          <w:i/>
          <w:iCs/>
        </w:rPr>
        <w:t>la virtud</w:t>
      </w:r>
      <w:r>
        <w:t xml:space="preserve">; </w:t>
      </w:r>
      <w:r w:rsidR="00AC4FDF">
        <w:t xml:space="preserve">la </w:t>
      </w:r>
      <w:r>
        <w:t xml:space="preserve">purificación de la corrupción del </w:t>
      </w:r>
      <w:r w:rsidR="00AC4FDF">
        <w:t>deseo</w:t>
      </w:r>
      <w:r>
        <w:t xml:space="preserve"> </w:t>
      </w:r>
      <w:r w:rsidR="00AC4FDF">
        <w:t xml:space="preserve">es expuesto mediante la </w:t>
      </w:r>
      <w:r w:rsidRPr="00AC4FDF">
        <w:rPr>
          <w:i/>
          <w:iCs/>
        </w:rPr>
        <w:t>concentración</w:t>
      </w:r>
      <w:r>
        <w:t xml:space="preserve">; y </w:t>
      </w:r>
      <w:r w:rsidR="00AC4FDF">
        <w:t xml:space="preserve">la </w:t>
      </w:r>
      <w:r>
        <w:t xml:space="preserve">purificación de la contaminación de </w:t>
      </w:r>
      <w:r w:rsidR="00A7509D">
        <w:t xml:space="preserve">la visión </w:t>
      </w:r>
      <w:r w:rsidR="007641C6" w:rsidRPr="00EE25AF">
        <w:rPr>
          <w:color w:val="833C0B" w:themeColor="accent2" w:themeShade="80"/>
        </w:rPr>
        <w:t>incorrect</w:t>
      </w:r>
      <w:r w:rsidR="00A7509D" w:rsidRPr="00EE25AF">
        <w:rPr>
          <w:color w:val="833C0B" w:themeColor="accent2" w:themeShade="80"/>
        </w:rPr>
        <w:t>a</w:t>
      </w:r>
      <w:r>
        <w:t xml:space="preserve"> </w:t>
      </w:r>
      <w:r w:rsidR="00AC4FDF">
        <w:t xml:space="preserve">es expuesto mediante </w:t>
      </w:r>
      <w:r>
        <w:t xml:space="preserve">el </w:t>
      </w:r>
      <w:r w:rsidRPr="00AC4FDF">
        <w:rPr>
          <w:i/>
          <w:iCs/>
        </w:rPr>
        <w:t>entendimiento</w:t>
      </w:r>
      <w:r>
        <w:t>.</w:t>
      </w:r>
    </w:p>
    <w:p w14:paraId="515699F4" w14:textId="3E788054" w:rsidR="00A36337" w:rsidRPr="00A36337" w:rsidRDefault="00A36337" w:rsidP="00A36337">
      <w:pPr>
        <w:pStyle w:val="PiedepginaLegal"/>
        <w:rPr>
          <w:u w:val="single"/>
        </w:rPr>
      </w:pPr>
      <w:r w:rsidRPr="00A36337">
        <w:rPr>
          <w:u w:val="single"/>
        </w:rPr>
        <w:t xml:space="preserve">                                                                                                                             .</w:t>
      </w:r>
    </w:p>
    <w:p w14:paraId="6F10612E" w14:textId="4EF69B30" w:rsidR="00CD7851" w:rsidRDefault="00A36337" w:rsidP="00A36337">
      <w:pPr>
        <w:pStyle w:val="PiedepginaLegal"/>
      </w:pPr>
      <w:r>
        <w:t xml:space="preserve">6. </w:t>
      </w:r>
      <w:r>
        <w:tab/>
        <w:t>Los tres tipos de visión clara son: el recuerdo de vidas pasadas, el conocimiento de la desaparición y reaparición de los seres (ojo divino) y el conocimiento de la destrucción de l</w:t>
      </w:r>
      <w:r w:rsidR="00D82BC1">
        <w:t>a</w:t>
      </w:r>
      <w:r>
        <w:t xml:space="preserve">s </w:t>
      </w:r>
      <w:r w:rsidR="00D82BC1">
        <w:t>corrupciones</w:t>
      </w:r>
      <w:r>
        <w:t xml:space="preserve"> (M I 22-23). Los seis tipos de conocimiento directo son: conocimiento del poder sobrenatural, el elemento del oído divino, penetración de la mente, recuerdo de vidas pasadas, conocimiento de la desaparición y reaparición de los seres, y conocimiento de la destrucción de </w:t>
      </w:r>
      <w:r w:rsidR="00591B2A">
        <w:t xml:space="preserve">las corrupciones </w:t>
      </w:r>
      <w:r>
        <w:t>(M I 34-35). Las cuatro discriminaciones son las de</w:t>
      </w:r>
      <w:r w:rsidR="00BC019E">
        <w:t>l</w:t>
      </w:r>
      <w:r>
        <w:t xml:space="preserve"> significado, ley, lenguaje e inteligencia (A II 160).</w:t>
      </w:r>
    </w:p>
    <w:p w14:paraId="0D392A37" w14:textId="77777777" w:rsidR="00CD7851" w:rsidRDefault="00CD7851">
      <w:pPr>
        <w:tabs>
          <w:tab w:val="clear" w:pos="425"/>
        </w:tabs>
      </w:pPr>
      <w:r>
        <w:br w:type="page"/>
      </w:r>
    </w:p>
    <w:p w14:paraId="419E4E42" w14:textId="093E1AE1" w:rsidR="003D3239" w:rsidRDefault="003D3239" w:rsidP="003D3239">
      <w:r>
        <w:lastRenderedPageBreak/>
        <w:t xml:space="preserve">14. </w:t>
      </w:r>
      <w:r w:rsidR="00C34F22">
        <w:tab/>
      </w:r>
      <w:r>
        <w:t xml:space="preserve">[6] Del mismo modo, la razón </w:t>
      </w:r>
      <w:r w:rsidR="000C70AC">
        <w:t>para</w:t>
      </w:r>
      <w:r>
        <w:t xml:space="preserve"> </w:t>
      </w:r>
      <w:r w:rsidR="00B105E3">
        <w:t xml:space="preserve">desarrollar </w:t>
      </w:r>
      <w:r>
        <w:t>los estados de</w:t>
      </w:r>
      <w:r w:rsidR="00B352B4">
        <w:t xml:space="preserve"> la</w:t>
      </w:r>
      <w:r w:rsidR="000C70AC">
        <w:t xml:space="preserve"> </w:t>
      </w:r>
      <w:r w:rsidR="001C519F" w:rsidRPr="00F1111C">
        <w:t>en</w:t>
      </w:r>
      <w:r w:rsidR="001C519F">
        <w:t>trada</w:t>
      </w:r>
      <w:r w:rsidR="001C519F">
        <w:rPr>
          <w:rFonts w:cs="Cormorant"/>
        </w:rPr>
        <w:t>‒</w:t>
      </w:r>
      <w:r w:rsidR="001C519F">
        <w:t>a</w:t>
      </w:r>
      <w:r w:rsidR="001C519F">
        <w:rPr>
          <w:rFonts w:cs="Cormorant"/>
        </w:rPr>
        <w:t>‒</w:t>
      </w:r>
      <w:r w:rsidR="001C519F">
        <w:t>la</w:t>
      </w:r>
      <w:r w:rsidR="001C519F">
        <w:rPr>
          <w:rFonts w:cs="Cormorant"/>
        </w:rPr>
        <w:t>‒</w:t>
      </w:r>
      <w:r w:rsidR="001C519F">
        <w:t>corriente</w:t>
      </w:r>
      <w:r w:rsidR="001C519F" w:rsidRPr="00F1111C">
        <w:t xml:space="preserve"> </w:t>
      </w:r>
      <w:r>
        <w:t xml:space="preserve">y </w:t>
      </w:r>
      <w:r w:rsidR="00A331AF">
        <w:t>d</w:t>
      </w:r>
      <w:r w:rsidR="000C70AC">
        <w:t xml:space="preserve">el </w:t>
      </w:r>
      <w:r w:rsidR="0063482B" w:rsidRPr="004C5265">
        <w:t>re</w:t>
      </w:r>
      <w:r w:rsidR="0063482B">
        <w:t>tornante–por–única–vez</w:t>
      </w:r>
      <w:r w:rsidR="0063482B" w:rsidRPr="000C70AC">
        <w:t xml:space="preserve"> </w:t>
      </w:r>
      <w:r w:rsidR="000C70AC" w:rsidRPr="000C70AC">
        <w:t>es expuesto mediante</w:t>
      </w:r>
      <w:r w:rsidR="000C70AC">
        <w:rPr>
          <w:i/>
          <w:iCs/>
        </w:rPr>
        <w:t xml:space="preserve"> </w:t>
      </w:r>
      <w:r w:rsidR="00A331AF">
        <w:t xml:space="preserve">la </w:t>
      </w:r>
      <w:r w:rsidRPr="000C70AC">
        <w:rPr>
          <w:i/>
          <w:iCs/>
        </w:rPr>
        <w:t>virtud</w:t>
      </w:r>
      <w:r>
        <w:t>; la del estado de</w:t>
      </w:r>
      <w:r w:rsidR="00A331AF">
        <w:t>l</w:t>
      </w:r>
      <w:r>
        <w:t xml:space="preserve"> no</w:t>
      </w:r>
      <w:r w:rsidR="00A331AF">
        <w:t>-</w:t>
      </w:r>
      <w:r>
        <w:t>retorn</w:t>
      </w:r>
      <w:r w:rsidR="00A331AF">
        <w:t>ante</w:t>
      </w:r>
      <w:r>
        <w:t xml:space="preserve">, </w:t>
      </w:r>
      <w:r w:rsidR="00A331AF">
        <w:t xml:space="preserve">mediante la </w:t>
      </w:r>
      <w:r w:rsidRPr="002C5105">
        <w:rPr>
          <w:i/>
          <w:iCs/>
        </w:rPr>
        <w:t>concentración</w:t>
      </w:r>
      <w:r>
        <w:t xml:space="preserve">; </w:t>
      </w:r>
      <w:r w:rsidR="00734CA4">
        <w:t>lo mismo</w:t>
      </w:r>
      <w:r w:rsidR="00FD1350">
        <w:t>,</w:t>
      </w:r>
      <w:r w:rsidR="00734CA4">
        <w:t xml:space="preserve"> </w:t>
      </w:r>
      <w:r>
        <w:t xml:space="preserve">para el estado de </w:t>
      </w:r>
      <w:r w:rsidR="00057BF4" w:rsidRPr="00057BF4">
        <w:rPr>
          <w:i/>
        </w:rPr>
        <w:t>Arahant</w:t>
      </w:r>
      <w:r>
        <w:t xml:space="preserve"> mediante el </w:t>
      </w:r>
      <w:r w:rsidRPr="002C5105">
        <w:rPr>
          <w:i/>
          <w:iCs/>
        </w:rPr>
        <w:t>entendimiento</w:t>
      </w:r>
      <w:r>
        <w:t xml:space="preserve">. </w:t>
      </w:r>
      <w:r w:rsidR="00AB3C19">
        <w:t xml:space="preserve">Ya </w:t>
      </w:r>
      <w:r>
        <w:t>que el que entr</w:t>
      </w:r>
      <w:r w:rsidR="00AB3C19">
        <w:t>e</w:t>
      </w:r>
      <w:r>
        <w:t xml:space="preserve"> </w:t>
      </w:r>
      <w:r w:rsidR="00734CA4">
        <w:t xml:space="preserve">a </w:t>
      </w:r>
      <w:r>
        <w:t xml:space="preserve">la corriente </w:t>
      </w:r>
      <w:r w:rsidR="00AB3C19">
        <w:t xml:space="preserve">será </w:t>
      </w:r>
      <w:r w:rsidR="00286EE8">
        <w:t>conocido como</w:t>
      </w:r>
      <w:r>
        <w:t xml:space="preserve"> "perfec</w:t>
      </w:r>
      <w:r w:rsidR="00286EE8">
        <w:t xml:space="preserve">to </w:t>
      </w:r>
      <w:r>
        <w:t xml:space="preserve">en los géneros de </w:t>
      </w:r>
      <w:r w:rsidR="00734CA4">
        <w:t xml:space="preserve">la </w:t>
      </w:r>
      <w:r w:rsidRPr="00B105E3">
        <w:rPr>
          <w:i/>
          <w:iCs/>
        </w:rPr>
        <w:t>virtud</w:t>
      </w:r>
      <w:r>
        <w:t xml:space="preserve">"; y también el </w:t>
      </w:r>
      <w:r w:rsidR="00286EE8">
        <w:t>retornante por única vez</w:t>
      </w:r>
      <w:r>
        <w:t xml:space="preserve">. </w:t>
      </w:r>
      <w:r w:rsidR="00286EE8">
        <w:t xml:space="preserve">No obstante, </w:t>
      </w:r>
      <w:r>
        <w:t>el no</w:t>
      </w:r>
      <w:r w:rsidR="00FA42DE">
        <w:t>-</w:t>
      </w:r>
      <w:r w:rsidR="00286EE8">
        <w:t xml:space="preserve">retornante </w:t>
      </w:r>
      <w:r w:rsidR="008F47C1">
        <w:t xml:space="preserve">será </w:t>
      </w:r>
      <w:r w:rsidR="00286EE8">
        <w:t xml:space="preserve">conocido como </w:t>
      </w:r>
      <w:r>
        <w:t>“</w:t>
      </w:r>
      <w:r w:rsidR="008F47C1">
        <w:t xml:space="preserve">el </w:t>
      </w:r>
      <w:r>
        <w:t>perfec</w:t>
      </w:r>
      <w:r w:rsidR="00286EE8">
        <w:t>to</w:t>
      </w:r>
      <w:r>
        <w:t xml:space="preserve"> en </w:t>
      </w:r>
      <w:r w:rsidRPr="00B105E3">
        <w:rPr>
          <w:i/>
          <w:iCs/>
        </w:rPr>
        <w:t>concentración</w:t>
      </w:r>
      <w:r>
        <w:t xml:space="preserve">”. Y el </w:t>
      </w:r>
      <w:r w:rsidR="00057BF4" w:rsidRPr="00057BF4">
        <w:rPr>
          <w:i/>
        </w:rPr>
        <w:t>Arahant</w:t>
      </w:r>
      <w:r>
        <w:t xml:space="preserve"> </w:t>
      </w:r>
      <w:r w:rsidR="008F47C1">
        <w:t xml:space="preserve">será </w:t>
      </w:r>
      <w:r w:rsidR="00B105E3">
        <w:t xml:space="preserve">conocido como </w:t>
      </w:r>
      <w:r>
        <w:t>“</w:t>
      </w:r>
      <w:r w:rsidR="008F47C1">
        <w:t xml:space="preserve">el </w:t>
      </w:r>
      <w:r>
        <w:t>perfec</w:t>
      </w:r>
      <w:r w:rsidR="00B105E3">
        <w:t>to</w:t>
      </w:r>
      <w:r>
        <w:t xml:space="preserve"> en </w:t>
      </w:r>
      <w:r w:rsidRPr="00B105E3">
        <w:rPr>
          <w:i/>
          <w:iCs/>
        </w:rPr>
        <w:t>entendimiento</w:t>
      </w:r>
      <w:r>
        <w:t>” (ver A I 233).</w:t>
      </w:r>
    </w:p>
    <w:p w14:paraId="712D19E2" w14:textId="418E21A2" w:rsidR="003D3239" w:rsidRDefault="003D3239" w:rsidP="003D3239">
      <w:r>
        <w:t xml:space="preserve">15. </w:t>
      </w:r>
      <w:r w:rsidR="00C34F22">
        <w:tab/>
      </w:r>
      <w:r>
        <w:t xml:space="preserve">Hasta aquí se han mostrado estas nueve y otras tríadas similares de cualidades especiales, es decir, los tres entrenamientos, la dispensación que es buena de tres maneras, la condición necesaria para la triple visión clara, la </w:t>
      </w:r>
      <w:r w:rsidR="00B105E3">
        <w:t xml:space="preserve">elusión </w:t>
      </w:r>
      <w:r>
        <w:t xml:space="preserve">de los dos extremos y el cultivo del </w:t>
      </w:r>
      <w:r w:rsidR="00B105E3">
        <w:t xml:space="preserve">sendero </w:t>
      </w:r>
      <w:r>
        <w:t xml:space="preserve">medio, los medios para superar los estados de </w:t>
      </w:r>
      <w:r w:rsidR="00B105E3">
        <w:t>perdición</w:t>
      </w:r>
      <w:r>
        <w:t xml:space="preserve">, etc., el abandono de las impurezas en </w:t>
      </w:r>
      <w:r w:rsidR="006509E7">
        <w:t>3</w:t>
      </w:r>
      <w:r>
        <w:t xml:space="preserve"> aspectos, la prevención de la transgresión, etc., la purificación de las tres clases de impurezas, y la razón </w:t>
      </w:r>
      <w:r w:rsidR="00B105E3">
        <w:t xml:space="preserve">para </w:t>
      </w:r>
      <w:r>
        <w:t xml:space="preserve">los estados de </w:t>
      </w:r>
      <w:r w:rsidR="00E41045">
        <w:t xml:space="preserve">la </w:t>
      </w:r>
      <w:r>
        <w:t>entrada</w:t>
      </w:r>
      <w:r w:rsidR="00E41045" w:rsidRPr="00E41045">
        <w:t xml:space="preserve"> </w:t>
      </w:r>
      <w:r w:rsidR="00E41045">
        <w:t>a la corriente</w:t>
      </w:r>
      <w:r w:rsidR="00F645E1">
        <w:t xml:space="preserve">, </w:t>
      </w:r>
      <w:r w:rsidR="00E41045">
        <w:t>… etc.</w:t>
      </w:r>
      <w:r>
        <w:t>.</w:t>
      </w:r>
    </w:p>
    <w:p w14:paraId="6A46E01F" w14:textId="581F941F" w:rsidR="003D3239" w:rsidRDefault="003D3239" w:rsidP="002C5105">
      <w:pPr>
        <w:pStyle w:val="Ttulo3"/>
        <w:ind w:left="708"/>
      </w:pPr>
      <w:r>
        <w:t xml:space="preserve">[II. </w:t>
      </w:r>
      <w:r w:rsidR="002C5105">
        <w:t>Virtud</w:t>
      </w:r>
      <w:r>
        <w:t>]</w:t>
      </w:r>
    </w:p>
    <w:p w14:paraId="3C10EA31" w14:textId="1AB060D4" w:rsidR="003D3239" w:rsidRDefault="003D3239" w:rsidP="003D3239">
      <w:r>
        <w:t xml:space="preserve">16. </w:t>
      </w:r>
      <w:r w:rsidR="00C34F22">
        <w:tab/>
      </w:r>
      <w:r>
        <w:t xml:space="preserve">Sin embargo, incluso cuando este </w:t>
      </w:r>
      <w:r w:rsidR="00FD1350">
        <w:t>sendero</w:t>
      </w:r>
      <w:r>
        <w:t xml:space="preserve"> de purificación se </w:t>
      </w:r>
      <w:r w:rsidR="00CA4ACA">
        <w:t>expon</w:t>
      </w:r>
      <w:r w:rsidR="00C336FE">
        <w:t>ga</w:t>
      </w:r>
      <w:r w:rsidR="00CA4ACA">
        <w:t xml:space="preserve"> </w:t>
      </w:r>
      <w:r w:rsidR="00C336FE">
        <w:t>así,</w:t>
      </w:r>
      <w:r>
        <w:t xml:space="preserve"> bajo los </w:t>
      </w:r>
      <w:r w:rsidR="00CA4ACA">
        <w:t>términos</w:t>
      </w:r>
      <w:r>
        <w:t xml:space="preserve"> de virtud, concentración y </w:t>
      </w:r>
      <w:r w:rsidR="00CA4ACA">
        <w:t>entendimiento</w:t>
      </w:r>
      <w:r>
        <w:t xml:space="preserve">, cada uno de los cuales comprende varias cualidades especiales, todavía </w:t>
      </w:r>
      <w:r w:rsidR="00993FCB">
        <w:t xml:space="preserve">ha sido expuesto </w:t>
      </w:r>
      <w:r>
        <w:t xml:space="preserve">muy brevemente. Y como es insuficiente para </w:t>
      </w:r>
      <w:r w:rsidR="000B0A18">
        <w:t>contribuir con</w:t>
      </w:r>
      <w:r>
        <w:t xml:space="preserve"> todos, </w:t>
      </w:r>
      <w:r w:rsidR="000B0A18">
        <w:t xml:space="preserve">existe una </w:t>
      </w:r>
      <w:proofErr w:type="spellStart"/>
      <w:r w:rsidR="000B0A18">
        <w:t>exposici’on</w:t>
      </w:r>
      <w:proofErr w:type="spellEnd"/>
      <w:r w:rsidR="000B0A18">
        <w:t xml:space="preserve"> detallada al respecto</w:t>
      </w:r>
      <w:r>
        <w:t xml:space="preserve">, el siguiente conjunto de preguntas tratan en primer lugar </w:t>
      </w:r>
      <w:r w:rsidR="00033450">
        <w:t xml:space="preserve">sobre </w:t>
      </w:r>
      <w:r>
        <w:t xml:space="preserve">la </w:t>
      </w:r>
      <w:r w:rsidRPr="0032603C">
        <w:rPr>
          <w:i/>
          <w:iCs/>
        </w:rPr>
        <w:t>virtud</w:t>
      </w:r>
      <w:r>
        <w:t>:</w:t>
      </w:r>
    </w:p>
    <w:p w14:paraId="6FF526F9" w14:textId="7B7F54BE" w:rsidR="003D3239" w:rsidRPr="00F90E70" w:rsidRDefault="003D3239" w:rsidP="003D3239">
      <w:pPr>
        <w:pStyle w:val="NumeracinconSangra"/>
        <w:rPr>
          <w:sz w:val="16"/>
          <w:szCs w:val="20"/>
        </w:rPr>
      </w:pPr>
      <w:r w:rsidRPr="00F90E70">
        <w:rPr>
          <w:sz w:val="16"/>
          <w:szCs w:val="20"/>
        </w:rPr>
        <w:tab/>
      </w:r>
      <w:r w:rsidRPr="00F90E70">
        <w:rPr>
          <w:sz w:val="16"/>
          <w:szCs w:val="20"/>
        </w:rPr>
        <w:tab/>
        <w:t xml:space="preserve">(i). </w:t>
      </w:r>
      <w:r w:rsidRPr="00F90E70">
        <w:rPr>
          <w:sz w:val="16"/>
          <w:szCs w:val="20"/>
        </w:rPr>
        <w:tab/>
        <w:t xml:space="preserve">¿Qué es </w:t>
      </w:r>
      <w:r w:rsidRPr="0032603C">
        <w:rPr>
          <w:i/>
          <w:iCs/>
          <w:sz w:val="16"/>
          <w:szCs w:val="20"/>
        </w:rPr>
        <w:t>virtud</w:t>
      </w:r>
      <w:r w:rsidRPr="00F90E70">
        <w:rPr>
          <w:sz w:val="16"/>
          <w:szCs w:val="20"/>
        </w:rPr>
        <w:t>?</w:t>
      </w:r>
    </w:p>
    <w:p w14:paraId="2AE5221C" w14:textId="475B2A95" w:rsidR="003D3239" w:rsidRPr="00F90E70" w:rsidRDefault="003D3239" w:rsidP="003D3239">
      <w:pPr>
        <w:pStyle w:val="NumeracinconSangra"/>
        <w:rPr>
          <w:sz w:val="16"/>
          <w:szCs w:val="20"/>
        </w:rPr>
      </w:pPr>
      <w:r w:rsidRPr="00F90E70">
        <w:rPr>
          <w:sz w:val="16"/>
          <w:szCs w:val="20"/>
        </w:rPr>
        <w:tab/>
      </w:r>
      <w:r w:rsidRPr="00F90E70">
        <w:rPr>
          <w:sz w:val="16"/>
          <w:szCs w:val="20"/>
        </w:rPr>
        <w:tab/>
        <w:t>(</w:t>
      </w:r>
      <w:proofErr w:type="spellStart"/>
      <w:r w:rsidRPr="00F90E70">
        <w:rPr>
          <w:sz w:val="16"/>
          <w:szCs w:val="20"/>
        </w:rPr>
        <w:t>ii</w:t>
      </w:r>
      <w:proofErr w:type="spellEnd"/>
      <w:r w:rsidRPr="00F90E70">
        <w:rPr>
          <w:sz w:val="16"/>
          <w:szCs w:val="20"/>
        </w:rPr>
        <w:t xml:space="preserve">). </w:t>
      </w:r>
      <w:r w:rsidRPr="00F90E70">
        <w:rPr>
          <w:sz w:val="16"/>
          <w:szCs w:val="20"/>
        </w:rPr>
        <w:tab/>
        <w:t xml:space="preserve">¿En qué sentido es </w:t>
      </w:r>
      <w:r w:rsidRPr="0032603C">
        <w:rPr>
          <w:i/>
          <w:iCs/>
          <w:sz w:val="16"/>
          <w:szCs w:val="20"/>
        </w:rPr>
        <w:t>virtud</w:t>
      </w:r>
      <w:r w:rsidRPr="00F90E70">
        <w:rPr>
          <w:sz w:val="16"/>
          <w:szCs w:val="20"/>
        </w:rPr>
        <w:t>?</w:t>
      </w:r>
    </w:p>
    <w:p w14:paraId="335A4532" w14:textId="5C0D89EA" w:rsidR="003D3239" w:rsidRPr="00F90E70" w:rsidRDefault="003D3239" w:rsidP="003D3239">
      <w:pPr>
        <w:pStyle w:val="NumeracinconSangra"/>
        <w:rPr>
          <w:sz w:val="16"/>
          <w:szCs w:val="20"/>
        </w:rPr>
      </w:pPr>
      <w:r w:rsidRPr="00F90E70">
        <w:rPr>
          <w:sz w:val="16"/>
          <w:szCs w:val="20"/>
        </w:rPr>
        <w:tab/>
      </w:r>
      <w:r w:rsidRPr="00F90E70">
        <w:rPr>
          <w:sz w:val="16"/>
          <w:szCs w:val="20"/>
        </w:rPr>
        <w:tab/>
        <w:t>(</w:t>
      </w:r>
      <w:proofErr w:type="spellStart"/>
      <w:r w:rsidRPr="00F90E70">
        <w:rPr>
          <w:sz w:val="16"/>
          <w:szCs w:val="20"/>
        </w:rPr>
        <w:t>iii</w:t>
      </w:r>
      <w:proofErr w:type="spellEnd"/>
      <w:r w:rsidRPr="00F90E70">
        <w:rPr>
          <w:sz w:val="16"/>
          <w:szCs w:val="20"/>
        </w:rPr>
        <w:t xml:space="preserve">). </w:t>
      </w:r>
      <w:r w:rsidRPr="00F90E70">
        <w:rPr>
          <w:sz w:val="16"/>
          <w:szCs w:val="20"/>
        </w:rPr>
        <w:tab/>
        <w:t>¿Cuáles son sus características, función, manifestación y causa próxima?</w:t>
      </w:r>
    </w:p>
    <w:p w14:paraId="291D4B68" w14:textId="1849F924" w:rsidR="003D3239" w:rsidRPr="00F90E70" w:rsidRDefault="003D3239" w:rsidP="003D3239">
      <w:pPr>
        <w:pStyle w:val="NumeracinconSangra"/>
        <w:rPr>
          <w:sz w:val="16"/>
          <w:szCs w:val="20"/>
        </w:rPr>
      </w:pPr>
      <w:r w:rsidRPr="00F90E70">
        <w:rPr>
          <w:sz w:val="16"/>
          <w:szCs w:val="20"/>
        </w:rPr>
        <w:tab/>
      </w:r>
      <w:r w:rsidRPr="00F90E70">
        <w:rPr>
          <w:sz w:val="16"/>
          <w:szCs w:val="20"/>
        </w:rPr>
        <w:tab/>
        <w:t>(</w:t>
      </w:r>
      <w:proofErr w:type="spellStart"/>
      <w:r w:rsidRPr="00F90E70">
        <w:rPr>
          <w:sz w:val="16"/>
          <w:szCs w:val="20"/>
        </w:rPr>
        <w:t>iv</w:t>
      </w:r>
      <w:proofErr w:type="spellEnd"/>
      <w:r w:rsidRPr="00F90E70">
        <w:rPr>
          <w:sz w:val="16"/>
          <w:szCs w:val="20"/>
        </w:rPr>
        <w:t xml:space="preserve">). </w:t>
      </w:r>
      <w:r w:rsidRPr="00F90E70">
        <w:rPr>
          <w:sz w:val="16"/>
          <w:szCs w:val="20"/>
        </w:rPr>
        <w:tab/>
        <w:t xml:space="preserve">¿Cuáles son los beneficios de la </w:t>
      </w:r>
      <w:r w:rsidRPr="0032603C">
        <w:rPr>
          <w:i/>
          <w:iCs/>
          <w:sz w:val="16"/>
          <w:szCs w:val="20"/>
        </w:rPr>
        <w:t>virtud</w:t>
      </w:r>
      <w:r w:rsidRPr="00F90E70">
        <w:rPr>
          <w:sz w:val="16"/>
          <w:szCs w:val="20"/>
        </w:rPr>
        <w:t>?</w:t>
      </w:r>
    </w:p>
    <w:p w14:paraId="63E2B01E" w14:textId="0C1F8CFD" w:rsidR="003D3239" w:rsidRPr="00F90E70" w:rsidRDefault="003D3239" w:rsidP="003D3239">
      <w:pPr>
        <w:pStyle w:val="NumeracinconSangra"/>
        <w:rPr>
          <w:sz w:val="16"/>
          <w:szCs w:val="20"/>
        </w:rPr>
      </w:pPr>
      <w:r w:rsidRPr="00F90E70">
        <w:rPr>
          <w:sz w:val="16"/>
          <w:szCs w:val="20"/>
        </w:rPr>
        <w:tab/>
      </w:r>
      <w:r w:rsidRPr="00F90E70">
        <w:rPr>
          <w:sz w:val="16"/>
          <w:szCs w:val="20"/>
        </w:rPr>
        <w:tab/>
        <w:t>(v).</w:t>
      </w:r>
      <w:r w:rsidRPr="00F90E70">
        <w:rPr>
          <w:sz w:val="16"/>
          <w:szCs w:val="20"/>
        </w:rPr>
        <w:tab/>
        <w:t xml:space="preserve">¿Cuántas clases de </w:t>
      </w:r>
      <w:r w:rsidRPr="0032603C">
        <w:rPr>
          <w:i/>
          <w:iCs/>
          <w:sz w:val="16"/>
          <w:szCs w:val="20"/>
        </w:rPr>
        <w:t>virtud</w:t>
      </w:r>
      <w:r w:rsidRPr="00F90E70">
        <w:rPr>
          <w:sz w:val="16"/>
          <w:szCs w:val="20"/>
        </w:rPr>
        <w:t xml:space="preserve"> </w:t>
      </w:r>
      <w:r w:rsidR="002E30C5">
        <w:rPr>
          <w:sz w:val="16"/>
          <w:szCs w:val="20"/>
        </w:rPr>
        <w:t>existen</w:t>
      </w:r>
      <w:r w:rsidRPr="00F90E70">
        <w:rPr>
          <w:sz w:val="16"/>
          <w:szCs w:val="20"/>
        </w:rPr>
        <w:t>?</w:t>
      </w:r>
    </w:p>
    <w:p w14:paraId="0A8B58DA" w14:textId="03B99C85" w:rsidR="003D3239" w:rsidRPr="00F90E70" w:rsidRDefault="003D3239" w:rsidP="003D3239">
      <w:pPr>
        <w:pStyle w:val="NumeracinconSangra"/>
        <w:rPr>
          <w:sz w:val="16"/>
          <w:szCs w:val="20"/>
        </w:rPr>
      </w:pPr>
      <w:r w:rsidRPr="00F90E70">
        <w:rPr>
          <w:sz w:val="16"/>
          <w:szCs w:val="20"/>
        </w:rPr>
        <w:tab/>
      </w:r>
      <w:r w:rsidRPr="00F90E70">
        <w:rPr>
          <w:sz w:val="16"/>
          <w:szCs w:val="20"/>
        </w:rPr>
        <w:tab/>
        <w:t xml:space="preserve">(vi). </w:t>
      </w:r>
      <w:r w:rsidRPr="00F90E70">
        <w:rPr>
          <w:sz w:val="16"/>
          <w:szCs w:val="20"/>
        </w:rPr>
        <w:tab/>
        <w:t xml:space="preserve">¿Cuál es la </w:t>
      </w:r>
      <w:r w:rsidR="0032603C">
        <w:rPr>
          <w:sz w:val="16"/>
          <w:szCs w:val="20"/>
        </w:rPr>
        <w:t>transgresión a</w:t>
      </w:r>
      <w:r w:rsidRPr="00F90E70">
        <w:rPr>
          <w:sz w:val="16"/>
          <w:szCs w:val="20"/>
        </w:rPr>
        <w:t xml:space="preserve"> ella?</w:t>
      </w:r>
    </w:p>
    <w:p w14:paraId="1EDC5087" w14:textId="60B12F8A" w:rsidR="003D3239" w:rsidRPr="00F90E70" w:rsidRDefault="003D3239" w:rsidP="00F90E70">
      <w:pPr>
        <w:pStyle w:val="NumeracinconSangra"/>
        <w:spacing w:after="160"/>
        <w:rPr>
          <w:sz w:val="16"/>
          <w:szCs w:val="20"/>
        </w:rPr>
      </w:pPr>
      <w:r w:rsidRPr="00F90E70">
        <w:rPr>
          <w:sz w:val="16"/>
          <w:szCs w:val="20"/>
        </w:rPr>
        <w:tab/>
      </w:r>
      <w:r w:rsidRPr="00F90E70">
        <w:rPr>
          <w:sz w:val="16"/>
          <w:szCs w:val="20"/>
        </w:rPr>
        <w:tab/>
        <w:t>(</w:t>
      </w:r>
      <w:proofErr w:type="spellStart"/>
      <w:r w:rsidRPr="00F90E70">
        <w:rPr>
          <w:sz w:val="16"/>
          <w:szCs w:val="20"/>
        </w:rPr>
        <w:t>viii</w:t>
      </w:r>
      <w:proofErr w:type="spellEnd"/>
      <w:r w:rsidRPr="00F90E70">
        <w:rPr>
          <w:sz w:val="16"/>
          <w:szCs w:val="20"/>
        </w:rPr>
        <w:t xml:space="preserve">). </w:t>
      </w:r>
      <w:r w:rsidRPr="00F90E70">
        <w:rPr>
          <w:sz w:val="16"/>
          <w:szCs w:val="20"/>
        </w:rPr>
        <w:tab/>
        <w:t xml:space="preserve">¿Qué </w:t>
      </w:r>
      <w:r w:rsidR="00F645E1">
        <w:rPr>
          <w:sz w:val="16"/>
          <w:szCs w:val="20"/>
        </w:rPr>
        <w:t>significa</w:t>
      </w:r>
      <w:r w:rsidRPr="00F90E70">
        <w:rPr>
          <w:sz w:val="16"/>
          <w:szCs w:val="20"/>
        </w:rPr>
        <w:t xml:space="preserve"> </w:t>
      </w:r>
      <w:r w:rsidR="00A011C7">
        <w:rPr>
          <w:sz w:val="16"/>
          <w:szCs w:val="20"/>
        </w:rPr>
        <w:t xml:space="preserve">la </w:t>
      </w:r>
      <w:r w:rsidR="0032603C">
        <w:rPr>
          <w:sz w:val="16"/>
          <w:szCs w:val="20"/>
        </w:rPr>
        <w:t xml:space="preserve">purificación </w:t>
      </w:r>
      <w:r w:rsidRPr="00F90E70">
        <w:rPr>
          <w:sz w:val="16"/>
          <w:szCs w:val="20"/>
        </w:rPr>
        <w:t xml:space="preserve">de </w:t>
      </w:r>
      <w:proofErr w:type="gramStart"/>
      <w:r w:rsidRPr="00F90E70">
        <w:rPr>
          <w:sz w:val="16"/>
          <w:szCs w:val="20"/>
        </w:rPr>
        <w:t>la misma</w:t>
      </w:r>
      <w:proofErr w:type="gramEnd"/>
      <w:r w:rsidRPr="00F90E70">
        <w:rPr>
          <w:sz w:val="16"/>
          <w:szCs w:val="20"/>
        </w:rPr>
        <w:t>?</w:t>
      </w:r>
    </w:p>
    <w:p w14:paraId="050A20C4" w14:textId="71CE2372" w:rsidR="003D3239" w:rsidRDefault="003D3239" w:rsidP="003D3239">
      <w:r>
        <w:t xml:space="preserve">17. </w:t>
      </w:r>
      <w:r w:rsidR="00C34F22">
        <w:tab/>
      </w:r>
      <w:r>
        <w:t>Aquí las respuestas:</w:t>
      </w:r>
    </w:p>
    <w:p w14:paraId="7097AAE2" w14:textId="0F549E2A" w:rsidR="003D3239" w:rsidRDefault="003D3239" w:rsidP="003D3239">
      <w:r>
        <w:t xml:space="preserve">(i) </w:t>
      </w:r>
      <w:r w:rsidRPr="00F90E70">
        <w:rPr>
          <w:rStyle w:val="Ttulo4Car"/>
        </w:rPr>
        <w:t>¿</w:t>
      </w:r>
      <w:r w:rsidR="00F90E70" w:rsidRPr="00F90E70">
        <w:rPr>
          <w:rStyle w:val="Ttulo4Car"/>
        </w:rPr>
        <w:t>Qué es la virtud</w:t>
      </w:r>
      <w:r w:rsidRPr="00F90E70">
        <w:rPr>
          <w:rStyle w:val="Ttulo4Car"/>
        </w:rPr>
        <w:t>?</w:t>
      </w:r>
      <w:r>
        <w:t xml:space="preserve"> Son los estados que comienzan con la volición presente en quien se abste</w:t>
      </w:r>
      <w:r w:rsidR="00DA24ED">
        <w:t>nga</w:t>
      </w:r>
      <w:r>
        <w:t xml:space="preserve"> de matar seres vivos, </w:t>
      </w:r>
      <w:r w:rsidR="00F645E1">
        <w:t xml:space="preserve">… </w:t>
      </w:r>
      <w:r>
        <w:t>etc., o en quien cumpl</w:t>
      </w:r>
      <w:r w:rsidR="001E4EE2">
        <w:t>a</w:t>
      </w:r>
      <w:r>
        <w:t xml:space="preserve"> con la práctica de los deberes. </w:t>
      </w:r>
      <w:r w:rsidR="007B3CF5">
        <w:t xml:space="preserve">Ya </w:t>
      </w:r>
      <w:r>
        <w:t xml:space="preserve">que esto </w:t>
      </w:r>
      <w:r w:rsidR="007B3CF5">
        <w:t xml:space="preserve">está dicho </w:t>
      </w:r>
      <w:r>
        <w:t xml:space="preserve">en el </w:t>
      </w:r>
      <w:proofErr w:type="spellStart"/>
      <w:r w:rsidRPr="002C5105">
        <w:rPr>
          <w:i/>
          <w:iCs/>
        </w:rPr>
        <w:t>Paṭisambhidā</w:t>
      </w:r>
      <w:proofErr w:type="spellEnd"/>
      <w:r>
        <w:t xml:space="preserve">: “¿Qué es la virtud? Existe </w:t>
      </w:r>
      <w:r w:rsidR="00A15DF4">
        <w:t>una</w:t>
      </w:r>
      <w:r>
        <w:t xml:space="preserve"> virtud como volición, </w:t>
      </w:r>
      <w:r w:rsidR="00A15DF4">
        <w:t>una</w:t>
      </w:r>
      <w:r>
        <w:t xml:space="preserve"> virtud como </w:t>
      </w:r>
      <w:r w:rsidR="00A41DCF">
        <w:t>consciencia</w:t>
      </w:r>
      <w:r w:rsidR="00A41DCF" w:rsidRPr="003B01ED">
        <w:t>–concomitant</w:t>
      </w:r>
      <w:r w:rsidR="00A41DCF">
        <w:t>e</w:t>
      </w:r>
      <w:r>
        <w:t>,</w:t>
      </w:r>
      <w:r w:rsidRPr="00FA1A71">
        <w:rPr>
          <w:vertAlign w:val="superscript"/>
        </w:rPr>
        <w:t>7</w:t>
      </w:r>
      <w:r>
        <w:t xml:space="preserve"> </w:t>
      </w:r>
      <w:r w:rsidR="00A15DF4">
        <w:t>una</w:t>
      </w:r>
      <w:r>
        <w:t xml:space="preserve"> virtud como restricción, [7] </w:t>
      </w:r>
      <w:r w:rsidR="001E4EE2">
        <w:t xml:space="preserve">y </w:t>
      </w:r>
      <w:r w:rsidR="00A15DF4">
        <w:t>un</w:t>
      </w:r>
      <w:r>
        <w:t>a virtud como no</w:t>
      </w:r>
      <w:r w:rsidR="00DA51A5">
        <w:t>–</w:t>
      </w:r>
      <w:r>
        <w:t>transgresión” (</w:t>
      </w:r>
      <w:proofErr w:type="spellStart"/>
      <w:r w:rsidRPr="002C5105">
        <w:rPr>
          <w:i/>
          <w:iCs/>
        </w:rPr>
        <w:t>Paṭis</w:t>
      </w:r>
      <w:proofErr w:type="spellEnd"/>
      <w:r>
        <w:t xml:space="preserve"> I 44).</w:t>
      </w:r>
    </w:p>
    <w:p w14:paraId="05839C56" w14:textId="1DF47F82" w:rsidR="003D3239" w:rsidRDefault="00D435C0" w:rsidP="00F90E70">
      <w:pPr>
        <w:pStyle w:val="NormalConSangria"/>
      </w:pPr>
      <w:r>
        <w:t>Al respecto</w:t>
      </w:r>
      <w:r w:rsidR="003D3239">
        <w:t xml:space="preserve">, </w:t>
      </w:r>
      <w:r>
        <w:t>una</w:t>
      </w:r>
      <w:r w:rsidR="003D3239">
        <w:t xml:space="preserve"> </w:t>
      </w:r>
      <w:r w:rsidR="003D3239" w:rsidRPr="002C5105">
        <w:rPr>
          <w:i/>
          <w:iCs/>
        </w:rPr>
        <w:t>virtud como volición</w:t>
      </w:r>
      <w:r w:rsidR="003D3239">
        <w:t xml:space="preserve"> es </w:t>
      </w:r>
      <w:r>
        <w:t>una</w:t>
      </w:r>
      <w:r w:rsidR="003D3239">
        <w:t xml:space="preserve"> volición presente en quien se absten</w:t>
      </w:r>
      <w:r>
        <w:t>ga</w:t>
      </w:r>
      <w:r w:rsidR="003D3239">
        <w:t xml:space="preserve"> de matar seres vivos, etc., o en quien cumpl</w:t>
      </w:r>
      <w:r>
        <w:t>a</w:t>
      </w:r>
      <w:r w:rsidR="003D3239">
        <w:t xml:space="preserve"> con la práctica de los deberes. </w:t>
      </w:r>
      <w:r w:rsidR="00ED0F76">
        <w:t>Un</w:t>
      </w:r>
      <w:r w:rsidR="003D3239">
        <w:t xml:space="preserve">a </w:t>
      </w:r>
      <w:r w:rsidR="003D3239" w:rsidRPr="002C5105">
        <w:rPr>
          <w:i/>
          <w:iCs/>
        </w:rPr>
        <w:t>virtud</w:t>
      </w:r>
      <w:r w:rsidR="003D3239">
        <w:t xml:space="preserve"> </w:t>
      </w:r>
      <w:r w:rsidR="003D3239" w:rsidRPr="002C5105">
        <w:rPr>
          <w:i/>
          <w:iCs/>
        </w:rPr>
        <w:t>como concomitante</w:t>
      </w:r>
      <w:r w:rsidR="003D3239">
        <w:t xml:space="preserve"> </w:t>
      </w:r>
      <w:r w:rsidR="003D3239" w:rsidRPr="002C5105">
        <w:rPr>
          <w:i/>
          <w:iCs/>
        </w:rPr>
        <w:t xml:space="preserve">de la </w:t>
      </w:r>
      <w:r w:rsidR="00305E12">
        <w:rPr>
          <w:i/>
          <w:iCs/>
        </w:rPr>
        <w:t>consciencia</w:t>
      </w:r>
      <w:r w:rsidR="003D3239" w:rsidRPr="002C5105">
        <w:rPr>
          <w:i/>
          <w:iCs/>
        </w:rPr>
        <w:t xml:space="preserve"> </w:t>
      </w:r>
      <w:r w:rsidR="003D3239">
        <w:t>es la abstinencia en quien se absten</w:t>
      </w:r>
      <w:r w:rsidR="00ED0F76">
        <w:t>ga</w:t>
      </w:r>
      <w:r w:rsidR="003D3239">
        <w:t xml:space="preserve"> de matar a los seres vivos, etc. Además, la </w:t>
      </w:r>
      <w:r w:rsidR="003D3239" w:rsidRPr="004E3C20">
        <w:rPr>
          <w:i/>
          <w:iCs/>
        </w:rPr>
        <w:t>virtud como volición</w:t>
      </w:r>
      <w:r w:rsidR="003D3239">
        <w:t xml:space="preserve"> son las siete voliciones [que acompañan a las siete primeras] de los [diez] cursos de acción (</w:t>
      </w:r>
      <w:proofErr w:type="spellStart"/>
      <w:r w:rsidR="00057BF4" w:rsidRPr="00057BF4">
        <w:rPr>
          <w:i/>
        </w:rPr>
        <w:t>kamma</w:t>
      </w:r>
      <w:proofErr w:type="spellEnd"/>
      <w:r w:rsidR="003D3239">
        <w:t>) en aquel que abandona mata</w:t>
      </w:r>
      <w:r w:rsidR="00E425E2">
        <w:t xml:space="preserve">r </w:t>
      </w:r>
      <w:r w:rsidR="003D3239">
        <w:t xml:space="preserve">seres vivos, </w:t>
      </w:r>
      <w:r w:rsidR="00130C8D">
        <w:t>etc</w:t>
      </w:r>
      <w:r w:rsidR="003D3239">
        <w:t xml:space="preserve">. La </w:t>
      </w:r>
      <w:r w:rsidR="003D3239" w:rsidRPr="002C5105">
        <w:rPr>
          <w:i/>
          <w:iCs/>
        </w:rPr>
        <w:t>virtud</w:t>
      </w:r>
      <w:r w:rsidR="003D3239">
        <w:t xml:space="preserve"> </w:t>
      </w:r>
      <w:r w:rsidR="003D3239" w:rsidRPr="002C5105">
        <w:rPr>
          <w:i/>
          <w:iCs/>
        </w:rPr>
        <w:t xml:space="preserve">como </w:t>
      </w:r>
      <w:r w:rsidR="00305E12">
        <w:rPr>
          <w:i/>
          <w:iCs/>
        </w:rPr>
        <w:t>consciencia</w:t>
      </w:r>
      <w:r w:rsidR="003D3239" w:rsidRPr="002C5105">
        <w:rPr>
          <w:i/>
          <w:iCs/>
        </w:rPr>
        <w:t xml:space="preserve"> concomitante</w:t>
      </w:r>
      <w:r w:rsidR="003D3239">
        <w:t xml:space="preserve"> son los [tres restantes] estados </w:t>
      </w:r>
      <w:r w:rsidR="00130C8D">
        <w:t>consisten</w:t>
      </w:r>
      <w:r w:rsidR="00575C49">
        <w:t>tes</w:t>
      </w:r>
      <w:r w:rsidR="00130C8D">
        <w:t xml:space="preserve"> de</w:t>
      </w:r>
      <w:r w:rsidR="003D3239">
        <w:t xml:space="preserve"> no</w:t>
      </w:r>
      <w:r w:rsidR="00130C8D">
        <w:t>-</w:t>
      </w:r>
      <w:r w:rsidR="003D3239">
        <w:t>codicia, no</w:t>
      </w:r>
      <w:r w:rsidR="00130C8D">
        <w:t>-</w:t>
      </w:r>
      <w:r w:rsidR="003D3239">
        <w:t>mala</w:t>
      </w:r>
      <w:r w:rsidR="00242ECD">
        <w:t>–</w:t>
      </w:r>
      <w:r w:rsidR="003D3239">
        <w:t xml:space="preserve">voluntad y visión correcta, </w:t>
      </w:r>
      <w:r w:rsidR="00A3718A">
        <w:t>indicados</w:t>
      </w:r>
      <w:r w:rsidR="003D3239">
        <w:t xml:space="preserve"> en el </w:t>
      </w:r>
      <w:r w:rsidR="00AF030F">
        <w:t>pasaje</w:t>
      </w:r>
      <w:r w:rsidR="00A3718A">
        <w:t xml:space="preserve"> </w:t>
      </w:r>
      <w:r w:rsidR="003D3239">
        <w:t>que comienza: "Abandonando la codicia, mora con una mente libre de codicia" (D I 71).</w:t>
      </w:r>
    </w:p>
    <w:p w14:paraId="25114904" w14:textId="42765D30" w:rsidR="003D3239" w:rsidRPr="003D3239" w:rsidRDefault="003D3239" w:rsidP="003D3239">
      <w:pPr>
        <w:pStyle w:val="PiedepginaLegal"/>
        <w:rPr>
          <w:u w:val="single"/>
        </w:rPr>
      </w:pPr>
      <w:r w:rsidRPr="003D3239">
        <w:rPr>
          <w:u w:val="single"/>
        </w:rPr>
        <w:t xml:space="preserve">                                                                                                                                                    .</w:t>
      </w:r>
    </w:p>
    <w:p w14:paraId="161E7983" w14:textId="312D1506" w:rsidR="00F90E70" w:rsidRDefault="003D3239" w:rsidP="00F90E70">
      <w:pPr>
        <w:pStyle w:val="PiedepginaLegal"/>
      </w:pPr>
      <w:r>
        <w:t xml:space="preserve">7. </w:t>
      </w:r>
      <w:r>
        <w:tab/>
        <w:t>“</w:t>
      </w:r>
      <w:r w:rsidR="00D405B0" w:rsidRPr="00D405B0">
        <w:t>consciencia–concomitante</w:t>
      </w:r>
      <w:r>
        <w:t>” (</w:t>
      </w:r>
      <w:proofErr w:type="spellStart"/>
      <w:r w:rsidRPr="002C5105">
        <w:rPr>
          <w:i/>
          <w:iCs/>
        </w:rPr>
        <w:t>cetasikā</w:t>
      </w:r>
      <w:proofErr w:type="spellEnd"/>
      <w:r>
        <w:t xml:space="preserve">) es un término colectivo para </w:t>
      </w:r>
      <w:r w:rsidR="00575C49">
        <w:t xml:space="preserve">la </w:t>
      </w:r>
      <w:r w:rsidR="008A730F">
        <w:t>sensación</w:t>
      </w:r>
      <w:r>
        <w:t xml:space="preserve">, percepción y formación, subdividido de diversas formas; en otras palabras, </w:t>
      </w:r>
      <w:r w:rsidR="009403A8">
        <w:t xml:space="preserve">en </w:t>
      </w:r>
      <w:r>
        <w:t>aspectos de la mentalidad que sur</w:t>
      </w:r>
      <w:r w:rsidR="009403A8">
        <w:t>ja</w:t>
      </w:r>
      <w:r>
        <w:t xml:space="preserve">n junto con la </w:t>
      </w:r>
      <w:r w:rsidR="00305E12">
        <w:t>consciencia</w:t>
      </w:r>
      <w:r>
        <w:t>.</w:t>
      </w:r>
      <w:r w:rsidR="00F90E70">
        <w:br w:type="page"/>
      </w:r>
    </w:p>
    <w:p w14:paraId="03F80CE4" w14:textId="3A183E21" w:rsidR="004E558B" w:rsidRDefault="004E558B" w:rsidP="00687321">
      <w:r>
        <w:lastRenderedPageBreak/>
        <w:t xml:space="preserve">18. </w:t>
      </w:r>
      <w:r w:rsidR="00C34F22">
        <w:tab/>
      </w:r>
      <w:r>
        <w:t xml:space="preserve">La </w:t>
      </w:r>
      <w:r w:rsidRPr="002C5105">
        <w:rPr>
          <w:i/>
          <w:iCs/>
        </w:rPr>
        <w:t>virtud</w:t>
      </w:r>
      <w:r>
        <w:t xml:space="preserve"> </w:t>
      </w:r>
      <w:r w:rsidRPr="00A3718A">
        <w:rPr>
          <w:i/>
          <w:iCs/>
        </w:rPr>
        <w:t>como restricción</w:t>
      </w:r>
      <w:r>
        <w:t xml:space="preserve"> debe entenderse aquí como restricción de cinco maneras: restricción </w:t>
      </w:r>
      <w:r w:rsidR="00A3718A">
        <w:t>mediante</w:t>
      </w:r>
      <w:r>
        <w:t xml:space="preserve"> las reglas de la comunidad (</w:t>
      </w:r>
      <w:proofErr w:type="spellStart"/>
      <w:r w:rsidRPr="002C5105">
        <w:rPr>
          <w:i/>
          <w:iCs/>
        </w:rPr>
        <w:t>pātimokkha</w:t>
      </w:r>
      <w:proofErr w:type="spellEnd"/>
      <w:r>
        <w:t xml:space="preserve">), restricción </w:t>
      </w:r>
      <w:r w:rsidR="005B6DA3">
        <w:t xml:space="preserve">mediante </w:t>
      </w:r>
      <w:r>
        <w:t xml:space="preserve">la atención plena, restricción </w:t>
      </w:r>
      <w:r w:rsidR="005B6DA3">
        <w:t xml:space="preserve">mediante </w:t>
      </w:r>
      <w:r>
        <w:t xml:space="preserve">el conocimiento, restricción </w:t>
      </w:r>
      <w:r w:rsidR="005B6DA3">
        <w:t xml:space="preserve">mediante </w:t>
      </w:r>
      <w:r>
        <w:t xml:space="preserve">la paciencia y restricción </w:t>
      </w:r>
      <w:r w:rsidR="005B6DA3">
        <w:t xml:space="preserve">mediante </w:t>
      </w:r>
      <w:r>
        <w:t xml:space="preserve">la energía. Aquí, “restricción </w:t>
      </w:r>
      <w:r w:rsidR="005952E1">
        <w:t xml:space="preserve">mediante </w:t>
      </w:r>
      <w:r>
        <w:t xml:space="preserve">el </w:t>
      </w:r>
      <w:proofErr w:type="spellStart"/>
      <w:r w:rsidRPr="002C5105">
        <w:rPr>
          <w:i/>
          <w:iCs/>
        </w:rPr>
        <w:t>Pātimokkha</w:t>
      </w:r>
      <w:proofErr w:type="spellEnd"/>
      <w:r>
        <w:t xml:space="preserve">” es esto: “Él está equipado, completamente equipado, con esta restricción </w:t>
      </w:r>
      <w:proofErr w:type="spellStart"/>
      <w:r w:rsidRPr="002C5105">
        <w:rPr>
          <w:i/>
          <w:iCs/>
        </w:rPr>
        <w:t>Pātimokkha</w:t>
      </w:r>
      <w:proofErr w:type="spellEnd"/>
      <w:r>
        <w:t>. (</w:t>
      </w:r>
      <w:proofErr w:type="spellStart"/>
      <w:r>
        <w:t>Vibh</w:t>
      </w:r>
      <w:proofErr w:type="spellEnd"/>
      <w:r>
        <w:t xml:space="preserve"> 246)” “</w:t>
      </w:r>
      <w:r w:rsidR="005952E1">
        <w:t xml:space="preserve">Restricción mediante </w:t>
      </w:r>
      <w:r>
        <w:t>la atención plena” es esto: “Él protege la facultad del ojo, entra en la restricción de la facultad del ojo” (D I 70). “</w:t>
      </w:r>
      <w:r w:rsidR="005952E1">
        <w:t xml:space="preserve">Restricción </w:t>
      </w:r>
      <w:r w:rsidR="005952E1" w:rsidRPr="005952E1">
        <w:t xml:space="preserve">mediante </w:t>
      </w:r>
      <w:r>
        <w:t>el conocimiento” es esto:</w:t>
      </w:r>
    </w:p>
    <w:p w14:paraId="5E133BF3" w14:textId="6CB881EA" w:rsidR="004E558B" w:rsidRDefault="004E558B" w:rsidP="00900AC0">
      <w:pPr>
        <w:pStyle w:val="VersoIngls01Sangria"/>
      </w:pPr>
      <w:r>
        <w:t xml:space="preserve">“Las corrientes </w:t>
      </w:r>
      <w:r w:rsidR="00615F46">
        <w:t xml:space="preserve">que </w:t>
      </w:r>
      <w:r>
        <w:t>en el mundo fluy</w:t>
      </w:r>
      <w:r w:rsidR="00615F46">
        <w:t>a</w:t>
      </w:r>
      <w:r>
        <w:t xml:space="preserve">n, </w:t>
      </w:r>
      <w:proofErr w:type="spellStart"/>
      <w:r>
        <w:t>Ajita</w:t>
      </w:r>
      <w:proofErr w:type="spellEnd"/>
      <w:r>
        <w:t xml:space="preserve">”, dijo el </w:t>
      </w:r>
      <w:r w:rsidR="009936D8">
        <w:rPr>
          <w:i/>
          <w:iCs/>
        </w:rPr>
        <w:t>Bhagavā</w:t>
      </w:r>
      <w:r>
        <w:t>,</w:t>
      </w:r>
    </w:p>
    <w:p w14:paraId="22EFD12A" w14:textId="2AFBB13E" w:rsidR="004E558B" w:rsidRDefault="004E558B" w:rsidP="00900AC0">
      <w:pPr>
        <w:pStyle w:val="VersoIngls01Sangria"/>
      </w:pPr>
      <w:r>
        <w:t>“Son detenid</w:t>
      </w:r>
      <w:r w:rsidR="00D86BC4">
        <w:t>a</w:t>
      </w:r>
      <w:r>
        <w:t xml:space="preserve">s </w:t>
      </w:r>
      <w:r w:rsidR="00D86BC4">
        <w:t xml:space="preserve">mediante </w:t>
      </w:r>
      <w:r>
        <w:t>la atención plena;</w:t>
      </w:r>
    </w:p>
    <w:p w14:paraId="653803B5" w14:textId="72002C37" w:rsidR="004E558B" w:rsidRDefault="003662CA" w:rsidP="00900AC0">
      <w:pPr>
        <w:pStyle w:val="VersoIngls01Sangria"/>
      </w:pPr>
      <w:r>
        <w:t xml:space="preserve">Yo proclamo que la </w:t>
      </w:r>
      <w:r w:rsidR="00421D8A">
        <w:t>r</w:t>
      </w:r>
      <w:r w:rsidR="004E558B">
        <w:t>estricción de las corrientes,</w:t>
      </w:r>
    </w:p>
    <w:p w14:paraId="30F33396" w14:textId="1E104A54" w:rsidR="004E558B" w:rsidRDefault="00D86BC4" w:rsidP="00900AC0">
      <w:pPr>
        <w:pStyle w:val="VersoIngls01Sangria"/>
        <w:spacing w:after="100"/>
        <w:ind w:left="1418"/>
      </w:pPr>
      <w:r>
        <w:t>S</w:t>
      </w:r>
      <w:r w:rsidR="00421D8A">
        <w:t>on</w:t>
      </w:r>
      <w:r>
        <w:t xml:space="preserve"> </w:t>
      </w:r>
      <w:r w:rsidR="004E558B">
        <w:t>condena</w:t>
      </w:r>
      <w:r w:rsidR="00421D8A">
        <w:t>das</w:t>
      </w:r>
      <w:r w:rsidRPr="00D86BC4">
        <w:t xml:space="preserve"> </w:t>
      </w:r>
      <w:r>
        <w:t>mediante el entendimiento</w:t>
      </w:r>
      <w:r w:rsidR="004E558B">
        <w:t>” (Sn 1035);</w:t>
      </w:r>
    </w:p>
    <w:p w14:paraId="7D0ECC7E" w14:textId="4867F7F7" w:rsidR="004E558B" w:rsidRDefault="004E558B" w:rsidP="004E558B">
      <w:r>
        <w:t xml:space="preserve">y el uso de </w:t>
      </w:r>
      <w:r w:rsidR="008D44D0">
        <w:t xml:space="preserve">los </w:t>
      </w:r>
      <w:r>
        <w:t xml:space="preserve">requisitos se combina aquí con esto. </w:t>
      </w:r>
      <w:r w:rsidR="008F42E7">
        <w:t xml:space="preserve">No obstante, a </w:t>
      </w:r>
      <w:r>
        <w:t>lo que se llama “</w:t>
      </w:r>
      <w:r w:rsidR="008F42E7">
        <w:t>restricción median</w:t>
      </w:r>
      <w:r w:rsidR="000D1AAF">
        <w:t>t</w:t>
      </w:r>
      <w:r w:rsidR="008F42E7">
        <w:t>e</w:t>
      </w:r>
      <w:r>
        <w:t xml:space="preserve"> la paciencia” es lo que se da en el </w:t>
      </w:r>
      <w:r w:rsidR="00AF030F">
        <w:t xml:space="preserve">pasaje </w:t>
      </w:r>
      <w:r>
        <w:t xml:space="preserve">que comienza: “Él es </w:t>
      </w:r>
      <w:r w:rsidR="0000317D">
        <w:t>aquel</w:t>
      </w:r>
      <w:r>
        <w:t xml:space="preserve"> que soporta el frío y el calor” (M I 10). Y </w:t>
      </w:r>
      <w:r w:rsidR="000D1AAF">
        <w:t xml:space="preserve">a </w:t>
      </w:r>
      <w:r>
        <w:t>lo que se llama "</w:t>
      </w:r>
      <w:r w:rsidR="000D1AAF">
        <w:t xml:space="preserve">restricción mediante </w:t>
      </w:r>
      <w:r>
        <w:t xml:space="preserve">la energía" es lo que se da en el </w:t>
      </w:r>
      <w:r w:rsidR="00AF030F">
        <w:t xml:space="preserve">pasaje </w:t>
      </w:r>
      <w:r>
        <w:t xml:space="preserve">que comienza: "No </w:t>
      </w:r>
      <w:r w:rsidR="00C4784D">
        <w:t>toler</w:t>
      </w:r>
      <w:r w:rsidR="006A4B08">
        <w:t>a</w:t>
      </w:r>
      <w:r w:rsidR="00C4784D">
        <w:t xml:space="preserve"> </w:t>
      </w:r>
      <w:r>
        <w:t>un pensamiento de deseo sensual cuando sur</w:t>
      </w:r>
      <w:r w:rsidR="000D1AAF">
        <w:t>ja</w:t>
      </w:r>
      <w:r>
        <w:t xml:space="preserve">" (M I 11); la purificación del sustento se combina aquí con esto. Así que esta restricción quíntuple, y </w:t>
      </w:r>
      <w:r w:rsidR="00E07DFB">
        <w:t xml:space="preserve">la </w:t>
      </w:r>
      <w:r>
        <w:t xml:space="preserve">abstinencia, en los miembros del clan que temen al mal de cualquier posibilidad de transgresión que se presente, debe entenderse como "virtud </w:t>
      </w:r>
      <w:r w:rsidR="00C4784D">
        <w:t>mediante la</w:t>
      </w:r>
      <w:r>
        <w:t xml:space="preserve"> restricción".</w:t>
      </w:r>
    </w:p>
    <w:p w14:paraId="3BC7F728" w14:textId="52B00855" w:rsidR="004E558B" w:rsidRDefault="004E558B" w:rsidP="00C34F22">
      <w:pPr>
        <w:pStyle w:val="NormalConSangria"/>
      </w:pPr>
      <w:r w:rsidRPr="002C5105">
        <w:rPr>
          <w:i/>
          <w:iCs/>
        </w:rPr>
        <w:t>La virtud como no</w:t>
      </w:r>
      <w:r w:rsidR="001B06BB">
        <w:t>–</w:t>
      </w:r>
      <w:r w:rsidRPr="002C5105">
        <w:rPr>
          <w:i/>
          <w:iCs/>
        </w:rPr>
        <w:t>transgresión</w:t>
      </w:r>
      <w:r>
        <w:t xml:space="preserve"> es la no</w:t>
      </w:r>
      <w:r w:rsidR="00F27182">
        <w:t>–</w:t>
      </w:r>
      <w:r>
        <w:t xml:space="preserve">transgresión, </w:t>
      </w:r>
      <w:r w:rsidR="00C4784D">
        <w:t xml:space="preserve">física </w:t>
      </w:r>
      <w:r w:rsidR="003E3754">
        <w:t>y</w:t>
      </w:r>
      <w:r>
        <w:t xml:space="preserve"> </w:t>
      </w:r>
      <w:r w:rsidR="00C4784D">
        <w:t>verbalmente</w:t>
      </w:r>
      <w:r>
        <w:t>, de los preceptos de virtud que se ha</w:t>
      </w:r>
      <w:r w:rsidR="003E3754">
        <w:t>ya</w:t>
      </w:r>
      <w:r>
        <w:t>n asumido</w:t>
      </w:r>
    </w:p>
    <w:p w14:paraId="01619D44" w14:textId="2F4756CC" w:rsidR="004E558B" w:rsidRDefault="003E3754" w:rsidP="00C34F22">
      <w:pPr>
        <w:pStyle w:val="NormalConSangria"/>
      </w:pPr>
      <w:r>
        <w:t>É</w:t>
      </w:r>
      <w:r w:rsidR="004E558B">
        <w:t xml:space="preserve">sta, en primer lugar, es la respuesta a la pregunta: “¿Qué es </w:t>
      </w:r>
      <w:r w:rsidR="004E558B" w:rsidRPr="003E3754">
        <w:rPr>
          <w:i/>
          <w:iCs/>
        </w:rPr>
        <w:t>virtud</w:t>
      </w:r>
      <w:r w:rsidR="004E558B">
        <w:t>?” [8] Ahora, en cuanto al resto</w:t>
      </w:r>
      <w:r>
        <w:t xml:space="preserve"> </w:t>
      </w:r>
      <w:r w:rsidR="004E558B">
        <w:t>—</w:t>
      </w:r>
    </w:p>
    <w:p w14:paraId="18DAE41E" w14:textId="5B83A6FE" w:rsidR="004E558B" w:rsidRDefault="004E558B" w:rsidP="004E558B">
      <w:r>
        <w:t>19. (</w:t>
      </w:r>
      <w:proofErr w:type="spellStart"/>
      <w:r>
        <w:t>ii</w:t>
      </w:r>
      <w:proofErr w:type="spellEnd"/>
      <w:r>
        <w:t xml:space="preserve">) </w:t>
      </w:r>
      <w:r w:rsidR="00900AC0" w:rsidRPr="00900AC0">
        <w:rPr>
          <w:rStyle w:val="Ttulo4Car"/>
        </w:rPr>
        <w:t>¿En qué sentido es virtud?</w:t>
      </w:r>
      <w:r w:rsidR="00900AC0">
        <w:t xml:space="preserve"> </w:t>
      </w:r>
      <w:r>
        <w:t>Es virtud (</w:t>
      </w:r>
      <w:r w:rsidRPr="002C5105">
        <w:rPr>
          <w:i/>
          <w:iCs/>
        </w:rPr>
        <w:t>sīla</w:t>
      </w:r>
      <w:r>
        <w:t>) en el sentido de componer (</w:t>
      </w:r>
      <w:proofErr w:type="spellStart"/>
      <w:r w:rsidRPr="002C5105">
        <w:rPr>
          <w:i/>
          <w:iCs/>
        </w:rPr>
        <w:t>sīlana</w:t>
      </w:r>
      <w:proofErr w:type="spellEnd"/>
      <w:r>
        <w:t>).</w:t>
      </w:r>
      <w:r w:rsidR="007B6608">
        <w:rPr>
          <w:vertAlign w:val="superscript"/>
        </w:rPr>
        <w:t>8</w:t>
      </w:r>
      <w:r>
        <w:t xml:space="preserve"> ¿Qué est</w:t>
      </w:r>
      <w:r w:rsidR="00E44405">
        <w:t>á</w:t>
      </w:r>
      <w:r>
        <w:t xml:space="preserve"> compon</w:t>
      </w:r>
      <w:r w:rsidR="00E44405">
        <w:t>iendo</w:t>
      </w:r>
      <w:r>
        <w:t>? Es</w:t>
      </w:r>
      <w:r w:rsidR="00976AA8">
        <w:t>,</w:t>
      </w:r>
      <w:r>
        <w:t xml:space="preserve"> </w:t>
      </w:r>
      <w:r w:rsidR="006535B2">
        <w:t xml:space="preserve">ya sea </w:t>
      </w:r>
      <w:r>
        <w:t>una coordinación (</w:t>
      </w:r>
      <w:proofErr w:type="spellStart"/>
      <w:r w:rsidRPr="002C5105">
        <w:rPr>
          <w:i/>
          <w:iCs/>
        </w:rPr>
        <w:t>samādhāna</w:t>
      </w:r>
      <w:proofErr w:type="spellEnd"/>
      <w:r>
        <w:t xml:space="preserve">), que significa </w:t>
      </w:r>
      <w:proofErr w:type="gramStart"/>
      <w:r w:rsidR="00976AA8">
        <w:t xml:space="preserve">una </w:t>
      </w:r>
      <w:r>
        <w:t>no</w:t>
      </w:r>
      <w:proofErr w:type="gramEnd"/>
      <w:r>
        <w:t xml:space="preserve"> inconsistencia de la acción corporal, etc., debido a la virtud; o un </w:t>
      </w:r>
      <w:r w:rsidR="006535B2">
        <w:t>soporte</w:t>
      </w:r>
      <w:r>
        <w:t xml:space="preserve"> (</w:t>
      </w:r>
      <w:proofErr w:type="spellStart"/>
      <w:r w:rsidRPr="002C5105">
        <w:rPr>
          <w:i/>
          <w:iCs/>
        </w:rPr>
        <w:t>upadhāraṇa</w:t>
      </w:r>
      <w:proofErr w:type="spellEnd"/>
      <w:r>
        <w:t>),</w:t>
      </w:r>
      <w:r w:rsidRPr="006535B2">
        <w:rPr>
          <w:vertAlign w:val="superscript"/>
        </w:rPr>
        <w:t>8</w:t>
      </w:r>
      <w:r>
        <w:t xml:space="preserve"> es decir, un estado de </w:t>
      </w:r>
      <w:r w:rsidR="00632C2A">
        <w:t>fundamento</w:t>
      </w:r>
      <w:r>
        <w:t xml:space="preserve"> (</w:t>
      </w:r>
      <w:proofErr w:type="spellStart"/>
      <w:r w:rsidRPr="002C5105">
        <w:rPr>
          <w:i/>
          <w:iCs/>
        </w:rPr>
        <w:t>ādhāra</w:t>
      </w:r>
      <w:proofErr w:type="spellEnd"/>
      <w:r>
        <w:t>)</w:t>
      </w:r>
      <w:r w:rsidR="008A2563">
        <w:t>,</w:t>
      </w:r>
      <w:r>
        <w:t xml:space="preserve"> debido a que sirve como </w:t>
      </w:r>
      <w:r w:rsidR="0068004E">
        <w:t xml:space="preserve">un </w:t>
      </w:r>
      <w:r w:rsidR="00632C2A">
        <w:t>cimiento</w:t>
      </w:r>
      <w:r>
        <w:t xml:space="preserve"> para </w:t>
      </w:r>
      <w:r w:rsidR="006535B2">
        <w:t xml:space="preserve">los </w:t>
      </w:r>
      <w:r>
        <w:t xml:space="preserve">estados provechosos. Para los que </w:t>
      </w:r>
      <w:r w:rsidR="00396728">
        <w:t xml:space="preserve">conozcan sobre </w:t>
      </w:r>
      <w:r>
        <w:t xml:space="preserve">etimología sólo </w:t>
      </w:r>
      <w:r w:rsidR="00396728">
        <w:t xml:space="preserve">se </w:t>
      </w:r>
      <w:r>
        <w:t>admi</w:t>
      </w:r>
      <w:r w:rsidR="00632C2A">
        <w:t>tir</w:t>
      </w:r>
      <w:r w:rsidR="00211811">
        <w:t>ía</w:t>
      </w:r>
      <w:r>
        <w:t xml:space="preserve">n estos dos significados. Otros, sin embargo, comentan sobre el significado aquí </w:t>
      </w:r>
      <w:r w:rsidR="001604F9">
        <w:t>con</w:t>
      </w:r>
      <w:r>
        <w:t xml:space="preserve"> el </w:t>
      </w:r>
      <w:r w:rsidR="00AF030F">
        <w:t xml:space="preserve">pasaje </w:t>
      </w:r>
      <w:r>
        <w:t>que comienza: “El significado de la virtud (</w:t>
      </w:r>
      <w:r w:rsidRPr="00FB15DD">
        <w:rPr>
          <w:i/>
          <w:iCs/>
        </w:rPr>
        <w:t>sīla</w:t>
      </w:r>
      <w:r>
        <w:t>) es el significado de cabeza (</w:t>
      </w:r>
      <w:r w:rsidRPr="00FB15DD">
        <w:rPr>
          <w:i/>
          <w:iCs/>
        </w:rPr>
        <w:t>sira</w:t>
      </w:r>
      <w:r>
        <w:t>), el significado de la virtud es el significado de fresc</w:t>
      </w:r>
      <w:r w:rsidR="00FB15DD">
        <w:t>ura</w:t>
      </w:r>
      <w:r>
        <w:t xml:space="preserve"> (</w:t>
      </w:r>
      <w:proofErr w:type="spellStart"/>
      <w:r w:rsidRPr="002C5105">
        <w:rPr>
          <w:i/>
          <w:iCs/>
        </w:rPr>
        <w:t>sītala</w:t>
      </w:r>
      <w:proofErr w:type="spellEnd"/>
      <w:r>
        <w:t>)”.</w:t>
      </w:r>
    </w:p>
    <w:p w14:paraId="36DDBAB9" w14:textId="4AD36B47" w:rsidR="004E558B" w:rsidRDefault="004E558B" w:rsidP="004E558B">
      <w:r>
        <w:t>20. (</w:t>
      </w:r>
      <w:proofErr w:type="spellStart"/>
      <w:r>
        <w:t>iii</w:t>
      </w:r>
      <w:proofErr w:type="spellEnd"/>
      <w:r>
        <w:t xml:space="preserve">) Ahora bien, </w:t>
      </w:r>
      <w:r w:rsidR="00900AC0" w:rsidRPr="00900AC0">
        <w:rPr>
          <w:rStyle w:val="Ttulo4Car"/>
        </w:rPr>
        <w:t xml:space="preserve">¿Cuáles son su </w:t>
      </w:r>
      <w:r w:rsidR="006A4B08" w:rsidRPr="00900AC0">
        <w:rPr>
          <w:rStyle w:val="Ttulo4Car"/>
        </w:rPr>
        <w:t>Característica</w:t>
      </w:r>
      <w:r w:rsidR="00900AC0" w:rsidRPr="00900AC0">
        <w:rPr>
          <w:rStyle w:val="Ttulo4Car"/>
        </w:rPr>
        <w:t xml:space="preserve">, </w:t>
      </w:r>
      <w:r w:rsidR="006A4B08" w:rsidRPr="00900AC0">
        <w:rPr>
          <w:rStyle w:val="Ttulo4Car"/>
        </w:rPr>
        <w:t>Función</w:t>
      </w:r>
      <w:r w:rsidR="00900AC0" w:rsidRPr="00900AC0">
        <w:rPr>
          <w:rStyle w:val="Ttulo4Car"/>
        </w:rPr>
        <w:t xml:space="preserve">, </w:t>
      </w:r>
      <w:r w:rsidR="006A4B08" w:rsidRPr="00900AC0">
        <w:rPr>
          <w:rStyle w:val="Ttulo4Car"/>
        </w:rPr>
        <w:t xml:space="preserve">Manifestación </w:t>
      </w:r>
      <w:r w:rsidR="00900AC0" w:rsidRPr="00900AC0">
        <w:rPr>
          <w:rStyle w:val="Ttulo4Car"/>
        </w:rPr>
        <w:t xml:space="preserve">y </w:t>
      </w:r>
      <w:r w:rsidR="006A4B08" w:rsidRPr="00900AC0">
        <w:rPr>
          <w:rStyle w:val="Ttulo4Car"/>
        </w:rPr>
        <w:t>Causa Próxima</w:t>
      </w:r>
      <w:r w:rsidR="00900AC0" w:rsidRPr="00900AC0">
        <w:rPr>
          <w:rStyle w:val="Ttulo4Car"/>
        </w:rPr>
        <w:t>?</w:t>
      </w:r>
      <w:r w:rsidR="00FB0F39">
        <w:rPr>
          <w:rStyle w:val="Ttulo4Car"/>
        </w:rPr>
        <w:t xml:space="preserve"> </w:t>
      </w:r>
      <w:r>
        <w:t>Aquí:</w:t>
      </w:r>
    </w:p>
    <w:p w14:paraId="7351211C" w14:textId="77777777" w:rsidR="004E558B" w:rsidRDefault="004E558B" w:rsidP="004E558B">
      <w:pPr>
        <w:pStyle w:val="VersoIngls01Sangria"/>
      </w:pPr>
      <w:r>
        <w:t>Su característica es componer</w:t>
      </w:r>
    </w:p>
    <w:p w14:paraId="0A7025DD" w14:textId="77777777" w:rsidR="004E558B" w:rsidRDefault="004E558B" w:rsidP="004E558B">
      <w:pPr>
        <w:pStyle w:val="VersoIngls01Sangria"/>
      </w:pPr>
      <w:r>
        <w:t>Incluso cuando se analiza de varias maneras,</w:t>
      </w:r>
    </w:p>
    <w:p w14:paraId="0B6937FA" w14:textId="4656DC01" w:rsidR="004E558B" w:rsidRDefault="004E558B" w:rsidP="004E558B">
      <w:pPr>
        <w:pStyle w:val="VersoIngls01Sangria"/>
      </w:pPr>
      <w:r>
        <w:t xml:space="preserve">Como la visibilidad </w:t>
      </w:r>
      <w:r w:rsidR="006A3A83">
        <w:t>que corresponde a</w:t>
      </w:r>
      <w:r>
        <w:t xml:space="preserve"> </w:t>
      </w:r>
      <w:r w:rsidR="004B2762">
        <w:t xml:space="preserve">los </w:t>
      </w:r>
      <w:r w:rsidR="006A4B08">
        <w:t>objetos</w:t>
      </w:r>
      <w:r>
        <w:t xml:space="preserve"> visibles</w:t>
      </w:r>
    </w:p>
    <w:p w14:paraId="5E951722" w14:textId="06791906" w:rsidR="004E558B" w:rsidRDefault="004E558B" w:rsidP="00900AC0">
      <w:pPr>
        <w:pStyle w:val="VersoIngls01Sangria"/>
        <w:spacing w:after="100"/>
        <w:ind w:left="1418"/>
      </w:pPr>
      <w:r>
        <w:t>Inclus</w:t>
      </w:r>
      <w:r w:rsidR="006A3A83">
        <w:t>ive</w:t>
      </w:r>
      <w:r>
        <w:t xml:space="preserve"> cuando se anali</w:t>
      </w:r>
      <w:r w:rsidR="00C95B20">
        <w:t>ce</w:t>
      </w:r>
      <w:r>
        <w:t xml:space="preserve"> de varias maneras.</w:t>
      </w:r>
    </w:p>
    <w:p w14:paraId="18A55EBA" w14:textId="2881CDE8" w:rsidR="004E558B" w:rsidRDefault="004E558B" w:rsidP="002C5105">
      <w:pPr>
        <w:pStyle w:val="NormalConSangria"/>
      </w:pPr>
      <w:r>
        <w:t>Así como la visibilidad es la característica de la base de</w:t>
      </w:r>
      <w:r w:rsidR="006A4B08">
        <w:t>l</w:t>
      </w:r>
      <w:r>
        <w:t xml:space="preserve"> </w:t>
      </w:r>
      <w:r w:rsidR="006A4B08">
        <w:t>objeto</w:t>
      </w:r>
      <w:r>
        <w:t xml:space="preserve"> visible incluso cuando se anali</w:t>
      </w:r>
      <w:r w:rsidR="00C95B20">
        <w:t>ce</w:t>
      </w:r>
      <w:r>
        <w:t xml:space="preserve"> en las diversas categorías </w:t>
      </w:r>
      <w:r w:rsidR="006A3A83">
        <w:t>como</w:t>
      </w:r>
      <w:r>
        <w:t xml:space="preserve"> azul, amarillo, etc., porque incluso cuando se anali</w:t>
      </w:r>
      <w:r w:rsidR="00F1115A">
        <w:t>ce</w:t>
      </w:r>
      <w:r>
        <w:t xml:space="preserve"> en estas categorías no excede</w:t>
      </w:r>
      <w:r w:rsidR="0031265D">
        <w:t>rá</w:t>
      </w:r>
      <w:r>
        <w:t xml:space="preserve"> </w:t>
      </w:r>
      <w:r w:rsidR="00F1115A">
        <w:t xml:space="preserve">a </w:t>
      </w:r>
      <w:r>
        <w:t>la visibilidad, así también esta misma composición, descrita anteriormente como el coordinador</w:t>
      </w:r>
      <w:r w:rsidR="00B97C8A" w:rsidRPr="00B97C8A">
        <w:t xml:space="preserve"> </w:t>
      </w:r>
      <w:r w:rsidR="00B97C8A">
        <w:t>de la acción corporal, etc., y como fundamento</w:t>
      </w:r>
    </w:p>
    <w:p w14:paraId="1B2FC437" w14:textId="606D7478" w:rsidR="004E558B" w:rsidRPr="00900AC0" w:rsidRDefault="004E558B" w:rsidP="00900AC0">
      <w:pPr>
        <w:pStyle w:val="PiedepginaLegal"/>
        <w:rPr>
          <w:u w:val="single"/>
        </w:rPr>
      </w:pPr>
      <w:r w:rsidRPr="00900AC0">
        <w:rPr>
          <w:u w:val="single"/>
        </w:rPr>
        <w:t xml:space="preserve">                                                                                                                                                .</w:t>
      </w:r>
    </w:p>
    <w:p w14:paraId="3C620076" w14:textId="3ADBFC12" w:rsidR="00FB0F39" w:rsidRDefault="004E558B" w:rsidP="00900AC0">
      <w:pPr>
        <w:pStyle w:val="PiedepginaLegal"/>
      </w:pPr>
      <w:r>
        <w:t xml:space="preserve">8. </w:t>
      </w:r>
      <w:r w:rsidR="00900AC0">
        <w:tab/>
      </w:r>
      <w:proofErr w:type="spellStart"/>
      <w:r w:rsidRPr="002C5105">
        <w:rPr>
          <w:i/>
          <w:iCs/>
        </w:rPr>
        <w:t>Sīlana</w:t>
      </w:r>
      <w:proofErr w:type="spellEnd"/>
      <w:r>
        <w:t xml:space="preserve"> y </w:t>
      </w:r>
      <w:proofErr w:type="spellStart"/>
      <w:r w:rsidRPr="002C5105">
        <w:rPr>
          <w:i/>
          <w:iCs/>
        </w:rPr>
        <w:t>upadhāraṇa</w:t>
      </w:r>
      <w:proofErr w:type="spellEnd"/>
      <w:r>
        <w:t xml:space="preserve"> en este sentido (cf. Ch. I, §141 y </w:t>
      </w:r>
      <w:proofErr w:type="spellStart"/>
      <w:r w:rsidRPr="002C5105">
        <w:rPr>
          <w:i/>
          <w:iCs/>
        </w:rPr>
        <w:t>sandhāraṇa</w:t>
      </w:r>
      <w:proofErr w:type="spellEnd"/>
      <w:r>
        <w:t xml:space="preserve">, XIV.61) no </w:t>
      </w:r>
      <w:r w:rsidR="00BC019E">
        <w:t>se encuentran</w:t>
      </w:r>
      <w:r>
        <w:t xml:space="preserve"> en </w:t>
      </w:r>
      <w:r w:rsidR="003A104E">
        <w:t xml:space="preserve">el </w:t>
      </w:r>
      <w:r>
        <w:t>PED.</w:t>
      </w:r>
    </w:p>
    <w:p w14:paraId="3F37D6C6" w14:textId="77777777" w:rsidR="00FB0F39" w:rsidRDefault="00FB0F39">
      <w:pPr>
        <w:tabs>
          <w:tab w:val="clear" w:pos="425"/>
        </w:tabs>
        <w:rPr>
          <w:color w:val="000000" w:themeColor="text1"/>
          <w:spacing w:val="10"/>
          <w:sz w:val="14"/>
        </w:rPr>
      </w:pPr>
      <w:r>
        <w:br w:type="page"/>
      </w:r>
    </w:p>
    <w:p w14:paraId="10AE532F" w14:textId="25B4F9AB" w:rsidR="003A38AE" w:rsidRDefault="003A38AE" w:rsidP="003A38AE">
      <w:r>
        <w:lastRenderedPageBreak/>
        <w:t xml:space="preserve">de los estados provechosos, es la característica de la virtud, aun analizada en las diversas categorías de volición, etc., porque </w:t>
      </w:r>
      <w:proofErr w:type="spellStart"/>
      <w:r>
        <w:t>aun</w:t>
      </w:r>
      <w:proofErr w:type="spellEnd"/>
      <w:r>
        <w:t xml:space="preserve"> analizada en estas categorías no excede</w:t>
      </w:r>
      <w:r w:rsidR="0031265D">
        <w:t>rá</w:t>
      </w:r>
      <w:r>
        <w:t xml:space="preserve"> </w:t>
      </w:r>
      <w:r w:rsidR="00F1115A">
        <w:t>a</w:t>
      </w:r>
      <w:r>
        <w:t>l estado de coordinación y fundamento.</w:t>
      </w:r>
    </w:p>
    <w:p w14:paraId="0AB9F2F7" w14:textId="356D0DAB" w:rsidR="003A38AE" w:rsidRDefault="003A38AE" w:rsidP="003A38AE">
      <w:r>
        <w:t xml:space="preserve">21. </w:t>
      </w:r>
      <w:r w:rsidR="004540B2">
        <w:tab/>
      </w:r>
      <w:r>
        <w:t>Mientras que tal es su característica:</w:t>
      </w:r>
    </w:p>
    <w:p w14:paraId="1AAAACBF" w14:textId="77777777" w:rsidR="003A38AE" w:rsidRDefault="003A38AE" w:rsidP="003A38AE">
      <w:pPr>
        <w:pStyle w:val="VersoIngls01Sangria"/>
      </w:pPr>
      <w:r>
        <w:t>Su función tiene un doble sentido:</w:t>
      </w:r>
    </w:p>
    <w:p w14:paraId="20B1EC03" w14:textId="62C3D6AB" w:rsidR="003A38AE" w:rsidRDefault="003A38AE" w:rsidP="003A38AE">
      <w:pPr>
        <w:pStyle w:val="VersoIngls01Sangria"/>
      </w:pPr>
      <w:r>
        <w:t xml:space="preserve">Acción para detener la mala conducta, </w:t>
      </w:r>
      <w:r w:rsidR="004D3FA1">
        <w:t xml:space="preserve">y </w:t>
      </w:r>
      <w:r w:rsidR="00E96495">
        <w:t>luego</w:t>
      </w:r>
    </w:p>
    <w:p w14:paraId="64B7F3A6" w14:textId="74897EDB" w:rsidR="003A38AE" w:rsidRDefault="00E96495" w:rsidP="003A38AE">
      <w:pPr>
        <w:pStyle w:val="VersoIngls01Sangria"/>
      </w:pPr>
      <w:r>
        <w:rPr>
          <w:i/>
          <w:iCs/>
        </w:rPr>
        <w:t xml:space="preserve">Logro </w:t>
      </w:r>
      <w:r w:rsidR="003E7196">
        <w:t>en</w:t>
      </w:r>
      <w:r w:rsidR="003A38AE">
        <w:t xml:space="preserve"> calidad</w:t>
      </w:r>
    </w:p>
    <w:p w14:paraId="000B08DE" w14:textId="6DFB3437" w:rsidR="003A38AE" w:rsidRDefault="003A38AE" w:rsidP="003A38AE">
      <w:pPr>
        <w:pStyle w:val="VersoIngls01Sangria"/>
        <w:spacing w:after="100"/>
        <w:ind w:left="1418"/>
      </w:pPr>
      <w:r>
        <w:t xml:space="preserve">De </w:t>
      </w:r>
      <w:r w:rsidR="005066EE">
        <w:t>estatus intachable</w:t>
      </w:r>
      <w:r>
        <w:t xml:space="preserve"> </w:t>
      </w:r>
      <w:r w:rsidR="003E7196">
        <w:t>para</w:t>
      </w:r>
      <w:r>
        <w:t xml:space="preserve"> los hombres virtuosos.</w:t>
      </w:r>
    </w:p>
    <w:p w14:paraId="425FCCCB" w14:textId="4B23598B" w:rsidR="003A38AE" w:rsidRDefault="003A38AE" w:rsidP="004540B2">
      <w:pPr>
        <w:pStyle w:val="NormalConSangria"/>
      </w:pPr>
      <w:r>
        <w:t xml:space="preserve">Así que </w:t>
      </w:r>
      <w:r w:rsidR="00776614">
        <w:t xml:space="preserve">a </w:t>
      </w:r>
      <w:r>
        <w:t xml:space="preserve">lo que se </w:t>
      </w:r>
      <w:r w:rsidR="00776614">
        <w:t>designe como</w:t>
      </w:r>
      <w:r>
        <w:t xml:space="preserve"> virtud debe entenderse que </w:t>
      </w:r>
      <w:r w:rsidR="0072763C">
        <w:t xml:space="preserve">posee </w:t>
      </w:r>
      <w:r>
        <w:t>la función (naturaleza) de detener la mala conducta como función (naturaleza) en el sentido de acción, y una función intachable (naturaleza) como función (naturaleza) en el sentido de logro. Porque bajo [estos</w:t>
      </w:r>
      <w:r w:rsidR="003119BD">
        <w:t xml:space="preserve"> </w:t>
      </w:r>
      <w:r w:rsidR="001B341B">
        <w:t xml:space="preserve">términos </w:t>
      </w:r>
      <w:r>
        <w:t>de] característica, etc., es la acción (</w:t>
      </w:r>
      <w:proofErr w:type="spellStart"/>
      <w:r w:rsidRPr="002C5105">
        <w:rPr>
          <w:i/>
          <w:iCs/>
        </w:rPr>
        <w:t>kicca</w:t>
      </w:r>
      <w:proofErr w:type="spellEnd"/>
      <w:r>
        <w:t>) o el logro (</w:t>
      </w:r>
      <w:proofErr w:type="spellStart"/>
      <w:r w:rsidRPr="002C5105">
        <w:rPr>
          <w:i/>
          <w:iCs/>
        </w:rPr>
        <w:t>sampatti</w:t>
      </w:r>
      <w:proofErr w:type="spellEnd"/>
      <w:r>
        <w:t xml:space="preserve">) </w:t>
      </w:r>
      <w:r w:rsidR="00E033ED">
        <w:t xml:space="preserve">a </w:t>
      </w:r>
      <w:r>
        <w:t xml:space="preserve">lo que se </w:t>
      </w:r>
      <w:r w:rsidR="001B341B">
        <w:t xml:space="preserve">le denomina </w:t>
      </w:r>
      <w:r>
        <w:t>“función” (naturaleza</w:t>
      </w:r>
      <w:r w:rsidR="009E0D81">
        <w:t>–</w:t>
      </w:r>
      <w:r w:rsidR="0033343E" w:rsidRPr="00E033ED">
        <w:rPr>
          <w:i/>
          <w:iCs/>
        </w:rPr>
        <w:t>rasa</w:t>
      </w:r>
      <w:r>
        <w:t>).</w:t>
      </w:r>
    </w:p>
    <w:p w14:paraId="70405EA9" w14:textId="4826366C" w:rsidR="003A38AE" w:rsidRDefault="003A38AE" w:rsidP="003A38AE">
      <w:pPr>
        <w:pStyle w:val="VersoIngls01Sangria"/>
        <w:ind w:hanging="1416"/>
      </w:pPr>
      <w:r>
        <w:t xml:space="preserve">22. </w:t>
      </w:r>
      <w:r>
        <w:tab/>
      </w:r>
      <w:r>
        <w:tab/>
        <w:t xml:space="preserve">Ahora bien, virtud, así </w:t>
      </w:r>
      <w:r w:rsidR="00FF59BE">
        <w:t xml:space="preserve">lo </w:t>
      </w:r>
      <w:r>
        <w:t xml:space="preserve">dicen los que </w:t>
      </w:r>
      <w:r w:rsidR="00FF59BE">
        <w:t>conocen</w:t>
      </w:r>
      <w:r w:rsidR="00E84F81">
        <w:t xml:space="preserve"> al respecto</w:t>
      </w:r>
      <w:r>
        <w:t>,</w:t>
      </w:r>
    </w:p>
    <w:p w14:paraId="707C7BD8" w14:textId="359FE423" w:rsidR="003A38AE" w:rsidRDefault="00FF59BE" w:rsidP="003A38AE">
      <w:pPr>
        <w:pStyle w:val="VersoIngls01Sangria"/>
      </w:pPr>
      <w:r>
        <w:t xml:space="preserve">Se </w:t>
      </w:r>
      <w:r w:rsidR="00816D75">
        <w:t>manifestará</w:t>
      </w:r>
      <w:r>
        <w:t xml:space="preserve"> a</w:t>
      </w:r>
      <w:r w:rsidR="003A38AE">
        <w:t>sí mism</w:t>
      </w:r>
      <w:r>
        <w:t>a</w:t>
      </w:r>
      <w:r w:rsidR="003A38AE">
        <w:t xml:space="preserve"> como pureza;</w:t>
      </w:r>
    </w:p>
    <w:p w14:paraId="72A7F072" w14:textId="67589AD6" w:rsidR="003A38AE" w:rsidRDefault="003A38AE" w:rsidP="003A38AE">
      <w:pPr>
        <w:pStyle w:val="VersoIngls01Sangria"/>
      </w:pPr>
      <w:r>
        <w:t xml:space="preserve">Y </w:t>
      </w:r>
      <w:r w:rsidR="00A27676">
        <w:t xml:space="preserve">cuentan que </w:t>
      </w:r>
      <w:r w:rsidR="004B3994">
        <w:t xml:space="preserve">también </w:t>
      </w:r>
      <w:r w:rsidR="00DD7E4E">
        <w:t xml:space="preserve">como </w:t>
      </w:r>
      <w:r>
        <w:t xml:space="preserve">su causa próxima </w:t>
      </w:r>
    </w:p>
    <w:p w14:paraId="2FC043AB" w14:textId="682F7294" w:rsidR="003A38AE" w:rsidRDefault="00633CAA" w:rsidP="003A38AE">
      <w:pPr>
        <w:pStyle w:val="VersoIngls01Sangria"/>
        <w:spacing w:after="100"/>
        <w:ind w:left="1418"/>
      </w:pPr>
      <w:r>
        <w:t>Como e</w:t>
      </w:r>
      <w:r w:rsidR="00494F6C">
        <w:t>l</w:t>
      </w:r>
      <w:r w:rsidR="003A38AE">
        <w:t xml:space="preserve"> par, </w:t>
      </w:r>
      <w:r w:rsidR="00E33466">
        <w:t xml:space="preserve">del temor </w:t>
      </w:r>
      <w:r w:rsidR="003A38AE">
        <w:t xml:space="preserve">y </w:t>
      </w:r>
      <w:r w:rsidR="00E33466">
        <w:t xml:space="preserve">la </w:t>
      </w:r>
      <w:r w:rsidR="003A38AE">
        <w:t>vergüenza</w:t>
      </w:r>
      <w:r w:rsidR="00E33466">
        <w:t xml:space="preserve"> moral</w:t>
      </w:r>
      <w:r w:rsidR="003A38AE">
        <w:t>. [9]</w:t>
      </w:r>
    </w:p>
    <w:p w14:paraId="7DF0D381" w14:textId="3EC3CB72" w:rsidR="003A38AE" w:rsidRDefault="003A38AE" w:rsidP="004540B2">
      <w:pPr>
        <w:pStyle w:val="NormalConSangria"/>
      </w:pPr>
      <w:r>
        <w:t>Esta virtud se manifiesta en las clases de pureza enunciadas así: “Pureza corporal, pureza verbal, pureza mental” (A I 271); se manifiesta, llega a ser aprehendid</w:t>
      </w:r>
      <w:r w:rsidR="004B3994">
        <w:t>a</w:t>
      </w:r>
      <w:r>
        <w:t xml:space="preserve">, como un estado puro. </w:t>
      </w:r>
      <w:r w:rsidR="001B23D8">
        <w:t xml:space="preserve">No </w:t>
      </w:r>
      <w:proofErr w:type="gramStart"/>
      <w:r w:rsidR="001B23D8">
        <w:t xml:space="preserve">obstante, </w:t>
      </w:r>
      <w:r>
        <w:t xml:space="preserve"> </w:t>
      </w:r>
      <w:r w:rsidR="001B23D8" w:rsidRPr="001B23D8">
        <w:rPr>
          <w:color w:val="833C0B" w:themeColor="accent2" w:themeShade="80"/>
          <w:u w:color="000000"/>
        </w:rPr>
        <w:t>el</w:t>
      </w:r>
      <w:proofErr w:type="gramEnd"/>
      <w:r w:rsidR="001B23D8" w:rsidRPr="001B23D8">
        <w:rPr>
          <w:color w:val="833C0B" w:themeColor="accent2" w:themeShade="80"/>
          <w:u w:color="000000"/>
        </w:rPr>
        <w:t xml:space="preserve"> temor</w:t>
      </w:r>
      <w:r w:rsidRPr="001B23D8">
        <w:rPr>
          <w:color w:val="833C0B" w:themeColor="accent2" w:themeShade="80"/>
          <w:u w:color="000000"/>
        </w:rPr>
        <w:t xml:space="preserve"> y la vergüenza </w:t>
      </w:r>
      <w:r w:rsidR="001B23D8" w:rsidRPr="001B23D8">
        <w:rPr>
          <w:color w:val="833C0B" w:themeColor="accent2" w:themeShade="80"/>
          <w:u w:color="000000"/>
        </w:rPr>
        <w:t>moral</w:t>
      </w:r>
      <w:r w:rsidR="001B23D8" w:rsidRPr="001B23D8">
        <w:t xml:space="preserve"> </w:t>
      </w:r>
      <w:r>
        <w:t xml:space="preserve">son </w:t>
      </w:r>
      <w:r w:rsidR="00BE5F8A">
        <w:t>señaladas</w:t>
      </w:r>
      <w:r>
        <w:t xml:space="preserve"> por aquellos que </w:t>
      </w:r>
      <w:r w:rsidR="00E84F81">
        <w:t>conocen</w:t>
      </w:r>
      <w:r>
        <w:t xml:space="preserve"> </w:t>
      </w:r>
      <w:r w:rsidR="00E84F81">
        <w:t>al respecto</w:t>
      </w:r>
      <w:r w:rsidR="001B23D8">
        <w:t>,</w:t>
      </w:r>
      <w:r w:rsidR="00E84F81">
        <w:t xml:space="preserve"> </w:t>
      </w:r>
      <w:r>
        <w:t>que son su causa próxima; su razón cercana, es el significado. Pues cuando exist</w:t>
      </w:r>
      <w:r w:rsidR="00D96F70">
        <w:t>a</w:t>
      </w:r>
      <w:r>
        <w:t>n la con</w:t>
      </w:r>
      <w:r w:rsidR="00E84F81">
        <w:t>s</w:t>
      </w:r>
      <w:r>
        <w:t>ciencia y la vergüenza, la virtud surg</w:t>
      </w:r>
      <w:r w:rsidR="00D96F70">
        <w:t>irá</w:t>
      </w:r>
      <w:r>
        <w:t xml:space="preserve"> y persist</w:t>
      </w:r>
      <w:r w:rsidR="00D96F70">
        <w:t>irá</w:t>
      </w:r>
      <w:r>
        <w:t xml:space="preserve">; y cuando no </w:t>
      </w:r>
      <w:r w:rsidR="00D96F70">
        <w:t>existan</w:t>
      </w:r>
      <w:r>
        <w:t>, ni surg</w:t>
      </w:r>
      <w:r w:rsidR="00D96F70">
        <w:t>irá</w:t>
      </w:r>
      <w:r>
        <w:t xml:space="preserve"> ni persist</w:t>
      </w:r>
      <w:r w:rsidR="00D96F70">
        <w:t>irá</w:t>
      </w:r>
      <w:r>
        <w:t>.</w:t>
      </w:r>
    </w:p>
    <w:p w14:paraId="1AEEFAA5" w14:textId="77777777" w:rsidR="003A38AE" w:rsidRDefault="003A38AE" w:rsidP="004540B2">
      <w:pPr>
        <w:pStyle w:val="NormalConSangria"/>
      </w:pPr>
      <w:r>
        <w:t>Así debe entenderse la característica, función, manifestación y causa próxima de la virtud.</w:t>
      </w:r>
    </w:p>
    <w:p w14:paraId="1C0DCB89" w14:textId="7CC78E5E" w:rsidR="00BF6C29" w:rsidRDefault="003A38AE" w:rsidP="00BF6C29">
      <w:r>
        <w:t xml:space="preserve">23. </w:t>
      </w:r>
      <w:r w:rsidR="004540B2">
        <w:tab/>
      </w:r>
      <w:r>
        <w:t>(</w:t>
      </w:r>
      <w:proofErr w:type="spellStart"/>
      <w:r>
        <w:t>iv</w:t>
      </w:r>
      <w:proofErr w:type="spellEnd"/>
      <w:r>
        <w:t xml:space="preserve">) </w:t>
      </w:r>
      <w:r w:rsidR="004540B2" w:rsidRPr="004540B2">
        <w:rPr>
          <w:rStyle w:val="Ttulo4Car"/>
        </w:rPr>
        <w:t xml:space="preserve">¿Cuáles son los </w:t>
      </w:r>
      <w:r w:rsidR="00D96F70" w:rsidRPr="004540B2">
        <w:rPr>
          <w:rStyle w:val="Ttulo4Car"/>
        </w:rPr>
        <w:t xml:space="preserve">Beneficios </w:t>
      </w:r>
      <w:r w:rsidR="004540B2" w:rsidRPr="004540B2">
        <w:rPr>
          <w:rStyle w:val="Ttulo4Car"/>
        </w:rPr>
        <w:t xml:space="preserve">de la </w:t>
      </w:r>
      <w:r w:rsidR="00D96F70" w:rsidRPr="004540B2">
        <w:rPr>
          <w:rStyle w:val="Ttulo4Car"/>
        </w:rPr>
        <w:t>Virtud</w:t>
      </w:r>
      <w:r w:rsidR="004540B2" w:rsidRPr="004540B2">
        <w:rPr>
          <w:rStyle w:val="Ttulo4Car"/>
        </w:rPr>
        <w:t>?</w:t>
      </w:r>
      <w:r w:rsidR="004540B2">
        <w:t xml:space="preserve"> </w:t>
      </w:r>
      <w:r>
        <w:t>Sus beneficios son la adquisición de varias cualidades especiales comenzando con el no</w:t>
      </w:r>
      <w:r w:rsidR="00D96F70">
        <w:t>-</w:t>
      </w:r>
      <w:r>
        <w:t xml:space="preserve">remordimiento. Por eso </w:t>
      </w:r>
      <w:r w:rsidR="00D96F70">
        <w:t>está dicho</w:t>
      </w:r>
      <w:r>
        <w:t xml:space="preserve">: “Ānanda, los hábitos provechosos (virtudes) tienen </w:t>
      </w:r>
      <w:r w:rsidR="00964E3E">
        <w:t>a</w:t>
      </w:r>
      <w:r>
        <w:t>l no</w:t>
      </w:r>
      <w:r w:rsidR="00964E3E">
        <w:t xml:space="preserve">-remordimiento como objetivo </w:t>
      </w:r>
      <w:r>
        <w:t xml:space="preserve">y </w:t>
      </w:r>
      <w:r w:rsidR="00964E3E">
        <w:t xml:space="preserve">al no-remordimiento como </w:t>
      </w:r>
      <w:r>
        <w:t xml:space="preserve">su beneficio” (A V 1). </w:t>
      </w:r>
      <w:r w:rsidR="00B077C9">
        <w:t>Además, también está dicho</w:t>
      </w:r>
      <w:r>
        <w:t>: “</w:t>
      </w:r>
      <w:r w:rsidR="00B077C9">
        <w:t>Laico</w:t>
      </w:r>
      <w:r>
        <w:t xml:space="preserve">, existen estos cinco beneficios para el </w:t>
      </w:r>
      <w:r w:rsidR="00033977">
        <w:t xml:space="preserve">que sea </w:t>
      </w:r>
      <w:r>
        <w:t>virtuoso en el perfeccionamiento de la virtud. ¿</w:t>
      </w:r>
      <w:r w:rsidR="00033977">
        <w:t xml:space="preserve">Cuáles </w:t>
      </w:r>
      <w:r>
        <w:t xml:space="preserve">cinco? Aquí, </w:t>
      </w:r>
      <w:r w:rsidR="00033977">
        <w:t>laico</w:t>
      </w:r>
      <w:r>
        <w:t xml:space="preserve">, el que </w:t>
      </w:r>
      <w:r w:rsidR="00033977">
        <w:t>sea</w:t>
      </w:r>
      <w:r>
        <w:t xml:space="preserve"> virtuoso, poseedor de virtud, obt</w:t>
      </w:r>
      <w:r w:rsidR="00033977">
        <w:t>endrá</w:t>
      </w:r>
      <w:r>
        <w:t xml:space="preserve"> una gran fortuna como consecuencia de la diligencia; este es el primer beneficio para el </w:t>
      </w:r>
      <w:r w:rsidR="00033977">
        <w:t xml:space="preserve">que sea </w:t>
      </w:r>
      <w:r>
        <w:t xml:space="preserve">virtuoso en el perfeccionamiento de la virtud. Además, </w:t>
      </w:r>
      <w:r w:rsidR="00033977">
        <w:t xml:space="preserve">en </w:t>
      </w:r>
      <w:r>
        <w:t xml:space="preserve">quien </w:t>
      </w:r>
      <w:r w:rsidR="00033977">
        <w:t>sea</w:t>
      </w:r>
      <w:r>
        <w:t xml:space="preserve"> virtuoso, poseedor de virtud, se difund</w:t>
      </w:r>
      <w:r w:rsidR="00033977">
        <w:t>irá</w:t>
      </w:r>
      <w:r>
        <w:t xml:space="preserve"> </w:t>
      </w:r>
      <w:r w:rsidR="00816D75">
        <w:t xml:space="preserve">sobre él </w:t>
      </w:r>
      <w:r>
        <w:t xml:space="preserve">un buen </w:t>
      </w:r>
      <w:r w:rsidR="00033977">
        <w:t>re</w:t>
      </w:r>
      <w:r>
        <w:t xml:space="preserve">nombre; </w:t>
      </w:r>
      <w:r w:rsidR="00816D75">
        <w:t>é</w:t>
      </w:r>
      <w:r>
        <w:t xml:space="preserve">ste es el segundo beneficio para </w:t>
      </w:r>
      <w:r w:rsidR="00A25963">
        <w:t xml:space="preserve">el que sea </w:t>
      </w:r>
      <w:r>
        <w:t xml:space="preserve">virtuoso en el perfeccionamiento de la virtud. Además, cada vez que alguien que </w:t>
      </w:r>
      <w:r w:rsidR="00A25963">
        <w:t xml:space="preserve">sea </w:t>
      </w:r>
      <w:r>
        <w:t>virtuoso, poseedor de virtud, entr</w:t>
      </w:r>
      <w:r w:rsidR="00A25963">
        <w:t>e</w:t>
      </w:r>
      <w:r>
        <w:t xml:space="preserve"> </w:t>
      </w:r>
      <w:r w:rsidR="00A25963">
        <w:t xml:space="preserve">a </w:t>
      </w:r>
      <w:r>
        <w:t xml:space="preserve">una </w:t>
      </w:r>
      <w:r w:rsidR="00A25963">
        <w:t>reunión</w:t>
      </w:r>
      <w:r>
        <w:t xml:space="preserve">, ya sea de </w:t>
      </w:r>
      <w:proofErr w:type="spellStart"/>
      <w:r w:rsidRPr="00A25963">
        <w:rPr>
          <w:i/>
          <w:iCs/>
        </w:rPr>
        <w:t>khattiyas</w:t>
      </w:r>
      <w:proofErr w:type="spellEnd"/>
      <w:r>
        <w:t xml:space="preserve"> (nobles guerreros) o </w:t>
      </w:r>
      <w:r w:rsidRPr="00A25963">
        <w:rPr>
          <w:i/>
          <w:iCs/>
        </w:rPr>
        <w:t>brahmanes</w:t>
      </w:r>
      <w:r>
        <w:t xml:space="preserve"> o </w:t>
      </w:r>
      <w:r w:rsidR="00A25963">
        <w:t xml:space="preserve">laicos </w:t>
      </w:r>
      <w:r>
        <w:t>o ascetas, lo ha</w:t>
      </w:r>
      <w:r w:rsidR="00A25963">
        <w:t>rá</w:t>
      </w:r>
      <w:r>
        <w:t xml:space="preserve"> sin </w:t>
      </w:r>
      <w:r w:rsidR="00A25963">
        <w:t xml:space="preserve">ningún </w:t>
      </w:r>
      <w:r>
        <w:t xml:space="preserve">temor ni vacilación; </w:t>
      </w:r>
      <w:r w:rsidR="00A25963">
        <w:t>é</w:t>
      </w:r>
      <w:r>
        <w:t xml:space="preserve">ste es el tercer beneficio para el </w:t>
      </w:r>
      <w:r w:rsidR="00A25963">
        <w:t xml:space="preserve">que sea </w:t>
      </w:r>
      <w:r>
        <w:t xml:space="preserve">virtuoso en el perfeccionamiento de la virtud. Además, el que </w:t>
      </w:r>
      <w:r w:rsidR="00A25963">
        <w:t xml:space="preserve">sea </w:t>
      </w:r>
      <w:r>
        <w:t xml:space="preserve">virtuoso, poseedor de virtud, </w:t>
      </w:r>
      <w:r w:rsidR="00A25963">
        <w:t xml:space="preserve">morirá </w:t>
      </w:r>
      <w:r>
        <w:t xml:space="preserve">sin confusión; este es el cuarto beneficio para </w:t>
      </w:r>
      <w:r w:rsidR="00A25963">
        <w:t xml:space="preserve">el que sea </w:t>
      </w:r>
      <w:r>
        <w:t xml:space="preserve">virtuoso en el perfeccionamiento de la virtud. Además, el que </w:t>
      </w:r>
      <w:r w:rsidR="00A25963">
        <w:t xml:space="preserve">sea </w:t>
      </w:r>
      <w:r>
        <w:t xml:space="preserve">virtuoso, poseedor de virtud, al </w:t>
      </w:r>
      <w:r w:rsidR="00A25963">
        <w:t xml:space="preserve">colapsar </w:t>
      </w:r>
      <w:r>
        <w:t>el cuerpo, después de la muerte, reaparece</w:t>
      </w:r>
      <w:r w:rsidR="00A25963">
        <w:t>rá</w:t>
      </w:r>
      <w:r>
        <w:t xml:space="preserve"> en un destino feliz, en el mundo celestial; </w:t>
      </w:r>
      <w:r w:rsidR="00816D75">
        <w:t>é</w:t>
      </w:r>
      <w:r>
        <w:t xml:space="preserve">ste es el quinto beneficio para el </w:t>
      </w:r>
      <w:r w:rsidR="00A25963">
        <w:t xml:space="preserve">que sea </w:t>
      </w:r>
      <w:r>
        <w:t xml:space="preserve">virtuoso en el perfeccionamiento de la virtud” (D II 86). También están los muchos beneficios de la virtud que comienzan con ser </w:t>
      </w:r>
      <w:r w:rsidR="00A25963">
        <w:t xml:space="preserve">apreciado </w:t>
      </w:r>
      <w:r>
        <w:t>y amado y terminan con la destrucción de l</w:t>
      </w:r>
      <w:r w:rsidR="00A25963">
        <w:t>a</w:t>
      </w:r>
      <w:r>
        <w:t xml:space="preserve">s </w:t>
      </w:r>
      <w:r w:rsidR="00A25963">
        <w:t xml:space="preserve">corrupciones </w:t>
      </w:r>
      <w:r>
        <w:t>descrit</w:t>
      </w:r>
      <w:r w:rsidR="00A25963">
        <w:t>a</w:t>
      </w:r>
      <w:r>
        <w:t xml:space="preserve">s en el pasaje que comienza, “Si un </w:t>
      </w:r>
      <w:proofErr w:type="spellStart"/>
      <w:r w:rsidR="00057BF4" w:rsidRPr="00057BF4">
        <w:rPr>
          <w:i/>
        </w:rPr>
        <w:t>bhikkhu</w:t>
      </w:r>
      <w:proofErr w:type="spellEnd"/>
      <w:r>
        <w:t xml:space="preserve"> desea</w:t>
      </w:r>
      <w:r w:rsidR="00DD7E4E">
        <w:t>ra</w:t>
      </w:r>
      <w:r>
        <w:t xml:space="preserve">, 'Que yo sea querido por mis semejantes en la vida de pureza y amado por ellos, respetado y honrado por ellos', </w:t>
      </w:r>
      <w:r w:rsidR="00175611">
        <w:t xml:space="preserve">que él </w:t>
      </w:r>
      <w:r>
        <w:t xml:space="preserve">perfeccione las virtudes” </w:t>
      </w:r>
      <w:r w:rsidR="00BF6C29">
        <w:br w:type="page"/>
      </w:r>
    </w:p>
    <w:p w14:paraId="797396BC" w14:textId="05017C2B" w:rsidR="00175611" w:rsidRDefault="00175611" w:rsidP="00175611">
      <w:r>
        <w:lastRenderedPageBreak/>
        <w:t xml:space="preserve">(M I 33). </w:t>
      </w:r>
      <w:r w:rsidR="00FE19DD">
        <w:t xml:space="preserve">Así es como la virtud </w:t>
      </w:r>
      <w:r w:rsidR="00F03D01">
        <w:t>posee</w:t>
      </w:r>
      <w:r w:rsidR="00FE19DD">
        <w:t xml:space="preserve"> como beneficios las varias cualidades especiales que comienzan con el no</w:t>
      </w:r>
      <w:r>
        <w:t>-</w:t>
      </w:r>
      <w:r w:rsidR="00FE19DD">
        <w:t xml:space="preserve">remordimiento. [10] </w:t>
      </w:r>
    </w:p>
    <w:p w14:paraId="57FA019E" w14:textId="626AB48A" w:rsidR="00FE19DD" w:rsidRDefault="00FE19DD" w:rsidP="00175611">
      <w:r>
        <w:t xml:space="preserve">24. </w:t>
      </w:r>
      <w:r w:rsidR="00175611">
        <w:tab/>
      </w:r>
      <w:r>
        <w:t>Además:</w:t>
      </w:r>
    </w:p>
    <w:p w14:paraId="2D1CFC84" w14:textId="0C48577A" w:rsidR="00FE19DD" w:rsidRDefault="00FE19DD" w:rsidP="00D3380C">
      <w:pPr>
        <w:pStyle w:val="VersoIngls01Sangria"/>
      </w:pPr>
      <w:r>
        <w:t xml:space="preserve">Reta a </w:t>
      </w:r>
      <w:r w:rsidR="00BB30EB">
        <w:t>cualquiera</w:t>
      </w:r>
      <w:r>
        <w:t xml:space="preserve"> a </w:t>
      </w:r>
      <w:proofErr w:type="gramStart"/>
      <w:r>
        <w:t xml:space="preserve">un </w:t>
      </w:r>
      <w:r w:rsidR="00BB30EB">
        <w:t>situación</w:t>
      </w:r>
      <w:proofErr w:type="gramEnd"/>
      <w:r w:rsidR="00BB30EB">
        <w:t xml:space="preserve"> </w:t>
      </w:r>
      <w:r>
        <w:t>límite</w:t>
      </w:r>
    </w:p>
    <w:p w14:paraId="4C101FEE" w14:textId="77777777" w:rsidR="00FE19DD" w:rsidRDefault="00FE19DD" w:rsidP="00D3380C">
      <w:pPr>
        <w:pStyle w:val="VersoIngls01Sangria"/>
      </w:pPr>
      <w:r>
        <w:t>Sobre los beneficios que trae la virtud,</w:t>
      </w:r>
    </w:p>
    <w:p w14:paraId="21A5CE58" w14:textId="1B755238" w:rsidR="00FE19DD" w:rsidRDefault="00FE19DD" w:rsidP="00D3380C">
      <w:pPr>
        <w:pStyle w:val="VersoIngls01Sangria"/>
      </w:pPr>
      <w:r>
        <w:t>sin l</w:t>
      </w:r>
      <w:r w:rsidR="000C3AF8">
        <w:t>os</w:t>
      </w:r>
      <w:r>
        <w:t xml:space="preserve"> cual</w:t>
      </w:r>
      <w:r w:rsidR="000C3AF8">
        <w:t>es,</w:t>
      </w:r>
      <w:r>
        <w:t xml:space="preserve"> la virtud </w:t>
      </w:r>
      <w:r w:rsidR="0044150E">
        <w:t xml:space="preserve">de </w:t>
      </w:r>
      <w:r>
        <w:t xml:space="preserve">los miembros del clan </w:t>
      </w:r>
      <w:r w:rsidR="007217A9">
        <w:t>no encontraría</w:t>
      </w:r>
    </w:p>
    <w:p w14:paraId="70E9DA7C" w14:textId="292C1675" w:rsidR="00FE19DD" w:rsidRDefault="007217A9" w:rsidP="00D3380C">
      <w:pPr>
        <w:pStyle w:val="VersoIngls01Sangria"/>
        <w:spacing w:after="100"/>
        <w:ind w:left="1418"/>
      </w:pPr>
      <w:r>
        <w:t xml:space="preserve">Ningún fundamento </w:t>
      </w:r>
      <w:r w:rsidR="00FE19DD">
        <w:t>en la dispensación</w:t>
      </w:r>
    </w:p>
    <w:p w14:paraId="566FC30D" w14:textId="6B0D3FE0" w:rsidR="00FE19DD" w:rsidRDefault="00340392" w:rsidP="00D3380C">
      <w:pPr>
        <w:pStyle w:val="VersoIngls01Sangria"/>
      </w:pPr>
      <w:r>
        <w:t>Ni el</w:t>
      </w:r>
      <w:r w:rsidR="00FE19DD">
        <w:t xml:space="preserve"> </w:t>
      </w:r>
      <w:r w:rsidR="00FE19DD" w:rsidRPr="008D3A8A">
        <w:t>Ganges</w:t>
      </w:r>
      <w:r w:rsidR="00FE19DD">
        <w:t xml:space="preserve"> </w:t>
      </w:r>
      <w:r>
        <w:t xml:space="preserve">ni el </w:t>
      </w:r>
      <w:r w:rsidR="00FE19DD" w:rsidRPr="008D3A8A">
        <w:t>Yamuna</w:t>
      </w:r>
    </w:p>
    <w:p w14:paraId="189ABB3E" w14:textId="6D32CAB3" w:rsidR="00FE19DD" w:rsidRDefault="00FE19DD" w:rsidP="00D3380C">
      <w:pPr>
        <w:pStyle w:val="VersoIngls01Sangria"/>
      </w:pPr>
      <w:r>
        <w:t>N</w:t>
      </w:r>
      <w:r w:rsidR="00340392">
        <w:t>i el</w:t>
      </w:r>
      <w:r>
        <w:t xml:space="preserve"> </w:t>
      </w:r>
      <w:proofErr w:type="spellStart"/>
      <w:r w:rsidRPr="008D3A8A">
        <w:t>Sarabhū</w:t>
      </w:r>
      <w:proofErr w:type="spellEnd"/>
      <w:r>
        <w:t xml:space="preserve">, </w:t>
      </w:r>
      <w:r w:rsidR="005A21D0">
        <w:t xml:space="preserve">o el </w:t>
      </w:r>
      <w:proofErr w:type="spellStart"/>
      <w:r w:rsidRPr="008D3A8A">
        <w:t>Sarassath</w:t>
      </w:r>
      <w:r w:rsidR="005A21D0">
        <w:t>ī</w:t>
      </w:r>
      <w:proofErr w:type="spellEnd"/>
      <w:r>
        <w:t>,</w:t>
      </w:r>
    </w:p>
    <w:p w14:paraId="030DF41F" w14:textId="1BF5C91F" w:rsidR="00FE19DD" w:rsidRDefault="00FE19DD" w:rsidP="00D3380C">
      <w:pPr>
        <w:pStyle w:val="VersoIngls01Sangria"/>
      </w:pPr>
      <w:r>
        <w:t xml:space="preserve">O </w:t>
      </w:r>
      <w:r w:rsidR="005A21D0">
        <w:t>la corriente del</w:t>
      </w:r>
      <w:r>
        <w:t xml:space="preserve"> </w:t>
      </w:r>
      <w:proofErr w:type="spellStart"/>
      <w:r w:rsidRPr="008D3A8A">
        <w:t>Aciravatī</w:t>
      </w:r>
      <w:proofErr w:type="spellEnd"/>
      <w:r>
        <w:t>,</w:t>
      </w:r>
    </w:p>
    <w:p w14:paraId="1DB02E8D" w14:textId="3049BBDF" w:rsidR="00FE19DD" w:rsidRDefault="00FE19DD" w:rsidP="00D3380C">
      <w:pPr>
        <w:pStyle w:val="VersoIngls01Sangria"/>
        <w:spacing w:after="100"/>
        <w:ind w:left="1418"/>
      </w:pPr>
      <w:r>
        <w:t xml:space="preserve">O </w:t>
      </w:r>
      <w:r w:rsidR="005A21D0">
        <w:t xml:space="preserve">el </w:t>
      </w:r>
      <w:r>
        <w:t xml:space="preserve">noble río </w:t>
      </w:r>
      <w:proofErr w:type="spellStart"/>
      <w:r w:rsidRPr="008D3A8A">
        <w:t>Mahī</w:t>
      </w:r>
      <w:proofErr w:type="spellEnd"/>
      <w:r>
        <w:t>,</w:t>
      </w:r>
      <w:r w:rsidR="00A87C35">
        <w:br/>
      </w:r>
      <w:r w:rsidR="005A21D0">
        <w:t xml:space="preserve">Serán </w:t>
      </w:r>
      <w:r>
        <w:t>capa</w:t>
      </w:r>
      <w:r w:rsidR="005A21D0">
        <w:t>ces</w:t>
      </w:r>
      <w:r>
        <w:t xml:space="preserve"> de </w:t>
      </w:r>
      <w:r w:rsidR="004B122A">
        <w:t>lacar</w:t>
      </w:r>
      <w:r>
        <w:t xml:space="preserve"> </w:t>
      </w:r>
      <w:proofErr w:type="gramStart"/>
      <w:r>
        <w:t>la</w:t>
      </w:r>
      <w:r w:rsidR="005051BC">
        <w:t>s</w:t>
      </w:r>
      <w:r>
        <w:t xml:space="preserve"> </w:t>
      </w:r>
      <w:r w:rsidR="004B122A">
        <w:t>suciedad</w:t>
      </w:r>
      <w:proofErr w:type="gramEnd"/>
      <w:r w:rsidR="00A87C35">
        <w:br/>
      </w:r>
      <w:r w:rsidR="00FA18E3">
        <w:t>De</w:t>
      </w:r>
      <w:r>
        <w:t xml:space="preserve"> las cosas que se respir</w:t>
      </w:r>
      <w:r w:rsidR="00FA18E3">
        <w:t>e</w:t>
      </w:r>
      <w:r>
        <w:t>n aquí en el mundo;</w:t>
      </w:r>
      <w:r w:rsidR="00A87C35">
        <w:br/>
      </w:r>
      <w:r>
        <w:t>Porque sólo l</w:t>
      </w:r>
      <w:r w:rsidR="00FA18E3">
        <w:t>as</w:t>
      </w:r>
      <w:r>
        <w:t xml:space="preserve"> agua</w:t>
      </w:r>
      <w:r w:rsidR="00FA18E3">
        <w:t>s</w:t>
      </w:r>
      <w:r>
        <w:t xml:space="preserve"> de la virtud </w:t>
      </w:r>
      <w:r w:rsidR="00FA18E3">
        <w:t>podrán</w:t>
      </w:r>
      <w:r w:rsidR="00A87C35">
        <w:br/>
      </w:r>
      <w:r w:rsidR="00FA18E3">
        <w:t>Limpiar</w:t>
      </w:r>
      <w:r>
        <w:t xml:space="preserve"> la</w:t>
      </w:r>
      <w:r w:rsidR="00FA18E3">
        <w:t>s</w:t>
      </w:r>
      <w:r>
        <w:t xml:space="preserve"> </w:t>
      </w:r>
      <w:r w:rsidR="00FA18E3">
        <w:t>impurezas de</w:t>
      </w:r>
      <w:r>
        <w:t xml:space="preserve"> los seres vivos.</w:t>
      </w:r>
    </w:p>
    <w:p w14:paraId="0AF6AA2C" w14:textId="04D33687" w:rsidR="00FE19DD" w:rsidRDefault="00FE19DD" w:rsidP="00D3380C">
      <w:pPr>
        <w:pStyle w:val="VersoIngls01Sangria"/>
      </w:pPr>
      <w:r>
        <w:t xml:space="preserve">No </w:t>
      </w:r>
      <w:r w:rsidR="00F2618E">
        <w:t>existen</w:t>
      </w:r>
      <w:r>
        <w:t xml:space="preserve"> brisas que </w:t>
      </w:r>
      <w:r w:rsidR="00B45194">
        <w:t xml:space="preserve">traigan </w:t>
      </w:r>
      <w:r>
        <w:t>lluvia,</w:t>
      </w:r>
    </w:p>
    <w:p w14:paraId="33EB1062" w14:textId="25C9084D" w:rsidR="00FE19DD" w:rsidRDefault="00916CEB" w:rsidP="00D3380C">
      <w:pPr>
        <w:pStyle w:val="VersoIngls01Sangria"/>
      </w:pPr>
      <w:r>
        <w:t>N</w:t>
      </w:r>
      <w:r w:rsidR="00B45194">
        <w:t>i</w:t>
      </w:r>
      <w:r w:rsidR="00FE19DD">
        <w:t xml:space="preserve"> bálsamo de sándalo amarillo,</w:t>
      </w:r>
    </w:p>
    <w:p w14:paraId="5BE0547E" w14:textId="19D009BF" w:rsidR="00FE19DD" w:rsidRDefault="00916CEB" w:rsidP="00D3380C">
      <w:pPr>
        <w:pStyle w:val="VersoIngls01Sangria"/>
      </w:pPr>
      <w:r>
        <w:t xml:space="preserve">Ni </w:t>
      </w:r>
      <w:r w:rsidR="00FE19DD">
        <w:t xml:space="preserve">collares </w:t>
      </w:r>
      <w:r w:rsidR="00A92AC7">
        <w:t>con él</w:t>
      </w:r>
      <w:r w:rsidR="00FE19DD">
        <w:t xml:space="preserve">, </w:t>
      </w:r>
      <w:r w:rsidR="00A92AC7">
        <w:t>ni</w:t>
      </w:r>
      <w:r w:rsidR="00FE19DD">
        <w:t xml:space="preserve"> gemas</w:t>
      </w:r>
    </w:p>
    <w:p w14:paraId="48165E42" w14:textId="41B443C1" w:rsidR="00FE19DD" w:rsidRDefault="00A92AC7" w:rsidP="00D3380C">
      <w:pPr>
        <w:pStyle w:val="VersoIngls01Sangria"/>
      </w:pPr>
      <w:r>
        <w:t>Ni</w:t>
      </w:r>
      <w:r w:rsidR="00FE19DD">
        <w:t xml:space="preserve"> el suave resplandor de los rayos de </w:t>
      </w:r>
      <w:r w:rsidR="008D3A8A">
        <w:t>Luna</w:t>
      </w:r>
      <w:r w:rsidR="00FE19DD">
        <w:t>,</w:t>
      </w:r>
    </w:p>
    <w:p w14:paraId="1D2AE6D1" w14:textId="1178DD9C" w:rsidR="00FE19DD" w:rsidRDefault="00A92AC7" w:rsidP="00D3380C">
      <w:pPr>
        <w:pStyle w:val="VersoIngls01Sangria"/>
      </w:pPr>
      <w:r>
        <w:t>Que p</w:t>
      </w:r>
      <w:r w:rsidR="00FE19DD">
        <w:t>ued</w:t>
      </w:r>
      <w:r>
        <w:t>an</w:t>
      </w:r>
      <w:r w:rsidR="00FE19DD">
        <w:t xml:space="preserve"> aquí servir para calmar y </w:t>
      </w:r>
      <w:r w:rsidR="00C668AF">
        <w:t>apaciguar</w:t>
      </w:r>
    </w:p>
    <w:p w14:paraId="11E5956D" w14:textId="5113BACC" w:rsidR="00FE19DD" w:rsidRDefault="00C668AF" w:rsidP="00D3380C">
      <w:pPr>
        <w:pStyle w:val="VersoIngls01Sangria"/>
      </w:pPr>
      <w:r>
        <w:t xml:space="preserve">Las </w:t>
      </w:r>
      <w:r w:rsidR="00FE19DD">
        <w:t>fiebres de los hombres en este mundo; mientras</w:t>
      </w:r>
      <w:r>
        <w:t xml:space="preserve"> que</w:t>
      </w:r>
    </w:p>
    <w:p w14:paraId="2FA24499" w14:textId="0FE517FC" w:rsidR="00FE19DD" w:rsidRDefault="00FE19DD" w:rsidP="00D3380C">
      <w:pPr>
        <w:pStyle w:val="VersoIngls01Sangria"/>
      </w:pPr>
      <w:r>
        <w:t>Est</w:t>
      </w:r>
      <w:r w:rsidR="00C668AF">
        <w:t>a</w:t>
      </w:r>
      <w:r>
        <w:t xml:space="preserve"> noble, est</w:t>
      </w:r>
      <w:r w:rsidR="00C668AF">
        <w:t>a</w:t>
      </w:r>
      <w:r>
        <w:t xml:space="preserve"> supremamente fresc</w:t>
      </w:r>
      <w:r w:rsidR="00C668AF">
        <w:t>a</w:t>
      </w:r>
      <w:r>
        <w:t>,</w:t>
      </w:r>
    </w:p>
    <w:p w14:paraId="7F2E7ECA" w14:textId="10E4A4A0" w:rsidR="00FE19DD" w:rsidRDefault="0038472E" w:rsidP="004C0BA3">
      <w:pPr>
        <w:pStyle w:val="VersoIngls01Sangria"/>
        <w:spacing w:after="100"/>
        <w:ind w:left="1418"/>
      </w:pPr>
      <w:r>
        <w:t xml:space="preserve">Y bien guardada virtud </w:t>
      </w:r>
      <w:r w:rsidR="00A051FB">
        <w:t>es capaz de</w:t>
      </w:r>
      <w:r w:rsidR="00332B42">
        <w:t xml:space="preserve"> apagar</w:t>
      </w:r>
      <w:r w:rsidR="00FE19DD">
        <w:t xml:space="preserve"> </w:t>
      </w:r>
      <w:r w:rsidR="00332B42">
        <w:t>estas</w:t>
      </w:r>
      <w:r w:rsidR="00FE19DD">
        <w:t xml:space="preserve"> llama</w:t>
      </w:r>
      <w:r w:rsidR="00332B42">
        <w:t>s</w:t>
      </w:r>
      <w:r w:rsidR="00FE19DD">
        <w:t>.</w:t>
      </w:r>
    </w:p>
    <w:p w14:paraId="35C30A16" w14:textId="77777777" w:rsidR="00FE19DD" w:rsidRDefault="00FE19DD" w:rsidP="00D3380C">
      <w:pPr>
        <w:pStyle w:val="VersoIngls01Sangria"/>
      </w:pPr>
      <w:r>
        <w:t>¿Dónde se encuentra el olor</w:t>
      </w:r>
    </w:p>
    <w:p w14:paraId="1666CDD4" w14:textId="54A3CF4A" w:rsidR="00FE19DD" w:rsidRDefault="00FE19DD" w:rsidP="00D3380C">
      <w:pPr>
        <w:pStyle w:val="VersoIngls01Sangria"/>
      </w:pPr>
      <w:r>
        <w:t>que pued</w:t>
      </w:r>
      <w:r w:rsidR="00A051FB">
        <w:t>a</w:t>
      </w:r>
      <w:r>
        <w:t xml:space="preserve"> compararse con el olor de la virtud,</w:t>
      </w:r>
    </w:p>
    <w:p w14:paraId="00F2FDB5" w14:textId="322DB40C" w:rsidR="00FE19DD" w:rsidRDefault="00FE19DD" w:rsidP="00D3380C">
      <w:pPr>
        <w:pStyle w:val="VersoIngls01Sangria"/>
      </w:pPr>
      <w:r>
        <w:t xml:space="preserve">Y que se </w:t>
      </w:r>
      <w:r w:rsidR="00A051FB">
        <w:t>pued</w:t>
      </w:r>
      <w:r w:rsidR="007E1C46">
        <w:t>a</w:t>
      </w:r>
      <w:r w:rsidR="00A051FB">
        <w:t xml:space="preserve"> </w:t>
      </w:r>
      <w:r>
        <w:t>lleva</w:t>
      </w:r>
      <w:r w:rsidR="00A051FB">
        <w:t>r</w:t>
      </w:r>
      <w:r>
        <w:t xml:space="preserve"> contra el viento</w:t>
      </w:r>
    </w:p>
    <w:p w14:paraId="04FBCB5E" w14:textId="27CC5CE7" w:rsidR="00FE19DD" w:rsidRDefault="00FE19DD" w:rsidP="00D3380C">
      <w:pPr>
        <w:pStyle w:val="VersoIngls01Sangria"/>
      </w:pPr>
      <w:r>
        <w:t xml:space="preserve">Tan fácilmente como con él? </w:t>
      </w:r>
    </w:p>
    <w:p w14:paraId="4AB59AFC" w14:textId="7376CDA6" w:rsidR="00FE19DD" w:rsidRDefault="00143B63" w:rsidP="00D3380C">
      <w:pPr>
        <w:pStyle w:val="VersoIngls01Sangria"/>
      </w:pPr>
      <w:r>
        <w:t>¿</w:t>
      </w:r>
      <w:proofErr w:type="spellStart"/>
      <w:r>
        <w:t>Donde</w:t>
      </w:r>
      <w:proofErr w:type="spellEnd"/>
      <w:r>
        <w:t xml:space="preserve"> se </w:t>
      </w:r>
      <w:r w:rsidR="00FE19DD">
        <w:t>puede encontrar otra escalera</w:t>
      </w:r>
    </w:p>
    <w:p w14:paraId="34077F9C" w14:textId="1E270C4F" w:rsidR="00FE19DD" w:rsidRDefault="00FE19DD" w:rsidP="00D3380C">
      <w:pPr>
        <w:pStyle w:val="VersoIngls01Sangria"/>
      </w:pPr>
      <w:r>
        <w:t>que sub</w:t>
      </w:r>
      <w:r w:rsidR="007E1C46">
        <w:t>a</w:t>
      </w:r>
      <w:r>
        <w:t xml:space="preserve">, como la virtud, </w:t>
      </w:r>
      <w:r w:rsidR="007E1C46">
        <w:t>hacia e</w:t>
      </w:r>
      <w:r>
        <w:t>l cielo?</w:t>
      </w:r>
    </w:p>
    <w:p w14:paraId="1EB757E5" w14:textId="3E995EB1" w:rsidR="00FE19DD" w:rsidRDefault="00143B63" w:rsidP="00D3380C">
      <w:pPr>
        <w:pStyle w:val="VersoIngls01Sangria"/>
      </w:pPr>
      <w:r>
        <w:t>¿</w:t>
      </w:r>
      <w:r w:rsidR="007E1C46">
        <w:t>U</w:t>
      </w:r>
      <w:r w:rsidR="00FE19DD">
        <w:t xml:space="preserve"> otra puerta más que </w:t>
      </w:r>
      <w:r w:rsidR="007E1C46">
        <w:t xml:space="preserve">conduzca </w:t>
      </w:r>
    </w:p>
    <w:p w14:paraId="7AB3A5F5" w14:textId="1CD27369" w:rsidR="00FE19DD" w:rsidRDefault="007E1C46" w:rsidP="00A87C35">
      <w:pPr>
        <w:pStyle w:val="VersoIngls01Sangria"/>
        <w:spacing w:after="100"/>
        <w:ind w:left="1418"/>
      </w:pPr>
      <w:r>
        <w:t xml:space="preserve">Hacia la </w:t>
      </w:r>
      <w:r w:rsidR="00FE19DD">
        <w:t>ciudad de Nibbāna?</w:t>
      </w:r>
    </w:p>
    <w:p w14:paraId="58F2A9EE" w14:textId="1999FBFE" w:rsidR="00FE19DD" w:rsidRDefault="00FE19DD" w:rsidP="00D3380C">
      <w:pPr>
        <w:pStyle w:val="VersoIngls01Sangria"/>
      </w:pPr>
      <w:r>
        <w:t>Por mucho que brillen, no ha</w:t>
      </w:r>
      <w:r w:rsidR="00143B63">
        <w:t>brá</w:t>
      </w:r>
      <w:r>
        <w:t xml:space="preserve"> reyes</w:t>
      </w:r>
    </w:p>
    <w:p w14:paraId="706DE819" w14:textId="3DE40BFD" w:rsidR="00FE19DD" w:rsidRDefault="00FE19DD" w:rsidP="00D3380C">
      <w:pPr>
        <w:pStyle w:val="VersoIngls01Sangria"/>
      </w:pPr>
      <w:r>
        <w:t xml:space="preserve">Adornado </w:t>
      </w:r>
      <w:r w:rsidR="00143B63">
        <w:t>de</w:t>
      </w:r>
      <w:r>
        <w:t xml:space="preserve"> joyas y perlas.</w:t>
      </w:r>
    </w:p>
    <w:p w14:paraId="436E02B7" w14:textId="2447D2D4" w:rsidR="00FE19DD" w:rsidRDefault="00FE19DD" w:rsidP="00D3380C">
      <w:pPr>
        <w:pStyle w:val="VersoIngls01Sangria"/>
      </w:pPr>
      <w:r>
        <w:t>Que brill</w:t>
      </w:r>
      <w:r w:rsidR="00143B63">
        <w:t>e</w:t>
      </w:r>
      <w:r>
        <w:t>n como un hombre comedido</w:t>
      </w:r>
      <w:r w:rsidR="00143B63">
        <w:t xml:space="preserve"> y</w:t>
      </w:r>
    </w:p>
    <w:p w14:paraId="6E6AF53A" w14:textId="77777777" w:rsidR="00FE19DD" w:rsidRDefault="00FE19DD" w:rsidP="00D3380C">
      <w:pPr>
        <w:pStyle w:val="VersoIngls01Sangria"/>
      </w:pPr>
      <w:r>
        <w:t>Adornado con el ornamento de la virtud.</w:t>
      </w:r>
    </w:p>
    <w:p w14:paraId="184EAE9B" w14:textId="77777777" w:rsidR="00FE19DD" w:rsidRDefault="00FE19DD" w:rsidP="00D3380C">
      <w:pPr>
        <w:pStyle w:val="VersoIngls01Sangria"/>
      </w:pPr>
      <w:r>
        <w:t>La virtud desaparece por completo</w:t>
      </w:r>
    </w:p>
    <w:p w14:paraId="1D8D1F97" w14:textId="7C4F71DE" w:rsidR="00FE19DD" w:rsidRDefault="00FE19DD" w:rsidP="00D3380C">
      <w:pPr>
        <w:pStyle w:val="VersoIngls01Sangria"/>
      </w:pPr>
      <w:r>
        <w:t xml:space="preserve">Con </w:t>
      </w:r>
      <w:r w:rsidR="00143B63">
        <w:t xml:space="preserve">el </w:t>
      </w:r>
      <w:r>
        <w:t xml:space="preserve">temor a </w:t>
      </w:r>
      <w:r w:rsidR="00143B63">
        <w:t xml:space="preserve">ser </w:t>
      </w:r>
      <w:r>
        <w:t>culpa</w:t>
      </w:r>
      <w:r w:rsidR="00143B63">
        <w:t>do</w:t>
      </w:r>
      <w:r>
        <w:t xml:space="preserve"> a sí mismo y cosas por el estilo;</w:t>
      </w:r>
    </w:p>
    <w:p w14:paraId="4A01AEEF" w14:textId="77777777" w:rsidR="00FE19DD" w:rsidRDefault="00FE19DD" w:rsidP="00D3380C">
      <w:pPr>
        <w:pStyle w:val="VersoIngls01Sangria"/>
      </w:pPr>
      <w:r>
        <w:t>Su virtud a los virtuosos.</w:t>
      </w:r>
    </w:p>
    <w:p w14:paraId="3DA0E0D0" w14:textId="68A61181" w:rsidR="00FE19DD" w:rsidRDefault="00143B63" w:rsidP="00C70D2A">
      <w:pPr>
        <w:pStyle w:val="VersoIngls01Sangria"/>
        <w:spacing w:after="100"/>
        <w:ind w:left="1418"/>
      </w:pPr>
      <w:r>
        <w:t xml:space="preserve">Les proporciona </w:t>
      </w:r>
      <w:r w:rsidR="00FE19DD">
        <w:t>alegría siempre por su fama.</w:t>
      </w:r>
    </w:p>
    <w:p w14:paraId="5FDD6B2B" w14:textId="77777777" w:rsidR="00FE19DD" w:rsidRDefault="00FE19DD" w:rsidP="00D3380C">
      <w:pPr>
        <w:pStyle w:val="VersoIngls01Sangria"/>
      </w:pPr>
      <w:r>
        <w:t>A partir de este breve bosquejo se puede saber</w:t>
      </w:r>
    </w:p>
    <w:p w14:paraId="4C654822" w14:textId="1541B06C" w:rsidR="00FE19DD" w:rsidRDefault="00FE19DD" w:rsidP="00D3380C">
      <w:pPr>
        <w:pStyle w:val="VersoIngls01Sangria"/>
      </w:pPr>
      <w:r>
        <w:t>Cómo la virtud trae recompensa</w:t>
      </w:r>
      <w:r w:rsidR="009311FF">
        <w:t>s</w:t>
      </w:r>
      <w:r>
        <w:t>, y cómo</w:t>
      </w:r>
    </w:p>
    <w:p w14:paraId="648D0F53" w14:textId="77777777" w:rsidR="00FE19DD" w:rsidRDefault="00FE19DD" w:rsidP="00D3380C">
      <w:pPr>
        <w:pStyle w:val="VersoIngls01Sangria"/>
      </w:pPr>
      <w:r>
        <w:t>Esta raíz de todas las buenas cualidades</w:t>
      </w:r>
    </w:p>
    <w:p w14:paraId="63D10B1E" w14:textId="77777777" w:rsidR="00C70D2A" w:rsidRDefault="00FE19DD" w:rsidP="00D3380C">
      <w:pPr>
        <w:pStyle w:val="VersoIngls01Sangria"/>
      </w:pPr>
      <w:r>
        <w:t>Roba de su poder cada falta.</w:t>
      </w:r>
    </w:p>
    <w:p w14:paraId="0706DEFA" w14:textId="77777777" w:rsidR="00C70D2A" w:rsidRDefault="00C70D2A">
      <w:pPr>
        <w:tabs>
          <w:tab w:val="clear" w:pos="425"/>
        </w:tabs>
      </w:pPr>
      <w:r>
        <w:br w:type="page"/>
      </w:r>
    </w:p>
    <w:p w14:paraId="3C515234" w14:textId="77777777" w:rsidR="008F4023" w:rsidRDefault="008F4023" w:rsidP="00F11E57"/>
    <w:p w14:paraId="5E02CA71" w14:textId="29FDE254" w:rsidR="00F11E57" w:rsidRDefault="00F11E57" w:rsidP="00F11E57">
      <w:r>
        <w:t xml:space="preserve">25. </w:t>
      </w:r>
      <w:r>
        <w:tab/>
        <w:t>(v) Ahora, aquí está la respuesta a la pregunta</w:t>
      </w:r>
      <w:r w:rsidRPr="00F11E57">
        <w:rPr>
          <w:rStyle w:val="Ttulo4Car"/>
        </w:rPr>
        <w:t xml:space="preserve">, ¿Cuántas </w:t>
      </w:r>
      <w:r w:rsidR="008A31B6" w:rsidRPr="00F11E57">
        <w:rPr>
          <w:rStyle w:val="Ttulo4Car"/>
        </w:rPr>
        <w:t xml:space="preserve">Clases </w:t>
      </w:r>
      <w:r w:rsidRPr="00F11E57">
        <w:rPr>
          <w:rStyle w:val="Ttulo4Car"/>
        </w:rPr>
        <w:t xml:space="preserve">de </w:t>
      </w:r>
      <w:r w:rsidR="008A31B6" w:rsidRPr="00F11E57">
        <w:rPr>
          <w:rStyle w:val="Ttulo4Car"/>
        </w:rPr>
        <w:t xml:space="preserve">Virtud </w:t>
      </w:r>
      <w:r w:rsidRPr="00F11E57">
        <w:rPr>
          <w:rStyle w:val="Ttulo4Car"/>
        </w:rPr>
        <w:t>hay?</w:t>
      </w:r>
    </w:p>
    <w:p w14:paraId="2C1D311C" w14:textId="79D8619D" w:rsidR="00F11E57" w:rsidRDefault="003E79DA" w:rsidP="003E79DA">
      <w:pPr>
        <w:tabs>
          <w:tab w:val="clear" w:pos="425"/>
          <w:tab w:val="right" w:pos="426"/>
          <w:tab w:val="left" w:pos="567"/>
        </w:tabs>
        <w:spacing w:after="40"/>
        <w:ind w:left="567" w:hanging="567"/>
      </w:pPr>
      <w:r>
        <w:tab/>
      </w:r>
      <w:r w:rsidR="00F11E57">
        <w:t xml:space="preserve">1. </w:t>
      </w:r>
      <w:r>
        <w:tab/>
      </w:r>
      <w:r w:rsidR="00F11E57">
        <w:t xml:space="preserve">En primer lugar, toda esta virtud es de una </w:t>
      </w:r>
      <w:r w:rsidR="008A31B6">
        <w:t xml:space="preserve">sola </w:t>
      </w:r>
      <w:r w:rsidR="00F11E57">
        <w:t>clase por su propia característica de componer.</w:t>
      </w:r>
    </w:p>
    <w:p w14:paraId="76F1D3C3" w14:textId="08732565" w:rsidR="00F11E57" w:rsidRDefault="003E79DA" w:rsidP="003E79DA">
      <w:pPr>
        <w:tabs>
          <w:tab w:val="clear" w:pos="425"/>
          <w:tab w:val="right" w:pos="426"/>
          <w:tab w:val="left" w:pos="567"/>
        </w:tabs>
        <w:spacing w:after="40"/>
        <w:ind w:left="567" w:hanging="567"/>
      </w:pPr>
      <w:r>
        <w:tab/>
      </w:r>
      <w:r w:rsidR="00F11E57">
        <w:t xml:space="preserve">2. </w:t>
      </w:r>
      <w:r>
        <w:tab/>
      </w:r>
      <w:r w:rsidR="00F11E57">
        <w:t xml:space="preserve">Es de dos clases </w:t>
      </w:r>
      <w:r w:rsidR="00B129C7">
        <w:t xml:space="preserve">en el sentido de </w:t>
      </w:r>
      <w:r w:rsidR="003E4197" w:rsidRPr="00E056AE">
        <w:rPr>
          <w:i/>
          <w:iCs/>
        </w:rPr>
        <w:t>mantener</w:t>
      </w:r>
      <w:r w:rsidR="00F11E57">
        <w:t xml:space="preserve"> y </w:t>
      </w:r>
      <w:r w:rsidR="00B129C7" w:rsidRPr="00E056AE">
        <w:rPr>
          <w:i/>
          <w:iCs/>
        </w:rPr>
        <w:t>eludir</w:t>
      </w:r>
      <w:r w:rsidR="00F11E57">
        <w:t>.</w:t>
      </w:r>
    </w:p>
    <w:p w14:paraId="3655E2D1" w14:textId="52BC9C03" w:rsidR="00F11E57" w:rsidRDefault="003E79DA" w:rsidP="003E79DA">
      <w:pPr>
        <w:tabs>
          <w:tab w:val="clear" w:pos="425"/>
          <w:tab w:val="right" w:pos="426"/>
          <w:tab w:val="left" w:pos="567"/>
        </w:tabs>
        <w:spacing w:after="40"/>
        <w:ind w:left="567" w:hanging="567"/>
      </w:pPr>
      <w:r>
        <w:tab/>
      </w:r>
      <w:r w:rsidR="00F11E57">
        <w:t xml:space="preserve">3. </w:t>
      </w:r>
      <w:r>
        <w:tab/>
      </w:r>
      <w:r w:rsidR="00F11E57">
        <w:t xml:space="preserve">Así </w:t>
      </w:r>
      <w:r w:rsidR="006B623C">
        <w:t xml:space="preserve">mismo, </w:t>
      </w:r>
      <w:r w:rsidR="00F11E57">
        <w:t>como l</w:t>
      </w:r>
      <w:r w:rsidR="00196791">
        <w:t>a</w:t>
      </w:r>
      <w:r w:rsidR="00F11E57">
        <w:t xml:space="preserve"> </w:t>
      </w:r>
      <w:r w:rsidR="00F11E57" w:rsidRPr="00E056AE">
        <w:rPr>
          <w:i/>
          <w:iCs/>
        </w:rPr>
        <w:t>de la buena conducta</w:t>
      </w:r>
      <w:r w:rsidR="00F11E57">
        <w:t xml:space="preserve"> y l</w:t>
      </w:r>
      <w:r w:rsidR="00196791">
        <w:t>a</w:t>
      </w:r>
      <w:r w:rsidR="00F11E57">
        <w:t xml:space="preserve"> </w:t>
      </w:r>
      <w:r w:rsidR="00F11E57" w:rsidRPr="00E056AE">
        <w:rPr>
          <w:i/>
          <w:iCs/>
        </w:rPr>
        <w:t xml:space="preserve">del comienzo de </w:t>
      </w:r>
      <w:r w:rsidR="004826C2" w:rsidRPr="00E056AE">
        <w:rPr>
          <w:i/>
          <w:iCs/>
        </w:rPr>
        <w:t>un</w:t>
      </w:r>
      <w:r w:rsidR="00F11E57" w:rsidRPr="00E056AE">
        <w:rPr>
          <w:i/>
          <w:iCs/>
        </w:rPr>
        <w:t>a vida de pureza</w:t>
      </w:r>
      <w:r w:rsidR="00F11E57">
        <w:t>,</w:t>
      </w:r>
    </w:p>
    <w:p w14:paraId="17EB32E3" w14:textId="6EAD2D1C" w:rsidR="00F11E57" w:rsidRDefault="003E79DA" w:rsidP="003E79DA">
      <w:pPr>
        <w:tabs>
          <w:tab w:val="clear" w:pos="425"/>
          <w:tab w:val="right" w:pos="426"/>
          <w:tab w:val="left" w:pos="567"/>
        </w:tabs>
        <w:spacing w:after="40"/>
        <w:ind w:left="567" w:hanging="567"/>
      </w:pPr>
      <w:r>
        <w:tab/>
      </w:r>
      <w:r w:rsidR="00F11E57">
        <w:t xml:space="preserve">4. </w:t>
      </w:r>
      <w:r>
        <w:tab/>
      </w:r>
      <w:r w:rsidR="00F11E57">
        <w:t xml:space="preserve">Como </w:t>
      </w:r>
      <w:r w:rsidR="00F11E57" w:rsidRPr="00E056AE">
        <w:rPr>
          <w:i/>
          <w:iCs/>
        </w:rPr>
        <w:t>abstinencia</w:t>
      </w:r>
      <w:r w:rsidR="00F11E57">
        <w:t xml:space="preserve"> y </w:t>
      </w:r>
      <w:r w:rsidR="00F11E57" w:rsidRPr="00E056AE">
        <w:rPr>
          <w:i/>
          <w:iCs/>
        </w:rPr>
        <w:t>no</w:t>
      </w:r>
      <w:r w:rsidR="004826C2" w:rsidRPr="00E056AE">
        <w:rPr>
          <w:i/>
          <w:iCs/>
        </w:rPr>
        <w:t>-</w:t>
      </w:r>
      <w:r w:rsidR="00F11E57" w:rsidRPr="00E056AE">
        <w:rPr>
          <w:i/>
          <w:iCs/>
        </w:rPr>
        <w:t>abstinencia</w:t>
      </w:r>
      <w:r w:rsidR="00F11E57">
        <w:t>,</w:t>
      </w:r>
    </w:p>
    <w:p w14:paraId="350BE277" w14:textId="323E077D" w:rsidR="00F11E57" w:rsidRDefault="003E79DA" w:rsidP="003E79DA">
      <w:pPr>
        <w:tabs>
          <w:tab w:val="clear" w:pos="425"/>
          <w:tab w:val="right" w:pos="426"/>
          <w:tab w:val="left" w:pos="567"/>
        </w:tabs>
        <w:spacing w:after="40"/>
        <w:ind w:left="567" w:hanging="567"/>
      </w:pPr>
      <w:r>
        <w:tab/>
      </w:r>
      <w:r w:rsidR="00F11E57">
        <w:t xml:space="preserve">5. </w:t>
      </w:r>
      <w:r>
        <w:tab/>
      </w:r>
      <w:r w:rsidR="00F11E57">
        <w:t xml:space="preserve">Como </w:t>
      </w:r>
      <w:r w:rsidR="00F11E57" w:rsidRPr="00E056AE">
        <w:rPr>
          <w:i/>
          <w:iCs/>
        </w:rPr>
        <w:t>dependiente</w:t>
      </w:r>
      <w:r w:rsidR="00F11E57">
        <w:t xml:space="preserve"> e </w:t>
      </w:r>
      <w:r w:rsidR="00F11E57" w:rsidRPr="00E056AE">
        <w:rPr>
          <w:i/>
          <w:iCs/>
        </w:rPr>
        <w:t>independiente</w:t>
      </w:r>
      <w:r w:rsidR="00F11E57">
        <w:t>,</w:t>
      </w:r>
    </w:p>
    <w:p w14:paraId="23FBCB52" w14:textId="181FAC4E" w:rsidR="00F11E57" w:rsidRDefault="003E79DA" w:rsidP="003E79DA">
      <w:pPr>
        <w:tabs>
          <w:tab w:val="clear" w:pos="425"/>
          <w:tab w:val="right" w:pos="426"/>
          <w:tab w:val="left" w:pos="567"/>
        </w:tabs>
        <w:spacing w:after="40"/>
        <w:ind w:left="567" w:hanging="567"/>
      </w:pPr>
      <w:r>
        <w:tab/>
      </w:r>
      <w:r w:rsidR="00F11E57">
        <w:t xml:space="preserve">6. </w:t>
      </w:r>
      <w:r>
        <w:tab/>
      </w:r>
      <w:r w:rsidR="00F11E57">
        <w:t xml:space="preserve">Como </w:t>
      </w:r>
      <w:r w:rsidR="00F11E57" w:rsidRPr="00E056AE">
        <w:rPr>
          <w:i/>
          <w:iCs/>
        </w:rPr>
        <w:t>temporal</w:t>
      </w:r>
      <w:r w:rsidR="00F11E57">
        <w:t xml:space="preserve"> y </w:t>
      </w:r>
      <w:r w:rsidR="00F11E57" w:rsidRPr="00E056AE">
        <w:rPr>
          <w:i/>
          <w:iCs/>
        </w:rPr>
        <w:t>vitalici</w:t>
      </w:r>
      <w:r w:rsidR="007C60B5" w:rsidRPr="00E056AE">
        <w:rPr>
          <w:i/>
          <w:iCs/>
        </w:rPr>
        <w:t>a</w:t>
      </w:r>
      <w:r w:rsidR="00F11E57">
        <w:t>,</w:t>
      </w:r>
    </w:p>
    <w:p w14:paraId="0DB3C556" w14:textId="1B182982" w:rsidR="00F11E57" w:rsidRDefault="003E79DA" w:rsidP="003E79DA">
      <w:pPr>
        <w:tabs>
          <w:tab w:val="clear" w:pos="425"/>
          <w:tab w:val="right" w:pos="426"/>
          <w:tab w:val="left" w:pos="567"/>
        </w:tabs>
        <w:spacing w:after="40"/>
        <w:ind w:left="567" w:hanging="567"/>
      </w:pPr>
      <w:r>
        <w:tab/>
      </w:r>
      <w:r w:rsidR="00F11E57">
        <w:t xml:space="preserve">7. </w:t>
      </w:r>
      <w:r>
        <w:tab/>
      </w:r>
      <w:r w:rsidR="00F11E57">
        <w:t xml:space="preserve">Como </w:t>
      </w:r>
      <w:r w:rsidR="00F11E57" w:rsidRPr="00E056AE">
        <w:rPr>
          <w:i/>
          <w:iCs/>
        </w:rPr>
        <w:t>limitad</w:t>
      </w:r>
      <w:r w:rsidR="001D4C83" w:rsidRPr="00E056AE">
        <w:rPr>
          <w:i/>
          <w:iCs/>
        </w:rPr>
        <w:t>a</w:t>
      </w:r>
      <w:r w:rsidR="00F11E57">
        <w:t xml:space="preserve"> e </w:t>
      </w:r>
      <w:r w:rsidR="00F11E57" w:rsidRPr="00E056AE">
        <w:rPr>
          <w:i/>
          <w:iCs/>
        </w:rPr>
        <w:t>ilimitad</w:t>
      </w:r>
      <w:r w:rsidR="001D4C83" w:rsidRPr="00E056AE">
        <w:rPr>
          <w:i/>
          <w:iCs/>
        </w:rPr>
        <w:t>a</w:t>
      </w:r>
    </w:p>
    <w:p w14:paraId="44A61EBA" w14:textId="52C4A130" w:rsidR="00F11E57" w:rsidRDefault="003E79DA" w:rsidP="003E79DA">
      <w:pPr>
        <w:tabs>
          <w:tab w:val="clear" w:pos="425"/>
          <w:tab w:val="right" w:pos="426"/>
          <w:tab w:val="left" w:pos="567"/>
        </w:tabs>
        <w:spacing w:after="40"/>
        <w:ind w:left="567" w:hanging="567"/>
      </w:pPr>
      <w:r>
        <w:tab/>
      </w:r>
      <w:r w:rsidR="00F11E57">
        <w:t xml:space="preserve">8. </w:t>
      </w:r>
      <w:r>
        <w:tab/>
      </w:r>
      <w:r w:rsidR="00F11E57">
        <w:t xml:space="preserve">Como </w:t>
      </w:r>
      <w:r w:rsidR="00F11E57" w:rsidRPr="00E056AE">
        <w:rPr>
          <w:i/>
          <w:iCs/>
        </w:rPr>
        <w:t>mundan</w:t>
      </w:r>
      <w:r w:rsidR="007C60B5" w:rsidRPr="00E056AE">
        <w:rPr>
          <w:i/>
          <w:iCs/>
        </w:rPr>
        <w:t>a</w:t>
      </w:r>
      <w:r w:rsidR="00F11E57">
        <w:t xml:space="preserve"> y </w:t>
      </w:r>
      <w:r w:rsidR="00F11E57" w:rsidRPr="00E056AE">
        <w:rPr>
          <w:i/>
          <w:iCs/>
        </w:rPr>
        <w:t>supramundan</w:t>
      </w:r>
      <w:r w:rsidR="007C60B5" w:rsidRPr="00E056AE">
        <w:rPr>
          <w:i/>
          <w:iCs/>
        </w:rPr>
        <w:t>a</w:t>
      </w:r>
      <w:r w:rsidR="00F11E57">
        <w:t>. [11]</w:t>
      </w:r>
    </w:p>
    <w:p w14:paraId="33F59F09" w14:textId="73BDC829" w:rsidR="00F11E57" w:rsidRDefault="003E79DA" w:rsidP="003E79DA">
      <w:pPr>
        <w:tabs>
          <w:tab w:val="clear" w:pos="425"/>
          <w:tab w:val="right" w:pos="426"/>
          <w:tab w:val="left" w:pos="567"/>
        </w:tabs>
        <w:spacing w:after="40"/>
        <w:ind w:left="567" w:hanging="567"/>
      </w:pPr>
      <w:r>
        <w:tab/>
      </w:r>
      <w:r w:rsidR="00F11E57">
        <w:t xml:space="preserve">9. </w:t>
      </w:r>
      <w:r>
        <w:tab/>
      </w:r>
      <w:r w:rsidR="00F11E57">
        <w:t xml:space="preserve">Es de tres </w:t>
      </w:r>
      <w:r w:rsidR="005A43B0">
        <w:t>clases</w:t>
      </w:r>
      <w:r w:rsidR="00F11E57">
        <w:t xml:space="preserve">: </w:t>
      </w:r>
      <w:r w:rsidR="00F11E57" w:rsidRPr="00E056AE">
        <w:rPr>
          <w:i/>
          <w:iCs/>
        </w:rPr>
        <w:t>inferior</w:t>
      </w:r>
      <w:r w:rsidR="00F11E57">
        <w:t xml:space="preserve">, </w:t>
      </w:r>
      <w:r w:rsidR="004074C7" w:rsidRPr="00E056AE">
        <w:rPr>
          <w:i/>
          <w:iCs/>
        </w:rPr>
        <w:t>inter</w:t>
      </w:r>
      <w:r w:rsidR="00F11E57" w:rsidRPr="00E056AE">
        <w:rPr>
          <w:i/>
          <w:iCs/>
        </w:rPr>
        <w:t>medi</w:t>
      </w:r>
      <w:r w:rsidR="004074C7" w:rsidRPr="00E056AE">
        <w:rPr>
          <w:i/>
          <w:iCs/>
        </w:rPr>
        <w:t>a</w:t>
      </w:r>
      <w:r w:rsidR="00F11E57">
        <w:t xml:space="preserve"> y </w:t>
      </w:r>
      <w:r w:rsidR="00F11E57" w:rsidRPr="00E056AE">
        <w:rPr>
          <w:i/>
          <w:iCs/>
        </w:rPr>
        <w:t>superior</w:t>
      </w:r>
      <w:r w:rsidR="00F11E57">
        <w:t>.</w:t>
      </w:r>
    </w:p>
    <w:p w14:paraId="70E2F176" w14:textId="32605089" w:rsidR="00F11E57" w:rsidRDefault="003E79DA" w:rsidP="003E79DA">
      <w:pPr>
        <w:tabs>
          <w:tab w:val="clear" w:pos="425"/>
          <w:tab w:val="right" w:pos="426"/>
          <w:tab w:val="left" w:pos="567"/>
        </w:tabs>
        <w:spacing w:after="40"/>
        <w:ind w:left="567" w:hanging="567"/>
      </w:pPr>
      <w:r>
        <w:tab/>
      </w:r>
      <w:r w:rsidR="00F11E57">
        <w:t xml:space="preserve">10. </w:t>
      </w:r>
      <w:r>
        <w:tab/>
      </w:r>
      <w:r w:rsidR="00F11E57">
        <w:t xml:space="preserve">Del mismo modo, </w:t>
      </w:r>
      <w:r w:rsidR="00F11E57" w:rsidRPr="00E056AE">
        <w:rPr>
          <w:i/>
          <w:iCs/>
        </w:rPr>
        <w:t xml:space="preserve">dando precedencia </w:t>
      </w:r>
      <w:r w:rsidR="007C60B5" w:rsidRPr="00E056AE">
        <w:rPr>
          <w:i/>
          <w:iCs/>
        </w:rPr>
        <w:t xml:space="preserve">a </w:t>
      </w:r>
      <w:r w:rsidR="008A56DF" w:rsidRPr="00E056AE">
        <w:rPr>
          <w:i/>
          <w:iCs/>
        </w:rPr>
        <w:t>uno mismo</w:t>
      </w:r>
      <w:r w:rsidR="00F11E57">
        <w:t xml:space="preserve">, </w:t>
      </w:r>
      <w:r w:rsidR="00F11E57" w:rsidRPr="00E056AE">
        <w:rPr>
          <w:i/>
          <w:iCs/>
        </w:rPr>
        <w:t>dando precedencia al mundo</w:t>
      </w:r>
      <w:r w:rsidR="00F11E57">
        <w:t xml:space="preserve"> y </w:t>
      </w:r>
      <w:r w:rsidR="00F11E57" w:rsidRPr="00E056AE">
        <w:rPr>
          <w:i/>
          <w:iCs/>
        </w:rPr>
        <w:t>dando precedencia al</w:t>
      </w:r>
      <w:r w:rsidR="00F11E57">
        <w:t xml:space="preserve"> </w:t>
      </w:r>
      <w:r w:rsidR="00057BF4" w:rsidRPr="00057BF4">
        <w:rPr>
          <w:i/>
        </w:rPr>
        <w:t>Dhamma</w:t>
      </w:r>
      <w:r w:rsidR="00F11E57">
        <w:t>,</w:t>
      </w:r>
    </w:p>
    <w:p w14:paraId="4D5629DD" w14:textId="33FE54B0" w:rsidR="00F11E57" w:rsidRDefault="003E79DA" w:rsidP="003E79DA">
      <w:pPr>
        <w:tabs>
          <w:tab w:val="clear" w:pos="425"/>
          <w:tab w:val="right" w:pos="426"/>
          <w:tab w:val="left" w:pos="567"/>
        </w:tabs>
        <w:spacing w:after="40"/>
        <w:ind w:left="567" w:hanging="567"/>
      </w:pPr>
      <w:r>
        <w:tab/>
      </w:r>
      <w:r w:rsidR="00F11E57">
        <w:t xml:space="preserve">11. </w:t>
      </w:r>
      <w:r>
        <w:tab/>
      </w:r>
      <w:r w:rsidR="00F11E57">
        <w:t xml:space="preserve">Como </w:t>
      </w:r>
      <w:r w:rsidR="00F11E57" w:rsidRPr="00E056AE">
        <w:rPr>
          <w:i/>
          <w:iCs/>
        </w:rPr>
        <w:t>adherid</w:t>
      </w:r>
      <w:r w:rsidR="00047ADA" w:rsidRPr="00E056AE">
        <w:rPr>
          <w:i/>
          <w:iCs/>
        </w:rPr>
        <w:t>a</w:t>
      </w:r>
      <w:r w:rsidR="00F11E57">
        <w:t xml:space="preserve">, </w:t>
      </w:r>
      <w:r w:rsidR="00F11E57" w:rsidRPr="00E056AE">
        <w:rPr>
          <w:i/>
          <w:iCs/>
        </w:rPr>
        <w:t>no adherid</w:t>
      </w:r>
      <w:r w:rsidR="00047ADA" w:rsidRPr="00E056AE">
        <w:rPr>
          <w:i/>
          <w:iCs/>
        </w:rPr>
        <w:t>a</w:t>
      </w:r>
      <w:r w:rsidR="00F11E57">
        <w:t xml:space="preserve"> y </w:t>
      </w:r>
      <w:r w:rsidR="00E10146" w:rsidRPr="00E056AE">
        <w:rPr>
          <w:i/>
          <w:iCs/>
        </w:rPr>
        <w:t>apaciguad</w:t>
      </w:r>
      <w:r w:rsidR="007C60B5" w:rsidRPr="00E056AE">
        <w:rPr>
          <w:i/>
          <w:iCs/>
        </w:rPr>
        <w:t>a</w:t>
      </w:r>
      <w:r w:rsidR="00F11E57">
        <w:t>.</w:t>
      </w:r>
    </w:p>
    <w:p w14:paraId="7D90CFA2" w14:textId="7DB4395D" w:rsidR="00F11E57" w:rsidRDefault="003E79DA" w:rsidP="003E79DA">
      <w:pPr>
        <w:tabs>
          <w:tab w:val="clear" w:pos="425"/>
          <w:tab w:val="right" w:pos="426"/>
          <w:tab w:val="left" w:pos="567"/>
        </w:tabs>
        <w:spacing w:after="40"/>
        <w:ind w:left="567" w:hanging="567"/>
      </w:pPr>
      <w:r>
        <w:tab/>
      </w:r>
      <w:r w:rsidR="00F11E57">
        <w:t xml:space="preserve">12. </w:t>
      </w:r>
      <w:r>
        <w:tab/>
      </w:r>
      <w:r w:rsidR="00F11E57">
        <w:t xml:space="preserve">Como </w:t>
      </w:r>
      <w:r w:rsidR="00F11E57" w:rsidRPr="00E056AE">
        <w:rPr>
          <w:i/>
          <w:iCs/>
        </w:rPr>
        <w:t>pura</w:t>
      </w:r>
      <w:r w:rsidR="00F11E57">
        <w:t xml:space="preserve">, </w:t>
      </w:r>
      <w:r w:rsidR="0023215E" w:rsidRPr="00E056AE">
        <w:rPr>
          <w:i/>
          <w:iCs/>
        </w:rPr>
        <w:t>impura</w:t>
      </w:r>
      <w:r w:rsidR="00F11E57">
        <w:t xml:space="preserve"> y </w:t>
      </w:r>
      <w:r w:rsidR="00F11E57" w:rsidRPr="00E056AE">
        <w:rPr>
          <w:i/>
          <w:iCs/>
        </w:rPr>
        <w:t>dudos</w:t>
      </w:r>
      <w:r w:rsidR="0023215E" w:rsidRPr="00E056AE">
        <w:rPr>
          <w:i/>
          <w:iCs/>
        </w:rPr>
        <w:t>a</w:t>
      </w:r>
      <w:r w:rsidR="00F11E57">
        <w:t>.</w:t>
      </w:r>
    </w:p>
    <w:p w14:paraId="377A7D94" w14:textId="5A2CE018" w:rsidR="00F11E57" w:rsidRDefault="003E79DA" w:rsidP="003E79DA">
      <w:pPr>
        <w:tabs>
          <w:tab w:val="clear" w:pos="425"/>
          <w:tab w:val="right" w:pos="426"/>
          <w:tab w:val="left" w:pos="567"/>
        </w:tabs>
        <w:spacing w:after="40"/>
        <w:ind w:left="567" w:hanging="567"/>
      </w:pPr>
      <w:r>
        <w:tab/>
      </w:r>
      <w:r w:rsidR="00F11E57">
        <w:t xml:space="preserve">13. </w:t>
      </w:r>
      <w:r>
        <w:tab/>
      </w:r>
      <w:r w:rsidR="00F11E57">
        <w:t xml:space="preserve">Como la </w:t>
      </w:r>
      <w:r w:rsidR="00F11E57" w:rsidRPr="00E056AE">
        <w:rPr>
          <w:i/>
          <w:iCs/>
        </w:rPr>
        <w:t xml:space="preserve">del </w:t>
      </w:r>
      <w:r w:rsidR="007A4862" w:rsidRPr="00E056AE">
        <w:rPr>
          <w:i/>
          <w:iCs/>
        </w:rPr>
        <w:t>practicante</w:t>
      </w:r>
      <w:r w:rsidR="00F11E57" w:rsidRPr="00E056AE">
        <w:rPr>
          <w:i/>
          <w:iCs/>
        </w:rPr>
        <w:t>, la del no</w:t>
      </w:r>
      <w:r w:rsidR="007A4862" w:rsidRPr="00E056AE">
        <w:rPr>
          <w:i/>
          <w:iCs/>
        </w:rPr>
        <w:t>-practicante</w:t>
      </w:r>
      <w:r w:rsidR="007A4862">
        <w:t xml:space="preserve"> </w:t>
      </w:r>
      <w:r w:rsidR="00F11E57">
        <w:t xml:space="preserve">y </w:t>
      </w:r>
      <w:r w:rsidR="00F11E57" w:rsidRPr="00E056AE">
        <w:rPr>
          <w:i/>
          <w:iCs/>
        </w:rPr>
        <w:t>la del n</w:t>
      </w:r>
      <w:r w:rsidR="007A4862" w:rsidRPr="00E056AE">
        <w:rPr>
          <w:i/>
          <w:iCs/>
        </w:rPr>
        <w:t>o-practicante</w:t>
      </w:r>
      <w:r w:rsidR="002D6EDA" w:rsidRPr="00E056AE">
        <w:rPr>
          <w:i/>
          <w:iCs/>
        </w:rPr>
        <w:t>-</w:t>
      </w:r>
      <w:r w:rsidR="00F11E57" w:rsidRPr="00E056AE">
        <w:rPr>
          <w:i/>
          <w:iCs/>
        </w:rPr>
        <w:t>ni</w:t>
      </w:r>
      <w:r w:rsidR="002D6EDA" w:rsidRPr="00E056AE">
        <w:rPr>
          <w:i/>
          <w:iCs/>
        </w:rPr>
        <w:t>-</w:t>
      </w:r>
      <w:r w:rsidR="00F11E57" w:rsidRPr="00E056AE">
        <w:rPr>
          <w:i/>
          <w:iCs/>
        </w:rPr>
        <w:t>no</w:t>
      </w:r>
      <w:r w:rsidR="007A4862" w:rsidRPr="00E056AE">
        <w:rPr>
          <w:i/>
          <w:iCs/>
        </w:rPr>
        <w:t>-practicante</w:t>
      </w:r>
      <w:r w:rsidR="00F11E57">
        <w:t>.</w:t>
      </w:r>
    </w:p>
    <w:p w14:paraId="713056D4" w14:textId="73D05762" w:rsidR="00F11E57" w:rsidRDefault="003E79DA" w:rsidP="003E79DA">
      <w:pPr>
        <w:tabs>
          <w:tab w:val="clear" w:pos="425"/>
          <w:tab w:val="right" w:pos="426"/>
          <w:tab w:val="left" w:pos="567"/>
        </w:tabs>
        <w:spacing w:after="40"/>
        <w:ind w:left="567" w:hanging="567"/>
      </w:pPr>
      <w:r>
        <w:tab/>
      </w:r>
      <w:r w:rsidR="00F11E57">
        <w:t xml:space="preserve">14. </w:t>
      </w:r>
      <w:r>
        <w:tab/>
      </w:r>
      <w:r w:rsidR="00F11E57">
        <w:t xml:space="preserve">Es de cuatro tipos según </w:t>
      </w:r>
      <w:r w:rsidR="00511E99">
        <w:t>forme parte</w:t>
      </w:r>
      <w:r w:rsidR="00F11E57">
        <w:t xml:space="preserve"> de </w:t>
      </w:r>
      <w:r w:rsidR="004811BC">
        <w:t xml:space="preserve">alguna </w:t>
      </w:r>
      <w:r w:rsidR="00F11E57" w:rsidRPr="00E056AE">
        <w:rPr>
          <w:i/>
          <w:iCs/>
        </w:rPr>
        <w:t>disminución</w:t>
      </w:r>
      <w:r w:rsidR="00F11E57">
        <w:t xml:space="preserve">, </w:t>
      </w:r>
      <w:r w:rsidR="00F11E57" w:rsidRPr="00E056AE">
        <w:rPr>
          <w:i/>
          <w:iCs/>
        </w:rPr>
        <w:t>estancamiento</w:t>
      </w:r>
      <w:r w:rsidR="00F11E57">
        <w:t xml:space="preserve">, </w:t>
      </w:r>
      <w:r w:rsidR="00F11E57" w:rsidRPr="00E056AE">
        <w:rPr>
          <w:i/>
          <w:iCs/>
        </w:rPr>
        <w:t>distinción</w:t>
      </w:r>
      <w:r w:rsidR="002D6EDA">
        <w:t xml:space="preserve"> o</w:t>
      </w:r>
      <w:r w:rsidR="00F11E57">
        <w:t xml:space="preserve"> </w:t>
      </w:r>
      <w:r w:rsidR="00F11E57" w:rsidRPr="00E056AE">
        <w:rPr>
          <w:i/>
          <w:iCs/>
        </w:rPr>
        <w:t>penetración</w:t>
      </w:r>
      <w:r w:rsidR="00F11E57">
        <w:t>.</w:t>
      </w:r>
    </w:p>
    <w:p w14:paraId="54061B55" w14:textId="378511D4" w:rsidR="00F11E57" w:rsidRDefault="003E79DA" w:rsidP="003E79DA">
      <w:pPr>
        <w:tabs>
          <w:tab w:val="clear" w:pos="425"/>
          <w:tab w:val="right" w:pos="426"/>
          <w:tab w:val="left" w:pos="567"/>
        </w:tabs>
        <w:spacing w:after="40"/>
        <w:ind w:left="567" w:hanging="567"/>
      </w:pPr>
      <w:r>
        <w:tab/>
      </w:r>
      <w:r w:rsidR="00F11E57">
        <w:t xml:space="preserve">15. </w:t>
      </w:r>
      <w:r>
        <w:tab/>
      </w:r>
      <w:r w:rsidR="00F11E57">
        <w:t xml:space="preserve">Del mismo modo </w:t>
      </w:r>
      <w:r w:rsidR="004811BC">
        <w:t>como la</w:t>
      </w:r>
      <w:r w:rsidR="00F11E57">
        <w:t xml:space="preserve"> </w:t>
      </w:r>
      <w:r w:rsidR="00F11E57" w:rsidRPr="00E056AE">
        <w:rPr>
          <w:i/>
          <w:iCs/>
        </w:rPr>
        <w:t xml:space="preserve">de los </w:t>
      </w:r>
      <w:proofErr w:type="spellStart"/>
      <w:r w:rsidR="00057BF4" w:rsidRPr="00E056AE">
        <w:rPr>
          <w:i/>
          <w:iCs/>
        </w:rPr>
        <w:t>bhikkhu</w:t>
      </w:r>
      <w:r w:rsidR="00F11E57" w:rsidRPr="00E056AE">
        <w:rPr>
          <w:i/>
          <w:iCs/>
        </w:rPr>
        <w:t>s</w:t>
      </w:r>
      <w:proofErr w:type="spellEnd"/>
      <w:r w:rsidR="00F11E57">
        <w:t xml:space="preserve">, </w:t>
      </w:r>
      <w:r w:rsidR="00F11E57" w:rsidRPr="00E056AE">
        <w:rPr>
          <w:i/>
          <w:iCs/>
        </w:rPr>
        <w:t>de l</w:t>
      </w:r>
      <w:r w:rsidR="004811BC" w:rsidRPr="00E056AE">
        <w:rPr>
          <w:i/>
          <w:iCs/>
        </w:rPr>
        <w:t>a</w:t>
      </w:r>
      <w:r w:rsidR="00F11E57" w:rsidRPr="00E056AE">
        <w:rPr>
          <w:i/>
          <w:iCs/>
        </w:rPr>
        <w:t xml:space="preserve">s </w:t>
      </w:r>
      <w:proofErr w:type="spellStart"/>
      <w:r w:rsidR="00057BF4" w:rsidRPr="00E056AE">
        <w:rPr>
          <w:i/>
          <w:iCs/>
        </w:rPr>
        <w:t>bhikkhunī</w:t>
      </w:r>
      <w:r w:rsidR="00F11E57" w:rsidRPr="00E056AE">
        <w:rPr>
          <w:i/>
          <w:iCs/>
        </w:rPr>
        <w:t>s</w:t>
      </w:r>
      <w:proofErr w:type="spellEnd"/>
      <w:r w:rsidR="00F11E57">
        <w:t xml:space="preserve">, </w:t>
      </w:r>
      <w:r w:rsidR="00F11E57" w:rsidRPr="00E056AE">
        <w:rPr>
          <w:i/>
          <w:iCs/>
        </w:rPr>
        <w:t>de los no completamente admitidos, de los laicos</w:t>
      </w:r>
      <w:r w:rsidR="00F11E57">
        <w:t>,</w:t>
      </w:r>
    </w:p>
    <w:p w14:paraId="0953809F" w14:textId="662DD081" w:rsidR="00F11E57" w:rsidRDefault="003E79DA" w:rsidP="003E79DA">
      <w:pPr>
        <w:tabs>
          <w:tab w:val="clear" w:pos="425"/>
          <w:tab w:val="right" w:pos="426"/>
          <w:tab w:val="left" w:pos="567"/>
        </w:tabs>
        <w:spacing w:after="40"/>
        <w:ind w:left="567" w:hanging="567"/>
      </w:pPr>
      <w:r>
        <w:tab/>
      </w:r>
      <w:r w:rsidR="00F11E57">
        <w:t xml:space="preserve">16. </w:t>
      </w:r>
      <w:r>
        <w:tab/>
      </w:r>
      <w:r w:rsidR="00F11E57">
        <w:t xml:space="preserve">Como </w:t>
      </w:r>
      <w:r w:rsidR="00F11E57" w:rsidRPr="00E056AE">
        <w:rPr>
          <w:i/>
          <w:iCs/>
        </w:rPr>
        <w:t>natural</w:t>
      </w:r>
      <w:r w:rsidR="00F11E57">
        <w:t xml:space="preserve">, </w:t>
      </w:r>
      <w:r w:rsidR="007722B1" w:rsidRPr="00E056AE">
        <w:rPr>
          <w:i/>
          <w:iCs/>
        </w:rPr>
        <w:t>consuetudinaria</w:t>
      </w:r>
      <w:r w:rsidR="00F11E57">
        <w:t xml:space="preserve">, </w:t>
      </w:r>
      <w:r w:rsidR="00F11E57" w:rsidRPr="00E056AE">
        <w:rPr>
          <w:i/>
          <w:iCs/>
        </w:rPr>
        <w:t>necesari</w:t>
      </w:r>
      <w:r w:rsidR="00D2139D" w:rsidRPr="00E056AE">
        <w:rPr>
          <w:i/>
          <w:iCs/>
        </w:rPr>
        <w:t>a</w:t>
      </w:r>
      <w:r w:rsidR="00F11E57">
        <w:t xml:space="preserve">, </w:t>
      </w:r>
      <w:r w:rsidR="00682F1C">
        <w:t xml:space="preserve">o </w:t>
      </w:r>
      <w:r w:rsidR="00682F1C" w:rsidRPr="00E056AE">
        <w:rPr>
          <w:i/>
          <w:iCs/>
        </w:rPr>
        <w:t>debido a</w:t>
      </w:r>
      <w:r w:rsidR="00F11E57" w:rsidRPr="00E056AE">
        <w:rPr>
          <w:i/>
          <w:iCs/>
        </w:rPr>
        <w:t xml:space="preserve"> causas </w:t>
      </w:r>
      <w:r w:rsidR="00682F1C" w:rsidRPr="00E056AE">
        <w:rPr>
          <w:i/>
          <w:iCs/>
        </w:rPr>
        <w:t>previas</w:t>
      </w:r>
      <w:r w:rsidR="00F11E57">
        <w:t>,</w:t>
      </w:r>
    </w:p>
    <w:p w14:paraId="637A0716" w14:textId="732E5C51" w:rsidR="00F11E57" w:rsidRDefault="003E79DA" w:rsidP="003E79DA">
      <w:pPr>
        <w:tabs>
          <w:tab w:val="clear" w:pos="425"/>
          <w:tab w:val="right" w:pos="426"/>
          <w:tab w:val="left" w:pos="567"/>
        </w:tabs>
        <w:spacing w:after="40"/>
        <w:ind w:left="567" w:hanging="567"/>
      </w:pPr>
      <w:r>
        <w:tab/>
      </w:r>
      <w:r w:rsidR="00F11E57">
        <w:t xml:space="preserve">17. </w:t>
      </w:r>
      <w:r>
        <w:tab/>
      </w:r>
      <w:r w:rsidR="00F11E57">
        <w:t xml:space="preserve">Como virtud de la restricción </w:t>
      </w:r>
      <w:proofErr w:type="spellStart"/>
      <w:r w:rsidR="00F11E57" w:rsidRPr="008D3A8A">
        <w:rPr>
          <w:i/>
          <w:iCs/>
        </w:rPr>
        <w:t>Pātimokkha</w:t>
      </w:r>
      <w:proofErr w:type="spellEnd"/>
      <w:r w:rsidR="00F11E57">
        <w:t xml:space="preserve">, de la restricción de las facultades de los sentidos, de la purificación del sustento </w:t>
      </w:r>
      <w:r w:rsidR="00724FE0">
        <w:t xml:space="preserve">vital </w:t>
      </w:r>
      <w:r w:rsidR="00F11E57">
        <w:t>y de los requisitos relacionados.</w:t>
      </w:r>
    </w:p>
    <w:p w14:paraId="5B6EC117" w14:textId="6797FDF9" w:rsidR="00F11E57" w:rsidRDefault="003E79DA" w:rsidP="003E79DA">
      <w:pPr>
        <w:tabs>
          <w:tab w:val="clear" w:pos="425"/>
          <w:tab w:val="right" w:pos="426"/>
          <w:tab w:val="left" w:pos="567"/>
        </w:tabs>
        <w:spacing w:after="40"/>
        <w:ind w:left="567" w:hanging="567"/>
      </w:pPr>
      <w:r>
        <w:tab/>
      </w:r>
      <w:r w:rsidR="00F11E57">
        <w:t xml:space="preserve">18. </w:t>
      </w:r>
      <w:r>
        <w:tab/>
      </w:r>
      <w:r w:rsidR="00F11E57">
        <w:t xml:space="preserve">Es de cinco clases como </w:t>
      </w:r>
      <w:r w:rsidR="00C54601">
        <w:t xml:space="preserve">una </w:t>
      </w:r>
      <w:r w:rsidR="00F11E57">
        <w:t xml:space="preserve">virtud consistente </w:t>
      </w:r>
      <w:r w:rsidR="008E7B3B">
        <w:t>de una</w:t>
      </w:r>
      <w:r w:rsidR="00F11E57">
        <w:t xml:space="preserve"> purificación limitada, etc.; </w:t>
      </w:r>
      <w:r w:rsidR="008E7B3B">
        <w:t xml:space="preserve">ya que está dicho </w:t>
      </w:r>
      <w:r w:rsidR="00F11E57">
        <w:t xml:space="preserve">en el </w:t>
      </w:r>
      <w:proofErr w:type="spellStart"/>
      <w:r w:rsidR="00F11E57" w:rsidRPr="008D3A8A">
        <w:rPr>
          <w:i/>
          <w:iCs/>
        </w:rPr>
        <w:t>Paṭisambhidā</w:t>
      </w:r>
      <w:proofErr w:type="spellEnd"/>
      <w:r w:rsidR="00F11E57">
        <w:t>: “Cinco tipos de virtud: virtud consiste</w:t>
      </w:r>
      <w:r w:rsidR="008E7B3B">
        <w:t>nte</w:t>
      </w:r>
      <w:r w:rsidR="00F11E57">
        <w:t xml:space="preserve"> </w:t>
      </w:r>
      <w:r w:rsidR="008E7B3B">
        <w:t>de</w:t>
      </w:r>
      <w:r w:rsidR="00F11E57">
        <w:t xml:space="preserve"> una purificación limitada, virtud </w:t>
      </w:r>
      <w:r w:rsidR="008E7B3B">
        <w:t xml:space="preserve">consistente de </w:t>
      </w:r>
      <w:r w:rsidR="00F11E57">
        <w:t xml:space="preserve">una purificación ilimitada, virtud </w:t>
      </w:r>
      <w:r w:rsidR="008E7B3B">
        <w:t xml:space="preserve">consistente de </w:t>
      </w:r>
      <w:r w:rsidR="00F11E57">
        <w:t xml:space="preserve">una purificación </w:t>
      </w:r>
      <w:r w:rsidR="009A419B">
        <w:t>consumada</w:t>
      </w:r>
      <w:r w:rsidR="00F11E57">
        <w:t xml:space="preserve">, virtud </w:t>
      </w:r>
      <w:r w:rsidR="008E7B3B">
        <w:t xml:space="preserve">consistente de </w:t>
      </w:r>
      <w:r w:rsidR="00F11E57">
        <w:t xml:space="preserve">una purificación no adherida, virtud </w:t>
      </w:r>
      <w:r w:rsidR="008E7B3B">
        <w:t>consistente de</w:t>
      </w:r>
      <w:r w:rsidR="00F11E57">
        <w:t xml:space="preserve"> una purificación </w:t>
      </w:r>
      <w:r w:rsidR="00C849A3">
        <w:t>apaciguada</w:t>
      </w:r>
      <w:r w:rsidR="00F11E57">
        <w:t>” (</w:t>
      </w:r>
      <w:proofErr w:type="spellStart"/>
      <w:r w:rsidR="00F11E57" w:rsidRPr="00384040">
        <w:rPr>
          <w:i/>
          <w:iCs/>
        </w:rPr>
        <w:t>Paṭis</w:t>
      </w:r>
      <w:proofErr w:type="spellEnd"/>
      <w:r w:rsidR="00F11E57">
        <w:t xml:space="preserve"> I 42).</w:t>
      </w:r>
    </w:p>
    <w:p w14:paraId="42F270FD" w14:textId="3379D1EA" w:rsidR="00F11E57" w:rsidRDefault="003E79DA" w:rsidP="00D60041">
      <w:pPr>
        <w:tabs>
          <w:tab w:val="clear" w:pos="425"/>
          <w:tab w:val="right" w:pos="426"/>
          <w:tab w:val="left" w:pos="567"/>
        </w:tabs>
        <w:ind w:left="567" w:hanging="567"/>
      </w:pPr>
      <w:r>
        <w:tab/>
      </w:r>
      <w:r w:rsidR="00F11E57">
        <w:t xml:space="preserve">19. </w:t>
      </w:r>
      <w:r>
        <w:tab/>
      </w:r>
      <w:r w:rsidR="0069379D">
        <w:t xml:space="preserve">Del mismo modo, </w:t>
      </w:r>
      <w:r w:rsidR="00F11E57">
        <w:t xml:space="preserve">como abandono, abstención, </w:t>
      </w:r>
      <w:r w:rsidR="00EE5985">
        <w:t>volición</w:t>
      </w:r>
      <w:r w:rsidR="00F11E57">
        <w:t xml:space="preserve">, </w:t>
      </w:r>
      <w:r w:rsidR="00EE5985">
        <w:t>restricción</w:t>
      </w:r>
      <w:r w:rsidR="00F11E57">
        <w:t xml:space="preserve"> y no</w:t>
      </w:r>
      <w:r w:rsidR="001E73E2">
        <w:t>–</w:t>
      </w:r>
      <w:r w:rsidR="00F11E57">
        <w:t>transgresión.</w:t>
      </w:r>
    </w:p>
    <w:p w14:paraId="69E56762" w14:textId="0ED75A35" w:rsidR="00F11E57" w:rsidRDefault="00F11E57" w:rsidP="00F11E57">
      <w:r>
        <w:t xml:space="preserve">26. </w:t>
      </w:r>
      <w:r w:rsidR="00D60041">
        <w:tab/>
      </w:r>
      <w:r w:rsidRPr="008D3A8A">
        <w:rPr>
          <w:i/>
          <w:iCs/>
        </w:rPr>
        <w:t>1.</w:t>
      </w:r>
      <w:r>
        <w:t xml:space="preserve"> Aquí, en el apartado que trata</w:t>
      </w:r>
      <w:r w:rsidR="009A419B">
        <w:t xml:space="preserve"> de la virtud</w:t>
      </w:r>
      <w:r>
        <w:t xml:space="preserve"> de una </w:t>
      </w:r>
      <w:r w:rsidR="009A419B">
        <w:t>sola clase</w:t>
      </w:r>
      <w:r>
        <w:t xml:space="preserve">, debe entenderse </w:t>
      </w:r>
      <w:r w:rsidR="009A419B">
        <w:t xml:space="preserve">en </w:t>
      </w:r>
      <w:r>
        <w:t xml:space="preserve">el sentido </w:t>
      </w:r>
      <w:r w:rsidR="009A419B">
        <w:t>que ha sido mencionado</w:t>
      </w:r>
      <w:r>
        <w:t>.</w:t>
      </w:r>
    </w:p>
    <w:p w14:paraId="121C735F" w14:textId="6F8C8615" w:rsidR="008F4023" w:rsidRDefault="008E7B3B" w:rsidP="00F11E57">
      <w:r>
        <w:rPr>
          <w:i/>
          <w:iCs/>
        </w:rPr>
        <w:tab/>
      </w:r>
      <w:r w:rsidR="00F11E57" w:rsidRPr="008D3A8A">
        <w:rPr>
          <w:i/>
          <w:iCs/>
        </w:rPr>
        <w:t>2.</w:t>
      </w:r>
      <w:r w:rsidR="00F11E57">
        <w:t xml:space="preserve"> En la parte que trata </w:t>
      </w:r>
      <w:r w:rsidR="002A6727">
        <w:t>sobre</w:t>
      </w:r>
      <w:r w:rsidR="00F11E57">
        <w:t xml:space="preserve"> la </w:t>
      </w:r>
      <w:r w:rsidR="00942779">
        <w:t xml:space="preserve">virtud en </w:t>
      </w:r>
      <w:r w:rsidR="00F11E57">
        <w:t>dos clases: cumplir un precepto de formación anunciado por el Bienaventurado así: “Esto debe hacer</w:t>
      </w:r>
      <w:r w:rsidR="001E0148">
        <w:t>se</w:t>
      </w:r>
      <w:r w:rsidR="00F11E57">
        <w:t xml:space="preserve">” es </w:t>
      </w:r>
      <w:r w:rsidR="00D64345">
        <w:rPr>
          <w:i/>
          <w:iCs/>
        </w:rPr>
        <w:t>mantener</w:t>
      </w:r>
      <w:r w:rsidR="00F11E57">
        <w:t>; no hacer lo que est</w:t>
      </w:r>
      <w:r w:rsidR="00033093">
        <w:t>é</w:t>
      </w:r>
      <w:r w:rsidR="00F11E57">
        <w:t xml:space="preserve"> prohibido por él así: "Esto no debe hacerse" es </w:t>
      </w:r>
      <w:r w:rsidR="00552E4B">
        <w:rPr>
          <w:i/>
          <w:iCs/>
        </w:rPr>
        <w:t>eludir</w:t>
      </w:r>
      <w:r w:rsidR="00F11E57">
        <w:t xml:space="preserve">. Aquí, el significado de la palabra es </w:t>
      </w:r>
      <w:r w:rsidR="00552E4B">
        <w:t>é</w:t>
      </w:r>
      <w:r w:rsidR="00F11E57">
        <w:t xml:space="preserve">ste: ellos </w:t>
      </w:r>
      <w:r w:rsidR="00FC15F5">
        <w:t>se mantienen</w:t>
      </w:r>
      <w:r w:rsidR="00F11E57">
        <w:t xml:space="preserve"> (</w:t>
      </w:r>
      <w:proofErr w:type="spellStart"/>
      <w:r w:rsidR="00F11E57" w:rsidRPr="008D3A8A">
        <w:rPr>
          <w:i/>
          <w:iCs/>
        </w:rPr>
        <w:t>caranti</w:t>
      </w:r>
      <w:proofErr w:type="spellEnd"/>
      <w:r w:rsidR="00F11E57">
        <w:t>) dentro de es</w:t>
      </w:r>
      <w:r w:rsidR="00FC15F5">
        <w:t>t</w:t>
      </w:r>
      <w:r w:rsidR="00F11E57">
        <w:t xml:space="preserve">o, ellos proceden como personas que cumplen las virtudes, así </w:t>
      </w:r>
      <w:r w:rsidR="009D1CE4">
        <w:t xml:space="preserve">es </w:t>
      </w:r>
      <w:r w:rsidR="009D1CE4" w:rsidRPr="002C682D">
        <w:rPr>
          <w:i/>
          <w:iCs/>
        </w:rPr>
        <w:t>mantener</w:t>
      </w:r>
      <w:r w:rsidR="009D1CE4">
        <w:t xml:space="preserve"> </w:t>
      </w:r>
      <w:r w:rsidR="00F11E57">
        <w:t>(</w:t>
      </w:r>
      <w:proofErr w:type="spellStart"/>
      <w:r w:rsidR="00F11E57" w:rsidRPr="008D3A8A">
        <w:rPr>
          <w:i/>
          <w:iCs/>
        </w:rPr>
        <w:t>cāritta</w:t>
      </w:r>
      <w:proofErr w:type="spellEnd"/>
      <w:r w:rsidR="00F11E57">
        <w:t xml:space="preserve">); </w:t>
      </w:r>
      <w:r w:rsidR="009D1CE4">
        <w:t xml:space="preserve">ellos </w:t>
      </w:r>
      <w:r w:rsidR="00F11E57">
        <w:t>preservan, protegen, evitan, por lo tanto</w:t>
      </w:r>
      <w:r w:rsidR="002C682D">
        <w:t>,</w:t>
      </w:r>
      <w:r w:rsidR="00F11E57">
        <w:t xml:space="preserve"> </w:t>
      </w:r>
      <w:r w:rsidR="002C682D">
        <w:t>a</w:t>
      </w:r>
      <w:r w:rsidR="009D1CE4">
        <w:t xml:space="preserve">sí es </w:t>
      </w:r>
      <w:r w:rsidR="009D1CE4" w:rsidRPr="002C682D">
        <w:rPr>
          <w:i/>
          <w:iCs/>
        </w:rPr>
        <w:t>eludir</w:t>
      </w:r>
      <w:r w:rsidR="00F11E57">
        <w:t xml:space="preserve">. Aquí, </w:t>
      </w:r>
      <w:r w:rsidR="009D1CE4" w:rsidRPr="002C682D">
        <w:rPr>
          <w:i/>
          <w:iCs/>
        </w:rPr>
        <w:t>mantener</w:t>
      </w:r>
      <w:r w:rsidR="009D1CE4">
        <w:t xml:space="preserve"> </w:t>
      </w:r>
      <w:r w:rsidR="002C682D">
        <w:t>se desarrolla mediante</w:t>
      </w:r>
      <w:r w:rsidR="009D1CE4">
        <w:t xml:space="preserve"> la </w:t>
      </w:r>
      <w:r w:rsidR="00F11E57">
        <w:t xml:space="preserve">fe y </w:t>
      </w:r>
      <w:r w:rsidR="009D1CE4">
        <w:t xml:space="preserve">la </w:t>
      </w:r>
      <w:r w:rsidR="00F11E57">
        <w:t xml:space="preserve">energía; </w:t>
      </w:r>
      <w:r w:rsidR="002C682D" w:rsidRPr="002C682D">
        <w:rPr>
          <w:i/>
          <w:iCs/>
        </w:rPr>
        <w:t>e</w:t>
      </w:r>
      <w:r w:rsidR="009D1CE4" w:rsidRPr="002C682D">
        <w:rPr>
          <w:i/>
          <w:iCs/>
        </w:rPr>
        <w:t>ludir</w:t>
      </w:r>
      <w:r w:rsidR="00F11E57">
        <w:t xml:space="preserve">, </w:t>
      </w:r>
      <w:r w:rsidR="009D1CE4">
        <w:t xml:space="preserve">mediante </w:t>
      </w:r>
      <w:r w:rsidR="00F11E57">
        <w:t xml:space="preserve">la fe y la atención plena. </w:t>
      </w:r>
      <w:r w:rsidR="002C682D">
        <w:t xml:space="preserve">Es así </w:t>
      </w:r>
      <w:r w:rsidR="00F11E57">
        <w:t xml:space="preserve">como </w:t>
      </w:r>
      <w:r w:rsidR="007B4386">
        <w:t xml:space="preserve">la virtud </w:t>
      </w:r>
      <w:r w:rsidR="003E4197">
        <w:t>puede ser</w:t>
      </w:r>
      <w:r w:rsidR="00F11E57">
        <w:t xml:space="preserve"> dos clases</w:t>
      </w:r>
      <w:r w:rsidR="007B4386">
        <w:t>,</w:t>
      </w:r>
      <w:r w:rsidR="00F11E57">
        <w:t xml:space="preserve"> como </w:t>
      </w:r>
      <w:r w:rsidR="002C682D" w:rsidRPr="007B4386">
        <w:rPr>
          <w:i/>
          <w:iCs/>
        </w:rPr>
        <w:t>mantener</w:t>
      </w:r>
      <w:r w:rsidR="00F11E57">
        <w:t xml:space="preserve"> y </w:t>
      </w:r>
      <w:r w:rsidR="002C682D" w:rsidRPr="007B4386">
        <w:rPr>
          <w:i/>
          <w:iCs/>
        </w:rPr>
        <w:t>eludir</w:t>
      </w:r>
      <w:r w:rsidR="00F11E57">
        <w:t>.</w:t>
      </w:r>
    </w:p>
    <w:p w14:paraId="7BBE020B" w14:textId="77777777" w:rsidR="008F4023" w:rsidRDefault="008F4023">
      <w:pPr>
        <w:tabs>
          <w:tab w:val="clear" w:pos="425"/>
        </w:tabs>
      </w:pPr>
      <w:r>
        <w:br w:type="page"/>
      </w:r>
    </w:p>
    <w:p w14:paraId="1EA9B582" w14:textId="22D3DB05" w:rsidR="00541F20" w:rsidRDefault="00541F20" w:rsidP="00541F20">
      <w:r>
        <w:lastRenderedPageBreak/>
        <w:t xml:space="preserve">27. </w:t>
      </w:r>
      <w:r>
        <w:tab/>
      </w:r>
      <w:r w:rsidRPr="008D3A8A">
        <w:rPr>
          <w:i/>
          <w:iCs/>
        </w:rPr>
        <w:t>3.</w:t>
      </w:r>
      <w:r>
        <w:t xml:space="preserve"> En la segunda díada, el buen comportamiento es el mejor tipo de comportamiento. El buen comportamiento en sí mismo </w:t>
      </w:r>
      <w:r w:rsidRPr="001F320F">
        <w:rPr>
          <w:i/>
          <w:iCs/>
        </w:rPr>
        <w:t xml:space="preserve">es </w:t>
      </w:r>
      <w:r w:rsidR="00C8551F">
        <w:rPr>
          <w:i/>
          <w:iCs/>
        </w:rPr>
        <w:t>a</w:t>
      </w:r>
      <w:r w:rsidR="008F3FCE">
        <w:rPr>
          <w:i/>
          <w:iCs/>
        </w:rPr>
        <w:t>que</w:t>
      </w:r>
      <w:r w:rsidRPr="001F320F">
        <w:rPr>
          <w:i/>
          <w:iCs/>
        </w:rPr>
        <w:t>l de buen comportamiento</w:t>
      </w:r>
      <w:r>
        <w:t>; o lo que se anunci</w:t>
      </w:r>
      <w:r w:rsidR="00DB5C84">
        <w:t>e</w:t>
      </w:r>
      <w:r>
        <w:t xml:space="preserve"> en aras del </w:t>
      </w:r>
      <w:r w:rsidR="00DB5C84">
        <w:t xml:space="preserve">buen comportamiento </w:t>
      </w:r>
      <w:r>
        <w:t xml:space="preserve">es </w:t>
      </w:r>
      <w:r w:rsidR="002845AA" w:rsidRPr="002845AA">
        <w:rPr>
          <w:i/>
          <w:iCs/>
        </w:rPr>
        <w:t>aquel</w:t>
      </w:r>
      <w:r w:rsidRPr="002845AA">
        <w:rPr>
          <w:i/>
          <w:iCs/>
        </w:rPr>
        <w:t xml:space="preserve"> de </w:t>
      </w:r>
      <w:r w:rsidR="00DB5C84" w:rsidRPr="001F320F">
        <w:rPr>
          <w:i/>
          <w:iCs/>
        </w:rPr>
        <w:t>buen comportamiento</w:t>
      </w:r>
      <w:r>
        <w:t xml:space="preserve">. Este es un término para la virtud distinta de la que tiene </w:t>
      </w:r>
      <w:r w:rsidR="00D864DE">
        <w:t>a</w:t>
      </w:r>
      <w:r>
        <w:t xml:space="preserve">l sustento como </w:t>
      </w:r>
      <w:r w:rsidR="00356C99">
        <w:t xml:space="preserve">la </w:t>
      </w:r>
      <w:r>
        <w:t>octav</w:t>
      </w:r>
      <w:r w:rsidR="00356C99">
        <w:t>a acción productiva</w:t>
      </w:r>
      <w:r>
        <w:t>.</w:t>
      </w:r>
      <w:r w:rsidR="00E20C59">
        <w:rPr>
          <w:vertAlign w:val="superscript"/>
        </w:rPr>
        <w:t>9</w:t>
      </w:r>
      <w:r>
        <w:t xml:space="preserve"> </w:t>
      </w:r>
      <w:r w:rsidR="001E67A8">
        <w:t>Corresponde a</w:t>
      </w:r>
      <w:r>
        <w:t xml:space="preserve"> la etapa inicial de la vida de pureza </w:t>
      </w:r>
      <w:r w:rsidR="00970E96">
        <w:t>aquel</w:t>
      </w:r>
      <w:r>
        <w:t xml:space="preserve"> consiste</w:t>
      </w:r>
      <w:r w:rsidR="00970E96">
        <w:t>nte</w:t>
      </w:r>
      <w:r>
        <w:t xml:space="preserve"> </w:t>
      </w:r>
      <w:r w:rsidR="001E67A8">
        <w:t>d</w:t>
      </w:r>
      <w:r>
        <w:t xml:space="preserve">el </w:t>
      </w:r>
      <w:r w:rsidR="00CC08E5">
        <w:t>sendero</w:t>
      </w:r>
      <w:r>
        <w:t xml:space="preserve">, por </w:t>
      </w:r>
      <w:r w:rsidR="00970E96">
        <w:t xml:space="preserve">lo </w:t>
      </w:r>
      <w:r w:rsidR="00087848" w:rsidRPr="001F320F">
        <w:t>tanto,</w:t>
      </w:r>
      <w:r w:rsidRPr="001F320F">
        <w:rPr>
          <w:i/>
          <w:iCs/>
        </w:rPr>
        <w:t xml:space="preserve"> </w:t>
      </w:r>
      <w:r w:rsidR="00970E96" w:rsidRPr="00970E96">
        <w:t>ésta</w:t>
      </w:r>
      <w:r w:rsidR="00970E96">
        <w:rPr>
          <w:i/>
          <w:iCs/>
        </w:rPr>
        <w:t xml:space="preserve"> </w:t>
      </w:r>
      <w:r w:rsidRPr="001F320F">
        <w:rPr>
          <w:i/>
          <w:iCs/>
        </w:rPr>
        <w:t xml:space="preserve">es la del comienzo de </w:t>
      </w:r>
      <w:r w:rsidR="00CC08E5">
        <w:rPr>
          <w:i/>
          <w:iCs/>
        </w:rPr>
        <w:t>un</w:t>
      </w:r>
      <w:r w:rsidRPr="001F320F">
        <w:rPr>
          <w:i/>
          <w:iCs/>
        </w:rPr>
        <w:t>a vida de pureza</w:t>
      </w:r>
      <w:r>
        <w:t xml:space="preserve">. </w:t>
      </w:r>
      <w:r w:rsidR="00087848">
        <w:t>É</w:t>
      </w:r>
      <w:r>
        <w:t xml:space="preserve">ste es un término para la virtud que </w:t>
      </w:r>
      <w:r w:rsidR="00970E96">
        <w:t xml:space="preserve">sí </w:t>
      </w:r>
      <w:r>
        <w:t xml:space="preserve">tiene </w:t>
      </w:r>
      <w:r w:rsidR="00087848">
        <w:t>a</w:t>
      </w:r>
      <w:r>
        <w:t>l sustento como octav</w:t>
      </w:r>
      <w:r w:rsidR="00D35966">
        <w:t>a acción productiva</w:t>
      </w:r>
      <w:r>
        <w:t xml:space="preserve">. Es la etapa inicial del </w:t>
      </w:r>
      <w:r w:rsidR="00087848">
        <w:t xml:space="preserve">sendero </w:t>
      </w:r>
      <w:r>
        <w:t>porque en realidad también tiene que ser purificada en la etapa anterior. Por eso se dice: “</w:t>
      </w:r>
      <w:r w:rsidR="00087848">
        <w:t>No obstante,</w:t>
      </w:r>
      <w:r>
        <w:t xml:space="preserve"> su acción corporal, su acción verbal y su sustento ya han sido purificados ante</w:t>
      </w:r>
      <w:r w:rsidR="00087848">
        <w:t>riormente</w:t>
      </w:r>
      <w:r>
        <w:t xml:space="preserve">” (M III 289). O los preceptos formativos llamados “menores y </w:t>
      </w:r>
      <w:r w:rsidR="002F0531">
        <w:t>minúsculos</w:t>
      </w:r>
      <w:r>
        <w:t>” (D II 154) [12] son ​​l</w:t>
      </w:r>
      <w:r w:rsidR="009C44A9">
        <w:t>os</w:t>
      </w:r>
      <w:r>
        <w:t xml:space="preserve"> </w:t>
      </w:r>
      <w:r w:rsidR="00CF40EF" w:rsidRPr="002845AA">
        <w:rPr>
          <w:i/>
          <w:iCs/>
        </w:rPr>
        <w:t>de</w:t>
      </w:r>
      <w:r w:rsidR="004910AE">
        <w:rPr>
          <w:i/>
          <w:iCs/>
        </w:rPr>
        <w:t>l</w:t>
      </w:r>
      <w:r w:rsidR="00CF40EF" w:rsidRPr="002845AA">
        <w:rPr>
          <w:i/>
          <w:iCs/>
        </w:rPr>
        <w:t xml:space="preserve"> </w:t>
      </w:r>
      <w:r w:rsidR="00CF40EF" w:rsidRPr="001F320F">
        <w:rPr>
          <w:i/>
          <w:iCs/>
        </w:rPr>
        <w:t>buen comportamiento</w:t>
      </w:r>
      <w:r>
        <w:t>; los demás son l</w:t>
      </w:r>
      <w:r w:rsidR="004910AE">
        <w:t>os</w:t>
      </w:r>
      <w:r>
        <w:t xml:space="preserve"> </w:t>
      </w:r>
      <w:r w:rsidRPr="00695BA7">
        <w:rPr>
          <w:i/>
          <w:iCs/>
        </w:rPr>
        <w:t xml:space="preserve">del comienzo de </w:t>
      </w:r>
      <w:r w:rsidR="009C44A9">
        <w:rPr>
          <w:i/>
          <w:iCs/>
        </w:rPr>
        <w:t>un</w:t>
      </w:r>
      <w:r w:rsidRPr="00695BA7">
        <w:rPr>
          <w:i/>
          <w:iCs/>
        </w:rPr>
        <w:t>a vida de pureza</w:t>
      </w:r>
      <w:r>
        <w:t xml:space="preserve">. O lo que está incluido en el Código Doble (el </w:t>
      </w:r>
      <w:proofErr w:type="spellStart"/>
      <w:r w:rsidRPr="00695BA7">
        <w:rPr>
          <w:i/>
          <w:iCs/>
        </w:rPr>
        <w:t>Pātimokkha</w:t>
      </w:r>
      <w:proofErr w:type="spellEnd"/>
      <w:r>
        <w:t xml:space="preserve"> de los </w:t>
      </w:r>
      <w:proofErr w:type="spellStart"/>
      <w:r w:rsidR="00057BF4" w:rsidRPr="00057BF4">
        <w:rPr>
          <w:i/>
          <w:iCs/>
        </w:rPr>
        <w:t>bhikkhu</w:t>
      </w:r>
      <w:r w:rsidRPr="00695BA7">
        <w:rPr>
          <w:i/>
          <w:iCs/>
        </w:rPr>
        <w:t>s</w:t>
      </w:r>
      <w:proofErr w:type="spellEnd"/>
      <w:r>
        <w:t xml:space="preserve"> y </w:t>
      </w:r>
      <w:proofErr w:type="spellStart"/>
      <w:r w:rsidR="00057BF4" w:rsidRPr="00057BF4">
        <w:rPr>
          <w:i/>
          <w:iCs/>
        </w:rPr>
        <w:t>bhikkhunī</w:t>
      </w:r>
      <w:r w:rsidRPr="00695BA7">
        <w:rPr>
          <w:i/>
          <w:iCs/>
        </w:rPr>
        <w:t>s</w:t>
      </w:r>
      <w:proofErr w:type="spellEnd"/>
      <w:r>
        <w:t xml:space="preserve">) </w:t>
      </w:r>
      <w:r w:rsidRPr="00695BA7">
        <w:rPr>
          <w:i/>
          <w:iCs/>
        </w:rPr>
        <w:t>es l</w:t>
      </w:r>
      <w:r w:rsidR="009C44A9">
        <w:rPr>
          <w:i/>
          <w:iCs/>
        </w:rPr>
        <w:t>a</w:t>
      </w:r>
      <w:r w:rsidRPr="00695BA7">
        <w:rPr>
          <w:i/>
          <w:iCs/>
        </w:rPr>
        <w:t xml:space="preserve"> del comienzo de </w:t>
      </w:r>
      <w:r w:rsidR="009C44A9">
        <w:rPr>
          <w:i/>
          <w:iCs/>
        </w:rPr>
        <w:t>un</w:t>
      </w:r>
      <w:r w:rsidRPr="00695BA7">
        <w:rPr>
          <w:i/>
          <w:iCs/>
        </w:rPr>
        <w:t>a vida de pureza</w:t>
      </w:r>
      <w:r>
        <w:t xml:space="preserve">; y </w:t>
      </w:r>
      <w:r w:rsidR="00836886">
        <w:t>aquello</w:t>
      </w:r>
      <w:r>
        <w:t xml:space="preserve"> incluido en los deberes establecidos en los </w:t>
      </w:r>
      <w:proofErr w:type="spellStart"/>
      <w:r w:rsidRPr="00D10304">
        <w:rPr>
          <w:i/>
          <w:iCs/>
        </w:rPr>
        <w:t>Khandhakas</w:t>
      </w:r>
      <w:proofErr w:type="spellEnd"/>
      <w:r>
        <w:t xml:space="preserve"> [de</w:t>
      </w:r>
      <w:r w:rsidR="00612E52">
        <w:t>l</w:t>
      </w:r>
      <w:r>
        <w:t xml:space="preserve"> </w:t>
      </w:r>
      <w:proofErr w:type="spellStart"/>
      <w:r w:rsidRPr="00D10304">
        <w:rPr>
          <w:i/>
          <w:iCs/>
        </w:rPr>
        <w:t>Vinaya</w:t>
      </w:r>
      <w:proofErr w:type="spellEnd"/>
      <w:r>
        <w:t xml:space="preserve">] es </w:t>
      </w:r>
      <w:r w:rsidR="004020AC">
        <w:t>e</w:t>
      </w:r>
      <w:r>
        <w:t xml:space="preserve">l </w:t>
      </w:r>
      <w:r w:rsidRPr="00D10304">
        <w:rPr>
          <w:i/>
          <w:iCs/>
        </w:rPr>
        <w:t>de buen comportamiento</w:t>
      </w:r>
      <w:r>
        <w:t xml:space="preserve">. </w:t>
      </w:r>
      <w:r w:rsidR="004020AC">
        <w:t xml:space="preserve">A través de </w:t>
      </w:r>
      <w:r>
        <w:t xml:space="preserve">su perfección viene a perfeccionar </w:t>
      </w:r>
      <w:r w:rsidR="004020AC">
        <w:t xml:space="preserve">a </w:t>
      </w:r>
      <w:r>
        <w:t xml:space="preserve">la </w:t>
      </w:r>
      <w:r w:rsidRPr="003E2AEA">
        <w:rPr>
          <w:i/>
          <w:iCs/>
        </w:rPr>
        <w:t xml:space="preserve">del comienzo de </w:t>
      </w:r>
      <w:r w:rsidR="00612E52">
        <w:rPr>
          <w:i/>
          <w:iCs/>
        </w:rPr>
        <w:t>un</w:t>
      </w:r>
      <w:r w:rsidRPr="003E2AEA">
        <w:rPr>
          <w:i/>
          <w:iCs/>
        </w:rPr>
        <w:t>a vida de pureza</w:t>
      </w:r>
      <w:r>
        <w:t xml:space="preserve">. Por lo tanto, también se dice “que este </w:t>
      </w:r>
      <w:proofErr w:type="spellStart"/>
      <w:r w:rsidR="00057BF4" w:rsidRPr="00057BF4">
        <w:rPr>
          <w:i/>
          <w:iCs/>
        </w:rPr>
        <w:t>bhikkhu</w:t>
      </w:r>
      <w:proofErr w:type="spellEnd"/>
      <w:r>
        <w:t xml:space="preserve"> cumplirá el estado que consiste en el comienzo de </w:t>
      </w:r>
      <w:r w:rsidR="00612E52">
        <w:t>un</w:t>
      </w:r>
      <w:r>
        <w:t>a vida de pureza sin haber alcanzado el estado consiste</w:t>
      </w:r>
      <w:r w:rsidR="00AE738B">
        <w:t>nte</w:t>
      </w:r>
      <w:r>
        <w:t xml:space="preserve"> </w:t>
      </w:r>
      <w:r w:rsidR="00AE738B">
        <w:t>de</w:t>
      </w:r>
      <w:r>
        <w:t xml:space="preserve"> buen comportamiento, eso no es posible” (A III 14-15). Así </w:t>
      </w:r>
      <w:r w:rsidR="00E50A87">
        <w:t xml:space="preserve">es cómo la virtud puede ser </w:t>
      </w:r>
      <w:r>
        <w:t>de dos tipos</w:t>
      </w:r>
      <w:r w:rsidR="00E50A87">
        <w:t>:</w:t>
      </w:r>
      <w:r>
        <w:t xml:space="preserve"> como l</w:t>
      </w:r>
      <w:r w:rsidR="00AE738B">
        <w:t>a</w:t>
      </w:r>
      <w:r>
        <w:t xml:space="preserve"> de buen comportamiento y l</w:t>
      </w:r>
      <w:r w:rsidR="00AE738B">
        <w:t>a</w:t>
      </w:r>
      <w:r>
        <w:t xml:space="preserve"> del comienzo de </w:t>
      </w:r>
      <w:r w:rsidR="00AE738B">
        <w:t>un</w:t>
      </w:r>
      <w:r>
        <w:t>a vida de pureza.</w:t>
      </w:r>
    </w:p>
    <w:p w14:paraId="6FA4ED27" w14:textId="52BE95AC" w:rsidR="00541F20" w:rsidRDefault="00541F20" w:rsidP="00541F20">
      <w:r>
        <w:t xml:space="preserve">28. </w:t>
      </w:r>
      <w:r>
        <w:tab/>
      </w:r>
      <w:r w:rsidRPr="003E2AEA">
        <w:rPr>
          <w:i/>
          <w:iCs/>
        </w:rPr>
        <w:t>4.</w:t>
      </w:r>
      <w:r>
        <w:t xml:space="preserve"> En la tercera díada, la virtud como </w:t>
      </w:r>
      <w:r w:rsidR="00E36F44">
        <w:rPr>
          <w:i/>
          <w:iCs/>
        </w:rPr>
        <w:t>abst</w:t>
      </w:r>
      <w:r w:rsidR="008C665C">
        <w:rPr>
          <w:i/>
          <w:iCs/>
        </w:rPr>
        <w:t>inencia</w:t>
      </w:r>
      <w:r>
        <w:t xml:space="preserve"> </w:t>
      </w:r>
      <w:r w:rsidR="009547B7">
        <w:t>consiste</w:t>
      </w:r>
      <w:r>
        <w:t xml:space="preserve"> simplemente </w:t>
      </w:r>
      <w:r w:rsidR="009547B7">
        <w:t xml:space="preserve">de </w:t>
      </w:r>
      <w:r>
        <w:t>absten</w:t>
      </w:r>
      <w:r w:rsidR="00763A69">
        <w:t>erse</w:t>
      </w:r>
      <w:r>
        <w:t xml:space="preserve"> de matar seres vivos, etc.; l</w:t>
      </w:r>
      <w:r w:rsidR="00F14EA1">
        <w:t>o</w:t>
      </w:r>
      <w:r>
        <w:t>s otr</w:t>
      </w:r>
      <w:r w:rsidR="00F14EA1">
        <w:t>o</w:t>
      </w:r>
      <w:r>
        <w:t xml:space="preserve">s </w:t>
      </w:r>
      <w:r w:rsidR="00F14EA1">
        <w:t xml:space="preserve">tipos </w:t>
      </w:r>
      <w:r>
        <w:t xml:space="preserve">que </w:t>
      </w:r>
      <w:proofErr w:type="gramStart"/>
      <w:r>
        <w:t xml:space="preserve">consisten </w:t>
      </w:r>
      <w:r w:rsidR="00676EB1">
        <w:t>de</w:t>
      </w:r>
      <w:proofErr w:type="gramEnd"/>
      <w:r>
        <w:t xml:space="preserve"> la volición, etc., son la virtud como </w:t>
      </w:r>
      <w:r w:rsidRPr="003E2AEA">
        <w:rPr>
          <w:i/>
          <w:iCs/>
        </w:rPr>
        <w:t>no</w:t>
      </w:r>
      <w:r w:rsidR="00F04504">
        <w:rPr>
          <w:i/>
          <w:iCs/>
        </w:rPr>
        <w:t>-</w:t>
      </w:r>
      <w:r w:rsidRPr="003E2AEA">
        <w:rPr>
          <w:i/>
          <w:iCs/>
        </w:rPr>
        <w:t>abstinencia</w:t>
      </w:r>
      <w:r>
        <w:t xml:space="preserve">. Así </w:t>
      </w:r>
      <w:r w:rsidR="00676EB1">
        <w:t>es cómo la virtud puede ser</w:t>
      </w:r>
      <w:r>
        <w:t xml:space="preserve"> dos clases</w:t>
      </w:r>
      <w:r w:rsidR="00676EB1">
        <w:t>:</w:t>
      </w:r>
      <w:r>
        <w:t xml:space="preserve"> como abstinencia y no</w:t>
      </w:r>
      <w:r w:rsidR="00676EB1">
        <w:t>-</w:t>
      </w:r>
      <w:r>
        <w:t>abstinencia.</w:t>
      </w:r>
    </w:p>
    <w:p w14:paraId="252AE276" w14:textId="050B6FD8" w:rsidR="00541F20" w:rsidRDefault="00541F20" w:rsidP="00541F20">
      <w:r>
        <w:t xml:space="preserve">29. </w:t>
      </w:r>
      <w:r>
        <w:tab/>
      </w:r>
      <w:r w:rsidRPr="003E2AEA">
        <w:rPr>
          <w:i/>
          <w:iCs/>
        </w:rPr>
        <w:t>5.</w:t>
      </w:r>
      <w:r>
        <w:t xml:space="preserve"> En la cuarta díada hay dos tipos de dependencia: la </w:t>
      </w:r>
      <w:r w:rsidRPr="00B8738F">
        <w:rPr>
          <w:i/>
          <w:iCs/>
        </w:rPr>
        <w:t>dependencia</w:t>
      </w:r>
      <w:r>
        <w:t xml:space="preserve"> a través del </w:t>
      </w:r>
      <w:r w:rsidR="00F04504">
        <w:t>deseo</w:t>
      </w:r>
      <w:r>
        <w:t xml:space="preserve"> y la </w:t>
      </w:r>
      <w:r w:rsidRPr="00B8738F">
        <w:rPr>
          <w:i/>
          <w:iCs/>
        </w:rPr>
        <w:t>dependencia</w:t>
      </w:r>
      <w:r>
        <w:t xml:space="preserve"> a través de puntos de vista [</w:t>
      </w:r>
      <w:r w:rsidR="00F04504">
        <w:t>incorrectos</w:t>
      </w:r>
      <w:r>
        <w:t>]. Aquí, lo producido por alguien que dese</w:t>
      </w:r>
      <w:r w:rsidR="00F04504">
        <w:t>e</w:t>
      </w:r>
      <w:r>
        <w:t xml:space="preserve"> un tipo afortunado de </w:t>
      </w:r>
      <w:r w:rsidR="00BC0490">
        <w:t>devenir</w:t>
      </w:r>
      <w:r>
        <w:t xml:space="preserve"> así, “A través de esta conducta virtuosa [rito] me convertiré en una [gran] deidad o alguna [menor] deidad” (M I 102), es </w:t>
      </w:r>
      <w:r w:rsidRPr="00807DDB">
        <w:rPr>
          <w:i/>
          <w:iCs/>
        </w:rPr>
        <w:t>dependiente</w:t>
      </w:r>
      <w:r>
        <w:t xml:space="preserve"> a través del </w:t>
      </w:r>
      <w:r w:rsidR="00BC0490">
        <w:t>deseo</w:t>
      </w:r>
      <w:r>
        <w:t>. Lo que se produ</w:t>
      </w:r>
      <w:r w:rsidR="00807DDB">
        <w:t>zca</w:t>
      </w:r>
      <w:r>
        <w:t xml:space="preserve"> a través de una visión [</w:t>
      </w:r>
      <w:r w:rsidR="00BC0490">
        <w:t>incorrecta</w:t>
      </w:r>
      <w:r>
        <w:t>] acerca de la purificación como "La purificación es a través de una conducta virtuosa" (</w:t>
      </w:r>
      <w:proofErr w:type="spellStart"/>
      <w:r>
        <w:t>Vibh</w:t>
      </w:r>
      <w:proofErr w:type="spellEnd"/>
      <w:r>
        <w:t xml:space="preserve"> 374) </w:t>
      </w:r>
      <w:r w:rsidRPr="00807DDB">
        <w:rPr>
          <w:i/>
          <w:iCs/>
        </w:rPr>
        <w:t>depende</w:t>
      </w:r>
      <w:r>
        <w:t xml:space="preserve"> de una visión [</w:t>
      </w:r>
      <w:r w:rsidR="00807DDB">
        <w:t>incorrecta</w:t>
      </w:r>
      <w:r>
        <w:t xml:space="preserve">]. </w:t>
      </w:r>
      <w:r w:rsidR="00807DDB">
        <w:t>No obstante,</w:t>
      </w:r>
      <w:r>
        <w:t xml:space="preserve"> lo supramundano, y lo mundano que s</w:t>
      </w:r>
      <w:r w:rsidR="00FB329B">
        <w:t>ea</w:t>
      </w:r>
      <w:r>
        <w:t xml:space="preserve"> requisito previo para lo antedicho supramundano, son </w:t>
      </w:r>
      <w:r w:rsidRPr="00654533">
        <w:rPr>
          <w:i/>
          <w:iCs/>
        </w:rPr>
        <w:t>independientes</w:t>
      </w:r>
      <w:r>
        <w:t xml:space="preserve">. </w:t>
      </w:r>
      <w:r w:rsidR="00FB329B">
        <w:t xml:space="preserve">Así es cómo la virtud puede ser dos clases: como </w:t>
      </w:r>
      <w:r w:rsidRPr="00FB329B">
        <w:rPr>
          <w:i/>
          <w:iCs/>
        </w:rPr>
        <w:t>dependiente</w:t>
      </w:r>
      <w:r>
        <w:t xml:space="preserve"> e </w:t>
      </w:r>
      <w:r w:rsidRPr="00FB329B">
        <w:rPr>
          <w:i/>
          <w:iCs/>
        </w:rPr>
        <w:t>independiente</w:t>
      </w:r>
      <w:r>
        <w:t>.</w:t>
      </w:r>
    </w:p>
    <w:p w14:paraId="793E94EB" w14:textId="7112DB47" w:rsidR="00541F20" w:rsidRDefault="00541F20" w:rsidP="00541F20">
      <w:r>
        <w:t xml:space="preserve">30. </w:t>
      </w:r>
      <w:r>
        <w:tab/>
      </w:r>
      <w:r w:rsidRPr="003E2AEA">
        <w:rPr>
          <w:i/>
          <w:iCs/>
        </w:rPr>
        <w:t xml:space="preserve">6. </w:t>
      </w:r>
      <w:r>
        <w:t xml:space="preserve">En la quinta díada la virtud </w:t>
      </w:r>
      <w:r w:rsidRPr="00654533">
        <w:rPr>
          <w:i/>
          <w:iCs/>
        </w:rPr>
        <w:t>temporal</w:t>
      </w:r>
      <w:r>
        <w:t xml:space="preserve"> es la que se emprende después de fijar un límite de tiempo. La virtud </w:t>
      </w:r>
      <w:r w:rsidRPr="006B148D">
        <w:rPr>
          <w:i/>
          <w:iCs/>
        </w:rPr>
        <w:t>vitalicia</w:t>
      </w:r>
      <w:r>
        <w:t xml:space="preserve"> es la que se practi</w:t>
      </w:r>
      <w:r w:rsidR="006B148D">
        <w:t>que</w:t>
      </w:r>
      <w:r>
        <w:t xml:space="preserve"> del mismo </w:t>
      </w:r>
      <w:r w:rsidR="006B148D">
        <w:t>modo,</w:t>
      </w:r>
      <w:r>
        <w:t xml:space="preserve"> pero emprendiéndola </w:t>
      </w:r>
      <w:r w:rsidR="006B148D">
        <w:t>hasta el final de</w:t>
      </w:r>
      <w:r>
        <w:t xml:space="preserve"> la vida. </w:t>
      </w:r>
      <w:r w:rsidR="006B148D">
        <w:t xml:space="preserve">Así es cómo la virtud puede ser dos clases: </w:t>
      </w:r>
      <w:r>
        <w:t>como temporal y de por vida.</w:t>
      </w:r>
    </w:p>
    <w:p w14:paraId="70E3E338" w14:textId="0009ADA8" w:rsidR="00541F20" w:rsidRDefault="00541F20" w:rsidP="00541F20">
      <w:r>
        <w:t xml:space="preserve">31. </w:t>
      </w:r>
      <w:r>
        <w:tab/>
      </w:r>
      <w:r w:rsidRPr="003E2AEA">
        <w:rPr>
          <w:i/>
          <w:iCs/>
        </w:rPr>
        <w:t>7.</w:t>
      </w:r>
      <w:r>
        <w:t xml:space="preserve"> En la sexta díada, </w:t>
      </w:r>
      <w:r w:rsidR="00AB2077">
        <w:t xml:space="preserve">virtud </w:t>
      </w:r>
      <w:r>
        <w:t>l</w:t>
      </w:r>
      <w:r w:rsidR="001D4C83">
        <w:t>a</w:t>
      </w:r>
      <w:r>
        <w:t xml:space="preserve"> </w:t>
      </w:r>
      <w:r w:rsidRPr="00654533">
        <w:rPr>
          <w:i/>
          <w:iCs/>
        </w:rPr>
        <w:t>limitad</w:t>
      </w:r>
      <w:r w:rsidR="001D4C83">
        <w:rPr>
          <w:i/>
          <w:iCs/>
        </w:rPr>
        <w:t>a</w:t>
      </w:r>
      <w:r>
        <w:t xml:space="preserve"> es l</w:t>
      </w:r>
      <w:r w:rsidR="001D4C83">
        <w:t>a</w:t>
      </w:r>
      <w:r>
        <w:t xml:space="preserve"> que se ve</w:t>
      </w:r>
      <w:r w:rsidR="002F3FC8">
        <w:t>a</w:t>
      </w:r>
      <w:r>
        <w:t xml:space="preserve"> limitad</w:t>
      </w:r>
      <w:r w:rsidR="001D4C83">
        <w:t>a</w:t>
      </w:r>
      <w:r>
        <w:t xml:space="preserve"> por la ganancia, la fama, los parientes, los miembros o la vida. Lo contrario </w:t>
      </w:r>
      <w:r w:rsidR="001D4C83">
        <w:t>será</w:t>
      </w:r>
      <w:r>
        <w:t xml:space="preserve"> </w:t>
      </w:r>
      <w:r w:rsidRPr="00654533">
        <w:rPr>
          <w:i/>
          <w:iCs/>
        </w:rPr>
        <w:t>ilimitad</w:t>
      </w:r>
      <w:r w:rsidR="001D4C83">
        <w:rPr>
          <w:i/>
          <w:iCs/>
        </w:rPr>
        <w:t>a</w:t>
      </w:r>
      <w:r>
        <w:t xml:space="preserve">. Y esto se dice en el </w:t>
      </w:r>
      <w:proofErr w:type="spellStart"/>
      <w:r w:rsidRPr="00C01D3D">
        <w:rPr>
          <w:i/>
          <w:iCs/>
        </w:rPr>
        <w:t>Paṭisambhidā</w:t>
      </w:r>
      <w:proofErr w:type="spellEnd"/>
      <w:r>
        <w:t xml:space="preserve">: “¿Cuál es la virtud que tiene un límite? </w:t>
      </w:r>
      <w:r w:rsidR="000213EE">
        <w:t>Existe</w:t>
      </w:r>
      <w:r>
        <w:t xml:space="preserve"> </w:t>
      </w:r>
      <w:r w:rsidR="000213EE">
        <w:t xml:space="preserve">una </w:t>
      </w:r>
      <w:r>
        <w:t xml:space="preserve">virtud que tiene </w:t>
      </w:r>
      <w:r w:rsidR="000213EE">
        <w:t xml:space="preserve">como </w:t>
      </w:r>
      <w:r>
        <w:t xml:space="preserve">límite </w:t>
      </w:r>
      <w:r w:rsidR="000213EE">
        <w:t xml:space="preserve">a </w:t>
      </w:r>
      <w:r>
        <w:t xml:space="preserve">la ganancia, </w:t>
      </w:r>
      <w:r w:rsidR="000213EE">
        <w:t xml:space="preserve">existe una </w:t>
      </w:r>
      <w:r>
        <w:t xml:space="preserve">virtud que tiene </w:t>
      </w:r>
      <w:r w:rsidR="000213EE">
        <w:t xml:space="preserve">como </w:t>
      </w:r>
      <w:r>
        <w:t xml:space="preserve">límite </w:t>
      </w:r>
      <w:r w:rsidR="000213EE">
        <w:t xml:space="preserve">a </w:t>
      </w:r>
      <w:r>
        <w:t xml:space="preserve">la fama, </w:t>
      </w:r>
      <w:r w:rsidR="000363A1">
        <w:t>existe una</w:t>
      </w:r>
      <w:r>
        <w:t xml:space="preserve"> virtud que tiene </w:t>
      </w:r>
      <w:r w:rsidR="000363A1">
        <w:t xml:space="preserve">como </w:t>
      </w:r>
      <w:r>
        <w:t xml:space="preserve">límite a los parientes, </w:t>
      </w:r>
      <w:r w:rsidR="000363A1">
        <w:t xml:space="preserve">existe </w:t>
      </w:r>
      <w:r w:rsidR="00F87B54">
        <w:t xml:space="preserve">una </w:t>
      </w:r>
      <w:r>
        <w:t xml:space="preserve">virtud </w:t>
      </w:r>
      <w:r w:rsidR="000363A1">
        <w:t xml:space="preserve">una </w:t>
      </w:r>
      <w:r>
        <w:t xml:space="preserve">tiene </w:t>
      </w:r>
      <w:r w:rsidR="000363A1">
        <w:t xml:space="preserve">como </w:t>
      </w:r>
      <w:r>
        <w:t xml:space="preserve">límite </w:t>
      </w:r>
      <w:r w:rsidR="000363A1">
        <w:t xml:space="preserve">a </w:t>
      </w:r>
      <w:r>
        <w:t xml:space="preserve">los miembros, </w:t>
      </w:r>
      <w:r w:rsidR="00143F95">
        <w:t>existe una</w:t>
      </w:r>
      <w:r>
        <w:t xml:space="preserve"> virtud que tiene </w:t>
      </w:r>
      <w:r w:rsidR="00143F95">
        <w:t xml:space="preserve">como </w:t>
      </w:r>
      <w:r>
        <w:t xml:space="preserve">límite </w:t>
      </w:r>
      <w:r w:rsidR="00143F95">
        <w:t xml:space="preserve">a </w:t>
      </w:r>
      <w:r>
        <w:t>la vida. ¿Cuál es la virtud que tiene como límite la ganancia? Aquí</w:t>
      </w:r>
      <w:r w:rsidR="00143F95">
        <w:t>,</w:t>
      </w:r>
      <w:r>
        <w:t xml:space="preserve"> alguien con </w:t>
      </w:r>
      <w:r w:rsidR="0017327F">
        <w:t>ganancia como causa, con ganancia como condición, con ganancia como razón, transgrede un precepto de precepto de entrenamiento emprendido: esa virtud tiene como límite a la ganancia”</w:t>
      </w:r>
    </w:p>
    <w:p w14:paraId="7190D241" w14:textId="2A539960" w:rsidR="00541F20" w:rsidRPr="00541F20" w:rsidRDefault="00541F20" w:rsidP="00541F20">
      <w:pPr>
        <w:pStyle w:val="PiedepginaLegal"/>
        <w:rPr>
          <w:u w:val="single"/>
        </w:rPr>
      </w:pPr>
      <w:r w:rsidRPr="00541F20">
        <w:rPr>
          <w:u w:val="single"/>
        </w:rPr>
        <w:t xml:space="preserve">                                                                                                                                                            .</w:t>
      </w:r>
    </w:p>
    <w:p w14:paraId="3BB16B55" w14:textId="512AB133" w:rsidR="001B5816" w:rsidRDefault="00541F20" w:rsidP="0017327F">
      <w:pPr>
        <w:pStyle w:val="PiedepginaLegal"/>
      </w:pPr>
      <w:r>
        <w:t xml:space="preserve">9. </w:t>
      </w:r>
      <w:r>
        <w:tab/>
        <w:t xml:space="preserve">Los tres tipos de </w:t>
      </w:r>
      <w:proofErr w:type="spellStart"/>
      <w:r w:rsidR="00057BF4" w:rsidRPr="00057BF4">
        <w:rPr>
          <w:i/>
          <w:iCs/>
        </w:rPr>
        <w:t>kamma</w:t>
      </w:r>
      <w:proofErr w:type="spellEnd"/>
      <w:r>
        <w:t xml:space="preserve"> o acción corporal </w:t>
      </w:r>
      <w:r w:rsidR="001F2247">
        <w:t>productiva</w:t>
      </w:r>
      <w:r>
        <w:t xml:space="preserve"> (no matar ni robar ni entregarse a conductas sexuales inapropiadas), los cuatro tipos de </w:t>
      </w:r>
      <w:proofErr w:type="spellStart"/>
      <w:r w:rsidR="00057BF4" w:rsidRPr="00057BF4">
        <w:rPr>
          <w:i/>
          <w:iCs/>
        </w:rPr>
        <w:t>kamma</w:t>
      </w:r>
      <w:proofErr w:type="spellEnd"/>
      <w:r>
        <w:t xml:space="preserve"> o acción verbal </w:t>
      </w:r>
      <w:r w:rsidR="001F2247">
        <w:t xml:space="preserve">productiva </w:t>
      </w:r>
      <w:r>
        <w:t>(abstenerse de mentir, hablar maliciosamente, hablar mal y chismear), y el sustento correcto como el octavo.</w:t>
      </w:r>
      <w:r w:rsidR="001B5816">
        <w:br w:type="page"/>
      </w:r>
    </w:p>
    <w:p w14:paraId="43D16DAF" w14:textId="4923DE08" w:rsidR="00292B57" w:rsidRDefault="00292B57" w:rsidP="00292B57">
      <w:r>
        <w:lastRenderedPageBreak/>
        <w:t>(</w:t>
      </w:r>
      <w:proofErr w:type="spellStart"/>
      <w:r w:rsidRPr="00654533">
        <w:rPr>
          <w:i/>
          <w:iCs/>
        </w:rPr>
        <w:t>Paṭis</w:t>
      </w:r>
      <w:proofErr w:type="spellEnd"/>
      <w:r>
        <w:t xml:space="preserve"> I 43), [13] y lo demás debe elaborarse de la misma manera. También </w:t>
      </w:r>
      <w:r w:rsidR="004D4BA0">
        <w:t>respecto a la</w:t>
      </w:r>
      <w:r>
        <w:t xml:space="preserve"> respuesta que trata </w:t>
      </w:r>
      <w:r w:rsidR="004D4BA0">
        <w:t xml:space="preserve">sobre </w:t>
      </w:r>
      <w:r>
        <w:t xml:space="preserve">lo </w:t>
      </w:r>
      <w:r w:rsidRPr="00654533">
        <w:rPr>
          <w:i/>
          <w:iCs/>
        </w:rPr>
        <w:t>ilimitado</w:t>
      </w:r>
      <w:r>
        <w:t xml:space="preserve"> se dice: “¿</w:t>
      </w:r>
      <w:r w:rsidR="004D4BA0">
        <w:t>Cuál</w:t>
      </w:r>
      <w:r>
        <w:t xml:space="preserve"> es la virtud que no tiene </w:t>
      </w:r>
      <w:r w:rsidR="00F719C6">
        <w:t xml:space="preserve">como </w:t>
      </w:r>
      <w:r>
        <w:t xml:space="preserve">límite </w:t>
      </w:r>
      <w:r w:rsidR="00F719C6">
        <w:t xml:space="preserve">a </w:t>
      </w:r>
      <w:r>
        <w:t>la ganancia? Aquí alguien, con la ganancia como causa, con la ganancia como condición, con la ganancia como razón, ni siquiera despierta el pensamiento de transgredir un precepto de entrenamiento emprendido, ¿cómo entonces lo transgredir</w:t>
      </w:r>
      <w:r w:rsidR="002576A8">
        <w:t>ía</w:t>
      </w:r>
      <w:r>
        <w:t xml:space="preserve"> realmente? Esa virtud no tiene </w:t>
      </w:r>
      <w:r w:rsidR="00091AA4">
        <w:t xml:space="preserve">como </w:t>
      </w:r>
      <w:r>
        <w:t xml:space="preserve">límite </w:t>
      </w:r>
      <w:r w:rsidR="00091AA4">
        <w:t xml:space="preserve">a </w:t>
      </w:r>
      <w:r>
        <w:t>la ganancia” (</w:t>
      </w:r>
      <w:proofErr w:type="spellStart"/>
      <w:r w:rsidRPr="00654533">
        <w:rPr>
          <w:i/>
          <w:iCs/>
        </w:rPr>
        <w:t>Paṭis</w:t>
      </w:r>
      <w:proofErr w:type="spellEnd"/>
      <w:r>
        <w:t xml:space="preserve"> I 44), y lo demás debe elaborarse de la misma manera. </w:t>
      </w:r>
      <w:r w:rsidR="00091AA4">
        <w:t xml:space="preserve">Así es cómo la virtud puede ser dos clases: </w:t>
      </w:r>
      <w:r>
        <w:t xml:space="preserve">como </w:t>
      </w:r>
      <w:r w:rsidRPr="00091AA4">
        <w:rPr>
          <w:i/>
          <w:iCs/>
        </w:rPr>
        <w:t>limitad</w:t>
      </w:r>
      <w:r w:rsidR="002576A8">
        <w:rPr>
          <w:i/>
          <w:iCs/>
        </w:rPr>
        <w:t>a</w:t>
      </w:r>
      <w:r>
        <w:t xml:space="preserve"> e </w:t>
      </w:r>
      <w:r w:rsidRPr="00091AA4">
        <w:rPr>
          <w:i/>
          <w:iCs/>
        </w:rPr>
        <w:t>ilimitad</w:t>
      </w:r>
      <w:r w:rsidR="002576A8">
        <w:rPr>
          <w:i/>
          <w:iCs/>
        </w:rPr>
        <w:t>a</w:t>
      </w:r>
      <w:r>
        <w:t>.</w:t>
      </w:r>
    </w:p>
    <w:p w14:paraId="5469A957" w14:textId="478A0C34" w:rsidR="00292B57" w:rsidRDefault="00292B57" w:rsidP="00292B57">
      <w:r>
        <w:t xml:space="preserve">32. </w:t>
      </w:r>
      <w:r>
        <w:tab/>
      </w:r>
      <w:r w:rsidRPr="00654533">
        <w:rPr>
          <w:i/>
          <w:iCs/>
        </w:rPr>
        <w:t>8.</w:t>
      </w:r>
      <w:r>
        <w:t xml:space="preserve"> En la séptima díada toda virtud </w:t>
      </w:r>
      <w:r w:rsidR="008A3213">
        <w:t xml:space="preserve">que esté </w:t>
      </w:r>
      <w:r>
        <w:t xml:space="preserve">sujeta a </w:t>
      </w:r>
      <w:r w:rsidR="008A3213">
        <w:t xml:space="preserve">corrupciones </w:t>
      </w:r>
      <w:r w:rsidR="00A84E59">
        <w:t xml:space="preserve">será </w:t>
      </w:r>
      <w:r w:rsidRPr="000202FD">
        <w:rPr>
          <w:i/>
          <w:iCs/>
        </w:rPr>
        <w:t>mundana</w:t>
      </w:r>
      <w:r>
        <w:t xml:space="preserve">; </w:t>
      </w:r>
      <w:r w:rsidR="00AB78D4">
        <w:t xml:space="preserve">la </w:t>
      </w:r>
      <w:r>
        <w:t>que no est</w:t>
      </w:r>
      <w:r w:rsidR="00AB78D4">
        <w:t>é</w:t>
      </w:r>
      <w:r>
        <w:t xml:space="preserve"> sujet</w:t>
      </w:r>
      <w:r w:rsidR="00AB78D4">
        <w:t>a</w:t>
      </w:r>
      <w:r>
        <w:t xml:space="preserve"> a </w:t>
      </w:r>
      <w:r w:rsidR="00AB78D4">
        <w:t xml:space="preserve">ninguna </w:t>
      </w:r>
      <w:r w:rsidR="008A3213">
        <w:t xml:space="preserve">corrupción </w:t>
      </w:r>
      <w:r w:rsidR="00AB78D4">
        <w:t>será</w:t>
      </w:r>
      <w:r>
        <w:t xml:space="preserve"> </w:t>
      </w:r>
      <w:r w:rsidRPr="00654533">
        <w:rPr>
          <w:i/>
          <w:iCs/>
        </w:rPr>
        <w:t>supramundan</w:t>
      </w:r>
      <w:r w:rsidR="008A3213">
        <w:rPr>
          <w:i/>
          <w:iCs/>
        </w:rPr>
        <w:t>a</w:t>
      </w:r>
      <w:r>
        <w:t xml:space="preserve">. Aquí, lo </w:t>
      </w:r>
      <w:r w:rsidRPr="00654533">
        <w:rPr>
          <w:i/>
          <w:iCs/>
        </w:rPr>
        <w:t>mundano</w:t>
      </w:r>
      <w:r>
        <w:t xml:space="preserve"> produc</w:t>
      </w:r>
      <w:r w:rsidR="00BE3B5F">
        <w:t>irá</w:t>
      </w:r>
      <w:r>
        <w:t xml:space="preserve"> una mejora en el devenir futuro y </w:t>
      </w:r>
      <w:r w:rsidR="00F10A3B">
        <w:t>será</w:t>
      </w:r>
      <w:r w:rsidR="00BE3B5F">
        <w:t xml:space="preserve"> </w:t>
      </w:r>
      <w:r>
        <w:t xml:space="preserve">un requisito previo para escapar del devenir, </w:t>
      </w:r>
      <w:r w:rsidR="00F10A3B">
        <w:t xml:space="preserve">tal </w:t>
      </w:r>
      <w:r w:rsidR="00763B20">
        <w:t>como</w:t>
      </w:r>
      <w:r w:rsidR="00F10A3B">
        <w:t xml:space="preserve"> se dice al respecto</w:t>
      </w:r>
      <w:r>
        <w:t xml:space="preserve">: “La disciplina tiene </w:t>
      </w:r>
      <w:r w:rsidR="00B30C53">
        <w:t>como</w:t>
      </w:r>
      <w:r>
        <w:t xml:space="preserve"> propósito restringir, la restricción tiene </w:t>
      </w:r>
      <w:r w:rsidR="00440168">
        <w:t xml:space="preserve">como </w:t>
      </w:r>
      <w:r>
        <w:t>propósito e</w:t>
      </w:r>
      <w:r w:rsidR="000202FD">
        <w:t>l</w:t>
      </w:r>
      <w:r>
        <w:t xml:space="preserve"> no</w:t>
      </w:r>
      <w:r w:rsidR="00763B20">
        <w:t>-remordimiento</w:t>
      </w:r>
      <w:r>
        <w:t xml:space="preserve">, el </w:t>
      </w:r>
      <w:r w:rsidR="00142828">
        <w:t>no-remordimiento sirve</w:t>
      </w:r>
      <w:r>
        <w:t xml:space="preserve"> para </w:t>
      </w:r>
      <w:r w:rsidR="00142828">
        <w:t>disfrut</w:t>
      </w:r>
      <w:r w:rsidR="00B07055">
        <w:t>ar</w:t>
      </w:r>
      <w:r w:rsidR="00142828">
        <w:t xml:space="preserve"> de </w:t>
      </w:r>
      <w:r>
        <w:t>l</w:t>
      </w:r>
      <w:r w:rsidR="00142828">
        <w:t>a</w:t>
      </w:r>
      <w:r>
        <w:t xml:space="preserve"> alegría</w:t>
      </w:r>
      <w:r w:rsidR="00B07055">
        <w:t xml:space="preserve">, la alegría sirve </w:t>
      </w:r>
      <w:r>
        <w:t xml:space="preserve">para </w:t>
      </w:r>
      <w:r w:rsidR="00B07055">
        <w:t xml:space="preserve">disfrutar de </w:t>
      </w:r>
      <w:r>
        <w:t>la felicidad</w:t>
      </w:r>
      <w:r w:rsidR="00440168">
        <w:t>;</w:t>
      </w:r>
      <w:r>
        <w:t xml:space="preserve"> la felicidad</w:t>
      </w:r>
      <w:r w:rsidR="00440168">
        <w:t xml:space="preserve">, de </w:t>
      </w:r>
      <w:r>
        <w:t>la tranquilidad</w:t>
      </w:r>
      <w:r w:rsidR="00440168">
        <w:t>;</w:t>
      </w:r>
      <w:r>
        <w:t xml:space="preserve"> la tranquilidad</w:t>
      </w:r>
      <w:r w:rsidR="00440168">
        <w:t>,</w:t>
      </w:r>
      <w:r>
        <w:t xml:space="preserve"> </w:t>
      </w:r>
      <w:r w:rsidR="00440168">
        <w:t xml:space="preserve">de la </w:t>
      </w:r>
      <w:r>
        <w:t>dicha</w:t>
      </w:r>
      <w:r w:rsidR="00440168">
        <w:t>;</w:t>
      </w:r>
      <w:r>
        <w:t xml:space="preserve"> la dicha</w:t>
      </w:r>
      <w:r w:rsidR="00440168">
        <w:t>,</w:t>
      </w:r>
      <w:r>
        <w:t xml:space="preserve"> </w:t>
      </w:r>
      <w:r w:rsidR="00440168">
        <w:t xml:space="preserve">de </w:t>
      </w:r>
      <w:r>
        <w:t>la concentración</w:t>
      </w:r>
      <w:r w:rsidR="00440168">
        <w:t>;</w:t>
      </w:r>
      <w:r>
        <w:t xml:space="preserve"> la concentración</w:t>
      </w:r>
      <w:r w:rsidR="00A20944">
        <w:t>, d</w:t>
      </w:r>
      <w:r>
        <w:t xml:space="preserve">el </w:t>
      </w:r>
      <w:r w:rsidR="002C3AA3">
        <w:t>entendimiento</w:t>
      </w:r>
      <w:r>
        <w:t xml:space="preserve"> y la</w:t>
      </w:r>
      <w:r w:rsidR="002C3AA3">
        <w:t>s</w:t>
      </w:r>
      <w:r>
        <w:t xml:space="preserve"> visi</w:t>
      </w:r>
      <w:r w:rsidR="002C3AA3">
        <w:t>o</w:t>
      </w:r>
      <w:r>
        <w:t>n</w:t>
      </w:r>
      <w:r w:rsidR="002C3AA3">
        <w:t>es</w:t>
      </w:r>
      <w:r>
        <w:t xml:space="preserve"> correct</w:t>
      </w:r>
      <w:r w:rsidR="002C3AA3">
        <w:t>a</w:t>
      </w:r>
      <w:r>
        <w:t>s</w:t>
      </w:r>
      <w:r w:rsidR="00A20944">
        <w:t>;</w:t>
      </w:r>
      <w:r>
        <w:t xml:space="preserve"> el </w:t>
      </w:r>
      <w:r w:rsidR="002C3AA3">
        <w:t xml:space="preserve">entendimiento </w:t>
      </w:r>
      <w:r>
        <w:t xml:space="preserve">correcto y </w:t>
      </w:r>
      <w:r w:rsidR="002C3AA3">
        <w:t>las visiones correctas</w:t>
      </w:r>
      <w:r>
        <w:t xml:space="preserve"> tiene </w:t>
      </w:r>
      <w:r w:rsidR="002C3AA3">
        <w:t>como</w:t>
      </w:r>
      <w:r>
        <w:t xml:space="preserve"> propósito </w:t>
      </w:r>
      <w:r w:rsidR="00A20944">
        <w:t xml:space="preserve">al </w:t>
      </w:r>
      <w:r w:rsidR="002C3AA3">
        <w:t>desapasionamiento</w:t>
      </w:r>
      <w:r>
        <w:t xml:space="preserve">, el desapasionamiento tiene </w:t>
      </w:r>
      <w:r w:rsidR="002C3AA3">
        <w:t>como</w:t>
      </w:r>
      <w:r>
        <w:t xml:space="preserve"> propósito </w:t>
      </w:r>
      <w:r w:rsidR="00FB1D84">
        <w:t>el desvanecimiento</w:t>
      </w:r>
      <w:r w:rsidR="00C23AF5">
        <w:t xml:space="preserve"> </w:t>
      </w:r>
      <w:r>
        <w:t xml:space="preserve">[de la codicia], </w:t>
      </w:r>
      <w:r w:rsidR="00C23AF5">
        <w:t xml:space="preserve">la desaparición </w:t>
      </w:r>
      <w:r>
        <w:t xml:space="preserve">tiene </w:t>
      </w:r>
      <w:r w:rsidR="00C23AF5">
        <w:t xml:space="preserve">como </w:t>
      </w:r>
      <w:r>
        <w:t xml:space="preserve">propósito </w:t>
      </w:r>
      <w:r w:rsidR="00FE7676">
        <w:t>la</w:t>
      </w:r>
      <w:r>
        <w:t xml:space="preserve"> liberación, la liberación tiene </w:t>
      </w:r>
      <w:r w:rsidR="00C23AF5">
        <w:t>como</w:t>
      </w:r>
      <w:r>
        <w:t xml:space="preserve"> propósito </w:t>
      </w:r>
      <w:r w:rsidR="004059A1">
        <w:t xml:space="preserve">el </w:t>
      </w:r>
      <w:r>
        <w:t xml:space="preserve">conocimiento y la visión de </w:t>
      </w:r>
      <w:r w:rsidR="00151F54">
        <w:t xml:space="preserve">la </w:t>
      </w:r>
      <w:r>
        <w:t xml:space="preserve">liberación, el conocimiento y la visión de </w:t>
      </w:r>
      <w:r w:rsidR="00151F54">
        <w:t xml:space="preserve">la </w:t>
      </w:r>
      <w:r>
        <w:t xml:space="preserve">liberación </w:t>
      </w:r>
      <w:r w:rsidR="004059A1">
        <w:t xml:space="preserve">tiene como </w:t>
      </w:r>
      <w:r>
        <w:t xml:space="preserve">propósito la extinción completa [del </w:t>
      </w:r>
      <w:r w:rsidR="004059A1">
        <w:t>dese</w:t>
      </w:r>
      <w:r w:rsidR="0050417A">
        <w:t>o</w:t>
      </w:r>
      <w:r>
        <w:t>, etc.] a través del no</w:t>
      </w:r>
      <w:r w:rsidR="00E14754">
        <w:t>–</w:t>
      </w:r>
      <w:r>
        <w:t xml:space="preserve">apego. </w:t>
      </w:r>
      <w:r w:rsidR="004059A1">
        <w:t xml:space="preserve">La </w:t>
      </w:r>
      <w:r w:rsidR="00E14754">
        <w:t>exposición</w:t>
      </w:r>
      <w:r>
        <w:t xml:space="preserve"> </w:t>
      </w:r>
      <w:r w:rsidR="00E14754">
        <w:t xml:space="preserve">posee </w:t>
      </w:r>
      <w:r>
        <w:t xml:space="preserve">ese fin, el consejo tiene ese fin, el </w:t>
      </w:r>
      <w:r w:rsidR="0050417A">
        <w:t xml:space="preserve">soporte </w:t>
      </w:r>
      <w:r>
        <w:t xml:space="preserve">tiene ese fin, escuchar </w:t>
      </w:r>
      <w:r w:rsidR="0050417A">
        <w:t xml:space="preserve">al respecto </w:t>
      </w:r>
      <w:r>
        <w:t>tiene ese fin, es decir, la liberación de la mente a través del desapego” (</w:t>
      </w:r>
      <w:proofErr w:type="spellStart"/>
      <w:r>
        <w:t>Vin</w:t>
      </w:r>
      <w:proofErr w:type="spellEnd"/>
      <w:r>
        <w:t xml:space="preserve"> V 164). Lo </w:t>
      </w:r>
      <w:r w:rsidRPr="00654533">
        <w:rPr>
          <w:i/>
          <w:iCs/>
        </w:rPr>
        <w:t>supramundano</w:t>
      </w:r>
      <w:r>
        <w:t xml:space="preserve"> </w:t>
      </w:r>
      <w:r w:rsidR="007653C0">
        <w:t xml:space="preserve">conlleva </w:t>
      </w:r>
      <w:r>
        <w:t xml:space="preserve">el escape del devenir y es el plano de </w:t>
      </w:r>
      <w:r w:rsidR="00D5456B">
        <w:t xml:space="preserve">la examinación </w:t>
      </w:r>
      <w:r>
        <w:t xml:space="preserve">del conocimiento. </w:t>
      </w:r>
      <w:r w:rsidR="007653C0">
        <w:t xml:space="preserve">Así es cómo la virtud puede ser dos clases: </w:t>
      </w:r>
      <w:r>
        <w:t xml:space="preserve"> como </w:t>
      </w:r>
      <w:r w:rsidRPr="007653C0">
        <w:rPr>
          <w:i/>
          <w:iCs/>
        </w:rPr>
        <w:t>mundan</w:t>
      </w:r>
      <w:r w:rsidR="00151F54">
        <w:rPr>
          <w:i/>
          <w:iCs/>
        </w:rPr>
        <w:t>a</w:t>
      </w:r>
      <w:r>
        <w:t xml:space="preserve"> y </w:t>
      </w:r>
      <w:r w:rsidRPr="007653C0">
        <w:rPr>
          <w:i/>
          <w:iCs/>
        </w:rPr>
        <w:t>supramundan</w:t>
      </w:r>
      <w:r w:rsidR="00151F54">
        <w:rPr>
          <w:i/>
          <w:iCs/>
        </w:rPr>
        <w:t>a</w:t>
      </w:r>
      <w:r>
        <w:t>.</w:t>
      </w:r>
    </w:p>
    <w:p w14:paraId="7492557B" w14:textId="3404341B" w:rsidR="00292B57" w:rsidRDefault="00292B57" w:rsidP="00292B57">
      <w:r>
        <w:t xml:space="preserve">33. </w:t>
      </w:r>
      <w:r>
        <w:tab/>
      </w:r>
      <w:r w:rsidRPr="00654533">
        <w:rPr>
          <w:i/>
          <w:iCs/>
        </w:rPr>
        <w:t>9.</w:t>
      </w:r>
      <w:r>
        <w:t xml:space="preserve"> En la primera de las tríadas, l</w:t>
      </w:r>
      <w:r w:rsidR="005A43B0">
        <w:t>a</w:t>
      </w:r>
      <w:r>
        <w:t xml:space="preserve"> </w:t>
      </w:r>
      <w:r w:rsidR="005A43B0">
        <w:t xml:space="preserve">virtud </w:t>
      </w:r>
      <w:r w:rsidRPr="005A43B0">
        <w:rPr>
          <w:i/>
          <w:iCs/>
        </w:rPr>
        <w:t>inferior</w:t>
      </w:r>
      <w:r>
        <w:t xml:space="preserve"> es producid</w:t>
      </w:r>
      <w:r w:rsidR="00777BD2">
        <w:t>a</w:t>
      </w:r>
      <w:r>
        <w:t xml:space="preserve"> </w:t>
      </w:r>
      <w:r w:rsidR="00777BD2">
        <w:t xml:space="preserve">mediante </w:t>
      </w:r>
      <w:r>
        <w:t xml:space="preserve">un celo inferior, [pureza de] </w:t>
      </w:r>
      <w:r w:rsidR="00305E12">
        <w:t>consciencia</w:t>
      </w:r>
      <w:r>
        <w:t xml:space="preserve">, energía o </w:t>
      </w:r>
      <w:r w:rsidR="005C3EA8">
        <w:t>investiga</w:t>
      </w:r>
      <w:r>
        <w:t>ción</w:t>
      </w:r>
      <w:r w:rsidR="00F23DB8">
        <w:t>, todos</w:t>
      </w:r>
      <w:r w:rsidR="006C78E6">
        <w:t xml:space="preserve"> inferiores</w:t>
      </w:r>
      <w:r>
        <w:t xml:space="preserve">; </w:t>
      </w:r>
      <w:r w:rsidR="00CC2461">
        <w:t xml:space="preserve">la </w:t>
      </w:r>
      <w:r w:rsidR="00CC2461" w:rsidRPr="00CC2461">
        <w:rPr>
          <w:i/>
          <w:iCs/>
        </w:rPr>
        <w:t>intermedia</w:t>
      </w:r>
      <w:r>
        <w:t xml:space="preserve"> es producid</w:t>
      </w:r>
      <w:r w:rsidR="00CC2461">
        <w:t>a</w:t>
      </w:r>
      <w:r>
        <w:t xml:space="preserve"> por </w:t>
      </w:r>
      <w:r w:rsidR="006C78E6">
        <w:t>un</w:t>
      </w:r>
      <w:r>
        <w:t xml:space="preserve"> celo </w:t>
      </w:r>
      <w:r w:rsidR="00CC2461">
        <w:t>intermedio</w:t>
      </w:r>
      <w:r>
        <w:t>, etc.; l</w:t>
      </w:r>
      <w:r w:rsidR="00CC2461">
        <w:t>a</w:t>
      </w:r>
      <w:r>
        <w:t xml:space="preserve"> </w:t>
      </w:r>
      <w:r w:rsidRPr="00654533">
        <w:rPr>
          <w:i/>
          <w:iCs/>
        </w:rPr>
        <w:t>superior</w:t>
      </w:r>
      <w:r>
        <w:t xml:space="preserve">, por </w:t>
      </w:r>
      <w:r w:rsidR="00CC2461">
        <w:t xml:space="preserve">un celo </w:t>
      </w:r>
      <w:r>
        <w:t>superior (</w:t>
      </w:r>
      <w:r w:rsidR="00305E12">
        <w:t>consciencia</w:t>
      </w:r>
      <w:r>
        <w:t xml:space="preserve">, etc.). La emprendida </w:t>
      </w:r>
      <w:r w:rsidR="00482601">
        <w:t xml:space="preserve">mediante un </w:t>
      </w:r>
      <w:r>
        <w:t xml:space="preserve">deseo </w:t>
      </w:r>
      <w:r w:rsidR="00482601">
        <w:t xml:space="preserve">por </w:t>
      </w:r>
      <w:r>
        <w:t xml:space="preserve">fama es </w:t>
      </w:r>
      <w:r w:rsidRPr="00654533">
        <w:rPr>
          <w:i/>
          <w:iCs/>
        </w:rPr>
        <w:t>inferior</w:t>
      </w:r>
      <w:r>
        <w:t xml:space="preserve">; la emprendida por </w:t>
      </w:r>
      <w:r w:rsidR="00482601">
        <w:t xml:space="preserve">un </w:t>
      </w:r>
      <w:r>
        <w:t xml:space="preserve">deseo </w:t>
      </w:r>
      <w:r w:rsidR="00897B58">
        <w:t xml:space="preserve">hacia </w:t>
      </w:r>
      <w:r>
        <w:t xml:space="preserve">los frutos del mérito es </w:t>
      </w:r>
      <w:r w:rsidR="00897B58">
        <w:rPr>
          <w:i/>
          <w:iCs/>
        </w:rPr>
        <w:t>inter</w:t>
      </w:r>
      <w:r w:rsidRPr="00654533">
        <w:rPr>
          <w:i/>
          <w:iCs/>
        </w:rPr>
        <w:t>media</w:t>
      </w:r>
      <w:r>
        <w:t>; l</w:t>
      </w:r>
      <w:r w:rsidR="00897B58">
        <w:t>a</w:t>
      </w:r>
      <w:r>
        <w:t xml:space="preserve"> que se emprende por el bien de</w:t>
      </w:r>
      <w:r w:rsidR="00791856">
        <w:t xml:space="preserve"> un</w:t>
      </w:r>
      <w:r>
        <w:t xml:space="preserve"> estado noble, por lo tanto, </w:t>
      </w:r>
      <w:r w:rsidR="00817649">
        <w:t xml:space="preserve">por </w:t>
      </w:r>
      <w:r>
        <w:t>"</w:t>
      </w:r>
      <w:r w:rsidR="00817649">
        <w:t xml:space="preserve">Aquello que </w:t>
      </w:r>
      <w:r>
        <w:t xml:space="preserve">tiene que hacerse" es </w:t>
      </w:r>
      <w:r w:rsidRPr="00E70866">
        <w:rPr>
          <w:i/>
          <w:iCs/>
        </w:rPr>
        <w:t>superior</w:t>
      </w:r>
      <w:r>
        <w:t xml:space="preserve">. O también, </w:t>
      </w:r>
      <w:r w:rsidR="004F0328">
        <w:t>aquella</w:t>
      </w:r>
      <w:r>
        <w:t xml:space="preserve"> contaminad</w:t>
      </w:r>
      <w:r w:rsidR="004F0328">
        <w:t>a</w:t>
      </w:r>
      <w:r>
        <w:t xml:space="preserve"> por </w:t>
      </w:r>
      <w:r w:rsidR="002C7F01">
        <w:t xml:space="preserve">el auto enaltecimiento </w:t>
      </w:r>
      <w:r>
        <w:t xml:space="preserve">y el desprecio </w:t>
      </w:r>
      <w:r w:rsidR="002C7F01">
        <w:t xml:space="preserve">hacia </w:t>
      </w:r>
      <w:r>
        <w:t xml:space="preserve">los demás, etc., así, “Yo poseo virtud, pero estos otros </w:t>
      </w:r>
      <w:proofErr w:type="spellStart"/>
      <w:r w:rsidR="00057BF4" w:rsidRPr="00057BF4">
        <w:rPr>
          <w:i/>
          <w:iCs/>
        </w:rPr>
        <w:t>bhikkhu</w:t>
      </w:r>
      <w:r w:rsidRPr="00654533">
        <w:rPr>
          <w:i/>
          <w:iCs/>
        </w:rPr>
        <w:t>s</w:t>
      </w:r>
      <w:proofErr w:type="spellEnd"/>
      <w:r>
        <w:t xml:space="preserve"> son de mala conducta y de naturaleza perversa” (M I 193), </w:t>
      </w:r>
      <w:r w:rsidR="002C7F01">
        <w:t xml:space="preserve">ésa </w:t>
      </w:r>
      <w:r>
        <w:t xml:space="preserve">es </w:t>
      </w:r>
      <w:r w:rsidRPr="00E70866">
        <w:rPr>
          <w:i/>
          <w:iCs/>
        </w:rPr>
        <w:t>inferior</w:t>
      </w:r>
      <w:r>
        <w:t xml:space="preserve">; la virtud mundana inmaculada es </w:t>
      </w:r>
      <w:r w:rsidR="00BB3E92" w:rsidRPr="00BB3E92">
        <w:rPr>
          <w:i/>
          <w:iCs/>
        </w:rPr>
        <w:t>interm</w:t>
      </w:r>
      <w:r w:rsidRPr="00BB3E92">
        <w:rPr>
          <w:i/>
          <w:iCs/>
        </w:rPr>
        <w:t>edi</w:t>
      </w:r>
      <w:r w:rsidR="00BB3E92" w:rsidRPr="00BB3E92">
        <w:rPr>
          <w:i/>
          <w:iCs/>
        </w:rPr>
        <w:t>a</w:t>
      </w:r>
      <w:r>
        <w:t>; l</w:t>
      </w:r>
      <w:r w:rsidR="00791856">
        <w:t>a</w:t>
      </w:r>
      <w:r>
        <w:t xml:space="preserve"> </w:t>
      </w:r>
      <w:r w:rsidRPr="00791856">
        <w:rPr>
          <w:i/>
          <w:iCs/>
        </w:rPr>
        <w:t>supramundan</w:t>
      </w:r>
      <w:r w:rsidR="00BB3E92" w:rsidRPr="00791856">
        <w:rPr>
          <w:i/>
          <w:iCs/>
        </w:rPr>
        <w:t>a</w:t>
      </w:r>
      <w:r>
        <w:t xml:space="preserve"> es superior. O también, l</w:t>
      </w:r>
      <w:r w:rsidR="00236525">
        <w:t>a</w:t>
      </w:r>
      <w:r>
        <w:t xml:space="preserve"> que est</w:t>
      </w:r>
      <w:r w:rsidR="00236525">
        <w:t>é</w:t>
      </w:r>
      <w:r>
        <w:t xml:space="preserve"> motivad</w:t>
      </w:r>
      <w:r w:rsidR="00257085">
        <w:t>a</w:t>
      </w:r>
      <w:r>
        <w:t xml:space="preserve"> por el </w:t>
      </w:r>
      <w:r w:rsidR="00236525">
        <w:t>deseo</w:t>
      </w:r>
      <w:r>
        <w:t xml:space="preserve">, cuyo propósito es disfrutar de una existencia continua, es </w:t>
      </w:r>
      <w:r w:rsidRPr="00B34A1E">
        <w:rPr>
          <w:i/>
          <w:iCs/>
        </w:rPr>
        <w:t>inferior</w:t>
      </w:r>
      <w:r>
        <w:t xml:space="preserve">; la practicada con el propósito de la propia liberación es </w:t>
      </w:r>
      <w:r w:rsidR="00236525" w:rsidRPr="00236525">
        <w:rPr>
          <w:i/>
          <w:iCs/>
        </w:rPr>
        <w:t>inter</w:t>
      </w:r>
      <w:r w:rsidRPr="00236525">
        <w:rPr>
          <w:i/>
          <w:iCs/>
        </w:rPr>
        <w:t>media</w:t>
      </w:r>
      <w:r>
        <w:t xml:space="preserve">; la virtud de las perfecciones practicadas para la liberación de todos los seres es </w:t>
      </w:r>
      <w:r w:rsidRPr="003904B5">
        <w:rPr>
          <w:i/>
          <w:iCs/>
        </w:rPr>
        <w:t>superior</w:t>
      </w:r>
      <w:r>
        <w:t xml:space="preserve">. </w:t>
      </w:r>
      <w:r w:rsidR="00DE7C3E">
        <w:t xml:space="preserve">Así es cómo la virtud puede ser tres clases: </w:t>
      </w:r>
      <w:r>
        <w:t xml:space="preserve">como </w:t>
      </w:r>
      <w:r w:rsidRPr="00791856">
        <w:rPr>
          <w:i/>
          <w:iCs/>
        </w:rPr>
        <w:t>inferior</w:t>
      </w:r>
      <w:r>
        <w:t xml:space="preserve">, </w:t>
      </w:r>
      <w:r w:rsidR="00DE7C3E" w:rsidRPr="00791856">
        <w:rPr>
          <w:i/>
          <w:iCs/>
        </w:rPr>
        <w:t>intermedia</w:t>
      </w:r>
      <w:r w:rsidR="00DE7C3E">
        <w:t xml:space="preserve"> </w:t>
      </w:r>
      <w:r>
        <w:t xml:space="preserve">y </w:t>
      </w:r>
      <w:r w:rsidRPr="00791856">
        <w:rPr>
          <w:i/>
          <w:iCs/>
        </w:rPr>
        <w:t>superior</w:t>
      </w:r>
      <w:r>
        <w:t>.</w:t>
      </w:r>
    </w:p>
    <w:p w14:paraId="2CE63896" w14:textId="1402339B" w:rsidR="00292B57" w:rsidRDefault="00292B57" w:rsidP="00292B57">
      <w:r>
        <w:t xml:space="preserve">34. </w:t>
      </w:r>
      <w:r>
        <w:tab/>
      </w:r>
      <w:r w:rsidRPr="00654533">
        <w:rPr>
          <w:i/>
          <w:iCs/>
        </w:rPr>
        <w:t>10.</w:t>
      </w:r>
      <w:r>
        <w:t xml:space="preserve"> En la segunda tríada</w:t>
      </w:r>
      <w:r w:rsidR="001B27BE">
        <w:t>,</w:t>
      </w:r>
      <w:r>
        <w:t xml:space="preserve"> </w:t>
      </w:r>
      <w:r w:rsidR="00FA7468">
        <w:t>la virtu</w:t>
      </w:r>
      <w:r w:rsidR="007C5924">
        <w:t xml:space="preserve">d </w:t>
      </w:r>
      <w:r>
        <w:t xml:space="preserve">que </w:t>
      </w:r>
      <w:r w:rsidR="00FA7468">
        <w:t xml:space="preserve">se </w:t>
      </w:r>
      <w:r>
        <w:t>practi</w:t>
      </w:r>
      <w:r w:rsidR="00257085">
        <w:t>que</w:t>
      </w:r>
      <w:r>
        <w:t xml:space="preserve"> </w:t>
      </w:r>
      <w:r w:rsidR="007C5924">
        <w:t>para salvaguardarse a sí mismo</w:t>
      </w:r>
      <w:r>
        <w:t xml:space="preserve"> </w:t>
      </w:r>
      <w:r w:rsidR="005F079C">
        <w:t xml:space="preserve">a través de alguien que considera abandonar el alma y el deseo </w:t>
      </w:r>
      <w:r>
        <w:t xml:space="preserve">[14], </w:t>
      </w:r>
      <w:r w:rsidR="007C5924">
        <w:t>corresponde</w:t>
      </w:r>
      <w:r w:rsidR="007F6AD0">
        <w:t>rá</w:t>
      </w:r>
      <w:r w:rsidR="007C5924">
        <w:t xml:space="preserve"> a </w:t>
      </w:r>
      <w:r>
        <w:t xml:space="preserve">la virtud </w:t>
      </w:r>
      <w:r w:rsidRPr="003904B5">
        <w:rPr>
          <w:i/>
          <w:iCs/>
        </w:rPr>
        <w:t xml:space="preserve">dando precedencia </w:t>
      </w:r>
      <w:r w:rsidR="00257085">
        <w:rPr>
          <w:i/>
          <w:iCs/>
        </w:rPr>
        <w:t>a</w:t>
      </w:r>
      <w:r w:rsidR="007F6AD0">
        <w:rPr>
          <w:i/>
          <w:iCs/>
        </w:rPr>
        <w:t>l</w:t>
      </w:r>
      <w:r w:rsidR="00257085">
        <w:rPr>
          <w:i/>
          <w:iCs/>
        </w:rPr>
        <w:t xml:space="preserve"> </w:t>
      </w:r>
      <w:r w:rsidR="007F6AD0">
        <w:rPr>
          <w:i/>
          <w:iCs/>
        </w:rPr>
        <w:t>alma</w:t>
      </w:r>
      <w:r>
        <w:t xml:space="preserve">. La que se </w:t>
      </w:r>
      <w:r w:rsidR="00257085">
        <w:t xml:space="preserve">practique </w:t>
      </w:r>
      <w:r>
        <w:t xml:space="preserve">por consideración al mundo y </w:t>
      </w:r>
      <w:r w:rsidR="006A59E3">
        <w:t>con</w:t>
      </w:r>
      <w:r>
        <w:t xml:space="preserve"> el deseo de evitar la censura del mundo es la virtud </w:t>
      </w:r>
      <w:r w:rsidRPr="003904B5">
        <w:rPr>
          <w:i/>
          <w:iCs/>
        </w:rPr>
        <w:t>da</w:t>
      </w:r>
      <w:r w:rsidR="00A56C89">
        <w:rPr>
          <w:i/>
          <w:iCs/>
        </w:rPr>
        <w:t>ndo</w:t>
      </w:r>
      <w:r w:rsidRPr="003904B5">
        <w:rPr>
          <w:i/>
          <w:iCs/>
        </w:rPr>
        <w:t xml:space="preserve"> precedencia al mundo</w:t>
      </w:r>
      <w:r>
        <w:t>. L</w:t>
      </w:r>
      <w:r w:rsidR="006A59E3">
        <w:t>a</w:t>
      </w:r>
      <w:r>
        <w:t xml:space="preserve"> que se </w:t>
      </w:r>
      <w:r w:rsidR="00257085">
        <w:t xml:space="preserve">practique </w:t>
      </w:r>
      <w:r>
        <w:t xml:space="preserve">por respeto al </w:t>
      </w:r>
      <w:r w:rsidR="00057BF4" w:rsidRPr="00057BF4">
        <w:rPr>
          <w:i/>
          <w:iCs/>
        </w:rPr>
        <w:t>Dhamma</w:t>
      </w:r>
      <w:r>
        <w:t xml:space="preserve"> y </w:t>
      </w:r>
      <w:r w:rsidR="005A32D5">
        <w:t>con</w:t>
      </w:r>
      <w:r>
        <w:t xml:space="preserve"> el deseo de honrar </w:t>
      </w:r>
      <w:r w:rsidR="005A32D5">
        <w:t xml:space="preserve">a </w:t>
      </w:r>
      <w:r>
        <w:t xml:space="preserve">la majestad del </w:t>
      </w:r>
      <w:r w:rsidR="00057BF4" w:rsidRPr="00057BF4">
        <w:rPr>
          <w:i/>
        </w:rPr>
        <w:t>Dhamma</w:t>
      </w:r>
      <w:r>
        <w:t xml:space="preserve"> es </w:t>
      </w:r>
      <w:r w:rsidR="005A32D5">
        <w:t xml:space="preserve">una </w:t>
      </w:r>
      <w:r>
        <w:t xml:space="preserve">virtud </w:t>
      </w:r>
      <w:r w:rsidRPr="003904B5">
        <w:rPr>
          <w:i/>
          <w:iCs/>
        </w:rPr>
        <w:t>da</w:t>
      </w:r>
      <w:r w:rsidR="00A56C89">
        <w:rPr>
          <w:i/>
          <w:iCs/>
        </w:rPr>
        <w:t>ndo</w:t>
      </w:r>
      <w:r w:rsidRPr="003904B5">
        <w:rPr>
          <w:i/>
          <w:iCs/>
        </w:rPr>
        <w:t xml:space="preserve"> precedencia al</w:t>
      </w:r>
      <w:r>
        <w:t xml:space="preserve"> </w:t>
      </w:r>
      <w:r w:rsidR="00057BF4" w:rsidRPr="00057BF4">
        <w:rPr>
          <w:i/>
          <w:iCs/>
        </w:rPr>
        <w:t>Dhamma</w:t>
      </w:r>
      <w:r>
        <w:t xml:space="preserve">. </w:t>
      </w:r>
      <w:r w:rsidR="005A32D5">
        <w:t>Así es cómo la virtud puede ser tres clases:</w:t>
      </w:r>
      <w:r>
        <w:t xml:space="preserve"> </w:t>
      </w:r>
      <w:r w:rsidRPr="002937D4">
        <w:rPr>
          <w:i/>
          <w:iCs/>
        </w:rPr>
        <w:t>da</w:t>
      </w:r>
      <w:r w:rsidR="00A56C89" w:rsidRPr="002937D4">
        <w:rPr>
          <w:i/>
          <w:iCs/>
        </w:rPr>
        <w:t>ndo</w:t>
      </w:r>
      <w:r w:rsidRPr="002937D4">
        <w:rPr>
          <w:i/>
          <w:iCs/>
        </w:rPr>
        <w:t xml:space="preserve"> prioridad </w:t>
      </w:r>
      <w:r w:rsidR="00A56C89" w:rsidRPr="002937D4">
        <w:rPr>
          <w:i/>
          <w:iCs/>
        </w:rPr>
        <w:t>a</w:t>
      </w:r>
      <w:r w:rsidR="00535CB4">
        <w:rPr>
          <w:i/>
          <w:iCs/>
        </w:rPr>
        <w:t>l</w:t>
      </w:r>
      <w:r w:rsidR="00A56C89" w:rsidRPr="002937D4">
        <w:rPr>
          <w:i/>
          <w:iCs/>
        </w:rPr>
        <w:t xml:space="preserve"> </w:t>
      </w:r>
      <w:r w:rsidR="00535CB4">
        <w:rPr>
          <w:i/>
          <w:iCs/>
        </w:rPr>
        <w:t>alma</w:t>
      </w:r>
      <w:r>
        <w:t>,</w:t>
      </w:r>
      <w:r w:rsidR="00A56C89">
        <w:t xml:space="preserve"> …etc.</w:t>
      </w:r>
    </w:p>
    <w:p w14:paraId="7F7A6A42" w14:textId="1FB00CD0" w:rsidR="00292B57" w:rsidRDefault="00292B57" w:rsidP="00A72D64">
      <w:r>
        <w:t xml:space="preserve">35. </w:t>
      </w:r>
      <w:r>
        <w:tab/>
      </w:r>
      <w:r w:rsidRPr="00055477">
        <w:rPr>
          <w:i/>
          <w:iCs/>
        </w:rPr>
        <w:t>11</w:t>
      </w:r>
      <w:r>
        <w:t>. En la tercera tríada la virtud que en las díadas se llamaba dependiente (</w:t>
      </w:r>
      <w:r w:rsidR="00031075">
        <w:t>No</w:t>
      </w:r>
      <w:r>
        <w:t xml:space="preserve">. 5) </w:t>
      </w:r>
      <w:r w:rsidR="00FD13BA">
        <w:t xml:space="preserve">es </w:t>
      </w:r>
      <w:r w:rsidR="00FD13BA" w:rsidRPr="002937D4">
        <w:rPr>
          <w:i/>
          <w:iCs/>
        </w:rPr>
        <w:t>adherida</w:t>
      </w:r>
      <w:r w:rsidR="00FD13BA">
        <w:t xml:space="preserve"> </w:t>
      </w:r>
      <w:r>
        <w:t xml:space="preserve">porque se </w:t>
      </w:r>
      <w:r w:rsidRPr="003904B5">
        <w:rPr>
          <w:i/>
          <w:iCs/>
        </w:rPr>
        <w:t>adhiere</w:t>
      </w:r>
      <w:r>
        <w:t>-</w:t>
      </w:r>
      <w:r w:rsidRPr="003904B5">
        <w:rPr>
          <w:i/>
          <w:iCs/>
        </w:rPr>
        <w:t>a</w:t>
      </w:r>
      <w:r>
        <w:t xml:space="preserve"> </w:t>
      </w:r>
      <w:r w:rsidR="00FD13BA">
        <w:t xml:space="preserve">a través del deseo </w:t>
      </w:r>
      <w:r>
        <w:t xml:space="preserve">y </w:t>
      </w:r>
      <w:r w:rsidR="006E45E9">
        <w:t xml:space="preserve">la </w:t>
      </w:r>
      <w:r>
        <w:t>visión</w:t>
      </w:r>
      <w:r w:rsidR="00792FFC">
        <w:t xml:space="preserve"> incorrecta</w:t>
      </w:r>
      <w:r>
        <w:t xml:space="preserve">. La practicada por </w:t>
      </w:r>
      <w:r w:rsidR="006D6322">
        <w:t>e</w:t>
      </w:r>
      <w:r>
        <w:t xml:space="preserve">l </w:t>
      </w:r>
      <w:r>
        <w:br w:type="page"/>
      </w:r>
    </w:p>
    <w:p w14:paraId="24D5C6CB" w14:textId="09A5CEC4" w:rsidR="00D50E27" w:rsidRDefault="006D6322" w:rsidP="00D50E27">
      <w:r>
        <w:lastRenderedPageBreak/>
        <w:t xml:space="preserve">hombre </w:t>
      </w:r>
      <w:r w:rsidR="00FD13BA">
        <w:t xml:space="preserve">magnánimo </w:t>
      </w:r>
      <w:r>
        <w:t>y ordinario</w:t>
      </w:r>
      <w:r w:rsidR="00D50E27">
        <w:t xml:space="preserve"> como requisito previo </w:t>
      </w:r>
      <w:r w:rsidR="00553547">
        <w:t xml:space="preserve">para </w:t>
      </w:r>
      <w:r w:rsidR="00D50E27">
        <w:t xml:space="preserve">el </w:t>
      </w:r>
      <w:r w:rsidR="00553547">
        <w:t>sendero</w:t>
      </w:r>
      <w:r w:rsidR="00D50E27">
        <w:t xml:space="preserve"> y el asociado </w:t>
      </w:r>
      <w:r w:rsidR="003B13AD">
        <w:t>a</w:t>
      </w:r>
      <w:r w:rsidR="00D50E27">
        <w:t xml:space="preserve">l </w:t>
      </w:r>
      <w:r w:rsidR="00553547">
        <w:t xml:space="preserve">sendero </w:t>
      </w:r>
      <w:r w:rsidR="003B13AD">
        <w:t xml:space="preserve">personal </w:t>
      </w:r>
      <w:r w:rsidR="00553547">
        <w:t>de</w:t>
      </w:r>
      <w:r w:rsidR="00D50E27">
        <w:t xml:space="preserve"> los </w:t>
      </w:r>
      <w:r w:rsidR="00A679F8" w:rsidRPr="004D4D5E">
        <w:rPr>
          <w:color w:val="833C0B" w:themeColor="accent2" w:themeShade="80"/>
        </w:rPr>
        <w:t>instructores</w:t>
      </w:r>
      <w:r w:rsidR="00D50E27">
        <w:t xml:space="preserve">, </w:t>
      </w:r>
      <w:r w:rsidR="008F1E7C">
        <w:t>corresponde a</w:t>
      </w:r>
      <w:r w:rsidR="00F45894">
        <w:t xml:space="preserve"> la virtud </w:t>
      </w:r>
      <w:r w:rsidR="00D50E27" w:rsidRPr="00A55154">
        <w:rPr>
          <w:i/>
          <w:iCs/>
        </w:rPr>
        <w:t>no adher</w:t>
      </w:r>
      <w:r w:rsidR="00F45894">
        <w:rPr>
          <w:i/>
          <w:iCs/>
        </w:rPr>
        <w:t>ida-a</w:t>
      </w:r>
      <w:r w:rsidR="00D50E27">
        <w:t xml:space="preserve">. </w:t>
      </w:r>
      <w:r w:rsidR="008B3722">
        <w:t>L</w:t>
      </w:r>
      <w:r w:rsidR="00047ADA">
        <w:t>a</w:t>
      </w:r>
      <w:r w:rsidR="008B3722">
        <w:t xml:space="preserve"> </w:t>
      </w:r>
      <w:r w:rsidR="00047ADA">
        <w:t>virtud</w:t>
      </w:r>
      <w:r w:rsidR="00D50E27">
        <w:t xml:space="preserve"> asociad</w:t>
      </w:r>
      <w:r w:rsidR="00047ADA">
        <w:t>a</w:t>
      </w:r>
      <w:r w:rsidR="00D50E27">
        <w:t xml:space="preserve"> con la fruición de </w:t>
      </w:r>
      <w:r w:rsidR="008B3722">
        <w:t xml:space="preserve">los </w:t>
      </w:r>
      <w:r w:rsidR="00832969" w:rsidRPr="004D4D5E">
        <w:rPr>
          <w:color w:val="833C0B" w:themeColor="accent2" w:themeShade="80"/>
        </w:rPr>
        <w:t>instructores</w:t>
      </w:r>
      <w:r w:rsidR="008B3722">
        <w:t xml:space="preserve"> </w:t>
      </w:r>
      <w:r w:rsidR="00D50E27">
        <w:t xml:space="preserve">y </w:t>
      </w:r>
      <w:r w:rsidR="00D50E27" w:rsidRPr="004D4D5E">
        <w:rPr>
          <w:color w:val="833C0B" w:themeColor="accent2" w:themeShade="80"/>
        </w:rPr>
        <w:t>no</w:t>
      </w:r>
      <w:r w:rsidR="00832969" w:rsidRPr="004D4D5E">
        <w:rPr>
          <w:color w:val="833C0B" w:themeColor="accent2" w:themeShade="80"/>
        </w:rPr>
        <w:t>–instructores</w:t>
      </w:r>
      <w:r w:rsidR="00832969">
        <w:t xml:space="preserve"> </w:t>
      </w:r>
      <w:r w:rsidR="008F1E7C">
        <w:t xml:space="preserve">corresponde a </w:t>
      </w:r>
      <w:r w:rsidR="008B3722">
        <w:t>la virtud</w:t>
      </w:r>
      <w:r w:rsidR="00D50E27">
        <w:t xml:space="preserve"> </w:t>
      </w:r>
      <w:r w:rsidR="00047ADA">
        <w:rPr>
          <w:i/>
          <w:iCs/>
        </w:rPr>
        <w:t>apaciguada</w:t>
      </w:r>
      <w:r w:rsidR="00D50E27">
        <w:t xml:space="preserve">. </w:t>
      </w:r>
      <w:r w:rsidR="00047ADA">
        <w:t xml:space="preserve">Así es cómo la virtud puede ser tres clases: </w:t>
      </w:r>
      <w:r w:rsidR="00D50E27" w:rsidRPr="00F54911">
        <w:rPr>
          <w:i/>
          <w:iCs/>
        </w:rPr>
        <w:t>adher</w:t>
      </w:r>
      <w:r w:rsidR="00047ADA" w:rsidRPr="00F54911">
        <w:rPr>
          <w:i/>
          <w:iCs/>
        </w:rPr>
        <w:t>ida-a</w:t>
      </w:r>
      <w:r w:rsidR="00D50E27">
        <w:t xml:space="preserve">, </w:t>
      </w:r>
      <w:r w:rsidR="00047ADA">
        <w:t>…etc</w:t>
      </w:r>
      <w:r w:rsidR="00D50E27">
        <w:t>.</w:t>
      </w:r>
    </w:p>
    <w:p w14:paraId="3829E73A" w14:textId="67C75C48" w:rsidR="009B4E7E" w:rsidRDefault="00D50E27" w:rsidP="009B4E7E">
      <w:r>
        <w:t xml:space="preserve">36. </w:t>
      </w:r>
      <w:r w:rsidR="009C6D29">
        <w:tab/>
      </w:r>
      <w:r w:rsidRPr="00055477">
        <w:rPr>
          <w:i/>
          <w:iCs/>
        </w:rPr>
        <w:t>12</w:t>
      </w:r>
      <w:r>
        <w:t>. En la cuarta tríada, l</w:t>
      </w:r>
      <w:r w:rsidR="00047ADA">
        <w:t>a</w:t>
      </w:r>
      <w:r>
        <w:t xml:space="preserve"> que </w:t>
      </w:r>
      <w:r w:rsidR="0023215E">
        <w:t xml:space="preserve">se </w:t>
      </w:r>
      <w:r w:rsidR="00107B1B">
        <w:t>desarrolle por</w:t>
      </w:r>
      <w:r>
        <w:t xml:space="preserve"> quien no ha</w:t>
      </w:r>
      <w:r w:rsidR="00107B1B">
        <w:t>ya</w:t>
      </w:r>
      <w:r>
        <w:t xml:space="preserve"> cometido ninguna ofensa o </w:t>
      </w:r>
      <w:r w:rsidR="00107B1B">
        <w:t xml:space="preserve">quien la </w:t>
      </w:r>
      <w:r>
        <w:t>ha</w:t>
      </w:r>
      <w:r w:rsidR="00107B1B">
        <w:t>ya</w:t>
      </w:r>
      <w:r>
        <w:t xml:space="preserve"> enmendado después de haberla cometid</w:t>
      </w:r>
      <w:r w:rsidR="00107B1B">
        <w:t>a</w:t>
      </w:r>
      <w:r>
        <w:t xml:space="preserve"> es </w:t>
      </w:r>
      <w:r w:rsidRPr="001D5156">
        <w:rPr>
          <w:i/>
          <w:iCs/>
        </w:rPr>
        <w:t>pur</w:t>
      </w:r>
      <w:r w:rsidR="00107B1B" w:rsidRPr="001D5156">
        <w:rPr>
          <w:i/>
          <w:iCs/>
        </w:rPr>
        <w:t>a</w:t>
      </w:r>
      <w:r>
        <w:t xml:space="preserve">. Mientras </w:t>
      </w:r>
      <w:r w:rsidR="0023215E">
        <w:t xml:space="preserve">que </w:t>
      </w:r>
      <w:r w:rsidR="001D5156">
        <w:t xml:space="preserve">aquella que </w:t>
      </w:r>
      <w:r>
        <w:t xml:space="preserve">no se haya enmendado después de cometer una ofensa, es </w:t>
      </w:r>
      <w:r w:rsidRPr="00920215">
        <w:rPr>
          <w:i/>
          <w:iCs/>
        </w:rPr>
        <w:t>impura</w:t>
      </w:r>
      <w:r>
        <w:t xml:space="preserve">. </w:t>
      </w:r>
      <w:r w:rsidR="00911195">
        <w:t xml:space="preserve">La </w:t>
      </w:r>
      <w:r>
        <w:t xml:space="preserve">virtud </w:t>
      </w:r>
      <w:r w:rsidR="00911195">
        <w:t xml:space="preserve">es </w:t>
      </w:r>
      <w:r w:rsidR="001D5156" w:rsidRPr="00581B5B">
        <w:rPr>
          <w:i/>
          <w:iCs/>
        </w:rPr>
        <w:t>dudosa</w:t>
      </w:r>
      <w:r w:rsidR="001D5156">
        <w:t xml:space="preserve"> </w:t>
      </w:r>
      <w:r>
        <w:t>en quien dud</w:t>
      </w:r>
      <w:r w:rsidR="001D5156">
        <w:t>e</w:t>
      </w:r>
      <w:r>
        <w:t xml:space="preserve"> de si una cosa constituye un</w:t>
      </w:r>
      <w:r w:rsidR="001D5156">
        <w:t>a</w:t>
      </w:r>
      <w:r>
        <w:t xml:space="preserve"> </w:t>
      </w:r>
      <w:r w:rsidR="001D5156">
        <w:t>ofensa</w:t>
      </w:r>
      <w:r>
        <w:t xml:space="preserve"> o </w:t>
      </w:r>
      <w:r w:rsidR="00911195">
        <w:t>sobre el</w:t>
      </w:r>
      <w:r>
        <w:t xml:space="preserve"> grado de </w:t>
      </w:r>
      <w:r w:rsidR="00911195">
        <w:t xml:space="preserve">la ofensa que </w:t>
      </w:r>
      <w:r>
        <w:t>se ha</w:t>
      </w:r>
      <w:r w:rsidR="00911195">
        <w:t>ya</w:t>
      </w:r>
      <w:r>
        <w:t xml:space="preserve"> cometido o de si ha cometido </w:t>
      </w:r>
      <w:r w:rsidR="0003087E">
        <w:t>una ofensa o no</w:t>
      </w:r>
      <w:r>
        <w:t>. Aquí, el meditador debe purificar la virtud impura. Si tiene dudas, debe evitar los casos sobre lo</w:t>
      </w:r>
      <w:r w:rsidR="0023215E">
        <w:t>s</w:t>
      </w:r>
      <w:r>
        <w:t xml:space="preserve"> que ten</w:t>
      </w:r>
      <w:r w:rsidR="0003087E">
        <w:t>ga</w:t>
      </w:r>
      <w:r>
        <w:t xml:space="preserve"> dudas y debe aclarar </w:t>
      </w:r>
      <w:r w:rsidR="0023215E">
        <w:t xml:space="preserve">todas </w:t>
      </w:r>
      <w:r>
        <w:t xml:space="preserve">sus dudas. De esta manera su mente se mantendrá en reposo. </w:t>
      </w:r>
      <w:r w:rsidR="0023215E">
        <w:t>Así es cómo la virtud puede ser tres clases:</w:t>
      </w:r>
      <w:r>
        <w:t xml:space="preserve"> </w:t>
      </w:r>
      <w:r w:rsidRPr="007350F2">
        <w:rPr>
          <w:i/>
          <w:iCs/>
        </w:rPr>
        <w:t>pur</w:t>
      </w:r>
      <w:r w:rsidR="0023215E" w:rsidRPr="007350F2">
        <w:rPr>
          <w:i/>
          <w:iCs/>
        </w:rPr>
        <w:t>a</w:t>
      </w:r>
      <w:r>
        <w:t>,</w:t>
      </w:r>
      <w:r w:rsidR="009B4E7E">
        <w:t xml:space="preserve"> …etc.</w:t>
      </w:r>
    </w:p>
    <w:p w14:paraId="5D230A0E" w14:textId="36A04B6C" w:rsidR="00D50E27" w:rsidRDefault="00D50E27" w:rsidP="00D50E27">
      <w:r>
        <w:t xml:space="preserve">37. </w:t>
      </w:r>
      <w:r w:rsidR="009C6D29">
        <w:tab/>
      </w:r>
      <w:r w:rsidRPr="00055477">
        <w:rPr>
          <w:i/>
          <w:iCs/>
        </w:rPr>
        <w:t>13</w:t>
      </w:r>
      <w:r>
        <w:t xml:space="preserve">. En la quinta tríada la virtud asociada con los </w:t>
      </w:r>
      <w:r w:rsidR="001A66BA">
        <w:t>4</w:t>
      </w:r>
      <w:r>
        <w:t xml:space="preserve"> </w:t>
      </w:r>
      <w:r w:rsidR="0023215E">
        <w:t>senderos</w:t>
      </w:r>
      <w:r>
        <w:t xml:space="preserve"> y con l</w:t>
      </w:r>
      <w:r w:rsidR="00601971">
        <w:t>a</w:t>
      </w:r>
      <w:r>
        <w:t>s primer</w:t>
      </w:r>
      <w:r w:rsidR="00601971">
        <w:t>a</w:t>
      </w:r>
      <w:r>
        <w:t xml:space="preserve">s </w:t>
      </w:r>
      <w:r w:rsidR="001A66BA">
        <w:t>3</w:t>
      </w:r>
      <w:r>
        <w:t xml:space="preserve"> </w:t>
      </w:r>
      <w:r w:rsidR="00601971">
        <w:t>fruiciones</w:t>
      </w:r>
      <w:r>
        <w:t xml:space="preserve"> </w:t>
      </w:r>
      <w:r w:rsidR="00601971">
        <w:t xml:space="preserve">corresponden a </w:t>
      </w:r>
      <w:r w:rsidRPr="00581B5B">
        <w:rPr>
          <w:i/>
          <w:iCs/>
        </w:rPr>
        <w:t xml:space="preserve">la del </w:t>
      </w:r>
      <w:r w:rsidR="00A679F8" w:rsidRPr="004D4D5E">
        <w:rPr>
          <w:i/>
          <w:iCs/>
          <w:color w:val="833C0B" w:themeColor="accent2" w:themeShade="80"/>
        </w:rPr>
        <w:t>instructor</w:t>
      </w:r>
      <w:r>
        <w:t xml:space="preserve">. </w:t>
      </w:r>
      <w:r w:rsidR="003F103F">
        <w:t>La</w:t>
      </w:r>
      <w:r>
        <w:t xml:space="preserve"> asociad</w:t>
      </w:r>
      <w:r w:rsidR="003F103F">
        <w:t>a</w:t>
      </w:r>
      <w:r>
        <w:t xml:space="preserve"> con la fruición del estado de </w:t>
      </w:r>
      <w:r w:rsidR="00057BF4" w:rsidRPr="00057BF4">
        <w:rPr>
          <w:i/>
        </w:rPr>
        <w:t>Arahant</w:t>
      </w:r>
      <w:r>
        <w:t xml:space="preserve"> </w:t>
      </w:r>
      <w:r w:rsidR="00516BC8">
        <w:rPr>
          <w:i/>
          <w:iCs/>
        </w:rPr>
        <w:t>corresponderá</w:t>
      </w:r>
      <w:r w:rsidRPr="00581B5B">
        <w:rPr>
          <w:i/>
          <w:iCs/>
        </w:rPr>
        <w:t xml:space="preserve"> l</w:t>
      </w:r>
      <w:r w:rsidR="00406BB4">
        <w:rPr>
          <w:i/>
          <w:iCs/>
        </w:rPr>
        <w:t>a</w:t>
      </w:r>
      <w:r w:rsidRPr="00581B5B">
        <w:rPr>
          <w:i/>
          <w:iCs/>
        </w:rPr>
        <w:t xml:space="preserve"> del no</w:t>
      </w:r>
      <w:r w:rsidR="00BF785D">
        <w:t>–</w:t>
      </w:r>
      <w:r w:rsidR="00BF785D">
        <w:rPr>
          <w:i/>
          <w:iCs/>
        </w:rPr>
        <w:t>instructor</w:t>
      </w:r>
      <w:r>
        <w:t xml:space="preserve">. Los tipos restantes son </w:t>
      </w:r>
      <w:r w:rsidRPr="00581B5B">
        <w:rPr>
          <w:i/>
          <w:iCs/>
        </w:rPr>
        <w:t>l</w:t>
      </w:r>
      <w:r w:rsidR="003F103F">
        <w:rPr>
          <w:i/>
          <w:iCs/>
        </w:rPr>
        <w:t>a</w:t>
      </w:r>
      <w:r w:rsidRPr="00581B5B">
        <w:rPr>
          <w:i/>
          <w:iCs/>
        </w:rPr>
        <w:t>s de</w:t>
      </w:r>
      <w:r w:rsidR="003F103F">
        <w:rPr>
          <w:i/>
          <w:iCs/>
        </w:rPr>
        <w:t>l</w:t>
      </w:r>
      <w:r w:rsidRPr="00581B5B">
        <w:rPr>
          <w:i/>
          <w:iCs/>
        </w:rPr>
        <w:t xml:space="preserve"> </w:t>
      </w:r>
      <w:r w:rsidRPr="004D4D5E">
        <w:rPr>
          <w:i/>
          <w:iCs/>
          <w:color w:val="833C0B" w:themeColor="accent2" w:themeShade="80"/>
        </w:rPr>
        <w:t>n</w:t>
      </w:r>
      <w:r w:rsidR="003F103F" w:rsidRPr="004D4D5E">
        <w:rPr>
          <w:i/>
          <w:iCs/>
          <w:color w:val="833C0B" w:themeColor="accent2" w:themeShade="80"/>
        </w:rPr>
        <w:t>o-</w:t>
      </w:r>
      <w:r w:rsidR="00BF785D" w:rsidRPr="004D4D5E">
        <w:rPr>
          <w:i/>
          <w:iCs/>
          <w:color w:val="833C0B" w:themeColor="accent2" w:themeShade="80"/>
        </w:rPr>
        <w:t>instructor</w:t>
      </w:r>
      <w:r w:rsidR="003F103F" w:rsidRPr="004D4D5E">
        <w:rPr>
          <w:i/>
          <w:iCs/>
          <w:color w:val="833C0B" w:themeColor="accent2" w:themeShade="80"/>
        </w:rPr>
        <w:t>-</w:t>
      </w:r>
      <w:r w:rsidRPr="004D4D5E">
        <w:rPr>
          <w:i/>
          <w:iCs/>
          <w:color w:val="833C0B" w:themeColor="accent2" w:themeShade="80"/>
        </w:rPr>
        <w:t>ni</w:t>
      </w:r>
      <w:r w:rsidR="003F103F" w:rsidRPr="004D4D5E">
        <w:rPr>
          <w:i/>
          <w:iCs/>
          <w:color w:val="833C0B" w:themeColor="accent2" w:themeShade="80"/>
        </w:rPr>
        <w:t>-</w:t>
      </w:r>
      <w:r w:rsidRPr="004D4D5E">
        <w:rPr>
          <w:i/>
          <w:iCs/>
          <w:color w:val="833C0B" w:themeColor="accent2" w:themeShade="80"/>
        </w:rPr>
        <w:t>no</w:t>
      </w:r>
      <w:r w:rsidR="003F103F" w:rsidRPr="004D4D5E">
        <w:rPr>
          <w:i/>
          <w:iCs/>
          <w:color w:val="833C0B" w:themeColor="accent2" w:themeShade="80"/>
        </w:rPr>
        <w:t>-</w:t>
      </w:r>
      <w:r w:rsidR="00BF785D" w:rsidRPr="004D4D5E">
        <w:rPr>
          <w:i/>
          <w:iCs/>
          <w:color w:val="833C0B" w:themeColor="accent2" w:themeShade="80"/>
        </w:rPr>
        <w:t>instructor</w:t>
      </w:r>
      <w:r>
        <w:t xml:space="preserve">. </w:t>
      </w:r>
      <w:r w:rsidR="003F103F">
        <w:t xml:space="preserve">Así es cómo la virtud puede ser tres clases: </w:t>
      </w:r>
      <w:r>
        <w:t>como l</w:t>
      </w:r>
      <w:r w:rsidR="00406BB4">
        <w:t>a</w:t>
      </w:r>
      <w:r>
        <w:t xml:space="preserve"> del </w:t>
      </w:r>
      <w:r w:rsidR="00BF785D" w:rsidRPr="00BF785D">
        <w:rPr>
          <w:i/>
          <w:iCs/>
        </w:rPr>
        <w:t>instructor</w:t>
      </w:r>
      <w:r>
        <w:t xml:space="preserve">, </w:t>
      </w:r>
      <w:r w:rsidR="009B4E7E">
        <w:t>…etc</w:t>
      </w:r>
      <w:r>
        <w:t>.</w:t>
      </w:r>
    </w:p>
    <w:p w14:paraId="24459500" w14:textId="3185CF65" w:rsidR="00D50E27" w:rsidRDefault="00D50E27" w:rsidP="00D50E27">
      <w:r>
        <w:t xml:space="preserve">38. </w:t>
      </w:r>
      <w:r w:rsidR="009C6D29">
        <w:tab/>
      </w:r>
      <w:r w:rsidR="002A45E3">
        <w:t>No obstante,</w:t>
      </w:r>
      <w:r>
        <w:t xml:space="preserve"> en el mundo </w:t>
      </w:r>
      <w:r w:rsidR="00611422">
        <w:t xml:space="preserve">a </w:t>
      </w:r>
      <w:r>
        <w:t xml:space="preserve">la naturaleza de tales y tales seres se </w:t>
      </w:r>
      <w:r w:rsidR="00611422">
        <w:t xml:space="preserve">le </w:t>
      </w:r>
      <w:r w:rsidR="0046751A">
        <w:t>denomina</w:t>
      </w:r>
      <w:r>
        <w:t xml:space="preserve"> su “hábito” (</w:t>
      </w:r>
      <w:r w:rsidRPr="002A45E3">
        <w:rPr>
          <w:i/>
          <w:iCs/>
        </w:rPr>
        <w:t>sīla</w:t>
      </w:r>
      <w:r>
        <w:t xml:space="preserve">) </w:t>
      </w:r>
      <w:r w:rsidR="0046751A">
        <w:t xml:space="preserve">respecto </w:t>
      </w:r>
      <w:r w:rsidR="00E252CF">
        <w:t>a</w:t>
      </w:r>
      <w:r>
        <w:t xml:space="preserve">l cual </w:t>
      </w:r>
      <w:r w:rsidR="00611422">
        <w:t xml:space="preserve">se </w:t>
      </w:r>
      <w:r>
        <w:t>dice: “</w:t>
      </w:r>
      <w:r w:rsidR="00611422">
        <w:t>É</w:t>
      </w:r>
      <w:r>
        <w:t>ste es de hábito feliz (</w:t>
      </w:r>
      <w:proofErr w:type="spellStart"/>
      <w:r w:rsidRPr="00581B5B">
        <w:rPr>
          <w:i/>
          <w:iCs/>
        </w:rPr>
        <w:t>sukha</w:t>
      </w:r>
      <w:proofErr w:type="spellEnd"/>
      <w:r w:rsidRPr="00581B5B">
        <w:rPr>
          <w:i/>
          <w:iCs/>
        </w:rPr>
        <w:t>-sīla</w:t>
      </w:r>
      <w:r>
        <w:t xml:space="preserve">), </w:t>
      </w:r>
      <w:r w:rsidR="00611422">
        <w:t>é</w:t>
      </w:r>
      <w:r>
        <w:t xml:space="preserve">ste es de hábito infeliz, </w:t>
      </w:r>
      <w:r w:rsidR="00611422">
        <w:t xml:space="preserve">éste </w:t>
      </w:r>
      <w:r>
        <w:t xml:space="preserve">es de hábito </w:t>
      </w:r>
      <w:r w:rsidR="007D395A">
        <w:t>conflictivo</w:t>
      </w:r>
      <w:r>
        <w:t xml:space="preserve">, éste es de hábito dandi”. Por eso se dice figuradamente en el </w:t>
      </w:r>
      <w:proofErr w:type="spellStart"/>
      <w:r w:rsidRPr="00581B5B">
        <w:rPr>
          <w:i/>
          <w:iCs/>
        </w:rPr>
        <w:t>Paṭisambhidā</w:t>
      </w:r>
      <w:proofErr w:type="spellEnd"/>
      <w:r>
        <w:t xml:space="preserve">: “Tres clases de virtud (hábito): virtud </w:t>
      </w:r>
      <w:r w:rsidR="00192FD2">
        <w:t>productiva</w:t>
      </w:r>
      <w:r>
        <w:t xml:space="preserve">, virtud no </w:t>
      </w:r>
      <w:r w:rsidR="00192FD2">
        <w:t>productiva</w:t>
      </w:r>
      <w:r>
        <w:t>, virtud indeterminada” (</w:t>
      </w:r>
      <w:proofErr w:type="spellStart"/>
      <w:r w:rsidRPr="00581B5B">
        <w:rPr>
          <w:i/>
          <w:iCs/>
        </w:rPr>
        <w:t>Paṭis</w:t>
      </w:r>
      <w:proofErr w:type="spellEnd"/>
      <w:r>
        <w:t xml:space="preserve"> I 44). Por lo </w:t>
      </w:r>
      <w:r w:rsidR="00EC6AB1">
        <w:t>tanto,</w:t>
      </w:r>
      <w:r>
        <w:t xml:space="preserve"> también se le llama de </w:t>
      </w:r>
      <w:r w:rsidR="00EC6AB1">
        <w:t xml:space="preserve">estos </w:t>
      </w:r>
      <w:r>
        <w:t xml:space="preserve">tres tipos como </w:t>
      </w:r>
      <w:r w:rsidR="00192FD2" w:rsidRPr="007D395A">
        <w:rPr>
          <w:i/>
          <w:iCs/>
        </w:rPr>
        <w:t>productiva</w:t>
      </w:r>
      <w:r>
        <w:t xml:space="preserve">, </w:t>
      </w:r>
      <w:r w:rsidR="008A7EAD">
        <w:t>…etc.</w:t>
      </w:r>
      <w:r>
        <w:t xml:space="preserve"> De ést</w:t>
      </w:r>
      <w:r w:rsidR="00055477">
        <w:t>a</w:t>
      </w:r>
      <w:r>
        <w:t>s, no se incluye aquí l</w:t>
      </w:r>
      <w:r w:rsidR="00055477">
        <w:t>a</w:t>
      </w:r>
      <w:r>
        <w:t xml:space="preserve"> </w:t>
      </w:r>
      <w:r w:rsidRPr="007D395A">
        <w:rPr>
          <w:i/>
          <w:iCs/>
        </w:rPr>
        <w:t>improductiv</w:t>
      </w:r>
      <w:r w:rsidR="00055477" w:rsidRPr="007D395A">
        <w:rPr>
          <w:i/>
          <w:iCs/>
        </w:rPr>
        <w:t>a</w:t>
      </w:r>
      <w:r>
        <w:t>, ya que</w:t>
      </w:r>
      <w:r w:rsidR="00D94908">
        <w:t xml:space="preserve"> no</w:t>
      </w:r>
      <w:r>
        <w:t xml:space="preserve"> tiene que </w:t>
      </w:r>
      <w:r w:rsidR="00D94908">
        <w:t xml:space="preserve">nada </w:t>
      </w:r>
      <w:r>
        <w:t xml:space="preserve">ver con los epígrafes que comienzan con la característica, que definen </w:t>
      </w:r>
      <w:r w:rsidR="00055477">
        <w:t xml:space="preserve">a </w:t>
      </w:r>
      <w:r>
        <w:t>la virtud en el sentido que se le da en este capítulo. Por lo tanto, l</w:t>
      </w:r>
      <w:r w:rsidR="00783EF2">
        <w:t>a</w:t>
      </w:r>
      <w:r>
        <w:t>s tres deben entenderse solo de la manera ya establecida.</w:t>
      </w:r>
    </w:p>
    <w:p w14:paraId="1C71F9A5" w14:textId="00044605" w:rsidR="00D50E27" w:rsidRDefault="00D50E27" w:rsidP="00D50E27">
      <w:r>
        <w:t xml:space="preserve">39. </w:t>
      </w:r>
      <w:r w:rsidR="009C6D29">
        <w:tab/>
      </w:r>
      <w:r w:rsidRPr="00055477">
        <w:rPr>
          <w:i/>
          <w:iCs/>
        </w:rPr>
        <w:t>14</w:t>
      </w:r>
      <w:r>
        <w:t>. En la primera de las tétradas:</w:t>
      </w:r>
    </w:p>
    <w:p w14:paraId="5B82DDD8" w14:textId="74A570BE" w:rsidR="00D50E27" w:rsidRDefault="007C7DEA" w:rsidP="00D50E27">
      <w:pPr>
        <w:pStyle w:val="VersoIngls01Sangria"/>
      </w:pPr>
      <w:r>
        <w:t>Él c</w:t>
      </w:r>
      <w:r w:rsidR="00D50E27">
        <w:t xml:space="preserve">ultiva lo </w:t>
      </w:r>
      <w:r>
        <w:t>in</w:t>
      </w:r>
      <w:r w:rsidR="00D50E27">
        <w:t>virtuoso</w:t>
      </w:r>
    </w:p>
    <w:p w14:paraId="46859C6F" w14:textId="77777777" w:rsidR="00D50E27" w:rsidRDefault="00D50E27" w:rsidP="00D50E27">
      <w:pPr>
        <w:pStyle w:val="VersoIngls01Sangria"/>
      </w:pPr>
      <w:r>
        <w:t>Él no visita a los virtuosos,</w:t>
      </w:r>
    </w:p>
    <w:p w14:paraId="0ECF168F" w14:textId="2E90B8A5" w:rsidR="00D50E27" w:rsidRDefault="00D50E27" w:rsidP="00D50E27">
      <w:pPr>
        <w:pStyle w:val="VersoIngls01Sangria"/>
      </w:pPr>
      <w:r>
        <w:t xml:space="preserve">Y en su ignorancia </w:t>
      </w:r>
      <w:r w:rsidR="002354A1">
        <w:t>no puede ver</w:t>
      </w:r>
    </w:p>
    <w:p w14:paraId="39A12352" w14:textId="460B268D" w:rsidR="00D50E27" w:rsidRDefault="002354A1" w:rsidP="00D50E27">
      <w:pPr>
        <w:pStyle w:val="VersoIngls01Sangria"/>
      </w:pPr>
      <w:r>
        <w:t xml:space="preserve">Que </w:t>
      </w:r>
      <w:r w:rsidR="00D50E27">
        <w:t>hay</w:t>
      </w:r>
      <w:r w:rsidR="008A7978">
        <w:t>a</w:t>
      </w:r>
      <w:r w:rsidR="00D50E27">
        <w:t xml:space="preserve"> culpa en una transgresión, [15]</w:t>
      </w:r>
    </w:p>
    <w:p w14:paraId="75D4E38B" w14:textId="12F95DC8" w:rsidR="00D50E27" w:rsidRDefault="00D50E27" w:rsidP="00D50E27">
      <w:pPr>
        <w:pStyle w:val="VersoIngls01Sangria"/>
      </w:pPr>
      <w:r>
        <w:t xml:space="preserve">Con pensamientos </w:t>
      </w:r>
      <w:r w:rsidR="00A92865">
        <w:t>incorrectos</w:t>
      </w:r>
      <w:r>
        <w:t xml:space="preserve"> a menudo en su mente</w:t>
      </w:r>
    </w:p>
    <w:p w14:paraId="032A34C6" w14:textId="006A2B49" w:rsidR="00D50E27" w:rsidRDefault="00E82CCC" w:rsidP="00D50E27">
      <w:pPr>
        <w:pStyle w:val="VersoIngls01Sangria"/>
      </w:pPr>
      <w:r>
        <w:t xml:space="preserve">Él </w:t>
      </w:r>
      <w:r w:rsidR="00581B5B">
        <w:t xml:space="preserve">no </w:t>
      </w:r>
      <w:r w:rsidR="00A92865">
        <w:t>re</w:t>
      </w:r>
      <w:r w:rsidR="008A7978">
        <w:t>s</w:t>
      </w:r>
      <w:r w:rsidR="00581B5B">
        <w:t xml:space="preserve">guarda </w:t>
      </w:r>
      <w:r>
        <w:t xml:space="preserve">sus facultades </w:t>
      </w:r>
      <w:r w:rsidR="00D50E27">
        <w:t>—</w:t>
      </w:r>
    </w:p>
    <w:p w14:paraId="05374B5A" w14:textId="77777777" w:rsidR="00D50E27" w:rsidRDefault="00D50E27" w:rsidP="00D50E27">
      <w:pPr>
        <w:pStyle w:val="VersoIngls01Sangria"/>
      </w:pPr>
      <w:r>
        <w:t>La virtud en tal constitución</w:t>
      </w:r>
    </w:p>
    <w:p w14:paraId="355270BF" w14:textId="10C262AC" w:rsidR="00D50E27" w:rsidRDefault="008A7978" w:rsidP="009C6D29">
      <w:pPr>
        <w:pStyle w:val="VersoIngls01Sangria"/>
        <w:spacing w:after="100"/>
        <w:ind w:left="1418"/>
      </w:pPr>
      <w:r w:rsidRPr="00C613F5">
        <w:rPr>
          <w:i/>
          <w:iCs/>
        </w:rPr>
        <w:t>Forma</w:t>
      </w:r>
      <w:r w:rsidR="00D50E27">
        <w:t xml:space="preserve"> </w:t>
      </w:r>
      <w:r w:rsidR="00D50E27" w:rsidRPr="00581B5B">
        <w:rPr>
          <w:i/>
          <w:iCs/>
        </w:rPr>
        <w:t>part</w:t>
      </w:r>
      <w:r>
        <w:rPr>
          <w:i/>
          <w:iCs/>
        </w:rPr>
        <w:t>e</w:t>
      </w:r>
      <w:r w:rsidR="00D50E27" w:rsidRPr="00581B5B">
        <w:rPr>
          <w:i/>
          <w:iCs/>
        </w:rPr>
        <w:t xml:space="preserve"> de </w:t>
      </w:r>
      <w:r w:rsidR="00835F1C">
        <w:rPr>
          <w:i/>
          <w:iCs/>
        </w:rPr>
        <w:t>un</w:t>
      </w:r>
      <w:r w:rsidR="00D50E27" w:rsidRPr="00581B5B">
        <w:rPr>
          <w:i/>
          <w:iCs/>
        </w:rPr>
        <w:t>a disminución</w:t>
      </w:r>
      <w:r w:rsidR="00D50E27">
        <w:t>.</w:t>
      </w:r>
    </w:p>
    <w:p w14:paraId="36BC30EF" w14:textId="7DDD63E6" w:rsidR="00D50E27" w:rsidRDefault="00D50E27" w:rsidP="00D50E27">
      <w:pPr>
        <w:pStyle w:val="VersoIngls01Sangria"/>
      </w:pPr>
      <w:r>
        <w:t>Pero aquel cuya mente est</w:t>
      </w:r>
      <w:r w:rsidR="00CA0697">
        <w:t>é</w:t>
      </w:r>
      <w:r>
        <w:t xml:space="preserve"> satisfecha.</w:t>
      </w:r>
    </w:p>
    <w:p w14:paraId="6CAE1E72" w14:textId="4A06B501" w:rsidR="00D50E27" w:rsidRDefault="00D50E27" w:rsidP="00D50E27">
      <w:pPr>
        <w:pStyle w:val="VersoIngls01Sangria"/>
      </w:pPr>
      <w:r>
        <w:t>Con la virtud que ha</w:t>
      </w:r>
      <w:r w:rsidR="00CA0697">
        <w:t>ya</w:t>
      </w:r>
      <w:r>
        <w:t xml:space="preserve"> </w:t>
      </w:r>
      <w:r w:rsidR="00CA0697">
        <w:t>desarrollado</w:t>
      </w:r>
      <w:r>
        <w:t>,</w:t>
      </w:r>
    </w:p>
    <w:p w14:paraId="6ED2E6DC" w14:textId="0DE7242F" w:rsidR="00D50E27" w:rsidRDefault="00D50E27" w:rsidP="00D50E27">
      <w:pPr>
        <w:pStyle w:val="VersoIngls01Sangria"/>
      </w:pPr>
      <w:r>
        <w:t>Quien nunca piens</w:t>
      </w:r>
      <w:r w:rsidR="002943F7">
        <w:t>e</w:t>
      </w:r>
      <w:r>
        <w:t xml:space="preserve"> en </w:t>
      </w:r>
      <w:r w:rsidR="001E0C1F">
        <w:t>cambiar</w:t>
      </w:r>
    </w:p>
    <w:p w14:paraId="2BEF720C" w14:textId="433C3CC1" w:rsidR="00D50E27" w:rsidRDefault="00D50E27" w:rsidP="00D50E27">
      <w:pPr>
        <w:pStyle w:val="VersoIngls01Sangria"/>
      </w:pPr>
      <w:r>
        <w:t xml:space="preserve">Y </w:t>
      </w:r>
      <w:r w:rsidR="004E6801">
        <w:t>adopt</w:t>
      </w:r>
      <w:r w:rsidR="002943F7">
        <w:t>e</w:t>
      </w:r>
      <w:r>
        <w:t xml:space="preserve"> un </w:t>
      </w:r>
      <w:r w:rsidR="004E6801">
        <w:t>objeto</w:t>
      </w:r>
      <w:r>
        <w:t xml:space="preserve"> de meditación,</w:t>
      </w:r>
    </w:p>
    <w:p w14:paraId="1BF6EE09" w14:textId="77777777" w:rsidR="00D50E27" w:rsidRDefault="00D50E27" w:rsidP="00D50E27">
      <w:pPr>
        <w:pStyle w:val="VersoIngls01Sangria"/>
      </w:pPr>
      <w:r>
        <w:t>Contento con la mera virtud,</w:t>
      </w:r>
    </w:p>
    <w:p w14:paraId="6B16812B" w14:textId="33D12833" w:rsidR="00D50E27" w:rsidRDefault="00D50E27" w:rsidP="00D50E27">
      <w:pPr>
        <w:pStyle w:val="VersoIngls01Sangria"/>
      </w:pPr>
      <w:r>
        <w:t>Ni luch</w:t>
      </w:r>
      <w:r w:rsidR="002943F7">
        <w:t>e</w:t>
      </w:r>
      <w:r>
        <w:t xml:space="preserve"> por un estado superior—</w:t>
      </w:r>
    </w:p>
    <w:p w14:paraId="59664DC6" w14:textId="6E79D063" w:rsidR="00D50E27" w:rsidRDefault="00D50E27" w:rsidP="00D50E27">
      <w:pPr>
        <w:pStyle w:val="VersoIngls01Sangria"/>
      </w:pPr>
      <w:r>
        <w:t>Su virtud lleva</w:t>
      </w:r>
      <w:r w:rsidR="002943F7">
        <w:t>rá</w:t>
      </w:r>
      <w:r>
        <w:t xml:space="preserve"> el apelativo</w:t>
      </w:r>
      <w:r w:rsidR="002E58D6">
        <w:t xml:space="preserve"> de</w:t>
      </w:r>
    </w:p>
    <w:p w14:paraId="44C28836" w14:textId="17AC5F3C" w:rsidR="00D50E27" w:rsidRDefault="002E58D6" w:rsidP="009C6D29">
      <w:pPr>
        <w:pStyle w:val="VersoIngls01Sangria"/>
        <w:spacing w:after="100"/>
        <w:ind w:left="1418"/>
      </w:pPr>
      <w:r w:rsidRPr="00C613F5">
        <w:rPr>
          <w:i/>
          <w:iCs/>
        </w:rPr>
        <w:t>Formar</w:t>
      </w:r>
      <w:r>
        <w:t xml:space="preserve"> </w:t>
      </w:r>
      <w:r w:rsidRPr="002E58D6">
        <w:rPr>
          <w:i/>
          <w:iCs/>
        </w:rPr>
        <w:t xml:space="preserve">parte </w:t>
      </w:r>
      <w:r w:rsidR="00D50E27" w:rsidRPr="002E58D6">
        <w:rPr>
          <w:i/>
          <w:iCs/>
        </w:rPr>
        <w:t>de</w:t>
      </w:r>
      <w:r w:rsidRPr="002E58D6">
        <w:rPr>
          <w:i/>
          <w:iCs/>
        </w:rPr>
        <w:t xml:space="preserve"> un</w:t>
      </w:r>
      <w:r w:rsidR="00D50E27" w:rsidRPr="002E58D6">
        <w:rPr>
          <w:i/>
          <w:iCs/>
        </w:rPr>
        <w:t xml:space="preserve"> estancamiento</w:t>
      </w:r>
      <w:r w:rsidR="00D50E27">
        <w:t>.</w:t>
      </w:r>
    </w:p>
    <w:p w14:paraId="75F04CF1" w14:textId="55004623" w:rsidR="00D50E27" w:rsidRDefault="00D50E27" w:rsidP="00D50E27">
      <w:pPr>
        <w:pStyle w:val="VersoIngls01Sangria"/>
      </w:pPr>
      <w:r>
        <w:t>Pero quien, poseído de virtud, se esfuer</w:t>
      </w:r>
      <w:r w:rsidR="002943F7">
        <w:t>ce</w:t>
      </w:r>
    </w:p>
    <w:p w14:paraId="1EC4A4C7" w14:textId="1458AC5E" w:rsidR="00D50E27" w:rsidRDefault="00D50E27" w:rsidP="00D50E27">
      <w:pPr>
        <w:pStyle w:val="VersoIngls01Sangria"/>
      </w:pPr>
      <w:r>
        <w:t xml:space="preserve">Con concentración </w:t>
      </w:r>
      <w:r w:rsidR="002943F7">
        <w:t>en</w:t>
      </w:r>
      <w:r>
        <w:t xml:space="preserve"> su objetivo—</w:t>
      </w:r>
    </w:p>
    <w:p w14:paraId="78F21711" w14:textId="75F72B3A" w:rsidR="009C6D29" w:rsidRDefault="009C6D29">
      <w:pPr>
        <w:tabs>
          <w:tab w:val="clear" w:pos="425"/>
        </w:tabs>
      </w:pPr>
      <w:r>
        <w:br w:type="page"/>
      </w:r>
    </w:p>
    <w:p w14:paraId="26423500" w14:textId="77777777" w:rsidR="00D50E27" w:rsidRDefault="00D50E27" w:rsidP="00D50E27">
      <w:pPr>
        <w:pStyle w:val="VersoIngls01Sangria"/>
      </w:pPr>
    </w:p>
    <w:p w14:paraId="7A6BF0E4" w14:textId="51138F5E" w:rsidR="00D50E27" w:rsidRDefault="00D50E27" w:rsidP="00D50E27">
      <w:pPr>
        <w:pStyle w:val="VersoIngls01Sangria"/>
      </w:pPr>
      <w:r>
        <w:t xml:space="preserve">La virtud de ese </w:t>
      </w:r>
      <w:proofErr w:type="spellStart"/>
      <w:r w:rsidR="00057BF4" w:rsidRPr="00057BF4">
        <w:rPr>
          <w:i/>
          <w:iCs/>
        </w:rPr>
        <w:t>bhikkhu</w:t>
      </w:r>
      <w:proofErr w:type="spellEnd"/>
      <w:r>
        <w:t xml:space="preserve"> en su función</w:t>
      </w:r>
    </w:p>
    <w:p w14:paraId="1A0555A3" w14:textId="47C8CBE4" w:rsidR="00D50E27" w:rsidRDefault="002943F7" w:rsidP="002943F7">
      <w:pPr>
        <w:pStyle w:val="VersoIngls01Sangria"/>
        <w:spacing w:after="100"/>
        <w:ind w:left="1418"/>
      </w:pPr>
      <w:r w:rsidRPr="00C613F5">
        <w:rPr>
          <w:i/>
          <w:iCs/>
        </w:rPr>
        <w:t>Formará</w:t>
      </w:r>
      <w:r w:rsidR="00D50E27">
        <w:t xml:space="preserve"> </w:t>
      </w:r>
      <w:r w:rsidR="00D50E27" w:rsidRPr="002943F7">
        <w:rPr>
          <w:i/>
          <w:iCs/>
        </w:rPr>
        <w:t>part</w:t>
      </w:r>
      <w:r w:rsidRPr="002943F7">
        <w:rPr>
          <w:i/>
          <w:iCs/>
        </w:rPr>
        <w:t>e</w:t>
      </w:r>
      <w:r w:rsidR="00D50E27" w:rsidRPr="002943F7">
        <w:rPr>
          <w:i/>
          <w:iCs/>
        </w:rPr>
        <w:t xml:space="preserve"> de </w:t>
      </w:r>
      <w:r w:rsidRPr="002943F7">
        <w:rPr>
          <w:i/>
          <w:iCs/>
        </w:rPr>
        <w:t>un</w:t>
      </w:r>
      <w:r w:rsidR="00D50E27" w:rsidRPr="002943F7">
        <w:rPr>
          <w:i/>
          <w:iCs/>
        </w:rPr>
        <w:t>a distinción</w:t>
      </w:r>
      <w:r w:rsidR="00D50E27">
        <w:t>.</w:t>
      </w:r>
    </w:p>
    <w:p w14:paraId="59B31CF7" w14:textId="74F1F840" w:rsidR="00D50E27" w:rsidRDefault="00D50E27" w:rsidP="00D50E27">
      <w:pPr>
        <w:pStyle w:val="VersoIngls01Sangria"/>
      </w:pPr>
      <w:r>
        <w:t>Quien encuentr</w:t>
      </w:r>
      <w:r w:rsidR="002943F7">
        <w:t>e</w:t>
      </w:r>
      <w:r>
        <w:t xml:space="preserve"> que la mera virtud no s</w:t>
      </w:r>
      <w:r w:rsidR="002943F7">
        <w:t>ea</w:t>
      </w:r>
      <w:r>
        <w:t xml:space="preserve"> suficiente</w:t>
      </w:r>
    </w:p>
    <w:p w14:paraId="476B05E6" w14:textId="49F34E16" w:rsidR="00D50E27" w:rsidRDefault="00C613F5" w:rsidP="00D50E27">
      <w:pPr>
        <w:pStyle w:val="VersoIngls01Sangria"/>
      </w:pPr>
      <w:r>
        <w:t>Sino que desarrolle</w:t>
      </w:r>
      <w:r w:rsidR="00D50E27">
        <w:t xml:space="preserve"> desapasionamiento por su objetivo—</w:t>
      </w:r>
    </w:p>
    <w:p w14:paraId="6FCE1E0C" w14:textId="77777777" w:rsidR="00D50E27" w:rsidRDefault="00D50E27" w:rsidP="00D50E27">
      <w:pPr>
        <w:pStyle w:val="VersoIngls01Sangria"/>
      </w:pPr>
      <w:r>
        <w:t>Su virtud por tal aspiración</w:t>
      </w:r>
    </w:p>
    <w:p w14:paraId="516395DD" w14:textId="6FE4F12E" w:rsidR="00D50E27" w:rsidRDefault="00C613F5" w:rsidP="009C6D29">
      <w:pPr>
        <w:pStyle w:val="VersoIngls01Sangria"/>
        <w:spacing w:after="100"/>
        <w:ind w:left="1418"/>
      </w:pPr>
      <w:r w:rsidRPr="00C613F5">
        <w:rPr>
          <w:i/>
          <w:iCs/>
        </w:rPr>
        <w:t>Formará</w:t>
      </w:r>
      <w:r>
        <w:t xml:space="preserve"> </w:t>
      </w:r>
      <w:r w:rsidRPr="00C613F5">
        <w:rPr>
          <w:i/>
          <w:iCs/>
        </w:rPr>
        <w:t xml:space="preserve">parte </w:t>
      </w:r>
      <w:r w:rsidR="00D50E27" w:rsidRPr="00C613F5">
        <w:rPr>
          <w:i/>
          <w:iCs/>
        </w:rPr>
        <w:t xml:space="preserve">de </w:t>
      </w:r>
      <w:r w:rsidRPr="00C613F5">
        <w:rPr>
          <w:i/>
          <w:iCs/>
        </w:rPr>
        <w:t>un</w:t>
      </w:r>
      <w:r w:rsidR="00D50E27" w:rsidRPr="00C613F5">
        <w:rPr>
          <w:i/>
          <w:iCs/>
        </w:rPr>
        <w:t>a penetración</w:t>
      </w:r>
      <w:r w:rsidR="00D50E27">
        <w:t>.</w:t>
      </w:r>
    </w:p>
    <w:p w14:paraId="522864FD" w14:textId="7D2CE148" w:rsidR="009018DA" w:rsidRDefault="00D50E27" w:rsidP="006043ED">
      <w:pPr>
        <w:pStyle w:val="NormalConSangria"/>
      </w:pPr>
      <w:r>
        <w:t xml:space="preserve">Así que </w:t>
      </w:r>
      <w:r w:rsidR="00C75560">
        <w:t>será</w:t>
      </w:r>
      <w:r>
        <w:t xml:space="preserve"> de </w:t>
      </w:r>
      <w:r w:rsidRPr="006043ED">
        <w:t>cuatro</w:t>
      </w:r>
      <w:r>
        <w:t xml:space="preserve"> tipos en cuanto a </w:t>
      </w:r>
      <w:r w:rsidR="00C613F5" w:rsidRPr="00C613F5">
        <w:rPr>
          <w:i/>
          <w:iCs/>
        </w:rPr>
        <w:t>formar parte</w:t>
      </w:r>
      <w:r w:rsidRPr="00C613F5">
        <w:rPr>
          <w:i/>
          <w:iCs/>
        </w:rPr>
        <w:t xml:space="preserve"> de </w:t>
      </w:r>
      <w:r w:rsidR="00C613F5" w:rsidRPr="00C613F5">
        <w:rPr>
          <w:i/>
          <w:iCs/>
        </w:rPr>
        <w:t>un</w:t>
      </w:r>
      <w:r w:rsidRPr="00C613F5">
        <w:rPr>
          <w:i/>
          <w:iCs/>
        </w:rPr>
        <w:t>a</w:t>
      </w:r>
      <w:r>
        <w:t xml:space="preserve"> </w:t>
      </w:r>
      <w:r w:rsidRPr="00C613F5">
        <w:rPr>
          <w:i/>
          <w:iCs/>
        </w:rPr>
        <w:t>disminución</w:t>
      </w:r>
      <w:r w:rsidR="00C613F5">
        <w:t>, …etc.</w:t>
      </w:r>
    </w:p>
    <w:p w14:paraId="05F5DFC2" w14:textId="4304317C" w:rsidR="009018DA" w:rsidRDefault="009018DA" w:rsidP="009018DA">
      <w:r>
        <w:t xml:space="preserve">40. </w:t>
      </w:r>
      <w:r>
        <w:tab/>
      </w:r>
      <w:r w:rsidRPr="00D31E59">
        <w:rPr>
          <w:i/>
          <w:iCs/>
        </w:rPr>
        <w:t>15.</w:t>
      </w:r>
      <w:r>
        <w:t xml:space="preserve"> En la segunda tétrada hay preceptos de entrenamiento </w:t>
      </w:r>
      <w:r w:rsidR="006043ED">
        <w:t>e</w:t>
      </w:r>
      <w:r>
        <w:t xml:space="preserve">nunciados para que los </w:t>
      </w:r>
      <w:proofErr w:type="spellStart"/>
      <w:r w:rsidR="00057BF4" w:rsidRPr="00057BF4">
        <w:rPr>
          <w:i/>
          <w:iCs/>
        </w:rPr>
        <w:t>bhikkhu</w:t>
      </w:r>
      <w:r w:rsidRPr="00581B5B">
        <w:rPr>
          <w:i/>
          <w:iCs/>
        </w:rPr>
        <w:t>s</w:t>
      </w:r>
      <w:proofErr w:type="spellEnd"/>
      <w:r>
        <w:t xml:space="preserve"> los </w:t>
      </w:r>
      <w:r w:rsidRPr="00581B5B">
        <w:rPr>
          <w:i/>
          <w:iCs/>
        </w:rPr>
        <w:t>mantengan</w:t>
      </w:r>
      <w:r>
        <w:t xml:space="preserve"> independientemente de lo que se anunci</w:t>
      </w:r>
      <w:r w:rsidR="00A0753F">
        <w:t>e</w:t>
      </w:r>
      <w:r>
        <w:t xml:space="preserve"> </w:t>
      </w:r>
      <w:r w:rsidR="00A0753F">
        <w:t>a</w:t>
      </w:r>
      <w:r>
        <w:t xml:space="preserve"> l</w:t>
      </w:r>
      <w:r w:rsidR="006043ED">
        <w:t>a</w:t>
      </w:r>
      <w:r>
        <w:t xml:space="preserve">s </w:t>
      </w:r>
      <w:proofErr w:type="spellStart"/>
      <w:r w:rsidR="00057BF4" w:rsidRPr="00057BF4">
        <w:rPr>
          <w:i/>
          <w:iCs/>
        </w:rPr>
        <w:t>bhikkhunī</w:t>
      </w:r>
      <w:r w:rsidRPr="00581B5B">
        <w:rPr>
          <w:i/>
          <w:iCs/>
        </w:rPr>
        <w:t>s</w:t>
      </w:r>
      <w:proofErr w:type="spellEnd"/>
      <w:r>
        <w:t xml:space="preserve">. Esta es la </w:t>
      </w:r>
      <w:r w:rsidRPr="00D2139D">
        <w:rPr>
          <w:i/>
          <w:iCs/>
        </w:rPr>
        <w:t>virtud</w:t>
      </w:r>
      <w:r>
        <w:t xml:space="preserve"> </w:t>
      </w:r>
      <w:r w:rsidRPr="00EE2989">
        <w:rPr>
          <w:i/>
          <w:iCs/>
        </w:rPr>
        <w:t>de los</w:t>
      </w:r>
      <w:r>
        <w:t xml:space="preserve"> </w:t>
      </w:r>
      <w:proofErr w:type="spellStart"/>
      <w:r w:rsidR="00057BF4" w:rsidRPr="00057BF4">
        <w:rPr>
          <w:i/>
          <w:iCs/>
        </w:rPr>
        <w:t>bhikkhu</w:t>
      </w:r>
      <w:r w:rsidRPr="00D31E59">
        <w:rPr>
          <w:i/>
          <w:iCs/>
        </w:rPr>
        <w:t>s</w:t>
      </w:r>
      <w:proofErr w:type="spellEnd"/>
      <w:r>
        <w:t>. Hay preceptos de entrenamiento anunciados para que l</w:t>
      </w:r>
      <w:r w:rsidR="00A0753F">
        <w:t>a</w:t>
      </w:r>
      <w:r>
        <w:t xml:space="preserve">s </w:t>
      </w:r>
      <w:proofErr w:type="spellStart"/>
      <w:r w:rsidR="00057BF4" w:rsidRPr="00057BF4">
        <w:rPr>
          <w:i/>
          <w:iCs/>
        </w:rPr>
        <w:t>bhikkhunī</w:t>
      </w:r>
      <w:r w:rsidRPr="00581B5B">
        <w:rPr>
          <w:i/>
          <w:iCs/>
        </w:rPr>
        <w:t>s</w:t>
      </w:r>
      <w:proofErr w:type="spellEnd"/>
      <w:r>
        <w:t xml:space="preserve"> los mantengan independientemente de lo que se anuncie </w:t>
      </w:r>
      <w:r w:rsidR="00A0753F">
        <w:t>a</w:t>
      </w:r>
      <w:r>
        <w:t xml:space="preserve"> los </w:t>
      </w:r>
      <w:proofErr w:type="spellStart"/>
      <w:r w:rsidR="00057BF4" w:rsidRPr="00057BF4">
        <w:rPr>
          <w:i/>
          <w:iCs/>
        </w:rPr>
        <w:t>bhikkhu</w:t>
      </w:r>
      <w:r w:rsidRPr="00581B5B">
        <w:rPr>
          <w:i/>
          <w:iCs/>
        </w:rPr>
        <w:t>s</w:t>
      </w:r>
      <w:proofErr w:type="spellEnd"/>
      <w:r>
        <w:t xml:space="preserve">. </w:t>
      </w:r>
      <w:r w:rsidR="00EE2989">
        <w:t>É</w:t>
      </w:r>
      <w:r>
        <w:t xml:space="preserve">sta es la </w:t>
      </w:r>
      <w:r w:rsidRPr="00D2139D">
        <w:rPr>
          <w:i/>
          <w:iCs/>
        </w:rPr>
        <w:t>virtud</w:t>
      </w:r>
      <w:r>
        <w:t xml:space="preserve"> </w:t>
      </w:r>
      <w:r w:rsidRPr="00EE2989">
        <w:rPr>
          <w:i/>
          <w:iCs/>
        </w:rPr>
        <w:t>de las</w:t>
      </w:r>
      <w:r>
        <w:t xml:space="preserve"> </w:t>
      </w:r>
      <w:proofErr w:type="spellStart"/>
      <w:r w:rsidR="00EE2989">
        <w:rPr>
          <w:i/>
          <w:iCs/>
        </w:rPr>
        <w:t>bhikkhunī</w:t>
      </w:r>
      <w:r w:rsidRPr="00581B5B">
        <w:rPr>
          <w:i/>
          <w:iCs/>
        </w:rPr>
        <w:t>s</w:t>
      </w:r>
      <w:proofErr w:type="spellEnd"/>
      <w:r>
        <w:t xml:space="preserve">. Los diez preceptos de virtud para </w:t>
      </w:r>
      <w:proofErr w:type="gramStart"/>
      <w:r>
        <w:t>novicios y novicias</w:t>
      </w:r>
      <w:proofErr w:type="gramEnd"/>
      <w:r>
        <w:t xml:space="preserve"> son la </w:t>
      </w:r>
      <w:r w:rsidRPr="00D2139D">
        <w:rPr>
          <w:i/>
          <w:iCs/>
        </w:rPr>
        <w:t>virtud</w:t>
      </w:r>
      <w:r>
        <w:t xml:space="preserve"> </w:t>
      </w:r>
      <w:r w:rsidRPr="00EE2989">
        <w:rPr>
          <w:i/>
          <w:iCs/>
        </w:rPr>
        <w:t xml:space="preserve">de </w:t>
      </w:r>
      <w:r w:rsidRPr="00D31E59">
        <w:rPr>
          <w:i/>
          <w:iCs/>
        </w:rPr>
        <w:t>los no admitidos plenamente</w:t>
      </w:r>
      <w:r>
        <w:t xml:space="preserve">. Los cinco preceptos de entrenamiento —diez cuando sea posible— como un </w:t>
      </w:r>
      <w:r w:rsidR="00EE2989">
        <w:t>emprendimiento</w:t>
      </w:r>
      <w:r>
        <w:t xml:space="preserve"> permanente y ocho como los factores del Día de </w:t>
      </w:r>
      <w:r w:rsidR="00057BF4" w:rsidRPr="00057BF4">
        <w:rPr>
          <w:i/>
          <w:iCs/>
        </w:rPr>
        <w:t>Uposatha</w:t>
      </w:r>
      <w:r>
        <w:t>,</w:t>
      </w:r>
      <w:r w:rsidRPr="000C2674">
        <w:rPr>
          <w:vertAlign w:val="superscript"/>
        </w:rPr>
        <w:t>10</w:t>
      </w:r>
      <w:r>
        <w:t xml:space="preserve"> para seguidores laicos masculinos y femeninos </w:t>
      </w:r>
      <w:r w:rsidR="00EE2989">
        <w:t>corresponden a</w:t>
      </w:r>
      <w:r>
        <w:t xml:space="preserve"> la virtud </w:t>
      </w:r>
      <w:r w:rsidRPr="00D31E59">
        <w:rPr>
          <w:i/>
          <w:iCs/>
        </w:rPr>
        <w:t>de los laicos</w:t>
      </w:r>
      <w:r>
        <w:t xml:space="preserve">. </w:t>
      </w:r>
      <w:r w:rsidR="00EE2989">
        <w:t xml:space="preserve">Así es cómo la virtud puede ser cuatro clases: </w:t>
      </w:r>
      <w:r>
        <w:t xml:space="preserve"> como </w:t>
      </w:r>
      <w:r w:rsidRPr="00D2139D">
        <w:rPr>
          <w:i/>
          <w:iCs/>
        </w:rPr>
        <w:t>la virtud</w:t>
      </w:r>
      <w:r>
        <w:t xml:space="preserve"> </w:t>
      </w:r>
      <w:r w:rsidRPr="00D2139D">
        <w:rPr>
          <w:i/>
          <w:iCs/>
        </w:rPr>
        <w:t>de los</w:t>
      </w:r>
      <w:r>
        <w:t xml:space="preserve"> </w:t>
      </w:r>
      <w:proofErr w:type="spellStart"/>
      <w:r w:rsidR="00057BF4" w:rsidRPr="00057BF4">
        <w:rPr>
          <w:i/>
          <w:iCs/>
        </w:rPr>
        <w:t>bhikkhu</w:t>
      </w:r>
      <w:r w:rsidRPr="00581B5B">
        <w:rPr>
          <w:i/>
          <w:iCs/>
        </w:rPr>
        <w:t>s</w:t>
      </w:r>
      <w:proofErr w:type="spellEnd"/>
      <w:r>
        <w:t>,</w:t>
      </w:r>
      <w:r w:rsidR="00D2139D">
        <w:t xml:space="preserve"> …etc.</w:t>
      </w:r>
    </w:p>
    <w:p w14:paraId="4495BB64" w14:textId="71AC3EC2" w:rsidR="009018DA" w:rsidRDefault="009018DA" w:rsidP="009018DA">
      <w:r>
        <w:t xml:space="preserve">41. </w:t>
      </w:r>
      <w:r>
        <w:tab/>
      </w:r>
      <w:r w:rsidRPr="00D31E59">
        <w:rPr>
          <w:i/>
          <w:iCs/>
        </w:rPr>
        <w:t>16</w:t>
      </w:r>
      <w:r>
        <w:t>. En la tercera tétrada, la no</w:t>
      </w:r>
      <w:r w:rsidR="001E73E2">
        <w:t>–</w:t>
      </w:r>
      <w:r>
        <w:t xml:space="preserve">transgresión por parte de los seres humanos </w:t>
      </w:r>
      <w:proofErr w:type="spellStart"/>
      <w:r w:rsidRPr="00D2139D">
        <w:rPr>
          <w:i/>
          <w:iCs/>
        </w:rPr>
        <w:t>Uttarakuru</w:t>
      </w:r>
      <w:proofErr w:type="spellEnd"/>
      <w:r>
        <w:t xml:space="preserve"> es </w:t>
      </w:r>
      <w:r w:rsidR="00D2139D">
        <w:t xml:space="preserve">una </w:t>
      </w:r>
      <w:r w:rsidRPr="00E056AE">
        <w:t>virtud</w:t>
      </w:r>
      <w:r w:rsidRPr="00D31E59">
        <w:rPr>
          <w:i/>
          <w:iCs/>
        </w:rPr>
        <w:t xml:space="preserve"> natural</w:t>
      </w:r>
      <w:r>
        <w:t xml:space="preserve">. Las reglas de conducta propias de cada clan, localidad o secta </w:t>
      </w:r>
      <w:r w:rsidR="00D2139D">
        <w:t>corre</w:t>
      </w:r>
      <w:r w:rsidR="007722B1">
        <w:t>s</w:t>
      </w:r>
      <w:r w:rsidR="00D2139D">
        <w:t>ponde</w:t>
      </w:r>
      <w:r w:rsidR="006A201F">
        <w:t>n</w:t>
      </w:r>
      <w:r>
        <w:t xml:space="preserve"> </w:t>
      </w:r>
      <w:r w:rsidR="007722B1">
        <w:t xml:space="preserve">a una </w:t>
      </w:r>
      <w:r w:rsidRPr="006A201F">
        <w:t>virtud</w:t>
      </w:r>
      <w:r w:rsidRPr="00D31E59">
        <w:rPr>
          <w:i/>
          <w:iCs/>
        </w:rPr>
        <w:t xml:space="preserve"> consuetudinaria</w:t>
      </w:r>
      <w:r>
        <w:t xml:space="preserve">. La virtud de la madre del </w:t>
      </w:r>
      <w:r w:rsidR="00057BF4" w:rsidRPr="00057BF4">
        <w:rPr>
          <w:i/>
          <w:iCs/>
        </w:rPr>
        <w:t>Bodhisatta</w:t>
      </w:r>
      <w:r>
        <w:t xml:space="preserve"> se describe así: “Es la regla necesaria, Ānanda, que cuando el </w:t>
      </w:r>
      <w:r w:rsidR="00057BF4" w:rsidRPr="00057BF4">
        <w:rPr>
          <w:i/>
        </w:rPr>
        <w:t>Bodhisatta</w:t>
      </w:r>
      <w:r>
        <w:t xml:space="preserve"> ha</w:t>
      </w:r>
      <w:r w:rsidR="00AE158B">
        <w:t>ya</w:t>
      </w:r>
      <w:r>
        <w:t xml:space="preserve"> descendido al vientre de su madre, ningún pensamiento de hombres que esté conectado con las cuerdas del deseo de los sentidos ven</w:t>
      </w:r>
      <w:r w:rsidR="0077329E">
        <w:t>ga</w:t>
      </w:r>
      <w:r>
        <w:t xml:space="preserve"> a ella” (D II 13), </w:t>
      </w:r>
      <w:r w:rsidR="0077329E">
        <w:t xml:space="preserve">ésta </w:t>
      </w:r>
      <w:r>
        <w:t xml:space="preserve">es </w:t>
      </w:r>
      <w:r w:rsidR="0077329E">
        <w:t xml:space="preserve">una </w:t>
      </w:r>
      <w:r w:rsidRPr="006A201F">
        <w:t>virtud</w:t>
      </w:r>
      <w:r w:rsidRPr="00D31E59">
        <w:rPr>
          <w:i/>
          <w:iCs/>
        </w:rPr>
        <w:t xml:space="preserve"> necesaria</w:t>
      </w:r>
      <w:r>
        <w:t xml:space="preserve">. Pero la virtud de seres tan puros como Mahā Kassapa, etc., y </w:t>
      </w:r>
      <w:r w:rsidR="0077329E">
        <w:t xml:space="preserve">la </w:t>
      </w:r>
      <w:r>
        <w:t xml:space="preserve">del </w:t>
      </w:r>
      <w:r w:rsidR="00057BF4" w:rsidRPr="00057BF4">
        <w:rPr>
          <w:i/>
        </w:rPr>
        <w:t>Bodhisatta</w:t>
      </w:r>
      <w:r>
        <w:t xml:space="preserve"> en sus diversos </w:t>
      </w:r>
      <w:r w:rsidR="0077329E">
        <w:t>re</w:t>
      </w:r>
      <w:r>
        <w:t xml:space="preserve">nacimientos es </w:t>
      </w:r>
      <w:r w:rsidR="0077329E">
        <w:t xml:space="preserve">una </w:t>
      </w:r>
      <w:r>
        <w:t xml:space="preserve">virtud debida </w:t>
      </w:r>
      <w:r w:rsidRPr="00D31E59">
        <w:rPr>
          <w:i/>
          <w:iCs/>
        </w:rPr>
        <w:t xml:space="preserve">a causas </w:t>
      </w:r>
      <w:r w:rsidR="00917E0E">
        <w:rPr>
          <w:i/>
          <w:iCs/>
        </w:rPr>
        <w:t>previas</w:t>
      </w:r>
      <w:r>
        <w:t xml:space="preserve">. </w:t>
      </w:r>
      <w:r w:rsidR="00917E0E">
        <w:t xml:space="preserve">Así es cómo la virtud puede ser cuatro clases:  </w:t>
      </w:r>
      <w:r>
        <w:t xml:space="preserve">como </w:t>
      </w:r>
      <w:r w:rsidR="00917E0E">
        <w:t xml:space="preserve">una </w:t>
      </w:r>
      <w:r w:rsidRPr="006A201F">
        <w:t>virtud</w:t>
      </w:r>
      <w:r w:rsidRPr="00917E0E">
        <w:rPr>
          <w:i/>
          <w:iCs/>
        </w:rPr>
        <w:t xml:space="preserve"> natural</w:t>
      </w:r>
      <w:r w:rsidR="00917E0E">
        <w:t>, …etc.</w:t>
      </w:r>
    </w:p>
    <w:p w14:paraId="3F42C1B9" w14:textId="26942B42" w:rsidR="009018DA" w:rsidRDefault="009018DA" w:rsidP="009018DA">
      <w:r>
        <w:t xml:space="preserve">42. </w:t>
      </w:r>
      <w:r>
        <w:tab/>
      </w:r>
      <w:r w:rsidRPr="00D31E59">
        <w:rPr>
          <w:i/>
          <w:iCs/>
        </w:rPr>
        <w:t>17</w:t>
      </w:r>
      <w:r>
        <w:t>. En la cuarta tétrada:</w:t>
      </w:r>
    </w:p>
    <w:p w14:paraId="7F0E9A3D" w14:textId="53273B06" w:rsidR="009018DA" w:rsidRDefault="009018DA" w:rsidP="009018DA">
      <w:pPr>
        <w:pStyle w:val="NormalConSangria"/>
      </w:pPr>
      <w:r>
        <w:t xml:space="preserve">(a) La virtud descrita por el </w:t>
      </w:r>
      <w:r w:rsidR="00346A0C" w:rsidRPr="00346A0C">
        <w:rPr>
          <w:i/>
          <w:iCs/>
        </w:rPr>
        <w:t>Bhagavā</w:t>
      </w:r>
      <w:r>
        <w:t xml:space="preserve"> así: “Aquí un </w:t>
      </w:r>
      <w:proofErr w:type="spellStart"/>
      <w:r w:rsidR="00057BF4" w:rsidRPr="00057BF4">
        <w:rPr>
          <w:i/>
          <w:iCs/>
        </w:rPr>
        <w:t>bhikkhu</w:t>
      </w:r>
      <w:proofErr w:type="spellEnd"/>
      <w:r>
        <w:t xml:space="preserve"> </w:t>
      </w:r>
      <w:r w:rsidR="006A69B3">
        <w:t>habita</w:t>
      </w:r>
      <w:r>
        <w:t xml:space="preserve"> </w:t>
      </w:r>
      <w:r w:rsidR="005857AB">
        <w:t>restringi</w:t>
      </w:r>
      <w:r w:rsidR="00EF2ED0">
        <w:t>d</w:t>
      </w:r>
      <w:r w:rsidR="005857AB">
        <w:t>o</w:t>
      </w:r>
      <w:r>
        <w:t xml:space="preserve"> con la restricción </w:t>
      </w:r>
      <w:proofErr w:type="spellStart"/>
      <w:r w:rsidRPr="00D31E59">
        <w:rPr>
          <w:i/>
          <w:iCs/>
        </w:rPr>
        <w:t>Pātimokkha</w:t>
      </w:r>
      <w:proofErr w:type="spellEnd"/>
      <w:r>
        <w:t xml:space="preserve">, poseído de conducta y </w:t>
      </w:r>
      <w:r w:rsidR="0081590D">
        <w:t>recursos</w:t>
      </w:r>
      <w:r w:rsidR="005B6F2E">
        <w:t xml:space="preserve"> [apropiad</w:t>
      </w:r>
      <w:r w:rsidR="00C9066D">
        <w:t>o</w:t>
      </w:r>
      <w:r w:rsidR="005B6F2E">
        <w:t>s]</w:t>
      </w:r>
      <w:r>
        <w:t xml:space="preserve">, </w:t>
      </w:r>
      <w:r w:rsidR="005B6F2E">
        <w:t>apreciando</w:t>
      </w:r>
      <w:r>
        <w:t xml:space="preserve"> el miedo en la más mínima falta, se entrena a sí mismo siguiendo los preceptos de </w:t>
      </w:r>
      <w:r w:rsidR="005B6F2E">
        <w:t>e</w:t>
      </w:r>
      <w:r>
        <w:t>ntrenamiento, (</w:t>
      </w:r>
      <w:proofErr w:type="spellStart"/>
      <w:r>
        <w:t>Vibh</w:t>
      </w:r>
      <w:proofErr w:type="spellEnd"/>
      <w:r>
        <w:t xml:space="preserve"> 244)” </w:t>
      </w:r>
      <w:r w:rsidR="005B6F2E">
        <w:t>corresponde a una</w:t>
      </w:r>
      <w:r>
        <w:t xml:space="preserve"> </w:t>
      </w:r>
      <w:r w:rsidRPr="005B068A">
        <w:t>virtud</w:t>
      </w:r>
      <w:r w:rsidRPr="00D31E59">
        <w:rPr>
          <w:i/>
          <w:iCs/>
        </w:rPr>
        <w:t xml:space="preserve"> </w:t>
      </w:r>
      <w:r w:rsidR="000E786D">
        <w:rPr>
          <w:i/>
          <w:iCs/>
        </w:rPr>
        <w:t>mediante la restricción</w:t>
      </w:r>
      <w:r w:rsidRPr="00D31E59">
        <w:rPr>
          <w:i/>
          <w:iCs/>
        </w:rPr>
        <w:t xml:space="preserve"> </w:t>
      </w:r>
      <w:proofErr w:type="spellStart"/>
      <w:r w:rsidRPr="00D31E59">
        <w:rPr>
          <w:i/>
          <w:iCs/>
        </w:rPr>
        <w:t>Pātimokkha</w:t>
      </w:r>
      <w:proofErr w:type="spellEnd"/>
      <w:r>
        <w:t>.</w:t>
      </w:r>
    </w:p>
    <w:p w14:paraId="6E4013AA" w14:textId="2B27F480" w:rsidR="009018DA" w:rsidRDefault="009018DA" w:rsidP="009018DA">
      <w:pPr>
        <w:pStyle w:val="NormalConSangria"/>
      </w:pPr>
      <w:r>
        <w:t xml:space="preserve">(b) </w:t>
      </w:r>
      <w:r w:rsidR="000E786D">
        <w:t>La</w:t>
      </w:r>
      <w:r>
        <w:t xml:space="preserve"> descri</w:t>
      </w:r>
      <w:r w:rsidR="000E786D">
        <w:t>ta</w:t>
      </w:r>
      <w:r>
        <w:t xml:space="preserve"> así: “Al ver un objeto visible con el ojo, [16] no </w:t>
      </w:r>
      <w:r w:rsidR="00033756">
        <w:t>aprehende</w:t>
      </w:r>
      <w:r w:rsidR="00BB6D36">
        <w:t>rá</w:t>
      </w:r>
      <w:r>
        <w:t xml:space="preserve"> ni los signos ni los detalles a través de los cuales, si dejara la facultad del ojo desprotegida, los malos e </w:t>
      </w:r>
      <w:r w:rsidR="00827692">
        <w:t xml:space="preserve">improductivos </w:t>
      </w:r>
      <w:r>
        <w:t xml:space="preserve">estados de codicia y </w:t>
      </w:r>
      <w:r w:rsidR="00BB6D36">
        <w:t>aflicción</w:t>
      </w:r>
      <w:r>
        <w:t xml:space="preserve"> podrían invadirlo; </w:t>
      </w:r>
      <w:r w:rsidR="008E3D4F">
        <w:t xml:space="preserve">él </w:t>
      </w:r>
      <w:r>
        <w:t xml:space="preserve">entra en el </w:t>
      </w:r>
      <w:r w:rsidR="000E786D">
        <w:t xml:space="preserve">sendero </w:t>
      </w:r>
      <w:r>
        <w:t xml:space="preserve">de su restricción, </w:t>
      </w:r>
      <w:r w:rsidR="000E786D">
        <w:t>res</w:t>
      </w:r>
      <w:r>
        <w:t xml:space="preserve">guarda la facultad del ojo, emprende la restricción de la facultad del ojo. Al oír un sonido con el oído... Al oler </w:t>
      </w:r>
    </w:p>
    <w:p w14:paraId="2B3F4430" w14:textId="77777777" w:rsidR="009018DA" w:rsidRPr="009018DA" w:rsidRDefault="009018DA" w:rsidP="009018DA">
      <w:pPr>
        <w:pStyle w:val="PiedepginaLegal"/>
        <w:rPr>
          <w:u w:val="single"/>
        </w:rPr>
      </w:pPr>
      <w:r w:rsidRPr="009018DA">
        <w:rPr>
          <w:u w:val="single"/>
        </w:rPr>
        <w:t xml:space="preserve">                                                                                                                                      .</w:t>
      </w:r>
    </w:p>
    <w:p w14:paraId="46DE3C8C" w14:textId="6B14E712" w:rsidR="009018DA" w:rsidRDefault="009018DA" w:rsidP="009018DA">
      <w:pPr>
        <w:pStyle w:val="PiedepginaLegal"/>
      </w:pPr>
      <w:r>
        <w:t xml:space="preserve">10. </w:t>
      </w:r>
      <w:r>
        <w:tab/>
      </w:r>
      <w:proofErr w:type="spellStart"/>
      <w:r w:rsidR="00057BF4" w:rsidRPr="00057BF4">
        <w:rPr>
          <w:i/>
          <w:iCs/>
        </w:rPr>
        <w:t>Uposatha</w:t>
      </w:r>
      <w:proofErr w:type="spellEnd"/>
      <w:r>
        <w:t xml:space="preserve"> (</w:t>
      </w:r>
      <w:proofErr w:type="spellStart"/>
      <w:r>
        <w:t>der</w:t>
      </w:r>
      <w:proofErr w:type="spellEnd"/>
      <w:r>
        <w:t xml:space="preserve">. de </w:t>
      </w:r>
      <w:proofErr w:type="spellStart"/>
      <w:r w:rsidRPr="00D31E59">
        <w:rPr>
          <w:i/>
          <w:iCs/>
        </w:rPr>
        <w:t>upavasati</w:t>
      </w:r>
      <w:proofErr w:type="spellEnd"/>
      <w:r>
        <w:t xml:space="preserve">, observar o preparar) es el nombre del día de “ayuno” o “vigilia” observado en los días de </w:t>
      </w:r>
      <w:r w:rsidR="00BC019E">
        <w:t xml:space="preserve">Luna </w:t>
      </w:r>
      <w:r>
        <w:t xml:space="preserve">nueva, media </w:t>
      </w:r>
      <w:r w:rsidR="00BC019E">
        <w:t xml:space="preserve">Luna </w:t>
      </w:r>
      <w:r>
        <w:t xml:space="preserve">creciente, </w:t>
      </w:r>
      <w:r w:rsidR="00BC019E">
        <w:t xml:space="preserve">Luna </w:t>
      </w:r>
      <w:r>
        <w:t xml:space="preserve">llena y media </w:t>
      </w:r>
      <w:r w:rsidR="00BC019E">
        <w:t xml:space="preserve">Luna </w:t>
      </w:r>
      <w:r>
        <w:t xml:space="preserve">menguante. En estos días es costumbre que los laicos </w:t>
      </w:r>
      <w:r w:rsidR="00BC019E">
        <w:t>observen</w:t>
      </w:r>
      <w:r>
        <w:t xml:space="preserve"> los Ocho Preceptos (</w:t>
      </w:r>
      <w:r w:rsidR="00D31E59">
        <w:rPr>
          <w:i/>
          <w:iCs/>
        </w:rPr>
        <w:t>sīla</w:t>
      </w:r>
      <w:r>
        <w:t xml:space="preserve">) o los Cinco Preceptos. En los días de </w:t>
      </w:r>
      <w:r w:rsidR="00BC019E">
        <w:t xml:space="preserve">Luna </w:t>
      </w:r>
      <w:r>
        <w:t xml:space="preserve">nueva y </w:t>
      </w:r>
      <w:r w:rsidR="00BC019E">
        <w:t xml:space="preserve">Luna </w:t>
      </w:r>
      <w:r>
        <w:t xml:space="preserve">llena, los </w:t>
      </w:r>
      <w:proofErr w:type="spellStart"/>
      <w:r w:rsidR="00057BF4" w:rsidRPr="00057BF4">
        <w:rPr>
          <w:i/>
          <w:iCs/>
        </w:rPr>
        <w:t>bhikkhu</w:t>
      </w:r>
      <w:r w:rsidRPr="00D31E59">
        <w:rPr>
          <w:i/>
          <w:iCs/>
        </w:rPr>
        <w:t>s</w:t>
      </w:r>
      <w:proofErr w:type="spellEnd"/>
      <w:r>
        <w:t xml:space="preserve"> recitan el </w:t>
      </w:r>
      <w:proofErr w:type="spellStart"/>
      <w:r w:rsidRPr="00D31E59">
        <w:rPr>
          <w:i/>
          <w:iCs/>
        </w:rPr>
        <w:t>Pātimokkha</w:t>
      </w:r>
      <w:proofErr w:type="spellEnd"/>
      <w:r>
        <w:t xml:space="preserve"> (ver nota 11). Los dos días de cuarto de </w:t>
      </w:r>
      <w:r w:rsidR="00BC019E">
        <w:t xml:space="preserve">Luna </w:t>
      </w:r>
      <w:r>
        <w:t xml:space="preserve">se llaman el "octavo de la media </w:t>
      </w:r>
      <w:r w:rsidR="00BC019E">
        <w:t>Luna</w:t>
      </w:r>
      <w:r>
        <w:t xml:space="preserve">". </w:t>
      </w:r>
      <w:r w:rsidR="00BC019E">
        <w:t>A</w:t>
      </w:r>
      <w:r>
        <w:t xml:space="preserve">l día de </w:t>
      </w:r>
      <w:r w:rsidR="00BC019E">
        <w:t xml:space="preserve">Luna </w:t>
      </w:r>
      <w:r>
        <w:t xml:space="preserve">llena se </w:t>
      </w:r>
      <w:r w:rsidR="00BC019E">
        <w:t xml:space="preserve">le </w:t>
      </w:r>
      <w:r>
        <w:t xml:space="preserve">llama el "decimoquinto" (es decir, quince días desde la </w:t>
      </w:r>
      <w:r w:rsidR="00BC019E">
        <w:t xml:space="preserve">Luna </w:t>
      </w:r>
      <w:r>
        <w:t xml:space="preserve">nueva) y es el último día del mes </w:t>
      </w:r>
      <w:r w:rsidR="00BC019E">
        <w:t>Lunar</w:t>
      </w:r>
      <w:r>
        <w:t xml:space="preserve">. </w:t>
      </w:r>
      <w:r w:rsidR="00BC019E">
        <w:t>Al</w:t>
      </w:r>
      <w:r>
        <w:t xml:space="preserve"> de la </w:t>
      </w:r>
      <w:r w:rsidR="00BC019E">
        <w:t xml:space="preserve">Luna </w:t>
      </w:r>
      <w:r>
        <w:t xml:space="preserve">nueva se </w:t>
      </w:r>
      <w:r w:rsidR="00BC019E">
        <w:t xml:space="preserve">le </w:t>
      </w:r>
      <w:r>
        <w:t xml:space="preserve">llama "decimocuarta" cuando es la segunda y cuarta </w:t>
      </w:r>
      <w:r w:rsidR="00BC019E">
        <w:t xml:space="preserve">Luna </w:t>
      </w:r>
      <w:r>
        <w:t xml:space="preserve">nueva de la temporada de cuatro meses (es decir, catorce días desde la </w:t>
      </w:r>
      <w:r w:rsidR="00BC019E">
        <w:t xml:space="preserve">Luna </w:t>
      </w:r>
      <w:r>
        <w:t xml:space="preserve">llena), </w:t>
      </w:r>
      <w:r w:rsidR="00BC019E">
        <w:t xml:space="preserve">a </w:t>
      </w:r>
      <w:r>
        <w:t xml:space="preserve">las otras dos se </w:t>
      </w:r>
      <w:r w:rsidR="00BC019E">
        <w:t xml:space="preserve">le </w:t>
      </w:r>
      <w:r>
        <w:t>llaman "decimoquint</w:t>
      </w:r>
      <w:r w:rsidR="00BC019E">
        <w:t>o</w:t>
      </w:r>
      <w:r>
        <w:t xml:space="preserve">". Esto compensa las irregularidades del período </w:t>
      </w:r>
      <w:r w:rsidR="00BC019E">
        <w:t>Lunar</w:t>
      </w:r>
      <w:r>
        <w:t>.</w:t>
      </w:r>
      <w:r>
        <w:br w:type="page"/>
      </w:r>
    </w:p>
    <w:p w14:paraId="4EB1B3A2" w14:textId="36C4B24E" w:rsidR="007D3B25" w:rsidRDefault="00402722" w:rsidP="007D3B25">
      <w:r>
        <w:lastRenderedPageBreak/>
        <w:t xml:space="preserve">un </w:t>
      </w:r>
      <w:r w:rsidR="000E786D">
        <w:t xml:space="preserve">olor con la nariz... Al probar un sabor </w:t>
      </w:r>
      <w:r w:rsidR="007D3B25">
        <w:t xml:space="preserve">con la lengua... Al </w:t>
      </w:r>
      <w:r w:rsidR="005200A2">
        <w:t>sentir</w:t>
      </w:r>
      <w:r w:rsidR="007D3B25">
        <w:t xml:space="preserve"> un objeto tangible con el cuerpo... Al conocer un objeto mental con la mente, no percibe ni los signos ni los detalles a través de los cuales, si dejara la facultad de la mente sin vigilancia, </w:t>
      </w:r>
      <w:r w:rsidR="008E0998">
        <w:t xml:space="preserve">los </w:t>
      </w:r>
      <w:r w:rsidR="007D3B25">
        <w:t xml:space="preserve">malos e inútiles </w:t>
      </w:r>
      <w:r>
        <w:t xml:space="preserve">estados </w:t>
      </w:r>
      <w:r w:rsidR="007D3B25">
        <w:t xml:space="preserve">de codicia y dolor </w:t>
      </w:r>
      <w:r w:rsidR="008E0998">
        <w:t xml:space="preserve">podrían </w:t>
      </w:r>
      <w:r>
        <w:t>i</w:t>
      </w:r>
      <w:r w:rsidR="007D3B25">
        <w:t>nvad</w:t>
      </w:r>
      <w:r w:rsidR="008E0998">
        <w:t>irlo</w:t>
      </w:r>
      <w:r w:rsidR="007D3B25">
        <w:t xml:space="preserve">; entra en el </w:t>
      </w:r>
      <w:r>
        <w:t>sendero</w:t>
      </w:r>
      <w:r w:rsidR="007D3B25">
        <w:t xml:space="preserve"> de su restricción, protege la facultad de la mente, emprende la restricción de la facultad de la mente (M I 180), </w:t>
      </w:r>
      <w:r>
        <w:t xml:space="preserve">corresponde a </w:t>
      </w:r>
      <w:r w:rsidR="00A70AA3">
        <w:t>la</w:t>
      </w:r>
      <w:r w:rsidR="007D3B25">
        <w:t xml:space="preserve"> </w:t>
      </w:r>
      <w:r w:rsidR="007D3B25" w:rsidRPr="008E0998">
        <w:t>virtud</w:t>
      </w:r>
      <w:r w:rsidR="007D3B25" w:rsidRPr="00D31E59">
        <w:rPr>
          <w:i/>
          <w:iCs/>
        </w:rPr>
        <w:t xml:space="preserve"> de la restricción de las facultades de los sentidos</w:t>
      </w:r>
      <w:r w:rsidR="007D3B25">
        <w:t>.</w:t>
      </w:r>
    </w:p>
    <w:p w14:paraId="124531E2" w14:textId="61D4FEF1" w:rsidR="007D3B25" w:rsidRDefault="007D3B25" w:rsidP="007D3B25">
      <w:pPr>
        <w:pStyle w:val="NormalConSangria"/>
      </w:pPr>
      <w:r>
        <w:t>(c) La abstinencia de</w:t>
      </w:r>
      <w:r w:rsidR="008845A3">
        <w:t>l</w:t>
      </w:r>
      <w:r>
        <w:t xml:space="preserve"> </w:t>
      </w:r>
      <w:r w:rsidR="008845A3">
        <w:t>sustento</w:t>
      </w:r>
      <w:r>
        <w:t xml:space="preserve"> de vida incorrecto que implique la transgresión de los </w:t>
      </w:r>
      <w:r w:rsidR="008845A3">
        <w:t xml:space="preserve">6 </w:t>
      </w:r>
      <w:r>
        <w:t xml:space="preserve">preceptos de entrenamiento </w:t>
      </w:r>
      <w:r w:rsidR="00C038CA">
        <w:t>e</w:t>
      </w:r>
      <w:r>
        <w:t xml:space="preserve">nunciados con respecto al modo de vida y que implique los estados perversos que comienzan con "Intrigar, </w:t>
      </w:r>
      <w:r w:rsidR="00DC0F66">
        <w:t>conversar</w:t>
      </w:r>
      <w:r>
        <w:t xml:space="preserve">, insinuar, menospreciar, buscar ganancia con ganancia" (M II 75) </w:t>
      </w:r>
      <w:r w:rsidR="00A70AA3">
        <w:t xml:space="preserve">corresponde a </w:t>
      </w:r>
      <w:r w:rsidR="00C038CA">
        <w:t>la</w:t>
      </w:r>
      <w:r>
        <w:t xml:space="preserve"> </w:t>
      </w:r>
      <w:r w:rsidRPr="00C038CA">
        <w:t>virtud</w:t>
      </w:r>
      <w:r w:rsidRPr="00D31E59">
        <w:rPr>
          <w:i/>
          <w:iCs/>
        </w:rPr>
        <w:t xml:space="preserve"> de </w:t>
      </w:r>
      <w:r w:rsidR="00D44820">
        <w:rPr>
          <w:i/>
          <w:iCs/>
        </w:rPr>
        <w:t xml:space="preserve">la </w:t>
      </w:r>
      <w:r w:rsidRPr="00D31E59">
        <w:rPr>
          <w:i/>
          <w:iCs/>
        </w:rPr>
        <w:t>purificación de los medios de vida</w:t>
      </w:r>
      <w:r>
        <w:t>.</w:t>
      </w:r>
    </w:p>
    <w:p w14:paraId="03977163" w14:textId="2E777935" w:rsidR="007D3B25" w:rsidRDefault="007D3B25" w:rsidP="007D3B25">
      <w:pPr>
        <w:pStyle w:val="NormalConSangria"/>
      </w:pPr>
      <w:r>
        <w:t xml:space="preserve">(d) El uso de los cuatro requisitos que es purificado </w:t>
      </w:r>
      <w:r w:rsidR="00D44820">
        <w:t>mediante</w:t>
      </w:r>
      <w:r>
        <w:t xml:space="preserve"> la reflexión expresada en el </w:t>
      </w:r>
      <w:r w:rsidR="00D44820">
        <w:t xml:space="preserve">pasaje </w:t>
      </w:r>
      <w:r>
        <w:t xml:space="preserve">que comienza, “Reflexionando sabiamente, usa </w:t>
      </w:r>
      <w:r w:rsidR="00D44820">
        <w:t>el ropaje</w:t>
      </w:r>
      <w:r>
        <w:t xml:space="preserve"> sólo para protegerse del frío” (M I 10) </w:t>
      </w:r>
      <w:r w:rsidR="00D44820">
        <w:t xml:space="preserve">corresponden a una </w:t>
      </w:r>
      <w:r w:rsidRPr="00C038CA">
        <w:t>virtud</w:t>
      </w:r>
      <w:r w:rsidRPr="00D31E59">
        <w:rPr>
          <w:i/>
          <w:iCs/>
        </w:rPr>
        <w:t xml:space="preserve"> en cuanto a los requisitos</w:t>
      </w:r>
      <w:r>
        <w:t>.</w:t>
      </w:r>
    </w:p>
    <w:p w14:paraId="63E5A4FA" w14:textId="46D961DF" w:rsidR="007D3B25" w:rsidRDefault="007D3B25" w:rsidP="007D3B25">
      <w:r>
        <w:t xml:space="preserve">43. </w:t>
      </w:r>
      <w:r>
        <w:tab/>
        <w:t xml:space="preserve">Aquí </w:t>
      </w:r>
      <w:r w:rsidR="00C304DB">
        <w:t>se hará</w:t>
      </w:r>
      <w:r>
        <w:t xml:space="preserve"> una exposición explicativa junto con un</w:t>
      </w:r>
      <w:r w:rsidR="001B0A0B">
        <w:t xml:space="preserve">as palabras </w:t>
      </w:r>
      <w:r w:rsidR="00C038CA">
        <w:t>en calidad de</w:t>
      </w:r>
      <w:r>
        <w:t xml:space="preserve"> comentario </w:t>
      </w:r>
      <w:r w:rsidR="007329D1">
        <w:t xml:space="preserve">de todo lo mencionado </w:t>
      </w:r>
      <w:r>
        <w:t>comenzando desde el principio.</w:t>
      </w:r>
      <w:r w:rsidR="005857AB">
        <w:t xml:space="preserve"> </w:t>
      </w:r>
    </w:p>
    <w:p w14:paraId="08D7AC78" w14:textId="57F37C1F" w:rsidR="00B33D84" w:rsidRDefault="007D3B25" w:rsidP="007D3B25">
      <w:pPr>
        <w:pStyle w:val="NormalConSangria"/>
      </w:pPr>
      <w:r>
        <w:t>(a)</w:t>
      </w:r>
      <w:r w:rsidR="00B33D84">
        <w:t>:</w:t>
      </w:r>
      <w:r w:rsidR="00E0465B" w:rsidRPr="00E0465B">
        <w:rPr>
          <w:color w:val="1F3864" w:themeColor="accent1" w:themeShade="80"/>
        </w:rPr>
        <w:t xml:space="preserve"> </w:t>
      </w:r>
      <w:r w:rsidR="00E0465B" w:rsidRPr="00CB539E">
        <w:rPr>
          <w:color w:val="1F3864" w:themeColor="accent1" w:themeShade="80"/>
        </w:rPr>
        <w:t>(§ 42.a)</w:t>
      </w:r>
    </w:p>
    <w:p w14:paraId="7BF6E5A1" w14:textId="2DCF680E" w:rsidR="007D3B25" w:rsidRDefault="007D3B25" w:rsidP="007D3B25">
      <w:pPr>
        <w:pStyle w:val="NormalConSangria"/>
      </w:pPr>
      <w:r w:rsidRPr="007329D1">
        <w:rPr>
          <w:i/>
          <w:iCs/>
        </w:rPr>
        <w:t>Aquí</w:t>
      </w:r>
      <w:r>
        <w:t xml:space="preserve">: en esta dispensación. Un </w:t>
      </w:r>
      <w:proofErr w:type="spellStart"/>
      <w:r w:rsidR="00057BF4" w:rsidRPr="00057BF4">
        <w:rPr>
          <w:i/>
          <w:iCs/>
        </w:rPr>
        <w:t>bhikkhu</w:t>
      </w:r>
      <w:proofErr w:type="spellEnd"/>
      <w:r>
        <w:t xml:space="preserve">: </w:t>
      </w:r>
      <w:r w:rsidR="0018210D">
        <w:t>será</w:t>
      </w:r>
      <w:r w:rsidR="007C4BD1">
        <w:t xml:space="preserve"> </w:t>
      </w:r>
      <w:r w:rsidR="007329D1">
        <w:t xml:space="preserve">un </w:t>
      </w:r>
      <w:r>
        <w:t xml:space="preserve">miembro de clan que </w:t>
      </w:r>
      <w:r w:rsidR="001B0A0B">
        <w:t xml:space="preserve">se </w:t>
      </w:r>
      <w:r>
        <w:t>ha</w:t>
      </w:r>
      <w:r w:rsidR="001B0A0B">
        <w:t>ya</w:t>
      </w:r>
      <w:r>
        <w:t xml:space="preserve"> </w:t>
      </w:r>
      <w:r w:rsidR="001B0A0B">
        <w:t xml:space="preserve">ordenado mediante </w:t>
      </w:r>
      <w:r>
        <w:t xml:space="preserve">la </w:t>
      </w:r>
      <w:r w:rsidRPr="00501057">
        <w:t>fe</w:t>
      </w:r>
      <w:r>
        <w:t xml:space="preserve"> y se le llam</w:t>
      </w:r>
      <w:r w:rsidR="007C4BD1">
        <w:t>ará</w:t>
      </w:r>
      <w:r>
        <w:t xml:space="preserve"> así porque </w:t>
      </w:r>
      <w:r w:rsidR="007C4BD1">
        <w:t xml:space="preserve">apreciará </w:t>
      </w:r>
      <w:r w:rsidR="001B0A0B">
        <w:t xml:space="preserve">el </w:t>
      </w:r>
      <w:r>
        <w:t xml:space="preserve">miedo en </w:t>
      </w:r>
      <w:r w:rsidR="001B0A0B">
        <w:t xml:space="preserve">el ciclo </w:t>
      </w:r>
      <w:r>
        <w:t>de renacimientos (</w:t>
      </w:r>
      <w:proofErr w:type="spellStart"/>
      <w:r w:rsidRPr="00D31E59">
        <w:rPr>
          <w:i/>
          <w:iCs/>
        </w:rPr>
        <w:t>saṃsāre</w:t>
      </w:r>
      <w:proofErr w:type="spellEnd"/>
      <w:r w:rsidRPr="00D31E59">
        <w:rPr>
          <w:i/>
          <w:iCs/>
        </w:rPr>
        <w:t xml:space="preserve"> </w:t>
      </w:r>
      <w:proofErr w:type="spellStart"/>
      <w:r w:rsidRPr="00D31E59">
        <w:rPr>
          <w:i/>
          <w:iCs/>
        </w:rPr>
        <w:t>bhayaṃ</w:t>
      </w:r>
      <w:proofErr w:type="spellEnd"/>
      <w:r w:rsidRPr="00D31E59">
        <w:rPr>
          <w:i/>
          <w:iCs/>
        </w:rPr>
        <w:t xml:space="preserve"> </w:t>
      </w:r>
      <w:proofErr w:type="spellStart"/>
      <w:r w:rsidRPr="00D31E59">
        <w:rPr>
          <w:i/>
          <w:iCs/>
        </w:rPr>
        <w:t>ikkhanatā</w:t>
      </w:r>
      <w:proofErr w:type="spellEnd"/>
      <w:r>
        <w:t>) o porque us</w:t>
      </w:r>
      <w:r w:rsidR="001B0A0B">
        <w:t>e</w:t>
      </w:r>
      <w:r>
        <w:t xml:space="preserve"> prendas de </w:t>
      </w:r>
      <w:r w:rsidR="007C4BD1">
        <w:t xml:space="preserve">harapos </w:t>
      </w:r>
      <w:r>
        <w:t>rot</w:t>
      </w:r>
      <w:r w:rsidR="007C4BD1">
        <w:t>o</w:t>
      </w:r>
      <w:r>
        <w:t>s y remendadas, etc.</w:t>
      </w:r>
    </w:p>
    <w:p w14:paraId="49D45763" w14:textId="53727F18" w:rsidR="007D3B25" w:rsidRDefault="007D3B25" w:rsidP="007D3B25">
      <w:pPr>
        <w:pStyle w:val="NormalConSangria"/>
      </w:pPr>
      <w:r w:rsidRPr="00D31E59">
        <w:rPr>
          <w:i/>
          <w:iCs/>
        </w:rPr>
        <w:t>Restringido con la restricción</w:t>
      </w:r>
      <w:r>
        <w:t xml:space="preserve"> </w:t>
      </w:r>
      <w:proofErr w:type="spellStart"/>
      <w:r w:rsidRPr="00D31E59">
        <w:rPr>
          <w:i/>
          <w:iCs/>
        </w:rPr>
        <w:t>Pātimokkha</w:t>
      </w:r>
      <w:proofErr w:type="spellEnd"/>
      <w:r>
        <w:t>: aquí “</w:t>
      </w:r>
      <w:proofErr w:type="spellStart"/>
      <w:r w:rsidRPr="00D31E59">
        <w:rPr>
          <w:i/>
          <w:iCs/>
        </w:rPr>
        <w:t>Pātimokkha</w:t>
      </w:r>
      <w:proofErr w:type="spellEnd"/>
      <w:r>
        <w:t>” (Regla de la Comunidad)</w:t>
      </w:r>
      <w:r w:rsidRPr="00744D36">
        <w:rPr>
          <w:vertAlign w:val="superscript"/>
        </w:rPr>
        <w:t>11</w:t>
      </w:r>
      <w:r>
        <w:t xml:space="preserve"> es la virtud de los preceptos de entrenamiento; pues libera (</w:t>
      </w:r>
      <w:proofErr w:type="spellStart"/>
      <w:r w:rsidRPr="00D31E59">
        <w:rPr>
          <w:i/>
          <w:iCs/>
        </w:rPr>
        <w:t>mokkheti</w:t>
      </w:r>
      <w:proofErr w:type="spellEnd"/>
      <w:r>
        <w:t>) a quien lo prote</w:t>
      </w:r>
      <w:r w:rsidR="001B0A0B">
        <w:t>ja</w:t>
      </w:r>
      <w:r>
        <w:t xml:space="preserve"> (</w:t>
      </w:r>
      <w:proofErr w:type="spellStart"/>
      <w:r w:rsidRPr="00D31E59">
        <w:rPr>
          <w:i/>
          <w:iCs/>
        </w:rPr>
        <w:t>pāti</w:t>
      </w:r>
      <w:proofErr w:type="spellEnd"/>
      <w:r>
        <w:t>)</w:t>
      </w:r>
      <w:r w:rsidR="00B3076F">
        <w:t>;</w:t>
      </w:r>
      <w:r>
        <w:t xml:space="preserve"> lo </w:t>
      </w:r>
      <w:r w:rsidR="001B0A0B">
        <w:t>res</w:t>
      </w:r>
      <w:r>
        <w:t>guard</w:t>
      </w:r>
      <w:r w:rsidR="000D4026">
        <w:t>a</w:t>
      </w:r>
      <w:r>
        <w:t>, lo liber</w:t>
      </w:r>
      <w:r w:rsidR="000D4026">
        <w:t>a</w:t>
      </w:r>
      <w:r>
        <w:t xml:space="preserve"> (</w:t>
      </w:r>
      <w:proofErr w:type="spellStart"/>
      <w:r w:rsidRPr="00D31E59">
        <w:rPr>
          <w:i/>
          <w:iCs/>
        </w:rPr>
        <w:t>mocayati</w:t>
      </w:r>
      <w:proofErr w:type="spellEnd"/>
      <w:r>
        <w:t xml:space="preserve">) de las </w:t>
      </w:r>
      <w:r w:rsidR="000D4026">
        <w:t>desdichas</w:t>
      </w:r>
      <w:r>
        <w:t xml:space="preserve"> de los estados de </w:t>
      </w:r>
      <w:r w:rsidR="000D4026">
        <w:t>perdición</w:t>
      </w:r>
      <w:r>
        <w:t xml:space="preserve">, etc., por eso se llama </w:t>
      </w:r>
      <w:proofErr w:type="spellStart"/>
      <w:r w:rsidRPr="00D31E59">
        <w:rPr>
          <w:i/>
          <w:iCs/>
        </w:rPr>
        <w:t>Pātimokkha</w:t>
      </w:r>
      <w:proofErr w:type="spellEnd"/>
      <w:r>
        <w:t>. “Restringir” es restringi</w:t>
      </w:r>
      <w:r w:rsidR="00756892">
        <w:t>endo</w:t>
      </w:r>
      <w:r>
        <w:t xml:space="preserve">; </w:t>
      </w:r>
      <w:r w:rsidR="00756892">
        <w:t>é</w:t>
      </w:r>
      <w:r>
        <w:t xml:space="preserve">ste es un término </w:t>
      </w:r>
      <w:r w:rsidR="00756892">
        <w:t xml:space="preserve">que se usa </w:t>
      </w:r>
      <w:r w:rsidR="00EC51F9">
        <w:t xml:space="preserve">moralmente </w:t>
      </w:r>
      <w:r>
        <w:t xml:space="preserve">para la </w:t>
      </w:r>
      <w:r w:rsidR="00937E94">
        <w:br/>
      </w:r>
      <w:r>
        <w:t>no</w:t>
      </w:r>
      <w:r w:rsidR="000D4026">
        <w:t>-</w:t>
      </w:r>
      <w:r>
        <w:t xml:space="preserve">transgresión corporal y verbal. </w:t>
      </w:r>
      <w:r w:rsidR="000D4026">
        <w:t>A</w:t>
      </w:r>
      <w:r>
        <w:t xml:space="preserve">l propio </w:t>
      </w:r>
      <w:proofErr w:type="spellStart"/>
      <w:r w:rsidRPr="00D31E59">
        <w:rPr>
          <w:i/>
          <w:iCs/>
        </w:rPr>
        <w:t>Pātimokkha</w:t>
      </w:r>
      <w:proofErr w:type="spellEnd"/>
      <w:r>
        <w:t xml:space="preserve"> como restricción </w:t>
      </w:r>
      <w:r w:rsidR="000D4026">
        <w:t>se le llama</w:t>
      </w:r>
      <w:r>
        <w:t xml:space="preserve"> “restricción </w:t>
      </w:r>
      <w:proofErr w:type="spellStart"/>
      <w:r w:rsidRPr="00D31E59">
        <w:rPr>
          <w:i/>
          <w:iCs/>
        </w:rPr>
        <w:t>Pātimokkha</w:t>
      </w:r>
      <w:proofErr w:type="spellEnd"/>
      <w:r>
        <w:t xml:space="preserve">”. “Restringido con la restricción </w:t>
      </w:r>
      <w:proofErr w:type="spellStart"/>
      <w:r w:rsidRPr="00D31E59">
        <w:rPr>
          <w:i/>
          <w:iCs/>
        </w:rPr>
        <w:t>Pātimokkha</w:t>
      </w:r>
      <w:proofErr w:type="spellEnd"/>
      <w:r>
        <w:t>” está restringido por medio de la restricción consiste</w:t>
      </w:r>
      <w:r w:rsidR="00EC51F9">
        <w:t>nte</w:t>
      </w:r>
      <w:r>
        <w:t xml:space="preserve"> </w:t>
      </w:r>
      <w:r w:rsidR="00EC51F9">
        <w:t>de</w:t>
      </w:r>
      <w:r>
        <w:t xml:space="preserve"> ese </w:t>
      </w:r>
      <w:proofErr w:type="spellStart"/>
      <w:r w:rsidRPr="00D31E59">
        <w:rPr>
          <w:i/>
          <w:iCs/>
        </w:rPr>
        <w:t>Pātimokkha</w:t>
      </w:r>
      <w:proofErr w:type="spellEnd"/>
      <w:r>
        <w:t xml:space="preserve">; lo tiene, lo posee, es el sentido. </w:t>
      </w:r>
      <w:r w:rsidR="000D4026" w:rsidRPr="000D4026">
        <w:rPr>
          <w:i/>
          <w:iCs/>
        </w:rPr>
        <w:t>Habita</w:t>
      </w:r>
      <w:r>
        <w:t xml:space="preserve">: </w:t>
      </w:r>
      <w:r w:rsidR="00724DC0">
        <w:t>habita así</w:t>
      </w:r>
      <w:r w:rsidR="00100EC9">
        <w:t xml:space="preserve"> e</w:t>
      </w:r>
      <w:r w:rsidR="006A69B3">
        <w:t>n</w:t>
      </w:r>
      <w:r>
        <w:t xml:space="preserve"> una de las posturas. [17]</w:t>
      </w:r>
    </w:p>
    <w:p w14:paraId="72293B37" w14:textId="3BFA1AD6" w:rsidR="007D3B25" w:rsidRDefault="007D3B25" w:rsidP="007D3B25">
      <w:r>
        <w:t xml:space="preserve">44. </w:t>
      </w:r>
      <w:r>
        <w:tab/>
        <w:t xml:space="preserve">El significado de </w:t>
      </w:r>
      <w:r w:rsidRPr="00D31E59">
        <w:rPr>
          <w:i/>
          <w:iCs/>
        </w:rPr>
        <w:t>poseído d</w:t>
      </w:r>
      <w:r>
        <w:t xml:space="preserve">e </w:t>
      </w:r>
      <w:r w:rsidRPr="00D31E59">
        <w:rPr>
          <w:i/>
          <w:iCs/>
        </w:rPr>
        <w:t xml:space="preserve">conducta y </w:t>
      </w:r>
      <w:r w:rsidR="00EA3455">
        <w:rPr>
          <w:i/>
          <w:iCs/>
        </w:rPr>
        <w:t>recursos</w:t>
      </w:r>
      <w:r w:rsidR="00100EC9">
        <w:rPr>
          <w:i/>
          <w:iCs/>
        </w:rPr>
        <w:t xml:space="preserve"> </w:t>
      </w:r>
      <w:r w:rsidR="00100EC9">
        <w:t>[</w:t>
      </w:r>
      <w:r w:rsidR="00100EC9">
        <w:rPr>
          <w:i/>
          <w:iCs/>
        </w:rPr>
        <w:t>a</w:t>
      </w:r>
      <w:r w:rsidR="00100EC9" w:rsidRPr="00D31E59">
        <w:rPr>
          <w:i/>
          <w:iCs/>
        </w:rPr>
        <w:t>propia</w:t>
      </w:r>
      <w:r w:rsidR="00100EC9">
        <w:rPr>
          <w:i/>
          <w:iCs/>
        </w:rPr>
        <w:t>d</w:t>
      </w:r>
      <w:r w:rsidR="00EA3455">
        <w:rPr>
          <w:i/>
          <w:iCs/>
        </w:rPr>
        <w:t>o</w:t>
      </w:r>
      <w:r w:rsidR="00A418C7">
        <w:rPr>
          <w:i/>
          <w:iCs/>
        </w:rPr>
        <w:t>s</w:t>
      </w:r>
      <w:r w:rsidR="00100EC9">
        <w:t>]</w:t>
      </w:r>
      <w:r>
        <w:t xml:space="preserve">, etc., debe entenderse en la forma en que se da en el texto. </w:t>
      </w:r>
      <w:r w:rsidR="0001422A">
        <w:t>Al respecto</w:t>
      </w:r>
      <w:r w:rsidR="00C1548E">
        <w:t xml:space="preserve"> está dicho</w:t>
      </w:r>
      <w:r>
        <w:t xml:space="preserve">: “Poseído de conducta y </w:t>
      </w:r>
      <w:r w:rsidR="00C1548E">
        <w:t>recursos</w:t>
      </w:r>
      <w:r w:rsidR="00A418C7">
        <w:t xml:space="preserve"> apropiad</w:t>
      </w:r>
      <w:r w:rsidR="00601AA1">
        <w:t>o</w:t>
      </w:r>
      <w:r w:rsidR="00A418C7">
        <w:t>s</w:t>
      </w:r>
      <w:r>
        <w:t xml:space="preserve">: </w:t>
      </w:r>
      <w:r w:rsidR="00A418C7">
        <w:t xml:space="preserve">existe la </w:t>
      </w:r>
      <w:r>
        <w:t xml:space="preserve">conducta </w:t>
      </w:r>
      <w:r w:rsidR="00A418C7">
        <w:t>apropiada</w:t>
      </w:r>
      <w:r>
        <w:t xml:space="preserve"> y </w:t>
      </w:r>
      <w:r w:rsidR="00A418C7">
        <w:t xml:space="preserve">la </w:t>
      </w:r>
      <w:r>
        <w:t>conducta i</w:t>
      </w:r>
      <w:r w:rsidR="00A418C7">
        <w:t>na</w:t>
      </w:r>
      <w:r>
        <w:t>propia</w:t>
      </w:r>
      <w:r w:rsidR="00A418C7">
        <w:t>da</w:t>
      </w:r>
      <w:r>
        <w:t xml:space="preserve">. En este sentido, ¿qué es una conducta </w:t>
      </w:r>
      <w:r w:rsidR="00A418C7">
        <w:t>inapropiada</w:t>
      </w:r>
      <w:r>
        <w:t xml:space="preserve">? </w:t>
      </w:r>
      <w:r w:rsidR="00A418C7">
        <w:t>A la t</w:t>
      </w:r>
      <w:r>
        <w:t xml:space="preserve">ransgresión corporal, transgresión verbal, </w:t>
      </w:r>
      <w:r w:rsidR="00296202">
        <w:t xml:space="preserve">a la </w:t>
      </w:r>
      <w:r>
        <w:t xml:space="preserve">transgresión corporal y verbal: </w:t>
      </w:r>
      <w:r w:rsidR="00A418C7">
        <w:t xml:space="preserve">a </w:t>
      </w:r>
      <w:r>
        <w:t xml:space="preserve">esto se </w:t>
      </w:r>
      <w:r w:rsidR="00296202">
        <w:t xml:space="preserve">le </w:t>
      </w:r>
      <w:r>
        <w:t xml:space="preserve">llama conducta </w:t>
      </w:r>
      <w:r w:rsidR="00296202">
        <w:t>inapropiada</w:t>
      </w:r>
      <w:r>
        <w:t xml:space="preserve">. También toda falta de virtud es </w:t>
      </w:r>
      <w:r w:rsidR="00296202">
        <w:t xml:space="preserve">una </w:t>
      </w:r>
      <w:r>
        <w:t xml:space="preserve">conducta </w:t>
      </w:r>
      <w:r w:rsidR="00296202">
        <w:t>inapropiada</w:t>
      </w:r>
      <w:r>
        <w:t>. Aquí alguien se gan</w:t>
      </w:r>
      <w:r w:rsidR="003014CD">
        <w:t>e</w:t>
      </w:r>
      <w:r>
        <w:t xml:space="preserve"> </w:t>
      </w:r>
      <w:r w:rsidR="00A72E20">
        <w:t>el sustento</w:t>
      </w:r>
      <w:r>
        <w:t xml:space="preserve"> </w:t>
      </w:r>
      <w:r w:rsidR="00A72E20">
        <w:t>mediante presentes de</w:t>
      </w:r>
      <w:r>
        <w:t xml:space="preserve"> bambú, o </w:t>
      </w:r>
      <w:r w:rsidR="00A72E20">
        <w:t xml:space="preserve">presentes de </w:t>
      </w:r>
      <w:r>
        <w:t xml:space="preserve">hojas, o </w:t>
      </w:r>
      <w:r w:rsidR="00A72E20">
        <w:t xml:space="preserve">presentes de </w:t>
      </w:r>
      <w:r>
        <w:t>flores, frut</w:t>
      </w:r>
      <w:r w:rsidR="00A72E20">
        <w:t>o</w:t>
      </w:r>
      <w:r>
        <w:t xml:space="preserve">s, polvos de baño y </w:t>
      </w:r>
      <w:r w:rsidR="00EA3455" w:rsidRPr="00EF2D43">
        <w:t>palillos</w:t>
      </w:r>
      <w:r w:rsidR="00EA3455">
        <w:t xml:space="preserve"> </w:t>
      </w:r>
      <w:r>
        <w:t xml:space="preserve">de dientes, o halagando, o haciendo sopa de frijoles, o </w:t>
      </w:r>
      <w:r w:rsidR="00296202">
        <w:t>masajeando</w:t>
      </w:r>
      <w:r>
        <w:t xml:space="preserve">, o haciendo recados a pie, o por uno u otro de los tipos de medios de vida incorrectos condenados por los </w:t>
      </w:r>
      <w:r w:rsidR="00057BF4" w:rsidRPr="00057BF4">
        <w:rPr>
          <w:i/>
        </w:rPr>
        <w:t>Buddha</w:t>
      </w:r>
      <w:r>
        <w:t xml:space="preserve">s: </w:t>
      </w:r>
      <w:r w:rsidR="00A17186">
        <w:t xml:space="preserve">a todo </w:t>
      </w:r>
      <w:r>
        <w:t xml:space="preserve">esto se </w:t>
      </w:r>
      <w:r w:rsidR="00A17186">
        <w:t xml:space="preserve">le </w:t>
      </w:r>
      <w:r>
        <w:t xml:space="preserve">denomina conducta </w:t>
      </w:r>
    </w:p>
    <w:p w14:paraId="32D1AD69" w14:textId="77777777" w:rsidR="007D3B25" w:rsidRPr="007D3B25" w:rsidRDefault="007D3B25" w:rsidP="007D3B25">
      <w:pPr>
        <w:pStyle w:val="PiedepginaLegal"/>
        <w:rPr>
          <w:u w:val="single"/>
        </w:rPr>
      </w:pPr>
      <w:r w:rsidRPr="007D3B25">
        <w:rPr>
          <w:u w:val="single"/>
        </w:rPr>
        <w:t xml:space="preserve">                                                                                                                                      .</w:t>
      </w:r>
    </w:p>
    <w:p w14:paraId="0190D765" w14:textId="767157E8" w:rsidR="007D3B25" w:rsidRDefault="007D3B25" w:rsidP="008A0BB2">
      <w:pPr>
        <w:pStyle w:val="PiedepginaLegal"/>
      </w:pPr>
      <w:r>
        <w:t xml:space="preserve">11. </w:t>
      </w:r>
      <w:r>
        <w:tab/>
        <w:t xml:space="preserve">El </w:t>
      </w:r>
      <w:proofErr w:type="spellStart"/>
      <w:r w:rsidRPr="00D31E59">
        <w:rPr>
          <w:i/>
          <w:iCs/>
        </w:rPr>
        <w:t>Suttavibhaṅga</w:t>
      </w:r>
      <w:proofErr w:type="spellEnd"/>
      <w:r>
        <w:t xml:space="preserve">, el primer libro del </w:t>
      </w:r>
      <w:proofErr w:type="spellStart"/>
      <w:r w:rsidRPr="00D31E59">
        <w:rPr>
          <w:i/>
          <w:iCs/>
        </w:rPr>
        <w:t>Vinaya</w:t>
      </w:r>
      <w:proofErr w:type="spellEnd"/>
      <w:r w:rsidRPr="00D31E59">
        <w:rPr>
          <w:i/>
          <w:iCs/>
        </w:rPr>
        <w:t xml:space="preserve"> </w:t>
      </w:r>
      <w:proofErr w:type="spellStart"/>
      <w:r w:rsidRPr="00D31E59">
        <w:rPr>
          <w:i/>
          <w:iCs/>
        </w:rPr>
        <w:t>Piṭaka</w:t>
      </w:r>
      <w:proofErr w:type="spellEnd"/>
      <w:r>
        <w:t xml:space="preserve">, contiene en sus dos partes las 227 reglas para </w:t>
      </w:r>
      <w:proofErr w:type="spellStart"/>
      <w:r w:rsidR="00057BF4" w:rsidRPr="00057BF4">
        <w:rPr>
          <w:i/>
        </w:rPr>
        <w:t>bhikkhu</w:t>
      </w:r>
      <w:r>
        <w:t>s</w:t>
      </w:r>
      <w:proofErr w:type="spellEnd"/>
      <w:r>
        <w:t xml:space="preserve"> y las reglas para </w:t>
      </w:r>
      <w:proofErr w:type="spellStart"/>
      <w:r w:rsidR="00057BF4" w:rsidRPr="00057BF4">
        <w:rPr>
          <w:i/>
          <w:iCs/>
        </w:rPr>
        <w:t>bhikkhunī</w:t>
      </w:r>
      <w:r w:rsidRPr="00D31E59">
        <w:rPr>
          <w:i/>
          <w:iCs/>
        </w:rPr>
        <w:t>s</w:t>
      </w:r>
      <w:proofErr w:type="spellEnd"/>
      <w:r>
        <w:t xml:space="preserve"> que han recibido la admisión (</w:t>
      </w:r>
      <w:proofErr w:type="spellStart"/>
      <w:r w:rsidRPr="00D31E59">
        <w:rPr>
          <w:i/>
          <w:iCs/>
        </w:rPr>
        <w:t>upasampadā</w:t>
      </w:r>
      <w:proofErr w:type="spellEnd"/>
      <w:r>
        <w:t xml:space="preserve">), junto con </w:t>
      </w:r>
      <w:r w:rsidR="00BC019E">
        <w:t xml:space="preserve">los </w:t>
      </w:r>
      <w:r>
        <w:t xml:space="preserve">relatos de los incidentes que llevaron al anuncio de las reglas, la modificación de </w:t>
      </w:r>
      <w:r w:rsidR="00BC019E">
        <w:t>ellas</w:t>
      </w:r>
      <w:r>
        <w:t xml:space="preserve"> y las explicaciones </w:t>
      </w:r>
      <w:r w:rsidR="00BC019E">
        <w:t>al respecto</w:t>
      </w:r>
      <w:r>
        <w:t xml:space="preserve">. Las reglas </w:t>
      </w:r>
      <w:r w:rsidR="00BC019E">
        <w:t>simples</w:t>
      </w:r>
      <w:r>
        <w:t xml:space="preserve"> </w:t>
      </w:r>
      <w:r w:rsidR="00BC019E">
        <w:t>con</w:t>
      </w:r>
      <w:r>
        <w:t xml:space="preserve">forman </w:t>
      </w:r>
      <w:r w:rsidR="00BC019E">
        <w:t xml:space="preserve">por sí mismas </w:t>
      </w:r>
      <w:r>
        <w:t xml:space="preserve">el </w:t>
      </w:r>
      <w:proofErr w:type="spellStart"/>
      <w:r w:rsidRPr="00D31E59">
        <w:rPr>
          <w:i/>
          <w:iCs/>
        </w:rPr>
        <w:t>Pātimokkha</w:t>
      </w:r>
      <w:proofErr w:type="spellEnd"/>
      <w:r>
        <w:t xml:space="preserve"> para </w:t>
      </w:r>
      <w:proofErr w:type="spellStart"/>
      <w:r w:rsidR="00057BF4" w:rsidRPr="00057BF4">
        <w:rPr>
          <w:i/>
          <w:iCs/>
        </w:rPr>
        <w:t>bhikkhu</w:t>
      </w:r>
      <w:r w:rsidRPr="00D31E59">
        <w:rPr>
          <w:i/>
          <w:iCs/>
        </w:rPr>
        <w:t>s</w:t>
      </w:r>
      <w:proofErr w:type="spellEnd"/>
      <w:r>
        <w:t xml:space="preserve"> y </w:t>
      </w:r>
      <w:proofErr w:type="spellStart"/>
      <w:r w:rsidR="00057BF4" w:rsidRPr="00057BF4">
        <w:rPr>
          <w:i/>
          <w:iCs/>
        </w:rPr>
        <w:t>bhikkhunī</w:t>
      </w:r>
      <w:r w:rsidRPr="00D31E59">
        <w:rPr>
          <w:i/>
          <w:iCs/>
        </w:rPr>
        <w:t>s</w:t>
      </w:r>
      <w:proofErr w:type="spellEnd"/>
      <w:r>
        <w:t>. También se les conoce como los “dos códigos” (</w:t>
      </w:r>
      <w:proofErr w:type="spellStart"/>
      <w:r w:rsidRPr="00D31E59">
        <w:rPr>
          <w:i/>
          <w:iCs/>
        </w:rPr>
        <w:t>dve</w:t>
      </w:r>
      <w:proofErr w:type="spellEnd"/>
      <w:r w:rsidRPr="00D31E59">
        <w:rPr>
          <w:i/>
          <w:iCs/>
        </w:rPr>
        <w:t xml:space="preserve"> </w:t>
      </w:r>
      <w:proofErr w:type="spellStart"/>
      <w:r w:rsidRPr="00D31E59">
        <w:rPr>
          <w:i/>
          <w:iCs/>
        </w:rPr>
        <w:t>mātikā</w:t>
      </w:r>
      <w:proofErr w:type="spellEnd"/>
      <w:r>
        <w:t xml:space="preserve">). El </w:t>
      </w:r>
      <w:proofErr w:type="spellStart"/>
      <w:r w:rsidRPr="00D31E59">
        <w:rPr>
          <w:i/>
          <w:iCs/>
        </w:rPr>
        <w:t>Pātimokkha</w:t>
      </w:r>
      <w:proofErr w:type="spellEnd"/>
      <w:r>
        <w:t xml:space="preserve"> es recitado por </w:t>
      </w:r>
      <w:proofErr w:type="spellStart"/>
      <w:r w:rsidR="00057BF4" w:rsidRPr="00057BF4">
        <w:rPr>
          <w:i/>
          <w:iCs/>
        </w:rPr>
        <w:t>bhikkhu</w:t>
      </w:r>
      <w:r w:rsidRPr="00D31E59">
        <w:rPr>
          <w:i/>
          <w:iCs/>
        </w:rPr>
        <w:t>s</w:t>
      </w:r>
      <w:proofErr w:type="spellEnd"/>
      <w:r>
        <w:t xml:space="preserve"> en los días de </w:t>
      </w:r>
      <w:proofErr w:type="spellStart"/>
      <w:r w:rsidR="00057BF4" w:rsidRPr="00057BF4">
        <w:rPr>
          <w:i/>
          <w:iCs/>
        </w:rPr>
        <w:t>Uposatha</w:t>
      </w:r>
      <w:proofErr w:type="spellEnd"/>
      <w:r>
        <w:t xml:space="preserve"> de </w:t>
      </w:r>
      <w:r w:rsidR="00BC019E">
        <w:t xml:space="preserve">Luna </w:t>
      </w:r>
      <w:r>
        <w:t xml:space="preserve">llena y </w:t>
      </w:r>
      <w:r w:rsidR="00BC019E">
        <w:t xml:space="preserve">Luna </w:t>
      </w:r>
      <w:r>
        <w:t>nueva.</w:t>
      </w:r>
    </w:p>
    <w:p w14:paraId="297BC3E1" w14:textId="77777777" w:rsidR="007D3B25" w:rsidRDefault="007D3B25">
      <w:pPr>
        <w:tabs>
          <w:tab w:val="clear" w:pos="425"/>
        </w:tabs>
      </w:pPr>
      <w:r>
        <w:br w:type="page"/>
      </w:r>
    </w:p>
    <w:p w14:paraId="0780C20B" w14:textId="44F5D0AF" w:rsidR="006E1CF7" w:rsidRDefault="008A0BB2" w:rsidP="006E1CF7">
      <w:r>
        <w:lastRenderedPageBreak/>
        <w:t xml:space="preserve">inapropiada. Al respecto, </w:t>
      </w:r>
      <w:r w:rsidR="00A17186">
        <w:t>¿</w:t>
      </w:r>
      <w:r w:rsidR="00DC3DFD">
        <w:t xml:space="preserve">Qué </w:t>
      </w:r>
      <w:r w:rsidR="00A17186">
        <w:t xml:space="preserve">es </w:t>
      </w:r>
      <w:r w:rsidR="00C2389B">
        <w:t>un</w:t>
      </w:r>
      <w:r w:rsidR="00A17186">
        <w:t xml:space="preserve">a conducta </w:t>
      </w:r>
      <w:r w:rsidR="00C2389B">
        <w:t>apropiada</w:t>
      </w:r>
      <w:r w:rsidR="00A17186">
        <w:t xml:space="preserve">? </w:t>
      </w:r>
      <w:r w:rsidR="00C2389B">
        <w:t xml:space="preserve">La </w:t>
      </w:r>
      <w:r w:rsidR="00A17186">
        <w:t>no-</w:t>
      </w:r>
      <w:r w:rsidR="006E1CF7">
        <w:t>transgresión</w:t>
      </w:r>
      <w:r w:rsidR="00C2389B" w:rsidRPr="00C2389B">
        <w:t xml:space="preserve"> </w:t>
      </w:r>
      <w:r w:rsidR="00C2389B">
        <w:t>corporal</w:t>
      </w:r>
      <w:r w:rsidR="006E1CF7">
        <w:t xml:space="preserve">, </w:t>
      </w:r>
      <w:r w:rsidR="00C2389B">
        <w:t xml:space="preserve">la </w:t>
      </w:r>
      <w:r w:rsidR="006E1CF7">
        <w:t>no</w:t>
      </w:r>
      <w:r w:rsidR="003014CD">
        <w:t>-</w:t>
      </w:r>
      <w:r w:rsidR="006E1CF7">
        <w:t xml:space="preserve">transgresión verbal, </w:t>
      </w:r>
      <w:r w:rsidR="00C2389B">
        <w:t xml:space="preserve">la </w:t>
      </w:r>
      <w:r w:rsidR="006E1CF7">
        <w:t>no</w:t>
      </w:r>
      <w:r w:rsidR="003014CD">
        <w:t>-</w:t>
      </w:r>
      <w:r w:rsidR="006E1CF7">
        <w:t xml:space="preserve">transgresión corporal y verbal: </w:t>
      </w:r>
      <w:r w:rsidR="00B825D5">
        <w:t>a todo esto,</w:t>
      </w:r>
      <w:r w:rsidR="006E1CF7">
        <w:t xml:space="preserve"> se </w:t>
      </w:r>
      <w:r w:rsidR="00B825D5">
        <w:t xml:space="preserve">le </w:t>
      </w:r>
      <w:r w:rsidR="006E1CF7">
        <w:t xml:space="preserve">llama conducta </w:t>
      </w:r>
      <w:r w:rsidR="00B825D5">
        <w:t>apropiada</w:t>
      </w:r>
      <w:r w:rsidR="006E1CF7">
        <w:t xml:space="preserve">. También toda restricción a través de la virtud </w:t>
      </w:r>
      <w:r w:rsidR="003014CD">
        <w:t>será</w:t>
      </w:r>
      <w:r w:rsidR="006E1CF7">
        <w:t xml:space="preserve"> </w:t>
      </w:r>
      <w:r w:rsidR="00B825D5">
        <w:t xml:space="preserve">una </w:t>
      </w:r>
      <w:r w:rsidR="006E1CF7">
        <w:t xml:space="preserve">conducta </w:t>
      </w:r>
      <w:r w:rsidR="00B825D5">
        <w:t>apropiada</w:t>
      </w:r>
      <w:r w:rsidR="006E1CF7">
        <w:t>. Aquí alguien “</w:t>
      </w:r>
      <w:r w:rsidR="00B81254">
        <w:t xml:space="preserve">que </w:t>
      </w:r>
      <w:r w:rsidR="006E1CF7">
        <w:t>no se gan</w:t>
      </w:r>
      <w:r w:rsidR="00DC3DFD">
        <w:t>e</w:t>
      </w:r>
      <w:r w:rsidR="006E1CF7">
        <w:t xml:space="preserve"> la vida regalando bambúes, ni hojas, ni flores, frutas, polvos para baño y </w:t>
      </w:r>
      <w:r w:rsidR="00EA3455" w:rsidRPr="00DC3DFD">
        <w:rPr>
          <w:iCs/>
        </w:rPr>
        <w:t>p</w:t>
      </w:r>
      <w:r w:rsidR="00EA3455">
        <w:rPr>
          <w:iCs/>
        </w:rPr>
        <w:t>al</w:t>
      </w:r>
      <w:r w:rsidR="00EA3455" w:rsidRPr="00DC3DFD">
        <w:rPr>
          <w:iCs/>
        </w:rPr>
        <w:t>illos</w:t>
      </w:r>
      <w:r w:rsidR="00EA3455">
        <w:t xml:space="preserve"> </w:t>
      </w:r>
      <w:r w:rsidR="006E1CF7">
        <w:t xml:space="preserve">de dientes, ni halagos, ni sopa de frijoles, ni </w:t>
      </w:r>
      <w:r w:rsidR="00DC3DFD">
        <w:t>masajes</w:t>
      </w:r>
      <w:r w:rsidR="006E1CF7">
        <w:t xml:space="preserve">, ni ir a hacer mandados a pie, o por uno u otro de los tipos de medios de vida incorrectos condenados por los </w:t>
      </w:r>
      <w:r w:rsidR="00057BF4" w:rsidRPr="00057BF4">
        <w:rPr>
          <w:i/>
        </w:rPr>
        <w:t>Buddha</w:t>
      </w:r>
      <w:r w:rsidR="006E1CF7">
        <w:t xml:space="preserve">s, </w:t>
      </w:r>
      <w:r w:rsidR="00DC3DFD">
        <w:t xml:space="preserve">a todo </w:t>
      </w:r>
      <w:r w:rsidR="00EA3455">
        <w:t>esto,</w:t>
      </w:r>
      <w:r w:rsidR="006E1CF7">
        <w:t xml:space="preserve"> se </w:t>
      </w:r>
      <w:r w:rsidR="00DC3DFD">
        <w:t xml:space="preserve">le </w:t>
      </w:r>
      <w:r w:rsidR="006E1CF7">
        <w:t>llama conducta apropiada”.</w:t>
      </w:r>
    </w:p>
    <w:p w14:paraId="71A0D15F" w14:textId="6F010063" w:rsidR="006E1CF7" w:rsidRDefault="006E1CF7" w:rsidP="006E1CF7">
      <w:r>
        <w:t xml:space="preserve">45. </w:t>
      </w:r>
      <w:r>
        <w:tab/>
        <w:t>“Recurso</w:t>
      </w:r>
      <w:r w:rsidR="003014CD">
        <w:t>s</w:t>
      </w:r>
      <w:r>
        <w:t xml:space="preserve"> </w:t>
      </w:r>
      <w:r w:rsidR="00DC3DFD">
        <w:t>apropiad</w:t>
      </w:r>
      <w:r w:rsidR="00EA3455">
        <w:t>o</w:t>
      </w:r>
      <w:r>
        <w:t xml:space="preserve">: </w:t>
      </w:r>
      <w:r w:rsidR="00375131">
        <w:t>existe un</w:t>
      </w:r>
      <w:r>
        <w:t xml:space="preserve"> recurso [</w:t>
      </w:r>
      <w:r w:rsidR="00375131">
        <w:t>apropiado</w:t>
      </w:r>
      <w:r>
        <w:t xml:space="preserve">] y </w:t>
      </w:r>
      <w:r w:rsidR="00375131">
        <w:t xml:space="preserve">un </w:t>
      </w:r>
      <w:r>
        <w:t xml:space="preserve">recurso </w:t>
      </w:r>
      <w:r w:rsidR="00375131">
        <w:t>inapropiado</w:t>
      </w:r>
      <w:r>
        <w:t xml:space="preserve">. </w:t>
      </w:r>
      <w:r w:rsidR="00375131">
        <w:t>Al respecto</w:t>
      </w:r>
      <w:r>
        <w:t xml:space="preserve">, ¿qué es </w:t>
      </w:r>
      <w:r w:rsidR="00375131">
        <w:t xml:space="preserve">un </w:t>
      </w:r>
      <w:r>
        <w:t xml:space="preserve">recurso </w:t>
      </w:r>
      <w:r w:rsidR="00375131">
        <w:t>inapropiado</w:t>
      </w:r>
      <w:r>
        <w:t xml:space="preserve">? Aquí alguien </w:t>
      </w:r>
      <w:r w:rsidR="00375131">
        <w:t>dispone de</w:t>
      </w:r>
      <w:r>
        <w:t xml:space="preserve"> prostitutas como recurso, o </w:t>
      </w:r>
      <w:r w:rsidR="00375131">
        <w:t>de</w:t>
      </w:r>
      <w:r>
        <w:t xml:space="preserve"> viudas, solteronas, eunucos, </w:t>
      </w:r>
      <w:proofErr w:type="spellStart"/>
      <w:r w:rsidR="00375131">
        <w:rPr>
          <w:i/>
          <w:iCs/>
        </w:rPr>
        <w:t>bhikkhunī</w:t>
      </w:r>
      <w:r w:rsidRPr="00D31E59">
        <w:rPr>
          <w:i/>
          <w:iCs/>
        </w:rPr>
        <w:t>s</w:t>
      </w:r>
      <w:proofErr w:type="spellEnd"/>
      <w:r>
        <w:t xml:space="preserve"> o tabernas como recurso; o mora asociado con reyes, ministros de reyes, sectarios, discípulos de sectarios, en asociación </w:t>
      </w:r>
      <w:r w:rsidR="00375131">
        <w:t xml:space="preserve">inapropiada </w:t>
      </w:r>
      <w:r>
        <w:t>con laicos; o él cultiva, frecuenta, honra, familias que son infieles, desconfiadas, abusivas y groseras, que dese</w:t>
      </w:r>
      <w:r w:rsidR="003338F0">
        <w:t>e</w:t>
      </w:r>
      <w:r>
        <w:t xml:space="preserve">n </w:t>
      </w:r>
      <w:r w:rsidR="003338F0">
        <w:t>lastimar</w:t>
      </w:r>
      <w:r>
        <w:t xml:space="preserve">, </w:t>
      </w:r>
      <w:r w:rsidR="003338F0">
        <w:t xml:space="preserve">que </w:t>
      </w:r>
      <w:r>
        <w:t>dese</w:t>
      </w:r>
      <w:r w:rsidR="003338F0">
        <w:t>e</w:t>
      </w:r>
      <w:r>
        <w:t>n el mal, dese</w:t>
      </w:r>
      <w:r w:rsidR="003338F0">
        <w:t>e</w:t>
      </w:r>
      <w:r>
        <w:t>n el sufrimiento, no dese</w:t>
      </w:r>
      <w:r w:rsidR="003338F0">
        <w:t>e</w:t>
      </w:r>
      <w:r>
        <w:t xml:space="preserve">n </w:t>
      </w:r>
      <w:r w:rsidR="003338F0">
        <w:t xml:space="preserve">la </w:t>
      </w:r>
      <w:r>
        <w:t>ces</w:t>
      </w:r>
      <w:r w:rsidR="003338F0">
        <w:t>ación</w:t>
      </w:r>
      <w:r>
        <w:t xml:space="preserve"> de la esclavitud, para </w:t>
      </w:r>
      <w:proofErr w:type="spellStart"/>
      <w:r w:rsidR="00057BF4" w:rsidRPr="00057BF4">
        <w:rPr>
          <w:i/>
          <w:iCs/>
        </w:rPr>
        <w:t>bhikkhu</w:t>
      </w:r>
      <w:r w:rsidRPr="00D31E59">
        <w:rPr>
          <w:i/>
          <w:iCs/>
        </w:rPr>
        <w:t>s</w:t>
      </w:r>
      <w:proofErr w:type="spellEnd"/>
      <w:r>
        <w:t xml:space="preserve"> y </w:t>
      </w:r>
      <w:proofErr w:type="spellStart"/>
      <w:r w:rsidR="00057BF4" w:rsidRPr="00057BF4">
        <w:rPr>
          <w:i/>
          <w:iCs/>
        </w:rPr>
        <w:t>bhikkhunī</w:t>
      </w:r>
      <w:r w:rsidRPr="00D31E59">
        <w:rPr>
          <w:i/>
          <w:iCs/>
        </w:rPr>
        <w:t>s</w:t>
      </w:r>
      <w:proofErr w:type="spellEnd"/>
      <w:r>
        <w:t xml:space="preserve">, para devotos masculinos y femeninos [18]— </w:t>
      </w:r>
      <w:r w:rsidR="003338F0">
        <w:t xml:space="preserve">a </w:t>
      </w:r>
      <w:r>
        <w:t>esto se llama recurso impropio. Aquí, ¿</w:t>
      </w:r>
      <w:r w:rsidR="003338F0">
        <w:t>qué</w:t>
      </w:r>
      <w:r>
        <w:t xml:space="preserve"> es </w:t>
      </w:r>
      <w:r w:rsidR="003338F0">
        <w:t>un</w:t>
      </w:r>
      <w:r>
        <w:t xml:space="preserve"> recurso [</w:t>
      </w:r>
      <w:r w:rsidR="003338F0">
        <w:t>apropiado</w:t>
      </w:r>
      <w:r>
        <w:t xml:space="preserve">]? </w:t>
      </w:r>
      <w:r w:rsidR="003338F0">
        <w:t xml:space="preserve">Al respecto, </w:t>
      </w:r>
      <w:r>
        <w:t xml:space="preserve">alguien no </w:t>
      </w:r>
      <w:r w:rsidR="003338F0">
        <w:t>dispone</w:t>
      </w:r>
      <w:r>
        <w:t xml:space="preserve"> </w:t>
      </w:r>
      <w:r w:rsidR="00457662">
        <w:t xml:space="preserve">de </w:t>
      </w:r>
      <w:r>
        <w:t xml:space="preserve">prostitutas como recurso… o tabernas como recurso; no mora asociado con reyes… discípulos de sectarios, en asociación </w:t>
      </w:r>
      <w:r w:rsidR="003338F0">
        <w:t xml:space="preserve">inapropiada </w:t>
      </w:r>
      <w:r>
        <w:t>con laicos; él cultiva, frecuenta, honra, familias que s</w:t>
      </w:r>
      <w:r w:rsidR="003338F0">
        <w:t>ea</w:t>
      </w:r>
      <w:r>
        <w:t>n fieles y confia</w:t>
      </w:r>
      <w:r w:rsidR="003338F0">
        <w:t>ble</w:t>
      </w:r>
      <w:r>
        <w:t>s, que s</w:t>
      </w:r>
      <w:r w:rsidR="003338F0">
        <w:t>ea</w:t>
      </w:r>
      <w:r>
        <w:t>n un consuelo, donde la tela amarilla brill</w:t>
      </w:r>
      <w:r w:rsidR="003338F0">
        <w:t>e</w:t>
      </w:r>
      <w:r>
        <w:t>, donde sopl</w:t>
      </w:r>
      <w:r w:rsidR="003338F0">
        <w:t>e</w:t>
      </w:r>
      <w:r>
        <w:t xml:space="preserve"> la brisa de los sabios, que dese</w:t>
      </w:r>
      <w:r w:rsidR="003338F0">
        <w:t>e</w:t>
      </w:r>
      <w:r>
        <w:t>n el bien, dese</w:t>
      </w:r>
      <w:r w:rsidR="003338F0">
        <w:t>e</w:t>
      </w:r>
      <w:r>
        <w:t xml:space="preserve">n </w:t>
      </w:r>
      <w:r w:rsidR="00457662">
        <w:t xml:space="preserve">el </w:t>
      </w:r>
      <w:r w:rsidR="003338F0">
        <w:t>bienestar</w:t>
      </w:r>
      <w:r>
        <w:t>, dese</w:t>
      </w:r>
      <w:r w:rsidR="003338F0">
        <w:t>e</w:t>
      </w:r>
      <w:r>
        <w:t xml:space="preserve">n </w:t>
      </w:r>
      <w:r w:rsidR="00457662">
        <w:t xml:space="preserve">la </w:t>
      </w:r>
      <w:r>
        <w:t xml:space="preserve">alegría, desean </w:t>
      </w:r>
      <w:r w:rsidR="003338F0">
        <w:t>la cesación</w:t>
      </w:r>
      <w:r>
        <w:t xml:space="preserve"> de la esclavitud, </w:t>
      </w:r>
      <w:r w:rsidR="003338F0">
        <w:t xml:space="preserve">de </w:t>
      </w:r>
      <w:proofErr w:type="spellStart"/>
      <w:r w:rsidR="00631ACD">
        <w:rPr>
          <w:i/>
          <w:iCs/>
        </w:rPr>
        <w:t>bhikkhus</w:t>
      </w:r>
      <w:proofErr w:type="spellEnd"/>
      <w:r w:rsidR="00631ACD">
        <w:rPr>
          <w:i/>
          <w:iCs/>
        </w:rPr>
        <w:t xml:space="preserve"> </w:t>
      </w:r>
      <w:r>
        <w:t xml:space="preserve"> y </w:t>
      </w:r>
      <w:proofErr w:type="spellStart"/>
      <w:r w:rsidR="00057BF4" w:rsidRPr="00057BF4">
        <w:rPr>
          <w:i/>
          <w:iCs/>
        </w:rPr>
        <w:t>bhikkhunī</w:t>
      </w:r>
      <w:r w:rsidRPr="00D31E59">
        <w:rPr>
          <w:i/>
          <w:iCs/>
        </w:rPr>
        <w:t>s</w:t>
      </w:r>
      <w:proofErr w:type="spellEnd"/>
      <w:r>
        <w:t xml:space="preserve">, </w:t>
      </w:r>
      <w:r w:rsidR="00457662">
        <w:t>de</w:t>
      </w:r>
      <w:r>
        <w:t xml:space="preserve"> devotos masculinos y femeninos: </w:t>
      </w:r>
      <w:r w:rsidR="00631ACD">
        <w:t xml:space="preserve">a todo </w:t>
      </w:r>
      <w:r>
        <w:t xml:space="preserve">esto se </w:t>
      </w:r>
      <w:r w:rsidR="00631ACD">
        <w:t xml:space="preserve">le </w:t>
      </w:r>
      <w:r>
        <w:t>llama recurso [</w:t>
      </w:r>
      <w:r w:rsidR="00631ACD">
        <w:t>apropiado</w:t>
      </w:r>
      <w:r>
        <w:t xml:space="preserve">]. Por lo tanto, él está provisto de, completamente provisto de, </w:t>
      </w:r>
      <w:r w:rsidR="0014656F">
        <w:t>suministrado</w:t>
      </w:r>
      <w:r>
        <w:t xml:space="preserve"> de, completamente </w:t>
      </w:r>
      <w:r w:rsidR="0014656F">
        <w:t xml:space="preserve">suministrado </w:t>
      </w:r>
      <w:r>
        <w:t xml:space="preserve">de, </w:t>
      </w:r>
      <w:r w:rsidR="0014656F">
        <w:t xml:space="preserve">en posesión </w:t>
      </w:r>
      <w:r>
        <w:t xml:space="preserve">de, </w:t>
      </w:r>
      <w:r w:rsidR="0014656F">
        <w:t xml:space="preserve">dotado </w:t>
      </w:r>
      <w:r>
        <w:t>de, esta conducta [</w:t>
      </w:r>
      <w:r w:rsidR="0014656F">
        <w:t>apropiada</w:t>
      </w:r>
      <w:r>
        <w:t xml:space="preserve">] y </w:t>
      </w:r>
      <w:r w:rsidR="0014656F">
        <w:t xml:space="preserve">de </w:t>
      </w:r>
      <w:r>
        <w:t>este recurso [</w:t>
      </w:r>
      <w:r w:rsidR="0014656F">
        <w:t>apropiado</w:t>
      </w:r>
      <w:r>
        <w:t>]. De ahí que se diga, 'Poseído de conducta y recurso</w:t>
      </w:r>
      <w:r w:rsidR="0014656F">
        <w:t xml:space="preserve"> [apropiados] </w:t>
      </w:r>
      <w:r>
        <w:t>'” (</w:t>
      </w:r>
      <w:proofErr w:type="spellStart"/>
      <w:r>
        <w:t>Vibh</w:t>
      </w:r>
      <w:proofErr w:type="spellEnd"/>
      <w:r>
        <w:t xml:space="preserve"> 246-47).</w:t>
      </w:r>
    </w:p>
    <w:p w14:paraId="418D1E40" w14:textId="0026662F" w:rsidR="006E1CF7" w:rsidRDefault="006E1CF7" w:rsidP="006E1CF7">
      <w:r>
        <w:t>46. ​​</w:t>
      </w:r>
      <w:r>
        <w:tab/>
        <w:t xml:space="preserve">Además, conducta y recurso </w:t>
      </w:r>
      <w:r w:rsidR="0014656F">
        <w:t xml:space="preserve">[apropiados] </w:t>
      </w:r>
      <w:r>
        <w:t xml:space="preserve">también deben entenderse aquí de la siguiente manera; </w:t>
      </w:r>
      <w:r w:rsidR="001112D4">
        <w:t xml:space="preserve">ya </w:t>
      </w:r>
      <w:r>
        <w:t xml:space="preserve">que la conducta </w:t>
      </w:r>
      <w:r w:rsidR="0014656F">
        <w:t xml:space="preserve">inapropiada </w:t>
      </w:r>
      <w:r>
        <w:t>es doble</w:t>
      </w:r>
      <w:r w:rsidR="00E84C3C">
        <w:t>:</w:t>
      </w:r>
      <w:r>
        <w:t xml:space="preserve"> corporal y verbal. </w:t>
      </w:r>
      <w:r w:rsidR="0014656F">
        <w:t>Al respecto</w:t>
      </w:r>
      <w:r>
        <w:t>, ¿qué es una conducta corporal inapropiada? “</w:t>
      </w:r>
      <w:r w:rsidR="00BF4E54">
        <w:t>Aquí,</w:t>
      </w:r>
      <w:r>
        <w:t xml:space="preserve"> </w:t>
      </w:r>
      <w:r w:rsidR="001112D4">
        <w:t xml:space="preserve">es </w:t>
      </w:r>
      <w:r>
        <w:t xml:space="preserve">alguien </w:t>
      </w:r>
      <w:r w:rsidR="001112D4">
        <w:t xml:space="preserve">que </w:t>
      </w:r>
      <w:r>
        <w:t>actú</w:t>
      </w:r>
      <w:r w:rsidR="001112D4">
        <w:t>e</w:t>
      </w:r>
      <w:r>
        <w:t xml:space="preserve"> irrespetuosamente ante la Comunidad, y par</w:t>
      </w:r>
      <w:r w:rsidR="00717032">
        <w:t>e</w:t>
      </w:r>
      <w:r>
        <w:t xml:space="preserve"> empujando a </w:t>
      </w:r>
      <w:r w:rsidR="00E246B1">
        <w:t xml:space="preserve">los </w:t>
      </w:r>
      <w:proofErr w:type="spellStart"/>
      <w:r w:rsidR="00D17585">
        <w:rPr>
          <w:i/>
          <w:iCs/>
        </w:rPr>
        <w:t>bhikkhus</w:t>
      </w:r>
      <w:proofErr w:type="spellEnd"/>
      <w:r w:rsidR="00D17585">
        <w:rPr>
          <w:i/>
          <w:iCs/>
        </w:rPr>
        <w:t xml:space="preserve"> </w:t>
      </w:r>
      <w:r>
        <w:t>mayores, se sienta empujándolos, se para frente a ellos, se sienta frente a ellos, se sienta en un asiento alto, se sienta con la cabeza cubierta, habla de pie, habla saludando con la</w:t>
      </w:r>
      <w:r w:rsidR="00E246B1">
        <w:t>s</w:t>
      </w:r>
      <w:r>
        <w:t xml:space="preserve"> mano</w:t>
      </w:r>
      <w:r w:rsidR="00E246B1">
        <w:t>s,</w:t>
      </w:r>
      <w:r>
        <w:t xml:space="preserve"> </w:t>
      </w:r>
      <w:r w:rsidR="00E246B1">
        <w:t xml:space="preserve">con </w:t>
      </w:r>
      <w:r>
        <w:t xml:space="preserve">sus brazos... camina con sandalias mientras que los </w:t>
      </w:r>
      <w:proofErr w:type="spellStart"/>
      <w:r w:rsidR="00D17585">
        <w:rPr>
          <w:i/>
          <w:iCs/>
        </w:rPr>
        <w:t>bhikkhus</w:t>
      </w:r>
      <w:proofErr w:type="spellEnd"/>
      <w:r w:rsidR="00D17585">
        <w:rPr>
          <w:i/>
          <w:iCs/>
        </w:rPr>
        <w:t xml:space="preserve"> </w:t>
      </w:r>
      <w:r>
        <w:t xml:space="preserve">mayores caminan sin sandalias, camina en una </w:t>
      </w:r>
      <w:r w:rsidR="00BF4E54">
        <w:t>vereda</w:t>
      </w:r>
      <w:r>
        <w:t xml:space="preserve"> alta mientras ellos caminan en una </w:t>
      </w:r>
      <w:r w:rsidR="00BF4E54">
        <w:t xml:space="preserve">vereda </w:t>
      </w:r>
      <w:r>
        <w:t xml:space="preserve">baja, camina en una </w:t>
      </w:r>
      <w:r w:rsidR="00BF4E54">
        <w:t xml:space="preserve">vereda </w:t>
      </w:r>
      <w:r>
        <w:t xml:space="preserve">mientras </w:t>
      </w:r>
      <w:r w:rsidR="00D03119">
        <w:t xml:space="preserve">ellos </w:t>
      </w:r>
      <w:r>
        <w:t xml:space="preserve">caminan en el suelo... se para empujando a los </w:t>
      </w:r>
      <w:proofErr w:type="spellStart"/>
      <w:r w:rsidR="00D17585">
        <w:rPr>
          <w:i/>
          <w:iCs/>
        </w:rPr>
        <w:t>bhikkhus</w:t>
      </w:r>
      <w:proofErr w:type="spellEnd"/>
      <w:r w:rsidR="00D17585">
        <w:rPr>
          <w:i/>
          <w:iCs/>
        </w:rPr>
        <w:t xml:space="preserve"> </w:t>
      </w:r>
      <w:r>
        <w:t xml:space="preserve">mayores, se sienta empujándolos, evita que los nuevos </w:t>
      </w:r>
      <w:proofErr w:type="spellStart"/>
      <w:r w:rsidR="00D17585">
        <w:rPr>
          <w:i/>
          <w:iCs/>
        </w:rPr>
        <w:t>bhikkhus</w:t>
      </w:r>
      <w:proofErr w:type="spellEnd"/>
      <w:r w:rsidR="00D17585">
        <w:rPr>
          <w:i/>
          <w:iCs/>
        </w:rPr>
        <w:t xml:space="preserve"> </w:t>
      </w:r>
      <w:r w:rsidR="00D03119">
        <w:t xml:space="preserve">consigan </w:t>
      </w:r>
      <w:r>
        <w:t xml:space="preserve">un asiento... y en la casa de baño... sin preguntar a los </w:t>
      </w:r>
      <w:proofErr w:type="spellStart"/>
      <w:r w:rsidR="00D17585">
        <w:rPr>
          <w:i/>
          <w:iCs/>
        </w:rPr>
        <w:t>bhikkhus</w:t>
      </w:r>
      <w:proofErr w:type="spellEnd"/>
      <w:r w:rsidR="00D17585">
        <w:rPr>
          <w:i/>
          <w:iCs/>
        </w:rPr>
        <w:t xml:space="preserve"> </w:t>
      </w:r>
      <w:r>
        <w:t xml:space="preserve">mayores, pone leña en [la estufa]... echa el cerrojo a la puerta... y en el lugar de baño entra al agua empujando a los </w:t>
      </w:r>
      <w:proofErr w:type="spellStart"/>
      <w:r w:rsidR="00D17585">
        <w:rPr>
          <w:i/>
          <w:iCs/>
        </w:rPr>
        <w:t>bhikkhus</w:t>
      </w:r>
      <w:proofErr w:type="spellEnd"/>
      <w:r w:rsidR="00D17585">
        <w:rPr>
          <w:i/>
          <w:iCs/>
        </w:rPr>
        <w:t xml:space="preserve"> </w:t>
      </w:r>
      <w:r>
        <w:t xml:space="preserve">mayores, entra frente a ellos, se baña empujándolos, se baña delante de ellos, sale empujándolos, sale delante de ellos... y entrando </w:t>
      </w:r>
      <w:r w:rsidR="00D17585">
        <w:t>a</w:t>
      </w:r>
      <w:r>
        <w:t xml:space="preserve"> una casa va empujando a </w:t>
      </w:r>
      <w:r w:rsidR="00D03119">
        <w:t xml:space="preserve">los </w:t>
      </w:r>
      <w:proofErr w:type="spellStart"/>
      <w:r w:rsidR="00D17585">
        <w:rPr>
          <w:i/>
          <w:iCs/>
        </w:rPr>
        <w:t>bhikkhus</w:t>
      </w:r>
      <w:proofErr w:type="spellEnd"/>
      <w:r w:rsidR="00D17585">
        <w:rPr>
          <w:i/>
          <w:iCs/>
        </w:rPr>
        <w:t xml:space="preserve"> </w:t>
      </w:r>
      <w:r>
        <w:t xml:space="preserve">mayores, va delante de ellos, empujando va </w:t>
      </w:r>
      <w:r w:rsidR="002C7BDF">
        <w:t xml:space="preserve">hacia </w:t>
      </w:r>
      <w:r>
        <w:t>delante de ellos... y donde las familias ten</w:t>
      </w:r>
      <w:r w:rsidR="002C7BDF">
        <w:t>ga</w:t>
      </w:r>
      <w:r>
        <w:t xml:space="preserve">n habitaciones </w:t>
      </w:r>
      <w:r w:rsidR="00D03119">
        <w:t xml:space="preserve">interiores </w:t>
      </w:r>
      <w:r>
        <w:t xml:space="preserve">privadas protegidas </w:t>
      </w:r>
      <w:r w:rsidR="002C7BDF">
        <w:t xml:space="preserve">donde </w:t>
      </w:r>
      <w:r>
        <w:t xml:space="preserve">las mujeres de familia… las niñas de la familia, </w:t>
      </w:r>
      <w:r w:rsidR="00D03119">
        <w:t>se sient</w:t>
      </w:r>
      <w:r w:rsidR="00472CE5">
        <w:t>e</w:t>
      </w:r>
      <w:r w:rsidR="00D03119">
        <w:t>n</w:t>
      </w:r>
      <w:r>
        <w:t xml:space="preserve">, allí </w:t>
      </w:r>
      <w:r w:rsidR="002C7BDF">
        <w:t xml:space="preserve">él </w:t>
      </w:r>
      <w:r>
        <w:t xml:space="preserve">entra </w:t>
      </w:r>
      <w:r w:rsidR="002C7BDF">
        <w:t xml:space="preserve">abruptamente </w:t>
      </w:r>
      <w:r>
        <w:t xml:space="preserve">y acaricia la cabeza de </w:t>
      </w:r>
      <w:r w:rsidR="00771419">
        <w:t xml:space="preserve">algún </w:t>
      </w:r>
      <w:r>
        <w:t>niño” (</w:t>
      </w:r>
      <w:proofErr w:type="spellStart"/>
      <w:r>
        <w:t>Nidd</w:t>
      </w:r>
      <w:proofErr w:type="spellEnd"/>
      <w:r>
        <w:t xml:space="preserve"> I 228-29). </w:t>
      </w:r>
      <w:r w:rsidR="00D03119">
        <w:t xml:space="preserve">A </w:t>
      </w:r>
      <w:r w:rsidR="00771419">
        <w:t xml:space="preserve">todo </w:t>
      </w:r>
      <w:r w:rsidR="00472CE5">
        <w:t>esto,</w:t>
      </w:r>
      <w:r>
        <w:t xml:space="preserve"> se </w:t>
      </w:r>
      <w:r w:rsidR="00D03119">
        <w:t xml:space="preserve">le </w:t>
      </w:r>
      <w:r>
        <w:t xml:space="preserve">llama </w:t>
      </w:r>
      <w:r w:rsidR="00771419">
        <w:t xml:space="preserve">una </w:t>
      </w:r>
      <w:r>
        <w:t>conducta corporal inapropiada.</w:t>
      </w:r>
    </w:p>
    <w:p w14:paraId="14A1A525" w14:textId="7359CCF2" w:rsidR="006E1CF7" w:rsidRDefault="006E1CF7" w:rsidP="006E1CF7">
      <w:r>
        <w:t xml:space="preserve">47. </w:t>
      </w:r>
      <w:r>
        <w:tab/>
        <w:t>¿Qué es aquí una conducta verbal</w:t>
      </w:r>
      <w:r w:rsidR="00562DAE" w:rsidRPr="00562DAE">
        <w:t xml:space="preserve"> </w:t>
      </w:r>
      <w:r w:rsidR="00562DAE">
        <w:t>inapropiada</w:t>
      </w:r>
      <w:r>
        <w:t xml:space="preserve">? “Aquí alguien actúa irrespetuosamente ante la Comunidad. Sin preguntar a los monjes mayores, habla sobre el </w:t>
      </w:r>
      <w:r w:rsidR="00057BF4" w:rsidRPr="00057BF4">
        <w:rPr>
          <w:i/>
        </w:rPr>
        <w:t>Dhamma</w:t>
      </w:r>
      <w:r>
        <w:t xml:space="preserve">, responde preguntas, recita el </w:t>
      </w:r>
      <w:proofErr w:type="spellStart"/>
      <w:r w:rsidRPr="00D31E59">
        <w:rPr>
          <w:i/>
          <w:iCs/>
        </w:rPr>
        <w:t>Pātimokkha</w:t>
      </w:r>
      <w:proofErr w:type="spellEnd"/>
      <w:r>
        <w:t xml:space="preserve">, habla de pie, [19] habla agitando los brazos... habiendo entrado en una casa, le habla a una mujer o a una niña así: 'Tú, </w:t>
      </w:r>
      <w:r w:rsidR="007228E6">
        <w:t>tú</w:t>
      </w:r>
      <w:r>
        <w:t xml:space="preserve"> y </w:t>
      </w:r>
      <w:r w:rsidR="007228E6">
        <w:t xml:space="preserve">tú </w:t>
      </w:r>
      <w:r>
        <w:t xml:space="preserve">de tal </w:t>
      </w:r>
      <w:r w:rsidR="007228E6">
        <w:t>y</w:t>
      </w:r>
      <w:r>
        <w:t xml:space="preserve"> cual clan, qué es</w:t>
      </w:r>
    </w:p>
    <w:p w14:paraId="4A4D2137" w14:textId="77777777" w:rsidR="006E1CF7" w:rsidRDefault="006E1CF7">
      <w:pPr>
        <w:tabs>
          <w:tab w:val="clear" w:pos="425"/>
        </w:tabs>
      </w:pPr>
      <w:r>
        <w:br w:type="page"/>
      </w:r>
    </w:p>
    <w:p w14:paraId="1604E4AA" w14:textId="05FDF0A5" w:rsidR="00E9733C" w:rsidRDefault="00E9733C" w:rsidP="00E9733C">
      <w:r>
        <w:lastRenderedPageBreak/>
        <w:t>¿</w:t>
      </w:r>
      <w:r w:rsidR="007228E6">
        <w:t>Qué tenemos aquí,</w:t>
      </w:r>
      <w:r>
        <w:t xml:space="preserve"> </w:t>
      </w:r>
      <w:r w:rsidR="00974BD5">
        <w:t>atole</w:t>
      </w:r>
      <w:r>
        <w:t xml:space="preserve"> de arroz? ¿Hay arroz cocido? ¿Hay algún alimento duro para comer? ¿Qué beberemos? ¿Qué alimento duro comeremos? ¿Qué comida blanda comeremos? ¿O qué me va</w:t>
      </w:r>
      <w:r w:rsidR="007228E6">
        <w:t>n</w:t>
      </w:r>
      <w:r>
        <w:t xml:space="preserve"> a dar?’, </w:t>
      </w:r>
      <w:r w:rsidR="007228E6">
        <w:t xml:space="preserve">él </w:t>
      </w:r>
      <w:r>
        <w:t>habla así” (</w:t>
      </w:r>
      <w:proofErr w:type="spellStart"/>
      <w:r>
        <w:t>Nidd</w:t>
      </w:r>
      <w:proofErr w:type="spellEnd"/>
      <w:r>
        <w:t xml:space="preserve"> I 230). </w:t>
      </w:r>
      <w:r w:rsidR="007228E6">
        <w:t>A e</w:t>
      </w:r>
      <w:r>
        <w:t xml:space="preserve">sto se </w:t>
      </w:r>
      <w:r w:rsidR="007228E6">
        <w:t xml:space="preserve">le </w:t>
      </w:r>
      <w:r>
        <w:t xml:space="preserve">llama </w:t>
      </w:r>
      <w:r w:rsidR="007228E6">
        <w:t xml:space="preserve">una </w:t>
      </w:r>
      <w:r>
        <w:t xml:space="preserve">conducta verbal </w:t>
      </w:r>
      <w:r w:rsidR="007228E6">
        <w:t>inapropiada</w:t>
      </w:r>
      <w:r>
        <w:t>.</w:t>
      </w:r>
    </w:p>
    <w:p w14:paraId="54C51AC8" w14:textId="5E2CF707" w:rsidR="00E9733C" w:rsidRDefault="00E9733C" w:rsidP="00E9733C">
      <w:r>
        <w:t xml:space="preserve">48. </w:t>
      </w:r>
      <w:r>
        <w:tab/>
        <w:t>La conducta adecuada debe</w:t>
      </w:r>
      <w:r w:rsidR="009B4197">
        <w:t>rá</w:t>
      </w:r>
      <w:r>
        <w:t xml:space="preserve"> entenderse en </w:t>
      </w:r>
      <w:r w:rsidR="00E67C6E">
        <w:t xml:space="preserve">un </w:t>
      </w:r>
      <w:r>
        <w:t xml:space="preserve">sentido contrario. Además, un </w:t>
      </w:r>
      <w:proofErr w:type="spellStart"/>
      <w:r w:rsidR="00057BF4" w:rsidRPr="00057BF4">
        <w:rPr>
          <w:i/>
          <w:iCs/>
        </w:rPr>
        <w:t>bhikkhu</w:t>
      </w:r>
      <w:proofErr w:type="spellEnd"/>
      <w:r>
        <w:t xml:space="preserve"> </w:t>
      </w:r>
      <w:r w:rsidR="00A13B76">
        <w:t>debe ser</w:t>
      </w:r>
      <w:r>
        <w:t xml:space="preserve"> respetuoso, deferente, poseedor de </w:t>
      </w:r>
      <w:r w:rsidR="00237D93">
        <w:t>temor</w:t>
      </w:r>
      <w:r>
        <w:t xml:space="preserve"> y vergüenza</w:t>
      </w:r>
      <w:r w:rsidR="00237D93">
        <w:t xml:space="preserve"> moral</w:t>
      </w:r>
      <w:r>
        <w:t>, usa</w:t>
      </w:r>
      <w:r w:rsidR="00F57A18">
        <w:t>r</w:t>
      </w:r>
      <w:r>
        <w:t xml:space="preserve"> su </w:t>
      </w:r>
      <w:r w:rsidR="00F71D82">
        <w:t>ropaje</w:t>
      </w:r>
      <w:r>
        <w:t xml:space="preserve"> interior apropiadamente, usa</w:t>
      </w:r>
      <w:r w:rsidR="00F57A18">
        <w:t>r</w:t>
      </w:r>
      <w:r>
        <w:t xml:space="preserve"> su </w:t>
      </w:r>
      <w:r w:rsidR="00F71D82">
        <w:t xml:space="preserve">ropaje </w:t>
      </w:r>
      <w:r>
        <w:t>superior apropiadamente, sus modales inspira</w:t>
      </w:r>
      <w:r w:rsidR="00F57A18">
        <w:t>r</w:t>
      </w:r>
      <w:r>
        <w:t xml:space="preserve"> confianza ya sea al </w:t>
      </w:r>
      <w:r w:rsidR="00F71D82">
        <w:t>despl</w:t>
      </w:r>
      <w:r w:rsidR="00B82A8F">
        <w:t>a</w:t>
      </w:r>
      <w:r w:rsidR="00F71D82">
        <w:t>zarse</w:t>
      </w:r>
      <w:r>
        <w:t xml:space="preserve"> hacia adelante o hacia atrás, </w:t>
      </w:r>
      <w:r w:rsidR="00F71D82">
        <w:t xml:space="preserve">al </w:t>
      </w:r>
      <w:r>
        <w:t xml:space="preserve">mirar hacia adelante o hacia los </w:t>
      </w:r>
      <w:r w:rsidR="00F71D82">
        <w:t>costados</w:t>
      </w:r>
      <w:r>
        <w:t xml:space="preserve">, </w:t>
      </w:r>
      <w:r w:rsidR="00F71D82">
        <w:t xml:space="preserve">al </w:t>
      </w:r>
      <w:r>
        <w:t xml:space="preserve">inclinarse o estirarse, sus ojos </w:t>
      </w:r>
      <w:r w:rsidR="00B82A8F">
        <w:t xml:space="preserve">siempre </w:t>
      </w:r>
      <w:r w:rsidR="00F57A18">
        <w:t xml:space="preserve">deberán estar </w:t>
      </w:r>
      <w:r w:rsidR="0048379C">
        <w:t>bajos</w:t>
      </w:r>
      <w:r w:rsidR="00D04FCF">
        <w:t>,</w:t>
      </w:r>
      <w:r>
        <w:t xml:space="preserve"> </w:t>
      </w:r>
      <w:r w:rsidR="00F57A18">
        <w:t xml:space="preserve">mantiene </w:t>
      </w:r>
      <w:r>
        <w:t>(</w:t>
      </w:r>
      <w:r w:rsidR="00B82A8F">
        <w:t xml:space="preserve">un </w:t>
      </w:r>
      <w:r>
        <w:t xml:space="preserve">buen) comportamiento, guarda las puertas de sus facultades sensoriales, </w:t>
      </w:r>
      <w:r w:rsidR="00F57A18">
        <w:t xml:space="preserve">debe </w:t>
      </w:r>
      <w:r>
        <w:t>sabe</w:t>
      </w:r>
      <w:r w:rsidR="00F57A18">
        <w:t>r</w:t>
      </w:r>
      <w:r>
        <w:t xml:space="preserve"> la medida correcta </w:t>
      </w:r>
      <w:r w:rsidR="00B82A8F">
        <w:t>a</w:t>
      </w:r>
      <w:r>
        <w:t>l comer, dedica</w:t>
      </w:r>
      <w:r w:rsidR="00342615">
        <w:t>rse</w:t>
      </w:r>
      <w:r>
        <w:t xml:space="preserve"> a la vigilia, posee</w:t>
      </w:r>
      <w:r w:rsidR="00342615">
        <w:t>r</w:t>
      </w:r>
      <w:r>
        <w:t xml:space="preserve"> </w:t>
      </w:r>
      <w:r w:rsidR="00342615">
        <w:t xml:space="preserve">una </w:t>
      </w:r>
      <w:r>
        <w:t>atención plena y con</w:t>
      </w:r>
      <w:r w:rsidR="00B82A8F">
        <w:t>s</w:t>
      </w:r>
      <w:r>
        <w:t>ciencia</w:t>
      </w:r>
      <w:r w:rsidR="00B82A8F" w:rsidRPr="00B82A8F">
        <w:t xml:space="preserve"> </w:t>
      </w:r>
      <w:r w:rsidR="00B82A8F">
        <w:t>plena</w:t>
      </w:r>
      <w:r>
        <w:t xml:space="preserve">, </w:t>
      </w:r>
      <w:r w:rsidR="00B82A8F">
        <w:t>anhela</w:t>
      </w:r>
      <w:r w:rsidR="00342615">
        <w:t>r</w:t>
      </w:r>
      <w:r w:rsidR="00B82A8F">
        <w:t xml:space="preserve"> </w:t>
      </w:r>
      <w:r>
        <w:t xml:space="preserve">poco, </w:t>
      </w:r>
      <w:r w:rsidR="00342615">
        <w:t>habitar</w:t>
      </w:r>
      <w:r>
        <w:t xml:space="preserve"> contento, </w:t>
      </w:r>
      <w:r w:rsidR="00342615">
        <w:t xml:space="preserve">ser </w:t>
      </w:r>
      <w:r>
        <w:t xml:space="preserve">vigoroso, </w:t>
      </w:r>
      <w:r w:rsidR="00342615">
        <w:t xml:space="preserve">ser </w:t>
      </w:r>
      <w:r>
        <w:t>un observador cuidadoso de</w:t>
      </w:r>
      <w:r w:rsidR="00B82A8F">
        <w:t>l</w:t>
      </w:r>
      <w:r>
        <w:t xml:space="preserve"> buen comportamiento y trata</w:t>
      </w:r>
      <w:r w:rsidR="00342615">
        <w:t>r</w:t>
      </w:r>
      <w:r>
        <w:t xml:space="preserve"> a </w:t>
      </w:r>
      <w:r w:rsidR="00881688">
        <w:t>sus</w:t>
      </w:r>
      <w:r>
        <w:t xml:space="preserve"> </w:t>
      </w:r>
      <w:r w:rsidR="00881688">
        <w:t xml:space="preserve">maestros </w:t>
      </w:r>
      <w:r>
        <w:t xml:space="preserve">con mucho respeto. </w:t>
      </w:r>
      <w:r w:rsidR="00881688">
        <w:t>A e</w:t>
      </w:r>
      <w:r>
        <w:t xml:space="preserve">sto se </w:t>
      </w:r>
      <w:r w:rsidR="00881688">
        <w:t xml:space="preserve">le </w:t>
      </w:r>
      <w:r w:rsidR="000E3536">
        <w:t xml:space="preserve">denominará </w:t>
      </w:r>
      <w:r>
        <w:t>conducta (apropiada).</w:t>
      </w:r>
    </w:p>
    <w:p w14:paraId="28A1605F" w14:textId="642443EF" w:rsidR="00E9733C" w:rsidRDefault="00E9733C" w:rsidP="00E9733C">
      <w:pPr>
        <w:pStyle w:val="NormalConSangria"/>
      </w:pPr>
      <w:r>
        <w:t>En primer lugar, así es como debe</w:t>
      </w:r>
      <w:r w:rsidR="000E3536">
        <w:t>rá</w:t>
      </w:r>
      <w:r>
        <w:t xml:space="preserve"> entenderse la conducta (</w:t>
      </w:r>
      <w:r w:rsidR="00881688">
        <w:t>apropiada</w:t>
      </w:r>
      <w:r>
        <w:t>).</w:t>
      </w:r>
    </w:p>
    <w:p w14:paraId="51FADDB3" w14:textId="52A172BC" w:rsidR="00E9733C" w:rsidRDefault="00E9733C" w:rsidP="00E9733C">
      <w:r>
        <w:t xml:space="preserve">49. </w:t>
      </w:r>
      <w:r>
        <w:tab/>
        <w:t>El recurso (</w:t>
      </w:r>
      <w:r w:rsidR="00881688">
        <w:t>apropiado</w:t>
      </w:r>
      <w:r>
        <w:t>) es de tres tipos: el recurso (</w:t>
      </w:r>
      <w:r w:rsidR="00881688">
        <w:t>apropiado</w:t>
      </w:r>
      <w:r>
        <w:t xml:space="preserve">) como </w:t>
      </w:r>
      <w:r w:rsidR="00881688">
        <w:t>soporte</w:t>
      </w:r>
      <w:r>
        <w:t>, el recurso (</w:t>
      </w:r>
      <w:r w:rsidR="00881688">
        <w:t>apropiado</w:t>
      </w:r>
      <w:r>
        <w:t xml:space="preserve">) como </w:t>
      </w:r>
      <w:r w:rsidR="007F0694">
        <w:t xml:space="preserve">vigilancia </w:t>
      </w:r>
      <w:r>
        <w:t>y el recurso (</w:t>
      </w:r>
      <w:r w:rsidR="00881688">
        <w:t>apropiado</w:t>
      </w:r>
      <w:r>
        <w:t>) como anclaje. Aquí, ¿qué es el recurso (</w:t>
      </w:r>
      <w:r w:rsidR="00E7372C">
        <w:t>apropiado</w:t>
      </w:r>
      <w:r>
        <w:t xml:space="preserve">) como </w:t>
      </w:r>
      <w:r w:rsidR="00E7372C">
        <w:t>soporte</w:t>
      </w:r>
      <w:r>
        <w:t xml:space="preserve">? </w:t>
      </w:r>
      <w:r w:rsidR="00766958">
        <w:t>En un</w:t>
      </w:r>
      <w:r>
        <w:t xml:space="preserve"> buen amigo que exhib</w:t>
      </w:r>
      <w:r w:rsidR="00766958">
        <w:t>a</w:t>
      </w:r>
      <w:r>
        <w:t xml:space="preserve"> </w:t>
      </w:r>
      <w:r w:rsidR="00766958">
        <w:t>un</w:t>
      </w:r>
      <w:r w:rsidR="003743E0">
        <w:t>a</w:t>
      </w:r>
      <w:r w:rsidR="00766958">
        <w:t xml:space="preserve"> </w:t>
      </w:r>
      <w:r w:rsidR="003743E0">
        <w:t>instancia para una charla</w:t>
      </w:r>
      <w:r>
        <w:t>,</w:t>
      </w:r>
      <w:r w:rsidRPr="0013304B">
        <w:rPr>
          <w:vertAlign w:val="superscript"/>
        </w:rPr>
        <w:t>12</w:t>
      </w:r>
      <w:r>
        <w:t xml:space="preserve"> en cuya presencia se o</w:t>
      </w:r>
      <w:r w:rsidR="00766958">
        <w:t>iga</w:t>
      </w:r>
      <w:r>
        <w:t xml:space="preserve"> lo que no se ha</w:t>
      </w:r>
      <w:r w:rsidR="00766958">
        <w:t>ya</w:t>
      </w:r>
      <w:r>
        <w:t xml:space="preserve"> oído, se corri</w:t>
      </w:r>
      <w:r w:rsidR="00766958">
        <w:t>ja</w:t>
      </w:r>
      <w:r>
        <w:t xml:space="preserve"> lo </w:t>
      </w:r>
      <w:r w:rsidR="00766958">
        <w:t xml:space="preserve">ya </w:t>
      </w:r>
      <w:r>
        <w:t xml:space="preserve">oído, se </w:t>
      </w:r>
      <w:r w:rsidR="00766958">
        <w:t xml:space="preserve">elimine </w:t>
      </w:r>
      <w:r>
        <w:t>la duda, se rectifi</w:t>
      </w:r>
      <w:r w:rsidR="00766958">
        <w:t>que</w:t>
      </w:r>
      <w:r>
        <w:t xml:space="preserve"> </w:t>
      </w:r>
      <w:r w:rsidR="00AA7770">
        <w:t>la visión de las cosas</w:t>
      </w:r>
      <w:r>
        <w:t xml:space="preserve"> y se </w:t>
      </w:r>
      <w:r w:rsidR="00AA7770">
        <w:t xml:space="preserve">desarrolle </w:t>
      </w:r>
      <w:r>
        <w:t>confianza; o mediante el entrenamiento bajo el cual uno cre</w:t>
      </w:r>
      <w:r w:rsidR="00766958">
        <w:t>zca</w:t>
      </w:r>
      <w:r>
        <w:t xml:space="preserve"> en fe, virtud, aprendizaje, generosidad y comprensión</w:t>
      </w:r>
      <w:r w:rsidR="00C04DAB">
        <w:t xml:space="preserve"> ―</w:t>
      </w:r>
      <w:r>
        <w:t xml:space="preserve"> </w:t>
      </w:r>
      <w:r w:rsidR="00766958">
        <w:t xml:space="preserve">a </w:t>
      </w:r>
      <w:r>
        <w:t xml:space="preserve">esto se </w:t>
      </w:r>
      <w:r w:rsidR="00766958">
        <w:t xml:space="preserve">le </w:t>
      </w:r>
      <w:r>
        <w:t xml:space="preserve">llama </w:t>
      </w:r>
      <w:r w:rsidR="005061FC">
        <w:t xml:space="preserve">un </w:t>
      </w:r>
      <w:r w:rsidRPr="005061FC">
        <w:rPr>
          <w:i/>
          <w:iCs/>
        </w:rPr>
        <w:t>recurso</w:t>
      </w:r>
      <w:r>
        <w:t xml:space="preserve"> (</w:t>
      </w:r>
      <w:r w:rsidR="00766958" w:rsidRPr="005061FC">
        <w:rPr>
          <w:i/>
          <w:iCs/>
        </w:rPr>
        <w:t>apropiado</w:t>
      </w:r>
      <w:r>
        <w:t xml:space="preserve">) </w:t>
      </w:r>
      <w:r w:rsidRPr="005061FC">
        <w:rPr>
          <w:i/>
          <w:iCs/>
        </w:rPr>
        <w:t xml:space="preserve">como </w:t>
      </w:r>
      <w:r w:rsidR="00766958" w:rsidRPr="005061FC">
        <w:rPr>
          <w:i/>
          <w:iCs/>
        </w:rPr>
        <w:t>soporte</w:t>
      </w:r>
      <w:r>
        <w:t>.</w:t>
      </w:r>
    </w:p>
    <w:p w14:paraId="2017F6EB" w14:textId="3516B16F" w:rsidR="00E9733C" w:rsidRDefault="00E9733C" w:rsidP="00E9733C">
      <w:r>
        <w:t xml:space="preserve">50. </w:t>
      </w:r>
      <w:r>
        <w:tab/>
        <w:t>¿Qué es un recurso (</w:t>
      </w:r>
      <w:r w:rsidR="00766958">
        <w:t>apropiado</w:t>
      </w:r>
      <w:r>
        <w:t xml:space="preserve">) como </w:t>
      </w:r>
      <w:r w:rsidR="007F0694">
        <w:t>vigilancia</w:t>
      </w:r>
      <w:r>
        <w:t xml:space="preserve">? Aquí “Un </w:t>
      </w:r>
      <w:proofErr w:type="spellStart"/>
      <w:r w:rsidR="00057BF4" w:rsidRPr="00057BF4">
        <w:rPr>
          <w:i/>
          <w:iCs/>
        </w:rPr>
        <w:t>bhikkhu</w:t>
      </w:r>
      <w:proofErr w:type="spellEnd"/>
      <w:r>
        <w:t xml:space="preserve">, habiendo entrado </w:t>
      </w:r>
      <w:r w:rsidR="00766958">
        <w:t>a</w:t>
      </w:r>
      <w:r>
        <w:t xml:space="preserve"> una casa, habiendo ido a una calle, </w:t>
      </w:r>
      <w:r w:rsidR="005B2009">
        <w:t>se desplaza</w:t>
      </w:r>
      <w:r>
        <w:t xml:space="preserve"> con los ojos bajos, viendo </w:t>
      </w:r>
      <w:r w:rsidR="005B2009">
        <w:t xml:space="preserve">sólo </w:t>
      </w:r>
      <w:r>
        <w:t xml:space="preserve">la longitud de un yugo de arado, contenido, sin mirar a un elefante, sin mirar a un caballo, </w:t>
      </w:r>
      <w:r w:rsidR="005B2009">
        <w:t xml:space="preserve">a </w:t>
      </w:r>
      <w:r>
        <w:t xml:space="preserve">un carruaje, </w:t>
      </w:r>
      <w:r w:rsidR="005B2009">
        <w:t xml:space="preserve">a </w:t>
      </w:r>
      <w:r>
        <w:t xml:space="preserve">un peatón, </w:t>
      </w:r>
      <w:r w:rsidR="005B2009">
        <w:t xml:space="preserve">a </w:t>
      </w:r>
      <w:r>
        <w:t xml:space="preserve">una mujer, </w:t>
      </w:r>
      <w:r w:rsidR="005B2009">
        <w:t xml:space="preserve">a </w:t>
      </w:r>
      <w:r>
        <w:t>un hombre, sin mirar hacia arriba, sin mirar hacia abajo, sin mirar de un lado a otro” (</w:t>
      </w:r>
      <w:proofErr w:type="spellStart"/>
      <w:r>
        <w:t>Nidd</w:t>
      </w:r>
      <w:proofErr w:type="spellEnd"/>
      <w:r>
        <w:t xml:space="preserve"> I 474). </w:t>
      </w:r>
      <w:r w:rsidR="005B2009">
        <w:t>A e</w:t>
      </w:r>
      <w:r>
        <w:t xml:space="preserve">sto se llama </w:t>
      </w:r>
      <w:r w:rsidR="006D3FBB">
        <w:t xml:space="preserve">un </w:t>
      </w:r>
      <w:r w:rsidRPr="005061FC">
        <w:rPr>
          <w:i/>
          <w:iCs/>
        </w:rPr>
        <w:t>recurso</w:t>
      </w:r>
      <w:r>
        <w:t xml:space="preserve"> (</w:t>
      </w:r>
      <w:r w:rsidR="006D3FBB" w:rsidRPr="005061FC">
        <w:rPr>
          <w:i/>
          <w:iCs/>
        </w:rPr>
        <w:t>apropiado</w:t>
      </w:r>
      <w:r>
        <w:t xml:space="preserve">) </w:t>
      </w:r>
      <w:r w:rsidRPr="005061FC">
        <w:rPr>
          <w:i/>
          <w:iCs/>
        </w:rPr>
        <w:t>como vigilancia</w:t>
      </w:r>
      <w:r>
        <w:t>.</w:t>
      </w:r>
    </w:p>
    <w:p w14:paraId="52685582" w14:textId="76581BD1" w:rsidR="00E9733C" w:rsidRDefault="00E9733C" w:rsidP="00E9733C">
      <w:r>
        <w:t xml:space="preserve">51. </w:t>
      </w:r>
      <w:r>
        <w:tab/>
        <w:t xml:space="preserve">¿Qué es </w:t>
      </w:r>
      <w:r w:rsidR="005061FC">
        <w:t>un</w:t>
      </w:r>
      <w:r>
        <w:t xml:space="preserve"> recurso (</w:t>
      </w:r>
      <w:r w:rsidR="007F0694">
        <w:t>apropiado</w:t>
      </w:r>
      <w:r>
        <w:t xml:space="preserve">) como </w:t>
      </w:r>
      <w:r w:rsidR="007F0694">
        <w:t>anclaje</w:t>
      </w:r>
      <w:r>
        <w:t>? Son los cuatro fundamentos de la atención plena sobre los que se ancl</w:t>
      </w:r>
      <w:r w:rsidR="00C04DAB">
        <w:t>e</w:t>
      </w:r>
      <w:r>
        <w:t xml:space="preserve"> la mente; porque el </w:t>
      </w:r>
      <w:r w:rsidR="007F0694">
        <w:rPr>
          <w:i/>
          <w:iCs/>
        </w:rPr>
        <w:t xml:space="preserve">Bhagavā </w:t>
      </w:r>
      <w:r>
        <w:t>dice esto: “</w:t>
      </w:r>
      <w:proofErr w:type="spellStart"/>
      <w:r w:rsidR="00057BF4" w:rsidRPr="00057BF4">
        <w:rPr>
          <w:i/>
          <w:iCs/>
        </w:rPr>
        <w:t>Bhikkhu</w:t>
      </w:r>
      <w:r w:rsidRPr="00EC754F">
        <w:rPr>
          <w:i/>
          <w:iCs/>
        </w:rPr>
        <w:t>s</w:t>
      </w:r>
      <w:proofErr w:type="spellEnd"/>
      <w:r>
        <w:t xml:space="preserve">, ¿cuál es el lugar de descanso de un </w:t>
      </w:r>
      <w:proofErr w:type="spellStart"/>
      <w:r w:rsidR="00057BF4" w:rsidRPr="00057BF4">
        <w:rPr>
          <w:i/>
          <w:iCs/>
        </w:rPr>
        <w:t>bhikkhu</w:t>
      </w:r>
      <w:proofErr w:type="spellEnd"/>
      <w:r>
        <w:t xml:space="preserve">, su propio lugar de origen? Son estos cuatro fundamentos de la atención plena” (S V 148). </w:t>
      </w:r>
      <w:r w:rsidR="007F0694">
        <w:t>A e</w:t>
      </w:r>
      <w:r>
        <w:t>sto se l</w:t>
      </w:r>
      <w:r w:rsidR="007F0694">
        <w:t xml:space="preserve">e </w:t>
      </w:r>
      <w:r>
        <w:t xml:space="preserve">lama </w:t>
      </w:r>
      <w:r w:rsidRPr="00AD75A5">
        <w:rPr>
          <w:i/>
          <w:iCs/>
        </w:rPr>
        <w:t>recurso (</w:t>
      </w:r>
      <w:r w:rsidR="00E56D57" w:rsidRPr="00E56D57">
        <w:rPr>
          <w:i/>
          <w:iCs/>
        </w:rPr>
        <w:t>apropiado</w:t>
      </w:r>
      <w:r w:rsidRPr="00AD75A5">
        <w:rPr>
          <w:i/>
          <w:iCs/>
        </w:rPr>
        <w:t xml:space="preserve">) como </w:t>
      </w:r>
      <w:r w:rsidR="00E56D57">
        <w:rPr>
          <w:i/>
          <w:iCs/>
        </w:rPr>
        <w:t>anclaje</w:t>
      </w:r>
      <w:r>
        <w:t>.</w:t>
      </w:r>
    </w:p>
    <w:p w14:paraId="07A548A7" w14:textId="28BBF499" w:rsidR="00E9733C" w:rsidRDefault="00766B8B" w:rsidP="00E9733C">
      <w:pPr>
        <w:pStyle w:val="NormalConSangria"/>
      </w:pPr>
      <w:r>
        <w:t xml:space="preserve">Al que habite </w:t>
      </w:r>
      <w:r w:rsidR="00E9733C">
        <w:t>así equipado con... dotado de esta conducta (</w:t>
      </w:r>
      <w:r w:rsidR="005061FC">
        <w:t>apropiada</w:t>
      </w:r>
      <w:r w:rsidR="00E9733C">
        <w:t>) y este recurso (</w:t>
      </w:r>
      <w:r w:rsidR="005061FC">
        <w:t>apropiado</w:t>
      </w:r>
      <w:r w:rsidR="00E9733C">
        <w:t>), también se le llama "</w:t>
      </w:r>
      <w:r>
        <w:t xml:space="preserve">alguien </w:t>
      </w:r>
      <w:r w:rsidR="00E9733C">
        <w:t>que posee conducta y recurso (</w:t>
      </w:r>
      <w:r>
        <w:t>apropiados</w:t>
      </w:r>
      <w:r w:rsidR="00E9733C">
        <w:t>)". [20]</w:t>
      </w:r>
    </w:p>
    <w:p w14:paraId="6AE0DBC6" w14:textId="6C4D4148" w:rsidR="00E9733C" w:rsidRDefault="00E9733C" w:rsidP="00E9733C">
      <w:r>
        <w:t xml:space="preserve">52. </w:t>
      </w:r>
      <w:r>
        <w:tab/>
      </w:r>
      <w:r w:rsidRPr="00AD75A5">
        <w:rPr>
          <w:i/>
          <w:iCs/>
        </w:rPr>
        <w:t xml:space="preserve">Ve </w:t>
      </w:r>
      <w:r w:rsidR="00C04DAB">
        <w:rPr>
          <w:i/>
          <w:iCs/>
        </w:rPr>
        <w:t xml:space="preserve">el </w:t>
      </w:r>
      <w:r w:rsidRPr="00AD75A5">
        <w:rPr>
          <w:i/>
          <w:iCs/>
        </w:rPr>
        <w:t>miedo en la más mínima falta</w:t>
      </w:r>
      <w:r>
        <w:t xml:space="preserve"> (§42): alguien que ten</w:t>
      </w:r>
      <w:r w:rsidR="00766B8B">
        <w:t>ga</w:t>
      </w:r>
      <w:r>
        <w:t xml:space="preserve"> el hábito (</w:t>
      </w:r>
      <w:r w:rsidRPr="00766B8B">
        <w:rPr>
          <w:i/>
          <w:iCs/>
        </w:rPr>
        <w:t>sīla</w:t>
      </w:r>
      <w:r>
        <w:t xml:space="preserve">) de ver </w:t>
      </w:r>
      <w:r w:rsidR="00766B8B">
        <w:t xml:space="preserve">el </w:t>
      </w:r>
      <w:r>
        <w:t>miedo en faltas e</w:t>
      </w:r>
      <w:r w:rsidR="00697A65">
        <w:t>n</w:t>
      </w:r>
      <w:r>
        <w:t xml:space="preserve"> la más mínima medida, tales como la contravención involuntaria de un</w:t>
      </w:r>
      <w:r w:rsidR="003754CC">
        <w:t>a</w:t>
      </w:r>
      <w:r>
        <w:t xml:space="preserve"> </w:t>
      </w:r>
      <w:r w:rsidR="003754CC">
        <w:t>regla</w:t>
      </w:r>
      <w:r w:rsidR="002A5598">
        <w:t xml:space="preserve"> </w:t>
      </w:r>
      <w:r>
        <w:t xml:space="preserve">de entrenamiento menor del </w:t>
      </w:r>
      <w:proofErr w:type="spellStart"/>
      <w:r w:rsidRPr="00AD75A5">
        <w:rPr>
          <w:i/>
          <w:iCs/>
        </w:rPr>
        <w:t>Pātimokkha</w:t>
      </w:r>
      <w:proofErr w:type="spellEnd"/>
      <w:r>
        <w:t xml:space="preserve">, o el surgimiento de pensamientos improductivos. </w:t>
      </w:r>
      <w:r w:rsidRPr="00AD75A5">
        <w:rPr>
          <w:i/>
          <w:iCs/>
        </w:rPr>
        <w:t>Se entrena a sí mismo emprend</w:t>
      </w:r>
      <w:r w:rsidR="00F6796F">
        <w:rPr>
          <w:i/>
          <w:iCs/>
        </w:rPr>
        <w:t>iendo</w:t>
      </w:r>
      <w:r>
        <w:t xml:space="preserve"> (</w:t>
      </w:r>
      <w:proofErr w:type="spellStart"/>
      <w:r w:rsidRPr="00AD75A5">
        <w:rPr>
          <w:i/>
          <w:iCs/>
        </w:rPr>
        <w:t>samādāya</w:t>
      </w:r>
      <w:proofErr w:type="spellEnd"/>
      <w:r>
        <w:t xml:space="preserve">) </w:t>
      </w:r>
      <w:r w:rsidRPr="00AD75A5">
        <w:rPr>
          <w:i/>
          <w:iCs/>
        </w:rPr>
        <w:t>los</w:t>
      </w:r>
      <w:r>
        <w:t xml:space="preserve"> </w:t>
      </w:r>
      <w:r w:rsidRPr="00AD75A5">
        <w:rPr>
          <w:i/>
          <w:iCs/>
        </w:rPr>
        <w:t>preceptos de entrenamiento</w:t>
      </w:r>
      <w:r>
        <w:t xml:space="preserve">: </w:t>
      </w:r>
      <w:r w:rsidR="007148DB">
        <w:t xml:space="preserve">en cualquier cosa </w:t>
      </w:r>
      <w:r>
        <w:t>que hay</w:t>
      </w:r>
      <w:r w:rsidR="00766B8B">
        <w:t>a</w:t>
      </w:r>
      <w:r>
        <w:t xml:space="preserve"> en los preceptos de entrenamiento </w:t>
      </w:r>
      <w:r w:rsidR="007148DB">
        <w:t xml:space="preserve">a </w:t>
      </w:r>
      <w:r>
        <w:t>ser</w:t>
      </w:r>
      <w:r w:rsidR="007148DB">
        <w:t xml:space="preserve"> practicados</w:t>
      </w:r>
      <w:r w:rsidR="00A32A91">
        <w:t xml:space="preserve"> y en todo lo que se practique lo asume </w:t>
      </w:r>
    </w:p>
    <w:p w14:paraId="4F5C221B" w14:textId="77777777" w:rsidR="00E9733C" w:rsidRPr="00E9733C" w:rsidRDefault="00E9733C" w:rsidP="00E9733C">
      <w:pPr>
        <w:pStyle w:val="PiedepginaLegal"/>
        <w:rPr>
          <w:u w:val="single"/>
        </w:rPr>
      </w:pPr>
      <w:r w:rsidRPr="00E9733C">
        <w:rPr>
          <w:u w:val="single"/>
        </w:rPr>
        <w:t xml:space="preserve">                                                                                                                                      .</w:t>
      </w:r>
    </w:p>
    <w:p w14:paraId="645EE060" w14:textId="27FD72A4" w:rsidR="0083500F" w:rsidRDefault="00E9733C" w:rsidP="00E9733C">
      <w:pPr>
        <w:pStyle w:val="PiedepginaLegal"/>
      </w:pPr>
      <w:r>
        <w:t xml:space="preserve">12. </w:t>
      </w:r>
      <w:r>
        <w:tab/>
        <w:t>Los “diez casos de conversación” (</w:t>
      </w:r>
      <w:r w:rsidRPr="00AD75A5">
        <w:rPr>
          <w:i/>
          <w:iCs/>
        </w:rPr>
        <w:t>dasa</w:t>
      </w:r>
      <w:r>
        <w:t xml:space="preserve"> </w:t>
      </w:r>
      <w:proofErr w:type="spellStart"/>
      <w:r w:rsidRPr="00AD75A5">
        <w:rPr>
          <w:i/>
          <w:iCs/>
        </w:rPr>
        <w:t>kathāvatthūni</w:t>
      </w:r>
      <w:proofErr w:type="spellEnd"/>
      <w:r>
        <w:t xml:space="preserve">) se refieren a los tipos de conversación que se dan en los </w:t>
      </w:r>
      <w:r w:rsidRPr="00AD3984">
        <w:rPr>
          <w:i/>
          <w:iCs/>
        </w:rPr>
        <w:t>Suttas</w:t>
      </w:r>
      <w:r>
        <w:t xml:space="preserve"> así: “La conversación que se relaciona con </w:t>
      </w:r>
      <w:r w:rsidR="0018343C">
        <w:t xml:space="preserve">la </w:t>
      </w:r>
      <w:r w:rsidR="00EC4A83">
        <w:t>purificación</w:t>
      </w:r>
      <w:r>
        <w:t>, que favore</w:t>
      </w:r>
      <w:r w:rsidR="00EA7434">
        <w:t>zca</w:t>
      </w:r>
      <w:r>
        <w:t xml:space="preserve"> </w:t>
      </w:r>
      <w:r w:rsidR="00BC019E">
        <w:t xml:space="preserve">a </w:t>
      </w:r>
      <w:r>
        <w:t>la liberación del corazón, que condu</w:t>
      </w:r>
      <w:r w:rsidR="00EA7434">
        <w:t>zca</w:t>
      </w:r>
      <w:r>
        <w:t xml:space="preserve"> al completo desapasionamiento, </w:t>
      </w:r>
      <w:r w:rsidR="00BC019E">
        <w:t xml:space="preserve">al </w:t>
      </w:r>
      <w:r>
        <w:t xml:space="preserve">desvanecimiento, </w:t>
      </w:r>
      <w:r w:rsidR="00BC019E">
        <w:t xml:space="preserve">a la </w:t>
      </w:r>
      <w:r>
        <w:t xml:space="preserve">cesación, </w:t>
      </w:r>
      <w:r w:rsidR="00BC019E">
        <w:t xml:space="preserve">a la </w:t>
      </w:r>
      <w:r>
        <w:t xml:space="preserve">paz, </w:t>
      </w:r>
      <w:r w:rsidR="00BC019E">
        <w:t xml:space="preserve">al </w:t>
      </w:r>
      <w:r>
        <w:t xml:space="preserve">conocimiento directo, </w:t>
      </w:r>
      <w:r w:rsidR="00BC019E">
        <w:t xml:space="preserve">a la </w:t>
      </w:r>
      <w:r>
        <w:t xml:space="preserve">iluminación, </w:t>
      </w:r>
      <w:r w:rsidR="00BC019E">
        <w:t>a</w:t>
      </w:r>
      <w:r w:rsidR="00EA7434">
        <w:t xml:space="preserve">l </w:t>
      </w:r>
      <w:r w:rsidRPr="00AD75A5">
        <w:rPr>
          <w:i/>
          <w:iCs/>
        </w:rPr>
        <w:t>Nibbāna</w:t>
      </w:r>
      <w:r>
        <w:t xml:space="preserve">, es decir: </w:t>
      </w:r>
      <w:r w:rsidR="00EA7434">
        <w:t>un lenguaje</w:t>
      </w:r>
      <w:r>
        <w:t xml:space="preserve"> sobre </w:t>
      </w:r>
      <w:r w:rsidR="00EA7434">
        <w:t xml:space="preserve">anhelar </w:t>
      </w:r>
      <w:r>
        <w:t xml:space="preserve">poco, </w:t>
      </w:r>
      <w:r w:rsidR="009F77EA">
        <w:t xml:space="preserve">sobre la </w:t>
      </w:r>
      <w:r>
        <w:t xml:space="preserve">satisfacción, </w:t>
      </w:r>
      <w:r w:rsidR="009F77EA">
        <w:t xml:space="preserve">la </w:t>
      </w:r>
      <w:r>
        <w:t xml:space="preserve">reclusión, </w:t>
      </w:r>
      <w:r w:rsidR="009F77EA">
        <w:t xml:space="preserve">el </w:t>
      </w:r>
      <w:r>
        <w:t xml:space="preserve">distanciamiento del contacto, </w:t>
      </w:r>
      <w:r w:rsidR="009F77EA">
        <w:t xml:space="preserve">el </w:t>
      </w:r>
      <w:r>
        <w:t xml:space="preserve">vigor, </w:t>
      </w:r>
      <w:r w:rsidR="009F77EA">
        <w:t xml:space="preserve">la </w:t>
      </w:r>
      <w:r>
        <w:t xml:space="preserve">virtud, </w:t>
      </w:r>
      <w:r w:rsidR="009F77EA">
        <w:t xml:space="preserve">la </w:t>
      </w:r>
      <w:r>
        <w:t xml:space="preserve">concentración, </w:t>
      </w:r>
      <w:r w:rsidR="009F77EA">
        <w:t>el entendimiento</w:t>
      </w:r>
      <w:r>
        <w:t xml:space="preserve">, </w:t>
      </w:r>
      <w:r w:rsidR="009F77EA">
        <w:t xml:space="preserve">la </w:t>
      </w:r>
      <w:r>
        <w:t xml:space="preserve">liberación, </w:t>
      </w:r>
      <w:r w:rsidR="009F77EA">
        <w:t xml:space="preserve">el </w:t>
      </w:r>
      <w:r>
        <w:t xml:space="preserve">conocimiento y </w:t>
      </w:r>
      <w:r w:rsidR="009F77EA">
        <w:t xml:space="preserve">la </w:t>
      </w:r>
      <w:r>
        <w:t xml:space="preserve">visión de </w:t>
      </w:r>
      <w:r w:rsidR="00EA7434">
        <w:t xml:space="preserve">la </w:t>
      </w:r>
      <w:r>
        <w:t>liberación” (M I 145; III 113).</w:t>
      </w:r>
    </w:p>
    <w:p w14:paraId="792EFD04" w14:textId="77777777" w:rsidR="0083500F" w:rsidRDefault="0083500F">
      <w:pPr>
        <w:tabs>
          <w:tab w:val="clear" w:pos="425"/>
        </w:tabs>
        <w:rPr>
          <w:color w:val="000000" w:themeColor="text1"/>
          <w:spacing w:val="10"/>
          <w:sz w:val="14"/>
        </w:rPr>
      </w:pPr>
      <w:r>
        <w:br w:type="page"/>
      </w:r>
    </w:p>
    <w:p w14:paraId="3FED86C9" w14:textId="3E61DD55" w:rsidR="0083500F" w:rsidRDefault="0083500F" w:rsidP="0083500F"/>
    <w:p w14:paraId="428EE897" w14:textId="6C145938" w:rsidR="0083500F" w:rsidRDefault="0083500F" w:rsidP="0083500F">
      <w:r>
        <w:t>correctamente (</w:t>
      </w:r>
      <w:proofErr w:type="spellStart"/>
      <w:r w:rsidR="00057BF4" w:rsidRPr="00057BF4">
        <w:rPr>
          <w:i/>
          <w:iCs/>
        </w:rPr>
        <w:t>sammā</w:t>
      </w:r>
      <w:proofErr w:type="spellEnd"/>
      <w:r w:rsidRPr="00AD75A5">
        <w:rPr>
          <w:i/>
          <w:iCs/>
        </w:rPr>
        <w:t xml:space="preserve"> </w:t>
      </w:r>
      <w:proofErr w:type="spellStart"/>
      <w:r w:rsidRPr="00B93C2A">
        <w:rPr>
          <w:i/>
          <w:iCs/>
        </w:rPr>
        <w:t>ādāya</w:t>
      </w:r>
      <w:proofErr w:type="spellEnd"/>
      <w:r>
        <w:t>). Y aquí, en cuanto a las palabras, “</w:t>
      </w:r>
      <w:r w:rsidR="00B93C2A">
        <w:t>alguien</w:t>
      </w:r>
      <w:r>
        <w:t xml:space="preserve"> restringido por la restricción </w:t>
      </w:r>
      <w:proofErr w:type="spellStart"/>
      <w:r w:rsidRPr="00AD75A5">
        <w:rPr>
          <w:i/>
          <w:iCs/>
        </w:rPr>
        <w:t>Pātimokkha</w:t>
      </w:r>
      <w:proofErr w:type="spellEnd"/>
      <w:r>
        <w:t xml:space="preserve">”, la virtud de la restricción </w:t>
      </w:r>
      <w:proofErr w:type="spellStart"/>
      <w:r w:rsidRPr="00AD75A5">
        <w:rPr>
          <w:i/>
          <w:iCs/>
        </w:rPr>
        <w:t>Pātimokkha</w:t>
      </w:r>
      <w:proofErr w:type="spellEnd"/>
      <w:r>
        <w:t xml:space="preserve"> </w:t>
      </w:r>
      <w:r w:rsidR="00B93C2A">
        <w:t>es expuesta</w:t>
      </w:r>
      <w:r>
        <w:t xml:space="preserve"> mediante </w:t>
      </w:r>
      <w:r w:rsidR="00AB7CC8">
        <w:t>un</w:t>
      </w:r>
      <w:r>
        <w:t xml:space="preserve"> discurso en términos de personas.</w:t>
      </w:r>
      <w:r w:rsidRPr="00AD75A5">
        <w:rPr>
          <w:vertAlign w:val="superscript"/>
        </w:rPr>
        <w:t>13</w:t>
      </w:r>
      <w:r>
        <w:t xml:space="preserve"> </w:t>
      </w:r>
      <w:r w:rsidR="00F23805">
        <w:t xml:space="preserve">No obstante, </w:t>
      </w:r>
      <w:r>
        <w:t xml:space="preserve">todo </w:t>
      </w:r>
      <w:r w:rsidR="00F23805">
        <w:t>aquello que</w:t>
      </w:r>
      <w:r>
        <w:t xml:space="preserve"> comien</w:t>
      </w:r>
      <w:r w:rsidR="00F23805">
        <w:t>ce</w:t>
      </w:r>
      <w:r>
        <w:t xml:space="preserve"> con las palabras, “poseído de conducta y recurso</w:t>
      </w:r>
      <w:r w:rsidR="003A7B3E">
        <w:t xml:space="preserve"> [apropiado</w:t>
      </w:r>
      <w:r w:rsidR="00F23805">
        <w:t>s</w:t>
      </w:r>
      <w:r w:rsidR="003A7B3E">
        <w:t>]</w:t>
      </w:r>
      <w:r>
        <w:t xml:space="preserve">” debe entenderse como </w:t>
      </w:r>
      <w:r w:rsidR="006B184A">
        <w:t xml:space="preserve">lo </w:t>
      </w:r>
      <w:r w:rsidR="00F23805">
        <w:t xml:space="preserve">establecido </w:t>
      </w:r>
      <w:r>
        <w:t xml:space="preserve">para mostrar el modo de práctica que perfecciona </w:t>
      </w:r>
      <w:r w:rsidR="00F23805">
        <w:t xml:space="preserve">aquella </w:t>
      </w:r>
      <w:r>
        <w:t>virtud en quien así l</w:t>
      </w:r>
      <w:r w:rsidR="00F23805">
        <w:t>o</w:t>
      </w:r>
      <w:r>
        <w:t xml:space="preserve"> practi</w:t>
      </w:r>
      <w:r w:rsidR="00F23805">
        <w:t>que</w:t>
      </w:r>
      <w:r>
        <w:t>.</w:t>
      </w:r>
    </w:p>
    <w:p w14:paraId="7F7DC444" w14:textId="0D6F92B2" w:rsidR="0083500F" w:rsidRDefault="0083500F" w:rsidP="009877F9">
      <w:r>
        <w:t xml:space="preserve">53. </w:t>
      </w:r>
      <w:r w:rsidR="00BF6764">
        <w:tab/>
      </w:r>
      <w:r>
        <w:t>(b)</w:t>
      </w:r>
      <w:r w:rsidR="00370862">
        <w:t>:</w:t>
      </w:r>
      <w:r w:rsidR="00370862" w:rsidRPr="00370862">
        <w:rPr>
          <w:color w:val="1F3864" w:themeColor="accent1" w:themeShade="80"/>
        </w:rPr>
        <w:t xml:space="preserve"> </w:t>
      </w:r>
      <w:r w:rsidR="00370862" w:rsidRPr="00CB539E">
        <w:rPr>
          <w:color w:val="1F3864" w:themeColor="accent1" w:themeShade="80"/>
        </w:rPr>
        <w:t>(§ 42.</w:t>
      </w:r>
      <w:r w:rsidR="00370862">
        <w:rPr>
          <w:color w:val="1F3864" w:themeColor="accent1" w:themeShade="80"/>
        </w:rPr>
        <w:t>b</w:t>
      </w:r>
      <w:r w:rsidR="00370862" w:rsidRPr="00CB539E">
        <w:rPr>
          <w:color w:val="1F3864" w:themeColor="accent1" w:themeShade="80"/>
        </w:rPr>
        <w:t>)</w:t>
      </w:r>
      <w:r w:rsidR="009877F9">
        <w:rPr>
          <w:color w:val="1F3864" w:themeColor="accent1" w:themeShade="80"/>
        </w:rPr>
        <w:t xml:space="preserve"> </w:t>
      </w:r>
      <w:r>
        <w:t>Ahora</w:t>
      </w:r>
      <w:r w:rsidR="00F23805">
        <w:t xml:space="preserve"> bien</w:t>
      </w:r>
      <w:r>
        <w:t>, con respecto a la virtud de la restricción de las facultades que se muestra junto a</w:t>
      </w:r>
      <w:r w:rsidR="00C0294C">
        <w:t xml:space="preserve">l pasaje </w:t>
      </w:r>
      <w:r>
        <w:t xml:space="preserve">que comienza </w:t>
      </w:r>
      <w:r w:rsidR="00C51CB3">
        <w:t>con</w:t>
      </w:r>
      <w:r>
        <w:t xml:space="preserve">, "al ver un objeto visible con el ojo", </w:t>
      </w:r>
      <w:r w:rsidR="00C51CB3">
        <w:t xml:space="preserve">al respecto </w:t>
      </w:r>
      <w:r w:rsidRPr="00C0294C">
        <w:rPr>
          <w:i/>
          <w:iCs/>
        </w:rPr>
        <w:t>él</w:t>
      </w:r>
      <w:r>
        <w:t xml:space="preserve"> es un </w:t>
      </w:r>
      <w:proofErr w:type="spellStart"/>
      <w:r w:rsidR="00057BF4" w:rsidRPr="00057BF4">
        <w:rPr>
          <w:i/>
          <w:iCs/>
        </w:rPr>
        <w:t>bhikkhu</w:t>
      </w:r>
      <w:proofErr w:type="spellEnd"/>
      <w:r>
        <w:t xml:space="preserve"> establecido en la virtud de la restricción </w:t>
      </w:r>
      <w:proofErr w:type="spellStart"/>
      <w:r w:rsidRPr="00AD75A5">
        <w:rPr>
          <w:i/>
          <w:iCs/>
        </w:rPr>
        <w:t>Pātimokkha</w:t>
      </w:r>
      <w:proofErr w:type="spellEnd"/>
      <w:r>
        <w:t xml:space="preserve">. </w:t>
      </w:r>
      <w:r w:rsidRPr="00005700">
        <w:rPr>
          <w:i/>
          <w:iCs/>
        </w:rPr>
        <w:t>Al ver un objeto visible con el ojo</w:t>
      </w:r>
      <w:r>
        <w:t>: al ver un objeto visible con l</w:t>
      </w:r>
      <w:r w:rsidR="00C026DA">
        <w:t>a</w:t>
      </w:r>
      <w:r>
        <w:t xml:space="preserve"> </w:t>
      </w:r>
      <w:r w:rsidR="00305E12">
        <w:t>consciencia</w:t>
      </w:r>
      <w:r w:rsidR="00C51CB3">
        <w:t>-visual</w:t>
      </w:r>
      <w:r>
        <w:t xml:space="preserve"> que es capaz de ver objetos visibles y ha tomado prestado el nombre de “ojo” </w:t>
      </w:r>
      <w:r w:rsidR="00C026DA">
        <w:t>como</w:t>
      </w:r>
      <w:r>
        <w:t xml:space="preserve"> su instrumento. </w:t>
      </w:r>
      <w:r w:rsidR="000721F7">
        <w:t xml:space="preserve">No obstante, </w:t>
      </w:r>
      <w:r>
        <w:t xml:space="preserve">los </w:t>
      </w:r>
      <w:r w:rsidR="004023F3">
        <w:t>Venerables</w:t>
      </w:r>
      <w:r>
        <w:t xml:space="preserve"> (</w:t>
      </w:r>
      <w:proofErr w:type="spellStart"/>
      <w:r w:rsidRPr="00AD75A5">
        <w:rPr>
          <w:i/>
          <w:iCs/>
        </w:rPr>
        <w:t>porāṇā</w:t>
      </w:r>
      <w:proofErr w:type="spellEnd"/>
      <w:r>
        <w:t xml:space="preserve">) </w:t>
      </w:r>
      <w:r w:rsidR="00454899">
        <w:t>decían</w:t>
      </w:r>
      <w:r>
        <w:t xml:space="preserve">: “El ojo no ve un objeto visible porque no tiene mente. La mente no ve porque no tiene ojos. </w:t>
      </w:r>
      <w:r w:rsidR="001B23D8">
        <w:t xml:space="preserve">No </w:t>
      </w:r>
      <w:proofErr w:type="gramStart"/>
      <w:r w:rsidR="001B23D8">
        <w:t xml:space="preserve">obstante, </w:t>
      </w:r>
      <w:r>
        <w:t xml:space="preserve"> cuando</w:t>
      </w:r>
      <w:proofErr w:type="gramEnd"/>
      <w:r>
        <w:t xml:space="preserve"> hay</w:t>
      </w:r>
      <w:r w:rsidR="001B23D8">
        <w:t>a</w:t>
      </w:r>
      <w:r>
        <w:t xml:space="preserve"> un </w:t>
      </w:r>
      <w:r w:rsidR="00E90BC2">
        <w:t>perturbación</w:t>
      </w:r>
      <w:r>
        <w:t xml:space="preserve"> entre la puerta </w:t>
      </w:r>
      <w:r w:rsidR="00454899">
        <w:t xml:space="preserve">sensorial visual </w:t>
      </w:r>
      <w:r>
        <w:t xml:space="preserve">y el objeto, él </w:t>
      </w:r>
      <w:r w:rsidR="001B23D8">
        <w:t xml:space="preserve">observará </w:t>
      </w:r>
      <w:r>
        <w:t>por medio de la con</w:t>
      </w:r>
      <w:r w:rsidR="007C1125">
        <w:t>s</w:t>
      </w:r>
      <w:r>
        <w:t xml:space="preserve">ciencia que </w:t>
      </w:r>
      <w:r w:rsidR="001B23D8">
        <w:t xml:space="preserve">posea </w:t>
      </w:r>
      <w:r w:rsidR="007C1125">
        <w:t>sobre</w:t>
      </w:r>
      <w:r w:rsidR="00454899">
        <w:t xml:space="preserve"> </w:t>
      </w:r>
      <w:r>
        <w:t xml:space="preserve">la sensibilidad del ojo como </w:t>
      </w:r>
      <w:r w:rsidR="001B23D8">
        <w:t xml:space="preserve">su </w:t>
      </w:r>
      <w:r>
        <w:t>base física. Ahora</w:t>
      </w:r>
      <w:r w:rsidR="00454899">
        <w:t xml:space="preserve"> bien</w:t>
      </w:r>
      <w:r>
        <w:t>, (</w:t>
      </w:r>
      <w:r w:rsidR="00454899">
        <w:t xml:space="preserve">a </w:t>
      </w:r>
      <w:r>
        <w:t xml:space="preserve">una expresión idiomática) como </w:t>
      </w:r>
      <w:r w:rsidR="00454899">
        <w:t>é</w:t>
      </w:r>
      <w:r>
        <w:t xml:space="preserve">sta se </w:t>
      </w:r>
      <w:r w:rsidR="00454899">
        <w:t xml:space="preserve">le </w:t>
      </w:r>
      <w:r>
        <w:t>llama una 'locución accesoria' (</w:t>
      </w:r>
      <w:proofErr w:type="spellStart"/>
      <w:r w:rsidRPr="00005700">
        <w:rPr>
          <w:i/>
          <w:iCs/>
        </w:rPr>
        <w:t>sasambhārakathā</w:t>
      </w:r>
      <w:proofErr w:type="spellEnd"/>
      <w:r>
        <w:t xml:space="preserve">), como 'Él le disparó con su arco', y así sucesivamente. Así que </w:t>
      </w:r>
      <w:r w:rsidR="005D1120">
        <w:t xml:space="preserve">es éste </w:t>
      </w:r>
      <w:r>
        <w:t xml:space="preserve">el significado aquí </w:t>
      </w:r>
      <w:r w:rsidR="005D1120">
        <w:t>respecto a</w:t>
      </w:r>
      <w:r>
        <w:t xml:space="preserve">: ‘Al ver un objeto visible con la </w:t>
      </w:r>
      <w:r w:rsidR="00305E12">
        <w:t>consciencia</w:t>
      </w:r>
      <w:r>
        <w:t xml:space="preserve"> del ojo’”.</w:t>
      </w:r>
      <w:r w:rsidRPr="00005700">
        <w:rPr>
          <w:vertAlign w:val="superscript"/>
        </w:rPr>
        <w:t>14</w:t>
      </w:r>
    </w:p>
    <w:p w14:paraId="16DF559F" w14:textId="54A10924" w:rsidR="0083500F" w:rsidRDefault="0083500F" w:rsidP="0083500F">
      <w:r>
        <w:t xml:space="preserve">54. </w:t>
      </w:r>
      <w:r w:rsidR="00BF6764">
        <w:tab/>
      </w:r>
      <w:r w:rsidR="005D1120" w:rsidRPr="005D1120">
        <w:rPr>
          <w:i/>
          <w:iCs/>
        </w:rPr>
        <w:t>Él</w:t>
      </w:r>
      <w:r w:rsidR="005D1120">
        <w:t xml:space="preserve"> </w:t>
      </w:r>
      <w:r w:rsidR="005D1120">
        <w:rPr>
          <w:i/>
          <w:iCs/>
        </w:rPr>
        <w:t>n</w:t>
      </w:r>
      <w:r w:rsidRPr="00005700">
        <w:rPr>
          <w:i/>
          <w:iCs/>
        </w:rPr>
        <w:t>o aprehende los signos</w:t>
      </w:r>
      <w:r>
        <w:t xml:space="preserve">: </w:t>
      </w:r>
      <w:r w:rsidR="005D1120">
        <w:t xml:space="preserve">él </w:t>
      </w:r>
      <w:r>
        <w:t xml:space="preserve">no aprehende el signo de </w:t>
      </w:r>
      <w:r w:rsidR="005D1120">
        <w:t xml:space="preserve">una </w:t>
      </w:r>
      <w:r>
        <w:t xml:space="preserve">mujer o de </w:t>
      </w:r>
      <w:r w:rsidR="005D1120">
        <w:t xml:space="preserve">un </w:t>
      </w:r>
      <w:r>
        <w:t xml:space="preserve">hombre, ni ningún </w:t>
      </w:r>
      <w:r w:rsidR="00DF15FC">
        <w:t xml:space="preserve">otro </w:t>
      </w:r>
      <w:r>
        <w:t xml:space="preserve">signo que sea base para la deshonra, como el signo de la belleza, etc.; se detiene en lo </w:t>
      </w:r>
      <w:r w:rsidR="00402859">
        <w:t>simplemente</w:t>
      </w:r>
      <w:r>
        <w:t xml:space="preserve"> visto. </w:t>
      </w:r>
      <w:r w:rsidR="005D1120">
        <w:rPr>
          <w:i/>
          <w:iCs/>
        </w:rPr>
        <w:t>Tampoco en</w:t>
      </w:r>
      <w:r w:rsidRPr="00211FA1">
        <w:rPr>
          <w:i/>
          <w:iCs/>
        </w:rPr>
        <w:t xml:space="preserve"> l</w:t>
      </w:r>
      <w:r w:rsidR="003F6D29">
        <w:rPr>
          <w:i/>
          <w:iCs/>
        </w:rPr>
        <w:t>a</w:t>
      </w:r>
      <w:r w:rsidRPr="00211FA1">
        <w:rPr>
          <w:i/>
          <w:iCs/>
        </w:rPr>
        <w:t>s particular</w:t>
      </w:r>
      <w:r w:rsidR="003F6D29">
        <w:rPr>
          <w:i/>
          <w:iCs/>
        </w:rPr>
        <w:t>idade</w:t>
      </w:r>
      <w:r w:rsidRPr="00211FA1">
        <w:rPr>
          <w:i/>
          <w:iCs/>
        </w:rPr>
        <w:t>s</w:t>
      </w:r>
      <w:r>
        <w:t>: no aprehende ningún aspecto clasificado como mano, pie, sonrisa, risa, habla, mirar hacia delante, mirar a un lado, etc., que ha</w:t>
      </w:r>
      <w:r w:rsidR="004F511E">
        <w:t>ya</w:t>
      </w:r>
      <w:r>
        <w:t xml:space="preserve"> adquirido el nombre de </w:t>
      </w:r>
      <w:r w:rsidR="004F511E">
        <w:t>“</w:t>
      </w:r>
      <w:r>
        <w:t>particular</w:t>
      </w:r>
      <w:r w:rsidR="004F511E">
        <w:t>”</w:t>
      </w:r>
      <w:r>
        <w:t xml:space="preserve"> (</w:t>
      </w:r>
      <w:proofErr w:type="spellStart"/>
      <w:r w:rsidRPr="00211FA1">
        <w:rPr>
          <w:i/>
          <w:iCs/>
        </w:rPr>
        <w:t>anubyañjana</w:t>
      </w:r>
      <w:proofErr w:type="spellEnd"/>
      <w:r>
        <w:t xml:space="preserve">) </w:t>
      </w:r>
      <w:r w:rsidR="004F76AE">
        <w:t xml:space="preserve">debido </w:t>
      </w:r>
      <w:r w:rsidR="00DF15FC">
        <w:t>a</w:t>
      </w:r>
      <w:r>
        <w:t xml:space="preserve"> </w:t>
      </w:r>
      <w:r w:rsidR="003F6D29">
        <w:t xml:space="preserve">la </w:t>
      </w:r>
      <w:r>
        <w:t>particulariza</w:t>
      </w:r>
      <w:r w:rsidR="003F6D29">
        <w:t>ción</w:t>
      </w:r>
      <w:r>
        <w:t xml:space="preserve"> (</w:t>
      </w:r>
      <w:proofErr w:type="spellStart"/>
      <w:r w:rsidRPr="00211FA1">
        <w:rPr>
          <w:i/>
          <w:iCs/>
        </w:rPr>
        <w:t>anu</w:t>
      </w:r>
      <w:proofErr w:type="spellEnd"/>
      <w:r w:rsidRPr="00211FA1">
        <w:rPr>
          <w:i/>
          <w:iCs/>
        </w:rPr>
        <w:t xml:space="preserve"> </w:t>
      </w:r>
      <w:proofErr w:type="spellStart"/>
      <w:r w:rsidRPr="00211FA1">
        <w:rPr>
          <w:i/>
          <w:iCs/>
        </w:rPr>
        <w:t>anu</w:t>
      </w:r>
      <w:proofErr w:type="spellEnd"/>
      <w:r w:rsidRPr="00211FA1">
        <w:rPr>
          <w:i/>
          <w:iCs/>
        </w:rPr>
        <w:t xml:space="preserve"> </w:t>
      </w:r>
      <w:proofErr w:type="spellStart"/>
      <w:r w:rsidRPr="00211FA1">
        <w:rPr>
          <w:i/>
          <w:iCs/>
        </w:rPr>
        <w:t>byañjanato</w:t>
      </w:r>
      <w:proofErr w:type="spellEnd"/>
      <w:r>
        <w:t xml:space="preserve">) </w:t>
      </w:r>
      <w:r w:rsidR="00EC657C">
        <w:t xml:space="preserve">de </w:t>
      </w:r>
      <w:r>
        <w:t xml:space="preserve">impurezas, </w:t>
      </w:r>
      <w:r w:rsidR="00DF15FC">
        <w:t xml:space="preserve">ya </w:t>
      </w:r>
      <w:r>
        <w:t xml:space="preserve">que </w:t>
      </w:r>
      <w:r w:rsidR="008D7C1A">
        <w:t>al hacerlo</w:t>
      </w:r>
      <w:r>
        <w:t xml:space="preserve"> </w:t>
      </w:r>
      <w:r w:rsidR="008D7C1A">
        <w:t xml:space="preserve">éstas </w:t>
      </w:r>
      <w:r>
        <w:t>se manifiest</w:t>
      </w:r>
      <w:r w:rsidR="000F3B44">
        <w:t>a</w:t>
      </w:r>
      <w:r>
        <w:t>n.</w:t>
      </w:r>
      <w:r w:rsidR="002D7D04" w:rsidRPr="002D7D04">
        <w:t xml:space="preserve"> </w:t>
      </w:r>
      <w:r w:rsidR="002D7D04">
        <w:t>Sólo aprehende</w:t>
      </w:r>
      <w:r w:rsidR="00A43C2A">
        <w:t>rá</w:t>
      </w:r>
      <w:r w:rsidR="002D7D04">
        <w:t xml:space="preserve"> lo que realmente se</w:t>
      </w:r>
    </w:p>
    <w:p w14:paraId="10E4846A" w14:textId="77777777" w:rsidR="0083500F" w:rsidRDefault="0083500F" w:rsidP="0083500F"/>
    <w:p w14:paraId="29B88D35" w14:textId="77777777" w:rsidR="0083500F" w:rsidRPr="0083500F" w:rsidRDefault="0083500F" w:rsidP="0083500F">
      <w:pPr>
        <w:pStyle w:val="PiedepginaLegal"/>
        <w:rPr>
          <w:u w:val="single"/>
        </w:rPr>
      </w:pPr>
      <w:r w:rsidRPr="0083500F">
        <w:rPr>
          <w:u w:val="single"/>
        </w:rPr>
        <w:t xml:space="preserve">                                                                                                                                                            .</w:t>
      </w:r>
    </w:p>
    <w:p w14:paraId="280DF4A9" w14:textId="193A4923" w:rsidR="0083500F" w:rsidRDefault="0083500F" w:rsidP="0083500F">
      <w:pPr>
        <w:pStyle w:val="PiedepginaLegal"/>
      </w:pPr>
      <w:r>
        <w:t xml:space="preserve">13. </w:t>
      </w:r>
      <w:r>
        <w:tab/>
        <w:t>Ver cap. IV n. 27</w:t>
      </w:r>
    </w:p>
    <w:p w14:paraId="3A6FB908" w14:textId="2C7743E4" w:rsidR="0083500F" w:rsidRDefault="0083500F" w:rsidP="0083500F">
      <w:pPr>
        <w:pStyle w:val="PiedepginaLegal"/>
      </w:pPr>
      <w:r>
        <w:t xml:space="preserve">14. </w:t>
      </w:r>
      <w:r>
        <w:tab/>
        <w:t>“‘</w:t>
      </w:r>
      <w:r w:rsidRPr="00211FA1">
        <w:rPr>
          <w:i/>
          <w:iCs/>
        </w:rPr>
        <w:t>Al ver un objeto visible con el ojo</w:t>
      </w:r>
      <w:r>
        <w:t xml:space="preserve">”: si el ojo fuera a ver </w:t>
      </w:r>
      <w:r w:rsidR="00BC019E">
        <w:t>un</w:t>
      </w:r>
      <w:r>
        <w:t xml:space="preserve"> objeto visible, entonces los órganos pertenecientes a otros tipos de con</w:t>
      </w:r>
      <w:r w:rsidR="00D54C49">
        <w:t>s</w:t>
      </w:r>
      <w:r>
        <w:t xml:space="preserve">ciencia verían también; pero eso no es así. ¿Por qué? Porque el ojo no </w:t>
      </w:r>
      <w:r w:rsidR="00BC019E">
        <w:t>posee</w:t>
      </w:r>
      <w:r>
        <w:t xml:space="preserve"> pensamiento</w:t>
      </w:r>
      <w:r w:rsidR="00D54C49">
        <w:t>s</w:t>
      </w:r>
      <w:r>
        <w:t xml:space="preserve"> (</w:t>
      </w:r>
      <w:proofErr w:type="spellStart"/>
      <w:r w:rsidRPr="00211FA1">
        <w:rPr>
          <w:i/>
          <w:iCs/>
        </w:rPr>
        <w:t>acetanattā</w:t>
      </w:r>
      <w:proofErr w:type="spellEnd"/>
      <w:r>
        <w:t xml:space="preserve">). Y </w:t>
      </w:r>
      <w:r w:rsidR="00BC019E">
        <w:t>luego</w:t>
      </w:r>
      <w:r>
        <w:t>, si la con</w:t>
      </w:r>
      <w:r w:rsidR="00D54C49">
        <w:t>s</w:t>
      </w:r>
      <w:r>
        <w:t>ciencia misma viera un objeto visible, lo vería incluso detrás de una pared debido a que es independiente de la resistencia de los sentidos (</w:t>
      </w:r>
      <w:proofErr w:type="spellStart"/>
      <w:r w:rsidRPr="00D54C49">
        <w:rPr>
          <w:i/>
          <w:iCs/>
        </w:rPr>
        <w:t>appaṭighabhāvato</w:t>
      </w:r>
      <w:proofErr w:type="spellEnd"/>
      <w:r>
        <w:t xml:space="preserve">); pero eso tampoco es así porque no </w:t>
      </w:r>
      <w:r w:rsidR="00D54C49">
        <w:t>existe</w:t>
      </w:r>
      <w:r>
        <w:t xml:space="preserve"> visión en todos los tipos de con</w:t>
      </w:r>
      <w:r w:rsidR="00BC019E">
        <w:t>s</w:t>
      </w:r>
      <w:r>
        <w:t xml:space="preserve">ciencia. </w:t>
      </w:r>
      <w:r w:rsidR="00D54C49">
        <w:t>Así que</w:t>
      </w:r>
      <w:r>
        <w:t xml:space="preserve"> aquí, es la con</w:t>
      </w:r>
      <w:r w:rsidR="00D54C49">
        <w:t>s</w:t>
      </w:r>
      <w:r>
        <w:t xml:space="preserve">ciencia dependiente del ojo </w:t>
      </w:r>
      <w:r w:rsidR="00D54C49">
        <w:t xml:space="preserve">la </w:t>
      </w:r>
      <w:r>
        <w:t>que ve, no cualquier tipo</w:t>
      </w:r>
      <w:r w:rsidR="00D54C49">
        <w:t xml:space="preserve"> de consciencia</w:t>
      </w:r>
      <w:r>
        <w:t xml:space="preserve">. Y eso no surge con respecto a lo que </w:t>
      </w:r>
      <w:r w:rsidR="00D54C49">
        <w:t xml:space="preserve">´se encuentre </w:t>
      </w:r>
      <w:r>
        <w:t xml:space="preserve">encerrado </w:t>
      </w:r>
      <w:r w:rsidR="00D54C49">
        <w:t xml:space="preserve">entre </w:t>
      </w:r>
      <w:r>
        <w:t>muros, etc., donde se excluy</w:t>
      </w:r>
      <w:r w:rsidR="00BC019E">
        <w:t>a</w:t>
      </w:r>
      <w:r>
        <w:t xml:space="preserve"> la luz. Pero donde no hay</w:t>
      </w:r>
      <w:r w:rsidR="00D54C49">
        <w:t>a</w:t>
      </w:r>
      <w:r>
        <w:t xml:space="preserve"> exclusión de la luz, como en el caso de un cristal o de una masa de nubes, allí surg</w:t>
      </w:r>
      <w:r w:rsidR="00D54C49">
        <w:t>irá</w:t>
      </w:r>
      <w:r>
        <w:t xml:space="preserve"> incluso con respecto a lo que est</w:t>
      </w:r>
      <w:r w:rsidR="00D54C49">
        <w:t>é</w:t>
      </w:r>
      <w:r>
        <w:t xml:space="preserve"> encerrado por ellos. Así es </w:t>
      </w:r>
      <w:r w:rsidR="000908B3">
        <w:t xml:space="preserve">la </w:t>
      </w:r>
      <w:r>
        <w:t>base de la con</w:t>
      </w:r>
      <w:r w:rsidR="000908B3">
        <w:t>s</w:t>
      </w:r>
      <w:r>
        <w:t>ciencia que el ojo ve.</w:t>
      </w:r>
    </w:p>
    <w:p w14:paraId="6B1A463D" w14:textId="6A1015F5" w:rsidR="0083500F" w:rsidRDefault="0083500F" w:rsidP="0083500F">
      <w:pPr>
        <w:pStyle w:val="PiedepginaLegal"/>
      </w:pPr>
      <w:r>
        <w:tab/>
        <w:t xml:space="preserve">   “‘</w:t>
      </w:r>
      <w:r w:rsidRPr="00211FA1">
        <w:rPr>
          <w:i/>
          <w:iCs/>
        </w:rPr>
        <w:t xml:space="preserve">Cuando hay </w:t>
      </w:r>
      <w:r w:rsidR="00A60732">
        <w:rPr>
          <w:i/>
          <w:iCs/>
        </w:rPr>
        <w:t>contacto</w:t>
      </w:r>
      <w:r w:rsidRPr="00211FA1">
        <w:rPr>
          <w:i/>
          <w:iCs/>
        </w:rPr>
        <w:t xml:space="preserve"> </w:t>
      </w:r>
      <w:r w:rsidR="00A60732">
        <w:rPr>
          <w:i/>
          <w:iCs/>
        </w:rPr>
        <w:t xml:space="preserve">entre la </w:t>
      </w:r>
      <w:r w:rsidRPr="00211FA1">
        <w:rPr>
          <w:i/>
          <w:iCs/>
        </w:rPr>
        <w:t xml:space="preserve">puerta </w:t>
      </w:r>
      <w:r w:rsidR="00A60732">
        <w:rPr>
          <w:i/>
          <w:iCs/>
        </w:rPr>
        <w:t xml:space="preserve">sensorial </w:t>
      </w:r>
      <w:r w:rsidRPr="00211FA1">
        <w:rPr>
          <w:i/>
          <w:iCs/>
        </w:rPr>
        <w:t xml:space="preserve">y </w:t>
      </w:r>
      <w:r w:rsidR="00A60732">
        <w:rPr>
          <w:i/>
          <w:iCs/>
        </w:rPr>
        <w:t xml:space="preserve">el </w:t>
      </w:r>
      <w:r w:rsidRPr="00211FA1">
        <w:rPr>
          <w:i/>
          <w:iCs/>
        </w:rPr>
        <w:t>objeto’</w:t>
      </w:r>
      <w:r>
        <w:t xml:space="preserve">: lo que se pretende es: cuando un </w:t>
      </w:r>
      <w:r w:rsidR="00EF093F">
        <w:t>dato</w:t>
      </w:r>
      <w:r>
        <w:t xml:space="preserve"> visible como objeto ha</w:t>
      </w:r>
      <w:r w:rsidR="00A60732">
        <w:t>ya</w:t>
      </w:r>
      <w:r>
        <w:t xml:space="preserve"> entrado en el foco del ojo. ‘</w:t>
      </w:r>
      <w:r w:rsidRPr="00EF093F">
        <w:rPr>
          <w:i/>
          <w:iCs/>
        </w:rPr>
        <w:t>Uno ve</w:t>
      </w:r>
      <w:r w:rsidR="00EF093F" w:rsidRPr="00EF093F">
        <w:rPr>
          <w:i/>
          <w:iCs/>
        </w:rPr>
        <w:t>rá</w:t>
      </w:r>
      <w:r w:rsidRPr="00EF093F">
        <w:rPr>
          <w:i/>
          <w:iCs/>
        </w:rPr>
        <w:t>’</w:t>
      </w:r>
      <w:r>
        <w:t>: uno mira (</w:t>
      </w:r>
      <w:proofErr w:type="spellStart"/>
      <w:r w:rsidRPr="00211FA1">
        <w:rPr>
          <w:i/>
          <w:iCs/>
        </w:rPr>
        <w:t>oloketi</w:t>
      </w:r>
      <w:proofErr w:type="spellEnd"/>
      <w:r>
        <w:t>); pues cuando la con</w:t>
      </w:r>
      <w:r w:rsidR="00D00D2E">
        <w:t>s</w:t>
      </w:r>
      <w:r>
        <w:t>ciencia que ten</w:t>
      </w:r>
      <w:r w:rsidR="00D00D2E">
        <w:t>ga</w:t>
      </w:r>
      <w:r>
        <w:t xml:space="preserve"> la sensibilidad ocular como soporte material est</w:t>
      </w:r>
      <w:r w:rsidR="00D00D2E">
        <w:t>é</w:t>
      </w:r>
      <w:r>
        <w:t xml:space="preserve"> revelando (</w:t>
      </w:r>
      <w:proofErr w:type="spellStart"/>
      <w:r w:rsidRPr="00211FA1">
        <w:rPr>
          <w:i/>
          <w:iCs/>
        </w:rPr>
        <w:t>obhāsente</w:t>
      </w:r>
      <w:proofErr w:type="spellEnd"/>
      <w:r>
        <w:t xml:space="preserve">) por medio de la cualidad especial de su soporte un dato visible como objeto que </w:t>
      </w:r>
      <w:r w:rsidR="00BC019E">
        <w:t>sea</w:t>
      </w:r>
      <w:r>
        <w:t xml:space="preserve"> asistido por </w:t>
      </w:r>
      <w:r w:rsidR="00D00D2E">
        <w:t xml:space="preserve">la </w:t>
      </w:r>
      <w:r>
        <w:t>luz (</w:t>
      </w:r>
      <w:proofErr w:type="spellStart"/>
      <w:r w:rsidRPr="00211FA1">
        <w:rPr>
          <w:i/>
          <w:iCs/>
        </w:rPr>
        <w:t>āloka</w:t>
      </w:r>
      <w:proofErr w:type="spellEnd"/>
      <w:r>
        <w:t>), entonces se di</w:t>
      </w:r>
      <w:r w:rsidR="00D00D2E">
        <w:t>rá</w:t>
      </w:r>
      <w:r>
        <w:t xml:space="preserve"> que una persona poseedora de </w:t>
      </w:r>
      <w:r w:rsidR="007963D9">
        <w:t>ello</w:t>
      </w:r>
      <w:r>
        <w:t xml:space="preserve"> </w:t>
      </w:r>
      <w:r w:rsidR="007963D9">
        <w:t>habrá visto</w:t>
      </w:r>
      <w:r>
        <w:t xml:space="preserve"> el dato visible. Y aquí iluminar es </w:t>
      </w:r>
      <w:r w:rsidRPr="00211FA1">
        <w:t>revelar</w:t>
      </w:r>
      <w:r>
        <w:t xml:space="preserve"> </w:t>
      </w:r>
      <w:r w:rsidR="007963D9">
        <w:t>un</w:t>
      </w:r>
      <w:r>
        <w:t xml:space="preserve"> dato visible según su esencia individual, es decir, aprehenderlo </w:t>
      </w:r>
      <w:proofErr w:type="spellStart"/>
      <w:r w:rsidRPr="007963D9">
        <w:rPr>
          <w:i/>
          <w:iCs/>
        </w:rPr>
        <w:t>experiencialmente</w:t>
      </w:r>
      <w:proofErr w:type="spellEnd"/>
      <w:r>
        <w:t xml:space="preserve"> (</w:t>
      </w:r>
      <w:proofErr w:type="spellStart"/>
      <w:r w:rsidRPr="00211FA1">
        <w:rPr>
          <w:i/>
          <w:iCs/>
        </w:rPr>
        <w:t>paccakkhato</w:t>
      </w:r>
      <w:proofErr w:type="spellEnd"/>
      <w:r>
        <w:t>).</w:t>
      </w:r>
    </w:p>
    <w:p w14:paraId="4EB4F684" w14:textId="2EE1249F" w:rsidR="0083500F" w:rsidRDefault="0083500F" w:rsidP="0083500F">
      <w:pPr>
        <w:pStyle w:val="PiedepginaLegal"/>
      </w:pPr>
      <w:r>
        <w:tab/>
        <w:t xml:space="preserve">   “Aquí es el </w:t>
      </w:r>
      <w:r w:rsidRPr="00211FA1">
        <w:rPr>
          <w:i/>
          <w:iCs/>
        </w:rPr>
        <w:t xml:space="preserve">'signo de </w:t>
      </w:r>
      <w:r w:rsidR="00EF1DF2">
        <w:rPr>
          <w:i/>
          <w:iCs/>
        </w:rPr>
        <w:t xml:space="preserve">la </w:t>
      </w:r>
      <w:r w:rsidRPr="00211FA1">
        <w:rPr>
          <w:i/>
          <w:iCs/>
        </w:rPr>
        <w:t>mujer'</w:t>
      </w:r>
      <w:r>
        <w:t xml:space="preserve"> porque es la causa de percibir como 'mujer' todas las cosas tales como la forma </w:t>
      </w:r>
      <w:r w:rsidR="0030701C">
        <w:t xml:space="preserve">en </w:t>
      </w:r>
      <w:r>
        <w:t>que se capt</w:t>
      </w:r>
      <w:r w:rsidR="0030701C">
        <w:t>e</w:t>
      </w:r>
      <w:r w:rsidR="00C02375">
        <w:t>n</w:t>
      </w:r>
      <w:r>
        <w:t xml:space="preserve"> bajo </w:t>
      </w:r>
      <w:r w:rsidR="00C02375">
        <w:t xml:space="preserve">los términos </w:t>
      </w:r>
      <w:r>
        <w:t xml:space="preserve">de </w:t>
      </w:r>
      <w:r w:rsidR="00C02375">
        <w:t xml:space="preserve">los </w:t>
      </w:r>
      <w:r>
        <w:t>datos visibles (materialidad) que se encuentr</w:t>
      </w:r>
      <w:r w:rsidR="00C02375">
        <w:t>e</w:t>
      </w:r>
      <w:r>
        <w:t>n invariablemente en una continuidad femenina, la no-</w:t>
      </w:r>
      <w:r w:rsidR="0060612E">
        <w:t>nítida</w:t>
      </w:r>
      <w:r w:rsidR="00EF1DF2">
        <w:t>-porción</w:t>
      </w:r>
      <w:r>
        <w:t xml:space="preserve"> (</w:t>
      </w:r>
      <w:proofErr w:type="spellStart"/>
      <w:r w:rsidRPr="00211FA1">
        <w:rPr>
          <w:i/>
          <w:iCs/>
        </w:rPr>
        <w:t>avisadatā</w:t>
      </w:r>
      <w:proofErr w:type="spellEnd"/>
      <w:r>
        <w:t xml:space="preserve">) de la carne de los senos, la ausencia de barba en el rostro, el uso de telas para atar el cabello, la postura poco definida, el andar, etc. El </w:t>
      </w:r>
      <w:r w:rsidRPr="00211FA1">
        <w:rPr>
          <w:i/>
          <w:iCs/>
        </w:rPr>
        <w:t>'signo del hombre'</w:t>
      </w:r>
      <w:r>
        <w:t xml:space="preserve"> </w:t>
      </w:r>
      <w:r w:rsidR="00C02375">
        <w:t>se encuentra</w:t>
      </w:r>
      <w:r>
        <w:t xml:space="preserve"> en el sentido opuesto.</w:t>
      </w:r>
    </w:p>
    <w:p w14:paraId="03A17D31" w14:textId="77777777" w:rsidR="0083500F" w:rsidRDefault="0083500F">
      <w:pPr>
        <w:tabs>
          <w:tab w:val="clear" w:pos="425"/>
        </w:tabs>
      </w:pPr>
      <w:r>
        <w:br w:type="page"/>
      </w:r>
    </w:p>
    <w:p w14:paraId="686EB3FF" w14:textId="631EC420" w:rsidR="00B82DDD" w:rsidRDefault="00DF15FC" w:rsidP="00B82DDD">
      <w:r>
        <w:lastRenderedPageBreak/>
        <w:t>encuentre</w:t>
      </w:r>
      <w:r w:rsidR="00B82DDD">
        <w:t xml:space="preserve"> </w:t>
      </w:r>
      <w:r>
        <w:t>presente</w:t>
      </w:r>
      <w:r w:rsidR="00B82DDD">
        <w:t xml:space="preserve">. Como el </w:t>
      </w:r>
      <w:r w:rsidR="00211FA1">
        <w:t>Venerable</w:t>
      </w:r>
      <w:r w:rsidR="00B82DDD">
        <w:t xml:space="preserve"> Mahā </w:t>
      </w:r>
      <w:proofErr w:type="spellStart"/>
      <w:r w:rsidR="00B82DDD">
        <w:t>Tissa</w:t>
      </w:r>
      <w:proofErr w:type="spellEnd"/>
      <w:r w:rsidR="00B82DDD">
        <w:t xml:space="preserve"> que moraba en </w:t>
      </w:r>
      <w:proofErr w:type="spellStart"/>
      <w:r w:rsidR="00B82DDD">
        <w:t>Cetiyapabbata</w:t>
      </w:r>
      <w:proofErr w:type="spellEnd"/>
      <w:r w:rsidR="00B82DDD">
        <w:t>.</w:t>
      </w:r>
    </w:p>
    <w:p w14:paraId="79FC29D4" w14:textId="1644B2D9" w:rsidR="00B82DDD" w:rsidRDefault="00B82DDD" w:rsidP="00B82DDD">
      <w:r>
        <w:t xml:space="preserve">55. </w:t>
      </w:r>
      <w:r w:rsidR="00BF6764">
        <w:tab/>
      </w:r>
      <w:r>
        <w:t xml:space="preserve">Parece que mientras el </w:t>
      </w:r>
      <w:r w:rsidR="00DF15FC">
        <w:t xml:space="preserve">Venerable </w:t>
      </w:r>
      <w:r>
        <w:t xml:space="preserve">se dirigía de </w:t>
      </w:r>
      <w:proofErr w:type="spellStart"/>
      <w:r>
        <w:t>Cetiyapabbata</w:t>
      </w:r>
      <w:proofErr w:type="spellEnd"/>
      <w:r>
        <w:t xml:space="preserve"> a </w:t>
      </w:r>
      <w:proofErr w:type="spellStart"/>
      <w:r>
        <w:t>Anurādhapura</w:t>
      </w:r>
      <w:proofErr w:type="spellEnd"/>
      <w:r>
        <w:t xml:space="preserve"> por </w:t>
      </w:r>
      <w:r w:rsidR="00DF15FC">
        <w:t>ofrendas</w:t>
      </w:r>
      <w:r>
        <w:t xml:space="preserve">, cierta nuera de un clan, que se había peleado con su esposo y había salido temprano de </w:t>
      </w:r>
      <w:proofErr w:type="spellStart"/>
      <w:r>
        <w:t>Anurādhapura</w:t>
      </w:r>
      <w:proofErr w:type="spellEnd"/>
      <w:r>
        <w:t xml:space="preserve"> toda vestida y ataviada como un</w:t>
      </w:r>
      <w:r w:rsidR="00DF15FC">
        <w:t>a</w:t>
      </w:r>
      <w:r>
        <w:t xml:space="preserve"> </w:t>
      </w:r>
      <w:r w:rsidR="00DF15FC">
        <w:t xml:space="preserve">ninfa </w:t>
      </w:r>
      <w:r>
        <w:t xml:space="preserve">celestial para ir a la casa de sus parientes, lo vio en el camino, y </w:t>
      </w:r>
      <w:r w:rsidR="00DF15FC">
        <w:t>estando</w:t>
      </w:r>
      <w:r>
        <w:t xml:space="preserve"> </w:t>
      </w:r>
      <w:r w:rsidR="009B1414">
        <w:t xml:space="preserve">carente </w:t>
      </w:r>
      <w:r>
        <w:t xml:space="preserve">de ánimo, [21] se echó a reír a carcajadas. [Preguntándose] "¿Qué es eso?" el </w:t>
      </w:r>
      <w:r w:rsidR="009B1414">
        <w:t xml:space="preserve">Venerable </w:t>
      </w:r>
      <w:r>
        <w:t xml:space="preserve">miró hacia arriba y al encontrar en los huesos de sus dientes la percepción de </w:t>
      </w:r>
      <w:r w:rsidR="00602418">
        <w:t xml:space="preserve">la </w:t>
      </w:r>
      <w:r>
        <w:t xml:space="preserve">asquerosidad (fealdad), alcanzó el estado de </w:t>
      </w:r>
      <w:r w:rsidR="00057BF4" w:rsidRPr="00057BF4">
        <w:rPr>
          <w:i/>
          <w:iCs/>
        </w:rPr>
        <w:t>Arahant</w:t>
      </w:r>
      <w:r>
        <w:t>.</w:t>
      </w:r>
      <w:r w:rsidRPr="0013304B">
        <w:rPr>
          <w:vertAlign w:val="superscript"/>
        </w:rPr>
        <w:t>15</w:t>
      </w:r>
      <w:r>
        <w:t xml:space="preserve"> Por lo tanto, se dijo:</w:t>
      </w:r>
    </w:p>
    <w:p w14:paraId="59DDB54E" w14:textId="77777777" w:rsidR="00B82DDD" w:rsidRDefault="00B82DDD" w:rsidP="00B82DDD">
      <w:pPr>
        <w:pStyle w:val="VersoIngls01Sangria"/>
      </w:pPr>
      <w:r>
        <w:t>“Él vio los huesos que eran sus dientes,</w:t>
      </w:r>
    </w:p>
    <w:p w14:paraId="298164F4" w14:textId="21F582B6" w:rsidR="00B82DDD" w:rsidRDefault="00B82DDD" w:rsidP="00B82DDD">
      <w:pPr>
        <w:pStyle w:val="VersoIngls01Sangria"/>
      </w:pPr>
      <w:r>
        <w:t xml:space="preserve">Y tuvo presente su </w:t>
      </w:r>
      <w:r w:rsidR="004B2AC2">
        <w:t xml:space="preserve">percepción </w:t>
      </w:r>
      <w:r>
        <w:t>primera;</w:t>
      </w:r>
    </w:p>
    <w:p w14:paraId="640AA288" w14:textId="1E86A755" w:rsidR="00B82DDD" w:rsidRDefault="00B82DDD" w:rsidP="00B82DDD">
      <w:pPr>
        <w:pStyle w:val="VersoIngls01Sangria"/>
      </w:pPr>
      <w:r>
        <w:t>Y de pie</w:t>
      </w:r>
      <w:r w:rsidR="00FB29BB">
        <w:t>,</w:t>
      </w:r>
      <w:r>
        <w:t xml:space="preserve"> en ese mismo lugar</w:t>
      </w:r>
      <w:r w:rsidR="00FB29BB">
        <w:t>,</w:t>
      </w:r>
    </w:p>
    <w:p w14:paraId="070A1699" w14:textId="4B675613" w:rsidR="00B82DDD" w:rsidRDefault="00B82DDD" w:rsidP="00B82DDD">
      <w:pPr>
        <w:pStyle w:val="VersoIngls01Sangria"/>
        <w:spacing w:after="100"/>
        <w:ind w:left="1418"/>
      </w:pPr>
      <w:r>
        <w:t xml:space="preserve">El </w:t>
      </w:r>
      <w:r w:rsidR="00AD5A91">
        <w:t xml:space="preserve">Venerable </w:t>
      </w:r>
      <w:r>
        <w:t xml:space="preserve">se </w:t>
      </w:r>
      <w:r w:rsidR="00FB29BB">
        <w:t>convirtió en</w:t>
      </w:r>
      <w:r w:rsidR="004B2AC2">
        <w:t xml:space="preserve"> </w:t>
      </w:r>
      <w:r w:rsidR="00057BF4" w:rsidRPr="00057BF4">
        <w:rPr>
          <w:i/>
          <w:iCs/>
        </w:rPr>
        <w:t>Arahant</w:t>
      </w:r>
      <w:r>
        <w:t>”.</w:t>
      </w:r>
    </w:p>
    <w:p w14:paraId="2911A13B" w14:textId="57386A83" w:rsidR="00B82DDD" w:rsidRDefault="00B82DDD" w:rsidP="00B82DDD">
      <w:r>
        <w:t xml:space="preserve">Pero su esposo, que iba tras ella, vio al </w:t>
      </w:r>
      <w:r w:rsidR="00AD5A91">
        <w:t xml:space="preserve">Venerable </w:t>
      </w:r>
      <w:r>
        <w:t xml:space="preserve">y le preguntó: "Venerable señor, ¿por casualidad vio a una mujer?" El </w:t>
      </w:r>
      <w:r w:rsidR="00AD5A91">
        <w:t xml:space="preserve">Venerable </w:t>
      </w:r>
      <w:r>
        <w:t>le dijo:</w:t>
      </w:r>
    </w:p>
    <w:p w14:paraId="2463305F" w14:textId="77777777" w:rsidR="00B82DDD" w:rsidRDefault="00B82DDD" w:rsidP="00B82DDD">
      <w:pPr>
        <w:pStyle w:val="VersoIngls01Sangria"/>
      </w:pPr>
      <w:r>
        <w:t>“Ya sea hombre o mujer</w:t>
      </w:r>
    </w:p>
    <w:p w14:paraId="0C43817C" w14:textId="6F9B5BA8" w:rsidR="00B82DDD" w:rsidRDefault="00AD5A91" w:rsidP="00B82DDD">
      <w:pPr>
        <w:pStyle w:val="VersoIngls01Sangria"/>
      </w:pPr>
      <w:r>
        <w:t xml:space="preserve">Lo </w:t>
      </w:r>
      <w:r w:rsidR="00B82DDD">
        <w:t xml:space="preserve">que </w:t>
      </w:r>
      <w:r w:rsidR="005927E7">
        <w:t>ha</w:t>
      </w:r>
      <w:r w:rsidR="00FB29BB">
        <w:t>ya</w:t>
      </w:r>
      <w:r w:rsidR="005927E7">
        <w:t xml:space="preserve"> pasado</w:t>
      </w:r>
      <w:r w:rsidR="00B82DDD">
        <w:t xml:space="preserve"> </w:t>
      </w:r>
      <w:r w:rsidR="00895087">
        <w:t xml:space="preserve">por aquí </w:t>
      </w:r>
      <w:r w:rsidR="00B82DDD">
        <w:t>no</w:t>
      </w:r>
      <w:r w:rsidR="00895087">
        <w:t xml:space="preserve"> lo he notado</w:t>
      </w:r>
      <w:r w:rsidR="00B82DDD">
        <w:t>,</w:t>
      </w:r>
    </w:p>
    <w:p w14:paraId="504E98A5" w14:textId="77777777" w:rsidR="00B82DDD" w:rsidRDefault="00B82DDD" w:rsidP="00B82DDD"/>
    <w:p w14:paraId="7242CE2D" w14:textId="77777777" w:rsidR="00B82DDD" w:rsidRPr="00B82DDD" w:rsidRDefault="00B82DDD" w:rsidP="00B82DDD">
      <w:pPr>
        <w:pStyle w:val="PiedepginaLegal"/>
        <w:rPr>
          <w:u w:val="single"/>
        </w:rPr>
      </w:pPr>
      <w:r w:rsidRPr="00B82DDD">
        <w:rPr>
          <w:u w:val="single"/>
        </w:rPr>
        <w:t xml:space="preserve">                                                                                                                                                            .</w:t>
      </w:r>
    </w:p>
    <w:p w14:paraId="2D5A5039" w14:textId="14AFD374" w:rsidR="00875CFA" w:rsidRDefault="00875CFA" w:rsidP="00B82DDD">
      <w:pPr>
        <w:pStyle w:val="PiedepginaLegal"/>
      </w:pPr>
      <w:r>
        <w:t>…</w:t>
      </w:r>
      <w:r>
        <w:tab/>
      </w:r>
    </w:p>
    <w:p w14:paraId="07EC8532" w14:textId="426A47D9" w:rsidR="00B82DDD" w:rsidRDefault="00875CFA" w:rsidP="00B82DDD">
      <w:pPr>
        <w:pStyle w:val="PiedepginaLegal"/>
      </w:pPr>
      <w:r>
        <w:tab/>
        <w:t xml:space="preserve">   </w:t>
      </w:r>
      <w:r w:rsidR="00B82DDD">
        <w:t>“‘</w:t>
      </w:r>
      <w:r w:rsidR="00B82DDD" w:rsidRPr="00211FA1">
        <w:rPr>
          <w:i/>
          <w:iCs/>
        </w:rPr>
        <w:t>El signo de la belleza’</w:t>
      </w:r>
      <w:r w:rsidR="00B82DDD">
        <w:t xml:space="preserve"> aquí es el aspecto de la mujer que es causa </w:t>
      </w:r>
      <w:r w:rsidR="00BC019E">
        <w:t xml:space="preserve">para </w:t>
      </w:r>
      <w:r w:rsidR="00B82DDD">
        <w:t>el surgimiento de la lujuria. Por la palabra 'etc.' se incluyen el signo de</w:t>
      </w:r>
      <w:r w:rsidR="00465CB9">
        <w:t>l</w:t>
      </w:r>
      <w:r w:rsidR="00B82DDD">
        <w:t xml:space="preserve"> resentimiento (</w:t>
      </w:r>
      <w:proofErr w:type="spellStart"/>
      <w:r w:rsidR="00B82DDD" w:rsidRPr="00211FA1">
        <w:rPr>
          <w:i/>
          <w:iCs/>
        </w:rPr>
        <w:t>paṭigha</w:t>
      </w:r>
      <w:proofErr w:type="spellEnd"/>
      <w:r w:rsidR="00B82DDD">
        <w:t>), etc., que debe entenderse como el aspecto no deseado</w:t>
      </w:r>
      <w:r w:rsidR="00921FE2">
        <w:t>,</w:t>
      </w:r>
      <w:r w:rsidR="00B82DDD">
        <w:t xml:space="preserve"> causa del surgimiento del odio. Y es cierto que aquí solo se especifican en el texto la codicia y el dolor, pero también es necesario incluir el signo de la ecuanimidad; ya que no </w:t>
      </w:r>
      <w:r w:rsidR="00921FE2">
        <w:t>existe</w:t>
      </w:r>
      <w:r w:rsidR="00B82DDD">
        <w:t xml:space="preserve"> restricción en </w:t>
      </w:r>
      <w:r w:rsidR="00921FE2">
        <w:t>la ilusión</w:t>
      </w:r>
      <w:r w:rsidR="00B82DDD">
        <w:t xml:space="preserve"> que sur</w:t>
      </w:r>
      <w:r w:rsidR="00921FE2">
        <w:t>ja</w:t>
      </w:r>
      <w:r w:rsidR="00B82DDD">
        <w:t xml:space="preserve"> debido a pasar</w:t>
      </w:r>
      <w:r w:rsidR="00921FE2">
        <w:t>lo</w:t>
      </w:r>
      <w:r w:rsidR="00B82DDD">
        <w:t xml:space="preserve"> por alto, o ya que </w:t>
      </w:r>
      <w:r w:rsidR="00921FE2">
        <w:t xml:space="preserve">con </w:t>
      </w:r>
      <w:r w:rsidR="00B82DDD">
        <w:t xml:space="preserve">"el olvido del desconocimiento" se </w:t>
      </w:r>
      <w:r w:rsidR="00921FE2">
        <w:t xml:space="preserve">menciona </w:t>
      </w:r>
      <w:r w:rsidR="00B82DDD">
        <w:t xml:space="preserve">a continuación (§57). Y aquí el "signo de </w:t>
      </w:r>
      <w:r w:rsidR="00465CB9">
        <w:t xml:space="preserve">la </w:t>
      </w:r>
      <w:r w:rsidR="00B82DDD">
        <w:t>ecuanimidad" debe entenderse como un objeto que s</w:t>
      </w:r>
      <w:r w:rsidR="00465CB9">
        <w:t>ea</w:t>
      </w:r>
      <w:r w:rsidR="00B82DDD">
        <w:t xml:space="preserve"> la base para el tipo de ecuanimidad asociada </w:t>
      </w:r>
      <w:r w:rsidR="00BC019E">
        <w:t>a</w:t>
      </w:r>
      <w:r w:rsidR="00B82DDD">
        <w:t xml:space="preserve">l desconocimiento </w:t>
      </w:r>
      <w:r w:rsidR="00BC019E">
        <w:t>de</w:t>
      </w:r>
      <w:r w:rsidR="00B82DDD">
        <w:t xml:space="preserve"> pasarlo por alto. Entonces, ‘el signo de la belleza, etc.’ dado en breve, es en realidad la causa de la codicia, el odio y </w:t>
      </w:r>
      <w:r w:rsidR="00465CB9">
        <w:t>la ilusión</w:t>
      </w:r>
      <w:r w:rsidR="00B82DDD">
        <w:t>.</w:t>
      </w:r>
    </w:p>
    <w:p w14:paraId="17BE718F" w14:textId="73D5AF05" w:rsidR="00B82DDD" w:rsidRDefault="00B82DDD" w:rsidP="00B82DDD">
      <w:pPr>
        <w:pStyle w:val="PiedepginaLegal"/>
      </w:pPr>
      <w:r>
        <w:t xml:space="preserve">            “‘</w:t>
      </w:r>
      <w:r w:rsidRPr="00211FA1">
        <w:rPr>
          <w:i/>
          <w:iCs/>
        </w:rPr>
        <w:t>Él se detiene en lo que s</w:t>
      </w:r>
      <w:r w:rsidR="00D579AA">
        <w:rPr>
          <w:i/>
          <w:iCs/>
        </w:rPr>
        <w:t>ea</w:t>
      </w:r>
      <w:r w:rsidRPr="00211FA1">
        <w:rPr>
          <w:i/>
          <w:iCs/>
        </w:rPr>
        <w:t xml:space="preserve"> meramente visto’</w:t>
      </w:r>
      <w:r>
        <w:t xml:space="preserve">: según el método </w:t>
      </w:r>
      <w:r w:rsidRPr="002D3BA4">
        <w:rPr>
          <w:i/>
          <w:iCs/>
        </w:rPr>
        <w:t>Sutta</w:t>
      </w:r>
      <w:r>
        <w:t>, ‘Lo visto será meramente visto’ (</w:t>
      </w:r>
      <w:proofErr w:type="spellStart"/>
      <w:r>
        <w:t>Ud</w:t>
      </w:r>
      <w:proofErr w:type="spellEnd"/>
      <w:r>
        <w:t xml:space="preserve"> 8). Tan pronto como la base del color ha</w:t>
      </w:r>
      <w:r w:rsidR="002D3BA4">
        <w:t>ya</w:t>
      </w:r>
      <w:r>
        <w:t xml:space="preserve"> sido aprehendida por las </w:t>
      </w:r>
      <w:r w:rsidR="00305E12">
        <w:t>consciencia</w:t>
      </w:r>
      <w:r>
        <w:t xml:space="preserve">s de la serie cognitiva </w:t>
      </w:r>
      <w:r w:rsidR="002D3BA4">
        <w:t>de</w:t>
      </w:r>
      <w:r>
        <w:t xml:space="preserve"> la </w:t>
      </w:r>
      <w:r w:rsidR="00305E12">
        <w:t>consciencia</w:t>
      </w:r>
      <w:r>
        <w:t xml:space="preserve"> del ojo, </w:t>
      </w:r>
      <w:r w:rsidR="002D3BA4">
        <w:t xml:space="preserve">él </w:t>
      </w:r>
      <w:r>
        <w:t>se det</w:t>
      </w:r>
      <w:r w:rsidR="002D3BA4">
        <w:t>endrá</w:t>
      </w:r>
      <w:r>
        <w:t>; no le gusta</w:t>
      </w:r>
      <w:r w:rsidR="002D3BA4">
        <w:t>rá</w:t>
      </w:r>
      <w:r>
        <w:t xml:space="preserve"> ningún aspecto de la belleza, etc., más allá de eso... En aquel que </w:t>
      </w:r>
      <w:r w:rsidR="002D3BA4">
        <w:t xml:space="preserve">se </w:t>
      </w:r>
      <w:r w:rsidR="00D579AA">
        <w:t xml:space="preserve">lo </w:t>
      </w:r>
      <w:r>
        <w:t>imagin</w:t>
      </w:r>
      <w:r w:rsidR="002D3BA4">
        <w:t>e</w:t>
      </w:r>
      <w:r>
        <w:t xml:space="preserve"> como bello, etc., los miembros del sexo opuesto, las impurezas que sur</w:t>
      </w:r>
      <w:r w:rsidR="00D579AA">
        <w:t>ja</w:t>
      </w:r>
      <w:r>
        <w:t>n con respecto a ello se particulariza</w:t>
      </w:r>
      <w:r w:rsidR="00D579AA">
        <w:t>rá</w:t>
      </w:r>
      <w:r>
        <w:t>n sucesivamente, razón por la cual se les llama 'particulares'. Pero estos son simplemente modos de interpretar (</w:t>
      </w:r>
      <w:proofErr w:type="spellStart"/>
      <w:r w:rsidRPr="00211FA1">
        <w:rPr>
          <w:i/>
          <w:iCs/>
        </w:rPr>
        <w:t>sannivesākāra</w:t>
      </w:r>
      <w:proofErr w:type="spellEnd"/>
      <w:r>
        <w:t>) los tipos de materialidad derivada de los (cuatro) primarios que se interpretan (</w:t>
      </w:r>
      <w:proofErr w:type="spellStart"/>
      <w:r w:rsidRPr="00211FA1">
        <w:rPr>
          <w:i/>
          <w:iCs/>
        </w:rPr>
        <w:t>sanniviṭṭha</w:t>
      </w:r>
      <w:proofErr w:type="spellEnd"/>
      <w:r>
        <w:t>) de tal o cual manera; porque aparte de eso, en el sentido último, no existe tal cosa como una mano y demás” (</w:t>
      </w:r>
      <w:proofErr w:type="spellStart"/>
      <w:r>
        <w:t>Vism-mhþ</w:t>
      </w:r>
      <w:proofErr w:type="spellEnd"/>
      <w:r>
        <w:t xml:space="preserve"> 40–41). Véase también cap. III, nota 31.</w:t>
      </w:r>
    </w:p>
    <w:p w14:paraId="1275FD4E" w14:textId="751CDA35" w:rsidR="00BF6764" w:rsidRDefault="00B82DDD" w:rsidP="00B82DDD">
      <w:pPr>
        <w:pStyle w:val="PiedepginaLegal"/>
      </w:pPr>
      <w:r>
        <w:t>15.</w:t>
      </w:r>
      <w:r w:rsidR="00875CFA">
        <w:tab/>
      </w:r>
      <w:r>
        <w:t xml:space="preserve">“Como el </w:t>
      </w:r>
      <w:r w:rsidR="00D579AA">
        <w:t xml:space="preserve">Venerable </w:t>
      </w:r>
      <w:r>
        <w:t xml:space="preserve">iba (ocupado) </w:t>
      </w:r>
      <w:r w:rsidR="00CA55C8">
        <w:t xml:space="preserve">teniendo </w:t>
      </w:r>
      <w:r>
        <w:t xml:space="preserve">en mente </w:t>
      </w:r>
      <w:r w:rsidR="00CA55C8">
        <w:t xml:space="preserve">sólo </w:t>
      </w:r>
      <w:r>
        <w:t xml:space="preserve">su </w:t>
      </w:r>
      <w:r w:rsidR="00D579AA">
        <w:t>objeto</w:t>
      </w:r>
      <w:r>
        <w:t xml:space="preserve"> de meditación, ya que el ruido es una espina para los que </w:t>
      </w:r>
      <w:r w:rsidR="00CA55C8">
        <w:t>se encuentren</w:t>
      </w:r>
      <w:r>
        <w:t xml:space="preserve"> en la etapa temprana, miró hacia arriba con el ruido de la risa, (preguntándose) '¿Qué es eso?' </w:t>
      </w:r>
      <w:r w:rsidR="00CA55C8">
        <w:t xml:space="preserve">La </w:t>
      </w:r>
      <w:r>
        <w:t>'</w:t>
      </w:r>
      <w:r w:rsidR="00CA55C8">
        <w:t>p</w:t>
      </w:r>
      <w:r>
        <w:t xml:space="preserve">ercepción de </w:t>
      </w:r>
      <w:r w:rsidR="00CA55C8">
        <w:t>repugnancia</w:t>
      </w:r>
      <w:r w:rsidR="00F65730">
        <w:t xml:space="preserve">’ </w:t>
      </w:r>
      <w:r>
        <w:t xml:space="preserve">es </w:t>
      </w:r>
      <w:r w:rsidR="00F65730">
        <w:t xml:space="preserve">la </w:t>
      </w:r>
      <w:r>
        <w:t xml:space="preserve">percepción de </w:t>
      </w:r>
      <w:r w:rsidR="00BC019E">
        <w:t xml:space="preserve">los </w:t>
      </w:r>
      <w:r>
        <w:t xml:space="preserve">huesos; porque el </w:t>
      </w:r>
      <w:r w:rsidR="00F65730">
        <w:t xml:space="preserve">Venerable </w:t>
      </w:r>
      <w:r>
        <w:t xml:space="preserve">estaba entonces haciendo de los huesos su </w:t>
      </w:r>
      <w:r w:rsidR="00F65730">
        <w:t>objeto</w:t>
      </w:r>
      <w:r>
        <w:t xml:space="preserve"> de meditación. El </w:t>
      </w:r>
      <w:r w:rsidR="00F65730">
        <w:t>Venerable</w:t>
      </w:r>
      <w:r>
        <w:t xml:space="preserve">, al parecer, tan pronto como vio los huesos de </w:t>
      </w:r>
      <w:r w:rsidR="00BC019E">
        <w:t>los</w:t>
      </w:r>
      <w:r>
        <w:t xml:space="preserve"> dientes </w:t>
      </w:r>
      <w:r w:rsidR="00BC019E">
        <w:t xml:space="preserve">de aquella mujer </w:t>
      </w:r>
      <w:r>
        <w:t xml:space="preserve">mientras ella se reía, obtuvo el signo contraparte con </w:t>
      </w:r>
      <w:r w:rsidR="00F65730">
        <w:t xml:space="preserve">los </w:t>
      </w:r>
      <w:proofErr w:type="spellStart"/>
      <w:r w:rsidR="00057BF4" w:rsidRPr="00057BF4">
        <w:rPr>
          <w:i/>
          <w:iCs/>
        </w:rPr>
        <w:t>jhāna</w:t>
      </w:r>
      <w:proofErr w:type="spellEnd"/>
      <w:r>
        <w:t xml:space="preserve"> de acceso porque había desarrollado bien el trabajo preliminar. Mientras est</w:t>
      </w:r>
      <w:r w:rsidR="00BC019E">
        <w:t>uvo</w:t>
      </w:r>
      <w:r>
        <w:t xml:space="preserve"> allí, llegó al primer </w:t>
      </w:r>
      <w:proofErr w:type="spellStart"/>
      <w:r w:rsidR="00057BF4" w:rsidRPr="00057BF4">
        <w:rPr>
          <w:i/>
          <w:iCs/>
        </w:rPr>
        <w:t>jhāna</w:t>
      </w:r>
      <w:proofErr w:type="spellEnd"/>
      <w:r>
        <w:t>. Luego hizo de e</w:t>
      </w:r>
      <w:r w:rsidR="00F65730">
        <w:t>ll</w:t>
      </w:r>
      <w:r>
        <w:t xml:space="preserve">o la base para la </w:t>
      </w:r>
      <w:r w:rsidR="00F65730">
        <w:t>s</w:t>
      </w:r>
      <w:r w:rsidR="005927E7">
        <w:t>a</w:t>
      </w:r>
      <w:r w:rsidR="00F65730">
        <w:t>biduría</w:t>
      </w:r>
      <w:r>
        <w:t xml:space="preserve">, que </w:t>
      </w:r>
      <w:r w:rsidR="005927E7">
        <w:t xml:space="preserve">creció </w:t>
      </w:r>
      <w:r>
        <w:t xml:space="preserve">hasta que alcanzó los </w:t>
      </w:r>
      <w:r w:rsidR="005927E7">
        <w:t xml:space="preserve">senderos </w:t>
      </w:r>
      <w:r>
        <w:t xml:space="preserve">uno tras otro y </w:t>
      </w:r>
      <w:r w:rsidR="005927E7">
        <w:t xml:space="preserve">consumó </w:t>
      </w:r>
      <w:r>
        <w:t xml:space="preserve">la destrucción de </w:t>
      </w:r>
      <w:proofErr w:type="gramStart"/>
      <w:r w:rsidR="005927E7">
        <w:t>la corrupciones</w:t>
      </w:r>
      <w:proofErr w:type="gramEnd"/>
      <w:r>
        <w:t>” (</w:t>
      </w:r>
      <w:proofErr w:type="spellStart"/>
      <w:r>
        <w:t>Vism-mhþ</w:t>
      </w:r>
      <w:proofErr w:type="spellEnd"/>
      <w:r>
        <w:t xml:space="preserve"> 41–42).</w:t>
      </w:r>
    </w:p>
    <w:p w14:paraId="16447FA0" w14:textId="77777777" w:rsidR="00BF6764" w:rsidRDefault="00BF6764">
      <w:pPr>
        <w:tabs>
          <w:tab w:val="clear" w:pos="425"/>
        </w:tabs>
      </w:pPr>
      <w:r>
        <w:br w:type="page"/>
      </w:r>
    </w:p>
    <w:p w14:paraId="5F1129D2" w14:textId="36181DD0" w:rsidR="00315233" w:rsidRDefault="00895087" w:rsidP="00315233">
      <w:pPr>
        <w:pStyle w:val="VersoIngls01Sangria"/>
      </w:pPr>
      <w:r>
        <w:lastRenderedPageBreak/>
        <w:t>No obstante,</w:t>
      </w:r>
      <w:r w:rsidR="00315233">
        <w:t xml:space="preserve"> </w:t>
      </w:r>
      <w:r w:rsidR="00B60C39">
        <w:t>por</w:t>
      </w:r>
      <w:r w:rsidR="00315233">
        <w:t xml:space="preserve"> este </w:t>
      </w:r>
      <w:r w:rsidR="00B60C39">
        <w:t xml:space="preserve">gran </w:t>
      </w:r>
      <w:r w:rsidR="00315233">
        <w:t>camino</w:t>
      </w:r>
      <w:r w:rsidR="00FB29BB">
        <w:t>,</w:t>
      </w:r>
      <w:r w:rsidR="00315233">
        <w:t xml:space="preserve"> </w:t>
      </w:r>
    </w:p>
    <w:p w14:paraId="307E3568" w14:textId="762BCFDF" w:rsidR="00315233" w:rsidRDefault="004B2AC2" w:rsidP="00315233">
      <w:pPr>
        <w:pStyle w:val="VersoIngls01Sangria"/>
        <w:spacing w:after="100"/>
        <w:ind w:left="1418"/>
      </w:pPr>
      <w:r>
        <w:t>Por a</w:t>
      </w:r>
      <w:r w:rsidR="00315233">
        <w:t>hí va</w:t>
      </w:r>
      <w:r>
        <w:t>n</w:t>
      </w:r>
      <w:r w:rsidR="00315233">
        <w:t xml:space="preserve"> </w:t>
      </w:r>
      <w:r w:rsidR="00B60C39">
        <w:t xml:space="preserve">sólo </w:t>
      </w:r>
      <w:r w:rsidR="00315233">
        <w:t>un grupo de huesos.</w:t>
      </w:r>
      <w:r w:rsidR="00895087">
        <w:t xml:space="preserve"> </w:t>
      </w:r>
    </w:p>
    <w:p w14:paraId="74D3A1A2" w14:textId="19806760" w:rsidR="00315233" w:rsidRDefault="00315233" w:rsidP="00315233">
      <w:r>
        <w:t xml:space="preserve">56. </w:t>
      </w:r>
      <w:r>
        <w:tab/>
        <w:t xml:space="preserve">En cuanto a las </w:t>
      </w:r>
      <w:r w:rsidRPr="00E41BB3">
        <w:t>palabras</w:t>
      </w:r>
      <w:r w:rsidRPr="0087410E">
        <w:rPr>
          <w:i/>
          <w:iCs/>
        </w:rPr>
        <w:t xml:space="preserve"> a través de l</w:t>
      </w:r>
      <w:r w:rsidR="00B45C32">
        <w:rPr>
          <w:i/>
          <w:iCs/>
        </w:rPr>
        <w:t>o</w:t>
      </w:r>
      <w:r w:rsidRPr="0087410E">
        <w:rPr>
          <w:i/>
          <w:iCs/>
        </w:rPr>
        <w:t>s cuales</w:t>
      </w:r>
      <w:r>
        <w:t xml:space="preserve">, etc., el significado es: </w:t>
      </w:r>
      <w:r w:rsidR="00B60C39">
        <w:t>mediante</w:t>
      </w:r>
      <w:r>
        <w:t xml:space="preserve"> l</w:t>
      </w:r>
      <w:r w:rsidR="00B45C32">
        <w:t>o</w:t>
      </w:r>
      <w:r>
        <w:t xml:space="preserve">s cuales, </w:t>
      </w:r>
      <w:r w:rsidR="00B60C39">
        <w:t xml:space="preserve">debido a </w:t>
      </w:r>
      <w:r>
        <w:t>l</w:t>
      </w:r>
      <w:r w:rsidR="00B45C32">
        <w:t>o</w:t>
      </w:r>
      <w:r>
        <w:t xml:space="preserve">s cuales la </w:t>
      </w:r>
      <w:r w:rsidR="00573288">
        <w:t>no-</w:t>
      </w:r>
      <w:r>
        <w:t xml:space="preserve">restricción de la del ojo, </w:t>
      </w:r>
      <w:r w:rsidRPr="0087410E">
        <w:rPr>
          <w:i/>
          <w:iCs/>
        </w:rPr>
        <w:t>si él</w:t>
      </w:r>
      <w:r>
        <w:t xml:space="preserve">, si esa persona, </w:t>
      </w:r>
      <w:r w:rsidRPr="0087410E">
        <w:rPr>
          <w:i/>
          <w:iCs/>
        </w:rPr>
        <w:t>dej</w:t>
      </w:r>
      <w:r w:rsidR="00894679">
        <w:rPr>
          <w:i/>
          <w:iCs/>
        </w:rPr>
        <w:t>ara</w:t>
      </w:r>
      <w:r w:rsidRPr="0087410E">
        <w:rPr>
          <w:i/>
          <w:iCs/>
        </w:rPr>
        <w:t xml:space="preserve"> la facultad del ojo sin vigilancia</w:t>
      </w:r>
      <w:r>
        <w:t>, permanec</w:t>
      </w:r>
      <w:r w:rsidR="00A53C09">
        <w:t>ería</w:t>
      </w:r>
      <w:r>
        <w:t xml:space="preserve"> con la puerta del ojo abiert</w:t>
      </w:r>
      <w:r w:rsidR="00A53C09">
        <w:t>a</w:t>
      </w:r>
      <w:r>
        <w:t xml:space="preserve"> por el panel de la puerta de la atención, estos </w:t>
      </w:r>
      <w:r w:rsidRPr="0087410E">
        <w:rPr>
          <w:i/>
          <w:iCs/>
        </w:rPr>
        <w:t>estados de codicia</w:t>
      </w:r>
      <w:r>
        <w:t xml:space="preserve">, etc., </w:t>
      </w:r>
      <w:r w:rsidRPr="0087410E">
        <w:rPr>
          <w:i/>
          <w:iCs/>
        </w:rPr>
        <w:t>podrían invadirlo</w:t>
      </w:r>
      <w:r>
        <w:t xml:space="preserve">, podrían perseguirlo, podrían amenazarlo. </w:t>
      </w:r>
      <w:r w:rsidRPr="0087410E">
        <w:rPr>
          <w:i/>
          <w:iCs/>
        </w:rPr>
        <w:t xml:space="preserve">Entra en el </w:t>
      </w:r>
      <w:r w:rsidR="00A53C09">
        <w:rPr>
          <w:i/>
          <w:iCs/>
        </w:rPr>
        <w:t xml:space="preserve">sendero </w:t>
      </w:r>
      <w:r w:rsidRPr="0087410E">
        <w:rPr>
          <w:i/>
          <w:iCs/>
        </w:rPr>
        <w:t>de su restricción</w:t>
      </w:r>
      <w:r>
        <w:t xml:space="preserve">: entra en el </w:t>
      </w:r>
      <w:r w:rsidR="00A53C09">
        <w:t xml:space="preserve">sendero </w:t>
      </w:r>
      <w:r>
        <w:t>de cerrar esa facultad del ojo por el panel de la puerta de la atención. Es l</w:t>
      </w:r>
      <w:r w:rsidR="0099476E">
        <w:t>o</w:t>
      </w:r>
      <w:r>
        <w:t xml:space="preserve"> mismo de quien se di</w:t>
      </w:r>
      <w:r w:rsidR="0099476E">
        <w:t>ga</w:t>
      </w:r>
      <w:r>
        <w:t xml:space="preserve"> </w:t>
      </w:r>
      <w:r w:rsidRPr="0089105A">
        <w:rPr>
          <w:i/>
          <w:iCs/>
        </w:rPr>
        <w:t>qu</w:t>
      </w:r>
      <w:r w:rsidR="0099476E">
        <w:rPr>
          <w:i/>
          <w:iCs/>
        </w:rPr>
        <w:t xml:space="preserve">ien </w:t>
      </w:r>
      <w:r w:rsidRPr="0089105A">
        <w:rPr>
          <w:i/>
          <w:iCs/>
        </w:rPr>
        <w:t xml:space="preserve">guarda la facultad del ojo, se encarga de la </w:t>
      </w:r>
      <w:r w:rsidR="0099476E">
        <w:rPr>
          <w:i/>
          <w:iCs/>
        </w:rPr>
        <w:t>restricción</w:t>
      </w:r>
      <w:r w:rsidRPr="0089105A">
        <w:rPr>
          <w:i/>
          <w:iCs/>
        </w:rPr>
        <w:t xml:space="preserve"> de la facultad del ojo.</w:t>
      </w:r>
    </w:p>
    <w:p w14:paraId="75ECAF4C" w14:textId="7EB15356" w:rsidR="00315233" w:rsidRDefault="00315233" w:rsidP="000B7B5E">
      <w:pPr>
        <w:tabs>
          <w:tab w:val="left" w:pos="5529"/>
        </w:tabs>
      </w:pPr>
      <w:r>
        <w:t xml:space="preserve">57. </w:t>
      </w:r>
      <w:r>
        <w:tab/>
      </w:r>
      <w:r w:rsidR="000914B5">
        <w:t>Al respecto</w:t>
      </w:r>
      <w:r>
        <w:t xml:space="preserve">, no </w:t>
      </w:r>
      <w:r w:rsidR="00C97ADA">
        <w:t>existe</w:t>
      </w:r>
      <w:r>
        <w:t xml:space="preserve"> ni</w:t>
      </w:r>
      <w:r w:rsidR="00C97ADA">
        <w:t>-</w:t>
      </w:r>
      <w:r>
        <w:t>restricción</w:t>
      </w:r>
      <w:r w:rsidR="00C97ADA">
        <w:t>-</w:t>
      </w:r>
      <w:r>
        <w:t>ni</w:t>
      </w:r>
      <w:r w:rsidR="00C97ADA">
        <w:t>-</w:t>
      </w:r>
      <w:r>
        <w:t>no</w:t>
      </w:r>
      <w:r w:rsidR="00C97ADA">
        <w:t>-</w:t>
      </w:r>
      <w:r>
        <w:t xml:space="preserve">restricción en la facultad ocular real, ya que ni la atención ni el olvido surgen en dependencia </w:t>
      </w:r>
      <w:r w:rsidR="00C97ADA">
        <w:t>con</w:t>
      </w:r>
      <w:r>
        <w:t xml:space="preserve"> la sensibilidad ocular. Por el contrario, cuando un dato visible como objeto entra en el foco del ojo, entonces, después de que el continu</w:t>
      </w:r>
      <w:r w:rsidR="00987E7D">
        <w:t>um</w:t>
      </w:r>
      <w:r>
        <w:t xml:space="preserve"> </w:t>
      </w:r>
      <w:r w:rsidR="00BC1B6A">
        <w:t>vital</w:t>
      </w:r>
      <w:r>
        <w:t xml:space="preserve"> ha</w:t>
      </w:r>
      <w:r w:rsidR="00987E7D">
        <w:t>ya</w:t>
      </w:r>
      <w:r>
        <w:t xml:space="preserve"> surgido dos veces y ha</w:t>
      </w:r>
      <w:r w:rsidR="00987E7D">
        <w:t>ya</w:t>
      </w:r>
      <w:r>
        <w:t xml:space="preserve"> cesado, el elemento mental funcional que cumple la función de advertir surg</w:t>
      </w:r>
      <w:r w:rsidR="00987E7D">
        <w:t>irá</w:t>
      </w:r>
      <w:r>
        <w:t xml:space="preserve"> y cesa</w:t>
      </w:r>
      <w:r w:rsidR="00987E7D">
        <w:t>rá</w:t>
      </w:r>
      <w:r>
        <w:t>. Después de e</w:t>
      </w:r>
      <w:r w:rsidR="00123C8B">
        <w:t>ll</w:t>
      </w:r>
      <w:r>
        <w:t xml:space="preserve">o, </w:t>
      </w:r>
      <w:r w:rsidR="00F43664">
        <w:t xml:space="preserve">cesará </w:t>
      </w:r>
      <w:r>
        <w:t>la con</w:t>
      </w:r>
      <w:r w:rsidR="00123C8B">
        <w:t>s</w:t>
      </w:r>
      <w:r>
        <w:t xml:space="preserve">ciencia </w:t>
      </w:r>
      <w:r w:rsidR="002045B0">
        <w:t>visual</w:t>
      </w:r>
      <w:r>
        <w:t xml:space="preserve"> con la función de ver; después de e</w:t>
      </w:r>
      <w:r w:rsidR="00661E88">
        <w:t>ll</w:t>
      </w:r>
      <w:r>
        <w:t xml:space="preserve">o, el elemento mental resultante con la función de </w:t>
      </w:r>
      <w:r w:rsidR="00613FAF">
        <w:t xml:space="preserve">la </w:t>
      </w:r>
      <w:r w:rsidR="00661E88">
        <w:t>recepci</w:t>
      </w:r>
      <w:r w:rsidR="00613FAF">
        <w:t>ó</w:t>
      </w:r>
      <w:r w:rsidR="00661E88">
        <w:t>n</w:t>
      </w:r>
      <w:r>
        <w:t>; después de e</w:t>
      </w:r>
      <w:r w:rsidR="00661E88">
        <w:t>ll</w:t>
      </w:r>
      <w:r>
        <w:t xml:space="preserve">o, el elemento resultante de </w:t>
      </w:r>
      <w:r w:rsidR="00661E88">
        <w:t xml:space="preserve">la </w:t>
      </w:r>
      <w:r>
        <w:t>con</w:t>
      </w:r>
      <w:r w:rsidR="00661E88">
        <w:t>s</w:t>
      </w:r>
      <w:r>
        <w:t xml:space="preserve">ciencia mental sin </w:t>
      </w:r>
      <w:r w:rsidR="004C476E">
        <w:t xml:space="preserve">causa–raíz </w:t>
      </w:r>
      <w:r>
        <w:t>con la función de investigar; después de e</w:t>
      </w:r>
      <w:r w:rsidR="00B947D2">
        <w:t>ll</w:t>
      </w:r>
      <w:r>
        <w:t>o, surg</w:t>
      </w:r>
      <w:r w:rsidR="00B947D2">
        <w:t>irá</w:t>
      </w:r>
      <w:r>
        <w:t xml:space="preserve"> y cesa</w:t>
      </w:r>
      <w:r w:rsidR="00B947D2">
        <w:t>rá</w:t>
      </w:r>
      <w:r>
        <w:t xml:space="preserve"> el elemento de </w:t>
      </w:r>
      <w:r w:rsidR="00B947D2">
        <w:t xml:space="preserve">la </w:t>
      </w:r>
      <w:r>
        <w:t>con</w:t>
      </w:r>
      <w:r w:rsidR="00B947D2">
        <w:t>s</w:t>
      </w:r>
      <w:r>
        <w:t>ciencia-ment</w:t>
      </w:r>
      <w:r w:rsidR="0078245C">
        <w:t>al</w:t>
      </w:r>
      <w:r>
        <w:t>-</w:t>
      </w:r>
      <w:r w:rsidR="0078245C">
        <w:t xml:space="preserve">funcional-sin </w:t>
      </w:r>
      <w:r w:rsidR="004C476E">
        <w:t xml:space="preserve">causa–raíz </w:t>
      </w:r>
      <w:r>
        <w:t xml:space="preserve">que cumple la función de </w:t>
      </w:r>
      <w:r w:rsidR="00EC2535">
        <w:t xml:space="preserve">la </w:t>
      </w:r>
      <w:r w:rsidR="00CE1ED4">
        <w:t>determina</w:t>
      </w:r>
      <w:r w:rsidR="00EC2535">
        <w:t>ción</w:t>
      </w:r>
      <w:r>
        <w:t>. Además de e</w:t>
      </w:r>
      <w:r w:rsidR="004A34BA">
        <w:t>ll</w:t>
      </w:r>
      <w:r>
        <w:t xml:space="preserve">o, la </w:t>
      </w:r>
      <w:r w:rsidR="008D29E1">
        <w:t>im</w:t>
      </w:r>
      <w:r>
        <w:t>pulsión impulsa</w:t>
      </w:r>
      <w:r w:rsidR="008D29E1">
        <w:t>rá</w:t>
      </w:r>
      <w:r>
        <w:t>.</w:t>
      </w:r>
      <w:r w:rsidRPr="00A87ED6">
        <w:rPr>
          <w:vertAlign w:val="superscript"/>
        </w:rPr>
        <w:t>16</w:t>
      </w:r>
      <w:r>
        <w:t xml:space="preserve"> Aquí, no </w:t>
      </w:r>
      <w:r w:rsidR="008D29E1">
        <w:t>existe</w:t>
      </w:r>
      <w:r>
        <w:t xml:space="preserve"> ni</w:t>
      </w:r>
      <w:r w:rsidR="008D29E1">
        <w:t>-</w:t>
      </w:r>
      <w:r>
        <w:t>restricción</w:t>
      </w:r>
      <w:r w:rsidR="008D29E1">
        <w:t>-</w:t>
      </w:r>
      <w:r>
        <w:t>ni</w:t>
      </w:r>
      <w:r w:rsidR="008D29E1">
        <w:t>-</w:t>
      </w:r>
      <w:r>
        <w:t>no</w:t>
      </w:r>
      <w:r w:rsidR="008D29E1">
        <w:t>-</w:t>
      </w:r>
      <w:r>
        <w:t>restricción con motivo del continu</w:t>
      </w:r>
      <w:r w:rsidR="00463F3E">
        <w:t>um</w:t>
      </w:r>
      <w:r>
        <w:t xml:space="preserve"> </w:t>
      </w:r>
      <w:r w:rsidR="00BC1B6A">
        <w:t>vital</w:t>
      </w:r>
      <w:r>
        <w:t>, o en cualquiera de las ocasiones que comien</w:t>
      </w:r>
      <w:r w:rsidR="00463F3E">
        <w:t>cen</w:t>
      </w:r>
      <w:r>
        <w:t xml:space="preserve"> con la advertencia. </w:t>
      </w:r>
      <w:r w:rsidR="00463F3E">
        <w:t xml:space="preserve">No obstante, </w:t>
      </w:r>
      <w:r>
        <w:t xml:space="preserve">no </w:t>
      </w:r>
      <w:r w:rsidR="00664C61">
        <w:t>exist</w:t>
      </w:r>
      <w:r w:rsidR="00096E56">
        <w:t>irá</w:t>
      </w:r>
      <w:r w:rsidR="00664C61">
        <w:t xml:space="preserve"> </w:t>
      </w:r>
      <w:r>
        <w:t>restricción si en el momento del impulso surg</w:t>
      </w:r>
      <w:r w:rsidR="00667561">
        <w:t>ieran</w:t>
      </w:r>
      <w:r>
        <w:t xml:space="preserve"> falta de virtud</w:t>
      </w:r>
      <w:r w:rsidR="00667561">
        <w:t>,</w:t>
      </w:r>
      <w:r>
        <w:t xml:space="preserve"> olvido</w:t>
      </w:r>
      <w:r w:rsidR="00667561">
        <w:t>,</w:t>
      </w:r>
      <w:r>
        <w:t xml:space="preserve"> desconocimiento</w:t>
      </w:r>
      <w:r w:rsidR="00667561">
        <w:t>,</w:t>
      </w:r>
      <w:r>
        <w:t xml:space="preserve"> impaciencia</w:t>
      </w:r>
      <w:r w:rsidR="00667561">
        <w:t>,</w:t>
      </w:r>
      <w:r>
        <w:t xml:space="preserve"> ociosidad. Cuando esto suced</w:t>
      </w:r>
      <w:r w:rsidR="00664C61">
        <w:t>a</w:t>
      </w:r>
      <w:r>
        <w:t xml:space="preserve">, se </w:t>
      </w:r>
      <w:r w:rsidR="00664C61">
        <w:t xml:space="preserve">le </w:t>
      </w:r>
      <w:r>
        <w:t>llama</w:t>
      </w:r>
      <w:r w:rsidR="00664C61">
        <w:t>rá</w:t>
      </w:r>
      <w:r>
        <w:t xml:space="preserve"> "no</w:t>
      </w:r>
      <w:r w:rsidR="00664C61">
        <w:t>-</w:t>
      </w:r>
      <w:r>
        <w:t>restricción en la facultad del ojo". [22]</w:t>
      </w:r>
    </w:p>
    <w:p w14:paraId="140DE2BC" w14:textId="0B618A9A" w:rsidR="00315233" w:rsidRDefault="00315233" w:rsidP="00315233">
      <w:r>
        <w:t xml:space="preserve">58. </w:t>
      </w:r>
      <w:r>
        <w:tab/>
        <w:t>¿Por qué? Porque cuando esto suced</w:t>
      </w:r>
      <w:r w:rsidR="00F93AC4">
        <w:t>a</w:t>
      </w:r>
      <w:r>
        <w:t>, la puerta no est</w:t>
      </w:r>
      <w:r w:rsidR="00F93AC4">
        <w:t>ar</w:t>
      </w:r>
      <w:r>
        <w:t>á vigilada, ni tampoco el continu</w:t>
      </w:r>
      <w:r w:rsidR="00CF300E">
        <w:t>um</w:t>
      </w:r>
      <w:r>
        <w:t xml:space="preserve"> vital y las </w:t>
      </w:r>
      <w:r w:rsidR="00305E12">
        <w:t>consciencia</w:t>
      </w:r>
      <w:r>
        <w:t>s de la serie cognitiva. ¿</w:t>
      </w:r>
      <w:r w:rsidR="003766CF">
        <w:t>En qué sentido</w:t>
      </w:r>
      <w:r>
        <w:t xml:space="preserve">? </w:t>
      </w:r>
      <w:r w:rsidR="007B752C">
        <w:t xml:space="preserve">Al igual que </w:t>
      </w:r>
      <w:r>
        <w:t xml:space="preserve">las cuatro puertas de una ciudad </w:t>
      </w:r>
      <w:r w:rsidR="007B752C">
        <w:t xml:space="preserve">cuando </w:t>
      </w:r>
      <w:r>
        <w:t>no están aseguradas, aunque dentro de la ciudad las puertas de las casas, almacenes, habitaciones, etc., est</w:t>
      </w:r>
      <w:r w:rsidR="00E8252C">
        <w:t>é</w:t>
      </w:r>
      <w:r>
        <w:t xml:space="preserve">n aseguradas, </w:t>
      </w:r>
      <w:r w:rsidR="00244754">
        <w:t>no obstante</w:t>
      </w:r>
      <w:r>
        <w:t>, toda la propiedad de la ciudad est</w:t>
      </w:r>
      <w:r w:rsidR="0052643A">
        <w:t>ar</w:t>
      </w:r>
      <w:r>
        <w:t>á sin vigilancia y sin protección, ya que los ladrones que entr</w:t>
      </w:r>
      <w:r w:rsidR="00E8252C">
        <w:t>e</w:t>
      </w:r>
      <w:r>
        <w:t xml:space="preserve">n por </w:t>
      </w:r>
      <w:r w:rsidR="00E8252C">
        <w:t xml:space="preserve">dichas </w:t>
      </w:r>
      <w:r>
        <w:t>puertas de la ciudad p</w:t>
      </w:r>
      <w:r w:rsidR="00E8252C">
        <w:t>o</w:t>
      </w:r>
      <w:r>
        <w:t>d</w:t>
      </w:r>
      <w:r w:rsidR="00E8252C">
        <w:t>rá</w:t>
      </w:r>
      <w:r>
        <w:t xml:space="preserve">n hacer lo </w:t>
      </w:r>
      <w:r w:rsidR="00E8252C">
        <w:t>que gusten</w:t>
      </w:r>
      <w:r>
        <w:t>, así también, cuando la falta de virtud, etc., sur</w:t>
      </w:r>
      <w:r w:rsidR="0052643A">
        <w:t>ja</w:t>
      </w:r>
      <w:r>
        <w:t xml:space="preserve"> en un impulso en el que no hay</w:t>
      </w:r>
      <w:r w:rsidR="00E8252C">
        <w:t>a</w:t>
      </w:r>
      <w:r>
        <w:t xml:space="preserve"> restricción, entonces la puerta también est</w:t>
      </w:r>
      <w:r w:rsidR="00E8252C">
        <w:t>ar</w:t>
      </w:r>
      <w:r>
        <w:t>á desprotegida, y también lo est</w:t>
      </w:r>
      <w:r w:rsidR="00E8252C">
        <w:t>ar</w:t>
      </w:r>
      <w:r>
        <w:t>án el continu</w:t>
      </w:r>
      <w:r w:rsidR="00E8252C">
        <w:t>um</w:t>
      </w:r>
      <w:r>
        <w:t xml:space="preserve"> </w:t>
      </w:r>
      <w:r w:rsidR="00BC1B6A">
        <w:t xml:space="preserve">vital </w:t>
      </w:r>
      <w:r>
        <w:t>y las con</w:t>
      </w:r>
      <w:r w:rsidR="00E8252C">
        <w:t>s</w:t>
      </w:r>
      <w:r>
        <w:t xml:space="preserve">ciencias de la serie cognitiva que comienza con la advertencia. </w:t>
      </w:r>
      <w:r w:rsidR="002A61CB">
        <w:t xml:space="preserve">No obstante, </w:t>
      </w:r>
      <w:r>
        <w:t>cuando la virtud, etc., ha</w:t>
      </w:r>
      <w:r w:rsidR="001A6C79">
        <w:t>ya</w:t>
      </w:r>
      <w:r>
        <w:t xml:space="preserve"> surgido en </w:t>
      </w:r>
      <w:r w:rsidR="001742C8">
        <w:t>e</w:t>
      </w:r>
      <w:r>
        <w:t>l</w:t>
      </w:r>
      <w:r w:rsidR="001742C8">
        <w:t xml:space="preserve"> impulso</w:t>
      </w:r>
      <w:r>
        <w:t>, entonces la puerta también est</w:t>
      </w:r>
      <w:r w:rsidR="00E8252C">
        <w:t>ar</w:t>
      </w:r>
      <w:r>
        <w:t>á protegida y también lo est</w:t>
      </w:r>
      <w:r w:rsidR="00E8252C">
        <w:t>ar</w:t>
      </w:r>
      <w:r>
        <w:t>án el continu</w:t>
      </w:r>
      <w:r w:rsidR="00E8252C">
        <w:t xml:space="preserve">um </w:t>
      </w:r>
      <w:r w:rsidR="00BC1B6A">
        <w:t xml:space="preserve">vital </w:t>
      </w:r>
      <w:r>
        <w:t>y las con</w:t>
      </w:r>
      <w:r w:rsidR="00E8252C">
        <w:t>s</w:t>
      </w:r>
      <w:r>
        <w:t>ciencias de</w:t>
      </w:r>
      <w:r w:rsidR="0085396A" w:rsidRPr="0085396A">
        <w:t xml:space="preserve"> </w:t>
      </w:r>
      <w:r w:rsidR="0085396A">
        <w:t xml:space="preserve">la </w:t>
      </w:r>
    </w:p>
    <w:p w14:paraId="277EEB5C" w14:textId="77777777" w:rsidR="00315233" w:rsidRPr="00315233" w:rsidRDefault="00315233" w:rsidP="00315233">
      <w:pPr>
        <w:pStyle w:val="PiedepginaLegal"/>
        <w:rPr>
          <w:u w:val="single"/>
        </w:rPr>
      </w:pPr>
      <w:r w:rsidRPr="00315233">
        <w:rPr>
          <w:u w:val="single"/>
        </w:rPr>
        <w:t xml:space="preserve">                                                                                                                                                            .</w:t>
      </w:r>
    </w:p>
    <w:p w14:paraId="4B18015D" w14:textId="62D9E560" w:rsidR="00315233" w:rsidRDefault="00315233" w:rsidP="00315233">
      <w:pPr>
        <w:pStyle w:val="PiedepginaLegal"/>
      </w:pPr>
      <w:r>
        <w:t xml:space="preserve">16. </w:t>
      </w:r>
      <w:r>
        <w:tab/>
        <w:t xml:space="preserve">Esperar encontrar en el </w:t>
      </w:r>
      <w:proofErr w:type="spellStart"/>
      <w:r w:rsidRPr="0089105A">
        <w:rPr>
          <w:i/>
          <w:iCs/>
        </w:rPr>
        <w:t>Paramatthamañjūsā</w:t>
      </w:r>
      <w:proofErr w:type="spellEnd"/>
      <w:r>
        <w:t xml:space="preserve"> una exposición </w:t>
      </w:r>
      <w:r w:rsidR="0084695A">
        <w:t>sobre</w:t>
      </w:r>
      <w:r>
        <w:t xml:space="preserve"> la “serie cogn</w:t>
      </w:r>
      <w:r w:rsidR="00252080">
        <w:t>i</w:t>
      </w:r>
      <w:r>
        <w:t>tiva” (</w:t>
      </w:r>
      <w:proofErr w:type="spellStart"/>
      <w:r w:rsidRPr="0089105A">
        <w:rPr>
          <w:i/>
          <w:iCs/>
        </w:rPr>
        <w:t>citta-vīthi</w:t>
      </w:r>
      <w:proofErr w:type="spellEnd"/>
      <w:r>
        <w:t xml:space="preserve">), y alguna explicación </w:t>
      </w:r>
      <w:r w:rsidR="0084695A">
        <w:t xml:space="preserve">sobre </w:t>
      </w:r>
      <w:r>
        <w:t xml:space="preserve">los miembros individuales además de lo que se encuentra en el mismo </w:t>
      </w:r>
      <w:r w:rsidRPr="0089105A">
        <w:rPr>
          <w:i/>
          <w:iCs/>
        </w:rPr>
        <w:t>Visuddhimagga</w:t>
      </w:r>
      <w:r>
        <w:t>, es decepciona</w:t>
      </w:r>
      <w:r w:rsidR="00252080">
        <w:t>nt</w:t>
      </w:r>
      <w:r>
        <w:t xml:space="preserve">e. Sólo </w:t>
      </w:r>
      <w:r w:rsidR="00252080">
        <w:t>se puede encontrar</w:t>
      </w:r>
      <w:r>
        <w:t xml:space="preserve"> tratamientos fragmentarios. Todo lo que se dice aquí es esto:</w:t>
      </w:r>
    </w:p>
    <w:p w14:paraId="05DBCDA4" w14:textId="393B5244" w:rsidR="008F7981" w:rsidRDefault="00315233" w:rsidP="00315233">
      <w:pPr>
        <w:pStyle w:val="PiedepginaLegal"/>
      </w:pPr>
      <w:r>
        <w:tab/>
        <w:t xml:space="preserve">   “No </w:t>
      </w:r>
      <w:r w:rsidR="00252080">
        <w:t>existe</w:t>
      </w:r>
      <w:r>
        <w:t xml:space="preserve"> falta de virtud, en otras palabras, mala conducta corporal o verbal, en las cinco puertas; en consecuencia, la restricción de falta de virtud pasa por la puerta de la mente, y la restricción restante pasa por las seis puertas. Pues el surgimiento del olvido y los otros tres estarían en las cinco puertas por ser estados improductivos opuestos a la atención plena, etc.; y allí no surge la falta de virtud que consiste en la transgresión corporal y verbal porque los impulsos de las cinco puertas no dan lugar a la intimación. Y los cinco tipos de no restricción que comienzan con la falta de virtud se establecen aquí como lo opuesto a los cinco tipos de restricción que comienzan con la restricción como virtud” (</w:t>
      </w:r>
      <w:proofErr w:type="spellStart"/>
      <w:r>
        <w:t>Vism-mhṭ</w:t>
      </w:r>
      <w:proofErr w:type="spellEnd"/>
      <w:r>
        <w:t xml:space="preserve"> 42). Véase también cap. IV, nota 13.</w:t>
      </w:r>
      <w:r w:rsidR="008F7981">
        <w:br w:type="page"/>
      </w:r>
    </w:p>
    <w:p w14:paraId="04097A1B" w14:textId="0ECD467F" w:rsidR="00687584" w:rsidRDefault="00F93AC4" w:rsidP="00CE4C6D">
      <w:pPr>
        <w:tabs>
          <w:tab w:val="clear" w:pos="425"/>
        </w:tabs>
        <w:spacing w:after="80"/>
      </w:pPr>
      <w:r>
        <w:lastRenderedPageBreak/>
        <w:t xml:space="preserve">serie </w:t>
      </w:r>
      <w:r w:rsidR="002A61CB">
        <w:t>cognitiva que comienza con la advertencia. ¿En qué sentido? Al igual que</w:t>
      </w:r>
      <w:r w:rsidR="00687584">
        <w:t xml:space="preserve"> las puertas de </w:t>
      </w:r>
      <w:r w:rsidR="002A61CB">
        <w:t xml:space="preserve">una </w:t>
      </w:r>
      <w:r w:rsidR="00687584">
        <w:t xml:space="preserve">ciudad </w:t>
      </w:r>
      <w:r w:rsidR="00B07A12">
        <w:t xml:space="preserve">que </w:t>
      </w:r>
      <w:r w:rsidR="00687584">
        <w:t>est</w:t>
      </w:r>
      <w:r w:rsidR="00B07A12">
        <w:t>é</w:t>
      </w:r>
      <w:r w:rsidR="00687584">
        <w:t>n aseguradas, aunque dentro de la ciudad las casas, etc., no est</w:t>
      </w:r>
      <w:r w:rsidR="00B07A12">
        <w:t>é</w:t>
      </w:r>
      <w:r w:rsidR="00687584">
        <w:t xml:space="preserve">n aseguradas, </w:t>
      </w:r>
      <w:r w:rsidR="007733AC">
        <w:t xml:space="preserve">y </w:t>
      </w:r>
      <w:r w:rsidR="00687584">
        <w:t>toda la propiedad dentro de la ciudad est</w:t>
      </w:r>
      <w:r w:rsidR="007733AC">
        <w:t>é</w:t>
      </w:r>
      <w:r w:rsidR="00687584">
        <w:t xml:space="preserve"> bien </w:t>
      </w:r>
      <w:r w:rsidR="00B07A12">
        <w:t>res</w:t>
      </w:r>
      <w:r w:rsidR="00687584">
        <w:t>guardada, bien protegida, ya que cuando las puertas de la ciudad est</w:t>
      </w:r>
      <w:r w:rsidR="00B07A12">
        <w:t>é</w:t>
      </w:r>
      <w:r w:rsidR="00687584">
        <w:t>n cerradas no ha</w:t>
      </w:r>
      <w:r w:rsidR="00B07A12">
        <w:t>brá</w:t>
      </w:r>
      <w:r w:rsidR="00687584">
        <w:t xml:space="preserve"> entrada para los ladrones, así también, cuando la virtud, etc., ha</w:t>
      </w:r>
      <w:r w:rsidR="007733AC">
        <w:t>ya</w:t>
      </w:r>
      <w:r w:rsidR="00687584">
        <w:t xml:space="preserve"> surgido en el impulso, la puerta también est</w:t>
      </w:r>
      <w:r w:rsidR="007733AC">
        <w:t>ar</w:t>
      </w:r>
      <w:r w:rsidR="00687584">
        <w:t>á protegida y también lo est</w:t>
      </w:r>
      <w:r w:rsidR="007733AC">
        <w:t>ar</w:t>
      </w:r>
      <w:r w:rsidR="00687584">
        <w:t>án el continu</w:t>
      </w:r>
      <w:r w:rsidR="007733AC">
        <w:t>um</w:t>
      </w:r>
      <w:r w:rsidR="00687584">
        <w:t xml:space="preserve"> </w:t>
      </w:r>
      <w:r w:rsidR="00BC1B6A">
        <w:t xml:space="preserve">vital </w:t>
      </w:r>
      <w:r w:rsidR="00687584">
        <w:t>y las con</w:t>
      </w:r>
      <w:r w:rsidR="007733AC">
        <w:t>s</w:t>
      </w:r>
      <w:r w:rsidR="00687584">
        <w:t>ciencias de la serie cognitiva que comienza con la advertencia. Así, aunque realmente sur</w:t>
      </w:r>
      <w:r w:rsidR="00E04F41">
        <w:t>ja</w:t>
      </w:r>
      <w:r w:rsidR="00687584">
        <w:t xml:space="preserve"> en el momento de la impulsión, sin embargo</w:t>
      </w:r>
      <w:r w:rsidR="00E04F41">
        <w:t>,</w:t>
      </w:r>
      <w:r w:rsidR="00687584">
        <w:t xml:space="preserve"> se </w:t>
      </w:r>
      <w:r w:rsidR="00E04F41">
        <w:t xml:space="preserve">le </w:t>
      </w:r>
      <w:r w:rsidR="00687584">
        <w:t>llama</w:t>
      </w:r>
      <w:r w:rsidR="00E04F41">
        <w:t>rá</w:t>
      </w:r>
      <w:r w:rsidR="00687584">
        <w:t xml:space="preserve"> "restricción en la facultad del ojo".</w:t>
      </w:r>
    </w:p>
    <w:p w14:paraId="7A9E1DF2" w14:textId="1A6F9B39" w:rsidR="00687584" w:rsidRDefault="00687584" w:rsidP="00CE4C6D">
      <w:pPr>
        <w:spacing w:after="80"/>
      </w:pPr>
      <w:r>
        <w:t xml:space="preserve">59. </w:t>
      </w:r>
      <w:r w:rsidR="00CD0820">
        <w:tab/>
      </w:r>
      <w:r>
        <w:t xml:space="preserve">Lo mismo ocurre con las frases sobre </w:t>
      </w:r>
      <w:r w:rsidR="000525F2">
        <w:t xml:space="preserve">al </w:t>
      </w:r>
      <w:r w:rsidRPr="0089105A">
        <w:rPr>
          <w:i/>
          <w:iCs/>
        </w:rPr>
        <w:t>oír un sonido con el oído</w:t>
      </w:r>
      <w:r>
        <w:t>, etc. Es pues esta virtud, que en suma tiene la característica de evitar la aprehensión de signos que impliquen deshonra con respecto a las cosas visibles, etc., la que debe</w:t>
      </w:r>
      <w:r w:rsidR="00983535">
        <w:t>rá</w:t>
      </w:r>
      <w:r>
        <w:t xml:space="preserve"> entenderse como </w:t>
      </w:r>
      <w:r w:rsidRPr="0089105A">
        <w:rPr>
          <w:i/>
          <w:iCs/>
        </w:rPr>
        <w:t xml:space="preserve">virtud de restricción de </w:t>
      </w:r>
      <w:r w:rsidR="00F02945">
        <w:rPr>
          <w:i/>
          <w:iCs/>
        </w:rPr>
        <w:t xml:space="preserve">las </w:t>
      </w:r>
      <w:r w:rsidRPr="0089105A">
        <w:rPr>
          <w:i/>
          <w:iCs/>
        </w:rPr>
        <w:t>facultades</w:t>
      </w:r>
      <w:r>
        <w:t>.</w:t>
      </w:r>
    </w:p>
    <w:p w14:paraId="1EEFB956" w14:textId="168E47F8" w:rsidR="00687584" w:rsidRDefault="00687584" w:rsidP="00E3071F">
      <w:pPr>
        <w:spacing w:after="80"/>
      </w:pPr>
      <w:r>
        <w:t xml:space="preserve">60. </w:t>
      </w:r>
      <w:r w:rsidR="00CD0820">
        <w:tab/>
      </w:r>
      <w:r>
        <w:t>(c)</w:t>
      </w:r>
      <w:r w:rsidR="00644363">
        <w:t xml:space="preserve">: </w:t>
      </w:r>
      <w:r w:rsidR="00644363" w:rsidRPr="00CB539E">
        <w:rPr>
          <w:color w:val="1F3864" w:themeColor="accent1" w:themeShade="80"/>
        </w:rPr>
        <w:t>(§ 42.</w:t>
      </w:r>
      <w:r w:rsidR="00644363">
        <w:rPr>
          <w:color w:val="1F3864" w:themeColor="accent1" w:themeShade="80"/>
        </w:rPr>
        <w:t>c</w:t>
      </w:r>
      <w:r w:rsidR="00644363" w:rsidRPr="00CB539E">
        <w:rPr>
          <w:color w:val="1F3864" w:themeColor="accent1" w:themeShade="80"/>
        </w:rPr>
        <w:t>)</w:t>
      </w:r>
      <w:r>
        <w:t xml:space="preserve"> Ahora bien, en lo que se refiere a la virtud de la purificación de los medios de vida mencionada anteriormente junto a la virtud de la restricción de las facultades (§42), las palabras </w:t>
      </w:r>
      <w:r w:rsidRPr="00EF4F11">
        <w:rPr>
          <w:i/>
          <w:iCs/>
        </w:rPr>
        <w:t xml:space="preserve">de los seis preceptos anunciados </w:t>
      </w:r>
      <w:r w:rsidR="004142DD">
        <w:rPr>
          <w:i/>
          <w:iCs/>
        </w:rPr>
        <w:t>vinculados con</w:t>
      </w:r>
      <w:r w:rsidRPr="00EF4F11">
        <w:rPr>
          <w:i/>
          <w:iCs/>
        </w:rPr>
        <w:t xml:space="preserve"> los </w:t>
      </w:r>
      <w:r w:rsidR="00C304DB">
        <w:rPr>
          <w:i/>
          <w:iCs/>
        </w:rPr>
        <w:t>sustentos</w:t>
      </w:r>
      <w:r w:rsidRPr="00EF4F11">
        <w:rPr>
          <w:i/>
          <w:iCs/>
        </w:rPr>
        <w:t xml:space="preserve"> </w:t>
      </w:r>
      <w:r w:rsidR="006D0E73">
        <w:rPr>
          <w:i/>
          <w:iCs/>
        </w:rPr>
        <w:t>vitales</w:t>
      </w:r>
      <w:r>
        <w:t xml:space="preserve"> significan, de los siguientes seis preceptos de formación anunciados</w:t>
      </w:r>
      <w:r w:rsidR="00F02945">
        <w:t>,</w:t>
      </w:r>
      <w:r>
        <w:t xml:space="preserve"> </w:t>
      </w:r>
      <w:r w:rsidR="00E440F5">
        <w:t>lo siguiente</w:t>
      </w:r>
      <w:r>
        <w:t xml:space="preserve">: “Con el sustento como causa, con el sustento como razón, </w:t>
      </w:r>
      <w:r w:rsidR="003E18F1">
        <w:t xml:space="preserve">en </w:t>
      </w:r>
      <w:r w:rsidR="00E043C3">
        <w:t>aquél</w:t>
      </w:r>
      <w:r>
        <w:t xml:space="preserve"> de malos deseos, pres</w:t>
      </w:r>
      <w:r w:rsidR="0038157D">
        <w:t>o</w:t>
      </w:r>
      <w:r>
        <w:t xml:space="preserve"> de los deseos, </w:t>
      </w:r>
      <w:r w:rsidR="003E18F1">
        <w:t xml:space="preserve">que </w:t>
      </w:r>
      <w:r>
        <w:t>reclam</w:t>
      </w:r>
      <w:r w:rsidR="00500419">
        <w:t>e</w:t>
      </w:r>
      <w:r>
        <w:t xml:space="preserve"> un estado superior al humano que s</w:t>
      </w:r>
      <w:r w:rsidR="006D0E73">
        <w:t>ea</w:t>
      </w:r>
      <w:r>
        <w:t xml:space="preserve"> inexistente, no un</w:t>
      </w:r>
      <w:r w:rsidR="003E18F1">
        <w:t>a</w:t>
      </w:r>
      <w:r>
        <w:t xml:space="preserve"> </w:t>
      </w:r>
      <w:r w:rsidR="003E18F1">
        <w:t>realidad</w:t>
      </w:r>
      <w:r>
        <w:t xml:space="preserve">”, </w:t>
      </w:r>
      <w:r w:rsidR="003E18F1">
        <w:t xml:space="preserve">su </w:t>
      </w:r>
      <w:r>
        <w:t>contravención s</w:t>
      </w:r>
      <w:r w:rsidR="00D84EC1">
        <w:t>erá</w:t>
      </w:r>
      <w:r>
        <w:t xml:space="preserve"> </w:t>
      </w:r>
      <w:r w:rsidR="000B55B0">
        <w:t>la expulsión</w:t>
      </w:r>
      <w:r>
        <w:t xml:space="preserve"> (</w:t>
      </w:r>
      <w:r w:rsidR="0038157D">
        <w:t xml:space="preserve">la </w:t>
      </w:r>
      <w:r>
        <w:t xml:space="preserve">expulsión de la Orden); “con el sustento como causa, con el sustento como razón, </w:t>
      </w:r>
      <w:r w:rsidR="003E18F1">
        <w:t>en aquel</w:t>
      </w:r>
      <w:r w:rsidR="00B666AB">
        <w:t xml:space="preserve"> </w:t>
      </w:r>
      <w:r w:rsidR="003E18F1">
        <w:t xml:space="preserve">que </w:t>
      </w:r>
      <w:r>
        <w:t>actú</w:t>
      </w:r>
      <w:r w:rsidR="003E18F1">
        <w:t>e</w:t>
      </w:r>
      <w:r>
        <w:t xml:space="preserve"> como intermediario”, </w:t>
      </w:r>
      <w:r w:rsidR="003E18F1">
        <w:t>su</w:t>
      </w:r>
      <w:r>
        <w:t xml:space="preserve"> contravención </w:t>
      </w:r>
      <w:r w:rsidR="000B55B0">
        <w:t xml:space="preserve">será </w:t>
      </w:r>
      <w:r>
        <w:t>un</w:t>
      </w:r>
      <w:r w:rsidR="003E0BAC">
        <w:t>a</w:t>
      </w:r>
      <w:r>
        <w:t xml:space="preserve"> </w:t>
      </w:r>
      <w:r w:rsidR="003E0BAC">
        <w:t>ofensa</w:t>
      </w:r>
      <w:r>
        <w:t xml:space="preserve"> que impl</w:t>
      </w:r>
      <w:r w:rsidR="001F314E">
        <w:t>ique</w:t>
      </w:r>
      <w:r>
        <w:t xml:space="preserve"> una reunión </w:t>
      </w:r>
      <w:r w:rsidR="003E0BAC">
        <w:t>en</w:t>
      </w:r>
      <w:r>
        <w:t xml:space="preserve"> la Orden; “Con el sustento como causa, con el sustento como razón, </w:t>
      </w:r>
      <w:r w:rsidR="003E18F1">
        <w:t>en aquel que diga</w:t>
      </w:r>
      <w:r>
        <w:t>: ‘</w:t>
      </w:r>
      <w:r w:rsidR="00F02945">
        <w:t>Hay u</w:t>
      </w:r>
      <w:r>
        <w:t xml:space="preserve">n </w:t>
      </w:r>
      <w:proofErr w:type="spellStart"/>
      <w:r w:rsidR="00057BF4" w:rsidRPr="00057BF4">
        <w:rPr>
          <w:i/>
        </w:rPr>
        <w:t>bhikkhu</w:t>
      </w:r>
      <w:proofErr w:type="spellEnd"/>
      <w:r>
        <w:t xml:space="preserve"> que vive en </w:t>
      </w:r>
      <w:r w:rsidR="007A59D0">
        <w:t>s</w:t>
      </w:r>
      <w:r>
        <w:t xml:space="preserve">u monasterio </w:t>
      </w:r>
      <w:proofErr w:type="spellStart"/>
      <w:r w:rsidR="007A59D0">
        <w:t>que</w:t>
      </w:r>
      <w:r>
        <w:t>es</w:t>
      </w:r>
      <w:proofErr w:type="spellEnd"/>
      <w:r>
        <w:t xml:space="preserve"> un </w:t>
      </w:r>
      <w:r w:rsidR="00057BF4" w:rsidRPr="00057BF4">
        <w:rPr>
          <w:i/>
        </w:rPr>
        <w:t>Arahant</w:t>
      </w:r>
      <w:r>
        <w:t xml:space="preserve">’”, </w:t>
      </w:r>
      <w:r w:rsidR="003E18F1">
        <w:t xml:space="preserve">su </w:t>
      </w:r>
      <w:r>
        <w:t xml:space="preserve">contravención </w:t>
      </w:r>
      <w:r w:rsidR="00097361">
        <w:t>será</w:t>
      </w:r>
      <w:r>
        <w:t xml:space="preserve"> una ofensa grave para quien s</w:t>
      </w:r>
      <w:r w:rsidR="003E0BAC">
        <w:t>ea</w:t>
      </w:r>
      <w:r>
        <w:t xml:space="preserve"> consciente de ello; “</w:t>
      </w:r>
      <w:r w:rsidR="003E18F1">
        <w:t>C</w:t>
      </w:r>
      <w:r>
        <w:t xml:space="preserve">on el sustento como causa, con el sustento como razón, </w:t>
      </w:r>
      <w:r w:rsidR="00397A15">
        <w:t>en aquel</w:t>
      </w:r>
      <w:r>
        <w:t xml:space="preserve"> </w:t>
      </w:r>
      <w:proofErr w:type="spellStart"/>
      <w:r w:rsidR="00057BF4" w:rsidRPr="00057BF4">
        <w:rPr>
          <w:i/>
        </w:rPr>
        <w:t>bhikkhu</w:t>
      </w:r>
      <w:proofErr w:type="spellEnd"/>
      <w:r>
        <w:t xml:space="preserve"> que no est</w:t>
      </w:r>
      <w:r w:rsidR="003E0BAC">
        <w:t>é</w:t>
      </w:r>
      <w:r>
        <w:t xml:space="preserve"> enfermo </w:t>
      </w:r>
      <w:r w:rsidR="00397A15">
        <w:t xml:space="preserve">y </w:t>
      </w:r>
      <w:r>
        <w:t>com</w:t>
      </w:r>
      <w:r w:rsidR="003E0BAC">
        <w:t>a</w:t>
      </w:r>
      <w:r>
        <w:t xml:space="preserve"> comida superior que ha</w:t>
      </w:r>
      <w:r w:rsidR="00DB2FAC">
        <w:t>ya</w:t>
      </w:r>
      <w:r>
        <w:t xml:space="preserve"> ordenado para su propio uso”, </w:t>
      </w:r>
      <w:r w:rsidR="00397A15">
        <w:t xml:space="preserve">su </w:t>
      </w:r>
      <w:r>
        <w:t xml:space="preserve">contravención </w:t>
      </w:r>
      <w:r w:rsidR="00097361">
        <w:t>será</w:t>
      </w:r>
      <w:r>
        <w:t xml:space="preserve"> una ofensa que requier</w:t>
      </w:r>
      <w:r w:rsidR="00097361">
        <w:t>a</w:t>
      </w:r>
      <w:r>
        <w:t xml:space="preserve"> expiación: “Con el sustento como causa, con el sustento como razón , </w:t>
      </w:r>
      <w:r w:rsidR="00397A15">
        <w:t xml:space="preserve">en aquella </w:t>
      </w:r>
      <w:proofErr w:type="spellStart"/>
      <w:r w:rsidR="00057BF4" w:rsidRPr="00057BF4">
        <w:rPr>
          <w:i/>
        </w:rPr>
        <w:t>bhikkhunī</w:t>
      </w:r>
      <w:proofErr w:type="spellEnd"/>
      <w:r>
        <w:t xml:space="preserve"> que no est</w:t>
      </w:r>
      <w:r w:rsidR="00DB2FAC">
        <w:t>é</w:t>
      </w:r>
      <w:r>
        <w:t xml:space="preserve"> enferma </w:t>
      </w:r>
      <w:r w:rsidR="00397A15">
        <w:t xml:space="preserve">y </w:t>
      </w:r>
      <w:r>
        <w:t>com</w:t>
      </w:r>
      <w:r w:rsidR="00DB2FAC">
        <w:t>a</w:t>
      </w:r>
      <w:r>
        <w:t xml:space="preserve"> comida superior que ha</w:t>
      </w:r>
      <w:r w:rsidR="00DB2FAC">
        <w:t>ya</w:t>
      </w:r>
      <w:r>
        <w:t xml:space="preserve"> ordenado para su propio uso”, </w:t>
      </w:r>
      <w:r w:rsidR="00397A15">
        <w:t xml:space="preserve">su </w:t>
      </w:r>
      <w:r>
        <w:t xml:space="preserve">contravención </w:t>
      </w:r>
      <w:r w:rsidR="00E30754">
        <w:t xml:space="preserve">será </w:t>
      </w:r>
      <w:r>
        <w:t>una ofensa que requer</w:t>
      </w:r>
      <w:r w:rsidR="00097361">
        <w:t>irá</w:t>
      </w:r>
      <w:r>
        <w:t xml:space="preserve"> confesión; “</w:t>
      </w:r>
      <w:r w:rsidR="00E30754">
        <w:t>C</w:t>
      </w:r>
      <w:r>
        <w:t xml:space="preserve">on el sustento como causa, con el sustento como razón, </w:t>
      </w:r>
      <w:r w:rsidR="00E30754">
        <w:t xml:space="preserve">en aquél </w:t>
      </w:r>
      <w:r>
        <w:t>no est</w:t>
      </w:r>
      <w:r w:rsidR="00DB2FAC">
        <w:t>é</w:t>
      </w:r>
      <w:r>
        <w:t xml:space="preserve"> enfermo </w:t>
      </w:r>
      <w:r w:rsidR="00E30754">
        <w:t xml:space="preserve">y </w:t>
      </w:r>
      <w:r>
        <w:t>com</w:t>
      </w:r>
      <w:r w:rsidR="00DB2FAC">
        <w:t>a</w:t>
      </w:r>
      <w:r>
        <w:t xml:space="preserve"> curry o arroz hervido [23] que ha</w:t>
      </w:r>
      <w:r w:rsidR="00DB2FAC">
        <w:t>ya</w:t>
      </w:r>
      <w:r>
        <w:t xml:space="preserve"> ordenado para su propio uso”, </w:t>
      </w:r>
      <w:r w:rsidR="00E30754">
        <w:t xml:space="preserve">su </w:t>
      </w:r>
      <w:r>
        <w:t xml:space="preserve">contravención </w:t>
      </w:r>
      <w:r w:rsidR="00E30754">
        <w:t xml:space="preserve">será </w:t>
      </w:r>
      <w:r>
        <w:t>un</w:t>
      </w:r>
      <w:r w:rsidR="00DB2FAC">
        <w:t>a</w:t>
      </w:r>
      <w:r>
        <w:t xml:space="preserve"> </w:t>
      </w:r>
      <w:r w:rsidR="00DB2FAC">
        <w:t>ofensa</w:t>
      </w:r>
      <w:r>
        <w:t xml:space="preserve"> de </w:t>
      </w:r>
      <w:r w:rsidR="00E30754">
        <w:t>mala conducta</w:t>
      </w:r>
      <w:r>
        <w:t xml:space="preserve"> (</w:t>
      </w:r>
      <w:proofErr w:type="spellStart"/>
      <w:r>
        <w:t>Vin</w:t>
      </w:r>
      <w:proofErr w:type="spellEnd"/>
      <w:r>
        <w:t xml:space="preserve"> V 146). De estos seis preceptos.</w:t>
      </w:r>
      <w:r w:rsidRPr="00A87ED6">
        <w:rPr>
          <w:vertAlign w:val="superscript"/>
        </w:rPr>
        <w:t>17</w:t>
      </w:r>
    </w:p>
    <w:p w14:paraId="6DA5EBC9" w14:textId="582F0C9F" w:rsidR="00687584" w:rsidRDefault="00687584" w:rsidP="00CE4C6D">
      <w:pPr>
        <w:spacing w:after="80"/>
      </w:pPr>
      <w:r>
        <w:t xml:space="preserve">61. </w:t>
      </w:r>
      <w:r w:rsidR="002C294A">
        <w:tab/>
      </w:r>
      <w:r w:rsidR="008B3A2B">
        <w:t>Respecto</w:t>
      </w:r>
      <w:r>
        <w:t xml:space="preserve"> a </w:t>
      </w:r>
      <w:r w:rsidR="00D81606">
        <w:rPr>
          <w:i/>
          <w:iCs/>
        </w:rPr>
        <w:t xml:space="preserve">crear </w:t>
      </w:r>
      <w:r w:rsidRPr="00D81606">
        <w:rPr>
          <w:i/>
          <w:iCs/>
        </w:rPr>
        <w:t>intriga</w:t>
      </w:r>
      <w:r w:rsidR="00D81606">
        <w:rPr>
          <w:i/>
          <w:iCs/>
        </w:rPr>
        <w:t>s</w:t>
      </w:r>
      <w:r>
        <w:t xml:space="preserve">, etc. (§42), </w:t>
      </w:r>
      <w:r w:rsidR="008B3A2B">
        <w:t>é</w:t>
      </w:r>
      <w:r>
        <w:t>ste es el texto: “</w:t>
      </w:r>
      <w:r w:rsidR="00FE19B9">
        <w:t>Respecto a</w:t>
      </w:r>
      <w:r>
        <w:t xml:space="preserve">, ¿qué es </w:t>
      </w:r>
      <w:r w:rsidR="00A170DF">
        <w:t xml:space="preserve">crear </w:t>
      </w:r>
      <w:r>
        <w:t>intriga</w:t>
      </w:r>
      <w:r w:rsidR="00A170DF">
        <w:t>s</w:t>
      </w:r>
      <w:r>
        <w:t xml:space="preserve">? Es </w:t>
      </w:r>
      <w:r w:rsidR="00FE19B9">
        <w:t>hacer</w:t>
      </w:r>
      <w:r>
        <w:t xml:space="preserve"> </w:t>
      </w:r>
      <w:r w:rsidR="009C1DA6">
        <w:t>gestos</w:t>
      </w:r>
      <w:r>
        <w:t xml:space="preserve">, </w:t>
      </w:r>
      <w:r w:rsidR="00A170DF">
        <w:t xml:space="preserve">es </w:t>
      </w:r>
      <w:r w:rsidR="009C1DA6">
        <w:t>la gesticulación</w:t>
      </w:r>
      <w:r>
        <w:t xml:space="preserve">, la maquinación, </w:t>
      </w:r>
      <w:r w:rsidR="00291208">
        <w:t>el montaje</w:t>
      </w:r>
      <w:r>
        <w:t xml:space="preserve">, </w:t>
      </w:r>
      <w:r w:rsidR="00291208">
        <w:t>el andamiaje</w:t>
      </w:r>
      <w:r>
        <w:t>,</w:t>
      </w:r>
      <w:r w:rsidRPr="00A87ED6">
        <w:rPr>
          <w:vertAlign w:val="superscript"/>
        </w:rPr>
        <w:t>18</w:t>
      </w:r>
      <w:r>
        <w:t xml:space="preserve"> por lo que se </w:t>
      </w:r>
      <w:r w:rsidR="003A66D5">
        <w:t>invo</w:t>
      </w:r>
      <w:r w:rsidR="00B62214">
        <w:t>que</w:t>
      </w:r>
      <w:r>
        <w:t xml:space="preserve"> </w:t>
      </w:r>
      <w:r w:rsidR="003A66D5">
        <w:t>a</w:t>
      </w:r>
      <w:r>
        <w:t xml:space="preserve">l rechazo de los requisitos o </w:t>
      </w:r>
      <w:r w:rsidR="003A66D5">
        <w:t xml:space="preserve">a </w:t>
      </w:r>
      <w:r>
        <w:t xml:space="preserve">la conversación indirecta, o es la disposición, pose, composición, del comportamiento por parte de </w:t>
      </w:r>
      <w:r w:rsidR="003A66D5">
        <w:t xml:space="preserve">alguien </w:t>
      </w:r>
      <w:r>
        <w:t xml:space="preserve">empeñado en la ganancia, el honor y </w:t>
      </w:r>
      <w:r w:rsidR="003A66D5">
        <w:t>e</w:t>
      </w:r>
      <w:r>
        <w:t xml:space="preserve">l renombre, </w:t>
      </w:r>
      <w:r w:rsidR="00B62214">
        <w:t>por parte de</w:t>
      </w:r>
      <w:r>
        <w:t xml:space="preserve"> </w:t>
      </w:r>
      <w:r w:rsidR="007A4B97">
        <w:t>alguien</w:t>
      </w:r>
      <w:r>
        <w:t xml:space="preserve"> de malos deseos, </w:t>
      </w:r>
      <w:r w:rsidR="00D81606">
        <w:t xml:space="preserve">alguien </w:t>
      </w:r>
      <w:r>
        <w:t>pres</w:t>
      </w:r>
      <w:r w:rsidR="00D81606">
        <w:t>o</w:t>
      </w:r>
      <w:r>
        <w:t xml:space="preserve"> de los deseos: </w:t>
      </w:r>
      <w:r w:rsidR="00D81606">
        <w:t xml:space="preserve">a </w:t>
      </w:r>
      <w:r>
        <w:t xml:space="preserve">esto se </w:t>
      </w:r>
      <w:r w:rsidR="00D81606">
        <w:t xml:space="preserve">le </w:t>
      </w:r>
      <w:r>
        <w:t xml:space="preserve">llama </w:t>
      </w:r>
      <w:r w:rsidR="007A4B97">
        <w:rPr>
          <w:i/>
          <w:iCs/>
        </w:rPr>
        <w:t>crear intrigas</w:t>
      </w:r>
      <w:r>
        <w:t>.</w:t>
      </w:r>
    </w:p>
    <w:p w14:paraId="11536C2B" w14:textId="6742B1EB" w:rsidR="00687584" w:rsidRDefault="00687584" w:rsidP="00CE4C6D">
      <w:pPr>
        <w:spacing w:after="80"/>
      </w:pPr>
      <w:r>
        <w:t xml:space="preserve">62. </w:t>
      </w:r>
      <w:r w:rsidR="002C294A">
        <w:tab/>
      </w:r>
      <w:r>
        <w:t xml:space="preserve">“Aquí, ¿qué es </w:t>
      </w:r>
      <w:r w:rsidR="00585DAA">
        <w:t>charlar? Charlar con</w:t>
      </w:r>
      <w:r>
        <w:t xml:space="preserve"> los demás, hablar, </w:t>
      </w:r>
      <w:r w:rsidR="0016591D">
        <w:t>convencer</w:t>
      </w:r>
      <w:r>
        <w:t xml:space="preserve">, persuadir, </w:t>
      </w:r>
      <w:r w:rsidR="00B95631">
        <w:t>exagerar</w:t>
      </w:r>
      <w:r w:rsidR="000A6A23">
        <w:t>, exagerar</w:t>
      </w:r>
      <w:r>
        <w:t xml:space="preserve"> continuamente, sugerir, sugerir continuamente, charlatan</w:t>
      </w:r>
      <w:r w:rsidR="000A6A23">
        <w:t>eo</w:t>
      </w:r>
      <w:r>
        <w:t xml:space="preserve">, </w:t>
      </w:r>
      <w:r w:rsidR="00DA6F75">
        <w:t xml:space="preserve">narrar historias </w:t>
      </w:r>
      <w:r>
        <w:t>halag</w:t>
      </w:r>
      <w:r w:rsidR="00471BBE">
        <w:t>ar</w:t>
      </w:r>
      <w:r>
        <w:t xml:space="preserve">, </w:t>
      </w:r>
    </w:p>
    <w:p w14:paraId="486961B2" w14:textId="77777777" w:rsidR="00687584" w:rsidRPr="00CD0820" w:rsidRDefault="00687584" w:rsidP="00687584">
      <w:pPr>
        <w:pStyle w:val="PiedepginaLegal"/>
        <w:rPr>
          <w:u w:val="single"/>
        </w:rPr>
      </w:pPr>
      <w:r w:rsidRPr="00CD0820">
        <w:rPr>
          <w:u w:val="single"/>
        </w:rPr>
        <w:t xml:space="preserve">                                                                                                                                                            .</w:t>
      </w:r>
    </w:p>
    <w:p w14:paraId="5E1B8DA0" w14:textId="5B5F5297" w:rsidR="00687584" w:rsidRDefault="00687584" w:rsidP="00687584">
      <w:pPr>
        <w:pStyle w:val="PiedepginaLegal"/>
      </w:pPr>
      <w:r>
        <w:t xml:space="preserve">17. </w:t>
      </w:r>
      <w:r w:rsidR="0085396A">
        <w:tab/>
      </w:r>
      <w:r>
        <w:t xml:space="preserve">Esta oración aparentemente incompleta también está en el texto </w:t>
      </w:r>
      <w:r w:rsidRPr="00FE6A5B">
        <w:rPr>
          <w:i/>
          <w:iCs/>
        </w:rPr>
        <w:t>Pāḷi</w:t>
      </w:r>
      <w:r>
        <w:t>. No está claro por qué. (Edición BPS)</w:t>
      </w:r>
    </w:p>
    <w:p w14:paraId="10EAD095" w14:textId="780B8C3B" w:rsidR="00687584" w:rsidRDefault="00687584" w:rsidP="00687584">
      <w:pPr>
        <w:pStyle w:val="PiedepginaLegal"/>
      </w:pPr>
      <w:r>
        <w:t xml:space="preserve">18. </w:t>
      </w:r>
      <w:r w:rsidR="00CD0820">
        <w:tab/>
      </w:r>
      <w:r>
        <w:t>La fórmula “</w:t>
      </w:r>
      <w:proofErr w:type="spellStart"/>
      <w:r w:rsidRPr="00EF4F11">
        <w:rPr>
          <w:i/>
          <w:iCs/>
        </w:rPr>
        <w:t>kuhana</w:t>
      </w:r>
      <w:proofErr w:type="spellEnd"/>
      <w:r w:rsidRPr="00EF4F11">
        <w:rPr>
          <w:i/>
          <w:iCs/>
        </w:rPr>
        <w:t xml:space="preserve"> </w:t>
      </w:r>
      <w:proofErr w:type="spellStart"/>
      <w:r w:rsidRPr="00EF4F11">
        <w:rPr>
          <w:i/>
          <w:iCs/>
        </w:rPr>
        <w:t>kuhāyanā</w:t>
      </w:r>
      <w:proofErr w:type="spellEnd"/>
      <w:r w:rsidRPr="00EF4F11">
        <w:rPr>
          <w:i/>
          <w:iCs/>
        </w:rPr>
        <w:t xml:space="preserve"> </w:t>
      </w:r>
      <w:proofErr w:type="spellStart"/>
      <w:r w:rsidRPr="00EF4F11">
        <w:rPr>
          <w:i/>
          <w:iCs/>
        </w:rPr>
        <w:t>kuhitattaṃ</w:t>
      </w:r>
      <w:proofErr w:type="spellEnd"/>
      <w:r>
        <w:t xml:space="preserve">”, es decir, </w:t>
      </w:r>
      <w:r w:rsidR="00787206">
        <w:t xml:space="preserve">el </w:t>
      </w:r>
      <w:r>
        <w:t xml:space="preserve">sustantivo verbal en dos formas y </w:t>
      </w:r>
      <w:r w:rsidR="00787206">
        <w:t xml:space="preserve">el </w:t>
      </w:r>
      <w:r>
        <w:t xml:space="preserve">sustantivo abstracto de </w:t>
      </w:r>
      <w:r w:rsidR="008C2619">
        <w:t xml:space="preserve">la </w:t>
      </w:r>
      <w:r>
        <w:t xml:space="preserve">pp., todos de la misma raíz, es común en las definiciones del </w:t>
      </w:r>
      <w:proofErr w:type="spellStart"/>
      <w:r w:rsidR="006B0039" w:rsidRPr="006B0039">
        <w:rPr>
          <w:i/>
          <w:iCs/>
        </w:rPr>
        <w:t>Abhidhamma</w:t>
      </w:r>
      <w:proofErr w:type="spellEnd"/>
      <w:r>
        <w:t>. A veces es difícil producir un efecto correspondiente en inglés, pero traducir esos grupos con palabras de diferente derivación oscurece el significado y confunde el efecto.</w:t>
      </w:r>
      <w:r>
        <w:br w:type="page"/>
      </w:r>
    </w:p>
    <w:p w14:paraId="5E6876C6" w14:textId="77777777" w:rsidR="009E65E6" w:rsidRDefault="009E65E6" w:rsidP="004830D4">
      <w:r w:rsidRPr="00207F45">
        <w:lastRenderedPageBreak/>
        <w:t>sopa de frijoles</w:t>
      </w:r>
      <w:r>
        <w:t xml:space="preserve">, hablar cariñosamente; por parte de alguien que aspire ganancias, honor y renombre, de alguien de malos deseos, preso de los deseos, a todo esto, se le llama </w:t>
      </w:r>
      <w:r w:rsidRPr="00812D6E">
        <w:rPr>
          <w:i/>
          <w:iCs/>
        </w:rPr>
        <w:t>charlar</w:t>
      </w:r>
      <w:r>
        <w:t>.</w:t>
      </w:r>
    </w:p>
    <w:p w14:paraId="63EA55F7" w14:textId="343A8E42" w:rsidR="004830D4" w:rsidRDefault="004830D4" w:rsidP="004830D4">
      <w:r>
        <w:t>63.</w:t>
      </w:r>
      <w:r>
        <w:tab/>
        <w:t xml:space="preserve"> “Aquí, ¿qué es insinuación? Un </w:t>
      </w:r>
      <w:r w:rsidR="004E4B30">
        <w:t>signo</w:t>
      </w:r>
      <w:r>
        <w:t xml:space="preserve"> </w:t>
      </w:r>
      <w:r w:rsidR="004E4B30">
        <w:t>par</w:t>
      </w:r>
      <w:r w:rsidR="00B4002F">
        <w:t>a</w:t>
      </w:r>
      <w:r>
        <w:t xml:space="preserve"> otros, dar un </w:t>
      </w:r>
      <w:r w:rsidR="008D2708">
        <w:t>signo</w:t>
      </w:r>
      <w:r>
        <w:t xml:space="preserve">, una indicación, </w:t>
      </w:r>
      <w:r w:rsidR="004E472C">
        <w:t xml:space="preserve">dar </w:t>
      </w:r>
      <w:r>
        <w:t xml:space="preserve">una indicación, una charla indirecta, una charla </w:t>
      </w:r>
      <w:r w:rsidR="001B288C">
        <w:t>sugestiva</w:t>
      </w:r>
      <w:r w:rsidR="00995AC5">
        <w:t>;</w:t>
      </w:r>
      <w:r>
        <w:t xml:space="preserve"> </w:t>
      </w:r>
      <w:r w:rsidR="00995AC5">
        <w:t>por</w:t>
      </w:r>
      <w:r>
        <w:t xml:space="preserve"> parte de </w:t>
      </w:r>
      <w:r w:rsidR="00B4002F">
        <w:t>alguien</w:t>
      </w:r>
      <w:r>
        <w:t xml:space="preserve"> que bus</w:t>
      </w:r>
      <w:r w:rsidR="001B288C">
        <w:t>que</w:t>
      </w:r>
      <w:r>
        <w:t xml:space="preserve"> ganancias, honor y renombre, </w:t>
      </w:r>
      <w:r w:rsidR="00B451AB">
        <w:t>de</w:t>
      </w:r>
      <w:r w:rsidR="001B288C">
        <w:t xml:space="preserve"> alguien</w:t>
      </w:r>
      <w:r>
        <w:t xml:space="preserve"> de malos deseos, pres</w:t>
      </w:r>
      <w:r w:rsidR="001B288C">
        <w:t>o</w:t>
      </w:r>
      <w:r>
        <w:t xml:space="preserve"> de </w:t>
      </w:r>
      <w:r w:rsidR="00B451AB">
        <w:t xml:space="preserve">los </w:t>
      </w:r>
      <w:r>
        <w:t xml:space="preserve">deseos: </w:t>
      </w:r>
      <w:r w:rsidR="001B288C">
        <w:t xml:space="preserve">a </w:t>
      </w:r>
      <w:r>
        <w:t xml:space="preserve">esto se </w:t>
      </w:r>
      <w:r w:rsidR="00CA444D">
        <w:t xml:space="preserve">le </w:t>
      </w:r>
      <w:r>
        <w:t xml:space="preserve">llama </w:t>
      </w:r>
      <w:r w:rsidRPr="00CA444D">
        <w:rPr>
          <w:i/>
          <w:iCs/>
        </w:rPr>
        <w:t>insinuación</w:t>
      </w:r>
      <w:r>
        <w:t>.</w:t>
      </w:r>
    </w:p>
    <w:p w14:paraId="2FF0E04A" w14:textId="20CB0E2A" w:rsidR="004830D4" w:rsidRDefault="004830D4" w:rsidP="004830D4">
      <w:r>
        <w:t xml:space="preserve">64. </w:t>
      </w:r>
      <w:r>
        <w:tab/>
        <w:t xml:space="preserve">“Aquí, ¿qué es menospreciar? </w:t>
      </w:r>
      <w:r w:rsidR="001B288C">
        <w:t>Insultar</w:t>
      </w:r>
      <w:r>
        <w:t xml:space="preserve"> </w:t>
      </w:r>
      <w:r w:rsidR="001B288C">
        <w:t xml:space="preserve">a </w:t>
      </w:r>
      <w:r>
        <w:t>los demás, denigrar, reprochar, desairar, desairar continuamente, ridiculizar, ridiculizar continuamente, denigrar, denigrar continuamente, contar chismes, calumniar</w:t>
      </w:r>
      <w:r w:rsidR="00995AC5">
        <w:t>;</w:t>
      </w:r>
      <w:r>
        <w:t xml:space="preserve"> </w:t>
      </w:r>
      <w:r w:rsidR="001B288C">
        <w:t xml:space="preserve">por </w:t>
      </w:r>
      <w:r>
        <w:t xml:space="preserve">parte de </w:t>
      </w:r>
      <w:r w:rsidR="001B288C">
        <w:t>alguien</w:t>
      </w:r>
      <w:r>
        <w:t xml:space="preserve"> que bus</w:t>
      </w:r>
      <w:r w:rsidR="001B288C">
        <w:t>que</w:t>
      </w:r>
      <w:r>
        <w:t xml:space="preserve"> ganancias, honor y renombre, </w:t>
      </w:r>
      <w:r w:rsidR="0009419F">
        <w:t>por</w:t>
      </w:r>
      <w:r>
        <w:t xml:space="preserve"> </w:t>
      </w:r>
      <w:r w:rsidR="001B288C">
        <w:t>al</w:t>
      </w:r>
      <w:r w:rsidR="0009419F">
        <w:t xml:space="preserve">guien </w:t>
      </w:r>
      <w:r>
        <w:t>de malos deseos, pres</w:t>
      </w:r>
      <w:r w:rsidR="00734B3E">
        <w:t>o</w:t>
      </w:r>
      <w:r>
        <w:t xml:space="preserve"> </w:t>
      </w:r>
      <w:r w:rsidR="00734B3E">
        <w:t xml:space="preserve">de </w:t>
      </w:r>
      <w:r>
        <w:t xml:space="preserve">deseos, </w:t>
      </w:r>
      <w:r w:rsidR="00734B3E">
        <w:t xml:space="preserve">a </w:t>
      </w:r>
      <w:r>
        <w:t xml:space="preserve">esto se </w:t>
      </w:r>
      <w:r w:rsidR="00086959">
        <w:t xml:space="preserve">le </w:t>
      </w:r>
      <w:r>
        <w:t xml:space="preserve">llama </w:t>
      </w:r>
      <w:r w:rsidRPr="00086959">
        <w:rPr>
          <w:i/>
          <w:iCs/>
        </w:rPr>
        <w:t>menospreci</w:t>
      </w:r>
      <w:r w:rsidR="00734B3E" w:rsidRPr="00086959">
        <w:rPr>
          <w:i/>
          <w:iCs/>
        </w:rPr>
        <w:t>ar</w:t>
      </w:r>
      <w:r>
        <w:t>.</w:t>
      </w:r>
    </w:p>
    <w:p w14:paraId="46D93E84" w14:textId="52CA00BC" w:rsidR="004830D4" w:rsidRDefault="004830D4" w:rsidP="004830D4">
      <w:r>
        <w:t xml:space="preserve">65. </w:t>
      </w:r>
      <w:r>
        <w:tab/>
        <w:t xml:space="preserve">“Aquí, ¿qué es perseguir </w:t>
      </w:r>
      <w:r w:rsidR="00E65DB6">
        <w:t xml:space="preserve">la </w:t>
      </w:r>
      <w:r>
        <w:t xml:space="preserve">ganancia con ganancia? Buscar, </w:t>
      </w:r>
      <w:r w:rsidR="00C67DCC">
        <w:t>procurar</w:t>
      </w:r>
      <w:r w:rsidR="00734B3E">
        <w:t xml:space="preserve"> algo</w:t>
      </w:r>
      <w:r>
        <w:t xml:space="preserve">, </w:t>
      </w:r>
      <w:r w:rsidR="00932921">
        <w:t>ir en búsqueda de</w:t>
      </w:r>
      <w:r>
        <w:t xml:space="preserve">, ir </w:t>
      </w:r>
      <w:r w:rsidR="00381C89">
        <w:t>rebuscando</w:t>
      </w:r>
      <w:r>
        <w:t xml:space="preserve">, </w:t>
      </w:r>
      <w:r w:rsidR="00381C89">
        <w:t>re</w:t>
      </w:r>
      <w:r>
        <w:t xml:space="preserve">buscar, </w:t>
      </w:r>
      <w:r w:rsidR="00381C89">
        <w:t xml:space="preserve">anhelar </w:t>
      </w:r>
      <w:r>
        <w:t xml:space="preserve">bienes materiales por medio de bienes materiales, como llevar bienes </w:t>
      </w:r>
      <w:r w:rsidR="00812D6E">
        <w:t xml:space="preserve">allá </w:t>
      </w:r>
      <w:r>
        <w:t>que se ha</w:t>
      </w:r>
      <w:r w:rsidR="00381C89">
        <w:t>ya</w:t>
      </w:r>
      <w:r>
        <w:t xml:space="preserve">n obtenido aquí, o </w:t>
      </w:r>
      <w:r w:rsidR="00C67DCC">
        <w:t>traer</w:t>
      </w:r>
      <w:r>
        <w:t xml:space="preserve"> aquí bienes que se ha</w:t>
      </w:r>
      <w:r w:rsidR="00381C89">
        <w:t>ya</w:t>
      </w:r>
      <w:r>
        <w:t>n obtenido allá</w:t>
      </w:r>
      <w:r w:rsidR="00812D6E">
        <w:t>;</w:t>
      </w:r>
      <w:r>
        <w:t xml:space="preserve"> por </w:t>
      </w:r>
      <w:r w:rsidR="00812D6E">
        <w:t xml:space="preserve">parte de </w:t>
      </w:r>
      <w:r w:rsidR="00C67DCC">
        <w:t xml:space="preserve">alguien </w:t>
      </w:r>
      <w:r>
        <w:t xml:space="preserve">empeñado en </w:t>
      </w:r>
      <w:r w:rsidR="00E65DB6">
        <w:t xml:space="preserve">la </w:t>
      </w:r>
      <w:r>
        <w:t xml:space="preserve">ganancia, el honor y el renombre, </w:t>
      </w:r>
      <w:r w:rsidR="00537AD9">
        <w:t>de</w:t>
      </w:r>
      <w:r>
        <w:t xml:space="preserve"> </w:t>
      </w:r>
      <w:r w:rsidR="00E65DB6">
        <w:t>alguien</w:t>
      </w:r>
      <w:r>
        <w:t xml:space="preserve"> de malos deseos, pres</w:t>
      </w:r>
      <w:r w:rsidR="00E65DB6">
        <w:t>o</w:t>
      </w:r>
      <w:r>
        <w:t xml:space="preserve"> de </w:t>
      </w:r>
      <w:r w:rsidR="00537AD9">
        <w:t xml:space="preserve">los </w:t>
      </w:r>
      <w:r>
        <w:t xml:space="preserve">deseos: </w:t>
      </w:r>
      <w:r w:rsidR="00E65DB6">
        <w:t xml:space="preserve">a </w:t>
      </w:r>
      <w:r>
        <w:t xml:space="preserve">esto se </w:t>
      </w:r>
      <w:r w:rsidR="00C67DCC">
        <w:t xml:space="preserve">le </w:t>
      </w:r>
      <w:r>
        <w:t xml:space="preserve">llama perseguir </w:t>
      </w:r>
      <w:r w:rsidR="00E65DB6">
        <w:t xml:space="preserve">la </w:t>
      </w:r>
      <w:r w:rsidRPr="00537AD9">
        <w:rPr>
          <w:i/>
          <w:iCs/>
        </w:rPr>
        <w:t>ganancia con ganancia</w:t>
      </w:r>
      <w:r>
        <w:t>”.</w:t>
      </w:r>
      <w:r w:rsidRPr="00A87ED6">
        <w:rPr>
          <w:vertAlign w:val="superscript"/>
        </w:rPr>
        <w:t>19</w:t>
      </w:r>
      <w:r>
        <w:t xml:space="preserve"> (</w:t>
      </w:r>
      <w:proofErr w:type="spellStart"/>
      <w:r>
        <w:t>Vib</w:t>
      </w:r>
      <w:proofErr w:type="spellEnd"/>
      <w:r>
        <w:t xml:space="preserve"> 352–53)</w:t>
      </w:r>
    </w:p>
    <w:p w14:paraId="17401A4F" w14:textId="7B07D78A" w:rsidR="004830D4" w:rsidRDefault="004830D4" w:rsidP="004830D4">
      <w:r>
        <w:t xml:space="preserve">66. </w:t>
      </w:r>
      <w:r>
        <w:tab/>
        <w:t xml:space="preserve">El sentido de este texto debe entenderse así: En primer lugar, en cuanto a la descripción de la </w:t>
      </w:r>
      <w:r w:rsidRPr="00393947">
        <w:rPr>
          <w:i/>
          <w:iCs/>
        </w:rPr>
        <w:t>maquinación</w:t>
      </w:r>
      <w:r>
        <w:t xml:space="preserve">: </w:t>
      </w:r>
      <w:r w:rsidRPr="00393947">
        <w:rPr>
          <w:i/>
          <w:iCs/>
        </w:rPr>
        <w:t>de parte de</w:t>
      </w:r>
      <w:r w:rsidR="00DD1EEE">
        <w:rPr>
          <w:i/>
          <w:iCs/>
        </w:rPr>
        <w:t xml:space="preserve"> aquel</w:t>
      </w:r>
      <w:r w:rsidRPr="00393947">
        <w:rPr>
          <w:i/>
          <w:iCs/>
        </w:rPr>
        <w:t xml:space="preserve"> empeñado en la ganancia, el honor y el renombre</w:t>
      </w:r>
      <w:r>
        <w:t xml:space="preserve"> es de parte del que est</w:t>
      </w:r>
      <w:r w:rsidR="00DD1EEE">
        <w:t>é</w:t>
      </w:r>
      <w:r>
        <w:t xml:space="preserve"> empeñado en la ganancia, en el honor y en la reputación; por parte de </w:t>
      </w:r>
      <w:r w:rsidR="007A16CD">
        <w:t xml:space="preserve">alguien </w:t>
      </w:r>
      <w:r w:rsidR="00DD1EEE">
        <w:t xml:space="preserve">que </w:t>
      </w:r>
      <w:r>
        <w:t>los anhel</w:t>
      </w:r>
      <w:r w:rsidR="00DD1EEE">
        <w:t>e</w:t>
      </w:r>
      <w:r>
        <w:t xml:space="preserve">, es el significado. [24] </w:t>
      </w:r>
      <w:r w:rsidRPr="007A16CD">
        <w:rPr>
          <w:i/>
          <w:iCs/>
        </w:rPr>
        <w:t xml:space="preserve">De </w:t>
      </w:r>
      <w:r w:rsidR="00DD1EEE" w:rsidRPr="007A16CD">
        <w:rPr>
          <w:i/>
          <w:iCs/>
        </w:rPr>
        <w:t xml:space="preserve">alguien </w:t>
      </w:r>
      <w:r w:rsidRPr="007A16CD">
        <w:rPr>
          <w:i/>
          <w:iCs/>
        </w:rPr>
        <w:t>de malos deseos</w:t>
      </w:r>
      <w:r>
        <w:t xml:space="preserve">: </w:t>
      </w:r>
      <w:r w:rsidR="00703119">
        <w:t>por parte de</w:t>
      </w:r>
      <w:r>
        <w:t xml:space="preserve"> </w:t>
      </w:r>
      <w:r w:rsidR="00DD1EEE">
        <w:t xml:space="preserve">alguien </w:t>
      </w:r>
      <w:r>
        <w:t>que quier</w:t>
      </w:r>
      <w:r w:rsidR="00703119">
        <w:t>a</w:t>
      </w:r>
      <w:r>
        <w:t xml:space="preserve"> mostrar cualidades que no ten</w:t>
      </w:r>
      <w:r w:rsidR="001D3F64">
        <w:t>ga</w:t>
      </w:r>
      <w:r>
        <w:t xml:space="preserve">. </w:t>
      </w:r>
      <w:r w:rsidRPr="00913028">
        <w:rPr>
          <w:i/>
          <w:iCs/>
        </w:rPr>
        <w:t>Pres</w:t>
      </w:r>
      <w:r w:rsidR="00DD1EEE">
        <w:rPr>
          <w:i/>
          <w:iCs/>
        </w:rPr>
        <w:t>o</w:t>
      </w:r>
      <w:r w:rsidRPr="00913028">
        <w:rPr>
          <w:i/>
          <w:iCs/>
        </w:rPr>
        <w:t xml:space="preserve"> de </w:t>
      </w:r>
      <w:r w:rsidR="00964E7A">
        <w:rPr>
          <w:i/>
          <w:iCs/>
        </w:rPr>
        <w:t xml:space="preserve">los </w:t>
      </w:r>
      <w:r w:rsidRPr="00913028">
        <w:rPr>
          <w:i/>
          <w:iCs/>
        </w:rPr>
        <w:t>deseos</w:t>
      </w:r>
      <w:r>
        <w:t>:</w:t>
      </w:r>
      <w:r w:rsidRPr="00913028">
        <w:rPr>
          <w:vertAlign w:val="superscript"/>
        </w:rPr>
        <w:t>20</w:t>
      </w:r>
      <w:r>
        <w:t xml:space="preserve"> el significado es, de </w:t>
      </w:r>
      <w:r w:rsidR="00C809EA">
        <w:t>aquel que</w:t>
      </w:r>
      <w:r>
        <w:t xml:space="preserve"> es atacado por ellos. Y después de esto, se da el pasaje que comienza </w:t>
      </w:r>
      <w:r w:rsidRPr="005D678D">
        <w:rPr>
          <w:i/>
          <w:iCs/>
        </w:rPr>
        <w:t xml:space="preserve">o </w:t>
      </w:r>
      <w:r w:rsidR="00866C5C">
        <w:rPr>
          <w:i/>
          <w:iCs/>
        </w:rPr>
        <w:t>mediante</w:t>
      </w:r>
      <w:r w:rsidRPr="005D678D">
        <w:rPr>
          <w:i/>
          <w:iCs/>
        </w:rPr>
        <w:t xml:space="preserve"> lo </w:t>
      </w:r>
      <w:r w:rsidR="00866C5C">
        <w:rPr>
          <w:i/>
          <w:iCs/>
        </w:rPr>
        <w:t>cual es llamado</w:t>
      </w:r>
      <w:r w:rsidRPr="005D678D">
        <w:rPr>
          <w:i/>
          <w:iCs/>
        </w:rPr>
        <w:t xml:space="preserve"> el rechazo de los requisitos</w:t>
      </w:r>
      <w:r>
        <w:t xml:space="preserve"> para </w:t>
      </w:r>
      <w:r w:rsidR="00225AD9">
        <w:t>que quede expuesto</w:t>
      </w:r>
      <w:r>
        <w:t xml:space="preserve"> los tres casos de intrigas que se dan en el </w:t>
      </w:r>
      <w:proofErr w:type="spellStart"/>
      <w:r w:rsidRPr="005D678D">
        <w:rPr>
          <w:i/>
          <w:iCs/>
        </w:rPr>
        <w:t>Mahāniddesa</w:t>
      </w:r>
      <w:proofErr w:type="spellEnd"/>
      <w:r>
        <w:t xml:space="preserve"> como rechazo de requisitos, conversación indirecta y </w:t>
      </w:r>
      <w:r w:rsidR="00225AD9">
        <w:t xml:space="preserve">aquella </w:t>
      </w:r>
      <w:r>
        <w:t>basada en el comportamiento.</w:t>
      </w:r>
    </w:p>
    <w:p w14:paraId="113DFFB3" w14:textId="21A87DAA" w:rsidR="004830D4" w:rsidRDefault="004830D4" w:rsidP="004830D4">
      <w:r>
        <w:t xml:space="preserve">67. </w:t>
      </w:r>
      <w:r>
        <w:tab/>
        <w:t xml:space="preserve">Aquí, [un </w:t>
      </w:r>
      <w:proofErr w:type="spellStart"/>
      <w:r w:rsidR="00057BF4" w:rsidRPr="00057BF4">
        <w:rPr>
          <w:i/>
          <w:iCs/>
        </w:rPr>
        <w:t>bhikkhu</w:t>
      </w:r>
      <w:proofErr w:type="spellEnd"/>
      <w:r>
        <w:t xml:space="preserve">] es invitado a aceptar </w:t>
      </w:r>
      <w:r w:rsidR="00C81761">
        <w:t>ropajes</w:t>
      </w:r>
      <w:r>
        <w:t>, etc., y, precisamente porque l</w:t>
      </w:r>
      <w:r w:rsidR="00CE5EAE">
        <w:t>o</w:t>
      </w:r>
      <w:r>
        <w:t>s quiere, l</w:t>
      </w:r>
      <w:r w:rsidR="00CE5EAE">
        <w:t>o</w:t>
      </w:r>
      <w:r>
        <w:t xml:space="preserve">s rechaza </w:t>
      </w:r>
      <w:r w:rsidR="001D3F64">
        <w:t>debido a</w:t>
      </w:r>
      <w:r>
        <w:t xml:space="preserve"> </w:t>
      </w:r>
      <w:r w:rsidR="002E016F">
        <w:t>su</w:t>
      </w:r>
      <w:r w:rsidR="004E4307">
        <w:t xml:space="preserve">s </w:t>
      </w:r>
      <w:r>
        <w:t xml:space="preserve">malos deseos. Y luego, como sabe que aquellos </w:t>
      </w:r>
      <w:r w:rsidR="004E4307">
        <w:t xml:space="preserve">laicos </w:t>
      </w:r>
      <w:r>
        <w:t>cree</w:t>
      </w:r>
      <w:r w:rsidR="001D3F64">
        <w:t>rá</w:t>
      </w:r>
      <w:r>
        <w:t xml:space="preserve">n en él implícitamente </w:t>
      </w:r>
      <w:r w:rsidR="006E4BB8">
        <w:t>asumiendo</w:t>
      </w:r>
      <w:r>
        <w:t xml:space="preserve">: “Oh, </w:t>
      </w:r>
      <w:r w:rsidR="004E4307">
        <w:t>¡</w:t>
      </w:r>
      <w:r>
        <w:t xml:space="preserve">qué pocos son los deseos de nuestro señor! ¡Él no acepta nada!” </w:t>
      </w:r>
      <w:r w:rsidR="002E016F">
        <w:t>ellos</w:t>
      </w:r>
      <w:r>
        <w:t xml:space="preserve"> le </w:t>
      </w:r>
      <w:r w:rsidR="00492839">
        <w:t>pro</w:t>
      </w:r>
      <w:r w:rsidR="002E016F">
        <w:t xml:space="preserve">pondrán </w:t>
      </w:r>
      <w:r>
        <w:t>ropa</w:t>
      </w:r>
      <w:r w:rsidR="004E4307">
        <w:t>je</w:t>
      </w:r>
      <w:r>
        <w:t>s fin</w:t>
      </w:r>
      <w:r w:rsidR="004E4307">
        <w:t>o</w:t>
      </w:r>
      <w:r>
        <w:t xml:space="preserve">s, etc., </w:t>
      </w:r>
      <w:r w:rsidR="00BB7569">
        <w:t xml:space="preserve">frente a </w:t>
      </w:r>
      <w:r>
        <w:t xml:space="preserve">él </w:t>
      </w:r>
      <w:r w:rsidR="00492839">
        <w:t xml:space="preserve">a través de </w:t>
      </w:r>
      <w:r>
        <w:t xml:space="preserve">diversos medios, entonces él </w:t>
      </w:r>
      <w:r w:rsidR="00BB7569">
        <w:t xml:space="preserve">los </w:t>
      </w:r>
      <w:r>
        <w:t>acepta</w:t>
      </w:r>
      <w:r w:rsidR="00BB7569">
        <w:t>rá</w:t>
      </w:r>
      <w:r>
        <w:t xml:space="preserve">, haciendo una demostración de que quiere ser compasivo con ellos; </w:t>
      </w:r>
      <w:r w:rsidR="00F60CB0">
        <w:t xml:space="preserve">es esta hipocresía </w:t>
      </w:r>
      <w:r w:rsidR="004E4307">
        <w:t>l</w:t>
      </w:r>
      <w:r w:rsidR="00F60CB0">
        <w:t>a</w:t>
      </w:r>
      <w:r w:rsidR="004E4307">
        <w:t xml:space="preserve"> cual</w:t>
      </w:r>
      <w:r>
        <w:t xml:space="preserve"> debe entenderse como </w:t>
      </w:r>
      <w:r w:rsidR="0046621B">
        <w:t>un</w:t>
      </w:r>
      <w:r>
        <w:t xml:space="preserve">a instancia </w:t>
      </w:r>
      <w:r w:rsidR="0046621B">
        <w:t xml:space="preserve">para la </w:t>
      </w:r>
      <w:r>
        <w:t xml:space="preserve">intriga denominada rechazo de </w:t>
      </w:r>
      <w:r w:rsidR="004770F3">
        <w:t xml:space="preserve">los </w:t>
      </w:r>
      <w:r>
        <w:t>requisitos.</w:t>
      </w:r>
    </w:p>
    <w:p w14:paraId="128735F2" w14:textId="3FBE8823" w:rsidR="004830D4" w:rsidRDefault="004830D4" w:rsidP="004830D4">
      <w:r>
        <w:t xml:space="preserve">68. </w:t>
      </w:r>
      <w:r>
        <w:tab/>
        <w:t xml:space="preserve">Porque esto se dice en el </w:t>
      </w:r>
      <w:proofErr w:type="spellStart"/>
      <w:r w:rsidRPr="005D678D">
        <w:rPr>
          <w:i/>
          <w:iCs/>
        </w:rPr>
        <w:t>Mahāniddesa</w:t>
      </w:r>
      <w:proofErr w:type="spellEnd"/>
      <w:r>
        <w:t xml:space="preserve">: “¿Cuál es el caso de </w:t>
      </w:r>
      <w:r w:rsidR="004E4307">
        <w:t xml:space="preserve">la </w:t>
      </w:r>
      <w:r>
        <w:t>intriga llamad</w:t>
      </w:r>
      <w:r w:rsidR="004E4307">
        <w:t>a</w:t>
      </w:r>
      <w:r>
        <w:t xml:space="preserve"> rechazo de los requisitos? Aquí los </w:t>
      </w:r>
      <w:r w:rsidR="0051562D">
        <w:t xml:space="preserve">laicos </w:t>
      </w:r>
      <w:r>
        <w:t xml:space="preserve">invitan a los </w:t>
      </w:r>
      <w:proofErr w:type="spellStart"/>
      <w:r w:rsidR="00057BF4" w:rsidRPr="00057BF4">
        <w:rPr>
          <w:i/>
          <w:iCs/>
        </w:rPr>
        <w:t>bhikkhu</w:t>
      </w:r>
      <w:r w:rsidRPr="005D678D">
        <w:rPr>
          <w:i/>
          <w:iCs/>
        </w:rPr>
        <w:t>s</w:t>
      </w:r>
      <w:proofErr w:type="spellEnd"/>
      <w:r>
        <w:t xml:space="preserve"> [a aceptar] </w:t>
      </w:r>
      <w:r w:rsidR="0051562D">
        <w:t>ropajes</w:t>
      </w:r>
      <w:r>
        <w:t xml:space="preserve">, </w:t>
      </w:r>
      <w:r w:rsidR="0051562D">
        <w:t>ofrendas</w:t>
      </w:r>
      <w:r>
        <w:t>, comida, lugar de descanso y el requisito de la medicina como cura para los enfermos. El que s</w:t>
      </w:r>
      <w:r w:rsidR="004770F3">
        <w:t>ea</w:t>
      </w:r>
      <w:r>
        <w:t xml:space="preserve"> de malos deseos, pres</w:t>
      </w:r>
      <w:r w:rsidR="0051562D">
        <w:t>o</w:t>
      </w:r>
      <w:r>
        <w:t xml:space="preserve"> de </w:t>
      </w:r>
      <w:r w:rsidR="004770F3">
        <w:t xml:space="preserve">los </w:t>
      </w:r>
      <w:r>
        <w:t xml:space="preserve">deseos, necesitando </w:t>
      </w:r>
      <w:r w:rsidR="0051562D">
        <w:t>ropajes</w:t>
      </w:r>
      <w:r>
        <w:t xml:space="preserve">... </w:t>
      </w:r>
      <w:r w:rsidR="0051562D">
        <w:t xml:space="preserve">ofrendas </w:t>
      </w:r>
      <w:r>
        <w:t xml:space="preserve">de </w:t>
      </w:r>
      <w:r w:rsidR="0051562D">
        <w:t>alimentos</w:t>
      </w:r>
      <w:r>
        <w:t>... lugar de descanso... el requisito de la medicina como cura para los enfermos, rechaza l</w:t>
      </w:r>
      <w:r w:rsidR="0051562D">
        <w:t>o</w:t>
      </w:r>
      <w:r>
        <w:t xml:space="preserve">s </w:t>
      </w:r>
      <w:r w:rsidR="0051562D">
        <w:t>ropajes</w:t>
      </w:r>
      <w:r>
        <w:t xml:space="preserve">... </w:t>
      </w:r>
      <w:r w:rsidR="004F0308">
        <w:t xml:space="preserve">rechaza las </w:t>
      </w:r>
      <w:r w:rsidR="0051562D">
        <w:t>ofrendas de alimentos</w:t>
      </w:r>
      <w:r>
        <w:t xml:space="preserve">... </w:t>
      </w:r>
      <w:r w:rsidR="004F0308">
        <w:t xml:space="preserve">el </w:t>
      </w:r>
      <w:r>
        <w:t>lugar de descanso... el requisito de la medicina como cura para los enfermos, porque quiere más. Él di</w:t>
      </w:r>
      <w:r w:rsidR="004F0308">
        <w:t>rá en voz alta</w:t>
      </w:r>
      <w:r>
        <w:t xml:space="preserve">: ‘¿Qué tiene que ver un asceta con </w:t>
      </w:r>
      <w:r w:rsidR="0051562D">
        <w:t xml:space="preserve">ropajes </w:t>
      </w:r>
      <w:r>
        <w:t>car</w:t>
      </w:r>
      <w:r w:rsidR="0051562D">
        <w:t>o</w:t>
      </w:r>
      <w:r>
        <w:t xml:space="preserve">s? Es apropiado para un asceta recoger </w:t>
      </w:r>
      <w:r w:rsidR="004F0308">
        <w:t>harapos</w:t>
      </w:r>
      <w:r>
        <w:t xml:space="preserve"> de un osario o de un montón de basura o de una tienda y convertirlos en una capa de retazos para usar. ¿Qué tiene que ver un asceta con </w:t>
      </w:r>
      <w:r w:rsidR="0051562D">
        <w:t xml:space="preserve">ofrendas </w:t>
      </w:r>
      <w:r>
        <w:t>caras</w:t>
      </w:r>
      <w:r w:rsidR="00215F3B">
        <w:t xml:space="preserve"> </w:t>
      </w:r>
    </w:p>
    <w:p w14:paraId="682D3611" w14:textId="77777777" w:rsidR="004830D4" w:rsidRPr="004830D4" w:rsidRDefault="004830D4" w:rsidP="004830D4">
      <w:pPr>
        <w:pStyle w:val="PiedepginaLegal"/>
        <w:rPr>
          <w:u w:val="single"/>
        </w:rPr>
      </w:pPr>
      <w:r w:rsidRPr="004830D4">
        <w:rPr>
          <w:u w:val="single"/>
        </w:rPr>
        <w:t xml:space="preserve">                                                                                                                                                            .</w:t>
      </w:r>
    </w:p>
    <w:p w14:paraId="29800A03" w14:textId="39966E5F" w:rsidR="004830D4" w:rsidRPr="005D678D" w:rsidRDefault="004830D4" w:rsidP="004830D4">
      <w:pPr>
        <w:pStyle w:val="PiedepginaLegal"/>
        <w:rPr>
          <w:i/>
          <w:iCs/>
        </w:rPr>
      </w:pPr>
      <w:r>
        <w:t xml:space="preserve">19. </w:t>
      </w:r>
      <w:r>
        <w:tab/>
        <w:t xml:space="preserve">Las </w:t>
      </w:r>
      <w:r w:rsidR="00B63645">
        <w:t>traducciones de</w:t>
      </w:r>
      <w:r>
        <w:t xml:space="preserve"> "conspiración" y demás en este contexto no concuerdan en todos los casos con </w:t>
      </w:r>
      <w:r w:rsidR="00B63645">
        <w:t xml:space="preserve">el </w:t>
      </w:r>
      <w:r>
        <w:t xml:space="preserve">PED. Han sido elegidos después de una cuidadosa consideración. La traducción “rechazo de requisitos” </w:t>
      </w:r>
      <w:r w:rsidR="00B31C71">
        <w:t xml:space="preserve">adopta </w:t>
      </w:r>
      <w:r>
        <w:t xml:space="preserve">la lectura preferible </w:t>
      </w:r>
      <w:r w:rsidR="00B31C71">
        <w:t xml:space="preserve">de </w:t>
      </w:r>
      <w:proofErr w:type="spellStart"/>
      <w:r w:rsidRPr="005D678D">
        <w:rPr>
          <w:i/>
          <w:iCs/>
        </w:rPr>
        <w:t>paṭisedhana</w:t>
      </w:r>
      <w:proofErr w:type="spellEnd"/>
      <w:r>
        <w:t xml:space="preserve"> aunque la lectura más común aquí </w:t>
      </w:r>
      <w:r w:rsidR="00B31C71">
        <w:t xml:space="preserve">sea </w:t>
      </w:r>
      <w:proofErr w:type="spellStart"/>
      <w:r w:rsidRPr="005D678D">
        <w:rPr>
          <w:i/>
          <w:iCs/>
        </w:rPr>
        <w:t>paṭisevana</w:t>
      </w:r>
      <w:proofErr w:type="spellEnd"/>
      <w:r>
        <w:t xml:space="preserve"> (cultivo).</w:t>
      </w:r>
    </w:p>
    <w:p w14:paraId="475ADC5D" w14:textId="560BBD62" w:rsidR="004C769E" w:rsidRDefault="004830D4" w:rsidP="004830D4">
      <w:pPr>
        <w:pStyle w:val="PiedepginaLegal"/>
      </w:pPr>
      <w:r>
        <w:t xml:space="preserve">20. </w:t>
      </w:r>
      <w:r>
        <w:tab/>
        <w:t xml:space="preserve">El </w:t>
      </w:r>
      <w:r w:rsidRPr="00DD1EEE">
        <w:rPr>
          <w:i/>
          <w:iCs/>
        </w:rPr>
        <w:t>Pāḷi</w:t>
      </w:r>
      <w:r>
        <w:t xml:space="preserve"> es: “</w:t>
      </w:r>
      <w:proofErr w:type="spellStart"/>
      <w:r w:rsidRPr="005D678D">
        <w:rPr>
          <w:i/>
          <w:iCs/>
        </w:rPr>
        <w:t>Icchāpakatassā</w:t>
      </w:r>
      <w:proofErr w:type="spellEnd"/>
      <w:r w:rsidRPr="005D678D">
        <w:rPr>
          <w:i/>
          <w:iCs/>
        </w:rPr>
        <w:t xml:space="preserve"> ti </w:t>
      </w:r>
      <w:proofErr w:type="spellStart"/>
      <w:r w:rsidRPr="005D678D">
        <w:rPr>
          <w:i/>
          <w:iCs/>
        </w:rPr>
        <w:t>icchāya</w:t>
      </w:r>
      <w:proofErr w:type="spellEnd"/>
      <w:r w:rsidRPr="005D678D">
        <w:rPr>
          <w:i/>
          <w:iCs/>
        </w:rPr>
        <w:t xml:space="preserve"> </w:t>
      </w:r>
      <w:proofErr w:type="spellStart"/>
      <w:r w:rsidRPr="005D678D">
        <w:rPr>
          <w:i/>
          <w:iCs/>
        </w:rPr>
        <w:t>apakatassa</w:t>
      </w:r>
      <w:proofErr w:type="spellEnd"/>
      <w:r w:rsidRPr="005D678D">
        <w:rPr>
          <w:i/>
          <w:iCs/>
        </w:rPr>
        <w:t xml:space="preserve">; </w:t>
      </w:r>
      <w:proofErr w:type="spellStart"/>
      <w:r w:rsidRPr="005D678D">
        <w:rPr>
          <w:i/>
          <w:iCs/>
        </w:rPr>
        <w:t>upaddutassā</w:t>
      </w:r>
      <w:proofErr w:type="spellEnd"/>
      <w:r w:rsidRPr="005D678D">
        <w:rPr>
          <w:i/>
          <w:iCs/>
        </w:rPr>
        <w:t xml:space="preserve"> ti </w:t>
      </w:r>
      <w:proofErr w:type="spellStart"/>
      <w:r w:rsidRPr="005D678D">
        <w:rPr>
          <w:i/>
          <w:iCs/>
        </w:rPr>
        <w:t>attho</w:t>
      </w:r>
      <w:proofErr w:type="spellEnd"/>
      <w:r w:rsidRPr="005D678D">
        <w:rPr>
          <w:i/>
          <w:iCs/>
        </w:rPr>
        <w:t xml:space="preserve">”. </w:t>
      </w:r>
      <w:proofErr w:type="spellStart"/>
      <w:r w:rsidRPr="005D678D">
        <w:rPr>
          <w:i/>
          <w:iCs/>
        </w:rPr>
        <w:t>Icchāya</w:t>
      </w:r>
      <w:proofErr w:type="spellEnd"/>
      <w:r w:rsidRPr="005D678D">
        <w:rPr>
          <w:i/>
          <w:iCs/>
        </w:rPr>
        <w:t xml:space="preserve"> </w:t>
      </w:r>
      <w:proofErr w:type="spellStart"/>
      <w:r w:rsidRPr="005D678D">
        <w:rPr>
          <w:i/>
          <w:iCs/>
        </w:rPr>
        <w:t>apakatassa</w:t>
      </w:r>
      <w:proofErr w:type="spellEnd"/>
      <w:r>
        <w:t xml:space="preserve"> simplemente resuelve el compuesto </w:t>
      </w:r>
      <w:proofErr w:type="spellStart"/>
      <w:r w:rsidRPr="005D678D">
        <w:rPr>
          <w:i/>
          <w:iCs/>
        </w:rPr>
        <w:t>icchāpakatassa</w:t>
      </w:r>
      <w:proofErr w:type="spellEnd"/>
      <w:r>
        <w:t xml:space="preserve"> y, por lo tanto, no se puede traducir al inglés. Tales resoluciones, por lo tanto, a veces se omiten en esta traducción.</w:t>
      </w:r>
      <w:r w:rsidR="004C769E">
        <w:br w:type="page"/>
      </w:r>
    </w:p>
    <w:p w14:paraId="143D31E7" w14:textId="56A344A3" w:rsidR="00215F3B" w:rsidRDefault="004F0308" w:rsidP="00215F3B">
      <w:r>
        <w:lastRenderedPageBreak/>
        <w:t xml:space="preserve">de </w:t>
      </w:r>
      <w:r w:rsidR="00215F3B">
        <w:t>alimento</w:t>
      </w:r>
      <w:r>
        <w:t>s</w:t>
      </w:r>
      <w:r w:rsidR="00215F3B">
        <w:t xml:space="preserve">? Es apropiado que un asceta se gane la vida dejando caer </w:t>
      </w:r>
      <w:r>
        <w:t xml:space="preserve">los trozos </w:t>
      </w:r>
      <w:r w:rsidR="00215F3B">
        <w:t xml:space="preserve">[de comida en su cuenco] mientras </w:t>
      </w:r>
      <w:r>
        <w:t xml:space="preserve">deambula </w:t>
      </w:r>
      <w:r w:rsidR="00215F3B">
        <w:t xml:space="preserve">en busca de </w:t>
      </w:r>
      <w:r w:rsidR="008C7040">
        <w:t>ofrenda</w:t>
      </w:r>
      <w:r w:rsidR="00215F3B">
        <w:t xml:space="preserve">. ¿Qué </w:t>
      </w:r>
      <w:r w:rsidR="00626B0B">
        <w:t>tendría</w:t>
      </w:r>
      <w:r w:rsidR="00215F3B">
        <w:t xml:space="preserve"> que ver un asceta con un lugar de descanso </w:t>
      </w:r>
      <w:r w:rsidR="00626B0B">
        <w:t>ostentoso</w:t>
      </w:r>
      <w:r w:rsidR="00215F3B">
        <w:t xml:space="preserve">? Es apropiado que un asceta sea un habitante de las raíces de los árboles o un habitante </w:t>
      </w:r>
      <w:r w:rsidR="00DD0F58">
        <w:t>a</w:t>
      </w:r>
      <w:r w:rsidR="00215F3B">
        <w:t>l aire libre. ¿Qué tiene que ver un asceta con un costoso requisito de medicina como cura para los enfermos? Es apropiado que un asceta se cure con orina pútrida</w:t>
      </w:r>
      <w:r w:rsidR="00215F3B" w:rsidRPr="00F97AE6">
        <w:rPr>
          <w:vertAlign w:val="superscript"/>
        </w:rPr>
        <w:t>21</w:t>
      </w:r>
      <w:r w:rsidR="00215F3B">
        <w:t xml:space="preserve"> y agallas rotas”. En consecuencia, viste </w:t>
      </w:r>
      <w:r w:rsidR="00DD0F58">
        <w:t xml:space="preserve">ropajes </w:t>
      </w:r>
      <w:r w:rsidR="004100EE">
        <w:t>rústicos</w:t>
      </w:r>
      <w:r w:rsidR="00215F3B">
        <w:t xml:space="preserve">, come </w:t>
      </w:r>
      <w:r w:rsidR="00DD0F58">
        <w:t xml:space="preserve">ofrendas de alimentos </w:t>
      </w:r>
      <w:r w:rsidR="004100EE">
        <w:t>rústicos</w:t>
      </w:r>
      <w:r w:rsidR="00215F3B">
        <w:t xml:space="preserve">, [25] usa un lugar de descanso </w:t>
      </w:r>
      <w:r w:rsidR="004100EE">
        <w:t>rústicos</w:t>
      </w:r>
      <w:r w:rsidR="00215F3B">
        <w:t xml:space="preserve">, usa un </w:t>
      </w:r>
      <w:proofErr w:type="gramStart"/>
      <w:r w:rsidR="00215F3B">
        <w:t xml:space="preserve">requisito </w:t>
      </w:r>
      <w:r w:rsidR="004100EE">
        <w:t>rústicos</w:t>
      </w:r>
      <w:proofErr w:type="gramEnd"/>
      <w:r w:rsidR="004100EE">
        <w:t xml:space="preserve"> </w:t>
      </w:r>
      <w:r w:rsidR="00215F3B">
        <w:t>de medicina</w:t>
      </w:r>
      <w:r w:rsidR="00DD0F58">
        <w:t>s</w:t>
      </w:r>
      <w:r w:rsidR="00215F3B">
        <w:t xml:space="preserve"> como cura para los enfermos. Entonces los </w:t>
      </w:r>
      <w:r w:rsidR="00DD0F58">
        <w:t>laicos</w:t>
      </w:r>
      <w:r w:rsidR="00215F3B">
        <w:t xml:space="preserve"> </w:t>
      </w:r>
      <w:r w:rsidR="00357692">
        <w:t xml:space="preserve">frente a lo dicho </w:t>
      </w:r>
      <w:r w:rsidR="00215F3B">
        <w:t xml:space="preserve">piensan: 'Este asceta tiene pocos deseos, está contento, está aislado, se mantiene alejado de la compañía, es vigoroso, es un predicador del ascetismo', y lo invitan cada vez más [a aceptar] </w:t>
      </w:r>
      <w:r w:rsidR="00DD0F58">
        <w:t>ropajes</w:t>
      </w:r>
      <w:r w:rsidR="00215F3B">
        <w:t xml:space="preserve">, </w:t>
      </w:r>
      <w:r w:rsidR="00DD0F58">
        <w:t>ofrendas de alimentos</w:t>
      </w:r>
      <w:r w:rsidR="00215F3B">
        <w:t xml:space="preserve">, lugares de descanso, y el requisito de la medicina como cura para los enfermos. </w:t>
      </w:r>
      <w:r w:rsidR="00357692">
        <w:t>Entonces el</w:t>
      </w:r>
      <w:r w:rsidR="00215F3B">
        <w:t xml:space="preserve"> di</w:t>
      </w:r>
      <w:r w:rsidR="00357692">
        <w:t>rá</w:t>
      </w:r>
      <w:r w:rsidR="00215F3B">
        <w:t>: 'Con tres cosas presentes, un miembro fiel del clan produ</w:t>
      </w:r>
      <w:r w:rsidR="000168FC">
        <w:t>cirá</w:t>
      </w:r>
      <w:r w:rsidR="00215F3B">
        <w:t xml:space="preserve"> </w:t>
      </w:r>
      <w:r w:rsidR="000168FC">
        <w:t>cuantioso</w:t>
      </w:r>
      <w:r w:rsidR="00215F3B">
        <w:t xml:space="preserve"> mérito: con la fe presente, un miembro fiel de clan produc</w:t>
      </w:r>
      <w:r w:rsidR="000168FC">
        <w:t>irá</w:t>
      </w:r>
      <w:r w:rsidR="00215F3B">
        <w:t xml:space="preserve"> mucho mérito, con bienes para ser </w:t>
      </w:r>
      <w:r w:rsidR="009E7269">
        <w:t xml:space="preserve">ofrecidos </w:t>
      </w:r>
      <w:r w:rsidR="00DD0F58">
        <w:t xml:space="preserve">como </w:t>
      </w:r>
      <w:r w:rsidR="00215F3B">
        <w:t>presentes, un miembro fiel de clan produc</w:t>
      </w:r>
      <w:r w:rsidR="009E7269">
        <w:t>irá</w:t>
      </w:r>
      <w:r w:rsidR="00215F3B">
        <w:t xml:space="preserve"> mucho mérito, con aquellos dignos de recibir presentes, un miembro fiel de clan produc</w:t>
      </w:r>
      <w:r w:rsidR="009E7269">
        <w:t>irá</w:t>
      </w:r>
      <w:r w:rsidR="00215F3B">
        <w:t xml:space="preserve"> mucho mérito. Tienes fe; los bienes a dar están aquí; y estoy aquí para aceptar. Si no acepto, serás privado de mérito</w:t>
      </w:r>
      <w:r w:rsidR="00011020">
        <w:t>s</w:t>
      </w:r>
      <w:r w:rsidR="00215F3B">
        <w:t xml:space="preserve">. Eso no es bueno para mí. Más bien lo aceptaré por compasión </w:t>
      </w:r>
      <w:r w:rsidR="00DD0F58">
        <w:t>a</w:t>
      </w:r>
      <w:r w:rsidR="00215F3B">
        <w:t xml:space="preserve"> ti”</w:t>
      </w:r>
      <w:r w:rsidR="00011020">
        <w:t>.</w:t>
      </w:r>
      <w:r w:rsidR="00215F3B">
        <w:t xml:space="preserve"> En consecuencia, acepta much</w:t>
      </w:r>
      <w:r w:rsidR="00DD0F58">
        <w:t>o</w:t>
      </w:r>
      <w:r w:rsidR="00215F3B">
        <w:t xml:space="preserve">s </w:t>
      </w:r>
      <w:r w:rsidR="00DD0F58">
        <w:t>ropajes</w:t>
      </w:r>
      <w:r w:rsidR="00215F3B">
        <w:t xml:space="preserve">, acepta muchas </w:t>
      </w:r>
      <w:r w:rsidR="00DD0F58">
        <w:t>ofrendas</w:t>
      </w:r>
      <w:r w:rsidR="00215F3B">
        <w:t xml:space="preserve">, acepta muchos lugares de descanso, acepta muchos requisitos de medicina como cura para los enfermos. </w:t>
      </w:r>
      <w:proofErr w:type="gramStart"/>
      <w:r w:rsidR="00215F3B">
        <w:t xml:space="preserve">Tales </w:t>
      </w:r>
      <w:r w:rsidR="00C533A2">
        <w:t>gesto</w:t>
      </w:r>
      <w:proofErr w:type="gramEnd"/>
      <w:r w:rsidR="00215F3B">
        <w:t xml:space="preserve">, </w:t>
      </w:r>
      <w:r w:rsidR="00C533A2">
        <w:t>gesticulaciones</w:t>
      </w:r>
      <w:r w:rsidR="00215F3B">
        <w:t xml:space="preserve">, intrigas, </w:t>
      </w:r>
      <w:r w:rsidR="00916219">
        <w:t>maquinación</w:t>
      </w:r>
      <w:r w:rsidR="00215F3B">
        <w:t xml:space="preserve">, </w:t>
      </w:r>
      <w:r w:rsidR="00190107">
        <w:t>maniobras</w:t>
      </w:r>
      <w:r w:rsidR="00215F3B">
        <w:t xml:space="preserve">, se conocen como el caso de intriga </w:t>
      </w:r>
      <w:r w:rsidR="00190107">
        <w:t xml:space="preserve">con el término </w:t>
      </w:r>
      <w:r w:rsidR="00215F3B" w:rsidRPr="00283EA8">
        <w:rPr>
          <w:i/>
          <w:iCs/>
        </w:rPr>
        <w:t>rechazo de los requisitos</w:t>
      </w:r>
      <w:r w:rsidR="00215F3B">
        <w:t>'</w:t>
      </w:r>
      <w:r w:rsidR="00190107">
        <w:t xml:space="preserve"> </w:t>
      </w:r>
      <w:r w:rsidR="00215F3B">
        <w:t>(</w:t>
      </w:r>
      <w:proofErr w:type="spellStart"/>
      <w:r w:rsidR="00215F3B">
        <w:t>Nidd</w:t>
      </w:r>
      <w:proofErr w:type="spellEnd"/>
      <w:r w:rsidR="00215F3B">
        <w:t xml:space="preserve"> I 224-25).</w:t>
      </w:r>
    </w:p>
    <w:p w14:paraId="0AB02045" w14:textId="6830EE0B" w:rsidR="00215F3B" w:rsidRDefault="00215F3B" w:rsidP="00215F3B">
      <w:r>
        <w:t xml:space="preserve">69. </w:t>
      </w:r>
      <w:r>
        <w:tab/>
      </w:r>
      <w:r w:rsidR="00D05225">
        <w:t>Aquella</w:t>
      </w:r>
      <w:r>
        <w:t xml:space="preserve"> hipocresía </w:t>
      </w:r>
      <w:r w:rsidR="00190107">
        <w:t>por</w:t>
      </w:r>
      <w:r>
        <w:t xml:space="preserve"> parte de </w:t>
      </w:r>
      <w:r w:rsidR="00190107">
        <w:t xml:space="preserve">alguien </w:t>
      </w:r>
      <w:r>
        <w:t xml:space="preserve">de malos deseos, que da a entender verbalmente de una u otra manera que ha alcanzado un estado superior al humano, </w:t>
      </w:r>
      <w:r w:rsidR="00764E63">
        <w:t xml:space="preserve">es lo </w:t>
      </w:r>
      <w:r>
        <w:t xml:space="preserve">que debe entenderse como el caso de intriga </w:t>
      </w:r>
      <w:r w:rsidR="00764E63">
        <w:t>conocido como</w:t>
      </w:r>
      <w:r>
        <w:t xml:space="preserve"> </w:t>
      </w:r>
      <w:r w:rsidRPr="00764E63">
        <w:rPr>
          <w:i/>
          <w:iCs/>
        </w:rPr>
        <w:t>lenguaje indirecto</w:t>
      </w:r>
      <w:r>
        <w:t xml:space="preserve">, </w:t>
      </w:r>
      <w:r w:rsidR="00EF258F">
        <w:t>tal</w:t>
      </w:r>
      <w:r>
        <w:t xml:space="preserve"> como se </w:t>
      </w:r>
      <w:r w:rsidR="000E1C59">
        <w:t>está dicho</w:t>
      </w:r>
      <w:r>
        <w:t>: “¿Cuál es la instancia de intriga llamad</w:t>
      </w:r>
      <w:r w:rsidR="00EF258F">
        <w:t>a</w:t>
      </w:r>
      <w:r>
        <w:t xml:space="preserve"> </w:t>
      </w:r>
      <w:r w:rsidR="00EF258F">
        <w:t xml:space="preserve">lenguaje </w:t>
      </w:r>
      <w:r>
        <w:t>indirect</w:t>
      </w:r>
      <w:r w:rsidR="00EF258F">
        <w:t>o</w:t>
      </w:r>
      <w:r>
        <w:t>? Aquí alguien de malos deseos, pres</w:t>
      </w:r>
      <w:r w:rsidR="00EF258F">
        <w:t>o</w:t>
      </w:r>
      <w:r>
        <w:t xml:space="preserve"> de </w:t>
      </w:r>
      <w:r w:rsidR="000E1C59">
        <w:t xml:space="preserve">los </w:t>
      </w:r>
      <w:r>
        <w:t xml:space="preserve">deseos, ansioso de ser admirado, [pensando] 'Así la gente me admirará' </w:t>
      </w:r>
      <w:r w:rsidR="00D14CB3">
        <w:t>evoca</w:t>
      </w:r>
      <w:r>
        <w:t xml:space="preserve"> palabras sobre el estado noble. Él dice: 'El que vist</w:t>
      </w:r>
      <w:r w:rsidR="00D14CB3">
        <w:t>a</w:t>
      </w:r>
      <w:r>
        <w:t xml:space="preserve"> tal </w:t>
      </w:r>
      <w:r w:rsidR="00EF258F">
        <w:t xml:space="preserve">ropaje </w:t>
      </w:r>
      <w:r>
        <w:t>es un asceta muy importante'. Él dice: 'El que llev</w:t>
      </w:r>
      <w:r w:rsidR="009A09EB">
        <w:t>e</w:t>
      </w:r>
      <w:r>
        <w:t xml:space="preserve"> tal cuenco, copa de metal, llenador de agua, colador de agua, llave, </w:t>
      </w:r>
      <w:r w:rsidR="009A09EB">
        <w:t xml:space="preserve">el que </w:t>
      </w:r>
      <w:r>
        <w:t>us</w:t>
      </w:r>
      <w:r w:rsidR="009A09EB">
        <w:t>e</w:t>
      </w:r>
      <w:r>
        <w:t xml:space="preserve"> tal cinto, sandalias, es un </w:t>
      </w:r>
      <w:r w:rsidR="00DA5716">
        <w:t xml:space="preserve">asceta </w:t>
      </w:r>
      <w:r>
        <w:t>muy importante.' Él dice: 'Aquel que ten</w:t>
      </w:r>
      <w:r w:rsidR="00D14CB3">
        <w:t>ga</w:t>
      </w:r>
      <w:r>
        <w:t xml:space="preserve"> tal preceptor... maestro... que t</w:t>
      </w:r>
      <w:r w:rsidR="00D14CB3">
        <w:t>e</w:t>
      </w:r>
      <w:r>
        <w:t>n</w:t>
      </w:r>
      <w:r w:rsidR="00D14CB3">
        <w:t>ga</w:t>
      </w:r>
      <w:r>
        <w:t xml:space="preserve"> el mismo preceptor, que ten</w:t>
      </w:r>
      <w:r w:rsidR="00D14CB3">
        <w:t>ga</w:t>
      </w:r>
      <w:r>
        <w:t xml:space="preserve"> el mismo maestro, que ten</w:t>
      </w:r>
      <w:r w:rsidR="00D14CB3">
        <w:t>ga</w:t>
      </w:r>
      <w:r>
        <w:t xml:space="preserve"> tal amigo, asociado, íntimo, compañero; el que viv</w:t>
      </w:r>
      <w:r w:rsidR="00D14CB3">
        <w:t>a</w:t>
      </w:r>
      <w:r>
        <w:t xml:space="preserve"> en tal monasterio, cobertizo, mansión, villa,</w:t>
      </w:r>
      <w:r w:rsidRPr="00F97AE6">
        <w:rPr>
          <w:vertAlign w:val="superscript"/>
        </w:rPr>
        <w:t>22</w:t>
      </w:r>
      <w:r>
        <w:t xml:space="preserve"> cueva, gruta, choza, pabellón, torre de vigilancia, salón, granero, salón de reuniones, [26] habitación, en </w:t>
      </w:r>
      <w:r w:rsidR="00DA5716">
        <w:t xml:space="preserve">la </w:t>
      </w:r>
      <w:r>
        <w:t xml:space="preserve">raíz de </w:t>
      </w:r>
      <w:r w:rsidR="00DA5716">
        <w:t xml:space="preserve">tal </w:t>
      </w:r>
      <w:r>
        <w:t xml:space="preserve">árbol, es un </w:t>
      </w:r>
      <w:r w:rsidR="00DA5716">
        <w:t xml:space="preserve">asceta </w:t>
      </w:r>
      <w:r>
        <w:t xml:space="preserve">muy importante". O alternativamente, todo efusivo, todo </w:t>
      </w:r>
      <w:r w:rsidR="00C710EF">
        <w:t>gesticulante</w:t>
      </w:r>
      <w:r>
        <w:t xml:space="preserve">, todo intrigante, todo locuaz, con una expresión de admiración, pronuncia un discurso </w:t>
      </w:r>
      <w:r w:rsidR="00CA6FF9">
        <w:t>muy</w:t>
      </w:r>
      <w:r>
        <w:t xml:space="preserve"> profundo, misterioso, astuto, oscuro y supramundano que sugiere </w:t>
      </w:r>
      <w:r w:rsidR="00C710EF">
        <w:t>un</w:t>
      </w:r>
      <w:r>
        <w:t xml:space="preserve">a vacuidad como 'Este asceta es un obtentor de </w:t>
      </w:r>
      <w:r w:rsidR="00C710EF">
        <w:t>estados</w:t>
      </w:r>
      <w:r>
        <w:t xml:space="preserve"> </w:t>
      </w:r>
      <w:r w:rsidR="00C710EF">
        <w:t xml:space="preserve">apacibles </w:t>
      </w:r>
      <w:r>
        <w:t xml:space="preserve">y logros como </w:t>
      </w:r>
      <w:r w:rsidR="00634436">
        <w:t>é</w:t>
      </w:r>
      <w:r>
        <w:t xml:space="preserve">stos.' Tales </w:t>
      </w:r>
      <w:r w:rsidR="00C710EF">
        <w:t>gestos</w:t>
      </w:r>
      <w:r>
        <w:t xml:space="preserve">, </w:t>
      </w:r>
      <w:r w:rsidR="00C710EF">
        <w:t>gesticulaciones</w:t>
      </w:r>
      <w:r>
        <w:t xml:space="preserve">, intrigas, </w:t>
      </w:r>
      <w:r w:rsidR="00C710EF">
        <w:t>maniobras</w:t>
      </w:r>
      <w:r>
        <w:t xml:space="preserve">, </w:t>
      </w:r>
      <w:proofErr w:type="gramStart"/>
      <w:r w:rsidR="00C710EF">
        <w:t>maquinación</w:t>
      </w:r>
      <w:r>
        <w:t>,</w:t>
      </w:r>
      <w:proofErr w:type="gramEnd"/>
      <w:r>
        <w:t xml:space="preserve"> se conocen como el caso de intrigas </w:t>
      </w:r>
      <w:r w:rsidR="003B57DC">
        <w:t>conocidas como</w:t>
      </w:r>
      <w:r>
        <w:t xml:space="preserve"> </w:t>
      </w:r>
      <w:r w:rsidR="009A09EB" w:rsidRPr="00764E63">
        <w:rPr>
          <w:i/>
          <w:iCs/>
        </w:rPr>
        <w:t xml:space="preserve">lenguaje </w:t>
      </w:r>
      <w:r w:rsidRPr="00A74743">
        <w:rPr>
          <w:i/>
          <w:iCs/>
        </w:rPr>
        <w:t>indirect</w:t>
      </w:r>
      <w:r w:rsidR="009A09EB">
        <w:rPr>
          <w:i/>
          <w:iCs/>
        </w:rPr>
        <w:t>o</w:t>
      </w:r>
      <w:r>
        <w:t>” (</w:t>
      </w:r>
      <w:proofErr w:type="spellStart"/>
      <w:r>
        <w:t>Nidd</w:t>
      </w:r>
      <w:proofErr w:type="spellEnd"/>
      <w:r>
        <w:t xml:space="preserve"> I 226-27).</w:t>
      </w:r>
    </w:p>
    <w:p w14:paraId="21D2B722" w14:textId="735BABCA" w:rsidR="00215F3B" w:rsidRDefault="00215F3B" w:rsidP="00215F3B">
      <w:r>
        <w:t xml:space="preserve">70. </w:t>
      </w:r>
      <w:r w:rsidR="00634436">
        <w:t>Aquella</w:t>
      </w:r>
      <w:r>
        <w:t xml:space="preserve"> hipocresía </w:t>
      </w:r>
      <w:r w:rsidR="003B57DC">
        <w:t>por</w:t>
      </w:r>
      <w:r>
        <w:t xml:space="preserve"> parte </w:t>
      </w:r>
      <w:r w:rsidR="003B57DC">
        <w:t xml:space="preserve">de alguien </w:t>
      </w:r>
      <w:r>
        <w:t>que ten</w:t>
      </w:r>
      <w:r w:rsidR="00634436">
        <w:t>ga</w:t>
      </w:r>
      <w:r>
        <w:t xml:space="preserve"> malos deseos, que </w:t>
      </w:r>
      <w:r w:rsidR="00A72E02">
        <w:t>adopte</w:t>
      </w:r>
      <w:r>
        <w:t xml:space="preserve"> la forma de un comportamiento influencia</w:t>
      </w:r>
      <w:r w:rsidR="003B57DC">
        <w:t>ble</w:t>
      </w:r>
      <w:r>
        <w:t xml:space="preserve"> </w:t>
      </w:r>
      <w:r w:rsidR="003B57DC">
        <w:t xml:space="preserve">con </w:t>
      </w:r>
      <w:r>
        <w:t xml:space="preserve">el afán de ser admirado, </w:t>
      </w:r>
      <w:r w:rsidR="009E6E52">
        <w:t xml:space="preserve">es la </w:t>
      </w:r>
      <w:r>
        <w:t xml:space="preserve">que debe entenderse como el </w:t>
      </w:r>
    </w:p>
    <w:p w14:paraId="2BC85271" w14:textId="77777777" w:rsidR="00215F3B" w:rsidRPr="00215F3B" w:rsidRDefault="00215F3B" w:rsidP="00215F3B">
      <w:pPr>
        <w:pStyle w:val="PiedepginaLegal"/>
        <w:rPr>
          <w:u w:val="single"/>
        </w:rPr>
      </w:pPr>
      <w:r w:rsidRPr="00215F3B">
        <w:rPr>
          <w:u w:val="single"/>
        </w:rPr>
        <w:t xml:space="preserve">                                                                                                                                                            .</w:t>
      </w:r>
    </w:p>
    <w:p w14:paraId="3F0F90A4" w14:textId="4651F0A5" w:rsidR="00215F3B" w:rsidRDefault="00215F3B" w:rsidP="00215F3B">
      <w:pPr>
        <w:pStyle w:val="PiedepginaLegal"/>
      </w:pPr>
      <w:r>
        <w:t xml:space="preserve">21. </w:t>
      </w:r>
      <w:r>
        <w:tab/>
        <w:t>“‘</w:t>
      </w:r>
      <w:r w:rsidRPr="007C074F">
        <w:rPr>
          <w:i/>
          <w:iCs/>
        </w:rPr>
        <w:t>Orina pútrida’</w:t>
      </w:r>
      <w:r>
        <w:t xml:space="preserve"> es el nombre de todo tipo de orina de vaca, ya sea vieja o no” (</w:t>
      </w:r>
      <w:proofErr w:type="spellStart"/>
      <w:r>
        <w:t>Vismmhṭ</w:t>
      </w:r>
      <w:proofErr w:type="spellEnd"/>
      <w:r>
        <w:t xml:space="preserve"> 45). La orina de vaca fermentada con agallas (</w:t>
      </w:r>
      <w:proofErr w:type="spellStart"/>
      <w:r>
        <w:t>myrobalan</w:t>
      </w:r>
      <w:proofErr w:type="spellEnd"/>
      <w:r>
        <w:t>) es una medicina india común en la actualidad.</w:t>
      </w:r>
    </w:p>
    <w:p w14:paraId="4E1EC95D" w14:textId="77777777" w:rsidR="00F45F51" w:rsidRDefault="00215F3B" w:rsidP="00215F3B">
      <w:pPr>
        <w:pStyle w:val="PiedepginaLegal"/>
      </w:pPr>
      <w:r>
        <w:t xml:space="preserve">22. </w:t>
      </w:r>
      <w:r>
        <w:tab/>
        <w:t>Ahora no siempre es seguro a qué tipo de edificios se refieren estos nombres.</w:t>
      </w:r>
    </w:p>
    <w:p w14:paraId="75FE9984" w14:textId="77777777" w:rsidR="00F45F51" w:rsidRDefault="00F45F51">
      <w:pPr>
        <w:tabs>
          <w:tab w:val="clear" w:pos="425"/>
        </w:tabs>
        <w:rPr>
          <w:color w:val="000000" w:themeColor="text1"/>
          <w:spacing w:val="10"/>
          <w:sz w:val="14"/>
        </w:rPr>
      </w:pPr>
      <w:r>
        <w:br w:type="page"/>
      </w:r>
    </w:p>
    <w:p w14:paraId="4B12C5C3" w14:textId="14833B97" w:rsidR="00514050" w:rsidRDefault="009E6E52" w:rsidP="00514050">
      <w:r>
        <w:lastRenderedPageBreak/>
        <w:t xml:space="preserve">caso de </w:t>
      </w:r>
      <w:r w:rsidR="003B57DC">
        <w:t xml:space="preserve">intriga </w:t>
      </w:r>
      <w:r w:rsidR="00514050">
        <w:t xml:space="preserve">dependiente del comportamiento, </w:t>
      </w:r>
      <w:r w:rsidR="003B57DC">
        <w:t>tal como</w:t>
      </w:r>
      <w:r w:rsidR="00514050">
        <w:t xml:space="preserve"> </w:t>
      </w:r>
      <w:r>
        <w:t>está dicho</w:t>
      </w:r>
      <w:r w:rsidR="00514050">
        <w:t>: “¿</w:t>
      </w:r>
      <w:r w:rsidR="00D412DE">
        <w:t>Cuál</w:t>
      </w:r>
      <w:r w:rsidR="00514050">
        <w:t xml:space="preserve"> es el caso de </w:t>
      </w:r>
      <w:r w:rsidR="00D412DE">
        <w:t xml:space="preserve">la </w:t>
      </w:r>
      <w:r w:rsidR="00514050">
        <w:t xml:space="preserve">intriga </w:t>
      </w:r>
      <w:r w:rsidR="00D412DE">
        <w:t xml:space="preserve">designada </w:t>
      </w:r>
      <w:r>
        <w:t>como</w:t>
      </w:r>
      <w:r w:rsidR="00D412DE">
        <w:t xml:space="preserve"> </w:t>
      </w:r>
      <w:r w:rsidR="00514050">
        <w:t>comportamiento? Aquí</w:t>
      </w:r>
      <w:r w:rsidR="00A72E02">
        <w:t>,</w:t>
      </w:r>
      <w:r w:rsidR="00514050">
        <w:t xml:space="preserve"> alguien de malos deseos, pres</w:t>
      </w:r>
      <w:r w:rsidR="00D412DE">
        <w:t>o</w:t>
      </w:r>
      <w:r w:rsidR="00514050">
        <w:t xml:space="preserve"> de deseos, ávido de ser admirado, [pensando] ‘Así me admirará la gente’, </w:t>
      </w:r>
      <w:r w:rsidR="0090767E">
        <w:t>disfuerza</w:t>
      </w:r>
      <w:r w:rsidR="00514050">
        <w:t xml:space="preserve"> su manera de andar, </w:t>
      </w:r>
      <w:r w:rsidR="0090767E">
        <w:t xml:space="preserve">disfuerza </w:t>
      </w:r>
      <w:r w:rsidR="00514050">
        <w:t xml:space="preserve">su manera de </w:t>
      </w:r>
      <w:r w:rsidR="00D412DE">
        <w:t>re</w:t>
      </w:r>
      <w:r w:rsidR="00514050">
        <w:t xml:space="preserve">costarse; camina con cuidado, se para con cuidado, se sienta con cuidado, se acuesta con cuidado; camina como si estuviera concentrado, se para, se sienta, se acuesta como si estuviera concentrado; y es </w:t>
      </w:r>
      <w:r w:rsidR="0090767E">
        <w:t>aqu</w:t>
      </w:r>
      <w:r w:rsidR="00325DED">
        <w:t>él</w:t>
      </w:r>
      <w:r w:rsidR="00514050">
        <w:t xml:space="preserve"> que medita en público. Tal disposición, pose, composición, </w:t>
      </w:r>
      <w:r w:rsidR="00A72E02">
        <w:t>conducta</w:t>
      </w:r>
      <w:r w:rsidR="00514050">
        <w:t xml:space="preserve">, </w:t>
      </w:r>
      <w:r w:rsidR="0074320F">
        <w:t>gesto</w:t>
      </w:r>
      <w:r w:rsidR="00514050">
        <w:t xml:space="preserve">, </w:t>
      </w:r>
      <w:r w:rsidR="0074320F">
        <w:t>gesticulación</w:t>
      </w:r>
      <w:r w:rsidR="00514050">
        <w:t xml:space="preserve">, intriga, </w:t>
      </w:r>
      <w:r w:rsidR="0074320F">
        <w:t>maniobra</w:t>
      </w:r>
      <w:r w:rsidR="00514050">
        <w:t xml:space="preserve">, </w:t>
      </w:r>
      <w:r w:rsidR="0074320F">
        <w:t>maquinación</w:t>
      </w:r>
      <w:r w:rsidR="00514050">
        <w:t xml:space="preserve">, se conoce como la instancia de intriga </w:t>
      </w:r>
      <w:r w:rsidR="00277905">
        <w:t>conocida como</w:t>
      </w:r>
      <w:r w:rsidR="00514050">
        <w:t xml:space="preserve"> </w:t>
      </w:r>
      <w:r w:rsidR="00277905" w:rsidRPr="00A72E02">
        <w:rPr>
          <w:i/>
          <w:iCs/>
        </w:rPr>
        <w:t>comportamiento</w:t>
      </w:r>
      <w:r w:rsidR="00514050">
        <w:t>” (</w:t>
      </w:r>
      <w:proofErr w:type="spellStart"/>
      <w:r w:rsidR="00514050">
        <w:t>Nidd</w:t>
      </w:r>
      <w:proofErr w:type="spellEnd"/>
      <w:r w:rsidR="00514050">
        <w:t xml:space="preserve"> I 225-26).</w:t>
      </w:r>
    </w:p>
    <w:p w14:paraId="2A39B5AA" w14:textId="7AA4E2A6" w:rsidR="00514050" w:rsidRDefault="00514050" w:rsidP="00514050">
      <w:r>
        <w:t xml:space="preserve">71. </w:t>
      </w:r>
      <w:r>
        <w:tab/>
        <w:t xml:space="preserve">Aquí, las palabras </w:t>
      </w:r>
      <w:r w:rsidR="00290B01">
        <w:rPr>
          <w:i/>
          <w:iCs/>
        </w:rPr>
        <w:t xml:space="preserve">mediante lo cual </w:t>
      </w:r>
      <w:r w:rsidRPr="0060222E">
        <w:rPr>
          <w:i/>
          <w:iCs/>
        </w:rPr>
        <w:t xml:space="preserve">se llama rechazo de </w:t>
      </w:r>
      <w:r w:rsidR="00290B01">
        <w:rPr>
          <w:i/>
          <w:iCs/>
        </w:rPr>
        <w:t xml:space="preserve">los </w:t>
      </w:r>
      <w:r w:rsidRPr="0060222E">
        <w:rPr>
          <w:i/>
          <w:iCs/>
        </w:rPr>
        <w:t>requisitos</w:t>
      </w:r>
      <w:r>
        <w:t xml:space="preserve"> (§61) significan: </w:t>
      </w:r>
      <w:r w:rsidR="00290B01">
        <w:t xml:space="preserve">mediante </w:t>
      </w:r>
      <w:r w:rsidR="000843DA">
        <w:t>ello</w:t>
      </w:r>
      <w:r>
        <w:t xml:space="preserve"> se </w:t>
      </w:r>
      <w:r w:rsidR="000843DA">
        <w:t>le conoce como</w:t>
      </w:r>
      <w:r w:rsidR="00290B01">
        <w:t xml:space="preserve"> </w:t>
      </w:r>
      <w:r>
        <w:t xml:space="preserve">“rechazo de </w:t>
      </w:r>
      <w:r w:rsidR="00290B01">
        <w:t xml:space="preserve">los </w:t>
      </w:r>
      <w:r>
        <w:t>requisitos”; o quiere</w:t>
      </w:r>
      <w:r w:rsidR="00D04351">
        <w:t>n</w:t>
      </w:r>
      <w:r>
        <w:t xml:space="preserve"> decir: por medio del rechazo de </w:t>
      </w:r>
      <w:r w:rsidR="00D04351">
        <w:t xml:space="preserve">los </w:t>
      </w:r>
      <w:r>
        <w:t xml:space="preserve">requisitos </w:t>
      </w:r>
      <w:r w:rsidR="00325DED">
        <w:t xml:space="preserve">es </w:t>
      </w:r>
      <w:r>
        <w:t xml:space="preserve">que así se llama. </w:t>
      </w:r>
      <w:r w:rsidRPr="0060222E">
        <w:rPr>
          <w:i/>
          <w:iCs/>
        </w:rPr>
        <w:t>Por conversación indirecta</w:t>
      </w:r>
      <w:r>
        <w:t xml:space="preserve"> significa: hablando cerca del sujeto. </w:t>
      </w:r>
      <w:r w:rsidRPr="0060222E">
        <w:rPr>
          <w:i/>
          <w:iCs/>
        </w:rPr>
        <w:t>De porte</w:t>
      </w:r>
      <w:r>
        <w:t xml:space="preserve"> significa: de los cuatro modos de porte (posturas). </w:t>
      </w:r>
      <w:r w:rsidR="00A67AA4">
        <w:rPr>
          <w:i/>
          <w:iCs/>
        </w:rPr>
        <w:t>Dispuesto</w:t>
      </w:r>
      <w:r>
        <w:t xml:space="preserve"> es una pose inicial o una pose cuidadosa. </w:t>
      </w:r>
      <w:r w:rsidRPr="00290B01">
        <w:rPr>
          <w:i/>
          <w:iCs/>
        </w:rPr>
        <w:t>Posar</w:t>
      </w:r>
      <w:r>
        <w:t xml:space="preserve"> es la manera </w:t>
      </w:r>
      <w:r w:rsidR="003F1F32">
        <w:t xml:space="preserve">en la que se da </w:t>
      </w:r>
      <w:proofErr w:type="gramStart"/>
      <w:r w:rsidR="003F1F32">
        <w:t>un pose</w:t>
      </w:r>
      <w:proofErr w:type="gramEnd"/>
      <w:r>
        <w:t xml:space="preserve">. </w:t>
      </w:r>
      <w:r w:rsidRPr="0060222E">
        <w:rPr>
          <w:i/>
          <w:iCs/>
        </w:rPr>
        <w:t>Componer</w:t>
      </w:r>
      <w:r>
        <w:t xml:space="preserve"> es preparar; </w:t>
      </w:r>
      <w:r w:rsidR="002E2CDA">
        <w:t xml:space="preserve">lo que se quiere decir es </w:t>
      </w:r>
      <w:r>
        <w:t xml:space="preserve">asumir una actitud </w:t>
      </w:r>
      <w:r w:rsidR="002E2CDA">
        <w:t xml:space="preserve">que </w:t>
      </w:r>
      <w:r>
        <w:t>inspir</w:t>
      </w:r>
      <w:r w:rsidR="002E2CDA">
        <w:t>e</w:t>
      </w:r>
      <w:r>
        <w:t xml:space="preserve"> confianza, </w:t>
      </w:r>
      <w:r w:rsidRPr="0060222E">
        <w:rPr>
          <w:i/>
          <w:iCs/>
        </w:rPr>
        <w:t xml:space="preserve">Hacer </w:t>
      </w:r>
      <w:r w:rsidR="00290B01">
        <w:rPr>
          <w:i/>
          <w:iCs/>
        </w:rPr>
        <w:t>gestos</w:t>
      </w:r>
      <w:r>
        <w:t xml:space="preserve"> es hacer </w:t>
      </w:r>
      <w:r w:rsidR="00290B01">
        <w:t>gest</w:t>
      </w:r>
      <w:r w:rsidR="002E2CDA">
        <w:t>iculaciones</w:t>
      </w:r>
      <w:r>
        <w:t xml:space="preserve"> mostrando gran intensidad; </w:t>
      </w:r>
      <w:r w:rsidR="00290B01">
        <w:t xml:space="preserve">se quiere decir </w:t>
      </w:r>
      <w:r>
        <w:t xml:space="preserve">contracción facial. El que </w:t>
      </w:r>
      <w:r w:rsidR="00290B01">
        <w:t>tenga</w:t>
      </w:r>
      <w:r>
        <w:t xml:space="preserve"> la costumbre de hacer </w:t>
      </w:r>
      <w:r w:rsidR="00290B01">
        <w:t xml:space="preserve">gestos </w:t>
      </w:r>
      <w:r>
        <w:t xml:space="preserve">es un </w:t>
      </w:r>
      <w:r w:rsidR="00290B01">
        <w:rPr>
          <w:i/>
          <w:iCs/>
        </w:rPr>
        <w:t>gesticulante</w:t>
      </w:r>
      <w:r>
        <w:t>. El estado del que ha</w:t>
      </w:r>
      <w:r w:rsidR="002E2CDA">
        <w:t>ga</w:t>
      </w:r>
      <w:r>
        <w:t xml:space="preserve"> </w:t>
      </w:r>
      <w:r w:rsidR="00290B01">
        <w:t>gestos</w:t>
      </w:r>
      <w:r>
        <w:t xml:space="preserve"> es una </w:t>
      </w:r>
      <w:r w:rsidR="00290B01">
        <w:t>gesticulación</w:t>
      </w:r>
      <w:r>
        <w:t xml:space="preserve">. La </w:t>
      </w:r>
      <w:r w:rsidRPr="00530372">
        <w:rPr>
          <w:i/>
          <w:iCs/>
        </w:rPr>
        <w:t>intriga</w:t>
      </w:r>
      <w:r>
        <w:t xml:space="preserve"> es hipocresía. El </w:t>
      </w:r>
      <w:r w:rsidR="00B14B12">
        <w:t>medio</w:t>
      </w:r>
      <w:r>
        <w:t xml:space="preserve"> (</w:t>
      </w:r>
      <w:proofErr w:type="spellStart"/>
      <w:r w:rsidRPr="00530372">
        <w:rPr>
          <w:i/>
          <w:iCs/>
        </w:rPr>
        <w:t>āyanā</w:t>
      </w:r>
      <w:proofErr w:type="spellEnd"/>
      <w:r>
        <w:t>) de un intrigante (</w:t>
      </w:r>
      <w:proofErr w:type="spellStart"/>
      <w:r w:rsidRPr="00A34CB4">
        <w:rPr>
          <w:i/>
          <w:iCs/>
        </w:rPr>
        <w:t>kuha</w:t>
      </w:r>
      <w:proofErr w:type="spellEnd"/>
      <w:r>
        <w:t xml:space="preserve">) es </w:t>
      </w:r>
      <w:r w:rsidR="00B14B12">
        <w:t xml:space="preserve">la intriga </w:t>
      </w:r>
      <w:r>
        <w:t>(</w:t>
      </w:r>
      <w:proofErr w:type="spellStart"/>
      <w:r w:rsidRPr="00530372">
        <w:rPr>
          <w:i/>
          <w:iCs/>
        </w:rPr>
        <w:t>kuhāyanā</w:t>
      </w:r>
      <w:proofErr w:type="spellEnd"/>
      <w:r>
        <w:t xml:space="preserve">). El estado de lo </w:t>
      </w:r>
      <w:r w:rsidR="009A00EF">
        <w:t xml:space="preserve">que se </w:t>
      </w:r>
      <w:proofErr w:type="spellStart"/>
      <w:r w:rsidR="009A00EF">
        <w:t>hay</w:t>
      </w:r>
      <w:r w:rsidR="000E62CF">
        <w:t>e</w:t>
      </w:r>
      <w:proofErr w:type="spellEnd"/>
      <w:r w:rsidR="009A00EF">
        <w:t xml:space="preserve"> intrigado </w:t>
      </w:r>
      <w:r>
        <w:t xml:space="preserve">es la </w:t>
      </w:r>
      <w:proofErr w:type="spellStart"/>
      <w:r w:rsidR="003F494D">
        <w:rPr>
          <w:i/>
          <w:iCs/>
        </w:rPr>
        <w:t>intrigación</w:t>
      </w:r>
      <w:proofErr w:type="spellEnd"/>
      <w:r>
        <w:t>.</w:t>
      </w:r>
    </w:p>
    <w:p w14:paraId="02FAFCD9" w14:textId="1C3E5193" w:rsidR="00514050" w:rsidRDefault="00514050" w:rsidP="00514050">
      <w:r>
        <w:t xml:space="preserve">72. </w:t>
      </w:r>
      <w:r>
        <w:tab/>
        <w:t xml:space="preserve">En la descripción de </w:t>
      </w:r>
      <w:r w:rsidR="00AD628D">
        <w:rPr>
          <w:i/>
          <w:iCs/>
        </w:rPr>
        <w:t>charla</w:t>
      </w:r>
      <w:r w:rsidR="000E62CF">
        <w:rPr>
          <w:i/>
          <w:iCs/>
        </w:rPr>
        <w:t>r</w:t>
      </w:r>
      <w:r>
        <w:t xml:space="preserve">: </w:t>
      </w:r>
      <w:r w:rsidR="00AD628D">
        <w:rPr>
          <w:i/>
          <w:iCs/>
        </w:rPr>
        <w:t xml:space="preserve">charlar </w:t>
      </w:r>
      <w:r w:rsidR="00E86309">
        <w:rPr>
          <w:i/>
          <w:iCs/>
        </w:rPr>
        <w:t>en</w:t>
      </w:r>
      <w:r w:rsidR="000E62CF">
        <w:rPr>
          <w:i/>
          <w:iCs/>
        </w:rPr>
        <w:t xml:space="preserve"> </w:t>
      </w:r>
      <w:r>
        <w:t xml:space="preserve">es hablar así al ver </w:t>
      </w:r>
      <w:r w:rsidR="00E86309">
        <w:t xml:space="preserve">a la </w:t>
      </w:r>
      <w:r>
        <w:t xml:space="preserve">gente que </w:t>
      </w:r>
      <w:r w:rsidR="00AD628D">
        <w:t>lleg</w:t>
      </w:r>
      <w:r w:rsidR="00E86309">
        <w:t>ue</w:t>
      </w:r>
      <w:r w:rsidR="00AD628D">
        <w:t xml:space="preserve"> </w:t>
      </w:r>
      <w:r>
        <w:t xml:space="preserve">al monasterio: “¿A qué habéis venido, gente buena? ¿Qué, invitar a </w:t>
      </w:r>
      <w:r w:rsidR="00E86309">
        <w:t xml:space="preserve">los </w:t>
      </w:r>
      <w:r>
        <w:t xml:space="preserve">monjes? Si es </w:t>
      </w:r>
      <w:r w:rsidR="00887E87">
        <w:t>así</w:t>
      </w:r>
      <w:r>
        <w:t>, entonces v</w:t>
      </w:r>
      <w:r w:rsidR="00640A5E">
        <w:t>aya</w:t>
      </w:r>
      <w:r>
        <w:t xml:space="preserve"> y </w:t>
      </w:r>
      <w:r w:rsidR="00640A5E">
        <w:t xml:space="preserve">llegaré </w:t>
      </w:r>
      <w:r>
        <w:t xml:space="preserve">más tarde con [mi </w:t>
      </w:r>
      <w:r w:rsidR="00640A5E">
        <w:t>cuenco</w:t>
      </w:r>
      <w:r>
        <w:t xml:space="preserve">]”, etc.; o, alternativamente, </w:t>
      </w:r>
      <w:r w:rsidR="00640A5E" w:rsidRPr="00887E87">
        <w:rPr>
          <w:i/>
          <w:iCs/>
        </w:rPr>
        <w:t>charlar</w:t>
      </w:r>
      <w:r w:rsidR="00640A5E">
        <w:t xml:space="preserve"> </w:t>
      </w:r>
      <w:r w:rsidRPr="00887E87">
        <w:rPr>
          <w:i/>
          <w:iCs/>
        </w:rPr>
        <w:t>en</w:t>
      </w:r>
      <w:r>
        <w:t xml:space="preserve"> es hablar </w:t>
      </w:r>
      <w:r w:rsidR="00056A19">
        <w:t>aludiéndose</w:t>
      </w:r>
      <w:r>
        <w:t xml:space="preserve"> así: "Soy </w:t>
      </w:r>
      <w:proofErr w:type="spellStart"/>
      <w:r>
        <w:t>Tissa</w:t>
      </w:r>
      <w:proofErr w:type="spellEnd"/>
      <w:r>
        <w:t xml:space="preserve">, el </w:t>
      </w:r>
      <w:r w:rsidR="00887E87">
        <w:t xml:space="preserve">Rey </w:t>
      </w:r>
      <w:r>
        <w:t xml:space="preserve">confía en mí, tal o cual ministro del </w:t>
      </w:r>
      <w:r w:rsidR="00056A19">
        <w:t xml:space="preserve">Rey </w:t>
      </w:r>
      <w:r>
        <w:t xml:space="preserve">confía en mí". [27] </w:t>
      </w:r>
      <w:r w:rsidR="00056A19">
        <w:rPr>
          <w:i/>
          <w:iCs/>
        </w:rPr>
        <w:t xml:space="preserve">Charlar </w:t>
      </w:r>
      <w:r>
        <w:t xml:space="preserve">es el mismo tipo de </w:t>
      </w:r>
      <w:r w:rsidR="00056A19">
        <w:t>charla</w:t>
      </w:r>
      <w:r>
        <w:t xml:space="preserve"> </w:t>
      </w:r>
      <w:r w:rsidR="00F54706">
        <w:t xml:space="preserve">que se da cuando </w:t>
      </w:r>
      <w:r>
        <w:t xml:space="preserve">se hace una pregunta. </w:t>
      </w:r>
      <w:r w:rsidR="00F54706">
        <w:rPr>
          <w:i/>
          <w:iCs/>
        </w:rPr>
        <w:t xml:space="preserve">Charlar </w:t>
      </w:r>
      <w:r>
        <w:t xml:space="preserve">es </w:t>
      </w:r>
      <w:r w:rsidRPr="00C73297">
        <w:t>hablar</w:t>
      </w:r>
      <w:r>
        <w:t xml:space="preserve"> con franqueza por parte de alguien que tem</w:t>
      </w:r>
      <w:r w:rsidR="00F54706">
        <w:t>a</w:t>
      </w:r>
      <w:r>
        <w:t xml:space="preserve"> el disgusto de los amos de casa porque ha dado ocasión para ello. </w:t>
      </w:r>
      <w:r w:rsidR="00F54706">
        <w:rPr>
          <w:i/>
          <w:iCs/>
        </w:rPr>
        <w:t xml:space="preserve">Charlar </w:t>
      </w:r>
      <w:r>
        <w:t xml:space="preserve">es hablar ensalzando a la gente así: "Él es un gran terrateniente, un gran armador, un gran señor de la generosidad". </w:t>
      </w:r>
      <w:r w:rsidR="00F54706">
        <w:rPr>
          <w:i/>
          <w:iCs/>
        </w:rPr>
        <w:t xml:space="preserve">Charlar </w:t>
      </w:r>
      <w:r w:rsidRPr="00C73297">
        <w:rPr>
          <w:i/>
          <w:iCs/>
        </w:rPr>
        <w:t>continuamente</w:t>
      </w:r>
      <w:r>
        <w:t xml:space="preserve"> es hablar ensalzando [a las personas] en todas las formas.</w:t>
      </w:r>
    </w:p>
    <w:p w14:paraId="71C2CC3F" w14:textId="1A7AEEB8" w:rsidR="00514050" w:rsidRDefault="00514050" w:rsidP="00514050">
      <w:r>
        <w:t xml:space="preserve">73. </w:t>
      </w:r>
      <w:r>
        <w:tab/>
      </w:r>
      <w:r w:rsidRPr="00C73297">
        <w:rPr>
          <w:i/>
          <w:iCs/>
        </w:rPr>
        <w:t>Persuadir</w:t>
      </w:r>
      <w:r>
        <w:t xml:space="preserve"> es involucrar progresivamente</w:t>
      </w:r>
      <w:r w:rsidRPr="00F97AE6">
        <w:rPr>
          <w:vertAlign w:val="superscript"/>
        </w:rPr>
        <w:t>23</w:t>
      </w:r>
      <w:r>
        <w:t xml:space="preserve"> [a las personas] así, “Seguidores laicos, antes solíais dar </w:t>
      </w:r>
      <w:r w:rsidR="00F54706">
        <w:t xml:space="preserve">ofrendas </w:t>
      </w:r>
      <w:r>
        <w:t xml:space="preserve">de </w:t>
      </w:r>
      <w:r w:rsidR="001317B8">
        <w:t>frutas</w:t>
      </w:r>
      <w:r>
        <w:t xml:space="preserve"> en tal tiempo; ¿por qué </w:t>
      </w:r>
      <w:r w:rsidR="00263541">
        <w:t xml:space="preserve">ya </w:t>
      </w:r>
      <w:r>
        <w:t>no lo hace</w:t>
      </w:r>
      <w:r w:rsidR="00F54706">
        <w:t>n</w:t>
      </w:r>
      <w:r>
        <w:t xml:space="preserve"> ahora? hasta que digan: "Vamos a dar, venerable señor, no hemos tenido oportunidad", etc.; lo que se quiere decir</w:t>
      </w:r>
      <w:r w:rsidR="00263541" w:rsidRPr="00263541">
        <w:t xml:space="preserve"> </w:t>
      </w:r>
      <w:r w:rsidR="00263541">
        <w:t>con esto es enmarañar</w:t>
      </w:r>
      <w:r>
        <w:t xml:space="preserve">. O bien, al ver a alguien con caña de azúcar en la mano, pregunta: “¿De dónde viene, seguidor laico?”—“Del cañaveral, </w:t>
      </w:r>
      <w:r w:rsidR="00263541">
        <w:t>Venerable Señor</w:t>
      </w:r>
      <w:r>
        <w:t xml:space="preserve">”—“¿Es dulce allí la caña de azúcar?”—“Se puede averiguar al comer, </w:t>
      </w:r>
      <w:r w:rsidR="00263541">
        <w:t>Venerable Señor</w:t>
      </w:r>
      <w:r>
        <w:t xml:space="preserve">”—“No está permitido, seguidor laico, que los </w:t>
      </w:r>
      <w:proofErr w:type="spellStart"/>
      <w:r w:rsidR="00057BF4" w:rsidRPr="00057BF4">
        <w:rPr>
          <w:i/>
          <w:iCs/>
        </w:rPr>
        <w:t>bhikkhu</w:t>
      </w:r>
      <w:r w:rsidRPr="00C73297">
        <w:rPr>
          <w:i/>
          <w:iCs/>
        </w:rPr>
        <w:t>s</w:t>
      </w:r>
      <w:proofErr w:type="spellEnd"/>
      <w:r>
        <w:t xml:space="preserve"> digan 'Den [me un poco] de caña de azúcar'”. Una charla tan </w:t>
      </w:r>
      <w:r w:rsidR="005F0218">
        <w:t>enmarañada</w:t>
      </w:r>
      <w:r>
        <w:t xml:space="preserve"> de tal </w:t>
      </w:r>
      <w:r w:rsidR="008F736F">
        <w:t xml:space="preserve">enmarañador </w:t>
      </w:r>
      <w:r>
        <w:t xml:space="preserve">es </w:t>
      </w:r>
      <w:r w:rsidRPr="00C73297">
        <w:rPr>
          <w:i/>
          <w:iCs/>
        </w:rPr>
        <w:t>persua</w:t>
      </w:r>
      <w:r w:rsidR="008F736F">
        <w:rPr>
          <w:i/>
          <w:iCs/>
        </w:rPr>
        <w:t>dir</w:t>
      </w:r>
      <w:r>
        <w:t xml:space="preserve">. Persuadir una y otra vez en todos los sentidos es </w:t>
      </w:r>
      <w:r w:rsidRPr="00C73297">
        <w:rPr>
          <w:i/>
          <w:iCs/>
        </w:rPr>
        <w:t>persua</w:t>
      </w:r>
      <w:r w:rsidR="00022790">
        <w:rPr>
          <w:i/>
          <w:iCs/>
        </w:rPr>
        <w:t>dir</w:t>
      </w:r>
      <w:r w:rsidRPr="00C73297">
        <w:rPr>
          <w:i/>
          <w:iCs/>
        </w:rPr>
        <w:t xml:space="preserve"> continua</w:t>
      </w:r>
      <w:r w:rsidR="0067115D">
        <w:rPr>
          <w:i/>
          <w:iCs/>
        </w:rPr>
        <w:t>mente</w:t>
      </w:r>
      <w:r>
        <w:t>.</w:t>
      </w:r>
    </w:p>
    <w:p w14:paraId="59228EAA" w14:textId="3475451D" w:rsidR="00514050" w:rsidRDefault="00514050" w:rsidP="00514050">
      <w:r>
        <w:t xml:space="preserve">74. </w:t>
      </w:r>
      <w:r w:rsidR="003D6E15">
        <w:tab/>
      </w:r>
      <w:r w:rsidRPr="00C73297">
        <w:rPr>
          <w:i/>
          <w:iCs/>
        </w:rPr>
        <w:t>Sugerir</w:t>
      </w:r>
      <w:r>
        <w:t xml:space="preserve"> es insinuar al precisar así: “Solo esa familia me comprende; si hay algo que dar allí, me lo dan </w:t>
      </w:r>
      <w:r w:rsidR="00B24C7E">
        <w:t xml:space="preserve">solamente </w:t>
      </w:r>
      <w:r>
        <w:t xml:space="preserve">a mí”; </w:t>
      </w:r>
      <w:r w:rsidR="00B24C7E">
        <w:t xml:space="preserve">lo que se quiere decir es </w:t>
      </w:r>
      <w:r w:rsidR="0067115D">
        <w:t>indicar</w:t>
      </w:r>
      <w:r w:rsidR="00B24C7E">
        <w:t>-a</w:t>
      </w:r>
      <w:r>
        <w:t>. Y aquí debe contarse la historia del vendedor de aceite.</w:t>
      </w:r>
      <w:r w:rsidRPr="00906B05">
        <w:rPr>
          <w:vertAlign w:val="superscript"/>
        </w:rPr>
        <w:t>24</w:t>
      </w:r>
      <w:r>
        <w:t xml:space="preserve"> Sugerir de todas las formas una y otra vez es </w:t>
      </w:r>
      <w:r w:rsidRPr="00C73297">
        <w:rPr>
          <w:i/>
          <w:iCs/>
        </w:rPr>
        <w:t>suger</w:t>
      </w:r>
      <w:r w:rsidR="0067115D">
        <w:rPr>
          <w:i/>
          <w:iCs/>
        </w:rPr>
        <w:t>ir</w:t>
      </w:r>
      <w:r w:rsidRPr="00C73297">
        <w:rPr>
          <w:i/>
          <w:iCs/>
        </w:rPr>
        <w:t xml:space="preserve"> continua</w:t>
      </w:r>
      <w:r w:rsidR="0067115D">
        <w:rPr>
          <w:i/>
          <w:iCs/>
        </w:rPr>
        <w:t>mente</w:t>
      </w:r>
      <w:r>
        <w:t>.</w:t>
      </w:r>
    </w:p>
    <w:p w14:paraId="1DC7F164" w14:textId="77777777" w:rsidR="00514050" w:rsidRPr="00514050" w:rsidRDefault="00514050" w:rsidP="00514050">
      <w:pPr>
        <w:pStyle w:val="PiedepginaLegal"/>
        <w:rPr>
          <w:u w:val="single"/>
        </w:rPr>
      </w:pPr>
      <w:r w:rsidRPr="00514050">
        <w:rPr>
          <w:u w:val="single"/>
        </w:rPr>
        <w:t xml:space="preserve">                                                                                                                                                            .</w:t>
      </w:r>
    </w:p>
    <w:p w14:paraId="1A8456CE" w14:textId="14BB5459" w:rsidR="00514050" w:rsidRDefault="00514050" w:rsidP="00514050">
      <w:pPr>
        <w:pStyle w:val="PiedepginaLegal"/>
      </w:pPr>
      <w:r>
        <w:t xml:space="preserve">23. </w:t>
      </w:r>
      <w:r>
        <w:tab/>
      </w:r>
      <w:proofErr w:type="spellStart"/>
      <w:r w:rsidRPr="00C73297">
        <w:rPr>
          <w:i/>
          <w:iCs/>
        </w:rPr>
        <w:t>Nahanā</w:t>
      </w:r>
      <w:proofErr w:type="spellEnd"/>
      <w:r>
        <w:t xml:space="preserve">—atar, de </w:t>
      </w:r>
      <w:proofErr w:type="spellStart"/>
      <w:r w:rsidRPr="00C73297">
        <w:rPr>
          <w:i/>
          <w:iCs/>
        </w:rPr>
        <w:t>nayhati</w:t>
      </w:r>
      <w:proofErr w:type="spellEnd"/>
      <w:r>
        <w:t xml:space="preserve"> (atar). El sustantivo no </w:t>
      </w:r>
      <w:r w:rsidR="00EC6975">
        <w:t xml:space="preserve">está </w:t>
      </w:r>
      <w:r>
        <w:t xml:space="preserve">en </w:t>
      </w:r>
      <w:r w:rsidR="00EC6975">
        <w:t xml:space="preserve">el </w:t>
      </w:r>
      <w:r>
        <w:t>PED.</w:t>
      </w:r>
    </w:p>
    <w:p w14:paraId="364D58C2" w14:textId="615D372C" w:rsidR="009F18B5" w:rsidRDefault="00514050" w:rsidP="00514050">
      <w:pPr>
        <w:pStyle w:val="PiedepginaLegal"/>
      </w:pPr>
      <w:r>
        <w:t xml:space="preserve">24. </w:t>
      </w:r>
      <w:r>
        <w:tab/>
        <w:t xml:space="preserve">La historia del vendedor de aceite se da en el </w:t>
      </w:r>
      <w:proofErr w:type="spellStart"/>
      <w:r w:rsidRPr="00C73297">
        <w:rPr>
          <w:i/>
          <w:iCs/>
        </w:rPr>
        <w:t>Sammohavinodanī</w:t>
      </w:r>
      <w:proofErr w:type="spellEnd"/>
      <w:r>
        <w:t xml:space="preserve"> (</w:t>
      </w:r>
      <w:proofErr w:type="spellStart"/>
      <w:r>
        <w:t>Vibh</w:t>
      </w:r>
      <w:proofErr w:type="spellEnd"/>
      <w:r>
        <w:t xml:space="preserve">-a 483), que reproduce esta parte de </w:t>
      </w:r>
      <w:proofErr w:type="spellStart"/>
      <w:r>
        <w:t>Vism</w:t>
      </w:r>
      <w:proofErr w:type="spellEnd"/>
      <w:r>
        <w:t xml:space="preserve"> con algunas adiciones: “Dos </w:t>
      </w:r>
      <w:proofErr w:type="spellStart"/>
      <w:r w:rsidR="00057BF4" w:rsidRPr="00057BF4">
        <w:rPr>
          <w:i/>
          <w:iCs/>
        </w:rPr>
        <w:t>bhikkhu</w:t>
      </w:r>
      <w:r w:rsidR="003D6E15">
        <w:rPr>
          <w:i/>
          <w:iCs/>
        </w:rPr>
        <w:t>s</w:t>
      </w:r>
      <w:proofErr w:type="spellEnd"/>
      <w:r>
        <w:t xml:space="preserve">, al parecer, fueron a una aldea y se sentaron en </w:t>
      </w:r>
      <w:r w:rsidR="001170E7">
        <w:t>un</w:t>
      </w:r>
      <w:r>
        <w:t xml:space="preserve">a sala de estar. Al ver a una </w:t>
      </w:r>
      <w:r w:rsidR="00E6669C">
        <w:t>joven</w:t>
      </w:r>
      <w:r>
        <w:t>, la llamaron. Entonces uno preguntó</w:t>
      </w:r>
    </w:p>
    <w:p w14:paraId="59997956" w14:textId="77777777" w:rsidR="00514050" w:rsidRDefault="00514050">
      <w:pPr>
        <w:tabs>
          <w:tab w:val="clear" w:pos="425"/>
        </w:tabs>
      </w:pPr>
      <w:r>
        <w:br w:type="page"/>
      </w:r>
    </w:p>
    <w:p w14:paraId="2BFDC286" w14:textId="3779C267" w:rsidR="006818BC" w:rsidRDefault="006818BC" w:rsidP="006818BC">
      <w:r>
        <w:lastRenderedPageBreak/>
        <w:t xml:space="preserve">75. </w:t>
      </w:r>
      <w:r w:rsidR="003D6E15">
        <w:tab/>
      </w:r>
      <w:r w:rsidRPr="003D6E15">
        <w:rPr>
          <w:i/>
          <w:iCs/>
        </w:rPr>
        <w:t xml:space="preserve">La charla </w:t>
      </w:r>
      <w:r w:rsidR="00944594" w:rsidRPr="003D6E15">
        <w:rPr>
          <w:i/>
          <w:iCs/>
        </w:rPr>
        <w:t>zalamera</w:t>
      </w:r>
      <w:r>
        <w:t xml:space="preserve"> es una charla cariñosa que se repite una y otra vez sin importar si está en conformidad con la verdad y el </w:t>
      </w:r>
      <w:r w:rsidR="00057BF4" w:rsidRPr="00057BF4">
        <w:rPr>
          <w:i/>
        </w:rPr>
        <w:t>Dhamma</w:t>
      </w:r>
      <w:r>
        <w:t xml:space="preserve">. La </w:t>
      </w:r>
      <w:r w:rsidRPr="003D6E15">
        <w:rPr>
          <w:i/>
          <w:iCs/>
        </w:rPr>
        <w:t>adulación</w:t>
      </w:r>
      <w:r>
        <w:t xml:space="preserve"> es hablar con humildad, manteniendo siempre una actitud de inferioridad. </w:t>
      </w:r>
      <w:r w:rsidR="00D7543C">
        <w:t>La</w:t>
      </w:r>
      <w:r>
        <w:t xml:space="preserve"> </w:t>
      </w:r>
      <w:r w:rsidRPr="003D6E15">
        <w:rPr>
          <w:i/>
          <w:iCs/>
        </w:rPr>
        <w:t>sopa de frijoles</w:t>
      </w:r>
      <w:r>
        <w:t xml:space="preserve"> se parece a la sopa de frijoles; porque </w:t>
      </w:r>
      <w:r w:rsidR="00BE7276">
        <w:t xml:space="preserve">es </w:t>
      </w:r>
      <w:r>
        <w:t xml:space="preserve">como </w:t>
      </w:r>
      <w:r w:rsidR="00D96B63">
        <w:t>en el caso el que</w:t>
      </w:r>
      <w:r>
        <w:t xml:space="preserve"> se cuecen los frijoles </w:t>
      </w:r>
      <w:r w:rsidR="00BE7276">
        <w:t xml:space="preserve">donde </w:t>
      </w:r>
      <w:r>
        <w:t xml:space="preserve">solo unos pocos no se cuecen </w:t>
      </w:r>
      <w:r w:rsidR="00225890">
        <w:t xml:space="preserve">y </w:t>
      </w:r>
      <w:r>
        <w:t xml:space="preserve">los demás </w:t>
      </w:r>
      <w:r w:rsidR="00BE7276">
        <w:t>sí</w:t>
      </w:r>
      <w:r>
        <w:t xml:space="preserve">, así también a la persona en cuyo discurso </w:t>
      </w:r>
      <w:r w:rsidR="00D70BCE">
        <w:t>hay</w:t>
      </w:r>
      <w:r w:rsidR="00225890">
        <w:t>a</w:t>
      </w:r>
      <w:r w:rsidR="00D70BCE">
        <w:t xml:space="preserve"> </w:t>
      </w:r>
      <w:r>
        <w:t xml:space="preserve">solo un poco </w:t>
      </w:r>
      <w:r w:rsidR="00225890">
        <w:t>de</w:t>
      </w:r>
      <w:r>
        <w:t xml:space="preserve"> verdad, siendo el resto falso, se le llama “sopa de frijoles”; su estado es </w:t>
      </w:r>
      <w:r w:rsidR="00C507CE">
        <w:t xml:space="preserve">la de </w:t>
      </w:r>
      <w:r w:rsidRPr="003D6E15">
        <w:rPr>
          <w:i/>
          <w:iCs/>
        </w:rPr>
        <w:t>sopa de frijoles</w:t>
      </w:r>
      <w:r>
        <w:t>.</w:t>
      </w:r>
    </w:p>
    <w:p w14:paraId="411C53C4" w14:textId="7DB91C67" w:rsidR="006818BC" w:rsidRDefault="006818BC" w:rsidP="006818BC">
      <w:r>
        <w:t xml:space="preserve">76. </w:t>
      </w:r>
      <w:r w:rsidR="003D6E15">
        <w:tab/>
      </w:r>
      <w:r w:rsidR="005471AC">
        <w:rPr>
          <w:i/>
          <w:iCs/>
        </w:rPr>
        <w:t xml:space="preserve">Cuidadoso </w:t>
      </w:r>
      <w:r>
        <w:t xml:space="preserve">es el estado del acto de </w:t>
      </w:r>
      <w:r w:rsidR="005471AC">
        <w:t>cuidar</w:t>
      </w:r>
      <w:r>
        <w:t xml:space="preserve">. [28] </w:t>
      </w:r>
      <w:r w:rsidR="0001771A">
        <w:t xml:space="preserve">Ya </w:t>
      </w:r>
      <w:r>
        <w:t xml:space="preserve">que cuando un hombre </w:t>
      </w:r>
      <w:r w:rsidR="0016104D">
        <w:t>cuida de</w:t>
      </w:r>
      <w:r>
        <w:t xml:space="preserve"> los niños en su regazo o en su hombro como una niñera,</w:t>
      </w:r>
      <w:r w:rsidR="00E13614">
        <w:t xml:space="preserve"> ―</w:t>
      </w:r>
      <w:r>
        <w:t xml:space="preserve"> </w:t>
      </w:r>
      <w:r w:rsidR="003E016D">
        <w:t xml:space="preserve">el significado es que </w:t>
      </w:r>
      <w:r>
        <w:t xml:space="preserve">él </w:t>
      </w:r>
      <w:r w:rsidR="0016104D">
        <w:t xml:space="preserve">los </w:t>
      </w:r>
      <w:r w:rsidR="00D23FF5">
        <w:t>atiende</w:t>
      </w:r>
      <w:r>
        <w:t xml:space="preserve"> </w:t>
      </w:r>
      <w:r w:rsidR="0001771A">
        <w:t xml:space="preserve">― </w:t>
      </w:r>
      <w:r>
        <w:t>ese acto de</w:t>
      </w:r>
      <w:r w:rsidR="004E74B0">
        <w:t>l</w:t>
      </w:r>
      <w:r>
        <w:t xml:space="preserve"> </w:t>
      </w:r>
      <w:r w:rsidR="00C51197">
        <w:rPr>
          <w:i/>
          <w:iCs/>
        </w:rPr>
        <w:t>c</w:t>
      </w:r>
      <w:r w:rsidR="00C51197" w:rsidRPr="00C51197">
        <w:rPr>
          <w:i/>
          <w:iCs/>
        </w:rPr>
        <w:t>uidadoso</w:t>
      </w:r>
      <w:r w:rsidR="00C51197">
        <w:t xml:space="preserve"> </w:t>
      </w:r>
      <w:r>
        <w:t xml:space="preserve">es el acto de </w:t>
      </w:r>
      <w:r w:rsidR="00C51197">
        <w:t>cuidar</w:t>
      </w:r>
      <w:r>
        <w:t xml:space="preserve">. El estado del acto de </w:t>
      </w:r>
      <w:r w:rsidR="00C51197">
        <w:t xml:space="preserve">cuidar </w:t>
      </w:r>
      <w:r>
        <w:t xml:space="preserve">es </w:t>
      </w:r>
      <w:r w:rsidR="00C51197">
        <w:rPr>
          <w:i/>
          <w:iCs/>
        </w:rPr>
        <w:t>cuidadoso</w:t>
      </w:r>
      <w:r>
        <w:t>.</w:t>
      </w:r>
    </w:p>
    <w:p w14:paraId="76C64BCF" w14:textId="5B801B5D" w:rsidR="006818BC" w:rsidRDefault="006818BC" w:rsidP="006818BC">
      <w:r>
        <w:t xml:space="preserve">77. </w:t>
      </w:r>
      <w:r w:rsidR="003D6E15">
        <w:tab/>
      </w:r>
      <w:r>
        <w:t xml:space="preserve">En la descripción de </w:t>
      </w:r>
      <w:r w:rsidRPr="003D6E15">
        <w:rPr>
          <w:i/>
          <w:iCs/>
        </w:rPr>
        <w:t>insinuación</w:t>
      </w:r>
      <w:r>
        <w:t xml:space="preserve"> (</w:t>
      </w:r>
      <w:proofErr w:type="spellStart"/>
      <w:r w:rsidRPr="003D6E15">
        <w:rPr>
          <w:i/>
          <w:iCs/>
        </w:rPr>
        <w:t>nemittikatā</w:t>
      </w:r>
      <w:proofErr w:type="spellEnd"/>
      <w:r>
        <w:t xml:space="preserve">): un </w:t>
      </w:r>
      <w:r w:rsidR="00BC0287">
        <w:t xml:space="preserve">signo </w:t>
      </w:r>
      <w:r>
        <w:t>(</w:t>
      </w:r>
      <w:proofErr w:type="spellStart"/>
      <w:r w:rsidRPr="003D6E15">
        <w:rPr>
          <w:i/>
          <w:iCs/>
        </w:rPr>
        <w:t>nimitta</w:t>
      </w:r>
      <w:proofErr w:type="spellEnd"/>
      <w:r>
        <w:t>) es cualquier acto corporal o verbal que ha</w:t>
      </w:r>
      <w:r w:rsidR="00BF2BC6">
        <w:t>ga</w:t>
      </w:r>
      <w:r>
        <w:t xml:space="preserve"> que otros </w:t>
      </w:r>
      <w:r w:rsidR="00BD1D5B">
        <w:t>obsequien los</w:t>
      </w:r>
      <w:r>
        <w:t xml:space="preserve"> requisitos. Dar un </w:t>
      </w:r>
      <w:r w:rsidR="00A93E0E" w:rsidRPr="00A93E0E">
        <w:t xml:space="preserve">signo </w:t>
      </w:r>
      <w:r>
        <w:t xml:space="preserve">es hacer una señal como “¿Qué tiene para comer?”, etc., al ver [a la gente] ir junto </w:t>
      </w:r>
      <w:r w:rsidR="00407ABE">
        <w:t>a</w:t>
      </w:r>
      <w:r>
        <w:t xml:space="preserve"> la comida. </w:t>
      </w:r>
      <w:r w:rsidRPr="003D6E15">
        <w:rPr>
          <w:i/>
          <w:iCs/>
        </w:rPr>
        <w:t>Indicación</w:t>
      </w:r>
      <w:r>
        <w:t xml:space="preserve"> es </w:t>
      </w:r>
      <w:r w:rsidR="0037518E">
        <w:t>un lenguaje</w:t>
      </w:r>
      <w:r>
        <w:t xml:space="preserve"> que alud</w:t>
      </w:r>
      <w:r w:rsidR="0037518E">
        <w:t>a</w:t>
      </w:r>
      <w:r>
        <w:t xml:space="preserve"> a </w:t>
      </w:r>
      <w:r w:rsidR="0037518E">
        <w:t xml:space="preserve">los </w:t>
      </w:r>
      <w:r>
        <w:t xml:space="preserve">requisitos. </w:t>
      </w:r>
      <w:r w:rsidRPr="003D6E15">
        <w:rPr>
          <w:i/>
          <w:iCs/>
        </w:rPr>
        <w:t>Da</w:t>
      </w:r>
      <w:r w:rsidR="0037518E">
        <w:rPr>
          <w:i/>
          <w:iCs/>
        </w:rPr>
        <w:t>r</w:t>
      </w:r>
      <w:r w:rsidRPr="003D6E15">
        <w:rPr>
          <w:i/>
          <w:iCs/>
        </w:rPr>
        <w:t xml:space="preserve"> una indicación</w:t>
      </w:r>
      <w:r>
        <w:t xml:space="preserve">: al ver a los vaqueros, pregunta: "¿Estos son terneros de vacas lecheras o terneros de vacas </w:t>
      </w:r>
      <w:r w:rsidR="001040E7">
        <w:t>mantequilleras</w:t>
      </w:r>
      <w:r>
        <w:t>?" y cuando se di</w:t>
      </w:r>
      <w:r w:rsidR="001040E7">
        <w:t>g</w:t>
      </w:r>
      <w:r w:rsidR="00407ABE">
        <w:t>a</w:t>
      </w:r>
      <w:r>
        <w:t xml:space="preserve">: “Son terneros de vacas lecheras, </w:t>
      </w:r>
      <w:r w:rsidR="00407ABE">
        <w:t>Venerable Señor</w:t>
      </w:r>
      <w:r>
        <w:t>”, [observ</w:t>
      </w:r>
      <w:r w:rsidR="001040E7">
        <w:t>e</w:t>
      </w:r>
      <w:r>
        <w:t xml:space="preserve">] “No son terneros de vacas lecheras. Si fueran terneros de vacas lecheras, los </w:t>
      </w:r>
      <w:proofErr w:type="spellStart"/>
      <w:r w:rsidR="00057BF4" w:rsidRPr="00057BF4">
        <w:rPr>
          <w:i/>
        </w:rPr>
        <w:t>bhikkhu</w:t>
      </w:r>
      <w:r>
        <w:t>s</w:t>
      </w:r>
      <w:proofErr w:type="spellEnd"/>
      <w:r>
        <w:t xml:space="preserve"> estarían recibiendo leche”, etc.; y el hacer llegar </w:t>
      </w:r>
      <w:r w:rsidR="002F179D">
        <w:t>este</w:t>
      </w:r>
      <w:r>
        <w:t xml:space="preserve"> </w:t>
      </w:r>
      <w:r w:rsidR="002F179D">
        <w:t>razonamiento</w:t>
      </w:r>
      <w:r>
        <w:t xml:space="preserve"> </w:t>
      </w:r>
      <w:r w:rsidR="002F179D">
        <w:t>a</w:t>
      </w:r>
      <w:r>
        <w:t xml:space="preserve"> los padres de los niños </w:t>
      </w:r>
      <w:r w:rsidR="007D53F1">
        <w:t>así</w:t>
      </w:r>
      <w:r>
        <w:t>, y hace</w:t>
      </w:r>
      <w:r w:rsidR="002F179D">
        <w:t xml:space="preserve"> </w:t>
      </w:r>
      <w:r>
        <w:t xml:space="preserve">que </w:t>
      </w:r>
      <w:r w:rsidR="002F179D">
        <w:t xml:space="preserve">se les </w:t>
      </w:r>
      <w:r>
        <w:t>de leche, es</w:t>
      </w:r>
      <w:r w:rsidR="007D53F1">
        <w:t>o es</w:t>
      </w:r>
      <w:r>
        <w:t xml:space="preserve"> </w:t>
      </w:r>
      <w:r w:rsidRPr="003D6E15">
        <w:rPr>
          <w:i/>
          <w:iCs/>
        </w:rPr>
        <w:t>dar una indicación</w:t>
      </w:r>
      <w:r>
        <w:t>.</w:t>
      </w:r>
    </w:p>
    <w:p w14:paraId="30573A96" w14:textId="2C543C04" w:rsidR="006818BC" w:rsidRDefault="006818BC" w:rsidP="006818BC">
      <w:r>
        <w:t xml:space="preserve">78. </w:t>
      </w:r>
      <w:r w:rsidR="003D6E15">
        <w:tab/>
      </w:r>
      <w:r w:rsidRPr="003D6E15">
        <w:rPr>
          <w:i/>
          <w:iCs/>
        </w:rPr>
        <w:t xml:space="preserve">El </w:t>
      </w:r>
      <w:r w:rsidR="002F179D">
        <w:rPr>
          <w:i/>
          <w:iCs/>
        </w:rPr>
        <w:t>lenguaje</w:t>
      </w:r>
      <w:r w:rsidRPr="003D6E15">
        <w:rPr>
          <w:i/>
          <w:iCs/>
        </w:rPr>
        <w:t xml:space="preserve"> indirect</w:t>
      </w:r>
      <w:r w:rsidR="002F179D">
        <w:rPr>
          <w:i/>
          <w:iCs/>
        </w:rPr>
        <w:t>o</w:t>
      </w:r>
      <w:r>
        <w:t xml:space="preserve"> es una conversación que se </w:t>
      </w:r>
      <w:r w:rsidR="002D2F83">
        <w:t>reali</w:t>
      </w:r>
      <w:r w:rsidR="007D53F1">
        <w:t>ce</w:t>
      </w:r>
      <w:r>
        <w:t xml:space="preserve"> cerca [de</w:t>
      </w:r>
      <w:r w:rsidR="007D53F1">
        <w:t xml:space="preserve"> un</w:t>
      </w:r>
      <w:r>
        <w:t xml:space="preserve"> sujeto]. Y aquí debe contarse la historia del </w:t>
      </w:r>
      <w:proofErr w:type="spellStart"/>
      <w:r w:rsidR="00057BF4" w:rsidRPr="00057BF4">
        <w:rPr>
          <w:i/>
          <w:iCs/>
        </w:rPr>
        <w:t>bhikkhu</w:t>
      </w:r>
      <w:proofErr w:type="spellEnd"/>
      <w:r>
        <w:t xml:space="preserve"> sostenido por una familia. Un </w:t>
      </w:r>
      <w:proofErr w:type="spellStart"/>
      <w:r w:rsidR="00057BF4" w:rsidRPr="00057BF4">
        <w:rPr>
          <w:i/>
          <w:iCs/>
        </w:rPr>
        <w:t>bhikkhu</w:t>
      </w:r>
      <w:proofErr w:type="spellEnd"/>
      <w:r>
        <w:t xml:space="preserve">, al parecer, que estaba apoyado por una familia, entró </w:t>
      </w:r>
      <w:r w:rsidR="002D2F83">
        <w:t>a</w:t>
      </w:r>
      <w:r>
        <w:t xml:space="preserve"> la casa con ganas de comer y se sentó. La dueña de la casa no estaba dispuesta a </w:t>
      </w:r>
      <w:r w:rsidR="002D2F83">
        <w:t>ofrecerle nada</w:t>
      </w:r>
      <w:r>
        <w:t xml:space="preserve">. Al verlo dijo: “No hay arroz”, y fue a la casa de un vecino como </w:t>
      </w:r>
      <w:r w:rsidR="00A80FFF">
        <w:t xml:space="preserve">para </w:t>
      </w:r>
      <w:r>
        <w:t xml:space="preserve">buscar arroz. El </w:t>
      </w:r>
      <w:proofErr w:type="spellStart"/>
      <w:r w:rsidR="00057BF4" w:rsidRPr="00057BF4">
        <w:rPr>
          <w:i/>
          <w:iCs/>
        </w:rPr>
        <w:t>bhikkhu</w:t>
      </w:r>
      <w:proofErr w:type="spellEnd"/>
      <w:r>
        <w:t xml:space="preserve"> entró </w:t>
      </w:r>
      <w:r w:rsidR="002D2F83">
        <w:t>a</w:t>
      </w:r>
      <w:r>
        <w:t xml:space="preserve">l almacén. </w:t>
      </w:r>
      <w:r w:rsidR="00A80FFF">
        <w:t>Al mirar</w:t>
      </w:r>
      <w:r>
        <w:t xml:space="preserve"> a su alrededor, vio caña de azúcar en la esquina detrás de la puerta, azúcar en un tazón, una ristra de pescado salado en una canasta, arroz en un frasco y </w:t>
      </w:r>
      <w:proofErr w:type="spellStart"/>
      <w:r w:rsidRPr="003D6E15">
        <w:rPr>
          <w:i/>
          <w:iCs/>
        </w:rPr>
        <w:t>ghee</w:t>
      </w:r>
      <w:proofErr w:type="spellEnd"/>
      <w:r>
        <w:t xml:space="preserve"> en una olla. Salió </w:t>
      </w:r>
      <w:r w:rsidR="00C11179">
        <w:t xml:space="preserve">del almacén </w:t>
      </w:r>
      <w:r>
        <w:t xml:space="preserve">y se sentó. Cuando el ama de casa regresó, dijo: “No compré arroz”. El </w:t>
      </w:r>
      <w:proofErr w:type="spellStart"/>
      <w:r w:rsidR="00057BF4" w:rsidRPr="00057BF4">
        <w:rPr>
          <w:i/>
          <w:iCs/>
        </w:rPr>
        <w:t>bhikkhu</w:t>
      </w:r>
      <w:proofErr w:type="spellEnd"/>
      <w:r>
        <w:t xml:space="preserve"> dijo: “Seguidor</w:t>
      </w:r>
      <w:r w:rsidR="00433064">
        <w:t>a</w:t>
      </w:r>
      <w:r>
        <w:t xml:space="preserve"> laic</w:t>
      </w:r>
      <w:r w:rsidR="00433064">
        <w:t>a</w:t>
      </w:r>
      <w:r>
        <w:t xml:space="preserve">, hace un momento vi un </w:t>
      </w:r>
      <w:r w:rsidR="00FE0037" w:rsidRPr="00FE0037">
        <w:t xml:space="preserve">signo </w:t>
      </w:r>
      <w:r>
        <w:t>de que hoy no ser</w:t>
      </w:r>
      <w:r w:rsidR="00433064">
        <w:t>ía</w:t>
      </w:r>
      <w:r>
        <w:t xml:space="preserve"> fácil conseguir </w:t>
      </w:r>
      <w:r w:rsidR="00433064">
        <w:t>ofrendas</w:t>
      </w:r>
      <w:r>
        <w:t>.”—“¿</w:t>
      </w:r>
      <w:r w:rsidR="00C11179">
        <w:t xml:space="preserve">Cuál </w:t>
      </w:r>
      <w:r w:rsidR="00FE0037">
        <w:t>signo</w:t>
      </w:r>
      <w:r>
        <w:t xml:space="preserve">, </w:t>
      </w:r>
      <w:r w:rsidR="003E350B">
        <w:t>Venerable Señor</w:t>
      </w:r>
      <w:r>
        <w:t xml:space="preserve">?”—“Vi una serpiente que era como </w:t>
      </w:r>
      <w:r w:rsidR="00433064">
        <w:t xml:space="preserve">una </w:t>
      </w:r>
      <w:r>
        <w:t xml:space="preserve">caña de azúcar puesta en la esquina detrás de </w:t>
      </w:r>
      <w:r w:rsidR="00433064">
        <w:t>un</w:t>
      </w:r>
      <w:r>
        <w:t>a puerta; buscando con qué golpearl</w:t>
      </w:r>
      <w:r w:rsidR="00E26571">
        <w:t>a</w:t>
      </w:r>
      <w:r>
        <w:t xml:space="preserve">, vi una piedra como un terrón de azúcar en un </w:t>
      </w:r>
      <w:r w:rsidR="00E26571">
        <w:t>tazón</w:t>
      </w:r>
      <w:r>
        <w:t xml:space="preserve">. Cuando la serpiente había sido golpeada con el terrón, extendió una capucha como una cuerda de pescado salado en una canasta, y sus dientes al tratar de morder el terrón </w:t>
      </w:r>
      <w:r w:rsidR="003E350B">
        <w:t>fueron</w:t>
      </w:r>
      <w:r>
        <w:t xml:space="preserve"> como </w:t>
      </w:r>
      <w:r w:rsidR="00AB6E7F">
        <w:t xml:space="preserve">los </w:t>
      </w:r>
      <w:r>
        <w:t xml:space="preserve">granos de arroz en un frasco. Entonces la saliva mezclada con veneno que salió de su boca en su furia fue como </w:t>
      </w:r>
      <w:r w:rsidR="00AB6E7F">
        <w:t xml:space="preserve">el </w:t>
      </w:r>
      <w:proofErr w:type="spellStart"/>
      <w:r w:rsidRPr="00AB6E7F">
        <w:rPr>
          <w:i/>
          <w:iCs/>
        </w:rPr>
        <w:t>ghee</w:t>
      </w:r>
      <w:proofErr w:type="spellEnd"/>
      <w:r>
        <w:t xml:space="preserve"> puesto en una olla”. Ella pensó: "No hay que engañar al </w:t>
      </w:r>
      <w:r w:rsidR="00BB2EE5">
        <w:t>rapado</w:t>
      </w:r>
      <w:r>
        <w:t xml:space="preserve">", así que le dio la caña de azúcar [29] y cocinó el arroz y se lo dio todo con </w:t>
      </w:r>
      <w:proofErr w:type="spellStart"/>
      <w:r w:rsidRPr="00DF6BF7">
        <w:rPr>
          <w:i/>
          <w:iCs/>
        </w:rPr>
        <w:t>ghee</w:t>
      </w:r>
      <w:proofErr w:type="spellEnd"/>
      <w:r>
        <w:t>, azúcar y pescado.</w:t>
      </w:r>
    </w:p>
    <w:p w14:paraId="1D6F6609" w14:textId="3C24B1CA" w:rsidR="006818BC" w:rsidRDefault="006818BC" w:rsidP="006818BC">
      <w:r>
        <w:t xml:space="preserve">79. </w:t>
      </w:r>
      <w:r w:rsidR="00F47777">
        <w:tab/>
      </w:r>
      <w:r>
        <w:t>Tal conversación que se manten</w:t>
      </w:r>
      <w:r w:rsidR="00BB2EE5">
        <w:t>ga</w:t>
      </w:r>
      <w:r>
        <w:t xml:space="preserve"> cercana [al sujeto] debe entenderse como </w:t>
      </w:r>
      <w:r w:rsidRPr="00DF6BF7">
        <w:rPr>
          <w:i/>
          <w:iCs/>
        </w:rPr>
        <w:t>conversación indirecta</w:t>
      </w:r>
      <w:r>
        <w:t>. Charla indirecta es dar</w:t>
      </w:r>
      <w:r w:rsidR="006B7F76">
        <w:t>le</w:t>
      </w:r>
      <w:r>
        <w:t xml:space="preserve"> vueltas y vueltas [</w:t>
      </w:r>
      <w:r w:rsidR="006B7F76">
        <w:t>al asunto</w:t>
      </w:r>
      <w:r>
        <w:t xml:space="preserve">] </w:t>
      </w:r>
      <w:r w:rsidR="006B7F76">
        <w:t xml:space="preserve">a tal punto que </w:t>
      </w:r>
      <w:r>
        <w:t xml:space="preserve">se </w:t>
      </w:r>
      <w:r w:rsidR="001C07AD">
        <w:t>disuada a</w:t>
      </w:r>
      <w:r w:rsidR="00962EC9">
        <w:t xml:space="preserve"> hacerlo</w:t>
      </w:r>
      <w:r>
        <w:t>.</w:t>
      </w:r>
    </w:p>
    <w:p w14:paraId="55AA1D11" w14:textId="2268A816" w:rsidR="006818BC" w:rsidRDefault="006818BC" w:rsidP="006818BC">
      <w:r>
        <w:t xml:space="preserve">80. </w:t>
      </w:r>
      <w:r w:rsidR="00F47777">
        <w:tab/>
      </w:r>
      <w:r>
        <w:t xml:space="preserve">En la descripción de </w:t>
      </w:r>
      <w:r w:rsidRPr="00F47777">
        <w:rPr>
          <w:i/>
          <w:iCs/>
        </w:rPr>
        <w:t>menospreci</w:t>
      </w:r>
      <w:r w:rsidR="00962EC9">
        <w:rPr>
          <w:i/>
          <w:iCs/>
        </w:rPr>
        <w:t>ar</w:t>
      </w:r>
      <w:r>
        <w:t xml:space="preserve">: </w:t>
      </w:r>
      <w:r w:rsidR="00F47777">
        <w:rPr>
          <w:i/>
          <w:iCs/>
        </w:rPr>
        <w:t>insultar</w:t>
      </w:r>
      <w:r w:rsidR="00F47777">
        <w:t xml:space="preserve"> </w:t>
      </w:r>
      <w:r>
        <w:t xml:space="preserve">es </w:t>
      </w:r>
      <w:r w:rsidR="0075088A">
        <w:t xml:space="preserve">insultar por </w:t>
      </w:r>
      <w:r>
        <w:t xml:space="preserve">medio de los diez casos de </w:t>
      </w:r>
      <w:r w:rsidR="00962EC9">
        <w:t>insultó</w:t>
      </w:r>
      <w:r>
        <w:t>.</w:t>
      </w:r>
      <w:r w:rsidRPr="0085239C">
        <w:rPr>
          <w:vertAlign w:val="superscript"/>
        </w:rPr>
        <w:t>25</w:t>
      </w:r>
      <w:r>
        <w:t xml:space="preserve"> </w:t>
      </w:r>
      <w:r w:rsidRPr="00526173">
        <w:rPr>
          <w:i/>
          <w:iCs/>
        </w:rPr>
        <w:t>Menospreciar</w:t>
      </w:r>
      <w:r>
        <w:t xml:space="preserve"> es hablar con desdén. </w:t>
      </w:r>
      <w:r w:rsidR="00C971FB">
        <w:t xml:space="preserve">Reprochar </w:t>
      </w:r>
      <w:r>
        <w:t xml:space="preserve">es una enumeración de faltas tales como “Es incrédulo, es un incrédulo”. </w:t>
      </w:r>
      <w:r w:rsidR="00C971FB" w:rsidRPr="00813A8F">
        <w:rPr>
          <w:i/>
          <w:iCs/>
        </w:rPr>
        <w:t>Desairar</w:t>
      </w:r>
      <w:r w:rsidR="00C971FB">
        <w:t xml:space="preserve"> </w:t>
      </w:r>
      <w:r>
        <w:t>es aceptar verbalmente</w:t>
      </w:r>
      <w:r w:rsidR="00C971FB">
        <w:t xml:space="preserve"> así</w:t>
      </w:r>
      <w:r>
        <w:t>,</w:t>
      </w:r>
    </w:p>
    <w:p w14:paraId="7A29FF0C" w14:textId="77777777" w:rsidR="006818BC" w:rsidRPr="006818BC" w:rsidRDefault="006818BC" w:rsidP="006818BC">
      <w:pPr>
        <w:pStyle w:val="PiedepginaLegal"/>
        <w:rPr>
          <w:u w:val="single"/>
        </w:rPr>
      </w:pPr>
      <w:r w:rsidRPr="006818BC">
        <w:rPr>
          <w:u w:val="single"/>
        </w:rPr>
        <w:t xml:space="preserve">                                                                                                                                                            .</w:t>
      </w:r>
    </w:p>
    <w:p w14:paraId="382A6273" w14:textId="7B5C22AE" w:rsidR="006818BC" w:rsidRDefault="006818BC" w:rsidP="006818BC">
      <w:pPr>
        <w:pStyle w:val="PiedepginaLegal"/>
      </w:pPr>
      <w:r>
        <w:t xml:space="preserve">… </w:t>
      </w:r>
      <w:r>
        <w:tab/>
      </w:r>
      <w:r w:rsidR="001170E7">
        <w:t>a</w:t>
      </w:r>
      <w:r>
        <w:t xml:space="preserve">l otro, '¿De quién es esta </w:t>
      </w:r>
      <w:r w:rsidR="00E6669C">
        <w:t>joven</w:t>
      </w:r>
      <w:r>
        <w:t xml:space="preserve">, </w:t>
      </w:r>
      <w:r w:rsidR="001170E7">
        <w:t>Venerable Señor</w:t>
      </w:r>
      <w:r>
        <w:t>?'— 'Es la hija de nuestro partidario</w:t>
      </w:r>
      <w:r w:rsidR="00E6669C">
        <w:t>,</w:t>
      </w:r>
      <w:r>
        <w:t xml:space="preserve"> el vendedor de aceite, amigo. Cuando vamos a casa de su madre y nos da </w:t>
      </w:r>
      <w:proofErr w:type="spellStart"/>
      <w:r w:rsidRPr="0075088A">
        <w:rPr>
          <w:i/>
          <w:iCs/>
        </w:rPr>
        <w:t>ghee</w:t>
      </w:r>
      <w:proofErr w:type="spellEnd"/>
      <w:r>
        <w:t xml:space="preserve">, lo da en </w:t>
      </w:r>
      <w:r w:rsidR="00E6669C">
        <w:t>un</w:t>
      </w:r>
      <w:r>
        <w:t xml:space="preserve">a olla. Y esta niña también lo da en </w:t>
      </w:r>
      <w:r w:rsidR="00E6669C">
        <w:t>un</w:t>
      </w:r>
      <w:r>
        <w:t xml:space="preserve">a olla como lo hace su madre’”. Citado en </w:t>
      </w:r>
      <w:proofErr w:type="spellStart"/>
      <w:r>
        <w:t>Vism-mhþ</w:t>
      </w:r>
      <w:proofErr w:type="spellEnd"/>
      <w:r>
        <w:t xml:space="preserve"> 46.</w:t>
      </w:r>
    </w:p>
    <w:p w14:paraId="46B662D6" w14:textId="5F79A1BF" w:rsidR="006818BC" w:rsidRDefault="006818BC" w:rsidP="006818BC">
      <w:pPr>
        <w:pStyle w:val="PiedepginaLegal"/>
      </w:pPr>
      <w:r>
        <w:t xml:space="preserve">25. </w:t>
      </w:r>
      <w:r>
        <w:tab/>
        <w:t xml:space="preserve">Los “diez casos de </w:t>
      </w:r>
      <w:r w:rsidR="00DE43D7">
        <w:t>insulto</w:t>
      </w:r>
      <w:r>
        <w:t>” (</w:t>
      </w:r>
      <w:proofErr w:type="spellStart"/>
      <w:r w:rsidRPr="0075088A">
        <w:rPr>
          <w:i/>
          <w:iCs/>
        </w:rPr>
        <w:t>akkosa-vatthu</w:t>
      </w:r>
      <w:proofErr w:type="spellEnd"/>
      <w:r>
        <w:t xml:space="preserve">) se dan en el </w:t>
      </w:r>
      <w:proofErr w:type="spellStart"/>
      <w:r w:rsidRPr="0075088A">
        <w:rPr>
          <w:i/>
          <w:iCs/>
        </w:rPr>
        <w:t>Sammohavinodanì</w:t>
      </w:r>
      <w:proofErr w:type="spellEnd"/>
      <w:r>
        <w:t xml:space="preserve"> (</w:t>
      </w:r>
      <w:proofErr w:type="spellStart"/>
      <w:r>
        <w:t>Vibha</w:t>
      </w:r>
      <w:proofErr w:type="spellEnd"/>
      <w:r>
        <w:t xml:space="preserve"> 340) como: “Eres un ladrón, eres un tonto, eres un idiota, eres un camello (</w:t>
      </w:r>
      <w:proofErr w:type="spellStart"/>
      <w:r w:rsidRPr="0075088A">
        <w:rPr>
          <w:i/>
          <w:iCs/>
        </w:rPr>
        <w:t>oṭṭha</w:t>
      </w:r>
      <w:proofErr w:type="spellEnd"/>
      <w:r>
        <w:t>),</w:t>
      </w:r>
      <w:r>
        <w:br w:type="page"/>
      </w:r>
    </w:p>
    <w:p w14:paraId="3048FE9A" w14:textId="77777777" w:rsidR="002D0186" w:rsidRDefault="002D0186" w:rsidP="002D0186"/>
    <w:p w14:paraId="2295229B" w14:textId="0C83F2DF" w:rsidR="002D0186" w:rsidRDefault="002D0186" w:rsidP="002D0186">
      <w:r>
        <w:t xml:space="preserve">"No diga eso aquí". </w:t>
      </w:r>
      <w:r w:rsidR="001A6A46">
        <w:t xml:space="preserve">Despreciar </w:t>
      </w:r>
      <w:r>
        <w:t xml:space="preserve">en todos los sentidos, dando motivos y razones, es </w:t>
      </w:r>
      <w:r w:rsidRPr="0075088A">
        <w:rPr>
          <w:i/>
          <w:iCs/>
        </w:rPr>
        <w:t>un desprecio continuo</w:t>
      </w:r>
      <w:r>
        <w:t xml:space="preserve">. O bien, cuando alguien no da, </w:t>
      </w:r>
      <w:r w:rsidR="00826F88">
        <w:t>y se le habla</w:t>
      </w:r>
      <w:r>
        <w:t xml:space="preserve"> así, “¡Oh, el </w:t>
      </w:r>
      <w:r w:rsidR="000B5FFA">
        <w:t xml:space="preserve">Príncipe </w:t>
      </w:r>
      <w:r>
        <w:t xml:space="preserve">de los </w:t>
      </w:r>
      <w:r w:rsidR="0096352C">
        <w:t>donantes</w:t>
      </w:r>
      <w:r>
        <w:t>!” est</w:t>
      </w:r>
      <w:r w:rsidR="007C39AD">
        <w:t>ar</w:t>
      </w:r>
      <w:r>
        <w:t xml:space="preserve">á desairando; y el completo desaire </w:t>
      </w:r>
      <w:r w:rsidR="007C39AD">
        <w:t xml:space="preserve">sería </w:t>
      </w:r>
      <w:r>
        <w:t>así, "¡</w:t>
      </w:r>
      <w:r w:rsidR="00826F88">
        <w:t xml:space="preserve">Es un </w:t>
      </w:r>
      <w:r>
        <w:t xml:space="preserve">poderoso </w:t>
      </w:r>
      <w:r w:rsidR="00826F88">
        <w:t xml:space="preserve">Príncipe </w:t>
      </w:r>
      <w:r>
        <w:t xml:space="preserve">de los </w:t>
      </w:r>
      <w:r w:rsidR="0096352C">
        <w:t>donantes</w:t>
      </w:r>
      <w:r>
        <w:t xml:space="preserve">!" es un </w:t>
      </w:r>
      <w:r w:rsidRPr="0075088A">
        <w:rPr>
          <w:i/>
          <w:iCs/>
        </w:rPr>
        <w:t>desaire continuo</w:t>
      </w:r>
      <w:r>
        <w:t xml:space="preserve">. </w:t>
      </w:r>
      <w:r w:rsidRPr="0075088A">
        <w:rPr>
          <w:i/>
          <w:iCs/>
        </w:rPr>
        <w:t>Ridiculizar</w:t>
      </w:r>
      <w:r>
        <w:t xml:space="preserve"> es burlarse de alguien así: “¿Qué clase de vida tiene este hombre que come su </w:t>
      </w:r>
      <w:r w:rsidR="00CE5DEE">
        <w:t xml:space="preserve">propia </w:t>
      </w:r>
      <w:r>
        <w:t xml:space="preserve">semilla [grano]?” El </w:t>
      </w:r>
      <w:r w:rsidRPr="0075088A">
        <w:rPr>
          <w:i/>
          <w:iCs/>
        </w:rPr>
        <w:t>ridículo continuo</w:t>
      </w:r>
      <w:r>
        <w:t xml:space="preserve"> se burla de él más a fondo, así: "¿Qué, dice que este hombre no es un </w:t>
      </w:r>
      <w:r w:rsidR="00CE5DEE">
        <w:t>donante</w:t>
      </w:r>
      <w:r>
        <w:t xml:space="preserve"> </w:t>
      </w:r>
      <w:r w:rsidR="00C36490">
        <w:t>si</w:t>
      </w:r>
      <w:r>
        <w:t xml:space="preserve"> siempre </w:t>
      </w:r>
      <w:r w:rsidR="00AD5495">
        <w:t xml:space="preserve">ofrece las siguientes </w:t>
      </w:r>
      <w:r>
        <w:t xml:space="preserve">palabras </w:t>
      </w:r>
      <w:r w:rsidR="00AD5495">
        <w:t xml:space="preserve">a todo el mundo </w:t>
      </w:r>
      <w:r>
        <w:t>'No hay nada'?"</w:t>
      </w:r>
    </w:p>
    <w:p w14:paraId="4E5D6A2D" w14:textId="7A8600E5" w:rsidR="002D0186" w:rsidRDefault="002D0186" w:rsidP="002D0186">
      <w:r>
        <w:t xml:space="preserve">81. </w:t>
      </w:r>
      <w:r w:rsidR="0085239C">
        <w:tab/>
      </w:r>
      <w:r w:rsidRPr="0075088A">
        <w:rPr>
          <w:i/>
          <w:iCs/>
        </w:rPr>
        <w:t>Denigrar</w:t>
      </w:r>
      <w:r w:rsidRPr="0075088A">
        <w:rPr>
          <w:vertAlign w:val="superscript"/>
        </w:rPr>
        <w:t>26</w:t>
      </w:r>
      <w:r w:rsidRPr="0075088A">
        <w:rPr>
          <w:i/>
          <w:iCs/>
        </w:rPr>
        <w:t xml:space="preserve"> es denigrar a alguien diciendo que no es </w:t>
      </w:r>
      <w:r w:rsidR="00E5311C">
        <w:rPr>
          <w:i/>
          <w:iCs/>
        </w:rPr>
        <w:t xml:space="preserve">un </w:t>
      </w:r>
      <w:r w:rsidR="00AD5495">
        <w:rPr>
          <w:i/>
          <w:iCs/>
        </w:rPr>
        <w:t>donante</w:t>
      </w:r>
      <w:r w:rsidRPr="0075088A">
        <w:rPr>
          <w:i/>
          <w:iCs/>
        </w:rPr>
        <w:t>, o censurándolo. La denigración total es una denigración continua</w:t>
      </w:r>
      <w:r>
        <w:t xml:space="preserve">. </w:t>
      </w:r>
      <w:r w:rsidRPr="00966652">
        <w:rPr>
          <w:i/>
          <w:iCs/>
        </w:rPr>
        <w:t>Contar cuentos</w:t>
      </w:r>
      <w:r>
        <w:t xml:space="preserve"> es contar cuentos de casa en casa, de pueblo en pueblo, de distrito en distrito, [pensando] “Así me darán por temor a que yo cuente cuentos”. </w:t>
      </w:r>
      <w:r w:rsidR="002C24F4" w:rsidRPr="002C24F4">
        <w:rPr>
          <w:i/>
          <w:iCs/>
        </w:rPr>
        <w:t>Calumniar</w:t>
      </w:r>
      <w:r w:rsidR="002C24F4">
        <w:t xml:space="preserve"> </w:t>
      </w:r>
      <w:r>
        <w:t>es hablar censurando a espaldas de otro después de hablarle amablemente a la cara; porque esto es como morder la carne de la espalda de</w:t>
      </w:r>
      <w:r w:rsidR="00966652">
        <w:t>l</w:t>
      </w:r>
      <w:r>
        <w:t xml:space="preserve"> otro, cuando no est</w:t>
      </w:r>
      <w:r w:rsidR="004310F5">
        <w:t>é</w:t>
      </w:r>
      <w:r>
        <w:t xml:space="preserve"> mirando, </w:t>
      </w:r>
      <w:r w:rsidR="008A35CB">
        <w:t>por</w:t>
      </w:r>
      <w:r w:rsidR="004310F5">
        <w:t xml:space="preserve"> </w:t>
      </w:r>
      <w:r>
        <w:t xml:space="preserve">parte de </w:t>
      </w:r>
      <w:r w:rsidR="008A35CB">
        <w:t>alguien</w:t>
      </w:r>
      <w:r>
        <w:t xml:space="preserve"> que no puede mirarlo a la cara; por eso se llama </w:t>
      </w:r>
      <w:r w:rsidRPr="002C24F4">
        <w:rPr>
          <w:i/>
          <w:iCs/>
        </w:rPr>
        <w:t>calumniar</w:t>
      </w:r>
      <w:r>
        <w:t xml:space="preserve">. </w:t>
      </w:r>
      <w:r w:rsidR="00E72A8A">
        <w:t>A e</w:t>
      </w:r>
      <w:r>
        <w:t xml:space="preserve">sto se </w:t>
      </w:r>
      <w:r w:rsidR="00E72A8A">
        <w:t xml:space="preserve">le </w:t>
      </w:r>
      <w:r>
        <w:t xml:space="preserve">llama </w:t>
      </w:r>
      <w:r w:rsidRPr="0075088A">
        <w:rPr>
          <w:i/>
          <w:iCs/>
        </w:rPr>
        <w:t>menospreciar</w:t>
      </w:r>
      <w:r>
        <w:t xml:space="preserve"> (</w:t>
      </w:r>
      <w:proofErr w:type="spellStart"/>
      <w:r w:rsidRPr="0075088A">
        <w:rPr>
          <w:i/>
          <w:iCs/>
        </w:rPr>
        <w:t>nippesikatā</w:t>
      </w:r>
      <w:proofErr w:type="spellEnd"/>
      <w:r>
        <w:t xml:space="preserve">) porque </w:t>
      </w:r>
      <w:r w:rsidR="005C3318">
        <w:t xml:space="preserve">lija </w:t>
      </w:r>
      <w:r>
        <w:t>(</w:t>
      </w:r>
      <w:proofErr w:type="spellStart"/>
      <w:r w:rsidRPr="0075088A">
        <w:rPr>
          <w:i/>
          <w:iCs/>
        </w:rPr>
        <w:t>nippeseti</w:t>
      </w:r>
      <w:proofErr w:type="spellEnd"/>
      <w:r>
        <w:t xml:space="preserve">), </w:t>
      </w:r>
      <w:r w:rsidR="00394B6D">
        <w:t>es un abrasivo de</w:t>
      </w:r>
      <w:r>
        <w:t xml:space="preserve"> las cualidades virtuosas de los demás como un raspador de bambú (</w:t>
      </w:r>
      <w:proofErr w:type="spellStart"/>
      <w:r w:rsidRPr="0075088A">
        <w:rPr>
          <w:i/>
          <w:iCs/>
        </w:rPr>
        <w:t>veḷupesikā</w:t>
      </w:r>
      <w:proofErr w:type="spellEnd"/>
      <w:r>
        <w:t xml:space="preserve">) unge, o porque es una búsqueda de ganancias </w:t>
      </w:r>
      <w:r w:rsidR="00E72A8A">
        <w:t xml:space="preserve">a cambio de </w:t>
      </w:r>
      <w:r>
        <w:t>moler (</w:t>
      </w:r>
      <w:proofErr w:type="spellStart"/>
      <w:r w:rsidRPr="0075088A">
        <w:rPr>
          <w:i/>
          <w:iCs/>
        </w:rPr>
        <w:t>nippiṃsitvā</w:t>
      </w:r>
      <w:proofErr w:type="spellEnd"/>
      <w:r>
        <w:t xml:space="preserve">) y pulverizar las </w:t>
      </w:r>
      <w:r w:rsidR="006864D4">
        <w:t xml:space="preserve">cualidades virtuosas </w:t>
      </w:r>
      <w:r>
        <w:t>de los demá</w:t>
      </w:r>
      <w:r w:rsidR="00883A34">
        <w:t>s</w:t>
      </w:r>
      <w:r>
        <w:t xml:space="preserve">, como la búsqueda del perfume moliendo sustancias perfumadas; por eso se llama </w:t>
      </w:r>
      <w:r w:rsidR="00883A34" w:rsidRPr="0075088A">
        <w:rPr>
          <w:i/>
          <w:iCs/>
        </w:rPr>
        <w:t>menospreciar</w:t>
      </w:r>
      <w:r>
        <w:t>.</w:t>
      </w:r>
    </w:p>
    <w:p w14:paraId="70BF2054" w14:textId="755FD460" w:rsidR="002D0186" w:rsidRPr="00D37C5C" w:rsidRDefault="002D0186" w:rsidP="002D0186">
      <w:pPr>
        <w:rPr>
          <w:color w:val="222A35" w:themeColor="text2" w:themeShade="80"/>
        </w:rPr>
      </w:pPr>
      <w:r w:rsidRPr="00D37C5C">
        <w:rPr>
          <w:color w:val="222A35" w:themeColor="text2" w:themeShade="80"/>
        </w:rPr>
        <w:t xml:space="preserve">82. </w:t>
      </w:r>
      <w:r w:rsidR="00A827ED" w:rsidRPr="00D37C5C">
        <w:rPr>
          <w:color w:val="222A35" w:themeColor="text2" w:themeShade="80"/>
        </w:rPr>
        <w:tab/>
      </w:r>
      <w:r w:rsidRPr="00D37C5C">
        <w:rPr>
          <w:color w:val="222A35" w:themeColor="text2" w:themeShade="80"/>
        </w:rPr>
        <w:t xml:space="preserve">`En la descripción de </w:t>
      </w:r>
      <w:r w:rsidRPr="00D37C5C">
        <w:rPr>
          <w:i/>
          <w:iCs/>
          <w:color w:val="222A35" w:themeColor="text2" w:themeShade="80"/>
        </w:rPr>
        <w:t>perseguir ganancia con ganancia</w:t>
      </w:r>
      <w:r w:rsidRPr="00D37C5C">
        <w:rPr>
          <w:color w:val="222A35" w:themeColor="text2" w:themeShade="80"/>
        </w:rPr>
        <w:t xml:space="preserve">: perseguir es </w:t>
      </w:r>
      <w:r w:rsidR="008B372E" w:rsidRPr="00D37C5C">
        <w:rPr>
          <w:color w:val="222A35" w:themeColor="text2" w:themeShade="80"/>
        </w:rPr>
        <w:t xml:space="preserve">anhelar </w:t>
      </w:r>
      <w:r w:rsidR="00295FB9" w:rsidRPr="00D37C5C">
        <w:rPr>
          <w:color w:val="222A35" w:themeColor="text2" w:themeShade="80"/>
        </w:rPr>
        <w:t>algo</w:t>
      </w:r>
      <w:r w:rsidRPr="00D37C5C">
        <w:rPr>
          <w:color w:val="222A35" w:themeColor="text2" w:themeShade="80"/>
        </w:rPr>
        <w:t xml:space="preserve">. </w:t>
      </w:r>
      <w:r w:rsidRPr="00D37C5C">
        <w:rPr>
          <w:i/>
          <w:iCs/>
          <w:color w:val="222A35" w:themeColor="text2" w:themeShade="80"/>
        </w:rPr>
        <w:t>Obtenido de aquí</w:t>
      </w:r>
      <w:r w:rsidRPr="00D37C5C">
        <w:rPr>
          <w:color w:val="222A35" w:themeColor="text2" w:themeShade="80"/>
        </w:rPr>
        <w:t xml:space="preserve"> </w:t>
      </w:r>
      <w:r w:rsidR="005F3894" w:rsidRPr="00D37C5C">
        <w:rPr>
          <w:color w:val="222A35" w:themeColor="text2" w:themeShade="80"/>
        </w:rPr>
        <w:t>se refiere</w:t>
      </w:r>
      <w:r w:rsidRPr="00D37C5C">
        <w:rPr>
          <w:color w:val="222A35" w:themeColor="text2" w:themeShade="80"/>
        </w:rPr>
        <w:t xml:space="preserve"> </w:t>
      </w:r>
      <w:r w:rsidR="005F3894">
        <w:rPr>
          <w:color w:val="222A35" w:themeColor="text2" w:themeShade="80"/>
        </w:rPr>
        <w:t xml:space="preserve">a </w:t>
      </w:r>
      <w:r w:rsidRPr="00D37C5C">
        <w:rPr>
          <w:color w:val="222A35" w:themeColor="text2" w:themeShade="80"/>
        </w:rPr>
        <w:t xml:space="preserve">obtenido de esta casa. </w:t>
      </w:r>
      <w:r w:rsidRPr="00D37C5C">
        <w:rPr>
          <w:i/>
          <w:iCs/>
          <w:color w:val="222A35" w:themeColor="text2" w:themeShade="80"/>
        </w:rPr>
        <w:t>Hay</w:t>
      </w:r>
      <w:r w:rsidRPr="00D37C5C">
        <w:rPr>
          <w:color w:val="222A35" w:themeColor="text2" w:themeShade="80"/>
        </w:rPr>
        <w:t xml:space="preserve"> </w:t>
      </w:r>
      <w:r w:rsidR="00C85AFC" w:rsidRPr="00D37C5C">
        <w:rPr>
          <w:color w:val="222A35" w:themeColor="text2" w:themeShade="80"/>
        </w:rPr>
        <w:t>se refiere</w:t>
      </w:r>
      <w:r w:rsidR="00295FB9" w:rsidRPr="00D37C5C">
        <w:rPr>
          <w:color w:val="222A35" w:themeColor="text2" w:themeShade="80"/>
        </w:rPr>
        <w:t xml:space="preserve"> </w:t>
      </w:r>
      <w:r w:rsidRPr="00D37C5C">
        <w:rPr>
          <w:color w:val="222A35" w:themeColor="text2" w:themeShade="80"/>
        </w:rPr>
        <w:t xml:space="preserve">en esa casa. </w:t>
      </w:r>
      <w:r w:rsidRPr="00D37C5C">
        <w:rPr>
          <w:i/>
          <w:iCs/>
          <w:color w:val="222A35" w:themeColor="text2" w:themeShade="80"/>
        </w:rPr>
        <w:t>Buscar</w:t>
      </w:r>
      <w:r w:rsidRPr="00D37C5C">
        <w:rPr>
          <w:color w:val="222A35" w:themeColor="text2" w:themeShade="80"/>
        </w:rPr>
        <w:t xml:space="preserve"> es querer. </w:t>
      </w:r>
      <w:r w:rsidRPr="00D37C5C">
        <w:rPr>
          <w:i/>
          <w:iCs/>
          <w:color w:val="222A35" w:themeColor="text2" w:themeShade="80"/>
        </w:rPr>
        <w:t>Buscar</w:t>
      </w:r>
      <w:r w:rsidRPr="00D37C5C">
        <w:rPr>
          <w:color w:val="222A35" w:themeColor="text2" w:themeShade="80"/>
        </w:rPr>
        <w:t xml:space="preserve"> </w:t>
      </w:r>
      <w:r w:rsidR="00295FB9" w:rsidRPr="00D37C5C">
        <w:rPr>
          <w:i/>
          <w:iCs/>
          <w:color w:val="222A35" w:themeColor="text2" w:themeShade="80"/>
        </w:rPr>
        <w:t>por</w:t>
      </w:r>
      <w:r w:rsidR="00295FB9" w:rsidRPr="00D37C5C">
        <w:rPr>
          <w:color w:val="222A35" w:themeColor="text2" w:themeShade="80"/>
        </w:rPr>
        <w:t xml:space="preserve"> </w:t>
      </w:r>
      <w:r w:rsidR="00C85AFC" w:rsidRPr="00D37C5C">
        <w:rPr>
          <w:color w:val="222A35" w:themeColor="text2" w:themeShade="80"/>
        </w:rPr>
        <w:t xml:space="preserve">algo </w:t>
      </w:r>
      <w:r w:rsidRPr="00D37C5C">
        <w:rPr>
          <w:color w:val="222A35" w:themeColor="text2" w:themeShade="80"/>
        </w:rPr>
        <w:t xml:space="preserve">es </w:t>
      </w:r>
      <w:r w:rsidR="00295FB9" w:rsidRPr="00D37C5C">
        <w:rPr>
          <w:color w:val="222A35" w:themeColor="text2" w:themeShade="80"/>
        </w:rPr>
        <w:t xml:space="preserve">anhelar </w:t>
      </w:r>
      <w:r w:rsidR="00502218" w:rsidRPr="00D37C5C">
        <w:rPr>
          <w:color w:val="222A35" w:themeColor="text2" w:themeShade="80"/>
        </w:rPr>
        <w:t>algo</w:t>
      </w:r>
      <w:r w:rsidRPr="00D37C5C">
        <w:rPr>
          <w:color w:val="222A35" w:themeColor="text2" w:themeShade="80"/>
        </w:rPr>
        <w:t xml:space="preserve">. </w:t>
      </w:r>
      <w:r w:rsidR="004A5F89" w:rsidRPr="00D37C5C">
        <w:rPr>
          <w:i/>
          <w:iCs/>
          <w:color w:val="222A35" w:themeColor="text2" w:themeShade="80"/>
        </w:rPr>
        <w:t xml:space="preserve">Andar en </w:t>
      </w:r>
      <w:r w:rsidR="00FE6355" w:rsidRPr="00D37C5C">
        <w:rPr>
          <w:i/>
          <w:iCs/>
          <w:color w:val="222A35" w:themeColor="text2" w:themeShade="80"/>
        </w:rPr>
        <w:t>búsqueda de</w:t>
      </w:r>
      <w:r w:rsidR="00427AC8" w:rsidRPr="00D37C5C">
        <w:rPr>
          <w:i/>
          <w:iCs/>
          <w:color w:val="222A35" w:themeColor="text2" w:themeShade="80"/>
        </w:rPr>
        <w:t xml:space="preserve"> algo</w:t>
      </w:r>
      <w:r w:rsidRPr="00D37C5C">
        <w:rPr>
          <w:color w:val="222A35" w:themeColor="text2" w:themeShade="80"/>
        </w:rPr>
        <w:t xml:space="preserve"> es </w:t>
      </w:r>
      <w:r w:rsidR="00B149DE" w:rsidRPr="00D37C5C">
        <w:rPr>
          <w:color w:val="222A35" w:themeColor="text2" w:themeShade="80"/>
        </w:rPr>
        <w:t>anhelar algo</w:t>
      </w:r>
      <w:r w:rsidRPr="00D37C5C">
        <w:rPr>
          <w:color w:val="222A35" w:themeColor="text2" w:themeShade="80"/>
        </w:rPr>
        <w:t xml:space="preserve"> </w:t>
      </w:r>
      <w:r w:rsidR="00B149DE" w:rsidRPr="00D37C5C">
        <w:rPr>
          <w:color w:val="222A35" w:themeColor="text2" w:themeShade="80"/>
        </w:rPr>
        <w:t xml:space="preserve">una </w:t>
      </w:r>
      <w:r w:rsidRPr="00D37C5C">
        <w:rPr>
          <w:color w:val="222A35" w:themeColor="text2" w:themeShade="80"/>
        </w:rPr>
        <w:t xml:space="preserve">y otra vez. [30] La historia del </w:t>
      </w:r>
      <w:proofErr w:type="spellStart"/>
      <w:r w:rsidR="00057BF4" w:rsidRPr="00D37C5C">
        <w:rPr>
          <w:i/>
          <w:color w:val="222A35" w:themeColor="text2" w:themeShade="80"/>
        </w:rPr>
        <w:t>bhikkhu</w:t>
      </w:r>
      <w:proofErr w:type="spellEnd"/>
      <w:r w:rsidRPr="00D37C5C">
        <w:rPr>
          <w:color w:val="222A35" w:themeColor="text2" w:themeShade="80"/>
        </w:rPr>
        <w:t xml:space="preserve"> que anduvo </w:t>
      </w:r>
      <w:r w:rsidR="00974515" w:rsidRPr="00D37C5C">
        <w:rPr>
          <w:color w:val="222A35" w:themeColor="text2" w:themeShade="80"/>
        </w:rPr>
        <w:t>ofreciendo</w:t>
      </w:r>
      <w:r w:rsidRPr="00D37C5C">
        <w:rPr>
          <w:color w:val="222A35" w:themeColor="text2" w:themeShade="80"/>
        </w:rPr>
        <w:t xml:space="preserve"> las </w:t>
      </w:r>
      <w:r w:rsidR="00974515" w:rsidRPr="00D37C5C">
        <w:rPr>
          <w:color w:val="222A35" w:themeColor="text2" w:themeShade="80"/>
        </w:rPr>
        <w:t xml:space="preserve">ofrendas </w:t>
      </w:r>
      <w:r w:rsidRPr="00D37C5C">
        <w:rPr>
          <w:color w:val="222A35" w:themeColor="text2" w:themeShade="80"/>
        </w:rPr>
        <w:t xml:space="preserve">que había recibido al principio </w:t>
      </w:r>
      <w:r w:rsidR="00974515" w:rsidRPr="00D37C5C">
        <w:rPr>
          <w:color w:val="222A35" w:themeColor="text2" w:themeShade="80"/>
        </w:rPr>
        <w:t xml:space="preserve">por parte </w:t>
      </w:r>
      <w:r w:rsidR="00C933CD" w:rsidRPr="00D37C5C">
        <w:rPr>
          <w:color w:val="222A35" w:themeColor="text2" w:themeShade="80"/>
        </w:rPr>
        <w:t>de</w:t>
      </w:r>
      <w:r w:rsidRPr="00D37C5C">
        <w:rPr>
          <w:color w:val="222A35" w:themeColor="text2" w:themeShade="80"/>
        </w:rPr>
        <w:t xml:space="preserve"> </w:t>
      </w:r>
      <w:r w:rsidR="00974515" w:rsidRPr="00D37C5C">
        <w:rPr>
          <w:color w:val="222A35" w:themeColor="text2" w:themeShade="80"/>
        </w:rPr>
        <w:t xml:space="preserve">algunos </w:t>
      </w:r>
      <w:r w:rsidRPr="00D37C5C">
        <w:rPr>
          <w:color w:val="222A35" w:themeColor="text2" w:themeShade="80"/>
        </w:rPr>
        <w:t xml:space="preserve">niños de familias aquí y allá y al final obtuvo leche y gachas debe contarse aquí. </w:t>
      </w:r>
      <w:r w:rsidR="006372D4" w:rsidRPr="00D37C5C">
        <w:rPr>
          <w:i/>
          <w:iCs/>
          <w:color w:val="222A35" w:themeColor="text2" w:themeShade="80"/>
        </w:rPr>
        <w:t>Estar buscando</w:t>
      </w:r>
      <w:r w:rsidRPr="00D37C5C">
        <w:rPr>
          <w:color w:val="222A35" w:themeColor="text2" w:themeShade="80"/>
        </w:rPr>
        <w:t xml:space="preserve">, etc., son sinónimos de “buscar”, etc., por lo que la construcción aquí debe entenderse así: </w:t>
      </w:r>
      <w:r w:rsidRPr="00D37C5C">
        <w:rPr>
          <w:i/>
          <w:iCs/>
          <w:color w:val="222A35" w:themeColor="text2" w:themeShade="80"/>
        </w:rPr>
        <w:t xml:space="preserve">ir </w:t>
      </w:r>
      <w:r w:rsidR="00572729" w:rsidRPr="00D37C5C">
        <w:rPr>
          <w:i/>
          <w:iCs/>
          <w:color w:val="222A35" w:themeColor="text2" w:themeShade="80"/>
        </w:rPr>
        <w:t>en búsqueda de</w:t>
      </w:r>
      <w:r w:rsidR="009961E9" w:rsidRPr="00D37C5C">
        <w:rPr>
          <w:i/>
          <w:iCs/>
          <w:color w:val="222A35" w:themeColor="text2" w:themeShade="80"/>
        </w:rPr>
        <w:t xml:space="preserve"> algo</w:t>
      </w:r>
      <w:r w:rsidRPr="00D37C5C">
        <w:rPr>
          <w:color w:val="222A35" w:themeColor="text2" w:themeShade="80"/>
        </w:rPr>
        <w:t xml:space="preserve"> es buscar; </w:t>
      </w:r>
      <w:r w:rsidR="00BC09A6" w:rsidRPr="00D55591">
        <w:rPr>
          <w:i/>
          <w:iCs/>
          <w:color w:val="222A35" w:themeColor="text2" w:themeShade="80"/>
        </w:rPr>
        <w:t>ir buscando por algo</w:t>
      </w:r>
      <w:r w:rsidR="00BC09A6" w:rsidRPr="00D37C5C">
        <w:rPr>
          <w:color w:val="222A35" w:themeColor="text2" w:themeShade="80"/>
        </w:rPr>
        <w:t xml:space="preserve"> </w:t>
      </w:r>
      <w:r w:rsidRPr="00D37C5C">
        <w:rPr>
          <w:color w:val="222A35" w:themeColor="text2" w:themeShade="80"/>
        </w:rPr>
        <w:t>es buscar</w:t>
      </w:r>
      <w:r w:rsidR="001E3537" w:rsidRPr="00D37C5C">
        <w:rPr>
          <w:color w:val="222A35" w:themeColor="text2" w:themeShade="80"/>
        </w:rPr>
        <w:t xml:space="preserve"> algo</w:t>
      </w:r>
      <w:r w:rsidRPr="00D37C5C">
        <w:rPr>
          <w:color w:val="222A35" w:themeColor="text2" w:themeShade="80"/>
        </w:rPr>
        <w:t xml:space="preserve">; </w:t>
      </w:r>
      <w:r w:rsidR="00610B13" w:rsidRPr="00D37C5C">
        <w:rPr>
          <w:i/>
          <w:iCs/>
          <w:color w:val="222A35" w:themeColor="text2" w:themeShade="80"/>
        </w:rPr>
        <w:t>ir buscando algo</w:t>
      </w:r>
      <w:r w:rsidRPr="00D37C5C">
        <w:rPr>
          <w:color w:val="222A35" w:themeColor="text2" w:themeShade="80"/>
        </w:rPr>
        <w:t xml:space="preserve"> es buscar</w:t>
      </w:r>
      <w:r w:rsidR="00610B13" w:rsidRPr="00D37C5C">
        <w:rPr>
          <w:color w:val="222A35" w:themeColor="text2" w:themeShade="80"/>
        </w:rPr>
        <w:t xml:space="preserve"> algo</w:t>
      </w:r>
      <w:r w:rsidRPr="00D37C5C">
        <w:rPr>
          <w:color w:val="222A35" w:themeColor="text2" w:themeShade="80"/>
        </w:rPr>
        <w:t>.</w:t>
      </w:r>
    </w:p>
    <w:p w14:paraId="6F482A81" w14:textId="1C46541B" w:rsidR="002D0186" w:rsidRDefault="00525B43" w:rsidP="002D0186">
      <w:pPr>
        <w:pStyle w:val="NormalConSangria"/>
      </w:pPr>
      <w:r>
        <w:t>É</w:t>
      </w:r>
      <w:r w:rsidR="002D0186">
        <w:t xml:space="preserve">ste es el significado de </w:t>
      </w:r>
      <w:r w:rsidR="002D0186" w:rsidRPr="0085239C">
        <w:rPr>
          <w:i/>
          <w:iCs/>
        </w:rPr>
        <w:t>maquinar</w:t>
      </w:r>
      <w:r w:rsidR="002D0186">
        <w:t>, y así sucesivamente.</w:t>
      </w:r>
    </w:p>
    <w:p w14:paraId="3E937799" w14:textId="06A0A8FD" w:rsidR="002D0186" w:rsidRDefault="002D0186" w:rsidP="002D0186">
      <w:r>
        <w:t xml:space="preserve">83. </w:t>
      </w:r>
      <w:r w:rsidR="0085239C">
        <w:tab/>
      </w:r>
      <w:r>
        <w:t xml:space="preserve">Ahora, [con respecto a las palabras] </w:t>
      </w:r>
      <w:r w:rsidRPr="0085239C">
        <w:rPr>
          <w:i/>
          <w:iCs/>
        </w:rPr>
        <w:t>Los malos estados que comienzan con</w:t>
      </w:r>
      <w:r>
        <w:t xml:space="preserve"> (§42): aquí las palabras </w:t>
      </w:r>
      <w:r w:rsidRPr="00613AE1">
        <w:rPr>
          <w:i/>
          <w:iCs/>
        </w:rPr>
        <w:t>que comienzan con</w:t>
      </w:r>
      <w:r>
        <w:t xml:space="preserve"> deben entenderse como que incluyen los muchos estados malvados dados en el </w:t>
      </w:r>
      <w:proofErr w:type="spellStart"/>
      <w:r w:rsidRPr="0085239C">
        <w:rPr>
          <w:i/>
          <w:iCs/>
        </w:rPr>
        <w:t>Brahmajāla</w:t>
      </w:r>
      <w:proofErr w:type="spellEnd"/>
      <w:r w:rsidRPr="0085239C">
        <w:rPr>
          <w:i/>
          <w:iCs/>
        </w:rPr>
        <w:t xml:space="preserve"> Sutta</w:t>
      </w:r>
      <w:r>
        <w:t xml:space="preserve"> en el </w:t>
      </w:r>
      <w:r w:rsidR="00613AE1">
        <w:t>pasaje</w:t>
      </w:r>
      <w:r>
        <w:t xml:space="preserve"> que comienza, “O simplemente como algunos dignos ascetas, mientras comen el alimento dado por los fieles, se ganan la vida con medios de vida incorrectos, con artes tan bajas como estas, es decir, con la quiromancia, la adivinación, los presagios, la interpretación de los sueños, las marcas en el cuerpo, agujeros roídos por ratones; con sacrificio</w:t>
      </w:r>
      <w:r w:rsidR="00613AE1">
        <w:t>s</w:t>
      </w:r>
      <w:r>
        <w:t xml:space="preserve"> de fuego, con oblación de cuchara</w:t>
      </w:r>
      <w:r w:rsidR="002B751C">
        <w:t>s</w:t>
      </w:r>
      <w:r>
        <w:t>…” (D I 9).</w:t>
      </w:r>
    </w:p>
    <w:p w14:paraId="1452F951" w14:textId="77777777" w:rsidR="007561C1" w:rsidRDefault="007561C1" w:rsidP="002D0186"/>
    <w:p w14:paraId="3A5FEF3D" w14:textId="7E8AF19E" w:rsidR="002D0186" w:rsidRPr="002D0186" w:rsidRDefault="002D0186" w:rsidP="002D0186">
      <w:pPr>
        <w:pStyle w:val="PiedepginaLegal"/>
        <w:rPr>
          <w:u w:val="single"/>
        </w:rPr>
      </w:pPr>
      <w:r w:rsidRPr="002D0186">
        <w:rPr>
          <w:u w:val="single"/>
        </w:rPr>
        <w:t xml:space="preserve">                                                                                                                                                           .</w:t>
      </w:r>
    </w:p>
    <w:p w14:paraId="2C3772E2" w14:textId="77777777" w:rsidR="002D0186" w:rsidRDefault="002D0186" w:rsidP="002D0186">
      <w:pPr>
        <w:pStyle w:val="PiedepginaLegal"/>
      </w:pPr>
      <w:r>
        <w:t xml:space="preserve"> …</w:t>
      </w:r>
      <w:r>
        <w:tab/>
      </w:r>
    </w:p>
    <w:p w14:paraId="312A4BAA" w14:textId="5F1DB321" w:rsidR="002D0186" w:rsidRDefault="002D0186" w:rsidP="002D0186">
      <w:pPr>
        <w:pStyle w:val="PiedepginaLegal"/>
      </w:pPr>
      <w:r>
        <w:tab/>
        <w:t>eres un buey, eres un burro, perteneces a los estados de p</w:t>
      </w:r>
      <w:r w:rsidR="009F1945">
        <w:t>e</w:t>
      </w:r>
      <w:r>
        <w:t>rdi</w:t>
      </w:r>
      <w:r w:rsidR="00EA132A">
        <w:t>ción</w:t>
      </w:r>
      <w:r>
        <w:t>, perteneces al infierno, eres una bestia, no ha</w:t>
      </w:r>
      <w:r w:rsidR="001D5FC1">
        <w:t>brá</w:t>
      </w:r>
      <w:r>
        <w:t xml:space="preserve"> ni </w:t>
      </w:r>
      <w:r w:rsidR="001D5FC1">
        <w:t xml:space="preserve">siquiera </w:t>
      </w:r>
      <w:r>
        <w:t xml:space="preserve">un destino feliz o infeliz que </w:t>
      </w:r>
      <w:r w:rsidR="001D5FC1">
        <w:t>aguarde por</w:t>
      </w:r>
      <w:r>
        <w:t xml:space="preserve"> ti” (ver también Sn- un 364).</w:t>
      </w:r>
    </w:p>
    <w:p w14:paraId="21C86506" w14:textId="11F696E6" w:rsidR="007561C1" w:rsidRDefault="002D0186" w:rsidP="002D0186">
      <w:pPr>
        <w:pStyle w:val="PiedepginaLegal"/>
      </w:pPr>
      <w:r>
        <w:t xml:space="preserve">26. </w:t>
      </w:r>
      <w:r>
        <w:tab/>
        <w:t xml:space="preserve">Las siguientes palabras de este párrafo no están en </w:t>
      </w:r>
      <w:r w:rsidR="009F1945">
        <w:t xml:space="preserve">el </w:t>
      </w:r>
      <w:r>
        <w:t xml:space="preserve">PED: </w:t>
      </w:r>
      <w:proofErr w:type="spellStart"/>
      <w:r w:rsidRPr="0085239C">
        <w:rPr>
          <w:i/>
          <w:iCs/>
        </w:rPr>
        <w:t>Pāpanā</w:t>
      </w:r>
      <w:proofErr w:type="spellEnd"/>
      <w:r>
        <w:t xml:space="preserve"> (denigración), </w:t>
      </w:r>
      <w:proofErr w:type="spellStart"/>
      <w:r w:rsidRPr="0085239C">
        <w:rPr>
          <w:i/>
          <w:iCs/>
        </w:rPr>
        <w:t>pāpanaṃ</w:t>
      </w:r>
      <w:proofErr w:type="spellEnd"/>
      <w:r>
        <w:t xml:space="preserve"> (</w:t>
      </w:r>
      <w:proofErr w:type="spellStart"/>
      <w:r>
        <w:t>nt</w:t>
      </w:r>
      <w:proofErr w:type="spellEnd"/>
      <w:r>
        <w:t xml:space="preserve">. denigrar), </w:t>
      </w:r>
      <w:proofErr w:type="spellStart"/>
      <w:r w:rsidRPr="0085239C">
        <w:rPr>
          <w:i/>
          <w:iCs/>
        </w:rPr>
        <w:t>nippeseti</w:t>
      </w:r>
      <w:proofErr w:type="spellEnd"/>
      <w:r>
        <w:t xml:space="preserve"> (</w:t>
      </w:r>
      <w:r w:rsidR="009F1945">
        <w:t>lijar</w:t>
      </w:r>
      <w:r>
        <w:t xml:space="preserve">—¿de </w:t>
      </w:r>
      <w:proofErr w:type="spellStart"/>
      <w:r w:rsidRPr="0085239C">
        <w:rPr>
          <w:i/>
          <w:iCs/>
        </w:rPr>
        <w:t>piṃsati</w:t>
      </w:r>
      <w:proofErr w:type="spellEnd"/>
      <w:r>
        <w:t xml:space="preserve">? cf. </w:t>
      </w:r>
      <w:proofErr w:type="spellStart"/>
      <w:r w:rsidRPr="0085239C">
        <w:rPr>
          <w:i/>
          <w:iCs/>
        </w:rPr>
        <w:t>nippesikatā</w:t>
      </w:r>
      <w:proofErr w:type="spellEnd"/>
      <w:r>
        <w:t>— “menosprecia</w:t>
      </w:r>
      <w:r w:rsidR="009F1945">
        <w:t>r</w:t>
      </w:r>
      <w:r>
        <w:t xml:space="preserve">” §§42, 64), </w:t>
      </w:r>
      <w:proofErr w:type="spellStart"/>
      <w:r w:rsidRPr="0085239C">
        <w:rPr>
          <w:i/>
          <w:iCs/>
        </w:rPr>
        <w:t>nippuñchati</w:t>
      </w:r>
      <w:proofErr w:type="spellEnd"/>
      <w:r>
        <w:t xml:space="preserve"> (limpia—solo </w:t>
      </w:r>
      <w:proofErr w:type="spellStart"/>
      <w:r w:rsidRPr="0085239C">
        <w:rPr>
          <w:i/>
          <w:iCs/>
        </w:rPr>
        <w:t>puñchati</w:t>
      </w:r>
      <w:proofErr w:type="spellEnd"/>
      <w:r>
        <w:t xml:space="preserve"> en PED), </w:t>
      </w:r>
      <w:proofErr w:type="spellStart"/>
      <w:r w:rsidRPr="0085239C">
        <w:rPr>
          <w:i/>
          <w:iCs/>
        </w:rPr>
        <w:t>pesikā</w:t>
      </w:r>
      <w:proofErr w:type="spellEnd"/>
      <w:r>
        <w:t xml:space="preserve"> (raspador—no </w:t>
      </w:r>
      <w:r w:rsidR="00743E98">
        <w:t xml:space="preserve">está </w:t>
      </w:r>
      <w:r>
        <w:t xml:space="preserve">en este sentido en PED: de la misma raíz que </w:t>
      </w:r>
      <w:proofErr w:type="spellStart"/>
      <w:r w:rsidRPr="0085239C">
        <w:rPr>
          <w:i/>
          <w:iCs/>
        </w:rPr>
        <w:t>nippeseti</w:t>
      </w:r>
      <w:proofErr w:type="spellEnd"/>
      <w:r>
        <w:t xml:space="preserve">), </w:t>
      </w:r>
      <w:proofErr w:type="spellStart"/>
      <w:r w:rsidRPr="0085239C">
        <w:rPr>
          <w:i/>
          <w:iCs/>
        </w:rPr>
        <w:t>nippiṃsitvā</w:t>
      </w:r>
      <w:proofErr w:type="spellEnd"/>
      <w:r>
        <w:t xml:space="preserve"> (moler, machacar), </w:t>
      </w:r>
      <w:proofErr w:type="spellStart"/>
      <w:r w:rsidRPr="0085239C">
        <w:rPr>
          <w:i/>
          <w:iCs/>
        </w:rPr>
        <w:t>abbhaṅga</w:t>
      </w:r>
      <w:proofErr w:type="spellEnd"/>
      <w:r>
        <w:t xml:space="preserve"> (ungüento = </w:t>
      </w:r>
      <w:proofErr w:type="spellStart"/>
      <w:r w:rsidRPr="0085239C">
        <w:rPr>
          <w:i/>
          <w:iCs/>
        </w:rPr>
        <w:t>abbhañjana</w:t>
      </w:r>
      <w:proofErr w:type="spellEnd"/>
      <w:r>
        <w:t xml:space="preserve">, </w:t>
      </w:r>
      <w:proofErr w:type="spellStart"/>
      <w:r>
        <w:t>Vism-mhṭ</w:t>
      </w:r>
      <w:proofErr w:type="spellEnd"/>
      <w:r>
        <w:t xml:space="preserve"> 47).</w:t>
      </w:r>
    </w:p>
    <w:p w14:paraId="3D99ACAA" w14:textId="77777777" w:rsidR="007561C1" w:rsidRDefault="007561C1">
      <w:pPr>
        <w:tabs>
          <w:tab w:val="clear" w:pos="425"/>
        </w:tabs>
      </w:pPr>
      <w:r>
        <w:br w:type="page"/>
      </w:r>
    </w:p>
    <w:p w14:paraId="4134B9B0" w14:textId="70C173E0" w:rsidR="002F4FF2" w:rsidRPr="00D37C5C" w:rsidRDefault="002F4FF2" w:rsidP="002F4FF2">
      <w:pPr>
        <w:rPr>
          <w:color w:val="222A35" w:themeColor="text2" w:themeShade="80"/>
        </w:rPr>
      </w:pPr>
      <w:r w:rsidRPr="00D37C5C">
        <w:rPr>
          <w:color w:val="222A35" w:themeColor="text2" w:themeShade="80"/>
        </w:rPr>
        <w:lastRenderedPageBreak/>
        <w:t xml:space="preserve">84. </w:t>
      </w:r>
      <w:r w:rsidR="00A624E4" w:rsidRPr="00D37C5C">
        <w:rPr>
          <w:color w:val="222A35" w:themeColor="text2" w:themeShade="80"/>
        </w:rPr>
        <w:tab/>
      </w:r>
      <w:r w:rsidRPr="00D37C5C">
        <w:rPr>
          <w:color w:val="222A35" w:themeColor="text2" w:themeShade="80"/>
        </w:rPr>
        <w:t xml:space="preserve">Así que este sustento </w:t>
      </w:r>
      <w:proofErr w:type="spellStart"/>
      <w:r w:rsidR="00486D96">
        <w:rPr>
          <w:color w:val="222A35" w:themeColor="text2" w:themeShade="80"/>
        </w:rPr>
        <w:t>incorecto</w:t>
      </w:r>
      <w:proofErr w:type="spellEnd"/>
      <w:r w:rsidRPr="00D37C5C">
        <w:rPr>
          <w:color w:val="222A35" w:themeColor="text2" w:themeShade="80"/>
        </w:rPr>
        <w:t xml:space="preserve"> implica</w:t>
      </w:r>
      <w:r w:rsidR="00486D96">
        <w:rPr>
          <w:color w:val="222A35" w:themeColor="text2" w:themeShade="80"/>
        </w:rPr>
        <w:t>rá</w:t>
      </w:r>
      <w:r w:rsidRPr="00D37C5C">
        <w:rPr>
          <w:color w:val="222A35" w:themeColor="text2" w:themeShade="80"/>
        </w:rPr>
        <w:t xml:space="preserve"> la transgresión de estos seis preceptos de entrenamiento </w:t>
      </w:r>
      <w:r w:rsidR="00EE5F7C">
        <w:rPr>
          <w:color w:val="222A35" w:themeColor="text2" w:themeShade="80"/>
        </w:rPr>
        <w:t>e</w:t>
      </w:r>
      <w:r w:rsidRPr="00D37C5C">
        <w:rPr>
          <w:color w:val="222A35" w:themeColor="text2" w:themeShade="80"/>
        </w:rPr>
        <w:t>nunciados a causa del sustento, y conlleva</w:t>
      </w:r>
      <w:r w:rsidR="00486D96">
        <w:rPr>
          <w:color w:val="222A35" w:themeColor="text2" w:themeShade="80"/>
        </w:rPr>
        <w:t>rá</w:t>
      </w:r>
      <w:r w:rsidRPr="00D37C5C">
        <w:rPr>
          <w:color w:val="222A35" w:themeColor="text2" w:themeShade="80"/>
        </w:rPr>
        <w:t xml:space="preserve"> los estados perversos que comienzan con "Trama</w:t>
      </w:r>
      <w:r w:rsidR="00610B13" w:rsidRPr="00D37C5C">
        <w:rPr>
          <w:color w:val="222A35" w:themeColor="text2" w:themeShade="80"/>
        </w:rPr>
        <w:t>r</w:t>
      </w:r>
      <w:r w:rsidRPr="00D37C5C">
        <w:rPr>
          <w:color w:val="222A35" w:themeColor="text2" w:themeShade="80"/>
        </w:rPr>
        <w:t>, habla</w:t>
      </w:r>
      <w:r w:rsidR="00610B13" w:rsidRPr="00D37C5C">
        <w:rPr>
          <w:color w:val="222A35" w:themeColor="text2" w:themeShade="80"/>
        </w:rPr>
        <w:t>r</w:t>
      </w:r>
      <w:r w:rsidRPr="00D37C5C">
        <w:rPr>
          <w:color w:val="222A35" w:themeColor="text2" w:themeShade="80"/>
        </w:rPr>
        <w:t>, insin</w:t>
      </w:r>
      <w:r w:rsidR="00610B13" w:rsidRPr="00D37C5C">
        <w:rPr>
          <w:color w:val="222A35" w:themeColor="text2" w:themeShade="80"/>
        </w:rPr>
        <w:t>u</w:t>
      </w:r>
      <w:r w:rsidRPr="00D37C5C">
        <w:rPr>
          <w:color w:val="222A35" w:themeColor="text2" w:themeShade="80"/>
        </w:rPr>
        <w:t>a</w:t>
      </w:r>
      <w:r w:rsidR="00610B13" w:rsidRPr="00D37C5C">
        <w:rPr>
          <w:color w:val="222A35" w:themeColor="text2" w:themeShade="80"/>
        </w:rPr>
        <w:t>r</w:t>
      </w:r>
      <w:r w:rsidRPr="00D37C5C">
        <w:rPr>
          <w:color w:val="222A35" w:themeColor="text2" w:themeShade="80"/>
        </w:rPr>
        <w:t xml:space="preserve">, menosprecia, </w:t>
      </w:r>
      <w:r w:rsidR="00610B13" w:rsidRPr="00D37C5C">
        <w:rPr>
          <w:color w:val="222A35" w:themeColor="text2" w:themeShade="80"/>
        </w:rPr>
        <w:t>perseguir</w:t>
      </w:r>
      <w:r w:rsidRPr="00D37C5C">
        <w:rPr>
          <w:color w:val="222A35" w:themeColor="text2" w:themeShade="80"/>
        </w:rPr>
        <w:t xml:space="preserve"> ganancia con ganancia". Y así, es la abstinencia de todo tipo de medios de vida incorrectos </w:t>
      </w:r>
      <w:r w:rsidR="002B751C" w:rsidRPr="00D37C5C">
        <w:rPr>
          <w:color w:val="222A35" w:themeColor="text2" w:themeShade="80"/>
        </w:rPr>
        <w:t xml:space="preserve">de </w:t>
      </w:r>
      <w:r w:rsidRPr="00D37C5C">
        <w:rPr>
          <w:color w:val="222A35" w:themeColor="text2" w:themeShade="80"/>
        </w:rPr>
        <w:t xml:space="preserve">la </w:t>
      </w:r>
      <w:r w:rsidRPr="00D37C5C">
        <w:rPr>
          <w:i/>
          <w:iCs/>
          <w:color w:val="222A35" w:themeColor="text2" w:themeShade="80"/>
        </w:rPr>
        <w:t>virtud e</w:t>
      </w:r>
      <w:r w:rsidR="002B751C" w:rsidRPr="00D37C5C">
        <w:rPr>
          <w:i/>
          <w:iCs/>
          <w:color w:val="222A35" w:themeColor="text2" w:themeShade="80"/>
        </w:rPr>
        <w:t>n</w:t>
      </w:r>
      <w:r w:rsidRPr="00D37C5C">
        <w:rPr>
          <w:i/>
          <w:iCs/>
          <w:color w:val="222A35" w:themeColor="text2" w:themeShade="80"/>
        </w:rPr>
        <w:t xml:space="preserve"> la</w:t>
      </w:r>
      <w:r w:rsidRPr="00D37C5C">
        <w:rPr>
          <w:color w:val="222A35" w:themeColor="text2" w:themeShade="80"/>
        </w:rPr>
        <w:t xml:space="preserve"> </w:t>
      </w:r>
      <w:r w:rsidRPr="00D37C5C">
        <w:rPr>
          <w:i/>
          <w:iCs/>
          <w:color w:val="222A35" w:themeColor="text2" w:themeShade="80"/>
        </w:rPr>
        <w:t xml:space="preserve">purificación del </w:t>
      </w:r>
      <w:r w:rsidR="003F6D08" w:rsidRPr="00D37C5C">
        <w:rPr>
          <w:i/>
          <w:iCs/>
          <w:color w:val="222A35" w:themeColor="text2" w:themeShade="80"/>
        </w:rPr>
        <w:t>sustento</w:t>
      </w:r>
      <w:r w:rsidRPr="00D37C5C">
        <w:rPr>
          <w:i/>
          <w:iCs/>
          <w:color w:val="222A35" w:themeColor="text2" w:themeShade="80"/>
        </w:rPr>
        <w:t xml:space="preserve"> </w:t>
      </w:r>
      <w:r w:rsidR="00E7468A" w:rsidRPr="00D37C5C">
        <w:rPr>
          <w:i/>
          <w:iCs/>
          <w:color w:val="222A35" w:themeColor="text2" w:themeShade="80"/>
        </w:rPr>
        <w:t>vital</w:t>
      </w:r>
      <w:r w:rsidRPr="00D37C5C">
        <w:rPr>
          <w:color w:val="222A35" w:themeColor="text2" w:themeShade="80"/>
        </w:rPr>
        <w:t xml:space="preserve">, cuyo significado de palabra es </w:t>
      </w:r>
      <w:r w:rsidR="00EE5F7C">
        <w:rPr>
          <w:color w:val="222A35" w:themeColor="text2" w:themeShade="80"/>
        </w:rPr>
        <w:t>é</w:t>
      </w:r>
      <w:r w:rsidRPr="00D37C5C">
        <w:rPr>
          <w:color w:val="222A35" w:themeColor="text2" w:themeShade="80"/>
        </w:rPr>
        <w:t xml:space="preserve">ste: </w:t>
      </w:r>
      <w:r w:rsidR="007825BC" w:rsidRPr="00D37C5C">
        <w:rPr>
          <w:color w:val="222A35" w:themeColor="text2" w:themeShade="80"/>
        </w:rPr>
        <w:t xml:space="preserve">ellos viven </w:t>
      </w:r>
      <w:r w:rsidR="00E82416" w:rsidRPr="00D37C5C">
        <w:rPr>
          <w:color w:val="222A35" w:themeColor="text2" w:themeShade="80"/>
        </w:rPr>
        <w:t>adoptando como un medio a</w:t>
      </w:r>
      <w:r w:rsidRPr="00D37C5C">
        <w:rPr>
          <w:color w:val="222A35" w:themeColor="text2" w:themeShade="80"/>
        </w:rPr>
        <w:t xml:space="preserve"> ello, por lo que es </w:t>
      </w:r>
      <w:r w:rsidR="009544EF" w:rsidRPr="00D37C5C">
        <w:rPr>
          <w:color w:val="222A35" w:themeColor="text2" w:themeShade="80"/>
        </w:rPr>
        <w:t>su</w:t>
      </w:r>
      <w:r w:rsidR="002B751C" w:rsidRPr="00D37C5C">
        <w:rPr>
          <w:color w:val="222A35" w:themeColor="text2" w:themeShade="80"/>
        </w:rPr>
        <w:t xml:space="preserve"> sustento</w:t>
      </w:r>
      <w:r w:rsidRPr="00D37C5C">
        <w:rPr>
          <w:color w:val="222A35" w:themeColor="text2" w:themeShade="80"/>
        </w:rPr>
        <w:t xml:space="preserve"> </w:t>
      </w:r>
      <w:r w:rsidR="007825BC" w:rsidRPr="00D37C5C">
        <w:rPr>
          <w:color w:val="222A35" w:themeColor="text2" w:themeShade="80"/>
        </w:rPr>
        <w:t>vital</w:t>
      </w:r>
      <w:r w:rsidRPr="00D37C5C">
        <w:rPr>
          <w:color w:val="222A35" w:themeColor="text2" w:themeShade="80"/>
        </w:rPr>
        <w:t>. ¿Qu</w:t>
      </w:r>
      <w:r w:rsidR="00071A67">
        <w:rPr>
          <w:color w:val="222A35" w:themeColor="text2" w:themeShade="80"/>
        </w:rPr>
        <w:t>é</w:t>
      </w:r>
      <w:r w:rsidRPr="00D37C5C">
        <w:rPr>
          <w:color w:val="222A35" w:themeColor="text2" w:themeShade="80"/>
        </w:rPr>
        <w:t xml:space="preserve"> es </w:t>
      </w:r>
      <w:r w:rsidR="00E82416" w:rsidRPr="00D37C5C">
        <w:rPr>
          <w:color w:val="222A35" w:themeColor="text2" w:themeShade="80"/>
        </w:rPr>
        <w:t xml:space="preserve">ese </w:t>
      </w:r>
      <w:r w:rsidRPr="00D37C5C">
        <w:rPr>
          <w:color w:val="222A35" w:themeColor="text2" w:themeShade="80"/>
        </w:rPr>
        <w:t>e</w:t>
      </w:r>
      <w:r w:rsidR="00E82416" w:rsidRPr="00D37C5C">
        <w:rPr>
          <w:color w:val="222A35" w:themeColor="text2" w:themeShade="80"/>
        </w:rPr>
        <w:t>ll</w:t>
      </w:r>
      <w:r w:rsidRPr="00D37C5C">
        <w:rPr>
          <w:color w:val="222A35" w:themeColor="text2" w:themeShade="80"/>
        </w:rPr>
        <w:t xml:space="preserve">o? Es el esfuerzo que consiste en la búsqueda de </w:t>
      </w:r>
      <w:r w:rsidR="002B751C" w:rsidRPr="00D37C5C">
        <w:rPr>
          <w:color w:val="222A35" w:themeColor="text2" w:themeShade="80"/>
        </w:rPr>
        <w:t xml:space="preserve">los </w:t>
      </w:r>
      <w:r w:rsidRPr="00D37C5C">
        <w:rPr>
          <w:color w:val="222A35" w:themeColor="text2" w:themeShade="80"/>
        </w:rPr>
        <w:t xml:space="preserve">requisitos. “Purificación” </w:t>
      </w:r>
      <w:r w:rsidR="001375F7" w:rsidRPr="00D37C5C">
        <w:rPr>
          <w:color w:val="222A35" w:themeColor="text2" w:themeShade="80"/>
        </w:rPr>
        <w:t>se refiere a la pureza</w:t>
      </w:r>
      <w:r w:rsidRPr="00D37C5C">
        <w:rPr>
          <w:color w:val="222A35" w:themeColor="text2" w:themeShade="80"/>
        </w:rPr>
        <w:t xml:space="preserve">. La “purificación </w:t>
      </w:r>
      <w:r w:rsidR="00516148" w:rsidRPr="00D37C5C">
        <w:rPr>
          <w:color w:val="222A35" w:themeColor="text2" w:themeShade="80"/>
        </w:rPr>
        <w:t xml:space="preserve">del sustento </w:t>
      </w:r>
      <w:r w:rsidR="001375F7" w:rsidRPr="00D37C5C">
        <w:rPr>
          <w:color w:val="222A35" w:themeColor="text2" w:themeShade="80"/>
        </w:rPr>
        <w:t>vital</w:t>
      </w:r>
      <w:r w:rsidRPr="00D37C5C">
        <w:rPr>
          <w:color w:val="222A35" w:themeColor="text2" w:themeShade="80"/>
        </w:rPr>
        <w:t>” es la purificación del sustento</w:t>
      </w:r>
      <w:r w:rsidR="001375F7" w:rsidRPr="00D37C5C">
        <w:rPr>
          <w:color w:val="222A35" w:themeColor="text2" w:themeShade="80"/>
        </w:rPr>
        <w:t xml:space="preserve"> </w:t>
      </w:r>
      <w:r w:rsidR="00C37E94">
        <w:rPr>
          <w:color w:val="222A35" w:themeColor="text2" w:themeShade="80"/>
        </w:rPr>
        <w:t>para preserva la</w:t>
      </w:r>
      <w:r w:rsidR="001375F7" w:rsidRPr="00D37C5C">
        <w:rPr>
          <w:color w:val="222A35" w:themeColor="text2" w:themeShade="80"/>
        </w:rPr>
        <w:t xml:space="preserve"> vida</w:t>
      </w:r>
      <w:r w:rsidRPr="00D37C5C">
        <w:rPr>
          <w:color w:val="222A35" w:themeColor="text2" w:themeShade="80"/>
        </w:rPr>
        <w:t>.</w:t>
      </w:r>
    </w:p>
    <w:p w14:paraId="1EC461D1" w14:textId="73871868" w:rsidR="002F4FF2" w:rsidRDefault="002F4FF2" w:rsidP="002F4FF2">
      <w:r>
        <w:t xml:space="preserve">85. </w:t>
      </w:r>
      <w:r w:rsidR="00A624E4">
        <w:tab/>
      </w:r>
      <w:r>
        <w:t xml:space="preserve">(d) En cuanto a la siguiente clase llamada </w:t>
      </w:r>
      <w:r w:rsidRPr="003F6D08">
        <w:rPr>
          <w:i/>
          <w:iCs/>
        </w:rPr>
        <w:t>virtud relativa a los requisitos</w:t>
      </w:r>
      <w:r>
        <w:t xml:space="preserve">, [aquí está el texto: “Reflexionando sabiamente, usa </w:t>
      </w:r>
      <w:r w:rsidR="00027A50">
        <w:t>el ropaje</w:t>
      </w:r>
      <w:r>
        <w:t xml:space="preserve"> solo para protegerse del frío, para protegerse del calor, para protegerse del contacto con tábanos, moscas, viento, cosas que se quem</w:t>
      </w:r>
      <w:r w:rsidR="00C37E94">
        <w:t>e</w:t>
      </w:r>
      <w:r>
        <w:t>n y se arrastr</w:t>
      </w:r>
      <w:r w:rsidR="00C37E94">
        <w:t>e</w:t>
      </w:r>
      <w:r>
        <w:t xml:space="preserve">n, y solo con el propósito de ocultar las partes íntimas. Reflexionando sabiamente, no usa </w:t>
      </w:r>
      <w:proofErr w:type="gramStart"/>
      <w:r>
        <w:t xml:space="preserve">la </w:t>
      </w:r>
      <w:r w:rsidR="00EF4C96">
        <w:t>ofrendas</w:t>
      </w:r>
      <w:proofErr w:type="gramEnd"/>
      <w:r w:rsidR="00EF4C96">
        <w:t xml:space="preserve"> de alimentos</w:t>
      </w:r>
      <w:r>
        <w:t xml:space="preserve"> para divertirse ni para embriagarse ni para irritarse ni embellecerse, sino sólo para la resistencia y continuidad de este cuerpo, para terminar con la incomodidad y para ayudar a la </w:t>
      </w:r>
      <w:r w:rsidR="00C37E94">
        <w:t xml:space="preserve">sustentación de una </w:t>
      </w:r>
      <w:r>
        <w:t>vida de pureza: 'Así pondré un alto a l</w:t>
      </w:r>
      <w:r w:rsidR="005E6238">
        <w:t>a</w:t>
      </w:r>
      <w:r>
        <w:t>s viej</w:t>
      </w:r>
      <w:r w:rsidR="005E6238">
        <w:t>a</w:t>
      </w:r>
      <w:r>
        <w:t xml:space="preserve">s </w:t>
      </w:r>
      <w:r w:rsidR="005E6238">
        <w:t>sensaciones</w:t>
      </w:r>
      <w:r>
        <w:t xml:space="preserve"> y no despertaré nuev</w:t>
      </w:r>
      <w:r w:rsidR="005E6238">
        <w:t>a</w:t>
      </w:r>
      <w:r>
        <w:t xml:space="preserve">s </w:t>
      </w:r>
      <w:r w:rsidR="005E6238">
        <w:t>sensaciones</w:t>
      </w:r>
      <w:r>
        <w:t xml:space="preserve">, y </w:t>
      </w:r>
      <w:r w:rsidR="00297866">
        <w:t>viviré</w:t>
      </w:r>
      <w:r>
        <w:t xml:space="preserve"> sano</w:t>
      </w:r>
      <w:r w:rsidR="00297866">
        <w:t>,</w:t>
      </w:r>
      <w:r>
        <w:t xml:space="preserve"> libre de culpa y c</w:t>
      </w:r>
      <w:r w:rsidR="00297866">
        <w:t>ó</w:t>
      </w:r>
      <w:r>
        <w:t>moda</w:t>
      </w:r>
      <w:r w:rsidR="00297866">
        <w:t>mente</w:t>
      </w:r>
      <w:r>
        <w:t>'</w:t>
      </w:r>
      <w:r w:rsidR="00CE082C">
        <w:t>.</w:t>
      </w:r>
      <w:r>
        <w:t xml:space="preserve"> Reflexionando sabiamente, usa el requisito de la medicina como cura para los enfermos sólo para protección de l</w:t>
      </w:r>
      <w:r w:rsidR="00297866">
        <w:t>a</w:t>
      </w:r>
      <w:r>
        <w:t xml:space="preserve">s </w:t>
      </w:r>
      <w:r w:rsidR="00297866">
        <w:t>sensaciones</w:t>
      </w:r>
      <w:r>
        <w:t xml:space="preserve"> </w:t>
      </w:r>
      <w:r w:rsidR="00CF750C">
        <w:t xml:space="preserve">perjudiciales </w:t>
      </w:r>
      <w:r>
        <w:t>surgid</w:t>
      </w:r>
      <w:r w:rsidR="00CF750C">
        <w:t>a</w:t>
      </w:r>
      <w:r>
        <w:t xml:space="preserve">s y para </w:t>
      </w:r>
      <w:r w:rsidR="00CF750C">
        <w:t xml:space="preserve">la </w:t>
      </w:r>
      <w:r>
        <w:t xml:space="preserve">inmunidad completa de la aflicción” (M I 10). </w:t>
      </w:r>
      <w:r w:rsidR="00CF750C">
        <w:t>Al respecto</w:t>
      </w:r>
      <w:r>
        <w:t xml:space="preserve">, </w:t>
      </w:r>
      <w:r w:rsidRPr="003F6D08">
        <w:rPr>
          <w:i/>
          <w:iCs/>
        </w:rPr>
        <w:t>reflexionar sabiamente</w:t>
      </w:r>
      <w:r>
        <w:t xml:space="preserve"> </w:t>
      </w:r>
      <w:r w:rsidR="003F6B2F">
        <w:t>significa</w:t>
      </w:r>
      <w:r>
        <w:t xml:space="preserve"> reflexionar como medio y como </w:t>
      </w:r>
      <w:r w:rsidR="00CF58BC">
        <w:t>sendero</w:t>
      </w:r>
      <w:r w:rsidRPr="006A09FA">
        <w:rPr>
          <w:vertAlign w:val="superscript"/>
        </w:rPr>
        <w:t>27</w:t>
      </w:r>
      <w:r>
        <w:t xml:space="preserve">; conociendo, </w:t>
      </w:r>
      <w:r w:rsidR="00D5456B">
        <w:t>examinando</w:t>
      </w:r>
      <w:r>
        <w:t xml:space="preserve">, es el sentido. Y aquí está el repaso dicho al principio del </w:t>
      </w:r>
      <w:r w:rsidR="00CF58BC">
        <w:t>pasaje</w:t>
      </w:r>
      <w:r>
        <w:t>, “Para protegerse del frío” que debe entenderse como “reflexionar sabiamente”.</w:t>
      </w:r>
    </w:p>
    <w:p w14:paraId="6EE95056" w14:textId="1EF45218" w:rsidR="002F4FF2" w:rsidRDefault="002F4FF2" w:rsidP="002F4FF2">
      <w:r>
        <w:t xml:space="preserve">86. </w:t>
      </w:r>
      <w:r w:rsidR="00A624E4">
        <w:tab/>
      </w:r>
      <w:r>
        <w:t xml:space="preserve">Aquí, </w:t>
      </w:r>
      <w:r w:rsidR="003F6D08" w:rsidRPr="003F6D08">
        <w:rPr>
          <w:i/>
          <w:iCs/>
        </w:rPr>
        <w:t>el ropaje</w:t>
      </w:r>
      <w:r>
        <w:t xml:space="preserve"> s</w:t>
      </w:r>
      <w:r w:rsidR="00E91C38">
        <w:t>erá</w:t>
      </w:r>
      <w:r>
        <w:t xml:space="preserve"> cualquiera de las que comien</w:t>
      </w:r>
      <w:r w:rsidR="00642524">
        <w:t>ce</w:t>
      </w:r>
      <w:r>
        <w:t xml:space="preserve">n con la </w:t>
      </w:r>
      <w:r w:rsidR="00642524">
        <w:t>prenda</w:t>
      </w:r>
      <w:r>
        <w:t xml:space="preserve"> interior. Él usa: él emplea; </w:t>
      </w:r>
      <w:r w:rsidR="00F402E7">
        <w:t>él</w:t>
      </w:r>
      <w:r>
        <w:t xml:space="preserve"> viste [</w:t>
      </w:r>
      <w:r w:rsidR="00F402E7">
        <w:t xml:space="preserve">una prenda </w:t>
      </w:r>
      <w:r>
        <w:t>interior], o se pone [</w:t>
      </w:r>
      <w:r w:rsidR="002229E4">
        <w:t>una</w:t>
      </w:r>
      <w:r>
        <w:t xml:space="preserve"> prenda superior]. Sólo [31] es una frase que significa invariabilidad en la definición de un límite</w:t>
      </w:r>
      <w:r w:rsidRPr="006A09FA">
        <w:rPr>
          <w:vertAlign w:val="superscript"/>
        </w:rPr>
        <w:t>28</w:t>
      </w:r>
      <w:r>
        <w:t xml:space="preserve"> de un propósito; el propósito de que el meditador haga uso de l</w:t>
      </w:r>
      <w:r w:rsidR="00EA26DC">
        <w:t>o</w:t>
      </w:r>
      <w:r>
        <w:t xml:space="preserve">s </w:t>
      </w:r>
      <w:r w:rsidR="00EA26DC">
        <w:t xml:space="preserve">ropajes </w:t>
      </w:r>
      <w:r>
        <w:t xml:space="preserve">es sólo eso, </w:t>
      </w:r>
      <w:r w:rsidR="00EA26DC">
        <w:t>es decir</w:t>
      </w:r>
      <w:r>
        <w:t xml:space="preserve">, protección contra el frío, etc., no más que eso. </w:t>
      </w:r>
      <w:r w:rsidRPr="003F6D08">
        <w:rPr>
          <w:i/>
          <w:iCs/>
        </w:rPr>
        <w:t>Del frío</w:t>
      </w:r>
      <w:r>
        <w:t xml:space="preserve">: de cualquier tipo de frío que surja ya sea por la perturbación de los elementos internamente o por el cambio de temperatura externamente. Para protección: con el propósito de alejar; con el fin de eliminarlo para que no provoque aflicción en el cuerpo. Porque cuando el cuerpo está afligido por el frío, la mente distraída no </w:t>
      </w:r>
      <w:r w:rsidR="008C7B66">
        <w:t>podrá</w:t>
      </w:r>
      <w:r>
        <w:t xml:space="preserve"> ser ejercitada sabiamente. Es por eso </w:t>
      </w:r>
      <w:proofErr w:type="gramStart"/>
      <w:r>
        <w:t>que</w:t>
      </w:r>
      <w:proofErr w:type="gramEnd"/>
      <w:r>
        <w:t xml:space="preserve"> el </w:t>
      </w:r>
      <w:r w:rsidR="001D3D7D">
        <w:rPr>
          <w:i/>
          <w:iCs/>
        </w:rPr>
        <w:t>Bhagavā</w:t>
      </w:r>
      <w:r>
        <w:t xml:space="preserve"> permitió que se usara </w:t>
      </w:r>
      <w:r w:rsidR="001D3D7D">
        <w:t xml:space="preserve">el ropaje </w:t>
      </w:r>
      <w:r>
        <w:t xml:space="preserve">para protegerse del frío. Así en cada caso, excepto que </w:t>
      </w:r>
      <w:r w:rsidRPr="003F6D08">
        <w:rPr>
          <w:i/>
          <w:iCs/>
        </w:rPr>
        <w:t>del calor</w:t>
      </w:r>
      <w:r>
        <w:t xml:space="preserve"> significa del calor del fuego, cuyo origen debe entenderse como incendios forestales, y así sucesivamente.</w:t>
      </w:r>
    </w:p>
    <w:p w14:paraId="07BBE30A" w14:textId="33DC9478" w:rsidR="002F4FF2" w:rsidRDefault="002F4FF2" w:rsidP="002F4FF2">
      <w:r>
        <w:t xml:space="preserve">87. </w:t>
      </w:r>
      <w:r w:rsidR="00A624E4">
        <w:tab/>
      </w:r>
      <w:r w:rsidRPr="003F6D08">
        <w:rPr>
          <w:i/>
          <w:iCs/>
        </w:rPr>
        <w:t>Del contacto con tábanos y moscas, viento y cosas ardientes y reptantes</w:t>
      </w:r>
      <w:r>
        <w:t xml:space="preserve">: aquí los </w:t>
      </w:r>
      <w:r w:rsidRPr="006A09FA">
        <w:rPr>
          <w:i/>
          <w:iCs/>
        </w:rPr>
        <w:t>tábanos</w:t>
      </w:r>
      <w:r>
        <w:t xml:space="preserve"> </w:t>
      </w:r>
      <w:r w:rsidR="007E58E9">
        <w:t>se refieren a las</w:t>
      </w:r>
      <w:r>
        <w:t xml:space="preserve"> moscas que muerden; también se les llama “moscas ciegas”. Las </w:t>
      </w:r>
      <w:r w:rsidRPr="006A09FA">
        <w:rPr>
          <w:i/>
          <w:iCs/>
        </w:rPr>
        <w:t>moscas</w:t>
      </w:r>
      <w:r>
        <w:t xml:space="preserve"> </w:t>
      </w:r>
      <w:r w:rsidR="00261FEE">
        <w:t>se refieren</w:t>
      </w:r>
      <w:r>
        <w:t xml:space="preserve"> solo </w:t>
      </w:r>
      <w:r w:rsidR="00261FEE">
        <w:t xml:space="preserve">a las </w:t>
      </w:r>
      <w:r>
        <w:t>moscas</w:t>
      </w:r>
      <w:r w:rsidR="00261FEE">
        <w:t xml:space="preserve"> convencionales</w:t>
      </w:r>
      <w:r>
        <w:t xml:space="preserve">. El </w:t>
      </w:r>
      <w:r w:rsidRPr="006A09FA">
        <w:rPr>
          <w:i/>
          <w:iCs/>
        </w:rPr>
        <w:t>viento</w:t>
      </w:r>
      <w:r>
        <w:t xml:space="preserve"> se distingue como el que ten</w:t>
      </w:r>
      <w:r w:rsidR="00980792">
        <w:t>ga</w:t>
      </w:r>
      <w:r>
        <w:t xml:space="preserve"> polvo </w:t>
      </w:r>
      <w:r w:rsidR="001B0813">
        <w:t>o</w:t>
      </w:r>
      <w:r>
        <w:t xml:space="preserve"> el que no ten</w:t>
      </w:r>
      <w:r w:rsidR="001B0813">
        <w:t>ga</w:t>
      </w:r>
      <w:r>
        <w:t xml:space="preserve"> polvo. </w:t>
      </w:r>
      <w:r w:rsidR="006A09FA">
        <w:t xml:space="preserve">El </w:t>
      </w:r>
      <w:r w:rsidR="006A09FA">
        <w:rPr>
          <w:i/>
          <w:iCs/>
        </w:rPr>
        <w:t>calor</w:t>
      </w:r>
      <w:r>
        <w:t xml:space="preserve"> es </w:t>
      </w:r>
      <w:proofErr w:type="gramStart"/>
      <w:r>
        <w:t xml:space="preserve">la </w:t>
      </w:r>
      <w:r w:rsidR="006A09FA">
        <w:t>calor</w:t>
      </w:r>
      <w:proofErr w:type="gramEnd"/>
      <w:r w:rsidR="006A09FA">
        <w:t xml:space="preserve"> </w:t>
      </w:r>
      <w:r>
        <w:t xml:space="preserve">del </w:t>
      </w:r>
      <w:r w:rsidR="006A09FA">
        <w:t>Sol</w:t>
      </w:r>
      <w:r>
        <w:t xml:space="preserve">. </w:t>
      </w:r>
      <w:r w:rsidR="00A624E4">
        <w:rPr>
          <w:i/>
          <w:iCs/>
        </w:rPr>
        <w:t>Criaturas</w:t>
      </w:r>
      <w:r w:rsidRPr="006A09FA">
        <w:rPr>
          <w:i/>
          <w:iCs/>
        </w:rPr>
        <w:t xml:space="preserve"> que se arrastran</w:t>
      </w:r>
      <w:r>
        <w:t xml:space="preserve"> son criaturas largas como </w:t>
      </w:r>
      <w:r w:rsidR="001B0813">
        <w:t xml:space="preserve">las </w:t>
      </w:r>
      <w:r>
        <w:t>serpientes y demás que se mueven arrastrándose. El contacto con ellos es de dos</w:t>
      </w:r>
    </w:p>
    <w:p w14:paraId="4E01AA68" w14:textId="77777777" w:rsidR="002F4FF2" w:rsidRPr="002F4FF2" w:rsidRDefault="002F4FF2" w:rsidP="002F4FF2">
      <w:pPr>
        <w:pStyle w:val="PiedepginaLegal"/>
        <w:rPr>
          <w:u w:val="single"/>
        </w:rPr>
      </w:pPr>
      <w:r w:rsidRPr="002F4FF2">
        <w:rPr>
          <w:u w:val="single"/>
        </w:rPr>
        <w:t xml:space="preserve">                                                                                                                                                            .</w:t>
      </w:r>
    </w:p>
    <w:p w14:paraId="30F34554" w14:textId="1A596BC3" w:rsidR="002F4FF2" w:rsidRDefault="002F4FF2" w:rsidP="002F4FF2">
      <w:pPr>
        <w:pStyle w:val="PiedepginaLegal"/>
      </w:pPr>
      <w:r>
        <w:t xml:space="preserve">27. </w:t>
      </w:r>
      <w:r w:rsidR="007633E5">
        <w:tab/>
      </w:r>
      <w:r>
        <w:t>Para la atención (</w:t>
      </w:r>
      <w:proofErr w:type="spellStart"/>
      <w:r w:rsidRPr="006A09FA">
        <w:rPr>
          <w:i/>
          <w:iCs/>
        </w:rPr>
        <w:t>manasi-kāra</w:t>
      </w:r>
      <w:proofErr w:type="spellEnd"/>
      <w:r>
        <w:t xml:space="preserve">) como </w:t>
      </w:r>
      <w:r w:rsidR="00C50313">
        <w:t>un</w:t>
      </w:r>
      <w:r>
        <w:t xml:space="preserve"> medio (</w:t>
      </w:r>
      <w:proofErr w:type="spellStart"/>
      <w:r w:rsidRPr="006A09FA">
        <w:rPr>
          <w:i/>
          <w:iCs/>
        </w:rPr>
        <w:t>upāya</w:t>
      </w:r>
      <w:proofErr w:type="spellEnd"/>
      <w:r>
        <w:t xml:space="preserve">) y </w:t>
      </w:r>
      <w:r w:rsidR="00721B97">
        <w:t xml:space="preserve">como </w:t>
      </w:r>
      <w:r>
        <w:t xml:space="preserve">el </w:t>
      </w:r>
      <w:r w:rsidR="00972DEF">
        <w:t>sendero</w:t>
      </w:r>
      <w:r>
        <w:t xml:space="preserve"> (</w:t>
      </w:r>
      <w:proofErr w:type="spellStart"/>
      <w:r w:rsidRPr="006A09FA">
        <w:rPr>
          <w:i/>
          <w:iCs/>
        </w:rPr>
        <w:t>patha</w:t>
      </w:r>
      <w:proofErr w:type="spellEnd"/>
      <w:r>
        <w:t xml:space="preserve">), </w:t>
      </w:r>
      <w:r w:rsidR="00721B97">
        <w:t>léase</w:t>
      </w:r>
      <w:r>
        <w:t xml:space="preserve"> M-a I 64.</w:t>
      </w:r>
    </w:p>
    <w:p w14:paraId="655AF9D0" w14:textId="09D25F4E" w:rsidR="007633E5" w:rsidRDefault="002F4FF2" w:rsidP="002F4FF2">
      <w:pPr>
        <w:pStyle w:val="PiedepginaLegal"/>
      </w:pPr>
      <w:r>
        <w:t xml:space="preserve">28. </w:t>
      </w:r>
      <w:r w:rsidR="007633E5">
        <w:tab/>
      </w:r>
      <w:proofErr w:type="spellStart"/>
      <w:r w:rsidRPr="006A09FA">
        <w:rPr>
          <w:i/>
          <w:iCs/>
        </w:rPr>
        <w:t>Avadhi</w:t>
      </w:r>
      <w:proofErr w:type="spellEnd"/>
      <w:r>
        <w:t xml:space="preserve">—“límite” = </w:t>
      </w:r>
      <w:proofErr w:type="spellStart"/>
      <w:r w:rsidRPr="006A09FA">
        <w:rPr>
          <w:i/>
          <w:iCs/>
        </w:rPr>
        <w:t>odhi</w:t>
      </w:r>
      <w:proofErr w:type="spellEnd"/>
      <w:r>
        <w:t>: esta forma no está en PED (ver M-a II 292).</w:t>
      </w:r>
    </w:p>
    <w:p w14:paraId="7C39E681" w14:textId="05420EB5" w:rsidR="007633E5" w:rsidRDefault="007633E5">
      <w:pPr>
        <w:tabs>
          <w:tab w:val="clear" w:pos="425"/>
        </w:tabs>
      </w:pPr>
      <w:r>
        <w:br w:type="page"/>
      </w:r>
    </w:p>
    <w:p w14:paraId="33A1C631" w14:textId="5FC8625B" w:rsidR="008F7154" w:rsidRDefault="008F7154" w:rsidP="008F7154">
      <w:r>
        <w:lastRenderedPageBreak/>
        <w:t>tipos: contacto al ser mordido y contacto al ser tocado. Y eso no le preocupa</w:t>
      </w:r>
      <w:r w:rsidR="0071495B">
        <w:t>rá</w:t>
      </w:r>
      <w:r>
        <w:t xml:space="preserve"> al que se sient</w:t>
      </w:r>
      <w:r w:rsidR="0071495B">
        <w:t>e</w:t>
      </w:r>
      <w:r>
        <w:t xml:space="preserve"> con un </w:t>
      </w:r>
      <w:r w:rsidR="0071495B">
        <w:t xml:space="preserve">ropaje </w:t>
      </w:r>
      <w:r>
        <w:t>puest</w:t>
      </w:r>
      <w:r w:rsidR="0071495B">
        <w:t>o</w:t>
      </w:r>
      <w:r>
        <w:t>. Entonces lo usa</w:t>
      </w:r>
      <w:r w:rsidR="00261FEE">
        <w:t>rá</w:t>
      </w:r>
      <w:r>
        <w:t xml:space="preserve"> con el propósito de protegerse de tales cosas.</w:t>
      </w:r>
    </w:p>
    <w:p w14:paraId="603D09C2" w14:textId="3909D132" w:rsidR="008F7154" w:rsidRDefault="008F7154" w:rsidP="008F7154">
      <w:r>
        <w:t xml:space="preserve">88. </w:t>
      </w:r>
      <w:r w:rsidR="00A624E4">
        <w:tab/>
      </w:r>
      <w:r w:rsidRPr="00193DF5">
        <w:rPr>
          <w:i/>
          <w:iCs/>
        </w:rPr>
        <w:t>Sólo</w:t>
      </w:r>
      <w:r>
        <w:t xml:space="preserve">: la palabra se repite para definir una subdivisión de </w:t>
      </w:r>
      <w:r w:rsidR="007947B9">
        <w:t>un propósito</w:t>
      </w:r>
      <w:r>
        <w:t xml:space="preserve"> invariable; porque el ocultamiento de las partes íntimas es un propósito invariable; los otros son propósitos periódic</w:t>
      </w:r>
      <w:r w:rsidR="00030FF5">
        <w:t>os</w:t>
      </w:r>
      <w:r>
        <w:t xml:space="preserve">. Aquí, las </w:t>
      </w:r>
      <w:r w:rsidRPr="00030FF5">
        <w:rPr>
          <w:i/>
          <w:iCs/>
        </w:rPr>
        <w:t>partes íntimas</w:t>
      </w:r>
      <w:r>
        <w:t xml:space="preserve"> </w:t>
      </w:r>
      <w:r w:rsidR="009F3F6A">
        <w:t>corresponderán</w:t>
      </w:r>
      <w:r>
        <w:t xml:space="preserve"> </w:t>
      </w:r>
      <w:r w:rsidR="009F3F6A">
        <w:t xml:space="preserve">a </w:t>
      </w:r>
      <w:r>
        <w:t xml:space="preserve">cualquier parte del pudendo. </w:t>
      </w:r>
      <w:r w:rsidR="009F3F6A">
        <w:t xml:space="preserve">Ya </w:t>
      </w:r>
      <w:r>
        <w:t xml:space="preserve">que cuando se revela un miembro, </w:t>
      </w:r>
      <w:r w:rsidR="000E3536">
        <w:t xml:space="preserve">la </w:t>
      </w:r>
      <w:r w:rsidR="000E3536" w:rsidRPr="000E3536">
        <w:rPr>
          <w:color w:val="833C0B" w:themeColor="accent2" w:themeShade="80"/>
          <w:u w:color="000000"/>
        </w:rPr>
        <w:t xml:space="preserve">vergüenza </w:t>
      </w:r>
      <w:r w:rsidR="00561496" w:rsidRPr="00EA1C22">
        <w:rPr>
          <w:color w:val="833C0B" w:themeColor="accent2" w:themeShade="80"/>
          <w:u w:color="000000"/>
        </w:rPr>
        <w:t xml:space="preserve">moral </w:t>
      </w:r>
      <w:r w:rsidRPr="00EA1C22">
        <w:rPr>
          <w:color w:val="833C0B" w:themeColor="accent2" w:themeShade="80"/>
          <w:u w:color="000000"/>
        </w:rPr>
        <w:t>(</w:t>
      </w:r>
      <w:proofErr w:type="spellStart"/>
      <w:r w:rsidR="00BF3EC9">
        <w:rPr>
          <w:i/>
          <w:iCs/>
          <w:color w:val="833C0B" w:themeColor="accent2" w:themeShade="80"/>
          <w:u w:color="000000"/>
        </w:rPr>
        <w:t>hiri</w:t>
      </w:r>
      <w:proofErr w:type="spellEnd"/>
      <w:r w:rsidRPr="00EA1C22">
        <w:rPr>
          <w:color w:val="833C0B" w:themeColor="accent2" w:themeShade="80"/>
          <w:u w:color="000000"/>
        </w:rPr>
        <w:t>)</w:t>
      </w:r>
      <w:r w:rsidRPr="00EA1C22">
        <w:t xml:space="preserve"> </w:t>
      </w:r>
      <w:r>
        <w:t>se perturba (</w:t>
      </w:r>
      <w:proofErr w:type="spellStart"/>
      <w:r w:rsidRPr="00A624E4">
        <w:rPr>
          <w:i/>
          <w:iCs/>
        </w:rPr>
        <w:t>kuppati</w:t>
      </w:r>
      <w:proofErr w:type="spellEnd"/>
      <w:r>
        <w:t xml:space="preserve">), se ofende. Se </w:t>
      </w:r>
      <w:r w:rsidR="00746C41">
        <w:t xml:space="preserve">le </w:t>
      </w:r>
      <w:r w:rsidR="00EA1C22">
        <w:t xml:space="preserve">denomina </w:t>
      </w:r>
      <w:r>
        <w:t xml:space="preserve">“partes privadas” </w:t>
      </w:r>
      <w:r w:rsidRPr="00BF3EC9">
        <w:rPr>
          <w:color w:val="833C0B" w:themeColor="accent2" w:themeShade="80"/>
          <w:u w:color="000000"/>
        </w:rPr>
        <w:t>(</w:t>
      </w:r>
      <w:proofErr w:type="spellStart"/>
      <w:r w:rsidRPr="00BF3EC9">
        <w:rPr>
          <w:i/>
          <w:iCs/>
          <w:color w:val="833C0B" w:themeColor="accent2" w:themeShade="80"/>
          <w:u w:color="000000"/>
        </w:rPr>
        <w:t>hiri</w:t>
      </w:r>
      <w:r w:rsidR="00BF3EC9" w:rsidRPr="00BF3EC9">
        <w:rPr>
          <w:i/>
          <w:iCs/>
          <w:color w:val="833C0B" w:themeColor="accent2" w:themeShade="80"/>
          <w:u w:color="000000"/>
        </w:rPr>
        <w:t>-</w:t>
      </w:r>
      <w:r w:rsidRPr="00BF3EC9">
        <w:rPr>
          <w:i/>
          <w:iCs/>
          <w:color w:val="833C0B" w:themeColor="accent2" w:themeShade="80"/>
          <w:u w:color="000000"/>
        </w:rPr>
        <w:t>kopīna</w:t>
      </w:r>
      <w:proofErr w:type="spellEnd"/>
      <w:r w:rsidRPr="00BF3EC9">
        <w:rPr>
          <w:color w:val="833C0B" w:themeColor="accent2" w:themeShade="80"/>
          <w:u w:color="000000"/>
        </w:rPr>
        <w:t>)</w:t>
      </w:r>
      <w:r w:rsidRPr="00BF3EC9">
        <w:t xml:space="preserve"> </w:t>
      </w:r>
      <w:r>
        <w:t xml:space="preserve">debido a la perturbación de </w:t>
      </w:r>
      <w:r w:rsidR="00B16EE4">
        <w:t>la vergüenza</w:t>
      </w:r>
      <w:r w:rsidR="008A5436">
        <w:t xml:space="preserve"> </w:t>
      </w:r>
      <w:r>
        <w:t>(</w:t>
      </w:r>
      <w:proofErr w:type="spellStart"/>
      <w:r w:rsidR="00E700C7">
        <w:rPr>
          <w:i/>
          <w:iCs/>
          <w:color w:val="833C0B" w:themeColor="accent2" w:themeShade="80"/>
          <w:u w:color="000000"/>
        </w:rPr>
        <w:t>hiri</w:t>
      </w:r>
      <w:r w:rsidRPr="00EA1C22">
        <w:rPr>
          <w:i/>
          <w:iCs/>
          <w:color w:val="833C0B" w:themeColor="accent2" w:themeShade="80"/>
          <w:u w:color="000000"/>
        </w:rPr>
        <w:t>-</w:t>
      </w:r>
      <w:r w:rsidRPr="00E700C7">
        <w:rPr>
          <w:i/>
          <w:iCs/>
          <w:color w:val="833C0B" w:themeColor="accent2" w:themeShade="80"/>
          <w:u w:color="000000"/>
        </w:rPr>
        <w:t>kopana</w:t>
      </w:r>
      <w:proofErr w:type="spellEnd"/>
      <w:r>
        <w:t xml:space="preserve">). Con el propósito de ocultar las partes íntimas: con el propósito de ocultar </w:t>
      </w:r>
      <w:r w:rsidR="002A1ED9">
        <w:t>dichas</w:t>
      </w:r>
      <w:r>
        <w:t xml:space="preserve"> partes íntimas. [Además de la lectura “</w:t>
      </w:r>
      <w:proofErr w:type="spellStart"/>
      <w:r w:rsidRPr="00E700C7">
        <w:rPr>
          <w:i/>
          <w:iCs/>
          <w:color w:val="833C0B" w:themeColor="accent2" w:themeShade="80"/>
          <w:u w:color="000000"/>
        </w:rPr>
        <w:t>hiri</w:t>
      </w:r>
      <w:r w:rsidR="00E700C7" w:rsidRPr="00E700C7">
        <w:rPr>
          <w:i/>
          <w:iCs/>
          <w:color w:val="833C0B" w:themeColor="accent2" w:themeShade="80"/>
          <w:u w:color="000000"/>
        </w:rPr>
        <w:t>-</w:t>
      </w:r>
      <w:r w:rsidRPr="00E700C7">
        <w:rPr>
          <w:i/>
          <w:iCs/>
          <w:color w:val="833C0B" w:themeColor="accent2" w:themeShade="80"/>
          <w:u w:color="000000"/>
        </w:rPr>
        <w:t>ko</w:t>
      </w:r>
      <w:r w:rsidR="00E700C7" w:rsidRPr="00E700C7">
        <w:rPr>
          <w:i/>
          <w:iCs/>
          <w:color w:val="833C0B" w:themeColor="accent2" w:themeShade="80"/>
          <w:u w:color="000000"/>
        </w:rPr>
        <w:t>p</w:t>
      </w:r>
      <w:r w:rsidRPr="00E700C7">
        <w:rPr>
          <w:i/>
          <w:iCs/>
          <w:color w:val="833C0B" w:themeColor="accent2" w:themeShade="80"/>
          <w:u w:color="000000"/>
        </w:rPr>
        <w:t>īna-paṭicchādanatthaṃ</w:t>
      </w:r>
      <w:proofErr w:type="spellEnd"/>
      <w:r w:rsidRPr="00E700C7">
        <w:rPr>
          <w:color w:val="833C0B" w:themeColor="accent2" w:themeShade="80"/>
          <w:u w:color="000000"/>
        </w:rPr>
        <w:t>]</w:t>
      </w:r>
      <w:r w:rsidRPr="00E700C7">
        <w:t xml:space="preserve"> </w:t>
      </w:r>
      <w:r w:rsidR="008A5436">
        <w:t xml:space="preserve">existe </w:t>
      </w:r>
      <w:r>
        <w:t xml:space="preserve">una lectura </w:t>
      </w:r>
      <w:r w:rsidR="008A5436">
        <w:t xml:space="preserve">así </w:t>
      </w:r>
      <w:r>
        <w:t>“</w:t>
      </w:r>
      <w:proofErr w:type="spellStart"/>
      <w:r w:rsidRPr="00E700C7">
        <w:rPr>
          <w:i/>
          <w:iCs/>
          <w:color w:val="833C0B" w:themeColor="accent2" w:themeShade="80"/>
          <w:u w:color="000000"/>
        </w:rPr>
        <w:t>hiri</w:t>
      </w:r>
      <w:r w:rsidR="00E700C7" w:rsidRPr="00E700C7">
        <w:rPr>
          <w:i/>
          <w:iCs/>
          <w:color w:val="833C0B" w:themeColor="accent2" w:themeShade="80"/>
          <w:u w:color="000000"/>
        </w:rPr>
        <w:t>-</w:t>
      </w:r>
      <w:r w:rsidRPr="00E700C7">
        <w:rPr>
          <w:i/>
          <w:iCs/>
          <w:color w:val="833C0B" w:themeColor="accent2" w:themeShade="80"/>
          <w:u w:color="000000"/>
        </w:rPr>
        <w:t>kopīnaṃ</w:t>
      </w:r>
      <w:proofErr w:type="spellEnd"/>
      <w:r w:rsidRPr="00E700C7">
        <w:rPr>
          <w:i/>
          <w:iCs/>
          <w:color w:val="833C0B" w:themeColor="accent2" w:themeShade="80"/>
          <w:u w:color="000000"/>
        </w:rPr>
        <w:t xml:space="preserve"> </w:t>
      </w:r>
      <w:proofErr w:type="spellStart"/>
      <w:r w:rsidRPr="00E700C7">
        <w:rPr>
          <w:i/>
          <w:iCs/>
          <w:color w:val="833C0B" w:themeColor="accent2" w:themeShade="80"/>
          <w:u w:color="000000"/>
        </w:rPr>
        <w:t>paṭicchādanatthaṃ</w:t>
      </w:r>
      <w:proofErr w:type="spellEnd"/>
      <w:r w:rsidRPr="00E700C7">
        <w:rPr>
          <w:color w:val="833C0B" w:themeColor="accent2" w:themeShade="80"/>
          <w:u w:color="000000"/>
        </w:rPr>
        <w:t>”</w:t>
      </w:r>
      <w:r>
        <w:t>.</w:t>
      </w:r>
    </w:p>
    <w:p w14:paraId="20AC4E04" w14:textId="6D2CECDE" w:rsidR="008F7154" w:rsidRDefault="008F7154" w:rsidP="008F7154">
      <w:r>
        <w:t xml:space="preserve">89. </w:t>
      </w:r>
      <w:r w:rsidR="00A624E4">
        <w:tab/>
      </w:r>
      <w:r w:rsidR="00A624E4" w:rsidRPr="00A624E4">
        <w:rPr>
          <w:i/>
          <w:iCs/>
        </w:rPr>
        <w:t>Ofrenda de alimentos</w:t>
      </w:r>
      <w:r>
        <w:t xml:space="preserve"> es cualquier tipo de comida. Porque </w:t>
      </w:r>
      <w:r w:rsidR="009E5A23">
        <w:t xml:space="preserve">a </w:t>
      </w:r>
      <w:r>
        <w:t xml:space="preserve">cualquier tipo de nutrimento se </w:t>
      </w:r>
      <w:r w:rsidR="009E5A23">
        <w:t xml:space="preserve">le </w:t>
      </w:r>
      <w:r>
        <w:t>llama “</w:t>
      </w:r>
      <w:r w:rsidR="00684800">
        <w:t>ofrenda de alimentos</w:t>
      </w:r>
      <w:r>
        <w:t>” (</w:t>
      </w:r>
      <w:proofErr w:type="spellStart"/>
      <w:r w:rsidRPr="00A624E4">
        <w:rPr>
          <w:i/>
          <w:iCs/>
        </w:rPr>
        <w:t>piṇḍapāta</w:t>
      </w:r>
      <w:proofErr w:type="spellEnd"/>
      <w:r>
        <w:t>—</w:t>
      </w:r>
      <w:proofErr w:type="spellStart"/>
      <w:r>
        <w:t>lit.</w:t>
      </w:r>
      <w:proofErr w:type="spellEnd"/>
      <w:r>
        <w:t xml:space="preserve"> “</w:t>
      </w:r>
      <w:r w:rsidR="00B10EC7">
        <w:t>vertido por</w:t>
      </w:r>
      <w:r>
        <w:t xml:space="preserve"> </w:t>
      </w:r>
      <w:r w:rsidR="00C81A51">
        <w:t>trozos</w:t>
      </w:r>
      <w:r>
        <w:t>”) debido a que se ha dejado caer (</w:t>
      </w:r>
      <w:proofErr w:type="spellStart"/>
      <w:r w:rsidRPr="00A624E4">
        <w:rPr>
          <w:i/>
          <w:iCs/>
        </w:rPr>
        <w:t>patitattā</w:t>
      </w:r>
      <w:proofErr w:type="spellEnd"/>
      <w:r>
        <w:t xml:space="preserve">) en el cuenco de un </w:t>
      </w:r>
      <w:proofErr w:type="spellStart"/>
      <w:r w:rsidR="00057BF4" w:rsidRPr="00057BF4">
        <w:rPr>
          <w:i/>
          <w:iCs/>
        </w:rPr>
        <w:t>bhikkhu</w:t>
      </w:r>
      <w:proofErr w:type="spellEnd"/>
      <w:r>
        <w:t xml:space="preserve"> durante su ronda de </w:t>
      </w:r>
      <w:r w:rsidR="00AD09C6">
        <w:t>ofr</w:t>
      </w:r>
      <w:r w:rsidR="00B10EC7">
        <w:t>e</w:t>
      </w:r>
      <w:r w:rsidR="00AD09C6">
        <w:t>ndas</w:t>
      </w:r>
      <w:r>
        <w:t xml:space="preserve"> (</w:t>
      </w:r>
      <w:proofErr w:type="spellStart"/>
      <w:r w:rsidRPr="00A624E4">
        <w:rPr>
          <w:i/>
          <w:iCs/>
        </w:rPr>
        <w:t>piṇḍolya</w:t>
      </w:r>
      <w:proofErr w:type="spellEnd"/>
      <w:r>
        <w:t xml:space="preserve">). O </w:t>
      </w:r>
      <w:r w:rsidR="000A1EE2">
        <w:t>ofrenda de alimentos</w:t>
      </w:r>
      <w:r>
        <w:t xml:space="preserve"> (</w:t>
      </w:r>
      <w:proofErr w:type="spellStart"/>
      <w:r w:rsidRPr="00A624E4">
        <w:rPr>
          <w:i/>
          <w:iCs/>
        </w:rPr>
        <w:t>piṇḍapāta</w:t>
      </w:r>
      <w:proofErr w:type="spellEnd"/>
      <w:r>
        <w:t>) es la caída (</w:t>
      </w:r>
      <w:proofErr w:type="spellStart"/>
      <w:r w:rsidRPr="00A624E4">
        <w:rPr>
          <w:i/>
          <w:iCs/>
        </w:rPr>
        <w:t>pāta</w:t>
      </w:r>
      <w:proofErr w:type="spellEnd"/>
      <w:r>
        <w:t xml:space="preserve">) de los </w:t>
      </w:r>
      <w:r w:rsidR="005B011B">
        <w:t>trozos</w:t>
      </w:r>
      <w:r>
        <w:t>(</w:t>
      </w:r>
      <w:proofErr w:type="spellStart"/>
      <w:r w:rsidRPr="00A624E4">
        <w:rPr>
          <w:i/>
          <w:iCs/>
        </w:rPr>
        <w:t>piṇḍa</w:t>
      </w:r>
      <w:proofErr w:type="spellEnd"/>
      <w:r>
        <w:t xml:space="preserve">); </w:t>
      </w:r>
      <w:r w:rsidR="005B011B">
        <w:t xml:space="preserve">lo que se quiere decir </w:t>
      </w:r>
      <w:r>
        <w:t>es la concurrencia (</w:t>
      </w:r>
      <w:proofErr w:type="spellStart"/>
      <w:r w:rsidRPr="00A624E4">
        <w:rPr>
          <w:i/>
          <w:iCs/>
        </w:rPr>
        <w:t>sannipāta</w:t>
      </w:r>
      <w:proofErr w:type="spellEnd"/>
      <w:r>
        <w:t xml:space="preserve">), la colección, de </w:t>
      </w:r>
      <w:r w:rsidR="000A1EE2">
        <w:t>ofrendas</w:t>
      </w:r>
      <w:r>
        <w:t xml:space="preserve"> (</w:t>
      </w:r>
      <w:proofErr w:type="spellStart"/>
      <w:r w:rsidRPr="00A624E4">
        <w:rPr>
          <w:i/>
          <w:iCs/>
        </w:rPr>
        <w:t>bhikkhā</w:t>
      </w:r>
      <w:proofErr w:type="spellEnd"/>
      <w:r>
        <w:t>) obtenidas aquí y allá.</w:t>
      </w:r>
    </w:p>
    <w:p w14:paraId="0D39B092" w14:textId="0D8E863C" w:rsidR="008F7154" w:rsidRDefault="008F7154" w:rsidP="00A624E4">
      <w:pPr>
        <w:pStyle w:val="NormalConSangria"/>
      </w:pPr>
      <w:r w:rsidRPr="000B1077">
        <w:rPr>
          <w:i/>
          <w:iCs/>
        </w:rPr>
        <w:t>Ni por diversión</w:t>
      </w:r>
      <w:r>
        <w:t xml:space="preserve">: ni con el propósito de divertirse, como </w:t>
      </w:r>
      <w:r w:rsidR="000547DB">
        <w:t>en el caso de los niños de un</w:t>
      </w:r>
      <w:r>
        <w:t xml:space="preserve"> pueblo, etc.; </w:t>
      </w:r>
      <w:r w:rsidR="00E60BFD">
        <w:t xml:space="preserve">no </w:t>
      </w:r>
      <w:r w:rsidR="0031779B">
        <w:t>en virtud</w:t>
      </w:r>
      <w:r>
        <w:t xml:space="preserve"> de</w:t>
      </w:r>
      <w:r w:rsidR="003338E0">
        <w:t xml:space="preserve"> </w:t>
      </w:r>
      <w:r>
        <w:t>l</w:t>
      </w:r>
      <w:r w:rsidR="00CD104B">
        <w:t>a</w:t>
      </w:r>
      <w:r>
        <w:t xml:space="preserve"> </w:t>
      </w:r>
      <w:r w:rsidR="00CD104B">
        <w:t>recreación</w:t>
      </w:r>
      <w:r>
        <w:t xml:space="preserve">, es lo que se quiere decir. </w:t>
      </w:r>
      <w:r w:rsidRPr="0003308E">
        <w:rPr>
          <w:i/>
          <w:iCs/>
        </w:rPr>
        <w:t>Ni p</w:t>
      </w:r>
      <w:r w:rsidR="0003308E" w:rsidRPr="0003308E">
        <w:rPr>
          <w:i/>
          <w:iCs/>
        </w:rPr>
        <w:t>a</w:t>
      </w:r>
      <w:r w:rsidRPr="0003308E">
        <w:rPr>
          <w:i/>
          <w:iCs/>
        </w:rPr>
        <w:t>r</w:t>
      </w:r>
      <w:r w:rsidR="0003308E" w:rsidRPr="0003308E">
        <w:rPr>
          <w:i/>
          <w:iCs/>
        </w:rPr>
        <w:t>a la</w:t>
      </w:r>
      <w:r w:rsidRPr="0003308E">
        <w:rPr>
          <w:i/>
          <w:iCs/>
        </w:rPr>
        <w:t xml:space="preserve"> intoxicación</w:t>
      </w:r>
      <w:r>
        <w:t>: no con el propósito de intoxica</w:t>
      </w:r>
      <w:r w:rsidR="0003308E">
        <w:t>rse</w:t>
      </w:r>
      <w:r>
        <w:t xml:space="preserve">, como con los boxeadores, etc.; </w:t>
      </w:r>
      <w:r w:rsidR="00176833">
        <w:t xml:space="preserve">lo que se quiere decir </w:t>
      </w:r>
      <w:r w:rsidR="0068284D">
        <w:t xml:space="preserve">se refiere a </w:t>
      </w:r>
      <w:r w:rsidR="00AB15C5">
        <w:t>la intoxicación</w:t>
      </w:r>
      <w:r>
        <w:t xml:space="preserve"> </w:t>
      </w:r>
      <w:r w:rsidR="00791BAA">
        <w:t>mediante</w:t>
      </w:r>
      <w:r>
        <w:t xml:space="preserve"> la fuerza y la </w:t>
      </w:r>
      <w:r w:rsidR="00662726">
        <w:t xml:space="preserve">intoxicación </w:t>
      </w:r>
      <w:r w:rsidR="0068284D">
        <w:t xml:space="preserve">mediante </w:t>
      </w:r>
      <w:r>
        <w:t xml:space="preserve">la </w:t>
      </w:r>
      <w:proofErr w:type="gramStart"/>
      <w:r>
        <w:t>virilidad,.</w:t>
      </w:r>
      <w:proofErr w:type="gramEnd"/>
      <w:r>
        <w:t xml:space="preserve"> [32] </w:t>
      </w:r>
      <w:r w:rsidRPr="000B1077">
        <w:rPr>
          <w:i/>
          <w:iCs/>
        </w:rPr>
        <w:t xml:space="preserve">Ni para </w:t>
      </w:r>
      <w:r w:rsidR="00FC1E1D">
        <w:rPr>
          <w:i/>
          <w:iCs/>
        </w:rPr>
        <w:t>arreglarse</w:t>
      </w:r>
      <w:r>
        <w:t>: n</w:t>
      </w:r>
      <w:r w:rsidR="00017568">
        <w:t>i</w:t>
      </w:r>
      <w:r>
        <w:t xml:space="preserve"> para </w:t>
      </w:r>
      <w:r w:rsidR="00734D1D">
        <w:t>mejorarse la apariencia</w:t>
      </w:r>
      <w:r>
        <w:t xml:space="preserve">, como con las concubinas reales, las cortesanas, etc.; en </w:t>
      </w:r>
      <w:r w:rsidR="002113E2">
        <w:t>virtud</w:t>
      </w:r>
      <w:r>
        <w:t xml:space="preserve"> de la gordura </w:t>
      </w:r>
      <w:r w:rsidR="00734D1D">
        <w:t xml:space="preserve">de </w:t>
      </w:r>
      <w:r>
        <w:t xml:space="preserve">todos los miembros, eso es lo que se quiere decir. </w:t>
      </w:r>
      <w:r w:rsidRPr="00017568">
        <w:rPr>
          <w:i/>
          <w:iCs/>
        </w:rPr>
        <w:t>Ni para embellecer</w:t>
      </w:r>
      <w:r w:rsidR="00017568">
        <w:rPr>
          <w:i/>
          <w:iCs/>
        </w:rPr>
        <w:t>se</w:t>
      </w:r>
      <w:r>
        <w:t xml:space="preserve">: no con el propósito de embellecer, como con los actores, </w:t>
      </w:r>
      <w:r w:rsidR="00734D1D">
        <w:t xml:space="preserve">los </w:t>
      </w:r>
      <w:r>
        <w:t xml:space="preserve">bailarines, etc.; en </w:t>
      </w:r>
      <w:r w:rsidR="007C4785">
        <w:t xml:space="preserve">virtud </w:t>
      </w:r>
      <w:r>
        <w:t>de una piel y una tez claras, eso es lo que se quiere decir.</w:t>
      </w:r>
    </w:p>
    <w:p w14:paraId="79377E98" w14:textId="3C1F6DC6" w:rsidR="008F7154" w:rsidRDefault="008F7154" w:rsidP="008F7154">
      <w:r>
        <w:t xml:space="preserve">90. </w:t>
      </w:r>
      <w:r w:rsidR="00A624E4">
        <w:tab/>
      </w:r>
      <w:r>
        <w:t xml:space="preserve">Y aquí la cláusula </w:t>
      </w:r>
      <w:r w:rsidRPr="00E04420">
        <w:rPr>
          <w:i/>
          <w:iCs/>
        </w:rPr>
        <w:t>ni por</w:t>
      </w:r>
      <w:r>
        <w:t xml:space="preserve"> </w:t>
      </w:r>
      <w:r w:rsidRPr="00017568">
        <w:rPr>
          <w:i/>
          <w:iCs/>
        </w:rPr>
        <w:t>diversión</w:t>
      </w:r>
      <w:r>
        <w:t xml:space="preserve"> se establece con el propósito de abandonar el </w:t>
      </w:r>
      <w:r w:rsidR="007C4785">
        <w:t>soporte</w:t>
      </w:r>
      <w:r>
        <w:t xml:space="preserve"> </w:t>
      </w:r>
      <w:r w:rsidR="007C4785">
        <w:t xml:space="preserve">de </w:t>
      </w:r>
      <w:r w:rsidR="002B154A">
        <w:t>la ilusión</w:t>
      </w:r>
      <w:r>
        <w:t xml:space="preserve">; </w:t>
      </w:r>
      <w:r w:rsidRPr="00E04420">
        <w:rPr>
          <w:i/>
          <w:iCs/>
        </w:rPr>
        <w:t xml:space="preserve">ni por </w:t>
      </w:r>
      <w:r w:rsidR="007C4785">
        <w:rPr>
          <w:i/>
          <w:iCs/>
        </w:rPr>
        <w:t xml:space="preserve">intoxicación </w:t>
      </w:r>
      <w:r>
        <w:t xml:space="preserve">se dice con el fin de abandonar el </w:t>
      </w:r>
      <w:r w:rsidR="007C4785">
        <w:t xml:space="preserve">soporte </w:t>
      </w:r>
      <w:r w:rsidR="00B05745">
        <w:t>de</w:t>
      </w:r>
      <w:r>
        <w:t xml:space="preserve">l odio; </w:t>
      </w:r>
      <w:r w:rsidRPr="00E04420">
        <w:rPr>
          <w:i/>
          <w:iCs/>
        </w:rPr>
        <w:t>ni para engalanar ni para embellecer</w:t>
      </w:r>
      <w:r>
        <w:t xml:space="preserve"> se dice con el fin de abandonar el </w:t>
      </w:r>
      <w:r w:rsidR="00710EBB">
        <w:t>soporte de</w:t>
      </w:r>
      <w:r>
        <w:t xml:space="preserve"> la codicia. Y </w:t>
      </w:r>
      <w:r w:rsidRPr="0050232E">
        <w:rPr>
          <w:i/>
          <w:iCs/>
        </w:rPr>
        <w:t>ni por diversión ni por intoxicación</w:t>
      </w:r>
      <w:r>
        <w:t xml:space="preserve"> se dice con el fin de evitar que surjan cadenas </w:t>
      </w:r>
      <w:r w:rsidR="00AD1B0B">
        <w:t>en</w:t>
      </w:r>
      <w:r>
        <w:t xml:space="preserve"> uno mismo. </w:t>
      </w:r>
      <w:r w:rsidRPr="0050232E">
        <w:rPr>
          <w:i/>
          <w:iCs/>
        </w:rPr>
        <w:t>Ni para engalanar ni para embellecer</w:t>
      </w:r>
      <w:r>
        <w:t xml:space="preserve"> se dice con el fin de evitar que surjan cadenas </w:t>
      </w:r>
      <w:r w:rsidR="00AD1B0B">
        <w:t>en</w:t>
      </w:r>
      <w:r>
        <w:t xml:space="preserve"> </w:t>
      </w:r>
      <w:r w:rsidR="00D743BE">
        <w:t>los demás</w:t>
      </w:r>
      <w:r>
        <w:t>. Y el abandono tanto de la práctica imprudente como de la devoción a la indulgencia e</w:t>
      </w:r>
      <w:r w:rsidR="00AD1B0B">
        <w:t>n</w:t>
      </w:r>
      <w:r>
        <w:t xml:space="preserve"> los placeres de los sentidos debe entenderse como </w:t>
      </w:r>
      <w:r w:rsidR="0003592D">
        <w:t xml:space="preserve">lo </w:t>
      </w:r>
      <w:r>
        <w:t>declarado por estos cuatro. Sólo tiene el significado indicado.</w:t>
      </w:r>
    </w:p>
    <w:p w14:paraId="610077D7" w14:textId="772B4856" w:rsidR="008F7154" w:rsidRDefault="008F7154" w:rsidP="008F7154">
      <w:r>
        <w:t xml:space="preserve">91. </w:t>
      </w:r>
      <w:r w:rsidR="00A624E4">
        <w:tab/>
      </w:r>
      <w:r w:rsidRPr="0050232E">
        <w:rPr>
          <w:i/>
          <w:iCs/>
        </w:rPr>
        <w:t>De este cuerpo</w:t>
      </w:r>
      <w:r>
        <w:t xml:space="preserve">: de este cuerpo material constituido por los cuatro grandes primarios. </w:t>
      </w:r>
      <w:r w:rsidRPr="0003592D">
        <w:rPr>
          <w:i/>
          <w:iCs/>
        </w:rPr>
        <w:t>Para</w:t>
      </w:r>
      <w:r>
        <w:t xml:space="preserve"> </w:t>
      </w:r>
      <w:r w:rsidRPr="0003592D">
        <w:rPr>
          <w:i/>
          <w:iCs/>
        </w:rPr>
        <w:t>la</w:t>
      </w:r>
      <w:r>
        <w:t xml:space="preserve"> </w:t>
      </w:r>
      <w:r w:rsidRPr="0003592D">
        <w:rPr>
          <w:i/>
          <w:iCs/>
        </w:rPr>
        <w:t>resistencia</w:t>
      </w:r>
      <w:r>
        <w:t xml:space="preserve">: con el propósito de una resistencia continua. </w:t>
      </w:r>
      <w:r w:rsidRPr="0050232E">
        <w:rPr>
          <w:i/>
          <w:iCs/>
        </w:rPr>
        <w:t>Y continuación</w:t>
      </w:r>
      <w:r>
        <w:t>: con el propósito de no interrumpir [la continuación de la vida] o con el propósito de perseverar</w:t>
      </w:r>
      <w:r w:rsidR="0003592D">
        <w:t>la</w:t>
      </w:r>
      <w:r>
        <w:t xml:space="preserve"> por mucho tiempo. Él hace uso de la </w:t>
      </w:r>
      <w:r w:rsidR="0003592D">
        <w:t xml:space="preserve">ofrenda de alimentos </w:t>
      </w:r>
      <w:r>
        <w:t xml:space="preserve">con el propósito de </w:t>
      </w:r>
      <w:r w:rsidR="000F3403">
        <w:t>desarrollar</w:t>
      </w:r>
      <w:r>
        <w:t xml:space="preserve"> resistencia, con el propósito de </w:t>
      </w:r>
      <w:r w:rsidR="000F3403">
        <w:t xml:space="preserve">establecer </w:t>
      </w:r>
      <w:r>
        <w:t xml:space="preserve">la continuación del cuerpo, como el dueño de una casa vieja </w:t>
      </w:r>
      <w:r w:rsidR="000F3403">
        <w:t xml:space="preserve">que </w:t>
      </w:r>
      <w:r>
        <w:t xml:space="preserve">usa puntales para </w:t>
      </w:r>
      <w:r w:rsidR="00694925">
        <w:t>asegurar su funcionamiento</w:t>
      </w:r>
      <w:r>
        <w:t xml:space="preserve">, y como un </w:t>
      </w:r>
      <w:r w:rsidR="00694925">
        <w:t xml:space="preserve">cochero que </w:t>
      </w:r>
      <w:r>
        <w:t xml:space="preserve">usa grasa para </w:t>
      </w:r>
      <w:r w:rsidR="0003592D">
        <w:t xml:space="preserve">los </w:t>
      </w:r>
      <w:r>
        <w:t>ejes</w:t>
      </w:r>
      <w:r w:rsidR="007F43D7">
        <w:t xml:space="preserve"> de su carrosa</w:t>
      </w:r>
      <w:r>
        <w:t xml:space="preserve">, no </w:t>
      </w:r>
      <w:r w:rsidR="00694925">
        <w:t xml:space="preserve">en virtud de la </w:t>
      </w:r>
      <w:r>
        <w:t xml:space="preserve">diversión, </w:t>
      </w:r>
      <w:r w:rsidR="0003592D">
        <w:t>intoxicación</w:t>
      </w:r>
      <w:r>
        <w:t xml:space="preserve">, agravio y embellecimiento. Además, la resistencia es un término para la facultad </w:t>
      </w:r>
      <w:r w:rsidR="007F43D7">
        <w:t>vital</w:t>
      </w:r>
      <w:r>
        <w:t>. Así que lo que se ha</w:t>
      </w:r>
      <w:r w:rsidR="0003592D">
        <w:t xml:space="preserve">ya </w:t>
      </w:r>
      <w:r>
        <w:t xml:space="preserve">dicho en cuanto a las palabras </w:t>
      </w:r>
      <w:r w:rsidRPr="005965CA">
        <w:rPr>
          <w:i/>
          <w:iCs/>
        </w:rPr>
        <w:t>para la resistencia y continuación de este cuerpo</w:t>
      </w:r>
      <w:r>
        <w:t xml:space="preserve"> puede entenderse que significa: con el propósito de mantener la ocurrencia de la facultad </w:t>
      </w:r>
      <w:r w:rsidR="00A62100">
        <w:t xml:space="preserve">vital </w:t>
      </w:r>
      <w:r>
        <w:t>en este cuerpo.</w:t>
      </w:r>
    </w:p>
    <w:p w14:paraId="523AD9DF" w14:textId="2B6C560C" w:rsidR="008F7154" w:rsidRDefault="008F7154" w:rsidP="008F7154">
      <w:r>
        <w:t xml:space="preserve">92. </w:t>
      </w:r>
      <w:r w:rsidR="00A624E4">
        <w:tab/>
      </w:r>
      <w:r w:rsidRPr="005965CA">
        <w:rPr>
          <w:i/>
          <w:iCs/>
        </w:rPr>
        <w:t xml:space="preserve">Para </w:t>
      </w:r>
      <w:r w:rsidR="005965CA">
        <w:rPr>
          <w:i/>
          <w:iCs/>
        </w:rPr>
        <w:t>terminar</w:t>
      </w:r>
      <w:r w:rsidRPr="005965CA">
        <w:rPr>
          <w:i/>
          <w:iCs/>
        </w:rPr>
        <w:t xml:space="preserve"> </w:t>
      </w:r>
      <w:r w:rsidR="0003592D">
        <w:rPr>
          <w:i/>
          <w:iCs/>
        </w:rPr>
        <w:t>con</w:t>
      </w:r>
      <w:r w:rsidRPr="005965CA">
        <w:rPr>
          <w:i/>
          <w:iCs/>
        </w:rPr>
        <w:t xml:space="preserve"> la incomodidad</w:t>
      </w:r>
      <w:r>
        <w:t xml:space="preserve">: </w:t>
      </w:r>
      <w:r w:rsidR="005A3DFB">
        <w:t>a</w:t>
      </w:r>
      <w:r>
        <w:t xml:space="preserve">l hambre se </w:t>
      </w:r>
      <w:r w:rsidR="00280122">
        <w:t xml:space="preserve">le </w:t>
      </w:r>
      <w:r w:rsidR="00C60230">
        <w:t>denomina</w:t>
      </w:r>
      <w:r>
        <w:t xml:space="preserve"> “incomodidad” en el sentido de afli</w:t>
      </w:r>
      <w:r w:rsidR="00280122">
        <w:t>cción</w:t>
      </w:r>
      <w:r>
        <w:t xml:space="preserve">. </w:t>
      </w:r>
      <w:r w:rsidR="00280122">
        <w:t>Él s</w:t>
      </w:r>
      <w:r>
        <w:t xml:space="preserve">e sirve </w:t>
      </w:r>
      <w:r w:rsidR="00280122">
        <w:t>de las ofrenda</w:t>
      </w:r>
      <w:r w:rsidR="00C60230">
        <w:t>s</w:t>
      </w:r>
      <w:r w:rsidR="00280122">
        <w:t xml:space="preserve"> de alimento</w:t>
      </w:r>
      <w:r w:rsidR="00C60230">
        <w:t>s</w:t>
      </w:r>
      <w:r>
        <w:t xml:space="preserve"> con el fin de acabar con e</w:t>
      </w:r>
      <w:r w:rsidR="00280122">
        <w:t>ll</w:t>
      </w:r>
      <w:r>
        <w:t xml:space="preserve">o, como </w:t>
      </w:r>
      <w:r w:rsidR="00C60230">
        <w:t xml:space="preserve">se </w:t>
      </w:r>
      <w:proofErr w:type="gramStart"/>
      <w:r w:rsidR="009B3626">
        <w:t>tratar</w:t>
      </w:r>
      <w:r w:rsidR="00C60230">
        <w:t>a</w:t>
      </w:r>
      <w:proofErr w:type="gramEnd"/>
    </w:p>
    <w:p w14:paraId="186790B7" w14:textId="77777777" w:rsidR="008F7154" w:rsidRDefault="008F7154">
      <w:pPr>
        <w:tabs>
          <w:tab w:val="clear" w:pos="425"/>
        </w:tabs>
      </w:pPr>
      <w:r>
        <w:br w:type="page"/>
      </w:r>
    </w:p>
    <w:p w14:paraId="1DA1C2FD" w14:textId="7FD93700" w:rsidR="00437B12" w:rsidRDefault="00C60230" w:rsidP="00437B12">
      <w:r>
        <w:lastRenderedPageBreak/>
        <w:t xml:space="preserve">de una </w:t>
      </w:r>
      <w:r w:rsidR="009B3626">
        <w:t xml:space="preserve">herida, como al </w:t>
      </w:r>
      <w:r w:rsidR="00437B12">
        <w:t xml:space="preserve">contrarrestar el calor con el frío, etc. </w:t>
      </w:r>
      <w:r w:rsidR="00437B12" w:rsidRPr="005965CA">
        <w:rPr>
          <w:i/>
          <w:iCs/>
        </w:rPr>
        <w:t xml:space="preserve">Para </w:t>
      </w:r>
      <w:r w:rsidR="009B3626">
        <w:rPr>
          <w:i/>
          <w:iCs/>
        </w:rPr>
        <w:t>contribuir</w:t>
      </w:r>
      <w:r w:rsidR="008664AA">
        <w:rPr>
          <w:i/>
          <w:iCs/>
        </w:rPr>
        <w:t xml:space="preserve"> </w:t>
      </w:r>
      <w:r w:rsidR="00437B12" w:rsidRPr="005965CA">
        <w:rPr>
          <w:i/>
          <w:iCs/>
        </w:rPr>
        <w:t>a la vida de pureza</w:t>
      </w:r>
      <w:r w:rsidR="00437B12">
        <w:t>: con el propósito de ayudar a la vida de pureza consiste</w:t>
      </w:r>
      <w:r w:rsidR="008664AA">
        <w:t>nte</w:t>
      </w:r>
      <w:r w:rsidR="00437B12">
        <w:t xml:space="preserve"> </w:t>
      </w:r>
      <w:r w:rsidR="00CB399D">
        <w:t>de</w:t>
      </w:r>
      <w:r w:rsidR="00437B12">
        <w:t xml:space="preserve"> </w:t>
      </w:r>
      <w:r w:rsidR="008664AA">
        <w:t>la totalidad de</w:t>
      </w:r>
      <w:r w:rsidR="00437B12">
        <w:t xml:space="preserve"> la dispensación y la vida de pureza consiste</w:t>
      </w:r>
      <w:r w:rsidR="008664AA">
        <w:t>nte</w:t>
      </w:r>
      <w:r w:rsidR="00437B12">
        <w:t xml:space="preserve"> </w:t>
      </w:r>
      <w:r w:rsidR="008664AA">
        <w:t>del sendero</w:t>
      </w:r>
      <w:r w:rsidR="00437B12">
        <w:t xml:space="preserve">. </w:t>
      </w:r>
      <w:r w:rsidR="000E5555">
        <w:t xml:space="preserve">Ya </w:t>
      </w:r>
      <w:r w:rsidR="00437B12">
        <w:t>que mientras este [</w:t>
      </w:r>
      <w:proofErr w:type="spellStart"/>
      <w:r w:rsidR="00057BF4" w:rsidRPr="00057BF4">
        <w:rPr>
          <w:i/>
          <w:iCs/>
        </w:rPr>
        <w:t>bhikkhu</w:t>
      </w:r>
      <w:proofErr w:type="spellEnd"/>
      <w:r w:rsidR="00437B12">
        <w:t>] se dedi</w:t>
      </w:r>
      <w:r w:rsidR="00F83DA5">
        <w:t>que</w:t>
      </w:r>
      <w:r w:rsidR="00437B12">
        <w:t xml:space="preserve"> a cruzar el desierto de la existencia por medio de la devoción </w:t>
      </w:r>
      <w:r w:rsidR="00F83DA5">
        <w:t>hacia</w:t>
      </w:r>
      <w:r w:rsidR="00437B12">
        <w:t xml:space="preserve"> los tres entrenamientos que dependen de la fuerza corporal cuya condición necesaria es el uso de</w:t>
      </w:r>
      <w:r w:rsidR="005F7146">
        <w:t xml:space="preserve"> las ofrendas de alimentos</w:t>
      </w:r>
      <w:r w:rsidR="00437B12">
        <w:t>, ha</w:t>
      </w:r>
      <w:r w:rsidR="000E5555">
        <w:t>rá</w:t>
      </w:r>
      <w:r w:rsidR="00437B12">
        <w:t xml:space="preserve"> uso de ella</w:t>
      </w:r>
      <w:r w:rsidR="005F7146">
        <w:t>s</w:t>
      </w:r>
      <w:r w:rsidR="00437B12">
        <w:t xml:space="preserve"> para </w:t>
      </w:r>
      <w:r w:rsidR="00E75CA4">
        <w:t>contribu</w:t>
      </w:r>
      <w:r w:rsidR="008E3B82">
        <w:t>ción de</w:t>
      </w:r>
      <w:r w:rsidR="00E75CA4">
        <w:t xml:space="preserve"> </w:t>
      </w:r>
      <w:r w:rsidR="001437EC">
        <w:t xml:space="preserve">llevar </w:t>
      </w:r>
      <w:r w:rsidR="00E75CA4">
        <w:t>una</w:t>
      </w:r>
      <w:r w:rsidR="00437B12">
        <w:t xml:space="preserve"> vida de pureza </w:t>
      </w:r>
      <w:r w:rsidR="008E3B82">
        <w:t xml:space="preserve">de igual forma </w:t>
      </w:r>
      <w:r w:rsidR="00437B12">
        <w:t xml:space="preserve">como aquellos que </w:t>
      </w:r>
      <w:r w:rsidR="00E75CA4">
        <w:t xml:space="preserve">procuraron </w:t>
      </w:r>
      <w:r w:rsidR="00437B12">
        <w:t xml:space="preserve">cruzar </w:t>
      </w:r>
      <w:r w:rsidR="008E3B82">
        <w:t>un</w:t>
      </w:r>
      <w:r w:rsidR="00437B12">
        <w:t xml:space="preserve"> desierto </w:t>
      </w:r>
      <w:r w:rsidR="008B3447">
        <w:t xml:space="preserve">a costas de </w:t>
      </w:r>
      <w:r w:rsidR="00437B12">
        <w:t>la carne de su hijo,</w:t>
      </w:r>
      <w:r w:rsidR="00437B12" w:rsidRPr="00906B05">
        <w:rPr>
          <w:vertAlign w:val="superscript"/>
        </w:rPr>
        <w:t>29</w:t>
      </w:r>
      <w:r w:rsidR="00437B12">
        <w:t xml:space="preserve"> </w:t>
      </w:r>
      <w:r w:rsidR="008B3447">
        <w:t xml:space="preserve">de la misma manera </w:t>
      </w:r>
      <w:r w:rsidR="00437B12">
        <w:t>como los que bus</w:t>
      </w:r>
      <w:r w:rsidR="008B3447">
        <w:t>quen</w:t>
      </w:r>
      <w:r w:rsidR="00437B12">
        <w:t xml:space="preserve"> cruzar un río </w:t>
      </w:r>
      <w:r w:rsidR="008B3447">
        <w:t xml:space="preserve">tendrán que </w:t>
      </w:r>
      <w:r w:rsidR="00F31170">
        <w:t>utiliza</w:t>
      </w:r>
      <w:r w:rsidR="008B3447">
        <w:t>r</w:t>
      </w:r>
      <w:r w:rsidR="00437B12">
        <w:t xml:space="preserve"> una balsa, y </w:t>
      </w:r>
      <w:r w:rsidR="008B3447">
        <w:t xml:space="preserve">también </w:t>
      </w:r>
      <w:r w:rsidR="00437B12">
        <w:t>como los que bus</w:t>
      </w:r>
      <w:r w:rsidR="00463489">
        <w:t>quen</w:t>
      </w:r>
      <w:r w:rsidR="00437B12">
        <w:t xml:space="preserve"> cruzar el océano </w:t>
      </w:r>
      <w:r w:rsidR="00463489">
        <w:t xml:space="preserve">deberán </w:t>
      </w:r>
      <w:r w:rsidR="00F31170">
        <w:t>utiliza</w:t>
      </w:r>
      <w:r w:rsidR="00463489">
        <w:t>r</w:t>
      </w:r>
      <w:r w:rsidR="00F31170">
        <w:t xml:space="preserve"> </w:t>
      </w:r>
      <w:r w:rsidR="00437B12">
        <w:t>un barco.</w:t>
      </w:r>
    </w:p>
    <w:p w14:paraId="61C22133" w14:textId="19AD7543" w:rsidR="00437B12" w:rsidRDefault="00437B12" w:rsidP="00437B12">
      <w:r>
        <w:t xml:space="preserve">93. </w:t>
      </w:r>
      <w:r w:rsidR="005965CA">
        <w:tab/>
      </w:r>
      <w:r w:rsidRPr="005965CA">
        <w:rPr>
          <w:i/>
          <w:iCs/>
        </w:rPr>
        <w:t>Así pondré fin a l</w:t>
      </w:r>
      <w:r w:rsidR="00916CD3">
        <w:rPr>
          <w:i/>
          <w:iCs/>
        </w:rPr>
        <w:t>a</w:t>
      </w:r>
      <w:r w:rsidRPr="005965CA">
        <w:rPr>
          <w:i/>
          <w:iCs/>
        </w:rPr>
        <w:t>s viej</w:t>
      </w:r>
      <w:r w:rsidR="00916CD3">
        <w:rPr>
          <w:i/>
          <w:iCs/>
        </w:rPr>
        <w:t>a</w:t>
      </w:r>
      <w:r w:rsidRPr="005965CA">
        <w:rPr>
          <w:i/>
          <w:iCs/>
        </w:rPr>
        <w:t xml:space="preserve">s </w:t>
      </w:r>
      <w:r w:rsidR="000C168F">
        <w:rPr>
          <w:i/>
          <w:iCs/>
        </w:rPr>
        <w:t>sensaciones</w:t>
      </w:r>
      <w:r w:rsidRPr="005965CA">
        <w:rPr>
          <w:i/>
          <w:iCs/>
        </w:rPr>
        <w:t xml:space="preserve"> y no despertaré nuev</w:t>
      </w:r>
      <w:r w:rsidR="000C168F">
        <w:rPr>
          <w:i/>
          <w:iCs/>
        </w:rPr>
        <w:t>a</w:t>
      </w:r>
      <w:r w:rsidRPr="005965CA">
        <w:rPr>
          <w:i/>
          <w:iCs/>
        </w:rPr>
        <w:t xml:space="preserve">s </w:t>
      </w:r>
      <w:r w:rsidR="000C168F">
        <w:rPr>
          <w:i/>
          <w:iCs/>
        </w:rPr>
        <w:t>sensaciones</w:t>
      </w:r>
      <w:r>
        <w:t xml:space="preserve">: [33] así como un hombre enfermo usa </w:t>
      </w:r>
      <w:r w:rsidR="003F05A4">
        <w:t xml:space="preserve">su </w:t>
      </w:r>
      <w:r>
        <w:t xml:space="preserve">medicina, </w:t>
      </w:r>
      <w:r w:rsidR="003F05A4">
        <w:t xml:space="preserve">así mismo utiliza las </w:t>
      </w:r>
      <w:r w:rsidR="000C168F">
        <w:t>ofrendas de alimentos</w:t>
      </w:r>
      <w:r>
        <w:t>, pensando: “Con el uso de est</w:t>
      </w:r>
      <w:r w:rsidR="000C168F">
        <w:t>as</w:t>
      </w:r>
      <w:r>
        <w:t xml:space="preserve"> </w:t>
      </w:r>
      <w:r w:rsidR="000C168F">
        <w:t xml:space="preserve">ofrendas de alimentos </w:t>
      </w:r>
      <w:r>
        <w:t xml:space="preserve">haré cesar la antigua sensación de hambre, y no despertaré una nueva sensación comiendo sin moderación, </w:t>
      </w:r>
      <w:r w:rsidR="00583DEA">
        <w:t xml:space="preserve">tal </w:t>
      </w:r>
      <w:r>
        <w:t xml:space="preserve">como </w:t>
      </w:r>
      <w:r w:rsidR="00583DEA">
        <w:t xml:space="preserve">lo </w:t>
      </w:r>
      <w:r w:rsidR="005F276C">
        <w:t xml:space="preserve">describe </w:t>
      </w:r>
      <w:r>
        <w:t>uno de los proverbi</w:t>
      </w:r>
      <w:r w:rsidR="005F276C">
        <w:t>o</w:t>
      </w:r>
      <w:r>
        <w:t xml:space="preserve">s </w:t>
      </w:r>
      <w:r w:rsidRPr="000D37B0">
        <w:rPr>
          <w:i/>
          <w:iCs/>
        </w:rPr>
        <w:t>brahmanes</w:t>
      </w:r>
      <w:r>
        <w:t xml:space="preserve">, es decir, </w:t>
      </w:r>
      <w:r w:rsidR="00C13463">
        <w:t>como alguien</w:t>
      </w:r>
      <w:r>
        <w:t xml:space="preserve"> que com</w:t>
      </w:r>
      <w:r w:rsidR="00C13463">
        <w:t>a</w:t>
      </w:r>
      <w:r>
        <w:t xml:space="preserve"> hasta que </w:t>
      </w:r>
      <w:r w:rsidR="00C13463">
        <w:t xml:space="preserve">tenga </w:t>
      </w:r>
      <w:r>
        <w:t xml:space="preserve">que ser ayudado a levantarse con la mano, o hasta que su ropa no </w:t>
      </w:r>
      <w:r w:rsidR="00A44060">
        <w:t xml:space="preserve">sea cómoda </w:t>
      </w:r>
      <w:r>
        <w:t xml:space="preserve">o hasta que ruede </w:t>
      </w:r>
      <w:r w:rsidR="007B44A3">
        <w:t xml:space="preserve">de </w:t>
      </w:r>
      <w:r>
        <w:t>allí</w:t>
      </w:r>
      <w:r w:rsidR="007B44A3">
        <w:t xml:space="preserve"> hacia allá </w:t>
      </w:r>
      <w:r>
        <w:t xml:space="preserve"> [por el suelo], o hasta que los cuervos puedan picotear su boca, o hasta que vomite lo que ha</w:t>
      </w:r>
      <w:r w:rsidR="005F276C">
        <w:t>ya</w:t>
      </w:r>
      <w:r>
        <w:t xml:space="preserve"> comido. </w:t>
      </w:r>
      <w:r w:rsidR="003C75F2">
        <w:t>Alternativamente</w:t>
      </w:r>
      <w:r>
        <w:t xml:space="preserve">, </w:t>
      </w:r>
      <w:r w:rsidR="003C75F2">
        <w:t xml:space="preserve">se manifiesta </w:t>
      </w:r>
      <w:r>
        <w:t>lo que se llama "</w:t>
      </w:r>
      <w:r w:rsidR="00A44060">
        <w:t>las antiguas sensaciones</w:t>
      </w:r>
      <w:r>
        <w:t xml:space="preserve">" porque, al estar condicionado por el </w:t>
      </w:r>
      <w:proofErr w:type="spellStart"/>
      <w:r w:rsidR="00057BF4" w:rsidRPr="00057BF4">
        <w:rPr>
          <w:i/>
          <w:iCs/>
        </w:rPr>
        <w:t>kamma</w:t>
      </w:r>
      <w:proofErr w:type="spellEnd"/>
      <w:r>
        <w:t xml:space="preserve"> </w:t>
      </w:r>
      <w:r w:rsidR="00A44060">
        <w:t>del pasado</w:t>
      </w:r>
      <w:r>
        <w:t>, surg</w:t>
      </w:r>
      <w:r w:rsidR="008413A5">
        <w:t>irá</w:t>
      </w:r>
      <w:r>
        <w:t xml:space="preserve"> en dependencia </w:t>
      </w:r>
      <w:r w:rsidR="00E13789">
        <w:t>con</w:t>
      </w:r>
      <w:r w:rsidR="00A44060">
        <w:t xml:space="preserve"> ello </w:t>
      </w:r>
      <w:r>
        <w:t>una alimentación inadecuada e inmoderada. Pondré fin a es</w:t>
      </w:r>
      <w:r w:rsidR="00A44060">
        <w:t>a</w:t>
      </w:r>
      <w:r>
        <w:t xml:space="preserve"> viej</w:t>
      </w:r>
      <w:r w:rsidR="00A44060">
        <w:t>a</w:t>
      </w:r>
      <w:r>
        <w:t xml:space="preserve"> </w:t>
      </w:r>
      <w:r w:rsidR="00A44060">
        <w:t>sensación</w:t>
      </w:r>
      <w:r>
        <w:t xml:space="preserve">, previniendo su condición mediante una alimentación adecuada y moderada. Y </w:t>
      </w:r>
      <w:r w:rsidR="00E13789">
        <w:t>se manifesta</w:t>
      </w:r>
      <w:r w:rsidR="00A72CF5">
        <w:t>rá</w:t>
      </w:r>
      <w:r w:rsidR="00E13789">
        <w:t xml:space="preserve"> </w:t>
      </w:r>
      <w:r w:rsidR="00A72CF5">
        <w:t>aquello</w:t>
      </w:r>
      <w:r>
        <w:t xml:space="preserve"> que se llama 'nuev</w:t>
      </w:r>
      <w:r w:rsidR="00E13789">
        <w:t>a</w:t>
      </w:r>
      <w:r>
        <w:t xml:space="preserve"> </w:t>
      </w:r>
      <w:r w:rsidR="00794F07">
        <w:t>sensación’</w:t>
      </w:r>
      <w:r>
        <w:t xml:space="preserve"> </w:t>
      </w:r>
      <w:r w:rsidR="00A72CF5">
        <w:t xml:space="preserve">la </w:t>
      </w:r>
      <w:proofErr w:type="spellStart"/>
      <w:r w:rsidR="00A72CF5">
        <w:t>cula</w:t>
      </w:r>
      <w:proofErr w:type="spellEnd"/>
      <w:r>
        <w:t xml:space="preserve"> surgirá en el futuro en dependencia </w:t>
      </w:r>
      <w:r w:rsidR="00E13789">
        <w:t xml:space="preserve">con </w:t>
      </w:r>
      <w:r>
        <w:t>la acumulación de</w:t>
      </w:r>
      <w:r w:rsidR="00E13789">
        <w:t>l</w:t>
      </w:r>
      <w:r>
        <w:t xml:space="preserve"> </w:t>
      </w:r>
      <w:proofErr w:type="spellStart"/>
      <w:r w:rsidR="00057BF4" w:rsidRPr="00057BF4">
        <w:rPr>
          <w:i/>
          <w:iCs/>
        </w:rPr>
        <w:t>kamma</w:t>
      </w:r>
      <w:proofErr w:type="spellEnd"/>
      <w:r>
        <w:t xml:space="preserve"> que consist</w:t>
      </w:r>
      <w:r w:rsidR="00E177A2">
        <w:t>a</w:t>
      </w:r>
      <w:r>
        <w:t xml:space="preserve"> </w:t>
      </w:r>
      <w:r w:rsidR="00A526F4">
        <w:t xml:space="preserve">ahora </w:t>
      </w:r>
      <w:r w:rsidR="00E13789">
        <w:t xml:space="preserve">de </w:t>
      </w:r>
      <w:r>
        <w:t>hacer un uso indebido [del requisito de la</w:t>
      </w:r>
      <w:r w:rsidR="00E177A2">
        <w:t>s</w:t>
      </w:r>
      <w:r>
        <w:t xml:space="preserve"> </w:t>
      </w:r>
      <w:r w:rsidR="00E177A2">
        <w:t>ofrendas de alimentos</w:t>
      </w:r>
      <w:r>
        <w:t>]: tampoco despertaré es</w:t>
      </w:r>
      <w:r w:rsidR="00061726">
        <w:t>a</w:t>
      </w:r>
      <w:r>
        <w:t xml:space="preserve"> nuev</w:t>
      </w:r>
      <w:r w:rsidR="00E177A2">
        <w:t>a</w:t>
      </w:r>
      <w:r>
        <w:t xml:space="preserve"> </w:t>
      </w:r>
      <w:r w:rsidR="00E177A2">
        <w:t>sensación</w:t>
      </w:r>
      <w:r>
        <w:t xml:space="preserve">, evitando mediante </w:t>
      </w:r>
      <w:r w:rsidR="00061726">
        <w:t>su</w:t>
      </w:r>
      <w:r>
        <w:t xml:space="preserve"> uso adecuado la producción de su raíz.” Así es como debe entenderse el significado aquí. Lo que se ha mostrado hasta ahora puede entenderse que incluye el uso adecuado [de los requisitos], el abandono de la devoción </w:t>
      </w:r>
      <w:r w:rsidR="00A058AF">
        <w:t>hacia</w:t>
      </w:r>
      <w:r>
        <w:t xml:space="preserve"> la </w:t>
      </w:r>
      <w:r w:rsidR="0010321B">
        <w:t>auto mortificación</w:t>
      </w:r>
      <w:r>
        <w:t xml:space="preserve"> y l</w:t>
      </w:r>
      <w:r w:rsidR="004B0D33">
        <w:t>a</w:t>
      </w:r>
      <w:r>
        <w:t xml:space="preserve"> no renuncia</w:t>
      </w:r>
      <w:r w:rsidR="004B0D33">
        <w:t>ción</w:t>
      </w:r>
      <w:r>
        <w:t xml:space="preserve"> a la </w:t>
      </w:r>
      <w:r w:rsidR="0010321B">
        <w:t xml:space="preserve">lícita </w:t>
      </w:r>
      <w:r w:rsidR="004B0D33">
        <w:t>dicha</w:t>
      </w:r>
      <w:r>
        <w:t xml:space="preserve"> </w:t>
      </w:r>
      <w:r w:rsidR="00023CF6">
        <w:t>de</w:t>
      </w:r>
      <w:r w:rsidR="0010321B">
        <w:t xml:space="preserve">l </w:t>
      </w:r>
      <w:r>
        <w:t>placer.</w:t>
      </w:r>
    </w:p>
    <w:p w14:paraId="6F8091B1" w14:textId="6CFBD286" w:rsidR="00437B12" w:rsidRDefault="00437B12" w:rsidP="00437B12">
      <w:r>
        <w:t xml:space="preserve">94. </w:t>
      </w:r>
      <w:r w:rsidR="005965CA">
        <w:tab/>
      </w:r>
      <w:r w:rsidRPr="006C4933">
        <w:rPr>
          <w:i/>
          <w:iCs/>
        </w:rPr>
        <w:t xml:space="preserve">Y </w:t>
      </w:r>
      <w:r w:rsidR="006C4933" w:rsidRPr="006C4933">
        <w:rPr>
          <w:i/>
          <w:iCs/>
        </w:rPr>
        <w:t>mantendré mi</w:t>
      </w:r>
      <w:r w:rsidRPr="006C4933">
        <w:rPr>
          <w:i/>
          <w:iCs/>
        </w:rPr>
        <w:t xml:space="preserve"> salud</w:t>
      </w:r>
      <w:r>
        <w:t xml:space="preserve">: “En este cuerpo, que existe en dependencia </w:t>
      </w:r>
      <w:r w:rsidR="001D5F9E">
        <w:t xml:space="preserve">de </w:t>
      </w:r>
      <w:r>
        <w:t xml:space="preserve">los requisitos, </w:t>
      </w:r>
      <w:r w:rsidR="009555D0">
        <w:t>desarrollaré</w:t>
      </w:r>
      <w:r>
        <w:t xml:space="preserve">, </w:t>
      </w:r>
      <w:r w:rsidR="009555D0">
        <w:t xml:space="preserve">mediante </w:t>
      </w:r>
      <w:r>
        <w:t xml:space="preserve">una alimentación moderada, una salud </w:t>
      </w:r>
      <w:r w:rsidR="009555D0">
        <w:t xml:space="preserve">conocida como </w:t>
      </w:r>
      <w:r>
        <w:t>'</w:t>
      </w:r>
      <w:r w:rsidR="001D5F9E">
        <w:t xml:space="preserve">de </w:t>
      </w:r>
      <w:r>
        <w:t xml:space="preserve">larga resistencia' ya que no habrá peligro de </w:t>
      </w:r>
      <w:r w:rsidR="00023CF6">
        <w:t>a</w:t>
      </w:r>
      <w:r>
        <w:t xml:space="preserve">cortar la facultad vital o interrumpir la [continuidad de las] posturas”. [Reflexionando] de esta manera, </w:t>
      </w:r>
      <w:r w:rsidR="009555D0">
        <w:t xml:space="preserve">él </w:t>
      </w:r>
      <w:r>
        <w:t>ha</w:t>
      </w:r>
      <w:r w:rsidR="00023CF6">
        <w:t>rá</w:t>
      </w:r>
      <w:r>
        <w:t xml:space="preserve"> uso [de </w:t>
      </w:r>
      <w:r w:rsidR="00664E55">
        <w:t>las ofrendas de alimentos</w:t>
      </w:r>
      <w:r>
        <w:t xml:space="preserve">] como un enfermo crónico hace </w:t>
      </w:r>
      <w:r w:rsidR="009555D0">
        <w:t xml:space="preserve">uso </w:t>
      </w:r>
      <w:r>
        <w:t xml:space="preserve">de su medicina. </w:t>
      </w:r>
      <w:r w:rsidR="009555D0">
        <w:rPr>
          <w:i/>
          <w:iCs/>
        </w:rPr>
        <w:t>I</w:t>
      </w:r>
      <w:r w:rsidRPr="006C4933">
        <w:rPr>
          <w:i/>
          <w:iCs/>
        </w:rPr>
        <w:t>rreprensible y vivi</w:t>
      </w:r>
      <w:r w:rsidR="007051D6">
        <w:rPr>
          <w:i/>
          <w:iCs/>
        </w:rPr>
        <w:t>endo</w:t>
      </w:r>
      <w:r w:rsidRPr="006C4933">
        <w:rPr>
          <w:i/>
          <w:iCs/>
        </w:rPr>
        <w:t xml:space="preserve"> cómodamente</w:t>
      </w:r>
      <w:r>
        <w:t xml:space="preserve"> (</w:t>
      </w:r>
      <w:proofErr w:type="spellStart"/>
      <w:r>
        <w:t>lit.</w:t>
      </w:r>
      <w:proofErr w:type="spellEnd"/>
      <w:r>
        <w:t xml:space="preserve"> “y </w:t>
      </w:r>
      <w:r w:rsidR="00CD0573">
        <w:t xml:space="preserve">gozando de </w:t>
      </w:r>
      <w:r w:rsidR="00023CF6">
        <w:t xml:space="preserve">la </w:t>
      </w:r>
      <w:r w:rsidR="001C4F6D">
        <w:t xml:space="preserve">irreprochabilidad </w:t>
      </w:r>
      <w:r>
        <w:t xml:space="preserve">y </w:t>
      </w:r>
      <w:r w:rsidR="001C4F6D">
        <w:t>de</w:t>
      </w:r>
      <w:r>
        <w:t xml:space="preserve"> </w:t>
      </w:r>
      <w:r w:rsidR="001C4F6D">
        <w:t xml:space="preserve">habitar </w:t>
      </w:r>
      <w:r>
        <w:t>cómod</w:t>
      </w:r>
      <w:r w:rsidR="001C4F6D">
        <w:t>amente</w:t>
      </w:r>
      <w:r>
        <w:t>”): hace uso de ellos pensando: “</w:t>
      </w:r>
      <w:r w:rsidR="00CD0573">
        <w:t xml:space="preserve">Gozaré de </w:t>
      </w:r>
      <w:r>
        <w:t xml:space="preserve">la </w:t>
      </w:r>
      <w:r w:rsidR="00450E93">
        <w:t xml:space="preserve">irreprochabilidad </w:t>
      </w:r>
      <w:r>
        <w:t xml:space="preserve">al evitar </w:t>
      </w:r>
      <w:r w:rsidR="00450E93">
        <w:t>un</w:t>
      </w:r>
      <w:r>
        <w:t>a búsqueda</w:t>
      </w:r>
      <w:r w:rsidR="000B577A">
        <w:t xml:space="preserve"> inapropiada</w:t>
      </w:r>
      <w:r>
        <w:t xml:space="preserve">, </w:t>
      </w:r>
      <w:r w:rsidR="00450E93">
        <w:t>un</w:t>
      </w:r>
      <w:r>
        <w:t xml:space="preserve">a aceptación </w:t>
      </w:r>
      <w:r w:rsidR="000B577A">
        <w:t xml:space="preserve">inapropiada </w:t>
      </w:r>
      <w:r>
        <w:t xml:space="preserve">y </w:t>
      </w:r>
      <w:r w:rsidR="00450E93">
        <w:t>e</w:t>
      </w:r>
      <w:r>
        <w:t>l comer inadecuad</w:t>
      </w:r>
      <w:r w:rsidR="000B577A">
        <w:t>amente</w:t>
      </w:r>
      <w:r>
        <w:t xml:space="preserve">, y </w:t>
      </w:r>
      <w:r w:rsidR="00B55CE5">
        <w:t>gozaré de</w:t>
      </w:r>
      <w:r>
        <w:t xml:space="preserve"> </w:t>
      </w:r>
      <w:r w:rsidR="00B55CE5">
        <w:t xml:space="preserve">una plácida </w:t>
      </w:r>
      <w:proofErr w:type="gramStart"/>
      <w:r w:rsidR="00E0257C">
        <w:t xml:space="preserve">permanencia </w:t>
      </w:r>
      <w:r>
        <w:t xml:space="preserve"> comiendo</w:t>
      </w:r>
      <w:proofErr w:type="gramEnd"/>
      <w:r w:rsidR="00E0257C">
        <w:t xml:space="preserve"> moderadamente</w:t>
      </w:r>
      <w:r>
        <w:t>"</w:t>
      </w:r>
      <w:r w:rsidR="00450E93">
        <w:t>.</w:t>
      </w:r>
      <w:r>
        <w:t xml:space="preserve"> O lo hace pensando: “</w:t>
      </w:r>
      <w:r w:rsidR="00E0257C">
        <w:t xml:space="preserve">Gozaré de </w:t>
      </w:r>
      <w:r>
        <w:t xml:space="preserve">la </w:t>
      </w:r>
      <w:r w:rsidR="00450E93">
        <w:t xml:space="preserve">irreprochabilidad </w:t>
      </w:r>
      <w:r>
        <w:t xml:space="preserve">debido a la ausencia de faltas como el </w:t>
      </w:r>
      <w:r w:rsidR="00827517">
        <w:t>tedio</w:t>
      </w:r>
      <w:r>
        <w:t>, la pereza, el sueño,</w:t>
      </w:r>
      <w:r w:rsidR="00055D53">
        <w:t xml:space="preserve"> </w:t>
      </w:r>
      <w:r w:rsidR="008178B9">
        <w:t xml:space="preserve">los cuales son </w:t>
      </w:r>
      <w:r w:rsidR="00055D53">
        <w:t>censurado</w:t>
      </w:r>
      <w:r w:rsidR="008178B9">
        <w:t>s</w:t>
      </w:r>
      <w:r w:rsidR="00055D53">
        <w:t xml:space="preserve"> por</w:t>
      </w:r>
      <w:r>
        <w:t xml:space="preserve"> los sabios, etc., que tienen como condición el comer </w:t>
      </w:r>
      <w:r w:rsidR="00055D53">
        <w:t xml:space="preserve">indecorosa e </w:t>
      </w:r>
      <w:r>
        <w:t xml:space="preserve">inmoderadamente; y </w:t>
      </w:r>
      <w:r w:rsidR="00934747">
        <w:t>habitaré</w:t>
      </w:r>
      <w:r>
        <w:t xml:space="preserve"> cómoda</w:t>
      </w:r>
      <w:r w:rsidR="00934747">
        <w:t>mente</w:t>
      </w:r>
      <w:r>
        <w:t xml:space="preserve"> al producir </w:t>
      </w:r>
      <w:r w:rsidR="00055D53">
        <w:t xml:space="preserve">la vitalidad </w:t>
      </w:r>
      <w:r>
        <w:t>corporal que tenga como condición comer moderadamente”. O lo ha</w:t>
      </w:r>
      <w:r w:rsidR="00055D53">
        <w:t>rá</w:t>
      </w:r>
      <w:r>
        <w:t xml:space="preserve"> pensando: “</w:t>
      </w:r>
      <w:r w:rsidR="00055D53">
        <w:t xml:space="preserve">Gozaré de </w:t>
      </w:r>
      <w:r>
        <w:t xml:space="preserve">la </w:t>
      </w:r>
      <w:r w:rsidR="001D6171">
        <w:t xml:space="preserve">irreprochabilidad </w:t>
      </w:r>
      <w:r>
        <w:t xml:space="preserve">abandonando el placer de </w:t>
      </w:r>
      <w:r w:rsidR="00055D53">
        <w:t>re</w:t>
      </w:r>
      <w:r>
        <w:t xml:space="preserve">costarme, holgazaneando y </w:t>
      </w:r>
      <w:r w:rsidR="00DB085F">
        <w:t xml:space="preserve">entregarme al </w:t>
      </w:r>
      <w:r>
        <w:t xml:space="preserve">sopor, absteniéndome de comer tanto como sea posible para llenar el vientre; y </w:t>
      </w:r>
      <w:r w:rsidR="001D6171">
        <w:t>habitaré</w:t>
      </w:r>
      <w:r w:rsidR="003F302C">
        <w:t xml:space="preserve"> </w:t>
      </w:r>
      <w:r>
        <w:t>cómod</w:t>
      </w:r>
      <w:r w:rsidR="001D6171">
        <w:t>amente</w:t>
      </w:r>
      <w:r>
        <w:t xml:space="preserve"> controlando las cuatro posturas comiendo cuatro o cinco bocados menos que el máximo</w:t>
      </w:r>
      <w:r w:rsidR="001D6171">
        <w:t xml:space="preserve"> tolerable</w:t>
      </w:r>
      <w:r>
        <w:t xml:space="preserve">”. </w:t>
      </w:r>
    </w:p>
    <w:p w14:paraId="32623048" w14:textId="77777777" w:rsidR="00437B12" w:rsidRPr="00437B12" w:rsidRDefault="00437B12" w:rsidP="00437B12">
      <w:pPr>
        <w:pStyle w:val="PiedepginaLegal"/>
        <w:rPr>
          <w:u w:val="single"/>
        </w:rPr>
      </w:pPr>
      <w:r w:rsidRPr="00437B12">
        <w:rPr>
          <w:u w:val="single"/>
        </w:rPr>
        <w:t xml:space="preserve">                                                                                                                                                            .</w:t>
      </w:r>
    </w:p>
    <w:p w14:paraId="3AFE96E3" w14:textId="0B50235E" w:rsidR="00437B12" w:rsidRDefault="00437B12" w:rsidP="001D6171">
      <w:pPr>
        <w:pStyle w:val="PiedepginaLegal"/>
      </w:pPr>
      <w:r>
        <w:t>29.</w:t>
      </w:r>
      <w:r>
        <w:tab/>
        <w:t xml:space="preserve"> “</w:t>
      </w:r>
      <w:r w:rsidRPr="006C4933">
        <w:rPr>
          <w:i/>
          <w:iCs/>
        </w:rPr>
        <w:t>Carne de niño</w:t>
      </w:r>
      <w:r>
        <w:t>” (</w:t>
      </w:r>
      <w:proofErr w:type="spellStart"/>
      <w:r w:rsidRPr="006C4933">
        <w:rPr>
          <w:i/>
          <w:iCs/>
        </w:rPr>
        <w:t>putta-maṃsa</w:t>
      </w:r>
      <w:proofErr w:type="spellEnd"/>
      <w:r>
        <w:t>) es una alusión a la historia (S II 98) de la pareja que partió para cruzar un desierto con un suministro de alimentos insuficiente pero lleg</w:t>
      </w:r>
      <w:r w:rsidR="002500FE">
        <w:t>aron</w:t>
      </w:r>
      <w:r>
        <w:t xml:space="preserve"> al otro lado </w:t>
      </w:r>
      <w:r w:rsidR="002401AD">
        <w:t xml:space="preserve">de su trayecto </w:t>
      </w:r>
      <w:proofErr w:type="gramStart"/>
      <w:r w:rsidR="002401AD">
        <w:t xml:space="preserve">terminando </w:t>
      </w:r>
      <w:r>
        <w:t>comiendo</w:t>
      </w:r>
      <w:proofErr w:type="gramEnd"/>
      <w:r>
        <w:t xml:space="preserve"> la carne de su hijo que </w:t>
      </w:r>
      <w:r w:rsidR="002401AD">
        <w:t xml:space="preserve">había </w:t>
      </w:r>
      <w:r>
        <w:t>mu</w:t>
      </w:r>
      <w:r w:rsidR="002401AD">
        <w:t>e</w:t>
      </w:r>
      <w:r>
        <w:t>r</w:t>
      </w:r>
      <w:r w:rsidR="002401AD">
        <w:t>to</w:t>
      </w:r>
      <w:r>
        <w:t xml:space="preserve"> en </w:t>
      </w:r>
      <w:r w:rsidR="002401AD">
        <w:t xml:space="preserve">el </w:t>
      </w:r>
      <w:r>
        <w:t xml:space="preserve">camino. La derivación dada en </w:t>
      </w:r>
      <w:r w:rsidR="003D2616">
        <w:t xml:space="preserve">el </w:t>
      </w:r>
      <w:r>
        <w:t xml:space="preserve">PED, “Una metáfora probablemente distorsionada de </w:t>
      </w:r>
      <w:proofErr w:type="spellStart"/>
      <w:r w:rsidRPr="006C4933">
        <w:rPr>
          <w:i/>
          <w:iCs/>
        </w:rPr>
        <w:t>pūtamaṃsa</w:t>
      </w:r>
      <w:proofErr w:type="spellEnd"/>
      <w:r>
        <w:t xml:space="preserve">”, no </w:t>
      </w:r>
      <w:r w:rsidR="003D2616">
        <w:t xml:space="preserve">tiene </w:t>
      </w:r>
      <w:r>
        <w:t>justificación</w:t>
      </w:r>
      <w:r w:rsidR="003D2616">
        <w:t xml:space="preserve"> al respecto</w:t>
      </w:r>
      <w:r>
        <w:t>. La referencia a balsas podría ser a D II 89.</w:t>
      </w:r>
      <w:r>
        <w:br w:type="page"/>
      </w:r>
    </w:p>
    <w:p w14:paraId="1804F9F4" w14:textId="11F5BF6A" w:rsidR="001D6171" w:rsidRDefault="001D6171" w:rsidP="001D6171">
      <w:pPr>
        <w:pStyle w:val="NormalConSangria"/>
      </w:pPr>
      <w:r>
        <w:lastRenderedPageBreak/>
        <w:t>Por esto se dice:</w:t>
      </w:r>
    </w:p>
    <w:p w14:paraId="46AF2BBC" w14:textId="1C698AF7" w:rsidR="007104BF" w:rsidRDefault="007104BF" w:rsidP="007104BF">
      <w:pPr>
        <w:pStyle w:val="VersoIngls01Sangria"/>
      </w:pPr>
      <w:r>
        <w:t xml:space="preserve">Con cuatro o cinco </w:t>
      </w:r>
      <w:r w:rsidR="00DB085F">
        <w:t>bocados</w:t>
      </w:r>
      <w:r>
        <w:t xml:space="preserve"> aún por comer</w:t>
      </w:r>
    </w:p>
    <w:p w14:paraId="492DA523" w14:textId="77777777" w:rsidR="007104BF" w:rsidRDefault="007104BF" w:rsidP="007104BF">
      <w:pPr>
        <w:pStyle w:val="VersoIngls01Sangria"/>
      </w:pPr>
      <w:r>
        <w:t>Que entonces termine bebiendo agua;</w:t>
      </w:r>
    </w:p>
    <w:p w14:paraId="77250162" w14:textId="275D2099" w:rsidR="007104BF" w:rsidRDefault="007104BF" w:rsidP="007104BF">
      <w:pPr>
        <w:pStyle w:val="VersoIngls01Sangria"/>
      </w:pPr>
      <w:r>
        <w:t>Para l</w:t>
      </w:r>
      <w:r w:rsidR="008C5370">
        <w:t>o</w:t>
      </w:r>
      <w:r>
        <w:t xml:space="preserve">s </w:t>
      </w:r>
      <w:r w:rsidR="008C5370">
        <w:t>requerimientos</w:t>
      </w:r>
      <w:r>
        <w:t xml:space="preserve"> energétic</w:t>
      </w:r>
      <w:r w:rsidR="008C5370">
        <w:t>o</w:t>
      </w:r>
      <w:r>
        <w:t xml:space="preserve">s de los </w:t>
      </w:r>
      <w:proofErr w:type="spellStart"/>
      <w:r w:rsidR="00057BF4" w:rsidRPr="00057BF4">
        <w:rPr>
          <w:i/>
          <w:iCs/>
        </w:rPr>
        <w:t>bhikkhu</w:t>
      </w:r>
      <w:r w:rsidRPr="006C4933">
        <w:rPr>
          <w:i/>
          <w:iCs/>
        </w:rPr>
        <w:t>s</w:t>
      </w:r>
      <w:proofErr w:type="spellEnd"/>
    </w:p>
    <w:p w14:paraId="61B30C5A" w14:textId="77777777" w:rsidR="007104BF" w:rsidRDefault="007104BF" w:rsidP="007104BF">
      <w:pPr>
        <w:pStyle w:val="VersoIngls01Sangria"/>
        <w:spacing w:after="100"/>
        <w:ind w:left="1418"/>
      </w:pPr>
      <w:r>
        <w:t>Esto debería bastar para vivir cómodamente (Tom 983). [34]</w:t>
      </w:r>
    </w:p>
    <w:p w14:paraId="2CEDCD5C" w14:textId="16D73FF2" w:rsidR="007104BF" w:rsidRDefault="007104BF" w:rsidP="007104BF">
      <w:pPr>
        <w:pStyle w:val="NormalConSangria"/>
      </w:pPr>
      <w:r>
        <w:t xml:space="preserve">Ahora bien, lo que se ha mostrado en este punto puede entenderse como </w:t>
      </w:r>
      <w:r w:rsidR="003A070B">
        <w:t xml:space="preserve">el </w:t>
      </w:r>
      <w:r>
        <w:t>discernimiento de</w:t>
      </w:r>
      <w:r w:rsidR="003A070B">
        <w:t>l</w:t>
      </w:r>
      <w:r>
        <w:t xml:space="preserve"> propósito y </w:t>
      </w:r>
      <w:r w:rsidR="003A070B">
        <w:t xml:space="preserve">la </w:t>
      </w:r>
      <w:r>
        <w:t xml:space="preserve">práctica del </w:t>
      </w:r>
      <w:r w:rsidR="003A070B">
        <w:t xml:space="preserve">sendero </w:t>
      </w:r>
      <w:r>
        <w:t>medio.</w:t>
      </w:r>
    </w:p>
    <w:p w14:paraId="39EC1525" w14:textId="04370F39" w:rsidR="007104BF" w:rsidRDefault="007104BF" w:rsidP="007104BF">
      <w:r>
        <w:t xml:space="preserve">95. </w:t>
      </w:r>
      <w:r w:rsidR="006C4933">
        <w:tab/>
      </w:r>
      <w:r w:rsidRPr="003A070B">
        <w:rPr>
          <w:i/>
          <w:iCs/>
        </w:rPr>
        <w:t>Lugar de descanso</w:t>
      </w:r>
      <w:r>
        <w:t xml:space="preserve"> (</w:t>
      </w:r>
      <w:proofErr w:type="spellStart"/>
      <w:r w:rsidRPr="006C4933">
        <w:rPr>
          <w:i/>
          <w:iCs/>
        </w:rPr>
        <w:t>senāsana</w:t>
      </w:r>
      <w:proofErr w:type="spellEnd"/>
      <w:r>
        <w:t xml:space="preserve">): </w:t>
      </w:r>
      <w:r w:rsidR="008C5370">
        <w:t>é</w:t>
      </w:r>
      <w:r>
        <w:t>st</w:t>
      </w:r>
      <w:r w:rsidR="008C5370">
        <w:t>e</w:t>
      </w:r>
      <w:r>
        <w:t xml:space="preserve"> es </w:t>
      </w:r>
      <w:r w:rsidR="008C5370">
        <w:t>el lecho de descanso</w:t>
      </w:r>
      <w:r>
        <w:t xml:space="preserve"> (</w:t>
      </w:r>
      <w:proofErr w:type="spellStart"/>
      <w:r w:rsidRPr="006C4933">
        <w:rPr>
          <w:i/>
          <w:iCs/>
        </w:rPr>
        <w:t>sena</w:t>
      </w:r>
      <w:proofErr w:type="spellEnd"/>
      <w:r>
        <w:t>) y el asiento (</w:t>
      </w:r>
      <w:proofErr w:type="spellStart"/>
      <w:r w:rsidRPr="006C4933">
        <w:rPr>
          <w:i/>
          <w:iCs/>
        </w:rPr>
        <w:t>āsana</w:t>
      </w:r>
      <w:proofErr w:type="spellEnd"/>
      <w:r>
        <w:t>). Porque dondequiera que uno duerma (</w:t>
      </w:r>
      <w:proofErr w:type="spellStart"/>
      <w:r w:rsidRPr="006C4933">
        <w:rPr>
          <w:i/>
          <w:iCs/>
        </w:rPr>
        <w:t>seti</w:t>
      </w:r>
      <w:proofErr w:type="spellEnd"/>
      <w:r>
        <w:t xml:space="preserve">), ya sea en un monasterio o en un cobertizo, etc., </w:t>
      </w:r>
      <w:r w:rsidR="008C5370">
        <w:t>é</w:t>
      </w:r>
      <w:r>
        <w:t>s</w:t>
      </w:r>
      <w:r w:rsidR="008C5370">
        <w:t>e</w:t>
      </w:r>
      <w:r>
        <w:t xml:space="preserve"> </w:t>
      </w:r>
      <w:r w:rsidR="00C84DC5">
        <w:t>será</w:t>
      </w:r>
      <w:r>
        <w:t xml:space="preserve"> </w:t>
      </w:r>
      <w:r w:rsidR="00C84DC5">
        <w:t xml:space="preserve">un </w:t>
      </w:r>
      <w:r w:rsidR="008C5370">
        <w:t>lecho de descanso</w:t>
      </w:r>
      <w:r>
        <w:t xml:space="preserve"> (</w:t>
      </w:r>
      <w:proofErr w:type="spellStart"/>
      <w:r w:rsidRPr="006C4933">
        <w:rPr>
          <w:i/>
          <w:iCs/>
        </w:rPr>
        <w:t>sena</w:t>
      </w:r>
      <w:proofErr w:type="spellEnd"/>
      <w:r>
        <w:t>); dondequiera que uno se siente (</w:t>
      </w:r>
      <w:proofErr w:type="spellStart"/>
      <w:r w:rsidRPr="006C4933">
        <w:rPr>
          <w:i/>
          <w:iCs/>
        </w:rPr>
        <w:t>āsati</w:t>
      </w:r>
      <w:proofErr w:type="spellEnd"/>
      <w:r>
        <w:t xml:space="preserve">), </w:t>
      </w:r>
      <w:r w:rsidR="003E69A1">
        <w:t xml:space="preserve">él </w:t>
      </w:r>
      <w:r>
        <w:t>se sienta (</w:t>
      </w:r>
      <w:proofErr w:type="spellStart"/>
      <w:r w:rsidRPr="006C4933">
        <w:rPr>
          <w:i/>
          <w:iCs/>
        </w:rPr>
        <w:t>nisīdati</w:t>
      </w:r>
      <w:proofErr w:type="spellEnd"/>
      <w:r>
        <w:t xml:space="preserve">), </w:t>
      </w:r>
      <w:r w:rsidR="008C5370">
        <w:t>é</w:t>
      </w:r>
      <w:r>
        <w:t xml:space="preserve">se </w:t>
      </w:r>
      <w:r w:rsidR="008C5370">
        <w:t xml:space="preserve">será </w:t>
      </w:r>
      <w:r>
        <w:t>el asiento (</w:t>
      </w:r>
      <w:proofErr w:type="spellStart"/>
      <w:r w:rsidRPr="006C4933">
        <w:rPr>
          <w:i/>
          <w:iCs/>
        </w:rPr>
        <w:t>āsana</w:t>
      </w:r>
      <w:proofErr w:type="spellEnd"/>
      <w:r>
        <w:t xml:space="preserve">). Ambos </w:t>
      </w:r>
      <w:r w:rsidR="008C5370">
        <w:t xml:space="preserve">y </w:t>
      </w:r>
      <w:r>
        <w:t>juntos son llamados “lugar de descanso” (o “morada”—</w:t>
      </w:r>
      <w:proofErr w:type="spellStart"/>
      <w:r w:rsidRPr="006C4933">
        <w:rPr>
          <w:i/>
          <w:iCs/>
        </w:rPr>
        <w:t>senāsana</w:t>
      </w:r>
      <w:proofErr w:type="spellEnd"/>
      <w:r>
        <w:t>).</w:t>
      </w:r>
    </w:p>
    <w:p w14:paraId="30F3F44D" w14:textId="0133C249" w:rsidR="007104BF" w:rsidRDefault="007104BF" w:rsidP="007104BF">
      <w:pPr>
        <w:pStyle w:val="NormalConSangria"/>
      </w:pPr>
      <w:r w:rsidRPr="006C4933">
        <w:rPr>
          <w:i/>
          <w:iCs/>
        </w:rPr>
        <w:t>Con el propósito de protegerse de los peligros del clima y disfrutar del retiro</w:t>
      </w:r>
      <w:r>
        <w:t>: el clima mismo en el sentido de peligro (</w:t>
      </w:r>
      <w:proofErr w:type="spellStart"/>
      <w:r w:rsidRPr="006C4933">
        <w:rPr>
          <w:i/>
          <w:iCs/>
        </w:rPr>
        <w:t>parisahana</w:t>
      </w:r>
      <w:proofErr w:type="spellEnd"/>
      <w:r>
        <w:t xml:space="preserve">) </w:t>
      </w:r>
      <w:r w:rsidR="00C43D60">
        <w:t xml:space="preserve">son </w:t>
      </w:r>
      <w:proofErr w:type="gramStart"/>
      <w:r w:rsidR="00C43D60">
        <w:t xml:space="preserve">los </w:t>
      </w:r>
      <w:r>
        <w:t xml:space="preserve"> “</w:t>
      </w:r>
      <w:proofErr w:type="gramEnd"/>
      <w:r>
        <w:t>peligros del clima” (</w:t>
      </w:r>
      <w:proofErr w:type="spellStart"/>
      <w:r w:rsidRPr="006C4933">
        <w:rPr>
          <w:i/>
          <w:iCs/>
        </w:rPr>
        <w:t>utu-parissaya</w:t>
      </w:r>
      <w:proofErr w:type="spellEnd"/>
      <w:r>
        <w:t>). Las condiciones climáticas inadecuadas que caus</w:t>
      </w:r>
      <w:r w:rsidR="00336B16">
        <w:t>e</w:t>
      </w:r>
      <w:r>
        <w:t>n distracción mental debido a la aflicción corporal pueden evitarse haciendo uso del lugar de descanso</w:t>
      </w:r>
      <w:r w:rsidR="005C7205">
        <w:t xml:space="preserve"> apropiado</w:t>
      </w:r>
      <w:r>
        <w:t xml:space="preserve">; </w:t>
      </w:r>
      <w:r w:rsidR="005C7205">
        <w:t xml:space="preserve">lo que se quiere decir es que </w:t>
      </w:r>
      <w:r w:rsidR="00266510">
        <w:t>ten</w:t>
      </w:r>
      <w:r w:rsidR="005C7205">
        <w:t>ga</w:t>
      </w:r>
      <w:r>
        <w:t xml:space="preserve"> el propósito de evitarlos y el propósito del placer </w:t>
      </w:r>
      <w:r w:rsidR="00025223">
        <w:t>hacia</w:t>
      </w:r>
      <w:r>
        <w:t xml:space="preserve"> la soledad. Por supuesto, la protección contra los peligros del clima se establece </w:t>
      </w:r>
      <w:r w:rsidR="006B1459">
        <w:t xml:space="preserve">también </w:t>
      </w:r>
      <w:r>
        <w:t>mediante la frase "protección contra el frío", etc.; pero, así como en el caso de hacer uso de l</w:t>
      </w:r>
      <w:r w:rsidR="006B1459">
        <w:t>o</w:t>
      </w:r>
      <w:r>
        <w:t xml:space="preserve">s </w:t>
      </w:r>
      <w:r w:rsidR="006B1459">
        <w:t>ropaje</w:t>
      </w:r>
      <w:r w:rsidR="00266510">
        <w:t>s</w:t>
      </w:r>
      <w:r w:rsidR="006B1459">
        <w:t xml:space="preserve"> </w:t>
      </w:r>
      <w:r>
        <w:t xml:space="preserve">se enuncia como </w:t>
      </w:r>
      <w:r w:rsidR="006B1459">
        <w:t xml:space="preserve">el </w:t>
      </w:r>
      <w:r>
        <w:t xml:space="preserve">fin invariable </w:t>
      </w:r>
      <w:r w:rsidR="006B1459">
        <w:t>d</w:t>
      </w:r>
      <w:r>
        <w:t xml:space="preserve">el ocultamiento de las partes íntimas mientras que los demás </w:t>
      </w:r>
      <w:r w:rsidR="002D54C0">
        <w:t>poseen</w:t>
      </w:r>
      <w:r>
        <w:t xml:space="preserve"> fines periódicos, así también aquí debe entenderse mencionado este último con referencia a</w:t>
      </w:r>
      <w:r w:rsidR="002D54C0">
        <w:t xml:space="preserve"> </w:t>
      </w:r>
      <w:r>
        <w:t>l</w:t>
      </w:r>
      <w:r w:rsidR="002D54C0">
        <w:t>a</w:t>
      </w:r>
      <w:r>
        <w:t xml:space="preserve"> protección invariable de los peligros del clima. O alternativamente, este “clima” del tipo mencionado es solo clima; pero los “peligros” son de dos tipos: peligros evidentes y peligros ocultos (ver </w:t>
      </w:r>
      <w:proofErr w:type="spellStart"/>
      <w:r>
        <w:t>Nidd</w:t>
      </w:r>
      <w:proofErr w:type="spellEnd"/>
      <w:r>
        <w:t xml:space="preserve"> I 12). </w:t>
      </w:r>
      <w:r w:rsidR="0076515C">
        <w:t>Al respecto</w:t>
      </w:r>
      <w:r>
        <w:t xml:space="preserve">, los peligros evidentes son </w:t>
      </w:r>
      <w:r w:rsidR="005C7205">
        <w:t xml:space="preserve">los </w:t>
      </w:r>
      <w:r>
        <w:t xml:space="preserve">leones, </w:t>
      </w:r>
      <w:r w:rsidR="005C7205">
        <w:t xml:space="preserve">los </w:t>
      </w:r>
      <w:r>
        <w:t xml:space="preserve">tigres, etc., mientras que los peligros ocultos son la codicia, el odio, etc. Cuando un </w:t>
      </w:r>
      <w:proofErr w:type="spellStart"/>
      <w:r w:rsidR="00057BF4" w:rsidRPr="00057BF4">
        <w:rPr>
          <w:i/>
          <w:iCs/>
        </w:rPr>
        <w:t>bhikkhu</w:t>
      </w:r>
      <w:proofErr w:type="spellEnd"/>
      <w:r>
        <w:t xml:space="preserve"> </w:t>
      </w:r>
      <w:r w:rsidR="00C4546A">
        <w:t>sepa</w:t>
      </w:r>
      <w:r>
        <w:t xml:space="preserve"> y reflexion</w:t>
      </w:r>
      <w:r w:rsidR="00C4546A">
        <w:t>e</w:t>
      </w:r>
      <w:r>
        <w:t xml:space="preserve"> así al hacer uso del tipo de lugar de descanso donde estos peligros no caus</w:t>
      </w:r>
      <w:r w:rsidR="00770F3F">
        <w:t>e</w:t>
      </w:r>
      <w:r>
        <w:t xml:space="preserve">n aflicción, debido a </w:t>
      </w:r>
      <w:r w:rsidR="0007660B">
        <w:t xml:space="preserve">las </w:t>
      </w:r>
      <w:r>
        <w:t xml:space="preserve">puertas </w:t>
      </w:r>
      <w:r w:rsidR="0007660B">
        <w:t xml:space="preserve">sensoriales </w:t>
      </w:r>
      <w:r>
        <w:t xml:space="preserve">sin protección y a la vista de objetos visibles inadecuados, etc., </w:t>
      </w:r>
      <w:r w:rsidR="00DE6AC2">
        <w:t>podrá</w:t>
      </w:r>
      <w:r>
        <w:t xml:space="preserve"> entenderse como alguien que “</w:t>
      </w:r>
      <w:r w:rsidR="0007660B">
        <w:t>discerniendo</w:t>
      </w:r>
      <w:r>
        <w:t xml:space="preserve"> sabiamente ha</w:t>
      </w:r>
      <w:r w:rsidR="00C4546A">
        <w:t>rá</w:t>
      </w:r>
      <w:r>
        <w:t xml:space="preserve"> uso del lugar de descanso con el fin de protegerse de los peligros del clima.”</w:t>
      </w:r>
    </w:p>
    <w:p w14:paraId="7ACD310A" w14:textId="5282EDB5" w:rsidR="007104BF" w:rsidRDefault="007104BF" w:rsidP="00F72571">
      <w:r>
        <w:t xml:space="preserve">96. </w:t>
      </w:r>
      <w:r w:rsidR="00976FC1">
        <w:tab/>
      </w:r>
      <w:r w:rsidRPr="006C4933">
        <w:rPr>
          <w:i/>
          <w:iCs/>
        </w:rPr>
        <w:t>El requisito de la medicina como cura para los enfermos</w:t>
      </w:r>
      <w:r>
        <w:t>: aquí “curar” (</w:t>
      </w:r>
      <w:proofErr w:type="spellStart"/>
      <w:r w:rsidRPr="006C4933">
        <w:rPr>
          <w:i/>
          <w:iCs/>
        </w:rPr>
        <w:t>paccaya</w:t>
      </w:r>
      <w:proofErr w:type="spellEnd"/>
      <w:r>
        <w:t xml:space="preserve"> = ir en contra) </w:t>
      </w:r>
      <w:r w:rsidR="00976FC1">
        <w:t>tiene</w:t>
      </w:r>
      <w:r>
        <w:t xml:space="preserve"> el sentido de ir en contra (</w:t>
      </w:r>
      <w:r w:rsidRPr="006C4933">
        <w:rPr>
          <w:i/>
          <w:iCs/>
        </w:rPr>
        <w:t>pati-</w:t>
      </w:r>
      <w:proofErr w:type="spellStart"/>
      <w:r w:rsidRPr="006C4933">
        <w:rPr>
          <w:i/>
          <w:iCs/>
        </w:rPr>
        <w:t>ayana</w:t>
      </w:r>
      <w:proofErr w:type="spellEnd"/>
      <w:r>
        <w:t xml:space="preserve">) de la enfermedad; en el sentido de contrarrestar, es el significado. </w:t>
      </w:r>
      <w:r w:rsidR="00976FC1">
        <w:t>É</w:t>
      </w:r>
      <w:r>
        <w:t>ste es un término para cualquier remedio adecuado. Es el trabajo del médico (</w:t>
      </w:r>
      <w:proofErr w:type="spellStart"/>
      <w:r w:rsidRPr="006C4933">
        <w:rPr>
          <w:i/>
          <w:iCs/>
        </w:rPr>
        <w:t>bhisakkassa</w:t>
      </w:r>
      <w:proofErr w:type="spellEnd"/>
      <w:r w:rsidRPr="006C4933">
        <w:rPr>
          <w:i/>
          <w:iCs/>
        </w:rPr>
        <w:t xml:space="preserve"> </w:t>
      </w:r>
      <w:proofErr w:type="spellStart"/>
      <w:r w:rsidR="00057BF4" w:rsidRPr="00057BF4">
        <w:rPr>
          <w:i/>
          <w:iCs/>
        </w:rPr>
        <w:t>kamma</w:t>
      </w:r>
      <w:r w:rsidRPr="006C4933">
        <w:rPr>
          <w:i/>
          <w:iCs/>
        </w:rPr>
        <w:t>ṃ</w:t>
      </w:r>
      <w:proofErr w:type="spellEnd"/>
      <w:r>
        <w:t xml:space="preserve">) </w:t>
      </w:r>
      <w:r w:rsidR="00976FC1">
        <w:t xml:space="preserve">ya </w:t>
      </w:r>
      <w:r>
        <w:t>que est</w:t>
      </w:r>
      <w:r w:rsidR="00976FC1">
        <w:t>ar</w:t>
      </w:r>
      <w:r>
        <w:t xml:space="preserve">á permitido por él, </w:t>
      </w:r>
      <w:r w:rsidR="00800758">
        <w:t xml:space="preserve">así </w:t>
      </w:r>
      <w:r w:rsidR="00F87533">
        <w:t xml:space="preserve">es cómo </w:t>
      </w:r>
      <w:r w:rsidR="00800758">
        <w:t>se designa como</w:t>
      </w:r>
      <w:r>
        <w:t xml:space="preserve"> </w:t>
      </w:r>
      <w:r w:rsidR="00C972D2">
        <w:t xml:space="preserve">una </w:t>
      </w:r>
      <w:r>
        <w:t>medicina (</w:t>
      </w:r>
      <w:proofErr w:type="spellStart"/>
      <w:r w:rsidRPr="001B7120">
        <w:rPr>
          <w:i/>
          <w:iCs/>
        </w:rPr>
        <w:t>bhesajja</w:t>
      </w:r>
      <w:proofErr w:type="spellEnd"/>
      <w:r>
        <w:t xml:space="preserve">). O la cura para los enfermos </w:t>
      </w:r>
      <w:r w:rsidR="00F87533">
        <w:t>mediante la</w:t>
      </w:r>
      <w:r>
        <w:t xml:space="preserve"> medicina </w:t>
      </w:r>
      <w:r w:rsidR="0098449A">
        <w:t xml:space="preserve">en sí misma </w:t>
      </w:r>
      <w:r>
        <w:t>es “</w:t>
      </w:r>
      <w:r w:rsidR="00F87533">
        <w:t xml:space="preserve">la </w:t>
      </w:r>
      <w:r>
        <w:t xml:space="preserve">medicina como cura para los enfermos”. </w:t>
      </w:r>
      <w:r w:rsidR="005A2544">
        <w:t>Lo que se quiere decir es que c</w:t>
      </w:r>
      <w:r>
        <w:t xml:space="preserve">ualquier </w:t>
      </w:r>
      <w:r w:rsidR="0098449A">
        <w:t>recurso</w:t>
      </w:r>
      <w:r>
        <w:t xml:space="preserve"> médico como aceite, miel, </w:t>
      </w:r>
      <w:proofErr w:type="spellStart"/>
      <w:r w:rsidRPr="006C4933">
        <w:rPr>
          <w:i/>
          <w:iCs/>
        </w:rPr>
        <w:t>ghee</w:t>
      </w:r>
      <w:proofErr w:type="spellEnd"/>
      <w:r>
        <w:t>, etc., se</w:t>
      </w:r>
      <w:r w:rsidR="005A2544">
        <w:t>rá</w:t>
      </w:r>
      <w:r>
        <w:t xml:space="preserve"> adecuado para alguien que est</w:t>
      </w:r>
      <w:r w:rsidR="0098449A">
        <w:t>é</w:t>
      </w:r>
      <w:r>
        <w:t xml:space="preserve"> enfermo. Un “requisito” (</w:t>
      </w:r>
      <w:proofErr w:type="spellStart"/>
      <w:r w:rsidRPr="006C4933">
        <w:rPr>
          <w:i/>
          <w:iCs/>
        </w:rPr>
        <w:t>parikkhāra</w:t>
      </w:r>
      <w:proofErr w:type="spellEnd"/>
      <w:r>
        <w:t xml:space="preserve">), sin embargo, en pasajes tales como “Está bien abastecido con los requisitos de una ciudad” (A IV 106) es </w:t>
      </w:r>
      <w:r w:rsidR="0098449A">
        <w:t xml:space="preserve">un </w:t>
      </w:r>
      <w:r>
        <w:t>equipo; en pasajes como “El carr</w:t>
      </w:r>
      <w:r w:rsidR="005A2544">
        <w:t>uaje</w:t>
      </w:r>
      <w:r>
        <w:t xml:space="preserve"> </w:t>
      </w:r>
      <w:r w:rsidR="005A2544">
        <w:t>posee</w:t>
      </w:r>
      <w:r>
        <w:t xml:space="preserve"> el requisito de la virtud, el eje de</w:t>
      </w:r>
      <w:r w:rsidR="0098449A">
        <w:t>l</w:t>
      </w:r>
      <w:r>
        <w:t xml:space="preserve"> </w:t>
      </w:r>
      <w:proofErr w:type="spellStart"/>
      <w:r w:rsidR="00057BF4" w:rsidRPr="00057BF4">
        <w:rPr>
          <w:i/>
          <w:iCs/>
        </w:rPr>
        <w:t>jhāna</w:t>
      </w:r>
      <w:proofErr w:type="spellEnd"/>
      <w:r>
        <w:t>, la rueda de la energía” (S V 6) [35] es un</w:t>
      </w:r>
      <w:r w:rsidR="0098449A">
        <w:t>a</w:t>
      </w:r>
      <w:r>
        <w:t xml:space="preserve"> </w:t>
      </w:r>
      <w:r w:rsidR="0098449A">
        <w:t>metáfora</w:t>
      </w:r>
      <w:r>
        <w:t>; en pasajes como “Los requisitos para la vida de quien ha</w:t>
      </w:r>
      <w:r w:rsidR="00BB1B77">
        <w:t>ya</w:t>
      </w:r>
      <w:r>
        <w:t xml:space="preserve"> </w:t>
      </w:r>
      <w:r w:rsidR="00BB1B77">
        <w:t>renunciado al</w:t>
      </w:r>
      <w:r>
        <w:t xml:space="preserve"> hogar que deben estar disponibles” (M I 104), es un accesorio. Pero aquí son aplicables tanto el equipo como el accesorio. Porque esa medicina como cura para los enfermos es </w:t>
      </w:r>
      <w:r w:rsidR="008B57C0">
        <w:t xml:space="preserve">un </w:t>
      </w:r>
      <w:r>
        <w:t xml:space="preserve">equipo para mantener la vida porque </w:t>
      </w:r>
      <w:r w:rsidR="008B57C0">
        <w:t xml:space="preserve">protege </w:t>
      </w:r>
      <w:r>
        <w:t>prev</w:t>
      </w:r>
      <w:r w:rsidR="006951AB">
        <w:t>i</w:t>
      </w:r>
      <w:r>
        <w:t>ni</w:t>
      </w:r>
      <w:r w:rsidR="006951AB">
        <w:t>endo</w:t>
      </w:r>
      <w:r>
        <w:t xml:space="preserve"> el surgimiento de la aflicción destructiva </w:t>
      </w:r>
      <w:r w:rsidR="006951AB">
        <w:t>de</w:t>
      </w:r>
      <w:r>
        <w:t xml:space="preserve"> la vida; y es un accesorio también porque es un instrumento para prolongar la vida. Por eso se llama “requisito”. Entonces </w:t>
      </w:r>
      <w:r w:rsidR="00201532">
        <w:t>se trata de una</w:t>
      </w:r>
      <w:r>
        <w:t xml:space="preserve"> medicina como cura para los enfermos y eso es un requisito, entonces es un “requisito de la medicina como cura para los enfermos”. </w:t>
      </w:r>
      <w:r w:rsidR="00E17E73">
        <w:t xml:space="preserve">Él </w:t>
      </w:r>
      <w:r w:rsidR="00DD6075">
        <w:t>h</w:t>
      </w:r>
      <w:r>
        <w:t xml:space="preserve">ace uso de </w:t>
      </w:r>
      <w:r w:rsidR="00F72571">
        <w:t xml:space="preserve">ese </w:t>
      </w:r>
      <w:r>
        <w:t>requisito de medicina como cura para los enfermos;</w:t>
      </w:r>
      <w:r>
        <w:br w:type="page"/>
      </w:r>
    </w:p>
    <w:p w14:paraId="4802ED1F" w14:textId="5B4186B9" w:rsidR="00BD7201" w:rsidRDefault="00F72571" w:rsidP="0045517E">
      <w:r>
        <w:lastRenderedPageBreak/>
        <w:t xml:space="preserve">lo que se quiere decir es </w:t>
      </w:r>
      <w:r w:rsidR="001E2495">
        <w:t xml:space="preserve">que </w:t>
      </w:r>
      <w:r w:rsidR="00BD7201">
        <w:t xml:space="preserve">cualquier requisito para la vida que </w:t>
      </w:r>
      <w:proofErr w:type="gramStart"/>
      <w:r w:rsidR="00BD7201">
        <w:t xml:space="preserve">consista </w:t>
      </w:r>
      <w:r w:rsidR="00E17E73">
        <w:t>de</w:t>
      </w:r>
      <w:proofErr w:type="gramEnd"/>
      <w:r w:rsidR="00BD7201">
        <w:t xml:space="preserve"> aceite, miel, melaza, </w:t>
      </w:r>
      <w:proofErr w:type="spellStart"/>
      <w:r w:rsidR="00BD7201" w:rsidRPr="006C4933">
        <w:rPr>
          <w:i/>
          <w:iCs/>
        </w:rPr>
        <w:t>ghee</w:t>
      </w:r>
      <w:proofErr w:type="spellEnd"/>
      <w:r w:rsidR="00BD7201">
        <w:t xml:space="preserve">, etc., que sea permitido por un médico </w:t>
      </w:r>
      <w:r w:rsidR="001E2495">
        <w:t>será</w:t>
      </w:r>
      <w:r w:rsidR="00BD7201">
        <w:t xml:space="preserve"> adecuado para los enfermos.</w:t>
      </w:r>
    </w:p>
    <w:p w14:paraId="334F9BEC" w14:textId="21D0EBAF" w:rsidR="00BD7201" w:rsidRDefault="00BD7201" w:rsidP="0045517E">
      <w:r>
        <w:t xml:space="preserve">97. </w:t>
      </w:r>
      <w:r w:rsidR="006C4933">
        <w:tab/>
      </w:r>
      <w:r w:rsidRPr="006C4933">
        <w:rPr>
          <w:i/>
          <w:iCs/>
        </w:rPr>
        <w:t>De surgi</w:t>
      </w:r>
      <w:r w:rsidR="00B2484B">
        <w:rPr>
          <w:i/>
          <w:iCs/>
        </w:rPr>
        <w:t>r</w:t>
      </w:r>
      <w:r>
        <w:t>: de nacer, devenir, produci</w:t>
      </w:r>
      <w:r w:rsidR="00654B6D">
        <w:t>rse</w:t>
      </w:r>
      <w:r>
        <w:t xml:space="preserve">. </w:t>
      </w:r>
      <w:r w:rsidR="00654B6D">
        <w:rPr>
          <w:i/>
          <w:iCs/>
        </w:rPr>
        <w:t>Perjudicial</w:t>
      </w:r>
      <w:r>
        <w:t xml:space="preserve">: aquí “dolor (aflicción)” es una perturbación de los elementos, y es la lepra, los tumores, los furúnculos, etc., originados por esa perturbación. </w:t>
      </w:r>
      <w:r w:rsidR="00654B6D">
        <w:rPr>
          <w:i/>
          <w:iCs/>
        </w:rPr>
        <w:t>Perjudicial</w:t>
      </w:r>
      <w:r w:rsidR="00654B6D">
        <w:t xml:space="preserve"> </w:t>
      </w:r>
      <w:r>
        <w:t>(</w:t>
      </w:r>
      <w:proofErr w:type="spellStart"/>
      <w:r w:rsidRPr="006C4933">
        <w:rPr>
          <w:i/>
          <w:iCs/>
        </w:rPr>
        <w:t>veyyābādhika</w:t>
      </w:r>
      <w:proofErr w:type="spellEnd"/>
      <w:r>
        <w:t>) porque surg</w:t>
      </w:r>
      <w:r w:rsidR="006A4BCB">
        <w:t>e</w:t>
      </w:r>
      <w:r>
        <w:t xml:space="preserve"> en forma de dolor (</w:t>
      </w:r>
      <w:proofErr w:type="spellStart"/>
      <w:r w:rsidRPr="006C4933">
        <w:rPr>
          <w:i/>
          <w:iCs/>
        </w:rPr>
        <w:t>byābādha</w:t>
      </w:r>
      <w:proofErr w:type="spellEnd"/>
      <w:r>
        <w:t xml:space="preserve">). </w:t>
      </w:r>
      <w:r w:rsidR="006A4BCB">
        <w:rPr>
          <w:i/>
          <w:iCs/>
        </w:rPr>
        <w:t>Sensaciones</w:t>
      </w:r>
      <w:r>
        <w:t xml:space="preserve">: </w:t>
      </w:r>
      <w:proofErr w:type="gramStart"/>
      <w:r w:rsidR="006A4BCB" w:rsidRPr="00F7494B">
        <w:t>sensaciones</w:t>
      </w:r>
      <w:r w:rsidR="006A4BCB">
        <w:t xml:space="preserve"> </w:t>
      </w:r>
      <w:r>
        <w:t>dolorosos</w:t>
      </w:r>
      <w:proofErr w:type="gramEnd"/>
      <w:r>
        <w:t xml:space="preserve">, </w:t>
      </w:r>
      <w:r w:rsidR="00F7494B" w:rsidRPr="00F7494B">
        <w:t>sensaciones</w:t>
      </w:r>
      <w:r w:rsidR="00F7494B">
        <w:t xml:space="preserve"> </w:t>
      </w:r>
      <w:r>
        <w:t xml:space="preserve">resultantes de un </w:t>
      </w:r>
      <w:proofErr w:type="spellStart"/>
      <w:r w:rsidR="00057BF4" w:rsidRPr="00057BF4">
        <w:rPr>
          <w:i/>
          <w:iCs/>
        </w:rPr>
        <w:t>kamma</w:t>
      </w:r>
      <w:proofErr w:type="spellEnd"/>
      <w:r>
        <w:t xml:space="preserve"> inútil</w:t>
      </w:r>
      <w:r w:rsidR="00F7494B">
        <w:t xml:space="preserve"> ―</w:t>
      </w:r>
      <w:r>
        <w:t xml:space="preserve"> de es</w:t>
      </w:r>
      <w:r w:rsidR="00F7494B">
        <w:t>e tipo de</w:t>
      </w:r>
      <w:r>
        <w:t xml:space="preserve"> </w:t>
      </w:r>
      <w:r w:rsidR="00F7494B" w:rsidRPr="00F7494B">
        <w:t>sensaciones</w:t>
      </w:r>
      <w:r w:rsidR="00F7494B">
        <w:rPr>
          <w:i/>
          <w:iCs/>
        </w:rPr>
        <w:t xml:space="preserve"> </w:t>
      </w:r>
      <w:r>
        <w:t xml:space="preserve">dolorosos. Para </w:t>
      </w:r>
      <w:r w:rsidRPr="00F7494B">
        <w:rPr>
          <w:i/>
          <w:iCs/>
        </w:rPr>
        <w:t>una completa inmunidad</w:t>
      </w:r>
      <w:r>
        <w:t xml:space="preserve"> </w:t>
      </w:r>
      <w:r w:rsidR="00F7494B" w:rsidRPr="00F7494B">
        <w:rPr>
          <w:i/>
          <w:iCs/>
        </w:rPr>
        <w:t>contra</w:t>
      </w:r>
      <w:r w:rsidRPr="00F7494B">
        <w:rPr>
          <w:i/>
          <w:iCs/>
        </w:rPr>
        <w:t xml:space="preserve"> la aflicción</w:t>
      </w:r>
      <w:r>
        <w:t xml:space="preserve">: </w:t>
      </w:r>
      <w:r w:rsidR="001E2495">
        <w:t xml:space="preserve">el sentido es que sirve </w:t>
      </w:r>
      <w:r>
        <w:t xml:space="preserve">para una completa </w:t>
      </w:r>
      <w:proofErr w:type="spellStart"/>
      <w:r>
        <w:t>libert</w:t>
      </w:r>
      <w:r w:rsidR="001E2495">
        <w:t>ación</w:t>
      </w:r>
      <w:proofErr w:type="spellEnd"/>
      <w:r>
        <w:t xml:space="preserve"> del dolor; para que se abandone todo lo doloroso.</w:t>
      </w:r>
    </w:p>
    <w:p w14:paraId="101D8886" w14:textId="5F5E6BA5" w:rsidR="00BD7201" w:rsidRDefault="00BD7201" w:rsidP="0045517E">
      <w:pPr>
        <w:pStyle w:val="NormalConSangria"/>
      </w:pPr>
      <w:r>
        <w:t xml:space="preserve">Así debe entenderse esta </w:t>
      </w:r>
      <w:r w:rsidRPr="00BE43FB">
        <w:rPr>
          <w:i/>
          <w:iCs/>
        </w:rPr>
        <w:t xml:space="preserve">virtud </w:t>
      </w:r>
      <w:r w:rsidR="00BE43FB">
        <w:rPr>
          <w:i/>
          <w:iCs/>
        </w:rPr>
        <w:t>respecto a</w:t>
      </w:r>
      <w:r w:rsidRPr="00BE43FB">
        <w:rPr>
          <w:i/>
          <w:iCs/>
        </w:rPr>
        <w:t xml:space="preserve"> los requisitos</w:t>
      </w:r>
      <w:r>
        <w:t xml:space="preserve">. En resumen, su característica es el uso de requisitos después de una sabia reflexión. El significado de la palabra aquí es </w:t>
      </w:r>
      <w:r w:rsidR="00343A82">
        <w:t>é</w:t>
      </w:r>
      <w:r>
        <w:t>ste: debido a que las cosas que respiran van (</w:t>
      </w:r>
      <w:proofErr w:type="spellStart"/>
      <w:r w:rsidRPr="00BE43FB">
        <w:rPr>
          <w:i/>
          <w:iCs/>
        </w:rPr>
        <w:t>ayanti</w:t>
      </w:r>
      <w:proofErr w:type="spellEnd"/>
      <w:r>
        <w:t xml:space="preserve">), se mueven, proceden, usando [lo que </w:t>
      </w:r>
      <w:r w:rsidR="00343A82">
        <w:t xml:space="preserve">se </w:t>
      </w:r>
      <w:r>
        <w:t>us</w:t>
      </w:r>
      <w:r w:rsidR="00343A82">
        <w:t>e</w:t>
      </w:r>
      <w:r>
        <w:t xml:space="preserve">] en dependencia </w:t>
      </w:r>
      <w:r w:rsidR="000E564D">
        <w:t>con</w:t>
      </w:r>
      <w:r>
        <w:t xml:space="preserve"> est</w:t>
      </w:r>
      <w:r w:rsidR="00343A82">
        <w:t>os</w:t>
      </w:r>
      <w:r>
        <w:t xml:space="preserve"> </w:t>
      </w:r>
      <w:r w:rsidR="00343A82">
        <w:t>ropajes</w:t>
      </w:r>
      <w:r>
        <w:t>, etc., por lo tanto, se llama</w:t>
      </w:r>
      <w:r w:rsidR="000E564D">
        <w:t>rá</w:t>
      </w:r>
      <w:r>
        <w:t>n requisitos (</w:t>
      </w:r>
      <w:proofErr w:type="spellStart"/>
      <w:r w:rsidRPr="00BE43FB">
        <w:rPr>
          <w:i/>
          <w:iCs/>
        </w:rPr>
        <w:t>paccaya</w:t>
      </w:r>
      <w:proofErr w:type="spellEnd"/>
      <w:r>
        <w:t xml:space="preserve"> = </w:t>
      </w:r>
      <w:proofErr w:type="spellStart"/>
      <w:r>
        <w:t>ger</w:t>
      </w:r>
      <w:proofErr w:type="spellEnd"/>
      <w:r>
        <w:t xml:space="preserve">. de </w:t>
      </w:r>
      <w:proofErr w:type="spellStart"/>
      <w:r w:rsidRPr="009B0791">
        <w:rPr>
          <w:i/>
          <w:iCs/>
        </w:rPr>
        <w:t>paṭi</w:t>
      </w:r>
      <w:proofErr w:type="spellEnd"/>
      <w:r>
        <w:t xml:space="preserve"> + </w:t>
      </w:r>
      <w:proofErr w:type="spellStart"/>
      <w:r w:rsidRPr="00BE43FB">
        <w:rPr>
          <w:i/>
          <w:iCs/>
        </w:rPr>
        <w:t>ayati</w:t>
      </w:r>
      <w:proofErr w:type="spellEnd"/>
      <w:r>
        <w:t>); “relativo a los requisitos” se refiere a es</w:t>
      </w:r>
      <w:r w:rsidR="00A4547C">
        <w:t>t</w:t>
      </w:r>
      <w:r>
        <w:t>os requisitos.</w:t>
      </w:r>
    </w:p>
    <w:p w14:paraId="580B43B6" w14:textId="5D9E1B86" w:rsidR="00BD7201" w:rsidRDefault="00BD7201" w:rsidP="0045517E">
      <w:r>
        <w:t xml:space="preserve">98. </w:t>
      </w:r>
      <w:r w:rsidR="00BE43FB">
        <w:tab/>
      </w:r>
      <w:r>
        <w:t xml:space="preserve">(a) Entonces, en esta virtud cuádruple, la </w:t>
      </w:r>
      <w:r w:rsidRPr="00551702">
        <w:rPr>
          <w:i/>
          <w:iCs/>
        </w:rPr>
        <w:t>restricción</w:t>
      </w:r>
      <w:r>
        <w:t xml:space="preserve"> </w:t>
      </w:r>
      <w:proofErr w:type="spellStart"/>
      <w:r w:rsidRPr="00BE43FB">
        <w:rPr>
          <w:i/>
          <w:iCs/>
        </w:rPr>
        <w:t>Pātimokkha</w:t>
      </w:r>
      <w:proofErr w:type="spellEnd"/>
      <w:r>
        <w:t xml:space="preserve"> debe llevarse a cabo por medio de la fe. Porque e</w:t>
      </w:r>
      <w:r w:rsidR="00551702">
        <w:t>ll</w:t>
      </w:r>
      <w:r>
        <w:t>o se logra</w:t>
      </w:r>
      <w:r w:rsidR="00A4547C">
        <w:t>rá</w:t>
      </w:r>
      <w:r>
        <w:t xml:space="preserve"> </w:t>
      </w:r>
      <w:r w:rsidR="009B0791">
        <w:t>mediante</w:t>
      </w:r>
      <w:r>
        <w:t xml:space="preserve"> la fe, ya que el anuncio de los preceptos de instrucción está fuera de la competencia de los discípulos; y la evidencia aquí es el rechazo de la solicitud de [permitir a los discípulos] anunciar los preceptos de entrenamiento (ver </w:t>
      </w:r>
      <w:proofErr w:type="spellStart"/>
      <w:r>
        <w:t>Vin</w:t>
      </w:r>
      <w:proofErr w:type="spellEnd"/>
      <w:r>
        <w:t xml:space="preserve"> III 9-10). Habiendo, pues, asumido a través de la fe los preceptos de formación sin excepción como </w:t>
      </w:r>
      <w:r w:rsidR="004A3190">
        <w:t xml:space="preserve">tal </w:t>
      </w:r>
      <w:r>
        <w:t>se anunci</w:t>
      </w:r>
      <w:r w:rsidR="00277A83">
        <w:t>e</w:t>
      </w:r>
      <w:r>
        <w:t>, uno debe</w:t>
      </w:r>
      <w:r w:rsidR="00A4547C">
        <w:t>rá</w:t>
      </w:r>
      <w:r>
        <w:t xml:space="preserve"> perfeccionarlos completamente sin consideración por la vida. Por esto se dice: [36]</w:t>
      </w:r>
    </w:p>
    <w:p w14:paraId="43317E73" w14:textId="377F62CD" w:rsidR="00BD7201" w:rsidRPr="0045517E" w:rsidRDefault="00BD7201" w:rsidP="00BD7201">
      <w:pPr>
        <w:pStyle w:val="VersoIngls01Sangria"/>
        <w:rPr>
          <w:sz w:val="16"/>
          <w:szCs w:val="20"/>
        </w:rPr>
      </w:pPr>
      <w:r w:rsidRPr="0045517E">
        <w:rPr>
          <w:sz w:val="16"/>
          <w:szCs w:val="20"/>
        </w:rPr>
        <w:t>“</w:t>
      </w:r>
      <w:r w:rsidR="00164952">
        <w:rPr>
          <w:sz w:val="16"/>
          <w:szCs w:val="20"/>
        </w:rPr>
        <w:t>Así c</w:t>
      </w:r>
      <w:r w:rsidRPr="0045517E">
        <w:rPr>
          <w:sz w:val="16"/>
          <w:szCs w:val="20"/>
        </w:rPr>
        <w:t xml:space="preserve">omo </w:t>
      </w:r>
      <w:r w:rsidR="00164952">
        <w:rPr>
          <w:sz w:val="16"/>
          <w:szCs w:val="20"/>
        </w:rPr>
        <w:t>un</w:t>
      </w:r>
      <w:r w:rsidRPr="0045517E">
        <w:rPr>
          <w:sz w:val="16"/>
          <w:szCs w:val="20"/>
        </w:rPr>
        <w:t xml:space="preserve">a gallina cuida </w:t>
      </w:r>
      <w:r w:rsidR="00A4547C">
        <w:rPr>
          <w:sz w:val="16"/>
          <w:szCs w:val="20"/>
        </w:rPr>
        <w:t xml:space="preserve">de </w:t>
      </w:r>
      <w:r w:rsidRPr="0045517E">
        <w:rPr>
          <w:sz w:val="16"/>
          <w:szCs w:val="20"/>
        </w:rPr>
        <w:t>sus huevos,</w:t>
      </w:r>
    </w:p>
    <w:p w14:paraId="5CCCD9BE" w14:textId="0A3399D9" w:rsidR="00BD7201" w:rsidRPr="0045517E" w:rsidRDefault="00BD7201" w:rsidP="00BD7201">
      <w:pPr>
        <w:pStyle w:val="VersoIngls01Sangria"/>
        <w:rPr>
          <w:sz w:val="16"/>
          <w:szCs w:val="20"/>
        </w:rPr>
      </w:pPr>
      <w:r w:rsidRPr="0045517E">
        <w:rPr>
          <w:sz w:val="16"/>
          <w:szCs w:val="20"/>
        </w:rPr>
        <w:t xml:space="preserve">o como un yak </w:t>
      </w:r>
      <w:r w:rsidR="00164952">
        <w:rPr>
          <w:sz w:val="16"/>
          <w:szCs w:val="20"/>
        </w:rPr>
        <w:t xml:space="preserve">de </w:t>
      </w:r>
      <w:r w:rsidRPr="0045517E">
        <w:rPr>
          <w:sz w:val="16"/>
          <w:szCs w:val="20"/>
        </w:rPr>
        <w:t>su cola,</w:t>
      </w:r>
    </w:p>
    <w:p w14:paraId="39CA314E" w14:textId="77777777" w:rsidR="00BD7201" w:rsidRPr="0045517E" w:rsidRDefault="00BD7201" w:rsidP="00BD7201">
      <w:pPr>
        <w:pStyle w:val="VersoIngls01Sangria"/>
        <w:rPr>
          <w:sz w:val="16"/>
          <w:szCs w:val="20"/>
        </w:rPr>
      </w:pPr>
      <w:r w:rsidRPr="0045517E">
        <w:rPr>
          <w:sz w:val="16"/>
          <w:szCs w:val="20"/>
        </w:rPr>
        <w:t>O como un niño querido,</w:t>
      </w:r>
    </w:p>
    <w:p w14:paraId="4AF254F7" w14:textId="77777777" w:rsidR="0045517E" w:rsidRPr="0045517E" w:rsidRDefault="00BD7201" w:rsidP="00BD7201">
      <w:pPr>
        <w:pStyle w:val="VersoIngls01Sangria"/>
        <w:rPr>
          <w:sz w:val="16"/>
          <w:szCs w:val="20"/>
        </w:rPr>
      </w:pPr>
      <w:r w:rsidRPr="0045517E">
        <w:rPr>
          <w:sz w:val="16"/>
          <w:szCs w:val="20"/>
        </w:rPr>
        <w:t xml:space="preserve">O como un único ojo— </w:t>
      </w:r>
    </w:p>
    <w:p w14:paraId="1CD24AAA" w14:textId="65CCE5CC" w:rsidR="00BD7201" w:rsidRPr="0045517E" w:rsidRDefault="00BD7201" w:rsidP="00BD7201">
      <w:pPr>
        <w:pStyle w:val="VersoIngls01Sangria"/>
        <w:rPr>
          <w:sz w:val="16"/>
          <w:szCs w:val="20"/>
        </w:rPr>
      </w:pPr>
      <w:r w:rsidRPr="0045517E">
        <w:rPr>
          <w:sz w:val="16"/>
          <w:szCs w:val="20"/>
        </w:rPr>
        <w:t xml:space="preserve">Así que </w:t>
      </w:r>
      <w:r w:rsidR="00A221CA">
        <w:rPr>
          <w:sz w:val="16"/>
          <w:szCs w:val="20"/>
        </w:rPr>
        <w:t>usted</w:t>
      </w:r>
      <w:r w:rsidR="00E80C6F">
        <w:rPr>
          <w:sz w:val="16"/>
          <w:szCs w:val="20"/>
        </w:rPr>
        <w:t xml:space="preserve">es </w:t>
      </w:r>
      <w:r w:rsidRPr="0045517E">
        <w:rPr>
          <w:sz w:val="16"/>
          <w:szCs w:val="20"/>
        </w:rPr>
        <w:t>comprometid</w:t>
      </w:r>
      <w:r w:rsidR="00A221CA">
        <w:rPr>
          <w:sz w:val="16"/>
          <w:szCs w:val="20"/>
        </w:rPr>
        <w:t>os</w:t>
      </w:r>
    </w:p>
    <w:p w14:paraId="4A87209E" w14:textId="623C8F28" w:rsidR="00BD7201" w:rsidRPr="0045517E" w:rsidRDefault="00A221CA" w:rsidP="00BD7201">
      <w:pPr>
        <w:pStyle w:val="VersoIngls01Sangria"/>
        <w:rPr>
          <w:sz w:val="16"/>
          <w:szCs w:val="20"/>
        </w:rPr>
      </w:pPr>
      <w:r>
        <w:rPr>
          <w:sz w:val="16"/>
          <w:szCs w:val="20"/>
        </w:rPr>
        <w:t xml:space="preserve">En proteger vuestra </w:t>
      </w:r>
      <w:r w:rsidR="00BD7201" w:rsidRPr="0045517E">
        <w:rPr>
          <w:sz w:val="16"/>
          <w:szCs w:val="20"/>
        </w:rPr>
        <w:t>virtud,</w:t>
      </w:r>
    </w:p>
    <w:p w14:paraId="3CFB2477" w14:textId="45060E7A" w:rsidR="00BD7201" w:rsidRPr="0045517E" w:rsidRDefault="00BD7201" w:rsidP="00BD7201">
      <w:pPr>
        <w:pStyle w:val="VersoIngls01Sangria"/>
        <w:rPr>
          <w:sz w:val="16"/>
          <w:szCs w:val="20"/>
        </w:rPr>
      </w:pPr>
      <w:r w:rsidRPr="0045517E">
        <w:rPr>
          <w:sz w:val="16"/>
          <w:szCs w:val="20"/>
        </w:rPr>
        <w:t>Sea</w:t>
      </w:r>
      <w:r w:rsidR="00A221CA">
        <w:rPr>
          <w:sz w:val="16"/>
          <w:szCs w:val="20"/>
        </w:rPr>
        <w:t>n</w:t>
      </w:r>
      <w:r w:rsidRPr="0045517E">
        <w:rPr>
          <w:sz w:val="16"/>
          <w:szCs w:val="20"/>
        </w:rPr>
        <w:t xml:space="preserve"> prudente</w:t>
      </w:r>
      <w:r w:rsidR="00A221CA">
        <w:rPr>
          <w:sz w:val="16"/>
          <w:szCs w:val="20"/>
        </w:rPr>
        <w:t>s</w:t>
      </w:r>
      <w:r w:rsidRPr="0045517E">
        <w:rPr>
          <w:sz w:val="16"/>
          <w:szCs w:val="20"/>
        </w:rPr>
        <w:t xml:space="preserve"> en todo momento</w:t>
      </w:r>
    </w:p>
    <w:p w14:paraId="09B2C59F" w14:textId="14663A8F" w:rsidR="00BD7201" w:rsidRPr="0045517E" w:rsidRDefault="00BD7201" w:rsidP="0045517E">
      <w:pPr>
        <w:pStyle w:val="VersoIngls01Sangria"/>
        <w:spacing w:after="100"/>
        <w:ind w:left="1418"/>
        <w:rPr>
          <w:sz w:val="16"/>
          <w:szCs w:val="20"/>
        </w:rPr>
      </w:pPr>
      <w:r w:rsidRPr="0045517E">
        <w:rPr>
          <w:sz w:val="16"/>
          <w:szCs w:val="20"/>
        </w:rPr>
        <w:t>Y siempre escrupuloso</w:t>
      </w:r>
      <w:r w:rsidR="00A221CA">
        <w:rPr>
          <w:sz w:val="16"/>
          <w:szCs w:val="20"/>
        </w:rPr>
        <w:t>s</w:t>
      </w:r>
      <w:r w:rsidRPr="0045517E">
        <w:rPr>
          <w:sz w:val="16"/>
          <w:szCs w:val="20"/>
        </w:rPr>
        <w:t>. (</w:t>
      </w:r>
      <w:r w:rsidRPr="0045517E">
        <w:rPr>
          <w:i/>
          <w:iCs/>
          <w:sz w:val="16"/>
          <w:szCs w:val="20"/>
        </w:rPr>
        <w:t>Fuente no rastreada</w:t>
      </w:r>
      <w:r w:rsidRPr="0045517E">
        <w:rPr>
          <w:sz w:val="16"/>
          <w:szCs w:val="20"/>
        </w:rPr>
        <w:t>)</w:t>
      </w:r>
    </w:p>
    <w:p w14:paraId="2A5416D1" w14:textId="2900CC8B" w:rsidR="00BD7201" w:rsidRDefault="00BD7201" w:rsidP="0045517E">
      <w:pPr>
        <w:pStyle w:val="NormalConSangria"/>
      </w:pPr>
      <w:r>
        <w:t>También se dice además: “Así también, señor, cuando un precepto de formación para discípulos es anunciado por mí, mis discípulos no lo transgred</w:t>
      </w:r>
      <w:r w:rsidR="00F019C7">
        <w:t>irá</w:t>
      </w:r>
      <w:r>
        <w:t xml:space="preserve">n ni siquiera </w:t>
      </w:r>
      <w:r w:rsidR="00277A83">
        <w:t>en virtud de la</w:t>
      </w:r>
      <w:r>
        <w:t xml:space="preserve"> vida” (A IV 201).</w:t>
      </w:r>
    </w:p>
    <w:p w14:paraId="76FC1049" w14:textId="1DAA9CDB" w:rsidR="00BD7201" w:rsidRDefault="00BD7201" w:rsidP="0045517E">
      <w:r>
        <w:t xml:space="preserve">99. </w:t>
      </w:r>
      <w:r w:rsidR="000451E5">
        <w:tab/>
      </w:r>
      <w:r>
        <w:t xml:space="preserve">Y la historia </w:t>
      </w:r>
      <w:r w:rsidR="005A6F75">
        <w:t>sobre</w:t>
      </w:r>
      <w:r>
        <w:t xml:space="preserve"> los </w:t>
      </w:r>
      <w:r w:rsidR="005A6F75">
        <w:t>Venerables</w:t>
      </w:r>
      <w:r>
        <w:t xml:space="preserve"> atados por ladrones en el bosque debe entenderse en este sentido.</w:t>
      </w:r>
    </w:p>
    <w:p w14:paraId="3F09C1D9" w14:textId="452C0EB4" w:rsidR="00BD7201" w:rsidRDefault="00BD7201" w:rsidP="0045517E">
      <w:pPr>
        <w:pStyle w:val="NormalConSangria"/>
      </w:pPr>
      <w:r>
        <w:t xml:space="preserve">Parece que unos ladrones en el Bosque </w:t>
      </w:r>
      <w:proofErr w:type="spellStart"/>
      <w:r>
        <w:t>Mahāvaṭṭanī</w:t>
      </w:r>
      <w:proofErr w:type="spellEnd"/>
      <w:r>
        <w:t xml:space="preserve"> ataron a un </w:t>
      </w:r>
      <w:r w:rsidR="00EA06AE">
        <w:t xml:space="preserve">Venerable </w:t>
      </w:r>
      <w:r>
        <w:t xml:space="preserve">con enredaderas negras y lo obligaron a </w:t>
      </w:r>
      <w:r w:rsidR="00EA06AE">
        <w:t>re</w:t>
      </w:r>
      <w:r>
        <w:t>costarse. Mientras yacía allí durante siete días, aumentó su percepción y, después de alcanzar la fruición del no retorn</w:t>
      </w:r>
      <w:r w:rsidR="00EA06AE">
        <w:t>ante</w:t>
      </w:r>
      <w:r>
        <w:t xml:space="preserve">, murió allí y renació en el mundo </w:t>
      </w:r>
      <w:r w:rsidR="00057BF4" w:rsidRPr="00057BF4">
        <w:rPr>
          <w:i/>
          <w:iCs/>
        </w:rPr>
        <w:t>Brahmā</w:t>
      </w:r>
      <w:r>
        <w:t xml:space="preserve">. También ataron a otro </w:t>
      </w:r>
      <w:r w:rsidR="00EA06AE">
        <w:t xml:space="preserve">Venerable </w:t>
      </w:r>
      <w:r>
        <w:t xml:space="preserve">en la isla de </w:t>
      </w:r>
      <w:proofErr w:type="spellStart"/>
      <w:r>
        <w:t>Tambapaṇ</w:t>
      </w:r>
      <w:r w:rsidR="00F939AC">
        <w:t>ṇ</w:t>
      </w:r>
      <w:r>
        <w:t>i</w:t>
      </w:r>
      <w:proofErr w:type="spellEnd"/>
      <w:r>
        <w:t xml:space="preserve"> (Sri Lanka) con enredaderas de hilo y </w:t>
      </w:r>
      <w:r w:rsidR="00EA06AE">
        <w:t>lo obligaron a recostarse</w:t>
      </w:r>
      <w:r>
        <w:t xml:space="preserve">. Cuando vino un incendio forestal y las enredaderas no fueron cortadas, </w:t>
      </w:r>
      <w:r w:rsidR="00EA06AE">
        <w:t xml:space="preserve">se </w:t>
      </w:r>
      <w:r>
        <w:t xml:space="preserve">estableció </w:t>
      </w:r>
      <w:r w:rsidR="00EA06AE">
        <w:t xml:space="preserve">en </w:t>
      </w:r>
      <w:r>
        <w:t xml:space="preserve">la </w:t>
      </w:r>
      <w:r w:rsidR="00676AB3">
        <w:t>sabiduría</w:t>
      </w:r>
      <w:r>
        <w:t xml:space="preserve"> y alcanzó el </w:t>
      </w:r>
      <w:r w:rsidRPr="00BE43FB">
        <w:rPr>
          <w:i/>
          <w:iCs/>
        </w:rPr>
        <w:t>Nibbāna</w:t>
      </w:r>
      <w:r>
        <w:t xml:space="preserve"> simultáneamente con su muerte. Cuando el </w:t>
      </w:r>
      <w:r w:rsidR="00B406B8">
        <w:t>Venerable</w:t>
      </w:r>
      <w:r>
        <w:t xml:space="preserve"> </w:t>
      </w:r>
      <w:proofErr w:type="spellStart"/>
      <w:r>
        <w:t>Abhaya</w:t>
      </w:r>
      <w:proofErr w:type="spellEnd"/>
      <w:r>
        <w:t>, un predicador de</w:t>
      </w:r>
      <w:r w:rsidR="00676AB3">
        <w:t>l</w:t>
      </w:r>
      <w:r>
        <w:t xml:space="preserve"> </w:t>
      </w:r>
      <w:r w:rsidRPr="00B406B8">
        <w:rPr>
          <w:i/>
          <w:iCs/>
        </w:rPr>
        <w:t>Dīgha Nikāya</w:t>
      </w:r>
      <w:r>
        <w:t xml:space="preserve">, pasó con quinientos </w:t>
      </w:r>
      <w:proofErr w:type="spellStart"/>
      <w:r w:rsidR="00057BF4" w:rsidRPr="00057BF4">
        <w:rPr>
          <w:i/>
          <w:iCs/>
        </w:rPr>
        <w:t>bhikkhu</w:t>
      </w:r>
      <w:r w:rsidRPr="00B406B8">
        <w:rPr>
          <w:i/>
          <w:iCs/>
        </w:rPr>
        <w:t>s</w:t>
      </w:r>
      <w:proofErr w:type="spellEnd"/>
      <w:r>
        <w:t xml:space="preserve">, vio [lo que había sucedido] e hizo incinerar el cuerpo del </w:t>
      </w:r>
      <w:r w:rsidR="00EA06AE">
        <w:t xml:space="preserve">Venerable </w:t>
      </w:r>
      <w:r>
        <w:t>y construir un santuario. Por lo tanto, que otros miembros de clan también:</w:t>
      </w:r>
    </w:p>
    <w:p w14:paraId="745E6916" w14:textId="4C6415DE" w:rsidR="00BD7201" w:rsidRDefault="00BD7201" w:rsidP="00BD7201">
      <w:pPr>
        <w:pStyle w:val="VersoIngls01Sangria"/>
      </w:pPr>
      <w:r>
        <w:t>Manten</w:t>
      </w:r>
      <w:r w:rsidR="00EA06AE">
        <w:t>gan</w:t>
      </w:r>
      <w:r>
        <w:t xml:space="preserve"> las reglas de conducta puras,</w:t>
      </w:r>
    </w:p>
    <w:p w14:paraId="01F9182E" w14:textId="043B1E93" w:rsidR="0045517E" w:rsidRDefault="00BD7201" w:rsidP="0045517E">
      <w:pPr>
        <w:pStyle w:val="VersoIngls01Sangria"/>
      </w:pPr>
      <w:r>
        <w:t xml:space="preserve">renunciando a la vida si </w:t>
      </w:r>
      <w:r w:rsidR="00676AB3">
        <w:t>hubiese</w:t>
      </w:r>
      <w:r>
        <w:t xml:space="preserve"> necesidad,</w:t>
      </w:r>
    </w:p>
    <w:p w14:paraId="0175AA65" w14:textId="77777777" w:rsidR="00BD7201" w:rsidRDefault="00BD7201" w:rsidP="00BD7201">
      <w:pPr>
        <w:pStyle w:val="VersoIngls01Sangria"/>
      </w:pPr>
      <w:r>
        <w:lastRenderedPageBreak/>
        <w:t>En lugar de romper la restricción de la virtud</w:t>
      </w:r>
    </w:p>
    <w:p w14:paraId="567E964B" w14:textId="290EC8AE" w:rsidR="00064736" w:rsidRDefault="00EA06AE" w:rsidP="00064736">
      <w:pPr>
        <w:pStyle w:val="VersoIngls01Sangria"/>
        <w:spacing w:after="100"/>
        <w:ind w:left="1418"/>
      </w:pPr>
      <w:r>
        <w:t>Decretado p</w:t>
      </w:r>
      <w:r w:rsidR="00BD7201">
        <w:t>or el Salvador del Mundo.</w:t>
      </w:r>
    </w:p>
    <w:p w14:paraId="128DF8E4" w14:textId="7BCF215A" w:rsidR="00064736" w:rsidRDefault="00064736" w:rsidP="008A77B4">
      <w:pPr>
        <w:spacing w:after="80"/>
      </w:pPr>
      <w:r>
        <w:t xml:space="preserve">100. </w:t>
      </w:r>
      <w:r w:rsidR="00EA06AE">
        <w:tab/>
      </w:r>
      <w:r>
        <w:t xml:space="preserve">(b) Y así como la restricción </w:t>
      </w:r>
      <w:proofErr w:type="spellStart"/>
      <w:r w:rsidRPr="00B406B8">
        <w:rPr>
          <w:i/>
          <w:iCs/>
        </w:rPr>
        <w:t>Pātimokkha</w:t>
      </w:r>
      <w:proofErr w:type="spellEnd"/>
      <w:r>
        <w:t xml:space="preserve"> se lleva a cabo </w:t>
      </w:r>
      <w:r w:rsidR="00E22BA3">
        <w:t>mediante</w:t>
      </w:r>
      <w:r>
        <w:t xml:space="preserve"> la fe, la </w:t>
      </w:r>
      <w:r w:rsidRPr="00B406B8">
        <w:rPr>
          <w:i/>
          <w:iCs/>
        </w:rPr>
        <w:t>restricción de las facultades de los sentido</w:t>
      </w:r>
      <w:r>
        <w:t xml:space="preserve">s debe llevarse a cabo con </w:t>
      </w:r>
      <w:r w:rsidRPr="00B406B8">
        <w:rPr>
          <w:i/>
          <w:iCs/>
        </w:rPr>
        <w:t>atención</w:t>
      </w:r>
      <w:r>
        <w:t xml:space="preserve"> </w:t>
      </w:r>
      <w:r w:rsidRPr="00B406B8">
        <w:rPr>
          <w:i/>
          <w:iCs/>
        </w:rPr>
        <w:t>plena</w:t>
      </w:r>
      <w:r>
        <w:t xml:space="preserve">. </w:t>
      </w:r>
      <w:r w:rsidR="00E22BA3">
        <w:t xml:space="preserve">Ya </w:t>
      </w:r>
      <w:r>
        <w:t>que e</w:t>
      </w:r>
      <w:r w:rsidR="00E22BA3">
        <w:t>ll</w:t>
      </w:r>
      <w:r>
        <w:t>o se logra mediante la atención, porque cuando las funciones de las facultades de los sentidos se basan en la atención</w:t>
      </w:r>
      <w:r w:rsidR="00424E5D">
        <w:t xml:space="preserve"> plena</w:t>
      </w:r>
      <w:r>
        <w:t>, no ha</w:t>
      </w:r>
      <w:r w:rsidR="0084595B">
        <w:t>brá</w:t>
      </w:r>
      <w:r>
        <w:t xml:space="preserve"> riesgo de invasión por </w:t>
      </w:r>
      <w:r w:rsidR="00BC5AD7">
        <w:t xml:space="preserve">parte de </w:t>
      </w:r>
      <w:r>
        <w:t>la codicia y demás</w:t>
      </w:r>
      <w:r w:rsidR="0084595B">
        <w:t xml:space="preserve"> impurezas</w:t>
      </w:r>
      <w:r>
        <w:t xml:space="preserve">. Entonces, recordando el Discurso del Fuego, que comienza así, “Mejor, </w:t>
      </w:r>
      <w:proofErr w:type="spellStart"/>
      <w:r w:rsidR="00057BF4" w:rsidRPr="00057BF4">
        <w:rPr>
          <w:i/>
          <w:iCs/>
        </w:rPr>
        <w:t>bhikkhu</w:t>
      </w:r>
      <w:r w:rsidR="00B406B8">
        <w:rPr>
          <w:i/>
          <w:iCs/>
        </w:rPr>
        <w:t>s</w:t>
      </w:r>
      <w:proofErr w:type="spellEnd"/>
      <w:r>
        <w:t xml:space="preserve">, </w:t>
      </w:r>
      <w:r w:rsidR="00BC5AD7">
        <w:t xml:space="preserve">es </w:t>
      </w:r>
      <w:r>
        <w:t>la extirpación de la facultad del ojo por medio de una punta de hierro resplandeciente que ard</w:t>
      </w:r>
      <w:r w:rsidR="00BC5AD7">
        <w:t>a</w:t>
      </w:r>
      <w:r>
        <w:t xml:space="preserve"> al rojo vivo que la aprehensión de signos en los detalles de los objetos visibles cognoscibles por el ojo” (S IV 168), esta restricción debe llevarse a cabo adecuadamente impidiendo con atención incesante cualquier aprehensión, en los campos objetivos que consist</w:t>
      </w:r>
      <w:r w:rsidR="00BC5AD7">
        <w:t>a</w:t>
      </w:r>
      <w:r>
        <w:t xml:space="preserve">n </w:t>
      </w:r>
      <w:r w:rsidR="00BC5AD7">
        <w:t>de</w:t>
      </w:r>
      <w:r>
        <w:t xml:space="preserve"> </w:t>
      </w:r>
      <w:r w:rsidR="00BC5AD7">
        <w:t>objetos</w:t>
      </w:r>
      <w:r>
        <w:t xml:space="preserve"> visibles, etc., de cualquier signo, etc., que pueda alentar </w:t>
      </w:r>
      <w:r w:rsidR="00BC5AD7">
        <w:t xml:space="preserve">a </w:t>
      </w:r>
      <w:r>
        <w:t>la codicia, etc., para invadir la con</w:t>
      </w:r>
      <w:r w:rsidR="00BC5AD7">
        <w:t>s</w:t>
      </w:r>
      <w:r>
        <w:t>ciencia ocurriendo en conexión con la puerta del ojo, y así sucesivamente.</w:t>
      </w:r>
    </w:p>
    <w:p w14:paraId="6B91EC90" w14:textId="33B680A0" w:rsidR="00064736" w:rsidRDefault="00064736" w:rsidP="008A77B4">
      <w:pPr>
        <w:spacing w:after="80"/>
      </w:pPr>
      <w:r>
        <w:t xml:space="preserve">101. </w:t>
      </w:r>
      <w:r w:rsidR="00B406B8">
        <w:tab/>
      </w:r>
      <w:r>
        <w:t xml:space="preserve">[37] Cuando no se lleva a cabo de esta manera, la virtud de la restricción </w:t>
      </w:r>
      <w:proofErr w:type="spellStart"/>
      <w:r w:rsidRPr="00B406B8">
        <w:rPr>
          <w:i/>
          <w:iCs/>
        </w:rPr>
        <w:t>Pātimokkha</w:t>
      </w:r>
      <w:proofErr w:type="spellEnd"/>
      <w:r>
        <w:t xml:space="preserve"> no es perdurable: no dura, como un cultivo no cercado </w:t>
      </w:r>
      <w:r w:rsidR="00BC5AD7">
        <w:t>de</w:t>
      </w:r>
      <w:r>
        <w:t xml:space="preserve"> ramas. Y es asaltada por </w:t>
      </w:r>
      <w:r w:rsidR="006C3DA1">
        <w:t xml:space="preserve">los saqueadores de </w:t>
      </w:r>
      <w:r>
        <w:t xml:space="preserve">las </w:t>
      </w:r>
      <w:r w:rsidR="00443C10">
        <w:t>contaminaciones</w:t>
      </w:r>
      <w:r>
        <w:t xml:space="preserve"> como una aldea con las puertas abiertas </w:t>
      </w:r>
      <w:r w:rsidR="00F84F12">
        <w:t>que invit</w:t>
      </w:r>
      <w:r w:rsidR="00443C10">
        <w:t>e</w:t>
      </w:r>
      <w:r w:rsidR="00F84F12">
        <w:t xml:space="preserve">n </w:t>
      </w:r>
      <w:r w:rsidR="00443C10">
        <w:t xml:space="preserve">a </w:t>
      </w:r>
      <w:r w:rsidR="00F84F12">
        <w:t>la entrada de</w:t>
      </w:r>
      <w:r>
        <w:t xml:space="preserve"> los ladrones. Y la lujuria se filtra en su mente como la lluvia en una casa mal techada. Por esto se dice:</w:t>
      </w:r>
    </w:p>
    <w:p w14:paraId="582D30D2" w14:textId="77777777" w:rsidR="00064736" w:rsidRPr="008A77B4" w:rsidRDefault="00064736" w:rsidP="00064736">
      <w:pPr>
        <w:pStyle w:val="VersoIngls01Sangria"/>
        <w:rPr>
          <w:sz w:val="16"/>
          <w:szCs w:val="20"/>
        </w:rPr>
      </w:pPr>
      <w:r w:rsidRPr="008A77B4">
        <w:rPr>
          <w:sz w:val="16"/>
          <w:szCs w:val="20"/>
        </w:rPr>
        <w:t>“Entre los objetos visibles, sonidos y olores,</w:t>
      </w:r>
    </w:p>
    <w:p w14:paraId="58B6C054" w14:textId="38379F11" w:rsidR="00064736" w:rsidRPr="008A77B4" w:rsidRDefault="00064736" w:rsidP="00064736">
      <w:pPr>
        <w:pStyle w:val="VersoIngls01Sangria"/>
        <w:rPr>
          <w:sz w:val="16"/>
          <w:szCs w:val="20"/>
        </w:rPr>
      </w:pPr>
      <w:r w:rsidRPr="008A77B4">
        <w:rPr>
          <w:sz w:val="16"/>
          <w:szCs w:val="20"/>
        </w:rPr>
        <w:t xml:space="preserve">Y los gustos y los </w:t>
      </w:r>
      <w:r w:rsidR="00F84F12">
        <w:rPr>
          <w:sz w:val="16"/>
          <w:szCs w:val="20"/>
        </w:rPr>
        <w:t xml:space="preserve">objetos </w:t>
      </w:r>
      <w:proofErr w:type="gramStart"/>
      <w:r w:rsidRPr="008A77B4">
        <w:rPr>
          <w:sz w:val="16"/>
          <w:szCs w:val="20"/>
        </w:rPr>
        <w:t>tangibles</w:t>
      </w:r>
      <w:r w:rsidR="001F4678">
        <w:rPr>
          <w:sz w:val="16"/>
          <w:szCs w:val="20"/>
        </w:rPr>
        <w:t>,</w:t>
      </w:r>
      <w:proofErr w:type="gramEnd"/>
      <w:r w:rsidRPr="008A77B4">
        <w:rPr>
          <w:sz w:val="16"/>
          <w:szCs w:val="20"/>
        </w:rPr>
        <w:t xml:space="preserve"> </w:t>
      </w:r>
      <w:r w:rsidR="00F84F12">
        <w:rPr>
          <w:sz w:val="16"/>
          <w:szCs w:val="20"/>
        </w:rPr>
        <w:t>res</w:t>
      </w:r>
      <w:r w:rsidRPr="008A77B4">
        <w:rPr>
          <w:sz w:val="16"/>
          <w:szCs w:val="20"/>
        </w:rPr>
        <w:t>guard</w:t>
      </w:r>
      <w:r w:rsidR="00F84F12">
        <w:rPr>
          <w:sz w:val="16"/>
          <w:szCs w:val="20"/>
        </w:rPr>
        <w:t>e</w:t>
      </w:r>
      <w:r w:rsidRPr="008A77B4">
        <w:rPr>
          <w:sz w:val="16"/>
          <w:szCs w:val="20"/>
        </w:rPr>
        <w:t>n las facultades;</w:t>
      </w:r>
    </w:p>
    <w:p w14:paraId="75FD40C3" w14:textId="27A36127" w:rsidR="00064736" w:rsidRPr="008A77B4" w:rsidRDefault="00064736" w:rsidP="00064736">
      <w:pPr>
        <w:pStyle w:val="VersoIngls01Sangria"/>
        <w:rPr>
          <w:sz w:val="16"/>
          <w:szCs w:val="20"/>
        </w:rPr>
      </w:pPr>
      <w:r w:rsidRPr="008A77B4">
        <w:rPr>
          <w:sz w:val="16"/>
          <w:szCs w:val="20"/>
        </w:rPr>
        <w:t>Porque cuando estas puertas est</w:t>
      </w:r>
      <w:r w:rsidR="00F84F12">
        <w:rPr>
          <w:sz w:val="16"/>
          <w:szCs w:val="20"/>
        </w:rPr>
        <w:t>é</w:t>
      </w:r>
      <w:r w:rsidRPr="008A77B4">
        <w:rPr>
          <w:sz w:val="16"/>
          <w:szCs w:val="20"/>
        </w:rPr>
        <w:t>n abiertas y sin vigilancia,</w:t>
      </w:r>
    </w:p>
    <w:p w14:paraId="0FAA6869" w14:textId="29FE98BE" w:rsidR="00064736" w:rsidRPr="008A77B4" w:rsidRDefault="00064736" w:rsidP="00064736">
      <w:pPr>
        <w:pStyle w:val="VersoIngls01Sangria"/>
        <w:spacing w:after="100"/>
        <w:ind w:left="1418"/>
        <w:rPr>
          <w:sz w:val="16"/>
          <w:szCs w:val="20"/>
        </w:rPr>
      </w:pPr>
      <w:r w:rsidRPr="008A77B4">
        <w:rPr>
          <w:sz w:val="16"/>
          <w:szCs w:val="20"/>
        </w:rPr>
        <w:t>Entonces vendrán l</w:t>
      </w:r>
      <w:r w:rsidR="00F84F12">
        <w:rPr>
          <w:sz w:val="16"/>
          <w:szCs w:val="20"/>
        </w:rPr>
        <w:t xml:space="preserve">os saqueadores </w:t>
      </w:r>
      <w:r w:rsidRPr="008A77B4">
        <w:rPr>
          <w:sz w:val="16"/>
          <w:szCs w:val="20"/>
        </w:rPr>
        <w:t xml:space="preserve">y asaltarán </w:t>
      </w:r>
      <w:r w:rsidR="00F84F12">
        <w:rPr>
          <w:sz w:val="16"/>
          <w:szCs w:val="20"/>
        </w:rPr>
        <w:t>como lo hacen con</w:t>
      </w:r>
      <w:r w:rsidRPr="008A77B4">
        <w:rPr>
          <w:sz w:val="16"/>
          <w:szCs w:val="20"/>
        </w:rPr>
        <w:t xml:space="preserve"> un pueblo (?).</w:t>
      </w:r>
    </w:p>
    <w:p w14:paraId="17744975" w14:textId="77777777" w:rsidR="00064736" w:rsidRPr="008A77B4" w:rsidRDefault="00064736" w:rsidP="00064736">
      <w:pPr>
        <w:pStyle w:val="VersoIngls01Sangria"/>
        <w:rPr>
          <w:sz w:val="16"/>
          <w:szCs w:val="20"/>
        </w:rPr>
      </w:pPr>
      <w:r w:rsidRPr="008A77B4">
        <w:rPr>
          <w:sz w:val="16"/>
          <w:szCs w:val="20"/>
        </w:rPr>
        <w:t>Y al igual que con una casa mal techada</w:t>
      </w:r>
    </w:p>
    <w:p w14:paraId="6332C1A7" w14:textId="0F621E69" w:rsidR="00064736" w:rsidRPr="008A77B4" w:rsidRDefault="00064736" w:rsidP="00064736">
      <w:pPr>
        <w:pStyle w:val="VersoIngls01Sangria"/>
        <w:rPr>
          <w:sz w:val="16"/>
          <w:szCs w:val="20"/>
        </w:rPr>
      </w:pPr>
      <w:r w:rsidRPr="008A77B4">
        <w:rPr>
          <w:sz w:val="16"/>
          <w:szCs w:val="20"/>
        </w:rPr>
        <w:t>La lluvia se filtra</w:t>
      </w:r>
      <w:r w:rsidR="001F4678">
        <w:rPr>
          <w:sz w:val="16"/>
          <w:szCs w:val="20"/>
        </w:rPr>
        <w:t>rá</w:t>
      </w:r>
      <w:r w:rsidRPr="008A77B4">
        <w:rPr>
          <w:sz w:val="16"/>
          <w:szCs w:val="20"/>
        </w:rPr>
        <w:t>, también</w:t>
      </w:r>
    </w:p>
    <w:p w14:paraId="2D3C0DB1" w14:textId="71889CD1" w:rsidR="00064736" w:rsidRPr="008A77B4" w:rsidRDefault="00064736" w:rsidP="00064736">
      <w:pPr>
        <w:pStyle w:val="VersoIngls01Sangria"/>
        <w:rPr>
          <w:sz w:val="16"/>
          <w:szCs w:val="20"/>
        </w:rPr>
      </w:pPr>
      <w:r w:rsidRPr="008A77B4">
        <w:rPr>
          <w:sz w:val="16"/>
          <w:szCs w:val="20"/>
        </w:rPr>
        <w:t>Se filtrará la lujuria con seguridad</w:t>
      </w:r>
    </w:p>
    <w:p w14:paraId="73E619F6" w14:textId="77777777" w:rsidR="00064736" w:rsidRPr="008A77B4" w:rsidRDefault="00064736" w:rsidP="00064736">
      <w:pPr>
        <w:pStyle w:val="VersoIngls01Sangria"/>
        <w:spacing w:after="100"/>
        <w:ind w:left="1418"/>
        <w:rPr>
          <w:sz w:val="16"/>
          <w:szCs w:val="20"/>
        </w:rPr>
      </w:pPr>
      <w:r w:rsidRPr="008A77B4">
        <w:rPr>
          <w:sz w:val="16"/>
          <w:szCs w:val="20"/>
        </w:rPr>
        <w:t>Sobre una mente subdesarrollada” (</w:t>
      </w:r>
      <w:proofErr w:type="spellStart"/>
      <w:r w:rsidRPr="008A77B4">
        <w:rPr>
          <w:sz w:val="16"/>
          <w:szCs w:val="20"/>
        </w:rPr>
        <w:t>Dhp</w:t>
      </w:r>
      <w:proofErr w:type="spellEnd"/>
      <w:r w:rsidRPr="008A77B4">
        <w:rPr>
          <w:sz w:val="16"/>
          <w:szCs w:val="20"/>
        </w:rPr>
        <w:t xml:space="preserve"> 13).</w:t>
      </w:r>
    </w:p>
    <w:p w14:paraId="5D7EEA53" w14:textId="0E2D38CB" w:rsidR="00064736" w:rsidRDefault="00064736" w:rsidP="008A77B4">
      <w:pPr>
        <w:spacing w:after="80"/>
      </w:pPr>
      <w:r>
        <w:t xml:space="preserve">102. </w:t>
      </w:r>
      <w:r w:rsidR="00B406B8">
        <w:tab/>
      </w:r>
      <w:r>
        <w:t>Cuando se emprend</w:t>
      </w:r>
      <w:r w:rsidR="00A5767B">
        <w:t>a</w:t>
      </w:r>
      <w:r>
        <w:t xml:space="preserve"> así, la virtud de la </w:t>
      </w:r>
      <w:r w:rsidR="00A5767B">
        <w:t xml:space="preserve">restricción </w:t>
      </w:r>
      <w:proofErr w:type="spellStart"/>
      <w:r w:rsidRPr="00B406B8">
        <w:rPr>
          <w:i/>
          <w:iCs/>
        </w:rPr>
        <w:t>Pātimokkha</w:t>
      </w:r>
      <w:proofErr w:type="spellEnd"/>
      <w:r>
        <w:t xml:space="preserve"> s</w:t>
      </w:r>
      <w:r w:rsidR="00A5767B">
        <w:t>erá</w:t>
      </w:r>
      <w:r>
        <w:t xml:space="preserve"> perdurable: dura</w:t>
      </w:r>
      <w:r w:rsidR="00A5767B">
        <w:t>rá</w:t>
      </w:r>
      <w:r>
        <w:t xml:space="preserve">, como un cultivo bien cercado </w:t>
      </w:r>
      <w:r w:rsidR="00A5767B">
        <w:t>de</w:t>
      </w:r>
      <w:r>
        <w:t xml:space="preserve"> ramas. Y no s</w:t>
      </w:r>
      <w:r w:rsidR="00A5767B">
        <w:t>erá</w:t>
      </w:r>
      <w:r>
        <w:t xml:space="preserve"> asaltada por </w:t>
      </w:r>
      <w:r w:rsidR="00A5767B">
        <w:t xml:space="preserve">los ladrones de </w:t>
      </w:r>
      <w:r>
        <w:t xml:space="preserve">las </w:t>
      </w:r>
      <w:r w:rsidR="00A5767B">
        <w:t>corrupciones mentales</w:t>
      </w:r>
      <w:r>
        <w:t xml:space="preserve">, como no lo </w:t>
      </w:r>
      <w:r w:rsidR="003B00B6">
        <w:t>s</w:t>
      </w:r>
      <w:r w:rsidR="004215E6">
        <w:t>ería</w:t>
      </w:r>
      <w:r>
        <w:t xml:space="preserve"> una aldea </w:t>
      </w:r>
      <w:r w:rsidR="004215E6">
        <w:t>cuyas</w:t>
      </w:r>
      <w:r>
        <w:t xml:space="preserve"> puertas </w:t>
      </w:r>
      <w:r w:rsidR="004215E6">
        <w:t xml:space="preserve">estén </w:t>
      </w:r>
      <w:r>
        <w:t xml:space="preserve">bien </w:t>
      </w:r>
      <w:r w:rsidR="003B00B6">
        <w:t>res</w:t>
      </w:r>
      <w:r>
        <w:t>guardadas</w:t>
      </w:r>
      <w:r w:rsidR="003B00B6" w:rsidRPr="003B00B6">
        <w:t xml:space="preserve"> </w:t>
      </w:r>
      <w:r w:rsidR="003B00B6">
        <w:t>de los ladrones</w:t>
      </w:r>
      <w:r>
        <w:t>. Y la lujuria no se filtra</w:t>
      </w:r>
      <w:r w:rsidR="003B00B6">
        <w:t>rá</w:t>
      </w:r>
      <w:r>
        <w:t xml:space="preserve"> en su mente, como la lluvia no se filtra</w:t>
      </w:r>
      <w:r w:rsidR="004215E6">
        <w:t>ría</w:t>
      </w:r>
      <w:r>
        <w:t xml:space="preserve"> en una casa bien techada. Por esto se dice:</w:t>
      </w:r>
    </w:p>
    <w:p w14:paraId="68F06B02" w14:textId="77777777" w:rsidR="00064736" w:rsidRPr="008A77B4" w:rsidRDefault="00064736" w:rsidP="008A77B4">
      <w:pPr>
        <w:pStyle w:val="VersoIngls01Sangria"/>
        <w:rPr>
          <w:sz w:val="16"/>
          <w:szCs w:val="20"/>
        </w:rPr>
      </w:pPr>
      <w:r w:rsidRPr="008A77B4">
        <w:rPr>
          <w:sz w:val="16"/>
          <w:szCs w:val="20"/>
        </w:rPr>
        <w:t>“Entre los objetos visibles, sonidos y olores,</w:t>
      </w:r>
    </w:p>
    <w:p w14:paraId="6A462B67" w14:textId="5FFA6246" w:rsidR="00064736" w:rsidRPr="008A77B4" w:rsidRDefault="00064736" w:rsidP="008A77B4">
      <w:pPr>
        <w:pStyle w:val="VersoIngls01Sangria"/>
        <w:rPr>
          <w:sz w:val="16"/>
          <w:szCs w:val="20"/>
        </w:rPr>
      </w:pPr>
      <w:r w:rsidRPr="008A77B4">
        <w:rPr>
          <w:sz w:val="16"/>
          <w:szCs w:val="20"/>
        </w:rPr>
        <w:t>Y gustos y tangibles, custodi</w:t>
      </w:r>
      <w:r w:rsidR="003B00B6">
        <w:rPr>
          <w:sz w:val="16"/>
          <w:szCs w:val="20"/>
        </w:rPr>
        <w:t>e</w:t>
      </w:r>
      <w:r w:rsidRPr="008A77B4">
        <w:rPr>
          <w:sz w:val="16"/>
          <w:szCs w:val="20"/>
        </w:rPr>
        <w:t>n las facultades</w:t>
      </w:r>
      <w:r w:rsidR="003B00B6">
        <w:rPr>
          <w:sz w:val="16"/>
          <w:szCs w:val="20"/>
        </w:rPr>
        <w:t xml:space="preserve"> sensoriales</w:t>
      </w:r>
      <w:r w:rsidRPr="008A77B4">
        <w:rPr>
          <w:sz w:val="16"/>
          <w:szCs w:val="20"/>
        </w:rPr>
        <w:t>;</w:t>
      </w:r>
    </w:p>
    <w:p w14:paraId="20FBFC0A" w14:textId="2EA53B30" w:rsidR="00064736" w:rsidRPr="008A77B4" w:rsidRDefault="00064736" w:rsidP="008A77B4">
      <w:pPr>
        <w:pStyle w:val="VersoIngls01Sangria"/>
        <w:rPr>
          <w:sz w:val="16"/>
          <w:szCs w:val="20"/>
        </w:rPr>
      </w:pPr>
      <w:r w:rsidRPr="008A77B4">
        <w:rPr>
          <w:sz w:val="16"/>
          <w:szCs w:val="20"/>
        </w:rPr>
        <w:t>Porque cuando estas puertas est</w:t>
      </w:r>
      <w:r w:rsidR="004215E6">
        <w:rPr>
          <w:sz w:val="16"/>
          <w:szCs w:val="20"/>
        </w:rPr>
        <w:t>é</w:t>
      </w:r>
      <w:r w:rsidRPr="008A77B4">
        <w:rPr>
          <w:sz w:val="16"/>
          <w:szCs w:val="20"/>
        </w:rPr>
        <w:t>n cerradas y verdaderamente vigiladas,</w:t>
      </w:r>
    </w:p>
    <w:p w14:paraId="7E00DB81" w14:textId="74DC42A0" w:rsidR="00064736" w:rsidRPr="008A77B4" w:rsidRDefault="00064736" w:rsidP="008A77B4">
      <w:pPr>
        <w:pStyle w:val="VersoIngls01Sangria"/>
        <w:spacing w:after="100"/>
        <w:ind w:left="1418"/>
        <w:rPr>
          <w:sz w:val="16"/>
          <w:szCs w:val="20"/>
        </w:rPr>
      </w:pPr>
      <w:r w:rsidRPr="008A77B4">
        <w:rPr>
          <w:sz w:val="16"/>
          <w:szCs w:val="20"/>
        </w:rPr>
        <w:t xml:space="preserve">Los </w:t>
      </w:r>
      <w:r w:rsidR="00977658">
        <w:rPr>
          <w:sz w:val="16"/>
          <w:szCs w:val="20"/>
        </w:rPr>
        <w:t xml:space="preserve">saqueadores </w:t>
      </w:r>
      <w:r w:rsidRPr="008A77B4">
        <w:rPr>
          <w:sz w:val="16"/>
          <w:szCs w:val="20"/>
        </w:rPr>
        <w:t>no vendrán y asaltarán como si fuera un pueblo (?).</w:t>
      </w:r>
    </w:p>
    <w:p w14:paraId="01F1D5D5" w14:textId="77777777" w:rsidR="00064736" w:rsidRPr="008A77B4" w:rsidRDefault="00064736" w:rsidP="008A77B4">
      <w:pPr>
        <w:pStyle w:val="VersoIngls01Sangria"/>
        <w:rPr>
          <w:sz w:val="16"/>
          <w:szCs w:val="20"/>
        </w:rPr>
      </w:pPr>
      <w:r w:rsidRPr="008A77B4">
        <w:rPr>
          <w:sz w:val="16"/>
          <w:szCs w:val="20"/>
        </w:rPr>
        <w:t>“Y así como en una casa bien techada</w:t>
      </w:r>
    </w:p>
    <w:p w14:paraId="35A50A7F" w14:textId="2C1A0AD5" w:rsidR="00064736" w:rsidRPr="008A77B4" w:rsidRDefault="00551E8A" w:rsidP="008A77B4">
      <w:pPr>
        <w:pStyle w:val="VersoIngls01Sangria"/>
        <w:rPr>
          <w:sz w:val="16"/>
          <w:szCs w:val="20"/>
        </w:rPr>
      </w:pPr>
      <w:r>
        <w:rPr>
          <w:sz w:val="16"/>
          <w:szCs w:val="20"/>
        </w:rPr>
        <w:t>Donde n</w:t>
      </w:r>
      <w:r w:rsidR="00064736" w:rsidRPr="008A77B4">
        <w:rPr>
          <w:sz w:val="16"/>
          <w:szCs w:val="20"/>
        </w:rPr>
        <w:t xml:space="preserve">o </w:t>
      </w:r>
      <w:r>
        <w:rPr>
          <w:sz w:val="16"/>
          <w:szCs w:val="20"/>
        </w:rPr>
        <w:t xml:space="preserve">habría </w:t>
      </w:r>
      <w:r w:rsidR="00064736" w:rsidRPr="008A77B4">
        <w:rPr>
          <w:sz w:val="16"/>
          <w:szCs w:val="20"/>
        </w:rPr>
        <w:t>lluvia que se filtr</w:t>
      </w:r>
      <w:r>
        <w:rPr>
          <w:sz w:val="16"/>
          <w:szCs w:val="20"/>
        </w:rPr>
        <w:t>ase</w:t>
      </w:r>
      <w:r w:rsidR="00064736" w:rsidRPr="008A77B4">
        <w:rPr>
          <w:sz w:val="16"/>
          <w:szCs w:val="20"/>
        </w:rPr>
        <w:t>, así también</w:t>
      </w:r>
    </w:p>
    <w:p w14:paraId="179073DF" w14:textId="37C63FA4" w:rsidR="00064736" w:rsidRPr="008A77B4" w:rsidRDefault="00064736" w:rsidP="008A77B4">
      <w:pPr>
        <w:pStyle w:val="VersoIngls01Sangria"/>
        <w:rPr>
          <w:sz w:val="16"/>
          <w:szCs w:val="20"/>
        </w:rPr>
      </w:pPr>
      <w:r w:rsidRPr="008A77B4">
        <w:rPr>
          <w:sz w:val="16"/>
          <w:szCs w:val="20"/>
        </w:rPr>
        <w:t>No ha</w:t>
      </w:r>
      <w:r w:rsidR="00977658">
        <w:rPr>
          <w:sz w:val="16"/>
          <w:szCs w:val="20"/>
        </w:rPr>
        <w:t>brá</w:t>
      </w:r>
      <w:r w:rsidRPr="008A77B4">
        <w:rPr>
          <w:sz w:val="16"/>
          <w:szCs w:val="20"/>
        </w:rPr>
        <w:t xml:space="preserve"> lujuria que se filtre con seguridad</w:t>
      </w:r>
    </w:p>
    <w:p w14:paraId="1BB9F24E" w14:textId="77777777" w:rsidR="00064736" w:rsidRPr="008A77B4" w:rsidRDefault="00064736" w:rsidP="008A77B4">
      <w:pPr>
        <w:pStyle w:val="VersoIngls01Sangria"/>
        <w:spacing w:after="100"/>
        <w:ind w:left="1418"/>
        <w:rPr>
          <w:sz w:val="16"/>
          <w:szCs w:val="20"/>
        </w:rPr>
      </w:pPr>
      <w:r w:rsidRPr="008A77B4">
        <w:rPr>
          <w:sz w:val="16"/>
          <w:szCs w:val="20"/>
        </w:rPr>
        <w:t>Sobre una mente bien desarrollada” (</w:t>
      </w:r>
      <w:proofErr w:type="spellStart"/>
      <w:r w:rsidRPr="008A77B4">
        <w:rPr>
          <w:sz w:val="16"/>
          <w:szCs w:val="20"/>
        </w:rPr>
        <w:t>Dhp</w:t>
      </w:r>
      <w:proofErr w:type="spellEnd"/>
      <w:r w:rsidRPr="008A77B4">
        <w:rPr>
          <w:sz w:val="16"/>
          <w:szCs w:val="20"/>
        </w:rPr>
        <w:t xml:space="preserve"> 14).</w:t>
      </w:r>
    </w:p>
    <w:p w14:paraId="479147F8" w14:textId="28572779" w:rsidR="00064736" w:rsidRDefault="00064736" w:rsidP="00064736">
      <w:r>
        <w:t xml:space="preserve">103. </w:t>
      </w:r>
      <w:r w:rsidR="00A5767B">
        <w:tab/>
      </w:r>
      <w:r w:rsidR="00343100">
        <w:t>É</w:t>
      </w:r>
      <w:r>
        <w:t>sta, sin embargo, es la enseñanza en su máxima expresión.</w:t>
      </w:r>
    </w:p>
    <w:p w14:paraId="2B82C053" w14:textId="664C167E" w:rsidR="00064736" w:rsidRDefault="00977658" w:rsidP="008A77B4">
      <w:pPr>
        <w:pStyle w:val="NormalConSangria"/>
      </w:pPr>
      <w:r>
        <w:t>A e</w:t>
      </w:r>
      <w:r w:rsidR="00064736">
        <w:t xml:space="preserve">sta mente se </w:t>
      </w:r>
      <w:r>
        <w:t xml:space="preserve">le </w:t>
      </w:r>
      <w:r w:rsidR="00064736">
        <w:t xml:space="preserve">llama “rápidamente transformada” (A I 10), por lo que la restricción de las facultades debe llevarse a cabo mediante la eliminación de la lujuria surgida con la contemplación de la inmundicia, como lo hizo el </w:t>
      </w:r>
      <w:r w:rsidR="00B406B8">
        <w:t>V</w:t>
      </w:r>
      <w:r w:rsidR="003C4551">
        <w:t>enerable</w:t>
      </w:r>
      <w:r w:rsidR="00064736">
        <w:t xml:space="preserve"> </w:t>
      </w:r>
      <w:proofErr w:type="spellStart"/>
      <w:r w:rsidR="00064736">
        <w:t>Vaṅgīsa</w:t>
      </w:r>
      <w:proofErr w:type="spellEnd"/>
      <w:r w:rsidR="00064736">
        <w:t xml:space="preserve"> poco después de que </w:t>
      </w:r>
      <w:r>
        <w:t>renunciase a la vida mundana</w:t>
      </w:r>
      <w:r w:rsidR="00064736">
        <w:t>. [38]</w:t>
      </w:r>
    </w:p>
    <w:p w14:paraId="29E6FF70" w14:textId="673F1271" w:rsidR="00BE136D" w:rsidRDefault="00064736" w:rsidP="00BE136D">
      <w:pPr>
        <w:pStyle w:val="NormalConSangria"/>
      </w:pPr>
      <w:r>
        <w:t xml:space="preserve">Mientras el </w:t>
      </w:r>
      <w:r w:rsidR="00977658">
        <w:t>Venerable peregrinaba</w:t>
      </w:r>
      <w:r>
        <w:t xml:space="preserve"> en busca de </w:t>
      </w:r>
      <w:r w:rsidR="00977658">
        <w:t>ofrendas</w:t>
      </w:r>
      <w:r>
        <w:t xml:space="preserve">, parece que poco después de </w:t>
      </w:r>
      <w:r w:rsidR="00977658">
        <w:t>ordenarse</w:t>
      </w:r>
      <w:r>
        <w:t xml:space="preserve">, la lujuria surgió en él al ver a una mujer. Acto seguido, </w:t>
      </w:r>
      <w:r w:rsidR="005E3C54">
        <w:t xml:space="preserve">le </w:t>
      </w:r>
      <w:r>
        <w:t xml:space="preserve">dijo al </w:t>
      </w:r>
      <w:r w:rsidR="005E3C54">
        <w:t xml:space="preserve">Venerable </w:t>
      </w:r>
      <w:r>
        <w:t>Ānanda:</w:t>
      </w:r>
      <w:r w:rsidR="00BE136D">
        <w:br w:type="page"/>
      </w:r>
    </w:p>
    <w:p w14:paraId="0D21DE52" w14:textId="40C57965" w:rsidR="00BE136D" w:rsidRDefault="00BE136D" w:rsidP="00BE136D">
      <w:pPr>
        <w:pStyle w:val="VersoIngls01Sangria"/>
      </w:pPr>
      <w:r>
        <w:lastRenderedPageBreak/>
        <w:t xml:space="preserve">“Estoy ardiendo </w:t>
      </w:r>
      <w:r w:rsidR="005E3C54">
        <w:t>de</w:t>
      </w:r>
      <w:r>
        <w:t xml:space="preserve"> lujuria sensual.</w:t>
      </w:r>
    </w:p>
    <w:p w14:paraId="675A9F37" w14:textId="77777777" w:rsidR="00BE136D" w:rsidRDefault="00BE136D" w:rsidP="00BE136D">
      <w:pPr>
        <w:pStyle w:val="VersoIngls01Sangria"/>
      </w:pPr>
      <w:r>
        <w:t>Y llamas ardientes consumen mi mente;</w:t>
      </w:r>
    </w:p>
    <w:p w14:paraId="1A9B005C" w14:textId="60C2ED9D" w:rsidR="00BE136D" w:rsidRDefault="00BE136D" w:rsidP="00BE136D">
      <w:pPr>
        <w:pStyle w:val="VersoIngls01Sangria"/>
      </w:pPr>
      <w:r>
        <w:t>Por piedad d</w:t>
      </w:r>
      <w:r w:rsidR="005E3C54">
        <w:t>íga</w:t>
      </w:r>
      <w:r>
        <w:t>me, Gotama,</w:t>
      </w:r>
    </w:p>
    <w:p w14:paraId="47699B2B" w14:textId="6B9BA66A" w:rsidR="00BE136D" w:rsidRDefault="00BE136D" w:rsidP="00BE136D">
      <w:pPr>
        <w:pStyle w:val="VersoIngls01Sangria"/>
      </w:pPr>
      <w:r>
        <w:t>Cómo extinguir</w:t>
      </w:r>
      <w:r w:rsidR="005E3C54">
        <w:t xml:space="preserve"> esto</w:t>
      </w:r>
      <w:r>
        <w:t xml:space="preserve"> definitivamente” (S I 188).</w:t>
      </w:r>
    </w:p>
    <w:p w14:paraId="3972A0FB" w14:textId="359D9A7E" w:rsidR="00BE136D" w:rsidRDefault="00BE136D" w:rsidP="00365262">
      <w:r>
        <w:t xml:space="preserve">El </w:t>
      </w:r>
      <w:r w:rsidR="005E3C54">
        <w:t xml:space="preserve">Venerable </w:t>
      </w:r>
      <w:r>
        <w:t>dijo:</w:t>
      </w:r>
    </w:p>
    <w:p w14:paraId="7D968749" w14:textId="36096E19" w:rsidR="00BE136D" w:rsidRDefault="00BE136D" w:rsidP="00BE136D">
      <w:pPr>
        <w:pStyle w:val="VersoIngls01Sangria"/>
      </w:pPr>
      <w:r>
        <w:t>“</w:t>
      </w:r>
      <w:r w:rsidR="00A3616B">
        <w:t>Usted p</w:t>
      </w:r>
      <w:r>
        <w:t>ercibe erróneamente,</w:t>
      </w:r>
    </w:p>
    <w:p w14:paraId="20C6971C" w14:textId="0D179396" w:rsidR="00365262" w:rsidRDefault="00D7136A" w:rsidP="00365262">
      <w:pPr>
        <w:pStyle w:val="VersoIngls01Sangria"/>
      </w:pPr>
      <w:r>
        <w:t xml:space="preserve">Cuando </w:t>
      </w:r>
      <w:r w:rsidR="00A3616B">
        <w:t xml:space="preserve">observa </w:t>
      </w:r>
      <w:r w:rsidR="00BE136D">
        <w:t xml:space="preserve">las llamas ardientes </w:t>
      </w:r>
      <w:r w:rsidR="002D3B7E">
        <w:t xml:space="preserve">que </w:t>
      </w:r>
      <w:r w:rsidR="00BE136D">
        <w:t xml:space="preserve">consumen </w:t>
      </w:r>
      <w:r w:rsidR="0059782D">
        <w:t>s</w:t>
      </w:r>
      <w:r w:rsidR="00BE136D">
        <w:t xml:space="preserve">u mente. </w:t>
      </w:r>
    </w:p>
    <w:p w14:paraId="756389D3" w14:textId="070319B0" w:rsidR="00365262" w:rsidRDefault="00BE136D" w:rsidP="00365262">
      <w:pPr>
        <w:pStyle w:val="VersoIngls01Sangria"/>
      </w:pPr>
      <w:r>
        <w:t xml:space="preserve">No busque </w:t>
      </w:r>
      <w:r w:rsidR="00C10AC4">
        <w:t xml:space="preserve">allí </w:t>
      </w:r>
      <w:r>
        <w:t xml:space="preserve">ninguna señal de belleza, </w:t>
      </w:r>
    </w:p>
    <w:p w14:paraId="12D0EE03" w14:textId="6E94A3B4" w:rsidR="00BE136D" w:rsidRDefault="00A3616B" w:rsidP="00365262">
      <w:pPr>
        <w:pStyle w:val="VersoIngls01Sangria"/>
      </w:pPr>
      <w:r>
        <w:t xml:space="preserve">Ya </w:t>
      </w:r>
      <w:r w:rsidR="00BE136D">
        <w:t>que eso es lo que conduce a la lujuria.</w:t>
      </w:r>
    </w:p>
    <w:p w14:paraId="7447B18B" w14:textId="14033B64" w:rsidR="00BE136D" w:rsidRDefault="00C10AC4" w:rsidP="00365262">
      <w:pPr>
        <w:pStyle w:val="VersoIngls01Sangria"/>
      </w:pPr>
      <w:r>
        <w:t>Observe</w:t>
      </w:r>
      <w:r w:rsidR="00F40931">
        <w:t xml:space="preserve"> </w:t>
      </w:r>
      <w:r w:rsidR="00A22851">
        <w:t>est</w:t>
      </w:r>
      <w:r w:rsidR="00BE136D">
        <w:t>a</w:t>
      </w:r>
      <w:r w:rsidR="00A22851">
        <w:t>s</w:t>
      </w:r>
      <w:r w:rsidR="00BE136D">
        <w:t xml:space="preserve"> </w:t>
      </w:r>
      <w:r w:rsidR="00A22851">
        <w:t xml:space="preserve">impurezas </w:t>
      </w:r>
      <w:r w:rsidR="00BE136D">
        <w:t>y mant</w:t>
      </w:r>
      <w:r w:rsidR="001372A1">
        <w:t>e</w:t>
      </w:r>
      <w:r w:rsidR="00BE136D">
        <w:t>n</w:t>
      </w:r>
      <w:r w:rsidR="001372A1">
        <w:t>ga</w:t>
      </w:r>
      <w:r w:rsidR="00BE136D">
        <w:t xml:space="preserve"> </w:t>
      </w:r>
      <w:r w:rsidR="001372A1">
        <w:t>s</w:t>
      </w:r>
      <w:r w:rsidR="00BE136D">
        <w:t>u mente</w:t>
      </w:r>
    </w:p>
    <w:p w14:paraId="7D731422" w14:textId="4F482CA8" w:rsidR="00BE136D" w:rsidRDefault="00BE136D" w:rsidP="00365262">
      <w:pPr>
        <w:pStyle w:val="VersoIngls01Sangria"/>
      </w:pPr>
      <w:r>
        <w:t>Armoniosamente concentrad</w:t>
      </w:r>
      <w:r w:rsidR="001372A1">
        <w:t>a</w:t>
      </w:r>
      <w:r>
        <w:t>;</w:t>
      </w:r>
    </w:p>
    <w:p w14:paraId="42D85942" w14:textId="7AA40430" w:rsidR="00BE136D" w:rsidRDefault="00BE136D" w:rsidP="00365262">
      <w:pPr>
        <w:pStyle w:val="VersoIngls01Sangria"/>
      </w:pPr>
      <w:r>
        <w:t>Las formaciones se ve</w:t>
      </w:r>
      <w:r w:rsidR="001372A1">
        <w:t>rá</w:t>
      </w:r>
      <w:r>
        <w:t>n como ajenas,</w:t>
      </w:r>
    </w:p>
    <w:p w14:paraId="00E50B07" w14:textId="27C52359" w:rsidR="00BE136D" w:rsidRDefault="00BE136D" w:rsidP="00365262">
      <w:pPr>
        <w:pStyle w:val="VersoIngls01Sangria"/>
      </w:pPr>
      <w:r>
        <w:t xml:space="preserve">Como </w:t>
      </w:r>
      <w:r w:rsidR="002D3B7E">
        <w:t>malignas</w:t>
      </w:r>
      <w:r>
        <w:t xml:space="preserve">, </w:t>
      </w:r>
      <w:r w:rsidR="001372A1">
        <w:t xml:space="preserve">como </w:t>
      </w:r>
      <w:r>
        <w:t>no</w:t>
      </w:r>
      <w:r w:rsidR="00C90A2C">
        <w:t>-</w:t>
      </w:r>
      <w:r w:rsidR="001372A1">
        <w:t>alma</w:t>
      </w:r>
      <w:r>
        <w:t>, por lo que esta gran lujuria</w:t>
      </w:r>
    </w:p>
    <w:p w14:paraId="6DE4BB0C" w14:textId="6F902229" w:rsidR="00BE136D" w:rsidRDefault="00C90A2C" w:rsidP="00365262">
      <w:pPr>
        <w:pStyle w:val="VersoIngls01Sangria"/>
      </w:pPr>
      <w:r>
        <w:t>Podrá</w:t>
      </w:r>
      <w:r w:rsidR="00BE136D">
        <w:t xml:space="preserve"> ser extinguid</w:t>
      </w:r>
      <w:r>
        <w:t>a</w:t>
      </w:r>
      <w:r w:rsidR="00BE136D">
        <w:t xml:space="preserve">, y no </w:t>
      </w:r>
    </w:p>
    <w:p w14:paraId="7AE89B57" w14:textId="60A3504D" w:rsidR="00BE136D" w:rsidRDefault="00E2405F" w:rsidP="00365262">
      <w:pPr>
        <w:pStyle w:val="VersoIngls01Sangria"/>
        <w:spacing w:after="100"/>
        <w:ind w:left="1418"/>
      </w:pPr>
      <w:r>
        <w:t>Adopt</w:t>
      </w:r>
      <w:r w:rsidR="00132120">
        <w:t>ará</w:t>
      </w:r>
      <w:r w:rsidR="00BE136D">
        <w:t xml:space="preserve"> </w:t>
      </w:r>
      <w:r w:rsidR="00132120">
        <w:t xml:space="preserve">otra vez ni </w:t>
      </w:r>
      <w:r w:rsidR="00F40931">
        <w:t xml:space="preserve">más </w:t>
      </w:r>
      <w:r>
        <w:t xml:space="preserve">así a este </w:t>
      </w:r>
      <w:r w:rsidR="00BE136D">
        <w:t>fuego” (S I 188).</w:t>
      </w:r>
    </w:p>
    <w:p w14:paraId="489C5835" w14:textId="09CB36B6" w:rsidR="00BE136D" w:rsidRDefault="00BE136D" w:rsidP="00365262">
      <w:pPr>
        <w:pStyle w:val="NormalConSangria"/>
      </w:pPr>
      <w:r>
        <w:t xml:space="preserve">El </w:t>
      </w:r>
      <w:r w:rsidR="00ED44B5">
        <w:t xml:space="preserve">Venerable </w:t>
      </w:r>
      <w:r>
        <w:t xml:space="preserve">expulsó su lujuria y luego siguió con su ronda de </w:t>
      </w:r>
      <w:r w:rsidR="00ED44B5">
        <w:t>ofrendas</w:t>
      </w:r>
      <w:r>
        <w:t>.</w:t>
      </w:r>
    </w:p>
    <w:p w14:paraId="30F0CFFB" w14:textId="311FA46C" w:rsidR="00BE136D" w:rsidRDefault="00BE136D" w:rsidP="00BE136D">
      <w:r>
        <w:t xml:space="preserve">104. </w:t>
      </w:r>
      <w:r w:rsidR="00ED44B5">
        <w:tab/>
      </w:r>
      <w:r>
        <w:t xml:space="preserve">Además, un </w:t>
      </w:r>
      <w:proofErr w:type="spellStart"/>
      <w:r w:rsidR="00057BF4" w:rsidRPr="00057BF4">
        <w:rPr>
          <w:i/>
          <w:iCs/>
        </w:rPr>
        <w:t>bhikkhu</w:t>
      </w:r>
      <w:proofErr w:type="spellEnd"/>
      <w:r>
        <w:t xml:space="preserve"> que </w:t>
      </w:r>
      <w:r w:rsidR="00ED44B5">
        <w:t>desarrolle</w:t>
      </w:r>
      <w:r>
        <w:t xml:space="preserve"> la restricción de las facultades debe</w:t>
      </w:r>
      <w:r w:rsidR="00ED44B5">
        <w:t>rá</w:t>
      </w:r>
      <w:r>
        <w:t xml:space="preserve"> ser como el </w:t>
      </w:r>
      <w:r w:rsidR="003C4551">
        <w:t xml:space="preserve">Venerable </w:t>
      </w:r>
      <w:proofErr w:type="spellStart"/>
      <w:r>
        <w:t>Cittagutta</w:t>
      </w:r>
      <w:proofErr w:type="spellEnd"/>
      <w:r>
        <w:t xml:space="preserve"> residente en la Gran Cueva </w:t>
      </w:r>
      <w:proofErr w:type="spellStart"/>
      <w:r>
        <w:t>Kuraṇḍaka</w:t>
      </w:r>
      <w:proofErr w:type="spellEnd"/>
      <w:r>
        <w:t xml:space="preserve">, y como el </w:t>
      </w:r>
      <w:r w:rsidR="003C4551">
        <w:t xml:space="preserve">Venerable </w:t>
      </w:r>
      <w:r>
        <w:t xml:space="preserve">Mahā </w:t>
      </w:r>
      <w:proofErr w:type="spellStart"/>
      <w:r>
        <w:t>Mitta</w:t>
      </w:r>
      <w:proofErr w:type="spellEnd"/>
      <w:r>
        <w:t xml:space="preserve"> residente </w:t>
      </w:r>
      <w:r w:rsidR="007B6981">
        <w:t>d</w:t>
      </w:r>
      <w:r>
        <w:t xml:space="preserve">el Gran Monasterio </w:t>
      </w:r>
      <w:proofErr w:type="spellStart"/>
      <w:r>
        <w:t>Coraka</w:t>
      </w:r>
      <w:proofErr w:type="spellEnd"/>
      <w:r>
        <w:t>.</w:t>
      </w:r>
    </w:p>
    <w:p w14:paraId="2167AB26" w14:textId="32F85D8C" w:rsidR="00BE136D" w:rsidRDefault="00BE136D" w:rsidP="00BE136D">
      <w:r>
        <w:t xml:space="preserve">105. </w:t>
      </w:r>
      <w:r w:rsidR="00ED44B5">
        <w:tab/>
      </w:r>
      <w:r>
        <w:t xml:space="preserve">En la Gran Cueva </w:t>
      </w:r>
      <w:proofErr w:type="spellStart"/>
      <w:r>
        <w:t>Kuraṇḍaka</w:t>
      </w:r>
      <w:proofErr w:type="spellEnd"/>
      <w:r>
        <w:t xml:space="preserve">, al parecer, había una hermosa pintura de la Renunciación de los Siete </w:t>
      </w:r>
      <w:r w:rsidR="00057BF4" w:rsidRPr="00057BF4">
        <w:rPr>
          <w:i/>
        </w:rPr>
        <w:t>Buddha</w:t>
      </w:r>
      <w:r>
        <w:t xml:space="preserve">s. Varios </w:t>
      </w:r>
      <w:proofErr w:type="spellStart"/>
      <w:r w:rsidR="00057BF4" w:rsidRPr="00057BF4">
        <w:rPr>
          <w:i/>
          <w:iCs/>
        </w:rPr>
        <w:t>bhikkhu</w:t>
      </w:r>
      <w:r w:rsidRPr="003C4551">
        <w:rPr>
          <w:i/>
          <w:iCs/>
        </w:rPr>
        <w:t>s</w:t>
      </w:r>
      <w:proofErr w:type="spellEnd"/>
      <w:r>
        <w:t xml:space="preserve"> que deambulaban entre las viviendas vieron la pintura y dijeron: “¡Qué hermosa pintura, </w:t>
      </w:r>
      <w:r w:rsidR="00ED44B5">
        <w:t>Venerable Señor</w:t>
      </w:r>
      <w:r>
        <w:t xml:space="preserve">!”. El </w:t>
      </w:r>
      <w:r w:rsidR="00ED44B5">
        <w:t xml:space="preserve">Venerable </w:t>
      </w:r>
      <w:r>
        <w:t xml:space="preserve">dijo: “Durante más de sesenta años, amigos, he vivido en la cueva y no sabía </w:t>
      </w:r>
      <w:r w:rsidR="007B6981">
        <w:t>que hubiese</w:t>
      </w:r>
      <w:r>
        <w:t xml:space="preserve"> </w:t>
      </w:r>
      <w:r w:rsidR="00250425">
        <w:t>nin</w:t>
      </w:r>
      <w:r>
        <w:t xml:space="preserve">guna pintura allí. Ahora, hoy, lo sé </w:t>
      </w:r>
      <w:r w:rsidR="0077522D">
        <w:t xml:space="preserve">debido a </w:t>
      </w:r>
      <w:r>
        <w:t xml:space="preserve">los que </w:t>
      </w:r>
      <w:r w:rsidR="00250425">
        <w:t>usan sus</w:t>
      </w:r>
      <w:r>
        <w:t xml:space="preserve"> ojos”. El </w:t>
      </w:r>
      <w:r w:rsidR="0077522D">
        <w:t>Venerable</w:t>
      </w:r>
      <w:r>
        <w:t xml:space="preserve">, al parecer, aunque había vivido allí durante tanto tiempo, nunca levantó los ojos y miró hacia </w:t>
      </w:r>
      <w:r w:rsidR="0077522D">
        <w:t xml:space="preserve">ningún lado en </w:t>
      </w:r>
      <w:r>
        <w:t xml:space="preserve">la cueva. Y en la puerta de su cueva había un gran palo fierro. Y el </w:t>
      </w:r>
      <w:r w:rsidR="0077522D">
        <w:t xml:space="preserve">Venerable </w:t>
      </w:r>
      <w:r w:rsidR="00F33523">
        <w:t xml:space="preserve">tampoco </w:t>
      </w:r>
      <w:r>
        <w:t>había mirado eso</w:t>
      </w:r>
      <w:r w:rsidR="00F33523" w:rsidRPr="00F33523">
        <w:t xml:space="preserve"> </w:t>
      </w:r>
      <w:r w:rsidR="00F33523">
        <w:t>nunca</w:t>
      </w:r>
      <w:r>
        <w:t xml:space="preserve">. Sabía que </w:t>
      </w:r>
      <w:r w:rsidR="00F33523">
        <w:t>había florecido</w:t>
      </w:r>
      <w:r>
        <w:t xml:space="preserve"> cuando veía sus pétalos en el suelo cada año.</w:t>
      </w:r>
    </w:p>
    <w:p w14:paraId="211D97EA" w14:textId="14F3075E" w:rsidR="00BE136D" w:rsidRDefault="00BE136D" w:rsidP="00BE136D">
      <w:r>
        <w:t xml:space="preserve">106. </w:t>
      </w:r>
      <w:r w:rsidR="00ED44B5">
        <w:tab/>
      </w:r>
      <w:r>
        <w:t xml:space="preserve">El </w:t>
      </w:r>
      <w:r w:rsidR="0077522D">
        <w:t xml:space="preserve">Rey </w:t>
      </w:r>
      <w:r>
        <w:t xml:space="preserve">se enteró de las grandes virtudes del </w:t>
      </w:r>
      <w:r w:rsidR="0077522D">
        <w:t xml:space="preserve">Venerable </w:t>
      </w:r>
      <w:r>
        <w:t xml:space="preserve">y mandó llamarlo tres veces, deseando rendirle </w:t>
      </w:r>
      <w:r w:rsidR="0077522D">
        <w:t>respetos</w:t>
      </w:r>
      <w:r>
        <w:t xml:space="preserve">. Como el </w:t>
      </w:r>
      <w:r w:rsidR="0077522D">
        <w:t xml:space="preserve">Venerable </w:t>
      </w:r>
      <w:r>
        <w:t xml:space="preserve">no iba, hizo atar y sellar los pechos de todas las mujeres con niños de la ciudad, [diciendo] “Mientras no venga el </w:t>
      </w:r>
      <w:r w:rsidR="0077522D">
        <w:t>Venerable</w:t>
      </w:r>
      <w:r>
        <w:t xml:space="preserve">, que los niños se vayan </w:t>
      </w:r>
      <w:r w:rsidR="00F16D04">
        <w:t xml:space="preserve">a dormir </w:t>
      </w:r>
      <w:r>
        <w:t xml:space="preserve">sin leche”, [39] </w:t>
      </w:r>
      <w:r w:rsidR="00F16D04">
        <w:t>lleno</w:t>
      </w:r>
      <w:r>
        <w:t xml:space="preserve"> de compasión por los niños, el </w:t>
      </w:r>
      <w:r w:rsidR="00F16D04">
        <w:t xml:space="preserve">Venerable </w:t>
      </w:r>
      <w:r>
        <w:t xml:space="preserve">fue a </w:t>
      </w:r>
      <w:proofErr w:type="spellStart"/>
      <w:r>
        <w:t>Mahāgāma</w:t>
      </w:r>
      <w:proofErr w:type="spellEnd"/>
      <w:r>
        <w:t xml:space="preserve">. Cuando el </w:t>
      </w:r>
      <w:r w:rsidR="00F16D04">
        <w:t xml:space="preserve">Rey </w:t>
      </w:r>
      <w:r>
        <w:t xml:space="preserve">escuchó [que había </w:t>
      </w:r>
      <w:r w:rsidR="00F16D04">
        <w:t>llegado</w:t>
      </w:r>
      <w:r>
        <w:t>, dijo] “V</w:t>
      </w:r>
      <w:r w:rsidR="00F16D04">
        <w:t>aya</w:t>
      </w:r>
      <w:r w:rsidR="00F33523">
        <w:t>n</w:t>
      </w:r>
      <w:r>
        <w:t xml:space="preserve"> y tra</w:t>
      </w:r>
      <w:r w:rsidR="00F16D04">
        <w:t>iga</w:t>
      </w:r>
      <w:r w:rsidR="00F33523">
        <w:t>n</w:t>
      </w:r>
      <w:r>
        <w:t xml:space="preserve"> al </w:t>
      </w:r>
      <w:r w:rsidR="00F16D04">
        <w:t>Venerable</w:t>
      </w:r>
      <w:r>
        <w:t xml:space="preserve">. Tomaré los preceptos”. Después de haberlo hecho subir al palacio interior, le rindió </w:t>
      </w:r>
      <w:r w:rsidR="00F16D04">
        <w:t xml:space="preserve">respetos </w:t>
      </w:r>
      <w:r>
        <w:t xml:space="preserve">y le proporcionó una comida. Luego, diciendo: “Hoy, </w:t>
      </w:r>
      <w:r w:rsidR="00F16D04">
        <w:t xml:space="preserve">Venerable </w:t>
      </w:r>
      <w:r>
        <w:t xml:space="preserve">señor, no hay oportunidad. Tomaré los preceptos mañana”, </w:t>
      </w:r>
      <w:r w:rsidR="00FC33F7">
        <w:t xml:space="preserve">y </w:t>
      </w:r>
      <w:r>
        <w:t xml:space="preserve">tomó el cuenco del </w:t>
      </w:r>
      <w:r w:rsidR="00B51D45">
        <w:t>Venerable</w:t>
      </w:r>
      <w:r>
        <w:t xml:space="preserve">. Después de seguirlo un poco, rindió </w:t>
      </w:r>
      <w:r w:rsidR="00B51D45">
        <w:t xml:space="preserve">respetos </w:t>
      </w:r>
      <w:r>
        <w:t xml:space="preserve">con la </w:t>
      </w:r>
      <w:r w:rsidR="00B51D45">
        <w:t xml:space="preserve">Reina </w:t>
      </w:r>
      <w:r>
        <w:t>y se dio la vuelta. Mientras pasa</w:t>
      </w:r>
      <w:r w:rsidR="00B51D45">
        <w:t>ro</w:t>
      </w:r>
      <w:r>
        <w:t xml:space="preserve">n así siete días, ya fuera el </w:t>
      </w:r>
      <w:r w:rsidR="00CB16C4">
        <w:t xml:space="preserve">Rey </w:t>
      </w:r>
      <w:r>
        <w:t xml:space="preserve">quien rindiera </w:t>
      </w:r>
      <w:r w:rsidR="00CB16C4">
        <w:t xml:space="preserve">respetos </w:t>
      </w:r>
      <w:r>
        <w:t xml:space="preserve">o si fuera la </w:t>
      </w:r>
      <w:r w:rsidR="00FC33F7">
        <w:t>Reina</w:t>
      </w:r>
      <w:r>
        <w:t xml:space="preserve">, el </w:t>
      </w:r>
      <w:r w:rsidR="00CB16C4">
        <w:t>Venerable decía</w:t>
      </w:r>
      <w:r>
        <w:t xml:space="preserve">: "Que el </w:t>
      </w:r>
      <w:r w:rsidR="00CB16C4">
        <w:t xml:space="preserve">Rey </w:t>
      </w:r>
      <w:r>
        <w:t>sea feliz".</w:t>
      </w:r>
    </w:p>
    <w:p w14:paraId="0759ADF3" w14:textId="6D1D86E8" w:rsidR="00BE136D" w:rsidRDefault="00BE136D" w:rsidP="00BE136D">
      <w:r>
        <w:t xml:space="preserve">107. </w:t>
      </w:r>
      <w:r w:rsidR="00ED44B5">
        <w:tab/>
      </w:r>
      <w:r>
        <w:t xml:space="preserve">Los </w:t>
      </w:r>
      <w:proofErr w:type="spellStart"/>
      <w:r w:rsidR="00057BF4" w:rsidRPr="00057BF4">
        <w:rPr>
          <w:i/>
          <w:iCs/>
          <w:color w:val="000000" w:themeColor="text1"/>
        </w:rPr>
        <w:t>bhikkhu</w:t>
      </w:r>
      <w:r w:rsidR="00937830" w:rsidRPr="00937830">
        <w:rPr>
          <w:i/>
          <w:iCs/>
          <w:color w:val="000000" w:themeColor="text1"/>
        </w:rPr>
        <w:t>s</w:t>
      </w:r>
      <w:proofErr w:type="spellEnd"/>
      <w:r w:rsidR="00937830" w:rsidRPr="00937830">
        <w:rPr>
          <w:color w:val="000000" w:themeColor="text1"/>
        </w:rPr>
        <w:t xml:space="preserve"> </w:t>
      </w:r>
      <w:r>
        <w:t xml:space="preserve">preguntaron: "¿Por qué, </w:t>
      </w:r>
      <w:r w:rsidR="00CB16C4">
        <w:t xml:space="preserve">Venerable </w:t>
      </w:r>
      <w:r>
        <w:t xml:space="preserve">señor, si es el </w:t>
      </w:r>
      <w:r w:rsidR="00CB16C4">
        <w:t xml:space="preserve">Rey </w:t>
      </w:r>
      <w:r>
        <w:t xml:space="preserve">quien rinde </w:t>
      </w:r>
      <w:r w:rsidR="00CB16C4">
        <w:t xml:space="preserve">respetos </w:t>
      </w:r>
      <w:r>
        <w:t xml:space="preserve">o la </w:t>
      </w:r>
      <w:r w:rsidR="00FC33F7">
        <w:t>Reina</w:t>
      </w:r>
      <w:r>
        <w:t>, usted dice</w:t>
      </w:r>
      <w:r w:rsidR="00CB16C4">
        <w:t xml:space="preserve"> siempre</w:t>
      </w:r>
      <w:r>
        <w:t xml:space="preserve"> 'Que el </w:t>
      </w:r>
      <w:r w:rsidR="00FC33F7">
        <w:t xml:space="preserve">Rey </w:t>
      </w:r>
      <w:r>
        <w:t xml:space="preserve">sea feliz'?" El </w:t>
      </w:r>
      <w:r w:rsidR="00CB16C4">
        <w:t xml:space="preserve">Venerable </w:t>
      </w:r>
      <w:r>
        <w:t xml:space="preserve">respondió: "Amigos, no me doy cuenta si es el </w:t>
      </w:r>
      <w:r w:rsidR="00CB16C4">
        <w:t xml:space="preserve">Rey </w:t>
      </w:r>
      <w:r>
        <w:t xml:space="preserve">o la </w:t>
      </w:r>
      <w:r w:rsidR="00FC33F7">
        <w:t>Reina</w:t>
      </w:r>
      <w:r>
        <w:t xml:space="preserve">". Al cabo de siete días [cuando se descubrió que] el </w:t>
      </w:r>
      <w:r w:rsidR="00CB16C4">
        <w:t xml:space="preserve">Venerable </w:t>
      </w:r>
      <w:r>
        <w:t xml:space="preserve">no estaba feliz viviendo allí, el </w:t>
      </w:r>
      <w:r w:rsidR="00CB16C4">
        <w:t xml:space="preserve">Rey </w:t>
      </w:r>
      <w:r>
        <w:t>lo despidió. Regresó a la Gran Cueva en</w:t>
      </w:r>
    </w:p>
    <w:p w14:paraId="1672F0C3" w14:textId="7FD40654" w:rsidR="00365262" w:rsidRDefault="00365262">
      <w:pPr>
        <w:tabs>
          <w:tab w:val="clear" w:pos="425"/>
        </w:tabs>
        <w:spacing w:after="160"/>
      </w:pPr>
      <w:r>
        <w:br w:type="page"/>
      </w:r>
    </w:p>
    <w:p w14:paraId="73517E16" w14:textId="5E814222" w:rsidR="00853A5F" w:rsidRDefault="00BE136D" w:rsidP="00BE136D">
      <w:proofErr w:type="spellStart"/>
      <w:r>
        <w:lastRenderedPageBreak/>
        <w:t>Kuraṇḍaka</w:t>
      </w:r>
      <w:proofErr w:type="spellEnd"/>
      <w:r>
        <w:t xml:space="preserve">. Cuando se hizo de noche salió a su paseo. Una deidad que moraba en el </w:t>
      </w:r>
      <w:r w:rsidR="000551C7">
        <w:t xml:space="preserve">árbol </w:t>
      </w:r>
      <w:r>
        <w:t xml:space="preserve">palo fierro estaba </w:t>
      </w:r>
      <w:r w:rsidR="000551C7">
        <w:t>suspendida</w:t>
      </w:r>
      <w:r>
        <w:t xml:space="preserve"> con una antorcha de palos. Entonces su </w:t>
      </w:r>
      <w:r w:rsidR="00CB16C4">
        <w:t>objeto</w:t>
      </w:r>
      <w:r>
        <w:t xml:space="preserve"> de meditación se volvió bastante claro y </w:t>
      </w:r>
      <w:r w:rsidR="00853A5F">
        <w:t>diáfano</w:t>
      </w:r>
      <w:r>
        <w:t xml:space="preserve">. El </w:t>
      </w:r>
      <w:r w:rsidR="00853A5F">
        <w:t>Venerable</w:t>
      </w:r>
      <w:r>
        <w:t xml:space="preserve">, [pensando] “¡Qué claro está mi </w:t>
      </w:r>
      <w:r w:rsidR="00853A5F">
        <w:t xml:space="preserve">objeto </w:t>
      </w:r>
      <w:r>
        <w:t xml:space="preserve">de meditación hoy!” se alegró, e inmediatamente después de la </w:t>
      </w:r>
      <w:r w:rsidR="00853A5F">
        <w:t>vigilia inter</w:t>
      </w:r>
      <w:r>
        <w:t xml:space="preserve">media </w:t>
      </w:r>
      <w:r w:rsidR="00853A5F">
        <w:t>de la noche consumó l</w:t>
      </w:r>
      <w:r>
        <w:t xml:space="preserve">a </w:t>
      </w:r>
      <w:r w:rsidR="00057BF4" w:rsidRPr="00057BF4">
        <w:rPr>
          <w:i/>
          <w:iCs/>
        </w:rPr>
        <w:t>Arahant</w:t>
      </w:r>
      <w:r w:rsidR="00937830" w:rsidRPr="00937830">
        <w:rPr>
          <w:i/>
          <w:iCs/>
        </w:rPr>
        <w:t>ía</w:t>
      </w:r>
      <w:r>
        <w:t>, haciendo resonar toda la roca.</w:t>
      </w:r>
      <w:r w:rsidR="00906B05" w:rsidRPr="00906B05">
        <w:rPr>
          <w:vertAlign w:val="superscript"/>
        </w:rPr>
        <w:t>30</w:t>
      </w:r>
      <w:r>
        <w:t xml:space="preserve"> </w:t>
      </w:r>
    </w:p>
    <w:p w14:paraId="73066B17" w14:textId="13063058" w:rsidR="00127CF7" w:rsidRDefault="00BE136D" w:rsidP="00BE136D">
      <w:r>
        <w:t xml:space="preserve">108. </w:t>
      </w:r>
      <w:r w:rsidR="00853A5F">
        <w:tab/>
      </w:r>
      <w:r w:rsidR="00E65894">
        <w:t>Por ello</w:t>
      </w:r>
      <w:r>
        <w:t>, cuando otro miembro del clan bus</w:t>
      </w:r>
      <w:r w:rsidR="00E65894">
        <w:t>que</w:t>
      </w:r>
      <w:r>
        <w:t xml:space="preserve"> su propio bien:</w:t>
      </w:r>
    </w:p>
    <w:p w14:paraId="6FF5996F" w14:textId="77777777" w:rsidR="00127CF7" w:rsidRDefault="00127CF7" w:rsidP="00127CF7">
      <w:pPr>
        <w:pStyle w:val="VersoIngls01Sangria"/>
      </w:pPr>
      <w:r>
        <w:t>Que no tenga ojos hambrientos,</w:t>
      </w:r>
    </w:p>
    <w:p w14:paraId="3C0C2F96" w14:textId="15B9F9FD" w:rsidR="00127CF7" w:rsidRDefault="00127CF7" w:rsidP="00127CF7">
      <w:pPr>
        <w:pStyle w:val="VersoIngls01Sangria"/>
      </w:pPr>
      <w:r>
        <w:t xml:space="preserve">como un mono en </w:t>
      </w:r>
      <w:r w:rsidR="003A6EC0">
        <w:t>el bosque</w:t>
      </w:r>
      <w:r>
        <w:t>,</w:t>
      </w:r>
    </w:p>
    <w:p w14:paraId="3A8A5580" w14:textId="77777777" w:rsidR="00127CF7" w:rsidRDefault="00127CF7" w:rsidP="00127CF7">
      <w:pPr>
        <w:pStyle w:val="VersoIngls01Sangria"/>
      </w:pPr>
      <w:r>
        <w:t>Como un ciervo salvaje en el bosque,</w:t>
      </w:r>
    </w:p>
    <w:p w14:paraId="67FED854" w14:textId="77777777" w:rsidR="00127CF7" w:rsidRDefault="00127CF7" w:rsidP="00127CF7">
      <w:pPr>
        <w:pStyle w:val="VersoIngls01Sangria"/>
      </w:pPr>
      <w:r>
        <w:t>Como un niño pequeño y nervioso.</w:t>
      </w:r>
    </w:p>
    <w:p w14:paraId="36BDFDA3" w14:textId="4B6EDCEA" w:rsidR="00127CF7" w:rsidRDefault="00127CF7" w:rsidP="00127CF7">
      <w:pPr>
        <w:pStyle w:val="VersoIngls01Sangria"/>
      </w:pPr>
      <w:r>
        <w:t>Qu</w:t>
      </w:r>
      <w:r w:rsidR="000551C7">
        <w:t>é él</w:t>
      </w:r>
      <w:r>
        <w:t xml:space="preserve"> </w:t>
      </w:r>
      <w:r w:rsidR="000A6D11">
        <w:t xml:space="preserve">ande </w:t>
      </w:r>
      <w:r>
        <w:t>con los ojos bajos</w:t>
      </w:r>
    </w:p>
    <w:p w14:paraId="31B81801" w14:textId="77777777" w:rsidR="00127CF7" w:rsidRDefault="00127CF7" w:rsidP="00127CF7">
      <w:pPr>
        <w:pStyle w:val="VersoIngls01Sangria"/>
      </w:pPr>
      <w:r>
        <w:t>viendo delante la longitud de un yugo de arado,</w:t>
      </w:r>
    </w:p>
    <w:p w14:paraId="7E7DA445" w14:textId="77777777" w:rsidR="00127CF7" w:rsidRDefault="00127CF7" w:rsidP="00127CF7">
      <w:pPr>
        <w:pStyle w:val="VersoIngls01Sangria"/>
      </w:pPr>
      <w:r>
        <w:t>Que no caiga en el poder</w:t>
      </w:r>
    </w:p>
    <w:p w14:paraId="3513D6F7" w14:textId="77777777" w:rsidR="00127CF7" w:rsidRDefault="00127CF7" w:rsidP="00127CF7">
      <w:pPr>
        <w:pStyle w:val="VersoIngls01Sangria"/>
        <w:spacing w:after="100"/>
        <w:ind w:left="1418"/>
      </w:pPr>
      <w:r>
        <w:t>De la mente del mono del bosque.</w:t>
      </w:r>
    </w:p>
    <w:p w14:paraId="552A8AC9" w14:textId="28CBB0B7" w:rsidR="00127CF7" w:rsidRDefault="00127CF7" w:rsidP="00127CF7">
      <w:r>
        <w:t xml:space="preserve">109. </w:t>
      </w:r>
      <w:r w:rsidR="000A6D11">
        <w:tab/>
      </w:r>
      <w:r>
        <w:t xml:space="preserve">La madre del </w:t>
      </w:r>
      <w:r w:rsidR="00937830">
        <w:t xml:space="preserve">Venerable </w:t>
      </w:r>
      <w:r>
        <w:t xml:space="preserve">Mahā </w:t>
      </w:r>
      <w:proofErr w:type="spellStart"/>
      <w:r>
        <w:t>Mitta</w:t>
      </w:r>
      <w:proofErr w:type="spellEnd"/>
      <w:r>
        <w:t xml:space="preserve"> </w:t>
      </w:r>
      <w:r w:rsidR="001E3F4D">
        <w:t>se encontraba</w:t>
      </w:r>
      <w:r>
        <w:t xml:space="preserve"> enferma con un tumor </w:t>
      </w:r>
      <w:r w:rsidR="006F4AC0">
        <w:t>infectado</w:t>
      </w:r>
      <w:r>
        <w:t xml:space="preserve">. Ella le dijo a su hija, quien </w:t>
      </w:r>
      <w:r w:rsidR="006F4AC0">
        <w:t xml:space="preserve">también </w:t>
      </w:r>
      <w:r>
        <w:t xml:space="preserve">como </w:t>
      </w:r>
      <w:proofErr w:type="spellStart"/>
      <w:r w:rsidR="00057BF4" w:rsidRPr="00057BF4">
        <w:rPr>
          <w:i/>
          <w:iCs/>
        </w:rPr>
        <w:t>bhikkhunī</w:t>
      </w:r>
      <w:proofErr w:type="spellEnd"/>
      <w:r>
        <w:t xml:space="preserve"> </w:t>
      </w:r>
      <w:r w:rsidR="00AD375E">
        <w:t xml:space="preserve">se </w:t>
      </w:r>
      <w:r>
        <w:t xml:space="preserve">había </w:t>
      </w:r>
      <w:r w:rsidR="00AD375E">
        <w:t>ordenado</w:t>
      </w:r>
      <w:r>
        <w:t>: “Señora, v</w:t>
      </w:r>
      <w:r w:rsidR="006F4AC0">
        <w:t>aya</w:t>
      </w:r>
      <w:r>
        <w:t xml:space="preserve"> con </w:t>
      </w:r>
      <w:r w:rsidR="006F4AC0">
        <w:t>s</w:t>
      </w:r>
      <w:r>
        <w:t>u hermano. Cuént</w:t>
      </w:r>
      <w:r w:rsidR="006F4AC0">
        <w:t>e</w:t>
      </w:r>
      <w:r>
        <w:t>le mi problema y trá</w:t>
      </w:r>
      <w:r w:rsidR="006F4AC0">
        <w:t>igame</w:t>
      </w:r>
      <w:r>
        <w:t xml:space="preserve"> alguna medicina. Ella fue y </w:t>
      </w:r>
      <w:r w:rsidR="0084152F">
        <w:t xml:space="preserve">se </w:t>
      </w:r>
      <w:r>
        <w:t>l</w:t>
      </w:r>
      <w:r w:rsidR="0084152F">
        <w:t>o</w:t>
      </w:r>
      <w:r>
        <w:t xml:space="preserve"> </w:t>
      </w:r>
      <w:r w:rsidR="0084152F">
        <w:t>transmitió</w:t>
      </w:r>
      <w:r>
        <w:t xml:space="preserve">. El </w:t>
      </w:r>
      <w:r w:rsidR="0084152F">
        <w:t>Venerable</w:t>
      </w:r>
      <w:r>
        <w:t xml:space="preserve"> dijo: “No sé cómo recolectar raíces medicinales y cosas por el estilo e inventar una medicina a partir de ellas. </w:t>
      </w:r>
      <w:r w:rsidR="0084152F">
        <w:t xml:space="preserve">No obstante, </w:t>
      </w:r>
      <w:r>
        <w:t xml:space="preserve">os diré </w:t>
      </w:r>
      <w:r w:rsidR="00F07473">
        <w:t>más bien otr</w:t>
      </w:r>
      <w:r>
        <w:t xml:space="preserve">a medicina: desde que </w:t>
      </w:r>
      <w:r w:rsidR="00F07473">
        <w:t xml:space="preserve">renuncié como laico </w:t>
      </w:r>
      <w:r>
        <w:t xml:space="preserve">no he roto </w:t>
      </w:r>
      <w:r w:rsidR="007370E4">
        <w:t>la</w:t>
      </w:r>
      <w:r>
        <w:t xml:space="preserve"> virtud de </w:t>
      </w:r>
      <w:r w:rsidR="007370E4">
        <w:t xml:space="preserve">la </w:t>
      </w:r>
      <w:r>
        <w:t xml:space="preserve">restricción de </w:t>
      </w:r>
      <w:r w:rsidR="007370E4">
        <w:t xml:space="preserve">mis </w:t>
      </w:r>
      <w:r>
        <w:t>facultades de los sentidos al mirar la forma corporal del sexo opuesto con una mente lujuriosa. Por esta [40] declaración de verdad que mi madre se mejore. V</w:t>
      </w:r>
      <w:r w:rsidR="007370E4">
        <w:t>a</w:t>
      </w:r>
      <w:r w:rsidR="008F25E4">
        <w:t>ya</w:t>
      </w:r>
      <w:r>
        <w:t xml:space="preserve"> y d</w:t>
      </w:r>
      <w:r w:rsidR="007370E4">
        <w:t>íga</w:t>
      </w:r>
      <w:r>
        <w:t>le a</w:t>
      </w:r>
      <w:r w:rsidR="00E61C61">
        <w:t xml:space="preserve"> </w:t>
      </w:r>
      <w:r>
        <w:t>l</w:t>
      </w:r>
      <w:r w:rsidR="00E61C61">
        <w:t>a</w:t>
      </w:r>
      <w:r>
        <w:t xml:space="preserve"> devot</w:t>
      </w:r>
      <w:r w:rsidR="00E61C61">
        <w:t>a</w:t>
      </w:r>
      <w:r>
        <w:t xml:space="preserve"> laic</w:t>
      </w:r>
      <w:r w:rsidR="00E61C61">
        <w:t>a</w:t>
      </w:r>
      <w:r>
        <w:t xml:space="preserve"> y frot</w:t>
      </w:r>
      <w:r w:rsidR="00E61C61">
        <w:t>e</w:t>
      </w:r>
      <w:r>
        <w:t xml:space="preserve"> su cuerpo”. Ella fue y le contó lo que había sucedido y luego hizo lo que le había indicado. En ese mismo momento el tumor de</w:t>
      </w:r>
      <w:r w:rsidR="00E61C61">
        <w:t xml:space="preserve"> </w:t>
      </w:r>
      <w:r>
        <w:t>l</w:t>
      </w:r>
      <w:r w:rsidR="00E61C61">
        <w:t>a</w:t>
      </w:r>
      <w:r>
        <w:t xml:space="preserve"> devot</w:t>
      </w:r>
      <w:r w:rsidR="00E61C61">
        <w:t xml:space="preserve">a </w:t>
      </w:r>
      <w:r>
        <w:t>laic</w:t>
      </w:r>
      <w:r w:rsidR="00E61C61">
        <w:t>a</w:t>
      </w:r>
      <w:r>
        <w:t xml:space="preserve"> se desvaneció, encogiéndose como un bulto de espuma. Se levantó y lanzó un grito de alegría: “Si el Plenamente Iluminado todavía estuviera vivo, ¿por qué no habría de acariciar con su mano</w:t>
      </w:r>
      <w:r w:rsidR="008F25E4">
        <w:t>,</w:t>
      </w:r>
      <w:r>
        <w:t xml:space="preserve"> adornada </w:t>
      </w:r>
      <w:r w:rsidR="00E04F39">
        <w:t>de</w:t>
      </w:r>
      <w:r>
        <w:t xml:space="preserve"> red</w:t>
      </w:r>
      <w:r w:rsidR="00E04F39">
        <w:t>es</w:t>
      </w:r>
      <w:r w:rsidR="008F25E4">
        <w:t>,</w:t>
      </w:r>
      <w:r>
        <w:t xml:space="preserve"> la cabeza de un </w:t>
      </w:r>
      <w:proofErr w:type="spellStart"/>
      <w:r w:rsidR="00057BF4" w:rsidRPr="00057BF4">
        <w:rPr>
          <w:i/>
          <w:iCs/>
        </w:rPr>
        <w:t>bhikkhu</w:t>
      </w:r>
      <w:proofErr w:type="spellEnd"/>
      <w:r>
        <w:t xml:space="preserve"> como </w:t>
      </w:r>
      <w:r w:rsidR="00E04F39">
        <w:t xml:space="preserve">la </w:t>
      </w:r>
      <w:r w:rsidR="00B17161">
        <w:t xml:space="preserve">de </w:t>
      </w:r>
      <w:r>
        <w:t xml:space="preserve">mi hijo?” </w:t>
      </w:r>
      <w:r w:rsidR="00BB73BA">
        <w:t>Así</w:t>
      </w:r>
      <w:r>
        <w:t xml:space="preserve"> que:</w:t>
      </w:r>
    </w:p>
    <w:p w14:paraId="5C1B1EAE" w14:textId="29472C81" w:rsidR="00127CF7" w:rsidRDefault="00127CF7" w:rsidP="00127CF7">
      <w:pPr>
        <w:pStyle w:val="VersoIngls01Sangria"/>
        <w:ind w:hanging="1416"/>
      </w:pPr>
      <w:r>
        <w:t xml:space="preserve">110. </w:t>
      </w:r>
      <w:r>
        <w:tab/>
      </w:r>
      <w:r>
        <w:tab/>
      </w:r>
      <w:r w:rsidR="00BB73BA">
        <w:t>Que</w:t>
      </w:r>
      <w:r>
        <w:t xml:space="preserve"> otro miembro del clan noble</w:t>
      </w:r>
    </w:p>
    <w:p w14:paraId="1774D500" w14:textId="7CE3D094" w:rsidR="00127CF7" w:rsidRDefault="00BB73BA" w:rsidP="00127CF7">
      <w:pPr>
        <w:pStyle w:val="VersoIngls01Sangria"/>
      </w:pPr>
      <w:r>
        <w:t xml:space="preserve">Ordenado </w:t>
      </w:r>
      <w:r w:rsidR="00127CF7">
        <w:t>en la Dispensación</w:t>
      </w:r>
    </w:p>
    <w:p w14:paraId="781C2807" w14:textId="427F8752" w:rsidR="00127CF7" w:rsidRDefault="00127CF7" w:rsidP="00127CF7">
      <w:pPr>
        <w:pStyle w:val="VersoIngls01Sangria"/>
      </w:pPr>
      <w:r>
        <w:t xml:space="preserve">Mantenga, como lo hizo el </w:t>
      </w:r>
      <w:r w:rsidR="00BB73BA">
        <w:t xml:space="preserve">Venerable </w:t>
      </w:r>
      <w:proofErr w:type="spellStart"/>
      <w:r>
        <w:t>Mitta</w:t>
      </w:r>
      <w:proofErr w:type="spellEnd"/>
      <w:r>
        <w:t>,</w:t>
      </w:r>
    </w:p>
    <w:p w14:paraId="6B389C3C" w14:textId="5DF8BE56" w:rsidR="00127CF7" w:rsidRDefault="00127CF7" w:rsidP="00127CF7">
      <w:pPr>
        <w:pStyle w:val="VersoIngls01Sangria"/>
        <w:spacing w:after="100"/>
        <w:ind w:left="1418"/>
      </w:pPr>
      <w:r>
        <w:t xml:space="preserve">Perfecta moderación de </w:t>
      </w:r>
      <w:r w:rsidR="00BB73BA">
        <w:t>sus</w:t>
      </w:r>
      <w:r>
        <w:t xml:space="preserve"> facultad</w:t>
      </w:r>
      <w:r w:rsidR="00BB73BA">
        <w:t>es</w:t>
      </w:r>
      <w:r>
        <w:t>.</w:t>
      </w:r>
    </w:p>
    <w:p w14:paraId="75CEA833" w14:textId="6525BA62" w:rsidR="00127CF7" w:rsidRDefault="00127CF7" w:rsidP="00127CF7">
      <w:r>
        <w:t xml:space="preserve">111. </w:t>
      </w:r>
      <w:r w:rsidR="005821C5">
        <w:tab/>
      </w:r>
      <w:r>
        <w:t xml:space="preserve">(c) Así como la restricción de las facultades debe llevarse a cabo por medio de la atención plena, la </w:t>
      </w:r>
      <w:r w:rsidRPr="005821C5">
        <w:rPr>
          <w:i/>
          <w:iCs/>
        </w:rPr>
        <w:t>purificación del sustento</w:t>
      </w:r>
      <w:r>
        <w:t xml:space="preserve"> debe llevarse a cabo por medio de la </w:t>
      </w:r>
      <w:r w:rsidRPr="005821C5">
        <w:rPr>
          <w:i/>
          <w:iCs/>
        </w:rPr>
        <w:t>energía</w:t>
      </w:r>
      <w:r>
        <w:t xml:space="preserve">. </w:t>
      </w:r>
      <w:r w:rsidR="00BB73BA">
        <w:t>Ya q</w:t>
      </w:r>
      <w:r>
        <w:t>ue e</w:t>
      </w:r>
      <w:r w:rsidR="00BB73BA">
        <w:t>ll</w:t>
      </w:r>
      <w:r>
        <w:t xml:space="preserve">o se logra mediante la energía, porque el abandono del sustento erróneo se efectúa en aquel aplicado correctamente </w:t>
      </w:r>
      <w:r w:rsidR="002765CA">
        <w:t xml:space="preserve">en </w:t>
      </w:r>
      <w:r>
        <w:t xml:space="preserve">la energía. Abandonando, pues, la búsqueda impropia e indebida, se debe emprender ésta con energía por medio de la búsqueda </w:t>
      </w:r>
      <w:r w:rsidR="00787420">
        <w:t>correcta</w:t>
      </w:r>
      <w:r>
        <w:t xml:space="preserve"> consistente </w:t>
      </w:r>
      <w:r w:rsidR="00787420">
        <w:t>de</w:t>
      </w:r>
      <w:r>
        <w:t xml:space="preserve"> hacer rondas de </w:t>
      </w:r>
      <w:r w:rsidR="00787420">
        <w:t>ofrendas</w:t>
      </w:r>
      <w:r>
        <w:t xml:space="preserve">, etc., evitando lo que </w:t>
      </w:r>
      <w:r w:rsidR="00787420">
        <w:t>provenga</w:t>
      </w:r>
      <w:r>
        <w:t xml:space="preserve"> de origen impuro como si </w:t>
      </w:r>
      <w:r w:rsidR="00787420">
        <w:t xml:space="preserve">se tratase de </w:t>
      </w:r>
      <w:r>
        <w:t>una serpiente venenosa, y utilizando sólo los requisitos de or</w:t>
      </w:r>
      <w:r w:rsidR="00787420">
        <w:t>í</w:t>
      </w:r>
      <w:r>
        <w:t>gen</w:t>
      </w:r>
      <w:r w:rsidR="00787420">
        <w:t>es</w:t>
      </w:r>
      <w:r w:rsidR="00787420" w:rsidRPr="00787420">
        <w:t xml:space="preserve"> </w:t>
      </w:r>
      <w:r w:rsidR="00787420">
        <w:t>puros</w:t>
      </w:r>
      <w:r>
        <w:t>.</w:t>
      </w:r>
    </w:p>
    <w:p w14:paraId="141796DB" w14:textId="53198401" w:rsidR="00127CF7" w:rsidRDefault="00127CF7" w:rsidP="00127CF7">
      <w:r>
        <w:t xml:space="preserve">112. </w:t>
      </w:r>
      <w:r w:rsidR="000A6D11">
        <w:tab/>
      </w:r>
      <w:r w:rsidR="00787420">
        <w:t>Al respecto</w:t>
      </w:r>
      <w:r>
        <w:t>, para quien no ha</w:t>
      </w:r>
      <w:r w:rsidR="00787420">
        <w:t>ya</w:t>
      </w:r>
      <w:r>
        <w:t xml:space="preserve"> asumido las prácticas asc</w:t>
      </w:r>
      <w:r w:rsidR="00656CF3">
        <w:t>e</w:t>
      </w:r>
      <w:r>
        <w:t xml:space="preserve">tas, cualquier requisito obtenido de la Comunidad, de un grupo de </w:t>
      </w:r>
      <w:proofErr w:type="spellStart"/>
      <w:r w:rsidR="00057BF4" w:rsidRPr="00057BF4">
        <w:rPr>
          <w:i/>
          <w:iCs/>
        </w:rPr>
        <w:t>bhikkhu</w:t>
      </w:r>
      <w:r w:rsidRPr="005821C5">
        <w:rPr>
          <w:i/>
          <w:iCs/>
        </w:rPr>
        <w:t>s</w:t>
      </w:r>
      <w:proofErr w:type="spellEnd"/>
      <w:r>
        <w:t>, o de laicos que ten</w:t>
      </w:r>
      <w:r w:rsidR="00787420">
        <w:t>ga</w:t>
      </w:r>
      <w:r>
        <w:t xml:space="preserve">n </w:t>
      </w:r>
      <w:r w:rsidR="00A828CF">
        <w:t xml:space="preserve">devoción </w:t>
      </w:r>
      <w:r>
        <w:t xml:space="preserve">en sus cualidades especiales de enseñar el </w:t>
      </w:r>
      <w:r w:rsidR="00057BF4" w:rsidRPr="00057BF4">
        <w:rPr>
          <w:i/>
        </w:rPr>
        <w:t>Dhamma</w:t>
      </w:r>
      <w:r>
        <w:t>, etc., se denomina “de origen puro”</w:t>
      </w:r>
      <w:r w:rsidR="00A828CF">
        <w:t>.</w:t>
      </w:r>
      <w:r>
        <w:t xml:space="preserve"> Pero los obtenidos </w:t>
      </w:r>
      <w:r w:rsidR="00084A87">
        <w:t>en</w:t>
      </w:r>
      <w:r>
        <w:t xml:space="preserve"> </w:t>
      </w:r>
    </w:p>
    <w:p w14:paraId="6802F971" w14:textId="77777777" w:rsidR="00127CF7" w:rsidRPr="00127CF7" w:rsidRDefault="00127CF7" w:rsidP="00127CF7">
      <w:pPr>
        <w:pStyle w:val="PiedepginaLegal"/>
        <w:rPr>
          <w:u w:val="single"/>
        </w:rPr>
      </w:pPr>
      <w:r w:rsidRPr="00127CF7">
        <w:rPr>
          <w:u w:val="single"/>
        </w:rPr>
        <w:t xml:space="preserve">                                                                                                                                                            .</w:t>
      </w:r>
    </w:p>
    <w:p w14:paraId="6B2800DB" w14:textId="3F6DFBAF" w:rsidR="00127CF7" w:rsidRDefault="00127CF7" w:rsidP="00127CF7">
      <w:pPr>
        <w:pStyle w:val="PiedepginaLegal"/>
      </w:pPr>
      <w:r>
        <w:t xml:space="preserve">30. </w:t>
      </w:r>
      <w:r>
        <w:tab/>
        <w:t>“‘</w:t>
      </w:r>
      <w:r w:rsidRPr="005821C5">
        <w:rPr>
          <w:i/>
          <w:iCs/>
        </w:rPr>
        <w:t>Hacer resonar toda la roca’</w:t>
      </w:r>
      <w:r>
        <w:t xml:space="preserve">: ‘hacer reverberar toda la roca como quien lo hace por medio de un temblor </w:t>
      </w:r>
      <w:r w:rsidR="000551C7">
        <w:t>sísmico</w:t>
      </w:r>
      <w:r>
        <w:t xml:space="preserve">. </w:t>
      </w:r>
      <w:r w:rsidR="009C14B6">
        <w:t>Aunque</w:t>
      </w:r>
      <w:r>
        <w:t xml:space="preserve"> algunos dicen que se debió a los vítores de las deidades que vivían allí’” (</w:t>
      </w:r>
      <w:proofErr w:type="spellStart"/>
      <w:r>
        <w:t>Vism-mhṭ</w:t>
      </w:r>
      <w:proofErr w:type="spellEnd"/>
      <w:r>
        <w:t xml:space="preserve"> 58).</w:t>
      </w:r>
    </w:p>
    <w:p w14:paraId="634DF8C9" w14:textId="77777777" w:rsidR="00127CF7" w:rsidRDefault="00127CF7">
      <w:pPr>
        <w:tabs>
          <w:tab w:val="clear" w:pos="425"/>
        </w:tabs>
        <w:spacing w:after="160"/>
      </w:pPr>
      <w:r>
        <w:br w:type="page"/>
      </w:r>
    </w:p>
    <w:p w14:paraId="30C6F923" w14:textId="44785149" w:rsidR="00084A87" w:rsidRDefault="00084A87" w:rsidP="00084A87">
      <w:r>
        <w:lastRenderedPageBreak/>
        <w:t xml:space="preserve">ronda de ofrendas, etc., son de origen extremadamente puro. </w:t>
      </w:r>
      <w:r w:rsidR="00C81FA6">
        <w:t xml:space="preserve">Ya </w:t>
      </w:r>
      <w:r>
        <w:t>que quien ha</w:t>
      </w:r>
      <w:r w:rsidR="008B47AA">
        <w:t>ya</w:t>
      </w:r>
      <w:r>
        <w:t xml:space="preserve"> asumido las prácticas </w:t>
      </w:r>
      <w:r w:rsidR="00656CF3">
        <w:t>asceta</w:t>
      </w:r>
      <w:r>
        <w:t xml:space="preserve">s, las obtenidas en la ronda de </w:t>
      </w:r>
      <w:r w:rsidR="008B47AA">
        <w:t>ofrendas</w:t>
      </w:r>
      <w:r>
        <w:t xml:space="preserve">, etc., y —siempre que esto esté de acuerdo con las reglas de las prácticas </w:t>
      </w:r>
      <w:r w:rsidR="00656CF3">
        <w:t>asceta</w:t>
      </w:r>
      <w:r>
        <w:t xml:space="preserve">s— </w:t>
      </w:r>
      <w:r w:rsidR="00C81FA6">
        <w:t>por parte de</w:t>
      </w:r>
      <w:r>
        <w:t xml:space="preserve"> personas que ten</w:t>
      </w:r>
      <w:r w:rsidR="00C81FA6">
        <w:t>ga</w:t>
      </w:r>
      <w:r>
        <w:t xml:space="preserve">n </w:t>
      </w:r>
      <w:r w:rsidR="008B47AA">
        <w:t>devoción</w:t>
      </w:r>
      <w:r>
        <w:t xml:space="preserve"> en sus cualidades especiales de ascetismo, son </w:t>
      </w:r>
      <w:r w:rsidR="00C81FA6">
        <w:t>requisito</w:t>
      </w:r>
      <w:r w:rsidR="000B3E31">
        <w:t>s</w:t>
      </w:r>
      <w:r w:rsidR="00C81FA6">
        <w:t xml:space="preserve"> denominados </w:t>
      </w:r>
      <w:r>
        <w:t xml:space="preserve">“de origen puro”. Y si </w:t>
      </w:r>
      <w:r w:rsidR="00C81FA6">
        <w:t>dispone de</w:t>
      </w:r>
      <w:r>
        <w:t xml:space="preserve"> orina pútrida </w:t>
      </w:r>
      <w:r w:rsidR="00C81FA6">
        <w:t xml:space="preserve">mezcladas </w:t>
      </w:r>
      <w:r>
        <w:t xml:space="preserve">con </w:t>
      </w:r>
      <w:r w:rsidR="00770075">
        <w:t xml:space="preserve">nueces de </w:t>
      </w:r>
      <w:r>
        <w:t>agallas y “cuatro dulces”</w:t>
      </w:r>
      <w:r w:rsidR="00A025C7">
        <w:rPr>
          <w:vertAlign w:val="superscript"/>
        </w:rPr>
        <w:t>31</w:t>
      </w:r>
      <w:r>
        <w:t xml:space="preserve"> con el propósito de curar cierta aflicción, y com</w:t>
      </w:r>
      <w:r w:rsidR="0006195E">
        <w:t>a</w:t>
      </w:r>
      <w:r>
        <w:t xml:space="preserve"> sólo las </w:t>
      </w:r>
      <w:r w:rsidR="0006195E">
        <w:t xml:space="preserve">nueces de </w:t>
      </w:r>
      <w:r>
        <w:t xml:space="preserve">agallas rotas, pensando: “Otros compañeros en la vida de pureza comerán los 'cuatro -dulces'”, su realización de las prácticas </w:t>
      </w:r>
      <w:r w:rsidR="00656CF3">
        <w:t>asceta</w:t>
      </w:r>
      <w:r>
        <w:t>s s</w:t>
      </w:r>
      <w:r w:rsidR="008B47AA">
        <w:t>erá la</w:t>
      </w:r>
      <w:r>
        <w:t xml:space="preserve"> apropiada, porque entonces se le </w:t>
      </w:r>
      <w:r w:rsidR="009C14B6">
        <w:t>conocerá como</w:t>
      </w:r>
      <w:r>
        <w:t xml:space="preserve"> un </w:t>
      </w:r>
      <w:proofErr w:type="spellStart"/>
      <w:r w:rsidR="00057BF4" w:rsidRPr="00057BF4">
        <w:rPr>
          <w:i/>
        </w:rPr>
        <w:t>bhikkhu</w:t>
      </w:r>
      <w:proofErr w:type="spellEnd"/>
      <w:r>
        <w:t xml:space="preserve"> que es supremo en las herencias de los Nobles (A II 28).</w:t>
      </w:r>
    </w:p>
    <w:p w14:paraId="5C5092A1" w14:textId="0069F150" w:rsidR="00084A87" w:rsidRDefault="00084A87" w:rsidP="00084A87">
      <w:r>
        <w:t xml:space="preserve">113. </w:t>
      </w:r>
      <w:r w:rsidR="00C3714B">
        <w:tab/>
      </w:r>
      <w:r>
        <w:t xml:space="preserve">En cuanto </w:t>
      </w:r>
      <w:r w:rsidR="000B78D2">
        <w:t>a</w:t>
      </w:r>
      <w:r>
        <w:t xml:space="preserve">l </w:t>
      </w:r>
      <w:r w:rsidR="000B78D2">
        <w:t>ropaje</w:t>
      </w:r>
      <w:r>
        <w:t xml:space="preserve"> y los demás requisitos, ningún indicio, indicación, rodeo o insinuación acerca de l</w:t>
      </w:r>
      <w:r w:rsidR="000B78D2">
        <w:t>o</w:t>
      </w:r>
      <w:r>
        <w:t xml:space="preserve">s </w:t>
      </w:r>
      <w:r w:rsidR="000B78D2">
        <w:t>ropaje</w:t>
      </w:r>
      <w:r w:rsidR="000B3E31">
        <w:t>s</w:t>
      </w:r>
      <w:r w:rsidR="000B78D2">
        <w:t xml:space="preserve"> </w:t>
      </w:r>
      <w:r>
        <w:t xml:space="preserve">y la </w:t>
      </w:r>
      <w:r w:rsidR="000B78D2">
        <w:t>ofrenda de alimentos</w:t>
      </w:r>
      <w:r>
        <w:t xml:space="preserve"> está permitido </w:t>
      </w:r>
      <w:r w:rsidR="000B78D2">
        <w:t>en</w:t>
      </w:r>
      <w:r>
        <w:t xml:space="preserve"> un </w:t>
      </w:r>
      <w:proofErr w:type="spellStart"/>
      <w:r w:rsidR="00057BF4" w:rsidRPr="00057BF4">
        <w:rPr>
          <w:i/>
        </w:rPr>
        <w:t>bhikkhu</w:t>
      </w:r>
      <w:proofErr w:type="spellEnd"/>
      <w:r>
        <w:t xml:space="preserve"> que est</w:t>
      </w:r>
      <w:r w:rsidR="000B3E31">
        <w:t>é</w:t>
      </w:r>
      <w:r>
        <w:t xml:space="preserve"> purificando su sustento. </w:t>
      </w:r>
      <w:r w:rsidR="00305C94">
        <w:t xml:space="preserve">No obstante, </w:t>
      </w:r>
      <w:r>
        <w:t xml:space="preserve">una insinuación, una indicación o un rodeo acerca de un lugar de descanso </w:t>
      </w:r>
      <w:r w:rsidR="000B3E31">
        <w:t>será</w:t>
      </w:r>
      <w:r>
        <w:t xml:space="preserve"> permisible para quien no ha</w:t>
      </w:r>
      <w:r w:rsidR="00305C94">
        <w:t>ya</w:t>
      </w:r>
      <w:r>
        <w:t xml:space="preserve"> emprendido las prácticas </w:t>
      </w:r>
      <w:r w:rsidR="00656CF3">
        <w:t>asceta</w:t>
      </w:r>
      <w:r>
        <w:t>s. [41]</w:t>
      </w:r>
    </w:p>
    <w:p w14:paraId="1A161184" w14:textId="4B47A3E8" w:rsidR="00084A87" w:rsidRDefault="00084A87" w:rsidP="00084A87">
      <w:r>
        <w:t xml:space="preserve">114. </w:t>
      </w:r>
      <w:r w:rsidR="00C3714B">
        <w:tab/>
      </w:r>
      <w:r>
        <w:t>Aquí, una “pista” s</w:t>
      </w:r>
      <w:r w:rsidR="00305C94">
        <w:t>erá</w:t>
      </w:r>
      <w:r>
        <w:t xml:space="preserve"> cuando se le pregunt</w:t>
      </w:r>
      <w:r w:rsidR="00305C94">
        <w:t>e</w:t>
      </w:r>
      <w:r>
        <w:t xml:space="preserve"> a alguien que est</w:t>
      </w:r>
      <w:r w:rsidR="00305C94">
        <w:t>é</w:t>
      </w:r>
      <w:r>
        <w:t xml:space="preserve"> preparando el terreno, etc., con el propósito de [hacer] un lugar de descanso, “¿Qué se está haciendo, </w:t>
      </w:r>
      <w:r w:rsidR="0042393C">
        <w:t xml:space="preserve">Venerable </w:t>
      </w:r>
      <w:r>
        <w:t xml:space="preserve">señor? ¿Quién lo está haciendo? y </w:t>
      </w:r>
      <w:r w:rsidR="0042393C">
        <w:t>e</w:t>
      </w:r>
      <w:r>
        <w:t xml:space="preserve">l </w:t>
      </w:r>
      <w:r w:rsidR="0042393C">
        <w:t xml:space="preserve">otro </w:t>
      </w:r>
      <w:r>
        <w:t>respond</w:t>
      </w:r>
      <w:r w:rsidR="00305C94">
        <w:t>a</w:t>
      </w:r>
      <w:r>
        <w:t>: “Nadie”; o cualquier otra forma de dar pistas. Una "indicación" es decir</w:t>
      </w:r>
      <w:r w:rsidR="00543D50">
        <w:t>:</w:t>
      </w:r>
      <w:r>
        <w:t xml:space="preserve"> "Seguidor laico, ¿dónde vive?" </w:t>
      </w:r>
      <w:r w:rsidR="00543D50">
        <w:t>―</w:t>
      </w:r>
      <w:r>
        <w:t xml:space="preserve"> "En una mansión, </w:t>
      </w:r>
      <w:r w:rsidR="0042393C">
        <w:t xml:space="preserve">Venerable </w:t>
      </w:r>
      <w:r>
        <w:t xml:space="preserve">señor" - "Pero, seguidor laico, una mansión no está permitida </w:t>
      </w:r>
      <w:r w:rsidR="0042393C">
        <w:t>a los</w:t>
      </w:r>
      <w:r>
        <w:t xml:space="preserve"> </w:t>
      </w:r>
      <w:proofErr w:type="spellStart"/>
      <w:r w:rsidR="00057BF4" w:rsidRPr="00057BF4">
        <w:rPr>
          <w:i/>
          <w:iCs/>
          <w:color w:val="000000" w:themeColor="text1"/>
        </w:rPr>
        <w:t>bhikkhu</w:t>
      </w:r>
      <w:r w:rsidR="00C3714B">
        <w:rPr>
          <w:i/>
          <w:iCs/>
          <w:color w:val="000000" w:themeColor="text1"/>
        </w:rPr>
        <w:t>s</w:t>
      </w:r>
      <w:proofErr w:type="spellEnd"/>
      <w:r>
        <w:t xml:space="preserve">". O cualquier otra indicación similar. “Charla indirecta” está </w:t>
      </w:r>
      <w:r w:rsidR="00543D50">
        <w:t>decir:</w:t>
      </w:r>
      <w:r>
        <w:t xml:space="preserve"> “El lugar de descanso para la Comunidad de </w:t>
      </w:r>
      <w:proofErr w:type="spellStart"/>
      <w:r w:rsidR="0042393C" w:rsidRPr="00057BF4">
        <w:rPr>
          <w:i/>
          <w:iCs/>
        </w:rPr>
        <w:t>bhikkhu</w:t>
      </w:r>
      <w:r w:rsidR="0042393C" w:rsidRPr="005821C5">
        <w:rPr>
          <w:i/>
          <w:iCs/>
        </w:rPr>
        <w:t>s</w:t>
      </w:r>
      <w:proofErr w:type="spellEnd"/>
      <w:r w:rsidR="0042393C">
        <w:t xml:space="preserve"> </w:t>
      </w:r>
      <w:r>
        <w:t>está abarrotado”; o cualquier otra charla oblicua.</w:t>
      </w:r>
    </w:p>
    <w:p w14:paraId="5BAAC56D" w14:textId="12001FFB" w:rsidR="00084A87" w:rsidRDefault="00084A87" w:rsidP="00084A87">
      <w:r>
        <w:t xml:space="preserve">115. </w:t>
      </w:r>
      <w:r w:rsidR="00C3714B">
        <w:tab/>
      </w:r>
      <w:r>
        <w:t xml:space="preserve">Sin embargo, todo está permitido en el caso de la medicina. </w:t>
      </w:r>
      <w:r w:rsidR="00543D50">
        <w:t xml:space="preserve">No obstante, </w:t>
      </w:r>
      <w:r>
        <w:t>cuando la enfermedad est</w:t>
      </w:r>
      <w:r w:rsidR="00543D50">
        <w:t>é</w:t>
      </w:r>
      <w:r>
        <w:t xml:space="preserve"> curada, ¿se permite o no utilizar la medicina así obtenida? Aquí, los especialistas de</w:t>
      </w:r>
      <w:r w:rsidR="00543D50">
        <w:t>l</w:t>
      </w:r>
      <w:r>
        <w:t xml:space="preserve"> </w:t>
      </w:r>
      <w:proofErr w:type="spellStart"/>
      <w:r w:rsidRPr="00543D50">
        <w:rPr>
          <w:i/>
          <w:iCs/>
        </w:rPr>
        <w:t>Vinaya</w:t>
      </w:r>
      <w:proofErr w:type="spellEnd"/>
      <w:r>
        <w:t xml:space="preserve"> dicen que la apertura ha sido dada por el </w:t>
      </w:r>
      <w:r w:rsidR="00B46235">
        <w:rPr>
          <w:i/>
          <w:iCs/>
        </w:rPr>
        <w:t>Bhagavā</w:t>
      </w:r>
      <w:r>
        <w:t xml:space="preserve">, por lo tanto, es permisible. Pero los especialistas de </w:t>
      </w:r>
      <w:proofErr w:type="spellStart"/>
      <w:r w:rsidRPr="00C3714B">
        <w:rPr>
          <w:i/>
          <w:iCs/>
        </w:rPr>
        <w:t>Suttanta</w:t>
      </w:r>
      <w:proofErr w:type="spellEnd"/>
      <w:r>
        <w:t xml:space="preserve"> dicen que aunque no hay</w:t>
      </w:r>
      <w:r w:rsidR="00B46235">
        <w:t>a</w:t>
      </w:r>
      <w:r>
        <w:t xml:space="preserve"> ofensa, no obstante</w:t>
      </w:r>
      <w:r w:rsidR="00B46235">
        <w:t>,</w:t>
      </w:r>
      <w:r>
        <w:t xml:space="preserve"> se mancilla el sustento, por lo tanto, no est</w:t>
      </w:r>
      <w:r w:rsidR="00F93890">
        <w:t>ar</w:t>
      </w:r>
      <w:r>
        <w:t>á permitido.</w:t>
      </w:r>
    </w:p>
    <w:p w14:paraId="4164C395" w14:textId="0411ABFD" w:rsidR="00084A87" w:rsidRDefault="00084A87" w:rsidP="00084A87">
      <w:r>
        <w:t xml:space="preserve">116. </w:t>
      </w:r>
      <w:r w:rsidR="00C3714B">
        <w:tab/>
      </w:r>
      <w:r w:rsidR="00B46235">
        <w:t xml:space="preserve">No obstante, </w:t>
      </w:r>
      <w:r>
        <w:t>e</w:t>
      </w:r>
      <w:r w:rsidR="00FF2297">
        <w:t xml:space="preserve">n aquel </w:t>
      </w:r>
      <w:r>
        <w:t>que no us</w:t>
      </w:r>
      <w:r w:rsidR="00B46235">
        <w:t>e</w:t>
      </w:r>
      <w:r>
        <w:t xml:space="preserve"> </w:t>
      </w:r>
      <w:r w:rsidR="001361A1">
        <w:t>pistas</w:t>
      </w:r>
      <w:r>
        <w:t xml:space="preserve">, indicaciones, rodeos o </w:t>
      </w:r>
      <w:r w:rsidR="00953B7B">
        <w:t>intimación</w:t>
      </w:r>
      <w:r>
        <w:t xml:space="preserve">, aunque el </w:t>
      </w:r>
      <w:r w:rsidR="00953B7B">
        <w:rPr>
          <w:i/>
          <w:iCs/>
        </w:rPr>
        <w:t>Bhagavā</w:t>
      </w:r>
      <w:r w:rsidR="00953B7B">
        <w:t xml:space="preserve"> </w:t>
      </w:r>
      <w:r>
        <w:t xml:space="preserve">lo permita, y </w:t>
      </w:r>
      <w:r w:rsidR="002C5F34">
        <w:t>é</w:t>
      </w:r>
      <w:r w:rsidR="00BB4386">
        <w:t>ste</w:t>
      </w:r>
      <w:r w:rsidR="00137FBB">
        <w:t xml:space="preserve"> </w:t>
      </w:r>
      <w:r>
        <w:t>depend</w:t>
      </w:r>
      <w:r w:rsidR="00137FBB">
        <w:t>a</w:t>
      </w:r>
      <w:r>
        <w:t xml:space="preserve"> sólo de las cualidades especiales de </w:t>
      </w:r>
      <w:r w:rsidR="008B48BF">
        <w:t xml:space="preserve">pequeños </w:t>
      </w:r>
      <w:r>
        <w:t>deseos, etc., y ha</w:t>
      </w:r>
      <w:r w:rsidR="008B48BF">
        <w:t>ga</w:t>
      </w:r>
      <w:r>
        <w:t xml:space="preserve"> uso sólo de los requisitos obtenidos de otra manera que por indicación, etc., incluso arriesg</w:t>
      </w:r>
      <w:r w:rsidR="001361A1">
        <w:t>ando</w:t>
      </w:r>
      <w:r>
        <w:t xml:space="preserve"> así su </w:t>
      </w:r>
      <w:r w:rsidR="008B48BF">
        <w:t xml:space="preserve">propia </w:t>
      </w:r>
      <w:r>
        <w:t xml:space="preserve">vida, </w:t>
      </w:r>
      <w:r w:rsidR="0012132B">
        <w:t xml:space="preserve">será </w:t>
      </w:r>
      <w:r w:rsidR="008F313F">
        <w:t>denominado</w:t>
      </w:r>
      <w:r>
        <w:t xml:space="preserve"> supremo en vivir </w:t>
      </w:r>
      <w:r w:rsidR="00650F58">
        <w:t>frugalmente</w:t>
      </w:r>
      <w:r>
        <w:t>, como el Venerable Sāriputta.</w:t>
      </w:r>
    </w:p>
    <w:p w14:paraId="51B014ED" w14:textId="60E259E1" w:rsidR="00084A87" w:rsidRDefault="00084A87" w:rsidP="00084A87">
      <w:r>
        <w:t xml:space="preserve">117. </w:t>
      </w:r>
      <w:r w:rsidR="00C3714B">
        <w:tab/>
      </w:r>
      <w:r>
        <w:t xml:space="preserve">Parece que el </w:t>
      </w:r>
      <w:r w:rsidR="000970D0">
        <w:t xml:space="preserve">Venerable </w:t>
      </w:r>
      <w:r w:rsidR="0012132B">
        <w:t xml:space="preserve">se encontraba </w:t>
      </w:r>
      <w:r>
        <w:t xml:space="preserve">cultivando la reclusión </w:t>
      </w:r>
      <w:r w:rsidR="00A533F8">
        <w:t>durante</w:t>
      </w:r>
      <w:r>
        <w:t xml:space="preserve"> un tiempo, viviendo en cierto bosque con el </w:t>
      </w:r>
      <w:r w:rsidR="000970D0">
        <w:t xml:space="preserve">Venerable </w:t>
      </w:r>
      <w:r>
        <w:t>Mahā Moggallāna. Un día</w:t>
      </w:r>
      <w:r w:rsidR="0012132B">
        <w:t>,</w:t>
      </w:r>
      <w:r>
        <w:t xml:space="preserve"> le sobrevino una aflicción de cólico</w:t>
      </w:r>
      <w:r w:rsidR="00650F58">
        <w:t>s</w:t>
      </w:r>
      <w:r>
        <w:t xml:space="preserve">, que le causó grandes dolores. </w:t>
      </w:r>
      <w:r w:rsidR="00650F58">
        <w:t>Durante</w:t>
      </w:r>
      <w:r>
        <w:t xml:space="preserve"> la noche, el </w:t>
      </w:r>
      <w:r w:rsidR="00650F58">
        <w:t xml:space="preserve">Venerable </w:t>
      </w:r>
      <w:r>
        <w:t xml:space="preserve">Mahā Moggallāna fue a atenderlo. Al verlo </w:t>
      </w:r>
      <w:r w:rsidR="00650F58">
        <w:t>re</w:t>
      </w:r>
      <w:r>
        <w:t xml:space="preserve">costado, le preguntó cuál era el motivo. Y </w:t>
      </w:r>
      <w:r w:rsidR="00650F58">
        <w:t>entonces</w:t>
      </w:r>
      <w:r>
        <w:t xml:space="preserve"> preguntó: "¿Qué solía </w:t>
      </w:r>
      <w:r w:rsidR="00650F58">
        <w:t>c</w:t>
      </w:r>
      <w:r>
        <w:t>aer</w:t>
      </w:r>
      <w:r w:rsidR="00650F58">
        <w:t>l</w:t>
      </w:r>
      <w:r>
        <w:t xml:space="preserve">e </w:t>
      </w:r>
      <w:r w:rsidR="008B49E8">
        <w:t xml:space="preserve">bien </w:t>
      </w:r>
      <w:r w:rsidR="007A4D10">
        <w:t>en el pasado</w:t>
      </w:r>
      <w:r>
        <w:t xml:space="preserve">, amigo?" El </w:t>
      </w:r>
      <w:r w:rsidR="00650F58">
        <w:t xml:space="preserve">Venerable </w:t>
      </w:r>
      <w:r>
        <w:t xml:space="preserve">dijo: “Cuando yo era laico, amigo, mi madre solía mezclar </w:t>
      </w:r>
      <w:proofErr w:type="spellStart"/>
      <w:r w:rsidRPr="00650F58">
        <w:rPr>
          <w:i/>
          <w:iCs/>
        </w:rPr>
        <w:t>ghee</w:t>
      </w:r>
      <w:proofErr w:type="spellEnd"/>
      <w:r>
        <w:t xml:space="preserve">, miel, azúcar, etc., y me daba gachas de arroz con leche pura. Eso solía </w:t>
      </w:r>
      <w:r w:rsidR="00650F58">
        <w:t>caerme</w:t>
      </w:r>
      <w:r>
        <w:t xml:space="preserve"> </w:t>
      </w:r>
      <w:r w:rsidR="00650F58">
        <w:t>bien</w:t>
      </w:r>
      <w:r>
        <w:t>”. Entonces el otro dijo: “</w:t>
      </w:r>
      <w:r w:rsidR="00650F58">
        <w:t>Que a</w:t>
      </w:r>
      <w:r>
        <w:t xml:space="preserve">sí sea, amigo. Si </w:t>
      </w:r>
      <w:r w:rsidR="008B49E8">
        <w:t xml:space="preserve">usted </w:t>
      </w:r>
      <w:r>
        <w:t>o yo tenemos méritos, tal vez mañana obtengamos alg</w:t>
      </w:r>
      <w:r w:rsidR="00650F58">
        <w:t>o de esto”</w:t>
      </w:r>
      <w:r>
        <w:t>.</w:t>
      </w:r>
    </w:p>
    <w:p w14:paraId="6B1FB438" w14:textId="247049DC" w:rsidR="00084A87" w:rsidRDefault="00084A87" w:rsidP="00084A87">
      <w:r>
        <w:t xml:space="preserve">118. </w:t>
      </w:r>
      <w:r w:rsidR="00650F58">
        <w:tab/>
      </w:r>
      <w:r>
        <w:t>Ahora</w:t>
      </w:r>
      <w:r w:rsidR="00650F58">
        <w:t xml:space="preserve"> bien</w:t>
      </w:r>
      <w:r>
        <w:t xml:space="preserve">, una deidad que habitaba en un árbol al final del camino escuchó su conversación. [Pensando] “Mañana encontraré gachas de arroz para el señor”, se dirigió mientras tanto a </w:t>
      </w:r>
    </w:p>
    <w:p w14:paraId="3A51A64E" w14:textId="77777777" w:rsidR="00084A87" w:rsidRPr="00084A87" w:rsidRDefault="00084A87" w:rsidP="00084A87">
      <w:pPr>
        <w:pStyle w:val="PiedepginaLegal"/>
        <w:rPr>
          <w:u w:val="single"/>
        </w:rPr>
      </w:pPr>
      <w:r w:rsidRPr="00084A87">
        <w:rPr>
          <w:u w:val="single"/>
        </w:rPr>
        <w:t xml:space="preserve">                                                                                                                                                            .</w:t>
      </w:r>
    </w:p>
    <w:p w14:paraId="48413D97" w14:textId="77777777" w:rsidR="00084A87" w:rsidRDefault="00084A87" w:rsidP="00084A87">
      <w:pPr>
        <w:pStyle w:val="PiedepginaLegal"/>
      </w:pPr>
      <w:r>
        <w:t xml:space="preserve">31. </w:t>
      </w:r>
      <w:r>
        <w:tab/>
        <w:t>“Cuatro dulces”—</w:t>
      </w:r>
      <w:proofErr w:type="spellStart"/>
      <w:r w:rsidRPr="00C3714B">
        <w:rPr>
          <w:i/>
          <w:iCs/>
        </w:rPr>
        <w:t>catumadhura</w:t>
      </w:r>
      <w:proofErr w:type="spellEnd"/>
      <w:r>
        <w:t xml:space="preserve">: un dulce medicinal hecho de cuatro ingredientes: miel, azúcar de palma, </w:t>
      </w:r>
      <w:proofErr w:type="spellStart"/>
      <w:r w:rsidRPr="00C3714B">
        <w:rPr>
          <w:i/>
          <w:iCs/>
        </w:rPr>
        <w:t>ghee</w:t>
      </w:r>
      <w:proofErr w:type="spellEnd"/>
      <w:r>
        <w:t xml:space="preserve"> y aceite de sésamo.</w:t>
      </w:r>
    </w:p>
    <w:p w14:paraId="7666C44D" w14:textId="77777777" w:rsidR="00084A87" w:rsidRDefault="00084A87">
      <w:pPr>
        <w:tabs>
          <w:tab w:val="clear" w:pos="425"/>
        </w:tabs>
        <w:spacing w:after="160"/>
      </w:pPr>
      <w:r>
        <w:br w:type="page"/>
      </w:r>
    </w:p>
    <w:p w14:paraId="6023BAB5" w14:textId="77777777" w:rsidR="00053154" w:rsidRDefault="00053154" w:rsidP="005D1420"/>
    <w:p w14:paraId="1B437257" w14:textId="0EBA46C6" w:rsidR="005D1420" w:rsidRDefault="00D32E6D" w:rsidP="005D1420">
      <w:r>
        <w:t xml:space="preserve">una casa de la familia </w:t>
      </w:r>
      <w:r w:rsidR="005D1420">
        <w:t xml:space="preserve">que sostenía al </w:t>
      </w:r>
      <w:r>
        <w:t xml:space="preserve">Venerable </w:t>
      </w:r>
      <w:r w:rsidR="005D1420">
        <w:t>[42] y entró en el cuerpo del hijo mayor, causándole molestias. Luego les dijo a los parientes reunidos el precio de la cura: “Si mañana prepara</w:t>
      </w:r>
      <w:r>
        <w:t>n</w:t>
      </w:r>
      <w:r w:rsidR="005D1420">
        <w:t xml:space="preserve"> gachas de arroz de ese tipo para el </w:t>
      </w:r>
      <w:r>
        <w:t>Venerable</w:t>
      </w:r>
      <w:r w:rsidR="005D1420">
        <w:t xml:space="preserve">, lo dejaré libre”. </w:t>
      </w:r>
      <w:r w:rsidR="00F02C46">
        <w:t>Ellos d</w:t>
      </w:r>
      <w:r w:rsidR="005D1420">
        <w:t xml:space="preserve">ijeron: “Incluso sin que nos lo diga, regularmente suplimos las necesidades de los </w:t>
      </w:r>
      <w:r w:rsidR="00F02C46">
        <w:t>Venerables</w:t>
      </w:r>
      <w:r w:rsidR="005D1420">
        <w:t>”, y al día siguiente prepararon gachas de arroz del tipo necesario.</w:t>
      </w:r>
    </w:p>
    <w:p w14:paraId="05863EEA" w14:textId="17AE4759" w:rsidR="005D1420" w:rsidRDefault="005D1420" w:rsidP="005D1420">
      <w:r>
        <w:t xml:space="preserve">119. </w:t>
      </w:r>
      <w:r w:rsidR="00F02C46">
        <w:tab/>
      </w:r>
      <w:r>
        <w:t xml:space="preserve">El </w:t>
      </w:r>
      <w:r w:rsidR="00F02C46">
        <w:t xml:space="preserve">Venerable </w:t>
      </w:r>
      <w:r>
        <w:t xml:space="preserve">Mahā Moggallāna </w:t>
      </w:r>
      <w:r w:rsidR="00F02C46">
        <w:t>llegó</w:t>
      </w:r>
      <w:r>
        <w:t xml:space="preserve"> por la mañana y dijo: “Quéd</w:t>
      </w:r>
      <w:r w:rsidR="001419C7">
        <w:t>es</w:t>
      </w:r>
      <w:r>
        <w:t xml:space="preserve">e aquí, amigo, hasta que regrese de la ronda de </w:t>
      </w:r>
      <w:r w:rsidR="00F02C46">
        <w:t>ofrendas</w:t>
      </w:r>
      <w:r>
        <w:t xml:space="preserve">”. Luego se fue al pueblo. Esas personas </w:t>
      </w:r>
      <w:r w:rsidR="00EE1D3F">
        <w:t>lo atendieron</w:t>
      </w:r>
      <w:r>
        <w:t xml:space="preserve">. Tomaron su cuenco, lo llenaron con el tipo estipulado de </w:t>
      </w:r>
      <w:r w:rsidR="00EE1D3F">
        <w:t>atole</w:t>
      </w:r>
      <w:r>
        <w:t xml:space="preserve"> de arroz y se lo devolvieron. El </w:t>
      </w:r>
      <w:r w:rsidR="00EE1D3F">
        <w:t xml:space="preserve">Venerable </w:t>
      </w:r>
      <w:r>
        <w:t xml:space="preserve">hizo ademán de irse, pero le dijeron: “Coma, </w:t>
      </w:r>
      <w:r w:rsidR="00EE1D3F">
        <w:t xml:space="preserve">Venerable </w:t>
      </w:r>
      <w:r>
        <w:t xml:space="preserve">señor, le daremos más”. Cuando el </w:t>
      </w:r>
      <w:r w:rsidR="001419C7">
        <w:t xml:space="preserve">Venerable </w:t>
      </w:r>
      <w:r>
        <w:t xml:space="preserve">hubo comido, le dieron otro plato lleno. El </w:t>
      </w:r>
      <w:r w:rsidR="00EE1D3F">
        <w:t xml:space="preserve">Venerable </w:t>
      </w:r>
      <w:r>
        <w:t xml:space="preserve">se </w:t>
      </w:r>
      <w:r w:rsidR="00EE1D3F">
        <w:t>marchó</w:t>
      </w:r>
      <w:r>
        <w:t xml:space="preserve">. Llevando la </w:t>
      </w:r>
      <w:r w:rsidR="00EE1D3F">
        <w:t>ofrenda de alimentos</w:t>
      </w:r>
      <w:r>
        <w:t xml:space="preserve"> al </w:t>
      </w:r>
      <w:r w:rsidR="00EE1D3F">
        <w:t xml:space="preserve">Venerable </w:t>
      </w:r>
      <w:r>
        <w:t xml:space="preserve">Sāriputta, </w:t>
      </w:r>
      <w:r w:rsidR="00EE1D3F">
        <w:t xml:space="preserve">y </w:t>
      </w:r>
      <w:r>
        <w:t>dijo: “Aquí</w:t>
      </w:r>
      <w:r w:rsidR="00EE1D3F">
        <w:t xml:space="preserve"> está</w:t>
      </w:r>
      <w:r>
        <w:t>, amigo Sāriputta, com</w:t>
      </w:r>
      <w:r w:rsidR="00EE1D3F">
        <w:t>a</w:t>
      </w:r>
      <w:r>
        <w:t xml:space="preserve">”. Cuando el </w:t>
      </w:r>
      <w:r w:rsidR="00EE1D3F">
        <w:t xml:space="preserve">Venerable </w:t>
      </w:r>
      <w:r>
        <w:t xml:space="preserve">lo vio, pensó: “Las gachas son muy ricas. ¿Cómo </w:t>
      </w:r>
      <w:r w:rsidR="00EE1D3F">
        <w:t>las</w:t>
      </w:r>
      <w:r>
        <w:t xml:space="preserve"> consiguió? y viendo cómo se había obtenido, dijo: “Amigo, </w:t>
      </w:r>
      <w:r w:rsidR="002363FA">
        <w:t>est</w:t>
      </w:r>
      <w:r>
        <w:t xml:space="preserve">a </w:t>
      </w:r>
      <w:r w:rsidR="00EE1D3F">
        <w:t xml:space="preserve">ofrenda de alimentos </w:t>
      </w:r>
      <w:r>
        <w:t xml:space="preserve">no se puede </w:t>
      </w:r>
      <w:r w:rsidR="00EE1D3F">
        <w:t>comer</w:t>
      </w:r>
      <w:r>
        <w:t>”.</w:t>
      </w:r>
    </w:p>
    <w:p w14:paraId="0A28392E" w14:textId="12D42B93" w:rsidR="005D1420" w:rsidRDefault="005D1420" w:rsidP="005D1420">
      <w:r>
        <w:t xml:space="preserve">120. </w:t>
      </w:r>
      <w:r w:rsidR="00EE1D3F">
        <w:tab/>
      </w:r>
      <w:r>
        <w:t xml:space="preserve">En lugar de pensar: "Él no come </w:t>
      </w:r>
      <w:r w:rsidR="00EE1D3F">
        <w:t xml:space="preserve">ofrenda de alimentos </w:t>
      </w:r>
      <w:r>
        <w:t xml:space="preserve">traída por gente como yo", el otro inmediatamente tomó el cuenco por el borde y lo volteó por un lado. Cuando las gachas de arroz cayeron al suelo, la aflicción del </w:t>
      </w:r>
      <w:r w:rsidR="00EE1D3F">
        <w:t xml:space="preserve">Venerable </w:t>
      </w:r>
      <w:r>
        <w:t xml:space="preserve">se desvaneció. A partir de entonces no volvió a aparecer </w:t>
      </w:r>
      <w:r w:rsidR="00EE1D3F">
        <w:t xml:space="preserve">otra dolencia </w:t>
      </w:r>
      <w:r>
        <w:t>durante cuarenta y cinco años.</w:t>
      </w:r>
    </w:p>
    <w:p w14:paraId="44264698" w14:textId="66F005B0" w:rsidR="005D1420" w:rsidRDefault="005D1420" w:rsidP="005D1420">
      <w:r>
        <w:t xml:space="preserve">121. </w:t>
      </w:r>
      <w:r w:rsidR="00EE1D3F">
        <w:tab/>
      </w:r>
      <w:r>
        <w:t xml:space="preserve">Entonces </w:t>
      </w:r>
      <w:r w:rsidR="002363FA">
        <w:t xml:space="preserve">Sāriputta le </w:t>
      </w:r>
      <w:r>
        <w:t xml:space="preserve">dijo al </w:t>
      </w:r>
      <w:r w:rsidR="000C5ED2">
        <w:t xml:space="preserve">Venerable </w:t>
      </w:r>
      <w:r>
        <w:t xml:space="preserve">Mahā Moggallāna: “Amigo, incluso si los intestinos de uno </w:t>
      </w:r>
      <w:r w:rsidR="002363FA">
        <w:t xml:space="preserve">se </w:t>
      </w:r>
      <w:r>
        <w:t>sal</w:t>
      </w:r>
      <w:r w:rsidR="000C5ED2">
        <w:t>iera</w:t>
      </w:r>
      <w:r>
        <w:t>n y se arrastra</w:t>
      </w:r>
      <w:r w:rsidR="000C5ED2">
        <w:t>ra</w:t>
      </w:r>
      <w:r>
        <w:t>n por el suelo, no s</w:t>
      </w:r>
      <w:r w:rsidR="000C5ED2">
        <w:t>ería</w:t>
      </w:r>
      <w:r>
        <w:t xml:space="preserve"> apropiado comer gachas obtenidas por insinuación verbal”, y pronunció esta exclamación:</w:t>
      </w:r>
    </w:p>
    <w:p w14:paraId="0B6F077E" w14:textId="679FA78B" w:rsidR="005D1420" w:rsidRDefault="005D1420" w:rsidP="005D1420">
      <w:pPr>
        <w:pStyle w:val="VersoIngls01Sangria"/>
      </w:pPr>
      <w:r>
        <w:t xml:space="preserve">Mi sustento bien podría ser </w:t>
      </w:r>
      <w:r w:rsidR="00B53477">
        <w:t>censurable</w:t>
      </w:r>
    </w:p>
    <w:p w14:paraId="3D7F312F" w14:textId="77777777" w:rsidR="005D1420" w:rsidRDefault="005D1420" w:rsidP="005D1420">
      <w:pPr>
        <w:pStyle w:val="VersoIngls01Sangria"/>
      </w:pPr>
      <w:r>
        <w:t>Si tuviera que consentir en comer</w:t>
      </w:r>
    </w:p>
    <w:p w14:paraId="538EABB1" w14:textId="77777777" w:rsidR="005D1420" w:rsidRDefault="005D1420" w:rsidP="005D1420">
      <w:pPr>
        <w:pStyle w:val="VersoIngls01Sangria"/>
      </w:pPr>
      <w:r>
        <w:t>La miel y las gachas obtenidas</w:t>
      </w:r>
    </w:p>
    <w:p w14:paraId="235D9A6A" w14:textId="77777777" w:rsidR="005D1420" w:rsidRDefault="005D1420" w:rsidP="00053154">
      <w:pPr>
        <w:pStyle w:val="VersoIngls01Sangria"/>
        <w:spacing w:after="100"/>
        <w:ind w:left="1418"/>
      </w:pPr>
      <w:r>
        <w:t>Por influencia de indirectas verbales.</w:t>
      </w:r>
    </w:p>
    <w:p w14:paraId="58F9AAAD" w14:textId="3E38336F" w:rsidR="005D1420" w:rsidRDefault="005D1420" w:rsidP="005D1420">
      <w:pPr>
        <w:pStyle w:val="VersoIngls01Sangria"/>
      </w:pPr>
      <w:r>
        <w:t>E incluso si mis entrañas se obstruye</w:t>
      </w:r>
      <w:r w:rsidR="00A4628D">
        <w:t>se</w:t>
      </w:r>
      <w:r>
        <w:t>n</w:t>
      </w:r>
    </w:p>
    <w:p w14:paraId="7D158456" w14:textId="4EFD6782" w:rsidR="005D1420" w:rsidRDefault="005D1420" w:rsidP="005D1420">
      <w:pPr>
        <w:pStyle w:val="VersoIngls01Sangria"/>
      </w:pPr>
      <w:r>
        <w:t xml:space="preserve">Y </w:t>
      </w:r>
      <w:r w:rsidR="00A4628D">
        <w:t>salieran</w:t>
      </w:r>
      <w:r>
        <w:t xml:space="preserve"> </w:t>
      </w:r>
      <w:r w:rsidR="002363FA">
        <w:t>hacia el exterior</w:t>
      </w:r>
      <w:r>
        <w:t>, y aunque</w:t>
      </w:r>
    </w:p>
    <w:p w14:paraId="3D82E11C" w14:textId="60768598" w:rsidR="005D1420" w:rsidRDefault="005D1420" w:rsidP="005D1420">
      <w:pPr>
        <w:pStyle w:val="VersoIngls01Sangria"/>
      </w:pPr>
      <w:r>
        <w:t xml:space="preserve">Mi vida </w:t>
      </w:r>
      <w:r w:rsidR="00A4628D">
        <w:t xml:space="preserve">estuviese </w:t>
      </w:r>
      <w:r>
        <w:t>en peligro,</w:t>
      </w:r>
    </w:p>
    <w:p w14:paraId="6102D167" w14:textId="10294568" w:rsidR="005D1420" w:rsidRDefault="005D1420" w:rsidP="00053154">
      <w:pPr>
        <w:pStyle w:val="VersoIngls01Sangria"/>
        <w:spacing w:after="100"/>
        <w:ind w:left="1418"/>
      </w:pPr>
      <w:r>
        <w:t xml:space="preserve">No </w:t>
      </w:r>
      <w:r w:rsidR="00A4628D">
        <w:t>contaminar</w:t>
      </w:r>
      <w:r w:rsidR="002363FA">
        <w:t>ía</w:t>
      </w:r>
      <w:r>
        <w:t xml:space="preserve"> mi sustento (Mil 370).</w:t>
      </w:r>
    </w:p>
    <w:p w14:paraId="44283B47" w14:textId="77777777" w:rsidR="005D1420" w:rsidRDefault="005D1420" w:rsidP="005D1420">
      <w:pPr>
        <w:pStyle w:val="VersoIngls01Sangria"/>
      </w:pPr>
      <w:r>
        <w:t>Porque yo saciaré mi corazón</w:t>
      </w:r>
    </w:p>
    <w:p w14:paraId="5676EAFC" w14:textId="77777777" w:rsidR="005D1420" w:rsidRDefault="005D1420" w:rsidP="005D1420">
      <w:pPr>
        <w:pStyle w:val="VersoIngls01Sangria"/>
      </w:pPr>
      <w:r>
        <w:t>Evitando todo tipo de búsqueda incorrecta;</w:t>
      </w:r>
    </w:p>
    <w:p w14:paraId="2B21975F" w14:textId="77777777" w:rsidR="005D1420" w:rsidRDefault="005D1420" w:rsidP="005D1420">
      <w:pPr>
        <w:pStyle w:val="VersoIngls01Sangria"/>
      </w:pPr>
      <w:r>
        <w:t>Y nunca emprenderé</w:t>
      </w:r>
    </w:p>
    <w:p w14:paraId="42B8D87A" w14:textId="6991720F" w:rsidR="005D1420" w:rsidRDefault="005D1420" w:rsidP="005D1420">
      <w:pPr>
        <w:pStyle w:val="VersoIngls01Sangria"/>
        <w:spacing w:after="100"/>
        <w:ind w:left="1418"/>
      </w:pPr>
      <w:r>
        <w:t xml:space="preserve">La búsqueda que los </w:t>
      </w:r>
      <w:r w:rsidR="00057BF4" w:rsidRPr="00057BF4">
        <w:rPr>
          <w:i/>
        </w:rPr>
        <w:t>Buddha</w:t>
      </w:r>
      <w:r>
        <w:t>s ha</w:t>
      </w:r>
      <w:r w:rsidR="00A4628D">
        <w:t>ya</w:t>
      </w:r>
      <w:r>
        <w:t>n condenado. [43]</w:t>
      </w:r>
    </w:p>
    <w:p w14:paraId="4855864E" w14:textId="583DF744" w:rsidR="005D1420" w:rsidRDefault="005D1420" w:rsidP="005D1420">
      <w:r>
        <w:t>122</w:t>
      </w:r>
      <w:r w:rsidR="00A4628D">
        <w:t>.</w:t>
      </w:r>
      <w:r>
        <w:t xml:space="preserve"> </w:t>
      </w:r>
      <w:r w:rsidR="00A4628D">
        <w:tab/>
      </w:r>
      <w:r>
        <w:t xml:space="preserve">Y aquí también debe contarse la historia del </w:t>
      </w:r>
      <w:r w:rsidR="00A4628D">
        <w:t xml:space="preserve">Venerable </w:t>
      </w:r>
      <w:r>
        <w:t xml:space="preserve">Mahā </w:t>
      </w:r>
      <w:proofErr w:type="spellStart"/>
      <w:r>
        <w:t>Tissa</w:t>
      </w:r>
      <w:proofErr w:type="spellEnd"/>
      <w:r>
        <w:t>, el comedor de mango</w:t>
      </w:r>
      <w:r w:rsidR="00A4628D">
        <w:t>s</w:t>
      </w:r>
      <w:r>
        <w:t xml:space="preserve"> que vivía en Cīragumba</w:t>
      </w:r>
      <w:r w:rsidR="00EC5896">
        <w:rPr>
          <w:vertAlign w:val="superscript"/>
        </w:rPr>
        <w:t>32</w:t>
      </w:r>
      <w:r>
        <w:t xml:space="preserve"> (ver §132 a continuación). Así que en todos los aspectos:</w:t>
      </w:r>
    </w:p>
    <w:p w14:paraId="140E2AD7" w14:textId="77777777" w:rsidR="005D1420" w:rsidRPr="00053154" w:rsidRDefault="005D1420" w:rsidP="00053154">
      <w:pPr>
        <w:pStyle w:val="PiedepginaLegal"/>
        <w:rPr>
          <w:u w:val="single"/>
        </w:rPr>
      </w:pPr>
      <w:r w:rsidRPr="00053154">
        <w:rPr>
          <w:u w:val="single"/>
        </w:rPr>
        <w:t xml:space="preserve">                                                                                                                                                            .</w:t>
      </w:r>
    </w:p>
    <w:p w14:paraId="0C511D20" w14:textId="1FFDFAC8" w:rsidR="00053154" w:rsidRDefault="005D1420" w:rsidP="00053154">
      <w:pPr>
        <w:pStyle w:val="PiedepginaLegal"/>
      </w:pPr>
      <w:r>
        <w:t xml:space="preserve"> 32. </w:t>
      </w:r>
      <w:r w:rsidR="00053154">
        <w:tab/>
      </w:r>
      <w:r>
        <w:t xml:space="preserve">“Parece que el </w:t>
      </w:r>
      <w:r w:rsidR="00D82D57">
        <w:t xml:space="preserve">Venerable </w:t>
      </w:r>
      <w:r>
        <w:t xml:space="preserve">Mahā </w:t>
      </w:r>
      <w:proofErr w:type="spellStart"/>
      <w:r>
        <w:t>Tissa</w:t>
      </w:r>
      <w:proofErr w:type="spellEnd"/>
      <w:r>
        <w:t xml:space="preserve"> iba de viaje durante una hambruna y, estando cansado </w:t>
      </w:r>
      <w:r w:rsidR="00C81E41">
        <w:t>físicamente</w:t>
      </w:r>
      <w:r>
        <w:t xml:space="preserve"> y débil por la falta de comida y el viaje, se </w:t>
      </w:r>
      <w:r w:rsidR="00D82D57">
        <w:t>re</w:t>
      </w:r>
      <w:r>
        <w:t xml:space="preserve">costó en la raíz de un árbol de mango </w:t>
      </w:r>
      <w:r w:rsidR="00D82D57">
        <w:t>surtido</w:t>
      </w:r>
      <w:r>
        <w:t xml:space="preserve"> de fruta</w:t>
      </w:r>
      <w:r w:rsidR="00D82D57">
        <w:t>s</w:t>
      </w:r>
      <w:r>
        <w:t>. Había muchos mangos caídos aquí y allá” (</w:t>
      </w:r>
      <w:proofErr w:type="spellStart"/>
      <w:r>
        <w:t>Vism-mhṭ</w:t>
      </w:r>
      <w:proofErr w:type="spellEnd"/>
      <w:r>
        <w:t xml:space="preserve"> 60). “A través de mangos sin dueño que yacían en el suelo cerca de él, él no los comería en ausencia de alguien de quien aceptarlos” (</w:t>
      </w:r>
      <w:proofErr w:type="spellStart"/>
      <w:r>
        <w:t>Vismmhṭ</w:t>
      </w:r>
      <w:proofErr w:type="spellEnd"/>
      <w:r>
        <w:t xml:space="preserve"> 65). “Entonces un devoto laico, que era mayor que él, se acercó al </w:t>
      </w:r>
      <w:r w:rsidR="0002241D">
        <w:t xml:space="preserve">Venerable </w:t>
      </w:r>
      <w:r>
        <w:t xml:space="preserve">y, al enterarse de su agotamiento, le dio a beber jugo de mango. Luego lo </w:t>
      </w:r>
      <w:r w:rsidR="0002241D">
        <w:t>cargó</w:t>
      </w:r>
      <w:r>
        <w:t xml:space="preserve"> sobre </w:t>
      </w:r>
    </w:p>
    <w:p w14:paraId="05525BF6" w14:textId="77777777" w:rsidR="00053154" w:rsidRDefault="00053154">
      <w:pPr>
        <w:tabs>
          <w:tab w:val="clear" w:pos="425"/>
        </w:tabs>
        <w:spacing w:after="160"/>
      </w:pPr>
      <w:r>
        <w:br w:type="page"/>
      </w:r>
    </w:p>
    <w:p w14:paraId="7CC80345" w14:textId="77777777" w:rsidR="00C96768" w:rsidRDefault="00C96768" w:rsidP="00C96768">
      <w:pPr>
        <w:pStyle w:val="VersoIngls01Sangria"/>
      </w:pPr>
    </w:p>
    <w:p w14:paraId="24E087F9" w14:textId="6633D211" w:rsidR="00C96768" w:rsidRDefault="00C96768" w:rsidP="00C96768">
      <w:pPr>
        <w:pStyle w:val="VersoIngls01Sangria"/>
      </w:pPr>
      <w:r>
        <w:t xml:space="preserve">Un hombre que </w:t>
      </w:r>
      <w:r w:rsidR="00A4628D">
        <w:t xml:space="preserve">se </w:t>
      </w:r>
      <w:r>
        <w:t>ha</w:t>
      </w:r>
      <w:r w:rsidR="00A4628D">
        <w:t>ya</w:t>
      </w:r>
      <w:r>
        <w:t xml:space="preserve"> </w:t>
      </w:r>
      <w:r w:rsidR="00A4628D">
        <w:t xml:space="preserve">ordenado </w:t>
      </w:r>
      <w:r>
        <w:t>en la fe</w:t>
      </w:r>
    </w:p>
    <w:p w14:paraId="54CD22B7" w14:textId="77777777" w:rsidR="00C96768" w:rsidRDefault="00C96768" w:rsidP="00C96768">
      <w:pPr>
        <w:pStyle w:val="VersoIngls01Sangria"/>
      </w:pPr>
      <w:r>
        <w:t>Debe purificar su sustento</w:t>
      </w:r>
    </w:p>
    <w:p w14:paraId="5CB9965A" w14:textId="5A37C681" w:rsidR="00C96768" w:rsidRDefault="00C96768" w:rsidP="00C96768">
      <w:pPr>
        <w:pStyle w:val="VersoIngls01Sangria"/>
      </w:pPr>
      <w:r>
        <w:t xml:space="preserve">Y, </w:t>
      </w:r>
      <w:r w:rsidR="009D1BB9">
        <w:t>observando</w:t>
      </w:r>
      <w:r>
        <w:t xml:space="preserve"> claramente, no </w:t>
      </w:r>
      <w:r w:rsidR="002E063D">
        <w:t>darle ningún pensamiento</w:t>
      </w:r>
    </w:p>
    <w:p w14:paraId="56C9ECA9" w14:textId="478E5397" w:rsidR="00C96768" w:rsidRDefault="00C96768" w:rsidP="00C96768">
      <w:pPr>
        <w:pStyle w:val="VersoIngls01Sangria"/>
        <w:spacing w:after="100"/>
        <w:ind w:left="1418"/>
      </w:pPr>
      <w:r>
        <w:t xml:space="preserve">A cualquier búsqueda que no sea </w:t>
      </w:r>
      <w:r w:rsidR="002363FA">
        <w:t>la correcta</w:t>
      </w:r>
      <w:r>
        <w:t>.</w:t>
      </w:r>
    </w:p>
    <w:p w14:paraId="1B88F3CD" w14:textId="1AD68C82" w:rsidR="00C96768" w:rsidRDefault="00C96768" w:rsidP="00C96768">
      <w:r>
        <w:t xml:space="preserve">123. </w:t>
      </w:r>
      <w:r w:rsidR="00C3714B">
        <w:tab/>
      </w:r>
      <w:r>
        <w:t>(d) Y así como la purificación de los medios de</w:t>
      </w:r>
      <w:r w:rsidR="00A83CCB">
        <w:t>l sustento vital</w:t>
      </w:r>
      <w:r>
        <w:t xml:space="preserve"> debe emprenderse por medio de la energía, así la </w:t>
      </w:r>
      <w:r w:rsidRPr="00A161D5">
        <w:rPr>
          <w:i/>
          <w:iCs/>
        </w:rPr>
        <w:t>virtud dependiente de los requisitos</w:t>
      </w:r>
      <w:r>
        <w:t xml:space="preserve"> debe emprenderse por medio </w:t>
      </w:r>
      <w:proofErr w:type="gramStart"/>
      <w:r>
        <w:t xml:space="preserve">de la </w:t>
      </w:r>
      <w:r w:rsidR="00A161D5">
        <w:rPr>
          <w:i/>
          <w:iCs/>
        </w:rPr>
        <w:t>entendimiento</w:t>
      </w:r>
      <w:proofErr w:type="gramEnd"/>
      <w:r>
        <w:t>. Porque e</w:t>
      </w:r>
      <w:r w:rsidR="00880393">
        <w:t>ll</w:t>
      </w:r>
      <w:r>
        <w:t>o se logra</w:t>
      </w:r>
      <w:r w:rsidR="00A83CCB">
        <w:t>rá</w:t>
      </w:r>
      <w:r>
        <w:t xml:space="preserve"> </w:t>
      </w:r>
      <w:r w:rsidR="00880393">
        <w:t>mediante</w:t>
      </w:r>
      <w:r>
        <w:t xml:space="preserve"> el entendimiento, porque quien pose</w:t>
      </w:r>
      <w:r w:rsidR="00880393">
        <w:t>a</w:t>
      </w:r>
      <w:r>
        <w:t xml:space="preserve"> entendimiento s</w:t>
      </w:r>
      <w:r w:rsidR="00880393">
        <w:t>erá</w:t>
      </w:r>
      <w:r>
        <w:t xml:space="preserve"> capaz de ver las ventajas y los peligros en los requisitos. </w:t>
      </w:r>
      <w:r w:rsidR="002D69D5">
        <w:t xml:space="preserve">Es así </w:t>
      </w:r>
      <w:proofErr w:type="gramStart"/>
      <w:r w:rsidR="002D69D5">
        <w:t>que</w:t>
      </w:r>
      <w:proofErr w:type="gramEnd"/>
      <w:r w:rsidR="002D69D5">
        <w:t xml:space="preserve"> debe </w:t>
      </w:r>
      <w:r>
        <w:t>abandonar</w:t>
      </w:r>
      <w:r w:rsidR="002D69D5">
        <w:t>se</w:t>
      </w:r>
      <w:r>
        <w:t xml:space="preserve"> la codicia </w:t>
      </w:r>
      <w:r w:rsidR="00880393">
        <w:t>hacia los</w:t>
      </w:r>
      <w:r>
        <w:t xml:space="preserve"> requisitos y emprender </w:t>
      </w:r>
      <w:r w:rsidR="00FD4797">
        <w:t>dicha</w:t>
      </w:r>
      <w:r>
        <w:t xml:space="preserve"> virtud u</w:t>
      </w:r>
      <w:r w:rsidR="005800E3">
        <w:t>tiliz</w:t>
      </w:r>
      <w:r>
        <w:t>ando los requisitos obtenidos lícita y debidamente, después de haberlos examinado con entendimiento en la forma antedicha.</w:t>
      </w:r>
    </w:p>
    <w:p w14:paraId="6FFDC23B" w14:textId="7B56A2C9" w:rsidR="00C96768" w:rsidRDefault="00C96768" w:rsidP="00C96768">
      <w:r>
        <w:t xml:space="preserve">124. </w:t>
      </w:r>
      <w:r w:rsidR="00E24B03">
        <w:tab/>
      </w:r>
      <w:r>
        <w:t xml:space="preserve">En este caso, la </w:t>
      </w:r>
      <w:r w:rsidR="00E24B03">
        <w:t>examinación</w:t>
      </w:r>
      <w:r>
        <w:t xml:space="preserve"> es de dos clases: en el momento de recibir los requisitos y en el momento de utilizarlos. Porque el uso (</w:t>
      </w:r>
      <w:proofErr w:type="spellStart"/>
      <w:r w:rsidRPr="00A161D5">
        <w:rPr>
          <w:i/>
          <w:iCs/>
        </w:rPr>
        <w:t>paribhoga</w:t>
      </w:r>
      <w:proofErr w:type="spellEnd"/>
      <w:r>
        <w:t>) s</w:t>
      </w:r>
      <w:r w:rsidR="007131CB">
        <w:t>erá</w:t>
      </w:r>
      <w:r>
        <w:t xml:space="preserve"> irreprensible en </w:t>
      </w:r>
      <w:r w:rsidR="001E743C">
        <w:t>quien,</w:t>
      </w:r>
      <w:r>
        <w:t xml:space="preserve"> al momento de recibir </w:t>
      </w:r>
      <w:r w:rsidR="00E57CCF">
        <w:t xml:space="preserve">los </w:t>
      </w:r>
      <w:r w:rsidR="00E24B03">
        <w:t>ropajes</w:t>
      </w:r>
      <w:r>
        <w:t>, etc., l</w:t>
      </w:r>
      <w:r w:rsidR="00E57CCF">
        <w:t>o</w:t>
      </w:r>
      <w:r>
        <w:t xml:space="preserve">s </w:t>
      </w:r>
      <w:r w:rsidR="00E57CCF">
        <w:t>examin</w:t>
      </w:r>
      <w:r w:rsidR="007131CB">
        <w:t>e</w:t>
      </w:r>
      <w:r w:rsidR="00E57CCF">
        <w:t xml:space="preserve"> </w:t>
      </w:r>
      <w:r>
        <w:t xml:space="preserve">como </w:t>
      </w:r>
      <w:r w:rsidR="007131CB">
        <w:t xml:space="preserve">simples elementos </w:t>
      </w:r>
      <w:r>
        <w:t xml:space="preserve">o </w:t>
      </w:r>
      <w:r w:rsidR="007131CB">
        <w:t xml:space="preserve">como </w:t>
      </w:r>
      <w:r w:rsidR="00BB5466">
        <w:t xml:space="preserve">elementos </w:t>
      </w:r>
      <w:r>
        <w:t>repulsiv</w:t>
      </w:r>
      <w:r w:rsidR="00E57CCF">
        <w:t>o</w:t>
      </w:r>
      <w:r>
        <w:t>s,</w:t>
      </w:r>
      <w:r w:rsidRPr="004E28C2">
        <w:rPr>
          <w:vertAlign w:val="superscript"/>
        </w:rPr>
        <w:t>33</w:t>
      </w:r>
      <w:r>
        <w:t xml:space="preserve"> y l</w:t>
      </w:r>
      <w:r w:rsidR="00E57CCF">
        <w:t>o</w:t>
      </w:r>
      <w:r>
        <w:t>s apart</w:t>
      </w:r>
      <w:r w:rsidR="007131CB">
        <w:t>e</w:t>
      </w:r>
      <w:r>
        <w:t xml:space="preserve"> para un uso posterior, y en quien l</w:t>
      </w:r>
      <w:r w:rsidR="00E57CCF">
        <w:t>o</w:t>
      </w:r>
      <w:r>
        <w:t xml:space="preserve">s </w:t>
      </w:r>
      <w:r w:rsidR="00E57CCF">
        <w:t>examine</w:t>
      </w:r>
      <w:r>
        <w:t xml:space="preserve"> así en el momento de u</w:t>
      </w:r>
      <w:r w:rsidR="00093333">
        <w:t>tilizar</w:t>
      </w:r>
      <w:r>
        <w:t>los.</w:t>
      </w:r>
    </w:p>
    <w:p w14:paraId="75114B90" w14:textId="26D7D825" w:rsidR="00C96768" w:rsidRDefault="00C96768" w:rsidP="00C96768">
      <w:r>
        <w:t xml:space="preserve">125. </w:t>
      </w:r>
      <w:r w:rsidR="00E24B03">
        <w:tab/>
      </w:r>
      <w:r>
        <w:t xml:space="preserve">He aquí una explicación para </w:t>
      </w:r>
      <w:r w:rsidR="002152F4">
        <w:t>aclarar definitivamente</w:t>
      </w:r>
      <w:r>
        <w:t xml:space="preserve"> el asunto. </w:t>
      </w:r>
      <w:r w:rsidR="002152F4">
        <w:t xml:space="preserve">Existen </w:t>
      </w:r>
      <w:r>
        <w:t xml:space="preserve">cuatro clases de uso: </w:t>
      </w:r>
      <w:r w:rsidR="000254FB">
        <w:t xml:space="preserve">el </w:t>
      </w:r>
      <w:r>
        <w:t xml:space="preserve">uso como </w:t>
      </w:r>
      <w:r w:rsidR="000254FB">
        <w:t>un hurto</w:t>
      </w:r>
      <w:r>
        <w:t>,</w:t>
      </w:r>
      <w:r w:rsidRPr="00D235A2">
        <w:rPr>
          <w:vertAlign w:val="superscript"/>
        </w:rPr>
        <w:t>34</w:t>
      </w:r>
      <w:r w:rsidR="00D235A2">
        <w:t xml:space="preserve"> </w:t>
      </w:r>
      <w:r w:rsidR="000254FB">
        <w:t xml:space="preserve">el </w:t>
      </w:r>
      <w:r>
        <w:t xml:space="preserve">uso como </w:t>
      </w:r>
      <w:r w:rsidR="000254FB">
        <w:t xml:space="preserve">una </w:t>
      </w:r>
      <w:r>
        <w:t xml:space="preserve">deuda, </w:t>
      </w:r>
      <w:r w:rsidR="000254FB">
        <w:t xml:space="preserve">el </w:t>
      </w:r>
      <w:r>
        <w:t xml:space="preserve">uso como </w:t>
      </w:r>
      <w:r w:rsidR="000254FB">
        <w:t xml:space="preserve">una </w:t>
      </w:r>
      <w:r>
        <w:t>herencia</w:t>
      </w:r>
      <w:r w:rsidR="000254FB">
        <w:t xml:space="preserve"> y</w:t>
      </w:r>
      <w:r>
        <w:t xml:space="preserve"> </w:t>
      </w:r>
      <w:r w:rsidR="000254FB">
        <w:t xml:space="preserve">el </w:t>
      </w:r>
      <w:r>
        <w:t xml:space="preserve">uso como </w:t>
      </w:r>
      <w:r w:rsidR="000254FB">
        <w:t>un maestro</w:t>
      </w:r>
      <w:r>
        <w:t>. Aquí se llama “uso como hurto” al uso por quien no s</w:t>
      </w:r>
      <w:r w:rsidR="001429FA">
        <w:t>ea</w:t>
      </w:r>
      <w:r>
        <w:t xml:space="preserve"> virtuoso y ha</w:t>
      </w:r>
      <w:r w:rsidR="001429FA">
        <w:t>ga</w:t>
      </w:r>
      <w:r>
        <w:t xml:space="preserve"> uso de los requisitos, </w:t>
      </w:r>
      <w:r w:rsidR="00EF6C2C">
        <w:t xml:space="preserve">inclusive </w:t>
      </w:r>
      <w:r>
        <w:t xml:space="preserve">sentado en medio de la Comunidad. El uso sin </w:t>
      </w:r>
      <w:r w:rsidR="00503C7E">
        <w:t>examinación</w:t>
      </w:r>
      <w:r>
        <w:t xml:space="preserve"> por parte de quien s</w:t>
      </w:r>
      <w:r w:rsidR="00503C7E">
        <w:t>ea</w:t>
      </w:r>
      <w:r>
        <w:t xml:space="preserve"> virtuoso es “</w:t>
      </w:r>
      <w:r w:rsidR="00503C7E">
        <w:t xml:space="preserve">un </w:t>
      </w:r>
      <w:r>
        <w:t xml:space="preserve">uso como </w:t>
      </w:r>
      <w:r w:rsidR="00EF6C2C">
        <w:t xml:space="preserve">una </w:t>
      </w:r>
      <w:r>
        <w:t xml:space="preserve">deuda”; por lo tanto, </w:t>
      </w:r>
      <w:r w:rsidR="00503C7E">
        <w:t>el ropaje</w:t>
      </w:r>
      <w:r>
        <w:t xml:space="preserve"> debe</w:t>
      </w:r>
      <w:r w:rsidR="007A413F">
        <w:t>rá</w:t>
      </w:r>
      <w:r>
        <w:t xml:space="preserve"> </w:t>
      </w:r>
      <w:r w:rsidR="00503C7E">
        <w:t xml:space="preserve">examinarse </w:t>
      </w:r>
      <w:r>
        <w:t>cada vez que se us</w:t>
      </w:r>
      <w:r w:rsidR="00503C7E">
        <w:t>e</w:t>
      </w:r>
      <w:r>
        <w:t xml:space="preserve">, y </w:t>
      </w:r>
      <w:r w:rsidR="00503C7E">
        <w:t>la ofrenda de alimentos</w:t>
      </w:r>
      <w:r>
        <w:t xml:space="preserve">, </w:t>
      </w:r>
      <w:r w:rsidR="00CF319A">
        <w:t>bocado tras bo</w:t>
      </w:r>
      <w:r w:rsidR="00B5642B">
        <w:t>cado</w:t>
      </w:r>
      <w:r>
        <w:t>. Quien no pueda hacer esto</w:t>
      </w:r>
      <w:r w:rsidR="00B5642B">
        <w:t xml:space="preserve"> </w:t>
      </w:r>
      <w:r>
        <w:t xml:space="preserve">antes de la comida, </w:t>
      </w:r>
      <w:r w:rsidR="00A669DA">
        <w:t xml:space="preserve">debe examinarlo </w:t>
      </w:r>
      <w:r>
        <w:t xml:space="preserve">después de </w:t>
      </w:r>
      <w:r w:rsidR="000E40DE">
        <w:t>ingerirla</w:t>
      </w:r>
      <w:r>
        <w:t xml:space="preserve">, en la primera vigilia, en la vigilia intermedia </w:t>
      </w:r>
      <w:r w:rsidR="00A669DA">
        <w:t>o</w:t>
      </w:r>
      <w:r>
        <w:t xml:space="preserve"> en la última vigilia</w:t>
      </w:r>
      <w:r w:rsidR="00A669DA">
        <w:t xml:space="preserve"> de la noche</w:t>
      </w:r>
      <w:r>
        <w:t xml:space="preserve">. Si amanece sobre él sin haberlo </w:t>
      </w:r>
      <w:r w:rsidR="003E27BC">
        <w:t>examinado</w:t>
      </w:r>
      <w:r>
        <w:t>, se enc</w:t>
      </w:r>
      <w:r w:rsidR="00204FB7">
        <w:t>o</w:t>
      </w:r>
      <w:r>
        <w:t>ntra</w:t>
      </w:r>
      <w:r w:rsidR="00204FB7">
        <w:t>rá</w:t>
      </w:r>
      <w:r>
        <w:t xml:space="preserve"> en la posición de quien lo ha</w:t>
      </w:r>
      <w:r w:rsidR="00204FB7">
        <w:t>ya</w:t>
      </w:r>
      <w:r>
        <w:t xml:space="preserve"> usado como una deuda. También se debe </w:t>
      </w:r>
      <w:r w:rsidR="00204FB7">
        <w:t>examinar</w:t>
      </w:r>
      <w:r>
        <w:t xml:space="preserve"> el lugar de descanso cada vez que se utilice. </w:t>
      </w:r>
      <w:r w:rsidR="00204FB7">
        <w:t xml:space="preserve">Será </w:t>
      </w:r>
      <w:r>
        <w:t xml:space="preserve">apropiado recurrir a la atención plena tanto en la aceptación como en el uso de la medicina; pero </w:t>
      </w:r>
      <w:r w:rsidR="00E26104">
        <w:t xml:space="preserve">aún </w:t>
      </w:r>
      <w:r>
        <w:t>mientras esto s</w:t>
      </w:r>
      <w:r w:rsidR="00204FB7">
        <w:t>ea</w:t>
      </w:r>
      <w:r>
        <w:t xml:space="preserve"> así, aunque hay</w:t>
      </w:r>
      <w:r w:rsidR="00204FB7">
        <w:t>a</w:t>
      </w:r>
      <w:r>
        <w:t xml:space="preserve"> una ofensa para quien lo us</w:t>
      </w:r>
      <w:r w:rsidR="00204FB7">
        <w:t>e</w:t>
      </w:r>
      <w:r>
        <w:t xml:space="preserve"> sin atención después de </w:t>
      </w:r>
      <w:r w:rsidR="00E3454F">
        <w:t>un</w:t>
      </w:r>
      <w:r>
        <w:t>a aceptación consciente, no ha</w:t>
      </w:r>
      <w:r w:rsidR="00B11C0C">
        <w:t>brá</w:t>
      </w:r>
      <w:r>
        <w:t xml:space="preserve"> ofensa </w:t>
      </w:r>
      <w:r w:rsidR="00B11C0C">
        <w:t>en</w:t>
      </w:r>
      <w:r>
        <w:t xml:space="preserve"> quien s</w:t>
      </w:r>
      <w:r w:rsidR="00B11C0C">
        <w:t>ea</w:t>
      </w:r>
      <w:r>
        <w:t xml:space="preserve"> consciente al u</w:t>
      </w:r>
      <w:r w:rsidR="00E3454F">
        <w:t>tiliza</w:t>
      </w:r>
      <w:r>
        <w:t>r</w:t>
      </w:r>
      <w:r w:rsidR="00B11C0C">
        <w:t>lo</w:t>
      </w:r>
      <w:r>
        <w:t xml:space="preserve"> después de aceptar </w:t>
      </w:r>
      <w:r w:rsidR="00B11C0C">
        <w:t xml:space="preserve">el requisito </w:t>
      </w:r>
      <w:r>
        <w:t>sin atención.</w:t>
      </w:r>
    </w:p>
    <w:p w14:paraId="338CD683" w14:textId="239D6DFB" w:rsidR="00C96768" w:rsidRDefault="00C96768" w:rsidP="00C96768">
      <w:r>
        <w:t xml:space="preserve">126. </w:t>
      </w:r>
      <w:r w:rsidR="00B11C0C">
        <w:tab/>
      </w:r>
      <w:r>
        <w:t xml:space="preserve">La purificación es de cuatro tipos: purificación </w:t>
      </w:r>
      <w:r w:rsidR="00B11C0C">
        <w:t>mediante</w:t>
      </w:r>
      <w:r>
        <w:t xml:space="preserve"> la Enseñanza, purificación </w:t>
      </w:r>
      <w:r w:rsidR="00B11C0C">
        <w:t xml:space="preserve">mediante </w:t>
      </w:r>
      <w:r>
        <w:t xml:space="preserve">la restricción, purificación </w:t>
      </w:r>
      <w:r w:rsidR="00B11C0C">
        <w:t xml:space="preserve">mediante </w:t>
      </w:r>
      <w:r>
        <w:t xml:space="preserve">la búsqueda y purificación </w:t>
      </w:r>
      <w:r w:rsidR="00B11C0C">
        <w:t xml:space="preserve">mediante </w:t>
      </w:r>
      <w:r w:rsidR="00D37D6F">
        <w:t xml:space="preserve">la </w:t>
      </w:r>
      <w:r w:rsidR="00B11C0C">
        <w:t>examinación</w:t>
      </w:r>
      <w:r>
        <w:t xml:space="preserve">. </w:t>
      </w:r>
    </w:p>
    <w:p w14:paraId="3D0E3B87" w14:textId="77777777" w:rsidR="00C96768" w:rsidRPr="00C96768" w:rsidRDefault="00C96768" w:rsidP="00C96768">
      <w:pPr>
        <w:pStyle w:val="PiedepginaLegal"/>
        <w:rPr>
          <w:u w:val="single"/>
        </w:rPr>
      </w:pPr>
      <w:r w:rsidRPr="00C96768">
        <w:rPr>
          <w:u w:val="single"/>
        </w:rPr>
        <w:t xml:space="preserve">                                                                                                                                                            .</w:t>
      </w:r>
    </w:p>
    <w:p w14:paraId="660E7F02" w14:textId="0BF8C787" w:rsidR="00C96768" w:rsidRDefault="00C96768" w:rsidP="00C96768">
      <w:pPr>
        <w:pStyle w:val="PiedepginaLegal"/>
      </w:pPr>
      <w:r>
        <w:t xml:space="preserve">… </w:t>
      </w:r>
      <w:r>
        <w:tab/>
      </w:r>
      <w:r w:rsidR="00DD172F">
        <w:t xml:space="preserve">su espalda y </w:t>
      </w:r>
      <w:r>
        <w:t xml:space="preserve">lo llevó a su casa. Mientras </w:t>
      </w:r>
      <w:r w:rsidR="002645BE">
        <w:t>ello ocurría</w:t>
      </w:r>
      <w:r>
        <w:t xml:space="preserve">, el </w:t>
      </w:r>
      <w:r w:rsidR="002645BE">
        <w:t xml:space="preserve">Venerable </w:t>
      </w:r>
      <w:r>
        <w:t xml:space="preserve">se amonestó a sí mismo de la siguiente manera: "Ni tu madre ni tu padre", etc. (ver §133). Y comenzando </w:t>
      </w:r>
      <w:r w:rsidR="00E1708F">
        <w:t>a comprender</w:t>
      </w:r>
      <w:r>
        <w:t xml:space="preserve"> [las formaciones] </w:t>
      </w:r>
      <w:r w:rsidR="00DD172F">
        <w:t>y desarrollándose su sabiduría</w:t>
      </w:r>
      <w:r>
        <w:t xml:space="preserve">, </w:t>
      </w:r>
      <w:r w:rsidR="00A161D5">
        <w:t>consumó</w:t>
      </w:r>
      <w:r>
        <w:t xml:space="preserve"> el estado de </w:t>
      </w:r>
      <w:r w:rsidR="00057BF4" w:rsidRPr="00057BF4">
        <w:rPr>
          <w:i/>
          <w:iCs/>
        </w:rPr>
        <w:t>Arahant</w:t>
      </w:r>
      <w:r>
        <w:t xml:space="preserve"> siguiendo los otros </w:t>
      </w:r>
      <w:r w:rsidR="00C975CA">
        <w:t xml:space="preserve">senderos </w:t>
      </w:r>
      <w:r>
        <w:t xml:space="preserve">en la debida sucesión mientras aún </w:t>
      </w:r>
      <w:r w:rsidR="00C975CA">
        <w:t xml:space="preserve">era cargado </w:t>
      </w:r>
      <w:r>
        <w:t xml:space="preserve">sobre </w:t>
      </w:r>
      <w:r w:rsidR="00C975CA">
        <w:t>la</w:t>
      </w:r>
      <w:r>
        <w:t xml:space="preserve"> espalda</w:t>
      </w:r>
      <w:r w:rsidR="00C975CA">
        <w:t xml:space="preserve"> del laico</w:t>
      </w:r>
      <w:r>
        <w:t>” (</w:t>
      </w:r>
      <w:proofErr w:type="spellStart"/>
      <w:r>
        <w:t>Vism-mhṭ</w:t>
      </w:r>
      <w:proofErr w:type="spellEnd"/>
      <w:r>
        <w:t xml:space="preserve"> 60).</w:t>
      </w:r>
    </w:p>
    <w:p w14:paraId="552B6F2E" w14:textId="38A9286B" w:rsidR="00C96768" w:rsidRDefault="00C96768" w:rsidP="00C96768">
      <w:pPr>
        <w:pStyle w:val="PiedepginaLegal"/>
      </w:pPr>
      <w:r>
        <w:t xml:space="preserve">33. </w:t>
      </w:r>
      <w:r>
        <w:tab/>
        <w:t>“‘Como elementos’ de esta manera: ‘Est</w:t>
      </w:r>
      <w:r w:rsidR="00672B6A">
        <w:t>e</w:t>
      </w:r>
      <w:r>
        <w:t xml:space="preserve"> </w:t>
      </w:r>
      <w:r w:rsidR="00672B6A">
        <w:t>ropaje</w:t>
      </w:r>
      <w:r>
        <w:t xml:space="preserve">, etc., consiste meramente </w:t>
      </w:r>
      <w:r w:rsidR="00672B6A">
        <w:t>de</w:t>
      </w:r>
      <w:r>
        <w:t xml:space="preserve"> [los cuatro] elementos y ocurre cuando sus condiciones están presentes; y la persona que lo usa [</w:t>
      </w:r>
      <w:r w:rsidR="00A9055F">
        <w:t xml:space="preserve">es </w:t>
      </w:r>
      <w:r>
        <w:t xml:space="preserve">igual].’ ‘Como repulsivo’ de esta manera: Primera percepción de repulsión en el nutrimento en el caso de la </w:t>
      </w:r>
      <w:r w:rsidR="00A9055F">
        <w:t>ofrenda de alimentos</w:t>
      </w:r>
      <w:r>
        <w:t xml:space="preserve">; luego como </w:t>
      </w:r>
      <w:r w:rsidR="00140AA2">
        <w:t>como evocación de</w:t>
      </w:r>
      <w:r>
        <w:t xml:space="preserve"> repulsión </w:t>
      </w:r>
      <w:r w:rsidR="00261AEA">
        <w:t>en</w:t>
      </w:r>
      <w:r>
        <w:t xml:space="preserve"> la mente así: ‘</w:t>
      </w:r>
      <w:r w:rsidR="00DF3026">
        <w:t xml:space="preserve">No obstante, </w:t>
      </w:r>
      <w:r w:rsidR="005F7EC5">
        <w:t>todos estos ropajes</w:t>
      </w:r>
      <w:r>
        <w:t xml:space="preserve">, etc., que no son en sí mismas repugnantes, se vuelven completamente repugnantes al </w:t>
      </w:r>
      <w:r w:rsidR="009D68A4">
        <w:t xml:space="preserve">entrar en contacto con este </w:t>
      </w:r>
      <w:r>
        <w:t>cuerpo inmundo’” (</w:t>
      </w:r>
      <w:proofErr w:type="spellStart"/>
      <w:r>
        <w:t>Vism-mhṭ</w:t>
      </w:r>
      <w:proofErr w:type="spellEnd"/>
      <w:r>
        <w:t xml:space="preserve"> 61).</w:t>
      </w:r>
    </w:p>
    <w:p w14:paraId="4B806A6F" w14:textId="405CFB31" w:rsidR="00C96768" w:rsidRDefault="00C96768" w:rsidP="00C96768">
      <w:pPr>
        <w:pStyle w:val="PiedepginaLegal"/>
      </w:pPr>
      <w:r>
        <w:t xml:space="preserve">34. </w:t>
      </w:r>
      <w:r>
        <w:tab/>
        <w:t xml:space="preserve">“‘Uso como hurto’: </w:t>
      </w:r>
      <w:r w:rsidR="005B6233">
        <w:t xml:space="preserve">es el </w:t>
      </w:r>
      <w:r>
        <w:t>uso por quien s</w:t>
      </w:r>
      <w:r w:rsidR="00DF3026">
        <w:t>ea</w:t>
      </w:r>
      <w:r>
        <w:t xml:space="preserve"> indigno. Y los requisitos son permitidos por el </w:t>
      </w:r>
      <w:r w:rsidR="00DF3026">
        <w:rPr>
          <w:i/>
          <w:iCs/>
        </w:rPr>
        <w:t>Bhagavā</w:t>
      </w:r>
      <w:r w:rsidR="00DF3026">
        <w:t xml:space="preserve"> </w:t>
      </w:r>
      <w:r>
        <w:t xml:space="preserve">en su propia dispensación </w:t>
      </w:r>
      <w:r w:rsidR="0091561A">
        <w:t xml:space="preserve">en alguien </w:t>
      </w:r>
      <w:r>
        <w:t xml:space="preserve">que </w:t>
      </w:r>
      <w:r w:rsidR="0091561A">
        <w:t>sea</w:t>
      </w:r>
      <w:r>
        <w:t xml:space="preserve"> virtuoso, no no</w:t>
      </w:r>
      <w:r w:rsidR="0091561A">
        <w:t>-</w:t>
      </w:r>
      <w:r>
        <w:t xml:space="preserve">virtuoso; y la generosidad de los </w:t>
      </w:r>
      <w:r w:rsidR="005B6233">
        <w:t xml:space="preserve">donantes </w:t>
      </w:r>
      <w:r w:rsidR="001C06DF">
        <w:t xml:space="preserve">será </w:t>
      </w:r>
      <w:r>
        <w:t xml:space="preserve">hacia el que </w:t>
      </w:r>
      <w:r w:rsidR="001C06DF">
        <w:t>sea</w:t>
      </w:r>
      <w:r>
        <w:t xml:space="preserve"> virtuoso, no hacia el que no lo </w:t>
      </w:r>
      <w:r w:rsidR="001C06DF">
        <w:t>sea</w:t>
      </w:r>
      <w:r>
        <w:t>, ya que esperan grandes frutos de sus acciones” (</w:t>
      </w:r>
      <w:proofErr w:type="spellStart"/>
      <w:r>
        <w:t>Vism-mhṭ</w:t>
      </w:r>
      <w:proofErr w:type="spellEnd"/>
      <w:r>
        <w:t xml:space="preserve"> 61; cf. MN 142 y comentario).</w:t>
      </w:r>
    </w:p>
    <w:p w14:paraId="49AA094A" w14:textId="77777777" w:rsidR="00C96768" w:rsidRDefault="00C96768">
      <w:pPr>
        <w:tabs>
          <w:tab w:val="clear" w:pos="425"/>
        </w:tabs>
        <w:spacing w:after="160"/>
      </w:pPr>
      <w:r>
        <w:br w:type="page"/>
      </w:r>
    </w:p>
    <w:p w14:paraId="1A0B9EC5" w14:textId="585366AC" w:rsidR="00090424" w:rsidRDefault="00B11C0C" w:rsidP="00090424">
      <w:r>
        <w:lastRenderedPageBreak/>
        <w:t xml:space="preserve">Al respecto, a la virtud de </w:t>
      </w:r>
      <w:r w:rsidR="00090424">
        <w:t xml:space="preserve">la restricción </w:t>
      </w:r>
      <w:proofErr w:type="spellStart"/>
      <w:r w:rsidR="00090424" w:rsidRPr="00894199">
        <w:rPr>
          <w:i/>
          <w:iCs/>
        </w:rPr>
        <w:t>Pātimokkha</w:t>
      </w:r>
      <w:proofErr w:type="spellEnd"/>
      <w:r w:rsidR="00090424">
        <w:t xml:space="preserve"> se </w:t>
      </w:r>
      <w:r>
        <w:t xml:space="preserve">le </w:t>
      </w:r>
      <w:r w:rsidR="00090424">
        <w:t xml:space="preserve">llama “purificación </w:t>
      </w:r>
      <w:r w:rsidR="000255BE">
        <w:t xml:space="preserve">mediante </w:t>
      </w:r>
      <w:r w:rsidR="00090424">
        <w:t xml:space="preserve">la Enseñanza”; [44] se llama así porque </w:t>
      </w:r>
      <w:r>
        <w:t xml:space="preserve">se </w:t>
      </w:r>
      <w:r w:rsidR="00090424">
        <w:t xml:space="preserve">purifica por medio de la enseñanza. La </w:t>
      </w:r>
      <w:r w:rsidR="00090424" w:rsidRPr="00894199">
        <w:rPr>
          <w:i/>
          <w:iCs/>
        </w:rPr>
        <w:t>virtud de la moderación de las facultades</w:t>
      </w:r>
      <w:r w:rsidR="00090424">
        <w:t xml:space="preserve"> se llama “purificación </w:t>
      </w:r>
      <w:r>
        <w:t xml:space="preserve">mediante </w:t>
      </w:r>
      <w:r w:rsidR="00090424">
        <w:t xml:space="preserve">la moderación”; se llama así porque </w:t>
      </w:r>
      <w:r w:rsidR="00FF5643">
        <w:t xml:space="preserve">se </w:t>
      </w:r>
      <w:r w:rsidR="00090424">
        <w:t xml:space="preserve">purifica por medio de la restricción </w:t>
      </w:r>
      <w:r w:rsidR="00FF5643">
        <w:t xml:space="preserve">mental </w:t>
      </w:r>
      <w:r w:rsidR="006F3010">
        <w:t xml:space="preserve">mediante </w:t>
      </w:r>
      <w:r w:rsidR="00090424">
        <w:t xml:space="preserve">la resolución: "No lo volveré a hacer". La </w:t>
      </w:r>
      <w:r w:rsidR="00090424" w:rsidRPr="00894199">
        <w:rPr>
          <w:i/>
          <w:iCs/>
        </w:rPr>
        <w:t xml:space="preserve">virtud de la purificación del </w:t>
      </w:r>
      <w:r w:rsidR="006F3010">
        <w:rPr>
          <w:i/>
          <w:iCs/>
        </w:rPr>
        <w:t>sustento vital</w:t>
      </w:r>
      <w:r w:rsidR="00090424">
        <w:t xml:space="preserve"> se llama “purificación </w:t>
      </w:r>
      <w:r w:rsidR="006F3010">
        <w:t xml:space="preserve">mediante la </w:t>
      </w:r>
      <w:r w:rsidR="00090424">
        <w:t>búsqueda”; se llama así porque la búsqueda se purifica en quien abandon</w:t>
      </w:r>
      <w:r w:rsidR="006F3010">
        <w:t>e</w:t>
      </w:r>
      <w:r w:rsidR="00090424">
        <w:t xml:space="preserve"> la búsqueda </w:t>
      </w:r>
      <w:r w:rsidR="006F3010">
        <w:t>incorrecta</w:t>
      </w:r>
      <w:r w:rsidR="00090424">
        <w:t xml:space="preserve"> y obten</w:t>
      </w:r>
      <w:r w:rsidR="006F3010">
        <w:t>ga</w:t>
      </w:r>
      <w:r w:rsidR="00090424">
        <w:t xml:space="preserve"> los requisitos lícita y adecuadamente. La </w:t>
      </w:r>
      <w:r w:rsidR="00090424" w:rsidRPr="00894199">
        <w:rPr>
          <w:i/>
          <w:iCs/>
        </w:rPr>
        <w:t xml:space="preserve">virtud </w:t>
      </w:r>
      <w:r w:rsidR="00894199">
        <w:rPr>
          <w:i/>
          <w:iCs/>
        </w:rPr>
        <w:t xml:space="preserve">respecto a los </w:t>
      </w:r>
      <w:r w:rsidR="00090424" w:rsidRPr="00894199">
        <w:rPr>
          <w:i/>
          <w:iCs/>
        </w:rPr>
        <w:t>de requisitos</w:t>
      </w:r>
      <w:r w:rsidR="00090424">
        <w:t xml:space="preserve"> se </w:t>
      </w:r>
      <w:r w:rsidR="00B20F2C">
        <w:t>conoce como</w:t>
      </w:r>
      <w:r w:rsidR="00090424">
        <w:t xml:space="preserve"> “purificación </w:t>
      </w:r>
      <w:r w:rsidR="00B20F2C">
        <w:t>mediante la examinación</w:t>
      </w:r>
      <w:r w:rsidR="00090424">
        <w:t xml:space="preserve">”; se llama así porque </w:t>
      </w:r>
      <w:r w:rsidR="00B20F2C">
        <w:t xml:space="preserve">se </w:t>
      </w:r>
      <w:r w:rsidR="00090424">
        <w:t xml:space="preserve">purifica </w:t>
      </w:r>
      <w:r w:rsidR="00B20F2C">
        <w:t xml:space="preserve">mediante </w:t>
      </w:r>
      <w:r w:rsidR="00090424">
        <w:t xml:space="preserve">la </w:t>
      </w:r>
      <w:r w:rsidR="00B20F2C">
        <w:t>examinación</w:t>
      </w:r>
      <w:r w:rsidR="00090424">
        <w:t xml:space="preserve"> de</w:t>
      </w:r>
      <w:r w:rsidR="00B20F2C">
        <w:t xml:space="preserve">l tipo </w:t>
      </w:r>
      <w:r w:rsidR="00090424">
        <w:t>ya descrit</w:t>
      </w:r>
      <w:r w:rsidR="00B20F2C">
        <w:t>o</w:t>
      </w:r>
      <w:r w:rsidR="00090424">
        <w:t xml:space="preserve">. Por lo tanto, anteriormente </w:t>
      </w:r>
      <w:r w:rsidR="00B20F2C">
        <w:t xml:space="preserve">se dijo </w:t>
      </w:r>
      <w:r w:rsidR="00090424">
        <w:t>(§125): "No ha</w:t>
      </w:r>
      <w:r w:rsidR="00B20F2C">
        <w:t>brá</w:t>
      </w:r>
      <w:r w:rsidR="00090424">
        <w:t xml:space="preserve"> ofensa para quien </w:t>
      </w:r>
      <w:r w:rsidR="00B20F2C">
        <w:t>sea</w:t>
      </w:r>
      <w:r w:rsidR="00090424">
        <w:t xml:space="preserve"> atento al usar </w:t>
      </w:r>
      <w:r w:rsidR="00B20F2C">
        <w:t xml:space="preserve">un requisito </w:t>
      </w:r>
      <w:r w:rsidR="00090424">
        <w:t>después de aceptar</w:t>
      </w:r>
      <w:r w:rsidR="00B20F2C">
        <w:t>lo</w:t>
      </w:r>
      <w:r w:rsidR="00090424">
        <w:t xml:space="preserve"> sin </w:t>
      </w:r>
      <w:r w:rsidR="000D0BCC">
        <w:t xml:space="preserve">la debida </w:t>
      </w:r>
      <w:r w:rsidR="00090424">
        <w:t>atención".</w:t>
      </w:r>
    </w:p>
    <w:p w14:paraId="4AD6B4B2" w14:textId="083C3BDE" w:rsidR="00090424" w:rsidRDefault="00090424" w:rsidP="00090424">
      <w:r>
        <w:t xml:space="preserve">127. </w:t>
      </w:r>
      <w:r w:rsidR="000D0BCC">
        <w:tab/>
      </w:r>
      <w:r w:rsidR="000420D8">
        <w:t>A</w:t>
      </w:r>
      <w:r>
        <w:t xml:space="preserve">l uso de los requisitos por parte de los </w:t>
      </w:r>
      <w:r w:rsidR="007B30DB">
        <w:t>7</w:t>
      </w:r>
      <w:r>
        <w:t xml:space="preserve"> tipos de </w:t>
      </w:r>
      <w:r w:rsidR="001B6FA9" w:rsidRPr="001B6FA9">
        <w:rPr>
          <w:color w:val="833C0B" w:themeColor="accent2" w:themeShade="80"/>
        </w:rPr>
        <w:t>instructores</w:t>
      </w:r>
      <w:r>
        <w:t xml:space="preserve"> se </w:t>
      </w:r>
      <w:r w:rsidR="000D0BCC">
        <w:t xml:space="preserve">le </w:t>
      </w:r>
      <w:r>
        <w:t xml:space="preserve">denomina “uso como herencia”; porque </w:t>
      </w:r>
      <w:r w:rsidR="005A16B3">
        <w:t xml:space="preserve">ellos están </w:t>
      </w:r>
      <w:r w:rsidR="0069731E">
        <w:t>vinculados con</w:t>
      </w:r>
      <w:r>
        <w:t xml:space="preserve"> los hijos de</w:t>
      </w:r>
      <w:r w:rsidR="000D0BCC">
        <w:t>l</w:t>
      </w:r>
      <w:r>
        <w:t xml:space="preserve"> </w:t>
      </w:r>
      <w:r w:rsidR="00057BF4" w:rsidRPr="00057BF4">
        <w:rPr>
          <w:i/>
        </w:rPr>
        <w:t>Buddha</w:t>
      </w:r>
      <w:r>
        <w:t xml:space="preserve">, por lo tanto, hacen uso de los requisitos como herederos de los requisitos que pertenecen a su padre. Pero ¿cómo entonces, </w:t>
      </w:r>
      <w:r w:rsidR="003646C8">
        <w:t xml:space="preserve">son usados </w:t>
      </w:r>
      <w:r>
        <w:t xml:space="preserve">los requisitos del </w:t>
      </w:r>
      <w:r w:rsidR="0055067E">
        <w:rPr>
          <w:i/>
          <w:iCs/>
        </w:rPr>
        <w:t>Bhagavā</w:t>
      </w:r>
      <w:r>
        <w:t xml:space="preserve"> o los requisitos </w:t>
      </w:r>
      <w:r w:rsidR="003646C8">
        <w:t>de los laicos</w:t>
      </w:r>
      <w:r>
        <w:t xml:space="preserve">? Aunque </w:t>
      </w:r>
      <w:r w:rsidR="003646C8">
        <w:t xml:space="preserve">sea </w:t>
      </w:r>
      <w:r w:rsidR="000420D8">
        <w:t>ofrecidos</w:t>
      </w:r>
      <w:r>
        <w:t xml:space="preserve"> por los laicos, en realidad pertenecen al </w:t>
      </w:r>
      <w:r w:rsidR="000420D8">
        <w:rPr>
          <w:i/>
          <w:iCs/>
        </w:rPr>
        <w:t>Bhagavā</w:t>
      </w:r>
      <w:r>
        <w:t xml:space="preserve">, porque es </w:t>
      </w:r>
      <w:r w:rsidR="000420D8">
        <w:t xml:space="preserve">mediante </w:t>
      </w:r>
      <w:r>
        <w:t xml:space="preserve">el </w:t>
      </w:r>
      <w:r w:rsidR="000420D8">
        <w:rPr>
          <w:i/>
          <w:iCs/>
        </w:rPr>
        <w:t>Bhagavā</w:t>
      </w:r>
      <w:r w:rsidR="000420D8">
        <w:t xml:space="preserve"> </w:t>
      </w:r>
      <w:r>
        <w:t xml:space="preserve">que </w:t>
      </w:r>
      <w:r w:rsidR="003646C8">
        <w:t xml:space="preserve">han sido </w:t>
      </w:r>
      <w:r>
        <w:t>permitidos. Por eso debe entenderse que se utilizan los requisitos del</w:t>
      </w:r>
      <w:r w:rsidR="000420D8" w:rsidRPr="000420D8">
        <w:rPr>
          <w:i/>
          <w:iCs/>
        </w:rPr>
        <w:t xml:space="preserve"> </w:t>
      </w:r>
      <w:r w:rsidR="000420D8">
        <w:rPr>
          <w:i/>
          <w:iCs/>
        </w:rPr>
        <w:t>Bhagavā</w:t>
      </w:r>
      <w:r>
        <w:t xml:space="preserve">. La confirmación aquí está en el </w:t>
      </w:r>
      <w:proofErr w:type="spellStart"/>
      <w:r w:rsidR="00057BF4" w:rsidRPr="00057BF4">
        <w:rPr>
          <w:i/>
          <w:iCs/>
        </w:rPr>
        <w:t>Dhamma</w:t>
      </w:r>
      <w:r w:rsidRPr="00894199">
        <w:rPr>
          <w:i/>
          <w:iCs/>
        </w:rPr>
        <w:t>dāyāda</w:t>
      </w:r>
      <w:proofErr w:type="spellEnd"/>
      <w:r w:rsidRPr="00894199">
        <w:rPr>
          <w:i/>
          <w:iCs/>
        </w:rPr>
        <w:t xml:space="preserve"> Sutta</w:t>
      </w:r>
      <w:r>
        <w:t xml:space="preserve"> (MN 3).</w:t>
      </w:r>
    </w:p>
    <w:p w14:paraId="29DEF54B" w14:textId="55877D95" w:rsidR="00090424" w:rsidRDefault="0069731E" w:rsidP="00894199">
      <w:pPr>
        <w:pStyle w:val="NormalConSangria"/>
      </w:pPr>
      <w:r>
        <w:t>A</w:t>
      </w:r>
      <w:r w:rsidR="00090424">
        <w:t>l uso por parte de aquellos cuy</w:t>
      </w:r>
      <w:r>
        <w:t>a</w:t>
      </w:r>
      <w:r w:rsidR="00090424">
        <w:t xml:space="preserve">s </w:t>
      </w:r>
      <w:r>
        <w:t>corrupciones</w:t>
      </w:r>
      <w:r w:rsidR="00090424">
        <w:t xml:space="preserve"> ha</w:t>
      </w:r>
      <w:r w:rsidR="00B022D6">
        <w:t>ya</w:t>
      </w:r>
      <w:r w:rsidR="00090424">
        <w:t>n sido destruid</w:t>
      </w:r>
      <w:r>
        <w:t>a</w:t>
      </w:r>
      <w:r w:rsidR="00090424">
        <w:t xml:space="preserve">s se </w:t>
      </w:r>
      <w:r>
        <w:t xml:space="preserve">le </w:t>
      </w:r>
      <w:r w:rsidR="00090424">
        <w:t xml:space="preserve">llama “uso como </w:t>
      </w:r>
      <w:r w:rsidR="000B37D4">
        <w:t xml:space="preserve">un </w:t>
      </w:r>
      <w:r w:rsidR="00090424">
        <w:t xml:space="preserve">maestro”; porque </w:t>
      </w:r>
      <w:r w:rsidR="000B37D4">
        <w:t xml:space="preserve">hacen uso </w:t>
      </w:r>
      <w:r w:rsidR="00090424">
        <w:t xml:space="preserve">de ellos como </w:t>
      </w:r>
      <w:r w:rsidR="000B37D4">
        <w:t xml:space="preserve">maestros ya </w:t>
      </w:r>
      <w:r w:rsidR="00090424">
        <w:t xml:space="preserve">que </w:t>
      </w:r>
      <w:r w:rsidR="00B022D6">
        <w:t>ellos se han liberado</w:t>
      </w:r>
      <w:r w:rsidR="00090424">
        <w:t xml:space="preserve"> de la esclavitud del deseo.</w:t>
      </w:r>
    </w:p>
    <w:p w14:paraId="697515E9" w14:textId="5E04D770" w:rsidR="00090424" w:rsidRDefault="00090424" w:rsidP="00090424">
      <w:r>
        <w:t xml:space="preserve">128. </w:t>
      </w:r>
      <w:r w:rsidR="000B37D4">
        <w:tab/>
      </w:r>
      <w:r>
        <w:t xml:space="preserve">En cuanto a estos tipos de uso, el uso como </w:t>
      </w:r>
      <w:r w:rsidR="00B022D6">
        <w:t xml:space="preserve">un </w:t>
      </w:r>
      <w:r w:rsidR="001C06DF">
        <w:t>maestro</w:t>
      </w:r>
      <w:r>
        <w:t xml:space="preserve"> y el uso como </w:t>
      </w:r>
      <w:r w:rsidR="00B022D6">
        <w:t xml:space="preserve">una </w:t>
      </w:r>
      <w:r>
        <w:t xml:space="preserve">herencia son admisibles para todos. El uso como deuda no está permitido, </w:t>
      </w:r>
      <w:r w:rsidR="007A413F">
        <w:t xml:space="preserve">y ni hablar </w:t>
      </w:r>
      <w:r>
        <w:t xml:space="preserve">del uso como </w:t>
      </w:r>
      <w:r w:rsidR="00774AA9">
        <w:t>hurto</w:t>
      </w:r>
      <w:r>
        <w:t xml:space="preserve">. </w:t>
      </w:r>
      <w:r w:rsidR="00774AA9">
        <w:t xml:space="preserve">No obstante, </w:t>
      </w:r>
      <w:r>
        <w:t xml:space="preserve">este uso </w:t>
      </w:r>
      <w:r w:rsidR="002D6B24">
        <w:t>examinado</w:t>
      </w:r>
      <w:r>
        <w:t xml:space="preserve"> por </w:t>
      </w:r>
      <w:r w:rsidR="00774AA9">
        <w:t xml:space="preserve">parte de </w:t>
      </w:r>
      <w:r>
        <w:t xml:space="preserve">quien </w:t>
      </w:r>
      <w:r w:rsidR="00774AA9">
        <w:t>sea</w:t>
      </w:r>
      <w:r>
        <w:t xml:space="preserve"> virtuoso </w:t>
      </w:r>
      <w:r w:rsidR="001B6FA9">
        <w:t>corresponderá a</w:t>
      </w:r>
      <w:r>
        <w:t xml:space="preserve"> </w:t>
      </w:r>
      <w:r w:rsidR="00746F81">
        <w:t xml:space="preserve">un </w:t>
      </w:r>
      <w:r>
        <w:t xml:space="preserve">uso liberado de deuda porque </w:t>
      </w:r>
      <w:r w:rsidR="001B6FA9">
        <w:t xml:space="preserve">será </w:t>
      </w:r>
      <w:r>
        <w:t xml:space="preserve">opuesto al uso como </w:t>
      </w:r>
      <w:r w:rsidR="000F05D1">
        <w:t xml:space="preserve">una </w:t>
      </w:r>
      <w:r>
        <w:t xml:space="preserve">deuda o </w:t>
      </w:r>
      <w:r w:rsidR="002D6B24">
        <w:t xml:space="preserve">también porque </w:t>
      </w:r>
      <w:r>
        <w:t>est</w:t>
      </w:r>
      <w:r w:rsidR="001B6FA9">
        <w:t>ar</w:t>
      </w:r>
      <w:r>
        <w:t xml:space="preserve">á incluido en el uso como </w:t>
      </w:r>
      <w:r w:rsidR="000F05D1">
        <w:t xml:space="preserve">una </w:t>
      </w:r>
      <w:r>
        <w:t xml:space="preserve">herencia. </w:t>
      </w:r>
      <w:r w:rsidR="002D6B24">
        <w:t xml:space="preserve">Ya </w:t>
      </w:r>
      <w:r>
        <w:t xml:space="preserve">que </w:t>
      </w:r>
      <w:r w:rsidR="00746F81">
        <w:t>alguien</w:t>
      </w:r>
      <w:r>
        <w:t xml:space="preserve"> que pose</w:t>
      </w:r>
      <w:r w:rsidR="00746F81">
        <w:t>a</w:t>
      </w:r>
      <w:r>
        <w:t xml:space="preserve"> virtud también </w:t>
      </w:r>
      <w:r w:rsidR="002D6B24">
        <w:t xml:space="preserve">será </w:t>
      </w:r>
      <w:r>
        <w:t xml:space="preserve">llamado un </w:t>
      </w:r>
      <w:r w:rsidR="001B6FA9" w:rsidRPr="001B6FA9">
        <w:rPr>
          <w:color w:val="833C0B" w:themeColor="accent2" w:themeShade="80"/>
        </w:rPr>
        <w:t>instructor</w:t>
      </w:r>
      <w:r w:rsidR="004D0FB3">
        <w:t xml:space="preserve"> </w:t>
      </w:r>
      <w:r>
        <w:t xml:space="preserve">debido a que </w:t>
      </w:r>
      <w:r w:rsidR="005815F6">
        <w:t xml:space="preserve">practica </w:t>
      </w:r>
      <w:r>
        <w:t>este entrenamiento.</w:t>
      </w:r>
    </w:p>
    <w:p w14:paraId="4BD6796A" w14:textId="1253FB4A" w:rsidR="00090424" w:rsidRDefault="00090424" w:rsidP="00090424">
      <w:r>
        <w:t xml:space="preserve">129. </w:t>
      </w:r>
      <w:r w:rsidR="000B37D4">
        <w:tab/>
      </w:r>
      <w:r>
        <w:t xml:space="preserve">Con respecto a estos tres tipos de uso, dado que el uso como </w:t>
      </w:r>
      <w:r w:rsidR="000F05D1">
        <w:t xml:space="preserve">un </w:t>
      </w:r>
      <w:r>
        <w:t xml:space="preserve">maestro es el mejor, cuando un </w:t>
      </w:r>
      <w:proofErr w:type="spellStart"/>
      <w:r w:rsidR="00057BF4" w:rsidRPr="00057BF4">
        <w:rPr>
          <w:i/>
          <w:iCs/>
        </w:rPr>
        <w:t>bhikkhu</w:t>
      </w:r>
      <w:proofErr w:type="spellEnd"/>
      <w:r>
        <w:t xml:space="preserve"> emprend</w:t>
      </w:r>
      <w:r w:rsidR="000F05D1">
        <w:t>a</w:t>
      </w:r>
      <w:r>
        <w:t xml:space="preserve"> la </w:t>
      </w:r>
      <w:r w:rsidRPr="00894199">
        <w:rPr>
          <w:i/>
          <w:iCs/>
        </w:rPr>
        <w:t xml:space="preserve">virtud </w:t>
      </w:r>
      <w:r w:rsidR="00894199">
        <w:rPr>
          <w:i/>
          <w:iCs/>
        </w:rPr>
        <w:t>respecto a</w:t>
      </w:r>
      <w:r w:rsidRPr="00894199">
        <w:rPr>
          <w:i/>
          <w:iCs/>
        </w:rPr>
        <w:t xml:space="preserve"> los requisitos</w:t>
      </w:r>
      <w:r>
        <w:t>, debe aspirar a e</w:t>
      </w:r>
      <w:r w:rsidR="005815F6">
        <w:t>ll</w:t>
      </w:r>
      <w:r>
        <w:t xml:space="preserve">o y usarlos después de </w:t>
      </w:r>
      <w:r w:rsidR="005815F6">
        <w:t>examinarlos</w:t>
      </w:r>
      <w:r>
        <w:t xml:space="preserve"> de la manera descrita. Y </w:t>
      </w:r>
      <w:r w:rsidR="005815F6">
        <w:t xml:space="preserve">al respecto </w:t>
      </w:r>
      <w:r>
        <w:t>se dice: [45]</w:t>
      </w:r>
    </w:p>
    <w:p w14:paraId="7DFCB551" w14:textId="77777777" w:rsidR="00090424" w:rsidRPr="0004313B" w:rsidRDefault="00090424" w:rsidP="00090424">
      <w:pPr>
        <w:pStyle w:val="VersoIngls01Sangria"/>
        <w:rPr>
          <w:sz w:val="16"/>
          <w:szCs w:val="20"/>
        </w:rPr>
      </w:pPr>
      <w:r w:rsidRPr="0004313B">
        <w:rPr>
          <w:sz w:val="16"/>
          <w:szCs w:val="20"/>
        </w:rPr>
        <w:t>“El discípulo verdaderamente sabio</w:t>
      </w:r>
    </w:p>
    <w:p w14:paraId="62C4CE26" w14:textId="71D52CE5" w:rsidR="00090424" w:rsidRPr="0004313B" w:rsidRDefault="00090424" w:rsidP="00090424">
      <w:pPr>
        <w:pStyle w:val="VersoIngls01Sangria"/>
        <w:rPr>
          <w:sz w:val="16"/>
          <w:szCs w:val="20"/>
        </w:rPr>
      </w:pPr>
      <w:r w:rsidRPr="0004313B">
        <w:rPr>
          <w:sz w:val="16"/>
          <w:szCs w:val="20"/>
        </w:rPr>
        <w:t>Quien escuch</w:t>
      </w:r>
      <w:r w:rsidR="00585150">
        <w:rPr>
          <w:sz w:val="16"/>
          <w:szCs w:val="20"/>
        </w:rPr>
        <w:t>e</w:t>
      </w:r>
      <w:r w:rsidRPr="0004313B">
        <w:rPr>
          <w:sz w:val="16"/>
          <w:szCs w:val="20"/>
        </w:rPr>
        <w:t xml:space="preserve"> el </w:t>
      </w:r>
      <w:r w:rsidR="00057BF4" w:rsidRPr="00057BF4">
        <w:rPr>
          <w:i/>
          <w:iCs/>
          <w:sz w:val="16"/>
          <w:szCs w:val="20"/>
        </w:rPr>
        <w:t>Dhamma</w:t>
      </w:r>
    </w:p>
    <w:p w14:paraId="33256D09" w14:textId="0CCADFCF" w:rsidR="00090424" w:rsidRPr="0004313B" w:rsidRDefault="000F05D1" w:rsidP="00090424">
      <w:pPr>
        <w:pStyle w:val="VersoIngls01Sangria"/>
        <w:rPr>
          <w:sz w:val="16"/>
          <w:szCs w:val="20"/>
        </w:rPr>
      </w:pPr>
      <w:r>
        <w:rPr>
          <w:sz w:val="16"/>
          <w:szCs w:val="20"/>
        </w:rPr>
        <w:t xml:space="preserve">Tal </w:t>
      </w:r>
      <w:r w:rsidRPr="0004313B">
        <w:rPr>
          <w:sz w:val="16"/>
          <w:szCs w:val="20"/>
        </w:rPr>
        <w:t xml:space="preserve">como </w:t>
      </w:r>
      <w:r w:rsidR="00090424" w:rsidRPr="0004313B">
        <w:rPr>
          <w:sz w:val="16"/>
          <w:szCs w:val="20"/>
        </w:rPr>
        <w:t>lo enseñó el Sublime</w:t>
      </w:r>
    </w:p>
    <w:p w14:paraId="3DD4B4F5" w14:textId="16663C34" w:rsidR="00090424" w:rsidRPr="0004313B" w:rsidRDefault="00090424" w:rsidP="00090424">
      <w:pPr>
        <w:pStyle w:val="VersoIngls01Sangria"/>
        <w:rPr>
          <w:sz w:val="16"/>
          <w:szCs w:val="20"/>
        </w:rPr>
      </w:pPr>
      <w:r w:rsidRPr="0004313B">
        <w:rPr>
          <w:sz w:val="16"/>
          <w:szCs w:val="20"/>
        </w:rPr>
        <w:t xml:space="preserve">Hace uso, después de </w:t>
      </w:r>
      <w:r w:rsidR="00F154F0">
        <w:rPr>
          <w:sz w:val="16"/>
          <w:szCs w:val="20"/>
        </w:rPr>
        <w:t>una cuidadosa examinación</w:t>
      </w:r>
      <w:r w:rsidRPr="0004313B">
        <w:rPr>
          <w:sz w:val="16"/>
          <w:szCs w:val="20"/>
        </w:rPr>
        <w:t>,</w:t>
      </w:r>
    </w:p>
    <w:p w14:paraId="242EE7CF" w14:textId="6B205B26" w:rsidR="00090424" w:rsidRPr="0004313B" w:rsidRDefault="00090424" w:rsidP="00090424">
      <w:pPr>
        <w:pStyle w:val="VersoIngls01Sangria"/>
        <w:rPr>
          <w:sz w:val="16"/>
          <w:szCs w:val="20"/>
        </w:rPr>
      </w:pPr>
      <w:r w:rsidRPr="00585150">
        <w:rPr>
          <w:sz w:val="16"/>
          <w:szCs w:val="16"/>
        </w:rPr>
        <w:t xml:space="preserve">De </w:t>
      </w:r>
      <w:r w:rsidR="00585150" w:rsidRPr="00585150">
        <w:rPr>
          <w:sz w:val="16"/>
          <w:szCs w:val="16"/>
        </w:rPr>
        <w:t>la ofrenda de alimentos</w:t>
      </w:r>
      <w:r w:rsidRPr="0004313B">
        <w:rPr>
          <w:sz w:val="16"/>
          <w:szCs w:val="20"/>
        </w:rPr>
        <w:t xml:space="preserve">, de </w:t>
      </w:r>
      <w:r w:rsidR="00585150">
        <w:rPr>
          <w:sz w:val="16"/>
          <w:szCs w:val="20"/>
        </w:rPr>
        <w:t xml:space="preserve">la </w:t>
      </w:r>
      <w:r w:rsidRPr="0004313B">
        <w:rPr>
          <w:sz w:val="16"/>
          <w:szCs w:val="20"/>
        </w:rPr>
        <w:t>vivienda,</w:t>
      </w:r>
    </w:p>
    <w:p w14:paraId="367FAAA5" w14:textId="77777777" w:rsidR="00090424" w:rsidRPr="0004313B" w:rsidRDefault="00090424" w:rsidP="00090424">
      <w:pPr>
        <w:pStyle w:val="VersoIngls01Sangria"/>
        <w:rPr>
          <w:sz w:val="16"/>
          <w:szCs w:val="20"/>
        </w:rPr>
      </w:pPr>
      <w:r w:rsidRPr="0004313B">
        <w:rPr>
          <w:sz w:val="16"/>
          <w:szCs w:val="20"/>
        </w:rPr>
        <w:t>y de un lugar de descanso,</w:t>
      </w:r>
    </w:p>
    <w:p w14:paraId="5AC2497E" w14:textId="77777777" w:rsidR="00090424" w:rsidRPr="0004313B" w:rsidRDefault="00090424" w:rsidP="00090424">
      <w:pPr>
        <w:pStyle w:val="VersoIngls01Sangria"/>
        <w:rPr>
          <w:sz w:val="16"/>
          <w:szCs w:val="20"/>
        </w:rPr>
      </w:pPr>
      <w:r w:rsidRPr="0004313B">
        <w:rPr>
          <w:sz w:val="16"/>
          <w:szCs w:val="20"/>
        </w:rPr>
        <w:t>Y también del agua</w:t>
      </w:r>
    </w:p>
    <w:p w14:paraId="6A8A4089" w14:textId="77777777" w:rsidR="00090424" w:rsidRPr="0004313B" w:rsidRDefault="00090424" w:rsidP="00090424">
      <w:pPr>
        <w:pStyle w:val="VersoIngls01Sangria"/>
        <w:spacing w:after="100"/>
        <w:ind w:left="1418"/>
        <w:rPr>
          <w:sz w:val="16"/>
          <w:szCs w:val="20"/>
        </w:rPr>
      </w:pPr>
      <w:r w:rsidRPr="0004313B">
        <w:rPr>
          <w:sz w:val="16"/>
          <w:szCs w:val="20"/>
        </w:rPr>
        <w:t>Para lavar la suciedad de las vestiduras” (Sn 391).</w:t>
      </w:r>
    </w:p>
    <w:p w14:paraId="54DAB8D6" w14:textId="77777777" w:rsidR="00090424" w:rsidRPr="0004313B" w:rsidRDefault="00090424" w:rsidP="00090424">
      <w:pPr>
        <w:pStyle w:val="VersoIngls01Sangria"/>
        <w:rPr>
          <w:sz w:val="16"/>
          <w:szCs w:val="20"/>
        </w:rPr>
      </w:pPr>
      <w:r w:rsidRPr="0004313B">
        <w:rPr>
          <w:sz w:val="16"/>
          <w:szCs w:val="20"/>
        </w:rPr>
        <w:t>“Así como una gota de agua</w:t>
      </w:r>
    </w:p>
    <w:p w14:paraId="65F1C740" w14:textId="06EA69C6" w:rsidR="00090424" w:rsidRPr="0004313B" w:rsidRDefault="00585150" w:rsidP="00090424">
      <w:pPr>
        <w:pStyle w:val="VersoIngls01Sangria"/>
        <w:rPr>
          <w:sz w:val="16"/>
          <w:szCs w:val="20"/>
        </w:rPr>
      </w:pPr>
      <w:r>
        <w:rPr>
          <w:sz w:val="16"/>
          <w:szCs w:val="20"/>
        </w:rPr>
        <w:t>Posada</w:t>
      </w:r>
      <w:r w:rsidR="00090424" w:rsidRPr="0004313B">
        <w:rPr>
          <w:sz w:val="16"/>
          <w:szCs w:val="20"/>
        </w:rPr>
        <w:t xml:space="preserve"> sobre </w:t>
      </w:r>
      <w:r w:rsidR="00FF522E">
        <w:rPr>
          <w:sz w:val="16"/>
          <w:szCs w:val="20"/>
        </w:rPr>
        <w:t xml:space="preserve">una </w:t>
      </w:r>
      <w:r w:rsidR="00090424" w:rsidRPr="0004313B">
        <w:rPr>
          <w:sz w:val="16"/>
          <w:szCs w:val="20"/>
        </w:rPr>
        <w:t>hoja de loto,</w:t>
      </w:r>
    </w:p>
    <w:p w14:paraId="0775D678" w14:textId="6378AF8F" w:rsidR="00090424" w:rsidRPr="0004313B" w:rsidRDefault="00090424" w:rsidP="00090424">
      <w:pPr>
        <w:pStyle w:val="VersoIngls01Sangria"/>
        <w:rPr>
          <w:sz w:val="16"/>
          <w:szCs w:val="20"/>
        </w:rPr>
      </w:pPr>
      <w:r w:rsidRPr="0004313B">
        <w:rPr>
          <w:sz w:val="16"/>
          <w:szCs w:val="20"/>
        </w:rPr>
        <w:t xml:space="preserve">Un </w:t>
      </w:r>
      <w:proofErr w:type="spellStart"/>
      <w:r w:rsidR="00057BF4" w:rsidRPr="00057BF4">
        <w:rPr>
          <w:i/>
          <w:iCs/>
          <w:sz w:val="16"/>
          <w:szCs w:val="20"/>
        </w:rPr>
        <w:t>bhikkhu</w:t>
      </w:r>
      <w:proofErr w:type="spellEnd"/>
      <w:r w:rsidRPr="0004313B">
        <w:rPr>
          <w:sz w:val="16"/>
          <w:szCs w:val="20"/>
        </w:rPr>
        <w:t xml:space="preserve"> no est</w:t>
      </w:r>
      <w:r w:rsidR="00FF522E">
        <w:rPr>
          <w:sz w:val="16"/>
          <w:szCs w:val="20"/>
        </w:rPr>
        <w:t>ar</w:t>
      </w:r>
      <w:r w:rsidRPr="0004313B">
        <w:rPr>
          <w:sz w:val="16"/>
          <w:szCs w:val="20"/>
        </w:rPr>
        <w:t xml:space="preserve">á </w:t>
      </w:r>
      <w:r w:rsidR="00FF522E">
        <w:rPr>
          <w:sz w:val="16"/>
          <w:szCs w:val="20"/>
        </w:rPr>
        <w:t>contaminado</w:t>
      </w:r>
    </w:p>
    <w:p w14:paraId="4EB16281" w14:textId="7A3C9D61" w:rsidR="00090424" w:rsidRPr="0004313B" w:rsidRDefault="00090424" w:rsidP="00090424">
      <w:pPr>
        <w:pStyle w:val="VersoIngls01Sangria"/>
        <w:rPr>
          <w:sz w:val="16"/>
          <w:szCs w:val="20"/>
        </w:rPr>
      </w:pPr>
      <w:r w:rsidRPr="0004313B">
        <w:rPr>
          <w:sz w:val="16"/>
          <w:szCs w:val="20"/>
        </w:rPr>
        <w:t xml:space="preserve">Por </w:t>
      </w:r>
      <w:r w:rsidR="007702F2">
        <w:rPr>
          <w:sz w:val="16"/>
          <w:szCs w:val="20"/>
        </w:rPr>
        <w:t>ninguno</w:t>
      </w:r>
      <w:r w:rsidRPr="0004313B">
        <w:rPr>
          <w:sz w:val="16"/>
          <w:szCs w:val="20"/>
        </w:rPr>
        <w:t xml:space="preserve"> de estos asuntos,</w:t>
      </w:r>
    </w:p>
    <w:p w14:paraId="061CCF73" w14:textId="28A67CC3" w:rsidR="00090424" w:rsidRPr="00FF522E" w:rsidRDefault="007702F2" w:rsidP="00090424">
      <w:pPr>
        <w:pStyle w:val="VersoIngls01Sangria"/>
        <w:rPr>
          <w:sz w:val="16"/>
          <w:szCs w:val="16"/>
        </w:rPr>
      </w:pPr>
      <w:r>
        <w:rPr>
          <w:sz w:val="16"/>
          <w:szCs w:val="16"/>
        </w:rPr>
        <w:t>Ni p</w:t>
      </w:r>
      <w:r w:rsidR="00090424" w:rsidRPr="00FF522E">
        <w:rPr>
          <w:sz w:val="16"/>
          <w:szCs w:val="16"/>
        </w:rPr>
        <w:t xml:space="preserve">or </w:t>
      </w:r>
      <w:r w:rsidR="00F154F0">
        <w:rPr>
          <w:sz w:val="16"/>
          <w:szCs w:val="16"/>
        </w:rPr>
        <w:t xml:space="preserve">la </w:t>
      </w:r>
      <w:r w:rsidR="00FF522E" w:rsidRPr="00FF522E">
        <w:rPr>
          <w:sz w:val="16"/>
          <w:szCs w:val="16"/>
        </w:rPr>
        <w:t>ofrenda de alimentos</w:t>
      </w:r>
      <w:r w:rsidR="00090424" w:rsidRPr="00FF522E">
        <w:rPr>
          <w:sz w:val="16"/>
          <w:szCs w:val="16"/>
        </w:rPr>
        <w:t>, [</w:t>
      </w:r>
      <w:r w:rsidR="00FF522E">
        <w:rPr>
          <w:sz w:val="16"/>
          <w:szCs w:val="16"/>
        </w:rPr>
        <w:t>ni</w:t>
      </w:r>
      <w:r w:rsidR="00090424" w:rsidRPr="00FF522E">
        <w:rPr>
          <w:sz w:val="16"/>
          <w:szCs w:val="16"/>
        </w:rPr>
        <w:t xml:space="preserve"> por </w:t>
      </w:r>
      <w:r w:rsidR="00F154F0">
        <w:rPr>
          <w:sz w:val="16"/>
          <w:szCs w:val="16"/>
        </w:rPr>
        <w:t xml:space="preserve">la </w:t>
      </w:r>
      <w:r w:rsidR="00090424" w:rsidRPr="00FF522E">
        <w:rPr>
          <w:sz w:val="16"/>
          <w:szCs w:val="16"/>
        </w:rPr>
        <w:t>vivienda,]</w:t>
      </w:r>
    </w:p>
    <w:p w14:paraId="1A4F276D" w14:textId="36A952B2" w:rsidR="00090424" w:rsidRPr="0004313B" w:rsidRDefault="00FF522E" w:rsidP="00090424">
      <w:pPr>
        <w:pStyle w:val="VersoIngls01Sangria"/>
        <w:rPr>
          <w:sz w:val="16"/>
          <w:szCs w:val="20"/>
        </w:rPr>
      </w:pPr>
      <w:r>
        <w:rPr>
          <w:sz w:val="16"/>
          <w:szCs w:val="20"/>
        </w:rPr>
        <w:t>Ni</w:t>
      </w:r>
      <w:r w:rsidRPr="0004313B">
        <w:rPr>
          <w:sz w:val="16"/>
          <w:szCs w:val="20"/>
        </w:rPr>
        <w:t xml:space="preserve"> </w:t>
      </w:r>
      <w:r w:rsidR="00090424" w:rsidRPr="0004313B">
        <w:rPr>
          <w:sz w:val="16"/>
          <w:szCs w:val="20"/>
        </w:rPr>
        <w:t>por un lugar de descanso,</w:t>
      </w:r>
    </w:p>
    <w:p w14:paraId="69A8405C" w14:textId="1648BEEE" w:rsidR="00090424" w:rsidRPr="0004313B" w:rsidRDefault="00FF522E" w:rsidP="00090424">
      <w:pPr>
        <w:pStyle w:val="VersoIngls01Sangria"/>
        <w:rPr>
          <w:sz w:val="16"/>
          <w:szCs w:val="20"/>
        </w:rPr>
      </w:pPr>
      <w:r>
        <w:rPr>
          <w:sz w:val="16"/>
          <w:szCs w:val="20"/>
        </w:rPr>
        <w:t>Ni</w:t>
      </w:r>
      <w:r w:rsidR="00090424" w:rsidRPr="0004313B">
        <w:rPr>
          <w:sz w:val="16"/>
          <w:szCs w:val="20"/>
        </w:rPr>
        <w:t xml:space="preserve"> tam</w:t>
      </w:r>
      <w:r w:rsidR="00557FB0">
        <w:rPr>
          <w:sz w:val="16"/>
          <w:szCs w:val="20"/>
        </w:rPr>
        <w:t>poco</w:t>
      </w:r>
      <w:r w:rsidR="00090424" w:rsidRPr="0004313B">
        <w:rPr>
          <w:sz w:val="16"/>
          <w:szCs w:val="20"/>
        </w:rPr>
        <w:t xml:space="preserve"> por agua</w:t>
      </w:r>
    </w:p>
    <w:p w14:paraId="76B9F95D" w14:textId="6392AF9D" w:rsidR="00B65CF7" w:rsidRPr="0004313B" w:rsidRDefault="00090424" w:rsidP="00090424">
      <w:pPr>
        <w:pStyle w:val="VersoIngls01Sangria"/>
        <w:rPr>
          <w:sz w:val="16"/>
          <w:szCs w:val="20"/>
        </w:rPr>
      </w:pPr>
      <w:r w:rsidRPr="0004313B">
        <w:rPr>
          <w:sz w:val="16"/>
          <w:szCs w:val="20"/>
        </w:rPr>
        <w:t>Para lavar la suciedad de las vestiduras” (Sn 392).</w:t>
      </w:r>
    </w:p>
    <w:p w14:paraId="0D6806E9" w14:textId="77777777" w:rsidR="00B65CF7" w:rsidRDefault="00B65CF7">
      <w:pPr>
        <w:tabs>
          <w:tab w:val="clear" w:pos="425"/>
        </w:tabs>
        <w:spacing w:after="160"/>
      </w:pPr>
      <w:r>
        <w:br w:type="page"/>
      </w:r>
    </w:p>
    <w:p w14:paraId="3BB1794D" w14:textId="15792C75" w:rsidR="00090424" w:rsidRPr="0004313B" w:rsidRDefault="00090424" w:rsidP="00090424">
      <w:pPr>
        <w:pStyle w:val="VersoIngls01Sangria"/>
        <w:rPr>
          <w:sz w:val="16"/>
          <w:szCs w:val="20"/>
        </w:rPr>
      </w:pPr>
      <w:r w:rsidRPr="0004313B">
        <w:rPr>
          <w:sz w:val="16"/>
          <w:szCs w:val="20"/>
        </w:rPr>
        <w:lastRenderedPageBreak/>
        <w:t>“Desde que la ayuda es</w:t>
      </w:r>
      <w:r w:rsidR="00101AB9">
        <w:rPr>
          <w:sz w:val="16"/>
          <w:szCs w:val="20"/>
        </w:rPr>
        <w:t>,</w:t>
      </w:r>
      <w:r w:rsidRPr="0004313B">
        <w:rPr>
          <w:sz w:val="16"/>
          <w:szCs w:val="20"/>
        </w:rPr>
        <w:t xml:space="preserve"> y oportuna</w:t>
      </w:r>
      <w:r w:rsidR="00101AB9">
        <w:rPr>
          <w:sz w:val="16"/>
          <w:szCs w:val="20"/>
        </w:rPr>
        <w:t>mente,</w:t>
      </w:r>
    </w:p>
    <w:p w14:paraId="22874F99" w14:textId="315DC5A6" w:rsidR="00090424" w:rsidRPr="0004313B" w:rsidRDefault="00090424" w:rsidP="00090424">
      <w:pPr>
        <w:pStyle w:val="VersoIngls01Sangria"/>
        <w:rPr>
          <w:sz w:val="16"/>
          <w:szCs w:val="20"/>
        </w:rPr>
      </w:pPr>
      <w:r w:rsidRPr="0004313B">
        <w:rPr>
          <w:sz w:val="16"/>
          <w:szCs w:val="20"/>
        </w:rPr>
        <w:t>Adquirid</w:t>
      </w:r>
      <w:r w:rsidR="00661BDD">
        <w:rPr>
          <w:sz w:val="16"/>
          <w:szCs w:val="20"/>
        </w:rPr>
        <w:t>a</w:t>
      </w:r>
      <w:r w:rsidRPr="0004313B">
        <w:rPr>
          <w:sz w:val="16"/>
          <w:szCs w:val="20"/>
        </w:rPr>
        <w:t xml:space="preserve"> </w:t>
      </w:r>
      <w:r w:rsidR="00F154F0">
        <w:rPr>
          <w:sz w:val="16"/>
          <w:szCs w:val="20"/>
        </w:rPr>
        <w:t>a través</w:t>
      </w:r>
      <w:r w:rsidR="00101AB9">
        <w:rPr>
          <w:sz w:val="16"/>
          <w:szCs w:val="20"/>
        </w:rPr>
        <w:t xml:space="preserve"> de </w:t>
      </w:r>
      <w:r w:rsidRPr="0004313B">
        <w:rPr>
          <w:sz w:val="16"/>
          <w:szCs w:val="20"/>
        </w:rPr>
        <w:t>otro</w:t>
      </w:r>
    </w:p>
    <w:p w14:paraId="3C056524" w14:textId="234C3436" w:rsidR="00090424" w:rsidRPr="0004313B" w:rsidRDefault="00090424" w:rsidP="00090424">
      <w:pPr>
        <w:pStyle w:val="VersoIngls01Sangria"/>
        <w:rPr>
          <w:sz w:val="16"/>
          <w:szCs w:val="20"/>
        </w:rPr>
      </w:pPr>
      <w:r w:rsidRPr="0004313B">
        <w:rPr>
          <w:sz w:val="16"/>
          <w:szCs w:val="20"/>
        </w:rPr>
        <w:t xml:space="preserve">La cantidad correcta que él </w:t>
      </w:r>
      <w:r w:rsidR="00101AB9">
        <w:rPr>
          <w:sz w:val="16"/>
          <w:szCs w:val="20"/>
        </w:rPr>
        <w:t>considere</w:t>
      </w:r>
      <w:r w:rsidRPr="0004313B">
        <w:rPr>
          <w:sz w:val="16"/>
          <w:szCs w:val="20"/>
        </w:rPr>
        <w:t>,</w:t>
      </w:r>
    </w:p>
    <w:p w14:paraId="3605F7A3" w14:textId="4561B36A" w:rsidR="00090424" w:rsidRPr="0004313B" w:rsidRDefault="00090424" w:rsidP="00090424">
      <w:pPr>
        <w:pStyle w:val="VersoIngls01Sangria"/>
        <w:rPr>
          <w:sz w:val="16"/>
          <w:szCs w:val="20"/>
        </w:rPr>
      </w:pPr>
      <w:r w:rsidRPr="0004313B">
        <w:rPr>
          <w:sz w:val="16"/>
          <w:szCs w:val="20"/>
        </w:rPr>
        <w:t xml:space="preserve">Consciente </w:t>
      </w:r>
      <w:r w:rsidR="00C7464E">
        <w:rPr>
          <w:sz w:val="16"/>
          <w:szCs w:val="20"/>
        </w:rPr>
        <w:t xml:space="preserve">y </w:t>
      </w:r>
      <w:r w:rsidRPr="0004313B">
        <w:rPr>
          <w:sz w:val="16"/>
          <w:szCs w:val="20"/>
        </w:rPr>
        <w:t xml:space="preserve">sin </w:t>
      </w:r>
      <w:r w:rsidR="00C7464E">
        <w:rPr>
          <w:sz w:val="16"/>
          <w:szCs w:val="20"/>
        </w:rPr>
        <w:t>indulgencia</w:t>
      </w:r>
    </w:p>
    <w:p w14:paraId="1DF9EEBA" w14:textId="77777777" w:rsidR="00090424" w:rsidRPr="0004313B" w:rsidRDefault="00090424" w:rsidP="00090424">
      <w:pPr>
        <w:pStyle w:val="VersoIngls01Sangria"/>
        <w:rPr>
          <w:sz w:val="16"/>
          <w:szCs w:val="20"/>
        </w:rPr>
      </w:pPr>
      <w:r w:rsidRPr="0004313B">
        <w:rPr>
          <w:sz w:val="16"/>
          <w:szCs w:val="20"/>
        </w:rPr>
        <w:t>Al masticar y al comer,</w:t>
      </w:r>
    </w:p>
    <w:p w14:paraId="18480620" w14:textId="4E2A85B1" w:rsidR="00090424" w:rsidRPr="0004313B" w:rsidRDefault="00090424" w:rsidP="00090424">
      <w:pPr>
        <w:pStyle w:val="VersoIngls01Sangria"/>
        <w:rPr>
          <w:sz w:val="16"/>
          <w:szCs w:val="20"/>
        </w:rPr>
      </w:pPr>
      <w:r w:rsidRPr="0004313B">
        <w:rPr>
          <w:sz w:val="16"/>
          <w:szCs w:val="20"/>
        </w:rPr>
        <w:t>En la degustación de alimentos:</w:t>
      </w:r>
    </w:p>
    <w:p w14:paraId="1E1FC814" w14:textId="6B30AB4A" w:rsidR="00090424" w:rsidRPr="0004313B" w:rsidRDefault="00202526" w:rsidP="00090424">
      <w:pPr>
        <w:pStyle w:val="VersoIngls01Sangria"/>
        <w:rPr>
          <w:sz w:val="16"/>
          <w:szCs w:val="20"/>
        </w:rPr>
      </w:pPr>
      <w:r>
        <w:rPr>
          <w:sz w:val="16"/>
          <w:szCs w:val="20"/>
        </w:rPr>
        <w:t>Él l</w:t>
      </w:r>
      <w:r w:rsidR="00090424" w:rsidRPr="0004313B">
        <w:rPr>
          <w:sz w:val="16"/>
          <w:szCs w:val="20"/>
        </w:rPr>
        <w:t>o trata</w:t>
      </w:r>
      <w:r w:rsidR="00F96F47">
        <w:rPr>
          <w:sz w:val="16"/>
          <w:szCs w:val="20"/>
        </w:rPr>
        <w:t>rá</w:t>
      </w:r>
      <w:r w:rsidR="00090424" w:rsidRPr="0004313B">
        <w:rPr>
          <w:sz w:val="16"/>
          <w:szCs w:val="20"/>
        </w:rPr>
        <w:t xml:space="preserve"> como un ungüento</w:t>
      </w:r>
    </w:p>
    <w:p w14:paraId="444B618F" w14:textId="77777777" w:rsidR="00090424" w:rsidRPr="0004313B" w:rsidRDefault="00090424" w:rsidP="00090424">
      <w:pPr>
        <w:pStyle w:val="VersoIngls01Sangria"/>
        <w:rPr>
          <w:sz w:val="16"/>
          <w:szCs w:val="20"/>
        </w:rPr>
      </w:pPr>
      <w:r w:rsidRPr="0004313B">
        <w:rPr>
          <w:sz w:val="16"/>
          <w:szCs w:val="20"/>
        </w:rPr>
        <w:t>Aplicado sobre una herida. (Fuente no rastreada)</w:t>
      </w:r>
    </w:p>
    <w:p w14:paraId="64EA182B" w14:textId="77777777" w:rsidR="00B65CF7" w:rsidRPr="0004313B" w:rsidRDefault="00B65CF7" w:rsidP="00090424">
      <w:pPr>
        <w:pStyle w:val="VersoIngls01Sangria"/>
        <w:rPr>
          <w:sz w:val="16"/>
          <w:szCs w:val="20"/>
        </w:rPr>
      </w:pPr>
    </w:p>
    <w:p w14:paraId="1AEA90EE" w14:textId="45283290" w:rsidR="00090424" w:rsidRPr="0004313B" w:rsidRDefault="00090424" w:rsidP="00090424">
      <w:pPr>
        <w:pStyle w:val="VersoIngls01Sangria"/>
        <w:rPr>
          <w:sz w:val="16"/>
          <w:szCs w:val="20"/>
        </w:rPr>
      </w:pPr>
      <w:r w:rsidRPr="0004313B">
        <w:rPr>
          <w:sz w:val="16"/>
          <w:szCs w:val="20"/>
        </w:rPr>
        <w:t>“Así como la carne del niño en el desierto</w:t>
      </w:r>
      <w:r w:rsidR="00F96F47">
        <w:rPr>
          <w:sz w:val="16"/>
          <w:szCs w:val="20"/>
        </w:rPr>
        <w:t>,</w:t>
      </w:r>
    </w:p>
    <w:p w14:paraId="33C6B61B" w14:textId="2150E923" w:rsidR="00090424" w:rsidRPr="0004313B" w:rsidRDefault="00F96F47" w:rsidP="00090424">
      <w:pPr>
        <w:pStyle w:val="VersoIngls01Sangria"/>
        <w:rPr>
          <w:sz w:val="16"/>
          <w:szCs w:val="20"/>
        </w:rPr>
      </w:pPr>
      <w:r>
        <w:rPr>
          <w:sz w:val="16"/>
          <w:szCs w:val="20"/>
        </w:rPr>
        <w:t xml:space="preserve">Así </w:t>
      </w:r>
      <w:r w:rsidR="00090424" w:rsidRPr="0004313B">
        <w:rPr>
          <w:sz w:val="16"/>
          <w:szCs w:val="20"/>
        </w:rPr>
        <w:t>como el engrase del eje,</w:t>
      </w:r>
    </w:p>
    <w:p w14:paraId="6944F3C3" w14:textId="77777777" w:rsidR="00090424" w:rsidRPr="0004313B" w:rsidRDefault="00090424" w:rsidP="00090424">
      <w:pPr>
        <w:pStyle w:val="VersoIngls01Sangria"/>
        <w:rPr>
          <w:sz w:val="16"/>
          <w:szCs w:val="20"/>
        </w:rPr>
      </w:pPr>
      <w:r w:rsidRPr="0004313B">
        <w:rPr>
          <w:sz w:val="16"/>
          <w:szCs w:val="20"/>
        </w:rPr>
        <w:t>Debe comer sin delirio</w:t>
      </w:r>
    </w:p>
    <w:p w14:paraId="4662D08E" w14:textId="56CCE75B" w:rsidR="00B65CF7" w:rsidRPr="0004313B" w:rsidRDefault="00FF78F1" w:rsidP="0004313B">
      <w:pPr>
        <w:pStyle w:val="VersoIngls01Sangria"/>
        <w:spacing w:after="100"/>
        <w:ind w:left="1418"/>
        <w:rPr>
          <w:sz w:val="16"/>
          <w:szCs w:val="20"/>
        </w:rPr>
      </w:pPr>
      <w:r>
        <w:rPr>
          <w:sz w:val="16"/>
          <w:szCs w:val="20"/>
        </w:rPr>
        <w:t>Como n</w:t>
      </w:r>
      <w:r w:rsidR="00090424" w:rsidRPr="0004313B">
        <w:rPr>
          <w:sz w:val="16"/>
          <w:szCs w:val="20"/>
        </w:rPr>
        <w:t>utri</w:t>
      </w:r>
      <w:r>
        <w:rPr>
          <w:sz w:val="16"/>
          <w:szCs w:val="20"/>
        </w:rPr>
        <w:t>mento</w:t>
      </w:r>
      <w:r w:rsidR="00090424" w:rsidRPr="0004313B">
        <w:rPr>
          <w:sz w:val="16"/>
          <w:szCs w:val="20"/>
        </w:rPr>
        <w:t xml:space="preserve"> </w:t>
      </w:r>
      <w:r w:rsidR="00F96F47">
        <w:rPr>
          <w:sz w:val="16"/>
          <w:szCs w:val="20"/>
        </w:rPr>
        <w:t xml:space="preserve">sólo </w:t>
      </w:r>
      <w:r w:rsidR="00090424" w:rsidRPr="0004313B">
        <w:rPr>
          <w:sz w:val="16"/>
          <w:szCs w:val="20"/>
        </w:rPr>
        <w:t>para mantenerse vivo.” (Fuente no rastreada)</w:t>
      </w:r>
    </w:p>
    <w:p w14:paraId="7DAEF15E" w14:textId="6FBB067A" w:rsidR="0004313B" w:rsidRDefault="0004313B" w:rsidP="0004313B">
      <w:r>
        <w:t xml:space="preserve">130. </w:t>
      </w:r>
      <w:r w:rsidR="00EF4F9B">
        <w:tab/>
      </w:r>
      <w:r>
        <w:t xml:space="preserve">Y en relación con el </w:t>
      </w:r>
      <w:r w:rsidR="004E27D2">
        <w:t>desarrollo</w:t>
      </w:r>
      <w:r>
        <w:t xml:space="preserve"> de esta virtud que depende de los requisitos, debe contarse la historia del novicio </w:t>
      </w:r>
      <w:r w:rsidR="004E27D2">
        <w:t>el Sobrino</w:t>
      </w:r>
      <w:r w:rsidR="004E27D2" w:rsidRPr="00EF4F9B">
        <w:rPr>
          <w:iCs/>
        </w:rPr>
        <w:t xml:space="preserve"> </w:t>
      </w:r>
      <w:proofErr w:type="spellStart"/>
      <w:r w:rsidR="00057BF4" w:rsidRPr="00EF4F9B">
        <w:rPr>
          <w:iCs/>
        </w:rPr>
        <w:t>Saṅgha</w:t>
      </w:r>
      <w:r w:rsidRPr="00EF4F9B">
        <w:rPr>
          <w:iCs/>
        </w:rPr>
        <w:t>rakkhita</w:t>
      </w:r>
      <w:proofErr w:type="spellEnd"/>
      <w:r>
        <w:t xml:space="preserve">. Porque hizo uso de los requisitos después de </w:t>
      </w:r>
      <w:r w:rsidR="00EF4F9B">
        <w:t>examinar</w:t>
      </w:r>
      <w:r w:rsidR="005D294B">
        <w:t>los</w:t>
      </w:r>
      <w:r>
        <w:t xml:space="preserve">, </w:t>
      </w:r>
      <w:proofErr w:type="gramStart"/>
      <w:r w:rsidR="005D294B">
        <w:t>de acuerdo a</w:t>
      </w:r>
      <w:proofErr w:type="gramEnd"/>
      <w:r w:rsidR="005D294B">
        <w:t xml:space="preserve"> lo</w:t>
      </w:r>
      <w:r>
        <w:t xml:space="preserve"> </w:t>
      </w:r>
      <w:r w:rsidR="004E27D2">
        <w:t>que se cuenta</w:t>
      </w:r>
      <w:r>
        <w:t>:</w:t>
      </w:r>
    </w:p>
    <w:p w14:paraId="3B6EABE5" w14:textId="0FE0F37A" w:rsidR="0004313B" w:rsidRPr="0004313B" w:rsidRDefault="0004313B" w:rsidP="0004313B">
      <w:pPr>
        <w:pStyle w:val="VersoIngls01Sangria"/>
        <w:rPr>
          <w:sz w:val="16"/>
          <w:szCs w:val="20"/>
        </w:rPr>
      </w:pPr>
      <w:r w:rsidRPr="0004313B">
        <w:rPr>
          <w:sz w:val="16"/>
          <w:szCs w:val="20"/>
        </w:rPr>
        <w:t>“</w:t>
      </w:r>
      <w:r w:rsidR="00D1570F">
        <w:rPr>
          <w:sz w:val="16"/>
          <w:szCs w:val="20"/>
        </w:rPr>
        <w:t>Al v</w:t>
      </w:r>
      <w:r w:rsidRPr="0004313B">
        <w:rPr>
          <w:sz w:val="16"/>
          <w:szCs w:val="20"/>
        </w:rPr>
        <w:t>erme comer un plato de arroz</w:t>
      </w:r>
    </w:p>
    <w:p w14:paraId="1FC536B4" w14:textId="21E9D5E4" w:rsidR="0004313B" w:rsidRPr="0004313B" w:rsidRDefault="0004313B" w:rsidP="0004313B">
      <w:pPr>
        <w:pStyle w:val="VersoIngls01Sangria"/>
        <w:rPr>
          <w:sz w:val="16"/>
          <w:szCs w:val="20"/>
        </w:rPr>
      </w:pPr>
      <w:r w:rsidRPr="0004313B">
        <w:rPr>
          <w:sz w:val="16"/>
          <w:szCs w:val="20"/>
        </w:rPr>
        <w:t>Muy frí</w:t>
      </w:r>
      <w:r w:rsidR="00D1570F">
        <w:rPr>
          <w:sz w:val="16"/>
          <w:szCs w:val="20"/>
        </w:rPr>
        <w:t>amente</w:t>
      </w:r>
      <w:r w:rsidRPr="0004313B">
        <w:rPr>
          <w:sz w:val="16"/>
          <w:szCs w:val="20"/>
        </w:rPr>
        <w:t>, mi preceptor observó:</w:t>
      </w:r>
    </w:p>
    <w:p w14:paraId="6BD047F1" w14:textId="7B31C15F" w:rsidR="0004313B" w:rsidRPr="0004313B" w:rsidRDefault="001B461C" w:rsidP="0004313B">
      <w:pPr>
        <w:pStyle w:val="VersoIngls01Sangria"/>
        <w:rPr>
          <w:sz w:val="16"/>
          <w:szCs w:val="20"/>
        </w:rPr>
      </w:pPr>
      <w:r>
        <w:rPr>
          <w:sz w:val="16"/>
          <w:szCs w:val="20"/>
        </w:rPr>
        <w:t>‘</w:t>
      </w:r>
      <w:r w:rsidR="0004313B" w:rsidRPr="0004313B">
        <w:rPr>
          <w:sz w:val="16"/>
          <w:szCs w:val="20"/>
        </w:rPr>
        <w:t>Novicio, si no está refrenado,</w:t>
      </w:r>
    </w:p>
    <w:p w14:paraId="3064DD5E" w14:textId="74FFA246" w:rsidR="0004313B" w:rsidRPr="0004313B" w:rsidRDefault="0004313B" w:rsidP="0004313B">
      <w:pPr>
        <w:pStyle w:val="VersoIngls01Sangria"/>
        <w:rPr>
          <w:sz w:val="16"/>
          <w:szCs w:val="20"/>
        </w:rPr>
      </w:pPr>
      <w:r w:rsidRPr="0004313B">
        <w:rPr>
          <w:sz w:val="16"/>
          <w:szCs w:val="20"/>
        </w:rPr>
        <w:t>Ten</w:t>
      </w:r>
      <w:r w:rsidR="00D1570F">
        <w:rPr>
          <w:sz w:val="16"/>
          <w:szCs w:val="20"/>
        </w:rPr>
        <w:t>ga</w:t>
      </w:r>
      <w:r w:rsidRPr="0004313B">
        <w:rPr>
          <w:sz w:val="16"/>
          <w:szCs w:val="20"/>
        </w:rPr>
        <w:t xml:space="preserve"> cuidado de no quemar</w:t>
      </w:r>
      <w:r w:rsidR="00D1570F">
        <w:rPr>
          <w:sz w:val="16"/>
          <w:szCs w:val="20"/>
        </w:rPr>
        <w:t>s</w:t>
      </w:r>
      <w:r w:rsidRPr="0004313B">
        <w:rPr>
          <w:sz w:val="16"/>
          <w:szCs w:val="20"/>
        </w:rPr>
        <w:t>e la lengua</w:t>
      </w:r>
      <w:r w:rsidR="001B461C">
        <w:rPr>
          <w:sz w:val="16"/>
          <w:szCs w:val="20"/>
        </w:rPr>
        <w:t>’</w:t>
      </w:r>
      <w:r w:rsidRPr="0004313B">
        <w:rPr>
          <w:sz w:val="16"/>
          <w:szCs w:val="20"/>
        </w:rPr>
        <w:t>.</w:t>
      </w:r>
    </w:p>
    <w:p w14:paraId="288D1985" w14:textId="77777777" w:rsidR="0004313B" w:rsidRPr="0004313B" w:rsidRDefault="0004313B" w:rsidP="0004313B">
      <w:pPr>
        <w:pStyle w:val="VersoIngls01Sangria"/>
        <w:rPr>
          <w:sz w:val="16"/>
          <w:szCs w:val="20"/>
        </w:rPr>
      </w:pPr>
      <w:r w:rsidRPr="0004313B">
        <w:rPr>
          <w:sz w:val="16"/>
          <w:szCs w:val="20"/>
        </w:rPr>
        <w:t>Al escuchar las palabras de mi Preceptor,</w:t>
      </w:r>
    </w:p>
    <w:p w14:paraId="4818C9E6" w14:textId="6CE2E6A0" w:rsidR="0004313B" w:rsidRPr="0004313B" w:rsidRDefault="0004313B" w:rsidP="0004313B">
      <w:pPr>
        <w:pStyle w:val="VersoIngls01Sangria"/>
        <w:rPr>
          <w:sz w:val="16"/>
          <w:szCs w:val="20"/>
        </w:rPr>
      </w:pPr>
      <w:r w:rsidRPr="0004313B">
        <w:rPr>
          <w:sz w:val="16"/>
          <w:szCs w:val="20"/>
        </w:rPr>
        <w:t>Entonces y allí me sentí impulsado a actuar</w:t>
      </w:r>
      <w:r w:rsidR="00BA5AE5">
        <w:rPr>
          <w:sz w:val="16"/>
          <w:szCs w:val="20"/>
        </w:rPr>
        <w:t>,</w:t>
      </w:r>
    </w:p>
    <w:p w14:paraId="7A065A70" w14:textId="4A25F209" w:rsidR="0004313B" w:rsidRPr="0004313B" w:rsidRDefault="00BA5AE5" w:rsidP="0004313B">
      <w:pPr>
        <w:pStyle w:val="VersoIngls01Sangria"/>
        <w:rPr>
          <w:sz w:val="16"/>
          <w:szCs w:val="20"/>
        </w:rPr>
      </w:pPr>
      <w:r w:rsidRPr="0004313B">
        <w:rPr>
          <w:sz w:val="16"/>
          <w:szCs w:val="20"/>
        </w:rPr>
        <w:t xml:space="preserve">Sentado </w:t>
      </w:r>
      <w:r w:rsidR="00371B9B">
        <w:rPr>
          <w:sz w:val="16"/>
          <w:szCs w:val="20"/>
        </w:rPr>
        <w:t xml:space="preserve">y </w:t>
      </w:r>
      <w:r w:rsidR="0004313B" w:rsidRPr="0004313B">
        <w:rPr>
          <w:sz w:val="16"/>
          <w:szCs w:val="20"/>
        </w:rPr>
        <w:t>en una sola sesión,</w:t>
      </w:r>
      <w:r>
        <w:rPr>
          <w:sz w:val="16"/>
          <w:szCs w:val="20"/>
        </w:rPr>
        <w:t xml:space="preserve"> para</w:t>
      </w:r>
    </w:p>
    <w:p w14:paraId="60C86B61" w14:textId="24873583" w:rsidR="0004313B" w:rsidRPr="0004313B" w:rsidRDefault="0004313B" w:rsidP="0004313B">
      <w:pPr>
        <w:pStyle w:val="VersoIngls01Sangria"/>
        <w:spacing w:after="100"/>
        <w:ind w:left="1418"/>
        <w:rPr>
          <w:sz w:val="16"/>
          <w:szCs w:val="20"/>
        </w:rPr>
      </w:pPr>
      <w:r w:rsidRPr="0004313B">
        <w:rPr>
          <w:sz w:val="16"/>
          <w:szCs w:val="20"/>
        </w:rPr>
        <w:t xml:space="preserve">Alcancé la meta del estado de </w:t>
      </w:r>
      <w:r w:rsidR="00057BF4" w:rsidRPr="00057BF4">
        <w:rPr>
          <w:i/>
          <w:iCs/>
          <w:sz w:val="16"/>
          <w:szCs w:val="20"/>
        </w:rPr>
        <w:t>Arahant</w:t>
      </w:r>
      <w:r w:rsidRPr="0004313B">
        <w:rPr>
          <w:sz w:val="16"/>
          <w:szCs w:val="20"/>
        </w:rPr>
        <w:t>.</w:t>
      </w:r>
    </w:p>
    <w:p w14:paraId="03CC4946" w14:textId="77777777" w:rsidR="0004313B" w:rsidRPr="0004313B" w:rsidRDefault="0004313B" w:rsidP="0004313B">
      <w:pPr>
        <w:pStyle w:val="VersoIngls01Sangria"/>
        <w:rPr>
          <w:sz w:val="16"/>
          <w:szCs w:val="20"/>
        </w:rPr>
      </w:pPr>
      <w:r w:rsidRPr="0004313B">
        <w:rPr>
          <w:sz w:val="16"/>
          <w:szCs w:val="20"/>
        </w:rPr>
        <w:t>Como ahora estoy lleno de pensamientos</w:t>
      </w:r>
    </w:p>
    <w:p w14:paraId="4F23BE86" w14:textId="28666175" w:rsidR="0004313B" w:rsidRPr="0004313B" w:rsidRDefault="0004313B" w:rsidP="0004313B">
      <w:pPr>
        <w:pStyle w:val="VersoIngls01Sangria"/>
        <w:rPr>
          <w:sz w:val="16"/>
          <w:szCs w:val="20"/>
        </w:rPr>
      </w:pPr>
      <w:r w:rsidRPr="0004313B">
        <w:rPr>
          <w:sz w:val="16"/>
          <w:szCs w:val="20"/>
        </w:rPr>
        <w:t xml:space="preserve">Como la </w:t>
      </w:r>
      <w:r w:rsidR="00D1570F" w:rsidRPr="0004313B">
        <w:rPr>
          <w:sz w:val="16"/>
          <w:szCs w:val="20"/>
        </w:rPr>
        <w:t xml:space="preserve">Luna </w:t>
      </w:r>
      <w:r w:rsidRPr="0004313B">
        <w:rPr>
          <w:sz w:val="16"/>
          <w:szCs w:val="20"/>
        </w:rPr>
        <w:t xml:space="preserve">llena del </w:t>
      </w:r>
      <w:r w:rsidR="00D1570F">
        <w:rPr>
          <w:sz w:val="16"/>
          <w:szCs w:val="20"/>
        </w:rPr>
        <w:t xml:space="preserve">décimo </w:t>
      </w:r>
      <w:r w:rsidRPr="0004313B">
        <w:rPr>
          <w:sz w:val="16"/>
          <w:szCs w:val="20"/>
        </w:rPr>
        <w:t>quin</w:t>
      </w:r>
      <w:r w:rsidR="00D1570F">
        <w:rPr>
          <w:sz w:val="16"/>
          <w:szCs w:val="20"/>
        </w:rPr>
        <w:t>to</w:t>
      </w:r>
      <w:r w:rsidRPr="0004313B">
        <w:rPr>
          <w:sz w:val="16"/>
          <w:szCs w:val="20"/>
        </w:rPr>
        <w:t xml:space="preserve"> (M III 277),</w:t>
      </w:r>
    </w:p>
    <w:p w14:paraId="2950E815" w14:textId="676F9431" w:rsidR="0004313B" w:rsidRPr="0004313B" w:rsidRDefault="0004313B" w:rsidP="0004313B">
      <w:pPr>
        <w:pStyle w:val="VersoIngls01Sangria"/>
        <w:rPr>
          <w:sz w:val="16"/>
          <w:szCs w:val="20"/>
        </w:rPr>
      </w:pPr>
      <w:r w:rsidRPr="0004313B">
        <w:rPr>
          <w:sz w:val="16"/>
          <w:szCs w:val="20"/>
        </w:rPr>
        <w:t xml:space="preserve">Y </w:t>
      </w:r>
      <w:proofErr w:type="gramStart"/>
      <w:r w:rsidRPr="0004313B">
        <w:rPr>
          <w:sz w:val="16"/>
          <w:szCs w:val="20"/>
        </w:rPr>
        <w:t xml:space="preserve">todos mis </w:t>
      </w:r>
      <w:r w:rsidR="00D1570F">
        <w:rPr>
          <w:sz w:val="16"/>
          <w:szCs w:val="20"/>
        </w:rPr>
        <w:t xml:space="preserve">corrupciones </w:t>
      </w:r>
      <w:r w:rsidRPr="0004313B">
        <w:rPr>
          <w:sz w:val="16"/>
          <w:szCs w:val="20"/>
        </w:rPr>
        <w:t>destruid</w:t>
      </w:r>
      <w:r w:rsidR="00D1570F">
        <w:rPr>
          <w:sz w:val="16"/>
          <w:szCs w:val="20"/>
        </w:rPr>
        <w:t>a</w:t>
      </w:r>
      <w:r w:rsidRPr="0004313B">
        <w:rPr>
          <w:sz w:val="16"/>
          <w:szCs w:val="20"/>
        </w:rPr>
        <w:t>s</w:t>
      </w:r>
      <w:proofErr w:type="gramEnd"/>
      <w:r w:rsidRPr="0004313B">
        <w:rPr>
          <w:sz w:val="16"/>
          <w:szCs w:val="20"/>
        </w:rPr>
        <w:t>,</w:t>
      </w:r>
    </w:p>
    <w:p w14:paraId="1FE43975" w14:textId="0596956F" w:rsidR="0004313B" w:rsidRPr="0004313B" w:rsidRDefault="0004313B" w:rsidP="0004313B">
      <w:pPr>
        <w:pStyle w:val="VersoIngls01Sangria"/>
        <w:spacing w:after="100"/>
        <w:ind w:left="1418"/>
        <w:rPr>
          <w:sz w:val="16"/>
          <w:szCs w:val="20"/>
        </w:rPr>
      </w:pPr>
      <w:r w:rsidRPr="0004313B">
        <w:rPr>
          <w:sz w:val="16"/>
          <w:szCs w:val="20"/>
        </w:rPr>
        <w:t>Ya no ha</w:t>
      </w:r>
      <w:r w:rsidR="00D1570F">
        <w:rPr>
          <w:sz w:val="16"/>
          <w:szCs w:val="20"/>
        </w:rPr>
        <w:t>brá</w:t>
      </w:r>
      <w:r w:rsidRPr="0004313B">
        <w:rPr>
          <w:sz w:val="16"/>
          <w:szCs w:val="20"/>
        </w:rPr>
        <w:t xml:space="preserve"> más devenir”. [46]</w:t>
      </w:r>
    </w:p>
    <w:p w14:paraId="117D1074" w14:textId="77777777" w:rsidR="0004313B" w:rsidRPr="0004313B" w:rsidRDefault="0004313B" w:rsidP="0004313B">
      <w:pPr>
        <w:pStyle w:val="VersoIngls01Sangria"/>
        <w:rPr>
          <w:sz w:val="16"/>
          <w:szCs w:val="20"/>
        </w:rPr>
      </w:pPr>
      <w:r w:rsidRPr="0004313B">
        <w:rPr>
          <w:sz w:val="16"/>
          <w:szCs w:val="20"/>
        </w:rPr>
        <w:t>Y lo mismo debería hacer cualquier otro hombre</w:t>
      </w:r>
    </w:p>
    <w:p w14:paraId="05ECE88B" w14:textId="698811F6" w:rsidR="0004313B" w:rsidRPr="0004313B" w:rsidRDefault="00194746" w:rsidP="0004313B">
      <w:pPr>
        <w:pStyle w:val="VersoIngls01Sangria"/>
        <w:rPr>
          <w:sz w:val="16"/>
          <w:szCs w:val="20"/>
        </w:rPr>
      </w:pPr>
      <w:r>
        <w:rPr>
          <w:sz w:val="16"/>
          <w:szCs w:val="20"/>
        </w:rPr>
        <w:t xml:space="preserve">Con la aspiración </w:t>
      </w:r>
      <w:proofErr w:type="gramStart"/>
      <w:r>
        <w:rPr>
          <w:sz w:val="16"/>
          <w:szCs w:val="20"/>
        </w:rPr>
        <w:t>de</w:t>
      </w:r>
      <w:r w:rsidR="0004313B" w:rsidRPr="0004313B">
        <w:rPr>
          <w:sz w:val="16"/>
          <w:szCs w:val="20"/>
        </w:rPr>
        <w:t xml:space="preserve">  acabar</w:t>
      </w:r>
      <w:proofErr w:type="gramEnd"/>
      <w:r w:rsidR="0004313B" w:rsidRPr="0004313B">
        <w:rPr>
          <w:sz w:val="16"/>
          <w:szCs w:val="20"/>
        </w:rPr>
        <w:t xml:space="preserve"> con el sufrimiento</w:t>
      </w:r>
    </w:p>
    <w:p w14:paraId="6CA1CB06" w14:textId="3A793DFF" w:rsidR="0004313B" w:rsidRPr="0004313B" w:rsidRDefault="0004313B" w:rsidP="0004313B">
      <w:pPr>
        <w:pStyle w:val="VersoIngls01Sangria"/>
        <w:rPr>
          <w:sz w:val="16"/>
          <w:szCs w:val="20"/>
        </w:rPr>
      </w:pPr>
      <w:r w:rsidRPr="0004313B">
        <w:rPr>
          <w:sz w:val="16"/>
          <w:szCs w:val="20"/>
        </w:rPr>
        <w:t>Ha</w:t>
      </w:r>
      <w:r w:rsidR="00194746">
        <w:rPr>
          <w:sz w:val="16"/>
          <w:szCs w:val="20"/>
        </w:rPr>
        <w:t>ciendo</w:t>
      </w:r>
      <w:r w:rsidRPr="0004313B">
        <w:rPr>
          <w:sz w:val="16"/>
          <w:szCs w:val="20"/>
        </w:rPr>
        <w:t xml:space="preserve"> uso de todos los requisitos</w:t>
      </w:r>
    </w:p>
    <w:p w14:paraId="15F69DAB" w14:textId="22AD5ED9" w:rsidR="0004313B" w:rsidRPr="0004313B" w:rsidRDefault="005444FA" w:rsidP="0004313B">
      <w:pPr>
        <w:pStyle w:val="VersoIngls01Sangria"/>
        <w:spacing w:after="100"/>
        <w:ind w:left="1418"/>
        <w:rPr>
          <w:sz w:val="16"/>
          <w:szCs w:val="20"/>
        </w:rPr>
      </w:pPr>
      <w:r w:rsidRPr="0004313B">
        <w:rPr>
          <w:sz w:val="16"/>
          <w:szCs w:val="20"/>
        </w:rPr>
        <w:t xml:space="preserve">Después </w:t>
      </w:r>
      <w:r w:rsidR="0004313B" w:rsidRPr="0004313B">
        <w:rPr>
          <w:sz w:val="16"/>
          <w:szCs w:val="20"/>
        </w:rPr>
        <w:t xml:space="preserve">de </w:t>
      </w:r>
      <w:r>
        <w:rPr>
          <w:sz w:val="16"/>
          <w:szCs w:val="20"/>
        </w:rPr>
        <w:t>examinarlos</w:t>
      </w:r>
      <w:r w:rsidRPr="005444FA">
        <w:rPr>
          <w:sz w:val="16"/>
          <w:szCs w:val="20"/>
        </w:rPr>
        <w:t xml:space="preserve"> </w:t>
      </w:r>
      <w:r w:rsidRPr="0004313B">
        <w:rPr>
          <w:sz w:val="16"/>
          <w:szCs w:val="20"/>
        </w:rPr>
        <w:t>sabiamente</w:t>
      </w:r>
      <w:r w:rsidR="0004313B" w:rsidRPr="0004313B">
        <w:rPr>
          <w:sz w:val="16"/>
          <w:szCs w:val="20"/>
        </w:rPr>
        <w:t>.</w:t>
      </w:r>
    </w:p>
    <w:p w14:paraId="310B5F98" w14:textId="57876C72" w:rsidR="0004313B" w:rsidRDefault="0004313B" w:rsidP="0004313B">
      <w:pPr>
        <w:pStyle w:val="NormalConSangria"/>
      </w:pPr>
      <w:r>
        <w:t xml:space="preserve">Así </w:t>
      </w:r>
      <w:r w:rsidR="005444FA">
        <w:t xml:space="preserve">es cómo </w:t>
      </w:r>
      <w:r>
        <w:t xml:space="preserve">la virtud </w:t>
      </w:r>
      <w:r w:rsidR="00C126A1">
        <w:t>puede ser</w:t>
      </w:r>
      <w:r>
        <w:t xml:space="preserve"> de cuatro clases</w:t>
      </w:r>
      <w:r w:rsidR="00C126A1">
        <w:t>:</w:t>
      </w:r>
      <w:r>
        <w:t xml:space="preserve"> como “virtud de la </w:t>
      </w:r>
      <w:r w:rsidR="00721D1E">
        <w:t xml:space="preserve">restricción </w:t>
      </w:r>
      <w:proofErr w:type="spellStart"/>
      <w:r w:rsidRPr="003B62D9">
        <w:rPr>
          <w:i/>
          <w:iCs/>
        </w:rPr>
        <w:t>Pātimokkha</w:t>
      </w:r>
      <w:proofErr w:type="spellEnd"/>
      <w:r>
        <w:t>”,</w:t>
      </w:r>
      <w:r w:rsidR="00FF0251">
        <w:t xml:space="preserve"> …etc</w:t>
      </w:r>
      <w:r>
        <w:t>.</w:t>
      </w:r>
    </w:p>
    <w:p w14:paraId="78419AB2" w14:textId="25A540F4" w:rsidR="0004313B" w:rsidRDefault="0004313B" w:rsidP="0004313B">
      <w:r>
        <w:t xml:space="preserve">131. </w:t>
      </w:r>
      <w:r w:rsidR="00721D1E">
        <w:tab/>
      </w:r>
      <w:r w:rsidRPr="00D37D6F">
        <w:rPr>
          <w:i/>
          <w:iCs/>
        </w:rPr>
        <w:t>18</w:t>
      </w:r>
      <w:r>
        <w:t xml:space="preserve">. En la primera </w:t>
      </w:r>
      <w:proofErr w:type="spellStart"/>
      <w:r>
        <w:t>pentada</w:t>
      </w:r>
      <w:proofErr w:type="spellEnd"/>
      <w:r>
        <w:t xml:space="preserve"> de la qu</w:t>
      </w:r>
      <w:r w:rsidR="000D6C9D">
        <w:t>i</w:t>
      </w:r>
      <w:r>
        <w:t>nt</w:t>
      </w:r>
      <w:r w:rsidR="000D6C9D">
        <w:t>a</w:t>
      </w:r>
      <w:r>
        <w:t xml:space="preserve"> sección debe entenderse el </w:t>
      </w:r>
      <w:r w:rsidR="000D6C9D">
        <w:t>significado</w:t>
      </w:r>
      <w:r>
        <w:t xml:space="preserve"> según la virtud de los no admitidos de pleno derecho </w:t>
      </w:r>
      <w:r w:rsidR="00D91DA8">
        <w:t>a</w:t>
      </w:r>
      <w:r>
        <w:t xml:space="preserve"> la Orden, y así sucesivamente. </w:t>
      </w:r>
      <w:r w:rsidR="00D91DA8">
        <w:t xml:space="preserve">Ya </w:t>
      </w:r>
      <w:r>
        <w:t xml:space="preserve">que esto se dice en el </w:t>
      </w:r>
      <w:proofErr w:type="spellStart"/>
      <w:r w:rsidRPr="003B62D9">
        <w:rPr>
          <w:i/>
          <w:iCs/>
        </w:rPr>
        <w:t>Paṭisambhidā</w:t>
      </w:r>
      <w:proofErr w:type="spellEnd"/>
      <w:r>
        <w:t xml:space="preserve">: “(a) ¿En qué consiste la virtud </w:t>
      </w:r>
      <w:r w:rsidR="00D91DA8">
        <w:t>de</w:t>
      </w:r>
      <w:r>
        <w:t xml:space="preserve"> una purificación limitada? La de los preceptos de </w:t>
      </w:r>
      <w:r w:rsidR="002A5598">
        <w:t>entrenamiento</w:t>
      </w:r>
      <w:r>
        <w:t xml:space="preserve"> para los no admitidos plenamente </w:t>
      </w:r>
      <w:r w:rsidR="00D91DA8">
        <w:t>a</w:t>
      </w:r>
      <w:r>
        <w:t xml:space="preserve"> la Orden: tal es la virtud </w:t>
      </w:r>
      <w:r w:rsidR="00D91DA8">
        <w:t>c</w:t>
      </w:r>
      <w:r>
        <w:t>onsiste</w:t>
      </w:r>
      <w:r w:rsidR="00D91DA8">
        <w:t>nte</w:t>
      </w:r>
      <w:r>
        <w:t xml:space="preserve"> </w:t>
      </w:r>
      <w:r w:rsidR="00D91DA8">
        <w:t>de</w:t>
      </w:r>
      <w:r>
        <w:t xml:space="preserve"> una purificación limitada. (b) ¿En qué consiste la virtud </w:t>
      </w:r>
      <w:r w:rsidR="00D91DA8">
        <w:t>de</w:t>
      </w:r>
      <w:r>
        <w:t xml:space="preserve"> la purificación ilimitada? La de los preceptos de formación </w:t>
      </w:r>
      <w:r w:rsidR="00D91DA8">
        <w:t>de</w:t>
      </w:r>
      <w:r>
        <w:t xml:space="preserve"> los admitidos plenamente </w:t>
      </w:r>
      <w:r w:rsidR="00D91DA8">
        <w:t>a</w:t>
      </w:r>
      <w:r>
        <w:t xml:space="preserve"> la Orden: tal es la virtud consiste</w:t>
      </w:r>
      <w:r w:rsidR="00D91DA8">
        <w:t>nte</w:t>
      </w:r>
      <w:r>
        <w:t xml:space="preserve"> </w:t>
      </w:r>
      <w:r w:rsidR="00D91DA8">
        <w:t>de</w:t>
      </w:r>
      <w:r>
        <w:t xml:space="preserve"> una purificación ilimitada. (c) ¿En qué consiste la virtud </w:t>
      </w:r>
      <w:r w:rsidR="00D91DA8">
        <w:t>de</w:t>
      </w:r>
      <w:r>
        <w:t xml:space="preserve"> la purificación </w:t>
      </w:r>
      <w:r w:rsidR="003B4CDF">
        <w:t>en desarrollo</w:t>
      </w:r>
      <w:r>
        <w:t xml:space="preserve">? La de los hombres ordinarios </w:t>
      </w:r>
      <w:r w:rsidR="00B91390">
        <w:t xml:space="preserve">y </w:t>
      </w:r>
      <w:r>
        <w:t xml:space="preserve">magnánimos dedicados a las cosas </w:t>
      </w:r>
      <w:r w:rsidR="001B6FA9">
        <w:t>productivas</w:t>
      </w:r>
      <w:r>
        <w:t xml:space="preserve">, que </w:t>
      </w:r>
      <w:r w:rsidR="001B6FA9">
        <w:t xml:space="preserve">se </w:t>
      </w:r>
      <w:r>
        <w:t>van perfeccionando [</w:t>
      </w:r>
      <w:r w:rsidR="00D37D6F">
        <w:t xml:space="preserve">en </w:t>
      </w:r>
      <w:r>
        <w:t xml:space="preserve">el curso] que termina </w:t>
      </w:r>
      <w:r w:rsidR="001B6FA9">
        <w:t>con</w:t>
      </w:r>
      <w:r>
        <w:t xml:space="preserve"> </w:t>
      </w:r>
      <w:r w:rsidR="001B6FA9">
        <w:t>la instrucción a otros</w:t>
      </w:r>
      <w:r>
        <w:t>, prescindiendo del cuerpo físico y de la vida, habiendo abandonad</w:t>
      </w:r>
      <w:r w:rsidR="00D37D6F">
        <w:t>o</w:t>
      </w:r>
      <w:r>
        <w:t xml:space="preserve"> el apego a la vida: tal es virtud de la purificación </w:t>
      </w:r>
      <w:r w:rsidR="009462D8">
        <w:t>en desarrollo</w:t>
      </w:r>
      <w:r>
        <w:t xml:space="preserve">, (d) </w:t>
      </w:r>
      <w:r w:rsidR="001C3602">
        <w:t xml:space="preserve">¿Cuál es la virtud </w:t>
      </w:r>
      <w:r>
        <w:t>la virtud consiste</w:t>
      </w:r>
      <w:r w:rsidR="001B117B">
        <w:t>nte de una</w:t>
      </w:r>
      <w:r>
        <w:t xml:space="preserve"> purificación</w:t>
      </w:r>
      <w:r w:rsidR="001B117B">
        <w:t xml:space="preserve"> no adherida a</w:t>
      </w:r>
      <w:r>
        <w:t xml:space="preserve">? La de los siete tipos de </w:t>
      </w:r>
      <w:r w:rsidR="001B117B">
        <w:t>practicantes</w:t>
      </w:r>
      <w:r w:rsidR="00A51415">
        <w:t>:</w:t>
      </w:r>
      <w:r>
        <w:t xml:space="preserve"> tal es la virtud consiste</w:t>
      </w:r>
      <w:r w:rsidR="00A51415">
        <w:t>nte</w:t>
      </w:r>
      <w:r>
        <w:t xml:space="preserve"> </w:t>
      </w:r>
      <w:r w:rsidR="00A51415">
        <w:t>de</w:t>
      </w:r>
      <w:r>
        <w:t xml:space="preserve"> la purificación no </w:t>
      </w:r>
      <w:r w:rsidR="00A51415">
        <w:t>adherida a</w:t>
      </w:r>
      <w:r>
        <w:t>. (e) ¿</w:t>
      </w:r>
      <w:r w:rsidR="009E680A">
        <w:t xml:space="preserve">Cuál es </w:t>
      </w:r>
      <w:r>
        <w:t xml:space="preserve">la virtud </w:t>
      </w:r>
      <w:r w:rsidR="009E680A">
        <w:t xml:space="preserve">consistente </w:t>
      </w:r>
      <w:r w:rsidR="00A51415">
        <w:t xml:space="preserve">de </w:t>
      </w:r>
      <w:r>
        <w:t xml:space="preserve">la purificación </w:t>
      </w:r>
      <w:r w:rsidR="009E680A">
        <w:t>apaciguada</w:t>
      </w:r>
      <w:r>
        <w:t>? La de los discípulos del Perfecto</w:t>
      </w:r>
      <w:r w:rsidR="009E680A" w:rsidRPr="009E680A">
        <w:t xml:space="preserve"> </w:t>
      </w:r>
      <w:r w:rsidR="009E680A">
        <w:t>de corrupciones</w:t>
      </w:r>
      <w:r>
        <w:tab/>
      </w:r>
      <w:r>
        <w:br w:type="page"/>
      </w:r>
    </w:p>
    <w:p w14:paraId="74E2BAA4" w14:textId="77777777" w:rsidR="0004313B" w:rsidRDefault="0004313B" w:rsidP="0004313B"/>
    <w:p w14:paraId="2DC51AB3" w14:textId="2EBBBBC8" w:rsidR="0004313B" w:rsidRDefault="0091765D" w:rsidP="0004313B">
      <w:r>
        <w:t>d</w:t>
      </w:r>
      <w:r w:rsidR="00A65A16">
        <w:t xml:space="preserve">estruidas, </w:t>
      </w:r>
      <w:r w:rsidR="00850F43">
        <w:t>la</w:t>
      </w:r>
      <w:r w:rsidR="0004313B">
        <w:t xml:space="preserve"> de los </w:t>
      </w:r>
      <w:proofErr w:type="spellStart"/>
      <w:r w:rsidR="00850F43" w:rsidRPr="0069171D">
        <w:rPr>
          <w:i/>
          <w:iCs/>
        </w:rPr>
        <w:t>Pacceka</w:t>
      </w:r>
      <w:r w:rsidR="00850F43" w:rsidRPr="00057BF4">
        <w:rPr>
          <w:i/>
          <w:iCs/>
        </w:rPr>
        <w:t>buddha</w:t>
      </w:r>
      <w:r w:rsidR="00850F43" w:rsidRPr="0069171D">
        <w:rPr>
          <w:i/>
          <w:iCs/>
        </w:rPr>
        <w:t>s</w:t>
      </w:r>
      <w:proofErr w:type="spellEnd"/>
      <w:r w:rsidR="0004313B">
        <w:t xml:space="preserve">, </w:t>
      </w:r>
      <w:r w:rsidR="00850F43">
        <w:t xml:space="preserve">la </w:t>
      </w:r>
      <w:r w:rsidR="0004313B">
        <w:t xml:space="preserve">de los Perfectos, </w:t>
      </w:r>
      <w:r w:rsidR="00850F43">
        <w:t>consumado</w:t>
      </w:r>
      <w:r w:rsidR="00A65A16">
        <w:t>s</w:t>
      </w:r>
      <w:r w:rsidR="00850F43">
        <w:t xml:space="preserve"> </w:t>
      </w:r>
      <w:r w:rsidR="0004313B">
        <w:t>y plenamente iluminados: tal es la virtud consiste</w:t>
      </w:r>
      <w:r w:rsidR="00850F43">
        <w:t>nte</w:t>
      </w:r>
      <w:r w:rsidR="0004313B">
        <w:t xml:space="preserve"> </w:t>
      </w:r>
      <w:r w:rsidR="00A65A16">
        <w:t>de</w:t>
      </w:r>
      <w:r w:rsidR="0004313B">
        <w:t xml:space="preserve"> la purificación </w:t>
      </w:r>
      <w:r w:rsidR="00850F43">
        <w:t>apaciguada</w:t>
      </w:r>
      <w:r w:rsidR="0004313B">
        <w:t>” (</w:t>
      </w:r>
      <w:proofErr w:type="spellStart"/>
      <w:r w:rsidR="0004313B" w:rsidRPr="0069171D">
        <w:rPr>
          <w:i/>
          <w:iCs/>
        </w:rPr>
        <w:t>Pa</w:t>
      </w:r>
      <w:r w:rsidR="0069171D" w:rsidRPr="0069171D">
        <w:rPr>
          <w:i/>
          <w:iCs/>
        </w:rPr>
        <w:t>ṭ</w:t>
      </w:r>
      <w:r w:rsidR="0004313B" w:rsidRPr="0069171D">
        <w:rPr>
          <w:i/>
          <w:iCs/>
        </w:rPr>
        <w:t>is</w:t>
      </w:r>
      <w:proofErr w:type="spellEnd"/>
      <w:r w:rsidR="0004313B">
        <w:t xml:space="preserve"> I 42-43).</w:t>
      </w:r>
    </w:p>
    <w:p w14:paraId="132E4AE3" w14:textId="2E1089FA" w:rsidR="001C741E" w:rsidRDefault="0004313B" w:rsidP="0004313B">
      <w:r>
        <w:t xml:space="preserve">132. </w:t>
      </w:r>
      <w:r w:rsidR="00762937">
        <w:tab/>
      </w:r>
      <w:r>
        <w:t>(a) Aquí, la virtud de los no</w:t>
      </w:r>
      <w:r w:rsidR="003B47DF">
        <w:t>–</w:t>
      </w:r>
      <w:r>
        <w:t xml:space="preserve">admitidos plenamente </w:t>
      </w:r>
      <w:r w:rsidR="00835D4D">
        <w:t>a</w:t>
      </w:r>
      <w:r>
        <w:t xml:space="preserve"> la Orden debe entenderse como</w:t>
      </w:r>
      <w:r w:rsidR="00216243">
        <w:t xml:space="preserve"> una</w:t>
      </w:r>
      <w:r>
        <w:t xml:space="preserve"> </w:t>
      </w:r>
      <w:r w:rsidRPr="0069171D">
        <w:rPr>
          <w:i/>
          <w:iCs/>
        </w:rPr>
        <w:t>virtud consiste</w:t>
      </w:r>
      <w:r w:rsidR="00835D4D">
        <w:rPr>
          <w:i/>
          <w:iCs/>
        </w:rPr>
        <w:t>nte</w:t>
      </w:r>
      <w:r w:rsidRPr="0069171D">
        <w:rPr>
          <w:i/>
          <w:iCs/>
        </w:rPr>
        <w:t xml:space="preserve"> </w:t>
      </w:r>
      <w:r w:rsidR="00835D4D">
        <w:rPr>
          <w:i/>
          <w:iCs/>
        </w:rPr>
        <w:t>de</w:t>
      </w:r>
      <w:r w:rsidRPr="0069171D">
        <w:rPr>
          <w:i/>
          <w:iCs/>
        </w:rPr>
        <w:t xml:space="preserve"> una purificación limitada</w:t>
      </w:r>
      <w:r>
        <w:t>, porque est</w:t>
      </w:r>
      <w:r w:rsidR="003B47DF">
        <w:t>ar</w:t>
      </w:r>
      <w:r>
        <w:t>á limitada por el número [de preceptos de formación, es decir, cinco</w:t>
      </w:r>
      <w:r w:rsidR="00835D4D">
        <w:t>,</w:t>
      </w:r>
      <w:r>
        <w:t xml:space="preserve"> ocho o diez].</w:t>
      </w:r>
    </w:p>
    <w:p w14:paraId="22750683" w14:textId="6486599D" w:rsidR="001C741E" w:rsidRDefault="001C741E" w:rsidP="001C741E">
      <w:r>
        <w:tab/>
        <w:t xml:space="preserve">(b) </w:t>
      </w:r>
      <w:r w:rsidR="00080C38">
        <w:t>La</w:t>
      </w:r>
      <w:r>
        <w:t xml:space="preserve"> de los admitidos plenamente </w:t>
      </w:r>
      <w:r w:rsidR="00835D4D">
        <w:t>a</w:t>
      </w:r>
      <w:r>
        <w:t xml:space="preserve"> la Orden es descri</w:t>
      </w:r>
      <w:r w:rsidR="00080C38">
        <w:t>ta</w:t>
      </w:r>
      <w:r>
        <w:t xml:space="preserve"> así:</w:t>
      </w:r>
    </w:p>
    <w:p w14:paraId="7E878E27" w14:textId="213F6739" w:rsidR="001C741E" w:rsidRDefault="001C741E" w:rsidP="001C741E">
      <w:pPr>
        <w:pStyle w:val="VersoIngls01Sangria"/>
      </w:pPr>
      <w:r>
        <w:t>Nueve mil millones y cien</w:t>
      </w:r>
      <w:r w:rsidR="00080C38">
        <w:t>to</w:t>
      </w:r>
    </w:p>
    <w:p w14:paraId="316561B5" w14:textId="72BD796C" w:rsidR="001C741E" w:rsidRDefault="00080C38" w:rsidP="001C741E">
      <w:pPr>
        <w:pStyle w:val="VersoIngls01Sangria"/>
      </w:pPr>
      <w:r>
        <w:t xml:space="preserve">Ochenta </w:t>
      </w:r>
      <w:r w:rsidR="001C741E">
        <w:t>millones entonces también,</w:t>
      </w:r>
    </w:p>
    <w:p w14:paraId="19623A31" w14:textId="77777777" w:rsidR="001C741E" w:rsidRDefault="001C741E" w:rsidP="001C741E">
      <w:pPr>
        <w:pStyle w:val="VersoIngls01Sangria"/>
      </w:pPr>
      <w:r>
        <w:t>y cincuenta más cien mil,</w:t>
      </w:r>
    </w:p>
    <w:p w14:paraId="685F30AE" w14:textId="018BE2BB" w:rsidR="001C741E" w:rsidRDefault="001C741E" w:rsidP="00810214">
      <w:pPr>
        <w:pStyle w:val="VersoIngls01Sangria"/>
        <w:spacing w:after="100"/>
        <w:ind w:left="1418"/>
      </w:pPr>
      <w:r>
        <w:t xml:space="preserve">Y treinta y seis de nuevo </w:t>
      </w:r>
      <w:r w:rsidR="00B12DF8">
        <w:t>aumentado</w:t>
      </w:r>
      <w:r>
        <w:t>.</w:t>
      </w:r>
    </w:p>
    <w:p w14:paraId="26DB7CF9" w14:textId="7320F28C" w:rsidR="001C741E" w:rsidRDefault="001C741E" w:rsidP="001C741E">
      <w:pPr>
        <w:pStyle w:val="VersoIngls01Sangria"/>
      </w:pPr>
      <w:r>
        <w:t xml:space="preserve">Las disciplinas </w:t>
      </w:r>
      <w:r w:rsidR="00436D0D">
        <w:t xml:space="preserve">totales </w:t>
      </w:r>
      <w:r>
        <w:t>de moderación:</w:t>
      </w:r>
    </w:p>
    <w:p w14:paraId="4D56164D" w14:textId="77777777" w:rsidR="001C741E" w:rsidRDefault="001C741E" w:rsidP="001C741E">
      <w:pPr>
        <w:pStyle w:val="VersoIngls01Sangria"/>
      </w:pPr>
      <w:proofErr w:type="gramStart"/>
      <w:r>
        <w:t>Estas reglas explica</w:t>
      </w:r>
      <w:proofErr w:type="gramEnd"/>
      <w:r>
        <w:t xml:space="preserve"> el Iluminado</w:t>
      </w:r>
    </w:p>
    <w:p w14:paraId="7AA26A80" w14:textId="750FD776" w:rsidR="001C741E" w:rsidRDefault="00DC77D7" w:rsidP="001C741E">
      <w:pPr>
        <w:pStyle w:val="VersoIngls01Sangria"/>
      </w:pPr>
      <w:r>
        <w:t>Mencionadas</w:t>
      </w:r>
      <w:r w:rsidR="001C741E">
        <w:t xml:space="preserve"> bajo las cabezas para </w:t>
      </w:r>
      <w:r w:rsidR="00226B4B">
        <w:t>ser desarrolladas</w:t>
      </w:r>
      <w:r w:rsidR="001C741E">
        <w:t>,</w:t>
      </w:r>
    </w:p>
    <w:p w14:paraId="43DCAB3C" w14:textId="38CD0A2A" w:rsidR="001C741E" w:rsidRPr="00F37112" w:rsidRDefault="00226B4B" w:rsidP="00810214">
      <w:pPr>
        <w:pStyle w:val="VersoIngls01Sangria"/>
        <w:spacing w:after="100"/>
        <w:ind w:left="1418"/>
        <w:rPr>
          <w:vertAlign w:val="superscript"/>
        </w:rPr>
      </w:pPr>
      <w:r>
        <w:t>Contenidas en</w:t>
      </w:r>
      <w:r w:rsidR="001C741E">
        <w:t xml:space="preserve"> la restricción Disciplinaria.</w:t>
      </w:r>
      <w:r w:rsidR="00F37112">
        <w:rPr>
          <w:vertAlign w:val="superscript"/>
        </w:rPr>
        <w:t>35</w:t>
      </w:r>
    </w:p>
    <w:p w14:paraId="03A1E4A8" w14:textId="2641731E" w:rsidR="001C741E" w:rsidRDefault="001C741E" w:rsidP="00810214">
      <w:pPr>
        <w:pStyle w:val="NormalConSangria"/>
      </w:pPr>
      <w:r>
        <w:t>Así, aunque limitada en número, [47] debe entenderse sin embargo como virtud consiste</w:t>
      </w:r>
      <w:r w:rsidR="000F0837">
        <w:t>nte</w:t>
      </w:r>
      <w:r>
        <w:t xml:space="preserve"> </w:t>
      </w:r>
      <w:r w:rsidR="000F0837">
        <w:t>de</w:t>
      </w:r>
      <w:r>
        <w:t xml:space="preserve"> una purificación ilimitada, ya que se emprende sin reserva y no tiene límites evidentes como la ganancia, la fama, los familiares, los miembros o la vida. Como la virtud del </w:t>
      </w:r>
      <w:r w:rsidR="00D97767">
        <w:t xml:space="preserve">Venerable </w:t>
      </w:r>
      <w:r>
        <w:t xml:space="preserve">Mahā </w:t>
      </w:r>
      <w:proofErr w:type="spellStart"/>
      <w:r>
        <w:t>Tissa</w:t>
      </w:r>
      <w:proofErr w:type="spellEnd"/>
      <w:r>
        <w:t xml:space="preserve">, el comedor de mangos, que vivía en </w:t>
      </w:r>
      <w:proofErr w:type="spellStart"/>
      <w:r>
        <w:t>Cīragumba</w:t>
      </w:r>
      <w:proofErr w:type="spellEnd"/>
      <w:r>
        <w:t xml:space="preserve"> (ver §122 arriba).</w:t>
      </w:r>
    </w:p>
    <w:p w14:paraId="74CDBBEC" w14:textId="4299033E" w:rsidR="001C741E" w:rsidRDefault="001C741E" w:rsidP="001C741E">
      <w:r>
        <w:t xml:space="preserve">133. </w:t>
      </w:r>
      <w:r w:rsidR="00D97767">
        <w:tab/>
        <w:t xml:space="preserve">Ya </w:t>
      </w:r>
      <w:r>
        <w:t xml:space="preserve">que aquel </w:t>
      </w:r>
      <w:r w:rsidR="00D97767">
        <w:t xml:space="preserve">Venerable </w:t>
      </w:r>
      <w:r>
        <w:t xml:space="preserve">nunca abandonó </w:t>
      </w:r>
      <w:r w:rsidR="000274B2">
        <w:t>la evocación</w:t>
      </w:r>
      <w:r>
        <w:t xml:space="preserve"> </w:t>
      </w:r>
      <w:r w:rsidR="00B35824">
        <w:t xml:space="preserve">siguiente </w:t>
      </w:r>
      <w:r>
        <w:t>del buen hombre:</w:t>
      </w:r>
    </w:p>
    <w:p w14:paraId="13AF4419" w14:textId="77777777" w:rsidR="001C741E" w:rsidRDefault="001C741E" w:rsidP="00810214">
      <w:pPr>
        <w:pStyle w:val="VersoIngls01Sangria"/>
      </w:pPr>
      <w:r>
        <w:t>“Se debe renunciar a la riqueza por el bien de un miembro sano,</w:t>
      </w:r>
    </w:p>
    <w:p w14:paraId="45D43432" w14:textId="4A576D61" w:rsidR="001C741E" w:rsidRDefault="001C741E" w:rsidP="00810214">
      <w:pPr>
        <w:pStyle w:val="VersoIngls01Sangria"/>
      </w:pPr>
      <w:r>
        <w:t xml:space="preserve">Y el que </w:t>
      </w:r>
      <w:r w:rsidR="000274B2">
        <w:t>res</w:t>
      </w:r>
      <w:r>
        <w:t>guard</w:t>
      </w:r>
      <w:r w:rsidR="000274B2">
        <w:t>e</w:t>
      </w:r>
      <w:r>
        <w:t xml:space="preserve"> su vida entrega</w:t>
      </w:r>
      <w:r w:rsidR="000274B2">
        <w:t>rá</w:t>
      </w:r>
      <w:r>
        <w:t xml:space="preserve"> sus miembros;</w:t>
      </w:r>
    </w:p>
    <w:p w14:paraId="78E33615" w14:textId="030ACDC2" w:rsidR="001C741E" w:rsidRDefault="00E273E8" w:rsidP="00810214">
      <w:pPr>
        <w:pStyle w:val="VersoIngls01Sangria"/>
      </w:pPr>
      <w:r>
        <w:t xml:space="preserve">La </w:t>
      </w:r>
      <w:r w:rsidR="001C741E">
        <w:t>riqueza</w:t>
      </w:r>
      <w:r w:rsidR="00F3254B">
        <w:t>,</w:t>
      </w:r>
      <w:r w:rsidR="001C741E">
        <w:t xml:space="preserve"> los miembros y la vida, </w:t>
      </w:r>
      <w:r>
        <w:t xml:space="preserve">a </w:t>
      </w:r>
      <w:r w:rsidR="001C741E">
        <w:t>cada uno de estos,</w:t>
      </w:r>
    </w:p>
    <w:p w14:paraId="3F9EAE41" w14:textId="7D68BA86" w:rsidR="001C741E" w:rsidRDefault="00E273E8" w:rsidP="00810214">
      <w:pPr>
        <w:pStyle w:val="VersoIngls01Sangria"/>
        <w:spacing w:after="100"/>
        <w:ind w:left="1418"/>
      </w:pPr>
      <w:r>
        <w:t>Renunciará a</w:t>
      </w:r>
      <w:r w:rsidR="00F3254B">
        <w:t>quel</w:t>
      </w:r>
      <w:r w:rsidR="001C741E">
        <w:t xml:space="preserve"> hombre que practi</w:t>
      </w:r>
      <w:r w:rsidR="00F3254B">
        <w:t>que</w:t>
      </w:r>
      <w:r w:rsidR="001C741E">
        <w:t xml:space="preserve"> el </w:t>
      </w:r>
      <w:r w:rsidR="00057BF4" w:rsidRPr="00057BF4">
        <w:rPr>
          <w:i/>
        </w:rPr>
        <w:t>Dhamma</w:t>
      </w:r>
      <w:r w:rsidR="001C741E">
        <w:t>”.</w:t>
      </w:r>
    </w:p>
    <w:p w14:paraId="458FB95F" w14:textId="02EA931E" w:rsidR="001C741E" w:rsidRDefault="001C741E" w:rsidP="00810214">
      <w:pPr>
        <w:pStyle w:val="NormalConSangria"/>
      </w:pPr>
      <w:r>
        <w:t xml:space="preserve">Y </w:t>
      </w:r>
      <w:r w:rsidR="00C54604">
        <w:t xml:space="preserve">él </w:t>
      </w:r>
      <w:r>
        <w:t xml:space="preserve">nunca transgredió un precepto de entrenamiento, incluso cuando su vida </w:t>
      </w:r>
      <w:r w:rsidR="00C54604">
        <w:t xml:space="preserve">se encontraba </w:t>
      </w:r>
      <w:r>
        <w:t xml:space="preserve">en juego, y de esta manera alcanzó el estado de </w:t>
      </w:r>
      <w:r w:rsidR="00057BF4" w:rsidRPr="00057BF4">
        <w:rPr>
          <w:i/>
          <w:iCs/>
        </w:rPr>
        <w:t>Arahant</w:t>
      </w:r>
      <w:r>
        <w:t xml:space="preserve"> con esa misma virtud de purificación ilimitada como su </w:t>
      </w:r>
      <w:r w:rsidR="00090AC4">
        <w:t xml:space="preserve">soporte </w:t>
      </w:r>
      <w:r>
        <w:t xml:space="preserve">mientras </w:t>
      </w:r>
      <w:r w:rsidR="00090AC4">
        <w:t xml:space="preserve">era llevado </w:t>
      </w:r>
      <w:r>
        <w:t xml:space="preserve">en la espalda de un devoto laico. </w:t>
      </w:r>
      <w:r w:rsidR="00090AC4">
        <w:t>Tal como está dicho</w:t>
      </w:r>
      <w:r>
        <w:t>:</w:t>
      </w:r>
    </w:p>
    <w:p w14:paraId="35C74F79" w14:textId="77777777" w:rsidR="001C741E" w:rsidRDefault="001C741E" w:rsidP="00810214">
      <w:pPr>
        <w:pStyle w:val="VersoIngls01Sangria"/>
      </w:pPr>
      <w:r>
        <w:t>“Ni tu madre ni tu padre</w:t>
      </w:r>
    </w:p>
    <w:p w14:paraId="3A40A641" w14:textId="31E5B0FE" w:rsidR="001C741E" w:rsidRDefault="001C741E" w:rsidP="00810214">
      <w:pPr>
        <w:pStyle w:val="VersoIngls01Sangria"/>
      </w:pPr>
      <w:r>
        <w:t xml:space="preserve">Ni tus parientes </w:t>
      </w:r>
      <w:r w:rsidR="0006563C">
        <w:t>o familiares</w:t>
      </w:r>
    </w:p>
    <w:p w14:paraId="5D36E886" w14:textId="0859F8E6" w:rsidR="001C741E" w:rsidRDefault="001C741E" w:rsidP="00810214">
      <w:pPr>
        <w:pStyle w:val="VersoIngls01Sangria"/>
      </w:pPr>
      <w:r>
        <w:t>H</w:t>
      </w:r>
      <w:r w:rsidR="0006563C">
        <w:t>abrán</w:t>
      </w:r>
      <w:r>
        <w:t xml:space="preserve"> hecho tanto por ti</w:t>
      </w:r>
      <w:r w:rsidR="0006563C" w:rsidRPr="0006563C">
        <w:t xml:space="preserve"> </w:t>
      </w:r>
      <w:r w:rsidR="0006563C">
        <w:t xml:space="preserve">como </w:t>
      </w:r>
      <w:r w:rsidR="0028779C">
        <w:t>lo siguiente</w:t>
      </w:r>
    </w:p>
    <w:p w14:paraId="1E833F83" w14:textId="7C1B911F" w:rsidR="001C741E" w:rsidRDefault="00D97DA6" w:rsidP="00810214">
      <w:pPr>
        <w:pStyle w:val="VersoIngls01Sangria"/>
      </w:pPr>
      <w:r>
        <w:t xml:space="preserve">Que es </w:t>
      </w:r>
      <w:r w:rsidR="001C741E">
        <w:t>est</w:t>
      </w:r>
      <w:r>
        <w:t>ar</w:t>
      </w:r>
      <w:r w:rsidR="001C741E">
        <w:t xml:space="preserve"> </w:t>
      </w:r>
      <w:r w:rsidR="00076611">
        <w:t>en posesión</w:t>
      </w:r>
      <w:r w:rsidR="001C741E">
        <w:t xml:space="preserve"> </w:t>
      </w:r>
      <w:r w:rsidR="009A7403">
        <w:t>de</w:t>
      </w:r>
      <w:r w:rsidR="001C741E">
        <w:t xml:space="preserve"> </w:t>
      </w:r>
      <w:r w:rsidR="007959CC">
        <w:t xml:space="preserve">la </w:t>
      </w:r>
      <w:r w:rsidR="001C741E">
        <w:t>virtud</w:t>
      </w:r>
      <w:r w:rsidR="00076611">
        <w:t>”</w:t>
      </w:r>
      <w:r w:rsidR="001C741E">
        <w:t>.</w:t>
      </w:r>
    </w:p>
    <w:p w14:paraId="2C284E78" w14:textId="3EFF1C87" w:rsidR="001C741E" w:rsidRDefault="00076611" w:rsidP="00810214">
      <w:pPr>
        <w:pStyle w:val="VersoIngls01Sangria"/>
      </w:pPr>
      <w:r>
        <w:t>Así</w:t>
      </w:r>
      <w:r w:rsidR="001C741E">
        <w:t>, agitado con urgencia, y sabiamente</w:t>
      </w:r>
    </w:p>
    <w:p w14:paraId="21572F2E" w14:textId="5E8A5A3A" w:rsidR="001C741E" w:rsidRDefault="001C741E" w:rsidP="00810214">
      <w:pPr>
        <w:pStyle w:val="VersoIngls01Sangria"/>
      </w:pPr>
      <w:r>
        <w:t>Comprendiendo</w:t>
      </w:r>
      <w:r w:rsidR="00305FB2">
        <w:rPr>
          <w:vertAlign w:val="superscript"/>
        </w:rPr>
        <w:t>36</w:t>
      </w:r>
      <w:r>
        <w:t xml:space="preserve"> </w:t>
      </w:r>
      <w:r w:rsidR="00586C56">
        <w:t xml:space="preserve">las cosas </w:t>
      </w:r>
      <w:r>
        <w:t xml:space="preserve">con </w:t>
      </w:r>
      <w:r w:rsidR="002F6957">
        <w:t>sabiduría</w:t>
      </w:r>
      <w:r>
        <w:t>,</w:t>
      </w:r>
    </w:p>
    <w:p w14:paraId="74497180" w14:textId="77777777" w:rsidR="00810214" w:rsidRDefault="00810214" w:rsidP="00810214">
      <w:pPr>
        <w:pStyle w:val="VersoIngls01Sangria"/>
      </w:pPr>
    </w:p>
    <w:p w14:paraId="28B9CC88" w14:textId="77777777" w:rsidR="001C741E" w:rsidRPr="00810214" w:rsidRDefault="001C741E" w:rsidP="00810214">
      <w:pPr>
        <w:pStyle w:val="PiedepginaLegal"/>
        <w:rPr>
          <w:u w:val="single"/>
        </w:rPr>
      </w:pPr>
      <w:r w:rsidRPr="00810214">
        <w:rPr>
          <w:u w:val="single"/>
        </w:rPr>
        <w:t xml:space="preserve">                                                                                                                                                            .</w:t>
      </w:r>
    </w:p>
    <w:p w14:paraId="7AE8488E" w14:textId="6B172114" w:rsidR="001C741E" w:rsidRDefault="001C741E" w:rsidP="00810214">
      <w:pPr>
        <w:pStyle w:val="PiedepginaLegal"/>
      </w:pPr>
      <w:r>
        <w:t xml:space="preserve">35. </w:t>
      </w:r>
      <w:r w:rsidR="00810214">
        <w:tab/>
      </w:r>
      <w:r>
        <w:t xml:space="preserve">Las cifras dependen de si el </w:t>
      </w:r>
      <w:proofErr w:type="spellStart"/>
      <w:r w:rsidRPr="0069171D">
        <w:rPr>
          <w:i/>
          <w:iCs/>
        </w:rPr>
        <w:t>ko</w:t>
      </w:r>
      <w:r w:rsidR="0069171D" w:rsidRPr="0069171D">
        <w:rPr>
          <w:i/>
          <w:iCs/>
        </w:rPr>
        <w:t>ṭ</w:t>
      </w:r>
      <w:r w:rsidRPr="0069171D">
        <w:rPr>
          <w:i/>
          <w:iCs/>
        </w:rPr>
        <w:t>i</w:t>
      </w:r>
      <w:proofErr w:type="spellEnd"/>
      <w:r>
        <w:t xml:space="preserve"> se toma como 1</w:t>
      </w:r>
      <w:r w:rsidR="00042436">
        <w:t>’</w:t>
      </w:r>
      <w:r>
        <w:t>000</w:t>
      </w:r>
      <w:r w:rsidR="00042436">
        <w:t>,</w:t>
      </w:r>
      <w:r>
        <w:t>000 o 100</w:t>
      </w:r>
      <w:r w:rsidR="00042436">
        <w:t>,</w:t>
      </w:r>
      <w:r>
        <w:t>000 o 10</w:t>
      </w:r>
      <w:r w:rsidR="00042436">
        <w:t>,</w:t>
      </w:r>
      <w:r>
        <w:t>000.</w:t>
      </w:r>
    </w:p>
    <w:p w14:paraId="7E64A5AE" w14:textId="66C315CE" w:rsidR="000B2D39" w:rsidRDefault="001C741E" w:rsidP="00810214">
      <w:pPr>
        <w:pStyle w:val="PiedepginaLegal"/>
      </w:pPr>
      <w:r>
        <w:t xml:space="preserve">36. </w:t>
      </w:r>
      <w:r w:rsidR="00810214">
        <w:tab/>
      </w:r>
      <w:r>
        <w:t>“Comprender” (</w:t>
      </w:r>
      <w:proofErr w:type="spellStart"/>
      <w:r w:rsidRPr="0069171D">
        <w:rPr>
          <w:i/>
          <w:iCs/>
        </w:rPr>
        <w:t>sammasana</w:t>
      </w:r>
      <w:proofErr w:type="spellEnd"/>
      <w:r>
        <w:t xml:space="preserve">) es un término técnico que quedará claro en el Capítulo XX. En resumen, es la inferencia que generaliza las "tres características" de la propia experiencia conocida directamente </w:t>
      </w:r>
      <w:r w:rsidR="00EE71C1">
        <w:t>h</w:t>
      </w:r>
      <w:r>
        <w:t>a</w:t>
      </w:r>
      <w:r w:rsidR="00EE71C1">
        <w:t>cia</w:t>
      </w:r>
      <w:r>
        <w:t xml:space="preserve"> toda la experiencia formada posible en todo momento (ver S II 107). Al comentar sobre “Él comprendió esa misma enfermedad” (§138), </w:t>
      </w:r>
      <w:proofErr w:type="spellStart"/>
      <w:r>
        <w:t>Vism-mhṭ</w:t>
      </w:r>
      <w:proofErr w:type="spellEnd"/>
      <w:r>
        <w:t xml:space="preserve"> dice: “Él ejerció la </w:t>
      </w:r>
      <w:r w:rsidR="002F6957">
        <w:t>sabiduría</w:t>
      </w:r>
      <w:r>
        <w:t xml:space="preserve"> al discernir </w:t>
      </w:r>
      <w:r w:rsidR="002F6957">
        <w:t>la sensación de</w:t>
      </w:r>
      <w:r>
        <w:t xml:space="preserve"> la enfermedad bajo el </w:t>
      </w:r>
      <w:r w:rsidR="00EE71C1">
        <w:t xml:space="preserve">término </w:t>
      </w:r>
      <w:r>
        <w:t xml:space="preserve">de </w:t>
      </w:r>
      <w:r w:rsidR="002F6957">
        <w:t xml:space="preserve">sensación </w:t>
      </w:r>
      <w:r>
        <w:t xml:space="preserve">[agregado] y los </w:t>
      </w:r>
      <w:r w:rsidR="00057BF4" w:rsidRPr="00057BF4">
        <w:rPr>
          <w:i/>
        </w:rPr>
        <w:t>Dhamma</w:t>
      </w:r>
      <w:r>
        <w:t>s materiales restantes como materialidad” (</w:t>
      </w:r>
      <w:proofErr w:type="spellStart"/>
      <w:r>
        <w:t>Vism-mhṭ</w:t>
      </w:r>
      <w:proofErr w:type="spellEnd"/>
      <w:r>
        <w:t xml:space="preserve">). </w:t>
      </w:r>
      <w:proofErr w:type="spellStart"/>
      <w:r>
        <w:t>mhṭ</w:t>
      </w:r>
      <w:proofErr w:type="spellEnd"/>
      <w:r>
        <w:t xml:space="preserve"> 65).</w:t>
      </w:r>
    </w:p>
    <w:p w14:paraId="6831281F" w14:textId="77777777" w:rsidR="000B2D39" w:rsidRDefault="000B2D39">
      <w:pPr>
        <w:tabs>
          <w:tab w:val="clear" w:pos="425"/>
        </w:tabs>
        <w:spacing w:after="160"/>
        <w:rPr>
          <w:color w:val="000000" w:themeColor="text1"/>
          <w:spacing w:val="10"/>
          <w:sz w:val="14"/>
        </w:rPr>
      </w:pPr>
      <w:r>
        <w:br w:type="page"/>
      </w:r>
    </w:p>
    <w:p w14:paraId="7FC1E7CA" w14:textId="0668AA91" w:rsidR="003D5F4C" w:rsidRDefault="003D5F4C" w:rsidP="003D5F4C">
      <w:pPr>
        <w:pStyle w:val="VersoIngls01Sangria"/>
      </w:pPr>
      <w:r>
        <w:lastRenderedPageBreak/>
        <w:t xml:space="preserve">Mientras </w:t>
      </w:r>
      <w:r w:rsidR="00EE71C1">
        <w:t>era llevado</w:t>
      </w:r>
      <w:r>
        <w:t xml:space="preserve"> </w:t>
      </w:r>
      <w:r w:rsidR="00C63B51">
        <w:t>en</w:t>
      </w:r>
      <w:r>
        <w:t xml:space="preserve"> lomos de su ayudante</w:t>
      </w:r>
    </w:p>
    <w:p w14:paraId="4CE6244C" w14:textId="061B8B60" w:rsidR="003D5F4C" w:rsidRDefault="003D5F4C" w:rsidP="003D5F4C">
      <w:pPr>
        <w:pStyle w:val="VersoIngls01Sangria"/>
        <w:spacing w:after="100"/>
        <w:ind w:left="1418"/>
      </w:pPr>
      <w:r>
        <w:t xml:space="preserve">Alcanzó la meta del estado de </w:t>
      </w:r>
      <w:r w:rsidR="00057BF4" w:rsidRPr="00057BF4">
        <w:rPr>
          <w:i/>
          <w:iCs/>
        </w:rPr>
        <w:t>Arahant</w:t>
      </w:r>
      <w:r>
        <w:t>.</w:t>
      </w:r>
    </w:p>
    <w:p w14:paraId="340B5173" w14:textId="3BBAE8BE" w:rsidR="003D5F4C" w:rsidRDefault="003D5F4C" w:rsidP="003D5F4C">
      <w:r>
        <w:t xml:space="preserve">134. </w:t>
      </w:r>
      <w:r w:rsidR="00100233">
        <w:tab/>
      </w:r>
      <w:r>
        <w:t>(c) La virtud del hombre ordinario magnánimo, que desde el momento de la admisión a la Orden est</w:t>
      </w:r>
      <w:r w:rsidR="00100233">
        <w:t>é</w:t>
      </w:r>
      <w:r>
        <w:t xml:space="preserve"> desprovisto incluso de la mancha de un pensamiento </w:t>
      </w:r>
      <w:r w:rsidR="00100233">
        <w:t>incorrecto</w:t>
      </w:r>
      <w:r>
        <w:t xml:space="preserve"> debido a su extrema pureza, como una gema de agua purísima, como </w:t>
      </w:r>
      <w:r w:rsidR="00194527">
        <w:t xml:space="preserve">el </w:t>
      </w:r>
      <w:r>
        <w:t xml:space="preserve">oro bien </w:t>
      </w:r>
      <w:proofErr w:type="gramStart"/>
      <w:r>
        <w:t>refinado ,</w:t>
      </w:r>
      <w:proofErr w:type="gramEnd"/>
      <w:r>
        <w:t xml:space="preserve"> se convert</w:t>
      </w:r>
      <w:r w:rsidR="00194527">
        <w:t>irá</w:t>
      </w:r>
      <w:r>
        <w:t xml:space="preserve"> en la causa próxima del </w:t>
      </w:r>
      <w:r w:rsidR="00B973F7">
        <w:t xml:space="preserve">mismísimo </w:t>
      </w:r>
      <w:r>
        <w:t xml:space="preserve">estado de </w:t>
      </w:r>
      <w:r w:rsidR="00057BF4" w:rsidRPr="00057BF4">
        <w:rPr>
          <w:i/>
          <w:iCs/>
        </w:rPr>
        <w:t>Arahant</w:t>
      </w:r>
      <w:r>
        <w:t xml:space="preserve">, razón por la cual se le llama </w:t>
      </w:r>
      <w:r w:rsidRPr="00B973F7">
        <w:rPr>
          <w:i/>
          <w:iCs/>
        </w:rPr>
        <w:t xml:space="preserve">consistente </w:t>
      </w:r>
      <w:r w:rsidR="00C63B51">
        <w:rPr>
          <w:i/>
          <w:iCs/>
        </w:rPr>
        <w:t>de una</w:t>
      </w:r>
      <w:r w:rsidRPr="00B973F7">
        <w:rPr>
          <w:i/>
          <w:iCs/>
        </w:rPr>
        <w:t xml:space="preserve"> purificación </w:t>
      </w:r>
      <w:r w:rsidR="00565DC2">
        <w:rPr>
          <w:i/>
          <w:iCs/>
        </w:rPr>
        <w:t>en desarrollo</w:t>
      </w:r>
      <w:r>
        <w:t xml:space="preserve">; como la de los </w:t>
      </w:r>
      <w:r w:rsidR="0069171D">
        <w:t xml:space="preserve">Venerables </w:t>
      </w:r>
      <w:proofErr w:type="spellStart"/>
      <w:r w:rsidR="00057BF4" w:rsidRPr="00565DC2">
        <w:rPr>
          <w:iCs/>
        </w:rPr>
        <w:t>Saṅgha</w:t>
      </w:r>
      <w:r w:rsidRPr="00565DC2">
        <w:rPr>
          <w:iCs/>
        </w:rPr>
        <w:t>rakkhita</w:t>
      </w:r>
      <w:proofErr w:type="spellEnd"/>
      <w:r>
        <w:t xml:space="preserve"> el Grande y </w:t>
      </w:r>
      <w:proofErr w:type="spellStart"/>
      <w:r w:rsidR="00057BF4" w:rsidRPr="00565DC2">
        <w:rPr>
          <w:iCs/>
        </w:rPr>
        <w:t>Saṅgha</w:t>
      </w:r>
      <w:r w:rsidRPr="00565DC2">
        <w:rPr>
          <w:iCs/>
        </w:rPr>
        <w:t>rakkhita</w:t>
      </w:r>
      <w:proofErr w:type="spellEnd"/>
      <w:r>
        <w:t xml:space="preserve"> el Sobrino.</w:t>
      </w:r>
    </w:p>
    <w:p w14:paraId="31407A73" w14:textId="6F06B220" w:rsidR="003D5F4C" w:rsidRDefault="003D5F4C" w:rsidP="003D5F4C">
      <w:r>
        <w:t xml:space="preserve">135. </w:t>
      </w:r>
      <w:r w:rsidR="00565DC2">
        <w:tab/>
      </w:r>
      <w:r>
        <w:t xml:space="preserve">El </w:t>
      </w:r>
      <w:r w:rsidR="0069171D">
        <w:t xml:space="preserve">Venerable </w:t>
      </w:r>
      <w:proofErr w:type="spellStart"/>
      <w:r w:rsidR="00057BF4" w:rsidRPr="00565DC2">
        <w:rPr>
          <w:iCs/>
        </w:rPr>
        <w:t>Saṅgha</w:t>
      </w:r>
      <w:r w:rsidRPr="00565DC2">
        <w:rPr>
          <w:iCs/>
        </w:rPr>
        <w:t>rakkhita</w:t>
      </w:r>
      <w:proofErr w:type="spellEnd"/>
      <w:r>
        <w:t xml:space="preserve"> el Grande (Mahā </w:t>
      </w:r>
      <w:proofErr w:type="spellStart"/>
      <w:r w:rsidR="00057BF4" w:rsidRPr="00431DA2">
        <w:rPr>
          <w:iCs/>
        </w:rPr>
        <w:t>S</w:t>
      </w:r>
      <w:r w:rsidR="00565DC2" w:rsidRPr="00431DA2">
        <w:rPr>
          <w:iCs/>
        </w:rPr>
        <w:t>k</w:t>
      </w:r>
      <w:r w:rsidR="00057BF4" w:rsidRPr="00431DA2">
        <w:rPr>
          <w:iCs/>
        </w:rPr>
        <w:t>aṅgha</w:t>
      </w:r>
      <w:r w:rsidRPr="00431DA2">
        <w:rPr>
          <w:iCs/>
        </w:rPr>
        <w:t>rakkhita</w:t>
      </w:r>
      <w:proofErr w:type="spellEnd"/>
      <w:r>
        <w:t xml:space="preserve">), de más de sesenta años, yacía, al parecer, en su lecho de muerte. La Orden de </w:t>
      </w:r>
      <w:proofErr w:type="spellStart"/>
      <w:r w:rsidR="00565DC2" w:rsidRPr="00057BF4">
        <w:rPr>
          <w:i/>
          <w:iCs/>
        </w:rPr>
        <w:t>bhikkhu</w:t>
      </w:r>
      <w:r w:rsidR="00565DC2" w:rsidRPr="0069171D">
        <w:rPr>
          <w:i/>
          <w:iCs/>
        </w:rPr>
        <w:t>s</w:t>
      </w:r>
      <w:proofErr w:type="spellEnd"/>
      <w:r w:rsidR="00565DC2">
        <w:t xml:space="preserve"> </w:t>
      </w:r>
      <w:r>
        <w:t xml:space="preserve">lo interrogó sobre el logro del estado supramundano. El </w:t>
      </w:r>
      <w:r w:rsidR="00565DC2">
        <w:t>Venerable</w:t>
      </w:r>
      <w:r>
        <w:t xml:space="preserve"> dijo: “No </w:t>
      </w:r>
      <w:r w:rsidR="00565DC2">
        <w:t>he adquirido</w:t>
      </w:r>
      <w:r>
        <w:t xml:space="preserve"> un estado supramundano”. Entonces </w:t>
      </w:r>
      <w:r w:rsidR="00565DC2">
        <w:t>un</w:t>
      </w:r>
      <w:r>
        <w:t xml:space="preserve"> joven </w:t>
      </w:r>
      <w:proofErr w:type="spellStart"/>
      <w:r w:rsidR="00057BF4" w:rsidRPr="00057BF4">
        <w:rPr>
          <w:i/>
          <w:iCs/>
        </w:rPr>
        <w:t>bhikkhu</w:t>
      </w:r>
      <w:proofErr w:type="spellEnd"/>
      <w:r>
        <w:t xml:space="preserve"> que lo atendía dijo: “Venerable señor, la gente ha recorrido hasta doce leguas, pensando que ha </w:t>
      </w:r>
      <w:r w:rsidR="00565DC2">
        <w:t>consumado</w:t>
      </w:r>
      <w:r>
        <w:t xml:space="preserve"> el </w:t>
      </w:r>
      <w:r w:rsidRPr="00565DC2">
        <w:rPr>
          <w:i/>
          <w:iCs/>
        </w:rPr>
        <w:t>Nibbāna</w:t>
      </w:r>
      <w:r>
        <w:t xml:space="preserve">. Será una desilusión para muchos si muere como un hombre </w:t>
      </w:r>
      <w:r w:rsidR="0065756F">
        <w:t>ordinario</w:t>
      </w:r>
      <w:r>
        <w:t>”</w:t>
      </w:r>
      <w:r w:rsidR="00565DC2">
        <w:t xml:space="preserve">. </w:t>
      </w:r>
      <w:r>
        <w:t xml:space="preserve">— “Amigo, pensando en ver al </w:t>
      </w:r>
      <w:r w:rsidR="0069171D">
        <w:t>Bienaventurado</w:t>
      </w:r>
      <w:r>
        <w:t xml:space="preserve"> </w:t>
      </w:r>
      <w:proofErr w:type="spellStart"/>
      <w:r>
        <w:t>Metteyya</w:t>
      </w:r>
      <w:proofErr w:type="spellEnd"/>
      <w:r>
        <w:t xml:space="preserve">, no intenté </w:t>
      </w:r>
      <w:r w:rsidR="00565DC2">
        <w:t>desarrollar sabiduría</w:t>
      </w:r>
      <w:r w:rsidR="00431DA2">
        <w:t xml:space="preserve"> alguna</w:t>
      </w:r>
      <w:r>
        <w:t>. [48] ​​Así que ayúd</w:t>
      </w:r>
      <w:r w:rsidR="00565DC2">
        <w:t>e</w:t>
      </w:r>
      <w:r>
        <w:t>me a sentarme y d</w:t>
      </w:r>
      <w:r w:rsidR="00565DC2">
        <w:t>e</w:t>
      </w:r>
      <w:r>
        <w:t xml:space="preserve">me la oportunidad”. Ayudó al </w:t>
      </w:r>
      <w:r w:rsidR="00565DC2">
        <w:t xml:space="preserve">Venerable </w:t>
      </w:r>
      <w:r>
        <w:t>a sentarse y salió</w:t>
      </w:r>
      <w:r w:rsidR="00565DC2">
        <w:t xml:space="preserve"> del lugar</w:t>
      </w:r>
      <w:r>
        <w:t xml:space="preserve">. Cuando salió, el </w:t>
      </w:r>
      <w:r w:rsidR="00565DC2">
        <w:t xml:space="preserve">Venerable </w:t>
      </w:r>
      <w:r w:rsidR="0069171D">
        <w:t>consumó l</w:t>
      </w:r>
      <w:r>
        <w:t xml:space="preserve">a </w:t>
      </w:r>
      <w:r w:rsidR="00057BF4" w:rsidRPr="00057BF4">
        <w:rPr>
          <w:i/>
        </w:rPr>
        <w:t>Arahant</w:t>
      </w:r>
      <w:r w:rsidR="0069171D">
        <w:t>ía</w:t>
      </w:r>
      <w:r>
        <w:t xml:space="preserve"> y dio una señal chasqueando los dedos. La Orden se reunió y le dijo: “Venerable señor, usted ha hecho una cosa difícil </w:t>
      </w:r>
      <w:r w:rsidR="000F31EB">
        <w:t xml:space="preserve">de </w:t>
      </w:r>
      <w:r>
        <w:t>lograr</w:t>
      </w:r>
      <w:r w:rsidR="000F31EB">
        <w:t>,</w:t>
      </w:r>
      <w:r>
        <w:t xml:space="preserve"> el estado supramundano </w:t>
      </w:r>
      <w:r w:rsidR="00565DC2">
        <w:t>a</w:t>
      </w:r>
      <w:r>
        <w:t xml:space="preserve"> la hora de la muerte.”—“Eso no fue difícil, amigos. Pero más bien </w:t>
      </w:r>
      <w:r w:rsidR="00565DC2">
        <w:t>l</w:t>
      </w:r>
      <w:r>
        <w:t>e</w:t>
      </w:r>
      <w:r w:rsidR="00565DC2">
        <w:t>s</w:t>
      </w:r>
      <w:r>
        <w:t xml:space="preserve"> diré lo que </w:t>
      </w:r>
      <w:r w:rsidR="00565DC2">
        <w:t>ha sido</w:t>
      </w:r>
      <w:r>
        <w:t xml:space="preserve"> difícil. Amigos, no veo ninguna acción realizada [por mí] sin atención y </w:t>
      </w:r>
      <w:r w:rsidR="00FE6769">
        <w:t xml:space="preserve">desconocimiento </w:t>
      </w:r>
      <w:r>
        <w:t xml:space="preserve">desde el momento en que </w:t>
      </w:r>
      <w:r w:rsidR="00357386">
        <w:t>me ordené</w:t>
      </w:r>
      <w:r>
        <w:t xml:space="preserve">”. Su sobrino también alcanzó el estado de </w:t>
      </w:r>
      <w:r w:rsidR="00057BF4" w:rsidRPr="00057BF4">
        <w:rPr>
          <w:i/>
        </w:rPr>
        <w:t>Arahant</w:t>
      </w:r>
      <w:r>
        <w:t xml:space="preserve"> de la misma manera a la edad de cincuenta años.</w:t>
      </w:r>
    </w:p>
    <w:p w14:paraId="11A6672C" w14:textId="596D6EC4" w:rsidR="003D5F4C" w:rsidRDefault="003D5F4C" w:rsidP="003D5F4C">
      <w:pPr>
        <w:pStyle w:val="VersoIngls01Sangria"/>
        <w:ind w:left="0"/>
      </w:pPr>
      <w:r>
        <w:t xml:space="preserve">136. </w:t>
      </w:r>
      <w:r>
        <w:tab/>
      </w:r>
      <w:r>
        <w:tab/>
      </w:r>
      <w:r>
        <w:tab/>
        <w:t>“Ahora</w:t>
      </w:r>
      <w:r w:rsidR="00FE6769">
        <w:t xml:space="preserve"> bien</w:t>
      </w:r>
      <w:r>
        <w:t>, si un hombre tiene poco conocimiento</w:t>
      </w:r>
    </w:p>
    <w:p w14:paraId="37D0AAD9" w14:textId="5041B313" w:rsidR="003D5F4C" w:rsidRDefault="003D5F4C" w:rsidP="003D5F4C">
      <w:pPr>
        <w:pStyle w:val="VersoIngls01Sangria"/>
      </w:pPr>
      <w:r>
        <w:t>Y es descuidado e</w:t>
      </w:r>
      <w:r w:rsidR="00FE6769">
        <w:t>n</w:t>
      </w:r>
      <w:r>
        <w:t xml:space="preserve"> su virtud,</w:t>
      </w:r>
    </w:p>
    <w:p w14:paraId="5B371295" w14:textId="5AD11C25" w:rsidR="003D5F4C" w:rsidRDefault="003D5F4C" w:rsidP="003D5F4C">
      <w:pPr>
        <w:pStyle w:val="VersoIngls01Sangria"/>
      </w:pPr>
      <w:r>
        <w:t>Lo censura</w:t>
      </w:r>
      <w:r w:rsidR="00FE6769">
        <w:t>rá</w:t>
      </w:r>
      <w:r>
        <w:t xml:space="preserve">n por ambas </w:t>
      </w:r>
      <w:r w:rsidR="00FE6769">
        <w:t>carencias</w:t>
      </w:r>
    </w:p>
    <w:p w14:paraId="6AD0D078" w14:textId="6137465B" w:rsidR="003D5F4C" w:rsidRDefault="003D5F4C" w:rsidP="00A32009">
      <w:pPr>
        <w:pStyle w:val="VersoIngls01Sangria"/>
        <w:spacing w:after="100"/>
        <w:ind w:left="1418"/>
      </w:pPr>
      <w:r>
        <w:t xml:space="preserve">Por falta de virtud y de </w:t>
      </w:r>
      <w:r w:rsidR="00FE6769">
        <w:t>conocimiento</w:t>
      </w:r>
      <w:r>
        <w:t>.</w:t>
      </w:r>
    </w:p>
    <w:p w14:paraId="67DA6C79" w14:textId="06DA58CF" w:rsidR="003D5F4C" w:rsidRDefault="003D5F4C" w:rsidP="003D5F4C">
      <w:pPr>
        <w:pStyle w:val="VersoIngls01Sangria"/>
      </w:pPr>
      <w:r>
        <w:t>“Pero si es de poc</w:t>
      </w:r>
      <w:r w:rsidR="003163BC">
        <w:t>o</w:t>
      </w:r>
      <w:r>
        <w:t xml:space="preserve"> </w:t>
      </w:r>
      <w:r w:rsidR="00FE6769">
        <w:t>conocimiento</w:t>
      </w:r>
    </w:p>
    <w:p w14:paraId="418058EA" w14:textId="67C880E3" w:rsidR="003D5F4C" w:rsidRDefault="00FE6769" w:rsidP="003D5F4C">
      <w:pPr>
        <w:pStyle w:val="VersoIngls01Sangria"/>
      </w:pPr>
      <w:r>
        <w:t>Y s</w:t>
      </w:r>
      <w:r w:rsidR="003D5F4C">
        <w:t>in embargo, es cuidadoso e</w:t>
      </w:r>
      <w:r>
        <w:t>n</w:t>
      </w:r>
      <w:r w:rsidR="003D5F4C">
        <w:t xml:space="preserve"> su virtud,</w:t>
      </w:r>
    </w:p>
    <w:p w14:paraId="73DFE59E" w14:textId="754A0D9F" w:rsidR="003D5F4C" w:rsidRDefault="003D5F4C" w:rsidP="003D5F4C">
      <w:pPr>
        <w:pStyle w:val="VersoIngls01Sangria"/>
      </w:pPr>
      <w:r>
        <w:t>Lo alaba</w:t>
      </w:r>
      <w:r w:rsidR="00FE6769">
        <w:t>rá</w:t>
      </w:r>
      <w:r>
        <w:t>n por su virtud,</w:t>
      </w:r>
    </w:p>
    <w:p w14:paraId="6F78CBB7" w14:textId="5ED161E6" w:rsidR="003D5F4C" w:rsidRDefault="003D5F4C" w:rsidP="00A32009">
      <w:pPr>
        <w:pStyle w:val="VersoIngls01Sangria"/>
        <w:spacing w:after="100"/>
        <w:ind w:left="1418"/>
      </w:pPr>
      <w:r>
        <w:t>así que s</w:t>
      </w:r>
      <w:r w:rsidR="00FE6769">
        <w:t>erá</w:t>
      </w:r>
      <w:r>
        <w:t xml:space="preserve"> como si él también tuvie</w:t>
      </w:r>
      <w:r w:rsidR="00FE6769">
        <w:t>se</w:t>
      </w:r>
      <w:r>
        <w:t xml:space="preserve"> conocimiento.</w:t>
      </w:r>
    </w:p>
    <w:p w14:paraId="082C2C49" w14:textId="69851124" w:rsidR="003D5F4C" w:rsidRDefault="003D5F4C" w:rsidP="003D5F4C">
      <w:pPr>
        <w:pStyle w:val="VersoIngls01Sangria"/>
      </w:pPr>
      <w:r>
        <w:t xml:space="preserve">“Y si es de amplio </w:t>
      </w:r>
      <w:r w:rsidR="00FE6769">
        <w:t>conocimiento</w:t>
      </w:r>
    </w:p>
    <w:p w14:paraId="21ABA94A" w14:textId="5456B79C" w:rsidR="003D5F4C" w:rsidRDefault="00FE6769" w:rsidP="003D5F4C">
      <w:pPr>
        <w:pStyle w:val="VersoIngls01Sangria"/>
      </w:pPr>
      <w:r>
        <w:t>Y s</w:t>
      </w:r>
      <w:r w:rsidR="003D5F4C">
        <w:t>in embargo, descuidado e</w:t>
      </w:r>
      <w:r>
        <w:t>n</w:t>
      </w:r>
      <w:r w:rsidR="003D5F4C">
        <w:t xml:space="preserve"> su virtud,</w:t>
      </w:r>
    </w:p>
    <w:p w14:paraId="518A3B45" w14:textId="1FA2E26B" w:rsidR="003D5F4C" w:rsidRDefault="003D5F4C" w:rsidP="003D5F4C">
      <w:pPr>
        <w:pStyle w:val="VersoIngls01Sangria"/>
      </w:pPr>
      <w:r>
        <w:t>Lo culpa</w:t>
      </w:r>
      <w:r w:rsidR="00FE6769">
        <w:t>rá</w:t>
      </w:r>
      <w:r>
        <w:t>n por su virtud,</w:t>
      </w:r>
    </w:p>
    <w:p w14:paraId="3F10B988" w14:textId="09F65221" w:rsidR="003D5F4C" w:rsidRDefault="003D5F4C" w:rsidP="00A32009">
      <w:pPr>
        <w:pStyle w:val="VersoIngls01Sangria"/>
        <w:spacing w:after="100"/>
        <w:ind w:left="1418"/>
      </w:pPr>
      <w:r>
        <w:t>así que s</w:t>
      </w:r>
      <w:r w:rsidR="00BE47E5">
        <w:t>erá</w:t>
      </w:r>
      <w:r>
        <w:t xml:space="preserve"> como si no tuviera conocimiento.</w:t>
      </w:r>
    </w:p>
    <w:p w14:paraId="7FAA6CB8" w14:textId="77777777" w:rsidR="003D5F4C" w:rsidRDefault="003D5F4C" w:rsidP="003D5F4C">
      <w:pPr>
        <w:pStyle w:val="VersoIngls01Sangria"/>
      </w:pPr>
      <w:r>
        <w:t>“Pero si es de amplio conocimiento</w:t>
      </w:r>
    </w:p>
    <w:p w14:paraId="4819D8A3" w14:textId="6A40B68A" w:rsidR="003D5F4C" w:rsidRDefault="003D5F4C" w:rsidP="003D5F4C">
      <w:pPr>
        <w:pStyle w:val="VersoIngls01Sangria"/>
      </w:pPr>
      <w:r>
        <w:t>Y es cuidadoso e</w:t>
      </w:r>
      <w:r w:rsidR="00BE47E5">
        <w:t>n</w:t>
      </w:r>
      <w:r>
        <w:t xml:space="preserve"> su virtud,</w:t>
      </w:r>
    </w:p>
    <w:p w14:paraId="2298C08E" w14:textId="29B9B456" w:rsidR="003D5F4C" w:rsidRDefault="003D5F4C" w:rsidP="003D5F4C">
      <w:pPr>
        <w:pStyle w:val="VersoIngls01Sangria"/>
      </w:pPr>
      <w:r>
        <w:t>Le da</w:t>
      </w:r>
      <w:r w:rsidR="00BE47E5">
        <w:t>rá</w:t>
      </w:r>
      <w:r>
        <w:t xml:space="preserve">n elogios en ambas </w:t>
      </w:r>
      <w:r w:rsidR="00BE47E5">
        <w:t>facultades</w:t>
      </w:r>
      <w:r>
        <w:t>.</w:t>
      </w:r>
    </w:p>
    <w:p w14:paraId="591FCB2C" w14:textId="7B7D8E56" w:rsidR="003D5F4C" w:rsidRDefault="003D5F4C" w:rsidP="00A32009">
      <w:pPr>
        <w:pStyle w:val="VersoIngls01Sangria"/>
        <w:spacing w:after="100"/>
        <w:ind w:left="1418"/>
      </w:pPr>
      <w:r>
        <w:t>P</w:t>
      </w:r>
      <w:r w:rsidR="00BE47E5">
        <w:t>or</w:t>
      </w:r>
      <w:r>
        <w:t xml:space="preserve"> la virtud y también p</w:t>
      </w:r>
      <w:r w:rsidR="00BE47E5">
        <w:t>or</w:t>
      </w:r>
      <w:r>
        <w:t xml:space="preserve"> el </w:t>
      </w:r>
      <w:r w:rsidR="00BE47E5">
        <w:t>conocimiento</w:t>
      </w:r>
      <w:r>
        <w:t>.</w:t>
      </w:r>
    </w:p>
    <w:p w14:paraId="33C22AAE" w14:textId="0CBC8614" w:rsidR="003D5F4C" w:rsidRDefault="003D5F4C" w:rsidP="003D5F4C">
      <w:pPr>
        <w:pStyle w:val="VersoIngls01Sangria"/>
      </w:pPr>
      <w:r>
        <w:t xml:space="preserve">“El </w:t>
      </w:r>
      <w:r w:rsidR="00316071">
        <w:t>discípulo</w:t>
      </w:r>
      <w:r>
        <w:t xml:space="preserve"> de</w:t>
      </w:r>
      <w:r w:rsidR="00D32D3F">
        <w:t>l</w:t>
      </w:r>
      <w:r>
        <w:t xml:space="preserve"> </w:t>
      </w:r>
      <w:r w:rsidR="00057BF4" w:rsidRPr="00057BF4">
        <w:rPr>
          <w:i/>
        </w:rPr>
        <w:t>Buddha</w:t>
      </w:r>
      <w:r>
        <w:t xml:space="preserve"> de mucho </w:t>
      </w:r>
      <w:r w:rsidR="00316071">
        <w:t>conocimiento</w:t>
      </w:r>
    </w:p>
    <w:p w14:paraId="3AEC2AEE" w14:textId="46B009B0" w:rsidR="003D5F4C" w:rsidRDefault="00D32D3F" w:rsidP="003D5F4C">
      <w:pPr>
        <w:pStyle w:val="VersoIngls01Sangria"/>
      </w:pPr>
      <w:r>
        <w:t xml:space="preserve">Es </w:t>
      </w:r>
      <w:r w:rsidR="003D5F4C">
        <w:t xml:space="preserve">el que </w:t>
      </w:r>
      <w:r w:rsidR="00316071">
        <w:t>res</w:t>
      </w:r>
      <w:r w:rsidR="003D5F4C">
        <w:t>guarda la ley con entendimiento,</w:t>
      </w:r>
    </w:p>
    <w:p w14:paraId="1137BE83" w14:textId="6195FC96" w:rsidR="003D5F4C" w:rsidRPr="00EB5A83" w:rsidRDefault="003D5F4C" w:rsidP="003D5F4C">
      <w:pPr>
        <w:pStyle w:val="VersoIngls01Sangria"/>
        <w:rPr>
          <w:vertAlign w:val="superscript"/>
        </w:rPr>
      </w:pPr>
      <w:r>
        <w:t>Una joya de oro del río Jambu</w:t>
      </w:r>
      <w:r w:rsidR="00EB5A83">
        <w:rPr>
          <w:vertAlign w:val="superscript"/>
        </w:rPr>
        <w:t>37</w:t>
      </w:r>
    </w:p>
    <w:p w14:paraId="22945719" w14:textId="51F0862E" w:rsidR="003D5F4C" w:rsidRDefault="003D5F4C" w:rsidP="003D5F4C">
      <w:pPr>
        <w:pStyle w:val="VersoIngls01Sangria"/>
      </w:pPr>
      <w:r>
        <w:t xml:space="preserve">¿Quién aquí </w:t>
      </w:r>
      <w:r w:rsidR="00316071">
        <w:t>est</w:t>
      </w:r>
      <w:r w:rsidR="00D32D3F">
        <w:t>aría</w:t>
      </w:r>
      <w:r w:rsidR="00316071">
        <w:t xml:space="preserve"> </w:t>
      </w:r>
      <w:r>
        <w:t>en condiciones de censurarlo?</w:t>
      </w:r>
    </w:p>
    <w:p w14:paraId="117D8CD4" w14:textId="77777777" w:rsidR="00A32009" w:rsidRDefault="00A32009" w:rsidP="003D5F4C">
      <w:pPr>
        <w:pStyle w:val="VersoIngls01Sangria"/>
      </w:pPr>
    </w:p>
    <w:p w14:paraId="75A6AE03" w14:textId="77777777" w:rsidR="003D5F4C" w:rsidRPr="00A32009" w:rsidRDefault="003D5F4C" w:rsidP="00A32009">
      <w:pPr>
        <w:pStyle w:val="PiedepginaLegal"/>
        <w:rPr>
          <w:u w:val="single"/>
        </w:rPr>
      </w:pPr>
      <w:r w:rsidRPr="00A32009">
        <w:rPr>
          <w:u w:val="single"/>
        </w:rPr>
        <w:t xml:space="preserve">                                                                                                                                                            .</w:t>
      </w:r>
    </w:p>
    <w:p w14:paraId="4D185951" w14:textId="33FFDFE0" w:rsidR="00A32009" w:rsidRDefault="003D5F4C" w:rsidP="00A32009">
      <w:pPr>
        <w:pStyle w:val="PiedepginaLegal"/>
      </w:pPr>
      <w:r>
        <w:t xml:space="preserve">37. </w:t>
      </w:r>
      <w:r w:rsidR="00A32009">
        <w:tab/>
      </w:r>
      <w:r>
        <w:t xml:space="preserve">En M-a IV 147 se da una historia del </w:t>
      </w:r>
      <w:r w:rsidR="00902C5F">
        <w:t xml:space="preserve">Río </w:t>
      </w:r>
      <w:proofErr w:type="spellStart"/>
      <w:r>
        <w:t>Jambu</w:t>
      </w:r>
      <w:proofErr w:type="spellEnd"/>
      <w:r>
        <w:t xml:space="preserve"> y su oro.</w:t>
      </w:r>
      <w:r w:rsidR="00A32009">
        <w:br w:type="page"/>
      </w:r>
    </w:p>
    <w:p w14:paraId="63DE9E9C" w14:textId="1602B8CB" w:rsidR="001D7B51" w:rsidRDefault="001D7B51" w:rsidP="001D7B51">
      <w:pPr>
        <w:pStyle w:val="VersoIngls01Sangria"/>
      </w:pPr>
      <w:r>
        <w:lastRenderedPageBreak/>
        <w:t>Las deidades lo alaba</w:t>
      </w:r>
      <w:r w:rsidR="0058704B">
        <w:t>rá</w:t>
      </w:r>
      <w:r>
        <w:t>n [constantemente],</w:t>
      </w:r>
    </w:p>
    <w:p w14:paraId="6E77A920" w14:textId="5ACAC24B" w:rsidR="001D7B51" w:rsidRDefault="001D7B51" w:rsidP="001D7B51">
      <w:pPr>
        <w:pStyle w:val="VersoIngls01Sangria"/>
        <w:spacing w:after="100"/>
        <w:ind w:left="1418"/>
      </w:pPr>
      <w:r>
        <w:t xml:space="preserve">También </w:t>
      </w:r>
      <w:r w:rsidR="0058704B">
        <w:t xml:space="preserve">será </w:t>
      </w:r>
      <w:r>
        <w:t xml:space="preserve">alabado por </w:t>
      </w:r>
      <w:r w:rsidR="00057BF4" w:rsidRPr="00057BF4">
        <w:rPr>
          <w:i/>
          <w:iCs/>
        </w:rPr>
        <w:t>Brahmā</w:t>
      </w:r>
      <w:r>
        <w:t xml:space="preserve"> (A II 7).</w:t>
      </w:r>
    </w:p>
    <w:p w14:paraId="7FA02463" w14:textId="3AE7D176" w:rsidR="001D7B51" w:rsidRDefault="001D7B51" w:rsidP="001D7B51">
      <w:r>
        <w:t xml:space="preserve">137. </w:t>
      </w:r>
      <w:r w:rsidR="008C1340">
        <w:tab/>
      </w:r>
      <w:r>
        <w:t xml:space="preserve">(d) Lo que debe entenderse como </w:t>
      </w:r>
      <w:r w:rsidRPr="0069171D">
        <w:rPr>
          <w:i/>
          <w:iCs/>
        </w:rPr>
        <w:t>virtud consiste</w:t>
      </w:r>
      <w:r w:rsidR="0058704B">
        <w:rPr>
          <w:i/>
          <w:iCs/>
        </w:rPr>
        <w:t>nte</w:t>
      </w:r>
      <w:r w:rsidRPr="0069171D">
        <w:rPr>
          <w:i/>
          <w:iCs/>
        </w:rPr>
        <w:t xml:space="preserve"> </w:t>
      </w:r>
      <w:r w:rsidR="0058704B">
        <w:rPr>
          <w:i/>
          <w:iCs/>
        </w:rPr>
        <w:t>de</w:t>
      </w:r>
      <w:r w:rsidRPr="0069171D">
        <w:rPr>
          <w:i/>
          <w:iCs/>
        </w:rPr>
        <w:t xml:space="preserve"> </w:t>
      </w:r>
      <w:r w:rsidR="00171C47">
        <w:rPr>
          <w:i/>
          <w:iCs/>
        </w:rPr>
        <w:t>una</w:t>
      </w:r>
      <w:r w:rsidRPr="0069171D">
        <w:rPr>
          <w:i/>
          <w:iCs/>
        </w:rPr>
        <w:t xml:space="preserve"> purificación no </w:t>
      </w:r>
      <w:r w:rsidR="00D64B11">
        <w:rPr>
          <w:i/>
          <w:iCs/>
        </w:rPr>
        <w:t>adherid</w:t>
      </w:r>
      <w:r w:rsidR="003A50A2">
        <w:rPr>
          <w:i/>
          <w:iCs/>
        </w:rPr>
        <w:t>a</w:t>
      </w:r>
      <w:r w:rsidRPr="0069171D">
        <w:rPr>
          <w:i/>
          <w:iCs/>
        </w:rPr>
        <w:t xml:space="preserve"> </w:t>
      </w:r>
      <w:r w:rsidR="0069171D" w:rsidRPr="0069171D">
        <w:rPr>
          <w:i/>
          <w:iCs/>
        </w:rPr>
        <w:t>a</w:t>
      </w:r>
      <w:r>
        <w:t xml:space="preserve"> </w:t>
      </w:r>
      <w:r w:rsidR="008C1340">
        <w:t xml:space="preserve">es la </w:t>
      </w:r>
      <w:r>
        <w:t xml:space="preserve">virtud de los </w:t>
      </w:r>
      <w:r w:rsidR="001B6FA9" w:rsidRPr="001B6FA9">
        <w:rPr>
          <w:color w:val="833C0B" w:themeColor="accent2" w:themeShade="80"/>
        </w:rPr>
        <w:t>instructores</w:t>
      </w:r>
      <w:r>
        <w:t>, porque no se adhiere</w:t>
      </w:r>
      <w:r w:rsidR="00171C47">
        <w:t>n</w:t>
      </w:r>
      <w:r>
        <w:t xml:space="preserve"> a </w:t>
      </w:r>
      <w:r w:rsidR="00A0373B">
        <w:t>través de</w:t>
      </w:r>
      <w:r>
        <w:t xml:space="preserve"> la visión </w:t>
      </w:r>
      <w:r w:rsidR="00D64B11">
        <w:t>incorrecta</w:t>
      </w:r>
      <w:r>
        <w:t xml:space="preserve">, y la virtud de los hombres </w:t>
      </w:r>
      <w:r w:rsidR="003A50A2">
        <w:t>ordinarios</w:t>
      </w:r>
      <w:r>
        <w:t xml:space="preserve"> cuando no se adhier</w:t>
      </w:r>
      <w:r w:rsidR="003A50A2">
        <w:t>en</w:t>
      </w:r>
      <w:r>
        <w:t xml:space="preserve"> a la codicia. Como la virtud del </w:t>
      </w:r>
      <w:r w:rsidR="00A0373B">
        <w:t xml:space="preserve">Venerable </w:t>
      </w:r>
      <w:proofErr w:type="spellStart"/>
      <w:r>
        <w:t>Tissa</w:t>
      </w:r>
      <w:proofErr w:type="spellEnd"/>
      <w:r>
        <w:t>, el hijo del terrateniente (</w:t>
      </w:r>
      <w:proofErr w:type="spellStart"/>
      <w:r>
        <w:t>Kuṭumbiyaputta-Tissa-thera</w:t>
      </w:r>
      <w:proofErr w:type="spellEnd"/>
      <w:r>
        <w:t xml:space="preserve">). Queriendo establecerse en el </w:t>
      </w:r>
      <w:r w:rsidR="00A0373B">
        <w:t xml:space="preserve">estado de </w:t>
      </w:r>
      <w:r w:rsidR="00057BF4" w:rsidRPr="00057BF4">
        <w:rPr>
          <w:i/>
          <w:iCs/>
        </w:rPr>
        <w:t>Arahant</w:t>
      </w:r>
      <w:r>
        <w:t xml:space="preserve"> en dependencia de tal virtud, este venerable dijo a sus enemigos:</w:t>
      </w:r>
    </w:p>
    <w:p w14:paraId="3DA0DC3B" w14:textId="2FEF83DD" w:rsidR="001D7B51" w:rsidRDefault="001D7B51" w:rsidP="001D7B51">
      <w:pPr>
        <w:pStyle w:val="VersoIngls01Sangria"/>
      </w:pPr>
      <w:r>
        <w:t>Me rompí los huesos de ambas piernas</w:t>
      </w:r>
    </w:p>
    <w:p w14:paraId="5F2D9D6C" w14:textId="106437FA" w:rsidR="001D7B51" w:rsidRDefault="001D7B51" w:rsidP="001D7B51">
      <w:pPr>
        <w:pStyle w:val="VersoIngls01Sangria"/>
      </w:pPr>
      <w:r>
        <w:t xml:space="preserve">Para dar la prenda que me </w:t>
      </w:r>
      <w:r w:rsidR="002B74A5">
        <w:t>pidieron</w:t>
      </w:r>
      <w:r>
        <w:t>.</w:t>
      </w:r>
    </w:p>
    <w:p w14:paraId="73FD17D7" w14:textId="77777777" w:rsidR="001D7B51" w:rsidRDefault="001D7B51" w:rsidP="001D7B51">
      <w:pPr>
        <w:pStyle w:val="VersoIngls01Sangria"/>
      </w:pPr>
      <w:r>
        <w:t>Estoy asqueado y avergonzado</w:t>
      </w:r>
    </w:p>
    <w:p w14:paraId="4F888A9E" w14:textId="0D451F78" w:rsidR="001D7B51" w:rsidRDefault="002B74A5" w:rsidP="001D7B51">
      <w:pPr>
        <w:pStyle w:val="VersoIngls01Sangria"/>
        <w:spacing w:after="100"/>
        <w:ind w:left="1418"/>
      </w:pPr>
      <w:r>
        <w:t>Por</w:t>
      </w:r>
      <w:r w:rsidR="001D7B51">
        <w:t xml:space="preserve"> la muerte acompañada de codicia. [49]</w:t>
      </w:r>
    </w:p>
    <w:p w14:paraId="443A9E73" w14:textId="593B2227" w:rsidR="001D7B51" w:rsidRDefault="001D7B51" w:rsidP="001D7B51">
      <w:pPr>
        <w:pStyle w:val="VersoIngls01Sangria"/>
      </w:pPr>
      <w:r>
        <w:t xml:space="preserve">“Y después de haber pensado </w:t>
      </w:r>
      <w:r w:rsidR="00634AAB">
        <w:t>sobre</w:t>
      </w:r>
      <w:r>
        <w:t xml:space="preserve"> esto,</w:t>
      </w:r>
    </w:p>
    <w:p w14:paraId="17DD6D75" w14:textId="1824B9AA" w:rsidR="001D7B51" w:rsidRDefault="001D7B51" w:rsidP="001D7B51">
      <w:pPr>
        <w:pStyle w:val="VersoIngls01Sangria"/>
      </w:pPr>
      <w:r>
        <w:t>Y luego aplic</w:t>
      </w:r>
      <w:r w:rsidR="002A1E15">
        <w:t>ado</w:t>
      </w:r>
      <w:r>
        <w:t xml:space="preserve"> sabiamente la </w:t>
      </w:r>
      <w:r w:rsidR="002B74A5">
        <w:t>sabiduría</w:t>
      </w:r>
      <w:r>
        <w:t>,</w:t>
      </w:r>
    </w:p>
    <w:p w14:paraId="24BCE684" w14:textId="46748D74" w:rsidR="001D7B51" w:rsidRDefault="001D7B51" w:rsidP="001D7B51">
      <w:pPr>
        <w:pStyle w:val="VersoIngls01Sangria"/>
      </w:pPr>
      <w:r>
        <w:t xml:space="preserve">Cuando el </w:t>
      </w:r>
      <w:r w:rsidR="002B74A5">
        <w:t xml:space="preserve">Sol salió </w:t>
      </w:r>
      <w:r>
        <w:t>y brilló sobre mí,</w:t>
      </w:r>
    </w:p>
    <w:p w14:paraId="7DE41497" w14:textId="07795365" w:rsidR="001D7B51" w:rsidRDefault="002A1E15" w:rsidP="001D7B51">
      <w:pPr>
        <w:pStyle w:val="VersoIngls01Sangria"/>
        <w:spacing w:after="100"/>
        <w:ind w:left="1418"/>
      </w:pPr>
      <w:r>
        <w:t>Ya m</w:t>
      </w:r>
      <w:r w:rsidR="001D7B51">
        <w:t xml:space="preserve">e había </w:t>
      </w:r>
      <w:r w:rsidR="00634AAB">
        <w:t xml:space="preserve">consumado como </w:t>
      </w:r>
      <w:r w:rsidR="00057BF4" w:rsidRPr="00057BF4">
        <w:rPr>
          <w:i/>
        </w:rPr>
        <w:t>Arahant</w:t>
      </w:r>
      <w:r w:rsidR="001D7B51">
        <w:t>” (M-a I 233).</w:t>
      </w:r>
    </w:p>
    <w:p w14:paraId="31F6DF5D" w14:textId="10789877" w:rsidR="001D7B51" w:rsidRDefault="001D7B51" w:rsidP="001D7B51">
      <w:r>
        <w:t xml:space="preserve">138. </w:t>
      </w:r>
      <w:r w:rsidR="008C1340">
        <w:tab/>
      </w:r>
      <w:r>
        <w:t xml:space="preserve">También había cierto </w:t>
      </w:r>
      <w:r w:rsidR="002A1E15">
        <w:t xml:space="preserve">Venerable </w:t>
      </w:r>
      <w:r>
        <w:t xml:space="preserve">mayor que estaba muy enfermo y no podía comer con su propia mano. Se retorcía manchado con su propia orina y excrementos. Al verlo, cierto joven </w:t>
      </w:r>
      <w:proofErr w:type="spellStart"/>
      <w:r w:rsidR="00057BF4" w:rsidRPr="00057BF4">
        <w:rPr>
          <w:i/>
          <w:iCs/>
        </w:rPr>
        <w:t>bhikkhu</w:t>
      </w:r>
      <w:proofErr w:type="spellEnd"/>
      <w:r>
        <w:t xml:space="preserve"> dijo: "¡Oh, qué proceso tan doloroso es la vida!" El </w:t>
      </w:r>
      <w:r w:rsidR="002A1E15">
        <w:t xml:space="preserve">Venerable </w:t>
      </w:r>
      <w:r>
        <w:t>mayor le dijo: “Si tuviera que morir ahora, amigo, debería obtener la bienaventuranza del cielo; No tengo ninguna duda de e</w:t>
      </w:r>
      <w:r w:rsidR="00634AAB">
        <w:t>ll</w:t>
      </w:r>
      <w:r>
        <w:t xml:space="preserve">o. Pero la bienaventuranza obtenida por romper esta virtud sería como el estado laico obtenido por desautorizar el entrenamiento”, y agregó: “Moriré junto con mi virtud”. Mientras yacía allí, comprendió esa misma enfermedad [con </w:t>
      </w:r>
      <w:r w:rsidR="009F7C46">
        <w:t>sabiduría</w:t>
      </w:r>
      <w:r>
        <w:t xml:space="preserve">] y alcanzó el estado de </w:t>
      </w:r>
      <w:r w:rsidR="00057BF4" w:rsidRPr="00057BF4">
        <w:rPr>
          <w:i/>
          <w:iCs/>
        </w:rPr>
        <w:t>Arahant</w:t>
      </w:r>
      <w:r>
        <w:t xml:space="preserve">. Habiendo hecho eso, pronunció estos versos a la Orden de </w:t>
      </w:r>
      <w:proofErr w:type="spellStart"/>
      <w:r w:rsidR="00057BF4" w:rsidRPr="00057BF4">
        <w:rPr>
          <w:i/>
        </w:rPr>
        <w:t>Bhikkhu</w:t>
      </w:r>
      <w:r>
        <w:t>s</w:t>
      </w:r>
      <w:proofErr w:type="spellEnd"/>
      <w:r>
        <w:t>:</w:t>
      </w:r>
    </w:p>
    <w:p w14:paraId="66E3CC06" w14:textId="77777777" w:rsidR="001D7B51" w:rsidRDefault="001D7B51" w:rsidP="001D7B51">
      <w:pPr>
        <w:pStyle w:val="VersoIngls01Sangria"/>
      </w:pPr>
      <w:r>
        <w:t>“Soy víctima de una enfermedad repugnante</w:t>
      </w:r>
    </w:p>
    <w:p w14:paraId="4C16E8D5" w14:textId="401881E3" w:rsidR="001D7B51" w:rsidRDefault="001D7B51" w:rsidP="001D7B51">
      <w:pPr>
        <w:pStyle w:val="VersoIngls01Sangria"/>
      </w:pPr>
      <w:r>
        <w:t xml:space="preserve">que me atormenta con su </w:t>
      </w:r>
      <w:r w:rsidR="00AA06AB">
        <w:t xml:space="preserve">cruel </w:t>
      </w:r>
      <w:r>
        <w:t>carga de dolor;</w:t>
      </w:r>
    </w:p>
    <w:p w14:paraId="25EF0760" w14:textId="20CF047A" w:rsidR="001D7B51" w:rsidRDefault="001D7B51" w:rsidP="001D7B51">
      <w:pPr>
        <w:pStyle w:val="VersoIngls01Sangria"/>
      </w:pPr>
      <w:r>
        <w:t xml:space="preserve">Como flores </w:t>
      </w:r>
      <w:r w:rsidR="002915EA">
        <w:t>sobre</w:t>
      </w:r>
      <w:r>
        <w:t xml:space="preserve"> el polvo quemado por el </w:t>
      </w:r>
      <w:r w:rsidR="00AA06AB">
        <w:t>Sol</w:t>
      </w:r>
      <w:r>
        <w:t>,</w:t>
      </w:r>
    </w:p>
    <w:p w14:paraId="5DFAB91A" w14:textId="12FFBB92" w:rsidR="001D7B51" w:rsidRDefault="001D7B51" w:rsidP="001D7B51">
      <w:pPr>
        <w:pStyle w:val="VersoIngls01Sangria"/>
        <w:spacing w:after="100"/>
        <w:ind w:left="1418"/>
      </w:pPr>
      <w:r>
        <w:t>Así que pronto se habrá marchitado</w:t>
      </w:r>
      <w:r w:rsidR="000541B3" w:rsidRPr="000541B3">
        <w:t xml:space="preserve"> </w:t>
      </w:r>
      <w:r w:rsidR="000541B3">
        <w:t>mi cadáver</w:t>
      </w:r>
      <w:r>
        <w:t>.</w:t>
      </w:r>
    </w:p>
    <w:p w14:paraId="769C025E" w14:textId="08377217" w:rsidR="001D7B51" w:rsidRDefault="001D7B51" w:rsidP="001D7B51">
      <w:pPr>
        <w:pStyle w:val="VersoIngls01Sangria"/>
      </w:pPr>
      <w:r>
        <w:t xml:space="preserve">“Lo </w:t>
      </w:r>
      <w:r w:rsidR="001C6BED">
        <w:t>no</w:t>
      </w:r>
      <w:r>
        <w:t xml:space="preserve"> hermoso llamado hermoso,</w:t>
      </w:r>
    </w:p>
    <w:p w14:paraId="5A13CDE0" w14:textId="049DDC44" w:rsidR="001D7B51" w:rsidRDefault="001C6BED" w:rsidP="001D7B51">
      <w:pPr>
        <w:pStyle w:val="VersoIngls01Sangria"/>
      </w:pPr>
      <w:r>
        <w:t>Lo i</w:t>
      </w:r>
      <w:r w:rsidR="001D7B51">
        <w:t>nmundo, aunque considerado limpio,</w:t>
      </w:r>
    </w:p>
    <w:p w14:paraId="44CE02C9" w14:textId="6EAF178A" w:rsidR="001D7B51" w:rsidRDefault="001D7B51" w:rsidP="001D7B51">
      <w:pPr>
        <w:pStyle w:val="VersoIngls01Sangria"/>
      </w:pPr>
      <w:r>
        <w:t>Aunque lleno de basura parec</w:t>
      </w:r>
      <w:r w:rsidR="002915EA">
        <w:t>iera</w:t>
      </w:r>
      <w:r>
        <w:t xml:space="preserve"> justo</w:t>
      </w:r>
    </w:p>
    <w:p w14:paraId="2E4DAEE4" w14:textId="07F53F45" w:rsidR="001D7B51" w:rsidRDefault="00DE5CD9" w:rsidP="001D7B51">
      <w:pPr>
        <w:pStyle w:val="VersoIngls01Sangria"/>
        <w:spacing w:after="100"/>
        <w:ind w:left="1418"/>
      </w:pPr>
      <w:r>
        <w:t>Será para</w:t>
      </w:r>
      <w:r w:rsidR="002915EA">
        <w:t xml:space="preserve"> aquél</w:t>
      </w:r>
      <w:r w:rsidR="001D7B51">
        <w:t xml:space="preserve"> que no lo pued</w:t>
      </w:r>
      <w:r w:rsidR="001C6BED">
        <w:t>a</w:t>
      </w:r>
      <w:r w:rsidR="001D7B51">
        <w:t xml:space="preserve"> </w:t>
      </w:r>
      <w:r>
        <w:t xml:space="preserve">ver </w:t>
      </w:r>
      <w:r w:rsidR="00962D49">
        <w:t>claramente</w:t>
      </w:r>
      <w:r w:rsidR="001D7B51">
        <w:t>.</w:t>
      </w:r>
    </w:p>
    <w:p w14:paraId="753B1A72" w14:textId="68E70E28" w:rsidR="001D7B51" w:rsidRDefault="001D7B51" w:rsidP="001D7B51">
      <w:pPr>
        <w:pStyle w:val="VersoIngls01Sangria"/>
      </w:pPr>
      <w:r>
        <w:t xml:space="preserve">“Así sobre este cuerpo enfermo y </w:t>
      </w:r>
      <w:r w:rsidR="00962D49">
        <w:t>descompuesto</w:t>
      </w:r>
      <w:r>
        <w:t>,</w:t>
      </w:r>
    </w:p>
    <w:p w14:paraId="77727B66" w14:textId="3482B1C0" w:rsidR="001D7B51" w:rsidRDefault="001D7B51" w:rsidP="001D7B51">
      <w:pPr>
        <w:pStyle w:val="VersoIngls01Sangria"/>
      </w:pPr>
      <w:r>
        <w:t xml:space="preserve">Fétido y sucio, castigado </w:t>
      </w:r>
      <w:r w:rsidR="00962D49">
        <w:t>por la</w:t>
      </w:r>
      <w:r>
        <w:t xml:space="preserve"> aflicción,</w:t>
      </w:r>
    </w:p>
    <w:p w14:paraId="7DF4FF26" w14:textId="35BBDACE" w:rsidR="001D7B51" w:rsidRDefault="00BC4917" w:rsidP="001D7B51">
      <w:pPr>
        <w:pStyle w:val="VersoIngls01Sangria"/>
      </w:pPr>
      <w:r>
        <w:t>Apreciado</w:t>
      </w:r>
      <w:r w:rsidR="001D7B51">
        <w:t xml:space="preserve"> </w:t>
      </w:r>
      <w:r w:rsidR="008A25A0">
        <w:t xml:space="preserve">por </w:t>
      </w:r>
      <w:r w:rsidR="001D7B51">
        <w:t xml:space="preserve">esta </w:t>
      </w:r>
      <w:r w:rsidR="008A25A0">
        <w:t xml:space="preserve">tonta </w:t>
      </w:r>
      <w:r w:rsidR="001D7B51">
        <w:t xml:space="preserve">generación </w:t>
      </w:r>
    </w:p>
    <w:p w14:paraId="3AED41D3" w14:textId="3959DEDA" w:rsidR="001D7B51" w:rsidRDefault="001D7B51" w:rsidP="001D7B51">
      <w:pPr>
        <w:pStyle w:val="VersoIngls01Sangria"/>
        <w:spacing w:after="100"/>
        <w:ind w:left="1418"/>
      </w:pPr>
      <w:r>
        <w:t>¡</w:t>
      </w:r>
      <w:r w:rsidR="008A25A0">
        <w:t xml:space="preserve">Perdido está </w:t>
      </w:r>
      <w:r>
        <w:t xml:space="preserve">el </w:t>
      </w:r>
      <w:r w:rsidR="006703E5">
        <w:t>sendero</w:t>
      </w:r>
      <w:r>
        <w:t xml:space="preserve"> para </w:t>
      </w:r>
      <w:r w:rsidR="00EB619A">
        <w:t xml:space="preserve">en el cielo </w:t>
      </w:r>
      <w:r>
        <w:t>renacer!” (J-a II 437)</w:t>
      </w:r>
    </w:p>
    <w:p w14:paraId="3B032095" w14:textId="7FF4AD64" w:rsidR="001D7B51" w:rsidRDefault="001D7B51" w:rsidP="001D7B51">
      <w:r>
        <w:t>139.</w:t>
      </w:r>
      <w:r w:rsidR="008C1340">
        <w:tab/>
      </w:r>
      <w:r>
        <w:t xml:space="preserve"> (e) Es la virtud de los </w:t>
      </w:r>
      <w:r w:rsidR="00057BF4" w:rsidRPr="00057BF4">
        <w:rPr>
          <w:i/>
          <w:iCs/>
        </w:rPr>
        <w:t>Arahant</w:t>
      </w:r>
      <w:r w:rsidRPr="008C1340">
        <w:rPr>
          <w:i/>
          <w:iCs/>
        </w:rPr>
        <w:t>s</w:t>
      </w:r>
      <w:r>
        <w:t xml:space="preserve">, etc., que debe entenderse </w:t>
      </w:r>
      <w:r w:rsidRPr="008C1340">
        <w:rPr>
          <w:i/>
          <w:iCs/>
        </w:rPr>
        <w:t>como</w:t>
      </w:r>
      <w:r>
        <w:t xml:space="preserve"> </w:t>
      </w:r>
      <w:r w:rsidRPr="008C1340">
        <w:rPr>
          <w:i/>
          <w:iCs/>
        </w:rPr>
        <w:t xml:space="preserve">purificación </w:t>
      </w:r>
      <w:r w:rsidR="00003F69">
        <w:rPr>
          <w:i/>
          <w:iCs/>
        </w:rPr>
        <w:t>apaciguada</w:t>
      </w:r>
      <w:r>
        <w:t xml:space="preserve">, </w:t>
      </w:r>
      <w:proofErr w:type="gramStart"/>
      <w:r>
        <w:t xml:space="preserve">debido a la </w:t>
      </w:r>
      <w:r w:rsidR="00BF406B">
        <w:t>apaciguamiento</w:t>
      </w:r>
      <w:proofErr w:type="gramEnd"/>
      <w:r>
        <w:t xml:space="preserve"> de toda perturbación y debido a la </w:t>
      </w:r>
      <w:r w:rsidR="00BF406B">
        <w:t>pureza en cuestión</w:t>
      </w:r>
      <w:r>
        <w:t>.</w:t>
      </w:r>
    </w:p>
    <w:p w14:paraId="0205C14F" w14:textId="1925CA83" w:rsidR="001D7B51" w:rsidRDefault="001D7B51" w:rsidP="001D7B51">
      <w:pPr>
        <w:pStyle w:val="NormalConSangria"/>
      </w:pPr>
      <w:r>
        <w:t xml:space="preserve">Por lo tanto, </w:t>
      </w:r>
      <w:r w:rsidR="00A041DA">
        <w:t xml:space="preserve">la virtud </w:t>
      </w:r>
      <w:r>
        <w:t xml:space="preserve">es de cinco </w:t>
      </w:r>
      <w:r w:rsidR="00EB619A">
        <w:t xml:space="preserve">tipos </w:t>
      </w:r>
      <w:r>
        <w:t>según “consiste</w:t>
      </w:r>
      <w:r w:rsidR="00A041DA">
        <w:t>nte</w:t>
      </w:r>
      <w:r>
        <w:t xml:space="preserve"> </w:t>
      </w:r>
      <w:r w:rsidR="00A041DA">
        <w:t>de</w:t>
      </w:r>
      <w:r>
        <w:t xml:space="preserve"> una purificación limitada,</w:t>
      </w:r>
      <w:r w:rsidR="00593AAE">
        <w:t xml:space="preserve"> </w:t>
      </w:r>
      <w:r w:rsidR="00087977">
        <w:t>…</w:t>
      </w:r>
      <w:r w:rsidR="00DC639D">
        <w:t xml:space="preserve"> </w:t>
      </w:r>
      <w:r w:rsidR="00087977">
        <w:t>etc</w:t>
      </w:r>
      <w:r w:rsidR="00DC639D">
        <w:t>.</w:t>
      </w:r>
      <w:r w:rsidR="007117EC">
        <w:t>”</w:t>
      </w:r>
    </w:p>
    <w:p w14:paraId="31D5AA9F" w14:textId="0114E1C4" w:rsidR="001D7B51" w:rsidRDefault="001D7B51" w:rsidP="001D7B51">
      <w:r>
        <w:t xml:space="preserve">140. </w:t>
      </w:r>
      <w:r w:rsidR="008C1340">
        <w:tab/>
      </w:r>
      <w:r w:rsidRPr="008C1340">
        <w:rPr>
          <w:i/>
          <w:iCs/>
        </w:rPr>
        <w:t>19</w:t>
      </w:r>
      <w:r>
        <w:t xml:space="preserve">. En </w:t>
      </w:r>
      <w:r w:rsidR="00B56592">
        <w:t>e</w:t>
      </w:r>
      <w:r>
        <w:t>l segund</w:t>
      </w:r>
      <w:r w:rsidR="00471957">
        <w:t>o</w:t>
      </w:r>
      <w:r>
        <w:t xml:space="preserve"> </w:t>
      </w:r>
      <w:r w:rsidR="00471957">
        <w:t>quíntuplo</w:t>
      </w:r>
      <w:r w:rsidR="00593AAE">
        <w:t>,</w:t>
      </w:r>
      <w:r>
        <w:t xml:space="preserve"> el significado debe entenderse como el abandono, etc., de matar a seres vivos, etc.; porque </w:t>
      </w:r>
      <w:r w:rsidR="00D22AFB">
        <w:t>así está dicho</w:t>
      </w:r>
      <w:r>
        <w:t xml:space="preserve"> en el </w:t>
      </w:r>
      <w:proofErr w:type="spellStart"/>
      <w:r w:rsidRPr="008C1340">
        <w:rPr>
          <w:i/>
          <w:iCs/>
        </w:rPr>
        <w:t>Paṭisambhidā</w:t>
      </w:r>
      <w:proofErr w:type="spellEnd"/>
      <w:r>
        <w:t>: “</w:t>
      </w:r>
      <w:r w:rsidR="00593AAE">
        <w:t>Existen 5</w:t>
      </w:r>
      <w:r>
        <w:t xml:space="preserve"> tipos de virtud: </w:t>
      </w:r>
    </w:p>
    <w:p w14:paraId="5EADA620" w14:textId="77777777" w:rsidR="001D7B51" w:rsidRDefault="001D7B51">
      <w:pPr>
        <w:tabs>
          <w:tab w:val="clear" w:pos="425"/>
        </w:tabs>
        <w:spacing w:after="160"/>
      </w:pPr>
      <w:r>
        <w:br w:type="page"/>
      </w:r>
    </w:p>
    <w:p w14:paraId="6E8EB888" w14:textId="77777777" w:rsidR="001D7B51" w:rsidRDefault="001D7B51" w:rsidP="001D7B51"/>
    <w:p w14:paraId="358C8EB1" w14:textId="72F8EE84" w:rsidR="00433821" w:rsidRDefault="00D36D91" w:rsidP="00433821">
      <w:r>
        <w:t xml:space="preserve">(1) </w:t>
      </w:r>
      <w:r w:rsidR="001D7B51">
        <w:t xml:space="preserve">En el caso de matar seres vivos, (a) el abandono es virtud, (b) la abstención es virtud, (c) la volición es virtud, (d) la </w:t>
      </w:r>
      <w:r w:rsidR="00D47BC4">
        <w:t>restricción</w:t>
      </w:r>
      <w:r w:rsidR="001D7B51">
        <w:t xml:space="preserve"> es virtud, (e) la</w:t>
      </w:r>
      <w:r w:rsidR="009B34C4">
        <w:t>-</w:t>
      </w:r>
      <w:r w:rsidR="001D7B51">
        <w:t xml:space="preserve">no transgresión es virtud. (2) En el caso de tomar lo que no </w:t>
      </w:r>
      <w:r w:rsidR="00DA0C1B">
        <w:t xml:space="preserve">haya </w:t>
      </w:r>
      <w:r w:rsidR="00EB619A">
        <w:t xml:space="preserve">sido </w:t>
      </w:r>
      <w:r w:rsidR="00E6186D">
        <w:t>concedido</w:t>
      </w:r>
      <w:r w:rsidR="001D7B51">
        <w:t xml:space="preserve">... (3) En el caso de </w:t>
      </w:r>
      <w:r w:rsidR="00BA363C">
        <w:t>l</w:t>
      </w:r>
      <w:r w:rsidR="00DA0C1B">
        <w:t xml:space="preserve">a </w:t>
      </w:r>
      <w:r w:rsidR="001D7B51">
        <w:t xml:space="preserve">conducta sexual </w:t>
      </w:r>
      <w:r w:rsidR="00175EE8">
        <w:t>incorrecta</w:t>
      </w:r>
      <w:r w:rsidR="001D7B51">
        <w:t>... (4) En el caso de</w:t>
      </w:r>
      <w:r w:rsidR="00DA0C1B">
        <w:t>l</w:t>
      </w:r>
      <w:r w:rsidR="001D7B51">
        <w:t xml:space="preserve"> </w:t>
      </w:r>
      <w:r w:rsidR="00DA0C1B">
        <w:t xml:space="preserve">lenguaje </w:t>
      </w:r>
      <w:r w:rsidR="003F634B">
        <w:t>incorrecto</w:t>
      </w:r>
      <w:r w:rsidR="001D7B51">
        <w:t>... (5) En el caso de</w:t>
      </w:r>
      <w:r w:rsidR="00DA0C1B">
        <w:t>l</w:t>
      </w:r>
      <w:r w:rsidR="001D7B51">
        <w:t xml:space="preserve"> </w:t>
      </w:r>
      <w:r w:rsidR="00DA0C1B">
        <w:t xml:space="preserve">lenguaje </w:t>
      </w:r>
      <w:r w:rsidR="001D7B51">
        <w:t>malicios</w:t>
      </w:r>
      <w:r w:rsidR="00DA0C1B">
        <w:t>o</w:t>
      </w:r>
      <w:r w:rsidR="001D7B51">
        <w:t>... (6) En el caso de</w:t>
      </w:r>
      <w:r w:rsidR="00DA0C1B">
        <w:t>l</w:t>
      </w:r>
      <w:r w:rsidR="001D7B51">
        <w:t xml:space="preserve"> </w:t>
      </w:r>
      <w:r w:rsidR="00DA0C1B">
        <w:t>lenguaje rudo</w:t>
      </w:r>
      <w:r w:rsidR="001D7B51">
        <w:t xml:space="preserve">... (7) En </w:t>
      </w:r>
      <w:r w:rsidR="00DA0C1B">
        <w:t xml:space="preserve">el </w:t>
      </w:r>
      <w:r w:rsidR="001D7B51">
        <w:t>caso de</w:t>
      </w:r>
      <w:r w:rsidR="00DA0C1B">
        <w:t>l</w:t>
      </w:r>
      <w:r w:rsidR="001D7B51">
        <w:t xml:space="preserve"> chisme... [50] (8) En </w:t>
      </w:r>
      <w:r w:rsidR="00DA0C1B">
        <w:t xml:space="preserve">el </w:t>
      </w:r>
      <w:r w:rsidR="001D7B51">
        <w:t xml:space="preserve">caso de </w:t>
      </w:r>
      <w:r w:rsidR="005B700A">
        <w:t xml:space="preserve">la </w:t>
      </w:r>
      <w:r w:rsidR="001D7B51">
        <w:t xml:space="preserve">codicia... (9) En </w:t>
      </w:r>
      <w:r w:rsidR="00DA0C1B">
        <w:t xml:space="preserve">el </w:t>
      </w:r>
      <w:r w:rsidR="001D7B51">
        <w:t xml:space="preserve">caso de </w:t>
      </w:r>
      <w:r w:rsidR="00A77D74">
        <w:t xml:space="preserve">la </w:t>
      </w:r>
      <w:r w:rsidR="001D7B51">
        <w:t xml:space="preserve">mala voluntad... (10) En </w:t>
      </w:r>
      <w:r w:rsidR="00DA0C1B">
        <w:t xml:space="preserve">el </w:t>
      </w:r>
      <w:r w:rsidR="001D7B51">
        <w:t xml:space="preserve">caso de </w:t>
      </w:r>
      <w:r w:rsidR="005B700A">
        <w:t>la visión</w:t>
      </w:r>
      <w:r w:rsidR="001D7B51">
        <w:t xml:space="preserve"> </w:t>
      </w:r>
      <w:r w:rsidR="00DA0C1B">
        <w:t>incorrecta</w:t>
      </w:r>
      <w:r w:rsidR="001D7B51">
        <w:t>...</w:t>
      </w:r>
    </w:p>
    <w:p w14:paraId="1021E799" w14:textId="566CFD6C" w:rsidR="00433821" w:rsidRDefault="00433821" w:rsidP="00433821">
      <w:pPr>
        <w:pStyle w:val="NormalConSangria"/>
      </w:pPr>
      <w:r>
        <w:t xml:space="preserve">(11) “A través de la </w:t>
      </w:r>
      <w:r w:rsidRPr="00986528">
        <w:t>renuncia</w:t>
      </w:r>
      <w:r w:rsidR="00F336D8" w:rsidRPr="00986528">
        <w:t>ción</w:t>
      </w:r>
      <w:r>
        <w:t xml:space="preserve"> en caso de lujuria, (a) el abandono es virtud... (12) A través de la no-mala</w:t>
      </w:r>
      <w:r w:rsidR="00CB4651">
        <w:t>–</w:t>
      </w:r>
      <w:r>
        <w:t xml:space="preserve">voluntad en caso de mala voluntad... (13) A través de la percepción de </w:t>
      </w:r>
      <w:r w:rsidR="002909A8" w:rsidRPr="009F25C2">
        <w:rPr>
          <w:color w:val="833C0B" w:themeColor="accent2" w:themeShade="80"/>
          <w:u w:color="000000"/>
        </w:rPr>
        <w:t>ligereza</w:t>
      </w:r>
      <w:r w:rsidRPr="009F25C2">
        <w:t xml:space="preserve"> </w:t>
      </w:r>
      <w:r>
        <w:t xml:space="preserve">en caso de </w:t>
      </w:r>
      <w:r w:rsidR="00B65BA7">
        <w:t>pereza</w:t>
      </w:r>
      <w:r>
        <w:t>-y-</w:t>
      </w:r>
      <w:r w:rsidR="002A5B89">
        <w:t>letargo</w:t>
      </w:r>
      <w:r>
        <w:t>... (14) A través de la no</w:t>
      </w:r>
      <w:r w:rsidR="00B72691">
        <w:t>-</w:t>
      </w:r>
      <w:r>
        <w:t xml:space="preserve">distracción... agitación... (15) A través de la definición de </w:t>
      </w:r>
      <w:r w:rsidR="00F336D8">
        <w:t xml:space="preserve">los </w:t>
      </w:r>
      <w:r>
        <w:t>estados (</w:t>
      </w:r>
      <w:r w:rsidR="00750256" w:rsidRPr="00057BF4">
        <w:rPr>
          <w:i/>
        </w:rPr>
        <w:t>dhamma</w:t>
      </w:r>
      <w:r>
        <w:t>)... incertidumbre... (16) A través del conocimiento... ignorancia... (17) A través de</w:t>
      </w:r>
      <w:r w:rsidR="00750256">
        <w:t xml:space="preserve"> </w:t>
      </w:r>
      <w:r>
        <w:t>l</w:t>
      </w:r>
      <w:r w:rsidR="00750256">
        <w:t>a</w:t>
      </w:r>
      <w:r>
        <w:t xml:space="preserve"> </w:t>
      </w:r>
      <w:r w:rsidR="00596FA6">
        <w:t>alegría</w:t>
      </w:r>
      <w:r w:rsidR="00750256">
        <w:t xml:space="preserve"> </w:t>
      </w:r>
      <w:r>
        <w:t>en caso de</w:t>
      </w:r>
      <w:r w:rsidR="0023748B">
        <w:t xml:space="preserve"> tedio</w:t>
      </w:r>
      <w:r>
        <w:t xml:space="preserve">... </w:t>
      </w:r>
    </w:p>
    <w:p w14:paraId="6CA4590B" w14:textId="45FDF06B" w:rsidR="00433821" w:rsidRDefault="00433821" w:rsidP="00433821">
      <w:pPr>
        <w:pStyle w:val="NormalConSangria"/>
      </w:pPr>
      <w:r>
        <w:t xml:space="preserve">(18) “A través del primer </w:t>
      </w:r>
      <w:proofErr w:type="spellStart"/>
      <w:r w:rsidR="00057BF4" w:rsidRPr="00057BF4">
        <w:rPr>
          <w:i/>
          <w:iCs/>
        </w:rPr>
        <w:t>jhāna</w:t>
      </w:r>
      <w:proofErr w:type="spellEnd"/>
      <w:r>
        <w:t xml:space="preserve"> en caso de </w:t>
      </w:r>
      <w:r w:rsidR="007C16A0">
        <w:t xml:space="preserve">surgimiento de </w:t>
      </w:r>
      <w:r w:rsidR="008D366E">
        <w:t xml:space="preserve">los </w:t>
      </w:r>
      <w:r>
        <w:t xml:space="preserve">obstáculos, (a) </w:t>
      </w:r>
      <w:r w:rsidR="00675305">
        <w:t>el abandono</w:t>
      </w:r>
      <w:r>
        <w:t xml:space="preserve"> es virtud... (19) A través del segundo </w:t>
      </w:r>
      <w:proofErr w:type="spellStart"/>
      <w:r w:rsidR="00057BF4" w:rsidRPr="00057BF4">
        <w:rPr>
          <w:i/>
          <w:iCs/>
        </w:rPr>
        <w:t>jhāna</w:t>
      </w:r>
      <w:proofErr w:type="spellEnd"/>
      <w:r>
        <w:t xml:space="preserve">... </w:t>
      </w:r>
      <w:r w:rsidR="0019300C">
        <w:t xml:space="preserve">en caso de </w:t>
      </w:r>
      <w:r w:rsidR="00A45CF1">
        <w:t>aplicación y sustentación mental</w:t>
      </w:r>
      <w:r>
        <w:t xml:space="preserve">... (20) A través del tercer </w:t>
      </w:r>
      <w:proofErr w:type="spellStart"/>
      <w:r w:rsidR="00057BF4" w:rsidRPr="00057BF4">
        <w:rPr>
          <w:i/>
          <w:iCs/>
        </w:rPr>
        <w:t>jhāna</w:t>
      </w:r>
      <w:proofErr w:type="spellEnd"/>
      <w:r>
        <w:t xml:space="preserve">... </w:t>
      </w:r>
      <w:r w:rsidR="0019300C">
        <w:t>de</w:t>
      </w:r>
      <w:r w:rsidR="0000538D">
        <w:t xml:space="preserve"> </w:t>
      </w:r>
      <w:r>
        <w:t xml:space="preserve">felicidad... (21) A través del cuarto </w:t>
      </w:r>
      <w:proofErr w:type="spellStart"/>
      <w:r w:rsidR="00057BF4" w:rsidRPr="00057BF4">
        <w:rPr>
          <w:i/>
          <w:iCs/>
        </w:rPr>
        <w:t>jhāna</w:t>
      </w:r>
      <w:proofErr w:type="spellEnd"/>
      <w:r>
        <w:t xml:space="preserve"> en caso </w:t>
      </w:r>
      <w:r w:rsidR="00E70687">
        <w:t xml:space="preserve">de </w:t>
      </w:r>
      <w:r>
        <w:t>placer y dolor, (a) el abandono es virtud… (22) A través del logro de la base consiste</w:t>
      </w:r>
      <w:r w:rsidR="00675305">
        <w:t>nte</w:t>
      </w:r>
      <w:r>
        <w:t xml:space="preserve"> </w:t>
      </w:r>
      <w:r w:rsidR="00675305">
        <w:t xml:space="preserve">del </w:t>
      </w:r>
      <w:r>
        <w:t xml:space="preserve">espacio </w:t>
      </w:r>
      <w:r w:rsidR="00AE4EBC">
        <w:t xml:space="preserve">infinito </w:t>
      </w:r>
      <w:r>
        <w:t xml:space="preserve">en caso de percepciones </w:t>
      </w:r>
      <w:r w:rsidR="0001246E">
        <w:t>sobre</w:t>
      </w:r>
      <w:r>
        <w:t xml:space="preserve"> </w:t>
      </w:r>
      <w:r w:rsidR="00603DEA">
        <w:t xml:space="preserve">la </w:t>
      </w:r>
      <w:r>
        <w:t xml:space="preserve">materia, percepciones </w:t>
      </w:r>
      <w:r w:rsidR="00AE4EBC">
        <w:t xml:space="preserve">sobre la </w:t>
      </w:r>
      <w:r>
        <w:t xml:space="preserve">resistencia y percepciones </w:t>
      </w:r>
      <w:r w:rsidR="00AE4EBC">
        <w:t>sobre</w:t>
      </w:r>
      <w:r>
        <w:t xml:space="preserve"> </w:t>
      </w:r>
      <w:r w:rsidR="00AE4EBC">
        <w:t xml:space="preserve">la </w:t>
      </w:r>
      <w:r>
        <w:t>variedad, (a) el abandono es virtud… (23) A través del logro de la base consiste</w:t>
      </w:r>
      <w:r w:rsidR="00675305">
        <w:t>nte</w:t>
      </w:r>
      <w:r>
        <w:t xml:space="preserve"> </w:t>
      </w:r>
      <w:r w:rsidR="00675305">
        <w:t>de la</w:t>
      </w:r>
      <w:r>
        <w:t xml:space="preserve"> con</w:t>
      </w:r>
      <w:r w:rsidR="00675305">
        <w:t>s</w:t>
      </w:r>
      <w:r>
        <w:t xml:space="preserve">ciencia </w:t>
      </w:r>
      <w:r w:rsidR="00715C12">
        <w:t>infinita</w:t>
      </w:r>
      <w:r>
        <w:t xml:space="preserve"> en caso de percepción </w:t>
      </w:r>
      <w:r w:rsidR="0078600C">
        <w:t>sobre</w:t>
      </w:r>
      <w:r>
        <w:t xml:space="preserve"> la base consiste</w:t>
      </w:r>
      <w:r w:rsidR="00675305">
        <w:t>nte</w:t>
      </w:r>
      <w:r>
        <w:t xml:space="preserve"> </w:t>
      </w:r>
      <w:r w:rsidR="00582BD7">
        <w:t>de</w:t>
      </w:r>
      <w:r w:rsidR="00185445">
        <w:t>l</w:t>
      </w:r>
      <w:r w:rsidR="00582BD7">
        <w:t xml:space="preserve"> </w:t>
      </w:r>
      <w:r>
        <w:t>espacio</w:t>
      </w:r>
      <w:r w:rsidR="00185445">
        <w:t xml:space="preserve"> ilimitado</w:t>
      </w:r>
      <w:r>
        <w:t>... (24) A través del logro de la base consiste</w:t>
      </w:r>
      <w:r w:rsidR="00185445">
        <w:t>nte</w:t>
      </w:r>
      <w:r>
        <w:t xml:space="preserve"> </w:t>
      </w:r>
      <w:r w:rsidR="00185445">
        <w:t xml:space="preserve">del </w:t>
      </w:r>
      <w:r w:rsidR="00E212CC" w:rsidRPr="002B7AF6">
        <w:rPr>
          <w:i/>
          <w:iCs/>
        </w:rPr>
        <w:t>vacío</w:t>
      </w:r>
      <w:r w:rsidR="00E212CC">
        <w:t xml:space="preserve"> </w:t>
      </w:r>
      <w:r>
        <w:t xml:space="preserve">en caso de percepción </w:t>
      </w:r>
      <w:r w:rsidR="0078600C">
        <w:t xml:space="preserve">sobre </w:t>
      </w:r>
      <w:r>
        <w:t>la base consiste</w:t>
      </w:r>
      <w:r w:rsidR="00185445">
        <w:t>nte</w:t>
      </w:r>
      <w:r>
        <w:t xml:space="preserve"> </w:t>
      </w:r>
      <w:r w:rsidR="00185445">
        <w:t xml:space="preserve">de la </w:t>
      </w:r>
      <w:r>
        <w:t>con</w:t>
      </w:r>
      <w:r w:rsidR="00185445">
        <w:t>s</w:t>
      </w:r>
      <w:r>
        <w:t xml:space="preserve">ciencia </w:t>
      </w:r>
      <w:r w:rsidR="00CB29F0">
        <w:t>infinita</w:t>
      </w:r>
      <w:r>
        <w:t>... (25) A través del logro de la base consiste</w:t>
      </w:r>
      <w:r w:rsidR="00185445">
        <w:t>nte de la</w:t>
      </w:r>
      <w:r>
        <w:t xml:space="preserve"> n</w:t>
      </w:r>
      <w:r w:rsidR="00185445">
        <w:t>o-</w:t>
      </w:r>
      <w:r>
        <w:t>percepción</w:t>
      </w:r>
      <w:r w:rsidR="00185445">
        <w:t>-</w:t>
      </w:r>
      <w:r>
        <w:t>ni</w:t>
      </w:r>
      <w:r w:rsidR="00185445">
        <w:t>-</w:t>
      </w:r>
      <w:r>
        <w:t>no</w:t>
      </w:r>
      <w:r w:rsidR="00185445">
        <w:t>-</w:t>
      </w:r>
      <w:r>
        <w:t xml:space="preserve">percepción en caso de percepción </w:t>
      </w:r>
      <w:r w:rsidR="0078600C">
        <w:t xml:space="preserve">sobre </w:t>
      </w:r>
      <w:r>
        <w:t>la base consiste</w:t>
      </w:r>
      <w:r w:rsidR="00CC4B73">
        <w:t>nte</w:t>
      </w:r>
      <w:r>
        <w:t xml:space="preserve"> </w:t>
      </w:r>
      <w:r w:rsidR="002D329C">
        <w:t>de</w:t>
      </w:r>
      <w:r>
        <w:t xml:space="preserve">l </w:t>
      </w:r>
      <w:r w:rsidR="007C6CBF">
        <w:t>vacío</w:t>
      </w:r>
      <w:r>
        <w:t>…</w:t>
      </w:r>
    </w:p>
    <w:p w14:paraId="77F8ED1C" w14:textId="079D8F85" w:rsidR="00433821" w:rsidRDefault="00433821" w:rsidP="00E212CC">
      <w:pPr>
        <w:pStyle w:val="NormalConSangria"/>
      </w:pPr>
      <w:r>
        <w:t xml:space="preserve">(26) “A través de la contemplación de la impermanencia en caso de percepción de permanencia, (a) </w:t>
      </w:r>
      <w:r w:rsidR="0004381C">
        <w:t xml:space="preserve">el </w:t>
      </w:r>
      <w:r>
        <w:t>abandon</w:t>
      </w:r>
      <w:r w:rsidR="0004381C">
        <w:t>o</w:t>
      </w:r>
      <w:r>
        <w:t xml:space="preserve"> es virtud… (27) A través de la contemplación del dolor en caso de percepción de placer… (28) A través de la contemplación de</w:t>
      </w:r>
      <w:r w:rsidR="0004381C">
        <w:t>l</w:t>
      </w:r>
      <w:r>
        <w:t xml:space="preserve"> no</w:t>
      </w:r>
      <w:r w:rsidR="0081765F">
        <w:t>–</w:t>
      </w:r>
      <w:r w:rsidR="0004381C">
        <w:t>alma</w:t>
      </w:r>
      <w:r>
        <w:t xml:space="preserve"> en caso de percepción de </w:t>
      </w:r>
      <w:r w:rsidR="004F3CC8">
        <w:t>alma</w:t>
      </w:r>
      <w:r>
        <w:t xml:space="preserve">... (29) A través de la contemplación del desapasionamiento en caso de </w:t>
      </w:r>
      <w:r w:rsidR="00600FC4">
        <w:t xml:space="preserve">la </w:t>
      </w:r>
      <w:r>
        <w:t>percepción d</w:t>
      </w:r>
      <w:r w:rsidR="008F5271">
        <w:t>e placer</w:t>
      </w:r>
      <w:r>
        <w:t xml:space="preserve">... (30) A través del </w:t>
      </w:r>
      <w:r w:rsidR="00DC639D">
        <w:t>desvanecimiento</w:t>
      </w:r>
      <w:r>
        <w:t xml:space="preserve"> en caso de codicia... (31) A través de la contemplación de </w:t>
      </w:r>
      <w:r w:rsidR="004F3CC8">
        <w:t xml:space="preserve">la </w:t>
      </w:r>
      <w:r>
        <w:t xml:space="preserve">cesación en caso de </w:t>
      </w:r>
      <w:r w:rsidR="004F3CC8">
        <w:t xml:space="preserve">originación </w:t>
      </w:r>
      <w:r>
        <w:t>... (32) A través de la contemplación de la renuncia</w:t>
      </w:r>
      <w:r w:rsidR="004F3CC8">
        <w:t>ción</w:t>
      </w:r>
      <w:r>
        <w:t xml:space="preserve"> en caso de </w:t>
      </w:r>
      <w:r w:rsidR="009E19CC">
        <w:t>avaricia</w:t>
      </w:r>
      <w:r>
        <w:t>...</w:t>
      </w:r>
    </w:p>
    <w:p w14:paraId="737AA76F" w14:textId="45A1A273" w:rsidR="00192EEE" w:rsidRDefault="00433821" w:rsidP="00E212CC">
      <w:pPr>
        <w:pStyle w:val="NormalConSangria"/>
      </w:pPr>
      <w:r>
        <w:t xml:space="preserve">(33) “A través de la contemplación de la destrucción en caso de </w:t>
      </w:r>
      <w:r w:rsidR="00361030">
        <w:t xml:space="preserve">la </w:t>
      </w:r>
      <w:r>
        <w:t xml:space="preserve">percepción de compacidad, (a) </w:t>
      </w:r>
      <w:r w:rsidR="003E7FF1">
        <w:t xml:space="preserve">el </w:t>
      </w:r>
      <w:r>
        <w:t>abandon</w:t>
      </w:r>
      <w:r w:rsidR="003E7FF1">
        <w:t>o</w:t>
      </w:r>
      <w:r>
        <w:t xml:space="preserve"> es virtud… (34) A través de la contemplación del </w:t>
      </w:r>
      <w:r w:rsidR="003E7FF1">
        <w:t>surgi</w:t>
      </w:r>
      <w:r w:rsidR="00622221">
        <w:t>miento</w:t>
      </w:r>
      <w:r>
        <w:t xml:space="preserve"> [de </w:t>
      </w:r>
      <w:r w:rsidR="00CC4B73">
        <w:t xml:space="preserve">las </w:t>
      </w:r>
      <w:r>
        <w:t xml:space="preserve">formaciones] en caso de </w:t>
      </w:r>
      <w:r w:rsidR="00CC4B73">
        <w:t xml:space="preserve">la </w:t>
      </w:r>
      <w:r>
        <w:t>acumula</w:t>
      </w:r>
      <w:r w:rsidR="003E7FF1">
        <w:t>ción</w:t>
      </w:r>
      <w:r>
        <w:t xml:space="preserve"> [</w:t>
      </w:r>
      <w:proofErr w:type="spellStart"/>
      <w:r w:rsidR="00057BF4" w:rsidRPr="00057BF4">
        <w:rPr>
          <w:i/>
          <w:iCs/>
        </w:rPr>
        <w:t>kamma</w:t>
      </w:r>
      <w:proofErr w:type="spellEnd"/>
      <w:r>
        <w:t xml:space="preserve">]… (35) A través de la contemplación del cambio en </w:t>
      </w:r>
      <w:r w:rsidR="009815F4">
        <w:t xml:space="preserve">el </w:t>
      </w:r>
      <w:r>
        <w:t xml:space="preserve">caso de percepción de </w:t>
      </w:r>
      <w:r w:rsidR="007C432C">
        <w:t>perpetuidad</w:t>
      </w:r>
      <w:r>
        <w:t xml:space="preserve">... (36) A través de la contemplación </w:t>
      </w:r>
      <w:r w:rsidR="00473BA2">
        <w:t xml:space="preserve">de lo </w:t>
      </w:r>
      <w:r>
        <w:t>sin</w:t>
      </w:r>
      <w:r w:rsidR="00473BA2">
        <w:t>–</w:t>
      </w:r>
      <w:r>
        <w:t>signo</w:t>
      </w:r>
      <w:r w:rsidR="000147CE">
        <w:t>s</w:t>
      </w:r>
      <w:r>
        <w:t xml:space="preserve"> en caso de signo</w:t>
      </w:r>
      <w:r w:rsidR="000147CE">
        <w:t>s</w:t>
      </w:r>
      <w:r>
        <w:t>... (37) A través de la contemplación de</w:t>
      </w:r>
      <w:r w:rsidR="0084049A">
        <w:t xml:space="preserve">l no–deseo </w:t>
      </w:r>
      <w:r>
        <w:t xml:space="preserve">en caso </w:t>
      </w:r>
      <w:r w:rsidR="004B5778">
        <w:t xml:space="preserve">de </w:t>
      </w:r>
      <w:r>
        <w:t>deseo... (38) A través de la contemplación de</w:t>
      </w:r>
      <w:r w:rsidR="000147CE">
        <w:t>l</w:t>
      </w:r>
      <w:r>
        <w:t xml:space="preserve"> vacío en caso de mala interpretación (insistencia)... (39) A través de la </w:t>
      </w:r>
      <w:r w:rsidR="0034457A">
        <w:t xml:space="preserve">sabiduría–revelativa respecto a un </w:t>
      </w:r>
      <w:r>
        <w:t xml:space="preserve">estado </w:t>
      </w:r>
      <w:r w:rsidR="00CC5E14">
        <w:t>de</w:t>
      </w:r>
      <w:r>
        <w:t xml:space="preserve"> un </w:t>
      </w:r>
      <w:r w:rsidR="0034457A">
        <w:t>entendimiento</w:t>
      </w:r>
      <w:r>
        <w:t xml:space="preserve"> superior en caso de mala interpretación (insistencia) debido al </w:t>
      </w:r>
      <w:r w:rsidR="000F4755">
        <w:t>apego</w:t>
      </w:r>
      <w:r>
        <w:t xml:space="preserve">... (40) A través del conocimiento y la visión correctos en caso de mala interpretación (insistencia) debido a la confusión... (41) A través de la contemplación del peligro en caso de </w:t>
      </w:r>
      <w:r w:rsidR="00CC5E14">
        <w:t xml:space="preserve">mala interpretación </w:t>
      </w:r>
      <w:r>
        <w:t>(insistencia) debid</w:t>
      </w:r>
      <w:r w:rsidR="009D0A85">
        <w:t>a</w:t>
      </w:r>
      <w:r>
        <w:t xml:space="preserve"> a la confianza en las formaciones... (42) A través de la reflexión en caso de </w:t>
      </w:r>
      <w:r w:rsidR="00AB30FE">
        <w:t>la no</w:t>
      </w:r>
      <w:r w:rsidR="00C53439">
        <w:t>–</w:t>
      </w:r>
      <w:r>
        <w:t>reflexión... (43) A través de la contemplación de</w:t>
      </w:r>
      <w:r w:rsidR="003D7847">
        <w:t>l</w:t>
      </w:r>
      <w:r>
        <w:t xml:space="preserve"> </w:t>
      </w:r>
      <w:r w:rsidR="00F629A0">
        <w:t>distanciamiento</w:t>
      </w:r>
      <w:r>
        <w:t xml:space="preserve"> </w:t>
      </w:r>
      <w:r w:rsidR="003D7847">
        <w:t>e</w:t>
      </w:r>
      <w:r>
        <w:t xml:space="preserve">n caso de </w:t>
      </w:r>
      <w:r w:rsidR="003D7847">
        <w:t xml:space="preserve">mala interpretación </w:t>
      </w:r>
      <w:r>
        <w:t>(insistencia) debido a la esclavitud...</w:t>
      </w:r>
    </w:p>
    <w:p w14:paraId="2245B820" w14:textId="77777777" w:rsidR="00192EEE" w:rsidRDefault="00192EEE">
      <w:pPr>
        <w:tabs>
          <w:tab w:val="clear" w:pos="425"/>
        </w:tabs>
        <w:spacing w:after="160"/>
      </w:pPr>
      <w:r>
        <w:br w:type="page"/>
      </w:r>
    </w:p>
    <w:p w14:paraId="0BCA2742" w14:textId="0DB4F74E" w:rsidR="00FC5C79" w:rsidRDefault="00FC5C79" w:rsidP="00FC5C79">
      <w:pPr>
        <w:pStyle w:val="NormalConSangria"/>
      </w:pPr>
      <w:r>
        <w:lastRenderedPageBreak/>
        <w:t xml:space="preserve">(44) “A través del </w:t>
      </w:r>
      <w:r w:rsidR="003D7847">
        <w:t>sendero</w:t>
      </w:r>
      <w:r>
        <w:t xml:space="preserve"> de la </w:t>
      </w:r>
      <w:r w:rsidR="001C519F" w:rsidRPr="00F1111C">
        <w:t>en</w:t>
      </w:r>
      <w:r w:rsidR="001C519F">
        <w:t>trada</w:t>
      </w:r>
      <w:r w:rsidR="001C519F">
        <w:rPr>
          <w:rFonts w:cs="Cormorant"/>
        </w:rPr>
        <w:t>‒</w:t>
      </w:r>
      <w:r w:rsidR="001C519F">
        <w:t>a</w:t>
      </w:r>
      <w:r w:rsidR="001C519F">
        <w:rPr>
          <w:rFonts w:cs="Cormorant"/>
        </w:rPr>
        <w:t>‒</w:t>
      </w:r>
      <w:r w:rsidR="001C519F">
        <w:t>la</w:t>
      </w:r>
      <w:r w:rsidR="001C519F">
        <w:rPr>
          <w:rFonts w:cs="Cormorant"/>
        </w:rPr>
        <w:t>‒</w:t>
      </w:r>
      <w:r w:rsidR="001C519F">
        <w:t>corriente</w:t>
      </w:r>
      <w:r w:rsidR="001C519F" w:rsidRPr="00F1111C">
        <w:t xml:space="preserve"> </w:t>
      </w:r>
      <w:r>
        <w:t xml:space="preserve">en caso de </w:t>
      </w:r>
      <w:r w:rsidR="004D57F0">
        <w:t>factores impuros</w:t>
      </w:r>
      <w:r>
        <w:t xml:space="preserve"> </w:t>
      </w:r>
      <w:r w:rsidR="00A9576B">
        <w:t xml:space="preserve">debido a una </w:t>
      </w:r>
      <w:r>
        <w:t xml:space="preserve">visión </w:t>
      </w:r>
      <w:r w:rsidR="008A21D5">
        <w:t>incorrecta</w:t>
      </w:r>
      <w:r>
        <w:t xml:space="preserve">, (a) el abandono es virtud… (45) A través del </w:t>
      </w:r>
      <w:r w:rsidR="008A21D5">
        <w:t xml:space="preserve">sendero </w:t>
      </w:r>
      <w:r>
        <w:t xml:space="preserve">del </w:t>
      </w:r>
      <w:r w:rsidR="00775CED" w:rsidRPr="004C5265">
        <w:t>re</w:t>
      </w:r>
      <w:r w:rsidR="00775CED">
        <w:t xml:space="preserve">tornante–por–única–vez </w:t>
      </w:r>
      <w:r>
        <w:t xml:space="preserve">en caso de impurezas </w:t>
      </w:r>
      <w:r w:rsidR="001B03E0">
        <w:t>densas</w:t>
      </w:r>
      <w:r>
        <w:t xml:space="preserve">… (46) A través del </w:t>
      </w:r>
      <w:r w:rsidR="008A21D5">
        <w:t xml:space="preserve">sendero </w:t>
      </w:r>
      <w:r>
        <w:t>del no</w:t>
      </w:r>
      <w:r w:rsidR="005E7DF9">
        <w:t>–</w:t>
      </w:r>
      <w:r>
        <w:t>retorn</w:t>
      </w:r>
      <w:r w:rsidR="008A21D5">
        <w:t>ante</w:t>
      </w:r>
      <w:r>
        <w:t xml:space="preserve"> en caso de impurezas residuales... (47) A través del </w:t>
      </w:r>
      <w:r w:rsidR="00617B95">
        <w:t xml:space="preserve">sendero </w:t>
      </w:r>
      <w:r>
        <w:t xml:space="preserve">del </w:t>
      </w:r>
      <w:r w:rsidR="006C55DF">
        <w:t xml:space="preserve">estado de </w:t>
      </w:r>
      <w:r w:rsidR="00057BF4" w:rsidRPr="00057BF4">
        <w:rPr>
          <w:i/>
          <w:iCs/>
        </w:rPr>
        <w:t>Arahant</w:t>
      </w:r>
      <w:r>
        <w:t xml:space="preserve"> en caso de todas las impurezas, (a) el abandono es virtud, (b) la abstención es virtud, (c) la volición es virtud, (d) la </w:t>
      </w:r>
      <w:r w:rsidR="006D598B">
        <w:t>restricción</w:t>
      </w:r>
      <w:r>
        <w:t xml:space="preserve"> es virtud, (e) la no</w:t>
      </w:r>
      <w:r w:rsidR="00617B95">
        <w:t>-</w:t>
      </w:r>
      <w:r>
        <w:t>transgresión es virtud.</w:t>
      </w:r>
    </w:p>
    <w:p w14:paraId="6550BD48" w14:textId="22685ACC" w:rsidR="00FC5C79" w:rsidRDefault="00FC5C79" w:rsidP="00FC5C79">
      <w:pPr>
        <w:pStyle w:val="NormalConSangria"/>
      </w:pPr>
      <w:r>
        <w:t>“Tales virtudes conducen al no</w:t>
      </w:r>
      <w:r w:rsidR="00617B95">
        <w:t>-</w:t>
      </w:r>
      <w:r>
        <w:t xml:space="preserve">remordimiento </w:t>
      </w:r>
      <w:r w:rsidR="00617B95">
        <w:t>de</w:t>
      </w:r>
      <w:r>
        <w:t xml:space="preserve"> la mente, a</w:t>
      </w:r>
      <w:r w:rsidR="00264459">
        <w:t xml:space="preserve"> </w:t>
      </w:r>
      <w:r>
        <w:t>l</w:t>
      </w:r>
      <w:r w:rsidR="00264459">
        <w:t>a</w:t>
      </w:r>
      <w:r>
        <w:t xml:space="preserve"> </w:t>
      </w:r>
      <w:r w:rsidR="00264459">
        <w:t>dicha</w:t>
      </w:r>
      <w:r>
        <w:t>, a la felicidad, a la tranquilidad, al gozo, a la repetición, al desarrollo, al cultivo, al embellecimiento, al requisito [</w:t>
      </w:r>
      <w:r w:rsidR="00A822A5">
        <w:t>de</w:t>
      </w:r>
      <w:r>
        <w:t xml:space="preserve"> la concentración], al equipamiento [de la concentración], a la </w:t>
      </w:r>
      <w:r w:rsidR="00617B95">
        <w:t>consumación</w:t>
      </w:r>
      <w:r>
        <w:t>, al completo desapego, a</w:t>
      </w:r>
      <w:r w:rsidR="00A822A5">
        <w:t xml:space="preserve"> </w:t>
      </w:r>
      <w:r>
        <w:t>l</w:t>
      </w:r>
      <w:r w:rsidR="00A822A5">
        <w:t>a</w:t>
      </w:r>
      <w:r>
        <w:t xml:space="preserve"> </w:t>
      </w:r>
      <w:r w:rsidR="00A822A5">
        <w:t>desaparición</w:t>
      </w:r>
      <w:r>
        <w:t xml:space="preserve">, a la cesación, a la paz, al conocimiento directo, a la iluminación, al </w:t>
      </w:r>
      <w:r w:rsidRPr="00CD6A75">
        <w:rPr>
          <w:i/>
          <w:iCs/>
        </w:rPr>
        <w:t>Nibbāna</w:t>
      </w:r>
      <w:r w:rsidR="00C228CD">
        <w:rPr>
          <w:vertAlign w:val="superscript"/>
        </w:rPr>
        <w:t>38</w:t>
      </w:r>
      <w:r>
        <w:t>.” (</w:t>
      </w:r>
      <w:proofErr w:type="spellStart"/>
      <w:r w:rsidRPr="00F46FE1">
        <w:rPr>
          <w:i/>
          <w:iCs/>
        </w:rPr>
        <w:t>Pa</w:t>
      </w:r>
      <w:r w:rsidR="00F46FE1" w:rsidRPr="00F46FE1">
        <w:rPr>
          <w:i/>
          <w:iCs/>
        </w:rPr>
        <w:t>ṭi</w:t>
      </w:r>
      <w:r w:rsidRPr="00F46FE1">
        <w:rPr>
          <w:i/>
          <w:iCs/>
        </w:rPr>
        <w:t>s</w:t>
      </w:r>
      <w:proofErr w:type="spellEnd"/>
      <w:r>
        <w:t xml:space="preserve"> I 46–47)</w:t>
      </w:r>
    </w:p>
    <w:p w14:paraId="657A56BC" w14:textId="0F018C78" w:rsidR="00FC5C79" w:rsidRDefault="00FC5C79" w:rsidP="00FC5C79">
      <w:r>
        <w:t xml:space="preserve">141. </w:t>
      </w:r>
      <w:r w:rsidR="0014031D">
        <w:tab/>
      </w:r>
      <w:r>
        <w:t xml:space="preserve">Y </w:t>
      </w:r>
      <w:r w:rsidR="002F1706">
        <w:t>al respecto</w:t>
      </w:r>
      <w:r>
        <w:t xml:space="preserve"> no </w:t>
      </w:r>
      <w:r w:rsidR="00F258A6">
        <w:t>existe</w:t>
      </w:r>
      <w:r>
        <w:t xml:space="preserve"> </w:t>
      </w:r>
      <w:r w:rsidR="00F6359A">
        <w:t xml:space="preserve">otro </w:t>
      </w:r>
      <w:r>
        <w:t xml:space="preserve">estado </w:t>
      </w:r>
      <w:r w:rsidR="00F258A6">
        <w:t>llamado</w:t>
      </w:r>
      <w:r>
        <w:t xml:space="preserve"> abandono </w:t>
      </w:r>
      <w:r w:rsidR="00F6359A">
        <w:t xml:space="preserve">sino </w:t>
      </w:r>
      <w:r>
        <w:t>el mero no surgi</w:t>
      </w:r>
      <w:r w:rsidR="002F1706">
        <w:t>miento</w:t>
      </w:r>
      <w:r>
        <w:t xml:space="preserve"> de la matanza de seres vivos, etc., </w:t>
      </w:r>
      <w:r w:rsidR="00F258A6">
        <w:t xml:space="preserve">tal </w:t>
      </w:r>
      <w:r>
        <w:t xml:space="preserve">como se </w:t>
      </w:r>
      <w:r w:rsidR="00F6359A">
        <w:t xml:space="preserve">ha </w:t>
      </w:r>
      <w:r w:rsidR="00F17A50">
        <w:t>establecido</w:t>
      </w:r>
      <w:r>
        <w:t xml:space="preserve">. </w:t>
      </w:r>
      <w:r w:rsidR="00A53A54">
        <w:t xml:space="preserve">No obstante, </w:t>
      </w:r>
      <w:r>
        <w:t xml:space="preserve">el abandono de un [estado improductivo] dado sostiene [51] un estado </w:t>
      </w:r>
      <w:r w:rsidR="000A07A0">
        <w:t>productivo</w:t>
      </w:r>
      <w:r>
        <w:t xml:space="preserve"> dado en el sentido de proporcionarle una base, y lo concentra evitando vacilaciones, </w:t>
      </w:r>
      <w:r w:rsidR="00F55DD4">
        <w:t xml:space="preserve">motivo </w:t>
      </w:r>
      <w:r>
        <w:t xml:space="preserve">por </w:t>
      </w:r>
      <w:r w:rsidR="00F55DD4">
        <w:t xml:space="preserve">el cual </w:t>
      </w:r>
      <w:r>
        <w:t xml:space="preserve">se </w:t>
      </w:r>
      <w:r w:rsidR="00D9290A">
        <w:t xml:space="preserve">le </w:t>
      </w:r>
      <w:r>
        <w:t>llama "virtud" (</w:t>
      </w:r>
      <w:r w:rsidRPr="00CD6A75">
        <w:rPr>
          <w:i/>
          <w:iCs/>
        </w:rPr>
        <w:t>sīla</w:t>
      </w:r>
      <w:r>
        <w:t>) en el sentido de componer (</w:t>
      </w:r>
      <w:proofErr w:type="spellStart"/>
      <w:r w:rsidRPr="00CD6A75">
        <w:rPr>
          <w:i/>
          <w:iCs/>
        </w:rPr>
        <w:t>sīlana</w:t>
      </w:r>
      <w:proofErr w:type="spellEnd"/>
      <w:r>
        <w:t>), considerado como sustentador y concentrador</w:t>
      </w:r>
      <w:r w:rsidR="00D9290A">
        <w:t>,</w:t>
      </w:r>
      <w:r>
        <w:t xml:space="preserve"> </w:t>
      </w:r>
      <w:r w:rsidR="00856273">
        <w:t xml:space="preserve">tal </w:t>
      </w:r>
      <w:r>
        <w:t>como se indic</w:t>
      </w:r>
      <w:r w:rsidR="00D9290A">
        <w:t>ó</w:t>
      </w:r>
      <w:r>
        <w:t xml:space="preserve"> anteriormente (§19).</w:t>
      </w:r>
    </w:p>
    <w:p w14:paraId="215E5380" w14:textId="78FB140F" w:rsidR="00FC5C79" w:rsidRDefault="00FC5C79" w:rsidP="00FC5C79">
      <w:pPr>
        <w:pStyle w:val="NormalConSangria"/>
      </w:pPr>
      <w:r>
        <w:t>Las otras cuatro cosas mencionadas se refieren a la presencia</w:t>
      </w:r>
      <w:r w:rsidR="00745C7F">
        <w:rPr>
          <w:vertAlign w:val="superscript"/>
        </w:rPr>
        <w:t>39</w:t>
      </w:r>
      <w:r>
        <w:t xml:space="preserve"> de </w:t>
      </w:r>
      <w:r w:rsidR="00856273">
        <w:t xml:space="preserve">la </w:t>
      </w:r>
      <w:r>
        <w:t>ocurrencia de la voluntad como abstención de tal o cual, como restricción de tal o cual, como volición asociada con ambos, y como no</w:t>
      </w:r>
      <w:r w:rsidR="00856273">
        <w:t>-</w:t>
      </w:r>
      <w:r>
        <w:t>transgresión en quien no transgred</w:t>
      </w:r>
      <w:r w:rsidR="00856273">
        <w:t>a</w:t>
      </w:r>
      <w:r>
        <w:t xml:space="preserve"> tal o cual. </w:t>
      </w:r>
      <w:r w:rsidR="00856273">
        <w:t xml:space="preserve">No obstante, </w:t>
      </w:r>
      <w:r w:rsidR="00857316">
        <w:t>s</w:t>
      </w:r>
      <w:r>
        <w:t>u</w:t>
      </w:r>
      <w:r w:rsidR="00857316">
        <w:t>s</w:t>
      </w:r>
      <w:r>
        <w:t xml:space="preserve"> significado</w:t>
      </w:r>
      <w:r w:rsidR="00857316">
        <w:t>s</w:t>
      </w:r>
      <w:r>
        <w:t xml:space="preserve"> de virtud ya ha</w:t>
      </w:r>
      <w:r w:rsidR="00857316">
        <w:t>n</w:t>
      </w:r>
      <w:r>
        <w:t xml:space="preserve"> sido explicado</w:t>
      </w:r>
      <w:r w:rsidR="00B635CB">
        <w:t>s</w:t>
      </w:r>
      <w:r>
        <w:t>.</w:t>
      </w:r>
    </w:p>
    <w:p w14:paraId="3AB609E0" w14:textId="533D787D" w:rsidR="00FC5C79" w:rsidRDefault="00FC5C79" w:rsidP="00FC5C79">
      <w:pPr>
        <w:pStyle w:val="NormalConSangria"/>
      </w:pPr>
      <w:r>
        <w:t xml:space="preserve">Así es </w:t>
      </w:r>
      <w:r w:rsidR="00857316">
        <w:t xml:space="preserve">la virtud </w:t>
      </w:r>
      <w:r>
        <w:t>de cinco clases como “virtud consiste</w:t>
      </w:r>
      <w:r w:rsidR="00857316">
        <w:t>nte del</w:t>
      </w:r>
      <w:r>
        <w:t xml:space="preserve"> abandon</w:t>
      </w:r>
      <w:r w:rsidR="00857316">
        <w:t>o… etc.</w:t>
      </w:r>
      <w:r>
        <w:t>”.</w:t>
      </w:r>
    </w:p>
    <w:p w14:paraId="74A5AEF0" w14:textId="4EE79C18" w:rsidR="00FC5C79" w:rsidRDefault="00FC5C79" w:rsidP="00FC5C79">
      <w:r>
        <w:t xml:space="preserve">142. </w:t>
      </w:r>
      <w:r w:rsidR="0014031D">
        <w:tab/>
      </w:r>
      <w:r w:rsidR="00C008B6">
        <w:t>Respecto a</w:t>
      </w:r>
      <w:r>
        <w:t xml:space="preserve"> las respuestas </w:t>
      </w:r>
      <w:r w:rsidR="00C008B6">
        <w:t>de</w:t>
      </w:r>
      <w:r>
        <w:t xml:space="preserve"> las preguntas, “¿Qué es virtud? ¿En qué sentido es virtud? ¿Cuáles son sus características, función, manifestación y causa próxima? ¿Cuáles son los beneficios de la virtud? ¿Cuántas clases de virtudes hay?” </w:t>
      </w:r>
      <w:r w:rsidR="00C008B6">
        <w:t xml:space="preserve">éstas </w:t>
      </w:r>
      <w:r w:rsidR="00857316">
        <w:t>han sido respondidas</w:t>
      </w:r>
      <w:r>
        <w:t>.</w:t>
      </w:r>
    </w:p>
    <w:p w14:paraId="133521DB" w14:textId="0BE2DCCB" w:rsidR="00FC5C79" w:rsidRPr="00FC5C79" w:rsidRDefault="00FC5C79" w:rsidP="00FC5C79">
      <w:pPr>
        <w:rPr>
          <w:rStyle w:val="Ttulo4Car"/>
        </w:rPr>
      </w:pPr>
      <w:r>
        <w:t xml:space="preserve">143. </w:t>
      </w:r>
      <w:r w:rsidR="002F4778">
        <w:tab/>
      </w:r>
      <w:r>
        <w:t xml:space="preserve">Sin embargo, también se preguntó (vi) </w:t>
      </w:r>
      <w:r w:rsidRPr="00FC5C79">
        <w:rPr>
          <w:rStyle w:val="Ttulo4Car"/>
        </w:rPr>
        <w:t xml:space="preserve">¿Cuáles </w:t>
      </w:r>
      <w:r>
        <w:rPr>
          <w:rStyle w:val="Ttulo4Car"/>
        </w:rPr>
        <w:t xml:space="preserve">son </w:t>
      </w:r>
      <w:r w:rsidR="00857316">
        <w:rPr>
          <w:rStyle w:val="Ttulo4Car"/>
        </w:rPr>
        <w:t xml:space="preserve">sus </w:t>
      </w:r>
      <w:r>
        <w:rPr>
          <w:rStyle w:val="Ttulo4Car"/>
        </w:rPr>
        <w:t>Contaminaciones</w:t>
      </w:r>
      <w:r w:rsidRPr="00FC5C79">
        <w:rPr>
          <w:rStyle w:val="Ttulo4Car"/>
        </w:rPr>
        <w:t xml:space="preserve">? ¿y </w:t>
      </w:r>
      <w:r>
        <w:rPr>
          <w:rStyle w:val="Ttulo4Car"/>
        </w:rPr>
        <w:t>Cuál</w:t>
      </w:r>
      <w:r w:rsidR="003B3C5E">
        <w:rPr>
          <w:rStyle w:val="Ttulo4Car"/>
        </w:rPr>
        <w:t>es</w:t>
      </w:r>
      <w:r w:rsidRPr="00FC5C79">
        <w:rPr>
          <w:rStyle w:val="Ttulo4Car"/>
        </w:rPr>
        <w:t xml:space="preserve"> </w:t>
      </w:r>
      <w:r>
        <w:rPr>
          <w:rStyle w:val="Ttulo4Car"/>
        </w:rPr>
        <w:t>su</w:t>
      </w:r>
      <w:r w:rsidR="00857316">
        <w:rPr>
          <w:rStyle w:val="Ttulo4Car"/>
        </w:rPr>
        <w:t>s</w:t>
      </w:r>
      <w:r w:rsidRPr="00FC5C79">
        <w:rPr>
          <w:rStyle w:val="Ttulo4Car"/>
        </w:rPr>
        <w:t xml:space="preserve"> </w:t>
      </w:r>
      <w:r>
        <w:rPr>
          <w:rStyle w:val="Ttulo4Car"/>
        </w:rPr>
        <w:t>Purifica</w:t>
      </w:r>
      <w:r w:rsidR="00857316">
        <w:rPr>
          <w:rStyle w:val="Ttulo4Car"/>
        </w:rPr>
        <w:t>dores</w:t>
      </w:r>
      <w:r w:rsidRPr="00FC5C79">
        <w:rPr>
          <w:rStyle w:val="Ttulo4Car"/>
        </w:rPr>
        <w:t>?</w:t>
      </w:r>
    </w:p>
    <w:p w14:paraId="78607AFD" w14:textId="0A3EC896" w:rsidR="00FC5C79" w:rsidRDefault="00FC5C79" w:rsidP="00F27062">
      <w:pPr>
        <w:pStyle w:val="NormalConSangria"/>
      </w:pPr>
      <w:r>
        <w:t>Responde</w:t>
      </w:r>
      <w:r w:rsidR="00857316">
        <w:t>re</w:t>
      </w:r>
      <w:r>
        <w:t xml:space="preserve">mos que el </w:t>
      </w:r>
      <w:r w:rsidR="00A92151" w:rsidRPr="00A92151">
        <w:t xml:space="preserve">desgarramiento </w:t>
      </w:r>
      <w:r>
        <w:t xml:space="preserve">de la virtud, etc., </w:t>
      </w:r>
      <w:r w:rsidR="00D609EE">
        <w:t>corresponderá a</w:t>
      </w:r>
      <w:r>
        <w:t xml:space="preserve"> su contaminación, y que su </w:t>
      </w:r>
      <w:r w:rsidR="008B5D5E">
        <w:t>reparación</w:t>
      </w:r>
      <w:r>
        <w:t xml:space="preserve">, etc., </w:t>
      </w:r>
      <w:r w:rsidR="00D609EE">
        <w:t>a</w:t>
      </w:r>
      <w:r>
        <w:t xml:space="preserve"> su </w:t>
      </w:r>
      <w:r w:rsidR="00774815">
        <w:t>purificador</w:t>
      </w:r>
      <w:r>
        <w:t>. Ahora bien, ese desgarramiento, etc., están comprendidos bajo la ruptura que ten</w:t>
      </w:r>
      <w:r w:rsidR="008A049F">
        <w:t>ga</w:t>
      </w:r>
      <w:r>
        <w:t xml:space="preserve"> como causa la ganancia, la fama, etc., y bajo las siete ataduras de la sexualidad. Cuando un hombre ha</w:t>
      </w:r>
      <w:r w:rsidR="00C66D00">
        <w:t>ya</w:t>
      </w:r>
      <w:r>
        <w:t xml:space="preserve"> quebrantado el curso de entrenamiento al principio</w:t>
      </w:r>
      <w:r w:rsidR="003A20EF">
        <w:t>,</w:t>
      </w:r>
      <w:r>
        <w:t xml:space="preserve"> al final </w:t>
      </w:r>
      <w:r w:rsidR="003A20EF">
        <w:t xml:space="preserve">o </w:t>
      </w:r>
      <w:r>
        <w:t>en cualquier instancia de las siete clases de ofensas,</w:t>
      </w:r>
      <w:r w:rsidR="00563F75">
        <w:rPr>
          <w:vertAlign w:val="superscript"/>
        </w:rPr>
        <w:t>40</w:t>
      </w:r>
      <w:r>
        <w:t xml:space="preserve"> </w:t>
      </w:r>
      <w:r w:rsidR="003A20EF">
        <w:t xml:space="preserve">a </w:t>
      </w:r>
      <w:r>
        <w:t xml:space="preserve">su virtud se </w:t>
      </w:r>
      <w:r w:rsidR="008A049F">
        <w:t>le designa como</w:t>
      </w:r>
      <w:r>
        <w:t xml:space="preserve"> </w:t>
      </w:r>
      <w:r w:rsidR="008A049F">
        <w:t>desgarrada</w:t>
      </w:r>
      <w:r>
        <w:t xml:space="preserve">, como una tela que se </w:t>
      </w:r>
      <w:r w:rsidR="008A049F">
        <w:t>romp</w:t>
      </w:r>
      <w:r w:rsidR="00C66D00">
        <w:t>a</w:t>
      </w:r>
      <w:r>
        <w:t xml:space="preserve"> </w:t>
      </w:r>
      <w:r w:rsidR="008A049F">
        <w:t>por</w:t>
      </w:r>
      <w:r>
        <w:t xml:space="preserve"> </w:t>
      </w:r>
      <w:r w:rsidR="003A20EF">
        <w:t>un</w:t>
      </w:r>
      <w:r>
        <w:t xml:space="preserve"> borde. Pero cuando la ha</w:t>
      </w:r>
      <w:r w:rsidR="00DE4173">
        <w:t>ya</w:t>
      </w:r>
      <w:r>
        <w:t xml:space="preserve"> </w:t>
      </w:r>
      <w:r w:rsidR="00785102">
        <w:t>roto</w:t>
      </w:r>
      <w:r>
        <w:t xml:space="preserve"> </w:t>
      </w:r>
      <w:r w:rsidR="00785102">
        <w:t xml:space="preserve">en </w:t>
      </w:r>
      <w:r w:rsidR="00C66D00">
        <w:t xml:space="preserve">el </w:t>
      </w:r>
      <w:r w:rsidR="00785102">
        <w:t>medio</w:t>
      </w:r>
      <w:r>
        <w:t>, se llama</w:t>
      </w:r>
      <w:r w:rsidR="00DE4173">
        <w:t>rá</w:t>
      </w:r>
    </w:p>
    <w:p w14:paraId="285B311A" w14:textId="77777777" w:rsidR="00FC5C79" w:rsidRPr="00D16BF7" w:rsidRDefault="00FC5C79" w:rsidP="00FC5C79">
      <w:pPr>
        <w:pStyle w:val="PiedepginaLegal"/>
        <w:rPr>
          <w:sz w:val="12"/>
          <w:szCs w:val="20"/>
          <w:u w:val="single"/>
        </w:rPr>
      </w:pPr>
      <w:r w:rsidRPr="00D16BF7">
        <w:rPr>
          <w:sz w:val="12"/>
          <w:szCs w:val="20"/>
          <w:u w:val="single"/>
        </w:rPr>
        <w:t xml:space="preserve">                                                                                                                                                            .</w:t>
      </w:r>
    </w:p>
    <w:p w14:paraId="4D776938" w14:textId="2DCDA894" w:rsidR="00FC5C79" w:rsidRPr="00D16BF7" w:rsidRDefault="00FC5C79" w:rsidP="00FC5C79">
      <w:pPr>
        <w:pStyle w:val="PiedepginaLegal"/>
        <w:rPr>
          <w:sz w:val="12"/>
          <w:szCs w:val="20"/>
        </w:rPr>
      </w:pPr>
      <w:r w:rsidRPr="00D16BF7">
        <w:rPr>
          <w:sz w:val="12"/>
          <w:szCs w:val="20"/>
        </w:rPr>
        <w:t xml:space="preserve">38. </w:t>
      </w:r>
      <w:r w:rsidRPr="00D16BF7">
        <w:rPr>
          <w:sz w:val="12"/>
          <w:szCs w:val="20"/>
        </w:rPr>
        <w:tab/>
        <w:t>Esta lista describe, en términos de abandono, etc., las etapas en el progreso normal de</w:t>
      </w:r>
      <w:r w:rsidR="00632903" w:rsidRPr="00D16BF7">
        <w:rPr>
          <w:sz w:val="12"/>
          <w:szCs w:val="20"/>
        </w:rPr>
        <w:t>sde</w:t>
      </w:r>
      <w:r w:rsidRPr="00D16BF7">
        <w:rPr>
          <w:sz w:val="12"/>
          <w:szCs w:val="20"/>
        </w:rPr>
        <w:t xml:space="preserve"> la ignorancia </w:t>
      </w:r>
      <w:r w:rsidR="00632903" w:rsidRPr="00D16BF7">
        <w:rPr>
          <w:sz w:val="12"/>
          <w:szCs w:val="20"/>
        </w:rPr>
        <w:t>hasta e</w:t>
      </w:r>
      <w:r w:rsidRPr="00D16BF7">
        <w:rPr>
          <w:sz w:val="12"/>
          <w:szCs w:val="20"/>
        </w:rPr>
        <w:t xml:space="preserve">l estado de </w:t>
      </w:r>
      <w:r w:rsidR="00057BF4" w:rsidRPr="00D16BF7">
        <w:rPr>
          <w:i/>
          <w:sz w:val="12"/>
          <w:szCs w:val="20"/>
        </w:rPr>
        <w:t>Arahant</w:t>
      </w:r>
      <w:r w:rsidRPr="00D16BF7">
        <w:rPr>
          <w:sz w:val="12"/>
          <w:szCs w:val="20"/>
        </w:rPr>
        <w:t xml:space="preserve">, y se divide en los siguientes grupos: I. </w:t>
      </w:r>
      <w:r w:rsidRPr="00D16BF7">
        <w:rPr>
          <w:i/>
          <w:iCs/>
          <w:sz w:val="12"/>
          <w:szCs w:val="20"/>
        </w:rPr>
        <w:t>Virtud</w:t>
      </w:r>
      <w:r w:rsidRPr="00D16BF7">
        <w:rPr>
          <w:sz w:val="12"/>
          <w:szCs w:val="20"/>
        </w:rPr>
        <w:t xml:space="preserve">: el abandono de los diez cursos de acción no </w:t>
      </w:r>
      <w:r w:rsidR="00B53FA1" w:rsidRPr="00D16BF7">
        <w:rPr>
          <w:sz w:val="12"/>
          <w:szCs w:val="20"/>
        </w:rPr>
        <w:t>productiva</w:t>
      </w:r>
      <w:r w:rsidRPr="00D16BF7">
        <w:rPr>
          <w:sz w:val="12"/>
          <w:szCs w:val="20"/>
        </w:rPr>
        <w:t xml:space="preserve"> (1–</w:t>
      </w:r>
      <w:proofErr w:type="gramStart"/>
      <w:r w:rsidRPr="00D16BF7">
        <w:rPr>
          <w:sz w:val="12"/>
          <w:szCs w:val="20"/>
        </w:rPr>
        <w:t>10 )</w:t>
      </w:r>
      <w:proofErr w:type="gramEnd"/>
      <w:r w:rsidRPr="00D16BF7">
        <w:rPr>
          <w:sz w:val="12"/>
          <w:szCs w:val="20"/>
        </w:rPr>
        <w:t xml:space="preserve">. II. </w:t>
      </w:r>
      <w:r w:rsidRPr="00D16BF7">
        <w:rPr>
          <w:i/>
          <w:iCs/>
          <w:sz w:val="12"/>
          <w:szCs w:val="20"/>
        </w:rPr>
        <w:t>Concentración</w:t>
      </w:r>
      <w:r w:rsidRPr="00D16BF7">
        <w:rPr>
          <w:sz w:val="12"/>
          <w:szCs w:val="20"/>
        </w:rPr>
        <w:t xml:space="preserve">: A. abandona los siete obstáculos a la concentración por medio de sus </w:t>
      </w:r>
      <w:r w:rsidR="00191C3F" w:rsidRPr="00D16BF7">
        <w:rPr>
          <w:sz w:val="12"/>
          <w:szCs w:val="20"/>
        </w:rPr>
        <w:t>oponentes</w:t>
      </w:r>
      <w:r w:rsidRPr="00D16BF7">
        <w:rPr>
          <w:sz w:val="12"/>
          <w:szCs w:val="20"/>
        </w:rPr>
        <w:t xml:space="preserve"> (11–17); B. Los ocho logros de la concentración y lo que se abandona en cada uno (18–25). tercero </w:t>
      </w:r>
      <w:r w:rsidR="00191C3F" w:rsidRPr="00D16BF7">
        <w:rPr>
          <w:i/>
          <w:iCs/>
          <w:sz w:val="12"/>
          <w:szCs w:val="20"/>
        </w:rPr>
        <w:t>Entendimiento</w:t>
      </w:r>
      <w:r w:rsidRPr="00D16BF7">
        <w:rPr>
          <w:sz w:val="12"/>
          <w:szCs w:val="20"/>
        </w:rPr>
        <w:t xml:space="preserve">: A. </w:t>
      </w:r>
      <w:r w:rsidR="00875E3A" w:rsidRPr="00875E3A">
        <w:rPr>
          <w:sz w:val="12"/>
          <w:szCs w:val="20"/>
        </w:rPr>
        <w:t>Sabiduría–revelativa</w:t>
      </w:r>
      <w:r w:rsidRPr="00D16BF7">
        <w:rPr>
          <w:sz w:val="12"/>
          <w:szCs w:val="20"/>
        </w:rPr>
        <w:t xml:space="preserve">: las </w:t>
      </w:r>
      <w:r w:rsidR="00875E3A">
        <w:rPr>
          <w:sz w:val="12"/>
          <w:szCs w:val="20"/>
        </w:rPr>
        <w:t>18</w:t>
      </w:r>
      <w:r w:rsidRPr="00D16BF7">
        <w:rPr>
          <w:sz w:val="12"/>
          <w:szCs w:val="20"/>
        </w:rPr>
        <w:t xml:space="preserve"> </w:t>
      </w:r>
      <w:r w:rsidR="00525022" w:rsidRPr="00D16BF7">
        <w:rPr>
          <w:sz w:val="12"/>
          <w:szCs w:val="20"/>
        </w:rPr>
        <w:t xml:space="preserve">sabidurías </w:t>
      </w:r>
      <w:r w:rsidRPr="00D16BF7">
        <w:rPr>
          <w:sz w:val="12"/>
          <w:szCs w:val="20"/>
        </w:rPr>
        <w:t xml:space="preserve">principales que comienzan con las </w:t>
      </w:r>
      <w:r w:rsidR="00875E3A">
        <w:rPr>
          <w:sz w:val="12"/>
          <w:szCs w:val="20"/>
        </w:rPr>
        <w:t>7</w:t>
      </w:r>
      <w:r w:rsidRPr="00D16BF7">
        <w:rPr>
          <w:sz w:val="12"/>
          <w:szCs w:val="20"/>
        </w:rPr>
        <w:t xml:space="preserve"> contemplaciones (26–43). B. </w:t>
      </w:r>
      <w:r w:rsidR="00525022" w:rsidRPr="00D16BF7">
        <w:rPr>
          <w:sz w:val="12"/>
          <w:szCs w:val="20"/>
        </w:rPr>
        <w:t>Senderos</w:t>
      </w:r>
      <w:r w:rsidRPr="00D16BF7">
        <w:rPr>
          <w:sz w:val="12"/>
          <w:szCs w:val="20"/>
        </w:rPr>
        <w:t xml:space="preserve">: Los </w:t>
      </w:r>
      <w:r w:rsidR="00875E3A">
        <w:rPr>
          <w:sz w:val="12"/>
          <w:szCs w:val="20"/>
        </w:rPr>
        <w:t>4</w:t>
      </w:r>
      <w:r w:rsidRPr="00D16BF7">
        <w:rPr>
          <w:sz w:val="12"/>
          <w:szCs w:val="20"/>
        </w:rPr>
        <w:t xml:space="preserve"> </w:t>
      </w:r>
      <w:r w:rsidR="00525022" w:rsidRPr="00D16BF7">
        <w:rPr>
          <w:sz w:val="12"/>
          <w:szCs w:val="20"/>
        </w:rPr>
        <w:t xml:space="preserve">senderos </w:t>
      </w:r>
      <w:r w:rsidRPr="00D16BF7">
        <w:rPr>
          <w:sz w:val="12"/>
          <w:szCs w:val="20"/>
        </w:rPr>
        <w:t>y lo que abandon</w:t>
      </w:r>
      <w:r w:rsidR="00875E3A">
        <w:rPr>
          <w:sz w:val="12"/>
          <w:szCs w:val="20"/>
        </w:rPr>
        <w:t>e</w:t>
      </w:r>
      <w:r w:rsidRPr="00D16BF7">
        <w:rPr>
          <w:sz w:val="12"/>
          <w:szCs w:val="20"/>
        </w:rPr>
        <w:t xml:space="preserve"> cada uno (44–47).</w:t>
      </w:r>
    </w:p>
    <w:p w14:paraId="790C5AB6" w14:textId="182D1E41" w:rsidR="00FC5C79" w:rsidRPr="00D16BF7" w:rsidRDefault="00FC5C79" w:rsidP="00FC5C79">
      <w:pPr>
        <w:pStyle w:val="PiedepginaLegal"/>
        <w:rPr>
          <w:sz w:val="12"/>
          <w:szCs w:val="20"/>
        </w:rPr>
      </w:pPr>
      <w:r w:rsidRPr="00D16BF7">
        <w:rPr>
          <w:sz w:val="12"/>
          <w:szCs w:val="20"/>
        </w:rPr>
        <w:t xml:space="preserve"> 39. </w:t>
      </w:r>
      <w:r w:rsidR="00D16BF7">
        <w:rPr>
          <w:sz w:val="12"/>
          <w:szCs w:val="20"/>
        </w:rPr>
        <w:tab/>
      </w:r>
      <w:proofErr w:type="spellStart"/>
      <w:r w:rsidRPr="00D16BF7">
        <w:rPr>
          <w:i/>
          <w:iCs/>
          <w:sz w:val="12"/>
          <w:szCs w:val="20"/>
        </w:rPr>
        <w:t>Sabbhāva</w:t>
      </w:r>
      <w:proofErr w:type="spellEnd"/>
      <w:r w:rsidRPr="00D16BF7">
        <w:rPr>
          <w:sz w:val="12"/>
          <w:szCs w:val="20"/>
        </w:rPr>
        <w:t xml:space="preserve">— “presencia” (= </w:t>
      </w:r>
      <w:proofErr w:type="spellStart"/>
      <w:r w:rsidRPr="00D16BF7">
        <w:rPr>
          <w:i/>
          <w:iCs/>
          <w:sz w:val="12"/>
          <w:szCs w:val="20"/>
        </w:rPr>
        <w:t>sat</w:t>
      </w:r>
      <w:proofErr w:type="spellEnd"/>
      <w:r w:rsidRPr="00D16BF7">
        <w:rPr>
          <w:sz w:val="12"/>
          <w:szCs w:val="20"/>
        </w:rPr>
        <w:t xml:space="preserve"> + </w:t>
      </w:r>
      <w:proofErr w:type="spellStart"/>
      <w:r w:rsidRPr="00D16BF7">
        <w:rPr>
          <w:i/>
          <w:iCs/>
          <w:sz w:val="12"/>
          <w:szCs w:val="20"/>
        </w:rPr>
        <w:t>bhāva</w:t>
      </w:r>
      <w:proofErr w:type="spellEnd"/>
      <w:r w:rsidRPr="00D16BF7">
        <w:rPr>
          <w:sz w:val="12"/>
          <w:szCs w:val="20"/>
        </w:rPr>
        <w:t xml:space="preserve">): no en PED. No debe confundirse con </w:t>
      </w:r>
      <w:proofErr w:type="spellStart"/>
      <w:r w:rsidRPr="00D16BF7">
        <w:rPr>
          <w:i/>
          <w:iCs/>
          <w:sz w:val="12"/>
          <w:szCs w:val="20"/>
        </w:rPr>
        <w:t>sabhāva</w:t>
      </w:r>
      <w:proofErr w:type="spellEnd"/>
      <w:r w:rsidRPr="00D16BF7">
        <w:rPr>
          <w:sz w:val="12"/>
          <w:szCs w:val="20"/>
        </w:rPr>
        <w:t xml:space="preserve">— “esencia individual” (= </w:t>
      </w:r>
      <w:proofErr w:type="spellStart"/>
      <w:r w:rsidRPr="00D16BF7">
        <w:rPr>
          <w:i/>
          <w:iCs/>
          <w:sz w:val="12"/>
          <w:szCs w:val="20"/>
        </w:rPr>
        <w:t>sa</w:t>
      </w:r>
      <w:proofErr w:type="spellEnd"/>
      <w:r w:rsidRPr="00D16BF7">
        <w:rPr>
          <w:sz w:val="12"/>
          <w:szCs w:val="20"/>
        </w:rPr>
        <w:t xml:space="preserve"> (</w:t>
      </w:r>
      <w:proofErr w:type="spellStart"/>
      <w:r w:rsidRPr="00D16BF7">
        <w:rPr>
          <w:sz w:val="12"/>
          <w:szCs w:val="20"/>
        </w:rPr>
        <w:t>Skr</w:t>
      </w:r>
      <w:proofErr w:type="spellEnd"/>
      <w:r w:rsidRPr="00D16BF7">
        <w:rPr>
          <w:sz w:val="12"/>
          <w:szCs w:val="20"/>
        </w:rPr>
        <w:t xml:space="preserve">. </w:t>
      </w:r>
      <w:proofErr w:type="spellStart"/>
      <w:r w:rsidRPr="00D16BF7">
        <w:rPr>
          <w:i/>
          <w:iCs/>
          <w:sz w:val="12"/>
          <w:szCs w:val="20"/>
        </w:rPr>
        <w:t>sva</w:t>
      </w:r>
      <w:proofErr w:type="spellEnd"/>
      <w:r w:rsidRPr="00D16BF7">
        <w:rPr>
          <w:sz w:val="12"/>
          <w:szCs w:val="20"/>
        </w:rPr>
        <w:t xml:space="preserve">) + </w:t>
      </w:r>
      <w:proofErr w:type="spellStart"/>
      <w:r w:rsidRPr="00D16BF7">
        <w:rPr>
          <w:i/>
          <w:iCs/>
          <w:sz w:val="12"/>
          <w:szCs w:val="20"/>
        </w:rPr>
        <w:t>bhāva</w:t>
      </w:r>
      <w:proofErr w:type="spellEnd"/>
      <w:r w:rsidRPr="00D16BF7">
        <w:rPr>
          <w:sz w:val="12"/>
          <w:szCs w:val="20"/>
        </w:rPr>
        <w:t xml:space="preserve">, o </w:t>
      </w:r>
      <w:proofErr w:type="spellStart"/>
      <w:r w:rsidRPr="00D16BF7">
        <w:rPr>
          <w:i/>
          <w:iCs/>
          <w:sz w:val="12"/>
          <w:szCs w:val="20"/>
        </w:rPr>
        <w:t>sāha</w:t>
      </w:r>
      <w:proofErr w:type="spellEnd"/>
      <w:r w:rsidRPr="00D16BF7">
        <w:rPr>
          <w:sz w:val="12"/>
          <w:szCs w:val="20"/>
        </w:rPr>
        <w:t xml:space="preserve"> + </w:t>
      </w:r>
      <w:proofErr w:type="spellStart"/>
      <w:r w:rsidRPr="00D16BF7">
        <w:rPr>
          <w:i/>
          <w:iCs/>
          <w:sz w:val="12"/>
          <w:szCs w:val="20"/>
        </w:rPr>
        <w:t>bhāva</w:t>
      </w:r>
      <w:proofErr w:type="spellEnd"/>
      <w:r w:rsidRPr="00D16BF7">
        <w:rPr>
          <w:sz w:val="12"/>
          <w:szCs w:val="20"/>
        </w:rPr>
        <w:t>).</w:t>
      </w:r>
    </w:p>
    <w:p w14:paraId="05B27ACB" w14:textId="15EE5285" w:rsidR="00EE4253" w:rsidRPr="00D16BF7" w:rsidRDefault="00FC5C79" w:rsidP="00FC5C79">
      <w:pPr>
        <w:pStyle w:val="PiedepginaLegal"/>
        <w:rPr>
          <w:sz w:val="12"/>
          <w:szCs w:val="20"/>
        </w:rPr>
      </w:pPr>
      <w:r w:rsidRPr="00D16BF7">
        <w:rPr>
          <w:sz w:val="12"/>
          <w:szCs w:val="20"/>
        </w:rPr>
        <w:t xml:space="preserve"> 40. </w:t>
      </w:r>
      <w:r w:rsidR="00D16BF7">
        <w:rPr>
          <w:sz w:val="12"/>
          <w:szCs w:val="20"/>
        </w:rPr>
        <w:tab/>
      </w:r>
      <w:r w:rsidRPr="00D16BF7">
        <w:rPr>
          <w:sz w:val="12"/>
          <w:szCs w:val="20"/>
        </w:rPr>
        <w:t xml:space="preserve">Los siete consisten en </w:t>
      </w:r>
      <w:proofErr w:type="spellStart"/>
      <w:r w:rsidRPr="00D16BF7">
        <w:rPr>
          <w:i/>
          <w:iCs/>
          <w:sz w:val="12"/>
          <w:szCs w:val="20"/>
        </w:rPr>
        <w:t>pārājikā</w:t>
      </w:r>
      <w:proofErr w:type="spellEnd"/>
      <w:r w:rsidRPr="00D16BF7">
        <w:rPr>
          <w:i/>
          <w:iCs/>
          <w:sz w:val="12"/>
          <w:szCs w:val="20"/>
        </w:rPr>
        <w:t xml:space="preserve">, </w:t>
      </w:r>
      <w:proofErr w:type="spellStart"/>
      <w:r w:rsidRPr="00D16BF7">
        <w:rPr>
          <w:i/>
          <w:iCs/>
          <w:sz w:val="12"/>
          <w:szCs w:val="20"/>
        </w:rPr>
        <w:t>saṅghādisesā</w:t>
      </w:r>
      <w:proofErr w:type="spellEnd"/>
      <w:r w:rsidRPr="00D16BF7">
        <w:rPr>
          <w:i/>
          <w:iCs/>
          <w:sz w:val="12"/>
          <w:szCs w:val="20"/>
        </w:rPr>
        <w:t xml:space="preserve">, </w:t>
      </w:r>
      <w:proofErr w:type="spellStart"/>
      <w:r w:rsidRPr="00D16BF7">
        <w:rPr>
          <w:i/>
          <w:iCs/>
          <w:sz w:val="12"/>
          <w:szCs w:val="20"/>
        </w:rPr>
        <w:t>pācittiyā</w:t>
      </w:r>
      <w:proofErr w:type="spellEnd"/>
      <w:r w:rsidRPr="00D16BF7">
        <w:rPr>
          <w:i/>
          <w:iCs/>
          <w:sz w:val="12"/>
          <w:szCs w:val="20"/>
        </w:rPr>
        <w:t xml:space="preserve">, </w:t>
      </w:r>
      <w:proofErr w:type="spellStart"/>
      <w:r w:rsidRPr="00D16BF7">
        <w:rPr>
          <w:i/>
          <w:iCs/>
          <w:sz w:val="12"/>
          <w:szCs w:val="20"/>
        </w:rPr>
        <w:t>pāṭidesan</w:t>
      </w:r>
      <w:r w:rsidR="004509EB" w:rsidRPr="00D16BF7">
        <w:rPr>
          <w:i/>
          <w:iCs/>
          <w:sz w:val="12"/>
          <w:szCs w:val="20"/>
        </w:rPr>
        <w:t>ī</w:t>
      </w:r>
      <w:r w:rsidRPr="00D16BF7">
        <w:rPr>
          <w:i/>
          <w:iCs/>
          <w:sz w:val="12"/>
          <w:szCs w:val="20"/>
        </w:rPr>
        <w:t>yā</w:t>
      </w:r>
      <w:proofErr w:type="spellEnd"/>
      <w:r w:rsidRPr="00D16BF7">
        <w:rPr>
          <w:i/>
          <w:iCs/>
          <w:sz w:val="12"/>
          <w:szCs w:val="20"/>
        </w:rPr>
        <w:t xml:space="preserve">, </w:t>
      </w:r>
      <w:proofErr w:type="spellStart"/>
      <w:r w:rsidR="004509EB" w:rsidRPr="00D16BF7">
        <w:rPr>
          <w:i/>
          <w:iCs/>
          <w:sz w:val="12"/>
          <w:szCs w:val="20"/>
        </w:rPr>
        <w:t>dukkhaṭ</w:t>
      </w:r>
      <w:r w:rsidRPr="00D16BF7">
        <w:rPr>
          <w:i/>
          <w:iCs/>
          <w:sz w:val="12"/>
          <w:szCs w:val="20"/>
        </w:rPr>
        <w:t>ā</w:t>
      </w:r>
      <w:proofErr w:type="spellEnd"/>
      <w:r w:rsidRPr="00D16BF7">
        <w:rPr>
          <w:i/>
          <w:iCs/>
          <w:sz w:val="12"/>
          <w:szCs w:val="20"/>
        </w:rPr>
        <w:t xml:space="preserve">, </w:t>
      </w:r>
      <w:proofErr w:type="spellStart"/>
      <w:r w:rsidRPr="00D16BF7">
        <w:rPr>
          <w:i/>
          <w:iCs/>
          <w:sz w:val="12"/>
          <w:szCs w:val="20"/>
        </w:rPr>
        <w:t>thullaccayāā</w:t>
      </w:r>
      <w:proofErr w:type="spellEnd"/>
      <w:r w:rsidRPr="00D16BF7">
        <w:rPr>
          <w:i/>
          <w:iCs/>
          <w:sz w:val="12"/>
          <w:szCs w:val="20"/>
        </w:rPr>
        <w:t xml:space="preserve">, </w:t>
      </w:r>
      <w:proofErr w:type="spellStart"/>
      <w:r w:rsidRPr="00D16BF7">
        <w:rPr>
          <w:i/>
          <w:iCs/>
          <w:sz w:val="12"/>
          <w:szCs w:val="20"/>
        </w:rPr>
        <w:t>dubbhāsitā</w:t>
      </w:r>
      <w:proofErr w:type="spellEnd"/>
      <w:r w:rsidRPr="00D16BF7">
        <w:rPr>
          <w:sz w:val="12"/>
          <w:szCs w:val="20"/>
        </w:rPr>
        <w:t xml:space="preserve"> (mencionados en M-a II 33).</w:t>
      </w:r>
    </w:p>
    <w:p w14:paraId="384B2921" w14:textId="77777777" w:rsidR="00EE4253" w:rsidRDefault="00EE4253">
      <w:pPr>
        <w:tabs>
          <w:tab w:val="clear" w:pos="425"/>
        </w:tabs>
        <w:spacing w:after="160"/>
        <w:rPr>
          <w:color w:val="000000" w:themeColor="text1"/>
          <w:spacing w:val="10"/>
          <w:sz w:val="14"/>
        </w:rPr>
      </w:pPr>
      <w:r>
        <w:br w:type="page"/>
      </w:r>
    </w:p>
    <w:p w14:paraId="5EE26B67" w14:textId="153A1EA2" w:rsidR="00591D97" w:rsidRDefault="00591D97" w:rsidP="00591D97">
      <w:r>
        <w:lastRenderedPageBreak/>
        <w:t>rasg</w:t>
      </w:r>
      <w:r w:rsidR="00DE4173">
        <w:t>uño</w:t>
      </w:r>
      <w:r>
        <w:t>, como un paño que se rasg</w:t>
      </w:r>
      <w:r w:rsidR="00971DC6">
        <w:t>ue</w:t>
      </w:r>
      <w:r>
        <w:t xml:space="preserve"> por </w:t>
      </w:r>
      <w:r w:rsidR="00971DC6">
        <w:t>en medio</w:t>
      </w:r>
      <w:r>
        <w:t>. Cuando lo ha</w:t>
      </w:r>
      <w:r w:rsidR="00971DC6">
        <w:t>ya</w:t>
      </w:r>
      <w:r>
        <w:t xml:space="preserve"> roto dos o tres veces seguidas, se llama</w:t>
      </w:r>
      <w:r w:rsidR="00971DC6">
        <w:t>rá</w:t>
      </w:r>
      <w:r>
        <w:t xml:space="preserve"> </w:t>
      </w:r>
      <w:r w:rsidR="00C66D00">
        <w:t>mancillada</w:t>
      </w:r>
      <w:r>
        <w:t xml:space="preserve">, como una vaca cuyo cuerpo </w:t>
      </w:r>
      <w:r w:rsidR="00BF73FB">
        <w:t>sea</w:t>
      </w:r>
      <w:r>
        <w:t xml:space="preserve"> de un color negro o rojo con un color discrepante que apare</w:t>
      </w:r>
      <w:r w:rsidR="00BF73FB">
        <w:t>zca</w:t>
      </w:r>
      <w:r>
        <w:t xml:space="preserve"> en la espalda o </w:t>
      </w:r>
      <w:r w:rsidR="00BF73FB">
        <w:t xml:space="preserve">en </w:t>
      </w:r>
      <w:r>
        <w:t>el vientre. Cuando l</w:t>
      </w:r>
      <w:r w:rsidR="00BF73FB">
        <w:t>a</w:t>
      </w:r>
      <w:r>
        <w:t xml:space="preserve"> ha</w:t>
      </w:r>
      <w:r w:rsidR="00BF73FB">
        <w:t>ya</w:t>
      </w:r>
      <w:r>
        <w:t xml:space="preserve"> roto [por todas partes] a </w:t>
      </w:r>
      <w:r w:rsidR="00C66D00">
        <w:t xml:space="preserve">diferentes </w:t>
      </w:r>
      <w:r>
        <w:t>intervalos, se llama</w:t>
      </w:r>
      <w:r w:rsidR="00BF73FB">
        <w:t>rá</w:t>
      </w:r>
      <w:r>
        <w:t xml:space="preserve"> moteado, como una vaca moteada [por todas partes] con manchas de colores discrepantes a intervalos. Es así, en primer lugar, como llega a </w:t>
      </w:r>
      <w:r w:rsidR="00517601">
        <w:t xml:space="preserve">darse un </w:t>
      </w:r>
      <w:r>
        <w:t>desgarro con la ruptura que ten</w:t>
      </w:r>
      <w:r w:rsidR="00E05204">
        <w:t>ga</w:t>
      </w:r>
      <w:r>
        <w:t xml:space="preserve"> </w:t>
      </w:r>
      <w:r w:rsidR="00517601">
        <w:t xml:space="preserve">como </w:t>
      </w:r>
      <w:r>
        <w:t xml:space="preserve">causa </w:t>
      </w:r>
      <w:r w:rsidR="00517601">
        <w:t xml:space="preserve">a </w:t>
      </w:r>
      <w:r>
        <w:t>la ganancia, etc.</w:t>
      </w:r>
    </w:p>
    <w:p w14:paraId="2F3F251D" w14:textId="62817311" w:rsidR="00591D97" w:rsidRDefault="00591D97" w:rsidP="00591D97">
      <w:r>
        <w:t xml:space="preserve">144. </w:t>
      </w:r>
      <w:r w:rsidR="00CD6A75">
        <w:tab/>
      </w:r>
      <w:r>
        <w:t xml:space="preserve">Y lo mismo con los siete lazos de la sexualidad; </w:t>
      </w:r>
      <w:r w:rsidR="001A3822">
        <w:t xml:space="preserve">ya </w:t>
      </w:r>
      <w:r>
        <w:t xml:space="preserve">que el </w:t>
      </w:r>
      <w:r w:rsidR="001A3822">
        <w:rPr>
          <w:i/>
          <w:iCs/>
        </w:rPr>
        <w:t>Bhagavā</w:t>
      </w:r>
      <w:r>
        <w:t xml:space="preserve"> dice esto: “Aquí, </w:t>
      </w:r>
      <w:proofErr w:type="spellStart"/>
      <w:r w:rsidRPr="00CD6A75">
        <w:rPr>
          <w:i/>
          <w:iCs/>
        </w:rPr>
        <w:t>brahman</w:t>
      </w:r>
      <w:proofErr w:type="spellEnd"/>
      <w:r>
        <w:t xml:space="preserve">, </w:t>
      </w:r>
      <w:r w:rsidR="001A3822">
        <w:t>un</w:t>
      </w:r>
      <w:r>
        <w:t xml:space="preserve"> asceta o </w:t>
      </w:r>
      <w:proofErr w:type="spellStart"/>
      <w:r w:rsidRPr="00CD6A75">
        <w:rPr>
          <w:i/>
          <w:iCs/>
        </w:rPr>
        <w:t>brahman</w:t>
      </w:r>
      <w:proofErr w:type="spellEnd"/>
      <w:r>
        <w:t xml:space="preserve"> </w:t>
      </w:r>
      <w:r w:rsidR="00491EA4">
        <w:t xml:space="preserve">puede </w:t>
      </w:r>
      <w:r>
        <w:t>afirma</w:t>
      </w:r>
      <w:r w:rsidR="00491EA4">
        <w:t>r</w:t>
      </w:r>
      <w:r>
        <w:t xml:space="preserve"> llevar una vida de pureza correctamente; porque él no [52] entra en relaciones sexuales reales con </w:t>
      </w:r>
      <w:r w:rsidR="001A3822">
        <w:t xml:space="preserve">las </w:t>
      </w:r>
      <w:r>
        <w:t xml:space="preserve">mujeres. </w:t>
      </w:r>
      <w:r w:rsidR="006C52A6">
        <w:t xml:space="preserve">No obstante, </w:t>
      </w:r>
      <w:r>
        <w:t xml:space="preserve">acepta que las mujeres le den masajes, manipulaciones, baños y frotamientos. Lo disfruta, lo desea y se complace en ello. </w:t>
      </w:r>
      <w:r w:rsidR="00075354">
        <w:t>É</w:t>
      </w:r>
      <w:r>
        <w:t>st</w:t>
      </w:r>
      <w:r w:rsidR="00075354">
        <w:t>a</w:t>
      </w:r>
      <w:r>
        <w:t xml:space="preserve"> es l</w:t>
      </w:r>
      <w:r w:rsidR="00075354">
        <w:t>a</w:t>
      </w:r>
      <w:r>
        <w:t xml:space="preserve"> </w:t>
      </w:r>
      <w:r w:rsidR="00075354">
        <w:t xml:space="preserve">virtud </w:t>
      </w:r>
      <w:r>
        <w:t>que est</w:t>
      </w:r>
      <w:r w:rsidR="00075354">
        <w:t>ar</w:t>
      </w:r>
      <w:r>
        <w:t>á desgarrad</w:t>
      </w:r>
      <w:r w:rsidR="00075354">
        <w:t>a</w:t>
      </w:r>
      <w:r>
        <w:t xml:space="preserve">, </w:t>
      </w:r>
      <w:r w:rsidR="004C74E3">
        <w:t>rasguñada</w:t>
      </w:r>
      <w:r>
        <w:t>, manchad</w:t>
      </w:r>
      <w:r w:rsidR="004C74E3">
        <w:t>a</w:t>
      </w:r>
      <w:r>
        <w:t xml:space="preserve"> y motead</w:t>
      </w:r>
      <w:r w:rsidR="004C74E3">
        <w:t>a</w:t>
      </w:r>
      <w:r>
        <w:t xml:space="preserve"> en quien llev</w:t>
      </w:r>
      <w:r w:rsidR="004C74E3">
        <w:t>e</w:t>
      </w:r>
      <w:r>
        <w:t xml:space="preserve"> una vida de pureza. Se </w:t>
      </w:r>
      <w:r w:rsidR="004C74E3">
        <w:t>dirá</w:t>
      </w:r>
      <w:r>
        <w:t xml:space="preserve"> que este hombre lleva una vida de pureza que es impura. </w:t>
      </w:r>
      <w:r w:rsidR="00D868FB">
        <w:t>Ya que</w:t>
      </w:r>
      <w:r>
        <w:t xml:space="preserve"> quien est</w:t>
      </w:r>
      <w:r w:rsidR="005C2A52">
        <w:t>é</w:t>
      </w:r>
      <w:r>
        <w:t xml:space="preserve"> atado por el lazo de la sexualidad, no será liberado del </w:t>
      </w:r>
      <w:r w:rsidR="005C2A52">
        <w:t>re</w:t>
      </w:r>
      <w:r>
        <w:t xml:space="preserve">nacimiento, del envejecimiento y de la muerte... no será liberado del sufrimiento, </w:t>
      </w:r>
      <w:r w:rsidR="005C2A52">
        <w:t>así lo afirmo</w:t>
      </w:r>
      <w:r>
        <w:t>.</w:t>
      </w:r>
    </w:p>
    <w:p w14:paraId="247F8315" w14:textId="63CD86AC" w:rsidR="00591D97" w:rsidRDefault="00591D97" w:rsidP="00591D97">
      <w:r>
        <w:t xml:space="preserve">145. </w:t>
      </w:r>
      <w:r w:rsidR="002F041E">
        <w:tab/>
      </w:r>
      <w:r>
        <w:t xml:space="preserve">“Además, </w:t>
      </w:r>
      <w:proofErr w:type="spellStart"/>
      <w:proofErr w:type="gramStart"/>
      <w:r w:rsidRPr="003E79BB">
        <w:rPr>
          <w:i/>
          <w:iCs/>
        </w:rPr>
        <w:t>brahman</w:t>
      </w:r>
      <w:proofErr w:type="spellEnd"/>
      <w:r>
        <w:t>,…</w:t>
      </w:r>
      <w:proofErr w:type="gramEnd"/>
      <w:r>
        <w:t xml:space="preserve"> aunque no est</w:t>
      </w:r>
      <w:r w:rsidR="00D868FB">
        <w:t>é</w:t>
      </w:r>
      <w:r>
        <w:t xml:space="preserve"> de acuerdo con [estas cosas], bromea, juega y se divierte con las mujeres…</w:t>
      </w:r>
    </w:p>
    <w:p w14:paraId="4AD48349" w14:textId="5EB45823" w:rsidR="00591D97" w:rsidRDefault="00591D97" w:rsidP="00591D97">
      <w:r>
        <w:t xml:space="preserve">146. </w:t>
      </w:r>
      <w:r w:rsidR="002F041E">
        <w:tab/>
      </w:r>
      <w:r>
        <w:t xml:space="preserve">“Además, </w:t>
      </w:r>
      <w:proofErr w:type="spellStart"/>
      <w:r w:rsidRPr="003E79BB">
        <w:rPr>
          <w:i/>
          <w:iCs/>
        </w:rPr>
        <w:t>brahman</w:t>
      </w:r>
      <w:proofErr w:type="spellEnd"/>
      <w:r>
        <w:t>, … aunque él no est</w:t>
      </w:r>
      <w:r w:rsidR="00F829FE">
        <w:t>é</w:t>
      </w:r>
      <w:r>
        <w:t xml:space="preserve"> de acuerdo con [estas cosas], sin embargo, mira fijamente a las mujeres a los ojos …</w:t>
      </w:r>
    </w:p>
    <w:p w14:paraId="55BD6C5F" w14:textId="47A626E2" w:rsidR="00591D97" w:rsidRDefault="00591D97" w:rsidP="00591D97">
      <w:r>
        <w:t xml:space="preserve">147. </w:t>
      </w:r>
      <w:r w:rsidR="002F041E">
        <w:tab/>
      </w:r>
      <w:r>
        <w:t xml:space="preserve">“Además, </w:t>
      </w:r>
      <w:proofErr w:type="spellStart"/>
      <w:r w:rsidRPr="003E79BB">
        <w:rPr>
          <w:i/>
          <w:iCs/>
        </w:rPr>
        <w:t>brahman</w:t>
      </w:r>
      <w:proofErr w:type="spellEnd"/>
      <w:r>
        <w:t>, … aunque él no est</w:t>
      </w:r>
      <w:r w:rsidR="00F829FE">
        <w:t>é</w:t>
      </w:r>
      <w:r>
        <w:t xml:space="preserve"> de acuerdo con [estas cosas], sin embargo, escucha</w:t>
      </w:r>
      <w:r w:rsidR="00F829FE">
        <w:t>rá</w:t>
      </w:r>
      <w:r>
        <w:t xml:space="preserve"> el sonido de las mujeres a través de una pared</w:t>
      </w:r>
      <w:r w:rsidR="002F041E">
        <w:t>,</w:t>
      </w:r>
      <w:r>
        <w:t xml:space="preserve"> a través de una cerca</w:t>
      </w:r>
      <w:r w:rsidR="002F041E">
        <w:t>,</w:t>
      </w:r>
      <w:r>
        <w:t xml:space="preserve"> mientras rí</w:t>
      </w:r>
      <w:r w:rsidR="00F829FE">
        <w:t>a</w:t>
      </w:r>
      <w:r>
        <w:t>n</w:t>
      </w:r>
      <w:r w:rsidR="002F041E">
        <w:t>,</w:t>
      </w:r>
      <w:r>
        <w:t xml:space="preserve"> habl</w:t>
      </w:r>
      <w:r w:rsidR="00F829FE">
        <w:t>e</w:t>
      </w:r>
      <w:r>
        <w:t>n</w:t>
      </w:r>
      <w:r w:rsidR="002F041E">
        <w:t>,</w:t>
      </w:r>
      <w:r>
        <w:t xml:space="preserve"> cant</w:t>
      </w:r>
      <w:r w:rsidR="00F829FE">
        <w:t>e</w:t>
      </w:r>
      <w:r>
        <w:t>n</w:t>
      </w:r>
      <w:r w:rsidR="002F041E">
        <w:t>,</w:t>
      </w:r>
      <w:r>
        <w:t xml:space="preserve"> llor</w:t>
      </w:r>
      <w:r w:rsidR="00F829FE">
        <w:t>e</w:t>
      </w:r>
      <w:r>
        <w:t>n</w:t>
      </w:r>
      <w:r w:rsidR="002F041E">
        <w:t>,</w:t>
      </w:r>
      <w:r>
        <w:t xml:space="preserve"> …</w:t>
      </w:r>
      <w:r w:rsidR="002F041E">
        <w:t>etc.</w:t>
      </w:r>
    </w:p>
    <w:p w14:paraId="5EF36515" w14:textId="4C2E82B8" w:rsidR="00591D97" w:rsidRDefault="00591D97" w:rsidP="00591D97">
      <w:r>
        <w:t xml:space="preserve">148. </w:t>
      </w:r>
      <w:r w:rsidR="002F041E">
        <w:tab/>
      </w:r>
      <w:r>
        <w:t xml:space="preserve">“Además, </w:t>
      </w:r>
      <w:proofErr w:type="spellStart"/>
      <w:proofErr w:type="gramStart"/>
      <w:r w:rsidRPr="003E79BB">
        <w:rPr>
          <w:i/>
          <w:iCs/>
        </w:rPr>
        <w:t>brahman</w:t>
      </w:r>
      <w:proofErr w:type="spellEnd"/>
      <w:r>
        <w:t>,…</w:t>
      </w:r>
      <w:proofErr w:type="gramEnd"/>
      <w:r>
        <w:t xml:space="preserve"> aunque él no est</w:t>
      </w:r>
      <w:r w:rsidR="002F041E">
        <w:t>é</w:t>
      </w:r>
      <w:r>
        <w:t xml:space="preserve"> de acuerdo con [estas cosas], sin embargo, rec</w:t>
      </w:r>
      <w:r w:rsidR="002F041E">
        <w:t>o</w:t>
      </w:r>
      <w:r>
        <w:t>rda</w:t>
      </w:r>
      <w:r w:rsidR="002F041E">
        <w:t>rá</w:t>
      </w:r>
      <w:r>
        <w:t xml:space="preserve"> </w:t>
      </w:r>
      <w:r w:rsidR="002F041E">
        <w:t xml:space="preserve">las </w:t>
      </w:r>
      <w:r>
        <w:t xml:space="preserve">risas, conversaciones y juegos que antes </w:t>
      </w:r>
      <w:r w:rsidR="002F041E">
        <w:t>man</w:t>
      </w:r>
      <w:r>
        <w:t xml:space="preserve">tenía con </w:t>
      </w:r>
      <w:r w:rsidR="002F041E">
        <w:t xml:space="preserve">las </w:t>
      </w:r>
      <w:r>
        <w:t>mujeres…</w:t>
      </w:r>
    </w:p>
    <w:p w14:paraId="3A79B809" w14:textId="4F02AEE5" w:rsidR="00591D97" w:rsidRDefault="00591D97" w:rsidP="00591D97">
      <w:r>
        <w:t xml:space="preserve">149. </w:t>
      </w:r>
      <w:r w:rsidR="002F041E">
        <w:tab/>
      </w:r>
      <w:r>
        <w:t xml:space="preserve">“Además, </w:t>
      </w:r>
      <w:proofErr w:type="spellStart"/>
      <w:r w:rsidRPr="003E79BB">
        <w:rPr>
          <w:i/>
          <w:iCs/>
        </w:rPr>
        <w:t>brahman</w:t>
      </w:r>
      <w:proofErr w:type="spellEnd"/>
      <w:r>
        <w:t>, … aunque no est</w:t>
      </w:r>
      <w:r w:rsidR="002F041E">
        <w:t>é</w:t>
      </w:r>
      <w:r>
        <w:t xml:space="preserve"> de acuerdo con [estas cosas], [53] sin embargo, </w:t>
      </w:r>
      <w:r w:rsidR="003E66DF">
        <w:t xml:space="preserve">él </w:t>
      </w:r>
      <w:r>
        <w:t>ve</w:t>
      </w:r>
      <w:r w:rsidR="003E66DF">
        <w:t>rá</w:t>
      </w:r>
      <w:r>
        <w:t xml:space="preserve"> a un cabeza de familia o al hijo de un cabeza de familia que pose</w:t>
      </w:r>
      <w:r w:rsidR="002F041E">
        <w:t>a</w:t>
      </w:r>
      <w:r>
        <w:t>, est</w:t>
      </w:r>
      <w:r w:rsidR="002F041E">
        <w:t>é</w:t>
      </w:r>
      <w:r>
        <w:t xml:space="preserve"> dotado y se entreg</w:t>
      </w:r>
      <w:r w:rsidR="002F041E">
        <w:t>ue</w:t>
      </w:r>
      <w:r>
        <w:t xml:space="preserve"> a las cinco cuerdas del deseo de los sentidos…</w:t>
      </w:r>
    </w:p>
    <w:p w14:paraId="6A961034" w14:textId="5E6DD260" w:rsidR="00591D97" w:rsidRDefault="00591D97" w:rsidP="00591D97">
      <w:r>
        <w:t xml:space="preserve">150. </w:t>
      </w:r>
      <w:r w:rsidR="002F041E">
        <w:tab/>
      </w:r>
      <w:r>
        <w:t xml:space="preserve">“Además, </w:t>
      </w:r>
      <w:proofErr w:type="spellStart"/>
      <w:r w:rsidRPr="003E79BB">
        <w:rPr>
          <w:i/>
          <w:iCs/>
        </w:rPr>
        <w:t>brahman</w:t>
      </w:r>
      <w:proofErr w:type="spellEnd"/>
      <w:r>
        <w:t>, aunque no est</w:t>
      </w:r>
      <w:r w:rsidR="003E66DF">
        <w:t>é</w:t>
      </w:r>
      <w:r>
        <w:t xml:space="preserve"> de acuerdo con [estas cosas], </w:t>
      </w:r>
      <w:r w:rsidR="00EC100C">
        <w:t xml:space="preserve">él </w:t>
      </w:r>
      <w:r>
        <w:t>lleva</w:t>
      </w:r>
      <w:r w:rsidR="00EC100C">
        <w:t>rá</w:t>
      </w:r>
      <w:r>
        <w:t xml:space="preserve"> una vida de pureza aspirando a algún orden de deidades, [pensando] 'A través de este rito (virtud) o este ritual (voto) o este ascetismo me convertiré en una [gran] deidad o en alguna [menor] deidad.' Lo disfruta, lo desea y se satisface con </w:t>
      </w:r>
      <w:r w:rsidR="00EC100C">
        <w:t>e</w:t>
      </w:r>
      <w:r>
        <w:t>l</w:t>
      </w:r>
      <w:r w:rsidR="00EC100C">
        <w:t>lo</w:t>
      </w:r>
      <w:r>
        <w:t xml:space="preserve">. Esto, </w:t>
      </w:r>
      <w:proofErr w:type="spellStart"/>
      <w:r w:rsidRPr="003E79BB">
        <w:rPr>
          <w:i/>
          <w:iCs/>
        </w:rPr>
        <w:t>brahman</w:t>
      </w:r>
      <w:proofErr w:type="spellEnd"/>
      <w:r>
        <w:t xml:space="preserve">, </w:t>
      </w:r>
      <w:r w:rsidR="002601CA">
        <w:t>será</w:t>
      </w:r>
      <w:r>
        <w:t xml:space="preserve"> lo que est</w:t>
      </w:r>
      <w:r w:rsidR="002601CA">
        <w:t>é</w:t>
      </w:r>
      <w:r>
        <w:t xml:space="preserve"> desgarrado, </w:t>
      </w:r>
      <w:r w:rsidR="00EC100C">
        <w:t>rasguñado</w:t>
      </w:r>
      <w:r>
        <w:t>, manchado y moteado en aquel que llev</w:t>
      </w:r>
      <w:r w:rsidR="00EC100C">
        <w:t>e</w:t>
      </w:r>
      <w:r>
        <w:t xml:space="preserve"> una vida de pureza. Este hombre… no será liberado del sufrimiento, </w:t>
      </w:r>
      <w:r w:rsidR="00EC100C">
        <w:t>así lo afirmo</w:t>
      </w:r>
      <w:r>
        <w:t>” (A IV 54-56).</w:t>
      </w:r>
    </w:p>
    <w:p w14:paraId="19F87A0D" w14:textId="0B7D097F" w:rsidR="00591D97" w:rsidRDefault="00591D97" w:rsidP="00591D97">
      <w:pPr>
        <w:pStyle w:val="NormalConSangria"/>
      </w:pPr>
      <w:r>
        <w:t>Así es como el desgarr</w:t>
      </w:r>
      <w:r w:rsidR="00EC100C">
        <w:t>amiento</w:t>
      </w:r>
      <w:r>
        <w:t>, etc., debe entenderse incluido bajo el quebrantamiento que ten</w:t>
      </w:r>
      <w:r w:rsidR="00EC100C">
        <w:t>ga</w:t>
      </w:r>
      <w:r>
        <w:t xml:space="preserve"> como causa </w:t>
      </w:r>
      <w:r w:rsidR="009D14AB">
        <w:t xml:space="preserve">a </w:t>
      </w:r>
      <w:r>
        <w:t>la ganancia, etc., y bajo las siete ataduras de la sexualidad.</w:t>
      </w:r>
    </w:p>
    <w:p w14:paraId="04198AEF" w14:textId="58180985" w:rsidR="00591D97" w:rsidRDefault="00591D97" w:rsidP="00591D97">
      <w:r>
        <w:t xml:space="preserve">151. </w:t>
      </w:r>
      <w:r w:rsidR="00EC100C">
        <w:tab/>
      </w:r>
      <w:r>
        <w:t xml:space="preserve">La integridad, sin embargo, se logra </w:t>
      </w:r>
      <w:r w:rsidR="009004F9">
        <w:t>mediante</w:t>
      </w:r>
      <w:r>
        <w:t xml:space="preserve"> la no</w:t>
      </w:r>
      <w:r w:rsidR="009004F9">
        <w:t>-</w:t>
      </w:r>
      <w:r>
        <w:t xml:space="preserve">transgresión completa de los preceptos de entrenamiento, </w:t>
      </w:r>
      <w:r w:rsidR="009004F9">
        <w:t xml:space="preserve">mediante </w:t>
      </w:r>
      <w:r>
        <w:t xml:space="preserve">la reparación de los </w:t>
      </w:r>
      <w:r w:rsidR="009004F9">
        <w:t>ya transgredidos</w:t>
      </w:r>
      <w:r>
        <w:t xml:space="preserve"> </w:t>
      </w:r>
      <w:r w:rsidR="009004F9">
        <w:t xml:space="preserve">mediante </w:t>
      </w:r>
      <w:r>
        <w:t xml:space="preserve">los cuales se debe hacer </w:t>
      </w:r>
      <w:r w:rsidR="0091327C">
        <w:t>t</w:t>
      </w:r>
      <w:r w:rsidR="009004F9">
        <w:t>a</w:t>
      </w:r>
      <w:r w:rsidR="0091327C">
        <w:t>l</w:t>
      </w:r>
      <w:r w:rsidR="009004F9">
        <w:t xml:space="preserve"> </w:t>
      </w:r>
      <w:r>
        <w:t xml:space="preserve">reparación, </w:t>
      </w:r>
      <w:r w:rsidR="009004F9">
        <w:t xml:space="preserve">mediante </w:t>
      </w:r>
      <w:r>
        <w:t xml:space="preserve">la ausencia de los siete lazos de la sexualidad y, también, </w:t>
      </w:r>
      <w:r w:rsidR="009004F9">
        <w:t xml:space="preserve">mediante </w:t>
      </w:r>
      <w:r w:rsidR="008D4B70">
        <w:t>el</w:t>
      </w:r>
      <w:r>
        <w:t xml:space="preserve"> no </w:t>
      </w:r>
      <w:r w:rsidR="008D4B70">
        <w:t xml:space="preserve">surgimiento </w:t>
      </w:r>
      <w:r>
        <w:t xml:space="preserve">de cosas tan </w:t>
      </w:r>
      <w:r w:rsidR="008D4B70">
        <w:t xml:space="preserve">negativas </w:t>
      </w:r>
      <w:r>
        <w:t xml:space="preserve">como la ira, la enemistad, el </w:t>
      </w:r>
      <w:r w:rsidR="00D779B9">
        <w:t>contentamiento</w:t>
      </w:r>
      <w:r>
        <w:t>, el dominio, la envidia, la avaricia, el engaño, el fraude, la obstinación, la presunción, el orgullo (</w:t>
      </w:r>
      <w:r w:rsidR="004A5DAA">
        <w:t>vanagloria</w:t>
      </w:r>
      <w:r>
        <w:t xml:space="preserve">), la altivez, la presunción (vanidad) y la negligencia (MN 7), y </w:t>
      </w:r>
      <w:r w:rsidR="00A1594A">
        <w:t>mediante</w:t>
      </w:r>
      <w:r>
        <w:t xml:space="preserve"> el surgimiento de cualidades </w:t>
      </w:r>
      <w:r w:rsidR="00CB3EB9">
        <w:t xml:space="preserve">tales </w:t>
      </w:r>
      <w:r>
        <w:t xml:space="preserve">como </w:t>
      </w:r>
      <w:r w:rsidR="00174F53">
        <w:t xml:space="preserve">los pocos </w:t>
      </w:r>
      <w:r>
        <w:t xml:space="preserve">deseos, </w:t>
      </w:r>
      <w:r w:rsidR="00174F53">
        <w:t xml:space="preserve">el </w:t>
      </w:r>
      <w:r>
        <w:t xml:space="preserve">contentamiento y </w:t>
      </w:r>
      <w:r w:rsidR="000F2D75">
        <w:t xml:space="preserve">la </w:t>
      </w:r>
      <w:r w:rsidR="000114C4">
        <w:t xml:space="preserve">purificación </w:t>
      </w:r>
      <w:r>
        <w:t>(MN 24).</w:t>
      </w:r>
    </w:p>
    <w:p w14:paraId="2E0BB1BB" w14:textId="77777777" w:rsidR="00591D97" w:rsidRDefault="00591D97">
      <w:pPr>
        <w:tabs>
          <w:tab w:val="clear" w:pos="425"/>
        </w:tabs>
        <w:spacing w:after="160"/>
      </w:pPr>
      <w:r>
        <w:br w:type="page"/>
      </w:r>
    </w:p>
    <w:p w14:paraId="0B80C7A4" w14:textId="28175A3B" w:rsidR="00730DD8" w:rsidRDefault="00730DD8" w:rsidP="00730DD8">
      <w:r>
        <w:lastRenderedPageBreak/>
        <w:t xml:space="preserve">152. </w:t>
      </w:r>
      <w:r w:rsidR="00AF326C">
        <w:tab/>
      </w:r>
      <w:r>
        <w:t>Las virtudes no</w:t>
      </w:r>
      <w:r w:rsidR="00B61F03">
        <w:t xml:space="preserve"> transgredidas </w:t>
      </w:r>
      <w:r>
        <w:t>con el propósito de ganancia</w:t>
      </w:r>
      <w:r w:rsidR="00B61F03">
        <w:t>s</w:t>
      </w:r>
      <w:r>
        <w:t>, etc., y rectificadas enmend</w:t>
      </w:r>
      <w:r w:rsidR="00B61F03">
        <w:t>á</w:t>
      </w:r>
      <w:r>
        <w:t>ndo</w:t>
      </w:r>
      <w:r w:rsidR="00B61F03">
        <w:t>las</w:t>
      </w:r>
      <w:r>
        <w:t xml:space="preserve"> después de haber sido </w:t>
      </w:r>
      <w:r w:rsidR="00B61F03">
        <w:t>tr</w:t>
      </w:r>
      <w:r w:rsidR="00CF30A1">
        <w:t xml:space="preserve">ansgredidas </w:t>
      </w:r>
      <w:r>
        <w:t xml:space="preserve">por faltas </w:t>
      </w:r>
      <w:r w:rsidR="00CF30A1">
        <w:t>como</w:t>
      </w:r>
      <w:r>
        <w:t xml:space="preserve"> negligencia, etc., </w:t>
      </w:r>
      <w:r w:rsidR="00BB158A">
        <w:t>pero</w:t>
      </w:r>
      <w:r>
        <w:t xml:space="preserve"> no dañadas por los lazos de la sexualidad y por cosas </w:t>
      </w:r>
      <w:r w:rsidR="00A92288">
        <w:t>negativas</w:t>
      </w:r>
      <w:r>
        <w:t xml:space="preserve"> como la ira y la enemistad, son llamad</w:t>
      </w:r>
      <w:r w:rsidR="00CF30A1">
        <w:t>as</w:t>
      </w:r>
      <w:r>
        <w:t xml:space="preserve"> enteramente </w:t>
      </w:r>
      <w:r w:rsidR="00CF30A1">
        <w:t xml:space="preserve">virtudes </w:t>
      </w:r>
      <w:r>
        <w:t xml:space="preserve">sin roturas, sin rasgaduras, sin manchas y </w:t>
      </w:r>
      <w:r w:rsidR="00CF30A1">
        <w:t>no</w:t>
      </w:r>
      <w:r>
        <w:t xml:space="preserve"> </w:t>
      </w:r>
      <w:r w:rsidR="00CF30A1">
        <w:t>moteadas</w:t>
      </w:r>
      <w:r>
        <w:t xml:space="preserve">. Y esas mismas virtudes son </w:t>
      </w:r>
      <w:r w:rsidRPr="00BB158A">
        <w:rPr>
          <w:i/>
          <w:iCs/>
        </w:rPr>
        <w:t>liberadoras</w:t>
      </w:r>
      <w:r>
        <w:t xml:space="preserve">, puesto que producen el estado de un hombre libre, y </w:t>
      </w:r>
      <w:r w:rsidR="00BB158A">
        <w:t>elogiadas</w:t>
      </w:r>
      <w:r>
        <w:t xml:space="preserve"> por los sabios, ya que es por los sabios que son </w:t>
      </w:r>
      <w:r w:rsidR="00BB158A">
        <w:t>elogiadas</w:t>
      </w:r>
      <w:r>
        <w:t xml:space="preserve">, y </w:t>
      </w:r>
      <w:r w:rsidR="002208E7">
        <w:t>no adheridas a</w:t>
      </w:r>
      <w:r>
        <w:t xml:space="preserve">, ya que no se adhieren a </w:t>
      </w:r>
      <w:r w:rsidR="00602C87">
        <w:t xml:space="preserve">nada </w:t>
      </w:r>
      <w:r>
        <w:t xml:space="preserve">mediante el deseo y las </w:t>
      </w:r>
      <w:r w:rsidR="005A2464">
        <w:t>visiones incorrectas</w:t>
      </w:r>
      <w:r>
        <w:t xml:space="preserve">, y </w:t>
      </w:r>
      <w:r w:rsidR="005A2464">
        <w:t xml:space="preserve">son </w:t>
      </w:r>
      <w:r w:rsidRPr="005A2464">
        <w:rPr>
          <w:i/>
          <w:iCs/>
        </w:rPr>
        <w:t>conducen</w:t>
      </w:r>
      <w:r w:rsidR="005A2464" w:rsidRPr="005A2464">
        <w:rPr>
          <w:i/>
          <w:iCs/>
        </w:rPr>
        <w:t>tes</w:t>
      </w:r>
      <w:r w:rsidRPr="005A2464">
        <w:rPr>
          <w:i/>
          <w:iCs/>
        </w:rPr>
        <w:t xml:space="preserve"> a la concentración</w:t>
      </w:r>
      <w:r>
        <w:t xml:space="preserve"> ya que conducen a la concentración de acceso o</w:t>
      </w:r>
      <w:r w:rsidR="003E79BB">
        <w:t xml:space="preserve"> </w:t>
      </w:r>
      <w:r>
        <w:t xml:space="preserve">a la </w:t>
      </w:r>
      <w:r w:rsidR="00480778">
        <w:t>concentración de absorción</w:t>
      </w:r>
      <w:r>
        <w:t xml:space="preserve">. Es por eso </w:t>
      </w:r>
      <w:proofErr w:type="gramStart"/>
      <w:r>
        <w:t>que</w:t>
      </w:r>
      <w:proofErr w:type="gramEnd"/>
      <w:r>
        <w:t xml:space="preserve"> su integridad, etc., debe entenderse como "</w:t>
      </w:r>
      <w:r w:rsidR="00BB740B">
        <w:t>purificación</w:t>
      </w:r>
      <w:r>
        <w:t>" (ver también VII.101f.).</w:t>
      </w:r>
    </w:p>
    <w:p w14:paraId="6677A442" w14:textId="72D1CA3D" w:rsidR="00730DD8" w:rsidRDefault="00730DD8" w:rsidP="00730DD8">
      <w:r>
        <w:t xml:space="preserve">153. </w:t>
      </w:r>
      <w:r w:rsidR="00AF326C">
        <w:tab/>
      </w:r>
      <w:r>
        <w:t xml:space="preserve">Esta </w:t>
      </w:r>
      <w:r w:rsidR="00BB740B">
        <w:t xml:space="preserve">purificación </w:t>
      </w:r>
      <w:r>
        <w:t xml:space="preserve">se realiza de dos maneras: al ver el peligro </w:t>
      </w:r>
      <w:r w:rsidR="009831AA">
        <w:t xml:space="preserve">en </w:t>
      </w:r>
      <w:r>
        <w:t xml:space="preserve">el fracaso </w:t>
      </w:r>
      <w:r w:rsidR="00BB740B">
        <w:t>de</w:t>
      </w:r>
      <w:r>
        <w:t xml:space="preserve"> la virtud, y al ver el beneficio de la virtud perfeccionada. [54] Aquí, el peligro de </w:t>
      </w:r>
      <w:r w:rsidR="009831AA">
        <w:t>fracasar</w:t>
      </w:r>
      <w:r>
        <w:t xml:space="preserve"> en la virtud puede verse de acuerdo con </w:t>
      </w:r>
      <w:r w:rsidRPr="009831AA">
        <w:rPr>
          <w:i/>
          <w:iCs/>
        </w:rPr>
        <w:t>suttas</w:t>
      </w:r>
      <w:r>
        <w:t xml:space="preserve"> tales como el que comienza</w:t>
      </w:r>
      <w:r w:rsidR="00A75858">
        <w:t xml:space="preserve"> así</w:t>
      </w:r>
      <w:r>
        <w:t>, “</w:t>
      </w:r>
      <w:proofErr w:type="spellStart"/>
      <w:r w:rsidR="00057BF4" w:rsidRPr="00057BF4">
        <w:rPr>
          <w:i/>
          <w:iCs/>
        </w:rPr>
        <w:t>Bhikkhu</w:t>
      </w:r>
      <w:r w:rsidRPr="003E79BB">
        <w:rPr>
          <w:i/>
          <w:iCs/>
        </w:rPr>
        <w:t>s</w:t>
      </w:r>
      <w:proofErr w:type="spellEnd"/>
      <w:r>
        <w:t xml:space="preserve">, existen estos cinco peligros </w:t>
      </w:r>
      <w:r w:rsidR="009831AA">
        <w:t>en</w:t>
      </w:r>
      <w:r>
        <w:t xml:space="preserve"> los no virtuosos en </w:t>
      </w:r>
      <w:r w:rsidR="00687C73">
        <w:t>el fracaso</w:t>
      </w:r>
      <w:r>
        <w:t xml:space="preserve"> de </w:t>
      </w:r>
      <w:r w:rsidR="00687C73">
        <w:t>su</w:t>
      </w:r>
      <w:r>
        <w:t xml:space="preserve"> virtud” (A III 252).</w:t>
      </w:r>
    </w:p>
    <w:p w14:paraId="16E57556" w14:textId="014F1A6D" w:rsidR="00730DD8" w:rsidRDefault="00730DD8" w:rsidP="00730DD8">
      <w:r>
        <w:t xml:space="preserve">154. </w:t>
      </w:r>
      <w:r w:rsidR="00AF326C">
        <w:tab/>
      </w:r>
      <w:r>
        <w:t xml:space="preserve">Además, debido a su </w:t>
      </w:r>
      <w:r w:rsidR="00687C73">
        <w:t>carencia</w:t>
      </w:r>
      <w:r>
        <w:t xml:space="preserve"> de virtud, un </w:t>
      </w:r>
      <w:r w:rsidR="002848FF">
        <w:t>individuo</w:t>
      </w:r>
      <w:r>
        <w:t xml:space="preserve"> no virtuos</w:t>
      </w:r>
      <w:r w:rsidR="002848FF">
        <w:t>o</w:t>
      </w:r>
      <w:r>
        <w:t xml:space="preserve"> desagrada a deidades y a seres humanos, no puede ser instruid</w:t>
      </w:r>
      <w:r w:rsidR="002848FF">
        <w:t>o</w:t>
      </w:r>
      <w:r>
        <w:t xml:space="preserve"> por sus compañeros en la vida de </w:t>
      </w:r>
      <w:r w:rsidR="00557F47">
        <w:t>purificación</w:t>
      </w:r>
      <w:r>
        <w:t xml:space="preserve">, sufre cuando se </w:t>
      </w:r>
      <w:r w:rsidR="00557F47">
        <w:t xml:space="preserve">le </w:t>
      </w:r>
      <w:r>
        <w:t xml:space="preserve">censura la falta de </w:t>
      </w:r>
      <w:r w:rsidR="00557F47">
        <w:t xml:space="preserve">su </w:t>
      </w:r>
      <w:r>
        <w:t xml:space="preserve">virtud y se </w:t>
      </w:r>
      <w:r w:rsidR="002848FF">
        <w:t>reciente</w:t>
      </w:r>
      <w:r>
        <w:t xml:space="preserve"> cuando se alaba a los virtuosos. Debido a esa </w:t>
      </w:r>
      <w:r w:rsidR="002848FF">
        <w:t>carencia</w:t>
      </w:r>
      <w:r>
        <w:t xml:space="preserve"> de virtud, </w:t>
      </w:r>
      <w:r w:rsidR="00B079D9">
        <w:t>resulta</w:t>
      </w:r>
      <w:r>
        <w:t xml:space="preserve"> tan fe</w:t>
      </w:r>
      <w:r w:rsidR="00B079D9">
        <w:t>o</w:t>
      </w:r>
      <w:r>
        <w:t xml:space="preserve"> como la tela de cáñamo. El contacto con </w:t>
      </w:r>
      <w:r w:rsidR="00B079D9">
        <w:t xml:space="preserve">él </w:t>
      </w:r>
      <w:r>
        <w:t>es doloroso porque aquello</w:t>
      </w:r>
      <w:r w:rsidR="00671C40">
        <w:t>s</w:t>
      </w:r>
      <w:r>
        <w:t xml:space="preserve"> que </w:t>
      </w:r>
      <w:r w:rsidR="009A00A6">
        <w:t>abrig</w:t>
      </w:r>
      <w:r w:rsidR="00671C40">
        <w:t>uen</w:t>
      </w:r>
      <w:r>
        <w:t xml:space="preserve"> sus puntos de vista s</w:t>
      </w:r>
      <w:r w:rsidR="00671C40">
        <w:t>erá</w:t>
      </w:r>
      <w:r>
        <w:t xml:space="preserve">n </w:t>
      </w:r>
      <w:r w:rsidR="002848FF">
        <w:t>conducidos</w:t>
      </w:r>
      <w:r>
        <w:t xml:space="preserve"> a un sufrimiento duradero en los estados de p</w:t>
      </w:r>
      <w:r w:rsidR="002848FF">
        <w:t>erdición</w:t>
      </w:r>
      <w:r>
        <w:t xml:space="preserve">. Él </w:t>
      </w:r>
      <w:r w:rsidR="009A00A6">
        <w:t>carece de valor</w:t>
      </w:r>
      <w:r>
        <w:t xml:space="preserve"> porque no </w:t>
      </w:r>
      <w:r w:rsidR="00704F0B">
        <w:t xml:space="preserve">les </w:t>
      </w:r>
      <w:r w:rsidR="009A00A6">
        <w:t xml:space="preserve">genera ningún </w:t>
      </w:r>
      <w:r>
        <w:t>gran fruto</w:t>
      </w:r>
      <w:r w:rsidR="00476A0E">
        <w:t>, ni</w:t>
      </w:r>
      <w:r>
        <w:t xml:space="preserve"> </w:t>
      </w:r>
      <w:r w:rsidR="00476A0E">
        <w:t xml:space="preserve">que </w:t>
      </w:r>
      <w:r w:rsidR="00671C40">
        <w:t xml:space="preserve">éste </w:t>
      </w:r>
      <w:r w:rsidR="009A00A6">
        <w:t xml:space="preserve">se </w:t>
      </w:r>
      <w:r>
        <w:t>acumule</w:t>
      </w:r>
      <w:r w:rsidR="00476A0E">
        <w:t>,</w:t>
      </w:r>
      <w:r>
        <w:t xml:space="preserve"> </w:t>
      </w:r>
      <w:r w:rsidR="00671C40">
        <w:t>en</w:t>
      </w:r>
      <w:r>
        <w:t xml:space="preserve"> </w:t>
      </w:r>
      <w:r w:rsidR="00476A0E">
        <w:t xml:space="preserve">quienes </w:t>
      </w:r>
      <w:r>
        <w:t>le</w:t>
      </w:r>
      <w:r w:rsidR="00704F0B">
        <w:t>s</w:t>
      </w:r>
      <w:r>
        <w:t xml:space="preserve"> </w:t>
      </w:r>
      <w:r w:rsidR="00476A0E">
        <w:t>haga presentes</w:t>
      </w:r>
      <w:r>
        <w:t xml:space="preserve">. Es tan difícil de purificar como un pozo negro de muchos años. Es como </w:t>
      </w:r>
      <w:r w:rsidR="00F86839">
        <w:t>el leño</w:t>
      </w:r>
      <w:r>
        <w:t xml:space="preserve"> </w:t>
      </w:r>
      <w:r w:rsidR="00F86839">
        <w:t xml:space="preserve">de una </w:t>
      </w:r>
      <w:r>
        <w:t xml:space="preserve">pira (ver It 99); </w:t>
      </w:r>
      <w:r w:rsidR="00F86839">
        <w:t xml:space="preserve">ya </w:t>
      </w:r>
      <w:r>
        <w:t xml:space="preserve">que está fuera de ambos </w:t>
      </w:r>
      <w:r w:rsidR="00F86839">
        <w:t xml:space="preserve">gremios </w:t>
      </w:r>
      <w:r>
        <w:t>[</w:t>
      </w:r>
      <w:r w:rsidR="00F86839">
        <w:t xml:space="preserve">del </w:t>
      </w:r>
      <w:r>
        <w:t xml:space="preserve">recluso y </w:t>
      </w:r>
      <w:r w:rsidR="00F86839">
        <w:t xml:space="preserve">del </w:t>
      </w:r>
      <w:r>
        <w:t>estado laico]. Aunque reclam</w:t>
      </w:r>
      <w:r w:rsidR="00F86839">
        <w:t>e</w:t>
      </w:r>
      <w:r>
        <w:t xml:space="preserve"> el estado de </w:t>
      </w:r>
      <w:proofErr w:type="spellStart"/>
      <w:r w:rsidR="00057BF4" w:rsidRPr="00057BF4">
        <w:rPr>
          <w:i/>
          <w:iCs/>
        </w:rPr>
        <w:t>bhikkhu</w:t>
      </w:r>
      <w:proofErr w:type="spellEnd"/>
      <w:r>
        <w:t xml:space="preserve">, no es </w:t>
      </w:r>
      <w:proofErr w:type="spellStart"/>
      <w:r w:rsidR="00057BF4" w:rsidRPr="00057BF4">
        <w:rPr>
          <w:i/>
          <w:iCs/>
        </w:rPr>
        <w:t>bhikkhu</w:t>
      </w:r>
      <w:proofErr w:type="spellEnd"/>
      <w:r>
        <w:t xml:space="preserve">, </w:t>
      </w:r>
      <w:r w:rsidR="00F86839">
        <w:t xml:space="preserve">así que </w:t>
      </w:r>
      <w:r w:rsidR="006B6B8A">
        <w:t xml:space="preserve">será </w:t>
      </w:r>
      <w:r>
        <w:t>como un burro que sig</w:t>
      </w:r>
      <w:r w:rsidR="006B6B8A">
        <w:t>a</w:t>
      </w:r>
      <w:r>
        <w:t xml:space="preserve"> a una manada de ganado</w:t>
      </w:r>
      <w:r w:rsidR="00F86839">
        <w:t>s</w:t>
      </w:r>
      <w:r>
        <w:t>. Siempre est</w:t>
      </w:r>
      <w:r w:rsidR="006B6B8A">
        <w:t>ar</w:t>
      </w:r>
      <w:r>
        <w:t xml:space="preserve">á nervioso, como un hombre enemigo de todos. </w:t>
      </w:r>
      <w:r w:rsidR="00E6700A">
        <w:t xml:space="preserve">Será </w:t>
      </w:r>
      <w:r>
        <w:t xml:space="preserve">tan </w:t>
      </w:r>
      <w:r w:rsidR="0009454C">
        <w:t>inadecuado</w:t>
      </w:r>
      <w:r>
        <w:t xml:space="preserve"> vivir con él como </w:t>
      </w:r>
      <w:r w:rsidR="0009454C">
        <w:t xml:space="preserve">con </w:t>
      </w:r>
      <w:r>
        <w:t xml:space="preserve">un cadáver muerto. Aunque pueda tener las cualidades del </w:t>
      </w:r>
      <w:r w:rsidR="0009454C">
        <w:t>conocimiento</w:t>
      </w:r>
      <w:r>
        <w:t xml:space="preserve">, etc., </w:t>
      </w:r>
      <w:r w:rsidR="00E6700A">
        <w:t xml:space="preserve">será </w:t>
      </w:r>
      <w:proofErr w:type="spellStart"/>
      <w:r>
        <w:t>an</w:t>
      </w:r>
      <w:proofErr w:type="spellEnd"/>
      <w:r>
        <w:t xml:space="preserve"> inadecuado para </w:t>
      </w:r>
      <w:r w:rsidR="0009454C">
        <w:t xml:space="preserve">la veneración por parte </w:t>
      </w:r>
      <w:r>
        <w:t xml:space="preserve">de sus semejantes en la vida de pureza como lo es el fuego de un osario para los </w:t>
      </w:r>
      <w:r w:rsidRPr="0009454C">
        <w:rPr>
          <w:i/>
          <w:iCs/>
        </w:rPr>
        <w:t>brahmanes</w:t>
      </w:r>
      <w:r>
        <w:t xml:space="preserve">. </w:t>
      </w:r>
      <w:r w:rsidR="00E6700A">
        <w:t xml:space="preserve">Será </w:t>
      </w:r>
      <w:r>
        <w:t xml:space="preserve">tan incapaz de alcanzar la distinción de </w:t>
      </w:r>
      <w:r w:rsidR="0009454C">
        <w:t xml:space="preserve">un </w:t>
      </w:r>
      <w:r>
        <w:t xml:space="preserve">logro como lo es un ciego </w:t>
      </w:r>
      <w:r w:rsidR="0009454C">
        <w:t>al</w:t>
      </w:r>
      <w:r>
        <w:t xml:space="preserve"> ver un objeto visible. </w:t>
      </w:r>
      <w:r w:rsidR="00E6700A">
        <w:t xml:space="preserve">Será </w:t>
      </w:r>
      <w:r>
        <w:t xml:space="preserve">tan descuidado con la Buena Ley como un canalla </w:t>
      </w:r>
      <w:r w:rsidR="00E6700A">
        <w:t>a</w:t>
      </w:r>
      <w:r>
        <w:t xml:space="preserve"> un reino. Aunque se imagin</w:t>
      </w:r>
      <w:r w:rsidR="0009454C">
        <w:t>e</w:t>
      </w:r>
      <w:r>
        <w:t xml:space="preserve"> feliz, sufre porque cosecha sufrimiento, como se cuenta en el Discurso sobre la masa de fuego (A IV 128-34).</w:t>
      </w:r>
    </w:p>
    <w:p w14:paraId="7BD3134B" w14:textId="6B39A993" w:rsidR="00730DD8" w:rsidRDefault="00730DD8" w:rsidP="00730DD8">
      <w:r>
        <w:t xml:space="preserve">155. </w:t>
      </w:r>
      <w:r w:rsidR="00AF326C">
        <w:tab/>
      </w:r>
      <w:r>
        <w:t>Ahora</w:t>
      </w:r>
      <w:r w:rsidR="00F87844">
        <w:t xml:space="preserve"> bien</w:t>
      </w:r>
      <w:r>
        <w:t xml:space="preserve">, el </w:t>
      </w:r>
      <w:r w:rsidR="00F87844">
        <w:rPr>
          <w:i/>
          <w:iCs/>
        </w:rPr>
        <w:t xml:space="preserve">Bhagavā </w:t>
      </w:r>
      <w:r>
        <w:t>ha mostrado que cuando los no</w:t>
      </w:r>
      <w:r w:rsidR="00E04351">
        <w:t>–</w:t>
      </w:r>
      <w:r>
        <w:t>virtuosos tienen sus mentes capturadas por el placer y la satisfacción en la indulgencia e</w:t>
      </w:r>
      <w:r w:rsidR="008939B6">
        <w:t>n</w:t>
      </w:r>
      <w:r>
        <w:t xml:space="preserve"> las cinco cuerdas de los </w:t>
      </w:r>
      <w:r w:rsidR="007831DD">
        <w:t>deseos sensoriales</w:t>
      </w:r>
      <w:r>
        <w:t xml:space="preserve">, </w:t>
      </w:r>
      <w:r w:rsidR="00F87844">
        <w:t>al</w:t>
      </w:r>
      <w:r>
        <w:t xml:space="preserve"> [recibir] </w:t>
      </w:r>
      <w:r w:rsidR="00E827D2">
        <w:t>un</w:t>
      </w:r>
      <w:r>
        <w:t xml:space="preserve"> saludo, </w:t>
      </w:r>
      <w:r w:rsidR="00F87844">
        <w:t>al</w:t>
      </w:r>
      <w:r>
        <w:t xml:space="preserve"> ser honrado</w:t>
      </w:r>
      <w:r w:rsidR="00E827D2">
        <w:t>s</w:t>
      </w:r>
      <w:r>
        <w:t xml:space="preserve">, etc., el resultado de ese </w:t>
      </w:r>
      <w:proofErr w:type="spellStart"/>
      <w:r w:rsidR="00057BF4" w:rsidRPr="00057BF4">
        <w:rPr>
          <w:i/>
          <w:iCs/>
        </w:rPr>
        <w:t>kamma</w:t>
      </w:r>
      <w:proofErr w:type="spellEnd"/>
      <w:r>
        <w:t>, directamente visible en todos los sentidos, es un dolor muy violento, ese [</w:t>
      </w:r>
      <w:proofErr w:type="spellStart"/>
      <w:r w:rsidR="00057BF4" w:rsidRPr="00057BF4">
        <w:rPr>
          <w:i/>
          <w:iCs/>
        </w:rPr>
        <w:t>kamma</w:t>
      </w:r>
      <w:proofErr w:type="spellEnd"/>
      <w:r>
        <w:t xml:space="preserve">] como condición, </w:t>
      </w:r>
      <w:r w:rsidR="00C22E7B">
        <w:t xml:space="preserve">es </w:t>
      </w:r>
      <w:r>
        <w:t xml:space="preserve">capaz de producir un chorro de sangre caliente causando agonía </w:t>
      </w:r>
      <w:r w:rsidR="000B6608">
        <w:t xml:space="preserve">en </w:t>
      </w:r>
      <w:r>
        <w:t>el corazón con l</w:t>
      </w:r>
      <w:r w:rsidR="00C22E7B">
        <w:t>a</w:t>
      </w:r>
      <w:r>
        <w:t xml:space="preserve"> mer</w:t>
      </w:r>
      <w:r w:rsidR="00C22E7B">
        <w:t>a</w:t>
      </w:r>
      <w:r>
        <w:t xml:space="preserve"> </w:t>
      </w:r>
      <w:r w:rsidR="00C22E7B">
        <w:t>evocación</w:t>
      </w:r>
      <w:r>
        <w:t xml:space="preserve"> de ello. Aquí el texto:</w:t>
      </w:r>
    </w:p>
    <w:p w14:paraId="53AB6F7B" w14:textId="01F0053B" w:rsidR="008F42C7" w:rsidRDefault="00730DD8" w:rsidP="00730DD8">
      <w:pPr>
        <w:pStyle w:val="NormalConSangria"/>
      </w:pPr>
      <w:r>
        <w:t>“</w:t>
      </w:r>
      <w:proofErr w:type="spellStart"/>
      <w:r w:rsidR="00057BF4" w:rsidRPr="00057BF4">
        <w:rPr>
          <w:i/>
          <w:iCs/>
        </w:rPr>
        <w:t>Bhikkhu</w:t>
      </w:r>
      <w:r w:rsidRPr="003E79BB">
        <w:rPr>
          <w:i/>
          <w:iCs/>
        </w:rPr>
        <w:t>s</w:t>
      </w:r>
      <w:proofErr w:type="spellEnd"/>
      <w:r>
        <w:t xml:space="preserve">, ¿ven esa gran masa de fuego ardiendo, resplandeciendo y </w:t>
      </w:r>
      <w:r w:rsidR="003A5533">
        <w:t>crepitando</w:t>
      </w:r>
      <w:r>
        <w:t xml:space="preserve">? </w:t>
      </w:r>
      <w:r w:rsidR="000B6608">
        <w:t xml:space="preserve">― </w:t>
      </w:r>
      <w:r>
        <w:t xml:space="preserve">Sí, </w:t>
      </w:r>
      <w:r w:rsidR="000B6608">
        <w:t xml:space="preserve">Venerable </w:t>
      </w:r>
      <w:r>
        <w:t>señor</w:t>
      </w:r>
      <w:r w:rsidR="0006204E">
        <w:t xml:space="preserve"> ―</w:t>
      </w:r>
      <w:r>
        <w:t xml:space="preserve"> </w:t>
      </w:r>
      <w:r w:rsidR="0006204E">
        <w:t xml:space="preserve">¿Qué creen </w:t>
      </w:r>
      <w:proofErr w:type="spellStart"/>
      <w:r w:rsidR="0006204E">
        <w:rPr>
          <w:i/>
          <w:iCs/>
        </w:rPr>
        <w:t>bhikkhus</w:t>
      </w:r>
      <w:proofErr w:type="spellEnd"/>
      <w:r w:rsidR="0052722E">
        <w:rPr>
          <w:i/>
          <w:iCs/>
        </w:rPr>
        <w:t xml:space="preserve"> </w:t>
      </w:r>
      <w:r w:rsidR="0052722E" w:rsidRPr="0052722E">
        <w:t>que sea mejor</w:t>
      </w:r>
      <w:r w:rsidR="0052722E">
        <w:rPr>
          <w:i/>
          <w:iCs/>
        </w:rPr>
        <w:t xml:space="preserve">, </w:t>
      </w:r>
      <w:r w:rsidR="0052722E">
        <w:t>que aquel que se haya ordenado</w:t>
      </w:r>
      <w:r w:rsidR="003A5533">
        <w:t xml:space="preserve"> se siente o se recueste sobre</w:t>
      </w:r>
      <w:r>
        <w:t xml:space="preserve"> </w:t>
      </w:r>
      <w:r w:rsidR="003A5533">
        <w:t>un</w:t>
      </w:r>
      <w:r w:rsidR="0006204E">
        <w:t xml:space="preserve"> </w:t>
      </w:r>
      <w:r>
        <w:t>fuego que ard</w:t>
      </w:r>
      <w:r w:rsidR="003A5533">
        <w:t>a</w:t>
      </w:r>
      <w:r>
        <w:t>, resplande</w:t>
      </w:r>
      <w:r w:rsidR="003A5533">
        <w:t>zca</w:t>
      </w:r>
      <w:r>
        <w:t xml:space="preserve"> y </w:t>
      </w:r>
      <w:r w:rsidR="003A5533">
        <w:t>crepite</w:t>
      </w:r>
      <w:r>
        <w:t xml:space="preserve">, o que </w:t>
      </w:r>
      <w:r w:rsidR="003A5533">
        <w:t xml:space="preserve">se siente </w:t>
      </w:r>
      <w:r>
        <w:t xml:space="preserve">o </w:t>
      </w:r>
      <w:r w:rsidR="003A5533">
        <w:t>re</w:t>
      </w:r>
      <w:r>
        <w:t>c</w:t>
      </w:r>
      <w:r w:rsidR="003A5533">
        <w:t>ue</w:t>
      </w:r>
      <w:r>
        <w:t xml:space="preserve">ste abrazando a una noble doncella </w:t>
      </w:r>
      <w:r w:rsidR="000B4491">
        <w:t xml:space="preserve">de casta </w:t>
      </w:r>
      <w:r>
        <w:t xml:space="preserve">guerrera o a una doncella </w:t>
      </w:r>
      <w:r w:rsidRPr="003A5533">
        <w:rPr>
          <w:i/>
          <w:iCs/>
        </w:rPr>
        <w:t>brahmán</w:t>
      </w:r>
      <w:r>
        <w:t xml:space="preserve"> o a una doncella de familia </w:t>
      </w:r>
      <w:r w:rsidR="000B4491">
        <w:t>laica</w:t>
      </w:r>
      <w:r>
        <w:t>, con manos y pies suaves y delicados?</w:t>
      </w:r>
      <w:r w:rsidR="00FE450D">
        <w:t>”</w:t>
      </w:r>
      <w:r>
        <w:t xml:space="preserve"> </w:t>
      </w:r>
      <w:r w:rsidR="00FE450D">
        <w:t>“</w:t>
      </w:r>
      <w:r>
        <w:t xml:space="preserve">Sería mejor, </w:t>
      </w:r>
      <w:r w:rsidR="000B4491">
        <w:t xml:space="preserve">Venerable </w:t>
      </w:r>
      <w:r>
        <w:t xml:space="preserve">señor, que se sentara o se </w:t>
      </w:r>
      <w:r w:rsidR="000B4491">
        <w:t>re</w:t>
      </w:r>
      <w:r>
        <w:t>costara abrazado a una noble doncella</w:t>
      </w:r>
      <w:r w:rsidR="000B4491">
        <w:t xml:space="preserve"> de casta guerrera</w:t>
      </w:r>
      <w:r>
        <w:t xml:space="preserve">… [55] Sería </w:t>
      </w:r>
      <w:r w:rsidR="00FE450D">
        <w:t xml:space="preserve">más </w:t>
      </w:r>
      <w:r>
        <w:t xml:space="preserve">doloroso, </w:t>
      </w:r>
      <w:r w:rsidR="000B4491">
        <w:t xml:space="preserve">Venerable </w:t>
      </w:r>
    </w:p>
    <w:p w14:paraId="1E77C83B" w14:textId="77777777" w:rsidR="008F42C7" w:rsidRDefault="008F42C7">
      <w:pPr>
        <w:tabs>
          <w:tab w:val="clear" w:pos="425"/>
        </w:tabs>
        <w:spacing w:after="160"/>
      </w:pPr>
      <w:r>
        <w:br w:type="page"/>
      </w:r>
    </w:p>
    <w:p w14:paraId="7B4832E0" w14:textId="0089C4EF" w:rsidR="000543A3" w:rsidRDefault="003E79BB" w:rsidP="003E79BB">
      <w:r w:rsidRPr="003E79BB">
        <w:lastRenderedPageBreak/>
        <w:t>señor,</w:t>
      </w:r>
      <w:r>
        <w:t xml:space="preserve"> </w:t>
      </w:r>
      <w:r w:rsidR="000543A3">
        <w:t>si se senta</w:t>
      </w:r>
      <w:r w:rsidR="000B4491">
        <w:t>r</w:t>
      </w:r>
      <w:r w:rsidR="000543A3">
        <w:t xml:space="preserve">a o se </w:t>
      </w:r>
      <w:r w:rsidR="000B4491">
        <w:t>re</w:t>
      </w:r>
      <w:r w:rsidR="00FE450D">
        <w:t>c</w:t>
      </w:r>
      <w:r w:rsidR="000543A3">
        <w:t>osta</w:t>
      </w:r>
      <w:r w:rsidR="000B4491">
        <w:t>r</w:t>
      </w:r>
      <w:r w:rsidR="000543A3">
        <w:t xml:space="preserve">a abrazando aquella gran masa de fuego ardiendo, </w:t>
      </w:r>
      <w:r w:rsidR="000B4491">
        <w:t>resplandeciendo</w:t>
      </w:r>
      <w:r w:rsidR="000543A3">
        <w:t xml:space="preserve"> y </w:t>
      </w:r>
      <w:r w:rsidR="009C21CE">
        <w:t>crepitando</w:t>
      </w:r>
      <w:r w:rsidR="00FE450D">
        <w:t>”</w:t>
      </w:r>
      <w:r w:rsidR="000543A3">
        <w:t>.</w:t>
      </w:r>
    </w:p>
    <w:p w14:paraId="1BD4AE78" w14:textId="66EC2F72" w:rsidR="000543A3" w:rsidRDefault="000543A3" w:rsidP="003E79BB">
      <w:r>
        <w:t xml:space="preserve">156. </w:t>
      </w:r>
      <w:r w:rsidR="003E79BB">
        <w:tab/>
      </w:r>
      <w:r>
        <w:t xml:space="preserve">“Os digo, </w:t>
      </w:r>
      <w:proofErr w:type="spellStart"/>
      <w:r w:rsidR="00057BF4" w:rsidRPr="00057BF4">
        <w:rPr>
          <w:i/>
          <w:iCs/>
          <w:color w:val="000000" w:themeColor="text1"/>
        </w:rPr>
        <w:t>bhikkhu</w:t>
      </w:r>
      <w:r w:rsidR="003E79BB">
        <w:rPr>
          <w:i/>
          <w:iCs/>
          <w:color w:val="000000" w:themeColor="text1"/>
        </w:rPr>
        <w:t>s</w:t>
      </w:r>
      <w:proofErr w:type="spellEnd"/>
      <w:r>
        <w:t xml:space="preserve">, os </w:t>
      </w:r>
      <w:r w:rsidR="009C21CE">
        <w:t>afirmo</w:t>
      </w:r>
      <w:r>
        <w:t xml:space="preserve">, </w:t>
      </w:r>
      <w:proofErr w:type="spellStart"/>
      <w:r w:rsidR="00057BF4" w:rsidRPr="00057BF4">
        <w:rPr>
          <w:i/>
          <w:iCs/>
          <w:color w:val="000000" w:themeColor="text1"/>
        </w:rPr>
        <w:t>bhikkhu</w:t>
      </w:r>
      <w:r w:rsidR="003E79BB">
        <w:rPr>
          <w:i/>
          <w:iCs/>
          <w:color w:val="000000" w:themeColor="text1"/>
        </w:rPr>
        <w:t>s</w:t>
      </w:r>
      <w:proofErr w:type="spellEnd"/>
      <w:r>
        <w:t xml:space="preserve">, que sería mejor </w:t>
      </w:r>
      <w:r w:rsidR="00015E40">
        <w:t xml:space="preserve">que </w:t>
      </w:r>
      <w:r w:rsidR="009C21CE">
        <w:t xml:space="preserve">alguien </w:t>
      </w:r>
      <w:r w:rsidR="00015E40">
        <w:t xml:space="preserve">que se haya </w:t>
      </w:r>
      <w:r w:rsidR="009C21CE">
        <w:t>ordenado</w:t>
      </w:r>
      <w:r>
        <w:t xml:space="preserve"> </w:t>
      </w:r>
      <w:r w:rsidR="00015E40">
        <w:t>pero</w:t>
      </w:r>
      <w:r>
        <w:t xml:space="preserve"> no </w:t>
      </w:r>
      <w:r w:rsidR="009C21CE">
        <w:t>sea</w:t>
      </w:r>
      <w:r>
        <w:t xml:space="preserve"> virtuoso, que </w:t>
      </w:r>
      <w:r w:rsidR="009C21CE">
        <w:t>sea</w:t>
      </w:r>
      <w:r>
        <w:t xml:space="preserve"> malvado, de hábitos </w:t>
      </w:r>
      <w:r w:rsidR="003B6620">
        <w:t>impuros</w:t>
      </w:r>
      <w:r>
        <w:t xml:space="preserve"> y sospechosos, reservado </w:t>
      </w:r>
      <w:r w:rsidR="003B6620">
        <w:t>en</w:t>
      </w:r>
      <w:r>
        <w:t xml:space="preserve"> sus actos, que no s</w:t>
      </w:r>
      <w:r w:rsidR="003B6620">
        <w:t>ea</w:t>
      </w:r>
      <w:r>
        <w:t xml:space="preserve"> asceta y pretend</w:t>
      </w:r>
      <w:r w:rsidR="003B6620">
        <w:t>a</w:t>
      </w:r>
      <w:r>
        <w:t xml:space="preserve"> serlo, que no llev</w:t>
      </w:r>
      <w:r w:rsidR="003B6620">
        <w:t>e</w:t>
      </w:r>
      <w:r>
        <w:t xml:space="preserve"> la vida de pureza y pretend</w:t>
      </w:r>
      <w:r w:rsidR="003B6620">
        <w:t>a</w:t>
      </w:r>
      <w:r>
        <w:t xml:space="preserve"> hacerlo, que </w:t>
      </w:r>
      <w:r w:rsidR="003B6620">
        <w:t>sea corrupto internamente</w:t>
      </w:r>
      <w:r>
        <w:t xml:space="preserve">, lujurioso y lleno de corrupción, sentarse o </w:t>
      </w:r>
      <w:r w:rsidR="003B6620">
        <w:t>re</w:t>
      </w:r>
      <w:r>
        <w:t>costarse abrazado a esa gran masa de fuego ardien</w:t>
      </w:r>
      <w:r w:rsidR="003B6620">
        <w:t>te</w:t>
      </w:r>
      <w:r>
        <w:t xml:space="preserve">, </w:t>
      </w:r>
      <w:r w:rsidR="003B6620">
        <w:t xml:space="preserve">resplandeciente </w:t>
      </w:r>
      <w:r>
        <w:t xml:space="preserve">y </w:t>
      </w:r>
      <w:r w:rsidR="003B6620">
        <w:t>crepitante</w:t>
      </w:r>
      <w:r>
        <w:t>. ¿</w:t>
      </w:r>
      <w:proofErr w:type="spellStart"/>
      <w:r>
        <w:t>Porqué</w:t>
      </w:r>
      <w:proofErr w:type="spellEnd"/>
      <w:r>
        <w:t xml:space="preserve"> </w:t>
      </w:r>
      <w:r w:rsidR="003B6620">
        <w:t>sería mejor</w:t>
      </w:r>
      <w:r>
        <w:t xml:space="preserve">? </w:t>
      </w:r>
      <w:r w:rsidR="00FD239A">
        <w:t>Porque a</w:t>
      </w:r>
      <w:r>
        <w:t xml:space="preserve">l hacerlo, monjes, podría llegar a </w:t>
      </w:r>
      <w:r w:rsidR="00015E40">
        <w:t>su</w:t>
      </w:r>
      <w:r>
        <w:t xml:space="preserve"> muerte o a</w:t>
      </w:r>
      <w:r w:rsidR="00015E40">
        <w:t xml:space="preserve"> un</w:t>
      </w:r>
      <w:r>
        <w:t xml:space="preserve"> sufrimiento mortal, pero no </w:t>
      </w:r>
      <w:r w:rsidR="00756184">
        <w:t xml:space="preserve">por ese motivo </w:t>
      </w:r>
      <w:r>
        <w:t xml:space="preserve">reaparecería </w:t>
      </w:r>
      <w:r w:rsidR="0087027A">
        <w:t>necesariamente</w:t>
      </w:r>
      <w:r>
        <w:t xml:space="preserve">, al </w:t>
      </w:r>
      <w:r w:rsidR="0087027A">
        <w:t>colapsar su</w:t>
      </w:r>
      <w:r>
        <w:t xml:space="preserve"> cuerpo, después de la muerte, en </w:t>
      </w:r>
      <w:r w:rsidR="0087027A">
        <w:t xml:space="preserve">los </w:t>
      </w:r>
      <w:r>
        <w:t xml:space="preserve">estados de </w:t>
      </w:r>
      <w:r w:rsidR="00ED2CD6">
        <w:t>privación</w:t>
      </w:r>
      <w:r>
        <w:t xml:space="preserve">, en un destino infeliz, en la perdición, en el infierno. Pero si </w:t>
      </w:r>
      <w:r w:rsidR="00ED2CD6">
        <w:t>alguien</w:t>
      </w:r>
      <w:r>
        <w:t xml:space="preserve"> que no </w:t>
      </w:r>
      <w:r w:rsidR="00ED2CD6">
        <w:t>sea</w:t>
      </w:r>
      <w:r>
        <w:t xml:space="preserve"> virtuoso, de naturaleza malvada... y lleno de corrupción, se sentara o se </w:t>
      </w:r>
      <w:r w:rsidR="00ED2CD6">
        <w:t>re</w:t>
      </w:r>
      <w:r>
        <w:t xml:space="preserve">costara abrazando a una </w:t>
      </w:r>
      <w:r w:rsidR="00ED2CD6">
        <w:t xml:space="preserve">noble </w:t>
      </w:r>
      <w:r>
        <w:t xml:space="preserve">doncella </w:t>
      </w:r>
      <w:r w:rsidR="00ED2CD6">
        <w:t xml:space="preserve">de casta </w:t>
      </w:r>
      <w:r>
        <w:t xml:space="preserve">guerrera... eso </w:t>
      </w:r>
      <w:r w:rsidR="00D17EA4">
        <w:t>s</w:t>
      </w:r>
      <w:r w:rsidR="00D17EA4">
        <w:rPr>
          <w:lang w:val="es-MX"/>
        </w:rPr>
        <w:t xml:space="preserve">í </w:t>
      </w:r>
      <w:r>
        <w:t xml:space="preserve">sería </w:t>
      </w:r>
      <w:r w:rsidR="00D77122">
        <w:t xml:space="preserve">durante mucho </w:t>
      </w:r>
      <w:r>
        <w:t xml:space="preserve">para su </w:t>
      </w:r>
      <w:r w:rsidR="00D77122">
        <w:t xml:space="preserve">perjuicio </w:t>
      </w:r>
      <w:r>
        <w:t xml:space="preserve">y sufrimiento: </w:t>
      </w:r>
      <w:r w:rsidR="00D77122">
        <w:t>a</w:t>
      </w:r>
      <w:r>
        <w:t xml:space="preserve">l </w:t>
      </w:r>
      <w:r w:rsidR="00D77122">
        <w:t xml:space="preserve">colapso </w:t>
      </w:r>
      <w:r>
        <w:t>de</w:t>
      </w:r>
      <w:r w:rsidR="00D77122">
        <w:t xml:space="preserve"> su</w:t>
      </w:r>
      <w:r>
        <w:t xml:space="preserve"> cuerpo, después de la muerte, reaparecería en estados de </w:t>
      </w:r>
      <w:r w:rsidR="00D77122">
        <w:t>privación</w:t>
      </w:r>
      <w:r>
        <w:t>, en un destino infeliz, en la perdición, en el infierno” (A IV 128-29).</w:t>
      </w:r>
    </w:p>
    <w:p w14:paraId="4935E512" w14:textId="01F273A5" w:rsidR="000543A3" w:rsidRDefault="000543A3" w:rsidP="003E79BB">
      <w:r>
        <w:t xml:space="preserve">157. </w:t>
      </w:r>
      <w:r w:rsidR="003E79BB">
        <w:tab/>
      </w:r>
      <w:r>
        <w:t xml:space="preserve">Habiendo mostrado así por medio de la analogía de la masa de fuego el sufrimiento que está </w:t>
      </w:r>
      <w:r w:rsidR="002E6935">
        <w:t>vinculado</w:t>
      </w:r>
      <w:r>
        <w:t xml:space="preserve"> a las mujeres y </w:t>
      </w:r>
      <w:r w:rsidR="002E6935">
        <w:t xml:space="preserve">teniendo </w:t>
      </w:r>
      <w:r>
        <w:t xml:space="preserve">como condición la complacencia de las cinco cuerdas de los </w:t>
      </w:r>
      <w:r w:rsidR="007831DD">
        <w:t>deseos sensoriales</w:t>
      </w:r>
      <w:r>
        <w:t xml:space="preserve"> [por parte de los no virtuosos], con el mismo propósito mostró, por los siguientes símiles de la cuerda de crin de caballo, la lanza afilada, la lámina de hierro, la bola de hierro, la cama de hierro, la silla de hierro y el caldero de hierro, el dolor que tiene como condición [aceptación de] </w:t>
      </w:r>
      <w:r w:rsidR="00AD5325">
        <w:t>veneración</w:t>
      </w:r>
      <w:r>
        <w:t xml:space="preserve"> y reverencia, y el uso de </w:t>
      </w:r>
      <w:r w:rsidR="00AD5325">
        <w:t>ropajes</w:t>
      </w:r>
      <w:r>
        <w:t xml:space="preserve">, </w:t>
      </w:r>
      <w:r w:rsidR="00AD5325">
        <w:t>ofrenda de alimentos</w:t>
      </w:r>
      <w:r>
        <w:t>, cama</w:t>
      </w:r>
      <w:r w:rsidR="00AD5325">
        <w:t>s</w:t>
      </w:r>
      <w:r>
        <w:t xml:space="preserve"> y silla</w:t>
      </w:r>
      <w:r w:rsidR="00AD5325">
        <w:t>s</w:t>
      </w:r>
      <w:r>
        <w:t>, vivienda</w:t>
      </w:r>
      <w:r w:rsidR="00AD5325">
        <w:t>s</w:t>
      </w:r>
      <w:r>
        <w:t xml:space="preserve"> [por </w:t>
      </w:r>
      <w:r w:rsidR="00AD5325">
        <w:t xml:space="preserve">parte de </w:t>
      </w:r>
      <w:proofErr w:type="spellStart"/>
      <w:r w:rsidR="00057BF4" w:rsidRPr="00057BF4">
        <w:rPr>
          <w:i/>
          <w:iCs/>
        </w:rPr>
        <w:t>bhikkhu</w:t>
      </w:r>
      <w:r w:rsidRPr="003E79BB">
        <w:rPr>
          <w:i/>
          <w:iCs/>
        </w:rPr>
        <w:t>s</w:t>
      </w:r>
      <w:proofErr w:type="spellEnd"/>
      <w:r>
        <w:t xml:space="preserve"> no virtuosos</w:t>
      </w:r>
      <w:r w:rsidR="00AD5325">
        <w:t xml:space="preserve"> y que pretendan serlo</w:t>
      </w:r>
      <w:r>
        <w:t>]:</w:t>
      </w:r>
    </w:p>
    <w:p w14:paraId="33A1B536" w14:textId="7F2F0487" w:rsidR="000543A3" w:rsidRDefault="000543A3" w:rsidP="000543A3">
      <w:pPr>
        <w:pStyle w:val="NormalConSangria"/>
      </w:pPr>
      <w:r>
        <w:t xml:space="preserve">“¿Qué piensan, monjes, que </w:t>
      </w:r>
      <w:r w:rsidR="00AD5325">
        <w:t>se</w:t>
      </w:r>
      <w:r w:rsidR="00414723">
        <w:t xml:space="preserve">ría </w:t>
      </w:r>
      <w:r>
        <w:t>mejor, que uno deb</w:t>
      </w:r>
      <w:r w:rsidR="00AD5325">
        <w:t>a</w:t>
      </w:r>
      <w:r>
        <w:t xml:space="preserve"> tener una fuerte cuerda de crin de caballo enrollada alrededor de ambas piernas por un hombre fuerte y apretada de modo que corte a través de la piel exterior, y después de cort</w:t>
      </w:r>
      <w:r w:rsidR="00AD5325">
        <w:t>ar</w:t>
      </w:r>
      <w:r>
        <w:t xml:space="preserve"> la piel exterior, corte a través </w:t>
      </w:r>
      <w:proofErr w:type="spellStart"/>
      <w:r>
        <w:t>del</w:t>
      </w:r>
      <w:proofErr w:type="spellEnd"/>
      <w:r>
        <w:t xml:space="preserve"> la piel interior, y habiendo cortado la piel interior, cort</w:t>
      </w:r>
      <w:r w:rsidR="00AD5325">
        <w:t>e</w:t>
      </w:r>
      <w:r>
        <w:t xml:space="preserve"> la carne, y habiendo cortado la carne, cort</w:t>
      </w:r>
      <w:r w:rsidR="00AD5325">
        <w:t>e</w:t>
      </w:r>
      <w:r>
        <w:t xml:space="preserve"> los tendones, y habiendo cortado los tendones, cort</w:t>
      </w:r>
      <w:r w:rsidR="00AD5325">
        <w:t>e</w:t>
      </w:r>
      <w:r>
        <w:t xml:space="preserve"> los huesos, y habiendo cortado los huesos, qued</w:t>
      </w:r>
      <w:r w:rsidR="00AD5325">
        <w:t>e</w:t>
      </w:r>
      <w:r>
        <w:t xml:space="preserve"> triturando los médula ósea</w:t>
      </w:r>
      <w:r w:rsidR="007C50AD">
        <w:t>—</w:t>
      </w:r>
      <w:r>
        <w:t xml:space="preserve"> o que </w:t>
      </w:r>
      <w:r w:rsidR="00AD5325">
        <w:t>consienta</w:t>
      </w:r>
      <w:r>
        <w:t xml:space="preserve"> </w:t>
      </w:r>
      <w:r w:rsidR="00AD5325">
        <w:t xml:space="preserve">el saludo reverencial </w:t>
      </w:r>
      <w:r>
        <w:t xml:space="preserve">de grandes </w:t>
      </w:r>
      <w:r w:rsidR="00481EE6">
        <w:t xml:space="preserve">y nobles </w:t>
      </w:r>
      <w:r>
        <w:t xml:space="preserve">guerreros, grandes </w:t>
      </w:r>
      <w:r w:rsidRPr="003E79BB">
        <w:rPr>
          <w:i/>
          <w:iCs/>
        </w:rPr>
        <w:t>brahmanes</w:t>
      </w:r>
      <w:r>
        <w:t xml:space="preserve">, grandes </w:t>
      </w:r>
      <w:r w:rsidR="00AD5325">
        <w:t>laicos</w:t>
      </w:r>
      <w:r>
        <w:t>? (A IV 129). [56]</w:t>
      </w:r>
    </w:p>
    <w:p w14:paraId="5DB1B201" w14:textId="40B8EAED" w:rsidR="000543A3" w:rsidRDefault="000543A3" w:rsidP="000543A3">
      <w:pPr>
        <w:pStyle w:val="NormalConSangria"/>
      </w:pPr>
      <w:r>
        <w:t xml:space="preserve">Y: “¿Qué </w:t>
      </w:r>
      <w:r w:rsidR="00414723">
        <w:t>piensan</w:t>
      </w:r>
      <w:r>
        <w:t xml:space="preserve">, </w:t>
      </w:r>
      <w:proofErr w:type="spellStart"/>
      <w:r w:rsidR="00057BF4" w:rsidRPr="00057BF4">
        <w:rPr>
          <w:i/>
          <w:iCs/>
          <w:color w:val="000000" w:themeColor="text1"/>
        </w:rPr>
        <w:t>bhikkhu</w:t>
      </w:r>
      <w:r w:rsidR="003E79BB">
        <w:rPr>
          <w:i/>
          <w:iCs/>
          <w:color w:val="000000" w:themeColor="text1"/>
        </w:rPr>
        <w:t>s</w:t>
      </w:r>
      <w:proofErr w:type="spellEnd"/>
      <w:r w:rsidR="003E79BB">
        <w:rPr>
          <w:i/>
          <w:iCs/>
          <w:color w:val="000000" w:themeColor="text1"/>
        </w:rPr>
        <w:t>?</w:t>
      </w:r>
      <w:r>
        <w:t xml:space="preserve">, </w:t>
      </w:r>
      <w:r w:rsidR="003E79BB">
        <w:t>¿</w:t>
      </w:r>
      <w:r>
        <w:t xml:space="preserve">qué </w:t>
      </w:r>
      <w:r w:rsidR="00414723">
        <w:t xml:space="preserve">sería </w:t>
      </w:r>
      <w:r>
        <w:t xml:space="preserve">mejor, que un hombre fuerte </w:t>
      </w:r>
      <w:r w:rsidR="00AD5325">
        <w:t>sea</w:t>
      </w:r>
      <w:r>
        <w:t xml:space="preserve"> heri</w:t>
      </w:r>
      <w:r w:rsidR="00AD5325">
        <w:t>do</w:t>
      </w:r>
      <w:r>
        <w:t xml:space="preserve"> </w:t>
      </w:r>
      <w:r w:rsidR="00AD5325">
        <w:t xml:space="preserve">en </w:t>
      </w:r>
      <w:r>
        <w:t>el pecho con una lanza afilada templada en aceite</w:t>
      </w:r>
      <w:r w:rsidR="007C50AD">
        <w:t>—</w:t>
      </w:r>
      <w:r>
        <w:t xml:space="preserve"> o que consienta el saludo reverencial de grandes </w:t>
      </w:r>
      <w:r w:rsidR="00F853C2">
        <w:t xml:space="preserve">y nobles </w:t>
      </w:r>
      <w:r>
        <w:t xml:space="preserve">guerreros, grandes </w:t>
      </w:r>
      <w:r w:rsidRPr="00AD5325">
        <w:rPr>
          <w:i/>
          <w:iCs/>
        </w:rPr>
        <w:t>brahmanes</w:t>
      </w:r>
      <w:r>
        <w:t xml:space="preserve">, grandes </w:t>
      </w:r>
      <w:r w:rsidR="00AD5325">
        <w:t>laicos</w:t>
      </w:r>
      <w:r>
        <w:t>?” (A IV 130).</w:t>
      </w:r>
    </w:p>
    <w:p w14:paraId="0506C4F5" w14:textId="11C86961" w:rsidR="000543A3" w:rsidRDefault="000543A3" w:rsidP="000543A3">
      <w:pPr>
        <w:pStyle w:val="NormalConSangria"/>
      </w:pPr>
      <w:r>
        <w:t xml:space="preserve">Y: “¿Qué </w:t>
      </w:r>
      <w:r w:rsidR="00414723">
        <w:t>piensan</w:t>
      </w:r>
      <w:r>
        <w:t xml:space="preserve">, </w:t>
      </w:r>
      <w:proofErr w:type="spellStart"/>
      <w:r w:rsidR="00057BF4" w:rsidRPr="00057BF4">
        <w:rPr>
          <w:i/>
          <w:iCs/>
          <w:color w:val="000000" w:themeColor="text1"/>
        </w:rPr>
        <w:t>bhikkhu</w:t>
      </w:r>
      <w:r w:rsidR="003E79BB">
        <w:rPr>
          <w:i/>
          <w:iCs/>
          <w:color w:val="000000" w:themeColor="text1"/>
        </w:rPr>
        <w:t>s</w:t>
      </w:r>
      <w:proofErr w:type="spellEnd"/>
      <w:r w:rsidR="003E79BB">
        <w:rPr>
          <w:i/>
          <w:iCs/>
          <w:color w:val="000000" w:themeColor="text1"/>
        </w:rPr>
        <w:t>?</w:t>
      </w:r>
      <w:r>
        <w:t xml:space="preserve">, </w:t>
      </w:r>
      <w:r w:rsidR="003E79BB">
        <w:t>¿</w:t>
      </w:r>
      <w:r>
        <w:t xml:space="preserve">qué </w:t>
      </w:r>
      <w:r w:rsidR="00414723">
        <w:t xml:space="preserve">sería </w:t>
      </w:r>
      <w:r>
        <w:t>mejor, que el cuerpo de uno sea envuelto por un hombre fuerte en una lámina de hierro al rojo vivo ard</w:t>
      </w:r>
      <w:r w:rsidR="00817A23">
        <w:t>iente</w:t>
      </w:r>
      <w:r>
        <w:t xml:space="preserve">, </w:t>
      </w:r>
      <w:r w:rsidR="00724819">
        <w:t>resplande</w:t>
      </w:r>
      <w:r w:rsidR="00817A23">
        <w:t>ciente</w:t>
      </w:r>
      <w:r w:rsidR="00724819">
        <w:t xml:space="preserve"> y crepit</w:t>
      </w:r>
      <w:r w:rsidR="00817A23">
        <w:t>ante</w:t>
      </w:r>
      <w:r>
        <w:t xml:space="preserve">— o que use </w:t>
      </w:r>
      <w:r w:rsidR="00724819">
        <w:t>los ropajes</w:t>
      </w:r>
      <w:r>
        <w:t xml:space="preserve"> </w:t>
      </w:r>
      <w:r w:rsidR="00724819">
        <w:t>ofrecidos con</w:t>
      </w:r>
      <w:r>
        <w:t xml:space="preserve"> fe por </w:t>
      </w:r>
      <w:r w:rsidR="00F853C2">
        <w:t xml:space="preserve">grandes y nobles guerreros, grandes </w:t>
      </w:r>
      <w:r w:rsidR="00F853C2" w:rsidRPr="00AD5325">
        <w:rPr>
          <w:i/>
          <w:iCs/>
        </w:rPr>
        <w:t>brahmanes</w:t>
      </w:r>
      <w:r w:rsidR="00F853C2">
        <w:t>, grandes laicos</w:t>
      </w:r>
      <w:r>
        <w:t>? (A IV 130-31).</w:t>
      </w:r>
    </w:p>
    <w:p w14:paraId="58E1662C" w14:textId="621CE397" w:rsidR="003A765F" w:rsidRDefault="000543A3" w:rsidP="000543A3">
      <w:pPr>
        <w:pStyle w:val="NormalConSangria"/>
      </w:pPr>
      <w:r>
        <w:t xml:space="preserve">Y: “¿Qué </w:t>
      </w:r>
      <w:r w:rsidR="00414723">
        <w:t>piensan</w:t>
      </w:r>
      <w:r>
        <w:t xml:space="preserve">, </w:t>
      </w:r>
      <w:proofErr w:type="spellStart"/>
      <w:r w:rsidR="00057BF4" w:rsidRPr="00057BF4">
        <w:rPr>
          <w:i/>
          <w:iCs/>
          <w:color w:val="000000" w:themeColor="text1"/>
        </w:rPr>
        <w:t>bhikkhu</w:t>
      </w:r>
      <w:r w:rsidR="003E79BB">
        <w:rPr>
          <w:i/>
          <w:iCs/>
          <w:color w:val="000000" w:themeColor="text1"/>
        </w:rPr>
        <w:t>s</w:t>
      </w:r>
      <w:proofErr w:type="spellEnd"/>
      <w:r w:rsidR="003E79BB">
        <w:rPr>
          <w:i/>
          <w:iCs/>
          <w:color w:val="000000" w:themeColor="text1"/>
        </w:rPr>
        <w:t>?</w:t>
      </w:r>
      <w:r>
        <w:t xml:space="preserve">, </w:t>
      </w:r>
      <w:r w:rsidR="003E79BB">
        <w:t>¿</w:t>
      </w:r>
      <w:r>
        <w:t>qu</w:t>
      </w:r>
      <w:r w:rsidR="006F15A7">
        <w:t>é</w:t>
      </w:r>
      <w:r>
        <w:t xml:space="preserve"> </w:t>
      </w:r>
      <w:r w:rsidR="00414723">
        <w:t xml:space="preserve">sería </w:t>
      </w:r>
      <w:r>
        <w:t>mejor, que un hombre fuerte abr</w:t>
      </w:r>
      <w:r w:rsidR="00817A23">
        <w:t>iese</w:t>
      </w:r>
      <w:r>
        <w:t xml:space="preserve"> la boca con tenazas de hierro al rojo vivo ardiendo, </w:t>
      </w:r>
      <w:r w:rsidR="00724819">
        <w:t>resplandeciendo</w:t>
      </w:r>
      <w:r>
        <w:t xml:space="preserve"> y </w:t>
      </w:r>
      <w:r w:rsidR="00724819">
        <w:t>crepitando</w:t>
      </w:r>
      <w:r>
        <w:t xml:space="preserve">, y que se le ponga en </w:t>
      </w:r>
      <w:r w:rsidR="007C50AD">
        <w:t>su</w:t>
      </w:r>
      <w:r>
        <w:t xml:space="preserve"> boca </w:t>
      </w:r>
      <w:r w:rsidR="007C50AD">
        <w:t xml:space="preserve">una bola de </w:t>
      </w:r>
      <w:r>
        <w:t>hierro al rojo vivo ardiente, resplandeciente</w:t>
      </w:r>
      <w:r w:rsidR="007C50AD">
        <w:t xml:space="preserve"> y crepitante</w:t>
      </w:r>
      <w:r>
        <w:t>, que le quem</w:t>
      </w:r>
      <w:r w:rsidR="007C50AD">
        <w:t>e</w:t>
      </w:r>
      <w:r>
        <w:t xml:space="preserve"> los labios y la boca</w:t>
      </w:r>
      <w:r w:rsidR="007C50AD">
        <w:t>,</w:t>
      </w:r>
      <w:r>
        <w:t xml:space="preserve"> la lengua</w:t>
      </w:r>
      <w:r w:rsidR="007C50AD">
        <w:t>,</w:t>
      </w:r>
      <w:r>
        <w:t xml:space="preserve"> la garganta</w:t>
      </w:r>
      <w:r w:rsidR="007C50AD">
        <w:t>,</w:t>
      </w:r>
      <w:r>
        <w:t xml:space="preserve"> el vientre y sal</w:t>
      </w:r>
      <w:r w:rsidR="007C50AD">
        <w:t>ga</w:t>
      </w:r>
      <w:r>
        <w:t xml:space="preserve"> por debajo llevándose consigo los intestinos y las entrañas</w:t>
      </w:r>
      <w:r w:rsidR="007C50AD">
        <w:t xml:space="preserve"> </w:t>
      </w:r>
      <w:r>
        <w:t>—</w:t>
      </w:r>
      <w:r w:rsidR="007C50AD">
        <w:t xml:space="preserve"> </w:t>
      </w:r>
      <w:r>
        <w:t xml:space="preserve">o que </w:t>
      </w:r>
      <w:r w:rsidR="0036332A">
        <w:t>coma</w:t>
      </w:r>
      <w:r>
        <w:t xml:space="preserve"> </w:t>
      </w:r>
      <w:r w:rsidR="007C50AD">
        <w:t xml:space="preserve">la ofrenda de alimentos ofrecida </w:t>
      </w:r>
      <w:r w:rsidR="003B0A80">
        <w:t xml:space="preserve">con </w:t>
      </w:r>
      <w:r>
        <w:t xml:space="preserve">fe </w:t>
      </w:r>
      <w:r w:rsidR="003B0A80">
        <w:t xml:space="preserve">por grandes y nobles guerreros nobles, grandes </w:t>
      </w:r>
      <w:r w:rsidR="003B0A80">
        <w:rPr>
          <w:i/>
          <w:iCs/>
        </w:rPr>
        <w:t xml:space="preserve">brahmanes </w:t>
      </w:r>
      <w:r w:rsidR="003B0A80" w:rsidRPr="003B0A80">
        <w:t>y</w:t>
      </w:r>
      <w:r w:rsidR="003B0A80">
        <w:t xml:space="preserve"> grandes laicos</w:t>
      </w:r>
      <w:r>
        <w:t>?” (A IV 131-32).</w:t>
      </w:r>
    </w:p>
    <w:p w14:paraId="530A9233" w14:textId="77777777" w:rsidR="003A765F" w:rsidRDefault="003A765F">
      <w:pPr>
        <w:tabs>
          <w:tab w:val="clear" w:pos="425"/>
        </w:tabs>
        <w:spacing w:after="160"/>
      </w:pPr>
      <w:r>
        <w:br w:type="page"/>
      </w:r>
    </w:p>
    <w:p w14:paraId="71E8D97C" w14:textId="34B7DBE0" w:rsidR="003A765F" w:rsidRDefault="003A765F" w:rsidP="003A765F">
      <w:r>
        <w:lastRenderedPageBreak/>
        <w:t xml:space="preserve">Y: </w:t>
      </w:r>
      <w:r w:rsidR="006F15A7">
        <w:t xml:space="preserve">“¿Qué piensan, </w:t>
      </w:r>
      <w:proofErr w:type="spellStart"/>
      <w:r w:rsidR="006F15A7">
        <w:rPr>
          <w:i/>
          <w:iCs/>
          <w:color w:val="000000" w:themeColor="text1"/>
        </w:rPr>
        <w:t>bhikkhus</w:t>
      </w:r>
      <w:proofErr w:type="spellEnd"/>
      <w:r w:rsidR="006F15A7">
        <w:rPr>
          <w:i/>
          <w:iCs/>
          <w:color w:val="000000" w:themeColor="text1"/>
        </w:rPr>
        <w:t>?</w:t>
      </w:r>
      <w:r w:rsidR="006F15A7">
        <w:t>, ¿qué sería mejor</w:t>
      </w:r>
      <w:r>
        <w:t>, que uno ha</w:t>
      </w:r>
      <w:r w:rsidR="003B0A80">
        <w:t xml:space="preserve">ga </w:t>
      </w:r>
      <w:r>
        <w:t xml:space="preserve">que un hombre fuerte agarre </w:t>
      </w:r>
      <w:r w:rsidR="003B0A80">
        <w:t xml:space="preserve">a alguien </w:t>
      </w:r>
      <w:r>
        <w:t>por la cabeza o por los hombros y lo sient</w:t>
      </w:r>
      <w:r w:rsidR="006F15A7">
        <w:t>e</w:t>
      </w:r>
      <w:r>
        <w:t xml:space="preserve"> o</w:t>
      </w:r>
      <w:r w:rsidR="003B0A80">
        <w:t xml:space="preserve"> re</w:t>
      </w:r>
      <w:r>
        <w:t xml:space="preserve">cueste </w:t>
      </w:r>
      <w:r w:rsidR="003B0A80">
        <w:t>sobre</w:t>
      </w:r>
      <w:r>
        <w:t xml:space="preserve"> una cama de hierro al rojo vivo o </w:t>
      </w:r>
      <w:r w:rsidR="006F15A7">
        <w:t>sobre</w:t>
      </w:r>
      <w:r>
        <w:t xml:space="preserve"> una silla de hierro, quem</w:t>
      </w:r>
      <w:r w:rsidR="00C25F62">
        <w:t>a</w:t>
      </w:r>
      <w:r>
        <w:t>n</w:t>
      </w:r>
      <w:r w:rsidR="00C25F62">
        <w:t>te</w:t>
      </w:r>
      <w:r>
        <w:t xml:space="preserve">, resplandeciente y </w:t>
      </w:r>
      <w:r w:rsidR="00C25F62">
        <w:t>crepitante—</w:t>
      </w:r>
      <w:r>
        <w:t xml:space="preserve"> o que us</w:t>
      </w:r>
      <w:r w:rsidR="00C25F62">
        <w:t>e</w:t>
      </w:r>
      <w:r>
        <w:t xml:space="preserve"> una cama o una silla </w:t>
      </w:r>
      <w:r w:rsidR="00C25F62">
        <w:t>ofrecida con</w:t>
      </w:r>
      <w:r>
        <w:t xml:space="preserve"> fe por grandes </w:t>
      </w:r>
      <w:r w:rsidR="00C25F62">
        <w:t xml:space="preserve">y nobles </w:t>
      </w:r>
      <w:r>
        <w:t>guerreros...? (A IV 132-33).</w:t>
      </w:r>
    </w:p>
    <w:p w14:paraId="0CEC708C" w14:textId="3361F23C" w:rsidR="003A765F" w:rsidRDefault="003A765F" w:rsidP="001D0D44">
      <w:pPr>
        <w:pStyle w:val="NormalConSangria"/>
      </w:pPr>
      <w:r>
        <w:t xml:space="preserve">Y: </w:t>
      </w:r>
      <w:r w:rsidR="006F15A7">
        <w:t xml:space="preserve">“¿Qué piensan, </w:t>
      </w:r>
      <w:proofErr w:type="spellStart"/>
      <w:r w:rsidR="006F15A7">
        <w:rPr>
          <w:i/>
          <w:iCs/>
          <w:color w:val="000000" w:themeColor="text1"/>
        </w:rPr>
        <w:t>bhikkhus</w:t>
      </w:r>
      <w:proofErr w:type="spellEnd"/>
      <w:r w:rsidR="006F15A7">
        <w:rPr>
          <w:i/>
          <w:iCs/>
          <w:color w:val="000000" w:themeColor="text1"/>
        </w:rPr>
        <w:t>?</w:t>
      </w:r>
      <w:r w:rsidR="006F15A7">
        <w:t>, ¿qué sería mejor</w:t>
      </w:r>
      <w:r>
        <w:t>, que uno ha</w:t>
      </w:r>
      <w:r w:rsidR="00C25F62">
        <w:t>ga</w:t>
      </w:r>
      <w:r>
        <w:t xml:space="preserve"> que un hombre fuerte tome </w:t>
      </w:r>
      <w:r w:rsidR="00C25F62">
        <w:t>a alguien por</w:t>
      </w:r>
      <w:r>
        <w:t xml:space="preserve"> los pies hacia arriba </w:t>
      </w:r>
      <w:r w:rsidR="00C25F62">
        <w:t>con</w:t>
      </w:r>
      <w:r>
        <w:t xml:space="preserve"> la cabeza hacia abajo y lo sumerja en un caldero de metal al rojo vivo ardien</w:t>
      </w:r>
      <w:r w:rsidR="00C25F62">
        <w:t>te</w:t>
      </w:r>
      <w:r>
        <w:t xml:space="preserve">, </w:t>
      </w:r>
      <w:r w:rsidR="00C25F62">
        <w:t>resplandeciente y crepitante</w:t>
      </w:r>
      <w:r>
        <w:t>, para ser hervido allí en un remolino de espuma, y ​​mientras hierv</w:t>
      </w:r>
      <w:r w:rsidR="00C25F62">
        <w:t>a</w:t>
      </w:r>
      <w:r>
        <w:t xml:space="preserve"> en el remolino de espuma se</w:t>
      </w:r>
      <w:r w:rsidR="003E6F87">
        <w:t>a</w:t>
      </w:r>
      <w:r>
        <w:t xml:space="preserve"> barrido </w:t>
      </w:r>
      <w:r w:rsidR="003E6F87">
        <w:t>luego</w:t>
      </w:r>
      <w:r>
        <w:t xml:space="preserve"> hacia arriba, </w:t>
      </w:r>
      <w:r w:rsidR="003E6F87">
        <w:t xml:space="preserve">luego </w:t>
      </w:r>
      <w:r>
        <w:t xml:space="preserve">hacia abajo y </w:t>
      </w:r>
      <w:r w:rsidR="003E6F87">
        <w:t xml:space="preserve">luego </w:t>
      </w:r>
      <w:r>
        <w:t>a lo largo</w:t>
      </w:r>
      <w:r w:rsidR="003E6F87" w:rsidRPr="003E6F87">
        <w:t xml:space="preserve"> </w:t>
      </w:r>
      <w:r w:rsidR="003E6F87">
        <w:t>—</w:t>
      </w:r>
      <w:r>
        <w:t xml:space="preserve"> o que us</w:t>
      </w:r>
      <w:r w:rsidR="003E6F87">
        <w:t>e</w:t>
      </w:r>
      <w:r>
        <w:t xml:space="preserve"> una vivienda </w:t>
      </w:r>
      <w:r w:rsidR="00DF4A9E">
        <w:t>ofrecida</w:t>
      </w:r>
      <w:r>
        <w:t xml:space="preserve"> </w:t>
      </w:r>
      <w:r w:rsidR="00DF4A9E">
        <w:t xml:space="preserve">con </w:t>
      </w:r>
      <w:r>
        <w:t xml:space="preserve">fe por grandes </w:t>
      </w:r>
      <w:r w:rsidR="00DF4A9E">
        <w:t xml:space="preserve">y nobles </w:t>
      </w:r>
      <w:r>
        <w:t>guerreros...? (A IV 133-34).</w:t>
      </w:r>
    </w:p>
    <w:p w14:paraId="65A66022" w14:textId="1AC985B4" w:rsidR="003A765F" w:rsidRPr="009370A6" w:rsidRDefault="003A765F" w:rsidP="003A765F">
      <w:pPr>
        <w:pStyle w:val="VersoIngls01Sangria"/>
        <w:ind w:left="0"/>
        <w:rPr>
          <w:sz w:val="16"/>
          <w:szCs w:val="20"/>
        </w:rPr>
      </w:pPr>
      <w:r>
        <w:t xml:space="preserve">158. </w:t>
      </w:r>
      <w:r>
        <w:tab/>
      </w:r>
      <w:r>
        <w:tab/>
      </w:r>
      <w:r>
        <w:tab/>
      </w:r>
      <w:r w:rsidRPr="009370A6">
        <w:rPr>
          <w:sz w:val="16"/>
          <w:szCs w:val="20"/>
        </w:rPr>
        <w:t xml:space="preserve">¿Qué placer </w:t>
      </w:r>
      <w:r w:rsidR="00333DCB">
        <w:rPr>
          <w:sz w:val="16"/>
          <w:szCs w:val="20"/>
        </w:rPr>
        <w:t>obtiene</w:t>
      </w:r>
      <w:r w:rsidRPr="009370A6">
        <w:rPr>
          <w:sz w:val="16"/>
          <w:szCs w:val="20"/>
        </w:rPr>
        <w:t xml:space="preserve"> un hombre de virtud </w:t>
      </w:r>
      <w:r w:rsidR="006F2D87">
        <w:rPr>
          <w:sz w:val="16"/>
          <w:szCs w:val="20"/>
        </w:rPr>
        <w:t>transgredida</w:t>
      </w:r>
    </w:p>
    <w:p w14:paraId="3AC2D7D0" w14:textId="7CEC70E4" w:rsidR="003A765F" w:rsidRPr="009370A6" w:rsidRDefault="004269BA" w:rsidP="003A765F">
      <w:pPr>
        <w:pStyle w:val="VersoIngls01Sangria"/>
        <w:rPr>
          <w:sz w:val="16"/>
          <w:szCs w:val="20"/>
        </w:rPr>
      </w:pPr>
      <w:r>
        <w:rPr>
          <w:sz w:val="16"/>
          <w:szCs w:val="20"/>
        </w:rPr>
        <w:t>Abandonando</w:t>
      </w:r>
      <w:r w:rsidR="003A765F" w:rsidRPr="009370A6">
        <w:rPr>
          <w:sz w:val="16"/>
          <w:szCs w:val="20"/>
        </w:rPr>
        <w:t xml:space="preserve"> </w:t>
      </w:r>
      <w:r w:rsidR="004F26D7">
        <w:rPr>
          <w:sz w:val="16"/>
          <w:szCs w:val="20"/>
        </w:rPr>
        <w:t xml:space="preserve">ningún </w:t>
      </w:r>
      <w:r w:rsidR="003A765F" w:rsidRPr="009370A6">
        <w:rPr>
          <w:sz w:val="16"/>
          <w:szCs w:val="20"/>
        </w:rPr>
        <w:t>placer de los sentidos, que dan fruto</w:t>
      </w:r>
    </w:p>
    <w:p w14:paraId="5FDE09C6" w14:textId="617B9603" w:rsidR="003A765F" w:rsidRPr="009370A6" w:rsidRDefault="00AC6792" w:rsidP="003A765F">
      <w:pPr>
        <w:pStyle w:val="VersoIngls01Sangria"/>
        <w:rPr>
          <w:sz w:val="16"/>
          <w:szCs w:val="20"/>
        </w:rPr>
      </w:pPr>
      <w:r w:rsidRPr="009370A6">
        <w:rPr>
          <w:sz w:val="16"/>
          <w:szCs w:val="20"/>
        </w:rPr>
        <w:t>Dolor</w:t>
      </w:r>
      <w:r>
        <w:rPr>
          <w:sz w:val="16"/>
          <w:szCs w:val="20"/>
        </w:rPr>
        <w:t>es</w:t>
      </w:r>
      <w:r w:rsidRPr="009370A6">
        <w:rPr>
          <w:sz w:val="16"/>
          <w:szCs w:val="20"/>
        </w:rPr>
        <w:t xml:space="preserve"> </w:t>
      </w:r>
      <w:proofErr w:type="spellStart"/>
      <w:r w:rsidR="003A765F" w:rsidRPr="009370A6">
        <w:rPr>
          <w:sz w:val="16"/>
          <w:szCs w:val="20"/>
        </w:rPr>
        <w:t>mas</w:t>
      </w:r>
      <w:proofErr w:type="spellEnd"/>
      <w:r w:rsidR="003A765F" w:rsidRPr="009370A6">
        <w:rPr>
          <w:sz w:val="16"/>
          <w:szCs w:val="20"/>
        </w:rPr>
        <w:t xml:space="preserve"> violento</w:t>
      </w:r>
      <w:r w:rsidR="00770CAF">
        <w:rPr>
          <w:sz w:val="16"/>
          <w:szCs w:val="20"/>
        </w:rPr>
        <w:t>s</w:t>
      </w:r>
      <w:r w:rsidR="003A765F" w:rsidRPr="009370A6">
        <w:rPr>
          <w:sz w:val="16"/>
          <w:szCs w:val="20"/>
        </w:rPr>
        <w:t xml:space="preserve"> aun que el dolor</w:t>
      </w:r>
    </w:p>
    <w:p w14:paraId="6429C825" w14:textId="7421BAF2" w:rsidR="003A765F" w:rsidRPr="009370A6" w:rsidRDefault="003B758E" w:rsidP="003A765F">
      <w:pPr>
        <w:pStyle w:val="VersoIngls01Sangria"/>
        <w:spacing w:after="100"/>
        <w:ind w:left="1418"/>
        <w:rPr>
          <w:sz w:val="16"/>
          <w:szCs w:val="20"/>
        </w:rPr>
      </w:pPr>
      <w:r>
        <w:rPr>
          <w:sz w:val="16"/>
          <w:szCs w:val="20"/>
        </w:rPr>
        <w:t>D</w:t>
      </w:r>
      <w:r w:rsidR="003A765F" w:rsidRPr="009370A6">
        <w:rPr>
          <w:sz w:val="16"/>
          <w:szCs w:val="20"/>
        </w:rPr>
        <w:t xml:space="preserve">el abrazo </w:t>
      </w:r>
      <w:r w:rsidR="00A14AFC">
        <w:rPr>
          <w:sz w:val="16"/>
          <w:szCs w:val="20"/>
        </w:rPr>
        <w:t>a</w:t>
      </w:r>
      <w:r w:rsidR="003A765F" w:rsidRPr="009370A6">
        <w:rPr>
          <w:sz w:val="16"/>
          <w:szCs w:val="20"/>
        </w:rPr>
        <w:t xml:space="preserve"> una masa de fuego?</w:t>
      </w:r>
    </w:p>
    <w:p w14:paraId="31F01DC4" w14:textId="74EF73A5" w:rsidR="003A765F" w:rsidRPr="009370A6" w:rsidRDefault="003A765F" w:rsidP="003A765F">
      <w:pPr>
        <w:pStyle w:val="VersoIngls01Sangria"/>
        <w:rPr>
          <w:sz w:val="16"/>
          <w:szCs w:val="20"/>
        </w:rPr>
      </w:pPr>
      <w:r w:rsidRPr="009370A6">
        <w:rPr>
          <w:sz w:val="16"/>
          <w:szCs w:val="20"/>
        </w:rPr>
        <w:t xml:space="preserve">¿Qué placer </w:t>
      </w:r>
      <w:r w:rsidR="003705D6">
        <w:rPr>
          <w:sz w:val="16"/>
          <w:szCs w:val="20"/>
        </w:rPr>
        <w:t>tendría</w:t>
      </w:r>
      <w:r w:rsidRPr="009370A6">
        <w:rPr>
          <w:sz w:val="16"/>
          <w:szCs w:val="20"/>
        </w:rPr>
        <w:t xml:space="preserve"> aceptar </w:t>
      </w:r>
      <w:r w:rsidR="00A14AFC">
        <w:rPr>
          <w:sz w:val="16"/>
          <w:szCs w:val="20"/>
        </w:rPr>
        <w:t>reverencia</w:t>
      </w:r>
      <w:r w:rsidR="003705D6">
        <w:rPr>
          <w:sz w:val="16"/>
          <w:szCs w:val="20"/>
        </w:rPr>
        <w:t>s</w:t>
      </w:r>
    </w:p>
    <w:p w14:paraId="63B2B860" w14:textId="6E2F0964" w:rsidR="003A765F" w:rsidRPr="009370A6" w:rsidRDefault="003A765F" w:rsidP="003A765F">
      <w:pPr>
        <w:pStyle w:val="VersoIngls01Sangria"/>
        <w:rPr>
          <w:sz w:val="16"/>
          <w:szCs w:val="20"/>
        </w:rPr>
      </w:pPr>
      <w:r w:rsidRPr="009370A6">
        <w:rPr>
          <w:sz w:val="16"/>
          <w:szCs w:val="20"/>
        </w:rPr>
        <w:t xml:space="preserve">Quien, habiendo </w:t>
      </w:r>
      <w:r w:rsidR="00822F8E">
        <w:rPr>
          <w:sz w:val="16"/>
          <w:szCs w:val="20"/>
        </w:rPr>
        <w:t>fracasado</w:t>
      </w:r>
      <w:r w:rsidRPr="009370A6">
        <w:rPr>
          <w:sz w:val="16"/>
          <w:szCs w:val="20"/>
        </w:rPr>
        <w:t xml:space="preserve"> en la virtud, </w:t>
      </w:r>
      <w:r w:rsidR="003705D6">
        <w:rPr>
          <w:sz w:val="16"/>
          <w:szCs w:val="20"/>
        </w:rPr>
        <w:t>experimente</w:t>
      </w:r>
    </w:p>
    <w:p w14:paraId="5A58225A" w14:textId="038396F2" w:rsidR="003A765F" w:rsidRPr="009370A6" w:rsidRDefault="003705D6" w:rsidP="003A765F">
      <w:pPr>
        <w:pStyle w:val="VersoIngls01Sangria"/>
        <w:rPr>
          <w:sz w:val="16"/>
          <w:szCs w:val="20"/>
        </w:rPr>
      </w:pPr>
      <w:r w:rsidRPr="009370A6">
        <w:rPr>
          <w:sz w:val="16"/>
          <w:szCs w:val="20"/>
        </w:rPr>
        <w:t>E</w:t>
      </w:r>
      <w:r>
        <w:rPr>
          <w:sz w:val="16"/>
          <w:szCs w:val="20"/>
        </w:rPr>
        <w:t>l</w:t>
      </w:r>
      <w:r w:rsidRPr="009370A6">
        <w:rPr>
          <w:sz w:val="16"/>
          <w:szCs w:val="20"/>
        </w:rPr>
        <w:t xml:space="preserve"> </w:t>
      </w:r>
      <w:r w:rsidR="003A765F" w:rsidRPr="009370A6">
        <w:rPr>
          <w:sz w:val="16"/>
          <w:szCs w:val="20"/>
        </w:rPr>
        <w:t xml:space="preserve">dolor que </w:t>
      </w:r>
      <w:r w:rsidR="00E112A9">
        <w:rPr>
          <w:sz w:val="16"/>
          <w:szCs w:val="20"/>
        </w:rPr>
        <w:t>superaría</w:t>
      </w:r>
      <w:r w:rsidR="003A765F" w:rsidRPr="009370A6">
        <w:rPr>
          <w:sz w:val="16"/>
          <w:szCs w:val="20"/>
        </w:rPr>
        <w:t xml:space="preserve"> </w:t>
      </w:r>
      <w:r w:rsidR="00E112A9">
        <w:rPr>
          <w:sz w:val="16"/>
          <w:szCs w:val="20"/>
        </w:rPr>
        <w:t xml:space="preserve">a </w:t>
      </w:r>
      <w:r w:rsidR="00497F8F">
        <w:rPr>
          <w:sz w:val="16"/>
          <w:szCs w:val="20"/>
        </w:rPr>
        <w:t>la</w:t>
      </w:r>
      <w:r w:rsidR="003A765F" w:rsidRPr="009370A6">
        <w:rPr>
          <w:sz w:val="16"/>
          <w:szCs w:val="20"/>
        </w:rPr>
        <w:t xml:space="preserve"> agonía</w:t>
      </w:r>
    </w:p>
    <w:p w14:paraId="022AAA9E" w14:textId="1EEED9A7" w:rsidR="003A765F" w:rsidRPr="009370A6" w:rsidRDefault="00497F8F" w:rsidP="003A765F">
      <w:pPr>
        <w:pStyle w:val="VersoIngls01Sangria"/>
        <w:spacing w:after="100"/>
        <w:ind w:left="1418"/>
        <w:rPr>
          <w:sz w:val="16"/>
          <w:szCs w:val="20"/>
        </w:rPr>
      </w:pPr>
      <w:r>
        <w:rPr>
          <w:sz w:val="16"/>
          <w:szCs w:val="20"/>
        </w:rPr>
        <w:t>De</w:t>
      </w:r>
      <w:r w:rsidR="003A765F" w:rsidRPr="009370A6">
        <w:rPr>
          <w:sz w:val="16"/>
          <w:szCs w:val="20"/>
        </w:rPr>
        <w:t xml:space="preserve">l aplastamiento de sus piernas </w:t>
      </w:r>
      <w:r w:rsidR="003705D6">
        <w:rPr>
          <w:sz w:val="16"/>
          <w:szCs w:val="20"/>
        </w:rPr>
        <w:t xml:space="preserve">mediante </w:t>
      </w:r>
      <w:r w:rsidR="003A765F" w:rsidRPr="009370A6">
        <w:rPr>
          <w:sz w:val="16"/>
          <w:szCs w:val="20"/>
        </w:rPr>
        <w:t>cuerdas de pelo de caballo? [57]</w:t>
      </w:r>
    </w:p>
    <w:p w14:paraId="39E033A9" w14:textId="70AFA212" w:rsidR="003A765F" w:rsidRPr="009370A6" w:rsidRDefault="003A765F" w:rsidP="003A765F">
      <w:pPr>
        <w:pStyle w:val="VersoIngls01Sangria"/>
        <w:rPr>
          <w:sz w:val="16"/>
          <w:szCs w:val="20"/>
        </w:rPr>
      </w:pPr>
      <w:r w:rsidRPr="009370A6">
        <w:rPr>
          <w:sz w:val="16"/>
          <w:szCs w:val="20"/>
        </w:rPr>
        <w:t xml:space="preserve">¿Qué placer </w:t>
      </w:r>
      <w:r w:rsidR="00023426">
        <w:rPr>
          <w:sz w:val="16"/>
          <w:szCs w:val="20"/>
        </w:rPr>
        <w:t>tendría</w:t>
      </w:r>
      <w:r w:rsidRPr="009370A6">
        <w:rPr>
          <w:sz w:val="16"/>
          <w:szCs w:val="20"/>
        </w:rPr>
        <w:t xml:space="preserve"> un hombre desprovisto de virtud</w:t>
      </w:r>
    </w:p>
    <w:p w14:paraId="692AA014" w14:textId="450F7BE3" w:rsidR="003A765F" w:rsidRPr="009370A6" w:rsidRDefault="003A765F" w:rsidP="003A765F">
      <w:pPr>
        <w:pStyle w:val="VersoIngls01Sangria"/>
        <w:rPr>
          <w:sz w:val="16"/>
          <w:szCs w:val="20"/>
        </w:rPr>
      </w:pPr>
      <w:r w:rsidRPr="009370A6">
        <w:rPr>
          <w:sz w:val="16"/>
          <w:szCs w:val="20"/>
        </w:rPr>
        <w:t>Acepta</w:t>
      </w:r>
      <w:r w:rsidR="00023426">
        <w:rPr>
          <w:sz w:val="16"/>
          <w:szCs w:val="20"/>
        </w:rPr>
        <w:t>r</w:t>
      </w:r>
      <w:r w:rsidRPr="009370A6">
        <w:rPr>
          <w:sz w:val="16"/>
          <w:szCs w:val="20"/>
        </w:rPr>
        <w:t xml:space="preserve"> los saludos </w:t>
      </w:r>
      <w:r w:rsidR="00023426">
        <w:rPr>
          <w:sz w:val="16"/>
          <w:szCs w:val="20"/>
        </w:rPr>
        <w:t xml:space="preserve">reverenciales </w:t>
      </w:r>
      <w:r w:rsidRPr="009370A6">
        <w:rPr>
          <w:sz w:val="16"/>
          <w:szCs w:val="20"/>
        </w:rPr>
        <w:t>de los fieles,</w:t>
      </w:r>
    </w:p>
    <w:p w14:paraId="234C0D43" w14:textId="4719F565" w:rsidR="003A765F" w:rsidRPr="009370A6" w:rsidRDefault="006819F1" w:rsidP="003A765F">
      <w:pPr>
        <w:pStyle w:val="VersoIngls01Sangria"/>
        <w:rPr>
          <w:sz w:val="16"/>
          <w:szCs w:val="20"/>
        </w:rPr>
      </w:pPr>
      <w:r>
        <w:rPr>
          <w:sz w:val="16"/>
          <w:szCs w:val="20"/>
        </w:rPr>
        <w:t>Cuya</w:t>
      </w:r>
      <w:r w:rsidR="003A765F" w:rsidRPr="009370A6">
        <w:rPr>
          <w:sz w:val="16"/>
          <w:szCs w:val="20"/>
        </w:rPr>
        <w:t xml:space="preserve"> causa de dolor </w:t>
      </w:r>
      <w:r>
        <w:rPr>
          <w:sz w:val="16"/>
          <w:szCs w:val="20"/>
        </w:rPr>
        <w:t xml:space="preserve">sería </w:t>
      </w:r>
      <w:r w:rsidR="003A765F" w:rsidRPr="009370A6">
        <w:rPr>
          <w:sz w:val="16"/>
          <w:szCs w:val="20"/>
        </w:rPr>
        <w:t xml:space="preserve">aún más </w:t>
      </w:r>
      <w:proofErr w:type="gramStart"/>
      <w:r w:rsidR="003A765F" w:rsidRPr="009370A6">
        <w:rPr>
          <w:sz w:val="16"/>
          <w:szCs w:val="20"/>
        </w:rPr>
        <w:t>agudo</w:t>
      </w:r>
      <w:proofErr w:type="gramEnd"/>
    </w:p>
    <w:p w14:paraId="37A58FB1" w14:textId="70EC7DD8" w:rsidR="003A765F" w:rsidRPr="009370A6" w:rsidRDefault="003A765F" w:rsidP="003A765F">
      <w:pPr>
        <w:pStyle w:val="VersoIngls01Sangria"/>
        <w:spacing w:after="100"/>
        <w:ind w:left="1418"/>
        <w:rPr>
          <w:sz w:val="16"/>
          <w:szCs w:val="20"/>
        </w:rPr>
      </w:pPr>
      <w:r w:rsidRPr="009370A6">
        <w:rPr>
          <w:sz w:val="16"/>
          <w:szCs w:val="20"/>
        </w:rPr>
        <w:t xml:space="preserve">Que el dolor producido por </w:t>
      </w:r>
      <w:r w:rsidR="006819F1">
        <w:rPr>
          <w:sz w:val="16"/>
          <w:szCs w:val="20"/>
        </w:rPr>
        <w:t xml:space="preserve">ser atravesado por </w:t>
      </w:r>
      <w:r w:rsidRPr="009370A6">
        <w:rPr>
          <w:sz w:val="16"/>
          <w:szCs w:val="20"/>
        </w:rPr>
        <w:t>una lanza?</w:t>
      </w:r>
    </w:p>
    <w:p w14:paraId="658656A9" w14:textId="1B26EA54" w:rsidR="003A765F" w:rsidRPr="009370A6" w:rsidRDefault="003A765F" w:rsidP="003A765F">
      <w:pPr>
        <w:pStyle w:val="VersoIngls01Sangria"/>
        <w:rPr>
          <w:sz w:val="16"/>
          <w:szCs w:val="20"/>
        </w:rPr>
      </w:pPr>
      <w:r w:rsidRPr="009370A6">
        <w:rPr>
          <w:sz w:val="16"/>
          <w:szCs w:val="20"/>
        </w:rPr>
        <w:t>¿</w:t>
      </w:r>
      <w:r w:rsidR="006819F1">
        <w:rPr>
          <w:sz w:val="16"/>
          <w:szCs w:val="20"/>
        </w:rPr>
        <w:t>Qué</w:t>
      </w:r>
      <w:r w:rsidRPr="009370A6">
        <w:rPr>
          <w:sz w:val="16"/>
          <w:szCs w:val="20"/>
        </w:rPr>
        <w:t xml:space="preserve"> placer </w:t>
      </w:r>
      <w:r w:rsidR="006819F1">
        <w:rPr>
          <w:sz w:val="16"/>
          <w:szCs w:val="20"/>
        </w:rPr>
        <w:t xml:space="preserve">tendría </w:t>
      </w:r>
      <w:r w:rsidRPr="009370A6">
        <w:rPr>
          <w:sz w:val="16"/>
          <w:szCs w:val="20"/>
        </w:rPr>
        <w:t>el uso de prendas</w:t>
      </w:r>
    </w:p>
    <w:p w14:paraId="6DB777AB" w14:textId="6575FC75" w:rsidR="003A765F" w:rsidRPr="009370A6" w:rsidRDefault="00E21640" w:rsidP="003A765F">
      <w:pPr>
        <w:pStyle w:val="VersoIngls01Sangria"/>
        <w:rPr>
          <w:sz w:val="16"/>
          <w:szCs w:val="20"/>
        </w:rPr>
      </w:pPr>
      <w:r>
        <w:rPr>
          <w:sz w:val="16"/>
          <w:szCs w:val="20"/>
        </w:rPr>
        <w:t>En</w:t>
      </w:r>
      <w:r w:rsidR="003A765F" w:rsidRPr="009370A6">
        <w:rPr>
          <w:sz w:val="16"/>
          <w:szCs w:val="20"/>
        </w:rPr>
        <w:t xml:space="preserve"> </w:t>
      </w:r>
      <w:r w:rsidR="006819F1">
        <w:rPr>
          <w:sz w:val="16"/>
          <w:szCs w:val="20"/>
        </w:rPr>
        <w:t>alguien no instruido</w:t>
      </w:r>
      <w:r w:rsidR="003A765F" w:rsidRPr="009370A6">
        <w:rPr>
          <w:sz w:val="16"/>
          <w:szCs w:val="20"/>
        </w:rPr>
        <w:t xml:space="preserve">, </w:t>
      </w:r>
      <w:r w:rsidR="006E7D72">
        <w:rPr>
          <w:sz w:val="16"/>
          <w:szCs w:val="20"/>
        </w:rPr>
        <w:t xml:space="preserve">ya </w:t>
      </w:r>
      <w:r w:rsidR="003A765F" w:rsidRPr="009370A6">
        <w:rPr>
          <w:sz w:val="16"/>
          <w:szCs w:val="20"/>
        </w:rPr>
        <w:t>que en el infierno</w:t>
      </w:r>
    </w:p>
    <w:p w14:paraId="3276D900" w14:textId="43AC4390" w:rsidR="003A765F" w:rsidRPr="009370A6" w:rsidRDefault="003A765F" w:rsidP="003A765F">
      <w:pPr>
        <w:pStyle w:val="VersoIngls01Sangria"/>
        <w:rPr>
          <w:sz w:val="16"/>
          <w:szCs w:val="20"/>
        </w:rPr>
      </w:pPr>
      <w:r w:rsidRPr="009370A6">
        <w:rPr>
          <w:sz w:val="16"/>
          <w:szCs w:val="20"/>
        </w:rPr>
        <w:t>Durante mucho tiempo se ver</w:t>
      </w:r>
      <w:r w:rsidR="006E7D72">
        <w:rPr>
          <w:sz w:val="16"/>
          <w:szCs w:val="20"/>
        </w:rPr>
        <w:t>ía</w:t>
      </w:r>
      <w:r w:rsidRPr="009370A6">
        <w:rPr>
          <w:sz w:val="16"/>
          <w:szCs w:val="20"/>
        </w:rPr>
        <w:t xml:space="preserve"> obligado a someterse</w:t>
      </w:r>
    </w:p>
    <w:p w14:paraId="146FB4D6" w14:textId="38216B10" w:rsidR="003A765F" w:rsidRPr="009370A6" w:rsidRDefault="006E7D72" w:rsidP="003A765F">
      <w:pPr>
        <w:pStyle w:val="VersoIngls01Sangria"/>
        <w:spacing w:after="100"/>
        <w:ind w:left="1418"/>
        <w:rPr>
          <w:sz w:val="16"/>
          <w:szCs w:val="20"/>
        </w:rPr>
      </w:pPr>
      <w:r>
        <w:rPr>
          <w:sz w:val="16"/>
          <w:szCs w:val="20"/>
        </w:rPr>
        <w:t>A</w:t>
      </w:r>
      <w:r w:rsidR="003A765F" w:rsidRPr="009370A6">
        <w:rPr>
          <w:sz w:val="16"/>
          <w:szCs w:val="20"/>
        </w:rPr>
        <w:t xml:space="preserve">l contacto de </w:t>
      </w:r>
      <w:r>
        <w:rPr>
          <w:sz w:val="16"/>
          <w:szCs w:val="20"/>
        </w:rPr>
        <w:t>un</w:t>
      </w:r>
      <w:r w:rsidR="003A765F" w:rsidRPr="009370A6">
        <w:rPr>
          <w:sz w:val="16"/>
          <w:szCs w:val="20"/>
        </w:rPr>
        <w:t xml:space="preserve">a </w:t>
      </w:r>
      <w:proofErr w:type="spellStart"/>
      <w:r>
        <w:rPr>
          <w:sz w:val="16"/>
          <w:szCs w:val="20"/>
        </w:rPr>
        <w:t>lamina</w:t>
      </w:r>
      <w:proofErr w:type="spellEnd"/>
      <w:r w:rsidR="003A765F" w:rsidRPr="009370A6">
        <w:rPr>
          <w:sz w:val="16"/>
          <w:szCs w:val="20"/>
        </w:rPr>
        <w:t xml:space="preserve"> de hierro en llamas?</w:t>
      </w:r>
    </w:p>
    <w:p w14:paraId="1C79356F" w14:textId="14F34C1F" w:rsidR="003A765F" w:rsidRPr="009370A6" w:rsidRDefault="003A765F" w:rsidP="003A765F">
      <w:pPr>
        <w:pStyle w:val="VersoIngls01Sangria"/>
        <w:rPr>
          <w:sz w:val="16"/>
          <w:szCs w:val="20"/>
        </w:rPr>
      </w:pPr>
      <w:r w:rsidRPr="009370A6">
        <w:rPr>
          <w:sz w:val="16"/>
          <w:szCs w:val="20"/>
        </w:rPr>
        <w:t xml:space="preserve">Aunque a él le parezca sabroso </w:t>
      </w:r>
      <w:r w:rsidR="00120FA7">
        <w:rPr>
          <w:sz w:val="16"/>
          <w:szCs w:val="20"/>
        </w:rPr>
        <w:t>las ofrendas de alimento</w:t>
      </w:r>
      <w:r w:rsidR="0036332A">
        <w:rPr>
          <w:sz w:val="16"/>
          <w:szCs w:val="20"/>
        </w:rPr>
        <w:t>s</w:t>
      </w:r>
      <w:r w:rsidRPr="009370A6">
        <w:rPr>
          <w:sz w:val="16"/>
          <w:szCs w:val="20"/>
        </w:rPr>
        <w:t>,</w:t>
      </w:r>
    </w:p>
    <w:p w14:paraId="7103A5EF" w14:textId="3C2071D1" w:rsidR="003A765F" w:rsidRPr="009370A6" w:rsidRDefault="00120FA7" w:rsidP="003A765F">
      <w:pPr>
        <w:pStyle w:val="VersoIngls01Sangria"/>
        <w:rPr>
          <w:sz w:val="16"/>
          <w:szCs w:val="20"/>
        </w:rPr>
      </w:pPr>
      <w:r>
        <w:rPr>
          <w:sz w:val="16"/>
          <w:szCs w:val="20"/>
        </w:rPr>
        <w:t>En q</w:t>
      </w:r>
      <w:r w:rsidR="003A765F" w:rsidRPr="009370A6">
        <w:rPr>
          <w:sz w:val="16"/>
          <w:szCs w:val="20"/>
        </w:rPr>
        <w:t>uien no ten</w:t>
      </w:r>
      <w:r>
        <w:rPr>
          <w:sz w:val="16"/>
          <w:szCs w:val="20"/>
        </w:rPr>
        <w:t>ga</w:t>
      </w:r>
      <w:r w:rsidR="003A765F" w:rsidRPr="009370A6">
        <w:rPr>
          <w:sz w:val="16"/>
          <w:szCs w:val="20"/>
        </w:rPr>
        <w:t xml:space="preserve"> virtud, </w:t>
      </w:r>
      <w:r>
        <w:rPr>
          <w:sz w:val="16"/>
          <w:szCs w:val="20"/>
        </w:rPr>
        <w:t>será</w:t>
      </w:r>
      <w:r w:rsidR="003A765F" w:rsidRPr="009370A6">
        <w:rPr>
          <w:sz w:val="16"/>
          <w:szCs w:val="20"/>
        </w:rPr>
        <w:t xml:space="preserve"> el veneno más terrible,</w:t>
      </w:r>
    </w:p>
    <w:p w14:paraId="3401AE06" w14:textId="52D42E44" w:rsidR="003A765F" w:rsidRPr="009370A6" w:rsidRDefault="003A765F" w:rsidP="003A765F">
      <w:pPr>
        <w:pStyle w:val="VersoIngls01Sangria"/>
        <w:rPr>
          <w:sz w:val="16"/>
          <w:szCs w:val="20"/>
        </w:rPr>
      </w:pPr>
      <w:r w:rsidRPr="009370A6">
        <w:rPr>
          <w:sz w:val="16"/>
          <w:szCs w:val="20"/>
        </w:rPr>
        <w:t xml:space="preserve">por lo cual ciertamente </w:t>
      </w:r>
      <w:r w:rsidR="007B749A">
        <w:rPr>
          <w:sz w:val="16"/>
          <w:szCs w:val="20"/>
        </w:rPr>
        <w:t>se dará</w:t>
      </w:r>
    </w:p>
    <w:p w14:paraId="3F7DDABF" w14:textId="7FDC894E" w:rsidR="003A765F" w:rsidRPr="009370A6" w:rsidRDefault="003A765F" w:rsidP="009370A6">
      <w:pPr>
        <w:pStyle w:val="VersoIngls01Sangria"/>
        <w:spacing w:after="100"/>
        <w:ind w:left="1418"/>
        <w:rPr>
          <w:sz w:val="16"/>
          <w:szCs w:val="20"/>
        </w:rPr>
      </w:pPr>
      <w:r w:rsidRPr="009370A6">
        <w:rPr>
          <w:sz w:val="16"/>
          <w:szCs w:val="20"/>
        </w:rPr>
        <w:t xml:space="preserve">Durante mucho tiempo </w:t>
      </w:r>
      <w:r w:rsidR="00120FA7">
        <w:rPr>
          <w:sz w:val="16"/>
          <w:szCs w:val="20"/>
        </w:rPr>
        <w:t xml:space="preserve">al </w:t>
      </w:r>
      <w:r w:rsidRPr="009370A6">
        <w:rPr>
          <w:sz w:val="16"/>
          <w:szCs w:val="20"/>
        </w:rPr>
        <w:t>tragar bolas de hierro en llamas.</w:t>
      </w:r>
    </w:p>
    <w:p w14:paraId="5A3D9E90" w14:textId="27DC41B9" w:rsidR="003A765F" w:rsidRPr="009370A6" w:rsidRDefault="003A765F" w:rsidP="003A765F">
      <w:pPr>
        <w:pStyle w:val="VersoIngls01Sangria"/>
        <w:rPr>
          <w:sz w:val="16"/>
          <w:szCs w:val="20"/>
        </w:rPr>
      </w:pPr>
      <w:r w:rsidRPr="009370A6">
        <w:rPr>
          <w:sz w:val="16"/>
          <w:szCs w:val="20"/>
        </w:rPr>
        <w:t>Y cuando</w:t>
      </w:r>
      <w:r w:rsidR="00BE51E2">
        <w:rPr>
          <w:sz w:val="16"/>
          <w:szCs w:val="20"/>
        </w:rPr>
        <w:t xml:space="preserve"> aquellos carentes de</w:t>
      </w:r>
      <w:r w:rsidRPr="009370A6">
        <w:rPr>
          <w:sz w:val="16"/>
          <w:szCs w:val="20"/>
        </w:rPr>
        <w:t xml:space="preserve"> virtud ha</w:t>
      </w:r>
      <w:r w:rsidR="00BE51E2">
        <w:rPr>
          <w:sz w:val="16"/>
          <w:szCs w:val="20"/>
        </w:rPr>
        <w:t>ga</w:t>
      </w:r>
      <w:r w:rsidRPr="009370A6">
        <w:rPr>
          <w:sz w:val="16"/>
          <w:szCs w:val="20"/>
        </w:rPr>
        <w:t>n uso de divanes</w:t>
      </w:r>
    </w:p>
    <w:p w14:paraId="08F8D79A" w14:textId="401359A6" w:rsidR="003A765F" w:rsidRPr="009370A6" w:rsidRDefault="00BE51E2" w:rsidP="003A765F">
      <w:pPr>
        <w:pStyle w:val="VersoIngls01Sangria"/>
        <w:rPr>
          <w:sz w:val="16"/>
          <w:szCs w:val="20"/>
        </w:rPr>
      </w:pPr>
      <w:r>
        <w:rPr>
          <w:sz w:val="16"/>
          <w:szCs w:val="20"/>
        </w:rPr>
        <w:t>Y s</w:t>
      </w:r>
      <w:r w:rsidR="003A765F" w:rsidRPr="009370A6">
        <w:rPr>
          <w:sz w:val="16"/>
          <w:szCs w:val="20"/>
        </w:rPr>
        <w:t>illas, aunque se consider</w:t>
      </w:r>
      <w:r>
        <w:rPr>
          <w:sz w:val="16"/>
          <w:szCs w:val="20"/>
        </w:rPr>
        <w:t>e</w:t>
      </w:r>
      <w:r w:rsidR="003A765F" w:rsidRPr="009370A6">
        <w:rPr>
          <w:sz w:val="16"/>
          <w:szCs w:val="20"/>
        </w:rPr>
        <w:t>n agradables, s</w:t>
      </w:r>
      <w:r>
        <w:rPr>
          <w:sz w:val="16"/>
          <w:szCs w:val="20"/>
        </w:rPr>
        <w:t>erá</w:t>
      </w:r>
      <w:r w:rsidR="003A765F" w:rsidRPr="009370A6">
        <w:rPr>
          <w:sz w:val="16"/>
          <w:szCs w:val="20"/>
        </w:rPr>
        <w:t>n dolorosas</w:t>
      </w:r>
    </w:p>
    <w:p w14:paraId="4D73E7E4" w14:textId="19AAF1DF" w:rsidR="003A765F" w:rsidRPr="009370A6" w:rsidRDefault="003A765F" w:rsidP="003A765F">
      <w:pPr>
        <w:pStyle w:val="VersoIngls01Sangria"/>
        <w:rPr>
          <w:sz w:val="16"/>
          <w:szCs w:val="20"/>
        </w:rPr>
      </w:pPr>
      <w:r w:rsidRPr="009370A6">
        <w:rPr>
          <w:sz w:val="16"/>
          <w:szCs w:val="20"/>
        </w:rPr>
        <w:t>Porque serán torturados por mucho tiempo</w:t>
      </w:r>
    </w:p>
    <w:p w14:paraId="7293F176" w14:textId="77777777" w:rsidR="003A765F" w:rsidRPr="009370A6" w:rsidRDefault="003A765F" w:rsidP="009370A6">
      <w:pPr>
        <w:pStyle w:val="VersoIngls01Sangria"/>
        <w:spacing w:after="100"/>
        <w:ind w:left="1418"/>
        <w:rPr>
          <w:sz w:val="16"/>
          <w:szCs w:val="20"/>
        </w:rPr>
      </w:pPr>
      <w:r w:rsidRPr="009370A6">
        <w:rPr>
          <w:sz w:val="16"/>
          <w:szCs w:val="20"/>
        </w:rPr>
        <w:t>Sobre camas y sillas de hierro al rojo vivo.</w:t>
      </w:r>
    </w:p>
    <w:p w14:paraId="30A341B1" w14:textId="270F3EBA" w:rsidR="003A765F" w:rsidRPr="009370A6" w:rsidRDefault="003A765F" w:rsidP="003A765F">
      <w:pPr>
        <w:pStyle w:val="VersoIngls01Sangria"/>
        <w:rPr>
          <w:sz w:val="16"/>
          <w:szCs w:val="20"/>
        </w:rPr>
      </w:pPr>
      <w:r w:rsidRPr="009370A6">
        <w:rPr>
          <w:sz w:val="16"/>
          <w:szCs w:val="20"/>
        </w:rPr>
        <w:t xml:space="preserve">Entonces, ¿qué </w:t>
      </w:r>
      <w:r w:rsidR="003B758E">
        <w:rPr>
          <w:sz w:val="16"/>
          <w:szCs w:val="20"/>
        </w:rPr>
        <w:t>dicha</w:t>
      </w:r>
      <w:r w:rsidRPr="009370A6">
        <w:rPr>
          <w:sz w:val="16"/>
          <w:szCs w:val="20"/>
        </w:rPr>
        <w:t xml:space="preserve"> </w:t>
      </w:r>
      <w:r w:rsidR="003B758E">
        <w:rPr>
          <w:sz w:val="16"/>
          <w:szCs w:val="20"/>
        </w:rPr>
        <w:t xml:space="preserve">puede haber </w:t>
      </w:r>
      <w:r w:rsidRPr="009370A6">
        <w:rPr>
          <w:sz w:val="16"/>
          <w:szCs w:val="20"/>
        </w:rPr>
        <w:t xml:space="preserve">para </w:t>
      </w:r>
      <w:r w:rsidR="003B758E">
        <w:rPr>
          <w:sz w:val="16"/>
          <w:szCs w:val="20"/>
        </w:rPr>
        <w:t xml:space="preserve">alguien sin </w:t>
      </w:r>
      <w:r w:rsidRPr="009370A6">
        <w:rPr>
          <w:sz w:val="16"/>
          <w:szCs w:val="20"/>
        </w:rPr>
        <w:t>virtu</w:t>
      </w:r>
      <w:r w:rsidR="003B758E">
        <w:rPr>
          <w:sz w:val="16"/>
          <w:szCs w:val="20"/>
        </w:rPr>
        <w:t>d</w:t>
      </w:r>
      <w:r w:rsidRPr="009370A6">
        <w:rPr>
          <w:sz w:val="16"/>
          <w:szCs w:val="20"/>
        </w:rPr>
        <w:t>?</w:t>
      </w:r>
    </w:p>
    <w:p w14:paraId="021BE6AA" w14:textId="6D656073" w:rsidR="003A765F" w:rsidRPr="009370A6" w:rsidRDefault="003A765F" w:rsidP="003A765F">
      <w:pPr>
        <w:pStyle w:val="VersoIngls01Sangria"/>
        <w:rPr>
          <w:sz w:val="16"/>
          <w:szCs w:val="20"/>
        </w:rPr>
      </w:pPr>
      <w:r w:rsidRPr="009370A6">
        <w:rPr>
          <w:sz w:val="16"/>
          <w:szCs w:val="20"/>
        </w:rPr>
        <w:t xml:space="preserve">Habitar una </w:t>
      </w:r>
      <w:r w:rsidR="003B758E">
        <w:rPr>
          <w:sz w:val="16"/>
          <w:szCs w:val="20"/>
        </w:rPr>
        <w:t xml:space="preserve">vivienda ofrecida con </w:t>
      </w:r>
      <w:r w:rsidRPr="009370A6">
        <w:rPr>
          <w:sz w:val="16"/>
          <w:szCs w:val="20"/>
        </w:rPr>
        <w:t>fe,</w:t>
      </w:r>
    </w:p>
    <w:p w14:paraId="036CC68D" w14:textId="5324B9B7" w:rsidR="003A765F" w:rsidRPr="009370A6" w:rsidRDefault="003A765F" w:rsidP="003A765F">
      <w:pPr>
        <w:pStyle w:val="VersoIngls01Sangria"/>
        <w:rPr>
          <w:sz w:val="16"/>
          <w:szCs w:val="20"/>
        </w:rPr>
      </w:pPr>
      <w:r w:rsidRPr="009370A6">
        <w:rPr>
          <w:sz w:val="16"/>
          <w:szCs w:val="20"/>
        </w:rPr>
        <w:t>Ya que por e</w:t>
      </w:r>
      <w:r w:rsidR="003B758E">
        <w:rPr>
          <w:sz w:val="16"/>
          <w:szCs w:val="20"/>
        </w:rPr>
        <w:t>llo</w:t>
      </w:r>
      <w:r w:rsidRPr="009370A6">
        <w:rPr>
          <w:sz w:val="16"/>
          <w:szCs w:val="20"/>
        </w:rPr>
        <w:t xml:space="preserve"> tendrá que </w:t>
      </w:r>
      <w:r w:rsidR="006B4E74">
        <w:rPr>
          <w:sz w:val="16"/>
          <w:szCs w:val="20"/>
        </w:rPr>
        <w:t>habitar</w:t>
      </w:r>
    </w:p>
    <w:p w14:paraId="7F09CAF0" w14:textId="2C86DC26" w:rsidR="003A765F" w:rsidRPr="009370A6" w:rsidRDefault="003A765F" w:rsidP="009370A6">
      <w:pPr>
        <w:pStyle w:val="VersoIngls01Sangria"/>
        <w:spacing w:after="100"/>
        <w:ind w:left="1418"/>
        <w:rPr>
          <w:sz w:val="16"/>
          <w:szCs w:val="20"/>
        </w:rPr>
      </w:pPr>
      <w:r w:rsidRPr="009370A6">
        <w:rPr>
          <w:sz w:val="16"/>
          <w:szCs w:val="20"/>
        </w:rPr>
        <w:t>Encerrado dentro de una sartén de hierro en llamas?</w:t>
      </w:r>
    </w:p>
    <w:p w14:paraId="35BB6778" w14:textId="6C68B4E9" w:rsidR="003A765F" w:rsidRPr="009370A6" w:rsidRDefault="003A765F" w:rsidP="003A765F">
      <w:pPr>
        <w:pStyle w:val="VersoIngls01Sangria"/>
        <w:rPr>
          <w:sz w:val="16"/>
          <w:szCs w:val="20"/>
        </w:rPr>
      </w:pPr>
      <w:r w:rsidRPr="009370A6">
        <w:rPr>
          <w:sz w:val="16"/>
          <w:szCs w:val="20"/>
        </w:rPr>
        <w:t>El Maestro del mundo, condenando</w:t>
      </w:r>
      <w:r w:rsidR="003B758E">
        <w:rPr>
          <w:sz w:val="16"/>
          <w:szCs w:val="20"/>
        </w:rPr>
        <w:t xml:space="preserve"> a aqu</w:t>
      </w:r>
      <w:r w:rsidR="002454AB">
        <w:rPr>
          <w:sz w:val="16"/>
          <w:szCs w:val="20"/>
        </w:rPr>
        <w:t>él</w:t>
      </w:r>
      <w:r w:rsidRPr="009370A6">
        <w:rPr>
          <w:sz w:val="16"/>
          <w:szCs w:val="20"/>
        </w:rPr>
        <w:t>,</w:t>
      </w:r>
    </w:p>
    <w:p w14:paraId="717D2EBF" w14:textId="77777777" w:rsidR="003A765F" w:rsidRPr="009370A6" w:rsidRDefault="003A765F" w:rsidP="003A765F">
      <w:pPr>
        <w:pStyle w:val="VersoIngls01Sangria"/>
        <w:rPr>
          <w:sz w:val="16"/>
          <w:szCs w:val="20"/>
        </w:rPr>
      </w:pPr>
      <w:r w:rsidRPr="009370A6">
        <w:rPr>
          <w:sz w:val="16"/>
          <w:szCs w:val="20"/>
        </w:rPr>
        <w:t>Lo describió en estos términos: “De hábitos sospechosos,</w:t>
      </w:r>
    </w:p>
    <w:p w14:paraId="6A775284" w14:textId="6E51AAF5" w:rsidR="003A765F" w:rsidRPr="009370A6" w:rsidRDefault="003A765F" w:rsidP="003A765F">
      <w:pPr>
        <w:pStyle w:val="VersoIngls01Sangria"/>
        <w:rPr>
          <w:sz w:val="16"/>
          <w:szCs w:val="20"/>
        </w:rPr>
      </w:pPr>
      <w:r w:rsidRPr="009370A6">
        <w:rPr>
          <w:sz w:val="16"/>
          <w:szCs w:val="20"/>
        </w:rPr>
        <w:t xml:space="preserve">Lleno de corrupción, </w:t>
      </w:r>
      <w:r w:rsidR="002454AB" w:rsidRPr="009370A6">
        <w:rPr>
          <w:sz w:val="16"/>
          <w:szCs w:val="20"/>
        </w:rPr>
        <w:t xml:space="preserve">también </w:t>
      </w:r>
      <w:r w:rsidRPr="009370A6">
        <w:rPr>
          <w:sz w:val="16"/>
          <w:szCs w:val="20"/>
        </w:rPr>
        <w:t>lujurioso,</w:t>
      </w:r>
    </w:p>
    <w:p w14:paraId="7EA578FA" w14:textId="11A4D7A2" w:rsidR="003A765F" w:rsidRPr="009370A6" w:rsidRDefault="003A765F" w:rsidP="009370A6">
      <w:pPr>
        <w:pStyle w:val="VersoIngls01Sangria"/>
        <w:spacing w:after="100"/>
        <w:ind w:left="1418"/>
        <w:rPr>
          <w:sz w:val="16"/>
          <w:szCs w:val="20"/>
        </w:rPr>
      </w:pPr>
      <w:r w:rsidRPr="009370A6">
        <w:rPr>
          <w:sz w:val="16"/>
          <w:szCs w:val="20"/>
        </w:rPr>
        <w:t>Mal</w:t>
      </w:r>
      <w:r w:rsidR="002454AB">
        <w:rPr>
          <w:sz w:val="16"/>
          <w:szCs w:val="20"/>
        </w:rPr>
        <w:t>o</w:t>
      </w:r>
      <w:r w:rsidRPr="009370A6">
        <w:rPr>
          <w:sz w:val="16"/>
          <w:szCs w:val="20"/>
        </w:rPr>
        <w:t xml:space="preserve"> por naturaleza, </w:t>
      </w:r>
      <w:r w:rsidR="002454AB">
        <w:rPr>
          <w:sz w:val="16"/>
          <w:szCs w:val="20"/>
        </w:rPr>
        <w:t>corrupto</w:t>
      </w:r>
      <w:r w:rsidRPr="009370A6">
        <w:rPr>
          <w:sz w:val="16"/>
          <w:szCs w:val="20"/>
        </w:rPr>
        <w:t xml:space="preserve"> </w:t>
      </w:r>
      <w:r w:rsidR="0056481B">
        <w:rPr>
          <w:sz w:val="16"/>
          <w:szCs w:val="20"/>
        </w:rPr>
        <w:t>internamente</w:t>
      </w:r>
      <w:r w:rsidR="0056481B" w:rsidRPr="0056481B">
        <w:rPr>
          <w:sz w:val="16"/>
          <w:szCs w:val="20"/>
        </w:rPr>
        <w:t xml:space="preserve"> </w:t>
      </w:r>
      <w:r w:rsidR="0056481B" w:rsidRPr="009370A6">
        <w:rPr>
          <w:sz w:val="16"/>
          <w:szCs w:val="20"/>
        </w:rPr>
        <w:t>también</w:t>
      </w:r>
      <w:r w:rsidRPr="009370A6">
        <w:rPr>
          <w:sz w:val="16"/>
          <w:szCs w:val="20"/>
        </w:rPr>
        <w:t>.</w:t>
      </w:r>
    </w:p>
    <w:p w14:paraId="2D1F05A8" w14:textId="6C5142FB" w:rsidR="003A765F" w:rsidRPr="009370A6" w:rsidRDefault="003A765F" w:rsidP="003A765F">
      <w:pPr>
        <w:pStyle w:val="VersoIngls01Sangria"/>
        <w:rPr>
          <w:sz w:val="16"/>
          <w:szCs w:val="20"/>
        </w:rPr>
      </w:pPr>
      <w:r w:rsidRPr="009370A6">
        <w:rPr>
          <w:sz w:val="16"/>
          <w:szCs w:val="20"/>
        </w:rPr>
        <w:t xml:space="preserve">Así que sobre la vida de </w:t>
      </w:r>
      <w:r w:rsidR="002454AB">
        <w:rPr>
          <w:sz w:val="16"/>
          <w:szCs w:val="20"/>
        </w:rPr>
        <w:t>aquél</w:t>
      </w:r>
      <w:r w:rsidRPr="009370A6">
        <w:rPr>
          <w:sz w:val="16"/>
          <w:szCs w:val="20"/>
        </w:rPr>
        <w:t xml:space="preserve"> que permane</w:t>
      </w:r>
      <w:r w:rsidR="002454AB">
        <w:rPr>
          <w:sz w:val="16"/>
          <w:szCs w:val="20"/>
        </w:rPr>
        <w:t>zca</w:t>
      </w:r>
    </w:p>
    <w:p w14:paraId="1A28DB2B" w14:textId="1AAFD0F7" w:rsidR="003A765F" w:rsidRPr="009370A6" w:rsidRDefault="003A765F" w:rsidP="003A765F">
      <w:pPr>
        <w:pStyle w:val="VersoIngls01Sangria"/>
        <w:rPr>
          <w:sz w:val="16"/>
          <w:szCs w:val="20"/>
        </w:rPr>
      </w:pPr>
      <w:r w:rsidRPr="009370A6">
        <w:rPr>
          <w:sz w:val="16"/>
          <w:szCs w:val="20"/>
        </w:rPr>
        <w:t xml:space="preserve">Sin restricciones, de </w:t>
      </w:r>
      <w:r w:rsidR="00DB099B">
        <w:rPr>
          <w:sz w:val="16"/>
          <w:szCs w:val="20"/>
        </w:rPr>
        <w:t xml:space="preserve">aquel </w:t>
      </w:r>
      <w:r w:rsidRPr="009370A6">
        <w:rPr>
          <w:sz w:val="16"/>
          <w:szCs w:val="20"/>
        </w:rPr>
        <w:t>que vist</w:t>
      </w:r>
      <w:r w:rsidR="00DB099B">
        <w:rPr>
          <w:sz w:val="16"/>
          <w:szCs w:val="20"/>
        </w:rPr>
        <w:t>a</w:t>
      </w:r>
      <w:r w:rsidRPr="009370A6">
        <w:rPr>
          <w:sz w:val="16"/>
          <w:szCs w:val="20"/>
        </w:rPr>
        <w:t xml:space="preserve"> el disfraz</w:t>
      </w:r>
    </w:p>
    <w:p w14:paraId="2C6CD1FF" w14:textId="18733D3B" w:rsidR="009370A6" w:rsidRDefault="009370A6">
      <w:pPr>
        <w:tabs>
          <w:tab w:val="clear" w:pos="425"/>
        </w:tabs>
        <w:spacing w:after="160"/>
        <w:rPr>
          <w:sz w:val="16"/>
          <w:szCs w:val="20"/>
        </w:rPr>
      </w:pPr>
      <w:r>
        <w:rPr>
          <w:sz w:val="16"/>
          <w:szCs w:val="20"/>
        </w:rPr>
        <w:br w:type="page"/>
      </w:r>
    </w:p>
    <w:p w14:paraId="1800BBB4" w14:textId="77777777" w:rsidR="003A765F" w:rsidRPr="009370A6" w:rsidRDefault="003A765F" w:rsidP="003A765F">
      <w:pPr>
        <w:pStyle w:val="VersoIngls01Sangria"/>
        <w:rPr>
          <w:sz w:val="16"/>
          <w:szCs w:val="20"/>
        </w:rPr>
      </w:pPr>
    </w:p>
    <w:p w14:paraId="65C0E127" w14:textId="77777777" w:rsidR="003A765F" w:rsidRPr="009370A6" w:rsidRDefault="003A765F" w:rsidP="003A765F">
      <w:pPr>
        <w:pStyle w:val="VersoIngls01Sangria"/>
        <w:rPr>
          <w:sz w:val="16"/>
          <w:szCs w:val="20"/>
        </w:rPr>
      </w:pPr>
    </w:p>
    <w:p w14:paraId="338A73E1" w14:textId="3C493E56" w:rsidR="003A765F" w:rsidRPr="009370A6" w:rsidRDefault="009370A6" w:rsidP="003A765F">
      <w:pPr>
        <w:pStyle w:val="VersoIngls01Sangria"/>
        <w:rPr>
          <w:sz w:val="16"/>
          <w:szCs w:val="20"/>
        </w:rPr>
      </w:pPr>
      <w:r w:rsidRPr="009370A6">
        <w:rPr>
          <w:sz w:val="16"/>
          <w:szCs w:val="20"/>
        </w:rPr>
        <w:t xml:space="preserve">Del </w:t>
      </w:r>
      <w:r w:rsidR="003A765F" w:rsidRPr="009370A6">
        <w:rPr>
          <w:sz w:val="16"/>
          <w:szCs w:val="20"/>
        </w:rPr>
        <w:t xml:space="preserve">asceta que no </w:t>
      </w:r>
      <w:r w:rsidR="008F2057">
        <w:rPr>
          <w:sz w:val="16"/>
          <w:szCs w:val="20"/>
        </w:rPr>
        <w:t>es</w:t>
      </w:r>
      <w:r w:rsidR="003A765F" w:rsidRPr="009370A6">
        <w:rPr>
          <w:sz w:val="16"/>
          <w:szCs w:val="20"/>
        </w:rPr>
        <w:t>,</w:t>
      </w:r>
    </w:p>
    <w:p w14:paraId="618C48FE" w14:textId="7B2B7F33" w:rsidR="003A765F" w:rsidRPr="009370A6" w:rsidRDefault="003A765F" w:rsidP="009370A6">
      <w:pPr>
        <w:pStyle w:val="VersoIngls01Sangria"/>
        <w:spacing w:after="100"/>
        <w:ind w:left="1418"/>
        <w:rPr>
          <w:sz w:val="16"/>
          <w:szCs w:val="20"/>
        </w:rPr>
      </w:pPr>
      <w:r w:rsidRPr="009370A6">
        <w:rPr>
          <w:sz w:val="16"/>
          <w:szCs w:val="20"/>
        </w:rPr>
        <w:t>¡</w:t>
      </w:r>
      <w:r w:rsidR="007A14A4">
        <w:rPr>
          <w:sz w:val="16"/>
          <w:szCs w:val="20"/>
        </w:rPr>
        <w:t>Se</w:t>
      </w:r>
      <w:r w:rsidRPr="009370A6">
        <w:rPr>
          <w:sz w:val="16"/>
          <w:szCs w:val="20"/>
        </w:rPr>
        <w:t xml:space="preserve"> daña</w:t>
      </w:r>
      <w:r w:rsidR="007A14A4">
        <w:rPr>
          <w:sz w:val="16"/>
          <w:szCs w:val="20"/>
        </w:rPr>
        <w:t>rá</w:t>
      </w:r>
      <w:r w:rsidRPr="009370A6">
        <w:rPr>
          <w:sz w:val="16"/>
          <w:szCs w:val="20"/>
        </w:rPr>
        <w:t xml:space="preserve"> y </w:t>
      </w:r>
      <w:r w:rsidR="007A14A4">
        <w:rPr>
          <w:sz w:val="16"/>
          <w:szCs w:val="20"/>
        </w:rPr>
        <w:t xml:space="preserve">se </w:t>
      </w:r>
      <w:r w:rsidRPr="009370A6">
        <w:rPr>
          <w:sz w:val="16"/>
          <w:szCs w:val="20"/>
        </w:rPr>
        <w:t>socava</w:t>
      </w:r>
      <w:r w:rsidR="007A14A4">
        <w:rPr>
          <w:sz w:val="16"/>
          <w:szCs w:val="20"/>
        </w:rPr>
        <w:t>rá</w:t>
      </w:r>
      <w:r w:rsidRPr="009370A6">
        <w:rPr>
          <w:sz w:val="16"/>
          <w:szCs w:val="20"/>
        </w:rPr>
        <w:t xml:space="preserve"> a sí mismo!</w:t>
      </w:r>
    </w:p>
    <w:p w14:paraId="5DD91256" w14:textId="37856364" w:rsidR="003A765F" w:rsidRPr="009370A6" w:rsidRDefault="003A765F" w:rsidP="003A765F">
      <w:pPr>
        <w:pStyle w:val="VersoIngls01Sangria"/>
        <w:rPr>
          <w:sz w:val="16"/>
          <w:szCs w:val="20"/>
        </w:rPr>
      </w:pPr>
      <w:r w:rsidRPr="009370A6">
        <w:rPr>
          <w:sz w:val="16"/>
          <w:szCs w:val="20"/>
        </w:rPr>
        <w:t xml:space="preserve">¿Cuál es la vida que </w:t>
      </w:r>
      <w:r w:rsidR="00E845DA">
        <w:rPr>
          <w:sz w:val="16"/>
          <w:szCs w:val="20"/>
        </w:rPr>
        <w:t>él conduce</w:t>
      </w:r>
      <w:r w:rsidRPr="009370A6">
        <w:rPr>
          <w:sz w:val="16"/>
          <w:szCs w:val="20"/>
        </w:rPr>
        <w:t>, puesto que cualquier persona,</w:t>
      </w:r>
    </w:p>
    <w:p w14:paraId="6BA153D1" w14:textId="60E94614" w:rsidR="003A765F" w:rsidRPr="009370A6" w:rsidRDefault="007A14A4" w:rsidP="003A765F">
      <w:pPr>
        <w:pStyle w:val="VersoIngls01Sangria"/>
        <w:rPr>
          <w:sz w:val="16"/>
          <w:szCs w:val="20"/>
        </w:rPr>
      </w:pPr>
      <w:r>
        <w:rPr>
          <w:sz w:val="16"/>
          <w:szCs w:val="20"/>
        </w:rPr>
        <w:t xml:space="preserve">Sin </w:t>
      </w:r>
      <w:r w:rsidR="003A765F" w:rsidRPr="009370A6">
        <w:rPr>
          <w:sz w:val="16"/>
          <w:szCs w:val="20"/>
        </w:rPr>
        <w:t>importa</w:t>
      </w:r>
      <w:r w:rsidR="008F2057">
        <w:rPr>
          <w:sz w:val="16"/>
          <w:szCs w:val="20"/>
        </w:rPr>
        <w:t>r</w:t>
      </w:r>
      <w:r w:rsidR="003A765F" w:rsidRPr="009370A6">
        <w:rPr>
          <w:sz w:val="16"/>
          <w:szCs w:val="20"/>
        </w:rPr>
        <w:t xml:space="preserve"> quién, con virtud en su haber</w:t>
      </w:r>
    </w:p>
    <w:p w14:paraId="27196C51" w14:textId="7478C682" w:rsidR="003A765F" w:rsidRPr="009370A6" w:rsidRDefault="00D5760B" w:rsidP="003A765F">
      <w:pPr>
        <w:pStyle w:val="VersoIngls01Sangria"/>
        <w:rPr>
          <w:sz w:val="16"/>
          <w:szCs w:val="20"/>
        </w:rPr>
      </w:pPr>
      <w:r>
        <w:rPr>
          <w:sz w:val="16"/>
          <w:szCs w:val="20"/>
        </w:rPr>
        <w:t>Lo evitaría</w:t>
      </w:r>
      <w:r w:rsidR="003A765F" w:rsidRPr="009370A6">
        <w:rPr>
          <w:sz w:val="16"/>
          <w:szCs w:val="20"/>
        </w:rPr>
        <w:t xml:space="preserve">, como </w:t>
      </w:r>
      <w:r w:rsidR="00273A85">
        <w:rPr>
          <w:sz w:val="16"/>
          <w:szCs w:val="20"/>
        </w:rPr>
        <w:t xml:space="preserve">aquellos </w:t>
      </w:r>
      <w:r w:rsidR="003A765F" w:rsidRPr="009370A6">
        <w:rPr>
          <w:sz w:val="16"/>
          <w:szCs w:val="20"/>
        </w:rPr>
        <w:t xml:space="preserve">que </w:t>
      </w:r>
      <w:r>
        <w:rPr>
          <w:sz w:val="16"/>
          <w:szCs w:val="20"/>
        </w:rPr>
        <w:t xml:space="preserve">harían </w:t>
      </w:r>
      <w:r w:rsidR="003A765F" w:rsidRPr="009370A6">
        <w:rPr>
          <w:sz w:val="16"/>
          <w:szCs w:val="20"/>
        </w:rPr>
        <w:t>bien</w:t>
      </w:r>
    </w:p>
    <w:p w14:paraId="155D2EC7" w14:textId="45639087" w:rsidR="003A765F" w:rsidRPr="009370A6" w:rsidRDefault="00273A85" w:rsidP="009370A6">
      <w:pPr>
        <w:pStyle w:val="VersoIngls01Sangria"/>
        <w:spacing w:after="100"/>
        <w:ind w:left="1418"/>
        <w:rPr>
          <w:sz w:val="16"/>
          <w:szCs w:val="20"/>
        </w:rPr>
      </w:pPr>
      <w:r>
        <w:rPr>
          <w:sz w:val="16"/>
          <w:szCs w:val="20"/>
        </w:rPr>
        <w:t>Manteni</w:t>
      </w:r>
      <w:r w:rsidR="00D5760B">
        <w:rPr>
          <w:sz w:val="16"/>
          <w:szCs w:val="20"/>
        </w:rPr>
        <w:t>é</w:t>
      </w:r>
      <w:r>
        <w:rPr>
          <w:sz w:val="16"/>
          <w:szCs w:val="20"/>
        </w:rPr>
        <w:t>ndo</w:t>
      </w:r>
      <w:r w:rsidR="00D5760B">
        <w:rPr>
          <w:sz w:val="16"/>
          <w:szCs w:val="20"/>
        </w:rPr>
        <w:t>se</w:t>
      </w:r>
      <w:r>
        <w:rPr>
          <w:sz w:val="16"/>
          <w:szCs w:val="20"/>
        </w:rPr>
        <w:t xml:space="preserve"> </w:t>
      </w:r>
      <w:r w:rsidR="003A765F" w:rsidRPr="009370A6">
        <w:rPr>
          <w:sz w:val="16"/>
          <w:szCs w:val="20"/>
        </w:rPr>
        <w:t xml:space="preserve">lejos </w:t>
      </w:r>
      <w:r w:rsidR="00CD2C06">
        <w:rPr>
          <w:sz w:val="16"/>
          <w:szCs w:val="20"/>
        </w:rPr>
        <w:t>de</w:t>
      </w:r>
      <w:r w:rsidR="003A765F" w:rsidRPr="009370A6">
        <w:rPr>
          <w:sz w:val="16"/>
          <w:szCs w:val="20"/>
        </w:rPr>
        <w:t>l estiércol o un cadáver?</w:t>
      </w:r>
    </w:p>
    <w:p w14:paraId="32D8497B" w14:textId="7B27B12F" w:rsidR="003A765F" w:rsidRPr="009370A6" w:rsidRDefault="00F70FDF" w:rsidP="003A765F">
      <w:pPr>
        <w:pStyle w:val="VersoIngls01Sangria"/>
        <w:rPr>
          <w:sz w:val="16"/>
          <w:szCs w:val="20"/>
        </w:rPr>
      </w:pPr>
      <w:r>
        <w:rPr>
          <w:sz w:val="16"/>
          <w:szCs w:val="20"/>
        </w:rPr>
        <w:t>Aquél</w:t>
      </w:r>
      <w:r w:rsidR="00CD2C06">
        <w:rPr>
          <w:sz w:val="16"/>
          <w:szCs w:val="20"/>
        </w:rPr>
        <w:t xml:space="preserve"> n</w:t>
      </w:r>
      <w:r w:rsidR="003A765F" w:rsidRPr="009370A6">
        <w:rPr>
          <w:sz w:val="16"/>
          <w:szCs w:val="20"/>
        </w:rPr>
        <w:t>o est</w:t>
      </w:r>
      <w:r>
        <w:rPr>
          <w:sz w:val="16"/>
          <w:szCs w:val="20"/>
        </w:rPr>
        <w:t>ar</w:t>
      </w:r>
      <w:r w:rsidR="003A765F" w:rsidRPr="009370A6">
        <w:rPr>
          <w:sz w:val="16"/>
          <w:szCs w:val="20"/>
        </w:rPr>
        <w:t>á libre de ningún tipo de terror,</w:t>
      </w:r>
    </w:p>
    <w:p w14:paraId="2E87CE93" w14:textId="521E5CD5" w:rsidR="003A765F" w:rsidRPr="009370A6" w:rsidRDefault="003A765F" w:rsidP="003A765F">
      <w:pPr>
        <w:pStyle w:val="VersoIngls01Sangria"/>
        <w:rPr>
          <w:sz w:val="16"/>
          <w:szCs w:val="20"/>
        </w:rPr>
      </w:pPr>
      <w:r w:rsidRPr="009370A6">
        <w:rPr>
          <w:sz w:val="16"/>
          <w:szCs w:val="20"/>
        </w:rPr>
        <w:t xml:space="preserve">Aunque lo suficientemente </w:t>
      </w:r>
      <w:r w:rsidR="00AA5E3E">
        <w:rPr>
          <w:sz w:val="16"/>
          <w:szCs w:val="20"/>
        </w:rPr>
        <w:t xml:space="preserve">ajeno </w:t>
      </w:r>
      <w:r w:rsidRPr="009370A6">
        <w:rPr>
          <w:sz w:val="16"/>
          <w:szCs w:val="20"/>
        </w:rPr>
        <w:t>del placer del logro;</w:t>
      </w:r>
    </w:p>
    <w:p w14:paraId="2B0C9D8B" w14:textId="0D065973" w:rsidR="003A765F" w:rsidRPr="009370A6" w:rsidRDefault="003A765F" w:rsidP="003A765F">
      <w:pPr>
        <w:pStyle w:val="VersoIngls01Sangria"/>
        <w:rPr>
          <w:sz w:val="16"/>
          <w:szCs w:val="20"/>
        </w:rPr>
      </w:pPr>
      <w:r w:rsidRPr="009370A6">
        <w:rPr>
          <w:sz w:val="16"/>
          <w:szCs w:val="20"/>
        </w:rPr>
        <w:t xml:space="preserve">mientras la puerta del cielo </w:t>
      </w:r>
      <w:r w:rsidR="00F70FDF">
        <w:rPr>
          <w:sz w:val="16"/>
          <w:szCs w:val="20"/>
        </w:rPr>
        <w:t>se cierre</w:t>
      </w:r>
      <w:r w:rsidRPr="009370A6">
        <w:rPr>
          <w:sz w:val="16"/>
          <w:szCs w:val="20"/>
        </w:rPr>
        <w:t xml:space="preserve"> </w:t>
      </w:r>
      <w:r w:rsidR="00AA5E3E">
        <w:rPr>
          <w:sz w:val="16"/>
          <w:szCs w:val="20"/>
        </w:rPr>
        <w:t xml:space="preserve">para </w:t>
      </w:r>
      <w:r w:rsidRPr="009370A6">
        <w:rPr>
          <w:sz w:val="16"/>
          <w:szCs w:val="20"/>
        </w:rPr>
        <w:t>él,</w:t>
      </w:r>
    </w:p>
    <w:p w14:paraId="1E04A38E" w14:textId="5D8F1CC4" w:rsidR="003A765F" w:rsidRPr="009370A6" w:rsidRDefault="003A765F" w:rsidP="009370A6">
      <w:pPr>
        <w:pStyle w:val="VersoIngls01Sangria"/>
        <w:spacing w:after="100"/>
        <w:ind w:left="1418"/>
        <w:rPr>
          <w:sz w:val="16"/>
          <w:szCs w:val="20"/>
        </w:rPr>
      </w:pPr>
      <w:r w:rsidRPr="009370A6">
        <w:rPr>
          <w:sz w:val="16"/>
          <w:szCs w:val="20"/>
        </w:rPr>
        <w:t>Est</w:t>
      </w:r>
      <w:r w:rsidR="00AA5E3E">
        <w:rPr>
          <w:sz w:val="16"/>
          <w:szCs w:val="20"/>
        </w:rPr>
        <w:t>ar</w:t>
      </w:r>
      <w:r w:rsidRPr="009370A6">
        <w:rPr>
          <w:sz w:val="16"/>
          <w:szCs w:val="20"/>
        </w:rPr>
        <w:t xml:space="preserve">á bien </w:t>
      </w:r>
      <w:r w:rsidR="00AA5E3E">
        <w:rPr>
          <w:sz w:val="16"/>
          <w:szCs w:val="20"/>
        </w:rPr>
        <w:t xml:space="preserve">conducido </w:t>
      </w:r>
      <w:r w:rsidR="00BD501F">
        <w:rPr>
          <w:sz w:val="16"/>
          <w:szCs w:val="20"/>
        </w:rPr>
        <w:t>por los senderos hacia e</w:t>
      </w:r>
      <w:r w:rsidRPr="009370A6">
        <w:rPr>
          <w:sz w:val="16"/>
          <w:szCs w:val="20"/>
        </w:rPr>
        <w:t>l infierno.</w:t>
      </w:r>
    </w:p>
    <w:p w14:paraId="3303520F" w14:textId="514B1652" w:rsidR="003A765F" w:rsidRPr="009370A6" w:rsidRDefault="003A765F" w:rsidP="003A765F">
      <w:pPr>
        <w:pStyle w:val="VersoIngls01Sangria"/>
        <w:rPr>
          <w:sz w:val="16"/>
          <w:szCs w:val="20"/>
        </w:rPr>
      </w:pPr>
      <w:r w:rsidRPr="009370A6">
        <w:rPr>
          <w:sz w:val="16"/>
          <w:szCs w:val="20"/>
        </w:rPr>
        <w:t xml:space="preserve">¿Quién sino </w:t>
      </w:r>
      <w:r w:rsidR="00BD501F">
        <w:rPr>
          <w:sz w:val="16"/>
          <w:szCs w:val="20"/>
        </w:rPr>
        <w:t xml:space="preserve">alguien desprovisto de </w:t>
      </w:r>
      <w:r w:rsidRPr="009370A6">
        <w:rPr>
          <w:sz w:val="16"/>
          <w:szCs w:val="20"/>
        </w:rPr>
        <w:t>virtud</w:t>
      </w:r>
    </w:p>
    <w:p w14:paraId="216FCA44" w14:textId="58D3F7D1" w:rsidR="003A765F" w:rsidRPr="009370A6" w:rsidRDefault="003A765F" w:rsidP="003A765F">
      <w:pPr>
        <w:pStyle w:val="VersoIngls01Sangria"/>
        <w:rPr>
          <w:sz w:val="16"/>
          <w:szCs w:val="20"/>
        </w:rPr>
      </w:pPr>
      <w:r w:rsidRPr="009370A6">
        <w:rPr>
          <w:sz w:val="16"/>
          <w:szCs w:val="20"/>
        </w:rPr>
        <w:t>Más apto para ser objeto de compasión?</w:t>
      </w:r>
    </w:p>
    <w:p w14:paraId="58AF4AC0" w14:textId="77777777" w:rsidR="003A765F" w:rsidRPr="009370A6" w:rsidRDefault="003A765F" w:rsidP="003A765F">
      <w:pPr>
        <w:pStyle w:val="VersoIngls01Sangria"/>
        <w:rPr>
          <w:sz w:val="16"/>
          <w:szCs w:val="20"/>
        </w:rPr>
      </w:pPr>
      <w:r w:rsidRPr="009370A6">
        <w:rPr>
          <w:sz w:val="16"/>
          <w:szCs w:val="20"/>
        </w:rPr>
        <w:t>Muchos en verdad y graves son los defectos</w:t>
      </w:r>
    </w:p>
    <w:p w14:paraId="7B5F3DA8" w14:textId="32D8B1BD" w:rsidR="001D7B51" w:rsidRDefault="003A765F" w:rsidP="00FE034A">
      <w:pPr>
        <w:pStyle w:val="VersoIngls01Sangria"/>
        <w:spacing w:after="100"/>
        <w:ind w:left="1418"/>
        <w:rPr>
          <w:sz w:val="16"/>
          <w:szCs w:val="20"/>
        </w:rPr>
      </w:pPr>
      <w:r w:rsidRPr="009370A6">
        <w:rPr>
          <w:sz w:val="16"/>
          <w:szCs w:val="20"/>
        </w:rPr>
        <w:t xml:space="preserve">Que </w:t>
      </w:r>
      <w:r w:rsidR="00A726B7">
        <w:rPr>
          <w:sz w:val="16"/>
          <w:szCs w:val="20"/>
        </w:rPr>
        <w:t>define</w:t>
      </w:r>
      <w:r w:rsidR="00201112">
        <w:rPr>
          <w:sz w:val="16"/>
          <w:szCs w:val="20"/>
        </w:rPr>
        <w:t>n</w:t>
      </w:r>
      <w:r w:rsidRPr="009370A6">
        <w:rPr>
          <w:sz w:val="16"/>
          <w:szCs w:val="20"/>
        </w:rPr>
        <w:t xml:space="preserve"> a un hombre negligente </w:t>
      </w:r>
      <w:r w:rsidR="00201112">
        <w:rPr>
          <w:sz w:val="16"/>
          <w:szCs w:val="20"/>
        </w:rPr>
        <w:t>en</w:t>
      </w:r>
      <w:r w:rsidRPr="009370A6">
        <w:rPr>
          <w:sz w:val="16"/>
          <w:szCs w:val="20"/>
        </w:rPr>
        <w:t xml:space="preserve"> su virtud.</w:t>
      </w:r>
    </w:p>
    <w:p w14:paraId="5F565852" w14:textId="50774C6B" w:rsidR="005174E6" w:rsidRDefault="005174E6" w:rsidP="00DC2DCF">
      <w:pPr>
        <w:pStyle w:val="NormalConSangria"/>
      </w:pPr>
      <w:r>
        <w:t xml:space="preserve">Ver el peligro en el fracaso de la virtud debe entenderse como una </w:t>
      </w:r>
      <w:r w:rsidR="005065DF">
        <w:t xml:space="preserve">examinación </w:t>
      </w:r>
      <w:r>
        <w:t>de tales formas. Y ver los beneficios en la virtud perfeccionada debe entenderse en sentido contrario.</w:t>
      </w:r>
    </w:p>
    <w:p w14:paraId="0E8732B6" w14:textId="3CF59760" w:rsidR="005174E6" w:rsidRDefault="005174E6" w:rsidP="005174E6">
      <w:pPr>
        <w:pStyle w:val="VersoIngls01Sangria"/>
        <w:ind w:left="0"/>
      </w:pPr>
      <w:r>
        <w:t xml:space="preserve">159.  </w:t>
      </w:r>
      <w:r w:rsidR="00A726B7">
        <w:tab/>
      </w:r>
      <w:r>
        <w:t>Además: [58]</w:t>
      </w:r>
    </w:p>
    <w:p w14:paraId="73B11953" w14:textId="77777777" w:rsidR="005174E6" w:rsidRPr="00201112" w:rsidRDefault="005174E6" w:rsidP="005174E6">
      <w:pPr>
        <w:pStyle w:val="VersoIngls01Sangria"/>
        <w:rPr>
          <w:sz w:val="16"/>
          <w:szCs w:val="20"/>
        </w:rPr>
      </w:pPr>
      <w:r w:rsidRPr="00201112">
        <w:rPr>
          <w:sz w:val="16"/>
          <w:szCs w:val="20"/>
        </w:rPr>
        <w:t>Su virtud es inmaculada,</w:t>
      </w:r>
    </w:p>
    <w:p w14:paraId="6C25819B" w14:textId="12CE2E44" w:rsidR="005174E6" w:rsidRPr="00201112" w:rsidRDefault="005174E6" w:rsidP="005174E6">
      <w:pPr>
        <w:pStyle w:val="VersoIngls01Sangria"/>
        <w:rPr>
          <w:sz w:val="16"/>
          <w:szCs w:val="20"/>
        </w:rPr>
      </w:pPr>
      <w:r w:rsidRPr="00201112">
        <w:rPr>
          <w:sz w:val="16"/>
          <w:szCs w:val="20"/>
        </w:rPr>
        <w:t xml:space="preserve">Su uso del cuenco y </w:t>
      </w:r>
      <w:r w:rsidR="00A726B7" w:rsidRPr="00201112">
        <w:rPr>
          <w:sz w:val="16"/>
          <w:szCs w:val="20"/>
        </w:rPr>
        <w:t>los ropajes</w:t>
      </w:r>
      <w:r w:rsidRPr="00201112">
        <w:rPr>
          <w:sz w:val="16"/>
          <w:szCs w:val="20"/>
        </w:rPr>
        <w:t>.</w:t>
      </w:r>
    </w:p>
    <w:p w14:paraId="75EA0C45" w14:textId="77777777" w:rsidR="005174E6" w:rsidRPr="00201112" w:rsidRDefault="005174E6" w:rsidP="005174E6">
      <w:pPr>
        <w:pStyle w:val="VersoIngls01Sangria"/>
        <w:rPr>
          <w:sz w:val="16"/>
          <w:szCs w:val="20"/>
        </w:rPr>
      </w:pPr>
      <w:r w:rsidRPr="00201112">
        <w:rPr>
          <w:sz w:val="16"/>
          <w:szCs w:val="20"/>
        </w:rPr>
        <w:t>Da placer e inspira confianza,</w:t>
      </w:r>
    </w:p>
    <w:p w14:paraId="2EE5A1BD" w14:textId="4A8FDEC2" w:rsidR="005174E6" w:rsidRPr="00201112" w:rsidRDefault="005174E6" w:rsidP="005174E6">
      <w:pPr>
        <w:pStyle w:val="VersoIngls01Sangria"/>
        <w:spacing w:after="100"/>
        <w:ind w:left="1418"/>
        <w:rPr>
          <w:sz w:val="16"/>
          <w:szCs w:val="20"/>
        </w:rPr>
      </w:pPr>
      <w:r w:rsidRPr="00201112">
        <w:rPr>
          <w:sz w:val="16"/>
          <w:szCs w:val="20"/>
        </w:rPr>
        <w:t xml:space="preserve">Su </w:t>
      </w:r>
      <w:r w:rsidR="009B3698" w:rsidRPr="00201112">
        <w:rPr>
          <w:sz w:val="16"/>
          <w:szCs w:val="20"/>
        </w:rPr>
        <w:t>renunciación</w:t>
      </w:r>
      <w:r w:rsidRPr="00201112">
        <w:rPr>
          <w:sz w:val="16"/>
          <w:szCs w:val="20"/>
        </w:rPr>
        <w:t xml:space="preserve"> dará fruto.</w:t>
      </w:r>
    </w:p>
    <w:p w14:paraId="3A7A8E13" w14:textId="4D66584B" w:rsidR="005174E6" w:rsidRPr="00201112" w:rsidRDefault="005174E6" w:rsidP="005174E6">
      <w:pPr>
        <w:pStyle w:val="VersoIngls01Sangria"/>
        <w:rPr>
          <w:sz w:val="16"/>
          <w:szCs w:val="20"/>
        </w:rPr>
      </w:pPr>
      <w:r w:rsidRPr="00201112">
        <w:rPr>
          <w:sz w:val="16"/>
          <w:szCs w:val="20"/>
        </w:rPr>
        <w:t xml:space="preserve">Un </w:t>
      </w:r>
      <w:proofErr w:type="spellStart"/>
      <w:r w:rsidR="00057BF4" w:rsidRPr="00201112">
        <w:rPr>
          <w:i/>
          <w:iCs/>
          <w:sz w:val="16"/>
          <w:szCs w:val="20"/>
        </w:rPr>
        <w:t>bhikkhu</w:t>
      </w:r>
      <w:proofErr w:type="spellEnd"/>
      <w:r w:rsidRPr="00201112">
        <w:rPr>
          <w:sz w:val="16"/>
          <w:szCs w:val="20"/>
        </w:rPr>
        <w:t xml:space="preserve"> en su virtud pura</w:t>
      </w:r>
    </w:p>
    <w:p w14:paraId="0AA95482" w14:textId="5F233CBB" w:rsidR="005174E6" w:rsidRPr="00201112" w:rsidRDefault="005174E6" w:rsidP="005174E6">
      <w:pPr>
        <w:pStyle w:val="VersoIngls01Sangria"/>
        <w:rPr>
          <w:sz w:val="16"/>
          <w:szCs w:val="20"/>
        </w:rPr>
      </w:pPr>
      <w:r w:rsidRPr="00201112">
        <w:rPr>
          <w:sz w:val="16"/>
          <w:szCs w:val="20"/>
        </w:rPr>
        <w:t xml:space="preserve">Nunca ha temido </w:t>
      </w:r>
      <w:r w:rsidR="009B3698" w:rsidRPr="00201112">
        <w:rPr>
          <w:sz w:val="16"/>
          <w:szCs w:val="20"/>
        </w:rPr>
        <w:t>el</w:t>
      </w:r>
      <w:r w:rsidRPr="00201112">
        <w:rPr>
          <w:sz w:val="16"/>
          <w:szCs w:val="20"/>
        </w:rPr>
        <w:t xml:space="preserve"> </w:t>
      </w:r>
      <w:r w:rsidR="00F30839">
        <w:rPr>
          <w:sz w:val="16"/>
          <w:szCs w:val="20"/>
        </w:rPr>
        <w:t>remordimiento</w:t>
      </w:r>
    </w:p>
    <w:p w14:paraId="1D1BBE65" w14:textId="79A87BDD" w:rsidR="005174E6" w:rsidRPr="00201112" w:rsidRDefault="006917C4" w:rsidP="005174E6">
      <w:pPr>
        <w:pStyle w:val="VersoIngls01Sangria"/>
        <w:rPr>
          <w:sz w:val="16"/>
          <w:szCs w:val="20"/>
        </w:rPr>
      </w:pPr>
      <w:r>
        <w:rPr>
          <w:sz w:val="16"/>
          <w:szCs w:val="20"/>
        </w:rPr>
        <w:t xml:space="preserve">Que entraría </w:t>
      </w:r>
      <w:r w:rsidR="005174E6" w:rsidRPr="00201112">
        <w:rPr>
          <w:sz w:val="16"/>
          <w:szCs w:val="20"/>
        </w:rPr>
        <w:t>en su corazón: en verdad</w:t>
      </w:r>
    </w:p>
    <w:p w14:paraId="4C63E0E3" w14:textId="400CBFD0" w:rsidR="005174E6" w:rsidRPr="00201112" w:rsidRDefault="005174E6" w:rsidP="005174E6">
      <w:pPr>
        <w:pStyle w:val="VersoIngls01Sangria"/>
        <w:spacing w:after="100"/>
        <w:ind w:left="1418"/>
        <w:rPr>
          <w:sz w:val="16"/>
          <w:szCs w:val="20"/>
        </w:rPr>
      </w:pPr>
      <w:r w:rsidRPr="00201112">
        <w:rPr>
          <w:sz w:val="16"/>
          <w:szCs w:val="20"/>
        </w:rPr>
        <w:t xml:space="preserve">No </w:t>
      </w:r>
      <w:r w:rsidR="006917C4">
        <w:rPr>
          <w:sz w:val="16"/>
          <w:szCs w:val="20"/>
        </w:rPr>
        <w:t>existe</w:t>
      </w:r>
      <w:r w:rsidRPr="00201112">
        <w:rPr>
          <w:sz w:val="16"/>
          <w:szCs w:val="20"/>
        </w:rPr>
        <w:t xml:space="preserve"> oscuridad </w:t>
      </w:r>
      <w:r w:rsidR="009B3698" w:rsidRPr="00201112">
        <w:rPr>
          <w:sz w:val="16"/>
          <w:szCs w:val="20"/>
        </w:rPr>
        <w:t xml:space="preserve">bajo </w:t>
      </w:r>
      <w:r w:rsidRPr="00201112">
        <w:rPr>
          <w:sz w:val="16"/>
          <w:szCs w:val="20"/>
        </w:rPr>
        <w:t xml:space="preserve">el </w:t>
      </w:r>
      <w:r w:rsidR="009B3698" w:rsidRPr="00201112">
        <w:rPr>
          <w:sz w:val="16"/>
          <w:szCs w:val="20"/>
        </w:rPr>
        <w:t>Sol</w:t>
      </w:r>
      <w:r w:rsidRPr="00201112">
        <w:rPr>
          <w:sz w:val="16"/>
          <w:szCs w:val="20"/>
        </w:rPr>
        <w:t>.</w:t>
      </w:r>
    </w:p>
    <w:p w14:paraId="2EB74726" w14:textId="58034BD1" w:rsidR="005174E6" w:rsidRPr="00201112" w:rsidRDefault="005174E6" w:rsidP="005174E6">
      <w:pPr>
        <w:pStyle w:val="VersoIngls01Sangria"/>
        <w:rPr>
          <w:sz w:val="16"/>
          <w:szCs w:val="20"/>
        </w:rPr>
      </w:pPr>
      <w:r w:rsidRPr="00201112">
        <w:rPr>
          <w:sz w:val="16"/>
          <w:szCs w:val="20"/>
        </w:rPr>
        <w:t xml:space="preserve">Un </w:t>
      </w:r>
      <w:proofErr w:type="spellStart"/>
      <w:r w:rsidR="00057BF4" w:rsidRPr="00201112">
        <w:rPr>
          <w:i/>
          <w:iCs/>
          <w:sz w:val="16"/>
          <w:szCs w:val="20"/>
        </w:rPr>
        <w:t>bhikkhu</w:t>
      </w:r>
      <w:proofErr w:type="spellEnd"/>
      <w:r w:rsidRPr="00201112">
        <w:rPr>
          <w:sz w:val="16"/>
          <w:szCs w:val="20"/>
        </w:rPr>
        <w:t xml:space="preserve"> en su </w:t>
      </w:r>
      <w:r w:rsidR="009B3698" w:rsidRPr="00201112">
        <w:rPr>
          <w:sz w:val="16"/>
          <w:szCs w:val="20"/>
        </w:rPr>
        <w:t xml:space="preserve">brillante </w:t>
      </w:r>
      <w:r w:rsidRPr="00201112">
        <w:rPr>
          <w:sz w:val="16"/>
          <w:szCs w:val="20"/>
        </w:rPr>
        <w:t xml:space="preserve">virtud </w:t>
      </w:r>
    </w:p>
    <w:p w14:paraId="483138BF" w14:textId="41253156" w:rsidR="005174E6" w:rsidRPr="00201112" w:rsidRDefault="005174E6" w:rsidP="005174E6">
      <w:pPr>
        <w:pStyle w:val="VersoIngls01Sangria"/>
        <w:rPr>
          <w:sz w:val="16"/>
          <w:szCs w:val="20"/>
          <w:vertAlign w:val="superscript"/>
        </w:rPr>
      </w:pPr>
      <w:r w:rsidRPr="00201112">
        <w:rPr>
          <w:sz w:val="16"/>
          <w:szCs w:val="20"/>
        </w:rPr>
        <w:t>Brilla</w:t>
      </w:r>
      <w:r w:rsidR="009B3698" w:rsidRPr="00201112">
        <w:rPr>
          <w:sz w:val="16"/>
          <w:szCs w:val="20"/>
        </w:rPr>
        <w:t>rá</w:t>
      </w:r>
      <w:r w:rsidRPr="00201112">
        <w:rPr>
          <w:sz w:val="16"/>
          <w:szCs w:val="20"/>
        </w:rPr>
        <w:t xml:space="preserve"> en el Bosque de Ascetas</w:t>
      </w:r>
      <w:r w:rsidR="00FC3D93" w:rsidRPr="00201112">
        <w:rPr>
          <w:sz w:val="16"/>
          <w:szCs w:val="20"/>
          <w:vertAlign w:val="superscript"/>
        </w:rPr>
        <w:t>41</w:t>
      </w:r>
    </w:p>
    <w:p w14:paraId="235ADD37" w14:textId="4024A256" w:rsidR="005174E6" w:rsidRPr="00201112" w:rsidRDefault="005174E6" w:rsidP="005174E6">
      <w:pPr>
        <w:pStyle w:val="VersoIngls01Sangria"/>
        <w:rPr>
          <w:sz w:val="16"/>
          <w:szCs w:val="20"/>
        </w:rPr>
      </w:pPr>
      <w:r w:rsidRPr="00201112">
        <w:rPr>
          <w:sz w:val="16"/>
          <w:szCs w:val="20"/>
        </w:rPr>
        <w:t xml:space="preserve">Como </w:t>
      </w:r>
      <w:r w:rsidR="001976F8">
        <w:rPr>
          <w:sz w:val="16"/>
          <w:szCs w:val="20"/>
        </w:rPr>
        <w:t>con</w:t>
      </w:r>
      <w:r w:rsidRPr="00201112">
        <w:rPr>
          <w:sz w:val="16"/>
          <w:szCs w:val="20"/>
        </w:rPr>
        <w:t xml:space="preserve"> el brillo de sus rayos</w:t>
      </w:r>
    </w:p>
    <w:p w14:paraId="6FE55B0C" w14:textId="36644E86" w:rsidR="005174E6" w:rsidRPr="00201112" w:rsidRDefault="005174E6" w:rsidP="005174E6">
      <w:pPr>
        <w:pStyle w:val="VersoIngls01Sangria"/>
        <w:spacing w:after="100"/>
        <w:ind w:left="1418"/>
        <w:rPr>
          <w:sz w:val="16"/>
          <w:szCs w:val="20"/>
        </w:rPr>
      </w:pPr>
      <w:r w:rsidRPr="00201112">
        <w:rPr>
          <w:sz w:val="16"/>
          <w:szCs w:val="20"/>
        </w:rPr>
        <w:t xml:space="preserve">La </w:t>
      </w:r>
      <w:r w:rsidR="006917C4" w:rsidRPr="00201112">
        <w:rPr>
          <w:sz w:val="16"/>
          <w:szCs w:val="20"/>
        </w:rPr>
        <w:t xml:space="preserve">Luna </w:t>
      </w:r>
      <w:r w:rsidRPr="00201112">
        <w:rPr>
          <w:sz w:val="16"/>
          <w:szCs w:val="20"/>
        </w:rPr>
        <w:t>ilumina el firmamento.</w:t>
      </w:r>
    </w:p>
    <w:p w14:paraId="4CE2D3EB" w14:textId="77777777" w:rsidR="005174E6" w:rsidRPr="00201112" w:rsidRDefault="005174E6" w:rsidP="005174E6">
      <w:pPr>
        <w:pStyle w:val="VersoIngls01Sangria"/>
        <w:rPr>
          <w:sz w:val="16"/>
          <w:szCs w:val="20"/>
        </w:rPr>
      </w:pPr>
      <w:r w:rsidRPr="00201112">
        <w:rPr>
          <w:sz w:val="16"/>
          <w:szCs w:val="20"/>
        </w:rPr>
        <w:t>Ahora bien, si el perfume corporal</w:t>
      </w:r>
    </w:p>
    <w:p w14:paraId="34E8C240" w14:textId="5874A3AB" w:rsidR="005174E6" w:rsidRPr="00201112" w:rsidRDefault="005174E6" w:rsidP="005174E6">
      <w:pPr>
        <w:pStyle w:val="VersoIngls01Sangria"/>
        <w:rPr>
          <w:sz w:val="16"/>
          <w:szCs w:val="20"/>
        </w:rPr>
      </w:pPr>
      <w:r w:rsidRPr="00201112">
        <w:rPr>
          <w:sz w:val="16"/>
          <w:szCs w:val="20"/>
        </w:rPr>
        <w:t xml:space="preserve">de </w:t>
      </w:r>
      <w:r w:rsidR="001D069E" w:rsidRPr="00201112">
        <w:rPr>
          <w:sz w:val="16"/>
          <w:szCs w:val="20"/>
        </w:rPr>
        <w:t xml:space="preserve">los </w:t>
      </w:r>
      <w:proofErr w:type="spellStart"/>
      <w:r w:rsidR="00057BF4" w:rsidRPr="00201112">
        <w:rPr>
          <w:i/>
          <w:iCs/>
          <w:sz w:val="16"/>
          <w:szCs w:val="20"/>
        </w:rPr>
        <w:t>bhikkhu</w:t>
      </w:r>
      <w:r w:rsidRPr="00201112">
        <w:rPr>
          <w:i/>
          <w:iCs/>
          <w:sz w:val="16"/>
          <w:szCs w:val="20"/>
        </w:rPr>
        <w:t>s</w:t>
      </w:r>
      <w:proofErr w:type="spellEnd"/>
      <w:r w:rsidRPr="00201112">
        <w:rPr>
          <w:sz w:val="16"/>
          <w:szCs w:val="20"/>
        </w:rPr>
        <w:t xml:space="preserve"> virtuosos puede tener éxito</w:t>
      </w:r>
    </w:p>
    <w:p w14:paraId="6070EFF5" w14:textId="46D9DAE1" w:rsidR="005174E6" w:rsidRPr="00201112" w:rsidRDefault="005174E6" w:rsidP="005174E6">
      <w:pPr>
        <w:pStyle w:val="VersoIngls01Sangria"/>
        <w:rPr>
          <w:sz w:val="16"/>
          <w:szCs w:val="20"/>
        </w:rPr>
      </w:pPr>
      <w:proofErr w:type="gramStart"/>
      <w:r w:rsidRPr="00201112">
        <w:rPr>
          <w:sz w:val="16"/>
          <w:szCs w:val="20"/>
        </w:rPr>
        <w:t>A</w:t>
      </w:r>
      <w:r w:rsidR="001947DB">
        <w:rPr>
          <w:sz w:val="16"/>
          <w:szCs w:val="20"/>
        </w:rPr>
        <w:t>punto de</w:t>
      </w:r>
      <w:proofErr w:type="gramEnd"/>
      <w:r w:rsidRPr="00201112">
        <w:rPr>
          <w:sz w:val="16"/>
          <w:szCs w:val="20"/>
        </w:rPr>
        <w:t xml:space="preserve"> complacer incluso a las deidades,</w:t>
      </w:r>
    </w:p>
    <w:p w14:paraId="67B27A9E" w14:textId="09FC28DB" w:rsidR="005174E6" w:rsidRPr="00201112" w:rsidRDefault="005174E6" w:rsidP="005174E6">
      <w:pPr>
        <w:pStyle w:val="VersoIngls01Sangria"/>
        <w:spacing w:after="100"/>
        <w:ind w:left="1418"/>
        <w:rPr>
          <w:sz w:val="16"/>
          <w:szCs w:val="20"/>
        </w:rPr>
      </w:pPr>
      <w:r w:rsidRPr="00201112">
        <w:rPr>
          <w:sz w:val="16"/>
          <w:szCs w:val="20"/>
        </w:rPr>
        <w:t>¿Qué ha</w:t>
      </w:r>
      <w:r w:rsidR="001D069E" w:rsidRPr="00201112">
        <w:rPr>
          <w:sz w:val="16"/>
          <w:szCs w:val="20"/>
        </w:rPr>
        <w:t>brá</w:t>
      </w:r>
      <w:r w:rsidRPr="00201112">
        <w:rPr>
          <w:sz w:val="16"/>
          <w:szCs w:val="20"/>
        </w:rPr>
        <w:t xml:space="preserve"> del perfume de su virtud?</w:t>
      </w:r>
    </w:p>
    <w:p w14:paraId="4516FFD3" w14:textId="13BF2B55" w:rsidR="005174E6" w:rsidRPr="00201112" w:rsidRDefault="005174E6" w:rsidP="005174E6">
      <w:pPr>
        <w:pStyle w:val="VersoIngls01Sangria"/>
        <w:rPr>
          <w:sz w:val="16"/>
          <w:szCs w:val="20"/>
        </w:rPr>
      </w:pPr>
      <w:r w:rsidRPr="00201112">
        <w:rPr>
          <w:sz w:val="16"/>
          <w:szCs w:val="20"/>
        </w:rPr>
        <w:t>Es más perfecto lejos que todo</w:t>
      </w:r>
      <w:r w:rsidR="005B6A66" w:rsidRPr="00201112">
        <w:rPr>
          <w:sz w:val="16"/>
          <w:szCs w:val="20"/>
        </w:rPr>
        <w:t>s</w:t>
      </w:r>
    </w:p>
    <w:p w14:paraId="1E61283B" w14:textId="77777777" w:rsidR="005174E6" w:rsidRPr="00201112" w:rsidRDefault="005174E6" w:rsidP="005174E6">
      <w:pPr>
        <w:pStyle w:val="VersoIngls01Sangria"/>
        <w:rPr>
          <w:sz w:val="16"/>
          <w:szCs w:val="20"/>
        </w:rPr>
      </w:pPr>
      <w:r w:rsidRPr="00201112">
        <w:rPr>
          <w:sz w:val="16"/>
          <w:szCs w:val="20"/>
        </w:rPr>
        <w:t>Los otros perfumes del mundo,</w:t>
      </w:r>
    </w:p>
    <w:p w14:paraId="10512C77" w14:textId="5B2D47F3" w:rsidR="005174E6" w:rsidRPr="00201112" w:rsidRDefault="005174E6" w:rsidP="005174E6">
      <w:pPr>
        <w:pStyle w:val="VersoIngls01Sangria"/>
        <w:rPr>
          <w:sz w:val="16"/>
          <w:szCs w:val="20"/>
        </w:rPr>
      </w:pPr>
      <w:r w:rsidRPr="00201112">
        <w:rPr>
          <w:sz w:val="16"/>
          <w:szCs w:val="20"/>
        </w:rPr>
        <w:t xml:space="preserve">Porque el perfume </w:t>
      </w:r>
      <w:r w:rsidR="007366FA" w:rsidRPr="00201112">
        <w:rPr>
          <w:sz w:val="16"/>
          <w:szCs w:val="20"/>
        </w:rPr>
        <w:t xml:space="preserve">que ofrece la </w:t>
      </w:r>
      <w:r w:rsidRPr="00201112">
        <w:rPr>
          <w:sz w:val="16"/>
          <w:szCs w:val="20"/>
        </w:rPr>
        <w:t>virtud</w:t>
      </w:r>
    </w:p>
    <w:p w14:paraId="15237A38" w14:textId="7F85ED85" w:rsidR="005174E6" w:rsidRPr="00201112" w:rsidRDefault="005174E6" w:rsidP="005174E6">
      <w:pPr>
        <w:pStyle w:val="VersoIngls01Sangria"/>
        <w:spacing w:after="100"/>
        <w:ind w:left="1418"/>
        <w:rPr>
          <w:sz w:val="16"/>
          <w:szCs w:val="20"/>
        </w:rPr>
      </w:pPr>
      <w:r w:rsidRPr="00201112">
        <w:rPr>
          <w:sz w:val="16"/>
          <w:szCs w:val="20"/>
        </w:rPr>
        <w:t xml:space="preserve">Se </w:t>
      </w:r>
      <w:r w:rsidR="007366FA" w:rsidRPr="00201112">
        <w:rPr>
          <w:sz w:val="16"/>
          <w:szCs w:val="20"/>
        </w:rPr>
        <w:t xml:space="preserve">transmite </w:t>
      </w:r>
      <w:r w:rsidRPr="00201112">
        <w:rPr>
          <w:sz w:val="16"/>
          <w:szCs w:val="20"/>
        </w:rPr>
        <w:t xml:space="preserve">sin </w:t>
      </w:r>
      <w:r w:rsidR="00941252" w:rsidRPr="00201112">
        <w:rPr>
          <w:sz w:val="16"/>
          <w:szCs w:val="20"/>
        </w:rPr>
        <w:t>obstáculos</w:t>
      </w:r>
      <w:r w:rsidRPr="00201112">
        <w:rPr>
          <w:sz w:val="16"/>
          <w:szCs w:val="20"/>
        </w:rPr>
        <w:t xml:space="preserve"> </w:t>
      </w:r>
      <w:r w:rsidR="007366FA" w:rsidRPr="00201112">
        <w:rPr>
          <w:sz w:val="16"/>
          <w:szCs w:val="20"/>
        </w:rPr>
        <w:t xml:space="preserve">hacia </w:t>
      </w:r>
      <w:r w:rsidRPr="00201112">
        <w:rPr>
          <w:sz w:val="16"/>
          <w:szCs w:val="20"/>
        </w:rPr>
        <w:t>todas las direcciones.</w:t>
      </w:r>
    </w:p>
    <w:p w14:paraId="0D147789" w14:textId="61A4F080" w:rsidR="005174E6" w:rsidRPr="00201112" w:rsidRDefault="005174E6" w:rsidP="005174E6">
      <w:pPr>
        <w:pStyle w:val="VersoIngls01Sangria"/>
        <w:rPr>
          <w:sz w:val="16"/>
          <w:szCs w:val="20"/>
        </w:rPr>
      </w:pPr>
      <w:r w:rsidRPr="00201112">
        <w:rPr>
          <w:sz w:val="16"/>
          <w:szCs w:val="20"/>
        </w:rPr>
        <w:t xml:space="preserve">Las </w:t>
      </w:r>
      <w:r w:rsidR="00941252" w:rsidRPr="00201112">
        <w:rPr>
          <w:sz w:val="16"/>
          <w:szCs w:val="20"/>
        </w:rPr>
        <w:t xml:space="preserve">acciones </w:t>
      </w:r>
      <w:r w:rsidRPr="00201112">
        <w:rPr>
          <w:sz w:val="16"/>
          <w:szCs w:val="20"/>
        </w:rPr>
        <w:t>hechas por un hombre virtuoso,</w:t>
      </w:r>
    </w:p>
    <w:p w14:paraId="775F9348" w14:textId="3A3DA981" w:rsidR="009370A6" w:rsidRPr="00201112" w:rsidRDefault="005174E6" w:rsidP="005174E6">
      <w:pPr>
        <w:pStyle w:val="VersoIngls01Sangria"/>
        <w:rPr>
          <w:sz w:val="16"/>
          <w:szCs w:val="20"/>
        </w:rPr>
      </w:pPr>
      <w:r w:rsidRPr="00201112">
        <w:rPr>
          <w:sz w:val="16"/>
          <w:szCs w:val="20"/>
        </w:rPr>
        <w:t>Aunque sean poc</w:t>
      </w:r>
      <w:r w:rsidR="00941252" w:rsidRPr="00201112">
        <w:rPr>
          <w:sz w:val="16"/>
          <w:szCs w:val="20"/>
        </w:rPr>
        <w:t>a</w:t>
      </w:r>
      <w:r w:rsidRPr="00201112">
        <w:rPr>
          <w:sz w:val="16"/>
          <w:szCs w:val="20"/>
        </w:rPr>
        <w:t>s, darán mucho fruto,</w:t>
      </w:r>
    </w:p>
    <w:p w14:paraId="7B8957F6" w14:textId="77777777" w:rsidR="002F65C9" w:rsidRDefault="002F65C9">
      <w:pPr>
        <w:tabs>
          <w:tab w:val="clear" w:pos="425"/>
        </w:tabs>
        <w:spacing w:after="160"/>
      </w:pPr>
    </w:p>
    <w:p w14:paraId="01622EC8" w14:textId="2387604C" w:rsidR="002F65C9" w:rsidRPr="002F65C9" w:rsidRDefault="002F65C9" w:rsidP="002F65C9">
      <w:pPr>
        <w:pStyle w:val="PiedepginaLegal"/>
        <w:rPr>
          <w:u w:val="single"/>
        </w:rPr>
      </w:pPr>
      <w:r w:rsidRPr="002F65C9">
        <w:rPr>
          <w:u w:val="single"/>
        </w:rPr>
        <w:tab/>
      </w:r>
      <w:r w:rsidRPr="002F65C9">
        <w:rPr>
          <w:u w:val="single"/>
        </w:rPr>
        <w:tab/>
      </w:r>
      <w:r w:rsidRPr="002F65C9">
        <w:rPr>
          <w:u w:val="single"/>
        </w:rPr>
        <w:tab/>
      </w:r>
      <w:r w:rsidRPr="002F65C9">
        <w:rPr>
          <w:u w:val="single"/>
        </w:rPr>
        <w:tab/>
        <w:t>.</w:t>
      </w:r>
    </w:p>
    <w:p w14:paraId="19C6B946" w14:textId="4B8BAEDB" w:rsidR="005174E6" w:rsidRDefault="002F65C9" w:rsidP="002F65C9">
      <w:pPr>
        <w:pStyle w:val="PiedepginaLegal"/>
      </w:pPr>
      <w:r w:rsidRPr="002F65C9">
        <w:t xml:space="preserve">41. Una alusión a los </w:t>
      </w:r>
      <w:proofErr w:type="spellStart"/>
      <w:r w:rsidRPr="002F65C9">
        <w:rPr>
          <w:i/>
          <w:iCs/>
        </w:rPr>
        <w:t>Gosiṅga</w:t>
      </w:r>
      <w:proofErr w:type="spellEnd"/>
      <w:r w:rsidRPr="002F65C9">
        <w:rPr>
          <w:i/>
          <w:iCs/>
        </w:rPr>
        <w:t xml:space="preserve"> Suttas</w:t>
      </w:r>
      <w:r w:rsidRPr="002F65C9">
        <w:t xml:space="preserve"> (MN 31, 32) </w:t>
      </w:r>
      <w:r w:rsidR="005174E6">
        <w:br w:type="page"/>
      </w:r>
    </w:p>
    <w:p w14:paraId="013FFE10" w14:textId="35B3AAA2" w:rsidR="00802C4B" w:rsidRPr="00004CE3" w:rsidRDefault="00802C4B" w:rsidP="00802C4B">
      <w:pPr>
        <w:pStyle w:val="VersoIngls01Sangria"/>
        <w:rPr>
          <w:sz w:val="16"/>
          <w:szCs w:val="20"/>
        </w:rPr>
      </w:pPr>
      <w:r w:rsidRPr="00004CE3">
        <w:rPr>
          <w:sz w:val="16"/>
          <w:szCs w:val="20"/>
        </w:rPr>
        <w:lastRenderedPageBreak/>
        <w:t>Y así el hombre virtuoso se v</w:t>
      </w:r>
      <w:r w:rsidR="00941252" w:rsidRPr="00004CE3">
        <w:rPr>
          <w:sz w:val="16"/>
          <w:szCs w:val="20"/>
        </w:rPr>
        <w:t>o</w:t>
      </w:r>
      <w:r w:rsidRPr="00004CE3">
        <w:rPr>
          <w:sz w:val="16"/>
          <w:szCs w:val="20"/>
        </w:rPr>
        <w:t>lve</w:t>
      </w:r>
      <w:r w:rsidR="00941252" w:rsidRPr="00004CE3">
        <w:rPr>
          <w:sz w:val="16"/>
          <w:szCs w:val="20"/>
        </w:rPr>
        <w:t>rá</w:t>
      </w:r>
    </w:p>
    <w:p w14:paraId="0F026E6D" w14:textId="79D5CA57" w:rsidR="00802C4B" w:rsidRPr="00004CE3" w:rsidRDefault="00802C4B" w:rsidP="00802C4B">
      <w:pPr>
        <w:pStyle w:val="VersoIngls01Sangria"/>
        <w:spacing w:after="100"/>
        <w:ind w:left="1418"/>
        <w:rPr>
          <w:sz w:val="16"/>
          <w:szCs w:val="20"/>
        </w:rPr>
      </w:pPr>
      <w:r w:rsidRPr="00004CE3">
        <w:rPr>
          <w:sz w:val="16"/>
          <w:szCs w:val="20"/>
        </w:rPr>
        <w:t xml:space="preserve">Un </w:t>
      </w:r>
      <w:r w:rsidR="001947DB">
        <w:rPr>
          <w:sz w:val="16"/>
          <w:szCs w:val="20"/>
        </w:rPr>
        <w:t>receptáculo</w:t>
      </w:r>
      <w:r w:rsidRPr="00004CE3">
        <w:rPr>
          <w:sz w:val="16"/>
          <w:szCs w:val="20"/>
        </w:rPr>
        <w:t xml:space="preserve"> de honor y renombre.</w:t>
      </w:r>
    </w:p>
    <w:p w14:paraId="6B53116E" w14:textId="053E4C0F" w:rsidR="00802C4B" w:rsidRPr="00004CE3" w:rsidRDefault="00802C4B" w:rsidP="00802C4B">
      <w:pPr>
        <w:pStyle w:val="VersoIngls01Sangria"/>
        <w:rPr>
          <w:sz w:val="16"/>
          <w:szCs w:val="20"/>
        </w:rPr>
      </w:pPr>
      <w:r w:rsidRPr="00004CE3">
        <w:rPr>
          <w:sz w:val="16"/>
          <w:szCs w:val="20"/>
        </w:rPr>
        <w:t xml:space="preserve">No </w:t>
      </w:r>
      <w:r w:rsidR="0005364E">
        <w:rPr>
          <w:sz w:val="16"/>
          <w:szCs w:val="20"/>
        </w:rPr>
        <w:t>podrá</w:t>
      </w:r>
      <w:r w:rsidR="001010BD" w:rsidRPr="00004CE3">
        <w:rPr>
          <w:sz w:val="16"/>
          <w:szCs w:val="20"/>
        </w:rPr>
        <w:t xml:space="preserve"> haber corrupciones</w:t>
      </w:r>
      <w:r w:rsidRPr="00004CE3">
        <w:rPr>
          <w:sz w:val="16"/>
          <w:szCs w:val="20"/>
        </w:rPr>
        <w:t xml:space="preserve"> </w:t>
      </w:r>
      <w:r w:rsidR="0005364E">
        <w:rPr>
          <w:sz w:val="16"/>
          <w:szCs w:val="20"/>
        </w:rPr>
        <w:t xml:space="preserve">ni </w:t>
      </w:r>
      <w:r w:rsidRPr="00004CE3">
        <w:rPr>
          <w:sz w:val="16"/>
          <w:szCs w:val="20"/>
        </w:rPr>
        <w:t xml:space="preserve">aquí </w:t>
      </w:r>
      <w:r w:rsidR="0005364E">
        <w:rPr>
          <w:sz w:val="16"/>
          <w:szCs w:val="20"/>
        </w:rPr>
        <w:t>ni</w:t>
      </w:r>
      <w:r w:rsidRPr="00004CE3">
        <w:rPr>
          <w:sz w:val="16"/>
          <w:szCs w:val="20"/>
        </w:rPr>
        <w:t xml:space="preserve"> ahora</w:t>
      </w:r>
    </w:p>
    <w:p w14:paraId="6CD09963" w14:textId="3502B10C" w:rsidR="00802C4B" w:rsidRPr="00004CE3" w:rsidRDefault="00643A9D" w:rsidP="00802C4B">
      <w:pPr>
        <w:pStyle w:val="VersoIngls01Sangria"/>
        <w:rPr>
          <w:sz w:val="16"/>
          <w:szCs w:val="20"/>
        </w:rPr>
      </w:pPr>
      <w:r w:rsidRPr="00004CE3">
        <w:rPr>
          <w:sz w:val="16"/>
          <w:szCs w:val="20"/>
        </w:rPr>
        <w:t xml:space="preserve">A </w:t>
      </w:r>
      <w:r w:rsidR="0005364E">
        <w:rPr>
          <w:sz w:val="16"/>
          <w:szCs w:val="20"/>
        </w:rPr>
        <w:t>contaminar a</w:t>
      </w:r>
      <w:r w:rsidR="00802C4B" w:rsidRPr="00004CE3">
        <w:rPr>
          <w:sz w:val="16"/>
          <w:szCs w:val="20"/>
        </w:rPr>
        <w:t xml:space="preserve"> </w:t>
      </w:r>
      <w:r w:rsidR="0005364E">
        <w:rPr>
          <w:sz w:val="16"/>
          <w:szCs w:val="20"/>
        </w:rPr>
        <w:t xml:space="preserve">un </w:t>
      </w:r>
      <w:r w:rsidR="00802C4B" w:rsidRPr="00004CE3">
        <w:rPr>
          <w:sz w:val="16"/>
          <w:szCs w:val="20"/>
        </w:rPr>
        <w:t xml:space="preserve">hombre virtuoso en </w:t>
      </w:r>
      <w:r w:rsidRPr="00004CE3">
        <w:rPr>
          <w:sz w:val="16"/>
          <w:szCs w:val="20"/>
        </w:rPr>
        <w:t xml:space="preserve">lo </w:t>
      </w:r>
      <w:r w:rsidR="00802C4B" w:rsidRPr="00004CE3">
        <w:rPr>
          <w:sz w:val="16"/>
          <w:szCs w:val="20"/>
        </w:rPr>
        <w:t>absoluto;</w:t>
      </w:r>
    </w:p>
    <w:p w14:paraId="19996D45" w14:textId="5A14747A" w:rsidR="00802C4B" w:rsidRPr="00004CE3" w:rsidRDefault="00802C4B" w:rsidP="00802C4B">
      <w:pPr>
        <w:pStyle w:val="VersoIngls01Sangria"/>
        <w:rPr>
          <w:sz w:val="16"/>
          <w:szCs w:val="20"/>
        </w:rPr>
      </w:pPr>
      <w:r w:rsidRPr="00004CE3">
        <w:rPr>
          <w:sz w:val="16"/>
          <w:szCs w:val="20"/>
        </w:rPr>
        <w:t xml:space="preserve">El hombre virtuoso </w:t>
      </w:r>
      <w:r w:rsidR="00643A9D" w:rsidRPr="00004CE3">
        <w:rPr>
          <w:sz w:val="16"/>
          <w:szCs w:val="20"/>
        </w:rPr>
        <w:t xml:space="preserve">erradica la </w:t>
      </w:r>
      <w:r w:rsidRPr="00004CE3">
        <w:rPr>
          <w:sz w:val="16"/>
          <w:szCs w:val="20"/>
        </w:rPr>
        <w:t>raíz</w:t>
      </w:r>
    </w:p>
    <w:p w14:paraId="2E019EC0" w14:textId="286F6B8D" w:rsidR="00802C4B" w:rsidRPr="00004CE3" w:rsidRDefault="00643A9D" w:rsidP="00802C4B">
      <w:pPr>
        <w:pStyle w:val="VersoIngls01Sangria"/>
        <w:spacing w:after="100"/>
        <w:ind w:left="1418"/>
        <w:rPr>
          <w:sz w:val="16"/>
          <w:szCs w:val="20"/>
        </w:rPr>
      </w:pPr>
      <w:r w:rsidRPr="00004CE3">
        <w:rPr>
          <w:sz w:val="16"/>
          <w:szCs w:val="20"/>
        </w:rPr>
        <w:t>Del</w:t>
      </w:r>
      <w:r w:rsidR="00802C4B" w:rsidRPr="00004CE3">
        <w:rPr>
          <w:sz w:val="16"/>
          <w:szCs w:val="20"/>
        </w:rPr>
        <w:t xml:space="preserve"> sufrimiento en vidas por venir.</w:t>
      </w:r>
    </w:p>
    <w:p w14:paraId="0F33E573" w14:textId="77777777" w:rsidR="00802C4B" w:rsidRPr="00004CE3" w:rsidRDefault="00802C4B" w:rsidP="00802C4B">
      <w:pPr>
        <w:pStyle w:val="VersoIngls01Sangria"/>
        <w:rPr>
          <w:sz w:val="16"/>
          <w:szCs w:val="20"/>
        </w:rPr>
      </w:pPr>
      <w:r w:rsidRPr="00004CE3">
        <w:rPr>
          <w:sz w:val="16"/>
          <w:szCs w:val="20"/>
        </w:rPr>
        <w:t>La perfección entre la especie humana</w:t>
      </w:r>
    </w:p>
    <w:p w14:paraId="54F61B02" w14:textId="55E7F0A5" w:rsidR="00802C4B" w:rsidRPr="00004CE3" w:rsidRDefault="00802C4B" w:rsidP="00802C4B">
      <w:pPr>
        <w:pStyle w:val="VersoIngls01Sangria"/>
        <w:rPr>
          <w:sz w:val="16"/>
          <w:szCs w:val="20"/>
        </w:rPr>
      </w:pPr>
      <w:r w:rsidRPr="00004CE3">
        <w:rPr>
          <w:sz w:val="16"/>
          <w:szCs w:val="20"/>
        </w:rPr>
        <w:t>E incluso entre deidades.</w:t>
      </w:r>
    </w:p>
    <w:p w14:paraId="0076F858" w14:textId="4D97E2AD" w:rsidR="00802C4B" w:rsidRPr="00004CE3" w:rsidRDefault="00802C4B" w:rsidP="00802C4B">
      <w:pPr>
        <w:pStyle w:val="VersoIngls01Sangria"/>
        <w:rPr>
          <w:sz w:val="16"/>
          <w:szCs w:val="20"/>
        </w:rPr>
      </w:pPr>
      <w:r w:rsidRPr="00004CE3">
        <w:rPr>
          <w:sz w:val="16"/>
          <w:szCs w:val="20"/>
        </w:rPr>
        <w:t>Si se desea</w:t>
      </w:r>
      <w:r w:rsidR="00965219" w:rsidRPr="00004CE3">
        <w:rPr>
          <w:sz w:val="16"/>
          <w:szCs w:val="20"/>
        </w:rPr>
        <w:t>ra</w:t>
      </w:r>
      <w:r w:rsidRPr="00004CE3">
        <w:rPr>
          <w:sz w:val="16"/>
          <w:szCs w:val="20"/>
        </w:rPr>
        <w:t>, no es difícil de obtener</w:t>
      </w:r>
    </w:p>
    <w:p w14:paraId="6F21E88F" w14:textId="26DADB04" w:rsidR="00802C4B" w:rsidRPr="00004CE3" w:rsidRDefault="00802C4B" w:rsidP="005855E5">
      <w:pPr>
        <w:pStyle w:val="VersoIngls01Sangria"/>
        <w:spacing w:after="100"/>
        <w:ind w:left="1418"/>
        <w:rPr>
          <w:sz w:val="16"/>
          <w:szCs w:val="20"/>
        </w:rPr>
      </w:pPr>
      <w:r w:rsidRPr="00004CE3">
        <w:rPr>
          <w:sz w:val="16"/>
          <w:szCs w:val="20"/>
        </w:rPr>
        <w:t xml:space="preserve">Para aquel cuya virtud </w:t>
      </w:r>
      <w:r w:rsidR="00323787">
        <w:rPr>
          <w:sz w:val="16"/>
          <w:szCs w:val="20"/>
        </w:rPr>
        <w:t>sea</w:t>
      </w:r>
      <w:r w:rsidRPr="00004CE3">
        <w:rPr>
          <w:sz w:val="16"/>
          <w:szCs w:val="20"/>
        </w:rPr>
        <w:t xml:space="preserve"> perfeccionada;</w:t>
      </w:r>
    </w:p>
    <w:p w14:paraId="02E3B6AE" w14:textId="7CDA813A" w:rsidR="00802C4B" w:rsidRPr="00004CE3" w:rsidRDefault="00802C4B" w:rsidP="00802C4B">
      <w:pPr>
        <w:pStyle w:val="VersoIngls01Sangria"/>
        <w:rPr>
          <w:sz w:val="16"/>
          <w:szCs w:val="20"/>
        </w:rPr>
      </w:pPr>
      <w:r w:rsidRPr="00004CE3">
        <w:rPr>
          <w:sz w:val="16"/>
          <w:szCs w:val="20"/>
        </w:rPr>
        <w:t xml:space="preserve">Pero una vez </w:t>
      </w:r>
      <w:r w:rsidR="00010893">
        <w:rPr>
          <w:sz w:val="16"/>
          <w:szCs w:val="20"/>
        </w:rPr>
        <w:t xml:space="preserve">que </w:t>
      </w:r>
      <w:r w:rsidRPr="00004CE3">
        <w:rPr>
          <w:sz w:val="16"/>
          <w:szCs w:val="20"/>
        </w:rPr>
        <w:t>su virtud</w:t>
      </w:r>
      <w:r w:rsidR="00323787" w:rsidRPr="00323787">
        <w:rPr>
          <w:sz w:val="16"/>
          <w:szCs w:val="20"/>
        </w:rPr>
        <w:t xml:space="preserve"> </w:t>
      </w:r>
      <w:r w:rsidR="00323787">
        <w:rPr>
          <w:sz w:val="16"/>
          <w:szCs w:val="20"/>
        </w:rPr>
        <w:t xml:space="preserve">alcance </w:t>
      </w:r>
      <w:r w:rsidR="00010893">
        <w:rPr>
          <w:sz w:val="16"/>
          <w:szCs w:val="20"/>
        </w:rPr>
        <w:t xml:space="preserve">cierta </w:t>
      </w:r>
      <w:r w:rsidR="00323787">
        <w:rPr>
          <w:sz w:val="16"/>
          <w:szCs w:val="20"/>
        </w:rPr>
        <w:t>percepción</w:t>
      </w:r>
      <w:r w:rsidRPr="00004CE3">
        <w:rPr>
          <w:sz w:val="16"/>
          <w:szCs w:val="20"/>
        </w:rPr>
        <w:t>,</w:t>
      </w:r>
    </w:p>
    <w:p w14:paraId="74E3F278" w14:textId="4C76DBAD" w:rsidR="00802C4B" w:rsidRPr="00004CE3" w:rsidRDefault="00802C4B" w:rsidP="00802C4B">
      <w:pPr>
        <w:pStyle w:val="VersoIngls01Sangria"/>
        <w:rPr>
          <w:sz w:val="16"/>
          <w:szCs w:val="20"/>
        </w:rPr>
      </w:pPr>
      <w:r w:rsidRPr="00004CE3">
        <w:rPr>
          <w:sz w:val="16"/>
          <w:szCs w:val="20"/>
        </w:rPr>
        <w:t xml:space="preserve">Su mente no </w:t>
      </w:r>
      <w:r w:rsidR="00E915E2" w:rsidRPr="00004CE3">
        <w:rPr>
          <w:sz w:val="16"/>
          <w:szCs w:val="20"/>
        </w:rPr>
        <w:t>anhelará</w:t>
      </w:r>
      <w:r w:rsidRPr="00004CE3">
        <w:rPr>
          <w:sz w:val="16"/>
          <w:szCs w:val="20"/>
        </w:rPr>
        <w:t xml:space="preserve"> </w:t>
      </w:r>
      <w:r w:rsidR="00323787" w:rsidRPr="00004CE3">
        <w:rPr>
          <w:sz w:val="16"/>
          <w:szCs w:val="20"/>
        </w:rPr>
        <w:t xml:space="preserve">entonces </w:t>
      </w:r>
      <w:r w:rsidRPr="00004CE3">
        <w:rPr>
          <w:sz w:val="16"/>
          <w:szCs w:val="20"/>
        </w:rPr>
        <w:t>otro tipo</w:t>
      </w:r>
    </w:p>
    <w:p w14:paraId="67D9EDD0" w14:textId="0B67A58C" w:rsidR="00802C4B" w:rsidRPr="00004CE3" w:rsidRDefault="00010893" w:rsidP="00802C4B">
      <w:pPr>
        <w:pStyle w:val="VersoIngls01Sangria"/>
        <w:rPr>
          <w:sz w:val="16"/>
          <w:szCs w:val="20"/>
        </w:rPr>
      </w:pPr>
      <w:r>
        <w:rPr>
          <w:sz w:val="16"/>
          <w:szCs w:val="20"/>
        </w:rPr>
        <w:t>De</w:t>
      </w:r>
      <w:r w:rsidR="00802C4B" w:rsidRPr="00004CE3">
        <w:rPr>
          <w:sz w:val="16"/>
          <w:szCs w:val="20"/>
        </w:rPr>
        <w:t xml:space="preserve"> perfección </w:t>
      </w:r>
      <w:r>
        <w:rPr>
          <w:sz w:val="16"/>
          <w:szCs w:val="20"/>
        </w:rPr>
        <w:t xml:space="preserve">que la </w:t>
      </w:r>
      <w:r w:rsidR="00802C4B" w:rsidRPr="00004CE3">
        <w:rPr>
          <w:sz w:val="16"/>
          <w:szCs w:val="20"/>
        </w:rPr>
        <w:t>de</w:t>
      </w:r>
      <w:r w:rsidR="00E915E2" w:rsidRPr="00004CE3">
        <w:rPr>
          <w:sz w:val="16"/>
          <w:szCs w:val="20"/>
        </w:rPr>
        <w:t>l</w:t>
      </w:r>
      <w:r w:rsidR="00802C4B" w:rsidRPr="00004CE3">
        <w:rPr>
          <w:sz w:val="16"/>
          <w:szCs w:val="20"/>
        </w:rPr>
        <w:t xml:space="preserve"> </w:t>
      </w:r>
      <w:r w:rsidR="00802C4B" w:rsidRPr="00004CE3">
        <w:rPr>
          <w:i/>
          <w:iCs/>
          <w:sz w:val="16"/>
          <w:szCs w:val="20"/>
        </w:rPr>
        <w:t>Nibbāna</w:t>
      </w:r>
      <w:r w:rsidR="00802C4B" w:rsidRPr="00004CE3">
        <w:rPr>
          <w:sz w:val="16"/>
          <w:szCs w:val="20"/>
        </w:rPr>
        <w:t>,</w:t>
      </w:r>
    </w:p>
    <w:p w14:paraId="2E853E06" w14:textId="2182801B" w:rsidR="00802C4B" w:rsidRPr="00004CE3" w:rsidRDefault="00802C4B" w:rsidP="005855E5">
      <w:pPr>
        <w:pStyle w:val="VersoIngls01Sangria"/>
        <w:spacing w:after="100"/>
        <w:ind w:left="1418"/>
        <w:rPr>
          <w:sz w:val="16"/>
          <w:szCs w:val="20"/>
        </w:rPr>
      </w:pPr>
      <w:r w:rsidRPr="00004CE3">
        <w:rPr>
          <w:sz w:val="16"/>
          <w:szCs w:val="20"/>
        </w:rPr>
        <w:t>El estado donde prevalece</w:t>
      </w:r>
      <w:r w:rsidR="00E915E2" w:rsidRPr="00004CE3">
        <w:rPr>
          <w:sz w:val="16"/>
          <w:szCs w:val="20"/>
        </w:rPr>
        <w:t>rá</w:t>
      </w:r>
      <w:r w:rsidRPr="00004CE3">
        <w:rPr>
          <w:sz w:val="16"/>
          <w:szCs w:val="20"/>
        </w:rPr>
        <w:t xml:space="preserve"> la paz absoluta.</w:t>
      </w:r>
    </w:p>
    <w:p w14:paraId="48A93084" w14:textId="5BE7CEE5" w:rsidR="00802C4B" w:rsidRPr="00004CE3" w:rsidRDefault="00802C4B" w:rsidP="00802C4B">
      <w:pPr>
        <w:pStyle w:val="VersoIngls01Sangria"/>
        <w:rPr>
          <w:sz w:val="16"/>
          <w:szCs w:val="20"/>
        </w:rPr>
      </w:pPr>
      <w:r w:rsidRPr="00004CE3">
        <w:rPr>
          <w:sz w:val="16"/>
          <w:szCs w:val="20"/>
        </w:rPr>
        <w:t xml:space="preserve">Tal es el fruto </w:t>
      </w:r>
      <w:proofErr w:type="gramStart"/>
      <w:r w:rsidR="00E915E2" w:rsidRPr="00004CE3">
        <w:rPr>
          <w:sz w:val="16"/>
          <w:szCs w:val="20"/>
        </w:rPr>
        <w:t xml:space="preserve">bienaventurado </w:t>
      </w:r>
      <w:r w:rsidRPr="00004CE3">
        <w:rPr>
          <w:sz w:val="16"/>
          <w:szCs w:val="20"/>
        </w:rPr>
        <w:t xml:space="preserve"> de</w:t>
      </w:r>
      <w:proofErr w:type="gramEnd"/>
      <w:r w:rsidRPr="00004CE3">
        <w:rPr>
          <w:sz w:val="16"/>
          <w:szCs w:val="20"/>
        </w:rPr>
        <w:t xml:space="preserve"> la virtud,</w:t>
      </w:r>
    </w:p>
    <w:p w14:paraId="1DB7049B" w14:textId="10732A89" w:rsidR="00802C4B" w:rsidRPr="00004CE3" w:rsidRDefault="00802C4B" w:rsidP="00802C4B">
      <w:pPr>
        <w:pStyle w:val="VersoIngls01Sangria"/>
        <w:rPr>
          <w:sz w:val="16"/>
          <w:szCs w:val="20"/>
        </w:rPr>
      </w:pPr>
      <w:r w:rsidRPr="00004CE3">
        <w:rPr>
          <w:sz w:val="16"/>
          <w:szCs w:val="20"/>
        </w:rPr>
        <w:t>mostr</w:t>
      </w:r>
      <w:r w:rsidR="00C076A3" w:rsidRPr="00004CE3">
        <w:rPr>
          <w:sz w:val="16"/>
          <w:szCs w:val="20"/>
        </w:rPr>
        <w:t>á</w:t>
      </w:r>
      <w:r w:rsidRPr="00004CE3">
        <w:rPr>
          <w:sz w:val="16"/>
          <w:szCs w:val="20"/>
        </w:rPr>
        <w:t>ndo</w:t>
      </w:r>
      <w:r w:rsidR="00C076A3" w:rsidRPr="00004CE3">
        <w:rPr>
          <w:sz w:val="16"/>
          <w:szCs w:val="20"/>
        </w:rPr>
        <w:t>se</w:t>
      </w:r>
      <w:r w:rsidRPr="00004CE3">
        <w:rPr>
          <w:sz w:val="16"/>
          <w:szCs w:val="20"/>
        </w:rPr>
        <w:t xml:space="preserve"> </w:t>
      </w:r>
      <w:r w:rsidR="00C076A3" w:rsidRPr="00004CE3">
        <w:rPr>
          <w:sz w:val="16"/>
          <w:szCs w:val="20"/>
        </w:rPr>
        <w:t xml:space="preserve">en </w:t>
      </w:r>
      <w:r w:rsidRPr="00004CE3">
        <w:rPr>
          <w:sz w:val="16"/>
          <w:szCs w:val="20"/>
        </w:rPr>
        <w:t>muchas formas variadas,</w:t>
      </w:r>
    </w:p>
    <w:p w14:paraId="1138812F" w14:textId="45185AC1" w:rsidR="00802C4B" w:rsidRPr="00004CE3" w:rsidRDefault="00802C4B" w:rsidP="00802C4B">
      <w:pPr>
        <w:pStyle w:val="VersoIngls01Sangria"/>
        <w:rPr>
          <w:sz w:val="16"/>
          <w:szCs w:val="20"/>
        </w:rPr>
      </w:pPr>
      <w:r w:rsidRPr="00004CE3">
        <w:rPr>
          <w:sz w:val="16"/>
          <w:szCs w:val="20"/>
        </w:rPr>
        <w:t xml:space="preserve">Así que un hombre sabio </w:t>
      </w:r>
      <w:r w:rsidR="00C076A3" w:rsidRPr="00004CE3">
        <w:rPr>
          <w:sz w:val="16"/>
          <w:szCs w:val="20"/>
        </w:rPr>
        <w:t xml:space="preserve">conozca </w:t>
      </w:r>
      <w:r w:rsidRPr="00004CE3">
        <w:rPr>
          <w:sz w:val="16"/>
          <w:szCs w:val="20"/>
        </w:rPr>
        <w:t>bien</w:t>
      </w:r>
    </w:p>
    <w:p w14:paraId="3FC09781" w14:textId="49D60EEC" w:rsidR="00802C4B" w:rsidRPr="00004CE3" w:rsidRDefault="00C076A3" w:rsidP="005855E5">
      <w:pPr>
        <w:pStyle w:val="VersoIngls01Sangria"/>
        <w:spacing w:after="100"/>
        <w:ind w:left="1418"/>
        <w:rPr>
          <w:sz w:val="16"/>
          <w:szCs w:val="20"/>
        </w:rPr>
      </w:pPr>
      <w:r w:rsidRPr="00004CE3">
        <w:rPr>
          <w:sz w:val="16"/>
          <w:szCs w:val="20"/>
        </w:rPr>
        <w:t>A e</w:t>
      </w:r>
      <w:r w:rsidR="00802C4B" w:rsidRPr="00004CE3">
        <w:rPr>
          <w:sz w:val="16"/>
          <w:szCs w:val="20"/>
        </w:rPr>
        <w:t>sta raíz de todas las ramas de la perfección.</w:t>
      </w:r>
    </w:p>
    <w:p w14:paraId="5A8108E0" w14:textId="65619129" w:rsidR="00802C4B" w:rsidRDefault="00802C4B" w:rsidP="00802C4B">
      <w:r>
        <w:t xml:space="preserve">160. </w:t>
      </w:r>
      <w:r w:rsidR="006F7656">
        <w:tab/>
      </w:r>
      <w:r>
        <w:t>La mente de quien comprend</w:t>
      </w:r>
      <w:r w:rsidR="006F7656">
        <w:t>a</w:t>
      </w:r>
      <w:r w:rsidR="00F64D0A" w:rsidRPr="00F64D0A">
        <w:t xml:space="preserve"> </w:t>
      </w:r>
      <w:r w:rsidR="00F64D0A">
        <w:t>así</w:t>
      </w:r>
      <w:r>
        <w:t>, se estremece</w:t>
      </w:r>
      <w:r w:rsidR="006F7656">
        <w:t>rá</w:t>
      </w:r>
      <w:r>
        <w:t xml:space="preserve"> ante el fracaso de </w:t>
      </w:r>
      <w:r w:rsidR="00F64D0A">
        <w:t>su</w:t>
      </w:r>
      <w:r>
        <w:t xml:space="preserve"> virtud y se esf</w:t>
      </w:r>
      <w:r w:rsidR="006F7656">
        <w:t>o</w:t>
      </w:r>
      <w:r>
        <w:t>rza</w:t>
      </w:r>
      <w:r w:rsidR="006F7656">
        <w:t>rá</w:t>
      </w:r>
      <w:r>
        <w:t xml:space="preserve"> por perfeccionarla. Por </w:t>
      </w:r>
      <w:r w:rsidR="006F7656">
        <w:t xml:space="preserve">lo </w:t>
      </w:r>
      <w:r>
        <w:t xml:space="preserve">tanto, la virtud debe ser </w:t>
      </w:r>
      <w:r w:rsidR="006F7656">
        <w:t xml:space="preserve">purificada </w:t>
      </w:r>
      <w:r>
        <w:t xml:space="preserve">con todo cuidado, </w:t>
      </w:r>
      <w:r w:rsidR="006F7656">
        <w:t xml:space="preserve">apreciando </w:t>
      </w:r>
      <w:r>
        <w:t>este peligro de</w:t>
      </w:r>
      <w:r w:rsidR="006F7656">
        <w:t>l</w:t>
      </w:r>
      <w:r>
        <w:t xml:space="preserve"> fracaso en la virtud y este beneficio de la perfección de la virtud en la</w:t>
      </w:r>
      <w:r w:rsidR="006F7656">
        <w:t>s</w:t>
      </w:r>
      <w:r>
        <w:t xml:space="preserve"> forma</w:t>
      </w:r>
      <w:r w:rsidR="006F7656">
        <w:t>s</w:t>
      </w:r>
      <w:r>
        <w:t xml:space="preserve"> expresada</w:t>
      </w:r>
      <w:r w:rsidR="006F7656">
        <w:t>s</w:t>
      </w:r>
      <w:r>
        <w:t>.</w:t>
      </w:r>
    </w:p>
    <w:p w14:paraId="233E717D" w14:textId="0C55931F" w:rsidR="00802C4B" w:rsidRDefault="00802C4B" w:rsidP="00802C4B">
      <w:r>
        <w:t xml:space="preserve">161. </w:t>
      </w:r>
      <w:r w:rsidR="006F7656">
        <w:tab/>
      </w:r>
      <w:r>
        <w:t xml:space="preserve">Y </w:t>
      </w:r>
      <w:r w:rsidR="00E664C4">
        <w:t>respecto a</w:t>
      </w:r>
      <w:r>
        <w:t xml:space="preserve"> este punto del </w:t>
      </w:r>
      <w:r w:rsidR="006F7656" w:rsidRPr="006F7656">
        <w:rPr>
          <w:i/>
          <w:iCs/>
        </w:rPr>
        <w:t xml:space="preserve">Sendero </w:t>
      </w:r>
      <w:r w:rsidRPr="006F7656">
        <w:rPr>
          <w:i/>
          <w:iCs/>
        </w:rPr>
        <w:t xml:space="preserve">de </w:t>
      </w:r>
      <w:r w:rsidR="006F7656">
        <w:rPr>
          <w:i/>
          <w:iCs/>
        </w:rPr>
        <w:t xml:space="preserve">la </w:t>
      </w:r>
      <w:r w:rsidRPr="006F7656">
        <w:rPr>
          <w:i/>
          <w:iCs/>
        </w:rPr>
        <w:t>Purificación</w:t>
      </w:r>
      <w:r>
        <w:t xml:space="preserve">, que se muestra bajo </w:t>
      </w:r>
      <w:r w:rsidR="008C09C5">
        <w:t>los</w:t>
      </w:r>
      <w:r w:rsidR="003D0BF4">
        <w:t xml:space="preserve"> título</w:t>
      </w:r>
      <w:r w:rsidR="008C09C5">
        <w:t>s</w:t>
      </w:r>
      <w:r w:rsidR="003D0BF4">
        <w:t xml:space="preserve"> </w:t>
      </w:r>
      <w:r>
        <w:t xml:space="preserve">de virtud, concentración y </w:t>
      </w:r>
      <w:r w:rsidR="003D0BF4">
        <w:t>sabiduría en el verso presentado</w:t>
      </w:r>
      <w:r w:rsidR="008C09C5">
        <w:t>:</w:t>
      </w:r>
      <w:r>
        <w:t xml:space="preserve"> “Cuando un hombre sabio, bien establecido en la virtud” (§1), la virtud ha sido totalmente ilustrad</w:t>
      </w:r>
      <w:r w:rsidR="00E664C4">
        <w:t>a</w:t>
      </w:r>
      <w:r w:rsidR="00AB0197" w:rsidRPr="00AB0197">
        <w:t xml:space="preserve"> </w:t>
      </w:r>
      <w:r w:rsidR="00AB0197">
        <w:t>en primer lugar</w:t>
      </w:r>
      <w:r>
        <w:t>.</w:t>
      </w:r>
    </w:p>
    <w:p w14:paraId="5407C0FB" w14:textId="73CB0617" w:rsidR="005174E6" w:rsidRDefault="00F10762" w:rsidP="00B841DD">
      <w:pPr>
        <w:ind w:left="1416" w:right="1326"/>
      </w:pPr>
      <w:r>
        <w:t xml:space="preserve">Éste ha sido el </w:t>
      </w:r>
      <w:r w:rsidR="00802C4B">
        <w:t xml:space="preserve">primer capítulo </w:t>
      </w:r>
      <w:r w:rsidR="008354ED">
        <w:t>con el nombre de</w:t>
      </w:r>
      <w:r w:rsidR="00802C4B">
        <w:t xml:space="preserve"> “</w:t>
      </w:r>
      <w:r w:rsidR="005855E5">
        <w:t xml:space="preserve">Descripción </w:t>
      </w:r>
      <w:r w:rsidR="00802C4B">
        <w:t xml:space="preserve">de la </w:t>
      </w:r>
      <w:r w:rsidR="005855E5">
        <w:t>Virtud</w:t>
      </w:r>
      <w:r w:rsidR="00802C4B">
        <w:t xml:space="preserve">” </w:t>
      </w:r>
      <w:r w:rsidR="008354ED">
        <w:t>d</w:t>
      </w:r>
      <w:r w:rsidR="00802C4B">
        <w:t>el</w:t>
      </w:r>
      <w:r w:rsidR="005855E5">
        <w:t xml:space="preserve"> </w:t>
      </w:r>
      <w:r w:rsidR="005855E5">
        <w:rPr>
          <w:i/>
          <w:iCs/>
        </w:rPr>
        <w:t xml:space="preserve">Sendero </w:t>
      </w:r>
      <w:r w:rsidR="00802C4B" w:rsidRPr="005855E5">
        <w:rPr>
          <w:i/>
          <w:iCs/>
        </w:rPr>
        <w:t xml:space="preserve">de </w:t>
      </w:r>
      <w:r w:rsidR="00B2539C">
        <w:rPr>
          <w:i/>
          <w:iCs/>
        </w:rPr>
        <w:t xml:space="preserve">la </w:t>
      </w:r>
      <w:r w:rsidR="00802C4B" w:rsidRPr="005855E5">
        <w:rPr>
          <w:i/>
          <w:iCs/>
        </w:rPr>
        <w:t>Purificación</w:t>
      </w:r>
      <w:r w:rsidR="00802C4B">
        <w:t xml:space="preserve"> </w:t>
      </w:r>
      <w:r w:rsidR="000E23A7">
        <w:t>compuesto para alegría de buenas personas.</w:t>
      </w:r>
    </w:p>
    <w:p w14:paraId="56B58A91" w14:textId="77777777" w:rsidR="006403BE" w:rsidRDefault="006403BE" w:rsidP="005855E5">
      <w:pPr>
        <w:ind w:left="708" w:right="1893"/>
        <w:sectPr w:rsidR="006403BE" w:rsidSect="00305694">
          <w:footerReference w:type="default" r:id="rId21"/>
          <w:pgSz w:w="8641" w:h="12962"/>
          <w:pgMar w:top="851" w:right="964" w:bottom="964" w:left="964" w:header="709" w:footer="709" w:gutter="0"/>
          <w:pgNumType w:start="63"/>
          <w:cols w:space="708"/>
          <w:docGrid w:linePitch="360"/>
        </w:sectPr>
      </w:pPr>
    </w:p>
    <w:p w14:paraId="64FADF41" w14:textId="77777777" w:rsidR="00343909" w:rsidRDefault="00343909" w:rsidP="00343909"/>
    <w:p w14:paraId="3B375BDE" w14:textId="6B09D9F6" w:rsidR="00343909" w:rsidRDefault="00343909" w:rsidP="00343909">
      <w:pPr>
        <w:pStyle w:val="Ttulo2"/>
        <w:jc w:val="center"/>
      </w:pPr>
      <w:r>
        <w:t>Capitulo II</w:t>
      </w:r>
      <w:r>
        <w:br/>
        <w:t xml:space="preserve">Las Practicas </w:t>
      </w:r>
      <w:r w:rsidR="00656CF3" w:rsidRPr="00656CF3">
        <w:t>Ascetas</w:t>
      </w:r>
    </w:p>
    <w:p w14:paraId="1CB0AD96" w14:textId="6D1CC4D5" w:rsidR="00343909" w:rsidRDefault="00790024" w:rsidP="00790024">
      <w:pPr>
        <w:jc w:val="center"/>
      </w:pPr>
      <w:r>
        <w:rPr>
          <w:b/>
          <w:bCs/>
          <w:sz w:val="24"/>
          <w:szCs w:val="32"/>
        </w:rPr>
        <w:br/>
      </w:r>
      <w:r w:rsidR="00343909" w:rsidRPr="00343909">
        <w:rPr>
          <w:b/>
          <w:bCs/>
          <w:sz w:val="24"/>
          <w:szCs w:val="32"/>
        </w:rPr>
        <w:t>(</w:t>
      </w:r>
      <w:proofErr w:type="spellStart"/>
      <w:r w:rsidR="00343909" w:rsidRPr="00027839">
        <w:rPr>
          <w:b/>
          <w:bCs/>
          <w:i/>
          <w:iCs/>
          <w:sz w:val="22"/>
          <w:szCs w:val="28"/>
        </w:rPr>
        <w:t>Dhutaṅga-niddesa</w:t>
      </w:r>
      <w:proofErr w:type="spellEnd"/>
      <w:r w:rsidR="00343909" w:rsidRPr="00343909">
        <w:rPr>
          <w:b/>
          <w:bCs/>
          <w:i/>
          <w:iCs/>
          <w:sz w:val="24"/>
          <w:szCs w:val="32"/>
        </w:rPr>
        <w:t>)</w:t>
      </w:r>
    </w:p>
    <w:p w14:paraId="410014D4" w14:textId="47F54A67" w:rsidR="00343909" w:rsidRDefault="00343909" w:rsidP="00343909">
      <w:r>
        <w:t xml:space="preserve">1. </w:t>
      </w:r>
      <w:r w:rsidR="00586AB1">
        <w:tab/>
      </w:r>
      <w:r>
        <w:t>[59] Ahora bien, mientras un meditador se dedi</w:t>
      </w:r>
      <w:r w:rsidR="00290FF0">
        <w:t>que</w:t>
      </w:r>
      <w:r>
        <w:t xml:space="preserve"> al </w:t>
      </w:r>
      <w:r w:rsidR="00290FF0">
        <w:t xml:space="preserve">desarrollo </w:t>
      </w:r>
      <w:r>
        <w:t>de la virtud, debe</w:t>
      </w:r>
      <w:r w:rsidR="00CF3D71">
        <w:t>rá</w:t>
      </w:r>
      <w:r>
        <w:t xml:space="preserve"> emprender las prácticas asc</w:t>
      </w:r>
      <w:r w:rsidR="00656CF3">
        <w:t>e</w:t>
      </w:r>
      <w:r>
        <w:t xml:space="preserve">tas para perfeccionar </w:t>
      </w:r>
      <w:r w:rsidR="00CF3D71">
        <w:t>aquellas</w:t>
      </w:r>
      <w:r>
        <w:t xml:space="preserve"> cualidades especiales </w:t>
      </w:r>
      <w:r w:rsidR="00290FF0">
        <w:t>consistente</w:t>
      </w:r>
      <w:r w:rsidR="00CF3D71">
        <w:t>s</w:t>
      </w:r>
      <w:r w:rsidR="00290FF0">
        <w:t xml:space="preserve"> </w:t>
      </w:r>
      <w:r>
        <w:t>de</w:t>
      </w:r>
      <w:r w:rsidR="00FE2B7C">
        <w:t>: la carencia de</w:t>
      </w:r>
      <w:r>
        <w:t xml:space="preserve"> deseos, </w:t>
      </w:r>
      <w:r w:rsidR="00FE2B7C">
        <w:t xml:space="preserve">el </w:t>
      </w:r>
      <w:r w:rsidR="00D779B9">
        <w:t>contentamiento</w:t>
      </w:r>
      <w:r>
        <w:t xml:space="preserve">, etc., </w:t>
      </w:r>
      <w:r w:rsidR="00C86B05">
        <w:t>mediante</w:t>
      </w:r>
      <w:r>
        <w:t xml:space="preserve"> las cuales la virtud de la clase ya </w:t>
      </w:r>
      <w:proofErr w:type="gramStart"/>
      <w:r>
        <w:t>descrit</w:t>
      </w:r>
      <w:r w:rsidR="00C86B05">
        <w:t>a</w:t>
      </w:r>
      <w:r>
        <w:t>,</w:t>
      </w:r>
      <w:proofErr w:type="gramEnd"/>
      <w:r>
        <w:t xml:space="preserve"> se </w:t>
      </w:r>
      <w:r w:rsidR="00C86B05">
        <w:t>purifica</w:t>
      </w:r>
      <w:r>
        <w:t xml:space="preserve">. </w:t>
      </w:r>
      <w:r w:rsidR="00C86B05">
        <w:t xml:space="preserve">Ya </w:t>
      </w:r>
      <w:r>
        <w:t>que cuando u</w:t>
      </w:r>
      <w:r w:rsidR="000D01F4">
        <w:t>na</w:t>
      </w:r>
      <w:r>
        <w:t xml:space="preserve"> virtud </w:t>
      </w:r>
      <w:r w:rsidR="00C86B05">
        <w:t>se</w:t>
      </w:r>
      <w:r>
        <w:t xml:space="preserve"> </w:t>
      </w:r>
      <w:r w:rsidR="000D01F4">
        <w:t>p</w:t>
      </w:r>
      <w:r w:rsidR="00C86B05">
        <w:t>urifi</w:t>
      </w:r>
      <w:r w:rsidR="000D01F4">
        <w:t>que así</w:t>
      </w:r>
      <w:r w:rsidR="00C86B05">
        <w:t xml:space="preserve"> </w:t>
      </w:r>
      <w:r>
        <w:t xml:space="preserve">de </w:t>
      </w:r>
      <w:r w:rsidR="000D01F4">
        <w:t xml:space="preserve">las </w:t>
      </w:r>
      <w:r w:rsidR="00C86B05">
        <w:t xml:space="preserve">contaminaciones </w:t>
      </w:r>
      <w:r w:rsidR="00E8228E">
        <w:t xml:space="preserve">mediante </w:t>
      </w:r>
      <w:r>
        <w:t xml:space="preserve">las aguas </w:t>
      </w:r>
      <w:r w:rsidR="00EC4A41">
        <w:t xml:space="preserve">contenida </w:t>
      </w:r>
      <w:r w:rsidR="00E71099">
        <w:t>en</w:t>
      </w:r>
      <w:r>
        <w:t xml:space="preserve"> cualidades tan especiales como la </w:t>
      </w:r>
      <w:r w:rsidR="00E8228E">
        <w:t xml:space="preserve">carencia </w:t>
      </w:r>
      <w:r>
        <w:t xml:space="preserve">de deseos, el contentamiento, </w:t>
      </w:r>
      <w:r w:rsidR="00B15715">
        <w:t>la purificación</w:t>
      </w:r>
      <w:r>
        <w:t xml:space="preserve">, la reclusión, la dispersión, la energía y las necesidades modestas, </w:t>
      </w:r>
      <w:r w:rsidR="00EC4A41">
        <w:t xml:space="preserve">entonces alcanzará </w:t>
      </w:r>
      <w:r w:rsidR="00486B1A">
        <w:t xml:space="preserve">un grado de </w:t>
      </w:r>
      <w:r>
        <w:t>purifica</w:t>
      </w:r>
      <w:r w:rsidR="00486B1A">
        <w:t>ción completo</w:t>
      </w:r>
      <w:r>
        <w:t xml:space="preserve">; y sus votos también tendrán éxito. Y así, cuando todo su comportamiento </w:t>
      </w:r>
      <w:r w:rsidR="00486B1A">
        <w:t>se haya</w:t>
      </w:r>
      <w:r>
        <w:t xml:space="preserve"> sido purificado </w:t>
      </w:r>
      <w:r w:rsidR="00486B1A">
        <w:t xml:space="preserve">mediante </w:t>
      </w:r>
      <w:r>
        <w:t>la cualidad especial de la virtud</w:t>
      </w:r>
      <w:r w:rsidR="00486B1A">
        <w:t xml:space="preserve"> y</w:t>
      </w:r>
      <w:r>
        <w:t xml:space="preserve"> los votos intachables</w:t>
      </w:r>
      <w:r w:rsidR="000B42CC">
        <w:t>,</w:t>
      </w:r>
      <w:r>
        <w:t xml:space="preserve"> se h</w:t>
      </w:r>
      <w:r w:rsidR="00CF3D71">
        <w:t>abrá</w:t>
      </w:r>
      <w:r>
        <w:t xml:space="preserve"> establecido en las primeras tres herencias de los antiguos Nobles, </w:t>
      </w:r>
      <w:r w:rsidR="00CF3D71">
        <w:t>podrá</w:t>
      </w:r>
      <w:r>
        <w:t xml:space="preserve"> llegar a ser digno de alcanzar la cuarta </w:t>
      </w:r>
      <w:r w:rsidR="006E5F47">
        <w:t xml:space="preserve">herencia </w:t>
      </w:r>
      <w:r>
        <w:t>llamada "</w:t>
      </w:r>
      <w:r w:rsidR="00CF3D71">
        <w:t>dicha</w:t>
      </w:r>
      <w:r>
        <w:t xml:space="preserve"> en el desarrollo” (A II 27). </w:t>
      </w:r>
      <w:r w:rsidR="00CF3D71">
        <w:t>Por lo tanto c</w:t>
      </w:r>
      <w:r>
        <w:t xml:space="preserve">omenzaremos </w:t>
      </w:r>
      <w:r w:rsidR="00CF3D71">
        <w:t xml:space="preserve">con </w:t>
      </w:r>
      <w:r>
        <w:t xml:space="preserve">la explicación de las prácticas </w:t>
      </w:r>
      <w:r w:rsidR="00656CF3">
        <w:t>ascetas</w:t>
      </w:r>
      <w:r>
        <w:t>.</w:t>
      </w:r>
    </w:p>
    <w:p w14:paraId="3B2BF1D7" w14:textId="5A1B9C70" w:rsidR="00343909" w:rsidRDefault="00586AB1" w:rsidP="00586AB1">
      <w:pPr>
        <w:pStyle w:val="Ttulo3"/>
        <w:ind w:left="708"/>
      </w:pPr>
      <w:r>
        <w:t xml:space="preserve">[Los 13 Tipos De Prácticas </w:t>
      </w:r>
      <w:r w:rsidR="00656CF3" w:rsidRPr="00656CF3">
        <w:t>Ascetas</w:t>
      </w:r>
      <w:r>
        <w:t>]</w:t>
      </w:r>
    </w:p>
    <w:p w14:paraId="1FE9A35E" w14:textId="58EB61C9" w:rsidR="00343909" w:rsidRDefault="00343909" w:rsidP="00343909">
      <w:r>
        <w:t xml:space="preserve">2. </w:t>
      </w:r>
      <w:r w:rsidR="00586AB1">
        <w:tab/>
      </w:r>
      <w:r w:rsidR="003758EA">
        <w:t>13</w:t>
      </w:r>
      <w:r>
        <w:t xml:space="preserve"> tipos de prácticas </w:t>
      </w:r>
      <w:r w:rsidR="00656CF3" w:rsidRPr="00656CF3">
        <w:t xml:space="preserve">ascetas </w:t>
      </w:r>
      <w:r>
        <w:t xml:space="preserve">han sido permitidas por el </w:t>
      </w:r>
      <w:r w:rsidR="00E0136D" w:rsidRPr="00E0136D">
        <w:rPr>
          <w:i/>
          <w:iCs/>
        </w:rPr>
        <w:t>Bhagavā</w:t>
      </w:r>
      <w:r>
        <w:t xml:space="preserve"> a los miembros del clan que ha</w:t>
      </w:r>
      <w:r w:rsidR="00E0136D">
        <w:t>ya</w:t>
      </w:r>
      <w:r>
        <w:t xml:space="preserve">n renunciado a las </w:t>
      </w:r>
      <w:r w:rsidR="00E0136D">
        <w:t>cuestiones</w:t>
      </w:r>
      <w:r>
        <w:t xml:space="preserve"> de la carne </w:t>
      </w:r>
      <w:r w:rsidR="00E0136D">
        <w:t>e</w:t>
      </w:r>
      <w:r>
        <w:t xml:space="preserve">, independientemente del cuerpo y la vida, </w:t>
      </w:r>
      <w:r w:rsidR="00503773">
        <w:t xml:space="preserve">se encuentren </w:t>
      </w:r>
      <w:r>
        <w:t xml:space="preserve">deseosos de emprender una práctica en conformidad con su objetivo. </w:t>
      </w:r>
      <w:r w:rsidR="00503773">
        <w:t xml:space="preserve">Esto 13 </w:t>
      </w:r>
      <w:r>
        <w:t>son:</w:t>
      </w:r>
    </w:p>
    <w:p w14:paraId="612D13F4" w14:textId="46D9CF50" w:rsidR="00343909" w:rsidRDefault="003E7F67" w:rsidP="003E7F67">
      <w:pPr>
        <w:pStyle w:val="NumeracinReload"/>
      </w:pPr>
      <w:r>
        <w:tab/>
      </w:r>
      <w:r w:rsidR="00343909">
        <w:t xml:space="preserve">i. </w:t>
      </w:r>
      <w:r>
        <w:tab/>
      </w:r>
      <w:r w:rsidR="00343909">
        <w:t xml:space="preserve">la práctica del portador de </w:t>
      </w:r>
      <w:r w:rsidR="00503773">
        <w:t>harapos</w:t>
      </w:r>
      <w:r w:rsidR="00343909">
        <w:t xml:space="preserve"> </w:t>
      </w:r>
      <w:r w:rsidR="00503773">
        <w:t>desechados</w:t>
      </w:r>
      <w:r w:rsidR="00343909">
        <w:t>,</w:t>
      </w:r>
    </w:p>
    <w:p w14:paraId="19636A6F" w14:textId="431DC783" w:rsidR="00343909" w:rsidRDefault="003E7F67" w:rsidP="003E7F67">
      <w:pPr>
        <w:pStyle w:val="NumeracinReload"/>
      </w:pPr>
      <w:r>
        <w:tab/>
      </w:r>
      <w:proofErr w:type="spellStart"/>
      <w:r w:rsidR="00343909">
        <w:t>ii</w:t>
      </w:r>
      <w:proofErr w:type="spellEnd"/>
      <w:r w:rsidR="00343909">
        <w:t xml:space="preserve">. </w:t>
      </w:r>
      <w:r>
        <w:tab/>
      </w:r>
      <w:r w:rsidR="00343909">
        <w:t xml:space="preserve">la práctica del usuario del triple </w:t>
      </w:r>
      <w:r w:rsidR="00503773">
        <w:t>ropaje</w:t>
      </w:r>
      <w:r w:rsidR="00343909">
        <w:t>,</w:t>
      </w:r>
    </w:p>
    <w:p w14:paraId="5493AB42" w14:textId="6DD86AE9" w:rsidR="003E7F67" w:rsidRDefault="003E7F67" w:rsidP="003E7F67">
      <w:pPr>
        <w:pStyle w:val="NumeracinReload"/>
      </w:pPr>
      <w:r>
        <w:tab/>
      </w:r>
      <w:proofErr w:type="spellStart"/>
      <w:r w:rsidR="00343909">
        <w:t>iii</w:t>
      </w:r>
      <w:proofErr w:type="spellEnd"/>
      <w:r w:rsidR="00343909">
        <w:t xml:space="preserve">. </w:t>
      </w:r>
      <w:r>
        <w:tab/>
      </w:r>
      <w:r w:rsidR="00343909">
        <w:t>la práctica de</w:t>
      </w:r>
      <w:r w:rsidR="00795D49">
        <w:t>l</w:t>
      </w:r>
      <w:r w:rsidR="00343909">
        <w:t xml:space="preserve"> come</w:t>
      </w:r>
      <w:r w:rsidR="00390AEE">
        <w:t>n</w:t>
      </w:r>
      <w:r w:rsidR="00DD50D7">
        <w:t>s</w:t>
      </w:r>
      <w:r w:rsidR="00390AEE">
        <w:t>al–de–</w:t>
      </w:r>
      <w:r w:rsidR="00503773">
        <w:t>ofrendas de alimentos</w:t>
      </w:r>
      <w:r w:rsidR="00343909">
        <w:t>,</w:t>
      </w:r>
    </w:p>
    <w:p w14:paraId="15F6E24B" w14:textId="6EBA718C" w:rsidR="00343909" w:rsidRDefault="003E7F67" w:rsidP="003E7F67">
      <w:pPr>
        <w:pStyle w:val="NumeracinReload"/>
      </w:pPr>
      <w:r>
        <w:tab/>
      </w:r>
      <w:r w:rsidR="00343909">
        <w:t xml:space="preserve"> </w:t>
      </w:r>
      <w:proofErr w:type="spellStart"/>
      <w:r w:rsidR="00343909">
        <w:t>iv</w:t>
      </w:r>
      <w:proofErr w:type="spellEnd"/>
      <w:r w:rsidR="00343909">
        <w:t xml:space="preserve">. </w:t>
      </w:r>
      <w:r>
        <w:tab/>
      </w:r>
      <w:r w:rsidR="00343909">
        <w:t xml:space="preserve">la práctica del buscador </w:t>
      </w:r>
      <w:r w:rsidR="00503773">
        <w:t xml:space="preserve">de ofrendas </w:t>
      </w:r>
      <w:r w:rsidR="00343909">
        <w:t>de casa en casa,</w:t>
      </w:r>
    </w:p>
    <w:p w14:paraId="3B54130A" w14:textId="3DEEB93F" w:rsidR="00343909" w:rsidRDefault="003E7F67" w:rsidP="003E7F67">
      <w:pPr>
        <w:pStyle w:val="NumeracinReload"/>
      </w:pPr>
      <w:r>
        <w:tab/>
      </w:r>
      <w:r w:rsidR="00343909">
        <w:t xml:space="preserve">v. </w:t>
      </w:r>
      <w:r>
        <w:tab/>
      </w:r>
      <w:r w:rsidR="00343909">
        <w:t>la práctica de</w:t>
      </w:r>
      <w:r w:rsidR="00D91C4E">
        <w:t>l de</w:t>
      </w:r>
      <w:r w:rsidR="00343909">
        <w:t xml:space="preserve"> una sola sesión,</w:t>
      </w:r>
    </w:p>
    <w:p w14:paraId="236B3E87" w14:textId="446A70FE" w:rsidR="00343909" w:rsidRDefault="003E7F67" w:rsidP="003E7F67">
      <w:pPr>
        <w:pStyle w:val="NumeracinReload"/>
      </w:pPr>
      <w:r>
        <w:tab/>
      </w:r>
      <w:r w:rsidR="00343909">
        <w:t xml:space="preserve">vi. </w:t>
      </w:r>
      <w:r>
        <w:tab/>
      </w:r>
      <w:r w:rsidR="007348AB" w:rsidRPr="007348AB">
        <w:t>práctica del comensal</w:t>
      </w:r>
      <w:r w:rsidR="007348AB">
        <w:t xml:space="preserve"> </w:t>
      </w:r>
      <w:r w:rsidR="007348AB" w:rsidRPr="007348AB">
        <w:t>de</w:t>
      </w:r>
      <w:r w:rsidR="007348AB">
        <w:t xml:space="preserve"> </w:t>
      </w:r>
      <w:r w:rsidR="007348AB" w:rsidRPr="007348AB">
        <w:t>alimentos</w:t>
      </w:r>
      <w:r w:rsidR="007348AB">
        <w:t xml:space="preserve"> </w:t>
      </w:r>
      <w:r w:rsidR="007348AB" w:rsidRPr="007348AB">
        <w:t>de</w:t>
      </w:r>
      <w:r w:rsidR="007348AB">
        <w:t xml:space="preserve"> </w:t>
      </w:r>
      <w:r w:rsidR="007348AB" w:rsidRPr="007348AB">
        <w:t>un</w:t>
      </w:r>
      <w:r w:rsidR="007348AB">
        <w:t xml:space="preserve"> </w:t>
      </w:r>
      <w:r w:rsidR="007348AB" w:rsidRPr="007348AB">
        <w:t>cuenco</w:t>
      </w:r>
      <w:r w:rsidR="00343909">
        <w:t>,</w:t>
      </w:r>
    </w:p>
    <w:p w14:paraId="644A76FD" w14:textId="3156EA3B" w:rsidR="00343909" w:rsidRDefault="003E7F67" w:rsidP="003E7F67">
      <w:pPr>
        <w:pStyle w:val="NumeracinReload"/>
      </w:pPr>
      <w:r>
        <w:tab/>
      </w:r>
      <w:proofErr w:type="spellStart"/>
      <w:r w:rsidR="00343909">
        <w:t>vii</w:t>
      </w:r>
      <w:proofErr w:type="spellEnd"/>
      <w:r w:rsidR="00343909">
        <w:t xml:space="preserve">. </w:t>
      </w:r>
      <w:r>
        <w:tab/>
      </w:r>
      <w:r w:rsidR="00343909">
        <w:t xml:space="preserve">la práctica del </w:t>
      </w:r>
      <w:proofErr w:type="spellStart"/>
      <w:r w:rsidR="00343909">
        <w:t>rehusador</w:t>
      </w:r>
      <w:proofErr w:type="spellEnd"/>
      <w:r w:rsidR="00343909">
        <w:t xml:space="preserve"> de alimentos</w:t>
      </w:r>
      <w:r w:rsidR="00BA5815" w:rsidRPr="00BA5815">
        <w:t xml:space="preserve"> </w:t>
      </w:r>
      <w:r w:rsidR="009E6861">
        <w:t>fuera de horario</w:t>
      </w:r>
      <w:r w:rsidR="00343909">
        <w:t>,</w:t>
      </w:r>
    </w:p>
    <w:p w14:paraId="17C3BFB9" w14:textId="522D0820" w:rsidR="00343909" w:rsidRDefault="003E7F67" w:rsidP="003E7F67">
      <w:pPr>
        <w:pStyle w:val="NumeracinReload"/>
      </w:pPr>
      <w:r>
        <w:tab/>
      </w:r>
      <w:proofErr w:type="spellStart"/>
      <w:r w:rsidR="00343909">
        <w:t>viii</w:t>
      </w:r>
      <w:proofErr w:type="spellEnd"/>
      <w:r w:rsidR="00343909">
        <w:t>.</w:t>
      </w:r>
      <w:r>
        <w:tab/>
      </w:r>
      <w:r w:rsidR="00343909">
        <w:t>la práctica del habitante del bosque,</w:t>
      </w:r>
    </w:p>
    <w:p w14:paraId="4B9EE0B1" w14:textId="4E3FAC83" w:rsidR="00343909" w:rsidRDefault="003E7F67" w:rsidP="003E7F67">
      <w:pPr>
        <w:pStyle w:val="NumeracinReload"/>
      </w:pPr>
      <w:r>
        <w:tab/>
      </w:r>
      <w:proofErr w:type="spellStart"/>
      <w:r w:rsidR="00343909">
        <w:t>ix</w:t>
      </w:r>
      <w:proofErr w:type="spellEnd"/>
      <w:r w:rsidR="00343909">
        <w:t xml:space="preserve">. </w:t>
      </w:r>
      <w:r>
        <w:tab/>
      </w:r>
      <w:r w:rsidR="00343909">
        <w:t xml:space="preserve">la práctica del habitante </w:t>
      </w:r>
      <w:r w:rsidR="009E6861">
        <w:t>sobre</w:t>
      </w:r>
      <w:r w:rsidR="00343909">
        <w:t xml:space="preserve"> la</w:t>
      </w:r>
      <w:r w:rsidR="008311AF">
        <w:t>s</w:t>
      </w:r>
      <w:r w:rsidR="00343909">
        <w:t xml:space="preserve"> raí</w:t>
      </w:r>
      <w:r w:rsidR="008311AF">
        <w:t>ces</w:t>
      </w:r>
      <w:r w:rsidR="00343909">
        <w:t xml:space="preserve"> de</w:t>
      </w:r>
      <w:r w:rsidR="009E6861">
        <w:t xml:space="preserve"> un</w:t>
      </w:r>
      <w:r w:rsidR="00343909">
        <w:t xml:space="preserve"> árbol,</w:t>
      </w:r>
    </w:p>
    <w:p w14:paraId="291EC0E4" w14:textId="7467F965" w:rsidR="00343909" w:rsidRDefault="003E7F67" w:rsidP="003E7F67">
      <w:pPr>
        <w:pStyle w:val="NumeracinReload"/>
      </w:pPr>
      <w:r>
        <w:tab/>
        <w:t>x</w:t>
      </w:r>
      <w:r w:rsidR="00343909">
        <w:t xml:space="preserve">. </w:t>
      </w:r>
      <w:r>
        <w:tab/>
      </w:r>
      <w:r w:rsidR="00343909">
        <w:t xml:space="preserve">la práctica del habitante </w:t>
      </w:r>
      <w:r w:rsidR="00FA6EB2">
        <w:t>a</w:t>
      </w:r>
      <w:r w:rsidR="00343909">
        <w:t>l aire libre,</w:t>
      </w:r>
    </w:p>
    <w:p w14:paraId="1BDAB576" w14:textId="0F5B6FD8" w:rsidR="00343909" w:rsidRDefault="003E7F67" w:rsidP="003E7F67">
      <w:pPr>
        <w:pStyle w:val="NumeracinReload"/>
      </w:pPr>
      <w:r>
        <w:tab/>
      </w:r>
      <w:r w:rsidR="00343909">
        <w:t xml:space="preserve">xi. </w:t>
      </w:r>
      <w:r>
        <w:tab/>
      </w:r>
      <w:r w:rsidR="00343909">
        <w:t>la práctica del habitante de cementerio</w:t>
      </w:r>
      <w:r w:rsidR="00FA6EB2">
        <w:t>s</w:t>
      </w:r>
      <w:r w:rsidR="00343909">
        <w:t>,</w:t>
      </w:r>
    </w:p>
    <w:p w14:paraId="3070200C" w14:textId="054D063F" w:rsidR="00343909" w:rsidRDefault="003E7F67" w:rsidP="003E7F67">
      <w:pPr>
        <w:pStyle w:val="NumeracinReload"/>
      </w:pPr>
      <w:r>
        <w:tab/>
      </w:r>
      <w:proofErr w:type="spellStart"/>
      <w:r w:rsidR="00343909">
        <w:t>xii</w:t>
      </w:r>
      <w:proofErr w:type="spellEnd"/>
      <w:r w:rsidR="00343909">
        <w:t xml:space="preserve">. </w:t>
      </w:r>
      <w:r>
        <w:tab/>
      </w:r>
      <w:r w:rsidR="00343909">
        <w:t xml:space="preserve">la práctica del usuario de cualquier </w:t>
      </w:r>
      <w:r w:rsidR="00FA6EB2">
        <w:t>lecho</w:t>
      </w:r>
      <w:r w:rsidR="00247036">
        <w:t xml:space="preserve"> de descanso</w:t>
      </w:r>
      <w:r w:rsidR="00343909">
        <w:t>,</w:t>
      </w:r>
    </w:p>
    <w:p w14:paraId="588A3E54" w14:textId="4465C8CF" w:rsidR="00343909" w:rsidRDefault="003E7F67" w:rsidP="003E7F67">
      <w:pPr>
        <w:pStyle w:val="NumeracinReload"/>
      </w:pPr>
      <w:r>
        <w:tab/>
      </w:r>
      <w:proofErr w:type="spellStart"/>
      <w:r>
        <w:t>xiii</w:t>
      </w:r>
      <w:proofErr w:type="spellEnd"/>
      <w:r w:rsidR="00343909">
        <w:t xml:space="preserve">. </w:t>
      </w:r>
      <w:r>
        <w:tab/>
      </w:r>
      <w:r w:rsidR="00343909">
        <w:t xml:space="preserve">la práctica del </w:t>
      </w:r>
      <w:r w:rsidR="004B3545">
        <w:t xml:space="preserve">que </w:t>
      </w:r>
      <w:r w:rsidR="001079E5">
        <w:t>habita sentado</w:t>
      </w:r>
      <w:r w:rsidR="00343909">
        <w:t>.</w:t>
      </w:r>
    </w:p>
    <w:p w14:paraId="4FDF312E" w14:textId="77777777" w:rsidR="003E7F67" w:rsidRDefault="003E7F67" w:rsidP="003E7F67">
      <w:pPr>
        <w:pStyle w:val="NumeracinReload"/>
      </w:pPr>
    </w:p>
    <w:p w14:paraId="4A8611C7" w14:textId="1D97C2FB" w:rsidR="00343909" w:rsidRDefault="00343909" w:rsidP="00343909">
      <w:r>
        <w:t xml:space="preserve">3. </w:t>
      </w:r>
      <w:r w:rsidR="001079E5">
        <w:tab/>
        <w:t>Al respecto</w:t>
      </w:r>
      <w:r>
        <w:t>:</w:t>
      </w:r>
    </w:p>
    <w:p w14:paraId="1464E366" w14:textId="4A51F07E" w:rsidR="00343909" w:rsidRDefault="003E7F67" w:rsidP="003E7F67">
      <w:pPr>
        <w:pStyle w:val="NumeracinReload"/>
      </w:pPr>
      <w:r>
        <w:tab/>
      </w:r>
      <w:r w:rsidR="00343909">
        <w:t xml:space="preserve">(1) </w:t>
      </w:r>
      <w:r>
        <w:tab/>
      </w:r>
      <w:r w:rsidR="00343909">
        <w:t>En cuanto al significado,</w:t>
      </w:r>
    </w:p>
    <w:p w14:paraId="7D748D4D" w14:textId="7B19BDD9" w:rsidR="00343909" w:rsidRDefault="003E7F67" w:rsidP="003E7F67">
      <w:pPr>
        <w:pStyle w:val="NumeracinReload"/>
      </w:pPr>
      <w:r>
        <w:tab/>
      </w:r>
      <w:r w:rsidR="00343909">
        <w:t xml:space="preserve">(2) </w:t>
      </w:r>
      <w:r>
        <w:tab/>
      </w:r>
      <w:r w:rsidR="007E1625">
        <w:t xml:space="preserve">a la </w:t>
      </w:r>
      <w:r w:rsidR="00343909">
        <w:t>característica, etcétera,</w:t>
      </w:r>
    </w:p>
    <w:p w14:paraId="23946B61" w14:textId="6961F6C3" w:rsidR="006403BE" w:rsidRPr="009370A6" w:rsidRDefault="003E7F67" w:rsidP="003E7F67">
      <w:pPr>
        <w:pStyle w:val="NumeracinReload"/>
      </w:pPr>
      <w:r>
        <w:tab/>
      </w:r>
      <w:r w:rsidR="00343909">
        <w:t xml:space="preserve">(3) </w:t>
      </w:r>
      <w:r>
        <w:tab/>
      </w:r>
      <w:r w:rsidR="00343909">
        <w:t xml:space="preserve">El </w:t>
      </w:r>
      <w:r w:rsidR="00880DF4">
        <w:t>emprendimiento</w:t>
      </w:r>
      <w:r w:rsidR="00343909">
        <w:t xml:space="preserve"> y las </w:t>
      </w:r>
      <w:r w:rsidR="00880DF4">
        <w:t>indicaciones</w:t>
      </w:r>
      <w:r w:rsidR="00343909">
        <w:t>,</w:t>
      </w:r>
    </w:p>
    <w:p w14:paraId="1D5CB988" w14:textId="77777777" w:rsidR="007525FC" w:rsidRDefault="007525FC">
      <w:pPr>
        <w:tabs>
          <w:tab w:val="clear" w:pos="425"/>
        </w:tabs>
        <w:spacing w:after="160"/>
      </w:pPr>
      <w:r>
        <w:br w:type="page"/>
      </w:r>
    </w:p>
    <w:p w14:paraId="7B6B63E1" w14:textId="44FF62E9" w:rsidR="00221454" w:rsidRDefault="007E1625" w:rsidP="007E1625">
      <w:pPr>
        <w:pStyle w:val="NumeracinReload"/>
      </w:pPr>
      <w:r>
        <w:lastRenderedPageBreak/>
        <w:tab/>
      </w:r>
      <w:r w:rsidR="005025EA">
        <w:t>(4)</w:t>
      </w:r>
      <w:r>
        <w:tab/>
      </w:r>
      <w:r w:rsidR="00221454">
        <w:t xml:space="preserve">Y luego </w:t>
      </w:r>
      <w:r>
        <w:t>a</w:t>
      </w:r>
      <w:r w:rsidR="00221454">
        <w:t xml:space="preserve">l grado, y </w:t>
      </w:r>
      <w:r w:rsidR="003B07B0">
        <w:t xml:space="preserve">también </w:t>
      </w:r>
      <w:r>
        <w:t>a</w:t>
      </w:r>
      <w:r w:rsidR="003B07B0">
        <w:t>l incumplimiento</w:t>
      </w:r>
      <w:r w:rsidR="00221454">
        <w:t>,</w:t>
      </w:r>
    </w:p>
    <w:p w14:paraId="61E3AD5E" w14:textId="3260FEF7" w:rsidR="00221454" w:rsidRDefault="007E1625" w:rsidP="007E1625">
      <w:pPr>
        <w:pStyle w:val="NumeracinReload"/>
      </w:pPr>
      <w:r>
        <w:tab/>
      </w:r>
      <w:r w:rsidR="005025EA">
        <w:t>(5)</w:t>
      </w:r>
      <w:r>
        <w:tab/>
      </w:r>
      <w:r w:rsidR="00221454">
        <w:t xml:space="preserve">Y </w:t>
      </w:r>
      <w:r w:rsidR="003B07B0">
        <w:t xml:space="preserve">además los </w:t>
      </w:r>
      <w:r w:rsidR="00221454">
        <w:t>beneficios de cada uno,</w:t>
      </w:r>
    </w:p>
    <w:p w14:paraId="767EC816" w14:textId="5039D68C" w:rsidR="00221454" w:rsidRDefault="00221454" w:rsidP="00221454">
      <w:pPr>
        <w:pStyle w:val="NumeracinReload"/>
      </w:pPr>
      <w:r>
        <w:tab/>
        <w:t>(</w:t>
      </w:r>
      <w:r w:rsidR="005025EA">
        <w:t>6</w:t>
      </w:r>
      <w:r>
        <w:t xml:space="preserve">) </w:t>
      </w:r>
      <w:r>
        <w:tab/>
        <w:t xml:space="preserve">En cuanto a la tríada </w:t>
      </w:r>
      <w:r w:rsidR="003B07B0">
        <w:t>productiva</w:t>
      </w:r>
      <w:r>
        <w:t>,</w:t>
      </w:r>
    </w:p>
    <w:p w14:paraId="78CEE521" w14:textId="549BC25B" w:rsidR="00221454" w:rsidRDefault="00221454" w:rsidP="00221454">
      <w:pPr>
        <w:pStyle w:val="NumeracinReload"/>
      </w:pPr>
      <w:r>
        <w:tab/>
        <w:t>(</w:t>
      </w:r>
      <w:r w:rsidR="005025EA">
        <w:t>7</w:t>
      </w:r>
      <w:r>
        <w:t xml:space="preserve">) </w:t>
      </w:r>
      <w:r>
        <w:tab/>
      </w:r>
      <w:r w:rsidR="007E1625">
        <w:t xml:space="preserve">al </w:t>
      </w:r>
      <w:r>
        <w:t>“Asceta” y demás distinguidos,</w:t>
      </w:r>
    </w:p>
    <w:p w14:paraId="34392DFB" w14:textId="0E8D5247" w:rsidR="00221454" w:rsidRDefault="00221454" w:rsidP="00221454">
      <w:pPr>
        <w:pStyle w:val="NumeracinReload"/>
      </w:pPr>
      <w:r>
        <w:tab/>
        <w:t>(</w:t>
      </w:r>
      <w:r w:rsidR="005025EA">
        <w:t>9</w:t>
      </w:r>
      <w:r>
        <w:t xml:space="preserve">) </w:t>
      </w:r>
      <w:r>
        <w:tab/>
        <w:t xml:space="preserve">Y en cuanto a </w:t>
      </w:r>
      <w:r w:rsidR="007E1625">
        <w:t xml:space="preserve">los </w:t>
      </w:r>
      <w:r>
        <w:t>grupos, y también</w:t>
      </w:r>
    </w:p>
    <w:p w14:paraId="10A5CDEE" w14:textId="5D597EF0" w:rsidR="00221454" w:rsidRDefault="00221454" w:rsidP="00221454">
      <w:pPr>
        <w:pStyle w:val="NumeracinReload"/>
      </w:pPr>
      <w:r>
        <w:tab/>
        <w:t>(</w:t>
      </w:r>
      <w:r w:rsidR="005025EA">
        <w:t>9</w:t>
      </w:r>
      <w:r>
        <w:t xml:space="preserve">) </w:t>
      </w:r>
      <w:r>
        <w:tab/>
        <w:t>individualmente,</w:t>
      </w:r>
    </w:p>
    <w:p w14:paraId="43D9CB79" w14:textId="18C6AC63" w:rsidR="00221454" w:rsidRDefault="00221454" w:rsidP="00221454">
      <w:r>
        <w:t xml:space="preserve">La exposición </w:t>
      </w:r>
      <w:r w:rsidR="005C3DB1">
        <w:t xml:space="preserve">al respecto </w:t>
      </w:r>
      <w:r>
        <w:t xml:space="preserve">debe ser </w:t>
      </w:r>
      <w:r w:rsidR="00F96AD0">
        <w:t>expuesta</w:t>
      </w:r>
      <w:r>
        <w:t>. [60]</w:t>
      </w:r>
    </w:p>
    <w:p w14:paraId="155FBAA6" w14:textId="52C5DBB5" w:rsidR="00221454" w:rsidRDefault="00221454" w:rsidP="00221454">
      <w:r>
        <w:t>4.</w:t>
      </w:r>
      <w:r>
        <w:tab/>
        <w:t xml:space="preserve">1. Aquí, </w:t>
      </w:r>
      <w:r w:rsidRPr="0071003A">
        <w:rPr>
          <w:i/>
          <w:iCs/>
        </w:rPr>
        <w:t>en cuanto al</w:t>
      </w:r>
      <w:r>
        <w:t xml:space="preserve"> </w:t>
      </w:r>
      <w:r w:rsidRPr="00606C15">
        <w:rPr>
          <w:i/>
          <w:iCs/>
        </w:rPr>
        <w:t>significado</w:t>
      </w:r>
      <w:r>
        <w:t>, en primer lugar.</w:t>
      </w:r>
    </w:p>
    <w:p w14:paraId="1488360B" w14:textId="7E44DED1" w:rsidR="00221454" w:rsidRDefault="0059098D" w:rsidP="00D34743">
      <w:pPr>
        <w:pStyle w:val="NormalConSangria"/>
      </w:pPr>
      <w:r>
        <w:tab/>
      </w:r>
      <w:r w:rsidR="00221454">
        <w:t>i. Es "</w:t>
      </w:r>
      <w:r w:rsidR="00F96AD0">
        <w:t>desechado</w:t>
      </w:r>
      <w:r w:rsidR="00221454">
        <w:t>" (</w:t>
      </w:r>
      <w:proofErr w:type="spellStart"/>
      <w:r w:rsidR="00221454" w:rsidRPr="00606C15">
        <w:rPr>
          <w:i/>
          <w:iCs/>
        </w:rPr>
        <w:t>paṃsukūla</w:t>
      </w:r>
      <w:proofErr w:type="spellEnd"/>
      <w:r w:rsidR="00221454">
        <w:t xml:space="preserve">) ya que, debido a que se encuentra en la basura en </w:t>
      </w:r>
      <w:r w:rsidR="00420F6F">
        <w:t>algú</w:t>
      </w:r>
      <w:r w:rsidR="00221454">
        <w:t xml:space="preserve">n lugar como una calle, un osario o un basurero, pertenece, por así decirlo, a la basura en el sentido de ser arrojado en cualquiera de estos lugares. O alternativamente: como </w:t>
      </w:r>
      <w:r w:rsidR="009251B1">
        <w:t xml:space="preserve">la </w:t>
      </w:r>
      <w:r w:rsidR="00221454">
        <w:t>basura llega a un estado vil (</w:t>
      </w:r>
      <w:proofErr w:type="spellStart"/>
      <w:r w:rsidR="00221454" w:rsidRPr="00606C15">
        <w:rPr>
          <w:i/>
          <w:iCs/>
        </w:rPr>
        <w:t>paṃsu</w:t>
      </w:r>
      <w:proofErr w:type="spellEnd"/>
      <w:r w:rsidR="00221454" w:rsidRPr="00606C15">
        <w:rPr>
          <w:i/>
          <w:iCs/>
        </w:rPr>
        <w:t xml:space="preserve"> </w:t>
      </w:r>
      <w:proofErr w:type="spellStart"/>
      <w:r w:rsidR="00221454" w:rsidRPr="00606C15">
        <w:rPr>
          <w:i/>
          <w:iCs/>
        </w:rPr>
        <w:t>viya</w:t>
      </w:r>
      <w:proofErr w:type="spellEnd"/>
      <w:r w:rsidR="00221454" w:rsidRPr="00606C15">
        <w:rPr>
          <w:i/>
          <w:iCs/>
        </w:rPr>
        <w:t xml:space="preserve"> </w:t>
      </w:r>
      <w:proofErr w:type="spellStart"/>
      <w:r w:rsidR="00221454" w:rsidRPr="00606C15">
        <w:rPr>
          <w:i/>
          <w:iCs/>
        </w:rPr>
        <w:t>kucchitabhāvaṃ</w:t>
      </w:r>
      <w:proofErr w:type="spellEnd"/>
      <w:r w:rsidR="00221454" w:rsidRPr="00606C15">
        <w:rPr>
          <w:i/>
          <w:iCs/>
        </w:rPr>
        <w:t xml:space="preserve"> </w:t>
      </w:r>
      <w:proofErr w:type="spellStart"/>
      <w:r w:rsidR="00221454" w:rsidRPr="00606C15">
        <w:rPr>
          <w:i/>
          <w:iCs/>
        </w:rPr>
        <w:t>ulati</w:t>
      </w:r>
      <w:proofErr w:type="spellEnd"/>
      <w:r w:rsidR="00221454">
        <w:t xml:space="preserve">), </w:t>
      </w:r>
      <w:r w:rsidR="00E522EB">
        <w:t>por lo tanto</w:t>
      </w:r>
      <w:r w:rsidR="00221454">
        <w:t xml:space="preserve"> es “</w:t>
      </w:r>
      <w:r w:rsidR="00E522EB">
        <w:t>desechado</w:t>
      </w:r>
      <w:r w:rsidR="00221454">
        <w:t>” (</w:t>
      </w:r>
      <w:proofErr w:type="spellStart"/>
      <w:r w:rsidR="00221454" w:rsidRPr="00606C15">
        <w:rPr>
          <w:i/>
          <w:iCs/>
        </w:rPr>
        <w:t>paṃsukūla</w:t>
      </w:r>
      <w:proofErr w:type="spellEnd"/>
      <w:r w:rsidR="00221454">
        <w:t xml:space="preserve">); </w:t>
      </w:r>
      <w:r w:rsidR="00420F6F">
        <w:t>se dirige</w:t>
      </w:r>
      <w:r w:rsidR="00221454">
        <w:t xml:space="preserve"> </w:t>
      </w:r>
      <w:r w:rsidR="00E522EB">
        <w:t>hacia</w:t>
      </w:r>
      <w:r w:rsidR="00221454">
        <w:t xml:space="preserve"> un estado vil, es lo que se quiere decir. El uso de </w:t>
      </w:r>
      <w:r w:rsidR="00E522EB">
        <w:t>harapo</w:t>
      </w:r>
      <w:r w:rsidR="002138CE">
        <w:t>s</w:t>
      </w:r>
      <w:r w:rsidR="00221454">
        <w:t xml:space="preserve"> de </w:t>
      </w:r>
      <w:r w:rsidR="00E522EB">
        <w:t xml:space="preserve">la </w:t>
      </w:r>
      <w:r w:rsidR="00221454">
        <w:t>basura, que ha</w:t>
      </w:r>
      <w:r w:rsidR="00E522EB">
        <w:t>ya</w:t>
      </w:r>
      <w:r w:rsidR="00221454">
        <w:t xml:space="preserve"> adquirido su nombre derivado</w:t>
      </w:r>
      <w:r w:rsidR="00F3494C">
        <w:rPr>
          <w:vertAlign w:val="superscript"/>
        </w:rPr>
        <w:t>1</w:t>
      </w:r>
      <w:r w:rsidR="00221454">
        <w:t xml:space="preserve"> de esta manera, </w:t>
      </w:r>
      <w:r w:rsidR="00214B97">
        <w:t>serán</w:t>
      </w:r>
      <w:r w:rsidR="00221454">
        <w:t xml:space="preserve"> "</w:t>
      </w:r>
      <w:r w:rsidR="002F65A9">
        <w:t>harapos</w:t>
      </w:r>
      <w:r w:rsidR="00221454">
        <w:t xml:space="preserve"> </w:t>
      </w:r>
      <w:r w:rsidR="002F65A9">
        <w:t>desechados</w:t>
      </w:r>
      <w:r w:rsidR="00221454">
        <w:t>" (</w:t>
      </w:r>
      <w:proofErr w:type="spellStart"/>
      <w:r w:rsidR="00221454" w:rsidRPr="00606C15">
        <w:rPr>
          <w:i/>
          <w:iCs/>
        </w:rPr>
        <w:t>paṃsukūla</w:t>
      </w:r>
      <w:proofErr w:type="spellEnd"/>
      <w:r w:rsidR="00221454">
        <w:t xml:space="preserve">). </w:t>
      </w:r>
      <w:r w:rsidR="00157571">
        <w:t>É</w:t>
      </w:r>
      <w:r w:rsidR="00221454">
        <w:t>s</w:t>
      </w:r>
      <w:r w:rsidR="00157571">
        <w:t>a</w:t>
      </w:r>
      <w:r w:rsidR="00221454">
        <w:t xml:space="preserve"> s</w:t>
      </w:r>
      <w:r w:rsidR="008C163B">
        <w:t>erá</w:t>
      </w:r>
      <w:r w:rsidR="00221454">
        <w:t xml:space="preserve"> su </w:t>
      </w:r>
      <w:r w:rsidR="00157571">
        <w:t>práctica</w:t>
      </w:r>
      <w:r w:rsidR="00221454">
        <w:t xml:space="preserve">, por lo que </w:t>
      </w:r>
      <w:r w:rsidR="008C163B">
        <w:t xml:space="preserve">será </w:t>
      </w:r>
      <w:r w:rsidR="00221454">
        <w:t>un "</w:t>
      </w:r>
      <w:r w:rsidR="00C11AA7">
        <w:t>usuario</w:t>
      </w:r>
      <w:r w:rsidR="008C163B">
        <w:t xml:space="preserve"> de harapos desechados</w:t>
      </w:r>
      <w:r w:rsidR="00221454">
        <w:t>" (</w:t>
      </w:r>
      <w:proofErr w:type="spellStart"/>
      <w:r w:rsidR="00221454" w:rsidRPr="00606C15">
        <w:rPr>
          <w:i/>
          <w:iCs/>
        </w:rPr>
        <w:t>paṃsukūlika</w:t>
      </w:r>
      <w:proofErr w:type="spellEnd"/>
      <w:r w:rsidR="00221454">
        <w:t>). La práctica (</w:t>
      </w:r>
      <w:proofErr w:type="spellStart"/>
      <w:r w:rsidR="00221454" w:rsidRPr="00606C15">
        <w:rPr>
          <w:i/>
          <w:iCs/>
        </w:rPr>
        <w:t>aṅga</w:t>
      </w:r>
      <w:proofErr w:type="spellEnd"/>
      <w:r w:rsidR="00221454">
        <w:t xml:space="preserve">) del </w:t>
      </w:r>
      <w:r w:rsidR="00F26717">
        <w:t xml:space="preserve">usuario de harapos desechados </w:t>
      </w:r>
      <w:r w:rsidR="00221454">
        <w:t>[</w:t>
      </w:r>
      <w:r w:rsidR="004763EE">
        <w:t xml:space="preserve">al </w:t>
      </w:r>
      <w:r w:rsidR="00221454">
        <w:t>vestir</w:t>
      </w:r>
      <w:r w:rsidR="004763EE">
        <w:t>se</w:t>
      </w:r>
      <w:r w:rsidR="00221454">
        <w:t xml:space="preserve"> </w:t>
      </w:r>
      <w:r w:rsidR="00F26717">
        <w:t>de</w:t>
      </w:r>
      <w:r w:rsidR="00221454">
        <w:t xml:space="preserve"> harapos] es la “práctica </w:t>
      </w:r>
      <w:r w:rsidR="00F26717">
        <w:t>de</w:t>
      </w:r>
      <w:r w:rsidR="004763EE">
        <w:t xml:space="preserve"> </w:t>
      </w:r>
      <w:r w:rsidR="00221454">
        <w:t>vestir</w:t>
      </w:r>
      <w:r w:rsidR="004763EE">
        <w:t>se</w:t>
      </w:r>
      <w:r w:rsidR="00221454">
        <w:t xml:space="preserve"> </w:t>
      </w:r>
      <w:r w:rsidR="00F26717">
        <w:t>de</w:t>
      </w:r>
      <w:r w:rsidR="00221454">
        <w:t xml:space="preserve"> harapos” (</w:t>
      </w:r>
      <w:proofErr w:type="spellStart"/>
      <w:r w:rsidR="00221454" w:rsidRPr="00606C15">
        <w:rPr>
          <w:i/>
          <w:iCs/>
        </w:rPr>
        <w:t>paṃsukūlikaṅga</w:t>
      </w:r>
      <w:proofErr w:type="spellEnd"/>
      <w:r w:rsidR="00221454">
        <w:t xml:space="preserve">). Es la acción </w:t>
      </w:r>
      <w:r w:rsidR="004763EE">
        <w:t xml:space="preserve">a la cual </w:t>
      </w:r>
      <w:r w:rsidR="00221454">
        <w:t xml:space="preserve">se </w:t>
      </w:r>
      <w:r w:rsidR="004763EE">
        <w:t xml:space="preserve">le </w:t>
      </w:r>
      <w:r w:rsidR="00221454">
        <w:t xml:space="preserve">llama "práctica". Por lo tanto, debe entenderse como un término para </w:t>
      </w:r>
      <w:r w:rsidR="00BB22E1">
        <w:t>aquél que</w:t>
      </w:r>
      <w:r w:rsidR="00221454">
        <w:t xml:space="preserve"> se conviert</w:t>
      </w:r>
      <w:r w:rsidR="004763EE">
        <w:t>a</w:t>
      </w:r>
      <w:r w:rsidR="00221454">
        <w:t xml:space="preserve"> en un </w:t>
      </w:r>
      <w:r w:rsidR="00C11AA7">
        <w:t>usuario</w:t>
      </w:r>
      <w:r w:rsidR="007B36A4">
        <w:t>-que-vist</w:t>
      </w:r>
      <w:r w:rsidR="00BB22E1">
        <w:t>a</w:t>
      </w:r>
      <w:r w:rsidR="007B36A4">
        <w:t>-de-harapos</w:t>
      </w:r>
      <w:r w:rsidR="00AA1332">
        <w:t>-desechados</w:t>
      </w:r>
      <w:r w:rsidR="00221454">
        <w:t>.</w:t>
      </w:r>
    </w:p>
    <w:p w14:paraId="488DFF44" w14:textId="53824556" w:rsidR="00221454" w:rsidRDefault="0059098D" w:rsidP="00D34743">
      <w:pPr>
        <w:pStyle w:val="NormalConSangria"/>
      </w:pPr>
      <w:r>
        <w:tab/>
      </w:r>
      <w:proofErr w:type="spellStart"/>
      <w:r w:rsidR="00221454">
        <w:t>ii</w:t>
      </w:r>
      <w:proofErr w:type="spellEnd"/>
      <w:r w:rsidR="00221454">
        <w:t>. De la misma manera, tiene el hábito de [u</w:t>
      </w:r>
      <w:r w:rsidR="004B7245">
        <w:t>tiliz</w:t>
      </w:r>
      <w:r w:rsidR="00221454">
        <w:t xml:space="preserve">ar] </w:t>
      </w:r>
      <w:r w:rsidR="007B36A4">
        <w:t xml:space="preserve">el </w:t>
      </w:r>
      <w:r w:rsidR="00221454">
        <w:t xml:space="preserve">triple </w:t>
      </w:r>
      <w:r w:rsidR="007B36A4">
        <w:t xml:space="preserve">ropaje </w:t>
      </w:r>
      <w:r w:rsidR="00221454">
        <w:t>(</w:t>
      </w:r>
      <w:r w:rsidR="00221454" w:rsidRPr="00606C15">
        <w:rPr>
          <w:i/>
          <w:iCs/>
        </w:rPr>
        <w:t>ti-</w:t>
      </w:r>
      <w:proofErr w:type="spellStart"/>
      <w:r w:rsidR="00221454" w:rsidRPr="00606C15">
        <w:rPr>
          <w:i/>
          <w:iCs/>
        </w:rPr>
        <w:t>cīvara</w:t>
      </w:r>
      <w:proofErr w:type="spellEnd"/>
      <w:r w:rsidR="00221454">
        <w:t xml:space="preserve">)—en otras palabras, </w:t>
      </w:r>
      <w:r w:rsidR="004B7245">
        <w:t>el manto</w:t>
      </w:r>
      <w:r w:rsidR="00221454">
        <w:t xml:space="preserve"> de parches, la prenda superior y la </w:t>
      </w:r>
      <w:r w:rsidR="00C11AA7">
        <w:t xml:space="preserve">prenda </w:t>
      </w:r>
      <w:r w:rsidR="00221454">
        <w:t>interior—por lo que</w:t>
      </w:r>
      <w:r w:rsidR="00BB22E1">
        <w:t xml:space="preserve"> </w:t>
      </w:r>
      <w:r w:rsidR="00221454">
        <w:t>s</w:t>
      </w:r>
      <w:r w:rsidR="00BB22E1">
        <w:t>erá</w:t>
      </w:r>
      <w:r w:rsidR="00221454">
        <w:t xml:space="preserve"> un “</w:t>
      </w:r>
      <w:r w:rsidR="00C11AA7">
        <w:t>usuario del triple ropaje</w:t>
      </w:r>
      <w:r w:rsidR="00221454">
        <w:t>” (</w:t>
      </w:r>
      <w:proofErr w:type="spellStart"/>
      <w:r w:rsidR="00221454" w:rsidRPr="00606C15">
        <w:rPr>
          <w:i/>
          <w:iCs/>
        </w:rPr>
        <w:t>tecīvarika</w:t>
      </w:r>
      <w:proofErr w:type="spellEnd"/>
      <w:r w:rsidR="00221454">
        <w:t xml:space="preserve">). </w:t>
      </w:r>
      <w:r w:rsidR="00424349">
        <w:t>A su</w:t>
      </w:r>
      <w:r w:rsidR="00221454">
        <w:t xml:space="preserve"> práctica se </w:t>
      </w:r>
      <w:r w:rsidR="00424349">
        <w:t xml:space="preserve">le </w:t>
      </w:r>
      <w:r w:rsidR="00221454">
        <w:t>llama</w:t>
      </w:r>
      <w:r w:rsidR="00424349">
        <w:t>rá</w:t>
      </w:r>
      <w:r w:rsidR="00221454">
        <w:t xml:space="preserve"> la “práctica del usuario del triple</w:t>
      </w:r>
      <w:r w:rsidR="00AA1332">
        <w:t xml:space="preserve"> ropaje</w:t>
      </w:r>
      <w:r w:rsidR="00221454">
        <w:t>”.</w:t>
      </w:r>
    </w:p>
    <w:p w14:paraId="0A86A12F" w14:textId="60F9D097" w:rsidR="00221454" w:rsidRDefault="00221454" w:rsidP="0059098D">
      <w:r>
        <w:t xml:space="preserve">5. </w:t>
      </w:r>
      <w:r w:rsidR="00D34743">
        <w:tab/>
      </w:r>
      <w:proofErr w:type="spellStart"/>
      <w:r>
        <w:t>iii</w:t>
      </w:r>
      <w:proofErr w:type="spellEnd"/>
      <w:r>
        <w:t xml:space="preserve">. </w:t>
      </w:r>
      <w:r w:rsidR="00D17F1F">
        <w:t>El vertido</w:t>
      </w:r>
      <w:r>
        <w:t xml:space="preserve"> (</w:t>
      </w:r>
      <w:proofErr w:type="spellStart"/>
      <w:r w:rsidRPr="00606C15">
        <w:rPr>
          <w:i/>
          <w:iCs/>
        </w:rPr>
        <w:t>pāta</w:t>
      </w:r>
      <w:proofErr w:type="spellEnd"/>
      <w:r>
        <w:t xml:space="preserve">) de los </w:t>
      </w:r>
      <w:r w:rsidR="00FC1F8B">
        <w:t xml:space="preserve">trozos </w:t>
      </w:r>
      <w:r>
        <w:t>(</w:t>
      </w:r>
      <w:proofErr w:type="spellStart"/>
      <w:r w:rsidRPr="00606C15">
        <w:rPr>
          <w:i/>
          <w:iCs/>
        </w:rPr>
        <w:t>piṇḍa</w:t>
      </w:r>
      <w:proofErr w:type="spellEnd"/>
      <w:r>
        <w:t>) de</w:t>
      </w:r>
      <w:r w:rsidR="00AA1332">
        <w:t>l</w:t>
      </w:r>
      <w:r>
        <w:t xml:space="preserve"> sustento material (</w:t>
      </w:r>
      <w:proofErr w:type="spellStart"/>
      <w:r w:rsidRPr="00606C15">
        <w:rPr>
          <w:i/>
          <w:iCs/>
        </w:rPr>
        <w:t>āmisa</w:t>
      </w:r>
      <w:proofErr w:type="spellEnd"/>
      <w:r>
        <w:t xml:space="preserve">) llamado </w:t>
      </w:r>
      <w:r w:rsidR="00D17F1F">
        <w:t>ofrendas</w:t>
      </w:r>
      <w:r>
        <w:t xml:space="preserve"> (</w:t>
      </w:r>
      <w:proofErr w:type="spellStart"/>
      <w:r w:rsidRPr="00606C15">
        <w:rPr>
          <w:i/>
          <w:iCs/>
        </w:rPr>
        <w:t>bhikkhā</w:t>
      </w:r>
      <w:proofErr w:type="spellEnd"/>
      <w:r>
        <w:t xml:space="preserve">) es </w:t>
      </w:r>
      <w:r w:rsidR="00D17F1F">
        <w:t xml:space="preserve">conocido como </w:t>
      </w:r>
      <w:r>
        <w:t>“</w:t>
      </w:r>
      <w:r w:rsidR="00D17F1F">
        <w:t>ofrenda de alimentos</w:t>
      </w:r>
      <w:r>
        <w:t>” (</w:t>
      </w:r>
      <w:proofErr w:type="spellStart"/>
      <w:r w:rsidRPr="00606C15">
        <w:rPr>
          <w:i/>
          <w:iCs/>
        </w:rPr>
        <w:t>piṇḍapāta</w:t>
      </w:r>
      <w:proofErr w:type="spellEnd"/>
      <w:r>
        <w:t xml:space="preserve">); lo que se quiere decir es </w:t>
      </w:r>
      <w:r w:rsidR="0041066F">
        <w:t xml:space="preserve">el vertido </w:t>
      </w:r>
      <w:r>
        <w:t>(</w:t>
      </w:r>
      <w:proofErr w:type="spellStart"/>
      <w:r w:rsidRPr="00606C15">
        <w:rPr>
          <w:i/>
          <w:iCs/>
        </w:rPr>
        <w:t>nipatana</w:t>
      </w:r>
      <w:proofErr w:type="spellEnd"/>
      <w:r>
        <w:t xml:space="preserve">) en el cuenco de </w:t>
      </w:r>
      <w:r w:rsidR="00FC1F8B">
        <w:t>dicho</w:t>
      </w:r>
      <w:r w:rsidR="0041066F">
        <w:t xml:space="preserve">s trozos </w:t>
      </w:r>
      <w:r>
        <w:t>(</w:t>
      </w:r>
      <w:proofErr w:type="spellStart"/>
      <w:r w:rsidRPr="00606C15">
        <w:rPr>
          <w:i/>
          <w:iCs/>
        </w:rPr>
        <w:t>piṇḍa</w:t>
      </w:r>
      <w:proofErr w:type="spellEnd"/>
      <w:r>
        <w:t xml:space="preserve">) </w:t>
      </w:r>
      <w:r w:rsidR="0041066F">
        <w:t>de alimentos ofrecido</w:t>
      </w:r>
      <w:r w:rsidR="00FC1F8B">
        <w:t>s</w:t>
      </w:r>
      <w:r w:rsidR="0041066F">
        <w:t xml:space="preserve"> </w:t>
      </w:r>
      <w:r>
        <w:t xml:space="preserve">por </w:t>
      </w:r>
      <w:r w:rsidR="0041066F">
        <w:t>los demás</w:t>
      </w:r>
      <w:r>
        <w:t>. Reco</w:t>
      </w:r>
      <w:r w:rsidR="0002126A">
        <w:t>lecta</w:t>
      </w:r>
      <w:r>
        <w:t xml:space="preserve"> esa </w:t>
      </w:r>
      <w:r w:rsidR="0002126A">
        <w:t xml:space="preserve">ofrenda de alimentos </w:t>
      </w:r>
      <w:r>
        <w:t>(</w:t>
      </w:r>
      <w:proofErr w:type="gramStart"/>
      <w:r>
        <w:t xml:space="preserve">esa </w:t>
      </w:r>
      <w:r w:rsidR="0002126A">
        <w:t>vertido</w:t>
      </w:r>
      <w:proofErr w:type="gramEnd"/>
      <w:r>
        <w:t xml:space="preserve"> de </w:t>
      </w:r>
      <w:r w:rsidR="0002126A">
        <w:t>trozos</w:t>
      </w:r>
      <w:r>
        <w:t>), l</w:t>
      </w:r>
      <w:r w:rsidR="006B62A5">
        <w:t xml:space="preserve">os procura </w:t>
      </w:r>
      <w:r>
        <w:t xml:space="preserve">acercándose a tal o cual familia, por lo que se le </w:t>
      </w:r>
      <w:r w:rsidR="006B62A5">
        <w:t xml:space="preserve">designa </w:t>
      </w:r>
      <w:r>
        <w:t>“[</w:t>
      </w:r>
      <w:r w:rsidR="006B62A5">
        <w:t xml:space="preserve">el que </w:t>
      </w:r>
      <w:r>
        <w:t xml:space="preserve">come] </w:t>
      </w:r>
      <w:r w:rsidR="006B62A5">
        <w:t>ofrenda de alimentos</w:t>
      </w:r>
      <w:r>
        <w:t>” (</w:t>
      </w:r>
      <w:proofErr w:type="spellStart"/>
      <w:r w:rsidRPr="00606C15">
        <w:rPr>
          <w:i/>
          <w:iCs/>
        </w:rPr>
        <w:t>piṇḍapātika</w:t>
      </w:r>
      <w:proofErr w:type="spellEnd"/>
      <w:r>
        <w:t xml:space="preserve">). O su voto es </w:t>
      </w:r>
      <w:r w:rsidR="002811DF">
        <w:t>colectar</w:t>
      </w:r>
      <w:r>
        <w:t xml:space="preserve"> (</w:t>
      </w:r>
      <w:proofErr w:type="spellStart"/>
      <w:r w:rsidRPr="00606C15">
        <w:rPr>
          <w:i/>
          <w:iCs/>
        </w:rPr>
        <w:t>patituṃ</w:t>
      </w:r>
      <w:proofErr w:type="spellEnd"/>
      <w:r>
        <w:t>)</w:t>
      </w:r>
      <w:r w:rsidR="00BF7541">
        <w:rPr>
          <w:vertAlign w:val="superscript"/>
        </w:rPr>
        <w:t>2</w:t>
      </w:r>
      <w:r>
        <w:t xml:space="preserve"> </w:t>
      </w:r>
      <w:r w:rsidR="002811DF">
        <w:t xml:space="preserve">los trozos </w:t>
      </w:r>
      <w:r>
        <w:t>(</w:t>
      </w:r>
      <w:proofErr w:type="spellStart"/>
      <w:r w:rsidRPr="00606C15">
        <w:rPr>
          <w:i/>
          <w:iCs/>
        </w:rPr>
        <w:t>piṇḍa</w:t>
      </w:r>
      <w:proofErr w:type="spellEnd"/>
      <w:r>
        <w:t xml:space="preserve">), por lo que </w:t>
      </w:r>
      <w:r w:rsidR="00B83A3A">
        <w:t>se le conoce como</w:t>
      </w:r>
      <w:r>
        <w:t xml:space="preserve"> un “recolector de </w:t>
      </w:r>
      <w:r w:rsidR="002811DF">
        <w:t>trozos</w:t>
      </w:r>
      <w:r>
        <w:t>” (</w:t>
      </w:r>
      <w:proofErr w:type="spellStart"/>
      <w:r w:rsidRPr="00885C25">
        <w:rPr>
          <w:i/>
          <w:iCs/>
        </w:rPr>
        <w:t>piṅḍapātin</w:t>
      </w:r>
      <w:proofErr w:type="spellEnd"/>
      <w:r>
        <w:t>). “</w:t>
      </w:r>
      <w:r w:rsidR="00E71DC1">
        <w:t>Recolectar</w:t>
      </w:r>
      <w:r>
        <w:t xml:space="preserve">” </w:t>
      </w:r>
      <w:r w:rsidR="00796014">
        <w:t>significa</w:t>
      </w:r>
      <w:r>
        <w:t xml:space="preserve"> deambular p</w:t>
      </w:r>
      <w:r w:rsidR="002914FA">
        <w:t>a</w:t>
      </w:r>
      <w:r>
        <w:t>r</w:t>
      </w:r>
      <w:r w:rsidR="002914FA">
        <w:t>a</w:t>
      </w:r>
      <w:r>
        <w:t xml:space="preserve">. Un “recolector de </w:t>
      </w:r>
      <w:r w:rsidR="002914FA">
        <w:t>trozos</w:t>
      </w:r>
      <w:r>
        <w:t>” (</w:t>
      </w:r>
      <w:proofErr w:type="spellStart"/>
      <w:r w:rsidRPr="00606C15">
        <w:rPr>
          <w:i/>
          <w:iCs/>
        </w:rPr>
        <w:t>piṅḍapātin</w:t>
      </w:r>
      <w:proofErr w:type="spellEnd"/>
      <w:r>
        <w:t>) es lo mismo que un “</w:t>
      </w:r>
      <w:r w:rsidR="000C6B84">
        <w:t xml:space="preserve">comensal </w:t>
      </w:r>
      <w:r>
        <w:t xml:space="preserve">de </w:t>
      </w:r>
      <w:r w:rsidR="000C6B84">
        <w:t>ofrenda</w:t>
      </w:r>
      <w:r w:rsidR="0083202A">
        <w:t>s de alimentos</w:t>
      </w:r>
      <w:r>
        <w:t>” (</w:t>
      </w:r>
      <w:proofErr w:type="spellStart"/>
      <w:r w:rsidRPr="00606C15">
        <w:rPr>
          <w:i/>
          <w:iCs/>
        </w:rPr>
        <w:t>piṇḍapātika</w:t>
      </w:r>
      <w:proofErr w:type="spellEnd"/>
      <w:r>
        <w:t xml:space="preserve">). La práctica del </w:t>
      </w:r>
      <w:r w:rsidR="00456454">
        <w:t>comer</w:t>
      </w:r>
      <w:r w:rsidR="0083202A">
        <w:t xml:space="preserve"> ofrendas </w:t>
      </w:r>
      <w:r w:rsidR="00456454">
        <w:t xml:space="preserve">recolectadas como se describe </w:t>
      </w:r>
      <w:r>
        <w:t xml:space="preserve">es la “práctica del </w:t>
      </w:r>
      <w:r w:rsidR="00456454">
        <w:t>comensal de ofrendas de alimentos</w:t>
      </w:r>
      <w:r>
        <w:t>”.</w:t>
      </w:r>
    </w:p>
    <w:p w14:paraId="69E23481" w14:textId="3F3F6FC3" w:rsidR="00221454" w:rsidRDefault="00221454" w:rsidP="0059098D">
      <w:r>
        <w:t xml:space="preserve">6. </w:t>
      </w:r>
      <w:r w:rsidR="00D34743">
        <w:tab/>
      </w:r>
      <w:proofErr w:type="spellStart"/>
      <w:r>
        <w:t>iv</w:t>
      </w:r>
      <w:proofErr w:type="spellEnd"/>
      <w:r>
        <w:t>. Es</w:t>
      </w:r>
      <w:r w:rsidR="00CC59B4">
        <w:t>tará</w:t>
      </w:r>
      <w:r>
        <w:t xml:space="preserve"> </w:t>
      </w:r>
      <w:r w:rsidR="00B303BE">
        <w:t>vacío</w:t>
      </w:r>
      <w:r>
        <w:t xml:space="preserve"> (</w:t>
      </w:r>
      <w:proofErr w:type="spellStart"/>
      <w:r w:rsidRPr="00606C15">
        <w:rPr>
          <w:i/>
          <w:iCs/>
        </w:rPr>
        <w:t>avakhaṅḍana</w:t>
      </w:r>
      <w:proofErr w:type="spellEnd"/>
      <w:r>
        <w:t xml:space="preserve">) </w:t>
      </w:r>
      <w:r w:rsidR="00B303BE">
        <w:t>a lo que se cono</w:t>
      </w:r>
      <w:r w:rsidR="00CC59B4">
        <w:t>zca</w:t>
      </w:r>
      <w:r w:rsidR="00B303BE">
        <w:t xml:space="preserve"> como </w:t>
      </w:r>
      <w:r>
        <w:t>“brecha” (</w:t>
      </w:r>
      <w:proofErr w:type="spellStart"/>
      <w:r w:rsidRPr="00606C15">
        <w:rPr>
          <w:i/>
          <w:iCs/>
        </w:rPr>
        <w:t>dāna</w:t>
      </w:r>
      <w:proofErr w:type="spellEnd"/>
      <w:r>
        <w:t>).</w:t>
      </w:r>
      <w:r w:rsidR="00EE7543">
        <w:rPr>
          <w:vertAlign w:val="superscript"/>
        </w:rPr>
        <w:t>3</w:t>
      </w:r>
      <w:r>
        <w:t xml:space="preserve"> </w:t>
      </w:r>
      <w:r w:rsidR="006420AF">
        <w:t>Est</w:t>
      </w:r>
      <w:r w:rsidR="00CC59B4">
        <w:t>ar</w:t>
      </w:r>
      <w:r w:rsidR="006420AF">
        <w:t xml:space="preserve">á privado </w:t>
      </w:r>
      <w:r>
        <w:t>(</w:t>
      </w:r>
      <w:proofErr w:type="spellStart"/>
      <w:r w:rsidRPr="00606C15">
        <w:rPr>
          <w:i/>
          <w:iCs/>
        </w:rPr>
        <w:t>apeta</w:t>
      </w:r>
      <w:proofErr w:type="spellEnd"/>
      <w:r>
        <w:t xml:space="preserve">) de </w:t>
      </w:r>
      <w:r w:rsidR="00A10745">
        <w:t>brechas</w:t>
      </w:r>
      <w:r>
        <w:t xml:space="preserve">, por </w:t>
      </w:r>
      <w:r w:rsidR="006420AF">
        <w:t>el</w:t>
      </w:r>
      <w:r>
        <w:t xml:space="preserve">lo se </w:t>
      </w:r>
      <w:r w:rsidR="006420AF">
        <w:t xml:space="preserve">le conoce como </w:t>
      </w:r>
      <w:r>
        <w:t xml:space="preserve">"sin </w:t>
      </w:r>
      <w:r w:rsidR="00A10745">
        <w:t>brechas</w:t>
      </w:r>
      <w:r>
        <w:t>" (</w:t>
      </w:r>
      <w:proofErr w:type="spellStart"/>
      <w:r w:rsidRPr="00606C15">
        <w:rPr>
          <w:i/>
          <w:iCs/>
        </w:rPr>
        <w:t>apadāna</w:t>
      </w:r>
      <w:proofErr w:type="spellEnd"/>
      <w:r>
        <w:t>); el significado es</w:t>
      </w:r>
      <w:r w:rsidR="00A10745">
        <w:t xml:space="preserve"> que</w:t>
      </w:r>
      <w:r>
        <w:t xml:space="preserve"> </w:t>
      </w:r>
      <w:r w:rsidR="00B4190C">
        <w:t xml:space="preserve">no </w:t>
      </w:r>
      <w:r w:rsidR="00A10745">
        <w:t xml:space="preserve">posee </w:t>
      </w:r>
      <w:r w:rsidR="007546EE">
        <w:t>vacíos</w:t>
      </w:r>
      <w:r>
        <w:t>. Est</w:t>
      </w:r>
      <w:r w:rsidR="00812CDB">
        <w:t>ar</w:t>
      </w:r>
      <w:r>
        <w:t xml:space="preserve">á junto </w:t>
      </w:r>
      <w:r w:rsidR="00421F90">
        <w:t>a</w:t>
      </w:r>
      <w:r>
        <w:t xml:space="preserve"> (</w:t>
      </w:r>
      <w:r w:rsidRPr="00784A1C">
        <w:rPr>
          <w:i/>
          <w:iCs/>
        </w:rPr>
        <w:t>saha</w:t>
      </w:r>
      <w:r>
        <w:t xml:space="preserve">) lo que no </w:t>
      </w:r>
      <w:r w:rsidR="00812CDB">
        <w:t>posea brechas</w:t>
      </w:r>
      <w:r>
        <w:t xml:space="preserve"> (</w:t>
      </w:r>
      <w:proofErr w:type="spellStart"/>
      <w:r w:rsidRPr="00606C15">
        <w:rPr>
          <w:i/>
          <w:iCs/>
        </w:rPr>
        <w:t>apadāna</w:t>
      </w:r>
      <w:proofErr w:type="spellEnd"/>
      <w:r>
        <w:t xml:space="preserve">), así </w:t>
      </w:r>
      <w:r w:rsidR="00003B97">
        <w:t>que se ref</w:t>
      </w:r>
      <w:r w:rsidR="00812CDB">
        <w:t>iere</w:t>
      </w:r>
      <w:r w:rsidR="00003B97">
        <w:t xml:space="preserve"> a </w:t>
      </w:r>
      <w:r>
        <w:t>“con lo que no ten</w:t>
      </w:r>
      <w:r w:rsidR="008736C0">
        <w:t>ga</w:t>
      </w:r>
      <w:r>
        <w:t xml:space="preserve"> </w:t>
      </w:r>
      <w:r w:rsidR="00812CDB">
        <w:t>brechas</w:t>
      </w:r>
      <w:r>
        <w:t>” (</w:t>
      </w:r>
      <w:proofErr w:type="spellStart"/>
      <w:r w:rsidRPr="00606C15">
        <w:rPr>
          <w:i/>
          <w:iCs/>
        </w:rPr>
        <w:t>sapadāna</w:t>
      </w:r>
      <w:proofErr w:type="spellEnd"/>
      <w:r>
        <w:t xml:space="preserve">); desprovisto de </w:t>
      </w:r>
      <w:r w:rsidR="008736C0">
        <w:t>vacíos</w:t>
      </w:r>
      <w:r>
        <w:t xml:space="preserve">, de casa en casa, es lo que se quiere decir. Su hábito es </w:t>
      </w:r>
      <w:r w:rsidR="008736C0">
        <w:t xml:space="preserve">deambular </w:t>
      </w:r>
      <w:r w:rsidR="00DE2494">
        <w:t>a través de lo que no posea</w:t>
      </w:r>
      <w:r>
        <w:t xml:space="preserve"> espacios, por lo que </w:t>
      </w:r>
      <w:r w:rsidR="00ED6732">
        <w:t xml:space="preserve">será </w:t>
      </w:r>
      <w:r>
        <w:t>un "</w:t>
      </w:r>
      <w:r w:rsidR="00DE2494">
        <w:t xml:space="preserve">errante </w:t>
      </w:r>
      <w:r>
        <w:t>sin espacios" (</w:t>
      </w:r>
      <w:proofErr w:type="spellStart"/>
      <w:r w:rsidRPr="00606C15">
        <w:rPr>
          <w:i/>
          <w:iCs/>
        </w:rPr>
        <w:t>sapadānacārin</w:t>
      </w:r>
      <w:proofErr w:type="spellEnd"/>
      <w:r>
        <w:t xml:space="preserve">). Un </w:t>
      </w:r>
      <w:r w:rsidR="00405A46">
        <w:t xml:space="preserve">errante </w:t>
      </w:r>
      <w:r>
        <w:t>sin brechas es lo mismo que un “buscador de casa en casa” (</w:t>
      </w:r>
      <w:proofErr w:type="spellStart"/>
      <w:r w:rsidRPr="00606C15">
        <w:rPr>
          <w:i/>
          <w:iCs/>
        </w:rPr>
        <w:t>sapadānacārika</w:t>
      </w:r>
      <w:proofErr w:type="spellEnd"/>
      <w:r>
        <w:t xml:space="preserve">). Su práctica </w:t>
      </w:r>
      <w:r w:rsidR="00ED6732">
        <w:t xml:space="preserve">será </w:t>
      </w:r>
      <w:r>
        <w:t>la “práctica</w:t>
      </w:r>
      <w:r w:rsidR="000349F9">
        <w:t>-</w:t>
      </w:r>
      <w:r>
        <w:t>del</w:t>
      </w:r>
      <w:r w:rsidR="000349F9">
        <w:t>-</w:t>
      </w:r>
      <w:r>
        <w:t>buscador</w:t>
      </w:r>
      <w:r w:rsidR="000349F9">
        <w:t>-</w:t>
      </w:r>
      <w:r>
        <w:t>de</w:t>
      </w:r>
      <w:r w:rsidR="000349F9">
        <w:t>-</w:t>
      </w:r>
      <w:r>
        <w:t>casa</w:t>
      </w:r>
      <w:r w:rsidR="000349F9">
        <w:t>-</w:t>
      </w:r>
      <w:r>
        <w:t>en</w:t>
      </w:r>
      <w:r w:rsidR="000349F9">
        <w:t>-</w:t>
      </w:r>
      <w:r>
        <w:t>casa”.</w:t>
      </w:r>
    </w:p>
    <w:p w14:paraId="26052E0E" w14:textId="4F94FBA3" w:rsidR="00221454" w:rsidRDefault="00221454" w:rsidP="0059098D">
      <w:r>
        <w:t xml:space="preserve">7. </w:t>
      </w:r>
      <w:r w:rsidR="00D34743">
        <w:tab/>
      </w:r>
      <w:r>
        <w:t xml:space="preserve">v. Comer en una </w:t>
      </w:r>
      <w:r w:rsidR="00B411CF">
        <w:t xml:space="preserve">sola </w:t>
      </w:r>
      <w:r>
        <w:t xml:space="preserve">sesión es “una sesión”. Él tiene ese hábito, por lo que </w:t>
      </w:r>
      <w:r w:rsidR="00B411CF">
        <w:t xml:space="preserve">se le conoce como alguien </w:t>
      </w:r>
      <w:r w:rsidR="009A241F">
        <w:t xml:space="preserve">de </w:t>
      </w:r>
      <w:r>
        <w:t>"</w:t>
      </w:r>
      <w:r w:rsidR="00B411CF">
        <w:t>una sesión</w:t>
      </w:r>
      <w:r>
        <w:t>". Su práctica es la “práctica de una</w:t>
      </w:r>
      <w:r w:rsidR="00D37F39">
        <w:t>-</w:t>
      </w:r>
      <w:r>
        <w:t>sola</w:t>
      </w:r>
      <w:r w:rsidR="00D37F39">
        <w:t>-</w:t>
      </w:r>
      <w:r>
        <w:t>sesión”.</w:t>
      </w:r>
    </w:p>
    <w:p w14:paraId="2FC485DC" w14:textId="77777777" w:rsidR="00221454" w:rsidRPr="00D34743" w:rsidRDefault="00221454" w:rsidP="00D34743">
      <w:pPr>
        <w:pStyle w:val="PiedepginaLegal"/>
        <w:rPr>
          <w:u w:val="single"/>
        </w:rPr>
      </w:pPr>
      <w:r w:rsidRPr="00D34743">
        <w:rPr>
          <w:u w:val="single"/>
        </w:rPr>
        <w:t xml:space="preserve">                                                                                                                                                            .</w:t>
      </w:r>
    </w:p>
    <w:p w14:paraId="21501A4C" w14:textId="45584330" w:rsidR="00221454" w:rsidRDefault="00221454" w:rsidP="00D34743">
      <w:pPr>
        <w:pStyle w:val="PiedepginaLegal"/>
      </w:pPr>
      <w:r>
        <w:t xml:space="preserve">1. </w:t>
      </w:r>
      <w:r w:rsidR="00D34743">
        <w:tab/>
      </w:r>
      <w:proofErr w:type="spellStart"/>
      <w:r w:rsidRPr="00606C15">
        <w:rPr>
          <w:i/>
          <w:iCs/>
        </w:rPr>
        <w:t>Nibbacana</w:t>
      </w:r>
      <w:proofErr w:type="spellEnd"/>
      <w:r w:rsidR="00D34743">
        <w:t>— “nombre</w:t>
      </w:r>
      <w:r>
        <w:t xml:space="preserve"> derivado (o derivado verbal)”; </w:t>
      </w:r>
      <w:proofErr w:type="spellStart"/>
      <w:r>
        <w:t>gram</w:t>
      </w:r>
      <w:proofErr w:type="spellEnd"/>
      <w:r>
        <w:t>. término no</w:t>
      </w:r>
      <w:r w:rsidR="002D457D">
        <w:t xml:space="preserve"> contenido</w:t>
      </w:r>
      <w:r>
        <w:t xml:space="preserve"> en </w:t>
      </w:r>
      <w:r w:rsidR="00AA3080">
        <w:t xml:space="preserve">el </w:t>
      </w:r>
      <w:r>
        <w:t xml:space="preserve">PED; M-a I 61.105; </w:t>
      </w:r>
      <w:proofErr w:type="spellStart"/>
      <w:r>
        <w:t>Vism</w:t>
      </w:r>
      <w:proofErr w:type="spellEnd"/>
      <w:r>
        <w:t xml:space="preserve"> </w:t>
      </w:r>
      <w:r w:rsidRPr="00606C15">
        <w:rPr>
          <w:i/>
          <w:iCs/>
        </w:rPr>
        <w:t>XVI</w:t>
      </w:r>
      <w:r>
        <w:t>.16.</w:t>
      </w:r>
    </w:p>
    <w:p w14:paraId="190D9321" w14:textId="27A72420" w:rsidR="00221454" w:rsidRDefault="00221454" w:rsidP="00D34743">
      <w:pPr>
        <w:pStyle w:val="PiedepginaLegal"/>
      </w:pPr>
      <w:r>
        <w:t>2.</w:t>
      </w:r>
      <w:r w:rsidR="00D34743">
        <w:tab/>
      </w:r>
      <w:proofErr w:type="spellStart"/>
      <w:r w:rsidRPr="00606C15">
        <w:rPr>
          <w:i/>
          <w:iCs/>
        </w:rPr>
        <w:t>Patati</w:t>
      </w:r>
      <w:proofErr w:type="spellEnd"/>
      <w:r>
        <w:t xml:space="preserve">—“reunir (o deambular)”: no </w:t>
      </w:r>
      <w:r w:rsidR="00531C30">
        <w:t xml:space="preserve">contenido en el </w:t>
      </w:r>
      <w:r>
        <w:t>PED.</w:t>
      </w:r>
    </w:p>
    <w:p w14:paraId="5EE241C9" w14:textId="791321BC" w:rsidR="00D34743" w:rsidRDefault="00221454" w:rsidP="009A241F">
      <w:pPr>
        <w:pStyle w:val="PiedepginaLegal"/>
      </w:pPr>
      <w:r>
        <w:t>3.</w:t>
      </w:r>
      <w:r w:rsidR="00D34743">
        <w:tab/>
      </w:r>
      <w:proofErr w:type="spellStart"/>
      <w:r w:rsidRPr="00606C15">
        <w:rPr>
          <w:i/>
          <w:iCs/>
        </w:rPr>
        <w:t>Avakhaṇḍana</w:t>
      </w:r>
      <w:proofErr w:type="spellEnd"/>
      <w:r>
        <w:t>—“</w:t>
      </w:r>
      <w:r w:rsidR="002D457D">
        <w:t>vacío</w:t>
      </w:r>
      <w:r>
        <w:t xml:space="preserve">” y </w:t>
      </w:r>
      <w:proofErr w:type="spellStart"/>
      <w:r w:rsidRPr="00606C15">
        <w:rPr>
          <w:i/>
          <w:iCs/>
        </w:rPr>
        <w:t>dāna</w:t>
      </w:r>
      <w:proofErr w:type="spellEnd"/>
      <w:r>
        <w:t xml:space="preserve">—“brecha”: no </w:t>
      </w:r>
      <w:r w:rsidR="00531C30">
        <w:t xml:space="preserve">contenido en el </w:t>
      </w:r>
      <w:r>
        <w:t>PED.</w:t>
      </w:r>
      <w:r w:rsidR="00D34743">
        <w:br w:type="page"/>
      </w:r>
    </w:p>
    <w:p w14:paraId="35C96E17" w14:textId="10E4A4E8" w:rsidR="00847CDB" w:rsidRDefault="0059098D" w:rsidP="007C1EFD">
      <w:pPr>
        <w:pStyle w:val="NormalConSangria"/>
        <w:spacing w:after="60"/>
      </w:pPr>
      <w:r>
        <w:lastRenderedPageBreak/>
        <w:tab/>
      </w:r>
      <w:r w:rsidR="00847CDB">
        <w:t xml:space="preserve">vi. La </w:t>
      </w:r>
      <w:r w:rsidR="009A241F">
        <w:t>ofrenda</w:t>
      </w:r>
      <w:r w:rsidR="00847CDB">
        <w:t xml:space="preserve"> (</w:t>
      </w:r>
      <w:proofErr w:type="spellStart"/>
      <w:r w:rsidR="00847CDB" w:rsidRPr="004F3F2F">
        <w:rPr>
          <w:i/>
          <w:iCs/>
        </w:rPr>
        <w:t>piṇḍa</w:t>
      </w:r>
      <w:proofErr w:type="spellEnd"/>
      <w:r w:rsidR="00847CDB">
        <w:t xml:space="preserve">) </w:t>
      </w:r>
      <w:r w:rsidR="00CA1A87">
        <w:t>de</w:t>
      </w:r>
      <w:r w:rsidR="00847CDB">
        <w:t xml:space="preserve"> un </w:t>
      </w:r>
      <w:r w:rsidR="00023A84">
        <w:t xml:space="preserve">solo </w:t>
      </w:r>
      <w:r w:rsidR="00847CDB">
        <w:t>cuenco (</w:t>
      </w:r>
      <w:proofErr w:type="spellStart"/>
      <w:r w:rsidR="00847CDB" w:rsidRPr="004F3F2F">
        <w:rPr>
          <w:i/>
          <w:iCs/>
        </w:rPr>
        <w:t>patta</w:t>
      </w:r>
      <w:proofErr w:type="spellEnd"/>
      <w:r w:rsidR="00847CDB">
        <w:t xml:space="preserve">) solo por rechazar un segundo </w:t>
      </w:r>
      <w:r w:rsidR="00023A84">
        <w:t>recipiente</w:t>
      </w:r>
      <w:r w:rsidR="00847CDB">
        <w:t>, es “</w:t>
      </w:r>
      <w:r w:rsidR="00531C30">
        <w:t xml:space="preserve">la </w:t>
      </w:r>
      <w:r w:rsidR="002E791E">
        <w:t xml:space="preserve">ofrenda de </w:t>
      </w:r>
      <w:r w:rsidR="00531C30">
        <w:t xml:space="preserve">un </w:t>
      </w:r>
      <w:r w:rsidR="002E791E">
        <w:t>cuenco</w:t>
      </w:r>
      <w:r w:rsidR="00847CDB">
        <w:t>” (</w:t>
      </w:r>
      <w:proofErr w:type="spellStart"/>
      <w:r w:rsidR="00847CDB" w:rsidRPr="004F3F2F">
        <w:rPr>
          <w:i/>
          <w:iCs/>
        </w:rPr>
        <w:t>patta-piṇḍa</w:t>
      </w:r>
      <w:proofErr w:type="spellEnd"/>
      <w:r w:rsidR="00847CDB">
        <w:t>). Ahora</w:t>
      </w:r>
      <w:r w:rsidR="002E791E">
        <w:t xml:space="preserve"> bien</w:t>
      </w:r>
      <w:r w:rsidR="00847CDB">
        <w:t xml:space="preserve">, </w:t>
      </w:r>
      <w:r w:rsidR="00CC00FF">
        <w:t>ir por la ronda de</w:t>
      </w:r>
      <w:r w:rsidR="002E791E">
        <w:t xml:space="preserve"> </w:t>
      </w:r>
      <w:r w:rsidR="00847CDB">
        <w:t>“</w:t>
      </w:r>
      <w:r w:rsidR="002E791E">
        <w:t>ofrenda e</w:t>
      </w:r>
      <w:r w:rsidR="00CC00FF">
        <w:t>n</w:t>
      </w:r>
      <w:r w:rsidR="00531C30" w:rsidRPr="00531C30">
        <w:t xml:space="preserve"> </w:t>
      </w:r>
      <w:r w:rsidR="00531C30">
        <w:t xml:space="preserve">un </w:t>
      </w:r>
      <w:r w:rsidR="002E791E">
        <w:t>cuenco</w:t>
      </w:r>
      <w:r w:rsidR="00847CDB">
        <w:t>” (</w:t>
      </w:r>
      <w:proofErr w:type="spellStart"/>
      <w:r w:rsidR="00847CDB" w:rsidRPr="004F3F2F">
        <w:rPr>
          <w:i/>
          <w:iCs/>
        </w:rPr>
        <w:t>patta-piṇḍa</w:t>
      </w:r>
      <w:proofErr w:type="spellEnd"/>
      <w:r w:rsidR="00847CDB">
        <w:t xml:space="preserve">) </w:t>
      </w:r>
      <w:r w:rsidR="001005B7">
        <w:t xml:space="preserve">es </w:t>
      </w:r>
      <w:r w:rsidR="00847CDB">
        <w:t xml:space="preserve">el nombre para </w:t>
      </w:r>
      <w:r w:rsidR="001005B7">
        <w:t xml:space="preserve">obtener ofrenda de alimentos en </w:t>
      </w:r>
      <w:r w:rsidR="00531C30">
        <w:t>un</w:t>
      </w:r>
      <w:r w:rsidR="001005B7">
        <w:t xml:space="preserve"> </w:t>
      </w:r>
      <w:r w:rsidR="00531C30">
        <w:t xml:space="preserve">solo </w:t>
      </w:r>
      <w:r w:rsidR="00DF6821">
        <w:t>cuenco</w:t>
      </w:r>
      <w:r w:rsidR="00847CDB">
        <w:t xml:space="preserve">: </w:t>
      </w:r>
      <w:r w:rsidR="00DF6821">
        <w:t>la ofrenda de alimento</w:t>
      </w:r>
      <w:r w:rsidR="00CC00FF">
        <w:t>s</w:t>
      </w:r>
      <w:r w:rsidR="00DF6821">
        <w:t xml:space="preserve"> </w:t>
      </w:r>
      <w:r w:rsidR="00531C30">
        <w:t xml:space="preserve">en un solo </w:t>
      </w:r>
      <w:r w:rsidR="00BF6F59">
        <w:t xml:space="preserve">cuenco </w:t>
      </w:r>
      <w:r w:rsidR="00847CDB">
        <w:t>es su hábito, por lo que es un “come</w:t>
      </w:r>
      <w:r w:rsidR="00B55266">
        <w:t>nsal</w:t>
      </w:r>
      <w:r w:rsidR="00847CDB">
        <w:t xml:space="preserve"> de </w:t>
      </w:r>
      <w:r w:rsidR="00BF6F59">
        <w:t xml:space="preserve">alimentos de </w:t>
      </w:r>
      <w:r w:rsidR="00CC00FF">
        <w:t xml:space="preserve">un </w:t>
      </w:r>
      <w:r w:rsidR="00BF6F59">
        <w:t>cuenco</w:t>
      </w:r>
      <w:r w:rsidR="00847CDB">
        <w:t>” (</w:t>
      </w:r>
      <w:proofErr w:type="spellStart"/>
      <w:r w:rsidR="00847CDB" w:rsidRPr="004F3F2F">
        <w:rPr>
          <w:i/>
          <w:iCs/>
        </w:rPr>
        <w:t>pattapiṇḍika</w:t>
      </w:r>
      <w:proofErr w:type="spellEnd"/>
      <w:r w:rsidR="00847CDB">
        <w:t>). Su práctica es la “práctica del come</w:t>
      </w:r>
      <w:r w:rsidR="00B55266">
        <w:t>nsal</w:t>
      </w:r>
      <w:r w:rsidR="00847CDB">
        <w:t>-</w:t>
      </w:r>
      <w:r w:rsidR="00B55266">
        <w:t>de-alimentos-de-</w:t>
      </w:r>
      <w:r w:rsidR="007348AB">
        <w:t>un-</w:t>
      </w:r>
      <w:r w:rsidR="00B55266">
        <w:t>cuenco</w:t>
      </w:r>
      <w:r w:rsidR="00847CDB">
        <w:t>”.</w:t>
      </w:r>
    </w:p>
    <w:p w14:paraId="0B9138D5" w14:textId="3910A1C6" w:rsidR="00847CDB" w:rsidRDefault="00847CDB" w:rsidP="007C1EFD">
      <w:pPr>
        <w:spacing w:after="60"/>
      </w:pPr>
      <w:r>
        <w:t xml:space="preserve">8. </w:t>
      </w:r>
      <w:r>
        <w:tab/>
      </w:r>
      <w:proofErr w:type="spellStart"/>
      <w:r>
        <w:t>vii</w:t>
      </w:r>
      <w:proofErr w:type="spellEnd"/>
      <w:r>
        <w:t>. “No” (</w:t>
      </w:r>
      <w:proofErr w:type="spellStart"/>
      <w:r w:rsidRPr="004F3F2F">
        <w:rPr>
          <w:i/>
          <w:iCs/>
        </w:rPr>
        <w:t>khalu</w:t>
      </w:r>
      <w:proofErr w:type="spellEnd"/>
      <w:r>
        <w:t xml:space="preserve">) es </w:t>
      </w:r>
      <w:proofErr w:type="gramStart"/>
      <w:r>
        <w:t xml:space="preserve">una </w:t>
      </w:r>
      <w:r w:rsidR="00142F18">
        <w:t>elemen</w:t>
      </w:r>
      <w:r w:rsidR="00A266B9">
        <w:t>t</w:t>
      </w:r>
      <w:r w:rsidR="00142F18">
        <w:t>o</w:t>
      </w:r>
      <w:proofErr w:type="gramEnd"/>
      <w:r>
        <w:t xml:space="preserve"> en el sentido de rechazar. [61] La comida (</w:t>
      </w:r>
      <w:proofErr w:type="spellStart"/>
      <w:r w:rsidRPr="004F3F2F">
        <w:rPr>
          <w:i/>
          <w:iCs/>
        </w:rPr>
        <w:t>bhatta</w:t>
      </w:r>
      <w:proofErr w:type="spellEnd"/>
      <w:r>
        <w:t>) obtenida más tarde por alguien que ha</w:t>
      </w:r>
      <w:r w:rsidR="00142F18">
        <w:t>ya</w:t>
      </w:r>
      <w:r>
        <w:t xml:space="preserve"> demostrado que </w:t>
      </w:r>
      <w:r w:rsidR="00142F18">
        <w:t>se encuentr</w:t>
      </w:r>
      <w:r w:rsidR="002C0A1B">
        <w:t>e</w:t>
      </w:r>
      <w:r w:rsidR="00142F18">
        <w:t xml:space="preserve"> </w:t>
      </w:r>
      <w:r>
        <w:t xml:space="preserve">satisfecho se </w:t>
      </w:r>
      <w:r w:rsidR="00142F18">
        <w:t xml:space="preserve">le </w:t>
      </w:r>
      <w:r>
        <w:t>llama “</w:t>
      </w:r>
      <w:r w:rsidR="00CE3924">
        <w:t xml:space="preserve">alimentos </w:t>
      </w:r>
      <w:r w:rsidR="00647A2C">
        <w:t>tardíos</w:t>
      </w:r>
      <w:r>
        <w:t>” (</w:t>
      </w:r>
      <w:proofErr w:type="spellStart"/>
      <w:r w:rsidRPr="004F3F2F">
        <w:rPr>
          <w:i/>
          <w:iCs/>
        </w:rPr>
        <w:t>pacchā-bhatta</w:t>
      </w:r>
      <w:proofErr w:type="spellEnd"/>
      <w:r>
        <w:t xml:space="preserve">). El comer ese alimento </w:t>
      </w:r>
      <w:r w:rsidR="00647A2C">
        <w:t>tardíamente</w:t>
      </w:r>
      <w:r w:rsidR="007059F8">
        <w:t xml:space="preserve"> permitido </w:t>
      </w:r>
      <w:r>
        <w:t>es “comer-alimento</w:t>
      </w:r>
      <w:r w:rsidR="007059F8">
        <w:t>s</w:t>
      </w:r>
      <w:r>
        <w:t>-</w:t>
      </w:r>
      <w:r w:rsidR="007448FF">
        <w:t>tardíos</w:t>
      </w:r>
      <w:r>
        <w:t>”. Hac</w:t>
      </w:r>
      <w:r w:rsidR="007059F8">
        <w:t>er</w:t>
      </w:r>
      <w:r>
        <w:t xml:space="preserve"> “</w:t>
      </w:r>
      <w:r w:rsidR="006167E9">
        <w:t xml:space="preserve">alimentos </w:t>
      </w:r>
      <w:r w:rsidR="009B579C">
        <w:t>tardíos</w:t>
      </w:r>
      <w:r>
        <w:t>” (</w:t>
      </w:r>
      <w:proofErr w:type="spellStart"/>
      <w:r w:rsidRPr="004F3F2F">
        <w:rPr>
          <w:i/>
          <w:iCs/>
        </w:rPr>
        <w:t>pacchābhatta</w:t>
      </w:r>
      <w:proofErr w:type="spellEnd"/>
      <w:r>
        <w:t xml:space="preserve">) </w:t>
      </w:r>
      <w:r w:rsidR="001145A3">
        <w:t xml:space="preserve">es </w:t>
      </w:r>
      <w:r>
        <w:t xml:space="preserve">el nombre para </w:t>
      </w:r>
      <w:r w:rsidR="001145A3">
        <w:t xml:space="preserve">aquel </w:t>
      </w:r>
      <w:r>
        <w:t xml:space="preserve">comer </w:t>
      </w:r>
      <w:r w:rsidR="001145A3">
        <w:t xml:space="preserve">de alimentos </w:t>
      </w:r>
      <w:r w:rsidR="009B579C">
        <w:t>tardíamente</w:t>
      </w:r>
      <w:r>
        <w:t xml:space="preserve">: </w:t>
      </w:r>
      <w:r w:rsidR="001104D1">
        <w:t xml:space="preserve">el alimento </w:t>
      </w:r>
      <w:r w:rsidR="00B20415">
        <w:t xml:space="preserve">tardío será </w:t>
      </w:r>
      <w:r>
        <w:t xml:space="preserve">su hábito, por lo tanto él </w:t>
      </w:r>
      <w:r w:rsidR="001104D1">
        <w:t xml:space="preserve">será </w:t>
      </w:r>
      <w:r>
        <w:t>un “come</w:t>
      </w:r>
      <w:r w:rsidR="001104D1">
        <w:t>nsal</w:t>
      </w:r>
      <w:r>
        <w:t>-</w:t>
      </w:r>
      <w:r w:rsidR="001104D1">
        <w:t>de alimentos</w:t>
      </w:r>
      <w:r>
        <w:t>-</w:t>
      </w:r>
      <w:r w:rsidR="00B20415">
        <w:t>tardíos</w:t>
      </w:r>
      <w:r>
        <w:t>” (</w:t>
      </w:r>
      <w:proofErr w:type="spellStart"/>
      <w:r w:rsidRPr="004F3F2F">
        <w:rPr>
          <w:i/>
          <w:iCs/>
        </w:rPr>
        <w:t>pacchābhattika</w:t>
      </w:r>
      <w:proofErr w:type="spellEnd"/>
      <w:r>
        <w:t xml:space="preserve">). </w:t>
      </w:r>
      <w:r w:rsidR="005A1FDC">
        <w:t xml:space="preserve">Alguien que </w:t>
      </w:r>
      <w:r w:rsidR="00B20415">
        <w:t xml:space="preserve">no </w:t>
      </w:r>
      <w:r w:rsidR="005A1FDC">
        <w:t>sea un</w:t>
      </w:r>
      <w:r>
        <w:t xml:space="preserve"> </w:t>
      </w:r>
      <w:r w:rsidR="001C1B91">
        <w:t>comensal</w:t>
      </w:r>
      <w:r w:rsidR="00B90EBC">
        <w:t>-</w:t>
      </w:r>
      <w:r w:rsidR="00066023">
        <w:t>de</w:t>
      </w:r>
      <w:r w:rsidR="00B90EBC">
        <w:t>-</w:t>
      </w:r>
      <w:r w:rsidR="00066023">
        <w:t>alimentos</w:t>
      </w:r>
      <w:r w:rsidR="00B90EBC">
        <w:t>-</w:t>
      </w:r>
      <w:r w:rsidR="00B20415">
        <w:t>tardíos</w:t>
      </w:r>
      <w:r w:rsidR="00066023">
        <w:t xml:space="preserve"> </w:t>
      </w:r>
      <w:r w:rsidR="00B20415">
        <w:t>se le llamará</w:t>
      </w:r>
      <w:r w:rsidR="00066023">
        <w:t xml:space="preserve"> un comensal</w:t>
      </w:r>
      <w:r w:rsidR="00B90EBC">
        <w:t>-</w:t>
      </w:r>
      <w:r w:rsidR="00066023">
        <w:t>de</w:t>
      </w:r>
      <w:r w:rsidR="00B90EBC">
        <w:t>-</w:t>
      </w:r>
      <w:r w:rsidR="00066023">
        <w:t>alimentos</w:t>
      </w:r>
      <w:r w:rsidR="00705DBB">
        <w:t>-no-tardíos</w:t>
      </w:r>
      <w:r w:rsidR="00066023">
        <w:t xml:space="preserve"> </w:t>
      </w:r>
      <w:r>
        <w:t>(</w:t>
      </w:r>
      <w:proofErr w:type="spellStart"/>
      <w:r w:rsidRPr="004F3F2F">
        <w:rPr>
          <w:i/>
          <w:iCs/>
        </w:rPr>
        <w:t>khalu-pacchābhattika</w:t>
      </w:r>
      <w:proofErr w:type="spellEnd"/>
      <w:r>
        <w:t>), [es decir, un “</w:t>
      </w:r>
      <w:proofErr w:type="spellStart"/>
      <w:r>
        <w:t>rehusador</w:t>
      </w:r>
      <w:proofErr w:type="spellEnd"/>
      <w:r>
        <w:t xml:space="preserve"> de alimentos</w:t>
      </w:r>
      <w:r w:rsidR="00E50A40">
        <w:t xml:space="preserve"> </w:t>
      </w:r>
      <w:r w:rsidR="00705DBB">
        <w:t>tardíos</w:t>
      </w:r>
      <w:r>
        <w:t xml:space="preserve">”]. </w:t>
      </w:r>
      <w:r w:rsidR="00A266B9">
        <w:t>É</w:t>
      </w:r>
      <w:r>
        <w:t xml:space="preserve">ste es el nombre </w:t>
      </w:r>
      <w:r w:rsidR="00F07944">
        <w:t>para</w:t>
      </w:r>
      <w:r>
        <w:t xml:space="preserve"> alguien que como </w:t>
      </w:r>
      <w:r w:rsidR="00A266B9">
        <w:t>emprendimiento</w:t>
      </w:r>
      <w:r>
        <w:t xml:space="preserve"> rechaza</w:t>
      </w:r>
      <w:r w:rsidR="002B7FB8">
        <w:t>rá</w:t>
      </w:r>
      <w:r>
        <w:t xml:space="preserve"> la comida extra. Pero se dice en el comentario</w:t>
      </w:r>
      <w:r w:rsidR="00F86B6D">
        <w:rPr>
          <w:vertAlign w:val="superscript"/>
        </w:rPr>
        <w:t>4</w:t>
      </w:r>
      <w:r>
        <w:t xml:space="preserve"> “</w:t>
      </w:r>
      <w:proofErr w:type="spellStart"/>
      <w:r w:rsidRPr="004F3F2F">
        <w:rPr>
          <w:i/>
          <w:iCs/>
        </w:rPr>
        <w:t>Khalu</w:t>
      </w:r>
      <w:proofErr w:type="spellEnd"/>
      <w:r>
        <w:t xml:space="preserve"> es cierto tipo de pájaro. Cuando ha tomado una fruta en su pico y </w:t>
      </w:r>
      <w:r w:rsidR="00705DBB">
        <w:t xml:space="preserve">ésta </w:t>
      </w:r>
      <w:r>
        <w:t>cae, no come</w:t>
      </w:r>
      <w:r w:rsidR="00705DBB">
        <w:t>rá</w:t>
      </w:r>
      <w:r>
        <w:t xml:space="preserve"> más. Este [</w:t>
      </w:r>
      <w:proofErr w:type="spellStart"/>
      <w:r w:rsidR="00057BF4" w:rsidRPr="00057BF4">
        <w:rPr>
          <w:i/>
          <w:iCs/>
        </w:rPr>
        <w:t>bhikkhu</w:t>
      </w:r>
      <w:proofErr w:type="spellEnd"/>
      <w:r>
        <w:t>] s</w:t>
      </w:r>
      <w:r w:rsidR="00BC2337">
        <w:t>erá</w:t>
      </w:r>
      <w:r>
        <w:t xml:space="preserve"> así”. Por lo tanto, él es “un </w:t>
      </w:r>
      <w:proofErr w:type="spellStart"/>
      <w:r>
        <w:t>rehusador</w:t>
      </w:r>
      <w:proofErr w:type="spellEnd"/>
      <w:r>
        <w:t xml:space="preserve"> de alimentos</w:t>
      </w:r>
      <w:r w:rsidR="00436D68">
        <w:t xml:space="preserve"> </w:t>
      </w:r>
      <w:r w:rsidR="00705DBB">
        <w:t>tardíos</w:t>
      </w:r>
      <w:r>
        <w:t>” (</w:t>
      </w:r>
      <w:proofErr w:type="spellStart"/>
      <w:r w:rsidRPr="004F3F2F">
        <w:rPr>
          <w:i/>
          <w:iCs/>
        </w:rPr>
        <w:t>khalu-pacchā-bhattika</w:t>
      </w:r>
      <w:proofErr w:type="spellEnd"/>
      <w:r>
        <w:t xml:space="preserve">). Su práctica </w:t>
      </w:r>
      <w:r w:rsidR="00705DBB">
        <w:t xml:space="preserve">será </w:t>
      </w:r>
      <w:r>
        <w:t xml:space="preserve">la “práctica del </w:t>
      </w:r>
      <w:proofErr w:type="spellStart"/>
      <w:r>
        <w:t>rehusador</w:t>
      </w:r>
      <w:proofErr w:type="spellEnd"/>
      <w:r>
        <w:t xml:space="preserve"> de alimentos</w:t>
      </w:r>
      <w:r w:rsidR="00436D68">
        <w:t xml:space="preserve"> </w:t>
      </w:r>
      <w:r w:rsidR="00705DBB">
        <w:t>tardíos</w:t>
      </w:r>
      <w:r>
        <w:t>”.</w:t>
      </w:r>
    </w:p>
    <w:p w14:paraId="5D3DFA00" w14:textId="5B69CAA6" w:rsidR="00847CDB" w:rsidRDefault="00847CDB" w:rsidP="007C1EFD">
      <w:pPr>
        <w:spacing w:after="60"/>
      </w:pPr>
      <w:r>
        <w:t xml:space="preserve">9. </w:t>
      </w:r>
      <w:r>
        <w:tab/>
      </w:r>
      <w:proofErr w:type="spellStart"/>
      <w:r>
        <w:t>viii</w:t>
      </w:r>
      <w:proofErr w:type="spellEnd"/>
      <w:r>
        <w:t xml:space="preserve">. Su hábito es habitar en el bosque, por lo que </w:t>
      </w:r>
      <w:r w:rsidR="00436D68">
        <w:t>conoce como</w:t>
      </w:r>
      <w:r>
        <w:t xml:space="preserve"> un "habitante del bosque". Su práctica es la “práctica del habitante del bosque”.</w:t>
      </w:r>
    </w:p>
    <w:p w14:paraId="2DACBBCD" w14:textId="259230D7" w:rsidR="00847CDB" w:rsidRDefault="0059098D" w:rsidP="007C1EFD">
      <w:pPr>
        <w:pStyle w:val="NormalConSangria"/>
        <w:spacing w:after="60"/>
      </w:pPr>
      <w:r>
        <w:tab/>
      </w:r>
      <w:proofErr w:type="spellStart"/>
      <w:r w:rsidR="00847CDB">
        <w:t>ix</w:t>
      </w:r>
      <w:proofErr w:type="spellEnd"/>
      <w:r w:rsidR="00847CDB">
        <w:t xml:space="preserve">. </w:t>
      </w:r>
      <w:r w:rsidR="00436D68">
        <w:t>Cuando alguien decida vivir</w:t>
      </w:r>
      <w:r w:rsidR="00847CDB">
        <w:t xml:space="preserve"> </w:t>
      </w:r>
      <w:r w:rsidR="00436D68">
        <w:t xml:space="preserve">sobre </w:t>
      </w:r>
      <w:r w:rsidR="00847CDB">
        <w:t xml:space="preserve">la raíz de un árbol </w:t>
      </w:r>
      <w:r w:rsidR="00436D68">
        <w:t xml:space="preserve">querrá decir que </w:t>
      </w:r>
      <w:r w:rsidR="00847CDB">
        <w:t>“</w:t>
      </w:r>
      <w:r w:rsidR="00436D68">
        <w:t>habita sobre</w:t>
      </w:r>
      <w:r w:rsidR="00847CDB">
        <w:t xml:space="preserve"> la raíz del árbol”. Él </w:t>
      </w:r>
      <w:r w:rsidR="00833422">
        <w:t>tendrá</w:t>
      </w:r>
      <w:r w:rsidR="00847CDB">
        <w:t xml:space="preserve"> ese hábito, por lo que </w:t>
      </w:r>
      <w:r w:rsidR="00833422">
        <w:t xml:space="preserve">será </w:t>
      </w:r>
      <w:r w:rsidR="00847CDB">
        <w:t xml:space="preserve">un "habitante </w:t>
      </w:r>
      <w:r w:rsidR="00574B3A">
        <w:t xml:space="preserve">sobre </w:t>
      </w:r>
      <w:r w:rsidR="00847CDB">
        <w:t>la raíz del árbol". La práctica del habita</w:t>
      </w:r>
      <w:r w:rsidR="00574B3A">
        <w:t>r</w:t>
      </w:r>
      <w:r w:rsidR="00847CDB">
        <w:t xml:space="preserve"> </w:t>
      </w:r>
      <w:r w:rsidR="00574B3A">
        <w:t>sobre</w:t>
      </w:r>
      <w:r w:rsidR="00847CDB">
        <w:t xml:space="preserve"> la raíz del árbol </w:t>
      </w:r>
      <w:r w:rsidR="00574B3A">
        <w:t>ser</w:t>
      </w:r>
      <w:r w:rsidR="000049FC">
        <w:t>á</w:t>
      </w:r>
      <w:r w:rsidR="00574B3A">
        <w:t xml:space="preserve"> </w:t>
      </w:r>
      <w:r w:rsidR="00847CDB">
        <w:t xml:space="preserve">la “práctica del habitante </w:t>
      </w:r>
      <w:r w:rsidR="00574B3A">
        <w:t xml:space="preserve">sobre </w:t>
      </w:r>
      <w:r w:rsidR="00847CDB">
        <w:t>la raíz del árbol”.</w:t>
      </w:r>
    </w:p>
    <w:p w14:paraId="56AD6D3B" w14:textId="30F341BD" w:rsidR="00847CDB" w:rsidRDefault="0059098D" w:rsidP="007C1EFD">
      <w:pPr>
        <w:pStyle w:val="NormalConSangria"/>
        <w:spacing w:after="60"/>
      </w:pPr>
      <w:r>
        <w:tab/>
      </w:r>
      <w:r w:rsidR="00847CDB">
        <w:t xml:space="preserve">x., xi. Lo mismo ocurre con el habitante </w:t>
      </w:r>
      <w:r w:rsidR="00574B3A">
        <w:t>a</w:t>
      </w:r>
      <w:r w:rsidR="00847CDB">
        <w:t>l aire libre y el habitante de cementerio</w:t>
      </w:r>
      <w:r w:rsidR="00574B3A">
        <w:t>s</w:t>
      </w:r>
      <w:r w:rsidR="00847CDB">
        <w:t>.</w:t>
      </w:r>
    </w:p>
    <w:p w14:paraId="56444E65" w14:textId="57AF227D" w:rsidR="00847CDB" w:rsidRDefault="00847CDB" w:rsidP="007C1EFD">
      <w:pPr>
        <w:spacing w:after="60"/>
      </w:pPr>
      <w:r>
        <w:t xml:space="preserve">10. </w:t>
      </w:r>
      <w:r>
        <w:tab/>
      </w:r>
      <w:proofErr w:type="spellStart"/>
      <w:r>
        <w:t>xii</w:t>
      </w:r>
      <w:proofErr w:type="spellEnd"/>
      <w:r>
        <w:t>. Solo lo que ha</w:t>
      </w:r>
      <w:r w:rsidR="00AF3637">
        <w:t>ya</w:t>
      </w:r>
      <w:r>
        <w:t xml:space="preserve"> sido </w:t>
      </w:r>
      <w:r w:rsidR="00996CB5">
        <w:t>designado</w:t>
      </w:r>
      <w:r>
        <w:t xml:space="preserve"> (</w:t>
      </w:r>
      <w:proofErr w:type="spellStart"/>
      <w:r w:rsidRPr="004F3F2F">
        <w:rPr>
          <w:i/>
          <w:iCs/>
        </w:rPr>
        <w:t>yad</w:t>
      </w:r>
      <w:proofErr w:type="spellEnd"/>
      <w:r w:rsidRPr="004F3F2F">
        <w:rPr>
          <w:i/>
          <w:iCs/>
        </w:rPr>
        <w:t xml:space="preserve"> </w:t>
      </w:r>
      <w:proofErr w:type="spellStart"/>
      <w:r w:rsidRPr="004F3F2F">
        <w:rPr>
          <w:i/>
          <w:iCs/>
        </w:rPr>
        <w:t>eva</w:t>
      </w:r>
      <w:proofErr w:type="spellEnd"/>
      <w:r w:rsidRPr="004F3F2F">
        <w:rPr>
          <w:i/>
          <w:iCs/>
        </w:rPr>
        <w:t xml:space="preserve"> </w:t>
      </w:r>
      <w:proofErr w:type="spellStart"/>
      <w:r w:rsidRPr="004F3F2F">
        <w:rPr>
          <w:i/>
          <w:iCs/>
        </w:rPr>
        <w:t>santhata</w:t>
      </w:r>
      <w:proofErr w:type="spellEnd"/>
      <w:r>
        <w:t xml:space="preserve">) </w:t>
      </w:r>
      <w:r w:rsidR="00AF3637">
        <w:t>se entenderá</w:t>
      </w:r>
      <w:r>
        <w:t xml:space="preserve"> “como </w:t>
      </w:r>
      <w:r w:rsidR="00996CB5">
        <w:t>designado</w:t>
      </w:r>
      <w:r>
        <w:t>” (</w:t>
      </w:r>
      <w:proofErr w:type="spellStart"/>
      <w:r w:rsidRPr="004F3F2F">
        <w:rPr>
          <w:i/>
          <w:iCs/>
        </w:rPr>
        <w:t>yathāsanthata</w:t>
      </w:r>
      <w:proofErr w:type="spellEnd"/>
      <w:r>
        <w:t xml:space="preserve">). </w:t>
      </w:r>
      <w:r w:rsidR="00AF14AC">
        <w:t>É</w:t>
      </w:r>
      <w:r>
        <w:t xml:space="preserve">ste es un término para el lugar de descanso que se le </w:t>
      </w:r>
      <w:r w:rsidR="007B49A6">
        <w:t xml:space="preserve">haya </w:t>
      </w:r>
      <w:r>
        <w:t>asign</w:t>
      </w:r>
      <w:r w:rsidR="007B49A6">
        <w:t>ado a alguien</w:t>
      </w:r>
      <w:r>
        <w:t xml:space="preserve"> por primera vez, </w:t>
      </w:r>
      <w:r w:rsidR="00AF14AC">
        <w:t>de la siguiente manera</w:t>
      </w:r>
      <w:r>
        <w:t>: “</w:t>
      </w:r>
      <w:r w:rsidR="00AF14AC">
        <w:t>E</w:t>
      </w:r>
      <w:r>
        <w:t>st</w:t>
      </w:r>
      <w:r w:rsidR="00AF14AC">
        <w:t>o</w:t>
      </w:r>
      <w:r>
        <w:t xml:space="preserve"> </w:t>
      </w:r>
      <w:r w:rsidR="00AF14AC">
        <w:t>l</w:t>
      </w:r>
      <w:r>
        <w:t>e corresponde</w:t>
      </w:r>
      <w:r w:rsidR="001D03E7">
        <w:t>rá</w:t>
      </w:r>
      <w:r>
        <w:t xml:space="preserve"> a </w:t>
      </w:r>
      <w:r w:rsidR="00BE530F">
        <w:t>usted</w:t>
      </w:r>
      <w:r>
        <w:t xml:space="preserve">”. </w:t>
      </w:r>
      <w:r w:rsidR="001D03E7">
        <w:t xml:space="preserve">Éste tendrá </w:t>
      </w:r>
      <w:r>
        <w:t xml:space="preserve">el hábito de morar en </w:t>
      </w:r>
      <w:r w:rsidR="00BE530F">
        <w:t>aquello</w:t>
      </w:r>
      <w:r>
        <w:t xml:space="preserve"> </w:t>
      </w:r>
      <w:r w:rsidR="00260C4A">
        <w:t xml:space="preserve">que </w:t>
      </w:r>
      <w:r w:rsidR="001C1CA1">
        <w:t xml:space="preserve">se </w:t>
      </w:r>
      <w:r w:rsidR="00260C4A">
        <w:t xml:space="preserve">haya </w:t>
      </w:r>
      <w:r w:rsidR="00996CB5">
        <w:t>designado</w:t>
      </w:r>
      <w:r>
        <w:t xml:space="preserve">, por lo que </w:t>
      </w:r>
      <w:r w:rsidR="001D03E7">
        <w:t>será</w:t>
      </w:r>
      <w:r w:rsidR="003B1E03">
        <w:t xml:space="preserve"> </w:t>
      </w:r>
      <w:r>
        <w:t xml:space="preserve">un "usuario </w:t>
      </w:r>
      <w:r w:rsidR="00996CB5">
        <w:t>designado</w:t>
      </w:r>
      <w:r>
        <w:t>" (</w:t>
      </w:r>
      <w:proofErr w:type="spellStart"/>
      <w:r w:rsidRPr="004F3F2F">
        <w:rPr>
          <w:i/>
          <w:iCs/>
        </w:rPr>
        <w:t>yathāsanthatika</w:t>
      </w:r>
      <w:proofErr w:type="spellEnd"/>
      <w:r>
        <w:t>), [es decir, un "</w:t>
      </w:r>
      <w:r w:rsidR="00B07C8C">
        <w:t xml:space="preserve">el </w:t>
      </w:r>
      <w:r>
        <w:t>usuario de cualquier</w:t>
      </w:r>
      <w:r w:rsidR="006D75EE">
        <w:t>-</w:t>
      </w:r>
      <w:r w:rsidR="00B07C8C">
        <w:t>lecho</w:t>
      </w:r>
      <w:r w:rsidR="006D75EE">
        <w:t>-de-descanso</w:t>
      </w:r>
      <w:r>
        <w:t>"]. Su práctica s</w:t>
      </w:r>
      <w:r w:rsidR="003B1E03">
        <w:t>erá</w:t>
      </w:r>
      <w:r>
        <w:t xml:space="preserve"> la “práctica de</w:t>
      </w:r>
      <w:r w:rsidR="00942D72">
        <w:t>l usuario de</w:t>
      </w:r>
      <w:r>
        <w:t xml:space="preserve"> cualquier</w:t>
      </w:r>
      <w:r w:rsidR="006D75EE">
        <w:t>-</w:t>
      </w:r>
      <w:r w:rsidR="00996CB5">
        <w:t>lecho</w:t>
      </w:r>
      <w:r w:rsidR="006D75EE">
        <w:t>-de-descanso</w:t>
      </w:r>
      <w:r>
        <w:t>”.</w:t>
      </w:r>
    </w:p>
    <w:p w14:paraId="158049FE" w14:textId="5F8A52DD" w:rsidR="00847CDB" w:rsidRDefault="0059098D" w:rsidP="007C1EFD">
      <w:pPr>
        <w:pStyle w:val="NormalConSangria"/>
        <w:spacing w:after="60"/>
      </w:pPr>
      <w:r>
        <w:tab/>
      </w:r>
      <w:proofErr w:type="spellStart"/>
      <w:r w:rsidR="00847CDB">
        <w:t>xiii</w:t>
      </w:r>
      <w:proofErr w:type="spellEnd"/>
      <w:r w:rsidR="00847CDB">
        <w:t>. Tiene la costumbre de mantenerse sentado [</w:t>
      </w:r>
      <w:r w:rsidR="005B34AD">
        <w:t xml:space="preserve">en la </w:t>
      </w:r>
      <w:r w:rsidR="00847CDB">
        <w:t xml:space="preserve">postura </w:t>
      </w:r>
      <w:r w:rsidR="005B34AD">
        <w:t>de</w:t>
      </w:r>
      <w:r w:rsidR="00847CDB">
        <w:t xml:space="preserve"> descans</w:t>
      </w:r>
      <w:r w:rsidR="005B34AD">
        <w:t>o</w:t>
      </w:r>
      <w:r w:rsidR="00847CDB">
        <w:t xml:space="preserve">], negándose a </w:t>
      </w:r>
      <w:r w:rsidR="0014788F">
        <w:t>re</w:t>
      </w:r>
      <w:r w:rsidR="00847CDB">
        <w:t xml:space="preserve">costarse, por lo que </w:t>
      </w:r>
      <w:r w:rsidR="006D75EE">
        <w:t>será</w:t>
      </w:r>
      <w:r w:rsidR="00847CDB">
        <w:t xml:space="preserve"> </w:t>
      </w:r>
      <w:r w:rsidR="00127283">
        <w:t>alguien que habit</w:t>
      </w:r>
      <w:r w:rsidR="005B34AD">
        <w:t>ará</w:t>
      </w:r>
      <w:r w:rsidR="00847CDB">
        <w:t xml:space="preserve"> "sentado". Su práctica </w:t>
      </w:r>
      <w:r w:rsidR="00F345FC">
        <w:t xml:space="preserve">será </w:t>
      </w:r>
      <w:r w:rsidR="00847CDB">
        <w:t xml:space="preserve">la “práctica del </w:t>
      </w:r>
      <w:r w:rsidR="005904AE">
        <w:t>habitar sentado</w:t>
      </w:r>
      <w:r w:rsidR="00847CDB">
        <w:t>”.</w:t>
      </w:r>
    </w:p>
    <w:p w14:paraId="75A34BD1" w14:textId="7EEBBF8A" w:rsidR="00847CDB" w:rsidRDefault="00847CDB" w:rsidP="007C1EFD">
      <w:pPr>
        <w:spacing w:after="60"/>
      </w:pPr>
      <w:r>
        <w:t xml:space="preserve">11. </w:t>
      </w:r>
      <w:r>
        <w:tab/>
        <w:t>Sin embargo, todas estas son prácticas (</w:t>
      </w:r>
      <w:proofErr w:type="spellStart"/>
      <w:r w:rsidRPr="004F3F2F">
        <w:rPr>
          <w:i/>
          <w:iCs/>
        </w:rPr>
        <w:t>aṅga</w:t>
      </w:r>
      <w:proofErr w:type="spellEnd"/>
      <w:r>
        <w:t>) de</w:t>
      </w:r>
      <w:r w:rsidR="004B7D56">
        <w:t>l</w:t>
      </w:r>
      <w:r>
        <w:t xml:space="preserve"> </w:t>
      </w:r>
      <w:proofErr w:type="spellStart"/>
      <w:r w:rsidR="00057BF4" w:rsidRPr="00057BF4">
        <w:rPr>
          <w:i/>
          <w:iCs/>
        </w:rPr>
        <w:t>bhikkhu</w:t>
      </w:r>
      <w:proofErr w:type="spellEnd"/>
      <w:r>
        <w:t xml:space="preserve"> que s</w:t>
      </w:r>
      <w:r w:rsidR="005904AE">
        <w:t>ea</w:t>
      </w:r>
      <w:r>
        <w:t xml:space="preserve"> asceta (</w:t>
      </w:r>
      <w:proofErr w:type="spellStart"/>
      <w:r w:rsidRPr="005904AE">
        <w:rPr>
          <w:i/>
          <w:iCs/>
        </w:rPr>
        <w:t>dhuta</w:t>
      </w:r>
      <w:proofErr w:type="spellEnd"/>
      <w:r>
        <w:t xml:space="preserve">) </w:t>
      </w:r>
      <w:r w:rsidR="005904AE">
        <w:t xml:space="preserve">ya </w:t>
      </w:r>
      <w:r>
        <w:t>que ha</w:t>
      </w:r>
      <w:r w:rsidR="00EC64C7">
        <w:t>brá</w:t>
      </w:r>
      <w:r>
        <w:t xml:space="preserve"> </w:t>
      </w:r>
      <w:r w:rsidR="00EC64C7">
        <w:t xml:space="preserve">erradicado </w:t>
      </w:r>
      <w:r>
        <w:t>(</w:t>
      </w:r>
      <w:proofErr w:type="spellStart"/>
      <w:r w:rsidRPr="004F3F2F">
        <w:rPr>
          <w:i/>
          <w:iCs/>
        </w:rPr>
        <w:t>dhuta</w:t>
      </w:r>
      <w:proofErr w:type="spellEnd"/>
      <w:r>
        <w:t>) la</w:t>
      </w:r>
      <w:r w:rsidR="00EC64C7">
        <w:t>s</w:t>
      </w:r>
      <w:r>
        <w:t xml:space="preserve"> </w:t>
      </w:r>
      <w:r w:rsidR="00EC64C7">
        <w:t>impurezas que surg</w:t>
      </w:r>
      <w:r w:rsidR="00DF26B1">
        <w:t>irá</w:t>
      </w:r>
      <w:r w:rsidR="00EC64C7">
        <w:t xml:space="preserve">n </w:t>
      </w:r>
      <w:r>
        <w:t xml:space="preserve">al emprender una u otra de ellas. O el conocimiento que tiene </w:t>
      </w:r>
      <w:r w:rsidR="008C3108">
        <w:t xml:space="preserve">como </w:t>
      </w:r>
      <w:r>
        <w:t>nombre “asceta” (</w:t>
      </w:r>
      <w:proofErr w:type="spellStart"/>
      <w:r w:rsidRPr="004F3F2F">
        <w:rPr>
          <w:i/>
          <w:iCs/>
        </w:rPr>
        <w:t>dhuta</w:t>
      </w:r>
      <w:proofErr w:type="spellEnd"/>
      <w:r>
        <w:t xml:space="preserve">) porque </w:t>
      </w:r>
      <w:r w:rsidR="008C3108">
        <w:t xml:space="preserve">se libra </w:t>
      </w:r>
      <w:r>
        <w:t>(</w:t>
      </w:r>
      <w:proofErr w:type="spellStart"/>
      <w:r w:rsidRPr="004F3F2F">
        <w:rPr>
          <w:i/>
          <w:iCs/>
        </w:rPr>
        <w:t>dhunana</w:t>
      </w:r>
      <w:proofErr w:type="spellEnd"/>
      <w:r>
        <w:t xml:space="preserve">) </w:t>
      </w:r>
      <w:r w:rsidR="008C3108">
        <w:t xml:space="preserve">de </w:t>
      </w:r>
      <w:r w:rsidR="00821B3F">
        <w:t xml:space="preserve">tales impurezas </w:t>
      </w:r>
      <w:r>
        <w:t>es una práctica (</w:t>
      </w:r>
      <w:proofErr w:type="spellStart"/>
      <w:r w:rsidRPr="004F3F2F">
        <w:rPr>
          <w:i/>
          <w:iCs/>
        </w:rPr>
        <w:t>aṅga</w:t>
      </w:r>
      <w:proofErr w:type="spellEnd"/>
      <w:r>
        <w:t xml:space="preserve">) que le pertenece, </w:t>
      </w:r>
      <w:r w:rsidR="00316F78">
        <w:t xml:space="preserve">motivo por el cual se conocen como </w:t>
      </w:r>
      <w:r>
        <w:t xml:space="preserve">“prácticas </w:t>
      </w:r>
      <w:r w:rsidR="00656CF3" w:rsidRPr="00656CF3">
        <w:t>ascetas</w:t>
      </w:r>
      <w:r>
        <w:t>” (</w:t>
      </w:r>
      <w:proofErr w:type="spellStart"/>
      <w:r w:rsidRPr="004F3F2F">
        <w:rPr>
          <w:i/>
          <w:iCs/>
        </w:rPr>
        <w:t>dhutaṅga</w:t>
      </w:r>
      <w:proofErr w:type="spellEnd"/>
      <w:r>
        <w:t>). O alternativamente, son ascetas (</w:t>
      </w:r>
      <w:proofErr w:type="spellStart"/>
      <w:r w:rsidRPr="004F3F2F">
        <w:rPr>
          <w:i/>
          <w:iCs/>
        </w:rPr>
        <w:t>dhuta</w:t>
      </w:r>
      <w:proofErr w:type="spellEnd"/>
      <w:r>
        <w:t xml:space="preserve">) porque </w:t>
      </w:r>
      <w:r w:rsidR="00316F78">
        <w:t>erradica</w:t>
      </w:r>
      <w:r w:rsidR="00E23F5D">
        <w:t>n</w:t>
      </w:r>
      <w:r w:rsidR="00316F78">
        <w:t xml:space="preserve"> </w:t>
      </w:r>
      <w:r>
        <w:t>(</w:t>
      </w:r>
      <w:proofErr w:type="spellStart"/>
      <w:r w:rsidRPr="004F3F2F">
        <w:rPr>
          <w:i/>
          <w:iCs/>
        </w:rPr>
        <w:t>niddhunana</w:t>
      </w:r>
      <w:proofErr w:type="spellEnd"/>
      <w:r>
        <w:t>) la oposición, y son prácticas (</w:t>
      </w:r>
      <w:proofErr w:type="spellStart"/>
      <w:r w:rsidRPr="004F3F2F">
        <w:rPr>
          <w:i/>
          <w:iCs/>
        </w:rPr>
        <w:t>aṅga</w:t>
      </w:r>
      <w:proofErr w:type="spellEnd"/>
      <w:r>
        <w:t xml:space="preserve">) porque </w:t>
      </w:r>
      <w:r w:rsidR="00E87D1A">
        <w:t>representan</w:t>
      </w:r>
      <w:r>
        <w:t xml:space="preserve"> un </w:t>
      </w:r>
      <w:r w:rsidR="00E87D1A">
        <w:t xml:space="preserve">curso de acción </w:t>
      </w:r>
      <w:r>
        <w:t>(</w:t>
      </w:r>
      <w:proofErr w:type="spellStart"/>
      <w:r w:rsidRPr="004F3F2F">
        <w:rPr>
          <w:i/>
          <w:iCs/>
        </w:rPr>
        <w:t>paṭipatti</w:t>
      </w:r>
      <w:proofErr w:type="spellEnd"/>
      <w:r>
        <w:t>).</w:t>
      </w:r>
    </w:p>
    <w:p w14:paraId="14A09A1F" w14:textId="338B2446" w:rsidR="00847CDB" w:rsidRDefault="00847CDB" w:rsidP="0071003A">
      <w:pPr>
        <w:pStyle w:val="NormalConSangria"/>
        <w:spacing w:after="60"/>
        <w:ind w:firstLine="142"/>
      </w:pPr>
      <w:r>
        <w:t>Así, en primer lugar, es c</w:t>
      </w:r>
      <w:r w:rsidR="0027169E">
        <w:t>ó</w:t>
      </w:r>
      <w:r>
        <w:t xml:space="preserve">mo debe ser conocida aquí la exposición </w:t>
      </w:r>
      <w:r w:rsidRPr="0071003A">
        <w:rPr>
          <w:i/>
          <w:iCs/>
        </w:rPr>
        <w:t>en cuanto al</w:t>
      </w:r>
      <w:r>
        <w:t xml:space="preserve"> </w:t>
      </w:r>
      <w:r w:rsidR="0071003A" w:rsidRPr="0071003A">
        <w:rPr>
          <w:i/>
          <w:iCs/>
        </w:rPr>
        <w:t>significado</w:t>
      </w:r>
      <w:r>
        <w:t>.</w:t>
      </w:r>
    </w:p>
    <w:p w14:paraId="70456137" w14:textId="10910154" w:rsidR="00847CDB" w:rsidRDefault="00847CDB" w:rsidP="007C1EFD">
      <w:pPr>
        <w:spacing w:after="60"/>
      </w:pPr>
      <w:r>
        <w:t xml:space="preserve">12. </w:t>
      </w:r>
      <w:r>
        <w:tab/>
        <w:t>2. Tod</w:t>
      </w:r>
      <w:r w:rsidR="003A48A1">
        <w:t>a</w:t>
      </w:r>
      <w:r>
        <w:t>s ell</w:t>
      </w:r>
      <w:r w:rsidR="003A48A1">
        <w:t>a</w:t>
      </w:r>
      <w:r>
        <w:t xml:space="preserve">s tienen como </w:t>
      </w:r>
      <w:r w:rsidRPr="0027169E">
        <w:rPr>
          <w:i/>
          <w:iCs/>
        </w:rPr>
        <w:t>característica</w:t>
      </w:r>
      <w:r>
        <w:t xml:space="preserve"> la voluntad de emprender. </w:t>
      </w:r>
      <w:r w:rsidR="0027169E">
        <w:t xml:space="preserve">Ya </w:t>
      </w:r>
      <w:r>
        <w:t xml:space="preserve">que esto se dice [en el comentario]: “El que </w:t>
      </w:r>
      <w:r w:rsidR="0009188E">
        <w:t>realiza el emprendimiento</w:t>
      </w:r>
      <w:r>
        <w:t xml:space="preserve"> es una persona. Aquello por </w:t>
      </w:r>
      <w:r w:rsidR="0009188E">
        <w:t>medio de</w:t>
      </w:r>
      <w:r w:rsidR="004A2C6F">
        <w:t xml:space="preserve"> </w:t>
      </w:r>
      <w:r w:rsidR="0009188E">
        <w:t>l</w:t>
      </w:r>
      <w:r w:rsidR="004A2C6F">
        <w:t>o</w:t>
      </w:r>
      <w:r w:rsidR="0009188E">
        <w:t xml:space="preserve"> cual se </w:t>
      </w:r>
      <w:r w:rsidR="00830812">
        <w:t>realice</w:t>
      </w:r>
      <w:r>
        <w:t xml:space="preserve"> </w:t>
      </w:r>
      <w:r w:rsidR="0009188E">
        <w:t>t</w:t>
      </w:r>
      <w:r>
        <w:t>a</w:t>
      </w:r>
      <w:r w:rsidR="0009188E">
        <w:t>l</w:t>
      </w:r>
      <w:r>
        <w:t xml:space="preserve"> </w:t>
      </w:r>
      <w:r w:rsidR="0009188E">
        <w:t>emprendimiento</w:t>
      </w:r>
      <w:r>
        <w:t xml:space="preserve"> </w:t>
      </w:r>
      <w:r w:rsidR="003902B2">
        <w:t>corresponde</w:t>
      </w:r>
      <w:r w:rsidR="00830812">
        <w:t>rá</w:t>
      </w:r>
      <w:r w:rsidR="003902B2">
        <w:t xml:space="preserve"> a </w:t>
      </w:r>
      <w:r>
        <w:t xml:space="preserve">los estados de </w:t>
      </w:r>
      <w:r w:rsidR="00305E12">
        <w:t>consciencia</w:t>
      </w:r>
      <w:r>
        <w:t xml:space="preserve"> y </w:t>
      </w:r>
      <w:r w:rsidR="003902B2">
        <w:t xml:space="preserve">a </w:t>
      </w:r>
      <w:r>
        <w:t>l</w:t>
      </w:r>
      <w:r w:rsidR="00D405B0">
        <w:t>a</w:t>
      </w:r>
      <w:r>
        <w:t xml:space="preserve">s </w:t>
      </w:r>
    </w:p>
    <w:p w14:paraId="30AF5F89" w14:textId="77777777" w:rsidR="00847CDB" w:rsidRPr="00847CDB" w:rsidRDefault="00847CDB" w:rsidP="00847CDB">
      <w:pPr>
        <w:pStyle w:val="PiedepginaLegal"/>
        <w:rPr>
          <w:u w:val="single"/>
        </w:rPr>
      </w:pPr>
      <w:r w:rsidRPr="00847CDB">
        <w:rPr>
          <w:u w:val="single"/>
        </w:rPr>
        <w:t xml:space="preserve">                                                                                                                                                 .</w:t>
      </w:r>
    </w:p>
    <w:p w14:paraId="71CED893" w14:textId="35B67914" w:rsidR="00B7235E" w:rsidRDefault="00847CDB" w:rsidP="00B7235E">
      <w:pPr>
        <w:pStyle w:val="PiedepginaLegal"/>
      </w:pPr>
      <w:r>
        <w:t xml:space="preserve">4. </w:t>
      </w:r>
      <w:r>
        <w:tab/>
        <w:t xml:space="preserve">Tales referencias al “Comentario” son del antiguo comentario cingalés, que ya no existe, del cual </w:t>
      </w:r>
      <w:proofErr w:type="spellStart"/>
      <w:r w:rsidRPr="004F3F2F">
        <w:t>Bhadantācariya</w:t>
      </w:r>
      <w:proofErr w:type="spellEnd"/>
      <w:r>
        <w:t xml:space="preserve"> </w:t>
      </w:r>
      <w:r w:rsidR="00057BF4" w:rsidRPr="001B579E">
        <w:rPr>
          <w:iCs/>
        </w:rPr>
        <w:t>Buddha</w:t>
      </w:r>
      <w:r w:rsidRPr="001B579E">
        <w:rPr>
          <w:iCs/>
        </w:rPr>
        <w:t>ghosa</w:t>
      </w:r>
      <w:r>
        <w:t xml:space="preserve"> extrajo su material.</w:t>
      </w:r>
      <w:r w:rsidR="00B7235E">
        <w:br w:type="page"/>
      </w:r>
    </w:p>
    <w:p w14:paraId="2EAC40E9" w14:textId="1FDA57CE" w:rsidR="005300B6" w:rsidRDefault="00D405B0" w:rsidP="003902B2">
      <w:pPr>
        <w:spacing w:after="60"/>
      </w:pPr>
      <w:r>
        <w:lastRenderedPageBreak/>
        <w:t>consciencias</w:t>
      </w:r>
      <w:r w:rsidRPr="003B01ED">
        <w:t>–concomitant</w:t>
      </w:r>
      <w:r>
        <w:t>es</w:t>
      </w:r>
      <w:r w:rsidR="00E23F5D">
        <w:t xml:space="preserve">. La volición del acto de emprender es la práctica </w:t>
      </w:r>
      <w:r w:rsidR="00656CF3" w:rsidRPr="00656CF3">
        <w:t>asceta</w:t>
      </w:r>
      <w:r w:rsidR="00E23F5D">
        <w:t>. Lo que se recha</w:t>
      </w:r>
      <w:r w:rsidR="00C913CD">
        <w:t>ce</w:t>
      </w:r>
      <w:r w:rsidR="00E23F5D">
        <w:t xml:space="preserve"> </w:t>
      </w:r>
      <w:r w:rsidR="00982E0B">
        <w:t>será el caso particular</w:t>
      </w:r>
      <w:r w:rsidR="003902B2">
        <w:t xml:space="preserve">”. Todos tienen la función de </w:t>
      </w:r>
      <w:r w:rsidR="005300B6">
        <w:t>elimina</w:t>
      </w:r>
      <w:r w:rsidR="00B74D29">
        <w:t>r</w:t>
      </w:r>
      <w:r w:rsidR="005300B6">
        <w:t xml:space="preserve"> la codicia, y se manifiestan </w:t>
      </w:r>
      <w:r w:rsidR="00982E0B">
        <w:t>a través</w:t>
      </w:r>
      <w:r w:rsidR="005300B6">
        <w:t xml:space="preserve"> la producción de la no</w:t>
      </w:r>
      <w:r w:rsidR="00EB40C2">
        <w:t>–</w:t>
      </w:r>
      <w:r w:rsidR="005300B6">
        <w:t xml:space="preserve">codicia. Tienen como causa próxima estados nobles consistentes </w:t>
      </w:r>
      <w:r w:rsidR="007C6436">
        <w:t>de</w:t>
      </w:r>
      <w:r w:rsidR="005300B6">
        <w:t xml:space="preserve"> la </w:t>
      </w:r>
      <w:r w:rsidR="00212907" w:rsidRPr="00212907">
        <w:t xml:space="preserve">carencia </w:t>
      </w:r>
      <w:r w:rsidR="005300B6">
        <w:t xml:space="preserve">de deseos, etc. [62] Así es como la exposición debe ser conocida </w:t>
      </w:r>
      <w:r w:rsidR="000B4F78">
        <w:t xml:space="preserve">aquí </w:t>
      </w:r>
      <w:r w:rsidR="005300B6">
        <w:t xml:space="preserve">en cuanto a </w:t>
      </w:r>
      <w:r w:rsidR="000B4F78">
        <w:t xml:space="preserve">su </w:t>
      </w:r>
      <w:r w:rsidR="005300B6" w:rsidRPr="004F3F2F">
        <w:rPr>
          <w:i/>
          <w:iCs/>
        </w:rPr>
        <w:t>característica</w:t>
      </w:r>
      <w:r w:rsidR="005300B6">
        <w:t>, etc.</w:t>
      </w:r>
    </w:p>
    <w:p w14:paraId="2142F161" w14:textId="09FE847B" w:rsidR="005300B6" w:rsidRDefault="005300B6" w:rsidP="005300B6">
      <w:r>
        <w:t xml:space="preserve">13. </w:t>
      </w:r>
      <w:r>
        <w:tab/>
        <w:t xml:space="preserve">3. Con respecto a los cinco que comienzan con el </w:t>
      </w:r>
      <w:r w:rsidR="002163B6" w:rsidRPr="002163B6">
        <w:rPr>
          <w:i/>
          <w:iCs/>
        </w:rPr>
        <w:t>emprendimiento</w:t>
      </w:r>
      <w:r>
        <w:t xml:space="preserve"> y las </w:t>
      </w:r>
      <w:r w:rsidR="00B77529">
        <w:rPr>
          <w:i/>
          <w:iCs/>
        </w:rPr>
        <w:t>indicaciones</w:t>
      </w:r>
      <w:r>
        <w:t xml:space="preserve">: durante la vida del </w:t>
      </w:r>
      <w:r w:rsidR="00511C11">
        <w:rPr>
          <w:i/>
          <w:iCs/>
        </w:rPr>
        <w:t xml:space="preserve">Bhagavā </w:t>
      </w:r>
      <w:r>
        <w:t xml:space="preserve">todas las prácticas </w:t>
      </w:r>
      <w:r w:rsidR="00656CF3" w:rsidRPr="00656CF3">
        <w:t xml:space="preserve">ascetas </w:t>
      </w:r>
      <w:r>
        <w:t>deb</w:t>
      </w:r>
      <w:r w:rsidR="00511C11">
        <w:t>ía</w:t>
      </w:r>
      <w:r>
        <w:t xml:space="preserve">n llevarse a cabo </w:t>
      </w:r>
      <w:r w:rsidR="00511C11">
        <w:t xml:space="preserve">ante </w:t>
      </w:r>
      <w:r>
        <w:t xml:space="preserve">la presencia del </w:t>
      </w:r>
      <w:r w:rsidR="00511C11">
        <w:rPr>
          <w:i/>
          <w:iCs/>
        </w:rPr>
        <w:t>Bhagavā</w:t>
      </w:r>
      <w:r>
        <w:t xml:space="preserve">. Después de alcanzar el </w:t>
      </w:r>
      <w:r w:rsidRPr="008A7618">
        <w:rPr>
          <w:i/>
          <w:iCs/>
        </w:rPr>
        <w:t>Nibbāna</w:t>
      </w:r>
      <w:r>
        <w:t>, esto deb</w:t>
      </w:r>
      <w:r w:rsidR="00E30B6D">
        <w:t>ía</w:t>
      </w:r>
      <w:r>
        <w:t xml:space="preserve"> hacerse en presencia de un discípulo principal. Cuando no est</w:t>
      </w:r>
      <w:r w:rsidR="00E30B6D">
        <w:t>aba</w:t>
      </w:r>
      <w:r>
        <w:t xml:space="preserve"> disponible, deb</w:t>
      </w:r>
      <w:r w:rsidR="00E30B6D">
        <w:t>ía</w:t>
      </w:r>
      <w:r>
        <w:t xml:space="preserve"> hacerse en presencia de alguien cuy</w:t>
      </w:r>
      <w:r w:rsidR="00F3165F">
        <w:t>a</w:t>
      </w:r>
      <w:r>
        <w:t xml:space="preserve">s </w:t>
      </w:r>
      <w:r w:rsidR="00F3165F">
        <w:t>corrupciones</w:t>
      </w:r>
      <w:r>
        <w:t xml:space="preserve"> </w:t>
      </w:r>
      <w:r w:rsidR="00E30B6D">
        <w:t xml:space="preserve">estuviesen </w:t>
      </w:r>
      <w:r>
        <w:t>destruid</w:t>
      </w:r>
      <w:r w:rsidR="00E30B6D">
        <w:t>a</w:t>
      </w:r>
      <w:r>
        <w:t xml:space="preserve">s, de </w:t>
      </w:r>
      <w:r w:rsidR="00F3165F">
        <w:t xml:space="preserve">un </w:t>
      </w:r>
      <w:r w:rsidR="00854EA5">
        <w:t xml:space="preserve">no </w:t>
      </w:r>
      <w:r w:rsidR="00F3165F">
        <w:t>retornante</w:t>
      </w:r>
      <w:r>
        <w:t xml:space="preserve">, de </w:t>
      </w:r>
      <w:r w:rsidR="00854EA5">
        <w:t>un retornante por única vez</w:t>
      </w:r>
      <w:r>
        <w:t xml:space="preserve">, de </w:t>
      </w:r>
      <w:r w:rsidR="00854EA5">
        <w:t>un</w:t>
      </w:r>
      <w:r>
        <w:t xml:space="preserve"> entra</w:t>
      </w:r>
      <w:r w:rsidR="00854EA5">
        <w:t>nte</w:t>
      </w:r>
      <w:r>
        <w:t xml:space="preserve"> </w:t>
      </w:r>
      <w:r w:rsidR="00854EA5">
        <w:t>a</w:t>
      </w:r>
      <w:r>
        <w:t xml:space="preserve"> la corriente, de alguien que </w:t>
      </w:r>
      <w:r w:rsidR="004F78C9">
        <w:t xml:space="preserve">conociese </w:t>
      </w:r>
      <w:r>
        <w:t xml:space="preserve">los tres </w:t>
      </w:r>
      <w:proofErr w:type="spellStart"/>
      <w:r w:rsidRPr="008A7618">
        <w:rPr>
          <w:i/>
          <w:iCs/>
        </w:rPr>
        <w:t>Piṭakas</w:t>
      </w:r>
      <w:proofErr w:type="spellEnd"/>
      <w:r>
        <w:t xml:space="preserve">, de alguien que </w:t>
      </w:r>
      <w:r w:rsidR="004F78C9">
        <w:t xml:space="preserve">conociese </w:t>
      </w:r>
      <w:r>
        <w:t xml:space="preserve">dos de los </w:t>
      </w:r>
      <w:proofErr w:type="spellStart"/>
      <w:r w:rsidRPr="008A7618">
        <w:rPr>
          <w:i/>
          <w:iCs/>
        </w:rPr>
        <w:t>Piṭakas</w:t>
      </w:r>
      <w:proofErr w:type="spellEnd"/>
      <w:r>
        <w:t xml:space="preserve">, de </w:t>
      </w:r>
      <w:r w:rsidR="00C07835">
        <w:t xml:space="preserve">alguien que </w:t>
      </w:r>
      <w:r w:rsidR="004F78C9">
        <w:t xml:space="preserve">conociese </w:t>
      </w:r>
      <w:r>
        <w:t xml:space="preserve">uno de los </w:t>
      </w:r>
      <w:proofErr w:type="spellStart"/>
      <w:r w:rsidRPr="008A7618">
        <w:rPr>
          <w:i/>
          <w:iCs/>
        </w:rPr>
        <w:t>Piṭakas</w:t>
      </w:r>
      <w:proofErr w:type="spellEnd"/>
      <w:r>
        <w:t xml:space="preserve">, de </w:t>
      </w:r>
      <w:r w:rsidR="00C07835">
        <w:t xml:space="preserve">alguien que </w:t>
      </w:r>
      <w:r w:rsidR="004F78C9">
        <w:t xml:space="preserve">conociese </w:t>
      </w:r>
      <w:r>
        <w:t>una Colección,</w:t>
      </w:r>
      <w:r w:rsidR="00667278">
        <w:rPr>
          <w:vertAlign w:val="superscript"/>
        </w:rPr>
        <w:t>5</w:t>
      </w:r>
      <w:r>
        <w:t xml:space="preserve"> de un maestro de los Comentarios. Cuando no esté disponible, deb</w:t>
      </w:r>
      <w:r w:rsidR="004F78C9">
        <w:t>ía</w:t>
      </w:r>
      <w:r>
        <w:t xml:space="preserve"> hacerse en presencia de un observador de una práctica </w:t>
      </w:r>
      <w:r w:rsidR="00656CF3" w:rsidRPr="00656CF3">
        <w:t>ascetas</w:t>
      </w:r>
      <w:r>
        <w:t xml:space="preserve">. Cuando él no </w:t>
      </w:r>
      <w:r w:rsidR="002D548C">
        <w:t xml:space="preserve">estuviese </w:t>
      </w:r>
      <w:r>
        <w:t xml:space="preserve">disponible, </w:t>
      </w:r>
      <w:r w:rsidR="002D548C">
        <w:t xml:space="preserve">entonces por parte </w:t>
      </w:r>
      <w:r>
        <w:t xml:space="preserve">de </w:t>
      </w:r>
      <w:r w:rsidR="00613BFE">
        <w:t xml:space="preserve">alguien </w:t>
      </w:r>
      <w:r w:rsidR="00C579FD">
        <w:t xml:space="preserve">que </w:t>
      </w:r>
      <w:r>
        <w:t>barr</w:t>
      </w:r>
      <w:r w:rsidR="002D548C">
        <w:t>iese</w:t>
      </w:r>
      <w:r>
        <w:t xml:space="preserve"> la terraza del santuario</w:t>
      </w:r>
      <w:r w:rsidR="00C579FD">
        <w:t>;</w:t>
      </w:r>
      <w:r>
        <w:t xml:space="preserve"> </w:t>
      </w:r>
      <w:r w:rsidR="00C579FD">
        <w:t xml:space="preserve">esto </w:t>
      </w:r>
      <w:r>
        <w:t xml:space="preserve">se </w:t>
      </w:r>
      <w:r w:rsidR="00935662">
        <w:t xml:space="preserve">podía </w:t>
      </w:r>
      <w:r>
        <w:t xml:space="preserve">realizar sentado en una postura reverencial como si </w:t>
      </w:r>
      <w:r w:rsidR="00C579FD">
        <w:t>se</w:t>
      </w:r>
      <w:r>
        <w:t xml:space="preserve"> pronunciara</w:t>
      </w:r>
      <w:r w:rsidR="00C579FD">
        <w:t>n</w:t>
      </w:r>
      <w:r>
        <w:t xml:space="preserve"> en presencia del Plenamente Iluminado. También está permitido realizarlos por uno mismo.</w:t>
      </w:r>
    </w:p>
    <w:p w14:paraId="2032DBB3" w14:textId="5D27A054" w:rsidR="005300B6" w:rsidRDefault="005300B6" w:rsidP="005300B6">
      <w:pPr>
        <w:pStyle w:val="NormalConSangria"/>
      </w:pPr>
      <w:r>
        <w:t xml:space="preserve">Y aquí debe contarse la historia del mayor de dos hermanos que eran </w:t>
      </w:r>
      <w:r w:rsidR="00C579FD">
        <w:t>Venerables</w:t>
      </w:r>
      <w:r>
        <w:t xml:space="preserve"> en </w:t>
      </w:r>
      <w:r w:rsidR="00935662">
        <w:br/>
      </w:r>
      <w:proofErr w:type="spellStart"/>
      <w:r>
        <w:t>Cetiyapabbata</w:t>
      </w:r>
      <w:proofErr w:type="spellEnd"/>
      <w:r>
        <w:t xml:space="preserve"> y su escasez de deseos con respecto a las prácticas </w:t>
      </w:r>
      <w:r w:rsidR="00656CF3" w:rsidRPr="00656CF3">
        <w:t>ascetas</w:t>
      </w:r>
      <w:r w:rsidR="00DF6377">
        <w:rPr>
          <w:vertAlign w:val="superscript"/>
        </w:rPr>
        <w:t>6</w:t>
      </w:r>
      <w:r>
        <w:t xml:space="preserve"> (M-a II 140).</w:t>
      </w:r>
    </w:p>
    <w:p w14:paraId="5A23241D" w14:textId="4B07BD4A" w:rsidR="005300B6" w:rsidRDefault="005300B6" w:rsidP="005300B6">
      <w:pPr>
        <w:pStyle w:val="NormalConSangria"/>
      </w:pPr>
      <w:r>
        <w:t>Esto, en primer lugar, s</w:t>
      </w:r>
      <w:r w:rsidR="002B03E0">
        <w:t>erá</w:t>
      </w:r>
      <w:r>
        <w:t xml:space="preserve"> lo que se aplica</w:t>
      </w:r>
      <w:r w:rsidR="002B03E0">
        <w:t>rá</w:t>
      </w:r>
      <w:r>
        <w:t xml:space="preserve"> a todas [las prácticas].</w:t>
      </w:r>
    </w:p>
    <w:p w14:paraId="112D4E52" w14:textId="6D31DD32" w:rsidR="005300B6" w:rsidRDefault="005300B6" w:rsidP="005300B6">
      <w:r>
        <w:t xml:space="preserve">14. </w:t>
      </w:r>
      <w:r>
        <w:tab/>
        <w:t>Ahora</w:t>
      </w:r>
      <w:r w:rsidR="00C579FD">
        <w:t xml:space="preserve"> bien</w:t>
      </w:r>
      <w:r>
        <w:t xml:space="preserve">, pasaremos a comentar el </w:t>
      </w:r>
      <w:r w:rsidR="002B03E0">
        <w:t>emprendimiento</w:t>
      </w:r>
      <w:r>
        <w:t xml:space="preserve">, </w:t>
      </w:r>
      <w:proofErr w:type="gramStart"/>
      <w:r w:rsidR="005D3C67">
        <w:t>la indicaciones</w:t>
      </w:r>
      <w:proofErr w:type="gramEnd"/>
      <w:r>
        <w:t xml:space="preserve">, </w:t>
      </w:r>
      <w:r w:rsidR="005D3C67">
        <w:t xml:space="preserve">el </w:t>
      </w:r>
      <w:r>
        <w:t xml:space="preserve">grado, </w:t>
      </w:r>
      <w:r w:rsidR="005D3C67">
        <w:t xml:space="preserve">el </w:t>
      </w:r>
      <w:r>
        <w:t xml:space="preserve">incumplimiento y </w:t>
      </w:r>
      <w:r w:rsidR="005D3C67">
        <w:t xml:space="preserve">los </w:t>
      </w:r>
      <w:r>
        <w:t>beneficios, de cada un</w:t>
      </w:r>
      <w:r w:rsidR="002B03E0">
        <w:t xml:space="preserve">a de las prácticas </w:t>
      </w:r>
      <w:r w:rsidR="00656CF3" w:rsidRPr="00656CF3">
        <w:t xml:space="preserve">ascetas </w:t>
      </w:r>
      <w:r>
        <w:t>[</w:t>
      </w:r>
      <w:r w:rsidR="002B03E0">
        <w:t>individualmente</w:t>
      </w:r>
      <w:r>
        <w:t>].</w:t>
      </w:r>
    </w:p>
    <w:p w14:paraId="122254D7" w14:textId="65D9555E" w:rsidR="005300B6" w:rsidRDefault="005D3C67" w:rsidP="004D491C">
      <w:pPr>
        <w:pStyle w:val="NormalConSangria"/>
      </w:pPr>
      <w:r>
        <w:tab/>
      </w:r>
      <w:r w:rsidR="005300B6">
        <w:t xml:space="preserve">i. En primer lugar, </w:t>
      </w:r>
      <w:r w:rsidR="005300B6" w:rsidRPr="008A7618">
        <w:rPr>
          <w:i/>
          <w:iCs/>
        </w:rPr>
        <w:t xml:space="preserve">la práctica del portador de harapos </w:t>
      </w:r>
      <w:r>
        <w:rPr>
          <w:i/>
          <w:iCs/>
        </w:rPr>
        <w:t>desechados</w:t>
      </w:r>
      <w:r w:rsidR="005300B6" w:rsidRPr="008A7618">
        <w:rPr>
          <w:i/>
          <w:iCs/>
        </w:rPr>
        <w:t xml:space="preserve"> </w:t>
      </w:r>
      <w:r w:rsidR="005300B6" w:rsidRPr="002B03E0">
        <w:t>se</w:t>
      </w:r>
      <w:r w:rsidR="005300B6" w:rsidRPr="008A7618">
        <w:rPr>
          <w:i/>
          <w:iCs/>
        </w:rPr>
        <w:t xml:space="preserve"> </w:t>
      </w:r>
      <w:r w:rsidR="002B03E0">
        <w:rPr>
          <w:i/>
          <w:iCs/>
        </w:rPr>
        <w:t xml:space="preserve">emprende </w:t>
      </w:r>
      <w:r w:rsidR="005300B6">
        <w:t>con una de estas dos afirmaciones: "Rechazo l</w:t>
      </w:r>
      <w:r>
        <w:t>o</w:t>
      </w:r>
      <w:r w:rsidR="005300B6">
        <w:t xml:space="preserve">s </w:t>
      </w:r>
      <w:r>
        <w:t>ropajes</w:t>
      </w:r>
      <w:r w:rsidR="005300B6">
        <w:t xml:space="preserve"> que me </w:t>
      </w:r>
      <w:r>
        <w:t>sea</w:t>
      </w:r>
      <w:r w:rsidR="00F52294">
        <w:t>n</w:t>
      </w:r>
      <w:r>
        <w:t xml:space="preserve"> ofrecidos por los laicos </w:t>
      </w:r>
      <w:r w:rsidR="005300B6">
        <w:t>" o "</w:t>
      </w:r>
      <w:r w:rsidR="00F52294">
        <w:t>Emprendo</w:t>
      </w:r>
      <w:r w:rsidR="005300B6">
        <w:t xml:space="preserve"> la práctica del portador de harapos </w:t>
      </w:r>
      <w:r>
        <w:t>desechados</w:t>
      </w:r>
      <w:r w:rsidR="005300B6">
        <w:t xml:space="preserve">". Esto, en primer lugar, es el </w:t>
      </w:r>
      <w:r w:rsidR="00F52294" w:rsidRPr="00F52294">
        <w:rPr>
          <w:i/>
          <w:iCs/>
        </w:rPr>
        <w:t>emprendimiento</w:t>
      </w:r>
      <w:r w:rsidR="005300B6">
        <w:t>.</w:t>
      </w:r>
    </w:p>
    <w:p w14:paraId="4A1D86A9" w14:textId="29A5AB82" w:rsidR="005300B6" w:rsidRDefault="005300B6" w:rsidP="005300B6">
      <w:r>
        <w:t xml:space="preserve">15. </w:t>
      </w:r>
      <w:r w:rsidR="004D491C">
        <w:tab/>
      </w:r>
      <w:r>
        <w:t xml:space="preserve">El que haya hecho esto debe obtener </w:t>
      </w:r>
      <w:r w:rsidR="00BD5E01">
        <w:t>el</w:t>
      </w:r>
      <w:r w:rsidR="00AA7EFA">
        <w:t xml:space="preserve"> ropaje</w:t>
      </w:r>
      <w:r>
        <w:t xml:space="preserve"> de uno de los siguientes tipos: de </w:t>
      </w:r>
      <w:r w:rsidR="00793E07">
        <w:t xml:space="preserve">los harapos de </w:t>
      </w:r>
      <w:r>
        <w:t xml:space="preserve">un cementerio, de un tienda, de una calle, de un basurero, </w:t>
      </w:r>
      <w:r w:rsidR="00FC15C8" w:rsidRPr="00FC15C8">
        <w:t xml:space="preserve">del lugar de un </w:t>
      </w:r>
      <w:r w:rsidR="0010609E">
        <w:t>parto</w:t>
      </w:r>
      <w:r>
        <w:t xml:space="preserve">, de </w:t>
      </w:r>
      <w:r w:rsidR="00A6453A">
        <w:t xml:space="preserve">una </w:t>
      </w:r>
      <w:r>
        <w:t xml:space="preserve">ablución, de un lavadero, </w:t>
      </w:r>
      <w:r w:rsidR="00F52294">
        <w:t>el</w:t>
      </w:r>
      <w:r>
        <w:t xml:space="preserve"> </w:t>
      </w:r>
      <w:r w:rsidR="00F52294">
        <w:t>des</w:t>
      </w:r>
      <w:r>
        <w:t>gastad</w:t>
      </w:r>
      <w:r w:rsidR="00A6453A">
        <w:t>o</w:t>
      </w:r>
      <w:r>
        <w:t xml:space="preserve"> </w:t>
      </w:r>
      <w:r w:rsidR="00A6453A">
        <w:t>de ir y venir</w:t>
      </w:r>
      <w:r>
        <w:t xml:space="preserve"> [de</w:t>
      </w:r>
      <w:r w:rsidR="00A6453A">
        <w:t xml:space="preserve"> un</w:t>
      </w:r>
      <w:r>
        <w:t xml:space="preserve"> osario], un</w:t>
      </w:r>
      <w:r w:rsidR="00A6453A">
        <w:t>o</w:t>
      </w:r>
      <w:r>
        <w:t xml:space="preserve"> chamuscad</w:t>
      </w:r>
      <w:r w:rsidR="00A6453A">
        <w:t>o</w:t>
      </w:r>
      <w:r>
        <w:t xml:space="preserve"> por el fuego, un</w:t>
      </w:r>
      <w:r w:rsidR="00A6453A">
        <w:t>o</w:t>
      </w:r>
      <w:r>
        <w:t xml:space="preserve"> roíd</w:t>
      </w:r>
      <w:r w:rsidR="00A6453A">
        <w:t>o</w:t>
      </w:r>
      <w:r>
        <w:t xml:space="preserve"> por el ganado, un</w:t>
      </w:r>
      <w:r w:rsidR="00A6453A">
        <w:t>o</w:t>
      </w:r>
      <w:r>
        <w:t xml:space="preserve"> roíd</w:t>
      </w:r>
      <w:r w:rsidR="00A6453A">
        <w:t>o</w:t>
      </w:r>
      <w:r>
        <w:t xml:space="preserve"> por las hormigas, un</w:t>
      </w:r>
      <w:r w:rsidR="00A6453A">
        <w:t>o</w:t>
      </w:r>
      <w:r>
        <w:t xml:space="preserve"> roíd</w:t>
      </w:r>
      <w:r w:rsidR="00A6453A">
        <w:t>o</w:t>
      </w:r>
      <w:r>
        <w:t xml:space="preserve"> por las ratas, un</w:t>
      </w:r>
      <w:r w:rsidR="00A6453A">
        <w:t>o</w:t>
      </w:r>
      <w:r>
        <w:t xml:space="preserve"> cortad</w:t>
      </w:r>
      <w:r w:rsidR="00A6453A">
        <w:t>o</w:t>
      </w:r>
      <w:r>
        <w:t xml:space="preserve"> en </w:t>
      </w:r>
      <w:r w:rsidR="00A6453A">
        <w:t>un</w:t>
      </w:r>
      <w:r>
        <w:t xml:space="preserve"> extremo, un</w:t>
      </w:r>
      <w:r w:rsidR="00A6453A">
        <w:t>o</w:t>
      </w:r>
      <w:r>
        <w:t xml:space="preserve"> cortad</w:t>
      </w:r>
      <w:r w:rsidR="00A6453A">
        <w:t>o</w:t>
      </w:r>
      <w:r>
        <w:t xml:space="preserve"> en </w:t>
      </w:r>
      <w:r w:rsidR="00A6453A">
        <w:t>un</w:t>
      </w:r>
      <w:r>
        <w:t xml:space="preserve"> borde, uno llevado como bandera, de un santuario, de </w:t>
      </w:r>
      <w:r w:rsidR="00AA7EFA">
        <w:t xml:space="preserve">un </w:t>
      </w:r>
      <w:r>
        <w:t xml:space="preserve">asceta, </w:t>
      </w:r>
      <w:r w:rsidR="00AA7EFA">
        <w:t xml:space="preserve">de </w:t>
      </w:r>
      <w:r>
        <w:t xml:space="preserve">una consagración, uno producido por un poder sobrenatural, de una carretera, uno llevado por el viento, uno presentado por deidades, uno del mar. Tomando una de estas telas </w:t>
      </w:r>
      <w:r w:rsidR="00A6453A">
        <w:t>para fabricar el</w:t>
      </w:r>
      <w:r>
        <w:t xml:space="preserve"> </w:t>
      </w:r>
      <w:r w:rsidR="00AA7EFA">
        <w:t>ropaje</w:t>
      </w:r>
      <w:r>
        <w:t>, debe</w:t>
      </w:r>
      <w:r w:rsidR="00B80941">
        <w:t>rá</w:t>
      </w:r>
      <w:r>
        <w:t xml:space="preserve"> arrancar y desechar las partes débiles, y luego lavar las partes sanas y confeccionar </w:t>
      </w:r>
      <w:r w:rsidR="00A6453A">
        <w:t>todo el</w:t>
      </w:r>
      <w:r>
        <w:t xml:space="preserve"> </w:t>
      </w:r>
      <w:r w:rsidR="00AA7EFA">
        <w:t>ropaje</w:t>
      </w:r>
      <w:r>
        <w:t xml:space="preserve">. </w:t>
      </w:r>
      <w:r w:rsidR="001B4295">
        <w:t xml:space="preserve">Podrá </w:t>
      </w:r>
      <w:r>
        <w:t xml:space="preserve">usarlo después de deshacerse del </w:t>
      </w:r>
      <w:r w:rsidR="00F66713">
        <w:t xml:space="preserve">ropaje antiguo </w:t>
      </w:r>
      <w:r>
        <w:t xml:space="preserve">que le </w:t>
      </w:r>
      <w:r w:rsidR="00F66713">
        <w:t>hayan ofrecido</w:t>
      </w:r>
      <w:r>
        <w:t xml:space="preserve"> los </w:t>
      </w:r>
      <w:r w:rsidR="001B4295">
        <w:t>laicos</w:t>
      </w:r>
      <w:r>
        <w:t>.</w:t>
      </w:r>
    </w:p>
    <w:p w14:paraId="69C3D0F7" w14:textId="53B16BAC" w:rsidR="005300B6" w:rsidRDefault="005300B6" w:rsidP="005300B6">
      <w:r>
        <w:t xml:space="preserve">16. </w:t>
      </w:r>
      <w:r w:rsidR="004D491C">
        <w:tab/>
      </w:r>
      <w:r>
        <w:t>Aquí, “</w:t>
      </w:r>
      <w:r w:rsidR="003159CB">
        <w:rPr>
          <w:i/>
          <w:iCs/>
        </w:rPr>
        <w:t>el</w:t>
      </w:r>
      <w:r w:rsidR="00B80941">
        <w:rPr>
          <w:i/>
          <w:iCs/>
        </w:rPr>
        <w:t xml:space="preserve"> </w:t>
      </w:r>
      <w:r w:rsidR="001B4295">
        <w:rPr>
          <w:i/>
          <w:iCs/>
        </w:rPr>
        <w:t>harapo</w:t>
      </w:r>
      <w:r w:rsidRPr="00A12926">
        <w:rPr>
          <w:i/>
          <w:iCs/>
        </w:rPr>
        <w:t xml:space="preserve"> de un osario</w:t>
      </w:r>
      <w:r>
        <w:t>” es uno arrojado sobre un osario.</w:t>
      </w:r>
    </w:p>
    <w:p w14:paraId="18349030" w14:textId="77777777" w:rsidR="005300B6" w:rsidRPr="004D491C" w:rsidRDefault="005300B6" w:rsidP="004D491C">
      <w:pPr>
        <w:pStyle w:val="PiedepginaLegal"/>
        <w:rPr>
          <w:u w:val="single"/>
        </w:rPr>
      </w:pPr>
      <w:r w:rsidRPr="004D491C">
        <w:rPr>
          <w:u w:val="single"/>
        </w:rPr>
        <w:t xml:space="preserve">                                                                                                                                                 .</w:t>
      </w:r>
    </w:p>
    <w:p w14:paraId="338C4FF7" w14:textId="1A8DCE4B" w:rsidR="005300B6" w:rsidRDefault="00EF4317" w:rsidP="004D491C">
      <w:pPr>
        <w:pStyle w:val="PiedepginaLegal"/>
      </w:pPr>
      <w:r>
        <w:t>5</w:t>
      </w:r>
      <w:r w:rsidR="005300B6">
        <w:t xml:space="preserve">. </w:t>
      </w:r>
      <w:r w:rsidR="004D491C">
        <w:tab/>
      </w:r>
      <w:r w:rsidR="005300B6">
        <w:t>“‘</w:t>
      </w:r>
      <w:proofErr w:type="spellStart"/>
      <w:r w:rsidR="005300B6" w:rsidRPr="00EF4317">
        <w:rPr>
          <w:i/>
          <w:iCs/>
        </w:rPr>
        <w:t>Ekasa</w:t>
      </w:r>
      <w:r w:rsidRPr="00EF4317">
        <w:rPr>
          <w:i/>
          <w:iCs/>
        </w:rPr>
        <w:t>ṅ</w:t>
      </w:r>
      <w:r w:rsidR="005300B6" w:rsidRPr="00EF4317">
        <w:rPr>
          <w:i/>
          <w:iCs/>
        </w:rPr>
        <w:t>g</w:t>
      </w:r>
      <w:r w:rsidRPr="00EF4317">
        <w:rPr>
          <w:i/>
          <w:iCs/>
        </w:rPr>
        <w:t>ī</w:t>
      </w:r>
      <w:r w:rsidR="005300B6" w:rsidRPr="00EF4317">
        <w:rPr>
          <w:i/>
          <w:iCs/>
        </w:rPr>
        <w:t>tika</w:t>
      </w:r>
      <w:proofErr w:type="spellEnd"/>
      <w:r w:rsidR="005300B6" w:rsidRPr="00EF4317">
        <w:rPr>
          <w:i/>
          <w:iCs/>
        </w:rPr>
        <w:t>’</w:t>
      </w:r>
      <w:r w:rsidR="005300B6">
        <w:t>: aquel que conoce una de las cinco colecciones (</w:t>
      </w:r>
      <w:proofErr w:type="spellStart"/>
      <w:r w:rsidR="005300B6" w:rsidRPr="00EF4317">
        <w:rPr>
          <w:i/>
          <w:iCs/>
        </w:rPr>
        <w:t>nikāya</w:t>
      </w:r>
      <w:proofErr w:type="spellEnd"/>
      <w:r w:rsidR="005300B6">
        <w:t xml:space="preserve">) comenzando con la Colección de </w:t>
      </w:r>
      <w:r w:rsidR="003159CB">
        <w:t xml:space="preserve">los </w:t>
      </w:r>
      <w:r w:rsidR="005300B6" w:rsidRPr="003159CB">
        <w:rPr>
          <w:i/>
          <w:iCs/>
        </w:rPr>
        <w:t>Discursos Largos</w:t>
      </w:r>
      <w:r w:rsidR="005300B6">
        <w:t xml:space="preserve"> (</w:t>
      </w:r>
      <w:r w:rsidR="005300B6" w:rsidRPr="003159CB">
        <w:rPr>
          <w:i/>
          <w:iCs/>
        </w:rPr>
        <w:t>Dīgha Nikāy</w:t>
      </w:r>
      <w:r w:rsidR="005300B6">
        <w:t>a). (</w:t>
      </w:r>
      <w:proofErr w:type="spellStart"/>
      <w:r w:rsidR="005300B6">
        <w:t>Vism-mhṭ</w:t>
      </w:r>
      <w:proofErr w:type="spellEnd"/>
      <w:r w:rsidR="005300B6">
        <w:t xml:space="preserve"> 76)”</w:t>
      </w:r>
    </w:p>
    <w:p w14:paraId="40B5839D" w14:textId="5B962EAC" w:rsidR="00F74BA8" w:rsidRDefault="00EF4317" w:rsidP="004D491C">
      <w:pPr>
        <w:pStyle w:val="PiedepginaLegal"/>
      </w:pPr>
      <w:r>
        <w:t>6</w:t>
      </w:r>
      <w:r w:rsidR="005300B6">
        <w:t>.</w:t>
      </w:r>
      <w:r w:rsidR="004D491C">
        <w:tab/>
      </w:r>
      <w:r w:rsidR="005300B6">
        <w:t xml:space="preserve"> “Ese </w:t>
      </w:r>
      <w:r w:rsidR="003159CB">
        <w:t>Venerable</w:t>
      </w:r>
      <w:r w:rsidR="005300B6">
        <w:t xml:space="preserve">, al parecer, era </w:t>
      </w:r>
      <w:r w:rsidR="000F21B8">
        <w:t>alguien que habitaba sentado</w:t>
      </w:r>
      <w:r w:rsidR="005300B6">
        <w:t xml:space="preserve">, pero nadie lo sabía. Entonces una noche otro lo vio a la luz de un relámpago sentado </w:t>
      </w:r>
      <w:r w:rsidR="000F21B8">
        <w:t>de</w:t>
      </w:r>
      <w:r w:rsidR="005300B6">
        <w:t xml:space="preserve"> su cama. Él preguntó: '¿Es usted un </w:t>
      </w:r>
      <w:r w:rsidR="00AA188C">
        <w:t>practicante de habitar sentado</w:t>
      </w:r>
      <w:r w:rsidR="005300B6">
        <w:t xml:space="preserve">, </w:t>
      </w:r>
      <w:r w:rsidR="00AA188C">
        <w:t>Venerable Señor</w:t>
      </w:r>
      <w:r w:rsidR="005300B6">
        <w:t xml:space="preserve">?' Debido a la escasez de deseos de que su práctica </w:t>
      </w:r>
      <w:r w:rsidR="00656CF3" w:rsidRPr="00656CF3">
        <w:t xml:space="preserve">ascetas </w:t>
      </w:r>
      <w:r w:rsidR="005300B6">
        <w:t xml:space="preserve">fuera conocida, el </w:t>
      </w:r>
      <w:r w:rsidR="00AA188C">
        <w:t xml:space="preserve">Venerable </w:t>
      </w:r>
      <w:r w:rsidR="005300B6">
        <w:t xml:space="preserve">se </w:t>
      </w:r>
      <w:r w:rsidR="00A4502C">
        <w:t>re</w:t>
      </w:r>
      <w:r w:rsidR="005300B6">
        <w:t xml:space="preserve">costó. Posteriormente emprendió la práctica de nuevo. Así </w:t>
      </w:r>
      <w:r w:rsidR="005C7E6D">
        <w:t>es cómo</w:t>
      </w:r>
      <w:r w:rsidR="005300B6">
        <w:t xml:space="preserve"> la historia ha </w:t>
      </w:r>
      <w:r w:rsidR="00A4502C">
        <w:t>sido transmitida</w:t>
      </w:r>
      <w:r w:rsidR="005300B6">
        <w:t>. (</w:t>
      </w:r>
      <w:proofErr w:type="spellStart"/>
      <w:r w:rsidR="005300B6">
        <w:t>Vism-mhṭ</w:t>
      </w:r>
      <w:proofErr w:type="spellEnd"/>
      <w:r w:rsidR="005300B6">
        <w:t xml:space="preserve"> 77)”</w:t>
      </w:r>
      <w:r w:rsidR="00F74BA8">
        <w:t>.</w:t>
      </w:r>
    </w:p>
    <w:p w14:paraId="2F18FA5C" w14:textId="77777777" w:rsidR="00F74BA8" w:rsidRDefault="00F74BA8">
      <w:pPr>
        <w:tabs>
          <w:tab w:val="clear" w:pos="425"/>
        </w:tabs>
        <w:spacing w:after="160"/>
      </w:pPr>
      <w:r>
        <w:br w:type="page"/>
      </w:r>
    </w:p>
    <w:p w14:paraId="6ED3AE25" w14:textId="182278B3" w:rsidR="00F74BA8" w:rsidRDefault="00F74BA8" w:rsidP="00134BB0">
      <w:pPr>
        <w:pStyle w:val="NormalConSangria"/>
        <w:spacing w:after="60"/>
      </w:pPr>
      <w:r>
        <w:lastRenderedPageBreak/>
        <w:t>“</w:t>
      </w:r>
      <w:r w:rsidRPr="00A12926">
        <w:rPr>
          <w:i/>
          <w:iCs/>
        </w:rPr>
        <w:t>de una tienda</w:t>
      </w:r>
      <w:r>
        <w:t xml:space="preserve">” </w:t>
      </w:r>
      <w:r w:rsidR="005C7E6D">
        <w:t xml:space="preserve">es un harapo </w:t>
      </w:r>
      <w:r>
        <w:t>que se deja caer en la puerta de una tienda.</w:t>
      </w:r>
    </w:p>
    <w:p w14:paraId="49CCBB46" w14:textId="4852D5A6" w:rsidR="00F74BA8" w:rsidRDefault="00F74BA8" w:rsidP="00134BB0">
      <w:pPr>
        <w:pStyle w:val="NormalConSangria"/>
        <w:spacing w:after="60"/>
      </w:pPr>
      <w:r>
        <w:t>“</w:t>
      </w:r>
      <w:r w:rsidRPr="00A12926">
        <w:rPr>
          <w:i/>
          <w:iCs/>
        </w:rPr>
        <w:t>de la calle</w:t>
      </w:r>
      <w:r>
        <w:t xml:space="preserve">” es un </w:t>
      </w:r>
      <w:r w:rsidR="00A4502C">
        <w:t>harapo</w:t>
      </w:r>
      <w:r>
        <w:t xml:space="preserve"> tirado a la calle desde el interior de una ventana por aquellos que </w:t>
      </w:r>
      <w:r w:rsidR="0064327C">
        <w:t>procuran</w:t>
      </w:r>
      <w:r>
        <w:t xml:space="preserve"> mérito</w:t>
      </w:r>
      <w:r w:rsidR="0064327C">
        <w:t>s</w:t>
      </w:r>
      <w:r>
        <w:t>.</w:t>
      </w:r>
    </w:p>
    <w:p w14:paraId="4E3953C1" w14:textId="60A70AE2" w:rsidR="00F74BA8" w:rsidRDefault="00F74BA8" w:rsidP="00134BB0">
      <w:pPr>
        <w:pStyle w:val="NormalConSangria"/>
        <w:spacing w:after="60"/>
      </w:pPr>
      <w:r>
        <w:t>“</w:t>
      </w:r>
      <w:r w:rsidRPr="00A12926">
        <w:rPr>
          <w:i/>
          <w:iCs/>
        </w:rPr>
        <w:t>de un basurero</w:t>
      </w:r>
      <w:r>
        <w:t xml:space="preserve">” [63] es un </w:t>
      </w:r>
      <w:r w:rsidR="00E503DF">
        <w:t xml:space="preserve">harapo </w:t>
      </w:r>
      <w:r>
        <w:t>tirad</w:t>
      </w:r>
      <w:r w:rsidR="00834B2D">
        <w:t>o</w:t>
      </w:r>
      <w:r>
        <w:t xml:space="preserve"> en un lugar </w:t>
      </w:r>
      <w:r w:rsidR="00834B2D">
        <w:t>de</w:t>
      </w:r>
      <w:r>
        <w:t xml:space="preserve"> </w:t>
      </w:r>
      <w:r w:rsidR="00834B2D">
        <w:t>desechos</w:t>
      </w:r>
      <w:r>
        <w:t>.</w:t>
      </w:r>
    </w:p>
    <w:p w14:paraId="084EFF77" w14:textId="70D23B0B" w:rsidR="00F74BA8" w:rsidRDefault="00F74BA8" w:rsidP="00134BB0">
      <w:pPr>
        <w:pStyle w:val="NormalConSangria"/>
        <w:spacing w:after="60"/>
      </w:pPr>
      <w:r>
        <w:t>“</w:t>
      </w:r>
      <w:r w:rsidRPr="00A12926">
        <w:rPr>
          <w:i/>
          <w:iCs/>
        </w:rPr>
        <w:t>de</w:t>
      </w:r>
      <w:r w:rsidR="00FC15C8">
        <w:rPr>
          <w:i/>
          <w:iCs/>
        </w:rPr>
        <w:t>l lugar de</w:t>
      </w:r>
      <w:r w:rsidRPr="00A12926">
        <w:rPr>
          <w:i/>
          <w:iCs/>
        </w:rPr>
        <w:t xml:space="preserve"> un </w:t>
      </w:r>
      <w:r w:rsidR="0010609E">
        <w:rPr>
          <w:i/>
          <w:iCs/>
        </w:rPr>
        <w:t>parto</w:t>
      </w:r>
      <w:r>
        <w:t xml:space="preserve">” es un </w:t>
      </w:r>
      <w:r w:rsidR="00E503DF">
        <w:t xml:space="preserve">harapo </w:t>
      </w:r>
      <w:r>
        <w:t>que se tira después de limpiar con él las manchas de</w:t>
      </w:r>
      <w:r w:rsidR="00FC15C8">
        <w:t xml:space="preserve"> un</w:t>
      </w:r>
      <w:r>
        <w:t xml:space="preserve"> parto. A la madre de </w:t>
      </w:r>
      <w:proofErr w:type="spellStart"/>
      <w:r>
        <w:t>Tissa</w:t>
      </w:r>
      <w:proofErr w:type="spellEnd"/>
      <w:r>
        <w:t xml:space="preserve">, </w:t>
      </w:r>
      <w:r w:rsidR="0010609E">
        <w:t>e</w:t>
      </w:r>
      <w:r>
        <w:t>l ministr</w:t>
      </w:r>
      <w:r w:rsidR="0010609E">
        <w:t>o</w:t>
      </w:r>
      <w:r>
        <w:t>, al parecer, le limpiaron las manchas de</w:t>
      </w:r>
      <w:r w:rsidR="0010609E">
        <w:t xml:space="preserve"> un</w:t>
      </w:r>
      <w:r>
        <w:t xml:space="preserve"> parto con un paño que valía cien [</w:t>
      </w:r>
      <w:r w:rsidR="0010609E">
        <w:t>monedas</w:t>
      </w:r>
      <w:r>
        <w:t>] y, pensando: "Los que us</w:t>
      </w:r>
      <w:r w:rsidR="00FC15C8">
        <w:t>e</w:t>
      </w:r>
      <w:r>
        <w:t xml:space="preserve">n </w:t>
      </w:r>
      <w:r w:rsidR="00FC15C8">
        <w:t>harapos desechados</w:t>
      </w:r>
      <w:r>
        <w:t xml:space="preserve"> se lo llevarán", lo arrojó a la carretera de Tālaveli.</w:t>
      </w:r>
      <w:r w:rsidR="00DF6377">
        <w:rPr>
          <w:vertAlign w:val="superscript"/>
        </w:rPr>
        <w:t>7</w:t>
      </w:r>
      <w:r>
        <w:t xml:space="preserve"> Los </w:t>
      </w:r>
      <w:proofErr w:type="spellStart"/>
      <w:r w:rsidR="00FC15C8">
        <w:rPr>
          <w:i/>
          <w:iCs/>
        </w:rPr>
        <w:t>bhikkhus</w:t>
      </w:r>
      <w:proofErr w:type="spellEnd"/>
      <w:r>
        <w:t xml:space="preserve"> lo tomaron con el propósito de reparar </w:t>
      </w:r>
      <w:r w:rsidR="0082631B">
        <w:t>las partes</w:t>
      </w:r>
      <w:r>
        <w:t xml:space="preserve"> desgastad</w:t>
      </w:r>
      <w:r w:rsidR="0082631B">
        <w:t>a</w:t>
      </w:r>
      <w:r>
        <w:t>s</w:t>
      </w:r>
      <w:r w:rsidR="0082631B">
        <w:t xml:space="preserve"> de sus ropajes</w:t>
      </w:r>
      <w:r>
        <w:t>.</w:t>
      </w:r>
    </w:p>
    <w:p w14:paraId="59AB1E5E" w14:textId="60B40769" w:rsidR="00F74BA8" w:rsidRDefault="00F74BA8" w:rsidP="00134BB0">
      <w:pPr>
        <w:spacing w:after="60"/>
      </w:pPr>
      <w:r>
        <w:t xml:space="preserve">17. </w:t>
      </w:r>
      <w:r>
        <w:tab/>
        <w:t>“</w:t>
      </w:r>
      <w:r w:rsidRPr="00A12926">
        <w:rPr>
          <w:i/>
          <w:iCs/>
        </w:rPr>
        <w:t xml:space="preserve">de </w:t>
      </w:r>
      <w:r w:rsidR="0082631B">
        <w:rPr>
          <w:i/>
          <w:iCs/>
        </w:rPr>
        <w:t xml:space="preserve">la </w:t>
      </w:r>
      <w:r w:rsidRPr="00A12926">
        <w:rPr>
          <w:i/>
          <w:iCs/>
        </w:rPr>
        <w:t>ablución</w:t>
      </w:r>
      <w:r>
        <w:t xml:space="preserve">” es aquel </w:t>
      </w:r>
      <w:r w:rsidR="003E6FA9">
        <w:t xml:space="preserve">con </w:t>
      </w:r>
      <w:r w:rsidR="00155D75">
        <w:t>e</w:t>
      </w:r>
      <w:r w:rsidR="003E6FA9">
        <w:t>l cual</w:t>
      </w:r>
      <w:r>
        <w:t xml:space="preserve"> las personas </w:t>
      </w:r>
      <w:r w:rsidR="00ED0B12">
        <w:t xml:space="preserve">son bañadas </w:t>
      </w:r>
      <w:r w:rsidR="00155D75">
        <w:t xml:space="preserve">por </w:t>
      </w:r>
      <w:r>
        <w:t xml:space="preserve">los </w:t>
      </w:r>
      <w:r w:rsidR="004F375D">
        <w:t>doctores</w:t>
      </w:r>
      <w:r>
        <w:t xml:space="preserve"> </w:t>
      </w:r>
      <w:r w:rsidR="00155D75">
        <w:t xml:space="preserve">de </w:t>
      </w:r>
      <w:r>
        <w:t>diablo</w:t>
      </w:r>
      <w:r w:rsidR="00155D75">
        <w:t>s</w:t>
      </w:r>
      <w:r>
        <w:t>, incluyendo sus cabezas, suelen tirar</w:t>
      </w:r>
      <w:r w:rsidR="00ED0B12">
        <w:t>los</w:t>
      </w:r>
      <w:r>
        <w:t xml:space="preserve"> como un “</w:t>
      </w:r>
      <w:r w:rsidR="00ED0B12">
        <w:t xml:space="preserve">harapo </w:t>
      </w:r>
      <w:r>
        <w:t>de mala suerte”.</w:t>
      </w:r>
    </w:p>
    <w:p w14:paraId="14B8E773" w14:textId="1B979986" w:rsidR="00F74BA8" w:rsidRDefault="00155D75" w:rsidP="00134BB0">
      <w:pPr>
        <w:pStyle w:val="NormalConSangria"/>
        <w:spacing w:after="60"/>
      </w:pPr>
      <w:r>
        <w:tab/>
      </w:r>
      <w:r w:rsidR="00F74BA8">
        <w:t>“</w:t>
      </w:r>
      <w:r w:rsidR="00F74BA8" w:rsidRPr="00A12926">
        <w:rPr>
          <w:i/>
          <w:iCs/>
        </w:rPr>
        <w:t>del lugar de lavado</w:t>
      </w:r>
      <w:r w:rsidR="00F74BA8">
        <w:t xml:space="preserve">” son trapos tirados en un lugar de lavado donde </w:t>
      </w:r>
      <w:r w:rsidR="00C16937">
        <w:t>la gente se baña</w:t>
      </w:r>
      <w:r w:rsidR="00F74BA8">
        <w:t>.</w:t>
      </w:r>
    </w:p>
    <w:p w14:paraId="1493DE74" w14:textId="28E695F0" w:rsidR="00F74BA8" w:rsidRDefault="00155D75" w:rsidP="00134BB0">
      <w:pPr>
        <w:pStyle w:val="NormalConSangria"/>
        <w:spacing w:after="60"/>
      </w:pPr>
      <w:r>
        <w:tab/>
      </w:r>
      <w:r w:rsidR="00F74BA8">
        <w:t>“</w:t>
      </w:r>
      <w:proofErr w:type="gramStart"/>
      <w:r w:rsidR="00C16937">
        <w:rPr>
          <w:i/>
          <w:iCs/>
        </w:rPr>
        <w:t xml:space="preserve">aquel </w:t>
      </w:r>
      <w:r w:rsidR="00F74BA8" w:rsidRPr="00A12926">
        <w:rPr>
          <w:i/>
          <w:iCs/>
        </w:rPr>
        <w:t xml:space="preserve"> usado</w:t>
      </w:r>
      <w:proofErr w:type="gramEnd"/>
      <w:r w:rsidR="00F74BA8" w:rsidRPr="00A12926">
        <w:rPr>
          <w:i/>
          <w:iCs/>
        </w:rPr>
        <w:t xml:space="preserve"> para ir y </w:t>
      </w:r>
      <w:r w:rsidR="00AC4A18">
        <w:rPr>
          <w:i/>
          <w:iCs/>
        </w:rPr>
        <w:t>regresar</w:t>
      </w:r>
      <w:r w:rsidR="00F74BA8">
        <w:t xml:space="preserve">” es </w:t>
      </w:r>
      <w:r w:rsidR="00C16937">
        <w:t>aquel</w:t>
      </w:r>
      <w:r w:rsidR="00F74BA8">
        <w:t xml:space="preserve"> que la gente tira después de haber ido a un osario</w:t>
      </w:r>
      <w:r w:rsidR="00AC4A18">
        <w:t>,</w:t>
      </w:r>
      <w:r w:rsidR="00F74BA8">
        <w:t xml:space="preserve"> regresado y </w:t>
      </w:r>
      <w:r w:rsidR="00AC4A18">
        <w:t xml:space="preserve">haberse </w:t>
      </w:r>
      <w:r w:rsidR="00F74BA8">
        <w:t>bañado</w:t>
      </w:r>
    </w:p>
    <w:p w14:paraId="07C9BA0C" w14:textId="753BEA90" w:rsidR="00F74BA8" w:rsidRDefault="001B0012" w:rsidP="00134BB0">
      <w:pPr>
        <w:pStyle w:val="NormalConSangria"/>
        <w:spacing w:after="60"/>
      </w:pPr>
      <w:r>
        <w:tab/>
      </w:r>
      <w:r w:rsidR="00F74BA8">
        <w:t>“</w:t>
      </w:r>
      <w:r w:rsidR="00AC4A18">
        <w:rPr>
          <w:i/>
          <w:iCs/>
        </w:rPr>
        <w:t xml:space="preserve">aquel </w:t>
      </w:r>
      <w:r w:rsidR="00F74BA8" w:rsidRPr="00A12926">
        <w:rPr>
          <w:i/>
          <w:iCs/>
        </w:rPr>
        <w:t>quemado por el fuego</w:t>
      </w:r>
      <w:r w:rsidR="00F74BA8">
        <w:t xml:space="preserve">” es </w:t>
      </w:r>
      <w:r w:rsidR="00AC4A18" w:rsidRPr="00AC4A18">
        <w:t xml:space="preserve">aquel </w:t>
      </w:r>
      <w:r w:rsidR="00F74BA8">
        <w:t xml:space="preserve">parcialmente quemado por el fuego; </w:t>
      </w:r>
      <w:r w:rsidR="00AC4A18">
        <w:t xml:space="preserve">ya </w:t>
      </w:r>
      <w:r w:rsidR="00F74BA8">
        <w:t xml:space="preserve">que la gente </w:t>
      </w:r>
      <w:r>
        <w:t xml:space="preserve">suele </w:t>
      </w:r>
      <w:r w:rsidR="00F74BA8">
        <w:t>tira</w:t>
      </w:r>
      <w:r>
        <w:t>r</w:t>
      </w:r>
      <w:r w:rsidR="00F74BA8">
        <w:t xml:space="preserve"> eso.</w:t>
      </w:r>
    </w:p>
    <w:p w14:paraId="60F310C9" w14:textId="6B30B62C" w:rsidR="00F74BA8" w:rsidRDefault="001B0012" w:rsidP="00134BB0">
      <w:pPr>
        <w:pStyle w:val="NormalConSangria"/>
        <w:spacing w:after="60"/>
      </w:pPr>
      <w:r>
        <w:tab/>
      </w:r>
      <w:r w:rsidR="00F74BA8">
        <w:t>“</w:t>
      </w:r>
      <w:r w:rsidR="00AC4A18">
        <w:rPr>
          <w:i/>
          <w:iCs/>
        </w:rPr>
        <w:t xml:space="preserve">aquel </w:t>
      </w:r>
      <w:r w:rsidR="00F74BA8" w:rsidRPr="00A12926">
        <w:rPr>
          <w:i/>
          <w:iCs/>
        </w:rPr>
        <w:t>roído por el ganado</w:t>
      </w:r>
      <w:r w:rsidR="00F74BA8">
        <w:t xml:space="preserve">”, etc., son obvios; porque la gente tira </w:t>
      </w:r>
      <w:r w:rsidR="00BE45A4">
        <w:t xml:space="preserve">también </w:t>
      </w:r>
      <w:r w:rsidR="00F74BA8">
        <w:t>estos.</w:t>
      </w:r>
    </w:p>
    <w:p w14:paraId="67D7D239" w14:textId="5C47F09A" w:rsidR="00F74BA8" w:rsidRDefault="001B0012" w:rsidP="00134BB0">
      <w:pPr>
        <w:pStyle w:val="NormalConSangria"/>
        <w:spacing w:after="60"/>
      </w:pPr>
      <w:r>
        <w:tab/>
      </w:r>
      <w:r w:rsidR="00F74BA8">
        <w:t>“</w:t>
      </w:r>
      <w:r w:rsidR="00AC4A18">
        <w:rPr>
          <w:i/>
          <w:iCs/>
        </w:rPr>
        <w:t xml:space="preserve">aquel </w:t>
      </w:r>
      <w:r w:rsidR="00F74BA8" w:rsidRPr="00A12926">
        <w:rPr>
          <w:i/>
          <w:iCs/>
        </w:rPr>
        <w:t xml:space="preserve">llevado como </w:t>
      </w:r>
      <w:r w:rsidR="00AC4A18">
        <w:rPr>
          <w:i/>
          <w:iCs/>
        </w:rPr>
        <w:t xml:space="preserve">una </w:t>
      </w:r>
      <w:r w:rsidR="00F74BA8" w:rsidRPr="00A12926">
        <w:rPr>
          <w:i/>
          <w:iCs/>
        </w:rPr>
        <w:t>bandera</w:t>
      </w:r>
      <w:r w:rsidR="00F74BA8">
        <w:t>”: Quienes abordan un barco lo hacen después de izar una bandera. Está permitido tomar esto cuando se ha</w:t>
      </w:r>
      <w:r w:rsidR="00BE45A4">
        <w:t>ya</w:t>
      </w:r>
      <w:r w:rsidR="00F74BA8">
        <w:t xml:space="preserve">n perdido de vista. También está permitido, cuando dos ejércitos se hayan </w:t>
      </w:r>
      <w:r w:rsidR="00BE45A4">
        <w:t>marchado</w:t>
      </w:r>
      <w:r w:rsidR="00F74BA8">
        <w:t>, tomar una bandera que haya sido izada en un campo de batalla.</w:t>
      </w:r>
    </w:p>
    <w:p w14:paraId="5DA8C16D" w14:textId="42F12555" w:rsidR="00F74BA8" w:rsidRDefault="00F74BA8" w:rsidP="00134BB0">
      <w:pPr>
        <w:pStyle w:val="NormalConSangria"/>
        <w:spacing w:after="60"/>
        <w:ind w:firstLine="0"/>
      </w:pPr>
      <w:r>
        <w:t xml:space="preserve">18. </w:t>
      </w:r>
      <w:r>
        <w:tab/>
      </w:r>
      <w:r w:rsidRPr="00A12926">
        <w:rPr>
          <w:i/>
          <w:iCs/>
        </w:rPr>
        <w:t>“</w:t>
      </w:r>
      <w:r w:rsidR="00BE45A4">
        <w:rPr>
          <w:i/>
          <w:iCs/>
        </w:rPr>
        <w:t xml:space="preserve">aquel </w:t>
      </w:r>
      <w:r w:rsidRPr="00A12926">
        <w:rPr>
          <w:i/>
          <w:iCs/>
        </w:rPr>
        <w:t>de un santuario</w:t>
      </w:r>
      <w:r>
        <w:t>” es una ofrenda que se ha</w:t>
      </w:r>
      <w:r w:rsidR="005D7C46">
        <w:t>ga</w:t>
      </w:r>
      <w:r>
        <w:t xml:space="preserve"> cubriendo un montículo de termitas [</w:t>
      </w:r>
      <w:r w:rsidR="005D7C46">
        <w:t xml:space="preserve">con una </w:t>
      </w:r>
      <w:r>
        <w:t>tela].</w:t>
      </w:r>
    </w:p>
    <w:p w14:paraId="2E1161F1" w14:textId="0A270ED4" w:rsidR="00F74BA8" w:rsidRDefault="00F74BA8" w:rsidP="00134BB0">
      <w:pPr>
        <w:pStyle w:val="NormalConSangria"/>
        <w:spacing w:after="60"/>
      </w:pPr>
      <w:r>
        <w:t>“</w:t>
      </w:r>
      <w:r w:rsidRPr="00A12926">
        <w:rPr>
          <w:i/>
          <w:iCs/>
        </w:rPr>
        <w:t>de un asceta</w:t>
      </w:r>
      <w:r>
        <w:t xml:space="preserve">” es la que </w:t>
      </w:r>
      <w:r w:rsidR="001F35AD">
        <w:t xml:space="preserve">haya </w:t>
      </w:r>
      <w:r>
        <w:t>pertenec</w:t>
      </w:r>
      <w:r w:rsidR="005D7C46">
        <w:t>i</w:t>
      </w:r>
      <w:r w:rsidR="001F35AD">
        <w:t>do</w:t>
      </w:r>
      <w:r>
        <w:t xml:space="preserve"> a un </w:t>
      </w:r>
      <w:proofErr w:type="spellStart"/>
      <w:r w:rsidR="00057BF4" w:rsidRPr="00057BF4">
        <w:rPr>
          <w:i/>
        </w:rPr>
        <w:t>bhikkhu</w:t>
      </w:r>
      <w:proofErr w:type="spellEnd"/>
      <w:r>
        <w:t>.</w:t>
      </w:r>
    </w:p>
    <w:p w14:paraId="6BE7313E" w14:textId="29AD0FC9" w:rsidR="00F74BA8" w:rsidRDefault="00F74BA8" w:rsidP="00134BB0">
      <w:pPr>
        <w:pStyle w:val="NormalConSangria"/>
        <w:spacing w:after="60"/>
      </w:pPr>
      <w:r>
        <w:t>“</w:t>
      </w:r>
      <w:r w:rsidRPr="005C5082">
        <w:rPr>
          <w:i/>
          <w:iCs/>
        </w:rPr>
        <w:t>de una consagración</w:t>
      </w:r>
      <w:r>
        <w:t xml:space="preserve">” es </w:t>
      </w:r>
      <w:r w:rsidR="00BD1915" w:rsidRPr="00BD1915">
        <w:t xml:space="preserve">aquel </w:t>
      </w:r>
      <w:r w:rsidR="001F35AD">
        <w:t xml:space="preserve">que haya sido </w:t>
      </w:r>
      <w:r>
        <w:t xml:space="preserve">tirado en el lugar de consagración del </w:t>
      </w:r>
      <w:r w:rsidR="00BD1915">
        <w:t>Rey</w:t>
      </w:r>
      <w:r>
        <w:t>.</w:t>
      </w:r>
    </w:p>
    <w:p w14:paraId="0D3A95BF" w14:textId="1759C0FB" w:rsidR="003D586B" w:rsidRDefault="00F74BA8" w:rsidP="00134BB0">
      <w:pPr>
        <w:pStyle w:val="NormalConSangria"/>
        <w:spacing w:after="60"/>
      </w:pPr>
      <w:r>
        <w:t>“</w:t>
      </w:r>
      <w:r w:rsidR="00BD1915">
        <w:rPr>
          <w:i/>
          <w:iCs/>
        </w:rPr>
        <w:t xml:space="preserve">aquel </w:t>
      </w:r>
      <w:r w:rsidRPr="005C5082">
        <w:rPr>
          <w:i/>
          <w:iCs/>
        </w:rPr>
        <w:t>producido por un poder sobrenatural</w:t>
      </w:r>
      <w:r>
        <w:t xml:space="preserve">” es un </w:t>
      </w:r>
      <w:r w:rsidR="00BD1915">
        <w:t xml:space="preserve">harapo creado sobrenaturalmente </w:t>
      </w:r>
      <w:r w:rsidR="001F35AD">
        <w:t>mediante</w:t>
      </w:r>
      <w:r w:rsidR="00BD1915">
        <w:t xml:space="preserve"> la fórmula </w:t>
      </w:r>
      <w:r>
        <w:t>“</w:t>
      </w:r>
      <w:r w:rsidR="003D586B">
        <w:t>Venid</w:t>
      </w:r>
      <w:r>
        <w:t>-</w:t>
      </w:r>
      <w:r w:rsidR="00057BF4" w:rsidRPr="00057BF4">
        <w:rPr>
          <w:i/>
          <w:iCs/>
        </w:rPr>
        <w:t>bhikkhu</w:t>
      </w:r>
      <w:r>
        <w:t>”.</w:t>
      </w:r>
      <w:r w:rsidR="00DF6377">
        <w:rPr>
          <w:vertAlign w:val="superscript"/>
        </w:rPr>
        <w:t>8</w:t>
      </w:r>
      <w:r>
        <w:t xml:space="preserve"> </w:t>
      </w:r>
    </w:p>
    <w:p w14:paraId="1F58F76F" w14:textId="48B3F342" w:rsidR="00F74BA8" w:rsidRDefault="00F74BA8" w:rsidP="00134BB0">
      <w:pPr>
        <w:pStyle w:val="NormalConSangria"/>
        <w:spacing w:after="60"/>
      </w:pPr>
      <w:r>
        <w:t>“</w:t>
      </w:r>
      <w:r w:rsidRPr="0097778E">
        <w:rPr>
          <w:i/>
          <w:iCs/>
        </w:rPr>
        <w:t>de una carretera</w:t>
      </w:r>
      <w:r>
        <w:t xml:space="preserve">” es </w:t>
      </w:r>
      <w:r w:rsidR="003D586B" w:rsidRPr="003D586B">
        <w:t>aquel</w:t>
      </w:r>
      <w:r w:rsidR="003D586B">
        <w:rPr>
          <w:i/>
          <w:iCs/>
        </w:rPr>
        <w:t xml:space="preserve"> </w:t>
      </w:r>
      <w:r>
        <w:t>que se deja caer en medio de una carretera. Pero una caída por negligencia del propietario debe tomarse solo después de esperar un tiempo.</w:t>
      </w:r>
    </w:p>
    <w:p w14:paraId="331923FC" w14:textId="021C80F9" w:rsidR="00F74BA8" w:rsidRDefault="00F74BA8" w:rsidP="00134BB0">
      <w:pPr>
        <w:pStyle w:val="NormalConSangria"/>
        <w:spacing w:after="60"/>
      </w:pPr>
      <w:r>
        <w:t>“</w:t>
      </w:r>
      <w:r w:rsidR="003D586B" w:rsidRPr="003D586B">
        <w:rPr>
          <w:i/>
          <w:iCs/>
        </w:rPr>
        <w:t xml:space="preserve">aquel </w:t>
      </w:r>
      <w:r w:rsidRPr="005C5082">
        <w:rPr>
          <w:i/>
          <w:iCs/>
        </w:rPr>
        <w:t>llevado por el viento</w:t>
      </w:r>
      <w:r>
        <w:t xml:space="preserve">” es </w:t>
      </w:r>
      <w:r w:rsidR="003D586B" w:rsidRPr="003D586B">
        <w:t xml:space="preserve">aquel </w:t>
      </w:r>
      <w:r>
        <w:t xml:space="preserve">que </w:t>
      </w:r>
      <w:r w:rsidR="003D586B">
        <w:t>llega</w:t>
      </w:r>
      <w:r>
        <w:t xml:space="preserve"> desde muy lejos, habiendo sido llevado por el viento. Está permitido tomarlo si los propietarios no están a la vista.</w:t>
      </w:r>
    </w:p>
    <w:p w14:paraId="66863909" w14:textId="59E031EE" w:rsidR="00F74BA8" w:rsidRDefault="00F74BA8" w:rsidP="00134BB0">
      <w:pPr>
        <w:pStyle w:val="NormalConSangria"/>
        <w:spacing w:after="60"/>
      </w:pPr>
      <w:r>
        <w:t>"</w:t>
      </w:r>
      <w:r w:rsidR="003D586B" w:rsidRPr="003D586B">
        <w:rPr>
          <w:i/>
          <w:iCs/>
        </w:rPr>
        <w:t xml:space="preserve">aquel </w:t>
      </w:r>
      <w:r w:rsidRPr="005C5082">
        <w:rPr>
          <w:i/>
          <w:iCs/>
        </w:rPr>
        <w:t>presentado por deidades</w:t>
      </w:r>
      <w:r>
        <w:t xml:space="preserve">" es </w:t>
      </w:r>
      <w:r w:rsidR="003D586B" w:rsidRPr="003D586B">
        <w:t xml:space="preserve">aquel </w:t>
      </w:r>
      <w:r w:rsidR="003D586B">
        <w:t>ofrecido</w:t>
      </w:r>
      <w:r>
        <w:t xml:space="preserve"> por deidades como el que se le dio al </w:t>
      </w:r>
      <w:r w:rsidR="003D586B">
        <w:t xml:space="preserve">Venerable </w:t>
      </w:r>
      <w:proofErr w:type="spellStart"/>
      <w:r>
        <w:t>Anuruddha</w:t>
      </w:r>
      <w:proofErr w:type="spellEnd"/>
      <w:r>
        <w:t xml:space="preserve"> (</w:t>
      </w:r>
      <w:proofErr w:type="spellStart"/>
      <w:r>
        <w:t>Dhp</w:t>
      </w:r>
      <w:proofErr w:type="spellEnd"/>
      <w:r>
        <w:t>-a II 173–74).</w:t>
      </w:r>
    </w:p>
    <w:p w14:paraId="4646FAD7" w14:textId="530B2A2B" w:rsidR="00F74BA8" w:rsidRDefault="00F74BA8" w:rsidP="00134BB0">
      <w:pPr>
        <w:pStyle w:val="NormalConSangria"/>
        <w:spacing w:after="60"/>
      </w:pPr>
      <w:r>
        <w:t>“</w:t>
      </w:r>
      <w:r w:rsidR="00BD794F">
        <w:rPr>
          <w:i/>
          <w:iCs/>
        </w:rPr>
        <w:t xml:space="preserve">aquel proveniente </w:t>
      </w:r>
      <w:r w:rsidRPr="005C5082">
        <w:rPr>
          <w:i/>
          <w:iCs/>
        </w:rPr>
        <w:t>del mar</w:t>
      </w:r>
      <w:r>
        <w:t xml:space="preserve">” es </w:t>
      </w:r>
      <w:r w:rsidR="00BD794F" w:rsidRPr="00BD794F">
        <w:t xml:space="preserve">aquel </w:t>
      </w:r>
      <w:r>
        <w:t xml:space="preserve">arrastrado </w:t>
      </w:r>
      <w:r w:rsidR="00BD794F">
        <w:t>a</w:t>
      </w:r>
      <w:r>
        <w:t xml:space="preserve"> tierra firme por las olas del mar.</w:t>
      </w:r>
    </w:p>
    <w:p w14:paraId="2C11EB84" w14:textId="1E05D709" w:rsidR="00F74BA8" w:rsidRDefault="00F74BA8" w:rsidP="00134BB0">
      <w:pPr>
        <w:spacing w:after="60"/>
      </w:pPr>
      <w:r>
        <w:t xml:space="preserve">19. </w:t>
      </w:r>
      <w:r>
        <w:tab/>
        <w:t>El que se d</w:t>
      </w:r>
      <w:r w:rsidR="00475425">
        <w:t>é</w:t>
      </w:r>
      <w:r>
        <w:t xml:space="preserve"> así “Se lo </w:t>
      </w:r>
      <w:r w:rsidR="00475425">
        <w:t>ofrecemos</w:t>
      </w:r>
      <w:r>
        <w:t xml:space="preserve"> a la Orden” o se consig</w:t>
      </w:r>
      <w:r w:rsidR="00475425">
        <w:t>a</w:t>
      </w:r>
      <w:r>
        <w:t xml:space="preserve">n </w:t>
      </w:r>
      <w:r w:rsidR="00475425">
        <w:t xml:space="preserve">mediante aquello que </w:t>
      </w:r>
      <w:r>
        <w:t>sal</w:t>
      </w:r>
      <w:r w:rsidR="00475425">
        <w:t>ga</w:t>
      </w:r>
      <w:r>
        <w:t xml:space="preserve">n a pedir </w:t>
      </w:r>
      <w:r w:rsidR="00475425">
        <w:t>ofrendas</w:t>
      </w:r>
      <w:r>
        <w:t xml:space="preserve">, no es un </w:t>
      </w:r>
      <w:r w:rsidR="00475425">
        <w:t>harapo desechado</w:t>
      </w:r>
      <w:r>
        <w:t xml:space="preserve">. Y en el caso de </w:t>
      </w:r>
      <w:r w:rsidR="00A5241A">
        <w:t>aquel</w:t>
      </w:r>
      <w:r>
        <w:t xml:space="preserve"> presentado por un </w:t>
      </w:r>
      <w:proofErr w:type="spellStart"/>
      <w:r w:rsidR="00057BF4" w:rsidRPr="00057BF4">
        <w:rPr>
          <w:i/>
          <w:iCs/>
        </w:rPr>
        <w:t>bhikkhu</w:t>
      </w:r>
      <w:proofErr w:type="spellEnd"/>
      <w:r>
        <w:t>, uno dado después de haberlo obtenido [en un</w:t>
      </w:r>
    </w:p>
    <w:p w14:paraId="4684DF86" w14:textId="77777777" w:rsidR="00F74BA8" w:rsidRPr="00F74BA8" w:rsidRDefault="00F74BA8" w:rsidP="00F74BA8">
      <w:pPr>
        <w:pStyle w:val="PiedepginaLegal"/>
        <w:rPr>
          <w:u w:val="single"/>
        </w:rPr>
      </w:pPr>
      <w:r w:rsidRPr="00F74BA8">
        <w:rPr>
          <w:u w:val="single"/>
        </w:rPr>
        <w:t xml:space="preserve">                                                                                                                                                 .</w:t>
      </w:r>
    </w:p>
    <w:p w14:paraId="727FF6D6" w14:textId="58C39573" w:rsidR="00F74BA8" w:rsidRDefault="00F74BA8" w:rsidP="00F74BA8">
      <w:pPr>
        <w:pStyle w:val="PiedepginaLegal"/>
      </w:pPr>
      <w:r>
        <w:t>7.</w:t>
      </w:r>
      <w:r>
        <w:tab/>
        <w:t xml:space="preserve">“El nombre de una calle en </w:t>
      </w:r>
      <w:proofErr w:type="spellStart"/>
      <w:r>
        <w:t>Mahāgāma</w:t>
      </w:r>
      <w:proofErr w:type="spellEnd"/>
      <w:r>
        <w:t xml:space="preserve"> (S.E. Sri Lanka). También en </w:t>
      </w:r>
      <w:proofErr w:type="spellStart"/>
      <w:r w:rsidRPr="0097778E">
        <w:rPr>
          <w:i/>
          <w:iCs/>
        </w:rPr>
        <w:t>Anukrādhapura</w:t>
      </w:r>
      <w:proofErr w:type="spellEnd"/>
      <w:r>
        <w:t>, dicen” (</w:t>
      </w:r>
      <w:proofErr w:type="spellStart"/>
      <w:r>
        <w:t>Vism-mhṭ</w:t>
      </w:r>
      <w:proofErr w:type="spellEnd"/>
      <w:r>
        <w:t xml:space="preserve"> 77).</w:t>
      </w:r>
    </w:p>
    <w:p w14:paraId="5827D859" w14:textId="7CF7373C" w:rsidR="00134BB0" w:rsidRDefault="00F74BA8" w:rsidP="00134BB0">
      <w:pPr>
        <w:pStyle w:val="PiedepginaLegal"/>
      </w:pPr>
      <w:r>
        <w:t xml:space="preserve">8. </w:t>
      </w:r>
      <w:r>
        <w:tab/>
        <w:t xml:space="preserve">En ciertas ocasiones, cuando el </w:t>
      </w:r>
      <w:r w:rsidR="00057BF4" w:rsidRPr="00057BF4">
        <w:rPr>
          <w:i/>
        </w:rPr>
        <w:t>Buddha</w:t>
      </w:r>
      <w:r>
        <w:t xml:space="preserve"> daba la salida con solo las palabras "</w:t>
      </w:r>
      <w:proofErr w:type="spellStart"/>
      <w:r w:rsidRPr="0097778E">
        <w:rPr>
          <w:i/>
          <w:iCs/>
        </w:rPr>
        <w:t>Ehi</w:t>
      </w:r>
      <w:proofErr w:type="spellEnd"/>
      <w:r w:rsidRPr="0097778E">
        <w:rPr>
          <w:i/>
          <w:iCs/>
        </w:rPr>
        <w:t xml:space="preserve"> </w:t>
      </w:r>
      <w:proofErr w:type="spellStart"/>
      <w:r w:rsidR="00057BF4" w:rsidRPr="00057BF4">
        <w:rPr>
          <w:i/>
          <w:iCs/>
        </w:rPr>
        <w:t>bhikkhu</w:t>
      </w:r>
      <w:proofErr w:type="spellEnd"/>
      <w:r>
        <w:t xml:space="preserve"> (Ven, </w:t>
      </w:r>
      <w:proofErr w:type="spellStart"/>
      <w:r w:rsidR="00057BF4" w:rsidRPr="00057BF4">
        <w:rPr>
          <w:i/>
          <w:iCs/>
        </w:rPr>
        <w:t>bhikkhu</w:t>
      </w:r>
      <w:proofErr w:type="spellEnd"/>
      <w:r>
        <w:t xml:space="preserve">)", debido a los méritos pasados ​​del discípulo, las túnicas aparecían milagrosamente sobre él (ver, por ejemplo, </w:t>
      </w:r>
      <w:proofErr w:type="spellStart"/>
      <w:r>
        <w:t>Vin</w:t>
      </w:r>
      <w:proofErr w:type="spellEnd"/>
      <w:r>
        <w:t xml:space="preserve"> </w:t>
      </w:r>
      <w:proofErr w:type="spellStart"/>
      <w:r>
        <w:t>Mahṭvagga</w:t>
      </w:r>
      <w:proofErr w:type="spellEnd"/>
      <w:r>
        <w:t xml:space="preserve">, </w:t>
      </w:r>
      <w:proofErr w:type="spellStart"/>
      <w:r>
        <w:t>Kh</w:t>
      </w:r>
      <w:proofErr w:type="spellEnd"/>
      <w:r>
        <w:t>. 1).</w:t>
      </w:r>
      <w:r w:rsidR="00134BB0">
        <w:br w:type="page"/>
      </w:r>
    </w:p>
    <w:p w14:paraId="43500FC3" w14:textId="75333431" w:rsidR="004B657A" w:rsidRDefault="004B657A" w:rsidP="004B657A">
      <w:r>
        <w:lastRenderedPageBreak/>
        <w:t xml:space="preserve">presentación de </w:t>
      </w:r>
      <w:r w:rsidR="00A5241A">
        <w:t>ropajes</w:t>
      </w:r>
      <w:r>
        <w:t xml:space="preserve"> por parte de los </w:t>
      </w:r>
      <w:r w:rsidR="00A5241A">
        <w:t>laicos</w:t>
      </w:r>
      <w:r>
        <w:t>] al final de la</w:t>
      </w:r>
      <w:r w:rsidR="00A5241A">
        <w:t xml:space="preserve"> estación de</w:t>
      </w:r>
      <w:r>
        <w:t xml:space="preserve"> lluvias, o un “</w:t>
      </w:r>
      <w:r w:rsidR="00A5241A">
        <w:t xml:space="preserve">ropaje </w:t>
      </w:r>
      <w:r>
        <w:t>de lugar de descanso” [es decir, un</w:t>
      </w:r>
      <w:r w:rsidR="00A5241A">
        <w:t>o</w:t>
      </w:r>
      <w:r>
        <w:t xml:space="preserve"> que un </w:t>
      </w:r>
      <w:r w:rsidR="00A5241A">
        <w:t xml:space="preserve">laico </w:t>
      </w:r>
      <w:r>
        <w:t>proporcion</w:t>
      </w:r>
      <w:r w:rsidR="00A5241A">
        <w:t>e</w:t>
      </w:r>
      <w:r>
        <w:t xml:space="preserve"> automáticamente al ocupante de cierto lugar de descanso] no es un </w:t>
      </w:r>
      <w:r w:rsidR="00C21592">
        <w:t>harapo desechado</w:t>
      </w:r>
      <w:r>
        <w:t xml:space="preserve">. </w:t>
      </w:r>
      <w:r w:rsidR="00C21592">
        <w:t>Será</w:t>
      </w:r>
      <w:r>
        <w:t xml:space="preserve"> un </w:t>
      </w:r>
      <w:r w:rsidR="00C21592">
        <w:t xml:space="preserve">harapo desechado </w:t>
      </w:r>
      <w:r>
        <w:t xml:space="preserve">sólo cuando se </w:t>
      </w:r>
      <w:r w:rsidR="00C92015">
        <w:t>ofrezca</w:t>
      </w:r>
      <w:r>
        <w:t xml:space="preserve"> después de no haber sido así obtenido. Y aquí, lo que los donantes colo</w:t>
      </w:r>
      <w:r w:rsidR="00F35E45">
        <w:t>que</w:t>
      </w:r>
      <w:r>
        <w:t>n a</w:t>
      </w:r>
      <w:r w:rsidR="001E3B3B">
        <w:t>nte</w:t>
      </w:r>
      <w:r>
        <w:t xml:space="preserve"> los pies de un </w:t>
      </w:r>
      <w:proofErr w:type="spellStart"/>
      <w:r w:rsidR="00057BF4" w:rsidRPr="00057BF4">
        <w:rPr>
          <w:i/>
          <w:iCs/>
        </w:rPr>
        <w:t>bhikkhu</w:t>
      </w:r>
      <w:proofErr w:type="spellEnd"/>
      <w:r>
        <w:t xml:space="preserve"> </w:t>
      </w:r>
      <w:r w:rsidR="000C06B8">
        <w:t>y</w:t>
      </w:r>
      <w:r>
        <w:t xml:space="preserve"> que ese </w:t>
      </w:r>
      <w:proofErr w:type="spellStart"/>
      <w:r w:rsidR="00057BF4" w:rsidRPr="00057BF4">
        <w:rPr>
          <w:i/>
          <w:iCs/>
        </w:rPr>
        <w:t>bhikkhu</w:t>
      </w:r>
      <w:proofErr w:type="spellEnd"/>
      <w:r>
        <w:t xml:space="preserve"> </w:t>
      </w:r>
      <w:r w:rsidR="00826BFE">
        <w:t xml:space="preserve">se </w:t>
      </w:r>
      <w:r>
        <w:t>l</w:t>
      </w:r>
      <w:r w:rsidR="00826BFE">
        <w:t>o</w:t>
      </w:r>
      <w:r>
        <w:t xml:space="preserve"> d</w:t>
      </w:r>
      <w:r w:rsidR="00826BFE">
        <w:t>e</w:t>
      </w:r>
      <w:r>
        <w:t xml:space="preserve"> al portador de</w:t>
      </w:r>
      <w:r w:rsidR="00826BFE">
        <w:t xml:space="preserve"> harapos desechados</w:t>
      </w:r>
      <w:r w:rsidR="001E3B3B">
        <w:t>,</w:t>
      </w:r>
      <w:r w:rsidR="00826BFE">
        <w:t xml:space="preserve"> </w:t>
      </w:r>
      <w:r>
        <w:t>colocándolo en su mano</w:t>
      </w:r>
      <w:r w:rsidR="001E3B3B">
        <w:t>,</w:t>
      </w:r>
      <w:r>
        <w:t xml:space="preserve"> se llama </w:t>
      </w:r>
      <w:r w:rsidR="000C06B8">
        <w:t>pur</w:t>
      </w:r>
      <w:r w:rsidR="007C3B73">
        <w:t>o</w:t>
      </w:r>
      <w:r w:rsidR="000C06B8">
        <w:t xml:space="preserve"> </w:t>
      </w:r>
      <w:r w:rsidR="001E3B3B">
        <w:t>e</w:t>
      </w:r>
      <w:r w:rsidR="007C3B73">
        <w:t>n</w:t>
      </w:r>
      <w:r w:rsidR="001E3B3B">
        <w:t xml:space="preserve"> un </w:t>
      </w:r>
      <w:r w:rsidR="00415B6D">
        <w:t>sentido</w:t>
      </w:r>
      <w:r>
        <w:t>. Lo que se le d</w:t>
      </w:r>
      <w:r w:rsidR="008549CD">
        <w:t>é</w:t>
      </w:r>
      <w:r>
        <w:t xml:space="preserve"> a un </w:t>
      </w:r>
      <w:proofErr w:type="spellStart"/>
      <w:r w:rsidR="00057BF4" w:rsidRPr="00057BF4">
        <w:rPr>
          <w:i/>
          <w:iCs/>
        </w:rPr>
        <w:t>bhikkhu</w:t>
      </w:r>
      <w:proofErr w:type="spellEnd"/>
      <w:r>
        <w:t xml:space="preserve"> colocándolo en su mano pero colocado por él a</w:t>
      </w:r>
      <w:r w:rsidR="008549CD">
        <w:t>nte</w:t>
      </w:r>
      <w:r>
        <w:t xml:space="preserve"> los pies [del portador de </w:t>
      </w:r>
      <w:r w:rsidR="008549CD">
        <w:t>harapos desechados</w:t>
      </w:r>
      <w:r>
        <w:t>] también es puro en un sentido. Lo que se colo</w:t>
      </w:r>
      <w:r w:rsidR="008549CD">
        <w:t>que</w:t>
      </w:r>
      <w:r>
        <w:t xml:space="preserve"> a</w:t>
      </w:r>
      <w:r w:rsidR="008549CD">
        <w:t>nte</w:t>
      </w:r>
      <w:r>
        <w:t xml:space="preserve"> los pies de un </w:t>
      </w:r>
      <w:proofErr w:type="spellStart"/>
      <w:r w:rsidR="00057BF4" w:rsidRPr="00057BF4">
        <w:rPr>
          <w:i/>
          <w:iCs/>
        </w:rPr>
        <w:t>bhikkhu</w:t>
      </w:r>
      <w:proofErr w:type="spellEnd"/>
      <w:r>
        <w:t xml:space="preserve"> y luego </w:t>
      </w:r>
      <w:r w:rsidR="00D02CD5">
        <w:t>él</w:t>
      </w:r>
      <w:r>
        <w:t xml:space="preserve"> d</w:t>
      </w:r>
      <w:r w:rsidR="005D127D">
        <w:t>é</w:t>
      </w:r>
      <w:r>
        <w:t xml:space="preserve"> de la misma manera </w:t>
      </w:r>
      <w:r w:rsidR="00D02CD5">
        <w:t xml:space="preserve">a otro </w:t>
      </w:r>
      <w:proofErr w:type="spellStart"/>
      <w:r w:rsidR="00D02CD5">
        <w:rPr>
          <w:i/>
          <w:iCs/>
        </w:rPr>
        <w:t>bhikkhu</w:t>
      </w:r>
      <w:proofErr w:type="spellEnd"/>
      <w:r w:rsidR="00D02CD5">
        <w:rPr>
          <w:i/>
          <w:iCs/>
        </w:rPr>
        <w:t xml:space="preserve"> </w:t>
      </w:r>
      <w:r>
        <w:t xml:space="preserve">es puro en ambos sentidos. [64] </w:t>
      </w:r>
      <w:r w:rsidR="00B602DB">
        <w:t>Aquél</w:t>
      </w:r>
      <w:r>
        <w:t xml:space="preserve"> que se obt</w:t>
      </w:r>
      <w:r w:rsidR="00D02CD5">
        <w:t>enga</w:t>
      </w:r>
      <w:r>
        <w:t xml:space="preserve"> colocándo</w:t>
      </w:r>
      <w:r w:rsidR="00D02CD5">
        <w:t>lo</w:t>
      </w:r>
      <w:r>
        <w:t xml:space="preserve"> en la mano </w:t>
      </w:r>
      <w:r w:rsidR="00803B7E">
        <w:t xml:space="preserve">del receptor </w:t>
      </w:r>
      <w:r>
        <w:t>y [</w:t>
      </w:r>
      <w:r w:rsidR="00B602DB">
        <w:t>para</w:t>
      </w:r>
      <w:r w:rsidR="00803B7E">
        <w:t xml:space="preserve"> luego </w:t>
      </w:r>
      <w:r w:rsidR="00B602DB">
        <w:t xml:space="preserve">dárselo </w:t>
      </w:r>
      <w:r>
        <w:t>colocándo</w:t>
      </w:r>
      <w:r w:rsidR="00803B7E">
        <w:t>lo</w:t>
      </w:r>
      <w:r>
        <w:t xml:space="preserve">] </w:t>
      </w:r>
      <w:r w:rsidR="000F4241">
        <w:t xml:space="preserve">también </w:t>
      </w:r>
      <w:r>
        <w:t xml:space="preserve">en la mano </w:t>
      </w:r>
      <w:r w:rsidR="000F4241">
        <w:t xml:space="preserve">de otro receptor </w:t>
      </w:r>
      <w:r>
        <w:t xml:space="preserve">no </w:t>
      </w:r>
      <w:r w:rsidR="00447AB1">
        <w:t xml:space="preserve">será </w:t>
      </w:r>
      <w:r>
        <w:t>estricta</w:t>
      </w:r>
      <w:r w:rsidR="00784F54">
        <w:t>mente el ropaje de un hombre</w:t>
      </w:r>
      <w:r>
        <w:t xml:space="preserve">. Entonces, un usuario de </w:t>
      </w:r>
      <w:r w:rsidR="00784F54">
        <w:t xml:space="preserve">harapos desechados </w:t>
      </w:r>
      <w:r>
        <w:t>debe</w:t>
      </w:r>
      <w:r w:rsidR="0092138C">
        <w:t>rá</w:t>
      </w:r>
      <w:r>
        <w:t xml:space="preserve"> usar </w:t>
      </w:r>
      <w:r w:rsidR="00784F54">
        <w:t xml:space="preserve">el ropaje </w:t>
      </w:r>
      <w:r>
        <w:t xml:space="preserve">después de conocer los tipos de </w:t>
      </w:r>
      <w:r w:rsidR="000F4241">
        <w:t>harapos desechados que exist</w:t>
      </w:r>
      <w:r w:rsidR="0092138C">
        <w:t>a</w:t>
      </w:r>
      <w:r w:rsidR="000F4241">
        <w:t>n</w:t>
      </w:r>
      <w:r>
        <w:t xml:space="preserve">. Estas son las </w:t>
      </w:r>
      <w:r w:rsidR="0092138C">
        <w:rPr>
          <w:i/>
          <w:iCs/>
        </w:rPr>
        <w:t xml:space="preserve">indicaciones </w:t>
      </w:r>
      <w:r w:rsidR="0092138C">
        <w:t>al respecto</w:t>
      </w:r>
      <w:r>
        <w:t>.</w:t>
      </w:r>
    </w:p>
    <w:p w14:paraId="717978B7" w14:textId="66E1A491" w:rsidR="004B657A" w:rsidRDefault="004B657A" w:rsidP="004B657A">
      <w:r>
        <w:t xml:space="preserve">20. </w:t>
      </w:r>
      <w:r>
        <w:tab/>
        <w:t xml:space="preserve">Los </w:t>
      </w:r>
      <w:r w:rsidRPr="00F5503D">
        <w:rPr>
          <w:i/>
          <w:iCs/>
        </w:rPr>
        <w:t>grados</w:t>
      </w:r>
      <w:r>
        <w:t xml:space="preserve"> son estos. Hay tres tipos de usuarios de </w:t>
      </w:r>
      <w:r w:rsidR="00E67DD8">
        <w:t>harapos desechados</w:t>
      </w:r>
      <w:r>
        <w:t xml:space="preserve">: los estrictos, los </w:t>
      </w:r>
      <w:r w:rsidR="00E67DD8">
        <w:t>inter</w:t>
      </w:r>
      <w:r>
        <w:t>medios y los moderados. Aquí, quien lo tom</w:t>
      </w:r>
      <w:r w:rsidR="00E67DD8">
        <w:t>e</w:t>
      </w:r>
      <w:r>
        <w:t xml:space="preserve"> sólo de un osario </w:t>
      </w:r>
      <w:r w:rsidR="00A62B77">
        <w:t>será el</w:t>
      </w:r>
      <w:r>
        <w:t xml:space="preserve"> estricto. El que tom</w:t>
      </w:r>
      <w:r w:rsidR="00E67DD8">
        <w:t>e</w:t>
      </w:r>
      <w:r>
        <w:t xml:space="preserve"> un</w:t>
      </w:r>
      <w:r w:rsidR="00401474">
        <w:t>o</w:t>
      </w:r>
      <w:r>
        <w:t xml:space="preserve"> dejad</w:t>
      </w:r>
      <w:r w:rsidR="00401474">
        <w:t>o</w:t>
      </w:r>
      <w:r>
        <w:t xml:space="preserve"> [por alguien, pensando] “</w:t>
      </w:r>
      <w:r w:rsidR="00FC2E34">
        <w:t>Que el renunciante se lo lleve</w:t>
      </w:r>
      <w:r>
        <w:t xml:space="preserve">” </w:t>
      </w:r>
      <w:r w:rsidR="00E574EB">
        <w:t xml:space="preserve">será un </w:t>
      </w:r>
      <w:r w:rsidR="00E67DD8">
        <w:t>inter</w:t>
      </w:r>
      <w:r>
        <w:t>medi</w:t>
      </w:r>
      <w:r w:rsidR="00E67DD8">
        <w:t>o</w:t>
      </w:r>
      <w:r>
        <w:t>. Aquel que tom</w:t>
      </w:r>
      <w:r w:rsidR="00E67DD8">
        <w:t>e</w:t>
      </w:r>
      <w:r>
        <w:t xml:space="preserve"> uno dado </w:t>
      </w:r>
      <w:r w:rsidR="00826FC3">
        <w:t>y</w:t>
      </w:r>
      <w:r>
        <w:t xml:space="preserve"> colocado a</w:t>
      </w:r>
      <w:r w:rsidR="00FC2E34">
        <w:t>nte</w:t>
      </w:r>
      <w:r>
        <w:t xml:space="preserve"> </w:t>
      </w:r>
      <w:r w:rsidR="00FC2E34">
        <w:t>los</w:t>
      </w:r>
      <w:r>
        <w:t xml:space="preserve"> pies [</w:t>
      </w:r>
      <w:r w:rsidR="00826FC3">
        <w:t>por medio de</w:t>
      </w:r>
      <w:r>
        <w:t xml:space="preserve"> un </w:t>
      </w:r>
      <w:proofErr w:type="spellStart"/>
      <w:r w:rsidR="00057BF4" w:rsidRPr="00057BF4">
        <w:rPr>
          <w:i/>
          <w:iCs/>
        </w:rPr>
        <w:t>bhikkhu</w:t>
      </w:r>
      <w:proofErr w:type="spellEnd"/>
      <w:r>
        <w:t xml:space="preserve">] </w:t>
      </w:r>
      <w:r w:rsidR="00E574EB">
        <w:t xml:space="preserve">será </w:t>
      </w:r>
      <w:r w:rsidR="00826FC3">
        <w:t>moderado</w:t>
      </w:r>
      <w:r>
        <w:t>.</w:t>
      </w:r>
    </w:p>
    <w:p w14:paraId="5C18EC41" w14:textId="13ADEEAF" w:rsidR="004B657A" w:rsidRDefault="004B657A" w:rsidP="004B657A">
      <w:pPr>
        <w:pStyle w:val="NormalConSangria"/>
      </w:pPr>
      <w:r>
        <w:t xml:space="preserve">En el momento en que cualquiera de estos, por su propia elección o inclinación, </w:t>
      </w:r>
      <w:r w:rsidR="008814BB">
        <w:t xml:space="preserve">esté de acuerdo en </w:t>
      </w:r>
      <w:r>
        <w:t xml:space="preserve">aceptar </w:t>
      </w:r>
      <w:r w:rsidR="00E574EB">
        <w:t>el</w:t>
      </w:r>
      <w:r>
        <w:t xml:space="preserve"> </w:t>
      </w:r>
      <w:r w:rsidR="008814BB">
        <w:t xml:space="preserve">ropaje ofrecido </w:t>
      </w:r>
      <w:r>
        <w:t xml:space="preserve">por un </w:t>
      </w:r>
      <w:r w:rsidR="008814BB">
        <w:t>laico</w:t>
      </w:r>
      <w:r>
        <w:t xml:space="preserve">, su práctica </w:t>
      </w:r>
      <w:r w:rsidR="00656CF3" w:rsidRPr="00656CF3">
        <w:t xml:space="preserve">ascetas </w:t>
      </w:r>
      <w:r>
        <w:t>se rompe</w:t>
      </w:r>
      <w:r w:rsidR="008814BB">
        <w:t>rá</w:t>
      </w:r>
      <w:r>
        <w:t xml:space="preserve">. </w:t>
      </w:r>
      <w:r w:rsidR="008814BB">
        <w:t>É</w:t>
      </w:r>
      <w:r>
        <w:t xml:space="preserve">ste </w:t>
      </w:r>
      <w:r w:rsidR="008814BB">
        <w:t xml:space="preserve">será </w:t>
      </w:r>
      <w:r>
        <w:t xml:space="preserve">el </w:t>
      </w:r>
      <w:r w:rsidRPr="00A23468">
        <w:rPr>
          <w:i/>
          <w:iCs/>
        </w:rPr>
        <w:t>incumplimiento</w:t>
      </w:r>
      <w:r>
        <w:t xml:space="preserve"> en este caso.</w:t>
      </w:r>
    </w:p>
    <w:p w14:paraId="432C697B" w14:textId="126742AB" w:rsidR="004B657A" w:rsidRDefault="004B657A" w:rsidP="004B657A">
      <w:r>
        <w:t xml:space="preserve">21. </w:t>
      </w:r>
      <w:r>
        <w:tab/>
        <w:t xml:space="preserve">Los </w:t>
      </w:r>
      <w:r w:rsidRPr="00F5503D">
        <w:rPr>
          <w:i/>
          <w:iCs/>
        </w:rPr>
        <w:t>beneficios</w:t>
      </w:r>
      <w:r>
        <w:t xml:space="preserve"> son estos. </w:t>
      </w:r>
      <w:r w:rsidR="00803CDB">
        <w:t xml:space="preserve">Él realmente </w:t>
      </w:r>
      <w:r>
        <w:t xml:space="preserve">practica en conformidad con la dependencia, </w:t>
      </w:r>
      <w:r w:rsidR="004442F7">
        <w:t>según</w:t>
      </w:r>
      <w:r>
        <w:t xml:space="preserve"> las palabras “La </w:t>
      </w:r>
      <w:r w:rsidR="005F577C">
        <w:t xml:space="preserve">ordenación </w:t>
      </w:r>
      <w:r>
        <w:t>dependien</w:t>
      </w:r>
      <w:r w:rsidR="005F577C">
        <w:t>te</w:t>
      </w:r>
      <w:r>
        <w:t xml:space="preserve"> del </w:t>
      </w:r>
      <w:r w:rsidR="005F577C">
        <w:t>ropaje</w:t>
      </w:r>
      <w:r>
        <w:t xml:space="preserve"> de harapos” (</w:t>
      </w:r>
      <w:proofErr w:type="spellStart"/>
      <w:r>
        <w:t>Vin</w:t>
      </w:r>
      <w:proofErr w:type="spellEnd"/>
      <w:r>
        <w:t xml:space="preserve"> I 58, 96); está establecido en la primera de las herencias de los Nobles (A II 27); no ha</w:t>
      </w:r>
      <w:r w:rsidR="005F577C">
        <w:t>brá</w:t>
      </w:r>
      <w:r>
        <w:t xml:space="preserve"> sufrimiento </w:t>
      </w:r>
      <w:r w:rsidR="000775C9">
        <w:t>debido a</w:t>
      </w:r>
      <w:r w:rsidR="005F577C">
        <w:t xml:space="preserve"> </w:t>
      </w:r>
      <w:r>
        <w:t xml:space="preserve">proteger; </w:t>
      </w:r>
      <w:r w:rsidR="000775C9">
        <w:t xml:space="preserve">él </w:t>
      </w:r>
      <w:r>
        <w:t>exist</w:t>
      </w:r>
      <w:r w:rsidR="000775C9">
        <w:t>irá</w:t>
      </w:r>
      <w:r>
        <w:t xml:space="preserve"> independiente</w:t>
      </w:r>
      <w:r w:rsidR="000775C9">
        <w:t>mente</w:t>
      </w:r>
      <w:r>
        <w:t xml:space="preserve"> de los demás; no ha</w:t>
      </w:r>
      <w:r w:rsidR="000775C9">
        <w:t>brá</w:t>
      </w:r>
      <w:r>
        <w:t xml:space="preserve"> miedo a los ladrones; no ha</w:t>
      </w:r>
      <w:r w:rsidR="00EE6A31">
        <w:t>brá</w:t>
      </w:r>
      <w:r>
        <w:t xml:space="preserve"> deseo relacionado con el uso [de </w:t>
      </w:r>
      <w:r w:rsidR="00EE6A31">
        <w:t>ropajes</w:t>
      </w:r>
      <w:r>
        <w:t xml:space="preserve">]; </w:t>
      </w:r>
      <w:r w:rsidR="00EE6A31">
        <w:t xml:space="preserve">será </w:t>
      </w:r>
      <w:r w:rsidR="004442F7">
        <w:t>el</w:t>
      </w:r>
      <w:r>
        <w:t xml:space="preserve"> requisito propio de un asceta; </w:t>
      </w:r>
      <w:r w:rsidR="00EE6A31">
        <w:t xml:space="preserve">será </w:t>
      </w:r>
      <w:r>
        <w:t>un requisito recomendado por el Bienaventurado así “sin valor, fácil de conseguir e intachable” (A II 26); inspira</w:t>
      </w:r>
      <w:r w:rsidR="00EE6A31">
        <w:t>rá</w:t>
      </w:r>
      <w:r>
        <w:t xml:space="preserve"> confianza; produc</w:t>
      </w:r>
      <w:r w:rsidR="00EE6A31">
        <w:t>irá</w:t>
      </w:r>
      <w:r>
        <w:t xml:space="preserve"> los frutos de la </w:t>
      </w:r>
      <w:r w:rsidR="004442F7" w:rsidRPr="004442F7">
        <w:t xml:space="preserve">carencia </w:t>
      </w:r>
      <w:r>
        <w:t>de deseos, etc.; se cultiva</w:t>
      </w:r>
      <w:r w:rsidR="00131666">
        <w:t>rá</w:t>
      </w:r>
      <w:r>
        <w:t xml:space="preserve"> el </w:t>
      </w:r>
      <w:r w:rsidR="00131666">
        <w:t xml:space="preserve">sendero </w:t>
      </w:r>
      <w:r>
        <w:t>correcto; se da</w:t>
      </w:r>
      <w:r w:rsidR="00131666">
        <w:t>rá</w:t>
      </w:r>
      <w:r>
        <w:t xml:space="preserve"> un buen ejemplo</w:t>
      </w:r>
      <w:r w:rsidR="008F2FE2">
        <w:rPr>
          <w:vertAlign w:val="superscript"/>
        </w:rPr>
        <w:t>9</w:t>
      </w:r>
      <w:r>
        <w:t xml:space="preserve"> a las generaciones posteriores.</w:t>
      </w:r>
    </w:p>
    <w:p w14:paraId="19D774CB" w14:textId="525F2D77" w:rsidR="004B657A" w:rsidRDefault="004B657A" w:rsidP="004B657A">
      <w:pPr>
        <w:spacing w:after="0"/>
      </w:pPr>
      <w:r>
        <w:t xml:space="preserve">22. </w:t>
      </w:r>
      <w:r>
        <w:tab/>
      </w:r>
      <w:r>
        <w:tab/>
      </w:r>
      <w:r>
        <w:tab/>
        <w:t>Mientras se luch</w:t>
      </w:r>
      <w:r w:rsidR="00131666">
        <w:t>e</w:t>
      </w:r>
      <w:r>
        <w:t xml:space="preserve"> por derrotar al ejército de la Muerte</w:t>
      </w:r>
    </w:p>
    <w:p w14:paraId="79A852CE" w14:textId="1E16DF63" w:rsidR="004B657A" w:rsidRDefault="004B657A" w:rsidP="004B657A">
      <w:pPr>
        <w:pStyle w:val="VersoIngls01Sangria"/>
      </w:pPr>
      <w:r>
        <w:t xml:space="preserve">El asceta vestido con un </w:t>
      </w:r>
      <w:r w:rsidR="00131666">
        <w:t>ropaje</w:t>
      </w:r>
      <w:r>
        <w:t xml:space="preserve"> de </w:t>
      </w:r>
      <w:r w:rsidR="00131666">
        <w:t>harapos</w:t>
      </w:r>
    </w:p>
    <w:p w14:paraId="497D987B" w14:textId="0132571E" w:rsidR="004B657A" w:rsidRDefault="004B657A" w:rsidP="004B657A">
      <w:pPr>
        <w:pStyle w:val="VersoIngls01Sangria"/>
      </w:pPr>
      <w:r>
        <w:t>Obtenido de un basur</w:t>
      </w:r>
      <w:r w:rsidR="00E51FE4">
        <w:t>ero</w:t>
      </w:r>
      <w:r>
        <w:t>, brilla</w:t>
      </w:r>
      <w:r w:rsidR="00E51FE4">
        <w:t>rá</w:t>
      </w:r>
      <w:r>
        <w:t xml:space="preserve"> intensamente</w:t>
      </w:r>
    </w:p>
    <w:p w14:paraId="724F7308" w14:textId="54D3EE13" w:rsidR="004B657A" w:rsidRDefault="004B657A" w:rsidP="004B657A">
      <w:pPr>
        <w:pStyle w:val="VersoIngls01Sangria"/>
        <w:spacing w:after="100"/>
        <w:ind w:left="1418"/>
      </w:pPr>
      <w:r>
        <w:t xml:space="preserve">Como </w:t>
      </w:r>
      <w:r w:rsidR="000F4DD8">
        <w:t xml:space="preserve">un </w:t>
      </w:r>
      <w:r>
        <w:t xml:space="preserve">guerrero vestido </w:t>
      </w:r>
      <w:r w:rsidR="00E51FE4">
        <w:t xml:space="preserve">en su </w:t>
      </w:r>
      <w:r>
        <w:t xml:space="preserve">malla </w:t>
      </w:r>
      <w:r w:rsidR="00E51FE4">
        <w:t xml:space="preserve">de </w:t>
      </w:r>
      <w:r>
        <w:t>lucha.</w:t>
      </w:r>
    </w:p>
    <w:p w14:paraId="6CFCFDA1" w14:textId="07419C74" w:rsidR="004B657A" w:rsidRDefault="005C79D1" w:rsidP="004B657A">
      <w:pPr>
        <w:pStyle w:val="VersoIngls01Sangria"/>
      </w:pPr>
      <w:r>
        <w:t xml:space="preserve">Aquel ropaje </w:t>
      </w:r>
      <w:r w:rsidR="004B657A">
        <w:t>usó el gran maestro del mundo,</w:t>
      </w:r>
    </w:p>
    <w:p w14:paraId="409AEFEA" w14:textId="1DCCC96D" w:rsidR="004B657A" w:rsidRDefault="004B657A" w:rsidP="004B657A">
      <w:pPr>
        <w:pStyle w:val="VersoIngls01Sangria"/>
      </w:pPr>
      <w:r>
        <w:t xml:space="preserve">Dejando </w:t>
      </w:r>
      <w:r w:rsidR="005C79D1">
        <w:t xml:space="preserve">atrás </w:t>
      </w:r>
      <w:r>
        <w:t xml:space="preserve">raras telas </w:t>
      </w:r>
      <w:r w:rsidR="005C79D1">
        <w:t xml:space="preserve">de </w:t>
      </w:r>
      <w:proofErr w:type="spellStart"/>
      <w:r>
        <w:t>K</w:t>
      </w:r>
      <w:r w:rsidR="005C79D1">
        <w:t>ā</w:t>
      </w:r>
      <w:r>
        <w:t>si</w:t>
      </w:r>
      <w:proofErr w:type="spellEnd"/>
      <w:r>
        <w:t xml:space="preserve"> y </w:t>
      </w:r>
      <w:r w:rsidR="000F4DD8">
        <w:t>demás</w:t>
      </w:r>
      <w:r>
        <w:t>;</w:t>
      </w:r>
    </w:p>
    <w:p w14:paraId="12F2C98A" w14:textId="470E399A" w:rsidR="004B657A" w:rsidRDefault="004B657A" w:rsidP="004B657A">
      <w:pPr>
        <w:pStyle w:val="VersoIngls01Sangria"/>
      </w:pPr>
      <w:r>
        <w:t xml:space="preserve">De </w:t>
      </w:r>
      <w:r w:rsidR="000F4DD8">
        <w:t>los</w:t>
      </w:r>
      <w:r w:rsidR="00540C51">
        <w:t xml:space="preserve"> harapos </w:t>
      </w:r>
      <w:r>
        <w:t xml:space="preserve">de un </w:t>
      </w:r>
      <w:r w:rsidR="00540C51">
        <w:t>basurero</w:t>
      </w:r>
    </w:p>
    <w:p w14:paraId="072A6B55" w14:textId="35038697" w:rsidR="004B657A" w:rsidRPr="00380304" w:rsidRDefault="004B657A" w:rsidP="004B657A">
      <w:pPr>
        <w:pStyle w:val="VersoIngls01Sangria"/>
        <w:spacing w:after="100"/>
        <w:ind w:left="1418"/>
      </w:pPr>
      <w:r w:rsidRPr="00380304">
        <w:t xml:space="preserve">¿Quién no </w:t>
      </w:r>
      <w:r w:rsidR="00380304" w:rsidRPr="00380304">
        <w:rPr>
          <w:lang w:val="es-MX"/>
        </w:rPr>
        <w:t>fabricaría</w:t>
      </w:r>
      <w:r w:rsidRPr="00380304">
        <w:t xml:space="preserve"> un </w:t>
      </w:r>
      <w:r w:rsidR="00540C51" w:rsidRPr="00380304">
        <w:t>ropaje</w:t>
      </w:r>
      <w:r w:rsidRPr="00380304">
        <w:t>?</w:t>
      </w:r>
    </w:p>
    <w:p w14:paraId="01645833" w14:textId="77777777" w:rsidR="004B657A" w:rsidRDefault="004B657A" w:rsidP="004B657A">
      <w:pPr>
        <w:pStyle w:val="VersoIngls01Sangria"/>
      </w:pPr>
      <w:r>
        <w:t>Teniendo en cuenta las palabras que profesó</w:t>
      </w:r>
    </w:p>
    <w:p w14:paraId="01985879" w14:textId="55B214BE" w:rsidR="004B657A" w:rsidRDefault="004B657A" w:rsidP="004B657A">
      <w:pPr>
        <w:pStyle w:val="VersoIngls01Sangria"/>
      </w:pPr>
      <w:r>
        <w:t xml:space="preserve">Cuando </w:t>
      </w:r>
      <w:r w:rsidR="00540C51">
        <w:t>optó por una vida</w:t>
      </w:r>
      <w:r>
        <w:t xml:space="preserve"> sin hogar,</w:t>
      </w:r>
    </w:p>
    <w:p w14:paraId="4C86D96C" w14:textId="13089878" w:rsidR="004B657A" w:rsidRDefault="004B657A" w:rsidP="004B657A">
      <w:pPr>
        <w:pStyle w:val="VersoIngls01Sangria"/>
      </w:pPr>
      <w:r>
        <w:t xml:space="preserve">Que se </w:t>
      </w:r>
      <w:r w:rsidR="00A92945">
        <w:t xml:space="preserve">complazca utilizando </w:t>
      </w:r>
      <w:r>
        <w:t>esos harapos</w:t>
      </w:r>
    </w:p>
    <w:p w14:paraId="6C4FE3CD" w14:textId="30022C24" w:rsidR="004B657A" w:rsidRDefault="004B657A" w:rsidP="004B657A">
      <w:pPr>
        <w:pStyle w:val="VersoIngls01Sangria"/>
        <w:spacing w:after="100"/>
        <w:ind w:left="1418"/>
      </w:pPr>
      <w:r>
        <w:t xml:space="preserve">Como </w:t>
      </w:r>
      <w:r w:rsidR="00A92945">
        <w:t xml:space="preserve">alguien </w:t>
      </w:r>
      <w:r w:rsidR="000748D2">
        <w:t>adornados de</w:t>
      </w:r>
      <w:r>
        <w:t xml:space="preserve"> ropa</w:t>
      </w:r>
      <w:r w:rsidR="000748D2">
        <w:t>jes</w:t>
      </w:r>
      <w:r>
        <w:t xml:space="preserve"> decoros</w:t>
      </w:r>
      <w:r w:rsidR="000748D2">
        <w:t>os</w:t>
      </w:r>
      <w:r>
        <w:t>.</w:t>
      </w:r>
    </w:p>
    <w:p w14:paraId="4FE31FB7" w14:textId="10F0B81C" w:rsidR="004B657A" w:rsidRDefault="004B657A" w:rsidP="004B657A">
      <w:pPr>
        <w:pStyle w:val="NormalConSangria"/>
      </w:pPr>
      <w:r>
        <w:t xml:space="preserve">Este, en primer lugar, es el comentario sobre </w:t>
      </w:r>
      <w:r w:rsidR="000748D2">
        <w:t>el emprendimiento</w:t>
      </w:r>
      <w:r>
        <w:t xml:space="preserve">, las </w:t>
      </w:r>
      <w:r w:rsidR="000748D2">
        <w:t>indicaciones</w:t>
      </w:r>
      <w:r>
        <w:t xml:space="preserve">, los grados, el incumplimiento y los beneficios, en el caso de la práctica del </w:t>
      </w:r>
      <w:r w:rsidR="000748D2">
        <w:t xml:space="preserve">usuario </w:t>
      </w:r>
      <w:r>
        <w:t>de harapos.</w:t>
      </w:r>
    </w:p>
    <w:p w14:paraId="57448D37" w14:textId="77777777" w:rsidR="004B657A" w:rsidRPr="004B657A" w:rsidRDefault="004B657A" w:rsidP="004B657A">
      <w:pPr>
        <w:pStyle w:val="PiedepginaLegal"/>
        <w:rPr>
          <w:u w:val="single"/>
        </w:rPr>
      </w:pPr>
      <w:r w:rsidRPr="004B657A">
        <w:rPr>
          <w:u w:val="single"/>
        </w:rPr>
        <w:t xml:space="preserve">                                                                                                                                                 .</w:t>
      </w:r>
    </w:p>
    <w:p w14:paraId="4C95ABF3" w14:textId="6B68F481" w:rsidR="00182C10" w:rsidRDefault="004B657A" w:rsidP="000748D2">
      <w:pPr>
        <w:pStyle w:val="PiedepginaLegal"/>
      </w:pPr>
      <w:r>
        <w:t xml:space="preserve">9. </w:t>
      </w:r>
      <w:r>
        <w:tab/>
      </w:r>
      <w:proofErr w:type="spellStart"/>
      <w:r w:rsidRPr="00F5503D">
        <w:rPr>
          <w:i/>
          <w:iCs/>
        </w:rPr>
        <w:t>Apādana</w:t>
      </w:r>
      <w:proofErr w:type="spellEnd"/>
      <w:r>
        <w:t>—</w:t>
      </w:r>
      <w:r w:rsidR="00F5503D">
        <w:t xml:space="preserve"> “</w:t>
      </w:r>
      <w:r>
        <w:t xml:space="preserve">institución (o producción)”, no </w:t>
      </w:r>
      <w:r w:rsidR="00C61D0A">
        <w:t xml:space="preserve">contenido </w:t>
      </w:r>
      <w:r>
        <w:t xml:space="preserve">en </w:t>
      </w:r>
      <w:r w:rsidR="00E613B8">
        <w:t xml:space="preserve">el </w:t>
      </w:r>
      <w:r>
        <w:t>PED.</w:t>
      </w:r>
      <w:r w:rsidR="00182C10">
        <w:br w:type="page"/>
      </w:r>
    </w:p>
    <w:p w14:paraId="41B0AB0A" w14:textId="1795FE3C" w:rsidR="00182C10" w:rsidRDefault="00182C10" w:rsidP="00182C10">
      <w:r>
        <w:lastRenderedPageBreak/>
        <w:t xml:space="preserve">23. </w:t>
      </w:r>
      <w:r>
        <w:tab/>
      </w:r>
      <w:proofErr w:type="spellStart"/>
      <w:r>
        <w:t>ii</w:t>
      </w:r>
      <w:proofErr w:type="spellEnd"/>
      <w:r>
        <w:t xml:space="preserve">. Luego está la </w:t>
      </w:r>
      <w:r w:rsidRPr="00F5503D">
        <w:rPr>
          <w:i/>
          <w:iCs/>
        </w:rPr>
        <w:t xml:space="preserve">práctica del usuario del triple </w:t>
      </w:r>
      <w:r w:rsidR="000748D2">
        <w:rPr>
          <w:i/>
          <w:iCs/>
        </w:rPr>
        <w:t>ropaje</w:t>
      </w:r>
      <w:r>
        <w:t xml:space="preserve">. Esto se lleva a cabo </w:t>
      </w:r>
      <w:r w:rsidR="00690DE3">
        <w:t>mediante</w:t>
      </w:r>
      <w:r>
        <w:t xml:space="preserve"> una de las siguientes </w:t>
      </w:r>
      <w:r w:rsidR="00690DE3">
        <w:t>afirmaciones</w:t>
      </w:r>
      <w:r>
        <w:t>: "Rechazo un cuart</w:t>
      </w:r>
      <w:r w:rsidR="00F425E3">
        <w:t>o</w:t>
      </w:r>
      <w:r>
        <w:t xml:space="preserve"> </w:t>
      </w:r>
      <w:r w:rsidR="00F425E3">
        <w:t>ropaje</w:t>
      </w:r>
      <w:r>
        <w:t xml:space="preserve">" o "Me comprometo </w:t>
      </w:r>
      <w:r w:rsidR="00EE77FF">
        <w:t>a</w:t>
      </w:r>
      <w:r w:rsidR="00F425E3">
        <w:t xml:space="preserve"> </w:t>
      </w:r>
      <w:r>
        <w:t xml:space="preserve">la práctica del usuario del triple </w:t>
      </w:r>
      <w:r w:rsidR="00F425E3">
        <w:t>ropaje</w:t>
      </w:r>
      <w:r>
        <w:t>". [</w:t>
      </w:r>
      <w:r w:rsidR="00F425E3">
        <w:t>65</w:t>
      </w:r>
      <w:r>
        <w:t>]</w:t>
      </w:r>
    </w:p>
    <w:p w14:paraId="319E81EA" w14:textId="43168C5D" w:rsidR="00182C10" w:rsidRDefault="00182C10" w:rsidP="00182C10">
      <w:pPr>
        <w:pStyle w:val="NormalConSangria"/>
      </w:pPr>
      <w:r>
        <w:tab/>
        <w:t xml:space="preserve">Cuando un </w:t>
      </w:r>
      <w:r w:rsidR="00D467DF">
        <w:t>usuario</w:t>
      </w:r>
      <w:r>
        <w:t xml:space="preserve"> de</w:t>
      </w:r>
      <w:r w:rsidR="00D467DF">
        <w:t>l</w:t>
      </w:r>
      <w:r>
        <w:t xml:space="preserve"> </w:t>
      </w:r>
      <w:r w:rsidR="00EE77FF">
        <w:t xml:space="preserve">triple </w:t>
      </w:r>
      <w:r w:rsidR="00690DE3">
        <w:t xml:space="preserve">ropaje </w:t>
      </w:r>
      <w:r>
        <w:t xml:space="preserve">tiene tela para un </w:t>
      </w:r>
      <w:r w:rsidR="00690DE3">
        <w:t>ropaje</w:t>
      </w:r>
      <w:r>
        <w:t>, puede guardarla mientras, debido a su mala salud</w:t>
      </w:r>
      <w:r w:rsidR="00D467DF">
        <w:t xml:space="preserve"> y</w:t>
      </w:r>
      <w:r>
        <w:t xml:space="preserve"> </w:t>
      </w:r>
      <w:r w:rsidR="00EE77FF">
        <w:t xml:space="preserve">mientras </w:t>
      </w:r>
      <w:r>
        <w:t xml:space="preserve">no pueda </w:t>
      </w:r>
      <w:r w:rsidR="00D467DF">
        <w:t>fabricarla</w:t>
      </w:r>
      <w:r>
        <w:t xml:space="preserve">, o mientras no encuentre </w:t>
      </w:r>
      <w:r w:rsidR="00513963">
        <w:t xml:space="preserve">un </w:t>
      </w:r>
      <w:r>
        <w:t>ayudante, o le falt</w:t>
      </w:r>
      <w:r w:rsidR="00513963">
        <w:t>e</w:t>
      </w:r>
      <w:r>
        <w:t xml:space="preserve"> una aguja, etc., y no ha</w:t>
      </w:r>
      <w:r w:rsidR="00EE77FF">
        <w:t>brá</w:t>
      </w:r>
      <w:r>
        <w:t xml:space="preserve"> culpa en que la guarde. Pero no est</w:t>
      </w:r>
      <w:r w:rsidR="00EE77FF">
        <w:t>ar</w:t>
      </w:r>
      <w:r>
        <w:t xml:space="preserve">á permitido </w:t>
      </w:r>
      <w:r w:rsidR="00513963">
        <w:t>guardarl</w:t>
      </w:r>
      <w:r w:rsidR="007F5730">
        <w:t>a</w:t>
      </w:r>
      <w:r>
        <w:t xml:space="preserve"> una vez teñid</w:t>
      </w:r>
      <w:r w:rsidR="007F5730">
        <w:t>a</w:t>
      </w:r>
      <w:r>
        <w:t xml:space="preserve">. </w:t>
      </w:r>
      <w:r w:rsidR="00513963">
        <w:t>A e</w:t>
      </w:r>
      <w:r>
        <w:t xml:space="preserve">so se </w:t>
      </w:r>
      <w:r w:rsidR="00513963">
        <w:t xml:space="preserve">le </w:t>
      </w:r>
      <w:r>
        <w:t>llama</w:t>
      </w:r>
      <w:r w:rsidR="00D15DF9">
        <w:t xml:space="preserve"> </w:t>
      </w:r>
      <w:r w:rsidR="00BB7C1C">
        <w:t xml:space="preserve">falsear </w:t>
      </w:r>
      <w:r>
        <w:t>la práctica asc</w:t>
      </w:r>
      <w:r w:rsidR="00BB7C1C">
        <w:t>e</w:t>
      </w:r>
      <w:r>
        <w:t xml:space="preserve">ta. </w:t>
      </w:r>
      <w:r w:rsidR="00D467DF">
        <w:t>É</w:t>
      </w:r>
      <w:r>
        <w:t xml:space="preserve">stas son las </w:t>
      </w:r>
      <w:r w:rsidRPr="00F5503D">
        <w:rPr>
          <w:i/>
          <w:iCs/>
        </w:rPr>
        <w:t>indicaciones</w:t>
      </w:r>
      <w:r>
        <w:t xml:space="preserve"> para ello.</w:t>
      </w:r>
    </w:p>
    <w:p w14:paraId="28EABB56" w14:textId="45E06A97" w:rsidR="00182C10" w:rsidRDefault="00182C10" w:rsidP="00182C10">
      <w:r>
        <w:t xml:space="preserve">24. </w:t>
      </w:r>
      <w:r>
        <w:tab/>
        <w:t xml:space="preserve">Esto también </w:t>
      </w:r>
      <w:r w:rsidR="00BB7C1C">
        <w:t>posee</w:t>
      </w:r>
      <w:r>
        <w:t xml:space="preserve"> tres </w:t>
      </w:r>
      <w:r w:rsidRPr="00F5503D">
        <w:rPr>
          <w:i/>
          <w:iCs/>
        </w:rPr>
        <w:t>grados</w:t>
      </w:r>
      <w:r>
        <w:t>. Aquí, quien s</w:t>
      </w:r>
      <w:r w:rsidR="00513963">
        <w:t>ea</w:t>
      </w:r>
      <w:r>
        <w:t xml:space="preserve"> estricto debe, en el momento de teñir</w:t>
      </w:r>
      <w:r w:rsidR="00BB7C1C">
        <w:t xml:space="preserve"> las prendas</w:t>
      </w:r>
      <w:r>
        <w:t xml:space="preserve">, primero teñir la </w:t>
      </w:r>
      <w:r w:rsidR="00BB7C1C">
        <w:t xml:space="preserve">prenda </w:t>
      </w:r>
      <w:r>
        <w:t xml:space="preserve">interior o la prenda superior, y después de teñirla, debe usarla alrededor de la cintura y teñir la otra. Luego puede ponerse eso sobre el hombro y teñir </w:t>
      </w:r>
      <w:r w:rsidR="00925A4C">
        <w:t>el manto</w:t>
      </w:r>
      <w:r>
        <w:t xml:space="preserve"> de parches. Pero no se permit</w:t>
      </w:r>
      <w:r w:rsidR="00BB7C1C">
        <w:t>irá</w:t>
      </w:r>
      <w:r>
        <w:t xml:space="preserve"> usar la capa de parches alrededor de la cintura. Est</w:t>
      </w:r>
      <w:r w:rsidR="008A15CC">
        <w:t>o</w:t>
      </w:r>
      <w:r>
        <w:t xml:space="preserve"> es </w:t>
      </w:r>
      <w:r w:rsidR="008A15CC">
        <w:t>imperativo</w:t>
      </w:r>
      <w:r>
        <w:t xml:space="preserve"> cuando se </w:t>
      </w:r>
      <w:r w:rsidR="008A15CC">
        <w:t xml:space="preserve">encuentre </w:t>
      </w:r>
      <w:r>
        <w:t xml:space="preserve">en </w:t>
      </w:r>
      <w:r w:rsidR="008A15CC">
        <w:t xml:space="preserve">un hogar </w:t>
      </w:r>
      <w:r>
        <w:t>dentro de un pueblo. Pero le est</w:t>
      </w:r>
      <w:r w:rsidR="00372CAA">
        <w:t>ar</w:t>
      </w:r>
      <w:r>
        <w:t xml:space="preserve">á permitido en el bosque lavar y teñir </w:t>
      </w:r>
      <w:r w:rsidR="00372CAA">
        <w:t xml:space="preserve">los </w:t>
      </w:r>
      <w:r>
        <w:t>dos juntos. Sin embargo, debe sentarse en un lugar cercano [a l</w:t>
      </w:r>
      <w:r w:rsidR="004442B8">
        <w:t>o</w:t>
      </w:r>
      <w:r>
        <w:t xml:space="preserve">s </w:t>
      </w:r>
      <w:r w:rsidR="004442B8">
        <w:t>ropajes</w:t>
      </w:r>
      <w:r>
        <w:t>] para que, si v</w:t>
      </w:r>
      <w:r w:rsidR="000E4373">
        <w:t>iese</w:t>
      </w:r>
      <w:r>
        <w:t xml:space="preserve"> a alguien, pueda cubrirse con una tela amarilla. Pero para el </w:t>
      </w:r>
      <w:r w:rsidR="004442B8">
        <w:t xml:space="preserve">intermedio </w:t>
      </w:r>
      <w:r>
        <w:t>ha</w:t>
      </w:r>
      <w:r w:rsidR="00DD7792">
        <w:t>brá</w:t>
      </w:r>
      <w:r>
        <w:t xml:space="preserve"> una tela amarilla en la sala de teñido para usar mientras se </w:t>
      </w:r>
      <w:r w:rsidR="000E4373">
        <w:t xml:space="preserve">dé el </w:t>
      </w:r>
      <w:r>
        <w:t>t</w:t>
      </w:r>
      <w:r w:rsidR="000E4373">
        <w:t>e</w:t>
      </w:r>
      <w:r>
        <w:t>ñ</w:t>
      </w:r>
      <w:r w:rsidR="000E4373">
        <w:t>ido</w:t>
      </w:r>
      <w:r>
        <w:t>, y se le permit</w:t>
      </w:r>
      <w:r w:rsidR="00DD7792">
        <w:t>irá</w:t>
      </w:r>
      <w:r>
        <w:t xml:space="preserve"> usar eso [como </w:t>
      </w:r>
      <w:r w:rsidR="000E4373">
        <w:t xml:space="preserve">prenda </w:t>
      </w:r>
      <w:r>
        <w:t xml:space="preserve">interior] o ponérselo [como prenda superior] </w:t>
      </w:r>
      <w:r w:rsidR="000E4373">
        <w:t>durante</w:t>
      </w:r>
      <w:r>
        <w:t xml:space="preserve"> el trabajo de teñido. Para el </w:t>
      </w:r>
      <w:r w:rsidR="00DD7792">
        <w:t>moderado</w:t>
      </w:r>
      <w:r>
        <w:t xml:space="preserve"> est</w:t>
      </w:r>
      <w:r w:rsidR="000E4373">
        <w:t>ar</w:t>
      </w:r>
      <w:r>
        <w:t>á permitido usar o ponerse l</w:t>
      </w:r>
      <w:r w:rsidR="00DD7792">
        <w:t>o</w:t>
      </w:r>
      <w:r>
        <w:t xml:space="preserve">s </w:t>
      </w:r>
      <w:r w:rsidR="00DD7792">
        <w:t xml:space="preserve">ropajes </w:t>
      </w:r>
      <w:r>
        <w:t xml:space="preserve">de los </w:t>
      </w:r>
      <w:proofErr w:type="spellStart"/>
      <w:r w:rsidR="00057BF4" w:rsidRPr="00057BF4">
        <w:rPr>
          <w:i/>
          <w:iCs/>
        </w:rPr>
        <w:t>bhikkhu</w:t>
      </w:r>
      <w:r w:rsidRPr="00F5503D">
        <w:rPr>
          <w:i/>
          <w:iCs/>
        </w:rPr>
        <w:t>s</w:t>
      </w:r>
      <w:proofErr w:type="spellEnd"/>
      <w:r>
        <w:t xml:space="preserve"> que est</w:t>
      </w:r>
      <w:r w:rsidR="00E92F4D">
        <w:t>é</w:t>
      </w:r>
      <w:r>
        <w:t>n en comunión (es decir, no suspendid</w:t>
      </w:r>
      <w:r w:rsidR="00E92F4D">
        <w:t>o</w:t>
      </w:r>
      <w:r>
        <w:t>s, etc.) para hacer el trabajo de teñi</w:t>
      </w:r>
      <w:r w:rsidR="00E92F4D">
        <w:t>do</w:t>
      </w:r>
      <w:r>
        <w:t>. También se permit</w:t>
      </w:r>
      <w:r w:rsidR="000E4373">
        <w:t>irá</w:t>
      </w:r>
      <w:r>
        <w:t xml:space="preserve"> </w:t>
      </w:r>
      <w:r w:rsidR="0070148D">
        <w:t xml:space="preserve">usar </w:t>
      </w:r>
      <w:r>
        <w:t xml:space="preserve">una colcha que </w:t>
      </w:r>
      <w:r w:rsidR="0070148D">
        <w:t xml:space="preserve">se encuentre </w:t>
      </w:r>
      <w:r>
        <w:t xml:space="preserve">donde </w:t>
      </w:r>
      <w:r w:rsidR="000E4373">
        <w:t>se encuentre</w:t>
      </w:r>
      <w:r>
        <w:t>,</w:t>
      </w:r>
      <w:r w:rsidR="004E2171">
        <w:rPr>
          <w:vertAlign w:val="superscript"/>
        </w:rPr>
        <w:t>10</w:t>
      </w:r>
      <w:r>
        <w:t xml:space="preserve"> pero no debe llevarla consigo. Y se le permit</w:t>
      </w:r>
      <w:r w:rsidR="000E4373">
        <w:t>irá</w:t>
      </w:r>
      <w:r>
        <w:t xml:space="preserve"> usar de vez en cuando l</w:t>
      </w:r>
      <w:r w:rsidR="0070148D">
        <w:t>o</w:t>
      </w:r>
      <w:r>
        <w:t xml:space="preserve">s </w:t>
      </w:r>
      <w:r w:rsidR="0070148D">
        <w:t xml:space="preserve">ropajes </w:t>
      </w:r>
      <w:r>
        <w:t xml:space="preserve">de </w:t>
      </w:r>
      <w:r w:rsidR="00AF200D">
        <w:t xml:space="preserve">los </w:t>
      </w:r>
      <w:proofErr w:type="spellStart"/>
      <w:r w:rsidR="00057BF4" w:rsidRPr="00057BF4">
        <w:rPr>
          <w:i/>
          <w:iCs/>
        </w:rPr>
        <w:t>bhikkhu</w:t>
      </w:r>
      <w:r w:rsidRPr="00F5503D">
        <w:rPr>
          <w:i/>
          <w:iCs/>
        </w:rPr>
        <w:t>s</w:t>
      </w:r>
      <w:proofErr w:type="spellEnd"/>
      <w:r>
        <w:t xml:space="preserve"> que est</w:t>
      </w:r>
      <w:r w:rsidR="00AF200D">
        <w:t>é</w:t>
      </w:r>
      <w:r>
        <w:t>n en comunión. A quien vist</w:t>
      </w:r>
      <w:r w:rsidR="0070148D">
        <w:t>a</w:t>
      </w:r>
      <w:r>
        <w:t xml:space="preserve"> </w:t>
      </w:r>
      <w:r w:rsidR="0070148D">
        <w:t>e</w:t>
      </w:r>
      <w:r>
        <w:t xml:space="preserve">l </w:t>
      </w:r>
      <w:r w:rsidR="0070148D">
        <w:t>ropaje</w:t>
      </w:r>
      <w:r>
        <w:t xml:space="preserve"> triple como práctica </w:t>
      </w:r>
      <w:r w:rsidR="00656CF3" w:rsidRPr="00656CF3">
        <w:t xml:space="preserve">ascetas </w:t>
      </w:r>
      <w:r>
        <w:t>se le permite tener una hombrera amarilla también como cuarta; pero debe tener sólo un palmo de ancho y tres palmos de largo.</w:t>
      </w:r>
    </w:p>
    <w:p w14:paraId="5021971A" w14:textId="37D8251A" w:rsidR="00182C10" w:rsidRDefault="00182C10" w:rsidP="00182C10">
      <w:pPr>
        <w:pStyle w:val="NormalConSangria"/>
      </w:pPr>
      <w:r>
        <w:t>En el momento en que cualquiera de estos tres acced</w:t>
      </w:r>
      <w:r w:rsidR="001B309C">
        <w:t>a</w:t>
      </w:r>
      <w:r>
        <w:t xml:space="preserve"> a [aceptar] un cuart</w:t>
      </w:r>
      <w:r w:rsidR="001B309C">
        <w:t>o</w:t>
      </w:r>
      <w:r>
        <w:t xml:space="preserve"> </w:t>
      </w:r>
      <w:r w:rsidR="001B309C">
        <w:t>ropaje</w:t>
      </w:r>
      <w:r>
        <w:t xml:space="preserve">, su práctica </w:t>
      </w:r>
      <w:r w:rsidR="00656CF3" w:rsidRPr="00656CF3">
        <w:t xml:space="preserve">ascetas </w:t>
      </w:r>
      <w:r>
        <w:t>se rompe</w:t>
      </w:r>
      <w:r w:rsidR="001B309C">
        <w:t>rá</w:t>
      </w:r>
      <w:r>
        <w:t xml:space="preserve">. </w:t>
      </w:r>
      <w:r w:rsidR="00AF200D">
        <w:t>É</w:t>
      </w:r>
      <w:r>
        <w:t xml:space="preserve">ste </w:t>
      </w:r>
      <w:r w:rsidR="001B309C">
        <w:t xml:space="preserve">será </w:t>
      </w:r>
      <w:r>
        <w:t xml:space="preserve">el </w:t>
      </w:r>
      <w:r w:rsidRPr="00F5503D">
        <w:rPr>
          <w:i/>
          <w:iCs/>
        </w:rPr>
        <w:t>incumplimiento</w:t>
      </w:r>
      <w:r>
        <w:t xml:space="preserve"> en este caso.</w:t>
      </w:r>
    </w:p>
    <w:p w14:paraId="33AE9783" w14:textId="13AED0E8" w:rsidR="00182C10" w:rsidRDefault="00182C10" w:rsidP="00182C10">
      <w:r>
        <w:t xml:space="preserve">25. </w:t>
      </w:r>
      <w:r>
        <w:tab/>
        <w:t xml:space="preserve">Los </w:t>
      </w:r>
      <w:r w:rsidRPr="003C7F92">
        <w:rPr>
          <w:i/>
          <w:iCs/>
        </w:rPr>
        <w:t>beneficios</w:t>
      </w:r>
      <w:r>
        <w:t xml:space="preserve"> son estos. El </w:t>
      </w:r>
      <w:proofErr w:type="spellStart"/>
      <w:r w:rsidR="00057BF4" w:rsidRPr="00057BF4">
        <w:rPr>
          <w:i/>
          <w:iCs/>
        </w:rPr>
        <w:t>bhikkhu</w:t>
      </w:r>
      <w:proofErr w:type="spellEnd"/>
      <w:r>
        <w:t xml:space="preserve"> que us</w:t>
      </w:r>
      <w:r w:rsidR="00E42D25">
        <w:t>e</w:t>
      </w:r>
      <w:r>
        <w:t xml:space="preserve"> </w:t>
      </w:r>
      <w:r w:rsidR="00E42D25">
        <w:t xml:space="preserve">el </w:t>
      </w:r>
      <w:r w:rsidR="0054690B">
        <w:t xml:space="preserve">triple </w:t>
      </w:r>
      <w:r w:rsidR="00E42D25">
        <w:t>ropaje</w:t>
      </w:r>
      <w:r>
        <w:t xml:space="preserve"> se contenta</w:t>
      </w:r>
      <w:r w:rsidR="00E42D25">
        <w:t>rá</w:t>
      </w:r>
      <w:r>
        <w:t xml:space="preserve"> con </w:t>
      </w:r>
      <w:r w:rsidR="00CB74FF">
        <w:t>ta</w:t>
      </w:r>
      <w:r w:rsidR="00E42D25">
        <w:t xml:space="preserve">l ropaje </w:t>
      </w:r>
      <w:r>
        <w:t xml:space="preserve">como protección para el cuerpo. Por eso </w:t>
      </w:r>
      <w:r w:rsidR="00CB74FF">
        <w:t xml:space="preserve">él </w:t>
      </w:r>
      <w:r w:rsidR="008B76DA">
        <w:t xml:space="preserve">se desplaza </w:t>
      </w:r>
      <w:r>
        <w:t xml:space="preserve">llevándolo consigo </w:t>
      </w:r>
      <w:r w:rsidR="0054690B">
        <w:t xml:space="preserve">libre </w:t>
      </w:r>
      <w:r>
        <w:t xml:space="preserve">como un pájaro </w:t>
      </w:r>
      <w:r w:rsidR="00380A96">
        <w:t>y</w:t>
      </w:r>
      <w:r>
        <w:t xml:space="preserve"> sus alas (M I 180); y cualidades tan especiales como tener poc</w:t>
      </w:r>
      <w:r w:rsidR="00CB74FF">
        <w:t>o</w:t>
      </w:r>
      <w:r>
        <w:t>s empre</w:t>
      </w:r>
      <w:r w:rsidR="00CB74FF">
        <w:t>ndimientos</w:t>
      </w:r>
      <w:r>
        <w:t>, evitar el almacenamiento de telas, una existencia frugal, el abandono de la codicia por much</w:t>
      </w:r>
      <w:r w:rsidR="008B76DA">
        <w:t>o</w:t>
      </w:r>
      <w:r>
        <w:t xml:space="preserve">s </w:t>
      </w:r>
      <w:r w:rsidR="008B76DA">
        <w:t>ropajes</w:t>
      </w:r>
      <w:r>
        <w:t xml:space="preserve">, vivir en la </w:t>
      </w:r>
      <w:r w:rsidR="008B76DA">
        <w:t>purificación</w:t>
      </w:r>
      <w:r>
        <w:t xml:space="preserve"> observando la moderación incluso en lo permitido, la producción de los frutos de la escasez de deseos, etc</w:t>
      </w:r>
      <w:r w:rsidR="003C7F92">
        <w:t>.</w:t>
      </w:r>
      <w:r>
        <w:t xml:space="preserve">, </w:t>
      </w:r>
      <w:r w:rsidR="00E27E8A">
        <w:t xml:space="preserve">todos estos </w:t>
      </w:r>
      <w:r w:rsidR="00657ED8">
        <w:t>serán</w:t>
      </w:r>
      <w:r>
        <w:t xml:space="preserve"> perfeccionados. [66]</w:t>
      </w:r>
    </w:p>
    <w:p w14:paraId="4BF758FA" w14:textId="495063D8" w:rsidR="00182C10" w:rsidRDefault="00182C10" w:rsidP="009F59B9">
      <w:pPr>
        <w:pStyle w:val="VersoIngls01Sangria"/>
        <w:ind w:hanging="1416"/>
      </w:pPr>
      <w:r>
        <w:t xml:space="preserve">26. </w:t>
      </w:r>
      <w:r>
        <w:tab/>
      </w:r>
      <w:r w:rsidR="009F59B9">
        <w:tab/>
      </w:r>
      <w:r>
        <w:t>Ningún riesgo de acaparamiento pers</w:t>
      </w:r>
      <w:r w:rsidR="00E27E8A">
        <w:t>e</w:t>
      </w:r>
      <w:r>
        <w:t>gu</w:t>
      </w:r>
      <w:r w:rsidR="00E27E8A">
        <w:t>irá</w:t>
      </w:r>
      <w:r>
        <w:t xml:space="preserve"> al hombre de </w:t>
      </w:r>
      <w:r w:rsidR="00496724" w:rsidRPr="00496724">
        <w:t>inteligencia</w:t>
      </w:r>
    </w:p>
    <w:p w14:paraId="6B1D473C" w14:textId="69CEFEA7" w:rsidR="00182C10" w:rsidRDefault="00182C10" w:rsidP="00182C10">
      <w:pPr>
        <w:pStyle w:val="VersoIngls01Sangria"/>
      </w:pPr>
      <w:r>
        <w:t>Qu</w:t>
      </w:r>
      <w:r w:rsidR="00496724">
        <w:t>e</w:t>
      </w:r>
      <w:r>
        <w:t xml:space="preserve"> no </w:t>
      </w:r>
      <w:r w:rsidR="00C67FF6">
        <w:t>re</w:t>
      </w:r>
      <w:r>
        <w:t>quier</w:t>
      </w:r>
      <w:r w:rsidR="00496724">
        <w:t>e</w:t>
      </w:r>
      <w:r>
        <w:t xml:space="preserve"> </w:t>
      </w:r>
      <w:r w:rsidR="00496724">
        <w:t xml:space="preserve">de </w:t>
      </w:r>
      <w:r>
        <w:t>tela extra para el requisito;</w:t>
      </w:r>
    </w:p>
    <w:p w14:paraId="5D42AF86" w14:textId="4D050680" w:rsidR="00182C10" w:rsidRDefault="00182C10" w:rsidP="00182C10">
      <w:pPr>
        <w:pStyle w:val="VersoIngls01Sangria"/>
      </w:pPr>
      <w:r>
        <w:t xml:space="preserve">Usando </w:t>
      </w:r>
      <w:r w:rsidR="00C67FF6">
        <w:t xml:space="preserve">el </w:t>
      </w:r>
      <w:r w:rsidR="00496724">
        <w:t xml:space="preserve">triple </w:t>
      </w:r>
      <w:r w:rsidR="00C67FF6">
        <w:t>ropaje</w:t>
      </w:r>
      <w:r>
        <w:t xml:space="preserve"> donde quiera que vaya</w:t>
      </w:r>
    </w:p>
    <w:p w14:paraId="625482B7" w14:textId="23F20F3A" w:rsidR="00182C10" w:rsidRDefault="00182C10" w:rsidP="00182C10">
      <w:pPr>
        <w:pStyle w:val="VersoIngls01Sangria"/>
      </w:pPr>
      <w:r>
        <w:t xml:space="preserve">El </w:t>
      </w:r>
      <w:r w:rsidR="00F829E0">
        <w:t xml:space="preserve">conocerá el agradable </w:t>
      </w:r>
      <w:r>
        <w:t>sabor de</w:t>
      </w:r>
      <w:r w:rsidR="00F829E0">
        <w:t xml:space="preserve"> la satisfacción</w:t>
      </w:r>
    </w:p>
    <w:p w14:paraId="5F279AEB" w14:textId="77777777" w:rsidR="00182C10" w:rsidRPr="00182C10" w:rsidRDefault="00182C10" w:rsidP="00182C10">
      <w:pPr>
        <w:pStyle w:val="PiedepginaLegal"/>
        <w:rPr>
          <w:u w:val="single"/>
        </w:rPr>
      </w:pPr>
      <w:r w:rsidRPr="00182C10">
        <w:rPr>
          <w:u w:val="single"/>
        </w:rPr>
        <w:t xml:space="preserve">                                                                                                                                                 .</w:t>
      </w:r>
    </w:p>
    <w:p w14:paraId="32092996" w14:textId="746D681A" w:rsidR="00182C10" w:rsidRDefault="00182C10" w:rsidP="00182C10">
      <w:pPr>
        <w:pStyle w:val="PiedepginaLegal"/>
      </w:pPr>
      <w:r>
        <w:t xml:space="preserve">10. </w:t>
      </w:r>
      <w:r>
        <w:tab/>
      </w:r>
      <w:proofErr w:type="spellStart"/>
      <w:r w:rsidRPr="003C7F92">
        <w:rPr>
          <w:i/>
          <w:iCs/>
        </w:rPr>
        <w:t>Tatraṭṭhaka-paccattharaṇa</w:t>
      </w:r>
      <w:proofErr w:type="spellEnd"/>
      <w:proofErr w:type="gramStart"/>
      <w:r>
        <w:t>—”una</w:t>
      </w:r>
      <w:proofErr w:type="gramEnd"/>
      <w:r>
        <w:t xml:space="preserve"> colcha que </w:t>
      </w:r>
      <w:r w:rsidR="00F829E0">
        <w:t>se encuentre en el lugar</w:t>
      </w:r>
      <w:r>
        <w:t xml:space="preserve">”; “Un nombre para lo que se ha determinado como colcha en el lugar de descanso propio o en el de otra persona. Dicen en consecuencia (se dice en un comentario) que no hay violación de la práctica </w:t>
      </w:r>
      <w:r w:rsidR="00656CF3">
        <w:t>asceta</w:t>
      </w:r>
      <w:r>
        <w:t xml:space="preserve"> incluso cuando estos dos, es decir, la colcha y la tela sin teñir, se manten</w:t>
      </w:r>
      <w:r w:rsidR="00730432">
        <w:t>ga</w:t>
      </w:r>
      <w:r>
        <w:t xml:space="preserve">n como </w:t>
      </w:r>
      <w:r w:rsidR="00730432">
        <w:t>ropajes</w:t>
      </w:r>
      <w:r>
        <w:t xml:space="preserve"> adicionales” (</w:t>
      </w:r>
      <w:proofErr w:type="spellStart"/>
      <w:r>
        <w:t>Vism-mhṭ</w:t>
      </w:r>
      <w:proofErr w:type="spellEnd"/>
      <w:r>
        <w:t xml:space="preserve"> 78–79). Para </w:t>
      </w:r>
      <w:proofErr w:type="spellStart"/>
      <w:r w:rsidRPr="003C7F92">
        <w:rPr>
          <w:i/>
          <w:iCs/>
        </w:rPr>
        <w:t>tatraṭṭhaka</w:t>
      </w:r>
      <w:proofErr w:type="spellEnd"/>
      <w:r>
        <w:t xml:space="preserve"> (accesorio) ver también §61.</w:t>
      </w:r>
    </w:p>
    <w:p w14:paraId="1476196A" w14:textId="77777777" w:rsidR="009F59B9" w:rsidRDefault="009F59B9">
      <w:pPr>
        <w:tabs>
          <w:tab w:val="clear" w:pos="425"/>
        </w:tabs>
        <w:spacing w:after="160"/>
      </w:pPr>
      <w:r>
        <w:br w:type="page"/>
      </w:r>
    </w:p>
    <w:p w14:paraId="0FEFF158" w14:textId="34BAF94D" w:rsidR="009F59B9" w:rsidRDefault="009F59B9" w:rsidP="009F59B9">
      <w:pPr>
        <w:pStyle w:val="VersoIngls01Sangria"/>
      </w:pPr>
      <w:r>
        <w:lastRenderedPageBreak/>
        <w:t>Entonces,</w:t>
      </w:r>
      <w:r w:rsidR="00380A96">
        <w:t xml:space="preserve"> </w:t>
      </w:r>
      <w:r w:rsidR="00496724">
        <w:t xml:space="preserve">el adepto </w:t>
      </w:r>
      <w:r w:rsidR="00380A96">
        <w:t>peregrinará</w:t>
      </w:r>
      <w:r>
        <w:t xml:space="preserve"> sin inmutarse</w:t>
      </w:r>
      <w:r w:rsidR="00793461">
        <w:t>,</w:t>
      </w:r>
    </w:p>
    <w:p w14:paraId="030A7BC3" w14:textId="4F30FEDA" w:rsidR="009F59B9" w:rsidRDefault="009F59B9" w:rsidP="009F59B9">
      <w:pPr>
        <w:pStyle w:val="VersoIngls01Sangria"/>
      </w:pPr>
      <w:r>
        <w:t xml:space="preserve">Con nada más que su </w:t>
      </w:r>
      <w:r w:rsidR="00380A96">
        <w:t>ropaje</w:t>
      </w:r>
      <w:r>
        <w:t xml:space="preserve">, </w:t>
      </w:r>
      <w:r w:rsidR="00380A96">
        <w:t xml:space="preserve">así </w:t>
      </w:r>
      <w:r>
        <w:t>como vuela el pájaro</w:t>
      </w:r>
    </w:p>
    <w:p w14:paraId="443AA38F" w14:textId="2EC77407" w:rsidR="009F59B9" w:rsidRDefault="009F59B9" w:rsidP="009F59B9">
      <w:pPr>
        <w:pStyle w:val="VersoIngls01Sangria"/>
      </w:pPr>
      <w:r>
        <w:t>Con sus propias alas, que él también se regocije</w:t>
      </w:r>
      <w:r w:rsidR="00793461">
        <w:t>,</w:t>
      </w:r>
    </w:p>
    <w:p w14:paraId="18A175E0" w14:textId="77777777" w:rsidR="009F59B9" w:rsidRDefault="009F59B9" w:rsidP="009F59B9">
      <w:pPr>
        <w:pStyle w:val="VersoIngls01Sangria"/>
        <w:spacing w:after="100"/>
        <w:ind w:left="1418"/>
      </w:pPr>
      <w:r>
        <w:t>Que la frugalidad en el vestir sea su elección.</w:t>
      </w:r>
    </w:p>
    <w:p w14:paraId="0533E374" w14:textId="7DD972F9" w:rsidR="009F59B9" w:rsidRDefault="009F59B9" w:rsidP="009F59B9">
      <w:pPr>
        <w:pStyle w:val="NormalConSangria"/>
      </w:pPr>
      <w:r>
        <w:t xml:space="preserve">Este es el comentario sobre el </w:t>
      </w:r>
      <w:r w:rsidR="00E93F8C">
        <w:t>emprendimiento</w:t>
      </w:r>
      <w:r>
        <w:t xml:space="preserve">, las </w:t>
      </w:r>
      <w:r w:rsidR="00E93F8C">
        <w:t>indicaciones</w:t>
      </w:r>
      <w:r>
        <w:t xml:space="preserve">, los grados, el incumplimiento y los beneficios, en el caso de la práctica del </w:t>
      </w:r>
      <w:r w:rsidR="00E93F8C">
        <w:t xml:space="preserve">usuario </w:t>
      </w:r>
      <w:r>
        <w:t>del</w:t>
      </w:r>
      <w:r w:rsidR="00E93F8C">
        <w:t xml:space="preserve"> </w:t>
      </w:r>
      <w:r>
        <w:t xml:space="preserve">triple </w:t>
      </w:r>
      <w:r w:rsidR="005336E4">
        <w:t>ropaje</w:t>
      </w:r>
      <w:r>
        <w:t>.</w:t>
      </w:r>
    </w:p>
    <w:p w14:paraId="32A97AC9" w14:textId="3A64B6D7" w:rsidR="009F59B9" w:rsidRDefault="009F59B9" w:rsidP="009F59B9">
      <w:r>
        <w:t xml:space="preserve">27. </w:t>
      </w:r>
      <w:r>
        <w:tab/>
      </w:r>
      <w:proofErr w:type="spellStart"/>
      <w:r>
        <w:t>iii</w:t>
      </w:r>
      <w:proofErr w:type="spellEnd"/>
      <w:r>
        <w:t xml:space="preserve">. La </w:t>
      </w:r>
      <w:r w:rsidRPr="003C7F92">
        <w:rPr>
          <w:i/>
          <w:iCs/>
        </w:rPr>
        <w:t xml:space="preserve">práctica del </w:t>
      </w:r>
      <w:r w:rsidR="005336E4">
        <w:rPr>
          <w:i/>
          <w:iCs/>
        </w:rPr>
        <w:t xml:space="preserve">comensal </w:t>
      </w:r>
      <w:r w:rsidRPr="003C7F92">
        <w:rPr>
          <w:i/>
          <w:iCs/>
        </w:rPr>
        <w:t xml:space="preserve">de </w:t>
      </w:r>
      <w:r w:rsidR="005336E4">
        <w:rPr>
          <w:i/>
          <w:iCs/>
        </w:rPr>
        <w:t xml:space="preserve">ofrendas </w:t>
      </w:r>
      <w:r w:rsidRPr="00E7531F">
        <w:t>se</w:t>
      </w:r>
      <w:r w:rsidRPr="003C7F92">
        <w:rPr>
          <w:i/>
          <w:iCs/>
        </w:rPr>
        <w:t xml:space="preserve"> </w:t>
      </w:r>
      <w:r w:rsidR="00E7531F">
        <w:rPr>
          <w:i/>
          <w:iCs/>
        </w:rPr>
        <w:t>emprende</w:t>
      </w:r>
      <w:r>
        <w:t xml:space="preserve"> con una de las siguientes afirmaciones: "Rechazo un suministro suplementario</w:t>
      </w:r>
      <w:r w:rsidR="0082341D">
        <w:t xml:space="preserve"> [de alimentos]</w:t>
      </w:r>
      <w:r>
        <w:t>" o "</w:t>
      </w:r>
      <w:r w:rsidR="00614554">
        <w:t>Emprendo</w:t>
      </w:r>
      <w:r>
        <w:t xml:space="preserve"> la práctica del </w:t>
      </w:r>
      <w:r w:rsidR="0059219B">
        <w:t xml:space="preserve">comensal </w:t>
      </w:r>
      <w:r>
        <w:t xml:space="preserve">de </w:t>
      </w:r>
      <w:r w:rsidR="0059219B">
        <w:t>ofrendas</w:t>
      </w:r>
      <w:r>
        <w:t>".</w:t>
      </w:r>
    </w:p>
    <w:p w14:paraId="2AD839DA" w14:textId="67412DA1" w:rsidR="009F59B9" w:rsidRDefault="009F59B9" w:rsidP="009F59B9">
      <w:pPr>
        <w:pStyle w:val="NormalConSangria"/>
      </w:pPr>
      <w:r>
        <w:t xml:space="preserve">Ahora bien, este </w:t>
      </w:r>
      <w:r w:rsidR="0059219B">
        <w:t>comensal de ofrendas de alimentos</w:t>
      </w:r>
      <w:r>
        <w:t xml:space="preserve"> no debe aceptar los siguientes catorce tipos de </w:t>
      </w:r>
      <w:r w:rsidR="0059219B">
        <w:t>alimentos</w:t>
      </w:r>
      <w:r>
        <w:t xml:space="preserve">: una comida ofrecida a la Orden, una comida ofrecida </w:t>
      </w:r>
      <w:r w:rsidR="0059219B">
        <w:t xml:space="preserve">específicamente a </w:t>
      </w:r>
      <w:r w:rsidR="005A568F">
        <w:t>un</w:t>
      </w:r>
      <w:r w:rsidR="0059219B">
        <w:t>os</w:t>
      </w:r>
      <w:r w:rsidR="0059219B" w:rsidRPr="00057BF4">
        <w:rPr>
          <w:i/>
          <w:iCs/>
        </w:rPr>
        <w:t xml:space="preserve"> </w:t>
      </w:r>
      <w:proofErr w:type="spellStart"/>
      <w:r w:rsidR="00057BF4" w:rsidRPr="00057BF4">
        <w:rPr>
          <w:i/>
          <w:iCs/>
        </w:rPr>
        <w:t>bhikkhu</w:t>
      </w:r>
      <w:r w:rsidRPr="003C7F92">
        <w:rPr>
          <w:i/>
          <w:iCs/>
        </w:rPr>
        <w:t>s</w:t>
      </w:r>
      <w:proofErr w:type="spellEnd"/>
      <w:r>
        <w:t xml:space="preserve">, una invitación, una comida </w:t>
      </w:r>
      <w:r w:rsidR="00D82D6C">
        <w:t xml:space="preserve">ofrecida </w:t>
      </w:r>
      <w:r w:rsidR="00F4601E">
        <w:t>mediante</w:t>
      </w:r>
      <w:r>
        <w:t xml:space="preserve"> </w:t>
      </w:r>
      <w:r w:rsidR="00F4601E">
        <w:t>talonarios</w:t>
      </w:r>
      <w:r>
        <w:t xml:space="preserve">, una cada </w:t>
      </w:r>
      <w:r w:rsidR="00771257">
        <w:t xml:space="preserve">día de </w:t>
      </w:r>
      <w:r>
        <w:t xml:space="preserve">media </w:t>
      </w:r>
      <w:r w:rsidR="00F4601E">
        <w:t>Luna</w:t>
      </w:r>
      <w:r>
        <w:t xml:space="preserve">, una cada Día de </w:t>
      </w:r>
      <w:proofErr w:type="spellStart"/>
      <w:r w:rsidR="00057BF4" w:rsidRPr="00057BF4">
        <w:rPr>
          <w:i/>
          <w:iCs/>
        </w:rPr>
        <w:t>Uposatha</w:t>
      </w:r>
      <w:proofErr w:type="spellEnd"/>
      <w:r>
        <w:t>, un</w:t>
      </w:r>
      <w:r w:rsidR="0076048A">
        <w:t>a</w:t>
      </w:r>
      <w:r>
        <w:t xml:space="preserve"> cada primer</w:t>
      </w:r>
      <w:r w:rsidR="00F47D63">
        <w:t xml:space="preserve"> día</w:t>
      </w:r>
      <w:r>
        <w:t xml:space="preserve"> de media </w:t>
      </w:r>
      <w:r w:rsidR="00F4601E">
        <w:t>Luna</w:t>
      </w:r>
      <w:r>
        <w:t>, una comida dada a los visitantes, una comida a los viajeros, una comida a los enfermos, una comida a l</w:t>
      </w:r>
      <w:r w:rsidR="00F4601E">
        <w:t>o</w:t>
      </w:r>
      <w:r>
        <w:t>s enfermer</w:t>
      </w:r>
      <w:r w:rsidR="00F4601E">
        <w:t>o</w:t>
      </w:r>
      <w:r>
        <w:t xml:space="preserve">s, una comida suministrada a una residencia [particular], una comida </w:t>
      </w:r>
      <w:r w:rsidR="0001631C">
        <w:t xml:space="preserve">ofrecida </w:t>
      </w:r>
      <w:r>
        <w:t>en una casa principal,</w:t>
      </w:r>
      <w:r w:rsidR="004E2171">
        <w:rPr>
          <w:vertAlign w:val="superscript"/>
        </w:rPr>
        <w:t>11</w:t>
      </w:r>
      <w:r>
        <w:t xml:space="preserve"> una comida </w:t>
      </w:r>
      <w:r w:rsidR="0001631C">
        <w:t xml:space="preserve">ofrecida </w:t>
      </w:r>
      <w:r>
        <w:t>por turnos.</w:t>
      </w:r>
    </w:p>
    <w:p w14:paraId="069FDA6E" w14:textId="65640AB4" w:rsidR="009F59B9" w:rsidRDefault="009F59B9" w:rsidP="009F59B9">
      <w:pPr>
        <w:pStyle w:val="NormalConSangria"/>
      </w:pPr>
      <w:r>
        <w:t>Si en lugar de decir “Tom</w:t>
      </w:r>
      <w:r w:rsidR="00101333">
        <w:t>e</w:t>
      </w:r>
      <w:r>
        <w:t xml:space="preserve"> una comida </w:t>
      </w:r>
      <w:r w:rsidR="0001631C">
        <w:t xml:space="preserve">ofrecida </w:t>
      </w:r>
      <w:r>
        <w:t xml:space="preserve">a la Orden”, [las comidas] se dan diciendo “La Orden está tomando </w:t>
      </w:r>
      <w:r w:rsidR="00101333">
        <w:t>ofrenda</w:t>
      </w:r>
      <w:r w:rsidR="00C06AC1">
        <w:t>s</w:t>
      </w:r>
      <w:r>
        <w:t xml:space="preserve"> en nuestra casa; </w:t>
      </w:r>
      <w:r w:rsidR="00C06AC1">
        <w:t xml:space="preserve">usted </w:t>
      </w:r>
      <w:r>
        <w:t xml:space="preserve">también puede </w:t>
      </w:r>
      <w:r w:rsidR="00C06AC1">
        <w:t>recibir ofrendas</w:t>
      </w:r>
      <w:r>
        <w:t>”, est</w:t>
      </w:r>
      <w:r w:rsidR="0001631C">
        <w:t>ar</w:t>
      </w:r>
      <w:r>
        <w:t>á permitido consentir</w:t>
      </w:r>
      <w:r w:rsidR="00C06AC1">
        <w:t xml:space="preserve"> esto</w:t>
      </w:r>
      <w:r>
        <w:t>. Los boletos de la Orden que no s</w:t>
      </w:r>
      <w:r w:rsidR="00C06AC1">
        <w:t>ea</w:t>
      </w:r>
      <w:r>
        <w:t xml:space="preserve">n para </w:t>
      </w:r>
      <w:r w:rsidR="00503618">
        <w:t xml:space="preserve">una </w:t>
      </w:r>
      <w:r>
        <w:t xml:space="preserve">comida </w:t>
      </w:r>
      <w:r w:rsidR="00503618">
        <w:t>efectiva</w:t>
      </w:r>
      <w:r>
        <w:t>,</w:t>
      </w:r>
      <w:r w:rsidR="00EE6A1F">
        <w:rPr>
          <w:vertAlign w:val="superscript"/>
        </w:rPr>
        <w:t>12</w:t>
      </w:r>
      <w:r>
        <w:t xml:space="preserve"> y también una comida cocinada en un monasterio, también est</w:t>
      </w:r>
      <w:r w:rsidR="007A1A66">
        <w:t>ar</w:t>
      </w:r>
      <w:r>
        <w:t>án permitidos.</w:t>
      </w:r>
      <w:r w:rsidR="00FE7BCF">
        <w:t xml:space="preserve"> </w:t>
      </w:r>
      <w:r>
        <w:t xml:space="preserve">Estas son las </w:t>
      </w:r>
      <w:r w:rsidR="00D66A2B">
        <w:rPr>
          <w:i/>
          <w:iCs/>
        </w:rPr>
        <w:t xml:space="preserve">indicaciones </w:t>
      </w:r>
      <w:r>
        <w:t>para ello.</w:t>
      </w:r>
    </w:p>
    <w:p w14:paraId="3D8B73DF" w14:textId="45EE0644" w:rsidR="009F59B9" w:rsidRDefault="009F59B9" w:rsidP="009F59B9">
      <w:r>
        <w:t xml:space="preserve">28. </w:t>
      </w:r>
      <w:r>
        <w:tab/>
        <w:t xml:space="preserve">Esto también tiene tres </w:t>
      </w:r>
      <w:r w:rsidRPr="0054481A">
        <w:rPr>
          <w:i/>
          <w:iCs/>
        </w:rPr>
        <w:t>grados</w:t>
      </w:r>
      <w:r>
        <w:t xml:space="preserve">. </w:t>
      </w:r>
      <w:r w:rsidR="00D66A2B">
        <w:t>Al respecto</w:t>
      </w:r>
      <w:r>
        <w:t xml:space="preserve">, el que </w:t>
      </w:r>
      <w:r w:rsidR="00D66A2B">
        <w:t xml:space="preserve">sea </w:t>
      </w:r>
      <w:r>
        <w:t>estricto toma</w:t>
      </w:r>
      <w:r w:rsidR="00D66A2B">
        <w:t>rá</w:t>
      </w:r>
      <w:r>
        <w:t xml:space="preserve"> </w:t>
      </w:r>
      <w:r w:rsidR="00D66A2B">
        <w:t xml:space="preserve">ofrendas </w:t>
      </w:r>
      <w:r>
        <w:t>traída</w:t>
      </w:r>
      <w:r w:rsidR="00D66A2B">
        <w:t>s</w:t>
      </w:r>
      <w:r>
        <w:t xml:space="preserve"> tanto por delante como por detrás, y da</w:t>
      </w:r>
      <w:r w:rsidR="00C357D0">
        <w:t>rá</w:t>
      </w:r>
      <w:r>
        <w:t xml:space="preserve"> el cuenco a los que lo tom</w:t>
      </w:r>
      <w:r w:rsidR="00FA4CD0">
        <w:t>e</w:t>
      </w:r>
      <w:r>
        <w:t xml:space="preserve">n mientras </w:t>
      </w:r>
      <w:r w:rsidR="00FA4CD0">
        <w:t>se e</w:t>
      </w:r>
      <w:r w:rsidR="00C357D0">
        <w:t>n</w:t>
      </w:r>
      <w:r w:rsidR="00FA4CD0">
        <w:t>cuentre</w:t>
      </w:r>
      <w:r>
        <w:t xml:space="preserve"> de pie fuera de una puerta. También toma</w:t>
      </w:r>
      <w:r w:rsidR="00C357D0">
        <w:t>rá</w:t>
      </w:r>
      <w:r>
        <w:t xml:space="preserve"> </w:t>
      </w:r>
      <w:r w:rsidR="00C357D0">
        <w:t xml:space="preserve">ofrendas </w:t>
      </w:r>
      <w:r>
        <w:t xml:space="preserve">traídas al </w:t>
      </w:r>
      <w:r w:rsidR="00B11E49">
        <w:t>comedor</w:t>
      </w:r>
      <w:r>
        <w:t xml:space="preserve"> y </w:t>
      </w:r>
      <w:r w:rsidR="0027134D">
        <w:t xml:space="preserve">ofrecida </w:t>
      </w:r>
      <w:r>
        <w:t>allí. Pero él no toma</w:t>
      </w:r>
      <w:r w:rsidR="00C357D0">
        <w:t>rá</w:t>
      </w:r>
      <w:r>
        <w:t xml:space="preserve"> </w:t>
      </w:r>
      <w:r w:rsidR="00B11E49">
        <w:t xml:space="preserve">ofrendas </w:t>
      </w:r>
      <w:r>
        <w:t xml:space="preserve">sentándose [y esperando </w:t>
      </w:r>
      <w:r w:rsidR="00C357D0">
        <w:t xml:space="preserve">a </w:t>
      </w:r>
      <w:r>
        <w:t xml:space="preserve">que se la traigan más tarde] ese día. El </w:t>
      </w:r>
      <w:r w:rsidR="00B11E49">
        <w:t>inter</w:t>
      </w:r>
      <w:r>
        <w:t xml:space="preserve">medio </w:t>
      </w:r>
      <w:r w:rsidR="00ED07B6">
        <w:t xml:space="preserve">sí </w:t>
      </w:r>
      <w:r>
        <w:t xml:space="preserve">toma </w:t>
      </w:r>
      <w:r w:rsidR="00ED07B6">
        <w:t xml:space="preserve">alimentos </w:t>
      </w:r>
      <w:r>
        <w:t xml:space="preserve">sentándose [y esperando </w:t>
      </w:r>
      <w:r w:rsidR="00B11E49">
        <w:t xml:space="preserve">a </w:t>
      </w:r>
      <w:r>
        <w:t xml:space="preserve">que se lo traigan más tarde] ese día; pero no consiente en [que sea traído] al día siguiente. El </w:t>
      </w:r>
      <w:r w:rsidR="00B11E49">
        <w:t xml:space="preserve">moderado </w:t>
      </w:r>
      <w:r>
        <w:t xml:space="preserve">consiente en que [se le traiga] </w:t>
      </w:r>
      <w:r w:rsidR="00B11E49">
        <w:t>ofrenda</w:t>
      </w:r>
      <w:r w:rsidR="00ED07B6">
        <w:t>s</w:t>
      </w:r>
      <w:r w:rsidR="00B11E49">
        <w:t xml:space="preserve"> </w:t>
      </w:r>
      <w:r>
        <w:t xml:space="preserve">al día siguiente y al </w:t>
      </w:r>
      <w:r w:rsidR="00B11E49">
        <w:t>sub</w:t>
      </w:r>
      <w:r>
        <w:t xml:space="preserve">siguiente. Estos dos últimos echan de menos la alegría de una vida independiente. </w:t>
      </w:r>
      <w:r w:rsidR="00ED07B6">
        <w:t>Si hubiese</w:t>
      </w:r>
      <w:r>
        <w:t>, tal vez, una prédica sobre las herencias de los Nobles (A II 28) en algún pueblo</w:t>
      </w:r>
      <w:r w:rsidR="0075274A">
        <w:t>,</w:t>
      </w:r>
      <w:r>
        <w:t xml:space="preserve"> </w:t>
      </w:r>
      <w:r w:rsidR="0075274A">
        <w:t>e</w:t>
      </w:r>
      <w:r>
        <w:t xml:space="preserve">l estricto </w:t>
      </w:r>
      <w:r w:rsidR="00ED07B6">
        <w:t xml:space="preserve">diría </w:t>
      </w:r>
      <w:r>
        <w:t xml:space="preserve">a los demás: “Vamos, amigos, y escuchemos el </w:t>
      </w:r>
      <w:r w:rsidR="00057BF4" w:rsidRPr="00057BF4">
        <w:rPr>
          <w:i/>
        </w:rPr>
        <w:t>Dhamma</w:t>
      </w:r>
      <w:r>
        <w:t>”. Uno de ellos di</w:t>
      </w:r>
      <w:r w:rsidR="00B11E49">
        <w:t>r</w:t>
      </w:r>
      <w:r w:rsidR="00AF6C47">
        <w:t>ía</w:t>
      </w:r>
      <w:r>
        <w:t xml:space="preserve">: “Un hombre me ha hecho sentar [y esperar], </w:t>
      </w:r>
      <w:r w:rsidR="00B11E49">
        <w:t>Venerable Señor</w:t>
      </w:r>
      <w:r>
        <w:t xml:space="preserve">”, y el otro, “he consentido recibir </w:t>
      </w:r>
      <w:r w:rsidR="00B11E49">
        <w:t xml:space="preserve">ofrendas </w:t>
      </w:r>
      <w:r w:rsidR="00CF6881">
        <w:t xml:space="preserve">el día de </w:t>
      </w:r>
      <w:r>
        <w:t xml:space="preserve">mañana, </w:t>
      </w:r>
      <w:r w:rsidR="00B11E49">
        <w:t>Venerable Se</w:t>
      </w:r>
      <w:r>
        <w:t xml:space="preserve">ñor”. Así </w:t>
      </w:r>
      <w:r w:rsidR="00CF6881">
        <w:t>es cómo</w:t>
      </w:r>
      <w:r>
        <w:t xml:space="preserve"> ambos </w:t>
      </w:r>
      <w:r w:rsidR="00AF6C47">
        <w:t xml:space="preserve">se lo </w:t>
      </w:r>
      <w:r>
        <w:t>perde</w:t>
      </w:r>
      <w:r w:rsidR="00AF6C47">
        <w:t>rían</w:t>
      </w:r>
      <w:r>
        <w:t>. El otro deambula</w:t>
      </w:r>
      <w:r w:rsidR="00AF6C47">
        <w:t>rá</w:t>
      </w:r>
      <w:r>
        <w:t xml:space="preserve"> por </w:t>
      </w:r>
      <w:r w:rsidR="008147F2">
        <w:t xml:space="preserve">ofrendas </w:t>
      </w:r>
      <w:r>
        <w:t xml:space="preserve">por la mañana y luego </w:t>
      </w:r>
      <w:r w:rsidR="008147F2">
        <w:t>se marcha</w:t>
      </w:r>
      <w:r w:rsidR="00AF6C47">
        <w:t>rá</w:t>
      </w:r>
      <w:r>
        <w:t xml:space="preserve"> y saborea</w:t>
      </w:r>
      <w:r w:rsidR="00AF6C47">
        <w:t>rá</w:t>
      </w:r>
      <w:r>
        <w:t xml:space="preserve"> el sabor del </w:t>
      </w:r>
      <w:r w:rsidR="00057BF4" w:rsidRPr="00057BF4">
        <w:rPr>
          <w:i/>
        </w:rPr>
        <w:t>Dhamma</w:t>
      </w:r>
      <w:r>
        <w:t>. [67]</w:t>
      </w:r>
    </w:p>
    <w:p w14:paraId="29E8F78C" w14:textId="37B6A4EB" w:rsidR="009F59B9" w:rsidRDefault="009F59B9" w:rsidP="009F59B9">
      <w:pPr>
        <w:pStyle w:val="NormalConSangria"/>
      </w:pPr>
      <w:r>
        <w:t>En el momento en que cualquiera de estos tres acced</w:t>
      </w:r>
      <w:r w:rsidR="008147F2">
        <w:t>a</w:t>
      </w:r>
      <w:r>
        <w:t xml:space="preserve"> a la ganancia extra consistente </w:t>
      </w:r>
      <w:r w:rsidR="008147F2">
        <w:t>de</w:t>
      </w:r>
      <w:r>
        <w:t xml:space="preserve"> una comida dada a la Orden, etc., su práctica </w:t>
      </w:r>
      <w:r w:rsidR="00656CF3">
        <w:t>asceta</w:t>
      </w:r>
      <w:r>
        <w:t xml:space="preserve"> se rompe</w:t>
      </w:r>
      <w:r w:rsidR="008147F2">
        <w:t>rá</w:t>
      </w:r>
      <w:r>
        <w:t xml:space="preserve">. </w:t>
      </w:r>
      <w:r w:rsidR="006102C9">
        <w:t>É</w:t>
      </w:r>
      <w:r>
        <w:t xml:space="preserve">ste </w:t>
      </w:r>
      <w:r w:rsidR="00AF6C47">
        <w:t xml:space="preserve">será </w:t>
      </w:r>
      <w:r>
        <w:t xml:space="preserve">el </w:t>
      </w:r>
      <w:r w:rsidRPr="00DC6667">
        <w:rPr>
          <w:i/>
          <w:iCs/>
        </w:rPr>
        <w:t>incumplimiento</w:t>
      </w:r>
      <w:r>
        <w:t xml:space="preserve"> en este caso.</w:t>
      </w:r>
    </w:p>
    <w:p w14:paraId="696D7EEA" w14:textId="5BCBA174" w:rsidR="009F59B9" w:rsidRDefault="009F59B9" w:rsidP="009F59B9">
      <w:r>
        <w:t xml:space="preserve">29. </w:t>
      </w:r>
      <w:r>
        <w:tab/>
        <w:t xml:space="preserve">Los </w:t>
      </w:r>
      <w:r w:rsidRPr="003C7F92">
        <w:rPr>
          <w:i/>
          <w:iCs/>
        </w:rPr>
        <w:t>beneficios</w:t>
      </w:r>
      <w:r>
        <w:t xml:space="preserve"> son estos. </w:t>
      </w:r>
      <w:r w:rsidR="005D3A32">
        <w:t xml:space="preserve">Él en realidad </w:t>
      </w:r>
      <w:r>
        <w:t>practica</w:t>
      </w:r>
      <w:r w:rsidR="006102C9">
        <w:t>rá</w:t>
      </w:r>
      <w:r>
        <w:t xml:space="preserve"> </w:t>
      </w:r>
      <w:r w:rsidR="006102C9">
        <w:t xml:space="preserve">en conformidad </w:t>
      </w:r>
      <w:r w:rsidR="00CC5F58">
        <w:t>con</w:t>
      </w:r>
      <w:r>
        <w:t xml:space="preserve"> las palabras “La </w:t>
      </w:r>
      <w:r w:rsidR="008147F2">
        <w:t>ordenación</w:t>
      </w:r>
      <w:r>
        <w:t xml:space="preserve"> dependi</w:t>
      </w:r>
      <w:r w:rsidR="005D3A32">
        <w:t>ente</w:t>
      </w:r>
      <w:r>
        <w:t xml:space="preserve"> del consumo </w:t>
      </w:r>
      <w:r w:rsidR="005D3A32">
        <w:t xml:space="preserve">de ofrendas </w:t>
      </w:r>
      <w:r>
        <w:t xml:space="preserve">de alimentos en trozos” </w:t>
      </w:r>
      <w:r w:rsidR="00CC5F58">
        <w:t>(</w:t>
      </w:r>
      <w:proofErr w:type="spellStart"/>
      <w:r w:rsidR="00CC5F58">
        <w:t>Vin</w:t>
      </w:r>
      <w:proofErr w:type="spellEnd"/>
      <w:r w:rsidR="00CC5F58">
        <w:t xml:space="preserve"> II 58, 96);</w:t>
      </w:r>
    </w:p>
    <w:p w14:paraId="28AAB4AC" w14:textId="77777777" w:rsidR="009F59B9" w:rsidRPr="009F59B9" w:rsidRDefault="009F59B9" w:rsidP="009F59B9">
      <w:pPr>
        <w:pStyle w:val="PiedepginaLegal"/>
        <w:rPr>
          <w:u w:val="single"/>
        </w:rPr>
      </w:pPr>
      <w:r w:rsidRPr="009F59B9">
        <w:rPr>
          <w:u w:val="single"/>
        </w:rPr>
        <w:t xml:space="preserve">                                                                                                                                                 .</w:t>
      </w:r>
    </w:p>
    <w:p w14:paraId="37E1DFE9" w14:textId="7E31764D" w:rsidR="009F59B9" w:rsidRDefault="009F59B9" w:rsidP="009F59B9">
      <w:pPr>
        <w:pStyle w:val="PiedepginaLegal"/>
      </w:pPr>
      <w:r>
        <w:t xml:space="preserve"> 11. </w:t>
      </w:r>
      <w:r>
        <w:tab/>
        <w:t>“Una comida que se dará disponiéndola en una casa principal solamente”. (</w:t>
      </w:r>
      <w:proofErr w:type="spellStart"/>
      <w:r>
        <w:t>Vism-mhṭ</w:t>
      </w:r>
      <w:proofErr w:type="spellEnd"/>
      <w:r>
        <w:t xml:space="preserve"> 79) Este significado de </w:t>
      </w:r>
      <w:proofErr w:type="spellStart"/>
      <w:r w:rsidRPr="003C7F92">
        <w:rPr>
          <w:i/>
          <w:iCs/>
        </w:rPr>
        <w:t>dhura-bhatta</w:t>
      </w:r>
      <w:proofErr w:type="spellEnd"/>
      <w:r>
        <w:t xml:space="preserve"> no está en </w:t>
      </w:r>
      <w:r w:rsidR="009634E5">
        <w:t xml:space="preserve">el </w:t>
      </w:r>
      <w:r>
        <w:t>PED.</w:t>
      </w:r>
    </w:p>
    <w:p w14:paraId="3E68165F" w14:textId="2CAC5187" w:rsidR="005E28EC" w:rsidRDefault="009F59B9" w:rsidP="005D3A32">
      <w:pPr>
        <w:pStyle w:val="PiedepginaLegal"/>
      </w:pPr>
      <w:r>
        <w:t xml:space="preserve"> 12. </w:t>
      </w:r>
      <w:r>
        <w:tab/>
        <w:t xml:space="preserve">“Boletos que no son para comida </w:t>
      </w:r>
      <w:r w:rsidR="009634E5">
        <w:t>efectiva</w:t>
      </w:r>
      <w:r>
        <w:t>, sino para medicamentos, etc.” (</w:t>
      </w:r>
      <w:proofErr w:type="spellStart"/>
      <w:r>
        <w:t>Vism-mhṭ</w:t>
      </w:r>
      <w:proofErr w:type="spellEnd"/>
      <w:r>
        <w:t xml:space="preserve"> 79) </w:t>
      </w:r>
      <w:proofErr w:type="spellStart"/>
      <w:r w:rsidRPr="003C7F92">
        <w:rPr>
          <w:i/>
          <w:iCs/>
        </w:rPr>
        <w:t>Paṭikkamana</w:t>
      </w:r>
      <w:proofErr w:type="spellEnd"/>
      <w:r>
        <w:t>—“</w:t>
      </w:r>
      <w:r w:rsidR="009634E5">
        <w:t>comedor</w:t>
      </w:r>
      <w:r>
        <w:t xml:space="preserve">” (28) = </w:t>
      </w:r>
      <w:proofErr w:type="spellStart"/>
      <w:r w:rsidRPr="003C7F92">
        <w:rPr>
          <w:i/>
          <w:iCs/>
        </w:rPr>
        <w:t>bojun</w:t>
      </w:r>
      <w:proofErr w:type="spellEnd"/>
      <w:r w:rsidRPr="003C7F92">
        <w:rPr>
          <w:i/>
          <w:iCs/>
        </w:rPr>
        <w:t xml:space="preserve"> </w:t>
      </w:r>
      <w:proofErr w:type="spellStart"/>
      <w:r w:rsidRPr="003C7F92">
        <w:rPr>
          <w:i/>
          <w:iCs/>
        </w:rPr>
        <w:t>hal</w:t>
      </w:r>
      <w:proofErr w:type="spellEnd"/>
      <w:r>
        <w:t xml:space="preserve"> (sala de comidas) en la traducción al cingalés.</w:t>
      </w:r>
      <w:r w:rsidR="005E28EC">
        <w:br w:type="page"/>
      </w:r>
    </w:p>
    <w:p w14:paraId="0A6A18D3" w14:textId="34C52E84" w:rsidR="00406B16" w:rsidRDefault="00515828" w:rsidP="00406B16">
      <w:r>
        <w:lastRenderedPageBreak/>
        <w:t xml:space="preserve">él </w:t>
      </w:r>
      <w:r w:rsidR="00406B16">
        <w:t>est</w:t>
      </w:r>
      <w:r w:rsidR="00D13422">
        <w:t>ar</w:t>
      </w:r>
      <w:r w:rsidR="00406B16">
        <w:t xml:space="preserve">á establecido en la segunda de las herencias de los Nobles; su existencia </w:t>
      </w:r>
      <w:r w:rsidR="00D13422">
        <w:t>será</w:t>
      </w:r>
      <w:r w:rsidR="00406B16">
        <w:t xml:space="preserve"> independiente de las demás; </w:t>
      </w:r>
      <w:r w:rsidR="000A11B1">
        <w:t xml:space="preserve">ése </w:t>
      </w:r>
      <w:r w:rsidR="00406B16">
        <w:t xml:space="preserve">es un requisito recomendado por el Bienaventurado así “Sin valor, fácil de conseguir, </w:t>
      </w:r>
      <w:r w:rsidR="00ED1A37">
        <w:t>irreprochable</w:t>
      </w:r>
      <w:r w:rsidR="00406B16">
        <w:t>” (A II 26); la ociosidad</w:t>
      </w:r>
      <w:r w:rsidR="00ED1A37">
        <w:t xml:space="preserve"> </w:t>
      </w:r>
      <w:r w:rsidR="000A11B1">
        <w:t xml:space="preserve">será </w:t>
      </w:r>
      <w:r w:rsidR="00ED1A37">
        <w:t>eliminada</w:t>
      </w:r>
      <w:r w:rsidR="00406B16">
        <w:t xml:space="preserve">; el sustento </w:t>
      </w:r>
      <w:r w:rsidR="000A11B1">
        <w:t xml:space="preserve">será </w:t>
      </w:r>
      <w:r w:rsidR="00406B16">
        <w:t>purifica</w:t>
      </w:r>
      <w:r w:rsidR="00030471">
        <w:t>do</w:t>
      </w:r>
      <w:r w:rsidR="00406B16">
        <w:t xml:space="preserve">; se </w:t>
      </w:r>
      <w:r w:rsidR="00030471">
        <w:t>desarrolla</w:t>
      </w:r>
      <w:r w:rsidR="000A11B1">
        <w:t>rá</w:t>
      </w:r>
      <w:r w:rsidR="00406B16">
        <w:t xml:space="preserve"> la práctica de la regla de entrenamiento menor [del </w:t>
      </w:r>
      <w:proofErr w:type="spellStart"/>
      <w:r w:rsidR="00406B16" w:rsidRPr="003C7F92">
        <w:rPr>
          <w:i/>
          <w:iCs/>
        </w:rPr>
        <w:t>Pātimokkha</w:t>
      </w:r>
      <w:proofErr w:type="spellEnd"/>
      <w:r w:rsidR="00406B16">
        <w:t xml:space="preserve">]; no </w:t>
      </w:r>
      <w:r w:rsidR="000A11B1">
        <w:t xml:space="preserve">será </w:t>
      </w:r>
      <w:r w:rsidR="00406B16">
        <w:t>mantenido por otro; ayuda</w:t>
      </w:r>
      <w:r w:rsidR="000A11B1">
        <w:t>rá</w:t>
      </w:r>
      <w:r w:rsidR="00406B16">
        <w:t xml:space="preserve"> a los demás; se abandona</w:t>
      </w:r>
      <w:r w:rsidR="000A11B1">
        <w:t>rá</w:t>
      </w:r>
      <w:r w:rsidR="00406B16">
        <w:t xml:space="preserve"> el orgullo; se controla</w:t>
      </w:r>
      <w:r w:rsidR="000A11B1">
        <w:t>rá</w:t>
      </w:r>
      <w:r w:rsidR="00406B16">
        <w:t xml:space="preserve"> el </w:t>
      </w:r>
      <w:r w:rsidR="00030471">
        <w:t xml:space="preserve">deseo </w:t>
      </w:r>
      <w:r w:rsidR="00406B16">
        <w:t xml:space="preserve">de </w:t>
      </w:r>
      <w:r w:rsidR="00030471">
        <w:t xml:space="preserve">los </w:t>
      </w:r>
      <w:r w:rsidR="00406B16">
        <w:t>sabores; no se contraven</w:t>
      </w:r>
      <w:r w:rsidR="000A11B1">
        <w:t>drán</w:t>
      </w:r>
      <w:r w:rsidR="00406B16">
        <w:t xml:space="preserve"> los preceptos de entrenamiento sobre comer en grupo, sustitu</w:t>
      </w:r>
      <w:r w:rsidR="00960129">
        <w:t>yendo</w:t>
      </w:r>
      <w:r w:rsidR="00406B16">
        <w:t xml:space="preserve"> una comida [</w:t>
      </w:r>
      <w:r w:rsidR="00960129">
        <w:t xml:space="preserve">por </w:t>
      </w:r>
      <w:r w:rsidR="00406B16">
        <w:t xml:space="preserve">invitación </w:t>
      </w:r>
      <w:r w:rsidR="00960129">
        <w:t xml:space="preserve">de </w:t>
      </w:r>
      <w:r w:rsidR="00406B16">
        <w:t xml:space="preserve">otra] (ver </w:t>
      </w:r>
      <w:proofErr w:type="spellStart"/>
      <w:r w:rsidR="00406B16" w:rsidRPr="003C7F92">
        <w:rPr>
          <w:i/>
          <w:iCs/>
        </w:rPr>
        <w:t>Vinaya</w:t>
      </w:r>
      <w:proofErr w:type="spellEnd"/>
      <w:r w:rsidR="00406B16">
        <w:t xml:space="preserve">, </w:t>
      </w:r>
      <w:proofErr w:type="spellStart"/>
      <w:r w:rsidR="00406B16" w:rsidRPr="003C7F92">
        <w:rPr>
          <w:i/>
          <w:iCs/>
        </w:rPr>
        <w:t>Pācittiya</w:t>
      </w:r>
      <w:proofErr w:type="spellEnd"/>
      <w:r w:rsidR="00406B16">
        <w:t xml:space="preserve"> 33 y </w:t>
      </w:r>
      <w:proofErr w:type="spellStart"/>
      <w:r w:rsidR="00406B16">
        <w:t>Comy</w:t>
      </w:r>
      <w:proofErr w:type="spellEnd"/>
      <w:r w:rsidR="00406B16">
        <w:t xml:space="preserve">.), y el buen comportamiento; su vida </w:t>
      </w:r>
      <w:r w:rsidR="00D04C36">
        <w:t xml:space="preserve">se </w:t>
      </w:r>
      <w:r w:rsidR="00406B16">
        <w:t>ajusta</w:t>
      </w:r>
      <w:r w:rsidR="00D04C36">
        <w:t>rá</w:t>
      </w:r>
      <w:r w:rsidR="00406B16">
        <w:t xml:space="preserve"> a [los principios de] la escasez de deseos; cultiva</w:t>
      </w:r>
      <w:r w:rsidR="00D04C36">
        <w:t>rá</w:t>
      </w:r>
      <w:r w:rsidR="00406B16">
        <w:t xml:space="preserve"> el </w:t>
      </w:r>
      <w:r w:rsidR="00977CA6">
        <w:t>s</w:t>
      </w:r>
      <w:r w:rsidR="00960129">
        <w:t>endero</w:t>
      </w:r>
      <w:r w:rsidR="00977CA6">
        <w:t xml:space="preserve"> </w:t>
      </w:r>
      <w:r w:rsidR="00406B16">
        <w:t xml:space="preserve">recto; </w:t>
      </w:r>
      <w:r w:rsidR="00D04C36">
        <w:t xml:space="preserve">tendrá </w:t>
      </w:r>
      <w:r w:rsidR="00406B16">
        <w:t>compasión por las generaciones posteriores.</w:t>
      </w:r>
    </w:p>
    <w:p w14:paraId="23470410" w14:textId="346F562F" w:rsidR="00406B16" w:rsidRPr="00793398" w:rsidRDefault="00406B16" w:rsidP="00406B16">
      <w:pPr>
        <w:pStyle w:val="VersoIngls01Sangria"/>
        <w:ind w:left="0"/>
        <w:rPr>
          <w:sz w:val="16"/>
          <w:szCs w:val="20"/>
        </w:rPr>
      </w:pPr>
      <w:r>
        <w:t xml:space="preserve">30. </w:t>
      </w:r>
      <w:r>
        <w:tab/>
      </w:r>
      <w:r>
        <w:tab/>
      </w:r>
      <w:r>
        <w:tab/>
      </w:r>
      <w:r w:rsidRPr="00793398">
        <w:rPr>
          <w:sz w:val="16"/>
          <w:szCs w:val="20"/>
        </w:rPr>
        <w:t xml:space="preserve">El monje se contenta con la </w:t>
      </w:r>
      <w:r w:rsidR="00977CA6" w:rsidRPr="00793398">
        <w:rPr>
          <w:sz w:val="16"/>
          <w:szCs w:val="20"/>
        </w:rPr>
        <w:t>ofrenda de alimentos</w:t>
      </w:r>
    </w:p>
    <w:p w14:paraId="76739022" w14:textId="4F60DAE3" w:rsidR="00406B16" w:rsidRPr="00793398" w:rsidRDefault="0019214C" w:rsidP="00406B16">
      <w:pPr>
        <w:pStyle w:val="VersoIngls01Sangria"/>
        <w:rPr>
          <w:sz w:val="16"/>
          <w:szCs w:val="20"/>
        </w:rPr>
      </w:pPr>
      <w:r w:rsidRPr="00793398">
        <w:rPr>
          <w:sz w:val="16"/>
          <w:szCs w:val="20"/>
        </w:rPr>
        <w:t>Posee</w:t>
      </w:r>
      <w:r w:rsidR="00406B16" w:rsidRPr="00793398">
        <w:rPr>
          <w:sz w:val="16"/>
          <w:szCs w:val="20"/>
        </w:rPr>
        <w:t xml:space="preserve"> medios de vida independientes,</w:t>
      </w:r>
    </w:p>
    <w:p w14:paraId="4A6D5CA4" w14:textId="77777777" w:rsidR="00406B16" w:rsidRPr="00793398" w:rsidRDefault="00406B16" w:rsidP="00406B16">
      <w:pPr>
        <w:pStyle w:val="VersoIngls01Sangria"/>
        <w:rPr>
          <w:sz w:val="16"/>
          <w:szCs w:val="20"/>
        </w:rPr>
      </w:pPr>
      <w:r w:rsidRPr="00793398">
        <w:rPr>
          <w:sz w:val="16"/>
          <w:szCs w:val="20"/>
        </w:rPr>
        <w:t>Y la codicia en él no encuentra fundamento;</w:t>
      </w:r>
    </w:p>
    <w:p w14:paraId="6087D5D2" w14:textId="77777777" w:rsidR="00406B16" w:rsidRPr="00793398" w:rsidRDefault="00406B16" w:rsidP="00406B16">
      <w:pPr>
        <w:pStyle w:val="VersoIngls01Sangria"/>
        <w:rPr>
          <w:sz w:val="16"/>
          <w:szCs w:val="20"/>
        </w:rPr>
      </w:pPr>
      <w:r w:rsidRPr="00793398">
        <w:rPr>
          <w:sz w:val="16"/>
          <w:szCs w:val="20"/>
        </w:rPr>
        <w:t>Es tan libre como los cuatro vientos.</w:t>
      </w:r>
    </w:p>
    <w:p w14:paraId="5622B5C0" w14:textId="77777777" w:rsidR="00406B16" w:rsidRPr="00793398" w:rsidRDefault="00406B16" w:rsidP="00406B16">
      <w:pPr>
        <w:pStyle w:val="VersoIngls01Sangria"/>
        <w:rPr>
          <w:sz w:val="16"/>
          <w:szCs w:val="20"/>
        </w:rPr>
      </w:pPr>
      <w:r w:rsidRPr="00793398">
        <w:rPr>
          <w:sz w:val="16"/>
          <w:szCs w:val="20"/>
        </w:rPr>
        <w:t>Él nunca necesita ser indolente,</w:t>
      </w:r>
    </w:p>
    <w:p w14:paraId="759F5319" w14:textId="77777777" w:rsidR="00B02013" w:rsidRPr="00793398" w:rsidRDefault="00406B16" w:rsidP="00406B16">
      <w:pPr>
        <w:pStyle w:val="VersoIngls01Sangria"/>
        <w:rPr>
          <w:sz w:val="16"/>
          <w:szCs w:val="20"/>
        </w:rPr>
      </w:pPr>
      <w:r w:rsidRPr="00793398">
        <w:rPr>
          <w:sz w:val="16"/>
          <w:szCs w:val="20"/>
        </w:rPr>
        <w:t xml:space="preserve">Su sustento es </w:t>
      </w:r>
      <w:r w:rsidR="00B02013" w:rsidRPr="00793398">
        <w:rPr>
          <w:sz w:val="16"/>
          <w:szCs w:val="20"/>
        </w:rPr>
        <w:t>irreprochable</w:t>
      </w:r>
      <w:r w:rsidRPr="00793398">
        <w:rPr>
          <w:sz w:val="16"/>
          <w:szCs w:val="20"/>
        </w:rPr>
        <w:t>,</w:t>
      </w:r>
    </w:p>
    <w:p w14:paraId="0CA36623" w14:textId="441DB830" w:rsidR="00406B16" w:rsidRPr="00793398" w:rsidRDefault="00B02013" w:rsidP="00406B16">
      <w:pPr>
        <w:pStyle w:val="VersoIngls01Sangria"/>
        <w:rPr>
          <w:sz w:val="16"/>
          <w:szCs w:val="20"/>
        </w:rPr>
      </w:pPr>
      <w:r w:rsidRPr="00793398">
        <w:rPr>
          <w:sz w:val="16"/>
          <w:szCs w:val="20"/>
        </w:rPr>
        <w:t>Por lo tanto</w:t>
      </w:r>
      <w:r w:rsidR="00BE2593" w:rsidRPr="00793398">
        <w:rPr>
          <w:sz w:val="16"/>
          <w:szCs w:val="20"/>
        </w:rPr>
        <w:t>,</w:t>
      </w:r>
      <w:r w:rsidR="00406B16" w:rsidRPr="00793398">
        <w:rPr>
          <w:sz w:val="16"/>
          <w:szCs w:val="20"/>
        </w:rPr>
        <w:t xml:space="preserve"> que el hombre sabio no desdeñe</w:t>
      </w:r>
    </w:p>
    <w:p w14:paraId="739208F4" w14:textId="532E0CFD" w:rsidR="00406B16" w:rsidRPr="00793398" w:rsidRDefault="00BE2593" w:rsidP="00406B16">
      <w:pPr>
        <w:pStyle w:val="VersoIngls01Sangria"/>
        <w:spacing w:after="100"/>
        <w:ind w:left="1418"/>
        <w:rPr>
          <w:sz w:val="16"/>
          <w:szCs w:val="20"/>
        </w:rPr>
      </w:pPr>
      <w:r w:rsidRPr="00793398">
        <w:rPr>
          <w:sz w:val="16"/>
          <w:szCs w:val="20"/>
        </w:rPr>
        <w:t>La r</w:t>
      </w:r>
      <w:r w:rsidR="00406B16" w:rsidRPr="00793398">
        <w:rPr>
          <w:sz w:val="16"/>
          <w:szCs w:val="20"/>
        </w:rPr>
        <w:t xml:space="preserve">ecolección de </w:t>
      </w:r>
      <w:r w:rsidRPr="00793398">
        <w:rPr>
          <w:sz w:val="16"/>
          <w:szCs w:val="20"/>
        </w:rPr>
        <w:t xml:space="preserve">ofrendas como </w:t>
      </w:r>
      <w:r w:rsidR="00406B16" w:rsidRPr="00793398">
        <w:rPr>
          <w:sz w:val="16"/>
          <w:szCs w:val="20"/>
        </w:rPr>
        <w:t>su dominio.</w:t>
      </w:r>
    </w:p>
    <w:p w14:paraId="446E7A57" w14:textId="00B12E04" w:rsidR="00406B16" w:rsidRDefault="00406B16" w:rsidP="0019214C">
      <w:pPr>
        <w:pStyle w:val="NormalConSangria"/>
      </w:pPr>
      <w:r>
        <w:t xml:space="preserve">Ya que </w:t>
      </w:r>
      <w:r w:rsidR="00BE2593">
        <w:t>est</w:t>
      </w:r>
      <w:r w:rsidR="001349C2">
        <w:t>á dicho:</w:t>
      </w:r>
    </w:p>
    <w:p w14:paraId="5D5845A1" w14:textId="59B2D2C8" w:rsidR="00406B16" w:rsidRPr="00793398" w:rsidRDefault="00406B16" w:rsidP="00406B16">
      <w:pPr>
        <w:pStyle w:val="VersoIngls01Sangria"/>
        <w:rPr>
          <w:sz w:val="16"/>
          <w:szCs w:val="20"/>
        </w:rPr>
      </w:pPr>
      <w:r w:rsidRPr="00793398">
        <w:rPr>
          <w:sz w:val="16"/>
          <w:szCs w:val="20"/>
        </w:rPr>
        <w:t xml:space="preserve">“Si un </w:t>
      </w:r>
      <w:proofErr w:type="spellStart"/>
      <w:r w:rsidR="00057BF4" w:rsidRPr="00793398">
        <w:rPr>
          <w:i/>
          <w:iCs/>
          <w:sz w:val="16"/>
          <w:szCs w:val="20"/>
        </w:rPr>
        <w:t>bhikkhu</w:t>
      </w:r>
      <w:proofErr w:type="spellEnd"/>
      <w:r w:rsidRPr="00793398">
        <w:rPr>
          <w:sz w:val="16"/>
          <w:szCs w:val="20"/>
        </w:rPr>
        <w:t xml:space="preserve"> puede mantenerse con </w:t>
      </w:r>
      <w:r w:rsidR="001349C2" w:rsidRPr="00793398">
        <w:rPr>
          <w:sz w:val="16"/>
          <w:szCs w:val="20"/>
        </w:rPr>
        <w:t>ofrendas</w:t>
      </w:r>
    </w:p>
    <w:p w14:paraId="1E740C27" w14:textId="77777777" w:rsidR="00406B16" w:rsidRPr="00793398" w:rsidRDefault="00406B16" w:rsidP="00406B16">
      <w:pPr>
        <w:pStyle w:val="VersoIngls01Sangria"/>
        <w:rPr>
          <w:sz w:val="16"/>
          <w:szCs w:val="20"/>
        </w:rPr>
      </w:pPr>
      <w:r w:rsidRPr="00793398">
        <w:rPr>
          <w:sz w:val="16"/>
          <w:szCs w:val="20"/>
        </w:rPr>
        <w:t>y vivir sin el sustento de otro,</w:t>
      </w:r>
    </w:p>
    <w:p w14:paraId="650305C3" w14:textId="4110B2C8" w:rsidR="00406B16" w:rsidRPr="00793398" w:rsidRDefault="00406B16" w:rsidP="00406B16">
      <w:pPr>
        <w:pStyle w:val="VersoIngls01Sangria"/>
        <w:rPr>
          <w:sz w:val="16"/>
          <w:szCs w:val="20"/>
        </w:rPr>
      </w:pPr>
      <w:r w:rsidRPr="00793398">
        <w:rPr>
          <w:sz w:val="16"/>
          <w:szCs w:val="20"/>
        </w:rPr>
        <w:t>Y no prest</w:t>
      </w:r>
      <w:r w:rsidR="001349C2" w:rsidRPr="00793398">
        <w:rPr>
          <w:sz w:val="16"/>
          <w:szCs w:val="20"/>
        </w:rPr>
        <w:t>a</w:t>
      </w:r>
      <w:r w:rsidRPr="00793398">
        <w:rPr>
          <w:sz w:val="16"/>
          <w:szCs w:val="20"/>
        </w:rPr>
        <w:t xml:space="preserve"> atención también a la ganancia y </w:t>
      </w:r>
      <w:r w:rsidR="001349C2" w:rsidRPr="00793398">
        <w:rPr>
          <w:sz w:val="16"/>
          <w:szCs w:val="20"/>
        </w:rPr>
        <w:t xml:space="preserve">a </w:t>
      </w:r>
      <w:r w:rsidRPr="00793398">
        <w:rPr>
          <w:sz w:val="16"/>
          <w:szCs w:val="20"/>
        </w:rPr>
        <w:t>la fama,</w:t>
      </w:r>
    </w:p>
    <w:p w14:paraId="400102A0" w14:textId="24AD1100" w:rsidR="00406B16" w:rsidRPr="00793398" w:rsidRDefault="0055343D" w:rsidP="00406B16">
      <w:pPr>
        <w:pStyle w:val="VersoIngls01Sangria"/>
        <w:spacing w:after="100"/>
        <w:ind w:left="1418"/>
        <w:rPr>
          <w:sz w:val="16"/>
          <w:szCs w:val="20"/>
        </w:rPr>
      </w:pPr>
      <w:r w:rsidRPr="00793398">
        <w:rPr>
          <w:sz w:val="16"/>
          <w:szCs w:val="20"/>
        </w:rPr>
        <w:t>Hasta l</w:t>
      </w:r>
      <w:r w:rsidR="00406B16" w:rsidRPr="00793398">
        <w:rPr>
          <w:sz w:val="16"/>
          <w:szCs w:val="20"/>
        </w:rPr>
        <w:t xml:space="preserve">os mismos dioses </w:t>
      </w:r>
      <w:r w:rsidRPr="00793398">
        <w:rPr>
          <w:sz w:val="16"/>
          <w:szCs w:val="20"/>
        </w:rPr>
        <w:t xml:space="preserve">pueden llegar a </w:t>
      </w:r>
      <w:r w:rsidR="00406B16" w:rsidRPr="00793398">
        <w:rPr>
          <w:sz w:val="16"/>
          <w:szCs w:val="20"/>
        </w:rPr>
        <w:t>envidiarle” (</w:t>
      </w:r>
      <w:proofErr w:type="spellStart"/>
      <w:r w:rsidR="00406B16" w:rsidRPr="00793398">
        <w:rPr>
          <w:sz w:val="16"/>
          <w:szCs w:val="20"/>
        </w:rPr>
        <w:t>Ud</w:t>
      </w:r>
      <w:proofErr w:type="spellEnd"/>
      <w:r w:rsidR="00406B16" w:rsidRPr="00793398">
        <w:rPr>
          <w:sz w:val="16"/>
          <w:szCs w:val="20"/>
        </w:rPr>
        <w:t xml:space="preserve"> 31).</w:t>
      </w:r>
    </w:p>
    <w:p w14:paraId="01CE867A" w14:textId="1E71ED71" w:rsidR="00406B16" w:rsidRDefault="009904A3" w:rsidP="009904A3">
      <w:pPr>
        <w:pStyle w:val="NormalConSangria"/>
      </w:pPr>
      <w:r>
        <w:t>É</w:t>
      </w:r>
      <w:r w:rsidR="00406B16">
        <w:t xml:space="preserve">ste es el comentario sobre </w:t>
      </w:r>
      <w:r>
        <w:t>el emprendimiento</w:t>
      </w:r>
      <w:r w:rsidR="00406B16">
        <w:t xml:space="preserve">, </w:t>
      </w:r>
      <w:r>
        <w:t>las indicaciones</w:t>
      </w:r>
      <w:r w:rsidR="00406B16">
        <w:t xml:space="preserve">, </w:t>
      </w:r>
      <w:r>
        <w:t xml:space="preserve">los </w:t>
      </w:r>
      <w:r w:rsidR="00406B16">
        <w:t xml:space="preserve">grados, </w:t>
      </w:r>
      <w:r>
        <w:t xml:space="preserve">el </w:t>
      </w:r>
      <w:r w:rsidR="00406B16">
        <w:t xml:space="preserve">incumplimiento y </w:t>
      </w:r>
      <w:r>
        <w:t xml:space="preserve">los </w:t>
      </w:r>
      <w:r w:rsidR="00406B16">
        <w:t>beneficios, en el caso de la práctica del come</w:t>
      </w:r>
      <w:r w:rsidR="007C40F1">
        <w:t>nsal</w:t>
      </w:r>
      <w:r w:rsidR="00575A05">
        <w:t>-</w:t>
      </w:r>
      <w:r w:rsidR="00406B16">
        <w:t>de</w:t>
      </w:r>
      <w:r w:rsidR="00575A05">
        <w:t>-</w:t>
      </w:r>
      <w:r w:rsidR="007C40F1">
        <w:t>ofrendas</w:t>
      </w:r>
      <w:r w:rsidR="00910E65">
        <w:t>-de-alimentos</w:t>
      </w:r>
      <w:r w:rsidR="00406B16">
        <w:t>.</w:t>
      </w:r>
    </w:p>
    <w:p w14:paraId="6B099B55" w14:textId="2EAF54D1" w:rsidR="00406B16" w:rsidRDefault="00406B16" w:rsidP="00406B16">
      <w:r>
        <w:t xml:space="preserve">31. </w:t>
      </w:r>
      <w:r w:rsidR="003C7F92">
        <w:tab/>
      </w:r>
      <w:proofErr w:type="spellStart"/>
      <w:r>
        <w:t>iv</w:t>
      </w:r>
      <w:proofErr w:type="spellEnd"/>
      <w:r>
        <w:t xml:space="preserve">. La </w:t>
      </w:r>
      <w:r w:rsidRPr="003C7F92">
        <w:rPr>
          <w:i/>
          <w:iCs/>
        </w:rPr>
        <w:t>práctica del buscador de casa</w:t>
      </w:r>
      <w:r w:rsidR="00382064">
        <w:t>–</w:t>
      </w:r>
      <w:r w:rsidRPr="003C7F92">
        <w:rPr>
          <w:i/>
          <w:iCs/>
        </w:rPr>
        <w:t>en</w:t>
      </w:r>
      <w:r w:rsidR="00382064">
        <w:t>–</w:t>
      </w:r>
      <w:r w:rsidRPr="003C7F92">
        <w:rPr>
          <w:i/>
          <w:iCs/>
        </w:rPr>
        <w:t xml:space="preserve">casa </w:t>
      </w:r>
      <w:r w:rsidRPr="00DC6667">
        <w:t>se</w:t>
      </w:r>
      <w:r w:rsidRPr="003C7F92">
        <w:rPr>
          <w:i/>
          <w:iCs/>
        </w:rPr>
        <w:t xml:space="preserve"> </w:t>
      </w:r>
      <w:r w:rsidR="00FE341F">
        <w:rPr>
          <w:i/>
          <w:iCs/>
        </w:rPr>
        <w:t>emprende</w:t>
      </w:r>
      <w:r>
        <w:t xml:space="preserve"> con una de las siguientes afirmaciones: "Rechazo una ronda de </w:t>
      </w:r>
      <w:r w:rsidR="00C56D50">
        <w:t>ofrendas</w:t>
      </w:r>
      <w:r>
        <w:t xml:space="preserve"> codiciosas" o "</w:t>
      </w:r>
      <w:r w:rsidR="0055343D">
        <w:t>Emprendo</w:t>
      </w:r>
      <w:r w:rsidR="00C56D50">
        <w:t xml:space="preserve"> </w:t>
      </w:r>
      <w:r>
        <w:t>la práctica del buscador de casa en casa".</w:t>
      </w:r>
    </w:p>
    <w:p w14:paraId="6A9901BE" w14:textId="4D4D7AB4" w:rsidR="00406B16" w:rsidRDefault="00406B16" w:rsidP="00C56D50">
      <w:pPr>
        <w:pStyle w:val="NormalConSangria"/>
      </w:pPr>
      <w:r>
        <w:t>Ahora</w:t>
      </w:r>
      <w:r w:rsidR="00C56D50">
        <w:t xml:space="preserve"> bien</w:t>
      </w:r>
      <w:r>
        <w:t>, el buscador de casa</w:t>
      </w:r>
      <w:r w:rsidR="00910E65">
        <w:t>-</w:t>
      </w:r>
      <w:r>
        <w:t>en</w:t>
      </w:r>
      <w:r w:rsidR="00910E65">
        <w:t>-</w:t>
      </w:r>
      <w:r>
        <w:t xml:space="preserve">casa debe detenerse en la puerta de la aldea </w:t>
      </w:r>
      <w:r w:rsidR="00910E65">
        <w:t xml:space="preserve">a la que se dirija </w:t>
      </w:r>
      <w:r>
        <w:t xml:space="preserve">y asegurarse de que no haya peligro. Si </w:t>
      </w:r>
      <w:r w:rsidR="0055343D">
        <w:t>hubiese</w:t>
      </w:r>
      <w:r>
        <w:t xml:space="preserve"> peligro en cualquier calle o pueblo, est</w:t>
      </w:r>
      <w:r w:rsidR="0055343D">
        <w:t>ar</w:t>
      </w:r>
      <w:r>
        <w:t xml:space="preserve">á permitido </w:t>
      </w:r>
      <w:r w:rsidR="00E14658">
        <w:t>descartar el lugar</w:t>
      </w:r>
      <w:r>
        <w:t xml:space="preserve"> y </w:t>
      </w:r>
      <w:r w:rsidR="00E14658">
        <w:t xml:space="preserve">deambular </w:t>
      </w:r>
      <w:r>
        <w:t xml:space="preserve">por </w:t>
      </w:r>
      <w:r w:rsidR="00C56D50">
        <w:t>ofrendas</w:t>
      </w:r>
      <w:r>
        <w:t xml:space="preserve"> en otro lugar. Cuando </w:t>
      </w:r>
      <w:r w:rsidR="00247DD4">
        <w:t xml:space="preserve">se trate de la </w:t>
      </w:r>
      <w:r>
        <w:t xml:space="preserve">puerta de </w:t>
      </w:r>
      <w:r w:rsidR="00257F62">
        <w:t xml:space="preserve">una </w:t>
      </w:r>
      <w:r>
        <w:t xml:space="preserve">casa o </w:t>
      </w:r>
      <w:r w:rsidR="00247DD4">
        <w:t xml:space="preserve">de </w:t>
      </w:r>
      <w:r>
        <w:t xml:space="preserve">una calle o </w:t>
      </w:r>
      <w:r w:rsidR="00247DD4">
        <w:t xml:space="preserve">de </w:t>
      </w:r>
      <w:r>
        <w:t xml:space="preserve">un pueblo donde [regularmente] no </w:t>
      </w:r>
      <w:r w:rsidR="00257F62">
        <w:t xml:space="preserve">se </w:t>
      </w:r>
      <w:r>
        <w:t>obten</w:t>
      </w:r>
      <w:r w:rsidR="00C56D50">
        <w:t>ga</w:t>
      </w:r>
      <w:r>
        <w:t xml:space="preserve"> nada, </w:t>
      </w:r>
      <w:r w:rsidR="004C2E93">
        <w:t xml:space="preserve">podrá pasar </w:t>
      </w:r>
      <w:r>
        <w:t>[</w:t>
      </w:r>
      <w:r w:rsidR="004C2E93">
        <w:t xml:space="preserve">u </w:t>
      </w:r>
      <w:r w:rsidR="00284C85">
        <w:t>obviarlo</w:t>
      </w:r>
      <w:r>
        <w:t xml:space="preserve">] sin </w:t>
      </w:r>
      <w:r w:rsidR="004C2E93">
        <w:t xml:space="preserve">considerarlo </w:t>
      </w:r>
      <w:r>
        <w:t>como pueblo. Pero dondequiera que obtenga algo, no se permit</w:t>
      </w:r>
      <w:r w:rsidR="003E4A8C">
        <w:t>irá</w:t>
      </w:r>
      <w:r>
        <w:t xml:space="preserve"> [posteriormente] </w:t>
      </w:r>
      <w:r w:rsidR="00297501">
        <w:t xml:space="preserve">ir </w:t>
      </w:r>
      <w:r>
        <w:t>[</w:t>
      </w:r>
      <w:r w:rsidR="00257F62">
        <w:t xml:space="preserve">o </w:t>
      </w:r>
      <w:r>
        <w:t xml:space="preserve">pasar] </w:t>
      </w:r>
      <w:r w:rsidR="00297501">
        <w:t xml:space="preserve">por </w:t>
      </w:r>
      <w:r>
        <w:t xml:space="preserve">allí y </w:t>
      </w:r>
      <w:r w:rsidR="003E4A8C">
        <w:t>descartar el lugar</w:t>
      </w:r>
      <w:r>
        <w:t xml:space="preserve">. Este </w:t>
      </w:r>
      <w:proofErr w:type="spellStart"/>
      <w:r w:rsidR="00057BF4" w:rsidRPr="00057BF4">
        <w:rPr>
          <w:i/>
        </w:rPr>
        <w:t>bhikkhu</w:t>
      </w:r>
      <w:proofErr w:type="spellEnd"/>
      <w:r>
        <w:t xml:space="preserve"> debe entrar a la aldea temprano para poder </w:t>
      </w:r>
      <w:r w:rsidR="0048552B">
        <w:t xml:space="preserve">descartar </w:t>
      </w:r>
      <w:r>
        <w:t xml:space="preserve">cualquier lugar inconveniente </w:t>
      </w:r>
      <w:proofErr w:type="gramStart"/>
      <w:r>
        <w:t>e</w:t>
      </w:r>
      <w:proofErr w:type="gramEnd"/>
      <w:r>
        <w:t xml:space="preserve"> </w:t>
      </w:r>
      <w:r w:rsidR="0048552B">
        <w:t xml:space="preserve">dirigirse hacia </w:t>
      </w:r>
      <w:r>
        <w:t>otra parte. [68] Pero si las personas que est</w:t>
      </w:r>
      <w:r w:rsidR="0048552B">
        <w:t>é</w:t>
      </w:r>
      <w:r>
        <w:t xml:space="preserve">n dando </w:t>
      </w:r>
      <w:r w:rsidR="00C40E9F">
        <w:t xml:space="preserve">el presente </w:t>
      </w:r>
      <w:r>
        <w:t xml:space="preserve">[de una comida] </w:t>
      </w:r>
      <w:r w:rsidR="0048552B">
        <w:t xml:space="preserve">a </w:t>
      </w:r>
      <w:r>
        <w:t>un monasterio o que ven</w:t>
      </w:r>
      <w:r w:rsidR="008D0922">
        <w:t>ga</w:t>
      </w:r>
      <w:r>
        <w:t xml:space="preserve">n por el camino toman su </w:t>
      </w:r>
      <w:r w:rsidR="008D0922">
        <w:t xml:space="preserve">cuenco </w:t>
      </w:r>
      <w:r>
        <w:t xml:space="preserve">y </w:t>
      </w:r>
      <w:r w:rsidR="00257F62">
        <w:t xml:space="preserve">le </w:t>
      </w:r>
      <w:r w:rsidR="008D0922">
        <w:t xml:space="preserve">ofrecen </w:t>
      </w:r>
      <w:r w:rsidR="00257F62">
        <w:t xml:space="preserve">una </w:t>
      </w:r>
      <w:r w:rsidR="008D0922">
        <w:t>ofrenda de alimento</w:t>
      </w:r>
      <w:r>
        <w:t>, est</w:t>
      </w:r>
      <w:r w:rsidR="008D0922">
        <w:t>ar</w:t>
      </w:r>
      <w:r>
        <w:t>á permitido. Y</w:t>
      </w:r>
      <w:r w:rsidR="008D0922">
        <w:t>a</w:t>
      </w:r>
      <w:r>
        <w:t xml:space="preserve"> </w:t>
      </w:r>
      <w:r w:rsidR="008D0922">
        <w:t xml:space="preserve">que </w:t>
      </w:r>
      <w:r>
        <w:t>este [</w:t>
      </w:r>
      <w:proofErr w:type="spellStart"/>
      <w:r w:rsidR="00057BF4" w:rsidRPr="00057BF4">
        <w:rPr>
          <w:i/>
        </w:rPr>
        <w:t>bhikkhu</w:t>
      </w:r>
      <w:proofErr w:type="spellEnd"/>
      <w:r>
        <w:t xml:space="preserve">] </w:t>
      </w:r>
      <w:r w:rsidR="00793398">
        <w:t>al estar</w:t>
      </w:r>
      <w:r w:rsidR="008D0922">
        <w:t xml:space="preserve"> recorriendo dicho </w:t>
      </w:r>
      <w:r>
        <w:t xml:space="preserve">camino, debe, cuando sea el momento, </w:t>
      </w:r>
      <w:r w:rsidR="008D0922">
        <w:t xml:space="preserve">deambular </w:t>
      </w:r>
      <w:r>
        <w:t xml:space="preserve">por </w:t>
      </w:r>
      <w:r w:rsidR="008D0922">
        <w:t xml:space="preserve">ofrendas </w:t>
      </w:r>
      <w:r>
        <w:t xml:space="preserve">en cualquier aldea a la que llegue y no pasar de largo. Si no </w:t>
      </w:r>
      <w:r w:rsidR="00793398">
        <w:t>obtuviese</w:t>
      </w:r>
      <w:r>
        <w:t xml:space="preserve"> nada allí o solo un poco, debe </w:t>
      </w:r>
      <w:r w:rsidR="008D0922">
        <w:t xml:space="preserve">deambular </w:t>
      </w:r>
      <w:r>
        <w:t xml:space="preserve">por </w:t>
      </w:r>
      <w:r w:rsidR="008D0922">
        <w:t xml:space="preserve">ofrendas </w:t>
      </w:r>
      <w:r>
        <w:t xml:space="preserve">en el siguiente pueblo en orden. </w:t>
      </w:r>
      <w:r w:rsidR="00DC6667">
        <w:t>É</w:t>
      </w:r>
      <w:r w:rsidRPr="00DC6667">
        <w:t>stas son las</w:t>
      </w:r>
      <w:r w:rsidRPr="003C7F92">
        <w:rPr>
          <w:i/>
          <w:iCs/>
        </w:rPr>
        <w:t xml:space="preserve"> indicaciones</w:t>
      </w:r>
      <w:r>
        <w:t xml:space="preserve"> para ello.</w:t>
      </w:r>
    </w:p>
    <w:p w14:paraId="20209390" w14:textId="0D8F112F" w:rsidR="00141D6C" w:rsidRDefault="00406B16" w:rsidP="00406B16">
      <w:r>
        <w:t xml:space="preserve">32. </w:t>
      </w:r>
      <w:r w:rsidR="00C56D50">
        <w:tab/>
      </w:r>
      <w:r>
        <w:t xml:space="preserve">Esto también tiene tres </w:t>
      </w:r>
      <w:r w:rsidRPr="003C7F92">
        <w:rPr>
          <w:i/>
          <w:iCs/>
        </w:rPr>
        <w:t>grados</w:t>
      </w:r>
      <w:r>
        <w:t xml:space="preserve">. </w:t>
      </w:r>
      <w:r w:rsidR="009D60DB">
        <w:t>Al respecto</w:t>
      </w:r>
      <w:r>
        <w:t>, quien s</w:t>
      </w:r>
      <w:r w:rsidR="009D60DB">
        <w:t>ea</w:t>
      </w:r>
      <w:r>
        <w:t xml:space="preserve"> estricto no acepta</w:t>
      </w:r>
      <w:r w:rsidR="009D60DB">
        <w:t xml:space="preserve">rá ofrendas </w:t>
      </w:r>
      <w:r>
        <w:t>traídas</w:t>
      </w:r>
      <w:r w:rsidR="007578A9">
        <w:t xml:space="preserve"> por </w:t>
      </w:r>
      <w:r>
        <w:t xml:space="preserve">delante o traídas </w:t>
      </w:r>
      <w:r w:rsidR="007578A9">
        <w:t xml:space="preserve">por </w:t>
      </w:r>
      <w:r w:rsidR="00793398">
        <w:t>de</w:t>
      </w:r>
      <w:r>
        <w:t xml:space="preserve">trás o traídas al </w:t>
      </w:r>
      <w:r w:rsidR="007578A9">
        <w:t xml:space="preserve">comedor </w:t>
      </w:r>
      <w:r>
        <w:t xml:space="preserve">y </w:t>
      </w:r>
      <w:r w:rsidR="007578A9">
        <w:t xml:space="preserve">ofrecidas </w:t>
      </w:r>
      <w:r>
        <w:t xml:space="preserve">allí. </w:t>
      </w:r>
      <w:r w:rsidR="007578A9">
        <w:t>Por el contrario</w:t>
      </w:r>
      <w:r>
        <w:t xml:space="preserve">, </w:t>
      </w:r>
      <w:r w:rsidR="0020766D">
        <w:t xml:space="preserve">él </w:t>
      </w:r>
      <w:r>
        <w:t>entrega</w:t>
      </w:r>
      <w:r w:rsidR="00793398">
        <w:t>rá</w:t>
      </w:r>
      <w:r>
        <w:t xml:space="preserve"> su cuenco en </w:t>
      </w:r>
      <w:r w:rsidR="007578A9">
        <w:t>alg</w:t>
      </w:r>
      <w:r>
        <w:t>una puerta</w:t>
      </w:r>
      <w:r w:rsidR="005C66EE">
        <w:t xml:space="preserve">, </w:t>
      </w:r>
      <w:r w:rsidR="00793398">
        <w:t xml:space="preserve">ya </w:t>
      </w:r>
      <w:r>
        <w:t xml:space="preserve">que </w:t>
      </w:r>
      <w:r w:rsidR="00F370E4">
        <w:t xml:space="preserve">aunque </w:t>
      </w:r>
      <w:r>
        <w:t xml:space="preserve">en </w:t>
      </w:r>
      <w:r w:rsidR="008B2CB6">
        <w:t>la</w:t>
      </w:r>
      <w:r>
        <w:t xml:space="preserve"> práctica </w:t>
      </w:r>
      <w:r w:rsidR="00656CF3">
        <w:t>asceta</w:t>
      </w:r>
      <w:r>
        <w:t xml:space="preserve"> no </w:t>
      </w:r>
      <w:r w:rsidR="008B2CB6">
        <w:t xml:space="preserve">existe </w:t>
      </w:r>
      <w:r>
        <w:t xml:space="preserve">nadie </w:t>
      </w:r>
      <w:r w:rsidR="008B2CB6">
        <w:t xml:space="preserve">que sea </w:t>
      </w:r>
      <w:r>
        <w:t xml:space="preserve">igual al </w:t>
      </w:r>
      <w:r w:rsidR="008B2CB6">
        <w:t xml:space="preserve">Venerable </w:t>
      </w:r>
      <w:r>
        <w:t xml:space="preserve">Mahā Kassapa, sin embargo, se menciona un caso en el que incluso </w:t>
      </w:r>
    </w:p>
    <w:p w14:paraId="01F83967" w14:textId="77777777" w:rsidR="00141D6C" w:rsidRDefault="00141D6C">
      <w:pPr>
        <w:tabs>
          <w:tab w:val="clear" w:pos="425"/>
        </w:tabs>
        <w:spacing w:after="160"/>
      </w:pPr>
      <w:r>
        <w:br w:type="page"/>
      </w:r>
    </w:p>
    <w:p w14:paraId="55E1D810" w14:textId="15E16BB9" w:rsidR="00141D6C" w:rsidRDefault="005C66EE" w:rsidP="00141D6C">
      <w:r>
        <w:lastRenderedPageBreak/>
        <w:t xml:space="preserve">entregó su cuenco </w:t>
      </w:r>
      <w:r w:rsidR="008B2CB6">
        <w:t xml:space="preserve">(ver </w:t>
      </w:r>
      <w:proofErr w:type="spellStart"/>
      <w:r w:rsidR="008B2CB6">
        <w:t>Ud</w:t>
      </w:r>
      <w:proofErr w:type="spellEnd"/>
      <w:r w:rsidR="008B2CB6">
        <w:t xml:space="preserve"> 29). El </w:t>
      </w:r>
      <w:r w:rsidR="008D6633">
        <w:t>inter</w:t>
      </w:r>
      <w:r w:rsidR="008B2CB6">
        <w:t xml:space="preserve">medio </w:t>
      </w:r>
      <w:r w:rsidR="00141D6C">
        <w:t>toma lo que se tra</w:t>
      </w:r>
      <w:r w:rsidR="008D6633">
        <w:t xml:space="preserve">iga </w:t>
      </w:r>
      <w:r w:rsidR="00141D6C">
        <w:t>por delante y por detrás y lo que se llev</w:t>
      </w:r>
      <w:r w:rsidR="008D6633">
        <w:t>e</w:t>
      </w:r>
      <w:r w:rsidR="00141D6C">
        <w:t xml:space="preserve"> al </w:t>
      </w:r>
      <w:r w:rsidR="008D6633">
        <w:t>comedor</w:t>
      </w:r>
      <w:r w:rsidR="00141D6C">
        <w:t xml:space="preserve">, y entrega su cuenco en una puerta. Pero no se sienta a esperar </w:t>
      </w:r>
      <w:r w:rsidR="008D6633">
        <w:t>ofrendas</w:t>
      </w:r>
      <w:r w:rsidR="00141D6C">
        <w:t xml:space="preserve">. Por lo tanto, se ajusta a la regla del </w:t>
      </w:r>
      <w:r w:rsidR="00AB0354">
        <w:t>estricto comensal</w:t>
      </w:r>
      <w:r w:rsidR="00141D6C">
        <w:t xml:space="preserve"> </w:t>
      </w:r>
      <w:r w:rsidR="00AB0354">
        <w:t>de ofrenda de alimento</w:t>
      </w:r>
      <w:r w:rsidR="00403F56">
        <w:t>s</w:t>
      </w:r>
      <w:r w:rsidR="00141D6C">
        <w:t xml:space="preserve">. El </w:t>
      </w:r>
      <w:r w:rsidR="00403F56">
        <w:t>moderado</w:t>
      </w:r>
      <w:r w:rsidR="00141D6C">
        <w:t xml:space="preserve"> se sienta a esperar [</w:t>
      </w:r>
      <w:r w:rsidR="00403F56">
        <w:t xml:space="preserve">a </w:t>
      </w:r>
      <w:r w:rsidR="00141D6C">
        <w:t xml:space="preserve">que le traigan </w:t>
      </w:r>
      <w:r w:rsidR="00403F56">
        <w:t>las ofrendas</w:t>
      </w:r>
      <w:r w:rsidR="00141D6C">
        <w:t>] ese día.</w:t>
      </w:r>
    </w:p>
    <w:p w14:paraId="542ABED8" w14:textId="536911A3" w:rsidR="00141D6C" w:rsidRDefault="00141D6C" w:rsidP="00141D6C">
      <w:pPr>
        <w:pStyle w:val="NormalConSangria"/>
      </w:pPr>
      <w:r>
        <w:t xml:space="preserve">La práctica </w:t>
      </w:r>
      <w:r w:rsidR="00656CF3">
        <w:t>asceta</w:t>
      </w:r>
      <w:r>
        <w:t xml:space="preserve"> de estos tres se rompe tan pronto como comien</w:t>
      </w:r>
      <w:r w:rsidR="00403F56">
        <w:t>cen</w:t>
      </w:r>
      <w:r>
        <w:t xml:space="preserve"> la ronda de </w:t>
      </w:r>
      <w:r w:rsidR="00403F56">
        <w:t xml:space="preserve">ofrendas </w:t>
      </w:r>
      <w:r>
        <w:t>codiciosa</w:t>
      </w:r>
      <w:r w:rsidR="00403F56">
        <w:t>mente</w:t>
      </w:r>
      <w:r>
        <w:t xml:space="preserve"> [yendo solo a las casas donde se d</w:t>
      </w:r>
      <w:r w:rsidR="00403F56">
        <w:t>é</w:t>
      </w:r>
      <w:r>
        <w:t xml:space="preserve"> </w:t>
      </w:r>
      <w:r w:rsidR="00403F56">
        <w:t>buenas ofrendas de alimentos</w:t>
      </w:r>
      <w:r>
        <w:t xml:space="preserve">]. </w:t>
      </w:r>
      <w:r w:rsidR="0074419B">
        <w:t>É</w:t>
      </w:r>
      <w:r>
        <w:t>ste s</w:t>
      </w:r>
      <w:r w:rsidR="0074419B">
        <w:t>erá</w:t>
      </w:r>
      <w:r>
        <w:t xml:space="preserve"> el incumplimiento en este caso.</w:t>
      </w:r>
    </w:p>
    <w:p w14:paraId="06E846EE" w14:textId="1499D69D" w:rsidR="00141D6C" w:rsidRDefault="00141D6C" w:rsidP="00141D6C">
      <w:r>
        <w:t xml:space="preserve">33. </w:t>
      </w:r>
      <w:r>
        <w:tab/>
        <w:t xml:space="preserve">Los </w:t>
      </w:r>
      <w:r w:rsidRPr="003C7F92">
        <w:rPr>
          <w:i/>
          <w:iCs/>
        </w:rPr>
        <w:t>beneficios</w:t>
      </w:r>
      <w:r>
        <w:t xml:space="preserve"> son estos. Siempre </w:t>
      </w:r>
      <w:r w:rsidR="0074419B">
        <w:t>será</w:t>
      </w:r>
      <w:r>
        <w:t xml:space="preserve"> un extraño entre las familias y </w:t>
      </w:r>
      <w:r w:rsidR="0074419B">
        <w:t xml:space="preserve">será </w:t>
      </w:r>
      <w:r>
        <w:t xml:space="preserve">como la </w:t>
      </w:r>
      <w:r w:rsidR="0074419B">
        <w:t xml:space="preserve">Luna </w:t>
      </w:r>
      <w:r>
        <w:t>(S II 197); abandona</w:t>
      </w:r>
      <w:r w:rsidR="0074419B">
        <w:t>rá</w:t>
      </w:r>
      <w:r>
        <w:t xml:space="preserve"> la avaricia por las familias; </w:t>
      </w:r>
      <w:r w:rsidR="0074419B">
        <w:t xml:space="preserve">será </w:t>
      </w:r>
      <w:r>
        <w:t>compasivo imparcialmente; evita</w:t>
      </w:r>
      <w:r w:rsidR="0074419B">
        <w:t>rá</w:t>
      </w:r>
      <w:r>
        <w:t xml:space="preserve"> los peligros de ser sostenido por una familia; no se </w:t>
      </w:r>
      <w:r w:rsidR="0074419B">
        <w:t xml:space="preserve">complacerá </w:t>
      </w:r>
      <w:r>
        <w:t>en las invitaciones; no espera</w:t>
      </w:r>
      <w:r w:rsidR="0074419B">
        <w:t>rá</w:t>
      </w:r>
      <w:r>
        <w:t xml:space="preserve"> que le traigan [comidas]; su vida se ajusta</w:t>
      </w:r>
      <w:r w:rsidR="0074419B">
        <w:t>rá</w:t>
      </w:r>
      <w:r>
        <w:t xml:space="preserve"> a [los principios de] la escasez de deseos, </w:t>
      </w:r>
      <w:r w:rsidR="0074419B">
        <w:t>… etc.</w:t>
      </w:r>
    </w:p>
    <w:p w14:paraId="17F5BF80" w14:textId="47C5CF4F" w:rsidR="00141D6C" w:rsidRDefault="00141D6C" w:rsidP="00450000">
      <w:pPr>
        <w:pStyle w:val="VersoIngls01Sangria"/>
        <w:ind w:hanging="1416"/>
      </w:pPr>
      <w:r>
        <w:t xml:space="preserve">34. </w:t>
      </w:r>
      <w:r>
        <w:tab/>
      </w:r>
      <w:r w:rsidR="00450000">
        <w:tab/>
      </w:r>
      <w:r>
        <w:t xml:space="preserve">El monje que en cada casa </w:t>
      </w:r>
      <w:r w:rsidR="00064538">
        <w:t>mendigue</w:t>
      </w:r>
      <w:r>
        <w:t xml:space="preserve"> su</w:t>
      </w:r>
      <w:r w:rsidR="00064538">
        <w:t>s</w:t>
      </w:r>
      <w:r>
        <w:t xml:space="preserve"> </w:t>
      </w:r>
      <w:r w:rsidR="00064538">
        <w:t>ofrendas</w:t>
      </w:r>
    </w:p>
    <w:p w14:paraId="4E99F92C" w14:textId="2AA39BEA" w:rsidR="00450000" w:rsidRDefault="00064538" w:rsidP="00450000">
      <w:pPr>
        <w:pStyle w:val="VersoIngls01Sangria"/>
      </w:pPr>
      <w:r>
        <w:t xml:space="preserve">Será </w:t>
      </w:r>
      <w:r w:rsidR="00141D6C">
        <w:t xml:space="preserve">como la </w:t>
      </w:r>
      <w:r>
        <w:t>Luna</w:t>
      </w:r>
      <w:r w:rsidR="00141D6C">
        <w:t xml:space="preserve">, siempre nuevo para las familias, </w:t>
      </w:r>
    </w:p>
    <w:p w14:paraId="7EC49DEF" w14:textId="37ACBCC0" w:rsidR="00450000" w:rsidRDefault="00B51265" w:rsidP="00450000">
      <w:pPr>
        <w:pStyle w:val="VersoIngls01Sangria"/>
      </w:pPr>
      <w:r>
        <w:t>Tampoco</w:t>
      </w:r>
      <w:r w:rsidR="00141D6C">
        <w:t xml:space="preserve"> le molesta</w:t>
      </w:r>
      <w:r w:rsidR="005537C2">
        <w:t>rá</w:t>
      </w:r>
      <w:r w:rsidR="00141D6C">
        <w:t xml:space="preserve"> ayudar a todos por igual, </w:t>
      </w:r>
    </w:p>
    <w:p w14:paraId="49C05D54" w14:textId="4EAAB442" w:rsidR="00141D6C" w:rsidRDefault="00141D6C" w:rsidP="00450000">
      <w:pPr>
        <w:pStyle w:val="VersoIngls01Sangria"/>
      </w:pPr>
      <w:r>
        <w:t xml:space="preserve">Libre de los riesgos de la dependencia de </w:t>
      </w:r>
      <w:r w:rsidR="005537C2">
        <w:t>los hogares</w:t>
      </w:r>
      <w:r>
        <w:t>.</w:t>
      </w:r>
    </w:p>
    <w:p w14:paraId="73C93275" w14:textId="23616DD6" w:rsidR="00141D6C" w:rsidRDefault="007F5FD8" w:rsidP="00450000">
      <w:pPr>
        <w:pStyle w:val="VersoIngls01Sangria"/>
      </w:pPr>
      <w:r>
        <w:t xml:space="preserve">Quien </w:t>
      </w:r>
      <w:r w:rsidR="00141D6C">
        <w:t>abandon</w:t>
      </w:r>
      <w:r>
        <w:t>e</w:t>
      </w:r>
      <w:r w:rsidR="00141D6C">
        <w:t xml:space="preserve"> la ronda autoindulgente</w:t>
      </w:r>
      <w:r>
        <w:t xml:space="preserve"> de ofrendas</w:t>
      </w:r>
    </w:p>
    <w:p w14:paraId="0C2C8655" w14:textId="06D193BB" w:rsidR="00450000" w:rsidRDefault="00141D6C" w:rsidP="00450000">
      <w:pPr>
        <w:pStyle w:val="VersoIngls01Sangria"/>
      </w:pPr>
      <w:r>
        <w:t xml:space="preserve">Y deambule por el mundo a </w:t>
      </w:r>
      <w:r w:rsidR="00670BE1">
        <w:t>voluntad</w:t>
      </w:r>
      <w:r>
        <w:t xml:space="preserve">, </w:t>
      </w:r>
    </w:p>
    <w:p w14:paraId="23E96311" w14:textId="4631C527" w:rsidR="00450000" w:rsidRDefault="00141D6C" w:rsidP="00450000">
      <w:pPr>
        <w:pStyle w:val="VersoIngls01Sangria"/>
      </w:pPr>
      <w:r>
        <w:t>mientras sus ojos abatidos va</w:t>
      </w:r>
      <w:r w:rsidR="0055285D">
        <w:t>ya</w:t>
      </w:r>
      <w:r>
        <w:t xml:space="preserve">n </w:t>
      </w:r>
      <w:r w:rsidR="00670BE1">
        <w:t xml:space="preserve">a </w:t>
      </w:r>
      <w:r>
        <w:t xml:space="preserve">un yugo </w:t>
      </w:r>
      <w:r w:rsidR="0055285D">
        <w:t xml:space="preserve">de largo por </w:t>
      </w:r>
      <w:r>
        <w:t xml:space="preserve">delante, </w:t>
      </w:r>
    </w:p>
    <w:p w14:paraId="08A1B5A2" w14:textId="3EB9727F" w:rsidR="00141D6C" w:rsidRDefault="00B51265" w:rsidP="00450000">
      <w:pPr>
        <w:pStyle w:val="VersoIngls01Sangria"/>
        <w:spacing w:after="100"/>
        <w:ind w:left="1418"/>
      </w:pPr>
      <w:r>
        <w:t xml:space="preserve">Que </w:t>
      </w:r>
      <w:r w:rsidR="00670BE1">
        <w:t>procure</w:t>
      </w:r>
      <w:r w:rsidR="00141D6C">
        <w:t xml:space="preserve"> </w:t>
      </w:r>
      <w:r>
        <w:t xml:space="preserve">entonces </w:t>
      </w:r>
      <w:r w:rsidR="00141D6C">
        <w:t>sabiamente de puerta en puerta.</w:t>
      </w:r>
    </w:p>
    <w:p w14:paraId="3EC1B688" w14:textId="444D8E02" w:rsidR="00141D6C" w:rsidRDefault="0056506B" w:rsidP="00141D6C">
      <w:pPr>
        <w:pStyle w:val="NormalConSangria"/>
      </w:pPr>
      <w:r>
        <w:t>É</w:t>
      </w:r>
      <w:r w:rsidR="00141D6C">
        <w:t xml:space="preserve">ste es el comentario sobre </w:t>
      </w:r>
      <w:r>
        <w:t>el emprendimiento</w:t>
      </w:r>
      <w:r w:rsidR="00141D6C">
        <w:t xml:space="preserve">, las </w:t>
      </w:r>
      <w:r>
        <w:t>indicaciones</w:t>
      </w:r>
      <w:r w:rsidR="00141D6C">
        <w:t xml:space="preserve">, los grados, </w:t>
      </w:r>
      <w:r>
        <w:t xml:space="preserve">el incumplimiento </w:t>
      </w:r>
      <w:r w:rsidR="00141D6C">
        <w:t>y los beneficios, en el caso de la práctica del buscador de casa</w:t>
      </w:r>
      <w:r w:rsidR="00B51265">
        <w:t>-</w:t>
      </w:r>
      <w:r w:rsidR="00141D6C">
        <w:t>en</w:t>
      </w:r>
      <w:r w:rsidR="00B51265">
        <w:t>-</w:t>
      </w:r>
      <w:r w:rsidR="00141D6C">
        <w:t>casa. [69]</w:t>
      </w:r>
    </w:p>
    <w:p w14:paraId="794F2CD2" w14:textId="3E1BD689" w:rsidR="00141D6C" w:rsidRDefault="00141D6C" w:rsidP="00450000">
      <w:r>
        <w:t xml:space="preserve">35. </w:t>
      </w:r>
      <w:r>
        <w:tab/>
        <w:t xml:space="preserve">v. La </w:t>
      </w:r>
      <w:r w:rsidRPr="003C7F92">
        <w:rPr>
          <w:i/>
          <w:iCs/>
        </w:rPr>
        <w:t xml:space="preserve">práctica </w:t>
      </w:r>
      <w:proofErr w:type="spellStart"/>
      <w:proofErr w:type="gramStart"/>
      <w:r w:rsidRPr="003C7F92">
        <w:rPr>
          <w:i/>
          <w:iCs/>
        </w:rPr>
        <w:t>de</w:t>
      </w:r>
      <w:r w:rsidR="00771402">
        <w:rPr>
          <w:i/>
          <w:iCs/>
        </w:rPr>
        <w:t>l</w:t>
      </w:r>
      <w:proofErr w:type="spellEnd"/>
      <w:r w:rsidRPr="003C7F92">
        <w:rPr>
          <w:i/>
          <w:iCs/>
        </w:rPr>
        <w:t xml:space="preserve"> una sola sesión</w:t>
      </w:r>
      <w:proofErr w:type="gramEnd"/>
      <w:r w:rsidRPr="003C7F92">
        <w:rPr>
          <w:i/>
          <w:iCs/>
        </w:rPr>
        <w:t xml:space="preserve"> </w:t>
      </w:r>
      <w:r w:rsidRPr="00BF3174">
        <w:t>se</w:t>
      </w:r>
      <w:r w:rsidRPr="003C7F92">
        <w:rPr>
          <w:i/>
          <w:iCs/>
        </w:rPr>
        <w:t xml:space="preserve"> </w:t>
      </w:r>
      <w:r w:rsidR="004C0C1F" w:rsidRPr="004C0C1F">
        <w:rPr>
          <w:i/>
          <w:iCs/>
        </w:rPr>
        <w:t xml:space="preserve">emprende </w:t>
      </w:r>
      <w:r>
        <w:t>con una de las siguientes declaraciones:</w:t>
      </w:r>
      <w:r w:rsidR="00450000">
        <w:t xml:space="preserve"> </w:t>
      </w:r>
      <w:r>
        <w:t>“Me niego a comer en varias sesiones” o “</w:t>
      </w:r>
      <w:r w:rsidR="000A0029">
        <w:t xml:space="preserve">Emprendo </w:t>
      </w:r>
      <w:r>
        <w:t>la práctica de una sola sesión”.</w:t>
      </w:r>
    </w:p>
    <w:p w14:paraId="6D777743" w14:textId="3CE19DC3" w:rsidR="00141D6C" w:rsidRDefault="00141D6C" w:rsidP="00141D6C">
      <w:pPr>
        <w:pStyle w:val="NormalConSangria"/>
      </w:pPr>
      <w:r>
        <w:t>Cuando el miembro de una sesión se sient</w:t>
      </w:r>
      <w:r w:rsidR="000A0029">
        <w:t>e</w:t>
      </w:r>
      <w:r>
        <w:t xml:space="preserve"> en el salón de sesiones, en lugar de sentarse en el asiento de un </w:t>
      </w:r>
      <w:r w:rsidR="00C0362F">
        <w:t>Venerable</w:t>
      </w:r>
      <w:r>
        <w:t>, debe</w:t>
      </w:r>
      <w:r w:rsidR="00C0362F">
        <w:t>rá</w:t>
      </w:r>
      <w:r>
        <w:t xml:space="preserve"> notar qué asiento s</w:t>
      </w:r>
      <w:r w:rsidR="000A0029">
        <w:t>ea</w:t>
      </w:r>
      <w:r>
        <w:t xml:space="preserve"> probable que le </w:t>
      </w:r>
      <w:r w:rsidR="006F7770">
        <w:t>toque</w:t>
      </w:r>
      <w:r>
        <w:t xml:space="preserve"> y sentarse en </w:t>
      </w:r>
      <w:r w:rsidR="006F7770">
        <w:t xml:space="preserve">dicho </w:t>
      </w:r>
      <w:r w:rsidR="00FF633B">
        <w:t>lugar</w:t>
      </w:r>
      <w:r>
        <w:t>. Si su maestro o preceptor llega</w:t>
      </w:r>
      <w:r w:rsidR="000A0029">
        <w:t>se</w:t>
      </w:r>
      <w:r>
        <w:t xml:space="preserve"> mientras la comida aún no </w:t>
      </w:r>
      <w:r w:rsidR="00FF633B">
        <w:t xml:space="preserve">la </w:t>
      </w:r>
      <w:r>
        <w:t>ha</w:t>
      </w:r>
      <w:r w:rsidR="00FF633B">
        <w:t>ya</w:t>
      </w:r>
      <w:r>
        <w:t xml:space="preserve"> terminado, se le permit</w:t>
      </w:r>
      <w:r w:rsidR="000A0029">
        <w:t>irá</w:t>
      </w:r>
      <w:r>
        <w:t xml:space="preserve"> levantarse y hacer los deberes. Pero el </w:t>
      </w:r>
      <w:r w:rsidR="006F7770">
        <w:t xml:space="preserve">Venerable </w:t>
      </w:r>
      <w:r>
        <w:t xml:space="preserve">Tipiṭaka </w:t>
      </w:r>
      <w:proofErr w:type="spellStart"/>
      <w:r>
        <w:t>Cūla-Abhaya</w:t>
      </w:r>
      <w:proofErr w:type="spellEnd"/>
      <w:r>
        <w:t xml:space="preserve"> </w:t>
      </w:r>
      <w:r w:rsidR="00FF633B">
        <w:t>decía</w:t>
      </w:r>
      <w:r>
        <w:t xml:space="preserve">: “Debe </w:t>
      </w:r>
      <w:r w:rsidR="00B628AE">
        <w:t xml:space="preserve">o </w:t>
      </w:r>
      <w:r>
        <w:t>quedarse sentado [y terminar su comida] o [si se levanta</w:t>
      </w:r>
      <w:r w:rsidR="00483DA8">
        <w:t>]</w:t>
      </w:r>
      <w:r>
        <w:t xml:space="preserve">, debe dejar el resto de su comida [para no romper la práctica </w:t>
      </w:r>
      <w:r w:rsidR="00656CF3">
        <w:t>asceta</w:t>
      </w:r>
      <w:r>
        <w:t xml:space="preserve">]. Y </w:t>
      </w:r>
      <w:r w:rsidR="00D22EA3">
        <w:t>é</w:t>
      </w:r>
      <w:r>
        <w:t xml:space="preserve">ste </w:t>
      </w:r>
      <w:r w:rsidR="00D22EA3">
        <w:t>será alguien</w:t>
      </w:r>
      <w:r>
        <w:t xml:space="preserve"> cuya comida aún est</w:t>
      </w:r>
      <w:r w:rsidR="00D22EA3">
        <w:t>é</w:t>
      </w:r>
      <w:r>
        <w:t xml:space="preserve"> sin terminar; por lo tanto, </w:t>
      </w:r>
      <w:r w:rsidR="00832578">
        <w:t xml:space="preserve">que haga </w:t>
      </w:r>
      <w:r>
        <w:t xml:space="preserve">los deberes, pero en ese caso </w:t>
      </w:r>
      <w:r w:rsidR="00832578">
        <w:t xml:space="preserve">que no </w:t>
      </w:r>
      <w:r>
        <w:t>com</w:t>
      </w:r>
      <w:r w:rsidR="007D0671">
        <w:t>a</w:t>
      </w:r>
      <w:r>
        <w:t xml:space="preserve"> [</w:t>
      </w:r>
      <w:r w:rsidR="00832578">
        <w:t xml:space="preserve">el </w:t>
      </w:r>
      <w:r>
        <w:t xml:space="preserve">resto de la] comida”. </w:t>
      </w:r>
      <w:r w:rsidR="00832578">
        <w:t>É</w:t>
      </w:r>
      <w:r>
        <w:t xml:space="preserve">stas son las </w:t>
      </w:r>
      <w:r w:rsidR="007D0671">
        <w:rPr>
          <w:i/>
          <w:iCs/>
        </w:rPr>
        <w:t>indicaciones</w:t>
      </w:r>
      <w:r>
        <w:t>.</w:t>
      </w:r>
    </w:p>
    <w:p w14:paraId="1B2732AA" w14:textId="34FD569B" w:rsidR="00141D6C" w:rsidRDefault="00141D6C" w:rsidP="00141D6C">
      <w:r>
        <w:t xml:space="preserve">36. </w:t>
      </w:r>
      <w:r>
        <w:tab/>
        <w:t xml:space="preserve">Esto también </w:t>
      </w:r>
      <w:r w:rsidR="007D0671">
        <w:t>posee</w:t>
      </w:r>
      <w:r>
        <w:t xml:space="preserve"> tres </w:t>
      </w:r>
      <w:r w:rsidRPr="004349FB">
        <w:rPr>
          <w:i/>
          <w:iCs/>
        </w:rPr>
        <w:t>grados</w:t>
      </w:r>
      <w:r>
        <w:t xml:space="preserve">. </w:t>
      </w:r>
      <w:r w:rsidR="00832578">
        <w:t>Al re</w:t>
      </w:r>
      <w:r w:rsidR="00FF633B">
        <w:t>s</w:t>
      </w:r>
      <w:r w:rsidR="00832578">
        <w:t>pecto</w:t>
      </w:r>
      <w:r>
        <w:t>, el que s</w:t>
      </w:r>
      <w:r w:rsidR="00FF633B">
        <w:t>ea</w:t>
      </w:r>
      <w:r>
        <w:t xml:space="preserve"> estricto no </w:t>
      </w:r>
      <w:r w:rsidR="000A0029">
        <w:t>podrá</w:t>
      </w:r>
      <w:r>
        <w:t xml:space="preserve"> tomar nada más que la comida que ha</w:t>
      </w:r>
      <w:r w:rsidR="008D119B">
        <w:t>ya sido</w:t>
      </w:r>
      <w:r>
        <w:t xml:space="preserve"> puest</w:t>
      </w:r>
      <w:r w:rsidR="008D119B">
        <w:t>a</w:t>
      </w:r>
      <w:r>
        <w:t xml:space="preserve"> en su </w:t>
      </w:r>
      <w:proofErr w:type="gramStart"/>
      <w:r>
        <w:t>mano,</w:t>
      </w:r>
      <w:proofErr w:type="gramEnd"/>
      <w:r>
        <w:t xml:space="preserve"> ya sea poco o mucho. Y si la gente le </w:t>
      </w:r>
      <w:r w:rsidR="00C90312">
        <w:t>llevase</w:t>
      </w:r>
      <w:r>
        <w:t xml:space="preserve"> </w:t>
      </w:r>
      <w:proofErr w:type="spellStart"/>
      <w:r w:rsidRPr="008D119B">
        <w:rPr>
          <w:i/>
          <w:iCs/>
        </w:rPr>
        <w:t>ghee</w:t>
      </w:r>
      <w:proofErr w:type="spellEnd"/>
      <w:r>
        <w:t xml:space="preserve">, etc., pensando: "El </w:t>
      </w:r>
      <w:r w:rsidR="008D119B">
        <w:t xml:space="preserve">Venerable </w:t>
      </w:r>
      <w:r>
        <w:t xml:space="preserve">no ha comido nada", </w:t>
      </w:r>
      <w:r w:rsidR="00F341E8">
        <w:t>aun</w:t>
      </w:r>
      <w:r>
        <w:t xml:space="preserve">que estos </w:t>
      </w:r>
      <w:r w:rsidR="008D119B">
        <w:t>sean</w:t>
      </w:r>
      <w:r>
        <w:t xml:space="preserve"> permitidos para el propósito de la medicina, no lo s</w:t>
      </w:r>
      <w:r w:rsidR="00C90312">
        <w:t>erá</w:t>
      </w:r>
      <w:r>
        <w:t xml:space="preserve">n para el propósito de la comida. El </w:t>
      </w:r>
      <w:r w:rsidR="008D119B">
        <w:t>intermedio</w:t>
      </w:r>
      <w:r>
        <w:t xml:space="preserve"> </w:t>
      </w:r>
      <w:r w:rsidR="00C90312">
        <w:t>podrá</w:t>
      </w:r>
      <w:r>
        <w:t xml:space="preserve"> tomar más mientras no se agote la comida en el </w:t>
      </w:r>
      <w:r w:rsidR="008D119B">
        <w:t>cuenco</w:t>
      </w:r>
      <w:r>
        <w:t xml:space="preserve">; </w:t>
      </w:r>
      <w:r w:rsidR="008E29A8">
        <w:t xml:space="preserve">ya </w:t>
      </w:r>
      <w:r>
        <w:t xml:space="preserve">que se le llama “el que se </w:t>
      </w:r>
      <w:r w:rsidR="00C90312">
        <w:t>detendrá</w:t>
      </w:r>
      <w:r>
        <w:t xml:space="preserve"> cuando se acab</w:t>
      </w:r>
      <w:r w:rsidR="008E29A8">
        <w:t>e</w:t>
      </w:r>
      <w:r>
        <w:t xml:space="preserve"> la comida”. El </w:t>
      </w:r>
      <w:r w:rsidR="008D119B">
        <w:t xml:space="preserve">moderado </w:t>
      </w:r>
      <w:r w:rsidR="008E29A8">
        <w:t xml:space="preserve">podrá </w:t>
      </w:r>
      <w:r>
        <w:t xml:space="preserve">comer mientras no se levante de su asiento. </w:t>
      </w:r>
      <w:r w:rsidR="00A019E4">
        <w:t>O</w:t>
      </w:r>
      <w:r>
        <w:t xml:space="preserve"> es “el que se </w:t>
      </w:r>
      <w:r w:rsidR="008E29A8">
        <w:t>detendrá</w:t>
      </w:r>
      <w:r>
        <w:t xml:space="preserve"> con el agua” porque come</w:t>
      </w:r>
      <w:r w:rsidR="008E29A8">
        <w:t>rá</w:t>
      </w:r>
      <w:r>
        <w:t xml:space="preserve"> hasta que tom</w:t>
      </w:r>
      <w:r w:rsidR="008E29A8">
        <w:t>e</w:t>
      </w:r>
      <w:r>
        <w:t xml:space="preserve"> </w:t>
      </w:r>
      <w:r w:rsidR="008E29A8">
        <w:t xml:space="preserve">el </w:t>
      </w:r>
      <w:r>
        <w:t xml:space="preserve">agua para lavar el cuenco, o “el que se </w:t>
      </w:r>
      <w:r w:rsidR="008E29A8">
        <w:t xml:space="preserve">detendrá </w:t>
      </w:r>
      <w:r>
        <w:t>con la sesión” porque come</w:t>
      </w:r>
      <w:r w:rsidR="008E29A8">
        <w:t>rá</w:t>
      </w:r>
      <w:r w:rsidR="00A019E4">
        <w:t xml:space="preserve"> </w:t>
      </w:r>
      <w:r>
        <w:t>hasta que se levant</w:t>
      </w:r>
      <w:r w:rsidR="00A04E98">
        <w:t>e</w:t>
      </w:r>
      <w:r>
        <w:t>.</w:t>
      </w:r>
    </w:p>
    <w:p w14:paraId="49CF57D5" w14:textId="35FE23D1" w:rsidR="00141D6C" w:rsidRDefault="00141D6C" w:rsidP="00141D6C">
      <w:pPr>
        <w:pStyle w:val="NormalConSangria"/>
      </w:pPr>
      <w:r>
        <w:t xml:space="preserve">La práctica </w:t>
      </w:r>
      <w:r w:rsidR="00656CF3">
        <w:t>asceta</w:t>
      </w:r>
      <w:r>
        <w:t xml:space="preserve"> de estos tres se rompe</w:t>
      </w:r>
      <w:r w:rsidR="00A019E4">
        <w:t>rá</w:t>
      </w:r>
      <w:r>
        <w:t xml:space="preserve"> en el momento en que se ha</w:t>
      </w:r>
      <w:r w:rsidR="00A04E98">
        <w:t>ya</w:t>
      </w:r>
      <w:r>
        <w:t xml:space="preserve"> comido comida en más de una sesión. </w:t>
      </w:r>
      <w:r w:rsidR="009E6F1D">
        <w:t>É</w:t>
      </w:r>
      <w:r>
        <w:t xml:space="preserve">ste </w:t>
      </w:r>
      <w:r w:rsidR="009E6F1D">
        <w:t>será</w:t>
      </w:r>
      <w:r>
        <w:t xml:space="preserve"> el </w:t>
      </w:r>
      <w:r w:rsidRPr="00DC6667">
        <w:rPr>
          <w:i/>
          <w:iCs/>
        </w:rPr>
        <w:t>incumplimiento</w:t>
      </w:r>
      <w:r>
        <w:t xml:space="preserve"> en este caso.</w:t>
      </w:r>
    </w:p>
    <w:p w14:paraId="6CD24D90" w14:textId="29FF3BAC" w:rsidR="00141D6C" w:rsidRDefault="00141D6C" w:rsidP="009E6F1D">
      <w:r>
        <w:t xml:space="preserve">37. </w:t>
      </w:r>
      <w:r>
        <w:tab/>
        <w:t xml:space="preserve">Los </w:t>
      </w:r>
      <w:r w:rsidRPr="00DC6667">
        <w:rPr>
          <w:i/>
          <w:iCs/>
        </w:rPr>
        <w:t>beneficios</w:t>
      </w:r>
      <w:r>
        <w:t xml:space="preserve"> son estos. </w:t>
      </w:r>
      <w:r w:rsidR="009E6F1D">
        <w:t>Tendrá</w:t>
      </w:r>
      <w:r>
        <w:t xml:space="preserve"> poca aflicción y poca enfermedad; </w:t>
      </w:r>
      <w:r w:rsidR="009E6F1D">
        <w:t>goz</w:t>
      </w:r>
      <w:r w:rsidR="00134BCB">
        <w:t>a</w:t>
      </w:r>
      <w:r w:rsidR="009E6F1D">
        <w:t>rá de</w:t>
      </w:r>
      <w:r w:rsidR="00134BCB">
        <w:t xml:space="preserve"> </w:t>
      </w:r>
      <w:r>
        <w:t>ligereza, fuerza y ​​una vida feliz; no ha</w:t>
      </w:r>
      <w:r w:rsidR="00134BCB">
        <w:t>brá</w:t>
      </w:r>
      <w:r>
        <w:t xml:space="preserve"> contravención [</w:t>
      </w:r>
      <w:r w:rsidR="00134BCB">
        <w:t xml:space="preserve">de </w:t>
      </w:r>
      <w:r>
        <w:t xml:space="preserve">reglas] sobre </w:t>
      </w:r>
      <w:r w:rsidR="00134BCB">
        <w:t xml:space="preserve">la </w:t>
      </w:r>
      <w:r>
        <w:t xml:space="preserve">comida que no sea lo que </w:t>
      </w:r>
      <w:r>
        <w:br w:type="page"/>
      </w:r>
    </w:p>
    <w:p w14:paraId="0E235890" w14:textId="77777777" w:rsidR="00691073" w:rsidRDefault="00691073" w:rsidP="00141D6C"/>
    <w:p w14:paraId="3ED0DC03" w14:textId="762989D6" w:rsidR="00141D6C" w:rsidRDefault="00134BCB" w:rsidP="00141D6C">
      <w:r>
        <w:t xml:space="preserve">sobre de una </w:t>
      </w:r>
      <w:r w:rsidR="00141D6C">
        <w:t>comida; se elimina</w:t>
      </w:r>
      <w:r>
        <w:t>rá</w:t>
      </w:r>
      <w:r w:rsidR="00141D6C">
        <w:t xml:space="preserve"> el anhelo por los gustos; su vida se ajusta</w:t>
      </w:r>
      <w:r>
        <w:t>rá</w:t>
      </w:r>
      <w:r w:rsidR="00141D6C">
        <w:t xml:space="preserve"> a los principios de la escasez de deseos, </w:t>
      </w:r>
      <w:r w:rsidR="00420204">
        <w:t>… etc.</w:t>
      </w:r>
    </w:p>
    <w:p w14:paraId="20178D88" w14:textId="0BA90B78" w:rsidR="00CE7698" w:rsidRDefault="00CE7698" w:rsidP="00911B8C">
      <w:pPr>
        <w:pStyle w:val="VersoIngls01Sangria"/>
        <w:ind w:hanging="1416"/>
      </w:pPr>
      <w:r>
        <w:t xml:space="preserve">38. </w:t>
      </w:r>
      <w:r w:rsidR="00911B8C">
        <w:tab/>
      </w:r>
      <w:r w:rsidR="00911B8C">
        <w:tab/>
      </w:r>
      <w:r>
        <w:t xml:space="preserve">Ninguna enfermedad </w:t>
      </w:r>
      <w:r w:rsidR="00420204">
        <w:t xml:space="preserve">se sentirá </w:t>
      </w:r>
      <w:r>
        <w:t xml:space="preserve">por comer </w:t>
      </w:r>
    </w:p>
    <w:p w14:paraId="02117E3C" w14:textId="2C3BA365" w:rsidR="00911B8C" w:rsidRDefault="00CE7698" w:rsidP="00911B8C">
      <w:pPr>
        <w:pStyle w:val="VersoIngls01Sangria"/>
      </w:pPr>
      <w:r>
        <w:t>Quien gustosamente en una sesión tom</w:t>
      </w:r>
      <w:r w:rsidR="00420204">
        <w:t>e</w:t>
      </w:r>
      <w:r>
        <w:t xml:space="preserve"> su comida; </w:t>
      </w:r>
    </w:p>
    <w:p w14:paraId="34A4B9C1" w14:textId="64A23625" w:rsidR="00911B8C" w:rsidRDefault="002450C1" w:rsidP="00911B8C">
      <w:pPr>
        <w:pStyle w:val="VersoIngls01Sangria"/>
      </w:pPr>
      <w:r>
        <w:t>Ninguna</w:t>
      </w:r>
      <w:r w:rsidR="00F35BC0">
        <w:t xml:space="preserve"> indulgen</w:t>
      </w:r>
      <w:r>
        <w:t>cia</w:t>
      </w:r>
      <w:r w:rsidR="00CE7698">
        <w:t xml:space="preserve"> </w:t>
      </w:r>
      <w:r w:rsidR="00C22673">
        <w:t xml:space="preserve">en </w:t>
      </w:r>
      <w:r w:rsidR="00CE7698">
        <w:t xml:space="preserve">su sentido del gusto </w:t>
      </w:r>
    </w:p>
    <w:p w14:paraId="2324CFBB" w14:textId="7A2EEE08" w:rsidR="00911B8C" w:rsidRDefault="00CE7698" w:rsidP="00911B8C">
      <w:pPr>
        <w:pStyle w:val="VersoIngls01Sangria"/>
      </w:pPr>
      <w:r>
        <w:t>Lo tenta</w:t>
      </w:r>
      <w:r w:rsidR="0081516D">
        <w:t>rá</w:t>
      </w:r>
      <w:r>
        <w:t xml:space="preserve"> a dejar su trabajo </w:t>
      </w:r>
      <w:proofErr w:type="gramStart"/>
      <w:r w:rsidR="002450C1">
        <w:t xml:space="preserve">con el objeto </w:t>
      </w:r>
      <w:r>
        <w:t>que</w:t>
      </w:r>
      <w:proofErr w:type="gramEnd"/>
      <w:r>
        <w:t xml:space="preserve"> se desperdicie. </w:t>
      </w:r>
    </w:p>
    <w:p w14:paraId="3E785761" w14:textId="7FDD07EA" w:rsidR="00911B8C" w:rsidRDefault="00CE7698" w:rsidP="00911B8C">
      <w:pPr>
        <w:pStyle w:val="VersoIngls01Sangria"/>
      </w:pPr>
      <w:r>
        <w:t xml:space="preserve">Su verdadera felicidad la </w:t>
      </w:r>
      <w:r w:rsidR="002450C1">
        <w:t>podrá</w:t>
      </w:r>
      <w:r>
        <w:t xml:space="preserve"> encontrar un monje </w:t>
      </w:r>
    </w:p>
    <w:p w14:paraId="52F610BB" w14:textId="5D859E62" w:rsidR="00911B8C" w:rsidRDefault="00CE7698" w:rsidP="00911B8C">
      <w:pPr>
        <w:pStyle w:val="VersoIngls01Sangria"/>
      </w:pPr>
      <w:r>
        <w:t>Comiendo en sola sesión, con mente pura.</w:t>
      </w:r>
    </w:p>
    <w:p w14:paraId="4628DBB9" w14:textId="189418FC" w:rsidR="00911B8C" w:rsidRDefault="00CE7698" w:rsidP="00911B8C">
      <w:pPr>
        <w:pStyle w:val="VersoIngls01Sangria"/>
      </w:pPr>
      <w:r>
        <w:t xml:space="preserve">La pureza y </w:t>
      </w:r>
      <w:r w:rsidR="002450C1">
        <w:t>la purificación</w:t>
      </w:r>
      <w:r>
        <w:t xml:space="preserve"> </w:t>
      </w:r>
      <w:r w:rsidR="006E0F74">
        <w:t>aguarda</w:t>
      </w:r>
      <w:r w:rsidR="001132FF">
        <w:t>rá</w:t>
      </w:r>
      <w:r w:rsidR="006E0F74">
        <w:t>n por</w:t>
      </w:r>
      <w:r>
        <w:t xml:space="preserve"> esto; </w:t>
      </w:r>
    </w:p>
    <w:p w14:paraId="429D6483" w14:textId="4EE6ED7B" w:rsidR="00CE7698" w:rsidRDefault="006E0F74" w:rsidP="00911B8C">
      <w:pPr>
        <w:pStyle w:val="VersoIngls01Sangria"/>
        <w:spacing w:after="100"/>
        <w:ind w:left="1418"/>
      </w:pPr>
      <w:r>
        <w:t xml:space="preserve">Ya </w:t>
      </w:r>
      <w:r w:rsidR="00CE7698">
        <w:t>que da</w:t>
      </w:r>
      <w:r w:rsidR="001132FF">
        <w:t>rá</w:t>
      </w:r>
      <w:r w:rsidR="00CE7698">
        <w:t xml:space="preserve"> </w:t>
      </w:r>
      <w:r>
        <w:t>motivos</w:t>
      </w:r>
      <w:r w:rsidR="00CE7698">
        <w:t xml:space="preserve"> para </w:t>
      </w:r>
      <w:r>
        <w:t xml:space="preserve">habitar </w:t>
      </w:r>
      <w:r w:rsidR="00CE7698">
        <w:t xml:space="preserve">en </w:t>
      </w:r>
      <w:r>
        <w:t xml:space="preserve">la </w:t>
      </w:r>
      <w:r w:rsidR="00CE7698">
        <w:t>bienaventuranza.</w:t>
      </w:r>
    </w:p>
    <w:p w14:paraId="2B25D8B9" w14:textId="4C1CDF13" w:rsidR="00CE7698" w:rsidRDefault="00CE7698" w:rsidP="00CE7698">
      <w:pPr>
        <w:pStyle w:val="NormalConSangria"/>
      </w:pPr>
      <w:r>
        <w:t xml:space="preserve">Este es el comentario sobre el </w:t>
      </w:r>
      <w:r w:rsidR="000807AB">
        <w:t>emprendimiento</w:t>
      </w:r>
      <w:r>
        <w:t xml:space="preserve">, las </w:t>
      </w:r>
      <w:r w:rsidR="000807AB">
        <w:t>indicaciones</w:t>
      </w:r>
      <w:r>
        <w:t>, los grados, el incumplimiento y los beneficios, en el caso de la práctica de una sola sesión. [70]</w:t>
      </w:r>
    </w:p>
    <w:p w14:paraId="65F7F098" w14:textId="2D387873" w:rsidR="00CE7698" w:rsidRDefault="00CE7698" w:rsidP="00CE7698">
      <w:r>
        <w:t xml:space="preserve">39. </w:t>
      </w:r>
      <w:r>
        <w:tab/>
        <w:t xml:space="preserve">vi. La </w:t>
      </w:r>
      <w:r w:rsidRPr="004349FB">
        <w:rPr>
          <w:i/>
          <w:iCs/>
        </w:rPr>
        <w:t>práctica del come</w:t>
      </w:r>
      <w:r w:rsidR="000807AB">
        <w:rPr>
          <w:i/>
          <w:iCs/>
        </w:rPr>
        <w:t>nsal</w:t>
      </w:r>
      <w:r w:rsidR="00CB54B4">
        <w:rPr>
          <w:i/>
          <w:iCs/>
        </w:rPr>
        <w:t>-</w:t>
      </w:r>
      <w:r w:rsidR="000807AB">
        <w:rPr>
          <w:i/>
          <w:iCs/>
        </w:rPr>
        <w:t>de</w:t>
      </w:r>
      <w:r w:rsidR="00CB54B4">
        <w:rPr>
          <w:i/>
          <w:iCs/>
        </w:rPr>
        <w:t>-alimentos-de-</w:t>
      </w:r>
      <w:r w:rsidR="001132FF">
        <w:rPr>
          <w:i/>
          <w:iCs/>
        </w:rPr>
        <w:t>un-</w:t>
      </w:r>
      <w:r w:rsidR="00CB54B4">
        <w:rPr>
          <w:i/>
          <w:iCs/>
        </w:rPr>
        <w:t xml:space="preserve">cuenco </w:t>
      </w:r>
      <w:r w:rsidRPr="007D62F0">
        <w:t>se</w:t>
      </w:r>
      <w:r w:rsidRPr="004349FB">
        <w:rPr>
          <w:i/>
          <w:iCs/>
        </w:rPr>
        <w:t xml:space="preserve"> </w:t>
      </w:r>
      <w:r w:rsidR="004C0C1F">
        <w:rPr>
          <w:i/>
          <w:iCs/>
        </w:rPr>
        <w:t>emprende</w:t>
      </w:r>
      <w:r>
        <w:t xml:space="preserve"> con una de las siguientes afirmaciones: “Rechazo un segundo recipiente” o “</w:t>
      </w:r>
      <w:r w:rsidR="001132FF">
        <w:t xml:space="preserve">Emprendo </w:t>
      </w:r>
      <w:r>
        <w:t>la práctica del-</w:t>
      </w:r>
      <w:r w:rsidR="00AD39B8" w:rsidRPr="00AD39B8">
        <w:t xml:space="preserve"> comensal-de-alimentos-de-</w:t>
      </w:r>
      <w:r w:rsidR="001132FF">
        <w:t>un-</w:t>
      </w:r>
      <w:r w:rsidR="00AD39B8" w:rsidRPr="00AD39B8">
        <w:t>cuenco</w:t>
      </w:r>
      <w:r>
        <w:t>”.</w:t>
      </w:r>
    </w:p>
    <w:p w14:paraId="73D5EAAE" w14:textId="77AC0E26" w:rsidR="00CE7698" w:rsidRDefault="00CE7698" w:rsidP="00CE7698">
      <w:pPr>
        <w:pStyle w:val="NormalConSangria"/>
      </w:pPr>
      <w:r>
        <w:t xml:space="preserve">Cuando a la hora de beber </w:t>
      </w:r>
      <w:r w:rsidR="00C54C36">
        <w:t>atole</w:t>
      </w:r>
      <w:r>
        <w:t xml:space="preserve"> de arroz, el </w:t>
      </w:r>
      <w:r w:rsidR="00C54C36" w:rsidRPr="00C54C36">
        <w:t>comensal-de-alimentos-de-</w:t>
      </w:r>
      <w:r w:rsidR="001132FF" w:rsidRPr="001132FF">
        <w:t xml:space="preserve"> </w:t>
      </w:r>
      <w:r w:rsidR="001132FF">
        <w:t>un-</w:t>
      </w:r>
      <w:r w:rsidR="00C54C36" w:rsidRPr="00C54C36">
        <w:t xml:space="preserve">cuenco </w:t>
      </w:r>
      <w:r>
        <w:t>recib</w:t>
      </w:r>
      <w:r w:rsidR="004C0C1F">
        <w:t>a</w:t>
      </w:r>
      <w:r>
        <w:t xml:space="preserve"> curry que se pon</w:t>
      </w:r>
      <w:r w:rsidR="004C0C1F">
        <w:t>ga</w:t>
      </w:r>
      <w:r>
        <w:t xml:space="preserve"> en un plato; primero </w:t>
      </w:r>
      <w:r w:rsidR="001132FF">
        <w:t xml:space="preserve">podrá </w:t>
      </w:r>
      <w:r>
        <w:t xml:space="preserve">comer el curry o beber las gachas de arroz. Si lo pone </w:t>
      </w:r>
      <w:r w:rsidR="001132FF">
        <w:t>sobre</w:t>
      </w:r>
      <w:r>
        <w:t xml:space="preserve"> las gachas de arroz, las gachas de arroz se v</w:t>
      </w:r>
      <w:r w:rsidR="0042178F">
        <w:t>o</w:t>
      </w:r>
      <w:r>
        <w:t>lve</w:t>
      </w:r>
      <w:r w:rsidR="0042178F">
        <w:t>rá</w:t>
      </w:r>
      <w:r>
        <w:t>n repulsivas cuando se le pon</w:t>
      </w:r>
      <w:r w:rsidR="0042178F">
        <w:t>ga</w:t>
      </w:r>
      <w:r>
        <w:t xml:space="preserve"> un curry hecho </w:t>
      </w:r>
      <w:r w:rsidR="004C0C1F">
        <w:t>de</w:t>
      </w:r>
      <w:r>
        <w:t xml:space="preserve"> pescado curado, etc. Por lo tanto, est</w:t>
      </w:r>
      <w:r w:rsidR="001132FF">
        <w:t>ar</w:t>
      </w:r>
      <w:r>
        <w:t xml:space="preserve">á permitido [hacer esto] solo </w:t>
      </w:r>
      <w:r w:rsidR="004C0C1F">
        <w:t>con el objeto de</w:t>
      </w:r>
      <w:r>
        <w:t xml:space="preserve"> </w:t>
      </w:r>
      <w:r w:rsidR="00EA1E01">
        <w:t xml:space="preserve">no </w:t>
      </w:r>
      <w:r>
        <w:t xml:space="preserve">hacerlo repulsivo. En consecuencia, esto se dice </w:t>
      </w:r>
      <w:r w:rsidR="004C0C1F">
        <w:t xml:space="preserve">sólo </w:t>
      </w:r>
      <w:r>
        <w:t xml:space="preserve">con referencia a un curry como </w:t>
      </w:r>
      <w:r w:rsidR="0042178F">
        <w:t>é</w:t>
      </w:r>
      <w:r>
        <w:t>se. Pero lo que no s</w:t>
      </w:r>
      <w:r w:rsidR="0042178F">
        <w:t>ea</w:t>
      </w:r>
      <w:r>
        <w:t xml:space="preserve"> repulsivo, como </w:t>
      </w:r>
      <w:r w:rsidR="004C0C1F">
        <w:t xml:space="preserve">la </w:t>
      </w:r>
      <w:r>
        <w:t xml:space="preserve">miel, </w:t>
      </w:r>
      <w:r w:rsidR="0042178F">
        <w:t xml:space="preserve">el </w:t>
      </w:r>
      <w:r>
        <w:t>azúcar,</w:t>
      </w:r>
      <w:r w:rsidR="007513F4">
        <w:rPr>
          <w:vertAlign w:val="superscript"/>
        </w:rPr>
        <w:t>13</w:t>
      </w:r>
      <w:r>
        <w:t xml:space="preserve"> etc., se debe</w:t>
      </w:r>
      <w:r w:rsidR="00BC6537">
        <w:t>rá</w:t>
      </w:r>
      <w:r>
        <w:t xml:space="preserve"> poner </w:t>
      </w:r>
      <w:r w:rsidR="00EA1E01">
        <w:t>sobre</w:t>
      </w:r>
      <w:r>
        <w:t xml:space="preserve"> él. Y al tomarlo debe</w:t>
      </w:r>
      <w:r w:rsidR="00EA1E01">
        <w:t>rá</w:t>
      </w:r>
      <w:r>
        <w:t xml:space="preserve"> tomar la cantidad correcta. Est</w:t>
      </w:r>
      <w:r w:rsidR="00EA1E01">
        <w:t>ar</w:t>
      </w:r>
      <w:r>
        <w:t>á permitido tomar vegetales verdes con la mano y comerlos. Pero a menos que lo haga, debe</w:t>
      </w:r>
      <w:r w:rsidR="00BC6537">
        <w:t>rá</w:t>
      </w:r>
      <w:r>
        <w:t xml:space="preserve">n ponerse </w:t>
      </w:r>
      <w:r w:rsidR="00BC6537">
        <w:t xml:space="preserve">sobre </w:t>
      </w:r>
      <w:r>
        <w:t>el cuenco. Debido a que se ha rechazado una segunda vasija, no est</w:t>
      </w:r>
      <w:r w:rsidR="00BC6537">
        <w:t>ar</w:t>
      </w:r>
      <w:r>
        <w:t>á permitido [</w:t>
      </w:r>
      <w:r w:rsidR="00BC6537">
        <w:t>utilizar</w:t>
      </w:r>
      <w:r>
        <w:t xml:space="preserve">] nada más, ni siquiera la hoja de un árbol. </w:t>
      </w:r>
      <w:r w:rsidR="005D7399">
        <w:t>É</w:t>
      </w:r>
      <w:r>
        <w:t xml:space="preserve">stas son sus </w:t>
      </w:r>
      <w:r w:rsidR="004C0C1F" w:rsidRPr="004C0C1F">
        <w:rPr>
          <w:i/>
          <w:iCs/>
        </w:rPr>
        <w:t>indicaciones</w:t>
      </w:r>
      <w:r>
        <w:t>.</w:t>
      </w:r>
    </w:p>
    <w:p w14:paraId="709911E4" w14:textId="28A953D7" w:rsidR="00CE7698" w:rsidRDefault="00CE7698" w:rsidP="00CE7698">
      <w:r>
        <w:t xml:space="preserve">40. </w:t>
      </w:r>
      <w:r>
        <w:tab/>
        <w:t xml:space="preserve">Esto también </w:t>
      </w:r>
      <w:r w:rsidR="004C0C1F">
        <w:t>posee</w:t>
      </w:r>
      <w:r>
        <w:t xml:space="preserve"> </w:t>
      </w:r>
      <w:r w:rsidR="005A399C">
        <w:t>3</w:t>
      </w:r>
      <w:r>
        <w:t xml:space="preserve"> </w:t>
      </w:r>
      <w:r w:rsidRPr="004349FB">
        <w:rPr>
          <w:i/>
          <w:iCs/>
        </w:rPr>
        <w:t>grados</w:t>
      </w:r>
      <w:r>
        <w:t>. Aquí, para el que s</w:t>
      </w:r>
      <w:r w:rsidR="004C0C1F">
        <w:t>ea</w:t>
      </w:r>
      <w:r>
        <w:t xml:space="preserve"> estricto, excepto a la hora de comer caña de azúcar, no </w:t>
      </w:r>
      <w:r w:rsidR="00A74D94">
        <w:t>le se</w:t>
      </w:r>
      <w:r w:rsidR="00336CED">
        <w:t>r</w:t>
      </w:r>
      <w:r>
        <w:t>á permitido [mientras com</w:t>
      </w:r>
      <w:r w:rsidR="004C0C1F">
        <w:t>a</w:t>
      </w:r>
      <w:r>
        <w:t xml:space="preserve">] tirar </w:t>
      </w:r>
      <w:r w:rsidR="00A74D94">
        <w:t xml:space="preserve">la </w:t>
      </w:r>
      <w:r>
        <w:t xml:space="preserve">basura, y no </w:t>
      </w:r>
      <w:r w:rsidR="00A74D94">
        <w:t>le se</w:t>
      </w:r>
      <w:r w:rsidR="00336CED">
        <w:t>r</w:t>
      </w:r>
      <w:r>
        <w:t>á permitido mientras com</w:t>
      </w:r>
      <w:r w:rsidR="005D7399">
        <w:t>a</w:t>
      </w:r>
      <w:r>
        <w:t xml:space="preserve"> desmenuzar </w:t>
      </w:r>
      <w:r w:rsidR="00CF4D8F">
        <w:t xml:space="preserve">el </w:t>
      </w:r>
      <w:r>
        <w:t xml:space="preserve">arroz, </w:t>
      </w:r>
      <w:r w:rsidR="00336CED">
        <w:t xml:space="preserve">el </w:t>
      </w:r>
      <w:r>
        <w:t xml:space="preserve">pescado, </w:t>
      </w:r>
      <w:r w:rsidR="00336CED">
        <w:t xml:space="preserve">la </w:t>
      </w:r>
      <w:r>
        <w:t xml:space="preserve">carne y </w:t>
      </w:r>
      <w:r w:rsidR="00336CED">
        <w:t xml:space="preserve">las </w:t>
      </w:r>
      <w:r>
        <w:t>tortas. [La basura debe</w:t>
      </w:r>
      <w:r w:rsidR="00CF4D8F">
        <w:t>rá</w:t>
      </w:r>
      <w:r>
        <w:t xml:space="preserve"> tirarse y los terrones de arroz, etc., </w:t>
      </w:r>
      <w:r w:rsidR="00A74D94">
        <w:t>debe</w:t>
      </w:r>
      <w:r w:rsidR="00CF4D8F">
        <w:t>rá</w:t>
      </w:r>
      <w:r w:rsidR="00A74D94">
        <w:t xml:space="preserve">n ser </w:t>
      </w:r>
      <w:r>
        <w:t>tritura</w:t>
      </w:r>
      <w:r w:rsidR="00C226E6">
        <w:t>dos</w:t>
      </w:r>
      <w:r>
        <w:t xml:space="preserve"> antes de comenzar a comer.] Al </w:t>
      </w:r>
      <w:r w:rsidR="00C226E6">
        <w:t>intermedio</w:t>
      </w:r>
      <w:r>
        <w:t xml:space="preserve"> se le permite triturarlos con una mano mientras com</w:t>
      </w:r>
      <w:r w:rsidR="00C226E6">
        <w:t>a</w:t>
      </w:r>
      <w:r>
        <w:t xml:space="preserve">; y se le llama “asceta de mano”. </w:t>
      </w:r>
      <w:r w:rsidR="00A74D94">
        <w:t>A</w:t>
      </w:r>
      <w:r>
        <w:t xml:space="preserve">l </w:t>
      </w:r>
      <w:r w:rsidR="00C226E6">
        <w:t>mo</w:t>
      </w:r>
      <w:r w:rsidR="00A74D94">
        <w:t>d</w:t>
      </w:r>
      <w:r w:rsidR="00C226E6">
        <w:t>e</w:t>
      </w:r>
      <w:r w:rsidR="00A74D94">
        <w:t>r</w:t>
      </w:r>
      <w:r w:rsidR="00C226E6">
        <w:t>ado</w:t>
      </w:r>
      <w:r>
        <w:t xml:space="preserve"> se </w:t>
      </w:r>
      <w:r w:rsidR="00921E07">
        <w:t xml:space="preserve">le </w:t>
      </w:r>
      <w:r>
        <w:t xml:space="preserve">llama "asceta de cuenco"; </w:t>
      </w:r>
      <w:r w:rsidR="00A74D94">
        <w:t xml:space="preserve">se le permitirá </w:t>
      </w:r>
      <w:r>
        <w:t>todo lo que se pueda poner en su cuenco, mientras com</w:t>
      </w:r>
      <w:r w:rsidR="00C226E6">
        <w:t>a</w:t>
      </w:r>
      <w:r>
        <w:t xml:space="preserve"> </w:t>
      </w:r>
      <w:r w:rsidR="00113A2E">
        <w:t xml:space="preserve">se le permitirá desmenuzar </w:t>
      </w:r>
      <w:r w:rsidR="001A21BE">
        <w:t xml:space="preserve">la comida </w:t>
      </w:r>
      <w:r>
        <w:t>[es decir, terrones de arroz, etc.] con la mano o [cosas como azúcar de palma, jengibre, etc.] con los dientes.</w:t>
      </w:r>
    </w:p>
    <w:p w14:paraId="3B503B42" w14:textId="2A62A617" w:rsidR="00CE7698" w:rsidRDefault="00CE7698" w:rsidP="00CE7698">
      <w:pPr>
        <w:pStyle w:val="NormalConSangria"/>
      </w:pPr>
      <w:r>
        <w:t>En el momento en que cualquiera de estos tres acept</w:t>
      </w:r>
      <w:r w:rsidR="00C226E6">
        <w:t>e</w:t>
      </w:r>
      <w:r>
        <w:t xml:space="preserve"> un segundo recipiente, su práctica </w:t>
      </w:r>
      <w:r w:rsidR="00656CF3">
        <w:t>asceta</w:t>
      </w:r>
      <w:r>
        <w:t xml:space="preserve"> se rompe</w:t>
      </w:r>
      <w:r w:rsidR="00C226E6">
        <w:t>rá</w:t>
      </w:r>
      <w:r>
        <w:t>. Este s</w:t>
      </w:r>
      <w:r w:rsidR="00C226E6">
        <w:t>erá</w:t>
      </w:r>
      <w:r>
        <w:t xml:space="preserve"> el </w:t>
      </w:r>
      <w:r w:rsidRPr="004349FB">
        <w:rPr>
          <w:i/>
          <w:iCs/>
        </w:rPr>
        <w:t>incumplimiento</w:t>
      </w:r>
      <w:r>
        <w:t xml:space="preserve"> en este caso.</w:t>
      </w:r>
    </w:p>
    <w:p w14:paraId="0FFE2E51" w14:textId="01651F95" w:rsidR="00CE7698" w:rsidRDefault="00CE7698" w:rsidP="00CE7698">
      <w:r>
        <w:t xml:space="preserve">41. </w:t>
      </w:r>
      <w:r>
        <w:tab/>
        <w:t xml:space="preserve">Los </w:t>
      </w:r>
      <w:r w:rsidRPr="004349FB">
        <w:rPr>
          <w:i/>
          <w:iCs/>
        </w:rPr>
        <w:t>beneficios</w:t>
      </w:r>
      <w:r>
        <w:t xml:space="preserve"> son estos. Se elimina</w:t>
      </w:r>
      <w:r w:rsidR="00113A2E">
        <w:t>rá</w:t>
      </w:r>
      <w:r>
        <w:t xml:space="preserve"> el anhelo por la variedad de sabores; se abandona</w:t>
      </w:r>
      <w:r w:rsidR="00113A2E">
        <w:t>rá</w:t>
      </w:r>
      <w:r>
        <w:t xml:space="preserve"> el exceso de deseos; él ve</w:t>
      </w:r>
      <w:r w:rsidR="00113A2E">
        <w:t>rá</w:t>
      </w:r>
      <w:r>
        <w:t xml:space="preserve"> el propósito y la cantidad correcta </w:t>
      </w:r>
      <w:r w:rsidR="00113A2E">
        <w:t>d</w:t>
      </w:r>
      <w:r>
        <w:t xml:space="preserve">el alimento; no </w:t>
      </w:r>
      <w:r w:rsidR="00113A2E">
        <w:t>s</w:t>
      </w:r>
      <w:r>
        <w:t>e molesta</w:t>
      </w:r>
      <w:r w:rsidR="00C226E6">
        <w:t>rá</w:t>
      </w:r>
      <w:r>
        <w:t xml:space="preserve"> llevar platillos, etc., de un lado a otro; su vida se ajusta</w:t>
      </w:r>
      <w:r w:rsidR="00C226E6">
        <w:t>rá</w:t>
      </w:r>
      <w:r>
        <w:t xml:space="preserve"> a [los principios de] la escasez de deseos, etc.</w:t>
      </w:r>
    </w:p>
    <w:p w14:paraId="25439D03" w14:textId="544F3931" w:rsidR="00CE7698" w:rsidRPr="00113A2E" w:rsidRDefault="00CE7698" w:rsidP="00691073">
      <w:pPr>
        <w:pStyle w:val="VersoIngls01Sangria"/>
        <w:ind w:left="0"/>
        <w:rPr>
          <w:sz w:val="16"/>
          <w:szCs w:val="20"/>
        </w:rPr>
      </w:pPr>
      <w:r>
        <w:t xml:space="preserve">42. </w:t>
      </w:r>
      <w:r>
        <w:tab/>
      </w:r>
      <w:r w:rsidR="00691073">
        <w:tab/>
      </w:r>
      <w:r w:rsidR="00691073">
        <w:tab/>
      </w:r>
      <w:r w:rsidRPr="00113A2E">
        <w:rPr>
          <w:sz w:val="16"/>
          <w:szCs w:val="20"/>
        </w:rPr>
        <w:t>Desconcerta</w:t>
      </w:r>
      <w:r w:rsidR="00C226E6" w:rsidRPr="00113A2E">
        <w:rPr>
          <w:sz w:val="16"/>
          <w:szCs w:val="20"/>
        </w:rPr>
        <w:t>rá</w:t>
      </w:r>
      <w:r w:rsidRPr="00113A2E">
        <w:rPr>
          <w:sz w:val="16"/>
          <w:szCs w:val="20"/>
        </w:rPr>
        <w:t xml:space="preserve"> las dudas </w:t>
      </w:r>
      <w:r w:rsidR="00C226E6" w:rsidRPr="00113A2E">
        <w:rPr>
          <w:sz w:val="16"/>
          <w:szCs w:val="20"/>
        </w:rPr>
        <w:t xml:space="preserve">sobre lo </w:t>
      </w:r>
      <w:r w:rsidRPr="00113A2E">
        <w:rPr>
          <w:sz w:val="16"/>
          <w:szCs w:val="20"/>
        </w:rPr>
        <w:t>que pueda surgir</w:t>
      </w:r>
    </w:p>
    <w:p w14:paraId="15813D29" w14:textId="07880D70" w:rsidR="00691073" w:rsidRPr="00113A2E" w:rsidRDefault="009D7BAF" w:rsidP="00691073">
      <w:pPr>
        <w:pStyle w:val="VersoIngls01Sangria"/>
        <w:rPr>
          <w:sz w:val="16"/>
          <w:szCs w:val="20"/>
        </w:rPr>
      </w:pPr>
      <w:r>
        <w:rPr>
          <w:sz w:val="16"/>
          <w:szCs w:val="20"/>
        </w:rPr>
        <w:t>Sobre</w:t>
      </w:r>
      <w:r w:rsidR="00CE7698" w:rsidRPr="00113A2E">
        <w:rPr>
          <w:sz w:val="16"/>
          <w:szCs w:val="20"/>
        </w:rPr>
        <w:t xml:space="preserve"> platos extra; </w:t>
      </w:r>
      <w:r w:rsidR="00C226E6" w:rsidRPr="00113A2E">
        <w:rPr>
          <w:sz w:val="16"/>
          <w:szCs w:val="20"/>
        </w:rPr>
        <w:t xml:space="preserve">los </w:t>
      </w:r>
      <w:r w:rsidR="00CE7698" w:rsidRPr="00113A2E">
        <w:rPr>
          <w:sz w:val="16"/>
          <w:szCs w:val="20"/>
        </w:rPr>
        <w:t>ojos bajos</w:t>
      </w:r>
    </w:p>
    <w:p w14:paraId="3760A7BD" w14:textId="77777777" w:rsidR="00CE7698" w:rsidRPr="00CE7698" w:rsidRDefault="00CE7698" w:rsidP="00CE7698">
      <w:pPr>
        <w:pStyle w:val="PiedepginaLegal"/>
        <w:rPr>
          <w:u w:val="single"/>
        </w:rPr>
      </w:pPr>
      <w:r w:rsidRPr="00CE7698">
        <w:rPr>
          <w:u w:val="single"/>
        </w:rPr>
        <w:t xml:space="preserve">                                                                                                                                                 .</w:t>
      </w:r>
    </w:p>
    <w:p w14:paraId="288A76D2" w14:textId="5B130A93" w:rsidR="00691073" w:rsidRDefault="00CE7698" w:rsidP="00113A2E">
      <w:pPr>
        <w:pStyle w:val="PiedepginaLegal"/>
      </w:pPr>
      <w:r>
        <w:t>13.</w:t>
      </w:r>
      <w:r>
        <w:tab/>
        <w:t xml:space="preserve"> </w:t>
      </w:r>
      <w:proofErr w:type="spellStart"/>
      <w:r w:rsidRPr="004349FB">
        <w:rPr>
          <w:i/>
          <w:iCs/>
        </w:rPr>
        <w:t>Sakkarā</w:t>
      </w:r>
      <w:proofErr w:type="spellEnd"/>
      <w:r>
        <w:t xml:space="preserve">—“azúcar”: escrito </w:t>
      </w:r>
      <w:proofErr w:type="spellStart"/>
      <w:r w:rsidRPr="004349FB">
        <w:rPr>
          <w:i/>
          <w:iCs/>
        </w:rPr>
        <w:t>sakkharā</w:t>
      </w:r>
      <w:proofErr w:type="spellEnd"/>
      <w:r>
        <w:t xml:space="preserve"> en PED.</w:t>
      </w:r>
      <w:r w:rsidR="00691073">
        <w:br w:type="page"/>
      </w:r>
    </w:p>
    <w:p w14:paraId="500E920B" w14:textId="0BB9FD1D" w:rsidR="0085239E" w:rsidRPr="00113A2E" w:rsidRDefault="00C226E6" w:rsidP="0085239E">
      <w:pPr>
        <w:pStyle w:val="VersoIngls01Sangria"/>
        <w:rPr>
          <w:sz w:val="16"/>
          <w:szCs w:val="20"/>
          <w:vertAlign w:val="superscript"/>
        </w:rPr>
      </w:pPr>
      <w:r w:rsidRPr="00113A2E">
        <w:rPr>
          <w:sz w:val="16"/>
          <w:szCs w:val="20"/>
        </w:rPr>
        <w:lastRenderedPageBreak/>
        <w:t>Implica</w:t>
      </w:r>
      <w:r w:rsidR="00507E6D">
        <w:t>rá</w:t>
      </w:r>
      <w:r w:rsidRPr="00113A2E">
        <w:rPr>
          <w:sz w:val="16"/>
          <w:szCs w:val="20"/>
          <w:vertAlign w:val="superscript"/>
        </w:rPr>
        <w:t xml:space="preserve">14 </w:t>
      </w:r>
      <w:r w:rsidRPr="00113A2E">
        <w:rPr>
          <w:sz w:val="16"/>
          <w:szCs w:val="20"/>
        </w:rPr>
        <w:t xml:space="preserve">la </w:t>
      </w:r>
      <w:r w:rsidR="0085239E" w:rsidRPr="00113A2E">
        <w:rPr>
          <w:sz w:val="16"/>
          <w:szCs w:val="20"/>
        </w:rPr>
        <w:t xml:space="preserve">verdadera devoción </w:t>
      </w:r>
    </w:p>
    <w:p w14:paraId="5A059094" w14:textId="3AA39BF1" w:rsidR="0085239E" w:rsidRPr="00113A2E" w:rsidRDefault="0085239E" w:rsidP="0085239E">
      <w:pPr>
        <w:pStyle w:val="VersoIngls01Sangria"/>
        <w:rPr>
          <w:sz w:val="16"/>
          <w:szCs w:val="20"/>
        </w:rPr>
      </w:pPr>
      <w:r w:rsidRPr="00113A2E">
        <w:rPr>
          <w:sz w:val="16"/>
          <w:szCs w:val="20"/>
        </w:rPr>
        <w:t xml:space="preserve">De </w:t>
      </w:r>
      <w:r w:rsidR="00C226E6" w:rsidRPr="00113A2E">
        <w:rPr>
          <w:sz w:val="16"/>
          <w:szCs w:val="20"/>
        </w:rPr>
        <w:t>alguien</w:t>
      </w:r>
      <w:r w:rsidRPr="00113A2E">
        <w:rPr>
          <w:sz w:val="16"/>
          <w:szCs w:val="20"/>
        </w:rPr>
        <w:t xml:space="preserve"> desarraigando la gula.</w:t>
      </w:r>
    </w:p>
    <w:p w14:paraId="22885CC7" w14:textId="3205FE55" w:rsidR="0085239E" w:rsidRPr="00113A2E" w:rsidRDefault="00C750A4" w:rsidP="0085239E">
      <w:pPr>
        <w:pStyle w:val="VersoIngls01Sangria"/>
        <w:rPr>
          <w:sz w:val="16"/>
          <w:szCs w:val="20"/>
        </w:rPr>
      </w:pPr>
      <w:r w:rsidRPr="00113A2E">
        <w:rPr>
          <w:sz w:val="16"/>
          <w:szCs w:val="20"/>
        </w:rPr>
        <w:t xml:space="preserve">Luciendo satisfacción </w:t>
      </w:r>
      <w:r w:rsidR="0085239E" w:rsidRPr="00113A2E">
        <w:rPr>
          <w:sz w:val="16"/>
          <w:szCs w:val="20"/>
        </w:rPr>
        <w:t>como si fuera parte</w:t>
      </w:r>
    </w:p>
    <w:p w14:paraId="645BFE0E" w14:textId="4D3AB212" w:rsidR="0085239E" w:rsidRPr="00113A2E" w:rsidRDefault="0085239E" w:rsidP="0085239E">
      <w:pPr>
        <w:pStyle w:val="VersoIngls01Sangria"/>
        <w:rPr>
          <w:sz w:val="16"/>
          <w:szCs w:val="20"/>
        </w:rPr>
      </w:pPr>
      <w:r w:rsidRPr="00113A2E">
        <w:rPr>
          <w:sz w:val="16"/>
          <w:szCs w:val="20"/>
        </w:rPr>
        <w:t xml:space="preserve">De su propia naturaleza, </w:t>
      </w:r>
      <w:proofErr w:type="gramStart"/>
      <w:r w:rsidR="00507E6D">
        <w:rPr>
          <w:sz w:val="16"/>
          <w:szCs w:val="20"/>
        </w:rPr>
        <w:t xml:space="preserve">serpa </w:t>
      </w:r>
      <w:r w:rsidR="00C750A4" w:rsidRPr="00113A2E">
        <w:rPr>
          <w:sz w:val="16"/>
          <w:szCs w:val="20"/>
        </w:rPr>
        <w:t>dichoso</w:t>
      </w:r>
      <w:proofErr w:type="gramEnd"/>
      <w:r w:rsidRPr="00113A2E">
        <w:rPr>
          <w:sz w:val="16"/>
          <w:szCs w:val="20"/>
        </w:rPr>
        <w:t xml:space="preserve"> de corazón;</w:t>
      </w:r>
    </w:p>
    <w:p w14:paraId="382E4F08" w14:textId="2A12E9EC" w:rsidR="0085239E" w:rsidRPr="00113A2E" w:rsidRDefault="0085239E" w:rsidP="0085239E">
      <w:pPr>
        <w:pStyle w:val="VersoIngls01Sangria"/>
        <w:rPr>
          <w:sz w:val="16"/>
          <w:szCs w:val="20"/>
        </w:rPr>
      </w:pPr>
      <w:r w:rsidRPr="00113A2E">
        <w:rPr>
          <w:sz w:val="16"/>
          <w:szCs w:val="20"/>
        </w:rPr>
        <w:t xml:space="preserve">Nadie, excepto un </w:t>
      </w:r>
      <w:r w:rsidR="00C750A4" w:rsidRPr="00113A2E">
        <w:rPr>
          <w:sz w:val="16"/>
          <w:szCs w:val="20"/>
        </w:rPr>
        <w:t>comensal-de-alimentos-de-</w:t>
      </w:r>
      <w:r w:rsidR="00507E6D">
        <w:rPr>
          <w:sz w:val="16"/>
          <w:szCs w:val="20"/>
        </w:rPr>
        <w:t>un-</w:t>
      </w:r>
      <w:r w:rsidR="00C750A4" w:rsidRPr="00113A2E">
        <w:rPr>
          <w:sz w:val="16"/>
          <w:szCs w:val="20"/>
        </w:rPr>
        <w:t>cuenco</w:t>
      </w:r>
      <w:r w:rsidRPr="00113A2E">
        <w:rPr>
          <w:sz w:val="16"/>
          <w:szCs w:val="20"/>
        </w:rPr>
        <w:t xml:space="preserve">, </w:t>
      </w:r>
      <w:r w:rsidR="00C750A4" w:rsidRPr="00113A2E">
        <w:rPr>
          <w:sz w:val="16"/>
          <w:szCs w:val="20"/>
        </w:rPr>
        <w:t>podrá</w:t>
      </w:r>
      <w:r w:rsidRPr="00113A2E">
        <w:rPr>
          <w:sz w:val="16"/>
          <w:szCs w:val="20"/>
        </w:rPr>
        <w:t xml:space="preserve"> </w:t>
      </w:r>
    </w:p>
    <w:p w14:paraId="639AA79E" w14:textId="77777777" w:rsidR="0085239E" w:rsidRPr="00113A2E" w:rsidRDefault="0085239E" w:rsidP="00756FCD">
      <w:pPr>
        <w:pStyle w:val="VersoIngls01Sangria"/>
        <w:spacing w:after="100"/>
        <w:ind w:left="1418"/>
        <w:rPr>
          <w:sz w:val="16"/>
          <w:szCs w:val="20"/>
        </w:rPr>
      </w:pPr>
      <w:r w:rsidRPr="00113A2E">
        <w:rPr>
          <w:sz w:val="16"/>
          <w:szCs w:val="20"/>
        </w:rPr>
        <w:t>Consumir su comida de tal manera.</w:t>
      </w:r>
    </w:p>
    <w:p w14:paraId="3F1D3DB4" w14:textId="587D4EC6" w:rsidR="0085239E" w:rsidRDefault="00C750A4" w:rsidP="00756FCD">
      <w:pPr>
        <w:pStyle w:val="NormalConSangria"/>
      </w:pPr>
      <w:r>
        <w:t>É</w:t>
      </w:r>
      <w:r w:rsidR="0085239E">
        <w:t xml:space="preserve">ste es el comentario sobre </w:t>
      </w:r>
      <w:r>
        <w:t>el emprendimiento</w:t>
      </w:r>
      <w:r w:rsidR="0085239E">
        <w:t xml:space="preserve">, las </w:t>
      </w:r>
      <w:r>
        <w:t>indicaciones</w:t>
      </w:r>
      <w:r w:rsidR="0085239E">
        <w:t xml:space="preserve">, los grados, </w:t>
      </w:r>
      <w:r>
        <w:t>el incumplimiento</w:t>
      </w:r>
      <w:r w:rsidR="0085239E">
        <w:t xml:space="preserve"> y los beneficios, en el caso de la práctica del </w:t>
      </w:r>
      <w:r w:rsidRPr="00C750A4">
        <w:t>comensal-de-alimentos-de-</w:t>
      </w:r>
      <w:r w:rsidR="00507E6D">
        <w:t>un-</w:t>
      </w:r>
      <w:r w:rsidRPr="00C750A4">
        <w:t>cuenco</w:t>
      </w:r>
      <w:r w:rsidR="0085239E">
        <w:t>. [71]</w:t>
      </w:r>
    </w:p>
    <w:p w14:paraId="5FD4EC0B" w14:textId="055BB70E" w:rsidR="0085239E" w:rsidRDefault="0085239E" w:rsidP="0085239E">
      <w:r>
        <w:t xml:space="preserve">43. </w:t>
      </w:r>
      <w:r w:rsidR="00756FCD">
        <w:tab/>
      </w:r>
      <w:proofErr w:type="spellStart"/>
      <w:r>
        <w:t>vii</w:t>
      </w:r>
      <w:proofErr w:type="spellEnd"/>
      <w:r>
        <w:t xml:space="preserve">. La </w:t>
      </w:r>
      <w:r w:rsidRPr="004349FB">
        <w:rPr>
          <w:i/>
          <w:iCs/>
        </w:rPr>
        <w:t>práctica del que se nieg</w:t>
      </w:r>
      <w:r w:rsidR="00C96910">
        <w:rPr>
          <w:i/>
          <w:iCs/>
        </w:rPr>
        <w:t>a</w:t>
      </w:r>
      <w:r w:rsidRPr="004349FB">
        <w:rPr>
          <w:i/>
          <w:iCs/>
        </w:rPr>
        <w:t xml:space="preserve"> a comer </w:t>
      </w:r>
      <w:r w:rsidR="008B7BEC">
        <w:rPr>
          <w:i/>
          <w:iCs/>
        </w:rPr>
        <w:t>tardíamente</w:t>
      </w:r>
      <w:r w:rsidR="00C96910">
        <w:rPr>
          <w:i/>
          <w:iCs/>
        </w:rPr>
        <w:t xml:space="preserve"> </w:t>
      </w:r>
      <w:r w:rsidRPr="00C96910">
        <w:t>se</w:t>
      </w:r>
      <w:r w:rsidRPr="004349FB">
        <w:rPr>
          <w:i/>
          <w:iCs/>
        </w:rPr>
        <w:t xml:space="preserve"> </w:t>
      </w:r>
      <w:r w:rsidR="00C96910">
        <w:rPr>
          <w:i/>
          <w:iCs/>
        </w:rPr>
        <w:t>emprende</w:t>
      </w:r>
      <w:r w:rsidRPr="004349FB">
        <w:rPr>
          <w:i/>
          <w:iCs/>
        </w:rPr>
        <w:t xml:space="preserve"> </w:t>
      </w:r>
      <w:r>
        <w:t>con una de las siguientes afirmaciones: "Rechazo más comida" o "</w:t>
      </w:r>
      <w:r w:rsidR="008B7BEC">
        <w:t xml:space="preserve">Emprendo </w:t>
      </w:r>
      <w:r>
        <w:t xml:space="preserve">la práctica del que </w:t>
      </w:r>
      <w:r w:rsidR="00C96910" w:rsidRPr="00C96910">
        <w:t xml:space="preserve">se niega a comer </w:t>
      </w:r>
      <w:r w:rsidR="008B7BEC" w:rsidRPr="008B7BEC">
        <w:t xml:space="preserve">tardíamente </w:t>
      </w:r>
      <w:r>
        <w:t>".</w:t>
      </w:r>
    </w:p>
    <w:p w14:paraId="0670510B" w14:textId="5A7EC98B" w:rsidR="0085239E" w:rsidRDefault="0085239E" w:rsidP="00756FCD">
      <w:pPr>
        <w:pStyle w:val="NormalConSangria"/>
      </w:pPr>
      <w:r>
        <w:t>Ahora</w:t>
      </w:r>
      <w:r w:rsidR="00183F63">
        <w:t xml:space="preserve"> bien</w:t>
      </w:r>
      <w:r>
        <w:t>, cuando es</w:t>
      </w:r>
      <w:r w:rsidR="008B7BEC">
        <w:t>t</w:t>
      </w:r>
      <w:r>
        <w:t xml:space="preserve">e último </w:t>
      </w:r>
      <w:proofErr w:type="spellStart"/>
      <w:r>
        <w:t>rehusador</w:t>
      </w:r>
      <w:proofErr w:type="spellEnd"/>
      <w:r>
        <w:t xml:space="preserve"> de </w:t>
      </w:r>
      <w:r w:rsidR="00C96910">
        <w:t>alimentos</w:t>
      </w:r>
      <w:r>
        <w:t xml:space="preserve"> ha</w:t>
      </w:r>
      <w:r w:rsidR="00C96910">
        <w:t>ya</w:t>
      </w:r>
      <w:r>
        <w:t xml:space="preserve"> demostrado que está satisfecho, no debe</w:t>
      </w:r>
      <w:r w:rsidR="00C96910">
        <w:t>rá</w:t>
      </w:r>
      <w:r>
        <w:t xml:space="preserve"> volver a </w:t>
      </w:r>
      <w:r w:rsidR="00B56774">
        <w:t>recibir</w:t>
      </w:r>
      <w:r>
        <w:t xml:space="preserve"> comida permitida [</w:t>
      </w:r>
      <w:r w:rsidR="00183F63">
        <w:t>puesta</w:t>
      </w:r>
      <w:r>
        <w:t xml:space="preserve"> en sus manos de acuerdo con la regla para </w:t>
      </w:r>
      <w:proofErr w:type="spellStart"/>
      <w:r w:rsidR="00057BF4" w:rsidRPr="00057BF4">
        <w:rPr>
          <w:i/>
          <w:iCs/>
        </w:rPr>
        <w:t>bhikkhu</w:t>
      </w:r>
      <w:r w:rsidRPr="004349FB">
        <w:rPr>
          <w:i/>
          <w:iCs/>
        </w:rPr>
        <w:t>s</w:t>
      </w:r>
      <w:proofErr w:type="spellEnd"/>
      <w:r>
        <w:t xml:space="preserve">] y comerla. </w:t>
      </w:r>
      <w:r w:rsidR="00C96910">
        <w:t>É</w:t>
      </w:r>
      <w:r>
        <w:t xml:space="preserve">stas son las </w:t>
      </w:r>
      <w:r w:rsidRPr="00921518">
        <w:rPr>
          <w:i/>
          <w:iCs/>
        </w:rPr>
        <w:t>indicaciones</w:t>
      </w:r>
      <w:r>
        <w:t xml:space="preserve"> para ello.</w:t>
      </w:r>
    </w:p>
    <w:p w14:paraId="1DE1CDD1" w14:textId="630F3747" w:rsidR="0085239E" w:rsidRDefault="0085239E" w:rsidP="0085239E">
      <w:r>
        <w:t xml:space="preserve">44. </w:t>
      </w:r>
      <w:r w:rsidR="00756FCD">
        <w:tab/>
      </w:r>
      <w:r>
        <w:t xml:space="preserve">Esto también </w:t>
      </w:r>
      <w:r w:rsidR="00183F63">
        <w:t>posee</w:t>
      </w:r>
      <w:r>
        <w:t xml:space="preserve"> tres </w:t>
      </w:r>
      <w:r w:rsidRPr="00921518">
        <w:rPr>
          <w:i/>
          <w:iCs/>
        </w:rPr>
        <w:t>grados</w:t>
      </w:r>
      <w:r>
        <w:t xml:space="preserve">. Aquí, no </w:t>
      </w:r>
      <w:r w:rsidR="001438F4">
        <w:t>hay que mostrar</w:t>
      </w:r>
      <w:r>
        <w:t xml:space="preserve"> que ha</w:t>
      </w:r>
      <w:r w:rsidR="001438F4">
        <w:t>ya</w:t>
      </w:r>
      <w:r>
        <w:t xml:space="preserve"> tenido suficiente con respecto al primer </w:t>
      </w:r>
      <w:r w:rsidR="00183F63">
        <w:t>trozo</w:t>
      </w:r>
      <w:r>
        <w:t>, pero sí cuando se nieg</w:t>
      </w:r>
      <w:r w:rsidR="006F4CFF">
        <w:t>ue</w:t>
      </w:r>
      <w:r>
        <w:t xml:space="preserve"> a más mientras se lo trag</w:t>
      </w:r>
      <w:r w:rsidR="006F4CFF">
        <w:t>ue</w:t>
      </w:r>
      <w:r>
        <w:t xml:space="preserve">. Así que cuando </w:t>
      </w:r>
      <w:r w:rsidR="006F4CFF">
        <w:t>alguien</w:t>
      </w:r>
      <w:r>
        <w:t xml:space="preserve"> que </w:t>
      </w:r>
      <w:r w:rsidR="006F4CFF">
        <w:t>sea</w:t>
      </w:r>
      <w:r>
        <w:t xml:space="preserve"> estricto ha</w:t>
      </w:r>
      <w:r w:rsidR="006F4CFF">
        <w:t>ya</w:t>
      </w:r>
      <w:r>
        <w:t xml:space="preserve"> demostrado que ha tenido suficiente [con respecto al segundo trozo], no come</w:t>
      </w:r>
      <w:r w:rsidR="006F4CFF">
        <w:t>rá</w:t>
      </w:r>
      <w:r>
        <w:t xml:space="preserve"> el segundo trozo después de tragarse el primero. El </w:t>
      </w:r>
      <w:r w:rsidR="008E72D7">
        <w:t>intermedio</w:t>
      </w:r>
      <w:r>
        <w:t xml:space="preserve"> come</w:t>
      </w:r>
      <w:r w:rsidR="008E72D7">
        <w:t>rá</w:t>
      </w:r>
      <w:r>
        <w:t xml:space="preserve"> también aquella comida con respecto a la cual ha</w:t>
      </w:r>
      <w:r w:rsidR="008E72D7">
        <w:t>ya</w:t>
      </w:r>
      <w:r>
        <w:t xml:space="preserve"> demostrado que ha tenido suficiente. Pero el </w:t>
      </w:r>
      <w:r w:rsidR="008E72D7">
        <w:t xml:space="preserve">moderado </w:t>
      </w:r>
      <w:r w:rsidR="00440DF4">
        <w:t xml:space="preserve">proseguirá </w:t>
      </w:r>
      <w:r>
        <w:t>comiendo hasta que se levant</w:t>
      </w:r>
      <w:r w:rsidR="00440DF4">
        <w:t>e</w:t>
      </w:r>
      <w:r>
        <w:t xml:space="preserve"> de su asiento.</w:t>
      </w:r>
    </w:p>
    <w:p w14:paraId="7AA194F4" w14:textId="516140CD" w:rsidR="0085239E" w:rsidRDefault="0085239E" w:rsidP="00756FCD">
      <w:pPr>
        <w:pStyle w:val="NormalConSangria"/>
      </w:pPr>
      <w:r>
        <w:t>En el momento en que cualquiera de estos tres ha</w:t>
      </w:r>
      <w:r w:rsidR="00440DF4">
        <w:t>ya</w:t>
      </w:r>
      <w:r>
        <w:t xml:space="preserve"> comido lo que se le ha</w:t>
      </w:r>
      <w:r w:rsidR="00B56774">
        <w:t>ya</w:t>
      </w:r>
      <w:r>
        <w:t xml:space="preserve"> permitido [nuevamente] después de haber demostrado que ha tenido suficiente, su práctica </w:t>
      </w:r>
      <w:r w:rsidR="00656CF3">
        <w:t>asceta</w:t>
      </w:r>
      <w:r>
        <w:t xml:space="preserve"> se rompe</w:t>
      </w:r>
      <w:r w:rsidR="00440DF4">
        <w:t>rá</w:t>
      </w:r>
      <w:r>
        <w:t xml:space="preserve">. Este es el </w:t>
      </w:r>
      <w:r w:rsidRPr="00440DF4">
        <w:rPr>
          <w:i/>
          <w:iCs/>
        </w:rPr>
        <w:t>incumplimiento</w:t>
      </w:r>
      <w:r>
        <w:t xml:space="preserve"> en este caso.</w:t>
      </w:r>
    </w:p>
    <w:p w14:paraId="23DC402A" w14:textId="0B9926CC" w:rsidR="0085239E" w:rsidRDefault="0085239E" w:rsidP="0085239E">
      <w:r>
        <w:t>45.</w:t>
      </w:r>
      <w:r w:rsidR="00756FCD">
        <w:tab/>
      </w:r>
      <w:r>
        <w:t xml:space="preserve"> Los </w:t>
      </w:r>
      <w:r w:rsidRPr="00E82D9F">
        <w:rPr>
          <w:i/>
          <w:iCs/>
        </w:rPr>
        <w:t>beneficios</w:t>
      </w:r>
      <w:r>
        <w:t xml:space="preserve"> son estos. Uno est</w:t>
      </w:r>
      <w:r w:rsidR="00C57CBB">
        <w:t>ar</w:t>
      </w:r>
      <w:r>
        <w:t>á lejos de cometer un</w:t>
      </w:r>
      <w:r w:rsidR="00C57CBB">
        <w:t>a</w:t>
      </w:r>
      <w:r>
        <w:t xml:space="preserve"> </w:t>
      </w:r>
      <w:r w:rsidR="00C57CBB">
        <w:t>ofensa</w:t>
      </w:r>
      <w:r>
        <w:t xml:space="preserve"> relacionado con la comida extra; no ha</w:t>
      </w:r>
      <w:r w:rsidR="00171D30">
        <w:t>brá</w:t>
      </w:r>
      <w:r>
        <w:t xml:space="preserve"> sobrecarga del estómago; no se </w:t>
      </w:r>
      <w:r w:rsidR="00171D30">
        <w:t xml:space="preserve">podrá </w:t>
      </w:r>
      <w:r>
        <w:t xml:space="preserve">retener la comida; no </w:t>
      </w:r>
      <w:r w:rsidR="00171D30">
        <w:t>habrá</w:t>
      </w:r>
      <w:r>
        <w:t xml:space="preserve"> búsqueda renovada de alimento</w:t>
      </w:r>
      <w:r w:rsidR="00171D30">
        <w:t>s</w:t>
      </w:r>
      <w:r>
        <w:t>; viv</w:t>
      </w:r>
      <w:r w:rsidR="00171D30">
        <w:t>irá</w:t>
      </w:r>
      <w:r>
        <w:t xml:space="preserve"> </w:t>
      </w:r>
      <w:r w:rsidR="00171D30">
        <w:t>en</w:t>
      </w:r>
      <w:r>
        <w:t xml:space="preserve"> conformidad con [los principios de] la escasez de deseos,</w:t>
      </w:r>
      <w:r w:rsidR="00DC6667">
        <w:t xml:space="preserve"> …etc</w:t>
      </w:r>
      <w:r>
        <w:t>.</w:t>
      </w:r>
    </w:p>
    <w:p w14:paraId="539657E9" w14:textId="7745B2B4" w:rsidR="0085239E" w:rsidRDefault="0085239E" w:rsidP="00756FCD">
      <w:pPr>
        <w:pStyle w:val="VersoIngls01Sangria"/>
        <w:ind w:left="0"/>
      </w:pPr>
      <w:r>
        <w:t xml:space="preserve">46. </w:t>
      </w:r>
      <w:r w:rsidR="00756FCD">
        <w:tab/>
      </w:r>
      <w:r w:rsidR="00756FCD">
        <w:tab/>
      </w:r>
      <w:r w:rsidR="00756FCD">
        <w:tab/>
      </w:r>
      <w:r>
        <w:t>​​Cuando un hombre sabio recha</w:t>
      </w:r>
      <w:r w:rsidR="005B37E0">
        <w:t>ce</w:t>
      </w:r>
      <w:r>
        <w:t xml:space="preserve"> la comida </w:t>
      </w:r>
      <w:r w:rsidR="005B37E0">
        <w:t>tardía</w:t>
      </w:r>
    </w:p>
    <w:p w14:paraId="49B75884" w14:textId="4E181EA2" w:rsidR="0085239E" w:rsidRDefault="0085239E" w:rsidP="00756FCD">
      <w:pPr>
        <w:pStyle w:val="VersoIngls01Sangria"/>
      </w:pPr>
      <w:r>
        <w:t>No necesita</w:t>
      </w:r>
      <w:r w:rsidR="00E82D9F">
        <w:t>rá</w:t>
      </w:r>
      <w:r>
        <w:t xml:space="preserve"> una búsqueda adicional </w:t>
      </w:r>
      <w:r w:rsidR="00E82D9F">
        <w:t xml:space="preserve">con </w:t>
      </w:r>
      <w:r>
        <w:t xml:space="preserve">un estado de ánimo </w:t>
      </w:r>
      <w:r w:rsidR="00E82D9F">
        <w:t>abatido</w:t>
      </w:r>
      <w:r>
        <w:t>,</w:t>
      </w:r>
    </w:p>
    <w:p w14:paraId="19CB95C0" w14:textId="0D5D180D" w:rsidR="0085239E" w:rsidRDefault="0085239E" w:rsidP="00756FCD">
      <w:pPr>
        <w:pStyle w:val="VersoIngls01Sangria"/>
      </w:pPr>
      <w:r>
        <w:t>Ni guard</w:t>
      </w:r>
      <w:r w:rsidR="00390E1C">
        <w:t>ará</w:t>
      </w:r>
      <w:r>
        <w:t xml:space="preserve"> comida para más tarde en el día,</w:t>
      </w:r>
    </w:p>
    <w:p w14:paraId="323C9967" w14:textId="3D0B7A00" w:rsidR="0085239E" w:rsidRDefault="0085239E" w:rsidP="00756FCD">
      <w:pPr>
        <w:pStyle w:val="VersoIngls01Sangria"/>
      </w:pPr>
      <w:r>
        <w:t>Tampoco sobrecarga</w:t>
      </w:r>
      <w:r w:rsidR="00390E1C">
        <w:t>rá</w:t>
      </w:r>
      <w:r>
        <w:t xml:space="preserve"> su estómago de esta manera.</w:t>
      </w:r>
    </w:p>
    <w:p w14:paraId="59D5D62A" w14:textId="45113E0B" w:rsidR="0085239E" w:rsidRDefault="0085239E" w:rsidP="00756FCD">
      <w:pPr>
        <w:pStyle w:val="VersoIngls01Sangria"/>
      </w:pPr>
      <w:r>
        <w:t>Así, el adepto se abstendr</w:t>
      </w:r>
      <w:r w:rsidR="00390E1C">
        <w:t>á</w:t>
      </w:r>
      <w:r>
        <w:t xml:space="preserve"> de tales faltas,</w:t>
      </w:r>
    </w:p>
    <w:p w14:paraId="7B85E99D" w14:textId="470EC1C3" w:rsidR="0085239E" w:rsidRDefault="0085239E" w:rsidP="00756FCD">
      <w:pPr>
        <w:pStyle w:val="VersoIngls01Sangria"/>
      </w:pPr>
      <w:r>
        <w:t xml:space="preserve">Que </w:t>
      </w:r>
      <w:r w:rsidR="004E2F62">
        <w:t xml:space="preserve">él </w:t>
      </w:r>
      <w:r>
        <w:t xml:space="preserve">asuma </w:t>
      </w:r>
      <w:r w:rsidR="004E2F62">
        <w:t xml:space="preserve">así </w:t>
      </w:r>
      <w:r>
        <w:t>esta práctica para su beneficio,</w:t>
      </w:r>
    </w:p>
    <w:p w14:paraId="5B601C80" w14:textId="08D042E6" w:rsidR="0085239E" w:rsidRDefault="0085239E" w:rsidP="00756FCD">
      <w:pPr>
        <w:pStyle w:val="VersoIngls01Sangria"/>
      </w:pPr>
      <w:r>
        <w:t xml:space="preserve">Alabado por el Bienaventurado, </w:t>
      </w:r>
      <w:r w:rsidR="004E2F62">
        <w:t xml:space="preserve">el cual </w:t>
      </w:r>
      <w:r>
        <w:t>aumentará</w:t>
      </w:r>
    </w:p>
    <w:p w14:paraId="11324D12" w14:textId="13D56179" w:rsidR="0085239E" w:rsidRDefault="0085239E" w:rsidP="00756FCD">
      <w:pPr>
        <w:pStyle w:val="VersoIngls01Sangria"/>
        <w:spacing w:after="100"/>
        <w:ind w:left="1418"/>
      </w:pPr>
      <w:r>
        <w:t xml:space="preserve">Las cualidades especiales como </w:t>
      </w:r>
      <w:r w:rsidR="00EE73E5">
        <w:t>habitar alegre</w:t>
      </w:r>
      <w:r w:rsidR="005B37E0">
        <w:t>mente</w:t>
      </w:r>
      <w:r>
        <w:t>.</w:t>
      </w:r>
    </w:p>
    <w:p w14:paraId="51C35499" w14:textId="7501CDA7" w:rsidR="0085239E" w:rsidRDefault="00EE73E5" w:rsidP="00756FCD">
      <w:pPr>
        <w:pStyle w:val="NormalConSangria"/>
      </w:pPr>
      <w:r>
        <w:t>É</w:t>
      </w:r>
      <w:r w:rsidR="0085239E">
        <w:t xml:space="preserve">ste es el comentario sobre el </w:t>
      </w:r>
      <w:r>
        <w:t>emprendimiento</w:t>
      </w:r>
      <w:r w:rsidR="0085239E">
        <w:t xml:space="preserve">, las </w:t>
      </w:r>
      <w:r>
        <w:t>indicaciones</w:t>
      </w:r>
      <w:r w:rsidR="0085239E">
        <w:t xml:space="preserve">, los grados, el incumplimiento y los beneficios, en el caso de la práctica del </w:t>
      </w:r>
      <w:proofErr w:type="spellStart"/>
      <w:r w:rsidR="0085239E">
        <w:t>rehusador</w:t>
      </w:r>
      <w:proofErr w:type="spellEnd"/>
      <w:r w:rsidR="0085239E">
        <w:t xml:space="preserve"> de alimentos</w:t>
      </w:r>
      <w:r>
        <w:t xml:space="preserve"> </w:t>
      </w:r>
      <w:r w:rsidR="005B37E0">
        <w:t>tardíos</w:t>
      </w:r>
      <w:r w:rsidR="0085239E">
        <w:t>.</w:t>
      </w:r>
    </w:p>
    <w:p w14:paraId="4D91601A" w14:textId="7BEE2F30" w:rsidR="0085239E" w:rsidRDefault="0085239E" w:rsidP="0085239E">
      <w:r>
        <w:t xml:space="preserve">47. </w:t>
      </w:r>
      <w:r w:rsidR="00756FCD">
        <w:tab/>
      </w:r>
      <w:proofErr w:type="spellStart"/>
      <w:r>
        <w:t>viii</w:t>
      </w:r>
      <w:proofErr w:type="spellEnd"/>
      <w:r>
        <w:t xml:space="preserve">. La </w:t>
      </w:r>
      <w:r w:rsidRPr="004349FB">
        <w:rPr>
          <w:i/>
          <w:iCs/>
        </w:rPr>
        <w:t xml:space="preserve">práctica del habitante del bosque </w:t>
      </w:r>
      <w:r w:rsidRPr="00EE73E5">
        <w:t>se</w:t>
      </w:r>
      <w:r w:rsidRPr="004349FB">
        <w:rPr>
          <w:i/>
          <w:iCs/>
        </w:rPr>
        <w:t xml:space="preserve"> </w:t>
      </w:r>
      <w:r w:rsidR="00EE73E5">
        <w:rPr>
          <w:i/>
          <w:iCs/>
        </w:rPr>
        <w:t xml:space="preserve">emprende </w:t>
      </w:r>
      <w:r>
        <w:t xml:space="preserve">con una de las siguientes afirmaciones: "Rechazo </w:t>
      </w:r>
      <w:r w:rsidR="00065EAB">
        <w:t>la vivienda</w:t>
      </w:r>
      <w:r>
        <w:t xml:space="preserve"> en un pueblo" o "</w:t>
      </w:r>
      <w:r w:rsidR="00CD0EC0" w:rsidRPr="00CD0EC0">
        <w:t xml:space="preserve"> </w:t>
      </w:r>
      <w:r w:rsidR="00CD0EC0">
        <w:t xml:space="preserve">Emprendo </w:t>
      </w:r>
      <w:r>
        <w:t>la práctica del habitante del bosque".</w:t>
      </w:r>
    </w:p>
    <w:p w14:paraId="5D209C36" w14:textId="77777777" w:rsidR="0085239E" w:rsidRPr="00756FCD" w:rsidRDefault="0085239E" w:rsidP="00756FCD">
      <w:pPr>
        <w:pStyle w:val="PiedepginaLegal"/>
        <w:rPr>
          <w:u w:val="single"/>
        </w:rPr>
      </w:pPr>
      <w:r w:rsidRPr="00756FCD">
        <w:rPr>
          <w:u w:val="single"/>
        </w:rPr>
        <w:t xml:space="preserve">                                                                                                                                                 .</w:t>
      </w:r>
    </w:p>
    <w:p w14:paraId="53A92660" w14:textId="77777777" w:rsidR="00756FCD" w:rsidRDefault="0085239E" w:rsidP="00756FCD">
      <w:pPr>
        <w:pStyle w:val="PiedepginaLegal"/>
      </w:pPr>
      <w:r>
        <w:t xml:space="preserve">14. </w:t>
      </w:r>
      <w:r w:rsidR="00756FCD">
        <w:tab/>
      </w:r>
      <w:proofErr w:type="spellStart"/>
      <w:r w:rsidRPr="004349FB">
        <w:rPr>
          <w:i/>
          <w:iCs/>
        </w:rPr>
        <w:t>Subbata</w:t>
      </w:r>
      <w:proofErr w:type="spellEnd"/>
      <w:r>
        <w:t>—</w:t>
      </w:r>
      <w:r w:rsidR="00756FCD">
        <w:t xml:space="preserve"> “</w:t>
      </w:r>
      <w:r>
        <w:t xml:space="preserve">verdaderamente devoto”: </w:t>
      </w:r>
      <w:proofErr w:type="spellStart"/>
      <w:r>
        <w:t>fm</w:t>
      </w:r>
      <w:proofErr w:type="spellEnd"/>
      <w:r>
        <w:t xml:space="preserve">. </w:t>
      </w:r>
      <w:r w:rsidRPr="004349FB">
        <w:rPr>
          <w:i/>
          <w:iCs/>
        </w:rPr>
        <w:t>su</w:t>
      </w:r>
      <w:r>
        <w:t xml:space="preserve"> + </w:t>
      </w:r>
      <w:proofErr w:type="spellStart"/>
      <w:r w:rsidRPr="004349FB">
        <w:rPr>
          <w:i/>
          <w:iCs/>
        </w:rPr>
        <w:t>vata</w:t>
      </w:r>
      <w:proofErr w:type="spellEnd"/>
      <w:r>
        <w:t xml:space="preserve"> (tener buenos votos). Ver también §59.</w:t>
      </w:r>
    </w:p>
    <w:p w14:paraId="6A7898A6" w14:textId="77777777" w:rsidR="00756FCD" w:rsidRDefault="00756FCD">
      <w:pPr>
        <w:tabs>
          <w:tab w:val="clear" w:pos="425"/>
        </w:tabs>
        <w:spacing w:after="160"/>
      </w:pPr>
      <w:r>
        <w:br w:type="page"/>
      </w:r>
    </w:p>
    <w:p w14:paraId="029A7B0A" w14:textId="68439D55" w:rsidR="00F4481C" w:rsidRDefault="00F4481C" w:rsidP="00F4481C">
      <w:r>
        <w:lastRenderedPageBreak/>
        <w:t xml:space="preserve">48. </w:t>
      </w:r>
      <w:r>
        <w:tab/>
        <w:t>Ahora</w:t>
      </w:r>
      <w:r w:rsidR="00B5099D">
        <w:t xml:space="preserve"> bien</w:t>
      </w:r>
      <w:r>
        <w:t>, ese habitante del bosque debe</w:t>
      </w:r>
      <w:r w:rsidR="00457EC4">
        <w:t>rá</w:t>
      </w:r>
      <w:r>
        <w:t xml:space="preserve"> </w:t>
      </w:r>
      <w:r w:rsidR="005922F6">
        <w:t>abandonar</w:t>
      </w:r>
      <w:r>
        <w:t xml:space="preserve"> </w:t>
      </w:r>
      <w:r w:rsidR="005922F6">
        <w:t xml:space="preserve">su vivienda </w:t>
      </w:r>
      <w:r>
        <w:t xml:space="preserve">en </w:t>
      </w:r>
      <w:r w:rsidR="00F44C3F">
        <w:t xml:space="preserve">el </w:t>
      </w:r>
      <w:r>
        <w:t xml:space="preserve">pueblo para encontrarse con el amanecer en el bosque. Aquí, una </w:t>
      </w:r>
      <w:r w:rsidR="005F6234">
        <w:t xml:space="preserve">vivienda en </w:t>
      </w:r>
      <w:proofErr w:type="gramStart"/>
      <w:r w:rsidR="005F6234">
        <w:t xml:space="preserve">un </w:t>
      </w:r>
      <w:r>
        <w:t xml:space="preserve"> pueblo</w:t>
      </w:r>
      <w:proofErr w:type="gramEnd"/>
      <w:r>
        <w:t xml:space="preserve"> es el propio pueblo con sus recintos. Un “</w:t>
      </w:r>
      <w:r w:rsidR="005F6234">
        <w:t>pueblo</w:t>
      </w:r>
      <w:r>
        <w:t>” puede constar de una cabaña o varias cabañas, puede estar rodead</w:t>
      </w:r>
      <w:r w:rsidR="009F6342">
        <w:t>o</w:t>
      </w:r>
      <w:r>
        <w:t xml:space="preserve"> por un muro o no, tener habitantes humanos o no, y también puede ser una caravana habitada durante más de cuatro meses. [72] Los “recintos de </w:t>
      </w:r>
      <w:r w:rsidR="005F6234">
        <w:t>un pueblo</w:t>
      </w:r>
      <w:r>
        <w:t xml:space="preserve">” cubren el alcance de una piedra lanzada por un hombre de mediana estatura parado entre los postes de la puerta de un </w:t>
      </w:r>
      <w:r w:rsidR="007A1865">
        <w:t>pueblo</w:t>
      </w:r>
      <w:r>
        <w:t xml:space="preserve"> amurallad</w:t>
      </w:r>
      <w:r w:rsidR="007A1865">
        <w:t>o</w:t>
      </w:r>
      <w:r>
        <w:t xml:space="preserve">, si </w:t>
      </w:r>
      <w:r w:rsidR="007A1865">
        <w:t>hubiese</w:t>
      </w:r>
      <w:r>
        <w:t xml:space="preserve"> dos postes de entrada, como en </w:t>
      </w:r>
      <w:r w:rsidR="001833D6">
        <w:t xml:space="preserve">el </w:t>
      </w:r>
      <w:proofErr w:type="spellStart"/>
      <w:r w:rsidR="001833D6">
        <w:t>monastrerio</w:t>
      </w:r>
      <w:proofErr w:type="spellEnd"/>
      <w:r w:rsidR="001833D6">
        <w:t xml:space="preserve"> </w:t>
      </w:r>
      <w:proofErr w:type="spellStart"/>
      <w:r w:rsidRPr="00BB2D2B">
        <w:t>Anurādhapura</w:t>
      </w:r>
      <w:proofErr w:type="spellEnd"/>
      <w:r>
        <w:t xml:space="preserve"> (cf. </w:t>
      </w:r>
      <w:proofErr w:type="spellStart"/>
      <w:r>
        <w:t>Vin</w:t>
      </w:r>
      <w:proofErr w:type="spellEnd"/>
      <w:r>
        <w:t xml:space="preserve"> III 46</w:t>
      </w:r>
      <w:proofErr w:type="gramStart"/>
      <w:r>
        <w:t>) .</w:t>
      </w:r>
      <w:proofErr w:type="gramEnd"/>
      <w:r>
        <w:t xml:space="preserve"> Los expertos </w:t>
      </w:r>
      <w:r w:rsidR="00CF5D20">
        <w:t xml:space="preserve">del </w:t>
      </w:r>
      <w:proofErr w:type="spellStart"/>
      <w:r w:rsidRPr="004349FB">
        <w:rPr>
          <w:i/>
          <w:iCs/>
        </w:rPr>
        <w:t>Vinaya</w:t>
      </w:r>
      <w:proofErr w:type="spellEnd"/>
      <w:r>
        <w:t xml:space="preserve"> dicen que este lanzamiento de piedra se caracteriza como el lugar </w:t>
      </w:r>
      <w:r w:rsidR="00C2555F">
        <w:t xml:space="preserve">hasta </w:t>
      </w:r>
      <w:r>
        <w:t>donde ca</w:t>
      </w:r>
      <w:r w:rsidR="00CF5D20">
        <w:t>iga</w:t>
      </w:r>
      <w:r>
        <w:t xml:space="preserve"> una piedra lanzada, como, por ejemplo, cuando los jóvenes ejercitan sus brazos y lanzan piedras para mostrar su fuerza. Pero los expertos de </w:t>
      </w:r>
      <w:proofErr w:type="spellStart"/>
      <w:r w:rsidRPr="004349FB">
        <w:rPr>
          <w:i/>
          <w:iCs/>
        </w:rPr>
        <w:t>Suttan</w:t>
      </w:r>
      <w:r w:rsidR="00CF5D20">
        <w:rPr>
          <w:i/>
          <w:iCs/>
        </w:rPr>
        <w:t>t</w:t>
      </w:r>
      <w:r w:rsidRPr="004349FB">
        <w:rPr>
          <w:i/>
          <w:iCs/>
        </w:rPr>
        <w:t>ta</w:t>
      </w:r>
      <w:proofErr w:type="spellEnd"/>
      <w:r>
        <w:t xml:space="preserve"> dicen que </w:t>
      </w:r>
      <w:r w:rsidR="00CF5D20">
        <w:t>será</w:t>
      </w:r>
      <w:r>
        <w:t xml:space="preserve"> hasta donde normalmente ca</w:t>
      </w:r>
      <w:r w:rsidR="00CF5D20">
        <w:t xml:space="preserve">iga una piedra </w:t>
      </w:r>
      <w:r>
        <w:t>lanzad</w:t>
      </w:r>
      <w:r w:rsidR="00CF5D20">
        <w:t>a</w:t>
      </w:r>
      <w:r>
        <w:t xml:space="preserve"> para espantar cuervos. En el caso de un pueblo sin murallas, el recinto de la casa</w:t>
      </w:r>
      <w:r w:rsidR="00CD0EC0">
        <w:t xml:space="preserve"> </w:t>
      </w:r>
      <w:r w:rsidR="00CF5D20">
        <w:t>se ubica</w:t>
      </w:r>
      <w:r w:rsidR="00CD0EC0">
        <w:t>rá</w:t>
      </w:r>
      <w:r>
        <w:t xml:space="preserve"> </w:t>
      </w:r>
      <w:r w:rsidR="001D601A">
        <w:t xml:space="preserve">hasta </w:t>
      </w:r>
      <w:r>
        <w:t>donde ca</w:t>
      </w:r>
      <w:r w:rsidR="00CF5D20">
        <w:t>iga</w:t>
      </w:r>
      <w:r>
        <w:t xml:space="preserve"> el agua cuando una mujer</w:t>
      </w:r>
      <w:r w:rsidR="009B594D">
        <w:t>,</w:t>
      </w:r>
      <w:r>
        <w:t xml:space="preserve"> parada en la puerta de </w:t>
      </w:r>
      <w:r w:rsidR="001D601A">
        <w:t>su</w:t>
      </w:r>
      <w:r>
        <w:t xml:space="preserve"> casa más exter</w:t>
      </w:r>
      <w:r w:rsidR="00CF5D20">
        <w:t>na</w:t>
      </w:r>
      <w:r>
        <w:t xml:space="preserve"> de todas</w:t>
      </w:r>
      <w:r w:rsidR="009B594D">
        <w:t>,</w:t>
      </w:r>
      <w:r>
        <w:t xml:space="preserve"> arroj</w:t>
      </w:r>
      <w:r w:rsidR="00CD0EC0">
        <w:t>e</w:t>
      </w:r>
      <w:r>
        <w:t xml:space="preserve"> </w:t>
      </w:r>
      <w:r w:rsidR="00CD0EC0">
        <w:t xml:space="preserve">el </w:t>
      </w:r>
      <w:r>
        <w:t>agua de un cuenco. A un tiro de piedra de los ya descritos desde ese punto se enc</w:t>
      </w:r>
      <w:r w:rsidR="001D601A">
        <w:t>o</w:t>
      </w:r>
      <w:r>
        <w:t>ntra</w:t>
      </w:r>
      <w:r w:rsidR="001D601A">
        <w:t>rá</w:t>
      </w:r>
      <w:r>
        <w:t xml:space="preserve"> el pueblo. A un segundo tiro de piedra se </w:t>
      </w:r>
      <w:r w:rsidR="001D601A">
        <w:t xml:space="preserve">encontrará </w:t>
      </w:r>
      <w:r w:rsidR="009F6342">
        <w:t>el recinto del</w:t>
      </w:r>
      <w:r>
        <w:t xml:space="preserve"> pueblo.</w:t>
      </w:r>
    </w:p>
    <w:p w14:paraId="7B6ECFE6" w14:textId="4DF0FD31" w:rsidR="00F4481C" w:rsidRDefault="00F4481C" w:rsidP="00F4481C">
      <w:r>
        <w:t xml:space="preserve">49. </w:t>
      </w:r>
      <w:r>
        <w:tab/>
        <w:t xml:space="preserve">“Bosque”, según el método </w:t>
      </w:r>
      <w:proofErr w:type="spellStart"/>
      <w:r w:rsidRPr="004349FB">
        <w:rPr>
          <w:i/>
          <w:iCs/>
        </w:rPr>
        <w:t>Vinaya</w:t>
      </w:r>
      <w:proofErr w:type="spellEnd"/>
      <w:r>
        <w:t xml:space="preserve"> en primer lugar, se describe así: “Excepto </w:t>
      </w:r>
      <w:r w:rsidR="00337B56">
        <w:t>d</w:t>
      </w:r>
      <w:r>
        <w:t xml:space="preserve">el pueblo y sus alrededores, todo </w:t>
      </w:r>
      <w:r w:rsidR="000E6C5B">
        <w:t xml:space="preserve">será el </w:t>
      </w:r>
      <w:r>
        <w:t>bosque” (</w:t>
      </w:r>
      <w:proofErr w:type="spellStart"/>
      <w:r>
        <w:t>Vin</w:t>
      </w:r>
      <w:proofErr w:type="spellEnd"/>
      <w:r>
        <w:t xml:space="preserve"> III 46). Según el método </w:t>
      </w:r>
      <w:proofErr w:type="spellStart"/>
      <w:r w:rsidR="00991522" w:rsidRPr="004349FB">
        <w:rPr>
          <w:i/>
          <w:iCs/>
        </w:rPr>
        <w:t>Abhi</w:t>
      </w:r>
      <w:r w:rsidR="00991522" w:rsidRPr="00057BF4">
        <w:rPr>
          <w:i/>
          <w:iCs/>
        </w:rPr>
        <w:t>dhamma</w:t>
      </w:r>
      <w:proofErr w:type="spellEnd"/>
      <w:r>
        <w:t>, se describe así: “Habiendo ido más allá del puesto fronterizo, todo eso s</w:t>
      </w:r>
      <w:r w:rsidR="00836E5A">
        <w:t>erá el</w:t>
      </w:r>
      <w:r>
        <w:t xml:space="preserve"> bosque” (</w:t>
      </w:r>
      <w:proofErr w:type="spellStart"/>
      <w:r>
        <w:t>Vibh</w:t>
      </w:r>
      <w:proofErr w:type="spellEnd"/>
      <w:r>
        <w:t xml:space="preserve"> 251; </w:t>
      </w:r>
      <w:proofErr w:type="spellStart"/>
      <w:r w:rsidRPr="004349FB">
        <w:rPr>
          <w:i/>
          <w:iCs/>
        </w:rPr>
        <w:t>Paṭis</w:t>
      </w:r>
      <w:proofErr w:type="spellEnd"/>
      <w:r>
        <w:t xml:space="preserve"> I 176). Pero de acuerdo con el método </w:t>
      </w:r>
      <w:proofErr w:type="spellStart"/>
      <w:r w:rsidRPr="004349FB">
        <w:rPr>
          <w:i/>
          <w:iCs/>
        </w:rPr>
        <w:t>Suttanta</w:t>
      </w:r>
      <w:proofErr w:type="spellEnd"/>
      <w:r>
        <w:t xml:space="preserve">, su característica es </w:t>
      </w:r>
      <w:r w:rsidR="00836E5A">
        <w:t>é</w:t>
      </w:r>
      <w:r>
        <w:t xml:space="preserve">sta: “Una </w:t>
      </w:r>
      <w:r w:rsidR="00836E5A">
        <w:t xml:space="preserve">vivienda </w:t>
      </w:r>
      <w:r>
        <w:t>en el bosque está a quinient</w:t>
      </w:r>
      <w:r w:rsidR="00C33D54">
        <w:t>o</w:t>
      </w:r>
      <w:r>
        <w:t xml:space="preserve">s </w:t>
      </w:r>
      <w:r w:rsidRPr="00C33D54">
        <w:rPr>
          <w:i/>
          <w:iCs/>
        </w:rPr>
        <w:t>arco</w:t>
      </w:r>
      <w:r w:rsidR="00C33D54" w:rsidRPr="00C33D54">
        <w:rPr>
          <w:i/>
          <w:iCs/>
        </w:rPr>
        <w:t>s</w:t>
      </w:r>
      <w:r>
        <w:t xml:space="preserve"> de distancia” (</w:t>
      </w:r>
      <w:proofErr w:type="spellStart"/>
      <w:r>
        <w:t>Vin</w:t>
      </w:r>
      <w:proofErr w:type="spellEnd"/>
      <w:r>
        <w:t xml:space="preserve"> IV 183). Eso debe definirse midiéndolo con un arco de instructor encordado desde el poste de la puerta de un pueblo amurallado, o desde el alcance del primer tiro de piedra desde uno sin muros, h</w:t>
      </w:r>
      <w:r w:rsidR="001F68A6">
        <w:t>acia</w:t>
      </w:r>
      <w:r>
        <w:t xml:space="preserve"> el muro del monasterio.</w:t>
      </w:r>
    </w:p>
    <w:p w14:paraId="652A9D45" w14:textId="6EA31A9E" w:rsidR="00F4481C" w:rsidRDefault="00F4481C" w:rsidP="00F4481C">
      <w:r>
        <w:t xml:space="preserve">50. </w:t>
      </w:r>
      <w:r>
        <w:tab/>
        <w:t xml:space="preserve">Pero si el monasterio no está amurallado, se dice en los comentarios del </w:t>
      </w:r>
      <w:proofErr w:type="spellStart"/>
      <w:r w:rsidRPr="004349FB">
        <w:rPr>
          <w:i/>
          <w:iCs/>
        </w:rPr>
        <w:t>Vinaya</w:t>
      </w:r>
      <w:proofErr w:type="spellEnd"/>
      <w:r>
        <w:t xml:space="preserve">, debe medirse haciendo </w:t>
      </w:r>
      <w:r w:rsidR="002F5FCE">
        <w:t xml:space="preserve">como límite </w:t>
      </w:r>
      <w:r>
        <w:t xml:space="preserve">la primera </w:t>
      </w:r>
      <w:r w:rsidR="00A953C6">
        <w:t>vivienda</w:t>
      </w:r>
      <w:r>
        <w:t xml:space="preserve"> de todo, o bien el </w:t>
      </w:r>
      <w:r w:rsidR="008B0173">
        <w:t xml:space="preserve">comedor </w:t>
      </w:r>
      <w:r>
        <w:t xml:space="preserve">o el lugar de reunión regular o el Árbol </w:t>
      </w:r>
      <w:proofErr w:type="spellStart"/>
      <w:r w:rsidRPr="004349FB">
        <w:rPr>
          <w:i/>
          <w:iCs/>
        </w:rPr>
        <w:t>Bodhi</w:t>
      </w:r>
      <w:proofErr w:type="spellEnd"/>
      <w:r>
        <w:t xml:space="preserve"> o el santuario, inclus</w:t>
      </w:r>
      <w:r w:rsidR="008B0173">
        <w:t>ive</w:t>
      </w:r>
      <w:r>
        <w:t xml:space="preserve"> si eso es</w:t>
      </w:r>
      <w:r w:rsidR="008B0173">
        <w:t>t</w:t>
      </w:r>
      <w:r w:rsidR="00A953C6">
        <w:t>uviera</w:t>
      </w:r>
      <w:r>
        <w:t xml:space="preserve"> lejos de una vivienda [perteneciente al monasterio]. Pero en el comentario de</w:t>
      </w:r>
      <w:r w:rsidR="00C13A9A">
        <w:t>l</w:t>
      </w:r>
      <w:r>
        <w:t xml:space="preserve"> </w:t>
      </w:r>
      <w:proofErr w:type="spellStart"/>
      <w:r w:rsidRPr="004349FB">
        <w:rPr>
          <w:i/>
          <w:iCs/>
        </w:rPr>
        <w:t>Majjhima</w:t>
      </w:r>
      <w:proofErr w:type="spellEnd"/>
      <w:r>
        <w:t xml:space="preserve"> se dice que, omitiendo los recintos del monasterio y el pueblo, la distancia a medir es aquella entre donde ca</w:t>
      </w:r>
      <w:r w:rsidR="006076B0">
        <w:t>iga</w:t>
      </w:r>
      <w:r>
        <w:t xml:space="preserve">n las dos piedras. </w:t>
      </w:r>
      <w:r w:rsidR="006076B0">
        <w:t>É</w:t>
      </w:r>
      <w:r>
        <w:t>sta es la medida aquí.</w:t>
      </w:r>
    </w:p>
    <w:p w14:paraId="2EE0546E" w14:textId="63F1D032" w:rsidR="00F4481C" w:rsidRDefault="00F4481C" w:rsidP="00F4481C">
      <w:r>
        <w:t xml:space="preserve">51. </w:t>
      </w:r>
      <w:r>
        <w:tab/>
        <w:t>Inclus</w:t>
      </w:r>
      <w:r w:rsidR="006076B0">
        <w:t>ive</w:t>
      </w:r>
      <w:r>
        <w:t xml:space="preserve"> si el pueblo est</w:t>
      </w:r>
      <w:r w:rsidR="006076B0">
        <w:t>uviera</w:t>
      </w:r>
      <w:r>
        <w:t xml:space="preserve"> cerca y los sonidos de los hombres </w:t>
      </w:r>
      <w:r w:rsidR="00F025AE">
        <w:t>fueran</w:t>
      </w:r>
      <w:r>
        <w:t xml:space="preserve"> audibles para la gente </w:t>
      </w:r>
      <w:r w:rsidR="006076B0">
        <w:t>d</w:t>
      </w:r>
      <w:r>
        <w:t xml:space="preserve">el monasterio, </w:t>
      </w:r>
      <w:r w:rsidR="005D59FD">
        <w:t xml:space="preserve">y </w:t>
      </w:r>
      <w:r>
        <w:t xml:space="preserve">aún si no </w:t>
      </w:r>
      <w:r w:rsidR="002768D1">
        <w:t>fuera</w:t>
      </w:r>
      <w:r>
        <w:t xml:space="preserve"> posible ir directamente a él debido a las rocas, ríos, etc., </w:t>
      </w:r>
      <w:r w:rsidR="005D59FD">
        <w:t>entre ambos lugares</w:t>
      </w:r>
      <w:r>
        <w:t xml:space="preserve">, se </w:t>
      </w:r>
      <w:r w:rsidR="005D59FD">
        <w:t>podrá</w:t>
      </w:r>
      <w:r>
        <w:t xml:space="preserve"> contar </w:t>
      </w:r>
      <w:r w:rsidR="005D59FD">
        <w:t xml:space="preserve">la </w:t>
      </w:r>
      <w:r>
        <w:t>longitud</w:t>
      </w:r>
      <w:r w:rsidR="005D59FD">
        <w:t xml:space="preserve"> de</w:t>
      </w:r>
      <w:r w:rsidR="005D59FD" w:rsidRPr="005D59FD">
        <w:t xml:space="preserve"> </w:t>
      </w:r>
      <w:r w:rsidR="005D59FD">
        <w:t xml:space="preserve">quinientos </w:t>
      </w:r>
      <w:r w:rsidR="005D59FD" w:rsidRPr="005D59FD">
        <w:rPr>
          <w:i/>
          <w:iCs/>
        </w:rPr>
        <w:t>arco</w:t>
      </w:r>
      <w:r w:rsidR="005D59FD">
        <w:rPr>
          <w:i/>
          <w:iCs/>
        </w:rPr>
        <w:t>s</w:t>
      </w:r>
      <w:r w:rsidR="005D59FD">
        <w:t xml:space="preserve"> por ese camino</w:t>
      </w:r>
      <w:r>
        <w:t>, inclus</w:t>
      </w:r>
      <w:r w:rsidR="000718C0">
        <w:t>ive</w:t>
      </w:r>
      <w:r>
        <w:t xml:space="preserve"> si </w:t>
      </w:r>
      <w:r w:rsidR="005D59FD">
        <w:t xml:space="preserve">se tuviese </w:t>
      </w:r>
      <w:r>
        <w:t>que ir</w:t>
      </w:r>
      <w:r w:rsidR="000718C0">
        <w:t>se</w:t>
      </w:r>
      <w:r>
        <w:t xml:space="preserve"> en barco. Pero cualquiera que bloquee aquí </w:t>
      </w:r>
      <w:r w:rsidR="005D59FD">
        <w:t>o</w:t>
      </w:r>
      <w:r>
        <w:t xml:space="preserve"> allá el camino a la aldea con el propósito de [alargarlo para poder decir que está] </w:t>
      </w:r>
      <w:r w:rsidR="005D59FD">
        <w:t>llevando a cabo la</w:t>
      </w:r>
      <w:r>
        <w:t xml:space="preserve"> práctica, est</w:t>
      </w:r>
      <w:r w:rsidR="00F025AE">
        <w:t>ar</w:t>
      </w:r>
      <w:r>
        <w:t xml:space="preserve">á </w:t>
      </w:r>
      <w:r w:rsidR="007574DA">
        <w:t>defraudando</w:t>
      </w:r>
      <w:r>
        <w:t xml:space="preserve"> la práctica </w:t>
      </w:r>
      <w:r w:rsidR="00656CF3">
        <w:t>asceta</w:t>
      </w:r>
      <w:r>
        <w:t>.</w:t>
      </w:r>
    </w:p>
    <w:p w14:paraId="6F13DD2B" w14:textId="2B17848C" w:rsidR="00F4481C" w:rsidRDefault="00F4481C" w:rsidP="00F4481C">
      <w:r>
        <w:t xml:space="preserve">52. </w:t>
      </w:r>
      <w:r>
        <w:tab/>
        <w:t xml:space="preserve">Si el preceptor o maestro de un </w:t>
      </w:r>
      <w:proofErr w:type="spellStart"/>
      <w:r w:rsidR="00057BF4" w:rsidRPr="00057BF4">
        <w:rPr>
          <w:i/>
          <w:iCs/>
        </w:rPr>
        <w:t>bhikkhu</w:t>
      </w:r>
      <w:proofErr w:type="spellEnd"/>
      <w:r>
        <w:t xml:space="preserve"> que habita en el bosque </w:t>
      </w:r>
      <w:r w:rsidR="005D59FD">
        <w:t>estuviese</w:t>
      </w:r>
      <w:r>
        <w:t xml:space="preserve"> enfermo y no </w:t>
      </w:r>
      <w:r w:rsidR="005D59FD">
        <w:t>obtuviese l</w:t>
      </w:r>
      <w:r>
        <w:t xml:space="preserve">o que </w:t>
      </w:r>
      <w:r w:rsidR="005D59FD">
        <w:t xml:space="preserve">requiriese </w:t>
      </w:r>
      <w:r>
        <w:t xml:space="preserve">en el bosque, [73] debe llevarlo a la </w:t>
      </w:r>
      <w:r w:rsidR="005D59FD">
        <w:t xml:space="preserve">vivienda </w:t>
      </w:r>
      <w:r>
        <w:t>de una aldea y atenderlo allí. Pero debe partir a tiempo para encontrarse con el amanecer en un lugar adecuado para la práctica. Si la aflicción aumenta</w:t>
      </w:r>
      <w:r w:rsidR="005D59FD">
        <w:t>se</w:t>
      </w:r>
      <w:r>
        <w:t xml:space="preserve"> hacia la hora del amanecer, debe atenderlo y no preocuparse por la pureza de su práctica </w:t>
      </w:r>
      <w:r w:rsidR="00656CF3">
        <w:t>asceta</w:t>
      </w:r>
      <w:r>
        <w:t xml:space="preserve">. </w:t>
      </w:r>
      <w:r w:rsidR="005D59FD">
        <w:t>É</w:t>
      </w:r>
      <w:r>
        <w:t xml:space="preserve">stas son las </w:t>
      </w:r>
      <w:r w:rsidR="005D59FD" w:rsidRPr="005D59FD">
        <w:rPr>
          <w:i/>
          <w:iCs/>
        </w:rPr>
        <w:t>indicaciones</w:t>
      </w:r>
      <w:r>
        <w:t>.</w:t>
      </w:r>
    </w:p>
    <w:p w14:paraId="7B861275" w14:textId="7F8A03B7" w:rsidR="00F4481C" w:rsidRDefault="00F4481C" w:rsidP="00F4481C">
      <w:r>
        <w:t xml:space="preserve">53. </w:t>
      </w:r>
      <w:r>
        <w:tab/>
        <w:t xml:space="preserve">Esto también </w:t>
      </w:r>
      <w:r w:rsidR="005D59FD">
        <w:t>posee</w:t>
      </w:r>
      <w:r>
        <w:t xml:space="preserve"> tres </w:t>
      </w:r>
      <w:r w:rsidRPr="004349FB">
        <w:rPr>
          <w:i/>
          <w:iCs/>
        </w:rPr>
        <w:t>grados</w:t>
      </w:r>
      <w:r>
        <w:t xml:space="preserve">. </w:t>
      </w:r>
      <w:r w:rsidR="00372435">
        <w:t>Al respecto</w:t>
      </w:r>
      <w:r>
        <w:t xml:space="preserve">, quien </w:t>
      </w:r>
      <w:r w:rsidR="005D59FD">
        <w:t xml:space="preserve">sea </w:t>
      </w:r>
      <w:r>
        <w:t>estricto siempre debe</w:t>
      </w:r>
      <w:r w:rsidR="008A5C02">
        <w:t>rá</w:t>
      </w:r>
      <w:r>
        <w:t xml:space="preserve"> encontrarse con el amanecer en el bosque. Al </w:t>
      </w:r>
      <w:r w:rsidR="005D59FD">
        <w:t xml:space="preserve">intermedio </w:t>
      </w:r>
      <w:r>
        <w:t>se le permit</w:t>
      </w:r>
      <w:r w:rsidR="005D59FD">
        <w:t>irá</w:t>
      </w:r>
      <w:r>
        <w:t xml:space="preserve"> vivir en un pueblo durante los cuatro meses de </w:t>
      </w:r>
      <w:r w:rsidR="005D59FD">
        <w:t>la estación de</w:t>
      </w:r>
      <w:r>
        <w:t xml:space="preserve"> Lluvias. Y </w:t>
      </w:r>
      <w:r w:rsidR="00F07D6E">
        <w:t>a</w:t>
      </w:r>
      <w:r w:rsidR="005D59FD">
        <w:t>l moderado</w:t>
      </w:r>
      <w:r>
        <w:t xml:space="preserve">, también </w:t>
      </w:r>
      <w:r w:rsidR="00875B9C">
        <w:t xml:space="preserve">durante </w:t>
      </w:r>
      <w:r>
        <w:t>los meses de invierno.</w:t>
      </w:r>
    </w:p>
    <w:p w14:paraId="0FF1AAD0" w14:textId="77777777" w:rsidR="00107EC5" w:rsidRDefault="00107EC5">
      <w:pPr>
        <w:tabs>
          <w:tab w:val="clear" w:pos="425"/>
        </w:tabs>
        <w:spacing w:after="160"/>
      </w:pPr>
      <w:r>
        <w:br w:type="page"/>
      </w:r>
    </w:p>
    <w:p w14:paraId="1A8C504C" w14:textId="54DDB2E4" w:rsidR="00961E53" w:rsidRDefault="00961E53" w:rsidP="00A73AB0">
      <w:pPr>
        <w:pStyle w:val="NormalConSangria"/>
        <w:spacing w:after="60"/>
      </w:pPr>
      <w:r>
        <w:lastRenderedPageBreak/>
        <w:t>Si en el período definido cualquiera de estos tres sal</w:t>
      </w:r>
      <w:r w:rsidR="005C232F">
        <w:t>iese</w:t>
      </w:r>
      <w:r>
        <w:t xml:space="preserve"> del bosque y escucha</w:t>
      </w:r>
      <w:r w:rsidR="005C232F">
        <w:t>se</w:t>
      </w:r>
      <w:r>
        <w:t xml:space="preserve"> el </w:t>
      </w:r>
      <w:r w:rsidR="00057BF4" w:rsidRPr="00057BF4">
        <w:rPr>
          <w:i/>
        </w:rPr>
        <w:t>Dhamma</w:t>
      </w:r>
      <w:r>
        <w:t xml:space="preserve"> en la </w:t>
      </w:r>
      <w:r w:rsidR="00D4281D">
        <w:t>vivienda</w:t>
      </w:r>
      <w:r>
        <w:t xml:space="preserve"> de una aldea, su práctica </w:t>
      </w:r>
      <w:r w:rsidR="00656CF3">
        <w:t>asceta</w:t>
      </w:r>
      <w:r>
        <w:t xml:space="preserve"> no se rompe</w:t>
      </w:r>
      <w:r w:rsidR="00D4281D">
        <w:t>rá</w:t>
      </w:r>
      <w:r>
        <w:t xml:space="preserve"> si se </w:t>
      </w:r>
      <w:r w:rsidR="00CC1501">
        <w:t xml:space="preserve">encuentra </w:t>
      </w:r>
      <w:r>
        <w:t>el amanecer allí, ni se rompe</w:t>
      </w:r>
      <w:r w:rsidR="00FA54A4">
        <w:t>rá</w:t>
      </w:r>
      <w:r>
        <w:t xml:space="preserve"> si lo encuentra mientras est</w:t>
      </w:r>
      <w:r w:rsidR="00AD5FC2">
        <w:t>uviese</w:t>
      </w:r>
      <w:r>
        <w:t xml:space="preserve"> en camino </w:t>
      </w:r>
      <w:r w:rsidR="00F70490">
        <w:t>de regreso después</w:t>
      </w:r>
      <w:r>
        <w:t xml:space="preserve"> de escuchar [el </w:t>
      </w:r>
      <w:r w:rsidR="00057BF4" w:rsidRPr="00057BF4">
        <w:rPr>
          <w:i/>
        </w:rPr>
        <w:t>Dhamma</w:t>
      </w:r>
      <w:r>
        <w:t>]. Pero si, cuando el predicador se ha</w:t>
      </w:r>
      <w:r w:rsidR="00F70490">
        <w:t>ya</w:t>
      </w:r>
      <w:r>
        <w:t xml:space="preserve"> levantado, </w:t>
      </w:r>
      <w:r w:rsidR="002174AF">
        <w:t xml:space="preserve">el asceta </w:t>
      </w:r>
      <w:r>
        <w:t>pensa</w:t>
      </w:r>
      <w:r w:rsidR="004E57DD">
        <w:t>se:</w:t>
      </w:r>
      <w:r>
        <w:t xml:space="preserve"> "</w:t>
      </w:r>
      <w:r w:rsidR="00F70490">
        <w:t>Partiremo</w:t>
      </w:r>
      <w:r w:rsidR="00192A25">
        <w:t>s</w:t>
      </w:r>
      <w:r>
        <w:t xml:space="preserve"> después de </w:t>
      </w:r>
      <w:r w:rsidR="00F70490">
        <w:t>re</w:t>
      </w:r>
      <w:r>
        <w:t xml:space="preserve">costarnos un rato" y se encuentra con el amanecer mientras duerme o si por su propia elección se encuentra con el amanecer mientras está en la </w:t>
      </w:r>
      <w:r w:rsidR="00192A25">
        <w:t>vivienda</w:t>
      </w:r>
      <w:r>
        <w:t xml:space="preserve"> de una aldea, entonces su práctica </w:t>
      </w:r>
      <w:r w:rsidR="00656CF3">
        <w:t>asceta</w:t>
      </w:r>
      <w:r>
        <w:t xml:space="preserve"> se rompe</w:t>
      </w:r>
      <w:r w:rsidR="00192A25">
        <w:t>rá</w:t>
      </w:r>
      <w:r>
        <w:t xml:space="preserve">. Este </w:t>
      </w:r>
      <w:r w:rsidR="002174AF">
        <w:t xml:space="preserve">será </w:t>
      </w:r>
      <w:r>
        <w:t xml:space="preserve">el </w:t>
      </w:r>
      <w:r w:rsidRPr="00192A25">
        <w:rPr>
          <w:i/>
          <w:iCs/>
        </w:rPr>
        <w:t>incumplimiento</w:t>
      </w:r>
      <w:r>
        <w:t xml:space="preserve"> en este caso.</w:t>
      </w:r>
    </w:p>
    <w:p w14:paraId="13F1431C" w14:textId="7FA2D14A" w:rsidR="00961E53" w:rsidRDefault="00961E53" w:rsidP="00A73AB0">
      <w:pPr>
        <w:spacing w:after="60"/>
      </w:pPr>
      <w:r>
        <w:t xml:space="preserve">54. </w:t>
      </w:r>
      <w:r>
        <w:tab/>
        <w:t xml:space="preserve">Los </w:t>
      </w:r>
      <w:r w:rsidRPr="004349FB">
        <w:rPr>
          <w:i/>
          <w:iCs/>
        </w:rPr>
        <w:t>beneficios</w:t>
      </w:r>
      <w:r>
        <w:t xml:space="preserve"> son estos. Un </w:t>
      </w:r>
      <w:proofErr w:type="spellStart"/>
      <w:r w:rsidR="00057BF4" w:rsidRPr="00057BF4">
        <w:rPr>
          <w:i/>
          <w:iCs/>
        </w:rPr>
        <w:t>bhikkhu</w:t>
      </w:r>
      <w:proofErr w:type="spellEnd"/>
      <w:r>
        <w:t xml:space="preserve"> que habit</w:t>
      </w:r>
      <w:r w:rsidR="00192A25">
        <w:t>e</w:t>
      </w:r>
      <w:r>
        <w:t xml:space="preserve"> en el bosque y que ha</w:t>
      </w:r>
      <w:r w:rsidR="00192A25">
        <w:t>ya</w:t>
      </w:r>
      <w:r>
        <w:t xml:space="preserve"> prestado atención a la percepción del bosque (ver MN 121) </w:t>
      </w:r>
      <w:r w:rsidR="00CF6E18">
        <w:t>podrá</w:t>
      </w:r>
      <w:r>
        <w:t xml:space="preserve"> obtener una concentración que hasta </w:t>
      </w:r>
      <w:r w:rsidR="00CF6E18">
        <w:t xml:space="preserve">entonces </w:t>
      </w:r>
      <w:r>
        <w:t xml:space="preserve">no </w:t>
      </w:r>
      <w:r w:rsidR="00CF6E18">
        <w:t>hubiese</w:t>
      </w:r>
      <w:r>
        <w:t xml:space="preserve"> obtenido, o preservar la que ya </w:t>
      </w:r>
      <w:r w:rsidR="00CF6E18">
        <w:t>haya obtenido</w:t>
      </w:r>
      <w:r>
        <w:t>. Y el Maestro est</w:t>
      </w:r>
      <w:r w:rsidR="00CF6E18">
        <w:t>ar</w:t>
      </w:r>
      <w:r>
        <w:t xml:space="preserve">á complacido con él, </w:t>
      </w:r>
      <w:r w:rsidR="00CF6E18">
        <w:t>tal como está dicho</w:t>
      </w:r>
      <w:r>
        <w:t xml:space="preserve">: “Entonces, </w:t>
      </w:r>
      <w:proofErr w:type="spellStart"/>
      <w:r>
        <w:t>Nāgita</w:t>
      </w:r>
      <w:proofErr w:type="spellEnd"/>
      <w:r>
        <w:t xml:space="preserve">, estoy complacido con la </w:t>
      </w:r>
      <w:r w:rsidR="00BA170E">
        <w:t>vivienda</w:t>
      </w:r>
      <w:r>
        <w:t xml:space="preserve"> de ese </w:t>
      </w:r>
      <w:proofErr w:type="spellStart"/>
      <w:r w:rsidR="00057BF4" w:rsidRPr="00057BF4">
        <w:rPr>
          <w:i/>
          <w:iCs/>
        </w:rPr>
        <w:t>bhikkhu</w:t>
      </w:r>
      <w:proofErr w:type="spellEnd"/>
      <w:r>
        <w:t xml:space="preserve"> en el bosque” (A III 343). Y cuando viv</w:t>
      </w:r>
      <w:r w:rsidR="00C0506B">
        <w:t>a</w:t>
      </w:r>
      <w:r>
        <w:t xml:space="preserve"> en una </w:t>
      </w:r>
      <w:r w:rsidR="00BA170E">
        <w:t xml:space="preserve">vivienda </w:t>
      </w:r>
      <w:r>
        <w:t>remota, su mente no se distrae</w:t>
      </w:r>
      <w:r w:rsidR="00C0506B">
        <w:t>rá</w:t>
      </w:r>
      <w:r>
        <w:t xml:space="preserve"> con objetos visibles inadecuados, etc. Est</w:t>
      </w:r>
      <w:r w:rsidR="00C0506B">
        <w:t>ar</w:t>
      </w:r>
      <w:r>
        <w:t>á libre de ansiedad; abandona</w:t>
      </w:r>
      <w:r w:rsidR="00C0506B">
        <w:t>rá</w:t>
      </w:r>
      <w:r>
        <w:t xml:space="preserve"> el apego a la vida; disfruta</w:t>
      </w:r>
      <w:r w:rsidR="00C0506B">
        <w:t>rá</w:t>
      </w:r>
      <w:r>
        <w:t xml:space="preserve"> el sabor de la dicha de la reclusión, y </w:t>
      </w:r>
      <w:r w:rsidR="00C0506B">
        <w:t xml:space="preserve">surgirá en él </w:t>
      </w:r>
      <w:r>
        <w:t xml:space="preserve">el estado del </w:t>
      </w:r>
      <w:r w:rsidR="00DD20BE">
        <w:t xml:space="preserve">usuario </w:t>
      </w:r>
      <w:r>
        <w:t xml:space="preserve">de harapos, </w:t>
      </w:r>
      <w:proofErr w:type="gramStart"/>
      <w:r>
        <w:t>etc.,.</w:t>
      </w:r>
      <w:proofErr w:type="gramEnd"/>
    </w:p>
    <w:p w14:paraId="29A8584C" w14:textId="30615437" w:rsidR="00961E53" w:rsidRPr="00961E53" w:rsidRDefault="00961E53" w:rsidP="00961E53">
      <w:pPr>
        <w:pStyle w:val="VersoIngls01Sangria"/>
        <w:ind w:hanging="1416"/>
        <w:rPr>
          <w:sz w:val="16"/>
          <w:szCs w:val="20"/>
        </w:rPr>
      </w:pPr>
      <w:r>
        <w:t xml:space="preserve">55. </w:t>
      </w:r>
      <w:r>
        <w:tab/>
      </w:r>
      <w:r>
        <w:tab/>
      </w:r>
      <w:r w:rsidRPr="00961E53">
        <w:rPr>
          <w:sz w:val="16"/>
          <w:szCs w:val="20"/>
        </w:rPr>
        <w:t xml:space="preserve">Vive apartado y </w:t>
      </w:r>
      <w:r w:rsidR="00DD20BE">
        <w:rPr>
          <w:sz w:val="16"/>
          <w:szCs w:val="20"/>
        </w:rPr>
        <w:t>recluido</w:t>
      </w:r>
      <w:r w:rsidRPr="00961E53">
        <w:rPr>
          <w:sz w:val="16"/>
          <w:szCs w:val="20"/>
        </w:rPr>
        <w:t>,</w:t>
      </w:r>
    </w:p>
    <w:p w14:paraId="3A502E42" w14:textId="7F783035" w:rsidR="00961E53" w:rsidRPr="00961E53" w:rsidRDefault="00961E53" w:rsidP="00961E53">
      <w:pPr>
        <w:pStyle w:val="VersoIngls01Sangria"/>
        <w:rPr>
          <w:sz w:val="16"/>
          <w:szCs w:val="20"/>
        </w:rPr>
      </w:pPr>
      <w:r w:rsidRPr="00961E53">
        <w:rPr>
          <w:sz w:val="16"/>
          <w:szCs w:val="20"/>
        </w:rPr>
        <w:t xml:space="preserve">Las </w:t>
      </w:r>
      <w:r w:rsidR="00DD20BE">
        <w:rPr>
          <w:sz w:val="16"/>
          <w:szCs w:val="20"/>
        </w:rPr>
        <w:t xml:space="preserve">viviendas </w:t>
      </w:r>
      <w:r w:rsidRPr="00961E53">
        <w:rPr>
          <w:sz w:val="16"/>
          <w:szCs w:val="20"/>
        </w:rPr>
        <w:t xml:space="preserve">remotas </w:t>
      </w:r>
      <w:r w:rsidR="00DD20BE">
        <w:rPr>
          <w:sz w:val="16"/>
          <w:szCs w:val="20"/>
        </w:rPr>
        <w:t xml:space="preserve">complacen </w:t>
      </w:r>
      <w:r w:rsidRPr="00961E53">
        <w:rPr>
          <w:sz w:val="16"/>
          <w:szCs w:val="20"/>
        </w:rPr>
        <w:t>su corazón;</w:t>
      </w:r>
    </w:p>
    <w:p w14:paraId="310B5ADE" w14:textId="77777777" w:rsidR="00961E53" w:rsidRPr="00961E53" w:rsidRDefault="00961E53" w:rsidP="00961E53">
      <w:pPr>
        <w:pStyle w:val="VersoIngls01Sangria"/>
        <w:rPr>
          <w:sz w:val="16"/>
          <w:szCs w:val="20"/>
        </w:rPr>
      </w:pPr>
      <w:r w:rsidRPr="00961E53">
        <w:rPr>
          <w:sz w:val="16"/>
          <w:szCs w:val="20"/>
        </w:rPr>
        <w:t>El Salvador del mundo, además,</w:t>
      </w:r>
    </w:p>
    <w:p w14:paraId="1BA9B5AA" w14:textId="7137854A" w:rsidR="00961E53" w:rsidRPr="00961E53" w:rsidRDefault="0002413A" w:rsidP="00A73AB0">
      <w:pPr>
        <w:pStyle w:val="VersoIngls01Sangria"/>
        <w:spacing w:after="60"/>
        <w:ind w:left="1418"/>
        <w:rPr>
          <w:sz w:val="16"/>
          <w:szCs w:val="20"/>
        </w:rPr>
      </w:pPr>
      <w:r>
        <w:rPr>
          <w:sz w:val="16"/>
          <w:szCs w:val="20"/>
        </w:rPr>
        <w:t>Se</w:t>
      </w:r>
      <w:r w:rsidR="00961E53" w:rsidRPr="00961E53">
        <w:rPr>
          <w:sz w:val="16"/>
          <w:szCs w:val="20"/>
        </w:rPr>
        <w:t xml:space="preserve"> alegra </w:t>
      </w:r>
      <w:r w:rsidR="00C0506B">
        <w:rPr>
          <w:sz w:val="16"/>
          <w:szCs w:val="20"/>
        </w:rPr>
        <w:t xml:space="preserve">de </w:t>
      </w:r>
      <w:r w:rsidR="00961E53" w:rsidRPr="00961E53">
        <w:rPr>
          <w:sz w:val="16"/>
          <w:szCs w:val="20"/>
        </w:rPr>
        <w:t xml:space="preserve">que </w:t>
      </w:r>
      <w:r>
        <w:rPr>
          <w:sz w:val="16"/>
          <w:szCs w:val="20"/>
        </w:rPr>
        <w:t xml:space="preserve">él habite </w:t>
      </w:r>
      <w:r w:rsidR="00961E53" w:rsidRPr="00961E53">
        <w:rPr>
          <w:sz w:val="16"/>
          <w:szCs w:val="20"/>
        </w:rPr>
        <w:t xml:space="preserve">en </w:t>
      </w:r>
      <w:r>
        <w:rPr>
          <w:sz w:val="16"/>
          <w:szCs w:val="20"/>
        </w:rPr>
        <w:t>los bosques</w:t>
      </w:r>
      <w:r w:rsidR="00961E53" w:rsidRPr="00961E53">
        <w:rPr>
          <w:sz w:val="16"/>
          <w:szCs w:val="20"/>
        </w:rPr>
        <w:t>.</w:t>
      </w:r>
    </w:p>
    <w:p w14:paraId="58AB0B61" w14:textId="1CB400BC" w:rsidR="00961E53" w:rsidRPr="00961E53" w:rsidRDefault="00961E53" w:rsidP="00961E53">
      <w:pPr>
        <w:pStyle w:val="VersoIngls01Sangria"/>
        <w:rPr>
          <w:sz w:val="16"/>
          <w:szCs w:val="20"/>
        </w:rPr>
      </w:pPr>
      <w:r w:rsidRPr="00961E53">
        <w:rPr>
          <w:sz w:val="16"/>
          <w:szCs w:val="20"/>
        </w:rPr>
        <w:t>El ermitaño que en los bosques pued</w:t>
      </w:r>
      <w:r w:rsidR="0002413A">
        <w:rPr>
          <w:sz w:val="16"/>
          <w:szCs w:val="20"/>
        </w:rPr>
        <w:t>a</w:t>
      </w:r>
      <w:r w:rsidRPr="00961E53">
        <w:rPr>
          <w:sz w:val="16"/>
          <w:szCs w:val="20"/>
        </w:rPr>
        <w:t xml:space="preserve"> habitar</w:t>
      </w:r>
    </w:p>
    <w:p w14:paraId="34E07329" w14:textId="1021FF09" w:rsidR="00961E53" w:rsidRPr="00961E53" w:rsidRDefault="00961E53" w:rsidP="00961E53">
      <w:pPr>
        <w:pStyle w:val="VersoIngls01Sangria"/>
        <w:rPr>
          <w:sz w:val="16"/>
          <w:szCs w:val="20"/>
        </w:rPr>
      </w:pPr>
      <w:r w:rsidRPr="00961E53">
        <w:rPr>
          <w:sz w:val="16"/>
          <w:szCs w:val="20"/>
        </w:rPr>
        <w:t xml:space="preserve">Solo, </w:t>
      </w:r>
      <w:r w:rsidR="0002413A" w:rsidRPr="00AE4F01">
        <w:rPr>
          <w:sz w:val="16"/>
          <w:szCs w:val="20"/>
        </w:rPr>
        <w:t>podrá</w:t>
      </w:r>
      <w:r w:rsidRPr="00961E53">
        <w:rPr>
          <w:sz w:val="16"/>
          <w:szCs w:val="20"/>
        </w:rPr>
        <w:t xml:space="preserve"> obtener </w:t>
      </w:r>
      <w:r w:rsidR="00F20B0F" w:rsidRPr="00961E53">
        <w:rPr>
          <w:sz w:val="16"/>
          <w:szCs w:val="20"/>
        </w:rPr>
        <w:t xml:space="preserve">también </w:t>
      </w:r>
      <w:r w:rsidRPr="00961E53">
        <w:rPr>
          <w:sz w:val="16"/>
          <w:szCs w:val="20"/>
        </w:rPr>
        <w:t xml:space="preserve">dicha </w:t>
      </w:r>
    </w:p>
    <w:p w14:paraId="21AECD74" w14:textId="77777777" w:rsidR="00961E53" w:rsidRPr="00961E53" w:rsidRDefault="00961E53" w:rsidP="00961E53">
      <w:pPr>
        <w:pStyle w:val="VersoIngls01Sangria"/>
        <w:rPr>
          <w:sz w:val="16"/>
          <w:szCs w:val="20"/>
        </w:rPr>
      </w:pPr>
      <w:r w:rsidRPr="00961E53">
        <w:rPr>
          <w:sz w:val="16"/>
          <w:szCs w:val="20"/>
        </w:rPr>
        <w:t>Cuyo sabor está más allá del precio</w:t>
      </w:r>
    </w:p>
    <w:p w14:paraId="4A0CA1A6" w14:textId="611842A8" w:rsidR="00961E53" w:rsidRPr="00961E53" w:rsidRDefault="00961E53" w:rsidP="00A73AB0">
      <w:pPr>
        <w:pStyle w:val="VersoIngls01Sangria"/>
        <w:spacing w:after="60"/>
        <w:ind w:left="1418"/>
        <w:rPr>
          <w:sz w:val="16"/>
          <w:szCs w:val="20"/>
        </w:rPr>
      </w:pPr>
      <w:r w:rsidRPr="00961E53">
        <w:rPr>
          <w:sz w:val="16"/>
          <w:szCs w:val="20"/>
        </w:rPr>
        <w:t xml:space="preserve">De la dicha real en </w:t>
      </w:r>
      <w:r w:rsidR="00C0506B">
        <w:rPr>
          <w:sz w:val="16"/>
          <w:szCs w:val="20"/>
        </w:rPr>
        <w:t>un</w:t>
      </w:r>
      <w:r w:rsidRPr="00961E53">
        <w:rPr>
          <w:sz w:val="16"/>
          <w:szCs w:val="20"/>
        </w:rPr>
        <w:t xml:space="preserve"> paraíso.</w:t>
      </w:r>
    </w:p>
    <w:p w14:paraId="61A23438" w14:textId="114F0080" w:rsidR="00961E53" w:rsidRPr="00961E53" w:rsidRDefault="00961E53" w:rsidP="00961E53">
      <w:pPr>
        <w:pStyle w:val="VersoIngls01Sangria"/>
        <w:rPr>
          <w:sz w:val="16"/>
          <w:szCs w:val="20"/>
        </w:rPr>
      </w:pPr>
      <w:r w:rsidRPr="00961E53">
        <w:rPr>
          <w:sz w:val="16"/>
          <w:szCs w:val="20"/>
        </w:rPr>
        <w:t xml:space="preserve">Vistiendo </w:t>
      </w:r>
      <w:r w:rsidR="00F20B0F">
        <w:rPr>
          <w:sz w:val="16"/>
          <w:szCs w:val="20"/>
        </w:rPr>
        <w:t>ropajes</w:t>
      </w:r>
      <w:r w:rsidRPr="00961E53">
        <w:rPr>
          <w:sz w:val="16"/>
          <w:szCs w:val="20"/>
        </w:rPr>
        <w:t xml:space="preserve"> de harapos </w:t>
      </w:r>
      <w:r w:rsidR="00C0506B" w:rsidRPr="00C0506B">
        <w:rPr>
          <w:sz w:val="16"/>
          <w:szCs w:val="20"/>
        </w:rPr>
        <w:t>podrá</w:t>
      </w:r>
    </w:p>
    <w:p w14:paraId="26BA3D29" w14:textId="272CA1A9" w:rsidR="00961E53" w:rsidRPr="00961E53" w:rsidRDefault="00B36290" w:rsidP="00961E53">
      <w:pPr>
        <w:pStyle w:val="VersoIngls01Sangria"/>
        <w:rPr>
          <w:sz w:val="16"/>
          <w:szCs w:val="20"/>
        </w:rPr>
      </w:pPr>
      <w:r>
        <w:rPr>
          <w:sz w:val="16"/>
          <w:szCs w:val="20"/>
        </w:rPr>
        <w:t>Partir</w:t>
      </w:r>
      <w:r w:rsidR="00961E53" w:rsidRPr="00961E53">
        <w:rPr>
          <w:sz w:val="16"/>
          <w:szCs w:val="20"/>
        </w:rPr>
        <w:t xml:space="preserve"> </w:t>
      </w:r>
      <w:r w:rsidR="00F23101">
        <w:rPr>
          <w:sz w:val="16"/>
          <w:szCs w:val="20"/>
        </w:rPr>
        <w:t>haci</w:t>
      </w:r>
      <w:r w:rsidR="00961E53" w:rsidRPr="00961E53">
        <w:rPr>
          <w:sz w:val="16"/>
          <w:szCs w:val="20"/>
        </w:rPr>
        <w:t xml:space="preserve">a la </w:t>
      </w:r>
      <w:r w:rsidR="00F23101" w:rsidRPr="00C35E8A">
        <w:rPr>
          <w:sz w:val="16"/>
          <w:szCs w:val="20"/>
        </w:rPr>
        <w:t>lucha</w:t>
      </w:r>
      <w:r w:rsidR="00F23101">
        <w:rPr>
          <w:sz w:val="16"/>
          <w:szCs w:val="20"/>
        </w:rPr>
        <w:t xml:space="preserve"> en </w:t>
      </w:r>
      <w:r w:rsidR="00961E53" w:rsidRPr="00961E53">
        <w:rPr>
          <w:sz w:val="16"/>
          <w:szCs w:val="20"/>
        </w:rPr>
        <w:t>el bosque;</w:t>
      </w:r>
    </w:p>
    <w:p w14:paraId="51C90830" w14:textId="457B374C" w:rsidR="00961E53" w:rsidRPr="00961E53" w:rsidRDefault="00961E53" w:rsidP="00961E53">
      <w:pPr>
        <w:pStyle w:val="VersoIngls01Sangria"/>
        <w:rPr>
          <w:sz w:val="16"/>
          <w:szCs w:val="20"/>
        </w:rPr>
      </w:pPr>
      <w:r w:rsidRPr="00961E53">
        <w:rPr>
          <w:sz w:val="16"/>
          <w:szCs w:val="20"/>
        </w:rPr>
        <w:t xml:space="preserve">Tal </w:t>
      </w:r>
      <w:r w:rsidR="00C0506B" w:rsidRPr="00C0506B">
        <w:rPr>
          <w:sz w:val="16"/>
          <w:szCs w:val="20"/>
        </w:rPr>
        <w:t xml:space="preserve">será </w:t>
      </w:r>
      <w:r w:rsidRPr="00961E53">
        <w:rPr>
          <w:sz w:val="16"/>
          <w:szCs w:val="20"/>
        </w:rPr>
        <w:t xml:space="preserve">su </w:t>
      </w:r>
      <w:r w:rsidR="00112BCA">
        <w:rPr>
          <w:sz w:val="16"/>
          <w:szCs w:val="20"/>
        </w:rPr>
        <w:t>mensaje</w:t>
      </w:r>
      <w:r w:rsidR="00D26FC2">
        <w:rPr>
          <w:sz w:val="16"/>
          <w:szCs w:val="20"/>
        </w:rPr>
        <w:t>,</w:t>
      </w:r>
      <w:r w:rsidRPr="00961E53">
        <w:rPr>
          <w:sz w:val="16"/>
          <w:szCs w:val="20"/>
        </w:rPr>
        <w:t xml:space="preserve"> para las armas también</w:t>
      </w:r>
    </w:p>
    <w:p w14:paraId="284BFF6B" w14:textId="027EE8AA" w:rsidR="00961E53" w:rsidRPr="00961E53" w:rsidRDefault="00961E53" w:rsidP="00A73AB0">
      <w:pPr>
        <w:pStyle w:val="VersoIngls01Sangria"/>
        <w:spacing w:after="60"/>
        <w:ind w:left="1418"/>
        <w:rPr>
          <w:sz w:val="16"/>
          <w:szCs w:val="20"/>
        </w:rPr>
      </w:pPr>
      <w:r w:rsidRPr="00961E53">
        <w:rPr>
          <w:sz w:val="16"/>
          <w:szCs w:val="20"/>
        </w:rPr>
        <w:t xml:space="preserve">Las otras prácticas </w:t>
      </w:r>
      <w:r w:rsidR="00BC55A6">
        <w:rPr>
          <w:sz w:val="16"/>
          <w:szCs w:val="20"/>
        </w:rPr>
        <w:t>él hará</w:t>
      </w:r>
      <w:r w:rsidRPr="00961E53">
        <w:rPr>
          <w:sz w:val="16"/>
          <w:szCs w:val="20"/>
        </w:rPr>
        <w:t>.</w:t>
      </w:r>
    </w:p>
    <w:p w14:paraId="06926785" w14:textId="17BEC91C" w:rsidR="00961E53" w:rsidRPr="00961E53" w:rsidRDefault="00961E53" w:rsidP="00961E53">
      <w:pPr>
        <w:pStyle w:val="VersoIngls01Sangria"/>
        <w:rPr>
          <w:sz w:val="16"/>
          <w:szCs w:val="20"/>
        </w:rPr>
      </w:pPr>
      <w:r w:rsidRPr="00961E53">
        <w:rPr>
          <w:sz w:val="16"/>
          <w:szCs w:val="20"/>
        </w:rPr>
        <w:t xml:space="preserve">Uno así equipado </w:t>
      </w:r>
      <w:r w:rsidR="00BC55A6">
        <w:rPr>
          <w:sz w:val="16"/>
          <w:szCs w:val="20"/>
        </w:rPr>
        <w:t>podrá</w:t>
      </w:r>
      <w:r w:rsidRPr="00961E53">
        <w:rPr>
          <w:sz w:val="16"/>
          <w:szCs w:val="20"/>
        </w:rPr>
        <w:t xml:space="preserve"> estar seguro</w:t>
      </w:r>
    </w:p>
    <w:p w14:paraId="3999FCE8" w14:textId="699BD1A2" w:rsidR="00961E53" w:rsidRPr="00961E53" w:rsidRDefault="00961E53" w:rsidP="00961E53">
      <w:pPr>
        <w:pStyle w:val="VersoIngls01Sangria"/>
        <w:rPr>
          <w:sz w:val="16"/>
          <w:szCs w:val="20"/>
        </w:rPr>
      </w:pPr>
      <w:r w:rsidRPr="00961E53">
        <w:rPr>
          <w:sz w:val="16"/>
          <w:szCs w:val="20"/>
        </w:rPr>
        <w:t xml:space="preserve">De derrotar a </w:t>
      </w:r>
      <w:r w:rsidR="00BC55A6" w:rsidRPr="009727D8">
        <w:rPr>
          <w:i/>
          <w:iCs/>
          <w:sz w:val="16"/>
          <w:szCs w:val="20"/>
        </w:rPr>
        <w:t>Māra</w:t>
      </w:r>
      <w:r w:rsidRPr="00961E53">
        <w:rPr>
          <w:sz w:val="16"/>
          <w:szCs w:val="20"/>
        </w:rPr>
        <w:t xml:space="preserve"> y su horda.</w:t>
      </w:r>
    </w:p>
    <w:p w14:paraId="638834D5" w14:textId="1D488B93" w:rsidR="00961E53" w:rsidRPr="00961E53" w:rsidRDefault="00961E53" w:rsidP="00961E53">
      <w:pPr>
        <w:pStyle w:val="VersoIngls01Sangria"/>
        <w:rPr>
          <w:sz w:val="16"/>
          <w:szCs w:val="20"/>
        </w:rPr>
      </w:pPr>
      <w:r w:rsidRPr="00961E53">
        <w:rPr>
          <w:sz w:val="16"/>
          <w:szCs w:val="20"/>
        </w:rPr>
        <w:t xml:space="preserve">Así que los claros del bosque </w:t>
      </w:r>
      <w:r w:rsidR="00BC55A6">
        <w:rPr>
          <w:sz w:val="16"/>
          <w:szCs w:val="20"/>
        </w:rPr>
        <w:t>complazcan</w:t>
      </w:r>
    </w:p>
    <w:p w14:paraId="7B5FC670" w14:textId="2ECAA2B9" w:rsidR="00961E53" w:rsidRPr="00961E53" w:rsidRDefault="00320316" w:rsidP="00A73AB0">
      <w:pPr>
        <w:pStyle w:val="VersoIngls01Sangria"/>
        <w:spacing w:after="60"/>
        <w:ind w:left="1418"/>
        <w:rPr>
          <w:sz w:val="16"/>
          <w:szCs w:val="20"/>
        </w:rPr>
      </w:pPr>
      <w:r>
        <w:rPr>
          <w:sz w:val="16"/>
          <w:szCs w:val="20"/>
        </w:rPr>
        <w:t>A u</w:t>
      </w:r>
      <w:r w:rsidR="00961E53" w:rsidRPr="00961E53">
        <w:rPr>
          <w:sz w:val="16"/>
          <w:szCs w:val="20"/>
        </w:rPr>
        <w:t xml:space="preserve">n hombre sabio </w:t>
      </w:r>
      <w:r>
        <w:rPr>
          <w:sz w:val="16"/>
          <w:szCs w:val="20"/>
        </w:rPr>
        <w:t>en su lugar de residencia</w:t>
      </w:r>
      <w:r w:rsidR="00961E53" w:rsidRPr="00961E53">
        <w:rPr>
          <w:sz w:val="16"/>
          <w:szCs w:val="20"/>
        </w:rPr>
        <w:t>.</w:t>
      </w:r>
    </w:p>
    <w:p w14:paraId="244CA895" w14:textId="443E9AE7" w:rsidR="00961E53" w:rsidRDefault="00961E53" w:rsidP="00A73AB0">
      <w:pPr>
        <w:pStyle w:val="NormalConSangria"/>
        <w:spacing w:after="60"/>
      </w:pPr>
      <w:r>
        <w:t xml:space="preserve">Este es el comentario sobre </w:t>
      </w:r>
      <w:r w:rsidR="00320316">
        <w:t>el emprendimiento</w:t>
      </w:r>
      <w:r>
        <w:t xml:space="preserve">, </w:t>
      </w:r>
      <w:r w:rsidR="00320316">
        <w:t>las indicaciones</w:t>
      </w:r>
      <w:r>
        <w:t xml:space="preserve">, </w:t>
      </w:r>
      <w:r w:rsidR="00320316">
        <w:t xml:space="preserve">los </w:t>
      </w:r>
      <w:r>
        <w:t xml:space="preserve">grados, </w:t>
      </w:r>
      <w:r w:rsidR="00320316">
        <w:t xml:space="preserve">el </w:t>
      </w:r>
      <w:r>
        <w:t xml:space="preserve">incumplimiento y </w:t>
      </w:r>
      <w:r w:rsidR="00C7415B">
        <w:t xml:space="preserve">los </w:t>
      </w:r>
      <w:r>
        <w:t>beneficios, en el caso de la práctica del habitante del bosque. [74]</w:t>
      </w:r>
    </w:p>
    <w:p w14:paraId="2BEC1334" w14:textId="0DA11A8C" w:rsidR="00961E53" w:rsidRDefault="00961E53" w:rsidP="00A73AB0">
      <w:pPr>
        <w:spacing w:after="60"/>
      </w:pPr>
      <w:r>
        <w:t xml:space="preserve">56. </w:t>
      </w:r>
      <w:r>
        <w:tab/>
      </w:r>
      <w:proofErr w:type="spellStart"/>
      <w:r>
        <w:t>ix</w:t>
      </w:r>
      <w:proofErr w:type="spellEnd"/>
      <w:r>
        <w:t xml:space="preserve">. La </w:t>
      </w:r>
      <w:r w:rsidRPr="004349FB">
        <w:rPr>
          <w:i/>
          <w:iCs/>
        </w:rPr>
        <w:t xml:space="preserve">práctica del habitante </w:t>
      </w:r>
      <w:r w:rsidR="00C7415B">
        <w:rPr>
          <w:i/>
          <w:iCs/>
        </w:rPr>
        <w:t>sobre</w:t>
      </w:r>
      <w:r w:rsidRPr="004349FB">
        <w:rPr>
          <w:i/>
          <w:iCs/>
        </w:rPr>
        <w:t xml:space="preserve"> las raíces de </w:t>
      </w:r>
      <w:r w:rsidR="00EE4B1D">
        <w:rPr>
          <w:i/>
          <w:iCs/>
        </w:rPr>
        <w:t>un</w:t>
      </w:r>
      <w:r w:rsidRPr="004349FB">
        <w:rPr>
          <w:i/>
          <w:iCs/>
        </w:rPr>
        <w:t xml:space="preserve"> árbol </w:t>
      </w:r>
      <w:r w:rsidRPr="00C7415B">
        <w:t>se</w:t>
      </w:r>
      <w:r w:rsidRPr="004349FB">
        <w:rPr>
          <w:i/>
          <w:iCs/>
        </w:rPr>
        <w:t xml:space="preserve"> </w:t>
      </w:r>
      <w:r w:rsidR="00C7415B">
        <w:rPr>
          <w:i/>
          <w:iCs/>
        </w:rPr>
        <w:t>emprende</w:t>
      </w:r>
      <w:r>
        <w:t xml:space="preserve"> con una de las siguientes afirmaciones: "Rechazo un techo" o "Emprendo la práctica del habitante </w:t>
      </w:r>
      <w:r w:rsidR="004C161C">
        <w:t>sobre</w:t>
      </w:r>
      <w:r>
        <w:t xml:space="preserve"> las raíces de los árboles".</w:t>
      </w:r>
    </w:p>
    <w:p w14:paraId="1AA978C7" w14:textId="18E86F05" w:rsidR="00961E53" w:rsidRDefault="00961E53" w:rsidP="00A73AB0">
      <w:pPr>
        <w:pStyle w:val="NormalConSangria"/>
        <w:spacing w:after="60"/>
      </w:pPr>
      <w:r>
        <w:t xml:space="preserve">El habitante </w:t>
      </w:r>
      <w:r w:rsidR="004C161C" w:rsidRPr="004C161C">
        <w:t xml:space="preserve">sobre </w:t>
      </w:r>
      <w:r>
        <w:t xml:space="preserve">la raíz del árbol debe evitar árboles como </w:t>
      </w:r>
      <w:r w:rsidR="006F1B1A">
        <w:t>aquél</w:t>
      </w:r>
      <w:r>
        <w:t xml:space="preserve"> cerca de una frontera, </w:t>
      </w:r>
      <w:r w:rsidR="006F1B1A">
        <w:t>el</w:t>
      </w:r>
      <w:r>
        <w:t xml:space="preserve"> árbol de </w:t>
      </w:r>
      <w:r w:rsidR="006F1B1A">
        <w:t xml:space="preserve">un </w:t>
      </w:r>
      <w:r>
        <w:t xml:space="preserve">santuario, </w:t>
      </w:r>
      <w:r w:rsidR="006F1B1A">
        <w:t xml:space="preserve">el </w:t>
      </w:r>
      <w:r>
        <w:t xml:space="preserve">árbol de goma, </w:t>
      </w:r>
      <w:r w:rsidR="006F1B1A">
        <w:t xml:space="preserve">el </w:t>
      </w:r>
      <w:r>
        <w:t xml:space="preserve">árbol frutal, </w:t>
      </w:r>
      <w:r w:rsidR="006F1B1A">
        <w:t xml:space="preserve">el </w:t>
      </w:r>
      <w:r>
        <w:t xml:space="preserve">árbol de murciélagos, </w:t>
      </w:r>
      <w:r w:rsidR="006F1B1A">
        <w:t xml:space="preserve">el </w:t>
      </w:r>
      <w:r>
        <w:t xml:space="preserve">árbol hueco o </w:t>
      </w:r>
      <w:r w:rsidR="006F1B1A">
        <w:t xml:space="preserve">el </w:t>
      </w:r>
      <w:r>
        <w:t>árbol que se encuentr</w:t>
      </w:r>
      <w:r w:rsidR="006F1B1A">
        <w:t>e</w:t>
      </w:r>
      <w:r>
        <w:t xml:space="preserve"> en medio de un monasterio. </w:t>
      </w:r>
      <w:r w:rsidR="00185A32">
        <w:t xml:space="preserve">Podrá </w:t>
      </w:r>
      <w:r>
        <w:t>elegir un árbol que se encuentr</w:t>
      </w:r>
      <w:r w:rsidR="006F1B1A">
        <w:t>e</w:t>
      </w:r>
      <w:r>
        <w:t xml:space="preserve"> en las afueras de un monasterio. </w:t>
      </w:r>
      <w:r w:rsidR="006F1B1A">
        <w:t>É</w:t>
      </w:r>
      <w:r>
        <w:t xml:space="preserve">stas son las </w:t>
      </w:r>
      <w:r w:rsidR="006F1B1A">
        <w:rPr>
          <w:i/>
          <w:iCs/>
        </w:rPr>
        <w:t xml:space="preserve">indicaciones </w:t>
      </w:r>
      <w:r w:rsidR="006F1B1A" w:rsidRPr="00AA0640">
        <w:t>al respecto</w:t>
      </w:r>
      <w:r>
        <w:t>.</w:t>
      </w:r>
    </w:p>
    <w:p w14:paraId="7F432248" w14:textId="54F39E94" w:rsidR="00A73AB0" w:rsidRDefault="00961E53" w:rsidP="00A73AB0">
      <w:r>
        <w:t xml:space="preserve">57. </w:t>
      </w:r>
      <w:r>
        <w:tab/>
        <w:t xml:space="preserve">Esto también tiene tres </w:t>
      </w:r>
      <w:r w:rsidRPr="00AA0640">
        <w:rPr>
          <w:i/>
          <w:iCs/>
        </w:rPr>
        <w:t>grados</w:t>
      </w:r>
      <w:r>
        <w:t xml:space="preserve">. </w:t>
      </w:r>
      <w:r w:rsidR="00AA0640">
        <w:t>Al respecto</w:t>
      </w:r>
      <w:r>
        <w:t>, a quien s</w:t>
      </w:r>
      <w:r w:rsidR="00AA0640">
        <w:t>ea</w:t>
      </w:r>
      <w:r>
        <w:t xml:space="preserve"> estricto no se le permite tener un árbol que ha</w:t>
      </w:r>
      <w:r w:rsidR="00AA0640">
        <w:t>ya</w:t>
      </w:r>
      <w:r>
        <w:t xml:space="preserve"> elegido</w:t>
      </w:r>
      <w:r w:rsidR="00C11A13">
        <w:t xml:space="preserve"> y arreglado</w:t>
      </w:r>
      <w:r>
        <w:t xml:space="preserve">. </w:t>
      </w:r>
      <w:r w:rsidR="00A66B92">
        <w:t>Podrá re</w:t>
      </w:r>
      <w:r>
        <w:t>mover las hojas caídas con su pie mientras habit</w:t>
      </w:r>
      <w:r w:rsidR="00C11A13">
        <w:t>e</w:t>
      </w:r>
      <w:r>
        <w:t xml:space="preserve"> allí. Al </w:t>
      </w:r>
      <w:r w:rsidR="00C11A13">
        <w:t>intermedio</w:t>
      </w:r>
      <w:r>
        <w:t xml:space="preserve"> se le permit</w:t>
      </w:r>
      <w:r w:rsidR="00A66B92">
        <w:t>irá</w:t>
      </w:r>
      <w:r>
        <w:t xml:space="preserve"> que lo arreglen los que ven</w:t>
      </w:r>
      <w:r w:rsidR="00CE4AD4">
        <w:t>ga</w:t>
      </w:r>
      <w:r>
        <w:t xml:space="preserve">n por casualidad. El </w:t>
      </w:r>
      <w:r w:rsidR="00CE4AD4">
        <w:t xml:space="preserve">moderado </w:t>
      </w:r>
      <w:r>
        <w:t xml:space="preserve">puede instalarse allí después de convocar a los asistentes del monasterio y novicios y hacer que lo limpien, lo nivelen, </w:t>
      </w:r>
      <w:r w:rsidR="00CE4AD4">
        <w:t xml:space="preserve">le pongan </w:t>
      </w:r>
      <w:r>
        <w:t xml:space="preserve">arena y hagan una cerca alrededor con una puerta fijada en ella. En un día especial, un habitante </w:t>
      </w:r>
      <w:r w:rsidR="00CE4AD4">
        <w:t xml:space="preserve">sobre </w:t>
      </w:r>
      <w:r>
        <w:t>la raíz de</w:t>
      </w:r>
      <w:r w:rsidR="00CE4AD4">
        <w:t xml:space="preserve"> un</w:t>
      </w:r>
      <w:r>
        <w:t xml:space="preserve"> árbol debe sentarse en algún </w:t>
      </w:r>
      <w:r w:rsidR="00CA71D3">
        <w:t xml:space="preserve">otro </w:t>
      </w:r>
      <w:r>
        <w:t xml:space="preserve">lugar oculto en </w:t>
      </w:r>
      <w:r w:rsidR="00CA71D3">
        <w:t>vez de dicho lugar</w:t>
      </w:r>
      <w:r>
        <w:t>.</w:t>
      </w:r>
      <w:r w:rsidR="00A73AB0">
        <w:br w:type="page"/>
      </w:r>
    </w:p>
    <w:p w14:paraId="7D287FFA" w14:textId="16023D1E" w:rsidR="00A50960" w:rsidRDefault="00A50960" w:rsidP="00A50960">
      <w:pPr>
        <w:pStyle w:val="NormalConSangria"/>
      </w:pPr>
      <w:r>
        <w:lastRenderedPageBreak/>
        <w:t xml:space="preserve">En el momento en que cualquiera de estos tres </w:t>
      </w:r>
      <w:r w:rsidR="00CA71D3">
        <w:t>tenga</w:t>
      </w:r>
      <w:r>
        <w:t xml:space="preserve"> su </w:t>
      </w:r>
      <w:r w:rsidR="00CA71D3">
        <w:t xml:space="preserve">vivienda </w:t>
      </w:r>
      <w:r>
        <w:t xml:space="preserve">bajo un techo, su práctica </w:t>
      </w:r>
      <w:r w:rsidR="00656CF3">
        <w:t>asceta</w:t>
      </w:r>
      <w:r>
        <w:t xml:space="preserve"> se rompe</w:t>
      </w:r>
      <w:r w:rsidR="00CA71D3">
        <w:t>rá</w:t>
      </w:r>
      <w:r>
        <w:t xml:space="preserve">. Los recitadores del </w:t>
      </w:r>
      <w:proofErr w:type="spellStart"/>
      <w:r w:rsidRPr="004349FB">
        <w:rPr>
          <w:i/>
          <w:iCs/>
        </w:rPr>
        <w:t>Aṅguttara</w:t>
      </w:r>
      <w:proofErr w:type="spellEnd"/>
      <w:r>
        <w:t xml:space="preserve"> dicen que se rompe</w:t>
      </w:r>
      <w:r w:rsidR="00CA71D3">
        <w:t>rá</w:t>
      </w:r>
      <w:r>
        <w:t xml:space="preserve"> tan pronto como</w:t>
      </w:r>
      <w:r w:rsidR="00835A29">
        <w:t xml:space="preserve"> el </w:t>
      </w:r>
      <w:proofErr w:type="spellStart"/>
      <w:r w:rsidR="00835A29">
        <w:rPr>
          <w:i/>
          <w:iCs/>
        </w:rPr>
        <w:t>bhikkhu</w:t>
      </w:r>
      <w:proofErr w:type="spellEnd"/>
      <w:r>
        <w:t xml:space="preserve">, </w:t>
      </w:r>
      <w:r w:rsidR="00835A29">
        <w:t>conscientemente,</w:t>
      </w:r>
      <w:r>
        <w:t xml:space="preserve"> se encuentra con el amanecer bajo un techo. </w:t>
      </w:r>
      <w:r w:rsidR="00CF1C44">
        <w:t>É</w:t>
      </w:r>
      <w:r>
        <w:t xml:space="preserve">ste </w:t>
      </w:r>
      <w:r w:rsidR="00D23227">
        <w:t>será</w:t>
      </w:r>
      <w:r>
        <w:t xml:space="preserve"> el </w:t>
      </w:r>
      <w:r w:rsidRPr="00CF1C44">
        <w:rPr>
          <w:i/>
          <w:iCs/>
        </w:rPr>
        <w:t>incumplimiento</w:t>
      </w:r>
      <w:r>
        <w:t xml:space="preserve"> en este caso.</w:t>
      </w:r>
    </w:p>
    <w:p w14:paraId="15C2917C" w14:textId="1AA93BF6" w:rsidR="00A50960" w:rsidRDefault="00A50960" w:rsidP="00A50960">
      <w:r>
        <w:t xml:space="preserve">58. </w:t>
      </w:r>
      <w:r>
        <w:tab/>
        <w:t xml:space="preserve">Los </w:t>
      </w:r>
      <w:r w:rsidRPr="004349FB">
        <w:rPr>
          <w:i/>
          <w:iCs/>
        </w:rPr>
        <w:t>beneficios</w:t>
      </w:r>
      <w:r>
        <w:t xml:space="preserve"> son estos. Él practica conforme </w:t>
      </w:r>
      <w:r w:rsidR="003242BF">
        <w:t xml:space="preserve">y </w:t>
      </w:r>
      <w:r w:rsidR="00D45AED">
        <w:t>en</w:t>
      </w:r>
      <w:r>
        <w:t xml:space="preserve"> dependencia </w:t>
      </w:r>
      <w:r w:rsidR="00D45AED">
        <w:t>a</w:t>
      </w:r>
      <w:r>
        <w:t xml:space="preserve"> las palabras “La </w:t>
      </w:r>
      <w:r w:rsidR="00CF1C44">
        <w:t>ordenación</w:t>
      </w:r>
      <w:r>
        <w:t xml:space="preserve"> dependien</w:t>
      </w:r>
      <w:r w:rsidR="00CF1C44">
        <w:t>te</w:t>
      </w:r>
      <w:r>
        <w:t xml:space="preserve"> </w:t>
      </w:r>
      <w:r w:rsidR="00D45AED">
        <w:t xml:space="preserve">de una vivienda </w:t>
      </w:r>
      <w:r w:rsidR="003242BF">
        <w:t xml:space="preserve">sobre </w:t>
      </w:r>
      <w:r>
        <w:t xml:space="preserve">la raíz </w:t>
      </w:r>
      <w:r w:rsidR="003242BF">
        <w:t xml:space="preserve">de </w:t>
      </w:r>
      <w:r>
        <w:t>un árbol” (</w:t>
      </w:r>
      <w:proofErr w:type="spellStart"/>
      <w:r>
        <w:t>Vin</w:t>
      </w:r>
      <w:proofErr w:type="spellEnd"/>
      <w:r>
        <w:t xml:space="preserve"> I 58, 96); es un requisito recomendado por el Bienaventurado </w:t>
      </w:r>
      <w:r w:rsidR="003242BF">
        <w:t>de la siguiente manera</w:t>
      </w:r>
      <w:r>
        <w:t xml:space="preserve"> “Sin valor, fácil de conseguir e intachable” (A II 26); la percepción de la impermanencia se despierta al ver la alteración continua de las hojas jóvenes; </w:t>
      </w:r>
      <w:r w:rsidR="003242BF">
        <w:t xml:space="preserve">se encuentran ausentes </w:t>
      </w:r>
      <w:r>
        <w:t xml:space="preserve">la </w:t>
      </w:r>
      <w:r w:rsidR="00026A58">
        <w:t xml:space="preserve">codicia </w:t>
      </w:r>
      <w:r>
        <w:t xml:space="preserve">por las </w:t>
      </w:r>
      <w:r w:rsidR="00026A58">
        <w:t xml:space="preserve">viviendas </w:t>
      </w:r>
      <w:r>
        <w:t>y el amor por trabaj</w:t>
      </w:r>
      <w:r w:rsidR="003242BF">
        <w:t>ar</w:t>
      </w:r>
      <w:r>
        <w:t xml:space="preserve"> [</w:t>
      </w:r>
      <w:r w:rsidR="003242BF">
        <w:t>en</w:t>
      </w:r>
      <w:r>
        <w:t xml:space="preserve"> </w:t>
      </w:r>
      <w:r w:rsidR="00683B86">
        <w:t xml:space="preserve">una </w:t>
      </w:r>
      <w:r>
        <w:t>construcción</w:t>
      </w:r>
      <w:r w:rsidR="003242BF">
        <w:t xml:space="preserve"> de ella</w:t>
      </w:r>
      <w:r>
        <w:t xml:space="preserve">]; habita en compañía de deidades; vive </w:t>
      </w:r>
      <w:r w:rsidR="00683B86">
        <w:t xml:space="preserve">en </w:t>
      </w:r>
      <w:r>
        <w:t>conformidad con [los principios de] la escasez de deseos,</w:t>
      </w:r>
      <w:r w:rsidR="00683B86">
        <w:t>… etc</w:t>
      </w:r>
      <w:r>
        <w:t>.</w:t>
      </w:r>
    </w:p>
    <w:p w14:paraId="6453F8AB" w14:textId="1F2B9FF4" w:rsidR="00A50960" w:rsidRPr="008401FB" w:rsidRDefault="00A50960" w:rsidP="00A50960">
      <w:pPr>
        <w:pStyle w:val="VersoIngls01Sangria"/>
        <w:ind w:hanging="1416"/>
        <w:rPr>
          <w:sz w:val="16"/>
          <w:szCs w:val="20"/>
        </w:rPr>
      </w:pPr>
      <w:r>
        <w:t xml:space="preserve">59. </w:t>
      </w:r>
      <w:r>
        <w:tab/>
      </w:r>
      <w:r>
        <w:tab/>
      </w:r>
      <w:r w:rsidRPr="008401FB">
        <w:rPr>
          <w:sz w:val="16"/>
          <w:szCs w:val="20"/>
        </w:rPr>
        <w:t xml:space="preserve">El </w:t>
      </w:r>
      <w:r w:rsidR="00683B86">
        <w:rPr>
          <w:i/>
          <w:iCs/>
          <w:sz w:val="16"/>
          <w:szCs w:val="20"/>
        </w:rPr>
        <w:t xml:space="preserve">Bhagavā </w:t>
      </w:r>
      <w:r w:rsidRPr="008401FB">
        <w:rPr>
          <w:sz w:val="16"/>
          <w:szCs w:val="20"/>
        </w:rPr>
        <w:t>elogi</w:t>
      </w:r>
      <w:r w:rsidR="003057E8">
        <w:rPr>
          <w:sz w:val="16"/>
          <w:szCs w:val="20"/>
        </w:rPr>
        <w:t>aba</w:t>
      </w:r>
      <w:r w:rsidRPr="008401FB">
        <w:rPr>
          <w:sz w:val="16"/>
          <w:szCs w:val="20"/>
        </w:rPr>
        <w:t xml:space="preserve"> las raíces </w:t>
      </w:r>
      <w:r w:rsidR="003242BF">
        <w:rPr>
          <w:sz w:val="16"/>
          <w:szCs w:val="20"/>
        </w:rPr>
        <w:t>sobre</w:t>
      </w:r>
      <w:r w:rsidRPr="008401FB">
        <w:rPr>
          <w:sz w:val="16"/>
          <w:szCs w:val="20"/>
        </w:rPr>
        <w:t xml:space="preserve"> los árboles</w:t>
      </w:r>
    </w:p>
    <w:p w14:paraId="0477A1EC" w14:textId="77777777" w:rsidR="00A50960" w:rsidRPr="008401FB" w:rsidRDefault="00A50960" w:rsidP="00A50960">
      <w:pPr>
        <w:pStyle w:val="VersoIngls01Sangria"/>
        <w:rPr>
          <w:sz w:val="16"/>
          <w:szCs w:val="20"/>
        </w:rPr>
      </w:pPr>
      <w:r w:rsidRPr="008401FB">
        <w:rPr>
          <w:sz w:val="16"/>
          <w:szCs w:val="20"/>
        </w:rPr>
        <w:t>Como una de las dependencias (</w:t>
      </w:r>
      <w:proofErr w:type="spellStart"/>
      <w:r w:rsidRPr="008401FB">
        <w:rPr>
          <w:sz w:val="16"/>
          <w:szCs w:val="20"/>
        </w:rPr>
        <w:t>Vin</w:t>
      </w:r>
      <w:proofErr w:type="spellEnd"/>
      <w:r w:rsidRPr="008401FB">
        <w:rPr>
          <w:sz w:val="16"/>
          <w:szCs w:val="20"/>
        </w:rPr>
        <w:t xml:space="preserve"> I 58);</w:t>
      </w:r>
    </w:p>
    <w:p w14:paraId="7C8BA07D" w14:textId="4198568D" w:rsidR="00A50960" w:rsidRPr="008401FB" w:rsidRDefault="008C0F0F" w:rsidP="00A50960">
      <w:pPr>
        <w:pStyle w:val="VersoIngls01Sangria"/>
        <w:rPr>
          <w:sz w:val="16"/>
          <w:szCs w:val="20"/>
        </w:rPr>
      </w:pPr>
      <w:r>
        <w:rPr>
          <w:sz w:val="16"/>
          <w:szCs w:val="20"/>
        </w:rPr>
        <w:t>¿Aquél</w:t>
      </w:r>
      <w:r w:rsidR="00A50960" w:rsidRPr="008401FB">
        <w:rPr>
          <w:sz w:val="16"/>
          <w:szCs w:val="20"/>
        </w:rPr>
        <w:t xml:space="preserve"> que am</w:t>
      </w:r>
      <w:r w:rsidR="003057E8">
        <w:rPr>
          <w:sz w:val="16"/>
          <w:szCs w:val="20"/>
        </w:rPr>
        <w:t>e</w:t>
      </w:r>
      <w:r w:rsidR="00A50960" w:rsidRPr="008401FB">
        <w:rPr>
          <w:sz w:val="16"/>
          <w:szCs w:val="20"/>
        </w:rPr>
        <w:t xml:space="preserve"> la soledad</w:t>
      </w:r>
    </w:p>
    <w:p w14:paraId="1398DFBD" w14:textId="7E9B8132" w:rsidR="00A50960" w:rsidRPr="008401FB" w:rsidRDefault="008C0F0F" w:rsidP="00A50960">
      <w:pPr>
        <w:pStyle w:val="VersoIngls01Sangria"/>
        <w:spacing w:after="100"/>
        <w:ind w:left="1418"/>
        <w:rPr>
          <w:sz w:val="16"/>
          <w:szCs w:val="20"/>
        </w:rPr>
      </w:pPr>
      <w:r>
        <w:rPr>
          <w:sz w:val="16"/>
          <w:szCs w:val="20"/>
        </w:rPr>
        <w:t>Podr</w:t>
      </w:r>
      <w:r w:rsidR="003242BF">
        <w:rPr>
          <w:sz w:val="16"/>
          <w:szCs w:val="20"/>
        </w:rPr>
        <w:t>ía</w:t>
      </w:r>
      <w:r>
        <w:rPr>
          <w:sz w:val="16"/>
          <w:szCs w:val="20"/>
        </w:rPr>
        <w:t xml:space="preserve"> e</w:t>
      </w:r>
      <w:r w:rsidR="00A50960" w:rsidRPr="008401FB">
        <w:rPr>
          <w:sz w:val="16"/>
          <w:szCs w:val="20"/>
        </w:rPr>
        <w:t xml:space="preserve">ncontrar otra </w:t>
      </w:r>
      <w:r w:rsidR="001F2188">
        <w:rPr>
          <w:sz w:val="16"/>
          <w:szCs w:val="20"/>
        </w:rPr>
        <w:t>vivienda</w:t>
      </w:r>
      <w:r w:rsidR="00A50960" w:rsidRPr="008401FB">
        <w:rPr>
          <w:sz w:val="16"/>
          <w:szCs w:val="20"/>
        </w:rPr>
        <w:t xml:space="preserve"> así</w:t>
      </w:r>
      <w:r>
        <w:rPr>
          <w:sz w:val="16"/>
          <w:szCs w:val="20"/>
        </w:rPr>
        <w:t>?</w:t>
      </w:r>
    </w:p>
    <w:p w14:paraId="6ACC00BE" w14:textId="7DCC49F3" w:rsidR="00A50960" w:rsidRPr="008401FB" w:rsidRDefault="00A50960" w:rsidP="00A50960">
      <w:pPr>
        <w:pStyle w:val="VersoIngls01Sangria"/>
        <w:rPr>
          <w:sz w:val="16"/>
          <w:szCs w:val="20"/>
        </w:rPr>
      </w:pPr>
      <w:r w:rsidRPr="008401FB">
        <w:rPr>
          <w:sz w:val="16"/>
          <w:szCs w:val="20"/>
        </w:rPr>
        <w:t xml:space="preserve">Aislado </w:t>
      </w:r>
      <w:r w:rsidR="001F2188">
        <w:rPr>
          <w:sz w:val="16"/>
          <w:szCs w:val="20"/>
        </w:rPr>
        <w:t>sobre</w:t>
      </w:r>
      <w:r w:rsidRPr="008401FB">
        <w:rPr>
          <w:sz w:val="16"/>
          <w:szCs w:val="20"/>
        </w:rPr>
        <w:t xml:space="preserve"> las raíces de los árboles</w:t>
      </w:r>
    </w:p>
    <w:p w14:paraId="2F4563DF" w14:textId="77777777" w:rsidR="00A50960" w:rsidRPr="008401FB" w:rsidRDefault="00A50960" w:rsidP="00A50960">
      <w:pPr>
        <w:pStyle w:val="VersoIngls01Sangria"/>
        <w:rPr>
          <w:sz w:val="16"/>
          <w:szCs w:val="20"/>
        </w:rPr>
      </w:pPr>
      <w:r w:rsidRPr="008401FB">
        <w:rPr>
          <w:sz w:val="16"/>
          <w:szCs w:val="20"/>
        </w:rPr>
        <w:t>Y bien custodiado por deidades</w:t>
      </w:r>
    </w:p>
    <w:p w14:paraId="14153CC1" w14:textId="3FC1D4B7" w:rsidR="00A50960" w:rsidRPr="008401FB" w:rsidRDefault="000031DF" w:rsidP="00A50960">
      <w:pPr>
        <w:pStyle w:val="VersoIngls01Sangria"/>
        <w:rPr>
          <w:sz w:val="16"/>
          <w:szCs w:val="20"/>
        </w:rPr>
      </w:pPr>
      <w:r>
        <w:rPr>
          <w:sz w:val="16"/>
          <w:szCs w:val="20"/>
        </w:rPr>
        <w:t>Habita con</w:t>
      </w:r>
      <w:r w:rsidR="00A50960" w:rsidRPr="008401FB">
        <w:rPr>
          <w:sz w:val="16"/>
          <w:szCs w:val="20"/>
        </w:rPr>
        <w:t xml:space="preserve"> verdadera devoción</w:t>
      </w:r>
    </w:p>
    <w:p w14:paraId="0DC86A52" w14:textId="6A94583E" w:rsidR="00A50960" w:rsidRPr="008401FB" w:rsidRDefault="000031DF" w:rsidP="00A50960">
      <w:pPr>
        <w:pStyle w:val="VersoIngls01Sangria"/>
        <w:spacing w:after="100"/>
        <w:ind w:left="1418"/>
        <w:rPr>
          <w:sz w:val="16"/>
          <w:szCs w:val="20"/>
        </w:rPr>
      </w:pPr>
      <w:r>
        <w:rPr>
          <w:sz w:val="16"/>
          <w:szCs w:val="20"/>
        </w:rPr>
        <w:t xml:space="preserve">Sin </w:t>
      </w:r>
      <w:r w:rsidR="00A50960" w:rsidRPr="008401FB">
        <w:rPr>
          <w:sz w:val="16"/>
          <w:szCs w:val="20"/>
        </w:rPr>
        <w:t xml:space="preserve">codicia </w:t>
      </w:r>
      <w:r>
        <w:rPr>
          <w:sz w:val="16"/>
          <w:szCs w:val="20"/>
        </w:rPr>
        <w:t xml:space="preserve">hacia </w:t>
      </w:r>
      <w:r w:rsidR="00A50960" w:rsidRPr="008401FB">
        <w:rPr>
          <w:sz w:val="16"/>
          <w:szCs w:val="20"/>
        </w:rPr>
        <w:t xml:space="preserve">ninguna </w:t>
      </w:r>
      <w:r>
        <w:rPr>
          <w:sz w:val="16"/>
          <w:szCs w:val="20"/>
        </w:rPr>
        <w:t>vivienda</w:t>
      </w:r>
      <w:r w:rsidR="00A50960" w:rsidRPr="008401FB">
        <w:rPr>
          <w:sz w:val="16"/>
          <w:szCs w:val="20"/>
        </w:rPr>
        <w:t>. [75]</w:t>
      </w:r>
    </w:p>
    <w:p w14:paraId="5CA373B9" w14:textId="77777777" w:rsidR="00A50960" w:rsidRPr="008401FB" w:rsidRDefault="00A50960" w:rsidP="00A50960">
      <w:pPr>
        <w:pStyle w:val="VersoIngls01Sangria"/>
        <w:rPr>
          <w:sz w:val="16"/>
          <w:szCs w:val="20"/>
        </w:rPr>
      </w:pPr>
      <w:r w:rsidRPr="008401FB">
        <w:rPr>
          <w:sz w:val="16"/>
          <w:szCs w:val="20"/>
        </w:rPr>
        <w:t>Y cuando se ven las hojas tiernas</w:t>
      </w:r>
    </w:p>
    <w:p w14:paraId="059B794C" w14:textId="1F9AE2E2" w:rsidR="00A50960" w:rsidRPr="008401FB" w:rsidRDefault="00A50960" w:rsidP="00A50960">
      <w:pPr>
        <w:pStyle w:val="VersoIngls01Sangria"/>
        <w:rPr>
          <w:sz w:val="16"/>
          <w:szCs w:val="20"/>
        </w:rPr>
      </w:pPr>
      <w:r w:rsidRPr="008401FB">
        <w:rPr>
          <w:sz w:val="16"/>
          <w:szCs w:val="20"/>
        </w:rPr>
        <w:t>Roj</w:t>
      </w:r>
      <w:r w:rsidR="001F2188">
        <w:rPr>
          <w:sz w:val="16"/>
          <w:szCs w:val="20"/>
        </w:rPr>
        <w:t>as</w:t>
      </w:r>
      <w:r w:rsidRPr="008401FB">
        <w:rPr>
          <w:sz w:val="16"/>
          <w:szCs w:val="20"/>
        </w:rPr>
        <w:t xml:space="preserve"> brillante</w:t>
      </w:r>
      <w:r w:rsidR="001F2188">
        <w:rPr>
          <w:sz w:val="16"/>
          <w:szCs w:val="20"/>
        </w:rPr>
        <w:t>s</w:t>
      </w:r>
      <w:r w:rsidRPr="008401FB">
        <w:rPr>
          <w:sz w:val="16"/>
          <w:szCs w:val="20"/>
        </w:rPr>
        <w:t xml:space="preserve"> al principio, luego verde</w:t>
      </w:r>
      <w:r w:rsidR="001F2188">
        <w:rPr>
          <w:sz w:val="16"/>
          <w:szCs w:val="20"/>
        </w:rPr>
        <w:t>s</w:t>
      </w:r>
      <w:r w:rsidRPr="008401FB">
        <w:rPr>
          <w:sz w:val="16"/>
          <w:szCs w:val="20"/>
        </w:rPr>
        <w:t>,</w:t>
      </w:r>
    </w:p>
    <w:p w14:paraId="3888FA1A" w14:textId="13FEB5FF" w:rsidR="00A50960" w:rsidRPr="008401FB" w:rsidRDefault="00A50960" w:rsidP="00A50960">
      <w:pPr>
        <w:pStyle w:val="VersoIngls01Sangria"/>
        <w:rPr>
          <w:sz w:val="16"/>
          <w:szCs w:val="20"/>
        </w:rPr>
      </w:pPr>
      <w:r w:rsidRPr="008401FB">
        <w:rPr>
          <w:sz w:val="16"/>
          <w:szCs w:val="20"/>
        </w:rPr>
        <w:t>Y luego a amarill</w:t>
      </w:r>
      <w:r w:rsidR="00944B36">
        <w:rPr>
          <w:sz w:val="16"/>
          <w:szCs w:val="20"/>
        </w:rPr>
        <w:t>a</w:t>
      </w:r>
      <w:r w:rsidR="001F2188">
        <w:rPr>
          <w:sz w:val="16"/>
          <w:szCs w:val="20"/>
        </w:rPr>
        <w:t>s</w:t>
      </w:r>
      <w:r w:rsidRPr="008401FB">
        <w:rPr>
          <w:sz w:val="16"/>
          <w:szCs w:val="20"/>
        </w:rPr>
        <w:t xml:space="preserve"> a medida que caen,</w:t>
      </w:r>
    </w:p>
    <w:p w14:paraId="79EF98B3" w14:textId="77777777" w:rsidR="00A50960" w:rsidRPr="008401FB" w:rsidRDefault="00A50960" w:rsidP="00A50960">
      <w:pPr>
        <w:pStyle w:val="VersoIngls01Sangria"/>
        <w:spacing w:after="100"/>
        <w:ind w:left="1418"/>
        <w:rPr>
          <w:sz w:val="16"/>
          <w:szCs w:val="20"/>
        </w:rPr>
      </w:pPr>
      <w:r w:rsidRPr="008401FB">
        <w:rPr>
          <w:sz w:val="16"/>
          <w:szCs w:val="20"/>
        </w:rPr>
        <w:t>Él arroja la creencia de una vez por todas</w:t>
      </w:r>
    </w:p>
    <w:p w14:paraId="77C20263" w14:textId="37F7CE3E" w:rsidR="00A50960" w:rsidRPr="008401FB" w:rsidRDefault="00A50960" w:rsidP="00A50960">
      <w:pPr>
        <w:pStyle w:val="VersoIngls01Sangria"/>
        <w:rPr>
          <w:sz w:val="16"/>
          <w:szCs w:val="20"/>
        </w:rPr>
      </w:pPr>
      <w:r w:rsidRPr="008401FB">
        <w:rPr>
          <w:sz w:val="16"/>
          <w:szCs w:val="20"/>
        </w:rPr>
        <w:t xml:space="preserve">En </w:t>
      </w:r>
      <w:r w:rsidR="00944B36">
        <w:rPr>
          <w:sz w:val="16"/>
          <w:szCs w:val="20"/>
        </w:rPr>
        <w:t xml:space="preserve">la </w:t>
      </w:r>
      <w:r w:rsidRPr="008401FB">
        <w:rPr>
          <w:sz w:val="16"/>
          <w:szCs w:val="20"/>
        </w:rPr>
        <w:t>permanencia. Las raíces de los árboles ha</w:t>
      </w:r>
      <w:r w:rsidR="00944B36">
        <w:rPr>
          <w:sz w:val="16"/>
          <w:szCs w:val="20"/>
        </w:rPr>
        <w:t>brá</w:t>
      </w:r>
      <w:r w:rsidRPr="008401FB">
        <w:rPr>
          <w:sz w:val="16"/>
          <w:szCs w:val="20"/>
        </w:rPr>
        <w:t>n sido</w:t>
      </w:r>
    </w:p>
    <w:p w14:paraId="68E27770" w14:textId="052B1A02" w:rsidR="00A50960" w:rsidRPr="008401FB" w:rsidRDefault="00944B36" w:rsidP="00A50960">
      <w:pPr>
        <w:pStyle w:val="VersoIngls01Sangria"/>
        <w:rPr>
          <w:sz w:val="16"/>
          <w:szCs w:val="20"/>
        </w:rPr>
      </w:pPr>
      <w:r>
        <w:rPr>
          <w:sz w:val="16"/>
          <w:szCs w:val="20"/>
        </w:rPr>
        <w:t>Un l</w:t>
      </w:r>
      <w:r w:rsidR="00A50960" w:rsidRPr="008401FB">
        <w:rPr>
          <w:sz w:val="16"/>
          <w:szCs w:val="20"/>
        </w:rPr>
        <w:t>egado p</w:t>
      </w:r>
      <w:r>
        <w:rPr>
          <w:sz w:val="16"/>
          <w:szCs w:val="20"/>
        </w:rPr>
        <w:t>a</w:t>
      </w:r>
      <w:r w:rsidR="00A50960" w:rsidRPr="008401FB">
        <w:rPr>
          <w:sz w:val="16"/>
          <w:szCs w:val="20"/>
        </w:rPr>
        <w:t>r</w:t>
      </w:r>
      <w:r>
        <w:rPr>
          <w:sz w:val="16"/>
          <w:szCs w:val="20"/>
        </w:rPr>
        <w:t>a</w:t>
      </w:r>
      <w:r w:rsidR="00A50960" w:rsidRPr="008401FB">
        <w:rPr>
          <w:sz w:val="16"/>
          <w:szCs w:val="20"/>
        </w:rPr>
        <w:t xml:space="preserve"> él; </w:t>
      </w:r>
      <w:proofErr w:type="gramStart"/>
      <w:r w:rsidR="008F1E40">
        <w:rPr>
          <w:sz w:val="16"/>
          <w:szCs w:val="20"/>
        </w:rPr>
        <w:t xml:space="preserve">un </w:t>
      </w:r>
      <w:r w:rsidR="00A50960" w:rsidRPr="008401FB">
        <w:rPr>
          <w:sz w:val="16"/>
          <w:szCs w:val="20"/>
        </w:rPr>
        <w:t>escena aislada</w:t>
      </w:r>
      <w:proofErr w:type="gramEnd"/>
    </w:p>
    <w:p w14:paraId="530CFE0B" w14:textId="559DC1AD" w:rsidR="00A50960" w:rsidRPr="008401FB" w:rsidRDefault="008F1E40" w:rsidP="00A50960">
      <w:pPr>
        <w:pStyle w:val="VersoIngls01Sangria"/>
        <w:rPr>
          <w:sz w:val="16"/>
          <w:szCs w:val="20"/>
        </w:rPr>
      </w:pPr>
      <w:r>
        <w:rPr>
          <w:sz w:val="16"/>
          <w:szCs w:val="20"/>
        </w:rPr>
        <w:t>Que n</w:t>
      </w:r>
      <w:r w:rsidR="00A50960" w:rsidRPr="008401FB">
        <w:rPr>
          <w:sz w:val="16"/>
          <w:szCs w:val="20"/>
        </w:rPr>
        <w:t>ingún hombre sabio desdeñar</w:t>
      </w:r>
      <w:r w:rsidR="001F2188">
        <w:rPr>
          <w:sz w:val="16"/>
          <w:szCs w:val="20"/>
        </w:rPr>
        <w:t>ía</w:t>
      </w:r>
      <w:r w:rsidR="00A50960" w:rsidRPr="008401FB">
        <w:rPr>
          <w:sz w:val="16"/>
          <w:szCs w:val="20"/>
        </w:rPr>
        <w:t xml:space="preserve"> en absoluto</w:t>
      </w:r>
    </w:p>
    <w:p w14:paraId="347ADD97" w14:textId="0E57E0D3" w:rsidR="00A50960" w:rsidRPr="008401FB" w:rsidRDefault="00A50960" w:rsidP="00A50960">
      <w:pPr>
        <w:pStyle w:val="VersoIngls01Sangria"/>
        <w:spacing w:after="100"/>
        <w:ind w:left="1418"/>
        <w:rPr>
          <w:sz w:val="16"/>
          <w:szCs w:val="20"/>
        </w:rPr>
      </w:pPr>
      <w:r w:rsidRPr="008401FB">
        <w:rPr>
          <w:sz w:val="16"/>
          <w:szCs w:val="20"/>
        </w:rPr>
        <w:t xml:space="preserve">Para </w:t>
      </w:r>
      <w:r w:rsidR="008F1E40">
        <w:rPr>
          <w:sz w:val="16"/>
          <w:szCs w:val="20"/>
        </w:rPr>
        <w:t xml:space="preserve">la correspondiente </w:t>
      </w:r>
      <w:r w:rsidRPr="008401FB">
        <w:rPr>
          <w:sz w:val="16"/>
          <w:szCs w:val="20"/>
        </w:rPr>
        <w:t>contempla</w:t>
      </w:r>
      <w:r w:rsidR="008F1E40">
        <w:rPr>
          <w:sz w:val="16"/>
          <w:szCs w:val="20"/>
        </w:rPr>
        <w:t>ción</w:t>
      </w:r>
      <w:r w:rsidRPr="008401FB">
        <w:rPr>
          <w:sz w:val="16"/>
          <w:szCs w:val="20"/>
        </w:rPr>
        <w:t xml:space="preserve"> [</w:t>
      </w:r>
      <w:r w:rsidR="008F1E40">
        <w:rPr>
          <w:sz w:val="16"/>
          <w:szCs w:val="20"/>
        </w:rPr>
        <w:t xml:space="preserve">de </w:t>
      </w:r>
      <w:r w:rsidR="00B829C0">
        <w:rPr>
          <w:sz w:val="16"/>
          <w:szCs w:val="20"/>
        </w:rPr>
        <w:t>surgir</w:t>
      </w:r>
      <w:r w:rsidRPr="008401FB">
        <w:rPr>
          <w:sz w:val="16"/>
          <w:szCs w:val="20"/>
        </w:rPr>
        <w:t xml:space="preserve"> y </w:t>
      </w:r>
      <w:r w:rsidR="008F1E40">
        <w:rPr>
          <w:sz w:val="16"/>
          <w:szCs w:val="20"/>
        </w:rPr>
        <w:t>desaparecer</w:t>
      </w:r>
      <w:r w:rsidRPr="008401FB">
        <w:rPr>
          <w:sz w:val="16"/>
          <w:szCs w:val="20"/>
        </w:rPr>
        <w:t>].</w:t>
      </w:r>
    </w:p>
    <w:p w14:paraId="6893AB6A" w14:textId="56ECC7F4" w:rsidR="00A50960" w:rsidRDefault="00A50960" w:rsidP="00A50960">
      <w:pPr>
        <w:pStyle w:val="NormalConSangria"/>
      </w:pPr>
      <w:r>
        <w:t xml:space="preserve">Este es el comentario sobre </w:t>
      </w:r>
      <w:r w:rsidR="008F1E40">
        <w:t>el emprendimiento</w:t>
      </w:r>
      <w:r>
        <w:t xml:space="preserve">, las </w:t>
      </w:r>
      <w:r w:rsidR="008F1E40">
        <w:t>indicaciones</w:t>
      </w:r>
      <w:r>
        <w:t xml:space="preserve">, los grados, </w:t>
      </w:r>
      <w:r w:rsidR="008F1E40">
        <w:t xml:space="preserve">el incumplimiento </w:t>
      </w:r>
      <w:r>
        <w:t xml:space="preserve">y los beneficios, en el caso de la práctica del habitante </w:t>
      </w:r>
      <w:r w:rsidR="00B829C0">
        <w:t>sobre</w:t>
      </w:r>
      <w:r>
        <w:t xml:space="preserve"> la raíz de</w:t>
      </w:r>
      <w:r w:rsidR="00B829C0">
        <w:t xml:space="preserve"> un</w:t>
      </w:r>
      <w:r>
        <w:t xml:space="preserve"> árbol.</w:t>
      </w:r>
    </w:p>
    <w:p w14:paraId="0423FF3E" w14:textId="20066CFC" w:rsidR="00A50960" w:rsidRDefault="00A50960" w:rsidP="00A50960">
      <w:r>
        <w:t xml:space="preserve">60. </w:t>
      </w:r>
      <w:r>
        <w:tab/>
        <w:t xml:space="preserve">X. La </w:t>
      </w:r>
      <w:r w:rsidRPr="004349FB">
        <w:rPr>
          <w:i/>
          <w:iCs/>
        </w:rPr>
        <w:t xml:space="preserve">práctica del habitante </w:t>
      </w:r>
      <w:r w:rsidR="008F1E40">
        <w:rPr>
          <w:i/>
          <w:iCs/>
        </w:rPr>
        <w:t>a</w:t>
      </w:r>
      <w:r w:rsidRPr="004349FB">
        <w:rPr>
          <w:i/>
          <w:iCs/>
        </w:rPr>
        <w:t xml:space="preserve">l aire libre </w:t>
      </w:r>
      <w:r w:rsidRPr="00B829C0">
        <w:t>se</w:t>
      </w:r>
      <w:r w:rsidRPr="004349FB">
        <w:rPr>
          <w:i/>
          <w:iCs/>
        </w:rPr>
        <w:t xml:space="preserve"> </w:t>
      </w:r>
      <w:r w:rsidR="008F1E40">
        <w:rPr>
          <w:i/>
          <w:iCs/>
        </w:rPr>
        <w:t>emprende</w:t>
      </w:r>
      <w:r>
        <w:t xml:space="preserve"> con una de las siguientes afirmaciones: "Rechazo </w:t>
      </w:r>
      <w:r w:rsidR="000E6A9D">
        <w:t>cualquier</w:t>
      </w:r>
      <w:r>
        <w:t xml:space="preserve"> techo y la raíz de un árbol" o "</w:t>
      </w:r>
      <w:r w:rsidR="00367DBA">
        <w:t>Emprend</w:t>
      </w:r>
      <w:r w:rsidR="00B829C0">
        <w:t>o</w:t>
      </w:r>
      <w:r>
        <w:t xml:space="preserve"> la práctica del habitante </w:t>
      </w:r>
      <w:r w:rsidR="00367DBA">
        <w:t>a</w:t>
      </w:r>
      <w:r>
        <w:t>l aire libre".</w:t>
      </w:r>
    </w:p>
    <w:p w14:paraId="683FA01C" w14:textId="5ACDD56B" w:rsidR="000456FE" w:rsidRDefault="00A50960" w:rsidP="00A50960">
      <w:pPr>
        <w:pStyle w:val="NormalConSangria"/>
      </w:pPr>
      <w:r>
        <w:t xml:space="preserve">A un habitante </w:t>
      </w:r>
      <w:r w:rsidR="00367DBA">
        <w:t>a</w:t>
      </w:r>
      <w:r>
        <w:t xml:space="preserve">l aire libre se le permite ingresar a </w:t>
      </w:r>
      <w:r w:rsidR="00367DBA">
        <w:t>un</w:t>
      </w:r>
      <w:r>
        <w:t xml:space="preserve">a casa </w:t>
      </w:r>
      <w:proofErr w:type="spellStart"/>
      <w:r w:rsidR="00057BF4" w:rsidRPr="00057BF4">
        <w:rPr>
          <w:i/>
          <w:iCs/>
        </w:rPr>
        <w:t>Uposatha</w:t>
      </w:r>
      <w:proofErr w:type="spellEnd"/>
      <w:r>
        <w:t xml:space="preserve"> con el propósito de escuchar el </w:t>
      </w:r>
      <w:r w:rsidR="00057BF4" w:rsidRPr="00057BF4">
        <w:rPr>
          <w:i/>
          <w:iCs/>
        </w:rPr>
        <w:t>Dhamma</w:t>
      </w:r>
      <w:r>
        <w:t xml:space="preserve"> o con el propósito de </w:t>
      </w:r>
      <w:r w:rsidR="00367DBA">
        <w:t xml:space="preserve">pasar el </w:t>
      </w:r>
      <w:proofErr w:type="spellStart"/>
      <w:r w:rsidR="00057BF4" w:rsidRPr="00057BF4">
        <w:rPr>
          <w:i/>
          <w:iCs/>
        </w:rPr>
        <w:t>Uposatha</w:t>
      </w:r>
      <w:proofErr w:type="spellEnd"/>
      <w:r>
        <w:t>. Si llueve mientras est</w:t>
      </w:r>
      <w:r w:rsidR="00C00102">
        <w:t>é</w:t>
      </w:r>
      <w:r>
        <w:t xml:space="preserve"> adentro, </w:t>
      </w:r>
      <w:r w:rsidR="00C00102">
        <w:t xml:space="preserve">podrá </w:t>
      </w:r>
      <w:r>
        <w:t>salir cuando termine la lluvia en lugar de salir mientras todavía lluev</w:t>
      </w:r>
      <w:r w:rsidR="00C00102">
        <w:t>a</w:t>
      </w:r>
      <w:r>
        <w:t xml:space="preserve">. Se le permite entrar al comedor o a la sala de fuego para cumplir con los deberes, o ir bajo un techo para preguntar a los monjes mayores </w:t>
      </w:r>
      <w:r w:rsidR="000F4FFC">
        <w:t xml:space="preserve">sobre una comida </w:t>
      </w:r>
      <w:r>
        <w:t>en el comedor, o cuando enseñ</w:t>
      </w:r>
      <w:r w:rsidR="000F4FFC">
        <w:t>e</w:t>
      </w:r>
      <w:r>
        <w:t xml:space="preserve"> y tom</w:t>
      </w:r>
      <w:r w:rsidR="000F4FFC">
        <w:t>e</w:t>
      </w:r>
      <w:r>
        <w:t xml:space="preserve"> lecciones, o para </w:t>
      </w:r>
      <w:r w:rsidR="00A660D8">
        <w:t>llevar camas</w:t>
      </w:r>
      <w:r>
        <w:t xml:space="preserve">, sillas, etc., </w:t>
      </w:r>
      <w:r w:rsidR="00A660D8">
        <w:t>hacia e</w:t>
      </w:r>
      <w:r>
        <w:t>l interior que se ha</w:t>
      </w:r>
      <w:r w:rsidR="00A660D8">
        <w:t>ya</w:t>
      </w:r>
      <w:r>
        <w:t xml:space="preserve">n dejado fuera por error. Si va por un camino con </w:t>
      </w:r>
      <w:r w:rsidR="0010465B">
        <w:t>el</w:t>
      </w:r>
      <w:r>
        <w:t xml:space="preserve"> requisito </w:t>
      </w:r>
      <w:r w:rsidR="0010465B">
        <w:t xml:space="preserve">perteneciente a </w:t>
      </w:r>
      <w:r>
        <w:t xml:space="preserve">un adulto mayor y llueve, se le permite ir a una casa de descanso </w:t>
      </w:r>
      <w:r w:rsidR="00A660D8">
        <w:t xml:space="preserve">durante el trayecto en </w:t>
      </w:r>
      <w:r>
        <w:t xml:space="preserve">el camino. Si no tiene nada consigo, no se le permite apresurarse para llegar a una casa de descanso; pero puede </w:t>
      </w:r>
      <w:r w:rsidR="00C54768">
        <w:t>ir a un paso normal y entrar y</w:t>
      </w:r>
    </w:p>
    <w:p w14:paraId="2F42D0EA" w14:textId="77777777" w:rsidR="000456FE" w:rsidRDefault="000456FE">
      <w:pPr>
        <w:tabs>
          <w:tab w:val="clear" w:pos="425"/>
        </w:tabs>
        <w:spacing w:after="160"/>
      </w:pPr>
      <w:r>
        <w:br w:type="page"/>
      </w:r>
    </w:p>
    <w:p w14:paraId="7403990E" w14:textId="755202F1" w:rsidR="00A50960" w:rsidRDefault="00A50960" w:rsidP="000456FE">
      <w:r>
        <w:lastRenderedPageBreak/>
        <w:t xml:space="preserve">quedarse allí mientras llueva. Estas son las </w:t>
      </w:r>
      <w:r w:rsidRPr="0010465B">
        <w:rPr>
          <w:i/>
          <w:iCs/>
        </w:rPr>
        <w:t>indicaciones</w:t>
      </w:r>
      <w:r>
        <w:t xml:space="preserve"> para ello. Y la misma regla se aplica también al habitante </w:t>
      </w:r>
      <w:r w:rsidR="0010465B">
        <w:t>sobre</w:t>
      </w:r>
      <w:r>
        <w:t xml:space="preserve"> la raíz de</w:t>
      </w:r>
      <w:r w:rsidR="00B47D25">
        <w:t xml:space="preserve"> un</w:t>
      </w:r>
      <w:r>
        <w:t xml:space="preserve"> árbol.</w:t>
      </w:r>
    </w:p>
    <w:p w14:paraId="48FC7C48" w14:textId="1BD64EDE" w:rsidR="00D21A53" w:rsidRDefault="00A50960" w:rsidP="00A50960">
      <w:r>
        <w:t xml:space="preserve">61. </w:t>
      </w:r>
      <w:r>
        <w:tab/>
        <w:t xml:space="preserve">Esto también tiene tres </w:t>
      </w:r>
      <w:r w:rsidRPr="004349FB">
        <w:rPr>
          <w:i/>
          <w:iCs/>
        </w:rPr>
        <w:t>grados</w:t>
      </w:r>
      <w:r>
        <w:t>. Aquí, a quien s</w:t>
      </w:r>
      <w:r w:rsidR="0010465B">
        <w:t>ea</w:t>
      </w:r>
      <w:r>
        <w:t xml:space="preserve"> estricto no se le permit</w:t>
      </w:r>
      <w:r w:rsidR="00B47D25">
        <w:t>irá</w:t>
      </w:r>
      <w:r>
        <w:t xml:space="preserve"> vivir cerca de un árbol, una roca o una casa. Debe hacer una tienda de campaña al aire libre y vivir en ella. Al </w:t>
      </w:r>
      <w:r w:rsidR="0010465B">
        <w:t>intermedio</w:t>
      </w:r>
      <w:r>
        <w:t xml:space="preserve"> se le </w:t>
      </w:r>
      <w:r w:rsidR="00BA0D95">
        <w:t xml:space="preserve">permitirá </w:t>
      </w:r>
      <w:r>
        <w:t xml:space="preserve">vivir cerca de un árbol o una roca o una casa siempre que no esté cubierto por ellos. Al moderado se le </w:t>
      </w:r>
      <w:r w:rsidR="00955BBF">
        <w:t xml:space="preserve">permitirán </w:t>
      </w:r>
      <w:r>
        <w:t>estos: un voladizo [de roca] sin un borde de goteo cortado en él,</w:t>
      </w:r>
      <w:r w:rsidR="00346F97" w:rsidRPr="00346F97">
        <w:rPr>
          <w:vertAlign w:val="superscript"/>
        </w:rPr>
        <w:t>15</w:t>
      </w:r>
      <w:r w:rsidR="00346F97">
        <w:t xml:space="preserve"> </w:t>
      </w:r>
      <w:r w:rsidRPr="00346F97">
        <w:t>una</w:t>
      </w:r>
      <w:r>
        <w:t xml:space="preserve"> choza de ramas, tela endurecida con pasta, y una tienda tratada como accesorio que ha</w:t>
      </w:r>
      <w:r w:rsidR="00AF1EC4">
        <w:t>ya</w:t>
      </w:r>
      <w:r>
        <w:t xml:space="preserve"> sido dejada por los vigilantes del campo, </w:t>
      </w:r>
      <w:r w:rsidR="00AF1EC4">
        <w:t>…etc</w:t>
      </w:r>
      <w:r>
        <w:t>.</w:t>
      </w:r>
    </w:p>
    <w:p w14:paraId="213DFC62" w14:textId="72AA9FDA" w:rsidR="00D21A53" w:rsidRDefault="00D21A53" w:rsidP="00D21A53">
      <w:pPr>
        <w:pStyle w:val="NormalConSangria"/>
      </w:pPr>
      <w:r>
        <w:t xml:space="preserve">En el momento en que cualquiera de </w:t>
      </w:r>
      <w:proofErr w:type="gramStart"/>
      <w:r>
        <w:t>estos tres pas</w:t>
      </w:r>
      <w:r w:rsidR="00EE6396">
        <w:t>e</w:t>
      </w:r>
      <w:proofErr w:type="gramEnd"/>
      <w:r>
        <w:t xml:space="preserve"> </w:t>
      </w:r>
      <w:r w:rsidR="00EE6396">
        <w:t xml:space="preserve">la noche </w:t>
      </w:r>
      <w:r>
        <w:t>bajo un techo o</w:t>
      </w:r>
      <w:r w:rsidR="004349FB">
        <w:t xml:space="preserve"> </w:t>
      </w:r>
      <w:r w:rsidR="00111DAE">
        <w:t>sobre</w:t>
      </w:r>
      <w:r>
        <w:t xml:space="preserve"> la raíz de un árbol para morar allí, [76] su práctica </w:t>
      </w:r>
      <w:r w:rsidR="00656CF3">
        <w:t>asceta</w:t>
      </w:r>
      <w:r>
        <w:t xml:space="preserve"> se rompe</w:t>
      </w:r>
      <w:r w:rsidR="00EE6396">
        <w:t>rá</w:t>
      </w:r>
      <w:r>
        <w:t xml:space="preserve">. Los recitadores del </w:t>
      </w:r>
      <w:proofErr w:type="spellStart"/>
      <w:r w:rsidRPr="004349FB">
        <w:rPr>
          <w:i/>
          <w:iCs/>
        </w:rPr>
        <w:t>Aṅguttara</w:t>
      </w:r>
      <w:proofErr w:type="spellEnd"/>
      <w:r>
        <w:t xml:space="preserve"> dicen que se rompe</w:t>
      </w:r>
      <w:r w:rsidR="00EE6396">
        <w:t>rá</w:t>
      </w:r>
      <w:r>
        <w:t xml:space="preserve"> tan pronto como </w:t>
      </w:r>
      <w:r w:rsidR="00EE6396">
        <w:t xml:space="preserve">conscientemente </w:t>
      </w:r>
      <w:r>
        <w:t>se encuentr</w:t>
      </w:r>
      <w:r w:rsidR="00EE6396">
        <w:t>e</w:t>
      </w:r>
      <w:r>
        <w:t xml:space="preserve"> con el amanecer allí. </w:t>
      </w:r>
      <w:r w:rsidR="00EE6396">
        <w:t>É</w:t>
      </w:r>
      <w:r>
        <w:t xml:space="preserve">ste </w:t>
      </w:r>
      <w:r w:rsidR="00111DAE">
        <w:t>será</w:t>
      </w:r>
      <w:r>
        <w:t xml:space="preserve"> el </w:t>
      </w:r>
      <w:r w:rsidRPr="00EE6396">
        <w:rPr>
          <w:i/>
          <w:iCs/>
        </w:rPr>
        <w:t>incumplimiento</w:t>
      </w:r>
      <w:r>
        <w:t xml:space="preserve"> en este caso.</w:t>
      </w:r>
    </w:p>
    <w:p w14:paraId="6207FDFC" w14:textId="6BAFA29B" w:rsidR="00D21A53" w:rsidRDefault="00D21A53" w:rsidP="00D21A53">
      <w:r>
        <w:t xml:space="preserve">62. </w:t>
      </w:r>
      <w:r w:rsidR="00AF1EC4">
        <w:tab/>
      </w:r>
      <w:r>
        <w:t xml:space="preserve">Los </w:t>
      </w:r>
      <w:r w:rsidRPr="00EE6396">
        <w:rPr>
          <w:i/>
          <w:iCs/>
        </w:rPr>
        <w:t>beneficios</w:t>
      </w:r>
      <w:r>
        <w:t xml:space="preserve"> son estos: el impedimento de vivienda</w:t>
      </w:r>
      <w:r w:rsidR="00EA5080">
        <w:t xml:space="preserve"> se </w:t>
      </w:r>
      <w:r w:rsidR="00204F5B">
        <w:t>extiende</w:t>
      </w:r>
      <w:r>
        <w:t xml:space="preserve">; la rigidez y el letargo son expulsados; su conducta merece el </w:t>
      </w:r>
      <w:r w:rsidR="00532C50">
        <w:t xml:space="preserve">siguiente </w:t>
      </w:r>
      <w:r>
        <w:t>elogio</w:t>
      </w:r>
      <w:r w:rsidR="00532C50">
        <w:t>:</w:t>
      </w:r>
      <w:r>
        <w:t xml:space="preserve"> “Como ciervos, los </w:t>
      </w:r>
      <w:proofErr w:type="spellStart"/>
      <w:r w:rsidR="00057BF4" w:rsidRPr="00057BF4">
        <w:rPr>
          <w:i/>
          <w:iCs/>
        </w:rPr>
        <w:t>bhikkhu</w:t>
      </w:r>
      <w:r w:rsidRPr="004349FB">
        <w:rPr>
          <w:i/>
          <w:iCs/>
        </w:rPr>
        <w:t>s</w:t>
      </w:r>
      <w:proofErr w:type="spellEnd"/>
      <w:r>
        <w:t xml:space="preserve"> viven desapegados y sin hogar” (S I 199); </w:t>
      </w:r>
      <w:r w:rsidR="00532C50">
        <w:t xml:space="preserve">habita </w:t>
      </w:r>
      <w:r>
        <w:t xml:space="preserve">desapegado; él es libre de ir en cualquier dirección; vive </w:t>
      </w:r>
      <w:r w:rsidR="009E2875">
        <w:t>en</w:t>
      </w:r>
      <w:r>
        <w:t xml:space="preserve"> conformidad con los principios de la escasez de deseos,</w:t>
      </w:r>
      <w:r w:rsidR="009E2875" w:rsidRPr="009E2875">
        <w:t xml:space="preserve"> </w:t>
      </w:r>
      <w:r w:rsidR="009E2875">
        <w:t>…etc.</w:t>
      </w:r>
    </w:p>
    <w:p w14:paraId="67A7AA33" w14:textId="0BE4EB43" w:rsidR="00D21A53" w:rsidRDefault="00D21A53" w:rsidP="00D21A53">
      <w:pPr>
        <w:pStyle w:val="VersoIngls01Sangria"/>
        <w:ind w:hanging="1416"/>
      </w:pPr>
      <w:r>
        <w:t xml:space="preserve">63. </w:t>
      </w:r>
      <w:r>
        <w:tab/>
      </w:r>
      <w:r>
        <w:tab/>
        <w:t>El aire libre da vida</w:t>
      </w:r>
    </w:p>
    <w:p w14:paraId="263957D2" w14:textId="6EA900D0" w:rsidR="00D21A53" w:rsidRDefault="00D21A53" w:rsidP="00D21A53">
      <w:pPr>
        <w:pStyle w:val="VersoIngls01Sangria"/>
      </w:pPr>
      <w:r>
        <w:t xml:space="preserve">Eso ayuda a la lucha del </w:t>
      </w:r>
      <w:proofErr w:type="spellStart"/>
      <w:r w:rsidR="00057BF4" w:rsidRPr="00057BF4">
        <w:rPr>
          <w:i/>
          <w:iCs/>
        </w:rPr>
        <w:t>bhikkhu</w:t>
      </w:r>
      <w:proofErr w:type="spellEnd"/>
      <w:r>
        <w:t xml:space="preserve"> sin hogar,</w:t>
      </w:r>
    </w:p>
    <w:p w14:paraId="00EADF58" w14:textId="3B0C4D17" w:rsidR="00D21A53" w:rsidRDefault="00D21A53" w:rsidP="00D21A53">
      <w:pPr>
        <w:pStyle w:val="VersoIngls01Sangria"/>
      </w:pPr>
      <w:r>
        <w:t xml:space="preserve">Fácil de conseguir, y </w:t>
      </w:r>
      <w:r w:rsidR="005306BB">
        <w:t>al abandonar</w:t>
      </w:r>
      <w:r w:rsidR="00403547">
        <w:t xml:space="preserve"> </w:t>
      </w:r>
      <w:r>
        <w:t>su mente.</w:t>
      </w:r>
    </w:p>
    <w:p w14:paraId="4D86F475" w14:textId="62289CE6" w:rsidR="00D21A53" w:rsidRDefault="00D21A53" w:rsidP="00D21A53">
      <w:pPr>
        <w:pStyle w:val="VersoIngls01Sangria"/>
        <w:spacing w:after="100"/>
        <w:ind w:left="1418"/>
      </w:pPr>
      <w:r>
        <w:t xml:space="preserve">Alerta como un ciervo, así </w:t>
      </w:r>
      <w:r w:rsidR="000E7593">
        <w:t xml:space="preserve">se </w:t>
      </w:r>
      <w:r>
        <w:t>hallará</w:t>
      </w:r>
    </w:p>
    <w:p w14:paraId="4D5CFCE7" w14:textId="4D7CBFA1" w:rsidR="00D21A53" w:rsidRDefault="00D21A53" w:rsidP="00D21A53">
      <w:pPr>
        <w:pStyle w:val="VersoIngls01Sangria"/>
      </w:pPr>
      <w:r>
        <w:t xml:space="preserve">La rigidez y el letargo </w:t>
      </w:r>
      <w:r w:rsidR="008F3D74">
        <w:t xml:space="preserve">serán </w:t>
      </w:r>
      <w:r w:rsidR="00BA7B2E">
        <w:t>detenidas</w:t>
      </w:r>
      <w:r>
        <w:t>.</w:t>
      </w:r>
    </w:p>
    <w:p w14:paraId="035F0B67" w14:textId="1281E214" w:rsidR="00D21A53" w:rsidRDefault="00D21A53" w:rsidP="00D21A53">
      <w:pPr>
        <w:pStyle w:val="VersoIngls01Sangria"/>
      </w:pPr>
      <w:r>
        <w:t xml:space="preserve">Bajo la bóveda enjoyada de </w:t>
      </w:r>
      <w:r w:rsidR="008F3D74">
        <w:t xml:space="preserve">las </w:t>
      </w:r>
      <w:r>
        <w:t>estrellas</w:t>
      </w:r>
    </w:p>
    <w:p w14:paraId="70452DF4" w14:textId="451CD368" w:rsidR="00D21A53" w:rsidRDefault="00D21A53" w:rsidP="00D21A53">
      <w:pPr>
        <w:pStyle w:val="VersoIngls01Sangria"/>
      </w:pPr>
      <w:r>
        <w:t xml:space="preserve">La </w:t>
      </w:r>
      <w:r w:rsidR="00BA7B2E">
        <w:t xml:space="preserve">Luna </w:t>
      </w:r>
      <w:r>
        <w:t xml:space="preserve">y el </w:t>
      </w:r>
      <w:r w:rsidR="00BA7B2E">
        <w:t xml:space="preserve">Sol </w:t>
      </w:r>
      <w:r>
        <w:t>proporciona</w:t>
      </w:r>
      <w:r w:rsidR="008F3D74">
        <w:t>rá</w:t>
      </w:r>
      <w:r>
        <w:t>n su luz,</w:t>
      </w:r>
    </w:p>
    <w:p w14:paraId="2900EB0B" w14:textId="2B06B8E8" w:rsidR="00D21A53" w:rsidRDefault="00D21A53" w:rsidP="00D21A53">
      <w:pPr>
        <w:pStyle w:val="VersoIngls01Sangria"/>
        <w:spacing w:after="100"/>
        <w:ind w:left="1418"/>
      </w:pPr>
      <w:r>
        <w:t xml:space="preserve">Y la concentración su </w:t>
      </w:r>
      <w:r w:rsidR="00BA7B2E">
        <w:t>dicha</w:t>
      </w:r>
      <w:r>
        <w:t>.</w:t>
      </w:r>
    </w:p>
    <w:p w14:paraId="2345D326" w14:textId="04E61B56" w:rsidR="00D21A53" w:rsidRDefault="00D21A53" w:rsidP="00D21A53">
      <w:pPr>
        <w:pStyle w:val="VersoIngls01Sangria"/>
      </w:pPr>
      <w:r>
        <w:t xml:space="preserve">El sabor </w:t>
      </w:r>
      <w:r w:rsidR="00BA7B2E">
        <w:t xml:space="preserve">de la alegría </w:t>
      </w:r>
      <w:r>
        <w:t xml:space="preserve">de la reclusión </w:t>
      </w:r>
      <w:r w:rsidR="00170BC1">
        <w:t>que ofrece</w:t>
      </w:r>
    </w:p>
    <w:p w14:paraId="48C21D97" w14:textId="1F82F352" w:rsidR="00D21A53" w:rsidRDefault="00D21A53" w:rsidP="00D21A53">
      <w:pPr>
        <w:pStyle w:val="VersoIngls01Sangria"/>
      </w:pPr>
      <w:r>
        <w:t>Pronto descubrirá quién viv</w:t>
      </w:r>
      <w:r w:rsidR="00170BC1">
        <w:t>a</w:t>
      </w:r>
    </w:p>
    <w:p w14:paraId="59F5F9F4" w14:textId="2E0191A1" w:rsidR="00D21A53" w:rsidRDefault="00D21A53" w:rsidP="00D21A53">
      <w:pPr>
        <w:pStyle w:val="VersoIngls01Sangria"/>
      </w:pPr>
      <w:r>
        <w:t>al aire libre; y es por eso</w:t>
      </w:r>
      <w:r w:rsidR="00170BC1">
        <w:t xml:space="preserve"> </w:t>
      </w:r>
      <w:proofErr w:type="gramStart"/>
      <w:r w:rsidR="00170BC1">
        <w:t>que</w:t>
      </w:r>
      <w:proofErr w:type="gramEnd"/>
    </w:p>
    <w:p w14:paraId="4C82E626" w14:textId="77777777" w:rsidR="00D21A53" w:rsidRDefault="00D21A53" w:rsidP="00D21A53">
      <w:pPr>
        <w:pStyle w:val="VersoIngls01Sangria"/>
        <w:spacing w:after="100"/>
        <w:ind w:left="1418"/>
      </w:pPr>
      <w:r>
        <w:t>Los sabios prefieren el cielo abierto.</w:t>
      </w:r>
    </w:p>
    <w:p w14:paraId="54C417D8" w14:textId="32D2D407" w:rsidR="00D21A53" w:rsidRDefault="00D21A53" w:rsidP="00D21A53">
      <w:pPr>
        <w:pStyle w:val="NormalConSangria"/>
      </w:pPr>
      <w:r>
        <w:t xml:space="preserve">Este es el comentario sobre </w:t>
      </w:r>
      <w:r w:rsidR="00170BC1">
        <w:t xml:space="preserve">el emprendimiento, las indicaciones, los grados, el incumplimiento y los beneficios, </w:t>
      </w:r>
      <w:r>
        <w:t xml:space="preserve">en el caso de la práctica del habitante </w:t>
      </w:r>
      <w:r w:rsidR="00170BC1">
        <w:t>a</w:t>
      </w:r>
      <w:r>
        <w:t>l aire libre.</w:t>
      </w:r>
    </w:p>
    <w:p w14:paraId="01D3A3B9" w14:textId="3A4DDAFB" w:rsidR="00D21A53" w:rsidRDefault="00D21A53" w:rsidP="00D21A53">
      <w:r>
        <w:t xml:space="preserve">64. xi. La </w:t>
      </w:r>
      <w:r w:rsidRPr="004349FB">
        <w:rPr>
          <w:i/>
          <w:iCs/>
        </w:rPr>
        <w:t xml:space="preserve">práctica del habitante del cementerio </w:t>
      </w:r>
      <w:r w:rsidRPr="00DC0D08">
        <w:t>se</w:t>
      </w:r>
      <w:r w:rsidRPr="004349FB">
        <w:rPr>
          <w:i/>
          <w:iCs/>
        </w:rPr>
        <w:t xml:space="preserve"> </w:t>
      </w:r>
      <w:r w:rsidR="00DC0D08">
        <w:rPr>
          <w:i/>
          <w:iCs/>
        </w:rPr>
        <w:t>emprende</w:t>
      </w:r>
      <w:r>
        <w:t xml:space="preserve"> con una de las siguientes afirmaciones: "Rechazo lo que no s</w:t>
      </w:r>
      <w:r w:rsidR="00DC0D08">
        <w:t>ea</w:t>
      </w:r>
      <w:r>
        <w:t xml:space="preserve"> un cementerio" o "</w:t>
      </w:r>
      <w:r w:rsidR="00DC0D08">
        <w:t>Emprendo</w:t>
      </w:r>
      <w:r>
        <w:t xml:space="preserve"> la práctica del habitante de cementerio</w:t>
      </w:r>
      <w:r w:rsidR="00DC0D08">
        <w:t>s</w:t>
      </w:r>
      <w:r>
        <w:t>".</w:t>
      </w:r>
    </w:p>
    <w:p w14:paraId="2F3C930D" w14:textId="77777777" w:rsidR="00D21A53" w:rsidRPr="00D21A53" w:rsidRDefault="00D21A53" w:rsidP="00D21A53">
      <w:pPr>
        <w:pStyle w:val="PiedepginaLegal"/>
        <w:rPr>
          <w:u w:val="single"/>
        </w:rPr>
      </w:pPr>
      <w:r w:rsidRPr="00D21A53">
        <w:rPr>
          <w:u w:val="single"/>
        </w:rPr>
        <w:t xml:space="preserve">                                                                                                                                                 .</w:t>
      </w:r>
    </w:p>
    <w:p w14:paraId="0E692424" w14:textId="7BAF9747" w:rsidR="00D21A53" w:rsidRDefault="00D21A53" w:rsidP="00D21A53">
      <w:pPr>
        <w:pStyle w:val="PiedepginaLegal"/>
      </w:pPr>
      <w:r>
        <w:t xml:space="preserve">15. </w:t>
      </w:r>
      <w:r>
        <w:tab/>
        <w:t xml:space="preserve">Leer </w:t>
      </w:r>
      <w:proofErr w:type="spellStart"/>
      <w:r w:rsidRPr="004349FB">
        <w:rPr>
          <w:i/>
          <w:iCs/>
        </w:rPr>
        <w:t>acchinna-mariyādaṃ</w:t>
      </w:r>
      <w:proofErr w:type="spellEnd"/>
      <w:r>
        <w:t xml:space="preserve"> con </w:t>
      </w:r>
      <w:proofErr w:type="spellStart"/>
      <w:r>
        <w:t>Vism-mhṭ</w:t>
      </w:r>
      <w:proofErr w:type="spellEnd"/>
      <w:r>
        <w:t>, que dice: “</w:t>
      </w:r>
      <w:r w:rsidRPr="00DC0D08">
        <w:rPr>
          <w:i/>
          <w:iCs/>
        </w:rPr>
        <w:t xml:space="preserve">'Sin un </w:t>
      </w:r>
      <w:r w:rsidR="00727E82">
        <w:rPr>
          <w:i/>
          <w:iCs/>
        </w:rPr>
        <w:t>borde</w:t>
      </w:r>
      <w:r w:rsidRPr="00DC0D08">
        <w:rPr>
          <w:i/>
          <w:iCs/>
        </w:rPr>
        <w:t xml:space="preserve"> de goteo</w:t>
      </w:r>
      <w:r w:rsidR="00727E82">
        <w:rPr>
          <w:i/>
          <w:iCs/>
        </w:rPr>
        <w:t xml:space="preserve"> cortado </w:t>
      </w:r>
      <w:r>
        <w:t>(</w:t>
      </w:r>
      <w:proofErr w:type="spellStart"/>
      <w:r w:rsidRPr="004349FB">
        <w:rPr>
          <w:i/>
          <w:iCs/>
        </w:rPr>
        <w:t>acchinna-mariyādaṃ</w:t>
      </w:r>
      <w:proofErr w:type="spellEnd"/>
      <w:r>
        <w:t>)' significa sin un goteo (</w:t>
      </w:r>
      <w:proofErr w:type="spellStart"/>
      <w:r w:rsidRPr="004349FB">
        <w:rPr>
          <w:i/>
          <w:iCs/>
        </w:rPr>
        <w:t>mariyāda</w:t>
      </w:r>
      <w:proofErr w:type="spellEnd"/>
      <w:r>
        <w:t>) hecho arriba, que podría estar bajo el título de goteo- repisa (</w:t>
      </w:r>
      <w:proofErr w:type="spellStart"/>
      <w:r w:rsidRPr="004349FB">
        <w:rPr>
          <w:i/>
          <w:iCs/>
        </w:rPr>
        <w:t>mariy</w:t>
      </w:r>
      <w:r w:rsidR="004349FB" w:rsidRPr="004349FB">
        <w:rPr>
          <w:i/>
          <w:iCs/>
        </w:rPr>
        <w:t>ā</w:t>
      </w:r>
      <w:r w:rsidRPr="004349FB">
        <w:rPr>
          <w:i/>
          <w:iCs/>
        </w:rPr>
        <w:t>da</w:t>
      </w:r>
      <w:r>
        <w:t>-</w:t>
      </w:r>
      <w:r w:rsidRPr="004349FB">
        <w:rPr>
          <w:i/>
          <w:iCs/>
        </w:rPr>
        <w:t>saṅkhepena</w:t>
      </w:r>
      <w:proofErr w:type="spellEnd"/>
      <w:r>
        <w:t>) hecha para evitar que entre el agua de lluvia. Pero si el agua de lluvia pasa por debajo del saliente (</w:t>
      </w:r>
      <w:proofErr w:type="spellStart"/>
      <w:r w:rsidRPr="00101025">
        <w:rPr>
          <w:i/>
          <w:iCs/>
        </w:rPr>
        <w:t>pa</w:t>
      </w:r>
      <w:r w:rsidR="004349FB" w:rsidRPr="00101025">
        <w:rPr>
          <w:i/>
          <w:iCs/>
        </w:rPr>
        <w:t>k</w:t>
      </w:r>
      <w:r w:rsidRPr="00101025">
        <w:rPr>
          <w:i/>
          <w:iCs/>
        </w:rPr>
        <w:t>bbhāra</w:t>
      </w:r>
      <w:proofErr w:type="spellEnd"/>
      <w:r>
        <w:t xml:space="preserve">) y se le permite pasar por </w:t>
      </w:r>
      <w:r w:rsidR="00F84DB0">
        <w:t>ahí</w:t>
      </w:r>
      <w:r>
        <w:t>, entonces esto se clasifica como aire libre (</w:t>
      </w:r>
      <w:proofErr w:type="spellStart"/>
      <w:r w:rsidRPr="004349FB">
        <w:rPr>
          <w:i/>
          <w:iCs/>
        </w:rPr>
        <w:t>abbhokāsika-</w:t>
      </w:r>
      <w:proofErr w:type="gramStart"/>
      <w:r w:rsidRPr="004349FB">
        <w:rPr>
          <w:i/>
          <w:iCs/>
        </w:rPr>
        <w:t>saṅkhep</w:t>
      </w:r>
      <w:r>
        <w:t>a</w:t>
      </w:r>
      <w:proofErr w:type="spellEnd"/>
      <w:r>
        <w:t xml:space="preserve"> )</w:t>
      </w:r>
      <w:proofErr w:type="gramEnd"/>
      <w:r>
        <w:t>” (</w:t>
      </w:r>
      <w:proofErr w:type="spellStart"/>
      <w:r>
        <w:t>Vism-mhṭ</w:t>
      </w:r>
      <w:proofErr w:type="spellEnd"/>
      <w:r>
        <w:t xml:space="preserve"> 84). Esto parece referirse al hábito generalizado en la antigua Sri Lanka de cortar una repisa de goteo en las rocas colgantes utilizadas para las viviendas de los </w:t>
      </w:r>
      <w:proofErr w:type="spellStart"/>
      <w:r w:rsidR="00057BF4" w:rsidRPr="00057BF4">
        <w:rPr>
          <w:i/>
          <w:iCs/>
        </w:rPr>
        <w:t>bhikkhu</w:t>
      </w:r>
      <w:r w:rsidRPr="004349FB">
        <w:rPr>
          <w:i/>
          <w:iCs/>
        </w:rPr>
        <w:t>s</w:t>
      </w:r>
      <w:proofErr w:type="spellEnd"/>
      <w:r>
        <w:t xml:space="preserve"> para que la lluvia que ca</w:t>
      </w:r>
      <w:r w:rsidR="00101025">
        <w:t>iga</w:t>
      </w:r>
      <w:r>
        <w:t xml:space="preserve"> sobre la roca gotee frente al espacio debajo del saliente en lugar de gotear bajo la roca y moja</w:t>
      </w:r>
      <w:r w:rsidR="00101025">
        <w:t>r</w:t>
      </w:r>
      <w:r>
        <w:t xml:space="preserve"> la espalda y el piso. </w:t>
      </w:r>
      <w:proofErr w:type="spellStart"/>
      <w:r w:rsidRPr="004349FB">
        <w:rPr>
          <w:i/>
          <w:iCs/>
        </w:rPr>
        <w:t>Pabbhāra</w:t>
      </w:r>
      <w:proofErr w:type="spellEnd"/>
      <w:r>
        <w:t xml:space="preserve"> en este contexto es "sobresalir" en lugar de "pendiente".</w:t>
      </w:r>
    </w:p>
    <w:p w14:paraId="1EC66C3E" w14:textId="77777777" w:rsidR="00D76CAA" w:rsidRDefault="00D76CAA">
      <w:pPr>
        <w:tabs>
          <w:tab w:val="clear" w:pos="425"/>
        </w:tabs>
        <w:spacing w:after="160"/>
      </w:pPr>
      <w:r>
        <w:br w:type="page"/>
      </w:r>
    </w:p>
    <w:p w14:paraId="355D1968" w14:textId="25FE767F" w:rsidR="00D76CAA" w:rsidRDefault="008D55E3" w:rsidP="00D76CAA">
      <w:r>
        <w:lastRenderedPageBreak/>
        <w:tab/>
      </w:r>
      <w:r w:rsidR="00D76CAA">
        <w:t>Ahora</w:t>
      </w:r>
      <w:r>
        <w:t xml:space="preserve"> bien</w:t>
      </w:r>
      <w:r w:rsidR="00D76CAA">
        <w:t>, el habitante del cementerio no debe vivir en algún lugar solo porque la gente que construyó la aldea lo ha</w:t>
      </w:r>
      <w:r w:rsidR="00727E82">
        <w:t>ya</w:t>
      </w:r>
      <w:r w:rsidR="00D76CAA">
        <w:t xml:space="preserve"> llamado “cementerio” </w:t>
      </w:r>
      <w:r w:rsidR="00550049">
        <w:t xml:space="preserve">ya </w:t>
      </w:r>
      <w:r w:rsidR="00D76CAA">
        <w:t>que no s</w:t>
      </w:r>
      <w:r w:rsidR="00727E82">
        <w:t>erá</w:t>
      </w:r>
      <w:r w:rsidR="00D76CAA">
        <w:t xml:space="preserve"> un cementerio a menos que un cadáver haya sido quemado en él. Pero tan pronto como uno ha</w:t>
      </w:r>
      <w:r w:rsidR="00727E82">
        <w:t>ya</w:t>
      </w:r>
      <w:r w:rsidR="00D76CAA">
        <w:t xml:space="preserve"> sido quemado en él, se convert</w:t>
      </w:r>
      <w:r w:rsidR="00727E82">
        <w:t>irá</w:t>
      </w:r>
      <w:r w:rsidR="00D76CAA">
        <w:t xml:space="preserve"> en un osario. E incluso si se ha descuidado durante una docena de años, lo s</w:t>
      </w:r>
      <w:r w:rsidR="00727E82">
        <w:t>e</w:t>
      </w:r>
      <w:r w:rsidR="00D76CAA">
        <w:t>gu</w:t>
      </w:r>
      <w:r w:rsidR="00727E82">
        <w:t>irá</w:t>
      </w:r>
      <w:r w:rsidR="00D76CAA">
        <w:t xml:space="preserve"> siendo.</w:t>
      </w:r>
    </w:p>
    <w:p w14:paraId="4FA47C3A" w14:textId="33F5E888" w:rsidR="00D76CAA" w:rsidRDefault="00D76CAA" w:rsidP="00D76CAA">
      <w:r>
        <w:t xml:space="preserve">65. </w:t>
      </w:r>
      <w:r w:rsidR="008D55E3">
        <w:tab/>
      </w:r>
      <w:r>
        <w:t>Aquel que mor</w:t>
      </w:r>
      <w:r w:rsidR="00727E82">
        <w:t>e</w:t>
      </w:r>
      <w:r>
        <w:t xml:space="preserve"> allí no debe ser el tipo de persona que construy</w:t>
      </w:r>
      <w:r w:rsidR="00727E82">
        <w:t>a</w:t>
      </w:r>
      <w:r>
        <w:t xml:space="preserve"> paseos, pabellones, etc., dispon</w:t>
      </w:r>
      <w:r w:rsidR="00727E82">
        <w:t>ga</w:t>
      </w:r>
      <w:r>
        <w:t xml:space="preserve"> de camas y sillas, </w:t>
      </w:r>
      <w:r w:rsidR="00727E82">
        <w:t xml:space="preserve">que prepare </w:t>
      </w:r>
      <w:r>
        <w:t>agua para beber y lavar, y predi</w:t>
      </w:r>
      <w:r w:rsidR="00727E82">
        <w:t>que</w:t>
      </w:r>
      <w:r>
        <w:t xml:space="preserve"> el </w:t>
      </w:r>
      <w:r w:rsidR="00057BF4" w:rsidRPr="00057BF4">
        <w:rPr>
          <w:i/>
        </w:rPr>
        <w:t>Dhamma</w:t>
      </w:r>
      <w:r>
        <w:t xml:space="preserve">; porque esta práctica </w:t>
      </w:r>
      <w:r w:rsidR="00656CF3">
        <w:t>asceta</w:t>
      </w:r>
      <w:r>
        <w:t xml:space="preserve"> es algo trascendental. Quien vaya a vivir allí debe ser diligente. Y primero debe informar a</w:t>
      </w:r>
      <w:r w:rsidR="00727E82">
        <w:t xml:space="preserve"> un</w:t>
      </w:r>
      <w:r>
        <w:t xml:space="preserve"> </w:t>
      </w:r>
      <w:r w:rsidR="00727E82">
        <w:t>Venerable</w:t>
      </w:r>
      <w:r>
        <w:t xml:space="preserve"> mayor de la Orden o al representante local del </w:t>
      </w:r>
      <w:r w:rsidR="00727E82">
        <w:t xml:space="preserve">Rey </w:t>
      </w:r>
      <w:r>
        <w:t xml:space="preserve">para evitar problemas. Cuando camine </w:t>
      </w:r>
      <w:r w:rsidR="00727E82">
        <w:t xml:space="preserve">de </w:t>
      </w:r>
      <w:r>
        <w:t xml:space="preserve">arriba </w:t>
      </w:r>
      <w:r w:rsidR="00727E82">
        <w:t>a</w:t>
      </w:r>
      <w:r>
        <w:t xml:space="preserve"> abajo, debe hacerlo mirando la pira con medio ojo. [77] En su camino hacia el osario debe evitar las carreteras principales y tomar un camino secundario. Debe definir todos los objetos [allí] mientras s</w:t>
      </w:r>
      <w:r w:rsidR="001261DB">
        <w:t>ea</w:t>
      </w:r>
      <w:r>
        <w:t xml:space="preserve"> de día, para que no asuman formas aterradoras para él durante la noche. Incluso si los seres no</w:t>
      </w:r>
      <w:r w:rsidR="00B5758F">
        <w:t>–</w:t>
      </w:r>
      <w:r>
        <w:t xml:space="preserve">humanos deambulan chillando, no </w:t>
      </w:r>
      <w:r w:rsidR="008239A0">
        <w:t xml:space="preserve">se </w:t>
      </w:r>
      <w:r>
        <w:t>debe</w:t>
      </w:r>
      <w:r w:rsidR="008239A0">
        <w:t>n</w:t>
      </w:r>
      <w:r>
        <w:t xml:space="preserve"> golpearlos con nada. No está permitido dejar de ir al osario ni un solo día. Los recitadores del </w:t>
      </w:r>
      <w:proofErr w:type="spellStart"/>
      <w:r w:rsidRPr="004349FB">
        <w:rPr>
          <w:i/>
          <w:iCs/>
        </w:rPr>
        <w:t>Aṅguttara</w:t>
      </w:r>
      <w:proofErr w:type="spellEnd"/>
      <w:r>
        <w:t xml:space="preserve"> dicen que después de pasar la vigilia intermedia en el cementerio, se permit</w:t>
      </w:r>
      <w:r w:rsidR="00CA55C5">
        <w:t>irá</w:t>
      </w:r>
      <w:r>
        <w:t xml:space="preserve"> </w:t>
      </w:r>
      <w:r w:rsidR="00CA55C5">
        <w:t xml:space="preserve">dejar el lugar </w:t>
      </w:r>
      <w:r>
        <w:t>en la última vigilia. No debe tomar alimentos tales como harina de sésamo, budín de guisantes, pescado, carne, leche, aceite, azúcar, etc., que s</w:t>
      </w:r>
      <w:r w:rsidR="00CA55C5">
        <w:t>ea</w:t>
      </w:r>
      <w:r>
        <w:t>n del agrado de los seres no humanos. No debe entrar en los hogares de las familias.</w:t>
      </w:r>
      <w:r w:rsidR="000455BA">
        <w:rPr>
          <w:vertAlign w:val="superscript"/>
        </w:rPr>
        <w:t>16</w:t>
      </w:r>
      <w:r>
        <w:t xml:space="preserve"> Estas son las </w:t>
      </w:r>
      <w:r w:rsidR="00CA55C5">
        <w:rPr>
          <w:i/>
          <w:iCs/>
        </w:rPr>
        <w:t>indicaciones</w:t>
      </w:r>
      <w:r w:rsidR="004349FB">
        <w:t xml:space="preserve"> </w:t>
      </w:r>
      <w:r>
        <w:t>para ello.</w:t>
      </w:r>
    </w:p>
    <w:p w14:paraId="743EA7EA" w14:textId="2338A797" w:rsidR="00D76CAA" w:rsidRDefault="00D76CAA" w:rsidP="00D76CAA">
      <w:r>
        <w:t xml:space="preserve">66. </w:t>
      </w:r>
      <w:r w:rsidR="008D55E3">
        <w:tab/>
      </w:r>
      <w:r>
        <w:t xml:space="preserve">Esto también tiene tres </w:t>
      </w:r>
      <w:r w:rsidRPr="004349FB">
        <w:rPr>
          <w:i/>
          <w:iCs/>
        </w:rPr>
        <w:t>grados</w:t>
      </w:r>
      <w:r>
        <w:t xml:space="preserve">. </w:t>
      </w:r>
      <w:r w:rsidR="00CA55C5">
        <w:t>Al respecto</w:t>
      </w:r>
      <w:r>
        <w:t xml:space="preserve">, quien </w:t>
      </w:r>
      <w:r w:rsidR="00CA55C5">
        <w:t>sea</w:t>
      </w:r>
      <w:r>
        <w:t xml:space="preserve"> estricto debe</w:t>
      </w:r>
      <w:r w:rsidR="00CA55C5">
        <w:t>rá</w:t>
      </w:r>
      <w:r>
        <w:t xml:space="preserve"> vivir donde siempre ha</w:t>
      </w:r>
      <w:r w:rsidR="00CA55C5">
        <w:t>ya</w:t>
      </w:r>
      <w:r>
        <w:t xml:space="preserve"> </w:t>
      </w:r>
      <w:r w:rsidR="001D3DAE">
        <w:t>in</w:t>
      </w:r>
      <w:r w:rsidR="00150523">
        <w:t>c</w:t>
      </w:r>
      <w:r w:rsidR="001D3DAE">
        <w:t>ineraciones</w:t>
      </w:r>
      <w:r w:rsidR="00CA55C5">
        <w:t>,</w:t>
      </w:r>
      <w:r>
        <w:t xml:space="preserve"> cadáveres y luto. Al </w:t>
      </w:r>
      <w:r w:rsidR="00CA55C5">
        <w:t xml:space="preserve">intermedio </w:t>
      </w:r>
      <w:r>
        <w:t>se le permit</w:t>
      </w:r>
      <w:r w:rsidR="00CA55C5">
        <w:t>irá</w:t>
      </w:r>
      <w:r>
        <w:t xml:space="preserve"> vivir donde haya uno de estos tres. Al </w:t>
      </w:r>
      <w:r w:rsidR="00CA55C5">
        <w:t>moderado</w:t>
      </w:r>
      <w:r>
        <w:t xml:space="preserve"> se le </w:t>
      </w:r>
      <w:r w:rsidR="00CA55C5">
        <w:t xml:space="preserve">permitirá </w:t>
      </w:r>
      <w:r>
        <w:t>vivir en un lugar que pose</w:t>
      </w:r>
      <w:r w:rsidR="00CA55C5">
        <w:t>a</w:t>
      </w:r>
      <w:r>
        <w:t xml:space="preserve"> las características </w:t>
      </w:r>
      <w:r w:rsidR="001C5A33">
        <w:t xml:space="preserve">básicas </w:t>
      </w:r>
      <w:r>
        <w:t>de un osario ya mencionado.</w:t>
      </w:r>
    </w:p>
    <w:p w14:paraId="22BCBCF6" w14:textId="566D395A" w:rsidR="00D76CAA" w:rsidRDefault="00D76CAA" w:rsidP="008D55E3">
      <w:pPr>
        <w:pStyle w:val="NormalConSangria"/>
      </w:pPr>
      <w:r>
        <w:t>Cuando cualquiera de estos tres ha</w:t>
      </w:r>
      <w:r w:rsidR="00CA55C5">
        <w:t>g</w:t>
      </w:r>
      <w:r w:rsidR="001C5A33">
        <w:t>a</w:t>
      </w:r>
      <w:r>
        <w:t xml:space="preserve"> </w:t>
      </w:r>
      <w:r w:rsidR="00D92B74">
        <w:t>de su residencia</w:t>
      </w:r>
      <w:r>
        <w:t xml:space="preserve"> </w:t>
      </w:r>
      <w:r w:rsidR="00CA55C5">
        <w:t xml:space="preserve">cualquier </w:t>
      </w:r>
      <w:r>
        <w:t xml:space="preserve">lugar que no sea un osario, su práctica </w:t>
      </w:r>
      <w:r w:rsidR="00656CF3">
        <w:t>asceta</w:t>
      </w:r>
      <w:r>
        <w:t xml:space="preserve"> se rompe</w:t>
      </w:r>
      <w:r w:rsidR="00CA55C5">
        <w:t>rá</w:t>
      </w:r>
      <w:r>
        <w:t xml:space="preserve">. </w:t>
      </w:r>
      <w:r w:rsidR="00D92B74">
        <w:t xml:space="preserve">Los recitadores de </w:t>
      </w:r>
      <w:proofErr w:type="spellStart"/>
      <w:r w:rsidR="00D92B74" w:rsidRPr="004349FB">
        <w:rPr>
          <w:i/>
          <w:iCs/>
        </w:rPr>
        <w:t>Aṅguttara</w:t>
      </w:r>
      <w:proofErr w:type="spellEnd"/>
      <w:r w:rsidR="00D92B74">
        <w:t xml:space="preserve"> dicen que e</w:t>
      </w:r>
      <w:r w:rsidR="00CA55C5">
        <w:t xml:space="preserve">l </w:t>
      </w:r>
      <w:r>
        <w:t>día en que no va</w:t>
      </w:r>
      <w:r w:rsidR="00CA55C5">
        <w:t>ya</w:t>
      </w:r>
      <w:r>
        <w:t xml:space="preserve"> al cementerio, </w:t>
      </w:r>
      <w:r w:rsidR="00D92B74">
        <w:t>su práctica</w:t>
      </w:r>
      <w:r w:rsidR="00CA55C5">
        <w:t xml:space="preserve"> se romperá</w:t>
      </w:r>
      <w:r>
        <w:t xml:space="preserve">. </w:t>
      </w:r>
      <w:r w:rsidR="00D92B74">
        <w:t>É</w:t>
      </w:r>
      <w:r>
        <w:t xml:space="preserve">ste </w:t>
      </w:r>
      <w:r w:rsidR="00D92B74">
        <w:t xml:space="preserve">será </w:t>
      </w:r>
      <w:r>
        <w:t xml:space="preserve">el </w:t>
      </w:r>
      <w:r w:rsidRPr="004349FB">
        <w:rPr>
          <w:i/>
          <w:iCs/>
        </w:rPr>
        <w:t>incumplimiento</w:t>
      </w:r>
      <w:r>
        <w:t xml:space="preserve"> en este caso.</w:t>
      </w:r>
    </w:p>
    <w:p w14:paraId="3DA9F412" w14:textId="58A5645D" w:rsidR="00D76CAA" w:rsidRDefault="00D76CAA" w:rsidP="00D76CAA">
      <w:r>
        <w:t xml:space="preserve">67. </w:t>
      </w:r>
      <w:r w:rsidR="008D55E3">
        <w:tab/>
      </w:r>
      <w:r>
        <w:t xml:space="preserve">Los </w:t>
      </w:r>
      <w:r w:rsidRPr="00CA55C5">
        <w:rPr>
          <w:i/>
          <w:iCs/>
        </w:rPr>
        <w:t>beneficios</w:t>
      </w:r>
      <w:r>
        <w:t xml:space="preserve"> son estos. Adquiere con</w:t>
      </w:r>
      <w:r w:rsidR="00CA55C5">
        <w:t>s</w:t>
      </w:r>
      <w:r>
        <w:t xml:space="preserve">ciencia de la muerte; vive diligentemente; el signo de </w:t>
      </w:r>
      <w:r w:rsidR="00CA55C5">
        <w:t xml:space="preserve">la repugnancia </w:t>
      </w:r>
      <w:r>
        <w:t>est</w:t>
      </w:r>
      <w:r w:rsidR="00CA55C5">
        <w:t>ar</w:t>
      </w:r>
      <w:r>
        <w:t>á disponible (ver Cap. VI); se elimina</w:t>
      </w:r>
      <w:r w:rsidR="00CA55C5">
        <w:t>rá</w:t>
      </w:r>
      <w:r>
        <w:t xml:space="preserve"> la codicia por los </w:t>
      </w:r>
      <w:r w:rsidR="007831DD">
        <w:t>deseos sensoriales</w:t>
      </w:r>
      <w:r>
        <w:t>; constantemente ve</w:t>
      </w:r>
      <w:r w:rsidR="00CA55C5">
        <w:t>rá</w:t>
      </w:r>
      <w:r>
        <w:t xml:space="preserve"> la verdadera naturaleza del cuerpo; </w:t>
      </w:r>
      <w:r w:rsidR="00CA55C5">
        <w:t>tendrá</w:t>
      </w:r>
      <w:r>
        <w:t xml:space="preserve"> un gran sentido de urgencia; abandona</w:t>
      </w:r>
      <w:r w:rsidR="00CA55C5">
        <w:t>rá</w:t>
      </w:r>
      <w:r>
        <w:t xml:space="preserve"> la vanidad de la salud, etc.; vence</w:t>
      </w:r>
      <w:r w:rsidR="00CA55C5">
        <w:t>rá</w:t>
      </w:r>
      <w:r>
        <w:t xml:space="preserve"> </w:t>
      </w:r>
      <w:r w:rsidR="00BF6993">
        <w:t>a</w:t>
      </w:r>
      <w:r>
        <w:t xml:space="preserve">l miedo y </w:t>
      </w:r>
      <w:r w:rsidR="00BF6993">
        <w:t>a</w:t>
      </w:r>
      <w:r>
        <w:t>l pavor (MN 4); los seres no humanos lo respeta</w:t>
      </w:r>
      <w:r w:rsidR="00CA55C5">
        <w:t>rá</w:t>
      </w:r>
      <w:r>
        <w:t>n y lo honra</w:t>
      </w:r>
      <w:r w:rsidR="00CA55C5">
        <w:t>rá</w:t>
      </w:r>
      <w:r>
        <w:t>n; viv</w:t>
      </w:r>
      <w:r w:rsidR="00CA55C5">
        <w:t>irá</w:t>
      </w:r>
      <w:r>
        <w:t xml:space="preserve"> e</w:t>
      </w:r>
      <w:r w:rsidR="00CA55C5">
        <w:t>n</w:t>
      </w:r>
      <w:r>
        <w:t xml:space="preserve"> conformidad con [los principios de] la escasez de deseos, </w:t>
      </w:r>
      <w:r w:rsidR="00CA55C5">
        <w:t>…etc.</w:t>
      </w:r>
    </w:p>
    <w:p w14:paraId="3C05340D" w14:textId="0F35BCFF" w:rsidR="00D76CAA" w:rsidRPr="00445098" w:rsidRDefault="00D76CAA" w:rsidP="00CA55C5">
      <w:pPr>
        <w:pStyle w:val="VersoIngls01Sangria"/>
        <w:ind w:left="709" w:hanging="709"/>
        <w:rPr>
          <w:sz w:val="16"/>
          <w:szCs w:val="20"/>
        </w:rPr>
      </w:pPr>
      <w:r>
        <w:t xml:space="preserve">68. </w:t>
      </w:r>
      <w:r>
        <w:tab/>
      </w:r>
      <w:r>
        <w:tab/>
      </w:r>
      <w:r w:rsidRPr="00445098">
        <w:rPr>
          <w:sz w:val="16"/>
          <w:szCs w:val="20"/>
        </w:rPr>
        <w:t xml:space="preserve">Incluso </w:t>
      </w:r>
      <w:r w:rsidR="00CA55C5" w:rsidRPr="00445098">
        <w:rPr>
          <w:sz w:val="16"/>
          <w:szCs w:val="20"/>
        </w:rPr>
        <w:t>durante</w:t>
      </w:r>
      <w:r w:rsidRPr="00445098">
        <w:rPr>
          <w:sz w:val="16"/>
          <w:szCs w:val="20"/>
        </w:rPr>
        <w:t xml:space="preserve"> el sueño, el morador de un osario no </w:t>
      </w:r>
      <w:r w:rsidR="00150523" w:rsidRPr="00445098">
        <w:rPr>
          <w:sz w:val="16"/>
          <w:szCs w:val="20"/>
        </w:rPr>
        <w:t>mostrará</w:t>
      </w:r>
      <w:r w:rsidRPr="00445098">
        <w:rPr>
          <w:sz w:val="16"/>
          <w:szCs w:val="20"/>
        </w:rPr>
        <w:t xml:space="preserve"> </w:t>
      </w:r>
      <w:r w:rsidR="00150523" w:rsidRPr="00445098">
        <w:rPr>
          <w:sz w:val="16"/>
          <w:szCs w:val="20"/>
        </w:rPr>
        <w:t>ninguna</w:t>
      </w:r>
    </w:p>
    <w:p w14:paraId="2EAAA493" w14:textId="098C3BE4" w:rsidR="00D76CAA" w:rsidRPr="00445098" w:rsidRDefault="00150523" w:rsidP="00CA55C5">
      <w:pPr>
        <w:pStyle w:val="VersoIngls01Sangria"/>
        <w:ind w:left="708"/>
        <w:rPr>
          <w:sz w:val="16"/>
          <w:szCs w:val="20"/>
        </w:rPr>
      </w:pPr>
      <w:r w:rsidRPr="00445098">
        <w:rPr>
          <w:sz w:val="16"/>
          <w:szCs w:val="20"/>
        </w:rPr>
        <w:t>Negligencia</w:t>
      </w:r>
      <w:r w:rsidR="00D76CAA" w:rsidRPr="00445098">
        <w:rPr>
          <w:sz w:val="16"/>
          <w:szCs w:val="20"/>
        </w:rPr>
        <w:t>, porque la muerte est</w:t>
      </w:r>
      <w:r w:rsidR="00CA55C5" w:rsidRPr="00445098">
        <w:rPr>
          <w:sz w:val="16"/>
          <w:szCs w:val="20"/>
        </w:rPr>
        <w:t>ar</w:t>
      </w:r>
      <w:r w:rsidR="00D76CAA" w:rsidRPr="00445098">
        <w:rPr>
          <w:sz w:val="16"/>
          <w:szCs w:val="20"/>
        </w:rPr>
        <w:t>á siempre presente en su pensamiento;</w:t>
      </w:r>
    </w:p>
    <w:p w14:paraId="63786AAD" w14:textId="3E2E82D3" w:rsidR="00D76CAA" w:rsidRPr="00445098" w:rsidRDefault="00445098" w:rsidP="00CA55C5">
      <w:pPr>
        <w:pStyle w:val="VersoIngls01Sangria"/>
        <w:ind w:left="708"/>
        <w:rPr>
          <w:sz w:val="16"/>
          <w:szCs w:val="20"/>
        </w:rPr>
      </w:pPr>
      <w:r w:rsidRPr="00445098">
        <w:rPr>
          <w:sz w:val="16"/>
          <w:szCs w:val="20"/>
        </w:rPr>
        <w:t xml:space="preserve">Podrá </w:t>
      </w:r>
      <w:r w:rsidR="00D76CAA" w:rsidRPr="00445098">
        <w:rPr>
          <w:sz w:val="16"/>
          <w:szCs w:val="20"/>
        </w:rPr>
        <w:t>estar seguro de que no ha</w:t>
      </w:r>
      <w:r w:rsidR="00CA55C5" w:rsidRPr="00445098">
        <w:rPr>
          <w:sz w:val="16"/>
          <w:szCs w:val="20"/>
        </w:rPr>
        <w:t>brá</w:t>
      </w:r>
      <w:r w:rsidR="00D76CAA" w:rsidRPr="00445098">
        <w:rPr>
          <w:sz w:val="16"/>
          <w:szCs w:val="20"/>
        </w:rPr>
        <w:t xml:space="preserve"> lujuria por l</w:t>
      </w:r>
      <w:r w:rsidR="00C55255">
        <w:rPr>
          <w:sz w:val="16"/>
          <w:szCs w:val="20"/>
        </w:rPr>
        <w:t>o</w:t>
      </w:r>
      <w:r w:rsidR="00D76CAA" w:rsidRPr="00445098">
        <w:rPr>
          <w:sz w:val="16"/>
          <w:szCs w:val="20"/>
        </w:rPr>
        <w:t xml:space="preserve">s </w:t>
      </w:r>
      <w:r w:rsidR="00691959">
        <w:rPr>
          <w:sz w:val="16"/>
          <w:szCs w:val="20"/>
        </w:rPr>
        <w:t>ataques</w:t>
      </w:r>
      <w:r w:rsidR="00D76CAA" w:rsidRPr="00445098">
        <w:rPr>
          <w:sz w:val="16"/>
          <w:szCs w:val="20"/>
        </w:rPr>
        <w:t xml:space="preserve"> del placer </w:t>
      </w:r>
      <w:r w:rsidR="00C55255">
        <w:rPr>
          <w:sz w:val="16"/>
          <w:szCs w:val="20"/>
        </w:rPr>
        <w:t>sensorial</w:t>
      </w:r>
    </w:p>
    <w:p w14:paraId="1DA14F6F" w14:textId="16301DB0" w:rsidR="00D76CAA" w:rsidRDefault="00D76CAA" w:rsidP="00691959">
      <w:pPr>
        <w:pStyle w:val="VersoIngls01Sangria"/>
        <w:spacing w:after="100"/>
        <w:ind w:left="709"/>
        <w:rPr>
          <w:sz w:val="16"/>
          <w:szCs w:val="20"/>
        </w:rPr>
      </w:pPr>
      <w:r w:rsidRPr="00445098">
        <w:rPr>
          <w:sz w:val="16"/>
          <w:szCs w:val="20"/>
        </w:rPr>
        <w:t xml:space="preserve">En su mente, </w:t>
      </w:r>
      <w:r w:rsidR="0028216E">
        <w:rPr>
          <w:sz w:val="16"/>
          <w:szCs w:val="20"/>
        </w:rPr>
        <w:t xml:space="preserve">debido a los </w:t>
      </w:r>
      <w:r w:rsidRPr="00445098">
        <w:rPr>
          <w:sz w:val="16"/>
          <w:szCs w:val="20"/>
        </w:rPr>
        <w:t xml:space="preserve">muchos cadáveres presentes ante su </w:t>
      </w:r>
      <w:r w:rsidR="00691959">
        <w:rPr>
          <w:sz w:val="16"/>
          <w:szCs w:val="20"/>
        </w:rPr>
        <w:t>visión</w:t>
      </w:r>
      <w:r w:rsidRPr="00445098">
        <w:rPr>
          <w:sz w:val="16"/>
          <w:szCs w:val="20"/>
        </w:rPr>
        <w:t>.</w:t>
      </w:r>
    </w:p>
    <w:p w14:paraId="50710DF8" w14:textId="74BAC13F" w:rsidR="00D76CAA" w:rsidRPr="00445098" w:rsidRDefault="00D76CAA" w:rsidP="00CA55C5">
      <w:pPr>
        <w:pStyle w:val="VersoIngls01Sangria"/>
        <w:ind w:left="708"/>
        <w:rPr>
          <w:sz w:val="16"/>
          <w:szCs w:val="20"/>
        </w:rPr>
      </w:pPr>
      <w:r w:rsidRPr="00445098">
        <w:rPr>
          <w:sz w:val="16"/>
          <w:szCs w:val="20"/>
        </w:rPr>
        <w:t>Con razón se esf</w:t>
      </w:r>
      <w:r w:rsidR="000F52C3" w:rsidRPr="00445098">
        <w:rPr>
          <w:sz w:val="16"/>
          <w:szCs w:val="20"/>
        </w:rPr>
        <w:t>o</w:t>
      </w:r>
      <w:r w:rsidRPr="00445098">
        <w:rPr>
          <w:sz w:val="16"/>
          <w:szCs w:val="20"/>
        </w:rPr>
        <w:t>rza</w:t>
      </w:r>
      <w:r w:rsidR="000F52C3" w:rsidRPr="00445098">
        <w:rPr>
          <w:sz w:val="16"/>
          <w:szCs w:val="20"/>
        </w:rPr>
        <w:t>rá</w:t>
      </w:r>
      <w:r w:rsidRPr="00445098">
        <w:rPr>
          <w:sz w:val="16"/>
          <w:szCs w:val="20"/>
        </w:rPr>
        <w:t xml:space="preserve"> porque gana</w:t>
      </w:r>
      <w:r w:rsidR="000F52C3" w:rsidRPr="00445098">
        <w:rPr>
          <w:sz w:val="16"/>
          <w:szCs w:val="20"/>
        </w:rPr>
        <w:t>rá</w:t>
      </w:r>
      <w:r w:rsidRPr="00445098">
        <w:rPr>
          <w:sz w:val="16"/>
          <w:szCs w:val="20"/>
        </w:rPr>
        <w:t xml:space="preserve"> un sentido de urgencia,</w:t>
      </w:r>
    </w:p>
    <w:p w14:paraId="1C31C939" w14:textId="1E7BC361" w:rsidR="00D76CAA" w:rsidRPr="00445098" w:rsidRDefault="00D76CAA" w:rsidP="00CA55C5">
      <w:pPr>
        <w:pStyle w:val="VersoIngls01Sangria"/>
        <w:ind w:left="708"/>
        <w:rPr>
          <w:sz w:val="16"/>
          <w:szCs w:val="20"/>
        </w:rPr>
      </w:pPr>
      <w:r w:rsidRPr="00445098">
        <w:rPr>
          <w:sz w:val="16"/>
          <w:szCs w:val="20"/>
        </w:rPr>
        <w:t>Mientras bus</w:t>
      </w:r>
      <w:r w:rsidR="000F52C3" w:rsidRPr="00445098">
        <w:rPr>
          <w:sz w:val="16"/>
          <w:szCs w:val="20"/>
        </w:rPr>
        <w:t>que</w:t>
      </w:r>
      <w:r w:rsidRPr="00445098">
        <w:rPr>
          <w:sz w:val="16"/>
          <w:szCs w:val="20"/>
        </w:rPr>
        <w:t xml:space="preserve"> la paz final, frena</w:t>
      </w:r>
      <w:r w:rsidR="000F52C3" w:rsidRPr="00445098">
        <w:rPr>
          <w:sz w:val="16"/>
          <w:szCs w:val="20"/>
        </w:rPr>
        <w:t>rá</w:t>
      </w:r>
      <w:r w:rsidRPr="00445098">
        <w:rPr>
          <w:sz w:val="16"/>
          <w:szCs w:val="20"/>
        </w:rPr>
        <w:t xml:space="preserve"> toda vanidad.</w:t>
      </w:r>
    </w:p>
    <w:p w14:paraId="3D01594A" w14:textId="754163A1" w:rsidR="00D76CAA" w:rsidRPr="00445098" w:rsidRDefault="00D76CAA" w:rsidP="00CA55C5">
      <w:pPr>
        <w:pStyle w:val="VersoIngls01Sangria"/>
        <w:ind w:left="708"/>
        <w:rPr>
          <w:sz w:val="16"/>
          <w:szCs w:val="20"/>
        </w:rPr>
      </w:pPr>
      <w:r w:rsidRPr="00445098">
        <w:rPr>
          <w:sz w:val="16"/>
          <w:szCs w:val="20"/>
        </w:rPr>
        <w:t xml:space="preserve">Que aquel que sienta una inclinación hacia </w:t>
      </w:r>
      <w:r w:rsidR="000F52C3" w:rsidRPr="00445098">
        <w:rPr>
          <w:sz w:val="16"/>
          <w:szCs w:val="20"/>
        </w:rPr>
        <w:t xml:space="preserve">el </w:t>
      </w:r>
      <w:r w:rsidRPr="00445098">
        <w:rPr>
          <w:i/>
          <w:iCs/>
          <w:sz w:val="16"/>
          <w:szCs w:val="20"/>
        </w:rPr>
        <w:t>Nibbāna</w:t>
      </w:r>
      <w:r w:rsidRPr="00445098">
        <w:rPr>
          <w:sz w:val="16"/>
          <w:szCs w:val="20"/>
        </w:rPr>
        <w:t xml:space="preserve"> en su corazón</w:t>
      </w:r>
    </w:p>
    <w:p w14:paraId="77CB2D98" w14:textId="5A73F6FB" w:rsidR="00D76CAA" w:rsidRPr="00445098" w:rsidRDefault="00D76CAA" w:rsidP="00CA55C5">
      <w:pPr>
        <w:pStyle w:val="VersoIngls01Sangria"/>
        <w:ind w:left="708"/>
        <w:rPr>
          <w:sz w:val="16"/>
          <w:szCs w:val="20"/>
        </w:rPr>
      </w:pPr>
      <w:r w:rsidRPr="00445098">
        <w:rPr>
          <w:sz w:val="16"/>
          <w:szCs w:val="20"/>
        </w:rPr>
        <w:t xml:space="preserve">Adopte esta práctica porque </w:t>
      </w:r>
      <w:r w:rsidR="000F52C3" w:rsidRPr="00445098">
        <w:rPr>
          <w:sz w:val="16"/>
          <w:szCs w:val="20"/>
        </w:rPr>
        <w:t xml:space="preserve">posee </w:t>
      </w:r>
      <w:r w:rsidRPr="00445098">
        <w:rPr>
          <w:sz w:val="16"/>
          <w:szCs w:val="20"/>
        </w:rPr>
        <w:t xml:space="preserve">raras virtudes </w:t>
      </w:r>
      <w:r w:rsidR="000F52C3" w:rsidRPr="00445098">
        <w:rPr>
          <w:sz w:val="16"/>
          <w:szCs w:val="20"/>
        </w:rPr>
        <w:t xml:space="preserve">a </w:t>
      </w:r>
      <w:r w:rsidRPr="00445098">
        <w:rPr>
          <w:sz w:val="16"/>
          <w:szCs w:val="20"/>
        </w:rPr>
        <w:t>impartir.</w:t>
      </w:r>
    </w:p>
    <w:p w14:paraId="0E640AA1" w14:textId="77777777" w:rsidR="00D76CAA" w:rsidRDefault="00D76CAA" w:rsidP="00D76CAA">
      <w:pPr>
        <w:pStyle w:val="VersoIngls01Sangria"/>
        <w:ind w:left="993"/>
      </w:pPr>
    </w:p>
    <w:p w14:paraId="48A10586" w14:textId="77777777" w:rsidR="00D76CAA" w:rsidRPr="00D76CAA" w:rsidRDefault="00D76CAA" w:rsidP="00D76CAA">
      <w:pPr>
        <w:pStyle w:val="PiedepginaLegal"/>
        <w:rPr>
          <w:u w:val="single"/>
        </w:rPr>
      </w:pPr>
      <w:r w:rsidRPr="00D76CAA">
        <w:rPr>
          <w:u w:val="single"/>
        </w:rPr>
        <w:t xml:space="preserve">                                                                                                                                                 .</w:t>
      </w:r>
    </w:p>
    <w:p w14:paraId="7D9771C8" w14:textId="4574CD7C" w:rsidR="008D55E3" w:rsidRDefault="00D76CAA" w:rsidP="00D76CAA">
      <w:pPr>
        <w:pStyle w:val="PiedepginaLegal"/>
      </w:pPr>
      <w:r>
        <w:t xml:space="preserve">16. </w:t>
      </w:r>
      <w:r>
        <w:tab/>
        <w:t xml:space="preserve">“No debe entrar a las casas de las familias porque </w:t>
      </w:r>
      <w:r w:rsidR="000F52C3">
        <w:t>olerá</w:t>
      </w:r>
      <w:r>
        <w:t xml:space="preserve"> a muerto y </w:t>
      </w:r>
      <w:r w:rsidR="00872591">
        <w:t>será</w:t>
      </w:r>
      <w:r>
        <w:t xml:space="preserve"> </w:t>
      </w:r>
      <w:r w:rsidR="00872591">
        <w:t xml:space="preserve">seguido por </w:t>
      </w:r>
      <w:r w:rsidR="000F52C3">
        <w:t xml:space="preserve">los </w:t>
      </w:r>
      <w:r>
        <w:t xml:space="preserve">duendes </w:t>
      </w:r>
      <w:proofErr w:type="spellStart"/>
      <w:r w:rsidRPr="004349FB">
        <w:rPr>
          <w:i/>
          <w:iCs/>
        </w:rPr>
        <w:t>pis</w:t>
      </w:r>
      <w:r w:rsidR="004349FB">
        <w:rPr>
          <w:i/>
          <w:iCs/>
        </w:rPr>
        <w:t>ā</w:t>
      </w:r>
      <w:r w:rsidRPr="004349FB">
        <w:rPr>
          <w:i/>
          <w:iCs/>
        </w:rPr>
        <w:t>ca</w:t>
      </w:r>
      <w:proofErr w:type="spellEnd"/>
      <w:r>
        <w:t>” (</w:t>
      </w:r>
      <w:proofErr w:type="spellStart"/>
      <w:r>
        <w:t>Vism-mhþ</w:t>
      </w:r>
      <w:proofErr w:type="spellEnd"/>
      <w:r>
        <w:t xml:space="preserve"> 84).</w:t>
      </w:r>
    </w:p>
    <w:p w14:paraId="11C6B381" w14:textId="77777777" w:rsidR="008D55E3" w:rsidRDefault="008D55E3">
      <w:pPr>
        <w:tabs>
          <w:tab w:val="clear" w:pos="425"/>
        </w:tabs>
        <w:spacing w:after="160"/>
        <w:rPr>
          <w:color w:val="000000" w:themeColor="text1"/>
          <w:spacing w:val="10"/>
          <w:sz w:val="14"/>
        </w:rPr>
      </w:pPr>
      <w:r>
        <w:br w:type="page"/>
      </w:r>
    </w:p>
    <w:p w14:paraId="6A8F8154" w14:textId="574C3D84" w:rsidR="005771DA" w:rsidRDefault="00872591" w:rsidP="005771DA">
      <w:pPr>
        <w:pStyle w:val="NormalConSangria"/>
        <w:spacing w:after="60"/>
      </w:pPr>
      <w:r>
        <w:lastRenderedPageBreak/>
        <w:t>É</w:t>
      </w:r>
      <w:r w:rsidR="005771DA">
        <w:t xml:space="preserve">ste es el comentario sobre </w:t>
      </w:r>
      <w:r w:rsidR="00F572B0">
        <w:t>el emprendimiento, las indicaciones, los grados, el incumplimiento y los beneficios</w:t>
      </w:r>
      <w:r w:rsidR="005771DA">
        <w:t>, en el caso de la práctica del osario. [78]</w:t>
      </w:r>
    </w:p>
    <w:p w14:paraId="1E616842" w14:textId="7E46C71D" w:rsidR="005771DA" w:rsidRDefault="005771DA" w:rsidP="005771DA">
      <w:pPr>
        <w:spacing w:after="60"/>
      </w:pPr>
      <w:r>
        <w:t xml:space="preserve">69. </w:t>
      </w:r>
      <w:r>
        <w:tab/>
      </w:r>
      <w:proofErr w:type="spellStart"/>
      <w:r>
        <w:t>xii</w:t>
      </w:r>
      <w:proofErr w:type="spellEnd"/>
      <w:r>
        <w:t xml:space="preserve">. La </w:t>
      </w:r>
      <w:r w:rsidRPr="000671E8">
        <w:rPr>
          <w:i/>
          <w:iCs/>
        </w:rPr>
        <w:t>práctica de</w:t>
      </w:r>
      <w:r w:rsidR="000671E8">
        <w:rPr>
          <w:i/>
          <w:iCs/>
        </w:rPr>
        <w:t xml:space="preserve">l usuario de cualquier </w:t>
      </w:r>
      <w:r w:rsidR="00C10D45">
        <w:rPr>
          <w:i/>
          <w:iCs/>
        </w:rPr>
        <w:t>lecho de descanso</w:t>
      </w:r>
      <w:r w:rsidR="000671E8">
        <w:rPr>
          <w:i/>
          <w:iCs/>
        </w:rPr>
        <w:t xml:space="preserve"> </w:t>
      </w:r>
      <w:r w:rsidRPr="00F572B0">
        <w:t>se</w:t>
      </w:r>
      <w:r w:rsidRPr="000671E8">
        <w:rPr>
          <w:i/>
          <w:iCs/>
        </w:rPr>
        <w:t xml:space="preserve"> </w:t>
      </w:r>
      <w:r w:rsidR="00F572B0">
        <w:rPr>
          <w:i/>
          <w:iCs/>
        </w:rPr>
        <w:t xml:space="preserve">emprende </w:t>
      </w:r>
      <w:r w:rsidRPr="00F572B0">
        <w:t>con</w:t>
      </w:r>
      <w:r>
        <w:t xml:space="preserve"> una de las siguientes afirmaciones: "Rechazo </w:t>
      </w:r>
      <w:r w:rsidR="00872591">
        <w:t>toda</w:t>
      </w:r>
      <w:r>
        <w:t xml:space="preserve"> codicia por los </w:t>
      </w:r>
      <w:r w:rsidR="0052194E" w:rsidRPr="0052194E">
        <w:t>lecho</w:t>
      </w:r>
      <w:r w:rsidR="0052194E">
        <w:t>s</w:t>
      </w:r>
      <w:r w:rsidR="0052194E" w:rsidRPr="0052194E">
        <w:t xml:space="preserve"> de descanso </w:t>
      </w:r>
      <w:r>
        <w:t>" o "Emprendo la práctica de</w:t>
      </w:r>
      <w:r w:rsidR="005E4E48">
        <w:t xml:space="preserve">l usuario de cualquier </w:t>
      </w:r>
      <w:r w:rsidR="0052194E" w:rsidRPr="0052194E">
        <w:t>lecho de descanso</w:t>
      </w:r>
      <w:r>
        <w:t>".</w:t>
      </w:r>
    </w:p>
    <w:p w14:paraId="19E95F4E" w14:textId="71117B5F" w:rsidR="005771DA" w:rsidRDefault="005771DA" w:rsidP="005771DA">
      <w:pPr>
        <w:pStyle w:val="NormalConSangria"/>
        <w:spacing w:after="60"/>
      </w:pPr>
      <w:r>
        <w:t>El usuario de</w:t>
      </w:r>
      <w:r w:rsidR="00C07E8B">
        <w:t>l</w:t>
      </w:r>
      <w:r>
        <w:t xml:space="preserve"> </w:t>
      </w:r>
      <w:r w:rsidR="0052194E" w:rsidRPr="0052194E">
        <w:t xml:space="preserve">lecho de descanso </w:t>
      </w:r>
      <w:r>
        <w:t>debe</w:t>
      </w:r>
      <w:r w:rsidR="005E4E48">
        <w:t>rá</w:t>
      </w:r>
      <w:r>
        <w:t xml:space="preserve"> contentarse con cualquier lugar de descanso que obtenga, por lo tanto: "Esto cae</w:t>
      </w:r>
      <w:r w:rsidR="0052194E">
        <w:t>rá</w:t>
      </w:r>
      <w:r>
        <w:t xml:space="preserve"> </w:t>
      </w:r>
      <w:r w:rsidR="005E4E48">
        <w:t>sobre su</w:t>
      </w:r>
      <w:r>
        <w:t xml:space="preserve"> suerte". No </w:t>
      </w:r>
      <w:r w:rsidR="003667DF">
        <w:t>motivará a</w:t>
      </w:r>
      <w:r>
        <w:t xml:space="preserve"> que nadie más se mueva de su cama. </w:t>
      </w:r>
      <w:r w:rsidR="005E4E48">
        <w:t>É</w:t>
      </w:r>
      <w:r>
        <w:t xml:space="preserve">stas son las </w:t>
      </w:r>
      <w:r w:rsidR="005E4E48" w:rsidRPr="005E4E48">
        <w:rPr>
          <w:i/>
          <w:iCs/>
        </w:rPr>
        <w:t>indicaciones</w:t>
      </w:r>
      <w:r>
        <w:t>.</w:t>
      </w:r>
    </w:p>
    <w:p w14:paraId="28F9F713" w14:textId="498F316B" w:rsidR="005771DA" w:rsidRDefault="005771DA" w:rsidP="005771DA">
      <w:pPr>
        <w:spacing w:after="60"/>
      </w:pPr>
      <w:r>
        <w:t xml:space="preserve">70. </w:t>
      </w:r>
      <w:r>
        <w:tab/>
        <w:t xml:space="preserve">Esto también </w:t>
      </w:r>
      <w:r w:rsidR="005E4E48">
        <w:t>posee</w:t>
      </w:r>
      <w:r>
        <w:t xml:space="preserve"> tres </w:t>
      </w:r>
      <w:r w:rsidRPr="005E4E48">
        <w:rPr>
          <w:i/>
          <w:iCs/>
        </w:rPr>
        <w:t>grados</w:t>
      </w:r>
      <w:r>
        <w:t xml:space="preserve">. </w:t>
      </w:r>
      <w:r w:rsidR="005E4E48">
        <w:t>Al respecto</w:t>
      </w:r>
      <w:r>
        <w:t>, a quien s</w:t>
      </w:r>
      <w:r w:rsidR="005E4E48">
        <w:t>ea</w:t>
      </w:r>
      <w:r>
        <w:t xml:space="preserve"> estricto no se le permit</w:t>
      </w:r>
      <w:r w:rsidR="005E4E48">
        <w:t xml:space="preserve">irá </w:t>
      </w:r>
      <w:r>
        <w:t>preguntar sobre el lugar de descanso que le ha</w:t>
      </w:r>
      <w:r w:rsidR="005E4E48">
        <w:t>ya</w:t>
      </w:r>
      <w:r>
        <w:t xml:space="preserve"> tocado </w:t>
      </w:r>
      <w:r w:rsidR="005E4E48">
        <w:t xml:space="preserve">a la </w:t>
      </w:r>
      <w:r>
        <w:t>suerte: "¿Está lejos?" o "¿Está demasiado cerca?" o "¿Está infestado de seres no</w:t>
      </w:r>
      <w:r w:rsidR="000E7533">
        <w:t>–</w:t>
      </w:r>
      <w:r>
        <w:t xml:space="preserve">humanos, serpientes, etc.?" o "¿Hace calor?" o “¿Hace frío?”. Al </w:t>
      </w:r>
      <w:r w:rsidR="005E4E48">
        <w:t>intermedio</w:t>
      </w:r>
      <w:r>
        <w:t xml:space="preserve"> se le permite preguntar, pero no ir a inspeccionarlo. Al </w:t>
      </w:r>
      <w:r w:rsidR="005E4E48">
        <w:t>moderado</w:t>
      </w:r>
      <w:r>
        <w:t xml:space="preserve"> se le permit</w:t>
      </w:r>
      <w:r w:rsidR="005E4E48">
        <w:t>irá</w:t>
      </w:r>
      <w:r>
        <w:t xml:space="preserve"> inspeccionarlo y, si no le gusta, elegir otro.</w:t>
      </w:r>
    </w:p>
    <w:p w14:paraId="18884F2C" w14:textId="6519183D" w:rsidR="005771DA" w:rsidRDefault="005771DA" w:rsidP="005771DA">
      <w:pPr>
        <w:pStyle w:val="NormalConSangria"/>
        <w:spacing w:after="60"/>
      </w:pPr>
      <w:r>
        <w:t>Tan pronto como sur</w:t>
      </w:r>
      <w:r w:rsidR="005E4E48">
        <w:t>ja</w:t>
      </w:r>
      <w:r>
        <w:t xml:space="preserve"> codicia por </w:t>
      </w:r>
      <w:r w:rsidR="0052194E">
        <w:t xml:space="preserve">los </w:t>
      </w:r>
      <w:r w:rsidR="0052194E" w:rsidRPr="0052194E">
        <w:t>lecho</w:t>
      </w:r>
      <w:r w:rsidR="0052194E">
        <w:t>s</w:t>
      </w:r>
      <w:r w:rsidR="0052194E" w:rsidRPr="0052194E">
        <w:t xml:space="preserve"> de descanso</w:t>
      </w:r>
      <w:r>
        <w:t xml:space="preserve"> en cualquiera de estos tres, su práctica </w:t>
      </w:r>
      <w:r w:rsidR="00656CF3">
        <w:t>asceta</w:t>
      </w:r>
      <w:r>
        <w:t xml:space="preserve"> se rompe</w:t>
      </w:r>
      <w:r w:rsidR="005E4E48">
        <w:t>rá</w:t>
      </w:r>
      <w:r>
        <w:t xml:space="preserve">. </w:t>
      </w:r>
      <w:r w:rsidR="005E4E48">
        <w:t>É</w:t>
      </w:r>
      <w:r>
        <w:t xml:space="preserve">ste </w:t>
      </w:r>
      <w:r w:rsidR="004B6591">
        <w:t xml:space="preserve">será </w:t>
      </w:r>
      <w:r>
        <w:t xml:space="preserve">el </w:t>
      </w:r>
      <w:r w:rsidRPr="000671E8">
        <w:rPr>
          <w:i/>
          <w:iCs/>
        </w:rPr>
        <w:t>incumplimiento</w:t>
      </w:r>
      <w:r>
        <w:t xml:space="preserve"> en este caso.</w:t>
      </w:r>
    </w:p>
    <w:p w14:paraId="40521876" w14:textId="67B73A03" w:rsidR="005771DA" w:rsidRDefault="005771DA" w:rsidP="005771DA">
      <w:pPr>
        <w:spacing w:after="60"/>
      </w:pPr>
      <w:r>
        <w:t xml:space="preserve">71. </w:t>
      </w:r>
      <w:r>
        <w:tab/>
        <w:t xml:space="preserve">Los </w:t>
      </w:r>
      <w:r w:rsidRPr="005E4E48">
        <w:rPr>
          <w:i/>
          <w:iCs/>
        </w:rPr>
        <w:t>beneficios</w:t>
      </w:r>
      <w:r>
        <w:t xml:space="preserve"> son estos. Se lleva</w:t>
      </w:r>
      <w:r w:rsidR="004B6591">
        <w:t>rá</w:t>
      </w:r>
      <w:r>
        <w:t xml:space="preserve"> a cabo el consejo “Debe contentarse con lo que </w:t>
      </w:r>
      <w:r w:rsidR="005E4E48">
        <w:t xml:space="preserve">se </w:t>
      </w:r>
      <w:r>
        <w:t>recib</w:t>
      </w:r>
      <w:r w:rsidR="005E4E48">
        <w:t>a</w:t>
      </w:r>
      <w:r>
        <w:t xml:space="preserve">” (J-a I 476; </w:t>
      </w:r>
      <w:proofErr w:type="spellStart"/>
      <w:r>
        <w:t>Vin</w:t>
      </w:r>
      <w:proofErr w:type="spellEnd"/>
      <w:r>
        <w:t xml:space="preserve"> IV 259); considera</w:t>
      </w:r>
      <w:r w:rsidR="004B6591">
        <w:t>rá</w:t>
      </w:r>
      <w:r>
        <w:t xml:space="preserve"> el bienestar de sus semejantes en la vida de pureza; deja</w:t>
      </w:r>
      <w:r w:rsidR="004B6591">
        <w:t>rá</w:t>
      </w:r>
      <w:r>
        <w:t xml:space="preserve"> de preocuparse por la </w:t>
      </w:r>
      <w:r w:rsidR="00D8451B">
        <w:t xml:space="preserve">presunción de </w:t>
      </w:r>
      <w:r>
        <w:t>inferioridad y superioridad; se abandona</w:t>
      </w:r>
      <w:r w:rsidR="005E4E48">
        <w:t>rá</w:t>
      </w:r>
      <w:r>
        <w:t xml:space="preserve"> la aprobación y la desaprobación; se cerra</w:t>
      </w:r>
      <w:r w:rsidR="005E4E48">
        <w:t>rá</w:t>
      </w:r>
      <w:r>
        <w:t xml:space="preserve"> </w:t>
      </w:r>
      <w:r w:rsidR="005E4E48">
        <w:t xml:space="preserve">la puerta </w:t>
      </w:r>
      <w:r>
        <w:t>contra los deseos excesivos; viv</w:t>
      </w:r>
      <w:r w:rsidR="005E4E48">
        <w:t>irá</w:t>
      </w:r>
      <w:r>
        <w:t xml:space="preserve"> e</w:t>
      </w:r>
      <w:r w:rsidR="005E4E48">
        <w:t>n</w:t>
      </w:r>
      <w:r>
        <w:t xml:space="preserve"> conformidad con los principios de la escasez de deseos, etc.</w:t>
      </w:r>
    </w:p>
    <w:p w14:paraId="288139AA" w14:textId="3CDF757D" w:rsidR="005771DA" w:rsidRPr="00E14D7C" w:rsidRDefault="005771DA" w:rsidP="005771DA">
      <w:pPr>
        <w:pStyle w:val="VersoIngls01Sangria"/>
        <w:ind w:hanging="1416"/>
        <w:rPr>
          <w:sz w:val="14"/>
          <w:szCs w:val="18"/>
        </w:rPr>
      </w:pPr>
      <w:r>
        <w:t xml:space="preserve">72. </w:t>
      </w:r>
      <w:r>
        <w:tab/>
      </w:r>
      <w:r>
        <w:tab/>
      </w:r>
      <w:r w:rsidRPr="00E14D7C">
        <w:rPr>
          <w:sz w:val="14"/>
          <w:szCs w:val="18"/>
        </w:rPr>
        <w:t xml:space="preserve">Uno </w:t>
      </w:r>
      <w:r w:rsidR="00BB4380" w:rsidRPr="00E14D7C">
        <w:rPr>
          <w:sz w:val="14"/>
          <w:szCs w:val="18"/>
        </w:rPr>
        <w:t>devoto a utilizar</w:t>
      </w:r>
      <w:r w:rsidRPr="00E14D7C">
        <w:rPr>
          <w:sz w:val="14"/>
          <w:szCs w:val="18"/>
        </w:rPr>
        <w:t xml:space="preserve"> </w:t>
      </w:r>
      <w:proofErr w:type="gramStart"/>
      <w:r w:rsidRPr="00E14D7C">
        <w:rPr>
          <w:sz w:val="14"/>
          <w:szCs w:val="18"/>
        </w:rPr>
        <w:t xml:space="preserve">cualquier </w:t>
      </w:r>
      <w:r w:rsidR="0052194E" w:rsidRPr="00E14D7C">
        <w:rPr>
          <w:sz w:val="14"/>
          <w:szCs w:val="18"/>
        </w:rPr>
        <w:t>lechos</w:t>
      </w:r>
      <w:proofErr w:type="gramEnd"/>
      <w:r w:rsidR="0052194E" w:rsidRPr="00E14D7C">
        <w:rPr>
          <w:sz w:val="14"/>
          <w:szCs w:val="18"/>
        </w:rPr>
        <w:t xml:space="preserve"> de descanso </w:t>
      </w:r>
      <w:r w:rsidR="00BB4380" w:rsidRPr="00E14D7C">
        <w:rPr>
          <w:sz w:val="14"/>
          <w:szCs w:val="18"/>
        </w:rPr>
        <w:t>estará</w:t>
      </w:r>
    </w:p>
    <w:p w14:paraId="008DFD96" w14:textId="04B0C664" w:rsidR="005771DA" w:rsidRPr="00E14D7C" w:rsidRDefault="005771DA" w:rsidP="005771DA">
      <w:pPr>
        <w:pStyle w:val="VersoIngls01Sangria"/>
        <w:rPr>
          <w:sz w:val="14"/>
          <w:szCs w:val="18"/>
        </w:rPr>
      </w:pPr>
      <w:r w:rsidRPr="00E14D7C">
        <w:rPr>
          <w:sz w:val="14"/>
          <w:szCs w:val="18"/>
        </w:rPr>
        <w:t>Contento con lo que obten</w:t>
      </w:r>
      <w:r w:rsidR="00BB4380" w:rsidRPr="00E14D7C">
        <w:rPr>
          <w:sz w:val="14"/>
          <w:szCs w:val="18"/>
        </w:rPr>
        <w:t>ga</w:t>
      </w:r>
      <w:r w:rsidRPr="00E14D7C">
        <w:rPr>
          <w:sz w:val="14"/>
          <w:szCs w:val="18"/>
        </w:rPr>
        <w:t>, y él</w:t>
      </w:r>
    </w:p>
    <w:p w14:paraId="62461A43" w14:textId="68E5D7F2" w:rsidR="005771DA" w:rsidRPr="00E14D7C" w:rsidRDefault="00BB4380" w:rsidP="005771DA">
      <w:pPr>
        <w:pStyle w:val="VersoIngls01Sangria"/>
        <w:rPr>
          <w:sz w:val="14"/>
          <w:szCs w:val="18"/>
        </w:rPr>
      </w:pPr>
      <w:r w:rsidRPr="00E14D7C">
        <w:rPr>
          <w:sz w:val="14"/>
          <w:szCs w:val="18"/>
        </w:rPr>
        <w:t>Podrá</w:t>
      </w:r>
      <w:r w:rsidR="005771DA" w:rsidRPr="00E14D7C">
        <w:rPr>
          <w:sz w:val="14"/>
          <w:szCs w:val="18"/>
        </w:rPr>
        <w:t xml:space="preserve"> dormir </w:t>
      </w:r>
      <w:r w:rsidRPr="00E14D7C">
        <w:rPr>
          <w:sz w:val="14"/>
          <w:szCs w:val="18"/>
        </w:rPr>
        <w:t>con</w:t>
      </w:r>
      <w:r w:rsidR="005771DA" w:rsidRPr="00E14D7C">
        <w:rPr>
          <w:sz w:val="14"/>
          <w:szCs w:val="18"/>
        </w:rPr>
        <w:t xml:space="preserve"> felicidad </w:t>
      </w:r>
      <w:r w:rsidRPr="00E14D7C">
        <w:rPr>
          <w:sz w:val="14"/>
          <w:szCs w:val="18"/>
        </w:rPr>
        <w:t xml:space="preserve">y </w:t>
      </w:r>
      <w:r w:rsidR="005771DA" w:rsidRPr="00E14D7C">
        <w:rPr>
          <w:sz w:val="14"/>
          <w:szCs w:val="18"/>
        </w:rPr>
        <w:t>sin consternación</w:t>
      </w:r>
    </w:p>
    <w:p w14:paraId="366A7414" w14:textId="5C5CDE71" w:rsidR="005771DA" w:rsidRPr="00E14D7C" w:rsidRDefault="00BB4380" w:rsidP="005771DA">
      <w:pPr>
        <w:pStyle w:val="VersoIngls01Sangria"/>
        <w:spacing w:after="100"/>
        <w:ind w:left="1418"/>
        <w:rPr>
          <w:sz w:val="14"/>
          <w:szCs w:val="18"/>
        </w:rPr>
      </w:pPr>
      <w:r w:rsidRPr="00E14D7C">
        <w:rPr>
          <w:sz w:val="14"/>
          <w:szCs w:val="18"/>
        </w:rPr>
        <w:t>Sobre</w:t>
      </w:r>
      <w:r w:rsidR="005771DA" w:rsidRPr="00E14D7C">
        <w:rPr>
          <w:sz w:val="14"/>
          <w:szCs w:val="18"/>
        </w:rPr>
        <w:t xml:space="preserve"> nada más que una extensión de heno.</w:t>
      </w:r>
    </w:p>
    <w:p w14:paraId="2CF3EC3F" w14:textId="3725140B" w:rsidR="005771DA" w:rsidRPr="00E14D7C" w:rsidRDefault="005771DA" w:rsidP="005771DA">
      <w:pPr>
        <w:pStyle w:val="VersoIngls01Sangria"/>
        <w:rPr>
          <w:sz w:val="14"/>
          <w:szCs w:val="18"/>
        </w:rPr>
      </w:pPr>
      <w:r w:rsidRPr="00E14D7C">
        <w:rPr>
          <w:sz w:val="14"/>
          <w:szCs w:val="18"/>
        </w:rPr>
        <w:t>No est</w:t>
      </w:r>
      <w:r w:rsidR="0052194E" w:rsidRPr="00E14D7C">
        <w:rPr>
          <w:sz w:val="14"/>
          <w:szCs w:val="18"/>
        </w:rPr>
        <w:t>ar</w:t>
      </w:r>
      <w:r w:rsidRPr="00E14D7C">
        <w:rPr>
          <w:sz w:val="14"/>
          <w:szCs w:val="18"/>
        </w:rPr>
        <w:t>á ávido de lo mejor,</w:t>
      </w:r>
    </w:p>
    <w:p w14:paraId="24BB0395" w14:textId="33E3C2FD" w:rsidR="005771DA" w:rsidRPr="00E14D7C" w:rsidRDefault="005771DA" w:rsidP="005771DA">
      <w:pPr>
        <w:pStyle w:val="VersoIngls01Sangria"/>
        <w:rPr>
          <w:sz w:val="14"/>
          <w:szCs w:val="18"/>
        </w:rPr>
      </w:pPr>
      <w:r w:rsidRPr="00E14D7C">
        <w:rPr>
          <w:sz w:val="14"/>
          <w:szCs w:val="18"/>
        </w:rPr>
        <w:t>No detesta</w:t>
      </w:r>
      <w:r w:rsidR="0052194E" w:rsidRPr="00E14D7C">
        <w:rPr>
          <w:sz w:val="14"/>
          <w:szCs w:val="18"/>
        </w:rPr>
        <w:t>rá</w:t>
      </w:r>
      <w:r w:rsidRPr="00E14D7C">
        <w:rPr>
          <w:sz w:val="14"/>
          <w:szCs w:val="18"/>
        </w:rPr>
        <w:t xml:space="preserve"> ningún </w:t>
      </w:r>
      <w:r w:rsidR="00A732FC" w:rsidRPr="00E14D7C">
        <w:rPr>
          <w:sz w:val="14"/>
          <w:szCs w:val="18"/>
        </w:rPr>
        <w:t xml:space="preserve">humilde </w:t>
      </w:r>
      <w:r w:rsidRPr="00E14D7C">
        <w:rPr>
          <w:sz w:val="14"/>
          <w:szCs w:val="18"/>
        </w:rPr>
        <w:t>lecho,</w:t>
      </w:r>
    </w:p>
    <w:p w14:paraId="358524AD" w14:textId="70E8B698" w:rsidR="005771DA" w:rsidRPr="00E14D7C" w:rsidRDefault="005771DA" w:rsidP="005771DA">
      <w:pPr>
        <w:pStyle w:val="VersoIngls01Sangria"/>
        <w:rPr>
          <w:sz w:val="14"/>
          <w:szCs w:val="18"/>
        </w:rPr>
      </w:pPr>
      <w:r w:rsidRPr="00E14D7C">
        <w:rPr>
          <w:sz w:val="14"/>
          <w:szCs w:val="18"/>
        </w:rPr>
        <w:t>También ayuda</w:t>
      </w:r>
      <w:r w:rsidR="0052194E" w:rsidRPr="00E14D7C">
        <w:rPr>
          <w:sz w:val="14"/>
          <w:szCs w:val="18"/>
        </w:rPr>
        <w:t>rá</w:t>
      </w:r>
      <w:r w:rsidRPr="00E14D7C">
        <w:rPr>
          <w:sz w:val="14"/>
          <w:szCs w:val="18"/>
        </w:rPr>
        <w:t xml:space="preserve"> a sus jóvenes compañeros.</w:t>
      </w:r>
    </w:p>
    <w:p w14:paraId="4FDCC781" w14:textId="033DA0FC" w:rsidR="005771DA" w:rsidRPr="00E14D7C" w:rsidRDefault="005771DA" w:rsidP="005771DA">
      <w:pPr>
        <w:pStyle w:val="VersoIngls01Sangria"/>
        <w:spacing w:after="100"/>
        <w:ind w:left="1418"/>
        <w:rPr>
          <w:sz w:val="14"/>
          <w:szCs w:val="18"/>
        </w:rPr>
      </w:pPr>
      <w:r w:rsidRPr="00E14D7C">
        <w:rPr>
          <w:sz w:val="14"/>
          <w:szCs w:val="18"/>
        </w:rPr>
        <w:t xml:space="preserve">Que para la </w:t>
      </w:r>
      <w:r w:rsidR="00C303F3" w:rsidRPr="00E14D7C">
        <w:rPr>
          <w:sz w:val="14"/>
          <w:szCs w:val="18"/>
        </w:rPr>
        <w:t xml:space="preserve">vida </w:t>
      </w:r>
      <w:r w:rsidR="00C303F3">
        <w:rPr>
          <w:sz w:val="14"/>
          <w:szCs w:val="18"/>
        </w:rPr>
        <w:t xml:space="preserve">de un </w:t>
      </w:r>
      <w:r w:rsidRPr="00E14D7C">
        <w:rPr>
          <w:sz w:val="14"/>
          <w:szCs w:val="18"/>
        </w:rPr>
        <w:t>buen monje s</w:t>
      </w:r>
      <w:r w:rsidR="0052194E" w:rsidRPr="00E14D7C">
        <w:rPr>
          <w:sz w:val="14"/>
          <w:szCs w:val="18"/>
        </w:rPr>
        <w:t>ea</w:t>
      </w:r>
      <w:r w:rsidRPr="00E14D7C">
        <w:rPr>
          <w:sz w:val="14"/>
          <w:szCs w:val="18"/>
        </w:rPr>
        <w:t>n nuevos.</w:t>
      </w:r>
    </w:p>
    <w:p w14:paraId="63DE84B7" w14:textId="4DBAF908" w:rsidR="005771DA" w:rsidRPr="00E14D7C" w:rsidRDefault="005771DA" w:rsidP="005771DA">
      <w:pPr>
        <w:pStyle w:val="VersoIngls01Sangria"/>
        <w:rPr>
          <w:sz w:val="14"/>
          <w:szCs w:val="18"/>
        </w:rPr>
      </w:pPr>
      <w:r w:rsidRPr="00E14D7C">
        <w:rPr>
          <w:sz w:val="14"/>
          <w:szCs w:val="18"/>
        </w:rPr>
        <w:t xml:space="preserve">Entonces, para que un hombre sabio se </w:t>
      </w:r>
      <w:r w:rsidR="0052194E" w:rsidRPr="00E14D7C">
        <w:rPr>
          <w:sz w:val="14"/>
          <w:szCs w:val="18"/>
        </w:rPr>
        <w:t>complazca</w:t>
      </w:r>
    </w:p>
    <w:p w14:paraId="6A964D0D" w14:textId="74B368DB" w:rsidR="005771DA" w:rsidRPr="00E14D7C" w:rsidRDefault="0052194E" w:rsidP="005771DA">
      <w:pPr>
        <w:pStyle w:val="VersoIngls01Sangria"/>
        <w:rPr>
          <w:sz w:val="14"/>
          <w:szCs w:val="18"/>
        </w:rPr>
      </w:pPr>
      <w:r w:rsidRPr="00E14D7C">
        <w:rPr>
          <w:sz w:val="14"/>
          <w:szCs w:val="18"/>
        </w:rPr>
        <w:t xml:space="preserve">Cualquier </w:t>
      </w:r>
      <w:r w:rsidR="005771DA" w:rsidRPr="00E14D7C">
        <w:rPr>
          <w:sz w:val="14"/>
          <w:szCs w:val="18"/>
        </w:rPr>
        <w:t xml:space="preserve">tipo de </w:t>
      </w:r>
      <w:r w:rsidRPr="00E14D7C">
        <w:rPr>
          <w:sz w:val="14"/>
          <w:szCs w:val="18"/>
        </w:rPr>
        <w:t xml:space="preserve">lechos de descanso </w:t>
      </w:r>
      <w:r w:rsidR="00CC5189" w:rsidRPr="00CC5189">
        <w:rPr>
          <w:sz w:val="14"/>
          <w:szCs w:val="18"/>
        </w:rPr>
        <w:t xml:space="preserve">será </w:t>
      </w:r>
      <w:r w:rsidR="005771DA" w:rsidRPr="00E14D7C">
        <w:rPr>
          <w:sz w:val="14"/>
          <w:szCs w:val="18"/>
        </w:rPr>
        <w:t>correcto;</w:t>
      </w:r>
    </w:p>
    <w:p w14:paraId="2316CD22" w14:textId="3D4B58F3" w:rsidR="005771DA" w:rsidRPr="00E14D7C" w:rsidRDefault="005771DA" w:rsidP="005771DA">
      <w:pPr>
        <w:pStyle w:val="VersoIngls01Sangria"/>
        <w:rPr>
          <w:sz w:val="14"/>
          <w:szCs w:val="18"/>
        </w:rPr>
      </w:pPr>
      <w:r w:rsidRPr="00E14D7C">
        <w:rPr>
          <w:sz w:val="14"/>
          <w:szCs w:val="18"/>
        </w:rPr>
        <w:t xml:space="preserve">Un noble </w:t>
      </w:r>
      <w:r w:rsidR="00775E66" w:rsidRPr="00E14D7C">
        <w:rPr>
          <w:sz w:val="14"/>
          <w:szCs w:val="18"/>
        </w:rPr>
        <w:t xml:space="preserve">que </w:t>
      </w:r>
      <w:r w:rsidR="0052194E" w:rsidRPr="00E14D7C">
        <w:rPr>
          <w:sz w:val="14"/>
          <w:szCs w:val="18"/>
        </w:rPr>
        <w:t>am</w:t>
      </w:r>
      <w:r w:rsidR="00775E66" w:rsidRPr="00E14D7C">
        <w:rPr>
          <w:sz w:val="14"/>
          <w:szCs w:val="18"/>
        </w:rPr>
        <w:t>e</w:t>
      </w:r>
      <w:r w:rsidR="0052194E" w:rsidRPr="00E14D7C">
        <w:rPr>
          <w:sz w:val="14"/>
          <w:szCs w:val="18"/>
        </w:rPr>
        <w:t xml:space="preserve"> </w:t>
      </w:r>
      <w:r w:rsidRPr="00E14D7C">
        <w:rPr>
          <w:sz w:val="14"/>
          <w:szCs w:val="18"/>
        </w:rPr>
        <w:t xml:space="preserve">esta costumbre </w:t>
      </w:r>
    </w:p>
    <w:p w14:paraId="3CC849EC" w14:textId="124A0A1C" w:rsidR="005771DA" w:rsidRPr="00E14D7C" w:rsidRDefault="00CC5189" w:rsidP="005771DA">
      <w:pPr>
        <w:pStyle w:val="VersoIngls01Sangria"/>
        <w:spacing w:after="100"/>
        <w:ind w:left="1418"/>
        <w:rPr>
          <w:sz w:val="14"/>
          <w:szCs w:val="18"/>
        </w:rPr>
      </w:pPr>
      <w:r w:rsidRPr="00CC5189">
        <w:rPr>
          <w:sz w:val="14"/>
          <w:szCs w:val="18"/>
        </w:rPr>
        <w:t xml:space="preserve">Será </w:t>
      </w:r>
      <w:r w:rsidR="00775E66" w:rsidRPr="00E14D7C">
        <w:rPr>
          <w:sz w:val="14"/>
          <w:szCs w:val="18"/>
        </w:rPr>
        <w:t xml:space="preserve">elogiado por </w:t>
      </w:r>
      <w:r w:rsidR="005771DA" w:rsidRPr="00E14D7C">
        <w:rPr>
          <w:sz w:val="14"/>
          <w:szCs w:val="18"/>
        </w:rPr>
        <w:t>el Señor de los sabios.</w:t>
      </w:r>
    </w:p>
    <w:p w14:paraId="6AC8C1E4" w14:textId="64185D4A" w:rsidR="005771DA" w:rsidRDefault="00CC5189" w:rsidP="005771DA">
      <w:pPr>
        <w:pStyle w:val="NormalConSangria"/>
        <w:spacing w:after="60"/>
      </w:pPr>
      <w:r>
        <w:t>É</w:t>
      </w:r>
      <w:r w:rsidR="005771DA">
        <w:t xml:space="preserve">ste es el comentario sobre el </w:t>
      </w:r>
      <w:r w:rsidR="00775E66">
        <w:t>emprendimiento, las indicaciones, los grados, el incumplimiento y los beneficios</w:t>
      </w:r>
      <w:r w:rsidR="005771DA">
        <w:t>, en el caso de la práctica de</w:t>
      </w:r>
      <w:r w:rsidR="0066214E">
        <w:t>l</w:t>
      </w:r>
      <w:r w:rsidR="005771DA">
        <w:t xml:space="preserve"> </w:t>
      </w:r>
      <w:r w:rsidR="0066214E">
        <w:t xml:space="preserve">usuario de </w:t>
      </w:r>
      <w:r w:rsidR="005771DA">
        <w:t xml:space="preserve">cualquier </w:t>
      </w:r>
      <w:r w:rsidR="00775E66">
        <w:t>lecho de descanso</w:t>
      </w:r>
      <w:r w:rsidR="005771DA">
        <w:t>.</w:t>
      </w:r>
    </w:p>
    <w:p w14:paraId="32C33BE5" w14:textId="7758DEF8" w:rsidR="005771DA" w:rsidRDefault="005771DA" w:rsidP="005771DA">
      <w:pPr>
        <w:spacing w:after="60"/>
      </w:pPr>
      <w:r>
        <w:t xml:space="preserve">73. </w:t>
      </w:r>
      <w:r>
        <w:tab/>
      </w:r>
      <w:proofErr w:type="spellStart"/>
      <w:r>
        <w:t>xiii</w:t>
      </w:r>
      <w:proofErr w:type="spellEnd"/>
      <w:r>
        <w:t xml:space="preserve">. La </w:t>
      </w:r>
      <w:r w:rsidRPr="005B4265">
        <w:rPr>
          <w:i/>
          <w:iCs/>
        </w:rPr>
        <w:t>práctica de</w:t>
      </w:r>
      <w:r w:rsidR="005B4265" w:rsidRPr="005B4265">
        <w:rPr>
          <w:i/>
          <w:iCs/>
        </w:rPr>
        <w:t xml:space="preserve">l </w:t>
      </w:r>
      <w:r w:rsidR="001F11B9">
        <w:rPr>
          <w:i/>
          <w:iCs/>
        </w:rPr>
        <w:t>habitar sentado</w:t>
      </w:r>
      <w:r w:rsidR="005B4265" w:rsidRPr="005B4265">
        <w:rPr>
          <w:i/>
          <w:iCs/>
        </w:rPr>
        <w:t xml:space="preserve"> </w:t>
      </w:r>
      <w:r w:rsidRPr="00775E66">
        <w:t>se</w:t>
      </w:r>
      <w:r w:rsidRPr="005B4265">
        <w:rPr>
          <w:i/>
          <w:iCs/>
        </w:rPr>
        <w:t xml:space="preserve"> </w:t>
      </w:r>
      <w:r w:rsidR="00775E66">
        <w:rPr>
          <w:i/>
          <w:iCs/>
        </w:rPr>
        <w:t>emprende</w:t>
      </w:r>
      <w:r>
        <w:t xml:space="preserve"> con una de las siguientes afirmaciones: “Me niego a </w:t>
      </w:r>
      <w:r w:rsidR="00775E66">
        <w:t>re</w:t>
      </w:r>
      <w:r>
        <w:t>costarme” o “</w:t>
      </w:r>
      <w:r w:rsidR="00775E66">
        <w:t>Emprendo</w:t>
      </w:r>
      <w:r>
        <w:t xml:space="preserve"> la práctica de</w:t>
      </w:r>
      <w:r w:rsidR="0066214E">
        <w:t>l</w:t>
      </w:r>
      <w:r>
        <w:t xml:space="preserve"> </w:t>
      </w:r>
      <w:r w:rsidR="001F11B9">
        <w:t>habitar sentado</w:t>
      </w:r>
      <w:r>
        <w:t>”.</w:t>
      </w:r>
    </w:p>
    <w:p w14:paraId="06DD819C" w14:textId="6D67986E" w:rsidR="005771DA" w:rsidRDefault="005771DA" w:rsidP="005771DA">
      <w:pPr>
        <w:pStyle w:val="NormalConSangria"/>
        <w:spacing w:after="60"/>
      </w:pPr>
      <w:r>
        <w:tab/>
        <w:t xml:space="preserve">El que </w:t>
      </w:r>
      <w:r w:rsidR="001F11B9">
        <w:t>habite sentado</w:t>
      </w:r>
      <w:r>
        <w:t xml:space="preserve"> </w:t>
      </w:r>
      <w:r w:rsidR="001F11B9">
        <w:t xml:space="preserve">podrá </w:t>
      </w:r>
      <w:r>
        <w:t>levantarse en cualquiera de las tres vigilias de la noche y caminar</w:t>
      </w:r>
      <w:r w:rsidR="001F11B9">
        <w:t>á</w:t>
      </w:r>
      <w:r>
        <w:t xml:space="preserve"> </w:t>
      </w:r>
      <w:r w:rsidR="001F11B9">
        <w:t xml:space="preserve">de </w:t>
      </w:r>
      <w:r>
        <w:t xml:space="preserve">arriba </w:t>
      </w:r>
      <w:r w:rsidR="001F11B9">
        <w:t>a</w:t>
      </w:r>
      <w:r>
        <w:t xml:space="preserve"> abajo: ya que </w:t>
      </w:r>
      <w:r w:rsidR="0066214E">
        <w:t>re</w:t>
      </w:r>
      <w:r>
        <w:t xml:space="preserve">costarse </w:t>
      </w:r>
      <w:r w:rsidR="0066214E">
        <w:t xml:space="preserve">será </w:t>
      </w:r>
      <w:r>
        <w:t xml:space="preserve">la única postura no permitida. </w:t>
      </w:r>
      <w:r w:rsidR="00FB1950">
        <w:t>É</w:t>
      </w:r>
      <w:r>
        <w:t xml:space="preserve">stas son las </w:t>
      </w:r>
      <w:r w:rsidR="00FB1950">
        <w:br/>
      </w:r>
      <w:r w:rsidR="00FB1950">
        <w:rPr>
          <w:i/>
          <w:iCs/>
        </w:rPr>
        <w:t>indicaciones</w:t>
      </w:r>
      <w:r>
        <w:t>. [79]</w:t>
      </w:r>
    </w:p>
    <w:p w14:paraId="7AC1E0BC" w14:textId="0543C801" w:rsidR="005771DA" w:rsidRDefault="005771DA" w:rsidP="005771DA">
      <w:r>
        <w:t xml:space="preserve">74. </w:t>
      </w:r>
      <w:r>
        <w:tab/>
        <w:t xml:space="preserve">Esto también tiene tres </w:t>
      </w:r>
      <w:r w:rsidRPr="005B4265">
        <w:rPr>
          <w:i/>
          <w:iCs/>
        </w:rPr>
        <w:t>grados</w:t>
      </w:r>
      <w:r>
        <w:t xml:space="preserve">. </w:t>
      </w:r>
      <w:r w:rsidR="00FB1950">
        <w:t>Al respecto</w:t>
      </w:r>
      <w:r>
        <w:t>, a alguien que s</w:t>
      </w:r>
      <w:r w:rsidR="00FB1950">
        <w:t>ea</w:t>
      </w:r>
      <w:r>
        <w:t xml:space="preserve"> estricto no se le permit</w:t>
      </w:r>
      <w:r w:rsidR="00FB1950">
        <w:t>irá</w:t>
      </w:r>
      <w:r>
        <w:t xml:space="preserve"> un respaldo o una banda de tela o una correa de sujeción [para evitar caerse mientras duerm</w:t>
      </w:r>
      <w:r w:rsidR="00FB1950">
        <w:t>a</w:t>
      </w:r>
      <w:r>
        <w:t>].</w:t>
      </w:r>
      <w:r w:rsidR="007D0D73">
        <w:rPr>
          <w:vertAlign w:val="superscript"/>
        </w:rPr>
        <w:t>17</w:t>
      </w:r>
      <w:r>
        <w:t xml:space="preserve"> Al </w:t>
      </w:r>
    </w:p>
    <w:p w14:paraId="7AD78CCC" w14:textId="77777777" w:rsidR="005771DA" w:rsidRPr="005771DA" w:rsidRDefault="005771DA" w:rsidP="005771DA">
      <w:pPr>
        <w:pStyle w:val="PiedepginaLegal"/>
        <w:rPr>
          <w:u w:val="single"/>
        </w:rPr>
      </w:pPr>
      <w:r w:rsidRPr="005771DA">
        <w:rPr>
          <w:u w:val="single"/>
        </w:rPr>
        <w:t xml:space="preserve">                                                                                                                                                 .</w:t>
      </w:r>
    </w:p>
    <w:p w14:paraId="6426C693" w14:textId="77777777" w:rsidR="00B1155E" w:rsidRDefault="005771DA" w:rsidP="005771DA">
      <w:pPr>
        <w:pStyle w:val="PiedepginaLegal"/>
      </w:pPr>
      <w:r>
        <w:t xml:space="preserve">17. </w:t>
      </w:r>
      <w:r w:rsidR="00F84B6D">
        <w:tab/>
      </w:r>
      <w:proofErr w:type="spellStart"/>
      <w:r w:rsidRPr="005B4265">
        <w:rPr>
          <w:i/>
          <w:iCs/>
        </w:rPr>
        <w:t>Āyogapatta</w:t>
      </w:r>
      <w:proofErr w:type="spellEnd"/>
      <w:r>
        <w:t xml:space="preserve">— “una correa de sujeción”: este es probablemente el significado. Pero cfr. </w:t>
      </w:r>
      <w:proofErr w:type="spellStart"/>
      <w:r>
        <w:t>Vin</w:t>
      </w:r>
      <w:proofErr w:type="spellEnd"/>
      <w:r>
        <w:t xml:space="preserve"> II 135 y </w:t>
      </w:r>
      <w:proofErr w:type="spellStart"/>
      <w:r>
        <w:t>Vin</w:t>
      </w:r>
      <w:proofErr w:type="spellEnd"/>
      <w:r>
        <w:t>-a 891.</w:t>
      </w:r>
    </w:p>
    <w:p w14:paraId="671F8FFB" w14:textId="77777777" w:rsidR="00B1155E" w:rsidRDefault="00B1155E">
      <w:pPr>
        <w:tabs>
          <w:tab w:val="clear" w:pos="425"/>
        </w:tabs>
        <w:spacing w:after="160"/>
      </w:pPr>
      <w:r>
        <w:br w:type="page"/>
      </w:r>
    </w:p>
    <w:p w14:paraId="486B23CE" w14:textId="0B506D5C" w:rsidR="000B682D" w:rsidRDefault="00B124CC" w:rsidP="000B682D">
      <w:r>
        <w:lastRenderedPageBreak/>
        <w:t xml:space="preserve">intermedio se le permitirá cualquiera de estos </w:t>
      </w:r>
      <w:r w:rsidR="000B682D">
        <w:t xml:space="preserve">tres. Al </w:t>
      </w:r>
      <w:r w:rsidR="00E14D7C">
        <w:t>moderado</w:t>
      </w:r>
      <w:r w:rsidR="000B682D">
        <w:t xml:space="preserve"> se le </w:t>
      </w:r>
      <w:r w:rsidR="006E1749">
        <w:t xml:space="preserve">permitirá </w:t>
      </w:r>
      <w:r w:rsidR="000B682D">
        <w:t xml:space="preserve">un respaldo, una banda de tela, una correa de sujeción, un cojín, un "cinco </w:t>
      </w:r>
      <w:r w:rsidR="006E1749">
        <w:t xml:space="preserve">patas </w:t>
      </w:r>
      <w:r w:rsidR="000B682D">
        <w:t xml:space="preserve">" y un "siete </w:t>
      </w:r>
      <w:r w:rsidR="006E1749">
        <w:t xml:space="preserve">patas </w:t>
      </w:r>
      <w:r w:rsidR="000B682D">
        <w:t xml:space="preserve">". Un “cinco patas” es [una silla] hecha con [cuatro patas y] un soporte para la espalda. Un “siete </w:t>
      </w:r>
      <w:r w:rsidR="006E1749">
        <w:t>patas</w:t>
      </w:r>
      <w:r w:rsidR="000B682D">
        <w:t xml:space="preserve">” es </w:t>
      </w:r>
      <w:r w:rsidR="00E14D7C">
        <w:t>algo</w:t>
      </w:r>
      <w:r w:rsidR="000B682D">
        <w:t xml:space="preserve"> hecho con [cuatro patas], un soporte para la espalda y un soporte [para los brazos] a cada lado. Hicieron eso, al parecer, para el </w:t>
      </w:r>
      <w:r w:rsidR="00E14D7C">
        <w:t xml:space="preserve">Venerable </w:t>
      </w:r>
      <w:proofErr w:type="spellStart"/>
      <w:r w:rsidR="000B682D" w:rsidRPr="005B4265">
        <w:rPr>
          <w:i/>
          <w:iCs/>
        </w:rPr>
        <w:t>Pīṭhābhaya</w:t>
      </w:r>
      <w:proofErr w:type="spellEnd"/>
      <w:r w:rsidR="000B682D">
        <w:t xml:space="preserve"> (</w:t>
      </w:r>
      <w:proofErr w:type="spellStart"/>
      <w:r w:rsidR="000B682D" w:rsidRPr="005B4265">
        <w:rPr>
          <w:i/>
          <w:iCs/>
        </w:rPr>
        <w:t>Abhaya</w:t>
      </w:r>
      <w:proofErr w:type="spellEnd"/>
      <w:r w:rsidR="000B682D">
        <w:t xml:space="preserve"> de la silla). El </w:t>
      </w:r>
      <w:r w:rsidR="00E14D7C">
        <w:t xml:space="preserve">Venerable </w:t>
      </w:r>
      <w:r w:rsidR="000B682D">
        <w:t xml:space="preserve">se convirtió en un no retornante y luego </w:t>
      </w:r>
      <w:r w:rsidR="00E14D7C">
        <w:t>consumó</w:t>
      </w:r>
      <w:r w:rsidR="000B682D">
        <w:t xml:space="preserve"> el </w:t>
      </w:r>
      <w:r w:rsidR="000B682D" w:rsidRPr="00E14D7C">
        <w:rPr>
          <w:i/>
          <w:iCs/>
        </w:rPr>
        <w:t>Nibbāna</w:t>
      </w:r>
      <w:r w:rsidR="000B682D">
        <w:t>.</w:t>
      </w:r>
    </w:p>
    <w:p w14:paraId="51496782" w14:textId="068B7FC5" w:rsidR="000B682D" w:rsidRDefault="000B682D" w:rsidP="000B682D">
      <w:pPr>
        <w:pStyle w:val="NormalConSangria"/>
      </w:pPr>
      <w:r>
        <w:t xml:space="preserve">Tan pronto como cualquiera de estos tres se </w:t>
      </w:r>
      <w:r w:rsidR="00840B13">
        <w:t>re</w:t>
      </w:r>
      <w:r>
        <w:t>cuest</w:t>
      </w:r>
      <w:r w:rsidR="00E14D7C">
        <w:t>e</w:t>
      </w:r>
      <w:r>
        <w:t xml:space="preserve">, su práctica </w:t>
      </w:r>
      <w:r w:rsidR="00656CF3">
        <w:t>asceta</w:t>
      </w:r>
      <w:r>
        <w:t xml:space="preserve"> se rompe</w:t>
      </w:r>
      <w:r w:rsidR="00E14D7C">
        <w:t>rá</w:t>
      </w:r>
      <w:r>
        <w:t xml:space="preserve">. </w:t>
      </w:r>
      <w:r w:rsidR="00E14D7C">
        <w:t>É</w:t>
      </w:r>
      <w:r>
        <w:t xml:space="preserve">ste </w:t>
      </w:r>
      <w:r w:rsidR="00840B13">
        <w:t xml:space="preserve">será </w:t>
      </w:r>
      <w:r>
        <w:t xml:space="preserve">el </w:t>
      </w:r>
      <w:r w:rsidRPr="00840B13">
        <w:rPr>
          <w:i/>
          <w:iCs/>
        </w:rPr>
        <w:t>incumplimiento</w:t>
      </w:r>
      <w:r>
        <w:t xml:space="preserve"> en este caso.</w:t>
      </w:r>
    </w:p>
    <w:p w14:paraId="0814BF9F" w14:textId="5089342F" w:rsidR="000B682D" w:rsidRDefault="000B682D" w:rsidP="000B682D">
      <w:r>
        <w:t xml:space="preserve">75. </w:t>
      </w:r>
      <w:r>
        <w:tab/>
        <w:t xml:space="preserve">Los </w:t>
      </w:r>
      <w:r w:rsidRPr="00E14D7C">
        <w:rPr>
          <w:i/>
          <w:iCs/>
        </w:rPr>
        <w:t>beneficios</w:t>
      </w:r>
      <w:r>
        <w:t xml:space="preserve"> son estos. El grillete mental descrito así, “Él mora entregándose al placer de yacer boca abajo, </w:t>
      </w:r>
      <w:r w:rsidR="00E14D7C">
        <w:t>a</w:t>
      </w:r>
      <w:r>
        <w:t xml:space="preserve">l placer de holgazanear, </w:t>
      </w:r>
      <w:r w:rsidR="00E14D7C">
        <w:t>a</w:t>
      </w:r>
      <w:r>
        <w:t xml:space="preserve">l placer del letargo” (M I 102), </w:t>
      </w:r>
      <w:r w:rsidR="00407F9A">
        <w:t>será erradicado</w:t>
      </w:r>
      <w:r>
        <w:t xml:space="preserve">; su estado </w:t>
      </w:r>
      <w:r w:rsidR="00407F9A">
        <w:t xml:space="preserve">será </w:t>
      </w:r>
      <w:r>
        <w:t xml:space="preserve">apto para la devoción </w:t>
      </w:r>
      <w:r w:rsidR="00407F9A">
        <w:t>hacia</w:t>
      </w:r>
      <w:r>
        <w:t xml:space="preserve"> cualquier </w:t>
      </w:r>
      <w:r w:rsidR="00407F9A">
        <w:t xml:space="preserve">objeto </w:t>
      </w:r>
      <w:r>
        <w:t>de meditación; su porte inspira</w:t>
      </w:r>
      <w:r w:rsidR="00407F9A">
        <w:t>rá</w:t>
      </w:r>
      <w:r>
        <w:t xml:space="preserve"> confianza; su estado favorece</w:t>
      </w:r>
      <w:r w:rsidR="00407F9A">
        <w:t>rá</w:t>
      </w:r>
      <w:r>
        <w:t xml:space="preserve"> la aplicación de </w:t>
      </w:r>
      <w:r w:rsidR="00407F9A">
        <w:t xml:space="preserve">la </w:t>
      </w:r>
      <w:r>
        <w:t>energía; él desarrolla</w:t>
      </w:r>
      <w:r w:rsidR="00407F9A">
        <w:t>rá</w:t>
      </w:r>
      <w:r>
        <w:t xml:space="preserve"> la práctica correcta.</w:t>
      </w:r>
    </w:p>
    <w:p w14:paraId="1F07DEA0" w14:textId="4A1C60C7" w:rsidR="000B682D" w:rsidRDefault="000B682D" w:rsidP="000B682D">
      <w:pPr>
        <w:pStyle w:val="VersoIngls01Sangria"/>
        <w:ind w:hanging="1416"/>
      </w:pPr>
      <w:r>
        <w:t xml:space="preserve">76. </w:t>
      </w:r>
      <w:r>
        <w:tab/>
      </w:r>
      <w:r>
        <w:tab/>
        <w:t>El adepto que pued</w:t>
      </w:r>
      <w:r w:rsidR="005F1714">
        <w:t>a</w:t>
      </w:r>
      <w:r>
        <w:t xml:space="preserve"> colocar</w:t>
      </w:r>
      <w:r w:rsidR="005F1714">
        <w:t>se</w:t>
      </w:r>
      <w:r>
        <w:t xml:space="preserve"> transversalmente</w:t>
      </w:r>
    </w:p>
    <w:p w14:paraId="0BF46BE2" w14:textId="77777777" w:rsidR="000B682D" w:rsidRDefault="000B682D" w:rsidP="000B682D">
      <w:pPr>
        <w:pStyle w:val="VersoIngls01Sangria"/>
      </w:pPr>
      <w:r>
        <w:t>Sus pies para descansar sobre sus muslos</w:t>
      </w:r>
    </w:p>
    <w:p w14:paraId="3ADB62B7" w14:textId="77777777" w:rsidR="000B682D" w:rsidRDefault="000B682D" w:rsidP="000B682D">
      <w:pPr>
        <w:pStyle w:val="VersoIngls01Sangria"/>
      </w:pPr>
      <w:r>
        <w:t>Y sentarse con la espalda erguida hará</w:t>
      </w:r>
    </w:p>
    <w:p w14:paraId="0D66E75E" w14:textId="5D50B2C2" w:rsidR="000B682D" w:rsidRDefault="00C7548B" w:rsidP="000B682D">
      <w:pPr>
        <w:pStyle w:val="VersoIngls01Sangria"/>
        <w:spacing w:after="100"/>
        <w:ind w:left="1418"/>
      </w:pPr>
      <w:r>
        <w:t>Que e</w:t>
      </w:r>
      <w:r w:rsidR="000B682D">
        <w:t xml:space="preserve">l malvado </w:t>
      </w:r>
      <w:r w:rsidR="005B4265">
        <w:t xml:space="preserve">y asqueroso </w:t>
      </w:r>
      <w:r w:rsidR="000B682D">
        <w:t xml:space="preserve">corazón de </w:t>
      </w:r>
      <w:r w:rsidR="00057BF4" w:rsidRPr="00057BF4">
        <w:rPr>
          <w:i/>
          <w:iCs/>
        </w:rPr>
        <w:t>Māra</w:t>
      </w:r>
      <w:r w:rsidR="000B682D">
        <w:t xml:space="preserve"> se estreme</w:t>
      </w:r>
      <w:r>
        <w:t>zca</w:t>
      </w:r>
      <w:r w:rsidR="000B682D">
        <w:t>.</w:t>
      </w:r>
    </w:p>
    <w:p w14:paraId="3FC6AF4E" w14:textId="7DBC2B63" w:rsidR="000B682D" w:rsidRDefault="000B682D" w:rsidP="000B682D">
      <w:pPr>
        <w:pStyle w:val="VersoIngls01Sangria"/>
      </w:pPr>
      <w:r>
        <w:t xml:space="preserve">No </w:t>
      </w:r>
      <w:r w:rsidR="001250F8">
        <w:t xml:space="preserve">habrá </w:t>
      </w:r>
      <w:r>
        <w:t xml:space="preserve">más alegrías supinas para </w:t>
      </w:r>
      <w:r w:rsidR="00C7548B">
        <w:t xml:space="preserve">un </w:t>
      </w:r>
      <w:r>
        <w:t>regordete</w:t>
      </w:r>
    </w:p>
    <w:p w14:paraId="444018FB" w14:textId="4942B5F2" w:rsidR="000B682D" w:rsidRDefault="00DD2B79" w:rsidP="000B682D">
      <w:pPr>
        <w:pStyle w:val="VersoIngls01Sangria"/>
      </w:pPr>
      <w:r>
        <w:t>Ni</w:t>
      </w:r>
      <w:r w:rsidR="000B682D">
        <w:t xml:space="preserve"> </w:t>
      </w:r>
      <w:r>
        <w:t xml:space="preserve">la de </w:t>
      </w:r>
      <w:r w:rsidR="000B682D">
        <w:t xml:space="preserve">revolcarse en </w:t>
      </w:r>
      <w:r w:rsidR="00C7548B">
        <w:t xml:space="preserve">el </w:t>
      </w:r>
      <w:r w:rsidR="000B682D">
        <w:t xml:space="preserve">basurero </w:t>
      </w:r>
      <w:r>
        <w:t>del letargo</w:t>
      </w:r>
      <w:r w:rsidR="000B682D">
        <w:t>;</w:t>
      </w:r>
    </w:p>
    <w:p w14:paraId="6A0B2042" w14:textId="1530F0B8" w:rsidR="000B682D" w:rsidRDefault="000B682D" w:rsidP="000B682D">
      <w:pPr>
        <w:pStyle w:val="VersoIngls01Sangria"/>
      </w:pPr>
      <w:r>
        <w:t>Quien se sient</w:t>
      </w:r>
      <w:r w:rsidR="00DD2B79">
        <w:t>a</w:t>
      </w:r>
      <w:r>
        <w:t xml:space="preserve"> a descansar y lo encuentr</w:t>
      </w:r>
      <w:r w:rsidR="00C7548B">
        <w:t>e</w:t>
      </w:r>
      <w:r>
        <w:t xml:space="preserve"> bueno</w:t>
      </w:r>
    </w:p>
    <w:p w14:paraId="47E18454" w14:textId="01BC0F00" w:rsidR="000B682D" w:rsidRDefault="000B682D" w:rsidP="000B682D">
      <w:pPr>
        <w:pStyle w:val="VersoIngls01Sangria"/>
        <w:spacing w:after="100"/>
        <w:ind w:left="1418"/>
      </w:pPr>
      <w:r>
        <w:t>Brilla</w:t>
      </w:r>
      <w:r w:rsidR="006F4CE9">
        <w:t>rá</w:t>
      </w:r>
      <w:r>
        <w:t xml:space="preserve"> en el Bosque de los Ascetas.</w:t>
      </w:r>
    </w:p>
    <w:p w14:paraId="319E6A20" w14:textId="77777777" w:rsidR="000B682D" w:rsidRDefault="000B682D" w:rsidP="000B682D">
      <w:pPr>
        <w:pStyle w:val="VersoIngls01Sangria"/>
      </w:pPr>
      <w:r>
        <w:t>La felicidad y la dicha que trae.</w:t>
      </w:r>
    </w:p>
    <w:p w14:paraId="255A1EC6" w14:textId="77777777" w:rsidR="000B682D" w:rsidRDefault="000B682D" w:rsidP="000B682D">
      <w:pPr>
        <w:pStyle w:val="VersoIngls01Sangria"/>
      </w:pPr>
      <w:r>
        <w:t>No tiene nada que ver con cosas mundanas;</w:t>
      </w:r>
    </w:p>
    <w:p w14:paraId="0D5B60E8" w14:textId="610A2481" w:rsidR="000B682D" w:rsidRDefault="000B682D" w:rsidP="000B682D">
      <w:pPr>
        <w:pStyle w:val="VersoIngls01Sangria"/>
      </w:pPr>
      <w:r>
        <w:t xml:space="preserve">Así debe corresponder el voto de </w:t>
      </w:r>
      <w:r w:rsidR="006F4CE9">
        <w:t>habitar sentado</w:t>
      </w:r>
    </w:p>
    <w:p w14:paraId="05A168FF" w14:textId="7BDCDD69" w:rsidR="000B682D" w:rsidRDefault="000B682D" w:rsidP="000B682D">
      <w:pPr>
        <w:pStyle w:val="VersoIngls01Sangria"/>
        <w:spacing w:after="100"/>
        <w:ind w:left="1418"/>
      </w:pPr>
      <w:r>
        <w:t xml:space="preserve">Los modales de un hombre de </w:t>
      </w:r>
      <w:r w:rsidR="00DD2B79">
        <w:t>inteligencia</w:t>
      </w:r>
      <w:r>
        <w:t>.</w:t>
      </w:r>
    </w:p>
    <w:p w14:paraId="1C45A168" w14:textId="36EDCDE5" w:rsidR="000B682D" w:rsidRDefault="00726F80" w:rsidP="000B682D">
      <w:pPr>
        <w:pStyle w:val="NormalConSangria"/>
      </w:pPr>
      <w:r>
        <w:t>É</w:t>
      </w:r>
      <w:r w:rsidR="000B682D">
        <w:t>s</w:t>
      </w:r>
      <w:r>
        <w:t>te</w:t>
      </w:r>
      <w:r w:rsidR="000B682D">
        <w:t xml:space="preserve"> </w:t>
      </w:r>
      <w:r>
        <w:t xml:space="preserve">es </w:t>
      </w:r>
      <w:r w:rsidR="000B682D">
        <w:t>el comentario del</w:t>
      </w:r>
      <w:r w:rsidRPr="00726F80">
        <w:t xml:space="preserve"> </w:t>
      </w:r>
      <w:r>
        <w:t>emprendimiento, las indicaciones, los grados, el incumplimiento y los beneficios,</w:t>
      </w:r>
      <w:r w:rsidR="000B682D">
        <w:t xml:space="preserve"> en el caso de la práctica del </w:t>
      </w:r>
      <w:r w:rsidR="00640FFF">
        <w:t>habitar sentado</w:t>
      </w:r>
      <w:r w:rsidR="000B682D">
        <w:t>.</w:t>
      </w:r>
    </w:p>
    <w:p w14:paraId="364DD10C" w14:textId="09E06921" w:rsidR="000B682D" w:rsidRDefault="000B682D" w:rsidP="000B682D">
      <w:r>
        <w:t xml:space="preserve">77. </w:t>
      </w:r>
      <w:r>
        <w:tab/>
        <w:t xml:space="preserve">Ahora, </w:t>
      </w:r>
      <w:r w:rsidR="00E14581">
        <w:t>existe un</w:t>
      </w:r>
      <w:r>
        <w:t xml:space="preserve"> comentario </w:t>
      </w:r>
      <w:r w:rsidR="00DF13A9">
        <w:t>de</w:t>
      </w:r>
      <w:r w:rsidR="00E14581">
        <w:t xml:space="preserve"> </w:t>
      </w:r>
      <w:r>
        <w:t>la estrofa:</w:t>
      </w:r>
    </w:p>
    <w:p w14:paraId="62599106" w14:textId="43935AE4" w:rsidR="000B682D" w:rsidRDefault="000B682D" w:rsidP="00640FFF">
      <w:pPr>
        <w:pStyle w:val="NumeracinReload"/>
        <w:ind w:left="992"/>
      </w:pPr>
      <w:r>
        <w:tab/>
        <w:t xml:space="preserve">(4). </w:t>
      </w:r>
      <w:r>
        <w:tab/>
        <w:t xml:space="preserve">En cuanto a la tríada </w:t>
      </w:r>
      <w:r w:rsidR="00726F80">
        <w:t>productiva</w:t>
      </w:r>
      <w:r>
        <w:t>,</w:t>
      </w:r>
    </w:p>
    <w:p w14:paraId="211D80F4" w14:textId="5AE53045" w:rsidR="000B682D" w:rsidRDefault="000B682D" w:rsidP="00640FFF">
      <w:pPr>
        <w:pStyle w:val="NumeracinReload"/>
        <w:ind w:left="992"/>
      </w:pPr>
      <w:r>
        <w:tab/>
        <w:t xml:space="preserve">(5). </w:t>
      </w:r>
      <w:r>
        <w:tab/>
      </w:r>
      <w:r w:rsidR="00DF13A9">
        <w:t>A</w:t>
      </w:r>
      <w:r w:rsidR="00E14581">
        <w:t xml:space="preserve">l </w:t>
      </w:r>
      <w:r>
        <w:t xml:space="preserve">"Asceta" y </w:t>
      </w:r>
      <w:r w:rsidR="006640E2" w:rsidRPr="006640E2">
        <w:t xml:space="preserve">demás </w:t>
      </w:r>
      <w:r w:rsidR="00E14581">
        <w:t>distinguidos</w:t>
      </w:r>
      <w:r>
        <w:t>,</w:t>
      </w:r>
    </w:p>
    <w:p w14:paraId="14A9FD70" w14:textId="77777777" w:rsidR="001C635B" w:rsidRDefault="000B682D" w:rsidP="001C635B">
      <w:pPr>
        <w:pStyle w:val="NumeracinReload"/>
        <w:ind w:left="992"/>
      </w:pPr>
      <w:r>
        <w:tab/>
        <w:t xml:space="preserve">(6). </w:t>
      </w:r>
      <w:r>
        <w:tab/>
        <w:t xml:space="preserve">En cuanto a grupos, y también </w:t>
      </w:r>
    </w:p>
    <w:p w14:paraId="03E8C817" w14:textId="51CB8A25" w:rsidR="000B682D" w:rsidRDefault="001C635B" w:rsidP="001C635B">
      <w:pPr>
        <w:pStyle w:val="NumeracinReload"/>
        <w:ind w:left="992"/>
      </w:pPr>
      <w:r>
        <w:tab/>
      </w:r>
      <w:r w:rsidR="000B682D">
        <w:t xml:space="preserve">(7) </w:t>
      </w:r>
      <w:r>
        <w:tab/>
      </w:r>
      <w:r w:rsidR="000B682D">
        <w:t>individualmente,</w:t>
      </w:r>
    </w:p>
    <w:p w14:paraId="1450DDB8" w14:textId="5179473D" w:rsidR="000B682D" w:rsidRDefault="00705526" w:rsidP="001C635B">
      <w:pPr>
        <w:pStyle w:val="NumeracinReload"/>
        <w:ind w:left="992"/>
      </w:pPr>
      <w:r>
        <w:tab/>
      </w:r>
      <w:r w:rsidR="000B682D">
        <w:t>La exposición debe ser conocida (ver §3).</w:t>
      </w:r>
    </w:p>
    <w:p w14:paraId="03B0388A" w14:textId="77777777" w:rsidR="001C635B" w:rsidRDefault="001C635B" w:rsidP="001C635B">
      <w:pPr>
        <w:pStyle w:val="NumeracinReload"/>
        <w:ind w:left="992"/>
      </w:pPr>
    </w:p>
    <w:p w14:paraId="7D569AA1" w14:textId="3F571266" w:rsidR="000B682D" w:rsidRDefault="000B682D" w:rsidP="000B682D">
      <w:r>
        <w:t xml:space="preserve">78. </w:t>
      </w:r>
      <w:r>
        <w:tab/>
      </w:r>
      <w:r w:rsidRPr="00705526">
        <w:rPr>
          <w:i/>
          <w:iCs/>
        </w:rPr>
        <w:t>4</w:t>
      </w:r>
      <w:r>
        <w:t xml:space="preserve">. </w:t>
      </w:r>
      <w:r w:rsidR="000C7A32">
        <w:t>Al respecto</w:t>
      </w:r>
      <w:r>
        <w:t xml:space="preserve">, en cuanto a la </w:t>
      </w:r>
      <w:r w:rsidRPr="005B4265">
        <w:rPr>
          <w:i/>
          <w:iCs/>
        </w:rPr>
        <w:t xml:space="preserve">tríada </w:t>
      </w:r>
      <w:r w:rsidR="00705526">
        <w:rPr>
          <w:i/>
          <w:iCs/>
        </w:rPr>
        <w:t>productiva</w:t>
      </w:r>
      <w:r>
        <w:t>: (</w:t>
      </w:r>
      <w:proofErr w:type="spellStart"/>
      <w:r>
        <w:t>Dhs</w:t>
      </w:r>
      <w:proofErr w:type="spellEnd"/>
      <w:r>
        <w:t xml:space="preserve">, p.1) todas las prácticas </w:t>
      </w:r>
      <w:r w:rsidR="00656CF3">
        <w:t>asceta</w:t>
      </w:r>
      <w:r>
        <w:t>s, es decir, las de l</w:t>
      </w:r>
      <w:r w:rsidR="000C7A32">
        <w:t>o</w:t>
      </w:r>
      <w:r>
        <w:t xml:space="preserve">s </w:t>
      </w:r>
      <w:r w:rsidR="001B6FA9">
        <w:t>instructores</w:t>
      </w:r>
      <w:r>
        <w:t>, los hombres ordinarios y los hombres que ha</w:t>
      </w:r>
      <w:r w:rsidR="001C635B">
        <w:t>ya</w:t>
      </w:r>
      <w:r>
        <w:t xml:space="preserve">n destruido </w:t>
      </w:r>
      <w:r w:rsidR="0084613E">
        <w:t xml:space="preserve">las </w:t>
      </w:r>
      <w:proofErr w:type="gramStart"/>
      <w:r w:rsidR="0084613E">
        <w:t>corrupciones</w:t>
      </w:r>
      <w:r>
        <w:t>,</w:t>
      </w:r>
      <w:proofErr w:type="gramEnd"/>
      <w:r>
        <w:t xml:space="preserve"> pueden ser </w:t>
      </w:r>
      <w:r w:rsidR="0084613E">
        <w:t xml:space="preserve">productivas </w:t>
      </w:r>
      <w:r>
        <w:t xml:space="preserve">o [ en el caso del </w:t>
      </w:r>
      <w:r w:rsidR="00057BF4" w:rsidRPr="00057BF4">
        <w:rPr>
          <w:i/>
        </w:rPr>
        <w:t>Arahant</w:t>
      </w:r>
      <w:r>
        <w:t xml:space="preserve">] indeterminado. [80] Ninguna práctica </w:t>
      </w:r>
      <w:r w:rsidR="00656CF3">
        <w:t>asceta</w:t>
      </w:r>
      <w:r>
        <w:t xml:space="preserve"> s</w:t>
      </w:r>
      <w:r w:rsidR="00BA5013">
        <w:t>erá</w:t>
      </w:r>
      <w:r>
        <w:t xml:space="preserve"> </w:t>
      </w:r>
      <w:r w:rsidR="00147DF8">
        <w:t>improductiva</w:t>
      </w:r>
      <w:r>
        <w:t>.</w:t>
      </w:r>
    </w:p>
    <w:p w14:paraId="209A01A9" w14:textId="1DC9C287" w:rsidR="000B682D" w:rsidRDefault="000B682D" w:rsidP="000B682D">
      <w:pPr>
        <w:pStyle w:val="NormalConSangria"/>
      </w:pPr>
      <w:r>
        <w:t xml:space="preserve">Pero si alguien dijera: También hay una práctica </w:t>
      </w:r>
      <w:r w:rsidR="00656CF3">
        <w:t>asceta</w:t>
      </w:r>
      <w:r>
        <w:t xml:space="preserve"> </w:t>
      </w:r>
      <w:r w:rsidR="00147DF8">
        <w:t xml:space="preserve">improductiva </w:t>
      </w:r>
      <w:r>
        <w:t xml:space="preserve">debido a la </w:t>
      </w:r>
      <w:r w:rsidR="00147DF8">
        <w:t>afirmación</w:t>
      </w:r>
      <w:r>
        <w:t xml:space="preserve"> “El que ten</w:t>
      </w:r>
      <w:r w:rsidR="00BA5013">
        <w:t>ga</w:t>
      </w:r>
      <w:r>
        <w:t xml:space="preserve"> malos deseos, pres</w:t>
      </w:r>
      <w:r w:rsidR="00BA5013">
        <w:t>o</w:t>
      </w:r>
      <w:r>
        <w:t xml:space="preserve"> de deseos, </w:t>
      </w:r>
      <w:r w:rsidR="00B017A8">
        <w:t xml:space="preserve">que </w:t>
      </w:r>
      <w:r>
        <w:t>se conviert</w:t>
      </w:r>
      <w:r w:rsidR="00B017A8">
        <w:t>a</w:t>
      </w:r>
      <w:r>
        <w:t xml:space="preserve"> en un habitante del bosque” (A III 219), etc., se le debe decir: No hemos di</w:t>
      </w:r>
      <w:r w:rsidR="003C0737">
        <w:t>ch</w:t>
      </w:r>
      <w:r>
        <w:t>o que él no viv</w:t>
      </w:r>
      <w:r w:rsidR="003C0737">
        <w:t>a</w:t>
      </w:r>
      <w:r>
        <w:t xml:space="preserve"> en el bosque con </w:t>
      </w:r>
      <w:r w:rsidR="00305E12">
        <w:t>consciencia</w:t>
      </w:r>
      <w:r>
        <w:t xml:space="preserve"> improductiva. El que </w:t>
      </w:r>
      <w:r w:rsidR="00B017A8">
        <w:t xml:space="preserve">habite </w:t>
      </w:r>
      <w:r>
        <w:t>en el bosque s</w:t>
      </w:r>
      <w:r w:rsidR="003C0737">
        <w:t>erá</w:t>
      </w:r>
      <w:r>
        <w:t xml:space="preserve"> un habitante del bosque; y </w:t>
      </w:r>
      <w:r w:rsidR="003C0737">
        <w:t>podrá</w:t>
      </w:r>
      <w:r>
        <w:t xml:space="preserve"> ser de malos deseos o de pocos deseos. Pero, como se dijo anteriormente (§11), “</w:t>
      </w:r>
      <w:r w:rsidR="00A916F4">
        <w:t>éstas son</w:t>
      </w:r>
      <w:r w:rsidR="00B017A8">
        <w:t xml:space="preserve"> </w:t>
      </w:r>
      <w:r>
        <w:t>la</w:t>
      </w:r>
      <w:r w:rsidR="00A916F4">
        <w:t>s</w:t>
      </w:r>
      <w:r>
        <w:t xml:space="preserve"> práctica</w:t>
      </w:r>
      <w:r w:rsidR="00A916F4">
        <w:t>s</w:t>
      </w:r>
      <w:r>
        <w:t xml:space="preserve"> (</w:t>
      </w:r>
      <w:proofErr w:type="spellStart"/>
      <w:r w:rsidRPr="005B4265">
        <w:rPr>
          <w:i/>
          <w:iCs/>
        </w:rPr>
        <w:t>aṅga</w:t>
      </w:r>
      <w:proofErr w:type="spellEnd"/>
      <w:r>
        <w:t xml:space="preserve">) de un </w:t>
      </w:r>
      <w:proofErr w:type="spellStart"/>
      <w:r w:rsidR="00057BF4" w:rsidRPr="00057BF4">
        <w:rPr>
          <w:i/>
          <w:iCs/>
        </w:rPr>
        <w:t>bhikkhu</w:t>
      </w:r>
      <w:proofErr w:type="spellEnd"/>
      <w:r>
        <w:t xml:space="preserve"> asceta (</w:t>
      </w:r>
      <w:proofErr w:type="spellStart"/>
      <w:r w:rsidRPr="005B4265">
        <w:rPr>
          <w:i/>
          <w:iCs/>
        </w:rPr>
        <w:t>dhuta</w:t>
      </w:r>
      <w:proofErr w:type="spellEnd"/>
      <w:r>
        <w:t xml:space="preserve">) </w:t>
      </w:r>
      <w:r w:rsidR="00426EE9">
        <w:t xml:space="preserve">mediante </w:t>
      </w:r>
      <w:r w:rsidR="00C46CDC">
        <w:t xml:space="preserve">la </w:t>
      </w:r>
      <w:r w:rsidR="00426EE9">
        <w:t xml:space="preserve">cual se </w:t>
      </w:r>
      <w:r w:rsidR="00C46CDC">
        <w:t>erradica</w:t>
      </w:r>
      <w:r w:rsidR="00A916F4">
        <w:t>rá</w:t>
      </w:r>
      <w:r w:rsidR="00C46CDC">
        <w:t xml:space="preserve"> </w:t>
      </w:r>
      <w:r>
        <w:t>(</w:t>
      </w:r>
      <w:proofErr w:type="spellStart"/>
      <w:r w:rsidRPr="005B4265">
        <w:rPr>
          <w:i/>
          <w:iCs/>
        </w:rPr>
        <w:t>dhuta</w:t>
      </w:r>
      <w:proofErr w:type="spellEnd"/>
      <w:r>
        <w:t xml:space="preserve">) la contaminación al </w:t>
      </w:r>
      <w:r>
        <w:br w:type="page"/>
      </w:r>
    </w:p>
    <w:p w14:paraId="6A17036A" w14:textId="474EFA74" w:rsidR="00B05701" w:rsidRDefault="00C46CDC" w:rsidP="00B05701">
      <w:r>
        <w:lastRenderedPageBreak/>
        <w:t xml:space="preserve">emprender una u </w:t>
      </w:r>
      <w:r w:rsidR="003C0737">
        <w:t xml:space="preserve">otra </w:t>
      </w:r>
      <w:r w:rsidR="00374FEE">
        <w:t xml:space="preserve">práctica </w:t>
      </w:r>
      <w:r w:rsidR="00426EE9">
        <w:t>respectiva</w:t>
      </w:r>
      <w:r w:rsidR="00B05701">
        <w:t xml:space="preserve">. O el conocimiento que </w:t>
      </w:r>
      <w:r w:rsidR="00426EE9">
        <w:t xml:space="preserve">haya adquirido el nombre </w:t>
      </w:r>
      <w:r w:rsidR="00B05701">
        <w:t>“asceta” (</w:t>
      </w:r>
      <w:proofErr w:type="spellStart"/>
      <w:r w:rsidR="00B05701" w:rsidRPr="005B4265">
        <w:rPr>
          <w:i/>
          <w:iCs/>
        </w:rPr>
        <w:t>dhuta</w:t>
      </w:r>
      <w:proofErr w:type="spellEnd"/>
      <w:r w:rsidR="00B05701">
        <w:t xml:space="preserve">) </w:t>
      </w:r>
      <w:r w:rsidR="00AB649E">
        <w:t>debido a que</w:t>
      </w:r>
      <w:r w:rsidR="00B05701">
        <w:t xml:space="preserve"> </w:t>
      </w:r>
      <w:r w:rsidR="00426EE9">
        <w:t xml:space="preserve">erradica </w:t>
      </w:r>
      <w:r w:rsidR="00B05701">
        <w:t>(</w:t>
      </w:r>
      <w:proofErr w:type="spellStart"/>
      <w:r w:rsidR="00B05701" w:rsidRPr="005B4265">
        <w:rPr>
          <w:i/>
          <w:iCs/>
        </w:rPr>
        <w:t>dhunana</w:t>
      </w:r>
      <w:proofErr w:type="spellEnd"/>
      <w:r w:rsidR="00B05701">
        <w:t xml:space="preserve">) la contaminación </w:t>
      </w:r>
      <w:r w:rsidR="00AB649E">
        <w:t xml:space="preserve">mental </w:t>
      </w:r>
      <w:r w:rsidR="00A916F4">
        <w:t xml:space="preserve">será </w:t>
      </w:r>
      <w:r w:rsidR="00B05701">
        <w:t>una práctica (</w:t>
      </w:r>
      <w:proofErr w:type="spellStart"/>
      <w:r w:rsidR="00B05701" w:rsidRPr="005B4265">
        <w:rPr>
          <w:i/>
          <w:iCs/>
        </w:rPr>
        <w:t>aṅga</w:t>
      </w:r>
      <w:proofErr w:type="spellEnd"/>
      <w:r w:rsidR="00B05701">
        <w:t>) que le pertene</w:t>
      </w:r>
      <w:r w:rsidR="00A916F4">
        <w:t>zca</w:t>
      </w:r>
      <w:r w:rsidR="00B05701">
        <w:t xml:space="preserve">, por lo que </w:t>
      </w:r>
      <w:r w:rsidR="00AB649E">
        <w:t xml:space="preserve">se </w:t>
      </w:r>
      <w:proofErr w:type="gramStart"/>
      <w:r w:rsidR="00AB649E">
        <w:t>llama</w:t>
      </w:r>
      <w:r w:rsidR="00A916F4">
        <w:t>rá</w:t>
      </w:r>
      <w:r w:rsidR="00AB649E">
        <w:t xml:space="preserve"> </w:t>
      </w:r>
      <w:r w:rsidR="00B05701">
        <w:t xml:space="preserve"> “</w:t>
      </w:r>
      <w:proofErr w:type="gramEnd"/>
      <w:r w:rsidR="00B05701">
        <w:t xml:space="preserve">prácticas </w:t>
      </w:r>
      <w:r w:rsidR="00656CF3">
        <w:t>asceta</w:t>
      </w:r>
      <w:r w:rsidR="00B05701">
        <w:t>s” (</w:t>
      </w:r>
      <w:proofErr w:type="spellStart"/>
      <w:r w:rsidR="00B05701" w:rsidRPr="005B4265">
        <w:rPr>
          <w:i/>
          <w:iCs/>
        </w:rPr>
        <w:t>dhutaṅga</w:t>
      </w:r>
      <w:proofErr w:type="spellEnd"/>
      <w:r w:rsidR="00B05701">
        <w:t>). O alternativamente, son ascetas (</w:t>
      </w:r>
      <w:proofErr w:type="spellStart"/>
      <w:r w:rsidR="00B05701" w:rsidRPr="005B4265">
        <w:rPr>
          <w:i/>
          <w:iCs/>
        </w:rPr>
        <w:t>dhuta</w:t>
      </w:r>
      <w:proofErr w:type="spellEnd"/>
      <w:r w:rsidR="00B05701">
        <w:t xml:space="preserve">) porque </w:t>
      </w:r>
      <w:r w:rsidR="00131E1B">
        <w:t>remueven</w:t>
      </w:r>
      <w:r w:rsidR="00AB649E">
        <w:t xml:space="preserve"> </w:t>
      </w:r>
      <w:r w:rsidR="00B05701">
        <w:t>(</w:t>
      </w:r>
      <w:proofErr w:type="spellStart"/>
      <w:r w:rsidR="00B05701" w:rsidRPr="005B4265">
        <w:rPr>
          <w:i/>
          <w:iCs/>
        </w:rPr>
        <w:t>niddhunana</w:t>
      </w:r>
      <w:proofErr w:type="spellEnd"/>
      <w:r w:rsidR="00B05701">
        <w:t>) la oposición, y son prácticas (</w:t>
      </w:r>
      <w:proofErr w:type="spellStart"/>
      <w:r w:rsidR="00B05701" w:rsidRPr="005B4265">
        <w:rPr>
          <w:i/>
          <w:iCs/>
        </w:rPr>
        <w:t>aṅga</w:t>
      </w:r>
      <w:proofErr w:type="spellEnd"/>
      <w:r w:rsidR="00B05701">
        <w:t xml:space="preserve">) porque son un </w:t>
      </w:r>
      <w:r w:rsidR="00F8279C">
        <w:t>sendero</w:t>
      </w:r>
      <w:r w:rsidR="00B05701">
        <w:t xml:space="preserve"> (</w:t>
      </w:r>
      <w:proofErr w:type="spellStart"/>
      <w:r w:rsidR="00B05701" w:rsidRPr="005B4265">
        <w:rPr>
          <w:i/>
          <w:iCs/>
        </w:rPr>
        <w:t>paṭipatti</w:t>
      </w:r>
      <w:proofErr w:type="spellEnd"/>
      <w:r w:rsidR="00B05701">
        <w:t xml:space="preserve">)”. Ahora bien, nadie </w:t>
      </w:r>
      <w:r w:rsidR="00F8279C">
        <w:t xml:space="preserve">que sea </w:t>
      </w:r>
      <w:r w:rsidR="00B05701">
        <w:t>llamado "asceta" a causa de lo que no s</w:t>
      </w:r>
      <w:r w:rsidR="00F8279C">
        <w:t>ea</w:t>
      </w:r>
      <w:r w:rsidR="00B05701">
        <w:t xml:space="preserve"> </w:t>
      </w:r>
      <w:r w:rsidR="00F8279C">
        <w:t xml:space="preserve">productivo </w:t>
      </w:r>
      <w:r w:rsidR="00B05701">
        <w:t xml:space="preserve">podría tener </w:t>
      </w:r>
      <w:r w:rsidR="003F06B7">
        <w:t>é</w:t>
      </w:r>
      <w:r w:rsidR="00B05701">
        <w:t xml:space="preserve">stas como sus prácticas; </w:t>
      </w:r>
      <w:r w:rsidR="00EB67FD">
        <w:t>y tampoco</w:t>
      </w:r>
      <w:r w:rsidR="00B05701">
        <w:t xml:space="preserve"> lo </w:t>
      </w:r>
      <w:r w:rsidR="00F8279C">
        <w:t xml:space="preserve">improductivo </w:t>
      </w:r>
      <w:r w:rsidR="003F06B7">
        <w:t>rem</w:t>
      </w:r>
      <w:r w:rsidR="00977B54">
        <w:t>o</w:t>
      </w:r>
      <w:r w:rsidR="003F06B7">
        <w:t>v</w:t>
      </w:r>
      <w:r w:rsidR="00977B54">
        <w:t>er</w:t>
      </w:r>
      <w:r w:rsidR="00EB3BAB">
        <w:t>ía</w:t>
      </w:r>
      <w:r w:rsidR="003F06B7">
        <w:t xml:space="preserve"> </w:t>
      </w:r>
      <w:r w:rsidR="00B05701">
        <w:t xml:space="preserve">nada </w:t>
      </w:r>
      <w:r w:rsidR="00977B54">
        <w:t>así que cualquier cosa</w:t>
      </w:r>
      <w:r w:rsidR="00B05701">
        <w:t xml:space="preserve"> que </w:t>
      </w:r>
      <w:r w:rsidR="00977B54">
        <w:t xml:space="preserve">se vincule con </w:t>
      </w:r>
      <w:r w:rsidR="00EB67FD">
        <w:t xml:space="preserve">todo </w:t>
      </w:r>
      <w:r w:rsidR="00977B54">
        <w:t xml:space="preserve">ello podría </w:t>
      </w:r>
      <w:r w:rsidR="00B05701">
        <w:t xml:space="preserve">llamarse “práctica </w:t>
      </w:r>
      <w:r w:rsidR="00656CF3">
        <w:t>asceta</w:t>
      </w:r>
      <w:r w:rsidR="00B05701">
        <w:t xml:space="preserve">”. Y lo que </w:t>
      </w:r>
      <w:r w:rsidR="00977B54">
        <w:t>sea</w:t>
      </w:r>
      <w:r w:rsidR="00B05701">
        <w:t xml:space="preserve"> </w:t>
      </w:r>
      <w:r w:rsidR="00977B54">
        <w:t xml:space="preserve">improductivo </w:t>
      </w:r>
      <w:r w:rsidR="00B05701">
        <w:t xml:space="preserve">no </w:t>
      </w:r>
      <w:r w:rsidR="00977B54">
        <w:t xml:space="preserve">erradicará </w:t>
      </w:r>
      <w:r w:rsidR="00B05701">
        <w:t xml:space="preserve">la codicia por </w:t>
      </w:r>
      <w:r w:rsidR="00AC711A">
        <w:t>los ropajes</w:t>
      </w:r>
      <w:r w:rsidR="00B05701">
        <w:t xml:space="preserve">, etc., </w:t>
      </w:r>
      <w:r w:rsidR="00AC711A">
        <w:t>ni</w:t>
      </w:r>
      <w:r w:rsidR="00B05701">
        <w:t xml:space="preserve"> se convert</w:t>
      </w:r>
      <w:r w:rsidR="00C403EA">
        <w:t>irá</w:t>
      </w:r>
      <w:r w:rsidR="00B05701">
        <w:t xml:space="preserve"> en la práctica del </w:t>
      </w:r>
      <w:r w:rsidR="00AC711A">
        <w:t>sendero</w:t>
      </w:r>
      <w:r w:rsidR="00B05701">
        <w:t xml:space="preserve">. En consecuencia, se </w:t>
      </w:r>
      <w:r w:rsidR="00AC711A">
        <w:t xml:space="preserve">dice </w:t>
      </w:r>
      <w:r w:rsidR="00B05701">
        <w:t xml:space="preserve">con razón que ninguna práctica </w:t>
      </w:r>
      <w:r w:rsidR="00656CF3">
        <w:t>asceta</w:t>
      </w:r>
      <w:r w:rsidR="00B05701">
        <w:t xml:space="preserve"> s</w:t>
      </w:r>
      <w:r w:rsidR="00C403EA">
        <w:t>erá</w:t>
      </w:r>
      <w:r w:rsidR="00B05701">
        <w:t xml:space="preserve"> </w:t>
      </w:r>
      <w:r w:rsidR="00AC711A">
        <w:t>improductiva</w:t>
      </w:r>
      <w:r w:rsidR="00B05701">
        <w:t>.</w:t>
      </w:r>
    </w:p>
    <w:p w14:paraId="0FEAEACD" w14:textId="6D578D89" w:rsidR="00B05701" w:rsidRDefault="00B05701" w:rsidP="00B05701">
      <w:r>
        <w:t xml:space="preserve">79. </w:t>
      </w:r>
      <w:r>
        <w:tab/>
        <w:t>Y aquellos que sosten</w:t>
      </w:r>
      <w:r w:rsidR="00540852">
        <w:t>ga</w:t>
      </w:r>
      <w:r>
        <w:t xml:space="preserve">n que una práctica </w:t>
      </w:r>
      <w:r w:rsidR="00656CF3">
        <w:t>asceta</w:t>
      </w:r>
      <w:r>
        <w:t xml:space="preserve"> está fuera de la tríada provechosa</w:t>
      </w:r>
      <w:r w:rsidR="00800F45">
        <w:rPr>
          <w:vertAlign w:val="superscript"/>
        </w:rPr>
        <w:t>18</w:t>
      </w:r>
      <w:r>
        <w:t xml:space="preserve"> no </w:t>
      </w:r>
      <w:r w:rsidR="007D670C">
        <w:t>tienen conocimiento</w:t>
      </w:r>
      <w:r>
        <w:t xml:space="preserve"> </w:t>
      </w:r>
      <w:r w:rsidR="007D670C">
        <w:t xml:space="preserve">en cuanto al significado de la </w:t>
      </w:r>
      <w:r>
        <w:t xml:space="preserve">práctica </w:t>
      </w:r>
      <w:r w:rsidR="00656CF3">
        <w:t>asceta</w:t>
      </w:r>
      <w:r>
        <w:t xml:space="preserve">. ¿A causa de </w:t>
      </w:r>
      <w:r w:rsidR="007F543C">
        <w:t>una</w:t>
      </w:r>
      <w:r>
        <w:t xml:space="preserve"> </w:t>
      </w:r>
      <w:r w:rsidR="007D670C">
        <w:t>remo</w:t>
      </w:r>
      <w:r w:rsidR="007F543C">
        <w:t>ción</w:t>
      </w:r>
      <w:r>
        <w:t xml:space="preserve"> de </w:t>
      </w:r>
      <w:r w:rsidR="00187D2F">
        <w:t>alg</w:t>
      </w:r>
      <w:r>
        <w:t xml:space="preserve">o inexistente podría llamarse </w:t>
      </w:r>
      <w:r w:rsidR="007F543C">
        <w:t xml:space="preserve">a </w:t>
      </w:r>
      <w:r>
        <w:t>una práctica</w:t>
      </w:r>
      <w:r w:rsidR="007F543C">
        <w:t>,</w:t>
      </w:r>
      <w:r>
        <w:t xml:space="preserve"> </w:t>
      </w:r>
      <w:r w:rsidR="00656CF3">
        <w:t>asceta</w:t>
      </w:r>
      <w:r>
        <w:t>? También están las palabras “Proced</w:t>
      </w:r>
      <w:r w:rsidR="002F7A00">
        <w:t>í</w:t>
      </w:r>
      <w:r>
        <w:t xml:space="preserve"> a </w:t>
      </w:r>
      <w:r w:rsidR="00F27306">
        <w:t>desarrollar</w:t>
      </w:r>
      <w:r>
        <w:t xml:space="preserve"> las cualidades </w:t>
      </w:r>
      <w:r w:rsidR="00656CF3">
        <w:t>asceta</w:t>
      </w:r>
      <w:r>
        <w:t>s” (</w:t>
      </w:r>
      <w:proofErr w:type="spellStart"/>
      <w:r>
        <w:t>Vin</w:t>
      </w:r>
      <w:proofErr w:type="spellEnd"/>
      <w:r>
        <w:t xml:space="preserve"> III 15), </w:t>
      </w:r>
      <w:r w:rsidR="001A19CF">
        <w:t>y a ello le</w:t>
      </w:r>
      <w:r>
        <w:t xml:space="preserve"> s</w:t>
      </w:r>
      <w:r w:rsidR="001A19CF">
        <w:t>e</w:t>
      </w:r>
      <w:r>
        <w:t>gu</w:t>
      </w:r>
      <w:r w:rsidR="001A19CF">
        <w:t>iría</w:t>
      </w:r>
      <w:r w:rsidR="00E44F49">
        <w:rPr>
          <w:vertAlign w:val="superscript"/>
        </w:rPr>
        <w:t>19</w:t>
      </w:r>
      <w:r>
        <w:t xml:space="preserve"> </w:t>
      </w:r>
      <w:r w:rsidR="001A19CF">
        <w:t xml:space="preserve">que </w:t>
      </w:r>
      <w:r>
        <w:t>es</w:t>
      </w:r>
      <w:r w:rsidR="00F27306">
        <w:t>t</w:t>
      </w:r>
      <w:r>
        <w:t xml:space="preserve">as palabras </w:t>
      </w:r>
      <w:r w:rsidR="001A19CF">
        <w:t>son</w:t>
      </w:r>
      <w:r w:rsidR="002F215D">
        <w:t xml:space="preserve"> contradictori</w:t>
      </w:r>
      <w:r w:rsidR="00427155">
        <w:t>as</w:t>
      </w:r>
      <w:r>
        <w:t>. Entonces eso no debe aceptarse.</w:t>
      </w:r>
    </w:p>
    <w:p w14:paraId="423E8686" w14:textId="7F1F680F" w:rsidR="00B05701" w:rsidRDefault="00B05701" w:rsidP="00B05701">
      <w:pPr>
        <w:pStyle w:val="NormalConSangria"/>
      </w:pPr>
      <w:r>
        <w:t xml:space="preserve">Esto, en primer lugar, es el comentario sobre la tríada </w:t>
      </w:r>
      <w:r w:rsidR="002F7A00">
        <w:t>productiva</w:t>
      </w:r>
      <w:r>
        <w:t>.</w:t>
      </w:r>
    </w:p>
    <w:p w14:paraId="73BBAA87" w14:textId="7FAD9C7D" w:rsidR="00B05701" w:rsidRDefault="00B05701" w:rsidP="00B05701">
      <w:r>
        <w:t xml:space="preserve">80. </w:t>
      </w:r>
      <w:r>
        <w:tab/>
        <w:t xml:space="preserve">5. </w:t>
      </w:r>
      <w:r w:rsidRPr="000E5255">
        <w:rPr>
          <w:i/>
          <w:iCs/>
        </w:rPr>
        <w:t>En cuanto a “asc</w:t>
      </w:r>
      <w:r w:rsidR="002F7A00">
        <w:rPr>
          <w:i/>
          <w:iCs/>
        </w:rPr>
        <w:t>e</w:t>
      </w:r>
      <w:r w:rsidRPr="000E5255">
        <w:rPr>
          <w:i/>
          <w:iCs/>
        </w:rPr>
        <w:t>t</w:t>
      </w:r>
      <w:r w:rsidR="002F7A00">
        <w:rPr>
          <w:i/>
          <w:iCs/>
        </w:rPr>
        <w:t>a</w:t>
      </w:r>
      <w:r w:rsidRPr="000E5255">
        <w:rPr>
          <w:i/>
          <w:iCs/>
        </w:rPr>
        <w:t xml:space="preserve"> y </w:t>
      </w:r>
      <w:r w:rsidR="00427155">
        <w:rPr>
          <w:i/>
          <w:iCs/>
        </w:rPr>
        <w:t>demás</w:t>
      </w:r>
      <w:r w:rsidRPr="000E5255">
        <w:rPr>
          <w:i/>
          <w:iCs/>
        </w:rPr>
        <w:t xml:space="preserve"> distinguidos”,</w:t>
      </w:r>
      <w:r>
        <w:t xml:space="preserve"> debe entenderse lo siguiente, es decir, asc</w:t>
      </w:r>
      <w:r w:rsidR="002F7A00">
        <w:t>e</w:t>
      </w:r>
      <w:r>
        <w:t>t</w:t>
      </w:r>
      <w:r w:rsidR="002F7A00">
        <w:t>a</w:t>
      </w:r>
      <w:r>
        <w:t xml:space="preserve">, predicador del ascetismo, estados ascéticos, prácticas </w:t>
      </w:r>
      <w:r w:rsidR="00656CF3">
        <w:t>asceta</w:t>
      </w:r>
      <w:r>
        <w:t xml:space="preserve">s, y para quien </w:t>
      </w:r>
      <w:r w:rsidR="00427155">
        <w:t>sea</w:t>
      </w:r>
      <w:r>
        <w:t xml:space="preserve"> adecuado el cultivo de </w:t>
      </w:r>
      <w:r w:rsidR="002F7A00">
        <w:t xml:space="preserve">las </w:t>
      </w:r>
      <w:r>
        <w:t xml:space="preserve">prácticas </w:t>
      </w:r>
      <w:r w:rsidR="00656CF3">
        <w:t>asceta</w:t>
      </w:r>
      <w:r>
        <w:t>s.</w:t>
      </w:r>
    </w:p>
    <w:p w14:paraId="0189F3CF" w14:textId="16FC7B28" w:rsidR="00B05701" w:rsidRDefault="00B05701" w:rsidP="00B05701">
      <w:r>
        <w:t xml:space="preserve">81. </w:t>
      </w:r>
      <w:r>
        <w:tab/>
        <w:t xml:space="preserve">Aquí, </w:t>
      </w:r>
      <w:r w:rsidRPr="00492C46">
        <w:rPr>
          <w:i/>
          <w:iCs/>
        </w:rPr>
        <w:t>asceta</w:t>
      </w:r>
      <w:r>
        <w:t xml:space="preserve"> significa una persona cuyas impurezas se </w:t>
      </w:r>
      <w:r w:rsidR="002F7A00">
        <w:t>remuev</w:t>
      </w:r>
      <w:r w:rsidR="00427155">
        <w:t>a</w:t>
      </w:r>
      <w:r>
        <w:t>, o un estado que impli</w:t>
      </w:r>
      <w:r w:rsidR="00427155">
        <w:t>que</w:t>
      </w:r>
      <w:r>
        <w:t xml:space="preserve"> </w:t>
      </w:r>
      <w:r w:rsidR="00BD06AC">
        <w:t>remoción de</w:t>
      </w:r>
      <w:r>
        <w:t xml:space="preserve"> impurezas.</w:t>
      </w:r>
    </w:p>
    <w:p w14:paraId="245AFBEE" w14:textId="2497CF2E" w:rsidR="00B05701" w:rsidRDefault="00B05701" w:rsidP="00B05701">
      <w:pPr>
        <w:pStyle w:val="NormalConSangria"/>
      </w:pPr>
      <w:r w:rsidRPr="00492C46">
        <w:rPr>
          <w:i/>
          <w:iCs/>
        </w:rPr>
        <w:t>Un predicador del ascetismo:</w:t>
      </w:r>
      <w:r>
        <w:t xml:space="preserve"> uno </w:t>
      </w:r>
      <w:r w:rsidR="00BD06AC">
        <w:t>puede ser</w:t>
      </w:r>
      <w:r>
        <w:t xml:space="preserve"> asceta pero no predicador del ascetismo, otro </w:t>
      </w:r>
      <w:r w:rsidR="00BD06AC">
        <w:t xml:space="preserve">puede </w:t>
      </w:r>
      <w:r>
        <w:t xml:space="preserve">no </w:t>
      </w:r>
      <w:r w:rsidR="00BD06AC">
        <w:t xml:space="preserve">ser </w:t>
      </w:r>
      <w:r>
        <w:t xml:space="preserve">asceta </w:t>
      </w:r>
      <w:r w:rsidR="00BD06AC">
        <w:t xml:space="preserve">pero sí </w:t>
      </w:r>
      <w:r>
        <w:t xml:space="preserve">predicador del ascetismo, otro </w:t>
      </w:r>
      <w:r w:rsidR="00BD06AC">
        <w:t xml:space="preserve">puede </w:t>
      </w:r>
      <w:r>
        <w:t xml:space="preserve">no </w:t>
      </w:r>
      <w:r w:rsidR="00BD06AC">
        <w:t xml:space="preserve">ser </w:t>
      </w:r>
      <w:r>
        <w:t xml:space="preserve">ni asceta ni predicador del ascetismo, y otro </w:t>
      </w:r>
      <w:r w:rsidR="002120EE">
        <w:t xml:space="preserve">podría ser </w:t>
      </w:r>
      <w:r>
        <w:t>a la vez asceta y predicador del ascetismo.</w:t>
      </w:r>
    </w:p>
    <w:p w14:paraId="517FA7FC" w14:textId="07E51963" w:rsidR="00B05701" w:rsidRDefault="00B05701" w:rsidP="00B05701">
      <w:r>
        <w:t xml:space="preserve">82. </w:t>
      </w:r>
      <w:r>
        <w:tab/>
        <w:t>Aquí, quien ha</w:t>
      </w:r>
      <w:r w:rsidR="002120EE">
        <w:t>ya</w:t>
      </w:r>
      <w:r>
        <w:t xml:space="preserve"> </w:t>
      </w:r>
      <w:r w:rsidR="002120EE">
        <w:t>removido</w:t>
      </w:r>
      <w:r>
        <w:t xml:space="preserve"> sus impurezas con una práctica </w:t>
      </w:r>
      <w:r w:rsidR="00656CF3">
        <w:t>asceta</w:t>
      </w:r>
      <w:r>
        <w:t xml:space="preserve"> pero no aconsej</w:t>
      </w:r>
      <w:r w:rsidR="003510FC">
        <w:t>e</w:t>
      </w:r>
      <w:r>
        <w:t xml:space="preserve"> ni instruy</w:t>
      </w:r>
      <w:r w:rsidR="003510FC">
        <w:t>a</w:t>
      </w:r>
      <w:r>
        <w:t xml:space="preserve"> a otro </w:t>
      </w:r>
      <w:r w:rsidR="003510FC">
        <w:t>a</w:t>
      </w:r>
      <w:r>
        <w:t xml:space="preserve"> una práctica </w:t>
      </w:r>
      <w:r w:rsidR="00656CF3">
        <w:t>asceta</w:t>
      </w:r>
      <w:r>
        <w:t xml:space="preserve">, como el </w:t>
      </w:r>
      <w:r w:rsidR="00492C46">
        <w:t>Venerable</w:t>
      </w:r>
      <w:r>
        <w:t xml:space="preserve"> </w:t>
      </w:r>
      <w:proofErr w:type="spellStart"/>
      <w:r>
        <w:t>Bakkula</w:t>
      </w:r>
      <w:proofErr w:type="spellEnd"/>
      <w:r>
        <w:t xml:space="preserve">, es “asceta pero no predicador del ascetismo”, </w:t>
      </w:r>
      <w:r w:rsidR="003510FC">
        <w:t>tal como está dicho</w:t>
      </w:r>
      <w:r>
        <w:t xml:space="preserve">: “Ahora bien, el </w:t>
      </w:r>
      <w:r w:rsidR="00492C46">
        <w:t xml:space="preserve">Venerable </w:t>
      </w:r>
      <w:proofErr w:type="spellStart"/>
      <w:r>
        <w:t>Bakkula</w:t>
      </w:r>
      <w:proofErr w:type="spellEnd"/>
      <w:r>
        <w:t xml:space="preserve"> era asceta pero no un predicador del ascetismo”.</w:t>
      </w:r>
    </w:p>
    <w:p w14:paraId="295C61AD" w14:textId="0A4B29E3" w:rsidR="00B05701" w:rsidRDefault="00B05701" w:rsidP="00B05701">
      <w:pPr>
        <w:pStyle w:val="NormalConSangria"/>
      </w:pPr>
      <w:r>
        <w:t>Aquel que [81] no ha</w:t>
      </w:r>
      <w:r w:rsidR="000A6BCD">
        <w:t>ya</w:t>
      </w:r>
      <w:r>
        <w:t xml:space="preserve"> </w:t>
      </w:r>
      <w:r w:rsidR="003510FC">
        <w:t xml:space="preserve">removido </w:t>
      </w:r>
      <w:r>
        <w:t>sus propias corrupciones sino que sólo aconsej</w:t>
      </w:r>
      <w:r w:rsidR="000A6BCD">
        <w:t>e</w:t>
      </w:r>
      <w:r>
        <w:t xml:space="preserve"> e instruy</w:t>
      </w:r>
      <w:r w:rsidR="000A6BCD">
        <w:t>a</w:t>
      </w:r>
      <w:r>
        <w:t xml:space="preserve"> a otro </w:t>
      </w:r>
      <w:r w:rsidR="000A6BCD">
        <w:t>a</w:t>
      </w:r>
      <w:r>
        <w:t xml:space="preserve"> una práctica </w:t>
      </w:r>
      <w:r w:rsidR="00656CF3">
        <w:t>asceta</w:t>
      </w:r>
      <w:r>
        <w:t xml:space="preserve">, como el </w:t>
      </w:r>
      <w:r w:rsidR="00492C46">
        <w:t xml:space="preserve">Venerable </w:t>
      </w:r>
      <w:proofErr w:type="spellStart"/>
      <w:r>
        <w:t>Upananda</w:t>
      </w:r>
      <w:proofErr w:type="spellEnd"/>
      <w:r>
        <w:t xml:space="preserve">, “no es un asceta sino un predicador del ascetismo”, </w:t>
      </w:r>
      <w:r w:rsidR="000A6BCD">
        <w:t>tal como está dicho</w:t>
      </w:r>
      <w:r>
        <w:t xml:space="preserve">: “Ahora, el </w:t>
      </w:r>
      <w:r w:rsidR="00492C46">
        <w:t xml:space="preserve">Venerable </w:t>
      </w:r>
      <w:proofErr w:type="spellStart"/>
      <w:r>
        <w:t>Upananda</w:t>
      </w:r>
      <w:proofErr w:type="spellEnd"/>
      <w:r>
        <w:t xml:space="preserve">, hijo de los </w:t>
      </w:r>
      <w:proofErr w:type="spellStart"/>
      <w:r w:rsidRPr="00492C46">
        <w:rPr>
          <w:i/>
          <w:iCs/>
        </w:rPr>
        <w:t>Sakyans</w:t>
      </w:r>
      <w:proofErr w:type="spellEnd"/>
      <w:r>
        <w:t>, no era asceta sino un predicador del ascetismo”.</w:t>
      </w:r>
    </w:p>
    <w:p w14:paraId="581BF407" w14:textId="24B1623D" w:rsidR="00B05701" w:rsidRDefault="00B05701" w:rsidP="00B05701">
      <w:pPr>
        <w:pStyle w:val="NormalConSangria"/>
      </w:pPr>
      <w:r>
        <w:t xml:space="preserve">Quien </w:t>
      </w:r>
      <w:r w:rsidR="000A6BCD">
        <w:t>falle</w:t>
      </w:r>
      <w:r>
        <w:t xml:space="preserve"> </w:t>
      </w:r>
      <w:r w:rsidR="009330D3">
        <w:t>no sea</w:t>
      </w:r>
      <w:r>
        <w:t xml:space="preserve"> ambos, como </w:t>
      </w:r>
      <w:proofErr w:type="spellStart"/>
      <w:r>
        <w:t>Lāḷudāyin</w:t>
      </w:r>
      <w:proofErr w:type="spellEnd"/>
      <w:r>
        <w:t xml:space="preserve">, no es “ni asceta ni predicador del ascetismo”, </w:t>
      </w:r>
      <w:r w:rsidR="000A6BCD">
        <w:t>tal como está dicho</w:t>
      </w:r>
      <w:r>
        <w:t xml:space="preserve">: “Ahora bien, el </w:t>
      </w:r>
      <w:r w:rsidR="000A6BCD">
        <w:t xml:space="preserve">Venerable </w:t>
      </w:r>
      <w:proofErr w:type="spellStart"/>
      <w:r>
        <w:t>Lāḷudāyin</w:t>
      </w:r>
      <w:proofErr w:type="spellEnd"/>
      <w:r>
        <w:t xml:space="preserve"> no era ni asceta ni predicador del ascetismo”.</w:t>
      </w:r>
    </w:p>
    <w:p w14:paraId="436D83A3" w14:textId="77777777" w:rsidR="00B05701" w:rsidRPr="00B05701" w:rsidRDefault="00B05701" w:rsidP="00B05701">
      <w:pPr>
        <w:pStyle w:val="PiedepginaLegal"/>
        <w:rPr>
          <w:u w:val="single"/>
        </w:rPr>
      </w:pPr>
      <w:r w:rsidRPr="00B05701">
        <w:rPr>
          <w:u w:val="single"/>
        </w:rPr>
        <w:t xml:space="preserve">                                                                                                                                                 .</w:t>
      </w:r>
    </w:p>
    <w:p w14:paraId="5B5FEEE9" w14:textId="0ACA50D3" w:rsidR="00B05701" w:rsidRDefault="00B05701" w:rsidP="00B05701">
      <w:pPr>
        <w:pStyle w:val="PiedepginaLegal"/>
      </w:pPr>
      <w:r>
        <w:t xml:space="preserve">18. </w:t>
      </w:r>
      <w:r>
        <w:tab/>
        <w:t xml:space="preserve">Para las tríadas del </w:t>
      </w:r>
      <w:proofErr w:type="spellStart"/>
      <w:r w:rsidR="000A6BCD" w:rsidRPr="00492C46">
        <w:rPr>
          <w:i/>
          <w:iCs/>
        </w:rPr>
        <w:t>Abhi</w:t>
      </w:r>
      <w:r w:rsidR="000A6BCD" w:rsidRPr="00057BF4">
        <w:rPr>
          <w:i/>
          <w:iCs/>
        </w:rPr>
        <w:t>dhamma</w:t>
      </w:r>
      <w:proofErr w:type="spellEnd"/>
      <w:r w:rsidR="000A6BCD">
        <w:t xml:space="preserve"> </w:t>
      </w:r>
      <w:proofErr w:type="spellStart"/>
      <w:r w:rsidRPr="00492C46">
        <w:rPr>
          <w:i/>
          <w:iCs/>
        </w:rPr>
        <w:t>Mātikā</w:t>
      </w:r>
      <w:proofErr w:type="spellEnd"/>
      <w:r>
        <w:t xml:space="preserve"> (Programa </w:t>
      </w:r>
      <w:proofErr w:type="spellStart"/>
      <w:r w:rsidRPr="00492C46">
        <w:rPr>
          <w:i/>
          <w:iCs/>
        </w:rPr>
        <w:t>Abhi</w:t>
      </w:r>
      <w:r w:rsidR="00057BF4" w:rsidRPr="00057BF4">
        <w:rPr>
          <w:i/>
          <w:iCs/>
        </w:rPr>
        <w:t>Dhamma</w:t>
      </w:r>
      <w:proofErr w:type="spellEnd"/>
      <w:r>
        <w:t xml:space="preserve">) véase el </w:t>
      </w:r>
      <w:r w:rsidR="00D4079E">
        <w:t>Cap</w:t>
      </w:r>
      <w:r>
        <w:t>. XIII, n.20. “‘</w:t>
      </w:r>
      <w:r w:rsidRPr="00F27306">
        <w:rPr>
          <w:i/>
          <w:iCs/>
        </w:rPr>
        <w:t>Aquellos que sosten</w:t>
      </w:r>
      <w:r w:rsidR="00F27306" w:rsidRPr="00F27306">
        <w:rPr>
          <w:i/>
          <w:iCs/>
        </w:rPr>
        <w:t>ga</w:t>
      </w:r>
      <w:r w:rsidRPr="00F27306">
        <w:rPr>
          <w:i/>
          <w:iCs/>
        </w:rPr>
        <w:t>n</w:t>
      </w:r>
      <w:r>
        <w:t xml:space="preserve">’: </w:t>
      </w:r>
      <w:r w:rsidR="008F52BC">
        <w:t xml:space="preserve">es </w:t>
      </w:r>
      <w:r>
        <w:t xml:space="preserve">una referencia a los habitantes del Monasterio </w:t>
      </w:r>
      <w:proofErr w:type="spellStart"/>
      <w:r w:rsidR="00D4079E" w:rsidRPr="00492C46">
        <w:rPr>
          <w:i/>
          <w:iCs/>
        </w:rPr>
        <w:t>Abhayagiri</w:t>
      </w:r>
      <w:proofErr w:type="spellEnd"/>
      <w:r w:rsidR="00D4079E">
        <w:t xml:space="preserve"> </w:t>
      </w:r>
      <w:r>
        <w:t xml:space="preserve">en </w:t>
      </w:r>
      <w:proofErr w:type="spellStart"/>
      <w:r w:rsidRPr="00492C46">
        <w:rPr>
          <w:i/>
          <w:iCs/>
        </w:rPr>
        <w:t>Anurādhapura</w:t>
      </w:r>
      <w:proofErr w:type="spellEnd"/>
      <w:r>
        <w:t>. Pues</w:t>
      </w:r>
      <w:r w:rsidR="000A6BCD">
        <w:t xml:space="preserve"> ellos</w:t>
      </w:r>
      <w:r>
        <w:t xml:space="preserve"> </w:t>
      </w:r>
      <w:r w:rsidR="000A6BCD">
        <w:t xml:space="preserve">decían </w:t>
      </w:r>
      <w:r>
        <w:t xml:space="preserve">que la práctica </w:t>
      </w:r>
      <w:r w:rsidR="00656CF3">
        <w:t>asceta</w:t>
      </w:r>
      <w:r>
        <w:t xml:space="preserve"> e</w:t>
      </w:r>
      <w:r w:rsidR="000A6BCD">
        <w:t>ra</w:t>
      </w:r>
      <w:r>
        <w:t xml:space="preserve"> un concepto consiste</w:t>
      </w:r>
      <w:r w:rsidR="000A6BCD">
        <w:t>nte</w:t>
      </w:r>
      <w:r>
        <w:t xml:space="preserve"> </w:t>
      </w:r>
      <w:r w:rsidR="008F52BC">
        <w:t>de</w:t>
      </w:r>
      <w:r>
        <w:t xml:space="preserve"> un nombre (</w:t>
      </w:r>
      <w:proofErr w:type="spellStart"/>
      <w:r w:rsidR="00057BF4" w:rsidRPr="00057BF4">
        <w:rPr>
          <w:i/>
          <w:iCs/>
        </w:rPr>
        <w:t>nāma</w:t>
      </w:r>
      <w:r w:rsidRPr="00492C46">
        <w:rPr>
          <w:i/>
          <w:iCs/>
        </w:rPr>
        <w:t>-paññatti</w:t>
      </w:r>
      <w:proofErr w:type="spellEnd"/>
      <w:r>
        <w:t xml:space="preserve">). </w:t>
      </w:r>
      <w:r w:rsidR="0055591B">
        <w:t>Si fuera así</w:t>
      </w:r>
      <w:r>
        <w:t xml:space="preserve">, </w:t>
      </w:r>
      <w:r w:rsidR="00003105">
        <w:t xml:space="preserve">ellos </w:t>
      </w:r>
      <w:r>
        <w:t xml:space="preserve">no </w:t>
      </w:r>
      <w:r w:rsidR="001C645C">
        <w:t>poseería</w:t>
      </w:r>
      <w:r w:rsidR="00003105">
        <w:t>n</w:t>
      </w:r>
      <w:r w:rsidR="001C645C">
        <w:t xml:space="preserve"> </w:t>
      </w:r>
      <w:r w:rsidR="00003105">
        <w:t xml:space="preserve">ningún </w:t>
      </w:r>
      <w:r w:rsidR="001C645C">
        <w:t>medio para</w:t>
      </w:r>
      <w:r>
        <w:t xml:space="preserve"> librarse de las corrupciones, o posibilidad </w:t>
      </w:r>
      <w:r w:rsidR="001F6610">
        <w:t>a</w:t>
      </w:r>
      <w:r>
        <w:t xml:space="preserve"> ser emprendidas, porque en el </w:t>
      </w:r>
      <w:r w:rsidR="0096019C">
        <w:t xml:space="preserve">sentido </w:t>
      </w:r>
      <w:r>
        <w:t xml:space="preserve">último serían inexistentes [conceptos </w:t>
      </w:r>
      <w:r w:rsidR="00E80BB1">
        <w:t xml:space="preserve">carentes de </w:t>
      </w:r>
      <w:r>
        <w:t>existencia]” (</w:t>
      </w:r>
      <w:proofErr w:type="spellStart"/>
      <w:r>
        <w:t>Vism-mhṭ</w:t>
      </w:r>
      <w:proofErr w:type="spellEnd"/>
      <w:r>
        <w:t xml:space="preserve"> 87). Cf. IV.29.</w:t>
      </w:r>
    </w:p>
    <w:p w14:paraId="6E42B928" w14:textId="77777777" w:rsidR="005840A1" w:rsidRDefault="00B05701" w:rsidP="00B05701">
      <w:pPr>
        <w:pStyle w:val="PiedepginaLegal"/>
      </w:pPr>
      <w:r>
        <w:t xml:space="preserve">19. </w:t>
      </w:r>
      <w:r>
        <w:tab/>
      </w:r>
      <w:proofErr w:type="spellStart"/>
      <w:r w:rsidRPr="00492C46">
        <w:rPr>
          <w:i/>
          <w:iCs/>
        </w:rPr>
        <w:t>Āpajjati</w:t>
      </w:r>
      <w:proofErr w:type="spellEnd"/>
      <w:r>
        <w:t xml:space="preserve"> (y su sustantivo </w:t>
      </w:r>
      <w:proofErr w:type="spellStart"/>
      <w:r w:rsidRPr="00492C46">
        <w:rPr>
          <w:i/>
          <w:iCs/>
        </w:rPr>
        <w:t>āpatti</w:t>
      </w:r>
      <w:proofErr w:type="spellEnd"/>
      <w:r>
        <w:t>) es la palabra normal que se usa para las consecuencias indeseables que se derivan de alguna proposición lógica poco sólida. Véase XVI.68f. Este significado no está en PED.</w:t>
      </w:r>
    </w:p>
    <w:p w14:paraId="076A597E" w14:textId="77777777" w:rsidR="005840A1" w:rsidRDefault="005840A1">
      <w:pPr>
        <w:tabs>
          <w:tab w:val="clear" w:pos="425"/>
        </w:tabs>
        <w:spacing w:after="160"/>
      </w:pPr>
      <w:r>
        <w:br w:type="page"/>
      </w:r>
    </w:p>
    <w:p w14:paraId="7F120B0D" w14:textId="33D078B2" w:rsidR="00105797" w:rsidRDefault="00105797" w:rsidP="00105797">
      <w:pPr>
        <w:pStyle w:val="NormalConSangria"/>
      </w:pPr>
      <w:r>
        <w:lastRenderedPageBreak/>
        <w:t>Aquel que ha</w:t>
      </w:r>
      <w:r w:rsidR="001C645C">
        <w:t>ya</w:t>
      </w:r>
      <w:r>
        <w:t xml:space="preserve"> tenido éxito en ambos, como el General del </w:t>
      </w:r>
      <w:r w:rsidR="00057BF4" w:rsidRPr="00057BF4">
        <w:rPr>
          <w:i/>
        </w:rPr>
        <w:t>Dhamma</w:t>
      </w:r>
      <w:r>
        <w:t xml:space="preserve">, es “a la vez asceta y predicador del ascetismo”, </w:t>
      </w:r>
      <w:r w:rsidR="001C645C">
        <w:t>tal como está dicho</w:t>
      </w:r>
      <w:r>
        <w:t xml:space="preserve">: “Ahora bien, el </w:t>
      </w:r>
      <w:r w:rsidR="001C645C">
        <w:t xml:space="preserve">Venerable </w:t>
      </w:r>
      <w:r>
        <w:t xml:space="preserve">Sāriputta </w:t>
      </w:r>
      <w:r w:rsidR="001C645C">
        <w:t>era un</w:t>
      </w:r>
      <w:r>
        <w:t xml:space="preserve"> asceta y </w:t>
      </w:r>
      <w:r w:rsidR="009330D3">
        <w:t xml:space="preserve">un </w:t>
      </w:r>
      <w:r>
        <w:t>predicador del ascetismo”.</w:t>
      </w:r>
    </w:p>
    <w:p w14:paraId="723EFDE9" w14:textId="2935EEC7" w:rsidR="00105797" w:rsidRPr="00A95E3E" w:rsidRDefault="00105797" w:rsidP="00105797">
      <w:pPr>
        <w:rPr>
          <w:color w:val="1F3864" w:themeColor="accent1" w:themeShade="80"/>
        </w:rPr>
      </w:pPr>
      <w:r w:rsidRPr="00A95E3E">
        <w:rPr>
          <w:color w:val="1F3864" w:themeColor="accent1" w:themeShade="80"/>
        </w:rPr>
        <w:t xml:space="preserve">83. </w:t>
      </w:r>
      <w:r w:rsidRPr="00A95E3E">
        <w:rPr>
          <w:color w:val="1F3864" w:themeColor="accent1" w:themeShade="80"/>
        </w:rPr>
        <w:tab/>
      </w:r>
      <w:r w:rsidRPr="00A95E3E">
        <w:rPr>
          <w:i/>
          <w:iCs/>
          <w:color w:val="1F3864" w:themeColor="accent1" w:themeShade="80"/>
        </w:rPr>
        <w:t>Estados ascéticos</w:t>
      </w:r>
      <w:r w:rsidRPr="00A95E3E">
        <w:rPr>
          <w:color w:val="1F3864" w:themeColor="accent1" w:themeShade="80"/>
        </w:rPr>
        <w:t xml:space="preserve">: los </w:t>
      </w:r>
      <w:r w:rsidR="003842EA">
        <w:rPr>
          <w:color w:val="1F3864" w:themeColor="accent1" w:themeShade="80"/>
        </w:rPr>
        <w:t>5</w:t>
      </w:r>
      <w:r w:rsidRPr="00A95E3E">
        <w:rPr>
          <w:color w:val="1F3864" w:themeColor="accent1" w:themeShade="80"/>
        </w:rPr>
        <w:t xml:space="preserve"> estados que acompañan a la volición de una práctica </w:t>
      </w:r>
      <w:r w:rsidR="00656CF3">
        <w:rPr>
          <w:color w:val="1F3864" w:themeColor="accent1" w:themeShade="80"/>
        </w:rPr>
        <w:t>asceta</w:t>
      </w:r>
      <w:r w:rsidRPr="00A95E3E">
        <w:rPr>
          <w:color w:val="1F3864" w:themeColor="accent1" w:themeShade="80"/>
        </w:rPr>
        <w:t xml:space="preserve">, es decir, la </w:t>
      </w:r>
      <w:r w:rsidR="003842EA">
        <w:rPr>
          <w:color w:val="1F3864" w:themeColor="accent1" w:themeShade="80"/>
        </w:rPr>
        <w:t>carencia</w:t>
      </w:r>
      <w:r w:rsidRPr="00A95E3E">
        <w:rPr>
          <w:color w:val="1F3864" w:themeColor="accent1" w:themeShade="80"/>
        </w:rPr>
        <w:t xml:space="preserve"> de deseos, el </w:t>
      </w:r>
      <w:r w:rsidR="00EB3162">
        <w:rPr>
          <w:color w:val="1F3864" w:themeColor="accent1" w:themeShade="80"/>
        </w:rPr>
        <w:t>contentamiento</w:t>
      </w:r>
      <w:r w:rsidRPr="00A95E3E">
        <w:rPr>
          <w:color w:val="1F3864" w:themeColor="accent1" w:themeShade="80"/>
        </w:rPr>
        <w:t xml:space="preserve">, la </w:t>
      </w:r>
      <w:r w:rsidR="00E9188A">
        <w:rPr>
          <w:color w:val="1F3864" w:themeColor="accent1" w:themeShade="80"/>
        </w:rPr>
        <w:t>purificación</w:t>
      </w:r>
      <w:r w:rsidRPr="00A95E3E">
        <w:rPr>
          <w:color w:val="1F3864" w:themeColor="accent1" w:themeShade="80"/>
        </w:rPr>
        <w:t>, la reclusión y esa cualidad específica,</w:t>
      </w:r>
      <w:r w:rsidR="00572147" w:rsidRPr="00A95E3E">
        <w:rPr>
          <w:color w:val="1F3864" w:themeColor="accent1" w:themeShade="80"/>
          <w:vertAlign w:val="superscript"/>
        </w:rPr>
        <w:t>20</w:t>
      </w:r>
      <w:r w:rsidRPr="00A95E3E">
        <w:rPr>
          <w:color w:val="1F3864" w:themeColor="accent1" w:themeShade="80"/>
        </w:rPr>
        <w:t xml:space="preserve"> se denominan "estados ascéticos" debido a las palabras "Dependiendo de </w:t>
      </w:r>
      <w:r w:rsidR="00EA539A" w:rsidRPr="00A95E3E">
        <w:rPr>
          <w:color w:val="1F3864" w:themeColor="accent1" w:themeShade="80"/>
        </w:rPr>
        <w:t xml:space="preserve">la </w:t>
      </w:r>
      <w:r w:rsidRPr="00A95E3E">
        <w:rPr>
          <w:color w:val="1F3864" w:themeColor="accent1" w:themeShade="80"/>
        </w:rPr>
        <w:t>escasez de deseos” (A III 219), etc.</w:t>
      </w:r>
    </w:p>
    <w:p w14:paraId="759FCE26" w14:textId="40D238DD" w:rsidR="00105797" w:rsidRDefault="00105797" w:rsidP="00105797">
      <w:r>
        <w:t xml:space="preserve">84. </w:t>
      </w:r>
      <w:r>
        <w:tab/>
        <w:t xml:space="preserve">Aquí, </w:t>
      </w:r>
      <w:r w:rsidRPr="003D41C7">
        <w:rPr>
          <w:i/>
          <w:iCs/>
        </w:rPr>
        <w:t xml:space="preserve">la escasez de deseos y el contentamiento </w:t>
      </w:r>
      <w:r w:rsidR="00EA539A">
        <w:t>corresponden a la no</w:t>
      </w:r>
      <w:r w:rsidR="000E2F1E">
        <w:t>–</w:t>
      </w:r>
      <w:r w:rsidR="00EA539A">
        <w:t>codicia</w:t>
      </w:r>
      <w:r>
        <w:t xml:space="preserve">. </w:t>
      </w:r>
      <w:r w:rsidR="008D62B3">
        <w:t xml:space="preserve">La </w:t>
      </w:r>
      <w:r w:rsidR="00E9188A">
        <w:rPr>
          <w:i/>
          <w:iCs/>
        </w:rPr>
        <w:t>purificación</w:t>
      </w:r>
      <w:r>
        <w:t xml:space="preserve"> y la </w:t>
      </w:r>
      <w:r w:rsidRPr="00D715B9">
        <w:rPr>
          <w:i/>
          <w:iCs/>
        </w:rPr>
        <w:t>reclusión</w:t>
      </w:r>
      <w:r>
        <w:t xml:space="preserve"> pertenecen a los dos estados, </w:t>
      </w:r>
      <w:r w:rsidR="008D62B3">
        <w:t>a</w:t>
      </w:r>
      <w:r>
        <w:t>l</w:t>
      </w:r>
      <w:r w:rsidR="009D2854">
        <w:t xml:space="preserve"> </w:t>
      </w:r>
      <w:r w:rsidR="00290342">
        <w:t>de</w:t>
      </w:r>
      <w:r w:rsidR="009D2854">
        <w:t xml:space="preserve"> la</w:t>
      </w:r>
      <w:r w:rsidR="00290342">
        <w:t xml:space="preserve"> </w:t>
      </w:r>
      <w:r>
        <w:t>no</w:t>
      </w:r>
      <w:r w:rsidR="009D2854">
        <w:t>–</w:t>
      </w:r>
      <w:r>
        <w:t>codicia y no</w:t>
      </w:r>
      <w:r w:rsidR="004F1F1D">
        <w:t>–</w:t>
      </w:r>
      <w:r>
        <w:t xml:space="preserve">ilusión. </w:t>
      </w:r>
      <w:r w:rsidRPr="008D62B3">
        <w:rPr>
          <w:i/>
          <w:iCs/>
        </w:rPr>
        <w:t>Esa cualidad específica</w:t>
      </w:r>
      <w:r>
        <w:t xml:space="preserve"> es conocimiento. Aquí, por medio de la no codicia, un hombre </w:t>
      </w:r>
      <w:r w:rsidR="00290342">
        <w:t xml:space="preserve">removerá </w:t>
      </w:r>
      <w:r>
        <w:t>la codicia por las cosas que est</w:t>
      </w:r>
      <w:r w:rsidR="008D62B3">
        <w:t>é</w:t>
      </w:r>
      <w:r>
        <w:t>n prohibidas. Por medio de</w:t>
      </w:r>
      <w:r w:rsidR="008D62B3">
        <w:t xml:space="preserve"> </w:t>
      </w:r>
      <w:r>
        <w:t>l</w:t>
      </w:r>
      <w:r w:rsidR="008D62B3">
        <w:t>a</w:t>
      </w:r>
      <w:r>
        <w:t xml:space="preserve"> no </w:t>
      </w:r>
      <w:r w:rsidR="008D62B3">
        <w:t>ilusión</w:t>
      </w:r>
      <w:r>
        <w:t xml:space="preserve"> </w:t>
      </w:r>
      <w:r w:rsidR="000714AA">
        <w:t xml:space="preserve">removerá </w:t>
      </w:r>
      <w:r w:rsidR="008D62B3">
        <w:t>la ilusión</w:t>
      </w:r>
      <w:r>
        <w:t xml:space="preserve"> que escond</w:t>
      </w:r>
      <w:r w:rsidR="000714AA">
        <w:t>a</w:t>
      </w:r>
      <w:r>
        <w:t xml:space="preserve"> los peligros en esas mismas cosas. Y por medio de la no codicia </w:t>
      </w:r>
      <w:r w:rsidR="000714AA">
        <w:t xml:space="preserve">removerá </w:t>
      </w:r>
      <w:r>
        <w:t xml:space="preserve">la complacencia en el placer debido a los </w:t>
      </w:r>
      <w:r w:rsidR="007831DD">
        <w:t>deseos sensoriales</w:t>
      </w:r>
      <w:r>
        <w:t xml:space="preserve"> que ocurr</w:t>
      </w:r>
      <w:r w:rsidR="00CA7519">
        <w:t>a</w:t>
      </w:r>
      <w:r>
        <w:t xml:space="preserve"> bajo el título de usar lo que est</w:t>
      </w:r>
      <w:r w:rsidR="008D62B3">
        <w:t>é</w:t>
      </w:r>
      <w:r>
        <w:t xml:space="preserve"> permitido. Y por medio de</w:t>
      </w:r>
      <w:r w:rsidR="008D62B3">
        <w:t xml:space="preserve"> </w:t>
      </w:r>
      <w:r>
        <w:t>l</w:t>
      </w:r>
      <w:r w:rsidR="008D62B3">
        <w:t>a</w:t>
      </w:r>
      <w:r>
        <w:t xml:space="preserve"> no </w:t>
      </w:r>
      <w:r w:rsidR="008D62B3">
        <w:t>ilusión</w:t>
      </w:r>
      <w:r>
        <w:t xml:space="preserve"> </w:t>
      </w:r>
      <w:r w:rsidR="00CA7519">
        <w:t xml:space="preserve">removerá </w:t>
      </w:r>
      <w:r>
        <w:t xml:space="preserve">la indulgencia en la auto mortificación que ocurre bajo el título de </w:t>
      </w:r>
      <w:r w:rsidR="00D62F23">
        <w:t xml:space="preserve">la </w:t>
      </w:r>
      <w:r w:rsidR="009F2910">
        <w:t>purificación</w:t>
      </w:r>
      <w:r>
        <w:t xml:space="preserve"> excesiv</w:t>
      </w:r>
      <w:r w:rsidR="008D62B3">
        <w:t>a</w:t>
      </w:r>
      <w:r>
        <w:t xml:space="preserve"> </w:t>
      </w:r>
      <w:r w:rsidR="00D62F23">
        <w:t xml:space="preserve">de </w:t>
      </w:r>
      <w:r>
        <w:t xml:space="preserve">las prácticas </w:t>
      </w:r>
      <w:r w:rsidR="00656CF3">
        <w:t>asceta</w:t>
      </w:r>
      <w:r>
        <w:t>s. Por eso</w:t>
      </w:r>
      <w:r w:rsidR="00164F9C">
        <w:t>,</w:t>
      </w:r>
      <w:r>
        <w:t xml:space="preserve"> estos estados deben entenderse como “estados ascéticos”.</w:t>
      </w:r>
    </w:p>
    <w:p w14:paraId="0EB48769" w14:textId="2D93ECE1" w:rsidR="00105797" w:rsidRDefault="00105797" w:rsidP="00105797">
      <w:r>
        <w:t xml:space="preserve">85. </w:t>
      </w:r>
      <w:r>
        <w:tab/>
      </w:r>
      <w:r w:rsidRPr="003D41C7">
        <w:rPr>
          <w:i/>
          <w:iCs/>
        </w:rPr>
        <w:t xml:space="preserve">Prácticas </w:t>
      </w:r>
      <w:r w:rsidR="00656CF3">
        <w:rPr>
          <w:i/>
          <w:iCs/>
        </w:rPr>
        <w:t>asceta</w:t>
      </w:r>
      <w:r w:rsidRPr="003D41C7">
        <w:rPr>
          <w:i/>
          <w:iCs/>
        </w:rPr>
        <w:t>s</w:t>
      </w:r>
      <w:r>
        <w:t>: deben entenderse como las trece</w:t>
      </w:r>
      <w:r w:rsidR="00CA7519" w:rsidRPr="00CA7519">
        <w:t xml:space="preserve"> prácticas</w:t>
      </w:r>
      <w:r>
        <w:t xml:space="preserve">, es decir, la práctica del </w:t>
      </w:r>
      <w:r w:rsidR="00CF1822">
        <w:t>que viste harapos desechados</w:t>
      </w:r>
      <w:r>
        <w:t xml:space="preserve">... la práctica del </w:t>
      </w:r>
      <w:r w:rsidR="00CF1822">
        <w:t xml:space="preserve">habitar </w:t>
      </w:r>
      <w:r>
        <w:t>sentado, que ya se ha descrito en cuanto al significado y en cuanto a la característica, etc.</w:t>
      </w:r>
    </w:p>
    <w:p w14:paraId="3EBB8782" w14:textId="4F27F8D6" w:rsidR="00105797" w:rsidRDefault="00105797" w:rsidP="00105797">
      <w:r>
        <w:t xml:space="preserve">86. </w:t>
      </w:r>
      <w:r>
        <w:tab/>
      </w:r>
      <w:r w:rsidRPr="003D41C7">
        <w:rPr>
          <w:i/>
          <w:iCs/>
        </w:rPr>
        <w:t xml:space="preserve">Para quién </w:t>
      </w:r>
      <w:r w:rsidR="00CF1822">
        <w:rPr>
          <w:i/>
          <w:iCs/>
        </w:rPr>
        <w:t>sea</w:t>
      </w:r>
      <w:r w:rsidRPr="003D41C7">
        <w:rPr>
          <w:i/>
          <w:iCs/>
        </w:rPr>
        <w:t xml:space="preserve"> adecuad</w:t>
      </w:r>
      <w:r w:rsidR="00CF1822">
        <w:rPr>
          <w:i/>
          <w:iCs/>
        </w:rPr>
        <w:t>o</w:t>
      </w:r>
      <w:r w:rsidRPr="003D41C7">
        <w:rPr>
          <w:i/>
          <w:iCs/>
        </w:rPr>
        <w:t xml:space="preserve"> el cultivo de prácticas </w:t>
      </w:r>
      <w:r w:rsidR="00656CF3">
        <w:rPr>
          <w:i/>
          <w:iCs/>
        </w:rPr>
        <w:t>asceta</w:t>
      </w:r>
      <w:r w:rsidRPr="003D41C7">
        <w:rPr>
          <w:i/>
          <w:iCs/>
        </w:rPr>
        <w:t>s</w:t>
      </w:r>
      <w:r>
        <w:t xml:space="preserve">: </w:t>
      </w:r>
      <w:r w:rsidR="00A51760">
        <w:t>esta</w:t>
      </w:r>
      <w:r w:rsidR="001842A0">
        <w:t>s</w:t>
      </w:r>
      <w:r w:rsidR="00A51760">
        <w:t xml:space="preserve"> práctica</w:t>
      </w:r>
      <w:r w:rsidR="001842A0">
        <w:t>s</w:t>
      </w:r>
      <w:r w:rsidR="00A51760">
        <w:t xml:space="preserve"> </w:t>
      </w:r>
      <w:r>
        <w:t xml:space="preserve">son adecuadas para </w:t>
      </w:r>
      <w:r w:rsidR="00A51760">
        <w:t>alguien</w:t>
      </w:r>
      <w:r>
        <w:t xml:space="preserve"> </w:t>
      </w:r>
      <w:r w:rsidR="00A51760">
        <w:t>que posea un</w:t>
      </w:r>
      <w:r>
        <w:t xml:space="preserve"> temperamento codicioso y para </w:t>
      </w:r>
      <w:r w:rsidR="00A51760">
        <w:t xml:space="preserve">alguien </w:t>
      </w:r>
      <w:r>
        <w:t xml:space="preserve">de temperamento </w:t>
      </w:r>
      <w:r w:rsidR="00A8112E">
        <w:t>ilusorio</w:t>
      </w:r>
      <w:r>
        <w:t xml:space="preserve">. ¿Por qué? Porque el cultivo de las prácticas </w:t>
      </w:r>
      <w:r w:rsidR="00656CF3">
        <w:t>asceta</w:t>
      </w:r>
      <w:r>
        <w:t>s es a la vez un progreso difícil</w:t>
      </w:r>
      <w:r w:rsidR="00E9491A">
        <w:rPr>
          <w:vertAlign w:val="superscript"/>
        </w:rPr>
        <w:t>21</w:t>
      </w:r>
      <w:r>
        <w:t xml:space="preserve"> y una permanencia en </w:t>
      </w:r>
      <w:r w:rsidR="00A8112E">
        <w:t xml:space="preserve">la </w:t>
      </w:r>
      <w:r w:rsidR="00F119BD">
        <w:t>purificación</w:t>
      </w:r>
      <w:r>
        <w:t xml:space="preserve">; y la codicia se calma con el progreso difícil, mientras que </w:t>
      </w:r>
      <w:r w:rsidR="00F7367F">
        <w:t>la ilusión</w:t>
      </w:r>
      <w:r>
        <w:t xml:space="preserve"> se elimina</w:t>
      </w:r>
      <w:r w:rsidR="00F7367F">
        <w:t>rá</w:t>
      </w:r>
      <w:r>
        <w:t xml:space="preserve"> en aquellos diligentes </w:t>
      </w:r>
      <w:r w:rsidR="00717FE9">
        <w:t>a través</w:t>
      </w:r>
      <w:r>
        <w:t xml:space="preserve"> de</w:t>
      </w:r>
      <w:r w:rsidR="00F7367F">
        <w:t xml:space="preserve"> </w:t>
      </w:r>
      <w:r>
        <w:t>l</w:t>
      </w:r>
      <w:r w:rsidR="00F7367F">
        <w:t>a</w:t>
      </w:r>
      <w:r>
        <w:t xml:space="preserve"> </w:t>
      </w:r>
      <w:r w:rsidR="00F119BD">
        <w:t>purificación</w:t>
      </w:r>
      <w:r>
        <w:t xml:space="preserve">. O el cultivo de la práctica del habitante del bosque y la práctica del habitante </w:t>
      </w:r>
      <w:r w:rsidR="00DC5B6A">
        <w:t xml:space="preserve">sobre </w:t>
      </w:r>
      <w:r>
        <w:t>la raíz de</w:t>
      </w:r>
      <w:r w:rsidR="00DC5B6A">
        <w:t xml:space="preserve"> un</w:t>
      </w:r>
      <w:r>
        <w:t xml:space="preserve"> árbol aquí son adecuados para alguien </w:t>
      </w:r>
      <w:r w:rsidR="00DC5B6A">
        <w:t xml:space="preserve">de </w:t>
      </w:r>
      <w:r>
        <w:t xml:space="preserve">temperamento </w:t>
      </w:r>
      <w:r w:rsidR="00DC5B6A">
        <w:t>ira</w:t>
      </w:r>
      <w:r w:rsidR="0055059C">
        <w:t>cundo</w:t>
      </w:r>
      <w:r>
        <w:t>; porque el odio también se calma</w:t>
      </w:r>
      <w:r w:rsidR="001C27BC">
        <w:t>rá</w:t>
      </w:r>
      <w:r>
        <w:t xml:space="preserve"> en quien mor</w:t>
      </w:r>
      <w:r w:rsidR="0055059C">
        <w:t>e</w:t>
      </w:r>
      <w:r>
        <w:t xml:space="preserve"> a</w:t>
      </w:r>
      <w:r w:rsidR="0055059C">
        <w:t>s</w:t>
      </w:r>
      <w:r>
        <w:t xml:space="preserve">í sin entrar en </w:t>
      </w:r>
      <w:r w:rsidR="0055059C">
        <w:t xml:space="preserve">contacto con ningún </w:t>
      </w:r>
      <w:r>
        <w:t>conflicto.</w:t>
      </w:r>
    </w:p>
    <w:p w14:paraId="3B4A6131" w14:textId="7D7B93D6" w:rsidR="00105797" w:rsidRDefault="0055059C" w:rsidP="00105797">
      <w:pPr>
        <w:pStyle w:val="NormalConSangria"/>
      </w:pPr>
      <w:r>
        <w:t>É</w:t>
      </w:r>
      <w:r w:rsidR="00105797">
        <w:t xml:space="preserve">ste es el comentario "en cuanto a 'asceta' y </w:t>
      </w:r>
      <w:r w:rsidR="001C27BC" w:rsidRPr="001C27BC">
        <w:t xml:space="preserve">demás </w:t>
      </w:r>
      <w:r w:rsidR="00105797">
        <w:t>distinguidos". [82]</w:t>
      </w:r>
    </w:p>
    <w:p w14:paraId="2F7F5BE9" w14:textId="5E8D9B9F" w:rsidR="00105797" w:rsidRDefault="00105797" w:rsidP="00105797">
      <w:r>
        <w:t xml:space="preserve">87. </w:t>
      </w:r>
      <w:r>
        <w:tab/>
      </w:r>
      <w:r w:rsidRPr="003D41C7">
        <w:rPr>
          <w:i/>
          <w:iCs/>
        </w:rPr>
        <w:t>6. y 7. En cuanto a grupos y también individualmente</w:t>
      </w:r>
      <w:r>
        <w:t xml:space="preserve">. Ahora, 6. </w:t>
      </w:r>
      <w:r w:rsidRPr="005C48BC">
        <w:rPr>
          <w:i/>
          <w:iCs/>
        </w:rPr>
        <w:t>en cuanto a los grupos</w:t>
      </w:r>
      <w:r>
        <w:t xml:space="preserve">: estas prácticas </w:t>
      </w:r>
      <w:r w:rsidR="00656CF3">
        <w:t>asceta</w:t>
      </w:r>
      <w:r>
        <w:t xml:space="preserve">s son en realidad sólo ocho, es decir, tres principales y cinco prácticas individuales. Aquí, las tres, </w:t>
      </w:r>
      <w:r w:rsidR="005C48BC">
        <w:t>es decir</w:t>
      </w:r>
      <w:r>
        <w:t>, la práctica del buscador de casa</w:t>
      </w:r>
      <w:r w:rsidR="00014D71">
        <w:t>-</w:t>
      </w:r>
      <w:r>
        <w:t>en</w:t>
      </w:r>
      <w:r w:rsidR="00014D71">
        <w:t>-</w:t>
      </w:r>
      <w:r>
        <w:t xml:space="preserve">casa, la práctica de una sola sesión y la práctica del morador al aire libre, son prácticas principales. Porque el que </w:t>
      </w:r>
      <w:r w:rsidR="00014D71">
        <w:t xml:space="preserve">mantenga </w:t>
      </w:r>
      <w:r>
        <w:t>la costumbre del buscador de casa</w:t>
      </w:r>
      <w:r w:rsidR="00014D71">
        <w:t>-</w:t>
      </w:r>
      <w:r>
        <w:t>en</w:t>
      </w:r>
      <w:r w:rsidR="00014D71">
        <w:t>-</w:t>
      </w:r>
      <w:r>
        <w:t xml:space="preserve">casa, guardará la costumbre del comedor de </w:t>
      </w:r>
      <w:r w:rsidR="00014D71">
        <w:t>ofrendas</w:t>
      </w:r>
      <w:r>
        <w:t>; y la práctica del come</w:t>
      </w:r>
      <w:r w:rsidR="00C30891">
        <w:t>nsal</w:t>
      </w:r>
      <w:r>
        <w:t>-</w:t>
      </w:r>
      <w:r w:rsidR="00C30891">
        <w:t>de ofrendas</w:t>
      </w:r>
      <w:r>
        <w:t>-de-</w:t>
      </w:r>
      <w:r w:rsidR="00286FF0">
        <w:t>un-</w:t>
      </w:r>
      <w:r w:rsidR="00C30891">
        <w:t xml:space="preserve">cuenco </w:t>
      </w:r>
      <w:r>
        <w:t>y la práctica del que-rechaza-</w:t>
      </w:r>
      <w:r w:rsidR="00C30891">
        <w:t>un</w:t>
      </w:r>
      <w:r>
        <w:t>a-comida-</w:t>
      </w:r>
      <w:r w:rsidR="00303C21">
        <w:t>tardía</w:t>
      </w:r>
      <w:r w:rsidR="00C30891">
        <w:t xml:space="preserve"> </w:t>
      </w:r>
      <w:r>
        <w:t>serán bien mantenidas por aquel que manten</w:t>
      </w:r>
      <w:r w:rsidR="00C30891">
        <w:t>ga</w:t>
      </w:r>
      <w:r>
        <w:t xml:space="preserve"> la práctica del que ha</w:t>
      </w:r>
      <w:r w:rsidR="00656EE7">
        <w:t>ga</w:t>
      </w:r>
      <w:r>
        <w:t xml:space="preserve"> una sola sesión. ¿Y qué necesidad tiene quien manten</w:t>
      </w:r>
      <w:r w:rsidR="00656EE7">
        <w:t>ga</w:t>
      </w:r>
      <w:r>
        <w:t xml:space="preserve"> la práctica del habitante </w:t>
      </w:r>
      <w:r w:rsidR="00656EE7">
        <w:t>a</w:t>
      </w:r>
      <w:r>
        <w:t xml:space="preserve">l aire libre de mantener la práctica del habitante </w:t>
      </w:r>
      <w:r w:rsidR="00656EE7">
        <w:t>sobre</w:t>
      </w:r>
      <w:r>
        <w:t xml:space="preserve"> la raíz del árbol o la práctica del usuario de cualquier </w:t>
      </w:r>
      <w:r w:rsidR="00656EE7">
        <w:t>lecho de descanso</w:t>
      </w:r>
      <w:r>
        <w:t xml:space="preserve">? </w:t>
      </w:r>
      <w:r w:rsidR="00985252">
        <w:t xml:space="preserve">Como </w:t>
      </w:r>
      <w:r>
        <w:t xml:space="preserve">existen estas tres prácticas principales que, junto con las cinco prácticas </w:t>
      </w:r>
    </w:p>
    <w:p w14:paraId="43F5BB95" w14:textId="77777777" w:rsidR="00105797" w:rsidRPr="00105797" w:rsidRDefault="00105797" w:rsidP="00105797">
      <w:pPr>
        <w:pStyle w:val="PiedepginaLegal"/>
        <w:rPr>
          <w:u w:val="single"/>
        </w:rPr>
      </w:pPr>
      <w:r w:rsidRPr="00105797">
        <w:rPr>
          <w:u w:val="single"/>
        </w:rPr>
        <w:t xml:space="preserve">                                                                                                                                                 .</w:t>
      </w:r>
    </w:p>
    <w:p w14:paraId="452A16F9" w14:textId="593AD52A" w:rsidR="00105797" w:rsidRDefault="00105797" w:rsidP="00105797">
      <w:pPr>
        <w:pStyle w:val="PiedepginaLegal"/>
      </w:pPr>
      <w:r>
        <w:t xml:space="preserve">20. </w:t>
      </w:r>
      <w:r>
        <w:tab/>
      </w:r>
      <w:proofErr w:type="spellStart"/>
      <w:r w:rsidRPr="003D41C7">
        <w:rPr>
          <w:i/>
          <w:iCs/>
        </w:rPr>
        <w:t>Idamatthitā</w:t>
      </w:r>
      <w:proofErr w:type="spellEnd"/>
      <w:proofErr w:type="gramStart"/>
      <w:r>
        <w:t>—”esa</w:t>
      </w:r>
      <w:proofErr w:type="gramEnd"/>
      <w:r>
        <w:t xml:space="preserve"> cualidad específica”: “Debido a estos estados provechosos existe, (así es ‘específica por aquellos’; </w:t>
      </w:r>
      <w:proofErr w:type="spellStart"/>
      <w:r w:rsidRPr="003D41C7">
        <w:rPr>
          <w:i/>
          <w:iCs/>
        </w:rPr>
        <w:t>imehi</w:t>
      </w:r>
      <w:proofErr w:type="spellEnd"/>
      <w:r w:rsidRPr="003D41C7">
        <w:rPr>
          <w:i/>
          <w:iCs/>
        </w:rPr>
        <w:t xml:space="preserve"> </w:t>
      </w:r>
      <w:proofErr w:type="spellStart"/>
      <w:r w:rsidRPr="003D41C7">
        <w:rPr>
          <w:i/>
          <w:iCs/>
        </w:rPr>
        <w:t>kusaladhammehi</w:t>
      </w:r>
      <w:proofErr w:type="spellEnd"/>
      <w:r w:rsidRPr="003D41C7">
        <w:rPr>
          <w:i/>
          <w:iCs/>
        </w:rPr>
        <w:t xml:space="preserve"> </w:t>
      </w:r>
      <w:proofErr w:type="spellStart"/>
      <w:r w:rsidRPr="003D41C7">
        <w:rPr>
          <w:i/>
          <w:iCs/>
        </w:rPr>
        <w:t>atthi</w:t>
      </w:r>
      <w:proofErr w:type="spellEnd"/>
      <w:r w:rsidRPr="003D41C7">
        <w:rPr>
          <w:i/>
          <w:iCs/>
        </w:rPr>
        <w:t xml:space="preserve"> = </w:t>
      </w:r>
      <w:proofErr w:type="spellStart"/>
      <w:r w:rsidRPr="003D41C7">
        <w:rPr>
          <w:i/>
          <w:iCs/>
        </w:rPr>
        <w:t>idam-atthi</w:t>
      </w:r>
      <w:proofErr w:type="spellEnd"/>
      <w:r>
        <w:t xml:space="preserve">). El conocimiento </w:t>
      </w:r>
      <w:r w:rsidR="007C612B">
        <w:t xml:space="preserve">por medio del cual </w:t>
      </w:r>
      <w:r w:rsidR="00CB01FB">
        <w:t xml:space="preserve">aquél que se haya ordenado </w:t>
      </w:r>
      <w:r>
        <w:t>deb</w:t>
      </w:r>
      <w:r w:rsidR="007C612B">
        <w:t>ería</w:t>
      </w:r>
      <w:r>
        <w:t xml:space="preserve"> establecer en la práctica del portador de harapos de basura, etc., y por medio del cual, al ser </w:t>
      </w:r>
      <w:r w:rsidR="00530F31">
        <w:t xml:space="preserve">así </w:t>
      </w:r>
      <w:r>
        <w:t>instruido</w:t>
      </w:r>
      <w:r w:rsidR="00462A89">
        <w:t>,</w:t>
      </w:r>
      <w:r>
        <w:t xml:space="preserve"> uno emprende y persiste en las cualidades </w:t>
      </w:r>
      <w:r w:rsidR="00656CF3">
        <w:t>asceta</w:t>
      </w:r>
      <w:r>
        <w:t xml:space="preserve">s, ese conocimiento es </w:t>
      </w:r>
      <w:proofErr w:type="spellStart"/>
      <w:r w:rsidRPr="003D41C7">
        <w:rPr>
          <w:i/>
          <w:iCs/>
        </w:rPr>
        <w:t>idamatthitā</w:t>
      </w:r>
      <w:proofErr w:type="spellEnd"/>
      <w:r>
        <w:t>”. (</w:t>
      </w:r>
      <w:proofErr w:type="spellStart"/>
      <w:r>
        <w:t>Vism-mhṭ</w:t>
      </w:r>
      <w:proofErr w:type="spellEnd"/>
      <w:r>
        <w:t xml:space="preserve"> 88).</w:t>
      </w:r>
    </w:p>
    <w:p w14:paraId="311A6B35" w14:textId="4434D667" w:rsidR="002760E4" w:rsidRDefault="00105797" w:rsidP="002760E4">
      <w:pPr>
        <w:pStyle w:val="PiedepginaLegal"/>
      </w:pPr>
      <w:r>
        <w:t xml:space="preserve">21. </w:t>
      </w:r>
      <w:r>
        <w:tab/>
        <w:t>Véase XXI.117.</w:t>
      </w:r>
      <w:r w:rsidR="002760E4">
        <w:br w:type="page"/>
      </w:r>
    </w:p>
    <w:p w14:paraId="2CEA8CA5" w14:textId="67E41D0F" w:rsidR="002760E4" w:rsidRDefault="00F5092A" w:rsidP="002760E4">
      <w:r>
        <w:lastRenderedPageBreak/>
        <w:t xml:space="preserve">individuales, es decir, la práctica del habitante del bosque, </w:t>
      </w:r>
      <w:r w:rsidR="002760E4">
        <w:t>la práctica del portador de harapos de</w:t>
      </w:r>
      <w:r w:rsidR="00985252">
        <w:t>sechados</w:t>
      </w:r>
      <w:r w:rsidR="002760E4">
        <w:t xml:space="preserve">, la práctica del portador de tres </w:t>
      </w:r>
      <w:r w:rsidR="00985252">
        <w:t>ropajes</w:t>
      </w:r>
      <w:r w:rsidR="002760E4">
        <w:t xml:space="preserve">, la práctica del </w:t>
      </w:r>
      <w:r w:rsidR="00985252">
        <w:t xml:space="preserve">habitar </w:t>
      </w:r>
      <w:r w:rsidR="002760E4">
        <w:t xml:space="preserve">sentado y la práctica del habitante del cementerio, llegan a </w:t>
      </w:r>
      <w:r w:rsidR="00E02AD5">
        <w:t xml:space="preserve">sumar </w:t>
      </w:r>
      <w:r w:rsidR="002760E4">
        <w:t>ocho solamente.</w:t>
      </w:r>
    </w:p>
    <w:p w14:paraId="3D226FC8" w14:textId="5003353A" w:rsidR="002760E4" w:rsidRDefault="002760E4" w:rsidP="002760E4">
      <w:r>
        <w:t xml:space="preserve">88. </w:t>
      </w:r>
      <w:r>
        <w:tab/>
        <w:t>De nuevo</w:t>
      </w:r>
      <w:r w:rsidR="00C309ED">
        <w:t xml:space="preserve">, </w:t>
      </w:r>
      <w:r w:rsidR="00710594">
        <w:t>se</w:t>
      </w:r>
      <w:r>
        <w:t xml:space="preserve"> </w:t>
      </w:r>
      <w:r w:rsidR="000F4511">
        <w:t xml:space="preserve">pueden </w:t>
      </w:r>
      <w:r w:rsidR="00710594">
        <w:t>agrupar de grupos de a</w:t>
      </w:r>
      <w:r>
        <w:t xml:space="preserve"> cuatro, es decir, </w:t>
      </w:r>
      <w:r w:rsidR="000F4511" w:rsidRPr="00190E01">
        <w:rPr>
          <w:color w:val="385623" w:themeColor="accent6" w:themeShade="80"/>
        </w:rPr>
        <w:t xml:space="preserve">(1) </w:t>
      </w:r>
      <w:r>
        <w:t>dos relacionad</w:t>
      </w:r>
      <w:r w:rsidR="00190E01">
        <w:t>a</w:t>
      </w:r>
      <w:r>
        <w:t>s con l</w:t>
      </w:r>
      <w:r w:rsidR="00E02AD5">
        <w:t>o</w:t>
      </w:r>
      <w:r>
        <w:t xml:space="preserve">s </w:t>
      </w:r>
      <w:r w:rsidR="00E02AD5">
        <w:t>ropajes</w:t>
      </w:r>
      <w:r>
        <w:t xml:space="preserve">, </w:t>
      </w:r>
      <w:r w:rsidR="000F4511" w:rsidRPr="00190E01">
        <w:rPr>
          <w:color w:val="385623" w:themeColor="accent6" w:themeShade="80"/>
        </w:rPr>
        <w:t xml:space="preserve">(2) </w:t>
      </w:r>
      <w:r>
        <w:t>cinco relacionad</w:t>
      </w:r>
      <w:r w:rsidR="00190E01">
        <w:t>a</w:t>
      </w:r>
      <w:r>
        <w:t xml:space="preserve">s con la </w:t>
      </w:r>
      <w:r w:rsidR="000F4511">
        <w:t>ofrenda de alimentos</w:t>
      </w:r>
      <w:r>
        <w:t xml:space="preserve">, </w:t>
      </w:r>
      <w:r w:rsidR="000F4511" w:rsidRPr="00190E01">
        <w:rPr>
          <w:color w:val="385623" w:themeColor="accent6" w:themeShade="80"/>
        </w:rPr>
        <w:t xml:space="preserve">(3) </w:t>
      </w:r>
      <w:r>
        <w:t>cinco relacionad</w:t>
      </w:r>
      <w:r w:rsidR="00190E01">
        <w:t>a</w:t>
      </w:r>
      <w:r>
        <w:t xml:space="preserve">s con el </w:t>
      </w:r>
      <w:r w:rsidR="00076BAF">
        <w:t>lecho</w:t>
      </w:r>
      <w:r>
        <w:t xml:space="preserve"> de descanso y </w:t>
      </w:r>
      <w:r w:rsidR="006669ED" w:rsidRPr="00190E01">
        <w:rPr>
          <w:color w:val="385623" w:themeColor="accent6" w:themeShade="80"/>
        </w:rPr>
        <w:t xml:space="preserve">(4) </w:t>
      </w:r>
      <w:r>
        <w:t>uno relacionad</w:t>
      </w:r>
      <w:r w:rsidR="00190E01">
        <w:t>a</w:t>
      </w:r>
      <w:r>
        <w:t xml:space="preserve"> con la energía. Aquí, es la práctica del </w:t>
      </w:r>
      <w:r w:rsidR="006669ED">
        <w:t>habitar sentado</w:t>
      </w:r>
      <w:r>
        <w:t xml:space="preserve"> la que está conectada con la energía; el resto son obvios.</w:t>
      </w:r>
    </w:p>
    <w:p w14:paraId="6D271D53" w14:textId="340626F5" w:rsidR="002760E4" w:rsidRDefault="002760E4" w:rsidP="002760E4">
      <w:pPr>
        <w:pStyle w:val="NormalConSangria"/>
      </w:pPr>
      <w:r>
        <w:t xml:space="preserve">Nuevamente, todos ellos </w:t>
      </w:r>
      <w:r w:rsidR="006669ED">
        <w:t xml:space="preserve">pueden </w:t>
      </w:r>
      <w:r>
        <w:t>suma</w:t>
      </w:r>
      <w:r w:rsidR="006669ED">
        <w:t>r</w:t>
      </w:r>
      <w:r>
        <w:t xml:space="preserve"> sólo dos, ya que doce dependen de los requisitos y un</w:t>
      </w:r>
      <w:r w:rsidR="00190E01">
        <w:t>a</w:t>
      </w:r>
      <w:r>
        <w:t xml:space="preserve"> de la energía. También </w:t>
      </w:r>
      <w:r w:rsidR="00D75FAC">
        <w:t>pueden ser</w:t>
      </w:r>
      <w:r>
        <w:t xml:space="preserve"> dos según lo que se ha</w:t>
      </w:r>
      <w:r w:rsidR="00190E01">
        <w:t>ya</w:t>
      </w:r>
      <w:r>
        <w:t xml:space="preserve"> de cultivar y lo que no. Porque cuando alguien que cultiva una práctica </w:t>
      </w:r>
      <w:r w:rsidR="00656CF3">
        <w:t>asceta</w:t>
      </w:r>
      <w:r>
        <w:t xml:space="preserve"> encuentra que su objeto de meditación mejora, debe </w:t>
      </w:r>
      <w:r w:rsidR="00630012">
        <w:t xml:space="preserve">continuar </w:t>
      </w:r>
      <w:r>
        <w:t>cultiv</w:t>
      </w:r>
      <w:r w:rsidR="00630012">
        <w:t>ándola</w:t>
      </w:r>
      <w:r>
        <w:t>; pero cuando est</w:t>
      </w:r>
      <w:r w:rsidR="00425E4C">
        <w:t>é</w:t>
      </w:r>
      <w:r>
        <w:t xml:space="preserve"> cultivando un</w:t>
      </w:r>
      <w:r w:rsidR="00190E01">
        <w:t>a</w:t>
      </w:r>
      <w:r>
        <w:t xml:space="preserve"> y descubr</w:t>
      </w:r>
      <w:r w:rsidR="00630012">
        <w:t>a</w:t>
      </w:r>
      <w:r>
        <w:t xml:space="preserve"> que su objeto de meditación se deteriora, no debe cultivarl</w:t>
      </w:r>
      <w:r w:rsidR="00190E01">
        <w:t>a</w:t>
      </w:r>
      <w:r>
        <w:t>. Pero cuando descubr</w:t>
      </w:r>
      <w:r w:rsidR="00190E01">
        <w:t>a</w:t>
      </w:r>
      <w:r>
        <w:t xml:space="preserve"> que, ya sea que cultive un</w:t>
      </w:r>
      <w:r w:rsidR="00DE0DBA">
        <w:t>a</w:t>
      </w:r>
      <w:r>
        <w:t xml:space="preserve"> o no, su objeto de meditación solo mejora y no se deteriora, debe cultivarl</w:t>
      </w:r>
      <w:r w:rsidR="00190E01">
        <w:t>a</w:t>
      </w:r>
      <w:r>
        <w:t xml:space="preserve"> por compasión hacia las generaciones posteriores. Y cuando descubr</w:t>
      </w:r>
      <w:r w:rsidR="00190E01">
        <w:t>a</w:t>
      </w:r>
      <w:r>
        <w:t xml:space="preserve"> que, ya sea que l</w:t>
      </w:r>
      <w:r w:rsidR="00DE0DBA">
        <w:t>a</w:t>
      </w:r>
      <w:r>
        <w:t>s cultive o no, su objeto de meditación no mejora, debe seguir cultivándol</w:t>
      </w:r>
      <w:r w:rsidR="00DE0DBA">
        <w:t>a</w:t>
      </w:r>
      <w:r>
        <w:t xml:space="preserve">s con el fin de adquirir </w:t>
      </w:r>
      <w:r w:rsidR="002335F7">
        <w:t>un</w:t>
      </w:r>
      <w:r>
        <w:t xml:space="preserve"> hábito para el futuro. De modo que son de dos tipos según lo que se deb</w:t>
      </w:r>
      <w:r w:rsidR="002335F7">
        <w:t>a</w:t>
      </w:r>
      <w:r>
        <w:t xml:space="preserve"> cultivar y lo que no se deb</w:t>
      </w:r>
      <w:r w:rsidR="002335F7">
        <w:t>a</w:t>
      </w:r>
      <w:r>
        <w:t xml:space="preserve"> cultivar.</w:t>
      </w:r>
    </w:p>
    <w:p w14:paraId="109CF8E9" w14:textId="43A08CEF" w:rsidR="002760E4" w:rsidRDefault="002760E4" w:rsidP="002760E4">
      <w:r>
        <w:t xml:space="preserve">89. </w:t>
      </w:r>
      <w:r>
        <w:tab/>
        <w:t>Y tod</w:t>
      </w:r>
      <w:r w:rsidR="00A848AD">
        <w:t>a</w:t>
      </w:r>
      <w:r>
        <w:t xml:space="preserve">s </w:t>
      </w:r>
      <w:r w:rsidR="00A848AD">
        <w:t xml:space="preserve">pueden ser </w:t>
      </w:r>
      <w:r>
        <w:t xml:space="preserve">de </w:t>
      </w:r>
      <w:r w:rsidR="00A848AD">
        <w:t xml:space="preserve">solo </w:t>
      </w:r>
      <w:r>
        <w:t xml:space="preserve">una especie </w:t>
      </w:r>
      <w:r w:rsidR="00A848AD">
        <w:t xml:space="preserve">en cuanto a la </w:t>
      </w:r>
      <w:r>
        <w:t>volición</w:t>
      </w:r>
      <w:r w:rsidR="00A848AD">
        <w:t xml:space="preserve"> se refiere</w:t>
      </w:r>
      <w:r>
        <w:t xml:space="preserve">. Pues sólo hay una práctica </w:t>
      </w:r>
      <w:r w:rsidR="00656CF3">
        <w:t>asceta</w:t>
      </w:r>
      <w:r>
        <w:t xml:space="preserve">, </w:t>
      </w:r>
      <w:r w:rsidR="00DE0DBA">
        <w:t>e</w:t>
      </w:r>
      <w:r w:rsidR="00A848AD">
        <w:t>s</w:t>
      </w:r>
      <w:r w:rsidR="00DE0DBA">
        <w:t xml:space="preserve"> decir</w:t>
      </w:r>
      <w:r>
        <w:t>, la consiste</w:t>
      </w:r>
      <w:r w:rsidR="00DE0DBA">
        <w:t>nte de</w:t>
      </w:r>
      <w:r>
        <w:t xml:space="preserve"> la volición de </w:t>
      </w:r>
      <w:r w:rsidRPr="00EC0B5A">
        <w:t>emprender</w:t>
      </w:r>
      <w:r>
        <w:t>. También se dice en el Comentario: “Es la volición l</w:t>
      </w:r>
      <w:r w:rsidR="00F85B3E">
        <w:t>a</w:t>
      </w:r>
      <w:r>
        <w:t xml:space="preserve"> que </w:t>
      </w:r>
      <w:r w:rsidR="00DE0DBA">
        <w:t xml:space="preserve">corresponde a </w:t>
      </w:r>
      <w:r>
        <w:t xml:space="preserve">la práctica </w:t>
      </w:r>
      <w:r w:rsidR="00656CF3">
        <w:t>asceta</w:t>
      </w:r>
      <w:r>
        <w:t xml:space="preserve">, </w:t>
      </w:r>
      <w:r w:rsidR="00DE0DBA">
        <w:t xml:space="preserve">así </w:t>
      </w:r>
      <w:r>
        <w:t>dicen”.</w:t>
      </w:r>
    </w:p>
    <w:p w14:paraId="7105AA94" w14:textId="23C1F47A" w:rsidR="002760E4" w:rsidRDefault="002760E4" w:rsidP="002760E4">
      <w:r>
        <w:t xml:space="preserve">90. </w:t>
      </w:r>
      <w:r>
        <w:tab/>
        <w:t xml:space="preserve">7. Individualmente: </w:t>
      </w:r>
      <w:r w:rsidR="00F85B3E">
        <w:t>s</w:t>
      </w:r>
      <w:r>
        <w:t xml:space="preserve">on trece para </w:t>
      </w:r>
      <w:proofErr w:type="spellStart"/>
      <w:r w:rsidR="00057BF4" w:rsidRPr="00057BF4">
        <w:rPr>
          <w:i/>
          <w:iCs/>
        </w:rPr>
        <w:t>bhikkhu</w:t>
      </w:r>
      <w:r w:rsidRPr="003D41C7">
        <w:rPr>
          <w:i/>
          <w:iCs/>
        </w:rPr>
        <w:t>s</w:t>
      </w:r>
      <w:proofErr w:type="spellEnd"/>
      <w:r>
        <w:t xml:space="preserve">, ocho para </w:t>
      </w:r>
      <w:proofErr w:type="spellStart"/>
      <w:r w:rsidR="00057BF4" w:rsidRPr="00057BF4">
        <w:rPr>
          <w:i/>
          <w:iCs/>
        </w:rPr>
        <w:t>bhikkhunī</w:t>
      </w:r>
      <w:r w:rsidRPr="003D41C7">
        <w:rPr>
          <w:i/>
          <w:iCs/>
        </w:rPr>
        <w:t>s</w:t>
      </w:r>
      <w:proofErr w:type="spellEnd"/>
      <w:r>
        <w:t xml:space="preserve">, doce para novicias, siete para mujeres en prueba y novicias, y dos para seguidores laicos masculinos y femeninos, así </w:t>
      </w:r>
      <w:r w:rsidR="00DE0DBA">
        <w:t xml:space="preserve">llegan a sumar </w:t>
      </w:r>
      <w:r>
        <w:t>cuarenta y dos.</w:t>
      </w:r>
    </w:p>
    <w:p w14:paraId="016DE8DB" w14:textId="4A712E4F" w:rsidR="002760E4" w:rsidRDefault="002760E4" w:rsidP="002760E4">
      <w:r>
        <w:t xml:space="preserve">91. </w:t>
      </w:r>
      <w:r>
        <w:tab/>
        <w:t>Si hay un osario al aire libre que cumpl</w:t>
      </w:r>
      <w:r w:rsidR="00DE0DBA">
        <w:t>a</w:t>
      </w:r>
      <w:r>
        <w:t xml:space="preserve"> con la práctica del habitante del bosque, un </w:t>
      </w:r>
      <w:proofErr w:type="spellStart"/>
      <w:r w:rsidR="00057BF4" w:rsidRPr="00057BF4">
        <w:rPr>
          <w:i/>
          <w:iCs/>
        </w:rPr>
        <w:t>bhikkhu</w:t>
      </w:r>
      <w:proofErr w:type="spellEnd"/>
      <w:r>
        <w:t xml:space="preserve"> puede poner en práctica todas las prácticas </w:t>
      </w:r>
      <w:r w:rsidR="00656CF3">
        <w:t>asceta</w:t>
      </w:r>
      <w:r>
        <w:t>s simultáneamente.</w:t>
      </w:r>
    </w:p>
    <w:p w14:paraId="708ABB0D" w14:textId="732B1B8E" w:rsidR="002760E4" w:rsidRDefault="002760E4" w:rsidP="002760E4">
      <w:pPr>
        <w:pStyle w:val="NormalConSangria"/>
      </w:pPr>
      <w:r>
        <w:t xml:space="preserve">Pero las dos, es decir, la práctica del habitante </w:t>
      </w:r>
      <w:r w:rsidR="00A725E1">
        <w:t>en e</w:t>
      </w:r>
      <w:r>
        <w:t xml:space="preserve">l bosque y la práctica del </w:t>
      </w:r>
      <w:proofErr w:type="spellStart"/>
      <w:r>
        <w:t>rehusador</w:t>
      </w:r>
      <w:proofErr w:type="spellEnd"/>
      <w:r>
        <w:t xml:space="preserve"> de </w:t>
      </w:r>
      <w:r w:rsidR="00DE0DBA">
        <w:t xml:space="preserve">comida </w:t>
      </w:r>
      <w:r w:rsidR="00A725E1">
        <w:t>tardía</w:t>
      </w:r>
      <w:r>
        <w:t xml:space="preserve">, están prohibidas a las </w:t>
      </w:r>
      <w:proofErr w:type="spellStart"/>
      <w:r w:rsidR="00DE0DBA">
        <w:rPr>
          <w:i/>
          <w:iCs/>
        </w:rPr>
        <w:t>bhikkhunī</w:t>
      </w:r>
      <w:r w:rsidRPr="003D41C7">
        <w:rPr>
          <w:i/>
          <w:iCs/>
        </w:rPr>
        <w:t>s</w:t>
      </w:r>
      <w:proofErr w:type="spellEnd"/>
      <w:r>
        <w:t xml:space="preserve"> </w:t>
      </w:r>
      <w:r w:rsidR="00AD1CEE">
        <w:t xml:space="preserve">mediante un </w:t>
      </w:r>
      <w:r>
        <w:t>precepto de entrenamiento. [83] Y les resulta</w:t>
      </w:r>
      <w:r w:rsidR="00E44E84">
        <w:t>rá</w:t>
      </w:r>
      <w:r>
        <w:t xml:space="preserve"> difícil observar las tres, es decir, la práctica del habitante </w:t>
      </w:r>
      <w:r w:rsidR="00AD1CEE">
        <w:t>a</w:t>
      </w:r>
      <w:r>
        <w:t xml:space="preserve">l aire libre, la práctica del habitante </w:t>
      </w:r>
      <w:r w:rsidR="00AD1CEE">
        <w:t xml:space="preserve">sobre </w:t>
      </w:r>
      <w:r>
        <w:t>las raíces de los árboles y la práctica del habitante de cementerio</w:t>
      </w:r>
      <w:r w:rsidR="00E44E84">
        <w:t>s</w:t>
      </w:r>
      <w:r>
        <w:t xml:space="preserve">, porque a una </w:t>
      </w:r>
      <w:proofErr w:type="spellStart"/>
      <w:r w:rsidR="00057BF4" w:rsidRPr="00057BF4">
        <w:rPr>
          <w:i/>
          <w:iCs/>
        </w:rPr>
        <w:t>bhikkhunī</w:t>
      </w:r>
      <w:proofErr w:type="spellEnd"/>
      <w:r>
        <w:t xml:space="preserve"> no se le permite vivir sin compañía, y es difícil encontrar una compañera con las mismas </w:t>
      </w:r>
      <w:r w:rsidR="00D56FB7">
        <w:t>inclinaciones</w:t>
      </w:r>
      <w:r>
        <w:t xml:space="preserve"> de </w:t>
      </w:r>
      <w:r w:rsidR="00D56FB7">
        <w:t xml:space="preserve">habitar </w:t>
      </w:r>
      <w:r>
        <w:t xml:space="preserve">un lugar así, y aunque estuviera disponible, no escaparía de tener que vivir en compañía. Siendo así, el propósito de cultivar la práctica </w:t>
      </w:r>
      <w:r w:rsidR="00656CF3">
        <w:t>asceta</w:t>
      </w:r>
      <w:r>
        <w:t xml:space="preserve"> difícilmente sería </w:t>
      </w:r>
      <w:r w:rsidR="00D56FB7">
        <w:t>útil</w:t>
      </w:r>
      <w:r>
        <w:t>. Debido a que se reducen en cinco</w:t>
      </w:r>
      <w:r w:rsidR="00E44E84">
        <w:t>,</w:t>
      </w:r>
      <w:r>
        <w:t xml:space="preserve"> debido a esta incapacidad para hacer uso de algunos de ellos, deben entenderse como </w:t>
      </w:r>
      <w:r w:rsidR="00E44E84">
        <w:t>que se tratara de</w:t>
      </w:r>
      <w:r w:rsidR="00F43CE8">
        <w:t xml:space="preserve"> sólo </w:t>
      </w:r>
      <w:r>
        <w:t xml:space="preserve">ocho </w:t>
      </w:r>
      <w:r w:rsidR="00F43CE8">
        <w:t xml:space="preserve">las práctica </w:t>
      </w:r>
      <w:r w:rsidR="00656CF3">
        <w:t>asceta</w:t>
      </w:r>
      <w:r w:rsidR="00F43CE8">
        <w:t xml:space="preserve">s </w:t>
      </w:r>
      <w:r>
        <w:t xml:space="preserve">para </w:t>
      </w:r>
      <w:proofErr w:type="spellStart"/>
      <w:r w:rsidR="00057BF4" w:rsidRPr="00057BF4">
        <w:rPr>
          <w:i/>
          <w:iCs/>
        </w:rPr>
        <w:t>bhikkhunī</w:t>
      </w:r>
      <w:r w:rsidRPr="003D41C7">
        <w:rPr>
          <w:i/>
          <w:iCs/>
        </w:rPr>
        <w:t>s</w:t>
      </w:r>
      <w:proofErr w:type="spellEnd"/>
      <w:r>
        <w:t>.</w:t>
      </w:r>
    </w:p>
    <w:p w14:paraId="1536C2FC" w14:textId="103EA389" w:rsidR="002760E4" w:rsidRDefault="002760E4" w:rsidP="002760E4">
      <w:r>
        <w:t xml:space="preserve">92. </w:t>
      </w:r>
      <w:r>
        <w:tab/>
        <w:t>Excepto por la práctica del usuari</w:t>
      </w:r>
      <w:r w:rsidR="00F43CE8">
        <w:t>o</w:t>
      </w:r>
      <w:r>
        <w:t xml:space="preserve"> de </w:t>
      </w:r>
      <w:r w:rsidR="00207C21">
        <w:t>3</w:t>
      </w:r>
      <w:r>
        <w:t xml:space="preserve"> </w:t>
      </w:r>
      <w:r w:rsidR="00F43CE8">
        <w:t>ropajes</w:t>
      </w:r>
      <w:r>
        <w:t>, l</w:t>
      </w:r>
      <w:r w:rsidR="00ED53B6">
        <w:t>a</w:t>
      </w:r>
      <w:r>
        <w:t>s otr</w:t>
      </w:r>
      <w:r w:rsidR="00ED53B6">
        <w:t>a</w:t>
      </w:r>
      <w:r>
        <w:t xml:space="preserve">s </w:t>
      </w:r>
      <w:r w:rsidR="00207C21">
        <w:t xml:space="preserve">12 </w:t>
      </w:r>
      <w:r>
        <w:t xml:space="preserve">como se indica deben entenderse como </w:t>
      </w:r>
      <w:r w:rsidR="00ED53B6">
        <w:t>destinadas</w:t>
      </w:r>
      <w:r>
        <w:t xml:space="preserve"> </w:t>
      </w:r>
      <w:r w:rsidR="00ED53B6">
        <w:t xml:space="preserve">para las </w:t>
      </w:r>
      <w:r>
        <w:t>novicias, y l</w:t>
      </w:r>
      <w:r w:rsidR="00ED53B6">
        <w:t>a</w:t>
      </w:r>
      <w:r>
        <w:t>s otr</w:t>
      </w:r>
      <w:r w:rsidR="00ED53B6">
        <w:t>a</w:t>
      </w:r>
      <w:r>
        <w:t>s siete para mujeres en prueba y novicias.</w:t>
      </w:r>
    </w:p>
    <w:p w14:paraId="70E2F3B8" w14:textId="39FBB8A5" w:rsidR="002760E4" w:rsidRDefault="002760E4" w:rsidP="002760E4">
      <w:pPr>
        <w:pStyle w:val="NormalConSangria"/>
      </w:pPr>
      <w:r>
        <w:t>Las dos</w:t>
      </w:r>
      <w:r w:rsidR="00E44E84">
        <w:t xml:space="preserve"> prácticas</w:t>
      </w:r>
      <w:r>
        <w:t xml:space="preserve">, </w:t>
      </w:r>
      <w:r w:rsidR="00ED53B6">
        <w:t>es decir</w:t>
      </w:r>
      <w:r>
        <w:t>, la práctica de una sola sesión y la práctica del come</w:t>
      </w:r>
      <w:r w:rsidR="00ED53B6">
        <w:t>nsal</w:t>
      </w:r>
      <w:r>
        <w:t xml:space="preserve"> de </w:t>
      </w:r>
      <w:r w:rsidR="006E0187">
        <w:t xml:space="preserve">alimentos </w:t>
      </w:r>
      <w:r>
        <w:t xml:space="preserve">en </w:t>
      </w:r>
      <w:r w:rsidR="00E44E84">
        <w:t xml:space="preserve">un </w:t>
      </w:r>
      <w:r>
        <w:t xml:space="preserve">cuenco, son apropiadas para que las empleen </w:t>
      </w:r>
      <w:r w:rsidR="00560415">
        <w:t xml:space="preserve">a </w:t>
      </w:r>
      <w:r>
        <w:t xml:space="preserve">los seguidores laicos masculinos y femeninos. </w:t>
      </w:r>
      <w:r w:rsidR="00891051">
        <w:t>En este caso</w:t>
      </w:r>
      <w:r w:rsidR="00560415">
        <w:t>,</w:t>
      </w:r>
      <w:r w:rsidR="00891051">
        <w:t xml:space="preserve"> </w:t>
      </w:r>
      <w:r w:rsidR="006E0187">
        <w:t>las</w:t>
      </w:r>
      <w:r w:rsidR="00891051">
        <w:t xml:space="preserve"> </w:t>
      </w:r>
      <w:r>
        <w:t xml:space="preserve">prácticas </w:t>
      </w:r>
      <w:r w:rsidR="00656CF3">
        <w:t>asceta</w:t>
      </w:r>
      <w:r>
        <w:t>s</w:t>
      </w:r>
      <w:r w:rsidR="00891051" w:rsidRPr="00891051">
        <w:t xml:space="preserve"> </w:t>
      </w:r>
      <w:r w:rsidR="00891051">
        <w:t xml:space="preserve">son </w:t>
      </w:r>
      <w:r w:rsidR="00560415">
        <w:t>2</w:t>
      </w:r>
      <w:r>
        <w:t>.</w:t>
      </w:r>
    </w:p>
    <w:p w14:paraId="421F12AC" w14:textId="73A7CE01" w:rsidR="002760E4" w:rsidRDefault="002760E4" w:rsidP="002760E4">
      <w:pPr>
        <w:pStyle w:val="NormalConSangria"/>
      </w:pPr>
      <w:r>
        <w:t xml:space="preserve">Este es el comentario “en cuanto a </w:t>
      </w:r>
      <w:r w:rsidR="0040421E">
        <w:t xml:space="preserve">los </w:t>
      </w:r>
      <w:r>
        <w:t>grupos y también individualmente”.</w:t>
      </w:r>
    </w:p>
    <w:p w14:paraId="7D28DCF7" w14:textId="77777777" w:rsidR="002760E4" w:rsidRDefault="002760E4">
      <w:pPr>
        <w:tabs>
          <w:tab w:val="clear" w:pos="425"/>
        </w:tabs>
        <w:spacing w:after="160"/>
      </w:pPr>
      <w:r>
        <w:br w:type="page"/>
      </w:r>
    </w:p>
    <w:p w14:paraId="70E3C8D5" w14:textId="11937C69" w:rsidR="00B2539C" w:rsidRDefault="00B2539C" w:rsidP="00B2539C">
      <w:r>
        <w:lastRenderedPageBreak/>
        <w:t xml:space="preserve">93. </w:t>
      </w:r>
      <w:r w:rsidR="006E0187">
        <w:tab/>
      </w:r>
      <w:r>
        <w:t xml:space="preserve">Y </w:t>
      </w:r>
      <w:r w:rsidR="006E0187">
        <w:t>é</w:t>
      </w:r>
      <w:r>
        <w:t xml:space="preserve">ste es el final del tratado sobre las prácticas </w:t>
      </w:r>
      <w:r w:rsidR="00656CF3">
        <w:t>asceta</w:t>
      </w:r>
      <w:r>
        <w:t xml:space="preserve">s que se han de emprender para perfeccionar aquellas cualidades especiales </w:t>
      </w:r>
      <w:r w:rsidR="006E0187">
        <w:t>como la</w:t>
      </w:r>
      <w:r>
        <w:t xml:space="preserve"> escasez de deseos, </w:t>
      </w:r>
      <w:r w:rsidR="006E0187">
        <w:t xml:space="preserve">el </w:t>
      </w:r>
      <w:r>
        <w:t xml:space="preserve">contentamiento, etc., por medio de las cuales se produce la purificación de la virtud descrita en el </w:t>
      </w:r>
      <w:r w:rsidR="00770BBE" w:rsidRPr="00770BBE">
        <w:rPr>
          <w:i/>
          <w:iCs/>
        </w:rPr>
        <w:t xml:space="preserve">Sendero </w:t>
      </w:r>
      <w:r w:rsidRPr="00770BBE">
        <w:rPr>
          <w:i/>
          <w:iCs/>
        </w:rPr>
        <w:t>de</w:t>
      </w:r>
      <w:r w:rsidR="00770BBE" w:rsidRPr="00770BBE">
        <w:rPr>
          <w:i/>
          <w:iCs/>
        </w:rPr>
        <w:t xml:space="preserve"> la</w:t>
      </w:r>
      <w:r w:rsidRPr="00770BBE">
        <w:rPr>
          <w:i/>
          <w:iCs/>
        </w:rPr>
        <w:t xml:space="preserve"> Purificación</w:t>
      </w:r>
      <w:r>
        <w:t xml:space="preserve">, que se muestra bajo los tres títulos de virtud, concentración y </w:t>
      </w:r>
      <w:r w:rsidR="006E0187">
        <w:t>sabiduría</w:t>
      </w:r>
      <w:r>
        <w:t xml:space="preserve">, contenidos en </w:t>
      </w:r>
      <w:r w:rsidR="0040421E">
        <w:t>el verso</w:t>
      </w:r>
      <w:r>
        <w:t>, “Cuando un hombre sabio, bien establecido en la virtud</w:t>
      </w:r>
      <w:r w:rsidR="003E01BF">
        <w:t>…</w:t>
      </w:r>
      <w:r>
        <w:t>” (I.1).</w:t>
      </w:r>
    </w:p>
    <w:p w14:paraId="37BED0E9" w14:textId="62145FDE" w:rsidR="002D7108" w:rsidRDefault="00F10762" w:rsidP="00B841DD">
      <w:pPr>
        <w:ind w:left="1416" w:right="1326"/>
      </w:pPr>
      <w:r>
        <w:t xml:space="preserve">Éste ha sido el </w:t>
      </w:r>
      <w:r w:rsidR="00B2539C">
        <w:t xml:space="preserve">segundo capítulo </w:t>
      </w:r>
      <w:r w:rsidR="000C3C32">
        <w:t>con el nombre de</w:t>
      </w:r>
      <w:r w:rsidR="00B2539C">
        <w:t xml:space="preserve"> “Descripción de las Prácticas </w:t>
      </w:r>
      <w:r w:rsidR="00656CF3">
        <w:t>Asceta</w:t>
      </w:r>
      <w:r w:rsidR="00B2539C">
        <w:t xml:space="preserve">s” </w:t>
      </w:r>
      <w:r w:rsidR="000C3C32">
        <w:t>d</w:t>
      </w:r>
      <w:r w:rsidR="00B2539C">
        <w:t xml:space="preserve">el </w:t>
      </w:r>
      <w:r w:rsidR="00B2539C" w:rsidRPr="00B2539C">
        <w:rPr>
          <w:i/>
          <w:iCs/>
        </w:rPr>
        <w:t xml:space="preserve">Sendero de la </w:t>
      </w:r>
      <w:r>
        <w:rPr>
          <w:i/>
          <w:iCs/>
        </w:rPr>
        <w:br/>
      </w:r>
      <w:r w:rsidR="00B2539C" w:rsidRPr="00B2539C">
        <w:rPr>
          <w:i/>
          <w:iCs/>
        </w:rPr>
        <w:t>Purificación</w:t>
      </w:r>
      <w:r w:rsidR="00B2539C">
        <w:t xml:space="preserve"> </w:t>
      </w:r>
      <w:r w:rsidR="000E23A7">
        <w:t>compuesto para alegría de buenas personas.</w:t>
      </w:r>
    </w:p>
    <w:p w14:paraId="2B6DA753" w14:textId="77777777" w:rsidR="00BE366C" w:rsidRDefault="00BE366C" w:rsidP="00BE366C">
      <w:pPr>
        <w:ind w:left="1416" w:right="1326"/>
      </w:pPr>
    </w:p>
    <w:p w14:paraId="6378A1D2" w14:textId="77777777" w:rsidR="00BE366C" w:rsidRDefault="00BE366C" w:rsidP="00B841DD">
      <w:pPr>
        <w:ind w:left="1416" w:right="1326"/>
      </w:pPr>
    </w:p>
    <w:p w14:paraId="39178F5F" w14:textId="027A66A3" w:rsidR="00F17BCF" w:rsidRDefault="00F17BCF">
      <w:pPr>
        <w:tabs>
          <w:tab w:val="clear" w:pos="425"/>
        </w:tabs>
        <w:spacing w:after="160"/>
      </w:pPr>
      <w:r>
        <w:br w:type="page"/>
      </w:r>
    </w:p>
    <w:p w14:paraId="105C444C" w14:textId="77777777" w:rsidR="00F17BCF" w:rsidRDefault="00F17BCF">
      <w:pPr>
        <w:tabs>
          <w:tab w:val="clear" w:pos="425"/>
        </w:tabs>
        <w:spacing w:after="160"/>
      </w:pPr>
    </w:p>
    <w:p w14:paraId="2CC037FC" w14:textId="77777777" w:rsidR="007712D0" w:rsidRDefault="007712D0" w:rsidP="007712D0">
      <w:pPr>
        <w:sectPr w:rsidR="007712D0" w:rsidSect="00305694">
          <w:pgSz w:w="8641" w:h="12962"/>
          <w:pgMar w:top="851" w:right="964" w:bottom="964" w:left="964" w:header="709" w:footer="709" w:gutter="0"/>
          <w:pgNumType w:start="113"/>
          <w:cols w:space="708"/>
          <w:docGrid w:linePitch="360"/>
        </w:sectPr>
      </w:pPr>
    </w:p>
    <w:p w14:paraId="72CF26A7" w14:textId="77777777" w:rsidR="00F4344C" w:rsidRDefault="00F4344C" w:rsidP="00F4344C"/>
    <w:p w14:paraId="7414219E" w14:textId="77777777" w:rsidR="00F4344C" w:rsidRDefault="00F4344C" w:rsidP="00F4344C"/>
    <w:p w14:paraId="097D7A0B" w14:textId="77777777" w:rsidR="00F4344C" w:rsidRDefault="00F4344C" w:rsidP="00F4344C"/>
    <w:p w14:paraId="42AF0E5C" w14:textId="77777777" w:rsidR="00F4344C" w:rsidRDefault="00F4344C" w:rsidP="00F4344C"/>
    <w:p w14:paraId="2B75C5E6" w14:textId="6730D902" w:rsidR="00F4344C" w:rsidRDefault="00FE55C4" w:rsidP="00F4344C">
      <w:pPr>
        <w:pStyle w:val="Ttulo1"/>
      </w:pPr>
      <w:r>
        <w:t>Parte II</w:t>
      </w:r>
      <w:r>
        <w:br/>
        <w:t>Concentración (</w:t>
      </w:r>
      <w:r w:rsidR="00057BF4" w:rsidRPr="00057BF4">
        <w:rPr>
          <w:i/>
          <w:iCs/>
        </w:rPr>
        <w:t>Samādhi</w:t>
      </w:r>
      <w:r>
        <w:t>)</w:t>
      </w:r>
    </w:p>
    <w:p w14:paraId="2DF3EFCA" w14:textId="77777777" w:rsidR="00F4344C" w:rsidRDefault="00F4344C">
      <w:pPr>
        <w:tabs>
          <w:tab w:val="clear" w:pos="425"/>
        </w:tabs>
        <w:spacing w:after="160"/>
      </w:pPr>
      <w:r>
        <w:br w:type="page"/>
      </w:r>
    </w:p>
    <w:p w14:paraId="5D89E3EC" w14:textId="77777777" w:rsidR="00F4344C" w:rsidRDefault="00F4344C">
      <w:pPr>
        <w:tabs>
          <w:tab w:val="clear" w:pos="425"/>
        </w:tabs>
        <w:spacing w:after="160"/>
      </w:pPr>
      <w:r>
        <w:lastRenderedPageBreak/>
        <w:br w:type="page"/>
      </w:r>
    </w:p>
    <w:p w14:paraId="3E5D8992" w14:textId="77777777" w:rsidR="00F4344C" w:rsidRDefault="00F4344C" w:rsidP="00F4344C"/>
    <w:p w14:paraId="58FE036E" w14:textId="77777777" w:rsidR="00F4344C" w:rsidRDefault="00F4344C" w:rsidP="00F4344C"/>
    <w:p w14:paraId="54092F9C" w14:textId="77777777" w:rsidR="00F17BCF" w:rsidRDefault="00F17BCF" w:rsidP="00F4344C"/>
    <w:p w14:paraId="79617244" w14:textId="77777777" w:rsidR="00C22139" w:rsidRDefault="00C22139" w:rsidP="00F4344C"/>
    <w:p w14:paraId="4A41B70B" w14:textId="77777777" w:rsidR="00293023" w:rsidRDefault="00293023" w:rsidP="00F4344C"/>
    <w:p w14:paraId="6FFEE0EC" w14:textId="77777777" w:rsidR="00293023" w:rsidRDefault="00293023" w:rsidP="00F4344C"/>
    <w:p w14:paraId="2F75A588" w14:textId="77777777" w:rsidR="003A5C97" w:rsidRDefault="003A5C97" w:rsidP="003A5C97">
      <w:pPr>
        <w:pStyle w:val="Ttulo2"/>
        <w:jc w:val="center"/>
      </w:pPr>
      <w:r>
        <w:t>Capítulo III</w:t>
      </w:r>
      <w:r>
        <w:br/>
        <w:t>Adopción de un Objeto De Meditación</w:t>
      </w:r>
    </w:p>
    <w:p w14:paraId="4F5C1E28" w14:textId="77777777" w:rsidR="003A5C97" w:rsidRDefault="003A5C97" w:rsidP="003A5C97">
      <w:pPr>
        <w:jc w:val="center"/>
      </w:pPr>
      <w:r>
        <w:rPr>
          <w:b/>
          <w:bCs/>
          <w:i/>
          <w:iCs/>
          <w:sz w:val="24"/>
          <w:szCs w:val="32"/>
        </w:rPr>
        <w:br/>
      </w:r>
      <w:r w:rsidRPr="00F17BCF">
        <w:rPr>
          <w:b/>
          <w:bCs/>
          <w:i/>
          <w:iCs/>
          <w:sz w:val="24"/>
          <w:szCs w:val="32"/>
        </w:rPr>
        <w:t>(</w:t>
      </w:r>
      <w:proofErr w:type="spellStart"/>
      <w:r w:rsidRPr="00057BF4">
        <w:rPr>
          <w:b/>
          <w:bCs/>
          <w:i/>
          <w:iCs/>
          <w:sz w:val="22"/>
          <w:szCs w:val="28"/>
        </w:rPr>
        <w:t>Kamma</w:t>
      </w:r>
      <w:r w:rsidRPr="00027839">
        <w:rPr>
          <w:b/>
          <w:bCs/>
          <w:i/>
          <w:iCs/>
          <w:sz w:val="22"/>
          <w:szCs w:val="28"/>
        </w:rPr>
        <w:t>ṭṭhāna-gahaṇa-niddesa</w:t>
      </w:r>
      <w:proofErr w:type="spellEnd"/>
      <w:r w:rsidRPr="00F17BCF">
        <w:rPr>
          <w:b/>
          <w:bCs/>
          <w:i/>
          <w:iCs/>
          <w:sz w:val="24"/>
          <w:szCs w:val="32"/>
        </w:rPr>
        <w:t>)</w:t>
      </w:r>
    </w:p>
    <w:p w14:paraId="1BFDD6E0" w14:textId="6D605ECC" w:rsidR="003A5C97" w:rsidRDefault="003A5C97" w:rsidP="003A5C97">
      <w:r>
        <w:t xml:space="preserve">1. </w:t>
      </w:r>
      <w:r>
        <w:tab/>
        <w:t>[84] Ahora bien, la concentración se describe bajo el término de "consciencia" en la frase "…</w:t>
      </w:r>
      <w:r w:rsidRPr="00DE10E6">
        <w:t xml:space="preserve">desarrolle consciencia y </w:t>
      </w:r>
      <w:r w:rsidR="00817180" w:rsidRPr="00527EA6">
        <w:t>sabid</w:t>
      </w:r>
      <w:r w:rsidR="00817180">
        <w:t>uría–revelativa</w:t>
      </w:r>
      <w:r>
        <w:t xml:space="preserve">…" (I.1). Debe ser desarrollada por alguien que se haya posicionado en la virtud, la cual debe haber sido purificada por medio de cualidades especiales como </w:t>
      </w:r>
      <w:r w:rsidRPr="009070A8">
        <w:t>la carencia</w:t>
      </w:r>
      <w:r>
        <w:t xml:space="preserve"> de deseos, etc., y perfeccionada mediante la observación de las prácticas ascetas. No obstante, esa concentración se ha expuesto muy brevemente, por lo que ni siquiera sería fácil de entenderla y mucho menos desarrollarla. Por lo tanto, existe el siguiente conjunto de preguntas, cuyo propósito es mostrar en detalle el método de su desarrollo:</w:t>
      </w:r>
    </w:p>
    <w:p w14:paraId="742909E4" w14:textId="77777777" w:rsidR="003A5C97" w:rsidRDefault="003A5C97" w:rsidP="003A5C97">
      <w:pPr>
        <w:pStyle w:val="NumeracinReload"/>
      </w:pPr>
      <w:r>
        <w:tab/>
        <w:t xml:space="preserve">(i). </w:t>
      </w:r>
      <w:r>
        <w:tab/>
        <w:t>¿Qué es concentración?</w:t>
      </w:r>
    </w:p>
    <w:p w14:paraId="656D6AB5" w14:textId="77777777" w:rsidR="003A5C97" w:rsidRDefault="003A5C97" w:rsidP="003A5C97">
      <w:pPr>
        <w:pStyle w:val="NumeracinReload"/>
      </w:pPr>
      <w:r>
        <w:tab/>
        <w:t>(</w:t>
      </w:r>
      <w:proofErr w:type="spellStart"/>
      <w:r>
        <w:t>ii</w:t>
      </w:r>
      <w:proofErr w:type="spellEnd"/>
      <w:r>
        <w:t>).</w:t>
      </w:r>
      <w:r>
        <w:tab/>
        <w:t>¿En qué sentido es concentración?</w:t>
      </w:r>
    </w:p>
    <w:p w14:paraId="31A39DC3" w14:textId="248BE7E2" w:rsidR="003A5C97" w:rsidRDefault="003A5C97" w:rsidP="003A5C97">
      <w:pPr>
        <w:pStyle w:val="NumeracinReload"/>
      </w:pPr>
      <w:r>
        <w:tab/>
        <w:t>(</w:t>
      </w:r>
      <w:proofErr w:type="spellStart"/>
      <w:r>
        <w:t>iii</w:t>
      </w:r>
      <w:proofErr w:type="spellEnd"/>
      <w:r>
        <w:t xml:space="preserve">). </w:t>
      </w:r>
      <w:r>
        <w:tab/>
        <w:t>¿Cuáles son su</w:t>
      </w:r>
      <w:r w:rsidR="003E6582">
        <w:t>s</w:t>
      </w:r>
      <w:r>
        <w:t xml:space="preserve"> característica</w:t>
      </w:r>
      <w:r w:rsidR="003E6582">
        <w:t>s</w:t>
      </w:r>
      <w:r>
        <w:t>, su función, manifestación y causa próxima?</w:t>
      </w:r>
    </w:p>
    <w:p w14:paraId="6CE80CEA" w14:textId="77777777" w:rsidR="003A5C97" w:rsidRDefault="003A5C97" w:rsidP="003A5C97">
      <w:pPr>
        <w:pStyle w:val="NumeracinReload"/>
      </w:pPr>
      <w:r>
        <w:tab/>
        <w:t>(</w:t>
      </w:r>
      <w:proofErr w:type="spellStart"/>
      <w:r>
        <w:t>iv</w:t>
      </w:r>
      <w:proofErr w:type="spellEnd"/>
      <w:r>
        <w:t xml:space="preserve">). </w:t>
      </w:r>
      <w:r>
        <w:tab/>
        <w:t>¿Cuántos tipos de concentración hay?</w:t>
      </w:r>
    </w:p>
    <w:p w14:paraId="1D446D5D" w14:textId="77777777" w:rsidR="003A5C97" w:rsidRDefault="003A5C97" w:rsidP="003A5C97">
      <w:pPr>
        <w:pStyle w:val="NumeracinReload"/>
      </w:pPr>
      <w:r>
        <w:tab/>
        <w:t xml:space="preserve">(v). </w:t>
      </w:r>
      <w:r>
        <w:tab/>
        <w:t>¿Cuál es su corrupción?</w:t>
      </w:r>
    </w:p>
    <w:p w14:paraId="6524421A" w14:textId="77777777" w:rsidR="003A5C97" w:rsidRDefault="003A5C97" w:rsidP="003A5C97">
      <w:pPr>
        <w:pStyle w:val="NumeracinReload"/>
      </w:pPr>
      <w:r>
        <w:tab/>
        <w:t xml:space="preserve">(vi). </w:t>
      </w:r>
      <w:r>
        <w:tab/>
        <w:t>¿Cuál es su purificación?</w:t>
      </w:r>
    </w:p>
    <w:p w14:paraId="3B08DDED" w14:textId="77777777" w:rsidR="003A5C97" w:rsidRDefault="003A5C97" w:rsidP="003A5C97">
      <w:pPr>
        <w:pStyle w:val="NumeracinReload"/>
      </w:pPr>
      <w:r>
        <w:tab/>
        <w:t>(</w:t>
      </w:r>
      <w:proofErr w:type="spellStart"/>
      <w:r>
        <w:t>vii</w:t>
      </w:r>
      <w:proofErr w:type="spellEnd"/>
      <w:r>
        <w:t xml:space="preserve">). </w:t>
      </w:r>
      <w:r>
        <w:tab/>
        <w:t>¿Cómo debe desarrollarse?</w:t>
      </w:r>
    </w:p>
    <w:p w14:paraId="5E3697F3" w14:textId="77777777" w:rsidR="003A5C97" w:rsidRPr="00C06839" w:rsidRDefault="003A5C97" w:rsidP="003A5C97">
      <w:pPr>
        <w:pStyle w:val="NumeracinReload"/>
        <w:spacing w:after="100"/>
        <w:rPr>
          <w:vertAlign w:val="superscript"/>
        </w:rPr>
      </w:pPr>
      <w:r>
        <w:tab/>
        <w:t>(</w:t>
      </w:r>
      <w:proofErr w:type="spellStart"/>
      <w:r>
        <w:t>viii</w:t>
      </w:r>
      <w:proofErr w:type="spellEnd"/>
      <w:r>
        <w:t xml:space="preserve">). </w:t>
      </w:r>
      <w:r>
        <w:tab/>
        <w:t>¿Cuáles son los beneficios del desarrollo de la concentración?</w:t>
      </w:r>
      <w:r>
        <w:rPr>
          <w:vertAlign w:val="superscript"/>
        </w:rPr>
        <w:t>1</w:t>
      </w:r>
    </w:p>
    <w:p w14:paraId="6F7030B9" w14:textId="77777777" w:rsidR="003A5C97" w:rsidRDefault="003A5C97" w:rsidP="003A5C97">
      <w:r>
        <w:t xml:space="preserve">2. </w:t>
      </w:r>
      <w:r>
        <w:tab/>
        <w:t>Aquí las respuestas:</w:t>
      </w:r>
    </w:p>
    <w:p w14:paraId="3E0A152E" w14:textId="77777777" w:rsidR="003A5C97" w:rsidRPr="007547AD" w:rsidRDefault="003A5C97" w:rsidP="003A5C97">
      <w:pPr>
        <w:pStyle w:val="NormalConSangria"/>
        <w:rPr>
          <w:vertAlign w:val="superscript"/>
        </w:rPr>
      </w:pPr>
      <w:r>
        <w:t xml:space="preserve">(i) </w:t>
      </w:r>
      <w:r w:rsidRPr="00F17BCF">
        <w:rPr>
          <w:rStyle w:val="Ttulo4Car"/>
        </w:rPr>
        <w:t>¿Qué es concentración?</w:t>
      </w:r>
      <w:r>
        <w:t xml:space="preserve"> La concentración puede ser de muchos tipos y tiene varios aspectos. Una respuesta que intentara abarcar todo al respecto no lograría ni su intención ni su propósito y, además, conduciría a la distracción; así que nos limitaremos al tipo de concentración que aquí se pretende abordar, conocida como la concentración productiva de la unificación mental.</w:t>
      </w:r>
      <w:r>
        <w:rPr>
          <w:vertAlign w:val="superscript"/>
        </w:rPr>
        <w:t>2</w:t>
      </w:r>
    </w:p>
    <w:p w14:paraId="23DB55D0" w14:textId="77777777" w:rsidR="003A5C97" w:rsidRPr="00F17BCF" w:rsidRDefault="003A5C97" w:rsidP="003A5C97">
      <w:pPr>
        <w:pStyle w:val="PiedepginaLegal"/>
        <w:rPr>
          <w:u w:val="single"/>
        </w:rPr>
      </w:pPr>
      <w:r w:rsidRPr="00F17BCF">
        <w:rPr>
          <w:u w:val="single"/>
        </w:rPr>
        <w:t xml:space="preserve">                                                                                                                                           .</w:t>
      </w:r>
    </w:p>
    <w:p w14:paraId="3077C6B5" w14:textId="77777777" w:rsidR="003A5C97" w:rsidRDefault="003A5C97" w:rsidP="003A5C97">
      <w:pPr>
        <w:pStyle w:val="PiedepginaLegal"/>
      </w:pPr>
      <w:r>
        <w:t xml:space="preserve">1. </w:t>
      </w:r>
      <w:r>
        <w:tab/>
        <w:t>La respuesta a la pregunta (</w:t>
      </w:r>
      <w:proofErr w:type="spellStart"/>
      <w:r>
        <w:t>vii</w:t>
      </w:r>
      <w:proofErr w:type="spellEnd"/>
      <w:r>
        <w:t>) se extiende desde III.27 hasta XI.119. A la pregunta (</w:t>
      </w:r>
      <w:proofErr w:type="spellStart"/>
      <w:r>
        <w:t>viii</w:t>
      </w:r>
      <w:proofErr w:type="spellEnd"/>
      <w:r>
        <w:t xml:space="preserve">) desde </w:t>
      </w:r>
      <w:r>
        <w:br/>
        <w:t>XI. 120 hasta el final del Cap. XIII.</w:t>
      </w:r>
    </w:p>
    <w:p w14:paraId="7E0EE5CB" w14:textId="77777777" w:rsidR="003A5C97" w:rsidRDefault="003A5C97" w:rsidP="003A5C97">
      <w:pPr>
        <w:pStyle w:val="PiedepginaLegal"/>
      </w:pPr>
      <w:r>
        <w:t xml:space="preserve">2. </w:t>
      </w:r>
      <w:r>
        <w:tab/>
        <w:t>“</w:t>
      </w:r>
      <w:proofErr w:type="spellStart"/>
      <w:r w:rsidRPr="009371B9">
        <w:rPr>
          <w:i/>
          <w:iCs/>
        </w:rPr>
        <w:t>Cittass</w:t>
      </w:r>
      <w:proofErr w:type="spellEnd"/>
      <w:r w:rsidRPr="009371B9">
        <w:rPr>
          <w:i/>
          <w:iCs/>
        </w:rPr>
        <w:t>’</w:t>
      </w:r>
      <w:r>
        <w:t xml:space="preserve"> </w:t>
      </w:r>
      <w:proofErr w:type="spellStart"/>
      <w:r w:rsidRPr="007C2348">
        <w:rPr>
          <w:i/>
          <w:iCs/>
        </w:rPr>
        <w:t>ekaggat</w:t>
      </w:r>
      <w:r>
        <w:rPr>
          <w:i/>
          <w:iCs/>
        </w:rPr>
        <w:t>ā</w:t>
      </w:r>
      <w:proofErr w:type="spellEnd"/>
      <w:r>
        <w:t xml:space="preserve">” se traduce aquí como “unificación mental” en el sentido de acuerdo o armonía (cf. </w:t>
      </w:r>
      <w:proofErr w:type="spellStart"/>
      <w:r w:rsidRPr="00D14ACC">
        <w:rPr>
          <w:i/>
          <w:iCs/>
        </w:rPr>
        <w:t>samagga</w:t>
      </w:r>
      <w:proofErr w:type="spellEnd"/>
      <w:r>
        <w:t xml:space="preserve">) de la consciencia y sus concomitantes al enfocarse en un solo objeto (ver A I 70). A veces se traduce en ese sentido como "unidireccionalidad", o en el sentido de enfocar un reflector. Se puede concluir que este término es simplemente un sinónimo de </w:t>
      </w:r>
      <w:r w:rsidRPr="00057BF4">
        <w:rPr>
          <w:i/>
        </w:rPr>
        <w:t>samādhi</w:t>
      </w:r>
      <w:r>
        <w:t xml:space="preserve"> y nada más, en primer lugar por su uso en los </w:t>
      </w:r>
      <w:r w:rsidRPr="00110154">
        <w:rPr>
          <w:i/>
          <w:iCs/>
        </w:rPr>
        <w:t>suttas</w:t>
      </w:r>
      <w:r>
        <w:t>, y en segundo lugar por el hecho de que no se le da ninguna definición individual en la descripción del agregado de las formaciones en el Cap. XIV. Cf. glosado en el M-a I 124.</w:t>
      </w:r>
    </w:p>
    <w:p w14:paraId="1C9286FF" w14:textId="77777777" w:rsidR="003A5C97" w:rsidRDefault="003A5C97" w:rsidP="003A5C97">
      <w:pPr>
        <w:tabs>
          <w:tab w:val="clear" w:pos="425"/>
        </w:tabs>
        <w:spacing w:after="160"/>
      </w:pPr>
      <w:r>
        <w:br w:type="page"/>
      </w:r>
    </w:p>
    <w:p w14:paraId="3C51ADFE" w14:textId="77777777" w:rsidR="003A5C97" w:rsidRDefault="003A5C97" w:rsidP="003A5C97"/>
    <w:p w14:paraId="248CBC72" w14:textId="77777777" w:rsidR="003A5C97" w:rsidRDefault="003A5C97" w:rsidP="003A5C97">
      <w:r>
        <w:t xml:space="preserve">3. </w:t>
      </w:r>
      <w:r>
        <w:tab/>
        <w:t>(</w:t>
      </w:r>
      <w:proofErr w:type="spellStart"/>
      <w:r>
        <w:t>ii</w:t>
      </w:r>
      <w:proofErr w:type="spellEnd"/>
      <w:r>
        <w:t xml:space="preserve">) </w:t>
      </w:r>
      <w:r w:rsidRPr="00293023">
        <w:rPr>
          <w:rStyle w:val="Ttulo4Car"/>
        </w:rPr>
        <w:t>¿En qué sentido Es Concentración?</w:t>
      </w:r>
      <w:r>
        <w:t xml:space="preserve"> Es concentración (</w:t>
      </w:r>
      <w:r w:rsidRPr="00057BF4">
        <w:rPr>
          <w:i/>
          <w:iCs/>
        </w:rPr>
        <w:t>samādhi</w:t>
      </w:r>
      <w:r>
        <w:t>) en el sentido de concentrar (</w:t>
      </w:r>
      <w:proofErr w:type="spellStart"/>
      <w:r w:rsidRPr="009371B9">
        <w:rPr>
          <w:i/>
          <w:iCs/>
        </w:rPr>
        <w:t>samādhāna</w:t>
      </w:r>
      <w:proofErr w:type="spellEnd"/>
      <w:r>
        <w:t>). ¿Qué es concentrar? Consiste en centrar (</w:t>
      </w:r>
      <w:proofErr w:type="spellStart"/>
      <w:r w:rsidRPr="009371B9">
        <w:rPr>
          <w:i/>
          <w:iCs/>
        </w:rPr>
        <w:t>ādhāna</w:t>
      </w:r>
      <w:proofErr w:type="spellEnd"/>
      <w:r>
        <w:t>) la consciencia y las consciencias</w:t>
      </w:r>
      <w:r w:rsidRPr="003B01ED">
        <w:t>–concomitant</w:t>
      </w:r>
      <w:r>
        <w:t>es uniforme (</w:t>
      </w:r>
      <w:proofErr w:type="spellStart"/>
      <w:r w:rsidRPr="009371B9">
        <w:rPr>
          <w:i/>
          <w:iCs/>
        </w:rPr>
        <w:t>samaṃ</w:t>
      </w:r>
      <w:proofErr w:type="spellEnd"/>
      <w:r>
        <w:t>) y correctamente (</w:t>
      </w:r>
      <w:proofErr w:type="spellStart"/>
      <w:r w:rsidRPr="00057BF4">
        <w:rPr>
          <w:i/>
          <w:iCs/>
        </w:rPr>
        <w:t>sammā</w:t>
      </w:r>
      <w:proofErr w:type="spellEnd"/>
      <w:r>
        <w:t>) en un solo objeto; localización, es lo que se quiere decir. [85] Por lo tanto, lo que debe entenderse como concentrado es el estado en virtud del cual la consciencia y sus concomitantes se mantienen uniformes y correctamente orientados en un solo objeto, sin distracción ni dispersión.</w:t>
      </w:r>
    </w:p>
    <w:p w14:paraId="46262CB8" w14:textId="66610860" w:rsidR="003A5C97" w:rsidRDefault="003A5C97" w:rsidP="003A5C97">
      <w:r>
        <w:t xml:space="preserve">4. </w:t>
      </w:r>
      <w:r>
        <w:tab/>
        <w:t>(</w:t>
      </w:r>
      <w:proofErr w:type="spellStart"/>
      <w:r>
        <w:t>iii</w:t>
      </w:r>
      <w:proofErr w:type="spellEnd"/>
      <w:r>
        <w:t xml:space="preserve">) </w:t>
      </w:r>
      <w:r w:rsidRPr="00293023">
        <w:rPr>
          <w:rStyle w:val="Ttulo4Car"/>
        </w:rPr>
        <w:t>¿Cuáles son su</w:t>
      </w:r>
      <w:r w:rsidR="00C666B1">
        <w:rPr>
          <w:rStyle w:val="Ttulo4Car"/>
        </w:rPr>
        <w:t>s</w:t>
      </w:r>
      <w:r w:rsidRPr="00293023">
        <w:rPr>
          <w:rStyle w:val="Ttulo4Car"/>
        </w:rPr>
        <w:t xml:space="preserve"> Característica</w:t>
      </w:r>
      <w:r w:rsidR="00C666B1">
        <w:rPr>
          <w:rStyle w:val="Ttulo4Car"/>
        </w:rPr>
        <w:t>s</w:t>
      </w:r>
      <w:r w:rsidRPr="00293023">
        <w:rPr>
          <w:rStyle w:val="Ttulo4Car"/>
        </w:rPr>
        <w:t>, Función, Manifestación y Causa Próxima?</w:t>
      </w:r>
      <w:r>
        <w:t xml:space="preserve"> La concentración posee como característica la no</w:t>
      </w:r>
      <w:r w:rsidR="00D87916">
        <w:t>–</w:t>
      </w:r>
      <w:r>
        <w:t>distracción.</w:t>
      </w:r>
      <w:r w:rsidRPr="00AE0B53">
        <w:rPr>
          <w:vertAlign w:val="superscript"/>
        </w:rPr>
        <w:t>3</w:t>
      </w:r>
      <w:r>
        <w:t xml:space="preserve"> Su función es eliminar la distracción. Se manifiesta como no</w:t>
      </w:r>
      <w:r w:rsidR="00A45C49">
        <w:t>–oscilante</w:t>
      </w:r>
      <w:r>
        <w:t xml:space="preserve">. </w:t>
      </w:r>
      <w:proofErr w:type="gramStart"/>
      <w:r>
        <w:t>De acuerdo a</w:t>
      </w:r>
      <w:proofErr w:type="gramEnd"/>
      <w:r>
        <w:t xml:space="preserve"> las palabras, “Al sentirse dichoso, su mente se concentrará” (D I 73), su causa próxima es la dicha.</w:t>
      </w:r>
    </w:p>
    <w:p w14:paraId="418E5760" w14:textId="77777777" w:rsidR="003A5C97" w:rsidRDefault="003A5C97" w:rsidP="003A5C97">
      <w:r w:rsidRPr="00AF1BED">
        <w:t>5.</w:t>
      </w:r>
      <w:r w:rsidRPr="00AF1BED">
        <w:tab/>
        <w:t xml:space="preserve"> (</w:t>
      </w:r>
      <w:proofErr w:type="spellStart"/>
      <w:r w:rsidRPr="00AF1BED">
        <w:t>iv</w:t>
      </w:r>
      <w:proofErr w:type="spellEnd"/>
      <w:r w:rsidRPr="00AF1BED">
        <w:t>) ¿</w:t>
      </w:r>
      <w:r w:rsidRPr="00AF1BED">
        <w:rPr>
          <w:rStyle w:val="Ttulo4Car"/>
        </w:rPr>
        <w:t xml:space="preserve">Cuántos Tipos de Concentración </w:t>
      </w:r>
      <w:r>
        <w:rPr>
          <w:rStyle w:val="Ttulo4Car"/>
        </w:rPr>
        <w:t>Existen</w:t>
      </w:r>
      <w:r w:rsidRPr="00AF1BED">
        <w:t>?</w:t>
      </w:r>
    </w:p>
    <w:p w14:paraId="0CBAD120" w14:textId="7F0AB92E" w:rsidR="003A5C97" w:rsidRDefault="003A5C97" w:rsidP="003A5C97">
      <w:pPr>
        <w:pStyle w:val="NormalConSangria"/>
      </w:pPr>
      <w:r>
        <w:tab/>
        <w:t>(1) En primer lugar, es de un tipo respecto a la característica de la no–distracción. (2) Luego puede ser de 2 tipos como acceso y absorción;</w:t>
      </w:r>
      <w:r w:rsidRPr="00671735">
        <w:rPr>
          <w:vertAlign w:val="superscript"/>
        </w:rPr>
        <w:t>4</w:t>
      </w:r>
      <w:r>
        <w:t xml:space="preserve"> (3) así mismo, como mundana y supramundana,</w:t>
      </w:r>
      <w:r w:rsidRPr="00671735">
        <w:rPr>
          <w:vertAlign w:val="superscript"/>
        </w:rPr>
        <w:t>5</w:t>
      </w:r>
      <w:r>
        <w:t xml:space="preserve"> (4) como con felicidad y sin felicidad, y (5) como acompañada de dicha y acompañada de ecuanimidad.</w:t>
      </w:r>
      <w:r>
        <w:rPr>
          <w:vertAlign w:val="superscript"/>
        </w:rPr>
        <w:t>6</w:t>
      </w:r>
      <w:r>
        <w:t xml:space="preserve"> Es de tres tipos (6) como inferior, media y superior; asimismo (7) como con </w:t>
      </w:r>
      <w:r w:rsidR="00660F16">
        <w:t>aplicación mental</w:t>
      </w:r>
      <w:r>
        <w:t xml:space="preserve"> y con </w:t>
      </w:r>
      <w:r w:rsidR="00660F16">
        <w:t>sustentación mental</w:t>
      </w:r>
      <w:r>
        <w:t xml:space="preserve">, etc., (8) como acompañada de felicidad, etc., y (9) como limitada, excelsa e inmensurable. Es de cuatro tipos (10) a partir de un </w:t>
      </w:r>
    </w:p>
    <w:p w14:paraId="75F56488" w14:textId="77777777" w:rsidR="003A5C97" w:rsidRDefault="003A5C97" w:rsidP="003A5C97">
      <w:pPr>
        <w:pStyle w:val="PiedepginaLegal"/>
        <w:rPr>
          <w:u w:val="single"/>
        </w:rPr>
      </w:pPr>
    </w:p>
    <w:p w14:paraId="621EA02D" w14:textId="77777777" w:rsidR="003A5C97" w:rsidRPr="00293023" w:rsidRDefault="003A5C97" w:rsidP="003A5C97">
      <w:pPr>
        <w:pStyle w:val="PiedepginaLegal"/>
        <w:rPr>
          <w:u w:val="single"/>
        </w:rPr>
      </w:pPr>
      <w:r w:rsidRPr="00293023">
        <w:rPr>
          <w:u w:val="single"/>
        </w:rPr>
        <w:t xml:space="preserve">                                                                                                                                                           .</w:t>
      </w:r>
    </w:p>
    <w:p w14:paraId="4BF3D868" w14:textId="2CCA34B1" w:rsidR="003A5C97" w:rsidRPr="00293023" w:rsidRDefault="003A5C97" w:rsidP="003A5C97">
      <w:pPr>
        <w:pStyle w:val="PiedepginaLegal"/>
      </w:pPr>
      <w:r w:rsidRPr="00293023">
        <w:t xml:space="preserve">3. </w:t>
      </w:r>
      <w:r>
        <w:tab/>
      </w:r>
      <w:r w:rsidRPr="00293023">
        <w:t>“La característica de la no</w:t>
      </w:r>
      <w:r w:rsidR="00A3748A">
        <w:t>–</w:t>
      </w:r>
      <w:r w:rsidRPr="00293023">
        <w:t>distracción es la esencia individual propia de la concentración. Por lo tanto, no es posible</w:t>
      </w:r>
      <w:r>
        <w:t xml:space="preserve"> hacer ningún análisis al respecto</w:t>
      </w:r>
      <w:r w:rsidRPr="00293023">
        <w:t>, razón por l</w:t>
      </w:r>
      <w:r>
        <w:t xml:space="preserve">a </w:t>
      </w:r>
      <w:r w:rsidRPr="00293023">
        <w:t xml:space="preserve">cual </w:t>
      </w:r>
      <w:r>
        <w:t>él dijo</w:t>
      </w:r>
      <w:r w:rsidRPr="00293023">
        <w:t>: ‘</w:t>
      </w:r>
      <w:r w:rsidRPr="009371B9">
        <w:rPr>
          <w:i/>
          <w:iCs/>
        </w:rPr>
        <w:t xml:space="preserve">Es de un tipo </w:t>
      </w:r>
      <w:r>
        <w:rPr>
          <w:i/>
          <w:iCs/>
        </w:rPr>
        <w:t xml:space="preserve">respecto a </w:t>
      </w:r>
      <w:r w:rsidRPr="009371B9">
        <w:rPr>
          <w:i/>
          <w:iCs/>
        </w:rPr>
        <w:t xml:space="preserve">la característica de </w:t>
      </w:r>
      <w:r>
        <w:rPr>
          <w:i/>
          <w:iCs/>
        </w:rPr>
        <w:t xml:space="preserve">la </w:t>
      </w:r>
      <w:r w:rsidRPr="009371B9">
        <w:rPr>
          <w:i/>
          <w:iCs/>
        </w:rPr>
        <w:t>no</w:t>
      </w:r>
      <w:r>
        <w:rPr>
          <w:i/>
          <w:iCs/>
        </w:rPr>
        <w:t>-</w:t>
      </w:r>
      <w:r w:rsidRPr="009371B9">
        <w:rPr>
          <w:i/>
          <w:iCs/>
        </w:rPr>
        <w:t>distracción</w:t>
      </w:r>
      <w:r w:rsidRPr="00293023">
        <w:t>’” (</w:t>
      </w:r>
      <w:proofErr w:type="spellStart"/>
      <w:r w:rsidRPr="00293023">
        <w:t>Vism-mhṭ</w:t>
      </w:r>
      <w:proofErr w:type="spellEnd"/>
      <w:r w:rsidRPr="00293023">
        <w:t xml:space="preserve"> 91).</w:t>
      </w:r>
    </w:p>
    <w:p w14:paraId="64C1E37F" w14:textId="050AAA04" w:rsidR="003A5C97" w:rsidRPr="00293023" w:rsidRDefault="003A5C97" w:rsidP="003A5C97">
      <w:pPr>
        <w:pStyle w:val="PiedepginaLegal"/>
      </w:pPr>
      <w:r w:rsidRPr="00293023">
        <w:t xml:space="preserve">4. </w:t>
      </w:r>
      <w:r>
        <w:tab/>
        <w:t>“</w:t>
      </w:r>
      <w:r w:rsidR="00C71F10">
        <w:t>Aplicación mental</w:t>
      </w:r>
      <w:r w:rsidRPr="00293023">
        <w:t xml:space="preserve"> que ocurre como </w:t>
      </w:r>
      <w:r>
        <w:t xml:space="preserve">pensamientos de absorción </w:t>
      </w:r>
      <w:r w:rsidRPr="00293023">
        <w:t>(</w:t>
      </w:r>
      <w:proofErr w:type="spellStart"/>
      <w:r w:rsidRPr="009371B9">
        <w:rPr>
          <w:i/>
          <w:iCs/>
        </w:rPr>
        <w:t>appento</w:t>
      </w:r>
      <w:proofErr w:type="spellEnd"/>
      <w:r w:rsidRPr="00293023">
        <w:t xml:space="preserve">) </w:t>
      </w:r>
      <w:r>
        <w:t xml:space="preserve">de </w:t>
      </w:r>
      <w:r w:rsidRPr="00293023">
        <w:t xml:space="preserve">estados asociados </w:t>
      </w:r>
      <w:r>
        <w:t>con</w:t>
      </w:r>
      <w:r w:rsidRPr="00293023">
        <w:t xml:space="preserve"> el objeto es absorción (</w:t>
      </w:r>
      <w:proofErr w:type="spellStart"/>
      <w:r w:rsidRPr="009371B9">
        <w:rPr>
          <w:i/>
          <w:iCs/>
        </w:rPr>
        <w:t>appanā</w:t>
      </w:r>
      <w:proofErr w:type="spellEnd"/>
      <w:r w:rsidRPr="00293023">
        <w:t>). En consecuencia, se describe como 'absorción, absor</w:t>
      </w:r>
      <w:r>
        <w:t>ber</w:t>
      </w:r>
      <w:r w:rsidRPr="00293023">
        <w:t xml:space="preserve"> (</w:t>
      </w:r>
      <w:proofErr w:type="spellStart"/>
      <w:r w:rsidRPr="009371B9">
        <w:rPr>
          <w:i/>
          <w:iCs/>
        </w:rPr>
        <w:t>appanā</w:t>
      </w:r>
      <w:proofErr w:type="spellEnd"/>
      <w:r w:rsidRPr="009371B9">
        <w:rPr>
          <w:i/>
          <w:iCs/>
        </w:rPr>
        <w:t xml:space="preserve"> </w:t>
      </w:r>
      <w:proofErr w:type="spellStart"/>
      <w:r w:rsidRPr="009371B9">
        <w:rPr>
          <w:i/>
          <w:iCs/>
        </w:rPr>
        <w:t>vyappanā</w:t>
      </w:r>
      <w:proofErr w:type="spellEnd"/>
      <w:r w:rsidRPr="00293023">
        <w:t xml:space="preserve">)' (M III 73). Ahora bien, dado que eso es lo más importante, el uso de los Comentarios </w:t>
      </w:r>
      <w:r>
        <w:t>suele</w:t>
      </w:r>
      <w:r w:rsidRPr="00293023">
        <w:t xml:space="preserve"> llamar a todos estados </w:t>
      </w:r>
      <w:r>
        <w:t xml:space="preserve">de </w:t>
      </w:r>
      <w:r w:rsidRPr="00293023">
        <w:t xml:space="preserve">'absorción' </w:t>
      </w:r>
      <w:r>
        <w:t>en</w:t>
      </w:r>
      <w:r w:rsidRPr="00293023">
        <w:t xml:space="preserve"> </w:t>
      </w:r>
      <w:proofErr w:type="spellStart"/>
      <w:r w:rsidRPr="00057BF4">
        <w:rPr>
          <w:i/>
          <w:iCs/>
        </w:rPr>
        <w:t>jhāna</w:t>
      </w:r>
      <w:proofErr w:type="spellEnd"/>
      <w:r w:rsidRPr="00293023">
        <w:t xml:space="preserve"> ex</w:t>
      </w:r>
      <w:r>
        <w:t>cels</w:t>
      </w:r>
      <w:r w:rsidRPr="00293023">
        <w:t>os e insuperables [así como a</w:t>
      </w:r>
      <w:r w:rsidR="00C71F10">
        <w:t xml:space="preserve"> </w:t>
      </w:r>
      <w:r w:rsidRPr="00293023">
        <w:t>l</w:t>
      </w:r>
      <w:r w:rsidR="00C71F10">
        <w:t>a</w:t>
      </w:r>
      <w:r w:rsidRPr="00293023">
        <w:t xml:space="preserve"> </w:t>
      </w:r>
      <w:r w:rsidR="00C71F10">
        <w:t>aplicación mental</w:t>
      </w:r>
      <w:r w:rsidRPr="00293023">
        <w:t xml:space="preserve"> en sí mismo], y de la misma manera aplicar el término de uso común 'acceso' a los estados limitados [es decir</w:t>
      </w:r>
      <w:r>
        <w:t>,</w:t>
      </w:r>
      <w:r w:rsidRPr="00293023">
        <w:t xml:space="preserve"> </w:t>
      </w:r>
      <w:r>
        <w:t xml:space="preserve">a la </w:t>
      </w:r>
      <w:r w:rsidRPr="00293023">
        <w:t>esfera</w:t>
      </w:r>
      <w:r w:rsidRPr="003644FA">
        <w:t xml:space="preserve"> </w:t>
      </w:r>
      <w:r>
        <w:t xml:space="preserve">de los </w:t>
      </w:r>
      <w:r w:rsidRPr="00293023">
        <w:t>sentido</w:t>
      </w:r>
      <w:r>
        <w:t>s</w:t>
      </w:r>
      <w:r w:rsidRPr="00293023">
        <w:t xml:space="preserve">] </w:t>
      </w:r>
      <w:r>
        <w:t xml:space="preserve">del </w:t>
      </w:r>
      <w:proofErr w:type="spellStart"/>
      <w:r w:rsidRPr="00057BF4">
        <w:rPr>
          <w:i/>
          <w:iCs/>
        </w:rPr>
        <w:t>jhāna</w:t>
      </w:r>
      <w:proofErr w:type="spellEnd"/>
      <w:r w:rsidRPr="00293023">
        <w:t xml:space="preserve"> que anuncia el surgimiento del primer, tal como el término 'acceso a la aldea', etc. se aplica a la vecindad de una aldea” (</w:t>
      </w:r>
      <w:proofErr w:type="spellStart"/>
      <w:r w:rsidRPr="00293023">
        <w:t>Vism-mhþ</w:t>
      </w:r>
      <w:proofErr w:type="spellEnd"/>
      <w:r w:rsidRPr="00293023">
        <w:t xml:space="preserve"> 91).</w:t>
      </w:r>
    </w:p>
    <w:p w14:paraId="7D41778B" w14:textId="77777777" w:rsidR="003A5C97" w:rsidRPr="00293023" w:rsidRDefault="003A5C97" w:rsidP="003A5C97">
      <w:pPr>
        <w:pStyle w:val="PiedepginaLegal"/>
      </w:pPr>
      <w:r w:rsidRPr="00293023">
        <w:t xml:space="preserve">5. </w:t>
      </w:r>
      <w:r>
        <w:tab/>
      </w:r>
      <w:r w:rsidRPr="00293023">
        <w:t>“</w:t>
      </w:r>
      <w:r>
        <w:t>Al ciclo</w:t>
      </w:r>
      <w:r w:rsidRPr="00293023">
        <w:t xml:space="preserve"> (</w:t>
      </w:r>
      <w:proofErr w:type="spellStart"/>
      <w:r w:rsidRPr="009371B9">
        <w:rPr>
          <w:i/>
          <w:iCs/>
        </w:rPr>
        <w:t>vaṭṭa</w:t>
      </w:r>
      <w:proofErr w:type="spellEnd"/>
      <w:r w:rsidRPr="00293023">
        <w:t xml:space="preserve">, véase XVII.298) [incluidos los cielos de materia </w:t>
      </w:r>
      <w:r>
        <w:t>sutil</w:t>
      </w:r>
      <w:r w:rsidRPr="00293023">
        <w:t xml:space="preserve"> e inmaterial] se </w:t>
      </w:r>
      <w:r>
        <w:t xml:space="preserve">le </w:t>
      </w:r>
      <w:r w:rsidRPr="00293023">
        <w:t>llama el mundo (</w:t>
      </w:r>
      <w:r w:rsidRPr="00347890">
        <w:rPr>
          <w:i/>
          <w:iCs/>
        </w:rPr>
        <w:t>loka</w:t>
      </w:r>
      <w:r w:rsidRPr="00293023">
        <w:t>) debido a su desmoronamiento (</w:t>
      </w:r>
      <w:proofErr w:type="spellStart"/>
      <w:r w:rsidRPr="009371B9">
        <w:rPr>
          <w:i/>
          <w:iCs/>
        </w:rPr>
        <w:t>lujjana</w:t>
      </w:r>
      <w:proofErr w:type="spellEnd"/>
      <w:r w:rsidRPr="00293023">
        <w:t>) y desintegración (</w:t>
      </w:r>
      <w:proofErr w:type="spellStart"/>
      <w:r w:rsidRPr="009371B9">
        <w:rPr>
          <w:i/>
          <w:iCs/>
        </w:rPr>
        <w:t>palujjana</w:t>
      </w:r>
      <w:proofErr w:type="spellEnd"/>
      <w:r w:rsidRPr="00293023">
        <w:t>). 'Mundano' (</w:t>
      </w:r>
      <w:proofErr w:type="spellStart"/>
      <w:r w:rsidRPr="009371B9">
        <w:rPr>
          <w:i/>
          <w:iCs/>
        </w:rPr>
        <w:t>lokiya</w:t>
      </w:r>
      <w:proofErr w:type="spellEnd"/>
      <w:r w:rsidRPr="00293023">
        <w:t>) significa conectado con el mundo por estar incluido en él o encontrarse allí. ‘Supramundano’ (</w:t>
      </w:r>
      <w:proofErr w:type="spellStart"/>
      <w:r w:rsidRPr="009371B9">
        <w:rPr>
          <w:i/>
          <w:iCs/>
        </w:rPr>
        <w:t>lokuttara</w:t>
      </w:r>
      <w:proofErr w:type="spellEnd"/>
      <w:r w:rsidRPr="00293023">
        <w:t>) significa más allá del mundo, exceptua</w:t>
      </w:r>
      <w:r>
        <w:t>n</w:t>
      </w:r>
      <w:r w:rsidRPr="00293023">
        <w:t xml:space="preserve">do </w:t>
      </w:r>
      <w:r>
        <w:t>a</w:t>
      </w:r>
      <w:r w:rsidRPr="00293023">
        <w:t xml:space="preserve"> él, por no estar incluido en él [por estar asociado con </w:t>
      </w:r>
      <w:r>
        <w:t xml:space="preserve">el </w:t>
      </w:r>
      <w:r w:rsidRPr="00357859">
        <w:rPr>
          <w:i/>
          <w:iCs/>
        </w:rPr>
        <w:t>Nibbāna</w:t>
      </w:r>
      <w:r w:rsidRPr="00293023">
        <w:t>]” (</w:t>
      </w:r>
      <w:proofErr w:type="spellStart"/>
      <w:r w:rsidRPr="00293023">
        <w:t>Vism</w:t>
      </w:r>
      <w:r>
        <w:t>-</w:t>
      </w:r>
      <w:r w:rsidRPr="00293023">
        <w:t>mhṭ</w:t>
      </w:r>
      <w:proofErr w:type="spellEnd"/>
      <w:r w:rsidRPr="00293023">
        <w:t xml:space="preserve"> 91). Véase también “nueve estados supramundanos”. (VII.68, 74f.)”</w:t>
      </w:r>
    </w:p>
    <w:p w14:paraId="53940BBA" w14:textId="1FB6871B" w:rsidR="003A5C97" w:rsidRPr="00293023" w:rsidRDefault="003A5C97" w:rsidP="003A5C97">
      <w:pPr>
        <w:pStyle w:val="PiedepginaLegal"/>
      </w:pPr>
      <w:r w:rsidRPr="00293023">
        <w:t xml:space="preserve">6. </w:t>
      </w:r>
      <w:r>
        <w:tab/>
      </w:r>
      <w:r w:rsidRPr="00293023">
        <w:t xml:space="preserve">En </w:t>
      </w:r>
      <w:r>
        <w:t xml:space="preserve">el </w:t>
      </w:r>
      <w:r w:rsidRPr="00293023">
        <w:t xml:space="preserve">uso laxo, </w:t>
      </w:r>
      <w:proofErr w:type="spellStart"/>
      <w:r w:rsidRPr="009371B9">
        <w:rPr>
          <w:i/>
          <w:iCs/>
        </w:rPr>
        <w:t>pīti</w:t>
      </w:r>
      <w:proofErr w:type="spellEnd"/>
      <w:r w:rsidRPr="00293023">
        <w:t xml:space="preserve"> (felicidad) y </w:t>
      </w:r>
      <w:proofErr w:type="spellStart"/>
      <w:r w:rsidRPr="009371B9">
        <w:rPr>
          <w:i/>
          <w:iCs/>
        </w:rPr>
        <w:t>sukha</w:t>
      </w:r>
      <w:proofErr w:type="spellEnd"/>
      <w:r w:rsidRPr="00293023">
        <w:t xml:space="preserve"> (</w:t>
      </w:r>
      <w:r>
        <w:t>dicha</w:t>
      </w:r>
      <w:r w:rsidRPr="00293023">
        <w:t xml:space="preserve"> o bienaventuranza) son casi sinónimos. Se diferencian en las fórmulas </w:t>
      </w:r>
      <w:proofErr w:type="spellStart"/>
      <w:r w:rsidRPr="00057BF4">
        <w:rPr>
          <w:i/>
          <w:iCs/>
        </w:rPr>
        <w:t>jhān</w:t>
      </w:r>
      <w:r w:rsidR="00AE5D2C">
        <w:rPr>
          <w:i/>
          <w:iCs/>
        </w:rPr>
        <w:t>icas</w:t>
      </w:r>
      <w:proofErr w:type="spellEnd"/>
      <w:r w:rsidRPr="00293023">
        <w:t xml:space="preserve"> (ver IV.100), </w:t>
      </w:r>
      <w:r w:rsidR="00AE5D2C">
        <w:t xml:space="preserve">por lo tanto, </w:t>
      </w:r>
      <w:r w:rsidRPr="00293023">
        <w:t>técnicamente</w:t>
      </w:r>
      <w:r w:rsidR="00AE5D2C">
        <w:t>,</w:t>
      </w:r>
      <w:r w:rsidRPr="00293023">
        <w:t xml:space="preserve"> </w:t>
      </w:r>
      <w:proofErr w:type="spellStart"/>
      <w:r w:rsidRPr="009371B9">
        <w:rPr>
          <w:i/>
          <w:iCs/>
        </w:rPr>
        <w:t>pīti</w:t>
      </w:r>
      <w:proofErr w:type="spellEnd"/>
      <w:r w:rsidRPr="00293023">
        <w:t xml:space="preserve">, como </w:t>
      </w:r>
      <w:r w:rsidR="0048540C">
        <w:t>un</w:t>
      </w:r>
      <w:r w:rsidRPr="00293023">
        <w:t xml:space="preserve">a emoción activa del </w:t>
      </w:r>
      <w:proofErr w:type="gramStart"/>
      <w:r w:rsidRPr="00293023">
        <w:t>éxtasis,</w:t>
      </w:r>
      <w:proofErr w:type="gramEnd"/>
      <w:r w:rsidRPr="00293023">
        <w:t xml:space="preserve"> se clasifica bajo el agregado de </w:t>
      </w:r>
      <w:r w:rsidR="0048540C">
        <w:t xml:space="preserve">la </w:t>
      </w:r>
      <w:r w:rsidRPr="00293023">
        <w:t>formaci</w:t>
      </w:r>
      <w:r w:rsidR="0048540C">
        <w:t>ó</w:t>
      </w:r>
      <w:r w:rsidRPr="00293023">
        <w:t xml:space="preserve">n y </w:t>
      </w:r>
      <w:proofErr w:type="spellStart"/>
      <w:r w:rsidRPr="009371B9">
        <w:rPr>
          <w:i/>
          <w:iCs/>
        </w:rPr>
        <w:t>sukha</w:t>
      </w:r>
      <w:proofErr w:type="spellEnd"/>
      <w:r w:rsidR="0048540C">
        <w:rPr>
          <w:i/>
          <w:iCs/>
        </w:rPr>
        <w:t>,</w:t>
      </w:r>
      <w:r w:rsidRPr="00293023">
        <w:t xml:space="preserve"> bajo el agregado de </w:t>
      </w:r>
      <w:r>
        <w:t>la sensación</w:t>
      </w:r>
      <w:r w:rsidRPr="00293023">
        <w:t xml:space="preserve">. Se </w:t>
      </w:r>
      <w:r w:rsidR="00A36AF5">
        <w:t xml:space="preserve">ha </w:t>
      </w:r>
      <w:r w:rsidRPr="00293023">
        <w:t>el</w:t>
      </w:r>
      <w:r w:rsidR="00A36AF5">
        <w:t>e</w:t>
      </w:r>
      <w:r w:rsidRPr="00293023">
        <w:t>gi</w:t>
      </w:r>
      <w:r w:rsidR="00A36AF5">
        <w:t>do</w:t>
      </w:r>
      <w:r w:rsidRPr="00293023">
        <w:t xml:space="preserve"> la valiosa palabra “felicidad” para </w:t>
      </w:r>
      <w:proofErr w:type="spellStart"/>
      <w:r w:rsidRPr="009371B9">
        <w:rPr>
          <w:i/>
          <w:iCs/>
        </w:rPr>
        <w:t>pīti</w:t>
      </w:r>
      <w:proofErr w:type="spellEnd"/>
      <w:r w:rsidRPr="00293023">
        <w:t xml:space="preserve"> en lugar de las posibles alternativas </w:t>
      </w:r>
      <w:r>
        <w:t xml:space="preserve">como </w:t>
      </w:r>
      <w:r w:rsidRPr="00293023">
        <w:t xml:space="preserve">“alegría” (necesaria para </w:t>
      </w:r>
      <w:proofErr w:type="spellStart"/>
      <w:r w:rsidRPr="009371B9">
        <w:rPr>
          <w:i/>
          <w:iCs/>
        </w:rPr>
        <w:t>somanassa</w:t>
      </w:r>
      <w:proofErr w:type="spellEnd"/>
      <w:r w:rsidRPr="00293023">
        <w:t xml:space="preserve">), “interés” (que es demasiado </w:t>
      </w:r>
      <w:r>
        <w:t>llan</w:t>
      </w:r>
      <w:r w:rsidR="00A36AF5">
        <w:t>a</w:t>
      </w:r>
      <w:r w:rsidRPr="00293023">
        <w:t xml:space="preserve">), “éxtasis” (que es </w:t>
      </w:r>
      <w:r w:rsidR="00A36AF5">
        <w:t xml:space="preserve">muy </w:t>
      </w:r>
      <w:r w:rsidRPr="00293023">
        <w:t>sobrecargad</w:t>
      </w:r>
      <w:r w:rsidR="00A36AF5">
        <w:t>a</w:t>
      </w:r>
      <w:r w:rsidRPr="00293023">
        <w:t xml:space="preserve">) o “entusiasmo”. </w:t>
      </w:r>
      <w:r>
        <w:t xml:space="preserve">En el caso de </w:t>
      </w:r>
      <w:proofErr w:type="spellStart"/>
      <w:r w:rsidRPr="009371B9">
        <w:rPr>
          <w:i/>
          <w:iCs/>
        </w:rPr>
        <w:t>sukha</w:t>
      </w:r>
      <w:proofErr w:type="spellEnd"/>
      <w:r w:rsidRPr="00293023">
        <w:t>, mientras que “placer” parec</w:t>
      </w:r>
      <w:r w:rsidR="00A36AF5">
        <w:t>er</w:t>
      </w:r>
      <w:r w:rsidRPr="00293023">
        <w:t>ía encajar admirablemente donde se pretend</w:t>
      </w:r>
      <w:r w:rsidR="000C75B6">
        <w:t>iese</w:t>
      </w:r>
      <w:r w:rsidRPr="00293023">
        <w:t xml:space="preserve"> un</w:t>
      </w:r>
      <w:r>
        <w:t>a</w:t>
      </w:r>
      <w:r w:rsidRPr="00293023">
        <w:t xml:space="preserve"> </w:t>
      </w:r>
      <w:r>
        <w:t xml:space="preserve">sensación </w:t>
      </w:r>
      <w:r w:rsidRPr="00293023">
        <w:t>placenter</w:t>
      </w:r>
      <w:r>
        <w:t>a</w:t>
      </w:r>
      <w:r w:rsidRPr="00293023">
        <w:t xml:space="preserve"> ordinari</w:t>
      </w:r>
      <w:r>
        <w:t>a</w:t>
      </w:r>
      <w:r w:rsidRPr="00293023">
        <w:t xml:space="preserve">, otra palabra, menos </w:t>
      </w:r>
      <w:r w:rsidR="00971021">
        <w:t>burda</w:t>
      </w:r>
      <w:r w:rsidRPr="00293023">
        <w:t>, parec</w:t>
      </w:r>
      <w:r w:rsidR="00971021">
        <w:t>er</w:t>
      </w:r>
      <w:r w:rsidRPr="00293023">
        <w:t xml:space="preserve">ía necesaria para </w:t>
      </w:r>
      <w:r w:rsidR="00971021">
        <w:t>un</w:t>
      </w:r>
      <w:r>
        <w:t xml:space="preserve">a </w:t>
      </w:r>
      <w:r w:rsidRPr="00293023">
        <w:t>refinad</w:t>
      </w:r>
      <w:r>
        <w:t>a</w:t>
      </w:r>
      <w:r w:rsidRPr="00293023">
        <w:t xml:space="preserve"> </w:t>
      </w:r>
      <w:r>
        <w:t xml:space="preserve">sensación </w:t>
      </w:r>
      <w:r w:rsidRPr="00293023">
        <w:t>placenter</w:t>
      </w:r>
      <w:r>
        <w:t>a</w:t>
      </w:r>
      <w:r w:rsidRPr="00293023">
        <w:t xml:space="preserve"> </w:t>
      </w:r>
      <w:r w:rsidR="00971021">
        <w:t xml:space="preserve">correspondiente a un </w:t>
      </w:r>
      <w:proofErr w:type="spellStart"/>
      <w:r w:rsidRPr="00057BF4">
        <w:rPr>
          <w:i/>
          <w:iCs/>
        </w:rPr>
        <w:t>jhāna</w:t>
      </w:r>
      <w:proofErr w:type="spellEnd"/>
      <w:r w:rsidRPr="00293023">
        <w:t xml:space="preserve"> y </w:t>
      </w:r>
      <w:r w:rsidR="00971021">
        <w:t xml:space="preserve">a </w:t>
      </w:r>
      <w:r w:rsidRPr="00293023">
        <w:t>la “bienaventuranza” de</w:t>
      </w:r>
      <w:r>
        <w:t>l</w:t>
      </w:r>
      <w:r w:rsidRPr="00293023">
        <w:t xml:space="preserve"> </w:t>
      </w:r>
      <w:r w:rsidRPr="009371B9">
        <w:rPr>
          <w:i/>
          <w:iCs/>
        </w:rPr>
        <w:t>Nibbāna</w:t>
      </w:r>
      <w:r w:rsidRPr="00293023">
        <w:t xml:space="preserve"> (que no </w:t>
      </w:r>
      <w:r w:rsidR="00052695">
        <w:t>corresponde a</w:t>
      </w:r>
      <w:r>
        <w:t xml:space="preserve">l </w:t>
      </w:r>
      <w:r w:rsidRPr="00293023">
        <w:t>agregado</w:t>
      </w:r>
      <w:r>
        <w:t xml:space="preserve"> de </w:t>
      </w:r>
      <w:r w:rsidR="00052695">
        <w:t>ninguna</w:t>
      </w:r>
      <w:r>
        <w:t xml:space="preserve"> sensación</w:t>
      </w:r>
      <w:r w:rsidRPr="00293023">
        <w:t>; véase M I 400)</w:t>
      </w:r>
      <w:proofErr w:type="gramStart"/>
      <w:r w:rsidRPr="00293023">
        <w:t>. )</w:t>
      </w:r>
      <w:proofErr w:type="gramEnd"/>
      <w:r w:rsidRPr="00293023">
        <w:t>. A veces se u</w:t>
      </w:r>
      <w:r w:rsidR="00052695">
        <w:t>tiliza l</w:t>
      </w:r>
      <w:r w:rsidRPr="00293023">
        <w:t xml:space="preserve">a </w:t>
      </w:r>
      <w:r w:rsidR="00052695">
        <w:t xml:space="preserve">palabra </w:t>
      </w:r>
      <w:r w:rsidRPr="00293023">
        <w:t>"facilidad".</w:t>
      </w:r>
    </w:p>
    <w:p w14:paraId="7192BEB3" w14:textId="139BF159" w:rsidR="003A5C97" w:rsidRDefault="003A5C97" w:rsidP="003A5C97">
      <w:pPr>
        <w:pStyle w:val="PiedepginaLegal"/>
      </w:pPr>
      <w:r w:rsidRPr="00293023">
        <w:t xml:space="preserve">          “</w:t>
      </w:r>
      <w:r w:rsidR="001D4F76">
        <w:t>La s</w:t>
      </w:r>
      <w:r w:rsidRPr="00293023">
        <w:t xml:space="preserve">ensación </w:t>
      </w:r>
      <w:r w:rsidR="000C75B6" w:rsidRPr="000C75B6">
        <w:t xml:space="preserve">ni–agradable–ni–desagradable </w:t>
      </w:r>
      <w:r w:rsidRPr="00293023">
        <w:t xml:space="preserve">se entiende aquí </w:t>
      </w:r>
      <w:r w:rsidR="001D4F76">
        <w:t xml:space="preserve">como </w:t>
      </w:r>
      <w:r w:rsidRPr="00293023">
        <w:t>‘ecuanimidad’ (</w:t>
      </w:r>
      <w:r w:rsidRPr="00057BF4">
        <w:rPr>
          <w:i/>
          <w:iCs/>
        </w:rPr>
        <w:t>upekkhā</w:t>
      </w:r>
      <w:r w:rsidRPr="00293023">
        <w:t xml:space="preserve">, </w:t>
      </w:r>
      <w:proofErr w:type="spellStart"/>
      <w:r w:rsidRPr="00293023">
        <w:t>lit</w:t>
      </w:r>
      <w:proofErr w:type="spellEnd"/>
      <w:r w:rsidRPr="00293023">
        <w:t xml:space="preserve">, </w:t>
      </w:r>
      <w:r>
        <w:t>observar</w:t>
      </w:r>
      <w:r w:rsidRPr="00293023">
        <w:t>); porque ‘observa’ (</w:t>
      </w:r>
      <w:proofErr w:type="spellStart"/>
      <w:r w:rsidRPr="009371B9">
        <w:rPr>
          <w:i/>
          <w:iCs/>
        </w:rPr>
        <w:t>upekkhati</w:t>
      </w:r>
      <w:proofErr w:type="spellEnd"/>
      <w:r w:rsidRPr="00293023">
        <w:t xml:space="preserve">) </w:t>
      </w:r>
      <w:r>
        <w:t>el surgimiento</w:t>
      </w:r>
      <w:r w:rsidRPr="00293023">
        <w:t xml:space="preserve"> del placer y el dolor corporal manteniendo </w:t>
      </w:r>
      <w:r>
        <w:t xml:space="preserve">un </w:t>
      </w:r>
      <w:r w:rsidRPr="00293023">
        <w:t>modo neutral (central)” (</w:t>
      </w:r>
      <w:proofErr w:type="spellStart"/>
      <w:r w:rsidRPr="00293023">
        <w:t>Vism-mhṭ</w:t>
      </w:r>
      <w:proofErr w:type="spellEnd"/>
      <w:r w:rsidRPr="00293023">
        <w:t xml:space="preserve"> 92).</w:t>
      </w:r>
    </w:p>
    <w:p w14:paraId="25AADAF4" w14:textId="77777777" w:rsidR="003A5C97" w:rsidRDefault="003A5C97" w:rsidP="003A5C97">
      <w:pPr>
        <w:tabs>
          <w:tab w:val="clear" w:pos="425"/>
        </w:tabs>
        <w:spacing w:after="160"/>
      </w:pPr>
      <w:r>
        <w:br w:type="page"/>
      </w:r>
    </w:p>
    <w:p w14:paraId="269E9B48" w14:textId="0450DFC0" w:rsidR="003A5C97" w:rsidRDefault="003A5C97" w:rsidP="003A5C97">
      <w:r>
        <w:lastRenderedPageBreak/>
        <w:t>progreso difícil y como un conocimiento directo</w:t>
      </w:r>
      <w:r w:rsidRPr="00E7030C">
        <w:t xml:space="preserve"> </w:t>
      </w:r>
      <w:r>
        <w:t xml:space="preserve">lento, etc.; igualmente (11) como limitada con un objeto limitado, etc., (12) como factores de los cuatro </w:t>
      </w:r>
      <w:proofErr w:type="spellStart"/>
      <w:r w:rsidRPr="00057BF4">
        <w:rPr>
          <w:i/>
          <w:iCs/>
        </w:rPr>
        <w:t>jhāna</w:t>
      </w:r>
      <w:r w:rsidRPr="009D0421">
        <w:rPr>
          <w:i/>
          <w:iCs/>
        </w:rPr>
        <w:t>s</w:t>
      </w:r>
      <w:proofErr w:type="spellEnd"/>
      <w:r>
        <w:t xml:space="preserve">, (13) como partícipe de una disminución, etc., (14) como parte de la esfera </w:t>
      </w:r>
      <w:r w:rsidR="0019333F" w:rsidRPr="0019333F">
        <w:t>sensorial</w:t>
      </w:r>
      <w:r>
        <w:t xml:space="preserve">, etc., y (15) como predominio, etc. (16) Es de cinco tipos según los factores de los cinco </w:t>
      </w:r>
      <w:proofErr w:type="spellStart"/>
      <w:r w:rsidRPr="00057BF4">
        <w:rPr>
          <w:i/>
          <w:iCs/>
        </w:rPr>
        <w:t>jhāna</w:t>
      </w:r>
      <w:r w:rsidRPr="009D0421">
        <w:rPr>
          <w:i/>
          <w:iCs/>
        </w:rPr>
        <w:t>s</w:t>
      </w:r>
      <w:proofErr w:type="spellEnd"/>
      <w:r>
        <w:t xml:space="preserve"> calculados por el método quíntuple.</w:t>
      </w:r>
    </w:p>
    <w:p w14:paraId="2DB7EE6D" w14:textId="77777777" w:rsidR="003A5C97" w:rsidRDefault="003A5C97" w:rsidP="003A5C97">
      <w:r>
        <w:t xml:space="preserve">6. </w:t>
      </w:r>
      <w:r>
        <w:tab/>
      </w:r>
      <w:r w:rsidRPr="00AA23D0">
        <w:rPr>
          <w:i/>
          <w:iCs/>
        </w:rPr>
        <w:t>1</w:t>
      </w:r>
      <w:r>
        <w:t>. Aquí, la sección que trata de la de 1 tipo es evidente por su significado.</w:t>
      </w:r>
    </w:p>
    <w:p w14:paraId="04429A34" w14:textId="0A7E36F4" w:rsidR="003A5C97" w:rsidRDefault="003A5C97" w:rsidP="003A5C97">
      <w:r>
        <w:tab/>
      </w:r>
      <w:r w:rsidRPr="00AA23D0">
        <w:rPr>
          <w:i/>
          <w:iCs/>
        </w:rPr>
        <w:t>2.</w:t>
      </w:r>
      <w:r>
        <w:t xml:space="preserve"> En la sección que trata sobre los 2 tipos, la concentración de </w:t>
      </w:r>
      <w:r w:rsidRPr="009D0421">
        <w:rPr>
          <w:i/>
          <w:iCs/>
        </w:rPr>
        <w:t>acceso</w:t>
      </w:r>
      <w:r>
        <w:t xml:space="preserve"> </w:t>
      </w:r>
      <w:r w:rsidR="002C0F54">
        <w:t>corresponderá a</w:t>
      </w:r>
      <w:r>
        <w:t xml:space="preserve"> la unificación mental obtenida por lo siguiente, es decir, las </w:t>
      </w:r>
      <w:r w:rsidR="00B54996">
        <w:t>6</w:t>
      </w:r>
      <w:r>
        <w:t xml:space="preserve"> evocaciones, la </w:t>
      </w:r>
      <w:r w:rsidR="00A32DCF">
        <w:t>atención</w:t>
      </w:r>
      <w:r>
        <w:t xml:space="preserve"> sobre la muerte, la evocación de la paz, la percepción de repulsi</w:t>
      </w:r>
      <w:r w:rsidR="00C52036">
        <w:t>vidad</w:t>
      </w:r>
      <w:r>
        <w:t xml:space="preserve"> en el </w:t>
      </w:r>
      <w:r w:rsidR="00C52036">
        <w:t>nutrimento</w:t>
      </w:r>
      <w:r>
        <w:t xml:space="preserve">, y la definición de los cuatro elementos, y es la unificación que precede a la concentración de absorción. La concentración como </w:t>
      </w:r>
      <w:r w:rsidRPr="000D2F87">
        <w:rPr>
          <w:i/>
          <w:iCs/>
        </w:rPr>
        <w:t>absorción</w:t>
      </w:r>
      <w:r>
        <w:t xml:space="preserve"> es la unificación que le sigue inmediatamente al trabajo preliminar (IV.74) contenido en las siguientes palabras: “El trabajo preliminar del primer </w:t>
      </w:r>
      <w:proofErr w:type="spellStart"/>
      <w:r w:rsidRPr="00057BF4">
        <w:rPr>
          <w:i/>
        </w:rPr>
        <w:t>jhāna</w:t>
      </w:r>
      <w:proofErr w:type="spellEnd"/>
      <w:r>
        <w:t xml:space="preserve"> es una condición, como condición de proximidad, para el primer </w:t>
      </w:r>
      <w:proofErr w:type="spellStart"/>
      <w:r w:rsidRPr="00057BF4">
        <w:rPr>
          <w:i/>
          <w:iCs/>
        </w:rPr>
        <w:t>jhāna</w:t>
      </w:r>
      <w:proofErr w:type="spellEnd"/>
      <w:r>
        <w:t>” (</w:t>
      </w:r>
      <w:proofErr w:type="spellStart"/>
      <w:r>
        <w:t>Paṭṭh</w:t>
      </w:r>
      <w:proofErr w:type="spellEnd"/>
      <w:r>
        <w:t xml:space="preserve"> II 350 (</w:t>
      </w:r>
      <w:proofErr w:type="gramStart"/>
      <w:r>
        <w:t>Se )</w:t>
      </w:r>
      <w:proofErr w:type="gramEnd"/>
      <w:r>
        <w:t xml:space="preserve"> Es así </w:t>
      </w:r>
      <w:proofErr w:type="spellStart"/>
      <w:r>
        <w:t>cómo</w:t>
      </w:r>
      <w:proofErr w:type="spellEnd"/>
      <w:r>
        <w:t xml:space="preserve"> la concentración puede ser de dos tipos, como </w:t>
      </w:r>
      <w:r w:rsidRPr="00125CB0">
        <w:rPr>
          <w:i/>
          <w:iCs/>
        </w:rPr>
        <w:t>acceso</w:t>
      </w:r>
      <w:r>
        <w:t xml:space="preserve"> y </w:t>
      </w:r>
      <w:r w:rsidRPr="00125CB0">
        <w:rPr>
          <w:i/>
          <w:iCs/>
        </w:rPr>
        <w:t>absorción</w:t>
      </w:r>
      <w:r>
        <w:t>.</w:t>
      </w:r>
    </w:p>
    <w:p w14:paraId="0A225EC3" w14:textId="77777777" w:rsidR="003A5C97" w:rsidRDefault="003A5C97" w:rsidP="003A5C97">
      <w:r>
        <w:t xml:space="preserve">7. </w:t>
      </w:r>
      <w:r>
        <w:tab/>
      </w:r>
      <w:r w:rsidRPr="00AA23D0">
        <w:rPr>
          <w:i/>
          <w:iCs/>
        </w:rPr>
        <w:t>3</w:t>
      </w:r>
      <w:r>
        <w:t xml:space="preserve">. En la segunda díada, la concentración </w:t>
      </w:r>
      <w:r w:rsidRPr="009D0421">
        <w:rPr>
          <w:i/>
          <w:iCs/>
        </w:rPr>
        <w:t>mundana</w:t>
      </w:r>
      <w:r>
        <w:t xml:space="preserve"> es provechosa para la unificación mental en los tres planos. La concentración </w:t>
      </w:r>
      <w:r w:rsidRPr="009D0421">
        <w:rPr>
          <w:i/>
          <w:iCs/>
        </w:rPr>
        <w:t>supramundana</w:t>
      </w:r>
      <w:r>
        <w:t xml:space="preserve"> es la unificación asociada con los nobles senderos. Es así cómo puede ser de dos tipos, como </w:t>
      </w:r>
      <w:r w:rsidRPr="00266C7F">
        <w:rPr>
          <w:i/>
          <w:iCs/>
        </w:rPr>
        <w:t>mundana</w:t>
      </w:r>
      <w:r>
        <w:t xml:space="preserve"> y </w:t>
      </w:r>
      <w:r w:rsidRPr="00266C7F">
        <w:rPr>
          <w:i/>
          <w:iCs/>
        </w:rPr>
        <w:t>supramundana</w:t>
      </w:r>
      <w:r>
        <w:t>.</w:t>
      </w:r>
    </w:p>
    <w:p w14:paraId="639A1636" w14:textId="77777777" w:rsidR="003A5C97" w:rsidRDefault="003A5C97" w:rsidP="003A5C97">
      <w:r>
        <w:t xml:space="preserve">8. </w:t>
      </w:r>
      <w:r>
        <w:tab/>
      </w:r>
      <w:r w:rsidRPr="00AA23D0">
        <w:rPr>
          <w:i/>
          <w:iCs/>
        </w:rPr>
        <w:t>4</w:t>
      </w:r>
      <w:r>
        <w:t xml:space="preserve">. En la tercera díada, la concentración </w:t>
      </w:r>
      <w:r w:rsidRPr="006C6EE6">
        <w:rPr>
          <w:i/>
          <w:iCs/>
        </w:rPr>
        <w:t>con felicidad</w:t>
      </w:r>
      <w:r>
        <w:t xml:space="preserve"> es la unificación mental en los dos </w:t>
      </w:r>
      <w:proofErr w:type="spellStart"/>
      <w:r w:rsidRPr="00057BF4">
        <w:rPr>
          <w:i/>
          <w:iCs/>
        </w:rPr>
        <w:t>jhāna</w:t>
      </w:r>
      <w:r w:rsidRPr="009D0421">
        <w:rPr>
          <w:i/>
          <w:iCs/>
        </w:rPr>
        <w:t>s</w:t>
      </w:r>
      <w:proofErr w:type="spellEnd"/>
      <w:r>
        <w:t xml:space="preserve"> en el cómputo cuádruple y en los tres </w:t>
      </w:r>
      <w:proofErr w:type="spellStart"/>
      <w:r w:rsidRPr="00057BF4">
        <w:rPr>
          <w:i/>
          <w:iCs/>
        </w:rPr>
        <w:t>jhāna</w:t>
      </w:r>
      <w:r w:rsidRPr="009D0421">
        <w:rPr>
          <w:i/>
          <w:iCs/>
        </w:rPr>
        <w:t>s</w:t>
      </w:r>
      <w:proofErr w:type="spellEnd"/>
      <w:r>
        <w:t xml:space="preserve"> en el cómputo quíntuple. [86] La concentración </w:t>
      </w:r>
      <w:r w:rsidRPr="00924959">
        <w:rPr>
          <w:i/>
          <w:iCs/>
        </w:rPr>
        <w:t>sin felicidad</w:t>
      </w:r>
      <w:r>
        <w:t xml:space="preserve"> es la unificación en los dos </w:t>
      </w:r>
      <w:proofErr w:type="spellStart"/>
      <w:r w:rsidRPr="00057BF4">
        <w:rPr>
          <w:i/>
          <w:iCs/>
        </w:rPr>
        <w:t>jhāna</w:t>
      </w:r>
      <w:r w:rsidRPr="009D0421">
        <w:rPr>
          <w:i/>
          <w:iCs/>
        </w:rPr>
        <w:t>s</w:t>
      </w:r>
      <w:proofErr w:type="spellEnd"/>
      <w:r>
        <w:t xml:space="preserve"> restantes. Pero el acceso a la concentración puede ser con felicidad o sin felicidad. Es así cómo puede ser de dos tipos, </w:t>
      </w:r>
      <w:r w:rsidRPr="00FD0E6A">
        <w:rPr>
          <w:i/>
          <w:iCs/>
        </w:rPr>
        <w:t>con felicidad</w:t>
      </w:r>
      <w:r>
        <w:t xml:space="preserve"> y </w:t>
      </w:r>
      <w:r w:rsidRPr="00FD0E6A">
        <w:rPr>
          <w:i/>
          <w:iCs/>
        </w:rPr>
        <w:t>sin felicidad</w:t>
      </w:r>
      <w:r>
        <w:t>.</w:t>
      </w:r>
    </w:p>
    <w:p w14:paraId="2952F860" w14:textId="77777777" w:rsidR="003A5C97" w:rsidRDefault="003A5C97" w:rsidP="003A5C97">
      <w:r>
        <w:t xml:space="preserve">9. </w:t>
      </w:r>
      <w:r>
        <w:tab/>
        <w:t xml:space="preserve">5. En la cuarta díada, la concentración </w:t>
      </w:r>
      <w:r w:rsidRPr="00785F2B">
        <w:rPr>
          <w:i/>
          <w:iCs/>
        </w:rPr>
        <w:t>acompañada de dicha</w:t>
      </w:r>
      <w:r>
        <w:t xml:space="preserve"> es la unificación mental en los tres </w:t>
      </w:r>
      <w:proofErr w:type="spellStart"/>
      <w:r w:rsidRPr="00057BF4">
        <w:rPr>
          <w:i/>
          <w:iCs/>
        </w:rPr>
        <w:t>jhāna</w:t>
      </w:r>
      <w:r w:rsidRPr="009D0421">
        <w:rPr>
          <w:i/>
          <w:iCs/>
        </w:rPr>
        <w:t>s</w:t>
      </w:r>
      <w:proofErr w:type="spellEnd"/>
      <w:r>
        <w:t xml:space="preserve"> en el cómputo cuádruple y en los cuatro</w:t>
      </w:r>
      <w:r w:rsidRPr="00FD0E6A">
        <w:rPr>
          <w:i/>
          <w:iCs/>
        </w:rPr>
        <w:t xml:space="preserve"> </w:t>
      </w:r>
      <w:proofErr w:type="spellStart"/>
      <w:r w:rsidRPr="00057BF4">
        <w:rPr>
          <w:i/>
          <w:iCs/>
        </w:rPr>
        <w:t>jhāna</w:t>
      </w:r>
      <w:r w:rsidRPr="009D0421">
        <w:rPr>
          <w:i/>
          <w:iCs/>
        </w:rPr>
        <w:t>s</w:t>
      </w:r>
      <w:proofErr w:type="spellEnd"/>
      <w:r>
        <w:t xml:space="preserve"> en el cómputo quíntuple. </w:t>
      </w:r>
      <w:r w:rsidRPr="000F7D98">
        <w:t xml:space="preserve">Aquella </w:t>
      </w:r>
      <w:r w:rsidRPr="000F7D98">
        <w:rPr>
          <w:i/>
          <w:iCs/>
        </w:rPr>
        <w:t>acompañada de ecuanimidad</w:t>
      </w:r>
      <w:r w:rsidRPr="000F7D98">
        <w:t xml:space="preserve"> es la que se encuentra en el </w:t>
      </w:r>
      <w:proofErr w:type="spellStart"/>
      <w:r w:rsidRPr="000F7D98">
        <w:rPr>
          <w:i/>
          <w:iCs/>
        </w:rPr>
        <w:t>jhāna</w:t>
      </w:r>
      <w:proofErr w:type="spellEnd"/>
      <w:r w:rsidRPr="000F7D98">
        <w:t xml:space="preserve"> restante. </w:t>
      </w:r>
      <w:r>
        <w:t xml:space="preserve">La concentración de acceso puede ir acompañada de dicha o de ecuanimidad. Por lo tanto, es así cómo la concentración puede ser de dos tipos: </w:t>
      </w:r>
      <w:r w:rsidRPr="00127943">
        <w:rPr>
          <w:i/>
          <w:iCs/>
        </w:rPr>
        <w:t>acompañada de dicha</w:t>
      </w:r>
      <w:r>
        <w:t xml:space="preserve"> y </w:t>
      </w:r>
      <w:r w:rsidRPr="00127943">
        <w:rPr>
          <w:i/>
          <w:iCs/>
        </w:rPr>
        <w:t>acompañad</w:t>
      </w:r>
      <w:r>
        <w:rPr>
          <w:i/>
          <w:iCs/>
        </w:rPr>
        <w:t>a</w:t>
      </w:r>
      <w:r w:rsidRPr="00127943">
        <w:rPr>
          <w:i/>
          <w:iCs/>
        </w:rPr>
        <w:t xml:space="preserve"> de ecuanimidad</w:t>
      </w:r>
      <w:r>
        <w:t>.</w:t>
      </w:r>
    </w:p>
    <w:p w14:paraId="6F0F3DC9" w14:textId="77777777" w:rsidR="003A5C97" w:rsidRDefault="003A5C97" w:rsidP="003A5C97">
      <w:r>
        <w:t xml:space="preserve">10. </w:t>
      </w:r>
      <w:r>
        <w:tab/>
        <w:t xml:space="preserve">6. En la primera de las tríadas la concentración recién adquirida será </w:t>
      </w:r>
      <w:r w:rsidRPr="000969EE">
        <w:rPr>
          <w:i/>
          <w:iCs/>
        </w:rPr>
        <w:t>inferior</w:t>
      </w:r>
      <w:r>
        <w:t xml:space="preserve">. La que no esté muy desarrollada será </w:t>
      </w:r>
      <w:r w:rsidRPr="000969EE">
        <w:rPr>
          <w:i/>
          <w:iCs/>
        </w:rPr>
        <w:t>media</w:t>
      </w:r>
      <w:r>
        <w:t xml:space="preserve">. La que esté bien desarrollada y haya alcanzado su maestría será </w:t>
      </w:r>
      <w:r w:rsidRPr="000969EE">
        <w:rPr>
          <w:i/>
          <w:iCs/>
        </w:rPr>
        <w:t>superior</w:t>
      </w:r>
      <w:r>
        <w:t xml:space="preserve">. Es así cómo puede ser de tres tipos, como </w:t>
      </w:r>
      <w:r w:rsidRPr="000969EE">
        <w:rPr>
          <w:i/>
          <w:iCs/>
        </w:rPr>
        <w:t>inferior</w:t>
      </w:r>
      <w:r>
        <w:t xml:space="preserve">, </w:t>
      </w:r>
      <w:r w:rsidRPr="000969EE">
        <w:rPr>
          <w:i/>
          <w:iCs/>
        </w:rPr>
        <w:t>medi</w:t>
      </w:r>
      <w:r>
        <w:rPr>
          <w:i/>
          <w:iCs/>
        </w:rPr>
        <w:t>a</w:t>
      </w:r>
      <w:r>
        <w:t xml:space="preserve"> y </w:t>
      </w:r>
      <w:r w:rsidRPr="000969EE">
        <w:rPr>
          <w:i/>
          <w:iCs/>
        </w:rPr>
        <w:t>superior</w:t>
      </w:r>
      <w:r>
        <w:t>.</w:t>
      </w:r>
    </w:p>
    <w:p w14:paraId="36C229BA" w14:textId="7FE5A6F1" w:rsidR="003A5C97" w:rsidRDefault="003A5C97" w:rsidP="003A5C97">
      <w:r>
        <w:t xml:space="preserve">11. </w:t>
      </w:r>
      <w:r>
        <w:tab/>
        <w:t xml:space="preserve">7. En la segunda tríada la concentración </w:t>
      </w:r>
      <w:r w:rsidRPr="00924959">
        <w:rPr>
          <w:i/>
          <w:iCs/>
        </w:rPr>
        <w:t xml:space="preserve">con </w:t>
      </w:r>
      <w:proofErr w:type="gramStart"/>
      <w:r w:rsidR="00C71F10">
        <w:rPr>
          <w:i/>
          <w:iCs/>
        </w:rPr>
        <w:t>aplicación mental</w:t>
      </w:r>
      <w:r w:rsidRPr="00924959">
        <w:rPr>
          <w:i/>
          <w:iCs/>
        </w:rPr>
        <w:t xml:space="preserve"> y </w:t>
      </w:r>
      <w:r w:rsidR="00C71F10">
        <w:rPr>
          <w:i/>
          <w:iCs/>
        </w:rPr>
        <w:t>sustentación mental</w:t>
      </w:r>
      <w:proofErr w:type="gramEnd"/>
      <w:r>
        <w:t xml:space="preserve"> es la concentración del primer </w:t>
      </w:r>
      <w:proofErr w:type="spellStart"/>
      <w:r w:rsidRPr="00057BF4">
        <w:rPr>
          <w:i/>
          <w:iCs/>
        </w:rPr>
        <w:t>jhāna</w:t>
      </w:r>
      <w:proofErr w:type="spellEnd"/>
      <w:r>
        <w:t xml:space="preserve"> junto con la concentración de acceso. La misma </w:t>
      </w:r>
      <w:r w:rsidRPr="00924959">
        <w:rPr>
          <w:i/>
          <w:iCs/>
        </w:rPr>
        <w:t xml:space="preserve">sin </w:t>
      </w:r>
      <w:r w:rsidR="00C71F10">
        <w:rPr>
          <w:i/>
          <w:iCs/>
        </w:rPr>
        <w:t>aplicación mental</w:t>
      </w:r>
      <w:r>
        <w:rPr>
          <w:i/>
          <w:iCs/>
        </w:rPr>
        <w:t xml:space="preserve"> y</w:t>
      </w:r>
      <w:r w:rsidRPr="00924959">
        <w:rPr>
          <w:i/>
          <w:iCs/>
        </w:rPr>
        <w:t xml:space="preserve"> con </w:t>
      </w:r>
      <w:r w:rsidR="00C71F10">
        <w:rPr>
          <w:i/>
          <w:iCs/>
        </w:rPr>
        <w:t>sustentación mental</w:t>
      </w:r>
      <w:r w:rsidRPr="00924959">
        <w:rPr>
          <w:i/>
          <w:iCs/>
        </w:rPr>
        <w:t xml:space="preserve"> solamente</w:t>
      </w:r>
      <w:r>
        <w:t xml:space="preserve">, es la concentración del segundo </w:t>
      </w:r>
      <w:proofErr w:type="spellStart"/>
      <w:r w:rsidRPr="00057BF4">
        <w:rPr>
          <w:i/>
          <w:iCs/>
        </w:rPr>
        <w:t>jhāna</w:t>
      </w:r>
      <w:proofErr w:type="spellEnd"/>
      <w:r>
        <w:t xml:space="preserve"> en el cómputo quíntuple. Porque cuando un hombre aprecia el peligro solo en l</w:t>
      </w:r>
      <w:r w:rsidR="00C71F10">
        <w:t>a</w:t>
      </w:r>
      <w:r>
        <w:t xml:space="preserve"> </w:t>
      </w:r>
      <w:r w:rsidR="00C71F10">
        <w:t>aplicación mental</w:t>
      </w:r>
      <w:r>
        <w:t xml:space="preserve"> y no en </w:t>
      </w:r>
      <w:r w:rsidR="00C71F10">
        <w:t xml:space="preserve">la </w:t>
      </w:r>
      <w:proofErr w:type="spellStart"/>
      <w:r w:rsidR="00C71F10">
        <w:t>susettación</w:t>
      </w:r>
      <w:proofErr w:type="spellEnd"/>
      <w:r w:rsidR="00C71F10">
        <w:t xml:space="preserve"> mental</w:t>
      </w:r>
      <w:r>
        <w:t xml:space="preserve">, aspira solo a abandonar </w:t>
      </w:r>
      <w:r w:rsidR="00C71F10">
        <w:t>la aplicación mental</w:t>
      </w:r>
      <w:r>
        <w:t xml:space="preserve"> cuando traspase más allá del primer </w:t>
      </w:r>
      <w:proofErr w:type="spellStart"/>
      <w:r w:rsidRPr="00057BF4">
        <w:rPr>
          <w:i/>
          <w:iCs/>
        </w:rPr>
        <w:t>jhāna</w:t>
      </w:r>
      <w:proofErr w:type="spellEnd"/>
      <w:r>
        <w:t xml:space="preserve">, y así obtendrá una concentración sin pensamiento aplicado y solo con </w:t>
      </w:r>
      <w:r w:rsidR="00C71F10">
        <w:t>sustentación mental</w:t>
      </w:r>
      <w:r>
        <w:t xml:space="preserve">. Esto se dice con referencia a esto. La concentración </w:t>
      </w:r>
      <w:r w:rsidRPr="00924959">
        <w:rPr>
          <w:i/>
          <w:iCs/>
        </w:rPr>
        <w:t xml:space="preserve">sin pensamiento aplicado </w:t>
      </w:r>
      <w:r>
        <w:rPr>
          <w:i/>
          <w:iCs/>
        </w:rPr>
        <w:t>ni</w:t>
      </w:r>
      <w:r w:rsidRPr="00924959">
        <w:rPr>
          <w:i/>
          <w:iCs/>
        </w:rPr>
        <w:t xml:space="preserve"> </w:t>
      </w:r>
      <w:r w:rsidR="00C71F10">
        <w:rPr>
          <w:i/>
          <w:iCs/>
        </w:rPr>
        <w:t>sustentación mental</w:t>
      </w:r>
      <w:r>
        <w:t xml:space="preserve"> es la unificación en los tres </w:t>
      </w:r>
      <w:proofErr w:type="spellStart"/>
      <w:r w:rsidRPr="00057BF4">
        <w:rPr>
          <w:i/>
          <w:iCs/>
        </w:rPr>
        <w:t>jhāna</w:t>
      </w:r>
      <w:r w:rsidRPr="009D0421">
        <w:rPr>
          <w:i/>
          <w:iCs/>
        </w:rPr>
        <w:t>s</w:t>
      </w:r>
      <w:proofErr w:type="spellEnd"/>
      <w:r>
        <w:t xml:space="preserve"> comenzando con el segundo en el cómputo cuádruple y con el tercero en el cómputo quíntuple (ver D III 219). Es así </w:t>
      </w:r>
      <w:proofErr w:type="spellStart"/>
      <w:r>
        <w:t>cómo</w:t>
      </w:r>
      <w:proofErr w:type="spellEnd"/>
      <w:r>
        <w:t xml:space="preserve"> la concentración puede ser de tres tipos, como </w:t>
      </w:r>
      <w:r w:rsidRPr="00DF3DA9">
        <w:rPr>
          <w:i/>
          <w:iCs/>
        </w:rPr>
        <w:t>con pensamiento aplicado</w:t>
      </w:r>
      <w:r>
        <w:t xml:space="preserve"> y </w:t>
      </w:r>
      <w:r w:rsidR="00C71F10">
        <w:rPr>
          <w:i/>
          <w:iCs/>
        </w:rPr>
        <w:t>sustentación mental</w:t>
      </w:r>
      <w:r>
        <w:t>, …</w:t>
      </w:r>
      <w:proofErr w:type="gramStart"/>
      <w:r>
        <w:t>etc..</w:t>
      </w:r>
      <w:proofErr w:type="gramEnd"/>
    </w:p>
    <w:p w14:paraId="51C79904" w14:textId="77777777" w:rsidR="003A5C97" w:rsidRDefault="003A5C97" w:rsidP="003A5C97">
      <w:r>
        <w:t xml:space="preserve">12. </w:t>
      </w:r>
      <w:r>
        <w:tab/>
        <w:t xml:space="preserve">8. En la tercera tríada, la concentración </w:t>
      </w:r>
      <w:r w:rsidRPr="00924959">
        <w:rPr>
          <w:i/>
          <w:iCs/>
        </w:rPr>
        <w:t>acompañada de felicidad</w:t>
      </w:r>
      <w:r>
        <w:t xml:space="preserve"> es la unificación en los dos primeros </w:t>
      </w:r>
      <w:proofErr w:type="spellStart"/>
      <w:r w:rsidRPr="00057BF4">
        <w:rPr>
          <w:i/>
          <w:iCs/>
        </w:rPr>
        <w:t>jhāna</w:t>
      </w:r>
      <w:r w:rsidRPr="009D0421">
        <w:rPr>
          <w:i/>
          <w:iCs/>
        </w:rPr>
        <w:t>s</w:t>
      </w:r>
      <w:proofErr w:type="spellEnd"/>
      <w:r>
        <w:t xml:space="preserve"> en el cómputo cuádruple y en los tres primeros </w:t>
      </w:r>
      <w:proofErr w:type="spellStart"/>
      <w:r w:rsidRPr="00057BF4">
        <w:rPr>
          <w:i/>
          <w:iCs/>
        </w:rPr>
        <w:t>jhāna</w:t>
      </w:r>
      <w:r w:rsidRPr="009D0421">
        <w:rPr>
          <w:i/>
          <w:iCs/>
        </w:rPr>
        <w:t>s</w:t>
      </w:r>
      <w:proofErr w:type="spellEnd"/>
      <w:r>
        <w:t xml:space="preserve"> en el cómputo quíntuple. La concentración </w:t>
      </w:r>
      <w:r w:rsidRPr="00924959">
        <w:rPr>
          <w:i/>
          <w:iCs/>
        </w:rPr>
        <w:t>acompañada de dicha</w:t>
      </w:r>
      <w:r>
        <w:t xml:space="preserve"> es la unificación en esos mismos </w:t>
      </w:r>
      <w:proofErr w:type="spellStart"/>
      <w:r w:rsidRPr="00057BF4">
        <w:rPr>
          <w:i/>
          <w:iCs/>
        </w:rPr>
        <w:t>jhāna</w:t>
      </w:r>
      <w:r w:rsidRPr="009D0421">
        <w:rPr>
          <w:i/>
          <w:iCs/>
        </w:rPr>
        <w:t>s</w:t>
      </w:r>
      <w:proofErr w:type="spellEnd"/>
      <w:r>
        <w:t xml:space="preserve"> y en el tercer </w:t>
      </w:r>
      <w:proofErr w:type="gramStart"/>
      <w:r>
        <w:t>y  cuarto</w:t>
      </w:r>
      <w:proofErr w:type="gramEnd"/>
      <w:r>
        <w:t>, en los dos cómputos</w:t>
      </w:r>
      <w:r w:rsidRPr="005C2A00">
        <w:t xml:space="preserve"> </w:t>
      </w:r>
      <w:r>
        <w:t>respectivamente.</w:t>
      </w:r>
      <w:r w:rsidRPr="00651DB6">
        <w:t xml:space="preserve"> </w:t>
      </w:r>
      <w:r>
        <w:t xml:space="preserve">La misma </w:t>
      </w:r>
      <w:r w:rsidRPr="00924959">
        <w:rPr>
          <w:i/>
          <w:iCs/>
        </w:rPr>
        <w:t>acompañad</w:t>
      </w:r>
      <w:r>
        <w:rPr>
          <w:i/>
          <w:iCs/>
        </w:rPr>
        <w:t>a</w:t>
      </w:r>
      <w:r w:rsidRPr="00924959">
        <w:rPr>
          <w:i/>
          <w:iCs/>
        </w:rPr>
        <w:t xml:space="preserve"> de ecuanimidad</w:t>
      </w:r>
      <w:r>
        <w:t xml:space="preserve"> </w:t>
      </w:r>
      <w:r>
        <w:br w:type="page"/>
      </w:r>
    </w:p>
    <w:p w14:paraId="7145FD20" w14:textId="77777777" w:rsidR="003A5C97" w:rsidRDefault="003A5C97" w:rsidP="003A5C97">
      <w:r>
        <w:lastRenderedPageBreak/>
        <w:t xml:space="preserve">es la del </w:t>
      </w:r>
      <w:proofErr w:type="spellStart"/>
      <w:r w:rsidRPr="00057BF4">
        <w:rPr>
          <w:i/>
          <w:iCs/>
        </w:rPr>
        <w:t>jhāna</w:t>
      </w:r>
      <w:proofErr w:type="spellEnd"/>
      <w:r>
        <w:t xml:space="preserve"> restante en ambos cómputos. La concentración de acceso puede ir acompañada de dicha y felicidad o acompañada de ecuanimidad. Por lo tanto, es de tres clases acompañada de felicidad, y así sucesivamente.</w:t>
      </w:r>
    </w:p>
    <w:p w14:paraId="250CAA31" w14:textId="77777777" w:rsidR="003A5C97" w:rsidRDefault="003A5C97" w:rsidP="003A5C97">
      <w:r>
        <w:t xml:space="preserve">13. </w:t>
      </w:r>
      <w:r>
        <w:tab/>
      </w:r>
      <w:r w:rsidRPr="009C2C4D">
        <w:rPr>
          <w:i/>
          <w:iCs/>
        </w:rPr>
        <w:t>9</w:t>
      </w:r>
      <w:r>
        <w:t xml:space="preserve">. En la cuarta tríada, la concentración </w:t>
      </w:r>
      <w:r w:rsidRPr="00241DC0">
        <w:rPr>
          <w:i/>
          <w:iCs/>
        </w:rPr>
        <w:t>limitada</w:t>
      </w:r>
      <w:r>
        <w:t xml:space="preserve"> es la unificación en el plano de acceso. La concentración </w:t>
      </w:r>
      <w:r w:rsidRPr="008657F9">
        <w:rPr>
          <w:i/>
          <w:iCs/>
        </w:rPr>
        <w:t>excelsa</w:t>
      </w:r>
      <w:r>
        <w:t xml:space="preserve"> es la unificación productiva [consciencia, etc.,] de la esfera material sutil y la esfera inmaterial. La concentración </w:t>
      </w:r>
      <w:r>
        <w:rPr>
          <w:i/>
          <w:iCs/>
        </w:rPr>
        <w:t>inconmensurable</w:t>
      </w:r>
      <w:r>
        <w:t xml:space="preserve"> es la unificación asociada con los nobles senderos. Por lo tanto, al respecto será de tres tipos: </w:t>
      </w:r>
      <w:r w:rsidRPr="007928C8">
        <w:rPr>
          <w:i/>
          <w:iCs/>
        </w:rPr>
        <w:t>limitad</w:t>
      </w:r>
      <w:r>
        <w:rPr>
          <w:i/>
          <w:iCs/>
        </w:rPr>
        <w:t>a</w:t>
      </w:r>
      <w:r>
        <w:t xml:space="preserve">, </w:t>
      </w:r>
      <w:r w:rsidRPr="007928C8">
        <w:rPr>
          <w:i/>
          <w:iCs/>
        </w:rPr>
        <w:t>excels</w:t>
      </w:r>
      <w:r>
        <w:rPr>
          <w:i/>
          <w:iCs/>
        </w:rPr>
        <w:t>a</w:t>
      </w:r>
      <w:r>
        <w:t xml:space="preserve"> e </w:t>
      </w:r>
      <w:r w:rsidRPr="007928C8">
        <w:rPr>
          <w:i/>
          <w:iCs/>
        </w:rPr>
        <w:t>inconmensurable</w:t>
      </w:r>
      <w:r>
        <w:t>.</w:t>
      </w:r>
    </w:p>
    <w:p w14:paraId="71E9CD20" w14:textId="77777777" w:rsidR="003A5C97" w:rsidRDefault="003A5C97" w:rsidP="003A5C97">
      <w:r>
        <w:t xml:space="preserve">14. </w:t>
      </w:r>
      <w:r>
        <w:tab/>
      </w:r>
      <w:r w:rsidRPr="009C2C4D">
        <w:rPr>
          <w:i/>
          <w:iCs/>
        </w:rPr>
        <w:t>10</w:t>
      </w:r>
      <w:r>
        <w:t xml:space="preserve">. En la primera de las tétradas existe la concentración </w:t>
      </w:r>
      <w:r w:rsidRPr="00986199">
        <w:rPr>
          <w:i/>
          <w:iCs/>
        </w:rPr>
        <w:t>de progreso difícil y conocimiento directo lento</w:t>
      </w:r>
      <w:r>
        <w:t xml:space="preserve">. Está el del </w:t>
      </w:r>
      <w:r w:rsidRPr="00801435">
        <w:rPr>
          <w:i/>
          <w:iCs/>
        </w:rPr>
        <w:t>progreso</w:t>
      </w:r>
      <w:r>
        <w:t xml:space="preserve"> </w:t>
      </w:r>
      <w:r w:rsidRPr="00801435">
        <w:rPr>
          <w:i/>
          <w:iCs/>
        </w:rPr>
        <w:t xml:space="preserve">difícil </w:t>
      </w:r>
      <w:r>
        <w:t xml:space="preserve">y el </w:t>
      </w:r>
      <w:r w:rsidRPr="00801435">
        <w:rPr>
          <w:i/>
          <w:iCs/>
        </w:rPr>
        <w:t>conocimiento directo</w:t>
      </w:r>
      <w:r w:rsidRPr="00156F08">
        <w:rPr>
          <w:i/>
          <w:iCs/>
        </w:rPr>
        <w:t xml:space="preserve"> </w:t>
      </w:r>
      <w:r w:rsidRPr="00801435">
        <w:rPr>
          <w:i/>
          <w:iCs/>
        </w:rPr>
        <w:t>rápido</w:t>
      </w:r>
      <w:r>
        <w:t xml:space="preserve">. Está la del </w:t>
      </w:r>
      <w:r w:rsidRPr="00801435">
        <w:rPr>
          <w:i/>
          <w:iCs/>
        </w:rPr>
        <w:t>progreso fácil</w:t>
      </w:r>
      <w:r>
        <w:t xml:space="preserve"> y </w:t>
      </w:r>
      <w:r w:rsidRPr="00801435">
        <w:rPr>
          <w:i/>
          <w:iCs/>
        </w:rPr>
        <w:t>conocimiento directo lento.</w:t>
      </w:r>
      <w:r>
        <w:t xml:space="preserve"> Y está la del </w:t>
      </w:r>
      <w:r w:rsidRPr="00801435">
        <w:rPr>
          <w:i/>
          <w:iCs/>
        </w:rPr>
        <w:t>progreso fácil</w:t>
      </w:r>
      <w:r>
        <w:t xml:space="preserve"> y el </w:t>
      </w:r>
      <w:r w:rsidRPr="00801435">
        <w:rPr>
          <w:i/>
          <w:iCs/>
        </w:rPr>
        <w:t>conocimiento directo rápido</w:t>
      </w:r>
      <w:r>
        <w:t>.</w:t>
      </w:r>
    </w:p>
    <w:p w14:paraId="316F2EBA" w14:textId="0D6DD671" w:rsidR="003A5C97" w:rsidRDefault="003A5C97" w:rsidP="003A5C97">
      <w:r>
        <w:t xml:space="preserve">15. </w:t>
      </w:r>
      <w:r>
        <w:tab/>
        <w:t xml:space="preserve">Aquí, el desarrollo de la concentración que ocurra desde el momento de la primera reacción consciente hasta el surgimiento de la concentración de acceso a un </w:t>
      </w:r>
      <w:proofErr w:type="spellStart"/>
      <w:r w:rsidRPr="00057BF4">
        <w:rPr>
          <w:i/>
          <w:iCs/>
        </w:rPr>
        <w:t>jhāna</w:t>
      </w:r>
      <w:proofErr w:type="spellEnd"/>
      <w:r>
        <w:t xml:space="preserve"> determinado se le llamará </w:t>
      </w:r>
      <w:r w:rsidRPr="00986199">
        <w:rPr>
          <w:i/>
          <w:iCs/>
        </w:rPr>
        <w:t>progreso</w:t>
      </w:r>
      <w:r>
        <w:t xml:space="preserve">. Y </w:t>
      </w:r>
      <w:r w:rsidR="00383429">
        <w:t>a</w:t>
      </w:r>
      <w:r w:rsidR="00EF772D">
        <w:t xml:space="preserve">l entendimiento </w:t>
      </w:r>
      <w:r>
        <w:t xml:space="preserve">que se produzca desde el momento del acceso hasta la absorción se le denominará </w:t>
      </w:r>
      <w:r w:rsidRPr="00986199">
        <w:rPr>
          <w:i/>
          <w:iCs/>
        </w:rPr>
        <w:t>conocimiento directo</w:t>
      </w:r>
      <w:r>
        <w:t xml:space="preserve">. Ese </w:t>
      </w:r>
      <w:r w:rsidRPr="00CC13AD">
        <w:rPr>
          <w:i/>
          <w:iCs/>
        </w:rPr>
        <w:t>progreso</w:t>
      </w:r>
      <w:r>
        <w:t xml:space="preserve"> será difícil para algunos, siendo problemático debido a la tenaz resistencia de los estados enemigos comenzando por los obstáculos. El significado es que se cultivará sin facilidad. [87] Será fácil para los demás debido a la ausencia de esas dificultades. También el conocimiento directo será lento en algunos así que ocurrirá lentamente, no rápidamente. En otros, será rápido y ocurrirá rápidamente, no lentamente.</w:t>
      </w:r>
    </w:p>
    <w:p w14:paraId="116050D7" w14:textId="77777777" w:rsidR="003A5C97" w:rsidRDefault="003A5C97" w:rsidP="003A5C97">
      <w:r>
        <w:t xml:space="preserve">16. </w:t>
      </w:r>
      <w:r>
        <w:tab/>
        <w:t>A continuación, comentaremos lo conveniente e inconveniente (IV.35ss.), las tareas preparatorias consistentes de la eliminación de los impedimentos (IV.20), etc., y la destreza en la absorción (IV.42). Cuando un hombre cultive lo inconveniente, su progreso será difícil y su conocimiento directo lento. Cuando cultive lo conveniente, su progreso será fácil y su conocimiento directo rápido. Pero si cultiva lo inconveniente en la etapa anterior y lo conveniente en la etapa posterior, o si cultiva lo conveniente en la etapa anterior y lo inconveniente en la etapa posterior, entonces deberá entenderse como un caso mixto. Asimismo, si se dedicara a desarrollarse sin llevar a cabo las tareas preparatorias de eliminar los impedimentos, etc., su progreso será difícil. Será fácil en caso contrario.  si él no fuese hábil en la absorción, su conocimiento directo será lento. Será rápido en caso de que sea así de desarrollado.</w:t>
      </w:r>
    </w:p>
    <w:p w14:paraId="370A1595" w14:textId="5BA6CC9B" w:rsidR="003A5C97" w:rsidRDefault="003A5C97" w:rsidP="003A5C97">
      <w:r>
        <w:t xml:space="preserve">17. </w:t>
      </w:r>
      <w:r>
        <w:tab/>
        <w:t xml:space="preserve">Además, debe entenderse la clasificación de la concentración según el deseo y la ignorancia, y según se haya practicado la serenidad y la </w:t>
      </w:r>
      <w:r w:rsidR="007E38DC" w:rsidRPr="00527EA6">
        <w:t>sabid</w:t>
      </w:r>
      <w:r w:rsidR="007E38DC">
        <w:t>uría–revelativa</w:t>
      </w:r>
      <w:r>
        <w:t>.</w:t>
      </w:r>
      <w:r>
        <w:rPr>
          <w:vertAlign w:val="superscript"/>
        </w:rPr>
        <w:t>7</w:t>
      </w:r>
      <w:r>
        <w:t xml:space="preserve"> Ya que si un hombre está abrumado por el deseo, su progreso será difícil. Si no, será fácil. Y si está abrumado por la ignorancia, su conocimiento directo será lento. Si no, rápido. Y si no ha desarrollado la práctica de la serenidad, su progreso será difícil. Si lo ha desarrollado, será fácil. Y si no ha desarrollado </w:t>
      </w:r>
      <w:r w:rsidR="00D07F2C" w:rsidRPr="00527EA6">
        <w:t>sabid</w:t>
      </w:r>
      <w:r w:rsidR="00D07F2C">
        <w:t>uría–revelativa</w:t>
      </w:r>
      <w:r>
        <w:t xml:space="preserve">, su conocimiento directo será lento. Si lo ha desarrollado, </w:t>
      </w:r>
      <w:r w:rsidR="000A7596">
        <w:t xml:space="preserve">será </w:t>
      </w:r>
      <w:r>
        <w:t>rápid</w:t>
      </w:r>
      <w:r w:rsidR="000A7596">
        <w:t>o</w:t>
      </w:r>
      <w:r>
        <w:t>.</w:t>
      </w:r>
    </w:p>
    <w:p w14:paraId="18EAC7ED" w14:textId="77777777" w:rsidR="003A5C97" w:rsidRDefault="003A5C97" w:rsidP="003A5C97">
      <w:r>
        <w:t xml:space="preserve">18. </w:t>
      </w:r>
      <w:r>
        <w:tab/>
        <w:t xml:space="preserve">También debe considerarse una clasificación de la concentración según sus impurezas y facultades. Ya que si las impurezas de un hombre son agudas y sus facultades torpes, </w:t>
      </w:r>
    </w:p>
    <w:p w14:paraId="02049DED" w14:textId="77777777" w:rsidR="003A5C97" w:rsidRPr="009A1848" w:rsidRDefault="003A5C97" w:rsidP="003A5C97">
      <w:pPr>
        <w:pStyle w:val="PiedepginaLegal"/>
        <w:rPr>
          <w:u w:val="single"/>
        </w:rPr>
      </w:pPr>
      <w:r w:rsidRPr="009A1848">
        <w:rPr>
          <w:u w:val="single"/>
        </w:rPr>
        <w:t xml:space="preserve">                                                                                                                                                  .</w:t>
      </w:r>
    </w:p>
    <w:p w14:paraId="062B43E0" w14:textId="6C859619" w:rsidR="003A5C97" w:rsidRDefault="003A5C97" w:rsidP="003A5C97">
      <w:pPr>
        <w:pStyle w:val="PiedepginaLegal"/>
      </w:pPr>
      <w:r>
        <w:t xml:space="preserve">7. </w:t>
      </w:r>
      <w:r>
        <w:tab/>
      </w:r>
      <w:proofErr w:type="spellStart"/>
      <w:r w:rsidRPr="00986199">
        <w:rPr>
          <w:i/>
          <w:iCs/>
        </w:rPr>
        <w:t>Samatha</w:t>
      </w:r>
      <w:proofErr w:type="spellEnd"/>
      <w:r>
        <w:t>—“serenidad” es sinónimo de concentración e</w:t>
      </w:r>
      <w:r w:rsidR="00122BB3">
        <w:t>n</w:t>
      </w:r>
      <w:r>
        <w:t xml:space="preserve"> absorción, y </w:t>
      </w:r>
      <w:r w:rsidR="00F81342">
        <w:t xml:space="preserve">la </w:t>
      </w:r>
      <w:r>
        <w:t>“</w:t>
      </w:r>
      <w:r w:rsidR="00F81342" w:rsidRPr="00527EA6">
        <w:t>sabid</w:t>
      </w:r>
      <w:r w:rsidR="00F81342">
        <w:t>uría–revelativa</w:t>
      </w:r>
      <w:r>
        <w:t>” (</w:t>
      </w:r>
      <w:proofErr w:type="spellStart"/>
      <w:r w:rsidRPr="00986199">
        <w:rPr>
          <w:i/>
          <w:iCs/>
        </w:rPr>
        <w:t>vipassanā</w:t>
      </w:r>
      <w:proofErr w:type="spellEnd"/>
      <w:r>
        <w:t xml:space="preserve">) es sinónimo de </w:t>
      </w:r>
      <w:r w:rsidR="00F81342">
        <w:t>entendimiento</w:t>
      </w:r>
      <w:r>
        <w:t xml:space="preserve">. </w:t>
      </w:r>
      <w:proofErr w:type="spellStart"/>
      <w:r w:rsidRPr="00986199">
        <w:rPr>
          <w:i/>
          <w:iCs/>
        </w:rPr>
        <w:t>Samatha</w:t>
      </w:r>
      <w:proofErr w:type="spellEnd"/>
      <w:r>
        <w:t xml:space="preserve"> a veces se traduce </w:t>
      </w:r>
      <w:r w:rsidR="00F81342">
        <w:t xml:space="preserve">como </w:t>
      </w:r>
      <w:r>
        <w:t xml:space="preserve">"tranquilidad" (reservado aquí para </w:t>
      </w:r>
      <w:proofErr w:type="spellStart"/>
      <w:r w:rsidRPr="00986199">
        <w:rPr>
          <w:i/>
          <w:iCs/>
        </w:rPr>
        <w:t>passaddhi</w:t>
      </w:r>
      <w:proofErr w:type="spellEnd"/>
      <w:r>
        <w:t>) o "calma" o "quietud".</w:t>
      </w:r>
      <w:r>
        <w:br w:type="page"/>
      </w:r>
    </w:p>
    <w:p w14:paraId="44D79363" w14:textId="77777777" w:rsidR="003A5C97" w:rsidRDefault="003A5C97" w:rsidP="003A5C97">
      <w:pPr>
        <w:tabs>
          <w:tab w:val="clear" w:pos="425"/>
        </w:tabs>
        <w:spacing w:after="160"/>
      </w:pPr>
      <w:r>
        <w:lastRenderedPageBreak/>
        <w:t>entonces su progreso será difícil y su</w:t>
      </w:r>
      <w:r w:rsidRPr="007E45A0">
        <w:t xml:space="preserve"> </w:t>
      </w:r>
      <w:r>
        <w:t>conocimiento directo lento; pero si sus facultades son agudas, su conocimiento directo será rápido. Y si sus impurezas son exiguas y sus facultades embotadas, entonces su progreso será fácil y su conocimiento directo lento; pero si sus facultades son agudas, su conocimiento directo será rápido.</w:t>
      </w:r>
    </w:p>
    <w:p w14:paraId="1D3E117A" w14:textId="77777777" w:rsidR="003A5C97" w:rsidRDefault="003A5C97" w:rsidP="003A5C97">
      <w:r>
        <w:t xml:space="preserve">19. </w:t>
      </w:r>
      <w:r>
        <w:tab/>
        <w:t xml:space="preserve">Entonces, en lo que respecta a este progreso y este conocimiento directo, cuando una persona alcance la concentración con un progreso difícil y un conocimiento directo lento, a su concentración se le llamará </w:t>
      </w:r>
      <w:r w:rsidRPr="00BA5655">
        <w:rPr>
          <w:i/>
          <w:iCs/>
        </w:rPr>
        <w:t>concentración de progreso difícil y conocimiento directo lento</w:t>
      </w:r>
      <w:r>
        <w:t>; igualmente en los tres casos restantes.</w:t>
      </w:r>
    </w:p>
    <w:p w14:paraId="71313BAD" w14:textId="77777777" w:rsidR="003A5C97" w:rsidRDefault="003A5C97" w:rsidP="003A5C97">
      <w:pPr>
        <w:pStyle w:val="NormalConSangria"/>
      </w:pPr>
      <w:r>
        <w:t>Por lo tanto, será de cuatro tipos: de progreso difícil y de conocimiento directo lento, y así sucesivamente.</w:t>
      </w:r>
    </w:p>
    <w:p w14:paraId="08CB4B32" w14:textId="79725454" w:rsidR="003A5C97" w:rsidRDefault="003A5C97" w:rsidP="003A5C97">
      <w:r>
        <w:t xml:space="preserve">20. </w:t>
      </w:r>
      <w:r>
        <w:tab/>
      </w:r>
      <w:r w:rsidRPr="005A1ECE">
        <w:rPr>
          <w:i/>
          <w:iCs/>
        </w:rPr>
        <w:t>11</w:t>
      </w:r>
      <w:r>
        <w:t xml:space="preserve">. En la segunda tétrada se encuentra la concentración limitada con un objeto limitado, la concentración limitada con un objeto </w:t>
      </w:r>
      <w:r w:rsidR="001A7515">
        <w:t>inconmensurable</w:t>
      </w:r>
      <w:r>
        <w:t xml:space="preserve">, la concentración ilimitada con un objeto limitado y la concentración ilimitada con un objeto limitado. Aquí, la concentración que no sea familiar e incapaz de ser una condición para un </w:t>
      </w:r>
      <w:proofErr w:type="spellStart"/>
      <w:r w:rsidRPr="00057BF4">
        <w:rPr>
          <w:i/>
          <w:iCs/>
        </w:rPr>
        <w:t>jhāna</w:t>
      </w:r>
      <w:proofErr w:type="spellEnd"/>
      <w:r>
        <w:t xml:space="preserve"> superior [88] será limitada. Cuando ocurra con un objeto </w:t>
      </w:r>
      <w:proofErr w:type="spellStart"/>
      <w:r>
        <w:t>inextendible</w:t>
      </w:r>
      <w:proofErr w:type="spellEnd"/>
      <w:r>
        <w:t xml:space="preserve"> (IV.126), se tratará</w:t>
      </w:r>
      <w:r w:rsidRPr="00BA5655">
        <w:rPr>
          <w:i/>
          <w:iCs/>
        </w:rPr>
        <w:t xml:space="preserve"> </w:t>
      </w:r>
      <w:r>
        <w:rPr>
          <w:i/>
          <w:iCs/>
        </w:rPr>
        <w:t>de</w:t>
      </w:r>
      <w:r w:rsidRPr="00BA5655">
        <w:rPr>
          <w:i/>
          <w:iCs/>
        </w:rPr>
        <w:t xml:space="preserve"> un objeto limitado</w:t>
      </w:r>
      <w:r>
        <w:t xml:space="preserve">. Cuando sea familiar, bien desarrollada y sea capaz de ser una condición para un </w:t>
      </w:r>
      <w:proofErr w:type="spellStart"/>
      <w:r w:rsidRPr="00057BF4">
        <w:rPr>
          <w:i/>
          <w:iCs/>
        </w:rPr>
        <w:t>jhāna</w:t>
      </w:r>
      <w:proofErr w:type="spellEnd"/>
      <w:r>
        <w:t xml:space="preserve"> superior, será ilimitada. Y cuando ocurra con un objeto </w:t>
      </w:r>
      <w:proofErr w:type="spellStart"/>
      <w:r>
        <w:t>extendible</w:t>
      </w:r>
      <w:proofErr w:type="spellEnd"/>
      <w:r>
        <w:t xml:space="preserve">, será </w:t>
      </w:r>
      <w:r w:rsidRPr="003724B5">
        <w:rPr>
          <w:i/>
          <w:iCs/>
        </w:rPr>
        <w:t>con un</w:t>
      </w:r>
      <w:r>
        <w:t xml:space="preserve"> </w:t>
      </w:r>
      <w:r w:rsidRPr="003724B5">
        <w:rPr>
          <w:i/>
          <w:iCs/>
        </w:rPr>
        <w:t>objeto</w:t>
      </w:r>
      <w:r>
        <w:t xml:space="preserve"> </w:t>
      </w:r>
      <w:r w:rsidRPr="00C0303F">
        <w:rPr>
          <w:i/>
          <w:iCs/>
        </w:rPr>
        <w:t>ilimitado</w:t>
      </w:r>
      <w:r>
        <w:t>. El método mixto puede entenderse como la mezcla de las características ya enunciadas. Por lo tanto, será de cuatro tipos: como limitado con objeto limitado, y así sucesivamente.</w:t>
      </w:r>
    </w:p>
    <w:p w14:paraId="7A106DA4" w14:textId="05C47327" w:rsidR="003A5C97" w:rsidRDefault="003A5C97" w:rsidP="003A5C97">
      <w:r>
        <w:t xml:space="preserve">21. </w:t>
      </w:r>
      <w:r>
        <w:tab/>
      </w:r>
      <w:r w:rsidRPr="009C2C4D">
        <w:rPr>
          <w:i/>
          <w:iCs/>
        </w:rPr>
        <w:t>12</w:t>
      </w:r>
      <w:r>
        <w:t xml:space="preserve">. En la tercera tétrada, el primer </w:t>
      </w:r>
      <w:proofErr w:type="spellStart"/>
      <w:r w:rsidRPr="00057BF4">
        <w:rPr>
          <w:i/>
          <w:iCs/>
        </w:rPr>
        <w:t>jhāna</w:t>
      </w:r>
      <w:proofErr w:type="spellEnd"/>
      <w:r>
        <w:t xml:space="preserve"> </w:t>
      </w:r>
      <w:proofErr w:type="gramStart"/>
      <w:r>
        <w:t>consistirá de</w:t>
      </w:r>
      <w:proofErr w:type="gramEnd"/>
      <w:r>
        <w:t xml:space="preserve"> cinco factores, es decir, de</w:t>
      </w:r>
      <w:r w:rsidR="00BE099A">
        <w:t xml:space="preserve"> la aplicación mental</w:t>
      </w:r>
      <w:r>
        <w:t xml:space="preserve">, </w:t>
      </w:r>
      <w:r w:rsidR="00BE099A">
        <w:t>sustentación mental</w:t>
      </w:r>
      <w:r>
        <w:t xml:space="preserve">, felicidad, dicha y concentración, después de la supresión de los obstáculos. El segundo </w:t>
      </w:r>
      <w:proofErr w:type="spellStart"/>
      <w:r>
        <w:rPr>
          <w:i/>
          <w:iCs/>
        </w:rPr>
        <w:t>jhāna</w:t>
      </w:r>
      <w:proofErr w:type="spellEnd"/>
      <w:r>
        <w:rPr>
          <w:i/>
          <w:iCs/>
        </w:rPr>
        <w:t xml:space="preserve"> </w:t>
      </w:r>
      <w:r>
        <w:t xml:space="preserve">poseerá los tres factores restantes después de la eliminación </w:t>
      </w:r>
      <w:proofErr w:type="spellStart"/>
      <w:r>
        <w:t>d</w:t>
      </w:r>
      <w:r w:rsidR="00C71F10">
        <w:t>la</w:t>
      </w:r>
      <w:proofErr w:type="spellEnd"/>
      <w:r w:rsidR="00C71F10">
        <w:t xml:space="preserve"> aplicación mental</w:t>
      </w:r>
      <w:r>
        <w:t xml:space="preserve"> y sostenido. El tercero tendrá dos factores con el desvanecimiento de la felicidad. El cuarto, donde se abandonará la dicha, tendrá dos factores con la concentración y la sensación ecuánime que la acompañe. Así, habrá cuatro tipos de concentración según los factores de estos cuatro </w:t>
      </w:r>
      <w:proofErr w:type="spellStart"/>
      <w:r w:rsidRPr="00057BF4">
        <w:rPr>
          <w:i/>
          <w:iCs/>
        </w:rPr>
        <w:t>jhāna</w:t>
      </w:r>
      <w:r>
        <w:rPr>
          <w:i/>
          <w:iCs/>
        </w:rPr>
        <w:t>s</w:t>
      </w:r>
      <w:proofErr w:type="spellEnd"/>
      <w:r>
        <w:t xml:space="preserve">. De modo que será de cuatro tipos según la consideración de los factores en los cuatro </w:t>
      </w:r>
      <w:proofErr w:type="spellStart"/>
      <w:r w:rsidRPr="00057BF4">
        <w:rPr>
          <w:i/>
          <w:iCs/>
        </w:rPr>
        <w:t>jhāna</w:t>
      </w:r>
      <w:r>
        <w:rPr>
          <w:i/>
          <w:iCs/>
        </w:rPr>
        <w:t>s</w:t>
      </w:r>
      <w:proofErr w:type="spellEnd"/>
      <w:r>
        <w:t>.</w:t>
      </w:r>
    </w:p>
    <w:p w14:paraId="634B1A6C" w14:textId="0F728C90" w:rsidR="003A5C97" w:rsidRDefault="003A5C97" w:rsidP="003A5C97">
      <w:r>
        <w:t xml:space="preserve">22. </w:t>
      </w:r>
      <w:r>
        <w:tab/>
      </w:r>
      <w:r w:rsidRPr="009C2C4D">
        <w:rPr>
          <w:i/>
          <w:iCs/>
        </w:rPr>
        <w:t>13</w:t>
      </w:r>
      <w:r>
        <w:t xml:space="preserve">. En la cuarta tétrada se distingue a la concentración como aquella partícipe de la disminución, partícipe del estancamiento, a la concentración partícipe de la distinción y a la concentración partícipe de la penetración. Aquí, debe entenderse que el estado de </w:t>
      </w:r>
      <w:r w:rsidRPr="00C66140">
        <w:rPr>
          <w:i/>
          <w:iCs/>
        </w:rPr>
        <w:t>participación de la disminución</w:t>
      </w:r>
      <w:r>
        <w:t xml:space="preserve"> es la accesibilidad a la oposición, el estado de </w:t>
      </w:r>
      <w:r w:rsidRPr="00BA5655">
        <w:rPr>
          <w:i/>
          <w:iCs/>
        </w:rPr>
        <w:t>participación del estancamiento</w:t>
      </w:r>
      <w:r>
        <w:t xml:space="preserve"> (</w:t>
      </w:r>
      <w:proofErr w:type="spellStart"/>
      <w:r w:rsidRPr="00BA5655">
        <w:rPr>
          <w:i/>
          <w:iCs/>
        </w:rPr>
        <w:t>ṭhiti</w:t>
      </w:r>
      <w:proofErr w:type="spellEnd"/>
      <w:r>
        <w:t>) es la estacionariedad (</w:t>
      </w:r>
      <w:proofErr w:type="spellStart"/>
      <w:r w:rsidRPr="00BA5655">
        <w:rPr>
          <w:i/>
          <w:iCs/>
        </w:rPr>
        <w:t>saṇṭhāna</w:t>
      </w:r>
      <w:proofErr w:type="spellEnd"/>
      <w:r>
        <w:t xml:space="preserve">) de la atención plena que está en conformidad con esa [concentración], el estado de </w:t>
      </w:r>
      <w:r w:rsidRPr="00A21F9E">
        <w:rPr>
          <w:i/>
          <w:iCs/>
        </w:rPr>
        <w:t>participación de la distinción</w:t>
      </w:r>
      <w:r>
        <w:t xml:space="preserve"> es el logro de una distinción superior, y el estado </w:t>
      </w:r>
      <w:r w:rsidRPr="00A21F9E">
        <w:rPr>
          <w:i/>
          <w:iCs/>
        </w:rPr>
        <w:t>de participa</w:t>
      </w:r>
      <w:r>
        <w:rPr>
          <w:i/>
          <w:iCs/>
        </w:rPr>
        <w:t>ción</w:t>
      </w:r>
      <w:r w:rsidRPr="00A21F9E">
        <w:rPr>
          <w:i/>
          <w:iCs/>
        </w:rPr>
        <w:t xml:space="preserve"> de la penetración</w:t>
      </w:r>
      <w:r>
        <w:t xml:space="preserve"> es la accesibilidad a la percepción y la atención acompañadas de desapasionamiento, según el pasaje: “Cuando un hombre ha alcanzado el primer </w:t>
      </w:r>
      <w:proofErr w:type="spellStart"/>
      <w:r w:rsidRPr="00057BF4">
        <w:rPr>
          <w:i/>
          <w:iCs/>
        </w:rPr>
        <w:t>jhāna</w:t>
      </w:r>
      <w:proofErr w:type="spellEnd"/>
      <w:r>
        <w:t xml:space="preserve"> y tiene acceso a la percepción y la atención acompañadas del deseo de los sentidos, entonces su entendimiento participa de la </w:t>
      </w:r>
      <w:r w:rsidRPr="001804C0">
        <w:rPr>
          <w:i/>
          <w:iCs/>
        </w:rPr>
        <w:t>disminución</w:t>
      </w:r>
      <w:r>
        <w:t xml:space="preserve">. Cuando su atención consciente que está en conformidad con ello se estanca, entonces su comprensión participa del </w:t>
      </w:r>
      <w:r w:rsidRPr="001804C0">
        <w:rPr>
          <w:i/>
          <w:iCs/>
        </w:rPr>
        <w:t>estancamiento</w:t>
      </w:r>
      <w:r>
        <w:t xml:space="preserve">. Cuando la concentración es accesible a la percepción y la atención sin el acompañamiento </w:t>
      </w:r>
      <w:proofErr w:type="spellStart"/>
      <w:r>
        <w:t>d</w:t>
      </w:r>
      <w:r w:rsidR="00C71F10">
        <w:t>la</w:t>
      </w:r>
      <w:proofErr w:type="spellEnd"/>
      <w:r w:rsidR="00C71F10">
        <w:t xml:space="preserve"> aplicación mental</w:t>
      </w:r>
      <w:r>
        <w:t xml:space="preserve">, entonces su comprensión participa de la </w:t>
      </w:r>
      <w:r w:rsidRPr="001804C0">
        <w:rPr>
          <w:i/>
          <w:iCs/>
        </w:rPr>
        <w:t>distinción</w:t>
      </w:r>
      <w:r>
        <w:t xml:space="preserve">. Cuando es accesible a la percepción y la atención acompañada por el desapasionamiento y dirigido hacia desvanecimiento, entonces su entendimiento participa de la </w:t>
      </w:r>
      <w:r w:rsidRPr="001804C0">
        <w:rPr>
          <w:i/>
          <w:iCs/>
        </w:rPr>
        <w:t>penetración</w:t>
      </w:r>
      <w:r>
        <w:t>” (</w:t>
      </w:r>
      <w:proofErr w:type="spellStart"/>
      <w:r>
        <w:t>Vibh</w:t>
      </w:r>
      <w:proofErr w:type="spellEnd"/>
      <w:r>
        <w:t xml:space="preserve"> 330). </w:t>
      </w:r>
    </w:p>
    <w:p w14:paraId="53418629" w14:textId="77777777" w:rsidR="003A5C97" w:rsidRDefault="003A5C97" w:rsidP="003A5C97">
      <w:pPr>
        <w:tabs>
          <w:tab w:val="clear" w:pos="425"/>
        </w:tabs>
        <w:spacing w:after="160"/>
      </w:pPr>
      <w:r>
        <w:br w:type="page"/>
      </w:r>
    </w:p>
    <w:p w14:paraId="13C4C670" w14:textId="77777777" w:rsidR="003A5C97" w:rsidRDefault="003A5C97" w:rsidP="003A5C97">
      <w:r>
        <w:lastRenderedPageBreak/>
        <w:t>Los tipos de concentración asociados con esa comprensión [cuádruple] son ​​también cuatro en número. Así es cómo la concentración puede ser de cuatro tipos en cuanto a participar de la disminución, …etc.</w:t>
      </w:r>
    </w:p>
    <w:p w14:paraId="7EFD6D9B" w14:textId="6256784B" w:rsidR="003A5C97" w:rsidRDefault="003A5C97" w:rsidP="003A5C97">
      <w:r>
        <w:t xml:space="preserve">23. </w:t>
      </w:r>
      <w:r>
        <w:tab/>
      </w:r>
      <w:r w:rsidRPr="006E5DCE">
        <w:rPr>
          <w:i/>
          <w:iCs/>
        </w:rPr>
        <w:t>14</w:t>
      </w:r>
      <w:r>
        <w:t xml:space="preserve">. En la quinta tétrada existen los siguientes cuatro tipos de concentración, es decir, concentración en la esfera </w:t>
      </w:r>
      <w:r w:rsidR="0019333F" w:rsidRPr="0019333F">
        <w:t>sensorial</w:t>
      </w:r>
      <w:r>
        <w:t>, concentración en la esfera de la materia sutil, concentración en la esfera inmaterial y concentración no</w:t>
      </w:r>
      <w:r w:rsidR="00D31B29">
        <w:rPr>
          <w:rFonts w:cs="Cormorant"/>
        </w:rPr>
        <w:t>‒</w:t>
      </w:r>
      <w:r>
        <w:t xml:space="preserve">incluida [es decir, en el sendero]. Aquí, la </w:t>
      </w:r>
      <w:r w:rsidRPr="0079745E">
        <w:rPr>
          <w:i/>
          <w:iCs/>
        </w:rPr>
        <w:t>concentración e</w:t>
      </w:r>
      <w:r>
        <w:rPr>
          <w:i/>
          <w:iCs/>
        </w:rPr>
        <w:t>n</w:t>
      </w:r>
      <w:r w:rsidRPr="0079745E">
        <w:rPr>
          <w:i/>
          <w:iCs/>
        </w:rPr>
        <w:t xml:space="preserve"> la esfera de los sentidos</w:t>
      </w:r>
      <w:r>
        <w:t xml:space="preserve"> es todo tipo de unificación de acceso. Del mismo modo, los otros tres son, respectivamente, la unificación productiva de la mente asociada con la materia sutil, [inmaterial, y del sendero, </w:t>
      </w:r>
      <w:proofErr w:type="spellStart"/>
      <w:r w:rsidRPr="00057BF4">
        <w:rPr>
          <w:i/>
          <w:iCs/>
        </w:rPr>
        <w:t>jhāna</w:t>
      </w:r>
      <w:proofErr w:type="spellEnd"/>
      <w:r>
        <w:t>]. De modo que es de cuatro tipos a partir de la esfera de los sentidos… etc.</w:t>
      </w:r>
    </w:p>
    <w:p w14:paraId="5B62D8FB" w14:textId="300BD3BF" w:rsidR="003A5C97" w:rsidRDefault="003A5C97" w:rsidP="003A5C97">
      <w:r>
        <w:t xml:space="preserve">24. </w:t>
      </w:r>
      <w:r>
        <w:tab/>
      </w:r>
      <w:r w:rsidRPr="009C2C4D">
        <w:rPr>
          <w:i/>
          <w:iCs/>
        </w:rPr>
        <w:t>15</w:t>
      </w:r>
      <w:r>
        <w:t xml:space="preserve">. En la sexta tétrada: “Si un </w:t>
      </w:r>
      <w:proofErr w:type="spellStart"/>
      <w:r w:rsidRPr="00057BF4">
        <w:rPr>
          <w:i/>
          <w:iCs/>
        </w:rPr>
        <w:t>bhikkhu</w:t>
      </w:r>
      <w:proofErr w:type="spellEnd"/>
      <w:r>
        <w:t xml:space="preserve"> obtiene concentración, obtendrá la unificación mental, haciendo que el celo (deseo) sea predominante, [89] a esto se le denominará concentración debido al celo. Si... haciendo que la energía sea predominante... Si... haciendo que la [pureza natural de] la consciencia sea predominante... Si... haciendo que la </w:t>
      </w:r>
      <w:r w:rsidR="00D91867">
        <w:t>investiga</w:t>
      </w:r>
      <w:r>
        <w:t xml:space="preserve">ción sea predominante, a esto se le llama concentración debido a la </w:t>
      </w:r>
      <w:r w:rsidR="00D91867">
        <w:t>investiga</w:t>
      </w:r>
      <w:r>
        <w:t>ción” (</w:t>
      </w:r>
      <w:proofErr w:type="spellStart"/>
      <w:r>
        <w:t>Vibh</w:t>
      </w:r>
      <w:proofErr w:type="spellEnd"/>
      <w:r>
        <w:t xml:space="preserve"> 216-19). Así es cómo la concentración puede ser de cuatro tipos como predominante.</w:t>
      </w:r>
    </w:p>
    <w:p w14:paraId="7A2AF0D1" w14:textId="13CFEF36" w:rsidR="003A5C97" w:rsidRDefault="003A5C97" w:rsidP="003A5C97">
      <w:r>
        <w:t xml:space="preserve">25. </w:t>
      </w:r>
      <w:r>
        <w:tab/>
      </w:r>
      <w:r w:rsidRPr="009C2C4D">
        <w:rPr>
          <w:i/>
          <w:iCs/>
        </w:rPr>
        <w:t>16</w:t>
      </w:r>
      <w:r>
        <w:t xml:space="preserve">. En la </w:t>
      </w:r>
      <w:proofErr w:type="spellStart"/>
      <w:r>
        <w:t>pentada</w:t>
      </w:r>
      <w:proofErr w:type="spellEnd"/>
      <w:r>
        <w:t xml:space="preserve"> hay cinco </w:t>
      </w:r>
      <w:proofErr w:type="spellStart"/>
      <w:r w:rsidRPr="00057BF4">
        <w:rPr>
          <w:i/>
          <w:iCs/>
        </w:rPr>
        <w:t>jhāna</w:t>
      </w:r>
      <w:r w:rsidRPr="0079745E">
        <w:rPr>
          <w:i/>
          <w:iCs/>
        </w:rPr>
        <w:t>s</w:t>
      </w:r>
      <w:proofErr w:type="spellEnd"/>
      <w:r>
        <w:t xml:space="preserve"> dividiendo en dos lo que se llama el segundo </w:t>
      </w:r>
      <w:proofErr w:type="spellStart"/>
      <w:r w:rsidRPr="00057BF4">
        <w:rPr>
          <w:i/>
          <w:iCs/>
        </w:rPr>
        <w:t>jhāna</w:t>
      </w:r>
      <w:proofErr w:type="spellEnd"/>
      <w:r>
        <w:t xml:space="preserve"> en el cómputo cuádruple (ver §21), considerando que el segundo </w:t>
      </w:r>
      <w:proofErr w:type="spellStart"/>
      <w:r w:rsidRPr="00057BF4">
        <w:rPr>
          <w:i/>
        </w:rPr>
        <w:t>jhāna</w:t>
      </w:r>
      <w:proofErr w:type="spellEnd"/>
      <w:r>
        <w:t xml:space="preserve"> se debe a la superación </w:t>
      </w:r>
      <w:proofErr w:type="spellStart"/>
      <w:r>
        <w:t>d</w:t>
      </w:r>
      <w:r w:rsidR="00C71F10">
        <w:t>la</w:t>
      </w:r>
      <w:proofErr w:type="spellEnd"/>
      <w:r w:rsidR="00C71F10">
        <w:t xml:space="preserve"> aplicación mental</w:t>
      </w:r>
      <w:r>
        <w:t xml:space="preserve"> únicamente y el tercer </w:t>
      </w:r>
      <w:proofErr w:type="spellStart"/>
      <w:r w:rsidRPr="00057BF4">
        <w:rPr>
          <w:i/>
          <w:iCs/>
        </w:rPr>
        <w:t>jhāna</w:t>
      </w:r>
      <w:proofErr w:type="spellEnd"/>
      <w:r>
        <w:t xml:space="preserve"> a la superación </w:t>
      </w:r>
      <w:proofErr w:type="spellStart"/>
      <w:r>
        <w:t>d</w:t>
      </w:r>
      <w:r w:rsidR="00C71F10">
        <w:t>la</w:t>
      </w:r>
      <w:proofErr w:type="spellEnd"/>
      <w:r w:rsidR="00C71F10">
        <w:t xml:space="preserve"> aplicación mental</w:t>
      </w:r>
      <w:r>
        <w:t xml:space="preserve"> y sostenido. Hay cinco tipos de concentración según los factores de estos cinco </w:t>
      </w:r>
      <w:proofErr w:type="spellStart"/>
      <w:r w:rsidRPr="00057BF4">
        <w:rPr>
          <w:i/>
          <w:iCs/>
        </w:rPr>
        <w:t>jhāna</w:t>
      </w:r>
      <w:r w:rsidRPr="0079745E">
        <w:rPr>
          <w:i/>
          <w:iCs/>
        </w:rPr>
        <w:t>s</w:t>
      </w:r>
      <w:proofErr w:type="spellEnd"/>
      <w:r>
        <w:t xml:space="preserve">. Por lo tanto, su quíntuple debe entenderse de acuerdo </w:t>
      </w:r>
      <w:r w:rsidRPr="00913382">
        <w:t xml:space="preserve">con el grupo de los cinco factores del </w:t>
      </w:r>
      <w:proofErr w:type="spellStart"/>
      <w:r w:rsidRPr="00913382">
        <w:rPr>
          <w:i/>
          <w:iCs/>
        </w:rPr>
        <w:t>jhāna</w:t>
      </w:r>
      <w:proofErr w:type="spellEnd"/>
      <w:r w:rsidRPr="00913382">
        <w:t>.</w:t>
      </w:r>
    </w:p>
    <w:p w14:paraId="5C6587BF" w14:textId="6DEB288E" w:rsidR="003A5C97" w:rsidRDefault="003A5C97" w:rsidP="003A5C97">
      <w:r>
        <w:t xml:space="preserve">26. </w:t>
      </w:r>
      <w:r>
        <w:tab/>
        <w:t>(v)</w:t>
      </w:r>
      <w:r w:rsidRPr="00AF275F">
        <w:t xml:space="preserve"> ¿</w:t>
      </w:r>
      <w:r w:rsidRPr="00AF275F">
        <w:rPr>
          <w:rStyle w:val="Ttulo4Car"/>
        </w:rPr>
        <w:t>Cuál</w:t>
      </w:r>
      <w:r>
        <w:rPr>
          <w:rStyle w:val="Ttulo4Car"/>
        </w:rPr>
        <w:t>es</w:t>
      </w:r>
      <w:r w:rsidRPr="00AF275F">
        <w:rPr>
          <w:rStyle w:val="Ttulo4Car"/>
        </w:rPr>
        <w:t xml:space="preserve"> </w:t>
      </w:r>
      <w:r>
        <w:rPr>
          <w:rStyle w:val="Ttulo4Car"/>
        </w:rPr>
        <w:t>son</w:t>
      </w:r>
      <w:r w:rsidRPr="00AF275F">
        <w:rPr>
          <w:rStyle w:val="Ttulo4Car"/>
        </w:rPr>
        <w:t xml:space="preserve"> su</w:t>
      </w:r>
      <w:r>
        <w:rPr>
          <w:rStyle w:val="Ttulo4Car"/>
        </w:rPr>
        <w:t>s</w:t>
      </w:r>
      <w:r w:rsidRPr="00AF275F">
        <w:rPr>
          <w:rStyle w:val="Ttulo4Car"/>
        </w:rPr>
        <w:t xml:space="preserve"> </w:t>
      </w:r>
      <w:r>
        <w:rPr>
          <w:rStyle w:val="Ttulo4Car"/>
        </w:rPr>
        <w:t>impurezas</w:t>
      </w:r>
      <w:r w:rsidRPr="00AF275F">
        <w:t xml:space="preserve">? </w:t>
      </w:r>
      <w:r>
        <w:t xml:space="preserve">(vi) </w:t>
      </w:r>
      <w:r w:rsidRPr="00AF275F">
        <w:t>¿</w:t>
      </w:r>
      <w:r w:rsidRPr="00AF275F">
        <w:rPr>
          <w:rStyle w:val="Ttulo4Car"/>
        </w:rPr>
        <w:t xml:space="preserve">Cuál es su </w:t>
      </w:r>
      <w:r>
        <w:rPr>
          <w:rStyle w:val="Ttulo4Car"/>
        </w:rPr>
        <w:t>Purificación</w:t>
      </w:r>
      <w:r w:rsidRPr="00AF275F">
        <w:t xml:space="preserve">? </w:t>
      </w:r>
      <w:r>
        <w:t xml:space="preserve">Aquí la respuesta se da en el </w:t>
      </w:r>
      <w:r>
        <w:br/>
      </w:r>
      <w:proofErr w:type="spellStart"/>
      <w:r w:rsidRPr="0079745E">
        <w:rPr>
          <w:i/>
          <w:iCs/>
        </w:rPr>
        <w:t>Vibhaṅga</w:t>
      </w:r>
      <w:proofErr w:type="spellEnd"/>
      <w:r>
        <w:t xml:space="preserve">: “La impureza es un estado en el que participa la disminución, la </w:t>
      </w:r>
      <w:r w:rsidRPr="00E116C3">
        <w:t xml:space="preserve">purificación </w:t>
      </w:r>
      <w:r>
        <w:t>es otro estado en la que participa la distinción” (</w:t>
      </w:r>
      <w:proofErr w:type="spellStart"/>
      <w:r>
        <w:t>Vibh</w:t>
      </w:r>
      <w:proofErr w:type="spellEnd"/>
      <w:r>
        <w:t xml:space="preserve"> 343). Aquí, el estado que participa de la disminución debe entenderse de esta manera: “Cuando un hombre ha alcanzado el primer </w:t>
      </w:r>
      <w:proofErr w:type="spellStart"/>
      <w:r w:rsidRPr="00057BF4">
        <w:rPr>
          <w:i/>
        </w:rPr>
        <w:t>jhāna</w:t>
      </w:r>
      <w:proofErr w:type="spellEnd"/>
      <w:r>
        <w:t xml:space="preserve"> y tiene acceso a la percepción y a la atención acompañada por el deseo sensorial, entonces su comprensión participará de la disminución” (</w:t>
      </w:r>
      <w:proofErr w:type="spellStart"/>
      <w:r>
        <w:t>Vibh</w:t>
      </w:r>
      <w:proofErr w:type="spellEnd"/>
      <w:r>
        <w:t xml:space="preserve"> 330). Y el estado que participe de la distinción deberá entenderse de esta manera: “Cuando él posea acceso a la percepción y a la atención sin el acompañamiento </w:t>
      </w:r>
      <w:proofErr w:type="spellStart"/>
      <w:r>
        <w:t>d</w:t>
      </w:r>
      <w:r w:rsidR="00C71F10">
        <w:t>la</w:t>
      </w:r>
      <w:proofErr w:type="spellEnd"/>
      <w:r w:rsidR="00C71F10">
        <w:t xml:space="preserve"> aplicación mental</w:t>
      </w:r>
      <w:r>
        <w:t>, entonces su comprensión participará de la distinción” (</w:t>
      </w:r>
      <w:proofErr w:type="spellStart"/>
      <w:r>
        <w:t>Vibh</w:t>
      </w:r>
      <w:proofErr w:type="spellEnd"/>
      <w:r>
        <w:t xml:space="preserve"> 330).</w:t>
      </w:r>
    </w:p>
    <w:p w14:paraId="3E15941C" w14:textId="77777777" w:rsidR="003A5C97" w:rsidRDefault="003A5C97" w:rsidP="003A5C97">
      <w:r>
        <w:t xml:space="preserve">27. </w:t>
      </w:r>
      <w:r>
        <w:tab/>
        <w:t>(</w:t>
      </w:r>
      <w:proofErr w:type="spellStart"/>
      <w:r>
        <w:t>vii</w:t>
      </w:r>
      <w:proofErr w:type="spellEnd"/>
      <w:r>
        <w:t xml:space="preserve">) </w:t>
      </w:r>
      <w:r w:rsidRPr="00053372">
        <w:rPr>
          <w:rStyle w:val="Ttulo4Car"/>
        </w:rPr>
        <w:t>¿Cómo debe desarrollarse?</w:t>
      </w:r>
    </w:p>
    <w:p w14:paraId="5CDFDB53" w14:textId="77777777" w:rsidR="003A5C97" w:rsidRPr="00053372" w:rsidRDefault="003A5C97" w:rsidP="003A5C97">
      <w:pPr>
        <w:pStyle w:val="Ttulo3"/>
        <w:ind w:left="708"/>
        <w:rPr>
          <w:rStyle w:val="Ttulo3Car"/>
        </w:rPr>
      </w:pPr>
      <w:r>
        <w:t>[</w:t>
      </w:r>
      <w:r>
        <w:rPr>
          <w:rStyle w:val="Ttulo3Car"/>
        </w:rPr>
        <w:t>A.</w:t>
      </w:r>
      <w:r w:rsidRPr="00053372">
        <w:rPr>
          <w:rStyle w:val="Ttulo3Car"/>
        </w:rPr>
        <w:t xml:space="preserve"> </w:t>
      </w:r>
      <w:r>
        <w:rPr>
          <w:rStyle w:val="Ttulo3Car"/>
        </w:rPr>
        <w:t xml:space="preserve">Su </w:t>
      </w:r>
      <w:r w:rsidRPr="0087588C">
        <w:rPr>
          <w:rStyle w:val="Ttulo3Car"/>
          <w:smallCaps/>
          <w:szCs w:val="22"/>
        </w:rPr>
        <w:t>Desarrollo</w:t>
      </w:r>
      <w:r>
        <w:rPr>
          <w:rStyle w:val="Ttulo3Car"/>
          <w:smallCaps/>
          <w:szCs w:val="22"/>
        </w:rPr>
        <w:t>,</w:t>
      </w:r>
      <w:r w:rsidRPr="00053372">
        <w:rPr>
          <w:rStyle w:val="Ttulo3Car"/>
        </w:rPr>
        <w:t xml:space="preserve"> </w:t>
      </w:r>
      <w:r w:rsidRPr="003D201A">
        <w:rPr>
          <w:rStyle w:val="Ttulo3Car"/>
          <w:smallCaps/>
          <w:color w:val="auto"/>
          <w:sz w:val="19"/>
          <w:szCs w:val="22"/>
        </w:rPr>
        <w:t>Resumen</w:t>
      </w:r>
      <w:r w:rsidRPr="00053372">
        <w:rPr>
          <w:rStyle w:val="Ttulo3Car"/>
        </w:rPr>
        <w:t>]</w:t>
      </w:r>
    </w:p>
    <w:p w14:paraId="12EDE13D" w14:textId="77777777" w:rsidR="003A5C97" w:rsidRDefault="003A5C97" w:rsidP="003A5C97">
      <w:r>
        <w:t xml:space="preserve">El método para desarrollar el tipo de concentración asociado con los mencionados nobles senderos (§7) bajo los términos “de dos tipos, como concentración </w:t>
      </w:r>
      <w:r w:rsidRPr="000161FE">
        <w:rPr>
          <w:i/>
          <w:iCs/>
        </w:rPr>
        <w:t>mundana</w:t>
      </w:r>
      <w:r>
        <w:t xml:space="preserve"> y </w:t>
      </w:r>
      <w:r w:rsidRPr="000161FE">
        <w:rPr>
          <w:i/>
          <w:iCs/>
        </w:rPr>
        <w:t>supramundana</w:t>
      </w:r>
      <w:r>
        <w:t>”, etc., forma parte del método para desarrollar el entendimiento; (Cap. XXII) ya que en el desarrollo del sendero también se desarrollará el entendimiento. Así que [aquí] no diremos nada por separado respecto a cómo debe desarrollarse la concentración.</w:t>
      </w:r>
    </w:p>
    <w:p w14:paraId="4AE68BB8" w14:textId="77777777" w:rsidR="003A5C97" w:rsidRDefault="003A5C97" w:rsidP="003A5C97">
      <w:r>
        <w:t xml:space="preserve">28. </w:t>
      </w:r>
      <w:r>
        <w:tab/>
        <w:t>No obstante, la concentración mundana debe ser desarrollada por alguien que se haya posicionado en la virtud y que la haya purificado completamente en la forma ya expuesta. Deberá cortar con cualquiera de los diez impedimentos que todavía pueda tener. Luego deberá acercarse ante un buen amigo que le asigne un objeto de meditación, y deberá encontrar entre los cuarenta objetos de meditación uno que se adapte a su propio temperamento. Después de ello, deberá evitar cualquier monasterio desfavorable para el desarrollo de</w:t>
      </w:r>
      <w:r w:rsidRPr="000B1DA9">
        <w:t xml:space="preserve"> </w:t>
      </w:r>
      <w:r>
        <w:t xml:space="preserve">la concentración e ir a </w:t>
      </w:r>
      <w:r>
        <w:br w:type="page"/>
      </w:r>
    </w:p>
    <w:p w14:paraId="098AF248" w14:textId="77777777" w:rsidR="003A5C97" w:rsidRDefault="003A5C97" w:rsidP="003A5C97">
      <w:r>
        <w:lastRenderedPageBreak/>
        <w:t>vivir en uno que sea favorable. Entonces deberá eliminar los impedimentos menores y no pasar por alto ninguna de las instrucciones para su desarrollo. Esto es de forma breve.</w:t>
      </w:r>
    </w:p>
    <w:p w14:paraId="327D5EDE" w14:textId="77777777" w:rsidR="003A5C97" w:rsidRDefault="003A5C97" w:rsidP="003A5C97">
      <w:pPr>
        <w:pStyle w:val="Ttulo3"/>
        <w:ind w:left="708"/>
      </w:pPr>
      <w:r>
        <w:t>[B. Desarrollo en detalle]</w:t>
      </w:r>
    </w:p>
    <w:p w14:paraId="0EAD32A8" w14:textId="77777777" w:rsidR="003A5C97" w:rsidRDefault="003A5C97" w:rsidP="003A5C97">
      <w:r>
        <w:t xml:space="preserve">29. </w:t>
      </w:r>
      <w:r>
        <w:tab/>
        <w:t>El detalle es éste:</w:t>
      </w:r>
    </w:p>
    <w:p w14:paraId="257D1FDD" w14:textId="6B5B8664" w:rsidR="003A5C97" w:rsidRDefault="003A5C97" w:rsidP="003A5C97">
      <w:pPr>
        <w:pStyle w:val="Ttulo3"/>
        <w:ind w:left="708"/>
      </w:pPr>
      <w:r>
        <w:t xml:space="preserve">[los </w:t>
      </w:r>
      <w:r w:rsidR="000A03DF">
        <w:t>10</w:t>
      </w:r>
      <w:r>
        <w:t xml:space="preserve"> impedimentos]</w:t>
      </w:r>
    </w:p>
    <w:p w14:paraId="4C3C2A0A" w14:textId="0067103D" w:rsidR="003A5C97" w:rsidRDefault="003A5C97" w:rsidP="003A5C97">
      <w:r>
        <w:t xml:space="preserve">Primero, se dijo arriba, </w:t>
      </w:r>
      <w:r w:rsidRPr="001D3DBE">
        <w:rPr>
          <w:i/>
          <w:iCs/>
        </w:rPr>
        <w:t xml:space="preserve">debe cortar </w:t>
      </w:r>
      <w:r>
        <w:rPr>
          <w:i/>
          <w:iCs/>
        </w:rPr>
        <w:t xml:space="preserve">con </w:t>
      </w:r>
      <w:r w:rsidRPr="001D3DBE">
        <w:rPr>
          <w:i/>
          <w:iCs/>
        </w:rPr>
        <w:t xml:space="preserve">cualquiera de los </w:t>
      </w:r>
      <w:r w:rsidR="00C12090">
        <w:rPr>
          <w:i/>
          <w:iCs/>
        </w:rPr>
        <w:t>10</w:t>
      </w:r>
      <w:r w:rsidRPr="001D3DBE">
        <w:rPr>
          <w:i/>
          <w:iCs/>
        </w:rPr>
        <w:t xml:space="preserve"> impedimentos que pueda tener</w:t>
      </w:r>
      <w:r>
        <w:t>. [90] Ahora bien, los “diez impedimentos” son:</w:t>
      </w:r>
    </w:p>
    <w:p w14:paraId="3B25A9C9" w14:textId="77777777" w:rsidR="003A5C97" w:rsidRDefault="003A5C97" w:rsidP="003A5C97">
      <w:pPr>
        <w:pStyle w:val="VersoIngls01Sangria"/>
      </w:pPr>
      <w:r>
        <w:t>Una vivienda, una familia, una ganancia,</w:t>
      </w:r>
    </w:p>
    <w:p w14:paraId="2EEF49EE" w14:textId="77777777" w:rsidR="003A5C97" w:rsidRDefault="003A5C97" w:rsidP="003A5C97">
      <w:pPr>
        <w:pStyle w:val="VersoIngls01Sangria"/>
      </w:pPr>
      <w:r>
        <w:t>Una clase, también una edificación como quinto,</w:t>
      </w:r>
    </w:p>
    <w:p w14:paraId="2CF3F4FF" w14:textId="77777777" w:rsidR="003A5C97" w:rsidRDefault="003A5C97" w:rsidP="003A5C97">
      <w:pPr>
        <w:pStyle w:val="VersoIngls01Sangria"/>
      </w:pPr>
      <w:r>
        <w:t>Los viajes, el parentesco, la aflicción, los libros,</w:t>
      </w:r>
    </w:p>
    <w:p w14:paraId="260AA3B2" w14:textId="6B8A56F8" w:rsidR="003A5C97" w:rsidRDefault="003A5C97" w:rsidP="003A5C97">
      <w:pPr>
        <w:pStyle w:val="VersoIngls01Sangria"/>
        <w:spacing w:after="100"/>
        <w:ind w:left="1418"/>
      </w:pPr>
      <w:r>
        <w:t xml:space="preserve">Los poderes </w:t>
      </w:r>
      <w:r w:rsidR="0068178F">
        <w:t>supernormales</w:t>
      </w:r>
      <w:r>
        <w:t>: estos suman diez</w:t>
      </w:r>
      <w:r w:rsidRPr="008657D3">
        <w:t xml:space="preserve"> </w:t>
      </w:r>
      <w:r>
        <w:t>impedimentos.</w:t>
      </w:r>
    </w:p>
    <w:p w14:paraId="01369AF7" w14:textId="77777777" w:rsidR="003A5C97" w:rsidRDefault="003A5C97" w:rsidP="003A5C97">
      <w:pPr>
        <w:pStyle w:val="NormalConSangria"/>
      </w:pPr>
      <w:r>
        <w:t>Aquí, la vivienda misma es el “impedimento debido a la vivienda”. Así también con la familia … etc.</w:t>
      </w:r>
    </w:p>
    <w:p w14:paraId="26E3AB28" w14:textId="77777777" w:rsidR="003A5C97" w:rsidRDefault="003A5C97" w:rsidP="003A5C97">
      <w:r>
        <w:t xml:space="preserve">30. </w:t>
      </w:r>
      <w:r>
        <w:tab/>
        <w:t xml:space="preserve">1. Aquí se denomina </w:t>
      </w:r>
      <w:r w:rsidRPr="00A478E9">
        <w:rPr>
          <w:i/>
          <w:iCs/>
        </w:rPr>
        <w:t>vivienda</w:t>
      </w:r>
      <w:r>
        <w:t xml:space="preserve"> a una sola habitación interior o a una sola choza o a todo un monasterio para la Comunidad. Esto no es un impedimento para todos. Es un impedimento sólo para cualquiera que tenga la mente ocupada en la edificación, etc., que vaya allí, o que tenga muchas pertenencias almacenadas en ella, o cuya mente esté ocupada en algún asunto relacionado con el lugar. Para cualquier otro contexto no será un impedimento.</w:t>
      </w:r>
    </w:p>
    <w:p w14:paraId="0729E491" w14:textId="77777777" w:rsidR="003A5C97" w:rsidRDefault="003A5C97" w:rsidP="003A5C97">
      <w:r>
        <w:t xml:space="preserve">31. </w:t>
      </w:r>
      <w:r>
        <w:tab/>
        <w:t xml:space="preserve">Aquí, una historia relevante. Al parecer, dos miembros de clan abandonaron </w:t>
      </w:r>
      <w:proofErr w:type="spellStart"/>
      <w:r>
        <w:t>Anurādhapura</w:t>
      </w:r>
      <w:proofErr w:type="spellEnd"/>
      <w:r>
        <w:t xml:space="preserve"> y finalmente se dirigieron al Thūpārāma.</w:t>
      </w:r>
      <w:r>
        <w:rPr>
          <w:vertAlign w:val="superscript"/>
        </w:rPr>
        <w:t>8</w:t>
      </w:r>
      <w:r>
        <w:t xml:space="preserve"> Uno de ellos se familiarizó con los Dos Códigos,</w:t>
      </w:r>
      <w:r>
        <w:rPr>
          <w:vertAlign w:val="superscript"/>
        </w:rPr>
        <w:t>9</w:t>
      </w:r>
      <w:r>
        <w:t xml:space="preserve"> y cuando tuvo cinco años de antigüedad, participó en el </w:t>
      </w:r>
      <w:r w:rsidRPr="00BE67C3">
        <w:rPr>
          <w:i/>
          <w:iCs/>
        </w:rPr>
        <w:t>Pavāraṇā</w:t>
      </w:r>
      <w:r>
        <w:rPr>
          <w:vertAlign w:val="superscript"/>
        </w:rPr>
        <w:t>10</w:t>
      </w:r>
      <w:r>
        <w:t xml:space="preserve"> correspondiente y luego partió hacia un lugar llamado </w:t>
      </w:r>
      <w:r w:rsidRPr="00A478E9">
        <w:rPr>
          <w:i/>
          <w:iCs/>
        </w:rPr>
        <w:t>Pācīnakhaṇḍarājī</w:t>
      </w:r>
      <w:r>
        <w:t>.</w:t>
      </w:r>
      <w:r>
        <w:rPr>
          <w:vertAlign w:val="superscript"/>
        </w:rPr>
        <w:t>11</w:t>
      </w:r>
      <w:r>
        <w:t xml:space="preserve"> El otro se quedó donde se encontraba. Ahora bien, cuando el que había partido hacia </w:t>
      </w:r>
      <w:proofErr w:type="spellStart"/>
      <w:r w:rsidRPr="00A478E9">
        <w:rPr>
          <w:i/>
          <w:iCs/>
        </w:rPr>
        <w:t>Pācīnakhaṇḍ</w:t>
      </w:r>
      <w:r>
        <w:rPr>
          <w:i/>
          <w:iCs/>
        </w:rPr>
        <w:t>a</w:t>
      </w:r>
      <w:r w:rsidRPr="00A478E9">
        <w:rPr>
          <w:i/>
          <w:iCs/>
        </w:rPr>
        <w:t>rājī</w:t>
      </w:r>
      <w:proofErr w:type="spellEnd"/>
      <w:r>
        <w:t xml:space="preserve"> se quedó a vivir allí durante mucho tiempo y se convirtió en Venerable,</w:t>
      </w:r>
      <w:r>
        <w:rPr>
          <w:vertAlign w:val="superscript"/>
        </w:rPr>
        <w:t>12</w:t>
      </w:r>
      <w:r>
        <w:t xml:space="preserve"> pensó: “Este lugar es bueno para el retiro; ¿Y si le contara a mi amigo al respecto? Así que partió y, a su debido tiempo, entró a </w:t>
      </w:r>
      <w:proofErr w:type="spellStart"/>
      <w:r>
        <w:t>Thūpārāma</w:t>
      </w:r>
      <w:proofErr w:type="spellEnd"/>
      <w:r>
        <w:t>. Al entrar, el Venerable de la misma antigüedad lo vio, fue a su encuentro, tomó su cuenco y su ropaje e hizo los deberes.</w:t>
      </w:r>
    </w:p>
    <w:p w14:paraId="6D325525" w14:textId="77777777" w:rsidR="003A5C97" w:rsidRDefault="003A5C97" w:rsidP="003A5C97"/>
    <w:p w14:paraId="3EF9530E" w14:textId="77777777" w:rsidR="003A5C97" w:rsidRPr="00E67D37" w:rsidRDefault="003A5C97" w:rsidP="003A5C97">
      <w:pPr>
        <w:pStyle w:val="PiedepginaLegal"/>
        <w:rPr>
          <w:u w:val="single"/>
        </w:rPr>
      </w:pPr>
      <w:r w:rsidRPr="00E67D37">
        <w:rPr>
          <w:u w:val="single"/>
        </w:rPr>
        <w:t xml:space="preserve">                                                                                                                                                    .</w:t>
      </w:r>
    </w:p>
    <w:p w14:paraId="7DF423D0" w14:textId="77777777" w:rsidR="003A5C97" w:rsidRDefault="003A5C97" w:rsidP="003A5C97">
      <w:pPr>
        <w:pStyle w:val="PiedepginaLegal"/>
      </w:pPr>
      <w:r>
        <w:t xml:space="preserve">8. </w:t>
      </w:r>
      <w:r>
        <w:tab/>
        <w:t xml:space="preserve">Uno de los principales monasterios de </w:t>
      </w:r>
      <w:proofErr w:type="spellStart"/>
      <w:r>
        <w:t>Anurādhapura</w:t>
      </w:r>
      <w:proofErr w:type="spellEnd"/>
      <w:r>
        <w:t>.</w:t>
      </w:r>
    </w:p>
    <w:p w14:paraId="1A0ED9B3" w14:textId="77777777" w:rsidR="003A5C97" w:rsidRDefault="003A5C97" w:rsidP="003A5C97">
      <w:pPr>
        <w:pStyle w:val="PiedepginaLegal"/>
      </w:pPr>
      <w:r>
        <w:t>9.</w:t>
      </w:r>
      <w:r>
        <w:tab/>
      </w:r>
      <w:proofErr w:type="spellStart"/>
      <w:r w:rsidRPr="00A478E9">
        <w:rPr>
          <w:i/>
          <w:iCs/>
        </w:rPr>
        <w:t>Dve</w:t>
      </w:r>
      <w:proofErr w:type="spellEnd"/>
      <w:r w:rsidRPr="00A478E9">
        <w:rPr>
          <w:i/>
          <w:iCs/>
        </w:rPr>
        <w:t xml:space="preserve"> </w:t>
      </w:r>
      <w:proofErr w:type="spellStart"/>
      <w:r w:rsidRPr="00A478E9">
        <w:rPr>
          <w:i/>
          <w:iCs/>
        </w:rPr>
        <w:t>mātikā</w:t>
      </w:r>
      <w:proofErr w:type="spellEnd"/>
      <w:r>
        <w:t xml:space="preserve">—los “dos códigos”: véase Cap. I, n. 11. No obstante, </w:t>
      </w:r>
      <w:proofErr w:type="spellStart"/>
      <w:r>
        <w:t>Vism-mhṭ</w:t>
      </w:r>
      <w:proofErr w:type="spellEnd"/>
      <w:r>
        <w:t xml:space="preserve"> dice aquí: “‘</w:t>
      </w:r>
      <w:r w:rsidRPr="00565C77">
        <w:rPr>
          <w:i/>
          <w:iCs/>
        </w:rPr>
        <w:t>Los</w:t>
      </w:r>
      <w:r>
        <w:t xml:space="preserve"> </w:t>
      </w:r>
      <w:r>
        <w:rPr>
          <w:i/>
          <w:iCs/>
        </w:rPr>
        <w:t>o</w:t>
      </w:r>
      <w:r w:rsidRPr="00565C77">
        <w:rPr>
          <w:i/>
          <w:iCs/>
        </w:rPr>
        <w:t>bservadores de los códigos’</w:t>
      </w:r>
      <w:r>
        <w:t xml:space="preserve"> re refieren a los observadores de los códigos (resúmenes) del </w:t>
      </w:r>
      <w:r w:rsidRPr="00057BF4">
        <w:rPr>
          <w:i/>
          <w:iCs/>
        </w:rPr>
        <w:t>Dhamma</w:t>
      </w:r>
      <w:r>
        <w:t xml:space="preserve"> y del </w:t>
      </w:r>
      <w:proofErr w:type="spellStart"/>
      <w:r w:rsidRPr="00A478E9">
        <w:rPr>
          <w:i/>
          <w:iCs/>
        </w:rPr>
        <w:t>Vinaya</w:t>
      </w:r>
      <w:proofErr w:type="spellEnd"/>
      <w:r>
        <w:t>” (</w:t>
      </w:r>
      <w:proofErr w:type="spellStart"/>
      <w:r>
        <w:t>Vism-mhṭ</w:t>
      </w:r>
      <w:proofErr w:type="spellEnd"/>
      <w:r>
        <w:t xml:space="preserve"> 117).</w:t>
      </w:r>
    </w:p>
    <w:p w14:paraId="46C27AAC" w14:textId="78FC3160" w:rsidR="003A5C97" w:rsidRDefault="003A5C97" w:rsidP="003A5C97">
      <w:pPr>
        <w:pStyle w:val="PiedepginaLegal"/>
      </w:pPr>
      <w:r>
        <w:t xml:space="preserve">10. </w:t>
      </w:r>
      <w:r>
        <w:tab/>
      </w:r>
      <w:proofErr w:type="spellStart"/>
      <w:r w:rsidR="00070795" w:rsidRPr="00070795">
        <w:rPr>
          <w:i/>
          <w:iCs/>
        </w:rPr>
        <w:t>Pavāraṇā</w:t>
      </w:r>
      <w:proofErr w:type="spellEnd"/>
      <w:r>
        <w:t xml:space="preserve">: es la ceremonia celebrada al final de la estación lluvias, durante tres meses de los cuales los </w:t>
      </w:r>
      <w:proofErr w:type="spellStart"/>
      <w:r w:rsidRPr="00057BF4">
        <w:rPr>
          <w:i/>
          <w:iCs/>
        </w:rPr>
        <w:t>bhikkhu</w:t>
      </w:r>
      <w:r w:rsidRPr="00A478E9">
        <w:rPr>
          <w:i/>
          <w:iCs/>
        </w:rPr>
        <w:t>s</w:t>
      </w:r>
      <w:proofErr w:type="spellEnd"/>
      <w:r>
        <w:t xml:space="preserve"> tienen que comprometerse a vivir en un lugar para evitar viajar mientras crezcan las cosechas. </w:t>
      </w:r>
      <w:proofErr w:type="gramStart"/>
      <w:r>
        <w:t>Consiste de</w:t>
      </w:r>
      <w:proofErr w:type="gramEnd"/>
      <w:r>
        <w:t xml:space="preserve"> una reunión de </w:t>
      </w:r>
      <w:proofErr w:type="spellStart"/>
      <w:r w:rsidRPr="00057BF4">
        <w:rPr>
          <w:i/>
          <w:iCs/>
        </w:rPr>
        <w:t>bhikkhu</w:t>
      </w:r>
      <w:r w:rsidRPr="00A478E9">
        <w:rPr>
          <w:i/>
          <w:iCs/>
        </w:rPr>
        <w:t>s</w:t>
      </w:r>
      <w:proofErr w:type="spellEnd"/>
      <w:r>
        <w:t xml:space="preserve"> que hayan pasado juntos la estación de lluvias, en la que cada miembro presente invita (</w:t>
      </w:r>
      <w:proofErr w:type="spellStart"/>
      <w:r w:rsidRPr="00A478E9">
        <w:rPr>
          <w:i/>
          <w:iCs/>
        </w:rPr>
        <w:t>pavāreti</w:t>
      </w:r>
      <w:proofErr w:type="spellEnd"/>
      <w:r>
        <w:t xml:space="preserve">) a la Comunidad a señalar sus ofensas (infracciones a las reglas del </w:t>
      </w:r>
      <w:proofErr w:type="spellStart"/>
      <w:r w:rsidRPr="00A478E9">
        <w:rPr>
          <w:i/>
          <w:iCs/>
        </w:rPr>
        <w:t>Vinaya</w:t>
      </w:r>
      <w:proofErr w:type="spellEnd"/>
      <w:r>
        <w:t>) cometidas durante los tres meses transcurridos (</w:t>
      </w:r>
      <w:proofErr w:type="spellStart"/>
      <w:r>
        <w:t>Vin</w:t>
      </w:r>
      <w:proofErr w:type="spellEnd"/>
      <w:r>
        <w:t xml:space="preserve"> I 155).</w:t>
      </w:r>
    </w:p>
    <w:p w14:paraId="2DE8FFBD" w14:textId="77777777" w:rsidR="003A5C97" w:rsidRDefault="003A5C97" w:rsidP="003A5C97">
      <w:pPr>
        <w:pStyle w:val="PiedepginaLegal"/>
      </w:pPr>
      <w:r>
        <w:t xml:space="preserve">11. </w:t>
      </w:r>
      <w:r>
        <w:tab/>
        <w:t>“</w:t>
      </w:r>
      <w:proofErr w:type="spellStart"/>
      <w:r w:rsidRPr="00A478E9">
        <w:rPr>
          <w:i/>
          <w:iCs/>
        </w:rPr>
        <w:t>Pacinakhaṇḍarājā</w:t>
      </w:r>
      <w:proofErr w:type="spellEnd"/>
      <w:r w:rsidRPr="00A478E9">
        <w:rPr>
          <w:i/>
          <w:iCs/>
        </w:rPr>
        <w:t xml:space="preserve"> ti </w:t>
      </w:r>
      <w:proofErr w:type="spellStart"/>
      <w:r w:rsidRPr="00A478E9">
        <w:rPr>
          <w:i/>
          <w:iCs/>
        </w:rPr>
        <w:t>puratthimadisāya</w:t>
      </w:r>
      <w:proofErr w:type="spellEnd"/>
      <w:r w:rsidRPr="00A478E9">
        <w:rPr>
          <w:i/>
          <w:iCs/>
        </w:rPr>
        <w:t xml:space="preserve"> </w:t>
      </w:r>
      <w:proofErr w:type="spellStart"/>
      <w:r w:rsidRPr="00A478E9">
        <w:rPr>
          <w:i/>
          <w:iCs/>
        </w:rPr>
        <w:t>pabbatakhaṇḍānaṃ</w:t>
      </w:r>
      <w:proofErr w:type="spellEnd"/>
      <w:r w:rsidRPr="00A478E9">
        <w:rPr>
          <w:i/>
          <w:iCs/>
        </w:rPr>
        <w:t xml:space="preserve"> </w:t>
      </w:r>
      <w:proofErr w:type="spellStart"/>
      <w:r w:rsidRPr="00A478E9">
        <w:rPr>
          <w:i/>
          <w:iCs/>
        </w:rPr>
        <w:t>antare</w:t>
      </w:r>
      <w:proofErr w:type="spellEnd"/>
      <w:r w:rsidRPr="00A478E9">
        <w:rPr>
          <w:i/>
          <w:iCs/>
        </w:rPr>
        <w:t xml:space="preserve"> </w:t>
      </w:r>
      <w:proofErr w:type="spellStart"/>
      <w:r w:rsidRPr="00A478E9">
        <w:rPr>
          <w:i/>
          <w:iCs/>
        </w:rPr>
        <w:t>vanarājīṭṭhānaṃ</w:t>
      </w:r>
      <w:proofErr w:type="spellEnd"/>
      <w:r>
        <w:t>” (</w:t>
      </w:r>
      <w:proofErr w:type="spellStart"/>
      <w:r>
        <w:t>Vism-mhþ</w:t>
      </w:r>
      <w:proofErr w:type="spellEnd"/>
      <w:r>
        <w:t xml:space="preserve"> 97).</w:t>
      </w:r>
    </w:p>
    <w:p w14:paraId="5EA7B4AC" w14:textId="77777777" w:rsidR="003A5C97" w:rsidRDefault="003A5C97" w:rsidP="003A5C97">
      <w:pPr>
        <w:pStyle w:val="PiedepginaLegal"/>
      </w:pPr>
      <w:r>
        <w:t xml:space="preserve">12. </w:t>
      </w:r>
      <w:r>
        <w:tab/>
        <w:t>Durante los primeros cinco años después de la admisión (</w:t>
      </w:r>
      <w:proofErr w:type="spellStart"/>
      <w:r w:rsidRPr="00A478E9">
        <w:rPr>
          <w:i/>
          <w:iCs/>
        </w:rPr>
        <w:t>upasampadā</w:t>
      </w:r>
      <w:proofErr w:type="spellEnd"/>
      <w:r>
        <w:t xml:space="preserve">), al </w:t>
      </w:r>
      <w:proofErr w:type="spellStart"/>
      <w:r w:rsidRPr="00057BF4">
        <w:rPr>
          <w:i/>
          <w:iCs/>
        </w:rPr>
        <w:t>bhikkhu</w:t>
      </w:r>
      <w:proofErr w:type="spellEnd"/>
      <w:r>
        <w:t xml:space="preserve"> se le llama “</w:t>
      </w:r>
      <w:proofErr w:type="spellStart"/>
      <w:r w:rsidRPr="00057BF4">
        <w:rPr>
          <w:i/>
          <w:iCs/>
        </w:rPr>
        <w:t>bhikkhu</w:t>
      </w:r>
      <w:proofErr w:type="spellEnd"/>
      <w:r w:rsidRPr="008657D3">
        <w:t xml:space="preserve"> </w:t>
      </w:r>
      <w:r>
        <w:t>novato (</w:t>
      </w:r>
      <w:r w:rsidRPr="00FF4AA3">
        <w:rPr>
          <w:i/>
          <w:iCs/>
        </w:rPr>
        <w:t>nava</w:t>
      </w:r>
      <w:r>
        <w:t>)”; desde los cinco hasta los diez años de ordenado se le llama “</w:t>
      </w:r>
      <w:proofErr w:type="spellStart"/>
      <w:r w:rsidRPr="00057BF4">
        <w:rPr>
          <w:i/>
          <w:iCs/>
        </w:rPr>
        <w:t>bhikkhu</w:t>
      </w:r>
      <w:proofErr w:type="spellEnd"/>
      <w:r w:rsidRPr="008657D3">
        <w:t xml:space="preserve"> sénior </w:t>
      </w:r>
      <w:r>
        <w:t>(</w:t>
      </w:r>
      <w:proofErr w:type="spellStart"/>
      <w:r w:rsidRPr="00A478E9">
        <w:rPr>
          <w:i/>
          <w:iCs/>
        </w:rPr>
        <w:t>majjhima</w:t>
      </w:r>
      <w:proofErr w:type="spellEnd"/>
      <w:r>
        <w:t>)”; con diez o más años de antigüedad se le llama “Venerable (</w:t>
      </w:r>
      <w:proofErr w:type="spellStart"/>
      <w:r w:rsidRPr="00A478E9">
        <w:rPr>
          <w:i/>
          <w:iCs/>
        </w:rPr>
        <w:t>thera</w:t>
      </w:r>
      <w:proofErr w:type="spellEnd"/>
      <w:r>
        <w:t xml:space="preserve">) </w:t>
      </w:r>
      <w:proofErr w:type="spellStart"/>
      <w:r w:rsidRPr="00057BF4">
        <w:rPr>
          <w:i/>
          <w:iCs/>
        </w:rPr>
        <w:t>bhikkhu</w:t>
      </w:r>
      <w:proofErr w:type="spellEnd"/>
      <w:r>
        <w:t>”.</w:t>
      </w:r>
    </w:p>
    <w:p w14:paraId="62CB2178" w14:textId="77777777" w:rsidR="003A5C97" w:rsidRDefault="003A5C97" w:rsidP="003A5C97">
      <w:pPr>
        <w:tabs>
          <w:tab w:val="clear" w:pos="425"/>
        </w:tabs>
        <w:spacing w:after="160"/>
      </w:pPr>
      <w:r>
        <w:br w:type="page"/>
      </w:r>
    </w:p>
    <w:p w14:paraId="25CFE385" w14:textId="18039CDF" w:rsidR="003A5C97" w:rsidRPr="00EE1884" w:rsidRDefault="003A5C97" w:rsidP="003A5C97">
      <w:pPr>
        <w:rPr>
          <w:vertAlign w:val="superscript"/>
        </w:rPr>
      </w:pPr>
      <w:r>
        <w:lastRenderedPageBreak/>
        <w:t xml:space="preserve">32. </w:t>
      </w:r>
      <w:r>
        <w:tab/>
        <w:t xml:space="preserve">El Venerable visitante entró a su alojamiento. Pensó: “Ahora mi amigo me enviará </w:t>
      </w:r>
      <w:proofErr w:type="spellStart"/>
      <w:r w:rsidRPr="006B5BF3">
        <w:rPr>
          <w:i/>
          <w:iCs/>
        </w:rPr>
        <w:t>ghee</w:t>
      </w:r>
      <w:proofErr w:type="spellEnd"/>
      <w:r>
        <w:t xml:space="preserve"> o melaza o alguna bebida; ya que ha vivido mucho tiempo en esta ciudad. Esa noche no recibió nada y </w:t>
      </w:r>
      <w:r w:rsidR="001F0A66">
        <w:t>durante</w:t>
      </w:r>
      <w:r>
        <w:t xml:space="preserve"> la mañana pensó: “Ahora me enviará gachas de arroz y comida sólida enviada por sus seguidores”. Cuando no </w:t>
      </w:r>
      <w:r w:rsidR="00874871">
        <w:t xml:space="preserve">recibió </w:t>
      </w:r>
      <w:r>
        <w:t>nada, pensó: “No ha</w:t>
      </w:r>
      <w:r w:rsidR="00874871">
        <w:t>brá</w:t>
      </w:r>
      <w:r>
        <w:t xml:space="preserve"> quien se lo traiga. Sin duda lo darán cuando entremos a la ciudad. Temprano </w:t>
      </w:r>
      <w:r w:rsidR="00874871">
        <w:t xml:space="preserve">por </w:t>
      </w:r>
      <w:r>
        <w:t>la mañana</w:t>
      </w:r>
      <w:r w:rsidR="00874871">
        <w:t>,</w:t>
      </w:r>
      <w:r>
        <w:t xml:space="preserve"> fueron juntos al pueblo. Cuando hubieron deambulado por una calle y no consiguieron más que un cucharón de gachas, se sentaron en un salón </w:t>
      </w:r>
      <w:r w:rsidR="00874871">
        <w:t>para</w:t>
      </w:r>
      <w:r>
        <w:t xml:space="preserve"> beberlo.</w:t>
      </w:r>
      <w:r>
        <w:rPr>
          <w:vertAlign w:val="superscript"/>
        </w:rPr>
        <w:t>33</w:t>
      </w:r>
    </w:p>
    <w:p w14:paraId="33582083" w14:textId="77777777" w:rsidR="003A5C97" w:rsidRDefault="003A5C97" w:rsidP="003A5C97">
      <w:r>
        <w:t xml:space="preserve">33. </w:t>
      </w:r>
      <w:r>
        <w:tab/>
        <w:t xml:space="preserve">Entonces el visitante pensó: “Tal vez no haya una entrega individual de gachas. Pero tan pronto como sea la hora de la comida, la gente ofrecerá comida especial”. Pero cuando llegó la hora de la comida, comieron lo que habían obtenido deambulando en busca de ofrendas. Entonces el visitante dijo: “Venerable señor, ¿cómo es esto? ¿Vive de esta manera todo el tiempo?”—“Sí, amigo.”—“Venerable señor, </w:t>
      </w:r>
      <w:proofErr w:type="spellStart"/>
      <w:r>
        <w:t>Pācīnakhaṇḍarājī</w:t>
      </w:r>
      <w:proofErr w:type="spellEnd"/>
      <w:r>
        <w:t xml:space="preserve"> es considerablemente cómodo; vayamos allá. Ahora bien, cuando el Venerable salió de la ciudad [91] por la puerta sur, tomó el camino </w:t>
      </w:r>
      <w:proofErr w:type="spellStart"/>
      <w:r>
        <w:t>Kumbhakāragāma</w:t>
      </w:r>
      <w:proofErr w:type="spellEnd"/>
      <w:r>
        <w:t xml:space="preserve"> [que conduce a </w:t>
      </w:r>
      <w:proofErr w:type="spellStart"/>
      <w:r>
        <w:t>Pācīnakhaṇḍarājī</w:t>
      </w:r>
      <w:proofErr w:type="spellEnd"/>
      <w:r>
        <w:t xml:space="preserve">]. El visitante preguntó: “Pero, Venerable señor, ¿por qué toma ese camino?”—“¿No recomendó ir a </w:t>
      </w:r>
      <w:proofErr w:type="spellStart"/>
      <w:r>
        <w:t>Pācīnakhaṇḍarājī</w:t>
      </w:r>
      <w:proofErr w:type="spellEnd"/>
      <w:r>
        <w:t>, amigo?”— “Pero ¿cómo es eso, Venerable señor? ¿No tiene pertenencias adicionales en el lugar donde ha vivido por tanto tiempo?”—“Así es, amigo. La cama y la silla pertenecen a la Comunidad y están guardadas [como de costumbre]. No hay nada más.”—“Pero, Venerable señor, he dejado allí mi bastón, mi tubo de aceite y mi bolsa de sandalias.”—“¿Tanto ha acumulado ya, amigo, viviendo allí solo un día?”— “Sí, Venerable Señor.</w:t>
      </w:r>
    </w:p>
    <w:p w14:paraId="56E40819" w14:textId="77777777" w:rsidR="003A5C97" w:rsidRDefault="003A5C97" w:rsidP="003A5C97">
      <w:r>
        <w:t xml:space="preserve">34. </w:t>
      </w:r>
      <w:r>
        <w:tab/>
        <w:t xml:space="preserve">Se alegró en su corazón, y rindió reverencia al Venerable: “Para aquellos como el Venerable Señor, en todas partes habrá una vivienda en el bosque. </w:t>
      </w:r>
      <w:proofErr w:type="spellStart"/>
      <w:r>
        <w:t>Thūpārāma</w:t>
      </w:r>
      <w:proofErr w:type="spellEnd"/>
      <w:r>
        <w:t xml:space="preserve"> es un lugar donde están preservadas las reliquias de cuatro </w:t>
      </w:r>
      <w:r w:rsidRPr="00057BF4">
        <w:rPr>
          <w:i/>
        </w:rPr>
        <w:t>Buddha</w:t>
      </w:r>
      <w:r>
        <w:t xml:space="preserve">s; hay una adecuada audiencia de </w:t>
      </w:r>
      <w:r w:rsidRPr="00057BF4">
        <w:rPr>
          <w:i/>
          <w:iCs/>
        </w:rPr>
        <w:t>Dhamma</w:t>
      </w:r>
      <w:r>
        <w:t xml:space="preserve"> en el Palacio de Bronce; está el Gran Santuario a la vista; y uno puede visitar a los Venerables. Es como durante la época del </w:t>
      </w:r>
      <w:r w:rsidRPr="00057BF4">
        <w:rPr>
          <w:i/>
        </w:rPr>
        <w:t>Buddha</w:t>
      </w:r>
      <w:r>
        <w:t>. Es aquí donde debe vivir”. Al día siguiente tomó su cuenco y su ropaje [exterior] y se marchó solo. No es impedimento para alguien así.</w:t>
      </w:r>
    </w:p>
    <w:p w14:paraId="05177E01" w14:textId="77777777" w:rsidR="003A5C97" w:rsidRDefault="003A5C97" w:rsidP="003A5C97">
      <w:r>
        <w:t xml:space="preserve">35. </w:t>
      </w:r>
      <w:r>
        <w:tab/>
        <w:t xml:space="preserve">2 Por </w:t>
      </w:r>
      <w:r w:rsidRPr="00FE7195">
        <w:rPr>
          <w:i/>
          <w:iCs/>
        </w:rPr>
        <w:t>familia</w:t>
      </w:r>
      <w:r>
        <w:t xml:space="preserve"> se entiende una familia compuesta por parientes o personas a cargo. Incluso una familia formada por patronos de la orden será un impedimento para alguien que conviva en estrecha asociación con ella según el pasaje que comienza: "Él se complace cuando ellos están complacidos" (S III 11), y ni siquiera visitaría un monasterio vecino para escuchar el </w:t>
      </w:r>
      <w:r w:rsidRPr="00057BF4">
        <w:rPr>
          <w:i/>
          <w:iCs/>
        </w:rPr>
        <w:t>Dhamma</w:t>
      </w:r>
      <w:r>
        <w:t xml:space="preserve"> sin los miembros de esa familia.</w:t>
      </w:r>
    </w:p>
    <w:p w14:paraId="71499472" w14:textId="77777777" w:rsidR="003A5C97" w:rsidRDefault="003A5C97" w:rsidP="003A5C97">
      <w:r>
        <w:t xml:space="preserve">36. </w:t>
      </w:r>
      <w:r>
        <w:tab/>
        <w:t xml:space="preserve">Pero incluso la madre y el padre no sería un impedimento en otros, como en el caso de un joven </w:t>
      </w:r>
      <w:proofErr w:type="spellStart"/>
      <w:r w:rsidRPr="00057BF4">
        <w:rPr>
          <w:i/>
          <w:iCs/>
        </w:rPr>
        <w:t>bhikkhu</w:t>
      </w:r>
      <w:proofErr w:type="spellEnd"/>
      <w:r>
        <w:t xml:space="preserve">, sobrino de un Venerable que vivía en el Monasterio </w:t>
      </w:r>
      <w:proofErr w:type="spellStart"/>
      <w:r>
        <w:t>Koraṇḍaka</w:t>
      </w:r>
      <w:proofErr w:type="spellEnd"/>
      <w:r>
        <w:t xml:space="preserve">. Parece que fue a </w:t>
      </w:r>
      <w:proofErr w:type="spellStart"/>
      <w:r>
        <w:t>Rohaṇa</w:t>
      </w:r>
      <w:proofErr w:type="spellEnd"/>
      <w:r>
        <w:t xml:space="preserve"> en busca de instrucción. La hermana del Venerable, que era una devota laica, siempre le preguntaba al Venerable cómo estaba su hijo. Un día, el Venerable partió hacia </w:t>
      </w:r>
      <w:proofErr w:type="spellStart"/>
      <w:r>
        <w:t>Rohaṇa</w:t>
      </w:r>
      <w:proofErr w:type="spellEnd"/>
      <w:r>
        <w:t xml:space="preserve"> para buscarlo.</w:t>
      </w:r>
    </w:p>
    <w:p w14:paraId="2ED0E070" w14:textId="77777777" w:rsidR="003A5C97" w:rsidRDefault="003A5C97" w:rsidP="003A5C97">
      <w:r>
        <w:t xml:space="preserve">37. </w:t>
      </w:r>
      <w:r>
        <w:tab/>
        <w:t xml:space="preserve">El joven monje también pensó: “He vivido aquí durante mucho tiempo. Ahora podría ir a visitar a mi preceptor y averiguar cómo está el devoto laico”, y se fue de </w:t>
      </w:r>
      <w:proofErr w:type="spellStart"/>
      <w:r>
        <w:t>Rohaṇa</w:t>
      </w:r>
      <w:proofErr w:type="spellEnd"/>
      <w:r>
        <w:t xml:space="preserve">. Los dos se </w:t>
      </w:r>
    </w:p>
    <w:p w14:paraId="1E3EE874" w14:textId="77777777" w:rsidR="003A5C97" w:rsidRPr="00700A71" w:rsidRDefault="003A5C97" w:rsidP="003A5C97">
      <w:pPr>
        <w:pStyle w:val="PiedepginaLegal"/>
        <w:rPr>
          <w:u w:val="single"/>
        </w:rPr>
      </w:pPr>
      <w:r w:rsidRPr="00700A71">
        <w:rPr>
          <w:u w:val="single"/>
        </w:rPr>
        <w:t xml:space="preserve">                                                                                                                                               .</w:t>
      </w:r>
    </w:p>
    <w:p w14:paraId="6E6873B8" w14:textId="77777777" w:rsidR="003A5C97" w:rsidRDefault="003A5C97" w:rsidP="003A5C97">
      <w:pPr>
        <w:pStyle w:val="PiedepginaLegal"/>
      </w:pPr>
      <w:r>
        <w:t xml:space="preserve">13. </w:t>
      </w:r>
      <w:r>
        <w:tab/>
        <w:t>La última oración aquí podría referirse a una distribución masiva gratuita de gachas (</w:t>
      </w:r>
      <w:proofErr w:type="spellStart"/>
      <w:r w:rsidRPr="00FE7195">
        <w:rPr>
          <w:i/>
          <w:iCs/>
        </w:rPr>
        <w:t>yāgu</w:t>
      </w:r>
      <w:proofErr w:type="spellEnd"/>
      <w:r>
        <w:t xml:space="preserve">), que parece haber sido más o menos constante en </w:t>
      </w:r>
      <w:proofErr w:type="spellStart"/>
      <w:r>
        <w:t>Anurādhapura</w:t>
      </w:r>
      <w:proofErr w:type="spellEnd"/>
      <w:r>
        <w:t>.</w:t>
      </w:r>
    </w:p>
    <w:p w14:paraId="382C41EC" w14:textId="77777777" w:rsidR="003A5C97" w:rsidRDefault="003A5C97" w:rsidP="003A5C97">
      <w:pPr>
        <w:tabs>
          <w:tab w:val="clear" w:pos="425"/>
        </w:tabs>
        <w:spacing w:after="160"/>
      </w:pPr>
      <w:r>
        <w:br w:type="page"/>
      </w:r>
    </w:p>
    <w:p w14:paraId="14E9B9C1" w14:textId="77777777" w:rsidR="003A5C97" w:rsidRDefault="003A5C97" w:rsidP="003A5C97"/>
    <w:p w14:paraId="6587CB5F" w14:textId="77777777" w:rsidR="003A5C97" w:rsidRDefault="003A5C97" w:rsidP="003A5C97">
      <w:r>
        <w:t xml:space="preserve">encontraron a orillas de un río [el </w:t>
      </w:r>
      <w:proofErr w:type="spellStart"/>
      <w:r>
        <w:t>Mahaveli</w:t>
      </w:r>
      <w:proofErr w:type="spellEnd"/>
      <w:r>
        <w:t xml:space="preserve">]. Éste cumplió los deberes con el Venerable al pie de un árbol. Cuando se le preguntó, "¿A dónde va?" le contó su propósito. El Venerable dijo: “Ha hecho bien. La devota laica siempre pregunta por usted. Por eso iba de regreso. Puede dirigirse a su destino, yo me quedaré aquí durante la estación de lluvias”, y lo despidió. [92] El joven </w:t>
      </w:r>
      <w:proofErr w:type="spellStart"/>
      <w:r>
        <w:rPr>
          <w:i/>
          <w:iCs/>
        </w:rPr>
        <w:t>bhikkhu</w:t>
      </w:r>
      <w:proofErr w:type="spellEnd"/>
      <w:r>
        <w:t xml:space="preserve"> llegó al monasterio el mismo día para su residencia durante las Lluvias. El alojamiento que se le asignó resultó ser aquel cuya responsabilidad había sido asumida por su padre.</w:t>
      </w:r>
    </w:p>
    <w:p w14:paraId="2591E670" w14:textId="77777777" w:rsidR="003A5C97" w:rsidRDefault="003A5C97" w:rsidP="003A5C97">
      <w:r>
        <w:t xml:space="preserve">38. </w:t>
      </w:r>
      <w:r>
        <w:tab/>
        <w:t xml:space="preserve">Su padre llegó al día siguiente y preguntó: "¿A quién se le ha asignado nuestro alojamiento, Venerables señores?" Cuando escuchó que había recaído en un joven visitante, se acercó a él. Después de rendirle reverencia, dijo: “Venerable Señor, hay una obligación para el que haya tomado residencia durante las Lluvias en nuestro alojamiento.”— “¿Cuál es, seguidor laico?”—“Es tomar ofrendas de alimentos solo en nuestra casa durante los tres meses, y hacernos saber la hora de su partida después de la ceremonia </w:t>
      </w:r>
      <w:proofErr w:type="spellStart"/>
      <w:r w:rsidRPr="00FE7195">
        <w:rPr>
          <w:i/>
          <w:iCs/>
        </w:rPr>
        <w:t>Pavāraṇā</w:t>
      </w:r>
      <w:proofErr w:type="spellEnd"/>
      <w:r>
        <w:t>”. Él asintió en silencio. El devoto laico fue a su casa y le dijo a su esposa: “Hay un señor visitante que se ha instalado durante las Lluvias en nuestro alojamiento. Debe ser atendido cuidadosamente”, así que ella estuvo de acuerdo. Ella preparó buena comida de varios tipos para él.</w:t>
      </w:r>
      <w:r>
        <w:rPr>
          <w:vertAlign w:val="superscript"/>
        </w:rPr>
        <w:t>14</w:t>
      </w:r>
      <w:r>
        <w:t xml:space="preserve"> Aunque el joven fue a la casa de sus padres a la hora de la comida, nadie lo reconoció.</w:t>
      </w:r>
    </w:p>
    <w:p w14:paraId="694211E1" w14:textId="77777777" w:rsidR="003A5C97" w:rsidRDefault="003A5C97" w:rsidP="003A5C97">
      <w:r>
        <w:t>39.</w:t>
      </w:r>
      <w:r>
        <w:tab/>
        <w:t xml:space="preserve">Cuando hubo comido ofrendas allí durante los tres meses y hubo terminado la residencia de la estación de Lluvias, anunció su partida. Entonces sus padres dijeron: “Que sea mañana, Venerable Señor”, y al día siguiente, cuando lo hubieron alimentado en su casa, le llenaran el tubo de aceite, le dieran un terrón de azúcar y una tela de nueve codos, ellos le dijeron: “Ahora usted puede partir, Venerable Señor”. El joven </w:t>
      </w:r>
      <w:proofErr w:type="spellStart"/>
      <w:r>
        <w:rPr>
          <w:i/>
          <w:iCs/>
        </w:rPr>
        <w:t>bhikkhu</w:t>
      </w:r>
      <w:proofErr w:type="spellEnd"/>
      <w:r>
        <w:rPr>
          <w:i/>
          <w:iCs/>
        </w:rPr>
        <w:t xml:space="preserve"> </w:t>
      </w:r>
      <w:r w:rsidRPr="008657D3">
        <w:t>d</w:t>
      </w:r>
      <w:r>
        <w:t xml:space="preserve">io su bendición y partió hacia </w:t>
      </w:r>
      <w:proofErr w:type="spellStart"/>
      <w:r>
        <w:t>Rohaṇa</w:t>
      </w:r>
      <w:proofErr w:type="spellEnd"/>
      <w:r>
        <w:t>.</w:t>
      </w:r>
    </w:p>
    <w:p w14:paraId="26B4D19C" w14:textId="77777777" w:rsidR="003A5C97" w:rsidRDefault="003A5C97" w:rsidP="003A5C97">
      <w:r>
        <w:t xml:space="preserve">40. </w:t>
      </w:r>
      <w:r>
        <w:tab/>
        <w:t xml:space="preserve">Su preceptor había completado la ceremonia </w:t>
      </w:r>
      <w:proofErr w:type="spellStart"/>
      <w:r>
        <w:rPr>
          <w:i/>
          <w:iCs/>
        </w:rPr>
        <w:t>Pāvaraṇā</w:t>
      </w:r>
      <w:proofErr w:type="spellEnd"/>
      <w:r>
        <w:t xml:space="preserve"> y se encontraba de regreso. Se encontraron en el mismo lugar que antes. Hizo los deberes del Venerable al pie de un árbol. El Venerable le preguntó: "¿Cómo le fue, querido joven, vio a la buena mujer devota laica?" Él respondió: “Sí, Venerable Señor”, y le contó todo lo que había sucedido. Luego ungió los pies del Venerable con aceite, le preparó una bebida con azúcar y le entregó el trozo de tela. Luego, después de rendir reverencia al Venerable, le dijo: “Venerable Señor, solo </w:t>
      </w:r>
      <w:proofErr w:type="spellStart"/>
      <w:r>
        <w:t>Rohaṇa</w:t>
      </w:r>
      <w:proofErr w:type="spellEnd"/>
      <w:r>
        <w:t xml:space="preserve"> me conviene”, y se marchó. El Venerable también regresó a su monasterio y al día siguiente fue al pueblo de </w:t>
      </w:r>
      <w:proofErr w:type="spellStart"/>
      <w:r>
        <w:t>Koraṇḍaka</w:t>
      </w:r>
      <w:proofErr w:type="spellEnd"/>
      <w:r>
        <w:t>.</w:t>
      </w:r>
    </w:p>
    <w:p w14:paraId="01DA2498" w14:textId="77777777" w:rsidR="003A5C97" w:rsidRDefault="003A5C97" w:rsidP="003A5C97">
      <w:r>
        <w:t xml:space="preserve">41. </w:t>
      </w:r>
      <w:r>
        <w:tab/>
        <w:t>La devota laica, su hermana, siempre había estado mirando hacia el camino, pensando: "Mi hermano ahora vendrá con mi hijo". Cuando lo vio venir solo, pensó: “Mi hijo debe estar muerto; por eso el Venerable viene solo”, y se echó ante los pies del Venerable, lamentándose y llorando. Sospechando que debía ser por falta de voluntad que el joven se habría ido sin anunciarse, [93] el Venerable la consoló y le contó todo lo sucedido, y sacó de su bolsa el trozo de tela y se lo mostró a ella.</w:t>
      </w:r>
    </w:p>
    <w:p w14:paraId="28BA834F" w14:textId="77777777" w:rsidR="003A5C97" w:rsidRDefault="003A5C97" w:rsidP="003A5C97"/>
    <w:p w14:paraId="164C2800" w14:textId="77777777" w:rsidR="003A5C97" w:rsidRPr="00E03C98" w:rsidRDefault="003A5C97" w:rsidP="003A5C97">
      <w:pPr>
        <w:pStyle w:val="PiedepginaLegal"/>
        <w:rPr>
          <w:u w:val="single"/>
        </w:rPr>
      </w:pPr>
      <w:r w:rsidRPr="00E03C98">
        <w:rPr>
          <w:u w:val="single"/>
        </w:rPr>
        <w:t xml:space="preserve">                                                                                                                                                       .</w:t>
      </w:r>
    </w:p>
    <w:p w14:paraId="02A73842" w14:textId="77777777" w:rsidR="003A5C97" w:rsidRDefault="003A5C97" w:rsidP="003A5C97">
      <w:pPr>
        <w:pStyle w:val="PiedepginaLegal"/>
      </w:pPr>
      <w:r>
        <w:t xml:space="preserve">14. </w:t>
      </w:r>
      <w:r>
        <w:tab/>
        <w:t xml:space="preserve">Es habitual traducir la frase hecha </w:t>
      </w:r>
      <w:proofErr w:type="spellStart"/>
      <w:r w:rsidRPr="00FE7195">
        <w:rPr>
          <w:i/>
          <w:iCs/>
        </w:rPr>
        <w:t>paṇītaṃ</w:t>
      </w:r>
      <w:proofErr w:type="spellEnd"/>
      <w:r w:rsidRPr="00FE7195">
        <w:rPr>
          <w:i/>
          <w:iCs/>
        </w:rPr>
        <w:t xml:space="preserve"> </w:t>
      </w:r>
      <w:proofErr w:type="spellStart"/>
      <w:r w:rsidRPr="00FE7195">
        <w:rPr>
          <w:i/>
          <w:iCs/>
        </w:rPr>
        <w:t>khādanīyaṃ</w:t>
      </w:r>
      <w:proofErr w:type="spellEnd"/>
      <w:r w:rsidRPr="00FE7195">
        <w:rPr>
          <w:i/>
          <w:iCs/>
        </w:rPr>
        <w:t xml:space="preserve"> </w:t>
      </w:r>
      <w:proofErr w:type="spellStart"/>
      <w:r w:rsidRPr="00FE7195">
        <w:rPr>
          <w:i/>
          <w:iCs/>
        </w:rPr>
        <w:t>bhojanīyaṃ</w:t>
      </w:r>
      <w:proofErr w:type="spellEnd"/>
      <w:r>
        <w:t xml:space="preserve"> por alguna frase como “comida suntuosa tanto dura como blanda”, la cual es literal pero suena poco familiar.</w:t>
      </w:r>
    </w:p>
    <w:p w14:paraId="6425EE8D" w14:textId="77777777" w:rsidR="003A5C97" w:rsidRDefault="003A5C97" w:rsidP="003A5C97">
      <w:r>
        <w:br w:type="page"/>
      </w:r>
    </w:p>
    <w:p w14:paraId="1E3D885E" w14:textId="77777777" w:rsidR="003A5C97" w:rsidRDefault="003A5C97" w:rsidP="003A5C97"/>
    <w:p w14:paraId="39A55345" w14:textId="77777777" w:rsidR="003A5C97" w:rsidRDefault="003A5C97" w:rsidP="003A5C97">
      <w:r>
        <w:t xml:space="preserve">42. </w:t>
      </w:r>
      <w:r>
        <w:tab/>
        <w:t xml:space="preserve">Ella se apaciguó. Se postró hacia la dirección tomada por su hijo y dijo: “Seguramente el </w:t>
      </w:r>
      <w:r w:rsidRPr="00D46938">
        <w:rPr>
          <w:i/>
          <w:iCs/>
        </w:rPr>
        <w:t>Bhagavā</w:t>
      </w:r>
      <w:r>
        <w:t xml:space="preserve"> le ha mostrado el camino de </w:t>
      </w:r>
      <w:proofErr w:type="spellStart"/>
      <w:r>
        <w:t>Rathavinīta</w:t>
      </w:r>
      <w:proofErr w:type="spellEnd"/>
      <w:r>
        <w:t xml:space="preserve">, el camino de </w:t>
      </w:r>
      <w:proofErr w:type="spellStart"/>
      <w:r>
        <w:t>Nālaka</w:t>
      </w:r>
      <w:proofErr w:type="spellEnd"/>
      <w:r>
        <w:t xml:space="preserve">, el camino de </w:t>
      </w:r>
      <w:proofErr w:type="spellStart"/>
      <w:r>
        <w:t>Tuvaṭaka</w:t>
      </w:r>
      <w:proofErr w:type="spellEnd"/>
      <w:r>
        <w:t xml:space="preserve"> y el sendero de las herencias de los grandes Nobles,</w:t>
      </w:r>
      <w:r>
        <w:rPr>
          <w:vertAlign w:val="superscript"/>
        </w:rPr>
        <w:t>15</w:t>
      </w:r>
      <w:r>
        <w:t xml:space="preserve"> de mostrar contentamiento con los cuatro requisitos y la satisfacción en su desarrollo, haciendo de un </w:t>
      </w:r>
      <w:proofErr w:type="spellStart"/>
      <w:r w:rsidRPr="00057BF4">
        <w:rPr>
          <w:i/>
          <w:iCs/>
        </w:rPr>
        <w:t>bhikkhu</w:t>
      </w:r>
      <w:proofErr w:type="spellEnd"/>
      <w:r>
        <w:t xml:space="preserve"> a alguien como mi hijo, un </w:t>
      </w:r>
      <w:proofErr w:type="gramStart"/>
      <w:r>
        <w:t>testigo presencial</w:t>
      </w:r>
      <w:proofErr w:type="gramEnd"/>
      <w:r>
        <w:t>. Así que, aunque durante tres meses hubo comido en la casa de la madre que lo parió, y nunca dijo: ¡Soy su hijo, usted es mi madre! ¡Oh, hombre admirable!” Incluso la madre y el padre no fueron un impedimento para alguien como él, y mucho menos lo será cualquier otra familia que lo mantenga.</w:t>
      </w:r>
    </w:p>
    <w:p w14:paraId="16783EBB" w14:textId="77777777" w:rsidR="003A5C97" w:rsidRDefault="003A5C97" w:rsidP="003A5C97">
      <w:r>
        <w:t xml:space="preserve">43. </w:t>
      </w:r>
      <w:r>
        <w:tab/>
        <w:t xml:space="preserve">3. La </w:t>
      </w:r>
      <w:r w:rsidRPr="00FE7195">
        <w:rPr>
          <w:i/>
          <w:iCs/>
        </w:rPr>
        <w:t>ganancia</w:t>
      </w:r>
      <w:r>
        <w:t xml:space="preserve"> se refiere a los cuatro requisitos. ¿Cómo son un impedimento? Dondequiera que vaya un meritorio</w:t>
      </w:r>
      <w:r w:rsidRPr="00057BF4">
        <w:rPr>
          <w:i/>
        </w:rPr>
        <w:t xml:space="preserve"> </w:t>
      </w:r>
      <w:proofErr w:type="spellStart"/>
      <w:r w:rsidRPr="00057BF4">
        <w:rPr>
          <w:i/>
        </w:rPr>
        <w:t>bhikkhu</w:t>
      </w:r>
      <w:proofErr w:type="spellEnd"/>
      <w:r>
        <w:t xml:space="preserve">, la gente le dará una gran cantidad de requisitos. Al darles bendiciones y enseñarles el </w:t>
      </w:r>
      <w:r w:rsidRPr="00057BF4">
        <w:rPr>
          <w:i/>
        </w:rPr>
        <w:t>Dhamma</w:t>
      </w:r>
      <w:r>
        <w:t>, no tendrá la oportunidad de cumplir con los deberes de asceta. Desde el amanecer hasta la primera vigilia de la noche nunca cortará su asociación con la gente. Nuevamente, incluso al amanecer, los comedores de ofrenda de alimentos aficionados a la opulencia vendrán y dirán: "Venerable Señor, tal o cual hombre seguidor laico, mujer seguidora laica, amigo, hija de mi amigo, quiere verlo", y estando listo para ir, él responderá: "Tome el cuenco y el ropaje, amigo". Por eso siempre estará alerta. Así, estos requisitos serán un impedimento para él. Si es así él deberá dejar su grupo y deambular solo por donde no se le conozca. Así será como cortará con su impedimento.</w:t>
      </w:r>
    </w:p>
    <w:p w14:paraId="1E0B5C69" w14:textId="77777777" w:rsidR="003A5C97" w:rsidRDefault="003A5C97" w:rsidP="003A5C97">
      <w:r>
        <w:t xml:space="preserve">44. </w:t>
      </w:r>
      <w:r>
        <w:tab/>
        <w:t xml:space="preserve">4 </w:t>
      </w:r>
      <w:r w:rsidRPr="00FE7195">
        <w:rPr>
          <w:i/>
          <w:iCs/>
        </w:rPr>
        <w:t>Clase</w:t>
      </w:r>
      <w:r>
        <w:t xml:space="preserve"> se refiere a una clase (o grupo) de estudiantes de los </w:t>
      </w:r>
      <w:r w:rsidRPr="00F317E0">
        <w:rPr>
          <w:i/>
          <w:iCs/>
        </w:rPr>
        <w:t>suttas</w:t>
      </w:r>
      <w:r>
        <w:t xml:space="preserve"> o del </w:t>
      </w:r>
      <w:proofErr w:type="spellStart"/>
      <w:r w:rsidRPr="00FE7195">
        <w:rPr>
          <w:i/>
          <w:iCs/>
        </w:rPr>
        <w:t>Abhi</w:t>
      </w:r>
      <w:r w:rsidRPr="00057BF4">
        <w:rPr>
          <w:i/>
          <w:iCs/>
        </w:rPr>
        <w:t>dhamma</w:t>
      </w:r>
      <w:proofErr w:type="spellEnd"/>
      <w:r>
        <w:t xml:space="preserve"> bajo su cargo. Si con la instrucción y el cuestionamiento del grupo no tiene oportunidad de desarrollarse con los deberes de asceta, entonces ese grupo será un impedimento para él. Deberá cortar con ese impedimento de esta manera: si esos </w:t>
      </w:r>
      <w:proofErr w:type="spellStart"/>
      <w:r w:rsidRPr="00057BF4">
        <w:rPr>
          <w:i/>
        </w:rPr>
        <w:t>bhikkhu</w:t>
      </w:r>
      <w:r>
        <w:t>s</w:t>
      </w:r>
      <w:proofErr w:type="spellEnd"/>
      <w:r>
        <w:t xml:space="preserve"> ya han aprendido la parte principal y queda poco por exponer, deberá terminar con ello y luego dirigirse al bosque. Si han aprendido poco y queda mucho por enseñar, [94] deberá, sin viajar más de una legua, acercarse a otro maestro de otra clase dentro del radio de una legua y decirle: "Ayude a esos Venerables en su instrucción, etc." Si no encontrara a nadie por ese camino, deberá despedirse de la clase, diciendo. “Tengo una tarea que cumplir, amigos; vayan adonde les convenga”, y él deberá hacer su propio trabajo.</w:t>
      </w:r>
    </w:p>
    <w:p w14:paraId="34E4DEC5" w14:textId="77777777" w:rsidR="003A5C97" w:rsidRDefault="003A5C97" w:rsidP="003A5C97">
      <w:r>
        <w:t>45.</w:t>
      </w:r>
      <w:r>
        <w:tab/>
        <w:t xml:space="preserve">5. La </w:t>
      </w:r>
      <w:r>
        <w:rPr>
          <w:i/>
          <w:iCs/>
        </w:rPr>
        <w:t>construcción</w:t>
      </w:r>
      <w:r>
        <w:t xml:space="preserve"> (</w:t>
      </w:r>
      <w:proofErr w:type="spellStart"/>
      <w:r w:rsidRPr="00057BF4">
        <w:rPr>
          <w:i/>
          <w:iCs/>
        </w:rPr>
        <w:t>kamma</w:t>
      </w:r>
      <w:proofErr w:type="spellEnd"/>
      <w:r>
        <w:t>) se refiere a un nuevo trabajo de construcción (</w:t>
      </w:r>
      <w:r w:rsidRPr="00FE7195">
        <w:rPr>
          <w:i/>
          <w:iCs/>
        </w:rPr>
        <w:t>nava-</w:t>
      </w:r>
      <w:proofErr w:type="spellStart"/>
      <w:r w:rsidRPr="00057BF4">
        <w:rPr>
          <w:i/>
          <w:iCs/>
        </w:rPr>
        <w:t>kamma</w:t>
      </w:r>
      <w:proofErr w:type="spellEnd"/>
      <w:r>
        <w:t xml:space="preserve">). Dado que alguien que se dedique a esto deberá saber qué [material] haya sido obtenido y no obtenido por los carpinteros, etc., y deberá ver qué se habrá hecho y qué no, esto siempre resultará un impedimento. Deberá ser cortado de esta manera. Si queda poco, deberá completarse el proyecto. Si quedara mucho, deberá entregarse a la Comunidad o si se tratara de una nueva edificación para la Comunidad a los </w:t>
      </w:r>
      <w:proofErr w:type="spellStart"/>
      <w:r w:rsidRPr="00057BF4">
        <w:rPr>
          <w:i/>
          <w:iCs/>
        </w:rPr>
        <w:t>bhikkhu</w:t>
      </w:r>
      <w:r w:rsidRPr="00FE7195">
        <w:rPr>
          <w:i/>
          <w:iCs/>
        </w:rPr>
        <w:t>s</w:t>
      </w:r>
      <w:proofErr w:type="spellEnd"/>
      <w:r>
        <w:t xml:space="preserve"> a quienes se les confíen los asuntos de la Comunidad; o si fuera para él, deberá ser entregada a aquellos a quienes confíe sus propios asuntos, pero si estos no estuvieran disponibles, deberá ser entregado a la Comunidad y marcharse.</w:t>
      </w:r>
    </w:p>
    <w:p w14:paraId="4B42EF00" w14:textId="77777777" w:rsidR="003A5C97" w:rsidRPr="009123A1" w:rsidRDefault="003A5C97" w:rsidP="003A5C97">
      <w:pPr>
        <w:pStyle w:val="PiedepginaLegal"/>
        <w:rPr>
          <w:u w:val="single"/>
        </w:rPr>
      </w:pPr>
      <w:r w:rsidRPr="009123A1">
        <w:rPr>
          <w:u w:val="single"/>
        </w:rPr>
        <w:t xml:space="preserve">                                                                                                                                                        .</w:t>
      </w:r>
    </w:p>
    <w:p w14:paraId="61D7BF1F" w14:textId="0D6301F8" w:rsidR="003A5C97" w:rsidRDefault="003A5C97" w:rsidP="003A5C97">
      <w:pPr>
        <w:pStyle w:val="PiedepginaLegal"/>
      </w:pPr>
      <w:r>
        <w:t xml:space="preserve">15. </w:t>
      </w:r>
      <w:r>
        <w:tab/>
        <w:t xml:space="preserve">“El sendero de </w:t>
      </w:r>
      <w:proofErr w:type="spellStart"/>
      <w:r w:rsidRPr="00FE7195">
        <w:rPr>
          <w:i/>
          <w:iCs/>
        </w:rPr>
        <w:t>Rathavinīta</w:t>
      </w:r>
      <w:proofErr w:type="spellEnd"/>
      <w:r>
        <w:t xml:space="preserve"> (</w:t>
      </w:r>
      <w:proofErr w:type="spellStart"/>
      <w:r w:rsidRPr="00FE7195">
        <w:rPr>
          <w:i/>
          <w:iCs/>
        </w:rPr>
        <w:t>Rathavinīta-paṭipadā</w:t>
      </w:r>
      <w:proofErr w:type="spellEnd"/>
      <w:r>
        <w:t xml:space="preserve">)”: ésta es una referencia a ciertos </w:t>
      </w:r>
      <w:r w:rsidRPr="00FE7195">
        <w:rPr>
          <w:i/>
          <w:iCs/>
        </w:rPr>
        <w:t>suttas</w:t>
      </w:r>
      <w:r>
        <w:t xml:space="preserve"> que fueron adoptados por unos </w:t>
      </w:r>
      <w:proofErr w:type="spellStart"/>
      <w:r w:rsidRPr="00057BF4">
        <w:rPr>
          <w:i/>
          <w:iCs/>
        </w:rPr>
        <w:t>bhikkhu</w:t>
      </w:r>
      <w:r w:rsidRPr="00FE7195">
        <w:rPr>
          <w:i/>
          <w:iCs/>
        </w:rPr>
        <w:t>s</w:t>
      </w:r>
      <w:proofErr w:type="spellEnd"/>
      <w:r>
        <w:t xml:space="preserve"> como un “sendero” (</w:t>
      </w:r>
      <w:proofErr w:type="spellStart"/>
      <w:r w:rsidRPr="00FE7195">
        <w:rPr>
          <w:i/>
          <w:iCs/>
        </w:rPr>
        <w:t>paṭipadā</w:t>
      </w:r>
      <w:proofErr w:type="spellEnd"/>
      <w:r>
        <w:t xml:space="preserve">) o guía para la práctica. Los </w:t>
      </w:r>
      <w:r w:rsidRPr="00FE7195">
        <w:rPr>
          <w:i/>
          <w:iCs/>
        </w:rPr>
        <w:t>suttas</w:t>
      </w:r>
      <w:r>
        <w:t xml:space="preserve"> mencionados aquí son </w:t>
      </w:r>
      <w:proofErr w:type="spellStart"/>
      <w:r w:rsidRPr="00FE7195">
        <w:rPr>
          <w:i/>
          <w:iCs/>
        </w:rPr>
        <w:t>Rathavinīta</w:t>
      </w:r>
      <w:proofErr w:type="spellEnd"/>
      <w:r>
        <w:t xml:space="preserve"> (M I 145), </w:t>
      </w:r>
      <w:proofErr w:type="spellStart"/>
      <w:r w:rsidRPr="00FE7195">
        <w:rPr>
          <w:i/>
          <w:iCs/>
        </w:rPr>
        <w:t>Nālaka</w:t>
      </w:r>
      <w:proofErr w:type="spellEnd"/>
      <w:r>
        <w:t xml:space="preserve"> (Sn, p. 131), </w:t>
      </w:r>
      <w:proofErr w:type="spellStart"/>
      <w:r w:rsidRPr="00FE7195">
        <w:rPr>
          <w:i/>
          <w:iCs/>
        </w:rPr>
        <w:t>Tuvaṭaka</w:t>
      </w:r>
      <w:proofErr w:type="spellEnd"/>
      <w:r>
        <w:t xml:space="preserve"> (Sn 179), </w:t>
      </w:r>
      <w:r w:rsidRPr="008657D3">
        <w:rPr>
          <w:i/>
          <w:iCs/>
        </w:rPr>
        <w:t>Herencia de</w:t>
      </w:r>
      <w:r w:rsidR="00F1215E">
        <w:rPr>
          <w:i/>
          <w:iCs/>
        </w:rPr>
        <w:t xml:space="preserve"> </w:t>
      </w:r>
      <w:r w:rsidRPr="008657D3">
        <w:rPr>
          <w:i/>
          <w:iCs/>
        </w:rPr>
        <w:t>l</w:t>
      </w:r>
      <w:r w:rsidR="00F1215E">
        <w:rPr>
          <w:i/>
          <w:iCs/>
        </w:rPr>
        <w:t>os</w:t>
      </w:r>
      <w:r w:rsidRPr="008657D3">
        <w:rPr>
          <w:i/>
          <w:iCs/>
        </w:rPr>
        <w:t xml:space="preserve"> Noble</w:t>
      </w:r>
      <w:r w:rsidR="00F1215E">
        <w:rPr>
          <w:i/>
          <w:iCs/>
        </w:rPr>
        <w:t>s</w:t>
      </w:r>
      <w:r>
        <w:t xml:space="preserve"> </w:t>
      </w:r>
      <w:r w:rsidRPr="008657D3">
        <w:t>[</w:t>
      </w:r>
      <w:r w:rsidRPr="00FE7195">
        <w:rPr>
          <w:i/>
          <w:iCs/>
        </w:rPr>
        <w:t xml:space="preserve">Noble </w:t>
      </w:r>
      <w:proofErr w:type="spellStart"/>
      <w:r w:rsidRPr="00FE7195">
        <w:rPr>
          <w:i/>
          <w:iCs/>
        </w:rPr>
        <w:t>One's</w:t>
      </w:r>
      <w:proofErr w:type="spellEnd"/>
      <w:r w:rsidRPr="00FE7195">
        <w:rPr>
          <w:i/>
          <w:iCs/>
        </w:rPr>
        <w:t xml:space="preserve"> </w:t>
      </w:r>
      <w:proofErr w:type="spellStart"/>
      <w:r w:rsidRPr="00FE7195">
        <w:rPr>
          <w:i/>
          <w:iCs/>
        </w:rPr>
        <w:t>Heritages</w:t>
      </w:r>
      <w:proofErr w:type="spellEnd"/>
      <w:r>
        <w:t>]</w:t>
      </w:r>
      <w:r w:rsidRPr="00FE7195">
        <w:rPr>
          <w:i/>
          <w:iCs/>
        </w:rPr>
        <w:t xml:space="preserve"> </w:t>
      </w:r>
      <w:r>
        <w:t>(</w:t>
      </w:r>
      <w:proofErr w:type="spellStart"/>
      <w:r w:rsidRPr="00FE7195">
        <w:rPr>
          <w:i/>
          <w:iCs/>
        </w:rPr>
        <w:t>Ariyavaṃsa</w:t>
      </w:r>
      <w:proofErr w:type="spellEnd"/>
      <w:r>
        <w:t xml:space="preserve">—A II 27). Otros se mencionan en M-a I 92; III 6; S-a III 291. El propio </w:t>
      </w:r>
      <w:proofErr w:type="spellStart"/>
      <w:r w:rsidRPr="00FE7195">
        <w:rPr>
          <w:i/>
          <w:iCs/>
        </w:rPr>
        <w:t>Ariyavaṃsa</w:t>
      </w:r>
      <w:proofErr w:type="spellEnd"/>
      <w:r w:rsidRPr="00FE7195">
        <w:rPr>
          <w:i/>
          <w:iCs/>
        </w:rPr>
        <w:t xml:space="preserve"> Sutta</w:t>
      </w:r>
      <w:r>
        <w:t xml:space="preserve"> tiene un largo comentario sobre la práctica, y se menciona en los Comentarios como un tema popular de predicación (ver, por ejemplo, el comentario al AN III 42).</w:t>
      </w:r>
    </w:p>
    <w:p w14:paraId="2CCBE639" w14:textId="77777777" w:rsidR="003A5C97" w:rsidRDefault="003A5C97" w:rsidP="003A5C97">
      <w:pPr>
        <w:pStyle w:val="PiedepginaLegal"/>
      </w:pPr>
    </w:p>
    <w:p w14:paraId="254BEA02" w14:textId="77777777" w:rsidR="003A5C97" w:rsidRDefault="003A5C97" w:rsidP="003A5C97">
      <w:pPr>
        <w:tabs>
          <w:tab w:val="clear" w:pos="425"/>
        </w:tabs>
        <w:spacing w:after="160"/>
      </w:pPr>
      <w:r>
        <w:br w:type="page"/>
      </w:r>
    </w:p>
    <w:p w14:paraId="6C5D0546" w14:textId="77777777" w:rsidR="003A5C97" w:rsidRDefault="003A5C97" w:rsidP="003A5C97">
      <w:r>
        <w:lastRenderedPageBreak/>
        <w:t>46. ​​</w:t>
      </w:r>
      <w:r>
        <w:tab/>
        <w:t xml:space="preserve">6. </w:t>
      </w:r>
      <w:r w:rsidRPr="00FE7195">
        <w:rPr>
          <w:i/>
          <w:iCs/>
        </w:rPr>
        <w:t>Viajar</w:t>
      </w:r>
      <w:r>
        <w:t xml:space="preserve"> se refiere a andar de viaje. Si un </w:t>
      </w:r>
      <w:proofErr w:type="spellStart"/>
      <w:r w:rsidRPr="008657D3">
        <w:rPr>
          <w:i/>
          <w:iCs/>
        </w:rPr>
        <w:t>bhikkhu</w:t>
      </w:r>
      <w:proofErr w:type="spellEnd"/>
      <w:r>
        <w:t xml:space="preserve"> espera ser ordenado en otro lugar, o si viajando hasta allí se podría obtener algún requisito y no se puede estar contento sin obtenerlo eso será un impedimento; porque incluso si fuera al bosque para cumplir con los deberes de asceta, le resultará difícil deshacerse de los pensamientos sobre el viaje. Así que alguien en esta posición debe dedicarse a los deberes de asceta después de haber hecho el viaje y tramitado el asunto.</w:t>
      </w:r>
    </w:p>
    <w:p w14:paraId="47A03143" w14:textId="77777777" w:rsidR="003A5C97" w:rsidRDefault="003A5C97" w:rsidP="003A5C97">
      <w:r>
        <w:t xml:space="preserve">47. </w:t>
      </w:r>
      <w:r>
        <w:tab/>
        <w:t xml:space="preserve">7. </w:t>
      </w:r>
      <w:r>
        <w:rPr>
          <w:i/>
          <w:iCs/>
        </w:rPr>
        <w:t>Amistades,</w:t>
      </w:r>
      <w:r>
        <w:t xml:space="preserve"> en el caso de un monasterio se refiere al maestro, preceptor, </w:t>
      </w:r>
      <w:proofErr w:type="spellStart"/>
      <w:r>
        <w:t>co-residente</w:t>
      </w:r>
      <w:proofErr w:type="spellEnd"/>
      <w:r>
        <w:t>, discípulo, los que tengan el mismo preceptor que uno, o los que tengan el mismo maestro que uno; y en el caso de una casa significa madre, padre, hermano, etc. Cuando estén enfermos serán un impedimento para él. Por lo tanto, ese impedimento deberá cortarse curándolos con asistencia de enfermería.</w:t>
      </w:r>
    </w:p>
    <w:p w14:paraId="678EA14B" w14:textId="77777777" w:rsidR="003A5C97" w:rsidRDefault="003A5C97" w:rsidP="003A5C97">
      <w:r>
        <w:t xml:space="preserve">48. </w:t>
      </w:r>
      <w:r>
        <w:tab/>
        <w:t xml:space="preserve">Aquí, cuando el preceptor esté enfermo, deberá ser cuidado mientras dure la vida, si la enfermedad no pasara pronto. Asimismo, con el maestro de ordenación, el maestro de admisión, el </w:t>
      </w:r>
      <w:proofErr w:type="spellStart"/>
      <w:r>
        <w:t>co-residente</w:t>
      </w:r>
      <w:proofErr w:type="spellEnd"/>
      <w:r>
        <w:t>, los discípulos a quienes se haya dado admisión y ordenación, y con los que tengan el mismo preceptor. No obstante, el maestro de quien uno tome dependencia, el maestro que le dé instrucción, el discípulo a quien le haya dado dependencia, el discípulo a quien le esté dando instrucción, y aquellos que tengan ese mismo maestro como uno, deben ser atendidos mientras no se haya extinguido la dependencia o la instrucción. Si uno es capaz de hacerlo, deberá cuidarlos incluso más allá de ese período.</w:t>
      </w:r>
    </w:p>
    <w:p w14:paraId="65CE9ECC" w14:textId="77777777" w:rsidR="003A5C97" w:rsidRDefault="003A5C97" w:rsidP="003A5C97">
      <w:r>
        <w:t xml:space="preserve">49. </w:t>
      </w:r>
      <w:r>
        <w:tab/>
        <w:t xml:space="preserve">La madre y el padre deben ser tratados como el preceptor; si viven dentro del reino y buscan la ayuda de su hijo, el </w:t>
      </w:r>
      <w:proofErr w:type="spellStart"/>
      <w:r>
        <w:rPr>
          <w:i/>
          <w:iCs/>
        </w:rPr>
        <w:t>bhikkhu</w:t>
      </w:r>
      <w:proofErr w:type="spellEnd"/>
      <w:r>
        <w:rPr>
          <w:i/>
          <w:iCs/>
        </w:rPr>
        <w:t xml:space="preserve"> </w:t>
      </w:r>
      <w:r>
        <w:t>se la debe de dar. [95] Además, si no tienen medicina, se le debe dar la suya propia. Si no tiene, debe ir a buscarlo como ofrendas y darles eso. No obstante, en el caso de hermanos o hermanas, uno debe darles solo lo que sea de ellos. Si no tienen nada, entonces uno debe dar el suyo temporalmente y luego recuperarlo, pero uno no debe quejarse si no lo recuperara. No está permitido ni hacer medicina ni dársela al marido de una hermana que no tenga parentesco consanguíneo; pero uno podrá dárselo a su hermana diciendo: “Dáselo a tu marido”. Lo mismo se aplica a la esposa del hermano de uno. No obstante, estará permitido hacerlo para sus hijos ya que estos serán parientes consanguíneos.</w:t>
      </w:r>
    </w:p>
    <w:p w14:paraId="42AEEF2C" w14:textId="77777777" w:rsidR="003A5C97" w:rsidRDefault="003A5C97" w:rsidP="003A5C97">
      <w:r>
        <w:t xml:space="preserve">50. </w:t>
      </w:r>
      <w:r>
        <w:tab/>
        <w:t xml:space="preserve">8. La </w:t>
      </w:r>
      <w:r w:rsidRPr="00FE7195">
        <w:rPr>
          <w:i/>
          <w:iCs/>
        </w:rPr>
        <w:t>aflicción</w:t>
      </w:r>
      <w:r>
        <w:t xml:space="preserve"> es cualquier clase de enfermedad. Es un impedimento cuando en realidad aflija; por lo tanto, debe cortarse mediante un tratamiento con medicamentos. Pero si no se cura después de tomar la medicina por algunos días, entonces los deberes de asceta deberán cumplirse después de apostrofar a la persona de esta manera: “No soy tu esclavo, ni tu asalariado. He llegado a sufrir al mantenerte a través del ciclo sin principio de renacimientos”.</w:t>
      </w:r>
    </w:p>
    <w:p w14:paraId="4C1A3683" w14:textId="77777777" w:rsidR="003A5C97" w:rsidRDefault="003A5C97" w:rsidP="003A5C97">
      <w:r>
        <w:t xml:space="preserve">51. </w:t>
      </w:r>
      <w:r>
        <w:tab/>
        <w:t xml:space="preserve">9. </w:t>
      </w:r>
      <w:r w:rsidRPr="00FE7195">
        <w:rPr>
          <w:i/>
          <w:iCs/>
        </w:rPr>
        <w:t>Libros</w:t>
      </w:r>
      <w:r>
        <w:t xml:space="preserve"> significa la responsabilidad de las escrituras. Ése será un impedimento sólo para quien esté constantemente ocupado con recitaciones, etc., pero no para los demás. Aquí, unas historias relevantes. El Venerable </w:t>
      </w:r>
      <w:proofErr w:type="spellStart"/>
      <w:r>
        <w:t>Revata</w:t>
      </w:r>
      <w:proofErr w:type="spellEnd"/>
      <w:r>
        <w:t xml:space="preserve">, el recitador de </w:t>
      </w:r>
      <w:proofErr w:type="spellStart"/>
      <w:r w:rsidRPr="00FE7195">
        <w:rPr>
          <w:i/>
          <w:iCs/>
        </w:rPr>
        <w:t>Majjhima</w:t>
      </w:r>
      <w:proofErr w:type="spellEnd"/>
      <w:r>
        <w:t>, al parecer, fue adonde el</w:t>
      </w:r>
      <w:r w:rsidRPr="00E02667">
        <w:t xml:space="preserve"> </w:t>
      </w:r>
      <w:r>
        <w:t xml:space="preserve">Venerable </w:t>
      </w:r>
      <w:proofErr w:type="spellStart"/>
      <w:r>
        <w:t>Revata</w:t>
      </w:r>
      <w:proofErr w:type="spellEnd"/>
      <w:r>
        <w:t xml:space="preserve">, el habitante de </w:t>
      </w:r>
      <w:proofErr w:type="gramStart"/>
      <w:r>
        <w:t>Malaya</w:t>
      </w:r>
      <w:proofErr w:type="gramEnd"/>
      <w:r>
        <w:t xml:space="preserve"> (la región montañosa), y le solicitó un objeto de meditación. El Venerable le preguntó, “¿Cómo está en las escrituras, amigo?”—“Estoy estudiando el </w:t>
      </w:r>
      <w:proofErr w:type="spellStart"/>
      <w:r w:rsidRPr="00FE7195">
        <w:rPr>
          <w:i/>
          <w:iCs/>
        </w:rPr>
        <w:t>Majjhima</w:t>
      </w:r>
      <w:proofErr w:type="spellEnd"/>
      <w:r>
        <w:t xml:space="preserve"> [</w:t>
      </w:r>
      <w:r w:rsidRPr="00E02667">
        <w:rPr>
          <w:i/>
          <w:iCs/>
        </w:rPr>
        <w:t>Nikāya</w:t>
      </w:r>
      <w:r>
        <w:t xml:space="preserve">], Venerable señor.”—“El </w:t>
      </w:r>
      <w:proofErr w:type="spellStart"/>
      <w:r w:rsidRPr="00FE7195">
        <w:rPr>
          <w:i/>
          <w:iCs/>
        </w:rPr>
        <w:t>Majjhima</w:t>
      </w:r>
      <w:proofErr w:type="spellEnd"/>
      <w:r>
        <w:t xml:space="preserve"> es una responsabilidad difícil, amigo. Cuando un hombre todavía esté aprendiendo de memoria los Primeros Cincuenta, se enfrentará a los Medios Cincuenta; y cuando todavía esté aprendiendo eso de memoria, se enfrentará a los </w:t>
      </w:r>
    </w:p>
    <w:p w14:paraId="24AA1D07" w14:textId="77777777" w:rsidR="003A5C97" w:rsidRDefault="003A5C97" w:rsidP="003A5C97">
      <w:pPr>
        <w:tabs>
          <w:tab w:val="clear" w:pos="425"/>
        </w:tabs>
        <w:spacing w:after="160"/>
      </w:pPr>
      <w:r>
        <w:br w:type="page"/>
      </w:r>
    </w:p>
    <w:p w14:paraId="2D285C6D" w14:textId="77777777" w:rsidR="003A5C97" w:rsidRDefault="003A5C97" w:rsidP="003A5C97"/>
    <w:p w14:paraId="006E94FF" w14:textId="77777777" w:rsidR="003A5C97" w:rsidRDefault="003A5C97" w:rsidP="003A5C97">
      <w:r>
        <w:t xml:space="preserve">Últimos Cincuenta. ¿Cómo podría retomar un objeto de meditación?”—“Venerable Señor, cuando haya recibido de su persona un objeto de meditación, no volveré a mirar más las escrituras”. Recibió el objeto de la meditación, y sin recitar nada durante diecinueve años, alcanzó el estado de </w:t>
      </w:r>
      <w:r w:rsidRPr="00057BF4">
        <w:rPr>
          <w:i/>
          <w:iCs/>
        </w:rPr>
        <w:t>Arahant</w:t>
      </w:r>
      <w:r>
        <w:t xml:space="preserve"> en el vigésimo año. A los monjes que llegaron a recitar</w:t>
      </w:r>
      <w:r w:rsidRPr="008657D3">
        <w:t xml:space="preserve"> </w:t>
      </w:r>
      <w:r>
        <w:t>les dijo entonces: “No he mirado las escrituras en veinte años, amigos, [96] pero estoy familiarizado con ellas. Pueden empezar. Y de principio a fin no dudó ni en una sola sílaba.</w:t>
      </w:r>
    </w:p>
    <w:p w14:paraId="2D56B47C" w14:textId="77777777" w:rsidR="003A5C97" w:rsidRDefault="003A5C97" w:rsidP="003A5C97">
      <w:r>
        <w:t xml:space="preserve">52. </w:t>
      </w:r>
      <w:r>
        <w:tab/>
        <w:t>El Venerable Mahā-</w:t>
      </w:r>
      <w:proofErr w:type="spellStart"/>
      <w:r>
        <w:t>Nāga</w:t>
      </w:r>
      <w:proofErr w:type="spellEnd"/>
      <w:r>
        <w:t xml:space="preserve">, que vivía en </w:t>
      </w:r>
      <w:proofErr w:type="spellStart"/>
      <w:r>
        <w:t>Karuliyagiri</w:t>
      </w:r>
      <w:proofErr w:type="spellEnd"/>
      <w:r>
        <w:t xml:space="preserve"> (</w:t>
      </w:r>
      <w:proofErr w:type="spellStart"/>
      <w:r>
        <w:t>Karaliyagiri</w:t>
      </w:r>
      <w:proofErr w:type="spellEnd"/>
      <w:r>
        <w:t xml:space="preserve">), dejó a un lado las escrituras durante dieciocho años y luego recitó el </w:t>
      </w:r>
      <w:proofErr w:type="spellStart"/>
      <w:r w:rsidRPr="00C22538">
        <w:rPr>
          <w:i/>
          <w:iCs/>
        </w:rPr>
        <w:t>Dhātukathā</w:t>
      </w:r>
      <w:proofErr w:type="spellEnd"/>
      <w:r>
        <w:t xml:space="preserve"> a los </w:t>
      </w:r>
      <w:proofErr w:type="spellStart"/>
      <w:r w:rsidRPr="00057BF4">
        <w:rPr>
          <w:i/>
          <w:iCs/>
        </w:rPr>
        <w:t>bhikkhu</w:t>
      </w:r>
      <w:r w:rsidRPr="00C22538">
        <w:rPr>
          <w:i/>
          <w:iCs/>
        </w:rPr>
        <w:t>s</w:t>
      </w:r>
      <w:proofErr w:type="spellEnd"/>
      <w:r>
        <w:t xml:space="preserve">. Cuando verificaron esto con los Venerables de la ciudad [de </w:t>
      </w:r>
      <w:proofErr w:type="spellStart"/>
      <w:r>
        <w:t>Anurādhapura</w:t>
      </w:r>
      <w:proofErr w:type="spellEnd"/>
      <w:r>
        <w:t>], no se encontró ni una sola cuestión fuera de orden.</w:t>
      </w:r>
    </w:p>
    <w:p w14:paraId="7256B536" w14:textId="77777777" w:rsidR="003A5C97" w:rsidRDefault="003A5C97" w:rsidP="003A5C97">
      <w:r>
        <w:t xml:space="preserve">53. </w:t>
      </w:r>
      <w:r>
        <w:tab/>
        <w:t>En el Gran Monasterio también, el Venerable Tipiṭaka-</w:t>
      </w:r>
      <w:proofErr w:type="spellStart"/>
      <w:r>
        <w:t>Cūḷa</w:t>
      </w:r>
      <w:proofErr w:type="spellEnd"/>
      <w:r>
        <w:t>-</w:t>
      </w:r>
      <w:proofErr w:type="spellStart"/>
      <w:r>
        <w:t>Abhaya</w:t>
      </w:r>
      <w:proofErr w:type="spellEnd"/>
      <w:r>
        <w:t xml:space="preserve"> hizo sonar el tambor dorado, diciendo: "Expondré los tres </w:t>
      </w:r>
      <w:proofErr w:type="spellStart"/>
      <w:r w:rsidRPr="00C22538">
        <w:rPr>
          <w:i/>
          <w:iCs/>
        </w:rPr>
        <w:t>Piṭakas</w:t>
      </w:r>
      <w:proofErr w:type="spellEnd"/>
      <w:r>
        <w:t xml:space="preserve"> en el círculo de [expertos en] las Cinco Colecciones de discursos", y esto fue antes de que él hubo aprendido los comentarios. La Comunidad de </w:t>
      </w:r>
      <w:proofErr w:type="spellStart"/>
      <w:r w:rsidRPr="00057BF4">
        <w:rPr>
          <w:i/>
          <w:iCs/>
        </w:rPr>
        <w:t>Bhikkhu</w:t>
      </w:r>
      <w:r w:rsidRPr="00020EDE">
        <w:rPr>
          <w:i/>
          <w:iCs/>
        </w:rPr>
        <w:t>s</w:t>
      </w:r>
      <w:proofErr w:type="spellEnd"/>
      <w:r>
        <w:t xml:space="preserve"> dijo: “¿Cuál de las enseñanzas de los maestros es ésta? A menos que dé solo las enseñanzas de nuestros propios maestros, no lo dejaremos hablar”. También su preceptor le preguntó cuando fue a atenderlo: “¿Ha tocado el tambor, amigo?”—“Sí, Venerable Señor.”—“¿Por qué razón?”—“Explicaré las escrituras, Venerable Señor. ”—“Amigo </w:t>
      </w:r>
      <w:proofErr w:type="spellStart"/>
      <w:r>
        <w:t>Abhaya</w:t>
      </w:r>
      <w:proofErr w:type="spellEnd"/>
      <w:r>
        <w:t xml:space="preserve">, ¿cómo explican los maestros este pasaje?”—“Lo explican de esta manera, Venerable Señor.” El Venerable disintió, diciendo "Hum". Nuevamente tres veces, cada vez de una manera diferente, dijo: "Lo explican de esta manera, Venerable Señor". El Venerable siempre disintió, diciendo: "Hum". Luego dijo: “Amigo, su primera explicación fue el sendero de los maestros. Pero es porque no lo ha aprendido realmente de los labios de los maestros por lo que no puede sostener que los maestros digan tal o cual cosa. Vaya y aprenda de nuestros propios maestros”. — “¿Adónde debo ir, Venerable Señor?”—“Hay un Venerable llamado Mahā </w:t>
      </w:r>
      <w:proofErr w:type="spellStart"/>
      <w:r w:rsidRPr="00142927">
        <w:rPr>
          <w:iCs/>
        </w:rPr>
        <w:t>Dhammarakkhita</w:t>
      </w:r>
      <w:proofErr w:type="spellEnd"/>
      <w:r>
        <w:t xml:space="preserve"> que vive en el Monasterio </w:t>
      </w:r>
      <w:proofErr w:type="spellStart"/>
      <w:r>
        <w:t>Tulādhārapabbata</w:t>
      </w:r>
      <w:proofErr w:type="spellEnd"/>
      <w:r>
        <w:t xml:space="preserve"> en el país de </w:t>
      </w:r>
      <w:proofErr w:type="spellStart"/>
      <w:r>
        <w:t>Rohaṇa</w:t>
      </w:r>
      <w:proofErr w:type="spellEnd"/>
      <w:r>
        <w:t xml:space="preserve"> más allá del río [</w:t>
      </w:r>
      <w:proofErr w:type="spellStart"/>
      <w:r>
        <w:t>Mahaveli</w:t>
      </w:r>
      <w:proofErr w:type="spellEnd"/>
      <w:r>
        <w:t xml:space="preserve">]. Conoce todas las escrituras. Vaya con él. Diciendo: “Bien, Venerable Señor”, rindió reverencia al Venerable y partió. Fue con quinientos </w:t>
      </w:r>
      <w:proofErr w:type="spellStart"/>
      <w:r w:rsidRPr="00057BF4">
        <w:rPr>
          <w:i/>
          <w:iCs/>
        </w:rPr>
        <w:t>bhikkhu</w:t>
      </w:r>
      <w:r w:rsidRPr="00020EDE">
        <w:rPr>
          <w:i/>
          <w:iCs/>
        </w:rPr>
        <w:t>s</w:t>
      </w:r>
      <w:proofErr w:type="spellEnd"/>
      <w:r>
        <w:t xml:space="preserve"> adonde el Venerable Mahā-</w:t>
      </w:r>
      <w:proofErr w:type="spellStart"/>
      <w:r w:rsidRPr="00142927">
        <w:rPr>
          <w:iCs/>
        </w:rPr>
        <w:t>Dhammarakkhita</w:t>
      </w:r>
      <w:proofErr w:type="spellEnd"/>
      <w:r>
        <w:t xml:space="preserve">, y cuando le hubo rendido reverencia, se sentó. El Venerable preguntó: "¿Por qué ha venido?": "Para escuchar el </w:t>
      </w:r>
      <w:r w:rsidRPr="00057BF4">
        <w:rPr>
          <w:i/>
        </w:rPr>
        <w:t>Dhamma</w:t>
      </w:r>
      <w:r>
        <w:t xml:space="preserve">, Venerable Señor". </w:t>
      </w:r>
      <w:r w:rsidRPr="00981492">
        <w:t xml:space="preserve">Amigo </w:t>
      </w:r>
      <w:proofErr w:type="spellStart"/>
      <w:r w:rsidRPr="00981492">
        <w:t>Abhaya</w:t>
      </w:r>
      <w:proofErr w:type="spellEnd"/>
      <w:r w:rsidRPr="00981492">
        <w:t xml:space="preserve">, de vez en cuando me preguntan sobre el </w:t>
      </w:r>
      <w:r w:rsidRPr="00981492">
        <w:rPr>
          <w:i/>
          <w:iCs/>
        </w:rPr>
        <w:t>Dīgha</w:t>
      </w:r>
      <w:r w:rsidRPr="00981492">
        <w:t xml:space="preserve"> y el </w:t>
      </w:r>
      <w:proofErr w:type="spellStart"/>
      <w:r w:rsidRPr="00981492">
        <w:rPr>
          <w:i/>
          <w:iCs/>
        </w:rPr>
        <w:t>Majjhima</w:t>
      </w:r>
      <w:proofErr w:type="spellEnd"/>
      <w:r w:rsidRPr="00981492">
        <w:t xml:space="preserve">, </w:t>
      </w:r>
      <w:r>
        <w:t>no obstante,</w:t>
      </w:r>
      <w:r w:rsidRPr="00981492">
        <w:t xml:space="preserve"> no he </w:t>
      </w:r>
      <w:r>
        <w:t>visto</w:t>
      </w:r>
      <w:r w:rsidRPr="00981492">
        <w:t xml:space="preserve"> los demás </w:t>
      </w:r>
      <w:r>
        <w:t xml:space="preserve">textos </w:t>
      </w:r>
      <w:r w:rsidRPr="00981492">
        <w:t xml:space="preserve">en treinta años. </w:t>
      </w:r>
      <w:r>
        <w:t xml:space="preserve">Pero </w:t>
      </w:r>
      <w:proofErr w:type="spellStart"/>
      <w:r>
        <w:t>aún</w:t>
      </w:r>
      <w:proofErr w:type="spellEnd"/>
      <w:r>
        <w:t xml:space="preserve"> así,</w:t>
      </w:r>
      <w:r w:rsidRPr="00981492">
        <w:t xml:space="preserve"> </w:t>
      </w:r>
      <w:r>
        <w:t>podrá</w:t>
      </w:r>
      <w:r w:rsidRPr="00981492">
        <w:t xml:space="preserve"> repetirl</w:t>
      </w:r>
      <w:r>
        <w:t>o</w:t>
      </w:r>
      <w:r w:rsidRPr="00981492">
        <w:t xml:space="preserve">s en mi presencia por la noche, y yo </w:t>
      </w:r>
      <w:r>
        <w:t>s</w:t>
      </w:r>
      <w:r w:rsidRPr="00981492">
        <w:t>e l</w:t>
      </w:r>
      <w:r>
        <w:t>o</w:t>
      </w:r>
      <w:r w:rsidRPr="00981492">
        <w:t xml:space="preserve">as explicaré durante el día”. </w:t>
      </w:r>
      <w:r>
        <w:t>Él d</w:t>
      </w:r>
      <w:r w:rsidRPr="00981492">
        <w:t>ijo: “Bien, Venerable Señor”, y actuó en consecuencia.</w:t>
      </w:r>
    </w:p>
    <w:p w14:paraId="0372DEDB" w14:textId="77777777" w:rsidR="003A5C97" w:rsidRDefault="003A5C97" w:rsidP="003A5C97">
      <w:r>
        <w:t xml:space="preserve">54. </w:t>
      </w:r>
      <w:r>
        <w:tab/>
        <w:t xml:space="preserve">Los habitantes de la aldea hicieron construir un gran pabellón en la puerta de su vivienda, y venían diariamente a escuchar el </w:t>
      </w:r>
      <w:r w:rsidRPr="00057BF4">
        <w:rPr>
          <w:i/>
        </w:rPr>
        <w:t>Dhamma</w:t>
      </w:r>
      <w:r>
        <w:t>. Explicando durante el día lo que se había repetido durante la noche, [97] el Venerable [</w:t>
      </w:r>
      <w:proofErr w:type="spellStart"/>
      <w:r w:rsidRPr="006E0E19">
        <w:rPr>
          <w:iCs/>
        </w:rPr>
        <w:t>Dhammarakkhita</w:t>
      </w:r>
      <w:proofErr w:type="spellEnd"/>
      <w:r>
        <w:t xml:space="preserve">] finalmente completó la instrucción. Luego se sentó en una estera en el suelo ante el Venerable </w:t>
      </w:r>
      <w:proofErr w:type="spellStart"/>
      <w:r>
        <w:t>Abhaya</w:t>
      </w:r>
      <w:proofErr w:type="spellEnd"/>
      <w:r>
        <w:t xml:space="preserve"> y le dijo: "Amigo, ahora instrúyame en un objeto de meditación". - "¿Qué está diciendo, Venerable Señor? ¿No le lo he oído del todo? ¿Qué podría explicarle que no sepa ya?” El Venerable mayor dijo: "Este sendero es diferente para alguien que realmente lo haya recorrido".</w:t>
      </w:r>
    </w:p>
    <w:p w14:paraId="68DC2796" w14:textId="5126F430" w:rsidR="003A5C97" w:rsidRDefault="003A5C97" w:rsidP="003A5C97">
      <w:r>
        <w:t xml:space="preserve">55. </w:t>
      </w:r>
      <w:r>
        <w:tab/>
        <w:t xml:space="preserve">El Venerable </w:t>
      </w:r>
      <w:proofErr w:type="spellStart"/>
      <w:r>
        <w:t>Abhaya</w:t>
      </w:r>
      <w:proofErr w:type="spellEnd"/>
      <w:r>
        <w:t xml:space="preserve"> era entonces, al parecer, un </w:t>
      </w:r>
      <w:r w:rsidR="003E7338" w:rsidRPr="00F1111C">
        <w:t>en</w:t>
      </w:r>
      <w:r w:rsidR="003E7338">
        <w:t>trante</w:t>
      </w:r>
      <w:r w:rsidR="003E7338">
        <w:rPr>
          <w:rFonts w:cs="Cormorant"/>
        </w:rPr>
        <w:t>‒</w:t>
      </w:r>
      <w:r w:rsidR="003E7338">
        <w:t>a</w:t>
      </w:r>
      <w:r w:rsidR="003E7338">
        <w:rPr>
          <w:rFonts w:cs="Cormorant"/>
        </w:rPr>
        <w:t>‒</w:t>
      </w:r>
      <w:r w:rsidR="003E7338">
        <w:t>la</w:t>
      </w:r>
      <w:r w:rsidR="003E7338">
        <w:rPr>
          <w:rFonts w:cs="Cormorant"/>
        </w:rPr>
        <w:t>‒</w:t>
      </w:r>
      <w:r w:rsidR="003E7338">
        <w:t>corriente</w:t>
      </w:r>
      <w:r>
        <w:t xml:space="preserve">. Cuando el Venerable </w:t>
      </w:r>
      <w:proofErr w:type="spellStart"/>
      <w:r>
        <w:t>Abhaya</w:t>
      </w:r>
      <w:proofErr w:type="spellEnd"/>
      <w:r>
        <w:t xml:space="preserve"> le dio a su maestro un objeto de meditación, regresó a </w:t>
      </w:r>
      <w:proofErr w:type="spellStart"/>
      <w:r>
        <w:t>Anurādhapura</w:t>
      </w:r>
      <w:proofErr w:type="spellEnd"/>
      <w:r>
        <w:t xml:space="preserve">. Más, </w:t>
      </w:r>
    </w:p>
    <w:p w14:paraId="60E78FE4" w14:textId="77777777" w:rsidR="003A5C97" w:rsidRDefault="003A5C97" w:rsidP="003A5C97">
      <w:pPr>
        <w:tabs>
          <w:tab w:val="clear" w:pos="425"/>
        </w:tabs>
        <w:spacing w:after="160"/>
      </w:pPr>
      <w:r>
        <w:br w:type="page"/>
      </w:r>
    </w:p>
    <w:p w14:paraId="2E87F4F9" w14:textId="77777777" w:rsidR="003A5C97" w:rsidRDefault="003A5C97" w:rsidP="003A5C97">
      <w:r>
        <w:lastRenderedPageBreak/>
        <w:t xml:space="preserve">adelante, mientras exponía el </w:t>
      </w:r>
      <w:r w:rsidRPr="00057BF4">
        <w:rPr>
          <w:i/>
          <w:iCs/>
        </w:rPr>
        <w:t>Dhamma</w:t>
      </w:r>
      <w:r>
        <w:t xml:space="preserve"> en el Palacio de Bronce, escuchó que el Venerable había alcanzado el </w:t>
      </w:r>
      <w:r w:rsidRPr="00020EDE">
        <w:rPr>
          <w:i/>
          <w:iCs/>
        </w:rPr>
        <w:t>Nibbāna</w:t>
      </w:r>
      <w:r>
        <w:t xml:space="preserve">. Al oír esto, dijo: “Tráiganme [mi] ropaje, amigos”. Luego se puso el ropaje y dijo: “El sendero del </w:t>
      </w:r>
      <w:r w:rsidRPr="00057BF4">
        <w:rPr>
          <w:i/>
        </w:rPr>
        <w:t>Arahant</w:t>
      </w:r>
      <w:r>
        <w:t xml:space="preserve"> le corresponde a nuestro maestro, amigos. Nuestro maestro era un verdadero purasangre. Se sentó en una estera ante su propio discípulo de </w:t>
      </w:r>
      <w:r w:rsidRPr="00057BF4">
        <w:rPr>
          <w:i/>
        </w:rPr>
        <w:t>Dhamma</w:t>
      </w:r>
      <w:r>
        <w:t xml:space="preserve"> y dijo: ‘Instrúyame en un objeto de meditación’. El sendero del </w:t>
      </w:r>
      <w:r w:rsidRPr="00057BF4">
        <w:rPr>
          <w:i/>
        </w:rPr>
        <w:t>Arahant</w:t>
      </w:r>
      <w:r>
        <w:t xml:space="preserve"> le corresponde a nuestro maestro, amigos”.</w:t>
      </w:r>
    </w:p>
    <w:p w14:paraId="30CDB173" w14:textId="77777777" w:rsidR="003A5C97" w:rsidRDefault="003A5C97" w:rsidP="003A5C97">
      <w:pPr>
        <w:pStyle w:val="NormalConSangria"/>
      </w:pPr>
      <w:r>
        <w:t>Para seres así, los libros no son impedimento.</w:t>
      </w:r>
    </w:p>
    <w:p w14:paraId="5E1D5D12" w14:textId="38D42444" w:rsidR="003A5C97" w:rsidRDefault="003A5C97" w:rsidP="003A5C97">
      <w:r>
        <w:t xml:space="preserve">56. </w:t>
      </w:r>
      <w:r>
        <w:tab/>
        <w:t xml:space="preserve">10. Los </w:t>
      </w:r>
      <w:r w:rsidRPr="00020EDE">
        <w:rPr>
          <w:i/>
          <w:iCs/>
        </w:rPr>
        <w:t xml:space="preserve">poderes </w:t>
      </w:r>
      <w:proofErr w:type="spellStart"/>
      <w:r w:rsidR="0068178F">
        <w:rPr>
          <w:i/>
          <w:iCs/>
        </w:rPr>
        <w:t>supernoramles</w:t>
      </w:r>
      <w:proofErr w:type="spellEnd"/>
      <w:r>
        <w:t xml:space="preserve"> son los poderes sobrenaturales del hombre ordinario. Son difíciles de mantener, como un bebé boca abajo o como un maíz joven, y los puede arruinar</w:t>
      </w:r>
      <w:r w:rsidRPr="008657D3">
        <w:t xml:space="preserve"> </w:t>
      </w:r>
      <w:r>
        <w:t xml:space="preserve">la cosa más insignificante. Pero son un impedimento para el desarrollo de la </w:t>
      </w:r>
      <w:r w:rsidR="000A7596" w:rsidRPr="00527EA6">
        <w:t>sabid</w:t>
      </w:r>
      <w:r w:rsidR="000A7596">
        <w:t>uría–revelativa</w:t>
      </w:r>
      <w:r>
        <w:t xml:space="preserve">, no para la concentración, ya que se obtienen a través de la concentración. De modo que los poderes sobrenaturales son un impedimento que debe ser cortado por quien procure desarrollar la </w:t>
      </w:r>
      <w:r w:rsidR="00C70B2E" w:rsidRPr="00527EA6">
        <w:t>sabid</w:t>
      </w:r>
      <w:r w:rsidR="00C70B2E">
        <w:t>uría–revelativa</w:t>
      </w:r>
      <w:r>
        <w:t>; los otros impedimentos debe</w:t>
      </w:r>
      <w:r w:rsidR="00C70B2E">
        <w:t>rá</w:t>
      </w:r>
      <w:r>
        <w:t>n ser eliminados por quien procure la concentración.</w:t>
      </w:r>
    </w:p>
    <w:p w14:paraId="278862A4" w14:textId="77777777" w:rsidR="003A5C97" w:rsidRDefault="003A5C97" w:rsidP="003A5C97">
      <w:pPr>
        <w:pStyle w:val="NormalConSangria"/>
      </w:pPr>
      <w:r>
        <w:t>Ésta, en primer lugar, es la explicación detallada sobre los impedimentos.</w:t>
      </w:r>
    </w:p>
    <w:p w14:paraId="363D0505" w14:textId="29573D0F" w:rsidR="003A5C97" w:rsidRDefault="003A5C97" w:rsidP="003A5C97">
      <w:r>
        <w:t xml:space="preserve">57. </w:t>
      </w:r>
      <w:r>
        <w:tab/>
      </w:r>
      <w:r w:rsidRPr="00020EDE">
        <w:rPr>
          <w:i/>
          <w:iCs/>
        </w:rPr>
        <w:t>Ac</w:t>
      </w:r>
      <w:r>
        <w:rPr>
          <w:i/>
          <w:iCs/>
        </w:rPr>
        <w:t>e</w:t>
      </w:r>
      <w:r w:rsidRPr="00020EDE">
        <w:rPr>
          <w:i/>
          <w:iCs/>
        </w:rPr>
        <w:t>rca</w:t>
      </w:r>
      <w:r>
        <w:rPr>
          <w:i/>
          <w:iCs/>
        </w:rPr>
        <w:t>rse</w:t>
      </w:r>
      <w:r w:rsidRPr="00020EDE">
        <w:rPr>
          <w:i/>
          <w:iCs/>
        </w:rPr>
        <w:t xml:space="preserve"> al buen amigo, </w:t>
      </w:r>
      <w:r>
        <w:rPr>
          <w:i/>
          <w:iCs/>
        </w:rPr>
        <w:t>a</w:t>
      </w:r>
      <w:r w:rsidRPr="00020EDE">
        <w:rPr>
          <w:i/>
          <w:iCs/>
        </w:rPr>
        <w:t xml:space="preserve">l </w:t>
      </w:r>
      <w:r>
        <w:rPr>
          <w:i/>
          <w:iCs/>
        </w:rPr>
        <w:t>instructor</w:t>
      </w:r>
      <w:r w:rsidRPr="00020EDE">
        <w:rPr>
          <w:i/>
          <w:iCs/>
        </w:rPr>
        <w:t xml:space="preserve"> de un </w:t>
      </w:r>
      <w:r>
        <w:rPr>
          <w:i/>
          <w:iCs/>
        </w:rPr>
        <w:t xml:space="preserve">objeto </w:t>
      </w:r>
      <w:r w:rsidRPr="00020EDE">
        <w:rPr>
          <w:i/>
          <w:iCs/>
        </w:rPr>
        <w:t>de meditación</w:t>
      </w:r>
      <w:r>
        <w:t xml:space="preserve"> (§28): los objetos de meditación pueden ser de 2 tipos, es decir, objetos de meditación generalmente útiles y objetos de meditación especiales. Aquí, </w:t>
      </w:r>
      <w:r w:rsidR="00965884">
        <w:t>el amor</w:t>
      </w:r>
      <w:r w:rsidR="00514E68">
        <w:t>–</w:t>
      </w:r>
      <w:r w:rsidR="00965884">
        <w:t>benevolente</w:t>
      </w:r>
      <w:r>
        <w:t xml:space="preserve"> hacia la Comunidad de </w:t>
      </w:r>
      <w:proofErr w:type="spellStart"/>
      <w:r w:rsidRPr="00057BF4">
        <w:rPr>
          <w:i/>
          <w:iCs/>
        </w:rPr>
        <w:t>Bhikkhu</w:t>
      </w:r>
      <w:r w:rsidRPr="00020EDE">
        <w:rPr>
          <w:i/>
          <w:iCs/>
        </w:rPr>
        <w:t>s</w:t>
      </w:r>
      <w:proofErr w:type="spellEnd"/>
      <w:r>
        <w:t>, etc., y también la atención plena sobre la muerte son lo que se denominan objetos de meditación generalmente útiles. Algunos mencionan también la percepción de repugnancia.</w:t>
      </w:r>
    </w:p>
    <w:p w14:paraId="5DF669AE" w14:textId="26F23E10" w:rsidR="003A5C97" w:rsidRDefault="003A5C97" w:rsidP="003A5C97">
      <w:r>
        <w:t xml:space="preserve">58. </w:t>
      </w:r>
      <w:r>
        <w:tab/>
        <w:t xml:space="preserve">Cuando un </w:t>
      </w:r>
      <w:proofErr w:type="spellStart"/>
      <w:r w:rsidRPr="00057BF4">
        <w:rPr>
          <w:i/>
          <w:iCs/>
        </w:rPr>
        <w:t>bhikkhu</w:t>
      </w:r>
      <w:proofErr w:type="spellEnd"/>
      <w:r>
        <w:t xml:space="preserve"> adopte un objeto de meditación, primero debe desarrollar </w:t>
      </w:r>
      <w:r w:rsidR="00944E7F">
        <w:t xml:space="preserve">el amor–benevolente </w:t>
      </w:r>
      <w:r>
        <w:t xml:space="preserve">hacia la Comunidad de </w:t>
      </w:r>
      <w:proofErr w:type="spellStart"/>
      <w:r w:rsidRPr="00057BF4">
        <w:rPr>
          <w:i/>
          <w:iCs/>
        </w:rPr>
        <w:t>Bhikkhu</w:t>
      </w:r>
      <w:r w:rsidRPr="00020EDE">
        <w:rPr>
          <w:i/>
          <w:iCs/>
        </w:rPr>
        <w:t>s</w:t>
      </w:r>
      <w:proofErr w:type="spellEnd"/>
      <w:r>
        <w:t xml:space="preserve"> dentro de los límites,</w:t>
      </w:r>
      <w:r>
        <w:rPr>
          <w:vertAlign w:val="superscript"/>
        </w:rPr>
        <w:t>16</w:t>
      </w:r>
      <w:r>
        <w:t xml:space="preserve"> limitándolo al principio [a "todos los </w:t>
      </w:r>
      <w:proofErr w:type="spellStart"/>
      <w:r w:rsidRPr="00057BF4">
        <w:rPr>
          <w:i/>
          <w:iCs/>
        </w:rPr>
        <w:t>bhikkhu</w:t>
      </w:r>
      <w:r w:rsidRPr="00020EDE">
        <w:rPr>
          <w:i/>
          <w:iCs/>
        </w:rPr>
        <w:t>s</w:t>
      </w:r>
      <w:proofErr w:type="spellEnd"/>
      <w:r>
        <w:t xml:space="preserve"> en ese monasterio"], de esta manera: "Que sean felices y estén libres de aflicción.” Luego debe desarrollarlo hacia todas las deidades dentro del límite. Luego hacia todas las personas principales en el pueblo donde sea su zona de ofrendas; luego hacia [todos los seres humanos del lugar y hacia] todos los seres vivos que dependan de los seres humanos. Con </w:t>
      </w:r>
      <w:r w:rsidR="00944E7F">
        <w:t xml:space="preserve">amor–benevolente </w:t>
      </w:r>
      <w:r>
        <w:t xml:space="preserve">hacia la Comunidad de </w:t>
      </w:r>
      <w:proofErr w:type="spellStart"/>
      <w:r w:rsidRPr="00057BF4">
        <w:rPr>
          <w:i/>
          <w:iCs/>
        </w:rPr>
        <w:t>Bhikkhu</w:t>
      </w:r>
      <w:r w:rsidRPr="00020EDE">
        <w:rPr>
          <w:i/>
          <w:iCs/>
        </w:rPr>
        <w:t>s</w:t>
      </w:r>
      <w:proofErr w:type="spellEnd"/>
      <w:r>
        <w:t xml:space="preserve">, producirá bondad hacia sus </w:t>
      </w:r>
      <w:proofErr w:type="spellStart"/>
      <w:r>
        <w:t>co-residentes</w:t>
      </w:r>
      <w:proofErr w:type="spellEnd"/>
      <w:r>
        <w:t xml:space="preserve">; entonces será fácil para él convivir con ellos. Con </w:t>
      </w:r>
      <w:r w:rsidR="000762C2">
        <w:t xml:space="preserve">amor–benevolente </w:t>
      </w:r>
      <w:r>
        <w:t xml:space="preserve">hacia las deidades dentro de los límites, él será protegido por deidades bondadosas con protecciones lícitas. [98] Con bondad hacia las personas principales en el pueblo que sea su zona de ofrendas, sus requisitos serán protegidos por personas principales bien dispuestas y mediante protecciones lícitas. Con </w:t>
      </w:r>
      <w:r w:rsidR="000762C2">
        <w:t xml:space="preserve">amor–benevolente </w:t>
      </w:r>
      <w:r>
        <w:t xml:space="preserve">hacia todos los seres humanos allí, él andará sin incurrir en su desagrado ya que confiarán en él. Con </w:t>
      </w:r>
      <w:r w:rsidR="000762C2">
        <w:t xml:space="preserve">amor–benevolente </w:t>
      </w:r>
      <w:r>
        <w:t>hacia todos los seres vivos, podrá deambular sin obstáculos por todas partes.</w:t>
      </w:r>
    </w:p>
    <w:p w14:paraId="51412262" w14:textId="77777777" w:rsidR="003A5C97" w:rsidRDefault="003A5C97" w:rsidP="003A5C97">
      <w:pPr>
        <w:pStyle w:val="NormalConSangria"/>
      </w:pPr>
      <w:r>
        <w:t>Con atención hacia la muerte, pensando: “Tengo que morir”, abandonará la búsqueda inapropiada (ver S II 194; M-a I 115), y con un creciente sentido de urgencia llegará a vivir sin apego. Cuando su mente esté familiarizada con la percepción de la repugnancia, ni siquiera los objetos divinos tentarán su mente a través de la codicia.</w:t>
      </w:r>
    </w:p>
    <w:p w14:paraId="4AD0F233" w14:textId="77777777" w:rsidR="003A5C97" w:rsidRPr="00CA63DA" w:rsidRDefault="003A5C97" w:rsidP="003A5C97">
      <w:pPr>
        <w:pStyle w:val="PiedepginaLegal"/>
        <w:rPr>
          <w:u w:val="single"/>
        </w:rPr>
      </w:pPr>
      <w:r w:rsidRPr="00CA63DA">
        <w:rPr>
          <w:u w:val="single"/>
        </w:rPr>
        <w:t xml:space="preserve">                                                                                                                                                         .</w:t>
      </w:r>
    </w:p>
    <w:p w14:paraId="4CE87E3F" w14:textId="77777777" w:rsidR="003A5C97" w:rsidRDefault="003A5C97" w:rsidP="003A5C97">
      <w:pPr>
        <w:pStyle w:val="PiedepginaLegal"/>
      </w:pPr>
      <w:r>
        <w:t xml:space="preserve">16. </w:t>
      </w:r>
      <w:r>
        <w:tab/>
      </w:r>
      <w:proofErr w:type="spellStart"/>
      <w:r w:rsidRPr="00020EDE">
        <w:rPr>
          <w:i/>
          <w:iCs/>
        </w:rPr>
        <w:t>Sīmā</w:t>
      </w:r>
      <w:proofErr w:type="spellEnd"/>
      <w:r>
        <w:t xml:space="preserve">—“contorno”: utilizado holgadamente en este sentido, corresponde vagamente a lo que se entiende por una “parroquia”. En sentido estricto, es en realidad el área (generalmente una "sala capitular") acordada de acuerdo con las reglas establecidas en el </w:t>
      </w:r>
      <w:proofErr w:type="spellStart"/>
      <w:r w:rsidRPr="00020EDE">
        <w:rPr>
          <w:i/>
          <w:iCs/>
        </w:rPr>
        <w:t>Vinaya</w:t>
      </w:r>
      <w:proofErr w:type="spellEnd"/>
      <w:r>
        <w:t xml:space="preserve"> y marcada por hitos pétreos, dentro del cual la Comunidad (</w:t>
      </w:r>
      <w:r w:rsidRPr="00057BF4">
        <w:rPr>
          <w:i/>
          <w:iCs/>
        </w:rPr>
        <w:t>Saṅgha</w:t>
      </w:r>
      <w:r>
        <w:t>) lleva a cabo sus actos formales.</w:t>
      </w:r>
    </w:p>
    <w:p w14:paraId="0E400A0F" w14:textId="77777777" w:rsidR="003A5C97" w:rsidRDefault="003A5C97" w:rsidP="003A5C97">
      <w:pPr>
        <w:tabs>
          <w:tab w:val="clear" w:pos="425"/>
        </w:tabs>
        <w:spacing w:after="160"/>
      </w:pPr>
      <w:r>
        <w:br w:type="page"/>
      </w:r>
    </w:p>
    <w:p w14:paraId="49CEACC0" w14:textId="77777777" w:rsidR="003A5C97" w:rsidRDefault="003A5C97" w:rsidP="003A5C97">
      <w:pPr>
        <w:spacing w:after="20"/>
      </w:pPr>
      <w:r>
        <w:lastRenderedPageBreak/>
        <w:t xml:space="preserve">59. </w:t>
      </w:r>
      <w:r>
        <w:tab/>
        <w:t>De modo que a estos se les llaman “generalmente útiles” y se “le llaman objetos de meditación” ya que son generalmente necesarios</w:t>
      </w:r>
      <w:r>
        <w:rPr>
          <w:vertAlign w:val="superscript"/>
        </w:rPr>
        <w:t>17</w:t>
      </w:r>
      <w:r>
        <w:t xml:space="preserve"> y deseables debido a su gran utilidad y ya que son objetos para el trabajo de meditación que se pretenda emprender.</w:t>
      </w:r>
    </w:p>
    <w:p w14:paraId="18C630A6" w14:textId="77777777" w:rsidR="003A5C97" w:rsidRDefault="003A5C97" w:rsidP="003A5C97">
      <w:pPr>
        <w:spacing w:after="20"/>
      </w:pPr>
      <w:r>
        <w:t xml:space="preserve">60. </w:t>
      </w:r>
      <w:r>
        <w:tab/>
        <w:t>Con respecto a un "objeto de meditación especial" se refiere a uno de los cuarenta objetos de meditación que se adapte al propio temperamento del practicante. Es “especial” (</w:t>
      </w:r>
      <w:proofErr w:type="spellStart"/>
      <w:r w:rsidRPr="00020EDE">
        <w:rPr>
          <w:i/>
          <w:iCs/>
        </w:rPr>
        <w:t>pārihāriya</w:t>
      </w:r>
      <w:proofErr w:type="spellEnd"/>
      <w:r>
        <w:t>) porque deberá llevarlo consigo (</w:t>
      </w:r>
      <w:proofErr w:type="spellStart"/>
      <w:r w:rsidRPr="00020EDE">
        <w:rPr>
          <w:i/>
          <w:iCs/>
        </w:rPr>
        <w:t>pariharitabbattā</w:t>
      </w:r>
      <w:proofErr w:type="spellEnd"/>
      <w:r>
        <w:t>) constantemente, y porque será la causa próxima de cada etapa superior de desarrollo.</w:t>
      </w:r>
    </w:p>
    <w:p w14:paraId="0644FD31" w14:textId="77777777" w:rsidR="003A5C97" w:rsidRDefault="003A5C97" w:rsidP="003A5C97">
      <w:pPr>
        <w:pStyle w:val="NormalConSangria"/>
        <w:spacing w:after="20"/>
      </w:pPr>
      <w:r>
        <w:t xml:space="preserve">Así que será el que dé este objeto de meditación doble al que se le llamará </w:t>
      </w:r>
      <w:r w:rsidRPr="008657D3">
        <w:rPr>
          <w:i/>
          <w:iCs/>
        </w:rPr>
        <w:t>instructor de un objeto de meditación</w:t>
      </w:r>
      <w:r>
        <w:t>.</w:t>
      </w:r>
    </w:p>
    <w:p w14:paraId="1FB1ECB6" w14:textId="77777777" w:rsidR="003A5C97" w:rsidRDefault="003A5C97" w:rsidP="003A5C97">
      <w:pPr>
        <w:spacing w:after="20"/>
      </w:pPr>
      <w:r>
        <w:t xml:space="preserve">61. </w:t>
      </w:r>
      <w:r>
        <w:tab/>
      </w:r>
      <w:r w:rsidRPr="00020EDE">
        <w:rPr>
          <w:i/>
          <w:iCs/>
        </w:rPr>
        <w:t>El buen amigo</w:t>
      </w:r>
      <w:r>
        <w:t xml:space="preserve"> será aquel que posea cualidades tan especiales como éstas:</w:t>
      </w:r>
    </w:p>
    <w:p w14:paraId="07D2C688" w14:textId="77777777" w:rsidR="003A5C97" w:rsidRDefault="003A5C97" w:rsidP="003A5C97">
      <w:pPr>
        <w:pStyle w:val="VersoIngls01Sangria"/>
        <w:spacing w:after="20"/>
      </w:pPr>
      <w:r>
        <w:t>Él será venerado y muy amado,</w:t>
      </w:r>
    </w:p>
    <w:p w14:paraId="3C16FCAA" w14:textId="77777777" w:rsidR="003A5C97" w:rsidRPr="00C01D9D" w:rsidRDefault="003A5C97" w:rsidP="003A5C97">
      <w:pPr>
        <w:pStyle w:val="VersoIngls01Sangria"/>
        <w:spacing w:after="20"/>
        <w:rPr>
          <w:color w:val="1F3864" w:themeColor="accent1" w:themeShade="80"/>
        </w:rPr>
      </w:pPr>
      <w:r w:rsidRPr="00C01D9D">
        <w:rPr>
          <w:color w:val="1F3864" w:themeColor="accent1" w:themeShade="80"/>
        </w:rPr>
        <w:t>Y el que habl</w:t>
      </w:r>
      <w:r>
        <w:rPr>
          <w:color w:val="1F3864" w:themeColor="accent1" w:themeShade="80"/>
        </w:rPr>
        <w:t>e</w:t>
      </w:r>
      <w:r w:rsidRPr="00C01D9D">
        <w:rPr>
          <w:color w:val="1F3864" w:themeColor="accent1" w:themeShade="80"/>
        </w:rPr>
        <w:t xml:space="preserve"> y sufr</w:t>
      </w:r>
      <w:r>
        <w:rPr>
          <w:color w:val="1F3864" w:themeColor="accent1" w:themeShade="80"/>
        </w:rPr>
        <w:t>a</w:t>
      </w:r>
      <w:r w:rsidRPr="00C01D9D">
        <w:rPr>
          <w:color w:val="1F3864" w:themeColor="accent1" w:themeShade="80"/>
        </w:rPr>
        <w:t xml:space="preserve"> al hablar;</w:t>
      </w:r>
    </w:p>
    <w:p w14:paraId="58E7D482" w14:textId="77777777" w:rsidR="003A5C97" w:rsidRDefault="003A5C97" w:rsidP="003A5C97">
      <w:pPr>
        <w:pStyle w:val="VersoIngls01Sangria"/>
        <w:spacing w:after="20"/>
      </w:pPr>
      <w:r>
        <w:t>El discurso que pronuncie será profundo,</w:t>
      </w:r>
    </w:p>
    <w:p w14:paraId="50D05565" w14:textId="77777777" w:rsidR="003A5C97" w:rsidRDefault="003A5C97" w:rsidP="003A5C97">
      <w:pPr>
        <w:pStyle w:val="VersoIngls01Sangria"/>
        <w:spacing w:after="20"/>
      </w:pPr>
      <w:r>
        <w:t>No instará sin alguna razón (A IV 32) y así sucesivamente.</w:t>
      </w:r>
    </w:p>
    <w:p w14:paraId="6368D92F" w14:textId="77777777" w:rsidR="003A5C97" w:rsidRDefault="003A5C97" w:rsidP="003A5C97">
      <w:pPr>
        <w:pStyle w:val="VersoIngls01Sangria"/>
        <w:spacing w:after="100"/>
        <w:ind w:left="1418"/>
      </w:pPr>
      <w:r>
        <w:t>Es enteramente solícito de bienestar y parcial hacia el progreso.</w:t>
      </w:r>
    </w:p>
    <w:p w14:paraId="4860C394" w14:textId="77777777" w:rsidR="003A5C97" w:rsidRDefault="003A5C97" w:rsidP="003A5C97">
      <w:pPr>
        <w:spacing w:after="20"/>
      </w:pPr>
      <w:r>
        <w:t xml:space="preserve">62. </w:t>
      </w:r>
      <w:r>
        <w:tab/>
        <w:t xml:space="preserve">Debido a las palabras que comienzan, “Ānanda, es debido a que soy buen amigo de ellos que los seres vivos sujetos al nacimiento se liberan del nacimiento” (S I 88), es solo el Plenamente Iluminado quien posee todos los aspectos de un buen amigo. Dado que eso es así, mientras él esté disponible, solo un objeto de meditación adoptado ante la presencia del </w:t>
      </w:r>
      <w:r>
        <w:rPr>
          <w:i/>
          <w:iCs/>
        </w:rPr>
        <w:t xml:space="preserve">Bhagavā </w:t>
      </w:r>
      <w:r>
        <w:t>será bien adoptado.</w:t>
      </w:r>
    </w:p>
    <w:p w14:paraId="433BE6FF" w14:textId="77777777" w:rsidR="003A5C97" w:rsidRDefault="003A5C97" w:rsidP="003A5C97">
      <w:pPr>
        <w:pStyle w:val="NormalConSangria"/>
        <w:spacing w:after="20"/>
      </w:pPr>
      <w:r>
        <w:t xml:space="preserve">Pero después de la consumación final del </w:t>
      </w:r>
      <w:r w:rsidRPr="00020EDE">
        <w:rPr>
          <w:i/>
          <w:iCs/>
        </w:rPr>
        <w:t>Nibbāna</w:t>
      </w:r>
      <w:r>
        <w:rPr>
          <w:i/>
          <w:iCs/>
        </w:rPr>
        <w:t xml:space="preserve"> </w:t>
      </w:r>
      <w:r>
        <w:t xml:space="preserve">del </w:t>
      </w:r>
      <w:r w:rsidRPr="007C3D13">
        <w:rPr>
          <w:i/>
          <w:iCs/>
        </w:rPr>
        <w:t>Buddha</w:t>
      </w:r>
      <w:r>
        <w:t xml:space="preserve">, será apropiado adoptarlo de cualquiera de los ochenta grandes discípulos que aún vivan. Cuando ya no estén disponibles, quien quiera adoptar un objeto de meditación en particular, deberá adoptarlo de alguien con corrupciones destruidas, que, por medio de ese objeto de meditación en particular, haya producido el </w:t>
      </w:r>
      <w:proofErr w:type="spellStart"/>
      <w:r w:rsidRPr="00057BF4">
        <w:rPr>
          <w:i/>
          <w:iCs/>
        </w:rPr>
        <w:t>jhāna</w:t>
      </w:r>
      <w:proofErr w:type="spellEnd"/>
      <w:r>
        <w:t xml:space="preserve"> cuádruple y quíntuple, y haya alcanzado la destrucción de </w:t>
      </w:r>
      <w:proofErr w:type="gramStart"/>
      <w:r>
        <w:t>los corrupciones</w:t>
      </w:r>
      <w:proofErr w:type="gramEnd"/>
      <w:r>
        <w:t xml:space="preserve"> incrementando la sabiduría que poseía ese </w:t>
      </w:r>
      <w:proofErr w:type="spellStart"/>
      <w:r w:rsidRPr="00057BF4">
        <w:rPr>
          <w:i/>
          <w:iCs/>
        </w:rPr>
        <w:t>jhāna</w:t>
      </w:r>
      <w:proofErr w:type="spellEnd"/>
      <w:r>
        <w:t xml:space="preserve"> como su causa próxima.</w:t>
      </w:r>
    </w:p>
    <w:p w14:paraId="6C19A37E" w14:textId="77777777" w:rsidR="003A5C97" w:rsidRDefault="003A5C97" w:rsidP="003A5C97">
      <w:pPr>
        <w:spacing w:after="20"/>
      </w:pPr>
      <w:r>
        <w:t xml:space="preserve">63. </w:t>
      </w:r>
      <w:r>
        <w:tab/>
        <w:t xml:space="preserve">Pero ¿cómo, pues, alguien con las corrupciones destruidas se declara así: “Soy alguien de corrupciones destruidas”? ¿Por qué no? Él se declarará cuando sepa que sus instrucciones se cumplirán. ¿Acaso el Venerable </w:t>
      </w:r>
      <w:proofErr w:type="spellStart"/>
      <w:r>
        <w:t>Assagutta</w:t>
      </w:r>
      <w:proofErr w:type="spellEnd"/>
      <w:r>
        <w:t xml:space="preserve"> [99] no extendió su estera de cuero en el aire y, sentado con las piernas cruzadas sobre ella, explicó un objeto de meditación a un </w:t>
      </w:r>
      <w:proofErr w:type="spellStart"/>
      <w:r w:rsidRPr="00057BF4">
        <w:rPr>
          <w:i/>
          <w:iCs/>
        </w:rPr>
        <w:t>bhikkhu</w:t>
      </w:r>
      <w:proofErr w:type="spellEnd"/>
      <w:r>
        <w:t xml:space="preserve"> que estaba comenzando su objeto de meditación, porque sabía que ese </w:t>
      </w:r>
      <w:proofErr w:type="spellStart"/>
      <w:r w:rsidRPr="00057BF4">
        <w:rPr>
          <w:i/>
          <w:iCs/>
        </w:rPr>
        <w:t>bhikkhu</w:t>
      </w:r>
      <w:proofErr w:type="spellEnd"/>
      <w:r>
        <w:t xml:space="preserve"> era el que llevaría a cabo sus instrucciones para atender el objeto de meditación?</w:t>
      </w:r>
    </w:p>
    <w:p w14:paraId="2EA21754" w14:textId="6E50F879" w:rsidR="003A5C97" w:rsidRDefault="003A5C97" w:rsidP="003A5C97">
      <w:pPr>
        <w:spacing w:after="20"/>
      </w:pPr>
      <w:r>
        <w:t xml:space="preserve">64. </w:t>
      </w:r>
      <w:r>
        <w:tab/>
        <w:t xml:space="preserve">Entonces, si alguien con corrupciones destruidas estuviese disponible, eso será bueno. Si no, entonces uno debe adoptar el objeto de meditación por parte de un no-retornante, un </w:t>
      </w:r>
      <w:r w:rsidR="00185D87" w:rsidRPr="004C5265">
        <w:t>re</w:t>
      </w:r>
      <w:r w:rsidR="00185D87">
        <w:t>tornante–por–única–vez</w:t>
      </w:r>
      <w:r>
        <w:t xml:space="preserve">, un entrante a la corriente, un hombre ordinario que haya desarrollado los </w:t>
      </w:r>
      <w:proofErr w:type="spellStart"/>
      <w:r w:rsidRPr="00057BF4">
        <w:rPr>
          <w:i/>
          <w:iCs/>
        </w:rPr>
        <w:t>jhāna</w:t>
      </w:r>
      <w:proofErr w:type="spellEnd"/>
      <w:r>
        <w:t xml:space="preserve">, alguien que conozca los tres </w:t>
      </w:r>
      <w:proofErr w:type="spellStart"/>
      <w:r w:rsidRPr="00020EDE">
        <w:rPr>
          <w:i/>
          <w:iCs/>
        </w:rPr>
        <w:t>Piṭakas</w:t>
      </w:r>
      <w:proofErr w:type="spellEnd"/>
      <w:r>
        <w:t xml:space="preserve">, alguien que conozca dos </w:t>
      </w:r>
      <w:proofErr w:type="spellStart"/>
      <w:r w:rsidRPr="00020EDE">
        <w:rPr>
          <w:i/>
          <w:iCs/>
        </w:rPr>
        <w:t>Piṭakas</w:t>
      </w:r>
      <w:proofErr w:type="spellEnd"/>
      <w:r>
        <w:t xml:space="preserve">, alguien que conozca un </w:t>
      </w:r>
      <w:proofErr w:type="spellStart"/>
      <w:r w:rsidRPr="00020EDE">
        <w:rPr>
          <w:i/>
          <w:iCs/>
        </w:rPr>
        <w:t>Piṭaka</w:t>
      </w:r>
      <w:proofErr w:type="spellEnd"/>
      <w:r>
        <w:t xml:space="preserve">, en orden descendente [según la disponibilidad]. Si ni siquiera alguien que conozca un </w:t>
      </w:r>
      <w:proofErr w:type="spellStart"/>
      <w:r w:rsidRPr="00020EDE">
        <w:rPr>
          <w:i/>
          <w:iCs/>
        </w:rPr>
        <w:t>Piṭaka</w:t>
      </w:r>
      <w:proofErr w:type="spellEnd"/>
      <w:r>
        <w:t xml:space="preserve"> estuviera disponible, entonces debe adoptarse por parte de alguien que esté familiarizado con una Colección junto con su comentario y que sea consciente. Porque un maestro como éste, que conozca los textos, guardará la herencia y protegerá la tradición, seguirá la opinión de los maestros en lugar de la suya propia. Por lo tanto, los Antiguos Venerables dijeron tres veces: “El que sea consciente preservará la enseñanza”.</w:t>
      </w:r>
    </w:p>
    <w:p w14:paraId="1B65C36A" w14:textId="77777777" w:rsidR="003A5C97" w:rsidRPr="00861956" w:rsidRDefault="003A5C97" w:rsidP="003A5C97">
      <w:pPr>
        <w:pStyle w:val="PiedepginaLegal"/>
        <w:rPr>
          <w:u w:val="single"/>
        </w:rPr>
      </w:pPr>
      <w:r w:rsidRPr="00861956">
        <w:rPr>
          <w:u w:val="single"/>
        </w:rPr>
        <w:t xml:space="preserve">                                                                                                                                                            .</w:t>
      </w:r>
    </w:p>
    <w:p w14:paraId="2A068171" w14:textId="77777777" w:rsidR="003A5C97" w:rsidRDefault="003A5C97" w:rsidP="003A5C97">
      <w:pPr>
        <w:pStyle w:val="PiedepginaLegal"/>
      </w:pPr>
      <w:r>
        <w:t xml:space="preserve">17. </w:t>
      </w:r>
      <w:r>
        <w:tab/>
      </w:r>
      <w:proofErr w:type="spellStart"/>
      <w:r w:rsidRPr="00020EDE">
        <w:rPr>
          <w:i/>
          <w:iCs/>
        </w:rPr>
        <w:t>Atthayitabba</w:t>
      </w:r>
      <w:proofErr w:type="spellEnd"/>
      <w:r>
        <w:t>— “necesario”: no encontrado en el PED, no encontrado en el CPD.</w:t>
      </w:r>
      <w:r>
        <w:br w:type="page"/>
      </w:r>
    </w:p>
    <w:p w14:paraId="56A08DE9" w14:textId="77777777" w:rsidR="003A5C97" w:rsidRDefault="003A5C97" w:rsidP="003A5C97">
      <w:r>
        <w:lastRenderedPageBreak/>
        <w:t xml:space="preserve">65. </w:t>
      </w:r>
      <w:r>
        <w:tab/>
        <w:t xml:space="preserve">Ahora bien, los que empiecen con alguien cuyas corrupciones se encuentren destruidas, mencionado anteriormente, describirán sólo el sendero que ellos mismos hayan recorrido. Pero con un hombre erudito, sus instrucciones y sus respuestas a las preguntas se purificarán por haberse acercado a tales y tales maestros, y así explicará un objeto de meditación mostrando un sendero amplio, como un gran elefante atravesando </w:t>
      </w:r>
      <w:proofErr w:type="gramStart"/>
      <w:r>
        <w:t>un trayectoria</w:t>
      </w:r>
      <w:proofErr w:type="gramEnd"/>
      <w:r>
        <w:t xml:space="preserve"> a través de una selva, y él seleccionará los </w:t>
      </w:r>
      <w:r w:rsidRPr="00805509">
        <w:rPr>
          <w:i/>
          <w:iCs/>
        </w:rPr>
        <w:t>suttas</w:t>
      </w:r>
      <w:r>
        <w:t xml:space="preserve"> y las correspondiente razones de aquí y de allá, añadiendo [explicaciones de] lo que sea adecuado e inadecuado. Por lo tanto, se debe adoptar un objeto de meditación acercándose a un buen amigo como éste, como instructor de un objeto de meditación, y cumpliendo con él todos los deberes.</w:t>
      </w:r>
    </w:p>
    <w:p w14:paraId="687116E2" w14:textId="77777777" w:rsidR="003A5C97" w:rsidRDefault="003A5C97" w:rsidP="003A5C97">
      <w:r>
        <w:t xml:space="preserve">66. </w:t>
      </w:r>
      <w:r>
        <w:tab/>
        <w:t>Si estuviera disponible en el mismo monasterio, sería óptimo. Si no, debería dirigirse hacia donde se encuentre residiendo.</w:t>
      </w:r>
    </w:p>
    <w:p w14:paraId="5587C3E0" w14:textId="77777777" w:rsidR="003A5C97" w:rsidRDefault="003A5C97" w:rsidP="003A5C97">
      <w:pPr>
        <w:pStyle w:val="NormalConSangria"/>
      </w:pPr>
      <w:r>
        <w:t xml:space="preserve">Cuando un </w:t>
      </w:r>
      <w:proofErr w:type="spellStart"/>
      <w:r w:rsidRPr="00057BF4">
        <w:rPr>
          <w:i/>
          <w:iCs/>
        </w:rPr>
        <w:t>bhikkhu</w:t>
      </w:r>
      <w:proofErr w:type="spellEnd"/>
      <w:r>
        <w:t xml:space="preserve"> vaya hacia él, no debe hacerlo con los pies lavados y ungidos, usando sandalias, con un paraguas, rodeado de discípulos y trayendo tubos de aceite, miel, melaza, etc.; él debe hacerlo cumpliendo los deberes de un </w:t>
      </w:r>
      <w:proofErr w:type="spellStart"/>
      <w:r w:rsidRPr="00057BF4">
        <w:rPr>
          <w:i/>
          <w:iCs/>
        </w:rPr>
        <w:t>bhikkhu</w:t>
      </w:r>
      <w:proofErr w:type="spellEnd"/>
      <w:r>
        <w:t xml:space="preserve"> que emprenda un viaje, llevando él mismo su cuenco y su ropaje, haciendo todos los deberes en cada monasterio durante el camino, con pocas pertenencias y viviendo en la mayor purificación. Al entrar al monasterio en cuestión, debe hacerlo [sin esperar nada, e inclusive portando] su </w:t>
      </w:r>
      <w:r w:rsidRPr="000D2786">
        <w:rPr>
          <w:iCs/>
        </w:rPr>
        <w:t>p</w:t>
      </w:r>
      <w:r>
        <w:rPr>
          <w:iCs/>
        </w:rPr>
        <w:t>al</w:t>
      </w:r>
      <w:r w:rsidRPr="000D2786">
        <w:rPr>
          <w:iCs/>
        </w:rPr>
        <w:t>illo</w:t>
      </w:r>
      <w:r>
        <w:t xml:space="preserve"> de dientes que se haya permitido durante el trayecto [según las reglas]. Y no deberá entrar en otra habitación pensando: “Iré a ver al maestro después de descansar un rato y después de lavarme y ungirme los pies, etc.”.</w:t>
      </w:r>
    </w:p>
    <w:p w14:paraId="5472582B" w14:textId="77777777" w:rsidR="003A5C97" w:rsidRDefault="003A5C97" w:rsidP="003A5C97">
      <w:r>
        <w:t xml:space="preserve">67. </w:t>
      </w:r>
      <w:r>
        <w:tab/>
        <w:t xml:space="preserve">¿Por qué? Si hay </w:t>
      </w:r>
      <w:proofErr w:type="spellStart"/>
      <w:r w:rsidRPr="00057BF4">
        <w:rPr>
          <w:i/>
          <w:iCs/>
        </w:rPr>
        <w:t>bhikkhu</w:t>
      </w:r>
      <w:r w:rsidRPr="00020EDE">
        <w:rPr>
          <w:i/>
          <w:iCs/>
        </w:rPr>
        <w:t>s</w:t>
      </w:r>
      <w:proofErr w:type="spellEnd"/>
      <w:r>
        <w:t xml:space="preserve"> allí que sean hostiles con el maestro, podrían preguntarle la razón de su llegada y hablar mal del maestro, diciendo: “Estará acabado si acude a él”; [100] podrían hacerle arrepentirse de su llegado y hacerlo regresar. Entonces deberá preguntar por la vivienda del maestro y dirigirse directamente hasta allí.</w:t>
      </w:r>
    </w:p>
    <w:p w14:paraId="41AD43C3" w14:textId="77777777" w:rsidR="003A5C97" w:rsidRDefault="003A5C97" w:rsidP="003A5C97">
      <w:r>
        <w:t xml:space="preserve">68. </w:t>
      </w:r>
      <w:r>
        <w:tab/>
        <w:t>Si el maestro fuera joven, no debe dar su consentimiento para que el maestro reciba su cuenco, su ropaje, etc. Si el maestro fuera mayor, entonces deberá ir y rendirle reverencia y permanecer de pie. Cuando se le diga: “Deje el cuenco y el ropaje, amigo”, será posible que los deje. Cuando se le diga: "Tome un poco de agua para beber", podrá beber si quiere. Cuando se le diga: "Puede lavarse los pies", no debe hacerlo de inmediato, porque si el maestro mismo trajo el agua, sería impropio. Pero cuando se le diga “Lávese, amigo, no lo traje yo, lo trajeron otros”, entonces podrá lavarse los pies, sentándose en un lugar protegido fuera de la vista del maestro, o al aire libre a un lado de la vivienda.</w:t>
      </w:r>
    </w:p>
    <w:p w14:paraId="2F0D5706" w14:textId="77777777" w:rsidR="003A5C97" w:rsidRDefault="003A5C97" w:rsidP="003A5C97">
      <w:r>
        <w:t xml:space="preserve">69. </w:t>
      </w:r>
      <w:r>
        <w:tab/>
        <w:t xml:space="preserve">Si el maestro trajese un tubo de aceite, debe levantarse y tomarlo con cuidado con ambas manos. Si no lo tomara, podría hacer que el maestro se pregunte: "¿Este </w:t>
      </w:r>
      <w:proofErr w:type="spellStart"/>
      <w:r w:rsidRPr="00057BF4">
        <w:rPr>
          <w:i/>
          <w:iCs/>
        </w:rPr>
        <w:t>bhikkhu</w:t>
      </w:r>
      <w:proofErr w:type="spellEnd"/>
      <w:r>
        <w:t xml:space="preserve"> se resiente de compartir muy pronto?" pero habiéndolo tomado, no deberá ungir sus pies de inmediato. Porque si fuera aceite para ungir los miembros del maestro, no sería apropiado. Entonces, primero debe ungir su cabeza, luego sus hombros, etc.; pero cuando se le diga: "Esto es para todos los miembros, amigo, únjase sus pies", deberá poner un poco en su cabeza y luego ungir sus pies. Luego debe devolverlo, diciendo cuando el maestro lo tome: "¿Puedo devolver este tubo de aceite, Venerable Señor?"</w:t>
      </w:r>
    </w:p>
    <w:p w14:paraId="2DD04A16" w14:textId="77777777" w:rsidR="003A5C97" w:rsidRDefault="003A5C97" w:rsidP="003A5C97">
      <w:r>
        <w:t xml:space="preserve">70. </w:t>
      </w:r>
      <w:r>
        <w:tab/>
        <w:t xml:space="preserve">No debe decir: “Instrúyame en un objeto de meditación, Venerable Señor”, el mismo día que llegue. Pero a partir del día siguiente, podrá, si el maestro tiene un asistente habitual, pedirle permiso para hacer los deberes. Si no lo permitiera cuando se le solicite, podrá hacerlo </w:t>
      </w:r>
    </w:p>
    <w:p w14:paraId="2AB6FDB8" w14:textId="77777777" w:rsidR="003A5C97" w:rsidRDefault="003A5C97" w:rsidP="003A5C97">
      <w:pPr>
        <w:tabs>
          <w:tab w:val="clear" w:pos="425"/>
        </w:tabs>
        <w:spacing w:after="160"/>
      </w:pPr>
      <w:r>
        <w:br w:type="page"/>
      </w:r>
    </w:p>
    <w:p w14:paraId="49303982" w14:textId="77777777" w:rsidR="003A5C97" w:rsidRDefault="003A5C97" w:rsidP="003A5C97">
      <w:r>
        <w:lastRenderedPageBreak/>
        <w:t xml:space="preserve">cuando se dé la oportunidad. Cuando lo haga, se traerán tres </w:t>
      </w:r>
      <w:r w:rsidRPr="003D0C8C">
        <w:rPr>
          <w:iCs/>
        </w:rPr>
        <w:t>palillos</w:t>
      </w:r>
      <w:r>
        <w:t>, uno chico, uno mediano y uno grande, y se dispondrán dos clases de agua de enjuague y agua de baño, es decir, caliente y fría. Cualquiera de estos que el maestro use durante tres días deberá ser traído regularmente. Si el maestro usa cualquiera de los dos tipos indiscriminadamente, podrá traer lo que esté disponible.</w:t>
      </w:r>
    </w:p>
    <w:p w14:paraId="5A1B1CDF" w14:textId="77777777" w:rsidR="003A5C97" w:rsidRDefault="003A5C97" w:rsidP="003A5C97">
      <w:r>
        <w:t xml:space="preserve">71. </w:t>
      </w:r>
      <w:r>
        <w:tab/>
        <w:t xml:space="preserve">¿Por qué tantas palabras? Todo debe hacerse según lo prescrito por el </w:t>
      </w:r>
      <w:r>
        <w:rPr>
          <w:i/>
          <w:iCs/>
        </w:rPr>
        <w:t xml:space="preserve">Bhagavā </w:t>
      </w:r>
      <w:r>
        <w:t xml:space="preserve">en los </w:t>
      </w:r>
      <w:proofErr w:type="spellStart"/>
      <w:r w:rsidRPr="00020EDE">
        <w:rPr>
          <w:i/>
          <w:iCs/>
        </w:rPr>
        <w:t>Khandhakas</w:t>
      </w:r>
      <w:proofErr w:type="spellEnd"/>
      <w:r>
        <w:t xml:space="preserve"> como deberes correctos en el pasaje que comienza: “</w:t>
      </w:r>
      <w:proofErr w:type="spellStart"/>
      <w:r w:rsidRPr="00057BF4">
        <w:rPr>
          <w:i/>
          <w:iCs/>
        </w:rPr>
        <w:t>Bhikkhu</w:t>
      </w:r>
      <w:r w:rsidRPr="00020EDE">
        <w:rPr>
          <w:i/>
          <w:iCs/>
        </w:rPr>
        <w:t>s</w:t>
      </w:r>
      <w:proofErr w:type="spellEnd"/>
      <w:r>
        <w:t xml:space="preserve">, un discípulo debe realizar los deberes hacia el maestro [101] correctamente. Al respecto, éste es el correcto desempeño de los deberes. Debe levantarse temprano; quitándose las sandalias y colocándose el ropaje sobre un hombro, debe ofrecer los </w:t>
      </w:r>
      <w:r w:rsidRPr="00AA21EE">
        <w:rPr>
          <w:iCs/>
        </w:rPr>
        <w:t>palillos</w:t>
      </w:r>
      <w:r>
        <w:rPr>
          <w:i/>
        </w:rPr>
        <w:t xml:space="preserve"> </w:t>
      </w:r>
      <w:r>
        <w:t>y el agua para enjuagar la boca, y deberá preparar el asiento. Si hubiese atole de arroz, deberá lavar el plato y traerle el atole de arroz” (</w:t>
      </w:r>
      <w:proofErr w:type="spellStart"/>
      <w:r>
        <w:t>Vin</w:t>
      </w:r>
      <w:proofErr w:type="spellEnd"/>
      <w:r>
        <w:t xml:space="preserve"> I 61).</w:t>
      </w:r>
    </w:p>
    <w:p w14:paraId="5D2F7F63" w14:textId="77777777" w:rsidR="003A5C97" w:rsidRDefault="003A5C97" w:rsidP="003A5C97">
      <w:r>
        <w:t xml:space="preserve">72. </w:t>
      </w:r>
      <w:r>
        <w:tab/>
        <w:t>Para complacer al maestro con la perfección de los deberes, deberá rendir reverencia por la noche, y deberá irse cuando se le despida con las palabras: "Puede retirarse". Cuando el maestro le pregunte: “¿Por qué ha venido?” entonces él podrá explicar la razón de su llegada. Si no pregunta y está de acuerdo con el cumplimiento de los deberes, entonces, después de diez o quince días, deberá aprovechar la oportunidad de quedarse un día más en el momento de su despido y anunciar la razón de su llegada; o deberá ir a una hora no acostumbrada, y cuando se le pregunte: "¿A qué ha venido?" entonces se podrá comunicar el motivo.</w:t>
      </w:r>
    </w:p>
    <w:p w14:paraId="0236D3C8" w14:textId="77777777" w:rsidR="003A5C97" w:rsidRDefault="003A5C97" w:rsidP="003A5C97">
      <w:r>
        <w:t xml:space="preserve">73. </w:t>
      </w:r>
      <w:r>
        <w:tab/>
        <w:t xml:space="preserve">Si el maestro dijera: “Venga por la mañana”, deberá hacerlo. Pero si a esa hora le arde el vientre con aflicción de bilis, o si su comida no se digiere por letargo del calor digestivo, o si le afligiese alguna otra dolencia, deberá hacerlo saber, y propondrá el momento que le convenga, y el </w:t>
      </w:r>
      <w:proofErr w:type="spellStart"/>
      <w:r w:rsidRPr="008657D3">
        <w:rPr>
          <w:i/>
          <w:iCs/>
        </w:rPr>
        <w:t>bhikkhu</w:t>
      </w:r>
      <w:proofErr w:type="spellEnd"/>
      <w:r>
        <w:t xml:space="preserve"> deberá llegar en ese momento. Porque si un objeto de meditación se expusiese en un momento inconveniente, uno podría no prestarle atención.</w:t>
      </w:r>
    </w:p>
    <w:p w14:paraId="0C6758D4" w14:textId="77777777" w:rsidR="003A5C97" w:rsidRDefault="003A5C97" w:rsidP="003A5C97">
      <w:pPr>
        <w:pStyle w:val="NormalConSangria"/>
      </w:pPr>
      <w:r>
        <w:t>Ésta es la explicación detallada sobre las palabras “aproximarse al buen amigo, al instructor de un objeto de meditación”.</w:t>
      </w:r>
    </w:p>
    <w:p w14:paraId="73C78732" w14:textId="77777777" w:rsidR="003A5C97" w:rsidRDefault="003A5C97" w:rsidP="003A5C97">
      <w:r>
        <w:t xml:space="preserve">74. </w:t>
      </w:r>
      <w:r>
        <w:tab/>
        <w:t xml:space="preserve">Ahora bien, en cuanto a las palabras, </w:t>
      </w:r>
      <w:r w:rsidRPr="00367689">
        <w:rPr>
          <w:i/>
          <w:iCs/>
        </w:rPr>
        <w:t>un</w:t>
      </w:r>
      <w:r>
        <w:rPr>
          <w:i/>
          <w:iCs/>
        </w:rPr>
        <w:t>o</w:t>
      </w:r>
      <w:r w:rsidRPr="00367689">
        <w:rPr>
          <w:i/>
          <w:iCs/>
        </w:rPr>
        <w:t xml:space="preserve"> que se adapte a su temperamento</w:t>
      </w:r>
      <w:r>
        <w:t xml:space="preserve"> (§28): existen 6 tipos de temperamento, es decir, temperamento codicioso, temperamento iracundo, temperamento ilusivo, temperamento devoto, temperamento inteligente y temperamento especulativo. Puede decirse que alguien podría tener catorce, tomando estos seis tipos simples junto con los cuatro formados por las tres combinaciones dobles y una triple combinación con la tríada de la codicia y también con la tríada de la fe. Pero si se admitiese esta clasificación, serían posibles muchas más clases de temperamento combinados con la codicia, etc., con la fe, etc.; por lo tanto, los tipos de temperamento deben entenderse brevemente como solo seis. En cuanto al significado de los temperamentos es sólo uno, es decir, la naturaleza personal, la idiosincrasia. Según [102] estos sólo hay seis tipos de personas, es decir, uno de temperamento codicioso, uno de temperamento iracundo, uno de temperamento ilusivo, uno de temperamento devoto, uno de temperamento inteligente y uno de temperamento especulativo.</w:t>
      </w:r>
    </w:p>
    <w:p w14:paraId="489A7341" w14:textId="2CBE7B86" w:rsidR="003A5C97" w:rsidRDefault="003A5C97" w:rsidP="003A5C97">
      <w:r>
        <w:t xml:space="preserve">75. </w:t>
      </w:r>
      <w:r>
        <w:tab/>
        <w:t xml:space="preserve">Aquí, alguien de temperamento devoto será paralelo a alguien de temperamento codicioso porque la fe será fuerte cuando el </w:t>
      </w:r>
      <w:proofErr w:type="spellStart"/>
      <w:r w:rsidRPr="00057BF4">
        <w:rPr>
          <w:i/>
          <w:iCs/>
        </w:rPr>
        <w:t>kamma</w:t>
      </w:r>
      <w:proofErr w:type="spellEnd"/>
      <w:r>
        <w:t xml:space="preserve"> productivo ocurra en alguien de temperamento codicioso, debido a que sus cualidades especiales están cerca de las de la codicia. Porque, de una manera improductiva, la codicia es afectuosa y no</w:t>
      </w:r>
      <w:r w:rsidRPr="00955087">
        <w:t xml:space="preserve"> </w:t>
      </w:r>
      <w:r>
        <w:t xml:space="preserve">demasiado austera, y así, de una manera productiva, lo es la fe. La codicia anhela los </w:t>
      </w:r>
      <w:r w:rsidR="007831DD">
        <w:t>deseos sensoriales</w:t>
      </w:r>
      <w:r>
        <w:t xml:space="preserve"> como objeto, mientras que la fe </w:t>
      </w:r>
      <w:r>
        <w:br w:type="page"/>
      </w:r>
    </w:p>
    <w:p w14:paraId="6844571B" w14:textId="77777777" w:rsidR="003A5C97" w:rsidRDefault="003A5C97" w:rsidP="003A5C97">
      <w:r>
        <w:lastRenderedPageBreak/>
        <w:t>procura cualidades especiales como la virtud, etc. Y la</w:t>
      </w:r>
      <w:r w:rsidRPr="00D74991">
        <w:t xml:space="preserve"> </w:t>
      </w:r>
      <w:r>
        <w:t>codicia no renuncia a lo que sea perjudicial, mientras que la fe no renuncia a lo que sea beneficioso.</w:t>
      </w:r>
    </w:p>
    <w:p w14:paraId="20CEA67D" w14:textId="77777777" w:rsidR="003A5C97" w:rsidRDefault="003A5C97" w:rsidP="003A5C97">
      <w:r>
        <w:t xml:space="preserve">76. </w:t>
      </w:r>
      <w:r>
        <w:tab/>
        <w:t xml:space="preserve">Alguien de temperamento inteligente será paralelo a alguien de temperamento iracundo porque el entendimiento será fuerte cuando el </w:t>
      </w:r>
      <w:proofErr w:type="spellStart"/>
      <w:r w:rsidRPr="00057BF4">
        <w:rPr>
          <w:i/>
          <w:iCs/>
        </w:rPr>
        <w:t>kamma</w:t>
      </w:r>
      <w:proofErr w:type="spellEnd"/>
      <w:r>
        <w:t xml:space="preserve"> productivo ocurra en alguien de temperamento iracundo, debido a que sus cualidades especiales están cerca de las de la ira. Pues de manera inútil la ira se desafecta y no se aferra a su objeto, y así lo es de manera productiva el entendimiento. La ira procura solo faltas irreales, mientras que el entendimiento solo faltas reales. Y la ira se produce a través de un modo de condenar a los seres vivos, mientras que el entendimiento se produce a través de un modo de condenar a las formaciones.</w:t>
      </w:r>
    </w:p>
    <w:p w14:paraId="32D5D0AB" w14:textId="77777777" w:rsidR="003A5C97" w:rsidRDefault="003A5C97" w:rsidP="003A5C97">
      <w:r>
        <w:t xml:space="preserve">77. </w:t>
      </w:r>
      <w:r>
        <w:tab/>
        <w:t xml:space="preserve">Alguien de temperamento especulativo será paralelo a alguien de temperamento ilusivo porque los pensamientos obstructivos aplicados surgen a menudo en alguien de temperamento ilusivo que se esfuerce por despertar estados provechosos no surgidos, debido a que sus cualidades especiales están cerca a las de la ilusión. Porque, así como la ilusión se inquietará debido a la perplejidad, también lo harán los pensamientos aplicados que se deban a pensamientos sobre varios aspectos. Y así como la ilusión vacila debido a la superficialidad, así también los pensamientos aplicados se deberán a </w:t>
      </w:r>
      <w:proofErr w:type="gramStart"/>
      <w:r>
        <w:t>la fáciles conjeturas</w:t>
      </w:r>
      <w:proofErr w:type="gramEnd"/>
      <w:r>
        <w:t>.</w:t>
      </w:r>
    </w:p>
    <w:p w14:paraId="4FB2FFFE" w14:textId="38AA9448" w:rsidR="003A5C97" w:rsidRDefault="003A5C97" w:rsidP="003A5C97">
      <w:r>
        <w:t xml:space="preserve">78. </w:t>
      </w:r>
      <w:r>
        <w:tab/>
        <w:t xml:space="preserve">Otros dicen que existen tres tipos más de temperamento vinculados con la codicia, </w:t>
      </w:r>
      <w:r w:rsidR="00A93821">
        <w:t>la presunción</w:t>
      </w:r>
      <w:r>
        <w:t xml:space="preserve"> y las visiones incorrectas. Aquí el deseo es simplemente codicia; y el orgullo</w:t>
      </w:r>
      <w:r>
        <w:rPr>
          <w:vertAlign w:val="superscript"/>
        </w:rPr>
        <w:t>18</w:t>
      </w:r>
      <w:r>
        <w:t xml:space="preserve"> está asociado a ello, por lo que ninguno de ellos superaría a la codicia. Y dado que los puntos de vista tienen su fuente en la ilusión, el temperamento de los puntos de vista caerá dentro del temperamento ilusivo.</w:t>
      </w:r>
    </w:p>
    <w:p w14:paraId="2113A53E" w14:textId="77777777" w:rsidR="003A5C97" w:rsidRDefault="003A5C97" w:rsidP="003A5C97">
      <w:r>
        <w:t xml:space="preserve">79. </w:t>
      </w:r>
      <w:r>
        <w:tab/>
        <w:t>¿Cuál es la fuente de estos temperamentos? ¿Y cómo se puede saber que tal persona sea de temperamento codicioso, que tal persona sea de los que comienzan con temperamento iracundo? ¿Qué se adapta a quién y de qué tipo de temperamento?</w:t>
      </w:r>
    </w:p>
    <w:p w14:paraId="09B6F991" w14:textId="77777777" w:rsidR="003A5C97" w:rsidRDefault="003A5C97" w:rsidP="003A5C97">
      <w:r>
        <w:t xml:space="preserve">80. </w:t>
      </w:r>
      <w:r>
        <w:tab/>
        <w:t>Aquí, como dicen algunos,</w:t>
      </w:r>
      <w:r>
        <w:rPr>
          <w:vertAlign w:val="superscript"/>
        </w:rPr>
        <w:t>19</w:t>
      </w:r>
      <w:r>
        <w:t xml:space="preserve"> las tres primeras clases de temperamento tienen su origen en el hábito pasado; y tienen su origen en los elementos y los humores. Aparentemente, alguien de temperamento codicioso ha tenido anteriormente muchas tareas deseables y trabajos gratificantes que hacer, o ha reaparecido aquí después de morir en algún cielo. Y alguien de temperamento iracundo ha tenido anteriormente mucho apuñalamiento, tortura y trabajo brutal que </w:t>
      </w:r>
    </w:p>
    <w:p w14:paraId="4B90F270" w14:textId="77777777" w:rsidR="003A5C97" w:rsidRPr="00955087" w:rsidRDefault="003A5C97" w:rsidP="003A5C97">
      <w:pPr>
        <w:pStyle w:val="PiedepginaLegal"/>
        <w:rPr>
          <w:u w:val="single"/>
        </w:rPr>
      </w:pPr>
      <w:r w:rsidRPr="00955087">
        <w:rPr>
          <w:u w:val="single"/>
        </w:rPr>
        <w:t xml:space="preserve">                                                                                                                                                           .</w:t>
      </w:r>
    </w:p>
    <w:p w14:paraId="12B18676" w14:textId="77777777" w:rsidR="003A5C97" w:rsidRDefault="003A5C97" w:rsidP="003A5C97">
      <w:pPr>
        <w:pStyle w:val="PiedepginaLegal"/>
      </w:pPr>
      <w:r>
        <w:t xml:space="preserve">18. </w:t>
      </w:r>
      <w:r>
        <w:tab/>
      </w:r>
      <w:r w:rsidRPr="00367689">
        <w:rPr>
          <w:i/>
          <w:iCs/>
        </w:rPr>
        <w:t>Māna</w:t>
      </w:r>
      <w:r>
        <w:t xml:space="preserve">, que normalmente se traduce como “presunción”, se traduce aquí tanto como “orgullo” como “presunción”. Etimológicamente se deriva quizás de </w:t>
      </w:r>
      <w:proofErr w:type="spellStart"/>
      <w:r w:rsidRPr="00367689">
        <w:rPr>
          <w:i/>
          <w:iCs/>
        </w:rPr>
        <w:t>māneti</w:t>
      </w:r>
      <w:proofErr w:type="spellEnd"/>
      <w:r>
        <w:t xml:space="preserve"> (honrar) o </w:t>
      </w:r>
      <w:proofErr w:type="spellStart"/>
      <w:r w:rsidRPr="00367689">
        <w:rPr>
          <w:i/>
          <w:iCs/>
        </w:rPr>
        <w:t>mināti</w:t>
      </w:r>
      <w:proofErr w:type="spellEnd"/>
      <w:r>
        <w:t xml:space="preserve"> (medir). Semánticamente, sin embargo, tiende a asociarse con </w:t>
      </w:r>
      <w:proofErr w:type="spellStart"/>
      <w:r w:rsidRPr="00367689">
        <w:rPr>
          <w:i/>
          <w:iCs/>
        </w:rPr>
        <w:t>maññati</w:t>
      </w:r>
      <w:proofErr w:type="spellEnd"/>
      <w:r>
        <w:t xml:space="preserve">, concebir (nociones falsas, ver M I 1), imaginar, pensar (como por ejemplo en </w:t>
      </w:r>
      <w:proofErr w:type="spellStart"/>
      <w:r>
        <w:t>Nidd</w:t>
      </w:r>
      <w:proofErr w:type="spellEnd"/>
      <w:r>
        <w:t xml:space="preserve"> I 80, </w:t>
      </w:r>
      <w:proofErr w:type="spellStart"/>
      <w:r>
        <w:t>Vibh</w:t>
      </w:r>
      <w:proofErr w:type="spellEnd"/>
      <w:r>
        <w:t xml:space="preserve"> 390 y </w:t>
      </w:r>
      <w:proofErr w:type="spellStart"/>
      <w:r>
        <w:t>comy</w:t>
      </w:r>
      <w:proofErr w:type="spellEnd"/>
      <w:r>
        <w:t xml:space="preserve">.). Como una de las “contaminaciones” (ver M I 36) probablemente se traduce mejor como “orgullo”. En la expresión </w:t>
      </w:r>
      <w:proofErr w:type="spellStart"/>
      <w:r w:rsidRPr="00425162">
        <w:rPr>
          <w:i/>
          <w:iCs/>
        </w:rPr>
        <w:t>asmi</w:t>
      </w:r>
      <w:proofErr w:type="spellEnd"/>
      <w:r w:rsidRPr="00425162">
        <w:rPr>
          <w:i/>
          <w:iCs/>
        </w:rPr>
        <w:t>-māna</w:t>
      </w:r>
      <w:r>
        <w:t xml:space="preserve"> (a menudo traducida como “el orgullo de decir 'Yo soy'”) se acerca más a </w:t>
      </w:r>
      <w:r w:rsidRPr="00C01FDD">
        <w:rPr>
          <w:i/>
          <w:iCs/>
        </w:rPr>
        <w:t>maññanā</w:t>
      </w:r>
      <w:r>
        <w:t xml:space="preserve"> (falsa imaginación, concepción errónea, véase M III 246) y se traduce mejor como la “presunción de 'Yo soy,'” ya que la palabra “presunción” se extiende a ambos lados de los significados de “orgullo” (es decir, altivez) y “concepción”.</w:t>
      </w:r>
    </w:p>
    <w:p w14:paraId="3F801331" w14:textId="77777777" w:rsidR="003A5C97" w:rsidRDefault="003A5C97" w:rsidP="003A5C97">
      <w:pPr>
        <w:pStyle w:val="PiedepginaLegal"/>
      </w:pPr>
      <w:r>
        <w:t xml:space="preserve"> 19. </w:t>
      </w:r>
      <w:r>
        <w:tab/>
        <w:t>“‘</w:t>
      </w:r>
      <w:r w:rsidRPr="00367689">
        <w:rPr>
          <w:i/>
          <w:iCs/>
        </w:rPr>
        <w:t>Algunos’</w:t>
      </w:r>
      <w:r>
        <w:t xml:space="preserve"> se dice con referencia al Venerable </w:t>
      </w:r>
      <w:proofErr w:type="spellStart"/>
      <w:r>
        <w:t>Upatissa</w:t>
      </w:r>
      <w:proofErr w:type="spellEnd"/>
      <w:r>
        <w:t xml:space="preserve">. Porque él lo expresa de esta manera en el </w:t>
      </w:r>
      <w:proofErr w:type="spellStart"/>
      <w:r w:rsidRPr="00367689">
        <w:rPr>
          <w:i/>
          <w:iCs/>
        </w:rPr>
        <w:t>Vimuttimagga</w:t>
      </w:r>
      <w:proofErr w:type="spellEnd"/>
      <w:r>
        <w:t>. La palabra ‘aparentemente’ indica disentir con lo que siga” (</w:t>
      </w:r>
      <w:proofErr w:type="spellStart"/>
      <w:r>
        <w:t>Vism-mhṭ</w:t>
      </w:r>
      <w:proofErr w:type="spellEnd"/>
      <w:r>
        <w:t xml:space="preserve"> 103). Un pasaje similar al mencionado aparece en el cap. 6 (</w:t>
      </w:r>
      <w:proofErr w:type="spellStart"/>
      <w:r w:rsidRPr="00367689">
        <w:rPr>
          <w:i/>
          <w:iCs/>
        </w:rPr>
        <w:t>Taisho</w:t>
      </w:r>
      <w:proofErr w:type="spellEnd"/>
      <w:r>
        <w:t xml:space="preserve"> ed. p. 410a) de la versión china del </w:t>
      </w:r>
      <w:proofErr w:type="spellStart"/>
      <w:r w:rsidRPr="00367689">
        <w:rPr>
          <w:i/>
          <w:iCs/>
        </w:rPr>
        <w:t>Vimuttimagga</w:t>
      </w:r>
      <w:proofErr w:type="spellEnd"/>
      <w:r>
        <w:t>, el único existente.</w:t>
      </w:r>
      <w:r>
        <w:br w:type="page"/>
      </w:r>
    </w:p>
    <w:p w14:paraId="2F6D0CBA" w14:textId="77777777" w:rsidR="003A5C97" w:rsidRDefault="003A5C97" w:rsidP="003A5C97">
      <w:r>
        <w:lastRenderedPageBreak/>
        <w:t xml:space="preserve">hacer o ha reaparecido aquí después de morir en uno de los infiernos o existencias </w:t>
      </w:r>
      <w:proofErr w:type="spellStart"/>
      <w:r w:rsidRPr="00367689">
        <w:rPr>
          <w:i/>
          <w:iCs/>
        </w:rPr>
        <w:t>nāga</w:t>
      </w:r>
      <w:proofErr w:type="spellEnd"/>
      <w:r>
        <w:t xml:space="preserve"> (serpientes). Y alguien [103] de temperamento ilusivo anteriormente ha bebido muchos embriagantes, ha descuidado el aprendizaje y el cuestionamiento, o ha reaparecido aquí después de morir en una existencia animal. Así es como tienen su fuente el hábito del pasado, así dicen.</w:t>
      </w:r>
    </w:p>
    <w:p w14:paraId="058E11D1" w14:textId="77777777" w:rsidR="003A5C97" w:rsidRDefault="003A5C97" w:rsidP="003A5C97">
      <w:r>
        <w:t xml:space="preserve">81. </w:t>
      </w:r>
      <w:r>
        <w:tab/>
        <w:t xml:space="preserve">Entonces una persona será de temperamento ilusivo si dos elementos son prominentes, es decir, el elemento tierra y el elemento agua. Tendrá un temperamento iracundo si los otros dos elementos son prominentes. Pero él será de temperamento codicioso si los cuatro elementos son homogéneos. Y en cuanto a los humores, alguien de temperamento codicioso tendrá exceso de flema y alguien de temperamento ilusivo tendrá exceso de vientos. O alguien de temperamento ilusivo tendrá exceso de flema y alguien de temperamento codicioso tendrá exceso de vientos. Es así </w:t>
      </w:r>
      <w:proofErr w:type="gramStart"/>
      <w:r>
        <w:t>que</w:t>
      </w:r>
      <w:proofErr w:type="gramEnd"/>
      <w:r>
        <w:t xml:space="preserve"> tienen su origen en los elementos y los humores, así dicen.</w:t>
      </w:r>
    </w:p>
    <w:p w14:paraId="364E3506" w14:textId="77777777" w:rsidR="003A5C97" w:rsidRDefault="003A5C97" w:rsidP="003A5C97">
      <w:r>
        <w:t xml:space="preserve">82. </w:t>
      </w:r>
      <w:r>
        <w:tab/>
        <w:t>[Ahora bien, se puede objetar con razón que] no todos los que hayan tenido muchas tareas deseables y trabajos gratificantes que hacer, y que hayan reaparecido aquí después de morir en un cielo, sean de temperamento codicioso, o los demás de temperamento de iracundo e ilusivo</w:t>
      </w:r>
      <w:r w:rsidRPr="00CD7555">
        <w:t xml:space="preserve"> </w:t>
      </w:r>
      <w:r>
        <w:t>respectivamente; y no existe tal ley de prominencia de los elementos (ver XIV.43f.) como la afirmada; y sólo el par, de codicia e ilusión, se dan en la ley de los humores, e inclusive eso se contradice posteriormente; y no se da ninguna fuente ni siquiera para aquel entre aquellos comenzando con uno de temperamento devoto. En consecuencia, esta definición es ambigua.</w:t>
      </w:r>
    </w:p>
    <w:p w14:paraId="71550690" w14:textId="35A2B1DF" w:rsidR="003A5C97" w:rsidRDefault="003A5C97" w:rsidP="003A5C97">
      <w:r>
        <w:t xml:space="preserve">83. </w:t>
      </w:r>
      <w:r>
        <w:tab/>
        <w:t>La siguiente es la exposición según la opinión de los maestros de los comentarios; o esto se dice en la “explicación de prominencias”: “El hecho de que estos seres tengan prominencia de codicia, prominencia de odio, prominencia de ilusión, está gobernado por una causa</w:t>
      </w:r>
      <w:r w:rsidR="00813133" w:rsidRPr="0080460A">
        <w:t>–</w:t>
      </w:r>
      <w:r>
        <w:t>raíz del pasado.</w:t>
      </w:r>
    </w:p>
    <w:p w14:paraId="65E9A4EB" w14:textId="77777777" w:rsidR="003A5C97" w:rsidRDefault="003A5C97" w:rsidP="003A5C97">
      <w:pPr>
        <w:pStyle w:val="NormalConSangria"/>
      </w:pPr>
      <w:r>
        <w:t>“Ya que en un hombre</w:t>
      </w:r>
      <w:r w:rsidRPr="003F1933">
        <w:t xml:space="preserve"> </w:t>
      </w:r>
      <w:r>
        <w:t xml:space="preserve">cuando, al momento de acumular </w:t>
      </w:r>
      <w:proofErr w:type="spellStart"/>
      <w:r w:rsidRPr="00057BF4">
        <w:rPr>
          <w:i/>
          <w:iCs/>
        </w:rPr>
        <w:t>kamma</w:t>
      </w:r>
      <w:proofErr w:type="spellEnd"/>
      <w:r>
        <w:t xml:space="preserve"> [que produzca renacimiento], la codicia es fuerte y la no-codicia es débil, el no-odio y la no-ilusión serán fuertes y el odio y la ilusión serán débiles, entonces su débil no-codicia no podrá prevalecer sobre su codicia, pero su no-odio y no-ilusión serán fuertes y podrán prevalecer sobre su odio e ilusión. Es por eso </w:t>
      </w:r>
      <w:proofErr w:type="gramStart"/>
      <w:r>
        <w:t>que</w:t>
      </w:r>
      <w:proofErr w:type="gramEnd"/>
      <w:r>
        <w:t xml:space="preserve">, al renacer a través de la vinculación de renacimiento dada por ese </w:t>
      </w:r>
      <w:proofErr w:type="spellStart"/>
      <w:r w:rsidRPr="00057BF4">
        <w:rPr>
          <w:i/>
          <w:iCs/>
        </w:rPr>
        <w:t>kamma</w:t>
      </w:r>
      <w:proofErr w:type="spellEnd"/>
      <w:r>
        <w:t>, tendrá codicia, será bondadoso y no andará enojado, y poseerá entendimiento con un conocimiento como el de un relámpago.</w:t>
      </w:r>
    </w:p>
    <w:p w14:paraId="4F68A6B5" w14:textId="77777777" w:rsidR="003A5C97" w:rsidRDefault="003A5C97" w:rsidP="003A5C97">
      <w:r>
        <w:t xml:space="preserve">84. </w:t>
      </w:r>
      <w:r>
        <w:tab/>
        <w:t xml:space="preserve">“Cuando, en el momento de la acumulación de </w:t>
      </w:r>
      <w:proofErr w:type="spellStart"/>
      <w:r w:rsidRPr="00057BF4">
        <w:rPr>
          <w:i/>
          <w:iCs/>
        </w:rPr>
        <w:t>kamma</w:t>
      </w:r>
      <w:proofErr w:type="spellEnd"/>
      <w:r>
        <w:t xml:space="preserve"> de otro ser, la codicia y el odio sean fuertes y la no-codicia y el no-odio débiles, y la no-ilusión será fuerte y la ilusión débil, entonces, en la forma ya establecida, él tendrá tanta codicia como odio, pero poseerá entendimiento con un conocimiento como el de un relámpago, como el Venerable </w:t>
      </w:r>
      <w:proofErr w:type="spellStart"/>
      <w:r>
        <w:t>Datta-Abhaya</w:t>
      </w:r>
      <w:proofErr w:type="spellEnd"/>
      <w:r>
        <w:t>.</w:t>
      </w:r>
    </w:p>
    <w:p w14:paraId="7CD057B3" w14:textId="77777777" w:rsidR="003A5C97" w:rsidRDefault="003A5C97" w:rsidP="003A5C97">
      <w:pPr>
        <w:pStyle w:val="NormalConSangria"/>
      </w:pPr>
      <w:r>
        <w:t xml:space="preserve">“Cuando, en el momento de acumular </w:t>
      </w:r>
      <w:proofErr w:type="spellStart"/>
      <w:r w:rsidRPr="00057BF4">
        <w:rPr>
          <w:i/>
          <w:iCs/>
        </w:rPr>
        <w:t>kamma</w:t>
      </w:r>
      <w:proofErr w:type="spellEnd"/>
      <w:r>
        <w:t>, la codicia, el no-odio y la ilusión sean fuertes y los otros débiles, entonces, en la forma ya establecida, tendrá codicia y será difuso, pero tendrá buen temperamento</w:t>
      </w:r>
      <w:r w:rsidRPr="006A62DE">
        <w:rPr>
          <w:vertAlign w:val="superscript"/>
        </w:rPr>
        <w:t>20</w:t>
      </w:r>
      <w:r>
        <w:t xml:space="preserve"> y no habitará enojado, como el Venerable </w:t>
      </w:r>
      <w:proofErr w:type="spellStart"/>
      <w:r>
        <w:t>Bahula</w:t>
      </w:r>
      <w:proofErr w:type="spellEnd"/>
      <w:r>
        <w:t>. “Así mismo cuando, en el momento de</w:t>
      </w:r>
      <w:r w:rsidRPr="000825EB">
        <w:t xml:space="preserve"> </w:t>
      </w:r>
      <w:r>
        <w:t xml:space="preserve">su </w:t>
      </w:r>
      <w:proofErr w:type="spellStart"/>
      <w:r w:rsidRPr="00057BF4">
        <w:rPr>
          <w:i/>
          <w:iCs/>
        </w:rPr>
        <w:t>kamma</w:t>
      </w:r>
      <w:proofErr w:type="spellEnd"/>
      <w:r>
        <w:t xml:space="preserve"> acumulado, los tres, es decir, la codicia, el odio y</w:t>
      </w:r>
    </w:p>
    <w:p w14:paraId="5FC16815" w14:textId="77777777" w:rsidR="003A5C97" w:rsidRDefault="003A5C97" w:rsidP="003A5C97"/>
    <w:p w14:paraId="19C2E9CA" w14:textId="77777777" w:rsidR="003A5C97" w:rsidRPr="00D74991" w:rsidRDefault="003A5C97" w:rsidP="003A5C97">
      <w:pPr>
        <w:pStyle w:val="PiedepginaLegal"/>
        <w:rPr>
          <w:u w:val="single"/>
        </w:rPr>
      </w:pPr>
      <w:r w:rsidRPr="00D74991">
        <w:rPr>
          <w:u w:val="single"/>
        </w:rPr>
        <w:t xml:space="preserve">                                                                                                                                         .</w:t>
      </w:r>
    </w:p>
    <w:p w14:paraId="658F9D08" w14:textId="77777777" w:rsidR="003A5C97" w:rsidRDefault="003A5C97" w:rsidP="003A5C97">
      <w:pPr>
        <w:pStyle w:val="PiedepginaLegal"/>
      </w:pPr>
      <w:r>
        <w:t xml:space="preserve">20. </w:t>
      </w:r>
      <w:r>
        <w:tab/>
      </w:r>
      <w:proofErr w:type="spellStart"/>
      <w:r w:rsidRPr="00D9749D">
        <w:rPr>
          <w:i/>
          <w:iCs/>
        </w:rPr>
        <w:t>Sīlaka</w:t>
      </w:r>
      <w:proofErr w:type="spellEnd"/>
      <w:r>
        <w:t>—“buen temperamento”—</w:t>
      </w:r>
      <w:proofErr w:type="spellStart"/>
      <w:r w:rsidRPr="00D9749D">
        <w:rPr>
          <w:i/>
          <w:iCs/>
        </w:rPr>
        <w:t>sukhasīla</w:t>
      </w:r>
      <w:proofErr w:type="spellEnd"/>
      <w:r>
        <w:t xml:space="preserve"> (buen carácter—ver §83), que = </w:t>
      </w:r>
      <w:proofErr w:type="spellStart"/>
      <w:r w:rsidRPr="00D9749D">
        <w:rPr>
          <w:i/>
          <w:iCs/>
        </w:rPr>
        <w:t>sakhila</w:t>
      </w:r>
      <w:proofErr w:type="spellEnd"/>
      <w:r>
        <w:t xml:space="preserve"> (amablemente—</w:t>
      </w:r>
      <w:proofErr w:type="spellStart"/>
      <w:r>
        <w:t>Vism-mhṭ</w:t>
      </w:r>
      <w:proofErr w:type="spellEnd"/>
      <w:r>
        <w:t xml:space="preserve"> 104). No encontrado en el PED.</w:t>
      </w:r>
    </w:p>
    <w:p w14:paraId="51883404" w14:textId="77777777" w:rsidR="003A5C97" w:rsidRDefault="003A5C97" w:rsidP="003A5C97">
      <w:pPr>
        <w:tabs>
          <w:tab w:val="clear" w:pos="425"/>
        </w:tabs>
        <w:spacing w:after="160"/>
      </w:pPr>
      <w:r>
        <w:br w:type="page"/>
      </w:r>
    </w:p>
    <w:p w14:paraId="71405DCF" w14:textId="77777777" w:rsidR="003A5C97" w:rsidRDefault="003A5C97" w:rsidP="003A5C97">
      <w:proofErr w:type="gramStart"/>
      <w:r>
        <w:lastRenderedPageBreak/>
        <w:t>la ilusión serán</w:t>
      </w:r>
      <w:proofErr w:type="gramEnd"/>
      <w:r>
        <w:t xml:space="preserve"> fuertes y la no-codicia, etc., débiles, entonces, de la forma ya establecida, tendrá tanto codicia como odio y vivirá engañado. [104]</w:t>
      </w:r>
    </w:p>
    <w:p w14:paraId="4D5BBEAB" w14:textId="77777777" w:rsidR="003A5C97" w:rsidRDefault="003A5C97" w:rsidP="003A5C97">
      <w:r>
        <w:t xml:space="preserve">85. </w:t>
      </w:r>
      <w:r>
        <w:tab/>
        <w:t xml:space="preserve">“Cuando, en el momento de su </w:t>
      </w:r>
      <w:proofErr w:type="spellStart"/>
      <w:r w:rsidRPr="00057BF4">
        <w:rPr>
          <w:i/>
          <w:iCs/>
        </w:rPr>
        <w:t>kamma</w:t>
      </w:r>
      <w:proofErr w:type="spellEnd"/>
      <w:r>
        <w:t xml:space="preserve"> acumulado, la no-codicia, el odio y la ilusión sean fuertes y los otros débiles, entonces, en la forma ya establecida, tendrá poca corrupción y será inquebrantable incluso al ver un objeto celestial, pero albergará odio y será lento en entender.</w:t>
      </w:r>
    </w:p>
    <w:p w14:paraId="53AE7253" w14:textId="77777777" w:rsidR="003A5C97" w:rsidRDefault="003A5C97" w:rsidP="003A5C97">
      <w:pPr>
        <w:pStyle w:val="NormalConSangria"/>
      </w:pPr>
      <w:r>
        <w:t xml:space="preserve">“Cuando, en el momento de acumular </w:t>
      </w:r>
      <w:proofErr w:type="spellStart"/>
      <w:r w:rsidRPr="00057BF4">
        <w:rPr>
          <w:i/>
          <w:iCs/>
        </w:rPr>
        <w:t>kamma</w:t>
      </w:r>
      <w:proofErr w:type="spellEnd"/>
      <w:r>
        <w:t>, la no-codicia, el no-odio y la ilusión sean fuertes y el resto débil, entonces, en la forma ya establecida, no tendrá codicia ni odio, y será de buen temperamento, pero lento en el entendimiento.</w:t>
      </w:r>
    </w:p>
    <w:p w14:paraId="6664A993" w14:textId="77777777" w:rsidR="003A5C97" w:rsidRDefault="003A5C97" w:rsidP="003A5C97">
      <w:pPr>
        <w:pStyle w:val="NormalConSangria"/>
      </w:pPr>
      <w:r>
        <w:t xml:space="preserve">“Del mismo modo, cuando, en el momento de acumular </w:t>
      </w:r>
      <w:proofErr w:type="spellStart"/>
      <w:r w:rsidRPr="00057BF4">
        <w:rPr>
          <w:i/>
          <w:iCs/>
        </w:rPr>
        <w:t>kamma</w:t>
      </w:r>
      <w:proofErr w:type="spellEnd"/>
      <w:r>
        <w:t>, la no-codicia, el odio y la no-ilusión sean fuertes y el resto débiles, entonces, de la manera ya establecida, no tendrá codicia y poseerá entendimiento, pero tendrá odio y será irascible.</w:t>
      </w:r>
    </w:p>
    <w:p w14:paraId="3ECA5AEC" w14:textId="77777777" w:rsidR="003A5C97" w:rsidRDefault="003A5C97" w:rsidP="003A5C97">
      <w:pPr>
        <w:pStyle w:val="NormalConSangria"/>
      </w:pPr>
      <w:r>
        <w:t xml:space="preserve">“Del mismo modo, cuando, en el momento de acumular </w:t>
      </w:r>
      <w:proofErr w:type="spellStart"/>
      <w:r w:rsidRPr="00057BF4">
        <w:rPr>
          <w:i/>
          <w:iCs/>
        </w:rPr>
        <w:t>kamma</w:t>
      </w:r>
      <w:proofErr w:type="spellEnd"/>
      <w:r>
        <w:t>, los tres, es decir, el no-odio, la no-codicia y la no-ilusión, sean fuertes y la codicia, etc., sean débiles, entonces, de la manera ya establecida, él no tendrá codicia ni odio y poseerá buen entendimiento, como el Venerable Mahā-</w:t>
      </w:r>
      <w:proofErr w:type="spellStart"/>
      <w:r w:rsidRPr="005F18AA">
        <w:rPr>
          <w:iCs/>
        </w:rPr>
        <w:t>Saṅgharakkhita</w:t>
      </w:r>
      <w:proofErr w:type="spellEnd"/>
      <w:r>
        <w:t>”.</w:t>
      </w:r>
    </w:p>
    <w:p w14:paraId="740EE680" w14:textId="555522B1" w:rsidR="003A5C97" w:rsidRDefault="003A5C97" w:rsidP="003A5C97">
      <w:r>
        <w:t xml:space="preserve">86. </w:t>
      </w:r>
      <w:r>
        <w:tab/>
        <w:t xml:space="preserve">El que, como aquí se dice, “tenga codicia”, será de temperamento codicioso; alguien que "tenga odio" y alguien que "se aburra" serán de temperamento iracundo y de temperamento ilusivo respectivamente. Aquel que “posea entendimiento” será alguien de temperamento inteligente. El que “no tenga codicia” y el que “no tenga odio” será de temperamento devoto porque ellos son naturalmente confiados. O tal como alguien que renazca a través del </w:t>
      </w:r>
      <w:proofErr w:type="spellStart"/>
      <w:r w:rsidRPr="00057BF4">
        <w:rPr>
          <w:i/>
          <w:iCs/>
        </w:rPr>
        <w:t>kamma</w:t>
      </w:r>
      <w:proofErr w:type="spellEnd"/>
      <w:r>
        <w:t xml:space="preserve"> acompañado de la no-ilusión será de temperamento inteligente, aquel que renazca a través del </w:t>
      </w:r>
      <w:proofErr w:type="spellStart"/>
      <w:r w:rsidRPr="00057BF4">
        <w:rPr>
          <w:i/>
          <w:iCs/>
        </w:rPr>
        <w:t>kamma</w:t>
      </w:r>
      <w:proofErr w:type="spellEnd"/>
      <w:r>
        <w:t xml:space="preserve"> acompañado de una fe fuerte será de temperamento devoto, aquel que renazca a través del </w:t>
      </w:r>
      <w:proofErr w:type="spellStart"/>
      <w:r w:rsidRPr="00057BF4">
        <w:rPr>
          <w:i/>
          <w:iCs/>
        </w:rPr>
        <w:t>kamma</w:t>
      </w:r>
      <w:proofErr w:type="spellEnd"/>
      <w:r>
        <w:t xml:space="preserve"> acompañado por pensamientos de deseo sensual será de temperamento especulativo y el que renazca a través del </w:t>
      </w:r>
      <w:proofErr w:type="spellStart"/>
      <w:r w:rsidRPr="00057BF4">
        <w:rPr>
          <w:i/>
          <w:iCs/>
        </w:rPr>
        <w:t>kamma</w:t>
      </w:r>
      <w:proofErr w:type="spellEnd"/>
      <w:r>
        <w:t xml:space="preserve"> acompañado de la codicia mixta, etc., será de temperamento mixto. Por lo tanto, es el </w:t>
      </w:r>
      <w:proofErr w:type="spellStart"/>
      <w:r w:rsidRPr="00057BF4">
        <w:rPr>
          <w:i/>
          <w:iCs/>
        </w:rPr>
        <w:t>kamma</w:t>
      </w:r>
      <w:proofErr w:type="spellEnd"/>
      <w:r>
        <w:t xml:space="preserve"> productivo del </w:t>
      </w:r>
      <w:r w:rsidR="00FE272B" w:rsidRPr="00C71EC8">
        <w:t>vín</w:t>
      </w:r>
      <w:r w:rsidR="00FE272B">
        <w:t>culo</w:t>
      </w:r>
      <w:r w:rsidR="00FE272B" w:rsidRPr="00C71EC8">
        <w:t>–</w:t>
      </w:r>
      <w:r w:rsidR="00FE272B">
        <w:t>de</w:t>
      </w:r>
      <w:r w:rsidR="00FE272B" w:rsidRPr="00C71EC8">
        <w:t>–</w:t>
      </w:r>
      <w:r w:rsidR="00FE272B">
        <w:t>renacimiento</w:t>
      </w:r>
      <w:r w:rsidR="00FE272B" w:rsidRPr="00C71EC8">
        <w:t xml:space="preserve"> </w:t>
      </w:r>
      <w:r>
        <w:t>y acompañado por alguna de las cosas que comienzan con la codicia, etc. lo que debe entenderse como la fuente de los temperamentos.</w:t>
      </w:r>
    </w:p>
    <w:p w14:paraId="7AADA360" w14:textId="77777777" w:rsidR="003A5C97" w:rsidRDefault="003A5C97" w:rsidP="003A5C97">
      <w:r>
        <w:t xml:space="preserve">87. </w:t>
      </w:r>
      <w:r>
        <w:tab/>
        <w:t>Pero se preguntó, ¿</w:t>
      </w:r>
      <w:r w:rsidRPr="009222DB">
        <w:rPr>
          <w:i/>
          <w:iCs/>
        </w:rPr>
        <w:t>y cómo se sabe que “Esta persona es de temperamento codicioso”?</w:t>
      </w:r>
      <w:r>
        <w:t xml:space="preserve"> (§79), y así sucesivamente. Esto se explica de la siguiente manera:</w:t>
      </w:r>
    </w:p>
    <w:p w14:paraId="726182D9" w14:textId="77777777" w:rsidR="003A5C97" w:rsidRDefault="003A5C97" w:rsidP="003A5C97">
      <w:pPr>
        <w:pStyle w:val="VersoIngls01Sangria"/>
      </w:pPr>
      <w:r>
        <w:t>Por la postura, por la acción,</w:t>
      </w:r>
    </w:p>
    <w:p w14:paraId="21E5AB1B" w14:textId="77777777" w:rsidR="003A5C97" w:rsidRDefault="003A5C97" w:rsidP="003A5C97">
      <w:pPr>
        <w:pStyle w:val="VersoIngls01Sangria"/>
      </w:pPr>
      <w:r>
        <w:t>Por la manera de comer, de habitar un lugar, etc.,</w:t>
      </w:r>
    </w:p>
    <w:p w14:paraId="02E1F06C" w14:textId="77777777" w:rsidR="003A5C97" w:rsidRDefault="003A5C97" w:rsidP="003A5C97">
      <w:pPr>
        <w:pStyle w:val="VersoIngls01Sangria"/>
      </w:pPr>
      <w:r>
        <w:t>Por el tipo de estados que ocurran,</w:t>
      </w:r>
    </w:p>
    <w:p w14:paraId="30D108E5" w14:textId="77777777" w:rsidR="003A5C97" w:rsidRDefault="003A5C97" w:rsidP="003A5C97">
      <w:pPr>
        <w:pStyle w:val="VersoIngls01Sangria"/>
        <w:spacing w:after="100"/>
        <w:ind w:left="1418"/>
      </w:pPr>
      <w:r>
        <w:t>Se podrá reconocer el temperamento.</w:t>
      </w:r>
    </w:p>
    <w:p w14:paraId="5E4F12BB" w14:textId="77777777" w:rsidR="003A5C97" w:rsidRDefault="003A5C97" w:rsidP="003A5C97">
      <w:r>
        <w:t xml:space="preserve">88. </w:t>
      </w:r>
      <w:r>
        <w:tab/>
        <w:t xml:space="preserve">Al respecto, </w:t>
      </w:r>
      <w:r w:rsidRPr="009222DB">
        <w:rPr>
          <w:i/>
          <w:iCs/>
        </w:rPr>
        <w:t>por la postura</w:t>
      </w:r>
      <w:r>
        <w:t>: cuando alguien de temperamento codicioso camina de la manera habitual, camina con cuidado, baja el pie lentamente, lo apoya uniformemente, lo levanta uniformemente y su paso es elástico.</w:t>
      </w:r>
      <w:r w:rsidRPr="00C31CD3">
        <w:rPr>
          <w:vertAlign w:val="superscript"/>
        </w:rPr>
        <w:t>21</w:t>
      </w:r>
    </w:p>
    <w:p w14:paraId="1A8E831A" w14:textId="77777777" w:rsidR="003A5C97" w:rsidRDefault="003A5C97" w:rsidP="003A5C97">
      <w:pPr>
        <w:pStyle w:val="NormalConSangria"/>
      </w:pPr>
      <w:r>
        <w:t xml:space="preserve">Alguien de temperamento iracundo camina como si estuviera cavando con las puntas de los pies, baja el pie </w:t>
      </w:r>
      <w:proofErr w:type="gramStart"/>
      <w:r>
        <w:t>rápidamente</w:t>
      </w:r>
      <w:proofErr w:type="gramEnd"/>
      <w:r>
        <w:t>, lo levanta rápidamente y su paso es arrastrado.</w:t>
      </w:r>
    </w:p>
    <w:p w14:paraId="684836E3" w14:textId="77777777" w:rsidR="003A5C97" w:rsidRPr="00DA48B7" w:rsidRDefault="003A5C97" w:rsidP="003A5C97">
      <w:pPr>
        <w:pStyle w:val="PiedepginaLegal"/>
        <w:rPr>
          <w:u w:val="single"/>
        </w:rPr>
      </w:pPr>
      <w:r w:rsidRPr="00DA48B7">
        <w:rPr>
          <w:u w:val="single"/>
        </w:rPr>
        <w:t xml:space="preserve">                                                                                                                                                       .</w:t>
      </w:r>
    </w:p>
    <w:p w14:paraId="356E9661" w14:textId="77777777" w:rsidR="003A5C97" w:rsidRDefault="003A5C97" w:rsidP="003A5C97">
      <w:pPr>
        <w:pStyle w:val="PiedepginaLegal"/>
      </w:pPr>
      <w:r>
        <w:t xml:space="preserve">21. </w:t>
      </w:r>
      <w:r>
        <w:tab/>
      </w:r>
      <w:proofErr w:type="spellStart"/>
      <w:r w:rsidRPr="009222DB">
        <w:rPr>
          <w:i/>
          <w:iCs/>
        </w:rPr>
        <w:t>Ukkuṭika</w:t>
      </w:r>
      <w:proofErr w:type="spellEnd"/>
      <w:r>
        <w:t xml:space="preserve">—“elástico” es glosado aquí como </w:t>
      </w:r>
      <w:proofErr w:type="spellStart"/>
      <w:r w:rsidRPr="009222DB">
        <w:rPr>
          <w:i/>
          <w:iCs/>
        </w:rPr>
        <w:t>asamphuṭṭhamajjhaṃ</w:t>
      </w:r>
      <w:proofErr w:type="spellEnd"/>
      <w:r>
        <w:t xml:space="preserve"> (“sin tocar en el medio”—</w:t>
      </w:r>
      <w:proofErr w:type="spellStart"/>
      <w:r>
        <w:t>Vism-mhṭ</w:t>
      </w:r>
      <w:proofErr w:type="spellEnd"/>
      <w:r>
        <w:t xml:space="preserve"> 106). Este significado no se encuentra en el PED.</w:t>
      </w:r>
    </w:p>
    <w:p w14:paraId="6E8BE100" w14:textId="77777777" w:rsidR="003A5C97" w:rsidRDefault="003A5C97" w:rsidP="003A5C97">
      <w:pPr>
        <w:tabs>
          <w:tab w:val="clear" w:pos="425"/>
        </w:tabs>
        <w:spacing w:after="160"/>
      </w:pPr>
      <w:r>
        <w:br w:type="page"/>
      </w:r>
    </w:p>
    <w:p w14:paraId="0743AE12" w14:textId="77777777" w:rsidR="003A5C97" w:rsidRDefault="003A5C97" w:rsidP="003A5C97">
      <w:pPr>
        <w:pStyle w:val="NormalConSangria"/>
        <w:spacing w:after="60"/>
      </w:pPr>
      <w:r>
        <w:lastRenderedPageBreak/>
        <w:t>Alguien de temperamento ilusivo caminará con paso perplejo, bajará el pie vacilante, lo levantará vacilantemente, [105] y su paso será presionado hacia abajo de repente.</w:t>
      </w:r>
    </w:p>
    <w:p w14:paraId="4A799FC3" w14:textId="77777777" w:rsidR="003A5C97" w:rsidRDefault="003A5C97" w:rsidP="003A5C97">
      <w:pPr>
        <w:pStyle w:val="NormalConSangria"/>
        <w:spacing w:after="60"/>
      </w:pPr>
      <w:r>
        <w:t xml:space="preserve">Y esto se dice en la narración sobre el origen del </w:t>
      </w:r>
      <w:proofErr w:type="spellStart"/>
      <w:r w:rsidRPr="009222DB">
        <w:rPr>
          <w:i/>
          <w:iCs/>
        </w:rPr>
        <w:t>Māgandiya</w:t>
      </w:r>
      <w:proofErr w:type="spellEnd"/>
      <w:r w:rsidRPr="009222DB">
        <w:rPr>
          <w:i/>
          <w:iCs/>
        </w:rPr>
        <w:t xml:space="preserve"> Sutta</w:t>
      </w:r>
      <w:r>
        <w:t>:</w:t>
      </w:r>
    </w:p>
    <w:p w14:paraId="36F2D0A9" w14:textId="77777777" w:rsidR="003A5C97" w:rsidRPr="003F1933" w:rsidRDefault="003A5C97" w:rsidP="003A5C97">
      <w:pPr>
        <w:pStyle w:val="VersoIngls01Sangria"/>
      </w:pPr>
      <w:r w:rsidRPr="003F1933">
        <w:t>El paso de alguien de naturaleza codiciosa será elástico;</w:t>
      </w:r>
    </w:p>
    <w:p w14:paraId="1C3BAE8D" w14:textId="77777777" w:rsidR="003A5C97" w:rsidRPr="003F1933" w:rsidRDefault="003A5C97" w:rsidP="003A5C97">
      <w:pPr>
        <w:pStyle w:val="VersoIngls01Sangria"/>
      </w:pPr>
      <w:r w:rsidRPr="003F1933">
        <w:t xml:space="preserve">La naturaleza del paso del que odie será </w:t>
      </w:r>
      <w:proofErr w:type="gramStart"/>
      <w:r w:rsidRPr="003F1933">
        <w:t>arrastrado</w:t>
      </w:r>
      <w:proofErr w:type="gramEnd"/>
      <w:r w:rsidRPr="003F1933">
        <w:t>;</w:t>
      </w:r>
    </w:p>
    <w:p w14:paraId="38A411D1" w14:textId="77777777" w:rsidR="003A5C97" w:rsidRPr="003F1933" w:rsidRDefault="003A5C97" w:rsidP="003A5C97">
      <w:pPr>
        <w:pStyle w:val="VersoIngls01Sangria"/>
      </w:pPr>
      <w:r w:rsidRPr="003F1933">
        <w:t>El Iluso presionará repentinamente sus pasos;</w:t>
      </w:r>
    </w:p>
    <w:p w14:paraId="094C5A6B" w14:textId="77777777" w:rsidR="003A5C97" w:rsidRDefault="003A5C97" w:rsidP="003A5C97">
      <w:pPr>
        <w:pStyle w:val="VersoIngls01Sangria"/>
      </w:pPr>
      <w:r w:rsidRPr="003F1933">
        <w:t>Y alguien sin contaminaciones tendrá un paso así.</w:t>
      </w:r>
      <w:r w:rsidRPr="003F1933">
        <w:rPr>
          <w:vertAlign w:val="superscript"/>
        </w:rPr>
        <w:t>22</w:t>
      </w:r>
    </w:p>
    <w:p w14:paraId="51356607" w14:textId="77777777" w:rsidR="003A5C97" w:rsidRPr="003F1933" w:rsidRDefault="003A5C97" w:rsidP="003A5C97">
      <w:pPr>
        <w:pStyle w:val="VersoIngls01Sangria"/>
      </w:pPr>
    </w:p>
    <w:p w14:paraId="08980C5D" w14:textId="77777777" w:rsidR="003A5C97" w:rsidRDefault="003A5C97" w:rsidP="003A5C97">
      <w:pPr>
        <w:spacing w:after="60"/>
      </w:pPr>
      <w:r>
        <w:t xml:space="preserve">89. </w:t>
      </w:r>
      <w:r>
        <w:tab/>
        <w:t>La postura de alguien de temperamento codicioso será confiada y agraciada. El de alguien de temperamento iracundo será rígida. La de alguien de temperamento ilusivo será confusa, igualmente al sentarse. Y alguien de temperamento codicioso tenderá su cama sin prisa, se acostará lentamente, componiendo sus miembros, y dormirá confiado. Cuando se despierte, en lugar de levantarse rápidamente, responderá lentamente como si dudara. Alguien de temperamento iracundo tenderá su cama apresuradamente de cualquier manera; con el cuerpo tirado hacia abajo dormirá con el ceño fruncido. Cuando se despierte, se levantará rápidamente y responderá como si estuviera molesto. Alguien de temperamento ilusivo tenderá su cama de forma torcida y dormirá mayormente boca abajo con su cuerpo esparcido. Cuando se despierte, se levantará lentamente y dirá: "Hum".</w:t>
      </w:r>
    </w:p>
    <w:p w14:paraId="4C1EFBE4" w14:textId="77777777" w:rsidR="003A5C97" w:rsidRDefault="003A5C97" w:rsidP="003A5C97">
      <w:pPr>
        <w:spacing w:after="60"/>
      </w:pPr>
      <w:r>
        <w:t xml:space="preserve">90. </w:t>
      </w:r>
      <w:r>
        <w:tab/>
        <w:t>Dado que los de temperamento devoto, etc., son paralelos a los de temperamento codicioso, etc., sus posturas serán, por lo tanto, como las descritas anteriormente.</w:t>
      </w:r>
    </w:p>
    <w:p w14:paraId="5BB224D4" w14:textId="77777777" w:rsidR="003A5C97" w:rsidRDefault="003A5C97" w:rsidP="003A5C97">
      <w:pPr>
        <w:pStyle w:val="NormalConSangria"/>
        <w:spacing w:after="60"/>
      </w:pPr>
      <w:r>
        <w:t>En primer lugar, es así como los temperamentos pueden ser reconocidos por la postura.</w:t>
      </w:r>
    </w:p>
    <w:p w14:paraId="5C3BD266" w14:textId="77777777" w:rsidR="003A5C97" w:rsidRDefault="003A5C97" w:rsidP="003A5C97">
      <w:pPr>
        <w:spacing w:after="60"/>
      </w:pPr>
      <w:r>
        <w:t xml:space="preserve">91. </w:t>
      </w:r>
      <w:r>
        <w:tab/>
      </w:r>
      <w:r w:rsidRPr="009222DB">
        <w:rPr>
          <w:i/>
          <w:iCs/>
        </w:rPr>
        <w:t>Por la acción</w:t>
      </w:r>
      <w:r>
        <w:t xml:space="preserve">: también en los actos de barrer, etc., alguien de temperamento codicioso agarra bien la escoba, barrerá y limpiará uniformemente sin apresurarse ni esparcir el polvo, como si estuviera esparciendo flores </w:t>
      </w:r>
      <w:proofErr w:type="spellStart"/>
      <w:r w:rsidRPr="009222DB">
        <w:rPr>
          <w:i/>
          <w:iCs/>
        </w:rPr>
        <w:t>sinduvāra</w:t>
      </w:r>
      <w:proofErr w:type="spellEnd"/>
      <w:r>
        <w:t xml:space="preserve">. Alguien de temperamento iracundo agarrará la escoba con fuerza, y barrerá sucia e irregularmente con un ruido áspero, arrojando apresuradamente el polvo a cada lado. Alguien de temperamento ilusivo agarrará la escoba sin apretar, y no </w:t>
      </w:r>
      <w:proofErr w:type="gramStart"/>
      <w:r>
        <w:t>barrerá  ni</w:t>
      </w:r>
      <w:proofErr w:type="gramEnd"/>
      <w:r>
        <w:t xml:space="preserve"> limpia ni uniformemente, mezclando el polvo y dándole vuelta.</w:t>
      </w:r>
    </w:p>
    <w:p w14:paraId="7E0376C8" w14:textId="77777777" w:rsidR="003A5C97" w:rsidRDefault="003A5C97" w:rsidP="003A5C97">
      <w:pPr>
        <w:spacing w:after="60"/>
      </w:pPr>
      <w:r>
        <w:t xml:space="preserve">92. </w:t>
      </w:r>
      <w:r>
        <w:tab/>
        <w:t>Al igual que con el barrido, también con cualquier acción como lavar y teñir ropajes, etc. Alguien de temperamento codicioso actuará hábilmente, suavemente, homogéneamente y con cuidado. Alguien de temperamento iracundo actuará tensa, rígida y no homogéneamente. Alguien de temperamento ilusivo actuará torpemente como si estuviera confuso, no homogéneamente e indeciso. [106]</w:t>
      </w:r>
    </w:p>
    <w:p w14:paraId="65F0CDCA" w14:textId="77777777" w:rsidR="003A5C97" w:rsidRDefault="003A5C97" w:rsidP="003A5C97">
      <w:pPr>
        <w:pStyle w:val="NormalConSangria"/>
        <w:spacing w:after="60"/>
      </w:pPr>
      <w:r>
        <w:t>Alguien de temperamento codicioso usará su ropaje también ni demasiado apretada ni demasiado holgadamente, con confianza y nivelada en todos sus lados. Alguien de temperamento iracundo lo usará demasiado ajustado y no nivelado en todos sus lados. Alguien de temperamento ilusivo lo usará suelta y confusamente.</w:t>
      </w:r>
    </w:p>
    <w:p w14:paraId="6213B764" w14:textId="77777777" w:rsidR="003A5C97" w:rsidRDefault="003A5C97" w:rsidP="003A5C97">
      <w:pPr>
        <w:pStyle w:val="NormalConSangria"/>
        <w:spacing w:after="60"/>
      </w:pPr>
      <w:r>
        <w:t>Los de temperamento devoto, etc., deben entenderse del mismo modo que los recién descritos, ya que son paralelos.</w:t>
      </w:r>
    </w:p>
    <w:p w14:paraId="296F5E95" w14:textId="77777777" w:rsidR="003A5C97" w:rsidRDefault="003A5C97" w:rsidP="003A5C97">
      <w:pPr>
        <w:pStyle w:val="NormalConSangria"/>
        <w:spacing w:after="60"/>
      </w:pPr>
      <w:r>
        <w:t xml:space="preserve">Así es como los temperamentos pueden ser reconocidos por </w:t>
      </w:r>
      <w:r w:rsidRPr="009F4405">
        <w:rPr>
          <w:i/>
          <w:iCs/>
        </w:rPr>
        <w:t>las acciones</w:t>
      </w:r>
      <w:r>
        <w:t>.</w:t>
      </w:r>
    </w:p>
    <w:p w14:paraId="308C3925" w14:textId="77777777" w:rsidR="003A5C97" w:rsidRDefault="003A5C97" w:rsidP="003A5C97">
      <w:pPr>
        <w:spacing w:after="60"/>
      </w:pPr>
      <w:r>
        <w:t xml:space="preserve">93. </w:t>
      </w:r>
      <w:r>
        <w:tab/>
      </w:r>
      <w:r w:rsidRPr="0091578B">
        <w:rPr>
          <w:i/>
          <w:iCs/>
        </w:rPr>
        <w:t>Al comer</w:t>
      </w:r>
      <w:r>
        <w:t xml:space="preserve">: Al de temperamento codicioso le gustará comer comida rica y dulce. Al comer, hará un bulto redondo no demasiado grande y comerá sin prisas, saboreando los diversos sabores. Le gustará recibir algo bueno. El que tenga un temperamento iracundo le gustará comer </w:t>
      </w:r>
    </w:p>
    <w:p w14:paraId="0E791111" w14:textId="77777777" w:rsidR="003A5C97" w:rsidRPr="004A2E30" w:rsidRDefault="003A5C97" w:rsidP="003A5C97">
      <w:pPr>
        <w:pStyle w:val="PiedepginaLegal"/>
        <w:rPr>
          <w:u w:val="single"/>
        </w:rPr>
      </w:pPr>
      <w:r w:rsidRPr="004A2E30">
        <w:rPr>
          <w:u w:val="single"/>
        </w:rPr>
        <w:t xml:space="preserve">                                                                                                                                               .</w:t>
      </w:r>
    </w:p>
    <w:p w14:paraId="55907DBC" w14:textId="77777777" w:rsidR="003A5C97" w:rsidRDefault="003A5C97" w:rsidP="003A5C97">
      <w:pPr>
        <w:pStyle w:val="PiedepginaLegal"/>
      </w:pPr>
      <w:r>
        <w:t xml:space="preserve"> 22. Ver Sn-a 544, A-a 436.</w:t>
      </w:r>
      <w:r>
        <w:br w:type="page"/>
      </w:r>
    </w:p>
    <w:p w14:paraId="233476DB" w14:textId="77777777" w:rsidR="003A5C97" w:rsidRDefault="003A5C97" w:rsidP="003A5C97">
      <w:pPr>
        <w:pStyle w:val="PiedepginaLegal"/>
      </w:pPr>
    </w:p>
    <w:p w14:paraId="2EC07611" w14:textId="77777777" w:rsidR="003A5C97" w:rsidRDefault="003A5C97" w:rsidP="003A5C97">
      <w:r>
        <w:t>comida agria y áspera. Al comer hará un bulto que le llenará la boca, y comerá apresuradamente sin saborear el sabor, se sentirá agraviado cuando consiga algo que no sea bueno. Alguien de temperamento ilusivo no tendrá una elección establecida. Al comer, hará un pequeño bulto no redondo, y mientras coma dejará caer pedacitos en su plato, untándose la cara, con la mente extraviada, pensando en esto y aquello.</w:t>
      </w:r>
    </w:p>
    <w:p w14:paraId="287E4118" w14:textId="77777777" w:rsidR="003A5C97" w:rsidRDefault="003A5C97" w:rsidP="003A5C97">
      <w:pPr>
        <w:pStyle w:val="NormalConSangria"/>
      </w:pPr>
      <w:r>
        <w:t>También los de temperamento devoto, etc., deben entenderse del mismo modo que los que acabamos de describir, ya que son paralelos.</w:t>
      </w:r>
    </w:p>
    <w:p w14:paraId="0E94042C" w14:textId="77777777" w:rsidR="003A5C97" w:rsidRDefault="003A5C97" w:rsidP="003A5C97">
      <w:pPr>
        <w:pStyle w:val="NormalConSangria"/>
      </w:pPr>
      <w:r>
        <w:t xml:space="preserve">Así es como se puede reconocer el temperamento </w:t>
      </w:r>
      <w:r w:rsidRPr="009F4405">
        <w:rPr>
          <w:i/>
          <w:iCs/>
        </w:rPr>
        <w:t>al comer</w:t>
      </w:r>
      <w:r>
        <w:t>.</w:t>
      </w:r>
    </w:p>
    <w:p w14:paraId="5F70C647" w14:textId="77777777" w:rsidR="003A5C97" w:rsidRDefault="003A5C97" w:rsidP="003A5C97">
      <w:pPr>
        <w:tabs>
          <w:tab w:val="left" w:pos="5387"/>
        </w:tabs>
      </w:pPr>
      <w:r>
        <w:t xml:space="preserve">94. </w:t>
      </w:r>
      <w:r>
        <w:tab/>
      </w:r>
      <w:r w:rsidRPr="00BD32A9">
        <w:rPr>
          <w:i/>
          <w:iCs/>
        </w:rPr>
        <w:t>Y al ver, etc</w:t>
      </w:r>
      <w:r>
        <w:t>.: cuando alguien de temperamento codicioso vea incluso un objeto visible ligeramente agradable, mirará largamente como si estuviera sorprendido, se aferrará a las virtudes triviales, descartará las faltas genuinas, y cuando se vaya, lo hará con pesar, como sin ganas de irse. Cuando alguien de temperamento iracundo vea un objeto visible, aunque sea un poco desagradable, evitará m</w:t>
      </w:r>
      <w:r w:rsidRPr="004F6E14">
        <w:rPr>
          <w:b/>
          <w:bCs/>
        </w:rPr>
        <w:t>ira</w:t>
      </w:r>
      <w:r>
        <w:t>r mucho como si estuviera cansado, destacará las fallas triviales, descartará las virtudes genuinas, y cuando se vaya, lo hará sin remordimientos, como si estuviera ansioso por irse. Cuando alguien de temperamento ilusivo vea cualquier tipo de objeto visible, copiará lo que hagan los demás: si escucha a los demás criticar, criticará; si oye alabar a los demás, alabará; pero en realidad sentirá ecuanimidad en sí mismo, la ecuanimidad del desconocimiento. Así también con los sonidos, etc.</w:t>
      </w:r>
    </w:p>
    <w:p w14:paraId="047377C6" w14:textId="77777777" w:rsidR="003A5C97" w:rsidRDefault="003A5C97" w:rsidP="003A5C97">
      <w:pPr>
        <w:pStyle w:val="NormalConSangria"/>
      </w:pPr>
      <w:r>
        <w:t>Y los de temperamento devoto, etc., deben entenderse del mismo modo que los recién descritos por ser paralelos.</w:t>
      </w:r>
    </w:p>
    <w:p w14:paraId="5CC6A292" w14:textId="77777777" w:rsidR="003A5C97" w:rsidRDefault="003A5C97" w:rsidP="003A5C97">
      <w:pPr>
        <w:pStyle w:val="NormalConSangria"/>
      </w:pPr>
      <w:r>
        <w:t xml:space="preserve">Así es como los temperamentos pueden ser reconocidos </w:t>
      </w:r>
      <w:r w:rsidRPr="00087500">
        <w:rPr>
          <w:i/>
          <w:iCs/>
        </w:rPr>
        <w:t>al ver</w:t>
      </w:r>
      <w:r>
        <w:t>, etc.</w:t>
      </w:r>
    </w:p>
    <w:p w14:paraId="4B57AB5B" w14:textId="29518458" w:rsidR="003A5C97" w:rsidRDefault="003A5C97" w:rsidP="003A5C97">
      <w:r>
        <w:t xml:space="preserve">95. </w:t>
      </w:r>
      <w:r>
        <w:tab/>
      </w:r>
      <w:r w:rsidRPr="00BD32A9">
        <w:rPr>
          <w:i/>
          <w:iCs/>
        </w:rPr>
        <w:t>Por el tipo de estados que ocurr</w:t>
      </w:r>
      <w:r>
        <w:rPr>
          <w:i/>
          <w:iCs/>
        </w:rPr>
        <w:t>a</w:t>
      </w:r>
      <w:r w:rsidRPr="00BD32A9">
        <w:rPr>
          <w:i/>
          <w:iCs/>
        </w:rPr>
        <w:t>n</w:t>
      </w:r>
      <w:r>
        <w:t>: en alguien de temperamento codicioso habrá ocurrencia frecuente de estados tales como de ilusión, engaño, orgullo</w:t>
      </w:r>
      <w:r w:rsidR="003A327B">
        <w:t xml:space="preserve"> o presunción</w:t>
      </w:r>
      <w:r>
        <w:t>, maldad en los deseos, grandeza de deseos, descontento, vanidad y vanidad personal.</w:t>
      </w:r>
      <w:r w:rsidRPr="00C31CD3">
        <w:rPr>
          <w:vertAlign w:val="superscript"/>
        </w:rPr>
        <w:t>23</w:t>
      </w:r>
      <w:r>
        <w:t xml:space="preserve"> [107] En alguien de temperamento iracundo, será frecuente la aparición de estados como la ira, la enemistad, el menosprecio, el dominio, la envidia y la avaricia. En una persona de temperamento ilusivo, será frecuente la aparición de estados tales como rigidez, letargo, agitación, preocupación, incertidumbre y aferrarse tenazmente a algo, negándose a abandonarlo.</w:t>
      </w:r>
      <w:r>
        <w:br/>
      </w:r>
    </w:p>
    <w:p w14:paraId="7D55A69C" w14:textId="77777777" w:rsidR="003A5C97" w:rsidRPr="003F44E9" w:rsidRDefault="003A5C97" w:rsidP="003A5C97">
      <w:pPr>
        <w:pStyle w:val="PiedepginaLegal"/>
        <w:rPr>
          <w:u w:val="single"/>
        </w:rPr>
      </w:pPr>
      <w:r w:rsidRPr="003F44E9">
        <w:rPr>
          <w:u w:val="single"/>
        </w:rPr>
        <w:t xml:space="preserve">                                                                                                                                            .</w:t>
      </w:r>
    </w:p>
    <w:p w14:paraId="59E5A5BB" w14:textId="77777777" w:rsidR="003A5C97" w:rsidRDefault="003A5C97" w:rsidP="003A5C97">
      <w:pPr>
        <w:pStyle w:val="PiedepginaLegal"/>
      </w:pPr>
      <w:r>
        <w:t xml:space="preserve">23. </w:t>
      </w:r>
      <w:r>
        <w:tab/>
      </w:r>
      <w:proofErr w:type="spellStart"/>
      <w:r w:rsidRPr="00BD32A9">
        <w:rPr>
          <w:i/>
          <w:iCs/>
        </w:rPr>
        <w:t>Siṅga</w:t>
      </w:r>
      <w:proofErr w:type="spellEnd"/>
      <w:r>
        <w:t>: "</w:t>
      </w:r>
      <w:r w:rsidRPr="004E1B15">
        <w:t>afectación en el vestir</w:t>
      </w:r>
      <w:r>
        <w:t xml:space="preserve">" no encontrado en el PED en este sentido. Ver </w:t>
      </w:r>
      <w:proofErr w:type="spellStart"/>
      <w:r>
        <w:t>Vibh</w:t>
      </w:r>
      <w:proofErr w:type="spellEnd"/>
      <w:r>
        <w:t xml:space="preserve"> 351 y comentario.</w:t>
      </w:r>
    </w:p>
    <w:p w14:paraId="5A13E8E6" w14:textId="77777777" w:rsidR="003A5C97" w:rsidRDefault="003A5C97" w:rsidP="003A5C97">
      <w:pPr>
        <w:pStyle w:val="PiedepginaLegal"/>
      </w:pPr>
      <w:r>
        <w:tab/>
        <w:t xml:space="preserve">    </w:t>
      </w:r>
      <w:proofErr w:type="spellStart"/>
      <w:r w:rsidRPr="00BD32A9">
        <w:rPr>
          <w:i/>
          <w:iCs/>
        </w:rPr>
        <w:t>Cāpalya</w:t>
      </w:r>
      <w:proofErr w:type="spellEnd"/>
      <w:r>
        <w:t xml:space="preserve"> (</w:t>
      </w:r>
      <w:proofErr w:type="spellStart"/>
      <w:r w:rsidRPr="00BD32A9">
        <w:rPr>
          <w:i/>
          <w:iCs/>
        </w:rPr>
        <w:t>cāpalla</w:t>
      </w:r>
      <w:proofErr w:type="spellEnd"/>
      <w:r>
        <w:t>)</w:t>
      </w:r>
      <w:proofErr w:type="gramStart"/>
      <w:r>
        <w:t>— ”vanidad</w:t>
      </w:r>
      <w:proofErr w:type="gramEnd"/>
      <w:r>
        <w:t xml:space="preserve"> personal”: sustantivo del adj. </w:t>
      </w:r>
      <w:proofErr w:type="spellStart"/>
      <w:r w:rsidRPr="004E1B15">
        <w:rPr>
          <w:i/>
          <w:iCs/>
        </w:rPr>
        <w:t>capala</w:t>
      </w:r>
      <w:proofErr w:type="spellEnd"/>
      <w:r>
        <w:t>. La palabra “</w:t>
      </w:r>
      <w:proofErr w:type="spellStart"/>
      <w:r w:rsidRPr="00BD32A9">
        <w:rPr>
          <w:i/>
          <w:iCs/>
        </w:rPr>
        <w:t>capala</w:t>
      </w:r>
      <w:proofErr w:type="spellEnd"/>
      <w:r>
        <w:t>” viene en un pasaje muy repetido: “</w:t>
      </w:r>
      <w:proofErr w:type="spellStart"/>
      <w:r w:rsidRPr="00BD32A9">
        <w:rPr>
          <w:i/>
          <w:iCs/>
        </w:rPr>
        <w:t>saṭhā</w:t>
      </w:r>
      <w:proofErr w:type="spellEnd"/>
      <w:r w:rsidRPr="00BD32A9">
        <w:rPr>
          <w:i/>
          <w:iCs/>
        </w:rPr>
        <w:t xml:space="preserve"> </w:t>
      </w:r>
      <w:proofErr w:type="spellStart"/>
      <w:r w:rsidRPr="00BD32A9">
        <w:rPr>
          <w:i/>
          <w:iCs/>
        </w:rPr>
        <w:t>māyāvino</w:t>
      </w:r>
      <w:proofErr w:type="spellEnd"/>
      <w:r w:rsidRPr="00BD32A9">
        <w:rPr>
          <w:i/>
          <w:iCs/>
        </w:rPr>
        <w:t xml:space="preserve"> </w:t>
      </w:r>
      <w:proofErr w:type="spellStart"/>
      <w:r w:rsidRPr="00BD32A9">
        <w:rPr>
          <w:i/>
          <w:iCs/>
        </w:rPr>
        <w:t>keṭubhino</w:t>
      </w:r>
      <w:proofErr w:type="spellEnd"/>
      <w:r w:rsidRPr="00BD32A9">
        <w:rPr>
          <w:i/>
          <w:iCs/>
        </w:rPr>
        <w:t xml:space="preserve"> </w:t>
      </w:r>
      <w:proofErr w:type="spellStart"/>
      <w:r w:rsidRPr="00BD32A9">
        <w:rPr>
          <w:i/>
          <w:iCs/>
        </w:rPr>
        <w:t>uddhatā</w:t>
      </w:r>
      <w:proofErr w:type="spellEnd"/>
      <w:r w:rsidRPr="00BD32A9">
        <w:rPr>
          <w:i/>
          <w:iCs/>
        </w:rPr>
        <w:t xml:space="preserve"> </w:t>
      </w:r>
      <w:proofErr w:type="spellStart"/>
      <w:r w:rsidRPr="00BD32A9">
        <w:rPr>
          <w:i/>
          <w:iCs/>
        </w:rPr>
        <w:t>unnalā</w:t>
      </w:r>
      <w:proofErr w:type="spellEnd"/>
      <w:r w:rsidRPr="00BD32A9">
        <w:rPr>
          <w:i/>
          <w:iCs/>
        </w:rPr>
        <w:t xml:space="preserve"> </w:t>
      </w:r>
      <w:proofErr w:type="spellStart"/>
      <w:r w:rsidRPr="00BD32A9">
        <w:rPr>
          <w:i/>
          <w:iCs/>
        </w:rPr>
        <w:t>capalā</w:t>
      </w:r>
      <w:proofErr w:type="spellEnd"/>
      <w:r w:rsidRPr="00BD32A9">
        <w:rPr>
          <w:i/>
          <w:iCs/>
        </w:rPr>
        <w:t xml:space="preserve"> </w:t>
      </w:r>
      <w:proofErr w:type="spellStart"/>
      <w:r w:rsidRPr="00BD32A9">
        <w:rPr>
          <w:i/>
          <w:iCs/>
        </w:rPr>
        <w:t>mukharā</w:t>
      </w:r>
      <w:proofErr w:type="spellEnd"/>
      <w:r>
        <w:t xml:space="preserve"> …” (M I 32); cf. SI 203; A III 199, etc.) y también M I 470 “</w:t>
      </w:r>
      <w:proofErr w:type="spellStart"/>
      <w:r w:rsidRPr="00BD32A9">
        <w:rPr>
          <w:i/>
          <w:iCs/>
        </w:rPr>
        <w:t>uddhato</w:t>
      </w:r>
      <w:proofErr w:type="spellEnd"/>
      <w:r w:rsidRPr="00BD32A9">
        <w:rPr>
          <w:i/>
          <w:iCs/>
        </w:rPr>
        <w:t xml:space="preserve"> </w:t>
      </w:r>
      <w:proofErr w:type="spellStart"/>
      <w:r w:rsidRPr="00BD32A9">
        <w:rPr>
          <w:i/>
          <w:iCs/>
        </w:rPr>
        <w:t>hoti</w:t>
      </w:r>
      <w:proofErr w:type="spellEnd"/>
      <w:r w:rsidRPr="00BD32A9">
        <w:rPr>
          <w:i/>
          <w:iCs/>
        </w:rPr>
        <w:t xml:space="preserve"> </w:t>
      </w:r>
      <w:proofErr w:type="spellStart"/>
      <w:r w:rsidRPr="00BD32A9">
        <w:rPr>
          <w:i/>
          <w:iCs/>
        </w:rPr>
        <w:t>capalo</w:t>
      </w:r>
      <w:proofErr w:type="spellEnd"/>
      <w:r>
        <w:t>”, con dos líneas inferiores “</w:t>
      </w:r>
      <w:proofErr w:type="spellStart"/>
      <w:r w:rsidRPr="00BD32A9">
        <w:rPr>
          <w:i/>
          <w:iCs/>
        </w:rPr>
        <w:t>uddhaccaṃ</w:t>
      </w:r>
      <w:proofErr w:type="spellEnd"/>
      <w:r>
        <w:t xml:space="preserve"> </w:t>
      </w:r>
      <w:proofErr w:type="spellStart"/>
      <w:r w:rsidRPr="00BD32A9">
        <w:rPr>
          <w:i/>
          <w:iCs/>
        </w:rPr>
        <w:t>cāpalyaṃ</w:t>
      </w:r>
      <w:proofErr w:type="spellEnd"/>
      <w:r>
        <w:t xml:space="preserve">”. </w:t>
      </w:r>
      <w:proofErr w:type="spellStart"/>
      <w:r w:rsidRPr="00BD32A9">
        <w:rPr>
          <w:i/>
          <w:iCs/>
        </w:rPr>
        <w:t>Cāpalya</w:t>
      </w:r>
      <w:proofErr w:type="spellEnd"/>
      <w:r>
        <w:t xml:space="preserve"> también ocurre en </w:t>
      </w:r>
      <w:proofErr w:type="spellStart"/>
      <w:r>
        <w:t>Vibh</w:t>
      </w:r>
      <w:proofErr w:type="spellEnd"/>
      <w:r>
        <w:t xml:space="preserve"> 351 (y M II 167). En Ma I 152 (comentando M I 32) encontramos: </w:t>
      </w:r>
      <w:proofErr w:type="spellStart"/>
      <w:r w:rsidRPr="00BD32A9">
        <w:rPr>
          <w:i/>
          <w:iCs/>
        </w:rPr>
        <w:t>capalā</w:t>
      </w:r>
      <w:proofErr w:type="spellEnd"/>
      <w:r w:rsidRPr="00BD32A9">
        <w:rPr>
          <w:i/>
          <w:iCs/>
        </w:rPr>
        <w:t xml:space="preserve"> ti </w:t>
      </w:r>
      <w:proofErr w:type="spellStart"/>
      <w:r w:rsidRPr="00BD32A9">
        <w:rPr>
          <w:i/>
          <w:iCs/>
        </w:rPr>
        <w:t>pattacīvaramaṇḍanādinā</w:t>
      </w:r>
      <w:proofErr w:type="spellEnd"/>
      <w:r w:rsidRPr="00BD32A9">
        <w:rPr>
          <w:i/>
          <w:iCs/>
        </w:rPr>
        <w:t xml:space="preserve"> </w:t>
      </w:r>
      <w:proofErr w:type="spellStart"/>
      <w:r w:rsidRPr="00BD32A9">
        <w:rPr>
          <w:i/>
          <w:iCs/>
        </w:rPr>
        <w:t>cāpallena</w:t>
      </w:r>
      <w:proofErr w:type="spellEnd"/>
      <w:r w:rsidRPr="00BD32A9">
        <w:rPr>
          <w:i/>
          <w:iCs/>
        </w:rPr>
        <w:t xml:space="preserve"> </w:t>
      </w:r>
      <w:proofErr w:type="spellStart"/>
      <w:r w:rsidRPr="00BD32A9">
        <w:rPr>
          <w:i/>
          <w:iCs/>
        </w:rPr>
        <w:t>yuttā</w:t>
      </w:r>
      <w:proofErr w:type="spellEnd"/>
      <w:r>
        <w:t xml:space="preserve"> (“interesado en la vanidad personal que consiste en adornar cuencos y ropaje, etc.”), y en M-a III 185 (comentando M I 470): </w:t>
      </w:r>
      <w:proofErr w:type="spellStart"/>
      <w:r w:rsidRPr="00BD32A9">
        <w:rPr>
          <w:i/>
          <w:iCs/>
        </w:rPr>
        <w:t>Uddhato</w:t>
      </w:r>
      <w:proofErr w:type="spellEnd"/>
      <w:r w:rsidRPr="00BD32A9">
        <w:rPr>
          <w:i/>
          <w:iCs/>
        </w:rPr>
        <w:t xml:space="preserve"> </w:t>
      </w:r>
      <w:proofErr w:type="spellStart"/>
      <w:r w:rsidRPr="00BD32A9">
        <w:rPr>
          <w:i/>
          <w:iCs/>
        </w:rPr>
        <w:t>hoti</w:t>
      </w:r>
      <w:proofErr w:type="spellEnd"/>
      <w:r w:rsidRPr="00BD32A9">
        <w:rPr>
          <w:i/>
          <w:iCs/>
        </w:rPr>
        <w:t xml:space="preserve"> </w:t>
      </w:r>
      <w:proofErr w:type="spellStart"/>
      <w:r w:rsidRPr="00BD32A9">
        <w:rPr>
          <w:i/>
          <w:iCs/>
        </w:rPr>
        <w:t>capalo</w:t>
      </w:r>
      <w:proofErr w:type="spellEnd"/>
      <w:r w:rsidRPr="00BD32A9">
        <w:rPr>
          <w:i/>
          <w:iCs/>
        </w:rPr>
        <w:t xml:space="preserve"> ti </w:t>
      </w:r>
      <w:proofErr w:type="spellStart"/>
      <w:r w:rsidRPr="00BD32A9">
        <w:rPr>
          <w:i/>
          <w:iCs/>
        </w:rPr>
        <w:t>uddhaccapakatiko</w:t>
      </w:r>
      <w:proofErr w:type="spellEnd"/>
      <w:r w:rsidRPr="00BD32A9">
        <w:rPr>
          <w:i/>
          <w:iCs/>
        </w:rPr>
        <w:t xml:space="preserve"> </w:t>
      </w:r>
      <w:proofErr w:type="spellStart"/>
      <w:r w:rsidRPr="00BD32A9">
        <w:rPr>
          <w:i/>
          <w:iCs/>
        </w:rPr>
        <w:t>c'eva</w:t>
      </w:r>
      <w:proofErr w:type="spellEnd"/>
      <w:r w:rsidRPr="00BD32A9">
        <w:rPr>
          <w:i/>
          <w:iCs/>
        </w:rPr>
        <w:t xml:space="preserve"> </w:t>
      </w:r>
      <w:proofErr w:type="spellStart"/>
      <w:r w:rsidRPr="00BD32A9">
        <w:rPr>
          <w:i/>
          <w:iCs/>
        </w:rPr>
        <w:t>hoti</w:t>
      </w:r>
      <w:proofErr w:type="spellEnd"/>
      <w:r w:rsidRPr="00BD32A9">
        <w:rPr>
          <w:i/>
          <w:iCs/>
        </w:rPr>
        <w:t xml:space="preserve"> </w:t>
      </w:r>
      <w:proofErr w:type="spellStart"/>
      <w:r w:rsidRPr="00BD32A9">
        <w:rPr>
          <w:i/>
          <w:iCs/>
        </w:rPr>
        <w:t>cìvaramaṇḍanā</w:t>
      </w:r>
      <w:proofErr w:type="spellEnd"/>
      <w:r w:rsidRPr="00BD32A9">
        <w:rPr>
          <w:i/>
          <w:iCs/>
        </w:rPr>
        <w:t xml:space="preserve"> </w:t>
      </w:r>
      <w:proofErr w:type="spellStart"/>
      <w:r w:rsidRPr="00BD32A9">
        <w:rPr>
          <w:i/>
          <w:iCs/>
        </w:rPr>
        <w:t>pattamaṇḍanā</w:t>
      </w:r>
      <w:proofErr w:type="spellEnd"/>
      <w:r w:rsidRPr="00BD32A9">
        <w:rPr>
          <w:i/>
          <w:iCs/>
        </w:rPr>
        <w:t xml:space="preserve"> </w:t>
      </w:r>
      <w:proofErr w:type="spellStart"/>
      <w:r w:rsidRPr="00BD32A9">
        <w:rPr>
          <w:i/>
          <w:iCs/>
        </w:rPr>
        <w:t>senāsanamaṇḍanā</w:t>
      </w:r>
      <w:proofErr w:type="spellEnd"/>
      <w:r w:rsidRPr="00BD32A9">
        <w:rPr>
          <w:i/>
          <w:iCs/>
        </w:rPr>
        <w:t xml:space="preserve"> </w:t>
      </w:r>
      <w:proofErr w:type="spellStart"/>
      <w:r w:rsidRPr="00BD32A9">
        <w:rPr>
          <w:i/>
          <w:iCs/>
        </w:rPr>
        <w:t>imassa</w:t>
      </w:r>
      <w:proofErr w:type="spellEnd"/>
      <w:r w:rsidRPr="00BD32A9">
        <w:rPr>
          <w:i/>
          <w:iCs/>
        </w:rPr>
        <w:t xml:space="preserve"> </w:t>
      </w:r>
      <w:proofErr w:type="spellStart"/>
      <w:r w:rsidRPr="00BD32A9">
        <w:rPr>
          <w:i/>
          <w:iCs/>
        </w:rPr>
        <w:t>vā</w:t>
      </w:r>
      <w:proofErr w:type="spellEnd"/>
      <w:r w:rsidRPr="00BD32A9">
        <w:rPr>
          <w:i/>
          <w:iCs/>
        </w:rPr>
        <w:t xml:space="preserve"> </w:t>
      </w:r>
      <w:proofErr w:type="spellStart"/>
      <w:r w:rsidRPr="00BD32A9">
        <w:rPr>
          <w:i/>
          <w:iCs/>
        </w:rPr>
        <w:t>pūtikāyassa</w:t>
      </w:r>
      <w:proofErr w:type="spellEnd"/>
      <w:r w:rsidRPr="00BD32A9">
        <w:rPr>
          <w:i/>
          <w:iCs/>
        </w:rPr>
        <w:t xml:space="preserve"> </w:t>
      </w:r>
      <w:proofErr w:type="spellStart"/>
      <w:r w:rsidRPr="00BD32A9">
        <w:rPr>
          <w:i/>
          <w:iCs/>
        </w:rPr>
        <w:t>kelāyanamaṇḍanā</w:t>
      </w:r>
      <w:proofErr w:type="spellEnd"/>
      <w:r w:rsidRPr="00BD32A9">
        <w:rPr>
          <w:i/>
          <w:iCs/>
        </w:rPr>
        <w:t xml:space="preserve"> ti </w:t>
      </w:r>
      <w:proofErr w:type="spellStart"/>
      <w:r w:rsidRPr="00BD32A9">
        <w:rPr>
          <w:i/>
          <w:iCs/>
        </w:rPr>
        <w:t>evaṃ</w:t>
      </w:r>
      <w:proofErr w:type="spellEnd"/>
      <w:r w:rsidRPr="00BD32A9">
        <w:rPr>
          <w:i/>
          <w:iCs/>
        </w:rPr>
        <w:t xml:space="preserve"> </w:t>
      </w:r>
      <w:proofErr w:type="spellStart"/>
      <w:r w:rsidRPr="00BD32A9">
        <w:rPr>
          <w:i/>
          <w:iCs/>
        </w:rPr>
        <w:t>vuttena</w:t>
      </w:r>
      <w:proofErr w:type="spellEnd"/>
      <w:r w:rsidRPr="00BD32A9">
        <w:rPr>
          <w:i/>
          <w:iCs/>
        </w:rPr>
        <w:t xml:space="preserve"> </w:t>
      </w:r>
      <w:proofErr w:type="spellStart"/>
      <w:r w:rsidRPr="00BD32A9">
        <w:rPr>
          <w:i/>
          <w:iCs/>
        </w:rPr>
        <w:t>taruṇadārakacāpallena</w:t>
      </w:r>
      <w:proofErr w:type="spellEnd"/>
      <w:r w:rsidRPr="00BD32A9">
        <w:rPr>
          <w:i/>
          <w:iCs/>
        </w:rPr>
        <w:t xml:space="preserve"> </w:t>
      </w:r>
      <w:proofErr w:type="spellStart"/>
      <w:r w:rsidRPr="00BD32A9">
        <w:rPr>
          <w:i/>
          <w:iCs/>
        </w:rPr>
        <w:t>samannāgat</w:t>
      </w:r>
      <w:r>
        <w:t>o</w:t>
      </w:r>
      <w:proofErr w:type="spellEnd"/>
      <w:r>
        <w:t xml:space="preserve"> ("'él está distraído, o infatuado, y personalmente vanidoso': adornando el cuenco, adornando el alojamiento, o apreciando y adornando este cuerpo inmundo”). Este significado se confirma en el comentario del </w:t>
      </w:r>
      <w:proofErr w:type="spellStart"/>
      <w:r>
        <w:t>Vibh</w:t>
      </w:r>
      <w:proofErr w:type="spellEnd"/>
      <w:r>
        <w:t xml:space="preserve"> 251. PED no da este significado en absoluto, sino solo "inconstante", que no está respaldado por el comentario. CPD (</w:t>
      </w:r>
      <w:proofErr w:type="spellStart"/>
      <w:r w:rsidRPr="00BD32A9">
        <w:rPr>
          <w:i/>
          <w:iCs/>
        </w:rPr>
        <w:t>acapala</w:t>
      </w:r>
      <w:proofErr w:type="spellEnd"/>
      <w:r>
        <w:t>) tampoco da este significado.</w:t>
      </w:r>
    </w:p>
    <w:p w14:paraId="48DAA3F5" w14:textId="77777777" w:rsidR="003A5C97" w:rsidRPr="00BD32A9" w:rsidRDefault="003A5C97" w:rsidP="003A5C97">
      <w:pPr>
        <w:pStyle w:val="PiedepginaLegal"/>
        <w:rPr>
          <w:i/>
          <w:iCs/>
        </w:rPr>
      </w:pPr>
      <w:r>
        <w:tab/>
        <w:t xml:space="preserve">    En cuanto a las otras cosas enumeradas aquí en el texto del </w:t>
      </w:r>
      <w:r w:rsidRPr="00BD32A9">
        <w:rPr>
          <w:i/>
          <w:iCs/>
        </w:rPr>
        <w:t>Visuddhimagga</w:t>
      </w:r>
      <w:r>
        <w:t>, la mayoría se encontrarán en M I 36. Para "aferrarse tenazmente", etc., véase M I 43.</w:t>
      </w:r>
    </w:p>
    <w:p w14:paraId="06D0D722" w14:textId="77777777" w:rsidR="003A5C97" w:rsidRDefault="003A5C97" w:rsidP="003A5C97">
      <w:pPr>
        <w:tabs>
          <w:tab w:val="clear" w:pos="425"/>
        </w:tabs>
        <w:spacing w:after="160"/>
      </w:pPr>
      <w:r>
        <w:br w:type="page"/>
      </w:r>
    </w:p>
    <w:p w14:paraId="14D9E0C3" w14:textId="77777777" w:rsidR="003A5C97" w:rsidRDefault="003A5C97" w:rsidP="003A5C97">
      <w:pPr>
        <w:pStyle w:val="NormalConSangria"/>
      </w:pPr>
      <w:r>
        <w:lastRenderedPageBreak/>
        <w:t xml:space="preserve">En alguien de temperamento devoto, ocurrirán con frecuencia estados como la libre generosidad, el deseo de ver a los Nobles, el deseo de escuchar el Buen </w:t>
      </w:r>
      <w:r w:rsidRPr="00057BF4">
        <w:rPr>
          <w:i/>
        </w:rPr>
        <w:t>Dhamma</w:t>
      </w:r>
      <w:r>
        <w:t xml:space="preserve">, gran alegría, </w:t>
      </w:r>
      <w:r w:rsidRPr="003F1933">
        <w:t>ingenio</w:t>
      </w:r>
      <w:r>
        <w:t xml:space="preserve">, honestidad y confianza en cosas que inspiren confianza. En una persona de temperamento inteligente, será frecuente la aparición de estados tales como una disponibilidad a que le hablen, la posesión de buenos amigos, el conocimiento de la cantidad correcta de comida, la atención y plena consciencia, devoción a la vigilia, un sentido de urgencia sobre las cosas que deberían inspirar sentido de urgencia y un esfuerzo sabiamente dirigido. En una persona de temperamento especulativo, será frecuente la aparición de estados tales como la locuacidad, la sociabilidad, aburrimiento hacia la devoción por lo productivo, fracaso en terminar los emprendimientos, fumar de noche y enardecerse de día (ver M I 144, es decir, tramar planes durante la noche). y ponerlos en práctica durante el día), y correr mentalmente de aquí para allá (ver </w:t>
      </w:r>
      <w:proofErr w:type="spellStart"/>
      <w:r>
        <w:t>Ud</w:t>
      </w:r>
      <w:proofErr w:type="spellEnd"/>
      <w:r>
        <w:t xml:space="preserve"> 37).</w:t>
      </w:r>
    </w:p>
    <w:p w14:paraId="05904F2B" w14:textId="77777777" w:rsidR="003A5C97" w:rsidRDefault="003A5C97" w:rsidP="003A5C97">
      <w:pPr>
        <w:pStyle w:val="NormalConSangria"/>
      </w:pPr>
      <w:r>
        <w:t xml:space="preserve">Así es como los temperamentos pueden ser reconocidos por el </w:t>
      </w:r>
      <w:r w:rsidRPr="00CC0DC6">
        <w:rPr>
          <w:i/>
          <w:iCs/>
        </w:rPr>
        <w:t>tipo de estados que ocurran</w:t>
      </w:r>
      <w:r>
        <w:t>.</w:t>
      </w:r>
    </w:p>
    <w:p w14:paraId="0C39CC30" w14:textId="2491EC57" w:rsidR="003A5C97" w:rsidRDefault="003A5C97" w:rsidP="003A5C97">
      <w:r>
        <w:t xml:space="preserve">96. </w:t>
      </w:r>
      <w:r>
        <w:tab/>
        <w:t xml:space="preserve">Sin embargo, estas indicaciones para reconocer los temperamentos no han sido transmitidas en su totalidad ni en los textos ni en los comentarios; solo se expresan de acuerdo con la opinión de </w:t>
      </w:r>
      <w:r w:rsidR="000B45AA">
        <w:t>algun</w:t>
      </w:r>
      <w:r>
        <w:t>os maestros y, por lo tanto, no pueden ser tratados como auténticos. Incluso aquellos de temperamento iracundo podrán exhibir posturas, etc., atribuidas al temperamento codicioso cuando lo intenten diligentemente. Y las posturas, etc., nunca surg</w:t>
      </w:r>
      <w:r w:rsidR="000B45AA">
        <w:t>irá</w:t>
      </w:r>
      <w:r>
        <w:t>n con características distint</w:t>
      </w:r>
      <w:r w:rsidR="008A6924">
        <w:t>ivas</w:t>
      </w:r>
      <w:r>
        <w:t xml:space="preserve"> en una persona de temperamento mixto. Solo las instrucciones para reconocer el temperamento que se dan en los comentarios deben ser tratadas como auténticas; porque esto está dicho: “Un maestro que haya adquirido penetración en </w:t>
      </w:r>
      <w:r w:rsidR="008A6924">
        <w:t xml:space="preserve">otras </w:t>
      </w:r>
      <w:r>
        <w:t>mentes conocerá los temperamentos y explicará un objeto de meditación en consecuencia; el que no lo haya hecho deberá interrogar al discípulo”. Así que es por la penetración en las mentes o por el interrogatorio de la persona, que se podrá saber si alguien es de temperamento codicioso o alguien de aquellos comenzando con el temperamento iracundo.</w:t>
      </w:r>
    </w:p>
    <w:p w14:paraId="205AFD52" w14:textId="77777777" w:rsidR="003A5C97" w:rsidRDefault="003A5C97" w:rsidP="003A5C97">
      <w:r>
        <w:t xml:space="preserve">97. </w:t>
      </w:r>
      <w:r>
        <w:tab/>
      </w:r>
      <w:r w:rsidRPr="00BD32A9">
        <w:rPr>
          <w:i/>
          <w:iCs/>
        </w:rPr>
        <w:t>¿Qué se adapt</w:t>
      </w:r>
      <w:r>
        <w:rPr>
          <w:i/>
          <w:iCs/>
        </w:rPr>
        <w:t>a</w:t>
      </w:r>
      <w:r w:rsidRPr="00BD32A9">
        <w:rPr>
          <w:i/>
          <w:iCs/>
        </w:rPr>
        <w:t xml:space="preserve"> a </w:t>
      </w:r>
      <w:r>
        <w:rPr>
          <w:i/>
          <w:iCs/>
        </w:rPr>
        <w:t xml:space="preserve">quién y con </w:t>
      </w:r>
      <w:r w:rsidRPr="00BD32A9">
        <w:rPr>
          <w:i/>
          <w:iCs/>
        </w:rPr>
        <w:t>qué tipo de temperamento?</w:t>
      </w:r>
      <w:r>
        <w:t xml:space="preserve"> (§79). Un alojamiento adecuado para una persona de temperamento codicioso deberá tener un alféizar sin lavar y estará nivelado con el suelo, y podrá ser ya sea que se ubique sobre una [roca con una] repisa de goteo no preparada (ver Capítulo II, nota 15), o una choza de paja, o una casa de hojas, etc. Estará cubierta de polvo, llena de murciélagos,</w:t>
      </w:r>
      <w:r w:rsidRPr="00C31CD3">
        <w:rPr>
          <w:vertAlign w:val="superscript"/>
        </w:rPr>
        <w:t>24</w:t>
      </w:r>
      <w:r>
        <w:t xml:space="preserve"> en ruinas, deber ser </w:t>
      </w:r>
      <w:proofErr w:type="gramStart"/>
      <w:r>
        <w:t>demasiado alta o demasiado baja</w:t>
      </w:r>
      <w:proofErr w:type="gramEnd"/>
      <w:r>
        <w:t xml:space="preserve">, en un entorno desolado, amenazada [por leones, tigres, etc.,], con un camino fangoso y desigual, [108] donde hasta la cama y la silla estarán llenas de bichos. Y será fea y antiestética, provocando repugnancia tan pronto como se le mire. Los ornamentos interiores y exteriores adecuados serán aquellos que tendrán bordes rasgados con hilos que cuelguen alrededor como una “red de pasteles”, </w:t>
      </w:r>
      <w:r w:rsidRPr="00C31CD3">
        <w:rPr>
          <w:vertAlign w:val="superscript"/>
        </w:rPr>
        <w:t>25</w:t>
      </w:r>
      <w:r>
        <w:t xml:space="preserve"> ásperas al tacto como el cáñamo, sucias, pesadas y difíciles de usar. Y el tipo de cuenco adecuado para él será un cuenco feo, de barro desfigurado por tapones y juntas, o un cuenco de hierro pesado y deforme tan </w:t>
      </w:r>
      <w:proofErr w:type="spellStart"/>
      <w:r>
        <w:t>inapetecible</w:t>
      </w:r>
      <w:proofErr w:type="spellEnd"/>
      <w:r>
        <w:t xml:space="preserve"> como una calavera. El tipo de camino correcto por el cual deambule por ofrendas será desagradable, sin ningún pueblo cerca y no uniforme. El tipo de aldea adecuada en el que deambule por ofrendas será donde la gente deambule como si no le prestara atención, donde, cuando esté a punto de irse sin recibir ofrendas ni siquiera de una sola familia, la gente lo llame a la sala de estar, diciendo, "Venga, Venerable Señor", y le dé gachas y arroz, no obstante, se haga tan casualmente como si estuvieran poniendo una</w:t>
      </w:r>
    </w:p>
    <w:p w14:paraId="5DB4E8E3" w14:textId="77777777" w:rsidR="003A5C97" w:rsidRPr="00127CAA" w:rsidRDefault="003A5C97" w:rsidP="003A5C97">
      <w:pPr>
        <w:pStyle w:val="PiedepginaLegal"/>
        <w:rPr>
          <w:u w:val="single"/>
        </w:rPr>
      </w:pPr>
      <w:r w:rsidRPr="00127CAA">
        <w:rPr>
          <w:u w:val="single"/>
        </w:rPr>
        <w:t xml:space="preserve">                                                                                                                                                      .</w:t>
      </w:r>
    </w:p>
    <w:p w14:paraId="00572BDA" w14:textId="77777777" w:rsidR="003A5C97" w:rsidRDefault="003A5C97" w:rsidP="003A5C97">
      <w:pPr>
        <w:pStyle w:val="PiedepginaLegal"/>
      </w:pPr>
      <w:r>
        <w:t xml:space="preserve">24. </w:t>
      </w:r>
      <w:r>
        <w:tab/>
      </w:r>
      <w:proofErr w:type="spellStart"/>
      <w:r w:rsidRPr="00BD32A9">
        <w:rPr>
          <w:i/>
          <w:iCs/>
        </w:rPr>
        <w:t>Jatukā</w:t>
      </w:r>
      <w:proofErr w:type="spellEnd"/>
      <w:r>
        <w:t>— “un murciélago”: no en PED. También en el cap. XI. §7.</w:t>
      </w:r>
    </w:p>
    <w:p w14:paraId="2B3A0670" w14:textId="77777777" w:rsidR="003A5C97" w:rsidRDefault="003A5C97" w:rsidP="003A5C97">
      <w:pPr>
        <w:pStyle w:val="PiedepginaLegal"/>
      </w:pPr>
      <w:r>
        <w:t xml:space="preserve">25. </w:t>
      </w:r>
      <w:r>
        <w:tab/>
      </w:r>
      <w:proofErr w:type="spellStart"/>
      <w:r w:rsidRPr="00BD32A9">
        <w:rPr>
          <w:i/>
          <w:iCs/>
        </w:rPr>
        <w:t>Jalapūvasadisa</w:t>
      </w:r>
      <w:proofErr w:type="spellEnd"/>
      <w:r>
        <w:t>— “como un pastel de red”: “Un pastel hecho como una red” (</w:t>
      </w:r>
      <w:proofErr w:type="spellStart"/>
      <w:r>
        <w:t>Vism-mhṭ</w:t>
      </w:r>
      <w:proofErr w:type="spellEnd"/>
      <w:r>
        <w:t xml:space="preserve"> 108); posiblemente lo que ahora se conoce en Sri Lanka como "tolva de cuerdas" o algo así.</w:t>
      </w:r>
    </w:p>
    <w:p w14:paraId="6C15D206" w14:textId="77777777" w:rsidR="003A5C97" w:rsidRDefault="003A5C97" w:rsidP="003A5C97">
      <w:pPr>
        <w:tabs>
          <w:tab w:val="clear" w:pos="425"/>
        </w:tabs>
        <w:spacing w:after="160"/>
        <w:rPr>
          <w:color w:val="000000" w:themeColor="text1"/>
          <w:spacing w:val="10"/>
          <w:sz w:val="14"/>
        </w:rPr>
      </w:pPr>
      <w:r>
        <w:br w:type="page"/>
      </w:r>
    </w:p>
    <w:p w14:paraId="1C272884" w14:textId="77777777" w:rsidR="003A5C97" w:rsidRDefault="003A5C97" w:rsidP="003A5C97">
      <w:r>
        <w:lastRenderedPageBreak/>
        <w:t xml:space="preserve">vaca en un corral. Personas idóneas para servirle serán esclavos u obreros antiestéticos, feos, de ropa sucia, malolientes y repugnantes, que sirvan sus gachas y arroz como si se los tiraran con rudeza. El tipo correcto de atole, arroz y comida dura será pobre, antiestético, hecho de mijo, </w:t>
      </w:r>
      <w:proofErr w:type="spellStart"/>
      <w:r w:rsidRPr="00B8413B">
        <w:rPr>
          <w:i/>
          <w:iCs/>
        </w:rPr>
        <w:t>kudusaka</w:t>
      </w:r>
      <w:proofErr w:type="spellEnd"/>
      <w:r>
        <w:t xml:space="preserve">, arroz partido, etc., suero de leche rancio, atole agrio, curry de verduras viejas o cualquier cosa que sea simplemente para llenar el estómago. El tipo correcto de postura para él debe ser el estar de pie o caminando. El objeto de contemplación deberá ser cualquiera de los </w:t>
      </w:r>
      <w:proofErr w:type="spellStart"/>
      <w:r w:rsidRPr="00057BF4">
        <w:rPr>
          <w:i/>
          <w:iCs/>
        </w:rPr>
        <w:t>kasiṇa</w:t>
      </w:r>
      <w:r w:rsidRPr="00BD32A9">
        <w:rPr>
          <w:i/>
          <w:iCs/>
        </w:rPr>
        <w:t>s</w:t>
      </w:r>
      <w:proofErr w:type="spellEnd"/>
      <w:r>
        <w:t xml:space="preserve"> de color, comenzando por el azul, cuyo color no sea puro. Esto es lo que le convendrá a alguien de temperamento codicioso.</w:t>
      </w:r>
    </w:p>
    <w:p w14:paraId="254A1F01" w14:textId="77777777" w:rsidR="003A5C97" w:rsidRDefault="003A5C97" w:rsidP="003A5C97">
      <w:r>
        <w:t xml:space="preserve">98. </w:t>
      </w:r>
      <w:r>
        <w:tab/>
        <w:t xml:space="preserve">Un lugar de descanso adecuado para alguien de temperamento iracundo no deberá ser ni demasiado elevado ni demasiado bajo, estará provisto de sombra y agua, de paredes, postes y escalones bien proporcionados, con frisos y celosías bien construidas, iluminados con varios tipos de pinturas, con un piso uniforme, liso y suave, adornado de festones con flores y doseles de tela de muchos colores, como el palacio divino de un dios </w:t>
      </w:r>
      <w:r w:rsidRPr="00057BF4">
        <w:rPr>
          <w:i/>
          <w:iCs/>
        </w:rPr>
        <w:t>Brahmā</w:t>
      </w:r>
      <w:r>
        <w:t>, con una cama y una silla cubiertas de lindas mantas, limpias y bien extendidas, que huelan dulcemente a flores, perfumes y esencias,  todo dispuesto para el confort doméstico, lo que haría a cualquiera feliz y alegre con solo verlo.</w:t>
      </w:r>
    </w:p>
    <w:p w14:paraId="2794350B" w14:textId="77777777" w:rsidR="003A5C97" w:rsidRDefault="003A5C97" w:rsidP="003A5C97">
      <w:r>
        <w:t xml:space="preserve">99. </w:t>
      </w:r>
      <w:r>
        <w:tab/>
        <w:t xml:space="preserve">El camino correcto para su alojamiento debe estar libre de toda clase de peligros, atravesará un terreno limpio y uniforme y habrá sido convenientemente preparado. [109] Y aquí será mejor que los muebles del alojamiento no sean numerosos para evitar los escondites de insectos, chinches, serpientes y ratas: inclusive estará compuesto una sola cama y una silla. El tipo correcto de ropa interior y exterior para él será de algún material superior, como una tela china, tela </w:t>
      </w:r>
      <w:proofErr w:type="spellStart"/>
      <w:r w:rsidRPr="00B8413B">
        <w:rPr>
          <w:i/>
          <w:iCs/>
        </w:rPr>
        <w:t>So</w:t>
      </w:r>
      <w:r w:rsidRPr="00057BF4">
        <w:rPr>
          <w:i/>
          <w:iCs/>
        </w:rPr>
        <w:t>māra</w:t>
      </w:r>
      <w:proofErr w:type="spellEnd"/>
      <w:r>
        <w:t>, seda, algodón fino, lino fino, de grosor simple o doble, muy ligero y bien teñido, de color muy puro para la conveniencia de un asceta. El tipo correcto de cuenco deberá ser de hierro, tan bien formado como una burbuja de agua, tan pulido como una gema, sin manchas y de un color bastante puro, apropiado para un asceta. El tipo correcto de camino por donde caminar al ir por sus ofrendas deberá estar libre de peligros, ser llano, agradable, con el pueblo ni demasiado lejos ni demasiado cerca. El tipo correcto de aldea por la que deambular por ofrendas será donde la gente piense: "Ahí viene nuestro Señor", donde ellos preparen un asiento en un lugar rociado y barrido, donde al salir a su encuentro, tomen su cuenco, lo conduzcan a su casa, lo sienten en un asiento preparado y le sirvan cuidadosamente con sus propias manos.</w:t>
      </w:r>
    </w:p>
    <w:p w14:paraId="7BC3AC00" w14:textId="77777777" w:rsidR="003A5C97" w:rsidRDefault="003A5C97" w:rsidP="003A5C97">
      <w:r>
        <w:t xml:space="preserve">100. </w:t>
      </w:r>
      <w:r>
        <w:tab/>
        <w:t>Las personas idóneas para servirle será hermosas, agradables, bien bañadas, bien ungidas, perfumadas</w:t>
      </w:r>
      <w:r w:rsidRPr="00C31CD3">
        <w:rPr>
          <w:vertAlign w:val="superscript"/>
        </w:rPr>
        <w:t>26</w:t>
      </w:r>
      <w:r>
        <w:t xml:space="preserve"> con esencias de incienso y el olor de las flores, adornadas con ropas hechas de tela limpia y bonita de varios tintes, y quienes harán su trabajo con cuidado. El tipo correcto de atole, arroz y comida dura tendrá color, olor y sabor, poseerá esencias nutritivas y atractivas, superior en todos los sentidos y suficiente para sus necesidades. La postura correcta para él será la de habitar recostado o sentado. El objeto de su contemplación deberá ser cualquiera de los colores </w:t>
      </w:r>
      <w:proofErr w:type="spellStart"/>
      <w:r w:rsidRPr="00057BF4">
        <w:rPr>
          <w:i/>
          <w:iCs/>
        </w:rPr>
        <w:t>kasiṇa</w:t>
      </w:r>
      <w:r w:rsidRPr="00B8413B">
        <w:rPr>
          <w:i/>
          <w:iCs/>
        </w:rPr>
        <w:t>s</w:t>
      </w:r>
      <w:proofErr w:type="spellEnd"/>
      <w:r>
        <w:t>, comenzando por el azul, cuyo color sea bastante puro. Esto será lo que convendrá para alguien de temperamento iracundo.</w:t>
      </w:r>
    </w:p>
    <w:p w14:paraId="1CAA875E" w14:textId="77777777" w:rsidR="003A5C97" w:rsidRDefault="003A5C97" w:rsidP="003A5C97">
      <w:r>
        <w:t xml:space="preserve">101. </w:t>
      </w:r>
      <w:r>
        <w:tab/>
        <w:t>El alojamiento correcto para alguien de temperamento ilusivo deberá tener una vista y no estará confinado, donde las cuatro direcciones sean visibles para él mientras se siente allí. En cuanto a las posturas, caminar estará bien para él. El tipo de objeto adecuado para su contemplación no debe ser pequeño, es decir, debe ser del tamaño de un celemín o del tamaño de un platillo; ya que su mente se volverá muy confusa en un espacio reducido; así que</w:t>
      </w:r>
    </w:p>
    <w:p w14:paraId="5517F54B" w14:textId="77777777" w:rsidR="003A5C97" w:rsidRPr="00191F97" w:rsidRDefault="003A5C97" w:rsidP="003A5C97">
      <w:pPr>
        <w:pStyle w:val="PiedepginaLegal"/>
        <w:rPr>
          <w:u w:val="single"/>
        </w:rPr>
      </w:pPr>
      <w:r w:rsidRPr="00191F97">
        <w:rPr>
          <w:u w:val="single"/>
        </w:rPr>
        <w:t xml:space="preserve">                                                                                                                                                         .</w:t>
      </w:r>
    </w:p>
    <w:p w14:paraId="132A176A" w14:textId="77777777" w:rsidR="003A5C97" w:rsidRDefault="003A5C97" w:rsidP="003A5C97">
      <w:pPr>
        <w:pStyle w:val="PiedepginaLegal"/>
      </w:pPr>
      <w:r>
        <w:t xml:space="preserve">26. </w:t>
      </w:r>
      <w:proofErr w:type="spellStart"/>
      <w:r w:rsidRPr="00B8413B">
        <w:rPr>
          <w:i/>
          <w:iCs/>
        </w:rPr>
        <w:t>Surabhi</w:t>
      </w:r>
      <w:proofErr w:type="spellEnd"/>
      <w:r>
        <w:t xml:space="preserve">— “esencias, perfumes”: no encontrado en el PED; también en VI.90; X.60 y </w:t>
      </w:r>
      <w:proofErr w:type="spellStart"/>
      <w:r>
        <w:t>Vism-mhṭ</w:t>
      </w:r>
      <w:proofErr w:type="spellEnd"/>
      <w:r>
        <w:t xml:space="preserve"> 445.</w:t>
      </w:r>
      <w:r>
        <w:br w:type="page"/>
      </w:r>
    </w:p>
    <w:p w14:paraId="50D0F6D4" w14:textId="77777777" w:rsidR="003A5C97" w:rsidRDefault="003A5C97" w:rsidP="003A5C97">
      <w:pPr>
        <w:spacing w:after="60"/>
      </w:pPr>
      <w:r>
        <w:lastRenderedPageBreak/>
        <w:t xml:space="preserve">el tipo correcto de </w:t>
      </w:r>
      <w:proofErr w:type="spellStart"/>
      <w:r w:rsidRPr="00057BF4">
        <w:rPr>
          <w:i/>
          <w:iCs/>
        </w:rPr>
        <w:t>kasiṇa</w:t>
      </w:r>
      <w:proofErr w:type="spellEnd"/>
      <w:r>
        <w:t xml:space="preserve"> deberá ser algo grande. El resto será tal como se ha mencionado en el caso de alguien de temperamento iracundo. Esto será lo que le convendrá a alguien de temperamento ilusivo.</w:t>
      </w:r>
    </w:p>
    <w:p w14:paraId="7B99FB21" w14:textId="77777777" w:rsidR="003A5C97" w:rsidRDefault="003A5C97" w:rsidP="003A5C97">
      <w:pPr>
        <w:spacing w:after="60"/>
      </w:pPr>
      <w:r>
        <w:t xml:space="preserve">102. </w:t>
      </w:r>
      <w:r>
        <w:tab/>
        <w:t>Para alguien de temperamento devoto, todas las instrucciones mencionadas en el caso de alguien de temperamento iracundo serán adecuadas. En cuanto al objeto de su contemplación, uno vinculado a las evocaciones también será correcto.</w:t>
      </w:r>
    </w:p>
    <w:p w14:paraId="5D441234" w14:textId="77777777" w:rsidR="003A5C97" w:rsidRDefault="003A5C97" w:rsidP="003A5C97">
      <w:pPr>
        <w:pStyle w:val="NormalConSangria"/>
        <w:spacing w:after="60"/>
      </w:pPr>
      <w:r>
        <w:t>Para alguien de temperamento inteligente no habrá nada inadecuado en lo que se refiera al alojamiento, etc.</w:t>
      </w:r>
    </w:p>
    <w:p w14:paraId="177B406A" w14:textId="6CE1BA2B" w:rsidR="003A5C97" w:rsidRDefault="003A5C97" w:rsidP="003A5C97">
      <w:pPr>
        <w:pStyle w:val="NormalConSangria"/>
        <w:spacing w:after="60"/>
      </w:pPr>
      <w:r>
        <w:t xml:space="preserve">Para alguien de temperamento especulativo, un alojamiento abierto con vista, [110] donde haya jardines, bosques y fuentes, vistas placenteras, paisajes de pueblos, ciudades y campos, el brillo azul de las montañas, visibles para él mientras habite sentado allí, no será correcto; porque ésa será una condición para que </w:t>
      </w:r>
      <w:r w:rsidR="00C71F10">
        <w:t>la aplicación mental</w:t>
      </w:r>
      <w:r w:rsidRPr="00C93504">
        <w:t xml:space="preserve"> </w:t>
      </w:r>
      <w:r>
        <w:t>oscile de un lado a otro. Por lo tanto, deberá vivir en un alojamiento tipo caverna profunda, protegida por bosques como la Roca Sobresaliente del Vientre del Elefante (</w:t>
      </w:r>
      <w:proofErr w:type="spellStart"/>
      <w:r w:rsidRPr="00223BCC">
        <w:rPr>
          <w:i/>
          <w:iCs/>
        </w:rPr>
        <w:t>Hatthikucchipabbhāra</w:t>
      </w:r>
      <w:proofErr w:type="spellEnd"/>
      <w:r>
        <w:t xml:space="preserve">) o la Cueva de </w:t>
      </w:r>
      <w:proofErr w:type="spellStart"/>
      <w:r>
        <w:t>Mahinda</w:t>
      </w:r>
      <w:proofErr w:type="spellEnd"/>
      <w:r>
        <w:t xml:space="preserve">. Tampoco le convendrá un objeto de contemplación de tamaño amplio; porque uno así será una condición para el correr de un lado a otro </w:t>
      </w:r>
      <w:proofErr w:type="spellStart"/>
      <w:r>
        <w:t>d</w:t>
      </w:r>
      <w:r w:rsidR="00C71F10">
        <w:t>la</w:t>
      </w:r>
      <w:proofErr w:type="spellEnd"/>
      <w:r w:rsidR="00C71F10">
        <w:t xml:space="preserve"> aplicación mental</w:t>
      </w:r>
      <w:r>
        <w:t>. Uno pequeño será correcto. El resto será como se ha dicho para alguien de temperamento codicioso. Esto es lo que le convendrá a alguien de temperamento especulativo.</w:t>
      </w:r>
    </w:p>
    <w:p w14:paraId="6E62EF15" w14:textId="77777777" w:rsidR="003A5C97" w:rsidRDefault="003A5C97" w:rsidP="003A5C97">
      <w:pPr>
        <w:pStyle w:val="NormalConSangria"/>
        <w:spacing w:after="60"/>
      </w:pPr>
      <w:r>
        <w:t>Estos son los detalles, con la definición del tipo, fuente, reconocimiento y lo que sea adecuado, con respecto a los diversos temperamentos que se transmiten aquí con las palabras "que se adapte al propio temperamento" (§60).</w:t>
      </w:r>
    </w:p>
    <w:p w14:paraId="647AEAE5" w14:textId="77777777" w:rsidR="003A5C97" w:rsidRDefault="003A5C97" w:rsidP="003A5C97">
      <w:r>
        <w:t xml:space="preserve">103. </w:t>
      </w:r>
      <w:r>
        <w:tab/>
        <w:t>Sin embargo, aún no se ha aclarado todos los aspectos del objeto de la meditación que convenga a cada temperamento. Esto quedará claro automáticamente cuando se traten en detalle los aspectos de la siguiente lista.</w:t>
      </w:r>
    </w:p>
    <w:p w14:paraId="5A922D2E" w14:textId="77777777" w:rsidR="003A5C97" w:rsidRDefault="003A5C97" w:rsidP="003A5C97">
      <w:pPr>
        <w:pStyle w:val="NormalConSangria"/>
        <w:spacing w:after="60"/>
      </w:pPr>
      <w:r>
        <w:t xml:space="preserve">Ahora bien, se dijo anteriormente: “y él deberá aprehender uno de los 40 objetos de meditación que se adapte a su propio temperamento” (§60). Aquí, la exposición del objeto de meditación deberá entenderse primero de las siguientes 10 maneras: (1) en cuanto a la enumeración, (2) en cuanto a cuál traiga solo acceso y cuál absorción, (3) en cuanto a los tipos de </w:t>
      </w:r>
      <w:proofErr w:type="spellStart"/>
      <w:r w:rsidRPr="00057BF4">
        <w:rPr>
          <w:i/>
          <w:iCs/>
        </w:rPr>
        <w:t>jhāna</w:t>
      </w:r>
      <w:proofErr w:type="spellEnd"/>
      <w:r>
        <w:t xml:space="preserve">, (4) en cuanto a lo </w:t>
      </w:r>
      <w:r w:rsidRPr="00D6534E">
        <w:rPr>
          <w:color w:val="833C0B" w:themeColor="accent2" w:themeShade="80"/>
          <w:u w:color="000000"/>
        </w:rPr>
        <w:t>que trascienda</w:t>
      </w:r>
      <w:r>
        <w:t xml:space="preserve">, (5) en cuanto a la extensión y no–extensión, (6) en cuanto al objeto, </w:t>
      </w:r>
      <w:r>
        <w:br/>
        <w:t>(7) en cuanto al plano, (8) en cuanto a la aprehensión, (9) en cuanto a la condición, (10) en cuanto a la adecuación al temperamento.</w:t>
      </w:r>
    </w:p>
    <w:p w14:paraId="34DC1D52" w14:textId="79D07359" w:rsidR="003A5C97" w:rsidRDefault="003A5C97" w:rsidP="003A5C97">
      <w:r>
        <w:t xml:space="preserve">104. </w:t>
      </w:r>
      <w:r>
        <w:tab/>
      </w:r>
      <w:r w:rsidRPr="008A30D4">
        <w:rPr>
          <w:i/>
          <w:iCs/>
        </w:rPr>
        <w:t>1</w:t>
      </w:r>
      <w:r>
        <w:t xml:space="preserve">. Aquí, en cuanto a la </w:t>
      </w:r>
      <w:r w:rsidRPr="00223BCC">
        <w:rPr>
          <w:i/>
          <w:iCs/>
        </w:rPr>
        <w:t>enumeración</w:t>
      </w:r>
      <w:r>
        <w:t xml:space="preserve">: se dijo anteriormente, “de entre los cuarenta objetos de meditación” (§28). Al respecto, los cuarenta objetos de meditación son </w:t>
      </w:r>
      <w:r w:rsidR="002F566B">
        <w:t>los siguientes</w:t>
      </w:r>
      <w:r>
        <w:t>:</w:t>
      </w:r>
    </w:p>
    <w:p w14:paraId="7B5DA3EF" w14:textId="77777777" w:rsidR="003A5C97" w:rsidRPr="00EB5869" w:rsidRDefault="003A5C97" w:rsidP="003A5C97">
      <w:pPr>
        <w:pStyle w:val="VersoIngls01Sangria"/>
        <w:rPr>
          <w:sz w:val="16"/>
          <w:szCs w:val="20"/>
        </w:rPr>
      </w:pPr>
      <w:r w:rsidRPr="00EB5869">
        <w:rPr>
          <w:sz w:val="16"/>
          <w:szCs w:val="20"/>
        </w:rPr>
        <w:t xml:space="preserve">diez </w:t>
      </w:r>
      <w:proofErr w:type="spellStart"/>
      <w:r w:rsidRPr="00057BF4">
        <w:rPr>
          <w:i/>
          <w:iCs/>
          <w:sz w:val="16"/>
          <w:szCs w:val="20"/>
        </w:rPr>
        <w:t>kasiṇa</w:t>
      </w:r>
      <w:r w:rsidRPr="00223BCC">
        <w:rPr>
          <w:i/>
          <w:iCs/>
          <w:sz w:val="16"/>
          <w:szCs w:val="20"/>
        </w:rPr>
        <w:t>s</w:t>
      </w:r>
      <w:proofErr w:type="spellEnd"/>
      <w:r w:rsidRPr="00EB5869">
        <w:rPr>
          <w:sz w:val="16"/>
          <w:szCs w:val="20"/>
        </w:rPr>
        <w:t xml:space="preserve"> (totalidades),</w:t>
      </w:r>
    </w:p>
    <w:p w14:paraId="5266FD29" w14:textId="77777777" w:rsidR="003A5C97" w:rsidRPr="00EB5869" w:rsidRDefault="003A5C97" w:rsidP="003A5C97">
      <w:pPr>
        <w:pStyle w:val="VersoIngls01Sangria"/>
        <w:rPr>
          <w:sz w:val="16"/>
          <w:szCs w:val="20"/>
        </w:rPr>
      </w:pPr>
      <w:r w:rsidRPr="00EB5869">
        <w:rPr>
          <w:sz w:val="16"/>
          <w:szCs w:val="20"/>
        </w:rPr>
        <w:t xml:space="preserve">diez tipos de </w:t>
      </w:r>
      <w:r>
        <w:rPr>
          <w:sz w:val="16"/>
          <w:szCs w:val="20"/>
        </w:rPr>
        <w:t>repugnancias</w:t>
      </w:r>
      <w:r w:rsidRPr="00EB5869">
        <w:rPr>
          <w:sz w:val="16"/>
          <w:szCs w:val="20"/>
        </w:rPr>
        <w:t>,</w:t>
      </w:r>
    </w:p>
    <w:p w14:paraId="540AF91E" w14:textId="77777777" w:rsidR="003A5C97" w:rsidRPr="003F1933" w:rsidRDefault="003A5C97" w:rsidP="003A5C97">
      <w:pPr>
        <w:pStyle w:val="VersoIngls01Sangria"/>
        <w:rPr>
          <w:sz w:val="16"/>
          <w:szCs w:val="20"/>
        </w:rPr>
      </w:pPr>
      <w:r w:rsidRPr="003F1933">
        <w:rPr>
          <w:sz w:val="16"/>
          <w:szCs w:val="20"/>
        </w:rPr>
        <w:t>diez evocaciones,</w:t>
      </w:r>
    </w:p>
    <w:p w14:paraId="4403CAF7" w14:textId="77777777" w:rsidR="003A5C97" w:rsidRPr="003F1933" w:rsidRDefault="003A5C97" w:rsidP="003A5C97">
      <w:pPr>
        <w:pStyle w:val="VersoIngls01Sangria"/>
        <w:rPr>
          <w:sz w:val="16"/>
          <w:szCs w:val="20"/>
        </w:rPr>
      </w:pPr>
      <w:r w:rsidRPr="003F1933">
        <w:rPr>
          <w:sz w:val="16"/>
          <w:szCs w:val="20"/>
        </w:rPr>
        <w:t>cuatro estados divinos,</w:t>
      </w:r>
    </w:p>
    <w:p w14:paraId="608E421E" w14:textId="77777777" w:rsidR="003A5C97" w:rsidRPr="003F1933" w:rsidRDefault="003A5C97" w:rsidP="003A5C97">
      <w:pPr>
        <w:pStyle w:val="VersoIngls01Sangria"/>
        <w:rPr>
          <w:sz w:val="16"/>
          <w:szCs w:val="20"/>
        </w:rPr>
      </w:pPr>
      <w:r w:rsidRPr="003F1933">
        <w:rPr>
          <w:sz w:val="16"/>
          <w:szCs w:val="20"/>
        </w:rPr>
        <w:t>cuatro estados inmateriales,</w:t>
      </w:r>
    </w:p>
    <w:p w14:paraId="4C8B5150" w14:textId="77777777" w:rsidR="003A5C97" w:rsidRPr="003F1933" w:rsidRDefault="003A5C97" w:rsidP="003A5C97">
      <w:pPr>
        <w:pStyle w:val="VersoIngls01Sangria"/>
        <w:rPr>
          <w:sz w:val="16"/>
          <w:szCs w:val="20"/>
        </w:rPr>
      </w:pPr>
      <w:r w:rsidRPr="003F1933">
        <w:rPr>
          <w:sz w:val="16"/>
          <w:szCs w:val="20"/>
        </w:rPr>
        <w:t>uno de percepción,</w:t>
      </w:r>
    </w:p>
    <w:p w14:paraId="17BB50CB" w14:textId="77777777" w:rsidR="003A5C97" w:rsidRPr="003F1933" w:rsidRDefault="003A5C97" w:rsidP="003A5C97">
      <w:pPr>
        <w:pStyle w:val="VersoIngls01Sangria"/>
        <w:spacing w:after="100"/>
        <w:ind w:left="1418"/>
        <w:rPr>
          <w:sz w:val="16"/>
          <w:szCs w:val="20"/>
        </w:rPr>
      </w:pPr>
      <w:r w:rsidRPr="003F1933">
        <w:rPr>
          <w:sz w:val="16"/>
          <w:szCs w:val="20"/>
        </w:rPr>
        <w:t>uno definitorio.</w:t>
      </w:r>
    </w:p>
    <w:p w14:paraId="08173059" w14:textId="77746143" w:rsidR="003A5C97" w:rsidRDefault="003A5C97" w:rsidP="003A5C97">
      <w:r>
        <w:t xml:space="preserve">105. </w:t>
      </w:r>
      <w:r>
        <w:tab/>
        <w:t xml:space="preserve">Al respecto, los </w:t>
      </w:r>
      <w:r w:rsidR="00EC6CE2">
        <w:t>10</w:t>
      </w:r>
      <w:r>
        <w:t xml:space="preserve"> </w:t>
      </w:r>
      <w:proofErr w:type="spellStart"/>
      <w:r w:rsidRPr="00057BF4">
        <w:rPr>
          <w:i/>
          <w:iCs/>
        </w:rPr>
        <w:t>kasiṇa</w:t>
      </w:r>
      <w:r w:rsidRPr="00223BCC">
        <w:rPr>
          <w:i/>
          <w:iCs/>
        </w:rPr>
        <w:t>s</w:t>
      </w:r>
      <w:proofErr w:type="spellEnd"/>
      <w:r>
        <w:t xml:space="preserve"> son estos: </w:t>
      </w:r>
      <w:proofErr w:type="spellStart"/>
      <w:r w:rsidRPr="00057BF4">
        <w:rPr>
          <w:i/>
          <w:iCs/>
        </w:rPr>
        <w:t>kasiṇa</w:t>
      </w:r>
      <w:proofErr w:type="spellEnd"/>
      <w:r w:rsidRPr="003401A4">
        <w:t xml:space="preserve"> </w:t>
      </w:r>
      <w:r>
        <w:t xml:space="preserve">tierra, </w:t>
      </w:r>
      <w:proofErr w:type="spellStart"/>
      <w:r w:rsidRPr="00057BF4">
        <w:rPr>
          <w:i/>
          <w:iCs/>
        </w:rPr>
        <w:t>kasiṇa</w:t>
      </w:r>
      <w:proofErr w:type="spellEnd"/>
      <w:r>
        <w:t xml:space="preserve"> agua, </w:t>
      </w:r>
      <w:proofErr w:type="spellStart"/>
      <w:r w:rsidRPr="00057BF4">
        <w:rPr>
          <w:i/>
          <w:iCs/>
        </w:rPr>
        <w:t>kasiṇa</w:t>
      </w:r>
      <w:proofErr w:type="spellEnd"/>
      <w:r>
        <w:t xml:space="preserve"> fuego, </w:t>
      </w:r>
      <w:proofErr w:type="spellStart"/>
      <w:r w:rsidRPr="00057BF4">
        <w:rPr>
          <w:i/>
          <w:iCs/>
        </w:rPr>
        <w:t>kasiṇa</w:t>
      </w:r>
      <w:proofErr w:type="spellEnd"/>
      <w:r>
        <w:t xml:space="preserve"> aire, </w:t>
      </w:r>
      <w:proofErr w:type="spellStart"/>
      <w:r w:rsidRPr="00057BF4">
        <w:rPr>
          <w:i/>
          <w:iCs/>
        </w:rPr>
        <w:t>kasiṇa</w:t>
      </w:r>
      <w:proofErr w:type="spellEnd"/>
      <w:r>
        <w:t xml:space="preserve"> azul, </w:t>
      </w:r>
      <w:proofErr w:type="spellStart"/>
      <w:r w:rsidRPr="00057BF4">
        <w:rPr>
          <w:i/>
          <w:iCs/>
        </w:rPr>
        <w:t>kasiṇa</w:t>
      </w:r>
      <w:proofErr w:type="spellEnd"/>
      <w:r>
        <w:t xml:space="preserve"> amarillo, </w:t>
      </w:r>
      <w:proofErr w:type="spellStart"/>
      <w:r w:rsidRPr="00057BF4">
        <w:rPr>
          <w:i/>
          <w:iCs/>
        </w:rPr>
        <w:t>kasiṇa</w:t>
      </w:r>
      <w:proofErr w:type="spellEnd"/>
      <w:r>
        <w:t xml:space="preserve"> rojo, </w:t>
      </w:r>
      <w:proofErr w:type="spellStart"/>
      <w:r w:rsidRPr="00057BF4">
        <w:rPr>
          <w:i/>
          <w:iCs/>
        </w:rPr>
        <w:t>kasiṇa</w:t>
      </w:r>
      <w:proofErr w:type="spellEnd"/>
      <w:r>
        <w:t xml:space="preserve"> blanco, </w:t>
      </w:r>
      <w:proofErr w:type="spellStart"/>
      <w:r w:rsidRPr="00057BF4">
        <w:rPr>
          <w:i/>
          <w:iCs/>
        </w:rPr>
        <w:t>kasiṇa</w:t>
      </w:r>
      <w:proofErr w:type="spellEnd"/>
      <w:r>
        <w:t xml:space="preserve"> luz y </w:t>
      </w:r>
      <w:proofErr w:type="spellStart"/>
      <w:r w:rsidRPr="00057BF4">
        <w:rPr>
          <w:i/>
          <w:iCs/>
        </w:rPr>
        <w:t>kasiṇa</w:t>
      </w:r>
      <w:proofErr w:type="spellEnd"/>
      <w:r>
        <w:t xml:space="preserve"> espacio infinito.</w:t>
      </w:r>
      <w:r w:rsidRPr="00AC5D6C">
        <w:rPr>
          <w:vertAlign w:val="superscript"/>
        </w:rPr>
        <w:t>27</w:t>
      </w:r>
    </w:p>
    <w:p w14:paraId="7CA68D70" w14:textId="77777777" w:rsidR="003A5C97" w:rsidRPr="00EB5869" w:rsidRDefault="003A5C97" w:rsidP="003A5C97">
      <w:pPr>
        <w:pStyle w:val="PiedepginaLegal"/>
        <w:rPr>
          <w:u w:val="single"/>
        </w:rPr>
      </w:pPr>
      <w:r w:rsidRPr="00EB5869">
        <w:rPr>
          <w:u w:val="single"/>
        </w:rPr>
        <w:t xml:space="preserve">                                                                                                                                                         .</w:t>
      </w:r>
    </w:p>
    <w:p w14:paraId="1C8CE9FD" w14:textId="77777777" w:rsidR="003A5C97" w:rsidRDefault="003A5C97" w:rsidP="003A5C97">
      <w:pPr>
        <w:pStyle w:val="PiedepginaLegal"/>
      </w:pPr>
      <w:r>
        <w:t>27. “‘</w:t>
      </w:r>
      <w:proofErr w:type="spellStart"/>
      <w:r w:rsidRPr="00057BF4">
        <w:rPr>
          <w:i/>
          <w:iCs/>
        </w:rPr>
        <w:t>Kasiṇa</w:t>
      </w:r>
      <w:proofErr w:type="spellEnd"/>
      <w:r w:rsidRPr="00223BCC">
        <w:rPr>
          <w:i/>
          <w:iCs/>
        </w:rPr>
        <w:t>’</w:t>
      </w:r>
      <w:r>
        <w:t xml:space="preserve"> es en el sentido de totalidad (</w:t>
      </w:r>
      <w:proofErr w:type="spellStart"/>
      <w:r w:rsidRPr="00223BCC">
        <w:rPr>
          <w:i/>
          <w:iCs/>
        </w:rPr>
        <w:t>sakalaṭṭhena</w:t>
      </w:r>
      <w:proofErr w:type="spellEnd"/>
      <w:r>
        <w:t>)” (M-a III 260). Véase IV.119.</w:t>
      </w:r>
      <w:r>
        <w:br w:type="page"/>
      </w:r>
    </w:p>
    <w:p w14:paraId="64F962C1" w14:textId="77777777" w:rsidR="003A5C97" w:rsidRDefault="003A5C97" w:rsidP="003A5C97">
      <w:pPr>
        <w:pStyle w:val="NormalConSangria"/>
      </w:pPr>
    </w:p>
    <w:p w14:paraId="4E4E69C4" w14:textId="77777777" w:rsidR="003A5C97" w:rsidRDefault="003A5C97" w:rsidP="003A5C97">
      <w:pPr>
        <w:pStyle w:val="NormalConSangria"/>
        <w:spacing w:after="160"/>
      </w:pPr>
      <w:r>
        <w:t xml:space="preserve">Las 10 clases de </w:t>
      </w:r>
      <w:r>
        <w:rPr>
          <w:sz w:val="16"/>
          <w:szCs w:val="20"/>
        </w:rPr>
        <w:t>repugnancias</w:t>
      </w:r>
      <w:r>
        <w:t xml:space="preserve"> son éstas: la hinchazón, el lívido, lo supurante, lo cortado, lo roído, lo esparcido, lo cortado y esparcido, lo sangrante, lo infestado de gusanos y el esqueleto.</w:t>
      </w:r>
      <w:r w:rsidRPr="00032FF2">
        <w:rPr>
          <w:vertAlign w:val="superscript"/>
        </w:rPr>
        <w:t>28</w:t>
      </w:r>
    </w:p>
    <w:p w14:paraId="313C745F" w14:textId="77777777" w:rsidR="003A5C97" w:rsidRDefault="003A5C97" w:rsidP="003A5C97">
      <w:pPr>
        <w:pStyle w:val="NormalConSangria"/>
        <w:spacing w:after="160"/>
      </w:pPr>
      <w:r>
        <w:t xml:space="preserve">Los 10 tipos de evocaciones son éstas: la evocación de las cualidades del </w:t>
      </w:r>
      <w:r w:rsidRPr="00057BF4">
        <w:rPr>
          <w:i/>
        </w:rPr>
        <w:t>Buddha</w:t>
      </w:r>
      <w:r>
        <w:t xml:space="preserve"> (el Iluminado), la evocación de las cualidades del </w:t>
      </w:r>
      <w:r w:rsidRPr="00057BF4">
        <w:rPr>
          <w:i/>
        </w:rPr>
        <w:t>Dhamma</w:t>
      </w:r>
      <w:r>
        <w:t xml:space="preserve"> (la Ley), la evocación de las cualidades del </w:t>
      </w:r>
      <w:r>
        <w:rPr>
          <w:i/>
          <w:iCs/>
        </w:rPr>
        <w:t>Saṅgha</w:t>
      </w:r>
      <w:r>
        <w:t xml:space="preserve"> (la Comunidad), la evocación de las cualidades de la virtud, la evocación de las cualidades de la generosidad, la evocación de las cualidades de las deidades, la evocación (o atención plena) en la muerte, atención plena dirigida hacia el cuerpo, atención plena en la respiración y evocación de la paz. [111]</w:t>
      </w:r>
    </w:p>
    <w:p w14:paraId="77493720" w14:textId="6FB93296" w:rsidR="003A5C97" w:rsidRDefault="003A5C97" w:rsidP="003A5C97">
      <w:pPr>
        <w:pStyle w:val="NormalConSangria"/>
        <w:spacing w:after="160"/>
      </w:pPr>
      <w:r>
        <w:t xml:space="preserve">Los 4 estados divinos son: </w:t>
      </w:r>
      <w:r w:rsidR="000762C2">
        <w:t>el amor–benevolente</w:t>
      </w:r>
      <w:r>
        <w:t>, la compasión, la alegría altruista y la ecuanimidad.</w:t>
      </w:r>
    </w:p>
    <w:p w14:paraId="4ED4C5ED" w14:textId="77777777" w:rsidR="003A5C97" w:rsidRDefault="003A5C97" w:rsidP="003A5C97">
      <w:pPr>
        <w:pStyle w:val="NormalConSangria"/>
      </w:pPr>
      <w:r>
        <w:t>Los 4 estados inmateriales son: la base consistente del espacio infinito, la base consistente de la consciencia infinita, la base consistente del vacío y la base consistente de la no-percepción-ni-no-percepción.</w:t>
      </w:r>
    </w:p>
    <w:p w14:paraId="53BA0650" w14:textId="77777777" w:rsidR="003A5C97" w:rsidRDefault="003A5C97" w:rsidP="003A5C97">
      <w:pPr>
        <w:pStyle w:val="NormalConSangria"/>
        <w:spacing w:after="160"/>
      </w:pPr>
      <w:r>
        <w:t>El único objeto de percepción será a la percepción de la repulsión en el alimento.</w:t>
      </w:r>
    </w:p>
    <w:p w14:paraId="22911683" w14:textId="0398B1E0" w:rsidR="003A5C97" w:rsidRDefault="00EF0EA3" w:rsidP="003A5C97">
      <w:pPr>
        <w:pStyle w:val="NormalConSangria"/>
        <w:spacing w:after="160"/>
      </w:pPr>
      <w:r>
        <w:t xml:space="preserve">El definitorio </w:t>
      </w:r>
      <w:r w:rsidR="003A5C97">
        <w:t xml:space="preserve">corresponderá </w:t>
      </w:r>
      <w:r w:rsidR="00A71B8C">
        <w:t>a</w:t>
      </w:r>
      <w:r w:rsidR="003A5C97">
        <w:t xml:space="preserve"> la definición de los 4 elementos.</w:t>
      </w:r>
    </w:p>
    <w:p w14:paraId="33196533" w14:textId="77777777" w:rsidR="003A5C97" w:rsidRDefault="003A5C97" w:rsidP="003A5C97">
      <w:pPr>
        <w:pStyle w:val="NormalConSangria"/>
        <w:spacing w:after="160"/>
      </w:pPr>
      <w:r>
        <w:t xml:space="preserve">Así deberá entenderse la exposición “en cuanto a la </w:t>
      </w:r>
      <w:r w:rsidRPr="00DD02D7">
        <w:rPr>
          <w:i/>
          <w:iCs/>
        </w:rPr>
        <w:t>enumeración</w:t>
      </w:r>
      <w:r>
        <w:t>”.</w:t>
      </w:r>
    </w:p>
    <w:p w14:paraId="704C258C" w14:textId="77777777" w:rsidR="003A5C97" w:rsidRDefault="003A5C97" w:rsidP="003A5C97">
      <w:r>
        <w:t xml:space="preserve">106. </w:t>
      </w:r>
      <w:r>
        <w:tab/>
      </w:r>
      <w:r w:rsidRPr="008A30D4">
        <w:rPr>
          <w:i/>
          <w:iCs/>
        </w:rPr>
        <w:t>2</w:t>
      </w:r>
      <w:r>
        <w:rPr>
          <w:i/>
          <w:iCs/>
        </w:rPr>
        <w:t>.</w:t>
      </w:r>
      <w:r>
        <w:t xml:space="preserve"> </w:t>
      </w:r>
      <w:r w:rsidRPr="008A30D4">
        <w:rPr>
          <w:i/>
          <w:iCs/>
        </w:rPr>
        <w:t xml:space="preserve">En cuanto a cuál </w:t>
      </w:r>
      <w:r>
        <w:rPr>
          <w:i/>
          <w:iCs/>
        </w:rPr>
        <w:t>conlleve</w:t>
      </w:r>
      <w:r w:rsidRPr="008A30D4">
        <w:rPr>
          <w:i/>
          <w:iCs/>
        </w:rPr>
        <w:t xml:space="preserve"> solamente acceso y cuál absorción</w:t>
      </w:r>
      <w:r>
        <w:t xml:space="preserve">: las ocho evocaciones, las diez excepto la atención plena ocupada en el cuerpo y la atención plena en la respiración, la percepción de repulsión en el alimento y la definición de los cuatro elementos, suman diez objetos de meditación que brindarán acceso solamente. Los otros conllevarán absorción. Esto se refiere “en cuanto a cuáles traerán solamente acceso y </w:t>
      </w:r>
      <w:proofErr w:type="gramStart"/>
      <w:r>
        <w:t>cuáles absorción</w:t>
      </w:r>
      <w:proofErr w:type="gramEnd"/>
      <w:r>
        <w:t>”.</w:t>
      </w:r>
    </w:p>
    <w:p w14:paraId="34496BC3" w14:textId="77777777" w:rsidR="003A5C97" w:rsidRDefault="003A5C97" w:rsidP="003A5C97">
      <w:r>
        <w:t xml:space="preserve">107. </w:t>
      </w:r>
      <w:r>
        <w:tab/>
      </w:r>
      <w:r w:rsidRPr="008A30D4">
        <w:rPr>
          <w:i/>
          <w:iCs/>
        </w:rPr>
        <w:t>3</w:t>
      </w:r>
      <w:r>
        <w:t xml:space="preserve">. </w:t>
      </w:r>
      <w:r w:rsidRPr="00223BCC">
        <w:rPr>
          <w:i/>
          <w:iCs/>
        </w:rPr>
        <w:t xml:space="preserve">En cuanto al tipo de </w:t>
      </w:r>
      <w:proofErr w:type="spellStart"/>
      <w:r w:rsidRPr="00057BF4">
        <w:rPr>
          <w:i/>
          <w:iCs/>
        </w:rPr>
        <w:t>jhāna</w:t>
      </w:r>
      <w:proofErr w:type="spellEnd"/>
      <w:r>
        <w:t xml:space="preserve">: entre los que conlleven absorción, los diez </w:t>
      </w:r>
      <w:proofErr w:type="spellStart"/>
      <w:r w:rsidRPr="00057BF4">
        <w:rPr>
          <w:i/>
          <w:iCs/>
        </w:rPr>
        <w:t>kasiṇa</w:t>
      </w:r>
      <w:r w:rsidRPr="00223BCC">
        <w:rPr>
          <w:i/>
          <w:iCs/>
        </w:rPr>
        <w:t>s</w:t>
      </w:r>
      <w:proofErr w:type="spellEnd"/>
      <w:r>
        <w:t xml:space="preserve"> junto con la atención plena en la respiración conllevarán los cuatro </w:t>
      </w:r>
      <w:proofErr w:type="spellStart"/>
      <w:r w:rsidRPr="00057BF4">
        <w:rPr>
          <w:i/>
          <w:iCs/>
        </w:rPr>
        <w:t>jhāna</w:t>
      </w:r>
      <w:r w:rsidRPr="00223BCC">
        <w:rPr>
          <w:i/>
          <w:iCs/>
        </w:rPr>
        <w:t>s</w:t>
      </w:r>
      <w:proofErr w:type="spellEnd"/>
      <w:r>
        <w:t xml:space="preserve">. Los diez tipos de repugnancia junto con la atención plena ocupada con el cuerpo traen el primer </w:t>
      </w:r>
      <w:proofErr w:type="spellStart"/>
      <w:r w:rsidRPr="00057BF4">
        <w:rPr>
          <w:i/>
          <w:iCs/>
        </w:rPr>
        <w:t>jhāna</w:t>
      </w:r>
      <w:proofErr w:type="spellEnd"/>
      <w:r>
        <w:t>.</w:t>
      </w:r>
    </w:p>
    <w:p w14:paraId="7FB7F413" w14:textId="77777777" w:rsidR="003A5C97" w:rsidRPr="007355CF" w:rsidRDefault="003A5C97" w:rsidP="003A5C97">
      <w:pPr>
        <w:pStyle w:val="PiedepginaLegal"/>
        <w:rPr>
          <w:u w:val="single"/>
        </w:rPr>
      </w:pPr>
      <w:r w:rsidRPr="007355CF">
        <w:rPr>
          <w:u w:val="single"/>
        </w:rPr>
        <w:t xml:space="preserve">                                                                                                                                                          .</w:t>
      </w:r>
    </w:p>
    <w:p w14:paraId="4F1B6DBE" w14:textId="77777777" w:rsidR="003A5C97" w:rsidRDefault="003A5C97" w:rsidP="003A5C97">
      <w:pPr>
        <w:pStyle w:val="PiedepginaLegal"/>
      </w:pPr>
      <w:r>
        <w:t xml:space="preserve">28. </w:t>
      </w:r>
      <w:r>
        <w:tab/>
        <w:t xml:space="preserve">Aquí se dan diez clases de repugnancias. Pero en los </w:t>
      </w:r>
      <w:r w:rsidRPr="00E2478A">
        <w:rPr>
          <w:i/>
          <w:iCs/>
        </w:rPr>
        <w:t>Suttas</w:t>
      </w:r>
      <w:r>
        <w:t xml:space="preserve"> sólo se mencionan cinco o seis de este conjunto, es decir, “Percepción sobre el esqueleto, percepción de lo infestado de gusanos, percepción del lívido, percepción de lo cortado, percepción de lo hinchado. (ver A I 42 y S V 131; A II 17 que agrega “percepción de la supuración”)” No se dan detalles al respecto. Los diez aparecen en </w:t>
      </w:r>
      <w:proofErr w:type="spellStart"/>
      <w:r>
        <w:t>Dhs</w:t>
      </w:r>
      <w:proofErr w:type="spellEnd"/>
      <w:r>
        <w:t xml:space="preserve"> 263–64 y </w:t>
      </w:r>
      <w:proofErr w:type="spellStart"/>
      <w:r w:rsidRPr="00223BCC">
        <w:rPr>
          <w:i/>
          <w:iCs/>
        </w:rPr>
        <w:t>Paṭis</w:t>
      </w:r>
      <w:proofErr w:type="spellEnd"/>
      <w:r>
        <w:t xml:space="preserve"> I 49. Se notará que aquí no aparece ningún orden de progreso de descomposición en los tipos de cadáveres; también las instrucciones en el Cap. VI son para contemplar cadáveres reales en estos estados. El propósito principal aquí es cultivar la "repugnancia".</w:t>
      </w:r>
    </w:p>
    <w:p w14:paraId="6A4E0124" w14:textId="77777777" w:rsidR="003A5C97" w:rsidRDefault="003A5C97" w:rsidP="003A5C97">
      <w:pPr>
        <w:pStyle w:val="PiedepginaLegal"/>
      </w:pPr>
      <w:r>
        <w:tab/>
        <w:t xml:space="preserve">   Otro conjunto de nueve etapas progresivas en la descomposición de un cadáver, en su mayoría diferentes a éstos, se da en el M I 58, 89, etc., comenzando con un cadáver de un día y terminando con huesos convertidos en polvo. De las palabras “supongamos que un </w:t>
      </w:r>
      <w:proofErr w:type="spellStart"/>
      <w:r w:rsidRPr="00057BF4">
        <w:rPr>
          <w:i/>
          <w:iCs/>
        </w:rPr>
        <w:t>bhikkhu</w:t>
      </w:r>
      <w:proofErr w:type="spellEnd"/>
      <w:r>
        <w:t xml:space="preserve"> viese un cadáver tirado en un osario… él comparará este mismo cuerpo suyo con él así: 'Este cuerpo también es de naturaleza similar, espera un destino similar, no está exento de ello'” (M I 58), se podrá suponer que estos nueve, que se dan en orden progresivo de descomposición para demostrar la impermanencia del cuerpo, no están necesariamente pensados ​​como contemplaciones de cadáveres reales tanto como imágenes mentales que se recrearán así, siendo el propósito principal cultivar la apreciación de la impermanencia. Ésta puede ser la razón por la cual estos nueve no se usan aquí (ver VIII.43).</w:t>
      </w:r>
    </w:p>
    <w:p w14:paraId="4D8EAA3A" w14:textId="77777777" w:rsidR="003A5C97" w:rsidRDefault="003A5C97" w:rsidP="003A5C97">
      <w:pPr>
        <w:pStyle w:val="PiedepginaLegal"/>
      </w:pPr>
      <w:r>
        <w:tab/>
        <w:t xml:space="preserve">   La palabra </w:t>
      </w:r>
      <w:proofErr w:type="spellStart"/>
      <w:r w:rsidRPr="00223BCC">
        <w:rPr>
          <w:i/>
          <w:iCs/>
        </w:rPr>
        <w:t>asubha</w:t>
      </w:r>
      <w:proofErr w:type="spellEnd"/>
      <w:r>
        <w:t xml:space="preserve"> (inmundicia, repugnancia) se usa tanto en la contemplación de cadáveres como se da aquí como en la contemplación de las partes del cuerpo (A V 109).</w:t>
      </w:r>
    </w:p>
    <w:p w14:paraId="75255F57" w14:textId="77777777" w:rsidR="003A5C97" w:rsidRDefault="003A5C97" w:rsidP="003A5C97">
      <w:pPr>
        <w:tabs>
          <w:tab w:val="clear" w:pos="425"/>
        </w:tabs>
        <w:spacing w:after="160"/>
        <w:rPr>
          <w:color w:val="000000" w:themeColor="text1"/>
          <w:spacing w:val="10"/>
          <w:sz w:val="14"/>
        </w:rPr>
      </w:pPr>
      <w:r>
        <w:br w:type="page"/>
      </w:r>
    </w:p>
    <w:p w14:paraId="35C77881" w14:textId="77777777" w:rsidR="003A5C97" w:rsidRDefault="003A5C97" w:rsidP="003A5C97">
      <w:pPr>
        <w:pStyle w:val="NormalConSangria"/>
      </w:pPr>
    </w:p>
    <w:p w14:paraId="4066B5EB" w14:textId="77777777" w:rsidR="003A5C97" w:rsidRDefault="003A5C97" w:rsidP="003A5C97">
      <w:r>
        <w:t xml:space="preserve">Los primeras tres estados divinos conllevan los tres </w:t>
      </w:r>
      <w:proofErr w:type="spellStart"/>
      <w:r w:rsidRPr="00057BF4">
        <w:rPr>
          <w:i/>
          <w:iCs/>
        </w:rPr>
        <w:t>jhāna</w:t>
      </w:r>
      <w:r w:rsidRPr="00223BCC">
        <w:rPr>
          <w:i/>
          <w:iCs/>
        </w:rPr>
        <w:t>s</w:t>
      </w:r>
      <w:proofErr w:type="spellEnd"/>
      <w:r>
        <w:t xml:space="preserve">. El cuarto estado divino y los cuatro estados inmateriales conducen al cuarto </w:t>
      </w:r>
      <w:proofErr w:type="spellStart"/>
      <w:r w:rsidRPr="00057BF4">
        <w:rPr>
          <w:i/>
          <w:iCs/>
        </w:rPr>
        <w:t>jhāna</w:t>
      </w:r>
      <w:proofErr w:type="spellEnd"/>
      <w:r>
        <w:t xml:space="preserve">. Esto es “en cuanto al tipo de </w:t>
      </w:r>
      <w:proofErr w:type="spellStart"/>
      <w:r w:rsidRPr="00057BF4">
        <w:rPr>
          <w:i/>
          <w:iCs/>
        </w:rPr>
        <w:t>jhāna</w:t>
      </w:r>
      <w:proofErr w:type="spellEnd"/>
      <w:r>
        <w:t>”.</w:t>
      </w:r>
    </w:p>
    <w:p w14:paraId="3F5DD608" w14:textId="299F70E8" w:rsidR="003A5C97" w:rsidRDefault="003A5C97" w:rsidP="003A5C97">
      <w:r>
        <w:t xml:space="preserve">108. </w:t>
      </w:r>
      <w:r>
        <w:tab/>
      </w:r>
      <w:r w:rsidRPr="007A06C5">
        <w:rPr>
          <w:i/>
          <w:iCs/>
        </w:rPr>
        <w:t>4.</w:t>
      </w:r>
      <w:r>
        <w:t xml:space="preserve"> En cuanto a la </w:t>
      </w:r>
      <w:r w:rsidRPr="007A06C5">
        <w:rPr>
          <w:i/>
          <w:iCs/>
        </w:rPr>
        <w:t>superación</w:t>
      </w:r>
      <w:r>
        <w:t xml:space="preserve">: hay dos clases de superación, es decir, superación de los factores y superación del objeto. Aquí, la superación de factores se da en el caso de todos los objetos de meditación que conlleven el tercer y cuarto </w:t>
      </w:r>
      <w:proofErr w:type="spellStart"/>
      <w:r w:rsidRPr="00057BF4">
        <w:rPr>
          <w:i/>
          <w:iCs/>
        </w:rPr>
        <w:t>jhāna</w:t>
      </w:r>
      <w:proofErr w:type="spellEnd"/>
      <w:r>
        <w:t xml:space="preserve"> porque el segundo </w:t>
      </w:r>
      <w:proofErr w:type="spellStart"/>
      <w:r w:rsidRPr="00057BF4">
        <w:rPr>
          <w:i/>
          <w:iCs/>
        </w:rPr>
        <w:t>jhāna</w:t>
      </w:r>
      <w:proofErr w:type="spellEnd"/>
      <w:r>
        <w:t xml:space="preserve">, etc., debe alcanzarse en esos mismos objetos superando los factores del </w:t>
      </w:r>
      <w:proofErr w:type="spellStart"/>
      <w:r w:rsidRPr="00057BF4">
        <w:rPr>
          <w:i/>
          <w:iCs/>
        </w:rPr>
        <w:t>jhāna</w:t>
      </w:r>
      <w:proofErr w:type="spellEnd"/>
      <w:r>
        <w:t xml:space="preserve"> </w:t>
      </w:r>
      <w:proofErr w:type="spellStart"/>
      <w:r>
        <w:t>d</w:t>
      </w:r>
      <w:r w:rsidR="00C71F10">
        <w:t>la</w:t>
      </w:r>
      <w:proofErr w:type="spellEnd"/>
      <w:r w:rsidR="00C71F10">
        <w:t xml:space="preserve"> aplicación mental</w:t>
      </w:r>
      <w:r>
        <w:t xml:space="preserve"> y </w:t>
      </w:r>
      <w:r w:rsidR="00C71F10">
        <w:t xml:space="preserve">la </w:t>
      </w:r>
      <w:proofErr w:type="spellStart"/>
      <w:r w:rsidR="00C71F10">
        <w:t>susettación</w:t>
      </w:r>
      <w:proofErr w:type="spellEnd"/>
      <w:r w:rsidR="00C71F10">
        <w:t xml:space="preserve"> mental</w:t>
      </w:r>
      <w:r>
        <w:t>, etc. Asimismo, en el caso del cuarto estado divino; porque tendrá que ser alcanzado superando el gozo en el mismo objeto que el d</w:t>
      </w:r>
      <w:r w:rsidR="00944E7F">
        <w:t>el amor–benevolente</w:t>
      </w:r>
      <w:r>
        <w:t xml:space="preserve">, y así sucesivamente. Pero </w:t>
      </w:r>
      <w:r w:rsidRPr="00D90AE4">
        <w:rPr>
          <w:i/>
          <w:iCs/>
        </w:rPr>
        <w:t>en el caso de los cuatro estados inmateriales</w:t>
      </w:r>
      <w:r>
        <w:t xml:space="preserve"> deberá darse mediante la superación del objeto; pues la base consistente del espacio infinito tiene que alcanzarse superando uno u otro de los primeros nueve </w:t>
      </w:r>
      <w:proofErr w:type="spellStart"/>
      <w:r w:rsidRPr="00057BF4">
        <w:rPr>
          <w:i/>
          <w:iCs/>
        </w:rPr>
        <w:t>kasiṇa</w:t>
      </w:r>
      <w:r w:rsidRPr="00223BCC">
        <w:rPr>
          <w:i/>
          <w:iCs/>
        </w:rPr>
        <w:t>s</w:t>
      </w:r>
      <w:proofErr w:type="spellEnd"/>
      <w:r>
        <w:t>, y la base consistente de la consciencia ilimitada, etc., tendrá que alcanzarse respectivamente superando el espacio, y así sucesivamente. Con el resto no habrá superación. Esto es “en cuanto a la superación”.</w:t>
      </w:r>
    </w:p>
    <w:p w14:paraId="0DE8CCB2" w14:textId="77777777" w:rsidR="003A5C97" w:rsidRDefault="003A5C97" w:rsidP="003A5C97">
      <w:r>
        <w:t xml:space="preserve">109. </w:t>
      </w:r>
      <w:r>
        <w:tab/>
      </w:r>
      <w:r w:rsidRPr="005C5495">
        <w:rPr>
          <w:i/>
          <w:iCs/>
        </w:rPr>
        <w:t>5</w:t>
      </w:r>
      <w:r>
        <w:t xml:space="preserve">. En cuanto a la </w:t>
      </w:r>
      <w:r w:rsidRPr="00D90AE4">
        <w:rPr>
          <w:i/>
          <w:iCs/>
        </w:rPr>
        <w:t>extensión</w:t>
      </w:r>
      <w:r>
        <w:t xml:space="preserve"> y </w:t>
      </w:r>
      <w:r w:rsidRPr="00D90AE4">
        <w:rPr>
          <w:i/>
          <w:iCs/>
        </w:rPr>
        <w:t>no-extensión</w:t>
      </w:r>
      <w:r>
        <w:t xml:space="preserve">: solo los 10 </w:t>
      </w:r>
      <w:proofErr w:type="spellStart"/>
      <w:r w:rsidRPr="00057BF4">
        <w:rPr>
          <w:i/>
          <w:iCs/>
        </w:rPr>
        <w:t>kasiṇa</w:t>
      </w:r>
      <w:r w:rsidRPr="00223BCC">
        <w:rPr>
          <w:i/>
          <w:iCs/>
        </w:rPr>
        <w:t>s</w:t>
      </w:r>
      <w:proofErr w:type="spellEnd"/>
      <w:r>
        <w:t xml:space="preserve"> entre estos 40 objetos de meditación requerirán ser extendidos. Ya que será dentro del espacio en el que uno esté concentrado con el </w:t>
      </w:r>
      <w:proofErr w:type="spellStart"/>
      <w:r w:rsidRPr="00057BF4">
        <w:rPr>
          <w:i/>
          <w:iCs/>
        </w:rPr>
        <w:t>kasiṇa</w:t>
      </w:r>
      <w:proofErr w:type="spellEnd"/>
      <w:r>
        <w:t xml:space="preserve"> respectivo que uno podrá escuchar sonidos con el elemento del oído divino, ver objetos visibles, con el ojo divino y conocer la mente de otros seres, con la mente.</w:t>
      </w:r>
    </w:p>
    <w:p w14:paraId="37018FB2" w14:textId="77777777" w:rsidR="003A5C97" w:rsidRDefault="003A5C97" w:rsidP="003A5C97">
      <w:r>
        <w:t xml:space="preserve">110. </w:t>
      </w:r>
      <w:r>
        <w:tab/>
        <w:t xml:space="preserve">La atención plena ocupada en el cuerpo y las diez clases de repugnancias no requiere ser extendida. ¿Por qué? Porque tienen una ubicación definida y porque no existe ningún beneficio en ello. La definición de su ubicación quedará clara al explicar el método de desarrollo (VIII.83–138 y VI.40, 41, 79). Si estos últimos se extendieran, sólo se extenderá en un número de cadáveres [112] y no habrá beneficio. Y esto se dice en respuesta a la pregunta de </w:t>
      </w:r>
      <w:proofErr w:type="spellStart"/>
      <w:r>
        <w:t>Sopāka</w:t>
      </w:r>
      <w:proofErr w:type="spellEnd"/>
      <w:r>
        <w:t xml:space="preserve">: “La percepción de las formas visibles es bastante clara, </w:t>
      </w:r>
      <w:r>
        <w:rPr>
          <w:i/>
          <w:iCs/>
        </w:rPr>
        <w:t>Bhagavā</w:t>
      </w:r>
      <w:r>
        <w:t>, la percepción de los huesos no es tan clara” (Fuente no rastreada</w:t>
      </w:r>
      <w:r w:rsidRPr="00032FF2">
        <w:rPr>
          <w:vertAlign w:val="superscript"/>
        </w:rPr>
        <w:t>29</w:t>
      </w:r>
      <w:r>
        <w:t xml:space="preserve">); porque aquí a la percepción de las formas visibles se le llama "completamente clara" en el sentido de la </w:t>
      </w:r>
      <w:r w:rsidRPr="00B273A5">
        <w:rPr>
          <w:i/>
          <w:iCs/>
        </w:rPr>
        <w:t>extensión</w:t>
      </w:r>
      <w:r>
        <w:t xml:space="preserve"> del signo, mientras que a la percepción de los huesos se le llama "no del todo clara" en el sentido de su </w:t>
      </w:r>
      <w:r w:rsidRPr="00B273A5">
        <w:rPr>
          <w:i/>
          <w:iCs/>
        </w:rPr>
        <w:t>no-extensión</w:t>
      </w:r>
      <w:r>
        <w:t>.</w:t>
      </w:r>
    </w:p>
    <w:p w14:paraId="51F280FF" w14:textId="77777777" w:rsidR="003A5C97" w:rsidRDefault="003A5C97" w:rsidP="003A5C97">
      <w:r>
        <w:t xml:space="preserve">111. </w:t>
      </w:r>
      <w:r>
        <w:tab/>
        <w:t xml:space="preserve">No obstante, las palabras "Estaba atento a toda esta tierra con la percepción de un esqueleto" (Th 18) se dicen en la manera de aparición en quien haya adquirido esa percepción. Porque, así como en la época de [el Emperador] </w:t>
      </w:r>
      <w:proofErr w:type="spellStart"/>
      <w:r>
        <w:t>Dhammāsoka</w:t>
      </w:r>
      <w:proofErr w:type="spellEnd"/>
      <w:r>
        <w:t xml:space="preserve">, el pájaro </w:t>
      </w:r>
      <w:proofErr w:type="spellStart"/>
      <w:r w:rsidRPr="00223BCC">
        <w:rPr>
          <w:i/>
          <w:iCs/>
        </w:rPr>
        <w:t>Karavīka</w:t>
      </w:r>
      <w:proofErr w:type="spellEnd"/>
      <w:r>
        <w:t xml:space="preserve"> emitía un dulce canto cuando veía su propio reflejo en los espejos que lo rodeaban y percibía </w:t>
      </w:r>
      <w:proofErr w:type="spellStart"/>
      <w:r w:rsidRPr="00223BCC">
        <w:rPr>
          <w:i/>
          <w:iCs/>
        </w:rPr>
        <w:t>Karavīkas</w:t>
      </w:r>
      <w:proofErr w:type="spellEnd"/>
      <w:r>
        <w:t xml:space="preserve"> en todas las direcciones,</w:t>
      </w:r>
      <w:r w:rsidRPr="00032FF2">
        <w:rPr>
          <w:vertAlign w:val="superscript"/>
        </w:rPr>
        <w:t>30</w:t>
      </w:r>
      <w:r>
        <w:t xml:space="preserve"> así pensó el Venerable [</w:t>
      </w:r>
      <w:proofErr w:type="spellStart"/>
      <w:r w:rsidRPr="00223BCC">
        <w:rPr>
          <w:i/>
          <w:iCs/>
        </w:rPr>
        <w:t>Siṅgāla</w:t>
      </w:r>
      <w:proofErr w:type="spellEnd"/>
      <w:r w:rsidRPr="00223BCC">
        <w:rPr>
          <w:i/>
          <w:iCs/>
        </w:rPr>
        <w:t xml:space="preserve"> Pitar</w:t>
      </w:r>
      <w:r>
        <w:t xml:space="preserve">], cuando vio el signo que aparecía en </w:t>
      </w:r>
    </w:p>
    <w:p w14:paraId="5F4B8E9A" w14:textId="77777777" w:rsidR="003A5C97" w:rsidRPr="00FC1E5D" w:rsidRDefault="003A5C97" w:rsidP="003A5C97">
      <w:pPr>
        <w:pStyle w:val="PiedepginaLegal"/>
        <w:rPr>
          <w:u w:val="single"/>
        </w:rPr>
      </w:pPr>
      <w:r w:rsidRPr="00FC1E5D">
        <w:rPr>
          <w:u w:val="single"/>
        </w:rPr>
        <w:t xml:space="preserve">                                                                                                                                               .</w:t>
      </w:r>
    </w:p>
    <w:p w14:paraId="70AA8D39" w14:textId="77777777" w:rsidR="003A5C97" w:rsidRDefault="003A5C97" w:rsidP="003A5C97">
      <w:pPr>
        <w:pStyle w:val="PiedepginaLegal"/>
      </w:pPr>
      <w:r>
        <w:t xml:space="preserve">29. </w:t>
      </w:r>
      <w:r>
        <w:tab/>
        <w:t xml:space="preserve">También citado en A-a V 79 sobre AN 11:9. Cf. Sn 1119. Una cita similar con </w:t>
      </w:r>
      <w:proofErr w:type="spellStart"/>
      <w:r w:rsidRPr="00223BCC">
        <w:t>Sopāka</w:t>
      </w:r>
      <w:proofErr w:type="spellEnd"/>
      <w:r>
        <w:t xml:space="preserve"> se encuentra en </w:t>
      </w:r>
      <w:proofErr w:type="spellStart"/>
      <w:r>
        <w:t>Vism-mhṭ</w:t>
      </w:r>
      <w:proofErr w:type="spellEnd"/>
      <w:r>
        <w:t xml:space="preserve"> 334–35, véase la nota 1 en XI.2.</w:t>
      </w:r>
    </w:p>
    <w:p w14:paraId="59F8B765" w14:textId="77777777" w:rsidR="003A5C97" w:rsidRDefault="003A5C97" w:rsidP="003A5C97">
      <w:pPr>
        <w:pStyle w:val="PiedepginaLegal"/>
      </w:pPr>
      <w:r>
        <w:t xml:space="preserve">30. </w:t>
      </w:r>
      <w:r>
        <w:tab/>
        <w:t xml:space="preserve">La historia completa, que ocurre en M-a III 382–83 y en otros lugares, es ésta: “Parece que cuando el pájaro </w:t>
      </w:r>
      <w:proofErr w:type="spellStart"/>
      <w:r w:rsidRPr="00223BCC">
        <w:rPr>
          <w:i/>
          <w:iCs/>
        </w:rPr>
        <w:t>Karavīka</w:t>
      </w:r>
      <w:proofErr w:type="spellEnd"/>
      <w:r>
        <w:t xml:space="preserve"> ha picoteado un mango de sabor dulce con su pico y ha saboreado el jugo que gotee de ella, y agita sus alas, comienza a cantar, luego los cuadrúpedos hacen cabriolas como si estuvieran locos. Los cuadrúpedos que pasten en sus pastos se meten la hierba en la boca y escuchan el sonido. Las bestias de presa que cazan animales pequeños se detienen con un pie levantado. Los animales cazados pierden el miedo a la muerte y se detienen en seco. Las aves que vuelan en el aire se quedan con las alas extendidas. Los peces en el agua se quedan quietos, sin mover las aletas. Todos escuchen el sonido, así de hermoso es el canto del </w:t>
      </w:r>
      <w:proofErr w:type="spellStart"/>
      <w:r w:rsidRPr="00223BCC">
        <w:rPr>
          <w:i/>
          <w:iCs/>
        </w:rPr>
        <w:t>Karavīka</w:t>
      </w:r>
      <w:proofErr w:type="spellEnd"/>
      <w:r>
        <w:t xml:space="preserve">. La reina de </w:t>
      </w:r>
      <w:proofErr w:type="spellStart"/>
      <w:r w:rsidRPr="00223BCC">
        <w:rPr>
          <w:i/>
          <w:iCs/>
        </w:rPr>
        <w:t>Dhammāsoka</w:t>
      </w:r>
      <w:proofErr w:type="spellEnd"/>
      <w:r>
        <w:t xml:space="preserve">, </w:t>
      </w:r>
      <w:proofErr w:type="spellStart"/>
      <w:r w:rsidRPr="00223BCC">
        <w:rPr>
          <w:i/>
          <w:iCs/>
        </w:rPr>
        <w:t>Asandhamitā</w:t>
      </w:r>
      <w:proofErr w:type="spellEnd"/>
      <w:r>
        <w:t xml:space="preserve">, preguntó a la comunidad: ‘Venerables señores, ¿existe algo que suene como el </w:t>
      </w:r>
      <w:r w:rsidRPr="00057BF4">
        <w:rPr>
          <w:i/>
        </w:rPr>
        <w:t>Buddha</w:t>
      </w:r>
      <w:r>
        <w:t xml:space="preserve">?’—‘Los pájaros </w:t>
      </w:r>
      <w:proofErr w:type="spellStart"/>
      <w:r w:rsidRPr="00223BCC">
        <w:rPr>
          <w:i/>
          <w:iCs/>
        </w:rPr>
        <w:t>Karavīka</w:t>
      </w:r>
      <w:proofErr w:type="spellEnd"/>
      <w:r>
        <w:t xml:space="preserve"> suenan así—‘¿Dónde están esos pájaros, Venerables Señores?’—‘En los Himalayas’.</w:t>
      </w:r>
    </w:p>
    <w:p w14:paraId="35A088EA" w14:textId="77777777" w:rsidR="003A5C97" w:rsidRDefault="003A5C97" w:rsidP="003A5C97">
      <w:pPr>
        <w:tabs>
          <w:tab w:val="clear" w:pos="425"/>
        </w:tabs>
        <w:spacing w:after="160"/>
        <w:rPr>
          <w:color w:val="000000" w:themeColor="text1"/>
          <w:spacing w:val="10"/>
          <w:sz w:val="14"/>
        </w:rPr>
      </w:pPr>
      <w:r>
        <w:br w:type="page"/>
      </w:r>
    </w:p>
    <w:p w14:paraId="6AB15012" w14:textId="77777777" w:rsidR="003A5C97" w:rsidRDefault="003A5C97" w:rsidP="003A5C97"/>
    <w:p w14:paraId="2F59C54A" w14:textId="77777777" w:rsidR="003A5C97" w:rsidRDefault="003A5C97" w:rsidP="003A5C97"/>
    <w:p w14:paraId="21F2804D" w14:textId="77777777" w:rsidR="003A5C97" w:rsidRPr="00750CB5" w:rsidRDefault="003A5C97" w:rsidP="003A5C97">
      <w:proofErr w:type="gramStart"/>
      <w:r w:rsidRPr="00750CB5">
        <w:t xml:space="preserve">todas </w:t>
      </w:r>
      <w:r>
        <w:t xml:space="preserve">la </w:t>
      </w:r>
      <w:r w:rsidRPr="00750CB5">
        <w:t>direcciones</w:t>
      </w:r>
      <w:proofErr w:type="gramEnd"/>
      <w:r w:rsidRPr="00750CB5">
        <w:t xml:space="preserve"> a través de su adquisición de la percepción de un esqueleto, </w:t>
      </w:r>
      <w:r>
        <w:t>cuando</w:t>
      </w:r>
      <w:r w:rsidRPr="00750CB5">
        <w:t xml:space="preserve"> toda la tierra </w:t>
      </w:r>
      <w:r>
        <w:t xml:space="preserve">le apareció como si </w:t>
      </w:r>
      <w:r w:rsidRPr="00750CB5">
        <w:t>est</w:t>
      </w:r>
      <w:r>
        <w:t>uviera</w:t>
      </w:r>
      <w:r w:rsidRPr="00750CB5">
        <w:t xml:space="preserve"> cubierta de huesos.</w:t>
      </w:r>
    </w:p>
    <w:p w14:paraId="6F30CA55" w14:textId="77777777" w:rsidR="003A5C97" w:rsidRDefault="003A5C97" w:rsidP="003A5C97">
      <w:r>
        <w:t xml:space="preserve">112. </w:t>
      </w:r>
      <w:r>
        <w:tab/>
        <w:t xml:space="preserve">Si eso fuera así, ¿se contradeciría con lo que se designa como “la </w:t>
      </w:r>
      <w:proofErr w:type="spellStart"/>
      <w:r>
        <w:t>inmensurabilidad</w:t>
      </w:r>
      <w:proofErr w:type="spellEnd"/>
      <w:r>
        <w:t xml:space="preserve"> del objeto </w:t>
      </w:r>
      <w:proofErr w:type="spellStart"/>
      <w:r w:rsidRPr="00057BF4">
        <w:rPr>
          <w:i/>
          <w:iCs/>
        </w:rPr>
        <w:t>jhān</w:t>
      </w:r>
      <w:r>
        <w:rPr>
          <w:i/>
          <w:iCs/>
        </w:rPr>
        <w:t>ico</w:t>
      </w:r>
      <w:proofErr w:type="spellEnd"/>
      <w:r>
        <w:t xml:space="preserve"> producido sobre la </w:t>
      </w:r>
      <w:r w:rsidRPr="00E20ABF">
        <w:t>repugnancia</w:t>
      </w:r>
      <w:r>
        <w:t>”?</w:t>
      </w:r>
      <w:r w:rsidRPr="00E20ABF">
        <w:rPr>
          <w:vertAlign w:val="superscript"/>
        </w:rPr>
        <w:t xml:space="preserve"> </w:t>
      </w:r>
      <w:r w:rsidRPr="00032FF2">
        <w:rPr>
          <w:vertAlign w:val="superscript"/>
        </w:rPr>
        <w:t>31</w:t>
      </w:r>
      <w:r>
        <w:t xml:space="preserve"> </w:t>
      </w:r>
      <w:proofErr w:type="gramStart"/>
      <w:r>
        <w:t>No</w:t>
      </w:r>
      <w:proofErr w:type="gramEnd"/>
      <w:r>
        <w:t xml:space="preserve">, no se contradeciría. Porque un hombre captará un signo en un gran cadáver hinchado o en un esqueleto, y otro en uno pequeño. De esta manera, el </w:t>
      </w:r>
      <w:proofErr w:type="spellStart"/>
      <w:r w:rsidRPr="00057BF4">
        <w:rPr>
          <w:i/>
          <w:iCs/>
        </w:rPr>
        <w:t>jhāna</w:t>
      </w:r>
      <w:proofErr w:type="spellEnd"/>
      <w:r>
        <w:t xml:space="preserve"> de alguien tendrá un objeto limitado y el del otro un objeto inmensurable. O alternativamente, "Con un objeto inmensurable " (</w:t>
      </w:r>
      <w:proofErr w:type="spellStart"/>
      <w:r>
        <w:t>Dhs</w:t>
      </w:r>
      <w:proofErr w:type="spellEnd"/>
      <w:r>
        <w:t xml:space="preserve"> 182-84 en elisión) se dice de aquello referido a quien lo extienda, sin ver ninguna desventaja en hacerlo. Pero no será necesario extenderlo porque no resultará de ningún beneficio.</w:t>
      </w:r>
    </w:p>
    <w:p w14:paraId="3DCF2035" w14:textId="77777777" w:rsidR="003A5C97" w:rsidRDefault="003A5C97" w:rsidP="003A5C97">
      <w:r>
        <w:t xml:space="preserve">113. </w:t>
      </w:r>
      <w:r>
        <w:tab/>
        <w:t>El resto no requerirá extenderse del mismo modo. ¿Por qué? Cuando un hombre extienda el signo de la inhalación y exhalación, solo extenderá una cantidad de aire, y tendrá una ubicación definida, [la punta de la nariz]. Por lo tanto, no será necesario extenderla debido a la desventaja y debido a la definición de la ubicación. Y los estados divinos tienen por objeto a los seres vivos. Cuando un hombre extiende el signo de estos, sólo se extendería en el número de seres vivientes, y no existirá ningún propósito en ello. Así que esto tampoco requiere extenderse.</w:t>
      </w:r>
    </w:p>
    <w:p w14:paraId="4E135883" w14:textId="1CB14716" w:rsidR="003A5C97" w:rsidRDefault="003A5C97" w:rsidP="003A5C97">
      <w:r>
        <w:t>114.</w:t>
      </w:r>
      <w:r>
        <w:tab/>
        <w:t xml:space="preserve">Cuando se diga: “Con atención hacia una dirección con el corazón lleno </w:t>
      </w:r>
      <w:r w:rsidR="00944E7F">
        <w:t>de amor–benevolente</w:t>
      </w:r>
      <w:r>
        <w:t>” (D I 250), etc., se referirá en aras de una inclusión integral. Porque es cuando un hombre desarrolle progresivamente la inclusión de todos los seres vivos en una dirección por medio de una casa, dos casas, etc., que se dirá que estará "dirigida hacia una dirección", [113] no cuando extienda el signo. Y no habrá ningún signo de contrapartida aquí que pueda extender. También el estado de tener un objeto limitado o ilimitado podrá entenderse aquí también según la forma de inclusión.</w:t>
      </w:r>
    </w:p>
    <w:p w14:paraId="57376976" w14:textId="56FF40AA" w:rsidR="003A5C97" w:rsidRDefault="003A5C97" w:rsidP="003A5C97">
      <w:r>
        <w:t xml:space="preserve">115. </w:t>
      </w:r>
      <w:r>
        <w:tab/>
        <w:t xml:space="preserve">En cuanto a los estados inmateriales como objeto, el espacio no requerirá ser extendido ya que </w:t>
      </w:r>
      <w:proofErr w:type="gramStart"/>
      <w:r>
        <w:t>consistirá de</w:t>
      </w:r>
      <w:proofErr w:type="gramEnd"/>
      <w:r>
        <w:t xml:space="preserve"> la mera remoción del </w:t>
      </w:r>
      <w:proofErr w:type="spellStart"/>
      <w:r w:rsidRPr="00057BF4">
        <w:rPr>
          <w:i/>
          <w:iCs/>
        </w:rPr>
        <w:t>kasiṇa</w:t>
      </w:r>
      <w:proofErr w:type="spellEnd"/>
      <w:r>
        <w:t xml:space="preserve"> [la materialidad]; porque eso deberá llevarse a cabo solo mediante la desaparición del </w:t>
      </w:r>
      <w:proofErr w:type="spellStart"/>
      <w:r w:rsidRPr="00057BF4">
        <w:rPr>
          <w:i/>
          <w:iCs/>
        </w:rPr>
        <w:t>kasiṇa</w:t>
      </w:r>
      <w:proofErr w:type="spellEnd"/>
      <w:r>
        <w:t xml:space="preserve"> [la materialidad]; si se extendiera, no pasaría nada. Y la consciencia no requeriría extenderse ya que sería un estado consistente de una esencia individual, y no sería posible extender un estado consistente de una esencia individual. La desaparición de la consciencia no requerirá extenderse ya que será mera </w:t>
      </w:r>
      <w:r w:rsidR="00610027">
        <w:t>no–</w:t>
      </w:r>
      <w:r>
        <w:t xml:space="preserve">existencia de consciencia. Y </w:t>
      </w:r>
    </w:p>
    <w:p w14:paraId="03D5C5D6" w14:textId="77777777" w:rsidR="003A5C97" w:rsidRPr="00C5257A" w:rsidRDefault="003A5C97" w:rsidP="003A5C97">
      <w:pPr>
        <w:pStyle w:val="PiedepginaLegal"/>
        <w:rPr>
          <w:u w:val="single"/>
        </w:rPr>
      </w:pPr>
      <w:r w:rsidRPr="00C5257A">
        <w:rPr>
          <w:u w:val="single"/>
        </w:rPr>
        <w:t xml:space="preserve">                                                                                                                                                           .</w:t>
      </w:r>
    </w:p>
    <w:p w14:paraId="3B1360C9" w14:textId="77777777" w:rsidR="003A5C97" w:rsidRDefault="003A5C97" w:rsidP="003A5C97">
      <w:pPr>
        <w:pStyle w:val="PiedepginaLegal"/>
      </w:pPr>
      <w:r>
        <w:t xml:space="preserve">... </w:t>
      </w:r>
    </w:p>
    <w:p w14:paraId="7174C1C7" w14:textId="77777777" w:rsidR="003A5C97" w:rsidRDefault="003A5C97" w:rsidP="003A5C97">
      <w:pPr>
        <w:pStyle w:val="PiedepginaLegal"/>
      </w:pPr>
      <w:r>
        <w:tab/>
        <w:t xml:space="preserve">Entonces ella le dijo al Rey: 'Señor, deseo escuchar a un pájaro </w:t>
      </w:r>
      <w:proofErr w:type="spellStart"/>
      <w:r w:rsidRPr="008A643B">
        <w:rPr>
          <w:i/>
          <w:iCs/>
        </w:rPr>
        <w:t>Karavīka</w:t>
      </w:r>
      <w:proofErr w:type="spellEnd"/>
      <w:r w:rsidRPr="008A643B">
        <w:rPr>
          <w:i/>
          <w:iCs/>
        </w:rPr>
        <w:t>'</w:t>
      </w:r>
      <w:r>
        <w:t xml:space="preserve">. El Rey envió una jaula de oro con la orden: 'Hagan que un pájaro </w:t>
      </w:r>
      <w:proofErr w:type="spellStart"/>
      <w:r w:rsidRPr="008A643B">
        <w:rPr>
          <w:i/>
          <w:iCs/>
        </w:rPr>
        <w:t>Karavīka</w:t>
      </w:r>
      <w:proofErr w:type="spellEnd"/>
      <w:r>
        <w:t xml:space="preserve"> venga y entre en esta jaula'. La jaula viajó y se detuvo frente a un </w:t>
      </w:r>
      <w:proofErr w:type="spellStart"/>
      <w:r w:rsidRPr="008A643B">
        <w:rPr>
          <w:i/>
          <w:iCs/>
        </w:rPr>
        <w:t>Karavika</w:t>
      </w:r>
      <w:proofErr w:type="spellEnd"/>
      <w:r>
        <w:t xml:space="preserve">. Pensando: 'La jaula ha venido por mandato del Rey; será imposible no ir', el pájaro entró a la </w:t>
      </w:r>
      <w:proofErr w:type="spellStart"/>
      <w:r>
        <w:t>haula</w:t>
      </w:r>
      <w:proofErr w:type="spellEnd"/>
      <w:r>
        <w:t xml:space="preserve">. La jaula regresó y se puso ante el Rey. No pudieron hacer que el </w:t>
      </w:r>
      <w:proofErr w:type="spellStart"/>
      <w:r w:rsidRPr="008A643B">
        <w:rPr>
          <w:i/>
          <w:iCs/>
        </w:rPr>
        <w:t>Karavīka</w:t>
      </w:r>
      <w:proofErr w:type="spellEnd"/>
      <w:r>
        <w:t xml:space="preserve"> emitiera un sonido. Cuando el Rey preguntó: "¿Cuándo emiten su sonido?", Ellos respondieron: "Al ver a sus parientes". Entonces el Rey lo rodeó de espejos. Al ver su propio reflejo e imaginar que sus parientes habían llegado, batió sus alas y gritó con una voz exquisita como si tocara una trompeta de cristal. Toda la gente de la ciudad corrió como loca. </w:t>
      </w:r>
      <w:proofErr w:type="spellStart"/>
      <w:r w:rsidRPr="008A643B">
        <w:rPr>
          <w:i/>
          <w:iCs/>
        </w:rPr>
        <w:t>Asandhamitā</w:t>
      </w:r>
      <w:proofErr w:type="spellEnd"/>
      <w:r>
        <w:t xml:space="preserve"> pensó: 'Si el sonido de esta criatura es tan bueno, ¿cómo debe haber sido el sonido del </w:t>
      </w:r>
      <w:r>
        <w:rPr>
          <w:i/>
          <w:iCs/>
        </w:rPr>
        <w:t xml:space="preserve">Bhagavā </w:t>
      </w:r>
      <w:r>
        <w:t>desde que alcanzó la gloria del conocimiento omnisciente?', y despertando una dicha que nunca más lo abandonó, se estableció. en la fruición de la entrada a la corriente.”</w:t>
      </w:r>
    </w:p>
    <w:p w14:paraId="273AE96E" w14:textId="43ED526D" w:rsidR="003A5C97" w:rsidRDefault="003A5C97" w:rsidP="003A5C97">
      <w:pPr>
        <w:pStyle w:val="PiedepginaLegal"/>
      </w:pPr>
      <w:r>
        <w:t xml:space="preserve">31. </w:t>
      </w:r>
      <w:r>
        <w:tab/>
        <w:t xml:space="preserve">Véase </w:t>
      </w:r>
      <w:proofErr w:type="spellStart"/>
      <w:r>
        <w:t>Dhs</w:t>
      </w:r>
      <w:proofErr w:type="spellEnd"/>
      <w:r>
        <w:t xml:space="preserve"> 55; aunque venga bajo el “…</w:t>
      </w:r>
      <w:r w:rsidRPr="00AA70DA">
        <w:rPr>
          <w:i/>
          <w:iCs/>
        </w:rPr>
        <w:t>pe</w:t>
      </w:r>
      <w:r>
        <w:t xml:space="preserve">…”, </w:t>
      </w:r>
      <w:r w:rsidR="00884B8E">
        <w:t xml:space="preserve">el </w:t>
      </w:r>
      <w:r w:rsidR="003A42E6">
        <w:t xml:space="preserve">cual </w:t>
      </w:r>
      <w:r>
        <w:t>debe ser llenado a partir de las pp. 37–38, §182 y §184.</w:t>
      </w:r>
    </w:p>
    <w:p w14:paraId="1A19D770" w14:textId="77777777" w:rsidR="003A5C97" w:rsidRDefault="003A5C97" w:rsidP="003A5C97">
      <w:pPr>
        <w:tabs>
          <w:tab w:val="clear" w:pos="425"/>
        </w:tabs>
        <w:spacing w:after="160"/>
      </w:pPr>
      <w:r>
        <w:br w:type="page"/>
      </w:r>
    </w:p>
    <w:p w14:paraId="6C6A992F" w14:textId="77777777" w:rsidR="003A5C97" w:rsidRDefault="003A5C97" w:rsidP="003A5C97"/>
    <w:p w14:paraId="50839470" w14:textId="28BAA9E0" w:rsidR="003A5C97" w:rsidRDefault="00610027" w:rsidP="003A5C97">
      <w:r>
        <w:t xml:space="preserve">la </w:t>
      </w:r>
      <w:r w:rsidR="003A5C97">
        <w:t>base consistente de la no-percepción-ni-la-no-percepción como objeto no requerirá extenderse ya que también será un estado consistente de una esencia individual.</w:t>
      </w:r>
      <w:r w:rsidR="003A5C97" w:rsidRPr="00CE217D">
        <w:rPr>
          <w:vertAlign w:val="superscript"/>
        </w:rPr>
        <w:t>32</w:t>
      </w:r>
    </w:p>
    <w:p w14:paraId="62E269F9" w14:textId="77777777" w:rsidR="003A5C97" w:rsidRDefault="003A5C97" w:rsidP="003A5C97">
      <w:r>
        <w:t xml:space="preserve">116. </w:t>
      </w:r>
      <w:r>
        <w:tab/>
        <w:t>El resto no requerirá extenderse porque no poseerán signos. Porque será el signo de la contraparte</w:t>
      </w:r>
      <w:r w:rsidRPr="00CE217D">
        <w:rPr>
          <w:vertAlign w:val="superscript"/>
        </w:rPr>
        <w:t>33</w:t>
      </w:r>
      <w:r>
        <w:t xml:space="preserve"> lo que será </w:t>
      </w:r>
      <w:proofErr w:type="spellStart"/>
      <w:r>
        <w:t>extendible</w:t>
      </w:r>
      <w:proofErr w:type="spellEnd"/>
      <w:r>
        <w:t xml:space="preserve">, y el objeto de la evocación de las cualidades del </w:t>
      </w:r>
      <w:r w:rsidRPr="00057BF4">
        <w:rPr>
          <w:i/>
        </w:rPr>
        <w:t>Buddha</w:t>
      </w:r>
      <w:r>
        <w:t>, etc., no será un signo contraparte. En consecuencia, no habrá necesidad de alguna extensión aquí.</w:t>
      </w:r>
    </w:p>
    <w:p w14:paraId="230854C5" w14:textId="77777777" w:rsidR="003A5C97" w:rsidRDefault="003A5C97" w:rsidP="003A5C97">
      <w:pPr>
        <w:pStyle w:val="NormalConSangria"/>
      </w:pPr>
      <w:r>
        <w:t xml:space="preserve">Esto es “en cuanto a la </w:t>
      </w:r>
      <w:r w:rsidRPr="00F93D55">
        <w:rPr>
          <w:i/>
          <w:iCs/>
        </w:rPr>
        <w:t>extensión</w:t>
      </w:r>
      <w:r>
        <w:t xml:space="preserve"> y </w:t>
      </w:r>
      <w:r w:rsidRPr="00F93D55">
        <w:rPr>
          <w:i/>
          <w:iCs/>
        </w:rPr>
        <w:t>no-extensión</w:t>
      </w:r>
      <w:r>
        <w:t>”.</w:t>
      </w:r>
    </w:p>
    <w:p w14:paraId="11A8BED8" w14:textId="5A8BFC68" w:rsidR="003A5C97" w:rsidRDefault="003A5C97" w:rsidP="003A5C97">
      <w:r>
        <w:t xml:space="preserve">117. </w:t>
      </w:r>
      <w:r>
        <w:tab/>
      </w:r>
      <w:r w:rsidRPr="00824788">
        <w:rPr>
          <w:i/>
          <w:iCs/>
        </w:rPr>
        <w:t>6.</w:t>
      </w:r>
      <w:r w:rsidRPr="00824788">
        <w:t xml:space="preserve"> En cuanto al </w:t>
      </w:r>
      <w:r w:rsidRPr="00824788">
        <w:rPr>
          <w:i/>
          <w:iCs/>
        </w:rPr>
        <w:t>objeto</w:t>
      </w:r>
      <w:r w:rsidRPr="00824788">
        <w:t xml:space="preserve">: de estos 40 objetos de meditación, 22 tienen signos equivalentes como </w:t>
      </w:r>
      <w:r w:rsidRPr="00824788">
        <w:rPr>
          <w:i/>
          <w:iCs/>
        </w:rPr>
        <w:t>objeto</w:t>
      </w:r>
      <w:r w:rsidRPr="00824788">
        <w:t xml:space="preserve">, es decir, los 10 </w:t>
      </w:r>
      <w:proofErr w:type="spellStart"/>
      <w:r w:rsidRPr="00824788">
        <w:rPr>
          <w:i/>
          <w:iCs/>
        </w:rPr>
        <w:t>kasiṇas</w:t>
      </w:r>
      <w:proofErr w:type="spellEnd"/>
      <w:r w:rsidRPr="00824788">
        <w:t xml:space="preserve">, las 10 clases de repugnancia, la atención plena de la respiración y la atención plena ocupada en el cuerpo; el resto no tiene signos de contrapartida como </w:t>
      </w:r>
      <w:r w:rsidRPr="00824788">
        <w:rPr>
          <w:i/>
          <w:iCs/>
        </w:rPr>
        <w:t>objeto</w:t>
      </w:r>
      <w:r w:rsidRPr="00824788">
        <w:t xml:space="preserve">. Luego 12 objetos de meditación poseen estados consistentes de esencias individuales como </w:t>
      </w:r>
      <w:r w:rsidRPr="00824788">
        <w:rPr>
          <w:i/>
          <w:iCs/>
        </w:rPr>
        <w:t>objeto</w:t>
      </w:r>
      <w:r w:rsidRPr="00824788">
        <w:t xml:space="preserve">, es decir, 8 proveniente de las 10 evocaciones — exceptuado la atención plena de la respiración y la atención plena ocupada en el cuerpo — la percepción de la repugnancia en el alimento, la definición de los elementos, la base consistente de la consciencia ilimitada, y la base consistente de la no-percepción-ni-no-percepción; y 22 tienen signos [contraparte] como </w:t>
      </w:r>
      <w:r w:rsidRPr="00824788">
        <w:rPr>
          <w:i/>
          <w:iCs/>
        </w:rPr>
        <w:t>objeto</w:t>
      </w:r>
      <w:r w:rsidRPr="00824788">
        <w:t xml:space="preserve">, es decir, los 10 </w:t>
      </w:r>
      <w:proofErr w:type="spellStart"/>
      <w:r w:rsidRPr="00824788">
        <w:rPr>
          <w:i/>
          <w:iCs/>
        </w:rPr>
        <w:t>kasiṇas</w:t>
      </w:r>
      <w:proofErr w:type="spellEnd"/>
      <w:r w:rsidRPr="00824788">
        <w:t>, las 10 clases de repugnancia, la atención plena de la respiración y la atención plena ocupada con el cuerpo; mientras que los 6 restantes poseen objetos “</w:t>
      </w:r>
      <w:r w:rsidR="002A5FF8" w:rsidRPr="001C5BFC">
        <w:t>no–tan–clasificable</w:t>
      </w:r>
      <w:r w:rsidRPr="00824788">
        <w:t>”</w:t>
      </w:r>
      <w:r w:rsidRPr="00824788">
        <w:rPr>
          <w:vertAlign w:val="superscript"/>
        </w:rPr>
        <w:t>34</w:t>
      </w:r>
      <w:r w:rsidRPr="00824788">
        <w:t xml:space="preserve">. Luego, 8 poseen </w:t>
      </w:r>
      <w:r w:rsidRPr="00824788">
        <w:rPr>
          <w:i/>
          <w:iCs/>
        </w:rPr>
        <w:t>objetos</w:t>
      </w:r>
      <w:r w:rsidRPr="00824788">
        <w:t xml:space="preserve"> móviles en la etapa inicial, aunque la contraparte sea estacionaria, es decir, lo supurante, lo sangrante, lo infestado de gusanos, la atención plena de la respiración, el </w:t>
      </w:r>
      <w:proofErr w:type="spellStart"/>
      <w:r w:rsidRPr="00824788">
        <w:rPr>
          <w:i/>
          <w:iCs/>
        </w:rPr>
        <w:t>kasiṇa</w:t>
      </w:r>
      <w:proofErr w:type="spellEnd"/>
      <w:r w:rsidRPr="00824788">
        <w:t xml:space="preserve"> agua, el </w:t>
      </w:r>
      <w:proofErr w:type="spellStart"/>
      <w:r w:rsidRPr="00824788">
        <w:rPr>
          <w:i/>
          <w:iCs/>
        </w:rPr>
        <w:t>kasiṇa</w:t>
      </w:r>
      <w:proofErr w:type="spellEnd"/>
      <w:r w:rsidRPr="00824788">
        <w:t xml:space="preserve"> fuego, el </w:t>
      </w:r>
      <w:proofErr w:type="spellStart"/>
      <w:r w:rsidRPr="00824788">
        <w:rPr>
          <w:i/>
          <w:iCs/>
        </w:rPr>
        <w:t>kasiṇa</w:t>
      </w:r>
      <w:proofErr w:type="spellEnd"/>
      <w:r w:rsidRPr="00824788">
        <w:t xml:space="preserve"> aire, y en el caso del </w:t>
      </w:r>
      <w:proofErr w:type="spellStart"/>
      <w:r w:rsidRPr="00824788">
        <w:rPr>
          <w:i/>
          <w:iCs/>
        </w:rPr>
        <w:t>kasiṇa</w:t>
      </w:r>
      <w:proofErr w:type="spellEnd"/>
      <w:r w:rsidRPr="00824788">
        <w:t xml:space="preserve"> luz, el </w:t>
      </w:r>
      <w:r w:rsidRPr="00824788">
        <w:rPr>
          <w:i/>
          <w:iCs/>
        </w:rPr>
        <w:t>objeto</w:t>
      </w:r>
      <w:r w:rsidRPr="00824788">
        <w:t xml:space="preserve"> consistente de un círculo de luz solar, etc.; el resto poseen </w:t>
      </w:r>
      <w:r w:rsidRPr="00824788">
        <w:rPr>
          <w:i/>
          <w:iCs/>
        </w:rPr>
        <w:t>objetos</w:t>
      </w:r>
      <w:r w:rsidRPr="00824788">
        <w:t xml:space="preserve"> inmóviles.</w:t>
      </w:r>
      <w:r w:rsidRPr="00824788">
        <w:rPr>
          <w:vertAlign w:val="superscript"/>
        </w:rPr>
        <w:t>35</w:t>
      </w:r>
      <w:r w:rsidRPr="00824788">
        <w:t xml:space="preserve"> Esto es “en cuanto al </w:t>
      </w:r>
      <w:r w:rsidRPr="00824788">
        <w:rPr>
          <w:i/>
          <w:iCs/>
        </w:rPr>
        <w:t>objeto</w:t>
      </w:r>
      <w:r w:rsidRPr="00824788">
        <w:t>”.</w:t>
      </w:r>
    </w:p>
    <w:p w14:paraId="11AE1D91" w14:textId="77777777" w:rsidR="003A5C97" w:rsidRDefault="003A5C97" w:rsidP="003A5C97">
      <w:r>
        <w:t xml:space="preserve">118. </w:t>
      </w:r>
      <w:r>
        <w:tab/>
      </w:r>
      <w:r w:rsidRPr="003814E0">
        <w:rPr>
          <w:i/>
          <w:iCs/>
        </w:rPr>
        <w:t>7</w:t>
      </w:r>
      <w:r>
        <w:t xml:space="preserve">. </w:t>
      </w:r>
      <w:r w:rsidRPr="003814E0">
        <w:rPr>
          <w:i/>
          <w:iCs/>
        </w:rPr>
        <w:t>En cuanto al plano</w:t>
      </w:r>
      <w:r>
        <w:t xml:space="preserve">: aquí los 12, es decir, los 10 tipos de repugnancia, la atención plena ocupada en el cuerpo y la percepción de la repugnancia en el alimento, no ocurrirán en el </w:t>
      </w:r>
      <w:r w:rsidRPr="00AF59EB">
        <w:rPr>
          <w:i/>
          <w:iCs/>
        </w:rPr>
        <w:t>plano</w:t>
      </w:r>
      <w:r>
        <w:t xml:space="preserve"> las deidades. Estos 12 y la atención plena en la respiración no ocurrirán en el </w:t>
      </w:r>
      <w:r w:rsidRPr="00AF59EB">
        <w:rPr>
          <w:i/>
          <w:iCs/>
        </w:rPr>
        <w:t>plano</w:t>
      </w:r>
      <w:r w:rsidRPr="00272861">
        <w:t xml:space="preserve"> </w:t>
      </w:r>
      <w:r w:rsidRPr="00057BF4">
        <w:rPr>
          <w:i/>
          <w:iCs/>
        </w:rPr>
        <w:t>Brahmā</w:t>
      </w:r>
      <w:r>
        <w:t xml:space="preserve">. </w:t>
      </w:r>
    </w:p>
    <w:p w14:paraId="5FB106E3" w14:textId="77777777" w:rsidR="003A5C97" w:rsidRPr="00CE217D" w:rsidRDefault="003A5C97" w:rsidP="003A5C97">
      <w:pPr>
        <w:pStyle w:val="PiedepginaLegal"/>
        <w:rPr>
          <w:u w:val="single"/>
        </w:rPr>
      </w:pPr>
      <w:r w:rsidRPr="00CE217D">
        <w:rPr>
          <w:u w:val="single"/>
        </w:rPr>
        <w:t xml:space="preserve">                                                                                                                                                        .</w:t>
      </w:r>
    </w:p>
    <w:p w14:paraId="256209AF" w14:textId="77777777" w:rsidR="003A5C97" w:rsidRDefault="003A5C97" w:rsidP="003A5C97">
      <w:pPr>
        <w:pStyle w:val="PiedepginaLegal"/>
      </w:pPr>
      <w:r>
        <w:t xml:space="preserve">32. </w:t>
      </w:r>
      <w:r>
        <w:tab/>
        <w:t>“Es porque solo un objeto abstracto (</w:t>
      </w:r>
      <w:proofErr w:type="spellStart"/>
      <w:r w:rsidRPr="00C17983">
        <w:rPr>
          <w:i/>
          <w:iCs/>
        </w:rPr>
        <w:t>parikappaja</w:t>
      </w:r>
      <w:proofErr w:type="spellEnd"/>
      <w:r>
        <w:t>) pueda extenderse, y no cualquier otro tipo, que él dijo, ‘no es posible extender un estado consistente de una esencia individual’” (</w:t>
      </w:r>
      <w:proofErr w:type="spellStart"/>
      <w:r>
        <w:t>Vism-mhṭ</w:t>
      </w:r>
      <w:proofErr w:type="spellEnd"/>
      <w:r>
        <w:t xml:space="preserve"> 110).</w:t>
      </w:r>
    </w:p>
    <w:p w14:paraId="3D1A4289" w14:textId="77777777" w:rsidR="003A5C97" w:rsidRDefault="003A5C97" w:rsidP="003A5C97">
      <w:pPr>
        <w:pStyle w:val="PiedepginaLegal"/>
      </w:pPr>
      <w:r>
        <w:t xml:space="preserve">33. </w:t>
      </w:r>
      <w:r>
        <w:tab/>
        <w:t>La palabra “</w:t>
      </w:r>
      <w:proofErr w:type="spellStart"/>
      <w:r w:rsidRPr="00C17983">
        <w:rPr>
          <w:i/>
          <w:iCs/>
        </w:rPr>
        <w:t>nimitta</w:t>
      </w:r>
      <w:proofErr w:type="spellEnd"/>
      <w:r>
        <w:t xml:space="preserve">” en su sentido técnico se traduce consistentemente aquí con la palabra “signo”, que corresponde casi, si no exactamente, a la mayoría de los usos de </w:t>
      </w:r>
      <w:proofErr w:type="gramStart"/>
      <w:r>
        <w:t>la misma</w:t>
      </w:r>
      <w:proofErr w:type="gramEnd"/>
      <w:r>
        <w:t xml:space="preserve">. A veces se traduce como "marca" (que enfatiza demasiado en lo concreto), y como "imagen" (que no siempre se pretende). Los tres tipos, es decir, el signo del trabajo preliminar, el signo del aprendizaje y el signo contraparte, no aparecen en los </w:t>
      </w:r>
      <w:proofErr w:type="spellStart"/>
      <w:r w:rsidRPr="00C17983">
        <w:rPr>
          <w:i/>
          <w:iCs/>
        </w:rPr>
        <w:t>Piṭakas</w:t>
      </w:r>
      <w:proofErr w:type="spellEnd"/>
      <w:r>
        <w:t>. Allí, el uso sugiere más bien una asociación de ideas, como por ejemplo, en M I 180, M I 119, A I 4, etc., que la “imagen” visualizada más definidamente en algunos casos del “signo equivalente” descrito en los siguientes capítulos.</w:t>
      </w:r>
    </w:p>
    <w:p w14:paraId="337751F2" w14:textId="77777777" w:rsidR="003A5C97" w:rsidRDefault="003A5C97" w:rsidP="003A5C97">
      <w:pPr>
        <w:pStyle w:val="PiedepginaLegal"/>
      </w:pPr>
      <w:r>
        <w:t xml:space="preserve">34. </w:t>
      </w:r>
      <w:r>
        <w:tab/>
      </w:r>
      <w:proofErr w:type="spellStart"/>
      <w:r w:rsidRPr="00C17983">
        <w:rPr>
          <w:i/>
          <w:iCs/>
        </w:rPr>
        <w:t>Na-vattabba</w:t>
      </w:r>
      <w:proofErr w:type="spellEnd"/>
      <w:r>
        <w:t xml:space="preserve">—“no tan clasificable” es un término abreviado del </w:t>
      </w:r>
      <w:proofErr w:type="spellStart"/>
      <w:r w:rsidRPr="00C17983">
        <w:rPr>
          <w:i/>
          <w:iCs/>
        </w:rPr>
        <w:t>Abhi</w:t>
      </w:r>
      <w:r w:rsidRPr="00057BF4">
        <w:rPr>
          <w:i/>
          <w:iCs/>
        </w:rPr>
        <w:t>dhamma</w:t>
      </w:r>
      <w:proofErr w:type="spellEnd"/>
      <w:r>
        <w:t xml:space="preserve"> para algo que, cuando se considere bajo una de las tríadas o díadas del </w:t>
      </w:r>
      <w:proofErr w:type="spellStart"/>
      <w:r w:rsidRPr="00C17983">
        <w:rPr>
          <w:i/>
          <w:iCs/>
        </w:rPr>
        <w:t>Abhi</w:t>
      </w:r>
      <w:r w:rsidRPr="00057BF4">
        <w:rPr>
          <w:i/>
          <w:iCs/>
        </w:rPr>
        <w:t>dhamma</w:t>
      </w:r>
      <w:proofErr w:type="spellEnd"/>
      <w:r>
        <w:t xml:space="preserve"> </w:t>
      </w:r>
      <w:proofErr w:type="spellStart"/>
      <w:r w:rsidRPr="002936EA">
        <w:rPr>
          <w:i/>
          <w:iCs/>
        </w:rPr>
        <w:t>Mātikā</w:t>
      </w:r>
      <w:proofErr w:type="spellEnd"/>
      <w:r>
        <w:t xml:space="preserve"> (</w:t>
      </w:r>
      <w:proofErr w:type="spellStart"/>
      <w:r>
        <w:t>Dhs</w:t>
      </w:r>
      <w:proofErr w:type="spellEnd"/>
      <w:r>
        <w:t xml:space="preserve"> 1f.), no pueda clasificarse bajo ninguno de los tres, o dos, términos.</w:t>
      </w:r>
    </w:p>
    <w:p w14:paraId="038F7208" w14:textId="77777777" w:rsidR="003A5C97" w:rsidRDefault="003A5C97" w:rsidP="003A5C97">
      <w:pPr>
        <w:pStyle w:val="PiedepginaLegal"/>
      </w:pPr>
      <w:r>
        <w:t xml:space="preserve">35. </w:t>
      </w:r>
      <w:r>
        <w:tab/>
        <w:t>“</w:t>
      </w:r>
      <w:r w:rsidRPr="00E24B18">
        <w:rPr>
          <w:i/>
          <w:iCs/>
        </w:rPr>
        <w:t>'Lo supurante'</w:t>
      </w:r>
      <w:r>
        <w:t xml:space="preserve"> es un objeto móvil por la exudación del pus, </w:t>
      </w:r>
      <w:r w:rsidRPr="00E24B18">
        <w:rPr>
          <w:i/>
          <w:iCs/>
        </w:rPr>
        <w:t>'lo sangrante'</w:t>
      </w:r>
      <w:r>
        <w:t xml:space="preserve"> por el goteo de la sangre, </w:t>
      </w:r>
      <w:r w:rsidRPr="00E24B18">
        <w:rPr>
          <w:i/>
          <w:iCs/>
        </w:rPr>
        <w:t>'lo infestado de gusanos</w:t>
      </w:r>
      <w:r>
        <w:t xml:space="preserve">' por el retorcimiento de los gusanos. El aspecto móvil de la luz del Sol que entra por la abertura de una ventana es evidente, lo que explica por qué un objeto que </w:t>
      </w:r>
      <w:proofErr w:type="gramStart"/>
      <w:r>
        <w:t>consista de</w:t>
      </w:r>
      <w:proofErr w:type="gramEnd"/>
      <w:r>
        <w:t xml:space="preserve"> un círculo de luz solar se llamará móvil” (</w:t>
      </w:r>
      <w:proofErr w:type="spellStart"/>
      <w:r>
        <w:t>Vism-mhṭ</w:t>
      </w:r>
      <w:proofErr w:type="spellEnd"/>
      <w:r>
        <w:t xml:space="preserve"> 110).</w:t>
      </w:r>
    </w:p>
    <w:p w14:paraId="31164A77" w14:textId="77777777" w:rsidR="003A5C97" w:rsidRDefault="003A5C97" w:rsidP="003A5C97">
      <w:pPr>
        <w:tabs>
          <w:tab w:val="clear" w:pos="425"/>
        </w:tabs>
        <w:spacing w:after="160"/>
      </w:pPr>
      <w:r>
        <w:br w:type="page"/>
      </w:r>
    </w:p>
    <w:p w14:paraId="3F337B7E" w14:textId="77777777" w:rsidR="003A5C97" w:rsidRDefault="003A5C97" w:rsidP="003A5C97"/>
    <w:p w14:paraId="35155675" w14:textId="77777777" w:rsidR="003A5C97" w:rsidRDefault="003A5C97" w:rsidP="003A5C97">
      <w:r>
        <w:t xml:space="preserve">Pero ningún objeto excepto los 4 estados inmateriales ocurrirán en el </w:t>
      </w:r>
      <w:r w:rsidRPr="00AF59EB">
        <w:rPr>
          <w:i/>
          <w:iCs/>
        </w:rPr>
        <w:t>plano</w:t>
      </w:r>
      <w:r w:rsidRPr="00272861">
        <w:t xml:space="preserve"> </w:t>
      </w:r>
      <w:r>
        <w:t xml:space="preserve">inmaterial. Todos ocurrirán en el </w:t>
      </w:r>
      <w:r w:rsidRPr="00AF59EB">
        <w:rPr>
          <w:i/>
          <w:iCs/>
        </w:rPr>
        <w:t>plano</w:t>
      </w:r>
      <w:r w:rsidRPr="00272861">
        <w:t xml:space="preserve"> </w:t>
      </w:r>
      <w:r>
        <w:t xml:space="preserve">de los humanos. Esto se da "en cuanto al </w:t>
      </w:r>
      <w:r w:rsidRPr="00FE7726">
        <w:rPr>
          <w:i/>
          <w:iCs/>
        </w:rPr>
        <w:t>plano</w:t>
      </w:r>
      <w:r>
        <w:t>". [114]</w:t>
      </w:r>
    </w:p>
    <w:p w14:paraId="0EA29D80" w14:textId="61364C90" w:rsidR="003A5C97" w:rsidRDefault="003A5C97" w:rsidP="003A5C97">
      <w:r>
        <w:t xml:space="preserve">119. </w:t>
      </w:r>
      <w:r>
        <w:tab/>
        <w:t xml:space="preserve">8. </w:t>
      </w:r>
      <w:r w:rsidRPr="00C17983">
        <w:rPr>
          <w:i/>
          <w:iCs/>
        </w:rPr>
        <w:t xml:space="preserve">En cuanto a </w:t>
      </w:r>
      <w:r>
        <w:rPr>
          <w:i/>
          <w:iCs/>
        </w:rPr>
        <w:t xml:space="preserve">la </w:t>
      </w:r>
      <w:proofErr w:type="spellStart"/>
      <w:r w:rsidRPr="00C17983">
        <w:rPr>
          <w:i/>
          <w:iCs/>
        </w:rPr>
        <w:t>aprehen</w:t>
      </w:r>
      <w:r>
        <w:rPr>
          <w:i/>
          <w:iCs/>
        </w:rPr>
        <w:t>ción</w:t>
      </w:r>
      <w:proofErr w:type="spellEnd"/>
      <w:r>
        <w:t xml:space="preserve">: aquí la exposición debe entenderse según lo visto, lo tocado y lo oído. Aquí, estos 19, es decir, los 9 </w:t>
      </w:r>
      <w:proofErr w:type="spellStart"/>
      <w:r w:rsidRPr="00057BF4">
        <w:rPr>
          <w:i/>
          <w:iCs/>
        </w:rPr>
        <w:t>kasiṇa</w:t>
      </w:r>
      <w:r w:rsidRPr="00C17983">
        <w:rPr>
          <w:i/>
          <w:iCs/>
        </w:rPr>
        <w:t>s</w:t>
      </w:r>
      <w:proofErr w:type="spellEnd"/>
      <w:r>
        <w:rPr>
          <w:i/>
          <w:iCs/>
        </w:rPr>
        <w:t>,</w:t>
      </w:r>
      <w:r>
        <w:t xml:space="preserve"> omitiendo el </w:t>
      </w:r>
      <w:proofErr w:type="spellStart"/>
      <w:r w:rsidRPr="00057BF4">
        <w:rPr>
          <w:i/>
          <w:iCs/>
        </w:rPr>
        <w:t>kasiṇa</w:t>
      </w:r>
      <w:proofErr w:type="spellEnd"/>
      <w:r w:rsidR="00DB2CCC" w:rsidRPr="00DB2CCC">
        <w:t xml:space="preserve"> </w:t>
      </w:r>
      <w:r w:rsidR="00DB2CCC">
        <w:t>aire</w:t>
      </w:r>
      <w:r>
        <w:rPr>
          <w:i/>
          <w:iCs/>
        </w:rPr>
        <w:t>,</w:t>
      </w:r>
      <w:r>
        <w:t xml:space="preserve"> y las diez clases de repugnancia, deben ser captadas por lo visto. El significado es que en la etapa inicial su signo debe ser aprehendido mirando constantemente a través de los ojos. En el caso de la atención plena ocupada en el cuerpo, las 5 partes que terminan en la piel deben ser aprehendidas por lo visto y el resto por lo oído, por lo que su objeto debe ser aprehendido por lo visto y lo oído. La atención plena de la respiración debe ser aprehendida por lo tocado; el aire </w:t>
      </w:r>
      <w:proofErr w:type="spellStart"/>
      <w:r w:rsidRPr="00057BF4">
        <w:rPr>
          <w:i/>
          <w:iCs/>
        </w:rPr>
        <w:t>kasiṇa</w:t>
      </w:r>
      <w:proofErr w:type="spellEnd"/>
      <w:r>
        <w:t xml:space="preserve"> por lo visto y lo tocado; los 18 restantes por el oído. El plano divino de la ecuanimidad y los 4 estados inmateriales no son comprensibles por un principiante; pero los 35 restantes sí lo son. Esto es “en cuanto </w:t>
      </w:r>
      <w:r w:rsidRPr="004E7D0D">
        <w:t xml:space="preserve">a la </w:t>
      </w:r>
      <w:proofErr w:type="spellStart"/>
      <w:r w:rsidRPr="004E7D0D">
        <w:t>aprehención</w:t>
      </w:r>
      <w:proofErr w:type="spellEnd"/>
      <w:r>
        <w:t>”.</w:t>
      </w:r>
    </w:p>
    <w:p w14:paraId="0F80E68F" w14:textId="77777777" w:rsidR="003A5C97" w:rsidRDefault="003A5C97" w:rsidP="003A5C97">
      <w:r>
        <w:t xml:space="preserve">120. </w:t>
      </w:r>
      <w:r>
        <w:tab/>
        <w:t xml:space="preserve">9. </w:t>
      </w:r>
      <w:r w:rsidRPr="00C17983">
        <w:rPr>
          <w:i/>
          <w:iCs/>
        </w:rPr>
        <w:t>En cuanto a la condición</w:t>
      </w:r>
      <w:r>
        <w:t xml:space="preserve">: de estos objetos de meditación, 9 </w:t>
      </w:r>
      <w:proofErr w:type="spellStart"/>
      <w:r w:rsidRPr="00057BF4">
        <w:rPr>
          <w:i/>
          <w:iCs/>
        </w:rPr>
        <w:t>kasiṇa</w:t>
      </w:r>
      <w:r w:rsidRPr="00C17983">
        <w:rPr>
          <w:i/>
          <w:iCs/>
        </w:rPr>
        <w:t>s</w:t>
      </w:r>
      <w:proofErr w:type="spellEnd"/>
      <w:r>
        <w:t xml:space="preserve"> omitiendo el espacio </w:t>
      </w:r>
      <w:proofErr w:type="spellStart"/>
      <w:r w:rsidRPr="00057BF4">
        <w:rPr>
          <w:i/>
          <w:iCs/>
        </w:rPr>
        <w:t>kasiṇa</w:t>
      </w:r>
      <w:proofErr w:type="spellEnd"/>
      <w:r>
        <w:t xml:space="preserve"> serán condiciones para los estados inmateriales. Los 10 </w:t>
      </w:r>
      <w:proofErr w:type="spellStart"/>
      <w:r w:rsidRPr="00057BF4">
        <w:rPr>
          <w:i/>
          <w:iCs/>
        </w:rPr>
        <w:t>kasiṇa</w:t>
      </w:r>
      <w:r w:rsidRPr="00C17983">
        <w:rPr>
          <w:i/>
          <w:iCs/>
        </w:rPr>
        <w:t>s</w:t>
      </w:r>
      <w:proofErr w:type="spellEnd"/>
      <w:r>
        <w:t xml:space="preserve"> serán condiciones para las clases de conocimiento directo. Los 3 planos divinos serán condiciones para el cuarto plano divino. Cada estado inmaterial inferior será una condición para cada estado superior. La base consistente de la n0-percepción-ni-no-percepción será una condición para la absorción de la cesación. Todas son condiciones para vivir en bienaventuranza, para la introspección y para los tipos afortunados de devenir. Esto es "en cuanto a la condición". </w:t>
      </w:r>
    </w:p>
    <w:p w14:paraId="5F19B21F" w14:textId="77777777" w:rsidR="003A5C97" w:rsidRDefault="003A5C97" w:rsidP="003A5C97">
      <w:r>
        <w:t xml:space="preserve">121. </w:t>
      </w:r>
      <w:r>
        <w:tab/>
        <w:t xml:space="preserve">10. </w:t>
      </w:r>
      <w:r w:rsidRPr="00C17983">
        <w:rPr>
          <w:i/>
          <w:iCs/>
        </w:rPr>
        <w:t>En cuanto a la adecuación al temperamento</w:t>
      </w:r>
      <w:r>
        <w:t xml:space="preserve">: aquí la exposición debe entenderse según lo que convenga a los temperamentos. Es decir: en primer lugar, las 10 clases de repugnancia y atención plena ocupadas en el cuerpo son 11 objetos de meditación adecuados para alguien de temperamento codicioso. Los 4 planos divinos y los </w:t>
      </w:r>
      <w:proofErr w:type="spellStart"/>
      <w:r w:rsidRPr="00057BF4">
        <w:rPr>
          <w:i/>
          <w:iCs/>
        </w:rPr>
        <w:t>kasiṇa</w:t>
      </w:r>
      <w:r w:rsidRPr="00B75EC8">
        <w:rPr>
          <w:i/>
          <w:iCs/>
        </w:rPr>
        <w:t>s</w:t>
      </w:r>
      <w:proofErr w:type="spellEnd"/>
      <w:r>
        <w:t xml:space="preserve"> de 4 colores serán 8 objetos adecuados para alguien de temperamento iracundo. La atención plena en la respiración será la única [evocación como] objeto de meditación adecuado para alguien de temperamento ilusivo y para alguien de temperamento especulativo. Las primeros 6 evocaciones son adecuadas para alguien de temperamento devoto. La atención plena en la muerte, la evocación de la paz, la definición de los 4 elementos y la percepción de la repulsión en el alimento son 5 objetos adecuados para alguien de temperamento inteligente. Los </w:t>
      </w:r>
      <w:proofErr w:type="spellStart"/>
      <w:r w:rsidRPr="00057BF4">
        <w:rPr>
          <w:i/>
          <w:iCs/>
        </w:rPr>
        <w:t>kasiṇa</w:t>
      </w:r>
      <w:r w:rsidRPr="00B75EC8">
        <w:rPr>
          <w:i/>
          <w:iCs/>
        </w:rPr>
        <w:t>s</w:t>
      </w:r>
      <w:proofErr w:type="spellEnd"/>
      <w:r>
        <w:t xml:space="preserve"> restantes y los estados inmateriales son adecuados para todo tipo de temperamento. Y cualquiera de los </w:t>
      </w:r>
      <w:proofErr w:type="spellStart"/>
      <w:r w:rsidRPr="00057BF4">
        <w:rPr>
          <w:i/>
          <w:iCs/>
        </w:rPr>
        <w:t>kasiṇa</w:t>
      </w:r>
      <w:r w:rsidRPr="00B75EC8">
        <w:rPr>
          <w:i/>
          <w:iCs/>
        </w:rPr>
        <w:t>s</w:t>
      </w:r>
      <w:proofErr w:type="spellEnd"/>
      <w:r>
        <w:t xml:space="preserve"> debe ser limitado para alguien de temperamento especulativo e inmensurable para alguien de temperamento ilusivo. Así debe entenderse aquí la exposición “en cuanto a la adecuación al temperamento”.</w:t>
      </w:r>
    </w:p>
    <w:p w14:paraId="77D3359C" w14:textId="77777777" w:rsidR="003A5C97" w:rsidRDefault="003A5C97" w:rsidP="003A5C97">
      <w:r>
        <w:t xml:space="preserve">122. </w:t>
      </w:r>
      <w:r>
        <w:tab/>
        <w:t xml:space="preserve">Todo esto se ha manifestado en forma de oposición directa y de total idoneidad. Pero en realidad no habrá desarrollo productivo que no suprima la codicia, etc., y se ayude de la fe, etc. Y esto se dice en el </w:t>
      </w:r>
      <w:proofErr w:type="spellStart"/>
      <w:r w:rsidRPr="00B75EC8">
        <w:rPr>
          <w:i/>
          <w:iCs/>
        </w:rPr>
        <w:t>Meghiya</w:t>
      </w:r>
      <w:proofErr w:type="spellEnd"/>
      <w:r w:rsidRPr="00B75EC8">
        <w:rPr>
          <w:i/>
          <w:iCs/>
        </w:rPr>
        <w:t xml:space="preserve"> Sutta</w:t>
      </w:r>
      <w:r>
        <w:t>: “[Uno] debe, además,</w:t>
      </w:r>
      <w:r w:rsidRPr="00032FF2">
        <w:rPr>
          <w:vertAlign w:val="superscript"/>
        </w:rPr>
        <w:t>36</w:t>
      </w:r>
      <w:r>
        <w:t xml:space="preserve"> desarrollar estas cuatro cosas: la repugnancia debe desarrollarse con el propósito de abandonar la codicia (lujuria).</w:t>
      </w:r>
    </w:p>
    <w:p w14:paraId="7CBCA684" w14:textId="77777777" w:rsidR="003A5C97" w:rsidRPr="00B502DE" w:rsidRDefault="003A5C97" w:rsidP="003A5C97">
      <w:pPr>
        <w:pStyle w:val="PiedepginaLegal"/>
        <w:rPr>
          <w:u w:val="single"/>
        </w:rPr>
      </w:pPr>
      <w:r w:rsidRPr="00B502DE">
        <w:rPr>
          <w:u w:val="single"/>
        </w:rPr>
        <w:t xml:space="preserve">                                                                                                                                                  .</w:t>
      </w:r>
    </w:p>
    <w:p w14:paraId="6C4D181A" w14:textId="77777777" w:rsidR="003A5C97" w:rsidRDefault="003A5C97" w:rsidP="003A5C97">
      <w:pPr>
        <w:pStyle w:val="PiedepginaLegal"/>
      </w:pPr>
      <w:r>
        <w:t xml:space="preserve">36. </w:t>
      </w:r>
      <w:r>
        <w:tab/>
        <w:t xml:space="preserve">“Además de las cinco cosas” (no citadas) tratadas anteriormente en el </w:t>
      </w:r>
      <w:proofErr w:type="spellStart"/>
      <w:r w:rsidRPr="00B75EC8">
        <w:rPr>
          <w:i/>
          <w:iCs/>
        </w:rPr>
        <w:t>sutta</w:t>
      </w:r>
      <w:proofErr w:type="spellEnd"/>
      <w:r>
        <w:t>, es decir, la perfección de la virtud, buena amistad, escuchar cosas adecuadas, energía y comprensión.</w:t>
      </w:r>
    </w:p>
    <w:p w14:paraId="64A28AEA" w14:textId="77777777" w:rsidR="003A5C97" w:rsidRDefault="003A5C97" w:rsidP="003A5C97">
      <w:pPr>
        <w:tabs>
          <w:tab w:val="clear" w:pos="425"/>
        </w:tabs>
        <w:spacing w:after="160"/>
      </w:pPr>
      <w:r>
        <w:br w:type="page"/>
      </w:r>
    </w:p>
    <w:p w14:paraId="4AB81B62" w14:textId="623D35C5" w:rsidR="003A5C97" w:rsidRDefault="00BC689E" w:rsidP="003A5C97">
      <w:r>
        <w:lastRenderedPageBreak/>
        <w:t xml:space="preserve">El amor–benevolente </w:t>
      </w:r>
      <w:r w:rsidR="003A5C97">
        <w:t xml:space="preserve">debe desarrollarse con el propósito de abandonar la mala voluntad. [115] La atención plena de la respiración debe desarrollarse con el fin de cortar </w:t>
      </w:r>
      <w:r w:rsidR="00C71F10">
        <w:t>la aplicación mental</w:t>
      </w:r>
      <w:r w:rsidR="003A5C97">
        <w:t xml:space="preserve">. La percepción de la impermanencia debe ser cultivada con el propósito de eliminar la presunción de 'Yo soy'” (A IV 358). También en el </w:t>
      </w:r>
      <w:proofErr w:type="spellStart"/>
      <w:r w:rsidR="003A5C97" w:rsidRPr="00712952">
        <w:rPr>
          <w:i/>
          <w:iCs/>
        </w:rPr>
        <w:t>Rāhula</w:t>
      </w:r>
      <w:proofErr w:type="spellEnd"/>
      <w:r w:rsidR="003A5C97" w:rsidRPr="00712952">
        <w:rPr>
          <w:i/>
          <w:iCs/>
        </w:rPr>
        <w:t xml:space="preserve"> Sutta</w:t>
      </w:r>
      <w:r w:rsidR="003A5C97">
        <w:t xml:space="preserve">, en el pasaje que comienza, “Desarrolla </w:t>
      </w:r>
      <w:r w:rsidR="00FC0679">
        <w:t>el amor–benevolente</w:t>
      </w:r>
      <w:r w:rsidR="003A5C97">
        <w:t xml:space="preserve">, </w:t>
      </w:r>
      <w:proofErr w:type="spellStart"/>
      <w:r w:rsidR="003A5C97">
        <w:t>Rāhula</w:t>
      </w:r>
      <w:proofErr w:type="spellEnd"/>
      <w:r w:rsidR="003A5C97">
        <w:t>” (M I 424), se dan siete objetos de meditación para un solo temperamento. Así que, en vez de insistir en la mera letra, se debe buscar la intención en cada instancia.</w:t>
      </w:r>
    </w:p>
    <w:p w14:paraId="13FF596B" w14:textId="77777777" w:rsidR="003A5C97" w:rsidRDefault="003A5C97" w:rsidP="003A5C97">
      <w:pPr>
        <w:pStyle w:val="NormalConSangria"/>
      </w:pPr>
      <w:r>
        <w:t xml:space="preserve">Ésta ha sido la exposición explicativa del objeto de meditación al que se refieren las palabras </w:t>
      </w:r>
      <w:proofErr w:type="spellStart"/>
      <w:r w:rsidRPr="00C16CE7">
        <w:rPr>
          <w:i/>
          <w:iCs/>
        </w:rPr>
        <w:t>el</w:t>
      </w:r>
      <w:proofErr w:type="spellEnd"/>
      <w:r w:rsidRPr="00C16CE7">
        <w:rPr>
          <w:i/>
          <w:iCs/>
        </w:rPr>
        <w:t xml:space="preserve"> debe aprehender... un</w:t>
      </w:r>
      <w:r>
        <w:t xml:space="preserve"> [objeto de meditación] (§28).</w:t>
      </w:r>
    </w:p>
    <w:p w14:paraId="4616170B" w14:textId="77777777" w:rsidR="003A5C97" w:rsidRDefault="003A5C97" w:rsidP="003A5C97">
      <w:r>
        <w:t xml:space="preserve">123. </w:t>
      </w:r>
      <w:r>
        <w:tab/>
        <w:t xml:space="preserve">Ahora las palabras y </w:t>
      </w:r>
      <w:r w:rsidRPr="00C16CE7">
        <w:rPr>
          <w:i/>
          <w:iCs/>
        </w:rPr>
        <w:t>él</w:t>
      </w:r>
      <w:r>
        <w:t xml:space="preserve"> </w:t>
      </w:r>
      <w:r w:rsidRPr="00C16CE7">
        <w:rPr>
          <w:i/>
          <w:iCs/>
        </w:rPr>
        <w:t>debería aprehender</w:t>
      </w:r>
      <w:r>
        <w:t xml:space="preserve"> se ilustran como sigue. Después de acercarse al buen amigo del tipo descrito en la explicación de las palabras, luego acérquese al buen amigo, al instructor del objeto de meditación (§28 y §57–73), el meditador debe sumirse al </w:t>
      </w:r>
      <w:r>
        <w:rPr>
          <w:i/>
          <w:iCs/>
        </w:rPr>
        <w:t>Bhagavā</w:t>
      </w:r>
      <w:r>
        <w:t>, al Iluminado, o a un maestro, y debe solicitar el objeto de meditación con una inclinación sincera [desde el corazón] y también con una resolución sincera.</w:t>
      </w:r>
    </w:p>
    <w:p w14:paraId="587ECB2D" w14:textId="77777777" w:rsidR="003A5C97" w:rsidRDefault="003A5C97" w:rsidP="003A5C97">
      <w:r>
        <w:t xml:space="preserve">124. </w:t>
      </w:r>
      <w:r>
        <w:tab/>
        <w:t xml:space="preserve">Al respecto, debe dedicarse al </w:t>
      </w:r>
      <w:r>
        <w:rPr>
          <w:i/>
          <w:iCs/>
        </w:rPr>
        <w:t>Bhagavā</w:t>
      </w:r>
      <w:r>
        <w:t>, al Iluminado, de esta manera: “</w:t>
      </w:r>
      <w:r>
        <w:rPr>
          <w:i/>
          <w:iCs/>
        </w:rPr>
        <w:t>Bhagavā</w:t>
      </w:r>
      <w:r>
        <w:t>, le entrego esta mi persona”. Porque sin haberse entregarse de esa manera, cuando viva en una morada remota, será incapaz de mantenerse firme si un objeto aterrador apareciera, y podría regresar a la vivienda de una aldea, asociarse con laicos, emprender una búsqueda indebida y arruinarse. Pero cuando se haya dedicado de esta manera, no surgirá ningún temor en él si apareciera un objeto aterrador; de hecho, sólo surgirá en él alegría cuando reflexione: “¿No te has entregado ya sabiamente al Iluminado?”</w:t>
      </w:r>
    </w:p>
    <w:p w14:paraId="13455072" w14:textId="77777777" w:rsidR="003A5C97" w:rsidRDefault="003A5C97" w:rsidP="003A5C97">
      <w:r>
        <w:t xml:space="preserve">125. </w:t>
      </w:r>
      <w:r>
        <w:tab/>
        <w:t xml:space="preserve">Supongamos que un hombre tuviera una fina pieza de tela </w:t>
      </w:r>
      <w:proofErr w:type="spellStart"/>
      <w:r>
        <w:t>Kāsi</w:t>
      </w:r>
      <w:proofErr w:type="spellEnd"/>
      <w:r>
        <w:t xml:space="preserve">. Sentiría pena si se lo comieran las ratas o las polillas; pero si se lo diera a un </w:t>
      </w:r>
      <w:proofErr w:type="spellStart"/>
      <w:r w:rsidRPr="00057BF4">
        <w:rPr>
          <w:i/>
          <w:iCs/>
        </w:rPr>
        <w:t>bhikkhu</w:t>
      </w:r>
      <w:proofErr w:type="spellEnd"/>
      <w:r>
        <w:t xml:space="preserve"> que necesite ropajes, solo sentirá alegría si ve que el </w:t>
      </w:r>
      <w:proofErr w:type="spellStart"/>
      <w:r w:rsidRPr="00057BF4">
        <w:rPr>
          <w:i/>
          <w:iCs/>
        </w:rPr>
        <w:t>bhikkhu</w:t>
      </w:r>
      <w:proofErr w:type="spellEnd"/>
      <w:r>
        <w:t xml:space="preserve"> lo cortara [para hacer su capa remendada]. Y así también es con esto.</w:t>
      </w:r>
    </w:p>
    <w:p w14:paraId="652BE9BF" w14:textId="77777777" w:rsidR="003A5C97" w:rsidRDefault="003A5C97" w:rsidP="003A5C97">
      <w:r>
        <w:t xml:space="preserve">126. </w:t>
      </w:r>
      <w:r>
        <w:tab/>
        <w:t xml:space="preserve">Cuando se entregue a un maestro, debe decir: “A usted, venerable señor, le entrego esta mi persona”. Porque el que no haya entregado su persona se volverá insensible a la corrección, difícil de hablar e </w:t>
      </w:r>
      <w:proofErr w:type="spellStart"/>
      <w:r>
        <w:t>inaceptante</w:t>
      </w:r>
      <w:proofErr w:type="spellEnd"/>
      <w:r>
        <w:t xml:space="preserve"> a los consejos, o se dirigirá hacia donde quiera sin preguntarle nada al maestro. En consecuencia, el maestro no lo ayudará ni con las cosas materiales ni con el </w:t>
      </w:r>
      <w:r w:rsidRPr="00057BF4">
        <w:rPr>
          <w:i/>
        </w:rPr>
        <w:t>Dhamma</w:t>
      </w:r>
      <w:r>
        <w:t>, y ​​no lo entrenará en los libros crípticos.</w:t>
      </w:r>
      <w:r w:rsidRPr="00032FF2">
        <w:rPr>
          <w:vertAlign w:val="superscript"/>
        </w:rPr>
        <w:t>37</w:t>
      </w:r>
      <w:r>
        <w:t xml:space="preserve"> Al no obtener estos dos tipos de ayuda, [116] no encontrará soporte en la Dispensación, y pronto se reducirá a la mala conducta o hacia un estado laico. Pero si ha entregado su persona, no dejará de responder a la corrección, no hará lo que le guste, será fácil de hablarle y vivirá solo en dependencia del maestro. Obtendrá la doble ayuda del maestro y logrará crecer, aumentar y consumarse en la Dispensación. Como los discípulos del Venerable </w:t>
      </w:r>
      <w:proofErr w:type="spellStart"/>
      <w:r>
        <w:t>Cūḷa-Piṇḍapātika-Tissa</w:t>
      </w:r>
      <w:proofErr w:type="spellEnd"/>
      <w:r>
        <w:t>.</w:t>
      </w:r>
    </w:p>
    <w:p w14:paraId="60B33766" w14:textId="77777777" w:rsidR="003A5C97" w:rsidRDefault="003A5C97" w:rsidP="003A5C97">
      <w:r>
        <w:t xml:space="preserve">127. </w:t>
      </w:r>
      <w:r>
        <w:tab/>
        <w:t xml:space="preserve">Tres </w:t>
      </w:r>
      <w:proofErr w:type="spellStart"/>
      <w:r w:rsidRPr="00057BF4">
        <w:rPr>
          <w:i/>
          <w:iCs/>
        </w:rPr>
        <w:t>bhikkhu</w:t>
      </w:r>
      <w:r w:rsidRPr="002732FA">
        <w:rPr>
          <w:i/>
          <w:iCs/>
        </w:rPr>
        <w:t>s</w:t>
      </w:r>
      <w:proofErr w:type="spellEnd"/>
      <w:r>
        <w:t xml:space="preserve"> llegaron ante el Venerable, al parecer. Uno de ellos dijo: "Venerable señor, estoy listo para caer desde un acantilado desde una altura de cien hombres, si se dijera que servirá como beneficio". El segundo dijo: "Venerable señor, estoy listo para triturar este cuerpo desde los talones hasta la coronilla sobre una piedra plana y sin dejar restos, si se dice que servirá como beneficio". El tercero dijo: “Venerable señor,</w:t>
      </w:r>
    </w:p>
    <w:p w14:paraId="56613D4A" w14:textId="77777777" w:rsidR="003A5C97" w:rsidRPr="00F96CF5" w:rsidRDefault="003A5C97" w:rsidP="003A5C97">
      <w:pPr>
        <w:pStyle w:val="PiedepginaLegal"/>
        <w:rPr>
          <w:u w:val="single"/>
        </w:rPr>
      </w:pPr>
      <w:r w:rsidRPr="00F96CF5">
        <w:rPr>
          <w:u w:val="single"/>
        </w:rPr>
        <w:t xml:space="preserve">                                                                                                                                                        .</w:t>
      </w:r>
    </w:p>
    <w:p w14:paraId="6B7915AC" w14:textId="77777777" w:rsidR="003A5C97" w:rsidRDefault="003A5C97" w:rsidP="003A5C97">
      <w:pPr>
        <w:pStyle w:val="PiedepginaLegal"/>
      </w:pPr>
      <w:r>
        <w:t xml:space="preserve">37. </w:t>
      </w:r>
      <w:r>
        <w:tab/>
        <w:t>“‘Libros crípticos’: los libros de los objetos de meditación que tratan sobre las verdades, la originación dependiente, etc., que son profundos y están asociados con la vacuidad” (</w:t>
      </w:r>
      <w:proofErr w:type="spellStart"/>
      <w:r>
        <w:t>Vismmhṭ</w:t>
      </w:r>
      <w:proofErr w:type="spellEnd"/>
      <w:r>
        <w:t xml:space="preserve"> III). Cf. M-a II 264, Comentario A-a a AN 4:180.</w:t>
      </w:r>
    </w:p>
    <w:p w14:paraId="1F4166DD" w14:textId="77777777" w:rsidR="003A5C97" w:rsidRDefault="003A5C97" w:rsidP="003A5C97">
      <w:pPr>
        <w:tabs>
          <w:tab w:val="clear" w:pos="425"/>
        </w:tabs>
        <w:spacing w:after="160"/>
      </w:pPr>
      <w:r>
        <w:br w:type="page"/>
      </w:r>
    </w:p>
    <w:p w14:paraId="2B13FE09" w14:textId="77777777" w:rsidR="003A5C97" w:rsidRDefault="003A5C97" w:rsidP="003A5C97">
      <w:pPr>
        <w:pStyle w:val="NormalConSangria"/>
      </w:pPr>
    </w:p>
    <w:p w14:paraId="39055944" w14:textId="77777777" w:rsidR="003A5C97" w:rsidRDefault="003A5C97" w:rsidP="003A5C97">
      <w:r>
        <w:t xml:space="preserve">estoy dispuesto a morir dejando de respirar, si se dijera que sería ventajoso. Al observar: “Estos </w:t>
      </w:r>
      <w:proofErr w:type="spellStart"/>
      <w:r w:rsidRPr="00057BF4">
        <w:rPr>
          <w:i/>
          <w:iCs/>
        </w:rPr>
        <w:t>bhikkhu</w:t>
      </w:r>
      <w:r w:rsidRPr="008223C1">
        <w:rPr>
          <w:i/>
          <w:iCs/>
        </w:rPr>
        <w:t>s</w:t>
      </w:r>
      <w:proofErr w:type="spellEnd"/>
      <w:r>
        <w:t xml:space="preserve"> ciertamente son capaces de progresar”, el Venerable les expuso un objeto de meditación. Siguiendo su consejo, los tres consumaron el estado de </w:t>
      </w:r>
      <w:r w:rsidRPr="00057BF4">
        <w:rPr>
          <w:i/>
          <w:iCs/>
        </w:rPr>
        <w:t>Arahant</w:t>
      </w:r>
      <w:r>
        <w:t>.</w:t>
      </w:r>
    </w:p>
    <w:p w14:paraId="1D3E4FCF" w14:textId="77777777" w:rsidR="003A5C97" w:rsidRDefault="003A5C97" w:rsidP="003A5C97">
      <w:pPr>
        <w:pStyle w:val="NormalConSangria"/>
      </w:pPr>
      <w:r>
        <w:t xml:space="preserve">Éste es el beneficio de la </w:t>
      </w:r>
      <w:proofErr w:type="spellStart"/>
      <w:r>
        <w:t>autodedicación</w:t>
      </w:r>
      <w:proofErr w:type="spellEnd"/>
      <w:r>
        <w:t xml:space="preserve">. Por eso se dijo anteriormente “entregándose al </w:t>
      </w:r>
      <w:r>
        <w:rPr>
          <w:i/>
          <w:iCs/>
        </w:rPr>
        <w:t>Bhagavā</w:t>
      </w:r>
      <w:r>
        <w:t>, al Iluminado o a un maestro”.</w:t>
      </w:r>
    </w:p>
    <w:p w14:paraId="7A888453" w14:textId="7C36AB9E" w:rsidR="003A5C97" w:rsidRDefault="003A5C97" w:rsidP="003A5C97">
      <w:r>
        <w:t xml:space="preserve">128. </w:t>
      </w:r>
      <w:r>
        <w:tab/>
      </w:r>
      <w:r w:rsidRPr="008223C1">
        <w:rPr>
          <w:i/>
          <w:iCs/>
        </w:rPr>
        <w:t>Con una inclinación sincera [de corazón] y una resolución sincera</w:t>
      </w:r>
      <w:r>
        <w:t xml:space="preserve"> (§ 123): la inclinación del meditador debe ser sincera en seis modos comenzando con la no</w:t>
      </w:r>
      <w:r w:rsidR="00C11077">
        <w:t>–</w:t>
      </w:r>
      <w:r>
        <w:t xml:space="preserve">codicia. Porque será alguien de tal inclinación sincera el que llegará a uno de los tres tipos de iluminación, según se dice: “Seis tipos de inclinación conducen a la maduración de la iluminación de los </w:t>
      </w:r>
      <w:r w:rsidRPr="00057BF4">
        <w:rPr>
          <w:i/>
          <w:iCs/>
        </w:rPr>
        <w:t>Bodhisatta</w:t>
      </w:r>
      <w:r w:rsidRPr="0072233C">
        <w:rPr>
          <w:i/>
          <w:iCs/>
        </w:rPr>
        <w:t>s</w:t>
      </w:r>
      <w:r>
        <w:t xml:space="preserve">. Con la inclinación hacia la no-codicia, los </w:t>
      </w:r>
      <w:r w:rsidRPr="00057BF4">
        <w:rPr>
          <w:i/>
          <w:iCs/>
        </w:rPr>
        <w:t>Bodhisatta</w:t>
      </w:r>
      <w:r w:rsidRPr="0072233C">
        <w:rPr>
          <w:i/>
          <w:iCs/>
        </w:rPr>
        <w:t>s</w:t>
      </w:r>
      <w:r>
        <w:t xml:space="preserve"> aprecian los defectos de la codicia. Con la inclinación a no-odio, los </w:t>
      </w:r>
      <w:r w:rsidRPr="00057BF4">
        <w:rPr>
          <w:i/>
          <w:iCs/>
        </w:rPr>
        <w:t>Bodhisatta</w:t>
      </w:r>
      <w:r w:rsidRPr="0072233C">
        <w:rPr>
          <w:i/>
          <w:iCs/>
        </w:rPr>
        <w:t>s</w:t>
      </w:r>
      <w:r>
        <w:t xml:space="preserve"> aprecian los defectos del odio. Con la inclinación hacia la no-ilusión, los </w:t>
      </w:r>
      <w:r w:rsidRPr="00057BF4">
        <w:rPr>
          <w:i/>
        </w:rPr>
        <w:t>Bodhisatta</w:t>
      </w:r>
      <w:r>
        <w:t xml:space="preserve">s aprecian los defectos de la ilusión. Con la inclinación hacia la renuncia, los </w:t>
      </w:r>
      <w:r w:rsidRPr="00057BF4">
        <w:rPr>
          <w:i/>
          <w:iCs/>
        </w:rPr>
        <w:t>Bodhisatta</w:t>
      </w:r>
      <w:r w:rsidRPr="0072233C">
        <w:rPr>
          <w:i/>
          <w:iCs/>
        </w:rPr>
        <w:t>s</w:t>
      </w:r>
      <w:r>
        <w:t xml:space="preserve"> aprecian los defectos en una vida doméstica. Con la inclinación hacia la reclusión, los </w:t>
      </w:r>
      <w:r w:rsidRPr="00057BF4">
        <w:rPr>
          <w:i/>
          <w:iCs/>
        </w:rPr>
        <w:t>Bodhisatta</w:t>
      </w:r>
      <w:r w:rsidRPr="0072233C">
        <w:rPr>
          <w:i/>
          <w:iCs/>
        </w:rPr>
        <w:t>s</w:t>
      </w:r>
      <w:r>
        <w:t xml:space="preserve"> aprecian los defectos de la sociedad. Con la inclinación hacia la renunciación, los </w:t>
      </w:r>
      <w:r w:rsidRPr="00057BF4">
        <w:rPr>
          <w:i/>
          <w:iCs/>
        </w:rPr>
        <w:t>Bodhisatta</w:t>
      </w:r>
      <w:r w:rsidRPr="0072233C">
        <w:rPr>
          <w:i/>
          <w:iCs/>
        </w:rPr>
        <w:t>s</w:t>
      </w:r>
      <w:r>
        <w:t xml:space="preserve"> aprecian los defectos en todos los tipos de devenir y destino (Fuente no rastreada)”. </w:t>
      </w:r>
      <w:r w:rsidRPr="00906FA4">
        <w:t xml:space="preserve">Para los </w:t>
      </w:r>
      <w:r w:rsidR="000F4F1B">
        <w:t>entrantes</w:t>
      </w:r>
      <w:r w:rsidRPr="00906FA4">
        <w:t xml:space="preserve"> </w:t>
      </w:r>
      <w:r w:rsidR="000F4F1B">
        <w:t xml:space="preserve">a </w:t>
      </w:r>
      <w:r w:rsidRPr="00906FA4">
        <w:t xml:space="preserve">la corriente, los </w:t>
      </w:r>
      <w:r w:rsidR="00185D87" w:rsidRPr="004C5265">
        <w:t>re</w:t>
      </w:r>
      <w:r w:rsidR="00185D87">
        <w:t>tornantes–por–única–vez</w:t>
      </w:r>
      <w:r w:rsidRPr="00906FA4">
        <w:t xml:space="preserve">, los no </w:t>
      </w:r>
      <w:r>
        <w:t>retorn</w:t>
      </w:r>
      <w:r w:rsidR="00A559A7">
        <w:t>a</w:t>
      </w:r>
      <w:r>
        <w:t>n</w:t>
      </w:r>
      <w:r w:rsidR="00A559A7">
        <w:t>tes</w:t>
      </w:r>
      <w:r w:rsidRPr="00906FA4">
        <w:t xml:space="preserve">, aquellos con </w:t>
      </w:r>
      <w:r>
        <w:t xml:space="preserve">corrupciones </w:t>
      </w:r>
      <w:r w:rsidRPr="00906FA4">
        <w:t>destruid</w:t>
      </w:r>
      <w:r>
        <w:t>a</w:t>
      </w:r>
      <w:r w:rsidRPr="00906FA4">
        <w:t xml:space="preserve">s (es decir, </w:t>
      </w:r>
      <w:r w:rsidRPr="00057BF4">
        <w:rPr>
          <w:i/>
          <w:iCs/>
        </w:rPr>
        <w:t>Arahant</w:t>
      </w:r>
      <w:r w:rsidRPr="00906FA4">
        <w:rPr>
          <w:i/>
          <w:iCs/>
        </w:rPr>
        <w:t>s</w:t>
      </w:r>
      <w:r w:rsidRPr="00906FA4">
        <w:t xml:space="preserve">), </w:t>
      </w:r>
      <w:proofErr w:type="spellStart"/>
      <w:r w:rsidRPr="00906FA4">
        <w:rPr>
          <w:i/>
          <w:iCs/>
        </w:rPr>
        <w:t>Pacceka</w:t>
      </w:r>
      <w:r w:rsidRPr="00057BF4">
        <w:rPr>
          <w:i/>
          <w:iCs/>
        </w:rPr>
        <w:t>Buddha</w:t>
      </w:r>
      <w:r w:rsidRPr="00906FA4">
        <w:rPr>
          <w:i/>
          <w:iCs/>
        </w:rPr>
        <w:t>s</w:t>
      </w:r>
      <w:proofErr w:type="spellEnd"/>
      <w:r w:rsidRPr="00906FA4">
        <w:t xml:space="preserve"> y Totalmente Iluminados, ya sea pasado, futuro o presente, todos llegan a la distinción peculiar de cada </w:t>
      </w:r>
      <w:r>
        <w:t>tipo de iluminación</w:t>
      </w:r>
      <w:r w:rsidRPr="00906FA4">
        <w:t xml:space="preserve"> por medio de estos mismos seis modos. Por eso debe </w:t>
      </w:r>
      <w:r>
        <w:t xml:space="preserve">darse la </w:t>
      </w:r>
      <w:r w:rsidRPr="00906FA4">
        <w:t xml:space="preserve">sinceridad de </w:t>
      </w:r>
      <w:r>
        <w:t xml:space="preserve">la </w:t>
      </w:r>
      <w:r w:rsidRPr="00906FA4">
        <w:t>inclinación en estos seis modos.</w:t>
      </w:r>
    </w:p>
    <w:p w14:paraId="624952F8" w14:textId="77777777" w:rsidR="003A5C97" w:rsidRDefault="003A5C97" w:rsidP="003A5C97">
      <w:r>
        <w:t xml:space="preserve">129. </w:t>
      </w:r>
      <w:r>
        <w:tab/>
        <w:t xml:space="preserve">Deberá estar decidido de todo corazón al respecto. El significado es [117] que debe resolver sobre la concentración, respetar la concentración, inclinarse hacia la concentración, resolver sobre el </w:t>
      </w:r>
      <w:r w:rsidRPr="00906FA4">
        <w:rPr>
          <w:i/>
          <w:iCs/>
        </w:rPr>
        <w:t>Nibbāna</w:t>
      </w:r>
      <w:r>
        <w:t xml:space="preserve">, respetar el </w:t>
      </w:r>
      <w:r w:rsidRPr="00906FA4">
        <w:rPr>
          <w:i/>
          <w:iCs/>
        </w:rPr>
        <w:t>Nibbāna</w:t>
      </w:r>
      <w:r>
        <w:t xml:space="preserve">, inclinarse hacia el </w:t>
      </w:r>
      <w:r w:rsidRPr="00906FA4">
        <w:rPr>
          <w:i/>
          <w:iCs/>
        </w:rPr>
        <w:t>Nibbāna</w:t>
      </w:r>
      <w:r>
        <w:t>.</w:t>
      </w:r>
    </w:p>
    <w:p w14:paraId="3200E6CF" w14:textId="77777777" w:rsidR="003A5C97" w:rsidRDefault="003A5C97" w:rsidP="003A5C97">
      <w:r>
        <w:t xml:space="preserve">130. </w:t>
      </w:r>
      <w:r>
        <w:tab/>
        <w:t>Cuando, con sinceridad de inclinación y resolución de todo corazón y de esta manera, solicite un objeto de meditación, entonces un maestro que haya adquirido la penetración de las mentes podrá conocer su temperamento examinando su conducta mental; y un maestro que no lo posea podrá saberlo haciéndole preguntas como: "¿Cuál es su temperamento?" o “¿Qué estados suelen estar presentes en usted?”. o “¿Qué le gusta traer a la mente?” o "¿Qué objeto de meditación favorece su mente?" Cuando lo sepa, lo podrá instruir en un objeto de meditación adecuado a su temperamento. Y al hacerlo, podrá exponerlo de tres maneras: podrá explicárselo a alguien que ya haya aprendido el objeto de la meditación haciéndolo recitarlo en una o dos sesiones; se le podrá explicar a quien viva en el mismo lugar cada vez que llegue; y al que quiera aprenderlo y luego ir a otra parte, podrá explicárselo de tal manera que no sea ni demasiado breve ni demasiado largo.</w:t>
      </w:r>
    </w:p>
    <w:p w14:paraId="67A3708F" w14:textId="77777777" w:rsidR="003A5C97" w:rsidRDefault="003A5C97" w:rsidP="003A5C97">
      <w:r>
        <w:t xml:space="preserve">131. </w:t>
      </w:r>
      <w:r>
        <w:tab/>
        <w:t xml:space="preserve">Al respecto, cuando primero se esté explicando el </w:t>
      </w:r>
      <w:proofErr w:type="spellStart"/>
      <w:r w:rsidRPr="00057BF4">
        <w:rPr>
          <w:i/>
          <w:iCs/>
        </w:rPr>
        <w:t>kasiṇa</w:t>
      </w:r>
      <w:proofErr w:type="spellEnd"/>
      <w:r>
        <w:rPr>
          <w:i/>
          <w:iCs/>
        </w:rPr>
        <w:t xml:space="preserve"> </w:t>
      </w:r>
      <w:r>
        <w:t xml:space="preserve">tierra, habrá 9 aspectos que se deberán explicar. Éstos corresponderán a los 4 defectos de los </w:t>
      </w:r>
      <w:proofErr w:type="spellStart"/>
      <w:r w:rsidRPr="00057BF4">
        <w:rPr>
          <w:i/>
          <w:iCs/>
        </w:rPr>
        <w:t>kasiṇa</w:t>
      </w:r>
      <w:r>
        <w:rPr>
          <w:i/>
          <w:iCs/>
        </w:rPr>
        <w:t>s</w:t>
      </w:r>
      <w:proofErr w:type="spellEnd"/>
      <w:r>
        <w:t xml:space="preserve">, la creación de un </w:t>
      </w:r>
      <w:proofErr w:type="spellStart"/>
      <w:r w:rsidRPr="00057BF4">
        <w:rPr>
          <w:i/>
          <w:iCs/>
        </w:rPr>
        <w:t>kasiṇa</w:t>
      </w:r>
      <w:proofErr w:type="spellEnd"/>
      <w:r>
        <w:t>, el método de desarrollo para quien la haya conseguido, las dos clases de signos, las dos clases de concentración, las siete clases de lo adecuado y lo inadecuado, las diez clases de habilidad en la absorción, la uniformidad de la energía y las directrices para la absorción.</w:t>
      </w:r>
    </w:p>
    <w:p w14:paraId="0422043B" w14:textId="77777777" w:rsidR="003A5C97" w:rsidRDefault="003A5C97" w:rsidP="003A5C97">
      <w:pPr>
        <w:pStyle w:val="NormalConSangria"/>
      </w:pPr>
      <w:r>
        <w:t xml:space="preserve">En el caso de los otros objetos de meditación, cada uno debe ser expuesto en la forma apropiada. Todo esto quedará claro en las directrices de desarrollo. Pero cuando el objeto de la meditación se </w:t>
      </w:r>
      <w:r w:rsidRPr="00E94B8C">
        <w:t>expon</w:t>
      </w:r>
      <w:r>
        <w:t>ga de esta manera, el meditador debe captar el signo mientras escuche.</w:t>
      </w:r>
      <w:r>
        <w:br w:type="page"/>
      </w:r>
    </w:p>
    <w:p w14:paraId="2808FC97" w14:textId="77777777" w:rsidR="003A5C97" w:rsidRDefault="003A5C97" w:rsidP="003A5C97"/>
    <w:p w14:paraId="7BCEE652" w14:textId="77777777" w:rsidR="003A5C97" w:rsidRDefault="003A5C97" w:rsidP="003A5C97">
      <w:r>
        <w:t xml:space="preserve">132. </w:t>
      </w:r>
      <w:r>
        <w:tab/>
      </w:r>
      <w:r w:rsidRPr="00E50059">
        <w:rPr>
          <w:i/>
          <w:iCs/>
        </w:rPr>
        <w:t>Aprehender el signo</w:t>
      </w:r>
      <w:r>
        <w:t xml:space="preserve"> significa que debe conectarse con cada aspecto así: “Ésta es la cláusula previa, ésta es la cláusula posterior, éste es su significado, ésta es su intención, éste es el símil”. Cuando él escuche atentamente, aprehendiendo así el signo, su objeto de meditación estará bien aprehendido. Entonces, y debido a ello, logrará con éxito la distinción, pero no de otra manera. Esto aclara el significado de las palabras “y debe aprehender”.</w:t>
      </w:r>
    </w:p>
    <w:p w14:paraId="4B66E434" w14:textId="77777777" w:rsidR="003A5C97" w:rsidRDefault="003A5C97" w:rsidP="003A5C97">
      <w:r>
        <w:t>133.</w:t>
      </w:r>
      <w:r>
        <w:tab/>
        <w:t>En este punto, las cláusulas se acercan al buen amigo, el instructor de un objeto de meditación, y él debe aprehender de entre los cuarenta objetos de meditación uno que se adapte a su propio temperamento (§28) y que se han expuesto en detalle en todos sus aspectos.</w:t>
      </w:r>
    </w:p>
    <w:p w14:paraId="454D8804" w14:textId="77777777" w:rsidR="003A5C97" w:rsidRDefault="003A5C97" w:rsidP="003A5C97">
      <w:pPr>
        <w:ind w:left="1416" w:right="1043"/>
      </w:pPr>
      <w:r>
        <w:t xml:space="preserve">Éste ha sido el tercer capítulo con el nombre de “Descripción de la Adopción de un Objeto de Meditación” del Tratado sobre el Desarrollo de la Concentración del </w:t>
      </w:r>
      <w:r w:rsidRPr="00E50059">
        <w:rPr>
          <w:i/>
          <w:iCs/>
        </w:rPr>
        <w:t>Sendero de la Purificación</w:t>
      </w:r>
      <w:r>
        <w:t xml:space="preserve"> compuesto para alegría de buenas personas.</w:t>
      </w:r>
    </w:p>
    <w:p w14:paraId="4A67D539" w14:textId="77777777" w:rsidR="003A5C97" w:rsidRDefault="003A5C97" w:rsidP="003A5C97">
      <w:pPr>
        <w:sectPr w:rsidR="003A5C97" w:rsidSect="00305694">
          <w:pgSz w:w="8641" w:h="12962"/>
          <w:pgMar w:top="851" w:right="964" w:bottom="964" w:left="964" w:header="709" w:footer="709" w:gutter="0"/>
          <w:pgNumType w:start="137"/>
          <w:cols w:space="708"/>
          <w:docGrid w:linePitch="360"/>
        </w:sectPr>
      </w:pPr>
    </w:p>
    <w:p w14:paraId="0C6BC866" w14:textId="77777777" w:rsidR="003A5C97" w:rsidRDefault="003A5C97" w:rsidP="003A5C97"/>
    <w:p w14:paraId="1DF3989F" w14:textId="77777777" w:rsidR="003A5C97" w:rsidRDefault="003A5C97" w:rsidP="003A5C97"/>
    <w:p w14:paraId="2532BBA5" w14:textId="77777777" w:rsidR="003A5C97" w:rsidRDefault="003A5C97" w:rsidP="003A5C97"/>
    <w:p w14:paraId="26555F0B" w14:textId="77777777" w:rsidR="003A5C97" w:rsidRDefault="003A5C97" w:rsidP="003A5C97"/>
    <w:p w14:paraId="6D73D5DD" w14:textId="5042FDAF" w:rsidR="004D2826" w:rsidRDefault="004D2826" w:rsidP="004D2826">
      <w:pPr>
        <w:pStyle w:val="Ttulo2"/>
        <w:jc w:val="center"/>
      </w:pPr>
      <w:r>
        <w:t xml:space="preserve">Capítulo </w:t>
      </w:r>
      <w:r w:rsidR="00027839">
        <w:t>IV</w:t>
      </w:r>
      <w:r>
        <w:br/>
      </w:r>
      <w:r w:rsidR="00790024">
        <w:t>El</w:t>
      </w:r>
      <w:r>
        <w:t xml:space="preserve"> </w:t>
      </w:r>
      <w:proofErr w:type="spellStart"/>
      <w:r w:rsidR="00057BF4" w:rsidRPr="00057BF4">
        <w:rPr>
          <w:i/>
          <w:iCs/>
        </w:rPr>
        <w:t>Kasiṇa</w:t>
      </w:r>
      <w:proofErr w:type="spellEnd"/>
      <w:r w:rsidR="00790024">
        <w:t xml:space="preserve"> </w:t>
      </w:r>
      <w:r>
        <w:t xml:space="preserve">Tierra </w:t>
      </w:r>
    </w:p>
    <w:p w14:paraId="2F65B42A" w14:textId="2A460597" w:rsidR="004D2826" w:rsidRPr="004D2826" w:rsidRDefault="00790024" w:rsidP="004D2826">
      <w:pPr>
        <w:jc w:val="center"/>
        <w:rPr>
          <w:sz w:val="24"/>
          <w:szCs w:val="32"/>
        </w:rPr>
      </w:pPr>
      <w:r>
        <w:rPr>
          <w:sz w:val="24"/>
          <w:szCs w:val="32"/>
        </w:rPr>
        <w:br/>
      </w:r>
      <w:r w:rsidR="004D2826" w:rsidRPr="004D2826">
        <w:rPr>
          <w:sz w:val="24"/>
          <w:szCs w:val="32"/>
        </w:rPr>
        <w:t>(</w:t>
      </w:r>
      <w:proofErr w:type="spellStart"/>
      <w:r w:rsidR="004D2826" w:rsidRPr="00027839">
        <w:rPr>
          <w:b/>
          <w:bCs/>
          <w:i/>
          <w:iCs/>
          <w:sz w:val="22"/>
          <w:szCs w:val="28"/>
        </w:rPr>
        <w:t>Pathavī-</w:t>
      </w:r>
      <w:r w:rsidR="00057BF4" w:rsidRPr="00057BF4">
        <w:rPr>
          <w:b/>
          <w:bCs/>
          <w:i/>
          <w:iCs/>
          <w:sz w:val="22"/>
          <w:szCs w:val="28"/>
        </w:rPr>
        <w:t>kasiṇa</w:t>
      </w:r>
      <w:r w:rsidR="004D2826" w:rsidRPr="00027839">
        <w:rPr>
          <w:b/>
          <w:bCs/>
          <w:i/>
          <w:iCs/>
          <w:sz w:val="22"/>
          <w:szCs w:val="28"/>
        </w:rPr>
        <w:t>-niddesa</w:t>
      </w:r>
      <w:proofErr w:type="spellEnd"/>
      <w:r w:rsidR="004D2826" w:rsidRPr="004D2826">
        <w:rPr>
          <w:sz w:val="24"/>
          <w:szCs w:val="32"/>
        </w:rPr>
        <w:t>)</w:t>
      </w:r>
    </w:p>
    <w:p w14:paraId="6BBD8785" w14:textId="0A065724" w:rsidR="004D2826" w:rsidRDefault="004D2826" w:rsidP="004D2826">
      <w:r>
        <w:t xml:space="preserve">1. </w:t>
      </w:r>
      <w:r w:rsidR="00790024">
        <w:tab/>
      </w:r>
      <w:r>
        <w:t>[118] Ahora bien, se dijo ante</w:t>
      </w:r>
      <w:r w:rsidR="00A07819">
        <w:t>riormente</w:t>
      </w:r>
      <w:r>
        <w:t>: Después</w:t>
      </w:r>
      <w:r w:rsidR="006241AB">
        <w:t>,</w:t>
      </w:r>
      <w:r>
        <w:t xml:space="preserve"> </w:t>
      </w:r>
      <w:r w:rsidR="006241AB">
        <w:t xml:space="preserve">deberá </w:t>
      </w:r>
      <w:r>
        <w:t>evita</w:t>
      </w:r>
      <w:r w:rsidR="006241AB">
        <w:t>r</w:t>
      </w:r>
      <w:r w:rsidR="00A07819">
        <w:t>se</w:t>
      </w:r>
      <w:r>
        <w:t xml:space="preserve"> un monasterio desfavorable para el desarrollo de la concentración </w:t>
      </w:r>
      <w:r w:rsidR="00BA42BF">
        <w:t>e ir</w:t>
      </w:r>
      <w:r w:rsidR="003E76CC">
        <w:t>se</w:t>
      </w:r>
      <w:r w:rsidR="00BA42BF">
        <w:t xml:space="preserve"> a </w:t>
      </w:r>
      <w:r>
        <w:t xml:space="preserve">vivir </w:t>
      </w:r>
      <w:r w:rsidR="00BA42BF">
        <w:t xml:space="preserve">a </w:t>
      </w:r>
      <w:r>
        <w:t xml:space="preserve">uno que sea favorable (III.28). En primer lugar, quien encuentre conveniente vivir con el maestro en el mismo monasterio, </w:t>
      </w:r>
      <w:r w:rsidR="00BA42BF">
        <w:t xml:space="preserve">podrá </w:t>
      </w:r>
      <w:r>
        <w:t>vivir allí mientras se cercior</w:t>
      </w:r>
      <w:r w:rsidR="00BA42BF">
        <w:t>e</w:t>
      </w:r>
      <w:r>
        <w:t xml:space="preserve"> </w:t>
      </w:r>
      <w:r w:rsidR="007D5A50">
        <w:t xml:space="preserve">de observar </w:t>
      </w:r>
      <w:r>
        <w:t xml:space="preserve">el </w:t>
      </w:r>
      <w:r w:rsidR="00BA42BF">
        <w:t xml:space="preserve">objeto </w:t>
      </w:r>
      <w:r>
        <w:t xml:space="preserve">de meditación. Si no </w:t>
      </w:r>
      <w:r w:rsidR="007D5A50">
        <w:t>fuera</w:t>
      </w:r>
      <w:r>
        <w:t xml:space="preserve"> conveniente </w:t>
      </w:r>
      <w:r w:rsidR="007D5A50">
        <w:t>habitar</w:t>
      </w:r>
      <w:r w:rsidR="00BA42BF">
        <w:t xml:space="preserve"> </w:t>
      </w:r>
      <w:r>
        <w:t xml:space="preserve">allí, </w:t>
      </w:r>
      <w:r w:rsidR="00BA42BF">
        <w:t xml:space="preserve">podrá </w:t>
      </w:r>
      <w:r>
        <w:t xml:space="preserve">vivir en otro monasterio, </w:t>
      </w:r>
      <w:r w:rsidR="00BA42BF">
        <w:t xml:space="preserve">en </w:t>
      </w:r>
      <w:r>
        <w:t xml:space="preserve">uno adecuado, a un cuarto o medio o incluso </w:t>
      </w:r>
      <w:r w:rsidR="007D5A50">
        <w:t xml:space="preserve">a </w:t>
      </w:r>
      <w:r>
        <w:t xml:space="preserve">una legua entera de distancia. En ese caso, cuando encuentre </w:t>
      </w:r>
      <w:r w:rsidR="00BA42BF">
        <w:t xml:space="preserve">una </w:t>
      </w:r>
      <w:r>
        <w:t>duda, o haya olvidado alg</w:t>
      </w:r>
      <w:r w:rsidR="005B2A98">
        <w:t>u</w:t>
      </w:r>
      <w:r>
        <w:t>n</w:t>
      </w:r>
      <w:r w:rsidR="005B2A98">
        <w:t>a</w:t>
      </w:r>
      <w:r>
        <w:t xml:space="preserve"> </w:t>
      </w:r>
      <w:r w:rsidR="005B2A98">
        <w:t xml:space="preserve">instrucción sobre </w:t>
      </w:r>
      <w:r>
        <w:t xml:space="preserve">el </w:t>
      </w:r>
      <w:r w:rsidR="00BA42BF">
        <w:t xml:space="preserve">objeto </w:t>
      </w:r>
      <w:r>
        <w:t>de la meditación, entonces debe</w:t>
      </w:r>
      <w:r w:rsidR="00BA42BF">
        <w:t>rá</w:t>
      </w:r>
      <w:r>
        <w:t xml:space="preserve"> hacer los deberes en el monasterio a tiempo y partir </w:t>
      </w:r>
      <w:r w:rsidR="00BA42BF">
        <w:t>luego</w:t>
      </w:r>
      <w:r>
        <w:t xml:space="preserve">, </w:t>
      </w:r>
      <w:r w:rsidR="00BA42BF">
        <w:t xml:space="preserve">para ir </w:t>
      </w:r>
      <w:r>
        <w:t xml:space="preserve">a buscar </w:t>
      </w:r>
      <w:r w:rsidR="00BA42BF">
        <w:t xml:space="preserve">ofrendas </w:t>
      </w:r>
      <w:r>
        <w:t>en el camino y llega</w:t>
      </w:r>
      <w:r w:rsidR="00BA42BF">
        <w:t>r</w:t>
      </w:r>
      <w:r>
        <w:t xml:space="preserve"> a la </w:t>
      </w:r>
      <w:r w:rsidR="00BA42BF">
        <w:t xml:space="preserve">residencia </w:t>
      </w:r>
      <w:r>
        <w:t>del maestro después de su comida. Debe</w:t>
      </w:r>
      <w:r w:rsidR="00BA42BF">
        <w:t>rá</w:t>
      </w:r>
      <w:r>
        <w:t xml:space="preserve"> asegurarse sobre el </w:t>
      </w:r>
      <w:r w:rsidR="00BA42BF">
        <w:t xml:space="preserve">objeto </w:t>
      </w:r>
      <w:r>
        <w:t xml:space="preserve">de meditación ese día </w:t>
      </w:r>
      <w:r w:rsidR="00BA42BF">
        <w:t xml:space="preserve">ante la </w:t>
      </w:r>
      <w:r>
        <w:t xml:space="preserve">presencia del maestro. Al día siguiente, después de rendir </w:t>
      </w:r>
      <w:r w:rsidR="00BA42BF">
        <w:t xml:space="preserve">reverencia </w:t>
      </w:r>
      <w:r>
        <w:t>al maestro, debe</w:t>
      </w:r>
      <w:r w:rsidR="00BA42BF">
        <w:t>rá</w:t>
      </w:r>
      <w:r>
        <w:t xml:space="preserve"> ir a buscar </w:t>
      </w:r>
      <w:r w:rsidR="00BA42BF">
        <w:t xml:space="preserve">ofrendas a través de trayecto </w:t>
      </w:r>
      <w:r>
        <w:t xml:space="preserve">de regreso </w:t>
      </w:r>
      <w:r w:rsidR="00BA42BF">
        <w:t xml:space="preserve">de tal manera </w:t>
      </w:r>
      <w:r>
        <w:t xml:space="preserve">que pueda </w:t>
      </w:r>
      <w:r w:rsidR="00BA42BF">
        <w:t xml:space="preserve">regresar </w:t>
      </w:r>
      <w:r>
        <w:t xml:space="preserve">a su propia </w:t>
      </w:r>
      <w:r w:rsidR="00BA42BF">
        <w:t xml:space="preserve">residencia </w:t>
      </w:r>
      <w:r>
        <w:t>sin fatigarse. Pero quien no encuentr</w:t>
      </w:r>
      <w:r w:rsidR="00BA42BF">
        <w:t>e</w:t>
      </w:r>
      <w:r>
        <w:t xml:space="preserve"> un lugar conveniente ni siquiera dentro de una legua, debe</w:t>
      </w:r>
      <w:r w:rsidR="00BA42BF">
        <w:t>rá</w:t>
      </w:r>
      <w:r>
        <w:t xml:space="preserve"> aclarar todas las dificultades sobre el </w:t>
      </w:r>
      <w:r w:rsidR="001D43BB">
        <w:t xml:space="preserve">objeto </w:t>
      </w:r>
      <w:r>
        <w:t xml:space="preserve">de meditación y asegurarse de que se haya atendido adecuadamente. Entonces </w:t>
      </w:r>
      <w:r w:rsidR="001D43BB">
        <w:t xml:space="preserve">podrá </w:t>
      </w:r>
      <w:r>
        <w:t xml:space="preserve">incluso ir </w:t>
      </w:r>
      <w:r w:rsidR="001D43BB">
        <w:t xml:space="preserve">más </w:t>
      </w:r>
      <w:r>
        <w:t>lejos y, evita</w:t>
      </w:r>
      <w:r w:rsidR="001D43BB">
        <w:t>r</w:t>
      </w:r>
      <w:r>
        <w:t xml:space="preserve"> un monasterio desfavorable para el desarrollo de la concentración, vivi</w:t>
      </w:r>
      <w:r w:rsidR="001D43BB">
        <w:t>endo solo</w:t>
      </w:r>
      <w:r>
        <w:t xml:space="preserve"> en uno que sea favorable</w:t>
      </w:r>
      <w:r w:rsidR="001D43BB">
        <w:t xml:space="preserve"> para ello</w:t>
      </w:r>
      <w:r>
        <w:t>.</w:t>
      </w:r>
    </w:p>
    <w:p w14:paraId="6104F878" w14:textId="48305218" w:rsidR="004D2826" w:rsidRDefault="00790024" w:rsidP="00790024">
      <w:pPr>
        <w:pStyle w:val="Ttulo3"/>
        <w:ind w:left="708"/>
      </w:pPr>
      <w:r>
        <w:t>[L</w:t>
      </w:r>
      <w:r w:rsidR="001D43BB">
        <w:t>o</w:t>
      </w:r>
      <w:r>
        <w:t xml:space="preserve">s </w:t>
      </w:r>
      <w:r w:rsidR="00FF6953">
        <w:t>18</w:t>
      </w:r>
      <w:r>
        <w:t xml:space="preserve"> </w:t>
      </w:r>
      <w:r w:rsidR="001D43BB">
        <w:t xml:space="preserve">Defectos </w:t>
      </w:r>
      <w:r>
        <w:t>De Un Monasterio]</w:t>
      </w:r>
    </w:p>
    <w:p w14:paraId="16BCF6E0" w14:textId="0DD00B2B" w:rsidR="004D2826" w:rsidRDefault="004D2826" w:rsidP="004D2826">
      <w:r>
        <w:t xml:space="preserve">2. </w:t>
      </w:r>
      <w:r w:rsidR="00790024">
        <w:tab/>
      </w:r>
      <w:r w:rsidR="001D43BB">
        <w:t>Al respecto</w:t>
      </w:r>
      <w:r>
        <w:t xml:space="preserve">, el </w:t>
      </w:r>
      <w:r w:rsidR="00615894">
        <w:t xml:space="preserve">monasterio </w:t>
      </w:r>
      <w:r>
        <w:t xml:space="preserve">que </w:t>
      </w:r>
      <w:r w:rsidR="00615894">
        <w:t>sea</w:t>
      </w:r>
      <w:r>
        <w:t xml:space="preserve"> desfavorable ten</w:t>
      </w:r>
      <w:r w:rsidR="00615894">
        <w:t>drá</w:t>
      </w:r>
      <w:r>
        <w:t xml:space="preserve"> cual</w:t>
      </w:r>
      <w:r w:rsidR="00615894">
        <w:t>es</w:t>
      </w:r>
      <w:r>
        <w:t>quier</w:t>
      </w:r>
      <w:r w:rsidR="00615894">
        <w:t>a</w:t>
      </w:r>
      <w:r>
        <w:t xml:space="preserve"> de </w:t>
      </w:r>
      <w:r w:rsidR="00615894">
        <w:t xml:space="preserve">estos </w:t>
      </w:r>
      <w:r>
        <w:t xml:space="preserve">dieciocho </w:t>
      </w:r>
      <w:r w:rsidR="00615894">
        <w:t>defectos</w:t>
      </w:r>
      <w:r>
        <w:t xml:space="preserve">. Estos son: (1) grandeza, (2) novedad, (3) ruinoso, (4) </w:t>
      </w:r>
      <w:r w:rsidR="00D2594C">
        <w:t xml:space="preserve">con </w:t>
      </w:r>
      <w:r>
        <w:t xml:space="preserve">un camino cercano, (5) </w:t>
      </w:r>
      <w:r w:rsidR="00D2594C">
        <w:t xml:space="preserve">con </w:t>
      </w:r>
      <w:r>
        <w:t>u</w:t>
      </w:r>
      <w:r w:rsidR="00C55716">
        <w:t>na fuente</w:t>
      </w:r>
      <w:r>
        <w:t xml:space="preserve">, (6) hojas [comestibles], (7) flores, (8) frutas, (9) fama, (10) una ciudad cercana, (11) árboles madereros cercanos, (12) campos de cultivo cercanos, (13) presencia de personas incompatibles, (14) un puerto de entrada cercano, (15) cercanía a países fronterizos, (16) cercanía a la frontera de un reino, (17) falta de idoneidad, (18) falta de buenos amigos. [119] Uno con cualquiera de estas faltas no </w:t>
      </w:r>
      <w:r w:rsidR="00615894">
        <w:t xml:space="preserve">será </w:t>
      </w:r>
      <w:r>
        <w:t>favorable. Él no debería vivir allí. ¿Por qué?</w:t>
      </w:r>
    </w:p>
    <w:p w14:paraId="2ED9A55F" w14:textId="4EF1A5F3" w:rsidR="00197D8C" w:rsidRDefault="004D2826" w:rsidP="00790024">
      <w:r>
        <w:t xml:space="preserve">3. </w:t>
      </w:r>
      <w:r w:rsidR="00790024">
        <w:tab/>
      </w:r>
      <w:r>
        <w:t xml:space="preserve">1. En primer lugar, personas con </w:t>
      </w:r>
      <w:r w:rsidR="00615894">
        <w:t>diferentes</w:t>
      </w:r>
      <w:r>
        <w:t xml:space="preserve"> objetivos se </w:t>
      </w:r>
      <w:r w:rsidR="00615894">
        <w:t xml:space="preserve">congregan </w:t>
      </w:r>
      <w:r>
        <w:t xml:space="preserve">en un </w:t>
      </w:r>
      <w:r w:rsidRPr="00E50059">
        <w:rPr>
          <w:i/>
          <w:iCs/>
        </w:rPr>
        <w:t>gran monasterio</w:t>
      </w:r>
      <w:r>
        <w:t xml:space="preserve">. Están en conflicto entre sí y por eso descuidan los deberes. La terraza del árbol de la </w:t>
      </w:r>
      <w:r w:rsidR="00615894">
        <w:t>Iluminación</w:t>
      </w:r>
      <w:r>
        <w:t xml:space="preserve">, etc., quedan sin barrer, el agua para beber y lavar no </w:t>
      </w:r>
      <w:r w:rsidR="006536D7">
        <w:t>se encuentra disponible</w:t>
      </w:r>
      <w:r>
        <w:t>. Entonces, si él pensa</w:t>
      </w:r>
      <w:r w:rsidR="002F3766">
        <w:t>ra</w:t>
      </w:r>
      <w:r>
        <w:t xml:space="preserve">: “Iré a la aldea de </w:t>
      </w:r>
      <w:r w:rsidR="002F3766">
        <w:t>solicitar</w:t>
      </w:r>
      <w:r>
        <w:t xml:space="preserve"> de </w:t>
      </w:r>
      <w:r w:rsidR="006536D7">
        <w:t>ofrendas</w:t>
      </w:r>
      <w:r>
        <w:t>” y toma</w:t>
      </w:r>
      <w:r w:rsidR="002F3766">
        <w:t>se</w:t>
      </w:r>
      <w:r>
        <w:t xml:space="preserve"> su </w:t>
      </w:r>
      <w:r w:rsidR="006536D7">
        <w:t xml:space="preserve">cuenco </w:t>
      </w:r>
      <w:r>
        <w:t xml:space="preserve">y su </w:t>
      </w:r>
      <w:r w:rsidR="006536D7">
        <w:t xml:space="preserve">ropaje </w:t>
      </w:r>
      <w:r>
        <w:t xml:space="preserve">y se </w:t>
      </w:r>
      <w:r w:rsidR="002F3766">
        <w:t xml:space="preserve">pusiera </w:t>
      </w:r>
      <w:r>
        <w:t>en marcha, tal vez ve</w:t>
      </w:r>
      <w:r w:rsidR="00594464">
        <w:t>ría</w:t>
      </w:r>
      <w:r>
        <w:t xml:space="preserve"> que no se han cumplido los deberes o que un </w:t>
      </w:r>
      <w:r w:rsidR="006536D7">
        <w:t xml:space="preserve">cántaro </w:t>
      </w:r>
      <w:r>
        <w:t>de agua potable est</w:t>
      </w:r>
      <w:r w:rsidR="00594464">
        <w:t>é</w:t>
      </w:r>
      <w:r>
        <w:t xml:space="preserve"> vací</w:t>
      </w:r>
      <w:r w:rsidR="004367BF">
        <w:t>o</w:t>
      </w:r>
      <w:r>
        <w:t>, y así</w:t>
      </w:r>
      <w:r w:rsidR="00594464">
        <w:t>,</w:t>
      </w:r>
      <w:r>
        <w:t xml:space="preserve"> </w:t>
      </w:r>
      <w:r w:rsidR="00AD7C90">
        <w:t>e</w:t>
      </w:r>
      <w:r>
        <w:t>l deber ten</w:t>
      </w:r>
      <w:r w:rsidR="004367BF">
        <w:t>drá</w:t>
      </w:r>
      <w:r>
        <w:t xml:space="preserve"> que ser </w:t>
      </w:r>
      <w:r w:rsidR="004367BF">
        <w:t xml:space="preserve">efectuado </w:t>
      </w:r>
      <w:r>
        <w:t>por él inesperadamente. Se debe</w:t>
      </w:r>
      <w:r w:rsidR="00AD7C90">
        <w:t>rá</w:t>
      </w:r>
      <w:r>
        <w:t xml:space="preserve"> mantener el agua potable</w:t>
      </w:r>
      <w:r w:rsidR="004367BF">
        <w:t xml:space="preserve"> de forma disponible</w:t>
      </w:r>
      <w:r>
        <w:t xml:space="preserve">. De no hacerlo, </w:t>
      </w:r>
      <w:r w:rsidR="004367BF">
        <w:t xml:space="preserve">se </w:t>
      </w:r>
      <w:r>
        <w:t>cometer</w:t>
      </w:r>
      <w:r w:rsidR="00AD7C90">
        <w:t>ía</w:t>
      </w:r>
      <w:r>
        <w:t xml:space="preserve"> un</w:t>
      </w:r>
      <w:r w:rsidR="004367BF">
        <w:t>a</w:t>
      </w:r>
      <w:r>
        <w:t xml:space="preserve"> </w:t>
      </w:r>
      <w:r w:rsidR="004367BF">
        <w:t xml:space="preserve">ofensa </w:t>
      </w:r>
      <w:r>
        <w:t xml:space="preserve">en el incumplimiento de un deber. </w:t>
      </w:r>
      <w:r w:rsidR="004367BF">
        <w:t xml:space="preserve">No obstante, </w:t>
      </w:r>
      <w:r>
        <w:t>si lo h</w:t>
      </w:r>
      <w:r w:rsidR="00AD7C90">
        <w:t>i</w:t>
      </w:r>
      <w:r>
        <w:t>c</w:t>
      </w:r>
      <w:r w:rsidR="00AD7C90">
        <w:t>iera</w:t>
      </w:r>
      <w:r>
        <w:t>, perde</w:t>
      </w:r>
      <w:r w:rsidR="004367BF">
        <w:t>r</w:t>
      </w:r>
      <w:r w:rsidR="00AD7C90">
        <w:t>ía</w:t>
      </w:r>
      <w:r>
        <w:t xml:space="preserve"> tiempo. Llega</w:t>
      </w:r>
      <w:r w:rsidR="004367BF">
        <w:t>r</w:t>
      </w:r>
      <w:r w:rsidR="00AD7C90">
        <w:t>ía</w:t>
      </w:r>
      <w:r>
        <w:t xml:space="preserve"> demasiado tarde al pueblo y </w:t>
      </w:r>
    </w:p>
    <w:p w14:paraId="0C86F242" w14:textId="77777777" w:rsidR="00197D8C" w:rsidRDefault="00197D8C">
      <w:pPr>
        <w:tabs>
          <w:tab w:val="clear" w:pos="425"/>
        </w:tabs>
        <w:spacing w:after="160"/>
      </w:pPr>
      <w:r>
        <w:br w:type="page"/>
      </w:r>
    </w:p>
    <w:p w14:paraId="12BB6D07" w14:textId="77777777" w:rsidR="00197D8C" w:rsidRDefault="00197D8C" w:rsidP="00B33F6E"/>
    <w:p w14:paraId="5AB14D1D" w14:textId="27C12C72" w:rsidR="00B33F6E" w:rsidRDefault="00AD7C90" w:rsidP="00B33F6E">
      <w:r>
        <w:t xml:space="preserve">no recibiría </w:t>
      </w:r>
      <w:r w:rsidR="004367BF">
        <w:t>nada porque las ofrendas habr</w:t>
      </w:r>
      <w:r>
        <w:t>ía</w:t>
      </w:r>
      <w:r w:rsidR="004367BF">
        <w:t xml:space="preserve">n </w:t>
      </w:r>
      <w:r w:rsidR="004D2826">
        <w:t>terminado. Además, cuando va</w:t>
      </w:r>
      <w:r w:rsidR="004367BF">
        <w:t>ya</w:t>
      </w:r>
      <w:r w:rsidR="004D2826">
        <w:t xml:space="preserve"> al retiro, lo distrae</w:t>
      </w:r>
      <w:r w:rsidR="004367BF">
        <w:t>rá</w:t>
      </w:r>
      <w:r w:rsidR="004D2826">
        <w:t>n los ruidos fuertes de los novicios</w:t>
      </w:r>
      <w:r w:rsidR="00CB5E7D">
        <w:t>,</w:t>
      </w:r>
      <w:r w:rsidR="004D2826">
        <w:t xml:space="preserve"> </w:t>
      </w:r>
      <w:r w:rsidR="00CB5E7D">
        <w:t xml:space="preserve">de </w:t>
      </w:r>
      <w:r w:rsidR="004D2826">
        <w:t xml:space="preserve">los monjes jóvenes, y </w:t>
      </w:r>
      <w:r w:rsidR="00CB5E7D">
        <w:t xml:space="preserve">de </w:t>
      </w:r>
      <w:r w:rsidR="004D2826">
        <w:t>los actos de la Comunidad [que se est</w:t>
      </w:r>
      <w:r w:rsidR="004367BF">
        <w:t>é</w:t>
      </w:r>
      <w:r w:rsidR="004D2826">
        <w:t>n llevando a cabo]. Sin embargo, p</w:t>
      </w:r>
      <w:r w:rsidR="00CB5E7D">
        <w:t>o</w:t>
      </w:r>
      <w:r w:rsidR="004D2826">
        <w:t>d</w:t>
      </w:r>
      <w:r w:rsidR="00CB5E7D">
        <w:t>rá</w:t>
      </w:r>
      <w:r w:rsidR="004D2826">
        <w:t xml:space="preserve"> vivir en un gran monasterio donde se cumpl</w:t>
      </w:r>
      <w:r w:rsidR="00CB5E7D">
        <w:t>a</w:t>
      </w:r>
      <w:r w:rsidR="004D2826">
        <w:t>n todos los deberes y donde no hay</w:t>
      </w:r>
      <w:r w:rsidR="00CB5E7D">
        <w:t>a</w:t>
      </w:r>
      <w:r w:rsidR="004D2826">
        <w:t xml:space="preserve"> ninguna otra perturbación</w:t>
      </w:r>
      <w:r w:rsidR="00197D8C">
        <w:t>.</w:t>
      </w:r>
    </w:p>
    <w:p w14:paraId="238BC6AC" w14:textId="4CA6DBA7" w:rsidR="00B33F6E" w:rsidRDefault="00B33F6E" w:rsidP="00B33F6E">
      <w:r>
        <w:t xml:space="preserve">4. </w:t>
      </w:r>
      <w:r>
        <w:tab/>
        <w:t xml:space="preserve">2. </w:t>
      </w:r>
      <w:r w:rsidRPr="00AA5EE6">
        <w:rPr>
          <w:i/>
          <w:iCs/>
        </w:rPr>
        <w:t>En un monasterio nuevo</w:t>
      </w:r>
      <w:r>
        <w:t xml:space="preserve"> hay mucha actividad de construcción nueva. La gente critica</w:t>
      </w:r>
      <w:r w:rsidR="00CC13F7">
        <w:t xml:space="preserve">rá </w:t>
      </w:r>
      <w:r>
        <w:t xml:space="preserve">a alguien que no </w:t>
      </w:r>
      <w:r w:rsidR="00CC13F7">
        <w:t>f</w:t>
      </w:r>
      <w:r>
        <w:t>o</w:t>
      </w:r>
      <w:r w:rsidR="00CC13F7">
        <w:t>r</w:t>
      </w:r>
      <w:r>
        <w:t>m</w:t>
      </w:r>
      <w:r w:rsidR="00CB5E7D">
        <w:t>e</w:t>
      </w:r>
      <w:r>
        <w:t xml:space="preserve"> parte </w:t>
      </w:r>
      <w:r w:rsidR="00CB5E7D">
        <w:t xml:space="preserve">de </w:t>
      </w:r>
      <w:r>
        <w:t xml:space="preserve">ello. </w:t>
      </w:r>
      <w:r w:rsidR="006652FC">
        <w:t xml:space="preserve">No obstante, </w:t>
      </w:r>
      <w:r>
        <w:t xml:space="preserve">él </w:t>
      </w:r>
      <w:r w:rsidR="006652FC">
        <w:t xml:space="preserve">podrá </w:t>
      </w:r>
      <w:r>
        <w:t xml:space="preserve">vivir en </w:t>
      </w:r>
      <w:r w:rsidR="006652FC">
        <w:t xml:space="preserve">aquel </w:t>
      </w:r>
      <w:r>
        <w:t xml:space="preserve">monasterio donde los </w:t>
      </w:r>
      <w:proofErr w:type="spellStart"/>
      <w:r w:rsidR="00057BF4" w:rsidRPr="00057BF4">
        <w:rPr>
          <w:i/>
          <w:iCs/>
        </w:rPr>
        <w:t>bhikkhu</w:t>
      </w:r>
      <w:r w:rsidRPr="008A5151">
        <w:rPr>
          <w:i/>
          <w:iCs/>
        </w:rPr>
        <w:t>s</w:t>
      </w:r>
      <w:proofErr w:type="spellEnd"/>
      <w:r>
        <w:t xml:space="preserve"> digan, “Que el </w:t>
      </w:r>
      <w:r w:rsidR="006652FC">
        <w:t xml:space="preserve">Venerable </w:t>
      </w:r>
      <w:r>
        <w:t xml:space="preserve">haga los deberes de asceta tanto como </w:t>
      </w:r>
      <w:r w:rsidR="00CA26F7">
        <w:t>le plazca</w:t>
      </w:r>
      <w:r>
        <w:t>. Nos</w:t>
      </w:r>
      <w:r w:rsidR="00CA26F7">
        <w:t>otros nos</w:t>
      </w:r>
      <w:r>
        <w:t xml:space="preserve"> ocuparemos de los trabajos de construcción.</w:t>
      </w:r>
    </w:p>
    <w:p w14:paraId="44516B7B" w14:textId="168C8C20" w:rsidR="00B33F6E" w:rsidRDefault="00B33F6E" w:rsidP="00B33F6E">
      <w:r>
        <w:t xml:space="preserve">5. </w:t>
      </w:r>
      <w:r>
        <w:tab/>
        <w:t xml:space="preserve">3. </w:t>
      </w:r>
      <w:r w:rsidRPr="00AA5EE6">
        <w:rPr>
          <w:i/>
          <w:iCs/>
        </w:rPr>
        <w:t>En un monasterio en ruinas</w:t>
      </w:r>
      <w:r>
        <w:t xml:space="preserve"> hay muchas cosas que necesita</w:t>
      </w:r>
      <w:r w:rsidR="00AA78F2">
        <w:t>rá</w:t>
      </w:r>
      <w:r>
        <w:t>n reparación. La gente critica</w:t>
      </w:r>
      <w:r w:rsidR="00AA78F2">
        <w:t xml:space="preserve">rá </w:t>
      </w:r>
      <w:r>
        <w:t>a alguien que no se preocup</w:t>
      </w:r>
      <w:r w:rsidR="007703F0">
        <w:t>e</w:t>
      </w:r>
      <w:r>
        <w:t xml:space="preserve"> por reparar al menos su propio alojamiento. Cuando se </w:t>
      </w:r>
      <w:r w:rsidR="00AA78F2">
        <w:t>dedique</w:t>
      </w:r>
      <w:r>
        <w:t xml:space="preserve"> </w:t>
      </w:r>
      <w:r w:rsidR="00AA78F2">
        <w:t xml:space="preserve">a tales </w:t>
      </w:r>
      <w:r>
        <w:t xml:space="preserve">reparaciones, su </w:t>
      </w:r>
      <w:r w:rsidR="007703F0">
        <w:t xml:space="preserve">objeto </w:t>
      </w:r>
      <w:r>
        <w:t>de meditación sufr</w:t>
      </w:r>
      <w:r w:rsidR="007703F0">
        <w:t>irá</w:t>
      </w:r>
      <w:r w:rsidR="00AA78F2">
        <w:t xml:space="preserve"> de distracción</w:t>
      </w:r>
      <w:r>
        <w:t>.</w:t>
      </w:r>
    </w:p>
    <w:p w14:paraId="029533F7" w14:textId="3855EFC7" w:rsidR="00B33F6E" w:rsidRDefault="00B33F6E" w:rsidP="00B33F6E">
      <w:r>
        <w:t xml:space="preserve">6. </w:t>
      </w:r>
      <w:r>
        <w:tab/>
        <w:t xml:space="preserve">4. </w:t>
      </w:r>
      <w:r w:rsidRPr="00AA5EE6">
        <w:rPr>
          <w:i/>
          <w:iCs/>
        </w:rPr>
        <w:t>En un monasterio con un camino cercano</w:t>
      </w:r>
      <w:r>
        <w:t xml:space="preserve">, por </w:t>
      </w:r>
      <w:proofErr w:type="gramStart"/>
      <w:r>
        <w:t xml:space="preserve">una </w:t>
      </w:r>
      <w:r w:rsidR="00AA78F2">
        <w:t xml:space="preserve">trayecto </w:t>
      </w:r>
      <w:r>
        <w:t>principal</w:t>
      </w:r>
      <w:proofErr w:type="gramEnd"/>
      <w:r>
        <w:t>, los visitantes llega</w:t>
      </w:r>
      <w:r w:rsidR="00AA78F2">
        <w:t>rán</w:t>
      </w:r>
      <w:r>
        <w:t xml:space="preserve"> noche y día. </w:t>
      </w:r>
      <w:r w:rsidR="00AA78F2">
        <w:t xml:space="preserve">Él </w:t>
      </w:r>
      <w:proofErr w:type="spellStart"/>
      <w:r w:rsidR="00AA78F2">
        <w:rPr>
          <w:i/>
          <w:iCs/>
        </w:rPr>
        <w:t>bhikkhu</w:t>
      </w:r>
      <w:proofErr w:type="spellEnd"/>
      <w:r w:rsidR="00AA78F2">
        <w:rPr>
          <w:i/>
          <w:iCs/>
        </w:rPr>
        <w:t xml:space="preserve"> </w:t>
      </w:r>
      <w:r w:rsidR="00AA78F2" w:rsidRPr="00AA78F2">
        <w:t>t</w:t>
      </w:r>
      <w:r w:rsidR="009E33EE">
        <w:t xml:space="preserve">endrá </w:t>
      </w:r>
      <w:r>
        <w:t>que ceder su propio alojamiento a los que lleg</w:t>
      </w:r>
      <w:r w:rsidR="00AA78F2">
        <w:t>ue</w:t>
      </w:r>
      <w:r>
        <w:t>n tarde, y ten</w:t>
      </w:r>
      <w:r w:rsidR="009E33EE">
        <w:t>drá</w:t>
      </w:r>
      <w:r>
        <w:t xml:space="preserve"> que ir a vivir a la raíz de un árbol o </w:t>
      </w:r>
      <w:r w:rsidR="009E33EE">
        <w:t>hacia</w:t>
      </w:r>
      <w:r>
        <w:t xml:space="preserve"> lo alto de una roca. Y al día siguiente </w:t>
      </w:r>
      <w:r w:rsidR="009E33EE">
        <w:t xml:space="preserve">será </w:t>
      </w:r>
      <w:r>
        <w:t>lo mismo. Así que no ha</w:t>
      </w:r>
      <w:r w:rsidR="009E33EE">
        <w:t>brá</w:t>
      </w:r>
      <w:r>
        <w:t xml:space="preserve"> oportunidad de practicar su </w:t>
      </w:r>
      <w:r w:rsidR="009E33EE">
        <w:t xml:space="preserve">objeto </w:t>
      </w:r>
      <w:r>
        <w:t xml:space="preserve">de meditación. Pero </w:t>
      </w:r>
      <w:r w:rsidR="009E33EE">
        <w:t xml:space="preserve">podrá </w:t>
      </w:r>
      <w:r>
        <w:t xml:space="preserve">vivir en uno donde no </w:t>
      </w:r>
      <w:r w:rsidR="009E33EE">
        <w:t>exista</w:t>
      </w:r>
      <w:r>
        <w:t xml:space="preserve"> tal perturbación por parte de los visitantes.</w:t>
      </w:r>
    </w:p>
    <w:p w14:paraId="30F73BE2" w14:textId="0A3D8DCA" w:rsidR="00B33F6E" w:rsidRDefault="00B33F6E" w:rsidP="00B33F6E">
      <w:r>
        <w:t xml:space="preserve">7. </w:t>
      </w:r>
      <w:r>
        <w:tab/>
      </w:r>
      <w:r w:rsidRPr="002925BF">
        <w:rPr>
          <w:i/>
          <w:iCs/>
        </w:rPr>
        <w:t>5</w:t>
      </w:r>
      <w:r>
        <w:t>. Un</w:t>
      </w:r>
      <w:r w:rsidR="002645BF">
        <w:t>o con una</w:t>
      </w:r>
      <w:r>
        <w:t xml:space="preserve"> </w:t>
      </w:r>
      <w:r w:rsidR="00C55716">
        <w:rPr>
          <w:i/>
          <w:iCs/>
        </w:rPr>
        <w:t xml:space="preserve">fuente </w:t>
      </w:r>
      <w:r w:rsidR="002645BF">
        <w:t xml:space="preserve">se refiere a </w:t>
      </w:r>
      <w:r>
        <w:t xml:space="preserve">un estanque </w:t>
      </w:r>
      <w:r w:rsidR="002925BF">
        <w:t xml:space="preserve">hecho </w:t>
      </w:r>
      <w:r>
        <w:t xml:space="preserve">de rocas. </w:t>
      </w:r>
      <w:r w:rsidR="00C55716">
        <w:t xml:space="preserve">Muchas </w:t>
      </w:r>
      <w:r>
        <w:t xml:space="preserve">personas </w:t>
      </w:r>
      <w:r w:rsidR="00C55716">
        <w:t>llega</w:t>
      </w:r>
      <w:r w:rsidR="00D24CB6">
        <w:t>rá</w:t>
      </w:r>
      <w:r w:rsidR="00C55716">
        <w:t xml:space="preserve">n a un lugar así </w:t>
      </w:r>
      <w:r>
        <w:t xml:space="preserve">por agua potable. Los </w:t>
      </w:r>
      <w:r w:rsidR="002925BF">
        <w:t xml:space="preserve">discípulos </w:t>
      </w:r>
      <w:r>
        <w:t xml:space="preserve">de los </w:t>
      </w:r>
      <w:r w:rsidR="006C0566">
        <w:t>Venerable</w:t>
      </w:r>
      <w:r w:rsidR="00D24CB6">
        <w:t>s</w:t>
      </w:r>
      <w:r w:rsidR="006C0566">
        <w:t xml:space="preserve"> que viv</w:t>
      </w:r>
      <w:r w:rsidR="00D24CB6">
        <w:t>a</w:t>
      </w:r>
      <w:r w:rsidR="006C0566">
        <w:t xml:space="preserve">n en </w:t>
      </w:r>
      <w:r>
        <w:t xml:space="preserve">la ciudad </w:t>
      </w:r>
      <w:r w:rsidR="006C0566">
        <w:t xml:space="preserve">soportados </w:t>
      </w:r>
      <w:r>
        <w:t xml:space="preserve">por la familia real </w:t>
      </w:r>
      <w:r w:rsidR="006C0566">
        <w:t xml:space="preserve">llegarán </w:t>
      </w:r>
      <w:r>
        <w:t>a realizar trabajos de teñido. Cuando pidan vasijas, maderas, tinas, etc., [</w:t>
      </w:r>
      <w:r w:rsidRPr="008A5151">
        <w:t>1</w:t>
      </w:r>
      <w:r>
        <w:t>20] se les debe</w:t>
      </w:r>
      <w:r w:rsidR="006C0566">
        <w:t>rá</w:t>
      </w:r>
      <w:r>
        <w:t xml:space="preserve"> mostrar dónde </w:t>
      </w:r>
      <w:r w:rsidR="006C0566">
        <w:t xml:space="preserve">se encuentren </w:t>
      </w:r>
      <w:r>
        <w:t xml:space="preserve">estas cosas. Así que se </w:t>
      </w:r>
      <w:r w:rsidR="00182662">
        <w:t xml:space="preserve">tendrá que estar alerto </w:t>
      </w:r>
      <w:r>
        <w:t>todo el tiempo.</w:t>
      </w:r>
    </w:p>
    <w:p w14:paraId="17C12CF1" w14:textId="2D84461D" w:rsidR="00B33F6E" w:rsidRDefault="00B33F6E" w:rsidP="00B33F6E">
      <w:r>
        <w:t xml:space="preserve">8. </w:t>
      </w:r>
      <w:r>
        <w:tab/>
      </w:r>
      <w:r w:rsidRPr="002925BF">
        <w:rPr>
          <w:i/>
          <w:iCs/>
        </w:rPr>
        <w:t>6</w:t>
      </w:r>
      <w:r>
        <w:t xml:space="preserve">. Si va </w:t>
      </w:r>
      <w:r w:rsidR="00182662">
        <w:t xml:space="preserve">a sentarse </w:t>
      </w:r>
      <w:r>
        <w:t xml:space="preserve">con su </w:t>
      </w:r>
      <w:r w:rsidR="00182662">
        <w:t>objeto</w:t>
      </w:r>
      <w:r>
        <w:t xml:space="preserve"> de meditación durante el día donde hay</w:t>
      </w:r>
      <w:r w:rsidR="00182662">
        <w:t>a</w:t>
      </w:r>
      <w:r>
        <w:t xml:space="preserve"> muchas clases de </w:t>
      </w:r>
      <w:r w:rsidRPr="00DA2672">
        <w:rPr>
          <w:i/>
          <w:iCs/>
        </w:rPr>
        <w:t>hojas comestibles</w:t>
      </w:r>
      <w:r>
        <w:t>, entonces las mujeres recolectoras de vegetales, mientras reco</w:t>
      </w:r>
      <w:r w:rsidR="00672986">
        <w:t>ja</w:t>
      </w:r>
      <w:r>
        <w:t>n hojas cerca</w:t>
      </w:r>
      <w:r w:rsidR="00DA2672">
        <w:t>nas</w:t>
      </w:r>
      <w:r w:rsidR="00DA2672" w:rsidRPr="00DA2672">
        <w:t xml:space="preserve"> </w:t>
      </w:r>
      <w:r w:rsidR="00DA2672">
        <w:t>cantarán</w:t>
      </w:r>
      <w:r>
        <w:t xml:space="preserve">, </w:t>
      </w:r>
      <w:r w:rsidR="00DA2672">
        <w:t xml:space="preserve">y </w:t>
      </w:r>
      <w:r w:rsidR="00672986">
        <w:t>pondrá</w:t>
      </w:r>
      <w:r w:rsidR="006D1BEF">
        <w:t>n</w:t>
      </w:r>
      <w:r w:rsidR="00672986">
        <w:t xml:space="preserve"> </w:t>
      </w:r>
      <w:r>
        <w:t xml:space="preserve">en peligro su </w:t>
      </w:r>
      <w:r w:rsidR="006D1BEF">
        <w:t xml:space="preserve">objeto </w:t>
      </w:r>
      <w:r>
        <w:t xml:space="preserve">de meditación al </w:t>
      </w:r>
      <w:r w:rsidR="006D1BEF">
        <w:t xml:space="preserve">ser </w:t>
      </w:r>
      <w:r>
        <w:t>perturba</w:t>
      </w:r>
      <w:r w:rsidR="006D1BEF">
        <w:t>d</w:t>
      </w:r>
      <w:r>
        <w:t xml:space="preserve">o </w:t>
      </w:r>
      <w:r w:rsidR="00DA2672">
        <w:t xml:space="preserve">mediante </w:t>
      </w:r>
      <w:r>
        <w:t>sonidos del sexo opuesto.</w:t>
      </w:r>
    </w:p>
    <w:p w14:paraId="68E5C9E1" w14:textId="6623F4BC" w:rsidR="00B33F6E" w:rsidRDefault="00B33F6E" w:rsidP="00B33F6E">
      <w:r>
        <w:t xml:space="preserve">7. </w:t>
      </w:r>
      <w:r>
        <w:tab/>
        <w:t>Y donde hay</w:t>
      </w:r>
      <w:r w:rsidR="00DA2672">
        <w:t>a</w:t>
      </w:r>
      <w:r>
        <w:t xml:space="preserve"> muchos tipos de arbustos en </w:t>
      </w:r>
      <w:r w:rsidRPr="00AA5EE6">
        <w:rPr>
          <w:i/>
          <w:iCs/>
        </w:rPr>
        <w:t>flor</w:t>
      </w:r>
      <w:r>
        <w:t>, también exist</w:t>
      </w:r>
      <w:r w:rsidR="00DA2672">
        <w:t>irá</w:t>
      </w:r>
      <w:r>
        <w:t xml:space="preserve"> el mismo peligro.</w:t>
      </w:r>
    </w:p>
    <w:p w14:paraId="527E9CA5" w14:textId="18EF1909" w:rsidR="00B33F6E" w:rsidRDefault="00B33F6E" w:rsidP="00B33F6E">
      <w:r>
        <w:t xml:space="preserve">9. </w:t>
      </w:r>
      <w:r>
        <w:tab/>
      </w:r>
      <w:r w:rsidRPr="002925BF">
        <w:rPr>
          <w:i/>
          <w:iCs/>
        </w:rPr>
        <w:t>8</w:t>
      </w:r>
      <w:r>
        <w:t>. Donde hay</w:t>
      </w:r>
      <w:r w:rsidR="00456F3B">
        <w:t>a</w:t>
      </w:r>
      <w:r>
        <w:t xml:space="preserve"> muchas clases de </w:t>
      </w:r>
      <w:r w:rsidRPr="002723C9">
        <w:rPr>
          <w:i/>
          <w:iCs/>
        </w:rPr>
        <w:t>frutas</w:t>
      </w:r>
      <w:r>
        <w:t xml:space="preserve"> como mangos, pomarrosas y frutas</w:t>
      </w:r>
      <w:r w:rsidR="00456F3B">
        <w:t xml:space="preserve"> de </w:t>
      </w:r>
      <w:proofErr w:type="spellStart"/>
      <w:r w:rsidR="00456F3B" w:rsidRPr="00456F3B">
        <w:rPr>
          <w:i/>
          <w:iCs/>
        </w:rPr>
        <w:t>jak</w:t>
      </w:r>
      <w:proofErr w:type="spellEnd"/>
      <w:r>
        <w:t xml:space="preserve">, las personas que </w:t>
      </w:r>
      <w:r w:rsidR="00534F46">
        <w:t>deseen tales</w:t>
      </w:r>
      <w:r>
        <w:t xml:space="preserve"> frutas </w:t>
      </w:r>
      <w:r w:rsidR="00456F3B">
        <w:t>llegarán</w:t>
      </w:r>
      <w:r>
        <w:t xml:space="preserve"> y las p</w:t>
      </w:r>
      <w:r w:rsidR="00456F3B">
        <w:t>e</w:t>
      </w:r>
      <w:r>
        <w:t>d</w:t>
      </w:r>
      <w:r w:rsidR="00456F3B">
        <w:t>irá</w:t>
      </w:r>
      <w:r>
        <w:t>n, y se enoja</w:t>
      </w:r>
      <w:r w:rsidR="00456F3B">
        <w:t>r</w:t>
      </w:r>
      <w:r w:rsidR="001D7987">
        <w:t>ía</w:t>
      </w:r>
      <w:r>
        <w:t>n si él no se las d</w:t>
      </w:r>
      <w:r w:rsidR="001D7987">
        <w:t>iera</w:t>
      </w:r>
      <w:r>
        <w:t>, o las quita</w:t>
      </w:r>
      <w:r w:rsidR="00441AE6">
        <w:t>r</w:t>
      </w:r>
      <w:r w:rsidR="001D7987">
        <w:t>ía</w:t>
      </w:r>
      <w:r>
        <w:t>n</w:t>
      </w:r>
      <w:r w:rsidR="00441AE6">
        <w:t xml:space="preserve"> a la</w:t>
      </w:r>
      <w:r>
        <w:t xml:space="preserve"> fuerza. Cuando </w:t>
      </w:r>
      <w:r w:rsidR="001D7987">
        <w:t xml:space="preserve">el </w:t>
      </w:r>
      <w:proofErr w:type="spellStart"/>
      <w:r w:rsidR="001D7987">
        <w:rPr>
          <w:i/>
          <w:iCs/>
        </w:rPr>
        <w:t>bhikkhu</w:t>
      </w:r>
      <w:proofErr w:type="spellEnd"/>
      <w:r w:rsidR="001D7987">
        <w:rPr>
          <w:i/>
          <w:iCs/>
        </w:rPr>
        <w:t xml:space="preserve"> </w:t>
      </w:r>
      <w:r>
        <w:t>camin</w:t>
      </w:r>
      <w:r w:rsidR="00441AE6">
        <w:t>e</w:t>
      </w:r>
      <w:r>
        <w:t xml:space="preserve"> por el monasterio </w:t>
      </w:r>
      <w:r w:rsidR="00441AE6">
        <w:t xml:space="preserve">durante </w:t>
      </w:r>
      <w:r>
        <w:t>la noche, lo</w:t>
      </w:r>
      <w:r w:rsidR="001D7987">
        <w:t>s</w:t>
      </w:r>
      <w:r>
        <w:t xml:space="preserve"> ve</w:t>
      </w:r>
      <w:r w:rsidR="001D7987">
        <w:t>rá</w:t>
      </w:r>
      <w:r>
        <w:t xml:space="preserve"> y le</w:t>
      </w:r>
      <w:r w:rsidR="001D7987">
        <w:t>s</w:t>
      </w:r>
      <w:r>
        <w:t xml:space="preserve"> pregunt</w:t>
      </w:r>
      <w:r w:rsidR="001D7987">
        <w:t>ará</w:t>
      </w:r>
      <w:r>
        <w:t>: "¿Por qué hacen</w:t>
      </w:r>
      <w:r w:rsidR="001D7987">
        <w:t xml:space="preserve"> eso</w:t>
      </w:r>
      <w:r>
        <w:t xml:space="preserve">, seguidores laicos?" </w:t>
      </w:r>
      <w:r w:rsidR="00E8785E">
        <w:t xml:space="preserve">lo insultarán </w:t>
      </w:r>
      <w:r>
        <w:t xml:space="preserve">a </w:t>
      </w:r>
      <w:r w:rsidR="00E8785E">
        <w:t xml:space="preserve">discreción </w:t>
      </w:r>
      <w:r>
        <w:t xml:space="preserve">e incluso </w:t>
      </w:r>
      <w:r w:rsidR="00E8785E">
        <w:t xml:space="preserve">podrían </w:t>
      </w:r>
      <w:r>
        <w:t>intenta</w:t>
      </w:r>
      <w:r w:rsidR="00E8785E">
        <w:t>r</w:t>
      </w:r>
      <w:r>
        <w:t xml:space="preserve"> desalojarlo.</w:t>
      </w:r>
    </w:p>
    <w:p w14:paraId="5E4C52F6" w14:textId="31CAC023" w:rsidR="00B33F6E" w:rsidRDefault="00B33F6E" w:rsidP="00B33F6E">
      <w:r>
        <w:t xml:space="preserve">10. </w:t>
      </w:r>
      <w:r>
        <w:tab/>
      </w:r>
      <w:r w:rsidRPr="002925BF">
        <w:rPr>
          <w:i/>
          <w:iCs/>
        </w:rPr>
        <w:t>9</w:t>
      </w:r>
      <w:r>
        <w:t xml:space="preserve">. Cuando </w:t>
      </w:r>
      <w:r w:rsidR="00E8785E">
        <w:t xml:space="preserve">se </w:t>
      </w:r>
      <w:r>
        <w:t>viv</w:t>
      </w:r>
      <w:r w:rsidR="00E8785E">
        <w:t>e</w:t>
      </w:r>
      <w:r>
        <w:t xml:space="preserve"> en un monasterio que </w:t>
      </w:r>
      <w:r w:rsidR="00E8785E">
        <w:t>sea</w:t>
      </w:r>
      <w:r>
        <w:t xml:space="preserve"> famoso y renombrado en el mundo, como </w:t>
      </w:r>
      <w:r w:rsidRPr="002723C9">
        <w:rPr>
          <w:i/>
          <w:iCs/>
        </w:rPr>
        <w:t>Dakkhiṇagiri</w:t>
      </w:r>
      <w:r w:rsidRPr="002723C9">
        <w:rPr>
          <w:i/>
          <w:iCs/>
          <w:vertAlign w:val="superscript"/>
        </w:rPr>
        <w:t>1</w:t>
      </w:r>
      <w:r>
        <w:t xml:space="preserve"> </w:t>
      </w:r>
      <w:proofErr w:type="spellStart"/>
      <w:r w:rsidRPr="002723C9">
        <w:rPr>
          <w:i/>
          <w:iCs/>
        </w:rPr>
        <w:t>Hatthikucchi</w:t>
      </w:r>
      <w:proofErr w:type="spellEnd"/>
      <w:r>
        <w:t xml:space="preserve">, </w:t>
      </w:r>
      <w:proofErr w:type="spellStart"/>
      <w:r w:rsidRPr="002723C9">
        <w:rPr>
          <w:i/>
          <w:iCs/>
        </w:rPr>
        <w:t>Cetiyagiri</w:t>
      </w:r>
      <w:proofErr w:type="spellEnd"/>
      <w:r>
        <w:t xml:space="preserve"> o </w:t>
      </w:r>
      <w:proofErr w:type="spellStart"/>
      <w:r w:rsidRPr="002723C9">
        <w:rPr>
          <w:i/>
          <w:iCs/>
        </w:rPr>
        <w:t>Cittalapabbata</w:t>
      </w:r>
      <w:proofErr w:type="spellEnd"/>
      <w:r>
        <w:t xml:space="preserve">, siempre </w:t>
      </w:r>
      <w:r w:rsidR="00243AD8">
        <w:t xml:space="preserve">llegará </w:t>
      </w:r>
      <w:r>
        <w:t>gente que quier</w:t>
      </w:r>
      <w:r w:rsidR="00243AD8">
        <w:t>a</w:t>
      </w:r>
      <w:r>
        <w:t xml:space="preserve"> rendir </w:t>
      </w:r>
      <w:r w:rsidR="00243AD8">
        <w:t>reverencia</w:t>
      </w:r>
      <w:r>
        <w:t xml:space="preserve">, suponiendo que </w:t>
      </w:r>
      <w:r w:rsidR="00243AD8">
        <w:t>haya</w:t>
      </w:r>
      <w:r>
        <w:t xml:space="preserve"> un </w:t>
      </w:r>
      <w:r w:rsidR="00057BF4" w:rsidRPr="00057BF4">
        <w:rPr>
          <w:i/>
        </w:rPr>
        <w:t>Arahant</w:t>
      </w:r>
      <w:r w:rsidR="00243AD8">
        <w:rPr>
          <w:iCs/>
        </w:rPr>
        <w:t xml:space="preserve"> presente</w:t>
      </w:r>
      <w:r>
        <w:t>, lo que incomoda</w:t>
      </w:r>
      <w:r w:rsidR="00243AD8">
        <w:t>rá</w:t>
      </w:r>
      <w:r>
        <w:t xml:space="preserve">. </w:t>
      </w:r>
      <w:r w:rsidR="00522C8D">
        <w:t xml:space="preserve">No obstante, </w:t>
      </w:r>
      <w:r>
        <w:t xml:space="preserve">si </w:t>
      </w:r>
      <w:r w:rsidR="00BF5209">
        <w:t xml:space="preserve">a él </w:t>
      </w:r>
      <w:r>
        <w:t>le convin</w:t>
      </w:r>
      <w:r w:rsidR="00BF5209">
        <w:t>iese</w:t>
      </w:r>
      <w:r>
        <w:t xml:space="preserve">, </w:t>
      </w:r>
      <w:r w:rsidR="001C4445">
        <w:t xml:space="preserve">se </w:t>
      </w:r>
      <w:r>
        <w:t>p</w:t>
      </w:r>
      <w:r w:rsidR="001C4445">
        <w:t xml:space="preserve">odrá </w:t>
      </w:r>
      <w:r w:rsidR="00BF5209">
        <w:t xml:space="preserve">pasar la </w:t>
      </w:r>
      <w:r>
        <w:t xml:space="preserve">noche </w:t>
      </w:r>
      <w:r w:rsidR="00BF5209">
        <w:t xml:space="preserve">allí </w:t>
      </w:r>
      <w:r w:rsidR="00851A7A">
        <w:t xml:space="preserve">y dirigirse </w:t>
      </w:r>
      <w:r>
        <w:t>a otro lugar durante el día.</w:t>
      </w:r>
    </w:p>
    <w:p w14:paraId="6F6B2CEA" w14:textId="23E70CB1" w:rsidR="00B33F6E" w:rsidRDefault="00B33F6E" w:rsidP="00B33F6E">
      <w:r>
        <w:t xml:space="preserve">11. </w:t>
      </w:r>
      <w:r>
        <w:tab/>
      </w:r>
      <w:r w:rsidRPr="002925BF">
        <w:rPr>
          <w:i/>
          <w:iCs/>
        </w:rPr>
        <w:t>10.</w:t>
      </w:r>
      <w:r>
        <w:t xml:space="preserve"> En uno con una </w:t>
      </w:r>
      <w:r w:rsidRPr="002723C9">
        <w:rPr>
          <w:i/>
          <w:iCs/>
        </w:rPr>
        <w:t>ciudad cercana</w:t>
      </w:r>
      <w:r>
        <w:t xml:space="preserve"> se </w:t>
      </w:r>
      <w:r w:rsidR="00A33E69">
        <w:t>expon</w:t>
      </w:r>
      <w:r w:rsidR="00C40B98">
        <w:t>drá</w:t>
      </w:r>
      <w:r w:rsidR="00A33E69">
        <w:t xml:space="preserve"> </w:t>
      </w:r>
      <w:r w:rsidR="00C40B98">
        <w:t>a</w:t>
      </w:r>
      <w:r w:rsidR="00A33E69">
        <w:t xml:space="preserve"> los</w:t>
      </w:r>
      <w:r>
        <w:t xml:space="preserve"> objetos del sexo opuesto. Las portadoras de ollas pasa</w:t>
      </w:r>
      <w:r w:rsidR="00D748E8">
        <w:t>rá</w:t>
      </w:r>
      <w:r>
        <w:t xml:space="preserve">n chocando con él con sus cántaros y </w:t>
      </w:r>
      <w:r w:rsidR="000C20FA">
        <w:t xml:space="preserve">lo harán </w:t>
      </w:r>
      <w:r>
        <w:t>sin dejar</w:t>
      </w:r>
      <w:r w:rsidR="00D748E8">
        <w:t>le el</w:t>
      </w:r>
      <w:r>
        <w:t xml:space="preserve"> paso. También</w:t>
      </w:r>
    </w:p>
    <w:p w14:paraId="7DA6EE69" w14:textId="203766D1" w:rsidR="00B33F6E" w:rsidRPr="00B33F6E" w:rsidRDefault="00B33F6E" w:rsidP="00B33F6E">
      <w:pPr>
        <w:pStyle w:val="PiedepginaLegal"/>
        <w:rPr>
          <w:u w:val="single"/>
        </w:rPr>
      </w:pPr>
      <w:r w:rsidRPr="00B33F6E">
        <w:rPr>
          <w:u w:val="single"/>
        </w:rPr>
        <w:t xml:space="preserve">                                                                                                                                                            .</w:t>
      </w:r>
    </w:p>
    <w:p w14:paraId="5BBFBE1B" w14:textId="2B08F551" w:rsidR="00790024" w:rsidRDefault="00B33F6E" w:rsidP="00B33F6E">
      <w:pPr>
        <w:pStyle w:val="PiedepginaLegal"/>
      </w:pPr>
      <w:r>
        <w:t xml:space="preserve">1. </w:t>
      </w:r>
      <w:r>
        <w:tab/>
        <w:t>“</w:t>
      </w:r>
      <w:r w:rsidR="00A11467">
        <w:t>Ellos d</w:t>
      </w:r>
      <w:r>
        <w:t xml:space="preserve">icen que es el </w:t>
      </w:r>
      <w:proofErr w:type="spellStart"/>
      <w:r w:rsidRPr="002723C9">
        <w:rPr>
          <w:i/>
          <w:iCs/>
        </w:rPr>
        <w:t>Dakkhiṇagiri</w:t>
      </w:r>
      <w:proofErr w:type="spellEnd"/>
      <w:r>
        <w:t xml:space="preserve"> </w:t>
      </w:r>
      <w:r w:rsidR="00A11467">
        <w:t>d</w:t>
      </w:r>
      <w:r>
        <w:t>el país de Magadha” (</w:t>
      </w:r>
      <w:proofErr w:type="spellStart"/>
      <w:r>
        <w:t>Vism-mhṭ</w:t>
      </w:r>
      <w:proofErr w:type="spellEnd"/>
      <w:r>
        <w:t xml:space="preserve"> 116). Hay mención de un </w:t>
      </w:r>
      <w:proofErr w:type="spellStart"/>
      <w:r w:rsidRPr="002723C9">
        <w:rPr>
          <w:i/>
          <w:iCs/>
        </w:rPr>
        <w:t>Dakkhiṇagiri-vihāra</w:t>
      </w:r>
      <w:proofErr w:type="spellEnd"/>
      <w:r>
        <w:t xml:space="preserve"> en M-a II 293 y en otr</w:t>
      </w:r>
      <w:r w:rsidR="00C40B98">
        <w:t>a</w:t>
      </w:r>
      <w:r>
        <w:t xml:space="preserve">s </w:t>
      </w:r>
      <w:r w:rsidR="00C40B98">
        <w:t>fuentes</w:t>
      </w:r>
      <w:r>
        <w:t>.</w:t>
      </w:r>
    </w:p>
    <w:p w14:paraId="5C057469" w14:textId="77777777" w:rsidR="00790024" w:rsidRDefault="00790024">
      <w:pPr>
        <w:tabs>
          <w:tab w:val="clear" w:pos="425"/>
        </w:tabs>
        <w:spacing w:after="160"/>
      </w:pPr>
      <w:r>
        <w:br w:type="page"/>
      </w:r>
    </w:p>
    <w:p w14:paraId="092012EA" w14:textId="77777777" w:rsidR="00C52208" w:rsidRDefault="00C52208" w:rsidP="00C52208"/>
    <w:p w14:paraId="2926A911" w14:textId="13AB8120" w:rsidR="00C52208" w:rsidRDefault="00C52208" w:rsidP="00C52208">
      <w:r>
        <w:t>personas importantes extende</w:t>
      </w:r>
      <w:r w:rsidR="000C20FA">
        <w:t>rá</w:t>
      </w:r>
      <w:r>
        <w:t xml:space="preserve">n </w:t>
      </w:r>
      <w:r w:rsidR="000C20FA">
        <w:t xml:space="preserve">sus </w:t>
      </w:r>
      <w:r>
        <w:t>alfombras en medio del monasterio y se senta</w:t>
      </w:r>
      <w:r w:rsidR="000C20FA">
        <w:t>rá</w:t>
      </w:r>
      <w:r>
        <w:t>n</w:t>
      </w:r>
      <w:r w:rsidR="000C20FA">
        <w:t xml:space="preserve"> en </w:t>
      </w:r>
      <w:r w:rsidR="002C4D75">
        <w:t>ellas</w:t>
      </w:r>
      <w:r>
        <w:t>.</w:t>
      </w:r>
    </w:p>
    <w:p w14:paraId="4B30C94B" w14:textId="01CC586D" w:rsidR="00C52208" w:rsidRDefault="00C52208" w:rsidP="00C52208">
      <w:r>
        <w:t xml:space="preserve">12. </w:t>
      </w:r>
      <w:r>
        <w:tab/>
        <w:t>11. Un</w:t>
      </w:r>
      <w:r w:rsidR="002C4D75">
        <w:t xml:space="preserve"> monasterio </w:t>
      </w:r>
      <w:r w:rsidRPr="0033545D">
        <w:rPr>
          <w:i/>
          <w:iCs/>
        </w:rPr>
        <w:t xml:space="preserve">con </w:t>
      </w:r>
      <w:r w:rsidR="0033545D" w:rsidRPr="0033545D">
        <w:rPr>
          <w:i/>
          <w:iCs/>
        </w:rPr>
        <w:t>árboles</w:t>
      </w:r>
      <w:r w:rsidRPr="0033545D">
        <w:rPr>
          <w:i/>
          <w:iCs/>
        </w:rPr>
        <w:t xml:space="preserve"> cerca</w:t>
      </w:r>
      <w:r w:rsidR="002C4D75">
        <w:rPr>
          <w:i/>
          <w:iCs/>
        </w:rPr>
        <w:t>nos</w:t>
      </w:r>
      <w:r>
        <w:t xml:space="preserve"> donde hay</w:t>
      </w:r>
      <w:r w:rsidR="002C4D75">
        <w:t>a</w:t>
      </w:r>
      <w:r>
        <w:t xml:space="preserve"> maderables y mimbres útiles para </w:t>
      </w:r>
      <w:r w:rsidR="002C4D75">
        <w:t xml:space="preserve">fabricar </w:t>
      </w:r>
      <w:r>
        <w:t>armaz</w:t>
      </w:r>
      <w:r w:rsidR="002C4D75">
        <w:t>ones</w:t>
      </w:r>
      <w:r>
        <w:t xml:space="preserve">, </w:t>
      </w:r>
      <w:r w:rsidR="00BA3402">
        <w:t>será</w:t>
      </w:r>
      <w:r>
        <w:t xml:space="preserve"> inconveniente </w:t>
      </w:r>
      <w:r w:rsidR="00BA3402">
        <w:t>debido a</w:t>
      </w:r>
      <w:r>
        <w:t xml:space="preserve"> los recolectores de madera, como los de ramas y frutos ya dichos. Si </w:t>
      </w:r>
      <w:r w:rsidR="00A82158">
        <w:t>hubiese</w:t>
      </w:r>
      <w:r>
        <w:t xml:space="preserve"> árboles en un monasterio, la gente </w:t>
      </w:r>
      <w:r w:rsidR="00F11B80">
        <w:t>llegará</w:t>
      </w:r>
      <w:r>
        <w:t xml:space="preserve"> y los tala</w:t>
      </w:r>
      <w:r w:rsidR="00F11B80">
        <w:t>rá</w:t>
      </w:r>
      <w:r>
        <w:t xml:space="preserve"> para construir casas. Cuando ha</w:t>
      </w:r>
      <w:r w:rsidR="00F11B80">
        <w:t>ya</w:t>
      </w:r>
      <w:r>
        <w:t xml:space="preserve"> salido de su sala de meditación por la noche y est</w:t>
      </w:r>
      <w:r w:rsidR="00F11B80">
        <w:t>é</w:t>
      </w:r>
      <w:r>
        <w:t xml:space="preserve"> caminando de un lado a otro </w:t>
      </w:r>
      <w:r w:rsidR="00A82158">
        <w:t xml:space="preserve">por </w:t>
      </w:r>
      <w:r>
        <w:t>el monasterio, si los v</w:t>
      </w:r>
      <w:r w:rsidR="00A82158">
        <w:t>iese</w:t>
      </w:r>
      <w:r>
        <w:t xml:space="preserve"> y les pregunta</w:t>
      </w:r>
      <w:r w:rsidR="00BC6956">
        <w:t>se</w:t>
      </w:r>
      <w:r>
        <w:t>: “¿Por qué hacen</w:t>
      </w:r>
      <w:r w:rsidR="00BC6956">
        <w:t xml:space="preserve"> eso</w:t>
      </w:r>
      <w:r>
        <w:t xml:space="preserve">, seguidores laicos?” </w:t>
      </w:r>
      <w:r w:rsidR="00E65CA4">
        <w:t xml:space="preserve">podrían insultarlo </w:t>
      </w:r>
      <w:r>
        <w:t xml:space="preserve">a </w:t>
      </w:r>
      <w:r w:rsidR="00E65CA4">
        <w:t xml:space="preserve">discreción </w:t>
      </w:r>
      <w:r>
        <w:t xml:space="preserve">e incluso </w:t>
      </w:r>
      <w:r w:rsidR="00E65CA4">
        <w:t xml:space="preserve">podrían </w:t>
      </w:r>
      <w:r>
        <w:t>intenta</w:t>
      </w:r>
      <w:r w:rsidR="00E65CA4">
        <w:t>r</w:t>
      </w:r>
      <w:r>
        <w:t xml:space="preserve"> desalojarlo.</w:t>
      </w:r>
    </w:p>
    <w:p w14:paraId="29A70D1A" w14:textId="0582FD9B" w:rsidR="00C52208" w:rsidRDefault="00C52208" w:rsidP="00C52208">
      <w:r>
        <w:t xml:space="preserve">13. </w:t>
      </w:r>
      <w:r>
        <w:tab/>
        <w:t>12. La gente ha</w:t>
      </w:r>
      <w:r w:rsidR="00852059">
        <w:t>rá</w:t>
      </w:r>
      <w:r>
        <w:t xml:space="preserve"> uso de un</w:t>
      </w:r>
      <w:r w:rsidR="00852059">
        <w:t xml:space="preserve"> monasterio</w:t>
      </w:r>
      <w:r>
        <w:t xml:space="preserve"> </w:t>
      </w:r>
      <w:r w:rsidR="006B1F66">
        <w:t>que se encuentre cerca de</w:t>
      </w:r>
      <w:r>
        <w:t xml:space="preserve"> </w:t>
      </w:r>
      <w:r w:rsidRPr="0033545D">
        <w:rPr>
          <w:i/>
          <w:iCs/>
        </w:rPr>
        <w:t>campos de cultivo</w:t>
      </w:r>
      <w:r>
        <w:t xml:space="preserve"> </w:t>
      </w:r>
      <w:r w:rsidRPr="0033545D">
        <w:rPr>
          <w:i/>
          <w:iCs/>
        </w:rPr>
        <w:t>cercanos</w:t>
      </w:r>
      <w:r>
        <w:t xml:space="preserve">, </w:t>
      </w:r>
      <w:r w:rsidR="006B1F66">
        <w:t>o bien</w:t>
      </w:r>
      <w:r>
        <w:t xml:space="preserve"> rodeado de </w:t>
      </w:r>
      <w:r w:rsidR="006B1F66">
        <w:t>campos</w:t>
      </w:r>
      <w:r>
        <w:t xml:space="preserve">. </w:t>
      </w:r>
      <w:r w:rsidR="006B1F66">
        <w:t>La gente h</w:t>
      </w:r>
      <w:r>
        <w:t>a</w:t>
      </w:r>
      <w:r w:rsidR="004141D4">
        <w:t>rá</w:t>
      </w:r>
      <w:r>
        <w:t xml:space="preserve"> un</w:t>
      </w:r>
      <w:r w:rsidR="004141D4">
        <w:t xml:space="preserve"> piso de madera</w:t>
      </w:r>
      <w:r>
        <w:t xml:space="preserve"> en medio del propio monasterio. Allí trilla</w:t>
      </w:r>
      <w:r w:rsidR="004141D4">
        <w:t>rá</w:t>
      </w:r>
      <w:r>
        <w:t>n maíz, lo seca</w:t>
      </w:r>
      <w:r w:rsidR="004141D4">
        <w:t>rá</w:t>
      </w:r>
      <w:r>
        <w:t>n en los patios</w:t>
      </w:r>
      <w:r w:rsidRPr="00DB7F0D">
        <w:rPr>
          <w:vertAlign w:val="superscript"/>
        </w:rPr>
        <w:t>2</w:t>
      </w:r>
      <w:r>
        <w:t xml:space="preserve"> y causa</w:t>
      </w:r>
      <w:r w:rsidR="00F62A53">
        <w:t>rá</w:t>
      </w:r>
      <w:r>
        <w:t>n grandes molestias. Y donde hay</w:t>
      </w:r>
      <w:r w:rsidR="00F62A53">
        <w:t>a</w:t>
      </w:r>
      <w:r>
        <w:t xml:space="preserve"> </w:t>
      </w:r>
      <w:r w:rsidR="00F62A53">
        <w:t xml:space="preserve">una </w:t>
      </w:r>
      <w:r>
        <w:t xml:space="preserve">extensa propiedad de la Comunidad, los </w:t>
      </w:r>
      <w:r w:rsidR="006B1F66">
        <w:t>patronos</w:t>
      </w:r>
      <w:r>
        <w:t xml:space="preserve"> del monasterio </w:t>
      </w:r>
      <w:r w:rsidR="00264BED">
        <w:t xml:space="preserve">podrían </w:t>
      </w:r>
      <w:r>
        <w:t>incauta</w:t>
      </w:r>
      <w:r w:rsidR="00F62A53">
        <w:t>r</w:t>
      </w:r>
      <w:r>
        <w:t xml:space="preserve"> el ganado de las familias y </w:t>
      </w:r>
      <w:r w:rsidR="00F62A53">
        <w:t xml:space="preserve">ellos </w:t>
      </w:r>
      <w:r w:rsidR="00264BED">
        <w:t xml:space="preserve">podrían </w:t>
      </w:r>
      <w:r>
        <w:t>nega</w:t>
      </w:r>
      <w:r w:rsidR="00F62A53">
        <w:t>r</w:t>
      </w:r>
      <w:r w:rsidR="00264BED">
        <w:t>se</w:t>
      </w:r>
      <w:r>
        <w:t xml:space="preserve"> </w:t>
      </w:r>
      <w:r w:rsidR="00A53045">
        <w:t xml:space="preserve">a proporcionar </w:t>
      </w:r>
      <w:r>
        <w:t>suministro de agua [</w:t>
      </w:r>
      <w:r w:rsidR="00D670BE">
        <w:t>par</w:t>
      </w:r>
      <w:r>
        <w:t>a sus cultivos]. [121] Luego, la gente trae</w:t>
      </w:r>
      <w:r w:rsidR="00A53045">
        <w:t>r</w:t>
      </w:r>
      <w:r w:rsidR="000D08F6">
        <w:t>ía</w:t>
      </w:r>
      <w:r>
        <w:t xml:space="preserve"> mazorca</w:t>
      </w:r>
      <w:r w:rsidR="00120F29">
        <w:t>s</w:t>
      </w:r>
      <w:r>
        <w:t xml:space="preserve"> de arroz y la m</w:t>
      </w:r>
      <w:r w:rsidR="00120F29">
        <w:t>o</w:t>
      </w:r>
      <w:r>
        <w:t>stra</w:t>
      </w:r>
      <w:r w:rsidR="00120F29">
        <w:t>r</w:t>
      </w:r>
      <w:r w:rsidR="000D08F6">
        <w:t>ía</w:t>
      </w:r>
      <w:r>
        <w:t xml:space="preserve"> a la Comunidad diciendo: "Mir</w:t>
      </w:r>
      <w:r w:rsidR="00120F29">
        <w:t>en</w:t>
      </w:r>
      <w:r>
        <w:t xml:space="preserve"> el trabajo de los </w:t>
      </w:r>
      <w:r w:rsidR="000D08F6">
        <w:t xml:space="preserve">patronos </w:t>
      </w:r>
      <w:r>
        <w:t xml:space="preserve">de </w:t>
      </w:r>
      <w:r w:rsidR="00120F29">
        <w:t xml:space="preserve">vuestro </w:t>
      </w:r>
      <w:r>
        <w:t xml:space="preserve">monasterio". Por una razón u otra </w:t>
      </w:r>
      <w:r w:rsidR="00120F29">
        <w:t xml:space="preserve">tendrán </w:t>
      </w:r>
      <w:r>
        <w:t>que ir a</w:t>
      </w:r>
      <w:r w:rsidR="00120F29">
        <w:t>nte</w:t>
      </w:r>
      <w:r>
        <w:t xml:space="preserve"> los portales del rey o de los ministros del rey. Esta</w:t>
      </w:r>
      <w:r w:rsidR="00FD1B45">
        <w:t xml:space="preserve"> </w:t>
      </w:r>
      <w:r>
        <w:t xml:space="preserve">cuestión de </w:t>
      </w:r>
      <w:r w:rsidR="006B1F66">
        <w:t xml:space="preserve">la </w:t>
      </w:r>
      <w:r>
        <w:t>propiedad perteneciente a la Comunidad est</w:t>
      </w:r>
      <w:r w:rsidR="006B1F66">
        <w:t>ar</w:t>
      </w:r>
      <w:r>
        <w:t xml:space="preserve">á </w:t>
      </w:r>
      <w:r w:rsidR="00FD1B45">
        <w:t xml:space="preserve">involucrada </w:t>
      </w:r>
      <w:r w:rsidR="00F92124">
        <w:t xml:space="preserve">con </w:t>
      </w:r>
      <w:r>
        <w:t>un monasterio que est</w:t>
      </w:r>
      <w:r w:rsidR="006B1F66">
        <w:t>é</w:t>
      </w:r>
      <w:r>
        <w:t xml:space="preserve"> cerca </w:t>
      </w:r>
      <w:r w:rsidR="00D670BE">
        <w:t>a</w:t>
      </w:r>
      <w:r>
        <w:t xml:space="preserve"> campos de cultivo.</w:t>
      </w:r>
    </w:p>
    <w:p w14:paraId="08AE6388" w14:textId="30C4653D" w:rsidR="00C52208" w:rsidRDefault="00C52208" w:rsidP="00C52208">
      <w:r>
        <w:t xml:space="preserve">14. </w:t>
      </w:r>
      <w:r>
        <w:tab/>
        <w:t xml:space="preserve">13. </w:t>
      </w:r>
      <w:r w:rsidRPr="0033545D">
        <w:rPr>
          <w:i/>
          <w:iCs/>
        </w:rPr>
        <w:t>Presencia de personas incompatibles</w:t>
      </w:r>
      <w:r>
        <w:t>: donde hay</w:t>
      </w:r>
      <w:r w:rsidR="00F92124">
        <w:t>a</w:t>
      </w:r>
      <w:r>
        <w:t xml:space="preserve"> </w:t>
      </w:r>
      <w:proofErr w:type="spellStart"/>
      <w:r w:rsidR="00057BF4" w:rsidRPr="00057BF4">
        <w:rPr>
          <w:i/>
          <w:iCs/>
        </w:rPr>
        <w:t>bhikkhu</w:t>
      </w:r>
      <w:r w:rsidRPr="0033545D">
        <w:rPr>
          <w:i/>
          <w:iCs/>
        </w:rPr>
        <w:t>s</w:t>
      </w:r>
      <w:proofErr w:type="spellEnd"/>
      <w:r>
        <w:t xml:space="preserve"> </w:t>
      </w:r>
      <w:r w:rsidR="00D670BE">
        <w:t xml:space="preserve">viviendo y </w:t>
      </w:r>
      <w:r>
        <w:t>que s</w:t>
      </w:r>
      <w:r w:rsidR="00F92124">
        <w:t>ea</w:t>
      </w:r>
      <w:r>
        <w:t>n incompatibles</w:t>
      </w:r>
      <w:r w:rsidR="00E16E50">
        <w:t>,</w:t>
      </w:r>
      <w:r>
        <w:t xml:space="preserve"> mutuamente hostiles, cuando </w:t>
      </w:r>
      <w:r w:rsidR="00DC7CCC">
        <w:t xml:space="preserve">se </w:t>
      </w:r>
      <w:r>
        <w:t>cho</w:t>
      </w:r>
      <w:r w:rsidR="00F92124">
        <w:t>que</w:t>
      </w:r>
      <w:r w:rsidR="00DC7CCC">
        <w:t xml:space="preserve"> con ellos</w:t>
      </w:r>
      <w:r>
        <w:t xml:space="preserve"> y se protest</w:t>
      </w:r>
      <w:r w:rsidR="00F92124">
        <w:t>e</w:t>
      </w:r>
      <w:r>
        <w:t>, “Venerables señores, no hagan</w:t>
      </w:r>
      <w:r w:rsidR="00F92124">
        <w:t xml:space="preserve"> eso</w:t>
      </w:r>
      <w:r>
        <w:t xml:space="preserve">”, </w:t>
      </w:r>
      <w:r w:rsidR="00E4340F">
        <w:t xml:space="preserve">se </w:t>
      </w:r>
      <w:r>
        <w:t>exclam</w:t>
      </w:r>
      <w:r w:rsidR="00E16E50">
        <w:t>ará</w:t>
      </w:r>
      <w:r>
        <w:t xml:space="preserve">, “Ya no </w:t>
      </w:r>
      <w:r w:rsidR="00E4340F">
        <w:t>consideramos</w:t>
      </w:r>
      <w:r>
        <w:t xml:space="preserve"> ahora que esto ha</w:t>
      </w:r>
      <w:r w:rsidR="0044252C">
        <w:t>ya</w:t>
      </w:r>
      <w:r>
        <w:t xml:space="preserve"> </w:t>
      </w:r>
      <w:r w:rsidR="0044252C">
        <w:t>pro</w:t>
      </w:r>
      <w:r>
        <w:t xml:space="preserve">venido </w:t>
      </w:r>
      <w:r w:rsidR="0044252C">
        <w:t xml:space="preserve">de </w:t>
      </w:r>
      <w:proofErr w:type="gramStart"/>
      <w:r w:rsidR="0044252C">
        <w:t>una usuario</w:t>
      </w:r>
      <w:proofErr w:type="gramEnd"/>
      <w:r w:rsidR="0044252C">
        <w:t xml:space="preserve"> de harapos desechados</w:t>
      </w:r>
      <w:r w:rsidR="00E16E50">
        <w:t>”</w:t>
      </w:r>
    </w:p>
    <w:p w14:paraId="252D1E04" w14:textId="1DAE0D7E" w:rsidR="00C52208" w:rsidRDefault="00C52208" w:rsidP="00C52208">
      <w:r>
        <w:t xml:space="preserve">15. </w:t>
      </w:r>
      <w:r>
        <w:tab/>
        <w:t>14. Uno que ten</w:t>
      </w:r>
      <w:r w:rsidR="0044252C">
        <w:t>ga</w:t>
      </w:r>
      <w:r>
        <w:t xml:space="preserve"> un puerto de </w:t>
      </w:r>
      <w:r w:rsidRPr="0033545D">
        <w:rPr>
          <w:i/>
          <w:iCs/>
        </w:rPr>
        <w:t>entrada marítimo</w:t>
      </w:r>
      <w:r>
        <w:t xml:space="preserve"> </w:t>
      </w:r>
      <w:r w:rsidRPr="0033545D">
        <w:rPr>
          <w:i/>
          <w:iCs/>
        </w:rPr>
        <w:t>cercano</w:t>
      </w:r>
      <w:r>
        <w:t xml:space="preserve"> </w:t>
      </w:r>
      <w:r w:rsidRPr="00DC50A8">
        <w:rPr>
          <w:i/>
          <w:iCs/>
        </w:rPr>
        <w:t>o un puerto de entrada terrestre</w:t>
      </w:r>
      <w:r w:rsidRPr="00DB7F0D">
        <w:rPr>
          <w:vertAlign w:val="superscript"/>
        </w:rPr>
        <w:t>3</w:t>
      </w:r>
      <w:r>
        <w:t xml:space="preserve"> se ve</w:t>
      </w:r>
      <w:r w:rsidR="00827D53">
        <w:t>rá</w:t>
      </w:r>
      <w:r>
        <w:t xml:space="preserve"> inc</w:t>
      </w:r>
      <w:r w:rsidR="00827D53">
        <w:t>o</w:t>
      </w:r>
      <w:r>
        <w:t>mod</w:t>
      </w:r>
      <w:r w:rsidR="00827D53">
        <w:t>ado</w:t>
      </w:r>
      <w:r>
        <w:t xml:space="preserve"> por gente que lleg</w:t>
      </w:r>
      <w:r w:rsidR="00827D53">
        <w:t>ue</w:t>
      </w:r>
      <w:r>
        <w:t xml:space="preserve"> constantemente en barco o en caravana, </w:t>
      </w:r>
      <w:r w:rsidR="00827D53">
        <w:t xml:space="preserve">respectivamente, </w:t>
      </w:r>
      <w:r>
        <w:t xml:space="preserve">y </w:t>
      </w:r>
      <w:r w:rsidR="0044252C">
        <w:t xml:space="preserve">habrá </w:t>
      </w:r>
      <w:r>
        <w:t>aglomera</w:t>
      </w:r>
      <w:r w:rsidR="0044252C">
        <w:t>ción</w:t>
      </w:r>
      <w:r>
        <w:t xml:space="preserve">, pidiendo </w:t>
      </w:r>
      <w:r w:rsidR="00FD2A96">
        <w:t>alojamientos</w:t>
      </w:r>
      <w:r w:rsidR="00827D53">
        <w:t>,</w:t>
      </w:r>
      <w:r>
        <w:t xml:space="preserve"> agua potable o sal.</w:t>
      </w:r>
    </w:p>
    <w:p w14:paraId="4EE54F7A" w14:textId="3E2B8DA0" w:rsidR="00C52208" w:rsidRDefault="00C52208" w:rsidP="00C52208">
      <w:r>
        <w:t xml:space="preserve">16. </w:t>
      </w:r>
      <w:r>
        <w:tab/>
        <w:t xml:space="preserve">15. En el caso de uno cerca </w:t>
      </w:r>
      <w:r w:rsidR="00437105">
        <w:t xml:space="preserve">a </w:t>
      </w:r>
      <w:r>
        <w:t xml:space="preserve">países fronterizos, </w:t>
      </w:r>
      <w:r w:rsidR="00FD2A96">
        <w:t xml:space="preserve">en lugares así </w:t>
      </w:r>
      <w:r>
        <w:t>la gente no ten</w:t>
      </w:r>
      <w:r w:rsidR="00FD2A96">
        <w:t>drá</w:t>
      </w:r>
      <w:r>
        <w:t xml:space="preserve"> confianza en el </w:t>
      </w:r>
      <w:r w:rsidR="00057BF4" w:rsidRPr="00057BF4">
        <w:rPr>
          <w:i/>
        </w:rPr>
        <w:t>Buddha</w:t>
      </w:r>
      <w:r>
        <w:t>, etc.</w:t>
      </w:r>
    </w:p>
    <w:p w14:paraId="4E26D4DC" w14:textId="7189F751" w:rsidR="00C52208" w:rsidRDefault="00C52208" w:rsidP="00C52208">
      <w:pPr>
        <w:pStyle w:val="NormalConSangria"/>
      </w:pPr>
      <w:r>
        <w:tab/>
        <w:t xml:space="preserve">16. En </w:t>
      </w:r>
      <w:r w:rsidRPr="00DC50A8">
        <w:rPr>
          <w:i/>
          <w:iCs/>
        </w:rPr>
        <w:t>uno cerca de la frontera de un reino</w:t>
      </w:r>
      <w:r>
        <w:t xml:space="preserve"> ha</w:t>
      </w:r>
      <w:r w:rsidR="00BB11FF">
        <w:t>brá</w:t>
      </w:r>
      <w:r>
        <w:t xml:space="preserve"> temor </w:t>
      </w:r>
      <w:r w:rsidR="00BB11FF">
        <w:t>hacia</w:t>
      </w:r>
      <w:r>
        <w:t xml:space="preserve"> los reyes. Porque tal vez un rey ataque e</w:t>
      </w:r>
      <w:r w:rsidR="002C20E9">
        <w:t>l</w:t>
      </w:r>
      <w:r>
        <w:t xml:space="preserve"> lugar, pensando: "No se somete</w:t>
      </w:r>
      <w:r w:rsidR="00BB11FF">
        <w:t>n</w:t>
      </w:r>
      <w:r>
        <w:t xml:space="preserve"> a mi dominio", y el otro ha</w:t>
      </w:r>
      <w:r w:rsidR="00BB11FF">
        <w:t>rá</w:t>
      </w:r>
      <w:r>
        <w:t xml:space="preserve"> lo mismo, pensando: "No se somete a mi dominio". Un </w:t>
      </w:r>
      <w:proofErr w:type="spellStart"/>
      <w:r w:rsidR="00057BF4" w:rsidRPr="00057BF4">
        <w:rPr>
          <w:i/>
          <w:iCs/>
        </w:rPr>
        <w:t>bhikkhu</w:t>
      </w:r>
      <w:proofErr w:type="spellEnd"/>
      <w:r>
        <w:t xml:space="preserve"> </w:t>
      </w:r>
      <w:r w:rsidR="00BB11FF">
        <w:t xml:space="preserve">que </w:t>
      </w:r>
      <w:r>
        <w:t>viv</w:t>
      </w:r>
      <w:r w:rsidR="00BB11FF">
        <w:t>a</w:t>
      </w:r>
      <w:r>
        <w:t xml:space="preserve"> </w:t>
      </w:r>
      <w:r w:rsidR="00437105">
        <w:t>en un lugar así,</w:t>
      </w:r>
      <w:r>
        <w:t xml:space="preserve"> cuando </w:t>
      </w:r>
      <w:r w:rsidR="00BB11FF">
        <w:t>sea</w:t>
      </w:r>
      <w:r>
        <w:t xml:space="preserve"> conquistado por un rey y </w:t>
      </w:r>
      <w:r w:rsidR="00BB11FF">
        <w:t>re</w:t>
      </w:r>
      <w:r>
        <w:t>conquistado por el otro</w:t>
      </w:r>
      <w:r w:rsidR="002A6CF3">
        <w:t xml:space="preserve"> será e</w:t>
      </w:r>
      <w:r>
        <w:t xml:space="preserve">ntonces </w:t>
      </w:r>
      <w:r w:rsidR="002A6CF3">
        <w:t xml:space="preserve">objeto de </w:t>
      </w:r>
      <w:r>
        <w:t>sospecha</w:t>
      </w:r>
      <w:r w:rsidR="002A6CF3">
        <w:t>s</w:t>
      </w:r>
      <w:r>
        <w:t xml:space="preserve"> </w:t>
      </w:r>
      <w:r w:rsidR="002A6CF3">
        <w:t xml:space="preserve">y </w:t>
      </w:r>
      <w:r w:rsidR="002C20E9">
        <w:t xml:space="preserve">se pensará </w:t>
      </w:r>
      <w:r>
        <w:t xml:space="preserve">que </w:t>
      </w:r>
      <w:r w:rsidR="002A6CF3">
        <w:t xml:space="preserve">se encuentra en el lugar </w:t>
      </w:r>
      <w:r w:rsidR="0031552A">
        <w:t xml:space="preserve">para </w:t>
      </w:r>
      <w:r>
        <w:t>espia</w:t>
      </w:r>
      <w:r w:rsidR="0031552A">
        <w:t>r</w:t>
      </w:r>
      <w:r>
        <w:t xml:space="preserve"> y provoca</w:t>
      </w:r>
      <w:r w:rsidR="0031552A">
        <w:t>r</w:t>
      </w:r>
      <w:r>
        <w:t xml:space="preserve"> su ruina.</w:t>
      </w:r>
    </w:p>
    <w:p w14:paraId="42C0D815" w14:textId="6058CA35" w:rsidR="00C52208" w:rsidRDefault="00C52208" w:rsidP="00C52208">
      <w:r>
        <w:t xml:space="preserve">17. </w:t>
      </w:r>
      <w:r>
        <w:tab/>
        <w:t xml:space="preserve">17. </w:t>
      </w:r>
      <w:r w:rsidR="004972A3" w:rsidRPr="004972A3">
        <w:rPr>
          <w:i/>
          <w:iCs/>
        </w:rPr>
        <w:t xml:space="preserve">Falta de idoneidad </w:t>
      </w:r>
      <w:r>
        <w:t xml:space="preserve">es la debida al riesgo de encontrar </w:t>
      </w:r>
      <w:r w:rsidR="004972A3">
        <w:t>objetos</w:t>
      </w:r>
      <w:r>
        <w:t xml:space="preserve"> visibles, etc., </w:t>
      </w:r>
      <w:r w:rsidR="00B240B5">
        <w:t xml:space="preserve">objetos </w:t>
      </w:r>
      <w:r>
        <w:t xml:space="preserve">del sexo opuesto </w:t>
      </w:r>
      <w:r w:rsidR="00B240B5">
        <w:t xml:space="preserve">o </w:t>
      </w:r>
      <w:r>
        <w:t>la persecución por parte de seres no</w:t>
      </w:r>
      <w:r w:rsidR="00B240B5">
        <w:t>-</w:t>
      </w:r>
      <w:r>
        <w:t>humanos. Aquí una historia</w:t>
      </w:r>
      <w:r w:rsidR="00B240B5">
        <w:t>:</w:t>
      </w:r>
      <w:r>
        <w:t xml:space="preserve"> Parece que un </w:t>
      </w:r>
      <w:r w:rsidR="00936C91">
        <w:t>Venerable</w:t>
      </w:r>
      <w:r>
        <w:t xml:space="preserve"> vivía en un bosque. Entonces una </w:t>
      </w:r>
      <w:proofErr w:type="spellStart"/>
      <w:r>
        <w:t>ogresa</w:t>
      </w:r>
      <w:proofErr w:type="spellEnd"/>
      <w:r>
        <w:t xml:space="preserve"> se paró en la puerta de su choza de hojas y cantó. El </w:t>
      </w:r>
      <w:r w:rsidR="00936C91">
        <w:t xml:space="preserve">Venerable </w:t>
      </w:r>
      <w:r>
        <w:t xml:space="preserve">salió y se paró en la puerta. </w:t>
      </w:r>
      <w:r w:rsidR="0083544A">
        <w:t>Ella f</w:t>
      </w:r>
      <w:r>
        <w:t xml:space="preserve">ue hasta el final del camino y cantó. El </w:t>
      </w:r>
      <w:r w:rsidR="00936C91">
        <w:t xml:space="preserve">Venerable </w:t>
      </w:r>
      <w:r>
        <w:t xml:space="preserve">fue hasta el final del camino. </w:t>
      </w:r>
      <w:r w:rsidR="0083544A">
        <w:t>Ella s</w:t>
      </w:r>
      <w:r>
        <w:t xml:space="preserve">e paró en un abismo de cien brazas de profundidad y </w:t>
      </w:r>
    </w:p>
    <w:p w14:paraId="7B2E8780" w14:textId="7967BA0C" w:rsidR="00C52208" w:rsidRPr="00C52208" w:rsidRDefault="00C52208" w:rsidP="00C52208">
      <w:pPr>
        <w:pStyle w:val="PiedepginaLegal"/>
        <w:rPr>
          <w:u w:val="single"/>
        </w:rPr>
      </w:pPr>
      <w:r w:rsidRPr="00C52208">
        <w:rPr>
          <w:u w:val="single"/>
        </w:rPr>
        <w:t xml:space="preserve">                                                                                                                                                            .</w:t>
      </w:r>
    </w:p>
    <w:p w14:paraId="43112C97" w14:textId="1B595B91" w:rsidR="00C52208" w:rsidRDefault="00C52208" w:rsidP="00C52208">
      <w:pPr>
        <w:pStyle w:val="PiedepginaLegal"/>
      </w:pPr>
      <w:r>
        <w:t xml:space="preserve">2. </w:t>
      </w:r>
      <w:r>
        <w:tab/>
        <w:t xml:space="preserve">Lee </w:t>
      </w:r>
      <w:proofErr w:type="spellStart"/>
      <w:r w:rsidRPr="00DC50A8">
        <w:rPr>
          <w:i/>
          <w:iCs/>
        </w:rPr>
        <w:t>pamukhesu</w:t>
      </w:r>
      <w:proofErr w:type="spellEnd"/>
      <w:r w:rsidRPr="00DC50A8">
        <w:rPr>
          <w:i/>
          <w:iCs/>
        </w:rPr>
        <w:t xml:space="preserve"> </w:t>
      </w:r>
      <w:proofErr w:type="spellStart"/>
      <w:r w:rsidRPr="00DC50A8">
        <w:rPr>
          <w:i/>
          <w:iCs/>
        </w:rPr>
        <w:t>sosayanti</w:t>
      </w:r>
      <w:proofErr w:type="spellEnd"/>
      <w:r w:rsidRPr="00DC50A8">
        <w:rPr>
          <w:i/>
          <w:iCs/>
        </w:rPr>
        <w:t xml:space="preserve">. </w:t>
      </w:r>
      <w:proofErr w:type="spellStart"/>
      <w:r w:rsidRPr="00DC50A8">
        <w:rPr>
          <w:i/>
          <w:iCs/>
        </w:rPr>
        <w:t>Pamukha</w:t>
      </w:r>
      <w:proofErr w:type="spellEnd"/>
      <w:r>
        <w:t xml:space="preserve"> no así en PED.</w:t>
      </w:r>
    </w:p>
    <w:p w14:paraId="7495E062" w14:textId="6C42702E" w:rsidR="0090293D" w:rsidRDefault="00C52208" w:rsidP="00C52208">
      <w:pPr>
        <w:pStyle w:val="PiedepginaLegal"/>
      </w:pPr>
      <w:r>
        <w:t>3.</w:t>
      </w:r>
      <w:r>
        <w:tab/>
        <w:t>“Un 'puerto de entrada por agua' es un puerto de entrada en el mar o en un estuario. Un 'puerto de entrada terrestre' es uno que se encuentra al borde de un bosque y actúa como puerta de entrada en el camino de acceso a las grandes ciudades” (</w:t>
      </w:r>
      <w:proofErr w:type="spellStart"/>
      <w:r>
        <w:t>Vism-mhṭ</w:t>
      </w:r>
      <w:proofErr w:type="spellEnd"/>
      <w:r>
        <w:t xml:space="preserve"> 116).</w:t>
      </w:r>
    </w:p>
    <w:p w14:paraId="22AF6DF8" w14:textId="43FFC6F7" w:rsidR="00C52208" w:rsidRDefault="00C52208">
      <w:pPr>
        <w:tabs>
          <w:tab w:val="clear" w:pos="425"/>
        </w:tabs>
        <w:spacing w:after="160"/>
      </w:pPr>
      <w:r>
        <w:br w:type="page"/>
      </w:r>
    </w:p>
    <w:p w14:paraId="43166CD8" w14:textId="49522EF7" w:rsidR="00936C91" w:rsidRDefault="0083544A" w:rsidP="00936C91">
      <w:r>
        <w:lastRenderedPageBreak/>
        <w:t xml:space="preserve">cantó. </w:t>
      </w:r>
      <w:r w:rsidR="00936C91">
        <w:t>El Venerable entonces retrocedió. Entonces, de repente, ella lo agarró y dijo: "Venerable señor, no son solo uno o dos los que me haya comido".</w:t>
      </w:r>
    </w:p>
    <w:p w14:paraId="069C030E" w14:textId="6C163625" w:rsidR="00193D15" w:rsidRDefault="00193D15" w:rsidP="00193D15">
      <w:r>
        <w:t xml:space="preserve">18. </w:t>
      </w:r>
      <w:r>
        <w:tab/>
        <w:t xml:space="preserve">18. </w:t>
      </w:r>
      <w:r w:rsidRPr="00DC50A8">
        <w:rPr>
          <w:i/>
          <w:iCs/>
        </w:rPr>
        <w:t>Falta de buenos amigos</w:t>
      </w:r>
      <w:r>
        <w:t>: donde no s</w:t>
      </w:r>
      <w:r w:rsidR="00207449">
        <w:t>ea</w:t>
      </w:r>
      <w:r>
        <w:t xml:space="preserve"> posible encontrar un buen amigo como maestro o el equivalente </w:t>
      </w:r>
      <w:r w:rsidR="004C20C9">
        <w:t>a</w:t>
      </w:r>
      <w:r>
        <w:t xml:space="preserve"> un maestro o </w:t>
      </w:r>
      <w:r w:rsidR="004C20C9">
        <w:t xml:space="preserve">a un </w:t>
      </w:r>
      <w:r>
        <w:t xml:space="preserve">preceptor o </w:t>
      </w:r>
      <w:r w:rsidR="004C20C9">
        <w:t>a</w:t>
      </w:r>
      <w:r>
        <w:t xml:space="preserve">l equivalente de un preceptor, la falta de buenos amigos </w:t>
      </w:r>
      <w:r w:rsidR="00BF68AB">
        <w:t xml:space="preserve">será </w:t>
      </w:r>
      <w:proofErr w:type="gramStart"/>
      <w:r>
        <w:t>una grave</w:t>
      </w:r>
      <w:r w:rsidR="00C07C0F" w:rsidRPr="00C07C0F">
        <w:t xml:space="preserve"> </w:t>
      </w:r>
      <w:r w:rsidR="00C07C0F">
        <w:t>defecto</w:t>
      </w:r>
      <w:proofErr w:type="gramEnd"/>
      <w:r>
        <w:t>.</w:t>
      </w:r>
    </w:p>
    <w:p w14:paraId="2A2DD507" w14:textId="5EF3F4C1" w:rsidR="00193D15" w:rsidRDefault="00193D15" w:rsidP="00193D15">
      <w:pPr>
        <w:pStyle w:val="NormalConSangria"/>
      </w:pPr>
      <w:r>
        <w:t xml:space="preserve">Debe entenderse </w:t>
      </w:r>
      <w:r w:rsidR="0074114C">
        <w:t xml:space="preserve">como un monasterio </w:t>
      </w:r>
      <w:r>
        <w:t>desfavorable el que tenga algun</w:t>
      </w:r>
      <w:r w:rsidR="0074114C">
        <w:t>o</w:t>
      </w:r>
      <w:r>
        <w:t xml:space="preserve"> de es</w:t>
      </w:r>
      <w:r w:rsidR="00207449">
        <w:t>to</w:t>
      </w:r>
      <w:r>
        <w:t xml:space="preserve">s dieciocho </w:t>
      </w:r>
      <w:r w:rsidR="00207449">
        <w:t>defectos</w:t>
      </w:r>
      <w:r>
        <w:t>. Y esto se dice en los comentarios:</w:t>
      </w:r>
    </w:p>
    <w:p w14:paraId="3B523613" w14:textId="09A5290A" w:rsidR="00193D15" w:rsidRPr="00DE1D40" w:rsidRDefault="00193D15" w:rsidP="00193D15">
      <w:pPr>
        <w:pStyle w:val="VersoIngls01Sangria"/>
        <w:rPr>
          <w:sz w:val="16"/>
          <w:szCs w:val="20"/>
        </w:rPr>
      </w:pPr>
      <w:r w:rsidRPr="00DE1D40">
        <w:rPr>
          <w:sz w:val="16"/>
          <w:szCs w:val="20"/>
        </w:rPr>
        <w:t xml:space="preserve">Una </w:t>
      </w:r>
      <w:r w:rsidR="0085010E" w:rsidRPr="00DE1D40">
        <w:rPr>
          <w:sz w:val="16"/>
          <w:szCs w:val="20"/>
        </w:rPr>
        <w:t xml:space="preserve">vivienda </w:t>
      </w:r>
      <w:r w:rsidRPr="00DE1D40">
        <w:rPr>
          <w:sz w:val="16"/>
          <w:szCs w:val="20"/>
        </w:rPr>
        <w:t>grande, una nueva,</w:t>
      </w:r>
    </w:p>
    <w:p w14:paraId="5BF14A25" w14:textId="12BA7A00" w:rsidR="00193D15" w:rsidRPr="00DE1D40" w:rsidRDefault="00193D15" w:rsidP="00193D15">
      <w:pPr>
        <w:pStyle w:val="VersoIngls01Sangria"/>
        <w:rPr>
          <w:sz w:val="16"/>
          <w:szCs w:val="20"/>
        </w:rPr>
      </w:pPr>
      <w:r w:rsidRPr="00DE1D40">
        <w:rPr>
          <w:sz w:val="16"/>
          <w:szCs w:val="20"/>
        </w:rPr>
        <w:t>Un</w:t>
      </w:r>
      <w:r w:rsidR="00C7725C" w:rsidRPr="00DE1D40">
        <w:rPr>
          <w:sz w:val="16"/>
          <w:szCs w:val="20"/>
        </w:rPr>
        <w:t>a</w:t>
      </w:r>
      <w:r w:rsidRPr="00DE1D40">
        <w:rPr>
          <w:sz w:val="16"/>
          <w:szCs w:val="20"/>
        </w:rPr>
        <w:t xml:space="preserve"> </w:t>
      </w:r>
      <w:r w:rsidR="000F0D37" w:rsidRPr="00DE1D40">
        <w:rPr>
          <w:sz w:val="16"/>
          <w:szCs w:val="20"/>
        </w:rPr>
        <w:t>en ruinas</w:t>
      </w:r>
      <w:r w:rsidRPr="00DE1D40">
        <w:rPr>
          <w:sz w:val="16"/>
          <w:szCs w:val="20"/>
        </w:rPr>
        <w:t>, un</w:t>
      </w:r>
      <w:r w:rsidR="00C7725C" w:rsidRPr="00DE1D40">
        <w:rPr>
          <w:sz w:val="16"/>
          <w:szCs w:val="20"/>
        </w:rPr>
        <w:t>a</w:t>
      </w:r>
      <w:r w:rsidRPr="00DE1D40">
        <w:rPr>
          <w:sz w:val="16"/>
          <w:szCs w:val="20"/>
        </w:rPr>
        <w:t xml:space="preserve"> cerca de un camino,</w:t>
      </w:r>
    </w:p>
    <w:p w14:paraId="52B66613" w14:textId="289B7AC7" w:rsidR="00193D15" w:rsidRPr="00DE1D40" w:rsidRDefault="00193D15" w:rsidP="00193D15">
      <w:pPr>
        <w:pStyle w:val="VersoIngls01Sangria"/>
        <w:rPr>
          <w:sz w:val="16"/>
          <w:szCs w:val="20"/>
        </w:rPr>
      </w:pPr>
      <w:r w:rsidRPr="00DE1D40">
        <w:rPr>
          <w:sz w:val="16"/>
          <w:szCs w:val="20"/>
        </w:rPr>
        <w:t>Un</w:t>
      </w:r>
      <w:r w:rsidR="00C7725C" w:rsidRPr="00DE1D40">
        <w:rPr>
          <w:sz w:val="16"/>
          <w:szCs w:val="20"/>
        </w:rPr>
        <w:t>a</w:t>
      </w:r>
      <w:r w:rsidRPr="00DE1D40">
        <w:rPr>
          <w:sz w:val="16"/>
          <w:szCs w:val="20"/>
        </w:rPr>
        <w:t xml:space="preserve"> </w:t>
      </w:r>
      <w:r w:rsidR="00C7725C" w:rsidRPr="00DE1D40">
        <w:rPr>
          <w:sz w:val="16"/>
          <w:szCs w:val="20"/>
        </w:rPr>
        <w:t>cerca de</w:t>
      </w:r>
      <w:r w:rsidRPr="00DE1D40">
        <w:rPr>
          <w:sz w:val="16"/>
          <w:szCs w:val="20"/>
        </w:rPr>
        <w:t xml:space="preserve"> un</w:t>
      </w:r>
      <w:r w:rsidR="000F0D37" w:rsidRPr="00DE1D40">
        <w:rPr>
          <w:sz w:val="16"/>
          <w:szCs w:val="20"/>
        </w:rPr>
        <w:t>a</w:t>
      </w:r>
      <w:r w:rsidRPr="00DE1D40">
        <w:rPr>
          <w:sz w:val="16"/>
          <w:szCs w:val="20"/>
        </w:rPr>
        <w:t xml:space="preserve"> </w:t>
      </w:r>
      <w:r w:rsidR="000F0D37" w:rsidRPr="00DE1D40">
        <w:rPr>
          <w:sz w:val="16"/>
          <w:szCs w:val="20"/>
        </w:rPr>
        <w:t>fuente</w:t>
      </w:r>
      <w:r w:rsidRPr="00DE1D40">
        <w:rPr>
          <w:sz w:val="16"/>
          <w:szCs w:val="20"/>
        </w:rPr>
        <w:t xml:space="preserve">, </w:t>
      </w:r>
      <w:r w:rsidR="00C7725C" w:rsidRPr="00DE1D40">
        <w:rPr>
          <w:sz w:val="16"/>
          <w:szCs w:val="20"/>
        </w:rPr>
        <w:t xml:space="preserve">de </w:t>
      </w:r>
      <w:r w:rsidRPr="00DE1D40">
        <w:rPr>
          <w:sz w:val="16"/>
          <w:szCs w:val="20"/>
        </w:rPr>
        <w:t>hojas o flores,</w:t>
      </w:r>
    </w:p>
    <w:p w14:paraId="3A76D1AD" w14:textId="09E7D60B" w:rsidR="00193D15" w:rsidRPr="00DE1D40" w:rsidRDefault="00C7725C" w:rsidP="00193D15">
      <w:pPr>
        <w:pStyle w:val="VersoIngls01Sangria"/>
        <w:spacing w:after="100"/>
        <w:ind w:left="1418"/>
        <w:rPr>
          <w:sz w:val="16"/>
          <w:szCs w:val="20"/>
        </w:rPr>
      </w:pPr>
      <w:r w:rsidRPr="00DE1D40">
        <w:rPr>
          <w:sz w:val="16"/>
          <w:szCs w:val="20"/>
        </w:rPr>
        <w:t xml:space="preserve">De </w:t>
      </w:r>
      <w:r w:rsidR="00193D15" w:rsidRPr="00DE1D40">
        <w:rPr>
          <w:sz w:val="16"/>
          <w:szCs w:val="20"/>
        </w:rPr>
        <w:t>frutos, o un</w:t>
      </w:r>
      <w:r w:rsidRPr="00DE1D40">
        <w:rPr>
          <w:sz w:val="16"/>
          <w:szCs w:val="20"/>
        </w:rPr>
        <w:t>a</w:t>
      </w:r>
      <w:r w:rsidR="00193D15" w:rsidRPr="00DE1D40">
        <w:rPr>
          <w:sz w:val="16"/>
          <w:szCs w:val="20"/>
        </w:rPr>
        <w:t xml:space="preserve"> que la gente </w:t>
      </w:r>
      <w:r w:rsidRPr="00DE1D40">
        <w:rPr>
          <w:sz w:val="16"/>
          <w:szCs w:val="20"/>
        </w:rPr>
        <w:t>concurra</w:t>
      </w:r>
      <w:r w:rsidR="00193D15" w:rsidRPr="00DE1D40">
        <w:rPr>
          <w:sz w:val="16"/>
          <w:szCs w:val="20"/>
        </w:rPr>
        <w:t>; [122]</w:t>
      </w:r>
    </w:p>
    <w:p w14:paraId="7B56AD77" w14:textId="6F299DA3" w:rsidR="00193D15" w:rsidRPr="00DE1D40" w:rsidRDefault="00193D15" w:rsidP="00193D15">
      <w:pPr>
        <w:pStyle w:val="VersoIngls01Sangria"/>
        <w:rPr>
          <w:sz w:val="16"/>
          <w:szCs w:val="20"/>
        </w:rPr>
      </w:pPr>
      <w:r w:rsidRPr="00DE1D40">
        <w:rPr>
          <w:sz w:val="16"/>
          <w:szCs w:val="20"/>
        </w:rPr>
        <w:t>En</w:t>
      </w:r>
      <w:r w:rsidR="00C7725C" w:rsidRPr="00DE1D40">
        <w:rPr>
          <w:sz w:val="16"/>
          <w:szCs w:val="20"/>
        </w:rPr>
        <w:t>tre</w:t>
      </w:r>
      <w:r w:rsidRPr="00DE1D40">
        <w:rPr>
          <w:sz w:val="16"/>
          <w:szCs w:val="20"/>
        </w:rPr>
        <w:t xml:space="preserve"> ciudades, maderas, campos,</w:t>
      </w:r>
    </w:p>
    <w:p w14:paraId="4749A358" w14:textId="436F46EE" w:rsidR="00193D15" w:rsidRPr="00DE1D40" w:rsidRDefault="00193D15" w:rsidP="00193D15">
      <w:pPr>
        <w:pStyle w:val="VersoIngls01Sangria"/>
        <w:rPr>
          <w:sz w:val="16"/>
          <w:szCs w:val="20"/>
        </w:rPr>
      </w:pPr>
      <w:r w:rsidRPr="00DE1D40">
        <w:rPr>
          <w:sz w:val="16"/>
          <w:szCs w:val="20"/>
        </w:rPr>
        <w:t>Donde la gente se pele</w:t>
      </w:r>
      <w:r w:rsidR="000F0D37" w:rsidRPr="00DE1D40">
        <w:rPr>
          <w:sz w:val="16"/>
          <w:szCs w:val="20"/>
        </w:rPr>
        <w:t>e</w:t>
      </w:r>
      <w:r w:rsidRPr="00DE1D40">
        <w:rPr>
          <w:sz w:val="16"/>
          <w:szCs w:val="20"/>
        </w:rPr>
        <w:t xml:space="preserve">, </w:t>
      </w:r>
      <w:r w:rsidR="00C7725C" w:rsidRPr="00DE1D40">
        <w:rPr>
          <w:sz w:val="16"/>
          <w:szCs w:val="20"/>
        </w:rPr>
        <w:t>cerca de</w:t>
      </w:r>
      <w:r w:rsidRPr="00DE1D40">
        <w:rPr>
          <w:sz w:val="16"/>
          <w:szCs w:val="20"/>
        </w:rPr>
        <w:t xml:space="preserve"> un puerto,</w:t>
      </w:r>
    </w:p>
    <w:p w14:paraId="6F0C3D35" w14:textId="656441A7" w:rsidR="00193D15" w:rsidRPr="00DE1D40" w:rsidRDefault="00193D15" w:rsidP="00193D15">
      <w:pPr>
        <w:pStyle w:val="VersoIngls01Sangria"/>
        <w:rPr>
          <w:sz w:val="16"/>
          <w:szCs w:val="20"/>
        </w:rPr>
      </w:pPr>
      <w:r w:rsidRPr="00DE1D40">
        <w:rPr>
          <w:sz w:val="16"/>
          <w:szCs w:val="20"/>
        </w:rPr>
        <w:t xml:space="preserve">En tierras fronterizas, en </w:t>
      </w:r>
      <w:r w:rsidR="004A5AC9" w:rsidRPr="00DE1D40">
        <w:rPr>
          <w:sz w:val="16"/>
          <w:szCs w:val="20"/>
        </w:rPr>
        <w:t>zona limítrofes</w:t>
      </w:r>
      <w:r w:rsidRPr="00DE1D40">
        <w:rPr>
          <w:sz w:val="16"/>
          <w:szCs w:val="20"/>
        </w:rPr>
        <w:t>,</w:t>
      </w:r>
    </w:p>
    <w:p w14:paraId="43951D14" w14:textId="02FF4D42" w:rsidR="00193D15" w:rsidRPr="00DE1D40" w:rsidRDefault="004A5AC9" w:rsidP="00193D15">
      <w:pPr>
        <w:pStyle w:val="VersoIngls01Sangria"/>
        <w:spacing w:after="100"/>
        <w:ind w:left="1418"/>
        <w:rPr>
          <w:sz w:val="16"/>
          <w:szCs w:val="20"/>
        </w:rPr>
      </w:pPr>
      <w:r w:rsidRPr="00DE1D40">
        <w:rPr>
          <w:sz w:val="16"/>
          <w:szCs w:val="20"/>
        </w:rPr>
        <w:t>Donde falte</w:t>
      </w:r>
      <w:r w:rsidR="00E925E4" w:rsidRPr="00DE1D40">
        <w:rPr>
          <w:sz w:val="16"/>
          <w:szCs w:val="20"/>
        </w:rPr>
        <w:t xml:space="preserve"> idoneidad</w:t>
      </w:r>
      <w:r w:rsidR="00193D15" w:rsidRPr="00DE1D40">
        <w:rPr>
          <w:sz w:val="16"/>
          <w:szCs w:val="20"/>
        </w:rPr>
        <w:t xml:space="preserve">, </w:t>
      </w:r>
      <w:r w:rsidR="00E925E4" w:rsidRPr="00DE1D40">
        <w:rPr>
          <w:sz w:val="16"/>
          <w:szCs w:val="20"/>
        </w:rPr>
        <w:t xml:space="preserve">o un </w:t>
      </w:r>
      <w:r w:rsidR="00193D15" w:rsidRPr="00DE1D40">
        <w:rPr>
          <w:sz w:val="16"/>
          <w:szCs w:val="20"/>
        </w:rPr>
        <w:t>buen amigo</w:t>
      </w:r>
      <w:r w:rsidR="00E925E4" w:rsidRPr="00DE1D40">
        <w:rPr>
          <w:sz w:val="16"/>
          <w:szCs w:val="20"/>
        </w:rPr>
        <w:t xml:space="preserve"> </w:t>
      </w:r>
      <w:r w:rsidR="00193D15" w:rsidRPr="00DE1D40">
        <w:rPr>
          <w:sz w:val="16"/>
          <w:szCs w:val="20"/>
        </w:rPr>
        <w:t>—</w:t>
      </w:r>
    </w:p>
    <w:p w14:paraId="4A8967CD" w14:textId="5FB5027F" w:rsidR="00193D15" w:rsidRPr="00DE1D40" w:rsidRDefault="00193D15" w:rsidP="00193D15">
      <w:pPr>
        <w:pStyle w:val="VersoIngls01Sangria"/>
        <w:rPr>
          <w:sz w:val="16"/>
          <w:szCs w:val="20"/>
        </w:rPr>
      </w:pPr>
      <w:r w:rsidRPr="00DE1D40">
        <w:rPr>
          <w:sz w:val="16"/>
          <w:szCs w:val="20"/>
        </w:rPr>
        <w:t>Estos son los dieciocho casos</w:t>
      </w:r>
      <w:r w:rsidR="004E1207" w:rsidRPr="00DE1D40">
        <w:rPr>
          <w:sz w:val="16"/>
          <w:szCs w:val="20"/>
        </w:rPr>
        <w:t xml:space="preserve"> que</w:t>
      </w:r>
    </w:p>
    <w:p w14:paraId="145FEDA8" w14:textId="194F5C6C" w:rsidR="00193D15" w:rsidRPr="00DE1D40" w:rsidRDefault="00193D15" w:rsidP="00193D15">
      <w:pPr>
        <w:pStyle w:val="VersoIngls01Sangria"/>
        <w:rPr>
          <w:sz w:val="16"/>
          <w:szCs w:val="20"/>
        </w:rPr>
      </w:pPr>
      <w:r w:rsidRPr="00DE1D40">
        <w:rPr>
          <w:sz w:val="16"/>
          <w:szCs w:val="20"/>
        </w:rPr>
        <w:t xml:space="preserve">Un hombre sabio </w:t>
      </w:r>
      <w:r w:rsidR="004E1207" w:rsidRPr="00DE1D40">
        <w:rPr>
          <w:sz w:val="16"/>
          <w:szCs w:val="20"/>
        </w:rPr>
        <w:t xml:space="preserve">requerirá </w:t>
      </w:r>
      <w:r w:rsidRPr="00DE1D40">
        <w:rPr>
          <w:sz w:val="16"/>
          <w:szCs w:val="20"/>
        </w:rPr>
        <w:t>reconocer</w:t>
      </w:r>
    </w:p>
    <w:p w14:paraId="3F2CF2C4" w14:textId="28881E64" w:rsidR="00193D15" w:rsidRPr="00DE1D40" w:rsidRDefault="00193D15" w:rsidP="00193D15">
      <w:pPr>
        <w:pStyle w:val="VersoIngls01Sangria"/>
        <w:rPr>
          <w:sz w:val="16"/>
          <w:szCs w:val="20"/>
        </w:rPr>
      </w:pPr>
      <w:r w:rsidRPr="00DE1D40">
        <w:rPr>
          <w:sz w:val="16"/>
          <w:szCs w:val="20"/>
        </w:rPr>
        <w:t xml:space="preserve">Y </w:t>
      </w:r>
      <w:r w:rsidR="00C019EC" w:rsidRPr="00DE1D40">
        <w:rPr>
          <w:sz w:val="16"/>
          <w:szCs w:val="20"/>
        </w:rPr>
        <w:t xml:space="preserve">observarlas en su totalidad </w:t>
      </w:r>
      <w:r w:rsidR="00A50CA6" w:rsidRPr="00DE1D40">
        <w:rPr>
          <w:sz w:val="16"/>
          <w:szCs w:val="20"/>
        </w:rPr>
        <w:t xml:space="preserve">tan </w:t>
      </w:r>
      <w:r w:rsidR="00AD647A" w:rsidRPr="00DE1D40">
        <w:rPr>
          <w:sz w:val="16"/>
          <w:szCs w:val="20"/>
        </w:rPr>
        <w:t>extensamente</w:t>
      </w:r>
      <w:r w:rsidR="00A50CA6" w:rsidRPr="00DE1D40">
        <w:rPr>
          <w:sz w:val="16"/>
          <w:szCs w:val="20"/>
        </w:rPr>
        <w:t xml:space="preserve"> como</w:t>
      </w:r>
      <w:r w:rsidR="00970D5B" w:rsidRPr="00DE1D40">
        <w:rPr>
          <w:sz w:val="16"/>
          <w:szCs w:val="20"/>
        </w:rPr>
        <w:t xml:space="preserve"> </w:t>
      </w:r>
      <w:r w:rsidR="00AD647A" w:rsidRPr="00DE1D40">
        <w:rPr>
          <w:sz w:val="16"/>
          <w:szCs w:val="20"/>
        </w:rPr>
        <w:t xml:space="preserve">a </w:t>
      </w:r>
      <w:r w:rsidRPr="00DE1D40">
        <w:rPr>
          <w:sz w:val="16"/>
          <w:szCs w:val="20"/>
        </w:rPr>
        <w:t xml:space="preserve">un </w:t>
      </w:r>
      <w:r w:rsidR="00AD647A" w:rsidRPr="00DE1D40">
        <w:rPr>
          <w:sz w:val="16"/>
          <w:szCs w:val="20"/>
        </w:rPr>
        <w:t>puerto</w:t>
      </w:r>
      <w:r w:rsidRPr="00DE1D40">
        <w:rPr>
          <w:sz w:val="16"/>
          <w:szCs w:val="20"/>
        </w:rPr>
        <w:t xml:space="preserve"> </w:t>
      </w:r>
    </w:p>
    <w:p w14:paraId="119633CA" w14:textId="27B02AA3" w:rsidR="00193D15" w:rsidRPr="00DE1D40" w:rsidRDefault="00193D15" w:rsidP="00193D15">
      <w:pPr>
        <w:pStyle w:val="VersoIngls01Sangria"/>
        <w:rPr>
          <w:sz w:val="16"/>
          <w:szCs w:val="20"/>
        </w:rPr>
      </w:pPr>
      <w:r w:rsidRPr="00DE1D40">
        <w:rPr>
          <w:sz w:val="16"/>
          <w:szCs w:val="20"/>
        </w:rPr>
        <w:t xml:space="preserve">Como </w:t>
      </w:r>
      <w:r w:rsidR="00B53184">
        <w:rPr>
          <w:sz w:val="16"/>
          <w:szCs w:val="20"/>
        </w:rPr>
        <w:t xml:space="preserve">a </w:t>
      </w:r>
      <w:r w:rsidR="002078A3" w:rsidRPr="00DE1D40">
        <w:rPr>
          <w:sz w:val="16"/>
          <w:szCs w:val="20"/>
        </w:rPr>
        <w:t>una</w:t>
      </w:r>
      <w:r w:rsidRPr="00DE1D40">
        <w:rPr>
          <w:sz w:val="16"/>
          <w:szCs w:val="20"/>
        </w:rPr>
        <w:t xml:space="preserve"> </w:t>
      </w:r>
      <w:r w:rsidR="00970D5B" w:rsidRPr="00DE1D40">
        <w:rPr>
          <w:sz w:val="16"/>
          <w:szCs w:val="20"/>
        </w:rPr>
        <w:t xml:space="preserve">huella </w:t>
      </w:r>
      <w:r w:rsidR="009923C8" w:rsidRPr="00DE1D40">
        <w:rPr>
          <w:sz w:val="16"/>
          <w:szCs w:val="20"/>
        </w:rPr>
        <w:t xml:space="preserve">de caza </w:t>
      </w:r>
      <w:r w:rsidR="00970D5B" w:rsidRPr="00DE1D40">
        <w:rPr>
          <w:sz w:val="16"/>
          <w:szCs w:val="20"/>
        </w:rPr>
        <w:t xml:space="preserve">sobre </w:t>
      </w:r>
      <w:r w:rsidR="00D136E3" w:rsidRPr="00DE1D40">
        <w:rPr>
          <w:sz w:val="16"/>
          <w:szCs w:val="20"/>
        </w:rPr>
        <w:t>el</w:t>
      </w:r>
      <w:r w:rsidR="00970D5B" w:rsidRPr="00DE1D40">
        <w:rPr>
          <w:sz w:val="16"/>
          <w:szCs w:val="20"/>
        </w:rPr>
        <w:t xml:space="preserve"> camino</w:t>
      </w:r>
      <w:r w:rsidRPr="00DE1D40">
        <w:rPr>
          <w:sz w:val="16"/>
          <w:szCs w:val="20"/>
        </w:rPr>
        <w:t>.</w:t>
      </w:r>
    </w:p>
    <w:p w14:paraId="4A4D78E4" w14:textId="050E64D7" w:rsidR="00193D15" w:rsidRDefault="00193D15" w:rsidP="00193D15">
      <w:pPr>
        <w:pStyle w:val="Ttulo3"/>
        <w:ind w:left="708"/>
      </w:pPr>
      <w:r>
        <w:t xml:space="preserve">[Los </w:t>
      </w:r>
      <w:r w:rsidR="008A34BC">
        <w:t>5</w:t>
      </w:r>
      <w:r>
        <w:t xml:space="preserve"> Factores </w:t>
      </w:r>
      <w:r w:rsidR="00FF6953">
        <w:t>d</w:t>
      </w:r>
      <w:r>
        <w:t xml:space="preserve">e </w:t>
      </w:r>
      <w:r w:rsidR="00FF6953">
        <w:t xml:space="preserve">un </w:t>
      </w:r>
      <w:r w:rsidR="00C473D7">
        <w:t>Lugar</w:t>
      </w:r>
      <w:r>
        <w:t xml:space="preserve"> </w:t>
      </w:r>
      <w:r w:rsidR="00FF6953">
        <w:t xml:space="preserve">de </w:t>
      </w:r>
      <w:r>
        <w:t>Descanso]</w:t>
      </w:r>
    </w:p>
    <w:p w14:paraId="192398A0" w14:textId="03FD262B" w:rsidR="00193D15" w:rsidRDefault="00193D15" w:rsidP="00193D15">
      <w:r>
        <w:t xml:space="preserve">19. </w:t>
      </w:r>
      <w:r>
        <w:tab/>
      </w:r>
      <w:r w:rsidR="0031110D">
        <w:t>Aquel lugar de descanso</w:t>
      </w:r>
      <w:r>
        <w:t xml:space="preserve"> que </w:t>
      </w:r>
      <w:r w:rsidR="00C473D7">
        <w:t>posea</w:t>
      </w:r>
      <w:r>
        <w:t xml:space="preserve"> los cinco factores que comienzan con "n</w:t>
      </w:r>
      <w:r w:rsidR="00C473D7">
        <w:t>i</w:t>
      </w:r>
      <w:r>
        <w:t xml:space="preserve"> muy lejos </w:t>
      </w:r>
      <w:r w:rsidR="00C473D7">
        <w:t>ni</w:t>
      </w:r>
      <w:r>
        <w:t xml:space="preserve"> muy cerca" del recurso de </w:t>
      </w:r>
      <w:r w:rsidR="0031110D">
        <w:t xml:space="preserve">las </w:t>
      </w:r>
      <w:r w:rsidR="00C473D7">
        <w:t xml:space="preserve">ofrendas </w:t>
      </w:r>
      <w:r>
        <w:t xml:space="preserve">se </w:t>
      </w:r>
      <w:r w:rsidR="0031110D">
        <w:t>designará como</w:t>
      </w:r>
      <w:r>
        <w:t xml:space="preserve"> favorable. Porque el </w:t>
      </w:r>
      <w:r w:rsidR="00C473D7">
        <w:rPr>
          <w:i/>
          <w:iCs/>
        </w:rPr>
        <w:t xml:space="preserve">Bhagavā </w:t>
      </w:r>
      <w:r w:rsidR="00C473D7">
        <w:t>afirmó lo siguiente</w:t>
      </w:r>
      <w:r>
        <w:t xml:space="preserve">: “¿Y cómo </w:t>
      </w:r>
      <w:r w:rsidR="00C473D7">
        <w:t>posee</w:t>
      </w:r>
      <w:r>
        <w:t xml:space="preserve"> un alojamiento cinco factores, monjes? Aquí, </w:t>
      </w:r>
      <w:proofErr w:type="spellStart"/>
      <w:r w:rsidR="00057BF4" w:rsidRPr="00057BF4">
        <w:rPr>
          <w:i/>
          <w:iCs/>
        </w:rPr>
        <w:t>bhikkhu</w:t>
      </w:r>
      <w:r w:rsidRPr="00DC50A8">
        <w:rPr>
          <w:i/>
          <w:iCs/>
        </w:rPr>
        <w:t>s</w:t>
      </w:r>
      <w:proofErr w:type="spellEnd"/>
      <w:r>
        <w:t xml:space="preserve">, (1) un alojamiento </w:t>
      </w:r>
      <w:r w:rsidR="005D2E99">
        <w:t xml:space="preserve">que </w:t>
      </w:r>
      <w:r>
        <w:t>no est</w:t>
      </w:r>
      <w:r w:rsidR="00EC5743">
        <w:t>é</w:t>
      </w:r>
      <w:r>
        <w:t xml:space="preserve"> demasiado lejos, ni demasiado cerca, y </w:t>
      </w:r>
      <w:r w:rsidR="00FB2C53">
        <w:t>dispon</w:t>
      </w:r>
      <w:r w:rsidR="00EC5743">
        <w:t>ga</w:t>
      </w:r>
      <w:r>
        <w:t xml:space="preserve"> </w:t>
      </w:r>
      <w:r w:rsidR="00FB2C53">
        <w:t xml:space="preserve">de </w:t>
      </w:r>
      <w:r>
        <w:t xml:space="preserve">un camino para ir y </w:t>
      </w:r>
      <w:r w:rsidR="00FB2C53">
        <w:t>regresar</w:t>
      </w:r>
      <w:r>
        <w:t xml:space="preserve">. (2) </w:t>
      </w:r>
      <w:r w:rsidR="00935DAD">
        <w:t xml:space="preserve">Que sea </w:t>
      </w:r>
      <w:r>
        <w:t>poco frecuentado de día</w:t>
      </w:r>
      <w:r w:rsidR="0031110D">
        <w:t>,</w:t>
      </w:r>
      <w:r>
        <w:t xml:space="preserve"> </w:t>
      </w:r>
      <w:r w:rsidR="00935DAD">
        <w:t>de</w:t>
      </w:r>
      <w:r>
        <w:t xml:space="preserve"> poco</w:t>
      </w:r>
      <w:r w:rsidR="0031110D">
        <w:t>s</w:t>
      </w:r>
      <w:r>
        <w:t xml:space="preserve"> ruido</w:t>
      </w:r>
      <w:r w:rsidR="0031110D">
        <w:t>s</w:t>
      </w:r>
      <w:r>
        <w:t xml:space="preserve"> y </w:t>
      </w:r>
      <w:r w:rsidR="00935DAD">
        <w:t xml:space="preserve">de </w:t>
      </w:r>
      <w:r>
        <w:t xml:space="preserve">pocas voces </w:t>
      </w:r>
      <w:r w:rsidR="00935DAD">
        <w:t xml:space="preserve">por la </w:t>
      </w:r>
      <w:r>
        <w:t xml:space="preserve">noche. (3) </w:t>
      </w:r>
      <w:r w:rsidR="00935DAD">
        <w:t>Donde h</w:t>
      </w:r>
      <w:r>
        <w:t>ay</w:t>
      </w:r>
      <w:r w:rsidR="00935DAD">
        <w:t>a</w:t>
      </w:r>
      <w:r>
        <w:t xml:space="preserve"> poco contacto </w:t>
      </w:r>
      <w:proofErr w:type="gramStart"/>
      <w:r>
        <w:t xml:space="preserve">con </w:t>
      </w:r>
      <w:r w:rsidR="00B53184">
        <w:t>,</w:t>
      </w:r>
      <w:proofErr w:type="gramEnd"/>
      <w:r>
        <w:t xml:space="preserve">, moscas, viento, </w:t>
      </w:r>
      <w:r w:rsidR="00FB2C53">
        <w:t>Sol</w:t>
      </w:r>
      <w:r>
        <w:t xml:space="preserve"> ardiente y cosas que se arrastr</w:t>
      </w:r>
      <w:r w:rsidR="00FB2C53">
        <w:t>e</w:t>
      </w:r>
      <w:r>
        <w:t xml:space="preserve">n. (4) </w:t>
      </w:r>
      <w:r w:rsidR="005D2E99">
        <w:t xml:space="preserve">En un </w:t>
      </w:r>
      <w:r>
        <w:t xml:space="preserve">alojamiento </w:t>
      </w:r>
      <w:r w:rsidR="00A51F70">
        <w:t xml:space="preserve">favorable </w:t>
      </w:r>
      <w:r w:rsidR="003F09A7">
        <w:t xml:space="preserve">deberá obtener </w:t>
      </w:r>
      <w:r>
        <w:t xml:space="preserve">fácilmente </w:t>
      </w:r>
      <w:r w:rsidR="00FB2C53">
        <w:t>ropajes</w:t>
      </w:r>
      <w:r>
        <w:t xml:space="preserve">, </w:t>
      </w:r>
      <w:r w:rsidR="00FB2C53">
        <w:t>ofrendas</w:t>
      </w:r>
      <w:r w:rsidR="0031110D">
        <w:t xml:space="preserve"> de</w:t>
      </w:r>
      <w:r>
        <w:t xml:space="preserve"> </w:t>
      </w:r>
      <w:r w:rsidR="00FB2C53">
        <w:t>alimento</w:t>
      </w:r>
      <w:r w:rsidR="0031110D">
        <w:t>s</w:t>
      </w:r>
      <w:r>
        <w:t xml:space="preserve">, alojamiento y el requisito de la medicina para curar a los enfermos. (5) En ese alojamiento </w:t>
      </w:r>
      <w:r w:rsidR="0031110D">
        <w:t>deber</w:t>
      </w:r>
      <w:r w:rsidR="00B703F2">
        <w:t>á</w:t>
      </w:r>
      <w:r w:rsidR="0031110D">
        <w:t xml:space="preserve"> habitar Venerables </w:t>
      </w:r>
      <w:proofErr w:type="spellStart"/>
      <w:r w:rsidR="00057BF4" w:rsidRPr="00057BF4">
        <w:rPr>
          <w:i/>
          <w:iCs/>
        </w:rPr>
        <w:t>bhikkhu</w:t>
      </w:r>
      <w:r w:rsidRPr="00DC50A8">
        <w:rPr>
          <w:i/>
          <w:iCs/>
        </w:rPr>
        <w:t>s</w:t>
      </w:r>
      <w:proofErr w:type="spellEnd"/>
      <w:r>
        <w:t xml:space="preserve"> que s</w:t>
      </w:r>
      <w:r w:rsidR="00FB2C53">
        <w:t>ea</w:t>
      </w:r>
      <w:r>
        <w:t xml:space="preserve">n eruditos, versados ​​en las escrituras, observadores del </w:t>
      </w:r>
      <w:r w:rsidR="00057BF4" w:rsidRPr="00057BF4">
        <w:rPr>
          <w:i/>
        </w:rPr>
        <w:t>Dhamma</w:t>
      </w:r>
      <w:r>
        <w:t xml:space="preserve">, observadores del </w:t>
      </w:r>
      <w:proofErr w:type="spellStart"/>
      <w:r w:rsidRPr="00DC50A8">
        <w:rPr>
          <w:i/>
          <w:iCs/>
        </w:rPr>
        <w:t>Vinaya</w:t>
      </w:r>
      <w:proofErr w:type="spellEnd"/>
      <w:r>
        <w:t xml:space="preserve">, observadores de los Códigos, y cuando de vez en cuando </w:t>
      </w:r>
      <w:r w:rsidR="0030561B">
        <w:t xml:space="preserve">se </w:t>
      </w:r>
      <w:r>
        <w:t>les ha</w:t>
      </w:r>
      <w:r w:rsidR="0030561B">
        <w:t>ga</w:t>
      </w:r>
      <w:r>
        <w:t xml:space="preserve"> preguntas, '¿Cómo es esto, </w:t>
      </w:r>
      <w:r w:rsidR="0030561B">
        <w:t>Venerable Señor</w:t>
      </w:r>
      <w:r>
        <w:t>? ¿Cuál es el significado de esto?</w:t>
      </w:r>
      <w:r w:rsidR="0031110D">
        <w:t>’</w:t>
      </w:r>
      <w:r>
        <w:t xml:space="preserve"> Entonces esos </w:t>
      </w:r>
      <w:r w:rsidR="0030561B">
        <w:t xml:space="preserve">Venerables </w:t>
      </w:r>
      <w:r>
        <w:t>revela</w:t>
      </w:r>
      <w:r w:rsidR="0030561B">
        <w:t>rá</w:t>
      </w:r>
      <w:r>
        <w:t>n lo no revelado, explica</w:t>
      </w:r>
      <w:r w:rsidR="0030561B">
        <w:t>rá</w:t>
      </w:r>
      <w:r>
        <w:t>n lo no explicado y elimina</w:t>
      </w:r>
      <w:r w:rsidR="0030561B">
        <w:t>rá</w:t>
      </w:r>
      <w:r>
        <w:t>n la</w:t>
      </w:r>
      <w:r w:rsidR="0030561B">
        <w:t>s</w:t>
      </w:r>
      <w:r>
        <w:t xml:space="preserve"> duda</w:t>
      </w:r>
      <w:r w:rsidR="0030561B">
        <w:t>s</w:t>
      </w:r>
      <w:r>
        <w:t xml:space="preserve"> sobre las muchas cosas que plante</w:t>
      </w:r>
      <w:r w:rsidR="0030561B">
        <w:t>e</w:t>
      </w:r>
      <w:r>
        <w:t xml:space="preserve">n dudas. Así, monjes, es como un alojamiento </w:t>
      </w:r>
      <w:r w:rsidR="0030561B">
        <w:t>posee</w:t>
      </w:r>
      <w:r w:rsidR="0031110D">
        <w:t>rá</w:t>
      </w:r>
      <w:r w:rsidR="0030561B">
        <w:t xml:space="preserve"> </w:t>
      </w:r>
      <w:r w:rsidR="0031110D">
        <w:t xml:space="preserve">estos </w:t>
      </w:r>
      <w:r w:rsidR="0030561B">
        <w:t xml:space="preserve">estos </w:t>
      </w:r>
      <w:r>
        <w:t>cinco factores” (A V 15).</w:t>
      </w:r>
    </w:p>
    <w:p w14:paraId="05A2E4C8" w14:textId="0AA11539" w:rsidR="00193D15" w:rsidRDefault="00193D15" w:rsidP="00193D15">
      <w:pPr>
        <w:pStyle w:val="NormalConSangria"/>
      </w:pPr>
      <w:r>
        <w:t>Estos son los detalles de la cláusula: “Después de e</w:t>
      </w:r>
      <w:r w:rsidR="0031110D">
        <w:t>ll</w:t>
      </w:r>
      <w:r>
        <w:t>o, debe</w:t>
      </w:r>
      <w:r w:rsidR="0031110D">
        <w:t>rá</w:t>
      </w:r>
      <w:r>
        <w:t xml:space="preserve"> evitar un monasterio </w:t>
      </w:r>
      <w:r w:rsidR="0030561B">
        <w:t xml:space="preserve">que sea </w:t>
      </w:r>
      <w:r>
        <w:t xml:space="preserve">desfavorable para el desarrollo de la concentración </w:t>
      </w:r>
      <w:r w:rsidR="00095566">
        <w:t>y</w:t>
      </w:r>
      <w:r>
        <w:t xml:space="preserve"> </w:t>
      </w:r>
      <w:r w:rsidR="0031110D">
        <w:t xml:space="preserve">retirarse </w:t>
      </w:r>
      <w:r>
        <w:t>a vivir a uno que sea favorable” (III.28).</w:t>
      </w:r>
    </w:p>
    <w:p w14:paraId="552F780A" w14:textId="7A357C75" w:rsidR="00193D15" w:rsidRDefault="00193D15" w:rsidP="00193D15">
      <w:pPr>
        <w:pStyle w:val="Ttulo3"/>
        <w:ind w:left="708"/>
      </w:pPr>
      <w:r>
        <w:t>[Los Impedimentos Menores]</w:t>
      </w:r>
    </w:p>
    <w:p w14:paraId="317B191D" w14:textId="7C10CB82" w:rsidR="00C334C2" w:rsidRDefault="00193D15" w:rsidP="00193D15">
      <w:r>
        <w:t xml:space="preserve">20. </w:t>
      </w:r>
      <w:r>
        <w:tab/>
      </w:r>
      <w:r w:rsidRPr="00DC50A8">
        <w:rPr>
          <w:i/>
          <w:iCs/>
        </w:rPr>
        <w:t xml:space="preserve">Luego </w:t>
      </w:r>
      <w:r w:rsidR="00D671E5">
        <w:rPr>
          <w:i/>
          <w:iCs/>
        </w:rPr>
        <w:t xml:space="preserve">el </w:t>
      </w:r>
      <w:r w:rsidRPr="00DC50A8">
        <w:rPr>
          <w:i/>
          <w:iCs/>
        </w:rPr>
        <w:t>debe</w:t>
      </w:r>
      <w:r w:rsidR="00D671E5">
        <w:rPr>
          <w:i/>
          <w:iCs/>
        </w:rPr>
        <w:t>rá</w:t>
      </w:r>
      <w:r w:rsidRPr="00DC50A8">
        <w:rPr>
          <w:i/>
          <w:iCs/>
        </w:rPr>
        <w:t xml:space="preserve"> eliminar los impedimentos menores</w:t>
      </w:r>
      <w:r>
        <w:t xml:space="preserve"> (III.28): quien viv</w:t>
      </w:r>
      <w:r w:rsidR="0030561B">
        <w:t>a</w:t>
      </w:r>
      <w:r>
        <w:t xml:space="preserve"> en un monasterio favorable debe</w:t>
      </w:r>
      <w:r w:rsidR="006C5A2E">
        <w:t>rá</w:t>
      </w:r>
      <w:r>
        <w:t xml:space="preserve"> eliminar cualquier impedimento menor que aún pueda </w:t>
      </w:r>
      <w:r w:rsidR="00DE1D40">
        <w:t>presentarse</w:t>
      </w:r>
      <w:r>
        <w:t>, es decir, debe</w:t>
      </w:r>
      <w:r w:rsidR="0030561B">
        <w:t>rá</w:t>
      </w:r>
      <w:r>
        <w:t xml:space="preserve"> cortarse el </w:t>
      </w:r>
      <w:r w:rsidR="006C5A2E">
        <w:t xml:space="preserve">cabello </w:t>
      </w:r>
      <w:r>
        <w:t>largo de la cabeza, las uñas y el vello corporal. L</w:t>
      </w:r>
      <w:r w:rsidR="006C5A2E">
        <w:t>o</w:t>
      </w:r>
      <w:r>
        <w:t>s ropa</w:t>
      </w:r>
      <w:r w:rsidR="006C5A2E">
        <w:t>je</w:t>
      </w:r>
      <w:r>
        <w:t>s viej</w:t>
      </w:r>
      <w:r w:rsidR="006C5A2E">
        <w:t>o</w:t>
      </w:r>
      <w:r>
        <w:t>s debe</w:t>
      </w:r>
      <w:r w:rsidR="0030561B">
        <w:t>rá</w:t>
      </w:r>
      <w:r>
        <w:t>n</w:t>
      </w:r>
    </w:p>
    <w:p w14:paraId="6082F84E" w14:textId="77777777" w:rsidR="00C334C2" w:rsidRDefault="00C334C2">
      <w:pPr>
        <w:tabs>
          <w:tab w:val="clear" w:pos="425"/>
        </w:tabs>
        <w:spacing w:after="160"/>
      </w:pPr>
      <w:r>
        <w:br w:type="page"/>
      </w:r>
    </w:p>
    <w:p w14:paraId="0101EC7B" w14:textId="77777777" w:rsidR="00C334C2" w:rsidRDefault="00C334C2" w:rsidP="00193D15"/>
    <w:p w14:paraId="5FD3298E" w14:textId="77777777" w:rsidR="00C334C2" w:rsidRDefault="00C334C2" w:rsidP="00193D15"/>
    <w:p w14:paraId="3EBA79B5" w14:textId="7C37DFFA" w:rsidR="00C52208" w:rsidRDefault="00193D15" w:rsidP="00193D15">
      <w:r>
        <w:t xml:space="preserve">remendarse y </w:t>
      </w:r>
      <w:r w:rsidR="0030561B">
        <w:t>componerse</w:t>
      </w:r>
      <w:r>
        <w:t>, o teñirse l</w:t>
      </w:r>
      <w:r w:rsidR="006C5A2E">
        <w:t>o</w:t>
      </w:r>
      <w:r>
        <w:t>s que est</w:t>
      </w:r>
      <w:r w:rsidR="0030561B">
        <w:t>é</w:t>
      </w:r>
      <w:r>
        <w:t>n suci</w:t>
      </w:r>
      <w:r w:rsidR="006C5A2E">
        <w:t>o</w:t>
      </w:r>
      <w:r>
        <w:t xml:space="preserve">s. Si </w:t>
      </w:r>
      <w:r w:rsidR="006C5A2E">
        <w:t>hubiese</w:t>
      </w:r>
      <w:r>
        <w:t xml:space="preserve"> una mancha en el </w:t>
      </w:r>
      <w:r w:rsidR="0030561B">
        <w:t>cuenco</w:t>
      </w:r>
      <w:r>
        <w:t xml:space="preserve">, </w:t>
      </w:r>
      <w:r w:rsidR="00ED5491">
        <w:t>debe</w:t>
      </w:r>
      <w:r w:rsidR="00DE1BA7">
        <w:t>rá</w:t>
      </w:r>
      <w:r w:rsidR="00ED5491">
        <w:t xml:space="preserve"> hornearse</w:t>
      </w:r>
      <w:r>
        <w:t xml:space="preserve">. La cama, la silla, </w:t>
      </w:r>
      <w:r w:rsidR="00ED5491">
        <w:t>etc.</w:t>
      </w:r>
      <w:r>
        <w:t xml:space="preserve"> deben limpiarse. Estos son los detalles de la cláusula: “Entonces él debe</w:t>
      </w:r>
      <w:r w:rsidR="00ED5491">
        <w:t>rá</w:t>
      </w:r>
      <w:r>
        <w:t xml:space="preserve"> eliminar los impedimentos menores”.</w:t>
      </w:r>
    </w:p>
    <w:p w14:paraId="49AF5F2C" w14:textId="14DB93D0" w:rsidR="00C334C2" w:rsidRDefault="00C334C2" w:rsidP="00C334C2">
      <w:pPr>
        <w:pStyle w:val="Ttulo3"/>
        <w:ind w:left="708"/>
      </w:pPr>
      <w:r>
        <w:t xml:space="preserve">[Instrucciones Detalladas Para </w:t>
      </w:r>
      <w:r w:rsidR="00DE1BA7">
        <w:t>Su</w:t>
      </w:r>
      <w:r>
        <w:t xml:space="preserve"> Desarrollo]</w:t>
      </w:r>
    </w:p>
    <w:p w14:paraId="67E2FD23" w14:textId="01D7C0B6" w:rsidR="00C334C2" w:rsidRDefault="00C334C2" w:rsidP="00C334C2">
      <w:r>
        <w:t xml:space="preserve">21. </w:t>
      </w:r>
      <w:r w:rsidR="00CF09E3">
        <w:tab/>
      </w:r>
      <w:r>
        <w:t>Ahora</w:t>
      </w:r>
      <w:r w:rsidR="00DE1BA7">
        <w:t xml:space="preserve"> bien</w:t>
      </w:r>
      <w:r>
        <w:t>, con la cláusula</w:t>
      </w:r>
      <w:r w:rsidRPr="00DC50A8">
        <w:rPr>
          <w:i/>
          <w:iCs/>
        </w:rPr>
        <w:t xml:space="preserve">, Y no pasar por alto ninguna de las </w:t>
      </w:r>
      <w:r w:rsidR="003D7C89">
        <w:rPr>
          <w:i/>
          <w:iCs/>
        </w:rPr>
        <w:t>instrucciones</w:t>
      </w:r>
      <w:r w:rsidRPr="00DC50A8">
        <w:rPr>
          <w:i/>
          <w:iCs/>
        </w:rPr>
        <w:t xml:space="preserve"> para </w:t>
      </w:r>
      <w:r w:rsidR="003D7C89">
        <w:rPr>
          <w:i/>
          <w:iCs/>
        </w:rPr>
        <w:t>su</w:t>
      </w:r>
      <w:r w:rsidRPr="00DC50A8">
        <w:rPr>
          <w:i/>
          <w:iCs/>
        </w:rPr>
        <w:t xml:space="preserve"> desarrollo</w:t>
      </w:r>
      <w:r>
        <w:t xml:space="preserve"> (III.28), ha</w:t>
      </w:r>
      <w:r w:rsidR="003D7C89">
        <w:t>brá</w:t>
      </w:r>
      <w:r>
        <w:t xml:space="preserve"> llegado el momento de la exposición detallada de todos los </w:t>
      </w:r>
      <w:r w:rsidR="003D7C89">
        <w:t xml:space="preserve">objetos </w:t>
      </w:r>
      <w:r>
        <w:t xml:space="preserve">de meditación, comenzando con </w:t>
      </w:r>
      <w:r w:rsidR="003D7C89">
        <w:t>el</w:t>
      </w:r>
      <w:r>
        <w:t xml:space="preserve"> </w:t>
      </w:r>
      <w:proofErr w:type="spellStart"/>
      <w:r w:rsidR="00057BF4" w:rsidRPr="00057BF4">
        <w:rPr>
          <w:i/>
        </w:rPr>
        <w:t>kasiṇa</w:t>
      </w:r>
      <w:proofErr w:type="spellEnd"/>
      <w:r w:rsidR="003D7C89">
        <w:rPr>
          <w:i/>
        </w:rPr>
        <w:t xml:space="preserve"> </w:t>
      </w:r>
      <w:r w:rsidR="003D7C89">
        <w:rPr>
          <w:iCs/>
        </w:rPr>
        <w:t>tierra</w:t>
      </w:r>
      <w:r>
        <w:t>.</w:t>
      </w:r>
    </w:p>
    <w:p w14:paraId="0A1625F9" w14:textId="3D24ABA7" w:rsidR="00C334C2" w:rsidRDefault="00C334C2" w:rsidP="00C334C2">
      <w:pPr>
        <w:pStyle w:val="Ttulo3"/>
        <w:ind w:left="708"/>
      </w:pPr>
      <w:r>
        <w:t>[</w:t>
      </w:r>
      <w:r w:rsidR="003D7C89">
        <w:t>El</w:t>
      </w:r>
      <w:r>
        <w:t xml:space="preserve"> </w:t>
      </w:r>
      <w:proofErr w:type="spellStart"/>
      <w:r w:rsidR="00057BF4" w:rsidRPr="00057BF4">
        <w:rPr>
          <w:i/>
        </w:rPr>
        <w:t>Kasiṇa</w:t>
      </w:r>
      <w:proofErr w:type="spellEnd"/>
      <w:r w:rsidR="003D7C89">
        <w:rPr>
          <w:iCs/>
        </w:rPr>
        <w:t xml:space="preserve"> Tierra</w:t>
      </w:r>
      <w:r>
        <w:t>]</w:t>
      </w:r>
    </w:p>
    <w:p w14:paraId="0EBB7769" w14:textId="09B60734" w:rsidR="00C334C2" w:rsidRDefault="00C334C2" w:rsidP="00C334C2">
      <w:r>
        <w:t xml:space="preserve">[123] Cuando un </w:t>
      </w:r>
      <w:proofErr w:type="spellStart"/>
      <w:r w:rsidR="00057BF4" w:rsidRPr="00057BF4">
        <w:rPr>
          <w:i/>
          <w:iCs/>
        </w:rPr>
        <w:t>bhikkhu</w:t>
      </w:r>
      <w:proofErr w:type="spellEnd"/>
      <w:r>
        <w:t xml:space="preserve"> ha</w:t>
      </w:r>
      <w:r w:rsidR="008D471C">
        <w:t>ya</w:t>
      </w:r>
      <w:r>
        <w:t xml:space="preserve"> eliminado así los impedimentos menores, entonces, al regresar de su ronda de </w:t>
      </w:r>
      <w:r w:rsidR="008D471C">
        <w:t xml:space="preserve">ofrendas y </w:t>
      </w:r>
      <w:r>
        <w:t xml:space="preserve">después de </w:t>
      </w:r>
      <w:r w:rsidR="00DC0022">
        <w:t>haber terminado su</w:t>
      </w:r>
      <w:r>
        <w:t xml:space="preserve"> comida</w:t>
      </w:r>
      <w:r w:rsidR="008D471C">
        <w:t>,</w:t>
      </w:r>
      <w:r>
        <w:t xml:space="preserve"> después de haberse librado de la somnolencia debido a la comida, </w:t>
      </w:r>
      <w:r w:rsidR="006C0906">
        <w:t>se</w:t>
      </w:r>
      <w:r>
        <w:t xml:space="preserve"> senta</w:t>
      </w:r>
      <w:r w:rsidR="006C0906">
        <w:t>rá</w:t>
      </w:r>
      <w:r>
        <w:t xml:space="preserve"> cómodamente en un lugar apartado y aprehender</w:t>
      </w:r>
      <w:r w:rsidR="006C0906">
        <w:t>á</w:t>
      </w:r>
      <w:r>
        <w:t xml:space="preserve"> el </w:t>
      </w:r>
      <w:r w:rsidR="000D19B4">
        <w:t xml:space="preserve">signo </w:t>
      </w:r>
      <w:r>
        <w:t xml:space="preserve">en la tierra que </w:t>
      </w:r>
      <w:r w:rsidR="00500A8D">
        <w:t xml:space="preserve">sea </w:t>
      </w:r>
      <w:r w:rsidR="0006448F">
        <w:t>fabricado</w:t>
      </w:r>
      <w:r>
        <w:t xml:space="preserve"> o no </w:t>
      </w:r>
      <w:r w:rsidR="0006448F">
        <w:t>fabricado</w:t>
      </w:r>
      <w:r>
        <w:t>.</w:t>
      </w:r>
    </w:p>
    <w:p w14:paraId="03169653" w14:textId="5FA955EB" w:rsidR="00077D60" w:rsidRDefault="00C334C2" w:rsidP="00077D60">
      <w:pPr>
        <w:rPr>
          <w:u w:val="single"/>
        </w:rPr>
      </w:pPr>
      <w:r>
        <w:t xml:space="preserve">22. </w:t>
      </w:r>
      <w:r>
        <w:tab/>
        <w:t>Porque est</w:t>
      </w:r>
      <w:r w:rsidR="00500A8D">
        <w:t>á</w:t>
      </w:r>
      <w:r>
        <w:t xml:space="preserve"> </w:t>
      </w:r>
      <w:r w:rsidR="00500A8D">
        <w:t>dicho</w:t>
      </w:r>
      <w:r>
        <w:t>:</w:t>
      </w:r>
      <w:r w:rsidRPr="00DC50A8">
        <w:rPr>
          <w:vertAlign w:val="superscript"/>
        </w:rPr>
        <w:t>4</w:t>
      </w:r>
      <w:r>
        <w:t xml:space="preserve"> “</w:t>
      </w:r>
      <w:r w:rsidRPr="00500A8D">
        <w:t>Aquel que est</w:t>
      </w:r>
      <w:r w:rsidR="00500A8D" w:rsidRPr="00500A8D">
        <w:t>é</w:t>
      </w:r>
      <w:r w:rsidRPr="00500A8D">
        <w:t xml:space="preserve"> aprendiendo</w:t>
      </w:r>
      <w:r w:rsidRPr="00DC50A8">
        <w:rPr>
          <w:i/>
          <w:iCs/>
        </w:rPr>
        <w:t xml:space="preserve"> </w:t>
      </w:r>
      <w:r w:rsidR="000D19B4">
        <w:t xml:space="preserve">el </w:t>
      </w:r>
      <w:proofErr w:type="spellStart"/>
      <w:r w:rsidR="000D19B4" w:rsidRPr="00057BF4">
        <w:rPr>
          <w:i/>
          <w:iCs/>
        </w:rPr>
        <w:t>kasiṇa</w:t>
      </w:r>
      <w:proofErr w:type="spellEnd"/>
      <w:r w:rsidR="000D19B4" w:rsidRPr="00DC50A8">
        <w:rPr>
          <w:i/>
          <w:iCs/>
        </w:rPr>
        <w:t xml:space="preserve"> </w:t>
      </w:r>
      <w:r w:rsidRPr="00500A8D">
        <w:t>tierra</w:t>
      </w:r>
      <w:r w:rsidRPr="00DC50A8">
        <w:rPr>
          <w:i/>
          <w:iCs/>
        </w:rPr>
        <w:t xml:space="preserve"> </w:t>
      </w:r>
      <w:r>
        <w:t>aprehende</w:t>
      </w:r>
      <w:r w:rsidR="00500A8D">
        <w:t>rá</w:t>
      </w:r>
      <w:r>
        <w:t xml:space="preserve"> </w:t>
      </w:r>
      <w:r w:rsidR="001963C7">
        <w:t>el signo</w:t>
      </w:r>
      <w:r>
        <w:t xml:space="preserve"> en la tierra que </w:t>
      </w:r>
      <w:r w:rsidR="0065361B">
        <w:t>sea</w:t>
      </w:r>
      <w:r w:rsidR="00FA2F1D">
        <w:t xml:space="preserve"> ya sea </w:t>
      </w:r>
      <w:r w:rsidR="0065361B">
        <w:t xml:space="preserve">fabricado </w:t>
      </w:r>
      <w:r w:rsidR="00FA2F1D">
        <w:t xml:space="preserve">o no </w:t>
      </w:r>
      <w:r w:rsidR="0065361B">
        <w:t>fabricado</w:t>
      </w:r>
      <w:r>
        <w:t xml:space="preserve">; </w:t>
      </w:r>
      <w:r w:rsidR="004D42F8">
        <w:t>e</w:t>
      </w:r>
      <w:r w:rsidR="006C7B26">
        <w:t>l cual será</w:t>
      </w:r>
      <w:r>
        <w:t xml:space="preserve"> </w:t>
      </w:r>
      <w:r w:rsidR="007024C8">
        <w:t>restringid</w:t>
      </w:r>
      <w:r w:rsidR="00644920">
        <w:t>o</w:t>
      </w:r>
      <w:r>
        <w:t xml:space="preserve">, no </w:t>
      </w:r>
      <w:proofErr w:type="spellStart"/>
      <w:r w:rsidR="006C7B26">
        <w:t>ir</w:t>
      </w:r>
      <w:r w:rsidR="007024C8">
        <w:t>restringid</w:t>
      </w:r>
      <w:r w:rsidR="004D42F8">
        <w:t>o</w:t>
      </w:r>
      <w:proofErr w:type="spellEnd"/>
      <w:r>
        <w:t>; limitado, no ilimitad</w:t>
      </w:r>
      <w:r w:rsidR="004D42F8">
        <w:t>o</w:t>
      </w:r>
      <w:r>
        <w:t xml:space="preserve">; con una periferia, no sin </w:t>
      </w:r>
      <w:r w:rsidR="006C7B26">
        <w:t>alg</w:t>
      </w:r>
      <w:r>
        <w:t>una periferia; circunscrit</w:t>
      </w:r>
      <w:r w:rsidR="004D42F8">
        <w:t>o</w:t>
      </w:r>
      <w:r>
        <w:t xml:space="preserve">, no </w:t>
      </w:r>
      <w:proofErr w:type="spellStart"/>
      <w:r>
        <w:t>incircunscrito</w:t>
      </w:r>
      <w:proofErr w:type="spellEnd"/>
      <w:r>
        <w:t xml:space="preserve">; ya sea del tamaño de un </w:t>
      </w:r>
      <w:r w:rsidR="00685C46" w:rsidRPr="00685C46">
        <w:t xml:space="preserve">celemín </w:t>
      </w:r>
      <w:r>
        <w:t>(</w:t>
      </w:r>
      <w:proofErr w:type="spellStart"/>
      <w:r w:rsidRPr="00DC50A8">
        <w:rPr>
          <w:i/>
          <w:iCs/>
        </w:rPr>
        <w:t>suppa</w:t>
      </w:r>
      <w:proofErr w:type="spellEnd"/>
      <w:r>
        <w:t>) o del tamaño de un plato (</w:t>
      </w:r>
      <w:proofErr w:type="spellStart"/>
      <w:r w:rsidRPr="00DC50A8">
        <w:rPr>
          <w:i/>
          <w:iCs/>
        </w:rPr>
        <w:t>sarāva</w:t>
      </w:r>
      <w:proofErr w:type="spellEnd"/>
      <w:r>
        <w:t>). Él se encarga</w:t>
      </w:r>
      <w:r w:rsidR="006B2360">
        <w:t>rá</w:t>
      </w:r>
      <w:r>
        <w:t xml:space="preserve"> de que es</w:t>
      </w:r>
      <w:r w:rsidR="00C11DF2">
        <w:t>t</w:t>
      </w:r>
      <w:r>
        <w:t>e signo sea bien aprehendido, bien atendido, bien definido. Habiendo hecho e</w:t>
      </w:r>
      <w:r w:rsidR="00CE7645">
        <w:t>ll</w:t>
      </w:r>
      <w:r>
        <w:t xml:space="preserve">o, y viendo sus ventajas y percibiéndolo como un tesoro, construyendo respeto </w:t>
      </w:r>
      <w:r w:rsidR="006B2360">
        <w:t xml:space="preserve">hacia </w:t>
      </w:r>
      <w:r>
        <w:t xml:space="preserve">él, haciéndolo </w:t>
      </w:r>
      <w:r w:rsidR="00EE5F46">
        <w:t>estimado</w:t>
      </w:r>
      <w:r>
        <w:t xml:space="preserve"> </w:t>
      </w:r>
      <w:r w:rsidR="0060720B">
        <w:t xml:space="preserve">por </w:t>
      </w:r>
      <w:r>
        <w:t>él, ancla</w:t>
      </w:r>
      <w:r w:rsidR="0060720B">
        <w:t>rá</w:t>
      </w:r>
      <w:r>
        <w:t xml:space="preserve"> su mente </w:t>
      </w:r>
      <w:r w:rsidR="0060720B">
        <w:t>en</w:t>
      </w:r>
      <w:r>
        <w:t xml:space="preserve"> ese objeto, pensando, 'Seguramente de esta manera </w:t>
      </w:r>
      <w:r w:rsidR="0060720B">
        <w:t xml:space="preserve">me libraré </w:t>
      </w:r>
      <w:r>
        <w:t xml:space="preserve">del envejecimiento y la muerte.' Apartado de los </w:t>
      </w:r>
      <w:r w:rsidR="007831DD">
        <w:t>deseos sensoriales</w:t>
      </w:r>
      <w:r>
        <w:t>... él entra</w:t>
      </w:r>
      <w:r w:rsidR="0060720B">
        <w:t>rá</w:t>
      </w:r>
      <w:r>
        <w:t xml:space="preserve"> y </w:t>
      </w:r>
      <w:r w:rsidR="0060720B">
        <w:t xml:space="preserve">habitará </w:t>
      </w:r>
      <w:r>
        <w:t xml:space="preserve">en el primer </w:t>
      </w:r>
      <w:proofErr w:type="spellStart"/>
      <w:r w:rsidR="00057BF4" w:rsidRPr="00057BF4">
        <w:rPr>
          <w:i/>
          <w:iCs/>
        </w:rPr>
        <w:t>jhāna</w:t>
      </w:r>
      <w:proofErr w:type="spellEnd"/>
      <w:r w:rsidR="00077D60">
        <w:rPr>
          <w:i/>
          <w:iCs/>
        </w:rPr>
        <w:t xml:space="preserve"> </w:t>
      </w:r>
      <w:r>
        <w:t>..."</w:t>
      </w:r>
      <w:r w:rsidR="00077D60">
        <w:t>.</w:t>
      </w:r>
      <w:r w:rsidRPr="00C334C2">
        <w:rPr>
          <w:u w:val="single"/>
        </w:rPr>
        <w:t xml:space="preserve">   </w:t>
      </w:r>
    </w:p>
    <w:p w14:paraId="150492F6" w14:textId="5098703C" w:rsidR="00C334C2" w:rsidRPr="00C334C2" w:rsidRDefault="00C334C2" w:rsidP="00077D60">
      <w:pPr>
        <w:rPr>
          <w:u w:val="single"/>
        </w:rPr>
      </w:pPr>
      <w:r w:rsidRPr="00C334C2">
        <w:rPr>
          <w:u w:val="single"/>
        </w:rPr>
        <w:t xml:space="preserve">                                                                                                                                              .</w:t>
      </w:r>
    </w:p>
    <w:p w14:paraId="6AF17FE1" w14:textId="6214CC60" w:rsidR="00C334C2" w:rsidRDefault="00C334C2" w:rsidP="00C334C2">
      <w:pPr>
        <w:pStyle w:val="PiedepginaLegal"/>
      </w:pPr>
      <w:r>
        <w:t xml:space="preserve"> 4. </w:t>
      </w:r>
      <w:r>
        <w:tab/>
        <w:t xml:space="preserve">“Dicho en el Antiguo Comentario. </w:t>
      </w:r>
      <w:r w:rsidRPr="00CE7645">
        <w:rPr>
          <w:i/>
          <w:iCs/>
        </w:rPr>
        <w:t>'Aquel que est</w:t>
      </w:r>
      <w:r w:rsidR="00CE7645">
        <w:rPr>
          <w:i/>
          <w:iCs/>
        </w:rPr>
        <w:t>é</w:t>
      </w:r>
      <w:r w:rsidRPr="00CE7645">
        <w:rPr>
          <w:i/>
          <w:iCs/>
        </w:rPr>
        <w:t xml:space="preserve"> aprendiendo el </w:t>
      </w:r>
      <w:proofErr w:type="spellStart"/>
      <w:r w:rsidR="00057BF4" w:rsidRPr="00CE7645">
        <w:rPr>
          <w:i/>
          <w:iCs/>
        </w:rPr>
        <w:t>kasiṇa</w:t>
      </w:r>
      <w:proofErr w:type="spellEnd"/>
      <w:r w:rsidRPr="00CE7645">
        <w:rPr>
          <w:i/>
          <w:iCs/>
        </w:rPr>
        <w:t xml:space="preserve"> tierra'</w:t>
      </w:r>
      <w:r>
        <w:t>: alguien que est</w:t>
      </w:r>
      <w:r w:rsidR="00CE7645">
        <w:t>é</w:t>
      </w:r>
      <w:r>
        <w:t xml:space="preserve"> aprehendiendo, </w:t>
      </w:r>
      <w:r w:rsidR="00A31E68">
        <w:t>sujetando</w:t>
      </w:r>
      <w:r>
        <w:t xml:space="preserve">, un </w:t>
      </w:r>
      <w:proofErr w:type="spellStart"/>
      <w:r w:rsidR="00057BF4" w:rsidRPr="00057BF4">
        <w:rPr>
          <w:i/>
          <w:iCs/>
        </w:rPr>
        <w:t>kasiṇa</w:t>
      </w:r>
      <w:proofErr w:type="spellEnd"/>
      <w:r>
        <w:t xml:space="preserve"> tierra como un 'signo de aprendizaje'. El significado </w:t>
      </w:r>
      <w:r w:rsidR="00CB2B92">
        <w:t xml:space="preserve">se refiere a </w:t>
      </w:r>
      <w:r>
        <w:t>alguien que est</w:t>
      </w:r>
      <w:r w:rsidR="00CB2B92">
        <w:t>é</w:t>
      </w:r>
      <w:r>
        <w:t xml:space="preserve"> produciendo un </w:t>
      </w:r>
      <w:proofErr w:type="spellStart"/>
      <w:r w:rsidR="00057BF4" w:rsidRPr="00057BF4">
        <w:rPr>
          <w:i/>
          <w:iCs/>
        </w:rPr>
        <w:t>kasiṇa</w:t>
      </w:r>
      <w:proofErr w:type="spellEnd"/>
      <w:r>
        <w:t xml:space="preserve"> tierra que se ha</w:t>
      </w:r>
      <w:r w:rsidR="00CB2B92">
        <w:t>ya</w:t>
      </w:r>
      <w:r>
        <w:t xml:space="preserve"> convertido en </w:t>
      </w:r>
      <w:r w:rsidR="00CB2B92">
        <w:t xml:space="preserve">su </w:t>
      </w:r>
      <w:r>
        <w:t>signo de aprendizaje; y aquí "</w:t>
      </w:r>
      <w:r w:rsidR="00E74CFA">
        <w:t>surgimiento</w:t>
      </w:r>
      <w:r>
        <w:t>" debe</w:t>
      </w:r>
      <w:r w:rsidR="00E74CFA">
        <w:t>rá</w:t>
      </w:r>
      <w:r>
        <w:t xml:space="preserve"> considerarse como el establecimiento del signo de esa manera. ‘</w:t>
      </w:r>
      <w:r w:rsidRPr="002A3484">
        <w:rPr>
          <w:i/>
          <w:iCs/>
        </w:rPr>
        <w:t>En la tierra’</w:t>
      </w:r>
      <w:r>
        <w:t>: en un disco de tierra del tipo que se va</w:t>
      </w:r>
      <w:r w:rsidR="00E74CFA">
        <w:t>ya</w:t>
      </w:r>
      <w:r>
        <w:t xml:space="preserve"> a describir. </w:t>
      </w:r>
      <w:r w:rsidRPr="002A3484">
        <w:rPr>
          <w:i/>
          <w:iCs/>
        </w:rPr>
        <w:t>'</w:t>
      </w:r>
      <w:r w:rsidR="003217C6">
        <w:rPr>
          <w:i/>
          <w:iCs/>
        </w:rPr>
        <w:t>Él a</w:t>
      </w:r>
      <w:r w:rsidRPr="002A3484">
        <w:rPr>
          <w:i/>
          <w:iCs/>
        </w:rPr>
        <w:t>prehende el signo'</w:t>
      </w:r>
      <w:r>
        <w:t>: él aprehende e</w:t>
      </w:r>
      <w:r w:rsidR="008759E1">
        <w:t>ll</w:t>
      </w:r>
      <w:r>
        <w:t>o, con conocimiento relacionado con el desarrollo meditativo, el signo de la tierra del tipo que se va</w:t>
      </w:r>
      <w:r w:rsidR="003217C6">
        <w:t>ya</w:t>
      </w:r>
      <w:r>
        <w:t xml:space="preserve"> a describir, como </w:t>
      </w:r>
      <w:r w:rsidR="003217C6">
        <w:t>alguien</w:t>
      </w:r>
      <w:r>
        <w:t xml:space="preserve"> </w:t>
      </w:r>
      <w:r w:rsidR="008C4523">
        <w:t xml:space="preserve">percibe </w:t>
      </w:r>
      <w:r>
        <w:t xml:space="preserve">con el ojo el signo del rostro en un espejo. </w:t>
      </w:r>
      <w:r w:rsidRPr="00B053F2">
        <w:rPr>
          <w:i/>
          <w:iCs/>
        </w:rPr>
        <w:t>'</w:t>
      </w:r>
      <w:r w:rsidR="0065361B">
        <w:rPr>
          <w:i/>
          <w:iCs/>
        </w:rPr>
        <w:t>Fabricado</w:t>
      </w:r>
      <w:r w:rsidRPr="00B053F2">
        <w:rPr>
          <w:i/>
          <w:iCs/>
        </w:rPr>
        <w:t>'</w:t>
      </w:r>
      <w:r>
        <w:t xml:space="preserve">: preparado de la manera que se describe a continuación. </w:t>
      </w:r>
      <w:r w:rsidRPr="00B053F2">
        <w:rPr>
          <w:i/>
          <w:iCs/>
        </w:rPr>
        <w:t xml:space="preserve">'No </w:t>
      </w:r>
      <w:r w:rsidR="0065361B">
        <w:rPr>
          <w:i/>
          <w:iCs/>
        </w:rPr>
        <w:t>fabricado</w:t>
      </w:r>
      <w:r w:rsidRPr="00B053F2">
        <w:rPr>
          <w:i/>
          <w:iCs/>
        </w:rPr>
        <w:t>'</w:t>
      </w:r>
      <w:r>
        <w:t xml:space="preserve">: en un disco de tierra que </w:t>
      </w:r>
      <w:proofErr w:type="gramStart"/>
      <w:r>
        <w:t>consist</w:t>
      </w:r>
      <w:r w:rsidR="004A47DF">
        <w:t>a</w:t>
      </w:r>
      <w:r>
        <w:t xml:space="preserve"> </w:t>
      </w:r>
      <w:r w:rsidR="004A47DF">
        <w:t>de</w:t>
      </w:r>
      <w:proofErr w:type="gramEnd"/>
      <w:r>
        <w:t xml:space="preserve"> un disco ordinario de trilla, y así sucesivamente. ‘</w:t>
      </w:r>
      <w:r w:rsidRPr="00B053F2">
        <w:rPr>
          <w:i/>
          <w:iCs/>
        </w:rPr>
        <w:t>Limitado’</w:t>
      </w:r>
      <w:r>
        <w:t xml:space="preserve">: solo en uno que </w:t>
      </w:r>
      <w:r w:rsidR="008C4523">
        <w:t xml:space="preserve">tenga </w:t>
      </w:r>
      <w:r>
        <w:t xml:space="preserve">límites. Con respecto a las palabras </w:t>
      </w:r>
      <w:r w:rsidRPr="00B053F2">
        <w:rPr>
          <w:i/>
          <w:iCs/>
        </w:rPr>
        <w:t>'del tamaño de un celemín'</w:t>
      </w:r>
      <w:r>
        <w:t xml:space="preserve">, etc., sería deseable que un celemín y un plato fueran del mismo tamaño, pero algunos dicen que </w:t>
      </w:r>
      <w:r w:rsidRPr="00B053F2">
        <w:rPr>
          <w:i/>
          <w:iCs/>
        </w:rPr>
        <w:t>'el tamaño de un plato'</w:t>
      </w:r>
      <w:r>
        <w:t xml:space="preserve"> es un palmo y cuatro dedos, y el </w:t>
      </w:r>
      <w:r w:rsidRPr="00B053F2">
        <w:rPr>
          <w:i/>
          <w:iCs/>
        </w:rPr>
        <w:t xml:space="preserve">'el tamaño de un </w:t>
      </w:r>
      <w:r w:rsidR="00A522AC" w:rsidRPr="00A522AC">
        <w:rPr>
          <w:i/>
          <w:iCs/>
        </w:rPr>
        <w:t>celemín</w:t>
      </w:r>
      <w:r w:rsidR="00A522AC">
        <w:rPr>
          <w:i/>
          <w:iCs/>
        </w:rPr>
        <w:t xml:space="preserve">’ </w:t>
      </w:r>
      <w:r>
        <w:t>es más grande. “</w:t>
      </w:r>
      <w:r w:rsidRPr="00A522AC">
        <w:rPr>
          <w:i/>
          <w:iCs/>
        </w:rPr>
        <w:t>Él se ocupa</w:t>
      </w:r>
      <w:r w:rsidR="004A47DF">
        <w:rPr>
          <w:i/>
          <w:iCs/>
        </w:rPr>
        <w:t>rá</w:t>
      </w:r>
      <w:r w:rsidRPr="00A522AC">
        <w:rPr>
          <w:i/>
          <w:iCs/>
        </w:rPr>
        <w:t xml:space="preserve"> de que es</w:t>
      </w:r>
      <w:r w:rsidR="004A47DF">
        <w:rPr>
          <w:i/>
          <w:iCs/>
        </w:rPr>
        <w:t>t</w:t>
      </w:r>
      <w:r w:rsidRPr="00A522AC">
        <w:rPr>
          <w:i/>
          <w:iCs/>
        </w:rPr>
        <w:t>e signo sea bien aprehendido</w:t>
      </w:r>
      <w:r>
        <w:t>”: ese meditador ha</w:t>
      </w:r>
      <w:r w:rsidR="00A522AC">
        <w:t>rá</w:t>
      </w:r>
      <w:r>
        <w:t xml:space="preserve"> de ese disco de tierra un signo bien aprehendido. Cuando, después de aprehender el signo en él abriendo los ojos, </w:t>
      </w:r>
      <w:r w:rsidR="00B5741B">
        <w:t>para después</w:t>
      </w:r>
      <w:r>
        <w:t xml:space="preserve"> mira</w:t>
      </w:r>
      <w:r w:rsidR="00B5741B">
        <w:t>r</w:t>
      </w:r>
      <w:r>
        <w:t xml:space="preserve"> y luego cerr</w:t>
      </w:r>
      <w:r w:rsidR="00B5741B">
        <w:t>arlos</w:t>
      </w:r>
      <w:r>
        <w:t xml:space="preserve"> de nuevo, se le aparece</w:t>
      </w:r>
      <w:r w:rsidR="00093691">
        <w:t>rá</w:t>
      </w:r>
      <w:r>
        <w:t xml:space="preserve"> cuando lo adviert</w:t>
      </w:r>
      <w:r w:rsidR="004A47DF">
        <w:t>a</w:t>
      </w:r>
      <w:r>
        <w:t xml:space="preserve"> tal como lo </w:t>
      </w:r>
      <w:r w:rsidR="00093691">
        <w:t xml:space="preserve">hacía </w:t>
      </w:r>
      <w:r>
        <w:t>en el momento de mirar con los ojos abiertos, entonces lo ha</w:t>
      </w:r>
      <w:r w:rsidR="00A9484F">
        <w:t>brá</w:t>
      </w:r>
      <w:r>
        <w:t xml:space="preserve"> </w:t>
      </w:r>
      <w:r w:rsidR="00A9484F">
        <w:t>aprehendido correctamente</w:t>
      </w:r>
      <w:r>
        <w:t xml:space="preserve">. Habiendo establecido completamente su atención plena </w:t>
      </w:r>
      <w:r w:rsidR="00A9484F">
        <w:t>en ello</w:t>
      </w:r>
      <w:r>
        <w:t>, observándol</w:t>
      </w:r>
      <w:r w:rsidR="00A9484F">
        <w:t>o</w:t>
      </w:r>
      <w:r>
        <w:t xml:space="preserve"> una y otra vez sin que su mente se desvíe hacia </w:t>
      </w:r>
      <w:r w:rsidR="00A9484F">
        <w:t>otra cosa</w:t>
      </w:r>
      <w:r>
        <w:t xml:space="preserve">, </w:t>
      </w:r>
      <w:r w:rsidR="008B1403">
        <w:t xml:space="preserve">se percatará </w:t>
      </w:r>
      <w:r w:rsidR="00F41C0D">
        <w:t xml:space="preserve">que </w:t>
      </w:r>
      <w:r>
        <w:t>est</w:t>
      </w:r>
      <w:r w:rsidR="00FA48F5">
        <w:t>ará</w:t>
      </w:r>
      <w:r>
        <w:t xml:space="preserve"> "</w:t>
      </w:r>
      <w:r w:rsidRPr="008269DD">
        <w:rPr>
          <w:i/>
          <w:iCs/>
        </w:rPr>
        <w:t>bien atendid</w:t>
      </w:r>
      <w:r w:rsidR="00F41C0D">
        <w:rPr>
          <w:i/>
          <w:iCs/>
        </w:rPr>
        <w:t>o</w:t>
      </w:r>
      <w:r>
        <w:t>". Cuando se le prest</w:t>
      </w:r>
      <w:r w:rsidR="008B1403">
        <w:t>e</w:t>
      </w:r>
      <w:r>
        <w:t xml:space="preserve"> atención mediante la advertencia y la atención una y otra vez</w:t>
      </w:r>
      <w:r w:rsidR="008B1403">
        <w:t>,</w:t>
      </w:r>
      <w:r>
        <w:t xml:space="preserve"> mediante la producción de muchas repeticiones y </w:t>
      </w:r>
      <w:r w:rsidR="00473B2A">
        <w:t>d</w:t>
      </w:r>
      <w:r>
        <w:t>el desarrollo instigado por e</w:t>
      </w:r>
      <w:r w:rsidR="008B1403">
        <w:t>ll</w:t>
      </w:r>
      <w:r>
        <w:t xml:space="preserve">o, </w:t>
      </w:r>
      <w:r w:rsidR="00E23BBD">
        <w:t xml:space="preserve">se </w:t>
      </w:r>
      <w:r>
        <w:t>ve</w:t>
      </w:r>
      <w:r w:rsidR="008B1403">
        <w:t>rá</w:t>
      </w:r>
      <w:r>
        <w:t xml:space="preserve"> que est</w:t>
      </w:r>
      <w:r w:rsidR="008B1403">
        <w:t>ar</w:t>
      </w:r>
      <w:r>
        <w:t xml:space="preserve">á </w:t>
      </w:r>
      <w:r w:rsidRPr="00B053F2">
        <w:rPr>
          <w:i/>
          <w:iCs/>
        </w:rPr>
        <w:t>"bien definido</w:t>
      </w:r>
      <w:r>
        <w:t>". ‘</w:t>
      </w:r>
      <w:r w:rsidRPr="00B053F2">
        <w:rPr>
          <w:i/>
          <w:iCs/>
        </w:rPr>
        <w:t>A ese objeto’</w:t>
      </w:r>
      <w:r>
        <w:t xml:space="preserve">: a ese objeto llamado </w:t>
      </w:r>
      <w:proofErr w:type="spellStart"/>
      <w:r w:rsidR="00057BF4" w:rsidRPr="00057BF4">
        <w:rPr>
          <w:i/>
          <w:iCs/>
        </w:rPr>
        <w:t>kasiṇa</w:t>
      </w:r>
      <w:proofErr w:type="spellEnd"/>
      <w:r w:rsidR="00FA48F5">
        <w:rPr>
          <w:i/>
          <w:iCs/>
        </w:rPr>
        <w:t xml:space="preserve"> </w:t>
      </w:r>
      <w:r w:rsidR="00FA48F5">
        <w:t>tierra</w:t>
      </w:r>
      <w:r>
        <w:t>, que ha</w:t>
      </w:r>
      <w:r w:rsidR="00FA48F5">
        <w:t>ya</w:t>
      </w:r>
      <w:r>
        <w:t xml:space="preserve"> aparecido correctamente debido a que ha sido bien aprehendido. ‘</w:t>
      </w:r>
      <w:r w:rsidRPr="008269DD">
        <w:rPr>
          <w:i/>
          <w:iCs/>
        </w:rPr>
        <w:t>Él ancla</w:t>
      </w:r>
      <w:r w:rsidR="00BA2223">
        <w:rPr>
          <w:i/>
          <w:iCs/>
        </w:rPr>
        <w:t>rá</w:t>
      </w:r>
      <w:r w:rsidRPr="008269DD">
        <w:rPr>
          <w:i/>
          <w:iCs/>
        </w:rPr>
        <w:t xml:space="preserve"> su mente’</w:t>
      </w:r>
      <w:r>
        <w:t>: al traer su mente para acceder a</w:t>
      </w:r>
      <w:r w:rsidR="00BA2223">
        <w:t>l</w:t>
      </w:r>
      <w:r>
        <w:t xml:space="preserve"> </w:t>
      </w:r>
      <w:proofErr w:type="spellStart"/>
      <w:r w:rsidR="00057BF4" w:rsidRPr="00057BF4">
        <w:rPr>
          <w:i/>
          <w:iCs/>
        </w:rPr>
        <w:t>jhāna</w:t>
      </w:r>
      <w:proofErr w:type="spellEnd"/>
      <w:r>
        <w:t>, l</w:t>
      </w:r>
      <w:r w:rsidR="004C4BF4">
        <w:t>a</w:t>
      </w:r>
      <w:r>
        <w:t xml:space="preserve"> ancla</w:t>
      </w:r>
      <w:r w:rsidR="00BA2223">
        <w:t>rá</w:t>
      </w:r>
      <w:r>
        <w:t>, la manten</w:t>
      </w:r>
      <w:r w:rsidR="00BA2223">
        <w:t>drá</w:t>
      </w:r>
      <w:r>
        <w:t xml:space="preserve"> alejada de otros objetos” (</w:t>
      </w:r>
      <w:proofErr w:type="spellStart"/>
      <w:r>
        <w:t>Vism-mhṭ</w:t>
      </w:r>
      <w:proofErr w:type="spellEnd"/>
      <w:r>
        <w:t xml:space="preserve"> 119).</w:t>
      </w:r>
    </w:p>
    <w:p w14:paraId="4767173B" w14:textId="77777777" w:rsidR="00C334C2" w:rsidRDefault="00C334C2">
      <w:pPr>
        <w:tabs>
          <w:tab w:val="clear" w:pos="425"/>
        </w:tabs>
        <w:spacing w:after="160"/>
        <w:rPr>
          <w:color w:val="000000" w:themeColor="text1"/>
          <w:spacing w:val="10"/>
          <w:sz w:val="14"/>
        </w:rPr>
      </w:pPr>
      <w:r>
        <w:br w:type="page"/>
      </w:r>
    </w:p>
    <w:p w14:paraId="51FD6156" w14:textId="2F4AF4A6" w:rsidR="007945BD" w:rsidRDefault="007945BD" w:rsidP="007945BD">
      <w:r>
        <w:lastRenderedPageBreak/>
        <w:t xml:space="preserve">23. </w:t>
      </w:r>
      <w:r>
        <w:tab/>
        <w:t xml:space="preserve">Aquí, cuando en un devenir previo un hombre </w:t>
      </w:r>
      <w:r w:rsidR="00C825A8">
        <w:t>h</w:t>
      </w:r>
      <w:r>
        <w:t>a</w:t>
      </w:r>
      <w:r w:rsidR="00995393">
        <w:t>ya</w:t>
      </w:r>
      <w:r>
        <w:t xml:space="preserve"> </w:t>
      </w:r>
      <w:r w:rsidR="00995393">
        <w:t xml:space="preserve">renunciado a una vida de hogar por una sin </w:t>
      </w:r>
      <w:r>
        <w:t xml:space="preserve">hogar </w:t>
      </w:r>
      <w:r w:rsidR="00995393">
        <w:t xml:space="preserve">durante </w:t>
      </w:r>
      <w:r>
        <w:t xml:space="preserve">la Dispensación o [fuera de ella] </w:t>
      </w:r>
      <w:r w:rsidR="00025DB7">
        <w:t xml:space="preserve">en una </w:t>
      </w:r>
      <w:r w:rsidR="0073325F">
        <w:t>ordenación</w:t>
      </w:r>
      <w:r>
        <w:t xml:space="preserve"> de los </w:t>
      </w:r>
      <w:proofErr w:type="spellStart"/>
      <w:r w:rsidRPr="000E65F5">
        <w:t>rishis</w:t>
      </w:r>
      <w:proofErr w:type="spellEnd"/>
      <w:r w:rsidRPr="000E65F5">
        <w:t xml:space="preserve"> </w:t>
      </w:r>
      <w:r>
        <w:t>y ya ha</w:t>
      </w:r>
      <w:r w:rsidR="0073325F">
        <w:t>ya</w:t>
      </w:r>
      <w:r>
        <w:t xml:space="preserve"> producido la tétrada </w:t>
      </w:r>
      <w:proofErr w:type="spellStart"/>
      <w:r w:rsidR="00057BF4" w:rsidRPr="00057BF4">
        <w:rPr>
          <w:i/>
          <w:iCs/>
        </w:rPr>
        <w:t>jhān</w:t>
      </w:r>
      <w:r w:rsidR="00257143">
        <w:rPr>
          <w:i/>
          <w:iCs/>
        </w:rPr>
        <w:t>ica</w:t>
      </w:r>
      <w:proofErr w:type="spellEnd"/>
      <w:r>
        <w:t xml:space="preserve"> o </w:t>
      </w:r>
      <w:proofErr w:type="spellStart"/>
      <w:r>
        <w:t>p</w:t>
      </w:r>
      <w:r w:rsidR="00673A38">
        <w:t>é</w:t>
      </w:r>
      <w:r>
        <w:t>ntada</w:t>
      </w:r>
      <w:proofErr w:type="spellEnd"/>
      <w:r>
        <w:t xml:space="preserve"> en </w:t>
      </w:r>
      <w:r w:rsidR="002316D1">
        <w:t>el</w:t>
      </w:r>
      <w:r>
        <w:t xml:space="preserve"> </w:t>
      </w:r>
      <w:proofErr w:type="spellStart"/>
      <w:r w:rsidR="00057BF4" w:rsidRPr="00057BF4">
        <w:rPr>
          <w:i/>
          <w:iCs/>
        </w:rPr>
        <w:t>kasiṇa</w:t>
      </w:r>
      <w:proofErr w:type="spellEnd"/>
      <w:r w:rsidR="002316D1" w:rsidRPr="002316D1">
        <w:t xml:space="preserve"> </w:t>
      </w:r>
      <w:r w:rsidR="002316D1">
        <w:t>tierra</w:t>
      </w:r>
      <w:r>
        <w:t xml:space="preserve">, y así </w:t>
      </w:r>
      <w:r w:rsidR="00892655">
        <w:t xml:space="preserve">haya </w:t>
      </w:r>
      <w:r w:rsidR="0073325F">
        <w:t>obten</w:t>
      </w:r>
      <w:r w:rsidR="00892655">
        <w:t>ido</w:t>
      </w:r>
      <w:r w:rsidR="0073325F">
        <w:t xml:space="preserve"> </w:t>
      </w:r>
      <w:r>
        <w:t xml:space="preserve">tal mérito y </w:t>
      </w:r>
      <w:r w:rsidR="00892655">
        <w:t xml:space="preserve">también </w:t>
      </w:r>
      <w:r>
        <w:t xml:space="preserve">el </w:t>
      </w:r>
      <w:r w:rsidR="0073325F">
        <w:t xml:space="preserve">soporte </w:t>
      </w:r>
      <w:r>
        <w:t xml:space="preserve">[de </w:t>
      </w:r>
      <w:r w:rsidR="0073325F">
        <w:t xml:space="preserve">una </w:t>
      </w:r>
      <w:r>
        <w:t xml:space="preserve">práctica pasada de </w:t>
      </w:r>
      <w:r w:rsidR="0073325F">
        <w:t xml:space="preserve">los </w:t>
      </w:r>
      <w:proofErr w:type="spellStart"/>
      <w:r w:rsidR="00057BF4" w:rsidRPr="00057BF4">
        <w:rPr>
          <w:i/>
          <w:iCs/>
        </w:rPr>
        <w:t>jhāna</w:t>
      </w:r>
      <w:proofErr w:type="spellEnd"/>
      <w:r>
        <w:t xml:space="preserve">], entonces </w:t>
      </w:r>
      <w:r w:rsidR="00892655">
        <w:t xml:space="preserve">el signo </w:t>
      </w:r>
      <w:r>
        <w:t>surg</w:t>
      </w:r>
      <w:r w:rsidR="00892655">
        <w:t>irá</w:t>
      </w:r>
      <w:r>
        <w:t xml:space="preserve"> en él en la tierra que no est</w:t>
      </w:r>
      <w:r w:rsidR="00892655">
        <w:t>é</w:t>
      </w:r>
      <w:r>
        <w:t xml:space="preserve"> </w:t>
      </w:r>
      <w:r w:rsidR="00892655">
        <w:t>compuesta</w:t>
      </w:r>
      <w:r>
        <w:t xml:space="preserve">, es decir, </w:t>
      </w:r>
      <w:r w:rsidR="00B84964">
        <w:t>sobre</w:t>
      </w:r>
      <w:r>
        <w:t xml:space="preserve"> </w:t>
      </w:r>
      <w:r w:rsidR="00B84964">
        <w:t xml:space="preserve">el </w:t>
      </w:r>
      <w:r>
        <w:t xml:space="preserve">área </w:t>
      </w:r>
      <w:r w:rsidR="00B84964">
        <w:t xml:space="preserve">de tamaño de </w:t>
      </w:r>
      <w:r w:rsidR="00673A38">
        <w:t xml:space="preserve">un </w:t>
      </w:r>
      <w:r w:rsidR="00B84964">
        <w:t xml:space="preserve">arado </w:t>
      </w:r>
      <w:r>
        <w:t xml:space="preserve">o </w:t>
      </w:r>
      <w:r w:rsidR="007224B7">
        <w:t xml:space="preserve">sobre </w:t>
      </w:r>
      <w:r>
        <w:t xml:space="preserve">una </w:t>
      </w:r>
      <w:r w:rsidR="007A55EE">
        <w:t>superficie de trillado</w:t>
      </w:r>
      <w:r>
        <w:t xml:space="preserve">, como en el caso del </w:t>
      </w:r>
      <w:r w:rsidR="00892655">
        <w:t xml:space="preserve">Venerable </w:t>
      </w:r>
      <w:proofErr w:type="spellStart"/>
      <w:r w:rsidRPr="001C1385">
        <w:rPr>
          <w:i/>
          <w:iCs/>
        </w:rPr>
        <w:t>Mallaka</w:t>
      </w:r>
      <w:proofErr w:type="spellEnd"/>
      <w:r>
        <w:t>.</w:t>
      </w:r>
    </w:p>
    <w:p w14:paraId="008BF7B0" w14:textId="6928E250" w:rsidR="007945BD" w:rsidRDefault="007945BD" w:rsidP="007945BD">
      <w:pPr>
        <w:pStyle w:val="NormalConSangria"/>
      </w:pPr>
      <w:r>
        <w:t xml:space="preserve">Parece que mientras aquel </w:t>
      </w:r>
      <w:r w:rsidR="00FA0E06">
        <w:t xml:space="preserve">Venerable </w:t>
      </w:r>
      <w:r>
        <w:t xml:space="preserve">miraba un terreno arado le surgió </w:t>
      </w:r>
      <w:r w:rsidR="00FA0E06">
        <w:t>el signo</w:t>
      </w:r>
      <w:r>
        <w:t xml:space="preserve"> del tamaño de ese terreno. Lo extendió y alcanzó </w:t>
      </w:r>
      <w:r w:rsidR="00257143">
        <w:t xml:space="preserve">la </w:t>
      </w:r>
      <w:proofErr w:type="spellStart"/>
      <w:r w:rsidR="00257143">
        <w:t>p</w:t>
      </w:r>
      <w:r w:rsidR="00673A38">
        <w:t>é</w:t>
      </w:r>
      <w:r w:rsidR="00257143">
        <w:t>ntada</w:t>
      </w:r>
      <w:proofErr w:type="spellEnd"/>
      <w:r>
        <w:t xml:space="preserve"> </w:t>
      </w:r>
      <w:proofErr w:type="spellStart"/>
      <w:r w:rsidR="00057BF4" w:rsidRPr="00057BF4">
        <w:rPr>
          <w:i/>
          <w:iCs/>
        </w:rPr>
        <w:t>jhān</w:t>
      </w:r>
      <w:r w:rsidR="00257143">
        <w:rPr>
          <w:i/>
          <w:iCs/>
        </w:rPr>
        <w:t>ica</w:t>
      </w:r>
      <w:proofErr w:type="spellEnd"/>
      <w:r>
        <w:t>. Luego, al establecer</w:t>
      </w:r>
      <w:r w:rsidR="00B22556">
        <w:t>se</w:t>
      </w:r>
      <w:r>
        <w:t xml:space="preserve"> </w:t>
      </w:r>
      <w:r w:rsidR="00B22556">
        <w:t xml:space="preserve">en la </w:t>
      </w:r>
      <w:r w:rsidR="00612DB0" w:rsidRPr="00527EA6">
        <w:t>sabid</w:t>
      </w:r>
      <w:r w:rsidR="00612DB0">
        <w:t>uría–revelativa</w:t>
      </w:r>
      <w:r w:rsidR="00B22556">
        <w:t xml:space="preserve"> </w:t>
      </w:r>
      <w:r>
        <w:t xml:space="preserve">con el </w:t>
      </w:r>
      <w:proofErr w:type="spellStart"/>
      <w:r w:rsidR="00057BF4" w:rsidRPr="00057BF4">
        <w:rPr>
          <w:i/>
          <w:iCs/>
        </w:rPr>
        <w:t>jhāna</w:t>
      </w:r>
      <w:proofErr w:type="spellEnd"/>
      <w:r>
        <w:t xml:space="preserve"> como base para ello, </w:t>
      </w:r>
      <w:r w:rsidR="00B22556">
        <w:t xml:space="preserve">consumó </w:t>
      </w:r>
      <w:r>
        <w:t xml:space="preserve">el estado de </w:t>
      </w:r>
      <w:r w:rsidR="00057BF4" w:rsidRPr="00057BF4">
        <w:rPr>
          <w:i/>
          <w:iCs/>
        </w:rPr>
        <w:t>Arahant</w:t>
      </w:r>
      <w:r>
        <w:t>.</w:t>
      </w:r>
    </w:p>
    <w:p w14:paraId="14A9CD71" w14:textId="2132DEBE" w:rsidR="007945BD" w:rsidRDefault="007945BD" w:rsidP="007945BD">
      <w:pPr>
        <w:pStyle w:val="Ttulo3"/>
        <w:ind w:left="708"/>
      </w:pPr>
      <w:r>
        <w:t>[</w:t>
      </w:r>
      <w:r w:rsidR="002316D1">
        <w:t>Construyendo</w:t>
      </w:r>
      <w:r>
        <w:t xml:space="preserve"> Un </w:t>
      </w:r>
      <w:proofErr w:type="spellStart"/>
      <w:r w:rsidR="00057BF4" w:rsidRPr="00057BF4">
        <w:rPr>
          <w:i/>
          <w:iCs/>
        </w:rPr>
        <w:t>Kasiṇa</w:t>
      </w:r>
      <w:proofErr w:type="spellEnd"/>
      <w:r w:rsidR="00A84A4D" w:rsidRPr="00A84A4D">
        <w:t xml:space="preserve"> </w:t>
      </w:r>
      <w:r w:rsidR="00A84A4D">
        <w:t>Tierra</w:t>
      </w:r>
      <w:r>
        <w:t>]</w:t>
      </w:r>
    </w:p>
    <w:p w14:paraId="513B2BDD" w14:textId="559DCDA3" w:rsidR="007945BD" w:rsidRPr="006F3CEB" w:rsidRDefault="007945BD" w:rsidP="007945BD">
      <w:r>
        <w:t xml:space="preserve">24. </w:t>
      </w:r>
      <w:r>
        <w:tab/>
        <w:t>Pero cuando un hombre no ha</w:t>
      </w:r>
      <w:r w:rsidR="00A84A4D">
        <w:t>ya</w:t>
      </w:r>
      <w:r>
        <w:t xml:space="preserve"> tenido tal práctica previa, debe</w:t>
      </w:r>
      <w:r w:rsidR="00A84A4D">
        <w:t>rá</w:t>
      </w:r>
      <w:r>
        <w:t xml:space="preserve"> </w:t>
      </w:r>
      <w:r w:rsidR="00B22556">
        <w:t>construir</w:t>
      </w:r>
      <w:r w:rsidR="00850DA0">
        <w:t xml:space="preserve"> </w:t>
      </w:r>
      <w:r>
        <w:t xml:space="preserve">un </w:t>
      </w:r>
      <w:proofErr w:type="spellStart"/>
      <w:r w:rsidR="00057BF4" w:rsidRPr="00057BF4">
        <w:rPr>
          <w:i/>
          <w:iCs/>
        </w:rPr>
        <w:t>kasiṇa</w:t>
      </w:r>
      <w:proofErr w:type="spellEnd"/>
      <w:r>
        <w:t>, protegiéndose contra l</w:t>
      </w:r>
      <w:r w:rsidR="00850DA0">
        <w:t>o</w:t>
      </w:r>
      <w:r>
        <w:t xml:space="preserve">s cuatro </w:t>
      </w:r>
      <w:r w:rsidR="00850DA0">
        <w:t xml:space="preserve">defectos </w:t>
      </w:r>
      <w:r>
        <w:t xml:space="preserve">de un </w:t>
      </w:r>
      <w:proofErr w:type="spellStart"/>
      <w:r w:rsidR="00057BF4" w:rsidRPr="00057BF4">
        <w:rPr>
          <w:i/>
          <w:iCs/>
        </w:rPr>
        <w:t>kasiṇa</w:t>
      </w:r>
      <w:proofErr w:type="spellEnd"/>
      <w:r>
        <w:t xml:space="preserve"> y sin pasar por alto ninguna de las inst</w:t>
      </w:r>
      <w:r w:rsidR="00B22556">
        <w:t>ru</w:t>
      </w:r>
      <w:r>
        <w:t xml:space="preserve">cciones </w:t>
      </w:r>
      <w:r w:rsidR="00054A5B">
        <w:t xml:space="preserve">aprendidas </w:t>
      </w:r>
      <w:r w:rsidR="00D73ED2">
        <w:t xml:space="preserve">del maestro </w:t>
      </w:r>
      <w:r>
        <w:t xml:space="preserve">para el </w:t>
      </w:r>
      <w:r w:rsidR="00850DA0">
        <w:t xml:space="preserve">objeto </w:t>
      </w:r>
      <w:r>
        <w:t>de meditación. Ahora bien, l</w:t>
      </w:r>
      <w:r w:rsidR="00850DA0">
        <w:t>o</w:t>
      </w:r>
      <w:r>
        <w:t xml:space="preserve">s cuatro </w:t>
      </w:r>
      <w:r w:rsidR="00850DA0">
        <w:t xml:space="preserve">defectos </w:t>
      </w:r>
      <w:r>
        <w:t xml:space="preserve">del </w:t>
      </w:r>
      <w:proofErr w:type="spellStart"/>
      <w:r w:rsidR="00057BF4" w:rsidRPr="00057BF4">
        <w:rPr>
          <w:i/>
          <w:iCs/>
        </w:rPr>
        <w:t>kasiṇa</w:t>
      </w:r>
      <w:proofErr w:type="spellEnd"/>
      <w:r>
        <w:t xml:space="preserve"> </w:t>
      </w:r>
      <w:r w:rsidR="00850DA0">
        <w:t xml:space="preserve">tierra </w:t>
      </w:r>
      <w:r>
        <w:t>se debe</w:t>
      </w:r>
      <w:r w:rsidR="000E4DEC">
        <w:t>rá</w:t>
      </w:r>
      <w:r>
        <w:t xml:space="preserve">n a la intrusión de </w:t>
      </w:r>
      <w:r w:rsidR="000E4DEC">
        <w:t xml:space="preserve">color </w:t>
      </w:r>
      <w:r>
        <w:t>azul, amarillo, rojo o blanco. Entonces, en lugar de usar arcilla de esos colores, debe</w:t>
      </w:r>
      <w:r w:rsidR="00F92877">
        <w:t>rá</w:t>
      </w:r>
      <w:r>
        <w:t xml:space="preserve"> </w:t>
      </w:r>
      <w:r w:rsidR="00F92877">
        <w:t xml:space="preserve">producir </w:t>
      </w:r>
      <w:r w:rsidR="004D2BA6">
        <w:t>un</w:t>
      </w:r>
      <w:r>
        <w:t xml:space="preserve"> </w:t>
      </w:r>
      <w:proofErr w:type="spellStart"/>
      <w:r w:rsidR="00057BF4" w:rsidRPr="00057BF4">
        <w:rPr>
          <w:i/>
          <w:iCs/>
        </w:rPr>
        <w:t>kasiṇa</w:t>
      </w:r>
      <w:proofErr w:type="spellEnd"/>
      <w:r>
        <w:t xml:space="preserve"> de </w:t>
      </w:r>
      <w:r w:rsidR="004D2BA6">
        <w:t xml:space="preserve">una </w:t>
      </w:r>
      <w:r>
        <w:t xml:space="preserve">arcilla como la del </w:t>
      </w:r>
      <w:r w:rsidR="00C51665">
        <w:t xml:space="preserve">río </w:t>
      </w:r>
      <w:r>
        <w:t>Gang</w:t>
      </w:r>
      <w:r w:rsidR="00C51665">
        <w:t>es</w:t>
      </w:r>
      <w:r>
        <w:t>,</w:t>
      </w:r>
      <w:r w:rsidRPr="00E7379F">
        <w:rPr>
          <w:vertAlign w:val="superscript"/>
        </w:rPr>
        <w:t>5</w:t>
      </w:r>
      <w:r>
        <w:t xml:space="preserve"> que </w:t>
      </w:r>
      <w:r w:rsidR="00054A5B">
        <w:t>sea</w:t>
      </w:r>
      <w:r>
        <w:t xml:space="preserve"> </w:t>
      </w:r>
      <w:r w:rsidR="004D2BA6">
        <w:t>d</w:t>
      </w:r>
      <w:r>
        <w:t>el color del amanecer. [124] Y no debe</w:t>
      </w:r>
      <w:r w:rsidR="00C51665">
        <w:t>rá</w:t>
      </w:r>
      <w:r>
        <w:t xml:space="preserve"> </w:t>
      </w:r>
      <w:r w:rsidR="00C51665">
        <w:t xml:space="preserve">producirlo </w:t>
      </w:r>
      <w:r>
        <w:t>en medio de</w:t>
      </w:r>
      <w:r w:rsidR="00C51665">
        <w:t xml:space="preserve"> un</w:t>
      </w:r>
      <w:r>
        <w:t xml:space="preserve"> monasterio donde hay</w:t>
      </w:r>
      <w:r w:rsidR="00C51665">
        <w:t>a</w:t>
      </w:r>
      <w:r>
        <w:t xml:space="preserve"> novicios, etc., sino en los confines de</w:t>
      </w:r>
      <w:r w:rsidR="00054A5B">
        <w:t>l</w:t>
      </w:r>
      <w:r>
        <w:t xml:space="preserve"> monasterio</w:t>
      </w:r>
      <w:r w:rsidR="00C51665">
        <w:t>,</w:t>
      </w:r>
      <w:r>
        <w:t xml:space="preserve"> en un lugar protegido, ya sea debajo de una roca sobresaliente o en una cabaña de hojas. </w:t>
      </w:r>
      <w:r w:rsidRPr="006F3CEB">
        <w:t xml:space="preserve">Él </w:t>
      </w:r>
      <w:r w:rsidR="00A0334D" w:rsidRPr="006F3CEB">
        <w:t>podrá</w:t>
      </w:r>
      <w:r w:rsidRPr="006F3CEB">
        <w:t xml:space="preserve"> </w:t>
      </w:r>
      <w:r w:rsidR="006F3CEB">
        <w:t>construirlo de forma</w:t>
      </w:r>
      <w:r w:rsidRPr="006F3CEB">
        <w:t xml:space="preserve"> portátil o como un accesorio.</w:t>
      </w:r>
    </w:p>
    <w:p w14:paraId="660E8B05" w14:textId="032BB0F7" w:rsidR="007945BD" w:rsidRDefault="007945BD" w:rsidP="007945BD">
      <w:r>
        <w:t xml:space="preserve">25. </w:t>
      </w:r>
      <w:r>
        <w:tab/>
        <w:t>De éstos, se debe</w:t>
      </w:r>
      <w:r w:rsidR="00010741">
        <w:t>rá</w:t>
      </w:r>
      <w:r>
        <w:t xml:space="preserve"> </w:t>
      </w:r>
      <w:r w:rsidR="00010741">
        <w:t>construir</w:t>
      </w:r>
      <w:r>
        <w:t xml:space="preserve"> uno portátil atando trapos de cuero o estera a cuatro palos y untando sobre ellos un disco del tamaño ya dicho, usando arcilla limpia de hierba, raíces, grava y arena, y bien amasada. En el momento del trabajo preliminar, debe</w:t>
      </w:r>
      <w:r w:rsidR="00010741">
        <w:t>rá</w:t>
      </w:r>
      <w:r>
        <w:t xml:space="preserve"> colocarse en el suelo y observarse.</w:t>
      </w:r>
    </w:p>
    <w:p w14:paraId="56F83D25" w14:textId="1FBB80EA" w:rsidR="007945BD" w:rsidRDefault="007945BD" w:rsidP="007945BD">
      <w:pPr>
        <w:pStyle w:val="NormalConSangria"/>
      </w:pPr>
      <w:r>
        <w:t>Se debe</w:t>
      </w:r>
      <w:r w:rsidR="00B04A49">
        <w:t>rá</w:t>
      </w:r>
      <w:r>
        <w:t xml:space="preserve"> </w:t>
      </w:r>
      <w:r w:rsidR="00B04A49">
        <w:t>construir</w:t>
      </w:r>
      <w:r>
        <w:t xml:space="preserve"> un accesorio golpeando estacas en el suelo en forma de</w:t>
      </w:r>
      <w:r w:rsidR="007428BA">
        <w:t>l</w:t>
      </w:r>
      <w:r>
        <w:t xml:space="preserve"> cáliz de</w:t>
      </w:r>
      <w:r w:rsidR="007428BA">
        <w:t>l</w:t>
      </w:r>
      <w:r>
        <w:t xml:space="preserve"> loto, atándolas con enredaderas. Si la arcilla es insuficiente, entonces se debe</w:t>
      </w:r>
      <w:r w:rsidR="00B04A49">
        <w:t>rá</w:t>
      </w:r>
      <w:r>
        <w:t xml:space="preserve"> poner otra arcilla debajo y un disco de un palmo y cuatro dedos de ancho hecho encima de e</w:t>
      </w:r>
      <w:r w:rsidR="007839FD">
        <w:t>ll</w:t>
      </w:r>
      <w:r>
        <w:t xml:space="preserve">o con arcilla bastante pura </w:t>
      </w:r>
      <w:r w:rsidR="00904938">
        <w:t xml:space="preserve">del </w:t>
      </w:r>
      <w:r>
        <w:t xml:space="preserve">color del amanecer. Porque fue solo con referencia a la medida que se dijo sobre </w:t>
      </w:r>
      <w:r w:rsidRPr="00505936">
        <w:rPr>
          <w:i/>
          <w:iCs/>
        </w:rPr>
        <w:t xml:space="preserve">el tamaño de un </w:t>
      </w:r>
      <w:r w:rsidR="00034377">
        <w:rPr>
          <w:i/>
          <w:iCs/>
        </w:rPr>
        <w:t xml:space="preserve">celemín </w:t>
      </w:r>
      <w:r w:rsidRPr="00505936">
        <w:rPr>
          <w:i/>
          <w:iCs/>
        </w:rPr>
        <w:t>o el tamaño de un plat</w:t>
      </w:r>
      <w:r w:rsidR="00034377">
        <w:rPr>
          <w:i/>
          <w:iCs/>
        </w:rPr>
        <w:t>o</w:t>
      </w:r>
      <w:r>
        <w:t xml:space="preserve"> (§22). Pero </w:t>
      </w:r>
      <w:r w:rsidR="007839FD">
        <w:t xml:space="preserve">se dijo </w:t>
      </w:r>
      <w:r w:rsidRPr="00505936">
        <w:rPr>
          <w:i/>
          <w:iCs/>
        </w:rPr>
        <w:t>eso est</w:t>
      </w:r>
      <w:r w:rsidR="0097103C">
        <w:rPr>
          <w:i/>
          <w:iCs/>
        </w:rPr>
        <w:t>ar</w:t>
      </w:r>
      <w:r w:rsidRPr="00505936">
        <w:rPr>
          <w:i/>
          <w:iCs/>
        </w:rPr>
        <w:t xml:space="preserve">á </w:t>
      </w:r>
      <w:r w:rsidR="0097103C">
        <w:rPr>
          <w:i/>
          <w:iCs/>
        </w:rPr>
        <w:t>limitado</w:t>
      </w:r>
      <w:r w:rsidRPr="00505936">
        <w:rPr>
          <w:i/>
          <w:iCs/>
        </w:rPr>
        <w:t>, no ilimitado</w:t>
      </w:r>
      <w:r>
        <w:t>, para mostrar su delimitación.</w:t>
      </w:r>
    </w:p>
    <w:p w14:paraId="3E1F6189" w14:textId="49F4373C" w:rsidR="007945BD" w:rsidRDefault="007945BD" w:rsidP="007945BD">
      <w:r>
        <w:t xml:space="preserve">26. </w:t>
      </w:r>
      <w:r>
        <w:tab/>
        <w:t xml:space="preserve">Así que, habiéndolo delimitado </w:t>
      </w:r>
      <w:r w:rsidR="001A13B6">
        <w:t xml:space="preserve">como se ha indicado </w:t>
      </w:r>
      <w:r>
        <w:t>y del tamaño prescrito, debe</w:t>
      </w:r>
      <w:r w:rsidR="0038711C">
        <w:t>rá</w:t>
      </w:r>
      <w:r>
        <w:t xml:space="preserve"> rasparlo con una piedra </w:t>
      </w:r>
      <w:r w:rsidR="0038711C">
        <w:t xml:space="preserve">llana </w:t>
      </w:r>
      <w:r>
        <w:t xml:space="preserve">(una madera </w:t>
      </w:r>
      <w:r w:rsidR="0038711C">
        <w:t>llana producirá un</w:t>
      </w:r>
      <w:r>
        <w:t xml:space="preserve"> color</w:t>
      </w:r>
      <w:r w:rsidR="0038711C">
        <w:t xml:space="preserve"> inadecuado</w:t>
      </w:r>
      <w:r>
        <w:t>, por lo que no debe</w:t>
      </w:r>
      <w:r w:rsidR="0038711C">
        <w:t>rá</w:t>
      </w:r>
      <w:r>
        <w:t xml:space="preserve"> emplearse) y </w:t>
      </w:r>
      <w:r w:rsidR="0038711C">
        <w:t xml:space="preserve">deberá </w:t>
      </w:r>
      <w:r>
        <w:t>hacerlo tan plano como la superficie de un tambor. Luego debería barrer el lugar y darse un baño. A su regreso</w:t>
      </w:r>
      <w:r w:rsidR="00A32C22">
        <w:t>,</w:t>
      </w:r>
      <w:r>
        <w:t xml:space="preserve"> debe</w:t>
      </w:r>
      <w:r w:rsidR="0038711C">
        <w:t>rá</w:t>
      </w:r>
      <w:r>
        <w:t xml:space="preserve"> sentarse </w:t>
      </w:r>
      <w:r w:rsidR="0038711C">
        <w:t xml:space="preserve">sobre </w:t>
      </w:r>
      <w:r>
        <w:t xml:space="preserve">una silla bien tapizada, </w:t>
      </w:r>
      <w:r w:rsidR="008D3B57">
        <w:t>con</w:t>
      </w:r>
      <w:r>
        <w:t xml:space="preserve"> patas de un palmo y cuatro dedos de altura, preparada en un lugar de dos codos y medio [es decir, dos veces y medi</w:t>
      </w:r>
      <w:r w:rsidR="005B6C36">
        <w:t>o l</w:t>
      </w:r>
      <w:r w:rsidR="004B3870">
        <w:t xml:space="preserve">a distancia </w:t>
      </w:r>
      <w:r>
        <w:t>de</w:t>
      </w:r>
      <w:r w:rsidR="00EE2125">
        <w:t>sde e</w:t>
      </w:r>
      <w:r>
        <w:t xml:space="preserve">l codo </w:t>
      </w:r>
      <w:r w:rsidR="0038711C">
        <w:t>hasta</w:t>
      </w:r>
      <w:r>
        <w:t xml:space="preserve"> la punta del dedo] del disco </w:t>
      </w:r>
      <w:proofErr w:type="spellStart"/>
      <w:r w:rsidR="00057BF4" w:rsidRPr="00057BF4">
        <w:rPr>
          <w:i/>
          <w:iCs/>
        </w:rPr>
        <w:t>kasiṇa</w:t>
      </w:r>
      <w:proofErr w:type="spellEnd"/>
      <w:r>
        <w:t xml:space="preserve">. </w:t>
      </w:r>
      <w:r w:rsidR="004B3870">
        <w:t xml:space="preserve">Ya </w:t>
      </w:r>
      <w:r>
        <w:t xml:space="preserve">que el </w:t>
      </w:r>
    </w:p>
    <w:p w14:paraId="54ED89A1" w14:textId="1358BC27" w:rsidR="007945BD" w:rsidRPr="007945BD" w:rsidRDefault="007945BD" w:rsidP="007945BD">
      <w:pPr>
        <w:pStyle w:val="PiedepginaLegal"/>
        <w:rPr>
          <w:u w:val="single"/>
        </w:rPr>
      </w:pPr>
      <w:r w:rsidRPr="007945BD">
        <w:rPr>
          <w:u w:val="single"/>
        </w:rPr>
        <w:t xml:space="preserve">                                                                                                                                                         .</w:t>
      </w:r>
    </w:p>
    <w:p w14:paraId="4353746C" w14:textId="4E36E9A0" w:rsidR="00C334C2" w:rsidRDefault="007945BD" w:rsidP="007945BD">
      <w:pPr>
        <w:pStyle w:val="PiedepginaLegal"/>
      </w:pPr>
      <w:r>
        <w:t xml:space="preserve">5. </w:t>
      </w:r>
      <w:r>
        <w:tab/>
        <w:t>“</w:t>
      </w:r>
      <w:proofErr w:type="spellStart"/>
      <w:r w:rsidRPr="00505936">
        <w:rPr>
          <w:i/>
          <w:iCs/>
        </w:rPr>
        <w:t>Gaṅgā</w:t>
      </w:r>
      <w:proofErr w:type="spellEnd"/>
      <w:r>
        <w:t xml:space="preserve"> (= ‘río’) es el nombre del Ganges en la India y del </w:t>
      </w:r>
      <w:proofErr w:type="spellStart"/>
      <w:r w:rsidRPr="00505936">
        <w:rPr>
          <w:i/>
          <w:iCs/>
        </w:rPr>
        <w:t>Mahavaeligaṅgā</w:t>
      </w:r>
      <w:proofErr w:type="spellEnd"/>
      <w:r>
        <w:t xml:space="preserve">, el río principal de Sri Lanka. Sin embargo, en la isla de Sri Lanka hay un río, al parecer, llamado </w:t>
      </w:r>
      <w:proofErr w:type="spellStart"/>
      <w:r w:rsidRPr="00505936">
        <w:rPr>
          <w:i/>
          <w:iCs/>
        </w:rPr>
        <w:t>Rāvanagaṅgā</w:t>
      </w:r>
      <w:proofErr w:type="spellEnd"/>
      <w:r>
        <w:t>. La arcilla en los lugares donde las orillas son cortadas por su corriente es del color del amanecer” (</w:t>
      </w:r>
      <w:proofErr w:type="spellStart"/>
      <w:r>
        <w:t>Vism-mhṭ</w:t>
      </w:r>
      <w:proofErr w:type="spellEnd"/>
      <w:r>
        <w:t xml:space="preserve"> 119).</w:t>
      </w:r>
    </w:p>
    <w:p w14:paraId="4117E518" w14:textId="77777777" w:rsidR="005A5F3E" w:rsidRDefault="005A5F3E" w:rsidP="00977540">
      <w:pPr>
        <w:ind w:left="708" w:right="1751"/>
      </w:pPr>
    </w:p>
    <w:p w14:paraId="4ED1C4F2" w14:textId="77777777" w:rsidR="005A5F3E" w:rsidRDefault="005A5F3E">
      <w:pPr>
        <w:tabs>
          <w:tab w:val="clear" w:pos="425"/>
        </w:tabs>
        <w:spacing w:after="160"/>
      </w:pPr>
      <w:r>
        <w:br w:type="page"/>
      </w:r>
    </w:p>
    <w:p w14:paraId="27DCD89D" w14:textId="77777777" w:rsidR="005A5F3E" w:rsidRDefault="005A5F3E" w:rsidP="005A5F3E"/>
    <w:p w14:paraId="5A41408D" w14:textId="77777777" w:rsidR="005A5F3E" w:rsidRDefault="005A5F3E" w:rsidP="005A5F3E"/>
    <w:p w14:paraId="23D5F84D" w14:textId="14F94392" w:rsidR="005A5F3E" w:rsidRDefault="004B3870" w:rsidP="005A5F3E">
      <w:proofErr w:type="spellStart"/>
      <w:r w:rsidRPr="00057BF4">
        <w:rPr>
          <w:i/>
          <w:iCs/>
        </w:rPr>
        <w:t>kasiṇa</w:t>
      </w:r>
      <w:proofErr w:type="spellEnd"/>
      <w:r>
        <w:t xml:space="preserve"> no se le aparecerá </w:t>
      </w:r>
      <w:r w:rsidR="00EE2125">
        <w:t xml:space="preserve">claramente </w:t>
      </w:r>
      <w:r w:rsidR="005A5F3E">
        <w:t>si se senta</w:t>
      </w:r>
      <w:r w:rsidR="00EE2125">
        <w:t>ra</w:t>
      </w:r>
      <w:r w:rsidR="005A5F3E">
        <w:t xml:space="preserve"> más lejos que </w:t>
      </w:r>
      <w:r>
        <w:t>lo establecido</w:t>
      </w:r>
      <w:r w:rsidR="005A5F3E">
        <w:t>; y si se senta</w:t>
      </w:r>
      <w:r w:rsidR="00B72ED8">
        <w:t>ra</w:t>
      </w:r>
      <w:r w:rsidR="005A5F3E">
        <w:t xml:space="preserve"> más cerca, aparece</w:t>
      </w:r>
      <w:r w:rsidR="00EE2125">
        <w:t>r</w:t>
      </w:r>
      <w:r w:rsidR="00A32C22">
        <w:t>ía</w:t>
      </w:r>
      <w:r>
        <w:t>n</w:t>
      </w:r>
      <w:r w:rsidR="005A5F3E">
        <w:t xml:space="preserve"> </w:t>
      </w:r>
      <w:r w:rsidR="00EE2125">
        <w:t xml:space="preserve">defectos </w:t>
      </w:r>
      <w:r w:rsidR="005A5F3E">
        <w:t xml:space="preserve">en el </w:t>
      </w:r>
      <w:proofErr w:type="spellStart"/>
      <w:r w:rsidR="00057BF4" w:rsidRPr="00057BF4">
        <w:rPr>
          <w:i/>
          <w:iCs/>
        </w:rPr>
        <w:t>kasiṇa</w:t>
      </w:r>
      <w:proofErr w:type="spellEnd"/>
      <w:r w:rsidR="005A5F3E">
        <w:t>. Si se senta</w:t>
      </w:r>
      <w:r w:rsidR="00B72ED8">
        <w:t>ra</w:t>
      </w:r>
      <w:r w:rsidR="005A5F3E">
        <w:t xml:space="preserve"> más arriba, </w:t>
      </w:r>
      <w:r w:rsidR="00170FF1">
        <w:t>tendr</w:t>
      </w:r>
      <w:r w:rsidR="00B72ED8">
        <w:t>ía</w:t>
      </w:r>
      <w:r w:rsidR="00170FF1">
        <w:t xml:space="preserve"> </w:t>
      </w:r>
      <w:r w:rsidR="005A5F3E">
        <w:t>que mirarlo con el cuello inclinado; y si se senta</w:t>
      </w:r>
      <w:r w:rsidR="00B72ED8">
        <w:t>ra</w:t>
      </w:r>
      <w:r w:rsidR="005A5F3E">
        <w:t xml:space="preserve"> más abajo, le d</w:t>
      </w:r>
      <w:r w:rsidR="00170FF1">
        <w:t>o</w:t>
      </w:r>
      <w:r w:rsidR="005A5F3E">
        <w:t>le</w:t>
      </w:r>
      <w:r w:rsidR="00170FF1">
        <w:t>rá</w:t>
      </w:r>
      <w:r w:rsidR="005A5F3E">
        <w:t>n las rodillas.</w:t>
      </w:r>
    </w:p>
    <w:p w14:paraId="62A37537" w14:textId="11CCB7A5" w:rsidR="005A5F3E" w:rsidRDefault="005A5F3E" w:rsidP="005A5F3E">
      <w:pPr>
        <w:pStyle w:val="Ttulo3"/>
        <w:ind w:left="708"/>
      </w:pPr>
      <w:r>
        <w:t>[Contemplación Inicial]</w:t>
      </w:r>
    </w:p>
    <w:p w14:paraId="33D4B79E" w14:textId="19329802" w:rsidR="005A5F3E" w:rsidRDefault="005A5F3E" w:rsidP="005A5F3E">
      <w:r>
        <w:t xml:space="preserve">27. </w:t>
      </w:r>
      <w:r w:rsidR="00170FF1">
        <w:tab/>
      </w:r>
      <w:r>
        <w:t xml:space="preserve">Así, después de sentarse en la forma indicada, </w:t>
      </w:r>
      <w:r w:rsidR="00C371A8">
        <w:t xml:space="preserve">deberá </w:t>
      </w:r>
      <w:r>
        <w:t xml:space="preserve">revisar los peligros en los </w:t>
      </w:r>
      <w:r w:rsidR="007831DD">
        <w:t>deseos sensoriales</w:t>
      </w:r>
      <w:r>
        <w:t xml:space="preserve"> </w:t>
      </w:r>
      <w:r w:rsidR="00170FF1">
        <w:t xml:space="preserve">según el pasaje </w:t>
      </w:r>
      <w:r>
        <w:t>que comienza</w:t>
      </w:r>
      <w:r w:rsidR="003466DD">
        <w:t xml:space="preserve"> con</w:t>
      </w:r>
      <w:r>
        <w:t xml:space="preserve"> "Los </w:t>
      </w:r>
      <w:r w:rsidR="007831DD">
        <w:t>deseos sensoriales</w:t>
      </w:r>
      <w:r>
        <w:t xml:space="preserve"> </w:t>
      </w:r>
      <w:r w:rsidR="00C371A8">
        <w:t>proporcionan</w:t>
      </w:r>
      <w:r>
        <w:t xml:space="preserve"> poc</w:t>
      </w:r>
      <w:r w:rsidR="00C371A8">
        <w:t>a</w:t>
      </w:r>
      <w:r>
        <w:t xml:space="preserve"> </w:t>
      </w:r>
      <w:r w:rsidR="00C371A8">
        <w:t>dicha</w:t>
      </w:r>
      <w:r>
        <w:t xml:space="preserve">" (M I 91) y </w:t>
      </w:r>
      <w:r w:rsidR="003466DD">
        <w:t xml:space="preserve">deberá </w:t>
      </w:r>
      <w:r>
        <w:t>despertar anhelo</w:t>
      </w:r>
      <w:r w:rsidR="00E64158">
        <w:t>,</w:t>
      </w:r>
      <w:r>
        <w:t xml:space="preserve"> por escapar de los </w:t>
      </w:r>
      <w:r w:rsidR="007831DD">
        <w:t>deseos sensoriales</w:t>
      </w:r>
      <w:r>
        <w:t xml:space="preserve">, </w:t>
      </w:r>
      <w:r w:rsidR="00E64158">
        <w:t>y</w:t>
      </w:r>
      <w:r>
        <w:t xml:space="preserve"> renuncia</w:t>
      </w:r>
      <w:r w:rsidR="00612691">
        <w:t>ción</w:t>
      </w:r>
      <w:r w:rsidR="00E64158">
        <w:t>,</w:t>
      </w:r>
      <w:r>
        <w:t xml:space="preserve"> que es el medio para superar todo sufrimiento. A continuación, debe</w:t>
      </w:r>
      <w:r w:rsidR="00612691">
        <w:t>rá</w:t>
      </w:r>
      <w:r>
        <w:t xml:space="preserve"> despertar </w:t>
      </w:r>
      <w:r w:rsidR="004133E4">
        <w:t xml:space="preserve">la dicha </w:t>
      </w:r>
      <w:r>
        <w:t xml:space="preserve">de la felicidad </w:t>
      </w:r>
      <w:r w:rsidR="00612691">
        <w:t>evocando</w:t>
      </w:r>
      <w:r>
        <w:t xml:space="preserve"> las cualidades especiales del </w:t>
      </w:r>
      <w:r w:rsidR="00057BF4" w:rsidRPr="00057BF4">
        <w:rPr>
          <w:i/>
          <w:iCs/>
        </w:rPr>
        <w:t>Buddha</w:t>
      </w:r>
      <w:r>
        <w:t xml:space="preserve">, </w:t>
      </w:r>
      <w:r w:rsidR="00612691">
        <w:t>d</w:t>
      </w:r>
      <w:r>
        <w:t xml:space="preserve">el </w:t>
      </w:r>
      <w:r w:rsidR="00057BF4" w:rsidRPr="00057BF4">
        <w:rPr>
          <w:i/>
          <w:iCs/>
        </w:rPr>
        <w:t>Dhamma</w:t>
      </w:r>
      <w:r>
        <w:t xml:space="preserve"> y </w:t>
      </w:r>
      <w:r w:rsidR="00612691">
        <w:t>e</w:t>
      </w:r>
      <w:r>
        <w:t xml:space="preserve">l </w:t>
      </w:r>
      <w:r w:rsidR="00612691">
        <w:rPr>
          <w:i/>
          <w:iCs/>
        </w:rPr>
        <w:t>Saṅgha</w:t>
      </w:r>
      <w:r>
        <w:t xml:space="preserve">; luego </w:t>
      </w:r>
      <w:r w:rsidR="004133E4">
        <w:t xml:space="preserve">deberá hacer </w:t>
      </w:r>
      <w:r w:rsidR="002D4549">
        <w:t xml:space="preserve">surgir </w:t>
      </w:r>
      <w:r w:rsidR="00467247">
        <w:t>admiración</w:t>
      </w:r>
      <w:r>
        <w:t xml:space="preserve"> </w:t>
      </w:r>
      <w:r w:rsidR="00CC2EB5">
        <w:t>mediante el pensamiento</w:t>
      </w:r>
      <w:r>
        <w:t>: “Ahora</w:t>
      </w:r>
      <w:r w:rsidR="00467247">
        <w:t xml:space="preserve"> bien</w:t>
      </w:r>
      <w:r>
        <w:t xml:space="preserve">, </w:t>
      </w:r>
      <w:r w:rsidR="000931AF">
        <w:t>é</w:t>
      </w:r>
      <w:r>
        <w:t xml:space="preserve">ste es el </w:t>
      </w:r>
      <w:r w:rsidR="002D4549">
        <w:t>sendero</w:t>
      </w:r>
      <w:r>
        <w:t xml:space="preserve"> de la renuncia</w:t>
      </w:r>
      <w:r w:rsidR="002D4549">
        <w:t>ción</w:t>
      </w:r>
      <w:r>
        <w:t xml:space="preserve"> </w:t>
      </w:r>
      <w:r w:rsidR="000931AF">
        <w:t xml:space="preserve">por el que han recorrido </w:t>
      </w:r>
      <w:r>
        <w:t xml:space="preserve">todos los </w:t>
      </w:r>
      <w:r w:rsidR="00057BF4" w:rsidRPr="00057BF4">
        <w:rPr>
          <w:i/>
          <w:iCs/>
        </w:rPr>
        <w:t>Buddha</w:t>
      </w:r>
      <w:r w:rsidRPr="00505936">
        <w:rPr>
          <w:i/>
          <w:iCs/>
        </w:rPr>
        <w:t>s</w:t>
      </w:r>
      <w:r>
        <w:t xml:space="preserve">, </w:t>
      </w:r>
      <w:proofErr w:type="spellStart"/>
      <w:r w:rsidR="002D4549" w:rsidRPr="00505936">
        <w:rPr>
          <w:i/>
          <w:iCs/>
        </w:rPr>
        <w:t>Pacceka</w:t>
      </w:r>
      <w:r w:rsidR="002D4549" w:rsidRPr="00057BF4">
        <w:rPr>
          <w:i/>
          <w:iCs/>
        </w:rPr>
        <w:t>buddha</w:t>
      </w:r>
      <w:r w:rsidR="002D4549" w:rsidRPr="00505936">
        <w:rPr>
          <w:i/>
          <w:iCs/>
        </w:rPr>
        <w:t>s</w:t>
      </w:r>
      <w:proofErr w:type="spellEnd"/>
      <w:r w:rsidR="002D4549">
        <w:t xml:space="preserve"> </w:t>
      </w:r>
      <w:r>
        <w:t xml:space="preserve">y nobles discípulos”; y luego </w:t>
      </w:r>
      <w:r w:rsidR="00467247">
        <w:t xml:space="preserve">hará </w:t>
      </w:r>
      <w:r w:rsidR="000931AF">
        <w:t xml:space="preserve">surgir </w:t>
      </w:r>
      <w:r w:rsidR="009D263C">
        <w:t xml:space="preserve">ímpetu </w:t>
      </w:r>
      <w:r>
        <w:t>pensa</w:t>
      </w:r>
      <w:r w:rsidR="00467247">
        <w:t>ndo</w:t>
      </w:r>
      <w:r>
        <w:t>: “De esta manera seguramente llegaré a conocer el sabor de la dicha de la reclusión”. [125] Después de e</w:t>
      </w:r>
      <w:r w:rsidR="000931AF">
        <w:t>ll</w:t>
      </w:r>
      <w:r>
        <w:t>o, debe</w:t>
      </w:r>
      <w:r w:rsidR="000931AF">
        <w:t>rá</w:t>
      </w:r>
      <w:r>
        <w:t xml:space="preserve"> abrir los ojos moderadamente, captar el signo y así proceder a desarrollarlo.</w:t>
      </w:r>
      <w:r w:rsidRPr="00E7379F">
        <w:rPr>
          <w:vertAlign w:val="superscript"/>
        </w:rPr>
        <w:t>6</w:t>
      </w:r>
    </w:p>
    <w:p w14:paraId="0294ECD0" w14:textId="76A8B616" w:rsidR="005A5F3E" w:rsidRDefault="005A5F3E" w:rsidP="005A5F3E">
      <w:r>
        <w:t xml:space="preserve">28. </w:t>
      </w:r>
      <w:r w:rsidR="00D34AA0">
        <w:tab/>
      </w:r>
      <w:r>
        <w:t>Si abre demasiado los ojos, estos se fatiga</w:t>
      </w:r>
      <w:r w:rsidR="00D34AA0">
        <w:t>rá</w:t>
      </w:r>
      <w:r>
        <w:t>n y el disco se v</w:t>
      </w:r>
      <w:r w:rsidR="00D34AA0">
        <w:t>o</w:t>
      </w:r>
      <w:r>
        <w:t>lve</w:t>
      </w:r>
      <w:r w:rsidR="00D34AA0">
        <w:t>rá</w:t>
      </w:r>
      <w:r>
        <w:t xml:space="preserve"> demasiado evidente, lo que imp</w:t>
      </w:r>
      <w:r w:rsidR="00D34AA0">
        <w:t>e</w:t>
      </w:r>
      <w:r>
        <w:t>d</w:t>
      </w:r>
      <w:r w:rsidR="00D34AA0">
        <w:t>irá</w:t>
      </w:r>
      <w:r>
        <w:t xml:space="preserve"> que el signo se le haga evidente. Si los abre demasiado poco, el disco no </w:t>
      </w:r>
      <w:r w:rsidR="00D34AA0">
        <w:t xml:space="preserve">será </w:t>
      </w:r>
      <w:r>
        <w:t xml:space="preserve">lo suficientemente </w:t>
      </w:r>
      <w:r w:rsidR="00BA42F1">
        <w:t>claro</w:t>
      </w:r>
      <w:r>
        <w:t xml:space="preserve"> y su mente se adormece</w:t>
      </w:r>
      <w:r w:rsidR="00D34AA0">
        <w:t>rá</w:t>
      </w:r>
      <w:r>
        <w:t xml:space="preserve">, lo que también </w:t>
      </w:r>
      <w:r w:rsidR="00D34AA0">
        <w:t xml:space="preserve">impedirá </w:t>
      </w:r>
      <w:r>
        <w:t xml:space="preserve">que </w:t>
      </w:r>
      <w:r w:rsidR="00D34AA0">
        <w:t>el signo</w:t>
      </w:r>
      <w:r>
        <w:t xml:space="preserve"> se le haga evidente. Por eso debe</w:t>
      </w:r>
      <w:r w:rsidR="00BA42F1">
        <w:t>rá</w:t>
      </w:r>
      <w:r>
        <w:t xml:space="preserve"> desarrollar</w:t>
      </w:r>
      <w:r w:rsidR="00C60AB5">
        <w:t>se</w:t>
      </w:r>
      <w:r>
        <w:t xml:space="preserve"> aprehend</w:t>
      </w:r>
      <w:r w:rsidR="00C60AB5">
        <w:t>iendo</w:t>
      </w:r>
      <w:r>
        <w:t xml:space="preserve"> el signo (</w:t>
      </w:r>
      <w:proofErr w:type="spellStart"/>
      <w:r w:rsidRPr="00505936">
        <w:rPr>
          <w:i/>
          <w:iCs/>
        </w:rPr>
        <w:t>nimitta</w:t>
      </w:r>
      <w:proofErr w:type="spellEnd"/>
      <w:r>
        <w:t>), manteniendo los ojos moderadamente abiertos, como si estuviera viendo el reflejo de su rostro (</w:t>
      </w:r>
      <w:proofErr w:type="spellStart"/>
      <w:r w:rsidRPr="00505936">
        <w:rPr>
          <w:i/>
          <w:iCs/>
        </w:rPr>
        <w:t>mukha-nimitta</w:t>
      </w:r>
      <w:proofErr w:type="spellEnd"/>
      <w:r>
        <w:t>) en la superficie de un espejo.</w:t>
      </w:r>
      <w:r w:rsidRPr="00E7379F">
        <w:rPr>
          <w:vertAlign w:val="superscript"/>
        </w:rPr>
        <w:t>7</w:t>
      </w:r>
    </w:p>
    <w:p w14:paraId="264D94D2" w14:textId="7C38AF97" w:rsidR="005A5F3E" w:rsidRDefault="005A5F3E" w:rsidP="005A5F3E">
      <w:r>
        <w:t xml:space="preserve">29. </w:t>
      </w:r>
      <w:r w:rsidR="00D34AA0">
        <w:tab/>
      </w:r>
      <w:r>
        <w:t>El color no debe</w:t>
      </w:r>
      <w:r w:rsidR="00FB7AF4">
        <w:t>rá</w:t>
      </w:r>
      <w:r>
        <w:t xml:space="preserve"> ser revisado. No se debe</w:t>
      </w:r>
      <w:r w:rsidR="00FB7AF4">
        <w:t>rá</w:t>
      </w:r>
      <w:r>
        <w:t xml:space="preserve"> prestar atención a la característica.</w:t>
      </w:r>
      <w:r w:rsidRPr="00E7379F">
        <w:rPr>
          <w:vertAlign w:val="superscript"/>
        </w:rPr>
        <w:t>8</w:t>
      </w:r>
      <w:r>
        <w:t xml:space="preserve"> </w:t>
      </w:r>
      <w:r w:rsidR="00CC6AE2">
        <w:t>Por otro lado</w:t>
      </w:r>
      <w:r>
        <w:t>, sin ignorar el color, se debe</w:t>
      </w:r>
      <w:r w:rsidR="00FB7AF4">
        <w:t>rá</w:t>
      </w:r>
      <w:r>
        <w:t xml:space="preserve"> prestar atención poniendo la mente en</w:t>
      </w:r>
    </w:p>
    <w:p w14:paraId="09530B0B" w14:textId="787CACD0" w:rsidR="005A5F3E" w:rsidRPr="005A5F3E" w:rsidRDefault="005A5F3E" w:rsidP="005A5F3E">
      <w:pPr>
        <w:pStyle w:val="PiedepginaLegal"/>
        <w:rPr>
          <w:u w:val="single"/>
        </w:rPr>
      </w:pPr>
      <w:r w:rsidRPr="005A5F3E">
        <w:rPr>
          <w:u w:val="single"/>
        </w:rPr>
        <w:t xml:space="preserve">                                                                                                                                                           .</w:t>
      </w:r>
    </w:p>
    <w:p w14:paraId="51DB6BCD" w14:textId="2CBAF4AA" w:rsidR="005A5F3E" w:rsidRDefault="005A5F3E" w:rsidP="005A5F3E">
      <w:pPr>
        <w:pStyle w:val="PiedepginaLegal"/>
      </w:pPr>
      <w:r>
        <w:t xml:space="preserve"> 6. </w:t>
      </w:r>
      <w:r>
        <w:tab/>
        <w:t>“‘</w:t>
      </w:r>
      <w:r w:rsidRPr="004A71DB">
        <w:rPr>
          <w:i/>
          <w:iCs/>
        </w:rPr>
        <w:t xml:space="preserve">Aprehende </w:t>
      </w:r>
      <w:r w:rsidR="0056349A" w:rsidRPr="004A71DB">
        <w:rPr>
          <w:i/>
          <w:iCs/>
        </w:rPr>
        <w:t>el signo</w:t>
      </w:r>
      <w:r w:rsidRPr="004A71DB">
        <w:rPr>
          <w:i/>
          <w:iCs/>
        </w:rPr>
        <w:t>’</w:t>
      </w:r>
      <w:r>
        <w:t xml:space="preserve">: aprehende con la mente </w:t>
      </w:r>
      <w:r w:rsidR="004A71DB">
        <w:t>el signo</w:t>
      </w:r>
      <w:r>
        <w:t xml:space="preserve"> aprehendid</w:t>
      </w:r>
      <w:r w:rsidR="004A71DB">
        <w:t>o</w:t>
      </w:r>
      <w:r>
        <w:t xml:space="preserve"> por el ojo en </w:t>
      </w:r>
      <w:r w:rsidR="00C45D45">
        <w:t>el</w:t>
      </w:r>
      <w:r>
        <w:t xml:space="preserve"> </w:t>
      </w:r>
      <w:proofErr w:type="spellStart"/>
      <w:r w:rsidR="00057BF4" w:rsidRPr="00057BF4">
        <w:rPr>
          <w:i/>
          <w:iCs/>
        </w:rPr>
        <w:t>kasiṇa</w:t>
      </w:r>
      <w:proofErr w:type="spellEnd"/>
      <w:r w:rsidR="00C45D45" w:rsidRPr="00C45D45">
        <w:t xml:space="preserve"> </w:t>
      </w:r>
      <w:r w:rsidR="00C45D45">
        <w:t>tierra</w:t>
      </w:r>
      <w:r>
        <w:t>. ‘</w:t>
      </w:r>
      <w:r w:rsidRPr="00C936E5">
        <w:rPr>
          <w:i/>
          <w:iCs/>
        </w:rPr>
        <w:t xml:space="preserve">Y </w:t>
      </w:r>
      <w:r w:rsidR="00C936E5" w:rsidRPr="00C936E5">
        <w:rPr>
          <w:i/>
          <w:iCs/>
        </w:rPr>
        <w:t xml:space="preserve">lo </w:t>
      </w:r>
      <w:r w:rsidRPr="00C936E5">
        <w:rPr>
          <w:i/>
          <w:iCs/>
        </w:rPr>
        <w:t>desarr</w:t>
      </w:r>
      <w:r w:rsidR="00756C86">
        <w:rPr>
          <w:i/>
          <w:iCs/>
        </w:rPr>
        <w:t>o</w:t>
      </w:r>
      <w:r w:rsidRPr="00C936E5">
        <w:rPr>
          <w:i/>
          <w:iCs/>
        </w:rPr>
        <w:t>lla</w:t>
      </w:r>
      <w:r w:rsidR="00756C86">
        <w:rPr>
          <w:i/>
          <w:iCs/>
        </w:rPr>
        <w:t>rá</w:t>
      </w:r>
      <w:r>
        <w:t xml:space="preserve">’: la aprehensión del signo tal como ocurre debe </w:t>
      </w:r>
      <w:r w:rsidR="00C936E5">
        <w:t xml:space="preserve">practicarse </w:t>
      </w:r>
      <w:r>
        <w:t>continuarse intensa y constantemente” (</w:t>
      </w:r>
      <w:proofErr w:type="spellStart"/>
      <w:r>
        <w:t>Vism-mhṭ</w:t>
      </w:r>
      <w:proofErr w:type="spellEnd"/>
      <w:r>
        <w:t xml:space="preserve"> 120).</w:t>
      </w:r>
    </w:p>
    <w:p w14:paraId="69C38A43" w14:textId="08359E00" w:rsidR="005A5F3E" w:rsidRDefault="005A5F3E" w:rsidP="005A5F3E">
      <w:pPr>
        <w:pStyle w:val="PiedepginaLegal"/>
      </w:pPr>
      <w:r>
        <w:t xml:space="preserve"> 7. </w:t>
      </w:r>
      <w:r>
        <w:tab/>
        <w:t>“Así como quien ve su reflejo (</w:t>
      </w:r>
      <w:proofErr w:type="spellStart"/>
      <w:r w:rsidRPr="006A3DB9">
        <w:rPr>
          <w:i/>
          <w:iCs/>
        </w:rPr>
        <w:t>mukha</w:t>
      </w:r>
      <w:r w:rsidRPr="006A3DB9">
        <w:t>-</w:t>
      </w:r>
      <w:r w:rsidRPr="006A3DB9">
        <w:rPr>
          <w:i/>
          <w:iCs/>
        </w:rPr>
        <w:t>nimitta</w:t>
      </w:r>
      <w:proofErr w:type="spellEnd"/>
      <w:r w:rsidRPr="006A3DB9">
        <w:t>—literalmente “signo</w:t>
      </w:r>
      <w:r w:rsidR="004E10DF">
        <w:t xml:space="preserve"> del rostro</w:t>
      </w:r>
      <w:r w:rsidRPr="006A3DB9">
        <w:t>”) en la superficie de un espejo no abr</w:t>
      </w:r>
      <w:r w:rsidR="000B1F93">
        <w:t>irí</w:t>
      </w:r>
      <w:r w:rsidR="00CF3591">
        <w:t>a</w:t>
      </w:r>
      <w:r w:rsidRPr="006A3DB9">
        <w:t xml:space="preserve"> los ojos </w:t>
      </w:r>
      <w:r w:rsidR="004E18A1">
        <w:t>ni mucho</w:t>
      </w:r>
      <w:r w:rsidRPr="006A3DB9">
        <w:t xml:space="preserve"> o </w:t>
      </w:r>
      <w:r w:rsidR="004E18A1">
        <w:t xml:space="preserve">ni </w:t>
      </w:r>
      <w:r w:rsidR="00377A04">
        <w:t xml:space="preserve">demasiado </w:t>
      </w:r>
      <w:r>
        <w:t xml:space="preserve">poco (para obtener el efecto), ni </w:t>
      </w:r>
      <w:r w:rsidR="00CF3591">
        <w:t xml:space="preserve">verificaría </w:t>
      </w:r>
      <w:r>
        <w:t>el color del espejo</w:t>
      </w:r>
      <w:r w:rsidR="00CF3591">
        <w:t>,</w:t>
      </w:r>
      <w:r>
        <w:t xml:space="preserve"> ni presta</w:t>
      </w:r>
      <w:r w:rsidR="00CF3591">
        <w:t>ría</w:t>
      </w:r>
      <w:r>
        <w:t xml:space="preserve"> atención a su característica, sino que mira</w:t>
      </w:r>
      <w:r w:rsidR="00CF3591">
        <w:t>ría</w:t>
      </w:r>
      <w:r>
        <w:t xml:space="preserve"> con los ojos moderadamente abiertos y solo ve</w:t>
      </w:r>
      <w:r w:rsidR="00CF3591">
        <w:t>ría</w:t>
      </w:r>
      <w:r>
        <w:t xml:space="preserve"> el signo de su rostro, así también este meditador </w:t>
      </w:r>
      <w:r w:rsidR="00377A04">
        <w:t>observará</w:t>
      </w:r>
      <w:r>
        <w:t xml:space="preserve"> con los ojos moderadamente abiertos </w:t>
      </w:r>
      <w:r w:rsidR="00377A04">
        <w:t xml:space="preserve">el </w:t>
      </w:r>
      <w:proofErr w:type="spellStart"/>
      <w:r w:rsidR="00057BF4" w:rsidRPr="00057BF4">
        <w:rPr>
          <w:i/>
          <w:iCs/>
        </w:rPr>
        <w:t>kasiṇa</w:t>
      </w:r>
      <w:proofErr w:type="spellEnd"/>
      <w:r>
        <w:t xml:space="preserve"> </w:t>
      </w:r>
      <w:r w:rsidR="00377A04">
        <w:t xml:space="preserve">tierra </w:t>
      </w:r>
      <w:r>
        <w:t>y est</w:t>
      </w:r>
      <w:r w:rsidR="00377A04">
        <w:t>ar</w:t>
      </w:r>
      <w:r>
        <w:t xml:space="preserve">á ocupado sólo con </w:t>
      </w:r>
      <w:r w:rsidR="00377A04">
        <w:t>el signo</w:t>
      </w:r>
      <w:r>
        <w:t>” (</w:t>
      </w:r>
      <w:proofErr w:type="spellStart"/>
      <w:r>
        <w:t>Vism-mhṭ</w:t>
      </w:r>
      <w:proofErr w:type="spellEnd"/>
      <w:r>
        <w:t xml:space="preserve"> 121).</w:t>
      </w:r>
    </w:p>
    <w:p w14:paraId="2B452583" w14:textId="5F088756" w:rsidR="003A3110" w:rsidRDefault="005A5F3E" w:rsidP="005A5F3E">
      <w:pPr>
        <w:pStyle w:val="PiedepginaLegal"/>
      </w:pPr>
      <w:r>
        <w:t xml:space="preserve"> 8. </w:t>
      </w:r>
      <w:r>
        <w:tab/>
        <w:t xml:space="preserve">“No se debe pensar en el color del amanecer </w:t>
      </w:r>
      <w:r w:rsidR="00377A04">
        <w:t xml:space="preserve">que haya </w:t>
      </w:r>
      <w:r>
        <w:t xml:space="preserve">en el </w:t>
      </w:r>
      <w:proofErr w:type="spellStart"/>
      <w:r w:rsidRPr="00377A04">
        <w:rPr>
          <w:i/>
          <w:iCs/>
        </w:rPr>
        <w:t>kasiṇa</w:t>
      </w:r>
      <w:proofErr w:type="spellEnd"/>
      <w:r>
        <w:t xml:space="preserve">, aunque no se puede negar que es aprehendido </w:t>
      </w:r>
      <w:r w:rsidR="00377A04">
        <w:t xml:space="preserve">mediante </w:t>
      </w:r>
      <w:r>
        <w:t xml:space="preserve">la </w:t>
      </w:r>
      <w:r w:rsidR="00305E12">
        <w:t>consciencia</w:t>
      </w:r>
      <w:r>
        <w:t xml:space="preserve"> del ojo. Por eso, en lugar de decir aquí “no se debe mirar”, </w:t>
      </w:r>
      <w:r w:rsidR="00377A04">
        <w:t xml:space="preserve">se </w:t>
      </w:r>
      <w:r>
        <w:t>dice que no se debe aprehender revis</w:t>
      </w:r>
      <w:r w:rsidR="00377A04">
        <w:t>á</w:t>
      </w:r>
      <w:r>
        <w:t>ndo</w:t>
      </w:r>
      <w:r w:rsidR="00377A04">
        <w:t>lo</w:t>
      </w:r>
      <w:r>
        <w:t>. Tampoco se debe prestar atención a la característica de dureza del elemento tierra, que est</w:t>
      </w:r>
      <w:r w:rsidR="00377A04">
        <w:t>é</w:t>
      </w:r>
      <w:r>
        <w:t xml:space="preserve"> ahí, porque la aprehensión tiene que hacerse a través del canal de la </w:t>
      </w:r>
      <w:r w:rsidR="00377A04">
        <w:t>visión</w:t>
      </w:r>
      <w:r>
        <w:t xml:space="preserve">. Y después de decir, 'sin ignorar el color', </w:t>
      </w:r>
      <w:r w:rsidR="00377A04">
        <w:t>se dice</w:t>
      </w:r>
      <w:r>
        <w:t xml:space="preserve">, 'relegando el color al lugar de una propiedad del soporte físico', mostrando que aquí la preocupación no </w:t>
      </w:r>
      <w:r w:rsidR="002B4729">
        <w:t xml:space="preserve">será </w:t>
      </w:r>
      <w:r>
        <w:t xml:space="preserve">el color, </w:t>
      </w:r>
      <w:r w:rsidR="002B4729">
        <w:t xml:space="preserve">el cual será </w:t>
      </w:r>
      <w:r>
        <w:t>el canal, sino que este el color debe</w:t>
      </w:r>
      <w:r w:rsidR="002B4729">
        <w:t>rá</w:t>
      </w:r>
      <w:r>
        <w:t xml:space="preserve"> ser tratado como un accesorio del soporte físico; el significado es que se debe</w:t>
      </w:r>
      <w:r w:rsidR="002B4729">
        <w:t>rá</w:t>
      </w:r>
      <w:r>
        <w:t xml:space="preserve"> prestar atención al </w:t>
      </w:r>
      <w:proofErr w:type="spellStart"/>
      <w:r w:rsidR="00057BF4" w:rsidRPr="00057BF4">
        <w:rPr>
          <w:i/>
          <w:iCs/>
        </w:rPr>
        <w:t>kasiṇa</w:t>
      </w:r>
      <w:proofErr w:type="spellEnd"/>
      <w:r>
        <w:t xml:space="preserve"> (disco) con la </w:t>
      </w:r>
      <w:r w:rsidR="00305E12">
        <w:t>consciencia</w:t>
      </w:r>
      <w:r>
        <w:t xml:space="preserve"> tanto del aspecto de la tierra que lo acompañ</w:t>
      </w:r>
      <w:r w:rsidR="002B4729">
        <w:t>e</w:t>
      </w:r>
      <w:r>
        <w:t xml:space="preserve"> como de su aspecto de color auxiliar, pero tomando el aspecto de la tierra con su color concomitante auxiliar como ambos sostenidos igualmente por ese soporte físico [el disco]. ‘Sobre el concepto como </w:t>
      </w:r>
      <w:r w:rsidR="001103F5">
        <w:t xml:space="preserve">objeto </w:t>
      </w:r>
      <w:r>
        <w:t>mental ya que e</w:t>
      </w:r>
      <w:r w:rsidR="001103F5">
        <w:t>ll</w:t>
      </w:r>
      <w:r>
        <w:t xml:space="preserve">o </w:t>
      </w:r>
      <w:r w:rsidR="001103F5">
        <w:t xml:space="preserve">será </w:t>
      </w:r>
      <w:r>
        <w:t>lo que desta</w:t>
      </w:r>
      <w:r w:rsidR="001103F5">
        <w:t>que</w:t>
      </w:r>
      <w:r>
        <w:t>’: el término de uso ordinario ‘tierra’ (</w:t>
      </w:r>
      <w:proofErr w:type="spellStart"/>
      <w:r w:rsidRPr="006A3DB9">
        <w:rPr>
          <w:i/>
          <w:iCs/>
        </w:rPr>
        <w:t>pathavī</w:t>
      </w:r>
      <w:proofErr w:type="spellEnd"/>
      <w:r>
        <w:t>) aplicado a la tierra con sus accesorios, ya que la prominencia de</w:t>
      </w:r>
    </w:p>
    <w:p w14:paraId="1EBE7F48" w14:textId="77777777" w:rsidR="003A3110" w:rsidRDefault="003A3110">
      <w:pPr>
        <w:tabs>
          <w:tab w:val="clear" w:pos="425"/>
        </w:tabs>
        <w:spacing w:after="160"/>
      </w:pPr>
      <w:r>
        <w:br w:type="page"/>
      </w:r>
    </w:p>
    <w:p w14:paraId="29BACE1C" w14:textId="77777777" w:rsidR="00584010" w:rsidRDefault="00584010" w:rsidP="003A3110"/>
    <w:p w14:paraId="6921688B" w14:textId="77777777" w:rsidR="00584010" w:rsidRDefault="00584010" w:rsidP="003A3110"/>
    <w:p w14:paraId="5D760E24" w14:textId="25E700F3" w:rsidR="00584010" w:rsidRDefault="00584010" w:rsidP="00584010">
      <w:r>
        <w:t xml:space="preserve">el [nombre] concepto como </w:t>
      </w:r>
      <w:r w:rsidR="00FB7AF4">
        <w:t>el objeto</w:t>
      </w:r>
      <w:r>
        <w:t xml:space="preserve"> mental más destacado, relegando el color a</w:t>
      </w:r>
      <w:r w:rsidR="009221EA">
        <w:t xml:space="preserve"> un</w:t>
      </w:r>
      <w:r>
        <w:t xml:space="preserve"> lugar </w:t>
      </w:r>
      <w:r w:rsidR="009221EA">
        <w:t xml:space="preserve">alterno </w:t>
      </w:r>
      <w:r w:rsidR="00FA0A15">
        <w:t>como</w:t>
      </w:r>
      <w:r>
        <w:t xml:space="preserve"> una propiedad de su soporte físico. Ese [estado conceptual] </w:t>
      </w:r>
      <w:r w:rsidR="005669EF">
        <w:t>podrá</w:t>
      </w:r>
      <w:r>
        <w:t xml:space="preserve"> ser </w:t>
      </w:r>
      <w:r w:rsidR="00EF2BD4">
        <w:t>designado</w:t>
      </w:r>
      <w:r>
        <w:t xml:space="preserve"> por </w:t>
      </w:r>
      <w:r w:rsidR="00EF2BD4">
        <w:t xml:space="preserve">el nombre </w:t>
      </w:r>
      <w:r w:rsidR="007529ED">
        <w:t>que</w:t>
      </w:r>
      <w:r>
        <w:t xml:space="preserve"> quiera entre los nombres </w:t>
      </w:r>
      <w:r w:rsidR="007020BE">
        <w:t>que se d</w:t>
      </w:r>
      <w:r w:rsidR="00FA0A15">
        <w:t>e</w:t>
      </w:r>
      <w:r w:rsidR="00EF2BD4">
        <w:t>n</w:t>
      </w:r>
      <w:r w:rsidR="007020BE">
        <w:t xml:space="preserve"> a la </w:t>
      </w:r>
      <w:r>
        <w:t>tierra (</w:t>
      </w:r>
      <w:proofErr w:type="spellStart"/>
      <w:r w:rsidRPr="006A3DB9">
        <w:rPr>
          <w:i/>
          <w:iCs/>
        </w:rPr>
        <w:t>pathavī</w:t>
      </w:r>
      <w:proofErr w:type="spellEnd"/>
      <w:r>
        <w:t>) como “tierra” (</w:t>
      </w:r>
      <w:proofErr w:type="spellStart"/>
      <w:r w:rsidRPr="006A3DB9">
        <w:rPr>
          <w:i/>
          <w:iCs/>
        </w:rPr>
        <w:t>pathavī</w:t>
      </w:r>
      <w:proofErr w:type="spellEnd"/>
      <w:r>
        <w:t>), “el Grande” (</w:t>
      </w:r>
      <w:proofErr w:type="spellStart"/>
      <w:r w:rsidRPr="006A3DB9">
        <w:rPr>
          <w:i/>
          <w:iCs/>
        </w:rPr>
        <w:t>mahī</w:t>
      </w:r>
      <w:proofErr w:type="spellEnd"/>
      <w:r>
        <w:t>), “el Amigable” (</w:t>
      </w:r>
      <w:proofErr w:type="spellStart"/>
      <w:r w:rsidRPr="006A3DB9">
        <w:rPr>
          <w:i/>
          <w:iCs/>
        </w:rPr>
        <w:t>medinī</w:t>
      </w:r>
      <w:proofErr w:type="spellEnd"/>
      <w:r>
        <w:t>), “</w:t>
      </w:r>
      <w:r w:rsidR="00525092">
        <w:t>suelo</w:t>
      </w:r>
      <w:r>
        <w:t>” (</w:t>
      </w:r>
      <w:proofErr w:type="spellStart"/>
      <w:r w:rsidRPr="006A3DB9">
        <w:rPr>
          <w:i/>
          <w:iCs/>
        </w:rPr>
        <w:t>bhūmi</w:t>
      </w:r>
      <w:proofErr w:type="spellEnd"/>
      <w:r>
        <w:t>), “el Proveedor de Riqueza” (</w:t>
      </w:r>
      <w:proofErr w:type="spellStart"/>
      <w:r w:rsidRPr="006A3DB9">
        <w:rPr>
          <w:i/>
          <w:iCs/>
        </w:rPr>
        <w:t>vasudhā</w:t>
      </w:r>
      <w:proofErr w:type="spellEnd"/>
      <w:r>
        <w:t>), “el Portador de Riqueza” (</w:t>
      </w:r>
      <w:proofErr w:type="spellStart"/>
      <w:r w:rsidRPr="006A3DB9">
        <w:rPr>
          <w:i/>
          <w:iCs/>
        </w:rPr>
        <w:t>vasudharā</w:t>
      </w:r>
      <w:proofErr w:type="spellEnd"/>
      <w:r>
        <w:t xml:space="preserve">), etc., cualquiera que se adapte a su forma de percepción. </w:t>
      </w:r>
      <w:proofErr w:type="spellStart"/>
      <w:r>
        <w:t>Aún</w:t>
      </w:r>
      <w:proofErr w:type="spellEnd"/>
      <w:r>
        <w:t xml:space="preserve"> así, "tierra" </w:t>
      </w:r>
      <w:r w:rsidR="00342694">
        <w:t xml:space="preserve">es </w:t>
      </w:r>
      <w:r>
        <w:t>también un nombre obvio, por lo que se p</w:t>
      </w:r>
      <w:r w:rsidR="00215E1E">
        <w:t>o</w:t>
      </w:r>
      <w:r>
        <w:t>d</w:t>
      </w:r>
      <w:r w:rsidR="00215E1E">
        <w:t>rá</w:t>
      </w:r>
      <w:r>
        <w:t xml:space="preserve"> desarrollar con el </w:t>
      </w:r>
      <w:r w:rsidR="002C5CCB">
        <w:t xml:space="preserve">término </w:t>
      </w:r>
      <w:r>
        <w:t xml:space="preserve">obvio diciendo "tierra, tierra". </w:t>
      </w:r>
      <w:r w:rsidR="00052C9C">
        <w:t>Entonces d</w:t>
      </w:r>
      <w:r>
        <w:t>ebe</w:t>
      </w:r>
      <w:r w:rsidR="00052C9C">
        <w:t>rá</w:t>
      </w:r>
      <w:r>
        <w:t xml:space="preserve"> advertirse con los ojos abiertos, </w:t>
      </w:r>
      <w:r w:rsidR="00052C9C">
        <w:t xml:space="preserve">luego </w:t>
      </w:r>
      <w:r>
        <w:t>con los ojos cerrados. Y debe</w:t>
      </w:r>
      <w:r w:rsidR="00052C9C">
        <w:t>rá</w:t>
      </w:r>
      <w:r>
        <w:t xml:space="preserve"> seguir desarrollándolo de esta manera cien, mil veces, e incluso más, hasta que surja </w:t>
      </w:r>
      <w:r w:rsidR="00052C9C">
        <w:t xml:space="preserve">el signo </w:t>
      </w:r>
      <w:r>
        <w:t>de</w:t>
      </w:r>
      <w:r w:rsidR="00052C9C">
        <w:t>l</w:t>
      </w:r>
      <w:r>
        <w:t xml:space="preserve"> aprendizaje.</w:t>
      </w:r>
    </w:p>
    <w:p w14:paraId="15095931" w14:textId="74D0EF10" w:rsidR="00584010" w:rsidRDefault="00584010" w:rsidP="00584010">
      <w:r>
        <w:t xml:space="preserve">30. </w:t>
      </w:r>
      <w:r>
        <w:tab/>
        <w:t>Cuando, mientras lo est</w:t>
      </w:r>
      <w:r w:rsidR="006438ED">
        <w:t>é</w:t>
      </w:r>
      <w:r>
        <w:t xml:space="preserve"> desarrollando </w:t>
      </w:r>
      <w:r w:rsidR="00342694">
        <w:t>como se describe</w:t>
      </w:r>
      <w:r>
        <w:t>, se enfo</w:t>
      </w:r>
      <w:r w:rsidR="006438ED">
        <w:t>que</w:t>
      </w:r>
      <w:r w:rsidRPr="00E7379F">
        <w:rPr>
          <w:vertAlign w:val="superscript"/>
        </w:rPr>
        <w:t>9</w:t>
      </w:r>
      <w:r>
        <w:t xml:space="preserve"> </w:t>
      </w:r>
      <w:r w:rsidR="00322A6E">
        <w:t xml:space="preserve">de tal forma que </w:t>
      </w:r>
      <w:r>
        <w:t>adviert</w:t>
      </w:r>
      <w:r w:rsidR="00322A6E">
        <w:t>a</w:t>
      </w:r>
      <w:r>
        <w:t xml:space="preserve"> con los ojos cerrados exactamente </w:t>
      </w:r>
      <w:r w:rsidR="00F01A45">
        <w:t xml:space="preserve">lo que se consiga </w:t>
      </w:r>
      <w:r>
        <w:t>con los ojos abiertos, entonces se di</w:t>
      </w:r>
      <w:r w:rsidR="00322A6E">
        <w:t>rá</w:t>
      </w:r>
      <w:r>
        <w:t xml:space="preserve"> que se ha</w:t>
      </w:r>
      <w:r w:rsidR="00322A6E">
        <w:t>brá</w:t>
      </w:r>
      <w:r>
        <w:t xml:space="preserve"> producido el signo de</w:t>
      </w:r>
      <w:r w:rsidR="00322A6E">
        <w:t>l</w:t>
      </w:r>
      <w:r>
        <w:t xml:space="preserve"> aprendizaje. Después de su </w:t>
      </w:r>
      <w:r w:rsidR="00B11F6F">
        <w:t>surgimiento</w:t>
      </w:r>
      <w:r>
        <w:t>, ya no debe</w:t>
      </w:r>
      <w:r w:rsidR="00B11F6F">
        <w:t>rá</w:t>
      </w:r>
      <w:r>
        <w:t xml:space="preserve"> sentarse en ese lugar;</w:t>
      </w:r>
      <w:r w:rsidRPr="00E7379F">
        <w:rPr>
          <w:vertAlign w:val="superscript"/>
        </w:rPr>
        <w:t>10</w:t>
      </w:r>
      <w:r>
        <w:t xml:space="preserve"> debe</w:t>
      </w:r>
      <w:r w:rsidR="00B11F6F">
        <w:t>rá</w:t>
      </w:r>
      <w:r>
        <w:t xml:space="preserve"> regresar a sus propios aposentos y seguir desarrollándolo sentado </w:t>
      </w:r>
      <w:r w:rsidR="00B11F6F">
        <w:t>en dicho lugar</w:t>
      </w:r>
      <w:r>
        <w:t xml:space="preserve">. Pero para evitar la demora en el lavado de los pies, </w:t>
      </w:r>
      <w:r w:rsidR="00B11F6F">
        <w:t xml:space="preserve">será </w:t>
      </w:r>
      <w:r>
        <w:t>deseable un par de sandalias de suela sencilla y un bastón. Entonces, si la nueva concentración se desvanec</w:t>
      </w:r>
      <w:r w:rsidR="00B11F6F">
        <w:t>iera</w:t>
      </w:r>
      <w:r>
        <w:t xml:space="preserve"> por algún encuentro inadecuado, </w:t>
      </w:r>
      <w:r w:rsidR="00B11F6F">
        <w:t xml:space="preserve">podrá </w:t>
      </w:r>
      <w:r>
        <w:t xml:space="preserve">ponerse las sandalias, tomar su bastón y volver al lugar para volver a captar </w:t>
      </w:r>
      <w:r w:rsidR="00F01A45">
        <w:t xml:space="preserve">allí </w:t>
      </w:r>
      <w:r w:rsidR="00B11F6F">
        <w:t>el signo</w:t>
      </w:r>
      <w:r>
        <w:t>. Cuando regrese, debe</w:t>
      </w:r>
      <w:r w:rsidR="00B11F6F">
        <w:t>rá</w:t>
      </w:r>
      <w:r>
        <w:t xml:space="preserve"> sentarse cómodamente y desarrollarlo mediante una reacción reiterada </w:t>
      </w:r>
      <w:r w:rsidR="004266BE">
        <w:t>evocándolo</w:t>
      </w:r>
      <w:r>
        <w:t xml:space="preserve"> con pensamiento y pensamiento aplicado.</w:t>
      </w:r>
    </w:p>
    <w:p w14:paraId="22AF65AC" w14:textId="611143E5" w:rsidR="00584010" w:rsidRDefault="00584010" w:rsidP="00584010">
      <w:pPr>
        <w:pStyle w:val="Ttulo3"/>
        <w:ind w:left="708"/>
      </w:pPr>
      <w:r>
        <w:t>[El Signo Contraparte]</w:t>
      </w:r>
    </w:p>
    <w:p w14:paraId="3DDC4C27" w14:textId="6E669728" w:rsidR="00584010" w:rsidRDefault="00584010" w:rsidP="00584010">
      <w:r>
        <w:t xml:space="preserve">31. </w:t>
      </w:r>
      <w:r>
        <w:tab/>
        <w:t>Mientras lo ha</w:t>
      </w:r>
      <w:r w:rsidR="004266BE">
        <w:t>ga</w:t>
      </w:r>
      <w:r>
        <w:t>, los obstáculos finalmente se suprim</w:t>
      </w:r>
      <w:r w:rsidR="004266BE">
        <w:t>irá</w:t>
      </w:r>
      <w:r>
        <w:t>n, las impurezas disminu</w:t>
      </w:r>
      <w:r w:rsidR="004266BE">
        <w:t>irá</w:t>
      </w:r>
      <w:r>
        <w:t>n, la mente se concentra</w:t>
      </w:r>
      <w:r w:rsidR="004266BE">
        <w:t>rá</w:t>
      </w:r>
      <w:r>
        <w:t xml:space="preserve"> con concentración de acceso y surg</w:t>
      </w:r>
      <w:r w:rsidR="004266BE">
        <w:t>irá</w:t>
      </w:r>
      <w:r>
        <w:t xml:space="preserve"> el signo contraparte.</w:t>
      </w:r>
    </w:p>
    <w:p w14:paraId="476257BF" w14:textId="062F96DF" w:rsidR="00584010" w:rsidRDefault="00584010" w:rsidP="009B2264">
      <w:pPr>
        <w:pStyle w:val="NormalConSangria"/>
      </w:pPr>
      <w:r>
        <w:t xml:space="preserve">La diferencia entre el signo de aprendizaje anterior y el signo contraparte es </w:t>
      </w:r>
      <w:r w:rsidR="004266BE">
        <w:t>é</w:t>
      </w:r>
      <w:r>
        <w:t xml:space="preserve">sta. En el signo de aprendizaje, cualquier </w:t>
      </w:r>
      <w:r w:rsidR="00EE363F">
        <w:t>defecto</w:t>
      </w:r>
      <w:r>
        <w:t xml:space="preserve"> en el </w:t>
      </w:r>
      <w:proofErr w:type="spellStart"/>
      <w:r w:rsidR="00057BF4" w:rsidRPr="00057BF4">
        <w:rPr>
          <w:i/>
          <w:iCs/>
        </w:rPr>
        <w:t>kasiṇa</w:t>
      </w:r>
      <w:proofErr w:type="spellEnd"/>
      <w:r>
        <w:t xml:space="preserve"> </w:t>
      </w:r>
      <w:r w:rsidR="0065743E">
        <w:t>será</w:t>
      </w:r>
      <w:r>
        <w:t xml:space="preserve"> evidente. Pero el signo contraparte [126] aparece</w:t>
      </w:r>
      <w:r w:rsidR="00EE363F">
        <w:t>rá</w:t>
      </w:r>
      <w:r>
        <w:t xml:space="preserve"> como </w:t>
      </w:r>
      <w:r w:rsidR="00EE363F">
        <w:t xml:space="preserve">surgimiento </w:t>
      </w:r>
      <w:r>
        <w:t xml:space="preserve">del signo de aprendizaje, y cien veces, mil veces más purificado, como un disco de espejo sacado de su caja, como un plato de nácar bien lavado, como el disco de la </w:t>
      </w:r>
      <w:r w:rsidR="00EE363F">
        <w:t xml:space="preserve">Luna </w:t>
      </w:r>
      <w:r>
        <w:t>saliendo detrás de una nube, como grullas contra una nube de trueno. Pero no ten</w:t>
      </w:r>
      <w:r w:rsidR="00446D90">
        <w:t>drá</w:t>
      </w:r>
      <w:r>
        <w:t xml:space="preserve"> color ni forma; porque si lo tuviera, sería cognoscible a simple vista, burdo, susceptible </w:t>
      </w:r>
    </w:p>
    <w:p w14:paraId="22CD2397" w14:textId="77777777" w:rsidR="00584010" w:rsidRDefault="00584010" w:rsidP="00584010"/>
    <w:p w14:paraId="32DB0C3B" w14:textId="41FD6C70" w:rsidR="00584010" w:rsidRPr="00584010" w:rsidRDefault="00584010" w:rsidP="00584010">
      <w:pPr>
        <w:pStyle w:val="PiedepginaLegal"/>
        <w:rPr>
          <w:u w:val="single"/>
        </w:rPr>
      </w:pPr>
      <w:r w:rsidRPr="00584010">
        <w:rPr>
          <w:u w:val="single"/>
        </w:rPr>
        <w:t xml:space="preserve">                                                                                                                                                   .</w:t>
      </w:r>
    </w:p>
    <w:p w14:paraId="5A2D759D" w14:textId="77777777" w:rsidR="00584010" w:rsidRDefault="00584010" w:rsidP="00584010">
      <w:pPr>
        <w:pStyle w:val="PiedepginaLegal"/>
      </w:pPr>
      <w:r>
        <w:t xml:space="preserve">… </w:t>
      </w:r>
    </w:p>
    <w:p w14:paraId="18710C00" w14:textId="4F0B4C49" w:rsidR="00584010" w:rsidRDefault="00584010" w:rsidP="00584010">
      <w:pPr>
        <w:pStyle w:val="PiedepginaLegal"/>
      </w:pPr>
      <w:r>
        <w:tab/>
        <w:t xml:space="preserve">su efecto individual se debe a la excelencia del elemento tierra: 'fijando la mente' en ese </w:t>
      </w:r>
      <w:r w:rsidR="001103F5">
        <w:t>objeto</w:t>
      </w:r>
      <w:r>
        <w:t xml:space="preserve"> mental que </w:t>
      </w:r>
      <w:r w:rsidR="00A23761">
        <w:t>consista en</w:t>
      </w:r>
      <w:r>
        <w:t xml:space="preserve"> un [nombre-] concepto (</w:t>
      </w:r>
      <w:proofErr w:type="spellStart"/>
      <w:r w:rsidRPr="006A3DB9">
        <w:rPr>
          <w:i/>
          <w:iCs/>
        </w:rPr>
        <w:t>paññatti</w:t>
      </w:r>
      <w:proofErr w:type="spellEnd"/>
      <w:r w:rsidRPr="006A3DB9">
        <w:rPr>
          <w:i/>
          <w:iCs/>
        </w:rPr>
        <w:t>-</w:t>
      </w:r>
      <w:r w:rsidR="00057BF4" w:rsidRPr="00057BF4">
        <w:rPr>
          <w:i/>
          <w:iCs/>
        </w:rPr>
        <w:t>Dhamma</w:t>
      </w:r>
      <w:r>
        <w:t xml:space="preserve">), se debe prestar atención al </w:t>
      </w:r>
      <w:proofErr w:type="spellStart"/>
      <w:r w:rsidR="00057BF4" w:rsidRPr="00057BF4">
        <w:rPr>
          <w:i/>
          <w:iCs/>
        </w:rPr>
        <w:t>kasiṇa</w:t>
      </w:r>
      <w:proofErr w:type="spellEnd"/>
      <w:r>
        <w:t xml:space="preserve"> como 'tierra, tierra'— Si la mente ha de fijarse en un mero concepto por medio de un término de uso común, ¿debería darse atención a la tierra por medio de diferentes nombres? Puede ser. ¿</w:t>
      </w:r>
      <w:r w:rsidR="007F6132">
        <w:t xml:space="preserve">Que </w:t>
      </w:r>
      <w:r>
        <w:t>est</w:t>
      </w:r>
      <w:r w:rsidR="007F6132">
        <w:t>aría</w:t>
      </w:r>
      <w:r>
        <w:t xml:space="preserve"> mal? Es mostrar que eso está hecho, </w:t>
      </w:r>
      <w:r w:rsidR="00C82B27">
        <w:t>decir</w:t>
      </w:r>
      <w:r>
        <w:t>: ‘</w:t>
      </w:r>
      <w:proofErr w:type="spellStart"/>
      <w:r w:rsidRPr="006A3DB9">
        <w:rPr>
          <w:i/>
          <w:iCs/>
        </w:rPr>
        <w:t>Mahī</w:t>
      </w:r>
      <w:proofErr w:type="spellEnd"/>
      <w:r w:rsidRPr="006A3DB9">
        <w:rPr>
          <w:i/>
          <w:iCs/>
        </w:rPr>
        <w:t xml:space="preserve">, </w:t>
      </w:r>
      <w:proofErr w:type="spellStart"/>
      <w:r w:rsidRPr="006A3DB9">
        <w:rPr>
          <w:i/>
          <w:iCs/>
        </w:rPr>
        <w:t>medinī</w:t>
      </w:r>
      <w:proofErr w:type="spellEnd"/>
      <w:r w:rsidRPr="006A3DB9">
        <w:rPr>
          <w:i/>
          <w:iCs/>
        </w:rPr>
        <w:t>’</w:t>
      </w:r>
      <w:r>
        <w:t>, y así sucesivamente” (</w:t>
      </w:r>
      <w:proofErr w:type="spellStart"/>
      <w:r>
        <w:t>Vism-mhṭ</w:t>
      </w:r>
      <w:proofErr w:type="spellEnd"/>
      <w:r>
        <w:t xml:space="preserve"> 122).</w:t>
      </w:r>
    </w:p>
    <w:p w14:paraId="43E62A4D" w14:textId="0A6B89DD" w:rsidR="00584010" w:rsidRDefault="00584010" w:rsidP="00584010">
      <w:pPr>
        <w:pStyle w:val="PiedepginaLegal"/>
      </w:pPr>
      <w:r>
        <w:t xml:space="preserve">9. </w:t>
      </w:r>
      <w:r>
        <w:tab/>
        <w:t>“‘Entra en foco’: se convierte en el recurso del impulso de la puerta de la mente” (</w:t>
      </w:r>
      <w:proofErr w:type="spellStart"/>
      <w:r>
        <w:t>Vism-mhṭ</w:t>
      </w:r>
      <w:proofErr w:type="spellEnd"/>
      <w:r>
        <w:t xml:space="preserve"> 122).</w:t>
      </w:r>
    </w:p>
    <w:p w14:paraId="3543562F" w14:textId="39C7D805" w:rsidR="00584010" w:rsidRDefault="00584010" w:rsidP="00584010">
      <w:pPr>
        <w:pStyle w:val="PiedepginaLegal"/>
      </w:pPr>
      <w:r>
        <w:t xml:space="preserve">10. </w:t>
      </w:r>
      <w:r>
        <w:tab/>
        <w:t xml:space="preserve">“¿Por qué no debería hacerlo? Si, después de producir el signo de aprendizaje, siguiera </w:t>
      </w:r>
      <w:r w:rsidR="00053DEE">
        <w:t>desarrollándolo, mirando</w:t>
      </w:r>
      <w:r>
        <w:t xml:space="preserve"> el disco de la tierra, no surgiría el signo equivalente” (</w:t>
      </w:r>
      <w:proofErr w:type="spellStart"/>
      <w:r>
        <w:t>Vism-mhṭ</w:t>
      </w:r>
      <w:proofErr w:type="spellEnd"/>
      <w:r>
        <w:t xml:space="preserve"> 122).</w:t>
      </w:r>
    </w:p>
    <w:p w14:paraId="628FECE7" w14:textId="540A54F5" w:rsidR="00DB6195" w:rsidRDefault="00DB6195">
      <w:pPr>
        <w:tabs>
          <w:tab w:val="clear" w:pos="425"/>
        </w:tabs>
        <w:spacing w:after="160"/>
      </w:pPr>
      <w:r>
        <w:br w:type="page"/>
      </w:r>
    </w:p>
    <w:p w14:paraId="2B6A1A2A" w14:textId="77777777" w:rsidR="00CE0621" w:rsidRDefault="00CE0621" w:rsidP="00DB6195"/>
    <w:p w14:paraId="12C556A8" w14:textId="4A30D463" w:rsidR="000F0B48" w:rsidRDefault="00547EC5" w:rsidP="000F0B48">
      <w:r>
        <w:t xml:space="preserve">de comprensión </w:t>
      </w:r>
      <w:r w:rsidR="000F0B48">
        <w:t>[</w:t>
      </w:r>
      <w:r w:rsidR="007A12D6">
        <w:t xml:space="preserve">a través de la </w:t>
      </w:r>
      <w:r w:rsidR="00612DB0" w:rsidRPr="00527EA6">
        <w:t>sabid</w:t>
      </w:r>
      <w:r w:rsidR="00612DB0">
        <w:t>uría–revelativa</w:t>
      </w:r>
      <w:r w:rsidR="007A12D6">
        <w:t xml:space="preserve"> </w:t>
      </w:r>
      <w:r w:rsidR="000F0B48">
        <w:t>— (ver XX.2f.)] y estampado con las tres características.</w:t>
      </w:r>
      <w:r w:rsidR="000F0B48" w:rsidRPr="00E7379F">
        <w:rPr>
          <w:vertAlign w:val="superscript"/>
        </w:rPr>
        <w:t>11</w:t>
      </w:r>
      <w:r w:rsidR="000F0B48">
        <w:t xml:space="preserve"> Pero no es así. Porque nace sólo de la percepción en quien ha</w:t>
      </w:r>
      <w:r w:rsidR="00CA44E1">
        <w:t>ya</w:t>
      </w:r>
      <w:r w:rsidR="000F0B48">
        <w:t xml:space="preserve"> </w:t>
      </w:r>
      <w:r w:rsidR="00CA44E1">
        <w:t xml:space="preserve">desarrollado </w:t>
      </w:r>
      <w:r w:rsidR="000F0B48">
        <w:t>concentración, siendo un mero modo de apariencia.</w:t>
      </w:r>
      <w:r w:rsidR="000F0B48" w:rsidRPr="00E7379F">
        <w:rPr>
          <w:vertAlign w:val="superscript"/>
        </w:rPr>
        <w:t xml:space="preserve">12 </w:t>
      </w:r>
      <w:r w:rsidR="000F0B48">
        <w:t>Pero tan pronto como sur</w:t>
      </w:r>
      <w:r w:rsidR="00CA44E1">
        <w:t>ja</w:t>
      </w:r>
      <w:r w:rsidR="000F0B48">
        <w:t>, los obstáculos se suprim</w:t>
      </w:r>
      <w:r w:rsidR="00CA44E1">
        <w:t>irá</w:t>
      </w:r>
      <w:r w:rsidR="000F0B48">
        <w:t>n por completo, las corrupciones se apacigua</w:t>
      </w:r>
      <w:r w:rsidR="00CA44E1">
        <w:t>rá</w:t>
      </w:r>
      <w:r w:rsidR="000F0B48">
        <w:t>n y la mente se concentra</w:t>
      </w:r>
      <w:r w:rsidR="00CA44E1">
        <w:t xml:space="preserve">rá </w:t>
      </w:r>
      <w:r w:rsidR="000F0B48">
        <w:t>en la concentración de acceso.</w:t>
      </w:r>
    </w:p>
    <w:p w14:paraId="379A2CBF" w14:textId="760EBED7" w:rsidR="000F0B48" w:rsidRDefault="000F0B48" w:rsidP="000F0B48">
      <w:pPr>
        <w:pStyle w:val="Ttulo3"/>
        <w:ind w:left="708"/>
      </w:pPr>
      <w:r>
        <w:t>[Los Dos Tipos De Concentración]</w:t>
      </w:r>
    </w:p>
    <w:p w14:paraId="30B35A54" w14:textId="1FD09EA1" w:rsidR="000F0B48" w:rsidRDefault="000F0B48" w:rsidP="000F0B48">
      <w:r>
        <w:t xml:space="preserve">32. </w:t>
      </w:r>
      <w:r>
        <w:tab/>
        <w:t xml:space="preserve">Ahora bien, la concentración </w:t>
      </w:r>
      <w:r w:rsidR="006A673F">
        <w:t>puede ser</w:t>
      </w:r>
      <w:r>
        <w:t xml:space="preserve"> de dos clases, es decir, concentración de acceso y concentración de absorción: la mente se concentra de dos maneras, es decir, en el plano de acceso y en el plano de </w:t>
      </w:r>
      <w:r w:rsidR="004B3D08">
        <w:t xml:space="preserve">la </w:t>
      </w:r>
      <w:r>
        <w:t xml:space="preserve">obtención. Aquí, la mente se concentra en el plano de acceso por el abandono de los obstáculos, y en el plano de obtención </w:t>
      </w:r>
      <w:r w:rsidR="00183B0D">
        <w:t>mediante</w:t>
      </w:r>
      <w:r>
        <w:t xml:space="preserve"> la manifestación de los factores </w:t>
      </w:r>
      <w:proofErr w:type="spellStart"/>
      <w:r w:rsidR="00057BF4" w:rsidRPr="00057BF4">
        <w:rPr>
          <w:i/>
          <w:iCs/>
        </w:rPr>
        <w:t>jhāna</w:t>
      </w:r>
      <w:proofErr w:type="spellEnd"/>
      <w:r>
        <w:t>.</w:t>
      </w:r>
    </w:p>
    <w:p w14:paraId="03CEEAAB" w14:textId="71AC8A6E" w:rsidR="000F0B48" w:rsidRDefault="000F0B48" w:rsidP="000F0B48">
      <w:r>
        <w:t xml:space="preserve">33. </w:t>
      </w:r>
      <w:r>
        <w:tab/>
        <w:t xml:space="preserve">La diferencia entre las dos clases de concentración </w:t>
      </w:r>
      <w:r w:rsidR="00E84072">
        <w:t>se da a continuación.</w:t>
      </w:r>
      <w:r>
        <w:t xml:space="preserve"> </w:t>
      </w:r>
      <w:r w:rsidR="00E84072">
        <w:t xml:space="preserve">Los </w:t>
      </w:r>
      <w:r>
        <w:t xml:space="preserve">factores no son fuertes en el acceso. Es debido a que no son fuertes </w:t>
      </w:r>
      <w:r w:rsidR="0010277A">
        <w:t xml:space="preserve">por lo </w:t>
      </w:r>
      <w:r>
        <w:t>que cuando ha</w:t>
      </w:r>
      <w:r w:rsidR="004B3D08">
        <w:t>ya</w:t>
      </w:r>
      <w:r>
        <w:t xml:space="preserve"> surgido el acceso, la mente ha</w:t>
      </w:r>
      <w:r w:rsidR="004B3D08">
        <w:t>rá</w:t>
      </w:r>
      <w:r>
        <w:t xml:space="preserve"> </w:t>
      </w:r>
      <w:r w:rsidR="00D20096">
        <w:t xml:space="preserve">entonces </w:t>
      </w:r>
      <w:r>
        <w:t>del signo su objeto y v</w:t>
      </w:r>
      <w:r w:rsidR="004B3D08">
        <w:t>o</w:t>
      </w:r>
      <w:r>
        <w:t>lve</w:t>
      </w:r>
      <w:r w:rsidR="004B3D08">
        <w:t>rá</w:t>
      </w:r>
      <w:r>
        <w:t xml:space="preserve"> a entrar en el continu</w:t>
      </w:r>
      <w:r w:rsidR="004B3D08">
        <w:t>um</w:t>
      </w:r>
      <w:r>
        <w:t xml:space="preserve"> </w:t>
      </w:r>
      <w:r w:rsidR="00BC1B6A">
        <w:t>vital</w:t>
      </w:r>
      <w:r>
        <w:t>,</w:t>
      </w:r>
      <w:r w:rsidRPr="00E7379F">
        <w:rPr>
          <w:vertAlign w:val="superscript"/>
        </w:rPr>
        <w:t>13</w:t>
      </w:r>
      <w:r>
        <w:t xml:space="preserve"> </w:t>
      </w:r>
      <w:r w:rsidR="00912E8E">
        <w:t>de igual forma que</w:t>
      </w:r>
      <w:r>
        <w:t xml:space="preserve"> </w:t>
      </w:r>
      <w:r w:rsidR="00912E8E">
        <w:t xml:space="preserve">al </w:t>
      </w:r>
      <w:r>
        <w:t>levanta</w:t>
      </w:r>
      <w:r w:rsidR="00912E8E">
        <w:t>r</w:t>
      </w:r>
      <w:r>
        <w:t xml:space="preserve"> a un niño pequeño</w:t>
      </w:r>
      <w:r w:rsidR="004F45D5">
        <w:t>,</w:t>
      </w:r>
      <w:r>
        <w:t xml:space="preserve"> pone</w:t>
      </w:r>
      <w:r w:rsidR="00D5106E">
        <w:t>rlo</w:t>
      </w:r>
      <w:r>
        <w:t xml:space="preserve"> de pie</w:t>
      </w:r>
      <w:r w:rsidR="004F45D5">
        <w:t xml:space="preserve"> </w:t>
      </w:r>
      <w:r w:rsidR="00D5106E">
        <w:t>para que</w:t>
      </w:r>
      <w:r w:rsidR="004F45D5">
        <w:t xml:space="preserve"> vuelv</w:t>
      </w:r>
      <w:r w:rsidR="00D5106E">
        <w:t>a</w:t>
      </w:r>
      <w:r w:rsidR="00912E8E" w:rsidRPr="00912E8E">
        <w:t xml:space="preserve"> </w:t>
      </w:r>
      <w:r w:rsidR="004F45D5">
        <w:t xml:space="preserve">a </w:t>
      </w:r>
      <w:r w:rsidR="00912E8E">
        <w:t>cae</w:t>
      </w:r>
      <w:r w:rsidR="004F45D5">
        <w:t>r</w:t>
      </w:r>
      <w:r w:rsidR="00912E8E">
        <w:t xml:space="preserve"> </w:t>
      </w:r>
    </w:p>
    <w:p w14:paraId="340D5D17" w14:textId="28A15213" w:rsidR="000F0B48" w:rsidRPr="000F0B48" w:rsidRDefault="000F0B48" w:rsidP="000F0B48">
      <w:pPr>
        <w:pStyle w:val="PiedepginaLegal"/>
        <w:rPr>
          <w:u w:val="single"/>
        </w:rPr>
      </w:pPr>
      <w:r w:rsidRPr="000F0B48">
        <w:rPr>
          <w:u w:val="single"/>
        </w:rPr>
        <w:t xml:space="preserve">                                                                                                                                                         .</w:t>
      </w:r>
    </w:p>
    <w:p w14:paraId="7FB91351" w14:textId="74311506" w:rsidR="000F0B48" w:rsidRDefault="000F0B48" w:rsidP="000F0B48">
      <w:pPr>
        <w:pStyle w:val="PiedepginaLegal"/>
      </w:pPr>
      <w:r>
        <w:t xml:space="preserve">11. </w:t>
      </w:r>
      <w:r>
        <w:tab/>
        <w:t>“</w:t>
      </w:r>
      <w:r w:rsidR="0071519B">
        <w:t>Impreso</w:t>
      </w:r>
      <w:r>
        <w:t xml:space="preserve"> con las tres características de la forma</w:t>
      </w:r>
      <w:r w:rsidR="00751322">
        <w:t>ción</w:t>
      </w:r>
      <w:r>
        <w:t xml:space="preserve"> que comienza con el </w:t>
      </w:r>
      <w:r w:rsidR="00780FCB">
        <w:t>surgimiento</w:t>
      </w:r>
      <w:r>
        <w:t xml:space="preserve"> (ver A I 152), o marcado </w:t>
      </w:r>
      <w:r w:rsidR="00780FCB">
        <w:t xml:space="preserve">por </w:t>
      </w:r>
      <w:r>
        <w:t>las tres características que comienzan con la impermanencia” (</w:t>
      </w:r>
      <w:proofErr w:type="spellStart"/>
      <w:r>
        <w:t>Vismmhṭ</w:t>
      </w:r>
      <w:proofErr w:type="spellEnd"/>
      <w:r>
        <w:t xml:space="preserve"> 122).</w:t>
      </w:r>
    </w:p>
    <w:p w14:paraId="7A271411" w14:textId="4366F2F8" w:rsidR="000F0B48" w:rsidRDefault="000F0B48" w:rsidP="000F0B48">
      <w:pPr>
        <w:pStyle w:val="PiedepginaLegal"/>
      </w:pPr>
      <w:r>
        <w:t xml:space="preserve">12. </w:t>
      </w:r>
      <w:r>
        <w:tab/>
        <w:t>“Si ‘no es así’, no posee</w:t>
      </w:r>
      <w:r w:rsidR="00411B95">
        <w:t>rá</w:t>
      </w:r>
      <w:r>
        <w:t xml:space="preserve"> color, etc., entonces, ¿cómo </w:t>
      </w:r>
      <w:r w:rsidR="00411B95">
        <w:t xml:space="preserve">será </w:t>
      </w:r>
      <w:r>
        <w:t xml:space="preserve">el objeto de </w:t>
      </w:r>
      <w:proofErr w:type="spellStart"/>
      <w:r w:rsidR="00057BF4" w:rsidRPr="00057BF4">
        <w:rPr>
          <w:i/>
        </w:rPr>
        <w:t>jhāna</w:t>
      </w:r>
      <w:proofErr w:type="spellEnd"/>
      <w:r>
        <w:t xml:space="preserve">? Es con el fin de responder a esa pregunta que se da </w:t>
      </w:r>
      <w:r w:rsidR="00411B95">
        <w:t xml:space="preserve">el pasaje </w:t>
      </w:r>
      <w:r>
        <w:t>que comienza, 'Porque es...'. ‘</w:t>
      </w:r>
      <w:r w:rsidR="00416A19">
        <w:t xml:space="preserve">Surgido </w:t>
      </w:r>
      <w:r>
        <w:t xml:space="preserve">de la percepción’: producido por la percepción durante el desarrollo, simplemente </w:t>
      </w:r>
      <w:r w:rsidR="00416A19">
        <w:t xml:space="preserve">surgido </w:t>
      </w:r>
      <w:r>
        <w:t>de la percepción durante el desarrollo. Dado que no surge de ninguna parte lo que no ten</w:t>
      </w:r>
      <w:r w:rsidR="001B7191">
        <w:t>ga</w:t>
      </w:r>
      <w:r>
        <w:t xml:space="preserve"> esencia individual, por lo tanto </w:t>
      </w:r>
      <w:r w:rsidR="001B7191">
        <w:t xml:space="preserve">se </w:t>
      </w:r>
      <w:r>
        <w:t>dijo: ‘Ser la mera modalidad de la apariencia’” (</w:t>
      </w:r>
      <w:proofErr w:type="spellStart"/>
      <w:r>
        <w:t>Vism-mhṭ</w:t>
      </w:r>
      <w:proofErr w:type="spellEnd"/>
      <w:r>
        <w:t xml:space="preserve"> 122). Ver cap. VIII, n. 11</w:t>
      </w:r>
    </w:p>
    <w:p w14:paraId="4839C3F1" w14:textId="724C1359" w:rsidR="000F0B48" w:rsidRDefault="000F0B48" w:rsidP="000F0B48">
      <w:pPr>
        <w:pStyle w:val="PiedepginaLegal"/>
      </w:pPr>
      <w:r>
        <w:t xml:space="preserve">13. </w:t>
      </w:r>
      <w:r>
        <w:tab/>
      </w:r>
      <w:proofErr w:type="spellStart"/>
      <w:r w:rsidRPr="006A3DB9">
        <w:rPr>
          <w:i/>
          <w:iCs/>
        </w:rPr>
        <w:t>Bhavaṇga</w:t>
      </w:r>
      <w:proofErr w:type="spellEnd"/>
      <w:r>
        <w:t xml:space="preserve"> (</w:t>
      </w:r>
      <w:r w:rsidR="001B7191">
        <w:t xml:space="preserve">continuum </w:t>
      </w:r>
      <w:r w:rsidR="00BC1B6A">
        <w:t>vital</w:t>
      </w:r>
      <w:r>
        <w:t xml:space="preserve">, </w:t>
      </w:r>
      <w:proofErr w:type="spellStart"/>
      <w:r>
        <w:t>lit.</w:t>
      </w:r>
      <w:proofErr w:type="spellEnd"/>
      <w:r>
        <w:t xml:space="preserve"> “constituyente del devenir”) y </w:t>
      </w:r>
      <w:proofErr w:type="spellStart"/>
      <w:r w:rsidRPr="006A3DB9">
        <w:rPr>
          <w:i/>
          <w:iCs/>
        </w:rPr>
        <w:t>javana</w:t>
      </w:r>
      <w:proofErr w:type="spellEnd"/>
      <w:r>
        <w:t xml:space="preserve"> (impulsión) se mencionan por primera vez en este trabajo en I.57 (ver n. 16); </w:t>
      </w:r>
      <w:r w:rsidR="001B7191">
        <w:t>é</w:t>
      </w:r>
      <w:r>
        <w:t>sta es la segunda mención. La “serie cognitiva” (</w:t>
      </w:r>
      <w:proofErr w:type="spellStart"/>
      <w:r w:rsidRPr="006A3DB9">
        <w:rPr>
          <w:i/>
          <w:iCs/>
        </w:rPr>
        <w:t>citta-vīth</w:t>
      </w:r>
      <w:r>
        <w:t>i</w:t>
      </w:r>
      <w:proofErr w:type="spellEnd"/>
      <w:r>
        <w:t xml:space="preserve">) tan extensamente utilizada aquí es desconocida como tal en los </w:t>
      </w:r>
      <w:proofErr w:type="spellStart"/>
      <w:r w:rsidRPr="006A3DB9">
        <w:rPr>
          <w:i/>
          <w:iCs/>
        </w:rPr>
        <w:t>Piṭakas</w:t>
      </w:r>
      <w:proofErr w:type="spellEnd"/>
      <w:r>
        <w:t>. Quizá la semilla de la que brotó pueda existir, por ejemplo, en pasajes como: “Debido al ojo y</w:t>
      </w:r>
      <w:r w:rsidR="0006353A">
        <w:t xml:space="preserve"> </w:t>
      </w:r>
      <w:r>
        <w:t xml:space="preserve">a los </w:t>
      </w:r>
      <w:r w:rsidR="000E332F">
        <w:t xml:space="preserve">objetos </w:t>
      </w:r>
      <w:r>
        <w:t>visibles surge la con</w:t>
      </w:r>
      <w:r w:rsidR="000E332F">
        <w:t>s</w:t>
      </w:r>
      <w:r>
        <w:t xml:space="preserve">ciencia del ojo. La </w:t>
      </w:r>
      <w:r w:rsidR="000E332F">
        <w:t xml:space="preserve">conjunción </w:t>
      </w:r>
      <w:r>
        <w:t xml:space="preserve">de los tres es el contacto. Con el contacto como condición </w:t>
      </w:r>
      <w:r w:rsidR="000E332F">
        <w:t>surge la sensación</w:t>
      </w:r>
      <w:r>
        <w:t xml:space="preserve">. Lo que </w:t>
      </w:r>
      <w:r w:rsidR="00D8269E">
        <w:t xml:space="preserve">se </w:t>
      </w:r>
      <w:r>
        <w:t>sient</w:t>
      </w:r>
      <w:r w:rsidR="00D8269E">
        <w:t>a</w:t>
      </w:r>
      <w:r>
        <w:t xml:space="preserve"> </w:t>
      </w:r>
      <w:r w:rsidR="00D8269E">
        <w:t>se</w:t>
      </w:r>
      <w:r>
        <w:t xml:space="preserve"> percib</w:t>
      </w:r>
      <w:r w:rsidR="00D8269E">
        <w:t>irá</w:t>
      </w:r>
      <w:r>
        <w:t>. Lo que percib</w:t>
      </w:r>
      <w:r w:rsidR="00D8269E">
        <w:t>a</w:t>
      </w:r>
      <w:r>
        <w:t xml:space="preserve"> </w:t>
      </w:r>
      <w:r w:rsidR="00D8269E">
        <w:t xml:space="preserve">se </w:t>
      </w:r>
      <w:r>
        <w:t>pensa</w:t>
      </w:r>
      <w:r w:rsidR="00D8269E">
        <w:t>rá</w:t>
      </w:r>
      <w:r>
        <w:t xml:space="preserve">. Lo que </w:t>
      </w:r>
      <w:r w:rsidR="00D8269E">
        <w:t xml:space="preserve">se </w:t>
      </w:r>
      <w:r>
        <w:t>piens</w:t>
      </w:r>
      <w:r w:rsidR="00D8269E">
        <w:t>e</w:t>
      </w:r>
      <w:r>
        <w:t xml:space="preserve"> </w:t>
      </w:r>
      <w:r w:rsidR="00D8269E">
        <w:t>se</w:t>
      </w:r>
      <w:r>
        <w:t xml:space="preserve"> diversifica</w:t>
      </w:r>
      <w:r w:rsidR="00D8269E">
        <w:t>rá</w:t>
      </w:r>
      <w:r>
        <w:t xml:space="preserve"> [por medio del </w:t>
      </w:r>
      <w:r w:rsidR="00D8269E">
        <w:t>deseo</w:t>
      </w:r>
      <w:r>
        <w:t xml:space="preserve">, </w:t>
      </w:r>
      <w:r w:rsidR="00D8269E">
        <w:t xml:space="preserve">la presunción </w:t>
      </w:r>
      <w:r>
        <w:t xml:space="preserve">y la visión </w:t>
      </w:r>
      <w:r w:rsidR="00D8269E">
        <w:t>incorrecta</w:t>
      </w:r>
      <w:r>
        <w:t>]… Debido a la mente y</w:t>
      </w:r>
      <w:r w:rsidR="00D8269E">
        <w:t xml:space="preserve"> </w:t>
      </w:r>
      <w:r>
        <w:t xml:space="preserve">a los </w:t>
      </w:r>
      <w:r w:rsidR="00D8269E">
        <w:t xml:space="preserve">objetos </w:t>
      </w:r>
      <w:r>
        <w:t>mentales…” (M I 111). Y: “¿El ojo es permanente o impermanente…</w:t>
      </w:r>
      <w:r w:rsidR="0006353A">
        <w:t>?</w:t>
      </w:r>
      <w:r>
        <w:t xml:space="preserve"> </w:t>
      </w:r>
      <w:r w:rsidR="0006353A">
        <w:t>¿</w:t>
      </w:r>
      <w:r>
        <w:t>Son los objetos visibles permanentes o impermanentes …</w:t>
      </w:r>
      <w:r w:rsidR="0006353A">
        <w:t>?</w:t>
      </w:r>
      <w:r>
        <w:t xml:space="preserve"> ¿La mente es permanente o </w:t>
      </w:r>
      <w:r w:rsidR="0080454F">
        <w:t>impermanente</w:t>
      </w:r>
      <w:r w:rsidR="0006353A">
        <w:t>…</w:t>
      </w:r>
      <w:r>
        <w:t xml:space="preserve">? ¿Son los </w:t>
      </w:r>
      <w:r w:rsidR="0080454F">
        <w:t xml:space="preserve">objetos </w:t>
      </w:r>
      <w:r>
        <w:t>mentales... es la con</w:t>
      </w:r>
      <w:r w:rsidR="0080454F">
        <w:t>s</w:t>
      </w:r>
      <w:r>
        <w:t xml:space="preserve">ciencia mental... es el contacto mental... es cualquier </w:t>
      </w:r>
      <w:r w:rsidR="0080454F">
        <w:t>sensación</w:t>
      </w:r>
      <w:r>
        <w:t>, percepción, formación, con</w:t>
      </w:r>
      <w:r w:rsidR="0080454F">
        <w:t>s</w:t>
      </w:r>
      <w:r>
        <w:t>ciencia que sur</w:t>
      </w:r>
      <w:r w:rsidR="00E6212F">
        <w:t>ja</w:t>
      </w:r>
      <w:r>
        <w:t xml:space="preserve"> con el contacto mental como condición permanente o </w:t>
      </w:r>
      <w:r w:rsidR="0080454F">
        <w:t>impermanente</w:t>
      </w:r>
      <w:r>
        <w:t xml:space="preserve">? (M III 279). Y: “Estas cinco facultades [del ojo, etc.] cada una con su campo objetivo </w:t>
      </w:r>
      <w:r w:rsidR="0006353A">
        <w:t xml:space="preserve">individual </w:t>
      </w:r>
      <w:r>
        <w:t>y ninguna de ellas experimenta</w:t>
      </w:r>
      <w:r w:rsidR="00316037">
        <w:t>ndo</w:t>
      </w:r>
      <w:r>
        <w:t xml:space="preserve"> como su campo objetivo la provincia de ninguna otra, tienen </w:t>
      </w:r>
      <w:r w:rsidR="0006353A">
        <w:t xml:space="preserve">a </w:t>
      </w:r>
      <w:r>
        <w:t>la mente como su refugio, y la mente experimenta sus provincias como su campo objetivo. (M I 295). Este tratamiento de la con</w:t>
      </w:r>
      <w:r w:rsidR="0006353A">
        <w:t>s</w:t>
      </w:r>
      <w:r>
        <w:t>ciencia implica, por así decirlo</w:t>
      </w:r>
      <w:r w:rsidR="00316037" w:rsidRPr="00316037">
        <w:t xml:space="preserve"> </w:t>
      </w:r>
      <w:r w:rsidR="00316037">
        <w:t>e inclusive</w:t>
      </w:r>
      <w:r>
        <w:t>, más que un "doble grosor" de la con</w:t>
      </w:r>
      <w:r w:rsidR="0006353A">
        <w:t>s</w:t>
      </w:r>
      <w:r>
        <w:t xml:space="preserve">ciencia. Un núcleo ya formado de la serie cognitiva, basado en tal </w:t>
      </w:r>
      <w:r w:rsidRPr="0006353A">
        <w:rPr>
          <w:i/>
          <w:iCs/>
        </w:rPr>
        <w:t>Sutta</w:t>
      </w:r>
      <w:r>
        <w:t xml:space="preserve"> </w:t>
      </w:r>
      <w:proofErr w:type="spellStart"/>
      <w:r w:rsidRPr="006A3DB9">
        <w:rPr>
          <w:i/>
          <w:iCs/>
        </w:rPr>
        <w:t>Pi</w:t>
      </w:r>
      <w:r w:rsidR="006A3DB9" w:rsidRPr="006A3DB9">
        <w:rPr>
          <w:i/>
          <w:iCs/>
        </w:rPr>
        <w:t>ṭ</w:t>
      </w:r>
      <w:r w:rsidRPr="006A3DB9">
        <w:rPr>
          <w:i/>
          <w:iCs/>
        </w:rPr>
        <w:t>aka</w:t>
      </w:r>
      <w:proofErr w:type="spellEnd"/>
      <w:r>
        <w:t>, aparece en l</w:t>
      </w:r>
      <w:r w:rsidR="00CF0025">
        <w:t>os</w:t>
      </w:r>
      <w:r>
        <w:t xml:space="preserve"> </w:t>
      </w:r>
      <w:proofErr w:type="spellStart"/>
      <w:r w:rsidR="0006353A" w:rsidRPr="006A3DB9">
        <w:rPr>
          <w:i/>
          <w:iCs/>
        </w:rPr>
        <w:t>Abhi</w:t>
      </w:r>
      <w:r w:rsidR="0006353A" w:rsidRPr="00057BF4">
        <w:rPr>
          <w:i/>
          <w:iCs/>
        </w:rPr>
        <w:t>dhamma</w:t>
      </w:r>
      <w:proofErr w:type="spellEnd"/>
      <w:r w:rsidR="0006353A" w:rsidRPr="006A3DB9">
        <w:rPr>
          <w:i/>
          <w:iCs/>
        </w:rPr>
        <w:t xml:space="preserve"> </w:t>
      </w:r>
      <w:proofErr w:type="spellStart"/>
      <w:r w:rsidRPr="006A3DB9">
        <w:rPr>
          <w:i/>
          <w:iCs/>
        </w:rPr>
        <w:t>Piṭakas</w:t>
      </w:r>
      <w:proofErr w:type="spellEnd"/>
      <w:r>
        <w:t>. Las siguientes dos citas muestran cómo el comentario (cursiva entre corchetes) amplía el tratamiento de</w:t>
      </w:r>
      <w:r w:rsidR="0006353A">
        <w:t xml:space="preserve"> </w:t>
      </w:r>
      <w:r>
        <w:t>l</w:t>
      </w:r>
      <w:r w:rsidR="0006353A">
        <w:t>os</w:t>
      </w:r>
      <w:r>
        <w:t xml:space="preserve"> </w:t>
      </w:r>
      <w:proofErr w:type="spellStart"/>
      <w:r w:rsidR="0006353A" w:rsidRPr="006A3DB9">
        <w:rPr>
          <w:i/>
          <w:iCs/>
        </w:rPr>
        <w:t>Abhi</w:t>
      </w:r>
      <w:r w:rsidR="0006353A" w:rsidRPr="00057BF4">
        <w:rPr>
          <w:i/>
          <w:iCs/>
        </w:rPr>
        <w:t>dhamma</w:t>
      </w:r>
      <w:proofErr w:type="spellEnd"/>
      <w:r w:rsidR="0006353A" w:rsidRPr="006A3DB9">
        <w:rPr>
          <w:i/>
          <w:iCs/>
        </w:rPr>
        <w:t xml:space="preserve"> </w:t>
      </w:r>
      <w:proofErr w:type="spellStart"/>
      <w:r w:rsidRPr="006A3DB9">
        <w:rPr>
          <w:i/>
          <w:iCs/>
        </w:rPr>
        <w:t>Piṭakas</w:t>
      </w:r>
      <w:proofErr w:type="spellEnd"/>
      <w:r>
        <w:t>.</w:t>
      </w:r>
    </w:p>
    <w:p w14:paraId="4371FD57" w14:textId="3F5A0F22" w:rsidR="000F0B48" w:rsidRDefault="000F0B48" w:rsidP="000F0B48">
      <w:pPr>
        <w:pStyle w:val="PiedepginaLegal"/>
      </w:pPr>
      <w:r>
        <w:t xml:space="preserve">           (i) “Aquí, ¿qué es el elemento de la con</w:t>
      </w:r>
      <w:r w:rsidR="0006353A">
        <w:t>s</w:t>
      </w:r>
      <w:r>
        <w:t xml:space="preserve">ciencia del ojo? Debido al ojo y a los </w:t>
      </w:r>
      <w:r w:rsidR="0006353A">
        <w:t>objetos</w:t>
      </w:r>
      <w:r>
        <w:t xml:space="preserve"> visibles (</w:t>
      </w:r>
      <w:r w:rsidRPr="006A3DB9">
        <w:rPr>
          <w:i/>
          <w:iCs/>
        </w:rPr>
        <w:t xml:space="preserve">como condición de </w:t>
      </w:r>
      <w:r w:rsidR="0006353A">
        <w:rPr>
          <w:i/>
          <w:iCs/>
        </w:rPr>
        <w:t>soporte</w:t>
      </w:r>
      <w:r w:rsidRPr="006A3DB9">
        <w:rPr>
          <w:i/>
          <w:iCs/>
        </w:rPr>
        <w:t xml:space="preserve">, y al elemento funcional de la mente (= </w:t>
      </w:r>
      <w:r w:rsidR="005B3BE2">
        <w:rPr>
          <w:i/>
          <w:iCs/>
        </w:rPr>
        <w:t>advertencia en las</w:t>
      </w:r>
      <w:r w:rsidRPr="006A3DB9">
        <w:rPr>
          <w:i/>
          <w:iCs/>
        </w:rPr>
        <w:t xml:space="preserve"> 5 puertas), como condición de desaparición, y a los tres agregados inmateriales restantes como condición de con</w:t>
      </w:r>
      <w:r w:rsidR="008145D7">
        <w:rPr>
          <w:i/>
          <w:iCs/>
        </w:rPr>
        <w:t>s</w:t>
      </w:r>
      <w:r w:rsidRPr="006A3DB9">
        <w:rPr>
          <w:i/>
          <w:iCs/>
        </w:rPr>
        <w:t>ciencia</w:t>
      </w:r>
      <w:r>
        <w:t>) surge la con</w:t>
      </w:r>
      <w:r w:rsidR="005B3BE2">
        <w:t>s</w:t>
      </w:r>
      <w:r>
        <w:t>ciencia... que es el elemento de la con</w:t>
      </w:r>
      <w:r w:rsidR="009C1326">
        <w:t>s</w:t>
      </w:r>
      <w:r>
        <w:t>ciencia del ojo. [De manera similar con los otros cuatro elementos de los sentidos.] Aquí, ¿qué es el elemento de la mente? Habiendo surgido la con</w:t>
      </w:r>
      <w:r w:rsidR="009C1326">
        <w:t>s</w:t>
      </w:r>
      <w:r>
        <w:t xml:space="preserve">ciencia </w:t>
      </w:r>
    </w:p>
    <w:p w14:paraId="770DE182" w14:textId="77777777" w:rsidR="00375BE9" w:rsidRDefault="00375BE9">
      <w:pPr>
        <w:tabs>
          <w:tab w:val="clear" w:pos="425"/>
        </w:tabs>
        <w:spacing w:after="160"/>
      </w:pPr>
      <w:r>
        <w:br w:type="page"/>
      </w:r>
    </w:p>
    <w:p w14:paraId="4C3C780B" w14:textId="77777777" w:rsidR="00176B3F" w:rsidRDefault="00176B3F" w:rsidP="003D3320"/>
    <w:p w14:paraId="44C6D0F0" w14:textId="2EDF0DD9" w:rsidR="003D3320" w:rsidRDefault="004F45D5" w:rsidP="003D3320">
      <w:r>
        <w:t xml:space="preserve">repetidamente al suelo. </w:t>
      </w:r>
      <w:r w:rsidR="004B3D08">
        <w:t xml:space="preserve">No obstante, </w:t>
      </w:r>
      <w:r w:rsidR="003D3320">
        <w:t>los factores s</w:t>
      </w:r>
      <w:r w:rsidR="004B3D08">
        <w:t>erá</w:t>
      </w:r>
      <w:r w:rsidR="003D3320">
        <w:t>n fuertes en la absorción. Debido a que s</w:t>
      </w:r>
      <w:r w:rsidR="004B3D08">
        <w:t>erá</w:t>
      </w:r>
      <w:r w:rsidR="003D3320">
        <w:t>n fuertes, cuando ha</w:t>
      </w:r>
      <w:r w:rsidR="004B3D08">
        <w:t>ya</w:t>
      </w:r>
      <w:r w:rsidR="003D3320">
        <w:t xml:space="preserve"> surgido la concentración de absorción, la mente, una vez que ha</w:t>
      </w:r>
      <w:r w:rsidR="004B3D08">
        <w:t>ya</w:t>
      </w:r>
      <w:r w:rsidR="003D3320">
        <w:t xml:space="preserve"> interrumpido el flujo del continu</w:t>
      </w:r>
      <w:r w:rsidR="004B3D08">
        <w:t>um</w:t>
      </w:r>
      <w:r w:rsidR="003D3320">
        <w:t xml:space="preserve"> </w:t>
      </w:r>
      <w:r w:rsidR="00BC1B6A">
        <w:t>vital</w:t>
      </w:r>
      <w:r w:rsidR="003D3320">
        <w:t>, contin</w:t>
      </w:r>
      <w:r w:rsidR="004B3D08">
        <w:t>u</w:t>
      </w:r>
      <w:r w:rsidR="003D3320">
        <w:t>a</w:t>
      </w:r>
      <w:r w:rsidR="004B3D08">
        <w:t>rá</w:t>
      </w:r>
      <w:r w:rsidR="003D3320">
        <w:t xml:space="preserve"> con una corriente de impulsión provechosa durante toda una noche </w:t>
      </w:r>
      <w:r w:rsidR="00D5106E">
        <w:t>e inclusive</w:t>
      </w:r>
      <w:r w:rsidR="003D3320">
        <w:t xml:space="preserve"> todo un día, tal como un hombre sano, después de levantarse de su asiento, </w:t>
      </w:r>
      <w:r w:rsidR="004B3D08">
        <w:t>podr</w:t>
      </w:r>
      <w:r w:rsidR="00D5106E">
        <w:t>ía</w:t>
      </w:r>
      <w:r w:rsidR="003D3320">
        <w:t xml:space="preserve"> estar de pie durante un día entero.</w:t>
      </w:r>
    </w:p>
    <w:p w14:paraId="1A4A5DA8" w14:textId="5E99EE59" w:rsidR="003D3320" w:rsidRDefault="003D3320" w:rsidP="003D3320">
      <w:pPr>
        <w:pStyle w:val="Ttulo3"/>
        <w:ind w:left="708"/>
      </w:pPr>
      <w:r>
        <w:t>[</w:t>
      </w:r>
      <w:r w:rsidR="002F2C30">
        <w:t>Preser</w:t>
      </w:r>
      <w:r w:rsidR="004B42FE">
        <w:t xml:space="preserve">vando </w:t>
      </w:r>
      <w:r>
        <w:t xml:space="preserve">El </w:t>
      </w:r>
      <w:r w:rsidR="004B42FE">
        <w:t>Signo</w:t>
      </w:r>
      <w:r>
        <w:t>]</w:t>
      </w:r>
    </w:p>
    <w:p w14:paraId="31F7C109" w14:textId="402D2B29" w:rsidR="003D3320" w:rsidRDefault="003D3320" w:rsidP="003D3320">
      <w:r>
        <w:t xml:space="preserve">34. </w:t>
      </w:r>
      <w:r w:rsidR="00176B3F">
        <w:tab/>
      </w:r>
      <w:r>
        <w:t xml:space="preserve">El </w:t>
      </w:r>
      <w:r w:rsidR="004B42FE">
        <w:t>surgimiento</w:t>
      </w:r>
      <w:r>
        <w:t xml:space="preserve"> del signo contraparte, que surge junto con la concentración de acceso, es muy difícil. Por tanto, si </w:t>
      </w:r>
      <w:r w:rsidR="004B42FE">
        <w:t xml:space="preserve">uno </w:t>
      </w:r>
      <w:r>
        <w:t>es capaz de llegar a la absorción en esa misma sesión extendiendo el signo, est</w:t>
      </w:r>
      <w:r w:rsidR="004B42FE">
        <w:t>ar</w:t>
      </w:r>
      <w:r>
        <w:t xml:space="preserve">á bien. Si no, entonces debe </w:t>
      </w:r>
      <w:r w:rsidR="004B42FE">
        <w:t xml:space="preserve">preservar </w:t>
      </w:r>
      <w:r>
        <w:t xml:space="preserve">el signo diligentemente como si fuera el feto de un Monarca </w:t>
      </w:r>
      <w:r w:rsidR="00680ADD">
        <w:t xml:space="preserve">Universal </w:t>
      </w:r>
      <w:r>
        <w:t>que ha</w:t>
      </w:r>
      <w:r w:rsidR="000A1B5E">
        <w:t>rá</w:t>
      </w:r>
      <w:r>
        <w:t xml:space="preserve"> girar la Rueda (</w:t>
      </w:r>
      <w:r w:rsidR="000A1B5E">
        <w:t xml:space="preserve">un </w:t>
      </w:r>
      <w:r>
        <w:t>Gobernante del Mundo).</w:t>
      </w:r>
    </w:p>
    <w:p w14:paraId="4C1F27AD" w14:textId="77777777" w:rsidR="008777E4" w:rsidRDefault="008777E4" w:rsidP="003D3320"/>
    <w:p w14:paraId="302D872D" w14:textId="77777777" w:rsidR="003D3320" w:rsidRPr="000F0B48" w:rsidRDefault="003D3320" w:rsidP="003D3320">
      <w:pPr>
        <w:pStyle w:val="PiedepginaLegal"/>
        <w:rPr>
          <w:u w:val="single"/>
        </w:rPr>
      </w:pPr>
      <w:r>
        <w:t xml:space="preserve"> </w:t>
      </w:r>
      <w:r w:rsidRPr="000F0B48">
        <w:rPr>
          <w:u w:val="single"/>
        </w:rPr>
        <w:t xml:space="preserve">                                                                                                                                                         .</w:t>
      </w:r>
    </w:p>
    <w:p w14:paraId="5901566C" w14:textId="503CA162" w:rsidR="00176B3F" w:rsidRDefault="00176B3F" w:rsidP="00176B3F">
      <w:pPr>
        <w:pStyle w:val="PiedepginaLegal"/>
      </w:pPr>
      <w:r>
        <w:t>…</w:t>
      </w:r>
      <w:r>
        <w:tab/>
      </w:r>
    </w:p>
    <w:p w14:paraId="26317ACF" w14:textId="067FF468" w:rsidR="003D3320" w:rsidRDefault="00176B3F" w:rsidP="00176B3F">
      <w:pPr>
        <w:pStyle w:val="PiedepginaLegal"/>
      </w:pPr>
      <w:r>
        <w:tab/>
      </w:r>
      <w:r w:rsidR="00F85DD0">
        <w:t xml:space="preserve">del ojo </w:t>
      </w:r>
      <w:r w:rsidR="003D3320">
        <w:t>y cesado, junto a e</w:t>
      </w:r>
      <w:r w:rsidR="009C1326">
        <w:t>ll</w:t>
      </w:r>
      <w:r w:rsidR="003D3320">
        <w:t>o surge la con</w:t>
      </w:r>
      <w:r w:rsidR="009C1326">
        <w:t>s</w:t>
      </w:r>
      <w:r w:rsidR="003D3320">
        <w:t xml:space="preserve">ciencia... que es el elemento mental apropiado (provechoso o no) (en modo de </w:t>
      </w:r>
      <w:r w:rsidR="00720606">
        <w:t>recepción</w:t>
      </w:r>
      <w:r w:rsidR="003D3320">
        <w:t xml:space="preserve">). [De manera similar con los otros cuatro elementos de los sentidos.] O bien, es la primera reacción a cualquier </w:t>
      </w:r>
      <w:r w:rsidR="00720606">
        <w:t>objeto</w:t>
      </w:r>
      <w:r w:rsidR="003D3320">
        <w:t xml:space="preserve"> mental (que debe tomarse como elemento funcional de la mente en el modo de advertencia de la puerta de la mente). Aquí, ¿qué es el elemento mente-consciencia? Habiendo surgido y cesado la </w:t>
      </w:r>
      <w:r w:rsidR="00305E12">
        <w:t>consciencia</w:t>
      </w:r>
      <w:r w:rsidR="003D3320">
        <w:t xml:space="preserve"> del ojo, junto a ell</w:t>
      </w:r>
      <w:r w:rsidR="00F85DD0">
        <w:t>o</w:t>
      </w:r>
      <w:r w:rsidR="003D3320">
        <w:t xml:space="preserve"> surge el elemento mental. Habiendo surgido y cesado el elemento mental (resultante), también (junto a e</w:t>
      </w:r>
      <w:r w:rsidR="00A47238">
        <w:t>ll</w:t>
      </w:r>
      <w:r w:rsidR="003D3320">
        <w:t>o surge el elemento men</w:t>
      </w:r>
      <w:r w:rsidR="00F85DD0">
        <w:t>te</w:t>
      </w:r>
      <w:r w:rsidR="003D3320">
        <w:t>-con</w:t>
      </w:r>
      <w:r w:rsidR="00A47238">
        <w:t>s</w:t>
      </w:r>
      <w:r w:rsidR="003D3320">
        <w:t>ciencia resultante en modo de investiga</w:t>
      </w:r>
      <w:r w:rsidR="00A47238">
        <w:t>ción</w:t>
      </w:r>
      <w:r w:rsidR="003D3320">
        <w:t>; y habiendo surgido y cesado, junto a e</w:t>
      </w:r>
      <w:r w:rsidR="00A47238">
        <w:t>ll</w:t>
      </w:r>
      <w:r w:rsidR="003D3320">
        <w:t>o surge el elemento ment</w:t>
      </w:r>
      <w:r w:rsidR="00F85DD0">
        <w:t>e</w:t>
      </w:r>
      <w:r w:rsidR="003D3320">
        <w:t>-conscien</w:t>
      </w:r>
      <w:r w:rsidR="00F85DD0">
        <w:t>cia</w:t>
      </w:r>
      <w:r w:rsidR="003D3320">
        <w:t xml:space="preserve"> funcional en el modo de determina</w:t>
      </w:r>
      <w:r w:rsidR="00A47238">
        <w:t>ción</w:t>
      </w:r>
      <w:r w:rsidR="003D3320">
        <w:t>; y habiendo surgido y cesado) junto a e</w:t>
      </w:r>
      <w:r w:rsidR="00F167A5">
        <w:t>ll</w:t>
      </w:r>
      <w:r w:rsidR="003D3320">
        <w:t xml:space="preserve">o surge la </w:t>
      </w:r>
      <w:r w:rsidR="00305E12">
        <w:t>consciencia</w:t>
      </w:r>
      <w:r w:rsidR="003D3320">
        <w:t>... que es el elemento apropiado de la con</w:t>
      </w:r>
      <w:r w:rsidR="00F167A5">
        <w:t>s</w:t>
      </w:r>
      <w:r w:rsidR="003D3320">
        <w:t>ciencia mental (en el modo de impulsión). [De manera similar con los otros cuatro elementos de los sentidos.] Debido a la mente (continu</w:t>
      </w:r>
      <w:r w:rsidR="00F85DD0">
        <w:t>um</w:t>
      </w:r>
      <w:r w:rsidR="003D3320">
        <w:t xml:space="preserve"> </w:t>
      </w:r>
      <w:r w:rsidR="00B66E2D" w:rsidRPr="00B66E2D">
        <w:t>vital</w:t>
      </w:r>
      <w:r w:rsidR="003D3320">
        <w:t xml:space="preserve">) y a los </w:t>
      </w:r>
      <w:proofErr w:type="gramStart"/>
      <w:r w:rsidR="00383ED5">
        <w:t>objeto</w:t>
      </w:r>
      <w:r w:rsidR="003D3320">
        <w:t xml:space="preserve"> mentales</w:t>
      </w:r>
      <w:proofErr w:type="gramEnd"/>
      <w:r w:rsidR="003D3320">
        <w:t xml:space="preserve"> surge la con</w:t>
      </w:r>
      <w:r w:rsidR="00383ED5">
        <w:t>s</w:t>
      </w:r>
      <w:r w:rsidR="003D3320">
        <w:t>ciencia... que es el elemento apropiado de la con</w:t>
      </w:r>
      <w:r w:rsidR="007C4283">
        <w:t>s</w:t>
      </w:r>
      <w:r w:rsidR="003D3320">
        <w:t>ciencia de la mente (impulsión) (siguiendo la advertencia de la puerta de la mente mencionada anteriormente)” (</w:t>
      </w:r>
      <w:proofErr w:type="spellStart"/>
      <w:r w:rsidR="003D3320">
        <w:t>Vibh</w:t>
      </w:r>
      <w:proofErr w:type="spellEnd"/>
      <w:r w:rsidR="003D3320">
        <w:t xml:space="preserve"> 87–90 y </w:t>
      </w:r>
      <w:proofErr w:type="spellStart"/>
      <w:r w:rsidR="003D3320">
        <w:t>Vibh</w:t>
      </w:r>
      <w:proofErr w:type="spellEnd"/>
      <w:r w:rsidR="003D3320">
        <w:t>-a</w:t>
      </w:r>
      <w:r>
        <w:t xml:space="preserve"> </w:t>
      </w:r>
      <w:r w:rsidR="003D3320">
        <w:t>81 y sig.).</w:t>
      </w:r>
    </w:p>
    <w:p w14:paraId="534129B2" w14:textId="1559986B" w:rsidR="003D3320" w:rsidRDefault="00176B3F" w:rsidP="00176B3F">
      <w:pPr>
        <w:pStyle w:val="PiedepginaLegal"/>
      </w:pPr>
      <w:r>
        <w:tab/>
        <w:t xml:space="preserve">   </w:t>
      </w:r>
      <w:r w:rsidR="003D3320">
        <w:t>(</w:t>
      </w:r>
      <w:proofErr w:type="spellStart"/>
      <w:r w:rsidR="003D3320">
        <w:t>ii</w:t>
      </w:r>
      <w:proofErr w:type="spellEnd"/>
      <w:r w:rsidR="003D3320">
        <w:t>) “La con</w:t>
      </w:r>
      <w:r w:rsidR="00AD4BC4">
        <w:t>s</w:t>
      </w:r>
      <w:r w:rsidR="003D3320">
        <w:t xml:space="preserve">ciencia del ojo y sus estados asociados son una condición, como condición de proximidad, para el elemento mental (resultante) y sus estados asociados. El elemento mental y sus estados asociados son una condición, como condición de proximidad, para el elemento de </w:t>
      </w:r>
      <w:r w:rsidR="00AD4BC4">
        <w:t xml:space="preserve">la </w:t>
      </w:r>
      <w:r w:rsidR="00305E12">
        <w:t>consciencia</w:t>
      </w:r>
      <w:r w:rsidR="003D3320">
        <w:t xml:space="preserve"> mental (resultante sin </w:t>
      </w:r>
      <w:r w:rsidR="00EE16AF">
        <w:t>causa–raíz</w:t>
      </w:r>
      <w:r w:rsidR="003D3320">
        <w:t>) (</w:t>
      </w:r>
      <w:r w:rsidR="003D3320" w:rsidRPr="005F2465">
        <w:rPr>
          <w:i/>
          <w:iCs/>
        </w:rPr>
        <w:t>en el modo de investigar</w:t>
      </w:r>
      <w:r w:rsidR="003D3320">
        <w:t>) y para sus estados asociados. (</w:t>
      </w:r>
      <w:r w:rsidR="003D3320" w:rsidRPr="005F2465">
        <w:rPr>
          <w:i/>
          <w:iCs/>
        </w:rPr>
        <w:t xml:space="preserve">Además, deben mencionarse los elementos de la mente-consciencia </w:t>
      </w:r>
      <w:r w:rsidR="00D95F86">
        <w:rPr>
          <w:i/>
          <w:iCs/>
        </w:rPr>
        <w:t>independientemente</w:t>
      </w:r>
      <w:r w:rsidR="003D3320" w:rsidRPr="005F2465">
        <w:rPr>
          <w:i/>
          <w:iCs/>
        </w:rPr>
        <w:t xml:space="preserve"> </w:t>
      </w:r>
      <w:r w:rsidR="00D95F86">
        <w:rPr>
          <w:i/>
          <w:iCs/>
        </w:rPr>
        <w:t>de</w:t>
      </w:r>
      <w:r w:rsidR="003D3320" w:rsidRPr="005F2465">
        <w:rPr>
          <w:i/>
          <w:iCs/>
        </w:rPr>
        <w:t xml:space="preserve"> los modos de determinación, impulsión, registro y continuidad de la vida, aunque no lo s</w:t>
      </w:r>
      <w:r w:rsidR="00D95F86">
        <w:rPr>
          <w:i/>
          <w:iCs/>
        </w:rPr>
        <w:t>ea</w:t>
      </w:r>
      <w:r w:rsidR="003D3320" w:rsidRPr="005F2465">
        <w:rPr>
          <w:i/>
          <w:iCs/>
        </w:rPr>
        <w:t xml:space="preserve">n, ya que la enseñanza está </w:t>
      </w:r>
      <w:r w:rsidR="00D95F86">
        <w:rPr>
          <w:i/>
          <w:iCs/>
        </w:rPr>
        <w:t>resumida</w:t>
      </w:r>
      <w:r w:rsidR="003D3320">
        <w:t xml:space="preserve">.) [Del mismo modo para los otros cuatro sentidos y </w:t>
      </w:r>
      <w:r w:rsidR="00D95F86">
        <w:t>e</w:t>
      </w:r>
      <w:r w:rsidR="003D3320">
        <w:t xml:space="preserve">l elemento </w:t>
      </w:r>
      <w:r w:rsidR="00D95F86">
        <w:t>mente-</w:t>
      </w:r>
      <w:r w:rsidR="00305E12">
        <w:t>consciencia</w:t>
      </w:r>
      <w:r w:rsidR="003D3320">
        <w:t xml:space="preserve">]. Los estados </w:t>
      </w:r>
      <w:r w:rsidR="00D95F86">
        <w:t>productivos</w:t>
      </w:r>
      <w:r w:rsidR="003D3320">
        <w:t xml:space="preserve"> precedentes (impulsión) son una condición, como condición de proximidad, para </w:t>
      </w:r>
      <w:r w:rsidR="0011755B">
        <w:t xml:space="preserve">los </w:t>
      </w:r>
      <w:r w:rsidR="003D3320">
        <w:t>estados indeterminados posteriores (</w:t>
      </w:r>
      <w:r w:rsidR="003D3320" w:rsidRPr="005F2465">
        <w:rPr>
          <w:i/>
          <w:iCs/>
        </w:rPr>
        <w:t>registro, continuidad de la vida</w:t>
      </w:r>
      <w:r w:rsidR="003D3320">
        <w:t>) [etc.]” ​​(</w:t>
      </w:r>
      <w:proofErr w:type="spellStart"/>
      <w:r w:rsidR="003D3320">
        <w:t>Pa</w:t>
      </w:r>
      <w:r>
        <w:t>ṭṭ</w:t>
      </w:r>
      <w:r w:rsidR="003D3320">
        <w:t>h</w:t>
      </w:r>
      <w:proofErr w:type="spellEnd"/>
      <w:r w:rsidR="003D3320">
        <w:t xml:space="preserve"> II y </w:t>
      </w:r>
      <w:proofErr w:type="spellStart"/>
      <w:r w:rsidR="003D3320">
        <w:t>Comy</w:t>
      </w:r>
      <w:proofErr w:type="spellEnd"/>
      <w:r w:rsidR="003D3320">
        <w:t>., 33–34).</w:t>
      </w:r>
    </w:p>
    <w:p w14:paraId="23D48EBD" w14:textId="0FA18063" w:rsidR="00176B3F" w:rsidRDefault="00176B3F" w:rsidP="00176B3F">
      <w:pPr>
        <w:pStyle w:val="PiedepginaLegal"/>
      </w:pPr>
      <w:r>
        <w:tab/>
        <w:t xml:space="preserve">   </w:t>
      </w:r>
      <w:r w:rsidR="003D3320">
        <w:t xml:space="preserve">La forma que toman los dos tipos (5 puertas y puerta de la mente) de la serie cognitiva se muestra en la Tabla V. Las siguientes son algunas referencias </w:t>
      </w:r>
      <w:proofErr w:type="spellStart"/>
      <w:r w:rsidR="00B42996" w:rsidRPr="00B42996">
        <w:rPr>
          <w:i/>
          <w:iCs/>
        </w:rPr>
        <w:t>Piṭaka</w:t>
      </w:r>
      <w:r w:rsidR="003D3320" w:rsidRPr="00B42996">
        <w:rPr>
          <w:i/>
          <w:iCs/>
        </w:rPr>
        <w:t>s</w:t>
      </w:r>
      <w:proofErr w:type="spellEnd"/>
      <w:r w:rsidR="003D3320">
        <w:t xml:space="preserve"> para los modos individuales: </w:t>
      </w:r>
      <w:proofErr w:type="spellStart"/>
      <w:r w:rsidR="003D3320" w:rsidRPr="005F2465">
        <w:rPr>
          <w:i/>
          <w:iCs/>
        </w:rPr>
        <w:t>bhava</w:t>
      </w:r>
      <w:r w:rsidR="005F2465" w:rsidRPr="005F2465">
        <w:rPr>
          <w:i/>
          <w:iCs/>
        </w:rPr>
        <w:t>ṇ</w:t>
      </w:r>
      <w:r w:rsidR="003D3320" w:rsidRPr="005F2465">
        <w:rPr>
          <w:i/>
          <w:iCs/>
        </w:rPr>
        <w:t>ga</w:t>
      </w:r>
      <w:proofErr w:type="spellEnd"/>
      <w:r w:rsidR="003D3320">
        <w:t xml:space="preserve"> (continuum</w:t>
      </w:r>
      <w:r w:rsidR="00B42996" w:rsidRPr="00B42996">
        <w:t xml:space="preserve"> </w:t>
      </w:r>
      <w:r w:rsidR="00B66E2D" w:rsidRPr="00B66E2D">
        <w:t>vital</w:t>
      </w:r>
      <w:r w:rsidR="003D3320">
        <w:t xml:space="preserve">): </w:t>
      </w:r>
      <w:proofErr w:type="spellStart"/>
      <w:r w:rsidR="003D3320">
        <w:t>Paþþh</w:t>
      </w:r>
      <w:proofErr w:type="spellEnd"/>
      <w:r w:rsidR="003D3320">
        <w:t xml:space="preserve"> I 159, 160, 169, 324; </w:t>
      </w:r>
      <w:proofErr w:type="spellStart"/>
      <w:r w:rsidR="005F2465" w:rsidRPr="005F2465">
        <w:rPr>
          <w:i/>
          <w:iCs/>
        </w:rPr>
        <w:t>ā</w:t>
      </w:r>
      <w:r w:rsidR="003D3320" w:rsidRPr="005F2465">
        <w:rPr>
          <w:i/>
          <w:iCs/>
        </w:rPr>
        <w:t>vajjana</w:t>
      </w:r>
      <w:proofErr w:type="spellEnd"/>
      <w:r w:rsidR="003D3320">
        <w:t xml:space="preserve"> (publicidad) </w:t>
      </w:r>
      <w:proofErr w:type="spellStart"/>
      <w:r w:rsidR="003D3320">
        <w:t>Pa</w:t>
      </w:r>
      <w:r w:rsidR="005F2465">
        <w:t>ṭṭ</w:t>
      </w:r>
      <w:r w:rsidR="003D3320">
        <w:t>h</w:t>
      </w:r>
      <w:proofErr w:type="spellEnd"/>
      <w:r w:rsidR="003D3320">
        <w:t xml:space="preserve"> I 159, 160, 169, 324; </w:t>
      </w:r>
      <w:proofErr w:type="spellStart"/>
      <w:r w:rsidR="003D3320" w:rsidRPr="005F2465">
        <w:rPr>
          <w:i/>
          <w:iCs/>
        </w:rPr>
        <w:t>sampa</w:t>
      </w:r>
      <w:r w:rsidR="005F2465" w:rsidRPr="005F2465">
        <w:rPr>
          <w:i/>
          <w:iCs/>
        </w:rPr>
        <w:t>ṭ</w:t>
      </w:r>
      <w:r w:rsidR="003D3320" w:rsidRPr="005F2465">
        <w:rPr>
          <w:i/>
          <w:iCs/>
        </w:rPr>
        <w:t>icchana</w:t>
      </w:r>
      <w:proofErr w:type="spellEnd"/>
      <w:r w:rsidR="003D3320">
        <w:t xml:space="preserve"> (rec</w:t>
      </w:r>
      <w:r w:rsidR="003F0E7A">
        <w:t>epcionar</w:t>
      </w:r>
      <w:r w:rsidR="003D3320">
        <w:t xml:space="preserve">), </w:t>
      </w:r>
      <w:proofErr w:type="spellStart"/>
      <w:r w:rsidR="003D3320" w:rsidRPr="00FC3283">
        <w:rPr>
          <w:i/>
          <w:iCs/>
        </w:rPr>
        <w:t>sant</w:t>
      </w:r>
      <w:r w:rsidR="00FC3283" w:rsidRPr="00FC3283">
        <w:rPr>
          <w:i/>
          <w:iCs/>
        </w:rPr>
        <w:t>ī</w:t>
      </w:r>
      <w:r w:rsidR="003D3320" w:rsidRPr="00FC3283">
        <w:rPr>
          <w:i/>
          <w:iCs/>
        </w:rPr>
        <w:t>ra</w:t>
      </w:r>
      <w:r w:rsidR="00FC3283" w:rsidRPr="00FC3283">
        <w:rPr>
          <w:i/>
          <w:iCs/>
        </w:rPr>
        <w:t>ṇ</w:t>
      </w:r>
      <w:r w:rsidR="003D3320" w:rsidRPr="00FC3283">
        <w:rPr>
          <w:i/>
          <w:iCs/>
        </w:rPr>
        <w:t>a</w:t>
      </w:r>
      <w:proofErr w:type="spellEnd"/>
      <w:r w:rsidR="003D3320">
        <w:t xml:space="preserve"> (investigar), </w:t>
      </w:r>
      <w:proofErr w:type="spellStart"/>
      <w:r w:rsidR="003D3320" w:rsidRPr="00FC3283">
        <w:rPr>
          <w:i/>
          <w:iCs/>
        </w:rPr>
        <w:t>vo</w:t>
      </w:r>
      <w:r w:rsidR="00FC3283" w:rsidRPr="00FC3283">
        <w:rPr>
          <w:i/>
          <w:iCs/>
        </w:rPr>
        <w:t>ṭṭ</w:t>
      </w:r>
      <w:r w:rsidR="003D3320" w:rsidRPr="00FC3283">
        <w:rPr>
          <w:i/>
          <w:iCs/>
        </w:rPr>
        <w:t>hapana</w:t>
      </w:r>
      <w:proofErr w:type="spellEnd"/>
      <w:r w:rsidR="003D3320">
        <w:t xml:space="preserve"> (determinar) y </w:t>
      </w:r>
      <w:proofErr w:type="spellStart"/>
      <w:r w:rsidR="003D3320" w:rsidRPr="00FC3283">
        <w:rPr>
          <w:i/>
          <w:iCs/>
        </w:rPr>
        <w:t>tad</w:t>
      </w:r>
      <w:r w:rsidR="00FC3283" w:rsidRPr="00FC3283">
        <w:rPr>
          <w:i/>
          <w:iCs/>
        </w:rPr>
        <w:t>ā</w:t>
      </w:r>
      <w:r w:rsidR="003D3320" w:rsidRPr="00FC3283">
        <w:rPr>
          <w:i/>
          <w:iCs/>
        </w:rPr>
        <w:t>ramma</w:t>
      </w:r>
      <w:r w:rsidR="00FC3283" w:rsidRPr="00FC3283">
        <w:rPr>
          <w:i/>
          <w:iCs/>
        </w:rPr>
        <w:t>ṇ</w:t>
      </w:r>
      <w:r w:rsidR="003D3320" w:rsidRPr="00FC3283">
        <w:rPr>
          <w:i/>
          <w:iCs/>
        </w:rPr>
        <w:t>a</w:t>
      </w:r>
      <w:proofErr w:type="spellEnd"/>
      <w:r w:rsidR="003D3320">
        <w:t xml:space="preserve"> (registr</w:t>
      </w:r>
      <w:r w:rsidR="003F0E7A">
        <w:t>ar</w:t>
      </w:r>
      <w:r w:rsidR="003D3320">
        <w:t xml:space="preserve">) aparecen solo en los Comentarios. </w:t>
      </w:r>
      <w:proofErr w:type="spellStart"/>
      <w:r w:rsidR="003D3320" w:rsidRPr="00FC3283">
        <w:rPr>
          <w:i/>
          <w:iCs/>
        </w:rPr>
        <w:t>Javana</w:t>
      </w:r>
      <w:proofErr w:type="spellEnd"/>
      <w:r w:rsidR="003D3320">
        <w:t xml:space="preserve"> (impulsión): </w:t>
      </w:r>
      <w:proofErr w:type="spellStart"/>
      <w:r w:rsidR="003D3320" w:rsidRPr="009A303D">
        <w:rPr>
          <w:i/>
          <w:iCs/>
        </w:rPr>
        <w:t>Pa</w:t>
      </w:r>
      <w:r w:rsidR="009A303D" w:rsidRPr="009A303D">
        <w:rPr>
          <w:i/>
          <w:iCs/>
        </w:rPr>
        <w:t>ṭ</w:t>
      </w:r>
      <w:r w:rsidR="003D3320" w:rsidRPr="009A303D">
        <w:rPr>
          <w:i/>
          <w:iCs/>
        </w:rPr>
        <w:t>is</w:t>
      </w:r>
      <w:proofErr w:type="spellEnd"/>
      <w:r w:rsidR="003D3320">
        <w:t xml:space="preserve"> II 73, 76. Las siguientes referencias también pueden anotarse aquí: </w:t>
      </w:r>
      <w:proofErr w:type="spellStart"/>
      <w:r w:rsidR="003D3320" w:rsidRPr="009A303D">
        <w:rPr>
          <w:i/>
          <w:iCs/>
        </w:rPr>
        <w:t>anuloma</w:t>
      </w:r>
      <w:proofErr w:type="spellEnd"/>
      <w:r w:rsidR="003D3320">
        <w:t xml:space="preserve"> (conformidad), </w:t>
      </w:r>
      <w:proofErr w:type="spellStart"/>
      <w:r w:rsidR="003D3320">
        <w:t>Pa</w:t>
      </w:r>
      <w:r w:rsidR="009A303D">
        <w:t>ṭṭ</w:t>
      </w:r>
      <w:r w:rsidR="003D3320">
        <w:t>h</w:t>
      </w:r>
      <w:proofErr w:type="spellEnd"/>
      <w:r w:rsidR="003D3320">
        <w:t xml:space="preserve"> I 325. </w:t>
      </w:r>
      <w:r w:rsidR="003D3320" w:rsidRPr="003F0E7A">
        <w:rPr>
          <w:i/>
          <w:iCs/>
        </w:rPr>
        <w:t>Cuti-</w:t>
      </w:r>
      <w:proofErr w:type="spellStart"/>
      <w:r w:rsidR="003D3320" w:rsidRPr="003F0E7A">
        <w:rPr>
          <w:i/>
          <w:iCs/>
        </w:rPr>
        <w:t>citta</w:t>
      </w:r>
      <w:proofErr w:type="spellEnd"/>
      <w:r w:rsidR="003D3320">
        <w:t xml:space="preserve"> (con</w:t>
      </w:r>
      <w:r w:rsidR="003F0E7A">
        <w:t>s</w:t>
      </w:r>
      <w:r w:rsidR="003D3320">
        <w:t xml:space="preserve">ciencia de la muerte), </w:t>
      </w:r>
      <w:proofErr w:type="spellStart"/>
      <w:r w:rsidR="003D3320">
        <w:t>Pa</w:t>
      </w:r>
      <w:r w:rsidR="009A303D">
        <w:t>ṭṭ</w:t>
      </w:r>
      <w:r w:rsidR="003D3320">
        <w:t>h</w:t>
      </w:r>
      <w:proofErr w:type="spellEnd"/>
      <w:r w:rsidR="003D3320">
        <w:t xml:space="preserve"> I 324. </w:t>
      </w:r>
      <w:proofErr w:type="spellStart"/>
      <w:r w:rsidR="003D3320" w:rsidRPr="009A303D">
        <w:rPr>
          <w:i/>
          <w:iCs/>
        </w:rPr>
        <w:t>Pa</w:t>
      </w:r>
      <w:r w:rsidR="009A303D" w:rsidRPr="009A303D">
        <w:rPr>
          <w:i/>
          <w:iCs/>
        </w:rPr>
        <w:t>ṭ</w:t>
      </w:r>
      <w:r w:rsidR="003D3320" w:rsidRPr="009A303D">
        <w:rPr>
          <w:i/>
          <w:iCs/>
        </w:rPr>
        <w:t>isandhi</w:t>
      </w:r>
      <w:proofErr w:type="spellEnd"/>
      <w:r w:rsidR="003D3320">
        <w:t xml:space="preserve"> (</w:t>
      </w:r>
      <w:r w:rsidR="009E1AFF" w:rsidRPr="00C71EC8">
        <w:t>vín</w:t>
      </w:r>
      <w:r w:rsidR="009E1AFF">
        <w:t>culo</w:t>
      </w:r>
      <w:r w:rsidR="009E1AFF" w:rsidRPr="00C71EC8">
        <w:t>–</w:t>
      </w:r>
      <w:r w:rsidR="009E1AFF">
        <w:t>de</w:t>
      </w:r>
      <w:r w:rsidR="009E1AFF" w:rsidRPr="00C71EC8">
        <w:t>–</w:t>
      </w:r>
      <w:r w:rsidR="009E1AFF">
        <w:t>renacimiento</w:t>
      </w:r>
      <w:r w:rsidR="003D3320">
        <w:t xml:space="preserve">), </w:t>
      </w:r>
      <w:proofErr w:type="spellStart"/>
      <w:r w:rsidR="003D3320">
        <w:t>Vism-mh</w:t>
      </w:r>
      <w:r w:rsidR="009A303D">
        <w:t>ṭ</w:t>
      </w:r>
      <w:proofErr w:type="spellEnd"/>
      <w:r w:rsidR="003D3320">
        <w:t xml:space="preserve"> </w:t>
      </w:r>
      <w:proofErr w:type="gramStart"/>
      <w:r w:rsidR="003D3320">
        <w:t>1 ,</w:t>
      </w:r>
      <w:proofErr w:type="gramEnd"/>
      <w:r w:rsidR="003D3320">
        <w:t xml:space="preserve"> 320, etc.; </w:t>
      </w:r>
      <w:proofErr w:type="spellStart"/>
      <w:r w:rsidR="003D3320" w:rsidRPr="009A303D">
        <w:rPr>
          <w:i/>
          <w:iCs/>
        </w:rPr>
        <w:t>Pa</w:t>
      </w:r>
      <w:r w:rsidR="009A303D" w:rsidRPr="009A303D">
        <w:rPr>
          <w:i/>
          <w:iCs/>
        </w:rPr>
        <w:t>ṭ</w:t>
      </w:r>
      <w:r w:rsidR="003D3320" w:rsidRPr="009A303D">
        <w:rPr>
          <w:i/>
          <w:iCs/>
        </w:rPr>
        <w:t>is</w:t>
      </w:r>
      <w:proofErr w:type="spellEnd"/>
      <w:r w:rsidR="003D3320">
        <w:t xml:space="preserve"> II 72, etc.</w:t>
      </w:r>
    </w:p>
    <w:p w14:paraId="2A501525" w14:textId="77777777" w:rsidR="00176B3F" w:rsidRDefault="00176B3F">
      <w:pPr>
        <w:tabs>
          <w:tab w:val="clear" w:pos="425"/>
        </w:tabs>
        <w:spacing w:after="160"/>
      </w:pPr>
      <w:r>
        <w:br w:type="page"/>
      </w:r>
    </w:p>
    <w:p w14:paraId="12B206AC" w14:textId="1471B6C3" w:rsidR="00714A5C" w:rsidRDefault="00714A5C" w:rsidP="00714A5C">
      <w:pPr>
        <w:pStyle w:val="VersoIngls01Sangria"/>
      </w:pPr>
      <w:r>
        <w:lastRenderedPageBreak/>
        <w:t>Así</w:t>
      </w:r>
      <w:r w:rsidR="008D5E1C">
        <w:t>, hay que preservar el signo</w:t>
      </w:r>
      <w:r>
        <w:t xml:space="preserve">, </w:t>
      </w:r>
      <w:r w:rsidR="008D5E1C">
        <w:t xml:space="preserve">sin contar </w:t>
      </w:r>
      <w:r>
        <w:t>el costo,</w:t>
      </w:r>
    </w:p>
    <w:p w14:paraId="52B6A171" w14:textId="4CC16015" w:rsidR="00714A5C" w:rsidRDefault="00714A5C" w:rsidP="00714A5C">
      <w:pPr>
        <w:pStyle w:val="VersoIngls01Sangria"/>
      </w:pPr>
      <w:r>
        <w:t>Y</w:t>
      </w:r>
      <w:r w:rsidR="008D5E1C">
        <w:t>a</w:t>
      </w:r>
      <w:r>
        <w:t xml:space="preserve"> que </w:t>
      </w:r>
      <w:r w:rsidR="008D5E1C">
        <w:t xml:space="preserve">lo que </w:t>
      </w:r>
      <w:r>
        <w:t xml:space="preserve">se </w:t>
      </w:r>
      <w:r w:rsidR="00ED0A8B">
        <w:t>obtenga</w:t>
      </w:r>
      <w:r>
        <w:t xml:space="preserve"> no se perde</w:t>
      </w:r>
      <w:r w:rsidR="008D5E1C">
        <w:t>rá</w:t>
      </w:r>
      <w:r>
        <w:t>;</w:t>
      </w:r>
    </w:p>
    <w:p w14:paraId="435C454A" w14:textId="37E5765F" w:rsidR="00714A5C" w:rsidRDefault="00714A5C" w:rsidP="00714A5C">
      <w:pPr>
        <w:pStyle w:val="VersoIngls01Sangria"/>
      </w:pPr>
      <w:r>
        <w:t xml:space="preserve">Quien no </w:t>
      </w:r>
      <w:r w:rsidR="00ED3219">
        <w:t>mantenga esta vigilancia sobre el signo</w:t>
      </w:r>
    </w:p>
    <w:p w14:paraId="45DB0E89" w14:textId="4A1FE697" w:rsidR="00714A5C" w:rsidRDefault="00ED3219" w:rsidP="00714A5C">
      <w:pPr>
        <w:pStyle w:val="VersoIngls01Sangria"/>
        <w:spacing w:after="100"/>
        <w:ind w:left="1418"/>
      </w:pPr>
      <w:r>
        <w:t>Lo p</w:t>
      </w:r>
      <w:r w:rsidR="00714A5C">
        <w:t xml:space="preserve">erderá cada vez que </w:t>
      </w:r>
      <w:r w:rsidR="00BF23D5">
        <w:t xml:space="preserve">lo </w:t>
      </w:r>
      <w:r w:rsidR="00714A5C">
        <w:t>ha</w:t>
      </w:r>
      <w:r>
        <w:t>ya</w:t>
      </w:r>
      <w:r w:rsidR="00714A5C">
        <w:t xml:space="preserve"> </w:t>
      </w:r>
      <w:r>
        <w:t>obtenido</w:t>
      </w:r>
      <w:r w:rsidR="00714A5C">
        <w:t>. [127]</w:t>
      </w:r>
    </w:p>
    <w:p w14:paraId="7FC971C3" w14:textId="4F8622BE" w:rsidR="00714A5C" w:rsidRDefault="00714A5C" w:rsidP="00714A5C">
      <w:r>
        <w:t xml:space="preserve">35. </w:t>
      </w:r>
      <w:r>
        <w:tab/>
        <w:t xml:space="preserve">Aquí, la forma de </w:t>
      </w:r>
      <w:r w:rsidR="00ED3219">
        <w:t>vigilarlo</w:t>
      </w:r>
      <w:r>
        <w:t xml:space="preserve"> </w:t>
      </w:r>
      <w:r w:rsidR="00802C80">
        <w:t xml:space="preserve">será </w:t>
      </w:r>
      <w:r w:rsidR="00EC028E">
        <w:t>é</w:t>
      </w:r>
      <w:r>
        <w:t>sta:</w:t>
      </w:r>
    </w:p>
    <w:p w14:paraId="6E1E376E" w14:textId="6D609EE4" w:rsidR="00714A5C" w:rsidRDefault="00714A5C" w:rsidP="00714A5C">
      <w:pPr>
        <w:pStyle w:val="VersoIngls01Sangria"/>
      </w:pPr>
      <w:r>
        <w:t xml:space="preserve">(1) </w:t>
      </w:r>
      <w:r w:rsidR="00EC028E">
        <w:t>vivienda</w:t>
      </w:r>
      <w:r>
        <w:t xml:space="preserve">, (2) recurso, (3) </w:t>
      </w:r>
      <w:r w:rsidR="00EC028E">
        <w:t>lenguaje</w:t>
      </w:r>
      <w:r>
        <w:t>, (4) y persona,</w:t>
      </w:r>
    </w:p>
    <w:p w14:paraId="18415EE4" w14:textId="5DFCD1A9" w:rsidR="00714A5C" w:rsidRDefault="00714A5C" w:rsidP="00714A5C">
      <w:pPr>
        <w:pStyle w:val="VersoIngls01Sangria"/>
      </w:pPr>
      <w:r>
        <w:t>(5) comida, (6) clima, (7) y postura—</w:t>
      </w:r>
    </w:p>
    <w:p w14:paraId="1EE201E9" w14:textId="718F7F56" w:rsidR="00714A5C" w:rsidRDefault="00714A5C" w:rsidP="00714A5C">
      <w:pPr>
        <w:pStyle w:val="VersoIngls01Sangria"/>
        <w:spacing w:after="100"/>
        <w:ind w:left="1418"/>
      </w:pPr>
      <w:r>
        <w:t>Evite estos siete tipos diferentes</w:t>
      </w:r>
      <w:r w:rsidR="00CF155A">
        <w:t xml:space="preserve"> </w:t>
      </w:r>
      <w:r w:rsidR="008F6932">
        <w:t>de condiciones</w:t>
      </w:r>
    </w:p>
    <w:p w14:paraId="5F6FFA25" w14:textId="77777777" w:rsidR="00714A5C" w:rsidRDefault="00714A5C" w:rsidP="00714A5C">
      <w:pPr>
        <w:pStyle w:val="VersoIngls01Sangria"/>
      </w:pPr>
      <w:r>
        <w:t>Siempre que se considere inadecuado.</w:t>
      </w:r>
    </w:p>
    <w:p w14:paraId="65DC479D" w14:textId="366F2AE4" w:rsidR="00714A5C" w:rsidRDefault="007D0938" w:rsidP="00714A5C">
      <w:pPr>
        <w:pStyle w:val="VersoIngls01Sangria"/>
      </w:pPr>
      <w:r>
        <w:t>Y</w:t>
      </w:r>
      <w:r w:rsidR="00714A5C">
        <w:t xml:space="preserve"> cultiv</w:t>
      </w:r>
      <w:r>
        <w:t>e</w:t>
      </w:r>
      <w:r w:rsidR="00714A5C">
        <w:t xml:space="preserve"> lo </w:t>
      </w:r>
      <w:r>
        <w:t xml:space="preserve">que sea </w:t>
      </w:r>
      <w:r w:rsidR="00714A5C">
        <w:t>adecuado;</w:t>
      </w:r>
    </w:p>
    <w:p w14:paraId="4EB43AA2" w14:textId="765B007A" w:rsidR="00714A5C" w:rsidRDefault="00812436" w:rsidP="00714A5C">
      <w:pPr>
        <w:pStyle w:val="VersoIngls01Sangria"/>
      </w:pPr>
      <w:r>
        <w:t xml:space="preserve">Ya que al hacerlo </w:t>
      </w:r>
      <w:r w:rsidR="007329DD">
        <w:t xml:space="preserve">se encontrará </w:t>
      </w:r>
      <w:r w:rsidR="00714A5C">
        <w:t xml:space="preserve">una oportunidad </w:t>
      </w:r>
    </w:p>
    <w:p w14:paraId="733A4891" w14:textId="61CD10D9" w:rsidR="00714A5C" w:rsidRDefault="007329DD" w:rsidP="00714A5C">
      <w:pPr>
        <w:pStyle w:val="VersoIngls01Sangria"/>
      </w:pPr>
      <w:r>
        <w:t>Y n</w:t>
      </w:r>
      <w:r w:rsidR="00714A5C">
        <w:t xml:space="preserve">o </w:t>
      </w:r>
      <w:r>
        <w:t xml:space="preserve">requerirá </w:t>
      </w:r>
      <w:r w:rsidR="00714A5C">
        <w:t xml:space="preserve">esperar demasiado </w:t>
      </w:r>
      <w:r>
        <w:t xml:space="preserve">tiempo </w:t>
      </w:r>
      <w:r w:rsidR="00714A5C">
        <w:t>hasta que</w:t>
      </w:r>
    </w:p>
    <w:p w14:paraId="1DFEDC36" w14:textId="151E07DE" w:rsidR="00714A5C" w:rsidRDefault="00714A5C" w:rsidP="00714A5C">
      <w:pPr>
        <w:pStyle w:val="VersoIngls01Sangria"/>
        <w:spacing w:after="100"/>
        <w:ind w:left="1418"/>
      </w:pPr>
      <w:r>
        <w:t xml:space="preserve">La absorción </w:t>
      </w:r>
      <w:r w:rsidR="007329DD">
        <w:t xml:space="preserve">alcance </w:t>
      </w:r>
      <w:r>
        <w:t xml:space="preserve">su </w:t>
      </w:r>
      <w:r w:rsidR="007329DD">
        <w:t>objetivo</w:t>
      </w:r>
      <w:r>
        <w:t>.</w:t>
      </w:r>
    </w:p>
    <w:p w14:paraId="5552CF12" w14:textId="16FBDC9F" w:rsidR="00714A5C" w:rsidRDefault="00714A5C" w:rsidP="00714A5C">
      <w:r>
        <w:t xml:space="preserve">36. </w:t>
      </w:r>
      <w:r>
        <w:tab/>
      </w:r>
      <w:r w:rsidRPr="002E0B5C">
        <w:rPr>
          <w:i/>
          <w:iCs/>
        </w:rPr>
        <w:t>1</w:t>
      </w:r>
      <w:r>
        <w:t xml:space="preserve">. Aquí, una </w:t>
      </w:r>
      <w:r w:rsidR="00CE31D7" w:rsidRPr="00CE31D7">
        <w:rPr>
          <w:i/>
          <w:iCs/>
        </w:rPr>
        <w:t xml:space="preserve">vivienda </w:t>
      </w:r>
      <w:r w:rsidR="007329DD">
        <w:t>será</w:t>
      </w:r>
      <w:r>
        <w:t xml:space="preserve"> inadecuada si, mientras </w:t>
      </w:r>
      <w:r w:rsidR="00314477">
        <w:t xml:space="preserve">se </w:t>
      </w:r>
      <w:r w:rsidR="008F6932">
        <w:t>habite</w:t>
      </w:r>
      <w:r>
        <w:t xml:space="preserve"> en ella el signo</w:t>
      </w:r>
      <w:r w:rsidR="00CE7183">
        <w:t>,</w:t>
      </w:r>
      <w:r>
        <w:t xml:space="preserve"> </w:t>
      </w:r>
      <w:r w:rsidR="00314477">
        <w:t xml:space="preserve">que </w:t>
      </w:r>
      <w:r>
        <w:t xml:space="preserve">no </w:t>
      </w:r>
      <w:r w:rsidR="00314477">
        <w:t xml:space="preserve">haya </w:t>
      </w:r>
      <w:r>
        <w:t>surgido</w:t>
      </w:r>
      <w:r w:rsidR="00CE7183">
        <w:t>,</w:t>
      </w:r>
      <w:r>
        <w:t xml:space="preserve"> no sur</w:t>
      </w:r>
      <w:r w:rsidR="0089462E">
        <w:t>ja</w:t>
      </w:r>
      <w:r>
        <w:t xml:space="preserve"> en él o se pierd</w:t>
      </w:r>
      <w:r w:rsidR="008A0CBC">
        <w:t>a</w:t>
      </w:r>
      <w:r>
        <w:t xml:space="preserve"> </w:t>
      </w:r>
      <w:r w:rsidR="009B6A4A">
        <w:t>si</w:t>
      </w:r>
      <w:r>
        <w:t xml:space="preserve"> sur</w:t>
      </w:r>
      <w:r w:rsidR="009B6A4A">
        <w:t>giese</w:t>
      </w:r>
      <w:r>
        <w:t>, y donde la atención no establecida no logr</w:t>
      </w:r>
      <w:r w:rsidR="00314477">
        <w:t>e</w:t>
      </w:r>
      <w:r>
        <w:t xml:space="preserve"> establecerse y la mente no concentrada no logr</w:t>
      </w:r>
      <w:r w:rsidR="00314477">
        <w:t>e</w:t>
      </w:r>
      <w:r>
        <w:t xml:space="preserve"> concentrarse. </w:t>
      </w:r>
      <w:r w:rsidR="003F0BE6">
        <w:t xml:space="preserve">Será </w:t>
      </w:r>
      <w:r>
        <w:t>adecuad</w:t>
      </w:r>
      <w:r w:rsidR="009B6A4A">
        <w:t>a</w:t>
      </w:r>
      <w:r>
        <w:t xml:space="preserve"> </w:t>
      </w:r>
      <w:r w:rsidR="003F0BE6">
        <w:t>aquella vivie</w:t>
      </w:r>
      <w:r w:rsidR="00440159">
        <w:t>n</w:t>
      </w:r>
      <w:r w:rsidR="003F0BE6">
        <w:t xml:space="preserve">da donde </w:t>
      </w:r>
      <w:r>
        <w:t>sur</w:t>
      </w:r>
      <w:r w:rsidR="003F0BE6">
        <w:t>ja</w:t>
      </w:r>
      <w:r>
        <w:t xml:space="preserve"> </w:t>
      </w:r>
      <w:r w:rsidR="009B6A4A">
        <w:t>el signo</w:t>
      </w:r>
      <w:r>
        <w:t xml:space="preserve"> y se confirm</w:t>
      </w:r>
      <w:r w:rsidR="003F0BE6">
        <w:t>e</w:t>
      </w:r>
      <w:r>
        <w:t>, en l</w:t>
      </w:r>
      <w:r w:rsidR="00440159">
        <w:t>a</w:t>
      </w:r>
      <w:r>
        <w:t xml:space="preserve"> que la atención se estable</w:t>
      </w:r>
      <w:r w:rsidR="00440159">
        <w:t>zca</w:t>
      </w:r>
      <w:r>
        <w:t xml:space="preserve"> y la mente se concentr</w:t>
      </w:r>
      <w:r w:rsidR="00440159">
        <w:t>e</w:t>
      </w:r>
      <w:r>
        <w:t xml:space="preserve">, como en el </w:t>
      </w:r>
      <w:r w:rsidR="00861748">
        <w:t>caso del Venerable</w:t>
      </w:r>
      <w:r>
        <w:t xml:space="preserve"> </w:t>
      </w:r>
      <w:proofErr w:type="spellStart"/>
      <w:r>
        <w:t>Padhāniya-Tissa</w:t>
      </w:r>
      <w:proofErr w:type="spellEnd"/>
      <w:r>
        <w:t xml:space="preserve">, residente </w:t>
      </w:r>
      <w:r w:rsidR="009B6A4A">
        <w:t>de</w:t>
      </w:r>
      <w:r>
        <w:t xml:space="preserve"> </w:t>
      </w:r>
      <w:proofErr w:type="spellStart"/>
      <w:r>
        <w:t>Nāgapabbata</w:t>
      </w:r>
      <w:proofErr w:type="spellEnd"/>
      <w:r>
        <w:t xml:space="preserve">. Entonces, si un monasterio tiene muchas </w:t>
      </w:r>
      <w:r w:rsidR="00861748">
        <w:t>residencias</w:t>
      </w:r>
      <w:r>
        <w:t xml:space="preserve">, </w:t>
      </w:r>
      <w:r w:rsidR="00861748">
        <w:t>podrá</w:t>
      </w:r>
      <w:r>
        <w:t xml:space="preserve"> probarlas una por una, viviendo en cada una durante tres días, y </w:t>
      </w:r>
      <w:r w:rsidR="009B6A4A">
        <w:t xml:space="preserve">podrá </w:t>
      </w:r>
      <w:r>
        <w:t>quedarse donde su mente se unifi</w:t>
      </w:r>
      <w:r w:rsidR="00861748">
        <w:t>que</w:t>
      </w:r>
      <w:r>
        <w:t xml:space="preserve">. Porque fue debido a la idoneidad de la </w:t>
      </w:r>
      <w:r w:rsidR="00145225">
        <w:t xml:space="preserve">vivienda </w:t>
      </w:r>
      <w:r>
        <w:t xml:space="preserve">que quinientos </w:t>
      </w:r>
      <w:proofErr w:type="spellStart"/>
      <w:r w:rsidR="00057BF4" w:rsidRPr="00057BF4">
        <w:rPr>
          <w:i/>
          <w:iCs/>
        </w:rPr>
        <w:t>bhikkhu</w:t>
      </w:r>
      <w:r w:rsidRPr="009A303D">
        <w:rPr>
          <w:i/>
          <w:iCs/>
        </w:rPr>
        <w:t>s</w:t>
      </w:r>
      <w:proofErr w:type="spellEnd"/>
      <w:r>
        <w:t xml:space="preserve"> alcanzaron el estado de </w:t>
      </w:r>
      <w:r w:rsidR="00057BF4" w:rsidRPr="00057BF4">
        <w:rPr>
          <w:i/>
          <w:iCs/>
        </w:rPr>
        <w:t>Arahant</w:t>
      </w:r>
      <w:r>
        <w:t xml:space="preserve"> mientras aún vivían en la Cueva de los </w:t>
      </w:r>
      <w:proofErr w:type="spellStart"/>
      <w:r w:rsidRPr="009A303D">
        <w:rPr>
          <w:i/>
          <w:iCs/>
        </w:rPr>
        <w:t>Nāga</w:t>
      </w:r>
      <w:r w:rsidR="009A303D">
        <w:rPr>
          <w:i/>
          <w:iCs/>
        </w:rPr>
        <w:t>s</w:t>
      </w:r>
      <w:proofErr w:type="spellEnd"/>
      <w:r>
        <w:t xml:space="preserve"> Menores (</w:t>
      </w:r>
      <w:proofErr w:type="spellStart"/>
      <w:r w:rsidRPr="009A303D">
        <w:rPr>
          <w:i/>
          <w:iCs/>
        </w:rPr>
        <w:t>Cūḷa-nāga-leṇa</w:t>
      </w:r>
      <w:proofErr w:type="spellEnd"/>
      <w:r>
        <w:t xml:space="preserve">) en la isla de </w:t>
      </w:r>
      <w:proofErr w:type="spellStart"/>
      <w:r>
        <w:t>Tambapaṇṇi</w:t>
      </w:r>
      <w:proofErr w:type="spellEnd"/>
      <w:r>
        <w:t xml:space="preserve"> (Sri Lanka) después de aprehender allí su objeto de meditación. </w:t>
      </w:r>
      <w:r w:rsidR="00145225">
        <w:t xml:space="preserve">Sin </w:t>
      </w:r>
      <w:r>
        <w:t>contar a los que ha</w:t>
      </w:r>
      <w:r w:rsidR="00145225">
        <w:t>ya</w:t>
      </w:r>
      <w:r>
        <w:t xml:space="preserve">n entrado </w:t>
      </w:r>
      <w:r w:rsidR="00680CD2">
        <w:t>a</w:t>
      </w:r>
      <w:r>
        <w:t xml:space="preserve"> la corriente</w:t>
      </w:r>
      <w:r w:rsidR="005B5738">
        <w:t xml:space="preserve"> </w:t>
      </w:r>
      <w:r>
        <w:t>que ha</w:t>
      </w:r>
      <w:r w:rsidR="00DF3343">
        <w:t>ya</w:t>
      </w:r>
      <w:r>
        <w:t xml:space="preserve">n alcanzado el estado de </w:t>
      </w:r>
      <w:r w:rsidR="00057BF4" w:rsidRPr="00057BF4">
        <w:rPr>
          <w:i/>
          <w:iCs/>
        </w:rPr>
        <w:t>Arahant</w:t>
      </w:r>
      <w:r>
        <w:t xml:space="preserve"> después de haber alcanzado el </w:t>
      </w:r>
      <w:r w:rsidR="00DF3343">
        <w:t xml:space="preserve">primer y </w:t>
      </w:r>
      <w:r>
        <w:t xml:space="preserve">noble plano en otro lugar; así también </w:t>
      </w:r>
      <w:r w:rsidR="00530742">
        <w:t xml:space="preserve">ocurrió </w:t>
      </w:r>
      <w:r>
        <w:t xml:space="preserve">en el monasterio </w:t>
      </w:r>
      <w:proofErr w:type="spellStart"/>
      <w:r>
        <w:t>Cittalapabbata</w:t>
      </w:r>
      <w:proofErr w:type="spellEnd"/>
      <w:r>
        <w:t>, y otros.</w:t>
      </w:r>
    </w:p>
    <w:p w14:paraId="64DEBC01" w14:textId="78A67A72" w:rsidR="00714A5C" w:rsidRDefault="00714A5C" w:rsidP="00714A5C">
      <w:r>
        <w:t xml:space="preserve">37. </w:t>
      </w:r>
      <w:r>
        <w:tab/>
      </w:r>
      <w:r w:rsidRPr="002E0B5C">
        <w:rPr>
          <w:i/>
          <w:iCs/>
        </w:rPr>
        <w:t>2</w:t>
      </w:r>
      <w:r>
        <w:t xml:space="preserve">. Una aldea para </w:t>
      </w:r>
      <w:r w:rsidR="00530742">
        <w:t xml:space="preserve">la obtención de </w:t>
      </w:r>
      <w:r w:rsidR="005B086F" w:rsidRPr="007E13B1">
        <w:rPr>
          <w:i/>
          <w:iCs/>
        </w:rPr>
        <w:t>ofrendas</w:t>
      </w:r>
      <w:r w:rsidR="005B086F">
        <w:t xml:space="preserve"> </w:t>
      </w:r>
      <w:r>
        <w:t>que se encuentr</w:t>
      </w:r>
      <w:r w:rsidR="005B086F">
        <w:t>e</w:t>
      </w:r>
      <w:r>
        <w:t xml:space="preserve"> al norte o al sur de</w:t>
      </w:r>
      <w:r w:rsidR="005B086F">
        <w:t xml:space="preserve"> </w:t>
      </w:r>
      <w:r>
        <w:t>l</w:t>
      </w:r>
      <w:r w:rsidR="005B086F">
        <w:t>a</w:t>
      </w:r>
      <w:r>
        <w:t xml:space="preserve"> </w:t>
      </w:r>
      <w:r w:rsidR="005B086F">
        <w:t>vivienda</w:t>
      </w:r>
      <w:r>
        <w:t xml:space="preserve">, no muy lejos, dentro de un </w:t>
      </w:r>
      <w:proofErr w:type="spellStart"/>
      <w:r w:rsidRPr="009A303D">
        <w:rPr>
          <w:i/>
          <w:iCs/>
        </w:rPr>
        <w:t>kosa</w:t>
      </w:r>
      <w:proofErr w:type="spellEnd"/>
      <w:r>
        <w:t xml:space="preserve"> y medi</w:t>
      </w:r>
      <w:r w:rsidR="005B086F">
        <w:t>o de distancia</w:t>
      </w:r>
      <w:r>
        <w:t>, y donde se obten</w:t>
      </w:r>
      <w:r w:rsidR="005B086F">
        <w:t>ga</w:t>
      </w:r>
      <w:r>
        <w:t xml:space="preserve">n fácilmente </w:t>
      </w:r>
      <w:r w:rsidR="005B086F">
        <w:t xml:space="preserve">ofrendas de </w:t>
      </w:r>
      <w:r>
        <w:t xml:space="preserve">alimentos, </w:t>
      </w:r>
      <w:r w:rsidR="005B086F">
        <w:t xml:space="preserve">será </w:t>
      </w:r>
      <w:r>
        <w:t xml:space="preserve">adecuada. El tipo </w:t>
      </w:r>
      <w:r w:rsidR="00DC3C4C">
        <w:t xml:space="preserve">de residencia </w:t>
      </w:r>
      <w:r>
        <w:t xml:space="preserve">opuesto no </w:t>
      </w:r>
      <w:r w:rsidR="005B086F">
        <w:t xml:space="preserve">será </w:t>
      </w:r>
      <w:r>
        <w:t>adecuad</w:t>
      </w:r>
      <w:r w:rsidR="007544E2">
        <w:t>o</w:t>
      </w:r>
      <w:r>
        <w:t>.</w:t>
      </w:r>
      <w:r w:rsidRPr="00F84E21">
        <w:rPr>
          <w:vertAlign w:val="superscript"/>
        </w:rPr>
        <w:t>14</w:t>
      </w:r>
    </w:p>
    <w:p w14:paraId="4FDF63BB" w14:textId="29ED70C3" w:rsidR="00714A5C" w:rsidRPr="00F84E21" w:rsidRDefault="00714A5C" w:rsidP="00714A5C">
      <w:pPr>
        <w:rPr>
          <w:vertAlign w:val="superscript"/>
        </w:rPr>
      </w:pPr>
      <w:r>
        <w:t xml:space="preserve">38. </w:t>
      </w:r>
      <w:r>
        <w:tab/>
      </w:r>
      <w:r w:rsidRPr="002E0B5C">
        <w:rPr>
          <w:i/>
          <w:iCs/>
        </w:rPr>
        <w:t>3</w:t>
      </w:r>
      <w:r>
        <w:t>.</w:t>
      </w:r>
      <w:r w:rsidR="007F474F">
        <w:t xml:space="preserve"> </w:t>
      </w:r>
      <w:r w:rsidR="00CA72CA">
        <w:t xml:space="preserve">La </w:t>
      </w:r>
      <w:r w:rsidR="00CA72CA">
        <w:rPr>
          <w:i/>
          <w:iCs/>
        </w:rPr>
        <w:t>charla</w:t>
      </w:r>
      <w:r>
        <w:t>: l</w:t>
      </w:r>
      <w:r w:rsidR="00CA72CA">
        <w:t>a</w:t>
      </w:r>
      <w:r>
        <w:t xml:space="preserve"> incluid</w:t>
      </w:r>
      <w:r w:rsidR="00CA72CA">
        <w:t>a</w:t>
      </w:r>
      <w:r>
        <w:t xml:space="preserve"> en los </w:t>
      </w:r>
      <w:r w:rsidR="00770002">
        <w:t>32</w:t>
      </w:r>
      <w:r>
        <w:t xml:space="preserve"> tipos de </w:t>
      </w:r>
      <w:r w:rsidR="00CA72CA">
        <w:t xml:space="preserve">charla </w:t>
      </w:r>
      <w:r>
        <w:t xml:space="preserve">sin </w:t>
      </w:r>
      <w:r w:rsidR="00DC3C4C">
        <w:t>propósito</w:t>
      </w:r>
      <w:r>
        <w:t xml:space="preserve"> </w:t>
      </w:r>
      <w:r w:rsidR="005B086F">
        <w:t xml:space="preserve">será </w:t>
      </w:r>
      <w:r>
        <w:t>inapropiad</w:t>
      </w:r>
      <w:r w:rsidR="00CA72CA">
        <w:t>a</w:t>
      </w:r>
      <w:r>
        <w:t xml:space="preserve">; </w:t>
      </w:r>
      <w:r w:rsidR="00467A32">
        <w:t xml:space="preserve">ya </w:t>
      </w:r>
      <w:r>
        <w:t>que conduc</w:t>
      </w:r>
      <w:r w:rsidR="00DC3C4C">
        <w:t>irá</w:t>
      </w:r>
      <w:r>
        <w:t xml:space="preserve"> a la desaparición del signo. Pero la </w:t>
      </w:r>
      <w:r w:rsidR="00CA72CA">
        <w:t xml:space="preserve">charla </w:t>
      </w:r>
      <w:r>
        <w:t xml:space="preserve">basada en los </w:t>
      </w:r>
      <w:r w:rsidR="006164F1">
        <w:t>10</w:t>
      </w:r>
      <w:r>
        <w:t xml:space="preserve"> ejemplos de </w:t>
      </w:r>
      <w:r w:rsidR="00CA72CA">
        <w:t xml:space="preserve">charlas </w:t>
      </w:r>
      <w:r w:rsidR="00DC3C4C">
        <w:t xml:space="preserve">será </w:t>
      </w:r>
      <w:r>
        <w:t>adecuada, aunque inclus</w:t>
      </w:r>
      <w:r w:rsidR="00DC3C4C">
        <w:t>ive</w:t>
      </w:r>
      <w:r>
        <w:t xml:space="preserve"> e</w:t>
      </w:r>
      <w:r w:rsidR="00DC3C4C">
        <w:t>ll</w:t>
      </w:r>
      <w:r>
        <w:t>o debe</w:t>
      </w:r>
      <w:r w:rsidR="00DC3C4C">
        <w:t>rá</w:t>
      </w:r>
      <w:r>
        <w:t xml:space="preserve"> </w:t>
      </w:r>
      <w:r w:rsidR="00F94363">
        <w:t xml:space="preserve">hacerse </w:t>
      </w:r>
      <w:r>
        <w:t>con moderación.</w:t>
      </w:r>
      <w:r w:rsidRPr="00F84E21">
        <w:rPr>
          <w:vertAlign w:val="superscript"/>
        </w:rPr>
        <w:t>15</w:t>
      </w:r>
    </w:p>
    <w:p w14:paraId="4801CFF4" w14:textId="45EDB7D8" w:rsidR="00714A5C" w:rsidRDefault="00714A5C" w:rsidP="00714A5C">
      <w:r>
        <w:t xml:space="preserve">39. </w:t>
      </w:r>
      <w:r>
        <w:tab/>
      </w:r>
      <w:r w:rsidRPr="002E0B5C">
        <w:rPr>
          <w:i/>
          <w:iCs/>
        </w:rPr>
        <w:t>4</w:t>
      </w:r>
      <w:r>
        <w:t xml:space="preserve">. </w:t>
      </w:r>
      <w:r w:rsidRPr="007F474F">
        <w:rPr>
          <w:i/>
          <w:iCs/>
        </w:rPr>
        <w:t>Persona</w:t>
      </w:r>
      <w:r>
        <w:t xml:space="preserve">: alguien que no </w:t>
      </w:r>
      <w:r w:rsidR="004E335B">
        <w:t xml:space="preserve">se preste </w:t>
      </w:r>
      <w:r>
        <w:t xml:space="preserve">a </w:t>
      </w:r>
      <w:r w:rsidR="004E335B">
        <w:t>un</w:t>
      </w:r>
      <w:r w:rsidR="00F94363">
        <w:t>a</w:t>
      </w:r>
      <w:r w:rsidR="004E335B">
        <w:t xml:space="preserve"> </w:t>
      </w:r>
      <w:r w:rsidR="00F94363">
        <w:t xml:space="preserve">charla </w:t>
      </w:r>
      <w:r>
        <w:t xml:space="preserve">sin </w:t>
      </w:r>
      <w:r w:rsidR="006E1889">
        <w:t>propósito</w:t>
      </w:r>
      <w:r>
        <w:t>, que ten</w:t>
      </w:r>
      <w:r w:rsidR="006E1889">
        <w:t>ga</w:t>
      </w:r>
      <w:r>
        <w:t xml:space="preserve"> cualidades especiales </w:t>
      </w:r>
      <w:r w:rsidR="006E1889">
        <w:t xml:space="preserve">en </w:t>
      </w:r>
      <w:r>
        <w:t xml:space="preserve">la virtud, etc., </w:t>
      </w:r>
      <w:r w:rsidR="00C0784A">
        <w:t xml:space="preserve">alguien que por medio de </w:t>
      </w:r>
      <w:r w:rsidR="00C053B2">
        <w:t>una</w:t>
      </w:r>
      <w:r>
        <w:t xml:space="preserve"> relación </w:t>
      </w:r>
      <w:r w:rsidR="00C053B2">
        <w:t xml:space="preserve">con ella </w:t>
      </w:r>
      <w:r>
        <w:t>la mente no concentrada se vuelv</w:t>
      </w:r>
      <w:r w:rsidR="00C0784A">
        <w:t>a</w:t>
      </w:r>
      <w:r>
        <w:t xml:space="preserve"> concentrada, o la mente </w:t>
      </w:r>
      <w:r w:rsidR="00C0784A">
        <w:t xml:space="preserve">ya </w:t>
      </w:r>
      <w:r>
        <w:t>concentrada se vuelv</w:t>
      </w:r>
      <w:r w:rsidR="00C053B2">
        <w:t>a</w:t>
      </w:r>
      <w:r>
        <w:t xml:space="preserve"> más</w:t>
      </w:r>
      <w:r w:rsidR="00C0784A">
        <w:t xml:space="preserve"> concentrada</w:t>
      </w:r>
      <w:r>
        <w:t xml:space="preserve">, </w:t>
      </w:r>
      <w:r w:rsidR="00C0784A">
        <w:t xml:space="preserve">será </w:t>
      </w:r>
      <w:r>
        <w:t>adecuada. Alguien que est</w:t>
      </w:r>
      <w:r w:rsidR="00C0784A">
        <w:t>é</w:t>
      </w:r>
      <w:r>
        <w:t xml:space="preserve"> muy preocupado por su cuerpo,</w:t>
      </w:r>
      <w:r w:rsidRPr="00F84E21">
        <w:rPr>
          <w:vertAlign w:val="superscript"/>
        </w:rPr>
        <w:t>16</w:t>
      </w:r>
      <w:r>
        <w:t xml:space="preserve"> que </w:t>
      </w:r>
      <w:r w:rsidR="00C0784A">
        <w:t xml:space="preserve">sea </w:t>
      </w:r>
      <w:r>
        <w:t>adicto a</w:t>
      </w:r>
      <w:r w:rsidR="00C053B2">
        <w:t xml:space="preserve"> </w:t>
      </w:r>
      <w:r>
        <w:t>l</w:t>
      </w:r>
      <w:r w:rsidR="00C053B2">
        <w:t>a</w:t>
      </w:r>
      <w:r>
        <w:t xml:space="preserve"> charla sin </w:t>
      </w:r>
      <w:r w:rsidR="00C053B2">
        <w:t>propósito</w:t>
      </w:r>
      <w:r>
        <w:t xml:space="preserve">, no </w:t>
      </w:r>
      <w:r w:rsidR="00C053B2">
        <w:t xml:space="preserve">será </w:t>
      </w:r>
    </w:p>
    <w:p w14:paraId="0893A760" w14:textId="3B42014D" w:rsidR="00714A5C" w:rsidRPr="00714A5C" w:rsidRDefault="00714A5C" w:rsidP="00714A5C">
      <w:pPr>
        <w:pStyle w:val="PiedepginaLegal"/>
        <w:rPr>
          <w:u w:val="single"/>
        </w:rPr>
      </w:pPr>
      <w:r w:rsidRPr="00714A5C">
        <w:rPr>
          <w:u w:val="single"/>
        </w:rPr>
        <w:t xml:space="preserve">                                                                                                                                                      .</w:t>
      </w:r>
    </w:p>
    <w:p w14:paraId="2388B849" w14:textId="6E38CD52" w:rsidR="00714A5C" w:rsidRDefault="00714A5C" w:rsidP="00714A5C">
      <w:pPr>
        <w:pStyle w:val="PiedepginaLegal"/>
      </w:pPr>
      <w:r>
        <w:t xml:space="preserve">14. </w:t>
      </w:r>
      <w:r>
        <w:tab/>
        <w:t xml:space="preserve">Norte o sur para evitar mirar hacia el sol naciente al ir o venir. </w:t>
      </w:r>
      <w:proofErr w:type="spellStart"/>
      <w:r w:rsidRPr="007F474F">
        <w:rPr>
          <w:i/>
          <w:iCs/>
        </w:rPr>
        <w:t>Kosa</w:t>
      </w:r>
      <w:proofErr w:type="spellEnd"/>
      <w:r>
        <w:t xml:space="preserve"> no está en PED; “una </w:t>
      </w:r>
      <w:proofErr w:type="spellStart"/>
      <w:r w:rsidRPr="007F474F">
        <w:rPr>
          <w:i/>
          <w:iCs/>
        </w:rPr>
        <w:t>kosa</w:t>
      </w:r>
      <w:proofErr w:type="spellEnd"/>
      <w:r>
        <w:t xml:space="preserve"> y media = 3.000 arcos” (</w:t>
      </w:r>
      <w:proofErr w:type="spellStart"/>
      <w:r>
        <w:t>Vism-mhṭ</w:t>
      </w:r>
      <w:proofErr w:type="spellEnd"/>
      <w:r>
        <w:t xml:space="preserve"> 123).</w:t>
      </w:r>
    </w:p>
    <w:p w14:paraId="4F129B04" w14:textId="58C732CE" w:rsidR="00714A5C" w:rsidRDefault="00714A5C" w:rsidP="00714A5C">
      <w:pPr>
        <w:pStyle w:val="PiedepginaLegal"/>
      </w:pPr>
      <w:r>
        <w:t xml:space="preserve">15. </w:t>
      </w:r>
      <w:r>
        <w:tab/>
        <w:t xml:space="preserve">En los </w:t>
      </w:r>
      <w:r w:rsidRPr="00E90FE9">
        <w:rPr>
          <w:i/>
          <w:iCs/>
        </w:rPr>
        <w:t>Suttas</w:t>
      </w:r>
      <w:r>
        <w:t xml:space="preserve"> (p. ej., M II 1; III 113), se dan </w:t>
      </w:r>
      <w:r w:rsidR="00E90FE9">
        <w:t xml:space="preserve">26 </w:t>
      </w:r>
      <w:r>
        <w:t xml:space="preserve">tipos de charlas "sin </w:t>
      </w:r>
      <w:r w:rsidR="00E90FE9">
        <w:t>propósito</w:t>
      </w:r>
      <w:r>
        <w:t xml:space="preserve">" (literalmente, "animales"), que el comentario </w:t>
      </w:r>
      <w:r w:rsidR="00E90FE9">
        <w:t xml:space="preserve">las </w:t>
      </w:r>
      <w:r>
        <w:t xml:space="preserve">aumenta a </w:t>
      </w:r>
      <w:r w:rsidR="00E90FE9">
        <w:t xml:space="preserve">32 </w:t>
      </w:r>
      <w:r>
        <w:t>(M-a III 233). L</w:t>
      </w:r>
      <w:r w:rsidR="00355866">
        <w:t>a</w:t>
      </w:r>
      <w:r>
        <w:t xml:space="preserve">s </w:t>
      </w:r>
      <w:r w:rsidR="00E90FE9">
        <w:t xml:space="preserve">10 </w:t>
      </w:r>
      <w:r w:rsidR="00355866">
        <w:t xml:space="preserve">instancias para una </w:t>
      </w:r>
      <w:r w:rsidR="00E90FE9">
        <w:t xml:space="preserve">charla </w:t>
      </w:r>
      <w:r>
        <w:t>son l</w:t>
      </w:r>
      <w:r w:rsidR="00355866">
        <w:t>a</w:t>
      </w:r>
      <w:r>
        <w:t xml:space="preserve">s que se </w:t>
      </w:r>
      <w:r w:rsidR="00355866">
        <w:t xml:space="preserve">exponen </w:t>
      </w:r>
      <w:r>
        <w:t xml:space="preserve">en los </w:t>
      </w:r>
      <w:r w:rsidRPr="00E90FE9">
        <w:rPr>
          <w:i/>
          <w:iCs/>
        </w:rPr>
        <w:t>Suttas</w:t>
      </w:r>
      <w:r>
        <w:t xml:space="preserve"> (por ejemplo, M I 145; III 113). Ver </w:t>
      </w:r>
      <w:r w:rsidR="007C49C4">
        <w:t>Cap</w:t>
      </w:r>
      <w:r>
        <w:t>. I, n.12.</w:t>
      </w:r>
    </w:p>
    <w:p w14:paraId="5051A946" w14:textId="54CDB1BE" w:rsidR="00714A5C" w:rsidRDefault="00714A5C" w:rsidP="00714A5C">
      <w:pPr>
        <w:pStyle w:val="PiedepginaLegal"/>
      </w:pPr>
      <w:r>
        <w:t xml:space="preserve"> 16. “Aquel que se ocupa de ejercitar y cuidar el cuerpo” (</w:t>
      </w:r>
      <w:proofErr w:type="spellStart"/>
      <w:r>
        <w:t>Vism-mhṭ</w:t>
      </w:r>
      <w:proofErr w:type="spellEnd"/>
      <w:r>
        <w:t xml:space="preserve"> 124).</w:t>
      </w:r>
      <w:r>
        <w:br w:type="page"/>
      </w:r>
    </w:p>
    <w:p w14:paraId="2E3043F4" w14:textId="56AE806B" w:rsidR="00AB73A6" w:rsidRDefault="00CC7C39" w:rsidP="00AB73A6">
      <w:r>
        <w:lastRenderedPageBreak/>
        <w:t xml:space="preserve">una persona </w:t>
      </w:r>
      <w:r w:rsidR="00C053B2">
        <w:t xml:space="preserve">adecuada; porque ésta sólo creará disturbios, como </w:t>
      </w:r>
      <w:r w:rsidR="0081078E">
        <w:t xml:space="preserve">el </w:t>
      </w:r>
      <w:r w:rsidR="00AB73A6">
        <w:t xml:space="preserve">agua </w:t>
      </w:r>
      <w:r w:rsidR="0081078E">
        <w:t xml:space="preserve">con barro </w:t>
      </w:r>
      <w:r w:rsidR="00AB73A6">
        <w:t xml:space="preserve">añadida al agua clara. Y fue debido a </w:t>
      </w:r>
      <w:r w:rsidR="005363C8">
        <w:t>alguien así</w:t>
      </w:r>
      <w:r w:rsidR="00AB73A6">
        <w:t xml:space="preserve"> que los logros del joven </w:t>
      </w:r>
      <w:proofErr w:type="spellStart"/>
      <w:r w:rsidR="00057BF4" w:rsidRPr="00057BF4">
        <w:rPr>
          <w:i/>
          <w:iCs/>
        </w:rPr>
        <w:t>bhikkhu</w:t>
      </w:r>
      <w:proofErr w:type="spellEnd"/>
      <w:r w:rsidR="00AB73A6">
        <w:t xml:space="preserve"> que vivía en </w:t>
      </w:r>
      <w:proofErr w:type="spellStart"/>
      <w:r w:rsidR="00AB73A6" w:rsidRPr="005363C8">
        <w:t>Koṭapabbata</w:t>
      </w:r>
      <w:proofErr w:type="spellEnd"/>
      <w:r w:rsidR="00AB73A6">
        <w:t xml:space="preserve"> se desvanecieron, sin mencionar </w:t>
      </w:r>
      <w:r w:rsidR="005363C8">
        <w:t>el signo</w:t>
      </w:r>
      <w:r w:rsidR="00AB73A6">
        <w:t>. [128]</w:t>
      </w:r>
    </w:p>
    <w:p w14:paraId="0CABBB44" w14:textId="79715D56" w:rsidR="00AB73A6" w:rsidRDefault="00AB73A6" w:rsidP="00AB73A6">
      <w:r>
        <w:t xml:space="preserve">40. </w:t>
      </w:r>
      <w:r>
        <w:tab/>
      </w:r>
      <w:r w:rsidRPr="002E0B5C">
        <w:rPr>
          <w:i/>
          <w:iCs/>
        </w:rPr>
        <w:t>5</w:t>
      </w:r>
      <w:r>
        <w:t xml:space="preserve">. </w:t>
      </w:r>
      <w:r w:rsidRPr="005363C8">
        <w:rPr>
          <w:i/>
          <w:iCs/>
        </w:rPr>
        <w:t>Comida</w:t>
      </w:r>
      <w:r>
        <w:t>: La comida dulce conviene a uno</w:t>
      </w:r>
      <w:r w:rsidR="002141F2">
        <w:t>s</w:t>
      </w:r>
      <w:r>
        <w:t>, la ácida a otro</w:t>
      </w:r>
      <w:r w:rsidR="002141F2">
        <w:t>s</w:t>
      </w:r>
      <w:r>
        <w:t>.</w:t>
      </w:r>
    </w:p>
    <w:p w14:paraId="333BC817" w14:textId="096EE5BF" w:rsidR="00AB73A6" w:rsidRDefault="00AB73A6" w:rsidP="00AB73A6">
      <w:r>
        <w:tab/>
      </w:r>
      <w:r w:rsidRPr="002E0B5C">
        <w:rPr>
          <w:i/>
          <w:iCs/>
        </w:rPr>
        <w:t>6</w:t>
      </w:r>
      <w:r>
        <w:t xml:space="preserve">. </w:t>
      </w:r>
      <w:r w:rsidRPr="005363C8">
        <w:rPr>
          <w:i/>
          <w:iCs/>
        </w:rPr>
        <w:t>Clima</w:t>
      </w:r>
      <w:r>
        <w:t>: a uno le conven</w:t>
      </w:r>
      <w:r w:rsidR="00FA0431">
        <w:t>drá</w:t>
      </w:r>
      <w:r>
        <w:t xml:space="preserve"> un clima fresco, </w:t>
      </w:r>
      <w:r w:rsidR="00FA0431">
        <w:t xml:space="preserve">a otros </w:t>
      </w:r>
      <w:r>
        <w:t xml:space="preserve">uno cálido. Entonces, cuando </w:t>
      </w:r>
      <w:r w:rsidR="00FA0431">
        <w:t xml:space="preserve">él </w:t>
      </w:r>
      <w:r>
        <w:t>descubr</w:t>
      </w:r>
      <w:r w:rsidR="00FA0431">
        <w:t>a</w:t>
      </w:r>
      <w:r>
        <w:t xml:space="preserve"> que al usar ciertos alimentos o al vivir en cierto clima se sient</w:t>
      </w:r>
      <w:r w:rsidR="00ED3E46">
        <w:t>a</w:t>
      </w:r>
      <w:r>
        <w:t xml:space="preserve"> cómodo, o su mente no concentrada se vuelv</w:t>
      </w:r>
      <w:r w:rsidR="00ED3E46">
        <w:t>a</w:t>
      </w:r>
      <w:r>
        <w:t xml:space="preserve"> concentrada, o su mente concentrada se vuelv</w:t>
      </w:r>
      <w:r w:rsidR="008204A5">
        <w:t>a</w:t>
      </w:r>
      <w:r>
        <w:t xml:space="preserve"> más concentrada, entonces ese alimento o ese clima </w:t>
      </w:r>
      <w:r w:rsidR="00ED3E46">
        <w:t xml:space="preserve">será </w:t>
      </w:r>
      <w:r>
        <w:t xml:space="preserve">adecuado. Cualquier otro alimento o clima </w:t>
      </w:r>
      <w:r w:rsidR="00ED3E46">
        <w:t xml:space="preserve">será </w:t>
      </w:r>
      <w:r>
        <w:t>inadecuado.</w:t>
      </w:r>
    </w:p>
    <w:p w14:paraId="1777F087" w14:textId="116EB64A" w:rsidR="00AB73A6" w:rsidRDefault="00AB73A6" w:rsidP="00AB73A6">
      <w:r>
        <w:t xml:space="preserve">41. </w:t>
      </w:r>
      <w:r w:rsidR="005363C8">
        <w:tab/>
      </w:r>
      <w:r w:rsidRPr="002E0B5C">
        <w:rPr>
          <w:i/>
          <w:iCs/>
        </w:rPr>
        <w:t>7</w:t>
      </w:r>
      <w:r>
        <w:t xml:space="preserve">. </w:t>
      </w:r>
      <w:r w:rsidRPr="005363C8">
        <w:rPr>
          <w:i/>
          <w:iCs/>
        </w:rPr>
        <w:t>Posturas</w:t>
      </w:r>
      <w:r>
        <w:t xml:space="preserve">: caminar </w:t>
      </w:r>
      <w:r w:rsidR="00423FDE">
        <w:t xml:space="preserve">se adapta a </w:t>
      </w:r>
      <w:r>
        <w:t>uno</w:t>
      </w:r>
      <w:r w:rsidR="008204A5">
        <w:t>s</w:t>
      </w:r>
      <w:r>
        <w:t xml:space="preserve">; estar de pie, sentado o </w:t>
      </w:r>
      <w:r w:rsidR="00EE44E6">
        <w:t>re</w:t>
      </w:r>
      <w:r>
        <w:t>costado a otro</w:t>
      </w:r>
      <w:r w:rsidR="008204A5">
        <w:t>s</w:t>
      </w:r>
      <w:r>
        <w:t>. Así que debe probar</w:t>
      </w:r>
      <w:r w:rsidR="005E2B90">
        <w:t>se</w:t>
      </w:r>
      <w:r w:rsidR="00423FDE">
        <w:t xml:space="preserve"> cada postura</w:t>
      </w:r>
      <w:r>
        <w:t xml:space="preserve">, como </w:t>
      </w:r>
      <w:r w:rsidR="005A4E24">
        <w:t xml:space="preserve">Enel caso de </w:t>
      </w:r>
      <w:r>
        <w:t xml:space="preserve">la </w:t>
      </w:r>
      <w:r w:rsidR="00423FDE">
        <w:t>vivienda</w:t>
      </w:r>
      <w:r>
        <w:t xml:space="preserve">, </w:t>
      </w:r>
      <w:r w:rsidR="005A4E24">
        <w:t xml:space="preserve">al probar cada una </w:t>
      </w:r>
      <w:r>
        <w:t xml:space="preserve">durante tres días, y </w:t>
      </w:r>
      <w:r w:rsidR="008204A5">
        <w:t xml:space="preserve">la </w:t>
      </w:r>
      <w:r>
        <w:t xml:space="preserve">postura adecuada </w:t>
      </w:r>
      <w:r w:rsidR="005E2B90">
        <w:t xml:space="preserve">será aquella </w:t>
      </w:r>
      <w:r w:rsidR="00646CD8">
        <w:t xml:space="preserve">en la </w:t>
      </w:r>
      <w:r>
        <w:t>que su mente no concentrada se concentr</w:t>
      </w:r>
      <w:r w:rsidR="001A7849">
        <w:t>e</w:t>
      </w:r>
      <w:r>
        <w:t xml:space="preserve"> o </w:t>
      </w:r>
      <w:r w:rsidR="00856DEC">
        <w:t xml:space="preserve">la </w:t>
      </w:r>
      <w:r>
        <w:t>mente concentrada se vuelv</w:t>
      </w:r>
      <w:r w:rsidR="00EE44E6">
        <w:t>a</w:t>
      </w:r>
      <w:r>
        <w:t xml:space="preserve"> más concentrada. Cualquier otr</w:t>
      </w:r>
      <w:r w:rsidR="00EE44E6">
        <w:t>a postura</w:t>
      </w:r>
      <w:r>
        <w:t xml:space="preserve"> debe</w:t>
      </w:r>
      <w:r w:rsidR="00646CD8">
        <w:t>rá</w:t>
      </w:r>
      <w:r>
        <w:t xml:space="preserve"> entenderse como inadecuad</w:t>
      </w:r>
      <w:r w:rsidR="00646CD8">
        <w:t>a</w:t>
      </w:r>
      <w:r>
        <w:t>.</w:t>
      </w:r>
    </w:p>
    <w:p w14:paraId="6F531A2C" w14:textId="4DDDBCDE" w:rsidR="00AB73A6" w:rsidRDefault="00AB73A6" w:rsidP="002141F2">
      <w:pPr>
        <w:pStyle w:val="NormalConSangria"/>
      </w:pPr>
      <w:r>
        <w:t>Por lo tanto, debe</w:t>
      </w:r>
      <w:r w:rsidR="00FD073A">
        <w:t>rá</w:t>
      </w:r>
      <w:r>
        <w:t xml:space="preserve"> evitar las siete clases </w:t>
      </w:r>
      <w:r w:rsidR="00856DEC">
        <w:t xml:space="preserve">de condiciones </w:t>
      </w:r>
      <w:r>
        <w:t xml:space="preserve">inadecuadas y cultivar las adecuadas. Porque cuando </w:t>
      </w:r>
      <w:r w:rsidR="002E0B5C">
        <w:t xml:space="preserve">se </w:t>
      </w:r>
      <w:r>
        <w:t>practi</w:t>
      </w:r>
      <w:r w:rsidR="002E0B5C">
        <w:t>1ue</w:t>
      </w:r>
      <w:r>
        <w:t xml:space="preserve"> de esta manera, </w:t>
      </w:r>
      <w:r w:rsidR="002E0B5C">
        <w:t xml:space="preserve">se </w:t>
      </w:r>
      <w:r>
        <w:t>cultiva</w:t>
      </w:r>
      <w:r w:rsidR="002E0B5C">
        <w:t>rá</w:t>
      </w:r>
      <w:r>
        <w:t xml:space="preserve"> asiduamente el signo, entonces, “no </w:t>
      </w:r>
      <w:r w:rsidR="002E0B5C">
        <w:t xml:space="preserve">se requerirá </w:t>
      </w:r>
      <w:r>
        <w:t xml:space="preserve">esperar demasiado </w:t>
      </w:r>
      <w:r w:rsidR="00856DEC">
        <w:t xml:space="preserve">tiempo </w:t>
      </w:r>
      <w:r>
        <w:t xml:space="preserve">hasta que la absorción cumpla su </w:t>
      </w:r>
      <w:r w:rsidR="00134482">
        <w:t>objetivo</w:t>
      </w:r>
      <w:r>
        <w:t>”.</w:t>
      </w:r>
    </w:p>
    <w:p w14:paraId="621FED7D" w14:textId="2BEE2A50" w:rsidR="00AB73A6" w:rsidRDefault="00AB73A6" w:rsidP="00AB73A6">
      <w:pPr>
        <w:pStyle w:val="Ttulo3"/>
        <w:ind w:left="708"/>
      </w:pPr>
      <w:r>
        <w:t>[Los Diez Tipos De Habilidad</w:t>
      </w:r>
      <w:r w:rsidR="00D861D7">
        <w:t>es</w:t>
      </w:r>
      <w:r>
        <w:t xml:space="preserve"> En La Absorción]</w:t>
      </w:r>
    </w:p>
    <w:p w14:paraId="7DE6B6A3" w14:textId="51C22F5E" w:rsidR="00AB73A6" w:rsidRDefault="00AB73A6" w:rsidP="00AB73A6">
      <w:r>
        <w:t xml:space="preserve">42. </w:t>
      </w:r>
      <w:r>
        <w:tab/>
      </w:r>
      <w:r w:rsidR="000077FE">
        <w:t xml:space="preserve">No obstante, </w:t>
      </w:r>
      <w:r>
        <w:t>si esto no suced</w:t>
      </w:r>
      <w:r w:rsidR="00C03B27">
        <w:t>iese</w:t>
      </w:r>
      <w:r>
        <w:t xml:space="preserve"> mientras </w:t>
      </w:r>
      <w:r w:rsidR="00134482">
        <w:t xml:space="preserve">se </w:t>
      </w:r>
      <w:r>
        <w:t>practi</w:t>
      </w:r>
      <w:r w:rsidR="00E03C90">
        <w:t>que</w:t>
      </w:r>
      <w:r>
        <w:t xml:space="preserve"> </w:t>
      </w:r>
      <w:r w:rsidR="005100C1">
        <w:t>así</w:t>
      </w:r>
      <w:r>
        <w:t xml:space="preserve">, entonces </w:t>
      </w:r>
      <w:r w:rsidR="00134482">
        <w:t xml:space="preserve">se </w:t>
      </w:r>
      <w:r>
        <w:t>debe</w:t>
      </w:r>
      <w:r w:rsidR="00134482">
        <w:t>rá</w:t>
      </w:r>
      <w:r>
        <w:t xml:space="preserve"> recurrir a las diez clases de habilidad en </w:t>
      </w:r>
      <w:r w:rsidR="00134482">
        <w:t xml:space="preserve">la </w:t>
      </w:r>
      <w:r>
        <w:t xml:space="preserve">absorción. Aquí </w:t>
      </w:r>
      <w:r w:rsidR="003E1F9C">
        <w:t>se expone</w:t>
      </w:r>
      <w:r>
        <w:t xml:space="preserve"> el método. La habilidad en la absorción </w:t>
      </w:r>
      <w:r w:rsidR="00134482">
        <w:t>requiere</w:t>
      </w:r>
      <w:r>
        <w:t xml:space="preserve"> [ser tratada en] diez aspectos: (1) limpiando la base, (2) manteniendo las facultades equilibradas, (3) </w:t>
      </w:r>
      <w:r w:rsidR="003800FA">
        <w:t xml:space="preserve">desarrollando la </w:t>
      </w:r>
      <w:r>
        <w:t>habilidad en el signo, (4) ejercita</w:t>
      </w:r>
      <w:r w:rsidR="008E7DEB">
        <w:t>ndo</w:t>
      </w:r>
      <w:r>
        <w:t xml:space="preserve"> la mente en </w:t>
      </w:r>
      <w:r w:rsidR="0007607A">
        <w:t>alg</w:t>
      </w:r>
      <w:r>
        <w:t xml:space="preserve">una ocasión en </w:t>
      </w:r>
      <w:r w:rsidR="006C6FCE">
        <w:t xml:space="preserve">la </w:t>
      </w:r>
      <w:r>
        <w:t>que deb</w:t>
      </w:r>
      <w:r w:rsidR="008E7DEB">
        <w:t>a</w:t>
      </w:r>
      <w:r>
        <w:t xml:space="preserve"> </w:t>
      </w:r>
      <w:r w:rsidR="003800FA">
        <w:t>ejercita</w:t>
      </w:r>
      <w:r w:rsidR="0007607A">
        <w:t>rse</w:t>
      </w:r>
      <w:r>
        <w:t xml:space="preserve">. (5) </w:t>
      </w:r>
      <w:r w:rsidR="008E7DEB">
        <w:t xml:space="preserve">restringiendo </w:t>
      </w:r>
      <w:r>
        <w:t xml:space="preserve">la mente en </w:t>
      </w:r>
      <w:r w:rsidR="008E7DEB">
        <w:t>alg</w:t>
      </w:r>
      <w:r>
        <w:t xml:space="preserve">una ocasión en </w:t>
      </w:r>
      <w:r w:rsidR="003E1F9C">
        <w:t xml:space="preserve">la </w:t>
      </w:r>
      <w:r>
        <w:t>que deb</w:t>
      </w:r>
      <w:r w:rsidR="009976FB">
        <w:t>a</w:t>
      </w:r>
      <w:r>
        <w:t xml:space="preserve"> ser restringida, (6) </w:t>
      </w:r>
      <w:r w:rsidR="009976FB">
        <w:t xml:space="preserve">estimulando </w:t>
      </w:r>
      <w:r>
        <w:t xml:space="preserve">la mente en </w:t>
      </w:r>
      <w:r w:rsidR="009976FB">
        <w:t>alg</w:t>
      </w:r>
      <w:r>
        <w:t xml:space="preserve">una ocasión en </w:t>
      </w:r>
      <w:r w:rsidR="003E1F9C">
        <w:t xml:space="preserve">la </w:t>
      </w:r>
      <w:r>
        <w:t>que deb</w:t>
      </w:r>
      <w:r w:rsidR="009976FB">
        <w:t>a</w:t>
      </w:r>
      <w:r>
        <w:t xml:space="preserve"> ser estimulada, (7) </w:t>
      </w:r>
      <w:r w:rsidR="00985027">
        <w:t>observando</w:t>
      </w:r>
      <w:r>
        <w:t xml:space="preserve"> la mente con ecuanimidad cuando deb</w:t>
      </w:r>
      <w:r w:rsidR="00985027">
        <w:t>a</w:t>
      </w:r>
      <w:r>
        <w:t xml:space="preserve"> ser </w:t>
      </w:r>
      <w:r w:rsidR="00985027">
        <w:t xml:space="preserve">observada </w:t>
      </w:r>
      <w:r>
        <w:t>con ecuanimidad, (8) evita</w:t>
      </w:r>
      <w:r w:rsidR="00985027">
        <w:t xml:space="preserve">ndo a </w:t>
      </w:r>
      <w:proofErr w:type="gramStart"/>
      <w:r w:rsidR="00985027">
        <w:t>la</w:t>
      </w:r>
      <w:r>
        <w:t xml:space="preserve"> personas no concentradas</w:t>
      </w:r>
      <w:proofErr w:type="gramEnd"/>
      <w:r>
        <w:t>, (9) cultiv</w:t>
      </w:r>
      <w:r w:rsidR="00985027">
        <w:t xml:space="preserve">ando la relación con </w:t>
      </w:r>
      <w:r>
        <w:t xml:space="preserve">personas concentradas, (10) </w:t>
      </w:r>
      <w:r w:rsidR="003E1F9C">
        <w:t xml:space="preserve">ejerciendo </w:t>
      </w:r>
      <w:r w:rsidR="00337EEB">
        <w:t xml:space="preserve">una </w:t>
      </w:r>
      <w:r w:rsidR="001534CF">
        <w:t>determinación sobre el emprendimiento</w:t>
      </w:r>
      <w:r>
        <w:t xml:space="preserve"> </w:t>
      </w:r>
      <w:r w:rsidR="00337EEB">
        <w:t xml:space="preserve">al respecto </w:t>
      </w:r>
      <w:r>
        <w:t>(</w:t>
      </w:r>
      <w:r w:rsidR="00337EEB">
        <w:t xml:space="preserve">sobe la </w:t>
      </w:r>
      <w:r>
        <w:t>concentración).</w:t>
      </w:r>
      <w:r w:rsidR="00022683" w:rsidRPr="00022683">
        <w:t xml:space="preserve"> </w:t>
      </w:r>
    </w:p>
    <w:p w14:paraId="16F99071" w14:textId="1A758BFA" w:rsidR="00AB73A6" w:rsidRDefault="00AB73A6" w:rsidP="00AB73A6">
      <w:r>
        <w:t xml:space="preserve">43. </w:t>
      </w:r>
      <w:r>
        <w:tab/>
        <w:t xml:space="preserve">1. Aquí, </w:t>
      </w:r>
      <w:r w:rsidRPr="001534CF">
        <w:rPr>
          <w:i/>
          <w:iCs/>
        </w:rPr>
        <w:t>limpiar</w:t>
      </w:r>
      <w:r w:rsidRPr="007F474F">
        <w:rPr>
          <w:i/>
          <w:iCs/>
        </w:rPr>
        <w:t xml:space="preserve"> la base</w:t>
      </w:r>
      <w:r>
        <w:t xml:space="preserve"> </w:t>
      </w:r>
      <w:r w:rsidR="001534CF">
        <w:t>significa</w:t>
      </w:r>
      <w:r>
        <w:t xml:space="preserve"> limpiar la base interna y externa. Porque cuando el cabello de la cabeza, las uñas y el vello del cuerpo s</w:t>
      </w:r>
      <w:r w:rsidR="00FF646E">
        <w:t>ea</w:t>
      </w:r>
      <w:r>
        <w:t xml:space="preserve">n largos, o cuando el cuerpo </w:t>
      </w:r>
      <w:r w:rsidR="00514259">
        <w:t>se encuentr</w:t>
      </w:r>
      <w:r w:rsidR="00337EEB">
        <w:t>e</w:t>
      </w:r>
      <w:r>
        <w:t xml:space="preserve"> </w:t>
      </w:r>
      <w:r w:rsidR="00F01329">
        <w:t>húmedo por</w:t>
      </w:r>
      <w:r>
        <w:t xml:space="preserve"> </w:t>
      </w:r>
      <w:r w:rsidR="00F01329">
        <w:t>el</w:t>
      </w:r>
      <w:r>
        <w:t xml:space="preserve"> sudor, entonces la base interna </w:t>
      </w:r>
      <w:r w:rsidR="00C315DA">
        <w:t>estará</w:t>
      </w:r>
      <w:r w:rsidR="00514259">
        <w:t xml:space="preserve"> </w:t>
      </w:r>
      <w:r w:rsidR="00C315DA">
        <w:t>sucia</w:t>
      </w:r>
      <w:r>
        <w:t xml:space="preserve"> y sin purificar. </w:t>
      </w:r>
      <w:r w:rsidR="00F01329">
        <w:t xml:space="preserve">No obstante, </w:t>
      </w:r>
      <w:r>
        <w:t>cuando se us</w:t>
      </w:r>
      <w:r w:rsidR="00C315DA">
        <w:t>e</w:t>
      </w:r>
      <w:r>
        <w:t xml:space="preserve"> un </w:t>
      </w:r>
      <w:r w:rsidR="00C315DA">
        <w:t>ropaje</w:t>
      </w:r>
      <w:r>
        <w:t xml:space="preserve"> viej</w:t>
      </w:r>
      <w:r w:rsidR="00C315DA">
        <w:t>o</w:t>
      </w:r>
      <w:r>
        <w:t>, suci</w:t>
      </w:r>
      <w:r w:rsidR="00C315DA">
        <w:t>o</w:t>
      </w:r>
      <w:r>
        <w:t xml:space="preserve"> y maloliente, o cuando el alojamiento est</w:t>
      </w:r>
      <w:r w:rsidR="00C315DA">
        <w:t>é</w:t>
      </w:r>
      <w:r>
        <w:t xml:space="preserve"> sucio, entonces la base externa est</w:t>
      </w:r>
      <w:r w:rsidR="00C315DA">
        <w:t>ar</w:t>
      </w:r>
      <w:r>
        <w:t>á sucia y sin purificar. [129] Cuando las bases interna y externa est</w:t>
      </w:r>
      <w:r w:rsidR="00C315DA">
        <w:t>é</w:t>
      </w:r>
      <w:r>
        <w:t xml:space="preserve">n sucias, entonces el conocimiento </w:t>
      </w:r>
      <w:r w:rsidR="00933F16">
        <w:t>sobre</w:t>
      </w:r>
      <w:r>
        <w:t xml:space="preserve"> la con</w:t>
      </w:r>
      <w:r w:rsidR="00C315DA">
        <w:t>s</w:t>
      </w:r>
      <w:r>
        <w:t>ciencia y los concomitantes de la con</w:t>
      </w:r>
      <w:r w:rsidR="00C315DA">
        <w:t>s</w:t>
      </w:r>
      <w:r>
        <w:t>ciencia que sur</w:t>
      </w:r>
      <w:r w:rsidR="00D674AE">
        <w:t>jan</w:t>
      </w:r>
      <w:r>
        <w:t xml:space="preserve"> no est</w:t>
      </w:r>
      <w:r w:rsidR="00CB418A">
        <w:t>ar</w:t>
      </w:r>
      <w:r>
        <w:t>án purificados, como la luz de la llama de una lámpara que sur</w:t>
      </w:r>
      <w:r w:rsidR="0022378B">
        <w:t>g</w:t>
      </w:r>
      <w:r w:rsidR="00A8137E">
        <w:t>iese</w:t>
      </w:r>
      <w:r>
        <w:t xml:space="preserve"> </w:t>
      </w:r>
      <w:r w:rsidR="00933F16">
        <w:t xml:space="preserve">en </w:t>
      </w:r>
      <w:r>
        <w:t>un</w:t>
      </w:r>
      <w:r w:rsidR="0045385A">
        <w:t>a</w:t>
      </w:r>
      <w:r>
        <w:t xml:space="preserve"> lámpara </w:t>
      </w:r>
      <w:r w:rsidR="00267829">
        <w:t xml:space="preserve">compuesta de un </w:t>
      </w:r>
      <w:r w:rsidR="0045385A">
        <w:t>cuenco</w:t>
      </w:r>
      <w:r>
        <w:t xml:space="preserve">, </w:t>
      </w:r>
      <w:r w:rsidR="00267829">
        <w:t xml:space="preserve">una </w:t>
      </w:r>
      <w:r>
        <w:t xml:space="preserve">mecha y </w:t>
      </w:r>
      <w:r w:rsidR="00267829">
        <w:t xml:space="preserve">el </w:t>
      </w:r>
      <w:r>
        <w:t xml:space="preserve">aceite </w:t>
      </w:r>
      <w:r w:rsidR="00FE53EC">
        <w:t>no purificados</w:t>
      </w:r>
      <w:r>
        <w:t xml:space="preserve">; las formaciones no se </w:t>
      </w:r>
      <w:r w:rsidR="00FE53EC">
        <w:t>harán</w:t>
      </w:r>
      <w:r>
        <w:t xml:space="preserve"> evidentes para quien trat</w:t>
      </w:r>
      <w:r w:rsidR="00FE53EC">
        <w:t>e</w:t>
      </w:r>
      <w:r>
        <w:t xml:space="preserve"> de comprenderlas con un conocimiento no purificado, y cuando se dedi</w:t>
      </w:r>
      <w:r w:rsidR="00870DC9">
        <w:t>que</w:t>
      </w:r>
      <w:r>
        <w:t xml:space="preserve"> a su </w:t>
      </w:r>
      <w:r w:rsidR="00870DC9">
        <w:t xml:space="preserve">objeto </w:t>
      </w:r>
      <w:r>
        <w:t>de meditación, no llega</w:t>
      </w:r>
      <w:r w:rsidR="00870DC9">
        <w:t>rá</w:t>
      </w:r>
      <w:r>
        <w:t xml:space="preserve"> a crecer, </w:t>
      </w:r>
      <w:r w:rsidR="00E34B42">
        <w:t xml:space="preserve">a </w:t>
      </w:r>
      <w:r>
        <w:t xml:space="preserve">incrementarse </w:t>
      </w:r>
      <w:r w:rsidR="00D515C2">
        <w:t>ni a</w:t>
      </w:r>
      <w:r>
        <w:t xml:space="preserve"> </w:t>
      </w:r>
      <w:r w:rsidR="00FE1317">
        <w:t>consumarse</w:t>
      </w:r>
      <w:r>
        <w:t>.</w:t>
      </w:r>
    </w:p>
    <w:p w14:paraId="1C1D706E" w14:textId="11C85341" w:rsidR="00AB73A6" w:rsidRDefault="00AB73A6" w:rsidP="004D5F98">
      <w:r>
        <w:t xml:space="preserve">44. </w:t>
      </w:r>
      <w:r>
        <w:tab/>
        <w:t>Pero cuando las bases interna y externa est</w:t>
      </w:r>
      <w:r w:rsidR="00FE1317">
        <w:t>é</w:t>
      </w:r>
      <w:r>
        <w:t>n limpias, entonces el conocimiento en la con</w:t>
      </w:r>
      <w:r w:rsidR="00E34B42">
        <w:t>s</w:t>
      </w:r>
      <w:r>
        <w:t>ciencia y los concomitantes de la con</w:t>
      </w:r>
      <w:r w:rsidR="00FE1317">
        <w:t>s</w:t>
      </w:r>
      <w:r>
        <w:t xml:space="preserve">ciencia que </w:t>
      </w:r>
      <w:r w:rsidR="00DB3971">
        <w:t>se desarrollen</w:t>
      </w:r>
      <w:r>
        <w:t xml:space="preserve"> </w:t>
      </w:r>
      <w:r w:rsidR="00E34B42">
        <w:t>estarán</w:t>
      </w:r>
      <w:r>
        <w:t xml:space="preserve"> limpios y purificados, como la luz de la llama de una lámpara que sur</w:t>
      </w:r>
      <w:r w:rsidR="00FE1317">
        <w:t>ja</w:t>
      </w:r>
      <w:r>
        <w:t xml:space="preserve"> </w:t>
      </w:r>
      <w:r w:rsidR="00AE516F">
        <w:t xml:space="preserve">de una </w:t>
      </w:r>
      <w:r>
        <w:t>lámpara</w:t>
      </w:r>
      <w:r w:rsidR="00AE516F">
        <w:t xml:space="preserve"> compuesta de un cueco</w:t>
      </w:r>
      <w:r>
        <w:t xml:space="preserve">, </w:t>
      </w:r>
      <w:r w:rsidR="00AE516F">
        <w:t xml:space="preserve">una </w:t>
      </w:r>
      <w:r>
        <w:t xml:space="preserve">mecha y </w:t>
      </w:r>
      <w:r w:rsidR="00AE516F">
        <w:t xml:space="preserve">el </w:t>
      </w:r>
      <w:r>
        <w:t>aceite</w:t>
      </w:r>
      <w:r w:rsidR="00742481">
        <w:t>, todos</w:t>
      </w:r>
      <w:r>
        <w:t xml:space="preserve"> </w:t>
      </w:r>
      <w:r w:rsidR="00FE1317">
        <w:t>purificados</w:t>
      </w:r>
      <w:r>
        <w:t xml:space="preserve">; las formaciones se </w:t>
      </w:r>
      <w:r w:rsidR="00FE1317">
        <w:t>harán</w:t>
      </w:r>
      <w:r>
        <w:t xml:space="preserve"> evidentes para quien trat</w:t>
      </w:r>
      <w:r w:rsidR="00FE1317">
        <w:t>e</w:t>
      </w:r>
      <w:r>
        <w:t xml:space="preserve"> de </w:t>
      </w:r>
      <w:r w:rsidR="00ED539A">
        <w:t xml:space="preserve">entender </w:t>
      </w:r>
      <w:r w:rsidR="004D5F98">
        <w:t>la consciencia y sus concomitantes</w:t>
      </w:r>
      <w:r>
        <w:t xml:space="preserve"> con </w:t>
      </w:r>
      <w:r w:rsidR="00FE1317">
        <w:t xml:space="preserve">un </w:t>
      </w:r>
      <w:r>
        <w:t>conocimiento purificado, y a medida que se dedi</w:t>
      </w:r>
      <w:r w:rsidR="00FE1317">
        <w:t xml:space="preserve">que </w:t>
      </w:r>
      <w:r>
        <w:t xml:space="preserve">a su </w:t>
      </w:r>
      <w:r w:rsidR="00397695">
        <w:t xml:space="preserve">objeto de </w:t>
      </w:r>
      <w:r>
        <w:t xml:space="preserve">meditación, </w:t>
      </w:r>
      <w:r w:rsidR="004D5F98">
        <w:t xml:space="preserve">éste </w:t>
      </w:r>
      <w:r>
        <w:t>llega</w:t>
      </w:r>
      <w:r w:rsidR="00821D09">
        <w:t xml:space="preserve">rá </w:t>
      </w:r>
      <w:r>
        <w:t xml:space="preserve">a crecer, </w:t>
      </w:r>
      <w:r w:rsidR="00D515C2">
        <w:t xml:space="preserve">a </w:t>
      </w:r>
      <w:r w:rsidR="004D5F98">
        <w:t xml:space="preserve">incrementarse </w:t>
      </w:r>
      <w:r>
        <w:t xml:space="preserve">y </w:t>
      </w:r>
      <w:r w:rsidR="00821D09">
        <w:t>consumarse</w:t>
      </w:r>
      <w:r>
        <w:t>.</w:t>
      </w:r>
      <w:r>
        <w:br w:type="page"/>
      </w:r>
    </w:p>
    <w:p w14:paraId="104342DD" w14:textId="77777777" w:rsidR="00BC665A" w:rsidRDefault="00BC665A" w:rsidP="00AB73A6"/>
    <w:p w14:paraId="1FAB0276" w14:textId="3F1C7449" w:rsidR="00BC665A" w:rsidRDefault="00BC665A" w:rsidP="00BC665A">
      <w:r>
        <w:t xml:space="preserve">45. </w:t>
      </w:r>
      <w:r>
        <w:tab/>
        <w:t xml:space="preserve">2. </w:t>
      </w:r>
      <w:r w:rsidRPr="00136CF6">
        <w:rPr>
          <w:i/>
          <w:iCs/>
        </w:rPr>
        <w:t>Mantener las facultades</w:t>
      </w:r>
      <w:r>
        <w:t xml:space="preserve"> </w:t>
      </w:r>
      <w:r w:rsidRPr="00763250">
        <w:rPr>
          <w:i/>
          <w:iCs/>
        </w:rPr>
        <w:t>equilibradas</w:t>
      </w:r>
      <w:r>
        <w:t xml:space="preserve"> </w:t>
      </w:r>
      <w:r w:rsidR="00763250">
        <w:t>consistirá en</w:t>
      </w:r>
      <w:r>
        <w:t xml:space="preserve"> </w:t>
      </w:r>
      <w:r w:rsidR="003442B4">
        <w:t>homogenizar</w:t>
      </w:r>
      <w:r w:rsidR="005977B5">
        <w:t xml:space="preserve"> </w:t>
      </w:r>
      <w:r>
        <w:t>las [cinco] facultades de la fe</w:t>
      </w:r>
      <w:r w:rsidR="00330597">
        <w:t>, etc</w:t>
      </w:r>
      <w:r>
        <w:t xml:space="preserve">. Porque si </w:t>
      </w:r>
      <w:r w:rsidR="008758CB">
        <w:t xml:space="preserve">la </w:t>
      </w:r>
      <w:r>
        <w:t xml:space="preserve">facultad de </w:t>
      </w:r>
      <w:r w:rsidR="008758CB">
        <w:t xml:space="preserve">la </w:t>
      </w:r>
      <w:r>
        <w:t xml:space="preserve">fe </w:t>
      </w:r>
      <w:r w:rsidR="00047FE3">
        <w:t>fuera</w:t>
      </w:r>
      <w:r>
        <w:t xml:space="preserve"> fuerte y las otras débiles, entonces la facultad de </w:t>
      </w:r>
      <w:r w:rsidR="008758CB">
        <w:t xml:space="preserve">la </w:t>
      </w:r>
      <w:r>
        <w:t xml:space="preserve">energía no </w:t>
      </w:r>
      <w:r w:rsidR="008758CB">
        <w:t>podr</w:t>
      </w:r>
      <w:r w:rsidR="004F49DA">
        <w:t>ía</w:t>
      </w:r>
      <w:r w:rsidR="008758CB">
        <w:t xml:space="preserve"> </w:t>
      </w:r>
      <w:r>
        <w:t xml:space="preserve">realizar su función de ejercer, la facultad de </w:t>
      </w:r>
      <w:r w:rsidR="008758CB">
        <w:t xml:space="preserve">la </w:t>
      </w:r>
      <w:r>
        <w:t>atención</w:t>
      </w:r>
      <w:r w:rsidR="0081155A">
        <w:t xml:space="preserve"> plena,</w:t>
      </w:r>
      <w:r>
        <w:t xml:space="preserve"> su función de establecer, la facultad de </w:t>
      </w:r>
      <w:r w:rsidR="008758CB">
        <w:t xml:space="preserve">la </w:t>
      </w:r>
      <w:r>
        <w:t>concentración su función de no</w:t>
      </w:r>
      <w:r w:rsidR="00C609DA">
        <w:t>-</w:t>
      </w:r>
      <w:r>
        <w:t>distraer</w:t>
      </w:r>
      <w:r w:rsidR="00310FE9">
        <w:t>se</w:t>
      </w:r>
      <w:r>
        <w:t xml:space="preserve"> y la facultad de</w:t>
      </w:r>
      <w:r w:rsidR="00310FE9">
        <w:t xml:space="preserve"> </w:t>
      </w:r>
      <w:r w:rsidR="00A27E90">
        <w:t>l</w:t>
      </w:r>
      <w:r w:rsidR="00310FE9">
        <w:t>a</w:t>
      </w:r>
      <w:r w:rsidR="00A27E90">
        <w:t xml:space="preserve"> </w:t>
      </w:r>
      <w:r w:rsidR="00B048F0" w:rsidRPr="00527EA6">
        <w:t>sabid</w:t>
      </w:r>
      <w:r w:rsidR="00B048F0">
        <w:t>uría–revelativa</w:t>
      </w:r>
      <w:r w:rsidR="00A2166D">
        <w:t xml:space="preserve"> </w:t>
      </w:r>
      <w:r w:rsidR="00B04860">
        <w:t xml:space="preserve">la </w:t>
      </w:r>
      <w:r>
        <w:t xml:space="preserve">función de </w:t>
      </w:r>
      <w:r w:rsidR="00B04860">
        <w:t xml:space="preserve">la </w:t>
      </w:r>
      <w:r w:rsidR="00A2166D">
        <w:t>aprecia</w:t>
      </w:r>
      <w:r w:rsidR="003C76AE">
        <w:t>ción</w:t>
      </w:r>
      <w:r>
        <w:t>. Entonces, en ese caso, la facultad de la fe deber</w:t>
      </w:r>
      <w:r w:rsidR="00A2166D">
        <w:t>á</w:t>
      </w:r>
      <w:r>
        <w:t xml:space="preserve"> modificarse, ya sea revisando las esencias individuales de los estados [en cuestión, es decir, los objetos de atención] o no prestándoles atención </w:t>
      </w:r>
      <w:r w:rsidR="00B04860">
        <w:t>en</w:t>
      </w:r>
      <w:r>
        <w:t xml:space="preserve"> la </w:t>
      </w:r>
      <w:r w:rsidR="00B04860">
        <w:t xml:space="preserve">manera </w:t>
      </w:r>
      <w:r>
        <w:t xml:space="preserve">en que la facultad de la fe </w:t>
      </w:r>
      <w:r w:rsidR="00B04860">
        <w:t xml:space="preserve">suele volverse </w:t>
      </w:r>
      <w:r>
        <w:t xml:space="preserve">demasiado fuerte. Y esto </w:t>
      </w:r>
      <w:r w:rsidR="00C968EE">
        <w:t>se</w:t>
      </w:r>
      <w:r>
        <w:t xml:space="preserve"> ilustra </w:t>
      </w:r>
      <w:r w:rsidR="00C968EE">
        <w:t xml:space="preserve">mediante </w:t>
      </w:r>
      <w:r>
        <w:t xml:space="preserve">la historia del </w:t>
      </w:r>
      <w:r w:rsidR="001E222D">
        <w:t>Venerable</w:t>
      </w:r>
      <w:r>
        <w:t xml:space="preserve"> </w:t>
      </w:r>
      <w:proofErr w:type="spellStart"/>
      <w:r>
        <w:t>Vakkali</w:t>
      </w:r>
      <w:proofErr w:type="spellEnd"/>
      <w:r>
        <w:t xml:space="preserve"> (S III 119).</w:t>
      </w:r>
    </w:p>
    <w:p w14:paraId="7E8A1EAA" w14:textId="1B321CBD" w:rsidR="00BC665A" w:rsidRDefault="00BC665A" w:rsidP="00BC665A">
      <w:r>
        <w:t xml:space="preserve">46. </w:t>
      </w:r>
      <w:r>
        <w:tab/>
        <w:t>​​</w:t>
      </w:r>
      <w:r w:rsidR="004F49DA">
        <w:t>Luego</w:t>
      </w:r>
      <w:r>
        <w:t xml:space="preserve">, si la facultad de la energía </w:t>
      </w:r>
      <w:r w:rsidR="004F49DA">
        <w:t xml:space="preserve">fuese </w:t>
      </w:r>
      <w:r>
        <w:t xml:space="preserve">demasiado fuerte, la facultad de la fe no </w:t>
      </w:r>
      <w:r w:rsidR="001E222D">
        <w:t>podr</w:t>
      </w:r>
      <w:r w:rsidR="004F49DA">
        <w:t>ía</w:t>
      </w:r>
      <w:r w:rsidR="001E222D">
        <w:t xml:space="preserve"> </w:t>
      </w:r>
      <w:r>
        <w:t xml:space="preserve">cumplir su función de </w:t>
      </w:r>
      <w:r w:rsidR="00993B36">
        <w:t>determinación</w:t>
      </w:r>
      <w:r>
        <w:t xml:space="preserve">, ni las demás facultades </w:t>
      </w:r>
      <w:r w:rsidR="00993B36">
        <w:t xml:space="preserve">podría </w:t>
      </w:r>
      <w:r>
        <w:t xml:space="preserve">cumplir sus </w:t>
      </w:r>
      <w:r w:rsidR="004427D5">
        <w:t>diferentes</w:t>
      </w:r>
      <w:r>
        <w:t xml:space="preserve"> funciones. Entonces, en </w:t>
      </w:r>
      <w:r w:rsidR="004A2DD5">
        <w:t>tal</w:t>
      </w:r>
      <w:r>
        <w:t xml:space="preserve"> caso, la facultad de</w:t>
      </w:r>
      <w:r w:rsidR="004427D5">
        <w:t xml:space="preserve"> la</w:t>
      </w:r>
      <w:r>
        <w:t xml:space="preserve"> energía debe</w:t>
      </w:r>
      <w:r w:rsidR="004427D5">
        <w:t>rá</w:t>
      </w:r>
      <w:r>
        <w:t xml:space="preserve"> modificarse desarrollando la tranquilidad, y así sucesivamente. Y esto debería ilustrarse </w:t>
      </w:r>
      <w:r w:rsidR="004427D5">
        <w:t xml:space="preserve">mediante </w:t>
      </w:r>
      <w:r>
        <w:t xml:space="preserve">la historia del </w:t>
      </w:r>
      <w:r w:rsidR="004427D5">
        <w:t xml:space="preserve">Venerable </w:t>
      </w:r>
      <w:proofErr w:type="spellStart"/>
      <w:r>
        <w:t>So</w:t>
      </w:r>
      <w:r w:rsidR="004427D5">
        <w:t>ṇ</w:t>
      </w:r>
      <w:r>
        <w:t>a</w:t>
      </w:r>
      <w:proofErr w:type="spellEnd"/>
      <w:r>
        <w:t xml:space="preserve"> (</w:t>
      </w:r>
      <w:proofErr w:type="spellStart"/>
      <w:r>
        <w:t>Vin</w:t>
      </w:r>
      <w:proofErr w:type="spellEnd"/>
      <w:r>
        <w:t xml:space="preserve"> I 179–85; A III 374–76). Así también con el resto; porque debe entenderse que cuando alguno de ellos s</w:t>
      </w:r>
      <w:r w:rsidR="00787880">
        <w:t>ea</w:t>
      </w:r>
      <w:r>
        <w:t xml:space="preserve"> demasiado fuerte, los otros no </w:t>
      </w:r>
      <w:r w:rsidR="00787880">
        <w:t xml:space="preserve">podrán </w:t>
      </w:r>
      <w:r>
        <w:t>realizar sus varias funciones</w:t>
      </w:r>
      <w:r w:rsidR="00787880">
        <w:t xml:space="preserve"> apropiadamente</w:t>
      </w:r>
      <w:r>
        <w:t>.</w:t>
      </w:r>
    </w:p>
    <w:p w14:paraId="13C749A2" w14:textId="0D321450" w:rsidR="00BC665A" w:rsidRDefault="00BC665A" w:rsidP="00BC665A">
      <w:r>
        <w:t xml:space="preserve">47. </w:t>
      </w:r>
      <w:r>
        <w:tab/>
        <w:t xml:space="preserve">Sin embargo, lo que se recomienda especialmente es </w:t>
      </w:r>
      <w:r w:rsidR="008C75A6">
        <w:t xml:space="preserve">el </w:t>
      </w:r>
      <w:r>
        <w:t>equilibr</w:t>
      </w:r>
      <w:r w:rsidR="008C75A6">
        <w:t>io</w:t>
      </w:r>
      <w:r>
        <w:t xml:space="preserve"> </w:t>
      </w:r>
      <w:r w:rsidR="008C75A6">
        <w:t xml:space="preserve">entre </w:t>
      </w:r>
      <w:r>
        <w:t xml:space="preserve">la fe </w:t>
      </w:r>
      <w:r w:rsidR="008C75A6">
        <w:t xml:space="preserve">y </w:t>
      </w:r>
      <w:r w:rsidR="005C32B5">
        <w:t>la sabiduría</w:t>
      </w:r>
      <w:r>
        <w:t xml:space="preserve"> y </w:t>
      </w:r>
      <w:r w:rsidR="004855B8">
        <w:t xml:space="preserve">entre </w:t>
      </w:r>
      <w:r>
        <w:t xml:space="preserve">la concentración </w:t>
      </w:r>
      <w:r w:rsidR="004855B8">
        <w:t xml:space="preserve">y </w:t>
      </w:r>
      <w:r>
        <w:t xml:space="preserve">la energía. Porque el que </w:t>
      </w:r>
      <w:r w:rsidR="00E2288C">
        <w:t>sea</w:t>
      </w:r>
      <w:r>
        <w:t xml:space="preserve"> fuerte en fe y débil en </w:t>
      </w:r>
      <w:r w:rsidR="00C914F6">
        <w:t>sabiduría</w:t>
      </w:r>
      <w:r>
        <w:t xml:space="preserve"> </w:t>
      </w:r>
      <w:r w:rsidR="00605DBA">
        <w:t xml:space="preserve">tendrá </w:t>
      </w:r>
      <w:r>
        <w:t xml:space="preserve">confianza sin </w:t>
      </w:r>
      <w:r w:rsidR="00605DBA">
        <w:t xml:space="preserve">sentido </w:t>
      </w:r>
      <w:r>
        <w:t>crític</w:t>
      </w:r>
      <w:r w:rsidR="00605DBA">
        <w:t>o</w:t>
      </w:r>
      <w:r>
        <w:t xml:space="preserve"> y sin fundamento. </w:t>
      </w:r>
      <w:r w:rsidR="006E1313">
        <w:t>Alguien</w:t>
      </w:r>
      <w:r>
        <w:t xml:space="preserve"> fuerte en </w:t>
      </w:r>
      <w:r w:rsidR="00C914F6">
        <w:t xml:space="preserve">sabiduría </w:t>
      </w:r>
      <w:r>
        <w:t xml:space="preserve">y débil en fe </w:t>
      </w:r>
      <w:r w:rsidR="00412410">
        <w:t>h</w:t>
      </w:r>
      <w:r>
        <w:t>erra</w:t>
      </w:r>
      <w:r w:rsidR="00412410">
        <w:t>rá</w:t>
      </w:r>
      <w:r>
        <w:t xml:space="preserve"> por el lado de la astucia y </w:t>
      </w:r>
      <w:r w:rsidR="00412410">
        <w:t>será muy</w:t>
      </w:r>
      <w:r>
        <w:t xml:space="preserve"> difícil de curar como </w:t>
      </w:r>
      <w:r w:rsidR="00907B14">
        <w:t xml:space="preserve">a </w:t>
      </w:r>
      <w:r>
        <w:t xml:space="preserve">un enfermo </w:t>
      </w:r>
      <w:r w:rsidR="008319F5">
        <w:t xml:space="preserve">que se haya </w:t>
      </w:r>
      <w:r w:rsidR="00545356">
        <w:t>intoxicado</w:t>
      </w:r>
      <w:r w:rsidR="008319F5">
        <w:t xml:space="preserve"> </w:t>
      </w:r>
      <w:r w:rsidR="00545356">
        <w:t xml:space="preserve">debido a </w:t>
      </w:r>
      <w:r w:rsidR="008319F5">
        <w:t xml:space="preserve">la ingestión precisamente de una </w:t>
      </w:r>
      <w:r>
        <w:t xml:space="preserve">medicina. Con el equilibrio de </w:t>
      </w:r>
      <w:r w:rsidR="00F6311E">
        <w:t>ambos</w:t>
      </w:r>
      <w:r>
        <w:t xml:space="preserve">, un hombre </w:t>
      </w:r>
      <w:r w:rsidR="00907B14">
        <w:t xml:space="preserve">tendrá </w:t>
      </w:r>
      <w:r>
        <w:t>confianza solo cuando hay</w:t>
      </w:r>
      <w:r w:rsidR="00907B14">
        <w:t>a</w:t>
      </w:r>
      <w:r>
        <w:t xml:space="preserve"> motivos para ello.</w:t>
      </w:r>
    </w:p>
    <w:p w14:paraId="5F6098A7" w14:textId="71F91930" w:rsidR="00BC665A" w:rsidRDefault="001243DF" w:rsidP="00BC665A">
      <w:pPr>
        <w:pStyle w:val="NormalConSangria"/>
      </w:pPr>
      <w:r>
        <w:t>Luego,</w:t>
      </w:r>
      <w:r w:rsidR="00BC665A">
        <w:t xml:space="preserve"> </w:t>
      </w:r>
      <w:r w:rsidR="002B1A1E">
        <w:t>el letargo</w:t>
      </w:r>
      <w:r>
        <w:t xml:space="preserve"> </w:t>
      </w:r>
      <w:r w:rsidR="00BC665A">
        <w:t>vence</w:t>
      </w:r>
      <w:r>
        <w:t>rá</w:t>
      </w:r>
      <w:r w:rsidR="00BC665A">
        <w:t xml:space="preserve"> a </w:t>
      </w:r>
      <w:r w:rsidR="000544E4">
        <w:t xml:space="preserve">alguien que sea </w:t>
      </w:r>
      <w:r w:rsidR="00BC665A">
        <w:t xml:space="preserve">fuerte en </w:t>
      </w:r>
      <w:r w:rsidR="000544E4">
        <w:t>concentración,</w:t>
      </w:r>
      <w:r w:rsidR="00BC665A">
        <w:t xml:space="preserve"> </w:t>
      </w:r>
      <w:r w:rsidR="000544E4">
        <w:t>pero</w:t>
      </w:r>
      <w:r w:rsidR="00BC665A">
        <w:t xml:space="preserve"> débil en energía, ya que la concentración favorece</w:t>
      </w:r>
      <w:r w:rsidR="000544E4">
        <w:t>rá</w:t>
      </w:r>
      <w:r w:rsidR="00BC665A">
        <w:t xml:space="preserve"> </w:t>
      </w:r>
      <w:r w:rsidR="000544E4">
        <w:t>a</w:t>
      </w:r>
      <w:r w:rsidR="00BC665A">
        <w:t>l</w:t>
      </w:r>
      <w:r w:rsidR="002B1A1E">
        <w:t xml:space="preserve"> surgimiento del letargo</w:t>
      </w:r>
      <w:r w:rsidR="00BC665A">
        <w:t>. [130] La agitación vence</w:t>
      </w:r>
      <w:r w:rsidR="000544E4">
        <w:t xml:space="preserve">rá </w:t>
      </w:r>
      <w:r w:rsidR="00BC665A">
        <w:t xml:space="preserve">a </w:t>
      </w:r>
      <w:r w:rsidR="00D75EFB">
        <w:t xml:space="preserve">alguien </w:t>
      </w:r>
      <w:r w:rsidR="00040113">
        <w:t xml:space="preserve">que sea </w:t>
      </w:r>
      <w:r w:rsidR="00BC665A">
        <w:t>fuerte en energía y débil en concentración, ya que la energía favorece</w:t>
      </w:r>
      <w:r w:rsidR="000544E4">
        <w:t xml:space="preserve"> </w:t>
      </w:r>
      <w:r w:rsidR="00BC665A">
        <w:t xml:space="preserve">la agitación. </w:t>
      </w:r>
      <w:r w:rsidR="000544E4">
        <w:t xml:space="preserve">No obstante, </w:t>
      </w:r>
      <w:r w:rsidR="00BC665A">
        <w:t xml:space="preserve">la concentración unida </w:t>
      </w:r>
      <w:r w:rsidR="000544E4">
        <w:t>con</w:t>
      </w:r>
      <w:r w:rsidR="00BC665A">
        <w:t xml:space="preserve"> la energía no p</w:t>
      </w:r>
      <w:r w:rsidR="000544E4">
        <w:t>o</w:t>
      </w:r>
      <w:r w:rsidR="00BC665A">
        <w:t>d</w:t>
      </w:r>
      <w:r w:rsidR="000544E4">
        <w:t>rá</w:t>
      </w:r>
      <w:r w:rsidR="00BC665A">
        <w:t xml:space="preserve"> </w:t>
      </w:r>
      <w:r w:rsidR="009732CD">
        <w:t xml:space="preserve">ser vencida por </w:t>
      </w:r>
      <w:r w:rsidR="00D75EFB">
        <w:t>el letargo</w:t>
      </w:r>
      <w:r w:rsidR="00BC665A">
        <w:t xml:space="preserve">, y la energía unida </w:t>
      </w:r>
      <w:r w:rsidR="009732CD">
        <w:t>con</w:t>
      </w:r>
      <w:r w:rsidR="00BC665A">
        <w:t xml:space="preserve"> la concentración no </w:t>
      </w:r>
      <w:r w:rsidR="009732CD">
        <w:t xml:space="preserve">podrá </w:t>
      </w:r>
      <w:r w:rsidR="00A0107A">
        <w:t xml:space="preserve">ser </w:t>
      </w:r>
      <w:r w:rsidR="0035494A">
        <w:t>vencida por</w:t>
      </w:r>
      <w:r w:rsidR="00BC665A">
        <w:t xml:space="preserve"> la agitación. Entonces estos dos debe</w:t>
      </w:r>
      <w:r w:rsidR="0035494A">
        <w:t>rá</w:t>
      </w:r>
      <w:r w:rsidR="00BC665A">
        <w:t>n estar equilibrados; porque la absorción ven</w:t>
      </w:r>
      <w:r w:rsidR="0035494A">
        <w:t>drá</w:t>
      </w:r>
      <w:r w:rsidR="00BC665A">
        <w:t xml:space="preserve"> </w:t>
      </w:r>
      <w:r w:rsidR="007A2C66">
        <w:t xml:space="preserve">sólo </w:t>
      </w:r>
      <w:r w:rsidR="00BC665A">
        <w:t xml:space="preserve">con el equilibrio de </w:t>
      </w:r>
      <w:r w:rsidR="0035494A">
        <w:t>ambos</w:t>
      </w:r>
      <w:r w:rsidR="00BC665A">
        <w:t>.</w:t>
      </w:r>
    </w:p>
    <w:p w14:paraId="17CD1F7A" w14:textId="72B55008" w:rsidR="00BC665A" w:rsidRDefault="00BC665A" w:rsidP="00BC665A">
      <w:r>
        <w:t xml:space="preserve">48. </w:t>
      </w:r>
      <w:r>
        <w:tab/>
        <w:t>Una vez más, [la concentración y la fe deben estar equilibradas]. El que trabaj</w:t>
      </w:r>
      <w:r w:rsidR="0035494A">
        <w:t>e</w:t>
      </w:r>
      <w:r>
        <w:t xml:space="preserve"> en la concentración </w:t>
      </w:r>
      <w:r w:rsidR="0035494A">
        <w:t xml:space="preserve">requerirá </w:t>
      </w:r>
      <w:r w:rsidR="007A2C66">
        <w:t xml:space="preserve">de </w:t>
      </w:r>
      <w:r>
        <w:t>una fe fuerte, ya que es con tal fe y confianza que alcanza</w:t>
      </w:r>
      <w:r w:rsidR="0035494A">
        <w:t>rá</w:t>
      </w:r>
      <w:r>
        <w:t xml:space="preserve"> la absorción. Luego </w:t>
      </w:r>
      <w:r w:rsidR="0068765D">
        <w:t>debe</w:t>
      </w:r>
      <w:r w:rsidR="00BD3CDB">
        <w:t xml:space="preserve">rá </w:t>
      </w:r>
      <w:r w:rsidR="0068765D">
        <w:t xml:space="preserve">asegurar </w:t>
      </w:r>
      <w:r>
        <w:t xml:space="preserve">[el equilibrio </w:t>
      </w:r>
      <w:r w:rsidR="0096405E">
        <w:t>entre</w:t>
      </w:r>
      <w:r>
        <w:t xml:space="preserve">] la concentración y </w:t>
      </w:r>
      <w:r w:rsidR="00A338FA">
        <w:t xml:space="preserve">la </w:t>
      </w:r>
      <w:r w:rsidR="00B048F0" w:rsidRPr="00527EA6">
        <w:t>sabid</w:t>
      </w:r>
      <w:r w:rsidR="00B048F0">
        <w:t>uría–revelativa</w:t>
      </w:r>
      <w:r>
        <w:t>. Quien trabaj</w:t>
      </w:r>
      <w:r w:rsidR="0068765D">
        <w:t>e</w:t>
      </w:r>
      <w:r>
        <w:t xml:space="preserve"> en la concentración </w:t>
      </w:r>
      <w:r w:rsidR="0068765D">
        <w:t>requerirá</w:t>
      </w:r>
      <w:r>
        <w:t xml:space="preserve"> una fuerte unificación, ya que así </w:t>
      </w:r>
      <w:r w:rsidR="0014189B">
        <w:t xml:space="preserve">podrá </w:t>
      </w:r>
      <w:r w:rsidR="00A8417D">
        <w:t>consumar</w:t>
      </w:r>
      <w:r>
        <w:t xml:space="preserve"> la absorción; y quien trabaj</w:t>
      </w:r>
      <w:r w:rsidR="0014189B">
        <w:t>e</w:t>
      </w:r>
      <w:r>
        <w:t xml:space="preserve"> en la </w:t>
      </w:r>
      <w:r w:rsidR="008E4908" w:rsidRPr="00527EA6">
        <w:t>sabid</w:t>
      </w:r>
      <w:r w:rsidR="008E4908">
        <w:t>uría–revelativa</w:t>
      </w:r>
      <w:r w:rsidR="0014189B">
        <w:t xml:space="preserve"> requerirá </w:t>
      </w:r>
      <w:r>
        <w:t xml:space="preserve">un fuerte </w:t>
      </w:r>
      <w:r w:rsidR="0014189B">
        <w:t>entendimiento</w:t>
      </w:r>
      <w:r>
        <w:t>, ya que así alcanza</w:t>
      </w:r>
      <w:r w:rsidR="0014189B">
        <w:t>rá</w:t>
      </w:r>
      <w:r>
        <w:t xml:space="preserve"> la penetración de las características; pero con el equilibrio de </w:t>
      </w:r>
      <w:r w:rsidR="0014189B">
        <w:t>ambos</w:t>
      </w:r>
      <w:r>
        <w:t xml:space="preserve"> </w:t>
      </w:r>
      <w:r w:rsidR="00B82104">
        <w:t xml:space="preserve">se </w:t>
      </w:r>
      <w:r>
        <w:t>alcanza</w:t>
      </w:r>
      <w:r w:rsidR="00C70E9E">
        <w:t xml:space="preserve">rá </w:t>
      </w:r>
      <w:r>
        <w:t>también la absorción.</w:t>
      </w:r>
    </w:p>
    <w:p w14:paraId="38ECFF54" w14:textId="66EAD1B8" w:rsidR="00BC665A" w:rsidRDefault="00BC665A" w:rsidP="00D7392D">
      <w:r>
        <w:t xml:space="preserve">49. </w:t>
      </w:r>
      <w:r>
        <w:tab/>
      </w:r>
      <w:r w:rsidR="00B82104">
        <w:t xml:space="preserve">No obstante, </w:t>
      </w:r>
      <w:r>
        <w:t xml:space="preserve">se </w:t>
      </w:r>
      <w:r w:rsidR="00CC0956">
        <w:t>requerirá</w:t>
      </w:r>
      <w:r>
        <w:t xml:space="preserve"> una </w:t>
      </w:r>
      <w:r w:rsidR="00B82104">
        <w:t>sólida</w:t>
      </w:r>
      <w:r>
        <w:t xml:space="preserve"> atención plena en todos los casos; pues la atención plena protege</w:t>
      </w:r>
      <w:r w:rsidR="00CC0956">
        <w:t xml:space="preserve">rá </w:t>
      </w:r>
      <w:r>
        <w:t xml:space="preserve">a la mente de </w:t>
      </w:r>
      <w:r w:rsidR="009D6AD5">
        <w:t>ser vencida</w:t>
      </w:r>
      <w:r>
        <w:t xml:space="preserve"> </w:t>
      </w:r>
      <w:r w:rsidR="009D6AD5">
        <w:t>por</w:t>
      </w:r>
      <w:r>
        <w:t xml:space="preserve"> la agitación </w:t>
      </w:r>
      <w:r w:rsidR="009D6AD5">
        <w:t xml:space="preserve">producida </w:t>
      </w:r>
      <w:r>
        <w:t xml:space="preserve">por la fe, la energía y </w:t>
      </w:r>
      <w:r w:rsidR="009D6AD5">
        <w:t>el entendimiento</w:t>
      </w:r>
      <w:r>
        <w:t xml:space="preserve">, </w:t>
      </w:r>
      <w:r w:rsidR="009D6AD5">
        <w:t xml:space="preserve">lo cual </w:t>
      </w:r>
      <w:r>
        <w:t>favorece</w:t>
      </w:r>
      <w:r w:rsidR="00E045E2">
        <w:t>rá</w:t>
      </w:r>
      <w:r w:rsidR="00B9650F">
        <w:t xml:space="preserve"> a</w:t>
      </w:r>
      <w:r>
        <w:t xml:space="preserve"> la agitación, y </w:t>
      </w:r>
      <w:r w:rsidR="003828FD">
        <w:t xml:space="preserve">que la concentración sea </w:t>
      </w:r>
      <w:r w:rsidR="009D6AD5">
        <w:t>ven</w:t>
      </w:r>
      <w:r w:rsidR="003828FD">
        <w:t>c</w:t>
      </w:r>
      <w:r w:rsidR="009D6AD5">
        <w:t>id</w:t>
      </w:r>
      <w:r w:rsidR="003828FD">
        <w:t>a</w:t>
      </w:r>
      <w:r w:rsidR="009D6AD5">
        <w:t xml:space="preserve"> </w:t>
      </w:r>
      <w:r w:rsidR="003828FD">
        <w:t xml:space="preserve">por </w:t>
      </w:r>
      <w:r w:rsidR="00000684">
        <w:t>el letargo</w:t>
      </w:r>
      <w:r>
        <w:t xml:space="preserve">, </w:t>
      </w:r>
      <w:r w:rsidR="00442646">
        <w:t xml:space="preserve">ya </w:t>
      </w:r>
      <w:r>
        <w:t xml:space="preserve">que </w:t>
      </w:r>
      <w:r w:rsidR="00442646">
        <w:t xml:space="preserve">ésta propicia </w:t>
      </w:r>
      <w:r>
        <w:t xml:space="preserve">la </w:t>
      </w:r>
      <w:r w:rsidR="00FD14A2">
        <w:t>modorra</w:t>
      </w:r>
      <w:r>
        <w:t>. Así</w:t>
      </w:r>
      <w:r w:rsidR="005B0794">
        <w:t>,</w:t>
      </w:r>
      <w:r>
        <w:t xml:space="preserve"> </w:t>
      </w:r>
      <w:r w:rsidR="005153CC">
        <w:t xml:space="preserve">la atención plena </w:t>
      </w:r>
      <w:r w:rsidR="00FD14A2">
        <w:t>será</w:t>
      </w:r>
      <w:r>
        <w:t xml:space="preserve"> </w:t>
      </w:r>
      <w:r w:rsidR="00442646">
        <w:t xml:space="preserve">muy </w:t>
      </w:r>
      <w:r>
        <w:t xml:space="preserve">deseable en todos los casos como </w:t>
      </w:r>
      <w:r w:rsidR="005153CC">
        <w:t xml:space="preserve">el </w:t>
      </w:r>
      <w:r>
        <w:t xml:space="preserve">condimento de </w:t>
      </w:r>
      <w:r w:rsidR="005153CC">
        <w:t xml:space="preserve">la </w:t>
      </w:r>
      <w:r>
        <w:t>sal en todas las salsas, como un primer ministro en todos los asuntos de</w:t>
      </w:r>
      <w:r w:rsidR="005153CC">
        <w:t>l</w:t>
      </w:r>
      <w:r>
        <w:t xml:space="preserve"> </w:t>
      </w:r>
      <w:r w:rsidR="00442646">
        <w:t>rey</w:t>
      </w:r>
      <w:r>
        <w:t>. Por e</w:t>
      </w:r>
      <w:r w:rsidR="00442646">
        <w:t>ll</w:t>
      </w:r>
      <w:r>
        <w:t xml:space="preserve">o se dice [en los comentarios (D-a 788, M-a I 292, etc.)]: “Y la atención plena ha sido </w:t>
      </w:r>
      <w:r w:rsidR="007158A0">
        <w:t xml:space="preserve">invocada </w:t>
      </w:r>
      <w:r>
        <w:t>universal</w:t>
      </w:r>
      <w:r w:rsidR="00FD14A2">
        <w:t>mente</w:t>
      </w:r>
      <w:r>
        <w:t xml:space="preserve"> por el </w:t>
      </w:r>
      <w:r w:rsidR="007158A0" w:rsidRPr="007158A0">
        <w:rPr>
          <w:i/>
          <w:iCs/>
        </w:rPr>
        <w:t>Bhagavā</w:t>
      </w:r>
      <w:r>
        <w:t>. ¿Por qué razón? Porque la mente ten</w:t>
      </w:r>
      <w:r w:rsidR="007158A0">
        <w:t>drá</w:t>
      </w:r>
      <w:r>
        <w:t xml:space="preserve"> </w:t>
      </w:r>
      <w:r w:rsidR="007158A0">
        <w:t xml:space="preserve">a </w:t>
      </w:r>
      <w:r>
        <w:t>la atención plena como su refugio, y la atención plena se manifesta</w:t>
      </w:r>
      <w:r w:rsidR="007158A0">
        <w:t>rá c</w:t>
      </w:r>
      <w:r>
        <w:t xml:space="preserve">omo protección, y no </w:t>
      </w:r>
      <w:r w:rsidR="00F07B8D">
        <w:t xml:space="preserve">se </w:t>
      </w:r>
      <w:r w:rsidR="00EA2015">
        <w:t xml:space="preserve">podrá </w:t>
      </w:r>
      <w:r w:rsidR="00D20C47">
        <w:t xml:space="preserve">ejercer </w:t>
      </w:r>
      <w:r w:rsidR="00EA2015">
        <w:t xml:space="preserve">el </w:t>
      </w:r>
      <w:r>
        <w:t xml:space="preserve">esfuerzo ni </w:t>
      </w:r>
      <w:r w:rsidR="00EA2015">
        <w:t xml:space="preserve">la </w:t>
      </w:r>
      <w:r>
        <w:t xml:space="preserve">restricción </w:t>
      </w:r>
      <w:r w:rsidR="00F07B8D">
        <w:t xml:space="preserve">mental </w:t>
      </w:r>
      <w:r>
        <w:t xml:space="preserve">sin </w:t>
      </w:r>
      <w:r w:rsidR="005153CC">
        <w:t xml:space="preserve">la </w:t>
      </w:r>
      <w:r>
        <w:t>atención plena”.</w:t>
      </w:r>
      <w:r>
        <w:br w:type="page"/>
      </w:r>
    </w:p>
    <w:p w14:paraId="6638510D" w14:textId="77777777" w:rsidR="00155B64" w:rsidRDefault="00155B64" w:rsidP="00BC665A"/>
    <w:p w14:paraId="6D3127B0" w14:textId="7E02BDEB" w:rsidR="00155B64" w:rsidRDefault="00155B64" w:rsidP="00155B64">
      <w:r>
        <w:t xml:space="preserve">50. </w:t>
      </w:r>
      <w:r>
        <w:tab/>
        <w:t xml:space="preserve">3. </w:t>
      </w:r>
      <w:r w:rsidRPr="00136CF6">
        <w:rPr>
          <w:i/>
          <w:iCs/>
        </w:rPr>
        <w:t>La habilidad en el signo</w:t>
      </w:r>
      <w:r>
        <w:t xml:space="preserve"> es la habilidad </w:t>
      </w:r>
      <w:r w:rsidR="00F66516">
        <w:t>de</w:t>
      </w:r>
      <w:r>
        <w:t xml:space="preserve"> </w:t>
      </w:r>
      <w:r w:rsidR="00F66516">
        <w:t>re</w:t>
      </w:r>
      <w:r>
        <w:t>producir el signo aún no producido de la unificación ment</w:t>
      </w:r>
      <w:r w:rsidR="007A432E">
        <w:t>al</w:t>
      </w:r>
      <w:r>
        <w:t xml:space="preserve"> a través de</w:t>
      </w:r>
      <w:r w:rsidR="00464B07">
        <w:t>l</w:t>
      </w:r>
      <w:r>
        <w:t xml:space="preserve"> </w:t>
      </w:r>
      <w:proofErr w:type="spellStart"/>
      <w:r w:rsidR="00057BF4" w:rsidRPr="00057BF4">
        <w:rPr>
          <w:i/>
        </w:rPr>
        <w:t>kasiṇa</w:t>
      </w:r>
      <w:proofErr w:type="spellEnd"/>
      <w:r w:rsidR="00464B07" w:rsidRPr="00464B07">
        <w:t xml:space="preserve"> </w:t>
      </w:r>
      <w:r w:rsidR="00464B07">
        <w:t>tierra</w:t>
      </w:r>
      <w:r>
        <w:t xml:space="preserve">, etc.; y es </w:t>
      </w:r>
      <w:r w:rsidR="00464B07">
        <w:t xml:space="preserve">la </w:t>
      </w:r>
      <w:r>
        <w:t>habilidad para desarrollar [el signo] cuando se produ</w:t>
      </w:r>
      <w:r w:rsidR="00464B07">
        <w:t>zca</w:t>
      </w:r>
      <w:r>
        <w:t xml:space="preserve">, y </w:t>
      </w:r>
      <w:r w:rsidR="00464B07">
        <w:t xml:space="preserve">la </w:t>
      </w:r>
      <w:r>
        <w:t>habilidad para proteger [el signo] cuando se obten</w:t>
      </w:r>
      <w:r w:rsidR="00464B07">
        <w:t>ga</w:t>
      </w:r>
      <w:r>
        <w:t xml:space="preserve"> </w:t>
      </w:r>
      <w:r w:rsidR="00A54979">
        <w:t>mediante e</w:t>
      </w:r>
      <w:r w:rsidR="00FF465F">
        <w:t>ste</w:t>
      </w:r>
      <w:r>
        <w:t xml:space="preserve"> desarrollo. Esto último es lo que aquí se </w:t>
      </w:r>
      <w:r w:rsidR="007E4EF8">
        <w:t>quiere decir</w:t>
      </w:r>
      <w:r>
        <w:t>.</w:t>
      </w:r>
    </w:p>
    <w:p w14:paraId="11CC7B2F" w14:textId="2827FF0B" w:rsidR="00155B64" w:rsidRDefault="00155B64" w:rsidP="00155B64">
      <w:r>
        <w:t xml:space="preserve">51. </w:t>
      </w:r>
      <w:r>
        <w:tab/>
        <w:t xml:space="preserve">4. ¿Cómo </w:t>
      </w:r>
      <w:r w:rsidR="007E4EF8">
        <w:t xml:space="preserve">él </w:t>
      </w:r>
      <w:r w:rsidRPr="00136CF6">
        <w:rPr>
          <w:i/>
          <w:iCs/>
        </w:rPr>
        <w:t xml:space="preserve">ejercita la mente en una ocasión en </w:t>
      </w:r>
      <w:r w:rsidR="007A432E">
        <w:rPr>
          <w:i/>
          <w:iCs/>
        </w:rPr>
        <w:t xml:space="preserve">la </w:t>
      </w:r>
      <w:r w:rsidRPr="00136CF6">
        <w:rPr>
          <w:i/>
          <w:iCs/>
        </w:rPr>
        <w:t>que deb</w:t>
      </w:r>
      <w:r w:rsidR="0092519A">
        <w:rPr>
          <w:i/>
          <w:iCs/>
        </w:rPr>
        <w:t>a</w:t>
      </w:r>
      <w:r w:rsidRPr="00136CF6">
        <w:rPr>
          <w:i/>
          <w:iCs/>
        </w:rPr>
        <w:t xml:space="preserve"> ejercitarse</w:t>
      </w:r>
      <w:r>
        <w:t>? Cuando su mente est</w:t>
      </w:r>
      <w:r w:rsidR="0092519A">
        <w:t>é</w:t>
      </w:r>
      <w:r>
        <w:t xml:space="preserve"> </w:t>
      </w:r>
      <w:r w:rsidR="00E4187A" w:rsidRPr="00E4187A">
        <w:t>letárgica</w:t>
      </w:r>
      <w:r w:rsidRPr="00C6320D">
        <w:rPr>
          <w:color w:val="1F3864" w:themeColor="accent1" w:themeShade="80"/>
        </w:rPr>
        <w:t xml:space="preserve"> </w:t>
      </w:r>
      <w:r>
        <w:t xml:space="preserve">debido a un exceso </w:t>
      </w:r>
      <w:r w:rsidR="001C71F9">
        <w:t>d</w:t>
      </w:r>
      <w:r>
        <w:t xml:space="preserve">e </w:t>
      </w:r>
      <w:r w:rsidR="001C71F9">
        <w:t>laxitud e</w:t>
      </w:r>
      <w:r w:rsidR="00E4187A">
        <w:t>n</w:t>
      </w:r>
      <w:r w:rsidR="001C71F9">
        <w:t xml:space="preserve"> la </w:t>
      </w:r>
      <w:r>
        <w:t xml:space="preserve">energía, etc., entonces, en lugar de desarrollar los tres factores de </w:t>
      </w:r>
      <w:r w:rsidR="00C52297">
        <w:t xml:space="preserve">la </w:t>
      </w:r>
      <w:r>
        <w:t>iluminación comenzando con la tranquilidad, debe</w:t>
      </w:r>
      <w:r w:rsidR="00C52297">
        <w:t>rá</w:t>
      </w:r>
      <w:r>
        <w:t xml:space="preserve"> desarrollar lo</w:t>
      </w:r>
      <w:r w:rsidR="008A5A4D">
        <w:t>s</w:t>
      </w:r>
      <w:r>
        <w:t xml:space="preserve"> </w:t>
      </w:r>
      <w:r w:rsidR="008A5A4D">
        <w:t xml:space="preserve">factores </w:t>
      </w:r>
      <w:r>
        <w:t>que comien</w:t>
      </w:r>
      <w:r w:rsidR="00424CC7">
        <w:t>za</w:t>
      </w:r>
      <w:r w:rsidR="008A5A4D">
        <w:t>n</w:t>
      </w:r>
      <w:r>
        <w:t xml:space="preserve"> con la investigación</w:t>
      </w:r>
      <w:r w:rsidR="00F22426">
        <w:t>-</w:t>
      </w:r>
      <w:r>
        <w:t>de</w:t>
      </w:r>
      <w:r w:rsidR="00F22426">
        <w:t>-</w:t>
      </w:r>
      <w:r>
        <w:t>los</w:t>
      </w:r>
      <w:r w:rsidR="00F22426">
        <w:t>-</w:t>
      </w:r>
      <w:r>
        <w:t xml:space="preserve">estados. Porque el </w:t>
      </w:r>
      <w:r w:rsidR="00424CC7" w:rsidRPr="00F22426">
        <w:rPr>
          <w:i/>
          <w:iCs/>
        </w:rPr>
        <w:t>Bhagavā</w:t>
      </w:r>
      <w:r>
        <w:t xml:space="preserve"> </w:t>
      </w:r>
      <w:r w:rsidR="00424CC7">
        <w:t>ha dicho</w:t>
      </w:r>
      <w:r>
        <w:t xml:space="preserve"> esto: “</w:t>
      </w:r>
      <w:proofErr w:type="spellStart"/>
      <w:r w:rsidR="00057BF4" w:rsidRPr="00057BF4">
        <w:rPr>
          <w:i/>
          <w:iCs/>
        </w:rPr>
        <w:t>Bhikkhu</w:t>
      </w:r>
      <w:r w:rsidRPr="00136CF6">
        <w:rPr>
          <w:i/>
          <w:iCs/>
        </w:rPr>
        <w:t>s</w:t>
      </w:r>
      <w:proofErr w:type="spellEnd"/>
      <w:r>
        <w:t xml:space="preserve">, supongan que un hombre quisiera </w:t>
      </w:r>
      <w:r w:rsidR="00424CC7">
        <w:t xml:space="preserve">prender </w:t>
      </w:r>
      <w:r>
        <w:t xml:space="preserve">un pequeño fuego, y </w:t>
      </w:r>
      <w:r w:rsidR="00BB7F17">
        <w:t>dis</w:t>
      </w:r>
      <w:r>
        <w:t>pus</w:t>
      </w:r>
      <w:r w:rsidR="00424CC7">
        <w:t>iera</w:t>
      </w:r>
      <w:r>
        <w:t xml:space="preserve"> </w:t>
      </w:r>
      <w:r w:rsidR="00BB7F17">
        <w:t xml:space="preserve">de </w:t>
      </w:r>
      <w:r>
        <w:t>hierba mojada, estiércol de vaca húmedo, palos húmedos y lo roc</w:t>
      </w:r>
      <w:r w:rsidR="00BB7F17">
        <w:t>iase</w:t>
      </w:r>
      <w:r>
        <w:t xml:space="preserve"> con agua, y espar</w:t>
      </w:r>
      <w:r w:rsidR="00BB7F17">
        <w:t>ciese</w:t>
      </w:r>
      <w:r>
        <w:t xml:space="preserve"> polvo sobre él, ¿podr</w:t>
      </w:r>
      <w:r w:rsidR="00BB7F17">
        <w:t xml:space="preserve">ía </w:t>
      </w:r>
      <w:r>
        <w:t xml:space="preserve">ese hombre hacer que </w:t>
      </w:r>
      <w:r w:rsidR="005C6A8C">
        <w:t xml:space="preserve">prenda </w:t>
      </w:r>
      <w:r>
        <w:t xml:space="preserve">el pequeño fuego? [131]— “No, venerable señor.”—“Así también, </w:t>
      </w:r>
      <w:proofErr w:type="spellStart"/>
      <w:r w:rsidR="00057BF4" w:rsidRPr="00057BF4">
        <w:rPr>
          <w:i/>
          <w:iCs/>
        </w:rPr>
        <w:t>bhikkhu</w:t>
      </w:r>
      <w:r w:rsidR="00136CF6" w:rsidRPr="00136CF6">
        <w:rPr>
          <w:i/>
          <w:iCs/>
        </w:rPr>
        <w:t>s</w:t>
      </w:r>
      <w:proofErr w:type="spellEnd"/>
      <w:r>
        <w:t>, cuando la mente est</w:t>
      </w:r>
      <w:r w:rsidR="005C6A8C">
        <w:t>é</w:t>
      </w:r>
      <w:r>
        <w:t xml:space="preserve"> </w:t>
      </w:r>
      <w:r w:rsidR="00CC5E48" w:rsidRPr="00CC5E48">
        <w:t>letárgica</w:t>
      </w:r>
      <w:r>
        <w:t xml:space="preserve">, </w:t>
      </w:r>
      <w:r w:rsidR="00CC5E48">
        <w:t>é</w:t>
      </w:r>
      <w:r>
        <w:t xml:space="preserve">se no </w:t>
      </w:r>
      <w:r w:rsidR="009D0E7F">
        <w:t xml:space="preserve">será </w:t>
      </w:r>
      <w:r>
        <w:t xml:space="preserve">el momento </w:t>
      </w:r>
      <w:r w:rsidR="00FC1B5E">
        <w:t>para</w:t>
      </w:r>
      <w:r>
        <w:t xml:space="preserve"> desarrollar el factor de </w:t>
      </w:r>
      <w:r w:rsidR="009D0E7F">
        <w:t xml:space="preserve">la </w:t>
      </w:r>
      <w:r>
        <w:t xml:space="preserve">iluminación de la tranquilidad, el factor de </w:t>
      </w:r>
      <w:r w:rsidR="009D0E7F">
        <w:t xml:space="preserve">la </w:t>
      </w:r>
      <w:r>
        <w:t xml:space="preserve">iluminación de la concentración o el factor de </w:t>
      </w:r>
      <w:r w:rsidR="009D0E7F">
        <w:t xml:space="preserve">la </w:t>
      </w:r>
      <w:r>
        <w:t xml:space="preserve">iluminación de la ecuanimidad. ¿Porqué? Porque una mente </w:t>
      </w:r>
      <w:r w:rsidR="00CC5E48" w:rsidRPr="00CC5E48">
        <w:t>letárgica</w:t>
      </w:r>
      <w:r w:rsidR="00CC5E48">
        <w:t xml:space="preserve"> </w:t>
      </w:r>
      <w:r>
        <w:t xml:space="preserve">no </w:t>
      </w:r>
      <w:r w:rsidR="00694A24">
        <w:t xml:space="preserve">podrá </w:t>
      </w:r>
      <w:r>
        <w:t>desperta</w:t>
      </w:r>
      <w:r w:rsidR="008F1542">
        <w:t>rse correctamente</w:t>
      </w:r>
      <w:r>
        <w:t xml:space="preserve"> </w:t>
      </w:r>
      <w:r w:rsidR="008F1542">
        <w:t>mediante</w:t>
      </w:r>
      <w:r>
        <w:t xml:space="preserve"> esos estados. Cuando la mente est</w:t>
      </w:r>
      <w:r w:rsidR="00694A24">
        <w:t>é</w:t>
      </w:r>
      <w:r>
        <w:t xml:space="preserve"> </w:t>
      </w:r>
      <w:r w:rsidR="00E951EC" w:rsidRPr="00CC5E48">
        <w:t>letárgica</w:t>
      </w:r>
      <w:r>
        <w:t xml:space="preserve">, </w:t>
      </w:r>
      <w:r w:rsidR="00E951EC">
        <w:t>é</w:t>
      </w:r>
      <w:r>
        <w:t xml:space="preserve">se </w:t>
      </w:r>
      <w:r w:rsidR="00DF752E">
        <w:t>será</w:t>
      </w:r>
      <w:r>
        <w:t xml:space="preserve"> el momento </w:t>
      </w:r>
      <w:r w:rsidR="00E951EC">
        <w:t>para</w:t>
      </w:r>
      <w:r>
        <w:t xml:space="preserve"> desarrollar el factor de iluminación de </w:t>
      </w:r>
      <w:r w:rsidR="006E19A5">
        <w:t>la-</w:t>
      </w:r>
      <w:r>
        <w:t>investigación</w:t>
      </w:r>
      <w:r w:rsidR="006E19A5">
        <w:t>-</w:t>
      </w:r>
      <w:r>
        <w:t>de</w:t>
      </w:r>
      <w:r w:rsidR="006E19A5">
        <w:t>-</w:t>
      </w:r>
      <w:r>
        <w:t>estados, el factor de iluminación de</w:t>
      </w:r>
      <w:r w:rsidR="006E19A5">
        <w:t xml:space="preserve"> la</w:t>
      </w:r>
      <w:r>
        <w:t xml:space="preserve"> energía y el factor de iluminación de </w:t>
      </w:r>
      <w:r w:rsidR="006E19A5">
        <w:t xml:space="preserve">la </w:t>
      </w:r>
      <w:r>
        <w:t xml:space="preserve">felicidad. ¿Porqué? Porque una mente </w:t>
      </w:r>
      <w:r w:rsidR="00E951EC" w:rsidRPr="00CC5E48">
        <w:t>letárgica</w:t>
      </w:r>
      <w:r w:rsidR="00E951EC">
        <w:t xml:space="preserve"> </w:t>
      </w:r>
      <w:r>
        <w:t xml:space="preserve">puede ser </w:t>
      </w:r>
      <w:r w:rsidR="005406D5">
        <w:t xml:space="preserve">bien </w:t>
      </w:r>
      <w:r>
        <w:t>despertada por esos estados.</w:t>
      </w:r>
    </w:p>
    <w:p w14:paraId="6C9E7172" w14:textId="786D4ABA" w:rsidR="00155B64" w:rsidRDefault="00155B64" w:rsidP="00155B64">
      <w:pPr>
        <w:pStyle w:val="NormalConSangria"/>
      </w:pPr>
      <w:r>
        <w:t>“Monjes, supongan que un hombre quisiera hacer arder un pequeño fuego y le pus</w:t>
      </w:r>
      <w:r w:rsidR="006F7B39">
        <w:t>iera</w:t>
      </w:r>
      <w:r>
        <w:t xml:space="preserve"> hierba seca, estiércol de vaca</w:t>
      </w:r>
      <w:r w:rsidR="006F7B39" w:rsidRPr="006F7B39">
        <w:t xml:space="preserve"> </w:t>
      </w:r>
      <w:r w:rsidR="006F7B39">
        <w:t>seco</w:t>
      </w:r>
      <w:r>
        <w:t>, palos secos, sopl</w:t>
      </w:r>
      <w:r w:rsidR="006F7B39">
        <w:t>ara</w:t>
      </w:r>
      <w:r>
        <w:t xml:space="preserve"> y no esparci</w:t>
      </w:r>
      <w:r w:rsidR="006F7B39">
        <w:t>era</w:t>
      </w:r>
      <w:r>
        <w:t xml:space="preserve"> polvo sobre él. ¿Sería capaz ese hombre de </w:t>
      </w:r>
      <w:r w:rsidR="006F7B39">
        <w:t>prender</w:t>
      </w:r>
      <w:r>
        <w:t xml:space="preserve"> </w:t>
      </w:r>
      <w:r w:rsidR="00162459">
        <w:t>un</w:t>
      </w:r>
      <w:r>
        <w:t xml:space="preserve"> pequeño fuego?”—“Sí</w:t>
      </w:r>
      <w:r w:rsidR="006F7B39">
        <w:t>, Venerable Señor</w:t>
      </w:r>
      <w:r>
        <w:t>” (S V 112).</w:t>
      </w:r>
    </w:p>
    <w:p w14:paraId="1573052C" w14:textId="282EEB15" w:rsidR="00155B64" w:rsidRDefault="00155B64" w:rsidP="00155B64">
      <w:r>
        <w:t xml:space="preserve">52. </w:t>
      </w:r>
      <w:r>
        <w:tab/>
        <w:t xml:space="preserve">Y aquí el desarrollo del factor de </w:t>
      </w:r>
      <w:r w:rsidR="00D45D0F">
        <w:t xml:space="preserve">la </w:t>
      </w:r>
      <w:r>
        <w:t>iluminación</w:t>
      </w:r>
      <w:r w:rsidR="000425D7">
        <w:t xml:space="preserve"> </w:t>
      </w:r>
      <w:r>
        <w:t>de</w:t>
      </w:r>
      <w:r w:rsidR="000425D7">
        <w:t xml:space="preserve"> </w:t>
      </w:r>
      <w:r>
        <w:t>la</w:t>
      </w:r>
      <w:r w:rsidR="000425D7">
        <w:t xml:space="preserve"> </w:t>
      </w:r>
      <w:r>
        <w:t>investigación</w:t>
      </w:r>
      <w:r w:rsidR="000425D7">
        <w:t>-</w:t>
      </w:r>
      <w:r>
        <w:t>de</w:t>
      </w:r>
      <w:r w:rsidR="000425D7">
        <w:t>-</w:t>
      </w:r>
      <w:r>
        <w:t>los</w:t>
      </w:r>
      <w:r w:rsidR="000425D7">
        <w:t>-</w:t>
      </w:r>
      <w:r>
        <w:t xml:space="preserve">estados, etc., debe entenderse como el </w:t>
      </w:r>
      <w:r w:rsidR="008B2376" w:rsidRPr="008B2376">
        <w:t xml:space="preserve">nutrimento </w:t>
      </w:r>
      <w:r>
        <w:t xml:space="preserve">para cada uno respectivamente, porque esto </w:t>
      </w:r>
      <w:r w:rsidR="00542F89">
        <w:t>está</w:t>
      </w:r>
      <w:r>
        <w:t xml:space="preserve"> </w:t>
      </w:r>
      <w:r w:rsidR="0051487A">
        <w:t>d</w:t>
      </w:r>
      <w:r w:rsidR="00542F89">
        <w:t>icho</w:t>
      </w:r>
      <w:r>
        <w:t>: “</w:t>
      </w:r>
      <w:proofErr w:type="spellStart"/>
      <w:r w:rsidR="00057BF4" w:rsidRPr="00057BF4">
        <w:rPr>
          <w:i/>
          <w:iCs/>
        </w:rPr>
        <w:t>Bhikkhu</w:t>
      </w:r>
      <w:r w:rsidRPr="00136CF6">
        <w:rPr>
          <w:i/>
          <w:iCs/>
        </w:rPr>
        <w:t>s</w:t>
      </w:r>
      <w:proofErr w:type="spellEnd"/>
      <w:r>
        <w:t xml:space="preserve">, hay estados </w:t>
      </w:r>
      <w:r w:rsidR="00542F89">
        <w:t>productivos</w:t>
      </w:r>
      <w:r>
        <w:t xml:space="preserve"> </w:t>
      </w:r>
      <w:r w:rsidR="00D92622">
        <w:t>e</w:t>
      </w:r>
      <w:r>
        <w:t xml:space="preserve"> </w:t>
      </w:r>
      <w:r w:rsidR="00D92622">
        <w:t>imp</w:t>
      </w:r>
      <w:r w:rsidR="00542F89">
        <w:t>roductivos</w:t>
      </w:r>
      <w:r>
        <w:t>, estados reprensibles e irreprensibles, estados inferiores y superiores, estados oscuros y brillantes, la</w:t>
      </w:r>
      <w:r w:rsidR="0065791F">
        <w:t>s</w:t>
      </w:r>
      <w:r>
        <w:t xml:space="preserve"> contrapartida</w:t>
      </w:r>
      <w:r w:rsidR="0065791F">
        <w:t>s</w:t>
      </w:r>
      <w:r>
        <w:t xml:space="preserve"> entre sí. La atención </w:t>
      </w:r>
      <w:proofErr w:type="spellStart"/>
      <w:r>
        <w:t>sabia</w:t>
      </w:r>
      <w:proofErr w:type="spellEnd"/>
      <w:r>
        <w:t xml:space="preserve"> que se practi</w:t>
      </w:r>
      <w:r w:rsidR="000A5A8E">
        <w:t>que</w:t>
      </w:r>
      <w:r>
        <w:t xml:space="preserve"> mucho </w:t>
      </w:r>
      <w:r w:rsidR="00C128AC">
        <w:t>será</w:t>
      </w:r>
      <w:r>
        <w:t xml:space="preserve"> el </w:t>
      </w:r>
      <w:r w:rsidR="00D92622">
        <w:t xml:space="preserve">sustento </w:t>
      </w:r>
      <w:r>
        <w:t xml:space="preserve">para el surgimiento del factor de </w:t>
      </w:r>
      <w:r w:rsidR="00BC3716">
        <w:t xml:space="preserve">la </w:t>
      </w:r>
      <w:r>
        <w:t xml:space="preserve">iluminación de </w:t>
      </w:r>
      <w:r w:rsidR="00D92622">
        <w:t xml:space="preserve">la </w:t>
      </w:r>
      <w:r>
        <w:t>investigación</w:t>
      </w:r>
      <w:r w:rsidR="0065791F">
        <w:t>-</w:t>
      </w:r>
      <w:r>
        <w:t>de</w:t>
      </w:r>
      <w:r w:rsidR="0065791F">
        <w:t>-los-</w:t>
      </w:r>
      <w:r>
        <w:t>estados no surgido</w:t>
      </w:r>
      <w:r w:rsidR="0065791F">
        <w:t>s</w:t>
      </w:r>
      <w:r>
        <w:t>, o conduc</w:t>
      </w:r>
      <w:r w:rsidR="00BC3716">
        <w:t>irá</w:t>
      </w:r>
      <w:r>
        <w:t xml:space="preserve"> a</w:t>
      </w:r>
      <w:r w:rsidR="000C3482">
        <w:t>l</w:t>
      </w:r>
      <w:r>
        <w:t xml:space="preserve"> crecimiento, </w:t>
      </w:r>
      <w:r w:rsidR="00BC3716">
        <w:t>consumación</w:t>
      </w:r>
      <w:r>
        <w:t xml:space="preserve">, desarrollo y perfección del factor de </w:t>
      </w:r>
      <w:r w:rsidR="000C3482">
        <w:t xml:space="preserve">la </w:t>
      </w:r>
      <w:r>
        <w:t xml:space="preserve">iluminación de </w:t>
      </w:r>
      <w:r w:rsidR="00BC53EE">
        <w:t xml:space="preserve">la </w:t>
      </w:r>
      <w:r>
        <w:t>investigación</w:t>
      </w:r>
      <w:r w:rsidR="00BC3716">
        <w:t>-</w:t>
      </w:r>
      <w:r>
        <w:t>de</w:t>
      </w:r>
      <w:r w:rsidR="00BC3716">
        <w:t>-los-</w:t>
      </w:r>
      <w:r>
        <w:t xml:space="preserve">estados </w:t>
      </w:r>
      <w:r w:rsidR="000C3482">
        <w:t xml:space="preserve">ya </w:t>
      </w:r>
      <w:r>
        <w:t>surgido</w:t>
      </w:r>
      <w:r w:rsidR="00BC3716">
        <w:t>s</w:t>
      </w:r>
      <w:r>
        <w:t>”. Del mismo modo: “</w:t>
      </w:r>
      <w:proofErr w:type="spellStart"/>
      <w:r w:rsidR="00057BF4" w:rsidRPr="00057BF4">
        <w:rPr>
          <w:i/>
        </w:rPr>
        <w:t>Bhikkhu</w:t>
      </w:r>
      <w:r>
        <w:t>s</w:t>
      </w:r>
      <w:proofErr w:type="spellEnd"/>
      <w:r>
        <w:t xml:space="preserve">, existe el elemento de </w:t>
      </w:r>
      <w:r w:rsidR="001A4546">
        <w:t xml:space="preserve">la </w:t>
      </w:r>
      <w:r>
        <w:t>iniciativa, el elemento de</w:t>
      </w:r>
      <w:r w:rsidR="001A4546">
        <w:t>l</w:t>
      </w:r>
      <w:r>
        <w:t xml:space="preserve"> lanzamiento y el elemento de </w:t>
      </w:r>
      <w:r w:rsidR="001A4546">
        <w:t xml:space="preserve">la </w:t>
      </w:r>
      <w:r>
        <w:t xml:space="preserve">persistencia. La atención </w:t>
      </w:r>
      <w:proofErr w:type="spellStart"/>
      <w:r>
        <w:t>sabia</w:t>
      </w:r>
      <w:proofErr w:type="spellEnd"/>
      <w:r>
        <w:t xml:space="preserve"> que se practi</w:t>
      </w:r>
      <w:r w:rsidR="00F9504C">
        <w:t>que</w:t>
      </w:r>
      <w:r>
        <w:t xml:space="preserve"> mucho </w:t>
      </w:r>
      <w:r w:rsidR="001A4546">
        <w:t>al respecto</w:t>
      </w:r>
      <w:r>
        <w:t xml:space="preserve"> </w:t>
      </w:r>
      <w:r w:rsidR="001A4546">
        <w:t>será</w:t>
      </w:r>
      <w:r>
        <w:t xml:space="preserve"> el </w:t>
      </w:r>
      <w:r w:rsidR="000C3482">
        <w:t xml:space="preserve">sustento </w:t>
      </w:r>
      <w:r>
        <w:t xml:space="preserve">para el surgimiento del factor de iluminación de </w:t>
      </w:r>
      <w:r w:rsidR="001A4546">
        <w:t xml:space="preserve">la </w:t>
      </w:r>
      <w:r>
        <w:t>energía no surgid</w:t>
      </w:r>
      <w:r w:rsidR="001A4546">
        <w:t>a</w:t>
      </w:r>
      <w:r>
        <w:t>, o conduc</w:t>
      </w:r>
      <w:r w:rsidR="001A4546">
        <w:t>irá</w:t>
      </w:r>
      <w:r>
        <w:t xml:space="preserve"> al crecimiento, </w:t>
      </w:r>
      <w:r w:rsidR="001A4546">
        <w:t>consumación</w:t>
      </w:r>
      <w:r>
        <w:t xml:space="preserve">, desarrollo y perfección del factor de </w:t>
      </w:r>
      <w:r w:rsidR="001A4546">
        <w:t xml:space="preserve">la </w:t>
      </w:r>
      <w:r>
        <w:t xml:space="preserve">iluminación de </w:t>
      </w:r>
      <w:r w:rsidR="001A4546">
        <w:t xml:space="preserve">la </w:t>
      </w:r>
      <w:r>
        <w:t xml:space="preserve">energía </w:t>
      </w:r>
      <w:r w:rsidR="000C3482">
        <w:t xml:space="preserve">ya </w:t>
      </w:r>
      <w:r>
        <w:t>surgid</w:t>
      </w:r>
      <w:r w:rsidR="000C3482">
        <w:t>a</w:t>
      </w:r>
      <w:r>
        <w:t>”. Del mismo modo: “</w:t>
      </w:r>
      <w:proofErr w:type="spellStart"/>
      <w:r w:rsidR="00057BF4" w:rsidRPr="00057BF4">
        <w:rPr>
          <w:i/>
        </w:rPr>
        <w:t>Bhikkhu</w:t>
      </w:r>
      <w:r>
        <w:t>s</w:t>
      </w:r>
      <w:proofErr w:type="spellEnd"/>
      <w:r>
        <w:t xml:space="preserve">, hay estados que producen el factor de iluminación de la felicidad. La atención sabia muy practicada </w:t>
      </w:r>
      <w:r w:rsidR="00127061">
        <w:t>al respecto</w:t>
      </w:r>
      <w:r>
        <w:t xml:space="preserve"> </w:t>
      </w:r>
      <w:r w:rsidR="00127061">
        <w:t xml:space="preserve">será </w:t>
      </w:r>
      <w:r>
        <w:t xml:space="preserve">el </w:t>
      </w:r>
      <w:r w:rsidR="000C3482">
        <w:t xml:space="preserve">sustento </w:t>
      </w:r>
      <w:r>
        <w:t xml:space="preserve">para el surgimiento del factor de </w:t>
      </w:r>
      <w:r w:rsidR="00127061">
        <w:t xml:space="preserve">la </w:t>
      </w:r>
      <w:r>
        <w:t xml:space="preserve">iluminación de </w:t>
      </w:r>
      <w:r w:rsidR="00983732">
        <w:t xml:space="preserve">la </w:t>
      </w:r>
      <w:r>
        <w:t>felicidad no surgid</w:t>
      </w:r>
      <w:r w:rsidR="000C3482">
        <w:t>a</w:t>
      </w:r>
      <w:r>
        <w:t>, o conduc</w:t>
      </w:r>
      <w:r w:rsidR="00983732">
        <w:t>irá</w:t>
      </w:r>
      <w:r>
        <w:t xml:space="preserve"> al crecimiento, </w:t>
      </w:r>
      <w:r w:rsidR="00983732">
        <w:t>consumación</w:t>
      </w:r>
      <w:r>
        <w:t xml:space="preserve">, desarrollo y perfección del factor de iluminación de </w:t>
      </w:r>
      <w:r w:rsidR="00983732">
        <w:t xml:space="preserve">la </w:t>
      </w:r>
      <w:r>
        <w:t xml:space="preserve">felicidad </w:t>
      </w:r>
      <w:r w:rsidR="000C3482">
        <w:t xml:space="preserve">ya </w:t>
      </w:r>
      <w:r>
        <w:t>surgid</w:t>
      </w:r>
      <w:r w:rsidR="000C3482">
        <w:t>a</w:t>
      </w:r>
      <w:r>
        <w:t>” (S V 104). [132]</w:t>
      </w:r>
    </w:p>
    <w:p w14:paraId="6258C5BF" w14:textId="6F47AB7D" w:rsidR="00155B64" w:rsidRDefault="00155B64" w:rsidP="00155B64">
      <w:r>
        <w:t xml:space="preserve">53. </w:t>
      </w:r>
      <w:r>
        <w:tab/>
        <w:t xml:space="preserve">Aquí, la atención </w:t>
      </w:r>
      <w:r w:rsidR="00983732">
        <w:t xml:space="preserve">sabia asignada </w:t>
      </w:r>
      <w:r>
        <w:t xml:space="preserve">a lo </w:t>
      </w:r>
      <w:r w:rsidR="00983732">
        <w:t>productivo</w:t>
      </w:r>
      <w:r>
        <w:t xml:space="preserve">, etc., </w:t>
      </w:r>
      <w:r w:rsidR="00983732">
        <w:t>será la</w:t>
      </w:r>
      <w:r w:rsidR="004A2712">
        <w:t xml:space="preserve"> </w:t>
      </w:r>
      <w:r>
        <w:t>atención que se d</w:t>
      </w:r>
      <w:r w:rsidR="004A2712">
        <w:t>é</w:t>
      </w:r>
      <w:r>
        <w:t xml:space="preserve"> </w:t>
      </w:r>
      <w:r w:rsidR="004A2712">
        <w:t>a</w:t>
      </w:r>
      <w:r>
        <w:t xml:space="preserve"> la penetración de las esencias individuales y </w:t>
      </w:r>
      <w:r w:rsidR="004A2712">
        <w:t>a</w:t>
      </w:r>
      <w:r>
        <w:t xml:space="preserve"> [las tres] características generales. La atención </w:t>
      </w:r>
      <w:r w:rsidR="00FD2596">
        <w:t xml:space="preserve">sabia </w:t>
      </w:r>
      <w:r>
        <w:t xml:space="preserve">prestada al elemento de </w:t>
      </w:r>
      <w:r w:rsidR="004A2712">
        <w:t xml:space="preserve">la </w:t>
      </w:r>
      <w:r>
        <w:t xml:space="preserve">iniciativa, etc., </w:t>
      </w:r>
      <w:r w:rsidR="004A2712">
        <w:t xml:space="preserve">será la </w:t>
      </w:r>
      <w:r>
        <w:t>atención que se produ</w:t>
      </w:r>
      <w:r w:rsidR="004A2712">
        <w:t>zca</w:t>
      </w:r>
      <w:r>
        <w:t xml:space="preserve"> </w:t>
      </w:r>
      <w:r w:rsidR="00D81222">
        <w:t>a</w:t>
      </w:r>
      <w:r>
        <w:t xml:space="preserve">l despertar el elemento de </w:t>
      </w:r>
      <w:r w:rsidR="004A2712">
        <w:t xml:space="preserve">la </w:t>
      </w:r>
      <w:r>
        <w:t xml:space="preserve">iniciativa, etc. Aquí, </w:t>
      </w:r>
      <w:r w:rsidR="00C45A86">
        <w:t xml:space="preserve">a </w:t>
      </w:r>
      <w:r>
        <w:t xml:space="preserve">la energía inicial se </w:t>
      </w:r>
      <w:r w:rsidR="00C45A86">
        <w:t xml:space="preserve">le </w:t>
      </w:r>
      <w:r>
        <w:t xml:space="preserve">llama el elemento de </w:t>
      </w:r>
      <w:r w:rsidR="005929E5">
        <w:t xml:space="preserve">la </w:t>
      </w:r>
      <w:r>
        <w:t xml:space="preserve">iniciativa. </w:t>
      </w:r>
      <w:r w:rsidRPr="00136CF6">
        <w:rPr>
          <w:i/>
          <w:iCs/>
        </w:rPr>
        <w:t xml:space="preserve">El elemento de lanzamiento </w:t>
      </w:r>
      <w:r>
        <w:t>s</w:t>
      </w:r>
      <w:r w:rsidR="003E1929">
        <w:t>erá</w:t>
      </w:r>
      <w:r>
        <w:t xml:space="preserve"> más fuerte que e</w:t>
      </w:r>
      <w:r w:rsidR="003E1929">
        <w:t>llo</w:t>
      </w:r>
      <w:r>
        <w:t xml:space="preserve"> porque se lanza</w:t>
      </w:r>
      <w:r w:rsidR="00324BA5">
        <w:t>rá</w:t>
      </w:r>
      <w:r>
        <w:t xml:space="preserve"> desde </w:t>
      </w:r>
      <w:r w:rsidR="00324BA5">
        <w:t>el letargo</w:t>
      </w:r>
      <w:r>
        <w:t xml:space="preserve">. </w:t>
      </w:r>
      <w:r w:rsidRPr="00136CF6">
        <w:rPr>
          <w:i/>
          <w:iCs/>
        </w:rPr>
        <w:t>el elemento de</w:t>
      </w:r>
    </w:p>
    <w:p w14:paraId="5FBB6829" w14:textId="77777777" w:rsidR="00155B64" w:rsidRDefault="00155B64">
      <w:pPr>
        <w:tabs>
          <w:tab w:val="clear" w:pos="425"/>
        </w:tabs>
        <w:spacing w:after="160"/>
      </w:pPr>
      <w:r>
        <w:br w:type="page"/>
      </w:r>
    </w:p>
    <w:p w14:paraId="621D128C" w14:textId="77777777" w:rsidR="00155B64" w:rsidRDefault="00155B64" w:rsidP="00155B64"/>
    <w:p w14:paraId="7282B163" w14:textId="4F1879A0" w:rsidR="0027258E" w:rsidRDefault="0027258E" w:rsidP="0027258E">
      <w:r w:rsidRPr="00136CF6">
        <w:rPr>
          <w:i/>
          <w:iCs/>
        </w:rPr>
        <w:t>la persistencia</w:t>
      </w:r>
      <w:r>
        <w:t xml:space="preserve"> </w:t>
      </w:r>
      <w:r w:rsidR="00382114">
        <w:t xml:space="preserve">será </w:t>
      </w:r>
      <w:r>
        <w:t>aún más fuerte que e</w:t>
      </w:r>
      <w:r w:rsidR="00382114">
        <w:t>ll</w:t>
      </w:r>
      <w:r>
        <w:t>o porque contin</w:t>
      </w:r>
      <w:r w:rsidR="00382114">
        <w:t>u</w:t>
      </w:r>
      <w:r>
        <w:t>a</w:t>
      </w:r>
      <w:r w:rsidR="00382114">
        <w:t xml:space="preserve">rá </w:t>
      </w:r>
      <w:r>
        <w:t xml:space="preserve">persistiendo en sucesivas etapas posteriores. </w:t>
      </w:r>
      <w:r w:rsidR="00CE4C38" w:rsidRPr="00CE4C38">
        <w:rPr>
          <w:i/>
          <w:iCs/>
        </w:rPr>
        <w:t>Los</w:t>
      </w:r>
      <w:r w:rsidR="00CE4C38">
        <w:t xml:space="preserve"> </w:t>
      </w:r>
      <w:r w:rsidR="00CE4C38" w:rsidRPr="00CE4C38">
        <w:rPr>
          <w:i/>
          <w:iCs/>
        </w:rPr>
        <w:t>e</w:t>
      </w:r>
      <w:r w:rsidRPr="00136CF6">
        <w:rPr>
          <w:i/>
          <w:iCs/>
        </w:rPr>
        <w:t xml:space="preserve">stados productivos del factor de </w:t>
      </w:r>
      <w:r w:rsidR="00CE4C38">
        <w:rPr>
          <w:i/>
          <w:iCs/>
        </w:rPr>
        <w:t xml:space="preserve">la </w:t>
      </w:r>
      <w:r w:rsidRPr="00136CF6">
        <w:rPr>
          <w:i/>
          <w:iCs/>
        </w:rPr>
        <w:t>iluminación</w:t>
      </w:r>
      <w:r>
        <w:t xml:space="preserve"> </w:t>
      </w:r>
      <w:r w:rsidRPr="00477CBB">
        <w:rPr>
          <w:i/>
          <w:iCs/>
        </w:rPr>
        <w:t>de la felicidad</w:t>
      </w:r>
      <w:r>
        <w:t xml:space="preserve"> es un nombre para la felicidad misma; y la atención que </w:t>
      </w:r>
      <w:r w:rsidR="000B66F5">
        <w:t xml:space="preserve">se </w:t>
      </w:r>
      <w:r>
        <w:t>despiert</w:t>
      </w:r>
      <w:r w:rsidR="000B66F5">
        <w:t>e</w:t>
      </w:r>
      <w:r>
        <w:t xml:space="preserve"> </w:t>
      </w:r>
      <w:r w:rsidR="000B66F5">
        <w:t xml:space="preserve">de </w:t>
      </w:r>
      <w:r>
        <w:t>e</w:t>
      </w:r>
      <w:r w:rsidR="00477CBB">
        <w:t>ll</w:t>
      </w:r>
      <w:r>
        <w:t xml:space="preserve">o </w:t>
      </w:r>
      <w:r w:rsidR="000B66F5">
        <w:t>será</w:t>
      </w:r>
      <w:r>
        <w:t xml:space="preserve"> </w:t>
      </w:r>
      <w:r w:rsidR="000B66F5">
        <w:t xml:space="preserve">una </w:t>
      </w:r>
      <w:r>
        <w:t>atención sabia.</w:t>
      </w:r>
    </w:p>
    <w:p w14:paraId="1ADC1C47" w14:textId="08E6FF4A" w:rsidR="0027258E" w:rsidRDefault="0027258E" w:rsidP="0027258E">
      <w:r>
        <w:t xml:space="preserve">54. </w:t>
      </w:r>
      <w:r>
        <w:tab/>
        <w:t>Hay, además, siete cosas que conduc</w:t>
      </w:r>
      <w:r w:rsidR="00787EC9">
        <w:t>irá</w:t>
      </w:r>
      <w:r>
        <w:t>n al surgimiento del factor de iluminación de la investigación</w:t>
      </w:r>
      <w:r w:rsidR="000B66F5">
        <w:t>-</w:t>
      </w:r>
      <w:r>
        <w:t>de</w:t>
      </w:r>
      <w:r w:rsidR="000B66F5">
        <w:t>-</w:t>
      </w:r>
      <w:r>
        <w:t>los</w:t>
      </w:r>
      <w:r w:rsidR="000B66F5">
        <w:t>-</w:t>
      </w:r>
      <w:r>
        <w:t>estados: (i) hacer preguntas, (</w:t>
      </w:r>
      <w:proofErr w:type="spellStart"/>
      <w:r>
        <w:t>ii</w:t>
      </w:r>
      <w:proofErr w:type="spellEnd"/>
      <w:r>
        <w:t>) limpiar la base, (</w:t>
      </w:r>
      <w:proofErr w:type="spellStart"/>
      <w:r>
        <w:t>iii</w:t>
      </w:r>
      <w:proofErr w:type="spellEnd"/>
      <w:r>
        <w:t>) equilibrar las facultades, (</w:t>
      </w:r>
      <w:proofErr w:type="spellStart"/>
      <w:r>
        <w:t>iv</w:t>
      </w:r>
      <w:proofErr w:type="spellEnd"/>
      <w:r>
        <w:t xml:space="preserve">) evitar personas sin entendimiento, (v) cultivo de </w:t>
      </w:r>
      <w:r w:rsidR="000B66F5">
        <w:t xml:space="preserve">relaciones con </w:t>
      </w:r>
      <w:r>
        <w:t xml:space="preserve">personas </w:t>
      </w:r>
      <w:r w:rsidR="000B66F5">
        <w:t xml:space="preserve">de </w:t>
      </w:r>
      <w:r>
        <w:t>entendimiento, (vi) revisión del campo para el ejercicio de conocimientos profundos, (</w:t>
      </w:r>
      <w:proofErr w:type="spellStart"/>
      <w:r>
        <w:t>vii</w:t>
      </w:r>
      <w:proofErr w:type="spellEnd"/>
      <w:r>
        <w:t xml:space="preserve">) </w:t>
      </w:r>
      <w:r w:rsidR="0045148A">
        <w:t xml:space="preserve">determinación sobre el emprendimiento al respecto </w:t>
      </w:r>
      <w:r>
        <w:t>[</w:t>
      </w:r>
      <w:r w:rsidR="00775B0E">
        <w:t>investigación-de-los-estados</w:t>
      </w:r>
      <w:r>
        <w:t>].</w:t>
      </w:r>
    </w:p>
    <w:p w14:paraId="09358645" w14:textId="72080F6D" w:rsidR="0027258E" w:rsidRDefault="0027258E" w:rsidP="0027258E">
      <w:r>
        <w:t>55.</w:t>
      </w:r>
      <w:r>
        <w:tab/>
        <w:t xml:space="preserve"> Once cosas conducen al surgimiento del factor de </w:t>
      </w:r>
      <w:r w:rsidR="003A7557">
        <w:t xml:space="preserve">la </w:t>
      </w:r>
      <w:r>
        <w:t xml:space="preserve">iluminación de </w:t>
      </w:r>
      <w:r w:rsidR="00775B0E">
        <w:t xml:space="preserve">la </w:t>
      </w:r>
      <w:r>
        <w:t xml:space="preserve">energía: (i) </w:t>
      </w:r>
      <w:r w:rsidR="005C74DC">
        <w:t>evocar</w:t>
      </w:r>
      <w:r>
        <w:t xml:space="preserve"> el temor </w:t>
      </w:r>
      <w:r w:rsidR="001E7631">
        <w:t>hacia</w:t>
      </w:r>
      <w:r w:rsidR="005C74DC">
        <w:t xml:space="preserve"> </w:t>
      </w:r>
      <w:r>
        <w:t>los estados de p</w:t>
      </w:r>
      <w:r w:rsidR="003A7557">
        <w:t>e</w:t>
      </w:r>
      <w:r>
        <w:t>rdi</w:t>
      </w:r>
      <w:r w:rsidR="003A7557">
        <w:t>ción</w:t>
      </w:r>
      <w:r>
        <w:t xml:space="preserve"> tales como los reinos infernales, etc., (</w:t>
      </w:r>
      <w:proofErr w:type="spellStart"/>
      <w:r>
        <w:t>ii</w:t>
      </w:r>
      <w:proofErr w:type="spellEnd"/>
      <w:r>
        <w:t xml:space="preserve">) </w:t>
      </w:r>
      <w:r w:rsidR="00D06BF6">
        <w:t>apreciar</w:t>
      </w:r>
      <w:r>
        <w:t xml:space="preserve"> el beneficio </w:t>
      </w:r>
      <w:r w:rsidR="00D06BF6">
        <w:t xml:space="preserve">de la </w:t>
      </w:r>
      <w:r>
        <w:t>obten</w:t>
      </w:r>
      <w:r w:rsidR="00D06BF6">
        <w:t>ción</w:t>
      </w:r>
      <w:r>
        <w:t xml:space="preserve"> </w:t>
      </w:r>
      <w:r w:rsidR="00D06BF6">
        <w:t>de</w:t>
      </w:r>
      <w:r>
        <w:t xml:space="preserve"> distinciones mundanas y supramundanas dependientes de la energía, (</w:t>
      </w:r>
      <w:proofErr w:type="spellStart"/>
      <w:r>
        <w:t>iii</w:t>
      </w:r>
      <w:proofErr w:type="spellEnd"/>
      <w:r>
        <w:t xml:space="preserve">) revisar el curso del </w:t>
      </w:r>
      <w:r w:rsidR="00A15B23">
        <w:t>trayecto</w:t>
      </w:r>
      <w:r>
        <w:t xml:space="preserve"> [a recorrer] de la siguiente manera: “El </w:t>
      </w:r>
      <w:r w:rsidR="00A15B23">
        <w:t xml:space="preserve">sendero </w:t>
      </w:r>
      <w:r>
        <w:t xml:space="preserve">tomado por los </w:t>
      </w:r>
      <w:r w:rsidR="00057BF4" w:rsidRPr="00057BF4">
        <w:rPr>
          <w:i/>
        </w:rPr>
        <w:t>Buddha</w:t>
      </w:r>
      <w:r>
        <w:t xml:space="preserve">s, </w:t>
      </w:r>
      <w:proofErr w:type="spellStart"/>
      <w:r w:rsidR="001F02CC" w:rsidRPr="001F02CC">
        <w:rPr>
          <w:i/>
          <w:iCs/>
        </w:rPr>
        <w:t>Paccekabuddhas</w:t>
      </w:r>
      <w:proofErr w:type="spellEnd"/>
      <w:r w:rsidR="001F02CC">
        <w:t xml:space="preserve"> </w:t>
      </w:r>
      <w:r>
        <w:t xml:space="preserve">y los grandes discípulos debe ser </w:t>
      </w:r>
      <w:r w:rsidR="001F02CC">
        <w:t>seguido</w:t>
      </w:r>
      <w:r>
        <w:t xml:space="preserve"> por mí, y no </w:t>
      </w:r>
      <w:r w:rsidR="004F771B">
        <w:t>podrá</w:t>
      </w:r>
      <w:r>
        <w:t xml:space="preserve"> ser </w:t>
      </w:r>
      <w:r w:rsidR="004F771B">
        <w:t xml:space="preserve">seguido </w:t>
      </w:r>
      <w:r>
        <w:t>por un holgazán”, (</w:t>
      </w:r>
      <w:proofErr w:type="spellStart"/>
      <w:r>
        <w:t>iv</w:t>
      </w:r>
      <w:proofErr w:type="spellEnd"/>
      <w:r>
        <w:t xml:space="preserve">) </w:t>
      </w:r>
      <w:r w:rsidR="00AA50D4">
        <w:t>ser</w:t>
      </w:r>
      <w:r>
        <w:t xml:space="preserve"> un crédito para la </w:t>
      </w:r>
      <w:r w:rsidR="007E7724">
        <w:t>ofrenda de alimento</w:t>
      </w:r>
      <w:r w:rsidR="006300AA">
        <w:t>s</w:t>
      </w:r>
      <w:r w:rsidR="007E7724">
        <w:t xml:space="preserve"> </w:t>
      </w:r>
      <w:r>
        <w:t xml:space="preserve">al producir gran fruto para los </w:t>
      </w:r>
      <w:r w:rsidR="007E7724">
        <w:t>donantes</w:t>
      </w:r>
      <w:r>
        <w:t xml:space="preserve">, (v) </w:t>
      </w:r>
      <w:r w:rsidR="006300AA">
        <w:t>evoca</w:t>
      </w:r>
      <w:r w:rsidR="0062749C">
        <w:t>r</w:t>
      </w:r>
      <w:r>
        <w:t xml:space="preserve"> la</w:t>
      </w:r>
      <w:r w:rsidR="006300AA">
        <w:t>s</w:t>
      </w:r>
      <w:r>
        <w:t xml:space="preserve"> grandeza</w:t>
      </w:r>
      <w:r w:rsidR="006300AA">
        <w:t>s</w:t>
      </w:r>
      <w:r>
        <w:t xml:space="preserve"> del Maestro así: “Mi Maestro alaba lo enérgico, y esta </w:t>
      </w:r>
      <w:r w:rsidR="001C5EB8">
        <w:t xml:space="preserve">insuperable </w:t>
      </w:r>
      <w:r>
        <w:t xml:space="preserve">Dispensación que nos </w:t>
      </w:r>
      <w:r w:rsidR="001C5EB8">
        <w:t>ha sido</w:t>
      </w:r>
      <w:r>
        <w:t xml:space="preserve"> tan útil </w:t>
      </w:r>
      <w:r w:rsidR="001C5EB8">
        <w:t>debe</w:t>
      </w:r>
      <w:r w:rsidR="00523D7E">
        <w:t xml:space="preserve">rá </w:t>
      </w:r>
      <w:r w:rsidR="001C5EB8">
        <w:t xml:space="preserve">ser </w:t>
      </w:r>
      <w:r>
        <w:t xml:space="preserve">honrada </w:t>
      </w:r>
      <w:r w:rsidR="001C5EB8">
        <w:t xml:space="preserve">a través de </w:t>
      </w:r>
      <w:r>
        <w:t>la práctica, no de lo contrario”, (vi) revisa</w:t>
      </w:r>
      <w:r w:rsidR="00B030AD">
        <w:t>r</w:t>
      </w:r>
      <w:r>
        <w:t xml:space="preserve"> la</w:t>
      </w:r>
      <w:r w:rsidR="00523D7E">
        <w:t>s</w:t>
      </w:r>
      <w:r>
        <w:t xml:space="preserve"> grandeza</w:t>
      </w:r>
      <w:r w:rsidR="00523D7E">
        <w:t>s</w:t>
      </w:r>
      <w:r>
        <w:t xml:space="preserve"> de la herencia de esta manera: “la gran herencia </w:t>
      </w:r>
      <w:r w:rsidR="00866F0D">
        <w:t xml:space="preserve">es el conocido </w:t>
      </w:r>
      <w:r>
        <w:t xml:space="preserve">Buen </w:t>
      </w:r>
      <w:r w:rsidR="00057BF4" w:rsidRPr="00057BF4">
        <w:rPr>
          <w:i/>
        </w:rPr>
        <w:t>Dhamma</w:t>
      </w:r>
      <w:r>
        <w:t xml:space="preserve"> </w:t>
      </w:r>
      <w:r w:rsidR="00866F0D">
        <w:t xml:space="preserve">el cual </w:t>
      </w:r>
      <w:r>
        <w:t>debe</w:t>
      </w:r>
      <w:r w:rsidR="00866F0D">
        <w:t>rá</w:t>
      </w:r>
      <w:r>
        <w:t xml:space="preserve"> ser </w:t>
      </w:r>
      <w:r w:rsidR="009A508C">
        <w:t xml:space="preserve">obtenido </w:t>
      </w:r>
      <w:r>
        <w:t xml:space="preserve">por mí, y no </w:t>
      </w:r>
      <w:r w:rsidR="00866F0D">
        <w:t xml:space="preserve">podrá </w:t>
      </w:r>
      <w:r>
        <w:t xml:space="preserve">ser </w:t>
      </w:r>
      <w:r w:rsidR="009A508C">
        <w:t xml:space="preserve">obtenido </w:t>
      </w:r>
      <w:r>
        <w:t xml:space="preserve">por </w:t>
      </w:r>
      <w:r w:rsidR="00B030AD">
        <w:t>alguien</w:t>
      </w:r>
      <w:r>
        <w:t xml:space="preserve"> ocioso”, (</w:t>
      </w:r>
      <w:proofErr w:type="spellStart"/>
      <w:r>
        <w:t>vii</w:t>
      </w:r>
      <w:proofErr w:type="spellEnd"/>
      <w:r>
        <w:t>) elimina</w:t>
      </w:r>
      <w:r w:rsidR="00B030AD">
        <w:t>r</w:t>
      </w:r>
      <w:r>
        <w:t xml:space="preserve"> la rigidez y el letargo </w:t>
      </w:r>
      <w:r w:rsidR="009A508C">
        <w:t xml:space="preserve">mediante </w:t>
      </w:r>
      <w:r w:rsidR="00B030AD">
        <w:t xml:space="preserve">la </w:t>
      </w:r>
      <w:r>
        <w:t xml:space="preserve">atención </w:t>
      </w:r>
      <w:r w:rsidR="009A508C">
        <w:t>en</w:t>
      </w:r>
      <w:r>
        <w:t xml:space="preserve"> la percepción de la luz, </w:t>
      </w:r>
      <w:r w:rsidR="009A508C">
        <w:t xml:space="preserve">el </w:t>
      </w:r>
      <w:r>
        <w:t xml:space="preserve">cambio de posturas, frecuentar los espacios abiertos </w:t>
      </w:r>
      <w:r w:rsidR="009A508C">
        <w:t xml:space="preserve">al </w:t>
      </w:r>
      <w:r>
        <w:t>aire</w:t>
      </w:r>
      <w:r w:rsidR="009A508C">
        <w:t xml:space="preserve"> libre</w:t>
      </w:r>
      <w:r>
        <w:t>, etc., (</w:t>
      </w:r>
      <w:proofErr w:type="spellStart"/>
      <w:r>
        <w:t>viii</w:t>
      </w:r>
      <w:proofErr w:type="spellEnd"/>
      <w:r>
        <w:t>) evitar a las personas ociosas, (</w:t>
      </w:r>
      <w:proofErr w:type="spellStart"/>
      <w:r>
        <w:t>ix</w:t>
      </w:r>
      <w:proofErr w:type="spellEnd"/>
      <w:r>
        <w:t xml:space="preserve">) cultivar </w:t>
      </w:r>
      <w:r w:rsidR="009A508C">
        <w:t>la relación con</w:t>
      </w:r>
      <w:r>
        <w:t xml:space="preserve"> personas enérgicas, (x) revisar los esfuerzos correctos, (xi) </w:t>
      </w:r>
      <w:r w:rsidR="00F05990">
        <w:t xml:space="preserve">determinación en el emprendimiento al respecto </w:t>
      </w:r>
      <w:r>
        <w:t>[</w:t>
      </w:r>
      <w:r w:rsidR="00F05990">
        <w:t xml:space="preserve">sobre la </w:t>
      </w:r>
      <w:r>
        <w:t>energía].</w:t>
      </w:r>
    </w:p>
    <w:p w14:paraId="656CBA90" w14:textId="0D65592A" w:rsidR="0027258E" w:rsidRDefault="0027258E" w:rsidP="0027258E">
      <w:r>
        <w:t xml:space="preserve">56. </w:t>
      </w:r>
      <w:r>
        <w:tab/>
        <w:t xml:space="preserve">Once cosas conducen al surgimiento del factor de </w:t>
      </w:r>
      <w:r w:rsidR="00C8062D">
        <w:t xml:space="preserve">la </w:t>
      </w:r>
      <w:r>
        <w:t>iluminación de la felicidad: l</w:t>
      </w:r>
      <w:r w:rsidR="00C8062D">
        <w:t>as</w:t>
      </w:r>
      <w:r>
        <w:t xml:space="preserve"> </w:t>
      </w:r>
      <w:r w:rsidR="00C8062D">
        <w:t>evocaciones</w:t>
      </w:r>
      <w:r>
        <w:t xml:space="preserve"> (i) del </w:t>
      </w:r>
      <w:r w:rsidR="00057BF4" w:rsidRPr="00057BF4">
        <w:rPr>
          <w:i/>
        </w:rPr>
        <w:t>Buddha</w:t>
      </w:r>
      <w:r>
        <w:t>, (</w:t>
      </w:r>
      <w:proofErr w:type="spellStart"/>
      <w:r>
        <w:t>ii</w:t>
      </w:r>
      <w:proofErr w:type="spellEnd"/>
      <w:r>
        <w:t xml:space="preserve">) del </w:t>
      </w:r>
      <w:r w:rsidR="00057BF4" w:rsidRPr="00057BF4">
        <w:rPr>
          <w:i/>
        </w:rPr>
        <w:t>Dhamma</w:t>
      </w:r>
      <w:r>
        <w:t>, (</w:t>
      </w:r>
      <w:proofErr w:type="spellStart"/>
      <w:r>
        <w:t>iii</w:t>
      </w:r>
      <w:proofErr w:type="spellEnd"/>
      <w:r>
        <w:t xml:space="preserve">) del </w:t>
      </w:r>
      <w:r w:rsidR="00C62E70">
        <w:rPr>
          <w:i/>
          <w:iCs/>
        </w:rPr>
        <w:t>Saṅgha</w:t>
      </w:r>
      <w:r>
        <w:t>, (</w:t>
      </w:r>
      <w:proofErr w:type="spellStart"/>
      <w:r>
        <w:t>iv</w:t>
      </w:r>
      <w:proofErr w:type="spellEnd"/>
      <w:r>
        <w:t xml:space="preserve">) de la virtud, (v) de la generosidad y (vi) de las </w:t>
      </w:r>
      <w:r w:rsidR="00917546">
        <w:t>divinidades</w:t>
      </w:r>
      <w:r>
        <w:t>, (</w:t>
      </w:r>
      <w:proofErr w:type="spellStart"/>
      <w:r>
        <w:t>vii</w:t>
      </w:r>
      <w:proofErr w:type="spellEnd"/>
      <w:r>
        <w:t xml:space="preserve">) </w:t>
      </w:r>
      <w:r w:rsidR="00917546">
        <w:t xml:space="preserve">la evocación </w:t>
      </w:r>
      <w:r>
        <w:t>de la paz, [133] (</w:t>
      </w:r>
      <w:proofErr w:type="spellStart"/>
      <w:r>
        <w:t>viii</w:t>
      </w:r>
      <w:proofErr w:type="spellEnd"/>
      <w:r>
        <w:t xml:space="preserve">) la </w:t>
      </w:r>
      <w:r w:rsidR="00A2263E">
        <w:t>elusión</w:t>
      </w:r>
      <w:r>
        <w:t xml:space="preserve"> de personas </w:t>
      </w:r>
      <w:r w:rsidR="00917546">
        <w:t>rudas</w:t>
      </w:r>
      <w:r>
        <w:t>, (</w:t>
      </w:r>
      <w:proofErr w:type="spellStart"/>
      <w:r>
        <w:t>ix</w:t>
      </w:r>
      <w:proofErr w:type="spellEnd"/>
      <w:r>
        <w:t xml:space="preserve">) el cultivo de </w:t>
      </w:r>
      <w:r w:rsidR="006E2FA2">
        <w:t>relaciones con</w:t>
      </w:r>
      <w:r>
        <w:t xml:space="preserve"> personas refinadas, (x) la </w:t>
      </w:r>
      <w:r w:rsidR="006E2FA2">
        <w:t xml:space="preserve">evocación </w:t>
      </w:r>
      <w:r>
        <w:t xml:space="preserve">de discursos alentadores, (xi) </w:t>
      </w:r>
      <w:r w:rsidR="00AA3BA1">
        <w:t xml:space="preserve">la determinación en el emprendimiento al respecto </w:t>
      </w:r>
      <w:r>
        <w:t>[felicidad].</w:t>
      </w:r>
    </w:p>
    <w:p w14:paraId="173E1AAE" w14:textId="71BBD1EA" w:rsidR="0027258E" w:rsidRDefault="0027258E" w:rsidP="005D7BF4">
      <w:pPr>
        <w:pStyle w:val="NormalConSangria"/>
      </w:pPr>
      <w:r>
        <w:t>Entonces, desperta</w:t>
      </w:r>
      <w:r w:rsidR="00C96507">
        <w:t>r así</w:t>
      </w:r>
      <w:r>
        <w:t xml:space="preserve"> estas cosas, desarrolla el factor de </w:t>
      </w:r>
      <w:r w:rsidR="008E4448">
        <w:t xml:space="preserve">la </w:t>
      </w:r>
      <w:r>
        <w:t>iluminación de la investigación</w:t>
      </w:r>
      <w:r w:rsidR="008E4448">
        <w:t>-</w:t>
      </w:r>
      <w:r>
        <w:t>de</w:t>
      </w:r>
      <w:r w:rsidR="008E4448">
        <w:t>-</w:t>
      </w:r>
      <w:r>
        <w:t>los</w:t>
      </w:r>
      <w:r w:rsidR="008E4448">
        <w:t>-</w:t>
      </w:r>
      <w:r>
        <w:t>estados y los demás</w:t>
      </w:r>
      <w:r w:rsidR="00CE33D4">
        <w:t xml:space="preserve"> factores</w:t>
      </w:r>
      <w:r>
        <w:t xml:space="preserve">. Así es como </w:t>
      </w:r>
      <w:r w:rsidR="008E4448">
        <w:t xml:space="preserve">se </w:t>
      </w:r>
      <w:r>
        <w:t xml:space="preserve">ejercita la mente en una ocasión en </w:t>
      </w:r>
      <w:r w:rsidR="00336785">
        <w:t xml:space="preserve">la </w:t>
      </w:r>
      <w:r>
        <w:t>que deb</w:t>
      </w:r>
      <w:r w:rsidR="00336785">
        <w:t>a</w:t>
      </w:r>
      <w:r>
        <w:t xml:space="preserve"> ser ejercitada.</w:t>
      </w:r>
    </w:p>
    <w:p w14:paraId="4A1EAE67" w14:textId="15ED358C" w:rsidR="00FF0A5E" w:rsidRDefault="0027258E" w:rsidP="0027258E">
      <w:r>
        <w:t xml:space="preserve">57. </w:t>
      </w:r>
      <w:r>
        <w:tab/>
      </w:r>
      <w:r w:rsidRPr="005F6187">
        <w:rPr>
          <w:i/>
          <w:iCs/>
        </w:rPr>
        <w:t>5</w:t>
      </w:r>
      <w:r>
        <w:t xml:space="preserve">. ¿Cómo </w:t>
      </w:r>
      <w:r w:rsidR="00296869">
        <w:rPr>
          <w:i/>
          <w:iCs/>
        </w:rPr>
        <w:t>se restringe</w:t>
      </w:r>
      <w:r w:rsidRPr="00136CF6">
        <w:rPr>
          <w:i/>
          <w:iCs/>
        </w:rPr>
        <w:t xml:space="preserve"> </w:t>
      </w:r>
      <w:r w:rsidR="00BE71D8">
        <w:rPr>
          <w:i/>
          <w:iCs/>
        </w:rPr>
        <w:t>un</w:t>
      </w:r>
      <w:r w:rsidRPr="00136CF6">
        <w:rPr>
          <w:i/>
          <w:iCs/>
        </w:rPr>
        <w:t xml:space="preserve">a mente en una ocasión en </w:t>
      </w:r>
      <w:r w:rsidR="00296869">
        <w:rPr>
          <w:i/>
          <w:iCs/>
        </w:rPr>
        <w:t xml:space="preserve">la </w:t>
      </w:r>
      <w:r w:rsidRPr="00136CF6">
        <w:rPr>
          <w:i/>
          <w:iCs/>
        </w:rPr>
        <w:t>que deb</w:t>
      </w:r>
      <w:r w:rsidR="00296869">
        <w:rPr>
          <w:i/>
          <w:iCs/>
        </w:rPr>
        <w:t>a</w:t>
      </w:r>
      <w:r w:rsidRPr="00136CF6">
        <w:rPr>
          <w:i/>
          <w:iCs/>
        </w:rPr>
        <w:t xml:space="preserve"> ser restringida</w:t>
      </w:r>
      <w:r>
        <w:t>? Cuando su mente est</w:t>
      </w:r>
      <w:r w:rsidR="00296869">
        <w:t>é</w:t>
      </w:r>
      <w:r>
        <w:t xml:space="preserve"> agitada </w:t>
      </w:r>
      <w:r w:rsidR="00296869">
        <w:t>debido a un</w:t>
      </w:r>
      <w:r>
        <w:t xml:space="preserve"> exceso de energía, etc., entonces, en lugar de desarrollar los tres factores de </w:t>
      </w:r>
      <w:r w:rsidR="00296869">
        <w:t xml:space="preserve">la </w:t>
      </w:r>
      <w:r>
        <w:t>iluminación comenzando con la investigación</w:t>
      </w:r>
      <w:r w:rsidR="00296869">
        <w:t>-</w:t>
      </w:r>
      <w:r>
        <w:t>de</w:t>
      </w:r>
      <w:r w:rsidR="00296869">
        <w:t>-</w:t>
      </w:r>
      <w:r>
        <w:t>los</w:t>
      </w:r>
      <w:r w:rsidR="00296869">
        <w:t>-</w:t>
      </w:r>
      <w:r>
        <w:t>estados, debe</w:t>
      </w:r>
      <w:r w:rsidR="00296869">
        <w:t xml:space="preserve">rá </w:t>
      </w:r>
      <w:r>
        <w:t>desarrollar los que comien</w:t>
      </w:r>
      <w:r w:rsidR="00296869">
        <w:t>cen</w:t>
      </w:r>
      <w:r>
        <w:t xml:space="preserve"> con la tranquilidad; porque eso es</w:t>
      </w:r>
      <w:r w:rsidR="00296869">
        <w:t>tá</w:t>
      </w:r>
      <w:r>
        <w:t xml:space="preserve"> dicho por el </w:t>
      </w:r>
      <w:r w:rsidR="00C252A8">
        <w:rPr>
          <w:i/>
          <w:iCs/>
        </w:rPr>
        <w:t>Bhagavā</w:t>
      </w:r>
      <w:r>
        <w:t>: “</w:t>
      </w:r>
      <w:proofErr w:type="spellStart"/>
      <w:r w:rsidR="00057BF4" w:rsidRPr="00057BF4">
        <w:rPr>
          <w:i/>
          <w:iCs/>
        </w:rPr>
        <w:t>Bhikkhu</w:t>
      </w:r>
      <w:r w:rsidRPr="00136CF6">
        <w:rPr>
          <w:i/>
          <w:iCs/>
        </w:rPr>
        <w:t>s</w:t>
      </w:r>
      <w:proofErr w:type="spellEnd"/>
      <w:r>
        <w:t xml:space="preserve">, supongamos que un hombre quisiera extinguir una gran masa de fuego, y </w:t>
      </w:r>
      <w:r w:rsidR="00BD4948">
        <w:t>dis</w:t>
      </w:r>
      <w:r>
        <w:t>pus</w:t>
      </w:r>
      <w:r w:rsidR="00C252A8">
        <w:t>iera</w:t>
      </w:r>
      <w:r>
        <w:t xml:space="preserve"> </w:t>
      </w:r>
      <w:r w:rsidR="00BD4948">
        <w:t xml:space="preserve">de </w:t>
      </w:r>
      <w:r>
        <w:t>hierba seca … y no esparci</w:t>
      </w:r>
      <w:r w:rsidR="00C252A8">
        <w:t>era</w:t>
      </w:r>
      <w:r>
        <w:t xml:space="preserve"> polvo sobre ella, ¿sería capaz ese hombre de extinguir esa gran masa de fuego?" - "No, </w:t>
      </w:r>
      <w:r w:rsidR="00AE392D">
        <w:t>Venerable Señor</w:t>
      </w:r>
      <w:r>
        <w:t xml:space="preserve">".  ¿Porqué? Porque una mente agitada no </w:t>
      </w:r>
      <w:r w:rsidR="00AE392D">
        <w:t>podrá</w:t>
      </w:r>
      <w:r>
        <w:t xml:space="preserve"> ser bien apaciguada por esos estados. Cuando la mente est</w:t>
      </w:r>
      <w:r w:rsidR="00EE4765">
        <w:t>é</w:t>
      </w:r>
      <w:r>
        <w:t xml:space="preserve"> agitada, </w:t>
      </w:r>
      <w:r w:rsidR="00EE4765">
        <w:t xml:space="preserve">será </w:t>
      </w:r>
      <w:r>
        <w:t>el momento de desarrollar el factor de la iluminación de la tranquilidad, el</w:t>
      </w:r>
      <w:r w:rsidR="00EE4765" w:rsidRPr="00EE4765">
        <w:t xml:space="preserve"> </w:t>
      </w:r>
      <w:r w:rsidR="00EE4765">
        <w:t xml:space="preserve">factor de </w:t>
      </w:r>
      <w:r w:rsidR="00EE4765" w:rsidRPr="00EE4765">
        <w:t xml:space="preserve">la </w:t>
      </w:r>
      <w:r w:rsidR="00EE4765">
        <w:t>iluminación de la concentración y el factor</w:t>
      </w:r>
    </w:p>
    <w:p w14:paraId="5232D379" w14:textId="77777777" w:rsidR="00FF0A5E" w:rsidRDefault="00FF0A5E" w:rsidP="0027258E"/>
    <w:p w14:paraId="0F56D001" w14:textId="77777777" w:rsidR="00FF0A5E" w:rsidRDefault="00FF0A5E">
      <w:pPr>
        <w:tabs>
          <w:tab w:val="clear" w:pos="425"/>
        </w:tabs>
        <w:spacing w:after="160"/>
      </w:pPr>
      <w:r>
        <w:br w:type="page"/>
      </w:r>
    </w:p>
    <w:p w14:paraId="657C6E90" w14:textId="3EB77256" w:rsidR="009871BA" w:rsidRDefault="009871BA" w:rsidP="009871BA">
      <w:r>
        <w:lastRenderedPageBreak/>
        <w:t xml:space="preserve">de iluminación de la ecuanimidad. ¿Porqué? Porque una mente agitada </w:t>
      </w:r>
      <w:r w:rsidR="00EE4765" w:rsidRPr="00EE4765">
        <w:t xml:space="preserve">podrá </w:t>
      </w:r>
      <w:r>
        <w:t xml:space="preserve">ser </w:t>
      </w:r>
      <w:r w:rsidR="00312280">
        <w:t>apaciguada</w:t>
      </w:r>
      <w:r>
        <w:t xml:space="preserve"> por esos estados</w:t>
      </w:r>
      <w:r w:rsidR="00312280">
        <w:t xml:space="preserve"> correctamente</w:t>
      </w:r>
      <w:r>
        <w:t>.”</w:t>
      </w:r>
    </w:p>
    <w:p w14:paraId="71AA698B" w14:textId="2B5EEF59" w:rsidR="009871BA" w:rsidRDefault="009871BA" w:rsidP="009871BA">
      <w:pPr>
        <w:pStyle w:val="NormalConSangria"/>
      </w:pPr>
      <w:r>
        <w:t>“</w:t>
      </w:r>
      <w:proofErr w:type="spellStart"/>
      <w:r w:rsidR="00057BF4" w:rsidRPr="00057BF4">
        <w:rPr>
          <w:i/>
        </w:rPr>
        <w:t>Bhikkhu</w:t>
      </w:r>
      <w:r>
        <w:t>s</w:t>
      </w:r>
      <w:proofErr w:type="spellEnd"/>
      <w:r>
        <w:t>, suponga</w:t>
      </w:r>
      <w:r w:rsidR="007819AC">
        <w:t>n</w:t>
      </w:r>
      <w:r>
        <w:t xml:space="preserve"> que un hombre quisiera extinguir una gran masa de fuego, y </w:t>
      </w:r>
      <w:r w:rsidR="003C0366">
        <w:t>dis</w:t>
      </w:r>
      <w:r>
        <w:t>pus</w:t>
      </w:r>
      <w:r w:rsidR="007819AC">
        <w:t>iera</w:t>
      </w:r>
      <w:r>
        <w:t xml:space="preserve"> hierba mojada … y esparci</w:t>
      </w:r>
      <w:r w:rsidR="007819AC">
        <w:t>era</w:t>
      </w:r>
      <w:r>
        <w:t xml:space="preserve"> polvo sobre ella, ¿sería capaz ese hombre de extinguir esa gran masa de fuego?”—“Sí, </w:t>
      </w:r>
      <w:r w:rsidR="007819AC">
        <w:t>Venerable Señor</w:t>
      </w:r>
      <w:r>
        <w:t>” (S V 114).</w:t>
      </w:r>
    </w:p>
    <w:p w14:paraId="319FF488" w14:textId="03429FE8" w:rsidR="009871BA" w:rsidRDefault="009871BA" w:rsidP="009871BA">
      <w:r>
        <w:t xml:space="preserve">58. </w:t>
      </w:r>
      <w:r>
        <w:tab/>
        <w:t>Y aquí el desarrollo del factor de la iluminación de la tranquilidad, etc., debe</w:t>
      </w:r>
      <w:r w:rsidR="007819AC">
        <w:t xml:space="preserve">rá </w:t>
      </w:r>
      <w:r>
        <w:t xml:space="preserve">entenderse como el </w:t>
      </w:r>
      <w:r w:rsidR="00F4181E">
        <w:t xml:space="preserve">sustento </w:t>
      </w:r>
      <w:r>
        <w:t xml:space="preserve">para cada uno respectivamente, porque </w:t>
      </w:r>
      <w:r w:rsidR="007819AC">
        <w:t>así se afirma</w:t>
      </w:r>
      <w:r>
        <w:t>: “</w:t>
      </w:r>
      <w:proofErr w:type="spellStart"/>
      <w:r w:rsidR="00057BF4" w:rsidRPr="00057BF4">
        <w:rPr>
          <w:i/>
          <w:iCs/>
        </w:rPr>
        <w:t>Bhikkhu</w:t>
      </w:r>
      <w:r w:rsidRPr="00136CF6">
        <w:rPr>
          <w:i/>
          <w:iCs/>
        </w:rPr>
        <w:t>s</w:t>
      </w:r>
      <w:proofErr w:type="spellEnd"/>
      <w:r>
        <w:t xml:space="preserve">, </w:t>
      </w:r>
      <w:r w:rsidR="00FE7B6E">
        <w:t>existe la</w:t>
      </w:r>
      <w:r>
        <w:t xml:space="preserve"> tranquilidad corporal y </w:t>
      </w:r>
      <w:r w:rsidR="00FE7B6E">
        <w:t xml:space="preserve">la </w:t>
      </w:r>
      <w:r>
        <w:t xml:space="preserve">tranquilidad mental. [134] La atención </w:t>
      </w:r>
      <w:proofErr w:type="spellStart"/>
      <w:r>
        <w:t>sabia</w:t>
      </w:r>
      <w:proofErr w:type="spellEnd"/>
      <w:r>
        <w:t xml:space="preserve"> que se practi</w:t>
      </w:r>
      <w:r w:rsidR="00FE7B6E">
        <w:t>que</w:t>
      </w:r>
      <w:r>
        <w:t xml:space="preserve"> </w:t>
      </w:r>
      <w:r w:rsidR="00FE7B6E">
        <w:t>considerablemente al respecto</w:t>
      </w:r>
      <w:r>
        <w:t xml:space="preserve"> </w:t>
      </w:r>
      <w:r w:rsidR="00FE7B6E">
        <w:t xml:space="preserve">será </w:t>
      </w:r>
      <w:r>
        <w:t xml:space="preserve">el </w:t>
      </w:r>
      <w:r w:rsidR="00F4181E">
        <w:t xml:space="preserve">sustento </w:t>
      </w:r>
      <w:r>
        <w:t xml:space="preserve">para el surgimiento del factor de </w:t>
      </w:r>
      <w:r w:rsidR="00FE7B6E">
        <w:t xml:space="preserve">la </w:t>
      </w:r>
      <w:r>
        <w:t xml:space="preserve">iluminación de </w:t>
      </w:r>
      <w:r w:rsidR="00FE7B6E">
        <w:t xml:space="preserve">la </w:t>
      </w:r>
      <w:r>
        <w:t>tranquilidad no surgid</w:t>
      </w:r>
      <w:r w:rsidR="007969D9">
        <w:t>a</w:t>
      </w:r>
      <w:r>
        <w:t>, o conduc</w:t>
      </w:r>
      <w:r w:rsidR="00FE7B6E">
        <w:t>irá</w:t>
      </w:r>
      <w:r>
        <w:t xml:space="preserve"> al crecimiento, </w:t>
      </w:r>
      <w:r w:rsidR="00FE7B6E">
        <w:t>consumación</w:t>
      </w:r>
      <w:r>
        <w:t xml:space="preserve">, desarrollo y perfección del factor de </w:t>
      </w:r>
      <w:r w:rsidR="00FE7B6E">
        <w:t xml:space="preserve">la </w:t>
      </w:r>
      <w:r>
        <w:t xml:space="preserve">iluminación de </w:t>
      </w:r>
      <w:r w:rsidR="00FE7B6E">
        <w:t xml:space="preserve">la </w:t>
      </w:r>
      <w:r>
        <w:t xml:space="preserve">tranquilidad </w:t>
      </w:r>
      <w:r w:rsidR="00724FD6">
        <w:t xml:space="preserve">ya </w:t>
      </w:r>
      <w:r>
        <w:t>surgid</w:t>
      </w:r>
      <w:r w:rsidR="00F4181E">
        <w:t>a</w:t>
      </w:r>
      <w:r>
        <w:t>”. Del mismo modo: “</w:t>
      </w:r>
      <w:proofErr w:type="spellStart"/>
      <w:r w:rsidR="00057BF4" w:rsidRPr="00057BF4">
        <w:rPr>
          <w:i/>
          <w:iCs/>
        </w:rPr>
        <w:t>Bhikkhu</w:t>
      </w:r>
      <w:r w:rsidRPr="00136CF6">
        <w:rPr>
          <w:i/>
          <w:iCs/>
        </w:rPr>
        <w:t>s</w:t>
      </w:r>
      <w:proofErr w:type="spellEnd"/>
      <w:r>
        <w:t xml:space="preserve">, </w:t>
      </w:r>
      <w:r w:rsidR="009E0E88">
        <w:t>existe</w:t>
      </w:r>
      <w:r>
        <w:t xml:space="preserve"> el signo de la serenidad, el signo de la no distracción. La atención sabia, muy </w:t>
      </w:r>
      <w:r w:rsidR="00A36984">
        <w:t xml:space="preserve">bien </w:t>
      </w:r>
      <w:r>
        <w:t>practicada, conten</w:t>
      </w:r>
      <w:r w:rsidR="00A36984">
        <w:t>drá</w:t>
      </w:r>
      <w:r>
        <w:t xml:space="preserve"> el </w:t>
      </w:r>
      <w:r w:rsidR="00F4181E">
        <w:t xml:space="preserve">sustento </w:t>
      </w:r>
      <w:r>
        <w:t xml:space="preserve">para el surgimiento del factor de </w:t>
      </w:r>
      <w:r w:rsidR="00A36984">
        <w:t xml:space="preserve">la </w:t>
      </w:r>
      <w:r>
        <w:t xml:space="preserve">iluminación de </w:t>
      </w:r>
      <w:r w:rsidR="00A36984">
        <w:t xml:space="preserve">la </w:t>
      </w:r>
      <w:r>
        <w:t>concentración no surgid</w:t>
      </w:r>
      <w:r w:rsidR="00F4181E">
        <w:t>a</w:t>
      </w:r>
      <w:r>
        <w:t>, o conduc</w:t>
      </w:r>
      <w:r w:rsidR="00A36984">
        <w:t>irá</w:t>
      </w:r>
      <w:r>
        <w:t xml:space="preserve"> al crecimiento, </w:t>
      </w:r>
      <w:r w:rsidR="00A36984">
        <w:t>consumación</w:t>
      </w:r>
      <w:r>
        <w:t xml:space="preserve">, desarrollo y perfección del factor de </w:t>
      </w:r>
      <w:r w:rsidR="00A36984">
        <w:t xml:space="preserve">la </w:t>
      </w:r>
      <w:r>
        <w:t xml:space="preserve">iluminación de </w:t>
      </w:r>
      <w:r w:rsidR="00A36984">
        <w:t xml:space="preserve">la </w:t>
      </w:r>
      <w:r>
        <w:t xml:space="preserve">concentración </w:t>
      </w:r>
      <w:r w:rsidR="00F4181E">
        <w:t xml:space="preserve">ya </w:t>
      </w:r>
      <w:r>
        <w:t>surgid</w:t>
      </w:r>
      <w:r w:rsidR="00F4181E">
        <w:t>a</w:t>
      </w:r>
      <w:r>
        <w:t>”. Del mismo modo: “</w:t>
      </w:r>
      <w:proofErr w:type="spellStart"/>
      <w:r w:rsidR="00057BF4" w:rsidRPr="00057BF4">
        <w:rPr>
          <w:i/>
          <w:iCs/>
        </w:rPr>
        <w:t>Bhikkhu</w:t>
      </w:r>
      <w:r w:rsidRPr="00136CF6">
        <w:rPr>
          <w:i/>
          <w:iCs/>
        </w:rPr>
        <w:t>s</w:t>
      </w:r>
      <w:proofErr w:type="spellEnd"/>
      <w:r>
        <w:t xml:space="preserve">, hay estados que producen el factor de </w:t>
      </w:r>
      <w:r w:rsidR="00297C18">
        <w:t xml:space="preserve">la </w:t>
      </w:r>
      <w:r>
        <w:t xml:space="preserve">iluminación de la ecuanimidad. La atención sabia, muy </w:t>
      </w:r>
      <w:r w:rsidR="00297C18">
        <w:t xml:space="preserve">bien </w:t>
      </w:r>
      <w:r>
        <w:t xml:space="preserve">practicada </w:t>
      </w:r>
      <w:r w:rsidR="00297C18">
        <w:t xml:space="preserve">al respecto </w:t>
      </w:r>
      <w:r w:rsidR="00724FD6">
        <w:t>se</w:t>
      </w:r>
      <w:r w:rsidR="00297C18">
        <w:t>r</w:t>
      </w:r>
      <w:r>
        <w:t xml:space="preserve">á el </w:t>
      </w:r>
      <w:r w:rsidR="00F4181E">
        <w:t xml:space="preserve">sustento </w:t>
      </w:r>
      <w:r>
        <w:t xml:space="preserve">para el surgimiento del factor de </w:t>
      </w:r>
      <w:r w:rsidR="00F4181E">
        <w:t xml:space="preserve">la </w:t>
      </w:r>
      <w:r>
        <w:t xml:space="preserve">iluminación de </w:t>
      </w:r>
      <w:r w:rsidR="007C4FD1">
        <w:t xml:space="preserve">la </w:t>
      </w:r>
      <w:r>
        <w:t>ecuanimidad no surgid</w:t>
      </w:r>
      <w:r w:rsidR="00F4181E">
        <w:t>a</w:t>
      </w:r>
      <w:r>
        <w:t>, o conduc</w:t>
      </w:r>
      <w:r w:rsidR="00724FD6">
        <w:t>irá</w:t>
      </w:r>
      <w:r>
        <w:t xml:space="preserve"> al crecimiento, </w:t>
      </w:r>
      <w:r w:rsidR="00724FD6">
        <w:t>consumación</w:t>
      </w:r>
      <w:r>
        <w:t xml:space="preserve">, desarrollo y perfección del factor de </w:t>
      </w:r>
      <w:r w:rsidR="00724FD6">
        <w:t xml:space="preserve">la </w:t>
      </w:r>
      <w:r>
        <w:t xml:space="preserve">iluminación de </w:t>
      </w:r>
      <w:r w:rsidR="00724FD6">
        <w:t xml:space="preserve">la </w:t>
      </w:r>
      <w:r>
        <w:t xml:space="preserve">ecuanimidad </w:t>
      </w:r>
      <w:r w:rsidR="00724FD6">
        <w:t xml:space="preserve">ya </w:t>
      </w:r>
      <w:r>
        <w:t>surgid</w:t>
      </w:r>
      <w:r w:rsidR="00F4181E">
        <w:t>a</w:t>
      </w:r>
      <w:r>
        <w:t>” (S V 104).</w:t>
      </w:r>
    </w:p>
    <w:p w14:paraId="6074C2C5" w14:textId="24DE3FF0" w:rsidR="009871BA" w:rsidRDefault="009871BA" w:rsidP="009871BA">
      <w:r>
        <w:t xml:space="preserve">59. </w:t>
      </w:r>
      <w:r>
        <w:tab/>
        <w:t xml:space="preserve">Aquí, la </w:t>
      </w:r>
      <w:r w:rsidRPr="00136CF6">
        <w:rPr>
          <w:i/>
          <w:iCs/>
        </w:rPr>
        <w:t xml:space="preserve">atención </w:t>
      </w:r>
      <w:r w:rsidR="000539BC" w:rsidRPr="00136CF6">
        <w:rPr>
          <w:i/>
          <w:iCs/>
        </w:rPr>
        <w:t xml:space="preserve">sabia </w:t>
      </w:r>
      <w:r w:rsidR="005C0E66">
        <w:t>mencionada</w:t>
      </w:r>
      <w:r>
        <w:t xml:space="preserve"> </w:t>
      </w:r>
      <w:r w:rsidR="005C0E66">
        <w:t>en</w:t>
      </w:r>
      <w:r>
        <w:t xml:space="preserve"> las tres instancias </w:t>
      </w:r>
      <w:r w:rsidR="005C0E66">
        <w:t xml:space="preserve">será la </w:t>
      </w:r>
      <w:r>
        <w:t>atención que se produ</w:t>
      </w:r>
      <w:r w:rsidR="00CF6778">
        <w:t>zca</w:t>
      </w:r>
      <w:r>
        <w:t xml:space="preserve"> al despertar la tranquilidad, etc., observa</w:t>
      </w:r>
      <w:r w:rsidR="00CF6778">
        <w:t>ndo</w:t>
      </w:r>
      <w:r>
        <w:t xml:space="preserve"> </w:t>
      </w:r>
      <w:r w:rsidR="00CF6778">
        <w:t xml:space="preserve">la manera </w:t>
      </w:r>
      <w:r>
        <w:t xml:space="preserve">en </w:t>
      </w:r>
      <w:r w:rsidR="003B7AF5">
        <w:t xml:space="preserve">la </w:t>
      </w:r>
      <w:r>
        <w:t xml:space="preserve">que surgieron en él antes. El </w:t>
      </w:r>
      <w:r w:rsidRPr="003C51A6">
        <w:rPr>
          <w:i/>
          <w:iCs/>
        </w:rPr>
        <w:t>signo de la serenidad</w:t>
      </w:r>
      <w:r>
        <w:t xml:space="preserve"> </w:t>
      </w:r>
      <w:r w:rsidR="003B7AF5" w:rsidRPr="003B7AF5">
        <w:t xml:space="preserve">será </w:t>
      </w:r>
      <w:r>
        <w:t xml:space="preserve">un término para la serenidad misma, y ​​la </w:t>
      </w:r>
      <w:r w:rsidRPr="00A326BA">
        <w:rPr>
          <w:i/>
          <w:iCs/>
          <w:color w:val="1F3864" w:themeColor="accent1" w:themeShade="80"/>
        </w:rPr>
        <w:t>no diversión</w:t>
      </w:r>
      <w:r w:rsidRPr="00A326BA">
        <w:rPr>
          <w:color w:val="1F3864" w:themeColor="accent1" w:themeShade="80"/>
        </w:rPr>
        <w:t xml:space="preserve"> </w:t>
      </w:r>
      <w:r w:rsidR="009531F6">
        <w:t xml:space="preserve">será </w:t>
      </w:r>
      <w:r>
        <w:t>también un término para e</w:t>
      </w:r>
      <w:r w:rsidR="009531F6">
        <w:t>ll</w:t>
      </w:r>
      <w:r>
        <w:t>o en el sentido de no</w:t>
      </w:r>
      <w:r w:rsidR="009531F6">
        <w:t>-</w:t>
      </w:r>
      <w:r>
        <w:t>distracción.</w:t>
      </w:r>
    </w:p>
    <w:p w14:paraId="7A60F6B3" w14:textId="06636781" w:rsidR="009871BA" w:rsidRDefault="009871BA" w:rsidP="009871BA">
      <w:r>
        <w:t xml:space="preserve">60. </w:t>
      </w:r>
      <w:r>
        <w:tab/>
      </w:r>
      <w:r w:rsidR="009531F6">
        <w:t>Existen</w:t>
      </w:r>
      <w:r>
        <w:t xml:space="preserve">, además, </w:t>
      </w:r>
      <w:r w:rsidR="002B27D0">
        <w:t>7</w:t>
      </w:r>
      <w:r>
        <w:t xml:space="preserve"> cosas que conducen al surgimiento del factor de la iluminación de la tranquilidad: (i) usar alimentos superiores, (</w:t>
      </w:r>
      <w:proofErr w:type="spellStart"/>
      <w:r>
        <w:t>ii</w:t>
      </w:r>
      <w:proofErr w:type="spellEnd"/>
      <w:r>
        <w:t>) vivir en un buen clima, (</w:t>
      </w:r>
      <w:proofErr w:type="spellStart"/>
      <w:r>
        <w:t>iii</w:t>
      </w:r>
      <w:proofErr w:type="spellEnd"/>
      <w:r>
        <w:t>) mantener una postura agradable, (</w:t>
      </w:r>
      <w:proofErr w:type="spellStart"/>
      <w:r>
        <w:t>iv</w:t>
      </w:r>
      <w:proofErr w:type="spellEnd"/>
      <w:r>
        <w:t>) mantener</w:t>
      </w:r>
      <w:r w:rsidR="00A559F9">
        <w:t>se</w:t>
      </w:r>
      <w:r>
        <w:t xml:space="preserve"> </w:t>
      </w:r>
      <w:r w:rsidR="00A559F9">
        <w:t>a</w:t>
      </w:r>
      <w:r>
        <w:t>l medio, (v) evita</w:t>
      </w:r>
      <w:r w:rsidR="009A12C6">
        <w:t>r</w:t>
      </w:r>
      <w:r>
        <w:t xml:space="preserve"> </w:t>
      </w:r>
      <w:r w:rsidR="009A12C6">
        <w:t xml:space="preserve">relacionarse con </w:t>
      </w:r>
      <w:r>
        <w:t>personas violentas, (vi) cultiv</w:t>
      </w:r>
      <w:r w:rsidR="00A559F9">
        <w:t xml:space="preserve">ar </w:t>
      </w:r>
      <w:r w:rsidR="009A12C6">
        <w:t xml:space="preserve">relaciones con </w:t>
      </w:r>
      <w:r>
        <w:t>personas tranquilas en cuerpo, (</w:t>
      </w:r>
      <w:proofErr w:type="spellStart"/>
      <w:r>
        <w:t>vii</w:t>
      </w:r>
      <w:proofErr w:type="spellEnd"/>
      <w:r>
        <w:t xml:space="preserve">) </w:t>
      </w:r>
      <w:r w:rsidR="00A559F9">
        <w:t>determinación en el emprendimiento</w:t>
      </w:r>
      <w:r>
        <w:t xml:space="preserve"> </w:t>
      </w:r>
      <w:r w:rsidR="009A12C6">
        <w:t xml:space="preserve">al respecto </w:t>
      </w:r>
      <w:r>
        <w:t>[</w:t>
      </w:r>
      <w:r w:rsidR="00A559F9">
        <w:t xml:space="preserve">de </w:t>
      </w:r>
      <w:r w:rsidR="00D168BD">
        <w:t xml:space="preserve">la </w:t>
      </w:r>
      <w:r>
        <w:t>tranquilidad].</w:t>
      </w:r>
    </w:p>
    <w:p w14:paraId="74E529E2" w14:textId="0D07C929" w:rsidR="009871BA" w:rsidRDefault="009871BA" w:rsidP="009871BA">
      <w:r>
        <w:t xml:space="preserve">61. </w:t>
      </w:r>
      <w:r>
        <w:tab/>
      </w:r>
      <w:r w:rsidR="002B27D0">
        <w:t>11</w:t>
      </w:r>
      <w:r>
        <w:t xml:space="preserve"> cosas conducen al surgimiento del factor de</w:t>
      </w:r>
      <w:r w:rsidR="00D168BD">
        <w:t xml:space="preserve"> la</w:t>
      </w:r>
      <w:r>
        <w:t xml:space="preserve"> iluminación de </w:t>
      </w:r>
      <w:r w:rsidR="00D168BD">
        <w:t xml:space="preserve">la </w:t>
      </w:r>
      <w:r>
        <w:t>concentración: (i) limpiar la base, (</w:t>
      </w:r>
      <w:proofErr w:type="spellStart"/>
      <w:r>
        <w:t>ii</w:t>
      </w:r>
      <w:proofErr w:type="spellEnd"/>
      <w:r>
        <w:t>) habilidad en el signo, (</w:t>
      </w:r>
      <w:proofErr w:type="spellStart"/>
      <w:r>
        <w:t>iii</w:t>
      </w:r>
      <w:proofErr w:type="spellEnd"/>
      <w:r>
        <w:t>) equilibrar las facultades, (</w:t>
      </w:r>
      <w:proofErr w:type="spellStart"/>
      <w:r>
        <w:t>iv</w:t>
      </w:r>
      <w:proofErr w:type="spellEnd"/>
      <w:r>
        <w:t>) refrenar la mente en ocasiones, (v) ejercer la mente de vez en cuando, (vi) animar a la mente apática por medio de la fe y un sentido de urgencia, (</w:t>
      </w:r>
      <w:proofErr w:type="spellStart"/>
      <w:r>
        <w:t>vii</w:t>
      </w:r>
      <w:proofErr w:type="spellEnd"/>
      <w:r>
        <w:t xml:space="preserve">) observar con ecuanimidad </w:t>
      </w:r>
      <w:r w:rsidR="00D168BD">
        <w:t xml:space="preserve">correctamente </w:t>
      </w:r>
      <w:r>
        <w:t>lo que est</w:t>
      </w:r>
      <w:r w:rsidR="00D168BD">
        <w:t>é</w:t>
      </w:r>
      <w:r>
        <w:t xml:space="preserve"> ocurriendo, (</w:t>
      </w:r>
      <w:proofErr w:type="spellStart"/>
      <w:r>
        <w:t>viii</w:t>
      </w:r>
      <w:proofErr w:type="spellEnd"/>
      <w:r>
        <w:t>) evitar a las personas no concentradas, (</w:t>
      </w:r>
      <w:proofErr w:type="spellStart"/>
      <w:r>
        <w:t>ix</w:t>
      </w:r>
      <w:proofErr w:type="spellEnd"/>
      <w:r>
        <w:t xml:space="preserve">) cultivar </w:t>
      </w:r>
      <w:r w:rsidR="00D168BD">
        <w:t>relaciones con</w:t>
      </w:r>
      <w:r>
        <w:t xml:space="preserve"> personas concentradas , (x) </w:t>
      </w:r>
      <w:r w:rsidR="00D168BD">
        <w:t>revisar</w:t>
      </w:r>
      <w:r>
        <w:t xml:space="preserve"> los </w:t>
      </w:r>
      <w:proofErr w:type="spellStart"/>
      <w:r w:rsidR="00057BF4" w:rsidRPr="00057BF4">
        <w:rPr>
          <w:i/>
          <w:iCs/>
        </w:rPr>
        <w:t>jhāna</w:t>
      </w:r>
      <w:r w:rsidRPr="00136CF6">
        <w:rPr>
          <w:i/>
          <w:iCs/>
        </w:rPr>
        <w:t>s</w:t>
      </w:r>
      <w:proofErr w:type="spellEnd"/>
      <w:r>
        <w:t xml:space="preserve"> y </w:t>
      </w:r>
      <w:r w:rsidR="00282442">
        <w:t xml:space="preserve">las </w:t>
      </w:r>
      <w:r>
        <w:t xml:space="preserve">liberaciones, (xi) </w:t>
      </w:r>
      <w:r w:rsidR="003C1126">
        <w:t xml:space="preserve">determinación en el emprendimiento </w:t>
      </w:r>
      <w:r w:rsidR="00282442">
        <w:t xml:space="preserve">al respecto </w:t>
      </w:r>
      <w:r>
        <w:t>[</w:t>
      </w:r>
      <w:r w:rsidR="003C1126">
        <w:t xml:space="preserve">de </w:t>
      </w:r>
      <w:r w:rsidR="00282442">
        <w:t xml:space="preserve">la </w:t>
      </w:r>
      <w:r>
        <w:t>concentración].</w:t>
      </w:r>
    </w:p>
    <w:p w14:paraId="1684C2DB" w14:textId="334B5CE8" w:rsidR="009871BA" w:rsidRDefault="009871BA" w:rsidP="009871BA">
      <w:r>
        <w:t xml:space="preserve">62. </w:t>
      </w:r>
      <w:r>
        <w:tab/>
      </w:r>
      <w:r w:rsidR="002B27D0">
        <w:t>5</w:t>
      </w:r>
      <w:r>
        <w:t xml:space="preserve"> cosas conducen al surgimiento del factor de </w:t>
      </w:r>
      <w:r w:rsidR="00282442">
        <w:t xml:space="preserve">la </w:t>
      </w:r>
      <w:r>
        <w:t>iluminación de la ecuanimidad: (i) el mantenimiento de la neutralidad hacia los seres vivos; (</w:t>
      </w:r>
      <w:proofErr w:type="spellStart"/>
      <w:r>
        <w:t>ii</w:t>
      </w:r>
      <w:proofErr w:type="spellEnd"/>
      <w:r>
        <w:t>) mantenimiento de la neutralidad hacia las formaciones (cosas inanimadas); (</w:t>
      </w:r>
      <w:proofErr w:type="spellStart"/>
      <w:r>
        <w:t>iii</w:t>
      </w:r>
      <w:proofErr w:type="spellEnd"/>
      <w:r>
        <w:t xml:space="preserve">) </w:t>
      </w:r>
      <w:r w:rsidR="0021254E">
        <w:t>elusión</w:t>
      </w:r>
      <w:r>
        <w:t xml:space="preserve"> de personas que muestren favoritismo hacia </w:t>
      </w:r>
      <w:r w:rsidR="003C1126">
        <w:t xml:space="preserve">ciertos </w:t>
      </w:r>
      <w:r>
        <w:t>seres y formaciones; (</w:t>
      </w:r>
      <w:proofErr w:type="spellStart"/>
      <w:r>
        <w:t>iv</w:t>
      </w:r>
      <w:proofErr w:type="spellEnd"/>
      <w:r>
        <w:t xml:space="preserve">) cultivo de </w:t>
      </w:r>
      <w:r w:rsidR="002F57A1">
        <w:t xml:space="preserve">relaciones con </w:t>
      </w:r>
      <w:r>
        <w:t>personas que manten</w:t>
      </w:r>
      <w:r w:rsidR="002F57A1">
        <w:t>ga</w:t>
      </w:r>
      <w:r>
        <w:t xml:space="preserve">n neutralidad hacia los seres y </w:t>
      </w:r>
      <w:r w:rsidR="002F57A1">
        <w:t>la</w:t>
      </w:r>
      <w:r w:rsidR="003C1126">
        <w:t>s</w:t>
      </w:r>
      <w:r w:rsidR="002F57A1">
        <w:t xml:space="preserve"> </w:t>
      </w:r>
      <w:r>
        <w:t xml:space="preserve">formaciones; (v) </w:t>
      </w:r>
      <w:r w:rsidR="003C1126">
        <w:t xml:space="preserve">determinación en el emprendimiento </w:t>
      </w:r>
      <w:r w:rsidR="002F57A1">
        <w:t xml:space="preserve">al respecto </w:t>
      </w:r>
      <w:r>
        <w:t>[</w:t>
      </w:r>
      <w:r w:rsidR="003C1126">
        <w:t xml:space="preserve">de </w:t>
      </w:r>
      <w:r w:rsidR="002F57A1">
        <w:t xml:space="preserve">la </w:t>
      </w:r>
      <w:r>
        <w:t>ecuanimidad]. [135]</w:t>
      </w:r>
    </w:p>
    <w:p w14:paraId="6C97DB54" w14:textId="7BD5A7F3" w:rsidR="009E02DF" w:rsidRDefault="009871BA" w:rsidP="008017D1">
      <w:pPr>
        <w:pStyle w:val="NormalConSangria"/>
      </w:pPr>
      <w:r>
        <w:t xml:space="preserve">Entonces, al despertar estas cosas </w:t>
      </w:r>
      <w:r w:rsidR="0024249D">
        <w:t xml:space="preserve">y </w:t>
      </w:r>
      <w:r>
        <w:t>de esta manera, desarrolla</w:t>
      </w:r>
      <w:r w:rsidR="008017D1">
        <w:t>rá</w:t>
      </w:r>
      <w:r>
        <w:t xml:space="preserve"> el factor de </w:t>
      </w:r>
      <w:r w:rsidR="008017D1">
        <w:t xml:space="preserve">la </w:t>
      </w:r>
      <w:r>
        <w:t xml:space="preserve">iluminación de </w:t>
      </w:r>
      <w:r w:rsidR="008017D1">
        <w:t xml:space="preserve">la </w:t>
      </w:r>
      <w:r>
        <w:t xml:space="preserve">tranquilidad, </w:t>
      </w:r>
      <w:r w:rsidR="008017D1">
        <w:t xml:space="preserve">y </w:t>
      </w:r>
      <w:r w:rsidR="00B13228">
        <w:t>los demás factores</w:t>
      </w:r>
      <w:r>
        <w:t xml:space="preserve">. Así es como </w:t>
      </w:r>
      <w:r w:rsidR="00B13228">
        <w:t xml:space="preserve">se restringe </w:t>
      </w:r>
      <w:r w:rsidR="0091023F">
        <w:t>a</w:t>
      </w:r>
      <w:r w:rsidR="00147457">
        <w:t xml:space="preserve"> un</w:t>
      </w:r>
      <w:r>
        <w:t xml:space="preserve">a mente en una ocasión en </w:t>
      </w:r>
      <w:r w:rsidR="00B13228">
        <w:t xml:space="preserve">la </w:t>
      </w:r>
      <w:r>
        <w:t>que deb</w:t>
      </w:r>
      <w:r w:rsidR="00B13228">
        <w:t>a</w:t>
      </w:r>
      <w:r>
        <w:t xml:space="preserve"> restring</w:t>
      </w:r>
      <w:r w:rsidR="0091023F">
        <w:t>irse</w:t>
      </w:r>
      <w:r>
        <w:t>.</w:t>
      </w:r>
      <w:r w:rsidR="00C53DC2">
        <w:br w:type="page"/>
      </w:r>
    </w:p>
    <w:p w14:paraId="7858C471" w14:textId="16AE2038" w:rsidR="009E02DF" w:rsidRDefault="009E02DF" w:rsidP="00933F62">
      <w:r>
        <w:lastRenderedPageBreak/>
        <w:t xml:space="preserve">63. </w:t>
      </w:r>
      <w:r w:rsidR="0069368E">
        <w:tab/>
      </w:r>
      <w:r w:rsidRPr="005F6187">
        <w:rPr>
          <w:i/>
          <w:iCs/>
        </w:rPr>
        <w:t>6</w:t>
      </w:r>
      <w:r>
        <w:t xml:space="preserve">. ¿Cómo </w:t>
      </w:r>
      <w:r w:rsidR="00B823C6">
        <w:t xml:space="preserve">se </w:t>
      </w:r>
      <w:r w:rsidRPr="00136CF6">
        <w:rPr>
          <w:i/>
          <w:iCs/>
        </w:rPr>
        <w:t xml:space="preserve">alienta </w:t>
      </w:r>
      <w:r w:rsidR="0091023F">
        <w:rPr>
          <w:i/>
          <w:iCs/>
        </w:rPr>
        <w:t>una</w:t>
      </w:r>
      <w:r w:rsidRPr="00136CF6">
        <w:rPr>
          <w:i/>
          <w:iCs/>
        </w:rPr>
        <w:t xml:space="preserve"> mente en una ocasión en </w:t>
      </w:r>
      <w:r w:rsidR="00E944B7">
        <w:rPr>
          <w:i/>
          <w:iCs/>
        </w:rPr>
        <w:t xml:space="preserve">la </w:t>
      </w:r>
      <w:r w:rsidRPr="00136CF6">
        <w:rPr>
          <w:i/>
          <w:iCs/>
        </w:rPr>
        <w:t xml:space="preserve">que </w:t>
      </w:r>
      <w:r w:rsidR="003E35D0" w:rsidRPr="00136CF6">
        <w:rPr>
          <w:i/>
          <w:iCs/>
        </w:rPr>
        <w:t>deb</w:t>
      </w:r>
      <w:r w:rsidR="00E944B7">
        <w:rPr>
          <w:i/>
          <w:iCs/>
        </w:rPr>
        <w:t>a</w:t>
      </w:r>
      <w:r w:rsidR="003E35D0" w:rsidRPr="00136CF6">
        <w:rPr>
          <w:i/>
          <w:iCs/>
        </w:rPr>
        <w:t xml:space="preserve"> </w:t>
      </w:r>
      <w:r w:rsidRPr="00136CF6">
        <w:rPr>
          <w:i/>
          <w:iCs/>
        </w:rPr>
        <w:t>alenta</w:t>
      </w:r>
      <w:r w:rsidR="0091023F">
        <w:rPr>
          <w:i/>
          <w:iCs/>
        </w:rPr>
        <w:t>rse</w:t>
      </w:r>
      <w:r w:rsidR="00282E97">
        <w:rPr>
          <w:i/>
          <w:iCs/>
        </w:rPr>
        <w:t>?</w:t>
      </w:r>
      <w:r>
        <w:t xml:space="preserve"> Cuando su mente est</w:t>
      </w:r>
      <w:r w:rsidR="00E944B7">
        <w:t>é</w:t>
      </w:r>
      <w:r>
        <w:t xml:space="preserve"> apática debido a la lentitud en el ejercicio del </w:t>
      </w:r>
      <w:r w:rsidR="00282E97">
        <w:t>entendimiento</w:t>
      </w:r>
      <w:r>
        <w:t xml:space="preserve"> o </w:t>
      </w:r>
      <w:r w:rsidR="00282E97">
        <w:t xml:space="preserve">debido </w:t>
      </w:r>
      <w:r>
        <w:t>al fracaso en alcanzar la dicha de la paz, debe</w:t>
      </w:r>
      <w:r w:rsidR="00282E97">
        <w:t xml:space="preserve">rá </w:t>
      </w:r>
      <w:r>
        <w:t xml:space="preserve">estimularla </w:t>
      </w:r>
      <w:r w:rsidR="00103F77">
        <w:t>evocando</w:t>
      </w:r>
      <w:r>
        <w:t xml:space="preserve"> los ocho </w:t>
      </w:r>
      <w:r w:rsidR="007F438F">
        <w:t>activadores</w:t>
      </w:r>
      <w:r>
        <w:t xml:space="preserve"> </w:t>
      </w:r>
      <w:r w:rsidR="00AC5E60">
        <w:t>del</w:t>
      </w:r>
      <w:r>
        <w:t xml:space="preserve"> sentido de urgencia. Estos son los cuatro</w:t>
      </w:r>
      <w:r w:rsidR="006361A9">
        <w:t xml:space="preserve"> siguientes</w:t>
      </w:r>
      <w:r>
        <w:t xml:space="preserve">, </w:t>
      </w:r>
      <w:r w:rsidR="0036671A">
        <w:t>es decir</w:t>
      </w:r>
      <w:r>
        <w:t xml:space="preserve">, </w:t>
      </w:r>
      <w:r w:rsidR="0036671A">
        <w:t xml:space="preserve">el </w:t>
      </w:r>
      <w:r>
        <w:t xml:space="preserve">nacimiento, </w:t>
      </w:r>
      <w:r w:rsidR="00FA4A08">
        <w:t>la vejez</w:t>
      </w:r>
      <w:r>
        <w:t xml:space="preserve">, </w:t>
      </w:r>
      <w:r w:rsidR="0036671A">
        <w:t xml:space="preserve">la </w:t>
      </w:r>
      <w:r>
        <w:t xml:space="preserve">enfermedad y </w:t>
      </w:r>
      <w:r w:rsidR="0036671A">
        <w:t xml:space="preserve">la </w:t>
      </w:r>
      <w:r>
        <w:t>muerte, con el sufrimiento e</w:t>
      </w:r>
      <w:r w:rsidR="0036671A">
        <w:t>n</w:t>
      </w:r>
      <w:r>
        <w:t xml:space="preserve"> los estados de p</w:t>
      </w:r>
      <w:r w:rsidR="0036671A">
        <w:t>e</w:t>
      </w:r>
      <w:r>
        <w:t>rdi</w:t>
      </w:r>
      <w:r w:rsidR="0036671A">
        <w:t>ción</w:t>
      </w:r>
      <w:r>
        <w:t xml:space="preserve"> como el quinto, y también el sufrimiento en el pasado enraizado en </w:t>
      </w:r>
      <w:r w:rsidR="004177B1">
        <w:t>el ciclo</w:t>
      </w:r>
      <w:r>
        <w:t xml:space="preserve"> de renacimientos, el sufrimiento en el futuro enraizado en </w:t>
      </w:r>
      <w:r w:rsidR="004177B1">
        <w:t xml:space="preserve">el ciclo </w:t>
      </w:r>
      <w:r>
        <w:t>de renacimientos, y el sufrimiento en el presente enraizado en la búsqueda de</w:t>
      </w:r>
      <w:r w:rsidR="004177B1">
        <w:t>l</w:t>
      </w:r>
      <w:r>
        <w:t xml:space="preserve"> </w:t>
      </w:r>
      <w:r w:rsidR="0008653C" w:rsidRPr="0008653C">
        <w:t>nutrimento</w:t>
      </w:r>
      <w:r>
        <w:t xml:space="preserve">. Y </w:t>
      </w:r>
      <w:r w:rsidR="009A1521">
        <w:t xml:space="preserve">debe propiciar </w:t>
      </w:r>
      <w:r>
        <w:t xml:space="preserve">confianza </w:t>
      </w:r>
      <w:r w:rsidR="009A1521">
        <w:t xml:space="preserve">evocando </w:t>
      </w:r>
      <w:r>
        <w:t xml:space="preserve">las cualidades especiales del </w:t>
      </w:r>
      <w:r w:rsidR="00057BF4" w:rsidRPr="00057BF4">
        <w:rPr>
          <w:i/>
        </w:rPr>
        <w:t>Buddha</w:t>
      </w:r>
      <w:r>
        <w:t xml:space="preserve">, el </w:t>
      </w:r>
      <w:r w:rsidR="00057BF4" w:rsidRPr="00057BF4">
        <w:rPr>
          <w:i/>
        </w:rPr>
        <w:t>Dhamma</w:t>
      </w:r>
      <w:r>
        <w:t xml:space="preserve"> y </w:t>
      </w:r>
      <w:r w:rsidR="00F74231">
        <w:t>e</w:t>
      </w:r>
      <w:r>
        <w:t xml:space="preserve">l </w:t>
      </w:r>
      <w:r w:rsidR="009A1521">
        <w:rPr>
          <w:i/>
          <w:iCs/>
        </w:rPr>
        <w:t>Saṅgha</w:t>
      </w:r>
      <w:r>
        <w:t>. Así alenta</w:t>
      </w:r>
      <w:r w:rsidR="009A1521">
        <w:t>rá</w:t>
      </w:r>
      <w:r>
        <w:t xml:space="preserve"> la mente en una ocasión en </w:t>
      </w:r>
      <w:r w:rsidR="009A1521">
        <w:t xml:space="preserve">la </w:t>
      </w:r>
      <w:r>
        <w:t>que deb</w:t>
      </w:r>
      <w:r w:rsidR="009A1521">
        <w:t>a</w:t>
      </w:r>
      <w:r>
        <w:t xml:space="preserve"> ser alentad</w:t>
      </w:r>
      <w:r w:rsidR="009A1521">
        <w:t>a</w:t>
      </w:r>
      <w:r>
        <w:t>.</w:t>
      </w:r>
    </w:p>
    <w:p w14:paraId="007509B5" w14:textId="1BEBEC9B" w:rsidR="009E02DF" w:rsidRDefault="009E02DF" w:rsidP="00933F62">
      <w:r>
        <w:t xml:space="preserve">64. </w:t>
      </w:r>
      <w:r w:rsidR="00933F62">
        <w:tab/>
      </w:r>
      <w:r w:rsidRPr="005F6187">
        <w:rPr>
          <w:i/>
          <w:iCs/>
        </w:rPr>
        <w:t>7</w:t>
      </w:r>
      <w:r>
        <w:t xml:space="preserve">. ¿Cómo </w:t>
      </w:r>
      <w:r w:rsidR="008B76E0" w:rsidRPr="008B76E0">
        <w:rPr>
          <w:i/>
          <w:iCs/>
        </w:rPr>
        <w:t>se</w:t>
      </w:r>
      <w:r w:rsidR="008B76E0">
        <w:t xml:space="preserve"> </w:t>
      </w:r>
      <w:r w:rsidR="004B42C7" w:rsidRPr="004B42C7">
        <w:rPr>
          <w:i/>
          <w:iCs/>
        </w:rPr>
        <w:t>observ</w:t>
      </w:r>
      <w:r w:rsidR="00A166EF">
        <w:rPr>
          <w:i/>
          <w:iCs/>
        </w:rPr>
        <w:t>ará</w:t>
      </w:r>
      <w:r w:rsidRPr="00136CF6">
        <w:rPr>
          <w:i/>
          <w:iCs/>
        </w:rPr>
        <w:t xml:space="preserve"> a la mente con ecuanimidad en una ocasión en </w:t>
      </w:r>
      <w:r w:rsidR="007356F1">
        <w:rPr>
          <w:i/>
          <w:iCs/>
        </w:rPr>
        <w:t xml:space="preserve">la </w:t>
      </w:r>
      <w:r w:rsidRPr="00136CF6">
        <w:rPr>
          <w:i/>
          <w:iCs/>
        </w:rPr>
        <w:t>que deb</w:t>
      </w:r>
      <w:r w:rsidR="007356F1">
        <w:rPr>
          <w:i/>
          <w:iCs/>
        </w:rPr>
        <w:t>a</w:t>
      </w:r>
      <w:r w:rsidRPr="00136CF6">
        <w:rPr>
          <w:i/>
          <w:iCs/>
        </w:rPr>
        <w:t xml:space="preserve"> </w:t>
      </w:r>
      <w:r w:rsidR="004B42C7">
        <w:rPr>
          <w:i/>
          <w:iCs/>
        </w:rPr>
        <w:t>observar</w:t>
      </w:r>
      <w:r w:rsidR="008B76E0">
        <w:rPr>
          <w:i/>
          <w:iCs/>
        </w:rPr>
        <w:t>se</w:t>
      </w:r>
      <w:r w:rsidR="004B42C7">
        <w:rPr>
          <w:i/>
          <w:iCs/>
        </w:rPr>
        <w:t xml:space="preserve"> </w:t>
      </w:r>
      <w:r w:rsidRPr="00136CF6">
        <w:rPr>
          <w:i/>
          <w:iCs/>
        </w:rPr>
        <w:t>con ecuanimidad?</w:t>
      </w:r>
      <w:r>
        <w:t xml:space="preserve"> Cuando </w:t>
      </w:r>
      <w:r w:rsidR="004A24FD">
        <w:t xml:space="preserve">el </w:t>
      </w:r>
      <w:proofErr w:type="spellStart"/>
      <w:r w:rsidR="004A24FD">
        <w:rPr>
          <w:i/>
          <w:iCs/>
        </w:rPr>
        <w:t>bhikkhu</w:t>
      </w:r>
      <w:proofErr w:type="spellEnd"/>
      <w:r w:rsidR="004A24FD">
        <w:rPr>
          <w:i/>
          <w:iCs/>
        </w:rPr>
        <w:t xml:space="preserve"> </w:t>
      </w:r>
      <w:r>
        <w:t>est</w:t>
      </w:r>
      <w:r w:rsidR="004B42C7">
        <w:t>é</w:t>
      </w:r>
      <w:r>
        <w:t xml:space="preserve"> practicando </w:t>
      </w:r>
      <w:r w:rsidR="00962D0C">
        <w:t>así</w:t>
      </w:r>
      <w:r>
        <w:t xml:space="preserve"> y su mente sig</w:t>
      </w:r>
      <w:r w:rsidR="004B42C7">
        <w:t>a</w:t>
      </w:r>
      <w:r>
        <w:t xml:space="preserve"> el </w:t>
      </w:r>
      <w:r w:rsidR="00892565">
        <w:t>sendero</w:t>
      </w:r>
      <w:r>
        <w:t xml:space="preserve"> de la serenidad, </w:t>
      </w:r>
      <w:r w:rsidR="00892565">
        <w:t xml:space="preserve">su mente </w:t>
      </w:r>
      <w:r>
        <w:t>se concentra</w:t>
      </w:r>
      <w:r w:rsidR="004B42C7">
        <w:t>rá</w:t>
      </w:r>
      <w:r>
        <w:t xml:space="preserve"> uniformemente en el objeto y no est</w:t>
      </w:r>
      <w:r w:rsidR="004B42C7">
        <w:t>ar</w:t>
      </w:r>
      <w:r>
        <w:t xml:space="preserve">á </w:t>
      </w:r>
      <w:r w:rsidR="002C004D">
        <w:t>letárgica</w:t>
      </w:r>
      <w:r>
        <w:t>, agitada ni apática, entonces no est</w:t>
      </w:r>
      <w:r w:rsidR="004B42C7">
        <w:t>ar</w:t>
      </w:r>
      <w:r>
        <w:t>á interesad</w:t>
      </w:r>
      <w:r w:rsidR="004A24FD">
        <w:t>o</w:t>
      </w:r>
      <w:r>
        <w:t xml:space="preserve"> en ejercerla, restringirla o alentarla; </w:t>
      </w:r>
      <w:r w:rsidR="00A166EF">
        <w:t xml:space="preserve">se sentirá </w:t>
      </w:r>
      <w:r>
        <w:t xml:space="preserve">como un auriga cuando los caballos </w:t>
      </w:r>
      <w:r w:rsidR="00ED1586">
        <w:t>marchan</w:t>
      </w:r>
      <w:r>
        <w:t xml:space="preserve"> uniformemente. Así es como </w:t>
      </w:r>
      <w:r w:rsidR="00A166EF" w:rsidRPr="00A166EF">
        <w:t xml:space="preserve">observará </w:t>
      </w:r>
      <w:r>
        <w:t xml:space="preserve">la mente con ecuanimidad en una ocasión en </w:t>
      </w:r>
      <w:r w:rsidR="00A166EF">
        <w:t xml:space="preserve">la </w:t>
      </w:r>
      <w:r>
        <w:t>que deb</w:t>
      </w:r>
      <w:r w:rsidR="00A166EF">
        <w:t>a</w:t>
      </w:r>
      <w:r>
        <w:t xml:space="preserve"> </w:t>
      </w:r>
      <w:r w:rsidR="00A166EF" w:rsidRPr="00A166EF">
        <w:t>observarla</w:t>
      </w:r>
      <w:r w:rsidR="00A166EF">
        <w:rPr>
          <w:i/>
          <w:iCs/>
        </w:rPr>
        <w:t xml:space="preserve"> </w:t>
      </w:r>
      <w:r>
        <w:t>con ecuanimidad.</w:t>
      </w:r>
    </w:p>
    <w:p w14:paraId="25021289" w14:textId="16BC6AF9" w:rsidR="009E02DF" w:rsidRDefault="009E02DF" w:rsidP="00933F62">
      <w:r>
        <w:t xml:space="preserve">65. </w:t>
      </w:r>
      <w:r w:rsidR="00933F62">
        <w:tab/>
      </w:r>
      <w:r w:rsidRPr="005F6187">
        <w:rPr>
          <w:i/>
          <w:iCs/>
        </w:rPr>
        <w:t>8</w:t>
      </w:r>
      <w:r>
        <w:t xml:space="preserve">. </w:t>
      </w:r>
      <w:r w:rsidRPr="00091266">
        <w:rPr>
          <w:i/>
          <w:iCs/>
        </w:rPr>
        <w:t>Evitar a las personas no concentradas</w:t>
      </w:r>
      <w:r>
        <w:t xml:space="preserve"> es alejarse de personas que nunca ha</w:t>
      </w:r>
      <w:r w:rsidR="002C004D">
        <w:t>ya</w:t>
      </w:r>
      <w:r>
        <w:t xml:space="preserve">n recorrido el </w:t>
      </w:r>
      <w:r w:rsidR="00570C7A">
        <w:t xml:space="preserve">sendero </w:t>
      </w:r>
      <w:r>
        <w:t>de la renuncia</w:t>
      </w:r>
      <w:r w:rsidR="00FA3869">
        <w:t>ción</w:t>
      </w:r>
      <w:r>
        <w:t xml:space="preserve">, que </w:t>
      </w:r>
      <w:r w:rsidR="0021623E">
        <w:t>se encuentr</w:t>
      </w:r>
      <w:r w:rsidR="002C004D">
        <w:t>e</w:t>
      </w:r>
      <w:r w:rsidR="0021623E">
        <w:t xml:space="preserve">n </w:t>
      </w:r>
      <w:r>
        <w:t xml:space="preserve">ocupadas con muchos </w:t>
      </w:r>
      <w:r w:rsidR="00AD44C0">
        <w:t xml:space="preserve">otros </w:t>
      </w:r>
      <w:r>
        <w:t xml:space="preserve">asuntos y cuyos corazones </w:t>
      </w:r>
      <w:r w:rsidR="0021623E">
        <w:t>and</w:t>
      </w:r>
      <w:r w:rsidR="002C004D">
        <w:t>e</w:t>
      </w:r>
      <w:r w:rsidR="0021623E">
        <w:t xml:space="preserve">n </w:t>
      </w:r>
      <w:r>
        <w:t>distraídos.</w:t>
      </w:r>
    </w:p>
    <w:p w14:paraId="5B8DEAEF" w14:textId="5872501A" w:rsidR="009E02DF" w:rsidRDefault="00933F62" w:rsidP="00933F62">
      <w:r>
        <w:tab/>
      </w:r>
      <w:r w:rsidR="009E02DF" w:rsidRPr="005F6187">
        <w:rPr>
          <w:i/>
          <w:iCs/>
        </w:rPr>
        <w:t>9</w:t>
      </w:r>
      <w:r w:rsidR="009E02DF">
        <w:t xml:space="preserve">. </w:t>
      </w:r>
      <w:r w:rsidR="009E02DF" w:rsidRPr="00091266">
        <w:rPr>
          <w:i/>
          <w:iCs/>
        </w:rPr>
        <w:t xml:space="preserve">El cultivo de </w:t>
      </w:r>
      <w:r w:rsidR="0021623E" w:rsidRPr="00091266">
        <w:rPr>
          <w:i/>
          <w:iCs/>
        </w:rPr>
        <w:t xml:space="preserve">relaciones con </w:t>
      </w:r>
      <w:r w:rsidR="009E02DF" w:rsidRPr="00091266">
        <w:rPr>
          <w:i/>
          <w:iCs/>
        </w:rPr>
        <w:t>personas concentradas</w:t>
      </w:r>
      <w:r w:rsidR="009E02DF">
        <w:t xml:space="preserve"> </w:t>
      </w:r>
      <w:r w:rsidR="005F6187">
        <w:t>consiste en</w:t>
      </w:r>
      <w:r w:rsidR="009E02DF">
        <w:t xml:space="preserve"> </w:t>
      </w:r>
      <w:r w:rsidR="005F6187">
        <w:t>aproximarse</w:t>
      </w:r>
      <w:r w:rsidR="009E02DF">
        <w:t xml:space="preserve"> periódicamente a las personas que ha</w:t>
      </w:r>
      <w:r w:rsidR="00570C7A">
        <w:t>ya</w:t>
      </w:r>
      <w:r w:rsidR="009E02DF">
        <w:t xml:space="preserve">n transitado </w:t>
      </w:r>
      <w:r w:rsidR="00091266">
        <w:t xml:space="preserve">por </w:t>
      </w:r>
      <w:r w:rsidR="009E02DF">
        <w:t xml:space="preserve">el </w:t>
      </w:r>
      <w:r w:rsidR="00570C7A">
        <w:t xml:space="preserve">sendero </w:t>
      </w:r>
      <w:r w:rsidR="009E02DF">
        <w:t>de la renuncia</w:t>
      </w:r>
      <w:r w:rsidR="005F6187">
        <w:t>ción</w:t>
      </w:r>
      <w:r w:rsidR="009E02DF">
        <w:t xml:space="preserve"> y </w:t>
      </w:r>
      <w:r w:rsidR="005F6187">
        <w:t xml:space="preserve">desarrollado </w:t>
      </w:r>
      <w:r w:rsidR="009E02DF">
        <w:t>la concentración.</w:t>
      </w:r>
    </w:p>
    <w:p w14:paraId="6E7ABE02" w14:textId="1B735C8D" w:rsidR="009E02DF" w:rsidRDefault="00933F62" w:rsidP="00933F62">
      <w:r>
        <w:tab/>
      </w:r>
      <w:r w:rsidR="009E02DF" w:rsidRPr="005F6187">
        <w:rPr>
          <w:i/>
          <w:iCs/>
        </w:rPr>
        <w:t>10</w:t>
      </w:r>
      <w:r w:rsidR="009E02DF">
        <w:t xml:space="preserve">. </w:t>
      </w:r>
      <w:r w:rsidR="009E02DF" w:rsidRPr="00091266">
        <w:rPr>
          <w:i/>
          <w:iCs/>
        </w:rPr>
        <w:t xml:space="preserve">La </w:t>
      </w:r>
      <w:r w:rsidR="00E83FAF">
        <w:rPr>
          <w:i/>
          <w:iCs/>
        </w:rPr>
        <w:t xml:space="preserve">determinación en el emprendimiento al respecto </w:t>
      </w:r>
      <w:r w:rsidR="009E02DF">
        <w:t xml:space="preserve">es el estado de </w:t>
      </w:r>
      <w:r w:rsidR="00E83FAF">
        <w:t>determinación</w:t>
      </w:r>
      <w:r w:rsidR="009E02DF">
        <w:t xml:space="preserve"> sobre la concentración; el significado es, da</w:t>
      </w:r>
      <w:r w:rsidR="00091266">
        <w:t>r</w:t>
      </w:r>
      <w:r w:rsidR="009E02DF">
        <w:t xml:space="preserve"> importancia a la concentración, tendiendo, inclinando e inclinado </w:t>
      </w:r>
      <w:r w:rsidR="002941B1">
        <w:t>hacia</w:t>
      </w:r>
      <w:r w:rsidR="009E02DF">
        <w:t xml:space="preserve"> la concentración.</w:t>
      </w:r>
    </w:p>
    <w:p w14:paraId="75D83986" w14:textId="5F658CE5" w:rsidR="009E02DF" w:rsidRDefault="00933F62" w:rsidP="00933F62">
      <w:r>
        <w:tab/>
      </w:r>
      <w:r w:rsidR="009E02DF">
        <w:t xml:space="preserve">Así es como se debe emprender </w:t>
      </w:r>
      <w:r w:rsidR="002941B1">
        <w:t>l</w:t>
      </w:r>
      <w:r w:rsidR="00156837">
        <w:t>a</w:t>
      </w:r>
      <w:r w:rsidR="002941B1">
        <w:t xml:space="preserve">s </w:t>
      </w:r>
      <w:r w:rsidR="009E02DF">
        <w:t xml:space="preserve">diez </w:t>
      </w:r>
      <w:r w:rsidR="002941B1">
        <w:t xml:space="preserve">habilidades </w:t>
      </w:r>
      <w:r w:rsidR="009E02DF">
        <w:t>en la concentración.</w:t>
      </w:r>
    </w:p>
    <w:p w14:paraId="0323D1FA" w14:textId="09717EF5" w:rsidR="009E02DF" w:rsidRPr="00A20F35" w:rsidRDefault="009E02DF" w:rsidP="009E02DF">
      <w:pPr>
        <w:pStyle w:val="VersoIngls01Sangria"/>
        <w:ind w:left="0"/>
        <w:rPr>
          <w:sz w:val="16"/>
          <w:szCs w:val="20"/>
        </w:rPr>
      </w:pPr>
      <w:r>
        <w:t xml:space="preserve">66. </w:t>
      </w:r>
      <w:r>
        <w:tab/>
      </w:r>
      <w:r>
        <w:tab/>
      </w:r>
      <w:r>
        <w:tab/>
      </w:r>
      <w:r w:rsidRPr="00A20F35">
        <w:rPr>
          <w:sz w:val="16"/>
          <w:szCs w:val="20"/>
        </w:rPr>
        <w:t>Cualquier hombre que adquiera este signo,</w:t>
      </w:r>
    </w:p>
    <w:p w14:paraId="3461F234" w14:textId="3642570E" w:rsidR="000901F2" w:rsidRPr="00A20F35" w:rsidRDefault="009E02DF" w:rsidP="009E02DF">
      <w:pPr>
        <w:pStyle w:val="VersoIngls01Sangria"/>
        <w:rPr>
          <w:sz w:val="16"/>
          <w:szCs w:val="20"/>
        </w:rPr>
      </w:pPr>
      <w:r w:rsidRPr="00A20F35">
        <w:rPr>
          <w:sz w:val="16"/>
          <w:szCs w:val="20"/>
        </w:rPr>
        <w:t xml:space="preserve">Será necesario </w:t>
      </w:r>
      <w:r w:rsidR="00A20F35">
        <w:rPr>
          <w:sz w:val="16"/>
          <w:szCs w:val="20"/>
        </w:rPr>
        <w:t xml:space="preserve">que </w:t>
      </w:r>
      <w:r w:rsidRPr="00A20F35">
        <w:rPr>
          <w:sz w:val="16"/>
          <w:szCs w:val="20"/>
        </w:rPr>
        <w:t>prest</w:t>
      </w:r>
      <w:r w:rsidR="00A20F35">
        <w:rPr>
          <w:sz w:val="16"/>
          <w:szCs w:val="20"/>
        </w:rPr>
        <w:t>e</w:t>
      </w:r>
      <w:r w:rsidRPr="00A20F35">
        <w:rPr>
          <w:sz w:val="16"/>
          <w:szCs w:val="20"/>
        </w:rPr>
        <w:t xml:space="preserve"> atención a </w:t>
      </w:r>
      <w:proofErr w:type="gramStart"/>
      <w:r w:rsidRPr="00A20F35">
        <w:rPr>
          <w:sz w:val="16"/>
          <w:szCs w:val="20"/>
        </w:rPr>
        <w:t xml:space="preserve">esta </w:t>
      </w:r>
      <w:r w:rsidR="000901F2" w:rsidRPr="00A20F35">
        <w:rPr>
          <w:sz w:val="16"/>
          <w:szCs w:val="20"/>
        </w:rPr>
        <w:t xml:space="preserve">diez </w:t>
      </w:r>
      <w:r w:rsidRPr="00A20F35">
        <w:rPr>
          <w:sz w:val="16"/>
          <w:szCs w:val="20"/>
        </w:rPr>
        <w:t>habilidad</w:t>
      </w:r>
      <w:r w:rsidR="000901F2" w:rsidRPr="00A20F35">
        <w:rPr>
          <w:sz w:val="16"/>
          <w:szCs w:val="20"/>
        </w:rPr>
        <w:t>es</w:t>
      </w:r>
      <w:proofErr w:type="gramEnd"/>
    </w:p>
    <w:p w14:paraId="29606803" w14:textId="2CD6B3B1" w:rsidR="003E249E" w:rsidRPr="00A20F35" w:rsidRDefault="000901F2" w:rsidP="009E02DF">
      <w:pPr>
        <w:pStyle w:val="VersoIngls01Sangria"/>
        <w:rPr>
          <w:sz w:val="16"/>
          <w:szCs w:val="20"/>
        </w:rPr>
      </w:pPr>
      <w:r w:rsidRPr="00A20F35">
        <w:rPr>
          <w:sz w:val="16"/>
          <w:szCs w:val="20"/>
        </w:rPr>
        <w:t xml:space="preserve">Para </w:t>
      </w:r>
      <w:r w:rsidR="009E02DF" w:rsidRPr="00A20F35">
        <w:rPr>
          <w:sz w:val="16"/>
          <w:szCs w:val="20"/>
        </w:rPr>
        <w:t xml:space="preserve">que </w:t>
      </w:r>
      <w:r w:rsidR="00A20F35">
        <w:rPr>
          <w:sz w:val="16"/>
          <w:szCs w:val="20"/>
        </w:rPr>
        <w:t>se obtenga</w:t>
      </w:r>
      <w:r w:rsidR="00A20F35" w:rsidRPr="00A20F35">
        <w:rPr>
          <w:sz w:val="16"/>
          <w:szCs w:val="20"/>
        </w:rPr>
        <w:t xml:space="preserve"> </w:t>
      </w:r>
      <w:r w:rsidR="009E02DF" w:rsidRPr="00A20F35">
        <w:rPr>
          <w:sz w:val="16"/>
          <w:szCs w:val="20"/>
        </w:rPr>
        <w:t>la absorción,</w:t>
      </w:r>
    </w:p>
    <w:p w14:paraId="103B26E2" w14:textId="723D84FE" w:rsidR="009E02DF" w:rsidRPr="00A20F35" w:rsidRDefault="00681CD4" w:rsidP="004419E3">
      <w:pPr>
        <w:pStyle w:val="VersoIngls01Sangria"/>
        <w:spacing w:after="80"/>
        <w:ind w:left="1418"/>
        <w:rPr>
          <w:sz w:val="16"/>
          <w:szCs w:val="20"/>
        </w:rPr>
      </w:pPr>
      <w:r>
        <w:rPr>
          <w:sz w:val="16"/>
          <w:szCs w:val="20"/>
        </w:rPr>
        <w:t>Para lograr</w:t>
      </w:r>
      <w:r w:rsidR="000901F2" w:rsidRPr="00A20F35">
        <w:rPr>
          <w:sz w:val="16"/>
          <w:szCs w:val="20"/>
        </w:rPr>
        <w:t xml:space="preserve"> </w:t>
      </w:r>
      <w:r w:rsidR="009E02DF" w:rsidRPr="00A20F35">
        <w:rPr>
          <w:sz w:val="16"/>
          <w:szCs w:val="20"/>
        </w:rPr>
        <w:t xml:space="preserve">así su objetivo más </w:t>
      </w:r>
      <w:r w:rsidR="00C90A71" w:rsidRPr="00A20F35">
        <w:rPr>
          <w:sz w:val="16"/>
          <w:szCs w:val="20"/>
        </w:rPr>
        <w:t>intrépido</w:t>
      </w:r>
      <w:r w:rsidR="009E02DF" w:rsidRPr="00A20F35">
        <w:rPr>
          <w:sz w:val="16"/>
          <w:szCs w:val="20"/>
        </w:rPr>
        <w:t>.</w:t>
      </w:r>
    </w:p>
    <w:p w14:paraId="484F7562" w14:textId="77777777" w:rsidR="009E02DF" w:rsidRPr="00A20F35" w:rsidRDefault="009E02DF" w:rsidP="009E02DF">
      <w:pPr>
        <w:pStyle w:val="VersoIngls01Sangria"/>
        <w:rPr>
          <w:sz w:val="16"/>
          <w:szCs w:val="20"/>
        </w:rPr>
      </w:pPr>
      <w:r w:rsidRPr="00A20F35">
        <w:rPr>
          <w:sz w:val="16"/>
          <w:szCs w:val="20"/>
        </w:rPr>
        <w:t>Pero si a pesar de sus esfuerzos</w:t>
      </w:r>
    </w:p>
    <w:p w14:paraId="2B5713CF" w14:textId="461B2EC5" w:rsidR="009E02DF" w:rsidRPr="00A20F35" w:rsidRDefault="009E02DF" w:rsidP="009E02DF">
      <w:pPr>
        <w:pStyle w:val="VersoIngls01Sangria"/>
        <w:rPr>
          <w:sz w:val="16"/>
          <w:szCs w:val="20"/>
        </w:rPr>
      </w:pPr>
      <w:r w:rsidRPr="00A20F35">
        <w:rPr>
          <w:sz w:val="16"/>
          <w:szCs w:val="20"/>
        </w:rPr>
        <w:t>No llega</w:t>
      </w:r>
      <w:r w:rsidR="001E427F">
        <w:rPr>
          <w:sz w:val="16"/>
          <w:szCs w:val="20"/>
        </w:rPr>
        <w:t>se</w:t>
      </w:r>
      <w:r w:rsidRPr="00A20F35">
        <w:rPr>
          <w:sz w:val="16"/>
          <w:szCs w:val="20"/>
        </w:rPr>
        <w:t xml:space="preserve"> ningún resultado que pueda compensar</w:t>
      </w:r>
    </w:p>
    <w:p w14:paraId="469FB28F" w14:textId="3B807A9A" w:rsidR="009E02DF" w:rsidRPr="00A20F35" w:rsidRDefault="009E02DF" w:rsidP="009E02DF">
      <w:pPr>
        <w:pStyle w:val="VersoIngls01Sangria"/>
        <w:rPr>
          <w:sz w:val="16"/>
          <w:szCs w:val="20"/>
        </w:rPr>
      </w:pPr>
      <w:r w:rsidRPr="00A20F35">
        <w:rPr>
          <w:sz w:val="16"/>
          <w:szCs w:val="20"/>
        </w:rPr>
        <w:t xml:space="preserve">Su </w:t>
      </w:r>
      <w:r w:rsidR="00C90A71">
        <w:rPr>
          <w:sz w:val="16"/>
          <w:szCs w:val="20"/>
        </w:rPr>
        <w:t>trabajo</w:t>
      </w:r>
      <w:r w:rsidRPr="00A20F35">
        <w:rPr>
          <w:sz w:val="16"/>
          <w:szCs w:val="20"/>
        </w:rPr>
        <w:t>, un espíritu sabio</w:t>
      </w:r>
      <w:r w:rsidR="00D30BF9">
        <w:rPr>
          <w:sz w:val="16"/>
          <w:szCs w:val="20"/>
        </w:rPr>
        <w:t xml:space="preserve"> deberá persistir</w:t>
      </w:r>
      <w:r w:rsidRPr="00A20F35">
        <w:rPr>
          <w:sz w:val="16"/>
          <w:szCs w:val="20"/>
        </w:rPr>
        <w:t>,</w:t>
      </w:r>
    </w:p>
    <w:p w14:paraId="0C609641" w14:textId="77777777" w:rsidR="004419E3" w:rsidRPr="00A20F35" w:rsidRDefault="009E02DF" w:rsidP="004419E3">
      <w:pPr>
        <w:pStyle w:val="VersoIngls01Sangria"/>
        <w:spacing w:after="80"/>
        <w:ind w:left="1418"/>
        <w:rPr>
          <w:sz w:val="16"/>
          <w:szCs w:val="20"/>
        </w:rPr>
      </w:pPr>
      <w:r w:rsidRPr="00A20F35">
        <w:rPr>
          <w:sz w:val="16"/>
          <w:szCs w:val="20"/>
        </w:rPr>
        <w:t>Nunca renunciando a esta tarea, [136]</w:t>
      </w:r>
    </w:p>
    <w:p w14:paraId="326EE127" w14:textId="486A5BF1" w:rsidR="009E02DF" w:rsidRPr="00A20F35" w:rsidRDefault="00DA69FC" w:rsidP="004419E3">
      <w:pPr>
        <w:pStyle w:val="VersoIngls01Sangria"/>
        <w:rPr>
          <w:sz w:val="16"/>
          <w:szCs w:val="20"/>
        </w:rPr>
      </w:pPr>
      <w:r w:rsidRPr="00A20F35">
        <w:rPr>
          <w:sz w:val="16"/>
          <w:szCs w:val="20"/>
        </w:rPr>
        <w:t xml:space="preserve">Si </w:t>
      </w:r>
      <w:r w:rsidR="009E02DF" w:rsidRPr="00A20F35">
        <w:rPr>
          <w:sz w:val="16"/>
          <w:szCs w:val="20"/>
        </w:rPr>
        <w:t>se da por vencido</w:t>
      </w:r>
      <w:r>
        <w:rPr>
          <w:sz w:val="16"/>
          <w:szCs w:val="20"/>
        </w:rPr>
        <w:t xml:space="preserve"> </w:t>
      </w:r>
      <w:r w:rsidR="005A28AA">
        <w:rPr>
          <w:sz w:val="16"/>
          <w:szCs w:val="20"/>
        </w:rPr>
        <w:t>inmediatamente</w:t>
      </w:r>
      <w:r w:rsidR="009E02DF" w:rsidRPr="00A20F35">
        <w:rPr>
          <w:sz w:val="16"/>
          <w:szCs w:val="20"/>
        </w:rPr>
        <w:t>,</w:t>
      </w:r>
    </w:p>
    <w:p w14:paraId="62C07526" w14:textId="024C2CD9" w:rsidR="009E02DF" w:rsidRPr="00A20F35" w:rsidRDefault="009E02DF" w:rsidP="009E02DF">
      <w:pPr>
        <w:pStyle w:val="VersoIngls01Sangria"/>
        <w:rPr>
          <w:sz w:val="16"/>
          <w:szCs w:val="20"/>
        </w:rPr>
      </w:pPr>
      <w:r w:rsidRPr="00A20F35">
        <w:rPr>
          <w:sz w:val="16"/>
          <w:szCs w:val="20"/>
        </w:rPr>
        <w:t xml:space="preserve">Pensando en no </w:t>
      </w:r>
      <w:r w:rsidR="001E427F">
        <w:rPr>
          <w:sz w:val="16"/>
          <w:szCs w:val="20"/>
        </w:rPr>
        <w:t>pro</w:t>
      </w:r>
      <w:r w:rsidRPr="00A20F35">
        <w:rPr>
          <w:sz w:val="16"/>
          <w:szCs w:val="20"/>
        </w:rPr>
        <w:t xml:space="preserve">seguir </w:t>
      </w:r>
      <w:r w:rsidR="005A28AA">
        <w:rPr>
          <w:sz w:val="16"/>
          <w:szCs w:val="20"/>
        </w:rPr>
        <w:t>con la</w:t>
      </w:r>
    </w:p>
    <w:p w14:paraId="0C5B26CC" w14:textId="4E5FE6EC" w:rsidR="009E02DF" w:rsidRPr="00A20F35" w:rsidRDefault="009E02DF" w:rsidP="009E02DF">
      <w:pPr>
        <w:pStyle w:val="VersoIngls01Sangria"/>
        <w:rPr>
          <w:sz w:val="16"/>
          <w:szCs w:val="20"/>
        </w:rPr>
      </w:pPr>
      <w:r w:rsidRPr="00A20F35">
        <w:rPr>
          <w:sz w:val="16"/>
          <w:szCs w:val="20"/>
        </w:rPr>
        <w:t xml:space="preserve">La tarea, nunca </w:t>
      </w:r>
      <w:r w:rsidR="005A28AA">
        <w:rPr>
          <w:sz w:val="16"/>
          <w:szCs w:val="20"/>
        </w:rPr>
        <w:t xml:space="preserve">obtendrá la </w:t>
      </w:r>
      <w:r w:rsidRPr="00A20F35">
        <w:rPr>
          <w:sz w:val="16"/>
          <w:szCs w:val="20"/>
        </w:rPr>
        <w:t>distinción</w:t>
      </w:r>
    </w:p>
    <w:p w14:paraId="1FEC1A7B" w14:textId="5B537404" w:rsidR="009E02DF" w:rsidRPr="00A20F35" w:rsidRDefault="009E02DF" w:rsidP="000901F2">
      <w:pPr>
        <w:pStyle w:val="VersoIngls01Sangria"/>
        <w:spacing w:after="100"/>
        <w:ind w:left="1418"/>
        <w:rPr>
          <w:sz w:val="16"/>
          <w:szCs w:val="20"/>
        </w:rPr>
      </w:pPr>
      <w:r w:rsidRPr="00A20F35">
        <w:rPr>
          <w:sz w:val="16"/>
          <w:szCs w:val="20"/>
        </w:rPr>
        <w:t xml:space="preserve">Aquí </w:t>
      </w:r>
      <w:r w:rsidR="00A50873">
        <w:rPr>
          <w:sz w:val="16"/>
          <w:szCs w:val="20"/>
        </w:rPr>
        <w:t>sin</w:t>
      </w:r>
      <w:r w:rsidRPr="00A20F35">
        <w:rPr>
          <w:sz w:val="16"/>
          <w:szCs w:val="20"/>
        </w:rPr>
        <w:t xml:space="preserve"> importa</w:t>
      </w:r>
      <w:r w:rsidR="00A50873">
        <w:rPr>
          <w:sz w:val="16"/>
          <w:szCs w:val="20"/>
        </w:rPr>
        <w:t>r</w:t>
      </w:r>
      <w:r w:rsidRPr="00A20F35">
        <w:rPr>
          <w:sz w:val="16"/>
          <w:szCs w:val="20"/>
        </w:rPr>
        <w:t xml:space="preserve"> lo pequeñ</w:t>
      </w:r>
      <w:r w:rsidR="005A28AA">
        <w:rPr>
          <w:sz w:val="16"/>
          <w:szCs w:val="20"/>
        </w:rPr>
        <w:t>a</w:t>
      </w:r>
      <w:r w:rsidRPr="00A20F35">
        <w:rPr>
          <w:sz w:val="16"/>
          <w:szCs w:val="20"/>
        </w:rPr>
        <w:t xml:space="preserve"> que sea.</w:t>
      </w:r>
    </w:p>
    <w:p w14:paraId="3FC0A744" w14:textId="77777777" w:rsidR="009E02DF" w:rsidRPr="00A20F35" w:rsidRDefault="009E02DF" w:rsidP="009E02DF">
      <w:pPr>
        <w:pStyle w:val="VersoIngls01Sangria"/>
        <w:rPr>
          <w:sz w:val="16"/>
          <w:szCs w:val="20"/>
        </w:rPr>
      </w:pPr>
      <w:r w:rsidRPr="00A20F35">
        <w:rPr>
          <w:sz w:val="16"/>
          <w:szCs w:val="20"/>
        </w:rPr>
        <w:t>Un hombre de temperamento sabio</w:t>
      </w:r>
      <w:r w:rsidRPr="00A20F35">
        <w:rPr>
          <w:sz w:val="16"/>
          <w:szCs w:val="20"/>
          <w:vertAlign w:val="superscript"/>
        </w:rPr>
        <w:t>17</w:t>
      </w:r>
    </w:p>
    <w:p w14:paraId="5CDDB996" w14:textId="00537F5E" w:rsidR="009E02DF" w:rsidRPr="00A20F35" w:rsidRDefault="006902C9" w:rsidP="009E02DF">
      <w:pPr>
        <w:pStyle w:val="VersoIngls01Sangria"/>
        <w:rPr>
          <w:sz w:val="16"/>
          <w:szCs w:val="20"/>
        </w:rPr>
      </w:pPr>
      <w:r>
        <w:rPr>
          <w:sz w:val="16"/>
          <w:szCs w:val="20"/>
        </w:rPr>
        <w:t>Percibirá</w:t>
      </w:r>
      <w:r w:rsidR="009E02DF" w:rsidRPr="00A20F35">
        <w:rPr>
          <w:sz w:val="16"/>
          <w:szCs w:val="20"/>
        </w:rPr>
        <w:t xml:space="preserve"> cómo su mente se inclin</w:t>
      </w:r>
      <w:r>
        <w:rPr>
          <w:sz w:val="16"/>
          <w:szCs w:val="20"/>
        </w:rPr>
        <w:t>e</w:t>
      </w:r>
      <w:r w:rsidR="009E02DF" w:rsidRPr="00A20F35">
        <w:rPr>
          <w:sz w:val="16"/>
          <w:szCs w:val="20"/>
        </w:rPr>
        <w:t>:</w:t>
      </w:r>
    </w:p>
    <w:p w14:paraId="4125A02F" w14:textId="7B6D84E6" w:rsidR="009E02DF" w:rsidRPr="00A20F35" w:rsidRDefault="00BB719A" w:rsidP="009E02DF">
      <w:pPr>
        <w:pStyle w:val="VersoIngls01Sangria"/>
        <w:rPr>
          <w:sz w:val="16"/>
          <w:szCs w:val="20"/>
        </w:rPr>
      </w:pPr>
      <w:r>
        <w:rPr>
          <w:sz w:val="16"/>
          <w:szCs w:val="20"/>
        </w:rPr>
        <w:t>Con la e</w:t>
      </w:r>
      <w:r w:rsidR="009E02DF" w:rsidRPr="00A20F35">
        <w:rPr>
          <w:sz w:val="16"/>
          <w:szCs w:val="20"/>
        </w:rPr>
        <w:t xml:space="preserve">nergía y </w:t>
      </w:r>
      <w:r>
        <w:rPr>
          <w:sz w:val="16"/>
          <w:szCs w:val="20"/>
        </w:rPr>
        <w:t xml:space="preserve">la </w:t>
      </w:r>
      <w:r w:rsidR="009E02DF" w:rsidRPr="00A20F35">
        <w:rPr>
          <w:sz w:val="16"/>
          <w:szCs w:val="20"/>
        </w:rPr>
        <w:t>serenidad</w:t>
      </w:r>
    </w:p>
    <w:p w14:paraId="5B7F0C1B" w14:textId="328DED81" w:rsidR="009E02DF" w:rsidRDefault="009E02DF" w:rsidP="000901F2">
      <w:pPr>
        <w:pStyle w:val="VersoIngls01Sangria"/>
        <w:spacing w:after="100"/>
        <w:ind w:left="1418"/>
        <w:rPr>
          <w:sz w:val="16"/>
          <w:szCs w:val="20"/>
        </w:rPr>
      </w:pPr>
      <w:r w:rsidRPr="00A20F35">
        <w:rPr>
          <w:sz w:val="16"/>
          <w:szCs w:val="20"/>
        </w:rPr>
        <w:t>Siempre acopla</w:t>
      </w:r>
      <w:r w:rsidR="00BB719A">
        <w:rPr>
          <w:sz w:val="16"/>
          <w:szCs w:val="20"/>
        </w:rPr>
        <w:t>da</w:t>
      </w:r>
      <w:r w:rsidRPr="00A20F35">
        <w:rPr>
          <w:sz w:val="16"/>
          <w:szCs w:val="20"/>
        </w:rPr>
        <w:t xml:space="preserve"> </w:t>
      </w:r>
      <w:r w:rsidR="00BB719A">
        <w:rPr>
          <w:sz w:val="16"/>
          <w:szCs w:val="20"/>
        </w:rPr>
        <w:t xml:space="preserve">la </w:t>
      </w:r>
      <w:r w:rsidRPr="00A20F35">
        <w:rPr>
          <w:sz w:val="16"/>
          <w:szCs w:val="20"/>
        </w:rPr>
        <w:t>un</w:t>
      </w:r>
      <w:r w:rsidR="00BB719A">
        <w:rPr>
          <w:sz w:val="16"/>
          <w:szCs w:val="20"/>
        </w:rPr>
        <w:t>a</w:t>
      </w:r>
      <w:r w:rsidRPr="00A20F35">
        <w:rPr>
          <w:sz w:val="16"/>
          <w:szCs w:val="20"/>
        </w:rPr>
        <w:t xml:space="preserve"> </w:t>
      </w:r>
      <w:r w:rsidR="00BB719A">
        <w:rPr>
          <w:sz w:val="16"/>
          <w:szCs w:val="20"/>
        </w:rPr>
        <w:t>con la otra</w:t>
      </w:r>
      <w:r w:rsidRPr="00A20F35">
        <w:rPr>
          <w:sz w:val="16"/>
          <w:szCs w:val="20"/>
        </w:rPr>
        <w:t>.</w:t>
      </w:r>
    </w:p>
    <w:p w14:paraId="6D01AE4E" w14:textId="77777777" w:rsidR="00726A57" w:rsidRPr="00A20F35" w:rsidRDefault="00726A57" w:rsidP="00726A57">
      <w:pPr>
        <w:pStyle w:val="VersoIngls01Sangria"/>
        <w:rPr>
          <w:sz w:val="16"/>
          <w:szCs w:val="20"/>
        </w:rPr>
      </w:pPr>
      <w:r w:rsidRPr="00A20F35">
        <w:rPr>
          <w:sz w:val="16"/>
          <w:szCs w:val="20"/>
        </w:rPr>
        <w:t>Ahora</w:t>
      </w:r>
      <w:r>
        <w:rPr>
          <w:sz w:val="16"/>
          <w:szCs w:val="20"/>
        </w:rPr>
        <w:t xml:space="preserve"> bien</w:t>
      </w:r>
      <w:r w:rsidRPr="00A20F35">
        <w:rPr>
          <w:sz w:val="16"/>
          <w:szCs w:val="20"/>
        </w:rPr>
        <w:t xml:space="preserve">, </w:t>
      </w:r>
      <w:r>
        <w:rPr>
          <w:sz w:val="16"/>
          <w:szCs w:val="20"/>
        </w:rPr>
        <w:t>apreciando</w:t>
      </w:r>
      <w:r w:rsidRPr="00A20F35">
        <w:rPr>
          <w:sz w:val="16"/>
          <w:szCs w:val="20"/>
        </w:rPr>
        <w:t xml:space="preserve"> </w:t>
      </w:r>
      <w:r>
        <w:rPr>
          <w:sz w:val="16"/>
          <w:szCs w:val="20"/>
        </w:rPr>
        <w:t>la</w:t>
      </w:r>
      <w:r w:rsidRPr="00A20F35">
        <w:rPr>
          <w:sz w:val="16"/>
          <w:szCs w:val="20"/>
        </w:rPr>
        <w:t xml:space="preserve"> conten</w:t>
      </w:r>
      <w:r>
        <w:rPr>
          <w:sz w:val="16"/>
          <w:szCs w:val="20"/>
        </w:rPr>
        <w:t>ción de</w:t>
      </w:r>
      <w:r w:rsidRPr="005E6973">
        <w:rPr>
          <w:sz w:val="16"/>
          <w:szCs w:val="20"/>
        </w:rPr>
        <w:t xml:space="preserve"> </w:t>
      </w:r>
      <w:r w:rsidRPr="00A20F35">
        <w:rPr>
          <w:sz w:val="16"/>
          <w:szCs w:val="20"/>
        </w:rPr>
        <w:t>su mente,</w:t>
      </w:r>
    </w:p>
    <w:p w14:paraId="086F21AC" w14:textId="7F9355D4" w:rsidR="00726A57" w:rsidRPr="00A20F35" w:rsidRDefault="00726A57" w:rsidP="00760430">
      <w:pPr>
        <w:pStyle w:val="VersoIngls01Sangria"/>
        <w:rPr>
          <w:sz w:val="16"/>
          <w:szCs w:val="20"/>
        </w:rPr>
      </w:pPr>
      <w:r w:rsidRPr="00A20F35">
        <w:rPr>
          <w:sz w:val="16"/>
          <w:szCs w:val="20"/>
        </w:rPr>
        <w:t xml:space="preserve">Él </w:t>
      </w:r>
      <w:r>
        <w:rPr>
          <w:sz w:val="16"/>
          <w:szCs w:val="20"/>
        </w:rPr>
        <w:t>la impulsará</w:t>
      </w:r>
      <w:r w:rsidRPr="00A20F35">
        <w:rPr>
          <w:sz w:val="16"/>
          <w:szCs w:val="20"/>
        </w:rPr>
        <w:t xml:space="preserve">, ahora </w:t>
      </w:r>
      <w:r>
        <w:rPr>
          <w:sz w:val="16"/>
          <w:szCs w:val="20"/>
        </w:rPr>
        <w:t xml:space="preserve">con </w:t>
      </w:r>
      <w:r w:rsidRPr="00A20F35">
        <w:rPr>
          <w:sz w:val="16"/>
          <w:szCs w:val="20"/>
        </w:rPr>
        <w:t xml:space="preserve">la rienda de </w:t>
      </w:r>
      <w:r>
        <w:rPr>
          <w:sz w:val="16"/>
          <w:szCs w:val="20"/>
        </w:rPr>
        <w:t xml:space="preserve">la </w:t>
      </w:r>
      <w:r w:rsidRPr="00A20F35">
        <w:rPr>
          <w:sz w:val="16"/>
          <w:szCs w:val="20"/>
        </w:rPr>
        <w:t>restricción</w:t>
      </w:r>
    </w:p>
    <w:p w14:paraId="57AF68F0" w14:textId="77777777" w:rsidR="009E02DF" w:rsidRDefault="009E02DF" w:rsidP="009E02DF">
      <w:pPr>
        <w:pStyle w:val="PiedepginaLegal"/>
        <w:rPr>
          <w:u w:val="single"/>
        </w:rPr>
      </w:pPr>
      <w:r>
        <w:rPr>
          <w:u w:val="single"/>
        </w:rPr>
        <w:t xml:space="preserve">                                                                                                                                                         .</w:t>
      </w:r>
    </w:p>
    <w:p w14:paraId="086D5370" w14:textId="781C3C75" w:rsidR="008B168B" w:rsidRDefault="009E02DF" w:rsidP="008B168B">
      <w:pPr>
        <w:pStyle w:val="PiedepginaLegal"/>
      </w:pPr>
      <w:r>
        <w:t xml:space="preserve">17. </w:t>
      </w:r>
      <w:r w:rsidR="00057BF4" w:rsidRPr="00057BF4">
        <w:rPr>
          <w:i/>
          <w:iCs/>
        </w:rPr>
        <w:t>Buddha</w:t>
      </w:r>
      <w:r>
        <w:t>: "</w:t>
      </w:r>
      <w:r w:rsidR="004419E3">
        <w:t>facultado</w:t>
      </w:r>
      <w:r>
        <w:t xml:space="preserve"> </w:t>
      </w:r>
      <w:r w:rsidR="004419E3">
        <w:t>de</w:t>
      </w:r>
      <w:r>
        <w:t xml:space="preserve"> </w:t>
      </w:r>
      <w:r w:rsidR="004419E3">
        <w:t>inteligencia</w:t>
      </w:r>
      <w:r>
        <w:t>": no en PED; ver M-a I 39.</w:t>
      </w:r>
      <w:r w:rsidR="008B168B">
        <w:br w:type="page"/>
      </w:r>
    </w:p>
    <w:p w14:paraId="1B35EC6F" w14:textId="1AEB84E9" w:rsidR="008B168B" w:rsidRPr="00A20F35" w:rsidRDefault="008B168B" w:rsidP="008B168B">
      <w:pPr>
        <w:pStyle w:val="VersoIngls01Sangria"/>
        <w:rPr>
          <w:sz w:val="16"/>
          <w:szCs w:val="20"/>
        </w:rPr>
      </w:pPr>
      <w:r w:rsidRPr="00A20F35">
        <w:rPr>
          <w:sz w:val="16"/>
          <w:szCs w:val="20"/>
        </w:rPr>
        <w:lastRenderedPageBreak/>
        <w:t>Apretando, vi</w:t>
      </w:r>
      <w:r w:rsidR="00B2113F">
        <w:rPr>
          <w:sz w:val="16"/>
          <w:szCs w:val="20"/>
        </w:rPr>
        <w:t>e</w:t>
      </w:r>
      <w:r w:rsidRPr="00A20F35">
        <w:rPr>
          <w:sz w:val="16"/>
          <w:szCs w:val="20"/>
        </w:rPr>
        <w:t xml:space="preserve">ndo </w:t>
      </w:r>
      <w:r w:rsidR="00381072">
        <w:rPr>
          <w:sz w:val="16"/>
          <w:szCs w:val="20"/>
        </w:rPr>
        <w:t xml:space="preserve">que </w:t>
      </w:r>
      <w:r w:rsidR="009F42E2">
        <w:rPr>
          <w:sz w:val="16"/>
          <w:szCs w:val="20"/>
        </w:rPr>
        <w:t xml:space="preserve">la </w:t>
      </w:r>
      <w:r w:rsidR="00E43C95">
        <w:rPr>
          <w:sz w:val="16"/>
          <w:szCs w:val="20"/>
        </w:rPr>
        <w:t xml:space="preserve">sujete </w:t>
      </w:r>
      <w:r w:rsidR="007467B7">
        <w:rPr>
          <w:sz w:val="16"/>
          <w:szCs w:val="20"/>
        </w:rPr>
        <w:t>lo suficientemente</w:t>
      </w:r>
      <w:r w:rsidRPr="00A20F35">
        <w:rPr>
          <w:sz w:val="16"/>
          <w:szCs w:val="20"/>
        </w:rPr>
        <w:t xml:space="preserve"> fuerte;</w:t>
      </w:r>
    </w:p>
    <w:p w14:paraId="7EBC1FA8" w14:textId="682A8479" w:rsidR="008B168B" w:rsidRPr="00A20F35" w:rsidRDefault="008B168B" w:rsidP="00885D53">
      <w:pPr>
        <w:pStyle w:val="VersoIngls01Sangria"/>
        <w:spacing w:after="100"/>
        <w:ind w:left="1418"/>
        <w:rPr>
          <w:sz w:val="16"/>
          <w:szCs w:val="20"/>
        </w:rPr>
      </w:pPr>
      <w:r w:rsidRPr="00A20F35">
        <w:rPr>
          <w:sz w:val="16"/>
          <w:szCs w:val="20"/>
        </w:rPr>
        <w:t xml:space="preserve">Guiando </w:t>
      </w:r>
      <w:r w:rsidR="00E43C95" w:rsidRPr="00A20F35">
        <w:rPr>
          <w:sz w:val="16"/>
          <w:szCs w:val="20"/>
        </w:rPr>
        <w:t xml:space="preserve">la carre </w:t>
      </w:r>
      <w:r w:rsidRPr="00A20F35">
        <w:rPr>
          <w:sz w:val="16"/>
          <w:szCs w:val="20"/>
        </w:rPr>
        <w:t xml:space="preserve">con </w:t>
      </w:r>
      <w:r w:rsidR="00E43C95">
        <w:rPr>
          <w:sz w:val="16"/>
          <w:szCs w:val="20"/>
        </w:rPr>
        <w:t xml:space="preserve">un </w:t>
      </w:r>
      <w:r w:rsidRPr="00A20F35">
        <w:rPr>
          <w:sz w:val="16"/>
          <w:szCs w:val="20"/>
        </w:rPr>
        <w:t>ritmo parejo.</w:t>
      </w:r>
    </w:p>
    <w:p w14:paraId="12177F39" w14:textId="442431D6" w:rsidR="008B168B" w:rsidRPr="00A20F35" w:rsidRDefault="008B168B" w:rsidP="008B168B">
      <w:pPr>
        <w:pStyle w:val="VersoIngls01Sangria"/>
        <w:rPr>
          <w:sz w:val="16"/>
          <w:szCs w:val="20"/>
        </w:rPr>
      </w:pPr>
      <w:r w:rsidRPr="00A20F35">
        <w:rPr>
          <w:sz w:val="16"/>
          <w:szCs w:val="20"/>
        </w:rPr>
        <w:t xml:space="preserve">Las abejas bien controladas obtienen </w:t>
      </w:r>
      <w:r w:rsidR="003E02D6">
        <w:rPr>
          <w:sz w:val="16"/>
          <w:szCs w:val="20"/>
        </w:rPr>
        <w:t>su</w:t>
      </w:r>
      <w:r w:rsidRPr="00A20F35">
        <w:rPr>
          <w:sz w:val="16"/>
          <w:szCs w:val="20"/>
        </w:rPr>
        <w:t xml:space="preserve"> polen;</w:t>
      </w:r>
    </w:p>
    <w:p w14:paraId="2A7865AE" w14:textId="3932427A" w:rsidR="008B168B" w:rsidRPr="00A20F35" w:rsidRDefault="008B168B" w:rsidP="008B168B">
      <w:pPr>
        <w:pStyle w:val="VersoIngls01Sangria"/>
        <w:rPr>
          <w:sz w:val="16"/>
          <w:szCs w:val="20"/>
        </w:rPr>
      </w:pPr>
      <w:r w:rsidRPr="00A20F35">
        <w:rPr>
          <w:sz w:val="16"/>
          <w:szCs w:val="20"/>
        </w:rPr>
        <w:t>Los esfuerzos equilibrados se unen para tratar</w:t>
      </w:r>
      <w:r w:rsidR="006C0DEB">
        <w:rPr>
          <w:sz w:val="16"/>
          <w:szCs w:val="20"/>
        </w:rPr>
        <w:t xml:space="preserve"> correctamente</w:t>
      </w:r>
    </w:p>
    <w:p w14:paraId="67E191FC" w14:textId="1F6905B6" w:rsidR="008B168B" w:rsidRPr="00A20F35" w:rsidRDefault="003E02D6" w:rsidP="008B168B">
      <w:pPr>
        <w:pStyle w:val="VersoIngls01Sangria"/>
        <w:rPr>
          <w:sz w:val="16"/>
          <w:szCs w:val="20"/>
        </w:rPr>
      </w:pPr>
      <w:r>
        <w:rPr>
          <w:sz w:val="16"/>
          <w:szCs w:val="20"/>
        </w:rPr>
        <w:t>Las h</w:t>
      </w:r>
      <w:r w:rsidR="008B168B" w:rsidRPr="00A20F35">
        <w:rPr>
          <w:sz w:val="16"/>
          <w:szCs w:val="20"/>
        </w:rPr>
        <w:t xml:space="preserve">ojas, </w:t>
      </w:r>
      <w:r>
        <w:rPr>
          <w:sz w:val="16"/>
          <w:szCs w:val="20"/>
        </w:rPr>
        <w:t xml:space="preserve">los </w:t>
      </w:r>
      <w:r w:rsidR="008B168B" w:rsidRPr="00A20F35">
        <w:rPr>
          <w:sz w:val="16"/>
          <w:szCs w:val="20"/>
        </w:rPr>
        <w:t xml:space="preserve">hilos y </w:t>
      </w:r>
      <w:r>
        <w:rPr>
          <w:sz w:val="16"/>
          <w:szCs w:val="20"/>
        </w:rPr>
        <w:t xml:space="preserve">los </w:t>
      </w:r>
      <w:r w:rsidR="008B168B" w:rsidRPr="00A20F35">
        <w:rPr>
          <w:sz w:val="16"/>
          <w:szCs w:val="20"/>
        </w:rPr>
        <w:t xml:space="preserve">barcos, y también </w:t>
      </w:r>
      <w:r>
        <w:rPr>
          <w:sz w:val="16"/>
          <w:szCs w:val="20"/>
        </w:rPr>
        <w:t xml:space="preserve">los </w:t>
      </w:r>
      <w:r w:rsidR="008B168B" w:rsidRPr="00A20F35">
        <w:rPr>
          <w:sz w:val="16"/>
          <w:szCs w:val="20"/>
        </w:rPr>
        <w:t>tubos de aceite,</w:t>
      </w:r>
    </w:p>
    <w:p w14:paraId="53AA5F37" w14:textId="26086E30" w:rsidR="008B168B" w:rsidRPr="00A20F35" w:rsidRDefault="008B168B" w:rsidP="00885D53">
      <w:pPr>
        <w:pStyle w:val="VersoIngls01Sangria"/>
        <w:spacing w:after="100"/>
        <w:ind w:left="1418"/>
        <w:rPr>
          <w:sz w:val="16"/>
          <w:szCs w:val="20"/>
        </w:rPr>
      </w:pPr>
      <w:r w:rsidRPr="00A20F35">
        <w:rPr>
          <w:sz w:val="16"/>
          <w:szCs w:val="20"/>
        </w:rPr>
        <w:t>Gan</w:t>
      </w:r>
      <w:r w:rsidR="00234B23">
        <w:rPr>
          <w:sz w:val="16"/>
          <w:szCs w:val="20"/>
        </w:rPr>
        <w:t>á</w:t>
      </w:r>
      <w:r w:rsidR="00EA03B4">
        <w:rPr>
          <w:sz w:val="16"/>
          <w:szCs w:val="20"/>
        </w:rPr>
        <w:t>ndo</w:t>
      </w:r>
      <w:r w:rsidR="00234B23">
        <w:rPr>
          <w:sz w:val="16"/>
          <w:szCs w:val="20"/>
        </w:rPr>
        <w:t>se</w:t>
      </w:r>
      <w:r w:rsidRPr="00A20F35">
        <w:rPr>
          <w:sz w:val="16"/>
          <w:szCs w:val="20"/>
        </w:rPr>
        <w:t xml:space="preserve"> así</w:t>
      </w:r>
      <w:r w:rsidR="008D27AA">
        <w:rPr>
          <w:sz w:val="16"/>
          <w:szCs w:val="20"/>
        </w:rPr>
        <w:t xml:space="preserve"> y</w:t>
      </w:r>
      <w:r w:rsidRPr="00A20F35">
        <w:rPr>
          <w:sz w:val="16"/>
          <w:szCs w:val="20"/>
        </w:rPr>
        <w:t xml:space="preserve"> no de otro modo </w:t>
      </w:r>
      <w:r w:rsidR="006720DA">
        <w:rPr>
          <w:sz w:val="16"/>
          <w:szCs w:val="20"/>
        </w:rPr>
        <w:t>las recompensas</w:t>
      </w:r>
      <w:r w:rsidRPr="00A20F35">
        <w:rPr>
          <w:sz w:val="16"/>
          <w:szCs w:val="20"/>
        </w:rPr>
        <w:t>.</w:t>
      </w:r>
      <w:r w:rsidR="00234B23">
        <w:rPr>
          <w:sz w:val="16"/>
          <w:szCs w:val="20"/>
        </w:rPr>
        <w:t xml:space="preserve"> </w:t>
      </w:r>
    </w:p>
    <w:p w14:paraId="4A13A5AF" w14:textId="5E82C22C" w:rsidR="008B168B" w:rsidRPr="00A20F35" w:rsidRDefault="008B168B" w:rsidP="008B168B">
      <w:pPr>
        <w:pStyle w:val="VersoIngls01Sangria"/>
        <w:rPr>
          <w:sz w:val="16"/>
          <w:szCs w:val="20"/>
        </w:rPr>
      </w:pPr>
      <w:r w:rsidRPr="00A20F35">
        <w:rPr>
          <w:sz w:val="16"/>
          <w:szCs w:val="20"/>
        </w:rPr>
        <w:t xml:space="preserve">Que </w:t>
      </w:r>
      <w:r w:rsidR="00234B23">
        <w:rPr>
          <w:sz w:val="16"/>
          <w:szCs w:val="20"/>
        </w:rPr>
        <w:t xml:space="preserve">él </w:t>
      </w:r>
      <w:r w:rsidRPr="00A20F35">
        <w:rPr>
          <w:sz w:val="16"/>
          <w:szCs w:val="20"/>
        </w:rPr>
        <w:t xml:space="preserve">deje a un lado </w:t>
      </w:r>
      <w:r w:rsidR="008D27AA">
        <w:rPr>
          <w:sz w:val="16"/>
          <w:szCs w:val="20"/>
        </w:rPr>
        <w:t xml:space="preserve">toda </w:t>
      </w:r>
      <w:r w:rsidRPr="00A20F35">
        <w:rPr>
          <w:sz w:val="16"/>
          <w:szCs w:val="20"/>
        </w:rPr>
        <w:t>lax</w:t>
      </w:r>
      <w:r w:rsidR="009D461E">
        <w:rPr>
          <w:sz w:val="16"/>
          <w:szCs w:val="20"/>
        </w:rPr>
        <w:t>itud</w:t>
      </w:r>
    </w:p>
    <w:p w14:paraId="6EC80935" w14:textId="796EC0A9" w:rsidR="008B168B" w:rsidRPr="00A20F35" w:rsidRDefault="008B168B" w:rsidP="008B168B">
      <w:pPr>
        <w:pStyle w:val="VersoIngls01Sangria"/>
        <w:rPr>
          <w:sz w:val="16"/>
          <w:szCs w:val="20"/>
        </w:rPr>
      </w:pPr>
      <w:r w:rsidRPr="00A20F35">
        <w:rPr>
          <w:sz w:val="16"/>
          <w:szCs w:val="20"/>
        </w:rPr>
        <w:t xml:space="preserve">También </w:t>
      </w:r>
      <w:r w:rsidR="008D27AA">
        <w:rPr>
          <w:sz w:val="16"/>
          <w:szCs w:val="20"/>
        </w:rPr>
        <w:t xml:space="preserve">todo </w:t>
      </w:r>
      <w:r w:rsidRPr="00A20F35">
        <w:rPr>
          <w:sz w:val="16"/>
          <w:szCs w:val="20"/>
        </w:rPr>
        <w:t>estado agitado,</w:t>
      </w:r>
    </w:p>
    <w:p w14:paraId="0B161FE8" w14:textId="00763008" w:rsidR="008B168B" w:rsidRPr="00A20F35" w:rsidRDefault="008B168B" w:rsidP="008B168B">
      <w:pPr>
        <w:pStyle w:val="VersoIngls01Sangria"/>
        <w:rPr>
          <w:sz w:val="16"/>
          <w:szCs w:val="20"/>
        </w:rPr>
      </w:pPr>
      <w:r w:rsidRPr="00A20F35">
        <w:rPr>
          <w:sz w:val="16"/>
          <w:szCs w:val="20"/>
        </w:rPr>
        <w:t xml:space="preserve">Dirigiendo aquí su mente </w:t>
      </w:r>
      <w:r w:rsidR="009D461E">
        <w:rPr>
          <w:sz w:val="16"/>
          <w:szCs w:val="20"/>
        </w:rPr>
        <w:t>hacia</w:t>
      </w:r>
      <w:r w:rsidRPr="00A20F35">
        <w:rPr>
          <w:sz w:val="16"/>
          <w:szCs w:val="20"/>
        </w:rPr>
        <w:t xml:space="preserve"> </w:t>
      </w:r>
      <w:r w:rsidR="008D27AA">
        <w:rPr>
          <w:sz w:val="16"/>
          <w:szCs w:val="20"/>
        </w:rPr>
        <w:t>e</w:t>
      </w:r>
      <w:r w:rsidR="009D461E">
        <w:rPr>
          <w:sz w:val="16"/>
          <w:szCs w:val="20"/>
        </w:rPr>
        <w:t>l signo</w:t>
      </w:r>
    </w:p>
    <w:p w14:paraId="31FFEE64" w14:textId="569A6F64" w:rsidR="008B168B" w:rsidRPr="00A20F35" w:rsidRDefault="008B168B" w:rsidP="008B168B">
      <w:pPr>
        <w:pStyle w:val="VersoIngls01Sangria"/>
        <w:rPr>
          <w:sz w:val="16"/>
          <w:szCs w:val="20"/>
        </w:rPr>
      </w:pPr>
      <w:r w:rsidRPr="00A20F35">
        <w:rPr>
          <w:sz w:val="16"/>
          <w:szCs w:val="20"/>
        </w:rPr>
        <w:t xml:space="preserve">Como </w:t>
      </w:r>
      <w:r w:rsidR="008D27AA">
        <w:rPr>
          <w:sz w:val="16"/>
          <w:szCs w:val="20"/>
        </w:rPr>
        <w:t xml:space="preserve">bien </w:t>
      </w:r>
      <w:r w:rsidR="00FF02B9">
        <w:rPr>
          <w:sz w:val="16"/>
          <w:szCs w:val="20"/>
        </w:rPr>
        <w:t xml:space="preserve">lo </w:t>
      </w:r>
      <w:r w:rsidRPr="00A20F35">
        <w:rPr>
          <w:sz w:val="16"/>
          <w:szCs w:val="20"/>
        </w:rPr>
        <w:t>sugieren la</w:t>
      </w:r>
      <w:r w:rsidR="008D27AA">
        <w:rPr>
          <w:sz w:val="16"/>
          <w:szCs w:val="20"/>
        </w:rPr>
        <w:t>s</w:t>
      </w:r>
      <w:r w:rsidRPr="00A20F35">
        <w:rPr>
          <w:sz w:val="16"/>
          <w:szCs w:val="20"/>
        </w:rPr>
        <w:t xml:space="preserve"> abeja</w:t>
      </w:r>
      <w:r w:rsidR="008D27AA">
        <w:rPr>
          <w:sz w:val="16"/>
          <w:szCs w:val="20"/>
        </w:rPr>
        <w:t>s</w:t>
      </w:r>
      <w:r w:rsidRPr="00A20F35">
        <w:rPr>
          <w:sz w:val="16"/>
          <w:szCs w:val="20"/>
        </w:rPr>
        <w:t xml:space="preserve"> y </w:t>
      </w:r>
      <w:r w:rsidR="00417195">
        <w:rPr>
          <w:sz w:val="16"/>
          <w:szCs w:val="20"/>
        </w:rPr>
        <w:t>las otras analogías</w:t>
      </w:r>
      <w:r w:rsidRPr="00A20F35">
        <w:rPr>
          <w:sz w:val="16"/>
          <w:szCs w:val="20"/>
        </w:rPr>
        <w:t>.</w:t>
      </w:r>
    </w:p>
    <w:p w14:paraId="42693AC9" w14:textId="659115B4" w:rsidR="008B168B" w:rsidRDefault="008B168B" w:rsidP="008B168B">
      <w:pPr>
        <w:pStyle w:val="Ttulo3"/>
        <w:ind w:left="708"/>
      </w:pPr>
      <w:r>
        <w:t>[Los Cinco Símiles]</w:t>
      </w:r>
    </w:p>
    <w:p w14:paraId="5A00FD4C" w14:textId="2FEA56AC" w:rsidR="008B168B" w:rsidRDefault="008B168B" w:rsidP="003A08F5">
      <w:pPr>
        <w:spacing w:after="60"/>
      </w:pPr>
      <w:r>
        <w:t xml:space="preserve">67. </w:t>
      </w:r>
      <w:r>
        <w:tab/>
        <w:t xml:space="preserve">Aquí está la explicación </w:t>
      </w:r>
      <w:r w:rsidR="00EC355E">
        <w:t xml:space="preserve">sobre </w:t>
      </w:r>
      <w:r>
        <w:t>el significado</w:t>
      </w:r>
      <w:r w:rsidR="00551408">
        <w:t xml:space="preserve"> al respecto</w:t>
      </w:r>
      <w:r>
        <w:t>.</w:t>
      </w:r>
    </w:p>
    <w:p w14:paraId="73022300" w14:textId="17C795CD" w:rsidR="008B168B" w:rsidRDefault="008B168B" w:rsidP="003A08F5">
      <w:pPr>
        <w:spacing w:after="60"/>
      </w:pPr>
      <w:r>
        <w:t xml:space="preserve">      Cuando una abeja demasiado </w:t>
      </w:r>
      <w:r w:rsidR="00542616">
        <w:t>lista</w:t>
      </w:r>
      <w:r>
        <w:t xml:space="preserve"> se entera de que </w:t>
      </w:r>
      <w:r w:rsidR="00417195">
        <w:t>la</w:t>
      </w:r>
      <w:r>
        <w:t xml:space="preserve"> flor de un árbol está floreciendo, </w:t>
      </w:r>
      <w:r w:rsidRPr="006917FB">
        <w:t>part</w:t>
      </w:r>
      <w:r w:rsidR="006917FB">
        <w:t>irá</w:t>
      </w:r>
      <w:r>
        <w:t xml:space="preserve"> apresuradamente</w:t>
      </w:r>
      <w:r w:rsidR="00AC2BED">
        <w:t xml:space="preserve"> en búsqueda de ella</w:t>
      </w:r>
      <w:r>
        <w:t xml:space="preserve">, </w:t>
      </w:r>
      <w:r w:rsidR="00727588">
        <w:t>y</w:t>
      </w:r>
      <w:r>
        <w:t xml:space="preserve"> </w:t>
      </w:r>
      <w:r w:rsidR="00727588">
        <w:t>tras</w:t>
      </w:r>
      <w:r>
        <w:t>pasa</w:t>
      </w:r>
      <w:r w:rsidR="006917FB">
        <w:t>rá</w:t>
      </w:r>
      <w:r>
        <w:t xml:space="preserve"> </w:t>
      </w:r>
      <w:r w:rsidR="00727588">
        <w:t>el lugar de la flor</w:t>
      </w:r>
      <w:r>
        <w:t xml:space="preserve">, </w:t>
      </w:r>
      <w:r w:rsidR="00A554FB">
        <w:t xml:space="preserve">así que tendrá que </w:t>
      </w:r>
      <w:r w:rsidR="006C69E8">
        <w:t xml:space="preserve">regresar </w:t>
      </w:r>
      <w:r w:rsidR="00A554FB">
        <w:t xml:space="preserve">para llegar solo </w:t>
      </w:r>
      <w:r>
        <w:t xml:space="preserve">cuando el polen </w:t>
      </w:r>
      <w:r w:rsidR="006C69E8">
        <w:t xml:space="preserve">ya </w:t>
      </w:r>
      <w:r>
        <w:t>se ha</w:t>
      </w:r>
      <w:r w:rsidR="00417195">
        <w:t>ya</w:t>
      </w:r>
      <w:r>
        <w:t xml:space="preserve"> acabado; otra abeja, no lo suficientemente </w:t>
      </w:r>
      <w:r w:rsidR="00BE4189">
        <w:t>lista</w:t>
      </w:r>
      <w:r>
        <w:t>, que part</w:t>
      </w:r>
      <w:r w:rsidR="00C22D7F">
        <w:t>a</w:t>
      </w:r>
      <w:r>
        <w:t xml:space="preserve"> con una velocidad demasiado lenta, llega</w:t>
      </w:r>
      <w:r w:rsidR="00C22D7F">
        <w:t>rá</w:t>
      </w:r>
      <w:r>
        <w:t xml:space="preserve"> cuando también se </w:t>
      </w:r>
      <w:r w:rsidR="006C69E8">
        <w:t xml:space="preserve">haya </w:t>
      </w:r>
      <w:r>
        <w:t>acab</w:t>
      </w:r>
      <w:r w:rsidR="006C69E8">
        <w:t>ado</w:t>
      </w:r>
      <w:r>
        <w:t xml:space="preserve"> el polen; pero una abeja inteligente se pon</w:t>
      </w:r>
      <w:r w:rsidR="00417195">
        <w:t>drá</w:t>
      </w:r>
      <w:r w:rsidR="00C22D7F">
        <w:t xml:space="preserve"> </w:t>
      </w:r>
      <w:r>
        <w:t xml:space="preserve">en marcha con </w:t>
      </w:r>
      <w:r w:rsidR="006C69E8">
        <w:t>un</w:t>
      </w:r>
      <w:r w:rsidR="00C22D7F">
        <w:t xml:space="preserve">a </w:t>
      </w:r>
      <w:r>
        <w:t xml:space="preserve">velocidad </w:t>
      </w:r>
      <w:r w:rsidR="00652EE7">
        <w:t>mesurada</w:t>
      </w:r>
      <w:r>
        <w:t xml:space="preserve">, </w:t>
      </w:r>
      <w:r w:rsidR="007808F1">
        <w:t xml:space="preserve">entonces </w:t>
      </w:r>
      <w:r>
        <w:t>llega</w:t>
      </w:r>
      <w:r w:rsidR="00417195">
        <w:t>rá</w:t>
      </w:r>
      <w:r>
        <w:t xml:space="preserve"> con facilidad al racimo de flores, toma</w:t>
      </w:r>
      <w:r w:rsidR="00417195">
        <w:t>rá</w:t>
      </w:r>
      <w:r>
        <w:t xml:space="preserve"> tanto polen como le pla</w:t>
      </w:r>
      <w:r w:rsidR="00417195">
        <w:t>zca</w:t>
      </w:r>
      <w:r>
        <w:t xml:space="preserve"> y disfruta</w:t>
      </w:r>
      <w:r w:rsidR="00417195">
        <w:t>rá</w:t>
      </w:r>
      <w:r>
        <w:t xml:space="preserve"> del rocío de </w:t>
      </w:r>
      <w:r w:rsidR="00C22D7F">
        <w:t>su</w:t>
      </w:r>
      <w:r w:rsidR="00D23BE7">
        <w:t xml:space="preserve"> </w:t>
      </w:r>
      <w:r>
        <w:t>miel.</w:t>
      </w:r>
    </w:p>
    <w:p w14:paraId="3405A166" w14:textId="6888A38D" w:rsidR="008B168B" w:rsidRDefault="008B168B" w:rsidP="003A08F5">
      <w:pPr>
        <w:spacing w:after="60"/>
      </w:pPr>
      <w:r>
        <w:t xml:space="preserve">68. </w:t>
      </w:r>
      <w:r>
        <w:tab/>
      </w:r>
      <w:r w:rsidR="00AB5AC2">
        <w:t>Ahora bien</w:t>
      </w:r>
      <w:r>
        <w:t>, cuando los alumnos de un cirujano est</w:t>
      </w:r>
      <w:r w:rsidR="007808F1">
        <w:t>é</w:t>
      </w:r>
      <w:r>
        <w:t xml:space="preserve">n siendo entrenados en el uso del bisturí </w:t>
      </w:r>
      <w:r w:rsidR="004D75CC">
        <w:t>sobre</w:t>
      </w:r>
      <w:r>
        <w:t xml:space="preserve"> una hoja de loto </w:t>
      </w:r>
      <w:r w:rsidR="00555D36">
        <w:t>y</w:t>
      </w:r>
      <w:r w:rsidR="00964708">
        <w:t xml:space="preserve"> </w:t>
      </w:r>
      <w:r w:rsidR="00555D36">
        <w:t xml:space="preserve">que </w:t>
      </w:r>
      <w:r w:rsidR="00964708">
        <w:t xml:space="preserve">a su vez </w:t>
      </w:r>
      <w:r w:rsidR="00555D36">
        <w:t xml:space="preserve">se encuentre </w:t>
      </w:r>
      <w:r w:rsidR="00D23BE7">
        <w:t>sobre</w:t>
      </w:r>
      <w:r>
        <w:t xml:space="preserve"> un plato de agua, alguien que </w:t>
      </w:r>
      <w:r w:rsidR="00555D36">
        <w:t xml:space="preserve">se crea </w:t>
      </w:r>
      <w:r>
        <w:t xml:space="preserve">demasiado </w:t>
      </w:r>
      <w:r w:rsidR="007A28D1">
        <w:t xml:space="preserve">listo </w:t>
      </w:r>
      <w:r>
        <w:t>aplica</w:t>
      </w:r>
      <w:r w:rsidR="00D23BE7">
        <w:t>rá</w:t>
      </w:r>
      <w:r>
        <w:t xml:space="preserve"> el bisturí apresuradamente y corta</w:t>
      </w:r>
      <w:r w:rsidR="00D23BE7">
        <w:t>rá</w:t>
      </w:r>
      <w:r>
        <w:t xml:space="preserve"> la hoja de loto en dos o la </w:t>
      </w:r>
      <w:r w:rsidR="005A3CFF">
        <w:t xml:space="preserve">hundirá </w:t>
      </w:r>
      <w:r>
        <w:t xml:space="preserve">bajo el agua, y otro que no </w:t>
      </w:r>
      <w:r w:rsidR="00D23BE7">
        <w:t>se</w:t>
      </w:r>
      <w:r w:rsidR="00E4235C">
        <w:t xml:space="preserve"> crea</w:t>
      </w:r>
      <w:r>
        <w:t xml:space="preserve"> lo suficientemente listo ni siquiera se atreve</w:t>
      </w:r>
      <w:r w:rsidR="00D23BE7">
        <w:t>rá</w:t>
      </w:r>
      <w:r>
        <w:t xml:space="preserve"> a tocarlo con el bisturí por miedo a partirlo en dos o </w:t>
      </w:r>
      <w:r w:rsidR="007A28D1">
        <w:t xml:space="preserve">a </w:t>
      </w:r>
      <w:r>
        <w:t>hundirlo</w:t>
      </w:r>
      <w:r w:rsidR="005A3CFF">
        <w:t xml:space="preserve"> en el agua</w:t>
      </w:r>
      <w:r>
        <w:t xml:space="preserve">; pero el que </w:t>
      </w:r>
      <w:r w:rsidR="00D23BE7">
        <w:t>sea</w:t>
      </w:r>
      <w:r>
        <w:t xml:space="preserve"> hábil m</w:t>
      </w:r>
      <w:r w:rsidR="00F05B5F">
        <w:t>o</w:t>
      </w:r>
      <w:r>
        <w:t>stra</w:t>
      </w:r>
      <w:r w:rsidR="00F05B5F">
        <w:t>rá</w:t>
      </w:r>
      <w:r>
        <w:t xml:space="preserve"> el </w:t>
      </w:r>
      <w:r w:rsidR="00F05B5F">
        <w:t xml:space="preserve">contacto con el </w:t>
      </w:r>
      <w:r>
        <w:t xml:space="preserve">bisturí por medio de un esfuerzo </w:t>
      </w:r>
      <w:r w:rsidR="00CB4390">
        <w:t>moderado</w:t>
      </w:r>
      <w:r>
        <w:t xml:space="preserve">, y siendo bueno en su oficio </w:t>
      </w:r>
      <w:r w:rsidR="00F05B5F">
        <w:t xml:space="preserve">será </w:t>
      </w:r>
      <w:r>
        <w:t>recompensado</w:t>
      </w:r>
      <w:r w:rsidR="003F64FC">
        <w:t xml:space="preserve"> </w:t>
      </w:r>
      <w:r w:rsidR="00CB4390">
        <w:t>bajo estas circunstancias</w:t>
      </w:r>
      <w:r>
        <w:t>.</w:t>
      </w:r>
    </w:p>
    <w:p w14:paraId="570D9D32" w14:textId="216C9D93" w:rsidR="008B168B" w:rsidRDefault="008B168B" w:rsidP="003A08F5">
      <w:pPr>
        <w:spacing w:after="60"/>
      </w:pPr>
      <w:r>
        <w:t xml:space="preserve">69. </w:t>
      </w:r>
      <w:r>
        <w:tab/>
      </w:r>
      <w:r w:rsidR="00F949D5">
        <w:t>Ahora</w:t>
      </w:r>
      <w:r>
        <w:t xml:space="preserve">, </w:t>
      </w:r>
      <w:r w:rsidR="002A61E3">
        <w:t>si</w:t>
      </w:r>
      <w:r>
        <w:t xml:space="preserve"> </w:t>
      </w:r>
      <w:r w:rsidR="00F949D5">
        <w:t>un</w:t>
      </w:r>
      <w:r>
        <w:t xml:space="preserve"> </w:t>
      </w:r>
      <w:r w:rsidR="004E2986">
        <w:t xml:space="preserve">Rey </w:t>
      </w:r>
      <w:r>
        <w:t>anuncia</w:t>
      </w:r>
      <w:r w:rsidR="002A61E3">
        <w:t>se</w:t>
      </w:r>
      <w:r>
        <w:t>: "</w:t>
      </w:r>
      <w:r w:rsidR="00F949D5">
        <w:t>Quien</w:t>
      </w:r>
      <w:r>
        <w:t xml:space="preserve"> pueda estirar </w:t>
      </w:r>
      <w:r w:rsidR="00095B3D">
        <w:t xml:space="preserve">el </w:t>
      </w:r>
      <w:r>
        <w:t xml:space="preserve">hilo de </w:t>
      </w:r>
      <w:r w:rsidR="00095B3D">
        <w:t xml:space="preserve">una tela de </w:t>
      </w:r>
      <w:r>
        <w:t>araña de cuatro brazas de largo recibirá cuatro mil</w:t>
      </w:r>
      <w:r w:rsidR="004E2986">
        <w:t xml:space="preserve"> monedas</w:t>
      </w:r>
      <w:r>
        <w:t xml:space="preserve">", un hombre que </w:t>
      </w:r>
      <w:r w:rsidR="004E2986">
        <w:t>se crea</w:t>
      </w:r>
      <w:r>
        <w:t xml:space="preserve"> demasiado </w:t>
      </w:r>
      <w:r w:rsidR="004E2986">
        <w:t xml:space="preserve">listo </w:t>
      </w:r>
      <w:r>
        <w:t>rompe</w:t>
      </w:r>
      <w:r w:rsidR="004E2986">
        <w:t>rá</w:t>
      </w:r>
      <w:r>
        <w:t xml:space="preserve"> el hilo de araña aquí y allá tirando de él apresuradamente, y otro que no </w:t>
      </w:r>
      <w:r w:rsidR="004E2986">
        <w:t>se</w:t>
      </w:r>
      <w:r w:rsidR="00777A7F">
        <w:t xml:space="preserve"> crea demasiado </w:t>
      </w:r>
      <w:r w:rsidR="004E2986">
        <w:t xml:space="preserve">listo </w:t>
      </w:r>
      <w:r>
        <w:t>no se atreve</w:t>
      </w:r>
      <w:r w:rsidR="00777A7F">
        <w:t>rá</w:t>
      </w:r>
      <w:r>
        <w:t xml:space="preserve"> a tocarlo con la mano por miedo a romperlo, pero un hombre hábil lo arranca</w:t>
      </w:r>
      <w:r w:rsidR="00777A7F">
        <w:t>rá</w:t>
      </w:r>
      <w:r>
        <w:t xml:space="preserve"> comenzando desde el extremo con un esfuerzo equilibrado, lo enrolla</w:t>
      </w:r>
      <w:r w:rsidR="00777A7F">
        <w:t>rá</w:t>
      </w:r>
      <w:r>
        <w:t xml:space="preserve"> en un palo, y así gana</w:t>
      </w:r>
      <w:r w:rsidR="00777A7F">
        <w:t>rá</w:t>
      </w:r>
      <w:r>
        <w:t xml:space="preserve"> </w:t>
      </w:r>
      <w:r w:rsidR="00777A7F">
        <w:t>la recompensa</w:t>
      </w:r>
      <w:r w:rsidR="000D3107">
        <w:t xml:space="preserve"> al respecto</w:t>
      </w:r>
      <w:r>
        <w:t>.</w:t>
      </w:r>
    </w:p>
    <w:p w14:paraId="40546A85" w14:textId="52A27FB7" w:rsidR="008B168B" w:rsidRDefault="008B168B" w:rsidP="003A08F5">
      <w:pPr>
        <w:spacing w:after="60"/>
      </w:pPr>
      <w:r>
        <w:t xml:space="preserve">70. </w:t>
      </w:r>
      <w:r>
        <w:tab/>
      </w:r>
      <w:r w:rsidR="002A61E3">
        <w:t>Ahora</w:t>
      </w:r>
      <w:r>
        <w:t xml:space="preserve">, </w:t>
      </w:r>
      <w:r w:rsidR="002A61E3">
        <w:t xml:space="preserve">si </w:t>
      </w:r>
      <w:r>
        <w:t xml:space="preserve">un </w:t>
      </w:r>
      <w:r w:rsidR="00BE5A73">
        <w:t>capitán</w:t>
      </w:r>
      <w:r>
        <w:t xml:space="preserve"> demasiado </w:t>
      </w:r>
      <w:r w:rsidR="00777A7F">
        <w:t>listo</w:t>
      </w:r>
      <w:r>
        <w:t xml:space="preserve"> [137] iza</w:t>
      </w:r>
      <w:r w:rsidR="00777A7F">
        <w:t>rá</w:t>
      </w:r>
      <w:r>
        <w:t xml:space="preserve"> todas las velas </w:t>
      </w:r>
      <w:r w:rsidR="00777A7F">
        <w:t>de</w:t>
      </w:r>
      <w:r>
        <w:t xml:space="preserve"> viento fuerte env</w:t>
      </w:r>
      <w:r w:rsidR="00777A7F">
        <w:t>iar</w:t>
      </w:r>
      <w:r w:rsidR="002F6EBF">
        <w:t>ía</w:t>
      </w:r>
      <w:r>
        <w:t xml:space="preserve"> su barco a la deriva</w:t>
      </w:r>
      <w:r w:rsidR="002F6EBF">
        <w:t>;</w:t>
      </w:r>
      <w:r>
        <w:t xml:space="preserve"> </w:t>
      </w:r>
      <w:r w:rsidR="002F6EBF">
        <w:t>si</w:t>
      </w:r>
      <w:r>
        <w:t xml:space="preserve"> otro </w:t>
      </w:r>
      <w:r w:rsidR="00BE5A73">
        <w:t>capitán</w:t>
      </w:r>
      <w:r>
        <w:t xml:space="preserve">, no lo suficientemente </w:t>
      </w:r>
      <w:r w:rsidR="00777A7F">
        <w:t>listo</w:t>
      </w:r>
      <w:r>
        <w:t>, baja</w:t>
      </w:r>
      <w:r w:rsidR="00777A7F">
        <w:t>rá</w:t>
      </w:r>
      <w:r>
        <w:t xml:space="preserve"> sus velas </w:t>
      </w:r>
      <w:r w:rsidR="00777A7F">
        <w:t xml:space="preserve">de </w:t>
      </w:r>
      <w:r>
        <w:t>viento suave</w:t>
      </w:r>
      <w:r w:rsidR="00102558">
        <w:t>,</w:t>
      </w:r>
      <w:r>
        <w:t xml:space="preserve"> permanece</w:t>
      </w:r>
      <w:r w:rsidR="00777A7F">
        <w:t>r</w:t>
      </w:r>
      <w:r w:rsidR="002F6EBF">
        <w:t>ía</w:t>
      </w:r>
      <w:r>
        <w:t xml:space="preserve"> donde </w:t>
      </w:r>
      <w:r w:rsidR="00102558">
        <w:t>se encuentre y no se desplazar</w:t>
      </w:r>
      <w:r w:rsidR="00162275">
        <w:t>ía hacia ningún lado</w:t>
      </w:r>
      <w:r w:rsidR="002A61E3">
        <w:t>;</w:t>
      </w:r>
      <w:r>
        <w:t xml:space="preserve"> </w:t>
      </w:r>
      <w:r w:rsidR="002A61E3">
        <w:t xml:space="preserve">no obstante, </w:t>
      </w:r>
      <w:r>
        <w:t xml:space="preserve">un </w:t>
      </w:r>
      <w:r w:rsidR="00BE5A73">
        <w:t xml:space="preserve">capitán </w:t>
      </w:r>
      <w:r>
        <w:t>inteligente iza</w:t>
      </w:r>
      <w:r w:rsidR="00777A7F">
        <w:t>r</w:t>
      </w:r>
      <w:r w:rsidR="00162275">
        <w:t>ía</w:t>
      </w:r>
      <w:r>
        <w:t xml:space="preserve"> </w:t>
      </w:r>
      <w:r w:rsidR="00777A7F">
        <w:t xml:space="preserve">las </w:t>
      </w:r>
      <w:r>
        <w:t xml:space="preserve">velas llenas </w:t>
      </w:r>
      <w:r w:rsidR="00DE0A77">
        <w:t>de</w:t>
      </w:r>
      <w:r>
        <w:t xml:space="preserve"> viento ligero, recoge</w:t>
      </w:r>
      <w:r w:rsidR="006B3280">
        <w:t>r</w:t>
      </w:r>
      <w:r w:rsidR="00162275">
        <w:t>ía</w:t>
      </w:r>
      <w:r>
        <w:t xml:space="preserve"> la mitad de sus velas </w:t>
      </w:r>
      <w:r w:rsidR="00DE0A77">
        <w:t>de</w:t>
      </w:r>
      <w:r>
        <w:t xml:space="preserve"> viento fuerte, y así llega</w:t>
      </w:r>
      <w:r w:rsidR="006B3280">
        <w:t>r</w:t>
      </w:r>
      <w:r w:rsidR="00162275">
        <w:t>ía</w:t>
      </w:r>
      <w:r>
        <w:t xml:space="preserve"> a salvo a</w:t>
      </w:r>
      <w:r w:rsidR="003A08F5">
        <w:t>l</w:t>
      </w:r>
      <w:r>
        <w:t xml:space="preserve"> destino deseado.</w:t>
      </w:r>
    </w:p>
    <w:p w14:paraId="0187449D" w14:textId="588B899B" w:rsidR="008B168B" w:rsidRDefault="008B168B" w:rsidP="003A08F5">
      <w:pPr>
        <w:spacing w:after="60"/>
      </w:pPr>
      <w:r>
        <w:t xml:space="preserve">71. </w:t>
      </w:r>
      <w:r>
        <w:tab/>
      </w:r>
      <w:r w:rsidR="00162275">
        <w:t>Ahora</w:t>
      </w:r>
      <w:r>
        <w:t xml:space="preserve">, </w:t>
      </w:r>
      <w:r w:rsidR="00162275">
        <w:t xml:space="preserve">si </w:t>
      </w:r>
      <w:r>
        <w:t xml:space="preserve">un maestro </w:t>
      </w:r>
      <w:r w:rsidR="00162275">
        <w:t>dijera</w:t>
      </w:r>
      <w:r>
        <w:t>: "</w:t>
      </w:r>
      <w:r w:rsidR="00162275">
        <w:t xml:space="preserve">Quien </w:t>
      </w:r>
      <w:r>
        <w:t>llene el tubo de aceite sin derramar</w:t>
      </w:r>
      <w:r w:rsidR="00DE0A77">
        <w:t>lo</w:t>
      </w:r>
      <w:r>
        <w:t xml:space="preserve"> ganará un</w:t>
      </w:r>
      <w:r w:rsidR="00F977AA">
        <w:t>a recompensa</w:t>
      </w:r>
      <w:r>
        <w:t xml:space="preserve">", </w:t>
      </w:r>
      <w:r w:rsidR="00AD22AA">
        <w:t>si el</w:t>
      </w:r>
      <w:r>
        <w:t xml:space="preserve"> que </w:t>
      </w:r>
      <w:r w:rsidR="0080261D">
        <w:t>se cre</w:t>
      </w:r>
      <w:r w:rsidR="00AD22AA">
        <w:t>e</w:t>
      </w:r>
      <w:r w:rsidR="0080261D">
        <w:t xml:space="preserve"> </w:t>
      </w:r>
      <w:r>
        <w:t xml:space="preserve">demasiado </w:t>
      </w:r>
      <w:r w:rsidR="0080261D">
        <w:t xml:space="preserve">listo </w:t>
      </w:r>
      <w:r>
        <w:t>lo llena</w:t>
      </w:r>
      <w:r w:rsidR="0080261D">
        <w:t>r</w:t>
      </w:r>
      <w:r w:rsidR="00AD22AA">
        <w:t>a</w:t>
      </w:r>
      <w:r>
        <w:t xml:space="preserve"> apresuradamente por codicia </w:t>
      </w:r>
      <w:r w:rsidR="00516CB4">
        <w:t>hacia</w:t>
      </w:r>
      <w:r>
        <w:t xml:space="preserve"> el premio, derrama</w:t>
      </w:r>
      <w:r w:rsidR="0080261D">
        <w:t>r</w:t>
      </w:r>
      <w:r w:rsidR="00AD22AA">
        <w:t>ía</w:t>
      </w:r>
      <w:r>
        <w:t xml:space="preserve"> el aceite</w:t>
      </w:r>
      <w:r w:rsidR="00F977AA">
        <w:t>;</w:t>
      </w:r>
      <w:r>
        <w:t xml:space="preserve"> </w:t>
      </w:r>
      <w:r w:rsidR="00AD22AA">
        <w:t>si el</w:t>
      </w:r>
      <w:r>
        <w:t xml:space="preserve"> otro quien no </w:t>
      </w:r>
      <w:r w:rsidR="0080261D">
        <w:t>se</w:t>
      </w:r>
      <w:r w:rsidR="00AD22AA">
        <w:t xml:space="preserve"> crea</w:t>
      </w:r>
      <w:r w:rsidR="0080261D">
        <w:t xml:space="preserve"> </w:t>
      </w:r>
      <w:r>
        <w:t xml:space="preserve">lo suficientemente </w:t>
      </w:r>
      <w:r w:rsidR="0080261D">
        <w:t xml:space="preserve">listo </w:t>
      </w:r>
      <w:r>
        <w:t>no se atrev</w:t>
      </w:r>
      <w:r w:rsidR="00AD22AA">
        <w:t>iese</w:t>
      </w:r>
      <w:r>
        <w:t xml:space="preserve"> a verter el aceite en absoluto por temor a derramarlo</w:t>
      </w:r>
      <w:r w:rsidR="009F1826">
        <w:t xml:space="preserve"> no conseguiría nada</w:t>
      </w:r>
      <w:r w:rsidR="004D3F61">
        <w:t>;</w:t>
      </w:r>
      <w:r>
        <w:t xml:space="preserve"> </w:t>
      </w:r>
      <w:r w:rsidR="004D3F61">
        <w:t>no obstante, e</w:t>
      </w:r>
      <w:r>
        <w:t xml:space="preserve">l que </w:t>
      </w:r>
      <w:r w:rsidR="0080261D">
        <w:t xml:space="preserve">sea </w:t>
      </w:r>
      <w:r>
        <w:t>inteligente lo llena</w:t>
      </w:r>
      <w:r w:rsidR="0080261D">
        <w:t>r</w:t>
      </w:r>
      <w:r w:rsidR="004D3F61">
        <w:t>ía</w:t>
      </w:r>
      <w:r>
        <w:t xml:space="preserve"> con un esfuerzo </w:t>
      </w:r>
      <w:r w:rsidR="004D3F61">
        <w:t xml:space="preserve">mesurado </w:t>
      </w:r>
      <w:r>
        <w:t xml:space="preserve">y </w:t>
      </w:r>
      <w:r w:rsidR="0080261D">
        <w:t>obtendr</w:t>
      </w:r>
      <w:r w:rsidR="00D31536">
        <w:t>ía</w:t>
      </w:r>
      <w:r w:rsidR="0080261D">
        <w:t xml:space="preserve"> </w:t>
      </w:r>
      <w:r w:rsidR="00D31536">
        <w:t>la recompensa</w:t>
      </w:r>
      <w:r>
        <w:t>.</w:t>
      </w:r>
    </w:p>
    <w:p w14:paraId="0FDD75A7" w14:textId="407CD516" w:rsidR="00A26B23" w:rsidRDefault="008B168B" w:rsidP="003A08F5">
      <w:pPr>
        <w:spacing w:after="60"/>
      </w:pPr>
      <w:r>
        <w:t xml:space="preserve">72. </w:t>
      </w:r>
      <w:r w:rsidR="0080261D">
        <w:tab/>
      </w:r>
      <w:r>
        <w:t>Al igual que en estos cinco símiles, también cuando sur</w:t>
      </w:r>
      <w:r w:rsidR="00516CB4">
        <w:t>ja</w:t>
      </w:r>
      <w:r>
        <w:t xml:space="preserve"> </w:t>
      </w:r>
      <w:r w:rsidR="0067091E">
        <w:t>el signo</w:t>
      </w:r>
      <w:r>
        <w:t xml:space="preserve">, un </w:t>
      </w:r>
      <w:proofErr w:type="spellStart"/>
      <w:r w:rsidR="00057BF4" w:rsidRPr="00057BF4">
        <w:rPr>
          <w:i/>
        </w:rPr>
        <w:t>bhikkhu</w:t>
      </w:r>
      <w:proofErr w:type="spellEnd"/>
      <w:r>
        <w:t xml:space="preserve"> </w:t>
      </w:r>
      <w:r w:rsidR="00516CB4">
        <w:t xml:space="preserve">forzará </w:t>
      </w:r>
      <w:r>
        <w:t>su energía, pensando: "Pronto alcanzaré la absorción". Entonces su mente cae</w:t>
      </w:r>
      <w:r w:rsidR="0067091E">
        <w:t>rá</w:t>
      </w:r>
      <w:r>
        <w:t xml:space="preserve"> en </w:t>
      </w:r>
      <w:r w:rsidR="0067091E">
        <w:t xml:space="preserve">la </w:t>
      </w:r>
      <w:r>
        <w:t xml:space="preserve">agitación </w:t>
      </w:r>
      <w:r w:rsidR="00A26B23">
        <w:br w:type="page"/>
      </w:r>
    </w:p>
    <w:p w14:paraId="596DDC95" w14:textId="75E83AED" w:rsidR="00080636" w:rsidRDefault="0067091E" w:rsidP="00080636">
      <w:r>
        <w:lastRenderedPageBreak/>
        <w:t>debido a q</w:t>
      </w:r>
      <w:r w:rsidR="007E166F">
        <w:t xml:space="preserve">ue </w:t>
      </w:r>
      <w:r w:rsidR="00A26B23">
        <w:t xml:space="preserve">su </w:t>
      </w:r>
      <w:r w:rsidR="00080636">
        <w:t xml:space="preserve">energía </w:t>
      </w:r>
      <w:r w:rsidR="007E166F">
        <w:t>ha</w:t>
      </w:r>
      <w:r w:rsidR="00661DA9">
        <w:t>brá</w:t>
      </w:r>
      <w:r w:rsidR="007E166F">
        <w:t xml:space="preserve"> sido </w:t>
      </w:r>
      <w:r w:rsidR="00080636">
        <w:t>sobre</w:t>
      </w:r>
      <w:r w:rsidR="007E166F">
        <w:t xml:space="preserve"> </w:t>
      </w:r>
      <w:r w:rsidR="00080636">
        <w:t xml:space="preserve">exigida </w:t>
      </w:r>
      <w:r w:rsidR="007E166F">
        <w:t>sobre</w:t>
      </w:r>
      <w:r w:rsidR="00080636">
        <w:t xml:space="preserve"> </w:t>
      </w:r>
      <w:r w:rsidR="00A620DD">
        <w:t>su</w:t>
      </w:r>
      <w:r w:rsidR="00080636">
        <w:t xml:space="preserve"> mente y </w:t>
      </w:r>
      <w:r w:rsidR="007E166F">
        <w:t xml:space="preserve">esto </w:t>
      </w:r>
      <w:r w:rsidR="00080636">
        <w:t>le imp</w:t>
      </w:r>
      <w:r w:rsidR="00E06018">
        <w:t>e</w:t>
      </w:r>
      <w:r w:rsidR="00080636">
        <w:t>d</w:t>
      </w:r>
      <w:r w:rsidR="00E06018">
        <w:t>irá</w:t>
      </w:r>
      <w:r w:rsidR="00080636">
        <w:t xml:space="preserve"> alcanzar la absorción. Otro que ve</w:t>
      </w:r>
      <w:r w:rsidR="00E06018">
        <w:t>a</w:t>
      </w:r>
      <w:r w:rsidR="00080636">
        <w:t xml:space="preserve"> el defecto en el sobreesfuerzo afloja</w:t>
      </w:r>
      <w:r w:rsidR="00E06018">
        <w:t>rá</w:t>
      </w:r>
      <w:r w:rsidR="00080636">
        <w:t xml:space="preserve"> su energía, pensando: "¿Qué es la absorción para mí ahora?" Entonces su mente cae</w:t>
      </w:r>
      <w:r w:rsidR="00E06018">
        <w:t>rá</w:t>
      </w:r>
      <w:r w:rsidR="00080636">
        <w:t xml:space="preserve"> en </w:t>
      </w:r>
      <w:r w:rsidR="00A620DD">
        <w:t>el letargo</w:t>
      </w:r>
      <w:r w:rsidR="00080636">
        <w:t xml:space="preserve"> debido a la energía demasiado laxa de su mente y él también se ve</w:t>
      </w:r>
      <w:r w:rsidR="00E06018">
        <w:t>rá</w:t>
      </w:r>
      <w:r w:rsidR="00080636">
        <w:t xml:space="preserve"> impedido de </w:t>
      </w:r>
      <w:r w:rsidR="00BE6614">
        <w:t>consumar</w:t>
      </w:r>
      <w:r w:rsidR="00080636">
        <w:t xml:space="preserve"> la absorción. </w:t>
      </w:r>
      <w:r w:rsidR="00E06018">
        <w:t>No obstante, o</w:t>
      </w:r>
      <w:r w:rsidR="00080636">
        <w:t>tro que liber</w:t>
      </w:r>
      <w:r w:rsidR="00E06018">
        <w:t>e</w:t>
      </w:r>
      <w:r w:rsidR="00080636">
        <w:t xml:space="preserve"> su mente de</w:t>
      </w:r>
      <w:r w:rsidR="00A620DD">
        <w:t>l letargo</w:t>
      </w:r>
      <w:r w:rsidR="00080636">
        <w:t>, incluso cuando est</w:t>
      </w:r>
      <w:r w:rsidR="00E06018">
        <w:t>é</w:t>
      </w:r>
      <w:r w:rsidR="00080636">
        <w:t xml:space="preserve"> sólo ligeramente </w:t>
      </w:r>
      <w:r w:rsidR="001E1200">
        <w:t>letárgica</w:t>
      </w:r>
      <w:r w:rsidR="00080636">
        <w:t xml:space="preserve">, </w:t>
      </w:r>
      <w:r w:rsidR="001E1200">
        <w:t>o</w:t>
      </w:r>
      <w:r w:rsidR="00080636">
        <w:t xml:space="preserve"> </w:t>
      </w:r>
      <w:r w:rsidR="001E1200">
        <w:t xml:space="preserve">si está </w:t>
      </w:r>
      <w:r w:rsidR="00080636">
        <w:t>agita</w:t>
      </w:r>
      <w:r w:rsidR="001E1200">
        <w:t>da</w:t>
      </w:r>
      <w:r w:rsidR="00080636">
        <w:t xml:space="preserve">, </w:t>
      </w:r>
      <w:r w:rsidR="00E06018">
        <w:t xml:space="preserve">incluso </w:t>
      </w:r>
      <w:r w:rsidR="00080636">
        <w:t>sólo ligeramente agitada, confrontando el signo con un esfuerzo equilibrado, alcanza</w:t>
      </w:r>
      <w:r w:rsidR="00E06018">
        <w:t>rá</w:t>
      </w:r>
      <w:r w:rsidR="00080636">
        <w:t xml:space="preserve"> la absorción. Uno debe ser como el último</w:t>
      </w:r>
      <w:r w:rsidR="00BE6614">
        <w:t xml:space="preserve"> caso</w:t>
      </w:r>
      <w:r w:rsidR="00080636">
        <w:t>.</w:t>
      </w:r>
    </w:p>
    <w:p w14:paraId="66B42B20" w14:textId="6BFA0790" w:rsidR="00080636" w:rsidRPr="00E06018" w:rsidRDefault="00080636" w:rsidP="00E06018">
      <w:r>
        <w:t xml:space="preserve">73. </w:t>
      </w:r>
      <w:r w:rsidR="007E166F">
        <w:tab/>
      </w:r>
      <w:r w:rsidRPr="00E06018">
        <w:t>Con referencia a</w:t>
      </w:r>
      <w:r w:rsidR="005F1BAA">
        <w:t>l siguiente</w:t>
      </w:r>
      <w:r w:rsidRPr="00E06018">
        <w:t xml:space="preserve"> significado </w:t>
      </w:r>
      <w:r w:rsidR="005F1BAA">
        <w:t xml:space="preserve">fue que se </w:t>
      </w:r>
      <w:r w:rsidRPr="00E06018">
        <w:t xml:space="preserve">dijo </w:t>
      </w:r>
      <w:r w:rsidR="00D153D6">
        <w:t>anteriormente</w:t>
      </w:r>
      <w:r w:rsidRPr="00E06018">
        <w:t>:</w:t>
      </w:r>
    </w:p>
    <w:p w14:paraId="4E29238A" w14:textId="77777777" w:rsidR="00DB6DF6" w:rsidRPr="00A20F35" w:rsidRDefault="00DB6DF6" w:rsidP="00DB6DF6">
      <w:pPr>
        <w:pStyle w:val="VersoIngls01Sangria"/>
        <w:rPr>
          <w:sz w:val="16"/>
          <w:szCs w:val="20"/>
        </w:rPr>
      </w:pPr>
      <w:r w:rsidRPr="00A20F35">
        <w:rPr>
          <w:sz w:val="16"/>
          <w:szCs w:val="20"/>
        </w:rPr>
        <w:t xml:space="preserve">Las abejas bien controladas obtienen </w:t>
      </w:r>
      <w:r>
        <w:rPr>
          <w:sz w:val="16"/>
          <w:szCs w:val="20"/>
        </w:rPr>
        <w:t>su</w:t>
      </w:r>
      <w:r w:rsidRPr="00A20F35">
        <w:rPr>
          <w:sz w:val="16"/>
          <w:szCs w:val="20"/>
        </w:rPr>
        <w:t xml:space="preserve"> polen;</w:t>
      </w:r>
    </w:p>
    <w:p w14:paraId="1B454591" w14:textId="31D79E68" w:rsidR="00DB6DF6" w:rsidRPr="00A20F35" w:rsidRDefault="00DB6DF6" w:rsidP="00DB6DF6">
      <w:pPr>
        <w:pStyle w:val="VersoIngls01Sangria"/>
        <w:rPr>
          <w:sz w:val="16"/>
          <w:szCs w:val="20"/>
        </w:rPr>
      </w:pPr>
      <w:r w:rsidRPr="00A20F35">
        <w:rPr>
          <w:sz w:val="16"/>
          <w:szCs w:val="20"/>
        </w:rPr>
        <w:t>Los esfuerzos equilibrados se unen para tratar</w:t>
      </w:r>
      <w:r w:rsidR="00990258">
        <w:rPr>
          <w:sz w:val="16"/>
          <w:szCs w:val="20"/>
        </w:rPr>
        <w:t xml:space="preserve"> correctamente</w:t>
      </w:r>
    </w:p>
    <w:p w14:paraId="4B8A9CBF" w14:textId="77777777" w:rsidR="00DB6DF6" w:rsidRPr="00A20F35" w:rsidRDefault="00DB6DF6" w:rsidP="00DB6DF6">
      <w:pPr>
        <w:pStyle w:val="VersoIngls01Sangria"/>
        <w:rPr>
          <w:sz w:val="16"/>
          <w:szCs w:val="20"/>
        </w:rPr>
      </w:pPr>
      <w:r>
        <w:rPr>
          <w:sz w:val="16"/>
          <w:szCs w:val="20"/>
        </w:rPr>
        <w:t>Las h</w:t>
      </w:r>
      <w:r w:rsidRPr="00A20F35">
        <w:rPr>
          <w:sz w:val="16"/>
          <w:szCs w:val="20"/>
        </w:rPr>
        <w:t xml:space="preserve">ojas, </w:t>
      </w:r>
      <w:r>
        <w:rPr>
          <w:sz w:val="16"/>
          <w:szCs w:val="20"/>
        </w:rPr>
        <w:t xml:space="preserve">los </w:t>
      </w:r>
      <w:r w:rsidRPr="00A20F35">
        <w:rPr>
          <w:sz w:val="16"/>
          <w:szCs w:val="20"/>
        </w:rPr>
        <w:t xml:space="preserve">hilos y </w:t>
      </w:r>
      <w:r>
        <w:rPr>
          <w:sz w:val="16"/>
          <w:szCs w:val="20"/>
        </w:rPr>
        <w:t xml:space="preserve">los </w:t>
      </w:r>
      <w:r w:rsidRPr="00A20F35">
        <w:rPr>
          <w:sz w:val="16"/>
          <w:szCs w:val="20"/>
        </w:rPr>
        <w:t xml:space="preserve">barcos, y también </w:t>
      </w:r>
      <w:r>
        <w:rPr>
          <w:sz w:val="16"/>
          <w:szCs w:val="20"/>
        </w:rPr>
        <w:t xml:space="preserve">los </w:t>
      </w:r>
      <w:r w:rsidRPr="00A20F35">
        <w:rPr>
          <w:sz w:val="16"/>
          <w:szCs w:val="20"/>
        </w:rPr>
        <w:t>tubos de aceite,</w:t>
      </w:r>
    </w:p>
    <w:p w14:paraId="1FAC39C2" w14:textId="6700C33B" w:rsidR="00DB6DF6" w:rsidRPr="00A20F35" w:rsidRDefault="00DB6DF6" w:rsidP="00DB6DF6">
      <w:pPr>
        <w:pStyle w:val="VersoIngls01Sangria"/>
        <w:spacing w:after="100"/>
        <w:ind w:left="1418"/>
        <w:rPr>
          <w:sz w:val="16"/>
          <w:szCs w:val="20"/>
        </w:rPr>
      </w:pPr>
      <w:r w:rsidRPr="00A20F35">
        <w:rPr>
          <w:sz w:val="16"/>
          <w:szCs w:val="20"/>
        </w:rPr>
        <w:t>Gan</w:t>
      </w:r>
      <w:r w:rsidR="00990258">
        <w:rPr>
          <w:sz w:val="16"/>
          <w:szCs w:val="20"/>
        </w:rPr>
        <w:t>á</w:t>
      </w:r>
      <w:r>
        <w:rPr>
          <w:sz w:val="16"/>
          <w:szCs w:val="20"/>
        </w:rPr>
        <w:t>ndo</w:t>
      </w:r>
      <w:r w:rsidR="00990258">
        <w:rPr>
          <w:sz w:val="16"/>
          <w:szCs w:val="20"/>
        </w:rPr>
        <w:t>se</w:t>
      </w:r>
      <w:r w:rsidRPr="00A20F35">
        <w:rPr>
          <w:sz w:val="16"/>
          <w:szCs w:val="20"/>
        </w:rPr>
        <w:t xml:space="preserve"> así</w:t>
      </w:r>
      <w:r>
        <w:rPr>
          <w:sz w:val="16"/>
          <w:szCs w:val="20"/>
        </w:rPr>
        <w:t xml:space="preserve"> y</w:t>
      </w:r>
      <w:r w:rsidRPr="00A20F35">
        <w:rPr>
          <w:sz w:val="16"/>
          <w:szCs w:val="20"/>
        </w:rPr>
        <w:t xml:space="preserve"> no de otro modo </w:t>
      </w:r>
      <w:r>
        <w:rPr>
          <w:sz w:val="16"/>
          <w:szCs w:val="20"/>
        </w:rPr>
        <w:t>la</w:t>
      </w:r>
      <w:r w:rsidR="006720DA">
        <w:rPr>
          <w:sz w:val="16"/>
          <w:szCs w:val="20"/>
        </w:rPr>
        <w:t>s</w:t>
      </w:r>
      <w:r>
        <w:rPr>
          <w:sz w:val="16"/>
          <w:szCs w:val="20"/>
        </w:rPr>
        <w:t xml:space="preserve"> recompensa</w:t>
      </w:r>
      <w:r w:rsidR="006720DA">
        <w:rPr>
          <w:sz w:val="16"/>
          <w:szCs w:val="20"/>
        </w:rPr>
        <w:t>s</w:t>
      </w:r>
      <w:r w:rsidRPr="00A20F35">
        <w:rPr>
          <w:sz w:val="16"/>
          <w:szCs w:val="20"/>
        </w:rPr>
        <w:t>.</w:t>
      </w:r>
    </w:p>
    <w:p w14:paraId="2D30904F" w14:textId="77777777" w:rsidR="00DB6DF6" w:rsidRPr="00A20F35" w:rsidRDefault="00DB6DF6" w:rsidP="00DB6DF6">
      <w:pPr>
        <w:pStyle w:val="VersoIngls01Sangria"/>
        <w:rPr>
          <w:sz w:val="16"/>
          <w:szCs w:val="20"/>
        </w:rPr>
      </w:pPr>
      <w:r w:rsidRPr="00A20F35">
        <w:rPr>
          <w:sz w:val="16"/>
          <w:szCs w:val="20"/>
        </w:rPr>
        <w:t xml:space="preserve">Que deje a un lado </w:t>
      </w:r>
      <w:r>
        <w:rPr>
          <w:sz w:val="16"/>
          <w:szCs w:val="20"/>
        </w:rPr>
        <w:t xml:space="preserve">toda </w:t>
      </w:r>
      <w:r w:rsidRPr="00A20F35">
        <w:rPr>
          <w:sz w:val="16"/>
          <w:szCs w:val="20"/>
        </w:rPr>
        <w:t>lax</w:t>
      </w:r>
      <w:r>
        <w:rPr>
          <w:sz w:val="16"/>
          <w:szCs w:val="20"/>
        </w:rPr>
        <w:t>itud</w:t>
      </w:r>
    </w:p>
    <w:p w14:paraId="3B1CEF75" w14:textId="1D4DE7EB" w:rsidR="00DB6DF6" w:rsidRPr="00A20F35" w:rsidRDefault="00DB6DF6" w:rsidP="00DB6DF6">
      <w:pPr>
        <w:pStyle w:val="VersoIngls01Sangria"/>
        <w:rPr>
          <w:sz w:val="16"/>
          <w:szCs w:val="20"/>
        </w:rPr>
      </w:pPr>
      <w:r w:rsidRPr="00A20F35">
        <w:rPr>
          <w:sz w:val="16"/>
          <w:szCs w:val="20"/>
        </w:rPr>
        <w:t xml:space="preserve">También </w:t>
      </w:r>
      <w:r>
        <w:rPr>
          <w:sz w:val="16"/>
          <w:szCs w:val="20"/>
        </w:rPr>
        <w:t xml:space="preserve">todo </w:t>
      </w:r>
      <w:r w:rsidRPr="00A20F35">
        <w:rPr>
          <w:sz w:val="16"/>
          <w:szCs w:val="20"/>
        </w:rPr>
        <w:t xml:space="preserve">estado </w:t>
      </w:r>
      <w:r w:rsidR="009535DD">
        <w:rPr>
          <w:sz w:val="16"/>
          <w:szCs w:val="20"/>
        </w:rPr>
        <w:t xml:space="preserve">de </w:t>
      </w:r>
      <w:r w:rsidRPr="00A20F35">
        <w:rPr>
          <w:sz w:val="16"/>
          <w:szCs w:val="20"/>
        </w:rPr>
        <w:t>agita</w:t>
      </w:r>
      <w:r w:rsidR="009535DD">
        <w:rPr>
          <w:sz w:val="16"/>
          <w:szCs w:val="20"/>
        </w:rPr>
        <w:t>ción</w:t>
      </w:r>
      <w:r w:rsidRPr="00A20F35">
        <w:rPr>
          <w:sz w:val="16"/>
          <w:szCs w:val="20"/>
        </w:rPr>
        <w:t>,</w:t>
      </w:r>
    </w:p>
    <w:p w14:paraId="601B1D4A" w14:textId="77777777" w:rsidR="00DB6DF6" w:rsidRPr="00A20F35" w:rsidRDefault="00DB6DF6" w:rsidP="00DB6DF6">
      <w:pPr>
        <w:pStyle w:val="VersoIngls01Sangria"/>
        <w:rPr>
          <w:sz w:val="16"/>
          <w:szCs w:val="20"/>
        </w:rPr>
      </w:pPr>
      <w:r w:rsidRPr="00A20F35">
        <w:rPr>
          <w:sz w:val="16"/>
          <w:szCs w:val="20"/>
        </w:rPr>
        <w:t xml:space="preserve">Dirigiendo aquí su mente </w:t>
      </w:r>
      <w:r>
        <w:rPr>
          <w:sz w:val="16"/>
          <w:szCs w:val="20"/>
        </w:rPr>
        <w:t>hacia</w:t>
      </w:r>
      <w:r w:rsidRPr="00A20F35">
        <w:rPr>
          <w:sz w:val="16"/>
          <w:szCs w:val="20"/>
        </w:rPr>
        <w:t xml:space="preserve"> </w:t>
      </w:r>
      <w:r>
        <w:rPr>
          <w:sz w:val="16"/>
          <w:szCs w:val="20"/>
        </w:rPr>
        <w:t>el signo</w:t>
      </w:r>
    </w:p>
    <w:p w14:paraId="26C02BA4" w14:textId="0C512EA8" w:rsidR="00080636" w:rsidRPr="00E06018" w:rsidRDefault="00DB6DF6" w:rsidP="009844B1">
      <w:pPr>
        <w:pStyle w:val="VersoIngls01Sangria"/>
        <w:spacing w:after="100"/>
        <w:ind w:left="1418"/>
        <w:rPr>
          <w:sz w:val="16"/>
          <w:szCs w:val="20"/>
        </w:rPr>
      </w:pPr>
      <w:r w:rsidRPr="00A20F35">
        <w:rPr>
          <w:sz w:val="16"/>
          <w:szCs w:val="20"/>
        </w:rPr>
        <w:t xml:space="preserve">Como </w:t>
      </w:r>
      <w:r>
        <w:rPr>
          <w:sz w:val="16"/>
          <w:szCs w:val="20"/>
        </w:rPr>
        <w:t xml:space="preserve">bien lo </w:t>
      </w:r>
      <w:r w:rsidRPr="00A20F35">
        <w:rPr>
          <w:sz w:val="16"/>
          <w:szCs w:val="20"/>
        </w:rPr>
        <w:t>sugieren la</w:t>
      </w:r>
      <w:r>
        <w:rPr>
          <w:sz w:val="16"/>
          <w:szCs w:val="20"/>
        </w:rPr>
        <w:t>s</w:t>
      </w:r>
      <w:r w:rsidRPr="00A20F35">
        <w:rPr>
          <w:sz w:val="16"/>
          <w:szCs w:val="20"/>
        </w:rPr>
        <w:t xml:space="preserve"> abeja</w:t>
      </w:r>
      <w:r>
        <w:rPr>
          <w:sz w:val="16"/>
          <w:szCs w:val="20"/>
        </w:rPr>
        <w:t>s</w:t>
      </w:r>
      <w:r w:rsidRPr="00A20F35">
        <w:rPr>
          <w:sz w:val="16"/>
          <w:szCs w:val="20"/>
        </w:rPr>
        <w:t xml:space="preserve"> y </w:t>
      </w:r>
      <w:r>
        <w:rPr>
          <w:sz w:val="16"/>
          <w:szCs w:val="20"/>
        </w:rPr>
        <w:t>las otras analogías</w:t>
      </w:r>
      <w:r w:rsidRPr="00A20F35">
        <w:rPr>
          <w:sz w:val="16"/>
          <w:szCs w:val="20"/>
        </w:rPr>
        <w:t>.</w:t>
      </w:r>
    </w:p>
    <w:p w14:paraId="3556F7F6" w14:textId="2BBF7E03" w:rsidR="00080636" w:rsidRDefault="007E166F" w:rsidP="007E166F">
      <w:pPr>
        <w:pStyle w:val="Ttulo3"/>
        <w:ind w:left="708"/>
      </w:pPr>
      <w:r>
        <w:t>[</w:t>
      </w:r>
      <w:r w:rsidR="009844B1">
        <w:t xml:space="preserve">La </w:t>
      </w:r>
      <w:r>
        <w:t xml:space="preserve">Absorción En La </w:t>
      </w:r>
      <w:r w:rsidR="00955F9B">
        <w:t>Serie Cognitiva</w:t>
      </w:r>
      <w:r>
        <w:t>]</w:t>
      </w:r>
      <w:r w:rsidR="006C4DF7">
        <w:t xml:space="preserve"> </w:t>
      </w:r>
    </w:p>
    <w:p w14:paraId="647379D9" w14:textId="74F7161F" w:rsidR="00080636" w:rsidRDefault="00080636" w:rsidP="00080636">
      <w:r>
        <w:t xml:space="preserve">74. </w:t>
      </w:r>
      <w:r w:rsidR="00737144">
        <w:tab/>
      </w:r>
      <w:r>
        <w:t xml:space="preserve">Entonces, mientras él </w:t>
      </w:r>
      <w:r w:rsidR="00737144">
        <w:t xml:space="preserve">se encuentre </w:t>
      </w:r>
      <w:r w:rsidR="009746D7">
        <w:t xml:space="preserve">así </w:t>
      </w:r>
      <w:r>
        <w:t xml:space="preserve">guiando su mente, confrontando </w:t>
      </w:r>
      <w:r w:rsidR="00737144">
        <w:t>el signo</w:t>
      </w:r>
      <w:r>
        <w:t>, [</w:t>
      </w:r>
      <w:r w:rsidR="009145D3">
        <w:t xml:space="preserve">y </w:t>
      </w:r>
      <w:r>
        <w:t xml:space="preserve">entonces </w:t>
      </w:r>
      <w:r w:rsidR="000648EA">
        <w:t>conoci</w:t>
      </w:r>
      <w:r w:rsidR="004E6B4A">
        <w:t>e</w:t>
      </w:r>
      <w:r w:rsidR="000648EA">
        <w:t>ndo</w:t>
      </w:r>
      <w:r>
        <w:t>]: "Ahora la absorción tendrá éxito", surg</w:t>
      </w:r>
      <w:r w:rsidR="000648EA">
        <w:t>irá</w:t>
      </w:r>
      <w:r>
        <w:t xml:space="preserve"> en él una advertencia </w:t>
      </w:r>
      <w:r w:rsidR="000648EA">
        <w:t xml:space="preserve">en la </w:t>
      </w:r>
      <w:r>
        <w:t>puerta mental con es</w:t>
      </w:r>
      <w:r w:rsidR="000648EA">
        <w:t>e</w:t>
      </w:r>
      <w:r>
        <w:t xml:space="preserve"> mism</w:t>
      </w:r>
      <w:r w:rsidR="000648EA">
        <w:t>o</w:t>
      </w:r>
      <w:r>
        <w:t xml:space="preserve"> </w:t>
      </w:r>
      <w:proofErr w:type="spellStart"/>
      <w:r w:rsidR="00057BF4" w:rsidRPr="00057BF4">
        <w:rPr>
          <w:i/>
          <w:iCs/>
        </w:rPr>
        <w:t>kasiṇa</w:t>
      </w:r>
      <w:proofErr w:type="spellEnd"/>
      <w:r>
        <w:t xml:space="preserve"> </w:t>
      </w:r>
      <w:r w:rsidR="000648EA">
        <w:t xml:space="preserve">tierra </w:t>
      </w:r>
      <w:r>
        <w:t>como su objeto, interrumpiendo [</w:t>
      </w:r>
      <w:r w:rsidR="005F2A8D">
        <w:t xml:space="preserve">la </w:t>
      </w:r>
      <w:r>
        <w:t>ocurrencia de la con</w:t>
      </w:r>
      <w:r w:rsidR="005F2A8D">
        <w:t>s</w:t>
      </w:r>
      <w:r>
        <w:t xml:space="preserve">ciencia </w:t>
      </w:r>
      <w:r w:rsidR="009145D3">
        <w:t>de</w:t>
      </w:r>
      <w:r>
        <w:t xml:space="preserve">] </w:t>
      </w:r>
      <w:r w:rsidR="00622378">
        <w:t xml:space="preserve">el </w:t>
      </w:r>
      <w:r>
        <w:t>continu</w:t>
      </w:r>
      <w:r w:rsidR="00977A26">
        <w:t>um vi</w:t>
      </w:r>
      <w:r w:rsidR="006410D0">
        <w:t>t</w:t>
      </w:r>
      <w:r w:rsidR="00977A26">
        <w:t>a</w:t>
      </w:r>
      <w:r w:rsidR="006410D0">
        <w:t>l</w:t>
      </w:r>
      <w:r>
        <w:t>, y evocada por la constante repetición de “tierra, tierra”. Después de e</w:t>
      </w:r>
      <w:r w:rsidR="0046272C">
        <w:t>ll</w:t>
      </w:r>
      <w:r>
        <w:t>o, cuatro o cinco impulsos impulsa</w:t>
      </w:r>
      <w:r w:rsidR="00622378">
        <w:t>rá</w:t>
      </w:r>
      <w:r>
        <w:t xml:space="preserve">n </w:t>
      </w:r>
      <w:r w:rsidR="00622378">
        <w:t>a</w:t>
      </w:r>
      <w:r>
        <w:t xml:space="preserve">l mismo objeto, el último de los cuales </w:t>
      </w:r>
      <w:r w:rsidR="00622378">
        <w:t>será</w:t>
      </w:r>
      <w:r>
        <w:t xml:space="preserve"> un impulso de la esfera de la materia </w:t>
      </w:r>
      <w:r w:rsidR="00622378">
        <w:t>sutil</w:t>
      </w:r>
      <w:r>
        <w:t xml:space="preserve">. El resto </w:t>
      </w:r>
      <w:r w:rsidR="00A41EA9">
        <w:t xml:space="preserve">de los impulsos </w:t>
      </w:r>
      <w:r w:rsidR="00622378">
        <w:t xml:space="preserve">corresponderá a </w:t>
      </w:r>
      <w:r>
        <w:t xml:space="preserve">la esfera </w:t>
      </w:r>
      <w:r w:rsidR="0019333F" w:rsidRPr="0019333F">
        <w:t>sensorial</w:t>
      </w:r>
      <w:r>
        <w:t>, pero ten</w:t>
      </w:r>
      <w:r w:rsidR="00622378">
        <w:t>drá</w:t>
      </w:r>
      <w:r>
        <w:t xml:space="preserve"> un</w:t>
      </w:r>
      <w:r w:rsidR="00EF7A6F">
        <w:t>a</w:t>
      </w:r>
      <w:r>
        <w:t xml:space="preserve"> </w:t>
      </w:r>
      <w:r w:rsidR="006410D0">
        <w:t>aplicación mental</w:t>
      </w:r>
      <w:r>
        <w:t>, un</w:t>
      </w:r>
      <w:r w:rsidR="006410D0">
        <w:t>a</w:t>
      </w:r>
      <w:r>
        <w:t xml:space="preserve"> </w:t>
      </w:r>
      <w:r w:rsidR="006410D0">
        <w:t>sustentación mental</w:t>
      </w:r>
      <w:r>
        <w:t>, una felicidad, una dicha y una unificación ment</w:t>
      </w:r>
      <w:r w:rsidR="00F07F07">
        <w:t>al</w:t>
      </w:r>
      <w:r>
        <w:t xml:space="preserve"> más fuerte</w:t>
      </w:r>
      <w:r w:rsidR="007111B1">
        <w:t>s</w:t>
      </w:r>
      <w:r>
        <w:t xml:space="preserve"> que los normales. Se les llama</w:t>
      </w:r>
      <w:r w:rsidR="00622378">
        <w:t>rá</w:t>
      </w:r>
      <w:r>
        <w:t xml:space="preserve"> </w:t>
      </w:r>
      <w:r w:rsidR="002102FC">
        <w:t>[consciencias de</w:t>
      </w:r>
      <w:r w:rsidR="00F43028">
        <w:t>l</w:t>
      </w:r>
      <w:r w:rsidR="002102FC">
        <w:t xml:space="preserve">] </w:t>
      </w:r>
      <w:r>
        <w:t xml:space="preserve">“trabajo preliminar” porque </w:t>
      </w:r>
      <w:r w:rsidR="002102FC">
        <w:t>corresponderán</w:t>
      </w:r>
      <w:r>
        <w:t xml:space="preserve"> </w:t>
      </w:r>
      <w:r w:rsidR="002102FC">
        <w:t>a</w:t>
      </w:r>
      <w:r>
        <w:t xml:space="preserve">l trabajo preliminar </w:t>
      </w:r>
      <w:r w:rsidR="00693232">
        <w:t>de</w:t>
      </w:r>
      <w:r>
        <w:t xml:space="preserve"> la absorción; [138] y también se les llama</w:t>
      </w:r>
      <w:r w:rsidR="00622378">
        <w:t>rá</w:t>
      </w:r>
      <w:r>
        <w:t xml:space="preserve"> </w:t>
      </w:r>
      <w:r w:rsidR="007111B1">
        <w:t xml:space="preserve">[consciencias de] </w:t>
      </w:r>
      <w:r>
        <w:t xml:space="preserve">“acceso” por su proximidad a la absorción </w:t>
      </w:r>
      <w:r w:rsidR="008F7370">
        <w:t xml:space="preserve">ya </w:t>
      </w:r>
      <w:r>
        <w:t>que sucede</w:t>
      </w:r>
      <w:r w:rsidR="006C4DF7">
        <w:t>rá</w:t>
      </w:r>
      <w:r>
        <w:t>n en su vecindad, así como las palabras “acceso a la aldea” y “acceso a la ciudad” se u</w:t>
      </w:r>
      <w:r w:rsidR="00C7735C">
        <w:t>tilizaría</w:t>
      </w:r>
      <w:r>
        <w:t xml:space="preserve">n para </w:t>
      </w:r>
      <w:r w:rsidR="00F43028">
        <w:t>aquel</w:t>
      </w:r>
      <w:r>
        <w:t xml:space="preserve"> lugar cercano a una aldea, etc.; y también se les llama</w:t>
      </w:r>
      <w:r w:rsidR="006C4DF7">
        <w:t>rá</w:t>
      </w:r>
      <w:r>
        <w:t xml:space="preserve"> </w:t>
      </w:r>
      <w:r w:rsidR="00C571CA">
        <w:t>[</w:t>
      </w:r>
      <w:r w:rsidR="00305E12">
        <w:t>consciencia</w:t>
      </w:r>
      <w:r w:rsidR="00C571CA">
        <w:t xml:space="preserve">s de] </w:t>
      </w:r>
      <w:r>
        <w:t>“conformidad” porque se ajusta</w:t>
      </w:r>
      <w:r w:rsidR="006C4DF7">
        <w:t>rá</w:t>
      </w:r>
      <w:r>
        <w:t>n a l</w:t>
      </w:r>
      <w:r w:rsidR="005F106E">
        <w:t>o</w:t>
      </w:r>
      <w:r>
        <w:t xml:space="preserve"> que preced</w:t>
      </w:r>
      <w:r w:rsidR="008A0488">
        <w:t>erá</w:t>
      </w:r>
      <w:r>
        <w:t xml:space="preserve"> </w:t>
      </w:r>
      <w:r w:rsidR="005F106E">
        <w:t xml:space="preserve">a </w:t>
      </w:r>
      <w:r w:rsidR="008A0488">
        <w:t xml:space="preserve">[las </w:t>
      </w:r>
      <w:r w:rsidR="00305E12">
        <w:t>consciencia</w:t>
      </w:r>
      <w:r w:rsidR="008A0488">
        <w:t xml:space="preserve">s de] </w:t>
      </w:r>
      <w:r w:rsidR="002C459A">
        <w:t>e</w:t>
      </w:r>
      <w:r>
        <w:t>l “trabajo preliminar” y</w:t>
      </w:r>
      <w:r w:rsidR="00D354DC">
        <w:t xml:space="preserve"> </w:t>
      </w:r>
      <w:r>
        <w:t>a la absorción que le sig</w:t>
      </w:r>
      <w:r w:rsidR="00D354DC">
        <w:t>a</w:t>
      </w:r>
      <w:r>
        <w:t xml:space="preserve">. Y </w:t>
      </w:r>
      <w:r w:rsidR="00D354DC">
        <w:t>a</w:t>
      </w:r>
      <w:r>
        <w:t xml:space="preserve">l último de estos también se </w:t>
      </w:r>
      <w:r w:rsidR="00D354DC">
        <w:t xml:space="preserve">le </w:t>
      </w:r>
      <w:r>
        <w:t>llama</w:t>
      </w:r>
      <w:r w:rsidR="00D354DC">
        <w:t>rá</w:t>
      </w:r>
      <w:r>
        <w:t xml:space="preserve"> “cambio de linaje” porque trascende</w:t>
      </w:r>
      <w:r w:rsidR="00FA296B">
        <w:t>rá</w:t>
      </w:r>
      <w:r>
        <w:t xml:space="preserve"> el linaje limitado [</w:t>
      </w:r>
      <w:r w:rsidR="00D3216F">
        <w:t>a</w:t>
      </w:r>
      <w:r>
        <w:t xml:space="preserve"> la esfera </w:t>
      </w:r>
      <w:r w:rsidR="00EF7A6F" w:rsidRPr="0019333F">
        <w:t>sensorial</w:t>
      </w:r>
      <w:r>
        <w:t>] y trae</w:t>
      </w:r>
      <w:r w:rsidR="00FA296B">
        <w:t>rá</w:t>
      </w:r>
      <w:r>
        <w:t xml:space="preserve"> </w:t>
      </w:r>
      <w:r w:rsidR="005C076D">
        <w:t xml:space="preserve">consigo </w:t>
      </w:r>
      <w:r>
        <w:t xml:space="preserve">la existencia </w:t>
      </w:r>
      <w:r w:rsidR="00FA296B">
        <w:t>d</w:t>
      </w:r>
      <w:r>
        <w:t xml:space="preserve">el linaje </w:t>
      </w:r>
      <w:r w:rsidR="00FA296B">
        <w:t xml:space="preserve">excelso </w:t>
      </w:r>
      <w:r>
        <w:t xml:space="preserve">[de la esfera de la materia </w:t>
      </w:r>
      <w:r w:rsidR="00EE5E3D">
        <w:t>sutil</w:t>
      </w:r>
      <w:r>
        <w:t>].</w:t>
      </w:r>
      <w:r w:rsidRPr="00080636">
        <w:rPr>
          <w:vertAlign w:val="superscript"/>
        </w:rPr>
        <w:t>18</w:t>
      </w:r>
    </w:p>
    <w:p w14:paraId="3D165FBC" w14:textId="5618AE23" w:rsidR="00080636" w:rsidRPr="000C7006" w:rsidRDefault="000C7006" w:rsidP="00080636">
      <w:pPr>
        <w:pStyle w:val="PiedepginaLegal"/>
        <w:rPr>
          <w:u w:val="single"/>
        </w:rPr>
      </w:pPr>
      <w:r w:rsidRPr="000C7006">
        <w:rPr>
          <w:u w:val="single"/>
        </w:rPr>
        <w:tab/>
      </w:r>
      <w:r w:rsidRPr="000C7006">
        <w:rPr>
          <w:u w:val="single"/>
        </w:rPr>
        <w:tab/>
      </w:r>
      <w:r w:rsidRPr="000C7006">
        <w:rPr>
          <w:u w:val="single"/>
        </w:rPr>
        <w:tab/>
      </w:r>
      <w:r w:rsidRPr="000C7006">
        <w:rPr>
          <w:u w:val="single"/>
        </w:rPr>
        <w:tab/>
      </w:r>
      <w:r w:rsidR="00080636" w:rsidRPr="000C7006">
        <w:rPr>
          <w:u w:val="single"/>
        </w:rPr>
        <w:t>.</w:t>
      </w:r>
    </w:p>
    <w:p w14:paraId="2156C6FB" w14:textId="7994DCB7" w:rsidR="000C7006" w:rsidRPr="00797A56" w:rsidRDefault="00080636" w:rsidP="00080636">
      <w:pPr>
        <w:pStyle w:val="PiedepginaLegal"/>
        <w:rPr>
          <w:color w:val="auto"/>
        </w:rPr>
      </w:pPr>
      <w:r w:rsidRPr="00797A56">
        <w:rPr>
          <w:color w:val="auto"/>
        </w:rPr>
        <w:t xml:space="preserve">18. </w:t>
      </w:r>
      <w:r w:rsidR="000C7006" w:rsidRPr="00797A56">
        <w:rPr>
          <w:color w:val="auto"/>
        </w:rPr>
        <w:tab/>
      </w:r>
      <w:r w:rsidRPr="00797A56">
        <w:rPr>
          <w:color w:val="auto"/>
        </w:rPr>
        <w:t>“</w:t>
      </w:r>
      <w:r w:rsidR="00CA2839" w:rsidRPr="00797A56">
        <w:rPr>
          <w:color w:val="auto"/>
        </w:rPr>
        <w:t>Esto p</w:t>
      </w:r>
      <w:r w:rsidR="001E6C91" w:rsidRPr="00797A56">
        <w:rPr>
          <w:color w:val="auto"/>
        </w:rPr>
        <w:t xml:space="preserve">reserva </w:t>
      </w:r>
      <w:r w:rsidRPr="00797A56">
        <w:rPr>
          <w:color w:val="auto"/>
        </w:rPr>
        <w:t>la línea (</w:t>
      </w:r>
      <w:proofErr w:type="spellStart"/>
      <w:r w:rsidRPr="00797A56">
        <w:rPr>
          <w:i/>
          <w:iCs/>
          <w:color w:val="auto"/>
        </w:rPr>
        <w:t>gaṃ</w:t>
      </w:r>
      <w:proofErr w:type="spellEnd"/>
      <w:r w:rsidRPr="00797A56">
        <w:rPr>
          <w:i/>
          <w:iCs/>
          <w:color w:val="auto"/>
        </w:rPr>
        <w:t xml:space="preserve"> </w:t>
      </w:r>
      <w:proofErr w:type="spellStart"/>
      <w:r w:rsidRPr="00797A56">
        <w:rPr>
          <w:i/>
          <w:iCs/>
          <w:color w:val="auto"/>
        </w:rPr>
        <w:t>tāyati</w:t>
      </w:r>
      <w:proofErr w:type="spellEnd"/>
      <w:r w:rsidRPr="00797A56">
        <w:rPr>
          <w:color w:val="auto"/>
        </w:rPr>
        <w:t>), por lo tanto</w:t>
      </w:r>
      <w:r w:rsidR="001E6C91" w:rsidRPr="00797A56">
        <w:rPr>
          <w:color w:val="auto"/>
        </w:rPr>
        <w:t>,</w:t>
      </w:r>
      <w:r w:rsidRPr="00797A56">
        <w:rPr>
          <w:color w:val="auto"/>
        </w:rPr>
        <w:t xml:space="preserve"> </w:t>
      </w:r>
      <w:r w:rsidR="00F0653D">
        <w:rPr>
          <w:color w:val="auto"/>
        </w:rPr>
        <w:t>se refiere al</w:t>
      </w:r>
      <w:r w:rsidRPr="00797A56">
        <w:rPr>
          <w:color w:val="auto"/>
        </w:rPr>
        <w:t xml:space="preserve"> linaje (</w:t>
      </w:r>
      <w:proofErr w:type="spellStart"/>
      <w:r w:rsidRPr="00797A56">
        <w:rPr>
          <w:i/>
          <w:iCs/>
          <w:color w:val="auto"/>
        </w:rPr>
        <w:t>gotta</w:t>
      </w:r>
      <w:proofErr w:type="spellEnd"/>
      <w:r w:rsidRPr="00797A56">
        <w:rPr>
          <w:color w:val="auto"/>
        </w:rPr>
        <w:t>). Cuando ocurr</w:t>
      </w:r>
      <w:r w:rsidR="00CA2839" w:rsidRPr="00797A56">
        <w:rPr>
          <w:color w:val="auto"/>
        </w:rPr>
        <w:t>a</w:t>
      </w:r>
      <w:r w:rsidRPr="00797A56">
        <w:rPr>
          <w:color w:val="auto"/>
        </w:rPr>
        <w:t xml:space="preserve"> de forma limitada, </w:t>
      </w:r>
      <w:r w:rsidR="008B5A44" w:rsidRPr="00797A56">
        <w:rPr>
          <w:color w:val="auto"/>
        </w:rPr>
        <w:t>preserva</w:t>
      </w:r>
      <w:r w:rsidR="00CA2839" w:rsidRPr="00797A56">
        <w:rPr>
          <w:color w:val="auto"/>
        </w:rPr>
        <w:t>rá</w:t>
      </w:r>
      <w:r w:rsidRPr="00797A56">
        <w:rPr>
          <w:color w:val="auto"/>
        </w:rPr>
        <w:t xml:space="preserve"> </w:t>
      </w:r>
      <w:r w:rsidR="006221E6">
        <w:rPr>
          <w:color w:val="auto"/>
        </w:rPr>
        <w:t>la denominación</w:t>
      </w:r>
      <w:r w:rsidRPr="00797A56">
        <w:rPr>
          <w:color w:val="auto"/>
        </w:rPr>
        <w:t xml:space="preserve"> (</w:t>
      </w:r>
      <w:proofErr w:type="spellStart"/>
      <w:r w:rsidRPr="00797A56">
        <w:rPr>
          <w:i/>
          <w:iCs/>
          <w:color w:val="auto"/>
        </w:rPr>
        <w:t>abhidhāna</w:t>
      </w:r>
      <w:proofErr w:type="spellEnd"/>
      <w:r w:rsidRPr="00797A56">
        <w:rPr>
          <w:color w:val="auto"/>
        </w:rPr>
        <w:t>) y el reconocimiento (</w:t>
      </w:r>
      <w:proofErr w:type="spellStart"/>
      <w:r w:rsidRPr="00797A56">
        <w:rPr>
          <w:i/>
          <w:iCs/>
          <w:color w:val="auto"/>
        </w:rPr>
        <w:t>buddhi</w:t>
      </w:r>
      <w:proofErr w:type="spellEnd"/>
      <w:r w:rsidRPr="00797A56">
        <w:rPr>
          <w:color w:val="auto"/>
        </w:rPr>
        <w:t>) de</w:t>
      </w:r>
      <w:r w:rsidR="009B02E5">
        <w:rPr>
          <w:color w:val="auto"/>
        </w:rPr>
        <w:t xml:space="preserve"> </w:t>
      </w:r>
      <w:r w:rsidRPr="00797A56">
        <w:rPr>
          <w:color w:val="auto"/>
        </w:rPr>
        <w:t>l</w:t>
      </w:r>
      <w:r w:rsidR="009B02E5">
        <w:rPr>
          <w:color w:val="auto"/>
        </w:rPr>
        <w:t>a</w:t>
      </w:r>
      <w:r w:rsidRPr="00797A56">
        <w:rPr>
          <w:color w:val="auto"/>
        </w:rPr>
        <w:t xml:space="preserve"> </w:t>
      </w:r>
      <w:r w:rsidR="009B02E5">
        <w:rPr>
          <w:color w:val="auto"/>
        </w:rPr>
        <w:t>denominación</w:t>
      </w:r>
      <w:r w:rsidR="00F0653D">
        <w:rPr>
          <w:color w:val="auto"/>
        </w:rPr>
        <w:t xml:space="preserve"> </w:t>
      </w:r>
      <w:r w:rsidRPr="00797A56">
        <w:rPr>
          <w:color w:val="auto"/>
        </w:rPr>
        <w:t>como restringid</w:t>
      </w:r>
      <w:r w:rsidR="009B02E5">
        <w:rPr>
          <w:color w:val="auto"/>
        </w:rPr>
        <w:t>a</w:t>
      </w:r>
      <w:r w:rsidRPr="00797A56">
        <w:rPr>
          <w:color w:val="auto"/>
        </w:rPr>
        <w:t xml:space="preserve"> a un ámbito definido (</w:t>
      </w:r>
      <w:proofErr w:type="spellStart"/>
      <w:r w:rsidRPr="00797A56">
        <w:rPr>
          <w:i/>
          <w:iCs/>
          <w:color w:val="auto"/>
        </w:rPr>
        <w:t>ekaṃsa-visayatā</w:t>
      </w:r>
      <w:proofErr w:type="spellEnd"/>
      <w:r w:rsidRPr="00797A56">
        <w:rPr>
          <w:color w:val="auto"/>
        </w:rPr>
        <w:t xml:space="preserve">). </w:t>
      </w:r>
      <w:r w:rsidR="008F1607">
        <w:rPr>
          <w:color w:val="auto"/>
        </w:rPr>
        <w:t xml:space="preserve">Ya </w:t>
      </w:r>
      <w:r w:rsidRPr="00797A56">
        <w:rPr>
          <w:color w:val="auto"/>
        </w:rPr>
        <w:t>que</w:t>
      </w:r>
      <w:r w:rsidR="001E6C91" w:rsidRPr="00797A56">
        <w:rPr>
          <w:color w:val="auto"/>
        </w:rPr>
        <w:t>,</w:t>
      </w:r>
      <w:r w:rsidRPr="00797A56">
        <w:rPr>
          <w:color w:val="auto"/>
        </w:rPr>
        <w:t xml:space="preserve"> así como el reconocimiento no </w:t>
      </w:r>
      <w:r w:rsidR="009B02E5">
        <w:rPr>
          <w:color w:val="auto"/>
        </w:rPr>
        <w:t xml:space="preserve">tendrá </w:t>
      </w:r>
      <w:r w:rsidRPr="00797A56">
        <w:rPr>
          <w:color w:val="auto"/>
        </w:rPr>
        <w:t>lugar sin un significado (</w:t>
      </w:r>
      <w:proofErr w:type="spellStart"/>
      <w:r w:rsidRPr="00797A56">
        <w:rPr>
          <w:i/>
          <w:iCs/>
          <w:color w:val="auto"/>
        </w:rPr>
        <w:t>attha</w:t>
      </w:r>
      <w:proofErr w:type="spellEnd"/>
      <w:r w:rsidRPr="00797A56">
        <w:rPr>
          <w:color w:val="auto"/>
        </w:rPr>
        <w:t>) para su soporte objetivo (</w:t>
      </w:r>
      <w:proofErr w:type="spellStart"/>
      <w:r w:rsidRPr="00797A56">
        <w:rPr>
          <w:i/>
          <w:iCs/>
          <w:color w:val="auto"/>
        </w:rPr>
        <w:t>ārammaṇa</w:t>
      </w:r>
      <w:proofErr w:type="spellEnd"/>
      <w:r w:rsidRPr="00797A56">
        <w:rPr>
          <w:color w:val="auto"/>
        </w:rPr>
        <w:t xml:space="preserve">), así </w:t>
      </w:r>
      <w:r w:rsidR="004E6415">
        <w:rPr>
          <w:color w:val="auto"/>
        </w:rPr>
        <w:t>la denominación</w:t>
      </w:r>
      <w:r w:rsidRPr="00797A56">
        <w:rPr>
          <w:color w:val="auto"/>
        </w:rPr>
        <w:t xml:space="preserve"> (</w:t>
      </w:r>
      <w:proofErr w:type="spellStart"/>
      <w:r w:rsidRPr="00797A56">
        <w:rPr>
          <w:i/>
          <w:iCs/>
          <w:color w:val="auto"/>
        </w:rPr>
        <w:t>abhidhāna</w:t>
      </w:r>
      <w:proofErr w:type="spellEnd"/>
      <w:r w:rsidRPr="00797A56">
        <w:rPr>
          <w:color w:val="auto"/>
        </w:rPr>
        <w:t>) no ten</w:t>
      </w:r>
      <w:r w:rsidR="001107D2" w:rsidRPr="00797A56">
        <w:rPr>
          <w:color w:val="auto"/>
        </w:rPr>
        <w:t>drá</w:t>
      </w:r>
      <w:r w:rsidRPr="00797A56">
        <w:rPr>
          <w:color w:val="auto"/>
        </w:rPr>
        <w:t xml:space="preserve"> lugar sin lo que se </w:t>
      </w:r>
      <w:r w:rsidR="004E6415">
        <w:rPr>
          <w:color w:val="auto"/>
        </w:rPr>
        <w:t xml:space="preserve">denomine </w:t>
      </w:r>
      <w:r w:rsidRPr="00797A56">
        <w:rPr>
          <w:color w:val="auto"/>
        </w:rPr>
        <w:t>(</w:t>
      </w:r>
      <w:proofErr w:type="spellStart"/>
      <w:r w:rsidRPr="00797A56">
        <w:rPr>
          <w:i/>
          <w:iCs/>
          <w:color w:val="auto"/>
        </w:rPr>
        <w:t>abhidheyya</w:t>
      </w:r>
      <w:proofErr w:type="spellEnd"/>
      <w:r w:rsidRPr="00797A56">
        <w:rPr>
          <w:color w:val="auto"/>
        </w:rPr>
        <w:t>). Entonces se di</w:t>
      </w:r>
      <w:r w:rsidR="004939D7" w:rsidRPr="00797A56">
        <w:rPr>
          <w:color w:val="auto"/>
        </w:rPr>
        <w:t>rá</w:t>
      </w:r>
      <w:r w:rsidRPr="00797A56">
        <w:rPr>
          <w:color w:val="auto"/>
        </w:rPr>
        <w:t xml:space="preserve"> que (</w:t>
      </w:r>
      <w:proofErr w:type="spellStart"/>
      <w:r w:rsidRPr="00797A56">
        <w:rPr>
          <w:i/>
          <w:iCs/>
          <w:color w:val="auto"/>
        </w:rPr>
        <w:t>gotta</w:t>
      </w:r>
      <w:proofErr w:type="spellEnd"/>
      <w:r w:rsidRPr="00797A56">
        <w:rPr>
          <w:color w:val="auto"/>
        </w:rPr>
        <w:t xml:space="preserve">) protege y </w:t>
      </w:r>
      <w:r w:rsidR="00655FC4" w:rsidRPr="00797A56">
        <w:rPr>
          <w:color w:val="auto"/>
        </w:rPr>
        <w:t>preserva</w:t>
      </w:r>
      <w:r w:rsidRPr="00797A56">
        <w:rPr>
          <w:color w:val="auto"/>
        </w:rPr>
        <w:t xml:space="preserve"> </w:t>
      </w:r>
      <w:r w:rsidR="00E2159D" w:rsidRPr="00797A56">
        <w:rPr>
          <w:color w:val="auto"/>
        </w:rPr>
        <w:t xml:space="preserve">a </w:t>
      </w:r>
      <w:r w:rsidRPr="00797A56">
        <w:rPr>
          <w:color w:val="auto"/>
        </w:rPr>
        <w:t xml:space="preserve">estos. </w:t>
      </w:r>
      <w:r w:rsidR="00F0653D">
        <w:rPr>
          <w:color w:val="auto"/>
        </w:rPr>
        <w:t xml:space="preserve">No obstante, </w:t>
      </w:r>
      <w:r w:rsidRPr="00797A56">
        <w:rPr>
          <w:color w:val="auto"/>
        </w:rPr>
        <w:t>lo limitado debe</w:t>
      </w:r>
      <w:r w:rsidR="00982CA9" w:rsidRPr="00797A56">
        <w:rPr>
          <w:color w:val="auto"/>
        </w:rPr>
        <w:t>r</w:t>
      </w:r>
      <w:r w:rsidR="00EF469D">
        <w:rPr>
          <w:color w:val="auto"/>
        </w:rPr>
        <w:t>ía</w:t>
      </w:r>
      <w:r w:rsidR="00982CA9" w:rsidRPr="00797A56">
        <w:rPr>
          <w:color w:val="auto"/>
        </w:rPr>
        <w:t xml:space="preserve"> </w:t>
      </w:r>
      <w:r w:rsidRPr="00797A56">
        <w:rPr>
          <w:color w:val="auto"/>
        </w:rPr>
        <w:t xml:space="preserve">ser considerado como la materialidad peculiar de los estados de la esfera de los sentidos, </w:t>
      </w:r>
      <w:r w:rsidR="00EF469D">
        <w:rPr>
          <w:color w:val="auto"/>
        </w:rPr>
        <w:t>la cual</w:t>
      </w:r>
      <w:r w:rsidRPr="00797A56">
        <w:rPr>
          <w:color w:val="auto"/>
        </w:rPr>
        <w:t xml:space="preserve"> s</w:t>
      </w:r>
      <w:r w:rsidR="00F0653D">
        <w:rPr>
          <w:color w:val="auto"/>
        </w:rPr>
        <w:t>erá</w:t>
      </w:r>
      <w:r w:rsidRPr="00797A56">
        <w:rPr>
          <w:color w:val="auto"/>
        </w:rPr>
        <w:t xml:space="preserve"> recurso del deseo de los sentidos y est</w:t>
      </w:r>
      <w:r w:rsidR="00F0653D">
        <w:rPr>
          <w:color w:val="auto"/>
        </w:rPr>
        <w:t>ar</w:t>
      </w:r>
      <w:r w:rsidRPr="00797A56">
        <w:rPr>
          <w:color w:val="auto"/>
        </w:rPr>
        <w:t xml:space="preserve">án desprovistos de lo </w:t>
      </w:r>
      <w:r w:rsidR="00171A79" w:rsidRPr="00797A56">
        <w:rPr>
          <w:color w:val="auto"/>
        </w:rPr>
        <w:t xml:space="preserve">excelso </w:t>
      </w:r>
      <w:r w:rsidRPr="00797A56">
        <w:rPr>
          <w:color w:val="auto"/>
        </w:rPr>
        <w:t xml:space="preserve">(material </w:t>
      </w:r>
      <w:r w:rsidR="00171A79" w:rsidRPr="00797A56">
        <w:rPr>
          <w:color w:val="auto"/>
        </w:rPr>
        <w:t xml:space="preserve">sutil </w:t>
      </w:r>
      <w:r w:rsidRPr="00797A56">
        <w:rPr>
          <w:color w:val="auto"/>
        </w:rPr>
        <w:t xml:space="preserve">e inmaterial) o lo insuperable (supramundano). El linaje </w:t>
      </w:r>
      <w:r w:rsidR="00171A79" w:rsidRPr="00797A56">
        <w:rPr>
          <w:color w:val="auto"/>
        </w:rPr>
        <w:t xml:space="preserve">excelso </w:t>
      </w:r>
      <w:r w:rsidRPr="00797A56">
        <w:rPr>
          <w:color w:val="auto"/>
        </w:rPr>
        <w:t>se explica de la misma manera” (</w:t>
      </w:r>
      <w:proofErr w:type="spellStart"/>
      <w:r w:rsidRPr="00797A56">
        <w:rPr>
          <w:color w:val="auto"/>
        </w:rPr>
        <w:t>Vism-mhṭ</w:t>
      </w:r>
      <w:proofErr w:type="spellEnd"/>
      <w:r w:rsidRPr="00797A56">
        <w:rPr>
          <w:color w:val="auto"/>
        </w:rPr>
        <w:t xml:space="preserve"> 134).</w:t>
      </w:r>
    </w:p>
    <w:p w14:paraId="6F3A416C" w14:textId="77777777" w:rsidR="000C7006" w:rsidRDefault="000C7006">
      <w:pPr>
        <w:tabs>
          <w:tab w:val="clear" w:pos="425"/>
        </w:tabs>
        <w:spacing w:after="160"/>
        <w:rPr>
          <w:color w:val="000000" w:themeColor="text1"/>
          <w:spacing w:val="10"/>
          <w:sz w:val="14"/>
        </w:rPr>
      </w:pPr>
      <w:r>
        <w:br w:type="page"/>
      </w:r>
    </w:p>
    <w:p w14:paraId="3C084F9A" w14:textId="77777777" w:rsidR="00CA7F10" w:rsidRDefault="00CA7F10" w:rsidP="00CA7F10"/>
    <w:p w14:paraId="03F832EB" w14:textId="3F43948E" w:rsidR="00CA7F10" w:rsidRDefault="00CA7F10" w:rsidP="00CA7F10">
      <w:r>
        <w:t xml:space="preserve">75. </w:t>
      </w:r>
      <w:r>
        <w:tab/>
      </w:r>
      <w:r w:rsidR="00974584">
        <w:t xml:space="preserve">No obstante, </w:t>
      </w:r>
      <w:r>
        <w:t>omitiendo las repeticiones,</w:t>
      </w:r>
      <w:r w:rsidRPr="00F84E21">
        <w:rPr>
          <w:vertAlign w:val="superscript"/>
        </w:rPr>
        <w:t>19</w:t>
      </w:r>
      <w:r>
        <w:t xml:space="preserve"> entonces, o bien </w:t>
      </w:r>
      <w:r w:rsidR="004E3133">
        <w:t>la primera absorción</w:t>
      </w:r>
      <w:r>
        <w:t xml:space="preserve"> s</w:t>
      </w:r>
      <w:r w:rsidR="004E3133">
        <w:t>erá</w:t>
      </w:r>
      <w:r>
        <w:t xml:space="preserve"> “</w:t>
      </w:r>
      <w:r w:rsidR="004E3133">
        <w:t xml:space="preserve">el </w:t>
      </w:r>
      <w:r>
        <w:t>trabajo preliminar”, el segundo “</w:t>
      </w:r>
      <w:r w:rsidR="004E3133">
        <w:t xml:space="preserve">el </w:t>
      </w:r>
      <w:r>
        <w:t>acceso”, el tercero “</w:t>
      </w:r>
      <w:r w:rsidR="004E3133">
        <w:t xml:space="preserve">la </w:t>
      </w:r>
      <w:r>
        <w:t>conformidad” y el cuarto “</w:t>
      </w:r>
      <w:r w:rsidR="004E3133">
        <w:t xml:space="preserve">el </w:t>
      </w:r>
      <w:r>
        <w:t xml:space="preserve">cambio de linaje”, o bien el primero </w:t>
      </w:r>
      <w:r w:rsidR="004E3133">
        <w:t xml:space="preserve">será </w:t>
      </w:r>
      <w:r>
        <w:t>“</w:t>
      </w:r>
      <w:r w:rsidR="004E3133">
        <w:t xml:space="preserve">el </w:t>
      </w:r>
      <w:r>
        <w:t>acceso</w:t>
      </w:r>
      <w:r w:rsidR="00E4438F">
        <w:t>”</w:t>
      </w:r>
      <w:r>
        <w:t>, el segundo “</w:t>
      </w:r>
      <w:r w:rsidR="004E3133">
        <w:t xml:space="preserve">la </w:t>
      </w:r>
      <w:r>
        <w:t>conformidad” y el tercero “</w:t>
      </w:r>
      <w:r w:rsidR="004E3133">
        <w:t xml:space="preserve">el </w:t>
      </w:r>
      <w:r>
        <w:t xml:space="preserve">cambio de linaje”. Entonces, el cuarto [en el último caso] o el quinto [en el primer caso] </w:t>
      </w:r>
      <w:r w:rsidR="00746305">
        <w:t>será</w:t>
      </w:r>
      <w:r>
        <w:t xml:space="preserve"> la con</w:t>
      </w:r>
      <w:r w:rsidR="00E4438F">
        <w:t>s</w:t>
      </w:r>
      <w:r>
        <w:t xml:space="preserve">ciencia de </w:t>
      </w:r>
      <w:r w:rsidR="004E3133">
        <w:t xml:space="preserve">la </w:t>
      </w:r>
      <w:r>
        <w:t xml:space="preserve">absorción. </w:t>
      </w:r>
      <w:r w:rsidR="00981753">
        <w:t xml:space="preserve">Ya </w:t>
      </w:r>
      <w:r>
        <w:t xml:space="preserve">que </w:t>
      </w:r>
      <w:r w:rsidR="00981753">
        <w:t>será</w:t>
      </w:r>
      <w:r>
        <w:t xml:space="preserve"> sólo </w:t>
      </w:r>
      <w:r w:rsidR="00981753">
        <w:t>e</w:t>
      </w:r>
      <w:r>
        <w:t>l cuarto o el quinto el que se fij</w:t>
      </w:r>
      <w:r w:rsidR="00645C11">
        <w:t>e</w:t>
      </w:r>
      <w:r>
        <w:t xml:space="preserve"> en la absorción. Y eso </w:t>
      </w:r>
      <w:r w:rsidR="001C7018">
        <w:t>se dará</w:t>
      </w:r>
      <w:r>
        <w:t xml:space="preserve"> según haya conocimiento directo rápido o lento. (cf. XXI.117) Más allá de e</w:t>
      </w:r>
      <w:r w:rsidR="001C7018">
        <w:t>ll</w:t>
      </w:r>
      <w:r>
        <w:t>o, el impulso se desvanece</w:t>
      </w:r>
      <w:r w:rsidR="00784D3F">
        <w:t>rá</w:t>
      </w:r>
      <w:r>
        <w:t xml:space="preserve"> y el continu</w:t>
      </w:r>
      <w:r w:rsidR="00784D3F">
        <w:t>um</w:t>
      </w:r>
      <w:r>
        <w:t xml:space="preserve"> </w:t>
      </w:r>
      <w:r w:rsidR="00B66E2D" w:rsidRPr="00B66E2D">
        <w:t>vital</w:t>
      </w:r>
      <w:r w:rsidRPr="00F84E21">
        <w:rPr>
          <w:vertAlign w:val="superscript"/>
        </w:rPr>
        <w:t>20</w:t>
      </w:r>
      <w:r>
        <w:t xml:space="preserve"> se ha</w:t>
      </w:r>
      <w:r w:rsidR="00784D3F">
        <w:t>rá</w:t>
      </w:r>
      <w:r>
        <w:t xml:space="preserve"> cargo</w:t>
      </w:r>
      <w:r w:rsidR="00B56652">
        <w:t xml:space="preserve"> nuevamente</w:t>
      </w:r>
      <w:r>
        <w:t>.</w:t>
      </w:r>
    </w:p>
    <w:p w14:paraId="63C617C4" w14:textId="66FE1A83" w:rsidR="00CA7F10" w:rsidRDefault="00CA7F10" w:rsidP="00CA7F10">
      <w:r>
        <w:t xml:space="preserve">76. </w:t>
      </w:r>
      <w:r>
        <w:tab/>
      </w:r>
      <w:r w:rsidR="002F46C6">
        <w:t xml:space="preserve">No obstante, </w:t>
      </w:r>
      <w:r>
        <w:t xml:space="preserve">el erudito </w:t>
      </w:r>
      <w:r w:rsidR="002F46C6">
        <w:t>en</w:t>
      </w:r>
      <w:r>
        <w:t xml:space="preserve"> </w:t>
      </w:r>
      <w:proofErr w:type="spellStart"/>
      <w:r w:rsidR="00784D3F" w:rsidRPr="007E166F">
        <w:rPr>
          <w:i/>
          <w:iCs/>
        </w:rPr>
        <w:t>Abhi</w:t>
      </w:r>
      <w:r w:rsidR="00784D3F" w:rsidRPr="00057BF4">
        <w:rPr>
          <w:i/>
          <w:iCs/>
        </w:rPr>
        <w:t>dhamma</w:t>
      </w:r>
      <w:proofErr w:type="spellEnd"/>
      <w:r>
        <w:t xml:space="preserve">, el </w:t>
      </w:r>
      <w:r w:rsidR="00784D3F">
        <w:t>Venerable</w:t>
      </w:r>
      <w:r>
        <w:t xml:space="preserve"> </w:t>
      </w:r>
      <w:proofErr w:type="spellStart"/>
      <w:r>
        <w:t>Godatta</w:t>
      </w:r>
      <w:proofErr w:type="spellEnd"/>
      <w:r>
        <w:t xml:space="preserve">, citó este texto: “Los estados </w:t>
      </w:r>
      <w:r w:rsidR="00784D3F">
        <w:t>productivos</w:t>
      </w:r>
      <w:r>
        <w:t xml:space="preserve"> precedentes </w:t>
      </w:r>
      <w:r w:rsidR="009056DE">
        <w:t xml:space="preserve">será </w:t>
      </w:r>
      <w:r>
        <w:t xml:space="preserve">una condición, como condición de repetición, para los estados </w:t>
      </w:r>
      <w:r w:rsidR="00784D3F">
        <w:t xml:space="preserve">productivos </w:t>
      </w:r>
      <w:r>
        <w:t>sucesivos” (</w:t>
      </w:r>
      <w:proofErr w:type="spellStart"/>
      <w:r>
        <w:t>Paṭṭh</w:t>
      </w:r>
      <w:proofErr w:type="spellEnd"/>
      <w:r>
        <w:t xml:space="preserve"> I 5). Agregando: "Se debe a la condición de repetición que cada estado sucesivo </w:t>
      </w:r>
      <w:r w:rsidR="00784D3F">
        <w:t>sea</w:t>
      </w:r>
      <w:r>
        <w:t xml:space="preserve"> fuerte, por lo que también </w:t>
      </w:r>
      <w:r w:rsidR="009056DE">
        <w:t xml:space="preserve">se dará la </w:t>
      </w:r>
      <w:r>
        <w:t>absorción en el sexto y el séptimo".</w:t>
      </w:r>
    </w:p>
    <w:p w14:paraId="418AB576" w14:textId="71BF34CF" w:rsidR="00CA7F10" w:rsidRDefault="00CA7F10" w:rsidP="00CA7F10">
      <w:r>
        <w:t xml:space="preserve">77. </w:t>
      </w:r>
      <w:r>
        <w:tab/>
        <w:t>E</w:t>
      </w:r>
      <w:r w:rsidR="00424FCD">
        <w:t>ll</w:t>
      </w:r>
      <w:r>
        <w:t xml:space="preserve">o es rechazado por los comentarios con la </w:t>
      </w:r>
      <w:r w:rsidR="00761FA9">
        <w:t>alegación</w:t>
      </w:r>
      <w:r>
        <w:t xml:space="preserve"> de que </w:t>
      </w:r>
      <w:r w:rsidR="00E517D5">
        <w:t xml:space="preserve">lo mencionado </w:t>
      </w:r>
      <w:r w:rsidR="006B2C65">
        <w:t>se trata</w:t>
      </w:r>
      <w:r>
        <w:t xml:space="preserve"> simplemente </w:t>
      </w:r>
      <w:r w:rsidR="00424FCD">
        <w:t>de</w:t>
      </w:r>
      <w:r w:rsidR="00E517D5">
        <w:t xml:space="preserve"> una </w:t>
      </w:r>
      <w:r>
        <w:t xml:space="preserve">opinión </w:t>
      </w:r>
      <w:r w:rsidR="00161AA6">
        <w:t>efectuada por</w:t>
      </w:r>
      <w:r>
        <w:t xml:space="preserve"> </w:t>
      </w:r>
      <w:r w:rsidR="006B2C65">
        <w:t xml:space="preserve">aquel </w:t>
      </w:r>
      <w:r w:rsidR="00784D3F">
        <w:t>Venerable</w:t>
      </w:r>
      <w:r>
        <w:t>, agregando que, “Es solo en el cuarto o en el quinto</w:t>
      </w:r>
      <w:r w:rsidRPr="00F84E21">
        <w:rPr>
          <w:vertAlign w:val="superscript"/>
        </w:rPr>
        <w:t>21</w:t>
      </w:r>
      <w:r>
        <w:t xml:space="preserve"> que </w:t>
      </w:r>
      <w:r w:rsidR="006B2C65">
        <w:t xml:space="preserve">se da la </w:t>
      </w:r>
      <w:r>
        <w:t>absorción. Más allá de e</w:t>
      </w:r>
      <w:r w:rsidR="0081419B">
        <w:t>ll</w:t>
      </w:r>
      <w:r>
        <w:t>o, la impulsión decae</w:t>
      </w:r>
      <w:r w:rsidR="00332812">
        <w:t>rá</w:t>
      </w:r>
      <w:r>
        <w:t>. Se dice que lo hace debido a la cercanía del continu</w:t>
      </w:r>
      <w:r w:rsidR="00332812">
        <w:t>um</w:t>
      </w:r>
      <w:r>
        <w:t xml:space="preserve"> </w:t>
      </w:r>
      <w:r w:rsidR="00B66E2D">
        <w:t>vital</w:t>
      </w:r>
      <w:r>
        <w:t xml:space="preserve">”. Y eso se ha dicho </w:t>
      </w:r>
      <w:r w:rsidR="007F0F24">
        <w:t>así</w:t>
      </w:r>
      <w:r>
        <w:t xml:space="preserve"> después de </w:t>
      </w:r>
      <w:r w:rsidR="007F0F24">
        <w:t xml:space="preserve">una </w:t>
      </w:r>
      <w:r w:rsidR="0081419B">
        <w:t xml:space="preserve">debida </w:t>
      </w:r>
      <w:r>
        <w:t xml:space="preserve">consideración, por lo que no </w:t>
      </w:r>
      <w:r w:rsidR="00146FF3">
        <w:t>debería</w:t>
      </w:r>
      <w:r>
        <w:t xml:space="preserve"> ser rechazado. Porque</w:t>
      </w:r>
      <w:r w:rsidR="00981F6D">
        <w:t>,</w:t>
      </w:r>
      <w:r>
        <w:t xml:space="preserve"> así como un hombre que corre hacia un precipicio y quier</w:t>
      </w:r>
      <w:r w:rsidR="0081419B">
        <w:t>a</w:t>
      </w:r>
      <w:r>
        <w:t xml:space="preserve"> detenerse no </w:t>
      </w:r>
      <w:r w:rsidR="0081419B">
        <w:t xml:space="preserve">podrá </w:t>
      </w:r>
      <w:r>
        <w:t>hacerlo cuando ten</w:t>
      </w:r>
      <w:r w:rsidR="0081419B">
        <w:t>ga</w:t>
      </w:r>
      <w:r>
        <w:t xml:space="preserve"> el pie </w:t>
      </w:r>
      <w:r w:rsidR="008E6FCE">
        <w:t>a</w:t>
      </w:r>
      <w:r>
        <w:t>l borde y ca</w:t>
      </w:r>
      <w:r w:rsidR="00981F6D">
        <w:t>iga</w:t>
      </w:r>
      <w:r>
        <w:t xml:space="preserve"> </w:t>
      </w:r>
      <w:r w:rsidR="00F6219C">
        <w:t>en</w:t>
      </w:r>
      <w:r>
        <w:t xml:space="preserve"> él, así no </w:t>
      </w:r>
      <w:r w:rsidR="00981F6D">
        <w:t xml:space="preserve">podrá </w:t>
      </w:r>
      <w:r>
        <w:t>haber fijación en la absorción en el sexto o el séptimo debido a la proximidad del continu</w:t>
      </w:r>
      <w:r w:rsidR="00981F6D">
        <w:t>um</w:t>
      </w:r>
      <w:r>
        <w:t xml:space="preserve"> </w:t>
      </w:r>
      <w:r w:rsidR="00B66E2D">
        <w:t>vital</w:t>
      </w:r>
      <w:r>
        <w:t>. Por eso debe entenderse que sólo ha</w:t>
      </w:r>
      <w:r w:rsidR="00981F6D">
        <w:t>brá</w:t>
      </w:r>
      <w:r>
        <w:t xml:space="preserve"> absorción en el cuarto o quinto.</w:t>
      </w:r>
    </w:p>
    <w:p w14:paraId="016041FE" w14:textId="77777777" w:rsidR="00CA7F10" w:rsidRDefault="00CA7F10" w:rsidP="00CA7F10">
      <w:pPr>
        <w:pStyle w:val="PiedepginaLegal"/>
      </w:pPr>
    </w:p>
    <w:p w14:paraId="7125D937" w14:textId="77777777" w:rsidR="00CA7F10" w:rsidRDefault="00CA7F10" w:rsidP="00CA7F10">
      <w:pPr>
        <w:pStyle w:val="PiedepginaLegal"/>
        <w:rPr>
          <w:u w:val="single"/>
        </w:rPr>
      </w:pPr>
      <w:r>
        <w:rPr>
          <w:u w:val="single"/>
        </w:rPr>
        <w:tab/>
      </w:r>
      <w:r>
        <w:rPr>
          <w:u w:val="single"/>
        </w:rPr>
        <w:tab/>
      </w:r>
      <w:r>
        <w:rPr>
          <w:u w:val="single"/>
        </w:rPr>
        <w:tab/>
      </w:r>
      <w:r>
        <w:rPr>
          <w:u w:val="single"/>
        </w:rPr>
        <w:tab/>
        <w:t>.</w:t>
      </w:r>
    </w:p>
    <w:p w14:paraId="298F7240" w14:textId="7E2DFC08" w:rsidR="00CA7F10" w:rsidRDefault="00CA7F10" w:rsidP="00CA7F10">
      <w:pPr>
        <w:pStyle w:val="PiedepginaLegal"/>
      </w:pPr>
      <w:r>
        <w:t xml:space="preserve">19. </w:t>
      </w:r>
      <w:r>
        <w:tab/>
        <w:t>Véase XVII.189 y nota.</w:t>
      </w:r>
    </w:p>
    <w:p w14:paraId="7F1EDAB6" w14:textId="2A36F830" w:rsidR="00CA7F10" w:rsidRPr="009054C6" w:rsidRDefault="00CA7F10" w:rsidP="00CA7F10">
      <w:pPr>
        <w:pStyle w:val="PiedepginaLegal"/>
        <w:rPr>
          <w:color w:val="auto"/>
        </w:rPr>
      </w:pPr>
      <w:r w:rsidRPr="009054C6">
        <w:rPr>
          <w:color w:val="auto"/>
        </w:rPr>
        <w:t xml:space="preserve">20. </w:t>
      </w:r>
      <w:r w:rsidRPr="009054C6">
        <w:rPr>
          <w:color w:val="auto"/>
        </w:rPr>
        <w:tab/>
        <w:t>“</w:t>
      </w:r>
      <w:r w:rsidR="00F6219C" w:rsidRPr="009054C6">
        <w:rPr>
          <w:color w:val="auto"/>
        </w:rPr>
        <w:t>Lo que se quiere decir</w:t>
      </w:r>
      <w:r w:rsidRPr="009054C6">
        <w:rPr>
          <w:color w:val="auto"/>
        </w:rPr>
        <w:t xml:space="preserve"> es </w:t>
      </w:r>
      <w:r w:rsidR="00F6219C" w:rsidRPr="009054C6">
        <w:rPr>
          <w:color w:val="auto"/>
        </w:rPr>
        <w:t xml:space="preserve">que </w:t>
      </w:r>
      <w:r w:rsidRPr="009054C6">
        <w:rPr>
          <w:color w:val="auto"/>
        </w:rPr>
        <w:t xml:space="preserve">las </w:t>
      </w:r>
      <w:r w:rsidR="00E84B37" w:rsidRPr="009054C6">
        <w:rPr>
          <w:color w:val="auto"/>
        </w:rPr>
        <w:t>im</w:t>
      </w:r>
      <w:r w:rsidRPr="009054C6">
        <w:rPr>
          <w:color w:val="auto"/>
        </w:rPr>
        <w:t xml:space="preserve">pulsiones sexta y séptima </w:t>
      </w:r>
      <w:r w:rsidR="00F6219C" w:rsidRPr="009054C6">
        <w:rPr>
          <w:color w:val="auto"/>
        </w:rPr>
        <w:t>habrían</w:t>
      </w:r>
      <w:r w:rsidRPr="009054C6">
        <w:rPr>
          <w:color w:val="auto"/>
        </w:rPr>
        <w:t xml:space="preserve"> caducado ya que se agota</w:t>
      </w:r>
      <w:r w:rsidR="00E17FB8" w:rsidRPr="009054C6">
        <w:rPr>
          <w:color w:val="auto"/>
        </w:rPr>
        <w:t>r</w:t>
      </w:r>
      <w:r w:rsidR="00F6219C" w:rsidRPr="009054C6">
        <w:rPr>
          <w:color w:val="auto"/>
        </w:rPr>
        <w:t>ía</w:t>
      </w:r>
      <w:r w:rsidR="00E17FB8" w:rsidRPr="009054C6">
        <w:rPr>
          <w:color w:val="auto"/>
        </w:rPr>
        <w:t xml:space="preserve"> </w:t>
      </w:r>
      <w:r w:rsidRPr="009054C6">
        <w:rPr>
          <w:color w:val="auto"/>
        </w:rPr>
        <w:t xml:space="preserve">la impulsión más allá de la quinta. La opinión del </w:t>
      </w:r>
      <w:r w:rsidR="00D21E9C" w:rsidRPr="009054C6">
        <w:rPr>
          <w:color w:val="auto"/>
        </w:rPr>
        <w:t>Venerable</w:t>
      </w:r>
      <w:r w:rsidRPr="009054C6">
        <w:rPr>
          <w:color w:val="auto"/>
        </w:rPr>
        <w:t xml:space="preserve"> era </w:t>
      </w:r>
      <w:r w:rsidR="00E17FB8" w:rsidRPr="009054C6">
        <w:rPr>
          <w:color w:val="auto"/>
        </w:rPr>
        <w:t>que,</w:t>
      </w:r>
      <w:r w:rsidRPr="009054C6">
        <w:rPr>
          <w:color w:val="auto"/>
        </w:rPr>
        <w:t xml:space="preserve"> así como el primer impulso, que carece de la cualidad de </w:t>
      </w:r>
      <w:r w:rsidR="003E2FFA" w:rsidRPr="009054C6">
        <w:rPr>
          <w:color w:val="auto"/>
        </w:rPr>
        <w:t xml:space="preserve">la </w:t>
      </w:r>
      <w:r w:rsidRPr="009054C6">
        <w:rPr>
          <w:color w:val="auto"/>
        </w:rPr>
        <w:t xml:space="preserve">repetición, no suscita el cambio de linaje por su debilidad, el segundo o el tercero, que tienen la cualidad de </w:t>
      </w:r>
      <w:r w:rsidR="006910FA" w:rsidRPr="009054C6">
        <w:rPr>
          <w:color w:val="auto"/>
        </w:rPr>
        <w:t xml:space="preserve">la </w:t>
      </w:r>
      <w:r w:rsidRPr="009054C6">
        <w:rPr>
          <w:color w:val="auto"/>
        </w:rPr>
        <w:t xml:space="preserve">repetición, pueden hacerlo porque son fuertes </w:t>
      </w:r>
      <w:r w:rsidR="006E68CF" w:rsidRPr="009054C6">
        <w:rPr>
          <w:color w:val="auto"/>
        </w:rPr>
        <w:t>debido a ello</w:t>
      </w:r>
      <w:r w:rsidRPr="009054C6">
        <w:rPr>
          <w:color w:val="auto"/>
        </w:rPr>
        <w:t>, así también el sexto y el séptimo se fija</w:t>
      </w:r>
      <w:r w:rsidR="006E68CF" w:rsidRPr="009054C6">
        <w:rPr>
          <w:color w:val="auto"/>
        </w:rPr>
        <w:t>rá</w:t>
      </w:r>
      <w:r w:rsidRPr="009054C6">
        <w:rPr>
          <w:color w:val="auto"/>
        </w:rPr>
        <w:t xml:space="preserve">n en la absorción debido a su fuerza </w:t>
      </w:r>
      <w:r w:rsidR="00396D74" w:rsidRPr="009054C6">
        <w:rPr>
          <w:color w:val="auto"/>
        </w:rPr>
        <w:t xml:space="preserve">y </w:t>
      </w:r>
      <w:r w:rsidRPr="009054C6">
        <w:rPr>
          <w:color w:val="auto"/>
        </w:rPr>
        <w:t xml:space="preserve">debido a su cualidad de repetición. Pero </w:t>
      </w:r>
      <w:r w:rsidR="006910FA" w:rsidRPr="009054C6">
        <w:rPr>
          <w:color w:val="auto"/>
        </w:rPr>
        <w:t xml:space="preserve">esto </w:t>
      </w:r>
      <w:r w:rsidR="00296238" w:rsidRPr="009054C6">
        <w:rPr>
          <w:color w:val="auto"/>
        </w:rPr>
        <w:t xml:space="preserve">no </w:t>
      </w:r>
      <w:r w:rsidRPr="009054C6">
        <w:rPr>
          <w:color w:val="auto"/>
        </w:rPr>
        <w:t xml:space="preserve">está respaldado por un </w:t>
      </w:r>
      <w:proofErr w:type="spellStart"/>
      <w:r w:rsidRPr="009054C6">
        <w:rPr>
          <w:i/>
          <w:iCs/>
          <w:color w:val="auto"/>
        </w:rPr>
        <w:t>sutta</w:t>
      </w:r>
      <w:proofErr w:type="spellEnd"/>
      <w:r w:rsidRPr="009054C6">
        <w:rPr>
          <w:color w:val="auto"/>
        </w:rPr>
        <w:t xml:space="preserve"> ni por la declaración de ningún maestro en conformidad con </w:t>
      </w:r>
      <w:r w:rsidR="00396D74" w:rsidRPr="009054C6">
        <w:rPr>
          <w:color w:val="auto"/>
        </w:rPr>
        <w:t>algú</w:t>
      </w:r>
      <w:r w:rsidRPr="009054C6">
        <w:rPr>
          <w:color w:val="auto"/>
        </w:rPr>
        <w:t xml:space="preserve">n </w:t>
      </w:r>
      <w:proofErr w:type="spellStart"/>
      <w:r w:rsidRPr="009054C6">
        <w:rPr>
          <w:i/>
          <w:iCs/>
          <w:color w:val="auto"/>
        </w:rPr>
        <w:t>sutta</w:t>
      </w:r>
      <w:proofErr w:type="spellEnd"/>
      <w:r w:rsidRPr="009054C6">
        <w:rPr>
          <w:color w:val="auto"/>
        </w:rPr>
        <w:t xml:space="preserve">. Y el texto citado no </w:t>
      </w:r>
      <w:r w:rsidR="006E68CF" w:rsidRPr="009054C6">
        <w:rPr>
          <w:color w:val="auto"/>
        </w:rPr>
        <w:t xml:space="preserve">será </w:t>
      </w:r>
      <w:r w:rsidR="00506F7C" w:rsidRPr="009054C6">
        <w:rPr>
          <w:color w:val="auto"/>
        </w:rPr>
        <w:t xml:space="preserve">una </w:t>
      </w:r>
      <w:r w:rsidRPr="009054C6">
        <w:rPr>
          <w:color w:val="auto"/>
        </w:rPr>
        <w:t xml:space="preserve">razón </w:t>
      </w:r>
      <w:r w:rsidR="009054C6" w:rsidRPr="009054C6">
        <w:rPr>
          <w:color w:val="auto"/>
        </w:rPr>
        <w:t xml:space="preserve">suficiente ya </w:t>
      </w:r>
      <w:r w:rsidRPr="009054C6">
        <w:rPr>
          <w:color w:val="auto"/>
        </w:rPr>
        <w:t>que la fuerza p</w:t>
      </w:r>
      <w:r w:rsidR="001223D5" w:rsidRPr="009054C6">
        <w:rPr>
          <w:color w:val="auto"/>
        </w:rPr>
        <w:t>a</w:t>
      </w:r>
      <w:r w:rsidRPr="009054C6">
        <w:rPr>
          <w:color w:val="auto"/>
        </w:rPr>
        <w:t>r</w:t>
      </w:r>
      <w:r w:rsidR="001223D5" w:rsidRPr="009054C6">
        <w:rPr>
          <w:color w:val="auto"/>
        </w:rPr>
        <w:t>a</w:t>
      </w:r>
      <w:r w:rsidRPr="009054C6">
        <w:rPr>
          <w:color w:val="auto"/>
        </w:rPr>
        <w:t xml:space="preserve"> la cualidad de repetición no es un principio sin excepciones (</w:t>
      </w:r>
      <w:proofErr w:type="spellStart"/>
      <w:r w:rsidRPr="009054C6">
        <w:rPr>
          <w:i/>
          <w:iCs/>
          <w:color w:val="auto"/>
        </w:rPr>
        <w:t>anekantikattā</w:t>
      </w:r>
      <w:proofErr w:type="spellEnd"/>
      <w:r w:rsidRPr="009054C6">
        <w:rPr>
          <w:color w:val="auto"/>
        </w:rPr>
        <w:t xml:space="preserve">); porque la primera volición, que no es repetición, tiene resultado experimentable aquí y ahora, mientras que </w:t>
      </w:r>
      <w:r w:rsidR="009054C6" w:rsidRPr="009054C6">
        <w:rPr>
          <w:color w:val="auto"/>
        </w:rPr>
        <w:t xml:space="preserve">desde </w:t>
      </w:r>
      <w:r w:rsidRPr="009054C6">
        <w:rPr>
          <w:color w:val="auto"/>
        </w:rPr>
        <w:t xml:space="preserve">la segunda </w:t>
      </w:r>
      <w:r w:rsidR="009054C6" w:rsidRPr="009054C6">
        <w:rPr>
          <w:color w:val="auto"/>
        </w:rPr>
        <w:t>hasta</w:t>
      </w:r>
      <w:r w:rsidRPr="009054C6">
        <w:rPr>
          <w:color w:val="auto"/>
        </w:rPr>
        <w:t xml:space="preserve"> la sexta, que </w:t>
      </w:r>
      <w:r w:rsidR="009054C6" w:rsidRPr="009054C6">
        <w:rPr>
          <w:color w:val="auto"/>
        </w:rPr>
        <w:t xml:space="preserve">sí </w:t>
      </w:r>
      <w:r w:rsidRPr="009054C6">
        <w:rPr>
          <w:color w:val="auto"/>
        </w:rPr>
        <w:t>son repeticiones, tiene resultado experimentable en futuros devenires” (</w:t>
      </w:r>
      <w:proofErr w:type="spellStart"/>
      <w:r w:rsidRPr="009054C6">
        <w:rPr>
          <w:color w:val="auto"/>
        </w:rPr>
        <w:t>Vism-mh</w:t>
      </w:r>
      <w:r w:rsidR="003057E4" w:rsidRPr="009054C6">
        <w:rPr>
          <w:color w:val="auto"/>
        </w:rPr>
        <w:t>ṭ</w:t>
      </w:r>
      <w:proofErr w:type="spellEnd"/>
      <w:r w:rsidRPr="009054C6">
        <w:rPr>
          <w:color w:val="auto"/>
        </w:rPr>
        <w:t xml:space="preserve"> 135).</w:t>
      </w:r>
    </w:p>
    <w:p w14:paraId="076C5589" w14:textId="2EDCF73B" w:rsidR="00831FB3" w:rsidRPr="00C46AB2" w:rsidRDefault="00CA7F10" w:rsidP="00CA7F10">
      <w:pPr>
        <w:pStyle w:val="PiedepginaLegal"/>
        <w:rPr>
          <w:color w:val="auto"/>
        </w:rPr>
      </w:pPr>
      <w:r w:rsidRPr="00C46AB2">
        <w:rPr>
          <w:color w:val="auto"/>
        </w:rPr>
        <w:t xml:space="preserve">21. </w:t>
      </w:r>
      <w:r w:rsidRPr="00C46AB2">
        <w:rPr>
          <w:color w:val="auto"/>
        </w:rPr>
        <w:tab/>
        <w:t>“</w:t>
      </w:r>
      <w:r w:rsidRPr="00C46AB2">
        <w:rPr>
          <w:i/>
          <w:iCs/>
          <w:color w:val="auto"/>
        </w:rPr>
        <w:t xml:space="preserve">'Ya sea en </w:t>
      </w:r>
      <w:r w:rsidR="003057E4" w:rsidRPr="00C46AB2">
        <w:rPr>
          <w:i/>
          <w:iCs/>
          <w:color w:val="auto"/>
        </w:rPr>
        <w:t>e</w:t>
      </w:r>
      <w:r w:rsidRPr="00C46AB2">
        <w:rPr>
          <w:i/>
          <w:iCs/>
          <w:color w:val="auto"/>
        </w:rPr>
        <w:t>l cuart</w:t>
      </w:r>
      <w:r w:rsidR="009054C6" w:rsidRPr="00C46AB2">
        <w:rPr>
          <w:i/>
          <w:iCs/>
          <w:color w:val="auto"/>
        </w:rPr>
        <w:t>o</w:t>
      </w:r>
      <w:r w:rsidRPr="00C46AB2">
        <w:rPr>
          <w:i/>
          <w:iCs/>
          <w:color w:val="auto"/>
        </w:rPr>
        <w:t xml:space="preserve"> o en </w:t>
      </w:r>
      <w:r w:rsidR="003057E4" w:rsidRPr="00C46AB2">
        <w:rPr>
          <w:i/>
          <w:iCs/>
          <w:color w:val="auto"/>
        </w:rPr>
        <w:t>e</w:t>
      </w:r>
      <w:r w:rsidRPr="00C46AB2">
        <w:rPr>
          <w:i/>
          <w:iCs/>
          <w:color w:val="auto"/>
        </w:rPr>
        <w:t>l quint</w:t>
      </w:r>
      <w:r w:rsidR="003057E4" w:rsidRPr="00C46AB2">
        <w:rPr>
          <w:i/>
          <w:iCs/>
          <w:color w:val="auto"/>
        </w:rPr>
        <w:t>o</w:t>
      </w:r>
      <w:r w:rsidRPr="00C46AB2">
        <w:rPr>
          <w:i/>
          <w:iCs/>
          <w:color w:val="auto"/>
        </w:rPr>
        <w:t>'</w:t>
      </w:r>
      <w:r w:rsidRPr="00C46AB2">
        <w:rPr>
          <w:color w:val="auto"/>
        </w:rPr>
        <w:t>, etc., se dice con el fin de concluir [la discusión] con un párrafo que muestr</w:t>
      </w:r>
      <w:r w:rsidR="00220E65" w:rsidRPr="00C46AB2">
        <w:rPr>
          <w:color w:val="auto"/>
        </w:rPr>
        <w:t>e</w:t>
      </w:r>
      <w:r w:rsidRPr="00C46AB2">
        <w:rPr>
          <w:color w:val="auto"/>
        </w:rPr>
        <w:t xml:space="preserve"> la corrección del significado ya expresado.</w:t>
      </w:r>
      <w:r w:rsidR="00F572B8" w:rsidRPr="00C46AB2">
        <w:rPr>
          <w:color w:val="auto"/>
        </w:rPr>
        <w:t xml:space="preserve"> </w:t>
      </w:r>
      <w:r w:rsidRPr="00C46AB2">
        <w:rPr>
          <w:color w:val="auto"/>
        </w:rPr>
        <w:t xml:space="preserve">— Aquí, si se dicen </w:t>
      </w:r>
      <w:r w:rsidR="00220E65" w:rsidRPr="00C46AB2">
        <w:rPr>
          <w:color w:val="auto"/>
        </w:rPr>
        <w:t xml:space="preserve">que </w:t>
      </w:r>
      <w:r w:rsidRPr="00C46AB2">
        <w:rPr>
          <w:color w:val="auto"/>
        </w:rPr>
        <w:t xml:space="preserve">las </w:t>
      </w:r>
      <w:r w:rsidR="00220E65" w:rsidRPr="00C46AB2">
        <w:rPr>
          <w:color w:val="auto"/>
        </w:rPr>
        <w:t>im</w:t>
      </w:r>
      <w:r w:rsidRPr="00C46AB2">
        <w:rPr>
          <w:color w:val="auto"/>
        </w:rPr>
        <w:t>pulsiones sexta y séptima ha</w:t>
      </w:r>
      <w:r w:rsidR="00220E65" w:rsidRPr="00C46AB2">
        <w:rPr>
          <w:color w:val="auto"/>
        </w:rPr>
        <w:t>n</w:t>
      </w:r>
      <w:r w:rsidRPr="00C46AB2">
        <w:rPr>
          <w:color w:val="auto"/>
        </w:rPr>
        <w:t xml:space="preserve"> caducado porque el impulso se ha agotado, ¿cómo es que la volición del séptimo impulso llega a tener un resultado experimentable en el próximo renacimiento y tener un efecto inmediato en el renacimiento? </w:t>
      </w:r>
      <w:r w:rsidR="00F572B8" w:rsidRPr="00C46AB2">
        <w:rPr>
          <w:color w:val="auto"/>
        </w:rPr>
        <w:t>—</w:t>
      </w:r>
      <w:r w:rsidRPr="00C46AB2">
        <w:rPr>
          <w:color w:val="auto"/>
        </w:rPr>
        <w:t>Esto no se debe a la fuerza obtenida a través de una condición de repetición.</w:t>
      </w:r>
      <w:r w:rsidR="00F572B8" w:rsidRPr="00C46AB2">
        <w:rPr>
          <w:color w:val="auto"/>
        </w:rPr>
        <w:t xml:space="preserve"> —</w:t>
      </w:r>
      <w:r w:rsidRPr="00C46AB2">
        <w:rPr>
          <w:color w:val="auto"/>
        </w:rPr>
        <w:t xml:space="preserve"> ¿Entonces </w:t>
      </w:r>
      <w:r w:rsidR="00422E91">
        <w:rPr>
          <w:color w:val="auto"/>
        </w:rPr>
        <w:t xml:space="preserve">a </w:t>
      </w:r>
      <w:r w:rsidRPr="00C46AB2">
        <w:rPr>
          <w:color w:val="auto"/>
        </w:rPr>
        <w:t xml:space="preserve">qué? </w:t>
      </w:r>
      <w:r w:rsidR="00F572B8" w:rsidRPr="00C46AB2">
        <w:rPr>
          <w:color w:val="auto"/>
        </w:rPr>
        <w:t>—</w:t>
      </w:r>
      <w:r w:rsidRPr="00C46AB2">
        <w:rPr>
          <w:color w:val="auto"/>
        </w:rPr>
        <w:t>Se debe a la diferencia en la posición de la función (</w:t>
      </w:r>
      <w:proofErr w:type="spellStart"/>
      <w:r w:rsidRPr="00C46AB2">
        <w:rPr>
          <w:i/>
          <w:iCs/>
          <w:color w:val="auto"/>
        </w:rPr>
        <w:t>kiriyāvatthā</w:t>
      </w:r>
      <w:proofErr w:type="spellEnd"/>
      <w:r w:rsidRPr="00C46AB2">
        <w:rPr>
          <w:color w:val="auto"/>
        </w:rPr>
        <w:t xml:space="preserve">). Pues la función [de impulsión] tiene tres posiciones, </w:t>
      </w:r>
      <w:r w:rsidR="00F572B8" w:rsidRPr="00C46AB2">
        <w:rPr>
          <w:color w:val="auto"/>
        </w:rPr>
        <w:t>es decir</w:t>
      </w:r>
      <w:r w:rsidRPr="00C46AB2">
        <w:rPr>
          <w:color w:val="auto"/>
        </w:rPr>
        <w:t xml:space="preserve">, inicial, media y final. Aquí, la </w:t>
      </w:r>
      <w:proofErr w:type="spellStart"/>
      <w:r w:rsidRPr="00C46AB2">
        <w:rPr>
          <w:color w:val="auto"/>
        </w:rPr>
        <w:t>experimentabilidad</w:t>
      </w:r>
      <w:proofErr w:type="spellEnd"/>
      <w:r w:rsidRPr="00C46AB2">
        <w:rPr>
          <w:color w:val="auto"/>
        </w:rPr>
        <w:t xml:space="preserve"> del resultado en el próximo renacimiento y la inmediatez del efecto en el renacimiento se deben a la posición final de la última volición, no a su fuerza... Así que no se puede objetar el hecho de que el sexto y el séptimo cadu</w:t>
      </w:r>
      <w:r w:rsidR="00422E91">
        <w:rPr>
          <w:color w:val="auto"/>
        </w:rPr>
        <w:t>que</w:t>
      </w:r>
      <w:r w:rsidRPr="00C46AB2">
        <w:rPr>
          <w:color w:val="auto"/>
        </w:rPr>
        <w:t xml:space="preserve">n porque el impulso se </w:t>
      </w:r>
      <w:r w:rsidR="00422E91">
        <w:rPr>
          <w:color w:val="auto"/>
        </w:rPr>
        <w:t xml:space="preserve">haya </w:t>
      </w:r>
      <w:r w:rsidRPr="00C46AB2">
        <w:rPr>
          <w:color w:val="auto"/>
        </w:rPr>
        <w:t>agot</w:t>
      </w:r>
      <w:r w:rsidR="00422E91">
        <w:rPr>
          <w:color w:val="auto"/>
        </w:rPr>
        <w:t>ado</w:t>
      </w:r>
      <w:r w:rsidRPr="00C46AB2">
        <w:rPr>
          <w:color w:val="auto"/>
        </w:rPr>
        <w:t>” (</w:t>
      </w:r>
      <w:proofErr w:type="spellStart"/>
      <w:r w:rsidRPr="00C46AB2">
        <w:rPr>
          <w:color w:val="auto"/>
        </w:rPr>
        <w:t>Vism</w:t>
      </w:r>
      <w:proofErr w:type="spellEnd"/>
      <w:r w:rsidRPr="00C46AB2">
        <w:rPr>
          <w:color w:val="auto"/>
        </w:rPr>
        <w:t xml:space="preserve"> -</w:t>
      </w:r>
      <w:proofErr w:type="spellStart"/>
      <w:r w:rsidRPr="00C46AB2">
        <w:rPr>
          <w:color w:val="auto"/>
        </w:rPr>
        <w:t>mhṭ</w:t>
      </w:r>
      <w:proofErr w:type="spellEnd"/>
      <w:r w:rsidRPr="00C46AB2">
        <w:rPr>
          <w:color w:val="auto"/>
        </w:rPr>
        <w:t xml:space="preserve"> 135). Ver Tabla V.</w:t>
      </w:r>
    </w:p>
    <w:p w14:paraId="5AF6EB4E" w14:textId="77777777" w:rsidR="00831FB3" w:rsidRDefault="00831FB3">
      <w:pPr>
        <w:tabs>
          <w:tab w:val="clear" w:pos="425"/>
        </w:tabs>
        <w:spacing w:after="160"/>
      </w:pPr>
      <w:r>
        <w:br w:type="page"/>
      </w:r>
    </w:p>
    <w:p w14:paraId="43B65745" w14:textId="77777777" w:rsidR="00831FB3" w:rsidRDefault="00831FB3" w:rsidP="00831FB3"/>
    <w:p w14:paraId="0D706D10" w14:textId="7678FF99" w:rsidR="00831FB3" w:rsidRPr="00FF5ACE" w:rsidRDefault="00831FB3" w:rsidP="00831FB3">
      <w:r w:rsidRPr="00FF5ACE">
        <w:t xml:space="preserve">78. </w:t>
      </w:r>
      <w:r w:rsidRPr="00FF5ACE">
        <w:tab/>
      </w:r>
      <w:r w:rsidR="00422E91" w:rsidRPr="00FF5ACE">
        <w:t xml:space="preserve">No obstante, </w:t>
      </w:r>
      <w:r w:rsidR="00924A1D" w:rsidRPr="00FF5ACE">
        <w:t>la</w:t>
      </w:r>
      <w:r w:rsidRPr="00FF5ACE">
        <w:t xml:space="preserve"> absorción </w:t>
      </w:r>
      <w:r w:rsidR="00924A1D" w:rsidRPr="00FF5ACE">
        <w:t xml:space="preserve">en cuestión </w:t>
      </w:r>
      <w:r w:rsidR="00C1153C" w:rsidRPr="00FF5ACE">
        <w:t>será</w:t>
      </w:r>
      <w:r w:rsidRPr="00FF5ACE">
        <w:t xml:space="preserve"> sólo de un único momento consciente. Porque ha</w:t>
      </w:r>
      <w:r w:rsidR="00C1153C" w:rsidRPr="00FF5ACE">
        <w:t>brá</w:t>
      </w:r>
      <w:r w:rsidRPr="00FF5ACE">
        <w:t xml:space="preserve"> siete casos en los que no se aplica</w:t>
      </w:r>
      <w:r w:rsidR="00C1153C" w:rsidRPr="00FF5ACE">
        <w:t>rá</w:t>
      </w:r>
      <w:r w:rsidRPr="00FF5ACE">
        <w:t xml:space="preserve"> la </w:t>
      </w:r>
      <w:proofErr w:type="spellStart"/>
      <w:r w:rsidR="004F28B7">
        <w:t>longtud</w:t>
      </w:r>
      <w:proofErr w:type="spellEnd"/>
      <w:r w:rsidRPr="00FF5ACE">
        <w:t xml:space="preserve"> normal</w:t>
      </w:r>
      <w:r w:rsidRPr="00FF5ACE">
        <w:rPr>
          <w:vertAlign w:val="superscript"/>
        </w:rPr>
        <w:t>22</w:t>
      </w:r>
      <w:r w:rsidRPr="00FF5ACE">
        <w:t xml:space="preserve"> [de la serie cognitiva]. </w:t>
      </w:r>
      <w:r w:rsidR="00412D97" w:rsidRPr="00FF5ACE">
        <w:t>Ellos s</w:t>
      </w:r>
      <w:r w:rsidR="001D0D47" w:rsidRPr="00FF5ACE">
        <w:t>e encuentran</w:t>
      </w:r>
      <w:r w:rsidRPr="00FF5ACE">
        <w:t xml:space="preserve"> en los casos </w:t>
      </w:r>
      <w:r w:rsidR="002F11AB" w:rsidRPr="00FF5ACE">
        <w:t xml:space="preserve">(i) </w:t>
      </w:r>
      <w:r w:rsidRPr="00FF5ACE">
        <w:t xml:space="preserve">de la primera absorción, </w:t>
      </w:r>
      <w:r w:rsidR="002F11AB" w:rsidRPr="00FF5ACE">
        <w:t>(</w:t>
      </w:r>
      <w:proofErr w:type="spellStart"/>
      <w:r w:rsidR="002F11AB" w:rsidRPr="00FF5ACE">
        <w:t>ii</w:t>
      </w:r>
      <w:proofErr w:type="spellEnd"/>
      <w:r w:rsidR="002F11AB" w:rsidRPr="00FF5ACE">
        <w:t xml:space="preserve">) </w:t>
      </w:r>
      <w:r w:rsidRPr="00FF5ACE">
        <w:t xml:space="preserve">los tipos mundanos de conocimiento directo, </w:t>
      </w:r>
      <w:r w:rsidR="002F11AB" w:rsidRPr="00FF5ACE">
        <w:t>(</w:t>
      </w:r>
      <w:proofErr w:type="spellStart"/>
      <w:r w:rsidR="002F11AB" w:rsidRPr="00FF5ACE">
        <w:t>iii</w:t>
      </w:r>
      <w:proofErr w:type="spellEnd"/>
      <w:r w:rsidR="002F11AB" w:rsidRPr="00FF5ACE">
        <w:t xml:space="preserve">) </w:t>
      </w:r>
      <w:r w:rsidRPr="00FF5ACE">
        <w:t xml:space="preserve">los cuatro </w:t>
      </w:r>
      <w:r w:rsidR="001D0D47" w:rsidRPr="00FF5ACE">
        <w:t>senderos</w:t>
      </w:r>
      <w:r w:rsidRPr="00FF5ACE">
        <w:t xml:space="preserve">, </w:t>
      </w:r>
      <w:r w:rsidR="002F11AB" w:rsidRPr="00FF5ACE">
        <w:t>(</w:t>
      </w:r>
      <w:proofErr w:type="spellStart"/>
      <w:r w:rsidR="002F11AB" w:rsidRPr="00FF5ACE">
        <w:t>iv</w:t>
      </w:r>
      <w:proofErr w:type="spellEnd"/>
      <w:r w:rsidR="002F11AB" w:rsidRPr="00FF5ACE">
        <w:t xml:space="preserve">) </w:t>
      </w:r>
      <w:r w:rsidRPr="00FF5ACE">
        <w:t xml:space="preserve">la fruición siguiente después del </w:t>
      </w:r>
      <w:r w:rsidR="001A5EFF" w:rsidRPr="00FF5ACE">
        <w:t>sendero</w:t>
      </w:r>
      <w:r w:rsidRPr="00FF5ACE">
        <w:t xml:space="preserve">, </w:t>
      </w:r>
      <w:r w:rsidR="002F11AB" w:rsidRPr="00FF5ACE">
        <w:t xml:space="preserve">(v) </w:t>
      </w:r>
      <w:r w:rsidR="00877FBE" w:rsidRPr="00FF5ACE">
        <w:t xml:space="preserve">el </w:t>
      </w:r>
      <w:r w:rsidRPr="00FF5ACE">
        <w:t>continu</w:t>
      </w:r>
      <w:r w:rsidR="001A5EFF" w:rsidRPr="00FF5ACE">
        <w:t>um</w:t>
      </w:r>
      <w:r w:rsidR="00CE25A7" w:rsidRPr="00CE25A7">
        <w:t xml:space="preserve"> </w:t>
      </w:r>
      <w:r w:rsidR="00CE25A7">
        <w:t>vital</w:t>
      </w:r>
      <w:r w:rsidR="00CE25A7" w:rsidRPr="00FF5ACE">
        <w:rPr>
          <w:i/>
          <w:iCs/>
        </w:rPr>
        <w:t xml:space="preserve"> </w:t>
      </w:r>
      <w:proofErr w:type="spellStart"/>
      <w:r w:rsidR="00877FBE" w:rsidRPr="00FF5ACE">
        <w:rPr>
          <w:i/>
          <w:iCs/>
        </w:rPr>
        <w:t>jhānico</w:t>
      </w:r>
      <w:proofErr w:type="spellEnd"/>
      <w:r w:rsidR="00877FBE" w:rsidRPr="00FF5ACE">
        <w:t xml:space="preserve"> </w:t>
      </w:r>
      <w:r w:rsidRPr="00FF5ACE">
        <w:t xml:space="preserve">en los tipos de devenir </w:t>
      </w:r>
      <w:r w:rsidR="00877FBE" w:rsidRPr="00FF5ACE">
        <w:t xml:space="preserve">de la </w:t>
      </w:r>
      <w:r w:rsidRPr="00FF5ACE">
        <w:t xml:space="preserve">materia </w:t>
      </w:r>
      <w:r w:rsidR="001A5EFF" w:rsidRPr="00FF5ACE">
        <w:t xml:space="preserve">sutil </w:t>
      </w:r>
      <w:r w:rsidRPr="00FF5ACE">
        <w:t xml:space="preserve">e inmaterial, </w:t>
      </w:r>
      <w:r w:rsidR="002F11AB" w:rsidRPr="00FF5ACE">
        <w:t xml:space="preserve">(vi) </w:t>
      </w:r>
      <w:r w:rsidRPr="00FF5ACE">
        <w:t>la base consiste</w:t>
      </w:r>
      <w:r w:rsidR="00877FBE" w:rsidRPr="00FF5ACE">
        <w:t>nte</w:t>
      </w:r>
      <w:r w:rsidRPr="00FF5ACE">
        <w:t xml:space="preserve"> </w:t>
      </w:r>
      <w:r w:rsidR="001A5EFF" w:rsidRPr="00FF5ACE">
        <w:t xml:space="preserve">de la </w:t>
      </w:r>
      <w:r w:rsidRPr="00FF5ACE">
        <w:t>n</w:t>
      </w:r>
      <w:r w:rsidR="001A5EFF" w:rsidRPr="00FF5ACE">
        <w:t>0-</w:t>
      </w:r>
      <w:r w:rsidRPr="00FF5ACE">
        <w:t>percepción</w:t>
      </w:r>
      <w:r w:rsidR="001A5EFF" w:rsidRPr="00FF5ACE">
        <w:t>-</w:t>
      </w:r>
      <w:r w:rsidRPr="00FF5ACE">
        <w:t>ni</w:t>
      </w:r>
      <w:r w:rsidR="001A5EFF" w:rsidRPr="00FF5ACE">
        <w:t>-</w:t>
      </w:r>
      <w:r w:rsidRPr="00FF5ACE">
        <w:t>la</w:t>
      </w:r>
      <w:r w:rsidR="001A5EFF" w:rsidRPr="00FF5ACE">
        <w:t>-</w:t>
      </w:r>
      <w:r w:rsidRPr="00FF5ACE">
        <w:t>no</w:t>
      </w:r>
      <w:r w:rsidR="001A5EFF" w:rsidRPr="00FF5ACE">
        <w:t>-</w:t>
      </w:r>
      <w:r w:rsidRPr="00FF5ACE">
        <w:t xml:space="preserve">percepción como condición para la cesación [de la percepción y </w:t>
      </w:r>
      <w:r w:rsidR="001A5EFF" w:rsidRPr="00FF5ACE">
        <w:t>la sensación</w:t>
      </w:r>
      <w:r w:rsidRPr="00FF5ACE">
        <w:t xml:space="preserve">], y </w:t>
      </w:r>
      <w:r w:rsidR="002F11AB" w:rsidRPr="00FF5ACE">
        <w:t>(</w:t>
      </w:r>
      <w:proofErr w:type="spellStart"/>
      <w:r w:rsidR="002F11AB" w:rsidRPr="00FF5ACE">
        <w:t>vii</w:t>
      </w:r>
      <w:proofErr w:type="spellEnd"/>
      <w:r w:rsidR="002F11AB" w:rsidRPr="00FF5ACE">
        <w:t xml:space="preserve">) </w:t>
      </w:r>
      <w:r w:rsidRPr="00FF5ACE">
        <w:t xml:space="preserve">el logro de la fruición en </w:t>
      </w:r>
      <w:r w:rsidR="00877FBE" w:rsidRPr="00FF5ACE">
        <w:t>aquel</w:t>
      </w:r>
      <w:r w:rsidRPr="00FF5ACE">
        <w:t xml:space="preserve"> que emer</w:t>
      </w:r>
      <w:r w:rsidR="00877FBE" w:rsidRPr="00FF5ACE">
        <w:t>ja</w:t>
      </w:r>
      <w:r w:rsidRPr="00FF5ACE">
        <w:t xml:space="preserve"> de la cesación. Aquí la fruición siguiente al </w:t>
      </w:r>
      <w:r w:rsidR="00877FBE" w:rsidRPr="00FF5ACE">
        <w:t xml:space="preserve">sendero </w:t>
      </w:r>
      <w:r w:rsidRPr="00FF5ACE">
        <w:t>no excede</w:t>
      </w:r>
      <w:r w:rsidR="00877FBE" w:rsidRPr="00FF5ACE">
        <w:t>rá</w:t>
      </w:r>
      <w:r w:rsidRPr="00FF5ACE">
        <w:t xml:space="preserve"> de tres [</w:t>
      </w:r>
      <w:r w:rsidR="00305E12">
        <w:t>consciencia</w:t>
      </w:r>
      <w:r w:rsidRPr="00FF5ACE">
        <w:t>s en número]; [139] la [</w:t>
      </w:r>
      <w:r w:rsidR="00305E12">
        <w:t>consciencia</w:t>
      </w:r>
      <w:r w:rsidRPr="00FF5ACE">
        <w:t xml:space="preserve">] de la base que </w:t>
      </w:r>
      <w:proofErr w:type="gramStart"/>
      <w:r w:rsidRPr="00FF5ACE">
        <w:t xml:space="preserve">consiste </w:t>
      </w:r>
      <w:r w:rsidR="00877FBE" w:rsidRPr="00FF5ACE">
        <w:t>de</w:t>
      </w:r>
      <w:proofErr w:type="gramEnd"/>
      <w:r w:rsidR="00877FBE" w:rsidRPr="00FF5ACE">
        <w:t xml:space="preserve"> </w:t>
      </w:r>
      <w:r w:rsidRPr="00FF5ACE">
        <w:t xml:space="preserve">la </w:t>
      </w:r>
      <w:r w:rsidR="00877FBE" w:rsidRPr="00FF5ACE">
        <w:t>no-</w:t>
      </w:r>
      <w:r w:rsidRPr="00FF5ACE">
        <w:t>percepción</w:t>
      </w:r>
      <w:r w:rsidR="00877FBE" w:rsidRPr="00FF5ACE">
        <w:t>-</w:t>
      </w:r>
      <w:r w:rsidRPr="00FF5ACE">
        <w:t>ni</w:t>
      </w:r>
      <w:r w:rsidR="00877FBE" w:rsidRPr="00FF5ACE">
        <w:t>-</w:t>
      </w:r>
      <w:r w:rsidRPr="00FF5ACE">
        <w:t>la</w:t>
      </w:r>
      <w:r w:rsidR="00877FBE" w:rsidRPr="00FF5ACE">
        <w:t>-</w:t>
      </w:r>
      <w:r w:rsidRPr="00FF5ACE">
        <w:t>no</w:t>
      </w:r>
      <w:r w:rsidR="00877FBE" w:rsidRPr="00FF5ACE">
        <w:t>-</w:t>
      </w:r>
      <w:r w:rsidRPr="00FF5ACE">
        <w:t>percepción como condición para la cesación no excede</w:t>
      </w:r>
      <w:r w:rsidR="00877FBE" w:rsidRPr="00FF5ACE">
        <w:t>rá</w:t>
      </w:r>
      <w:r w:rsidRPr="00FF5ACE">
        <w:t>n de dos [en número]; no ha</w:t>
      </w:r>
      <w:r w:rsidR="009345A4" w:rsidRPr="00FF5ACE">
        <w:t>brá</w:t>
      </w:r>
      <w:r w:rsidRPr="00FF5ACE">
        <w:t xml:space="preserve"> medida del [número de con</w:t>
      </w:r>
      <w:r w:rsidR="009345A4" w:rsidRPr="00FF5ACE">
        <w:t>s</w:t>
      </w:r>
      <w:r w:rsidRPr="00FF5ACE">
        <w:t>ciencias en el] continu</w:t>
      </w:r>
      <w:r w:rsidR="009345A4" w:rsidRPr="00FF5ACE">
        <w:t>um</w:t>
      </w:r>
      <w:r w:rsidRPr="00FF5ACE">
        <w:t xml:space="preserve"> </w:t>
      </w:r>
      <w:r w:rsidR="00CE25A7">
        <w:t>vital</w:t>
      </w:r>
      <w:r w:rsidR="00CE25A7" w:rsidRPr="00FF5ACE">
        <w:t xml:space="preserve"> </w:t>
      </w:r>
      <w:r w:rsidRPr="00FF5ACE">
        <w:t xml:space="preserve">en los [tipos de devenir] de </w:t>
      </w:r>
      <w:r w:rsidR="00AE0C8F" w:rsidRPr="00FF5ACE">
        <w:t xml:space="preserve">la </w:t>
      </w:r>
      <w:r w:rsidRPr="00FF5ACE">
        <w:t xml:space="preserve">materia </w:t>
      </w:r>
      <w:r w:rsidR="009345A4" w:rsidRPr="00FF5ACE">
        <w:t xml:space="preserve">sutil </w:t>
      </w:r>
      <w:r w:rsidRPr="00FF5ACE">
        <w:t>e inmaterial. En los casos restantes el número de con</w:t>
      </w:r>
      <w:r w:rsidR="00D7233D" w:rsidRPr="00FF5ACE">
        <w:t>s</w:t>
      </w:r>
      <w:r w:rsidRPr="00FF5ACE">
        <w:t xml:space="preserve">ciencias </w:t>
      </w:r>
      <w:r w:rsidR="009345A4" w:rsidRPr="00FF5ACE">
        <w:t>será</w:t>
      </w:r>
      <w:r w:rsidRPr="00FF5ACE">
        <w:t xml:space="preserve"> uno solo. </w:t>
      </w:r>
      <w:r w:rsidR="00B97F56" w:rsidRPr="00FF5ACE">
        <w:t>Por lo tanto,</w:t>
      </w:r>
      <w:r w:rsidRPr="00FF5ACE">
        <w:t xml:space="preserve"> la absorción </w:t>
      </w:r>
      <w:proofErr w:type="gramStart"/>
      <w:r w:rsidR="009345A4" w:rsidRPr="00FF5ACE">
        <w:t xml:space="preserve">consistirá </w:t>
      </w:r>
      <w:r w:rsidRPr="00FF5ACE">
        <w:t>de</w:t>
      </w:r>
      <w:proofErr w:type="gramEnd"/>
      <w:r w:rsidRPr="00FF5ACE">
        <w:t xml:space="preserve"> un solo momento de con</w:t>
      </w:r>
      <w:r w:rsidR="009345A4" w:rsidRPr="00FF5ACE">
        <w:t>s</w:t>
      </w:r>
      <w:r w:rsidRPr="00FF5ACE">
        <w:t>ciencia. Después de eso, cae</w:t>
      </w:r>
      <w:r w:rsidR="00AC6F2B" w:rsidRPr="00FF5ACE">
        <w:t>rá</w:t>
      </w:r>
      <w:r w:rsidRPr="00FF5ACE">
        <w:t xml:space="preserve"> en el continu</w:t>
      </w:r>
      <w:r w:rsidR="00AC6F2B" w:rsidRPr="00FF5ACE">
        <w:t>um</w:t>
      </w:r>
      <w:r w:rsidRPr="00FF5ACE">
        <w:t xml:space="preserve"> </w:t>
      </w:r>
      <w:r w:rsidR="00CE25A7">
        <w:t>vital</w:t>
      </w:r>
      <w:r w:rsidRPr="00FF5ACE">
        <w:t>. Luego, el continu</w:t>
      </w:r>
      <w:r w:rsidR="00AC6F2B" w:rsidRPr="00FF5ACE">
        <w:t>um</w:t>
      </w:r>
      <w:r w:rsidRPr="00FF5ACE">
        <w:t xml:space="preserve"> </w:t>
      </w:r>
      <w:r w:rsidR="00CE25A7">
        <w:t>vital</w:t>
      </w:r>
      <w:r w:rsidR="00CE25A7" w:rsidRPr="00FF5ACE">
        <w:t xml:space="preserve"> </w:t>
      </w:r>
      <w:r w:rsidRPr="00FF5ACE">
        <w:t>se interrump</w:t>
      </w:r>
      <w:r w:rsidR="00AC6F2B" w:rsidRPr="00FF5ACE">
        <w:t>irá</w:t>
      </w:r>
      <w:r w:rsidRPr="00FF5ACE">
        <w:t xml:space="preserve"> con advertencias con el propósito de revisar el </w:t>
      </w:r>
      <w:proofErr w:type="spellStart"/>
      <w:r w:rsidR="00057BF4" w:rsidRPr="00FF5ACE">
        <w:rPr>
          <w:i/>
          <w:iCs/>
        </w:rPr>
        <w:t>jhāna</w:t>
      </w:r>
      <w:proofErr w:type="spellEnd"/>
      <w:r w:rsidRPr="00FF5ACE">
        <w:t>, luego de lo cual ven</w:t>
      </w:r>
      <w:r w:rsidR="00AC6F2B" w:rsidRPr="00FF5ACE">
        <w:t>drá</w:t>
      </w:r>
      <w:r w:rsidRPr="00FF5ACE">
        <w:t xml:space="preserve"> </w:t>
      </w:r>
      <w:r w:rsidR="00AC6F2B" w:rsidRPr="00FF5ACE">
        <w:t xml:space="preserve">la revisión </w:t>
      </w:r>
      <w:r w:rsidRPr="00FF5ACE">
        <w:t xml:space="preserve">del </w:t>
      </w:r>
      <w:proofErr w:type="spellStart"/>
      <w:r w:rsidR="00057BF4" w:rsidRPr="00FF5ACE">
        <w:rPr>
          <w:i/>
          <w:iCs/>
        </w:rPr>
        <w:t>jhāna</w:t>
      </w:r>
      <w:proofErr w:type="spellEnd"/>
      <w:r w:rsidRPr="00FF5ACE">
        <w:t>.</w:t>
      </w:r>
    </w:p>
    <w:p w14:paraId="2D14C087" w14:textId="6D459912" w:rsidR="00831FB3" w:rsidRDefault="00831FB3" w:rsidP="00831FB3">
      <w:pPr>
        <w:pStyle w:val="Ttulo3"/>
        <w:ind w:left="708"/>
      </w:pPr>
      <w:r>
        <w:t xml:space="preserve">[El Primer </w:t>
      </w:r>
      <w:proofErr w:type="spellStart"/>
      <w:r w:rsidR="00057BF4" w:rsidRPr="00057BF4">
        <w:rPr>
          <w:i/>
          <w:iCs/>
        </w:rPr>
        <w:t>Jhāna</w:t>
      </w:r>
      <w:proofErr w:type="spellEnd"/>
      <w:r>
        <w:t>]</w:t>
      </w:r>
    </w:p>
    <w:p w14:paraId="102AB9FC" w14:textId="5ED3D58F" w:rsidR="00831FB3" w:rsidRPr="00CF17C7" w:rsidRDefault="00831FB3" w:rsidP="00831FB3">
      <w:pPr>
        <w:rPr>
          <w:i/>
          <w:iCs/>
        </w:rPr>
      </w:pPr>
      <w:r>
        <w:t>79.</w:t>
      </w:r>
      <w:r>
        <w:tab/>
        <w:t>En este punto, “</w:t>
      </w:r>
      <w:r w:rsidR="00102E7B" w:rsidRPr="00215A65">
        <w:rPr>
          <w:i/>
          <w:iCs/>
        </w:rPr>
        <w:t xml:space="preserve">completamente </w:t>
      </w:r>
      <w:r w:rsidR="00A63E72">
        <w:rPr>
          <w:i/>
          <w:iCs/>
        </w:rPr>
        <w:t>recluido</w:t>
      </w:r>
      <w:r w:rsidRPr="00215A65">
        <w:rPr>
          <w:i/>
          <w:iCs/>
        </w:rPr>
        <w:t xml:space="preserve"> de los </w:t>
      </w:r>
      <w:r w:rsidR="007831DD">
        <w:rPr>
          <w:i/>
          <w:iCs/>
        </w:rPr>
        <w:t>deseos sensoriales</w:t>
      </w:r>
      <w:r w:rsidRPr="00215A65">
        <w:rPr>
          <w:i/>
          <w:iCs/>
        </w:rPr>
        <w:t>, apartado de las cosas inútiles, entra</w:t>
      </w:r>
      <w:r w:rsidR="00F00A59" w:rsidRPr="00215A65">
        <w:rPr>
          <w:i/>
          <w:iCs/>
        </w:rPr>
        <w:t>rá</w:t>
      </w:r>
      <w:r w:rsidRPr="00215A65">
        <w:rPr>
          <w:i/>
          <w:iCs/>
        </w:rPr>
        <w:t xml:space="preserve"> y </w:t>
      </w:r>
      <w:r w:rsidR="00F00A59" w:rsidRPr="00215A65">
        <w:rPr>
          <w:i/>
          <w:iCs/>
        </w:rPr>
        <w:t xml:space="preserve">habitará </w:t>
      </w:r>
      <w:r w:rsidRPr="00215A65">
        <w:rPr>
          <w:i/>
          <w:iCs/>
        </w:rPr>
        <w:t xml:space="preserve">en el primer </w:t>
      </w:r>
      <w:proofErr w:type="spellStart"/>
      <w:r w:rsidR="00057BF4" w:rsidRPr="00215A65">
        <w:rPr>
          <w:i/>
          <w:iCs/>
        </w:rPr>
        <w:t>jhāna</w:t>
      </w:r>
      <w:proofErr w:type="spellEnd"/>
      <w:r w:rsidRPr="00215A65">
        <w:rPr>
          <w:i/>
          <w:iCs/>
        </w:rPr>
        <w:t xml:space="preserve">, que va acompañado </w:t>
      </w:r>
      <w:proofErr w:type="spellStart"/>
      <w:r w:rsidRPr="00215A65">
        <w:rPr>
          <w:i/>
          <w:iCs/>
        </w:rPr>
        <w:t>d</w:t>
      </w:r>
      <w:r w:rsidR="00C71F10">
        <w:rPr>
          <w:i/>
          <w:iCs/>
        </w:rPr>
        <w:t>la</w:t>
      </w:r>
      <w:proofErr w:type="spellEnd"/>
      <w:r w:rsidR="00C71F10">
        <w:rPr>
          <w:i/>
          <w:iCs/>
        </w:rPr>
        <w:t xml:space="preserve"> aplicación mental</w:t>
      </w:r>
      <w:r w:rsidRPr="00215A65">
        <w:rPr>
          <w:i/>
          <w:iCs/>
        </w:rPr>
        <w:t xml:space="preserve"> y </w:t>
      </w:r>
      <w:r w:rsidR="00CF17C7">
        <w:rPr>
          <w:i/>
          <w:iCs/>
        </w:rPr>
        <w:t xml:space="preserve">el </w:t>
      </w:r>
      <w:r w:rsidRPr="00215A65">
        <w:rPr>
          <w:i/>
          <w:iCs/>
        </w:rPr>
        <w:t xml:space="preserve">sostenido con felicidad y dicha </w:t>
      </w:r>
      <w:r w:rsidR="00B97FDA">
        <w:rPr>
          <w:i/>
          <w:iCs/>
        </w:rPr>
        <w:t>surgidas</w:t>
      </w:r>
      <w:r w:rsidRPr="00215A65">
        <w:rPr>
          <w:i/>
          <w:iCs/>
        </w:rPr>
        <w:t xml:space="preserve"> de la reclusión</w:t>
      </w:r>
      <w:r>
        <w:t>” (</w:t>
      </w:r>
      <w:proofErr w:type="spellStart"/>
      <w:r>
        <w:t>Vibh</w:t>
      </w:r>
      <w:proofErr w:type="spellEnd"/>
      <w:r>
        <w:t xml:space="preserve"> 245), </w:t>
      </w:r>
      <w:r w:rsidRPr="00CF17C7">
        <w:rPr>
          <w:i/>
          <w:iCs/>
        </w:rPr>
        <w:t>y así ha</w:t>
      </w:r>
      <w:r w:rsidR="001F2558" w:rsidRPr="00CF17C7">
        <w:rPr>
          <w:i/>
          <w:iCs/>
        </w:rPr>
        <w:t>brá</w:t>
      </w:r>
      <w:r w:rsidRPr="00CF17C7">
        <w:rPr>
          <w:i/>
          <w:iCs/>
        </w:rPr>
        <w:t xml:space="preserve"> </w:t>
      </w:r>
      <w:r w:rsidR="00CF17C7">
        <w:rPr>
          <w:i/>
          <w:iCs/>
        </w:rPr>
        <w:t>consumado</w:t>
      </w:r>
      <w:r w:rsidRPr="00CF17C7">
        <w:rPr>
          <w:i/>
          <w:iCs/>
        </w:rPr>
        <w:t xml:space="preserve"> el primer </w:t>
      </w:r>
      <w:proofErr w:type="spellStart"/>
      <w:r w:rsidR="00057BF4" w:rsidRPr="00CF17C7">
        <w:rPr>
          <w:i/>
          <w:iCs/>
        </w:rPr>
        <w:t>jhāna</w:t>
      </w:r>
      <w:proofErr w:type="spellEnd"/>
      <w:r w:rsidRPr="00CF17C7">
        <w:rPr>
          <w:i/>
          <w:iCs/>
        </w:rPr>
        <w:t>, que abandona</w:t>
      </w:r>
      <w:r w:rsidR="001F2558" w:rsidRPr="00CF17C7">
        <w:rPr>
          <w:i/>
          <w:iCs/>
        </w:rPr>
        <w:t>rá</w:t>
      </w:r>
      <w:r w:rsidRPr="00CF17C7">
        <w:rPr>
          <w:i/>
          <w:iCs/>
        </w:rPr>
        <w:t xml:space="preserve"> cinco factores, </w:t>
      </w:r>
      <w:r w:rsidR="001F2558" w:rsidRPr="00CF17C7">
        <w:rPr>
          <w:i/>
          <w:iCs/>
        </w:rPr>
        <w:t>obtendrá</w:t>
      </w:r>
      <w:r w:rsidRPr="00CF17C7">
        <w:rPr>
          <w:i/>
          <w:iCs/>
        </w:rPr>
        <w:t xml:space="preserve"> cinco factores, </w:t>
      </w:r>
      <w:r w:rsidR="00B34D26" w:rsidRPr="00CF17C7">
        <w:rPr>
          <w:i/>
          <w:iCs/>
        </w:rPr>
        <w:t xml:space="preserve">será </w:t>
      </w:r>
      <w:r w:rsidRPr="00CF17C7">
        <w:rPr>
          <w:i/>
          <w:iCs/>
        </w:rPr>
        <w:t>bueno en tres formas, posee</w:t>
      </w:r>
      <w:r w:rsidR="00B34D26" w:rsidRPr="00CF17C7">
        <w:rPr>
          <w:i/>
          <w:iCs/>
        </w:rPr>
        <w:t>rá</w:t>
      </w:r>
      <w:r w:rsidRPr="00CF17C7">
        <w:rPr>
          <w:i/>
          <w:iCs/>
        </w:rPr>
        <w:t xml:space="preserve"> diez características y </w:t>
      </w:r>
      <w:r w:rsidR="00D60800" w:rsidRPr="00CF17C7">
        <w:rPr>
          <w:i/>
          <w:iCs/>
        </w:rPr>
        <w:t>pertenecerá</w:t>
      </w:r>
      <w:r w:rsidR="00B34D26" w:rsidRPr="00CF17C7">
        <w:rPr>
          <w:i/>
          <w:iCs/>
        </w:rPr>
        <w:t xml:space="preserve"> </w:t>
      </w:r>
      <w:r w:rsidR="00D60800" w:rsidRPr="00CF17C7">
        <w:rPr>
          <w:i/>
          <w:iCs/>
        </w:rPr>
        <w:t>a</w:t>
      </w:r>
      <w:r w:rsidR="00B34D26" w:rsidRPr="00CF17C7">
        <w:rPr>
          <w:i/>
          <w:iCs/>
        </w:rPr>
        <w:t xml:space="preserve">l </w:t>
      </w:r>
      <w:proofErr w:type="spellStart"/>
      <w:r w:rsidR="00057BF4" w:rsidRPr="00CF17C7">
        <w:rPr>
          <w:i/>
          <w:iCs/>
        </w:rPr>
        <w:t>kasiṇa</w:t>
      </w:r>
      <w:proofErr w:type="spellEnd"/>
      <w:r w:rsidR="00B34D26" w:rsidRPr="00CF17C7">
        <w:rPr>
          <w:i/>
          <w:iCs/>
        </w:rPr>
        <w:t xml:space="preserve"> tierra</w:t>
      </w:r>
      <w:r w:rsidRPr="00CF17C7">
        <w:rPr>
          <w:i/>
          <w:iCs/>
        </w:rPr>
        <w:t>.</w:t>
      </w:r>
    </w:p>
    <w:p w14:paraId="522DC233" w14:textId="6B3D99D4" w:rsidR="00831FB3" w:rsidRDefault="00831FB3" w:rsidP="00831FB3">
      <w:r>
        <w:t xml:space="preserve">80. </w:t>
      </w:r>
      <w:r>
        <w:tab/>
      </w:r>
      <w:r w:rsidR="00D60800">
        <w:t>Al respecto</w:t>
      </w:r>
      <w:r>
        <w:t xml:space="preserve">, </w:t>
      </w:r>
      <w:r w:rsidR="00102E7B" w:rsidRPr="00102E7B">
        <w:rPr>
          <w:i/>
          <w:iCs/>
        </w:rPr>
        <w:t xml:space="preserve">completamente </w:t>
      </w:r>
      <w:r w:rsidR="00A63E72">
        <w:rPr>
          <w:i/>
          <w:iCs/>
        </w:rPr>
        <w:t>recluido</w:t>
      </w:r>
      <w:r w:rsidR="00A63E72" w:rsidRPr="00215A65">
        <w:rPr>
          <w:i/>
          <w:iCs/>
        </w:rPr>
        <w:t xml:space="preserve"> </w:t>
      </w:r>
      <w:r w:rsidRPr="001C2663">
        <w:rPr>
          <w:i/>
          <w:iCs/>
        </w:rPr>
        <w:t xml:space="preserve">de los </w:t>
      </w:r>
      <w:r w:rsidR="007831DD">
        <w:rPr>
          <w:i/>
          <w:iCs/>
        </w:rPr>
        <w:t>deseos sensoriales</w:t>
      </w:r>
      <w:r>
        <w:t xml:space="preserve"> significa</w:t>
      </w:r>
      <w:r w:rsidR="00D60800">
        <w:t>rá</w:t>
      </w:r>
      <w:r>
        <w:t xml:space="preserve"> haberse apartado a sí mismo de los </w:t>
      </w:r>
      <w:r w:rsidR="007831DD">
        <w:t>deseos sensoriales</w:t>
      </w:r>
      <w:r>
        <w:t xml:space="preserve">, haberse </w:t>
      </w:r>
      <w:r w:rsidR="00370388">
        <w:t>desprovisto</w:t>
      </w:r>
      <w:r>
        <w:t xml:space="preserve"> </w:t>
      </w:r>
      <w:r w:rsidR="00C44EDD">
        <w:t xml:space="preserve">de </w:t>
      </w:r>
      <w:r>
        <w:t xml:space="preserve">ellos, haberse alejado de ellos. Ahora bien, debe entenderse que esta palabra </w:t>
      </w:r>
      <w:r w:rsidR="00CE5293" w:rsidRPr="00C44EDD">
        <w:rPr>
          <w:i/>
          <w:iCs/>
        </w:rPr>
        <w:t>completamente</w:t>
      </w:r>
      <w:r w:rsidR="00CE5293" w:rsidRPr="00CE5293">
        <w:t xml:space="preserve"> </w:t>
      </w:r>
      <w:r>
        <w:t>(</w:t>
      </w:r>
      <w:proofErr w:type="spellStart"/>
      <w:r w:rsidRPr="007E166F">
        <w:rPr>
          <w:i/>
          <w:iCs/>
        </w:rPr>
        <w:t>eva</w:t>
      </w:r>
      <w:proofErr w:type="spellEnd"/>
      <w:r>
        <w:t xml:space="preserve">) tiene el significado de absoluto. Precisamente porque tiene el significado de absoluto, </w:t>
      </w:r>
      <w:r w:rsidR="00477D9F">
        <w:t xml:space="preserve">se </w:t>
      </w:r>
      <w:r>
        <w:t xml:space="preserve">muestra cómo, en la ocasión real de entrar y </w:t>
      </w:r>
      <w:r w:rsidR="00477D9F">
        <w:t xml:space="preserve">habitar </w:t>
      </w:r>
      <w:r>
        <w:t xml:space="preserve">en el primer </w:t>
      </w:r>
      <w:proofErr w:type="spellStart"/>
      <w:r w:rsidR="00057BF4" w:rsidRPr="00057BF4">
        <w:rPr>
          <w:i/>
          <w:iCs/>
        </w:rPr>
        <w:t>jhāna</w:t>
      </w:r>
      <w:proofErr w:type="spellEnd"/>
      <w:r>
        <w:t xml:space="preserve">, los </w:t>
      </w:r>
      <w:r w:rsidR="007831DD">
        <w:t>deseos sensoriales</w:t>
      </w:r>
      <w:r>
        <w:t xml:space="preserve">, además de ser inexistentes, </w:t>
      </w:r>
      <w:r w:rsidR="00E357FF">
        <w:t>resultan ser</w:t>
      </w:r>
      <w:r>
        <w:t xml:space="preserve"> lo contrario </w:t>
      </w:r>
      <w:r w:rsidR="00C44EDD">
        <w:t>a</w:t>
      </w:r>
      <w:r>
        <w:t xml:space="preserve">l primer </w:t>
      </w:r>
      <w:proofErr w:type="spellStart"/>
      <w:r w:rsidR="00057BF4" w:rsidRPr="00057BF4">
        <w:rPr>
          <w:i/>
          <w:iCs/>
        </w:rPr>
        <w:t>jhāna</w:t>
      </w:r>
      <w:proofErr w:type="spellEnd"/>
      <w:r>
        <w:t xml:space="preserve">, y también muestra que la llegada </w:t>
      </w:r>
      <w:r w:rsidR="00C44EDD">
        <w:t xml:space="preserve">de él </w:t>
      </w:r>
      <w:r w:rsidR="00E357FF">
        <w:t xml:space="preserve">tendrá </w:t>
      </w:r>
      <w:r>
        <w:t>lugar sólo (</w:t>
      </w:r>
      <w:proofErr w:type="spellStart"/>
      <w:r w:rsidRPr="007E166F">
        <w:rPr>
          <w:i/>
          <w:iCs/>
        </w:rPr>
        <w:t>eva</w:t>
      </w:r>
      <w:proofErr w:type="spellEnd"/>
      <w:r>
        <w:t xml:space="preserve">) a través del abandono de los </w:t>
      </w:r>
      <w:r w:rsidR="007831DD">
        <w:t>deseos sensoriales</w:t>
      </w:r>
      <w:r>
        <w:t>. ¿Cómo?</w:t>
      </w:r>
    </w:p>
    <w:p w14:paraId="40800D92" w14:textId="3A563221" w:rsidR="00831FB3" w:rsidRDefault="00831FB3" w:rsidP="00831FB3">
      <w:r>
        <w:t xml:space="preserve">81. </w:t>
      </w:r>
      <w:r>
        <w:tab/>
        <w:t xml:space="preserve">Cuando la absolutidad se introduce así, “completamente </w:t>
      </w:r>
      <w:r w:rsidR="00A63E72" w:rsidRPr="00A63E72">
        <w:t xml:space="preserve">recluido </w:t>
      </w:r>
      <w:r>
        <w:t xml:space="preserve">de los </w:t>
      </w:r>
      <w:r w:rsidR="007831DD">
        <w:t>deseos sensoriales</w:t>
      </w:r>
      <w:r>
        <w:t xml:space="preserve">”, lo que se </w:t>
      </w:r>
      <w:r w:rsidR="00CE5293">
        <w:t xml:space="preserve">desea </w:t>
      </w:r>
      <w:r>
        <w:t>expresa</w:t>
      </w:r>
      <w:r w:rsidR="00CE5293">
        <w:t>r</w:t>
      </w:r>
      <w:r>
        <w:t xml:space="preserve"> es esto: los </w:t>
      </w:r>
      <w:r w:rsidR="007831DD">
        <w:t>deseos sensoriales</w:t>
      </w:r>
      <w:r>
        <w:t xml:space="preserve"> son ciertamente incompatibles con </w:t>
      </w:r>
      <w:r w:rsidR="00CD090C">
        <w:t>este</w:t>
      </w:r>
      <w:r>
        <w:t xml:space="preserve"> </w:t>
      </w:r>
      <w:proofErr w:type="spellStart"/>
      <w:r w:rsidR="00057BF4" w:rsidRPr="00057BF4">
        <w:rPr>
          <w:i/>
          <w:iCs/>
        </w:rPr>
        <w:t>jhāna</w:t>
      </w:r>
      <w:proofErr w:type="spellEnd"/>
      <w:r>
        <w:t xml:space="preserve">; cuando </w:t>
      </w:r>
      <w:r w:rsidR="004921B4">
        <w:t xml:space="preserve">estos </w:t>
      </w:r>
      <w:r>
        <w:t>exist</w:t>
      </w:r>
      <w:r w:rsidR="0004726A">
        <w:t>a</w:t>
      </w:r>
      <w:r w:rsidR="00CD090C">
        <w:t>n</w:t>
      </w:r>
      <w:r>
        <w:t>, no ocurr</w:t>
      </w:r>
      <w:r w:rsidR="0004726A">
        <w:t>irá</w:t>
      </w:r>
      <w:r>
        <w:t>, así como cuando hay</w:t>
      </w:r>
      <w:r w:rsidR="0004726A">
        <w:t>a</w:t>
      </w:r>
      <w:r>
        <w:t xml:space="preserve"> oscuridad, </w:t>
      </w:r>
      <w:r w:rsidR="00A87268">
        <w:t xml:space="preserve">será </w:t>
      </w:r>
      <w:r w:rsidR="0004726A">
        <w:t xml:space="preserve">porque no </w:t>
      </w:r>
      <w:r w:rsidR="002F7619">
        <w:t>ha</w:t>
      </w:r>
      <w:r w:rsidR="004921B4">
        <w:t>ya</w:t>
      </w:r>
      <w:r w:rsidR="0004726A">
        <w:t xml:space="preserve"> ninguna </w:t>
      </w:r>
      <w:r>
        <w:t>lámpara</w:t>
      </w:r>
      <w:r w:rsidR="00B4395C">
        <w:t xml:space="preserve"> encendida</w:t>
      </w:r>
      <w:r>
        <w:t xml:space="preserve">; </w:t>
      </w:r>
      <w:r w:rsidR="00B4395C">
        <w:t>así que será</w:t>
      </w:r>
      <w:r>
        <w:t xml:space="preserve"> sólo </w:t>
      </w:r>
      <w:r w:rsidR="00396D90">
        <w:t>abandonándolos</w:t>
      </w:r>
      <w:r>
        <w:t xml:space="preserve"> que </w:t>
      </w:r>
      <w:r w:rsidR="004921B4">
        <w:t xml:space="preserve">éste </w:t>
      </w:r>
      <w:r>
        <w:t>se alcanza</w:t>
      </w:r>
      <w:r w:rsidR="00396D90">
        <w:t>rá</w:t>
      </w:r>
      <w:r>
        <w:t>, así como la otra orilla sólo se alcanza</w:t>
      </w:r>
      <w:r w:rsidR="002F7619">
        <w:t>rá</w:t>
      </w:r>
      <w:r>
        <w:t xml:space="preserve"> </w:t>
      </w:r>
      <w:r w:rsidR="00396D90">
        <w:t xml:space="preserve">abandonando </w:t>
      </w:r>
      <w:r>
        <w:t xml:space="preserve">la orilla </w:t>
      </w:r>
      <w:r w:rsidR="006453EB">
        <w:t>presente</w:t>
      </w:r>
      <w:r>
        <w:t>. Por e</w:t>
      </w:r>
      <w:r w:rsidR="00396D90">
        <w:t>ll</w:t>
      </w:r>
      <w:r>
        <w:t xml:space="preserve">o se </w:t>
      </w:r>
      <w:r w:rsidR="002F7619">
        <w:t xml:space="preserve">menciona la palabra </w:t>
      </w:r>
      <w:r w:rsidR="00595925">
        <w:t>absolutidad</w:t>
      </w:r>
      <w:r>
        <w:t>.</w:t>
      </w:r>
    </w:p>
    <w:p w14:paraId="0B957B39" w14:textId="23A26014" w:rsidR="00831FB3" w:rsidRDefault="00831FB3" w:rsidP="00831FB3">
      <w:r>
        <w:t xml:space="preserve">82. </w:t>
      </w:r>
      <w:r>
        <w:tab/>
        <w:t>Aquí podría preguntarse: ¿Pero por qué se menciona esta palabra “</w:t>
      </w:r>
      <w:r w:rsidR="006453EB" w:rsidRPr="006453EB">
        <w:t>completamente</w:t>
      </w:r>
      <w:r>
        <w:t xml:space="preserve">” solo en la primera frase y no en la segunda? ¿Cómo es eso? ¿Podría él entrar y </w:t>
      </w:r>
      <w:r w:rsidR="002F7619">
        <w:t>habitar</w:t>
      </w:r>
      <w:r>
        <w:t xml:space="preserve"> en el primer </w:t>
      </w:r>
      <w:proofErr w:type="spellStart"/>
      <w:r w:rsidR="00057BF4" w:rsidRPr="00057BF4">
        <w:rPr>
          <w:i/>
          <w:iCs/>
        </w:rPr>
        <w:t>jhāna</w:t>
      </w:r>
      <w:proofErr w:type="spellEnd"/>
      <w:r>
        <w:t xml:space="preserve"> incluso cuando</w:t>
      </w:r>
      <w:r w:rsidR="002F7619">
        <w:t xml:space="preserve"> no esté apartado de cosas inútiles? —No debe considera</w:t>
      </w:r>
      <w:r w:rsidR="00186F16">
        <w:t>rse</w:t>
      </w:r>
      <w:r w:rsidR="002F7619">
        <w:t xml:space="preserve"> </w:t>
      </w:r>
      <w:r w:rsidR="0098380F">
        <w:t xml:space="preserve">esto </w:t>
      </w:r>
      <w:r w:rsidR="002F7619">
        <w:t xml:space="preserve">de esa </w:t>
      </w:r>
    </w:p>
    <w:p w14:paraId="77DC1249" w14:textId="77777777" w:rsidR="00831FB3" w:rsidRDefault="00831FB3" w:rsidP="00831FB3">
      <w:pPr>
        <w:pStyle w:val="PiedepginaLegal"/>
        <w:rPr>
          <w:u w:val="single"/>
        </w:rPr>
      </w:pPr>
      <w:r>
        <w:rPr>
          <w:u w:val="single"/>
        </w:rPr>
        <w:tab/>
      </w:r>
      <w:r>
        <w:rPr>
          <w:u w:val="single"/>
        </w:rPr>
        <w:tab/>
      </w:r>
      <w:r>
        <w:rPr>
          <w:u w:val="single"/>
        </w:rPr>
        <w:tab/>
      </w:r>
      <w:r>
        <w:rPr>
          <w:u w:val="single"/>
        </w:rPr>
        <w:tab/>
        <w:t>.</w:t>
      </w:r>
    </w:p>
    <w:p w14:paraId="25F5744D" w14:textId="4D7560AD" w:rsidR="004A2706" w:rsidRDefault="00831FB3" w:rsidP="00831FB3">
      <w:pPr>
        <w:pStyle w:val="PiedepginaLegal"/>
      </w:pPr>
      <w:r>
        <w:t xml:space="preserve">22. </w:t>
      </w:r>
      <w:r>
        <w:tab/>
        <w:t>“‘</w:t>
      </w:r>
      <w:r w:rsidRPr="00F572B8">
        <w:rPr>
          <w:i/>
          <w:iCs/>
        </w:rPr>
        <w:t>La extensión normal no se aplica’</w:t>
      </w:r>
      <w:r>
        <w:t xml:space="preserve"> aquí ‘</w:t>
      </w:r>
      <w:r w:rsidRPr="00F572B8">
        <w:rPr>
          <w:i/>
          <w:iCs/>
        </w:rPr>
        <w:t>en los siete casos’</w:t>
      </w:r>
      <w:r>
        <w:t xml:space="preserve"> debido a la </w:t>
      </w:r>
      <w:proofErr w:type="spellStart"/>
      <w:r>
        <w:t>i</w:t>
      </w:r>
      <w:r w:rsidR="00FB3C30">
        <w:t>n</w:t>
      </w:r>
      <w:r>
        <w:t>mensurabilidad</w:t>
      </w:r>
      <w:proofErr w:type="spellEnd"/>
      <w:r>
        <w:t xml:space="preserve"> del momento consciente en algunos y </w:t>
      </w:r>
      <w:r w:rsidR="0022003F">
        <w:t xml:space="preserve">a </w:t>
      </w:r>
      <w:r>
        <w:t>la extrema brevedad del momento</w:t>
      </w:r>
      <w:r w:rsidR="00A520CF">
        <w:t>,</w:t>
      </w:r>
      <w:r>
        <w:t xml:space="preserve"> en otros; pues ‘extensión’ es inaplicable aquí en el sentido de </w:t>
      </w:r>
      <w:r w:rsidR="00F572B8">
        <w:t xml:space="preserve">una </w:t>
      </w:r>
      <w:r>
        <w:t xml:space="preserve">serie cognitiva completa, razón por la cual se dice ‘en </w:t>
      </w:r>
      <w:r w:rsidR="000C3DB7">
        <w:t xml:space="preserve">la </w:t>
      </w:r>
      <w:r>
        <w:t xml:space="preserve">fruición </w:t>
      </w:r>
      <w:r w:rsidR="000C3DB7">
        <w:t>próxima a</w:t>
      </w:r>
      <w:r>
        <w:t xml:space="preserve">l </w:t>
      </w:r>
      <w:r w:rsidR="00142B95">
        <w:t>sendero</w:t>
      </w:r>
      <w:r>
        <w:t>, etc.” (</w:t>
      </w:r>
      <w:proofErr w:type="spellStart"/>
      <w:r>
        <w:t>Vism</w:t>
      </w:r>
      <w:proofErr w:type="spellEnd"/>
      <w:r>
        <w:t xml:space="preserve"> </w:t>
      </w:r>
      <w:proofErr w:type="spellStart"/>
      <w:r>
        <w:t>mhṭ</w:t>
      </w:r>
      <w:proofErr w:type="spellEnd"/>
      <w:r>
        <w:t xml:space="preserve"> 136).</w:t>
      </w:r>
    </w:p>
    <w:p w14:paraId="796E4EB2" w14:textId="77777777" w:rsidR="004A2706" w:rsidRDefault="004A2706">
      <w:pPr>
        <w:tabs>
          <w:tab w:val="clear" w:pos="425"/>
        </w:tabs>
        <w:spacing w:after="160"/>
      </w:pPr>
      <w:r>
        <w:br w:type="page"/>
      </w:r>
    </w:p>
    <w:p w14:paraId="3FB00AA8" w14:textId="77777777" w:rsidR="002D2A1E" w:rsidRDefault="002D2A1E" w:rsidP="007B086C"/>
    <w:p w14:paraId="59ACFC4F" w14:textId="53C22FC0" w:rsidR="007B086C" w:rsidRDefault="002F7619" w:rsidP="007B086C">
      <w:r>
        <w:t>manera</w:t>
      </w:r>
      <w:r w:rsidR="007B086C">
        <w:t xml:space="preserve">. Se menciona en la primera frase como el escape de ellos; porque este </w:t>
      </w:r>
      <w:proofErr w:type="spellStart"/>
      <w:r w:rsidR="00057BF4" w:rsidRPr="00057BF4">
        <w:rPr>
          <w:i/>
          <w:iCs/>
        </w:rPr>
        <w:t>jhāna</w:t>
      </w:r>
      <w:proofErr w:type="spellEnd"/>
      <w:r w:rsidR="007B086C">
        <w:t xml:space="preserve"> es el escape de </w:t>
      </w:r>
      <w:r w:rsidR="005179C4" w:rsidRPr="005877E1">
        <w:t xml:space="preserve">los deseos </w:t>
      </w:r>
      <w:r w:rsidR="007422F8">
        <w:t>senso</w:t>
      </w:r>
      <w:r w:rsidR="00A42C52">
        <w:t>riales</w:t>
      </w:r>
      <w:r w:rsidR="007B086C">
        <w:t xml:space="preserve"> ya que supera </w:t>
      </w:r>
      <w:r>
        <w:t>a</w:t>
      </w:r>
      <w:r w:rsidR="007B086C">
        <w:t>l elemento de</w:t>
      </w:r>
      <w:r w:rsidR="005179C4">
        <w:t xml:space="preserve"> </w:t>
      </w:r>
      <w:r w:rsidR="005179C4" w:rsidRPr="005877E1">
        <w:t xml:space="preserve">los deseos </w:t>
      </w:r>
      <w:r w:rsidR="00A42C52">
        <w:t xml:space="preserve">sensoriales </w:t>
      </w:r>
      <w:r w:rsidR="007B086C">
        <w:t xml:space="preserve">y ya que es incompatible con la codicia </w:t>
      </w:r>
      <w:r w:rsidR="00A42C52">
        <w:t xml:space="preserve">hacia </w:t>
      </w:r>
      <w:r w:rsidR="005179C4" w:rsidRPr="005877E1">
        <w:t xml:space="preserve">los deseos </w:t>
      </w:r>
      <w:r w:rsidR="00A42C52">
        <w:t>sensoriales</w:t>
      </w:r>
      <w:r w:rsidR="007B086C">
        <w:t xml:space="preserve">, </w:t>
      </w:r>
      <w:r w:rsidR="006453EB">
        <w:t xml:space="preserve">tal como </w:t>
      </w:r>
      <w:r w:rsidR="000C3DB7">
        <w:t>se dice en este pasaje</w:t>
      </w:r>
      <w:r w:rsidR="007B086C">
        <w:t>: “El escape de</w:t>
      </w:r>
      <w:r w:rsidR="005179C4" w:rsidRPr="005179C4">
        <w:t xml:space="preserve"> </w:t>
      </w:r>
      <w:r w:rsidR="005179C4" w:rsidRPr="005877E1">
        <w:t xml:space="preserve">los deseos </w:t>
      </w:r>
      <w:r w:rsidR="007831DD">
        <w:t xml:space="preserve">sensoriales </w:t>
      </w:r>
      <w:r w:rsidR="007B086C">
        <w:t xml:space="preserve">es </w:t>
      </w:r>
      <w:r w:rsidR="00686F6A">
        <w:t>lo siguiente:</w:t>
      </w:r>
      <w:r w:rsidR="007B086C">
        <w:t xml:space="preserve"> la renunciación”. (D III 275). Pero en la segunda frase [140] la palabra </w:t>
      </w:r>
      <w:proofErr w:type="spellStart"/>
      <w:r w:rsidR="007B086C" w:rsidRPr="007E166F">
        <w:rPr>
          <w:i/>
          <w:iCs/>
        </w:rPr>
        <w:t>eva</w:t>
      </w:r>
      <w:proofErr w:type="spellEnd"/>
      <w:r w:rsidR="007B086C">
        <w:t xml:space="preserve"> debe ser aducida y tomada </w:t>
      </w:r>
      <w:r w:rsidR="00686F6A">
        <w:t xml:space="preserve">tal </w:t>
      </w:r>
      <w:r w:rsidR="007B086C">
        <w:t xml:space="preserve">como </w:t>
      </w:r>
      <w:r w:rsidR="00686F6A">
        <w:t xml:space="preserve">se dice </w:t>
      </w:r>
      <w:r w:rsidR="007B086C">
        <w:t>en el pasaje, “</w:t>
      </w:r>
      <w:proofErr w:type="spellStart"/>
      <w:r w:rsidR="00057BF4" w:rsidRPr="00057BF4">
        <w:rPr>
          <w:i/>
          <w:iCs/>
        </w:rPr>
        <w:t>Bhikkhu</w:t>
      </w:r>
      <w:r w:rsidR="007B086C" w:rsidRPr="007E166F">
        <w:rPr>
          <w:i/>
          <w:iCs/>
        </w:rPr>
        <w:t>s</w:t>
      </w:r>
      <w:proofErr w:type="spellEnd"/>
      <w:r w:rsidR="007B086C">
        <w:t>, solo (</w:t>
      </w:r>
      <w:proofErr w:type="spellStart"/>
      <w:r w:rsidR="007B086C" w:rsidRPr="007E166F">
        <w:rPr>
          <w:i/>
          <w:iCs/>
        </w:rPr>
        <w:t>eva</w:t>
      </w:r>
      <w:proofErr w:type="spellEnd"/>
      <w:r w:rsidR="007B086C">
        <w:t xml:space="preserve">) aquí </w:t>
      </w:r>
      <w:r w:rsidR="00686F6A">
        <w:t>se encuentra</w:t>
      </w:r>
      <w:r w:rsidR="007B086C">
        <w:t xml:space="preserve"> </w:t>
      </w:r>
      <w:r w:rsidR="00686F6A">
        <w:t xml:space="preserve">el primer </w:t>
      </w:r>
      <w:r w:rsidR="007B086C">
        <w:t xml:space="preserve">asceta, aquí </w:t>
      </w:r>
      <w:r w:rsidR="00686F6A">
        <w:t xml:space="preserve">el </w:t>
      </w:r>
      <w:r w:rsidR="007B086C">
        <w:t>segundo asceta</w:t>
      </w:r>
      <w:r w:rsidR="000C3DB7">
        <w:t>…</w:t>
      </w:r>
      <w:r w:rsidR="007B086C">
        <w:t xml:space="preserve">” (M I 63). </w:t>
      </w:r>
      <w:r w:rsidR="00686F6A">
        <w:t xml:space="preserve">Ya </w:t>
      </w:r>
      <w:r w:rsidR="007B086C">
        <w:t xml:space="preserve">que es imposible entrar y </w:t>
      </w:r>
      <w:r w:rsidR="009C78FB">
        <w:t xml:space="preserve">habitar </w:t>
      </w:r>
      <w:r w:rsidR="007B086C">
        <w:t xml:space="preserve">en </w:t>
      </w:r>
      <w:r w:rsidR="009C78FB">
        <w:t xml:space="preserve">el </w:t>
      </w:r>
      <w:proofErr w:type="spellStart"/>
      <w:r w:rsidR="00057BF4" w:rsidRPr="00057BF4">
        <w:rPr>
          <w:i/>
          <w:iCs/>
        </w:rPr>
        <w:t>jhāna</w:t>
      </w:r>
      <w:proofErr w:type="spellEnd"/>
      <w:r w:rsidR="007B086C">
        <w:t xml:space="preserve"> sin apartarse también de las cosas inútiles, en otras palabras, </w:t>
      </w:r>
      <w:r w:rsidR="00686F6A">
        <w:t xml:space="preserve">de </w:t>
      </w:r>
      <w:r w:rsidR="007B086C">
        <w:t>los obstáculos que no sean es</w:t>
      </w:r>
      <w:r w:rsidR="005179C4">
        <w:t>os</w:t>
      </w:r>
      <w:r w:rsidR="007B086C">
        <w:t xml:space="preserve"> </w:t>
      </w:r>
      <w:r w:rsidR="005179C4" w:rsidRPr="005877E1">
        <w:t xml:space="preserve">deseos </w:t>
      </w:r>
      <w:r w:rsidR="007831DD">
        <w:t>sensoriales</w:t>
      </w:r>
      <w:r w:rsidR="007B086C">
        <w:t xml:space="preserve">. Así que esta palabra debe leerse en ambas frases </w:t>
      </w:r>
      <w:r w:rsidR="000C3DB7">
        <w:t>de la siguiente manera</w:t>
      </w:r>
      <w:r w:rsidR="007B086C">
        <w:t>: “</w:t>
      </w:r>
      <w:r w:rsidR="00686F6A" w:rsidRPr="00686F6A">
        <w:t xml:space="preserve">completamente </w:t>
      </w:r>
      <w:r w:rsidR="007B086C">
        <w:t>apartad</w:t>
      </w:r>
      <w:r w:rsidR="009C78FB">
        <w:t>o</w:t>
      </w:r>
      <w:r w:rsidR="007B086C">
        <w:t xml:space="preserve"> de los deseos </w:t>
      </w:r>
      <w:r w:rsidR="007831DD">
        <w:t>sensoriales</w:t>
      </w:r>
      <w:r w:rsidR="007B086C">
        <w:t xml:space="preserve">, </w:t>
      </w:r>
      <w:r w:rsidR="00686F6A" w:rsidRPr="00686F6A">
        <w:t xml:space="preserve">completamente </w:t>
      </w:r>
      <w:r w:rsidR="007B086C">
        <w:t>apartad</w:t>
      </w:r>
      <w:r w:rsidR="009C78FB">
        <w:t>o</w:t>
      </w:r>
      <w:r w:rsidR="007B086C">
        <w:t xml:space="preserve"> de las cosas inútiles”. Y aunque la palabra "</w:t>
      </w:r>
      <w:r w:rsidR="000C3DB7">
        <w:t>apartado</w:t>
      </w:r>
      <w:r w:rsidR="007B086C">
        <w:t xml:space="preserve">" como término general incluye todo tipo de </w:t>
      </w:r>
      <w:r w:rsidR="00E501C1">
        <w:t>“</w:t>
      </w:r>
      <w:r w:rsidR="007B086C">
        <w:t>reclusión</w:t>
      </w:r>
      <w:r w:rsidR="00E501C1">
        <w:t>”</w:t>
      </w:r>
      <w:r w:rsidR="007B086C">
        <w:t xml:space="preserve">, es decir, reclusión por sustitución de </w:t>
      </w:r>
      <w:r w:rsidR="000F738B">
        <w:t xml:space="preserve">sus </w:t>
      </w:r>
      <w:r w:rsidR="007B086C">
        <w:t>opuestos, etc., y reclusión corporal, etc.,</w:t>
      </w:r>
      <w:r w:rsidR="007B086C" w:rsidRPr="009E35D5">
        <w:rPr>
          <w:vertAlign w:val="superscript"/>
        </w:rPr>
        <w:t>23</w:t>
      </w:r>
      <w:r w:rsidR="007B086C">
        <w:t xml:space="preserve"> </w:t>
      </w:r>
      <w:proofErr w:type="spellStart"/>
      <w:r w:rsidR="00835313">
        <w:t>aún</w:t>
      </w:r>
      <w:proofErr w:type="spellEnd"/>
      <w:r w:rsidR="00835313">
        <w:t xml:space="preserve"> así</w:t>
      </w:r>
      <w:r w:rsidR="00E501C1">
        <w:t>,</w:t>
      </w:r>
      <w:r w:rsidR="007B086C">
        <w:t xml:space="preserve"> sólo </w:t>
      </w:r>
      <w:r w:rsidR="00E501C1">
        <w:t>estos</w:t>
      </w:r>
      <w:r w:rsidR="007B086C">
        <w:t xml:space="preserve"> tres, </w:t>
      </w:r>
      <w:r w:rsidR="009C78FB">
        <w:t>es decir</w:t>
      </w:r>
      <w:r w:rsidR="007B086C">
        <w:t xml:space="preserve">, </w:t>
      </w:r>
      <w:r w:rsidR="009C78FB">
        <w:t xml:space="preserve">la </w:t>
      </w:r>
      <w:r w:rsidR="007B086C">
        <w:t xml:space="preserve">reclusión corporal, </w:t>
      </w:r>
      <w:r w:rsidR="009C78FB">
        <w:t xml:space="preserve">la </w:t>
      </w:r>
      <w:r w:rsidR="007B086C">
        <w:t>reclusión mental y la reclusión por supresión (suspensión) deben considerarse aquí.</w:t>
      </w:r>
    </w:p>
    <w:p w14:paraId="5C5848AD" w14:textId="41512F68" w:rsidR="007B086C" w:rsidRDefault="007B086C" w:rsidP="007B086C">
      <w:r>
        <w:t xml:space="preserve">83. </w:t>
      </w:r>
      <w:r w:rsidR="00761371">
        <w:tab/>
      </w:r>
      <w:r>
        <w:t>Pero este término “deseo</w:t>
      </w:r>
      <w:r w:rsidR="005179C4">
        <w:t>s</w:t>
      </w:r>
      <w:r>
        <w:t xml:space="preserve"> </w:t>
      </w:r>
      <w:r w:rsidR="007831DD">
        <w:t>sensoriales</w:t>
      </w:r>
      <w:r>
        <w:t xml:space="preserve">” debe considerarse como </w:t>
      </w:r>
      <w:r w:rsidR="00E501C1">
        <w:t>si</w:t>
      </w:r>
      <w:r>
        <w:t xml:space="preserve"> incluye</w:t>
      </w:r>
      <w:r w:rsidR="00E501C1">
        <w:t>se</w:t>
      </w:r>
      <w:r>
        <w:t xml:space="preserve"> </w:t>
      </w:r>
      <w:r w:rsidR="00D21372">
        <w:t xml:space="preserve">a </w:t>
      </w:r>
      <w:r>
        <w:t xml:space="preserve">todos los tipos, es decir, </w:t>
      </w:r>
      <w:r w:rsidR="00D21372">
        <w:t>a</w:t>
      </w:r>
      <w:r w:rsidR="005179C4">
        <w:t xml:space="preserve"> </w:t>
      </w:r>
      <w:r w:rsidR="005179C4" w:rsidRPr="005877E1">
        <w:t>los deseos</w:t>
      </w:r>
      <w:r>
        <w:t xml:space="preserve"> </w:t>
      </w:r>
      <w:r w:rsidR="007831DD">
        <w:t xml:space="preserve">sensoriales </w:t>
      </w:r>
      <w:r>
        <w:t xml:space="preserve">como objeto </w:t>
      </w:r>
      <w:r w:rsidR="00087EE7">
        <w:t xml:space="preserve">tal </w:t>
      </w:r>
      <w:r>
        <w:t xml:space="preserve">como se da en </w:t>
      </w:r>
      <w:r w:rsidR="00761371">
        <w:t xml:space="preserve">el </w:t>
      </w:r>
      <w:proofErr w:type="spellStart"/>
      <w:r w:rsidRPr="007E166F">
        <w:rPr>
          <w:i/>
          <w:iCs/>
        </w:rPr>
        <w:t>Niddesa</w:t>
      </w:r>
      <w:proofErr w:type="spellEnd"/>
      <w:r>
        <w:t xml:space="preserve"> en el pasaje que comienza</w:t>
      </w:r>
      <w:r w:rsidR="00761371">
        <w:t xml:space="preserve"> con</w:t>
      </w:r>
      <w:r>
        <w:t xml:space="preserve">, “¿Qué </w:t>
      </w:r>
      <w:r w:rsidR="005179C4">
        <w:t xml:space="preserve">son </w:t>
      </w:r>
      <w:r w:rsidR="005179C4" w:rsidRPr="005877E1">
        <w:t>los deseos</w:t>
      </w:r>
      <w:r>
        <w:t xml:space="preserve"> </w:t>
      </w:r>
      <w:r w:rsidR="007831DD">
        <w:t xml:space="preserve">sensoriales </w:t>
      </w:r>
      <w:r>
        <w:t>como objeto? Son objetos visibles agradables…” (</w:t>
      </w:r>
      <w:proofErr w:type="spellStart"/>
      <w:r>
        <w:t>Nidd</w:t>
      </w:r>
      <w:proofErr w:type="spellEnd"/>
      <w:r>
        <w:t xml:space="preserve"> I 1), y </w:t>
      </w:r>
      <w:r w:rsidR="00D21372">
        <w:t>a</w:t>
      </w:r>
      <w:r w:rsidR="005179C4">
        <w:t xml:space="preserve"> </w:t>
      </w:r>
      <w:r w:rsidR="005179C4" w:rsidRPr="005877E1">
        <w:t xml:space="preserve">los </w:t>
      </w:r>
      <w:r w:rsidR="007831DD">
        <w:t>deseos sensoriales</w:t>
      </w:r>
      <w:r>
        <w:t xml:space="preserve"> como </w:t>
      </w:r>
      <w:r w:rsidR="00BE539C">
        <w:t>contaminación</w:t>
      </w:r>
      <w:r>
        <w:t xml:space="preserve"> </w:t>
      </w:r>
      <w:r w:rsidR="00087EE7">
        <w:t xml:space="preserve">tal como </w:t>
      </w:r>
      <w:r>
        <w:t xml:space="preserve">se dan allí también y en el </w:t>
      </w:r>
      <w:proofErr w:type="spellStart"/>
      <w:r w:rsidRPr="007E166F">
        <w:rPr>
          <w:i/>
          <w:iCs/>
        </w:rPr>
        <w:t>Vibhaṅga</w:t>
      </w:r>
      <w:proofErr w:type="spellEnd"/>
      <w:r>
        <w:t xml:space="preserve"> </w:t>
      </w:r>
      <w:r w:rsidR="00087EE7">
        <w:t>de la siguiente manera</w:t>
      </w:r>
      <w:r>
        <w:t>: “El celo como deseo de los sentidos (</w:t>
      </w:r>
      <w:proofErr w:type="spellStart"/>
      <w:r w:rsidRPr="007E166F">
        <w:rPr>
          <w:i/>
          <w:iCs/>
        </w:rPr>
        <w:t>kāma</w:t>
      </w:r>
      <w:proofErr w:type="spellEnd"/>
      <w:r>
        <w:t>), la codicia como deseo de los sentidos, el celo y la codicia como deseo de los sentidos, el pensamiento como deseo de los sentidos, la codicia como deseo de los sentidos, el pensamiento y la codicia como deseo de los sentidos”</w:t>
      </w:r>
      <w:r w:rsidR="005B06E2">
        <w:t>.</w:t>
      </w:r>
      <w:r w:rsidRPr="009E35D5">
        <w:rPr>
          <w:vertAlign w:val="superscript"/>
        </w:rPr>
        <w:t>24</w:t>
      </w:r>
      <w:r>
        <w:t xml:space="preserve"> (</w:t>
      </w:r>
      <w:proofErr w:type="spellStart"/>
      <w:r>
        <w:t>Nidd</w:t>
      </w:r>
      <w:proofErr w:type="spellEnd"/>
      <w:r>
        <w:t xml:space="preserve"> I 2; </w:t>
      </w:r>
      <w:proofErr w:type="spellStart"/>
      <w:r>
        <w:t>Vibh</w:t>
      </w:r>
      <w:proofErr w:type="spellEnd"/>
      <w:r>
        <w:t xml:space="preserve"> 256). Siendo así, las palabras “completamente </w:t>
      </w:r>
      <w:r w:rsidR="00666B42">
        <w:t>apartado</w:t>
      </w:r>
      <w:r>
        <w:t xml:space="preserve"> de</w:t>
      </w:r>
      <w:r w:rsidR="005179C4">
        <w:t xml:space="preserve"> </w:t>
      </w:r>
      <w:r w:rsidR="005179C4" w:rsidRPr="005877E1">
        <w:t xml:space="preserve">los </w:t>
      </w:r>
      <w:r w:rsidR="007831DD">
        <w:t>deseos sensoriales</w:t>
      </w:r>
      <w:r>
        <w:t xml:space="preserve">” propiamente significan “completamente </w:t>
      </w:r>
      <w:r w:rsidR="00666B42">
        <w:t>apartado</w:t>
      </w:r>
      <w:r>
        <w:t xml:space="preserve"> de</w:t>
      </w:r>
      <w:r w:rsidR="005179C4">
        <w:t xml:space="preserve"> </w:t>
      </w:r>
      <w:r w:rsidR="005179C4" w:rsidRPr="005877E1">
        <w:t xml:space="preserve">los </w:t>
      </w:r>
      <w:r w:rsidR="007831DD">
        <w:t>deseos sensoriales</w:t>
      </w:r>
      <w:r>
        <w:t xml:space="preserve"> como objeto”, y expresan reclusión corporal, mientras que las palabras “</w:t>
      </w:r>
      <w:r w:rsidR="00666B42">
        <w:t>apartado</w:t>
      </w:r>
      <w:r>
        <w:t xml:space="preserve"> de las cosas inútiles” significan propiamente “</w:t>
      </w:r>
      <w:r w:rsidR="00666B42">
        <w:t>apartado</w:t>
      </w:r>
      <w:r>
        <w:t xml:space="preserve"> de</w:t>
      </w:r>
      <w:r w:rsidR="005179C4">
        <w:t xml:space="preserve"> </w:t>
      </w:r>
      <w:r w:rsidR="005179C4" w:rsidRPr="005877E1">
        <w:t xml:space="preserve">los </w:t>
      </w:r>
      <w:r w:rsidR="007831DD">
        <w:t>deseos sensoriales</w:t>
      </w:r>
      <w:r>
        <w:t xml:space="preserve"> como contaminación o de todas las cosas inútiles”, y expresan reclusión mental. Y en este caso, el abandono del placer </w:t>
      </w:r>
      <w:r w:rsidR="00666B42">
        <w:t>de</w:t>
      </w:r>
      <w:r>
        <w:t xml:space="preserve"> </w:t>
      </w:r>
      <w:r w:rsidR="005179C4" w:rsidRPr="005877E1">
        <w:t xml:space="preserve">los </w:t>
      </w:r>
      <w:r w:rsidR="007831DD">
        <w:t>deseos sensoriales</w:t>
      </w:r>
      <w:r>
        <w:t xml:space="preserve"> está indicado por el primero, ya que solo expresa la reclusión de </w:t>
      </w:r>
      <w:r w:rsidR="005179C4" w:rsidRPr="005877E1">
        <w:t xml:space="preserve">los </w:t>
      </w:r>
      <w:r w:rsidR="007831DD">
        <w:t>deseos sensoriales</w:t>
      </w:r>
      <w:r>
        <w:t xml:space="preserve"> como objeto, mientras que la adquisición del placer en la renuncia</w:t>
      </w:r>
      <w:r w:rsidR="00BF145C">
        <w:t>ción</w:t>
      </w:r>
      <w:r>
        <w:t xml:space="preserve"> está indicada por el segundo, ya que expresa la reclusión de </w:t>
      </w:r>
      <w:r w:rsidR="005179C4" w:rsidRPr="005877E1">
        <w:t xml:space="preserve">los deseos </w:t>
      </w:r>
      <w:r w:rsidR="00244310">
        <w:t>sensoriales</w:t>
      </w:r>
      <w:r>
        <w:t xml:space="preserve"> como </w:t>
      </w:r>
      <w:r w:rsidR="006D2741">
        <w:t>impurezas</w:t>
      </w:r>
      <w:r>
        <w:t>.</w:t>
      </w:r>
    </w:p>
    <w:p w14:paraId="54712929" w14:textId="77777777" w:rsidR="007B086C" w:rsidRDefault="007B086C" w:rsidP="007B086C">
      <w:pPr>
        <w:pStyle w:val="PiedepginaLegal"/>
        <w:rPr>
          <w:u w:val="single"/>
        </w:rPr>
      </w:pPr>
      <w:r>
        <w:rPr>
          <w:u w:val="single"/>
        </w:rPr>
        <w:tab/>
      </w:r>
      <w:r>
        <w:rPr>
          <w:u w:val="single"/>
        </w:rPr>
        <w:tab/>
      </w:r>
      <w:r>
        <w:rPr>
          <w:u w:val="single"/>
        </w:rPr>
        <w:tab/>
      </w:r>
      <w:r>
        <w:rPr>
          <w:u w:val="single"/>
        </w:rPr>
        <w:tab/>
        <w:t>.</w:t>
      </w:r>
    </w:p>
    <w:p w14:paraId="7CC18B23" w14:textId="4DA716F4" w:rsidR="007B086C" w:rsidRDefault="007B086C" w:rsidP="007B086C">
      <w:pPr>
        <w:pStyle w:val="PiedepginaLegal"/>
      </w:pPr>
      <w:r>
        <w:t xml:space="preserve">23. </w:t>
      </w:r>
      <w:r w:rsidR="00F572B8">
        <w:tab/>
      </w:r>
      <w:proofErr w:type="gramStart"/>
      <w:r>
        <w:t xml:space="preserve">Los cinco </w:t>
      </w:r>
      <w:r w:rsidR="00FF3A6E">
        <w:t>tipo</w:t>
      </w:r>
      <w:proofErr w:type="gramEnd"/>
      <w:r w:rsidR="00FF3A6E">
        <w:t xml:space="preserve"> de reclusión </w:t>
      </w:r>
      <w:r>
        <w:t xml:space="preserve">(ver, por ejemplo, </w:t>
      </w:r>
      <w:proofErr w:type="spellStart"/>
      <w:r w:rsidRPr="00FF3A6E">
        <w:rPr>
          <w:i/>
          <w:iCs/>
        </w:rPr>
        <w:t>Paṭis</w:t>
      </w:r>
      <w:proofErr w:type="spellEnd"/>
      <w:r>
        <w:t xml:space="preserve"> II 220; M-a I 85) </w:t>
      </w:r>
      <w:r w:rsidR="008E5844">
        <w:t>se dan</w:t>
      </w:r>
      <w:r>
        <w:t xml:space="preserve"> </w:t>
      </w:r>
      <w:r w:rsidR="00FF3A6E">
        <w:t xml:space="preserve">mediante </w:t>
      </w:r>
      <w:r w:rsidR="008E5844">
        <w:t xml:space="preserve">la </w:t>
      </w:r>
      <w:r>
        <w:t>supresión (</w:t>
      </w:r>
      <w:r w:rsidR="00025E65">
        <w:t xml:space="preserve">a través de la </w:t>
      </w:r>
      <w:r>
        <w:t xml:space="preserve">concentración), </w:t>
      </w:r>
      <w:r w:rsidR="00025E65">
        <w:t xml:space="preserve">mediante </w:t>
      </w:r>
      <w:r w:rsidR="008E5844">
        <w:t xml:space="preserve">la </w:t>
      </w:r>
      <w:r>
        <w:t xml:space="preserve">sustitución de </w:t>
      </w:r>
      <w:r w:rsidR="00025E65">
        <w:t xml:space="preserve">sus </w:t>
      </w:r>
      <w:r>
        <w:t>opuestos (</w:t>
      </w:r>
      <w:r w:rsidR="00025E65">
        <w:t xml:space="preserve">a través de la </w:t>
      </w:r>
      <w:r>
        <w:t xml:space="preserve">percepción), </w:t>
      </w:r>
      <w:r w:rsidR="00FF3A6E">
        <w:t xml:space="preserve">mediante </w:t>
      </w:r>
      <w:r w:rsidR="008E5844">
        <w:t xml:space="preserve">la </w:t>
      </w:r>
      <w:r w:rsidR="00F572B8">
        <w:t>erradicación</w:t>
      </w:r>
      <w:r>
        <w:t xml:space="preserve"> (</w:t>
      </w:r>
      <w:r w:rsidR="00025E65">
        <w:t>a través d</w:t>
      </w:r>
      <w:r>
        <w:t xml:space="preserve">el </w:t>
      </w:r>
      <w:r w:rsidR="00F572B8">
        <w:t>sendero</w:t>
      </w:r>
      <w:r>
        <w:t xml:space="preserve">), </w:t>
      </w:r>
      <w:r w:rsidR="00FF3A6E">
        <w:t xml:space="preserve">mediante </w:t>
      </w:r>
      <w:r w:rsidR="00025E65">
        <w:t xml:space="preserve">la </w:t>
      </w:r>
      <w:r>
        <w:t>tranquilización (</w:t>
      </w:r>
      <w:r w:rsidR="00025E65">
        <w:t xml:space="preserve">a través de la </w:t>
      </w:r>
      <w:r>
        <w:t xml:space="preserve">fruición) y </w:t>
      </w:r>
      <w:r w:rsidR="00025E65">
        <w:t xml:space="preserve">el </w:t>
      </w:r>
      <w:r>
        <w:t>escape (</w:t>
      </w:r>
      <w:r w:rsidR="00EC6FCD">
        <w:t xml:space="preserve">a través del </w:t>
      </w:r>
      <w:r w:rsidRPr="00F572B8">
        <w:rPr>
          <w:i/>
          <w:iCs/>
        </w:rPr>
        <w:t>Nibbāna</w:t>
      </w:r>
      <w:r>
        <w:t xml:space="preserve">); cf. cinco tipos de liberación (por ejemplo, M-a IV 168). Los </w:t>
      </w:r>
      <w:r w:rsidRPr="005B06E2">
        <w:rPr>
          <w:i/>
          <w:iCs/>
        </w:rPr>
        <w:t>tres</w:t>
      </w:r>
      <w:r>
        <w:t xml:space="preserve"> (ver, por ejemplo, </w:t>
      </w:r>
      <w:proofErr w:type="spellStart"/>
      <w:r>
        <w:t>Nidd</w:t>
      </w:r>
      <w:proofErr w:type="spellEnd"/>
      <w:r>
        <w:t xml:space="preserve"> I 26; M-a II 143) son reclusión corporal (retiro), reclusión mental (</w:t>
      </w:r>
      <w:proofErr w:type="spellStart"/>
      <w:r w:rsidR="00057BF4" w:rsidRPr="00057BF4">
        <w:rPr>
          <w:i/>
          <w:iCs/>
        </w:rPr>
        <w:t>jhāna</w:t>
      </w:r>
      <w:proofErr w:type="spellEnd"/>
      <w:r>
        <w:t>) y reclusión de la sustancia o circunstancias del devenir (</w:t>
      </w:r>
      <w:r w:rsidRPr="00F572B8">
        <w:rPr>
          <w:i/>
          <w:iCs/>
        </w:rPr>
        <w:t>Nibbāna</w:t>
      </w:r>
      <w:r>
        <w:t>).</w:t>
      </w:r>
    </w:p>
    <w:p w14:paraId="4BE5CE9E" w14:textId="18429D15" w:rsidR="007B086C" w:rsidRDefault="007B086C" w:rsidP="007B086C">
      <w:pPr>
        <w:pStyle w:val="PiedepginaLegal"/>
      </w:pPr>
      <w:r>
        <w:t xml:space="preserve"> 24. Aquí </w:t>
      </w:r>
      <w:r w:rsidRPr="007E166F">
        <w:rPr>
          <w:i/>
          <w:iCs/>
        </w:rPr>
        <w:t>saṅkappa</w:t>
      </w:r>
      <w:r>
        <w:t xml:space="preserve"> ("pensar") tiene el significado de "</w:t>
      </w:r>
      <w:r w:rsidR="00596165">
        <w:t>desear</w:t>
      </w:r>
      <w:r>
        <w:t xml:space="preserve">". </w:t>
      </w:r>
      <w:r w:rsidRPr="007E166F">
        <w:rPr>
          <w:i/>
          <w:iCs/>
        </w:rPr>
        <w:t>Chanda</w:t>
      </w:r>
      <w:r>
        <w:t xml:space="preserve">, </w:t>
      </w:r>
      <w:proofErr w:type="spellStart"/>
      <w:r w:rsidRPr="007E166F">
        <w:rPr>
          <w:i/>
          <w:iCs/>
        </w:rPr>
        <w:t>kāma</w:t>
      </w:r>
      <w:proofErr w:type="spellEnd"/>
      <w:r>
        <w:t xml:space="preserve"> y </w:t>
      </w:r>
      <w:r w:rsidRPr="007E166F">
        <w:rPr>
          <w:i/>
          <w:iCs/>
        </w:rPr>
        <w:t>rāga</w:t>
      </w:r>
      <w:r>
        <w:t xml:space="preserve"> y sus combinaciones deben resolverse. </w:t>
      </w:r>
      <w:r w:rsidRPr="00F572B8">
        <w:rPr>
          <w:i/>
          <w:iCs/>
        </w:rPr>
        <w:t>Chanda</w:t>
      </w:r>
      <w:r>
        <w:t xml:space="preserve"> (celo, deseo) se usa mucho, es de color neutro, bueno o malo</w:t>
      </w:r>
      <w:r w:rsidR="00596165">
        <w:t>,</w:t>
      </w:r>
      <w:r>
        <w:t xml:space="preserve"> según el contexto y se glosa como "deseo de actuar"; técnicamente</w:t>
      </w:r>
      <w:r w:rsidR="00596165">
        <w:t>,</w:t>
      </w:r>
      <w:r>
        <w:t xml:space="preserve"> también uno de los cuatro </w:t>
      </w:r>
      <w:r w:rsidR="00F572B8">
        <w:t>senderos</w:t>
      </w:r>
      <w:r>
        <w:t xml:space="preserve"> hacia el poder y los cuatro predominios. </w:t>
      </w:r>
      <w:proofErr w:type="spellStart"/>
      <w:r w:rsidRPr="007E166F">
        <w:rPr>
          <w:i/>
          <w:iCs/>
        </w:rPr>
        <w:t>Kāma</w:t>
      </w:r>
      <w:proofErr w:type="spellEnd"/>
      <w:r>
        <w:t xml:space="preserve"> (deseo </w:t>
      </w:r>
      <w:r w:rsidR="000466CB">
        <w:t>sensorial</w:t>
      </w:r>
      <w:r>
        <w:t xml:space="preserve">, </w:t>
      </w:r>
      <w:r w:rsidR="00B32088">
        <w:t xml:space="preserve">de la </w:t>
      </w:r>
      <w:r>
        <w:t xml:space="preserve">sensualidad) representa vagamente el disfrute de los </w:t>
      </w:r>
      <w:r w:rsidR="000466CB">
        <w:t xml:space="preserve">5 </w:t>
      </w:r>
      <w:r>
        <w:t xml:space="preserve">placeres </w:t>
      </w:r>
      <w:r w:rsidR="000466CB">
        <w:t xml:space="preserve">sensoriales </w:t>
      </w:r>
      <w:r>
        <w:t xml:space="preserve">(por ejemplo, la esfera del deseo </w:t>
      </w:r>
      <w:r w:rsidR="007850CD">
        <w:t>sensorial</w:t>
      </w:r>
      <w:r>
        <w:t>). Más estrictamente</w:t>
      </w:r>
      <w:r w:rsidR="007850CD">
        <w:t>,</w:t>
      </w:r>
      <w:r>
        <w:t xml:space="preserve"> se refiere al disfrute sexual (tercero de los Cinco Preceptos). Distinguido como </w:t>
      </w:r>
      <w:r w:rsidR="00AF3B45">
        <w:t xml:space="preserve">un </w:t>
      </w:r>
      <w:r>
        <w:t>deseo subjetivo (contaminación) y cosas objetivas que lo suscit</w:t>
      </w:r>
      <w:r w:rsidR="006A4610">
        <w:t>e</w:t>
      </w:r>
      <w:r>
        <w:t>n (</w:t>
      </w:r>
      <w:proofErr w:type="spellStart"/>
      <w:r>
        <w:t>Nidd</w:t>
      </w:r>
      <w:proofErr w:type="spellEnd"/>
      <w:r>
        <w:t xml:space="preserve"> I 1; cf. Ch. XIV, n.36). La figura “</w:t>
      </w:r>
      <w:r w:rsidR="006A4610">
        <w:t xml:space="preserve">las </w:t>
      </w:r>
      <w:r>
        <w:t xml:space="preserve">cinco cuerdas </w:t>
      </w:r>
      <w:proofErr w:type="gramStart"/>
      <w:r>
        <w:t>de</w:t>
      </w:r>
      <w:r w:rsidR="00F572B8">
        <w:t>l</w:t>
      </w:r>
      <w:r>
        <w:t xml:space="preserve"> deseo</w:t>
      </w:r>
      <w:r w:rsidR="00E74EC8">
        <w:t>s</w:t>
      </w:r>
      <w:r>
        <w:t xml:space="preserve"> </w:t>
      </w:r>
      <w:r w:rsidR="00785B27">
        <w:t>sensoriales</w:t>
      </w:r>
      <w:proofErr w:type="gramEnd"/>
      <w:r>
        <w:t xml:space="preserve">” significa simplemente estos deseos con </w:t>
      </w:r>
      <w:r w:rsidR="00744D9E">
        <w:t>sus</w:t>
      </w:r>
      <w:r>
        <w:t xml:space="preserve"> cinco objetos </w:t>
      </w:r>
      <w:r w:rsidR="00744D9E">
        <w:t xml:space="preserve">sensoriales </w:t>
      </w:r>
      <w:r>
        <w:t>que los atra</w:t>
      </w:r>
      <w:r w:rsidR="00744D9E">
        <w:t>e</w:t>
      </w:r>
      <w:r>
        <w:t xml:space="preserve">n. </w:t>
      </w:r>
      <w:r w:rsidRPr="00F572B8">
        <w:rPr>
          <w:i/>
          <w:iCs/>
        </w:rPr>
        <w:t>Rāga</w:t>
      </w:r>
      <w:r>
        <w:t xml:space="preserve"> (codicia) es el término general para el deseo en su sentido </w:t>
      </w:r>
      <w:r w:rsidR="00F572B8">
        <w:t>negativo</w:t>
      </w:r>
      <w:r>
        <w:t xml:space="preserve"> e idéntico a </w:t>
      </w:r>
      <w:proofErr w:type="spellStart"/>
      <w:r w:rsidRPr="007E166F">
        <w:rPr>
          <w:i/>
          <w:iCs/>
        </w:rPr>
        <w:t>lobha</w:t>
      </w:r>
      <w:proofErr w:type="spellEnd"/>
      <w:r>
        <w:t xml:space="preserve">, el cual, sin embargo, aparece técnicamente como una de las tres causas fundamentales de la acción </w:t>
      </w:r>
      <w:r w:rsidR="006A4610">
        <w:t>im</w:t>
      </w:r>
      <w:r w:rsidR="00F572B8">
        <w:t>productiva</w:t>
      </w:r>
      <w:r>
        <w:t xml:space="preserve">. </w:t>
      </w:r>
      <w:r w:rsidRPr="00F572B8">
        <w:rPr>
          <w:i/>
          <w:iCs/>
        </w:rPr>
        <w:t>Rāga</w:t>
      </w:r>
      <w:r>
        <w:t xml:space="preserve"> también se puede traducir </w:t>
      </w:r>
      <w:r w:rsidR="00F572B8">
        <w:t xml:space="preserve">como </w:t>
      </w:r>
      <w:r>
        <w:t xml:space="preserve">"lujuria" en su sentido general. </w:t>
      </w:r>
      <w:proofErr w:type="spellStart"/>
      <w:r w:rsidRPr="007E166F">
        <w:rPr>
          <w:i/>
          <w:iCs/>
        </w:rPr>
        <w:t>Kāmacchanda</w:t>
      </w:r>
      <w:proofErr w:type="spellEnd"/>
      <w:r>
        <w:t xml:space="preserve"> (lujuria): un término técnico para</w:t>
      </w:r>
      <w:r w:rsidR="00ED7606" w:rsidRPr="00ED7606">
        <w:t xml:space="preserve"> el primero de los cinco obstáculos. </w:t>
      </w:r>
      <w:r w:rsidR="00ED7606" w:rsidRPr="00367B72">
        <w:rPr>
          <w:i/>
          <w:iCs/>
        </w:rPr>
        <w:t>Chanda-rāga</w:t>
      </w:r>
      <w:r w:rsidR="00ED7606" w:rsidRPr="00ED7606">
        <w:t xml:space="preserve"> (celo y codicia) y </w:t>
      </w:r>
      <w:proofErr w:type="spellStart"/>
      <w:r w:rsidR="00ED7606" w:rsidRPr="00367B72">
        <w:rPr>
          <w:i/>
          <w:iCs/>
        </w:rPr>
        <w:t>kāma</w:t>
      </w:r>
      <w:proofErr w:type="spellEnd"/>
      <w:r w:rsidR="00ED7606" w:rsidRPr="00367B72">
        <w:rPr>
          <w:i/>
          <w:iCs/>
        </w:rPr>
        <w:t>-rāga</w:t>
      </w:r>
      <w:r w:rsidR="00ED7606" w:rsidRPr="00ED7606">
        <w:t xml:space="preserve"> (codicia por el deseo de los sentidos) no tienen ningún uso técnico.</w:t>
      </w:r>
      <w:r>
        <w:br w:type="page"/>
      </w:r>
    </w:p>
    <w:p w14:paraId="4E4106A2" w14:textId="77777777" w:rsidR="00AD43DF" w:rsidRDefault="00AD43DF" w:rsidP="00AD43DF"/>
    <w:p w14:paraId="3B41D8DD" w14:textId="74055AB8" w:rsidR="00AD43DF" w:rsidRDefault="002D2A1E" w:rsidP="00AD43DF">
      <w:r>
        <w:t>84.</w:t>
      </w:r>
      <w:r>
        <w:tab/>
        <w:t xml:space="preserve"> Y con los </w:t>
      </w:r>
      <w:r w:rsidR="007831DD">
        <w:t>deseos sensoriales</w:t>
      </w:r>
      <w:r>
        <w:t xml:space="preserve"> como objeto y los deseos </w:t>
      </w:r>
      <w:r w:rsidR="006D2741">
        <w:t>sensoriales</w:t>
      </w:r>
      <w:r>
        <w:t xml:space="preserve"> como </w:t>
      </w:r>
      <w:r w:rsidR="006D2741">
        <w:t xml:space="preserve">impurezas </w:t>
      </w:r>
      <w:r>
        <w:t>expresad</w:t>
      </w:r>
      <w:r w:rsidR="006D2741">
        <w:t>a</w:t>
      </w:r>
      <w:r>
        <w:t>s ​​</w:t>
      </w:r>
      <w:r w:rsidR="00864AD5">
        <w:t>así</w:t>
      </w:r>
      <w:r>
        <w:t xml:space="preserve">, también debe reconocerse que el abandono de la base objetiva para la </w:t>
      </w:r>
      <w:r w:rsidR="003F6541">
        <w:t xml:space="preserve">contaminación </w:t>
      </w:r>
      <w:r>
        <w:t xml:space="preserve">está indicado por la primera de estas dos frases y el abandono de la </w:t>
      </w:r>
      <w:r w:rsidR="003F6541">
        <w:t xml:space="preserve">contaminación </w:t>
      </w:r>
      <w:r w:rsidR="007B086C" w:rsidRPr="007B086C">
        <w:t>[subjetiva] por l</w:t>
      </w:r>
      <w:r w:rsidR="004A125B">
        <w:t>a</w:t>
      </w:r>
      <w:r w:rsidR="007B086C" w:rsidRPr="007B086C">
        <w:t xml:space="preserve"> </w:t>
      </w:r>
      <w:r w:rsidR="00AD43DF">
        <w:t>segund</w:t>
      </w:r>
      <w:r w:rsidR="004A125B">
        <w:t>a frase</w:t>
      </w:r>
      <w:r w:rsidR="00AD43DF">
        <w:t>; también que el abandono de la causa de la codicia está indicado por l</w:t>
      </w:r>
      <w:r w:rsidR="004A125B">
        <w:t>a</w:t>
      </w:r>
      <w:r w:rsidR="00AD43DF">
        <w:t xml:space="preserve"> primer</w:t>
      </w:r>
      <w:r w:rsidR="004A125B">
        <w:t>a</w:t>
      </w:r>
      <w:r w:rsidR="00AD43DF">
        <w:t xml:space="preserve"> </w:t>
      </w:r>
      <w:r w:rsidR="004A125B">
        <w:t xml:space="preserve">frase </w:t>
      </w:r>
      <w:r w:rsidR="00AD43DF">
        <w:t>y [el abandono de la causa] de la estupidez por l</w:t>
      </w:r>
      <w:r w:rsidR="004A125B">
        <w:t>a</w:t>
      </w:r>
      <w:r w:rsidR="00AD43DF">
        <w:t xml:space="preserve"> segund</w:t>
      </w:r>
      <w:r w:rsidR="004A125B">
        <w:t>a frase</w:t>
      </w:r>
      <w:r w:rsidR="00AD43DF">
        <w:t>; también que la purificación de la ocupación de un</w:t>
      </w:r>
      <w:r w:rsidR="003A5E20">
        <w:t>o</w:t>
      </w:r>
      <w:r w:rsidR="00AD43DF">
        <w:t xml:space="preserve"> est</w:t>
      </w:r>
      <w:r w:rsidR="00FF144C">
        <w:t>ar</w:t>
      </w:r>
      <w:r w:rsidR="00AD43DF">
        <w:t>á indicad</w:t>
      </w:r>
      <w:r w:rsidR="0097195D">
        <w:t>o</w:t>
      </w:r>
      <w:r w:rsidR="00AD43DF">
        <w:t xml:space="preserve"> por l</w:t>
      </w:r>
      <w:r w:rsidR="004A125B">
        <w:t>a</w:t>
      </w:r>
      <w:r w:rsidR="00AD43DF">
        <w:t xml:space="preserve"> primer</w:t>
      </w:r>
      <w:r w:rsidR="004A125B">
        <w:t>a</w:t>
      </w:r>
      <w:r w:rsidR="00AD43DF">
        <w:t xml:space="preserve"> y la educación de la inclinación de </w:t>
      </w:r>
      <w:r w:rsidR="0097195D">
        <w:t xml:space="preserve">uno </w:t>
      </w:r>
      <w:r w:rsidR="00AD43DF">
        <w:t>por l</w:t>
      </w:r>
      <w:r w:rsidR="004A125B">
        <w:t>a</w:t>
      </w:r>
      <w:r w:rsidR="00AD43DF">
        <w:t xml:space="preserve"> segund</w:t>
      </w:r>
      <w:r w:rsidR="004A125B">
        <w:t>a</w:t>
      </w:r>
      <w:r w:rsidR="00AD43DF">
        <w:t>.</w:t>
      </w:r>
    </w:p>
    <w:p w14:paraId="68296E8C" w14:textId="38618F36" w:rsidR="00AD43DF" w:rsidRDefault="001F01F4" w:rsidP="00FF144C">
      <w:pPr>
        <w:pStyle w:val="NormalConSangria"/>
      </w:pPr>
      <w:r>
        <w:t>É</w:t>
      </w:r>
      <w:r w:rsidR="00AD43DF">
        <w:t xml:space="preserve">ste, en primer lugar, es el método </w:t>
      </w:r>
      <w:r>
        <w:t xml:space="preserve">ofrecido </w:t>
      </w:r>
      <w:r w:rsidR="00AD43DF">
        <w:t xml:space="preserve">aquí cuando las palabras </w:t>
      </w:r>
      <w:r w:rsidR="00AD43DF" w:rsidRPr="00FF144C">
        <w:rPr>
          <w:i/>
          <w:iCs/>
        </w:rPr>
        <w:t>del deseo de los sentidos</w:t>
      </w:r>
      <w:r w:rsidR="00AD43DF">
        <w:t xml:space="preserve"> se tratan como </w:t>
      </w:r>
      <w:r>
        <w:t>referidos</w:t>
      </w:r>
      <w:r w:rsidR="00AD43DF">
        <w:t xml:space="preserve"> al deseo de los sentidos como objeto.</w:t>
      </w:r>
    </w:p>
    <w:p w14:paraId="1882F004" w14:textId="5DFED7DD" w:rsidR="00AD43DF" w:rsidRDefault="00AD43DF" w:rsidP="00AD43DF">
      <w:r>
        <w:t xml:space="preserve">85. </w:t>
      </w:r>
      <w:r>
        <w:tab/>
        <w:t>Pero si se trata</w:t>
      </w:r>
      <w:r w:rsidR="00FA339D">
        <w:t>se</w:t>
      </w:r>
      <w:r>
        <w:t xml:space="preserve"> como si se refirie</w:t>
      </w:r>
      <w:r w:rsidR="00FF144C">
        <w:t>se</w:t>
      </w:r>
      <w:r>
        <w:t xml:space="preserve">n </w:t>
      </w:r>
      <w:r w:rsidR="005877E1">
        <w:t>a</w:t>
      </w:r>
      <w:r w:rsidR="005877E1" w:rsidRPr="005877E1">
        <w:t xml:space="preserve"> los </w:t>
      </w:r>
      <w:r w:rsidR="007831DD">
        <w:t>deseos sensoriales</w:t>
      </w:r>
      <w:r>
        <w:t xml:space="preserve"> como </w:t>
      </w:r>
      <w:r w:rsidR="00FA339D">
        <w:t>contaminación</w:t>
      </w:r>
      <w:r>
        <w:t xml:space="preserve">, entonces es simplemente el celo por </w:t>
      </w:r>
      <w:r w:rsidR="005877E1" w:rsidRPr="005877E1">
        <w:t xml:space="preserve">los </w:t>
      </w:r>
      <w:r w:rsidR="007831DD">
        <w:t>deseos sensoriales</w:t>
      </w:r>
      <w:r>
        <w:t xml:space="preserve"> (</w:t>
      </w:r>
      <w:proofErr w:type="spellStart"/>
      <w:r w:rsidRPr="007E166F">
        <w:rPr>
          <w:i/>
          <w:iCs/>
        </w:rPr>
        <w:t>kāmacchanda</w:t>
      </w:r>
      <w:proofErr w:type="spellEnd"/>
      <w:r>
        <w:t>) en las diversas formas de celo (</w:t>
      </w:r>
      <w:r w:rsidRPr="007E166F">
        <w:rPr>
          <w:i/>
          <w:iCs/>
        </w:rPr>
        <w:t>chanda</w:t>
      </w:r>
      <w:r>
        <w:t>), codicia (</w:t>
      </w:r>
      <w:r w:rsidR="007E166F" w:rsidRPr="007E166F">
        <w:rPr>
          <w:i/>
          <w:iCs/>
        </w:rPr>
        <w:t>rāga</w:t>
      </w:r>
      <w:r>
        <w:t>), etc., lo que se entende</w:t>
      </w:r>
      <w:r w:rsidR="00BB2F9D">
        <w:t xml:space="preserve">rá </w:t>
      </w:r>
      <w:r>
        <w:t>como</w:t>
      </w:r>
      <w:r w:rsidR="005877E1">
        <w:t xml:space="preserve"> </w:t>
      </w:r>
      <w:r>
        <w:t>“</w:t>
      </w:r>
      <w:r w:rsidR="007831DD">
        <w:t>deseos sensoriales</w:t>
      </w:r>
      <w:r>
        <w:t>” (</w:t>
      </w:r>
      <w:proofErr w:type="spellStart"/>
      <w:r w:rsidRPr="007E166F">
        <w:rPr>
          <w:i/>
          <w:iCs/>
        </w:rPr>
        <w:t>k</w:t>
      </w:r>
      <w:r w:rsidR="007E166F" w:rsidRPr="007E166F">
        <w:rPr>
          <w:i/>
          <w:iCs/>
        </w:rPr>
        <w:t>ā</w:t>
      </w:r>
      <w:r w:rsidRPr="007E166F">
        <w:rPr>
          <w:i/>
          <w:iCs/>
        </w:rPr>
        <w:t>ma</w:t>
      </w:r>
      <w:proofErr w:type="spellEnd"/>
      <w:r>
        <w:t>) (§83, 2ª cita). [141] Y aunque es</w:t>
      </w:r>
      <w:r w:rsidR="00AC7E75">
        <w:t>t</w:t>
      </w:r>
      <w:r>
        <w:t xml:space="preserve">a </w:t>
      </w:r>
      <w:r w:rsidR="00184FC0" w:rsidRPr="00184FC0">
        <w:t xml:space="preserve">lujuria </w:t>
      </w:r>
      <w:r>
        <w:t>también est</w:t>
      </w:r>
      <w:r w:rsidR="00184FC0">
        <w:t>é</w:t>
      </w:r>
      <w:r>
        <w:t xml:space="preserve"> incluida en la palabra "</w:t>
      </w:r>
      <w:r w:rsidR="004416F7">
        <w:t>improductiv</w:t>
      </w:r>
      <w:r w:rsidR="005877E1">
        <w:t>o</w:t>
      </w:r>
      <w:r>
        <w:t xml:space="preserve">", sin embargo, se establece </w:t>
      </w:r>
      <w:r w:rsidR="00184FC0">
        <w:t xml:space="preserve">independientemente </w:t>
      </w:r>
      <w:r>
        <w:t xml:space="preserve">en el </w:t>
      </w:r>
      <w:proofErr w:type="spellStart"/>
      <w:r w:rsidRPr="007E166F">
        <w:rPr>
          <w:i/>
          <w:iCs/>
        </w:rPr>
        <w:t>Vibhaṅga</w:t>
      </w:r>
      <w:proofErr w:type="spellEnd"/>
      <w:r>
        <w:t xml:space="preserve"> en el </w:t>
      </w:r>
      <w:r w:rsidR="004416F7">
        <w:t xml:space="preserve">pasaje </w:t>
      </w:r>
      <w:r>
        <w:t>que comienza</w:t>
      </w:r>
      <w:r w:rsidR="004416F7">
        <w:t xml:space="preserve"> con:</w:t>
      </w:r>
      <w:r>
        <w:t xml:space="preserve"> "Aquí, ¿qué </w:t>
      </w:r>
      <w:r w:rsidR="005877E1">
        <w:t>son</w:t>
      </w:r>
      <w:r>
        <w:t xml:space="preserve"> </w:t>
      </w:r>
      <w:r w:rsidR="005877E1" w:rsidRPr="005877E1">
        <w:t xml:space="preserve">los </w:t>
      </w:r>
      <w:r w:rsidR="007831DD">
        <w:t>deseos sensoriales</w:t>
      </w:r>
      <w:r>
        <w:t xml:space="preserve">? </w:t>
      </w:r>
      <w:r w:rsidR="00D512CB">
        <w:t>Primero, el</w:t>
      </w:r>
      <w:r>
        <w:t xml:space="preserve"> celo como deseo de los sentidos…” (</w:t>
      </w:r>
      <w:proofErr w:type="spellStart"/>
      <w:r>
        <w:t>Vibh</w:t>
      </w:r>
      <w:proofErr w:type="spellEnd"/>
      <w:r>
        <w:t xml:space="preserve"> 256) debido a su incompatibilidad con </w:t>
      </w:r>
      <w:r w:rsidR="00793A98">
        <w:t xml:space="preserve">el </w:t>
      </w:r>
      <w:proofErr w:type="spellStart"/>
      <w:r w:rsidR="00057BF4" w:rsidRPr="00057BF4">
        <w:rPr>
          <w:i/>
          <w:iCs/>
        </w:rPr>
        <w:t>jhāna</w:t>
      </w:r>
      <w:proofErr w:type="spellEnd"/>
      <w:r>
        <w:t xml:space="preserve">. O, alternativamente, se menciona en la primera frase porque </w:t>
      </w:r>
      <w:r w:rsidR="005877E1">
        <w:t>son</w:t>
      </w:r>
      <w:r>
        <w:t xml:space="preserve"> </w:t>
      </w:r>
      <w:r w:rsidR="005877E1" w:rsidRPr="005877E1">
        <w:t xml:space="preserve">los </w:t>
      </w:r>
      <w:r w:rsidR="007831DD">
        <w:t>deseos sensoriales</w:t>
      </w:r>
      <w:r>
        <w:t xml:space="preserve"> como contaminación y en la segunda frase porque está incluido en lo “</w:t>
      </w:r>
      <w:r w:rsidR="00142CCF">
        <w:t>improductivo</w:t>
      </w:r>
      <w:r>
        <w:t>”. Y debido a que esta lujuria tiene varias formas</w:t>
      </w:r>
      <w:r w:rsidR="005179C4">
        <w:t xml:space="preserve"> de manifestación</w:t>
      </w:r>
      <w:r>
        <w:t>,</w:t>
      </w:r>
      <w:r w:rsidR="005179C4">
        <w:t xml:space="preserve"> se </w:t>
      </w:r>
      <w:r w:rsidR="000F738B">
        <w:t>di</w:t>
      </w:r>
      <w:r w:rsidR="001741D0">
        <w:t>rá</w:t>
      </w:r>
      <w:r w:rsidR="000F738B">
        <w:t>,</w:t>
      </w:r>
      <w:r>
        <w:t xml:space="preserve"> por lo tanto, "de</w:t>
      </w:r>
      <w:r w:rsidR="005877E1">
        <w:t xml:space="preserve"> </w:t>
      </w:r>
      <w:r>
        <w:t>l</w:t>
      </w:r>
      <w:r w:rsidR="005877E1">
        <w:t>os</w:t>
      </w:r>
      <w:r>
        <w:t xml:space="preserve"> </w:t>
      </w:r>
      <w:r w:rsidR="007831DD">
        <w:t>deseos sensoriales</w:t>
      </w:r>
      <w:r>
        <w:t>" en lugar de "del deseo de los sentidos".</w:t>
      </w:r>
    </w:p>
    <w:p w14:paraId="723E864B" w14:textId="32F74994" w:rsidR="00AD43DF" w:rsidRDefault="00AD43DF" w:rsidP="00AD43DF">
      <w:r>
        <w:t xml:space="preserve">86. </w:t>
      </w:r>
      <w:r>
        <w:tab/>
        <w:t xml:space="preserve">Y aunque también puede haber </w:t>
      </w:r>
      <w:r w:rsidR="001741D0">
        <w:t>improductividad</w:t>
      </w:r>
      <w:r>
        <w:t xml:space="preserve"> en otros estados, sin embargo, solo los obstáculos se mencionan posteriormente en el </w:t>
      </w:r>
      <w:proofErr w:type="spellStart"/>
      <w:r w:rsidRPr="00787651">
        <w:rPr>
          <w:i/>
          <w:iCs/>
        </w:rPr>
        <w:t>Vibhaṅga</w:t>
      </w:r>
      <w:proofErr w:type="spellEnd"/>
      <w:r>
        <w:t xml:space="preserve">, así: “Aquí, ¿qué estados no son </w:t>
      </w:r>
      <w:r w:rsidR="000F738B">
        <w:t>productivos</w:t>
      </w:r>
      <w:r>
        <w:t>? L</w:t>
      </w:r>
      <w:r w:rsidR="000F738B">
        <w:t>a l</w:t>
      </w:r>
      <w:r>
        <w:t>ujuria…” (</w:t>
      </w:r>
      <w:proofErr w:type="spellStart"/>
      <w:r>
        <w:t>Vibh</w:t>
      </w:r>
      <w:proofErr w:type="spellEnd"/>
      <w:r>
        <w:t xml:space="preserve"> 256), etc., para mostrar su oposición e incompatibilidad con los factores </w:t>
      </w:r>
      <w:proofErr w:type="spellStart"/>
      <w:r w:rsidR="00057BF4" w:rsidRPr="00057BF4">
        <w:rPr>
          <w:i/>
          <w:iCs/>
        </w:rPr>
        <w:t>jhān</w:t>
      </w:r>
      <w:r w:rsidR="000F738B">
        <w:rPr>
          <w:i/>
          <w:iCs/>
        </w:rPr>
        <w:t>icos</w:t>
      </w:r>
      <w:proofErr w:type="spellEnd"/>
      <w:r>
        <w:t xml:space="preserve">. Porque los obstáculos </w:t>
      </w:r>
      <w:r w:rsidR="003D66E6">
        <w:t xml:space="preserve">serán </w:t>
      </w:r>
      <w:r>
        <w:t xml:space="preserve">los opuestos </w:t>
      </w:r>
      <w:r w:rsidR="003D66E6">
        <w:t xml:space="preserve">y </w:t>
      </w:r>
      <w:r>
        <w:t xml:space="preserve">contrarios </w:t>
      </w:r>
      <w:r w:rsidR="00B57704">
        <w:t>a</w:t>
      </w:r>
      <w:r>
        <w:t xml:space="preserve"> los factores </w:t>
      </w:r>
      <w:proofErr w:type="spellStart"/>
      <w:r w:rsidR="00057BF4" w:rsidRPr="00057BF4">
        <w:rPr>
          <w:i/>
          <w:iCs/>
        </w:rPr>
        <w:t>jhān</w:t>
      </w:r>
      <w:r w:rsidR="000F738B">
        <w:rPr>
          <w:i/>
          <w:iCs/>
        </w:rPr>
        <w:t>icos</w:t>
      </w:r>
      <w:proofErr w:type="spellEnd"/>
      <w:r>
        <w:t xml:space="preserve">: lo que se quiere decir es que los factores </w:t>
      </w:r>
      <w:proofErr w:type="spellStart"/>
      <w:r w:rsidR="000F738B" w:rsidRPr="00057BF4">
        <w:rPr>
          <w:i/>
          <w:iCs/>
        </w:rPr>
        <w:t>jhān</w:t>
      </w:r>
      <w:r w:rsidR="000F738B">
        <w:rPr>
          <w:i/>
          <w:iCs/>
        </w:rPr>
        <w:t>icos</w:t>
      </w:r>
      <w:proofErr w:type="spellEnd"/>
      <w:r w:rsidR="000F738B">
        <w:t xml:space="preserve"> </w:t>
      </w:r>
      <w:r>
        <w:t xml:space="preserve">son incompatibles con ellos, los eliminan, los </w:t>
      </w:r>
      <w:r w:rsidR="000F738B">
        <w:t>destruyen</w:t>
      </w:r>
      <w:r>
        <w:t xml:space="preserve">. Y en consecuencia se dice en el </w:t>
      </w:r>
      <w:proofErr w:type="spellStart"/>
      <w:r w:rsidRPr="00787651">
        <w:rPr>
          <w:i/>
          <w:iCs/>
        </w:rPr>
        <w:t>Peṭaka</w:t>
      </w:r>
      <w:proofErr w:type="spellEnd"/>
      <w:r>
        <w:t xml:space="preserve"> (</w:t>
      </w:r>
      <w:proofErr w:type="spellStart"/>
      <w:r w:rsidRPr="00787651">
        <w:rPr>
          <w:i/>
          <w:iCs/>
        </w:rPr>
        <w:t>Peṭakkopadesa</w:t>
      </w:r>
      <w:proofErr w:type="spellEnd"/>
      <w:r>
        <w:t>): “La concentración es incompatible con la lujuria, la felicidad con la mala voluntad, l</w:t>
      </w:r>
      <w:r w:rsidR="00BE099A">
        <w:t xml:space="preserve">a </w:t>
      </w:r>
      <w:r w:rsidR="005F1EAE">
        <w:t xml:space="preserve">aplicación mental </w:t>
      </w:r>
      <w:r>
        <w:t xml:space="preserve">con la </w:t>
      </w:r>
      <w:r w:rsidR="002C32DB" w:rsidRPr="00505E6C">
        <w:t>pereza</w:t>
      </w:r>
      <w:r w:rsidR="002C32DB">
        <w:rPr>
          <w:rFonts w:cs="Cormorant"/>
        </w:rPr>
        <w:t>‒</w:t>
      </w:r>
      <w:r w:rsidR="002C32DB" w:rsidRPr="00505E6C">
        <w:t>y</w:t>
      </w:r>
      <w:r w:rsidR="002C32DB">
        <w:rPr>
          <w:rFonts w:cs="Cormorant"/>
        </w:rPr>
        <w:t>‒</w:t>
      </w:r>
      <w:r w:rsidR="002C32DB">
        <w:t>letargo</w:t>
      </w:r>
      <w:r>
        <w:t>, la dicha con agitación y preocupación, y l</w:t>
      </w:r>
      <w:r w:rsidR="00BE099A">
        <w:t>a</w:t>
      </w:r>
      <w:r>
        <w:t xml:space="preserve"> </w:t>
      </w:r>
      <w:r w:rsidR="00BE099A" w:rsidRPr="00F02C80">
        <w:t>su</w:t>
      </w:r>
      <w:r w:rsidR="00BE099A">
        <w:t>stentación mental</w:t>
      </w:r>
      <w:r w:rsidR="00BE099A" w:rsidRPr="00F02C80">
        <w:t xml:space="preserve"> </w:t>
      </w:r>
      <w:r>
        <w:t xml:space="preserve">con la incertidumbre” (no </w:t>
      </w:r>
      <w:r w:rsidR="00B57704">
        <w:t xml:space="preserve">se encuentra así </w:t>
      </w:r>
      <w:r>
        <w:t>en</w:t>
      </w:r>
      <w:r w:rsidR="005F3D97">
        <w:t xml:space="preserve"> el</w:t>
      </w:r>
      <w:r>
        <w:t xml:space="preserve"> </w:t>
      </w:r>
      <w:proofErr w:type="spellStart"/>
      <w:r w:rsidRPr="00787651">
        <w:rPr>
          <w:i/>
          <w:iCs/>
        </w:rPr>
        <w:t>Pe</w:t>
      </w:r>
      <w:r w:rsidR="00787651" w:rsidRPr="00787651">
        <w:rPr>
          <w:i/>
          <w:iCs/>
        </w:rPr>
        <w:t>ṭ</w:t>
      </w:r>
      <w:r w:rsidRPr="00787651">
        <w:rPr>
          <w:i/>
          <w:iCs/>
        </w:rPr>
        <w:t>akopadesa</w:t>
      </w:r>
      <w:proofErr w:type="spellEnd"/>
      <w:r>
        <w:t>).</w:t>
      </w:r>
    </w:p>
    <w:p w14:paraId="5F140E26" w14:textId="1F6447D7" w:rsidR="00AD43DF" w:rsidRDefault="00AD43DF" w:rsidP="00AD43DF">
      <w:r>
        <w:t>87.</w:t>
      </w:r>
      <w:r>
        <w:tab/>
        <w:t xml:space="preserve">Entonces, en este caso, debe entenderse que la </w:t>
      </w:r>
      <w:r w:rsidRPr="004F3A9D">
        <w:rPr>
          <w:i/>
          <w:iCs/>
        </w:rPr>
        <w:t xml:space="preserve">reclusión por supresión (suspensión) de la </w:t>
      </w:r>
      <w:r w:rsidR="006C3601">
        <w:rPr>
          <w:i/>
          <w:iCs/>
        </w:rPr>
        <w:t>pasión</w:t>
      </w:r>
      <w:r>
        <w:t xml:space="preserve"> se indica con la frase completamente apartado de los deseos sen</w:t>
      </w:r>
      <w:r w:rsidR="00783955">
        <w:t>soriales</w:t>
      </w:r>
      <w:r>
        <w:t xml:space="preserve">, y la </w:t>
      </w:r>
      <w:r w:rsidRPr="004F3A9D">
        <w:rPr>
          <w:i/>
          <w:iCs/>
        </w:rPr>
        <w:t>reclusión por supresión (suspensión) de los cinco obstáculos</w:t>
      </w:r>
      <w:r>
        <w:t xml:space="preserve"> por la frase apartado de cosas inútiles. </w:t>
      </w:r>
      <w:r w:rsidR="00783955">
        <w:t xml:space="preserve">No obstante, </w:t>
      </w:r>
      <w:r>
        <w:t xml:space="preserve">omitiendo las repeticiones, la de la </w:t>
      </w:r>
      <w:r w:rsidR="00783955">
        <w:t xml:space="preserve">pasión </w:t>
      </w:r>
      <w:r>
        <w:t>está indicada por la primera y la de los demás obstáculos por la segunda. Del mismo modo</w:t>
      </w:r>
      <w:r w:rsidR="00B40F22">
        <w:t xml:space="preserve"> ocurre</w:t>
      </w:r>
      <w:r>
        <w:t xml:space="preserve"> con las </w:t>
      </w:r>
      <w:r w:rsidR="008D5263">
        <w:t xml:space="preserve">3 </w:t>
      </w:r>
      <w:r>
        <w:t xml:space="preserve">raíces </w:t>
      </w:r>
      <w:r w:rsidR="008058B6">
        <w:t>improductivas</w:t>
      </w:r>
      <w:r>
        <w:t xml:space="preserve">, la </w:t>
      </w:r>
      <w:r w:rsidR="0068057B">
        <w:t xml:space="preserve">reclusión </w:t>
      </w:r>
      <w:r>
        <w:t xml:space="preserve">de la codicia, que tiene </w:t>
      </w:r>
      <w:r w:rsidR="0068057B">
        <w:t xml:space="preserve">a </w:t>
      </w:r>
      <w:r>
        <w:t xml:space="preserve">las </w:t>
      </w:r>
      <w:r w:rsidR="008058B6">
        <w:t xml:space="preserve">5 </w:t>
      </w:r>
      <w:r>
        <w:t>cuerdas de</w:t>
      </w:r>
      <w:r w:rsidR="009419FA">
        <w:t xml:space="preserve"> </w:t>
      </w:r>
      <w:r>
        <w:t>l</w:t>
      </w:r>
      <w:r w:rsidR="009419FA">
        <w:t>os</w:t>
      </w:r>
      <w:r>
        <w:t xml:space="preserve"> deseo</w:t>
      </w:r>
      <w:r w:rsidR="009419FA">
        <w:t>s</w:t>
      </w:r>
      <w:r>
        <w:t xml:space="preserve"> </w:t>
      </w:r>
      <w:r w:rsidR="008D5263" w:rsidRPr="008D5263">
        <w:t xml:space="preserve">sensoriales </w:t>
      </w:r>
      <w:r>
        <w:t xml:space="preserve">(M I 85) como su provincia, está indicada por la primera, la del odio y </w:t>
      </w:r>
      <w:r w:rsidR="00370AF4">
        <w:t xml:space="preserve">la </w:t>
      </w:r>
      <w:r w:rsidR="008058B6">
        <w:t xml:space="preserve">de </w:t>
      </w:r>
      <w:r w:rsidR="00A96760">
        <w:t>l</w:t>
      </w:r>
      <w:r w:rsidR="008058B6">
        <w:t xml:space="preserve">a </w:t>
      </w:r>
      <w:r w:rsidR="00370AF4">
        <w:t>ilusión</w:t>
      </w:r>
      <w:r>
        <w:t xml:space="preserve">, que tienen como sus respectivas provincias los diversos motivos </w:t>
      </w:r>
      <w:r w:rsidR="008055BC">
        <w:t xml:space="preserve">de </w:t>
      </w:r>
      <w:r>
        <w:t>molestia</w:t>
      </w:r>
      <w:r w:rsidR="008055BC">
        <w:t>s</w:t>
      </w:r>
      <w:r>
        <w:t xml:space="preserve"> (A IV 408; V 150), etc., por l</w:t>
      </w:r>
      <w:r w:rsidR="00F1239C">
        <w:t>a</w:t>
      </w:r>
      <w:r>
        <w:t xml:space="preserve"> segund</w:t>
      </w:r>
      <w:r w:rsidR="00F1239C">
        <w:t>a</w:t>
      </w:r>
      <w:r>
        <w:t xml:space="preserve">. O con los estados que </w:t>
      </w:r>
      <w:proofErr w:type="gramStart"/>
      <w:r>
        <w:t>consist</w:t>
      </w:r>
      <w:r w:rsidR="0097497C">
        <w:t>a</w:t>
      </w:r>
      <w:r>
        <w:t xml:space="preserve">n </w:t>
      </w:r>
      <w:r w:rsidR="00F1239C">
        <w:t>de</w:t>
      </w:r>
      <w:proofErr w:type="gramEnd"/>
      <w:r>
        <w:t xml:space="preserve"> las inundaciones, etc., </w:t>
      </w:r>
      <w:r w:rsidR="00830A7C">
        <w:t xml:space="preserve">la reclusión </w:t>
      </w:r>
      <w:r>
        <w:t xml:space="preserve">de la inundación de los deseos </w:t>
      </w:r>
      <w:r w:rsidR="008D5263" w:rsidRPr="008D5263">
        <w:t>sensoriales</w:t>
      </w:r>
      <w:r>
        <w:t xml:space="preserve">, del vínculo de los deseos </w:t>
      </w:r>
      <w:r w:rsidR="008D5263" w:rsidRPr="008D5263">
        <w:t>sensoriales</w:t>
      </w:r>
      <w:r>
        <w:t>, de</w:t>
      </w:r>
      <w:r w:rsidR="00F1239C">
        <w:t xml:space="preserve"> </w:t>
      </w:r>
      <w:r>
        <w:t>l</w:t>
      </w:r>
      <w:r w:rsidR="00F1239C">
        <w:t>as</w:t>
      </w:r>
      <w:r>
        <w:t xml:space="preserve"> </w:t>
      </w:r>
      <w:r w:rsidR="00F1239C">
        <w:t xml:space="preserve">corrupciones </w:t>
      </w:r>
      <w:r>
        <w:t xml:space="preserve">de los deseos </w:t>
      </w:r>
      <w:r w:rsidR="008D5263" w:rsidRPr="008D5263">
        <w:t>sensoriales</w:t>
      </w:r>
      <w:r>
        <w:t>, del apego a</w:t>
      </w:r>
      <w:r w:rsidR="00F1239C">
        <w:t xml:space="preserve"> </w:t>
      </w:r>
      <w:r>
        <w:t>l</w:t>
      </w:r>
      <w:r w:rsidR="00F1239C">
        <w:t>os</w:t>
      </w:r>
      <w:r>
        <w:t xml:space="preserve"> deseo</w:t>
      </w:r>
      <w:r w:rsidR="00F1239C">
        <w:t>s</w:t>
      </w:r>
      <w:r>
        <w:t xml:space="preserve"> </w:t>
      </w:r>
      <w:r w:rsidR="008D5263" w:rsidRPr="008D5263">
        <w:t>sensoriales</w:t>
      </w:r>
      <w:r>
        <w:t>, del lazo corporal de</w:t>
      </w:r>
      <w:r w:rsidR="00F1239C" w:rsidRPr="00F1239C">
        <w:t xml:space="preserve"> </w:t>
      </w:r>
      <w:r w:rsidR="00F1239C">
        <w:t xml:space="preserve">la codicia, y el grillete de la </w:t>
      </w:r>
    </w:p>
    <w:p w14:paraId="594CD7AB" w14:textId="77777777" w:rsidR="00AD43DF" w:rsidRDefault="00AD43DF" w:rsidP="00AD43DF">
      <w:pPr>
        <w:pStyle w:val="PiedepginaLegal"/>
        <w:rPr>
          <w:u w:val="single"/>
        </w:rPr>
      </w:pPr>
      <w:r>
        <w:rPr>
          <w:u w:val="single"/>
        </w:rPr>
        <w:tab/>
      </w:r>
      <w:r>
        <w:rPr>
          <w:u w:val="single"/>
        </w:rPr>
        <w:tab/>
      </w:r>
      <w:r>
        <w:rPr>
          <w:u w:val="single"/>
        </w:rPr>
        <w:tab/>
      </w:r>
      <w:r>
        <w:rPr>
          <w:u w:val="single"/>
        </w:rPr>
        <w:tab/>
        <w:t>.</w:t>
      </w:r>
    </w:p>
    <w:p w14:paraId="44B497F1" w14:textId="4C44D519" w:rsidR="00AD43DF" w:rsidRDefault="00AD43DF" w:rsidP="00AD43DF">
      <w:pPr>
        <w:pStyle w:val="PiedepginaLegal"/>
      </w:pPr>
      <w:r>
        <w:t xml:space="preserve">… </w:t>
      </w:r>
      <w:r w:rsidR="000F738B">
        <w:t>||</w:t>
      </w:r>
    </w:p>
    <w:p w14:paraId="7B4D6BB8" w14:textId="08480C1F" w:rsidR="00C16043" w:rsidRDefault="00AD43DF" w:rsidP="00AD43DF">
      <w:pPr>
        <w:pStyle w:val="PiedepginaLegal"/>
      </w:pPr>
      <w:r>
        <w:tab/>
      </w:r>
    </w:p>
    <w:p w14:paraId="4A94319F" w14:textId="77777777" w:rsidR="00C16043" w:rsidRDefault="00C16043">
      <w:pPr>
        <w:tabs>
          <w:tab w:val="clear" w:pos="425"/>
        </w:tabs>
        <w:spacing w:after="160"/>
        <w:rPr>
          <w:color w:val="000000" w:themeColor="text1"/>
          <w:spacing w:val="10"/>
          <w:sz w:val="14"/>
        </w:rPr>
      </w:pPr>
      <w:r>
        <w:br w:type="page"/>
      </w:r>
    </w:p>
    <w:p w14:paraId="2DD86F0E" w14:textId="77777777" w:rsidR="009E35D5" w:rsidRDefault="009E35D5" w:rsidP="00C16043"/>
    <w:p w14:paraId="6D289F98" w14:textId="6D68B3EB" w:rsidR="00C16043" w:rsidRDefault="00830A7C" w:rsidP="00C16043">
      <w:r>
        <w:t xml:space="preserve">codicia por los deseos </w:t>
      </w:r>
      <w:r w:rsidR="0097497C">
        <w:t xml:space="preserve">sensuales, </w:t>
      </w:r>
      <w:r w:rsidR="00C16043">
        <w:t>está indicado por l</w:t>
      </w:r>
      <w:r w:rsidR="00F1239C">
        <w:t>a</w:t>
      </w:r>
      <w:r w:rsidR="00C16043">
        <w:t xml:space="preserve"> primer</w:t>
      </w:r>
      <w:r w:rsidR="00F1239C">
        <w:t>a</w:t>
      </w:r>
      <w:r w:rsidR="00C16043">
        <w:t xml:space="preserve">, y el resto de </w:t>
      </w:r>
      <w:r w:rsidR="00F1239C">
        <w:t xml:space="preserve">las </w:t>
      </w:r>
      <w:r w:rsidR="00C16043">
        <w:t xml:space="preserve">inundaciones, ataduras, </w:t>
      </w:r>
      <w:r w:rsidR="00F1239C">
        <w:t>corrupciones</w:t>
      </w:r>
      <w:r w:rsidR="00C16043">
        <w:t xml:space="preserve">, apegos, </w:t>
      </w:r>
      <w:r w:rsidR="00480CF2">
        <w:t>cadenas</w:t>
      </w:r>
      <w:r w:rsidR="00C16043">
        <w:t xml:space="preserve"> y grilletes, está indicado por l</w:t>
      </w:r>
      <w:r w:rsidR="00F1239C">
        <w:t>a</w:t>
      </w:r>
      <w:r w:rsidR="00C16043">
        <w:t xml:space="preserve"> segund</w:t>
      </w:r>
      <w:r w:rsidR="00F1239C">
        <w:t>a</w:t>
      </w:r>
      <w:r w:rsidR="00C16043">
        <w:t xml:space="preserve">. Nuevamente, el </w:t>
      </w:r>
      <w:r w:rsidR="005C7639">
        <w:t>deseo</w:t>
      </w:r>
      <w:r w:rsidR="00C16043">
        <w:t xml:space="preserve"> y lo que est</w:t>
      </w:r>
      <w:r w:rsidR="005C7639">
        <w:t>é</w:t>
      </w:r>
      <w:r w:rsidR="00C16043">
        <w:t xml:space="preserve"> asociado con el </w:t>
      </w:r>
      <w:r w:rsidR="005C7639">
        <w:t xml:space="preserve">deseo </w:t>
      </w:r>
      <w:r w:rsidR="00C16043">
        <w:t>está indicado por l</w:t>
      </w:r>
      <w:r w:rsidR="008C39B7">
        <w:t>a</w:t>
      </w:r>
      <w:r w:rsidR="00C16043">
        <w:t xml:space="preserve"> primer</w:t>
      </w:r>
      <w:r w:rsidR="008C39B7">
        <w:t>a</w:t>
      </w:r>
      <w:r w:rsidR="00C16043">
        <w:t>, y el de la ignorancia y lo que est</w:t>
      </w:r>
      <w:r w:rsidR="008C39B7">
        <w:t>é</w:t>
      </w:r>
      <w:r w:rsidR="00C16043">
        <w:t xml:space="preserve"> asociado con la ignorancia está indicado por l</w:t>
      </w:r>
      <w:r w:rsidR="008C39B7">
        <w:t>a</w:t>
      </w:r>
      <w:r w:rsidR="00C16043">
        <w:t xml:space="preserve"> segund</w:t>
      </w:r>
      <w:r w:rsidR="008C39B7">
        <w:t>a</w:t>
      </w:r>
      <w:r w:rsidR="00C16043">
        <w:t>. Además, l</w:t>
      </w:r>
      <w:r w:rsidR="00EC71C4">
        <w:t>a</w:t>
      </w:r>
      <w:r w:rsidR="00C16043">
        <w:t xml:space="preserve"> </w:t>
      </w:r>
      <w:r w:rsidR="00885FDD">
        <w:t xml:space="preserve">reclusión por </w:t>
      </w:r>
      <w:r w:rsidR="00EC71C4">
        <w:t>supresión</w:t>
      </w:r>
      <w:r w:rsidR="009E4FC3">
        <w:t xml:space="preserve"> </w:t>
      </w:r>
      <w:r w:rsidR="00C16043">
        <w:t xml:space="preserve">de los ocho pensamientos </w:t>
      </w:r>
      <w:r w:rsidR="00C16043" w:rsidRPr="001008AC">
        <w:t>que</w:t>
      </w:r>
      <w:r w:rsidR="00C16043">
        <w:t xml:space="preserve"> surgen asociados con la codicia (XIV.90) está indicado por l</w:t>
      </w:r>
      <w:r w:rsidR="008C39B7">
        <w:t>a</w:t>
      </w:r>
      <w:r w:rsidR="00C16043">
        <w:t xml:space="preserve"> primer</w:t>
      </w:r>
      <w:r w:rsidR="008C39B7">
        <w:t>a</w:t>
      </w:r>
      <w:r w:rsidR="00C16043">
        <w:t>, y l</w:t>
      </w:r>
      <w:r w:rsidR="00EC71C4">
        <w:t>a</w:t>
      </w:r>
      <w:r w:rsidR="00C16043">
        <w:t xml:space="preserve"> de los tipos restantes de pensamientos que surgen </w:t>
      </w:r>
      <w:r w:rsidR="008C39B7">
        <w:t xml:space="preserve">improductivamente </w:t>
      </w:r>
      <w:r w:rsidR="00C16043">
        <w:t>está indicado por l</w:t>
      </w:r>
      <w:r w:rsidR="008C39B7">
        <w:t>a</w:t>
      </w:r>
      <w:r w:rsidR="00C16043">
        <w:t xml:space="preserve"> segund</w:t>
      </w:r>
      <w:r w:rsidR="008C39B7">
        <w:t>a</w:t>
      </w:r>
      <w:r w:rsidR="00C16043">
        <w:t>.</w:t>
      </w:r>
    </w:p>
    <w:p w14:paraId="4A7F7152" w14:textId="296378EB" w:rsidR="00C16043" w:rsidRDefault="00B95F9F" w:rsidP="00C16043">
      <w:pPr>
        <w:pStyle w:val="NormalConSangria"/>
      </w:pPr>
      <w:r>
        <w:t>É</w:t>
      </w:r>
      <w:r w:rsidR="00C16043">
        <w:t>sta, en primer lugar, es la explicación del significado de las palabras “</w:t>
      </w:r>
      <w:r w:rsidR="008C39B7">
        <w:t xml:space="preserve">completamente </w:t>
      </w:r>
      <w:r w:rsidR="00C16043">
        <w:t>apartad</w:t>
      </w:r>
      <w:r w:rsidR="008C39B7">
        <w:t>o</w:t>
      </w:r>
      <w:r w:rsidR="00C16043">
        <w:t xml:space="preserve"> </w:t>
      </w:r>
      <w:r w:rsidR="008B5248" w:rsidRPr="008B5248">
        <w:t>[r</w:t>
      </w:r>
      <w:r w:rsidR="008B5248">
        <w:t>ecluido</w:t>
      </w:r>
      <w:r w:rsidR="008B5248" w:rsidRPr="008B5248">
        <w:t>]</w:t>
      </w:r>
      <w:r w:rsidR="008B5248">
        <w:t xml:space="preserve"> </w:t>
      </w:r>
      <w:r w:rsidR="00C16043">
        <w:t xml:space="preserve">de los </w:t>
      </w:r>
      <w:r w:rsidR="007831DD">
        <w:t>deseos sensoriales</w:t>
      </w:r>
      <w:r w:rsidR="00C16043">
        <w:t>, apartad</w:t>
      </w:r>
      <w:r w:rsidR="008C39B7">
        <w:t>o</w:t>
      </w:r>
      <w:r w:rsidR="00C16043">
        <w:t xml:space="preserve"> de las cosas inútiles”.</w:t>
      </w:r>
    </w:p>
    <w:p w14:paraId="162B2E3C" w14:textId="4EE6FB6D" w:rsidR="00C16043" w:rsidRDefault="00C16043" w:rsidP="00C16043">
      <w:r>
        <w:t xml:space="preserve">88. </w:t>
      </w:r>
      <w:r>
        <w:tab/>
        <w:t xml:space="preserve">Hasta ahora se han mostrado los factores </w:t>
      </w:r>
      <w:r w:rsidR="006A429C">
        <w:t>de abandono</w:t>
      </w:r>
      <w:r>
        <w:t xml:space="preserve"> </w:t>
      </w:r>
      <w:r w:rsidR="00031206">
        <w:t>d</w:t>
      </w:r>
      <w:r>
        <w:t xml:space="preserve">el </w:t>
      </w:r>
      <w:r w:rsidR="00031206">
        <w:t xml:space="preserve">primer </w:t>
      </w:r>
      <w:proofErr w:type="spellStart"/>
      <w:r w:rsidR="00057BF4" w:rsidRPr="00057BF4">
        <w:rPr>
          <w:i/>
          <w:iCs/>
        </w:rPr>
        <w:t>jhāna</w:t>
      </w:r>
      <w:proofErr w:type="spellEnd"/>
      <w:r>
        <w:t xml:space="preserve">. Y ahora, con el fin de </w:t>
      </w:r>
      <w:r w:rsidR="00481EB0">
        <w:t>exponer</w:t>
      </w:r>
      <w:r>
        <w:t xml:space="preserve"> los factores asociados a </w:t>
      </w:r>
      <w:r w:rsidR="00B95F9F">
        <w:t>él</w:t>
      </w:r>
      <w:r>
        <w:t>, se di</w:t>
      </w:r>
      <w:r w:rsidR="00B95F9F">
        <w:t>rá</w:t>
      </w:r>
      <w:r>
        <w:t xml:space="preserve"> que </w:t>
      </w:r>
      <w:r w:rsidRPr="003A08EA">
        <w:rPr>
          <w:i/>
          <w:iCs/>
        </w:rPr>
        <w:t>va acompañad</w:t>
      </w:r>
      <w:r w:rsidR="00397DCC" w:rsidRPr="003A08EA">
        <w:rPr>
          <w:i/>
          <w:iCs/>
        </w:rPr>
        <w:t>o</w:t>
      </w:r>
      <w:r w:rsidRPr="003A08EA">
        <w:rPr>
          <w:i/>
          <w:iCs/>
        </w:rPr>
        <w:t xml:space="preserve"> </w:t>
      </w:r>
      <w:r w:rsidR="00B95F9F" w:rsidRPr="003A08EA">
        <w:rPr>
          <w:i/>
          <w:iCs/>
        </w:rPr>
        <w:t xml:space="preserve">por </w:t>
      </w:r>
      <w:r w:rsidRPr="003A08EA">
        <w:rPr>
          <w:i/>
          <w:iCs/>
        </w:rPr>
        <w:t>l</w:t>
      </w:r>
      <w:r w:rsidR="004C2621">
        <w:rPr>
          <w:i/>
          <w:iCs/>
        </w:rPr>
        <w:t>a</w:t>
      </w:r>
      <w:r w:rsidRPr="003A08EA">
        <w:rPr>
          <w:i/>
          <w:iCs/>
        </w:rPr>
        <w:t xml:space="preserve"> </w:t>
      </w:r>
      <w:r w:rsidR="004C2621">
        <w:rPr>
          <w:i/>
          <w:iCs/>
        </w:rPr>
        <w:t xml:space="preserve">aplicación mental </w:t>
      </w:r>
      <w:r w:rsidRPr="003A08EA">
        <w:rPr>
          <w:i/>
          <w:iCs/>
        </w:rPr>
        <w:t xml:space="preserve">y </w:t>
      </w:r>
      <w:r w:rsidR="00B95F9F" w:rsidRPr="003A08EA">
        <w:rPr>
          <w:i/>
          <w:iCs/>
        </w:rPr>
        <w:t>por l</w:t>
      </w:r>
      <w:r w:rsidR="004C2621">
        <w:rPr>
          <w:i/>
          <w:iCs/>
        </w:rPr>
        <w:t>a</w:t>
      </w:r>
      <w:r w:rsidR="00B95F9F" w:rsidRPr="003A08EA">
        <w:rPr>
          <w:i/>
          <w:iCs/>
        </w:rPr>
        <w:t xml:space="preserve"> </w:t>
      </w:r>
      <w:r w:rsidR="004C2621">
        <w:rPr>
          <w:i/>
          <w:iCs/>
        </w:rPr>
        <w:t>sustentación mental</w:t>
      </w:r>
      <w:r>
        <w:t xml:space="preserve">. [142] Aquí, </w:t>
      </w:r>
      <w:r w:rsidR="00437A76">
        <w:t xml:space="preserve">el </w:t>
      </w:r>
      <w:r w:rsidR="00A61D31" w:rsidRPr="001008AC">
        <w:t>aplicar me</w:t>
      </w:r>
      <w:r w:rsidR="00212CF4" w:rsidRPr="001008AC">
        <w:t>ntal</w:t>
      </w:r>
      <w:r w:rsidR="001008AC" w:rsidRPr="001008AC">
        <w:t>mente</w:t>
      </w:r>
      <w:r w:rsidR="00212CF4" w:rsidRPr="001008AC">
        <w:t xml:space="preserve"> </w:t>
      </w:r>
      <w:r>
        <w:t>(</w:t>
      </w:r>
      <w:proofErr w:type="spellStart"/>
      <w:r w:rsidRPr="00787651">
        <w:rPr>
          <w:i/>
          <w:iCs/>
        </w:rPr>
        <w:t>vitakkana</w:t>
      </w:r>
      <w:proofErr w:type="spellEnd"/>
      <w:r>
        <w:t xml:space="preserve">) </w:t>
      </w:r>
      <w:r w:rsidR="00212CF4">
        <w:t xml:space="preserve">se puede definir como la </w:t>
      </w:r>
      <w:r w:rsidR="00972774">
        <w:rPr>
          <w:i/>
          <w:iCs/>
        </w:rPr>
        <w:t xml:space="preserve">aplicación mental </w:t>
      </w:r>
      <w:r>
        <w:t>(</w:t>
      </w:r>
      <w:proofErr w:type="spellStart"/>
      <w:r w:rsidRPr="00787651">
        <w:rPr>
          <w:i/>
          <w:iCs/>
        </w:rPr>
        <w:t>vitakka</w:t>
      </w:r>
      <w:proofErr w:type="spellEnd"/>
      <w:r>
        <w:t>); acertar, es lo que se quiere decir.</w:t>
      </w:r>
      <w:r w:rsidRPr="009E35D5">
        <w:rPr>
          <w:vertAlign w:val="superscript"/>
        </w:rPr>
        <w:t>25</w:t>
      </w:r>
      <w:r>
        <w:t xml:space="preserve"> Tiene la característica de dirigir la mente hacia un objeto (montar la mente sobre </w:t>
      </w:r>
      <w:r w:rsidR="00FE78E7">
        <w:t>tal</w:t>
      </w:r>
      <w:r>
        <w:t xml:space="preserve"> objeto). Su función es </w:t>
      </w:r>
      <w:r w:rsidR="009621FC">
        <w:t xml:space="preserve">hacer contacto </w:t>
      </w:r>
      <w:r>
        <w:t xml:space="preserve">y </w:t>
      </w:r>
      <w:r w:rsidR="00CC3BDF">
        <w:t>desgranar</w:t>
      </w:r>
      <w:r>
        <w:t xml:space="preserve">, porque se dice que el meditador, en virtud de ello, </w:t>
      </w:r>
      <w:r w:rsidR="00385B84">
        <w:t>h</w:t>
      </w:r>
      <w:r w:rsidR="009621FC">
        <w:t>ace</w:t>
      </w:r>
      <w:r w:rsidR="00385B84">
        <w:t xml:space="preserve"> contacto con</w:t>
      </w:r>
      <w:r>
        <w:t xml:space="preserve"> </w:t>
      </w:r>
      <w:r w:rsidR="00385B84">
        <w:t>e</w:t>
      </w:r>
      <w:r>
        <w:t xml:space="preserve">l objeto </w:t>
      </w:r>
      <w:r w:rsidR="00B61922">
        <w:t xml:space="preserve">de meditación </w:t>
      </w:r>
      <w:r w:rsidR="00385B84">
        <w:t>mediante tal aplicación mental</w:t>
      </w:r>
      <w:r>
        <w:t xml:space="preserve">, </w:t>
      </w:r>
      <w:r w:rsidR="005C41D0">
        <w:t xml:space="preserve">lo </w:t>
      </w:r>
      <w:r w:rsidR="00883B85">
        <w:t>desgrana</w:t>
      </w:r>
      <w:r>
        <w:t xml:space="preserve"> </w:t>
      </w:r>
      <w:r w:rsidR="005C41D0">
        <w:t>mediante esta aplicación mental</w:t>
      </w:r>
      <w:r>
        <w:t xml:space="preserve">. Se manifiesta como la conducción de la mente hacia un objeto. El </w:t>
      </w:r>
      <w:r w:rsidR="001008AC" w:rsidRPr="001008AC">
        <w:t xml:space="preserve">sustentar mentalmente </w:t>
      </w:r>
      <w:r>
        <w:t>(</w:t>
      </w:r>
      <w:proofErr w:type="spellStart"/>
      <w:r w:rsidRPr="00787651">
        <w:rPr>
          <w:i/>
          <w:iCs/>
        </w:rPr>
        <w:t>vicaraṇa</w:t>
      </w:r>
      <w:proofErr w:type="spellEnd"/>
      <w:r>
        <w:t xml:space="preserve">) </w:t>
      </w:r>
      <w:r w:rsidR="004C2621">
        <w:t>se puede definir como</w:t>
      </w:r>
      <w:r>
        <w:t xml:space="preserve"> </w:t>
      </w:r>
      <w:r w:rsidR="00F86D6D">
        <w:t>l</w:t>
      </w:r>
      <w:r w:rsidR="001008AC">
        <w:t>a</w:t>
      </w:r>
      <w:r w:rsidR="00F86D6D">
        <w:t xml:space="preserve"> </w:t>
      </w:r>
      <w:r w:rsidR="00972774">
        <w:rPr>
          <w:i/>
          <w:iCs/>
        </w:rPr>
        <w:t xml:space="preserve">sustentación mental </w:t>
      </w:r>
      <w:r>
        <w:t>(</w:t>
      </w:r>
      <w:proofErr w:type="spellStart"/>
      <w:r w:rsidRPr="00787651">
        <w:rPr>
          <w:i/>
          <w:iCs/>
        </w:rPr>
        <w:t>vicāra</w:t>
      </w:r>
      <w:proofErr w:type="spellEnd"/>
      <w:r>
        <w:t>); sustentación continua (</w:t>
      </w:r>
      <w:proofErr w:type="spellStart"/>
      <w:r w:rsidRPr="00787651">
        <w:rPr>
          <w:i/>
          <w:iCs/>
        </w:rPr>
        <w:t>anusañcaraṇa</w:t>
      </w:r>
      <w:proofErr w:type="spellEnd"/>
      <w:r>
        <w:t>), es lo que se quiere decir. Tiene la característica de presi</w:t>
      </w:r>
      <w:r w:rsidR="0096793C">
        <w:t>o</w:t>
      </w:r>
      <w:r>
        <w:t>n</w:t>
      </w:r>
      <w:r w:rsidR="0096793C">
        <w:t>ar</w:t>
      </w:r>
      <w:r>
        <w:t xml:space="preserve"> continua</w:t>
      </w:r>
      <w:r w:rsidR="0096793C">
        <w:t>mente</w:t>
      </w:r>
      <w:r>
        <w:t xml:space="preserve"> sobre (ocupa</w:t>
      </w:r>
      <w:r w:rsidR="0096793C">
        <w:t>rse</w:t>
      </w:r>
      <w:r>
        <w:t xml:space="preserve"> </w:t>
      </w:r>
      <w:r w:rsidR="002430CC">
        <w:t>sobre</w:t>
      </w:r>
      <w:r>
        <w:t>) el objeto</w:t>
      </w:r>
      <w:r w:rsidR="0096793C">
        <w:t xml:space="preserve"> de meditación</w:t>
      </w:r>
      <w:r>
        <w:t>. Su función es mantener los estados [mentales] con</w:t>
      </w:r>
      <w:r w:rsidR="00787651">
        <w:t>s</w:t>
      </w:r>
      <w:r>
        <w:t xml:space="preserve">cientes [ocupados] </w:t>
      </w:r>
      <w:r w:rsidR="002430CC">
        <w:t>en</w:t>
      </w:r>
      <w:r>
        <w:t xml:space="preserve"> e</w:t>
      </w:r>
      <w:r w:rsidR="0096793C">
        <w:t>ll</w:t>
      </w:r>
      <w:r>
        <w:t>o. Se manifiesta manteniendo la con</w:t>
      </w:r>
      <w:r w:rsidR="002430CC">
        <w:t>s</w:t>
      </w:r>
      <w:r>
        <w:t xml:space="preserve">ciencia anclada en </w:t>
      </w:r>
      <w:r w:rsidR="004C2621">
        <w:t xml:space="preserve">dicho </w:t>
      </w:r>
      <w:r>
        <w:t>objeto.</w:t>
      </w:r>
    </w:p>
    <w:p w14:paraId="1199664D" w14:textId="3DD25FE4" w:rsidR="00C16043" w:rsidRDefault="00C16043" w:rsidP="00C16043">
      <w:r>
        <w:t xml:space="preserve">89. </w:t>
      </w:r>
      <w:r>
        <w:tab/>
        <w:t>Y, aunque a veces no est</w:t>
      </w:r>
      <w:r w:rsidR="00283648">
        <w:t>én</w:t>
      </w:r>
      <w:r>
        <w:t xml:space="preserve"> separado</w:t>
      </w:r>
      <w:r w:rsidR="00283648">
        <w:t>s</w:t>
      </w:r>
      <w:r>
        <w:t xml:space="preserve">, </w:t>
      </w:r>
      <w:r w:rsidR="004C2621" w:rsidRPr="004C2621">
        <w:rPr>
          <w:i/>
          <w:iCs/>
        </w:rPr>
        <w:t>la aplicación mental</w:t>
      </w:r>
      <w:r>
        <w:t xml:space="preserve"> </w:t>
      </w:r>
      <w:r w:rsidR="000F3A6D">
        <w:t>corresponderá a</w:t>
      </w:r>
      <w:r>
        <w:t xml:space="preserve">l primer </w:t>
      </w:r>
      <w:r w:rsidR="004C2621">
        <w:t>contacto</w:t>
      </w:r>
      <w:r>
        <w:t xml:space="preserve"> ment</w:t>
      </w:r>
      <w:r w:rsidR="000F3A6D">
        <w:t>al</w:t>
      </w:r>
      <w:r>
        <w:t xml:space="preserve"> </w:t>
      </w:r>
      <w:r w:rsidR="004C2621">
        <w:t xml:space="preserve">con el objeto </w:t>
      </w:r>
      <w:r>
        <w:t xml:space="preserve">en el sentido de que </w:t>
      </w:r>
      <w:r w:rsidR="000F3A6D">
        <w:t xml:space="preserve">será </w:t>
      </w:r>
      <w:r>
        <w:t xml:space="preserve">a la vez burdo e </w:t>
      </w:r>
      <w:r w:rsidR="000C59C4">
        <w:t>inicial</w:t>
      </w:r>
      <w:r>
        <w:t xml:space="preserve">, como el sonido de una campana. </w:t>
      </w:r>
      <w:r w:rsidR="004C2621" w:rsidRPr="004C2621">
        <w:rPr>
          <w:i/>
          <w:iCs/>
        </w:rPr>
        <w:t>La sustentación mental</w:t>
      </w:r>
      <w:r w:rsidR="004C2621">
        <w:t xml:space="preserve"> </w:t>
      </w:r>
      <w:r w:rsidR="00272E1C">
        <w:t>corresponderá a</w:t>
      </w:r>
      <w:r>
        <w:t xml:space="preserve">l acto de mantener la mente anclada, en el sentido de </w:t>
      </w:r>
      <w:r w:rsidR="00272E1C">
        <w:t xml:space="preserve">ser </w:t>
      </w:r>
      <w:r>
        <w:t xml:space="preserve">sutil con la esencia individual de la presión continua, como </w:t>
      </w:r>
      <w:r w:rsidR="004327FF">
        <w:t xml:space="preserve">la resonancia </w:t>
      </w:r>
      <w:r>
        <w:t xml:space="preserve">de </w:t>
      </w:r>
      <w:r w:rsidR="004327FF">
        <w:t>un</w:t>
      </w:r>
      <w:r>
        <w:t>a campana</w:t>
      </w:r>
      <w:r w:rsidR="004327FF">
        <w:t xml:space="preserve"> después de </w:t>
      </w:r>
      <w:r w:rsidR="00272E1C">
        <w:t xml:space="preserve">ser </w:t>
      </w:r>
      <w:r w:rsidR="004327FF">
        <w:t>tocada</w:t>
      </w:r>
      <w:r>
        <w:t xml:space="preserve">. </w:t>
      </w:r>
      <w:r w:rsidR="004327FF" w:rsidRPr="004327FF">
        <w:t>La</w:t>
      </w:r>
      <w:r w:rsidR="004327FF">
        <w:rPr>
          <w:i/>
          <w:iCs/>
        </w:rPr>
        <w:t xml:space="preserve"> aplicación mental</w:t>
      </w:r>
      <w:r w:rsidR="004327FF">
        <w:t xml:space="preserve"> </w:t>
      </w:r>
      <w:r>
        <w:t>interven</w:t>
      </w:r>
      <w:r w:rsidR="006A46C1">
        <w:t>drá</w:t>
      </w:r>
      <w:r>
        <w:t xml:space="preserve">, </w:t>
      </w:r>
      <w:r w:rsidR="006A46C1">
        <w:t>al corresponder a un</w:t>
      </w:r>
      <w:r>
        <w:t>a interferencia de la con</w:t>
      </w:r>
      <w:r w:rsidR="00BB69CE">
        <w:t>s</w:t>
      </w:r>
      <w:r>
        <w:t xml:space="preserve">ciencia en el momento del primer despertar </w:t>
      </w:r>
      <w:r w:rsidR="009B2F95">
        <w:t>mental</w:t>
      </w:r>
      <w:r>
        <w:t>, como un pájaro que desplega</w:t>
      </w:r>
      <w:r w:rsidR="002F136A">
        <w:t>se</w:t>
      </w:r>
      <w:r>
        <w:t xml:space="preserve"> sus alas cuando est</w:t>
      </w:r>
      <w:r w:rsidR="00190688">
        <w:t>uviese</w:t>
      </w:r>
      <w:r>
        <w:t xml:space="preserve"> a punto de elevarse en el aire, </w:t>
      </w:r>
      <w:r w:rsidR="006A46C1">
        <w:t>o</w:t>
      </w:r>
      <w:r>
        <w:t xml:space="preserve"> como una abeja que se </w:t>
      </w:r>
      <w:r w:rsidR="00190688">
        <w:t>zambullese</w:t>
      </w:r>
      <w:r>
        <w:t xml:space="preserve"> </w:t>
      </w:r>
      <w:r w:rsidR="00190688">
        <w:t xml:space="preserve">dentro de </w:t>
      </w:r>
      <w:r>
        <w:t xml:space="preserve">un loto cuando </w:t>
      </w:r>
      <w:r w:rsidR="00190688">
        <w:t xml:space="preserve">tuviese </w:t>
      </w:r>
      <w:r>
        <w:t xml:space="preserve">la intención de seguir el </w:t>
      </w:r>
      <w:r w:rsidR="00190688">
        <w:t xml:space="preserve">sendero </w:t>
      </w:r>
      <w:r w:rsidR="00BB69CE">
        <w:t>del</w:t>
      </w:r>
      <w:r>
        <w:t xml:space="preserve"> olor </w:t>
      </w:r>
      <w:r w:rsidR="00190688">
        <w:t xml:space="preserve">en </w:t>
      </w:r>
      <w:r>
        <w:t>ella. El comportamiento de</w:t>
      </w:r>
      <w:r w:rsidR="009B2F95">
        <w:t xml:space="preserve"> </w:t>
      </w:r>
      <w:r w:rsidR="00D3189C" w:rsidRPr="00D3189C">
        <w:t>la</w:t>
      </w:r>
      <w:r w:rsidR="00D3189C">
        <w:rPr>
          <w:i/>
          <w:iCs/>
        </w:rPr>
        <w:t xml:space="preserve"> sustentación mental</w:t>
      </w:r>
      <w:r w:rsidR="00D3189C">
        <w:t xml:space="preserve"> </w:t>
      </w:r>
      <w:r w:rsidR="006A46C1">
        <w:t xml:space="preserve">será </w:t>
      </w:r>
      <w:r>
        <w:t>silencioso, siendo casi la no</w:t>
      </w:r>
      <w:r w:rsidR="006A46C1">
        <w:t>–</w:t>
      </w:r>
      <w:r>
        <w:t>interferencia de la con</w:t>
      </w:r>
      <w:r w:rsidR="00CD0F21">
        <w:t>s</w:t>
      </w:r>
      <w:r>
        <w:t>ciencia, como el planeo de</w:t>
      </w:r>
      <w:r w:rsidR="006A46C1">
        <w:t xml:space="preserve"> un</w:t>
      </w:r>
      <w:r>
        <w:t xml:space="preserve"> pájaro con las alas extendidas después de elevarse en el aire, </w:t>
      </w:r>
      <w:r w:rsidR="00881303">
        <w:t>o</w:t>
      </w:r>
      <w:r>
        <w:t xml:space="preserve"> como el zumbido de la abeja sobre el loto después de que se ha</w:t>
      </w:r>
      <w:r w:rsidR="00881303">
        <w:t>ya</w:t>
      </w:r>
      <w:r>
        <w:t xml:space="preserve"> lanzado hacia él.</w:t>
      </w:r>
    </w:p>
    <w:p w14:paraId="3A2BF042" w14:textId="31DCA492" w:rsidR="00C16043" w:rsidRDefault="00C16043" w:rsidP="00C16043">
      <w:r>
        <w:t xml:space="preserve">90. </w:t>
      </w:r>
      <w:r>
        <w:tab/>
        <w:t xml:space="preserve">En el comentario al </w:t>
      </w:r>
      <w:r w:rsidRPr="00850B0E">
        <w:rPr>
          <w:i/>
          <w:iCs/>
        </w:rPr>
        <w:t xml:space="preserve">Libro de </w:t>
      </w:r>
      <w:r w:rsidR="00DC7BA7" w:rsidRPr="00850B0E">
        <w:rPr>
          <w:i/>
          <w:iCs/>
        </w:rPr>
        <w:t>Los Dos</w:t>
      </w:r>
      <w:r w:rsidRPr="00850B0E">
        <w:rPr>
          <w:i/>
          <w:iCs/>
          <w:vertAlign w:val="superscript"/>
        </w:rPr>
        <w:t>26</w:t>
      </w:r>
      <w:r>
        <w:t xml:space="preserve"> se dice esto: “</w:t>
      </w:r>
      <w:r w:rsidR="00850B0E" w:rsidRPr="00850B0E">
        <w:t>La</w:t>
      </w:r>
      <w:r w:rsidR="00850B0E">
        <w:rPr>
          <w:i/>
          <w:iCs/>
        </w:rPr>
        <w:t xml:space="preserve"> aplicación mental</w:t>
      </w:r>
      <w:r w:rsidR="00850B0E">
        <w:t xml:space="preserve"> </w:t>
      </w:r>
      <w:r>
        <w:t>ocurre como un estado de dirigir la mente hacia un objeto, como el movimiento de un gran pájaro despegando en el aire al atacar el aire con ambas alas y forz</w:t>
      </w:r>
      <w:r w:rsidR="00FF52F4">
        <w:t>a</w:t>
      </w:r>
      <w:r w:rsidR="00104CAB">
        <w:t>ndo</w:t>
      </w:r>
      <w:r w:rsidR="00FF52F4">
        <w:t xml:space="preserve"> el despegue</w:t>
      </w:r>
      <w:r>
        <w:t xml:space="preserve">. </w:t>
      </w:r>
      <w:r w:rsidR="00104CAB">
        <w:t>De arriba</w:t>
      </w:r>
      <w:r>
        <w:t xml:space="preserve"> hacia abajo. Porque </w:t>
      </w:r>
      <w:r w:rsidR="00A87A2C">
        <w:t xml:space="preserve">producirá la </w:t>
      </w:r>
      <w:r>
        <w:t>absorción al unifica</w:t>
      </w:r>
      <w:r w:rsidR="00A87A2C">
        <w:t>rse</w:t>
      </w:r>
      <w:r>
        <w:t xml:space="preserve">. </w:t>
      </w:r>
      <w:r w:rsidR="00A87A2C" w:rsidRPr="00A87A2C">
        <w:t>La</w:t>
      </w:r>
      <w:r w:rsidR="00A87A2C">
        <w:rPr>
          <w:i/>
          <w:iCs/>
        </w:rPr>
        <w:t xml:space="preserve"> sustentación mental</w:t>
      </w:r>
      <w:r>
        <w:t xml:space="preserve"> ocurre con la esencia individual de la presión continua, como el movimiento del pájaro cuando está usando (activando) </w:t>
      </w:r>
    </w:p>
    <w:p w14:paraId="1221373F" w14:textId="77777777" w:rsidR="00C16043" w:rsidRDefault="00C16043" w:rsidP="00C16043">
      <w:pPr>
        <w:pStyle w:val="PiedepginaLegal"/>
        <w:rPr>
          <w:u w:val="single"/>
        </w:rPr>
      </w:pPr>
      <w:r>
        <w:rPr>
          <w:u w:val="single"/>
        </w:rPr>
        <w:tab/>
      </w:r>
      <w:r>
        <w:rPr>
          <w:u w:val="single"/>
        </w:rPr>
        <w:tab/>
      </w:r>
      <w:r>
        <w:rPr>
          <w:u w:val="single"/>
        </w:rPr>
        <w:tab/>
      </w:r>
      <w:r>
        <w:rPr>
          <w:u w:val="single"/>
        </w:rPr>
        <w:tab/>
        <w:t>.</w:t>
      </w:r>
    </w:p>
    <w:p w14:paraId="7CB3D90C" w14:textId="750CAC2D" w:rsidR="00C16043" w:rsidRDefault="00C16043" w:rsidP="00C16043">
      <w:pPr>
        <w:pStyle w:val="PiedepginaLegal"/>
      </w:pPr>
      <w:r>
        <w:t xml:space="preserve">25. </w:t>
      </w:r>
      <w:r>
        <w:tab/>
      </w:r>
      <w:proofErr w:type="spellStart"/>
      <w:r w:rsidRPr="00787651">
        <w:rPr>
          <w:i/>
          <w:iCs/>
        </w:rPr>
        <w:t>Ūhana</w:t>
      </w:r>
      <w:proofErr w:type="spellEnd"/>
      <w:r>
        <w:t xml:space="preserve">—“golpear”: posiblemente conectado con </w:t>
      </w:r>
      <w:proofErr w:type="spellStart"/>
      <w:r w:rsidRPr="00787651">
        <w:rPr>
          <w:i/>
          <w:iCs/>
        </w:rPr>
        <w:t>ūhanati</w:t>
      </w:r>
      <w:proofErr w:type="spellEnd"/>
      <w:r>
        <w:t xml:space="preserve"> (perturbar—ver M I 243; II 193). Obviamente conectado aquí con el significado de </w:t>
      </w:r>
      <w:proofErr w:type="spellStart"/>
      <w:r w:rsidRPr="00787651">
        <w:rPr>
          <w:i/>
          <w:iCs/>
        </w:rPr>
        <w:t>āhananapariyāhanana</w:t>
      </w:r>
      <w:proofErr w:type="spellEnd"/>
      <w:r>
        <w:t xml:space="preserve"> ("golpear y trillar") en la siguiente línea. Para los símiles que siguen aquí, véase </w:t>
      </w:r>
      <w:proofErr w:type="spellStart"/>
      <w:r>
        <w:t>Pe</w:t>
      </w:r>
      <w:r w:rsidR="00787651">
        <w:t>ṭ</w:t>
      </w:r>
      <w:proofErr w:type="spellEnd"/>
      <w:r>
        <w:t xml:space="preserve"> 142.</w:t>
      </w:r>
    </w:p>
    <w:p w14:paraId="1182435D" w14:textId="59824D90" w:rsidR="00C16043" w:rsidRDefault="00C16043" w:rsidP="00C16043">
      <w:pPr>
        <w:pStyle w:val="PiedepginaLegal"/>
      </w:pPr>
      <w:r>
        <w:t xml:space="preserve">26. </w:t>
      </w:r>
      <w:r>
        <w:tab/>
        <w:t xml:space="preserve">¿Del </w:t>
      </w:r>
      <w:proofErr w:type="spellStart"/>
      <w:r>
        <w:t>Aṅguttara</w:t>
      </w:r>
      <w:proofErr w:type="spellEnd"/>
      <w:r>
        <w:t xml:space="preserve"> Nikāya? [El original no se pudo rastrear en ninguna parte del </w:t>
      </w:r>
      <w:r w:rsidRPr="00787651">
        <w:rPr>
          <w:i/>
          <w:iCs/>
        </w:rPr>
        <w:t>Tipiṭaka</w:t>
      </w:r>
      <w:r>
        <w:t xml:space="preserve">, </w:t>
      </w:r>
      <w:proofErr w:type="spellStart"/>
      <w:r w:rsidRPr="00787651">
        <w:rPr>
          <w:i/>
          <w:iCs/>
        </w:rPr>
        <w:t>Aṭṭhakathā</w:t>
      </w:r>
      <w:proofErr w:type="spellEnd"/>
      <w:r>
        <w:t xml:space="preserve"> y otros textos contenidos en la edición digitalizada </w:t>
      </w:r>
      <w:proofErr w:type="spellStart"/>
      <w:r w:rsidRPr="00787651">
        <w:rPr>
          <w:i/>
          <w:iCs/>
        </w:rPr>
        <w:t>Chaṭṭha</w:t>
      </w:r>
      <w:proofErr w:type="spellEnd"/>
      <w:r>
        <w:t xml:space="preserve"> ​​</w:t>
      </w:r>
      <w:proofErr w:type="spellStart"/>
      <w:r w:rsidRPr="00787651">
        <w:rPr>
          <w:i/>
          <w:iCs/>
        </w:rPr>
        <w:t>Saṅgāyana</w:t>
      </w:r>
      <w:proofErr w:type="spellEnd"/>
      <w:r>
        <w:t xml:space="preserve"> del Vipassana </w:t>
      </w:r>
      <w:proofErr w:type="spellStart"/>
      <w:r>
        <w:t>Research</w:t>
      </w:r>
      <w:proofErr w:type="spellEnd"/>
      <w:r>
        <w:t xml:space="preserve"> </w:t>
      </w:r>
      <w:proofErr w:type="spellStart"/>
      <w:r>
        <w:t>Institute</w:t>
      </w:r>
      <w:proofErr w:type="spellEnd"/>
      <w:r>
        <w:t xml:space="preserve">. </w:t>
      </w:r>
      <w:proofErr w:type="spellStart"/>
      <w:r>
        <w:t>Dhs</w:t>
      </w:r>
      <w:proofErr w:type="spellEnd"/>
      <w:r>
        <w:t xml:space="preserve">-a 114 cita el mismo pasaje, pero da la fuente como </w:t>
      </w:r>
      <w:proofErr w:type="spellStart"/>
      <w:r w:rsidRPr="00787651">
        <w:rPr>
          <w:i/>
          <w:iCs/>
        </w:rPr>
        <w:t>aṭṭhakathāyaṃ</w:t>
      </w:r>
      <w:proofErr w:type="spellEnd"/>
      <w:r>
        <w:t>, “en el comentario”. edición BPS].</w:t>
      </w:r>
      <w:r>
        <w:br w:type="page"/>
      </w:r>
    </w:p>
    <w:p w14:paraId="3AEA045B" w14:textId="77777777" w:rsidR="00C16043" w:rsidRDefault="00C16043" w:rsidP="00C16043"/>
    <w:p w14:paraId="183F826A" w14:textId="469D4A1F" w:rsidR="0014528C" w:rsidRDefault="00EE5A4E" w:rsidP="0014528C">
      <w:r>
        <w:t xml:space="preserve">sus alas </w:t>
      </w:r>
      <w:r w:rsidR="005666DF">
        <w:t>con el propósito de s</w:t>
      </w:r>
      <w:r>
        <w:t>u</w:t>
      </w:r>
      <w:r w:rsidR="005666DF">
        <w:t>sten</w:t>
      </w:r>
      <w:r>
        <w:t>tar</w:t>
      </w:r>
      <w:r w:rsidR="005666DF">
        <w:t xml:space="preserve">se </w:t>
      </w:r>
      <w:r w:rsidR="00A87A2C">
        <w:t xml:space="preserve">o planear </w:t>
      </w:r>
      <w:r w:rsidR="0014528C">
        <w:t xml:space="preserve">en el aire. </w:t>
      </w:r>
      <w:r>
        <w:t xml:space="preserve">Ya </w:t>
      </w:r>
      <w:r w:rsidR="0014528C">
        <w:t xml:space="preserve">que </w:t>
      </w:r>
      <w:r w:rsidR="00A87A2C">
        <w:t>se mantendrá</w:t>
      </w:r>
      <w:r w:rsidR="0014528C">
        <w:t xml:space="preserve"> presionando al objeto”.</w:t>
      </w:r>
      <w:r w:rsidR="0014528C" w:rsidRPr="009E35D5">
        <w:rPr>
          <w:vertAlign w:val="superscript"/>
        </w:rPr>
        <w:t>27</w:t>
      </w:r>
      <w:r w:rsidR="0014528C">
        <w:t xml:space="preserve"> Eso encaja</w:t>
      </w:r>
      <w:r w:rsidR="00A87A2C">
        <w:t>rá</w:t>
      </w:r>
      <w:r w:rsidR="0014528C">
        <w:t xml:space="preserve"> con la ocurrencia de este último como </w:t>
      </w:r>
      <w:r w:rsidR="00A87A2C">
        <w:t xml:space="preserve">un </w:t>
      </w:r>
      <w:r w:rsidR="0014528C">
        <w:t xml:space="preserve">anclaje. Esta diferencia </w:t>
      </w:r>
      <w:r w:rsidR="00B04E5E">
        <w:t>entre</w:t>
      </w:r>
      <w:r w:rsidR="0014528C">
        <w:t xml:space="preserve"> ellos se hace evidente en el primer y segundo </w:t>
      </w:r>
      <w:proofErr w:type="spellStart"/>
      <w:r w:rsidR="00057BF4" w:rsidRPr="00057BF4">
        <w:rPr>
          <w:i/>
          <w:iCs/>
        </w:rPr>
        <w:t>jhāna</w:t>
      </w:r>
      <w:proofErr w:type="spellEnd"/>
      <w:r w:rsidR="0014528C">
        <w:t xml:space="preserve"> [en el cálculo quíntuple].</w:t>
      </w:r>
    </w:p>
    <w:p w14:paraId="577ADC92" w14:textId="1BF287D3" w:rsidR="0014528C" w:rsidRDefault="0014528C" w:rsidP="0014528C">
      <w:r>
        <w:t xml:space="preserve">91. </w:t>
      </w:r>
      <w:r>
        <w:tab/>
        <w:t xml:space="preserve">Además, </w:t>
      </w:r>
      <w:r w:rsidR="00AE51AC">
        <w:rPr>
          <w:i/>
          <w:iCs/>
        </w:rPr>
        <w:t>la aplicación mental</w:t>
      </w:r>
      <w:r w:rsidR="00AE51AC">
        <w:t xml:space="preserve"> </w:t>
      </w:r>
      <w:r>
        <w:t xml:space="preserve">es como la mano que </w:t>
      </w:r>
      <w:r w:rsidR="008154C6">
        <w:t>aprieta</w:t>
      </w:r>
      <w:r>
        <w:t xml:space="preserve"> firmemente y </w:t>
      </w:r>
      <w:r w:rsidR="00E16A65">
        <w:rPr>
          <w:i/>
          <w:iCs/>
        </w:rPr>
        <w:t>la sustentación mental</w:t>
      </w:r>
      <w:r w:rsidR="00E16A65">
        <w:t xml:space="preserve"> </w:t>
      </w:r>
      <w:r>
        <w:t xml:space="preserve">es como la mano que frota, </w:t>
      </w:r>
      <w:r w:rsidR="00B450C5">
        <w:t xml:space="preserve">en el caso </w:t>
      </w:r>
      <w:r w:rsidR="00A757FC">
        <w:t>similar</w:t>
      </w:r>
      <w:r>
        <w:t xml:space="preserve"> </w:t>
      </w:r>
      <w:r w:rsidR="00AE791F">
        <w:t xml:space="preserve">a la situación cuando </w:t>
      </w:r>
      <w:r>
        <w:t>uno agarra firmemente un plato de metal deslustrado con una mano y lo frota con polvo</w:t>
      </w:r>
      <w:r w:rsidR="00364B59">
        <w:t>,</w:t>
      </w:r>
      <w:r>
        <w:t xml:space="preserve"> aceite y una almohadilla de lana con la otra mano. </w:t>
      </w:r>
      <w:r w:rsidR="00AE791F">
        <w:t>Similarmente</w:t>
      </w:r>
      <w:r>
        <w:t xml:space="preserve">, cuando un alfarero ha hecho girar su torno con un golpe en el palo y está haciendo un plato [143], </w:t>
      </w:r>
      <w:r w:rsidR="00A442ED">
        <w:t xml:space="preserve">la </w:t>
      </w:r>
      <w:r>
        <w:t>mano que sosten</w:t>
      </w:r>
      <w:r w:rsidR="00AE791F">
        <w:t>ga</w:t>
      </w:r>
      <w:r>
        <w:t xml:space="preserve"> </w:t>
      </w:r>
      <w:r w:rsidR="00A442ED">
        <w:t xml:space="preserve">el objeto </w:t>
      </w:r>
      <w:r w:rsidR="00AE791F">
        <w:t xml:space="preserve">será </w:t>
      </w:r>
      <w:r>
        <w:t xml:space="preserve">como </w:t>
      </w:r>
      <w:r w:rsidR="00E42E2D">
        <w:rPr>
          <w:i/>
          <w:iCs/>
        </w:rPr>
        <w:t>la aplicación mental</w:t>
      </w:r>
      <w:r>
        <w:t xml:space="preserve"> y </w:t>
      </w:r>
      <w:r w:rsidR="00AE791F">
        <w:t>la otra</w:t>
      </w:r>
      <w:r>
        <w:t xml:space="preserve"> mano que </w:t>
      </w:r>
      <w:r w:rsidR="00FD724C">
        <w:t xml:space="preserve">se </w:t>
      </w:r>
      <w:r>
        <w:t>muev</w:t>
      </w:r>
      <w:r w:rsidR="00FD724C">
        <w:t>a</w:t>
      </w:r>
      <w:r>
        <w:t xml:space="preserve"> de un lado a otro </w:t>
      </w:r>
      <w:r w:rsidR="00FD724C">
        <w:t xml:space="preserve">será </w:t>
      </w:r>
      <w:r>
        <w:t xml:space="preserve">como </w:t>
      </w:r>
      <w:r w:rsidR="007244CE">
        <w:rPr>
          <w:i/>
          <w:iCs/>
        </w:rPr>
        <w:t>la sustentación mental</w:t>
      </w:r>
      <w:r>
        <w:t>. Asimismo, cuando uno est</w:t>
      </w:r>
      <w:r w:rsidR="00FD724C">
        <w:t>é</w:t>
      </w:r>
      <w:r>
        <w:t xml:space="preserve"> dibujando un círculo, el alfiler que permane</w:t>
      </w:r>
      <w:r w:rsidR="004C2D09">
        <w:t>zca</w:t>
      </w:r>
      <w:r>
        <w:t xml:space="preserve"> fijo en el centro </w:t>
      </w:r>
      <w:r w:rsidR="00FD724C">
        <w:t xml:space="preserve">será </w:t>
      </w:r>
      <w:r>
        <w:t xml:space="preserve">como </w:t>
      </w:r>
      <w:r w:rsidR="003D2693">
        <w:rPr>
          <w:i/>
          <w:iCs/>
        </w:rPr>
        <w:t>la aplicación mental</w:t>
      </w:r>
      <w:r>
        <w:t>, que se diri</w:t>
      </w:r>
      <w:r w:rsidR="00FD724C">
        <w:t>ja</w:t>
      </w:r>
      <w:r>
        <w:t xml:space="preserve"> hacia el objeto, y el alfiler que gir</w:t>
      </w:r>
      <w:r w:rsidR="00FD724C">
        <w:t>e</w:t>
      </w:r>
      <w:r>
        <w:t xml:space="preserve"> alrededor de él </w:t>
      </w:r>
      <w:r w:rsidR="00FD724C">
        <w:t xml:space="preserve">será </w:t>
      </w:r>
      <w:r>
        <w:t xml:space="preserve">como </w:t>
      </w:r>
      <w:r w:rsidR="003D2693">
        <w:rPr>
          <w:i/>
          <w:iCs/>
        </w:rPr>
        <w:t>la sustentación mental</w:t>
      </w:r>
      <w:r>
        <w:t xml:space="preserve">, </w:t>
      </w:r>
      <w:r w:rsidR="00FD724C">
        <w:t>el cual</w:t>
      </w:r>
      <w:r>
        <w:t xml:space="preserve"> presiona</w:t>
      </w:r>
      <w:r w:rsidR="00FD724C">
        <w:t xml:space="preserve"> </w:t>
      </w:r>
      <w:r>
        <w:t>continuamente.</w:t>
      </w:r>
    </w:p>
    <w:p w14:paraId="1F6CB27F" w14:textId="48C0AC32" w:rsidR="0014528C" w:rsidRDefault="0014528C" w:rsidP="0014528C">
      <w:r>
        <w:t xml:space="preserve">92. </w:t>
      </w:r>
      <w:r>
        <w:tab/>
        <w:t xml:space="preserve">Así que este </w:t>
      </w:r>
      <w:proofErr w:type="spellStart"/>
      <w:r w:rsidR="00057BF4" w:rsidRPr="00057BF4">
        <w:rPr>
          <w:i/>
          <w:iCs/>
        </w:rPr>
        <w:t>jhāna</w:t>
      </w:r>
      <w:proofErr w:type="spellEnd"/>
      <w:r w:rsidR="00787651">
        <w:t xml:space="preserve"> </w:t>
      </w:r>
      <w:r>
        <w:t>ocurr</w:t>
      </w:r>
      <w:r w:rsidR="003D0368">
        <w:t>irá</w:t>
      </w:r>
      <w:r>
        <w:t xml:space="preserve"> junto con </w:t>
      </w:r>
      <w:r w:rsidRPr="003E19A6">
        <w:t>est</w:t>
      </w:r>
      <w:r w:rsidR="003E19A6" w:rsidRPr="003E19A6">
        <w:t>a</w:t>
      </w:r>
      <w:r w:rsidR="003E19A6">
        <w:rPr>
          <w:i/>
          <w:iCs/>
        </w:rPr>
        <w:t xml:space="preserve"> </w:t>
      </w:r>
      <w:proofErr w:type="gramStart"/>
      <w:r w:rsidR="003E19A6">
        <w:rPr>
          <w:i/>
          <w:iCs/>
        </w:rPr>
        <w:t>aplicación mental</w:t>
      </w:r>
      <w:r w:rsidR="003E19A6">
        <w:t xml:space="preserve"> </w:t>
      </w:r>
      <w:r>
        <w:t xml:space="preserve">y </w:t>
      </w:r>
      <w:r w:rsidR="003E19A6">
        <w:t>esta</w:t>
      </w:r>
      <w:r w:rsidR="003E19A6">
        <w:rPr>
          <w:i/>
          <w:iCs/>
        </w:rPr>
        <w:t xml:space="preserve"> sustentación mental</w:t>
      </w:r>
      <w:proofErr w:type="gramEnd"/>
      <w:r w:rsidR="003E19A6">
        <w:t xml:space="preserve"> </w:t>
      </w:r>
      <w:r>
        <w:t xml:space="preserve">y se </w:t>
      </w:r>
      <w:r w:rsidR="009B412D">
        <w:t>le describe como</w:t>
      </w:r>
      <w:r>
        <w:t xml:space="preserve">, “acompañado por </w:t>
      </w:r>
      <w:r w:rsidR="003E19A6">
        <w:rPr>
          <w:i/>
          <w:iCs/>
        </w:rPr>
        <w:t>la aplicación mental</w:t>
      </w:r>
      <w:r w:rsidR="003E19A6">
        <w:t xml:space="preserve"> </w:t>
      </w:r>
      <w:r w:rsidRPr="002823BC">
        <w:rPr>
          <w:i/>
          <w:iCs/>
        </w:rPr>
        <w:t>y</w:t>
      </w:r>
      <w:r>
        <w:t xml:space="preserve"> </w:t>
      </w:r>
      <w:r w:rsidR="003E19A6">
        <w:rPr>
          <w:i/>
          <w:iCs/>
        </w:rPr>
        <w:t>la sustentación mental</w:t>
      </w:r>
      <w:r>
        <w:t xml:space="preserve">” </w:t>
      </w:r>
      <w:r w:rsidR="009B412D">
        <w:t xml:space="preserve">tal </w:t>
      </w:r>
      <w:r>
        <w:t xml:space="preserve">como se </w:t>
      </w:r>
      <w:r w:rsidR="009B412D">
        <w:t xml:space="preserve">le </w:t>
      </w:r>
      <w:r>
        <w:t xml:space="preserve">llama </w:t>
      </w:r>
      <w:r w:rsidR="009B412D">
        <w:t xml:space="preserve">a </w:t>
      </w:r>
      <w:r>
        <w:t xml:space="preserve">un árbol </w:t>
      </w:r>
      <w:r w:rsidR="009B412D">
        <w:t xml:space="preserve">como </w:t>
      </w:r>
      <w:r>
        <w:t xml:space="preserve">“acompañado de flores y frutos”. Pero en el </w:t>
      </w:r>
      <w:proofErr w:type="spellStart"/>
      <w:r w:rsidRPr="00787651">
        <w:rPr>
          <w:i/>
          <w:iCs/>
        </w:rPr>
        <w:t>Vibhaṇga</w:t>
      </w:r>
      <w:proofErr w:type="spellEnd"/>
      <w:r>
        <w:t xml:space="preserve"> la enseñanza se da en términos de una persona</w:t>
      </w:r>
      <w:r w:rsidRPr="009E35D5">
        <w:rPr>
          <w:vertAlign w:val="superscript"/>
        </w:rPr>
        <w:t>28</w:t>
      </w:r>
      <w:r>
        <w:t xml:space="preserve"> en el </w:t>
      </w:r>
      <w:r w:rsidR="00FD724C">
        <w:t>pasaje</w:t>
      </w:r>
      <w:r>
        <w:t xml:space="preserve"> que comienza, “Él está poseído, completamente poseído, por est</w:t>
      </w:r>
      <w:r w:rsidR="002823BC">
        <w:t>a</w:t>
      </w:r>
      <w:r>
        <w:t xml:space="preserve"> </w:t>
      </w:r>
      <w:proofErr w:type="gramStart"/>
      <w:r w:rsidR="002823BC">
        <w:rPr>
          <w:i/>
          <w:iCs/>
        </w:rPr>
        <w:t>aplicación mental</w:t>
      </w:r>
      <w:r w:rsidR="002823BC">
        <w:t xml:space="preserve"> </w:t>
      </w:r>
      <w:r>
        <w:t>y est</w:t>
      </w:r>
      <w:r w:rsidR="002823BC">
        <w:t>a</w:t>
      </w:r>
      <w:r>
        <w:t xml:space="preserve"> </w:t>
      </w:r>
      <w:r w:rsidR="002823BC">
        <w:rPr>
          <w:i/>
          <w:iCs/>
        </w:rPr>
        <w:t>sustentación mental</w:t>
      </w:r>
      <w:proofErr w:type="gramEnd"/>
      <w:r>
        <w:t>” (</w:t>
      </w:r>
      <w:proofErr w:type="spellStart"/>
      <w:r>
        <w:t>Vibh</w:t>
      </w:r>
      <w:proofErr w:type="spellEnd"/>
      <w:r>
        <w:t xml:space="preserve"> 257). </w:t>
      </w:r>
      <w:r w:rsidR="00FD724C">
        <w:t>Allí también e</w:t>
      </w:r>
      <w:r>
        <w:t>l significado debe considerarse de la misma manera.</w:t>
      </w:r>
    </w:p>
    <w:p w14:paraId="2808635E" w14:textId="171AA43D" w:rsidR="0014528C" w:rsidRDefault="0014528C" w:rsidP="0014528C">
      <w:r>
        <w:t xml:space="preserve">93. </w:t>
      </w:r>
      <w:r>
        <w:tab/>
      </w:r>
      <w:r w:rsidR="00B97FDA">
        <w:rPr>
          <w:i/>
          <w:iCs/>
        </w:rPr>
        <w:t>Surgid</w:t>
      </w:r>
      <w:r w:rsidR="004D2E72">
        <w:rPr>
          <w:i/>
          <w:iCs/>
        </w:rPr>
        <w:t>as</w:t>
      </w:r>
      <w:r w:rsidRPr="00A9128F">
        <w:rPr>
          <w:i/>
          <w:iCs/>
        </w:rPr>
        <w:t xml:space="preserve"> de la reclusión</w:t>
      </w:r>
      <w:r>
        <w:t xml:space="preserve">: aquí </w:t>
      </w:r>
      <w:r w:rsidR="002823BC">
        <w:t xml:space="preserve">el </w:t>
      </w:r>
      <w:r w:rsidR="00F433E2">
        <w:t>aislamiento</w:t>
      </w:r>
      <w:r>
        <w:t xml:space="preserve"> (</w:t>
      </w:r>
      <w:proofErr w:type="spellStart"/>
      <w:r w:rsidRPr="00787651">
        <w:rPr>
          <w:i/>
          <w:iCs/>
        </w:rPr>
        <w:t>vivitti</w:t>
      </w:r>
      <w:proofErr w:type="spellEnd"/>
      <w:r>
        <w:t xml:space="preserve">) </w:t>
      </w:r>
      <w:r w:rsidR="002823BC">
        <w:t xml:space="preserve">se referirá a la </w:t>
      </w:r>
      <w:r>
        <w:t>reclusión (</w:t>
      </w:r>
      <w:proofErr w:type="spellStart"/>
      <w:r w:rsidRPr="00787651">
        <w:rPr>
          <w:i/>
          <w:iCs/>
        </w:rPr>
        <w:t>viveka</w:t>
      </w:r>
      <w:proofErr w:type="spellEnd"/>
      <w:r>
        <w:t xml:space="preserve">); el significado es, desaparición de </w:t>
      </w:r>
      <w:r w:rsidR="00F433E2">
        <w:t xml:space="preserve">los </w:t>
      </w:r>
      <w:r>
        <w:t xml:space="preserve">obstáculos. O alternativamente, </w:t>
      </w:r>
      <w:r w:rsidR="00CA7467">
        <w:t>se enc</w:t>
      </w:r>
      <w:r w:rsidR="004D2E72">
        <w:t>o</w:t>
      </w:r>
      <w:r w:rsidR="00CA7467">
        <w:t>ntra</w:t>
      </w:r>
      <w:r w:rsidR="004D2E72">
        <w:t>rá</w:t>
      </w:r>
      <w:r w:rsidR="00CA7467">
        <w:t xml:space="preserve"> </w:t>
      </w:r>
      <w:r>
        <w:t>recluido (</w:t>
      </w:r>
      <w:proofErr w:type="spellStart"/>
      <w:r w:rsidRPr="00787651">
        <w:rPr>
          <w:i/>
          <w:iCs/>
        </w:rPr>
        <w:t>vivitta</w:t>
      </w:r>
      <w:proofErr w:type="spellEnd"/>
      <w:r>
        <w:t xml:space="preserve">), por lo tanto, </w:t>
      </w:r>
      <w:r w:rsidR="004D2E72">
        <w:t>se refiere a la</w:t>
      </w:r>
      <w:r>
        <w:t xml:space="preserve"> reclusión; el significado es que la colección de estados asociados con el </w:t>
      </w:r>
      <w:proofErr w:type="spellStart"/>
      <w:r w:rsidR="00057BF4" w:rsidRPr="00057BF4">
        <w:rPr>
          <w:i/>
          <w:iCs/>
        </w:rPr>
        <w:t>jhāna</w:t>
      </w:r>
      <w:proofErr w:type="spellEnd"/>
      <w:r>
        <w:t xml:space="preserve"> está aislada de los obstáculos. “</w:t>
      </w:r>
      <w:r w:rsidR="00BC6DF9">
        <w:t>Surgida</w:t>
      </w:r>
      <w:r>
        <w:t xml:space="preserve"> de </w:t>
      </w:r>
      <w:r w:rsidR="00D83CCE">
        <w:t xml:space="preserve">la </w:t>
      </w:r>
      <w:r>
        <w:t>reclusión” nace</w:t>
      </w:r>
      <w:r w:rsidR="00BC6DF9">
        <w:t>rá</w:t>
      </w:r>
      <w:r>
        <w:t xml:space="preserve"> de</w:t>
      </w:r>
      <w:r w:rsidR="002E57F8">
        <w:t>,</w:t>
      </w:r>
      <w:r>
        <w:t xml:space="preserve"> o </w:t>
      </w:r>
      <w:r w:rsidR="007A5B7E">
        <w:t>surg</w:t>
      </w:r>
      <w:r w:rsidR="00BC6DF9">
        <w:t>irá</w:t>
      </w:r>
      <w:r w:rsidR="007A5B7E">
        <w:t xml:space="preserve"> </w:t>
      </w:r>
      <w:r w:rsidR="00BC6DF9">
        <w:t>de</w:t>
      </w:r>
      <w:r w:rsidR="002E57F8">
        <w:t>,</w:t>
      </w:r>
      <w:r>
        <w:t xml:space="preserve"> ese tipo de reclusión.</w:t>
      </w:r>
    </w:p>
    <w:p w14:paraId="64D8CD96" w14:textId="64379FAE" w:rsidR="0014528C" w:rsidRDefault="0014528C" w:rsidP="0014528C">
      <w:r>
        <w:t xml:space="preserve">94. </w:t>
      </w:r>
      <w:r>
        <w:tab/>
      </w:r>
      <w:r w:rsidRPr="0033773F">
        <w:rPr>
          <w:i/>
          <w:iCs/>
        </w:rPr>
        <w:t>Felicidad y dicha</w:t>
      </w:r>
      <w:r>
        <w:t xml:space="preserve">: </w:t>
      </w:r>
      <w:r w:rsidR="002D30EE">
        <w:t xml:space="preserve">ello </w:t>
      </w:r>
      <w:r>
        <w:t>refresca (</w:t>
      </w:r>
      <w:proofErr w:type="spellStart"/>
      <w:r w:rsidRPr="00787651">
        <w:rPr>
          <w:i/>
          <w:iCs/>
        </w:rPr>
        <w:t>pīnayati</w:t>
      </w:r>
      <w:proofErr w:type="spellEnd"/>
      <w:r>
        <w:t>), por lo tanto</w:t>
      </w:r>
      <w:r w:rsidR="00D83CCE">
        <w:t>,</w:t>
      </w:r>
      <w:r>
        <w:t xml:space="preserve"> es felicidad (</w:t>
      </w:r>
      <w:proofErr w:type="spellStart"/>
      <w:r w:rsidRPr="00787651">
        <w:rPr>
          <w:i/>
          <w:iCs/>
        </w:rPr>
        <w:t>pīti</w:t>
      </w:r>
      <w:proofErr w:type="spellEnd"/>
      <w:r>
        <w:t xml:space="preserve">). Tiene la característica de </w:t>
      </w:r>
      <w:r w:rsidR="002D30EE">
        <w:t xml:space="preserve">lo </w:t>
      </w:r>
      <w:r>
        <w:t>entrañable (</w:t>
      </w:r>
      <w:proofErr w:type="spellStart"/>
      <w:r w:rsidRPr="00787651">
        <w:rPr>
          <w:i/>
          <w:iCs/>
        </w:rPr>
        <w:t>sampiyāyanā</w:t>
      </w:r>
      <w:proofErr w:type="spellEnd"/>
      <w:r>
        <w:t xml:space="preserve">). Su función es refrescar el cuerpo y la mente; o su función es impregnar (emocionar con </w:t>
      </w:r>
      <w:r w:rsidR="003D18D5">
        <w:t>arrobamiento</w:t>
      </w:r>
      <w:r>
        <w:t xml:space="preserve">). Se manifiesta como </w:t>
      </w:r>
      <w:r w:rsidR="007974DD">
        <w:t>júbilo</w:t>
      </w:r>
      <w:r>
        <w:t xml:space="preserve">. Pero es de cinco tipos: felicidad menor, felicidad momentánea, felicidad abundante, felicidad </w:t>
      </w:r>
      <w:r w:rsidR="007975C4">
        <w:t>elevada</w:t>
      </w:r>
      <w:r>
        <w:t xml:space="preserve"> y felicidad penetrante (</w:t>
      </w:r>
      <w:r w:rsidR="00D42A67">
        <w:t>arrobamiento</w:t>
      </w:r>
      <w:r>
        <w:t>).</w:t>
      </w:r>
    </w:p>
    <w:p w14:paraId="6C53D56C" w14:textId="51B76A9A" w:rsidR="0014528C" w:rsidRDefault="0014528C" w:rsidP="0014528C">
      <w:pPr>
        <w:pStyle w:val="NormalConSangria"/>
      </w:pPr>
      <w:r>
        <w:t xml:space="preserve">Aquí, la felicidad menor sólo es capaz de erizar los vellos del cuerpo. La felicidad momentánea es como </w:t>
      </w:r>
      <w:r w:rsidR="00D6532A">
        <w:t xml:space="preserve">unos </w:t>
      </w:r>
      <w:r>
        <w:t xml:space="preserve">relámpagos en diferentes momentos. Una felicidad </w:t>
      </w:r>
      <w:r w:rsidR="00D6532A">
        <w:t xml:space="preserve">abundante </w:t>
      </w:r>
      <w:r>
        <w:t>rompe</w:t>
      </w:r>
      <w:r w:rsidR="003D18D5">
        <w:t xml:space="preserve">rá </w:t>
      </w:r>
      <w:r>
        <w:t>sobre el cuerpo una y otra vez como las olas en la orilla del mar.</w:t>
      </w:r>
    </w:p>
    <w:p w14:paraId="235831F5" w14:textId="5482EA23" w:rsidR="0014528C" w:rsidRDefault="0014528C" w:rsidP="0014528C">
      <w:r>
        <w:t xml:space="preserve">95. </w:t>
      </w:r>
      <w:r>
        <w:tab/>
        <w:t xml:space="preserve">La felicidad </w:t>
      </w:r>
      <w:r w:rsidR="00D6532A">
        <w:t xml:space="preserve">elevada </w:t>
      </w:r>
      <w:r>
        <w:t xml:space="preserve">puede ser lo suficientemente poderosa como para </w:t>
      </w:r>
      <w:r w:rsidR="00C616D4">
        <w:t xml:space="preserve">hacer </w:t>
      </w:r>
      <w:r>
        <w:t xml:space="preserve">levitar el cuerpo y hacerlo </w:t>
      </w:r>
      <w:r w:rsidR="00C616D4">
        <w:t xml:space="preserve">sustentarse </w:t>
      </w:r>
      <w:r>
        <w:t xml:space="preserve">en el aire. Porque esto fue lo que le sucedió al </w:t>
      </w:r>
      <w:r w:rsidR="00787651">
        <w:t>Venerable</w:t>
      </w:r>
      <w:r>
        <w:t xml:space="preserve"> Mahā-</w:t>
      </w:r>
      <w:proofErr w:type="spellStart"/>
      <w:r>
        <w:t>Tissa</w:t>
      </w:r>
      <w:proofErr w:type="spellEnd"/>
      <w:r>
        <w:t xml:space="preserve">, residente en </w:t>
      </w:r>
      <w:proofErr w:type="spellStart"/>
      <w:r>
        <w:t>Puṇṇavallika</w:t>
      </w:r>
      <w:proofErr w:type="spellEnd"/>
      <w:r>
        <w:t xml:space="preserve">. Fue a la terraza del santuario en la tarde del día de </w:t>
      </w:r>
      <w:r w:rsidR="00D6532A">
        <w:t>Luna Llena</w:t>
      </w:r>
      <w:r>
        <w:t xml:space="preserve">. Al ver la luz de la </w:t>
      </w:r>
      <w:r w:rsidR="00D6532A">
        <w:t>Luna</w:t>
      </w:r>
      <w:r>
        <w:t xml:space="preserve">, miró en dirección al Gran Santuario [en </w:t>
      </w:r>
      <w:proofErr w:type="spellStart"/>
      <w:r>
        <w:t>Anurādhapura</w:t>
      </w:r>
      <w:proofErr w:type="spellEnd"/>
      <w:r>
        <w:t>], pensando: “</w:t>
      </w:r>
      <w:r w:rsidR="0017611E">
        <w:t>¡</w:t>
      </w:r>
      <w:r>
        <w:t xml:space="preserve">En este mismo momento, </w:t>
      </w:r>
      <w:r w:rsidR="00473ADF">
        <w:t>las</w:t>
      </w:r>
      <w:r w:rsidR="00473ADF" w:rsidRPr="00473ADF">
        <w:t xml:space="preserve"> </w:t>
      </w:r>
      <w:r w:rsidR="00473ADF">
        <w:t>cuatro asambleas</w:t>
      </w:r>
      <w:r w:rsidR="00473ADF" w:rsidRPr="00852162">
        <w:rPr>
          <w:vertAlign w:val="superscript"/>
        </w:rPr>
        <w:t>29</w:t>
      </w:r>
      <w:r w:rsidR="00473ADF">
        <w:t xml:space="preserve"> están </w:t>
      </w:r>
      <w:r w:rsidR="0017611E">
        <w:t xml:space="preserve">rindiendo respetos </w:t>
      </w:r>
      <w:r w:rsidR="00473ADF">
        <w:t xml:space="preserve">en el Gran </w:t>
      </w:r>
    </w:p>
    <w:p w14:paraId="60D062A5" w14:textId="77777777" w:rsidR="0014528C" w:rsidRDefault="0014528C" w:rsidP="0014528C">
      <w:pPr>
        <w:pStyle w:val="PiedepginaLegal"/>
        <w:rPr>
          <w:u w:val="single"/>
        </w:rPr>
      </w:pPr>
      <w:r>
        <w:rPr>
          <w:u w:val="single"/>
        </w:rPr>
        <w:tab/>
      </w:r>
      <w:r>
        <w:rPr>
          <w:u w:val="single"/>
        </w:rPr>
        <w:tab/>
      </w:r>
      <w:r>
        <w:rPr>
          <w:u w:val="single"/>
        </w:rPr>
        <w:tab/>
      </w:r>
      <w:r>
        <w:rPr>
          <w:u w:val="single"/>
        </w:rPr>
        <w:tab/>
        <w:t>.</w:t>
      </w:r>
    </w:p>
    <w:p w14:paraId="3DE3D3BA" w14:textId="71F82B9C" w:rsidR="0014528C" w:rsidRDefault="0014528C" w:rsidP="0014528C">
      <w:pPr>
        <w:pStyle w:val="PiedepginaLegal"/>
      </w:pPr>
      <w:r>
        <w:t xml:space="preserve"> 27. </w:t>
      </w:r>
      <w:r w:rsidR="00172548">
        <w:tab/>
      </w:r>
      <w:r>
        <w:t>Estas dos oraciones, “</w:t>
      </w:r>
      <w:r w:rsidRPr="00DF2BE6">
        <w:rPr>
          <w:i/>
          <w:iCs/>
        </w:rPr>
        <w:t>So</w:t>
      </w:r>
      <w:r>
        <w:t xml:space="preserve"> </w:t>
      </w:r>
      <w:r w:rsidRPr="00DF2BE6">
        <w:rPr>
          <w:i/>
          <w:iCs/>
        </w:rPr>
        <w:t>hi</w:t>
      </w:r>
      <w:r>
        <w:t xml:space="preserve"> </w:t>
      </w:r>
      <w:proofErr w:type="spellStart"/>
      <w:r w:rsidRPr="00787651">
        <w:rPr>
          <w:i/>
          <w:iCs/>
        </w:rPr>
        <w:t>ekaggo</w:t>
      </w:r>
      <w:proofErr w:type="spellEnd"/>
      <w:r w:rsidRPr="00787651">
        <w:rPr>
          <w:i/>
          <w:iCs/>
        </w:rPr>
        <w:t xml:space="preserve"> </w:t>
      </w:r>
      <w:proofErr w:type="spellStart"/>
      <w:r w:rsidRPr="00787651">
        <w:rPr>
          <w:i/>
          <w:iCs/>
        </w:rPr>
        <w:t>hutvā</w:t>
      </w:r>
      <w:proofErr w:type="spellEnd"/>
      <w:r w:rsidRPr="00787651">
        <w:rPr>
          <w:i/>
          <w:iCs/>
        </w:rPr>
        <w:t xml:space="preserve"> </w:t>
      </w:r>
      <w:proofErr w:type="spellStart"/>
      <w:r w:rsidRPr="00787651">
        <w:rPr>
          <w:i/>
          <w:iCs/>
        </w:rPr>
        <w:t>appeti</w:t>
      </w:r>
      <w:proofErr w:type="spellEnd"/>
      <w:r>
        <w:t>” y “</w:t>
      </w:r>
      <w:r w:rsidRPr="00787651">
        <w:rPr>
          <w:i/>
          <w:iCs/>
        </w:rPr>
        <w:t xml:space="preserve">So hi </w:t>
      </w:r>
      <w:proofErr w:type="spellStart"/>
      <w:r w:rsidRPr="00787651">
        <w:rPr>
          <w:i/>
          <w:iCs/>
        </w:rPr>
        <w:t>ārammaṇaṃ</w:t>
      </w:r>
      <w:proofErr w:type="spellEnd"/>
      <w:r w:rsidRPr="00787651">
        <w:rPr>
          <w:i/>
          <w:iCs/>
        </w:rPr>
        <w:t xml:space="preserve"> </w:t>
      </w:r>
      <w:proofErr w:type="spellStart"/>
      <w:r w:rsidRPr="00787651">
        <w:rPr>
          <w:i/>
          <w:iCs/>
        </w:rPr>
        <w:t>anumajjati</w:t>
      </w:r>
      <w:proofErr w:type="spellEnd"/>
      <w:r>
        <w:t xml:space="preserve">”, no están en Be y </w:t>
      </w:r>
      <w:proofErr w:type="spellStart"/>
      <w:r>
        <w:t>Ae</w:t>
      </w:r>
      <w:proofErr w:type="spellEnd"/>
      <w:r>
        <w:t>.</w:t>
      </w:r>
    </w:p>
    <w:p w14:paraId="327C39F5" w14:textId="708C411A" w:rsidR="0014528C" w:rsidRDefault="0014528C" w:rsidP="0014528C">
      <w:pPr>
        <w:pStyle w:val="PiedepginaLegal"/>
      </w:pPr>
      <w:r>
        <w:t xml:space="preserve"> 28. </w:t>
      </w:r>
      <w:r w:rsidR="00172548">
        <w:tab/>
      </w:r>
      <w:proofErr w:type="spellStart"/>
      <w:r w:rsidRPr="00787651">
        <w:rPr>
          <w:i/>
          <w:iCs/>
        </w:rPr>
        <w:t>Puggalādhiṭṭhāna</w:t>
      </w:r>
      <w:proofErr w:type="spellEnd"/>
      <w:r>
        <w:t xml:space="preserve">—“en términos de una persona”; un término </w:t>
      </w:r>
      <w:r w:rsidR="00EF50DC">
        <w:t xml:space="preserve">técnico </w:t>
      </w:r>
      <w:r>
        <w:t>de</w:t>
      </w:r>
      <w:r w:rsidR="00093B7B">
        <w:t>l</w:t>
      </w:r>
      <w:r>
        <w:t xml:space="preserve"> comentario para una forma de presentar un tema. </w:t>
      </w:r>
      <w:r w:rsidR="00E310B5">
        <w:t>Estos s</w:t>
      </w:r>
      <w:r>
        <w:t xml:space="preserve">on </w:t>
      </w:r>
      <w:r w:rsidR="00EF50DC">
        <w:t xml:space="preserve">los </w:t>
      </w:r>
      <w:proofErr w:type="spellStart"/>
      <w:r w:rsidRPr="00787651">
        <w:rPr>
          <w:i/>
          <w:iCs/>
        </w:rPr>
        <w:t>dhammā-desanā</w:t>
      </w:r>
      <w:proofErr w:type="spellEnd"/>
      <w:r>
        <w:t xml:space="preserve"> (</w:t>
      </w:r>
      <w:r w:rsidR="00EF50DC">
        <w:t xml:space="preserve">los </w:t>
      </w:r>
      <w:r>
        <w:t xml:space="preserve">discurso sobre </w:t>
      </w:r>
      <w:r w:rsidR="00EF50DC">
        <w:t xml:space="preserve">los </w:t>
      </w:r>
      <w:r>
        <w:t xml:space="preserve">principios) y </w:t>
      </w:r>
      <w:proofErr w:type="spellStart"/>
      <w:r w:rsidRPr="00787651">
        <w:rPr>
          <w:i/>
          <w:iCs/>
        </w:rPr>
        <w:t>puggala-desanā</w:t>
      </w:r>
      <w:proofErr w:type="spellEnd"/>
      <w:r>
        <w:t xml:space="preserve"> (discurso sobre </w:t>
      </w:r>
      <w:r w:rsidR="00EF50DC">
        <w:t xml:space="preserve">las </w:t>
      </w:r>
      <w:r>
        <w:t xml:space="preserve">personas), los cuales pueden tratarse como </w:t>
      </w:r>
      <w:proofErr w:type="spellStart"/>
      <w:r w:rsidRPr="00787651">
        <w:rPr>
          <w:i/>
          <w:iCs/>
        </w:rPr>
        <w:t>dhammādhiṭṭhāna</w:t>
      </w:r>
      <w:proofErr w:type="spellEnd"/>
      <w:r>
        <w:t xml:space="preserve"> (en términos de principios) o </w:t>
      </w:r>
      <w:proofErr w:type="spellStart"/>
      <w:r w:rsidRPr="00787651">
        <w:rPr>
          <w:i/>
          <w:iCs/>
        </w:rPr>
        <w:t>puggalādhiṭṭhāna</w:t>
      </w:r>
      <w:proofErr w:type="spellEnd"/>
      <w:r>
        <w:t xml:space="preserve"> (en términos de personas). Véase M-a I 24.</w:t>
      </w:r>
    </w:p>
    <w:p w14:paraId="69155076" w14:textId="77777777" w:rsidR="0014528C" w:rsidRDefault="0014528C">
      <w:pPr>
        <w:tabs>
          <w:tab w:val="clear" w:pos="425"/>
        </w:tabs>
        <w:spacing w:after="160"/>
      </w:pPr>
      <w:r>
        <w:br w:type="page"/>
      </w:r>
    </w:p>
    <w:p w14:paraId="346A6133" w14:textId="77777777" w:rsidR="000D7B7A" w:rsidRDefault="000D7B7A" w:rsidP="0014528C"/>
    <w:p w14:paraId="5C0F644A" w14:textId="77777777" w:rsidR="00EF50DC" w:rsidRDefault="00EF50DC" w:rsidP="0014528C"/>
    <w:p w14:paraId="1686CE44" w14:textId="071F605D" w:rsidR="000D7B7A" w:rsidRDefault="00C616D4" w:rsidP="000D7B7A">
      <w:r>
        <w:t xml:space="preserve">Santuario!” Por medio de </w:t>
      </w:r>
      <w:r w:rsidR="000D7B7A">
        <w:t xml:space="preserve">objetos </w:t>
      </w:r>
      <w:r w:rsidR="00D76922">
        <w:t>observados</w:t>
      </w:r>
      <w:r w:rsidR="000D7B7A">
        <w:t xml:space="preserve"> anteriormente [allí] </w:t>
      </w:r>
      <w:r w:rsidR="00D76922">
        <w:t xml:space="preserve">surgió </w:t>
      </w:r>
      <w:r w:rsidR="000D7B7A">
        <w:t xml:space="preserve">una felicidad </w:t>
      </w:r>
      <w:r w:rsidR="00EB37E5">
        <w:t xml:space="preserve">elevada </w:t>
      </w:r>
      <w:r w:rsidR="000D7B7A">
        <w:t xml:space="preserve">con el Iluminado como objeto, y se elevó en el aire como una bola pintada </w:t>
      </w:r>
      <w:r w:rsidR="00FE6D27">
        <w:t xml:space="preserve">que </w:t>
      </w:r>
      <w:r w:rsidR="00786F29">
        <w:t xml:space="preserve">hubiese </w:t>
      </w:r>
      <w:r w:rsidR="000D7B7A">
        <w:t>rebot</w:t>
      </w:r>
      <w:r w:rsidR="00786F29">
        <w:t>ado</w:t>
      </w:r>
      <w:r w:rsidR="000D7B7A">
        <w:t xml:space="preserve"> en un piso enlucido y se </w:t>
      </w:r>
      <w:r w:rsidR="00EB37E5">
        <w:t xml:space="preserve">sustentó </w:t>
      </w:r>
      <w:r w:rsidR="00786F29">
        <w:t xml:space="preserve">en el aire </w:t>
      </w:r>
      <w:r w:rsidR="00EB37E5">
        <w:t xml:space="preserve">de </w:t>
      </w:r>
      <w:r w:rsidR="000D7B7A">
        <w:t>la terraza del Gran Santuario.</w:t>
      </w:r>
    </w:p>
    <w:p w14:paraId="4CA3B6F5" w14:textId="3D9A90F9" w:rsidR="000D7B7A" w:rsidRDefault="000D7B7A" w:rsidP="000D7B7A">
      <w:r>
        <w:t xml:space="preserve">96. </w:t>
      </w:r>
      <w:r>
        <w:tab/>
        <w:t xml:space="preserve">Y esto fue lo que le sucedió a la hija de un clan en la aldea de </w:t>
      </w:r>
      <w:proofErr w:type="spellStart"/>
      <w:r>
        <w:t>Vattakālaka</w:t>
      </w:r>
      <w:proofErr w:type="spellEnd"/>
      <w:r>
        <w:t xml:space="preserve">, cerca del Monasterio de </w:t>
      </w:r>
      <w:proofErr w:type="spellStart"/>
      <w:r>
        <w:t>Girikaṇḍaka</w:t>
      </w:r>
      <w:proofErr w:type="spellEnd"/>
      <w:r>
        <w:t xml:space="preserve">, cuando </w:t>
      </w:r>
      <w:r w:rsidR="00F431F2">
        <w:t xml:space="preserve">se </w:t>
      </w:r>
      <w:r w:rsidR="00EB37E5">
        <w:t>sustentó</w:t>
      </w:r>
      <w:r>
        <w:t xml:space="preserve"> en el aire debido a una fuerte felicidad </w:t>
      </w:r>
      <w:r w:rsidR="00EB37E5">
        <w:t xml:space="preserve">elevada </w:t>
      </w:r>
      <w:r>
        <w:t xml:space="preserve">con el Iluminado como objeto. Cuando sus padres estaban a punto de ir al monasterio por la noche, al parecer, para escuchar el </w:t>
      </w:r>
      <w:r w:rsidR="00057BF4" w:rsidRPr="00057BF4">
        <w:rPr>
          <w:i/>
        </w:rPr>
        <w:t>Dhamma</w:t>
      </w:r>
      <w:r>
        <w:t xml:space="preserve"> [144], le dijeron: “Querida, estás esperando un hijo; no se puede salir </w:t>
      </w:r>
      <w:r w:rsidR="00EB37E5">
        <w:t>así en</w:t>
      </w:r>
      <w:r>
        <w:t xml:space="preserve"> una hora inapropiada. Escucharemos el </w:t>
      </w:r>
      <w:r w:rsidR="00057BF4" w:rsidRPr="00057BF4">
        <w:rPr>
          <w:i/>
        </w:rPr>
        <w:t>Dhamma</w:t>
      </w:r>
      <w:r>
        <w:t xml:space="preserve"> y obtendremos méritos </w:t>
      </w:r>
      <w:r w:rsidR="003472FD">
        <w:t xml:space="preserve">también </w:t>
      </w:r>
      <w:r>
        <w:t xml:space="preserve">para ti”. Así salieron. Y aunque ella también quería ir, no </w:t>
      </w:r>
      <w:r w:rsidR="00F431F2">
        <w:t>pudo</w:t>
      </w:r>
      <w:r>
        <w:t xml:space="preserve"> oponerse a lo que </w:t>
      </w:r>
      <w:r w:rsidR="00F431F2">
        <w:t>le dijeron</w:t>
      </w:r>
      <w:r w:rsidR="001C3432">
        <w:t xml:space="preserve"> sus padres</w:t>
      </w:r>
      <w:r>
        <w:t xml:space="preserve">. Salió de la casa </w:t>
      </w:r>
      <w:r w:rsidR="00F431F2">
        <w:t>por</w:t>
      </w:r>
      <w:r>
        <w:t xml:space="preserve"> un balcón y se quedó mirando el Santuario </w:t>
      </w:r>
      <w:proofErr w:type="spellStart"/>
      <w:r>
        <w:t>Ākāsacetiya</w:t>
      </w:r>
      <w:proofErr w:type="spellEnd"/>
      <w:r>
        <w:t xml:space="preserve"> en </w:t>
      </w:r>
      <w:proofErr w:type="spellStart"/>
      <w:r>
        <w:t>Girikaṇḍaka</w:t>
      </w:r>
      <w:proofErr w:type="spellEnd"/>
      <w:r>
        <w:t xml:space="preserve"> iluminado por la </w:t>
      </w:r>
      <w:r w:rsidR="00F431F2">
        <w:t>Luna</w:t>
      </w:r>
      <w:r>
        <w:t xml:space="preserve">. Vio la ofrenda de lámparas en el santuario y las cuatro comunidades circunvalarla </w:t>
      </w:r>
      <w:r w:rsidR="001C3432">
        <w:t>por</w:t>
      </w:r>
      <w:r>
        <w:t xml:space="preserve"> la derecha después de hacer sus ofrendas de flores y perfumes; y escuchó el sonido del recital masivo de la Comunidad de </w:t>
      </w:r>
      <w:proofErr w:type="spellStart"/>
      <w:r w:rsidR="00057BF4" w:rsidRPr="00057BF4">
        <w:rPr>
          <w:i/>
          <w:iCs/>
        </w:rPr>
        <w:t>Bhikkhu</w:t>
      </w:r>
      <w:r w:rsidRPr="00E310B5">
        <w:rPr>
          <w:i/>
          <w:iCs/>
        </w:rPr>
        <w:t>s</w:t>
      </w:r>
      <w:proofErr w:type="spellEnd"/>
      <w:r>
        <w:t xml:space="preserve">. Luego pensó: “¡Qué suerte tienen de poder ir al monasterio y </w:t>
      </w:r>
      <w:r w:rsidR="00AB0D80">
        <w:t>peregrinar</w:t>
      </w:r>
      <w:r>
        <w:t xml:space="preserve"> por la terraza de un santuario así y escuchar una prédica tan dulce </w:t>
      </w:r>
      <w:r w:rsidR="001C3432">
        <w:t>como el</w:t>
      </w:r>
      <w:r>
        <w:t xml:space="preserve"> </w:t>
      </w:r>
      <w:r w:rsidR="00057BF4" w:rsidRPr="00057BF4">
        <w:rPr>
          <w:i/>
        </w:rPr>
        <w:t>Dhamma</w:t>
      </w:r>
      <w:r>
        <w:t xml:space="preserve">!”. Al ver el santuario como un montículo de perlas y despertar una felicidad </w:t>
      </w:r>
      <w:r w:rsidR="002A0358">
        <w:t>elevada</w:t>
      </w:r>
      <w:r>
        <w:t xml:space="preserve">, </w:t>
      </w:r>
      <w:r w:rsidR="00F431F2">
        <w:t xml:space="preserve">se </w:t>
      </w:r>
      <w:r w:rsidR="002A0358">
        <w:t>sustentó</w:t>
      </w:r>
      <w:r w:rsidR="00F431F2">
        <w:t xml:space="preserve"> </w:t>
      </w:r>
      <w:r>
        <w:t xml:space="preserve">en el aire y, antes de que llegaran sus padres, </w:t>
      </w:r>
      <w:r w:rsidR="00F431F2">
        <w:t xml:space="preserve">descendió </w:t>
      </w:r>
      <w:r w:rsidR="002A0358">
        <w:t xml:space="preserve">en </w:t>
      </w:r>
      <w:r>
        <w:t xml:space="preserve">el aire </w:t>
      </w:r>
      <w:r w:rsidR="002A0358">
        <w:t>de</w:t>
      </w:r>
      <w:r>
        <w:t xml:space="preserve"> la terraza del santuario, donde rindió </w:t>
      </w:r>
      <w:r w:rsidR="005F5C58">
        <w:t xml:space="preserve">reverencia </w:t>
      </w:r>
      <w:r>
        <w:t xml:space="preserve">y se quedó escuchando el </w:t>
      </w:r>
      <w:r w:rsidR="00057BF4" w:rsidRPr="00057BF4">
        <w:rPr>
          <w:i/>
        </w:rPr>
        <w:t>Dhamma</w:t>
      </w:r>
      <w:r>
        <w:t>.</w:t>
      </w:r>
    </w:p>
    <w:p w14:paraId="3FAEADF2" w14:textId="2759E545" w:rsidR="000D7B7A" w:rsidRDefault="000D7B7A" w:rsidP="000D7B7A">
      <w:r>
        <w:t xml:space="preserve">97. </w:t>
      </w:r>
      <w:r>
        <w:tab/>
        <w:t>Cuando llegaron sus padres, le preguntaron: “¿Por qué camino viniste?” Ella dijo: “Vine por el aire, no por el camino”, y cuando le dijeron: “Querida, aquellos a los que se les destruyen l</w:t>
      </w:r>
      <w:r w:rsidR="005F5C58">
        <w:t>a</w:t>
      </w:r>
      <w:r>
        <w:t xml:space="preserve">s </w:t>
      </w:r>
      <w:r w:rsidR="005F5C58">
        <w:t xml:space="preserve">corrupciones </w:t>
      </w:r>
      <w:r>
        <w:t>vienen por el aire. Pero ¿cómo viniste</w:t>
      </w:r>
      <w:r w:rsidR="005F5C58">
        <w:t xml:space="preserve"> tú</w:t>
      </w:r>
      <w:r>
        <w:t>?</w:t>
      </w:r>
      <w:r w:rsidR="002A0358">
        <w:t>”</w:t>
      </w:r>
      <w:r>
        <w:t xml:space="preserve"> ella respondió: “Mientras estaba de pie mirando el santuario a la luz de la </w:t>
      </w:r>
      <w:r w:rsidR="009276DE">
        <w:t>Luna</w:t>
      </w:r>
      <w:r>
        <w:t>, surgió en mí una fuerte sensación de felicidad con el Iluminado como su objeto. Entonces no supe más si estaba de pie o sentad</w:t>
      </w:r>
      <w:r w:rsidR="009276DE">
        <w:t>a</w:t>
      </w:r>
      <w:r>
        <w:t xml:space="preserve">, solo que estaba </w:t>
      </w:r>
      <w:r w:rsidR="009276DE">
        <w:t>suspendida</w:t>
      </w:r>
      <w:r>
        <w:t xml:space="preserve"> en el aire con la señal que había </w:t>
      </w:r>
      <w:r w:rsidR="00E43B60">
        <w:t>tomado</w:t>
      </w:r>
      <w:r>
        <w:t xml:space="preserve">, y llegué a </w:t>
      </w:r>
      <w:r w:rsidR="00E43B60">
        <w:t>descender a</w:t>
      </w:r>
      <w:r>
        <w:t xml:space="preserve"> </w:t>
      </w:r>
      <w:r w:rsidR="00AB0D80">
        <w:t>la</w:t>
      </w:r>
      <w:r>
        <w:t xml:space="preserve"> terraza del santuario”.</w:t>
      </w:r>
    </w:p>
    <w:p w14:paraId="2B53E7B2" w14:textId="47AF34B5" w:rsidR="000D7B7A" w:rsidRDefault="000D7B7A" w:rsidP="000D7B7A">
      <w:pPr>
        <w:pStyle w:val="NormalConSangria"/>
      </w:pPr>
      <w:r>
        <w:t xml:space="preserve">Así que la felicidad </w:t>
      </w:r>
      <w:r w:rsidR="00E43B60">
        <w:t xml:space="preserve">elevada </w:t>
      </w:r>
      <w:r>
        <w:t xml:space="preserve">puede ser lo suficientemente poderosa como para </w:t>
      </w:r>
      <w:r w:rsidR="00E43B60">
        <w:t xml:space="preserve">hacer </w:t>
      </w:r>
      <w:r>
        <w:t xml:space="preserve">levitar el cuerpo, </w:t>
      </w:r>
      <w:r w:rsidR="00D154F4">
        <w:t>sustentarlo</w:t>
      </w:r>
      <w:r w:rsidR="00E43B60">
        <w:t xml:space="preserve"> </w:t>
      </w:r>
      <w:r>
        <w:t>en el aire.</w:t>
      </w:r>
    </w:p>
    <w:p w14:paraId="4CEC55C7" w14:textId="179BDCAF" w:rsidR="000D7B7A" w:rsidRDefault="000D7B7A" w:rsidP="000D7B7A">
      <w:r>
        <w:t xml:space="preserve">98. </w:t>
      </w:r>
      <w:r>
        <w:tab/>
        <w:t>Pero cuando sur</w:t>
      </w:r>
      <w:r w:rsidR="00753F3E">
        <w:t>ja</w:t>
      </w:r>
      <w:r>
        <w:t xml:space="preserve"> la felicidad penetrante (</w:t>
      </w:r>
      <w:r w:rsidR="00E43B60">
        <w:t>el arrobamiento</w:t>
      </w:r>
      <w:r>
        <w:t>), todo el cuerpo est</w:t>
      </w:r>
      <w:r w:rsidR="00753F3E">
        <w:t>ar</w:t>
      </w:r>
      <w:r>
        <w:t>á completamente saturado, como una vejiga llena, como una caverna rocosa invadida por una gran inundación.</w:t>
      </w:r>
    </w:p>
    <w:p w14:paraId="21A3A363" w14:textId="40D69918" w:rsidR="000D7B7A" w:rsidRDefault="000D7B7A" w:rsidP="000D7B7A">
      <w:r>
        <w:t xml:space="preserve">99. </w:t>
      </w:r>
      <w:r>
        <w:tab/>
        <w:t>Ahora bien, esta quíntuple felicidad, concebida y madura, perfecciona la doble tranquilidad, es decir, la tranquilidad corporal y mental. Cuando la tranquilidad se concib</w:t>
      </w:r>
      <w:r w:rsidR="00CB7EF8">
        <w:t>a</w:t>
      </w:r>
      <w:r>
        <w:t xml:space="preserve"> y madur</w:t>
      </w:r>
      <w:r w:rsidR="00CB7EF8">
        <w:t>e</w:t>
      </w:r>
      <w:r>
        <w:t xml:space="preserve">, </w:t>
      </w:r>
      <w:r w:rsidR="00FF6EE0">
        <w:t xml:space="preserve">se </w:t>
      </w:r>
      <w:r>
        <w:t>perfecciona</w:t>
      </w:r>
      <w:r w:rsidR="00CB7EF8">
        <w:t>rá</w:t>
      </w:r>
      <w:r>
        <w:t xml:space="preserve"> la doble </w:t>
      </w:r>
      <w:r w:rsidR="00CB7EF8">
        <w:t>dicha</w:t>
      </w:r>
      <w:r>
        <w:t xml:space="preserve">, es decir, la </w:t>
      </w:r>
      <w:r w:rsidR="00CB7EF8">
        <w:t xml:space="preserve">dicha </w:t>
      </w:r>
      <w:r>
        <w:t>corporal y mental. Cuando la dicha se concib</w:t>
      </w:r>
      <w:r w:rsidR="00CB7EF8">
        <w:t>a</w:t>
      </w:r>
      <w:r>
        <w:t xml:space="preserve"> y madur</w:t>
      </w:r>
      <w:r w:rsidR="00CB7EF8">
        <w:t>e</w:t>
      </w:r>
      <w:r>
        <w:t>, perfecciona</w:t>
      </w:r>
      <w:r w:rsidR="00CB7EF8">
        <w:t xml:space="preserve">rá </w:t>
      </w:r>
      <w:r>
        <w:t>la triple concentración, es decir, la concentración momentánea, la concentración de acceso y la concentración de absorción.</w:t>
      </w:r>
    </w:p>
    <w:p w14:paraId="1DBFDC9E" w14:textId="18B4B082" w:rsidR="000D7B7A" w:rsidRDefault="000D7B7A" w:rsidP="000D7B7A">
      <w:pPr>
        <w:pStyle w:val="NormalConSangria"/>
      </w:pPr>
      <w:r>
        <w:t xml:space="preserve">De éstos, lo que en este contexto se entiende por felicidad es la felicidad penetrante, que es la raíz de la absorción y </w:t>
      </w:r>
      <w:r w:rsidR="006F5807">
        <w:t xml:space="preserve">llega </w:t>
      </w:r>
      <w:r w:rsidR="00E96B55">
        <w:t xml:space="preserve">a </w:t>
      </w:r>
      <w:r w:rsidR="006F5807">
        <w:t>increment</w:t>
      </w:r>
      <w:r w:rsidR="00E96B55">
        <w:t>arse</w:t>
      </w:r>
      <w:r>
        <w:t xml:space="preserve"> en asociación con </w:t>
      </w:r>
      <w:r w:rsidR="00D94145">
        <w:t>t</w:t>
      </w:r>
      <w:r>
        <w:t>a</w:t>
      </w:r>
      <w:r w:rsidR="00D94145">
        <w:t>l</w:t>
      </w:r>
      <w:r>
        <w:t xml:space="preserve"> absorción. [145]</w:t>
      </w:r>
    </w:p>
    <w:p w14:paraId="1260678F" w14:textId="77777777" w:rsidR="005A0632" w:rsidRDefault="005A0632" w:rsidP="000D7B7A">
      <w:pPr>
        <w:pStyle w:val="NormalConSangria"/>
      </w:pPr>
    </w:p>
    <w:p w14:paraId="506E3487" w14:textId="77777777" w:rsidR="000D7B7A" w:rsidRDefault="000D7B7A" w:rsidP="000D7B7A">
      <w:pPr>
        <w:pStyle w:val="PiedepginaLegal"/>
        <w:rPr>
          <w:u w:val="single"/>
        </w:rPr>
      </w:pPr>
      <w:r>
        <w:rPr>
          <w:u w:val="single"/>
        </w:rPr>
        <w:tab/>
      </w:r>
      <w:r>
        <w:rPr>
          <w:u w:val="single"/>
        </w:rPr>
        <w:tab/>
      </w:r>
      <w:r>
        <w:rPr>
          <w:u w:val="single"/>
        </w:rPr>
        <w:tab/>
      </w:r>
      <w:r>
        <w:rPr>
          <w:u w:val="single"/>
        </w:rPr>
        <w:tab/>
        <w:t>.</w:t>
      </w:r>
    </w:p>
    <w:p w14:paraId="47BED2AA" w14:textId="204C7C83" w:rsidR="00852162" w:rsidRDefault="000D7B7A" w:rsidP="000D7B7A">
      <w:pPr>
        <w:pStyle w:val="PiedepginaLegal"/>
      </w:pPr>
      <w:r>
        <w:t xml:space="preserve">29. </w:t>
      </w:r>
      <w:r>
        <w:tab/>
        <w:t xml:space="preserve">Las cuatro </w:t>
      </w:r>
      <w:r w:rsidR="005A0632">
        <w:t>congregaciones</w:t>
      </w:r>
      <w:r>
        <w:t xml:space="preserve"> (</w:t>
      </w:r>
      <w:proofErr w:type="spellStart"/>
      <w:r w:rsidRPr="00E310B5">
        <w:rPr>
          <w:i/>
          <w:iCs/>
        </w:rPr>
        <w:t>parisā</w:t>
      </w:r>
      <w:proofErr w:type="spellEnd"/>
      <w:r>
        <w:t xml:space="preserve">) son los </w:t>
      </w:r>
      <w:proofErr w:type="spellStart"/>
      <w:r w:rsidR="00057BF4" w:rsidRPr="00057BF4">
        <w:rPr>
          <w:i/>
          <w:iCs/>
        </w:rPr>
        <w:t>bhikkhu</w:t>
      </w:r>
      <w:r w:rsidRPr="00E310B5">
        <w:rPr>
          <w:i/>
          <w:iCs/>
        </w:rPr>
        <w:t>s</w:t>
      </w:r>
      <w:proofErr w:type="spellEnd"/>
      <w:r>
        <w:t xml:space="preserve">, </w:t>
      </w:r>
      <w:proofErr w:type="spellStart"/>
      <w:r w:rsidR="00057BF4" w:rsidRPr="00057BF4">
        <w:rPr>
          <w:i/>
          <w:iCs/>
        </w:rPr>
        <w:t>bhikkhunī</w:t>
      </w:r>
      <w:r w:rsidRPr="00E310B5">
        <w:rPr>
          <w:i/>
          <w:iCs/>
        </w:rPr>
        <w:t>s</w:t>
      </w:r>
      <w:proofErr w:type="spellEnd"/>
      <w:r>
        <w:t>, seguidores laicos y seguidoras laicas.</w:t>
      </w:r>
    </w:p>
    <w:p w14:paraId="3033E7FC" w14:textId="77777777" w:rsidR="00852162" w:rsidRDefault="00852162">
      <w:pPr>
        <w:tabs>
          <w:tab w:val="clear" w:pos="425"/>
        </w:tabs>
        <w:spacing w:after="160"/>
        <w:rPr>
          <w:color w:val="000000" w:themeColor="text1"/>
          <w:spacing w:val="10"/>
          <w:sz w:val="14"/>
        </w:rPr>
      </w:pPr>
      <w:r>
        <w:br w:type="page"/>
      </w:r>
    </w:p>
    <w:p w14:paraId="2155269D" w14:textId="77777777" w:rsidR="005A0632" w:rsidRDefault="005A0632" w:rsidP="0066129F"/>
    <w:p w14:paraId="2EE89AF6" w14:textId="672569B5" w:rsidR="0066129F" w:rsidRDefault="0066129F" w:rsidP="0066129F">
      <w:r>
        <w:t xml:space="preserve">100. </w:t>
      </w:r>
      <w:r>
        <w:tab/>
        <w:t xml:space="preserve">Pero en cuanto a la otra palabra: </w:t>
      </w:r>
      <w:r w:rsidR="007B7213">
        <w:t xml:space="preserve">lo </w:t>
      </w:r>
      <w:r>
        <w:t>agradable (</w:t>
      </w:r>
      <w:proofErr w:type="spellStart"/>
      <w:r w:rsidRPr="00E310B5">
        <w:rPr>
          <w:i/>
          <w:iCs/>
        </w:rPr>
        <w:t>sukhana</w:t>
      </w:r>
      <w:proofErr w:type="spellEnd"/>
      <w:r>
        <w:t xml:space="preserve">) </w:t>
      </w:r>
      <w:r w:rsidR="0099558E">
        <w:t>se considera como</w:t>
      </w:r>
      <w:r>
        <w:t xml:space="preserve"> </w:t>
      </w:r>
      <w:r w:rsidR="0099558E">
        <w:t>dicha</w:t>
      </w:r>
      <w:r>
        <w:t xml:space="preserve"> (</w:t>
      </w:r>
      <w:proofErr w:type="spellStart"/>
      <w:r w:rsidRPr="00E310B5">
        <w:rPr>
          <w:i/>
          <w:iCs/>
        </w:rPr>
        <w:t>sukha</w:t>
      </w:r>
      <w:proofErr w:type="spellEnd"/>
      <w:r>
        <w:t xml:space="preserve">). O alternativamente: </w:t>
      </w:r>
      <w:r w:rsidR="00157CA6">
        <w:t>devora (</w:t>
      </w:r>
      <w:proofErr w:type="spellStart"/>
      <w:r w:rsidR="00157CA6" w:rsidRPr="00E310B5">
        <w:rPr>
          <w:i/>
          <w:iCs/>
        </w:rPr>
        <w:t>khādati</w:t>
      </w:r>
      <w:proofErr w:type="spellEnd"/>
      <w:r w:rsidR="00157CA6">
        <w:t xml:space="preserve">) </w:t>
      </w:r>
      <w:r>
        <w:t>completamente (</w:t>
      </w:r>
      <w:proofErr w:type="spellStart"/>
      <w:r w:rsidR="00E310B5" w:rsidRPr="00E310B5">
        <w:rPr>
          <w:i/>
          <w:iCs/>
        </w:rPr>
        <w:t>suṭṭhu</w:t>
      </w:r>
      <w:proofErr w:type="spellEnd"/>
      <w:r>
        <w:t>)</w:t>
      </w:r>
      <w:r w:rsidR="00157CA6">
        <w:t>,</w:t>
      </w:r>
      <w:r>
        <w:t xml:space="preserve"> consume (</w:t>
      </w:r>
      <w:proofErr w:type="spellStart"/>
      <w:r w:rsidR="00E310B5" w:rsidRPr="00E310B5">
        <w:rPr>
          <w:i/>
          <w:iCs/>
        </w:rPr>
        <w:t>khāṇti</w:t>
      </w:r>
      <w:proofErr w:type="spellEnd"/>
      <w:r>
        <w:t>),</w:t>
      </w:r>
      <w:r w:rsidRPr="000262ED">
        <w:rPr>
          <w:vertAlign w:val="superscript"/>
        </w:rPr>
        <w:t>30</w:t>
      </w:r>
      <w:r>
        <w:t xml:space="preserve"> la aflicción corporal y mental, por lo que </w:t>
      </w:r>
      <w:r w:rsidR="00965B75">
        <w:t>se define como</w:t>
      </w:r>
      <w:r>
        <w:t xml:space="preserve"> dicha (</w:t>
      </w:r>
      <w:proofErr w:type="spellStart"/>
      <w:r w:rsidRPr="00E310B5">
        <w:rPr>
          <w:i/>
          <w:iCs/>
        </w:rPr>
        <w:t>sukha</w:t>
      </w:r>
      <w:proofErr w:type="spellEnd"/>
      <w:r>
        <w:t xml:space="preserve">). Tiene </w:t>
      </w:r>
      <w:r w:rsidR="00965B75">
        <w:t xml:space="preserve">a la </w:t>
      </w:r>
      <w:r>
        <w:t>gratifica</w:t>
      </w:r>
      <w:r w:rsidR="00965B75">
        <w:t>ción</w:t>
      </w:r>
      <w:r>
        <w:t xml:space="preserve"> como su característica. Su función es intensificar los estados asociados. Se manifiesta como </w:t>
      </w:r>
      <w:r w:rsidR="00867B27">
        <w:t>asistencia</w:t>
      </w:r>
      <w:r>
        <w:t>.</w:t>
      </w:r>
    </w:p>
    <w:p w14:paraId="2C8D9FC4" w14:textId="0DBEC2E5" w:rsidR="0066129F" w:rsidRDefault="0066129F" w:rsidP="0066129F">
      <w:pPr>
        <w:pStyle w:val="NormalConSangria"/>
      </w:pPr>
      <w:r>
        <w:t xml:space="preserve">Y dondequiera que los dos estén asociados, la felicidad </w:t>
      </w:r>
      <w:r w:rsidR="0099558E">
        <w:t>será</w:t>
      </w:r>
      <w:r>
        <w:t xml:space="preserve"> la satisfacción de obtener un objeto deseable, y la dicha la experiencia real de ello cuando se obten</w:t>
      </w:r>
      <w:r w:rsidR="00867B27">
        <w:t>ga</w:t>
      </w:r>
      <w:r>
        <w:t>. Donde hay</w:t>
      </w:r>
      <w:r w:rsidR="00B41030">
        <w:t>a</w:t>
      </w:r>
      <w:r>
        <w:t xml:space="preserve"> felicidad ha</w:t>
      </w:r>
      <w:r w:rsidR="00B41030">
        <w:t>brá</w:t>
      </w:r>
      <w:r>
        <w:t xml:space="preserve"> dicha (placer); pero donde hay</w:t>
      </w:r>
      <w:r w:rsidR="00B41030">
        <w:t>a</w:t>
      </w:r>
      <w:r>
        <w:t xml:space="preserve"> </w:t>
      </w:r>
      <w:r w:rsidR="00B41030">
        <w:t>dicha</w:t>
      </w:r>
      <w:r>
        <w:t xml:space="preserve"> no ha</w:t>
      </w:r>
      <w:r w:rsidR="00B41030">
        <w:t>brá</w:t>
      </w:r>
      <w:r>
        <w:t xml:space="preserve"> necesariamente felicidad. La felicidad está incluida en el agregado de </w:t>
      </w:r>
      <w:r w:rsidR="00B41030">
        <w:t xml:space="preserve">las </w:t>
      </w:r>
      <w:r>
        <w:t>formaciones</w:t>
      </w:r>
      <w:r w:rsidR="0018077A">
        <w:rPr>
          <w:color w:val="1F3864" w:themeColor="accent1" w:themeShade="80"/>
        </w:rPr>
        <w:t xml:space="preserve"> materiales</w:t>
      </w:r>
      <w:r>
        <w:t xml:space="preserve">; la dicha está incluida en el agregado de </w:t>
      </w:r>
      <w:r w:rsidR="00C30EAA">
        <w:t xml:space="preserve">las </w:t>
      </w:r>
      <w:r w:rsidR="00B41030">
        <w:t>sensaciones</w:t>
      </w:r>
      <w:r>
        <w:t>. Si un hombre, exhausto</w:t>
      </w:r>
      <w:r w:rsidRPr="009E35D5">
        <w:rPr>
          <w:vertAlign w:val="superscript"/>
        </w:rPr>
        <w:t>31</w:t>
      </w:r>
      <w:r>
        <w:t xml:space="preserve"> en un desierto, viera u oyera hablar de un</w:t>
      </w:r>
      <w:r w:rsidR="00C30EAA">
        <w:t>a</w:t>
      </w:r>
      <w:r>
        <w:t xml:space="preserve"> </w:t>
      </w:r>
      <w:r w:rsidR="00C30EAA">
        <w:t>fuente de agua</w:t>
      </w:r>
      <w:r>
        <w:t xml:space="preserve"> al borde de un bosque, </w:t>
      </w:r>
      <w:r w:rsidR="00C30EAA">
        <w:t xml:space="preserve">sentiría </w:t>
      </w:r>
      <w:r>
        <w:t xml:space="preserve">felicidad; si fuera a la sombra del bosque y </w:t>
      </w:r>
      <w:r w:rsidR="00C30EAA">
        <w:t xml:space="preserve">bebiera </w:t>
      </w:r>
      <w:r>
        <w:t xml:space="preserve">el agua, </w:t>
      </w:r>
      <w:r w:rsidR="00C30EAA">
        <w:t>gozar</w:t>
      </w:r>
      <w:r w:rsidR="00111E27">
        <w:t>ía</w:t>
      </w:r>
      <w:r w:rsidR="00C30EAA">
        <w:t xml:space="preserve"> de </w:t>
      </w:r>
      <w:r>
        <w:t>dicha. Y debe entenderse que esto se dice porque son evidentes en tales ocasiones.</w:t>
      </w:r>
    </w:p>
    <w:p w14:paraId="5036F838" w14:textId="33DC5F3C" w:rsidR="0066129F" w:rsidRDefault="0066129F" w:rsidP="0066129F">
      <w:r>
        <w:t xml:space="preserve">101. </w:t>
      </w:r>
      <w:r>
        <w:tab/>
        <w:t xml:space="preserve">En consecuencia, (a) esta felicidad y esta dicha </w:t>
      </w:r>
      <w:r w:rsidR="00C30EAA">
        <w:t xml:space="preserve">corresponden a </w:t>
      </w:r>
      <w:r>
        <w:t xml:space="preserve">este </w:t>
      </w:r>
      <w:proofErr w:type="spellStart"/>
      <w:r w:rsidR="00057BF4" w:rsidRPr="00057BF4">
        <w:rPr>
          <w:i/>
          <w:iCs/>
        </w:rPr>
        <w:t>jhāna</w:t>
      </w:r>
      <w:proofErr w:type="spellEnd"/>
      <w:r>
        <w:t xml:space="preserve">, o </w:t>
      </w:r>
      <w:r w:rsidR="00C30EAA">
        <w:t xml:space="preserve">se encuentran </w:t>
      </w:r>
      <w:r>
        <w:t xml:space="preserve">en este </w:t>
      </w:r>
      <w:proofErr w:type="spellStart"/>
      <w:r w:rsidR="00057BF4" w:rsidRPr="00057BF4">
        <w:rPr>
          <w:i/>
          <w:iCs/>
        </w:rPr>
        <w:t>jhāna</w:t>
      </w:r>
      <w:proofErr w:type="spellEnd"/>
      <w:r>
        <w:t xml:space="preserve">; así que de esta manera este </w:t>
      </w:r>
      <w:proofErr w:type="spellStart"/>
      <w:r w:rsidR="00057BF4" w:rsidRPr="00057BF4">
        <w:rPr>
          <w:i/>
          <w:iCs/>
        </w:rPr>
        <w:t>jhāna</w:t>
      </w:r>
      <w:proofErr w:type="spellEnd"/>
      <w:r>
        <w:t xml:space="preserve"> es calificado por las palabras </w:t>
      </w:r>
      <w:r w:rsidR="00436FFC">
        <w:t xml:space="preserve">de </w:t>
      </w:r>
      <w:r w:rsidRPr="0003442F">
        <w:rPr>
          <w:i/>
          <w:iCs/>
        </w:rPr>
        <w:t>felicidad y dicha</w:t>
      </w:r>
      <w:r>
        <w:t xml:space="preserve"> [y también </w:t>
      </w:r>
      <w:r w:rsidR="00436FFC" w:rsidRPr="0003442F">
        <w:rPr>
          <w:i/>
          <w:iCs/>
        </w:rPr>
        <w:t>surgida</w:t>
      </w:r>
      <w:r w:rsidRPr="0003442F">
        <w:rPr>
          <w:i/>
          <w:iCs/>
        </w:rPr>
        <w:t xml:space="preserve"> de la reclusión</w:t>
      </w:r>
      <w:r>
        <w:t xml:space="preserve">]. O alternativamente: (b) las palabras </w:t>
      </w:r>
      <w:r w:rsidRPr="0003442F">
        <w:rPr>
          <w:i/>
          <w:iCs/>
        </w:rPr>
        <w:t xml:space="preserve">felicidad y </w:t>
      </w:r>
      <w:r w:rsidR="0003442F" w:rsidRPr="0003442F">
        <w:rPr>
          <w:i/>
          <w:iCs/>
        </w:rPr>
        <w:t>dicha</w:t>
      </w:r>
      <w:r>
        <w:t xml:space="preserve"> </w:t>
      </w:r>
      <w:r w:rsidR="00AB0717">
        <w:br/>
      </w:r>
      <w:r>
        <w:t>(</w:t>
      </w:r>
      <w:proofErr w:type="spellStart"/>
      <w:r w:rsidRPr="000262ED">
        <w:rPr>
          <w:i/>
          <w:iCs/>
        </w:rPr>
        <w:t>pītisukhaṃ</w:t>
      </w:r>
      <w:proofErr w:type="spellEnd"/>
      <w:r>
        <w:t xml:space="preserve">) pueden tomarse como "felicidad y </w:t>
      </w:r>
      <w:r w:rsidR="0003442F">
        <w:t>dicha</w:t>
      </w:r>
      <w:r>
        <w:t xml:space="preserve">" de forma independiente, como "el </w:t>
      </w:r>
      <w:r w:rsidR="00057BF4" w:rsidRPr="00057BF4">
        <w:rPr>
          <w:i/>
        </w:rPr>
        <w:t>Dhamma</w:t>
      </w:r>
      <w:r>
        <w:t xml:space="preserve"> y la Disciplina" (</w:t>
      </w:r>
      <w:proofErr w:type="spellStart"/>
      <w:r w:rsidR="00057BF4" w:rsidRPr="00057BF4">
        <w:rPr>
          <w:i/>
          <w:iCs/>
        </w:rPr>
        <w:t>Dhamma</w:t>
      </w:r>
      <w:r w:rsidRPr="000262ED">
        <w:rPr>
          <w:i/>
          <w:iCs/>
        </w:rPr>
        <w:t>vinaya</w:t>
      </w:r>
      <w:proofErr w:type="spellEnd"/>
      <w:r>
        <w:t xml:space="preserve">), y entonces pueden </w:t>
      </w:r>
      <w:r w:rsidR="0003442F">
        <w:t>adoptarse</w:t>
      </w:r>
      <w:r>
        <w:t xml:space="preserve"> como </w:t>
      </w:r>
      <w:r w:rsidR="005A29B7">
        <w:t xml:space="preserve">felicidad y dicha </w:t>
      </w:r>
      <w:r w:rsidR="00AB0717">
        <w:t xml:space="preserve">surgidas </w:t>
      </w:r>
      <w:r>
        <w:t xml:space="preserve">de la reclusión de este </w:t>
      </w:r>
      <w:proofErr w:type="spellStart"/>
      <w:r w:rsidR="00057BF4" w:rsidRPr="00057BF4">
        <w:rPr>
          <w:i/>
          <w:iCs/>
        </w:rPr>
        <w:t>jhāna</w:t>
      </w:r>
      <w:proofErr w:type="spellEnd"/>
      <w:r>
        <w:t xml:space="preserve">, o en este </w:t>
      </w:r>
      <w:proofErr w:type="spellStart"/>
      <w:r w:rsidR="00057BF4" w:rsidRPr="00057BF4">
        <w:rPr>
          <w:i/>
          <w:iCs/>
        </w:rPr>
        <w:t>jhāna</w:t>
      </w:r>
      <w:proofErr w:type="spellEnd"/>
      <w:r>
        <w:t xml:space="preserve">; entonces, de esta manera, es la felicidad y la dicha [en lugar del </w:t>
      </w:r>
      <w:proofErr w:type="spellStart"/>
      <w:r w:rsidR="00057BF4" w:rsidRPr="00057BF4">
        <w:rPr>
          <w:i/>
        </w:rPr>
        <w:t>jhāna</w:t>
      </w:r>
      <w:proofErr w:type="spellEnd"/>
      <w:r>
        <w:t>] l</w:t>
      </w:r>
      <w:r w:rsidR="00EE6265">
        <w:t>as</w:t>
      </w:r>
      <w:r>
        <w:t xml:space="preserve"> que </w:t>
      </w:r>
      <w:r w:rsidR="005A29B7">
        <w:t>sur</w:t>
      </w:r>
      <w:r w:rsidR="00A336E8">
        <w:t>ge</w:t>
      </w:r>
      <w:r w:rsidR="00EE6265">
        <w:t>n</w:t>
      </w:r>
      <w:r>
        <w:t xml:space="preserve"> de la reclusión. </w:t>
      </w:r>
      <w:r w:rsidR="00EE6265">
        <w:t xml:space="preserve">Ya </w:t>
      </w:r>
      <w:r>
        <w:t>que así como las palabras “</w:t>
      </w:r>
      <w:r w:rsidR="00EE6265">
        <w:t xml:space="preserve">surgidas </w:t>
      </w:r>
      <w:r>
        <w:t xml:space="preserve">de la reclusión” pueden [como en (a)] calificar </w:t>
      </w:r>
      <w:r w:rsidR="00A336E8">
        <w:t xml:space="preserve">a </w:t>
      </w:r>
      <w:r>
        <w:t>la palabra “</w:t>
      </w:r>
      <w:proofErr w:type="spellStart"/>
      <w:r w:rsidR="00057BF4" w:rsidRPr="00057BF4">
        <w:rPr>
          <w:i/>
          <w:iCs/>
        </w:rPr>
        <w:t>jhāna</w:t>
      </w:r>
      <w:proofErr w:type="spellEnd"/>
      <w:r>
        <w:t xml:space="preserve">”, también pueden </w:t>
      </w:r>
      <w:r w:rsidR="00A336E8">
        <w:t>adoptase</w:t>
      </w:r>
      <w:r>
        <w:t xml:space="preserve"> aquí [como en (b)] como califica</w:t>
      </w:r>
      <w:r w:rsidR="00A336E8">
        <w:t xml:space="preserve">ción de </w:t>
      </w:r>
      <w:r>
        <w:t xml:space="preserve">la expresión “felicidad y dicha” y entonces </w:t>
      </w:r>
      <w:r w:rsidR="0099350E">
        <w:t>ello</w:t>
      </w:r>
      <w:r>
        <w:t xml:space="preserve"> [</w:t>
      </w:r>
      <w:r w:rsidR="00124FED">
        <w:t xml:space="preserve">la </w:t>
      </w:r>
      <w:r>
        <w:t xml:space="preserve">expresión total] se </w:t>
      </w:r>
      <w:r w:rsidR="009C20A8">
        <w:t>concluye</w:t>
      </w:r>
      <w:r>
        <w:t xml:space="preserve"> de este </w:t>
      </w:r>
      <w:proofErr w:type="spellStart"/>
      <w:r w:rsidR="00057BF4" w:rsidRPr="00057BF4">
        <w:rPr>
          <w:i/>
          <w:iCs/>
        </w:rPr>
        <w:t>jhāna</w:t>
      </w:r>
      <w:proofErr w:type="spellEnd"/>
      <w:r>
        <w:t>. Por lo tanto, también es correcto llamar a "</w:t>
      </w:r>
      <w:r w:rsidR="009C20A8">
        <w:t xml:space="preserve">la </w:t>
      </w:r>
      <w:r>
        <w:t xml:space="preserve">felicidad y </w:t>
      </w:r>
      <w:r w:rsidR="009C20A8">
        <w:t xml:space="preserve">la </w:t>
      </w:r>
      <w:r>
        <w:t xml:space="preserve">dicha </w:t>
      </w:r>
      <w:r w:rsidR="009C20A8">
        <w:t xml:space="preserve">surgidas </w:t>
      </w:r>
      <w:r>
        <w:t xml:space="preserve">de la reclusión" </w:t>
      </w:r>
      <w:r w:rsidR="009C20A8">
        <w:t xml:space="preserve">como </w:t>
      </w:r>
      <w:r>
        <w:t xml:space="preserve">una sola expresión. En el </w:t>
      </w:r>
      <w:proofErr w:type="spellStart"/>
      <w:r w:rsidRPr="000262ED">
        <w:rPr>
          <w:i/>
          <w:iCs/>
        </w:rPr>
        <w:t>Vibhaṅga</w:t>
      </w:r>
      <w:proofErr w:type="spellEnd"/>
      <w:r>
        <w:t xml:space="preserve"> se afirma al comienzo del </w:t>
      </w:r>
      <w:r w:rsidR="009C20A8">
        <w:t>pasaje:</w:t>
      </w:r>
      <w:r>
        <w:t xml:space="preserve"> “Esta dicha acompañada de esta felicidad” (</w:t>
      </w:r>
      <w:proofErr w:type="spellStart"/>
      <w:r>
        <w:t>Vibh</w:t>
      </w:r>
      <w:proofErr w:type="spellEnd"/>
      <w:r>
        <w:t xml:space="preserve"> 257). El significado debe considerarse de la misma manera allí también.</w:t>
      </w:r>
    </w:p>
    <w:p w14:paraId="67DD6A43" w14:textId="0DE4B2B3" w:rsidR="0066129F" w:rsidRDefault="0066129F" w:rsidP="0066129F">
      <w:r>
        <w:t xml:space="preserve">102. </w:t>
      </w:r>
      <w:r>
        <w:tab/>
      </w:r>
      <w:r w:rsidRPr="007B3257">
        <w:rPr>
          <w:i/>
          <w:iCs/>
        </w:rPr>
        <w:t>Primer</w:t>
      </w:r>
      <w:r>
        <w:t xml:space="preserve"> </w:t>
      </w:r>
      <w:proofErr w:type="spellStart"/>
      <w:r w:rsidR="00057BF4" w:rsidRPr="00057BF4">
        <w:rPr>
          <w:i/>
          <w:iCs/>
        </w:rPr>
        <w:t>jhāna</w:t>
      </w:r>
      <w:proofErr w:type="spellEnd"/>
      <w:r>
        <w:t>: esto se explicará más adelante (§119).</w:t>
      </w:r>
    </w:p>
    <w:p w14:paraId="34427816" w14:textId="2FD482BA" w:rsidR="0066129F" w:rsidRDefault="0066129F" w:rsidP="00C86406">
      <w:pPr>
        <w:pStyle w:val="NormalConSangria"/>
      </w:pPr>
      <w:r w:rsidRPr="00FC1B9A">
        <w:rPr>
          <w:i/>
          <w:iCs/>
        </w:rPr>
        <w:t xml:space="preserve">Entra </w:t>
      </w:r>
      <w:r w:rsidR="00FC1B9A">
        <w:rPr>
          <w:i/>
          <w:iCs/>
        </w:rPr>
        <w:t>en</w:t>
      </w:r>
      <w:r>
        <w:t xml:space="preserve"> (</w:t>
      </w:r>
      <w:proofErr w:type="spellStart"/>
      <w:r w:rsidRPr="000262ED">
        <w:rPr>
          <w:i/>
          <w:iCs/>
        </w:rPr>
        <w:t>upasampajja</w:t>
      </w:r>
      <w:proofErr w:type="spellEnd"/>
      <w:r>
        <w:t>): llega a; alcanza, es lo que se quiere decir; o bien, tom</w:t>
      </w:r>
      <w:r w:rsidR="00393373">
        <w:t>ándolo</w:t>
      </w:r>
      <w:r>
        <w:t xml:space="preserve"> como “</w:t>
      </w:r>
      <w:r w:rsidR="00FC1B9A">
        <w:t xml:space="preserve">permite </w:t>
      </w:r>
      <w:r>
        <w:t>entrar” (</w:t>
      </w:r>
      <w:proofErr w:type="spellStart"/>
      <w:r w:rsidRPr="000262ED">
        <w:rPr>
          <w:i/>
          <w:iCs/>
        </w:rPr>
        <w:t>upasampādayitvā</w:t>
      </w:r>
      <w:proofErr w:type="spellEnd"/>
      <w:r>
        <w:t xml:space="preserve">), </w:t>
      </w:r>
      <w:r w:rsidR="00754C33">
        <w:t xml:space="preserve">entonces es </w:t>
      </w:r>
      <w:r>
        <w:t xml:space="preserve">producir lo que se quiere decir. En el </w:t>
      </w:r>
      <w:proofErr w:type="spellStart"/>
      <w:r w:rsidRPr="000262ED">
        <w:rPr>
          <w:i/>
          <w:iCs/>
        </w:rPr>
        <w:t>Vibhaṅga</w:t>
      </w:r>
      <w:proofErr w:type="spellEnd"/>
      <w:r>
        <w:t xml:space="preserve"> se dice: “'Entra en': la obtención, la reconquista, el alcanzar, la llegada a, el tocar, la </w:t>
      </w:r>
      <w:r w:rsidR="00DD01F4">
        <w:t xml:space="preserve">consumación </w:t>
      </w:r>
      <w:r>
        <w:t xml:space="preserve">de, la entrada </w:t>
      </w:r>
      <w:r w:rsidR="00DD01F4">
        <w:t>a</w:t>
      </w:r>
      <w:r>
        <w:t xml:space="preserve"> (</w:t>
      </w:r>
      <w:proofErr w:type="spellStart"/>
      <w:r w:rsidRPr="000262ED">
        <w:rPr>
          <w:i/>
          <w:iCs/>
        </w:rPr>
        <w:t>upasampadā</w:t>
      </w:r>
      <w:proofErr w:type="spellEnd"/>
      <w:r>
        <w:t xml:space="preserve">, el primer </w:t>
      </w:r>
      <w:proofErr w:type="spellStart"/>
      <w:r w:rsidR="00057BF4" w:rsidRPr="00057BF4">
        <w:rPr>
          <w:i/>
          <w:iCs/>
        </w:rPr>
        <w:t>jhāna</w:t>
      </w:r>
      <w:proofErr w:type="spellEnd"/>
      <w:r>
        <w:t>” (</w:t>
      </w:r>
      <w:proofErr w:type="spellStart"/>
      <w:r>
        <w:t>Vibh</w:t>
      </w:r>
      <w:proofErr w:type="spellEnd"/>
      <w:r>
        <w:t xml:space="preserve"> 257), </w:t>
      </w:r>
      <w:r w:rsidR="0081734F">
        <w:t>cuyos</w:t>
      </w:r>
      <w:r>
        <w:t xml:space="preserve"> significado</w:t>
      </w:r>
      <w:r w:rsidR="0081734F">
        <w:t>s</w:t>
      </w:r>
      <w:r>
        <w:t xml:space="preserve"> debe</w:t>
      </w:r>
      <w:r w:rsidR="0081734F">
        <w:t>n</w:t>
      </w:r>
      <w:r>
        <w:t xml:space="preserve"> ser considerado de la misma manera.</w:t>
      </w:r>
    </w:p>
    <w:p w14:paraId="7505C579" w14:textId="5C15D752" w:rsidR="0066129F" w:rsidRPr="00DE2BBA" w:rsidRDefault="0066129F" w:rsidP="0066129F">
      <w:r w:rsidRPr="00DE2BBA">
        <w:t xml:space="preserve">103. </w:t>
      </w:r>
      <w:r w:rsidR="00C86406" w:rsidRPr="00DE2BBA">
        <w:tab/>
      </w:r>
      <w:r w:rsidRPr="00DE2BBA">
        <w:rPr>
          <w:i/>
          <w:iCs/>
        </w:rPr>
        <w:t xml:space="preserve">Y </w:t>
      </w:r>
      <w:r w:rsidR="0081734F" w:rsidRPr="00DE2BBA">
        <w:rPr>
          <w:i/>
          <w:iCs/>
        </w:rPr>
        <w:t xml:space="preserve">habita </w:t>
      </w:r>
      <w:r w:rsidRPr="00DE2BBA">
        <w:rPr>
          <w:i/>
          <w:iCs/>
        </w:rPr>
        <w:t>en</w:t>
      </w:r>
      <w:r w:rsidRPr="00DE2BBA">
        <w:t xml:space="preserve"> (</w:t>
      </w:r>
      <w:proofErr w:type="spellStart"/>
      <w:r w:rsidRPr="00DE2BBA">
        <w:rPr>
          <w:i/>
          <w:iCs/>
        </w:rPr>
        <w:t>viharati</w:t>
      </w:r>
      <w:proofErr w:type="spellEnd"/>
      <w:r w:rsidRPr="00DE2BBA">
        <w:t xml:space="preserve">): al poseer </w:t>
      </w:r>
      <w:r w:rsidR="0081734F" w:rsidRPr="00DE2BBA">
        <w:t>e</w:t>
      </w:r>
      <w:r w:rsidR="00911D60" w:rsidRPr="00DE2BBA">
        <w:t>l</w:t>
      </w:r>
      <w:r w:rsidR="0081734F" w:rsidRPr="00DE2BBA">
        <w:t xml:space="preserve"> </w:t>
      </w:r>
      <w:proofErr w:type="spellStart"/>
      <w:r w:rsidR="00057BF4" w:rsidRPr="00DE2BBA">
        <w:rPr>
          <w:i/>
          <w:iCs/>
        </w:rPr>
        <w:t>jhāna</w:t>
      </w:r>
      <w:proofErr w:type="spellEnd"/>
      <w:r w:rsidRPr="00DE2BBA">
        <w:t xml:space="preserve"> del tipo descrito anteriormente</w:t>
      </w:r>
      <w:r w:rsidR="0015437A" w:rsidRPr="00DE2BBA">
        <w:t>,</w:t>
      </w:r>
      <w:r w:rsidRPr="00DE2BBA">
        <w:t xml:space="preserve"> al </w:t>
      </w:r>
      <w:r w:rsidR="00506AE7" w:rsidRPr="00DE2BBA">
        <w:t>habitan en</w:t>
      </w:r>
      <w:r w:rsidR="00960C79" w:rsidRPr="00DE2BBA">
        <w:t xml:space="preserve"> </w:t>
      </w:r>
      <w:r w:rsidRPr="00DE2BBA">
        <w:t xml:space="preserve">una postura favorable a </w:t>
      </w:r>
      <w:r w:rsidR="00960C79" w:rsidRPr="00DE2BBA">
        <w:t>él</w:t>
      </w:r>
      <w:r w:rsidRPr="00DE2BBA">
        <w:t xml:space="preserve"> [</w:t>
      </w:r>
      <w:r w:rsidR="00960C79" w:rsidRPr="00DE2BBA">
        <w:t xml:space="preserve">al </w:t>
      </w:r>
      <w:proofErr w:type="spellStart"/>
      <w:r w:rsidR="00057BF4" w:rsidRPr="00DE2BBA">
        <w:rPr>
          <w:i/>
          <w:iCs/>
        </w:rPr>
        <w:t>jhāna</w:t>
      </w:r>
      <w:proofErr w:type="spellEnd"/>
      <w:r w:rsidRPr="00DE2BBA">
        <w:t xml:space="preserve">], </w:t>
      </w:r>
      <w:r w:rsidR="00984C92" w:rsidRPr="00DE2BBA">
        <w:t xml:space="preserve">el meditador </w:t>
      </w:r>
      <w:r w:rsidRPr="00DE2BBA">
        <w:t xml:space="preserve">produce una postura, un procedimiento, </w:t>
      </w:r>
      <w:r w:rsidR="000D5A0A" w:rsidRPr="00DE2BBA">
        <w:t xml:space="preserve">una </w:t>
      </w:r>
      <w:r w:rsidRPr="00DE2BBA">
        <w:t>perdura</w:t>
      </w:r>
      <w:r w:rsidR="000D5A0A" w:rsidRPr="00DE2BBA">
        <w:t>ción</w:t>
      </w:r>
      <w:r w:rsidRPr="00DE2BBA">
        <w:t xml:space="preserve">, </w:t>
      </w:r>
      <w:r w:rsidR="000D5A0A" w:rsidRPr="00DE2BBA">
        <w:t xml:space="preserve">una </w:t>
      </w:r>
      <w:r w:rsidRPr="00DE2BBA">
        <w:t>dura</w:t>
      </w:r>
      <w:r w:rsidR="000D5A0A" w:rsidRPr="00DE2BBA">
        <w:t>ción</w:t>
      </w:r>
      <w:r w:rsidR="00F5694F" w:rsidRPr="00DE2BBA">
        <w:t>,</w:t>
      </w:r>
      <w:r w:rsidRPr="00DE2BBA">
        <w:t xml:space="preserve"> </w:t>
      </w:r>
      <w:r w:rsidR="004B558B" w:rsidRPr="00DE2BBA">
        <w:t xml:space="preserve">un comportamiento, </w:t>
      </w:r>
      <w:r w:rsidRPr="00DE2BBA">
        <w:t xml:space="preserve">una </w:t>
      </w:r>
      <w:r w:rsidR="003535E8" w:rsidRPr="00DE2BBA">
        <w:t>morada</w:t>
      </w:r>
      <w:r w:rsidRPr="00DE2BBA">
        <w:t xml:space="preserve">, de la persona. Porque esto se dice en el </w:t>
      </w:r>
      <w:proofErr w:type="spellStart"/>
      <w:r w:rsidRPr="00DE2BBA">
        <w:rPr>
          <w:i/>
          <w:iCs/>
        </w:rPr>
        <w:t>Vibhaṅga</w:t>
      </w:r>
      <w:proofErr w:type="spellEnd"/>
      <w:r w:rsidRPr="00DE2BBA">
        <w:t>: “‘</w:t>
      </w:r>
      <w:r w:rsidR="000D5A0A" w:rsidRPr="00DE2BBA">
        <w:t xml:space="preserve">Habita </w:t>
      </w:r>
      <w:r w:rsidRPr="00DE2BBA">
        <w:t xml:space="preserve">en’: </w:t>
      </w:r>
      <w:r w:rsidR="003535E8" w:rsidRPr="00DE2BBA">
        <w:t xml:space="preserve">se </w:t>
      </w:r>
      <w:r w:rsidRPr="00DE2BBA">
        <w:t>posa, procede, mantiene, perdura, dura, se comporta, mora; [146] de ahí que se diga 'habita'” (</w:t>
      </w:r>
      <w:proofErr w:type="spellStart"/>
      <w:r w:rsidRPr="00DE2BBA">
        <w:t>Vibh</w:t>
      </w:r>
      <w:proofErr w:type="spellEnd"/>
      <w:r w:rsidRPr="00DE2BBA">
        <w:t xml:space="preserve"> 252).</w:t>
      </w:r>
    </w:p>
    <w:p w14:paraId="6EA6D734" w14:textId="77777777" w:rsidR="0066129F" w:rsidRDefault="0066129F" w:rsidP="0066129F">
      <w:pPr>
        <w:pStyle w:val="PiedepginaLegal"/>
        <w:rPr>
          <w:u w:val="single"/>
        </w:rPr>
      </w:pPr>
      <w:r>
        <w:rPr>
          <w:u w:val="single"/>
        </w:rPr>
        <w:tab/>
      </w:r>
      <w:r>
        <w:rPr>
          <w:u w:val="single"/>
        </w:rPr>
        <w:tab/>
      </w:r>
      <w:r>
        <w:rPr>
          <w:u w:val="single"/>
        </w:rPr>
        <w:tab/>
      </w:r>
      <w:r>
        <w:rPr>
          <w:u w:val="single"/>
        </w:rPr>
        <w:tab/>
        <w:t>.</w:t>
      </w:r>
    </w:p>
    <w:p w14:paraId="5E8F4D84" w14:textId="2B4881DD" w:rsidR="0066129F" w:rsidRDefault="0066129F" w:rsidP="0066129F">
      <w:pPr>
        <w:pStyle w:val="PiedepginaLegal"/>
      </w:pPr>
      <w:r>
        <w:t xml:space="preserve">30. </w:t>
      </w:r>
      <w:r>
        <w:tab/>
        <w:t xml:space="preserve">Para este juego de palabras, véase también XVII.48. </w:t>
      </w:r>
      <w:r w:rsidR="00C26FC3">
        <w:t>En el PED</w:t>
      </w:r>
      <w:r w:rsidR="00C26FC3" w:rsidRPr="000262ED">
        <w:rPr>
          <w:i/>
          <w:iCs/>
        </w:rPr>
        <w:t xml:space="preserve"> </w:t>
      </w:r>
      <w:proofErr w:type="spellStart"/>
      <w:r w:rsidR="00C26FC3">
        <w:rPr>
          <w:i/>
          <w:iCs/>
        </w:rPr>
        <w:t>k</w:t>
      </w:r>
      <w:r w:rsidRPr="000262ED">
        <w:rPr>
          <w:i/>
          <w:iCs/>
        </w:rPr>
        <w:t>haṇati</w:t>
      </w:r>
      <w:proofErr w:type="spellEnd"/>
      <w:r>
        <w:t xml:space="preserve"> solo se da en el significado normal de "cavar". Parece haber </w:t>
      </w:r>
      <w:r w:rsidR="00354785">
        <w:t xml:space="preserve">aquí </w:t>
      </w:r>
      <w:r>
        <w:t>cierta confusión de</w:t>
      </w:r>
      <w:r w:rsidR="00930893">
        <w:t>l</w:t>
      </w:r>
      <w:r>
        <w:t xml:space="preserve"> significado con </w:t>
      </w:r>
      <w:r w:rsidR="00930893">
        <w:t xml:space="preserve">el término </w:t>
      </w:r>
      <w:proofErr w:type="spellStart"/>
      <w:r w:rsidRPr="000262ED">
        <w:rPr>
          <w:i/>
          <w:iCs/>
        </w:rPr>
        <w:t>khayati</w:t>
      </w:r>
      <w:proofErr w:type="spellEnd"/>
      <w:r>
        <w:t xml:space="preserve"> (destruir), tal vez sugerido por </w:t>
      </w:r>
      <w:proofErr w:type="spellStart"/>
      <w:r w:rsidRPr="000262ED">
        <w:rPr>
          <w:i/>
          <w:iCs/>
        </w:rPr>
        <w:t>khādati</w:t>
      </w:r>
      <w:proofErr w:type="spellEnd"/>
      <w:r>
        <w:t xml:space="preserve"> (comer). Esto sugiere </w:t>
      </w:r>
      <w:r w:rsidR="009E3BF5">
        <w:t xml:space="preserve">que la </w:t>
      </w:r>
      <w:r>
        <w:t>interpretación aquí y en el cap. XVII de “consumir” ten</w:t>
      </w:r>
      <w:r w:rsidR="009E3BF5">
        <w:t>ga</w:t>
      </w:r>
      <w:r>
        <w:t xml:space="preserve"> sentido. Glosado por </w:t>
      </w:r>
      <w:proofErr w:type="spellStart"/>
      <w:r w:rsidRPr="009E3BF5">
        <w:rPr>
          <w:i/>
          <w:iCs/>
        </w:rPr>
        <w:t>avadāriyati</w:t>
      </w:r>
      <w:proofErr w:type="spellEnd"/>
      <w:r>
        <w:t xml:space="preserve">, romper o cavar: no </w:t>
      </w:r>
      <w:r w:rsidR="009E3BF5">
        <w:t xml:space="preserve">encontrado </w:t>
      </w:r>
      <w:r>
        <w:t xml:space="preserve">en </w:t>
      </w:r>
      <w:r w:rsidR="009E3BF5">
        <w:t xml:space="preserve">el </w:t>
      </w:r>
      <w:r>
        <w:t>PED. Véase CPD “</w:t>
      </w:r>
      <w:proofErr w:type="spellStart"/>
      <w:r w:rsidRPr="000262ED">
        <w:rPr>
          <w:i/>
          <w:iCs/>
        </w:rPr>
        <w:t>avadārana</w:t>
      </w:r>
      <w:proofErr w:type="spellEnd"/>
      <w:r>
        <w:t>”.</w:t>
      </w:r>
    </w:p>
    <w:p w14:paraId="74F6AB50" w14:textId="3A4FB34A" w:rsidR="000D7B7A" w:rsidRDefault="0066129F" w:rsidP="0066129F">
      <w:pPr>
        <w:pStyle w:val="PiedepginaLegal"/>
      </w:pPr>
      <w:r>
        <w:t>31.</w:t>
      </w:r>
      <w:r>
        <w:tab/>
      </w:r>
      <w:proofErr w:type="spellStart"/>
      <w:r w:rsidRPr="000262ED">
        <w:rPr>
          <w:i/>
          <w:iCs/>
        </w:rPr>
        <w:t>Kantāra-khinna</w:t>
      </w:r>
      <w:proofErr w:type="spellEnd"/>
      <w:r>
        <w:t>—“</w:t>
      </w:r>
      <w:r w:rsidR="00A266DD">
        <w:t>exhausto</w:t>
      </w:r>
      <w:r>
        <w:t xml:space="preserve"> en un desierto”; </w:t>
      </w:r>
      <w:proofErr w:type="spellStart"/>
      <w:r w:rsidRPr="000262ED">
        <w:rPr>
          <w:i/>
          <w:iCs/>
        </w:rPr>
        <w:t>khinna</w:t>
      </w:r>
      <w:proofErr w:type="spellEnd"/>
      <w:r>
        <w:t xml:space="preserve"> no está en </w:t>
      </w:r>
      <w:r w:rsidR="009E3BF5">
        <w:t xml:space="preserve">el </w:t>
      </w:r>
      <w:r>
        <w:t>PED.</w:t>
      </w:r>
    </w:p>
    <w:p w14:paraId="23A93666" w14:textId="24D9ADDC" w:rsidR="00C86406" w:rsidRDefault="00C86406">
      <w:pPr>
        <w:tabs>
          <w:tab w:val="clear" w:pos="425"/>
        </w:tabs>
        <w:spacing w:after="160"/>
      </w:pPr>
      <w:r>
        <w:br w:type="page"/>
      </w:r>
    </w:p>
    <w:p w14:paraId="687AE7A2" w14:textId="77777777" w:rsidR="008858F6" w:rsidRDefault="008858F6" w:rsidP="008858F6"/>
    <w:p w14:paraId="1E5AA23A" w14:textId="4EDEB2DB" w:rsidR="008858F6" w:rsidRDefault="008858F6" w:rsidP="008858F6">
      <w:r>
        <w:t xml:space="preserve">104. </w:t>
      </w:r>
      <w:r>
        <w:tab/>
        <w:t xml:space="preserve">Ahora bien, también se dijo </w:t>
      </w:r>
      <w:r w:rsidR="009E3BF5">
        <w:t>anteriormente</w:t>
      </w:r>
      <w:r>
        <w:t xml:space="preserve"> que </w:t>
      </w:r>
      <w:r w:rsidR="00DE2BBA">
        <w:t xml:space="preserve">él </w:t>
      </w:r>
      <w:r>
        <w:t>abandona cinco factores</w:t>
      </w:r>
      <w:r w:rsidR="00FC5DA1">
        <w:t xml:space="preserve"> y</w:t>
      </w:r>
      <w:r>
        <w:t xml:space="preserve"> </w:t>
      </w:r>
      <w:r w:rsidR="00055397">
        <w:t xml:space="preserve">se hace </w:t>
      </w:r>
      <w:r>
        <w:t>posee</w:t>
      </w:r>
      <w:r w:rsidR="00055397">
        <w:t>dor de</w:t>
      </w:r>
      <w:r>
        <w:t xml:space="preserve"> cinco factores (§79; cf. M I 294). Aquí, el abandono de los cinco factores debe entenderse como el abandono de estos </w:t>
      </w:r>
      <w:r w:rsidR="00366CC4">
        <w:t>5</w:t>
      </w:r>
      <w:r>
        <w:t xml:space="preserve"> obstáculos</w:t>
      </w:r>
      <w:r w:rsidR="00055397">
        <w:t xml:space="preserve">: </w:t>
      </w:r>
      <w:r w:rsidR="00FC5DA1">
        <w:t xml:space="preserve">la </w:t>
      </w:r>
      <w:r w:rsidR="00D646AB">
        <w:t>concupiscencia</w:t>
      </w:r>
      <w:r>
        <w:t xml:space="preserve">, </w:t>
      </w:r>
      <w:r w:rsidR="00FC5DA1">
        <w:t xml:space="preserve">la </w:t>
      </w:r>
      <w:r>
        <w:t xml:space="preserve">mala voluntad, </w:t>
      </w:r>
      <w:r w:rsidR="00FC5DA1">
        <w:t xml:space="preserve">la </w:t>
      </w:r>
      <w:r w:rsidR="00D77000">
        <w:t>pereza</w:t>
      </w:r>
      <w:r w:rsidR="00D77000">
        <w:rPr>
          <w:rFonts w:cs="Cormorant"/>
        </w:rPr>
        <w:t>‒</w:t>
      </w:r>
      <w:r w:rsidR="00D77000">
        <w:t>y</w:t>
      </w:r>
      <w:r w:rsidR="00D77000">
        <w:rPr>
          <w:rFonts w:cs="Cormorant"/>
        </w:rPr>
        <w:t>‒</w:t>
      </w:r>
      <w:r w:rsidR="00D77000">
        <w:t>letargo</w:t>
      </w:r>
      <w:r>
        <w:t xml:space="preserve">, </w:t>
      </w:r>
      <w:r w:rsidR="00FC5DA1">
        <w:t xml:space="preserve">la </w:t>
      </w:r>
      <w:r>
        <w:t>agitación</w:t>
      </w:r>
      <w:r w:rsidR="00BC6918" w:rsidRPr="004A0BE3">
        <w:t>–</w:t>
      </w:r>
      <w:r>
        <w:t>y</w:t>
      </w:r>
      <w:r w:rsidR="00BC6918" w:rsidRPr="004A0BE3">
        <w:t>–</w:t>
      </w:r>
      <w:r>
        <w:t>preocupación</w:t>
      </w:r>
      <w:r w:rsidR="00BC6918">
        <w:t xml:space="preserve"> </w:t>
      </w:r>
      <w:r w:rsidR="008764BD">
        <w:t>y</w:t>
      </w:r>
      <w:r w:rsidR="00BC6918">
        <w:t xml:space="preserve">, </w:t>
      </w:r>
      <w:r w:rsidR="008764BD">
        <w:t>finalmente</w:t>
      </w:r>
      <w:r w:rsidR="00BC6918">
        <w:t>,</w:t>
      </w:r>
      <w:r w:rsidR="008764BD">
        <w:t xml:space="preserve"> la</w:t>
      </w:r>
      <w:r>
        <w:t xml:space="preserve"> incertidumbre; porque </w:t>
      </w:r>
      <w:r w:rsidR="00D516FB">
        <w:t xml:space="preserve">el </w:t>
      </w:r>
      <w:proofErr w:type="spellStart"/>
      <w:r w:rsidR="00D516FB" w:rsidRPr="00057BF4">
        <w:rPr>
          <w:i/>
          <w:iCs/>
        </w:rPr>
        <w:t>jhāna</w:t>
      </w:r>
      <w:proofErr w:type="spellEnd"/>
      <w:r w:rsidR="00D516FB">
        <w:t xml:space="preserve"> </w:t>
      </w:r>
      <w:r>
        <w:t>no surg</w:t>
      </w:r>
      <w:r w:rsidR="00D516FB">
        <w:t>irá</w:t>
      </w:r>
      <w:r>
        <w:t xml:space="preserve"> hasta que estos ha</w:t>
      </w:r>
      <w:r w:rsidR="00D516FB">
        <w:t>ya</w:t>
      </w:r>
      <w:r>
        <w:t xml:space="preserve">n sido abandonados, y por eso se les llama </w:t>
      </w:r>
      <w:r w:rsidR="003268F0">
        <w:t xml:space="preserve">los </w:t>
      </w:r>
      <w:r>
        <w:t xml:space="preserve">factores de abandono. </w:t>
      </w:r>
      <w:r w:rsidR="003268F0">
        <w:t xml:space="preserve">Ya </w:t>
      </w:r>
      <w:r>
        <w:t>que</w:t>
      </w:r>
      <w:r w:rsidR="00A74911">
        <w:t>,</w:t>
      </w:r>
      <w:r>
        <w:t xml:space="preserve"> aunque también se abandon</w:t>
      </w:r>
      <w:r w:rsidR="003268F0">
        <w:t>e</w:t>
      </w:r>
      <w:r>
        <w:t xml:space="preserve">n otras cosas </w:t>
      </w:r>
      <w:r w:rsidR="003268F0">
        <w:t xml:space="preserve">improductivas </w:t>
      </w:r>
      <w:r>
        <w:t>en el momento de</w:t>
      </w:r>
      <w:r w:rsidR="003268F0">
        <w:t>l</w:t>
      </w:r>
      <w:r>
        <w:t xml:space="preserve"> </w:t>
      </w:r>
      <w:proofErr w:type="spellStart"/>
      <w:r w:rsidR="00057BF4" w:rsidRPr="00057BF4">
        <w:rPr>
          <w:i/>
          <w:iCs/>
        </w:rPr>
        <w:t>jhāna</w:t>
      </w:r>
      <w:proofErr w:type="spellEnd"/>
      <w:r>
        <w:t xml:space="preserve">, solo </w:t>
      </w:r>
      <w:r w:rsidR="003268F0">
        <w:t>é</w:t>
      </w:r>
      <w:r>
        <w:t xml:space="preserve">stas son específicamente obstructivas para </w:t>
      </w:r>
      <w:r w:rsidR="00E27221">
        <w:t>este</w:t>
      </w:r>
      <w:r w:rsidR="003268F0">
        <w:t xml:space="preserve"> </w:t>
      </w:r>
      <w:proofErr w:type="spellStart"/>
      <w:r w:rsidR="00057BF4" w:rsidRPr="00057BF4">
        <w:rPr>
          <w:i/>
          <w:iCs/>
        </w:rPr>
        <w:t>jhāna</w:t>
      </w:r>
      <w:proofErr w:type="spellEnd"/>
      <w:r>
        <w:t>.</w:t>
      </w:r>
    </w:p>
    <w:p w14:paraId="160E5AB9" w14:textId="16BDB483" w:rsidR="008858F6" w:rsidRDefault="008858F6" w:rsidP="008858F6">
      <w:r>
        <w:t xml:space="preserve">105. </w:t>
      </w:r>
      <w:r>
        <w:tab/>
        <w:t xml:space="preserve">La mente afectada </w:t>
      </w:r>
      <w:r w:rsidR="002C2900">
        <w:t>a través</w:t>
      </w:r>
      <w:r w:rsidR="00A74911">
        <w:t xml:space="preserve"> de</w:t>
      </w:r>
      <w:r>
        <w:t xml:space="preserve"> la </w:t>
      </w:r>
      <w:r w:rsidR="00A74911">
        <w:t xml:space="preserve">lujuria </w:t>
      </w:r>
      <w:r>
        <w:t>por la codicia de variados campos objetivos no se concentra</w:t>
      </w:r>
      <w:r w:rsidR="00BD2E9B">
        <w:t xml:space="preserve">rá </w:t>
      </w:r>
      <w:r>
        <w:t xml:space="preserve">en un objeto consistente </w:t>
      </w:r>
      <w:r w:rsidR="00A74911">
        <w:t xml:space="preserve">de una </w:t>
      </w:r>
      <w:r>
        <w:t xml:space="preserve">unidad, o </w:t>
      </w:r>
      <w:r w:rsidR="00BD2E9B">
        <w:t>será</w:t>
      </w:r>
      <w:r w:rsidR="00A74911">
        <w:t xml:space="preserve"> </w:t>
      </w:r>
      <w:r>
        <w:t>abrumada por la lujuria, no entra</w:t>
      </w:r>
      <w:r w:rsidR="00BD2E9B">
        <w:t>rá</w:t>
      </w:r>
      <w:r>
        <w:t xml:space="preserve"> en el </w:t>
      </w:r>
      <w:r w:rsidR="00A74911">
        <w:t xml:space="preserve">sendero </w:t>
      </w:r>
      <w:r>
        <w:t>de</w:t>
      </w:r>
      <w:r w:rsidR="00A74911">
        <w:t>l</w:t>
      </w:r>
      <w:r>
        <w:t xml:space="preserve"> abandon</w:t>
      </w:r>
      <w:r w:rsidR="00A74911">
        <w:t>o</w:t>
      </w:r>
      <w:r>
        <w:t xml:space="preserve"> </w:t>
      </w:r>
      <w:r w:rsidR="000B3D59">
        <w:t>hacia el</w:t>
      </w:r>
      <w:r>
        <w:t xml:space="preserve"> elemento </w:t>
      </w:r>
      <w:r w:rsidR="00AD5D97">
        <w:t xml:space="preserve">del deseo </w:t>
      </w:r>
      <w:r>
        <w:t xml:space="preserve">sensual. Cuando </w:t>
      </w:r>
      <w:r w:rsidR="000B3D59">
        <w:t xml:space="preserve">sea </w:t>
      </w:r>
      <w:r>
        <w:t>acosado por la mala voluntad hacia un objeto, no ocurr</w:t>
      </w:r>
      <w:r w:rsidR="000B3D59">
        <w:t>irá</w:t>
      </w:r>
      <w:r>
        <w:t xml:space="preserve"> ininterrumpidamente. Cuando </w:t>
      </w:r>
      <w:r w:rsidR="00AF62F5">
        <w:t>sea</w:t>
      </w:r>
      <w:r>
        <w:t xml:space="preserve"> vencido por la rigidez y el letargo, </w:t>
      </w:r>
      <w:r w:rsidR="00AF62F5">
        <w:t>será</w:t>
      </w:r>
      <w:r>
        <w:t xml:space="preserve"> difícil de manejar. Cuando </w:t>
      </w:r>
      <w:r w:rsidR="00AF3873">
        <w:t xml:space="preserve">la agitación y la preocupación </w:t>
      </w:r>
      <w:r>
        <w:t>se apoder</w:t>
      </w:r>
      <w:r w:rsidR="00AF62F5">
        <w:t>e</w:t>
      </w:r>
      <w:r>
        <w:t xml:space="preserve"> de</w:t>
      </w:r>
      <w:r w:rsidR="00AF3873">
        <w:t xml:space="preserve"> él</w:t>
      </w:r>
      <w:r>
        <w:t>, se inquieta</w:t>
      </w:r>
      <w:r w:rsidR="00AF62F5">
        <w:t xml:space="preserve">rá </w:t>
      </w:r>
      <w:r w:rsidR="00E00004">
        <w:t>y</w:t>
      </w:r>
      <w:r>
        <w:t xml:space="preserve"> zumba</w:t>
      </w:r>
      <w:r w:rsidR="00E00004">
        <w:t>rá</w:t>
      </w:r>
      <w:r>
        <w:t>. Cuando se ve</w:t>
      </w:r>
      <w:r w:rsidR="00E00004">
        <w:t>a</w:t>
      </w:r>
      <w:r>
        <w:t xml:space="preserve"> afectado por la incertidumbre, no logra</w:t>
      </w:r>
      <w:r w:rsidR="00E00004">
        <w:t xml:space="preserve">rá </w:t>
      </w:r>
      <w:r>
        <w:t xml:space="preserve">emprender el </w:t>
      </w:r>
      <w:r w:rsidR="00AF3873">
        <w:t xml:space="preserve">sendero </w:t>
      </w:r>
      <w:r>
        <w:t xml:space="preserve">para lograr </w:t>
      </w:r>
      <w:r w:rsidR="00AF3873">
        <w:t xml:space="preserve">la consumación </w:t>
      </w:r>
      <w:r>
        <w:t>de</w:t>
      </w:r>
      <w:r w:rsidR="00AF3873">
        <w:t>l</w:t>
      </w:r>
      <w:r>
        <w:t xml:space="preserve"> </w:t>
      </w:r>
      <w:proofErr w:type="spellStart"/>
      <w:r w:rsidR="00057BF4" w:rsidRPr="00057BF4">
        <w:rPr>
          <w:i/>
          <w:iCs/>
        </w:rPr>
        <w:t>jhāna</w:t>
      </w:r>
      <w:proofErr w:type="spellEnd"/>
      <w:r>
        <w:t xml:space="preserve">. Por lo tanto, son solo estos </w:t>
      </w:r>
      <w:r w:rsidR="00AF3873">
        <w:t xml:space="preserve">a </w:t>
      </w:r>
      <w:r>
        <w:t xml:space="preserve">los que se llaman factores de abandono porque son específicamente obstructivos para </w:t>
      </w:r>
      <w:r w:rsidR="00BD2E9B">
        <w:t xml:space="preserve">la consumación del </w:t>
      </w:r>
      <w:proofErr w:type="spellStart"/>
      <w:r w:rsidR="00057BF4" w:rsidRPr="00057BF4">
        <w:rPr>
          <w:i/>
          <w:iCs/>
        </w:rPr>
        <w:t>jhāna</w:t>
      </w:r>
      <w:proofErr w:type="spellEnd"/>
      <w:r>
        <w:t>.</w:t>
      </w:r>
    </w:p>
    <w:p w14:paraId="3FBB21E8" w14:textId="211E3A38" w:rsidR="008858F6" w:rsidRDefault="008858F6" w:rsidP="008858F6">
      <w:r>
        <w:t xml:space="preserve">106. </w:t>
      </w:r>
      <w:r>
        <w:tab/>
      </w:r>
      <w:r w:rsidR="002C44DA">
        <w:t xml:space="preserve">No obstante, </w:t>
      </w:r>
      <w:r w:rsidR="00D00187">
        <w:rPr>
          <w:i/>
          <w:iCs/>
        </w:rPr>
        <w:t xml:space="preserve">la aplicación mental </w:t>
      </w:r>
      <w:r>
        <w:t xml:space="preserve">dirige la mente hacia el objeto; </w:t>
      </w:r>
      <w:r w:rsidR="00D00187">
        <w:rPr>
          <w:i/>
          <w:iCs/>
        </w:rPr>
        <w:t>la sustentación mental</w:t>
      </w:r>
      <w:r w:rsidR="00D00187">
        <w:t xml:space="preserve"> </w:t>
      </w:r>
      <w:r>
        <w:t>lo mantiene anclado allí. La felicidad producida por el éxito del esfuerzo refresca</w:t>
      </w:r>
      <w:r w:rsidR="001B184D">
        <w:t xml:space="preserve">rá </w:t>
      </w:r>
      <w:r>
        <w:t>la mente cuyo esfuerzo ha</w:t>
      </w:r>
      <w:r w:rsidR="00351FE0">
        <w:t>brá</w:t>
      </w:r>
      <w:r>
        <w:t xml:space="preserve"> </w:t>
      </w:r>
      <w:r w:rsidR="001B184D">
        <w:t xml:space="preserve">cobrado </w:t>
      </w:r>
      <w:r>
        <w:t>éxito al no distraerse con esos obstáculos; y la dicha la intensifica</w:t>
      </w:r>
      <w:r w:rsidR="001B184D">
        <w:t xml:space="preserve">rá </w:t>
      </w:r>
      <w:r>
        <w:t>por la misma razón. Luego, la unificación, ayudada por esta dirección hacia, este anclaje</w:t>
      </w:r>
      <w:r w:rsidR="004809C1" w:rsidRPr="004809C1">
        <w:t xml:space="preserve"> </w:t>
      </w:r>
      <w:proofErr w:type="spellStart"/>
      <w:r w:rsidR="004809C1">
        <w:t>hacia</w:t>
      </w:r>
      <w:proofErr w:type="spellEnd"/>
      <w:r>
        <w:t xml:space="preserve">, este </w:t>
      </w:r>
      <w:r w:rsidR="004809C1">
        <w:t xml:space="preserve">refresco </w:t>
      </w:r>
      <w:r>
        <w:t>y esta intensificación, centra</w:t>
      </w:r>
      <w:r w:rsidR="00165CE3">
        <w:t>rá</w:t>
      </w:r>
      <w:r>
        <w:t xml:space="preserve"> uniforme y correctamente (III.3) la mente con sus estados asociados restantes en el objeto que </w:t>
      </w:r>
      <w:proofErr w:type="gramStart"/>
      <w:r>
        <w:t>consist</w:t>
      </w:r>
      <w:r w:rsidR="00165CE3">
        <w:t>a</w:t>
      </w:r>
      <w:r>
        <w:t xml:space="preserve"> </w:t>
      </w:r>
      <w:r w:rsidR="00165CE3">
        <w:t>de</w:t>
      </w:r>
      <w:proofErr w:type="gramEnd"/>
      <w:r>
        <w:t xml:space="preserve"> </w:t>
      </w:r>
      <w:r w:rsidR="00EE6084">
        <w:t>t</w:t>
      </w:r>
      <w:r>
        <w:t>a</w:t>
      </w:r>
      <w:r w:rsidR="00EE6084">
        <w:t>l</w:t>
      </w:r>
      <w:r>
        <w:t xml:space="preserve"> unidad. En consecuencia, la posesión de </w:t>
      </w:r>
      <w:r w:rsidR="00EE6084">
        <w:t xml:space="preserve">estos </w:t>
      </w:r>
      <w:r>
        <w:t xml:space="preserve">cinco factores debe entenderse como el surgimiento de estos cinco, </w:t>
      </w:r>
      <w:r w:rsidR="00165CE3">
        <w:t>es decir</w:t>
      </w:r>
      <w:r>
        <w:t xml:space="preserve">, </w:t>
      </w:r>
      <w:r w:rsidR="0019620E" w:rsidRPr="0019620E">
        <w:t>la aplicación mental</w:t>
      </w:r>
      <w:r w:rsidRPr="0019620E">
        <w:t xml:space="preserve">, </w:t>
      </w:r>
      <w:r w:rsidR="0019620E" w:rsidRPr="0019620E">
        <w:t>la sustentación mental</w:t>
      </w:r>
      <w:r w:rsidRPr="0019620E">
        <w:t>,</w:t>
      </w:r>
      <w:r w:rsidR="0019620E">
        <w:t xml:space="preserve"> la</w:t>
      </w:r>
      <w:r w:rsidRPr="0019620E">
        <w:t xml:space="preserve"> felicidad</w:t>
      </w:r>
      <w:r>
        <w:t xml:space="preserve">, </w:t>
      </w:r>
      <w:r w:rsidR="0019620E">
        <w:t xml:space="preserve">la </w:t>
      </w:r>
      <w:r>
        <w:t xml:space="preserve">dicha y </w:t>
      </w:r>
      <w:r w:rsidR="0019620E">
        <w:t xml:space="preserve">la </w:t>
      </w:r>
      <w:r>
        <w:t xml:space="preserve">unificación </w:t>
      </w:r>
      <w:r w:rsidR="00165CE3">
        <w:t>mental</w:t>
      </w:r>
      <w:r>
        <w:t>.</w:t>
      </w:r>
    </w:p>
    <w:p w14:paraId="09108BB0" w14:textId="44433CBF" w:rsidR="008858F6" w:rsidRDefault="008858F6" w:rsidP="008858F6">
      <w:r>
        <w:t xml:space="preserve">107. </w:t>
      </w:r>
      <w:r w:rsidR="00E57381">
        <w:tab/>
      </w:r>
      <w:r w:rsidR="00C97916">
        <w:t xml:space="preserve">Ya </w:t>
      </w:r>
      <w:r>
        <w:t xml:space="preserve">que </w:t>
      </w:r>
      <w:r w:rsidR="0063362B">
        <w:t xml:space="preserve">será </w:t>
      </w:r>
      <w:r>
        <w:t>cuando sur</w:t>
      </w:r>
      <w:r w:rsidR="0063362B">
        <w:t>ja</w:t>
      </w:r>
      <w:r>
        <w:t xml:space="preserve">n estos </w:t>
      </w:r>
      <w:r w:rsidR="0063362B">
        <w:t xml:space="preserve">factores </w:t>
      </w:r>
      <w:r>
        <w:t>que se di</w:t>
      </w:r>
      <w:r w:rsidR="0063362B">
        <w:t>rá</w:t>
      </w:r>
      <w:r>
        <w:t xml:space="preserve"> que </w:t>
      </w:r>
      <w:r w:rsidR="0063362B">
        <w:t xml:space="preserve">habrá surgido el primer </w:t>
      </w:r>
      <w:proofErr w:type="spellStart"/>
      <w:r w:rsidR="00057BF4" w:rsidRPr="00057BF4">
        <w:rPr>
          <w:i/>
          <w:iCs/>
        </w:rPr>
        <w:t>jhāna</w:t>
      </w:r>
      <w:proofErr w:type="spellEnd"/>
      <w:r>
        <w:t>, razón por la cual se les llama</w:t>
      </w:r>
      <w:r w:rsidR="0019620E">
        <w:t>rá</w:t>
      </w:r>
      <w:r>
        <w:t xml:space="preserve"> los cinco factores de posesión. Por lo tanto, no debe</w:t>
      </w:r>
      <w:r w:rsidR="00B920B3">
        <w:t xml:space="preserve">rá </w:t>
      </w:r>
      <w:r>
        <w:t xml:space="preserve">asumirse que el </w:t>
      </w:r>
      <w:proofErr w:type="spellStart"/>
      <w:r w:rsidR="00057BF4" w:rsidRPr="00057BF4">
        <w:rPr>
          <w:i/>
          <w:iCs/>
        </w:rPr>
        <w:t>jhāna</w:t>
      </w:r>
      <w:proofErr w:type="spellEnd"/>
      <w:r>
        <w:t xml:space="preserve"> </w:t>
      </w:r>
      <w:r w:rsidR="007837BD">
        <w:t>sea</w:t>
      </w:r>
      <w:r>
        <w:t xml:space="preserve"> algo más que los </w:t>
      </w:r>
      <w:r w:rsidR="007837BD">
        <w:t xml:space="preserve">factores que </w:t>
      </w:r>
      <w:r>
        <w:t>pose</w:t>
      </w:r>
      <w:r w:rsidR="007837BD">
        <w:t>a</w:t>
      </w:r>
      <w:r>
        <w:t xml:space="preserve">. </w:t>
      </w:r>
      <w:r w:rsidR="00B96868">
        <w:t>Sino</w:t>
      </w:r>
      <w:r>
        <w:t xml:space="preserve"> como </w:t>
      </w:r>
      <w:r w:rsidR="00B96868">
        <w:t xml:space="preserve">en el caso de </w:t>
      </w:r>
      <w:r>
        <w:t xml:space="preserve">“El ejército </w:t>
      </w:r>
      <w:r w:rsidR="00B96868">
        <w:t>de</w:t>
      </w:r>
      <w:r>
        <w:t xml:space="preserve"> los cuatro factores” (</w:t>
      </w:r>
      <w:proofErr w:type="spellStart"/>
      <w:r>
        <w:t>Vin</w:t>
      </w:r>
      <w:proofErr w:type="spellEnd"/>
      <w:r>
        <w:t xml:space="preserve"> IV 104) y “La música </w:t>
      </w:r>
      <w:r w:rsidR="00B96868">
        <w:t>de</w:t>
      </w:r>
      <w:r>
        <w:t xml:space="preserve"> los cinco factores” (M-a II 300) y “El </w:t>
      </w:r>
      <w:r w:rsidR="00D35EDA">
        <w:t>sendero</w:t>
      </w:r>
      <w:r>
        <w:t xml:space="preserve"> </w:t>
      </w:r>
      <w:r w:rsidR="005A1035">
        <w:t>de</w:t>
      </w:r>
      <w:r>
        <w:t xml:space="preserve"> los ocho factores (</w:t>
      </w:r>
      <w:r w:rsidR="00B96868">
        <w:t>Noble Óctuple Sendero</w:t>
      </w:r>
      <w:r>
        <w:t xml:space="preserve">)” </w:t>
      </w:r>
      <w:r w:rsidR="00B96868">
        <w:t xml:space="preserve">que </w:t>
      </w:r>
      <w:r>
        <w:t xml:space="preserve">se expresan simplemente en términos de sus factores, </w:t>
      </w:r>
      <w:r w:rsidR="00910EE5">
        <w:t xml:space="preserve">así mismo, </w:t>
      </w:r>
      <w:r w:rsidR="00F112DB">
        <w:t xml:space="preserve">cuando se diga que "tiene cinco factores" o "posee cinco factores", </w:t>
      </w:r>
      <w:r>
        <w:t>también [147] debe</w:t>
      </w:r>
      <w:r w:rsidR="00910EE5">
        <w:t>r</w:t>
      </w:r>
      <w:r w:rsidR="00F112DB">
        <w:t>ía</w:t>
      </w:r>
      <w:r w:rsidR="00910EE5">
        <w:t xml:space="preserve"> </w:t>
      </w:r>
      <w:r>
        <w:t xml:space="preserve">entenderse </w:t>
      </w:r>
      <w:r w:rsidR="00F112DB">
        <w:t>como una expresión</w:t>
      </w:r>
      <w:r>
        <w:t xml:space="preserve"> en términos de </w:t>
      </w:r>
      <w:r w:rsidR="00F112DB">
        <w:t xml:space="preserve">simplemente </w:t>
      </w:r>
      <w:r>
        <w:t>sus factores</w:t>
      </w:r>
      <w:r w:rsidR="00B96868">
        <w:t>.</w:t>
      </w:r>
      <w:r>
        <w:t xml:space="preserve"> </w:t>
      </w:r>
    </w:p>
    <w:p w14:paraId="4DEF9C13" w14:textId="57847165" w:rsidR="00C86406" w:rsidRDefault="008858F6" w:rsidP="008858F6">
      <w:r>
        <w:t>108.</w:t>
      </w:r>
      <w:r>
        <w:tab/>
        <w:t>Y aunque estos cinco factores est</w:t>
      </w:r>
      <w:r w:rsidR="00181915">
        <w:t>é</w:t>
      </w:r>
      <w:r>
        <w:t>n presentes también en el momento del acceso y son más fuertes en el acceso que en la con</w:t>
      </w:r>
      <w:r w:rsidR="00070EC3">
        <w:t>s</w:t>
      </w:r>
      <w:r>
        <w:t xml:space="preserve">ciencia normal, son </w:t>
      </w:r>
      <w:r w:rsidR="008C3A57">
        <w:t xml:space="preserve">inclusive </w:t>
      </w:r>
      <w:r>
        <w:t>más fuertes aquí que en el acceso y adqu</w:t>
      </w:r>
      <w:r w:rsidR="002B5160">
        <w:t>i</w:t>
      </w:r>
      <w:r>
        <w:t>r</w:t>
      </w:r>
      <w:r w:rsidR="002B5160">
        <w:t>irá</w:t>
      </w:r>
      <w:r>
        <w:t xml:space="preserve">n la característica de la esfera de la materia </w:t>
      </w:r>
      <w:r w:rsidR="00181915">
        <w:t>sutil</w:t>
      </w:r>
      <w:r>
        <w:t xml:space="preserve">. Porque </w:t>
      </w:r>
      <w:r w:rsidR="00070EC3">
        <w:rPr>
          <w:i/>
          <w:iCs/>
        </w:rPr>
        <w:t xml:space="preserve">la aplicación </w:t>
      </w:r>
      <w:proofErr w:type="spellStart"/>
      <w:r w:rsidR="00070EC3">
        <w:rPr>
          <w:i/>
          <w:iCs/>
        </w:rPr>
        <w:t>mental</w:t>
      </w:r>
      <w:r>
        <w:t>surg</w:t>
      </w:r>
      <w:r w:rsidR="002B5160">
        <w:t>id</w:t>
      </w:r>
      <w:r w:rsidR="00070EC3">
        <w:t>a</w:t>
      </w:r>
      <w:proofErr w:type="spellEnd"/>
      <w:r>
        <w:t xml:space="preserve"> aquí dirigiendo la mente hacia el objeto de una manera extremadamente lúcida, y </w:t>
      </w:r>
      <w:r w:rsidR="00070EC3">
        <w:rPr>
          <w:i/>
          <w:iCs/>
        </w:rPr>
        <w:t>la sustentación mental</w:t>
      </w:r>
      <w:r w:rsidR="00070EC3">
        <w:t xml:space="preserve"> </w:t>
      </w:r>
      <w:r>
        <w:t>lo ha</w:t>
      </w:r>
      <w:r w:rsidR="00FB1995">
        <w:t>rá</w:t>
      </w:r>
      <w:r>
        <w:t xml:space="preserve"> presionando fuerte</w:t>
      </w:r>
      <w:r w:rsidR="00070EC3">
        <w:t>mente</w:t>
      </w:r>
      <w:r>
        <w:t xml:space="preserve"> al objeto, y la felicidad y la dicha impregna</w:t>
      </w:r>
      <w:r w:rsidR="00FB1995">
        <w:t>rán</w:t>
      </w:r>
      <w:r>
        <w:t xml:space="preserve"> todo el cuerpo. Por eso se dice: “Y no hay nada en todo su cuerpo que no esté impregnado de felicidad y </w:t>
      </w:r>
      <w:r w:rsidR="00FB1995">
        <w:t>dicha que nazcan</w:t>
      </w:r>
      <w:r>
        <w:t xml:space="preserve"> de la reclusión” (D I 73). Y la unificación también surg</w:t>
      </w:r>
      <w:r w:rsidR="00FB1995">
        <w:t>irá</w:t>
      </w:r>
      <w:r>
        <w:t xml:space="preserve"> en el contacto total del objeto </w:t>
      </w:r>
      <w:r w:rsidR="0043708D">
        <w:t xml:space="preserve">como la </w:t>
      </w:r>
      <w:r>
        <w:t>que t</w:t>
      </w:r>
      <w:r w:rsidR="00FB1995">
        <w:t>e</w:t>
      </w:r>
      <w:r>
        <w:t>n</w:t>
      </w:r>
      <w:r w:rsidR="00FB1995">
        <w:t>ga</w:t>
      </w:r>
      <w:r>
        <w:t xml:space="preserve"> la superficie de la tapa de una caja con la superficie de su base. Así es como </w:t>
      </w:r>
      <w:r w:rsidR="00D333D1">
        <w:t xml:space="preserve">ellas </w:t>
      </w:r>
      <w:r>
        <w:t>se diferencian de los demás.</w:t>
      </w:r>
    </w:p>
    <w:p w14:paraId="0D411850" w14:textId="77777777" w:rsidR="009B5F06" w:rsidRDefault="009B5F06">
      <w:pPr>
        <w:tabs>
          <w:tab w:val="clear" w:pos="425"/>
        </w:tabs>
        <w:spacing w:after="160"/>
      </w:pPr>
      <w:r>
        <w:br w:type="page"/>
      </w:r>
    </w:p>
    <w:p w14:paraId="41D2C801" w14:textId="77777777" w:rsidR="009B5F06" w:rsidRDefault="009B5F06" w:rsidP="009B5F06"/>
    <w:p w14:paraId="4D6DBC08" w14:textId="709DB5EE" w:rsidR="009B5F06" w:rsidRDefault="009B5F06" w:rsidP="009B5F06">
      <w:r>
        <w:t xml:space="preserve">109. </w:t>
      </w:r>
      <w:r w:rsidR="00D333D1">
        <w:tab/>
      </w:r>
      <w:r>
        <w:t>Aunque la unificación ment</w:t>
      </w:r>
      <w:r w:rsidR="00D333D1">
        <w:t>al</w:t>
      </w:r>
      <w:r>
        <w:t xml:space="preserve"> en realidad no figur</w:t>
      </w:r>
      <w:r w:rsidR="00D333D1">
        <w:t>e</w:t>
      </w:r>
      <w:r>
        <w:t xml:space="preserve"> entre estos factores en la versión [resumida] [</w:t>
      </w:r>
      <w:r w:rsidR="00D333D1">
        <w:t xml:space="preserve">al </w:t>
      </w:r>
      <w:r>
        <w:t xml:space="preserve">comienzo] "acompañada de </w:t>
      </w:r>
      <w:r w:rsidR="000B0AA7">
        <w:rPr>
          <w:i/>
          <w:iCs/>
        </w:rPr>
        <w:t xml:space="preserve">aplicación mental </w:t>
      </w:r>
      <w:r>
        <w:t xml:space="preserve">y </w:t>
      </w:r>
      <w:r w:rsidR="000B0AA7">
        <w:rPr>
          <w:i/>
          <w:iCs/>
        </w:rPr>
        <w:t>sustentación mental</w:t>
      </w:r>
      <w:r w:rsidR="000B0AA7">
        <w:t xml:space="preserve"> </w:t>
      </w:r>
      <w:r>
        <w:t>" (</w:t>
      </w:r>
      <w:proofErr w:type="spellStart"/>
      <w:r>
        <w:t>Vibh</w:t>
      </w:r>
      <w:proofErr w:type="spellEnd"/>
      <w:r>
        <w:t xml:space="preserve"> 245), sin embargo, se menciona [más adelante] en el </w:t>
      </w:r>
      <w:proofErr w:type="spellStart"/>
      <w:r w:rsidRPr="002939BE">
        <w:rPr>
          <w:i/>
          <w:iCs/>
        </w:rPr>
        <w:t>Vibhaṅga</w:t>
      </w:r>
      <w:proofErr w:type="spellEnd"/>
      <w:r>
        <w:t xml:space="preserve"> de la siguiente manera: “</w:t>
      </w:r>
      <w:r w:rsidRPr="002939BE">
        <w:rPr>
          <w:i/>
          <w:iCs/>
        </w:rPr>
        <w:t>'</w:t>
      </w:r>
      <w:proofErr w:type="spellStart"/>
      <w:r w:rsidR="00057BF4" w:rsidRPr="00057BF4">
        <w:rPr>
          <w:i/>
          <w:iCs/>
        </w:rPr>
        <w:t>Jhāna</w:t>
      </w:r>
      <w:proofErr w:type="spellEnd"/>
      <w:r w:rsidRPr="002939BE">
        <w:rPr>
          <w:i/>
          <w:iCs/>
        </w:rPr>
        <w:t>'</w:t>
      </w:r>
      <w:r>
        <w:t xml:space="preserve">: es </w:t>
      </w:r>
      <w:r w:rsidR="000B0AA7" w:rsidRPr="00573D9A">
        <w:t>la aplicación mental</w:t>
      </w:r>
      <w:r w:rsidRPr="00573D9A">
        <w:t xml:space="preserve">, </w:t>
      </w:r>
      <w:r w:rsidR="00573D9A" w:rsidRPr="00573D9A">
        <w:t xml:space="preserve">la </w:t>
      </w:r>
      <w:r w:rsidR="000B0AA7" w:rsidRPr="00573D9A">
        <w:t>sustentación mental</w:t>
      </w:r>
      <w:r>
        <w:t xml:space="preserve">, </w:t>
      </w:r>
      <w:r w:rsidR="008A7FFE">
        <w:t xml:space="preserve">la </w:t>
      </w:r>
      <w:r>
        <w:t xml:space="preserve">felicidad, </w:t>
      </w:r>
      <w:r w:rsidR="008A7FFE">
        <w:t xml:space="preserve">la </w:t>
      </w:r>
      <w:r>
        <w:t>dicha</w:t>
      </w:r>
      <w:r w:rsidR="008A7FFE">
        <w:t xml:space="preserve"> y la</w:t>
      </w:r>
      <w:r>
        <w:t xml:space="preserve"> unificación” (</w:t>
      </w:r>
      <w:proofErr w:type="spellStart"/>
      <w:r>
        <w:t>Vibh</w:t>
      </w:r>
      <w:proofErr w:type="spellEnd"/>
      <w:r>
        <w:t xml:space="preserve"> 257), por lo que también </w:t>
      </w:r>
      <w:r w:rsidR="008A7FFE">
        <w:t>será</w:t>
      </w:r>
      <w:r>
        <w:t xml:space="preserve"> un factor; porque la intención con la que el </w:t>
      </w:r>
      <w:r w:rsidR="00306045">
        <w:rPr>
          <w:i/>
          <w:iCs/>
        </w:rPr>
        <w:t xml:space="preserve">Bhagavā </w:t>
      </w:r>
      <w:r>
        <w:t>dio el resumen es la misma con la que dio la exposición que sigue.</w:t>
      </w:r>
    </w:p>
    <w:p w14:paraId="05D34A5D" w14:textId="65761E61" w:rsidR="009B5F06" w:rsidRDefault="009B5F06" w:rsidP="009B5F06">
      <w:r>
        <w:t xml:space="preserve">110. </w:t>
      </w:r>
      <w:r w:rsidR="00D333D1">
        <w:tab/>
      </w:r>
      <w:r w:rsidRPr="00647632">
        <w:rPr>
          <w:i/>
          <w:iCs/>
        </w:rPr>
        <w:t>Es bueno de tres maneras, posee diez características</w:t>
      </w:r>
      <w:r>
        <w:t xml:space="preserve"> (§79): la bondad de tres maneras está </w:t>
      </w:r>
      <w:r w:rsidR="008212FC">
        <w:t>a</w:t>
      </w:r>
      <w:r>
        <w:t xml:space="preserve">l principio, en el medio y en el final. La posesión de las diez características debe entenderse también como las características </w:t>
      </w:r>
      <w:r w:rsidR="00EB7D31">
        <w:t>a</w:t>
      </w:r>
      <w:r>
        <w:t xml:space="preserve">l principio, </w:t>
      </w:r>
      <w:r w:rsidR="00EB7D31">
        <w:t xml:space="preserve">en el </w:t>
      </w:r>
      <w:r>
        <w:t xml:space="preserve">medio y </w:t>
      </w:r>
      <w:r w:rsidR="00EB7D31">
        <w:t xml:space="preserve">al </w:t>
      </w:r>
      <w:r>
        <w:t>final. Aquí está el texto:</w:t>
      </w:r>
    </w:p>
    <w:p w14:paraId="15D881E4" w14:textId="48DE5165" w:rsidR="009B5F06" w:rsidRDefault="009B5F06" w:rsidP="009B5F06">
      <w:r>
        <w:t xml:space="preserve">111. </w:t>
      </w:r>
      <w:r w:rsidR="00D333D1">
        <w:tab/>
      </w:r>
      <w:r>
        <w:t>“</w:t>
      </w:r>
      <w:r w:rsidR="0065012D">
        <w:t>Respecto al</w:t>
      </w:r>
      <w:r>
        <w:t xml:space="preserve"> primer </w:t>
      </w:r>
      <w:proofErr w:type="spellStart"/>
      <w:r w:rsidR="00057BF4" w:rsidRPr="00057BF4">
        <w:rPr>
          <w:i/>
          <w:iCs/>
        </w:rPr>
        <w:t>jhāna</w:t>
      </w:r>
      <w:proofErr w:type="spellEnd"/>
      <w:r>
        <w:t xml:space="preserve">, la purificación del </w:t>
      </w:r>
      <w:r w:rsidR="00EB7D31">
        <w:t xml:space="preserve">sendero </w:t>
      </w:r>
      <w:r>
        <w:t>es el comienzo, la intensificación de la ecuanimidad es el medio y la satisfacción es el final.</w:t>
      </w:r>
    </w:p>
    <w:p w14:paraId="2DFBD2D5" w14:textId="51C4F6E1" w:rsidR="009B5F06" w:rsidRDefault="009B5F06" w:rsidP="00EF1E4E">
      <w:pPr>
        <w:pStyle w:val="NormalConSangria"/>
      </w:pPr>
      <w:r>
        <w:t>“‘</w:t>
      </w:r>
      <w:r w:rsidR="0065012D">
        <w:t xml:space="preserve">Respecto al primer </w:t>
      </w:r>
      <w:proofErr w:type="spellStart"/>
      <w:r w:rsidR="00057BF4" w:rsidRPr="00057BF4">
        <w:rPr>
          <w:i/>
          <w:iCs/>
        </w:rPr>
        <w:t>jhāna</w:t>
      </w:r>
      <w:proofErr w:type="spellEnd"/>
      <w:r>
        <w:t xml:space="preserve">, la purificación del </w:t>
      </w:r>
      <w:r w:rsidR="00EB7D31">
        <w:t xml:space="preserve">sendero </w:t>
      </w:r>
      <w:r>
        <w:t xml:space="preserve">es el comienzo’: ¿cuántas características tiene el comienzo? El comienzo tiene tres características: </w:t>
      </w:r>
      <w:r w:rsidR="00CC6FC7" w:rsidRPr="00CC6FC7">
        <w:rPr>
          <w:color w:val="1F3864" w:themeColor="accent1" w:themeShade="80"/>
        </w:rPr>
        <w:t>(</w:t>
      </w:r>
      <w:r w:rsidR="00CC6FC7">
        <w:rPr>
          <w:color w:val="1F3864" w:themeColor="accent1" w:themeShade="80"/>
        </w:rPr>
        <w:t xml:space="preserve">i) </w:t>
      </w:r>
      <w:r>
        <w:t xml:space="preserve">la mente se purifica de </w:t>
      </w:r>
      <w:r w:rsidR="009F1F29">
        <w:t xml:space="preserve">las </w:t>
      </w:r>
      <w:r>
        <w:t xml:space="preserve">obstrucciones </w:t>
      </w:r>
      <w:r w:rsidR="00D431BA">
        <w:t>del</w:t>
      </w:r>
      <w:r>
        <w:t xml:space="preserve"> </w:t>
      </w:r>
      <w:proofErr w:type="spellStart"/>
      <w:r w:rsidR="00057BF4" w:rsidRPr="00057BF4">
        <w:rPr>
          <w:i/>
          <w:iCs/>
        </w:rPr>
        <w:t>jhāna</w:t>
      </w:r>
      <w:proofErr w:type="spellEnd"/>
      <w:r>
        <w:t>; por est</w:t>
      </w:r>
      <w:r w:rsidR="009F1F29">
        <w:t>ar</w:t>
      </w:r>
      <w:r>
        <w:t xml:space="preserve"> purificada, </w:t>
      </w:r>
      <w:r w:rsidR="004206D8">
        <w:rPr>
          <w:color w:val="1F3864" w:themeColor="accent1" w:themeShade="80"/>
        </w:rPr>
        <w:t>(</w:t>
      </w:r>
      <w:proofErr w:type="spellStart"/>
      <w:r w:rsidR="004206D8">
        <w:rPr>
          <w:color w:val="1F3864" w:themeColor="accent1" w:themeShade="80"/>
        </w:rPr>
        <w:t>ii</w:t>
      </w:r>
      <w:proofErr w:type="spellEnd"/>
      <w:r w:rsidR="004206D8">
        <w:rPr>
          <w:color w:val="1F3864" w:themeColor="accent1" w:themeShade="80"/>
        </w:rPr>
        <w:t xml:space="preserve">) </w:t>
      </w:r>
      <w:r>
        <w:t xml:space="preserve">la mente da paso a </w:t>
      </w:r>
      <w:r w:rsidR="007532E9">
        <w:t xml:space="preserve">un </w:t>
      </w:r>
      <w:r>
        <w:t xml:space="preserve">estado de equilibrio, que es </w:t>
      </w:r>
      <w:r w:rsidR="00E65671">
        <w:t xml:space="preserve">el </w:t>
      </w:r>
      <w:r>
        <w:t xml:space="preserve">signo </w:t>
      </w:r>
      <w:r w:rsidR="000E0681">
        <w:t xml:space="preserve">central </w:t>
      </w:r>
      <w:r>
        <w:t xml:space="preserve">de la serenidad; </w:t>
      </w:r>
      <w:r w:rsidR="004206D8">
        <w:rPr>
          <w:color w:val="1F3864" w:themeColor="accent1" w:themeShade="80"/>
        </w:rPr>
        <w:t>(</w:t>
      </w:r>
      <w:proofErr w:type="spellStart"/>
      <w:r w:rsidR="004206D8">
        <w:rPr>
          <w:color w:val="1F3864" w:themeColor="accent1" w:themeShade="80"/>
        </w:rPr>
        <w:t>iii</w:t>
      </w:r>
      <w:proofErr w:type="spellEnd"/>
      <w:r w:rsidR="004206D8">
        <w:rPr>
          <w:color w:val="1F3864" w:themeColor="accent1" w:themeShade="80"/>
        </w:rPr>
        <w:t xml:space="preserve">) tiene </w:t>
      </w:r>
      <w:r w:rsidR="004206D8">
        <w:t>la característica de</w:t>
      </w:r>
      <w:r w:rsidR="00A50974" w:rsidRPr="00A50974">
        <w:t xml:space="preserve"> ha</w:t>
      </w:r>
      <w:r w:rsidR="004206D8">
        <w:t>ber</w:t>
      </w:r>
      <w:r w:rsidR="00A50974" w:rsidRPr="00A50974">
        <w:t xml:space="preserve"> hecho que la mente entre en ese estado</w:t>
      </w:r>
      <w:r>
        <w:t xml:space="preserve">. Y </w:t>
      </w:r>
      <w:r w:rsidR="00E65671">
        <w:t>debido a que</w:t>
      </w:r>
      <w:r>
        <w:t xml:space="preserve"> la mente se </w:t>
      </w:r>
      <w:r w:rsidR="005B0680">
        <w:t xml:space="preserve">ha </w:t>
      </w:r>
      <w:r>
        <w:t>purifica</w:t>
      </w:r>
      <w:r w:rsidR="005B0680">
        <w:t>do</w:t>
      </w:r>
      <w:r>
        <w:t xml:space="preserve"> de las obstrucciones y, al purificarse, </w:t>
      </w:r>
      <w:r w:rsidR="005B0680">
        <w:t xml:space="preserve">ha </w:t>
      </w:r>
      <w:r>
        <w:t>da</w:t>
      </w:r>
      <w:r w:rsidR="005B0680">
        <w:t>do</w:t>
      </w:r>
      <w:r>
        <w:t xml:space="preserve"> paso al estado de equilibrio, el signo central de la serenidad y, </w:t>
      </w:r>
      <w:r w:rsidR="00D9190B">
        <w:t>abierto</w:t>
      </w:r>
      <w:r w:rsidR="000F7289">
        <w:t xml:space="preserve"> así</w:t>
      </w:r>
      <w:r>
        <w:t xml:space="preserve"> el </w:t>
      </w:r>
      <w:r w:rsidR="00BD4E98">
        <w:t>sendero</w:t>
      </w:r>
      <w:r>
        <w:t xml:space="preserve">, </w:t>
      </w:r>
      <w:r w:rsidR="004E7155">
        <w:t xml:space="preserve">es </w:t>
      </w:r>
      <w:r w:rsidR="000F7289">
        <w:t xml:space="preserve">entonces </w:t>
      </w:r>
      <w:r w:rsidR="005D05E5">
        <w:t xml:space="preserve">que </w:t>
      </w:r>
      <w:r w:rsidR="001F448E">
        <w:t>al</w:t>
      </w:r>
      <w:r w:rsidR="004E7155">
        <w:t xml:space="preserve"> </w:t>
      </w:r>
      <w:r w:rsidR="00181744">
        <w:t>llega</w:t>
      </w:r>
      <w:r w:rsidR="001F448E">
        <w:t>r</w:t>
      </w:r>
      <w:r w:rsidR="00181744">
        <w:t xml:space="preserve"> a entrar</w:t>
      </w:r>
      <w:r>
        <w:t xml:space="preserve"> </w:t>
      </w:r>
      <w:r w:rsidR="00997B49">
        <w:t xml:space="preserve">en </w:t>
      </w:r>
      <w:r>
        <w:t xml:space="preserve">ese estado, la purificación del </w:t>
      </w:r>
      <w:r w:rsidR="00BD4E98">
        <w:t xml:space="preserve">sendero </w:t>
      </w:r>
      <w:r w:rsidR="00997B49">
        <w:t xml:space="preserve">llega a ser </w:t>
      </w:r>
      <w:r>
        <w:t xml:space="preserve">el comienzo del primer </w:t>
      </w:r>
      <w:proofErr w:type="spellStart"/>
      <w:r w:rsidR="00057BF4" w:rsidRPr="00057BF4">
        <w:rPr>
          <w:i/>
          <w:iCs/>
        </w:rPr>
        <w:t>jhāna</w:t>
      </w:r>
      <w:proofErr w:type="spellEnd"/>
      <w:r>
        <w:t>. Estas son las tres características del comienzo. Por lo tanto, se di</w:t>
      </w:r>
      <w:r w:rsidR="005B0680">
        <w:t>rá</w:t>
      </w:r>
      <w:r>
        <w:t xml:space="preserve">: 'El primer </w:t>
      </w:r>
      <w:proofErr w:type="spellStart"/>
      <w:r w:rsidR="00057BF4" w:rsidRPr="00057BF4">
        <w:rPr>
          <w:i/>
          <w:iCs/>
        </w:rPr>
        <w:t>jhāna</w:t>
      </w:r>
      <w:proofErr w:type="spellEnd"/>
      <w:r>
        <w:t xml:space="preserve"> es bueno al principio y posee tres características'. [148]</w:t>
      </w:r>
    </w:p>
    <w:p w14:paraId="30D40867" w14:textId="181E11F8" w:rsidR="009B5F06" w:rsidRDefault="009B5F06" w:rsidP="009B5F06">
      <w:r>
        <w:t xml:space="preserve">112. </w:t>
      </w:r>
      <w:r w:rsidR="00D333D1">
        <w:tab/>
      </w:r>
      <w:r>
        <w:t>“‘</w:t>
      </w:r>
      <w:r w:rsidR="00BA276A">
        <w:t>Respecto al</w:t>
      </w:r>
      <w:r>
        <w:t xml:space="preserve"> primer </w:t>
      </w:r>
      <w:proofErr w:type="spellStart"/>
      <w:r w:rsidR="00057BF4" w:rsidRPr="00057BF4">
        <w:rPr>
          <w:i/>
          <w:iCs/>
        </w:rPr>
        <w:t>jhāna</w:t>
      </w:r>
      <w:proofErr w:type="spellEnd"/>
      <w:r>
        <w:t xml:space="preserve">, la intensificación de la ecuanimidad </w:t>
      </w:r>
      <w:r w:rsidR="00BE09C6">
        <w:t>se encuentra en</w:t>
      </w:r>
      <w:r>
        <w:t xml:space="preserve"> el medio’: ¿cuántas características tiene </w:t>
      </w:r>
      <w:r w:rsidR="000240A0">
        <w:t xml:space="preserve">en </w:t>
      </w:r>
      <w:r>
        <w:t>el medio? E</w:t>
      </w:r>
      <w:r w:rsidR="000240A0">
        <w:t>n e</w:t>
      </w:r>
      <w:r>
        <w:t xml:space="preserve">l medio </w:t>
      </w:r>
      <w:r w:rsidR="00BE09C6">
        <w:t>posee</w:t>
      </w:r>
      <w:r>
        <w:t xml:space="preserve"> tres características. </w:t>
      </w:r>
      <w:r w:rsidR="00A55BE4">
        <w:t>(</w:t>
      </w:r>
      <w:r w:rsidR="00A55BE4">
        <w:rPr>
          <w:color w:val="1F3864" w:themeColor="accent1" w:themeShade="80"/>
        </w:rPr>
        <w:t xml:space="preserve">i) </w:t>
      </w:r>
      <w:r>
        <w:t xml:space="preserve">Él [ahora] </w:t>
      </w:r>
      <w:r w:rsidR="000240A0">
        <w:t xml:space="preserve">observa </w:t>
      </w:r>
      <w:r>
        <w:t xml:space="preserve">con ecuanimidad a la mente que </w:t>
      </w:r>
      <w:r w:rsidR="00BE09C6">
        <w:t xml:space="preserve">se encuentre </w:t>
      </w:r>
      <w:r>
        <w:t xml:space="preserve">purificada; </w:t>
      </w:r>
      <w:r w:rsidR="00A55BE4">
        <w:rPr>
          <w:color w:val="1F3864" w:themeColor="accent1" w:themeShade="80"/>
        </w:rPr>
        <w:t>(</w:t>
      </w:r>
      <w:proofErr w:type="spellStart"/>
      <w:r w:rsidR="00A55BE4">
        <w:rPr>
          <w:color w:val="1F3864" w:themeColor="accent1" w:themeShade="80"/>
        </w:rPr>
        <w:t>ii</w:t>
      </w:r>
      <w:proofErr w:type="spellEnd"/>
      <w:r w:rsidR="00A55BE4">
        <w:rPr>
          <w:color w:val="1F3864" w:themeColor="accent1" w:themeShade="80"/>
        </w:rPr>
        <w:t xml:space="preserve">) </w:t>
      </w:r>
      <w:r>
        <w:t xml:space="preserve">lo </w:t>
      </w:r>
      <w:r w:rsidR="000240A0">
        <w:t xml:space="preserve">observa </w:t>
      </w:r>
      <w:r>
        <w:t>con ecuanimidad como si hubie</w:t>
      </w:r>
      <w:r w:rsidR="000240A0">
        <w:t>se</w:t>
      </w:r>
      <w:r>
        <w:t xml:space="preserve"> dado paso a la serenidad; </w:t>
      </w:r>
      <w:r w:rsidR="00A55BE4">
        <w:rPr>
          <w:color w:val="1F3864" w:themeColor="accent1" w:themeShade="80"/>
        </w:rPr>
        <w:t>(</w:t>
      </w:r>
      <w:proofErr w:type="spellStart"/>
      <w:r w:rsidR="00A55BE4">
        <w:rPr>
          <w:color w:val="1F3864" w:themeColor="accent1" w:themeShade="80"/>
        </w:rPr>
        <w:t>iii</w:t>
      </w:r>
      <w:proofErr w:type="spellEnd"/>
      <w:r w:rsidR="00A55BE4">
        <w:rPr>
          <w:color w:val="1F3864" w:themeColor="accent1" w:themeShade="80"/>
        </w:rPr>
        <w:t xml:space="preserve">) </w:t>
      </w:r>
      <w:r w:rsidR="000240A0">
        <w:t xml:space="preserve">observa </w:t>
      </w:r>
      <w:r>
        <w:t xml:space="preserve">con ecuanimidad la apariencia de </w:t>
      </w:r>
      <w:r w:rsidR="00BE09C6">
        <w:t xml:space="preserve">la </w:t>
      </w:r>
      <w:r>
        <w:t>unidad.</w:t>
      </w:r>
      <w:r w:rsidR="00EC02E7" w:rsidRPr="00EC02E7">
        <w:rPr>
          <w:vertAlign w:val="superscript"/>
        </w:rPr>
        <w:t>32</w:t>
      </w:r>
      <w:r>
        <w:t xml:space="preserve"> Y </w:t>
      </w:r>
      <w:r w:rsidR="003F0ED3">
        <w:t xml:space="preserve">es debido a </w:t>
      </w:r>
      <w:r>
        <w:t xml:space="preserve">que él </w:t>
      </w:r>
      <w:r w:rsidR="00997681">
        <w:t xml:space="preserve">observa </w:t>
      </w:r>
      <w:r w:rsidR="00BE09C6">
        <w:t xml:space="preserve">[ahora] </w:t>
      </w:r>
      <w:r>
        <w:t xml:space="preserve">con ecuanimidad a la mente que </w:t>
      </w:r>
      <w:r w:rsidR="00BE09C6">
        <w:t>se encuentr</w:t>
      </w:r>
      <w:r w:rsidR="008F184B">
        <w:t>a</w:t>
      </w:r>
      <w:r>
        <w:t xml:space="preserve"> purificada</w:t>
      </w:r>
      <w:r w:rsidR="00617E4F">
        <w:t>,</w:t>
      </w:r>
      <w:r>
        <w:t xml:space="preserve"> </w:t>
      </w:r>
      <w:r w:rsidR="00997681">
        <w:t xml:space="preserve">observa </w:t>
      </w:r>
      <w:r>
        <w:t xml:space="preserve">con ecuanimidad </w:t>
      </w:r>
      <w:r w:rsidR="003F0ED3">
        <w:t xml:space="preserve">lo </w:t>
      </w:r>
      <w:r>
        <w:t xml:space="preserve">que ha dado paso a la serenidad y </w:t>
      </w:r>
      <w:r w:rsidR="00115D5F">
        <w:t xml:space="preserve">observa </w:t>
      </w:r>
      <w:r>
        <w:t xml:space="preserve">con ecuanimidad la aparición de la unidad, </w:t>
      </w:r>
      <w:r w:rsidR="00BA276A">
        <w:t xml:space="preserve">que </w:t>
      </w:r>
      <w:r>
        <w:t xml:space="preserve">esa intensificación de la ecuanimidad </w:t>
      </w:r>
      <w:r w:rsidR="00BA276A">
        <w:t xml:space="preserve">llegar a ser </w:t>
      </w:r>
      <w:r>
        <w:t xml:space="preserve">el medio del primer </w:t>
      </w:r>
      <w:proofErr w:type="spellStart"/>
      <w:r w:rsidRPr="002939BE">
        <w:rPr>
          <w:i/>
          <w:iCs/>
        </w:rPr>
        <w:t>jhana</w:t>
      </w:r>
      <w:proofErr w:type="spellEnd"/>
      <w:r>
        <w:t xml:space="preserve">. </w:t>
      </w:r>
      <w:r w:rsidR="00BA276A">
        <w:t>É</w:t>
      </w:r>
      <w:r>
        <w:t xml:space="preserve">stas son las tres características </w:t>
      </w:r>
      <w:r w:rsidR="00115D5F">
        <w:t xml:space="preserve">en </w:t>
      </w:r>
      <w:r>
        <w:t xml:space="preserve">el medio. Por lo tanto, se dice: 'El primer </w:t>
      </w:r>
      <w:proofErr w:type="spellStart"/>
      <w:r w:rsidR="00057BF4" w:rsidRPr="00057BF4">
        <w:rPr>
          <w:i/>
          <w:iCs/>
        </w:rPr>
        <w:t>jhāna</w:t>
      </w:r>
      <w:proofErr w:type="spellEnd"/>
      <w:r>
        <w:t xml:space="preserve"> es bueno en el medio </w:t>
      </w:r>
      <w:r w:rsidR="00115D5F">
        <w:t>por</w:t>
      </w:r>
      <w:r>
        <w:t>que posee tres características'.</w:t>
      </w:r>
    </w:p>
    <w:p w14:paraId="515314C9" w14:textId="31CB2A5A" w:rsidR="009B5F06" w:rsidRDefault="009B5F06" w:rsidP="009B5F06">
      <w:r>
        <w:t xml:space="preserve">113. </w:t>
      </w:r>
      <w:r w:rsidR="00D333D1">
        <w:tab/>
      </w:r>
      <w:r>
        <w:t>“‘</w:t>
      </w:r>
      <w:r w:rsidR="00BA276A">
        <w:t xml:space="preserve">Respecto al </w:t>
      </w:r>
      <w:r>
        <w:t xml:space="preserve">primer </w:t>
      </w:r>
      <w:proofErr w:type="spellStart"/>
      <w:r w:rsidR="00057BF4" w:rsidRPr="00057BF4">
        <w:rPr>
          <w:i/>
        </w:rPr>
        <w:t>jhāna</w:t>
      </w:r>
      <w:proofErr w:type="spellEnd"/>
      <w:r>
        <w:t xml:space="preserve"> la satisfacción </w:t>
      </w:r>
      <w:r w:rsidR="00BA276A">
        <w:t>se encuentra a</w:t>
      </w:r>
      <w:r>
        <w:t>l fin</w:t>
      </w:r>
      <w:r w:rsidR="00BA276A">
        <w:t>al</w:t>
      </w:r>
      <w:r>
        <w:t xml:space="preserve">’: ¿cuántas características tiene </w:t>
      </w:r>
      <w:r w:rsidR="00BA276A">
        <w:t>a</w:t>
      </w:r>
      <w:r>
        <w:t>l fin</w:t>
      </w:r>
      <w:r w:rsidR="00BA276A">
        <w:t>al</w:t>
      </w:r>
      <w:r>
        <w:t xml:space="preserve">? El final </w:t>
      </w:r>
      <w:r w:rsidR="00BA276A">
        <w:t>posee</w:t>
      </w:r>
      <w:r>
        <w:t xml:space="preserve"> cuatro características. </w:t>
      </w:r>
      <w:r w:rsidR="00BA276A" w:rsidRPr="00BA276A">
        <w:rPr>
          <w:color w:val="1F3864" w:themeColor="accent1" w:themeShade="80"/>
        </w:rPr>
        <w:t xml:space="preserve">(i) </w:t>
      </w:r>
      <w:r>
        <w:t xml:space="preserve">La satisfacción en el sentido de que no hubo exceso de ninguno de los estados surgidos en él, </w:t>
      </w:r>
      <w:r w:rsidR="00BA276A" w:rsidRPr="00BA276A">
        <w:rPr>
          <w:color w:val="1F3864" w:themeColor="accent1" w:themeShade="80"/>
        </w:rPr>
        <w:t>(</w:t>
      </w:r>
      <w:proofErr w:type="spellStart"/>
      <w:r w:rsidR="00BA276A">
        <w:rPr>
          <w:color w:val="1F3864" w:themeColor="accent1" w:themeShade="80"/>
        </w:rPr>
        <w:t>i</w:t>
      </w:r>
      <w:r w:rsidR="00BA276A" w:rsidRPr="00BA276A">
        <w:rPr>
          <w:color w:val="1F3864" w:themeColor="accent1" w:themeShade="80"/>
        </w:rPr>
        <w:t>i</w:t>
      </w:r>
      <w:proofErr w:type="spellEnd"/>
      <w:r w:rsidR="00BA276A" w:rsidRPr="00BA276A">
        <w:rPr>
          <w:color w:val="1F3864" w:themeColor="accent1" w:themeShade="80"/>
        </w:rPr>
        <w:t xml:space="preserve">) </w:t>
      </w:r>
      <w:r>
        <w:t xml:space="preserve">la satisfacción en el sentido de que las facultades </w:t>
      </w:r>
      <w:r w:rsidR="00BA276A">
        <w:t>poseían</w:t>
      </w:r>
      <w:r>
        <w:t xml:space="preserve"> una sola función, </w:t>
      </w:r>
      <w:r w:rsidR="00BA276A" w:rsidRPr="00BA276A">
        <w:rPr>
          <w:color w:val="1F3864" w:themeColor="accent1" w:themeShade="80"/>
        </w:rPr>
        <w:t>(</w:t>
      </w:r>
      <w:proofErr w:type="spellStart"/>
      <w:r w:rsidR="00BA276A" w:rsidRPr="00BA276A">
        <w:rPr>
          <w:color w:val="1F3864" w:themeColor="accent1" w:themeShade="80"/>
        </w:rPr>
        <w:t>i</w:t>
      </w:r>
      <w:r w:rsidR="00BA276A">
        <w:rPr>
          <w:color w:val="1F3864" w:themeColor="accent1" w:themeShade="80"/>
        </w:rPr>
        <w:t>ii</w:t>
      </w:r>
      <w:proofErr w:type="spellEnd"/>
      <w:r w:rsidR="00BA276A" w:rsidRPr="00BA276A">
        <w:rPr>
          <w:color w:val="1F3864" w:themeColor="accent1" w:themeShade="80"/>
        </w:rPr>
        <w:t xml:space="preserve">) </w:t>
      </w:r>
      <w:r>
        <w:t xml:space="preserve">la satisfacción en el sentido de que la energía apropiada fue efectiva, y </w:t>
      </w:r>
      <w:r w:rsidR="00BA276A" w:rsidRPr="00BA276A">
        <w:rPr>
          <w:color w:val="1F3864" w:themeColor="accent1" w:themeShade="80"/>
        </w:rPr>
        <w:t>(</w:t>
      </w:r>
      <w:proofErr w:type="spellStart"/>
      <w:r w:rsidR="00BA276A" w:rsidRPr="00BA276A">
        <w:rPr>
          <w:color w:val="1F3864" w:themeColor="accent1" w:themeShade="80"/>
        </w:rPr>
        <w:t>i</w:t>
      </w:r>
      <w:r w:rsidR="00BA276A">
        <w:rPr>
          <w:color w:val="1F3864" w:themeColor="accent1" w:themeShade="80"/>
        </w:rPr>
        <w:t>v</w:t>
      </w:r>
      <w:proofErr w:type="spellEnd"/>
      <w:r w:rsidR="00BA276A" w:rsidRPr="00BA276A">
        <w:rPr>
          <w:color w:val="1F3864" w:themeColor="accent1" w:themeShade="80"/>
        </w:rPr>
        <w:t xml:space="preserve">) </w:t>
      </w:r>
      <w:r>
        <w:t>la satisfacción</w:t>
      </w:r>
      <w:r w:rsidR="00BA276A" w:rsidRPr="00BA276A">
        <w:t xml:space="preserve"> </w:t>
      </w:r>
      <w:r w:rsidR="00BA276A">
        <w:t>en el sentido de repetición</w:t>
      </w:r>
      <w:r w:rsidR="002D1D24">
        <w:t>.</w:t>
      </w:r>
      <w:r w:rsidR="00BA276A">
        <w:t xml:space="preserve"> </w:t>
      </w:r>
      <w:r w:rsidR="002D1D24">
        <w:t>É</w:t>
      </w:r>
      <w:r w:rsidR="001E23E6">
        <w:t xml:space="preserve">stas representan </w:t>
      </w:r>
    </w:p>
    <w:p w14:paraId="0CBA7722" w14:textId="77777777" w:rsidR="009B5F06" w:rsidRDefault="009B5F06" w:rsidP="009B5F06">
      <w:pPr>
        <w:pStyle w:val="PiedepginaLegal"/>
        <w:rPr>
          <w:u w:val="single"/>
        </w:rPr>
      </w:pPr>
      <w:r>
        <w:rPr>
          <w:u w:val="single"/>
        </w:rPr>
        <w:tab/>
      </w:r>
      <w:r>
        <w:rPr>
          <w:u w:val="single"/>
        </w:rPr>
        <w:tab/>
      </w:r>
      <w:r>
        <w:rPr>
          <w:u w:val="single"/>
        </w:rPr>
        <w:tab/>
      </w:r>
      <w:r>
        <w:rPr>
          <w:u w:val="single"/>
        </w:rPr>
        <w:tab/>
        <w:t>.</w:t>
      </w:r>
    </w:p>
    <w:p w14:paraId="4D19AE89" w14:textId="1684D9E6" w:rsidR="009B5F06" w:rsidRDefault="009B5F06" w:rsidP="009B5F06">
      <w:pPr>
        <w:pStyle w:val="PiedepginaLegal"/>
      </w:pPr>
      <w:r>
        <w:t xml:space="preserve">32. </w:t>
      </w:r>
      <w:r>
        <w:tab/>
        <w:t>Cuatro unidades (</w:t>
      </w:r>
      <w:proofErr w:type="spellStart"/>
      <w:r w:rsidRPr="002939BE">
        <w:rPr>
          <w:i/>
          <w:iCs/>
        </w:rPr>
        <w:t>ekatta</w:t>
      </w:r>
      <w:proofErr w:type="spellEnd"/>
      <w:r>
        <w:t>) se dan en el párrafo anterior del mism</w:t>
      </w:r>
      <w:r w:rsidR="004F1311">
        <w:t>o</w:t>
      </w:r>
      <w:r>
        <w:t xml:space="preserve"> </w:t>
      </w:r>
      <w:proofErr w:type="spellStart"/>
      <w:r w:rsidRPr="002939BE">
        <w:rPr>
          <w:i/>
          <w:iCs/>
        </w:rPr>
        <w:t>Paṭisambhidā</w:t>
      </w:r>
      <w:proofErr w:type="spellEnd"/>
      <w:r>
        <w:t xml:space="preserve"> ref.: “La unidad consiste</w:t>
      </w:r>
      <w:r w:rsidR="004F1311">
        <w:t>nte de</w:t>
      </w:r>
      <w:r>
        <w:t xml:space="preserve"> la apariencia de renuncia</w:t>
      </w:r>
      <w:r w:rsidR="00B0580F">
        <w:t>ción</w:t>
      </w:r>
      <w:r>
        <w:t xml:space="preserve"> en </w:t>
      </w:r>
      <w:r w:rsidR="00B0580F">
        <w:t>la acción</w:t>
      </w:r>
      <w:r>
        <w:t xml:space="preserve"> de dar, que se encuentra en aquellos decididos a </w:t>
      </w:r>
      <w:r w:rsidR="00B0580F">
        <w:t xml:space="preserve">practicar </w:t>
      </w:r>
      <w:r>
        <w:t>la generosidad (</w:t>
      </w:r>
      <w:r w:rsidR="00B0580F">
        <w:t xml:space="preserve">a </w:t>
      </w:r>
      <w:r>
        <w:t>renunciar); la unidad consiste</w:t>
      </w:r>
      <w:r w:rsidR="00B0580F">
        <w:t>nte</w:t>
      </w:r>
      <w:r>
        <w:t xml:space="preserve"> </w:t>
      </w:r>
      <w:r w:rsidR="00B0580F">
        <w:t>de</w:t>
      </w:r>
      <w:r>
        <w:t xml:space="preserve"> la aparición del signo de la serenidad, que se encuentra en aquellos que se dedican a </w:t>
      </w:r>
      <w:r w:rsidR="00B0580F">
        <w:t>una</w:t>
      </w:r>
      <w:r>
        <w:t xml:space="preserve"> </w:t>
      </w:r>
      <w:r w:rsidR="00305E12">
        <w:t>consciencia</w:t>
      </w:r>
      <w:r>
        <w:t xml:space="preserve"> superior; la unidad consiste</w:t>
      </w:r>
      <w:r w:rsidR="00B0580F">
        <w:t>nte</w:t>
      </w:r>
      <w:r>
        <w:t xml:space="preserve"> </w:t>
      </w:r>
      <w:r w:rsidR="00B0580F">
        <w:t>de</w:t>
      </w:r>
      <w:r>
        <w:t xml:space="preserve"> la aparición de la característica de la </w:t>
      </w:r>
      <w:r w:rsidR="00352187">
        <w:t>desaparición</w:t>
      </w:r>
      <w:r>
        <w:t xml:space="preserve">, que se encuentra en aquellos con </w:t>
      </w:r>
      <w:r w:rsidR="00352187">
        <w:t>posesión de sabiduría</w:t>
      </w:r>
      <w:r>
        <w:t>; la unidad consiste</w:t>
      </w:r>
      <w:r w:rsidR="00352187">
        <w:t>nte</w:t>
      </w:r>
      <w:r>
        <w:t xml:space="preserve"> </w:t>
      </w:r>
      <w:r w:rsidR="00352187">
        <w:t>de</w:t>
      </w:r>
      <w:r>
        <w:t xml:space="preserve"> la apariencia de </w:t>
      </w:r>
      <w:r w:rsidR="00352187">
        <w:t xml:space="preserve">la </w:t>
      </w:r>
      <w:r>
        <w:t xml:space="preserve">cesación, que se encuentra </w:t>
      </w:r>
      <w:r w:rsidR="00042F51">
        <w:t xml:space="preserve">presente </w:t>
      </w:r>
      <w:r>
        <w:t>en las personas nobles” (</w:t>
      </w:r>
      <w:proofErr w:type="spellStart"/>
      <w:r w:rsidRPr="002939BE">
        <w:rPr>
          <w:i/>
          <w:iCs/>
        </w:rPr>
        <w:t>Paṭis</w:t>
      </w:r>
      <w:proofErr w:type="spellEnd"/>
      <w:r>
        <w:t xml:space="preserve"> I 167). </w:t>
      </w:r>
      <w:r w:rsidR="00042F51">
        <w:t>La</w:t>
      </w:r>
      <w:r>
        <w:t xml:space="preserve"> segund</w:t>
      </w:r>
      <w:r w:rsidR="00042F51">
        <w:t>a</w:t>
      </w:r>
      <w:r>
        <w:t xml:space="preserve"> </w:t>
      </w:r>
      <w:r w:rsidR="00042F51">
        <w:t xml:space="preserve">unidad </w:t>
      </w:r>
      <w:r>
        <w:t>se entiende aquí.</w:t>
      </w:r>
    </w:p>
    <w:p w14:paraId="4158988D" w14:textId="77777777" w:rsidR="009B5F06" w:rsidRDefault="009B5F06">
      <w:pPr>
        <w:tabs>
          <w:tab w:val="clear" w:pos="425"/>
        </w:tabs>
        <w:spacing w:after="160"/>
      </w:pPr>
      <w:r>
        <w:br w:type="page"/>
      </w:r>
    </w:p>
    <w:p w14:paraId="517205E7" w14:textId="77777777" w:rsidR="0022366F" w:rsidRDefault="0022366F" w:rsidP="009B5F06"/>
    <w:p w14:paraId="69A2F538" w14:textId="077E3DD9" w:rsidR="0022366F" w:rsidRDefault="002D1D24" w:rsidP="0022366F">
      <w:r>
        <w:t xml:space="preserve">La </w:t>
      </w:r>
      <w:r w:rsidR="001E23E6">
        <w:t xml:space="preserve">satisfacción </w:t>
      </w:r>
      <w:r w:rsidR="0022366F">
        <w:t xml:space="preserve">al final del primer </w:t>
      </w:r>
      <w:proofErr w:type="spellStart"/>
      <w:r w:rsidR="00057BF4" w:rsidRPr="00057BF4">
        <w:rPr>
          <w:i/>
          <w:iCs/>
        </w:rPr>
        <w:t>jhāna</w:t>
      </w:r>
      <w:proofErr w:type="spellEnd"/>
      <w:r w:rsidR="0022366F">
        <w:t xml:space="preserve">. </w:t>
      </w:r>
      <w:r w:rsidR="001E23E6">
        <w:t>É</w:t>
      </w:r>
      <w:r w:rsidR="0022366F">
        <w:t>stas son las cuatro características del fin</w:t>
      </w:r>
      <w:r w:rsidR="001E23E6">
        <w:t>al</w:t>
      </w:r>
      <w:r w:rsidR="0022366F">
        <w:t>. Por eso se dice: ‘</w:t>
      </w:r>
      <w:r w:rsidR="001E23E6">
        <w:t>El</w:t>
      </w:r>
      <w:r w:rsidR="0022366F">
        <w:t xml:space="preserve"> primer </w:t>
      </w:r>
      <w:proofErr w:type="spellStart"/>
      <w:r w:rsidR="00057BF4" w:rsidRPr="00057BF4">
        <w:rPr>
          <w:i/>
          <w:iCs/>
        </w:rPr>
        <w:t>jhāna</w:t>
      </w:r>
      <w:proofErr w:type="spellEnd"/>
      <w:r w:rsidR="0022366F">
        <w:t xml:space="preserve"> es buen</w:t>
      </w:r>
      <w:r w:rsidR="001E23E6">
        <w:t>o</w:t>
      </w:r>
      <w:r w:rsidR="0022366F">
        <w:t xml:space="preserve"> al final y posee cuatro características’” (</w:t>
      </w:r>
      <w:proofErr w:type="spellStart"/>
      <w:r w:rsidR="0022366F" w:rsidRPr="002939BE">
        <w:rPr>
          <w:i/>
          <w:iCs/>
        </w:rPr>
        <w:t>Paṭis</w:t>
      </w:r>
      <w:proofErr w:type="spellEnd"/>
      <w:r w:rsidR="0022366F">
        <w:t xml:space="preserve"> I 167–68).</w:t>
      </w:r>
    </w:p>
    <w:p w14:paraId="2BA66386" w14:textId="51696113" w:rsidR="0022366F" w:rsidRPr="00355234" w:rsidRDefault="0022366F" w:rsidP="0022366F">
      <w:r w:rsidRPr="00355234">
        <w:t xml:space="preserve">114. </w:t>
      </w:r>
      <w:r w:rsidRPr="00355234">
        <w:tab/>
        <w:t xml:space="preserve">Aquí, la </w:t>
      </w:r>
      <w:r w:rsidRPr="00355234">
        <w:rPr>
          <w:i/>
          <w:iCs/>
        </w:rPr>
        <w:t>purificación</w:t>
      </w:r>
      <w:r w:rsidRPr="00355234">
        <w:t xml:space="preserve"> </w:t>
      </w:r>
      <w:r w:rsidRPr="00355234">
        <w:rPr>
          <w:i/>
          <w:iCs/>
        </w:rPr>
        <w:t xml:space="preserve">del </w:t>
      </w:r>
      <w:r w:rsidR="001E23E6" w:rsidRPr="00355234">
        <w:rPr>
          <w:i/>
          <w:iCs/>
        </w:rPr>
        <w:t>sendero</w:t>
      </w:r>
      <w:r w:rsidRPr="00355234">
        <w:t xml:space="preserve"> </w:t>
      </w:r>
      <w:r w:rsidR="00A44FA4">
        <w:t>corresponderá a</w:t>
      </w:r>
      <w:r w:rsidRPr="00355234">
        <w:t xml:space="preserve">l acceso junto con sus concomitantes. La </w:t>
      </w:r>
      <w:r w:rsidRPr="00355234">
        <w:rPr>
          <w:i/>
          <w:iCs/>
        </w:rPr>
        <w:t>intensificación de la ecuanimidad</w:t>
      </w:r>
      <w:r w:rsidRPr="00355234">
        <w:t xml:space="preserve"> </w:t>
      </w:r>
      <w:r w:rsidR="00A44FA4">
        <w:t>corresponderá a</w:t>
      </w:r>
      <w:r w:rsidRPr="00355234">
        <w:t xml:space="preserve"> </w:t>
      </w:r>
      <w:r w:rsidR="001E23E6" w:rsidRPr="00355234">
        <w:t xml:space="preserve">la </w:t>
      </w:r>
      <w:r w:rsidRPr="00355234">
        <w:t>absorción</w:t>
      </w:r>
      <w:r w:rsidR="00A44FA4">
        <w:t>;</w:t>
      </w:r>
      <w:r w:rsidRPr="00355234">
        <w:t xml:space="preserve"> </w:t>
      </w:r>
      <w:r w:rsidR="00A44FA4">
        <w:t>l</w:t>
      </w:r>
      <w:r w:rsidRPr="00355234">
        <w:t xml:space="preserve">a </w:t>
      </w:r>
      <w:r w:rsidRPr="00355234">
        <w:rPr>
          <w:i/>
          <w:iCs/>
        </w:rPr>
        <w:t>satisfacción</w:t>
      </w:r>
      <w:r w:rsidR="00A44FA4">
        <w:rPr>
          <w:i/>
          <w:iCs/>
        </w:rPr>
        <w:t>,</w:t>
      </w:r>
      <w:r w:rsidRPr="00355234">
        <w:t xml:space="preserve"> </w:t>
      </w:r>
      <w:r w:rsidR="00A44FA4">
        <w:t xml:space="preserve">a </w:t>
      </w:r>
      <w:r w:rsidR="001E23E6" w:rsidRPr="00355234">
        <w:t xml:space="preserve">la </w:t>
      </w:r>
      <w:r w:rsidR="00324208">
        <w:t>examinación</w:t>
      </w:r>
      <w:r w:rsidRPr="00355234">
        <w:t>. Así lo comentan algunos.</w:t>
      </w:r>
      <w:r w:rsidR="00EC02E7" w:rsidRPr="00355234">
        <w:rPr>
          <w:vertAlign w:val="superscript"/>
        </w:rPr>
        <w:t>33</w:t>
      </w:r>
      <w:r w:rsidRPr="00355234">
        <w:t xml:space="preserve"> </w:t>
      </w:r>
      <w:r w:rsidR="00324208">
        <w:t xml:space="preserve">No obstante, </w:t>
      </w:r>
      <w:r w:rsidRPr="00355234">
        <w:t>se di</w:t>
      </w:r>
      <w:r w:rsidR="00324208">
        <w:t>ga</w:t>
      </w:r>
      <w:r w:rsidRPr="00355234">
        <w:t xml:space="preserve"> en el texto: “La mente que lleg</w:t>
      </w:r>
      <w:r w:rsidR="00EA510E" w:rsidRPr="00355234">
        <w:t>ue</w:t>
      </w:r>
      <w:r w:rsidRPr="00355234">
        <w:t xml:space="preserve"> a la uni</w:t>
      </w:r>
      <w:r w:rsidR="00167A80">
        <w:t>ficación</w:t>
      </w:r>
      <w:r w:rsidRPr="00355234">
        <w:t xml:space="preserve"> entra</w:t>
      </w:r>
      <w:r w:rsidR="00EA510E" w:rsidRPr="00355234">
        <w:t>rá</w:t>
      </w:r>
      <w:r w:rsidRPr="00355234">
        <w:t xml:space="preserve"> en la purificación del </w:t>
      </w:r>
      <w:r w:rsidR="00EA510E" w:rsidRPr="00355234">
        <w:t>sendero</w:t>
      </w:r>
      <w:r w:rsidRPr="00355234">
        <w:t>, se intensifica</w:t>
      </w:r>
      <w:r w:rsidR="00EA510E" w:rsidRPr="00355234">
        <w:t>rá</w:t>
      </w:r>
      <w:r w:rsidRPr="00355234">
        <w:t xml:space="preserve"> </w:t>
      </w:r>
      <w:r w:rsidR="004A5114" w:rsidRPr="00355234">
        <w:t>con la</w:t>
      </w:r>
      <w:r w:rsidRPr="00355234">
        <w:t xml:space="preserve"> ecuanimidad y se satisfa</w:t>
      </w:r>
      <w:r w:rsidR="00EA510E" w:rsidRPr="00355234">
        <w:t>rá</w:t>
      </w:r>
      <w:r w:rsidRPr="00355234">
        <w:t xml:space="preserve"> con </w:t>
      </w:r>
      <w:r w:rsidR="0045648C" w:rsidRPr="00355234">
        <w:t xml:space="preserve">el </w:t>
      </w:r>
      <w:r w:rsidRPr="00355234">
        <w:t>conocimiento” (</w:t>
      </w:r>
      <w:proofErr w:type="spellStart"/>
      <w:r w:rsidRPr="00355234">
        <w:rPr>
          <w:i/>
          <w:iCs/>
        </w:rPr>
        <w:t>Paṭis</w:t>
      </w:r>
      <w:proofErr w:type="spellEnd"/>
      <w:r w:rsidRPr="00355234">
        <w:t xml:space="preserve"> I 167), y por lo tanto es desde el punto de vista de la absorción real, </w:t>
      </w:r>
      <w:r w:rsidR="0059023D" w:rsidRPr="00355234">
        <w:t xml:space="preserve">que </w:t>
      </w:r>
      <w:r w:rsidRPr="00355234">
        <w:t xml:space="preserve">esa </w:t>
      </w:r>
      <w:r w:rsidRPr="00355234">
        <w:rPr>
          <w:i/>
          <w:iCs/>
        </w:rPr>
        <w:t xml:space="preserve">purificación del </w:t>
      </w:r>
      <w:r w:rsidR="008954D6" w:rsidRPr="00355234">
        <w:rPr>
          <w:i/>
          <w:iCs/>
        </w:rPr>
        <w:t>sendero</w:t>
      </w:r>
      <w:r w:rsidR="008954D6" w:rsidRPr="00355234">
        <w:t xml:space="preserve"> </w:t>
      </w:r>
      <w:r w:rsidRPr="00355234">
        <w:t>debe</w:t>
      </w:r>
      <w:r w:rsidR="0045648C" w:rsidRPr="00355234">
        <w:t xml:space="preserve">rá </w:t>
      </w:r>
      <w:r w:rsidRPr="00355234">
        <w:t xml:space="preserve">entenderse primero como enfoque, con la </w:t>
      </w:r>
      <w:r w:rsidRPr="00355234">
        <w:rPr>
          <w:i/>
          <w:iCs/>
        </w:rPr>
        <w:t>intensificación de la ecuanimidad</w:t>
      </w:r>
      <w:r w:rsidRPr="00355234">
        <w:t xml:space="preserve"> como la función de la ecuanimidad que consist</w:t>
      </w:r>
      <w:r w:rsidR="0059023D" w:rsidRPr="00355234">
        <w:t>a</w:t>
      </w:r>
      <w:r w:rsidRPr="00355234">
        <w:t xml:space="preserve"> </w:t>
      </w:r>
      <w:r w:rsidR="008954D6" w:rsidRPr="00355234">
        <w:t>de</w:t>
      </w:r>
      <w:r w:rsidRPr="00355234">
        <w:t xml:space="preserve"> la neutralidad específica, y la </w:t>
      </w:r>
      <w:r w:rsidRPr="00355234">
        <w:rPr>
          <w:i/>
          <w:iCs/>
        </w:rPr>
        <w:t>satisfacción</w:t>
      </w:r>
      <w:r w:rsidRPr="00355234">
        <w:t xml:space="preserve"> como la manifestación de la función del conocimiento esclarecedor para lograr el no exceso de </w:t>
      </w:r>
      <w:r w:rsidR="00E34CC6" w:rsidRPr="00355234">
        <w:t xml:space="preserve">los </w:t>
      </w:r>
      <w:r w:rsidRPr="00355234">
        <w:t>estados. ¿Cómo?</w:t>
      </w:r>
    </w:p>
    <w:p w14:paraId="2944E106" w14:textId="28BF1A6B" w:rsidR="0022366F" w:rsidRDefault="0022366F" w:rsidP="0022366F">
      <w:r>
        <w:t xml:space="preserve">115. </w:t>
      </w:r>
      <w:r>
        <w:tab/>
        <w:t>En primer lugar, en un ciclo de con</w:t>
      </w:r>
      <w:r w:rsidR="005B2BC7">
        <w:t>s</w:t>
      </w:r>
      <w:r>
        <w:t>ciencia en el que sur</w:t>
      </w:r>
      <w:r w:rsidR="005B2BC7">
        <w:t>ja</w:t>
      </w:r>
      <w:r>
        <w:t xml:space="preserve"> la absorción, la mente se purifica</w:t>
      </w:r>
      <w:r w:rsidR="005B2BC7">
        <w:t xml:space="preserve">rá </w:t>
      </w:r>
      <w:r>
        <w:t xml:space="preserve">del grupo de impurezas </w:t>
      </w:r>
      <w:r w:rsidR="00492291">
        <w:t>conocido como los</w:t>
      </w:r>
      <w:r>
        <w:t xml:space="preserve"> obstáculos que obstruyen el </w:t>
      </w:r>
      <w:proofErr w:type="spellStart"/>
      <w:r w:rsidR="00057BF4" w:rsidRPr="00057BF4">
        <w:rPr>
          <w:i/>
          <w:iCs/>
        </w:rPr>
        <w:t>jhāna</w:t>
      </w:r>
      <w:proofErr w:type="spellEnd"/>
      <w:r>
        <w:t>. Al estar libre de obstrucciones porque ha sido purificado, da</w:t>
      </w:r>
      <w:r w:rsidR="00D33753">
        <w:t xml:space="preserve">rá </w:t>
      </w:r>
      <w:r>
        <w:t>paso a</w:t>
      </w:r>
      <w:r w:rsidR="00D33753">
        <w:t xml:space="preserve"> un</w:t>
      </w:r>
      <w:r>
        <w:t xml:space="preserve"> estado de equilibrio, que </w:t>
      </w:r>
      <w:r w:rsidR="00D33753">
        <w:t>será</w:t>
      </w:r>
      <w:r>
        <w:t xml:space="preserve"> el signo central de la serenidad. Ahora bien, </w:t>
      </w:r>
      <w:r w:rsidR="00D33753">
        <w:t>será</w:t>
      </w:r>
      <w:r>
        <w:t xml:space="preserve"> la concentración e</w:t>
      </w:r>
      <w:r w:rsidR="00355234">
        <w:t>n</w:t>
      </w:r>
      <w:r>
        <w:t xml:space="preserve"> absorción en sí misma </w:t>
      </w:r>
      <w:r w:rsidR="00355234">
        <w:t xml:space="preserve">y </w:t>
      </w:r>
      <w:r>
        <w:t>que ocurr</w:t>
      </w:r>
      <w:r w:rsidR="00D33753">
        <w:t xml:space="preserve">a </w:t>
      </w:r>
      <w:r>
        <w:t xml:space="preserve">uniformemente </w:t>
      </w:r>
      <w:r w:rsidR="00D33753">
        <w:t xml:space="preserve">a </w:t>
      </w:r>
      <w:r>
        <w:t>lo que se llama</w:t>
      </w:r>
      <w:r w:rsidR="00D33753">
        <w:t xml:space="preserve">rá </w:t>
      </w:r>
      <w:r>
        <w:t xml:space="preserve">el </w:t>
      </w:r>
      <w:r w:rsidRPr="0004456C">
        <w:rPr>
          <w:i/>
          <w:iCs/>
        </w:rPr>
        <w:t>signo de la serenidad</w:t>
      </w:r>
      <w:r>
        <w:t xml:space="preserve">. </w:t>
      </w:r>
      <w:r w:rsidR="00D33753">
        <w:t xml:space="preserve">No obstante, </w:t>
      </w:r>
      <w:r>
        <w:t>la con</w:t>
      </w:r>
      <w:r w:rsidR="00D33753">
        <w:t>s</w:t>
      </w:r>
      <w:r>
        <w:t>ciencia inmediatamente anterior [149] alcanza</w:t>
      </w:r>
      <w:r w:rsidR="00D33753">
        <w:t xml:space="preserve">rá </w:t>
      </w:r>
      <w:r>
        <w:t>ese estado por medio del cambio en una sola continuidad (cf. XXII.1-6), y así se dice que d</w:t>
      </w:r>
      <w:r w:rsidRPr="00A321C0">
        <w:rPr>
          <w:i/>
          <w:iCs/>
        </w:rPr>
        <w:t>a</w:t>
      </w:r>
      <w:r w:rsidR="00513543" w:rsidRPr="00A321C0">
        <w:rPr>
          <w:i/>
          <w:iCs/>
        </w:rPr>
        <w:t xml:space="preserve">rá </w:t>
      </w:r>
      <w:r w:rsidRPr="00A321C0">
        <w:rPr>
          <w:i/>
          <w:iCs/>
        </w:rPr>
        <w:t xml:space="preserve">paso al estado de equilibrio central, </w:t>
      </w:r>
      <w:r w:rsidR="00513543" w:rsidRPr="00A321C0">
        <w:rPr>
          <w:i/>
          <w:iCs/>
        </w:rPr>
        <w:t>lo cual</w:t>
      </w:r>
      <w:r w:rsidRPr="00A321C0">
        <w:rPr>
          <w:i/>
          <w:iCs/>
        </w:rPr>
        <w:t xml:space="preserve"> </w:t>
      </w:r>
      <w:r w:rsidR="00513543" w:rsidRPr="00A321C0">
        <w:rPr>
          <w:i/>
          <w:iCs/>
        </w:rPr>
        <w:t>será</w:t>
      </w:r>
      <w:r w:rsidRPr="00A321C0">
        <w:rPr>
          <w:i/>
          <w:iCs/>
        </w:rPr>
        <w:t xml:space="preserve"> el signo de </w:t>
      </w:r>
      <w:r w:rsidR="00EC0DE8">
        <w:rPr>
          <w:i/>
          <w:iCs/>
        </w:rPr>
        <w:t xml:space="preserve">la </w:t>
      </w:r>
      <w:r w:rsidRPr="00A321C0">
        <w:rPr>
          <w:i/>
          <w:iCs/>
        </w:rPr>
        <w:t>serenidad</w:t>
      </w:r>
      <w:r>
        <w:t xml:space="preserve">. Y se dice que </w:t>
      </w:r>
      <w:r w:rsidRPr="00A321C0">
        <w:rPr>
          <w:i/>
          <w:iCs/>
        </w:rPr>
        <w:t>entra</w:t>
      </w:r>
      <w:r w:rsidR="0004456C" w:rsidRPr="00A321C0">
        <w:rPr>
          <w:i/>
          <w:iCs/>
        </w:rPr>
        <w:t xml:space="preserve">rá </w:t>
      </w:r>
      <w:r w:rsidRPr="00A321C0">
        <w:rPr>
          <w:i/>
          <w:iCs/>
        </w:rPr>
        <w:t>en ese estado</w:t>
      </w:r>
      <w:r>
        <w:t xml:space="preserve"> </w:t>
      </w:r>
      <w:r w:rsidR="002D1FC2">
        <w:t xml:space="preserve">por su aproximación </w:t>
      </w:r>
      <w:r>
        <w:t xml:space="preserve">a él </w:t>
      </w:r>
      <w:r w:rsidR="002D1FC2">
        <w:t xml:space="preserve">al </w:t>
      </w:r>
      <w:r>
        <w:t xml:space="preserve">haberle </w:t>
      </w:r>
      <w:r w:rsidR="003336AA">
        <w:t>dado</w:t>
      </w:r>
      <w:r>
        <w:t xml:space="preserve"> paso. Es por eso </w:t>
      </w:r>
      <w:proofErr w:type="gramStart"/>
      <w:r>
        <w:t>que</w:t>
      </w:r>
      <w:proofErr w:type="gramEnd"/>
      <w:r>
        <w:t xml:space="preserve">, en primer lugar, la </w:t>
      </w:r>
      <w:r w:rsidRPr="00F116E2">
        <w:rPr>
          <w:i/>
          <w:iCs/>
        </w:rPr>
        <w:t xml:space="preserve">purificación del </w:t>
      </w:r>
      <w:r w:rsidR="00F116E2" w:rsidRPr="00F116E2">
        <w:rPr>
          <w:i/>
          <w:iCs/>
        </w:rPr>
        <w:t>sendero</w:t>
      </w:r>
      <w:r>
        <w:t xml:space="preserve">, si bien se refiere a los aspectos existentes en la </w:t>
      </w:r>
      <w:r w:rsidR="00305E12">
        <w:t>consciencia</w:t>
      </w:r>
      <w:r>
        <w:t xml:space="preserve"> precedente, debe entenderse sin embargo como l</w:t>
      </w:r>
      <w:r w:rsidR="002D1FC2">
        <w:t>a</w:t>
      </w:r>
      <w:r>
        <w:t xml:space="preserve"> </w:t>
      </w:r>
      <w:r w:rsidR="002D1FC2">
        <w:t xml:space="preserve">aproximación </w:t>
      </w:r>
      <w:r>
        <w:t xml:space="preserve">en el momento del surgimiento real del primer </w:t>
      </w:r>
      <w:proofErr w:type="spellStart"/>
      <w:r w:rsidR="00057BF4" w:rsidRPr="00057BF4">
        <w:rPr>
          <w:i/>
          <w:iCs/>
        </w:rPr>
        <w:t>jhāna</w:t>
      </w:r>
      <w:proofErr w:type="spellEnd"/>
      <w:r>
        <w:t>.</w:t>
      </w:r>
    </w:p>
    <w:p w14:paraId="527978BF" w14:textId="591E10BE" w:rsidR="0022366F" w:rsidRDefault="0022366F" w:rsidP="0022366F">
      <w:r>
        <w:t xml:space="preserve">116. </w:t>
      </w:r>
      <w:r>
        <w:tab/>
        <w:t xml:space="preserve">En segundo lugar, cuando </w:t>
      </w:r>
      <w:r w:rsidR="00E11948">
        <w:t>haya</w:t>
      </w:r>
      <w:r>
        <w:t xml:space="preserve"> más interés en </w:t>
      </w:r>
      <w:r w:rsidR="00E11948">
        <w:t xml:space="preserve">la </w:t>
      </w:r>
      <w:r>
        <w:t>purifica</w:t>
      </w:r>
      <w:r w:rsidR="00F75635">
        <w:t>ción</w:t>
      </w:r>
      <w:r>
        <w:t>, ya que no ha</w:t>
      </w:r>
      <w:r w:rsidR="00F75635">
        <w:t>brá</w:t>
      </w:r>
      <w:r>
        <w:t xml:space="preserve"> necesidad de volver a purificar lo que ya ha</w:t>
      </w:r>
      <w:r w:rsidR="00F75635">
        <w:t>ya</w:t>
      </w:r>
      <w:r>
        <w:t xml:space="preserve"> sido purificado, se di</w:t>
      </w:r>
      <w:r w:rsidR="00F75635">
        <w:t>rá</w:t>
      </w:r>
      <w:r>
        <w:t xml:space="preserve"> que </w:t>
      </w:r>
      <w:r w:rsidR="004F0B62" w:rsidRPr="002922AD">
        <w:rPr>
          <w:i/>
          <w:iCs/>
        </w:rPr>
        <w:t xml:space="preserve">él </w:t>
      </w:r>
      <w:r w:rsidR="00F75635" w:rsidRPr="002922AD">
        <w:rPr>
          <w:i/>
          <w:iCs/>
        </w:rPr>
        <w:t xml:space="preserve">observará </w:t>
      </w:r>
      <w:r w:rsidRPr="002922AD">
        <w:rPr>
          <w:i/>
          <w:iCs/>
        </w:rPr>
        <w:t>con ecuanimidad a la mente que se purifi</w:t>
      </w:r>
      <w:r w:rsidR="002D1FC2">
        <w:rPr>
          <w:i/>
          <w:iCs/>
        </w:rPr>
        <w:t>que</w:t>
      </w:r>
      <w:r>
        <w:t>. Y cuando ya no ten</w:t>
      </w:r>
      <w:r w:rsidR="00F2093F">
        <w:t>ga</w:t>
      </w:r>
      <w:r>
        <w:t xml:space="preserve"> interés en concentrar</w:t>
      </w:r>
      <w:r w:rsidR="00F2093F">
        <w:t>se</w:t>
      </w:r>
      <w:r>
        <w:t xml:space="preserve"> de nuevo </w:t>
      </w:r>
      <w:r w:rsidR="00D87634">
        <w:t xml:space="preserve">en </w:t>
      </w:r>
      <w:r>
        <w:t xml:space="preserve">lo que ya ha dado paso a la serenidad al </w:t>
      </w:r>
      <w:r w:rsidR="00D87634">
        <w:t xml:space="preserve">haber </w:t>
      </w:r>
      <w:r>
        <w:t>llega</w:t>
      </w:r>
      <w:r w:rsidR="00D87634">
        <w:t>do</w:t>
      </w:r>
      <w:r>
        <w:t xml:space="preserve"> </w:t>
      </w:r>
      <w:r w:rsidR="00D87634">
        <w:t xml:space="preserve">ya </w:t>
      </w:r>
      <w:r>
        <w:t>al estado de serenidad, se di</w:t>
      </w:r>
      <w:r w:rsidR="005F3CB3">
        <w:t xml:space="preserve">rá </w:t>
      </w:r>
      <w:r>
        <w:t xml:space="preserve">que </w:t>
      </w:r>
      <w:r w:rsidR="00F6333B" w:rsidRPr="00F6333B">
        <w:rPr>
          <w:i/>
          <w:iCs/>
        </w:rPr>
        <w:t xml:space="preserve">él </w:t>
      </w:r>
      <w:r w:rsidRPr="00F6333B">
        <w:rPr>
          <w:i/>
          <w:iCs/>
        </w:rPr>
        <w:t xml:space="preserve">lo </w:t>
      </w:r>
      <w:r w:rsidR="005F3CB3" w:rsidRPr="00F6333B">
        <w:rPr>
          <w:i/>
          <w:iCs/>
        </w:rPr>
        <w:t xml:space="preserve">observará </w:t>
      </w:r>
      <w:r w:rsidRPr="00F6333B">
        <w:rPr>
          <w:i/>
          <w:iCs/>
        </w:rPr>
        <w:t>con ecuanimidad como si hubiera dado paso a la serenidad</w:t>
      </w:r>
      <w:r>
        <w:t>. Y cuando ya no t</w:t>
      </w:r>
      <w:r w:rsidR="005F3CB3">
        <w:t>e</w:t>
      </w:r>
      <w:r>
        <w:t>n</w:t>
      </w:r>
      <w:r w:rsidR="005F3CB3">
        <w:t>ga</w:t>
      </w:r>
      <w:r>
        <w:t xml:space="preserve"> interés en causar de nuevo la apariencia de unidad en lo que ya </w:t>
      </w:r>
      <w:r w:rsidR="00C71DE6">
        <w:t xml:space="preserve">haya </w:t>
      </w:r>
      <w:r>
        <w:t>apareci</w:t>
      </w:r>
      <w:r w:rsidR="00C71DE6">
        <w:t>do</w:t>
      </w:r>
      <w:r>
        <w:t xml:space="preserve"> como unidad al abandonar su asociación con la corrupción para dar paso a la serenidad, se di</w:t>
      </w:r>
      <w:r w:rsidR="005F3CB3">
        <w:t>rá</w:t>
      </w:r>
      <w:r>
        <w:t xml:space="preserve"> que </w:t>
      </w:r>
      <w:r w:rsidR="005F3CB3">
        <w:t xml:space="preserve">observará </w:t>
      </w:r>
      <w:r>
        <w:t xml:space="preserve">con ecuanimidad la apariencia de </w:t>
      </w:r>
      <w:r w:rsidR="005F3CB3">
        <w:t xml:space="preserve">la </w:t>
      </w:r>
      <w:r>
        <w:t xml:space="preserve">unidad. Por eso, </w:t>
      </w:r>
      <w:r w:rsidRPr="00F845BA">
        <w:rPr>
          <w:i/>
          <w:iCs/>
        </w:rPr>
        <w:t>la intensificación de la ecuanimidad</w:t>
      </w:r>
      <w:r>
        <w:t xml:space="preserve"> debe entenderse como la función de la ecuanimidad que </w:t>
      </w:r>
      <w:proofErr w:type="gramStart"/>
      <w:r>
        <w:t>consist</w:t>
      </w:r>
      <w:r w:rsidR="00395683">
        <w:t>a</w:t>
      </w:r>
      <w:r>
        <w:t xml:space="preserve"> </w:t>
      </w:r>
      <w:r w:rsidR="00395683">
        <w:t>de</w:t>
      </w:r>
      <w:proofErr w:type="gramEnd"/>
      <w:r w:rsidR="00395683">
        <w:t xml:space="preserve"> un</w:t>
      </w:r>
      <w:r>
        <w:t>a neutralidad específica.</w:t>
      </w:r>
    </w:p>
    <w:p w14:paraId="191A21DD" w14:textId="2F858C15" w:rsidR="0022366F" w:rsidRDefault="0022366F" w:rsidP="0022366F">
      <w:r>
        <w:t xml:space="preserve">117. </w:t>
      </w:r>
      <w:r w:rsidR="00ED4379">
        <w:tab/>
      </w:r>
      <w:r>
        <w:t>Y, por último, cuando la ecuanimidad se intensifi</w:t>
      </w:r>
      <w:r w:rsidR="00F845BA">
        <w:t>que</w:t>
      </w:r>
      <w:r>
        <w:t xml:space="preserve"> así, los estados llamados concentración y </w:t>
      </w:r>
      <w:r w:rsidR="00F845BA">
        <w:t xml:space="preserve">entendimiento </w:t>
      </w:r>
      <w:r>
        <w:t>que allí se produ</w:t>
      </w:r>
      <w:r w:rsidR="00F845BA">
        <w:t>z</w:t>
      </w:r>
      <w:r>
        <w:t>c</w:t>
      </w:r>
      <w:r w:rsidR="00F845BA">
        <w:t>a</w:t>
      </w:r>
      <w:r>
        <w:t xml:space="preserve">n, se </w:t>
      </w:r>
      <w:r w:rsidR="008F58B7">
        <w:t>manifestarán</w:t>
      </w:r>
      <w:r>
        <w:t xml:space="preserve"> acoplad</w:t>
      </w:r>
      <w:r w:rsidR="008F58B7">
        <w:t>amente</w:t>
      </w:r>
      <w:r>
        <w:t xml:space="preserve"> sin que uno exced</w:t>
      </w:r>
      <w:r w:rsidR="008F58B7">
        <w:t>a</w:t>
      </w:r>
      <w:r>
        <w:t xml:space="preserve"> al otro. Y también las [cinco] facultades que comienzan con la fe ocurrir</w:t>
      </w:r>
      <w:r w:rsidR="008F58B7">
        <w:t>á</w:t>
      </w:r>
      <w:r>
        <w:t>n con la función</w:t>
      </w:r>
      <w:r w:rsidR="008F58B7">
        <w:t xml:space="preserve"> independiente</w:t>
      </w:r>
      <w:r>
        <w:t xml:space="preserve"> (sabor) de la liberación debido a la liberación de las diversas corrupciones. Y también la energía apropiada </w:t>
      </w:r>
      <w:r w:rsidR="0001074F">
        <w:t>para</w:t>
      </w:r>
      <w:r>
        <w:t xml:space="preserve"> e</w:t>
      </w:r>
      <w:r w:rsidR="0001074F">
        <w:t>ll</w:t>
      </w:r>
      <w:r>
        <w:t>o, que era favorable a su estado no exc</w:t>
      </w:r>
      <w:r w:rsidR="00247CF0">
        <w:t>e</w:t>
      </w:r>
      <w:r>
        <w:t>s</w:t>
      </w:r>
      <w:r w:rsidR="00DF6961">
        <w:t>ivo</w:t>
      </w:r>
      <w:r>
        <w:t xml:space="preserve"> y única función, </w:t>
      </w:r>
      <w:r w:rsidR="0001074F">
        <w:t xml:space="preserve">será </w:t>
      </w:r>
      <w:r w:rsidR="007A4E3C">
        <w:t>eficaz. Y también su repetición ocurr</w:t>
      </w:r>
      <w:r w:rsidR="0065067A">
        <w:t>irá</w:t>
      </w:r>
      <w:r w:rsidR="007A4E3C">
        <w:t xml:space="preserve"> en ese momento.</w:t>
      </w:r>
      <w:r w:rsidR="007A4E3C" w:rsidRPr="00B83CBC">
        <w:rPr>
          <w:vertAlign w:val="superscript"/>
        </w:rPr>
        <w:t>34</w:t>
      </w:r>
      <w:r w:rsidR="007A4E3C">
        <w:t xml:space="preserve"> Ahora bien, estos </w:t>
      </w:r>
      <w:r w:rsidR="000944CF">
        <w:t>4</w:t>
      </w:r>
      <w:r w:rsidR="007A4E3C">
        <w:t xml:space="preserve"> aspectos </w:t>
      </w:r>
      <w:r w:rsidR="000944CF">
        <w:t xml:space="preserve">serán </w:t>
      </w:r>
      <w:r w:rsidR="007A4E3C">
        <w:t>sólo produc</w:t>
      </w:r>
      <w:r w:rsidR="0065067A">
        <w:t>i</w:t>
      </w:r>
      <w:r w:rsidR="002E01C7">
        <w:t>dos</w:t>
      </w:r>
      <w:r w:rsidR="007A4E3C">
        <w:t xml:space="preserve"> porque </w:t>
      </w:r>
      <w:r w:rsidR="000944CF">
        <w:t>se dará</w:t>
      </w:r>
      <w:r w:rsidR="007A4E3C">
        <w:t xml:space="preserve"> después de </w:t>
      </w:r>
      <w:r w:rsidR="00D35728">
        <w:t xml:space="preserve">observar </w:t>
      </w:r>
      <w:r w:rsidR="007A4E3C">
        <w:t xml:space="preserve">con conocimiento los varios peligros </w:t>
      </w:r>
      <w:r w:rsidR="00D35728">
        <w:t xml:space="preserve">de </w:t>
      </w:r>
      <w:r w:rsidR="007A4E3C">
        <w:t>la</w:t>
      </w:r>
      <w:r w:rsidR="007A4E3C" w:rsidRPr="007A4E3C">
        <w:t xml:space="preserve"> </w:t>
      </w:r>
      <w:r w:rsidR="007A4E3C">
        <w:t>contaminación y las</w:t>
      </w:r>
      <w:r w:rsidR="0065067A" w:rsidRPr="0065067A">
        <w:t xml:space="preserve"> </w:t>
      </w:r>
      <w:r w:rsidR="0065067A">
        <w:t xml:space="preserve">ventajas </w:t>
      </w:r>
      <w:r w:rsidR="00F13717">
        <w:t xml:space="preserve">de su purificación </w:t>
      </w:r>
      <w:r w:rsidR="00E57C84">
        <w:t>que</w:t>
      </w:r>
      <w:r w:rsidR="0065067A">
        <w:t xml:space="preserve"> la satisfacción, la purificación y la</w:t>
      </w:r>
    </w:p>
    <w:p w14:paraId="5A6D530D" w14:textId="77777777" w:rsidR="0022366F" w:rsidRDefault="0022366F" w:rsidP="0022366F">
      <w:pPr>
        <w:pStyle w:val="PiedepginaLegal"/>
        <w:rPr>
          <w:u w:val="single"/>
        </w:rPr>
      </w:pPr>
      <w:r>
        <w:rPr>
          <w:u w:val="single"/>
        </w:rPr>
        <w:tab/>
      </w:r>
      <w:r>
        <w:rPr>
          <w:u w:val="single"/>
        </w:rPr>
        <w:tab/>
      </w:r>
      <w:r>
        <w:rPr>
          <w:u w:val="single"/>
        </w:rPr>
        <w:tab/>
      </w:r>
      <w:r>
        <w:rPr>
          <w:u w:val="single"/>
        </w:rPr>
        <w:tab/>
        <w:t>.</w:t>
      </w:r>
    </w:p>
    <w:p w14:paraId="7E3CF3C6" w14:textId="77777777" w:rsidR="00F639FF" w:rsidRDefault="0022366F" w:rsidP="0022366F">
      <w:pPr>
        <w:pStyle w:val="PiedepginaLegal"/>
      </w:pPr>
      <w:r>
        <w:t xml:space="preserve">33. </w:t>
      </w:r>
      <w:r>
        <w:tab/>
        <w:t xml:space="preserve">“Los reclusos del Monasterio </w:t>
      </w:r>
      <w:proofErr w:type="spellStart"/>
      <w:r w:rsidRPr="002939BE">
        <w:rPr>
          <w:i/>
          <w:iCs/>
        </w:rPr>
        <w:t>Abhayagiri</w:t>
      </w:r>
      <w:proofErr w:type="spellEnd"/>
      <w:r>
        <w:t xml:space="preserve"> en </w:t>
      </w:r>
      <w:proofErr w:type="spellStart"/>
      <w:r w:rsidRPr="002939BE">
        <w:rPr>
          <w:i/>
          <w:iCs/>
        </w:rPr>
        <w:t>Anurādhapura</w:t>
      </w:r>
      <w:proofErr w:type="spellEnd"/>
      <w:r>
        <w:t>” (</w:t>
      </w:r>
      <w:proofErr w:type="spellStart"/>
      <w:r>
        <w:t>Vism-mhṭ</w:t>
      </w:r>
      <w:proofErr w:type="spellEnd"/>
      <w:r>
        <w:t xml:space="preserve"> 144).</w:t>
      </w:r>
    </w:p>
    <w:p w14:paraId="7B2007A8" w14:textId="3C578E81" w:rsidR="00F639FF" w:rsidRDefault="00480B0C" w:rsidP="004C0FA4">
      <w:pPr>
        <w:pStyle w:val="PiedepginaLegal"/>
      </w:pPr>
      <w:r>
        <w:t xml:space="preserve">34. </w:t>
      </w:r>
      <w:r>
        <w:tab/>
        <w:t>“‘</w:t>
      </w:r>
      <w:r w:rsidRPr="00331C44">
        <w:rPr>
          <w:i/>
          <w:iCs/>
        </w:rPr>
        <w:t>Su’</w:t>
      </w:r>
      <w:r>
        <w:t xml:space="preserve">: de esa </w:t>
      </w:r>
      <w:r w:rsidR="00305E12">
        <w:t>consciencia</w:t>
      </w:r>
      <w:r>
        <w:t xml:space="preserve"> </w:t>
      </w:r>
      <w:proofErr w:type="spellStart"/>
      <w:r w:rsidRPr="00057BF4">
        <w:rPr>
          <w:i/>
          <w:iCs/>
        </w:rPr>
        <w:t>jhān</w:t>
      </w:r>
      <w:r>
        <w:rPr>
          <w:i/>
          <w:iCs/>
        </w:rPr>
        <w:t>ica</w:t>
      </w:r>
      <w:proofErr w:type="spellEnd"/>
      <w:r>
        <w:t>. ‘</w:t>
      </w:r>
      <w:r w:rsidRPr="00331C44">
        <w:rPr>
          <w:i/>
          <w:iCs/>
        </w:rPr>
        <w:t>En ese momento’</w:t>
      </w:r>
      <w:r>
        <w:t xml:space="preserve">: </w:t>
      </w:r>
      <w:r w:rsidRPr="00331C44">
        <w:t>en el momento</w:t>
      </w:r>
      <w:r>
        <w:t xml:space="preserve"> de la disolución; porque cuando el momento del surgimiento haya pasado, la repetición ocurrirá a partir del momento de la presencia” (</w:t>
      </w:r>
      <w:proofErr w:type="spellStart"/>
      <w:r>
        <w:t>Vism-mhṭ</w:t>
      </w:r>
      <w:proofErr w:type="spellEnd"/>
      <w:r>
        <w:t xml:space="preserve"> 145). Un argumento curioso; ver §182.</w:t>
      </w:r>
      <w:r w:rsidR="00F639FF">
        <w:br w:type="page"/>
      </w:r>
    </w:p>
    <w:p w14:paraId="29429B45" w14:textId="77777777" w:rsidR="001C6B18" w:rsidRDefault="001C6B18" w:rsidP="00CB41BB"/>
    <w:p w14:paraId="37F92E43" w14:textId="5A4A4D75" w:rsidR="00CB41BB" w:rsidRDefault="00CB41BB" w:rsidP="00CB41BB">
      <w:r>
        <w:t xml:space="preserve">clarificación </w:t>
      </w:r>
      <w:r w:rsidR="0065067A">
        <w:t xml:space="preserve">en consecuencia </w:t>
      </w:r>
      <w:r>
        <w:t>produc</w:t>
      </w:r>
      <w:r w:rsidR="0065067A">
        <w:t>irá</w:t>
      </w:r>
      <w:r>
        <w:t xml:space="preserve">n. Por eso se dijo que la satisfacción debe ser entendida como la manifestación de la función </w:t>
      </w:r>
      <w:r w:rsidR="00257598">
        <w:t>clarificadora</w:t>
      </w:r>
      <w:r>
        <w:t xml:space="preserve"> del conocimiento en la </w:t>
      </w:r>
      <w:r w:rsidR="00111751">
        <w:t>consumación</w:t>
      </w:r>
      <w:r>
        <w:t xml:space="preserve"> del no</w:t>
      </w:r>
      <w:r w:rsidR="00111751">
        <w:t>-</w:t>
      </w:r>
      <w:r>
        <w:t xml:space="preserve">exceso, etc., de </w:t>
      </w:r>
      <w:r w:rsidR="00737A6A">
        <w:t xml:space="preserve">los </w:t>
      </w:r>
      <w:r>
        <w:t>estados (§114).</w:t>
      </w:r>
    </w:p>
    <w:p w14:paraId="6D70A078" w14:textId="4CB40208" w:rsidR="00CB41BB" w:rsidRDefault="00CB41BB" w:rsidP="00CB41BB">
      <w:r>
        <w:t xml:space="preserve">118. </w:t>
      </w:r>
      <w:r>
        <w:tab/>
      </w:r>
      <w:r w:rsidR="00150DC6">
        <w:t>Ya que el conocimiento será evidente como debid</w:t>
      </w:r>
      <w:r w:rsidR="00D219ED">
        <w:t>a</w:t>
      </w:r>
      <w:r w:rsidR="00150DC6">
        <w:t xml:space="preserve"> a la ecuanimidad observante, a</w:t>
      </w:r>
      <w:r>
        <w:t xml:space="preserve">quí </w:t>
      </w:r>
      <w:r w:rsidR="005077AB">
        <w:t xml:space="preserve">a </w:t>
      </w:r>
      <w:r>
        <w:t xml:space="preserve">la satisfacción en función del conocimiento se </w:t>
      </w:r>
      <w:r w:rsidR="005077AB">
        <w:t xml:space="preserve">le </w:t>
      </w:r>
      <w:r w:rsidR="002C179B">
        <w:t>denominará</w:t>
      </w:r>
      <w:r>
        <w:t xml:space="preserve"> “el fin”, según se dice</w:t>
      </w:r>
      <w:r w:rsidR="002C179B">
        <w:t xml:space="preserve"> al respecto</w:t>
      </w:r>
      <w:r>
        <w:t xml:space="preserve">: “Él </w:t>
      </w:r>
      <w:r w:rsidR="00F51ECE">
        <w:t xml:space="preserve">observará </w:t>
      </w:r>
      <w:r>
        <w:t>con completa ecuanimidad la mente así ejercitada; entonces la facultad de</w:t>
      </w:r>
      <w:r w:rsidR="0095189C">
        <w:t>l</w:t>
      </w:r>
      <w:r>
        <w:t xml:space="preserve"> entend</w:t>
      </w:r>
      <w:r w:rsidR="0095189C">
        <w:t>imiento</w:t>
      </w:r>
      <w:r>
        <w:t xml:space="preserve"> se destaca</w:t>
      </w:r>
      <w:r w:rsidR="00F51ECE">
        <w:t xml:space="preserve">rá </w:t>
      </w:r>
      <w:r>
        <w:t xml:space="preserve">como </w:t>
      </w:r>
      <w:r w:rsidRPr="005D6456">
        <w:rPr>
          <w:i/>
          <w:iCs/>
        </w:rPr>
        <w:t>entendimiento</w:t>
      </w:r>
      <w:r>
        <w:t xml:space="preserve"> debido a la </w:t>
      </w:r>
      <w:r w:rsidRPr="005D6456">
        <w:rPr>
          <w:i/>
          <w:iCs/>
        </w:rPr>
        <w:t>ecuanimidad</w:t>
      </w:r>
      <w:r>
        <w:t>. Debido a la ecuanimidad, la mente se libera</w:t>
      </w:r>
      <w:r w:rsidR="002875AD">
        <w:t xml:space="preserve">rá </w:t>
      </w:r>
      <w:r>
        <w:t>de las muchas clases de corrupciones; entonces la facultad de</w:t>
      </w:r>
      <w:r w:rsidR="00C50B3C">
        <w:t>l</w:t>
      </w:r>
      <w:r>
        <w:t xml:space="preserve"> entend</w:t>
      </w:r>
      <w:r w:rsidR="00C50B3C">
        <w:t>imiento</w:t>
      </w:r>
      <w:r>
        <w:t xml:space="preserve"> se destaca</w:t>
      </w:r>
      <w:r w:rsidR="002875AD">
        <w:t xml:space="preserve">rá </w:t>
      </w:r>
      <w:r>
        <w:t>como entendimiento debido a la liberación. Por ser liberados estos estados pasa</w:t>
      </w:r>
      <w:r w:rsidR="00535713">
        <w:t>rá</w:t>
      </w:r>
      <w:r>
        <w:t>n a tener una sola función; luego la facultad de</w:t>
      </w:r>
      <w:r w:rsidR="00C50B3C">
        <w:t>l</w:t>
      </w:r>
      <w:r>
        <w:t xml:space="preserve"> entend</w:t>
      </w:r>
      <w:r w:rsidR="00C50B3C">
        <w:t>imiento</w:t>
      </w:r>
      <w:r>
        <w:t xml:space="preserve"> se destaca</w:t>
      </w:r>
      <w:r w:rsidR="00535713">
        <w:t xml:space="preserve">rá </w:t>
      </w:r>
      <w:r>
        <w:t>como entendimiento debido al desarrollo en el sentido de la sola función”</w:t>
      </w:r>
      <w:r w:rsidRPr="00B62EE3">
        <w:rPr>
          <w:vertAlign w:val="superscript"/>
        </w:rPr>
        <w:t>35</w:t>
      </w:r>
      <w:r>
        <w:t xml:space="preserve"> (</w:t>
      </w:r>
      <w:proofErr w:type="spellStart"/>
      <w:r w:rsidRPr="00E51B00">
        <w:rPr>
          <w:i/>
          <w:iCs/>
        </w:rPr>
        <w:t>Pa</w:t>
      </w:r>
      <w:r w:rsidR="00E51B00" w:rsidRPr="00E51B00">
        <w:rPr>
          <w:i/>
          <w:iCs/>
        </w:rPr>
        <w:t>ṭ</w:t>
      </w:r>
      <w:r w:rsidRPr="00E51B00">
        <w:rPr>
          <w:i/>
          <w:iCs/>
        </w:rPr>
        <w:t>is</w:t>
      </w:r>
      <w:proofErr w:type="spellEnd"/>
      <w:r>
        <w:t xml:space="preserve"> II 25).</w:t>
      </w:r>
    </w:p>
    <w:p w14:paraId="14C91D86" w14:textId="6A30BBD7" w:rsidR="00CB41BB" w:rsidRDefault="00CB41BB" w:rsidP="00CB41BB">
      <w:r>
        <w:t xml:space="preserve">119. </w:t>
      </w:r>
      <w:r>
        <w:tab/>
        <w:t xml:space="preserve">Ahora, en cuanto a las palabras </w:t>
      </w:r>
      <w:r w:rsidRPr="009008A3">
        <w:rPr>
          <w:i/>
          <w:iCs/>
        </w:rPr>
        <w:t>y así ha</w:t>
      </w:r>
      <w:r w:rsidR="00A20C22">
        <w:rPr>
          <w:i/>
          <w:iCs/>
        </w:rPr>
        <w:t>brá</w:t>
      </w:r>
      <w:r w:rsidRPr="009008A3">
        <w:rPr>
          <w:i/>
          <w:iCs/>
        </w:rPr>
        <w:t xml:space="preserve"> alcanzado el primer</w:t>
      </w:r>
      <w:r>
        <w:t xml:space="preserve"> </w:t>
      </w:r>
      <w:proofErr w:type="spellStart"/>
      <w:r w:rsidR="00057BF4" w:rsidRPr="00057BF4">
        <w:rPr>
          <w:i/>
          <w:iCs/>
        </w:rPr>
        <w:t>jhāna</w:t>
      </w:r>
      <w:proofErr w:type="spellEnd"/>
      <w:r>
        <w:t xml:space="preserve">... </w:t>
      </w:r>
      <w:r w:rsidRPr="00593A47">
        <w:rPr>
          <w:i/>
          <w:iCs/>
        </w:rPr>
        <w:t xml:space="preserve">del </w:t>
      </w:r>
      <w:proofErr w:type="spellStart"/>
      <w:r w:rsidR="00057BF4" w:rsidRPr="00593A47">
        <w:rPr>
          <w:i/>
          <w:iCs/>
        </w:rPr>
        <w:t>kasiṇa</w:t>
      </w:r>
      <w:proofErr w:type="spellEnd"/>
      <w:r w:rsidRPr="00593A47">
        <w:rPr>
          <w:i/>
          <w:iCs/>
        </w:rPr>
        <w:t xml:space="preserve"> </w:t>
      </w:r>
      <w:r w:rsidR="00A20C22" w:rsidRPr="00593A47">
        <w:rPr>
          <w:i/>
          <w:iCs/>
        </w:rPr>
        <w:t>tierra</w:t>
      </w:r>
      <w:r w:rsidR="00A20C22">
        <w:t xml:space="preserve"> </w:t>
      </w:r>
      <w:r>
        <w:t xml:space="preserve">(§79): Aquí </w:t>
      </w:r>
      <w:r w:rsidR="003E06AE">
        <w:t>se presenta</w:t>
      </w:r>
      <w:r>
        <w:t xml:space="preserve"> </w:t>
      </w:r>
      <w:r w:rsidRPr="00593A47">
        <w:rPr>
          <w:i/>
          <w:iCs/>
        </w:rPr>
        <w:t>primero</w:t>
      </w:r>
      <w:r>
        <w:t xml:space="preserve"> porque </w:t>
      </w:r>
      <w:r w:rsidR="00A51515">
        <w:t xml:space="preserve">éste </w:t>
      </w:r>
      <w:proofErr w:type="spellStart"/>
      <w:r w:rsidR="00A51515">
        <w:rPr>
          <w:i/>
          <w:iCs/>
        </w:rPr>
        <w:t>jhāna</w:t>
      </w:r>
      <w:proofErr w:type="spellEnd"/>
      <w:r w:rsidR="00A51515">
        <w:rPr>
          <w:i/>
          <w:iCs/>
        </w:rPr>
        <w:t xml:space="preserve"> </w:t>
      </w:r>
      <w:r>
        <w:t xml:space="preserve">comienza una serie numérica; [150] también </w:t>
      </w:r>
      <w:r w:rsidR="003E06AE">
        <w:t>será</w:t>
      </w:r>
      <w:r>
        <w:t xml:space="preserve"> primero porque surg</w:t>
      </w:r>
      <w:r w:rsidR="00593A47">
        <w:t>irá</w:t>
      </w:r>
      <w:r>
        <w:t xml:space="preserve"> primero. Se </w:t>
      </w:r>
      <w:r w:rsidR="00FB2590">
        <w:t xml:space="preserve">le </w:t>
      </w:r>
      <w:r>
        <w:t>llama</w:t>
      </w:r>
      <w:r w:rsidR="00FB2590">
        <w:t xml:space="preserve">rá </w:t>
      </w:r>
      <w:proofErr w:type="spellStart"/>
      <w:r w:rsidR="00057BF4" w:rsidRPr="00057BF4">
        <w:rPr>
          <w:i/>
          <w:iCs/>
        </w:rPr>
        <w:t>jhāna</w:t>
      </w:r>
      <w:proofErr w:type="spellEnd"/>
      <w:r>
        <w:t xml:space="preserve"> por </w:t>
      </w:r>
      <w:r w:rsidR="00FB2590">
        <w:t>iluminar</w:t>
      </w:r>
      <w:r>
        <w:t xml:space="preserve"> (</w:t>
      </w:r>
      <w:proofErr w:type="spellStart"/>
      <w:r w:rsidRPr="00E51B00">
        <w:rPr>
          <w:i/>
          <w:iCs/>
        </w:rPr>
        <w:t>upanij</w:t>
      </w:r>
      <w:r w:rsidR="00057BF4" w:rsidRPr="00057BF4">
        <w:rPr>
          <w:i/>
          <w:iCs/>
        </w:rPr>
        <w:t>jhāna</w:t>
      </w:r>
      <w:proofErr w:type="spellEnd"/>
      <w:r>
        <w:t>) el objeto y por quemar (</w:t>
      </w:r>
      <w:proofErr w:type="spellStart"/>
      <w:r w:rsidRPr="00E51B00">
        <w:rPr>
          <w:i/>
          <w:iCs/>
        </w:rPr>
        <w:t>jhāpana</w:t>
      </w:r>
      <w:proofErr w:type="spellEnd"/>
      <w:r>
        <w:t xml:space="preserve">) </w:t>
      </w:r>
      <w:r w:rsidR="002745FA">
        <w:t xml:space="preserve">a </w:t>
      </w:r>
      <w:r>
        <w:t>la oposición (</w:t>
      </w:r>
      <w:proofErr w:type="spellStart"/>
      <w:r w:rsidR="000B681F">
        <w:rPr>
          <w:i/>
          <w:iCs/>
        </w:rPr>
        <w:t>Paṭis</w:t>
      </w:r>
      <w:proofErr w:type="spellEnd"/>
      <w:r w:rsidR="000B681F">
        <w:t xml:space="preserve"> </w:t>
      </w:r>
      <w:r>
        <w:t xml:space="preserve">I 49). </w:t>
      </w:r>
      <w:r w:rsidR="00E25193">
        <w:t>A</w:t>
      </w:r>
      <w:r>
        <w:t xml:space="preserve">l disco </w:t>
      </w:r>
      <w:r w:rsidR="002745FA">
        <w:t>t</w:t>
      </w:r>
      <w:r>
        <w:t xml:space="preserve">ierra se </w:t>
      </w:r>
      <w:r w:rsidR="00E25193">
        <w:t xml:space="preserve">le </w:t>
      </w:r>
      <w:r>
        <w:t>llama</w:t>
      </w:r>
      <w:r w:rsidR="002745FA">
        <w:t>rá</w:t>
      </w:r>
      <w:r>
        <w:t xml:space="preserve"> </w:t>
      </w:r>
      <w:proofErr w:type="spellStart"/>
      <w:r w:rsidR="00057BF4" w:rsidRPr="00057BF4">
        <w:rPr>
          <w:i/>
          <w:iCs/>
        </w:rPr>
        <w:t>kasiṇa</w:t>
      </w:r>
      <w:proofErr w:type="spellEnd"/>
      <w:r>
        <w:t xml:space="preserve"> </w:t>
      </w:r>
      <w:r w:rsidR="006D684E" w:rsidRPr="006D684E">
        <w:rPr>
          <w:i/>
          <w:iCs/>
        </w:rPr>
        <w:t>tierra</w:t>
      </w:r>
      <w:r w:rsidR="006D684E">
        <w:t xml:space="preserve"> </w:t>
      </w:r>
      <w:r>
        <w:t>(</w:t>
      </w:r>
      <w:proofErr w:type="spellStart"/>
      <w:r w:rsidRPr="00E51B00">
        <w:rPr>
          <w:i/>
          <w:iCs/>
        </w:rPr>
        <w:t>paṭhavī</w:t>
      </w:r>
      <w:r w:rsidR="00057BF4" w:rsidRPr="00057BF4">
        <w:rPr>
          <w:i/>
          <w:iCs/>
        </w:rPr>
        <w:t>kasiṇa</w:t>
      </w:r>
      <w:proofErr w:type="spellEnd"/>
      <w:r>
        <w:t xml:space="preserve">, </w:t>
      </w:r>
      <w:proofErr w:type="spellStart"/>
      <w:r>
        <w:t>lit.</w:t>
      </w:r>
      <w:proofErr w:type="spellEnd"/>
      <w:r>
        <w:t xml:space="preserve"> “tierra universal”) en el sentido de totalidad,</w:t>
      </w:r>
      <w:r w:rsidRPr="00B62EE3">
        <w:rPr>
          <w:vertAlign w:val="superscript"/>
        </w:rPr>
        <w:t>36</w:t>
      </w:r>
      <w:r>
        <w:t xml:space="preserve"> y el signo adquirido </w:t>
      </w:r>
      <w:r w:rsidR="00E25193">
        <w:t>de</w:t>
      </w:r>
      <w:r>
        <w:t xml:space="preserve"> e</w:t>
      </w:r>
      <w:r w:rsidR="00E25193">
        <w:t>ll</w:t>
      </w:r>
      <w:r>
        <w:t xml:space="preserve">o como soporte y también el </w:t>
      </w:r>
      <w:proofErr w:type="spellStart"/>
      <w:r w:rsidR="00057BF4" w:rsidRPr="00057BF4">
        <w:rPr>
          <w:i/>
          <w:iCs/>
        </w:rPr>
        <w:t>jhāna</w:t>
      </w:r>
      <w:proofErr w:type="spellEnd"/>
      <w:r w:rsidR="000B681F">
        <w:t xml:space="preserve"> </w:t>
      </w:r>
      <w:r>
        <w:t xml:space="preserve">adquirido en el signo </w:t>
      </w:r>
      <w:r w:rsidR="00E25193">
        <w:t xml:space="preserve">del </w:t>
      </w:r>
      <w:proofErr w:type="spellStart"/>
      <w:r w:rsidR="00057BF4" w:rsidRPr="00057BF4">
        <w:rPr>
          <w:i/>
          <w:iCs/>
        </w:rPr>
        <w:t>kasiṇa</w:t>
      </w:r>
      <w:proofErr w:type="spellEnd"/>
      <w:r>
        <w:t xml:space="preserve"> </w:t>
      </w:r>
      <w:r w:rsidR="00E25193">
        <w:t xml:space="preserve">tierra </w:t>
      </w:r>
      <w:r>
        <w:t xml:space="preserve">también se </w:t>
      </w:r>
      <w:r w:rsidR="00E25193">
        <w:t xml:space="preserve">les </w:t>
      </w:r>
      <w:r>
        <w:t>llama</w:t>
      </w:r>
      <w:r w:rsidR="00F72DD3">
        <w:t>rá</w:t>
      </w:r>
      <w:r>
        <w:t xml:space="preserve"> así. De modo que </w:t>
      </w:r>
      <w:proofErr w:type="spellStart"/>
      <w:r w:rsidR="00057BF4" w:rsidRPr="00057BF4">
        <w:rPr>
          <w:i/>
        </w:rPr>
        <w:t>jhāna</w:t>
      </w:r>
      <w:proofErr w:type="spellEnd"/>
      <w:r>
        <w:t xml:space="preserve"> debe entenderse como del </w:t>
      </w:r>
      <w:proofErr w:type="spellStart"/>
      <w:r w:rsidR="00057BF4" w:rsidRPr="00057BF4">
        <w:rPr>
          <w:i/>
          <w:iCs/>
        </w:rPr>
        <w:t>kasiṇa</w:t>
      </w:r>
      <w:proofErr w:type="spellEnd"/>
      <w:r>
        <w:t xml:space="preserve"> </w:t>
      </w:r>
      <w:r w:rsidR="006D684E">
        <w:t xml:space="preserve">tierra </w:t>
      </w:r>
      <w:r>
        <w:t>en este sentido, con referencia a lo cual se dijo anteriormente “y así ha</w:t>
      </w:r>
      <w:r w:rsidR="00E25193">
        <w:t>brá</w:t>
      </w:r>
      <w:r>
        <w:t xml:space="preserve"> alcanzado </w:t>
      </w:r>
      <w:r w:rsidR="00E25193">
        <w:t>e</w:t>
      </w:r>
      <w:r>
        <w:t xml:space="preserve">l primer </w:t>
      </w:r>
      <w:proofErr w:type="spellStart"/>
      <w:r w:rsidR="00057BF4" w:rsidRPr="00057BF4">
        <w:rPr>
          <w:i/>
          <w:iCs/>
        </w:rPr>
        <w:t>jhāna</w:t>
      </w:r>
      <w:proofErr w:type="spellEnd"/>
      <w:r>
        <w:t xml:space="preserve">… del </w:t>
      </w:r>
      <w:proofErr w:type="spellStart"/>
      <w:r w:rsidR="00057BF4" w:rsidRPr="00057BF4">
        <w:rPr>
          <w:i/>
          <w:iCs/>
        </w:rPr>
        <w:t>kasiṇa</w:t>
      </w:r>
      <w:proofErr w:type="spellEnd"/>
      <w:r w:rsidR="006D684E" w:rsidRPr="006D684E">
        <w:t xml:space="preserve"> </w:t>
      </w:r>
      <w:r w:rsidR="006D684E">
        <w:t>tierra</w:t>
      </w:r>
      <w:r>
        <w:t>”.</w:t>
      </w:r>
    </w:p>
    <w:p w14:paraId="027E4FF6" w14:textId="6BDF18CD" w:rsidR="00CB41BB" w:rsidRDefault="00CB41BB" w:rsidP="00CB41BB">
      <w:r>
        <w:t xml:space="preserve">120. </w:t>
      </w:r>
      <w:r>
        <w:tab/>
        <w:t xml:space="preserve">Cuando </w:t>
      </w:r>
      <w:r w:rsidR="00E25193">
        <w:t xml:space="preserve">el </w:t>
      </w:r>
      <w:proofErr w:type="spellStart"/>
      <w:r w:rsidR="00E25193" w:rsidRPr="00E25193">
        <w:rPr>
          <w:i/>
          <w:iCs/>
        </w:rPr>
        <w:t>jhāna</w:t>
      </w:r>
      <w:proofErr w:type="spellEnd"/>
      <w:r w:rsidR="00E25193">
        <w:t xml:space="preserve"> </w:t>
      </w:r>
      <w:r>
        <w:t>se ha</w:t>
      </w:r>
      <w:r w:rsidR="00E25193">
        <w:t>ya</w:t>
      </w:r>
      <w:r>
        <w:t xml:space="preserve"> alcanzado </w:t>
      </w:r>
      <w:r w:rsidR="000422DE">
        <w:t>así</w:t>
      </w:r>
      <w:r>
        <w:t>, el meditador debe</w:t>
      </w:r>
      <w:r w:rsidR="00DF56AB">
        <w:t xml:space="preserve">rá </w:t>
      </w:r>
      <w:r>
        <w:t xml:space="preserve">discernir </w:t>
      </w:r>
      <w:r w:rsidR="00DF56AB">
        <w:t xml:space="preserve">sobre </w:t>
      </w:r>
      <w:r>
        <w:t xml:space="preserve">el modo de su consecución como si fuera un </w:t>
      </w:r>
      <w:r w:rsidR="00B57B4E">
        <w:t>arquero</w:t>
      </w:r>
      <w:r>
        <w:t xml:space="preserve"> o un cocinero. Porque cuando un </w:t>
      </w:r>
      <w:r w:rsidR="00B57B4E">
        <w:t xml:space="preserve">arquero </w:t>
      </w:r>
      <w:r>
        <w:t xml:space="preserve">muy diestro, trabajando para </w:t>
      </w:r>
      <w:r w:rsidR="000422DE">
        <w:t xml:space="preserve">acertar un blanco </w:t>
      </w:r>
      <w:r w:rsidR="0056763F">
        <w:t xml:space="preserve">y </w:t>
      </w:r>
      <w:r>
        <w:t xml:space="preserve">dividir un cabello, </w:t>
      </w:r>
      <w:r w:rsidR="00401CD3">
        <w:t xml:space="preserve">y </w:t>
      </w:r>
      <w:r>
        <w:t>divid</w:t>
      </w:r>
      <w:r w:rsidR="00437DB6">
        <w:t>ir</w:t>
      </w:r>
      <w:r>
        <w:t xml:space="preserve"> el cabello </w:t>
      </w:r>
      <w:r w:rsidR="00401CD3">
        <w:t xml:space="preserve">realmente </w:t>
      </w:r>
      <w:r>
        <w:t xml:space="preserve">en un </w:t>
      </w:r>
      <w:r w:rsidR="0056763F">
        <w:t>solo t</w:t>
      </w:r>
      <w:r w:rsidR="00401CD3">
        <w:t>iro</w:t>
      </w:r>
      <w:r>
        <w:t>, discern</w:t>
      </w:r>
      <w:r w:rsidR="006D4BEF">
        <w:t>irá</w:t>
      </w:r>
      <w:r>
        <w:t xml:space="preserve"> </w:t>
      </w:r>
      <w:r w:rsidR="006D4BEF">
        <w:t xml:space="preserve">sobre </w:t>
      </w:r>
      <w:r>
        <w:t xml:space="preserve">los modos de la posición de sus pies, </w:t>
      </w:r>
      <w:r w:rsidR="00437DB6">
        <w:t>d</w:t>
      </w:r>
      <w:r>
        <w:t xml:space="preserve">el arco, </w:t>
      </w:r>
      <w:r w:rsidR="00437DB6">
        <w:t xml:space="preserve">de </w:t>
      </w:r>
      <w:r>
        <w:t xml:space="preserve">la cuerda del arco y </w:t>
      </w:r>
      <w:r w:rsidR="00437DB6">
        <w:t xml:space="preserve">de </w:t>
      </w:r>
      <w:r>
        <w:t xml:space="preserve">la flecha así: "Yo </w:t>
      </w:r>
      <w:r w:rsidR="00437DB6">
        <w:t>partiré</w:t>
      </w:r>
      <w:r>
        <w:t xml:space="preserve"> el cabello </w:t>
      </w:r>
      <w:r w:rsidR="00041836">
        <w:t xml:space="preserve">en dos </w:t>
      </w:r>
      <w:r>
        <w:t xml:space="preserve">mientras </w:t>
      </w:r>
      <w:r w:rsidR="00041836">
        <w:t xml:space="preserve">me ponga </w:t>
      </w:r>
      <w:r>
        <w:t xml:space="preserve">así, con el arco así, </w:t>
      </w:r>
      <w:r w:rsidR="00041836">
        <w:t xml:space="preserve">con </w:t>
      </w:r>
      <w:r>
        <w:t xml:space="preserve">la cuerda del arco así, </w:t>
      </w:r>
      <w:r w:rsidR="00041836">
        <w:t xml:space="preserve">con </w:t>
      </w:r>
      <w:r>
        <w:t>la flecha así.” A partir de ahí retoma</w:t>
      </w:r>
      <w:r w:rsidR="00041836">
        <w:t xml:space="preserve">rá </w:t>
      </w:r>
      <w:r>
        <w:t>esos mismos modos y rep</w:t>
      </w:r>
      <w:r w:rsidR="00041836">
        <w:t>e</w:t>
      </w:r>
      <w:r>
        <w:t>t</w:t>
      </w:r>
      <w:r w:rsidR="00041836">
        <w:t>irá</w:t>
      </w:r>
      <w:r>
        <w:t xml:space="preserve"> la división del cabello sin </w:t>
      </w:r>
      <w:r w:rsidR="00041836">
        <w:t>fallar</w:t>
      </w:r>
      <w:r>
        <w:t>. Así también el meditador debe</w:t>
      </w:r>
      <w:r w:rsidR="00041836">
        <w:t xml:space="preserve">rá </w:t>
      </w:r>
      <w:r>
        <w:t xml:space="preserve">discernir </w:t>
      </w:r>
      <w:r w:rsidR="00B61461">
        <w:t xml:space="preserve">sobre asuntos </w:t>
      </w:r>
      <w:r>
        <w:t>tales como el de la comida adecuada, etc., así: "Alcancé esto después de comer esta comida, atendiendo a tal persona, en tal alojamiento, en esta postura en este momento". De esta manera, cuando se pierda esa absorción, podrá recuperar es</w:t>
      </w:r>
      <w:r w:rsidR="000422DE">
        <w:t xml:space="preserve">a secuencia de </w:t>
      </w:r>
      <w:r>
        <w:t>modos y renovar la absorción, o mientras se familiari</w:t>
      </w:r>
      <w:r w:rsidR="00E13A93">
        <w:t>ce</w:t>
      </w:r>
      <w:r>
        <w:t xml:space="preserve"> con ella podrá repetir esa absorción una y otra vez.</w:t>
      </w:r>
    </w:p>
    <w:p w14:paraId="42CE3F46" w14:textId="15B47C82" w:rsidR="00CB41BB" w:rsidRDefault="00CB41BB" w:rsidP="00CB41BB">
      <w:r>
        <w:t xml:space="preserve">121. </w:t>
      </w:r>
      <w:r>
        <w:tab/>
        <w:t>Y así</w:t>
      </w:r>
      <w:r w:rsidR="00D65AC9">
        <w:t>, similarmente</w:t>
      </w:r>
      <w:r>
        <w:t xml:space="preserve"> </w:t>
      </w:r>
      <w:r w:rsidR="00D65AC9">
        <w:t xml:space="preserve">a </w:t>
      </w:r>
      <w:r>
        <w:t xml:space="preserve">un cocinero experto </w:t>
      </w:r>
      <w:r w:rsidR="00D65AC9">
        <w:t xml:space="preserve">cuando </w:t>
      </w:r>
      <w:r>
        <w:t>est</w:t>
      </w:r>
      <w:r w:rsidR="00D65AC9">
        <w:t>é</w:t>
      </w:r>
      <w:r>
        <w:t xml:space="preserve"> sirviendo a su patrón, se da</w:t>
      </w:r>
      <w:r w:rsidR="00D65AC9">
        <w:t>rá</w:t>
      </w:r>
      <w:r>
        <w:t xml:space="preserve"> cuenta de lo que eli</w:t>
      </w:r>
      <w:r w:rsidR="00D65AC9">
        <w:t>ja</w:t>
      </w:r>
      <w:r>
        <w:t xml:space="preserve"> para comer y de ahí trae</w:t>
      </w:r>
      <w:r w:rsidR="00D65AC9">
        <w:t>rá</w:t>
      </w:r>
      <w:r>
        <w:t xml:space="preserve"> solo ese tipo </w:t>
      </w:r>
      <w:r w:rsidR="0052505A">
        <w:t xml:space="preserve">de comida </w:t>
      </w:r>
      <w:r>
        <w:t>y así obten</w:t>
      </w:r>
      <w:r w:rsidR="000006ED">
        <w:t>drá</w:t>
      </w:r>
      <w:r>
        <w:t xml:space="preserve"> una recompensa, así también este meditador</w:t>
      </w:r>
      <w:r w:rsidR="000006ED" w:rsidRPr="000006ED">
        <w:t xml:space="preserve"> </w:t>
      </w:r>
      <w:r w:rsidR="000006ED">
        <w:t>discern</w:t>
      </w:r>
      <w:r w:rsidR="0052505A">
        <w:t>irá</w:t>
      </w:r>
      <w:r w:rsidR="000006ED">
        <w:t xml:space="preserve"> modos tales como el de la comida, etc., en el</w:t>
      </w:r>
    </w:p>
    <w:p w14:paraId="1D95C0BB" w14:textId="77777777" w:rsidR="00CC48CF" w:rsidRDefault="00CC48CF" w:rsidP="00CB41BB"/>
    <w:p w14:paraId="7D5E2F07" w14:textId="0C0A0130" w:rsidR="00CB41BB" w:rsidRPr="00CB41BB" w:rsidRDefault="00CB41BB" w:rsidP="00CB41BB">
      <w:pPr>
        <w:pStyle w:val="PiedepginaLegal"/>
        <w:rPr>
          <w:u w:val="single"/>
        </w:rPr>
      </w:pPr>
      <w:r w:rsidRPr="00CB41BB">
        <w:rPr>
          <w:u w:val="single"/>
        </w:rPr>
        <w:tab/>
      </w:r>
      <w:r w:rsidRPr="00CB41BB">
        <w:rPr>
          <w:u w:val="single"/>
        </w:rPr>
        <w:tab/>
      </w:r>
      <w:r w:rsidRPr="00CB41BB">
        <w:rPr>
          <w:u w:val="single"/>
        </w:rPr>
        <w:tab/>
      </w:r>
      <w:r w:rsidRPr="00CB41BB">
        <w:rPr>
          <w:u w:val="single"/>
        </w:rPr>
        <w:tab/>
        <w:t>.</w:t>
      </w:r>
    </w:p>
    <w:p w14:paraId="0E80AAD3" w14:textId="6C2EDA9B" w:rsidR="00CB41BB" w:rsidRDefault="00CB41BB" w:rsidP="00CB41BB">
      <w:pPr>
        <w:pStyle w:val="PiedepginaLegal"/>
      </w:pPr>
      <w:r>
        <w:t xml:space="preserve">35. </w:t>
      </w:r>
      <w:r>
        <w:tab/>
        <w:t xml:space="preserve">La cita está incompleta y el final debería decir: “… </w:t>
      </w:r>
      <w:proofErr w:type="spellStart"/>
      <w:r w:rsidRPr="000B681F">
        <w:rPr>
          <w:i/>
          <w:iCs/>
        </w:rPr>
        <w:t>ekarasaṭṭhena</w:t>
      </w:r>
      <w:proofErr w:type="spellEnd"/>
      <w:r w:rsidRPr="000B681F">
        <w:rPr>
          <w:i/>
          <w:iCs/>
        </w:rPr>
        <w:t xml:space="preserve"> </w:t>
      </w:r>
      <w:proofErr w:type="spellStart"/>
      <w:r w:rsidRPr="000B681F">
        <w:rPr>
          <w:i/>
          <w:iCs/>
        </w:rPr>
        <w:t>bhāvanāvasena</w:t>
      </w:r>
      <w:proofErr w:type="spellEnd"/>
      <w:r w:rsidRPr="000B681F">
        <w:rPr>
          <w:i/>
          <w:iCs/>
        </w:rPr>
        <w:t xml:space="preserve"> </w:t>
      </w:r>
      <w:proofErr w:type="spellStart"/>
      <w:r w:rsidR="00057BF4" w:rsidRPr="00057BF4">
        <w:rPr>
          <w:i/>
          <w:iCs/>
        </w:rPr>
        <w:t>paññā</w:t>
      </w:r>
      <w:r w:rsidRPr="000B681F">
        <w:rPr>
          <w:i/>
          <w:iCs/>
        </w:rPr>
        <w:t>vasena</w:t>
      </w:r>
      <w:proofErr w:type="spellEnd"/>
      <w:r w:rsidRPr="000B681F">
        <w:rPr>
          <w:i/>
          <w:iCs/>
        </w:rPr>
        <w:t xml:space="preserve"> </w:t>
      </w:r>
      <w:proofErr w:type="spellStart"/>
      <w:r w:rsidRPr="000B681F">
        <w:rPr>
          <w:i/>
          <w:iCs/>
        </w:rPr>
        <w:t>paññindriyaṃ</w:t>
      </w:r>
      <w:proofErr w:type="spellEnd"/>
      <w:r w:rsidRPr="000B681F">
        <w:rPr>
          <w:i/>
          <w:iCs/>
        </w:rPr>
        <w:t xml:space="preserve"> </w:t>
      </w:r>
      <w:proofErr w:type="spellStart"/>
      <w:r w:rsidRPr="000B681F">
        <w:rPr>
          <w:i/>
          <w:iCs/>
        </w:rPr>
        <w:t>adhimattaṃ</w:t>
      </w:r>
      <w:proofErr w:type="spellEnd"/>
      <w:r w:rsidRPr="000B681F">
        <w:rPr>
          <w:i/>
          <w:iCs/>
        </w:rPr>
        <w:t xml:space="preserve"> </w:t>
      </w:r>
      <w:proofErr w:type="spellStart"/>
      <w:r w:rsidRPr="000B681F">
        <w:rPr>
          <w:i/>
          <w:iCs/>
        </w:rPr>
        <w:t>hoti</w:t>
      </w:r>
      <w:proofErr w:type="spellEnd"/>
      <w:r>
        <w:t>”.</w:t>
      </w:r>
    </w:p>
    <w:p w14:paraId="3DACCFEE" w14:textId="199DF5CA" w:rsidR="00CB41BB" w:rsidRDefault="00CB41BB" w:rsidP="00CB41BB">
      <w:pPr>
        <w:pStyle w:val="PiedepginaLegal"/>
      </w:pPr>
      <w:r>
        <w:t xml:space="preserve">36. </w:t>
      </w:r>
      <w:r>
        <w:tab/>
        <w:t xml:space="preserve">“En el sentido del objeto completo del </w:t>
      </w:r>
      <w:proofErr w:type="spellStart"/>
      <w:r w:rsidR="00057BF4" w:rsidRPr="00057BF4">
        <w:rPr>
          <w:i/>
          <w:iCs/>
        </w:rPr>
        <w:t>jhāna</w:t>
      </w:r>
      <w:proofErr w:type="spellEnd"/>
      <w:r>
        <w:t>. No se convert</w:t>
      </w:r>
      <w:r w:rsidR="00B44153">
        <w:t>irá</w:t>
      </w:r>
      <w:r>
        <w:t xml:space="preserve"> en u</w:t>
      </w:r>
      <w:r w:rsidR="00B44153">
        <w:t>n</w:t>
      </w:r>
      <w:r>
        <w:t xml:space="preserve"> objeto parcial” (</w:t>
      </w:r>
      <w:proofErr w:type="spellStart"/>
      <w:r>
        <w:t>Vism-mhṭ</w:t>
      </w:r>
      <w:proofErr w:type="spellEnd"/>
      <w:r>
        <w:t xml:space="preserve"> 147).</w:t>
      </w:r>
    </w:p>
    <w:p w14:paraId="7998048D" w14:textId="77777777" w:rsidR="00CB41BB" w:rsidRDefault="00CB41BB">
      <w:pPr>
        <w:tabs>
          <w:tab w:val="clear" w:pos="425"/>
        </w:tabs>
        <w:spacing w:after="160"/>
      </w:pPr>
      <w:r>
        <w:br w:type="page"/>
      </w:r>
    </w:p>
    <w:p w14:paraId="41C36CCE" w14:textId="1B790DE7" w:rsidR="00B62EE3" w:rsidRDefault="00B62EE3" w:rsidP="00E04EDC">
      <w:r>
        <w:lastRenderedPageBreak/>
        <w:br/>
      </w:r>
    </w:p>
    <w:p w14:paraId="119E7B8E" w14:textId="1131E1C1" w:rsidR="00E04EDC" w:rsidRDefault="00E04EDC" w:rsidP="00E04EDC">
      <w:r>
        <w:t>momento de alcanzarlos, y los v</w:t>
      </w:r>
      <w:r w:rsidR="00714BB3">
        <w:t>o</w:t>
      </w:r>
      <w:r>
        <w:t>lve</w:t>
      </w:r>
      <w:r w:rsidR="00714BB3">
        <w:t>rá</w:t>
      </w:r>
      <w:r>
        <w:t xml:space="preserve"> a captar y </w:t>
      </w:r>
      <w:r w:rsidR="004B1B63">
        <w:t xml:space="preserve">volverá </w:t>
      </w:r>
      <w:r>
        <w:t xml:space="preserve">a obtener la absorción cada vez que </w:t>
      </w:r>
      <w:r w:rsidR="004B1B63">
        <w:t xml:space="preserve">ésta </w:t>
      </w:r>
      <w:r>
        <w:t>se pierd</w:t>
      </w:r>
      <w:r w:rsidR="004B1B63">
        <w:t>a</w:t>
      </w:r>
      <w:r>
        <w:t xml:space="preserve">. Así </w:t>
      </w:r>
      <w:r w:rsidR="00F523B9">
        <w:t xml:space="preserve">es cómo </w:t>
      </w:r>
      <w:r>
        <w:t>debe</w:t>
      </w:r>
      <w:r w:rsidR="00B7027F">
        <w:t>rá</w:t>
      </w:r>
      <w:r>
        <w:t xml:space="preserve"> discernir </w:t>
      </w:r>
      <w:r w:rsidR="00F523B9">
        <w:t>sobre tales</w:t>
      </w:r>
      <w:r>
        <w:t xml:space="preserve"> </w:t>
      </w:r>
      <w:r w:rsidR="009217CC">
        <w:t>particularidades</w:t>
      </w:r>
      <w:r>
        <w:t xml:space="preserve"> </w:t>
      </w:r>
      <w:r w:rsidR="009217CC">
        <w:t xml:space="preserve">tal </w:t>
      </w:r>
      <w:r>
        <w:t xml:space="preserve">como lo hace un </w:t>
      </w:r>
      <w:r w:rsidR="00F523B9">
        <w:t>arquero</w:t>
      </w:r>
      <w:r>
        <w:t xml:space="preserve"> o un cocinero.</w:t>
      </w:r>
    </w:p>
    <w:p w14:paraId="07F6A14C" w14:textId="24CA1E32" w:rsidR="00E04EDC" w:rsidRDefault="00E04EDC" w:rsidP="00E04EDC">
      <w:r>
        <w:t xml:space="preserve">122. </w:t>
      </w:r>
      <w:r>
        <w:tab/>
        <w:t xml:space="preserve">Y esto ha sido dicho por el </w:t>
      </w:r>
      <w:r w:rsidR="00E679C6">
        <w:rPr>
          <w:i/>
          <w:iCs/>
        </w:rPr>
        <w:t>Bhagavā</w:t>
      </w:r>
      <w:r>
        <w:t>: “</w:t>
      </w:r>
      <w:proofErr w:type="spellStart"/>
      <w:r w:rsidR="00057BF4" w:rsidRPr="00057BF4">
        <w:rPr>
          <w:i/>
          <w:iCs/>
        </w:rPr>
        <w:t>Bhikkhu</w:t>
      </w:r>
      <w:r w:rsidRPr="000B681F">
        <w:rPr>
          <w:i/>
          <w:iCs/>
        </w:rPr>
        <w:t>s</w:t>
      </w:r>
      <w:proofErr w:type="spellEnd"/>
      <w:r>
        <w:t>, supongan que un cocinero sabio, inteligente y hábil prepar</w:t>
      </w:r>
      <w:r w:rsidR="009217CC">
        <w:t>e</w:t>
      </w:r>
      <w:r>
        <w:t xml:space="preserve"> varios tipos de salsas </w:t>
      </w:r>
      <w:r w:rsidR="009217CC">
        <w:t>para</w:t>
      </w:r>
      <w:r>
        <w:t xml:space="preserve"> un rey o </w:t>
      </w:r>
      <w:r w:rsidR="009217CC">
        <w:t xml:space="preserve">para </w:t>
      </w:r>
      <w:r>
        <w:t xml:space="preserve">el ministro de un rey, </w:t>
      </w:r>
      <w:r w:rsidR="00761519">
        <w:t xml:space="preserve">ya sea </w:t>
      </w:r>
      <w:r>
        <w:t xml:space="preserve">agria, amarga, </w:t>
      </w:r>
      <w:r w:rsidR="00975BDB">
        <w:t>intensa</w:t>
      </w:r>
      <w:r>
        <w:t xml:space="preserve">, [151] dulce, picante </w:t>
      </w:r>
      <w:r w:rsidR="00975BDB">
        <w:t>y</w:t>
      </w:r>
      <w:r>
        <w:t xml:space="preserve"> </w:t>
      </w:r>
      <w:r w:rsidR="00975BDB">
        <w:t>no picante</w:t>
      </w:r>
      <w:r>
        <w:t xml:space="preserve">, saladas </w:t>
      </w:r>
      <w:r w:rsidR="00975BDB">
        <w:t>y</w:t>
      </w:r>
      <w:r>
        <w:t xml:space="preserve"> sin sal; entonces el cocinero sabio, inteligente, habilidoso </w:t>
      </w:r>
      <w:r w:rsidR="006558EE">
        <w:t xml:space="preserve">percibirá </w:t>
      </w:r>
      <w:r>
        <w:t>la señal de su amo así 'hoy esta salsa complació a mi amo' o '</w:t>
      </w:r>
      <w:r w:rsidR="0082268C">
        <w:t>él</w:t>
      </w:r>
      <w:r>
        <w:t xml:space="preserve"> </w:t>
      </w:r>
      <w:r w:rsidR="006558EE">
        <w:t>ex</w:t>
      </w:r>
      <w:r>
        <w:t xml:space="preserve">tendió la mano </w:t>
      </w:r>
      <w:r w:rsidR="006558EE">
        <w:t>por é</w:t>
      </w:r>
      <w:r>
        <w:t xml:space="preserve">sta' o 'tomó mucho de </w:t>
      </w:r>
      <w:r w:rsidR="006558EE">
        <w:t>é</w:t>
      </w:r>
      <w:r>
        <w:t xml:space="preserve">sta' o 'alabó </w:t>
      </w:r>
      <w:r w:rsidR="006558EE">
        <w:t>é</w:t>
      </w:r>
      <w:r>
        <w:t xml:space="preserve">sta' </w:t>
      </w:r>
      <w:r w:rsidR="006558EE">
        <w:t>u</w:t>
      </w:r>
      <w:r>
        <w:t xml:space="preserve"> 'hoy </w:t>
      </w:r>
      <w:r w:rsidR="006558EE">
        <w:t xml:space="preserve">la salsa </w:t>
      </w:r>
      <w:r>
        <w:t>agri</w:t>
      </w:r>
      <w:r w:rsidR="006558EE">
        <w:t>a</w:t>
      </w:r>
      <w:r>
        <w:t xml:space="preserve"> complació a mi amo' o '</w:t>
      </w:r>
      <w:r w:rsidR="006558EE">
        <w:t>ext</w:t>
      </w:r>
      <w:r>
        <w:t xml:space="preserve">endió la mano </w:t>
      </w:r>
      <w:r w:rsidR="0082268C">
        <w:t>hacia</w:t>
      </w:r>
      <w:r w:rsidR="006558EE">
        <w:t xml:space="preserve"> la salsa </w:t>
      </w:r>
      <w:r>
        <w:t>agri</w:t>
      </w:r>
      <w:r w:rsidR="006558EE">
        <w:t>a</w:t>
      </w:r>
      <w:r>
        <w:t>' o 'tomó mucho de</w:t>
      </w:r>
      <w:r w:rsidR="006558EE">
        <w:t xml:space="preserve"> </w:t>
      </w:r>
      <w:r>
        <w:t>l</w:t>
      </w:r>
      <w:r w:rsidR="006558EE">
        <w:t>a</w:t>
      </w:r>
      <w:r>
        <w:t xml:space="preserve"> agri</w:t>
      </w:r>
      <w:r w:rsidR="006558EE">
        <w:t>a</w:t>
      </w:r>
      <w:r>
        <w:t xml:space="preserve">' o 'elogió </w:t>
      </w:r>
      <w:r w:rsidR="006558EE">
        <w:t>la s</w:t>
      </w:r>
      <w:r w:rsidR="00800C0A">
        <w:t>alsa</w:t>
      </w:r>
      <w:r w:rsidR="006558EE">
        <w:t xml:space="preserve"> </w:t>
      </w:r>
      <w:r w:rsidR="00800C0A">
        <w:t>agria</w:t>
      </w:r>
      <w:r>
        <w:t>... o 'elogió l</w:t>
      </w:r>
      <w:r w:rsidR="00800C0A">
        <w:t xml:space="preserve">a salsa sin </w:t>
      </w:r>
      <w:r>
        <w:t xml:space="preserve">sal'; </w:t>
      </w:r>
      <w:r w:rsidR="00800C0A">
        <w:t>entonces</w:t>
      </w:r>
      <w:r>
        <w:t xml:space="preserve">, el cocinero sabio, inteligente y hábil </w:t>
      </w:r>
      <w:r w:rsidR="00800C0A">
        <w:t xml:space="preserve">será </w:t>
      </w:r>
      <w:r>
        <w:t>recompensado con ropa</w:t>
      </w:r>
      <w:r w:rsidR="001C5F95">
        <w:t>s</w:t>
      </w:r>
      <w:r>
        <w:t xml:space="preserve">, salarios y </w:t>
      </w:r>
      <w:r w:rsidR="0082268C">
        <w:t>presentes</w:t>
      </w:r>
      <w:r>
        <w:t>. ¿</w:t>
      </w:r>
      <w:proofErr w:type="spellStart"/>
      <w:r>
        <w:t>Porqué</w:t>
      </w:r>
      <w:proofErr w:type="spellEnd"/>
      <w:r>
        <w:t xml:space="preserve"> es eso? Porque ese cocinero sabio, inteligente y hábil </w:t>
      </w:r>
      <w:r w:rsidR="001C5F95">
        <w:t xml:space="preserve">percibió </w:t>
      </w:r>
      <w:r>
        <w:t xml:space="preserve">la señal de su amo de </w:t>
      </w:r>
      <w:r w:rsidR="001C5F95">
        <w:t xml:space="preserve">la </w:t>
      </w:r>
      <w:r>
        <w:t>manera</w:t>
      </w:r>
      <w:r w:rsidR="001C5F95">
        <w:t xml:space="preserve"> indicada</w:t>
      </w:r>
      <w:r>
        <w:t xml:space="preserve">. Así también, </w:t>
      </w:r>
      <w:proofErr w:type="spellStart"/>
      <w:r w:rsidR="00057BF4" w:rsidRPr="00057BF4">
        <w:rPr>
          <w:i/>
          <w:iCs/>
        </w:rPr>
        <w:t>bhikkhu</w:t>
      </w:r>
      <w:r w:rsidRPr="000B681F">
        <w:rPr>
          <w:i/>
          <w:iCs/>
        </w:rPr>
        <w:t>s</w:t>
      </w:r>
      <w:proofErr w:type="spellEnd"/>
      <w:r>
        <w:t xml:space="preserve">, aquí un </w:t>
      </w:r>
      <w:proofErr w:type="spellStart"/>
      <w:r w:rsidR="00057BF4" w:rsidRPr="00057BF4">
        <w:rPr>
          <w:i/>
          <w:iCs/>
        </w:rPr>
        <w:t>bhikkhu</w:t>
      </w:r>
      <w:proofErr w:type="spellEnd"/>
      <w:r>
        <w:t xml:space="preserve"> sabio, inteligente y hábil </w:t>
      </w:r>
      <w:r w:rsidR="00B655B4">
        <w:t xml:space="preserve">habitará </w:t>
      </w:r>
      <w:r>
        <w:t xml:space="preserve">contemplando el cuerpo como cuerpo... Él </w:t>
      </w:r>
      <w:r w:rsidR="00B655B4">
        <w:t xml:space="preserve">habitará </w:t>
      </w:r>
      <w:r>
        <w:t>contemplando l</w:t>
      </w:r>
      <w:r w:rsidR="00B655B4">
        <w:t>a</w:t>
      </w:r>
      <w:r>
        <w:t xml:space="preserve">s </w:t>
      </w:r>
      <w:r w:rsidR="00B655B4">
        <w:t>sensaciones</w:t>
      </w:r>
      <w:r>
        <w:t xml:space="preserve"> como </w:t>
      </w:r>
      <w:r w:rsidR="00B655B4">
        <w:t>sensaciones</w:t>
      </w:r>
      <w:r>
        <w:t xml:space="preserve">... la </w:t>
      </w:r>
      <w:r w:rsidR="00B655B4">
        <w:t>mente</w:t>
      </w:r>
      <w:r>
        <w:t xml:space="preserve"> como </w:t>
      </w:r>
      <w:r w:rsidR="00B655B4">
        <w:t>mente</w:t>
      </w:r>
      <w:r>
        <w:t xml:space="preserve">... los </w:t>
      </w:r>
      <w:r w:rsidR="00B655B4">
        <w:t xml:space="preserve">contenidos </w:t>
      </w:r>
      <w:r>
        <w:t xml:space="preserve">mentales como </w:t>
      </w:r>
      <w:r w:rsidR="00B655B4">
        <w:t xml:space="preserve">contenidos </w:t>
      </w:r>
      <w:r>
        <w:t xml:space="preserve">mentales, ardiente, plenamente consciente y atento, habiendo </w:t>
      </w:r>
      <w:r w:rsidR="007E2820">
        <w:t>destruido</w:t>
      </w:r>
      <w:r>
        <w:t xml:space="preserve"> </w:t>
      </w:r>
      <w:r w:rsidR="00393385">
        <w:t>el deseo y la aversión</w:t>
      </w:r>
      <w:r>
        <w:t xml:space="preserve"> por el mundo. A medida que </w:t>
      </w:r>
      <w:r w:rsidR="00393385">
        <w:t xml:space="preserve">habite </w:t>
      </w:r>
      <w:r>
        <w:t>en la contemplación de los objetos mentales como objetos mentales, su mente se concentra</w:t>
      </w:r>
      <w:r w:rsidR="00393385">
        <w:t>rá</w:t>
      </w:r>
      <w:r>
        <w:t xml:space="preserve">, sus corrupciones </w:t>
      </w:r>
      <w:r w:rsidR="00357223">
        <w:t>lo</w:t>
      </w:r>
      <w:r>
        <w:t xml:space="preserve"> abandona</w:t>
      </w:r>
      <w:r w:rsidR="00357223">
        <w:t>rá</w:t>
      </w:r>
      <w:r>
        <w:t>n. Aprende</w:t>
      </w:r>
      <w:r w:rsidR="00357223">
        <w:t xml:space="preserve">rá </w:t>
      </w:r>
      <w:r>
        <w:t xml:space="preserve">el signo </w:t>
      </w:r>
      <w:r w:rsidR="00357223">
        <w:t>al respecto</w:t>
      </w:r>
      <w:r>
        <w:t xml:space="preserve">. Entonces ese </w:t>
      </w:r>
      <w:proofErr w:type="spellStart"/>
      <w:r w:rsidR="00057BF4" w:rsidRPr="00057BF4">
        <w:rPr>
          <w:i/>
          <w:iCs/>
        </w:rPr>
        <w:t>bhikkhu</w:t>
      </w:r>
      <w:proofErr w:type="spellEnd"/>
      <w:r>
        <w:t xml:space="preserve"> sabio, inteligente y hábil </w:t>
      </w:r>
      <w:r w:rsidR="00357223">
        <w:t xml:space="preserve">será </w:t>
      </w:r>
      <w:r>
        <w:t xml:space="preserve">recompensado con un </w:t>
      </w:r>
      <w:r w:rsidR="00357223">
        <w:t xml:space="preserve">estado </w:t>
      </w:r>
      <w:r>
        <w:t>feliz</w:t>
      </w:r>
      <w:r w:rsidR="00357223">
        <w:t>,</w:t>
      </w:r>
      <w:r>
        <w:t xml:space="preserve"> aquí y ahora, </w:t>
      </w:r>
      <w:r w:rsidR="006E2F2D">
        <w:t>será</w:t>
      </w:r>
      <w:r>
        <w:t xml:space="preserve"> recompensado con </w:t>
      </w:r>
      <w:proofErr w:type="gramStart"/>
      <w:r>
        <w:t xml:space="preserve">atención plena y </w:t>
      </w:r>
      <w:r w:rsidR="00305E12">
        <w:t>consciencia</w:t>
      </w:r>
      <w:r w:rsidR="006E2F2D" w:rsidRPr="006E2F2D">
        <w:t xml:space="preserve"> </w:t>
      </w:r>
      <w:r w:rsidR="006E2F2D">
        <w:t>plena</w:t>
      </w:r>
      <w:proofErr w:type="gramEnd"/>
      <w:r>
        <w:t>. ¿</w:t>
      </w:r>
      <w:proofErr w:type="spellStart"/>
      <w:r>
        <w:t>Porqué</w:t>
      </w:r>
      <w:proofErr w:type="spellEnd"/>
      <w:r>
        <w:t xml:space="preserve"> es eso? Porque ese </w:t>
      </w:r>
      <w:proofErr w:type="spellStart"/>
      <w:r w:rsidR="00057BF4" w:rsidRPr="00057BF4">
        <w:rPr>
          <w:i/>
          <w:iCs/>
        </w:rPr>
        <w:t>bhikkhu</w:t>
      </w:r>
      <w:proofErr w:type="spellEnd"/>
      <w:r>
        <w:t xml:space="preserve"> sabio, inteligente y hábil </w:t>
      </w:r>
      <w:r w:rsidR="00A000FA">
        <w:t>habrá desarrollado</w:t>
      </w:r>
      <w:r>
        <w:t xml:space="preserve"> el signo de su con</w:t>
      </w:r>
      <w:r w:rsidR="00A000FA">
        <w:t>s</w:t>
      </w:r>
      <w:r>
        <w:t>ciencia” (S V 151-52).</w:t>
      </w:r>
    </w:p>
    <w:p w14:paraId="1B96A89E" w14:textId="22F43B57" w:rsidR="00E04EDC" w:rsidRDefault="00E04EDC" w:rsidP="00E04EDC">
      <w:r>
        <w:t xml:space="preserve">123. </w:t>
      </w:r>
      <w:r>
        <w:tab/>
        <w:t>Y cuando recuper</w:t>
      </w:r>
      <w:r w:rsidR="0085710D">
        <w:t>e</w:t>
      </w:r>
      <w:r>
        <w:t xml:space="preserve"> esos modos aprehendiendo el signo, sólo logra</w:t>
      </w:r>
      <w:r w:rsidR="00CF5C6A">
        <w:t xml:space="preserve">rá </w:t>
      </w:r>
      <w:r>
        <w:t xml:space="preserve">llegar a la absorción, pero no </w:t>
      </w:r>
      <w:r w:rsidR="00DC4F2C">
        <w:t>logrará que sea</w:t>
      </w:r>
      <w:r>
        <w:t xml:space="preserve"> </w:t>
      </w:r>
      <w:r w:rsidR="00DC4F2C">
        <w:t>per</w:t>
      </w:r>
      <w:r>
        <w:t>dura</w:t>
      </w:r>
      <w:r w:rsidR="00DC4F2C">
        <w:t>ble</w:t>
      </w:r>
      <w:r>
        <w:t>. Perdura</w:t>
      </w:r>
      <w:r w:rsidR="00DC4F2C">
        <w:t xml:space="preserve">rá </w:t>
      </w:r>
      <w:r>
        <w:t>cuando est</w:t>
      </w:r>
      <w:r w:rsidR="00DC4F2C">
        <w:t xml:space="preserve">é </w:t>
      </w:r>
      <w:r>
        <w:t>absolutamente purificado de estados que obstruy</w:t>
      </w:r>
      <w:r w:rsidR="00DC4F2C">
        <w:t>a</w:t>
      </w:r>
      <w:r>
        <w:t>n la concentración.</w:t>
      </w:r>
    </w:p>
    <w:p w14:paraId="7DCF7E3A" w14:textId="12162D12" w:rsidR="00E04EDC" w:rsidRDefault="00E04EDC" w:rsidP="00E04EDC">
      <w:r>
        <w:t xml:space="preserve">124. </w:t>
      </w:r>
      <w:r>
        <w:tab/>
        <w:t xml:space="preserve">Cuando un </w:t>
      </w:r>
      <w:proofErr w:type="spellStart"/>
      <w:r w:rsidR="00057BF4" w:rsidRPr="00057BF4">
        <w:rPr>
          <w:i/>
          <w:iCs/>
        </w:rPr>
        <w:t>bhikkhu</w:t>
      </w:r>
      <w:proofErr w:type="spellEnd"/>
      <w:r>
        <w:t xml:space="preserve"> entr</w:t>
      </w:r>
      <w:r w:rsidR="00DC4F2C">
        <w:t>e</w:t>
      </w:r>
      <w:r>
        <w:t xml:space="preserve"> en un </w:t>
      </w:r>
      <w:proofErr w:type="spellStart"/>
      <w:r w:rsidR="00057BF4" w:rsidRPr="00057BF4">
        <w:rPr>
          <w:i/>
          <w:iCs/>
        </w:rPr>
        <w:t>jhāna</w:t>
      </w:r>
      <w:proofErr w:type="spellEnd"/>
      <w:r>
        <w:t xml:space="preserve"> sin primero suprimir por completo la lujuria mediante la revisión de los peligros en los </w:t>
      </w:r>
      <w:r w:rsidR="007831DD">
        <w:t>deseos sensoriales</w:t>
      </w:r>
      <w:r>
        <w:t>, etc., y sin primero tranquilizar completamente la irritabilidad corporal</w:t>
      </w:r>
      <w:r w:rsidRPr="00B62EE3">
        <w:rPr>
          <w:vertAlign w:val="superscript"/>
        </w:rPr>
        <w:t>37</w:t>
      </w:r>
      <w:r>
        <w:t xml:space="preserve"> tranquilizando el cuerpo, y sin primero eliminar por completo la rigidez y </w:t>
      </w:r>
      <w:r w:rsidR="00CE0D5A">
        <w:t>e</w:t>
      </w:r>
      <w:r>
        <w:t>l letargo recordando los elementos de iniciativa, etc., (§55), y sin primero abolir completamente la agitación y la preocupación recordando el signo de la serenidad, etc., [152] y sin primero purificar completamente su mente de otros estados que obstruy</w:t>
      </w:r>
      <w:r w:rsidR="00C10623">
        <w:t>a</w:t>
      </w:r>
      <w:r>
        <w:t>n la concentración, entonces</w:t>
      </w:r>
      <w:r w:rsidR="00C50EFA">
        <w:t>,</w:t>
      </w:r>
      <w:r>
        <w:t xml:space="preserve"> </w:t>
      </w:r>
      <w:r w:rsidR="00C50EFA">
        <w:t xml:space="preserve">pronta </w:t>
      </w:r>
      <w:r w:rsidR="007A6EC7">
        <w:t xml:space="preserve">y </w:t>
      </w:r>
      <w:r w:rsidR="00C50EFA">
        <w:t xml:space="preserve">nuevamente, </w:t>
      </w:r>
      <w:r>
        <w:t xml:space="preserve">ese </w:t>
      </w:r>
      <w:proofErr w:type="spellStart"/>
      <w:r w:rsidR="00057BF4" w:rsidRPr="00057BF4">
        <w:rPr>
          <w:i/>
          <w:iCs/>
        </w:rPr>
        <w:t>bhikkhu</w:t>
      </w:r>
      <w:proofErr w:type="spellEnd"/>
      <w:r>
        <w:t xml:space="preserve"> </w:t>
      </w:r>
      <w:r w:rsidR="001235E5">
        <w:t xml:space="preserve">será rechazado por </w:t>
      </w:r>
      <w:r>
        <w:t xml:space="preserve">ese </w:t>
      </w:r>
      <w:proofErr w:type="spellStart"/>
      <w:r w:rsidR="00057BF4" w:rsidRPr="00057BF4">
        <w:rPr>
          <w:i/>
          <w:iCs/>
        </w:rPr>
        <w:t>jhāna</w:t>
      </w:r>
      <w:proofErr w:type="spellEnd"/>
      <w:r>
        <w:t>, como una abeja que ha</w:t>
      </w:r>
      <w:r w:rsidR="007A6EC7">
        <w:t>ya</w:t>
      </w:r>
      <w:r>
        <w:t xml:space="preserve"> entrado en una colmena impura</w:t>
      </w:r>
      <w:r w:rsidR="007A6EC7">
        <w:t xml:space="preserve"> o</w:t>
      </w:r>
      <w:r>
        <w:t xml:space="preserve"> como un rey que ha</w:t>
      </w:r>
      <w:r w:rsidR="007A6EC7">
        <w:t>ya</w:t>
      </w:r>
      <w:r>
        <w:t xml:space="preserve"> entrado </w:t>
      </w:r>
      <w:r w:rsidR="007A6EC7">
        <w:t>a</w:t>
      </w:r>
      <w:r>
        <w:t xml:space="preserve"> un parque </w:t>
      </w:r>
      <w:r w:rsidR="007A6EC7">
        <w:t>sucio</w:t>
      </w:r>
      <w:r>
        <w:t>.</w:t>
      </w:r>
    </w:p>
    <w:p w14:paraId="1C2A6631" w14:textId="36A9F38A" w:rsidR="00E04EDC" w:rsidRDefault="00E04EDC" w:rsidP="00E04EDC">
      <w:r>
        <w:t xml:space="preserve">125. </w:t>
      </w:r>
      <w:r>
        <w:tab/>
        <w:t xml:space="preserve">Pero cuando </w:t>
      </w:r>
      <w:r w:rsidR="00C50EFA">
        <w:t xml:space="preserve">él </w:t>
      </w:r>
      <w:r>
        <w:t>entr</w:t>
      </w:r>
      <w:r w:rsidR="00C50EFA">
        <w:t>e</w:t>
      </w:r>
      <w:r>
        <w:t xml:space="preserve"> en un </w:t>
      </w:r>
      <w:proofErr w:type="spellStart"/>
      <w:r w:rsidR="00057BF4" w:rsidRPr="00057BF4">
        <w:rPr>
          <w:i/>
          <w:iCs/>
        </w:rPr>
        <w:t>jhāna</w:t>
      </w:r>
      <w:proofErr w:type="spellEnd"/>
      <w:r>
        <w:t xml:space="preserve"> después de primero purificar completamente su mente de los estados que obstruy</w:t>
      </w:r>
      <w:r w:rsidR="0031102E">
        <w:t>a</w:t>
      </w:r>
      <w:r>
        <w:t>n la concentración, entonces permanece</w:t>
      </w:r>
      <w:r w:rsidR="0031102E">
        <w:t>rá</w:t>
      </w:r>
      <w:r>
        <w:t xml:space="preserve"> en </w:t>
      </w:r>
      <w:r w:rsidR="0031102E">
        <w:t xml:space="preserve">la absorción </w:t>
      </w:r>
      <w:r>
        <w:t>inclus</w:t>
      </w:r>
      <w:r w:rsidR="0031102E">
        <w:t>ive</w:t>
      </w:r>
      <w:r>
        <w:t xml:space="preserve"> durante un día entero, como una abeja que ha</w:t>
      </w:r>
      <w:r w:rsidR="0076636A">
        <w:t>ya</w:t>
      </w:r>
      <w:r>
        <w:t xml:space="preserve"> entrado </w:t>
      </w:r>
      <w:r w:rsidR="001235E5">
        <w:t>a</w:t>
      </w:r>
      <w:r>
        <w:t xml:space="preserve"> una colmena completamente purificada, </w:t>
      </w:r>
      <w:r w:rsidR="0076636A">
        <w:t xml:space="preserve">o </w:t>
      </w:r>
      <w:r>
        <w:t>como un rey. que ha</w:t>
      </w:r>
      <w:r w:rsidR="0076636A">
        <w:t>ya</w:t>
      </w:r>
      <w:r>
        <w:t xml:space="preserve"> entrado </w:t>
      </w:r>
      <w:r w:rsidR="0076636A">
        <w:t>a</w:t>
      </w:r>
      <w:r>
        <w:t xml:space="preserve"> un parque perfectamente limpio. De ahí que los </w:t>
      </w:r>
      <w:r w:rsidR="0076636A">
        <w:t>Venerables</w:t>
      </w:r>
      <w:r>
        <w:t xml:space="preserve"> di</w:t>
      </w:r>
      <w:r w:rsidR="001235E5">
        <w:t>g</w:t>
      </w:r>
      <w:r>
        <w:t>an:</w:t>
      </w:r>
    </w:p>
    <w:p w14:paraId="219F27AA" w14:textId="4806BE3E" w:rsidR="00E04EDC" w:rsidRPr="00E04EDC" w:rsidRDefault="00E04EDC" w:rsidP="00E04EDC">
      <w:pPr>
        <w:pStyle w:val="PiedepginaLegal"/>
        <w:rPr>
          <w:u w:val="single"/>
        </w:rPr>
      </w:pPr>
      <w:r w:rsidRPr="00E04EDC">
        <w:rPr>
          <w:u w:val="single"/>
        </w:rPr>
        <w:tab/>
      </w:r>
      <w:r w:rsidRPr="00E04EDC">
        <w:rPr>
          <w:u w:val="single"/>
        </w:rPr>
        <w:tab/>
      </w:r>
      <w:r w:rsidRPr="00E04EDC">
        <w:rPr>
          <w:u w:val="single"/>
        </w:rPr>
        <w:tab/>
      </w:r>
      <w:r w:rsidRPr="00E04EDC">
        <w:rPr>
          <w:u w:val="single"/>
        </w:rPr>
        <w:tab/>
        <w:t>.</w:t>
      </w:r>
    </w:p>
    <w:p w14:paraId="24B99CC4" w14:textId="6E13E12C" w:rsidR="00E04EDC" w:rsidRDefault="00E04EDC" w:rsidP="001235E5">
      <w:pPr>
        <w:pStyle w:val="PiedepginaLegal"/>
      </w:pPr>
      <w:r>
        <w:t xml:space="preserve"> 37.</w:t>
      </w:r>
      <w:r w:rsidRPr="000B681F">
        <w:rPr>
          <w:i/>
          <w:iCs/>
        </w:rPr>
        <w:t xml:space="preserve"> </w:t>
      </w:r>
      <w:r w:rsidR="00331C44">
        <w:rPr>
          <w:i/>
          <w:iCs/>
        </w:rPr>
        <w:t xml:space="preserve"> </w:t>
      </w:r>
      <w:proofErr w:type="spellStart"/>
      <w:r w:rsidRPr="000B681F">
        <w:rPr>
          <w:i/>
          <w:iCs/>
        </w:rPr>
        <w:t>Kāya-duṭṭhulla</w:t>
      </w:r>
      <w:proofErr w:type="spellEnd"/>
      <w:r>
        <w:t>—“irritabilidad corporal”: explicado aquí como “perturbación corporal (</w:t>
      </w:r>
      <w:proofErr w:type="spellStart"/>
      <w:r w:rsidRPr="000B681F">
        <w:rPr>
          <w:i/>
          <w:iCs/>
        </w:rPr>
        <w:t>daratha</w:t>
      </w:r>
      <w:proofErr w:type="spellEnd"/>
      <w:r>
        <w:t>), excitación del cuerpo (</w:t>
      </w:r>
      <w:proofErr w:type="spellStart"/>
      <w:r w:rsidRPr="000B681F">
        <w:rPr>
          <w:i/>
          <w:iCs/>
        </w:rPr>
        <w:t>kāya-sāraddhatā</w:t>
      </w:r>
      <w:proofErr w:type="spellEnd"/>
      <w:r>
        <w:t xml:space="preserve">)” por </w:t>
      </w:r>
      <w:proofErr w:type="spellStart"/>
      <w:r>
        <w:t>Vism-mh</w:t>
      </w:r>
      <w:r w:rsidR="00660D34">
        <w:t>ṭ</w:t>
      </w:r>
      <w:proofErr w:type="spellEnd"/>
      <w:r>
        <w:t xml:space="preserve"> (p. 148); aquí representa el estorbo de la mala voluntad; cf. M III 151, 159, donde se comenta como </w:t>
      </w:r>
      <w:proofErr w:type="spellStart"/>
      <w:r w:rsidRPr="000B681F">
        <w:rPr>
          <w:i/>
          <w:iCs/>
        </w:rPr>
        <w:t>kāyālasiya</w:t>
      </w:r>
      <w:proofErr w:type="spellEnd"/>
      <w:r>
        <w:t xml:space="preserve">—“inercia corporal” (M-a IV 202, 208). </w:t>
      </w:r>
      <w:r w:rsidR="00331C44">
        <w:t xml:space="preserve">El </w:t>
      </w:r>
      <w:r>
        <w:t xml:space="preserve">PED, </w:t>
      </w:r>
      <w:r w:rsidR="00E06847">
        <w:t xml:space="preserve">para </w:t>
      </w:r>
      <w:proofErr w:type="spellStart"/>
      <w:r w:rsidR="00E06847" w:rsidRPr="000B681F">
        <w:rPr>
          <w:i/>
          <w:iCs/>
        </w:rPr>
        <w:t>duṭṭhulla</w:t>
      </w:r>
      <w:proofErr w:type="spellEnd"/>
      <w:r w:rsidR="00E06847">
        <w:t xml:space="preserve"> </w:t>
      </w:r>
      <w:r>
        <w:t xml:space="preserve">solo da el significado de "malvado, lascivo", </w:t>
      </w:r>
      <w:r w:rsidR="009328C3">
        <w:t xml:space="preserve">para </w:t>
      </w:r>
      <w:r>
        <w:t xml:space="preserve">cuyo significado </w:t>
      </w:r>
      <w:r w:rsidR="009328C3">
        <w:t>leer</w:t>
      </w:r>
      <w:r w:rsidR="00331C44">
        <w:t xml:space="preserve"> </w:t>
      </w:r>
      <w:r w:rsidR="009328C3">
        <w:t xml:space="preserve">al respecto </w:t>
      </w:r>
      <w:r w:rsidR="00331C44">
        <w:t>en</w:t>
      </w:r>
      <w:r>
        <w:t xml:space="preserve"> A I 88, </w:t>
      </w:r>
      <w:proofErr w:type="spellStart"/>
      <w:r>
        <w:t>Vin</w:t>
      </w:r>
      <w:proofErr w:type="spellEnd"/>
      <w:r>
        <w:t>-a 528; cf. IX.69.</w:t>
      </w:r>
      <w:r>
        <w:br w:type="page"/>
      </w:r>
    </w:p>
    <w:p w14:paraId="1A16F1FD" w14:textId="77777777" w:rsidR="00191F29" w:rsidRDefault="00191F29" w:rsidP="00191F29">
      <w:pPr>
        <w:pStyle w:val="VersoIngls01Sangria"/>
      </w:pPr>
    </w:p>
    <w:p w14:paraId="3B890075" w14:textId="77777777" w:rsidR="00191F29" w:rsidRDefault="00191F29" w:rsidP="00191F29">
      <w:pPr>
        <w:pStyle w:val="VersoIngls01Sangria"/>
      </w:pPr>
    </w:p>
    <w:p w14:paraId="7549AD3B" w14:textId="6D4406AF" w:rsidR="00191F29" w:rsidRPr="00E03572" w:rsidRDefault="00191F29" w:rsidP="00191F29">
      <w:pPr>
        <w:pStyle w:val="VersoIngls01Sangria"/>
        <w:rPr>
          <w:sz w:val="16"/>
          <w:szCs w:val="20"/>
        </w:rPr>
      </w:pPr>
      <w:r w:rsidRPr="00E03572">
        <w:rPr>
          <w:sz w:val="16"/>
          <w:szCs w:val="20"/>
        </w:rPr>
        <w:t>“Así</w:t>
      </w:r>
      <w:r w:rsidR="004655B5" w:rsidRPr="00E03572">
        <w:rPr>
          <w:sz w:val="16"/>
          <w:szCs w:val="20"/>
        </w:rPr>
        <w:t>,</w:t>
      </w:r>
      <w:r w:rsidRPr="00E03572">
        <w:rPr>
          <w:sz w:val="16"/>
          <w:szCs w:val="20"/>
        </w:rPr>
        <w:t xml:space="preserve"> disipe</w:t>
      </w:r>
      <w:r w:rsidR="004655B5" w:rsidRPr="00E03572">
        <w:rPr>
          <w:sz w:val="16"/>
          <w:szCs w:val="20"/>
        </w:rPr>
        <w:t>n</w:t>
      </w:r>
      <w:r w:rsidRPr="00E03572">
        <w:rPr>
          <w:sz w:val="16"/>
          <w:szCs w:val="20"/>
        </w:rPr>
        <w:t xml:space="preserve"> toda lujuria y resentimiento,</w:t>
      </w:r>
    </w:p>
    <w:p w14:paraId="2687B176" w14:textId="76159B33" w:rsidR="00191F29" w:rsidRPr="00E03572" w:rsidRDefault="004655B5" w:rsidP="00191F29">
      <w:pPr>
        <w:pStyle w:val="VersoIngls01Sangria"/>
        <w:rPr>
          <w:sz w:val="16"/>
          <w:szCs w:val="20"/>
        </w:rPr>
      </w:pPr>
      <w:r w:rsidRPr="00E03572">
        <w:rPr>
          <w:sz w:val="16"/>
          <w:szCs w:val="20"/>
        </w:rPr>
        <w:t>También agitación</w:t>
      </w:r>
      <w:r w:rsidR="00191F29" w:rsidRPr="00E03572">
        <w:rPr>
          <w:sz w:val="16"/>
          <w:szCs w:val="20"/>
        </w:rPr>
        <w:t xml:space="preserve">, y luego </w:t>
      </w:r>
      <w:r w:rsidR="001235E5" w:rsidRPr="00E03572">
        <w:rPr>
          <w:sz w:val="16"/>
          <w:szCs w:val="20"/>
        </w:rPr>
        <w:t xml:space="preserve">el </w:t>
      </w:r>
      <w:r w:rsidR="00191F29" w:rsidRPr="00E03572">
        <w:rPr>
          <w:sz w:val="16"/>
          <w:szCs w:val="20"/>
        </w:rPr>
        <w:t xml:space="preserve">letargo y </w:t>
      </w:r>
      <w:r w:rsidRPr="00E03572">
        <w:rPr>
          <w:sz w:val="16"/>
          <w:szCs w:val="20"/>
        </w:rPr>
        <w:t xml:space="preserve">la </w:t>
      </w:r>
      <w:r w:rsidR="00191F29" w:rsidRPr="00E03572">
        <w:rPr>
          <w:sz w:val="16"/>
          <w:szCs w:val="20"/>
        </w:rPr>
        <w:t>duda como quinto</w:t>
      </w:r>
      <w:r w:rsidRPr="00E03572">
        <w:rPr>
          <w:sz w:val="16"/>
          <w:szCs w:val="20"/>
        </w:rPr>
        <w:t xml:space="preserve"> obstáculo</w:t>
      </w:r>
      <w:r w:rsidR="00191F29" w:rsidRPr="00E03572">
        <w:rPr>
          <w:sz w:val="16"/>
          <w:szCs w:val="20"/>
        </w:rPr>
        <w:t>;</w:t>
      </w:r>
    </w:p>
    <w:p w14:paraId="3EAFCD9D" w14:textId="0EF1E33B" w:rsidR="00191F29" w:rsidRPr="00E03572" w:rsidRDefault="00191F29" w:rsidP="00191F29">
      <w:pPr>
        <w:pStyle w:val="VersoIngls01Sangria"/>
        <w:rPr>
          <w:sz w:val="16"/>
          <w:szCs w:val="20"/>
        </w:rPr>
      </w:pPr>
      <w:r w:rsidRPr="00E03572">
        <w:rPr>
          <w:sz w:val="16"/>
          <w:szCs w:val="20"/>
        </w:rPr>
        <w:t>Que allí encuentre</w:t>
      </w:r>
      <w:r w:rsidR="004655B5" w:rsidRPr="00E03572">
        <w:rPr>
          <w:sz w:val="16"/>
          <w:szCs w:val="20"/>
        </w:rPr>
        <w:t>n</w:t>
      </w:r>
      <w:r w:rsidRPr="00E03572">
        <w:rPr>
          <w:sz w:val="16"/>
          <w:szCs w:val="20"/>
        </w:rPr>
        <w:t xml:space="preserve"> gozo con un corazón alegr</w:t>
      </w:r>
      <w:r w:rsidR="004655B5" w:rsidRPr="00E03572">
        <w:rPr>
          <w:sz w:val="16"/>
          <w:szCs w:val="20"/>
        </w:rPr>
        <w:t>e</w:t>
      </w:r>
      <w:r w:rsidRPr="00E03572">
        <w:rPr>
          <w:sz w:val="16"/>
          <w:szCs w:val="20"/>
        </w:rPr>
        <w:t xml:space="preserve"> en la reclusión,</w:t>
      </w:r>
    </w:p>
    <w:p w14:paraId="796FE064" w14:textId="47631849" w:rsidR="00191F29" w:rsidRPr="00E03572" w:rsidRDefault="00191F29" w:rsidP="00191F29">
      <w:pPr>
        <w:pStyle w:val="VersoIngls01Sangria"/>
        <w:spacing w:after="100"/>
        <w:ind w:left="1418"/>
        <w:rPr>
          <w:sz w:val="16"/>
          <w:szCs w:val="20"/>
        </w:rPr>
      </w:pPr>
      <w:r w:rsidRPr="00E03572">
        <w:rPr>
          <w:sz w:val="16"/>
          <w:szCs w:val="20"/>
        </w:rPr>
        <w:t>Como un rey en un jardín donde cada uno de los rincones estén limpios”.</w:t>
      </w:r>
    </w:p>
    <w:p w14:paraId="54004CCB" w14:textId="468294C5" w:rsidR="00191F29" w:rsidRDefault="00191F29" w:rsidP="00191F29">
      <w:r>
        <w:t xml:space="preserve">126. </w:t>
      </w:r>
      <w:r>
        <w:tab/>
        <w:t xml:space="preserve">Entonces, si </w:t>
      </w:r>
      <w:r w:rsidR="004655B5">
        <w:t xml:space="preserve">él </w:t>
      </w:r>
      <w:r>
        <w:t>qui</w:t>
      </w:r>
      <w:r w:rsidR="004655B5">
        <w:t>siera</w:t>
      </w:r>
      <w:r>
        <w:t xml:space="preserve"> permanecer mucho tiempo en el </w:t>
      </w:r>
      <w:proofErr w:type="spellStart"/>
      <w:r w:rsidR="00057BF4" w:rsidRPr="00057BF4">
        <w:rPr>
          <w:i/>
          <w:iCs/>
        </w:rPr>
        <w:t>jhāna</w:t>
      </w:r>
      <w:proofErr w:type="spellEnd"/>
      <w:r>
        <w:t>, debe</w:t>
      </w:r>
      <w:r w:rsidR="004655B5">
        <w:t xml:space="preserve">rá </w:t>
      </w:r>
      <w:r>
        <w:t>entrar en él después de primero purificar su mente de los estados obstructivos.</w:t>
      </w:r>
    </w:p>
    <w:p w14:paraId="3231FA84" w14:textId="77777777" w:rsidR="00E03572" w:rsidRDefault="00E03572" w:rsidP="00191F29"/>
    <w:p w14:paraId="4A259E7C" w14:textId="6B6E9F09" w:rsidR="00191F29" w:rsidRDefault="00191F29" w:rsidP="00D91F3B">
      <w:pPr>
        <w:pStyle w:val="Ttulo3"/>
        <w:ind w:left="708"/>
      </w:pPr>
      <w:r>
        <w:t>[Extensión Del Signo]</w:t>
      </w:r>
    </w:p>
    <w:p w14:paraId="203DE992" w14:textId="3B8FA423" w:rsidR="00191F29" w:rsidRDefault="00191F29" w:rsidP="00191F29">
      <w:r>
        <w:t>Para perfeccionar el desarrollo de la con</w:t>
      </w:r>
      <w:r w:rsidR="00047EDE">
        <w:t>s</w:t>
      </w:r>
      <w:r>
        <w:t xml:space="preserve">ciencia </w:t>
      </w:r>
      <w:r w:rsidR="00047EDE">
        <w:t xml:space="preserve">él </w:t>
      </w:r>
      <w:r>
        <w:t>debe</w:t>
      </w:r>
      <w:r w:rsidR="00047EDE">
        <w:t>rá</w:t>
      </w:r>
      <w:r>
        <w:t xml:space="preserve"> además extender el signo contraparte según lo adquirido. Ahora bien, hay dos planos de extensión, </w:t>
      </w:r>
      <w:r w:rsidR="00047EDE">
        <w:t>es decir</w:t>
      </w:r>
      <w:r>
        <w:t xml:space="preserve">, </w:t>
      </w:r>
      <w:r w:rsidR="00047EDE">
        <w:t xml:space="preserve">el </w:t>
      </w:r>
      <w:r>
        <w:t xml:space="preserve">acceso y </w:t>
      </w:r>
      <w:r w:rsidR="00047EDE">
        <w:t xml:space="preserve">la </w:t>
      </w:r>
      <w:r>
        <w:t xml:space="preserve">absorción; </w:t>
      </w:r>
      <w:r w:rsidR="00047EDE">
        <w:t>ya que será</w:t>
      </w:r>
      <w:r>
        <w:t xml:space="preserve"> posible extenderlo al llegar al acceso y al llegar a la absorción. Pero la extensión debe hacerse consistentemente en uno [u otro]</w:t>
      </w:r>
      <w:r w:rsidR="00CA7CC7">
        <w:t xml:space="preserve"> caso</w:t>
      </w:r>
      <w:r>
        <w:t>, razón por la cual se dijo “además debe</w:t>
      </w:r>
      <w:r w:rsidR="00C76AE7">
        <w:t>rá</w:t>
      </w:r>
      <w:r>
        <w:t xml:space="preserve"> extender el signo contraparte según lo adquirido”.</w:t>
      </w:r>
    </w:p>
    <w:p w14:paraId="02363672" w14:textId="386BAABA" w:rsidR="00191F29" w:rsidRDefault="00191F29" w:rsidP="00191F29">
      <w:r>
        <w:t xml:space="preserve">127. </w:t>
      </w:r>
      <w:r>
        <w:tab/>
        <w:t>La forma de extenderlo</w:t>
      </w:r>
      <w:r w:rsidR="00C76AE7">
        <w:t>s</w:t>
      </w:r>
      <w:r>
        <w:t xml:space="preserve"> </w:t>
      </w:r>
      <w:r w:rsidR="00C76AE7">
        <w:t>será</w:t>
      </w:r>
      <w:r>
        <w:t xml:space="preserve"> </w:t>
      </w:r>
      <w:r w:rsidR="00C76AE7">
        <w:t>é</w:t>
      </w:r>
      <w:r>
        <w:t>sta. El meditador no debe</w:t>
      </w:r>
      <w:r w:rsidR="00C76AE7">
        <w:t xml:space="preserve">rá </w:t>
      </w:r>
      <w:r>
        <w:t xml:space="preserve">extender el signo como se extiende un cuenco de arcilla o un pastel o </w:t>
      </w:r>
      <w:r w:rsidR="00AC07F4">
        <w:t>el a</w:t>
      </w:r>
      <w:r>
        <w:t>rroz hervido o una enredadera o un trozo de tela. Primero debe</w:t>
      </w:r>
      <w:r w:rsidR="00AC07F4">
        <w:t xml:space="preserve">rá </w:t>
      </w:r>
      <w:r>
        <w:t xml:space="preserve">delimitar con su mente tamaños sucesivos para el signo, según lo adquirido, es decir, un dedo, dos dedos, tres dedos, cuatro dedos, y luego extenderlo en </w:t>
      </w:r>
      <w:r w:rsidR="00AC07F4">
        <w:t>un</w:t>
      </w:r>
      <w:r>
        <w:t xml:space="preserve">a cantidad delimitada, tal como un </w:t>
      </w:r>
      <w:r w:rsidR="0078556B">
        <w:t xml:space="preserve">agricultor </w:t>
      </w:r>
      <w:r>
        <w:t>delimita</w:t>
      </w:r>
      <w:r w:rsidR="0078556B">
        <w:t>ría</w:t>
      </w:r>
      <w:r>
        <w:t xml:space="preserve"> con el ara</w:t>
      </w:r>
      <w:r w:rsidR="0078556B">
        <w:t>do</w:t>
      </w:r>
      <w:r>
        <w:t xml:space="preserve"> el área a ser arada y luego arar</w:t>
      </w:r>
      <w:r w:rsidR="0078556B">
        <w:t>ía</w:t>
      </w:r>
      <w:r>
        <w:t xml:space="preserve"> dentro del área delimitada, o simplemente como los monjes que </w:t>
      </w:r>
      <w:r w:rsidR="008273C6">
        <w:t xml:space="preserve">se </w:t>
      </w:r>
      <w:r>
        <w:t xml:space="preserve">fijan un límite, primero observan las marcas y luego las fijan. </w:t>
      </w:r>
      <w:r w:rsidR="0078556B">
        <w:t>Él no</w:t>
      </w:r>
      <w:r>
        <w:t xml:space="preserve"> debe</w:t>
      </w:r>
      <w:r w:rsidR="0078556B">
        <w:t>rá</w:t>
      </w:r>
      <w:r>
        <w:t xml:space="preserve">, de hecho, </w:t>
      </w:r>
      <w:r w:rsidR="00C906AB">
        <w:t>extenderlo</w:t>
      </w:r>
      <w:r>
        <w:t xml:space="preserve"> sin haber</w:t>
      </w:r>
      <w:r w:rsidR="00C906AB">
        <w:t>lo</w:t>
      </w:r>
      <w:r>
        <w:t xml:space="preserve"> delimitado [la cantidad que extenderá]. Una vez hecho esto, </w:t>
      </w:r>
      <w:r w:rsidR="003C304A">
        <w:t>podrá extenderlo</w:t>
      </w:r>
      <w:r>
        <w:t xml:space="preserve"> aún más, delimitando los límites sucesivos de, digamos, un tramo, un </w:t>
      </w:r>
      <w:proofErr w:type="spellStart"/>
      <w:r w:rsidRPr="000B681F">
        <w:rPr>
          <w:i/>
          <w:iCs/>
        </w:rPr>
        <w:t>ratana</w:t>
      </w:r>
      <w:proofErr w:type="spellEnd"/>
      <w:r>
        <w:t xml:space="preserve"> (= 2 tramos), la veranda, el espacio circundante,</w:t>
      </w:r>
      <w:r w:rsidRPr="00061742">
        <w:rPr>
          <w:vertAlign w:val="superscript"/>
        </w:rPr>
        <w:t>38</w:t>
      </w:r>
      <w:r>
        <w:t xml:space="preserve"> el monasterio y los límites del pueblo, la ciudad, el distrito, el reino y el océano, [153] haciendo el límite extremo de la esfera </w:t>
      </w:r>
      <w:r w:rsidR="00E7563D">
        <w:t>estelar</w:t>
      </w:r>
      <w:r>
        <w:t xml:space="preserve"> o incluso más allá.</w:t>
      </w:r>
    </w:p>
    <w:p w14:paraId="74D373ED" w14:textId="3EB293AA" w:rsidR="00191F29" w:rsidRDefault="00191F29" w:rsidP="00191F29">
      <w:r>
        <w:t xml:space="preserve">128. </w:t>
      </w:r>
      <w:r>
        <w:tab/>
        <w:t xml:space="preserve">Así como los cisnes jóvenes que comienzan a usar sus alas por primera vez se elevan una pequeña distancia a la vez, y al aumentarlas gradualmente alcanzan eventualmente </w:t>
      </w:r>
      <w:proofErr w:type="gramStart"/>
      <w:r>
        <w:t xml:space="preserve">la </w:t>
      </w:r>
      <w:r w:rsidR="00E7563D">
        <w:t>alturas</w:t>
      </w:r>
      <w:proofErr w:type="gramEnd"/>
      <w:r>
        <w:t xml:space="preserve"> de la </w:t>
      </w:r>
      <w:r w:rsidR="00902286">
        <w:t xml:space="preserve">Luna </w:t>
      </w:r>
      <w:r>
        <w:t xml:space="preserve">y el </w:t>
      </w:r>
      <w:r w:rsidR="00902286">
        <w:t>Sol</w:t>
      </w:r>
      <w:r>
        <w:t xml:space="preserve">, así también cuando un </w:t>
      </w:r>
      <w:proofErr w:type="spellStart"/>
      <w:r w:rsidR="00057BF4" w:rsidRPr="00057BF4">
        <w:rPr>
          <w:i/>
          <w:iCs/>
        </w:rPr>
        <w:t>bhikkhu</w:t>
      </w:r>
      <w:proofErr w:type="spellEnd"/>
      <w:r>
        <w:t xml:space="preserve"> extiend</w:t>
      </w:r>
      <w:r w:rsidR="00902286">
        <w:t>a</w:t>
      </w:r>
      <w:r>
        <w:t xml:space="preserve"> el signo por delimitaciones sucesivas en la forma descrita, </w:t>
      </w:r>
      <w:r w:rsidR="00073C8B">
        <w:t>podrá</w:t>
      </w:r>
      <w:r>
        <w:t xml:space="preserve"> extenderlo hasta el límite de la esfera </w:t>
      </w:r>
      <w:r w:rsidR="00E7563D">
        <w:t xml:space="preserve">estelar </w:t>
      </w:r>
      <w:r>
        <w:t>o incluso más allá.</w:t>
      </w:r>
    </w:p>
    <w:p w14:paraId="6F1333FF" w14:textId="1A7550A8" w:rsidR="00191F29" w:rsidRDefault="00191F29" w:rsidP="00191F29">
      <w:r>
        <w:t xml:space="preserve">129. </w:t>
      </w:r>
      <w:r>
        <w:tab/>
        <w:t>Entonces ese signo aparece</w:t>
      </w:r>
      <w:r w:rsidR="00C87A70">
        <w:t>rá</w:t>
      </w:r>
      <w:r>
        <w:t xml:space="preserve"> </w:t>
      </w:r>
      <w:r w:rsidR="0096029D">
        <w:t>en</w:t>
      </w:r>
      <w:r>
        <w:t xml:space="preserve"> él como una piel de buey extendida con cien estacas</w:t>
      </w:r>
      <w:r w:rsidRPr="00061742">
        <w:rPr>
          <w:vertAlign w:val="superscript"/>
        </w:rPr>
        <w:t>39</w:t>
      </w:r>
      <w:r>
        <w:t xml:space="preserve"> sobre las crestas y hondonadas de la tierra, los barrancos de los ríos, las extensiones de maleza y espinas, y las desigualdades rocosas (ver M III 105) en cualquier área a la cual se ha</w:t>
      </w:r>
      <w:r w:rsidR="00193A07">
        <w:t>ya</w:t>
      </w:r>
      <w:r>
        <w:t xml:space="preserve"> extendido.</w:t>
      </w:r>
    </w:p>
    <w:p w14:paraId="0704473D" w14:textId="77777777" w:rsidR="00CB59F8" w:rsidRDefault="00CB59F8" w:rsidP="00191F29"/>
    <w:p w14:paraId="1C08658E" w14:textId="77777777" w:rsidR="00191F29" w:rsidRDefault="00191F29" w:rsidP="00191F29">
      <w:pPr>
        <w:pStyle w:val="PiedepginaLegal"/>
        <w:rPr>
          <w:u w:val="single"/>
        </w:rPr>
      </w:pPr>
      <w:r>
        <w:rPr>
          <w:u w:val="single"/>
        </w:rPr>
        <w:tab/>
      </w:r>
      <w:r>
        <w:rPr>
          <w:u w:val="single"/>
        </w:rPr>
        <w:tab/>
      </w:r>
      <w:r>
        <w:rPr>
          <w:u w:val="single"/>
        </w:rPr>
        <w:tab/>
      </w:r>
      <w:r>
        <w:rPr>
          <w:u w:val="single"/>
        </w:rPr>
        <w:tab/>
        <w:t>.</w:t>
      </w:r>
    </w:p>
    <w:p w14:paraId="05F03995" w14:textId="7D094E25" w:rsidR="00191F29" w:rsidRDefault="00191F29" w:rsidP="00191F29">
      <w:pPr>
        <w:pStyle w:val="PiedepginaLegal"/>
      </w:pPr>
      <w:r>
        <w:t xml:space="preserve">38. </w:t>
      </w:r>
      <w:r>
        <w:tab/>
        <w:t xml:space="preserve">Para </w:t>
      </w:r>
      <w:proofErr w:type="spellStart"/>
      <w:r w:rsidRPr="000B681F">
        <w:rPr>
          <w:i/>
          <w:iCs/>
        </w:rPr>
        <w:t>pamukha</w:t>
      </w:r>
      <w:proofErr w:type="spellEnd"/>
      <w:r>
        <w:t xml:space="preserve">— “veranda” véase n. 2 arriba. </w:t>
      </w:r>
      <w:proofErr w:type="spellStart"/>
      <w:r w:rsidRPr="000B681F">
        <w:rPr>
          <w:i/>
          <w:iCs/>
        </w:rPr>
        <w:t>Pariveṇa</w:t>
      </w:r>
      <w:proofErr w:type="spellEnd"/>
      <w:r>
        <w:t xml:space="preserve">— “espacio circundante”: este significado, no </w:t>
      </w:r>
      <w:r w:rsidR="00331C44">
        <w:t>se encuentra</w:t>
      </w:r>
      <w:r>
        <w:t xml:space="preserve"> en </w:t>
      </w:r>
      <w:r w:rsidR="00331C44">
        <w:t xml:space="preserve">el </w:t>
      </w:r>
      <w:r>
        <w:t>PED, se destaca claramente en XI.7.</w:t>
      </w:r>
    </w:p>
    <w:p w14:paraId="579785CD" w14:textId="486D0826" w:rsidR="00191F29" w:rsidRDefault="00191F29" w:rsidP="00191F29">
      <w:pPr>
        <w:pStyle w:val="PiedepginaLegal"/>
      </w:pPr>
      <w:r>
        <w:t xml:space="preserve">39. </w:t>
      </w:r>
      <w:r>
        <w:tab/>
      </w:r>
      <w:proofErr w:type="spellStart"/>
      <w:r w:rsidRPr="000B681F">
        <w:rPr>
          <w:i/>
          <w:iCs/>
        </w:rPr>
        <w:t>Samabbhāhata</w:t>
      </w:r>
      <w:proofErr w:type="spellEnd"/>
      <w:r>
        <w:t>— “plano</w:t>
      </w:r>
      <w:r w:rsidR="00DA72E1">
        <w:t xml:space="preserve"> estirado</w:t>
      </w:r>
      <w:r>
        <w:t xml:space="preserve">”: no </w:t>
      </w:r>
      <w:r w:rsidR="00331C44">
        <w:t xml:space="preserve">se encuentra </w:t>
      </w:r>
      <w:r>
        <w:t xml:space="preserve">en este sentido en </w:t>
      </w:r>
      <w:r w:rsidR="00331C44">
        <w:t xml:space="preserve">el </w:t>
      </w:r>
      <w:r>
        <w:t xml:space="preserve">PED. Esta palabra reemplaza la palabra </w:t>
      </w:r>
      <w:proofErr w:type="spellStart"/>
      <w:r w:rsidRPr="00A96A91">
        <w:rPr>
          <w:i/>
          <w:iCs/>
        </w:rPr>
        <w:t>suvihata</w:t>
      </w:r>
      <w:proofErr w:type="spellEnd"/>
      <w:r>
        <w:t xml:space="preserve"> utilizada en M III 105 de donde se toma prestada esta cláusula. En XI.92, la misma palabra (aparentemente en otro sentido) se glosa con </w:t>
      </w:r>
      <w:proofErr w:type="spellStart"/>
      <w:r w:rsidRPr="000B681F">
        <w:rPr>
          <w:i/>
          <w:iCs/>
        </w:rPr>
        <w:t>pellana</w:t>
      </w:r>
      <w:proofErr w:type="spellEnd"/>
      <w:r>
        <w:t xml:space="preserve"> = "empujar" (no en </w:t>
      </w:r>
      <w:r w:rsidR="00CB59F8">
        <w:t xml:space="preserve">el </w:t>
      </w:r>
      <w:r>
        <w:t xml:space="preserve">PED) en </w:t>
      </w:r>
      <w:proofErr w:type="spellStart"/>
      <w:r>
        <w:t>Vism-mhṭ</w:t>
      </w:r>
      <w:proofErr w:type="spellEnd"/>
      <w:r>
        <w:t xml:space="preserve"> 362. M-a IV 153 glosa </w:t>
      </w:r>
      <w:proofErr w:type="spellStart"/>
      <w:r w:rsidRPr="000B681F">
        <w:rPr>
          <w:i/>
          <w:iCs/>
        </w:rPr>
        <w:t>suvihata</w:t>
      </w:r>
      <w:proofErr w:type="spellEnd"/>
      <w:r>
        <w:t xml:space="preserve"> con "</w:t>
      </w:r>
      <w:proofErr w:type="spellStart"/>
      <w:r w:rsidRPr="000B681F">
        <w:rPr>
          <w:i/>
          <w:iCs/>
        </w:rPr>
        <w:t>pasāretvā</w:t>
      </w:r>
      <w:proofErr w:type="spellEnd"/>
      <w:r w:rsidRPr="000B681F">
        <w:rPr>
          <w:i/>
          <w:iCs/>
        </w:rPr>
        <w:t xml:space="preserve"> </w:t>
      </w:r>
      <w:proofErr w:type="spellStart"/>
      <w:r w:rsidRPr="000B681F">
        <w:rPr>
          <w:i/>
          <w:iCs/>
        </w:rPr>
        <w:t>suṭṭhu</w:t>
      </w:r>
      <w:proofErr w:type="spellEnd"/>
      <w:r w:rsidRPr="000B681F">
        <w:rPr>
          <w:i/>
          <w:iCs/>
        </w:rPr>
        <w:t xml:space="preserve"> </w:t>
      </w:r>
      <w:proofErr w:type="spellStart"/>
      <w:r w:rsidRPr="000B681F">
        <w:rPr>
          <w:i/>
          <w:iCs/>
        </w:rPr>
        <w:t>vihata</w:t>
      </w:r>
      <w:proofErr w:type="spellEnd"/>
      <w:r>
        <w:t xml:space="preserve">" que sugiere "estirado" en lugar de que </w:t>
      </w:r>
      <w:r w:rsidR="00331C44">
        <w:t xml:space="preserve">sea </w:t>
      </w:r>
      <w:r>
        <w:t xml:space="preserve">“golpeado”; </w:t>
      </w:r>
      <w:proofErr w:type="spellStart"/>
      <w:r w:rsidRPr="000B681F">
        <w:rPr>
          <w:i/>
          <w:iCs/>
        </w:rPr>
        <w:t>harati</w:t>
      </w:r>
      <w:proofErr w:type="spellEnd"/>
      <w:r>
        <w:t xml:space="preserve"> en lugar de </w:t>
      </w:r>
      <w:proofErr w:type="spellStart"/>
      <w:r w:rsidRPr="000B681F">
        <w:rPr>
          <w:i/>
          <w:iCs/>
        </w:rPr>
        <w:t>hanati</w:t>
      </w:r>
      <w:proofErr w:type="spellEnd"/>
      <w:r>
        <w:t>.</w:t>
      </w:r>
    </w:p>
    <w:p w14:paraId="319891D7" w14:textId="77777777" w:rsidR="00191F29" w:rsidRDefault="00191F29">
      <w:pPr>
        <w:tabs>
          <w:tab w:val="clear" w:pos="425"/>
        </w:tabs>
        <w:spacing w:after="160"/>
      </w:pPr>
      <w:r>
        <w:br w:type="page"/>
      </w:r>
    </w:p>
    <w:p w14:paraId="1485CF36" w14:textId="77777777" w:rsidR="00A67F5B" w:rsidRDefault="00A67F5B" w:rsidP="00A67F5B"/>
    <w:p w14:paraId="63B34FF1" w14:textId="77777777" w:rsidR="00A67F5B" w:rsidRDefault="00A67F5B" w:rsidP="00A67F5B"/>
    <w:p w14:paraId="3E2327D6" w14:textId="52699EDA" w:rsidR="00A67F5B" w:rsidRDefault="00A67F5B" w:rsidP="00A67F5B">
      <w:r>
        <w:t>Cuando un principiante ha</w:t>
      </w:r>
      <w:r w:rsidR="009E1E7E">
        <w:t>ya</w:t>
      </w:r>
      <w:r>
        <w:t xml:space="preserve"> alcanzado el primer </w:t>
      </w:r>
      <w:proofErr w:type="spellStart"/>
      <w:r w:rsidR="00057BF4" w:rsidRPr="00057BF4">
        <w:rPr>
          <w:i/>
          <w:iCs/>
        </w:rPr>
        <w:t>jhāna</w:t>
      </w:r>
      <w:proofErr w:type="spellEnd"/>
      <w:r>
        <w:t xml:space="preserve"> en este signo, debe</w:t>
      </w:r>
      <w:r w:rsidR="009E1E7E">
        <w:t xml:space="preserve">rá </w:t>
      </w:r>
      <w:r>
        <w:t>entrar en él a menudo sin repasarlo mucho. Porque los primeros factores de</w:t>
      </w:r>
      <w:r w:rsidR="009E1E7E">
        <w:t>l</w:t>
      </w:r>
      <w:r>
        <w:t xml:space="preserve"> </w:t>
      </w:r>
      <w:proofErr w:type="spellStart"/>
      <w:r w:rsidR="00057BF4" w:rsidRPr="00057BF4">
        <w:rPr>
          <w:i/>
          <w:iCs/>
        </w:rPr>
        <w:t>jhāna</w:t>
      </w:r>
      <w:proofErr w:type="spellEnd"/>
      <w:r>
        <w:t xml:space="preserve"> ocurr</w:t>
      </w:r>
      <w:r w:rsidR="009E1E7E">
        <w:t>irá</w:t>
      </w:r>
      <w:r>
        <w:t>n cruda y débilmente en quien los revis</w:t>
      </w:r>
      <w:r w:rsidR="003C1BC4">
        <w:t>e</w:t>
      </w:r>
      <w:r>
        <w:t xml:space="preserve"> mucho. Entonces, debido a e</w:t>
      </w:r>
      <w:r w:rsidR="003C1BC4">
        <w:t>llo</w:t>
      </w:r>
      <w:r>
        <w:t>, no se convert</w:t>
      </w:r>
      <w:r w:rsidR="003C1BC4">
        <w:t>irá</w:t>
      </w:r>
      <w:r>
        <w:t>n en condiciones para un esfuerzo superior. Mientras se esfuer</w:t>
      </w:r>
      <w:r w:rsidR="003C1BC4">
        <w:t>ce</w:t>
      </w:r>
      <w:r>
        <w:t xml:space="preserve"> por alcanzar </w:t>
      </w:r>
      <w:r w:rsidR="00135A03">
        <w:t>un</w:t>
      </w:r>
      <w:r>
        <w:t xml:space="preserve"> </w:t>
      </w:r>
      <w:proofErr w:type="spellStart"/>
      <w:r w:rsidR="00057BF4" w:rsidRPr="00057BF4">
        <w:rPr>
          <w:i/>
          <w:iCs/>
        </w:rPr>
        <w:t>jhāna</w:t>
      </w:r>
      <w:proofErr w:type="spellEnd"/>
      <w:r>
        <w:t xml:space="preserve"> superior que no le </w:t>
      </w:r>
      <w:r w:rsidR="003C1BC4">
        <w:t>sea</w:t>
      </w:r>
      <w:r>
        <w:t xml:space="preserve"> familiar, se aparta</w:t>
      </w:r>
      <w:r w:rsidR="003C1BC4">
        <w:t xml:space="preserve">rá </w:t>
      </w:r>
      <w:r>
        <w:t xml:space="preserve">del primer </w:t>
      </w:r>
      <w:proofErr w:type="spellStart"/>
      <w:r w:rsidR="00057BF4" w:rsidRPr="00057BF4">
        <w:rPr>
          <w:i/>
          <w:iCs/>
        </w:rPr>
        <w:t>jhāna</w:t>
      </w:r>
      <w:proofErr w:type="spellEnd"/>
      <w:r>
        <w:t xml:space="preserve"> y no logra</w:t>
      </w:r>
      <w:r w:rsidR="003C1BC4">
        <w:t xml:space="preserve">rá </w:t>
      </w:r>
      <w:r>
        <w:t>alcanzar el segundo.</w:t>
      </w:r>
    </w:p>
    <w:p w14:paraId="65BC0CEA" w14:textId="53CFBB9E" w:rsidR="00A67F5B" w:rsidRDefault="00A67F5B" w:rsidP="00A67F5B">
      <w:r>
        <w:t xml:space="preserve">130. </w:t>
      </w:r>
      <w:r>
        <w:tab/>
        <w:t xml:space="preserve">Por lo tanto, el </w:t>
      </w:r>
      <w:r w:rsidR="00086FFF" w:rsidRPr="00086FFF">
        <w:rPr>
          <w:i/>
          <w:iCs/>
        </w:rPr>
        <w:t>Bhagavā</w:t>
      </w:r>
      <w:r>
        <w:t xml:space="preserve"> dijo: “</w:t>
      </w:r>
      <w:proofErr w:type="spellStart"/>
      <w:r w:rsidR="00057BF4" w:rsidRPr="00057BF4">
        <w:rPr>
          <w:i/>
          <w:iCs/>
        </w:rPr>
        <w:t>Bhikkhu</w:t>
      </w:r>
      <w:r w:rsidRPr="000B681F">
        <w:rPr>
          <w:i/>
          <w:iCs/>
        </w:rPr>
        <w:t>s</w:t>
      </w:r>
      <w:proofErr w:type="spellEnd"/>
      <w:r>
        <w:t>, supongan que hubie</w:t>
      </w:r>
      <w:r w:rsidR="00086FFF">
        <w:t>se</w:t>
      </w:r>
      <w:r>
        <w:t xml:space="preserve"> una tonta y estúpida vaca montañesa, sin conocimiento de los campos ni habilidad para caminar sobre montañas escarpadas, que pensara: '¿Qué pasa</w:t>
      </w:r>
      <w:r w:rsidR="00086FFF">
        <w:t>ra</w:t>
      </w:r>
      <w:r>
        <w:t xml:space="preserve"> si camin</w:t>
      </w:r>
      <w:r w:rsidR="00086FFF">
        <w:t>ase</w:t>
      </w:r>
      <w:r>
        <w:t xml:space="preserve"> en una dirección en la que nunca antes </w:t>
      </w:r>
      <w:r w:rsidR="00086FFF">
        <w:t>hubiese</w:t>
      </w:r>
      <w:r>
        <w:t xml:space="preserve"> caminado</w:t>
      </w:r>
      <w:r w:rsidR="00086FFF">
        <w:t>,</w:t>
      </w:r>
      <w:r>
        <w:t xml:space="preserve"> comi</w:t>
      </w:r>
      <w:r w:rsidR="00086FFF">
        <w:t>ese</w:t>
      </w:r>
      <w:r>
        <w:t xml:space="preserve"> hierba </w:t>
      </w:r>
      <w:r w:rsidR="003738FC">
        <w:t>donde</w:t>
      </w:r>
      <w:r>
        <w:t xml:space="preserve"> nunca antes </w:t>
      </w:r>
      <w:r w:rsidR="003738FC">
        <w:t xml:space="preserve">hubiese </w:t>
      </w:r>
      <w:r>
        <w:t>comido, bebi</w:t>
      </w:r>
      <w:r w:rsidR="003738FC">
        <w:t>ese</w:t>
      </w:r>
      <w:r>
        <w:t xml:space="preserve"> agua </w:t>
      </w:r>
      <w:r w:rsidR="003738FC">
        <w:t xml:space="preserve">donde </w:t>
      </w:r>
      <w:r>
        <w:t>nunca antes h</w:t>
      </w:r>
      <w:r w:rsidR="003738FC">
        <w:t>ubiese</w:t>
      </w:r>
      <w:r>
        <w:t xml:space="preserve"> bebido?', y sin colocar la pata delantera correctamente, levant</w:t>
      </w:r>
      <w:r w:rsidR="003738FC">
        <w:t>ase</w:t>
      </w:r>
      <w:r>
        <w:t xml:space="preserve"> la pata trasera; entonces ella no caminaría en la dirección en la que nunca antes </w:t>
      </w:r>
      <w:r w:rsidR="003738FC">
        <w:t>hubiese</w:t>
      </w:r>
      <w:r>
        <w:t xml:space="preserve"> caminado ni comería la hierba </w:t>
      </w:r>
      <w:r w:rsidR="003738FC">
        <w:t xml:space="preserve">donde </w:t>
      </w:r>
      <w:r>
        <w:t xml:space="preserve">nunca antes </w:t>
      </w:r>
      <w:r w:rsidR="003738FC">
        <w:t xml:space="preserve">hubiese </w:t>
      </w:r>
      <w:r>
        <w:t xml:space="preserve">comido ni bebería el agua </w:t>
      </w:r>
      <w:r w:rsidR="003738FC">
        <w:t xml:space="preserve">donde </w:t>
      </w:r>
      <w:r>
        <w:t xml:space="preserve">nunca antes </w:t>
      </w:r>
      <w:r w:rsidR="003738FC">
        <w:t xml:space="preserve">hubiese </w:t>
      </w:r>
      <w:r>
        <w:t xml:space="preserve">bebido, y tampoco regresaría a salvo al lugar donde </w:t>
      </w:r>
      <w:r w:rsidR="00783972">
        <w:t xml:space="preserve">habría </w:t>
      </w:r>
      <w:r>
        <w:t>pensado: '¿Qué pasa</w:t>
      </w:r>
      <w:r w:rsidR="00783972">
        <w:t>ría</w:t>
      </w:r>
      <w:r>
        <w:t xml:space="preserve"> si yo camin</w:t>
      </w:r>
      <w:r w:rsidR="00783972">
        <w:t>ase</w:t>
      </w:r>
      <w:r>
        <w:t xml:space="preserve"> en una dirección en la que nunca antes </w:t>
      </w:r>
      <w:r w:rsidR="00783972">
        <w:t xml:space="preserve">hubiese </w:t>
      </w:r>
      <w:r>
        <w:t>caminado... beb</w:t>
      </w:r>
      <w:r w:rsidR="00783972">
        <w:t xml:space="preserve">ido </w:t>
      </w:r>
      <w:r>
        <w:t xml:space="preserve">agua </w:t>
      </w:r>
      <w:r w:rsidR="00783972">
        <w:t xml:space="preserve">donde </w:t>
      </w:r>
      <w:r>
        <w:t xml:space="preserve">nunca antes </w:t>
      </w:r>
      <w:r w:rsidR="00737BF3">
        <w:t xml:space="preserve">hubiese </w:t>
      </w:r>
      <w:r>
        <w:t>bebido?'¿Por qué es eso? Porque esa vaca montañ</w:t>
      </w:r>
      <w:r w:rsidR="00737BF3">
        <w:t>esa</w:t>
      </w:r>
      <w:r>
        <w:t xml:space="preserve"> era tonta y estúpida sin conocimiento de los campos y sin habilidad para caminar sobre montañas escarpadas. Así también, </w:t>
      </w:r>
      <w:proofErr w:type="spellStart"/>
      <w:r w:rsidR="00057BF4" w:rsidRPr="00057BF4">
        <w:rPr>
          <w:i/>
          <w:iCs/>
        </w:rPr>
        <w:t>bhikkhu</w:t>
      </w:r>
      <w:r w:rsidRPr="000B681F">
        <w:rPr>
          <w:i/>
          <w:iCs/>
        </w:rPr>
        <w:t>s</w:t>
      </w:r>
      <w:proofErr w:type="spellEnd"/>
      <w:r>
        <w:t xml:space="preserve">, aquí </w:t>
      </w:r>
      <w:r w:rsidR="00737BF3">
        <w:t>puede haber</w:t>
      </w:r>
      <w:r>
        <w:t xml:space="preserve"> cierto </w:t>
      </w:r>
      <w:proofErr w:type="spellStart"/>
      <w:r w:rsidR="00057BF4" w:rsidRPr="00057BF4">
        <w:rPr>
          <w:i/>
          <w:iCs/>
        </w:rPr>
        <w:t>bhikkhu</w:t>
      </w:r>
      <w:proofErr w:type="spellEnd"/>
      <w:r>
        <w:t xml:space="preserve"> tonto y estúpido sin conocimiento de los campos ni habilidad, </w:t>
      </w:r>
      <w:r w:rsidR="00737BF3">
        <w:t xml:space="preserve">ni </w:t>
      </w:r>
      <w:r>
        <w:t xml:space="preserve">bastante apartado de los </w:t>
      </w:r>
      <w:r w:rsidR="007831DD">
        <w:t>deseos sensoriales</w:t>
      </w:r>
      <w:r>
        <w:t xml:space="preserve">, </w:t>
      </w:r>
      <w:r w:rsidR="00737BF3">
        <w:t xml:space="preserve">ni </w:t>
      </w:r>
      <w:r>
        <w:t xml:space="preserve">apartado de las cosas </w:t>
      </w:r>
      <w:r w:rsidR="00737BF3">
        <w:t>improductivas</w:t>
      </w:r>
      <w:r>
        <w:t xml:space="preserve">, </w:t>
      </w:r>
      <w:r w:rsidR="00C66FFC">
        <w:t xml:space="preserve">que </w:t>
      </w:r>
      <w:r>
        <w:t xml:space="preserve">al entrar y </w:t>
      </w:r>
      <w:r w:rsidR="00E83FDC">
        <w:t xml:space="preserve">habitar </w:t>
      </w:r>
      <w:r>
        <w:t xml:space="preserve">en el primer </w:t>
      </w:r>
      <w:proofErr w:type="spellStart"/>
      <w:r w:rsidR="00057BF4" w:rsidRPr="00057BF4">
        <w:rPr>
          <w:i/>
          <w:iCs/>
        </w:rPr>
        <w:t>jhāna</w:t>
      </w:r>
      <w:proofErr w:type="spellEnd"/>
      <w:r>
        <w:t xml:space="preserve">, que está acompañado por </w:t>
      </w:r>
      <w:r w:rsidR="00C66FFC">
        <w:t>la aplicación y sustentación mental</w:t>
      </w:r>
      <w:r w:rsidR="00E83FDC">
        <w:t>,</w:t>
      </w:r>
      <w:r>
        <w:t xml:space="preserve"> </w:t>
      </w:r>
      <w:r w:rsidR="00C66FFC">
        <w:t xml:space="preserve">con </w:t>
      </w:r>
      <w:r>
        <w:t xml:space="preserve">felicidad y dicha </w:t>
      </w:r>
      <w:r w:rsidR="00C66FFC">
        <w:t xml:space="preserve">surgidas </w:t>
      </w:r>
      <w:r>
        <w:t>de la reclusión; él no rep</w:t>
      </w:r>
      <w:r w:rsidR="00E83FDC">
        <w:t>e</w:t>
      </w:r>
      <w:r>
        <w:t>t</w:t>
      </w:r>
      <w:r w:rsidR="00E83FDC">
        <w:t>irá</w:t>
      </w:r>
      <w:r>
        <w:t>, desarrolla</w:t>
      </w:r>
      <w:r w:rsidR="00E83FDC">
        <w:t>rá</w:t>
      </w:r>
      <w:r>
        <w:t xml:space="preserve"> o cultiva</w:t>
      </w:r>
      <w:r w:rsidR="00E83FDC">
        <w:t>rá</w:t>
      </w:r>
      <w:r>
        <w:t xml:space="preserve"> ese signo </w:t>
      </w:r>
      <w:r w:rsidR="00E83FDC">
        <w:t>ni</w:t>
      </w:r>
      <w:r>
        <w:t xml:space="preserve"> lo establece</w:t>
      </w:r>
      <w:r w:rsidR="00E83FDC">
        <w:t>rá</w:t>
      </w:r>
      <w:r>
        <w:t xml:space="preserve"> adecuadamente. Él pensa</w:t>
      </w:r>
      <w:r w:rsidR="00E83FDC">
        <w:t>rá</w:t>
      </w:r>
      <w:r>
        <w:t>: '¿Qué pasa</w:t>
      </w:r>
      <w:r w:rsidR="00E83FDC">
        <w:t>ría</w:t>
      </w:r>
      <w:r>
        <w:t xml:space="preserve"> si con el apaciguamiento de</w:t>
      </w:r>
      <w:r w:rsidR="00DD6ADF">
        <w:t xml:space="preserve"> la </w:t>
      </w:r>
      <w:r w:rsidR="00704175">
        <w:t>a</w:t>
      </w:r>
      <w:r w:rsidR="00DD6ADF">
        <w:t xml:space="preserve">plicación </w:t>
      </w:r>
      <w:r w:rsidR="00704175">
        <w:t xml:space="preserve">y sustentación mental </w:t>
      </w:r>
      <w:r>
        <w:t>entr</w:t>
      </w:r>
      <w:r w:rsidR="002A1FB4">
        <w:t>ase</w:t>
      </w:r>
      <w:r>
        <w:t xml:space="preserve"> y </w:t>
      </w:r>
      <w:r w:rsidR="002A1FB4">
        <w:t xml:space="preserve">habitase </w:t>
      </w:r>
      <w:r>
        <w:t xml:space="preserve">en el segundo </w:t>
      </w:r>
      <w:proofErr w:type="spellStart"/>
      <w:r w:rsidR="00057BF4" w:rsidRPr="00057BF4">
        <w:rPr>
          <w:i/>
          <w:iCs/>
        </w:rPr>
        <w:t>jhāna</w:t>
      </w:r>
      <w:proofErr w:type="spellEnd"/>
      <w:r>
        <w:t xml:space="preserve">, que es... con felicidad y dicha </w:t>
      </w:r>
      <w:r w:rsidR="00704175">
        <w:t xml:space="preserve">surgidas </w:t>
      </w:r>
      <w:r>
        <w:t xml:space="preserve">de la concentración?'[154] </w:t>
      </w:r>
      <w:r w:rsidR="00704175">
        <w:t>Él s</w:t>
      </w:r>
      <w:r w:rsidR="002A1FB4">
        <w:t xml:space="preserve">erá </w:t>
      </w:r>
      <w:r>
        <w:t xml:space="preserve">incapaz de apaciguar </w:t>
      </w:r>
      <w:r w:rsidR="00C71F10">
        <w:t>la aplicación mental</w:t>
      </w:r>
      <w:r>
        <w:t xml:space="preserve"> y sostenido. entrar y </w:t>
      </w:r>
      <w:r w:rsidR="002A1FB4">
        <w:t xml:space="preserve">habitar </w:t>
      </w:r>
      <w:r>
        <w:t xml:space="preserve">en el segundo </w:t>
      </w:r>
      <w:proofErr w:type="spellStart"/>
      <w:r w:rsidR="00057BF4" w:rsidRPr="00057BF4">
        <w:rPr>
          <w:i/>
          <w:iCs/>
        </w:rPr>
        <w:t>jhāna</w:t>
      </w:r>
      <w:proofErr w:type="spellEnd"/>
      <w:r>
        <w:t xml:space="preserve">, que es... con felicidad y dicha </w:t>
      </w:r>
      <w:r w:rsidR="00316E5C">
        <w:t xml:space="preserve">surgidas </w:t>
      </w:r>
      <w:r>
        <w:t>de la concentración. Luego pensa</w:t>
      </w:r>
      <w:r w:rsidR="002A1FB4">
        <w:t>rá</w:t>
      </w:r>
      <w:r>
        <w:t>: "¿Qué pasa</w:t>
      </w:r>
      <w:r w:rsidR="002A1FB4">
        <w:t>ría</w:t>
      </w:r>
      <w:r>
        <w:t xml:space="preserve"> si, completamente apartado de los </w:t>
      </w:r>
      <w:r w:rsidR="007831DD">
        <w:t>deseos sensoriales</w:t>
      </w:r>
      <w:r>
        <w:t>, apartado de las cosas inútiles, entr</w:t>
      </w:r>
      <w:r w:rsidR="002A1FB4">
        <w:t>ase</w:t>
      </w:r>
      <w:r>
        <w:t xml:space="preserve"> y </w:t>
      </w:r>
      <w:r w:rsidR="002A1FB4">
        <w:t>habitase</w:t>
      </w:r>
      <w:r>
        <w:t xml:space="preserve"> en el primer </w:t>
      </w:r>
      <w:proofErr w:type="spellStart"/>
      <w:r w:rsidR="00057BF4" w:rsidRPr="00057BF4">
        <w:rPr>
          <w:i/>
          <w:iCs/>
        </w:rPr>
        <w:t>jhāna</w:t>
      </w:r>
      <w:proofErr w:type="spellEnd"/>
      <w:r>
        <w:t xml:space="preserve">, que es... con felicidad y dicha </w:t>
      </w:r>
      <w:r w:rsidR="00316E5C">
        <w:t xml:space="preserve">surgidas </w:t>
      </w:r>
      <w:r>
        <w:t xml:space="preserve">de la reclusión?", apartado de las cosas inútiles, para entrar y </w:t>
      </w:r>
      <w:r w:rsidR="002A1FB4">
        <w:t xml:space="preserve">habitar </w:t>
      </w:r>
      <w:r>
        <w:t xml:space="preserve">en el primer </w:t>
      </w:r>
      <w:proofErr w:type="spellStart"/>
      <w:r w:rsidR="00057BF4" w:rsidRPr="00057BF4">
        <w:rPr>
          <w:i/>
          <w:iCs/>
        </w:rPr>
        <w:t>jhāna</w:t>
      </w:r>
      <w:proofErr w:type="spellEnd"/>
      <w:r>
        <w:t xml:space="preserve"> que es... con felicidad y dicha </w:t>
      </w:r>
      <w:r w:rsidR="00316E5C">
        <w:t xml:space="preserve">surgidas </w:t>
      </w:r>
      <w:r>
        <w:t xml:space="preserve">de la reclusión. Este </w:t>
      </w:r>
      <w:proofErr w:type="spellStart"/>
      <w:r w:rsidR="00057BF4" w:rsidRPr="00057BF4">
        <w:rPr>
          <w:i/>
          <w:iCs/>
        </w:rPr>
        <w:t>bhikkhu</w:t>
      </w:r>
      <w:proofErr w:type="spellEnd"/>
      <w:r>
        <w:t xml:space="preserve"> se </w:t>
      </w:r>
      <w:r w:rsidR="003E3356">
        <w:t>convertiría en</w:t>
      </w:r>
      <w:r>
        <w:t xml:space="preserve"> </w:t>
      </w:r>
      <w:r w:rsidR="00316E5C">
        <w:t>alguien</w:t>
      </w:r>
      <w:r>
        <w:t xml:space="preserve"> que </w:t>
      </w:r>
      <w:r w:rsidR="00566359">
        <w:t xml:space="preserve">habría resbalado </w:t>
      </w:r>
      <w:r>
        <w:t>entre los dos</w:t>
      </w:r>
      <w:r w:rsidR="00566359">
        <w:t xml:space="preserve"> casos</w:t>
      </w:r>
      <w:r>
        <w:t>, que ha</w:t>
      </w:r>
      <w:r w:rsidR="003E3356">
        <w:t>brá</w:t>
      </w:r>
      <w:r>
        <w:t xml:space="preserve"> caído entre l</w:t>
      </w:r>
      <w:r w:rsidR="00566359">
        <w:t>a</w:t>
      </w:r>
      <w:r>
        <w:t>s dos</w:t>
      </w:r>
      <w:r w:rsidR="00566359">
        <w:t xml:space="preserve"> situaciones</w:t>
      </w:r>
      <w:r>
        <w:t xml:space="preserve">, como la tonta y estúpida vaca montañesa sin conocimiento de los campos y sin habilidad para caminar sobre </w:t>
      </w:r>
      <w:r w:rsidR="003E3356">
        <w:t xml:space="preserve">las </w:t>
      </w:r>
      <w:r>
        <w:t>montañas escarpadas…” (A IV 418-19).</w:t>
      </w:r>
    </w:p>
    <w:p w14:paraId="7A48547B" w14:textId="48B3B76A" w:rsidR="00A67F5B" w:rsidRDefault="00A67F5B" w:rsidP="00A67F5B">
      <w:r>
        <w:t xml:space="preserve">131. </w:t>
      </w:r>
      <w:r>
        <w:tab/>
        <w:t xml:space="preserve">Por lo tanto, </w:t>
      </w:r>
      <w:r w:rsidR="00D75414">
        <w:t xml:space="preserve">él </w:t>
      </w:r>
      <w:r>
        <w:t>debe</w:t>
      </w:r>
      <w:r w:rsidR="00D75414">
        <w:t>rá</w:t>
      </w:r>
      <w:r>
        <w:t xml:space="preserve"> adquirir maestría en las cinco vías, primero que nada</w:t>
      </w:r>
      <w:r w:rsidR="00525E20">
        <w:t>,</w:t>
      </w:r>
      <w:r>
        <w:t xml:space="preserve"> con respecto al primer </w:t>
      </w:r>
      <w:proofErr w:type="spellStart"/>
      <w:r w:rsidR="00057BF4" w:rsidRPr="00057BF4">
        <w:rPr>
          <w:i/>
          <w:iCs/>
        </w:rPr>
        <w:t>jhāna</w:t>
      </w:r>
      <w:proofErr w:type="spellEnd"/>
      <w:r>
        <w:t xml:space="preserve">. Aquí, estos son los cinco tipos de maestría: maestría en </w:t>
      </w:r>
      <w:r w:rsidR="00945906">
        <w:t>la advertencia</w:t>
      </w:r>
      <w:r>
        <w:t xml:space="preserve">, maestría en </w:t>
      </w:r>
      <w:r w:rsidR="00945906">
        <w:t>la consumación</w:t>
      </w:r>
      <w:r>
        <w:t xml:space="preserve">, maestría en </w:t>
      </w:r>
      <w:r w:rsidR="00945906">
        <w:t xml:space="preserve">la determinación </w:t>
      </w:r>
      <w:r>
        <w:t>(</w:t>
      </w:r>
      <w:r w:rsidR="00945906">
        <w:t xml:space="preserve">de </w:t>
      </w:r>
      <w:r>
        <w:t xml:space="preserve">estabilizar la duración), maestría </w:t>
      </w:r>
      <w:r w:rsidR="00873C12">
        <w:t>para</w:t>
      </w:r>
      <w:r>
        <w:t xml:space="preserve"> emerger y maestría en </w:t>
      </w:r>
      <w:r w:rsidR="00527A42">
        <w:t>la revisión</w:t>
      </w:r>
      <w:r>
        <w:t>. “Él advert</w:t>
      </w:r>
      <w:r w:rsidR="00202451">
        <w:t>irá</w:t>
      </w:r>
      <w:r>
        <w:t xml:space="preserve"> </w:t>
      </w:r>
      <w:r w:rsidR="00202451">
        <w:t>e</w:t>
      </w:r>
      <w:r>
        <w:t xml:space="preserve">l primer </w:t>
      </w:r>
      <w:proofErr w:type="spellStart"/>
      <w:r w:rsidR="00057BF4" w:rsidRPr="00057BF4">
        <w:rPr>
          <w:i/>
          <w:iCs/>
        </w:rPr>
        <w:t>jhāna</w:t>
      </w:r>
      <w:proofErr w:type="spellEnd"/>
      <w:r>
        <w:t xml:space="preserve"> dónde, cuándo y durante el tiempo que desee; no ten</w:t>
      </w:r>
      <w:r w:rsidR="00202451">
        <w:t>drá</w:t>
      </w:r>
      <w:r>
        <w:t xml:space="preserve"> dificultad en </w:t>
      </w:r>
      <w:r w:rsidR="00A310B5">
        <w:t>advertirla</w:t>
      </w:r>
      <w:r>
        <w:t xml:space="preserve">; por lo tanto, </w:t>
      </w:r>
      <w:r w:rsidR="00A310B5">
        <w:t xml:space="preserve">desarrollará </w:t>
      </w:r>
      <w:r>
        <w:t xml:space="preserve">maestría en </w:t>
      </w:r>
      <w:r w:rsidR="00A310B5">
        <w:t>advertirla</w:t>
      </w:r>
      <w:r>
        <w:t>. Alcanza</w:t>
      </w:r>
      <w:r w:rsidR="00A310B5">
        <w:t>rá</w:t>
      </w:r>
      <w:r>
        <w:t xml:space="preserve"> el primer </w:t>
      </w:r>
      <w:proofErr w:type="spellStart"/>
      <w:r w:rsidR="00057BF4" w:rsidRPr="00057BF4">
        <w:rPr>
          <w:i/>
          <w:iCs/>
        </w:rPr>
        <w:t>jhāna</w:t>
      </w:r>
      <w:proofErr w:type="spellEnd"/>
      <w:r>
        <w:t xml:space="preserve"> donde... no ten</w:t>
      </w:r>
      <w:r w:rsidR="001804E3">
        <w:t>drá</w:t>
      </w:r>
      <w:r>
        <w:t xml:space="preserve"> dificultad en </w:t>
      </w:r>
      <w:r w:rsidR="001804E3">
        <w:t>consumarla</w:t>
      </w:r>
      <w:r>
        <w:t xml:space="preserve">; por lo tanto, </w:t>
      </w:r>
      <w:r w:rsidR="00A310B5">
        <w:t>desarrollará</w:t>
      </w:r>
      <w:r>
        <w:t xml:space="preserve"> maestría en </w:t>
      </w:r>
      <w:r w:rsidR="00A310B5">
        <w:t>tal consumación</w:t>
      </w:r>
      <w:r>
        <w:t>” (</w:t>
      </w:r>
      <w:proofErr w:type="spellStart"/>
      <w:r w:rsidRPr="000B681F">
        <w:rPr>
          <w:i/>
          <w:iCs/>
        </w:rPr>
        <w:t>Paṭis</w:t>
      </w:r>
      <w:proofErr w:type="spellEnd"/>
      <w:r>
        <w:t xml:space="preserve"> I 100), y todo lo demás debe citarse en detalle (XXIII.27).</w:t>
      </w:r>
    </w:p>
    <w:p w14:paraId="5BB9C3D8" w14:textId="38226FD5" w:rsidR="00A67F5B" w:rsidRDefault="00A67F5B" w:rsidP="00A67F5B">
      <w:r>
        <w:t xml:space="preserve">132. </w:t>
      </w:r>
      <w:r>
        <w:tab/>
        <w:t xml:space="preserve">La explicación del significado aquí es </w:t>
      </w:r>
      <w:r w:rsidR="001804E3">
        <w:t>é</w:t>
      </w:r>
      <w:r>
        <w:t>sta. Cuando emer</w:t>
      </w:r>
      <w:r w:rsidR="001804E3">
        <w:t>ja</w:t>
      </w:r>
      <w:r>
        <w:t xml:space="preserve"> del primer </w:t>
      </w:r>
      <w:proofErr w:type="spellStart"/>
      <w:r w:rsidR="00057BF4" w:rsidRPr="00057BF4">
        <w:rPr>
          <w:i/>
          <w:iCs/>
        </w:rPr>
        <w:t>jhāna</w:t>
      </w:r>
      <w:proofErr w:type="spellEnd"/>
      <w:r>
        <w:t xml:space="preserve"> y, en primer lugar, adviert</w:t>
      </w:r>
      <w:r w:rsidR="001804E3">
        <w:t>a</w:t>
      </w:r>
      <w:r>
        <w:t xml:space="preserve"> </w:t>
      </w:r>
      <w:r w:rsidR="001708C0">
        <w:t>la aplicación mental</w:t>
      </w:r>
      <w:r>
        <w:t xml:space="preserve">, luego, junto a la advertencia que </w:t>
      </w:r>
      <w:r w:rsidR="004035ED">
        <w:t xml:space="preserve">haya </w:t>
      </w:r>
      <w:r>
        <w:t>surgi</w:t>
      </w:r>
      <w:r w:rsidR="004035ED">
        <w:t>do</w:t>
      </w:r>
      <w:r>
        <w:t xml:space="preserve"> </w:t>
      </w:r>
    </w:p>
    <w:p w14:paraId="5706229D" w14:textId="77777777" w:rsidR="00A67F5B" w:rsidRDefault="00A67F5B">
      <w:pPr>
        <w:tabs>
          <w:tab w:val="clear" w:pos="425"/>
        </w:tabs>
        <w:spacing w:after="160"/>
      </w:pPr>
      <w:r>
        <w:br w:type="page"/>
      </w:r>
    </w:p>
    <w:p w14:paraId="1382B38A" w14:textId="60855E7D" w:rsidR="00821CF3" w:rsidRDefault="004035ED" w:rsidP="00821CF3">
      <w:r>
        <w:lastRenderedPageBreak/>
        <w:t xml:space="preserve">interrumpiendo </w:t>
      </w:r>
      <w:r w:rsidR="00A96A91">
        <w:t xml:space="preserve">el </w:t>
      </w:r>
      <w:r w:rsidR="00821CF3">
        <w:t>continu</w:t>
      </w:r>
      <w:r w:rsidR="00A96A91">
        <w:t>um</w:t>
      </w:r>
      <w:r w:rsidR="00821CF3">
        <w:t xml:space="preserve"> </w:t>
      </w:r>
      <w:r w:rsidR="001708C0">
        <w:t>vital</w:t>
      </w:r>
      <w:r w:rsidR="00821CF3">
        <w:t>, cuatro o cinco impulsos impulsa</w:t>
      </w:r>
      <w:r w:rsidR="00BD596A">
        <w:t>rá</w:t>
      </w:r>
      <w:r w:rsidR="00821CF3">
        <w:t>n con es</w:t>
      </w:r>
      <w:r w:rsidR="008F0CCB">
        <w:t>a</w:t>
      </w:r>
      <w:r w:rsidR="00821CF3">
        <w:t xml:space="preserve"> </w:t>
      </w:r>
      <w:r w:rsidR="008F0CCB">
        <w:t xml:space="preserve">aplicación mental </w:t>
      </w:r>
      <w:r w:rsidR="00821CF3">
        <w:t>como su objeto. Entonces ha</w:t>
      </w:r>
      <w:r>
        <w:t>brá</w:t>
      </w:r>
      <w:r w:rsidR="00821CF3">
        <w:t xml:space="preserve"> dos continu</w:t>
      </w:r>
      <w:r>
        <w:t>um(s)</w:t>
      </w:r>
      <w:r w:rsidR="00821CF3">
        <w:t xml:space="preserve"> </w:t>
      </w:r>
      <w:r w:rsidR="001708C0">
        <w:t xml:space="preserve">vitales </w:t>
      </w:r>
      <w:r w:rsidR="00821CF3">
        <w:t>[con</w:t>
      </w:r>
      <w:r w:rsidR="008F0CCB">
        <w:t>s</w:t>
      </w:r>
      <w:r w:rsidR="00821CF3">
        <w:t xml:space="preserve">ciencias]. Luego </w:t>
      </w:r>
      <w:r>
        <w:t xml:space="preserve">surgirá </w:t>
      </w:r>
      <w:r w:rsidR="00821CF3">
        <w:t xml:space="preserve">la advertencia con </w:t>
      </w:r>
      <w:r w:rsidR="00152597">
        <w:t xml:space="preserve">la sustentación mental </w:t>
      </w:r>
      <w:r w:rsidR="00821CF3">
        <w:t xml:space="preserve">como su objeto y seguida por </w:t>
      </w:r>
      <w:r w:rsidR="00744E67">
        <w:t xml:space="preserve">los </w:t>
      </w:r>
      <w:r w:rsidR="00821CF3">
        <w:t xml:space="preserve">impulsos en la forma que acabamos de exponer. Cuando </w:t>
      </w:r>
      <w:r w:rsidR="00152597">
        <w:t>s</w:t>
      </w:r>
      <w:r w:rsidR="00744E67">
        <w:t xml:space="preserve">ea </w:t>
      </w:r>
      <w:r w:rsidR="00821CF3">
        <w:t xml:space="preserve">capaz de prolongar </w:t>
      </w:r>
      <w:r w:rsidR="00686964">
        <w:t xml:space="preserve">así </w:t>
      </w:r>
      <w:r w:rsidR="00821CF3">
        <w:t xml:space="preserve">su proceso consciente ininterrumpidamente con los cinco factores </w:t>
      </w:r>
      <w:proofErr w:type="spellStart"/>
      <w:r w:rsidR="00057BF4" w:rsidRPr="00057BF4">
        <w:rPr>
          <w:i/>
          <w:iCs/>
        </w:rPr>
        <w:t>jhān</w:t>
      </w:r>
      <w:r w:rsidR="00FB5E12">
        <w:rPr>
          <w:i/>
          <w:iCs/>
        </w:rPr>
        <w:t>icos</w:t>
      </w:r>
      <w:proofErr w:type="spellEnd"/>
      <w:r w:rsidR="00821CF3">
        <w:t xml:space="preserve">, entonces su dominio </w:t>
      </w:r>
      <w:r w:rsidR="00744E67">
        <w:t xml:space="preserve">en la advertencia será </w:t>
      </w:r>
      <w:r w:rsidR="00821CF3">
        <w:t xml:space="preserve">exitoso. </w:t>
      </w:r>
      <w:r w:rsidR="00686964">
        <w:t xml:space="preserve">No obstante, </w:t>
      </w:r>
      <w:r w:rsidR="00821CF3">
        <w:t>esta maestría se enc</w:t>
      </w:r>
      <w:r w:rsidR="00744E67">
        <w:t>o</w:t>
      </w:r>
      <w:r w:rsidR="00821CF3">
        <w:t>ntra</w:t>
      </w:r>
      <w:r w:rsidR="00744E67">
        <w:t>rá</w:t>
      </w:r>
      <w:r w:rsidR="00821CF3">
        <w:t xml:space="preserve"> en su apogeo de perfección en </w:t>
      </w:r>
      <w:r w:rsidR="00234003">
        <w:t>e</w:t>
      </w:r>
      <w:r w:rsidR="00821CF3">
        <w:t xml:space="preserve">l </w:t>
      </w:r>
      <w:r w:rsidR="00234003">
        <w:t xml:space="preserve">Milagro </w:t>
      </w:r>
      <w:r w:rsidR="00821CF3">
        <w:t>Gemel</w:t>
      </w:r>
      <w:r w:rsidR="00234003">
        <w:t>o</w:t>
      </w:r>
      <w:r w:rsidR="00821CF3">
        <w:t xml:space="preserve"> del </w:t>
      </w:r>
      <w:r w:rsidR="00234003" w:rsidRPr="00234003">
        <w:rPr>
          <w:i/>
          <w:iCs/>
        </w:rPr>
        <w:t>Bhagavā</w:t>
      </w:r>
      <w:r w:rsidR="00234003">
        <w:t xml:space="preserve"> </w:t>
      </w:r>
      <w:r w:rsidR="00821CF3">
        <w:t>(</w:t>
      </w:r>
      <w:proofErr w:type="spellStart"/>
      <w:r w:rsidR="00990BB4">
        <w:rPr>
          <w:i/>
          <w:iCs/>
        </w:rPr>
        <w:t>Paṭis</w:t>
      </w:r>
      <w:proofErr w:type="spellEnd"/>
      <w:r w:rsidR="00990BB4">
        <w:t xml:space="preserve"> </w:t>
      </w:r>
      <w:r w:rsidR="00821CF3">
        <w:t xml:space="preserve">I 125), o para otros en las ocasiones antedichas. No </w:t>
      </w:r>
      <w:r w:rsidR="00227CF3">
        <w:t xml:space="preserve">existirá </w:t>
      </w:r>
      <w:r w:rsidR="00821CF3">
        <w:t xml:space="preserve">dominio más rápido en la </w:t>
      </w:r>
      <w:r w:rsidR="00227CF3">
        <w:t>advertencia</w:t>
      </w:r>
      <w:r w:rsidR="00821CF3">
        <w:t xml:space="preserve"> que e</w:t>
      </w:r>
      <w:r w:rsidR="00686964">
        <w:t>ll</w:t>
      </w:r>
      <w:r w:rsidR="00821CF3">
        <w:t>o.</w:t>
      </w:r>
    </w:p>
    <w:p w14:paraId="182E6AA2" w14:textId="6CC402DC" w:rsidR="00821CF3" w:rsidRDefault="00821CF3" w:rsidP="00821CF3">
      <w:r>
        <w:t xml:space="preserve">133. </w:t>
      </w:r>
      <w:r>
        <w:tab/>
      </w:r>
      <w:r w:rsidR="00227CF3">
        <w:t>A l</w:t>
      </w:r>
      <w:r>
        <w:t xml:space="preserve">a habilidad del </w:t>
      </w:r>
      <w:r w:rsidR="00F85023">
        <w:t xml:space="preserve">Venerable </w:t>
      </w:r>
      <w:r>
        <w:t xml:space="preserve">Mahā-Moggallāna para entrar en </w:t>
      </w:r>
      <w:r w:rsidR="00227CF3">
        <w:t xml:space="preserve">un </w:t>
      </w:r>
      <w:proofErr w:type="spellStart"/>
      <w:r w:rsidR="00057BF4" w:rsidRPr="00057BF4">
        <w:rPr>
          <w:i/>
          <w:iCs/>
        </w:rPr>
        <w:t>jhāna</w:t>
      </w:r>
      <w:proofErr w:type="spellEnd"/>
      <w:r>
        <w:t xml:space="preserve"> rápidamente, como en la domesticación de la serpiente </w:t>
      </w:r>
      <w:proofErr w:type="spellStart"/>
      <w:r w:rsidR="00990BB4" w:rsidRPr="00990BB4">
        <w:rPr>
          <w:i/>
          <w:iCs/>
        </w:rPr>
        <w:t>Nāga</w:t>
      </w:r>
      <w:proofErr w:type="spellEnd"/>
      <w:r w:rsidR="00990BB4">
        <w:t xml:space="preserve"> </w:t>
      </w:r>
      <w:r>
        <w:t xml:space="preserve">real </w:t>
      </w:r>
      <w:proofErr w:type="spellStart"/>
      <w:r>
        <w:t>Nandopananda</w:t>
      </w:r>
      <w:proofErr w:type="spellEnd"/>
      <w:r>
        <w:t xml:space="preserve"> (XII.106f.), se </w:t>
      </w:r>
      <w:r w:rsidR="00227CF3">
        <w:t xml:space="preserve">le </w:t>
      </w:r>
      <w:r>
        <w:t>llama</w:t>
      </w:r>
      <w:r w:rsidR="00227CF3">
        <w:t>rá</w:t>
      </w:r>
      <w:r>
        <w:t xml:space="preserve"> maestría en </w:t>
      </w:r>
      <w:r w:rsidR="003B73EA">
        <w:t>la consumación</w:t>
      </w:r>
      <w:r>
        <w:t>.</w:t>
      </w:r>
    </w:p>
    <w:p w14:paraId="47BD96DA" w14:textId="520D2921" w:rsidR="00821CF3" w:rsidRDefault="00821CF3" w:rsidP="00821CF3">
      <w:r>
        <w:t xml:space="preserve">134. </w:t>
      </w:r>
      <w:r>
        <w:tab/>
      </w:r>
      <w:r w:rsidR="003B73EA">
        <w:t>A l</w:t>
      </w:r>
      <w:r>
        <w:t xml:space="preserve">a capacidad de permanecer en </w:t>
      </w:r>
      <w:r w:rsidR="003B73EA">
        <w:t xml:space="preserve">el </w:t>
      </w:r>
      <w:proofErr w:type="spellStart"/>
      <w:r w:rsidR="00057BF4" w:rsidRPr="00057BF4">
        <w:rPr>
          <w:i/>
          <w:iCs/>
        </w:rPr>
        <w:t>jhāna</w:t>
      </w:r>
      <w:proofErr w:type="spellEnd"/>
      <w:r>
        <w:t xml:space="preserve"> por un momento que consist</w:t>
      </w:r>
      <w:r w:rsidR="003B73EA">
        <w:t>a</w:t>
      </w:r>
      <w:r>
        <w:t xml:space="preserve"> exactamente en un chasquido de dedos o exactamente diez chasquidos de dedos se </w:t>
      </w:r>
      <w:r w:rsidR="003B73EA">
        <w:t xml:space="preserve">le </w:t>
      </w:r>
      <w:r>
        <w:t>llama</w:t>
      </w:r>
      <w:r w:rsidR="003B73EA">
        <w:t>rá</w:t>
      </w:r>
      <w:r>
        <w:t xml:space="preserve"> </w:t>
      </w:r>
      <w:r w:rsidR="00BD6091">
        <w:t>maestría</w:t>
      </w:r>
      <w:r>
        <w:t xml:space="preserve"> </w:t>
      </w:r>
      <w:r w:rsidR="00BD6091">
        <w:t>en</w:t>
      </w:r>
      <w:r w:rsidR="00873C12">
        <w:t xml:space="preserve"> </w:t>
      </w:r>
      <w:r>
        <w:t xml:space="preserve">la </w:t>
      </w:r>
      <w:r w:rsidR="00873C12">
        <w:t xml:space="preserve">determinación </w:t>
      </w:r>
      <w:r>
        <w:t>(</w:t>
      </w:r>
      <w:r w:rsidR="00873C12">
        <w:t xml:space="preserve">para </w:t>
      </w:r>
      <w:r>
        <w:t>estabilizar la duración).</w:t>
      </w:r>
    </w:p>
    <w:p w14:paraId="4F510668" w14:textId="4EE1C624" w:rsidR="00821CF3" w:rsidRDefault="00873C12" w:rsidP="0014718D">
      <w:pPr>
        <w:pStyle w:val="NormalConSangria"/>
      </w:pPr>
      <w:r>
        <w:t>A l</w:t>
      </w:r>
      <w:r w:rsidR="00821CF3">
        <w:t xml:space="preserve">a capacidad de emerger rápidamente </w:t>
      </w:r>
      <w:r>
        <w:t xml:space="preserve">y </w:t>
      </w:r>
      <w:r w:rsidR="00821CF3">
        <w:t xml:space="preserve">de la misma manera se </w:t>
      </w:r>
      <w:r>
        <w:t xml:space="preserve">le </w:t>
      </w:r>
      <w:r w:rsidR="00821CF3">
        <w:t>llama</w:t>
      </w:r>
      <w:r w:rsidR="0014718D">
        <w:t>rá</w:t>
      </w:r>
      <w:r w:rsidR="00821CF3">
        <w:t xml:space="preserve"> maestría </w:t>
      </w:r>
      <w:r>
        <w:t xml:space="preserve">para </w:t>
      </w:r>
      <w:r w:rsidR="00821CF3">
        <w:t>emerger.</w:t>
      </w:r>
    </w:p>
    <w:p w14:paraId="726F9C1E" w14:textId="3F69B8ED" w:rsidR="00821CF3" w:rsidRDefault="00821CF3" w:rsidP="00821CF3">
      <w:r>
        <w:t xml:space="preserve">135. </w:t>
      </w:r>
      <w:r>
        <w:tab/>
        <w:t xml:space="preserve">La historia del </w:t>
      </w:r>
      <w:r w:rsidR="00990BB4">
        <w:t>Venerable</w:t>
      </w:r>
      <w:r>
        <w:t xml:space="preserve"> </w:t>
      </w:r>
      <w:proofErr w:type="spellStart"/>
      <w:r w:rsidR="00057BF4" w:rsidRPr="00F85023">
        <w:rPr>
          <w:iCs/>
        </w:rPr>
        <w:t>Buddha</w:t>
      </w:r>
      <w:r w:rsidRPr="00F85023">
        <w:rPr>
          <w:iCs/>
        </w:rPr>
        <w:t>rakkhita</w:t>
      </w:r>
      <w:proofErr w:type="spellEnd"/>
      <w:r>
        <w:t xml:space="preserve"> se puede contar para ilustrar estos dos últimos</w:t>
      </w:r>
      <w:r w:rsidR="0014718D">
        <w:t xml:space="preserve"> casos</w:t>
      </w:r>
      <w:r>
        <w:t>. [155] Ocho años después de su admisión a la Comunidad, es</w:t>
      </w:r>
      <w:r w:rsidR="008564CA">
        <w:t>t</w:t>
      </w:r>
      <w:r>
        <w:t xml:space="preserve">e </w:t>
      </w:r>
      <w:r w:rsidR="00B36D2E">
        <w:t>Venerable</w:t>
      </w:r>
      <w:r>
        <w:t xml:space="preserve"> estaba sentado en medio de treinta mil </w:t>
      </w:r>
      <w:proofErr w:type="spellStart"/>
      <w:r w:rsidR="00057BF4" w:rsidRPr="00057BF4">
        <w:rPr>
          <w:i/>
          <w:iCs/>
        </w:rPr>
        <w:t>bhikkhu</w:t>
      </w:r>
      <w:r w:rsidRPr="00990BB4">
        <w:rPr>
          <w:i/>
          <w:iCs/>
        </w:rPr>
        <w:t>s</w:t>
      </w:r>
      <w:proofErr w:type="spellEnd"/>
      <w:r>
        <w:t xml:space="preserve"> que poseían poderes sobrenaturales y que se habían reunido para atender la enfermedad del </w:t>
      </w:r>
      <w:r w:rsidR="005952E5">
        <w:t xml:space="preserve">Venerable </w:t>
      </w:r>
      <w:r>
        <w:t xml:space="preserve">Mahā </w:t>
      </w:r>
      <w:proofErr w:type="spellStart"/>
      <w:r>
        <w:t>Roha</w:t>
      </w:r>
      <w:r w:rsidR="00A06CA0">
        <w:t>ṇ</w:t>
      </w:r>
      <w:r>
        <w:t>a</w:t>
      </w:r>
      <w:r w:rsidR="000F6B3A">
        <w:t>-</w:t>
      </w:r>
      <w:r w:rsidR="002867B6">
        <w:t>Gutta</w:t>
      </w:r>
      <w:proofErr w:type="spellEnd"/>
      <w:r w:rsidR="002867B6">
        <w:t xml:space="preserve"> </w:t>
      </w:r>
      <w:r>
        <w:t xml:space="preserve">en </w:t>
      </w:r>
      <w:proofErr w:type="spellStart"/>
      <w:r>
        <w:t>Therambatthala</w:t>
      </w:r>
      <w:proofErr w:type="spellEnd"/>
      <w:r>
        <w:t xml:space="preserve">. </w:t>
      </w:r>
      <w:r w:rsidR="008564CA">
        <w:t>Él v</w:t>
      </w:r>
      <w:r>
        <w:t xml:space="preserve">io </w:t>
      </w:r>
      <w:r w:rsidR="005952E5">
        <w:t xml:space="preserve">a </w:t>
      </w:r>
      <w:r>
        <w:t xml:space="preserve">un </w:t>
      </w:r>
      <w:proofErr w:type="spellStart"/>
      <w:r w:rsidRPr="00990BB4">
        <w:rPr>
          <w:i/>
          <w:iCs/>
        </w:rPr>
        <w:t>supa</w:t>
      </w:r>
      <w:r w:rsidR="00990BB4" w:rsidRPr="00990BB4">
        <w:rPr>
          <w:i/>
          <w:iCs/>
        </w:rPr>
        <w:t>ṇṇ</w:t>
      </w:r>
      <w:r w:rsidRPr="00990BB4">
        <w:rPr>
          <w:i/>
          <w:iCs/>
        </w:rPr>
        <w:t>a</w:t>
      </w:r>
      <w:proofErr w:type="spellEnd"/>
      <w:r>
        <w:t xml:space="preserve"> (pájaro) real que descendía en picad</w:t>
      </w:r>
      <w:r w:rsidR="005952E5">
        <w:t>a</w:t>
      </w:r>
      <w:r>
        <w:t xml:space="preserve"> de</w:t>
      </w:r>
      <w:r w:rsidR="005952E5">
        <w:t>sde e</w:t>
      </w:r>
      <w:r>
        <w:t xml:space="preserve">l cielo con la intención de apoderarse de una serpiente </w:t>
      </w:r>
      <w:proofErr w:type="spellStart"/>
      <w:r w:rsidR="00990BB4">
        <w:rPr>
          <w:i/>
          <w:iCs/>
        </w:rPr>
        <w:t>Nāga</w:t>
      </w:r>
      <w:proofErr w:type="spellEnd"/>
      <w:r w:rsidR="00990BB4">
        <w:t xml:space="preserve"> </w:t>
      </w:r>
      <w:r>
        <w:t xml:space="preserve">real que lo acompañaba mientras estaba haciendo que aceptaran gachas de arroz para el </w:t>
      </w:r>
      <w:r w:rsidR="00B37F68">
        <w:t>Venerable</w:t>
      </w:r>
      <w:r>
        <w:t xml:space="preserve">. Mientras tanto, el </w:t>
      </w:r>
      <w:r w:rsidR="00990BB4">
        <w:t xml:space="preserve">Venerable </w:t>
      </w:r>
      <w:proofErr w:type="spellStart"/>
      <w:r w:rsidR="00057BF4" w:rsidRPr="00B37F68">
        <w:rPr>
          <w:iCs/>
        </w:rPr>
        <w:t>Buddha</w:t>
      </w:r>
      <w:r w:rsidRPr="00B37F68">
        <w:rPr>
          <w:iCs/>
        </w:rPr>
        <w:t>rakkhita</w:t>
      </w:r>
      <w:proofErr w:type="spellEnd"/>
      <w:r>
        <w:t xml:space="preserve"> creó una roca y, agarrando al </w:t>
      </w:r>
      <w:proofErr w:type="spellStart"/>
      <w:r w:rsidR="00990BB4">
        <w:rPr>
          <w:i/>
          <w:iCs/>
        </w:rPr>
        <w:t>Nāga</w:t>
      </w:r>
      <w:proofErr w:type="spellEnd"/>
      <w:r w:rsidR="00990BB4">
        <w:t xml:space="preserve"> </w:t>
      </w:r>
      <w:r>
        <w:t xml:space="preserve">real por el brazo, lo empujó dentro de ella. El </w:t>
      </w:r>
      <w:proofErr w:type="spellStart"/>
      <w:r w:rsidRPr="00990BB4">
        <w:rPr>
          <w:i/>
          <w:iCs/>
        </w:rPr>
        <w:t>supaṇṇa</w:t>
      </w:r>
      <w:proofErr w:type="spellEnd"/>
      <w:r>
        <w:t xml:space="preserve"> real </w:t>
      </w:r>
      <w:r w:rsidR="0014718D">
        <w:t>se golpeó contr</w:t>
      </w:r>
      <w:r>
        <w:t xml:space="preserve">a la roca y se </w:t>
      </w:r>
      <w:r w:rsidR="008564CA">
        <w:t>marchó</w:t>
      </w:r>
      <w:r>
        <w:t xml:space="preserve">. El </w:t>
      </w:r>
      <w:r w:rsidR="00B37F68">
        <w:t xml:space="preserve">Venerable </w:t>
      </w:r>
      <w:r>
        <w:t xml:space="preserve">mayor comentó: “Amigos, si </w:t>
      </w:r>
      <w:proofErr w:type="spellStart"/>
      <w:r>
        <w:t>Rakkhita</w:t>
      </w:r>
      <w:proofErr w:type="spellEnd"/>
      <w:r>
        <w:t xml:space="preserve"> no hubiera estado allí, todos nos hubiéramos avergonzado”.</w:t>
      </w:r>
      <w:r w:rsidRPr="00061742">
        <w:rPr>
          <w:vertAlign w:val="superscript"/>
        </w:rPr>
        <w:t>40</w:t>
      </w:r>
    </w:p>
    <w:p w14:paraId="3EC53105" w14:textId="11D92328" w:rsidR="00821CF3" w:rsidRDefault="00821CF3" w:rsidP="00821CF3">
      <w:r>
        <w:t xml:space="preserve">136. </w:t>
      </w:r>
      <w:r w:rsidR="00F85023">
        <w:tab/>
      </w:r>
      <w:r w:rsidR="0014718D">
        <w:t>La maestría</w:t>
      </w:r>
      <w:r>
        <w:t xml:space="preserve"> de la </w:t>
      </w:r>
      <w:r w:rsidR="00DD674E">
        <w:t>revisión</w:t>
      </w:r>
      <w:r>
        <w:t xml:space="preserve"> se describe de la misma manera que </w:t>
      </w:r>
      <w:r w:rsidR="0014718D">
        <w:t xml:space="preserve">la maestría </w:t>
      </w:r>
      <w:r>
        <w:t xml:space="preserve">de la </w:t>
      </w:r>
      <w:r w:rsidR="00DD674E">
        <w:t>advertencia</w:t>
      </w:r>
      <w:r>
        <w:t xml:space="preserve">; porque los impulsos de </w:t>
      </w:r>
      <w:r w:rsidR="0014718D">
        <w:t xml:space="preserve">la </w:t>
      </w:r>
      <w:r>
        <w:t xml:space="preserve">revisión son en realidad los próximos a la </w:t>
      </w:r>
      <w:r w:rsidR="00DD674E">
        <w:t xml:space="preserve">advertencia </w:t>
      </w:r>
      <w:r>
        <w:t>allí mencionada (§132).</w:t>
      </w:r>
    </w:p>
    <w:p w14:paraId="2DF66C0D" w14:textId="40A5E653" w:rsidR="00821CF3" w:rsidRDefault="00821CF3" w:rsidP="00821CF3">
      <w:r>
        <w:t xml:space="preserve">137. </w:t>
      </w:r>
      <w:r>
        <w:tab/>
        <w:t xml:space="preserve">Una vez que </w:t>
      </w:r>
      <w:r w:rsidR="00DD674E">
        <w:t xml:space="preserve">se </w:t>
      </w:r>
      <w:r>
        <w:t>ha</w:t>
      </w:r>
      <w:r w:rsidR="00DD674E">
        <w:t>ya</w:t>
      </w:r>
      <w:r>
        <w:t xml:space="preserve"> adquirido </w:t>
      </w:r>
      <w:r w:rsidR="00EE27B5">
        <w:t>maestría</w:t>
      </w:r>
      <w:r>
        <w:t xml:space="preserve"> en estas cinco formas, al emerger del ahora familiar primer </w:t>
      </w:r>
      <w:proofErr w:type="spellStart"/>
      <w:r w:rsidR="00057BF4" w:rsidRPr="00057BF4">
        <w:rPr>
          <w:i/>
          <w:iCs/>
        </w:rPr>
        <w:t>jhāna</w:t>
      </w:r>
      <w:proofErr w:type="spellEnd"/>
      <w:r>
        <w:t xml:space="preserve"> </w:t>
      </w:r>
      <w:r w:rsidR="00DD674E">
        <w:t xml:space="preserve">él </w:t>
      </w:r>
      <w:r w:rsidR="00207D94">
        <w:t xml:space="preserve">podrá </w:t>
      </w:r>
      <w:r>
        <w:t xml:space="preserve">considerar </w:t>
      </w:r>
      <w:r w:rsidR="00207D94">
        <w:t>sus</w:t>
      </w:r>
      <w:r>
        <w:t xml:space="preserve"> </w:t>
      </w:r>
      <w:r w:rsidR="00EE27B5">
        <w:t xml:space="preserve">defectos </w:t>
      </w:r>
      <w:r>
        <w:t xml:space="preserve">de esta manera: “Este logro </w:t>
      </w:r>
      <w:r w:rsidR="007D4FAC">
        <w:t>está</w:t>
      </w:r>
      <w:r>
        <w:t xml:space="preserve"> amenazado por la cercanía de </w:t>
      </w:r>
      <w:r w:rsidR="007D4FAC">
        <w:t>tales</w:t>
      </w:r>
      <w:r>
        <w:t xml:space="preserve"> obstáculos, y sus factores se debilita</w:t>
      </w:r>
      <w:r w:rsidR="007D4FAC">
        <w:t>rá</w:t>
      </w:r>
      <w:r>
        <w:t xml:space="preserve">n por la </w:t>
      </w:r>
      <w:r w:rsidR="00EA1F02">
        <w:t xml:space="preserve">densidad </w:t>
      </w:r>
      <w:r>
        <w:t xml:space="preserve">de </w:t>
      </w:r>
      <w:r w:rsidR="00EE27B5">
        <w:t>la aplicación y sustentación mental</w:t>
      </w:r>
      <w:r>
        <w:t>”</w:t>
      </w:r>
      <w:r w:rsidR="005B2677">
        <w:t>,</w:t>
      </w:r>
      <w:r>
        <w:t xml:space="preserve"> </w:t>
      </w:r>
      <w:r w:rsidR="005B2677">
        <w:t xml:space="preserve">podrá </w:t>
      </w:r>
      <w:r>
        <w:t xml:space="preserve">traer a la mente el segundo </w:t>
      </w:r>
      <w:proofErr w:type="spellStart"/>
      <w:r w:rsidR="00057BF4" w:rsidRPr="00057BF4">
        <w:rPr>
          <w:i/>
          <w:iCs/>
        </w:rPr>
        <w:t>jhāna</w:t>
      </w:r>
      <w:proofErr w:type="spellEnd"/>
      <w:r>
        <w:t xml:space="preserve"> como más tranquil</w:t>
      </w:r>
      <w:r w:rsidR="005A593A">
        <w:t>idad</w:t>
      </w:r>
      <w:r>
        <w:t xml:space="preserve"> y así poner fin a su apego al primer </w:t>
      </w:r>
      <w:proofErr w:type="spellStart"/>
      <w:r w:rsidR="00057BF4" w:rsidRPr="00057BF4">
        <w:rPr>
          <w:i/>
          <w:iCs/>
        </w:rPr>
        <w:t>jhāna</w:t>
      </w:r>
      <w:proofErr w:type="spellEnd"/>
      <w:r>
        <w:t xml:space="preserve"> y comenzar a hacer lo necesario para alcanzar el segundo.</w:t>
      </w:r>
    </w:p>
    <w:p w14:paraId="619C0364" w14:textId="3DEC7C0A" w:rsidR="00821CF3" w:rsidRDefault="00821CF3" w:rsidP="00821CF3">
      <w:r>
        <w:t xml:space="preserve">138. </w:t>
      </w:r>
      <w:r>
        <w:tab/>
        <w:t>Cuando ha</w:t>
      </w:r>
      <w:r w:rsidR="005A593A">
        <w:t>ya</w:t>
      </w:r>
      <w:r>
        <w:t xml:space="preserve"> emergido del primer </w:t>
      </w:r>
      <w:proofErr w:type="spellStart"/>
      <w:r w:rsidR="00057BF4" w:rsidRPr="00057BF4">
        <w:rPr>
          <w:i/>
          <w:iCs/>
        </w:rPr>
        <w:t>jhāna</w:t>
      </w:r>
      <w:proofErr w:type="spellEnd"/>
      <w:r>
        <w:t>, l</w:t>
      </w:r>
      <w:r w:rsidR="005B2677">
        <w:t>a</w:t>
      </w:r>
      <w:r>
        <w:t xml:space="preserve"> </w:t>
      </w:r>
      <w:proofErr w:type="gramStart"/>
      <w:r w:rsidR="005B2677">
        <w:t xml:space="preserve">aplicación mental </w:t>
      </w:r>
      <w:r>
        <w:t xml:space="preserve">y </w:t>
      </w:r>
      <w:r w:rsidR="005B2677">
        <w:t>la sustentación mental</w:t>
      </w:r>
      <w:proofErr w:type="gramEnd"/>
      <w:r>
        <w:t xml:space="preserve"> le parece</w:t>
      </w:r>
      <w:r w:rsidR="005A593A">
        <w:t>rá</w:t>
      </w:r>
      <w:r w:rsidR="00126344">
        <w:t>n</w:t>
      </w:r>
      <w:r>
        <w:t xml:space="preserve"> </w:t>
      </w:r>
      <w:r w:rsidR="00EA1F02">
        <w:t>denso</w:t>
      </w:r>
      <w:r w:rsidR="00126344">
        <w:t>s</w:t>
      </w:r>
      <w:r w:rsidR="005A593A">
        <w:t xml:space="preserve"> </w:t>
      </w:r>
      <w:r>
        <w:t>mientras revis</w:t>
      </w:r>
      <w:r w:rsidR="005A593A">
        <w:t>e</w:t>
      </w:r>
      <w:r>
        <w:t xml:space="preserve"> los factores del </w:t>
      </w:r>
      <w:proofErr w:type="spellStart"/>
      <w:r w:rsidR="00057BF4" w:rsidRPr="00057BF4">
        <w:rPr>
          <w:i/>
          <w:iCs/>
        </w:rPr>
        <w:t>jhāna</w:t>
      </w:r>
      <w:proofErr w:type="spellEnd"/>
      <w:r>
        <w:t xml:space="preserve"> con atención plena y con</w:t>
      </w:r>
      <w:r w:rsidR="00433A81">
        <w:t>s</w:t>
      </w:r>
      <w:r>
        <w:t>ciencia</w:t>
      </w:r>
      <w:r w:rsidR="00126344" w:rsidRPr="00126344">
        <w:t xml:space="preserve"> </w:t>
      </w:r>
      <w:r w:rsidR="00126344">
        <w:t>plena</w:t>
      </w:r>
      <w:r>
        <w:t>, mientras que la felicidad, la dicha y la unificación ment</w:t>
      </w:r>
      <w:r w:rsidR="00433A81">
        <w:t>al</w:t>
      </w:r>
      <w:r>
        <w:t xml:space="preserve"> </w:t>
      </w:r>
      <w:r w:rsidR="00126344">
        <w:t>a</w:t>
      </w:r>
      <w:r>
        <w:t>parece</w:t>
      </w:r>
      <w:r w:rsidR="00433A81">
        <w:t>rán</w:t>
      </w:r>
      <w:r>
        <w:t xml:space="preserve"> </w:t>
      </w:r>
      <w:r w:rsidR="00126344">
        <w:t xml:space="preserve">como </w:t>
      </w:r>
      <w:r w:rsidR="00433A81">
        <w:t>apacibles</w:t>
      </w:r>
      <w:r>
        <w:t>. Luego, mientras tra</w:t>
      </w:r>
      <w:r w:rsidR="00433A81">
        <w:t>iga</w:t>
      </w:r>
      <w:r>
        <w:t xml:space="preserve"> a la mente ese mismo signo como “tierra, tierra”</w:t>
      </w:r>
      <w:r w:rsidR="004C0B7D">
        <w:t>,</w:t>
      </w:r>
      <w:r>
        <w:t xml:space="preserve"> una y otra vez</w:t>
      </w:r>
      <w:r w:rsidR="004C0B7D">
        <w:t>,</w:t>
      </w:r>
      <w:r>
        <w:t xml:space="preserve"> con el propósito </w:t>
      </w:r>
    </w:p>
    <w:p w14:paraId="393AF6E9" w14:textId="6FA94734" w:rsidR="00821CF3" w:rsidRPr="00821CF3" w:rsidRDefault="00821CF3" w:rsidP="00821CF3">
      <w:pPr>
        <w:pStyle w:val="PiedepginaLegal"/>
        <w:rPr>
          <w:u w:val="single"/>
        </w:rPr>
      </w:pPr>
      <w:r>
        <w:rPr>
          <w:u w:val="single"/>
        </w:rPr>
        <w:tab/>
      </w:r>
      <w:r>
        <w:rPr>
          <w:u w:val="single"/>
        </w:rPr>
        <w:tab/>
      </w:r>
      <w:r>
        <w:rPr>
          <w:u w:val="single"/>
        </w:rPr>
        <w:tab/>
      </w:r>
      <w:r>
        <w:rPr>
          <w:u w:val="single"/>
        </w:rPr>
        <w:tab/>
        <w:t>.</w:t>
      </w:r>
    </w:p>
    <w:p w14:paraId="40A0FE5F" w14:textId="0F11EC82" w:rsidR="009871BA" w:rsidRDefault="00821CF3" w:rsidP="00821CF3">
      <w:pPr>
        <w:pStyle w:val="PiedepginaLegal"/>
      </w:pPr>
      <w:r>
        <w:t xml:space="preserve">40. </w:t>
      </w:r>
      <w:r>
        <w:tab/>
        <w:t xml:space="preserve">Lo que la historia está tratando de ilustrar es la rapidez con la que el </w:t>
      </w:r>
      <w:r w:rsidR="003D4D4A">
        <w:t xml:space="preserve">Venerable </w:t>
      </w:r>
      <w:r>
        <w:t xml:space="preserve">entró en el </w:t>
      </w:r>
      <w:proofErr w:type="spellStart"/>
      <w:r w:rsidR="00057BF4" w:rsidRPr="00057BF4">
        <w:rPr>
          <w:i/>
          <w:iCs/>
        </w:rPr>
        <w:t>jhāna</w:t>
      </w:r>
      <w:proofErr w:type="spellEnd"/>
      <w:r>
        <w:t xml:space="preserve">, controló su duración y emergió, que es el </w:t>
      </w:r>
      <w:r w:rsidR="008564CA">
        <w:t xml:space="preserve">trabajo </w:t>
      </w:r>
      <w:r>
        <w:t xml:space="preserve">preliminar necesario para </w:t>
      </w:r>
      <w:r w:rsidR="008564CA">
        <w:t>la realización</w:t>
      </w:r>
      <w:r>
        <w:t xml:space="preserve"> de una </w:t>
      </w:r>
      <w:r w:rsidR="008564CA">
        <w:t>proeza milagrosa</w:t>
      </w:r>
      <w:r>
        <w:t xml:space="preserve"> (la creación de una roca en este caso; XII. 57). El último comentario parec</w:t>
      </w:r>
      <w:r w:rsidR="008564CA">
        <w:t>iera</w:t>
      </w:r>
      <w:r>
        <w:t xml:space="preserve"> indicar que todos los demás habrían sido demasiado lentos (ver </w:t>
      </w:r>
      <w:proofErr w:type="spellStart"/>
      <w:r>
        <w:t>Vism-mhṭ</w:t>
      </w:r>
      <w:proofErr w:type="spellEnd"/>
      <w:r>
        <w:t xml:space="preserve"> 150).</w:t>
      </w:r>
      <w:r w:rsidR="009871BA">
        <w:br w:type="page"/>
      </w:r>
    </w:p>
    <w:p w14:paraId="597B99EA" w14:textId="77777777" w:rsidR="00C53DC2" w:rsidRDefault="00C53DC2" w:rsidP="009871BA">
      <w:pPr>
        <w:pStyle w:val="NormalConSangria"/>
      </w:pPr>
    </w:p>
    <w:p w14:paraId="58C8CC08" w14:textId="60998E5B" w:rsidR="002730AC" w:rsidRDefault="00126344" w:rsidP="002730AC">
      <w:r>
        <w:t xml:space="preserve">de abandonar los </w:t>
      </w:r>
      <w:r w:rsidR="00433A81">
        <w:t xml:space="preserve">factores </w:t>
      </w:r>
      <w:r w:rsidR="004C0B7D">
        <w:t>densos</w:t>
      </w:r>
      <w:r w:rsidR="00433A81">
        <w:t xml:space="preserve"> y desarrollar </w:t>
      </w:r>
      <w:r w:rsidR="002730AC">
        <w:t xml:space="preserve">los factores </w:t>
      </w:r>
      <w:r w:rsidR="00433A81">
        <w:t>apacibles</w:t>
      </w:r>
      <w:r w:rsidR="002730AC">
        <w:t>, [</w:t>
      </w:r>
      <w:r>
        <w:t>conociendo</w:t>
      </w:r>
      <w:r w:rsidR="002730AC">
        <w:t xml:space="preserve">] “ahora surgirá el segundo </w:t>
      </w:r>
      <w:proofErr w:type="spellStart"/>
      <w:r w:rsidR="00057BF4" w:rsidRPr="00057BF4">
        <w:rPr>
          <w:i/>
          <w:iCs/>
        </w:rPr>
        <w:t>jhāna</w:t>
      </w:r>
      <w:proofErr w:type="spellEnd"/>
      <w:r w:rsidR="002730AC">
        <w:t>”, surg</w:t>
      </w:r>
      <w:r w:rsidR="00433A81">
        <w:t>irá</w:t>
      </w:r>
      <w:r w:rsidR="002730AC">
        <w:t xml:space="preserve"> en él la advertencia e</w:t>
      </w:r>
      <w:r>
        <w:t>n</w:t>
      </w:r>
      <w:r w:rsidR="002730AC">
        <w:t xml:space="preserve"> la puerta de la mente con ese mismo </w:t>
      </w:r>
      <w:proofErr w:type="spellStart"/>
      <w:r w:rsidR="00057BF4" w:rsidRPr="00057BF4">
        <w:rPr>
          <w:i/>
          <w:iCs/>
        </w:rPr>
        <w:t>kasiṇa</w:t>
      </w:r>
      <w:proofErr w:type="spellEnd"/>
      <w:r w:rsidR="002730AC">
        <w:t xml:space="preserve"> tierra como su objeto, interrumpiendo el continu</w:t>
      </w:r>
      <w:r w:rsidR="00433A81">
        <w:t>um</w:t>
      </w:r>
      <w:r w:rsidR="002730AC">
        <w:t xml:space="preserve"> de la vida. Después de e</w:t>
      </w:r>
      <w:r w:rsidR="004C0B7D">
        <w:t>ll</w:t>
      </w:r>
      <w:r w:rsidR="002730AC">
        <w:t>o, cuatro o cinco impulsos impulsa</w:t>
      </w:r>
      <w:r w:rsidR="00433A81">
        <w:t>rá</w:t>
      </w:r>
      <w:r w:rsidR="002730AC">
        <w:t xml:space="preserve">n el mismo objeto, el último de los cuales </w:t>
      </w:r>
      <w:r w:rsidR="00433A81">
        <w:t>será</w:t>
      </w:r>
      <w:r w:rsidR="002730AC">
        <w:t xml:space="preserve"> un impulso de la esfera de la materia </w:t>
      </w:r>
      <w:r w:rsidR="00433A81">
        <w:t>sutil</w:t>
      </w:r>
      <w:r w:rsidR="002730AC">
        <w:t xml:space="preserve"> que pertenece</w:t>
      </w:r>
      <w:r w:rsidR="00433A81">
        <w:t xml:space="preserve">rá </w:t>
      </w:r>
      <w:r w:rsidR="002730AC">
        <w:t xml:space="preserve">al segundo </w:t>
      </w:r>
      <w:proofErr w:type="spellStart"/>
      <w:r w:rsidR="00057BF4" w:rsidRPr="00057BF4">
        <w:rPr>
          <w:i/>
          <w:iCs/>
        </w:rPr>
        <w:t>jhāna</w:t>
      </w:r>
      <w:proofErr w:type="spellEnd"/>
      <w:r w:rsidR="002730AC">
        <w:t xml:space="preserve">. El resto </w:t>
      </w:r>
      <w:r w:rsidR="008B7F59">
        <w:t>corresponderá a</w:t>
      </w:r>
      <w:r w:rsidR="002730AC">
        <w:t xml:space="preserve"> la esfera de los sentidos de los tipos ya mencionados (§74).</w:t>
      </w:r>
    </w:p>
    <w:p w14:paraId="2A484452" w14:textId="52EC5CB6" w:rsidR="002730AC" w:rsidRDefault="002730AC" w:rsidP="002730AC">
      <w:pPr>
        <w:pStyle w:val="Ttulo3"/>
        <w:ind w:left="708"/>
      </w:pPr>
      <w:r>
        <w:t xml:space="preserve">[El Segundo </w:t>
      </w:r>
      <w:proofErr w:type="spellStart"/>
      <w:r w:rsidR="00057BF4" w:rsidRPr="00057BF4">
        <w:rPr>
          <w:i/>
          <w:iCs/>
        </w:rPr>
        <w:t>Jhāna</w:t>
      </w:r>
      <w:proofErr w:type="spellEnd"/>
      <w:r>
        <w:t>]</w:t>
      </w:r>
    </w:p>
    <w:p w14:paraId="3171C978" w14:textId="68F098C1" w:rsidR="002730AC" w:rsidRDefault="002730AC" w:rsidP="002730AC">
      <w:r>
        <w:t xml:space="preserve">139. </w:t>
      </w:r>
      <w:r>
        <w:tab/>
        <w:t>Y en este punto, "</w:t>
      </w:r>
      <w:r w:rsidRPr="00FD6B71">
        <w:rPr>
          <w:i/>
          <w:iCs/>
        </w:rPr>
        <w:t xml:space="preserve">Con el </w:t>
      </w:r>
      <w:r w:rsidR="00EA3AA8" w:rsidRPr="00FD6B71">
        <w:rPr>
          <w:i/>
          <w:iCs/>
        </w:rPr>
        <w:t>apaciguamiento</w:t>
      </w:r>
      <w:r w:rsidRPr="00FD6B71">
        <w:rPr>
          <w:i/>
          <w:iCs/>
        </w:rPr>
        <w:t xml:space="preserve"> de </w:t>
      </w:r>
      <w:r w:rsidR="0050509E">
        <w:rPr>
          <w:i/>
          <w:iCs/>
        </w:rPr>
        <w:t>la aplicación y la sustentación mental</w:t>
      </w:r>
      <w:r w:rsidRPr="00FD6B71">
        <w:rPr>
          <w:i/>
          <w:iCs/>
        </w:rPr>
        <w:t xml:space="preserve">, </w:t>
      </w:r>
      <w:r w:rsidR="00732B35">
        <w:rPr>
          <w:i/>
          <w:iCs/>
        </w:rPr>
        <w:t xml:space="preserve">él </w:t>
      </w:r>
      <w:r w:rsidRPr="00FD6B71">
        <w:rPr>
          <w:i/>
          <w:iCs/>
        </w:rPr>
        <w:t>entra</w:t>
      </w:r>
      <w:r w:rsidR="00EA3AA8" w:rsidRPr="00FD6B71">
        <w:rPr>
          <w:i/>
          <w:iCs/>
        </w:rPr>
        <w:t xml:space="preserve">rá </w:t>
      </w:r>
      <w:r w:rsidRPr="00FD6B71">
        <w:rPr>
          <w:i/>
          <w:iCs/>
        </w:rPr>
        <w:t xml:space="preserve">y </w:t>
      </w:r>
      <w:r w:rsidR="00EA3AA8" w:rsidRPr="00FD6B71">
        <w:rPr>
          <w:i/>
          <w:iCs/>
        </w:rPr>
        <w:t>habitará</w:t>
      </w:r>
      <w:r w:rsidRPr="00FD6B71">
        <w:rPr>
          <w:i/>
          <w:iCs/>
        </w:rPr>
        <w:t xml:space="preserve"> en el segundo </w:t>
      </w:r>
      <w:proofErr w:type="spellStart"/>
      <w:r w:rsidR="00057BF4" w:rsidRPr="00FD6B71">
        <w:rPr>
          <w:i/>
          <w:iCs/>
        </w:rPr>
        <w:t>jhāna</w:t>
      </w:r>
      <w:proofErr w:type="spellEnd"/>
      <w:r w:rsidRPr="00FD6B71">
        <w:rPr>
          <w:i/>
          <w:iCs/>
        </w:rPr>
        <w:t xml:space="preserve">, que </w:t>
      </w:r>
      <w:r w:rsidR="00EA3AA8" w:rsidRPr="00FD6B71">
        <w:rPr>
          <w:i/>
          <w:iCs/>
        </w:rPr>
        <w:t>posee</w:t>
      </w:r>
      <w:r w:rsidR="00065D14" w:rsidRPr="00FD6B71">
        <w:rPr>
          <w:i/>
          <w:iCs/>
        </w:rPr>
        <w:t xml:space="preserve">rá </w:t>
      </w:r>
      <w:r w:rsidRPr="00FD6B71">
        <w:rPr>
          <w:i/>
          <w:iCs/>
        </w:rPr>
        <w:t>confianza interna y uni</w:t>
      </w:r>
      <w:r w:rsidR="00FD6B71">
        <w:rPr>
          <w:i/>
          <w:iCs/>
        </w:rPr>
        <w:t>ficación</w:t>
      </w:r>
      <w:r w:rsidRPr="00FD6B71">
        <w:rPr>
          <w:i/>
          <w:iCs/>
        </w:rPr>
        <w:t xml:space="preserve"> ment</w:t>
      </w:r>
      <w:r w:rsidR="00065D14" w:rsidRPr="00FD6B71">
        <w:rPr>
          <w:i/>
          <w:iCs/>
        </w:rPr>
        <w:t>al</w:t>
      </w:r>
      <w:r w:rsidR="00417D1C">
        <w:rPr>
          <w:i/>
          <w:iCs/>
        </w:rPr>
        <w:t>,</w:t>
      </w:r>
      <w:r w:rsidRPr="00FD6B71">
        <w:rPr>
          <w:i/>
          <w:iCs/>
        </w:rPr>
        <w:t xml:space="preserve"> </w:t>
      </w:r>
      <w:r w:rsidR="00EA1C72">
        <w:rPr>
          <w:i/>
          <w:iCs/>
        </w:rPr>
        <w:t xml:space="preserve">pero </w:t>
      </w:r>
      <w:r w:rsidRPr="00FD6B71">
        <w:rPr>
          <w:i/>
          <w:iCs/>
        </w:rPr>
        <w:t xml:space="preserve">sin </w:t>
      </w:r>
      <w:proofErr w:type="gramStart"/>
      <w:r w:rsidR="00EA1C72">
        <w:rPr>
          <w:i/>
          <w:iCs/>
        </w:rPr>
        <w:t>aplicación mental</w:t>
      </w:r>
      <w:r w:rsidRPr="00FD6B71">
        <w:rPr>
          <w:i/>
          <w:iCs/>
        </w:rPr>
        <w:t xml:space="preserve"> </w:t>
      </w:r>
      <w:r w:rsidR="00417D1C">
        <w:rPr>
          <w:i/>
          <w:iCs/>
        </w:rPr>
        <w:t xml:space="preserve">ni </w:t>
      </w:r>
      <w:r w:rsidR="00EA1C72">
        <w:rPr>
          <w:i/>
          <w:iCs/>
        </w:rPr>
        <w:t>sustentación mental</w:t>
      </w:r>
      <w:proofErr w:type="gramEnd"/>
      <w:r w:rsidRPr="00FD6B71">
        <w:rPr>
          <w:i/>
          <w:iCs/>
        </w:rPr>
        <w:t xml:space="preserve">, con felicidad y dicha </w:t>
      </w:r>
      <w:r w:rsidR="00065D14" w:rsidRPr="00FD6B71">
        <w:rPr>
          <w:i/>
          <w:iCs/>
        </w:rPr>
        <w:t>surgidas</w:t>
      </w:r>
      <w:r w:rsidRPr="00FD6B71">
        <w:rPr>
          <w:i/>
          <w:iCs/>
        </w:rPr>
        <w:t xml:space="preserve"> de la concentración</w:t>
      </w:r>
      <w:r>
        <w:t>". (</w:t>
      </w:r>
      <w:proofErr w:type="spellStart"/>
      <w:r>
        <w:t>Vibh</w:t>
      </w:r>
      <w:proofErr w:type="spellEnd"/>
      <w:r>
        <w:t xml:space="preserve"> 245), </w:t>
      </w:r>
      <w:r w:rsidRPr="0054713D">
        <w:rPr>
          <w:i/>
          <w:iCs/>
        </w:rPr>
        <w:t>y así ha</w:t>
      </w:r>
      <w:r w:rsidR="007655F2" w:rsidRPr="0054713D">
        <w:rPr>
          <w:i/>
          <w:iCs/>
        </w:rPr>
        <w:t xml:space="preserve">brá </w:t>
      </w:r>
      <w:r w:rsidRPr="0054713D">
        <w:rPr>
          <w:i/>
          <w:iCs/>
        </w:rPr>
        <w:t xml:space="preserve">alcanzado el segundo </w:t>
      </w:r>
      <w:proofErr w:type="spellStart"/>
      <w:r w:rsidR="00057BF4" w:rsidRPr="0054713D">
        <w:rPr>
          <w:i/>
          <w:iCs/>
        </w:rPr>
        <w:t>jhāna</w:t>
      </w:r>
      <w:proofErr w:type="spellEnd"/>
      <w:r w:rsidRPr="0054713D">
        <w:rPr>
          <w:i/>
          <w:iCs/>
        </w:rPr>
        <w:t>, que abandona</w:t>
      </w:r>
      <w:r w:rsidR="007655F2" w:rsidRPr="0054713D">
        <w:rPr>
          <w:i/>
          <w:iCs/>
        </w:rPr>
        <w:t xml:space="preserve">rá </w:t>
      </w:r>
      <w:r w:rsidRPr="0054713D">
        <w:rPr>
          <w:i/>
          <w:iCs/>
        </w:rPr>
        <w:t xml:space="preserve">dos factores, </w:t>
      </w:r>
      <w:r w:rsidR="007655F2" w:rsidRPr="0054713D">
        <w:rPr>
          <w:i/>
          <w:iCs/>
        </w:rPr>
        <w:t xml:space="preserve">y </w:t>
      </w:r>
      <w:r w:rsidR="00102343">
        <w:rPr>
          <w:i/>
          <w:iCs/>
        </w:rPr>
        <w:t>pose</w:t>
      </w:r>
      <w:r w:rsidR="00FD662C">
        <w:rPr>
          <w:i/>
          <w:iCs/>
        </w:rPr>
        <w:t>erá</w:t>
      </w:r>
      <w:r w:rsidR="00102343">
        <w:rPr>
          <w:i/>
          <w:iCs/>
        </w:rPr>
        <w:t xml:space="preserve"> de</w:t>
      </w:r>
      <w:r w:rsidR="007655F2" w:rsidRPr="0054713D">
        <w:rPr>
          <w:i/>
          <w:iCs/>
        </w:rPr>
        <w:t xml:space="preserve"> </w:t>
      </w:r>
      <w:r w:rsidRPr="0054713D">
        <w:rPr>
          <w:i/>
          <w:iCs/>
        </w:rPr>
        <w:t xml:space="preserve">tres factores, </w:t>
      </w:r>
      <w:r w:rsidR="00F874AC">
        <w:rPr>
          <w:i/>
          <w:iCs/>
        </w:rPr>
        <w:t xml:space="preserve">que </w:t>
      </w:r>
      <w:r w:rsidR="007655F2" w:rsidRPr="0054713D">
        <w:rPr>
          <w:i/>
          <w:iCs/>
        </w:rPr>
        <w:t xml:space="preserve">será </w:t>
      </w:r>
      <w:r w:rsidRPr="0054713D">
        <w:rPr>
          <w:i/>
          <w:iCs/>
        </w:rPr>
        <w:t xml:space="preserve">bueno en tres formas, </w:t>
      </w:r>
      <w:r w:rsidR="00F874AC">
        <w:rPr>
          <w:i/>
          <w:iCs/>
        </w:rPr>
        <w:t xml:space="preserve">que </w:t>
      </w:r>
      <w:r w:rsidRPr="0054713D">
        <w:rPr>
          <w:i/>
          <w:iCs/>
        </w:rPr>
        <w:t>posee</w:t>
      </w:r>
      <w:r w:rsidR="007655F2" w:rsidRPr="0054713D">
        <w:rPr>
          <w:i/>
          <w:iCs/>
        </w:rPr>
        <w:t xml:space="preserve">rá </w:t>
      </w:r>
      <w:r w:rsidRPr="0054713D">
        <w:rPr>
          <w:i/>
          <w:iCs/>
        </w:rPr>
        <w:t xml:space="preserve">diez características y </w:t>
      </w:r>
      <w:r w:rsidR="00F874AC">
        <w:rPr>
          <w:i/>
          <w:iCs/>
        </w:rPr>
        <w:t>que corresponderá a</w:t>
      </w:r>
      <w:r w:rsidR="00A51136" w:rsidRPr="0054713D">
        <w:rPr>
          <w:i/>
          <w:iCs/>
        </w:rPr>
        <w:t xml:space="preserve">l </w:t>
      </w:r>
      <w:proofErr w:type="spellStart"/>
      <w:r w:rsidR="00057BF4" w:rsidRPr="0054713D">
        <w:rPr>
          <w:i/>
          <w:iCs/>
        </w:rPr>
        <w:t>kasiṇa</w:t>
      </w:r>
      <w:proofErr w:type="spellEnd"/>
      <w:r w:rsidR="00B330C1" w:rsidRPr="0054713D">
        <w:rPr>
          <w:i/>
          <w:iCs/>
        </w:rPr>
        <w:t xml:space="preserve"> tierra</w:t>
      </w:r>
      <w:r>
        <w:t>. [156]</w:t>
      </w:r>
    </w:p>
    <w:p w14:paraId="754AC59A" w14:textId="058B7680" w:rsidR="002730AC" w:rsidRDefault="002730AC" w:rsidP="002730AC">
      <w:r>
        <w:t xml:space="preserve">140. </w:t>
      </w:r>
      <w:r>
        <w:tab/>
        <w:t xml:space="preserve">Aquí, </w:t>
      </w:r>
      <w:r w:rsidRPr="000C7BF2">
        <w:rPr>
          <w:i/>
          <w:iCs/>
        </w:rPr>
        <w:t xml:space="preserve">con el </w:t>
      </w:r>
      <w:r w:rsidR="00A51136" w:rsidRPr="00A51136">
        <w:rPr>
          <w:i/>
          <w:iCs/>
        </w:rPr>
        <w:t xml:space="preserve">apaciguamiento </w:t>
      </w:r>
      <w:r w:rsidRPr="000C7BF2">
        <w:rPr>
          <w:i/>
          <w:iCs/>
        </w:rPr>
        <w:t xml:space="preserve">de </w:t>
      </w:r>
      <w:r w:rsidR="00730FEE">
        <w:rPr>
          <w:i/>
          <w:iCs/>
        </w:rPr>
        <w:t>la aplicación y la sustentación mental</w:t>
      </w:r>
      <w:r>
        <w:t xml:space="preserve">: </w:t>
      </w:r>
      <w:r w:rsidR="00E66788">
        <w:t xml:space="preserve">lo que se quiere decir es: </w:t>
      </w:r>
      <w:r>
        <w:t xml:space="preserve">con el </w:t>
      </w:r>
      <w:r w:rsidR="00A51136" w:rsidRPr="00A51136">
        <w:t>apaciguamiento</w:t>
      </w:r>
      <w:r>
        <w:t xml:space="preserve">, con la superación de estos dos, </w:t>
      </w:r>
      <w:r w:rsidR="00DD0EC4">
        <w:t>es decir</w:t>
      </w:r>
      <w:r>
        <w:t xml:space="preserve">, </w:t>
      </w:r>
      <w:r w:rsidR="00DD0EC4">
        <w:t>de</w:t>
      </w:r>
      <w:r w:rsidR="00080202">
        <w:t xml:space="preserve"> </w:t>
      </w:r>
      <w:r w:rsidR="00DD0EC4" w:rsidRPr="00080202">
        <w:t>l</w:t>
      </w:r>
      <w:r w:rsidR="00080202" w:rsidRPr="00080202">
        <w:t>a</w:t>
      </w:r>
      <w:r w:rsidR="00DD0EC4" w:rsidRPr="00080202">
        <w:t xml:space="preserve"> </w:t>
      </w:r>
      <w:proofErr w:type="gramStart"/>
      <w:r w:rsidR="00080202" w:rsidRPr="00080202">
        <w:t xml:space="preserve">aplicación mental </w:t>
      </w:r>
      <w:r w:rsidRPr="00080202">
        <w:t xml:space="preserve">y </w:t>
      </w:r>
      <w:r w:rsidR="00080202" w:rsidRPr="00080202">
        <w:t>sustentación mental</w:t>
      </w:r>
      <w:proofErr w:type="gramEnd"/>
      <w:r>
        <w:t xml:space="preserve">; con su no manifestación en el momento del segundo </w:t>
      </w:r>
      <w:proofErr w:type="spellStart"/>
      <w:r w:rsidR="00057BF4" w:rsidRPr="00057BF4">
        <w:rPr>
          <w:i/>
          <w:iCs/>
        </w:rPr>
        <w:t>jhāna</w:t>
      </w:r>
      <w:proofErr w:type="spellEnd"/>
      <w:r>
        <w:t xml:space="preserve">. Aquí, aunque ninguno de los estados pertenecientes al primer </w:t>
      </w:r>
      <w:proofErr w:type="spellStart"/>
      <w:r w:rsidR="00057BF4" w:rsidRPr="00057BF4">
        <w:rPr>
          <w:i/>
          <w:iCs/>
        </w:rPr>
        <w:t>jhāna</w:t>
      </w:r>
      <w:proofErr w:type="spellEnd"/>
      <w:r>
        <w:t xml:space="preserve"> exist</w:t>
      </w:r>
      <w:r w:rsidR="00DD0EC4">
        <w:t>irá</w:t>
      </w:r>
      <w:r>
        <w:t xml:space="preserve"> en el segundo </w:t>
      </w:r>
      <w:proofErr w:type="spellStart"/>
      <w:r w:rsidR="00057BF4" w:rsidRPr="00057BF4">
        <w:rPr>
          <w:i/>
          <w:iCs/>
        </w:rPr>
        <w:t>jhāna</w:t>
      </w:r>
      <w:proofErr w:type="spellEnd"/>
      <w:r w:rsidR="00DE2664">
        <w:rPr>
          <w:i/>
          <w:iCs/>
        </w:rPr>
        <w:t xml:space="preserve"> –</w:t>
      </w:r>
      <w:r>
        <w:t xml:space="preserve"> para el contacto, etc. (ver M III 25), en el primer </w:t>
      </w:r>
      <w:proofErr w:type="spellStart"/>
      <w:r w:rsidR="00057BF4" w:rsidRPr="00057BF4">
        <w:rPr>
          <w:i/>
          <w:iCs/>
        </w:rPr>
        <w:t>jhāna</w:t>
      </w:r>
      <w:proofErr w:type="spellEnd"/>
      <w:r>
        <w:t xml:space="preserve"> </w:t>
      </w:r>
      <w:r w:rsidR="003306D6">
        <w:t xml:space="preserve">serán </w:t>
      </w:r>
      <w:r w:rsidR="0002582A">
        <w:t>de un tipo</w:t>
      </w:r>
      <w:r>
        <w:t xml:space="preserve"> y aquí </w:t>
      </w:r>
      <w:r w:rsidR="0002582A">
        <w:t xml:space="preserve">de </w:t>
      </w:r>
      <w:r>
        <w:t xml:space="preserve">otro, debe entenderse de todos modos que la frase “con el </w:t>
      </w:r>
      <w:r w:rsidR="00DD0EC4" w:rsidRPr="00DD0EC4">
        <w:t xml:space="preserve">apaciguamiento </w:t>
      </w:r>
      <w:r>
        <w:t xml:space="preserve">de </w:t>
      </w:r>
      <w:r w:rsidR="00060FED" w:rsidRPr="00060FED">
        <w:t>la aplicación y la sustentación mental</w:t>
      </w:r>
      <w:r>
        <w:t>” se expresa</w:t>
      </w:r>
      <w:r w:rsidR="00DD0EC4">
        <w:t xml:space="preserve">rá </w:t>
      </w:r>
      <w:r>
        <w:t xml:space="preserve">de esta manera para indicar que </w:t>
      </w:r>
      <w:r w:rsidR="00DD0EC4">
        <w:t>la consumación</w:t>
      </w:r>
      <w:r>
        <w:t xml:space="preserve"> de los otros </w:t>
      </w:r>
      <w:proofErr w:type="spellStart"/>
      <w:r w:rsidR="00057BF4" w:rsidRPr="00057BF4">
        <w:rPr>
          <w:i/>
          <w:iCs/>
        </w:rPr>
        <w:t>jhāna</w:t>
      </w:r>
      <w:r w:rsidRPr="00990BB4">
        <w:rPr>
          <w:i/>
          <w:iCs/>
        </w:rPr>
        <w:t>s</w:t>
      </w:r>
      <w:proofErr w:type="spellEnd"/>
      <w:r>
        <w:t>, comenzando con el segundo desde el primero, se efect</w:t>
      </w:r>
      <w:r w:rsidR="00C837A1">
        <w:t>u</w:t>
      </w:r>
      <w:r>
        <w:t>a</w:t>
      </w:r>
      <w:r w:rsidR="00C837A1">
        <w:t xml:space="preserve">rá </w:t>
      </w:r>
      <w:r>
        <w:t xml:space="preserve">superando el factor denso </w:t>
      </w:r>
      <w:r w:rsidR="00C837A1">
        <w:t>de</w:t>
      </w:r>
      <w:r>
        <w:t xml:space="preserve"> cada caso.</w:t>
      </w:r>
    </w:p>
    <w:p w14:paraId="508B89F3" w14:textId="080A5B00" w:rsidR="002730AC" w:rsidRDefault="002730AC" w:rsidP="002730AC">
      <w:r>
        <w:t xml:space="preserve">141. </w:t>
      </w:r>
      <w:r>
        <w:tab/>
      </w:r>
      <w:r w:rsidRPr="000C7BF2">
        <w:rPr>
          <w:i/>
          <w:iCs/>
        </w:rPr>
        <w:t>Interna</w:t>
      </w:r>
      <w:r>
        <w:t xml:space="preserve">: aquí se entiende </w:t>
      </w:r>
      <w:r w:rsidR="00836182">
        <w:t xml:space="preserve">como </w:t>
      </w:r>
      <w:r w:rsidR="006474D9">
        <w:t xml:space="preserve">el aspecto </w:t>
      </w:r>
      <w:r>
        <w:t>intern</w:t>
      </w:r>
      <w:r w:rsidR="006474D9">
        <w:t>o personal</w:t>
      </w:r>
      <w:r w:rsidRPr="00061742">
        <w:rPr>
          <w:vertAlign w:val="superscript"/>
        </w:rPr>
        <w:t>41</w:t>
      </w:r>
      <w:r>
        <w:t xml:space="preserve">; </w:t>
      </w:r>
      <w:r w:rsidR="00836182">
        <w:t xml:space="preserve">no </w:t>
      </w:r>
      <w:r w:rsidR="003037F2">
        <w:t xml:space="preserve">obstante, </w:t>
      </w:r>
      <w:r>
        <w:t xml:space="preserve">eso también se afirma en el </w:t>
      </w:r>
      <w:proofErr w:type="spellStart"/>
      <w:r w:rsidRPr="00990BB4">
        <w:rPr>
          <w:i/>
          <w:iCs/>
        </w:rPr>
        <w:t>Vibhaṅga</w:t>
      </w:r>
      <w:proofErr w:type="spellEnd"/>
      <w:r>
        <w:t xml:space="preserve"> con las palabras “internamente en uno mismo” (</w:t>
      </w:r>
      <w:proofErr w:type="spellStart"/>
      <w:r>
        <w:t>Vibh</w:t>
      </w:r>
      <w:proofErr w:type="spellEnd"/>
      <w:r>
        <w:t xml:space="preserve"> 258). Y como se trata del interior </w:t>
      </w:r>
      <w:r w:rsidR="00903776">
        <w:t>personal</w:t>
      </w:r>
      <w:r w:rsidR="00903776" w:rsidRPr="00061742">
        <w:rPr>
          <w:vertAlign w:val="superscript"/>
        </w:rPr>
        <w:t>41</w:t>
      </w:r>
      <w:r>
        <w:t xml:space="preserve">, el significado aquí es </w:t>
      </w:r>
      <w:r w:rsidR="003037F2">
        <w:t>é</w:t>
      </w:r>
      <w:r>
        <w:t xml:space="preserve">ste: </w:t>
      </w:r>
      <w:r w:rsidR="00FA1E00">
        <w:t xml:space="preserve">surge </w:t>
      </w:r>
      <w:r>
        <w:t xml:space="preserve">en uno mismo, </w:t>
      </w:r>
      <w:r w:rsidR="00FA1E00">
        <w:t xml:space="preserve">se </w:t>
      </w:r>
      <w:r>
        <w:t>genera en la propia continuidad</w:t>
      </w:r>
      <w:r w:rsidR="00FA1E00">
        <w:t xml:space="preserve"> personal</w:t>
      </w:r>
      <w:r>
        <w:t>.</w:t>
      </w:r>
    </w:p>
    <w:p w14:paraId="1438036D" w14:textId="1742F420" w:rsidR="002730AC" w:rsidRDefault="002730AC" w:rsidP="002730AC">
      <w:r>
        <w:t xml:space="preserve">142. </w:t>
      </w:r>
      <w:r>
        <w:tab/>
      </w:r>
      <w:r w:rsidRPr="000C7BF2">
        <w:rPr>
          <w:i/>
          <w:iCs/>
        </w:rPr>
        <w:t>Confianza</w:t>
      </w:r>
      <w:r>
        <w:t xml:space="preserve">: </w:t>
      </w:r>
      <w:r w:rsidR="00FA1E00">
        <w:t xml:space="preserve">a </w:t>
      </w:r>
      <w:r>
        <w:t>lo que se llam</w:t>
      </w:r>
      <w:r w:rsidR="00160003">
        <w:t>e</w:t>
      </w:r>
      <w:r>
        <w:t xml:space="preserve"> confianza</w:t>
      </w:r>
      <w:r w:rsidR="00903776" w:rsidRPr="00903776">
        <w:t xml:space="preserve"> </w:t>
      </w:r>
      <w:r w:rsidR="00903776">
        <w:t xml:space="preserve">aquí </w:t>
      </w:r>
      <w:r w:rsidR="00CC740C">
        <w:t>se refer</w:t>
      </w:r>
      <w:r w:rsidR="00160003">
        <w:t>irá</w:t>
      </w:r>
      <w:r w:rsidR="00CC740C">
        <w:t xml:space="preserve"> a la</w:t>
      </w:r>
      <w:r w:rsidR="00903776">
        <w:t xml:space="preserve"> fe</w:t>
      </w:r>
      <w:r>
        <w:t xml:space="preserve">. </w:t>
      </w:r>
      <w:r w:rsidR="00FA1E00">
        <w:t>El</w:t>
      </w:r>
      <w:r>
        <w:t xml:space="preserve"> </w:t>
      </w:r>
      <w:proofErr w:type="spellStart"/>
      <w:r w:rsidR="00057BF4" w:rsidRPr="00057BF4">
        <w:rPr>
          <w:i/>
          <w:iCs/>
        </w:rPr>
        <w:t>jhāna</w:t>
      </w:r>
      <w:proofErr w:type="spellEnd"/>
      <w:r>
        <w:t xml:space="preserve"> “</w:t>
      </w:r>
      <w:r w:rsidR="003E0F0B">
        <w:t>posee</w:t>
      </w:r>
      <w:r>
        <w:t xml:space="preserve"> confianza” porque está asociad</w:t>
      </w:r>
      <w:r w:rsidR="003E0F0B">
        <w:t>o</w:t>
      </w:r>
      <w:r>
        <w:t xml:space="preserve"> con la confianza como </w:t>
      </w:r>
      <w:r w:rsidR="00A27546">
        <w:t>la de</w:t>
      </w:r>
      <w:r w:rsidR="00903776">
        <w:t xml:space="preserve"> </w:t>
      </w:r>
      <w:r>
        <w:t xml:space="preserve">una tela </w:t>
      </w:r>
      <w:r w:rsidR="00A27546">
        <w:t xml:space="preserve">que </w:t>
      </w:r>
      <w:r>
        <w:t>“</w:t>
      </w:r>
      <w:r w:rsidR="003E0F0B">
        <w:t>tuviese</w:t>
      </w:r>
      <w:r>
        <w:t xml:space="preserve"> color azul” porque está asociada con el color azul. O, alternativamente, se di</w:t>
      </w:r>
      <w:r w:rsidR="00A27546">
        <w:t>rá</w:t>
      </w:r>
      <w:r>
        <w:t xml:space="preserve"> que</w:t>
      </w:r>
      <w:r w:rsidR="000778B6">
        <w:t xml:space="preserve"> el</w:t>
      </w:r>
      <w:r>
        <w:t xml:space="preserve"> </w:t>
      </w:r>
      <w:proofErr w:type="spellStart"/>
      <w:r w:rsidR="00057BF4" w:rsidRPr="00057BF4">
        <w:rPr>
          <w:i/>
          <w:iCs/>
        </w:rPr>
        <w:t>jhāna</w:t>
      </w:r>
      <w:proofErr w:type="spellEnd"/>
      <w:r>
        <w:t xml:space="preserve"> "</w:t>
      </w:r>
      <w:r w:rsidR="00687EFF">
        <w:t xml:space="preserve">posee </w:t>
      </w:r>
      <w:r>
        <w:t>confianza" porque ha</w:t>
      </w:r>
      <w:r w:rsidR="00DD4C28">
        <w:t>r</w:t>
      </w:r>
      <w:r w:rsidR="00160003">
        <w:t>á</w:t>
      </w:r>
      <w:r>
        <w:t xml:space="preserve"> que la mente </w:t>
      </w:r>
      <w:r w:rsidR="00DD4C28">
        <w:t xml:space="preserve">desarrolle </w:t>
      </w:r>
      <w:r>
        <w:t xml:space="preserve">confianza </w:t>
      </w:r>
      <w:r w:rsidR="00AF536E">
        <w:t>debido a</w:t>
      </w:r>
      <w:r>
        <w:t xml:space="preserve"> la confianza que </w:t>
      </w:r>
      <w:r w:rsidR="000778B6">
        <w:t xml:space="preserve">propiamente </w:t>
      </w:r>
      <w:r w:rsidR="00AB3045">
        <w:t xml:space="preserve">éste </w:t>
      </w:r>
      <w:r>
        <w:t xml:space="preserve">posee y </w:t>
      </w:r>
      <w:r w:rsidR="00AF536E">
        <w:t>por</w:t>
      </w:r>
      <w:r>
        <w:t xml:space="preserve"> calmar la perturbación creada por </w:t>
      </w:r>
      <w:r w:rsidR="00DD4C28" w:rsidRPr="00DD4C28">
        <w:t>la aplicación y la sustentación mental</w:t>
      </w:r>
      <w:r>
        <w:t xml:space="preserve">. Y con esta concepción del significado la </w:t>
      </w:r>
      <w:r w:rsidR="003A4C43">
        <w:t xml:space="preserve">interpretación de la </w:t>
      </w:r>
      <w:r>
        <w:t xml:space="preserve">palabra debe ser </w:t>
      </w:r>
      <w:r w:rsidR="00356676">
        <w:t xml:space="preserve">adoptada </w:t>
      </w:r>
      <w:r>
        <w:t xml:space="preserve">como “confianza </w:t>
      </w:r>
      <w:r w:rsidR="00FF41CF">
        <w:t>mental</w:t>
      </w:r>
      <w:r>
        <w:t xml:space="preserve">”. </w:t>
      </w:r>
      <w:r w:rsidR="003A4C43">
        <w:t xml:space="preserve">No obstante, </w:t>
      </w:r>
      <w:r>
        <w:t>con la primera concepción mencionada del significado, la palabra “</w:t>
      </w:r>
      <w:r w:rsidR="00FF41CF">
        <w:t>mental</w:t>
      </w:r>
      <w:r>
        <w:t>” debe</w:t>
      </w:r>
      <w:r w:rsidR="00B610D4">
        <w:t>ría</w:t>
      </w:r>
      <w:r>
        <w:t xml:space="preserve"> interpretarse como “</w:t>
      </w:r>
      <w:r w:rsidR="00201257">
        <w:t>singular</w:t>
      </w:r>
      <w:r>
        <w:t>”.</w:t>
      </w:r>
      <w:r w:rsidRPr="00061742">
        <w:rPr>
          <w:vertAlign w:val="superscript"/>
        </w:rPr>
        <w:t>42</w:t>
      </w:r>
    </w:p>
    <w:p w14:paraId="43E81F66" w14:textId="09BFF6B8" w:rsidR="002730AC" w:rsidRDefault="002730AC" w:rsidP="002730AC">
      <w:r>
        <w:t xml:space="preserve">143. </w:t>
      </w:r>
      <w:r>
        <w:tab/>
        <w:t>Aquí está la construcción del significado en ese caso. Único (</w:t>
      </w:r>
      <w:proofErr w:type="spellStart"/>
      <w:r w:rsidRPr="00990BB4">
        <w:rPr>
          <w:i/>
          <w:iCs/>
        </w:rPr>
        <w:t>eka</w:t>
      </w:r>
      <w:proofErr w:type="spellEnd"/>
      <w:r>
        <w:t>) surge (</w:t>
      </w:r>
      <w:proofErr w:type="spellStart"/>
      <w:r w:rsidRPr="00990BB4">
        <w:rPr>
          <w:i/>
          <w:iCs/>
        </w:rPr>
        <w:t>udeti</w:t>
      </w:r>
      <w:proofErr w:type="spellEnd"/>
      <w:r>
        <w:t>), así es único (</w:t>
      </w:r>
      <w:proofErr w:type="spellStart"/>
      <w:r w:rsidRPr="00990BB4">
        <w:rPr>
          <w:i/>
          <w:iCs/>
        </w:rPr>
        <w:t>ekodi</w:t>
      </w:r>
      <w:proofErr w:type="spellEnd"/>
      <w:r>
        <w:t xml:space="preserve">); el significado es que surge como </w:t>
      </w:r>
      <w:r w:rsidR="00126797">
        <w:t xml:space="preserve">un </w:t>
      </w:r>
      <w:r>
        <w:t xml:space="preserve">superlativo, </w:t>
      </w:r>
      <w:r w:rsidR="001113C2">
        <w:t xml:space="preserve">como </w:t>
      </w:r>
      <w:r>
        <w:t xml:space="preserve">lo mejor, porque no es superado por </w:t>
      </w:r>
      <w:r w:rsidR="004E49F2" w:rsidRPr="004E49F2">
        <w:t>la aplicación y la sustentación mental</w:t>
      </w:r>
      <w:r>
        <w:t xml:space="preserve">, porque </w:t>
      </w:r>
      <w:r w:rsidR="00FB1B84">
        <w:t xml:space="preserve">a </w:t>
      </w:r>
      <w:r>
        <w:t xml:space="preserve">lo mejor </w:t>
      </w:r>
      <w:r w:rsidR="004E49F2">
        <w:t xml:space="preserve">en el mundo </w:t>
      </w:r>
      <w:r>
        <w:t xml:space="preserve">se </w:t>
      </w:r>
      <w:r w:rsidR="00FB1B84">
        <w:t xml:space="preserve">le </w:t>
      </w:r>
      <w:r>
        <w:t>llama “único”. O es permisible decir que cuando se le priv</w:t>
      </w:r>
      <w:r w:rsidR="00FB1B84">
        <w:t>e</w:t>
      </w:r>
      <w:r>
        <w:t xml:space="preserve"> </w:t>
      </w:r>
      <w:proofErr w:type="spellStart"/>
      <w:r>
        <w:t>del</w:t>
      </w:r>
      <w:proofErr w:type="spellEnd"/>
      <w:r>
        <w:t xml:space="preserve"> </w:t>
      </w:r>
      <w:r w:rsidR="004E49F2">
        <w:t xml:space="preserve">la aplicación y sustentación mental </w:t>
      </w:r>
      <w:r w:rsidR="00FB1B84">
        <w:t>será</w:t>
      </w:r>
      <w:r>
        <w:t xml:space="preserve"> único, sin</w:t>
      </w:r>
    </w:p>
    <w:p w14:paraId="7A1D1734" w14:textId="77777777" w:rsidR="002730AC" w:rsidRDefault="002730AC" w:rsidP="002730AC">
      <w:pPr>
        <w:pStyle w:val="PiedepginaLegal"/>
        <w:rPr>
          <w:u w:val="single"/>
        </w:rPr>
      </w:pPr>
      <w:r>
        <w:rPr>
          <w:u w:val="single"/>
        </w:rPr>
        <w:tab/>
      </w:r>
      <w:r>
        <w:rPr>
          <w:u w:val="single"/>
        </w:rPr>
        <w:tab/>
      </w:r>
      <w:r>
        <w:rPr>
          <w:u w:val="single"/>
        </w:rPr>
        <w:tab/>
      </w:r>
      <w:r>
        <w:rPr>
          <w:u w:val="single"/>
        </w:rPr>
        <w:tab/>
        <w:t>.</w:t>
      </w:r>
    </w:p>
    <w:p w14:paraId="737709C6" w14:textId="7CA73B97" w:rsidR="002730AC" w:rsidRDefault="002730AC" w:rsidP="002730AC">
      <w:pPr>
        <w:pStyle w:val="PiedepginaLegal"/>
      </w:pPr>
      <w:r>
        <w:t xml:space="preserve">41. </w:t>
      </w:r>
      <w:r>
        <w:tab/>
        <w:t>Véase XIV.192 y nota.</w:t>
      </w:r>
    </w:p>
    <w:p w14:paraId="59CE7CCA" w14:textId="7D82120B" w:rsidR="002730AC" w:rsidRDefault="002730AC" w:rsidP="002730AC">
      <w:pPr>
        <w:pStyle w:val="PiedepginaLegal"/>
      </w:pPr>
      <w:r>
        <w:t xml:space="preserve">42. </w:t>
      </w:r>
      <w:r>
        <w:tab/>
        <w:t xml:space="preserve">En </w:t>
      </w:r>
      <w:r w:rsidR="00AD6B1D" w:rsidRPr="00AD6B1D">
        <w:rPr>
          <w:i/>
        </w:rPr>
        <w:t>Pāḷi</w:t>
      </w:r>
      <w:r>
        <w:t xml:space="preserve">, </w:t>
      </w:r>
      <w:proofErr w:type="spellStart"/>
      <w:r w:rsidRPr="00990BB4">
        <w:rPr>
          <w:i/>
          <w:iCs/>
        </w:rPr>
        <w:t>sampasādanaṃ</w:t>
      </w:r>
      <w:proofErr w:type="spellEnd"/>
      <w:r w:rsidRPr="00990BB4">
        <w:rPr>
          <w:i/>
          <w:iCs/>
        </w:rPr>
        <w:t xml:space="preserve"> </w:t>
      </w:r>
      <w:proofErr w:type="spellStart"/>
      <w:r w:rsidRPr="00990BB4">
        <w:rPr>
          <w:i/>
          <w:iCs/>
        </w:rPr>
        <w:t>cetaso</w:t>
      </w:r>
      <w:proofErr w:type="spellEnd"/>
      <w:r w:rsidRPr="00990BB4">
        <w:rPr>
          <w:i/>
          <w:iCs/>
        </w:rPr>
        <w:t xml:space="preserve"> </w:t>
      </w:r>
      <w:proofErr w:type="spellStart"/>
      <w:r w:rsidRPr="00990BB4">
        <w:rPr>
          <w:i/>
          <w:iCs/>
        </w:rPr>
        <w:t>ekodibhāvaṃ</w:t>
      </w:r>
      <w:proofErr w:type="spellEnd"/>
      <w:r w:rsidRPr="00990BB4">
        <w:rPr>
          <w:i/>
          <w:iCs/>
        </w:rPr>
        <w:t xml:space="preserve">: </w:t>
      </w:r>
      <w:proofErr w:type="spellStart"/>
      <w:r w:rsidRPr="00990BB4">
        <w:rPr>
          <w:i/>
          <w:iCs/>
        </w:rPr>
        <w:t>cetaso</w:t>
      </w:r>
      <w:proofErr w:type="spellEnd"/>
      <w:r>
        <w:t xml:space="preserve"> ("</w:t>
      </w:r>
      <w:r w:rsidR="00B610D4">
        <w:t>mental</w:t>
      </w:r>
      <w:r>
        <w:t xml:space="preserve">") se encuentra entre </w:t>
      </w:r>
      <w:proofErr w:type="spellStart"/>
      <w:r w:rsidRPr="00990BB4">
        <w:rPr>
          <w:i/>
          <w:iCs/>
        </w:rPr>
        <w:t>sampasādanaṃ</w:t>
      </w:r>
      <w:proofErr w:type="spellEnd"/>
      <w:r>
        <w:t xml:space="preserve"> ("confianza") y </w:t>
      </w:r>
      <w:proofErr w:type="spellStart"/>
      <w:r w:rsidRPr="00990BB4">
        <w:rPr>
          <w:i/>
          <w:iCs/>
        </w:rPr>
        <w:t>ekodibhāvaṃ</w:t>
      </w:r>
      <w:proofErr w:type="spellEnd"/>
      <w:r>
        <w:t xml:space="preserve"> ("</w:t>
      </w:r>
      <w:r w:rsidR="00201257" w:rsidRPr="00201257">
        <w:t>singular</w:t>
      </w:r>
      <w:r>
        <w:t>") y, por lo tanto, puede interpretarse co</w:t>
      </w:r>
      <w:r w:rsidR="00B610D4">
        <w:t>mo</w:t>
      </w:r>
      <w:r>
        <w:t xml:space="preserve"> cualquiera</w:t>
      </w:r>
      <w:r w:rsidR="00B610D4">
        <w:t xml:space="preserve"> de l</w:t>
      </w:r>
      <w:r w:rsidR="000F36B9">
        <w:t>os dos</w:t>
      </w:r>
      <w:r>
        <w:t>.</w:t>
      </w:r>
    </w:p>
    <w:p w14:paraId="702B3C40" w14:textId="77777777" w:rsidR="002730AC" w:rsidRDefault="002730AC">
      <w:pPr>
        <w:tabs>
          <w:tab w:val="clear" w:pos="425"/>
        </w:tabs>
        <w:spacing w:after="160"/>
      </w:pPr>
      <w:r>
        <w:br w:type="page"/>
      </w:r>
    </w:p>
    <w:p w14:paraId="026CD8E1" w14:textId="77777777" w:rsidR="006667F5" w:rsidRDefault="006667F5" w:rsidP="006667F5">
      <w:pPr>
        <w:tabs>
          <w:tab w:val="clear" w:pos="425"/>
        </w:tabs>
        <w:spacing w:after="160"/>
      </w:pPr>
    </w:p>
    <w:p w14:paraId="654FF75D" w14:textId="7783766F" w:rsidR="006667F5" w:rsidRDefault="004E49F2" w:rsidP="006667F5">
      <w:pPr>
        <w:tabs>
          <w:tab w:val="clear" w:pos="425"/>
        </w:tabs>
        <w:spacing w:after="160"/>
      </w:pPr>
      <w:r>
        <w:t xml:space="preserve">que los </w:t>
      </w:r>
      <w:r w:rsidR="00987DB5">
        <w:t>acompañe</w:t>
      </w:r>
      <w:r w:rsidR="006667F5">
        <w:t>. O alternativamente: evoca (</w:t>
      </w:r>
      <w:proofErr w:type="spellStart"/>
      <w:r w:rsidR="006667F5" w:rsidRPr="00990BB4">
        <w:rPr>
          <w:i/>
          <w:iCs/>
        </w:rPr>
        <w:t>udāyati</w:t>
      </w:r>
      <w:proofErr w:type="spellEnd"/>
      <w:r w:rsidR="006667F5">
        <w:t>) estados asociados, por lo que es un evocador (</w:t>
      </w:r>
      <w:proofErr w:type="spellStart"/>
      <w:r w:rsidR="006667F5" w:rsidRPr="00990BB4">
        <w:rPr>
          <w:i/>
          <w:iCs/>
        </w:rPr>
        <w:t>udi</w:t>
      </w:r>
      <w:proofErr w:type="spellEnd"/>
      <w:r w:rsidR="006667F5">
        <w:t xml:space="preserve">); el significado es que </w:t>
      </w:r>
      <w:r>
        <w:t>hace surgir</w:t>
      </w:r>
      <w:r w:rsidR="006667F5">
        <w:t>. Y eso es único (</w:t>
      </w:r>
      <w:proofErr w:type="spellStart"/>
      <w:r w:rsidR="006667F5" w:rsidRPr="00990BB4">
        <w:rPr>
          <w:i/>
          <w:iCs/>
        </w:rPr>
        <w:t>eka</w:t>
      </w:r>
      <w:proofErr w:type="spellEnd"/>
      <w:r w:rsidR="006667F5">
        <w:t xml:space="preserve">) en el sentido de </w:t>
      </w:r>
      <w:r>
        <w:t xml:space="preserve">lo </w:t>
      </w:r>
      <w:r w:rsidR="006667F5">
        <w:t>mejor, y es evocador (</w:t>
      </w:r>
      <w:proofErr w:type="spellStart"/>
      <w:r w:rsidR="006667F5" w:rsidRPr="00990BB4">
        <w:rPr>
          <w:i/>
          <w:iCs/>
        </w:rPr>
        <w:t>udi</w:t>
      </w:r>
      <w:proofErr w:type="spellEnd"/>
      <w:r w:rsidR="006667F5">
        <w:t xml:space="preserve">), por lo </w:t>
      </w:r>
      <w:r w:rsidR="00C43E34">
        <w:t>tanto,</w:t>
      </w:r>
      <w:r w:rsidR="006667F5">
        <w:t xml:space="preserve"> es evocador único (</w:t>
      </w:r>
      <w:proofErr w:type="spellStart"/>
      <w:r w:rsidR="006667F5" w:rsidRPr="00990BB4">
        <w:rPr>
          <w:i/>
          <w:iCs/>
        </w:rPr>
        <w:t>ekodi</w:t>
      </w:r>
      <w:proofErr w:type="spellEnd"/>
      <w:r w:rsidR="006667F5">
        <w:t xml:space="preserve"> = único). </w:t>
      </w:r>
      <w:r w:rsidR="00C43E34">
        <w:t>É</w:t>
      </w:r>
      <w:r w:rsidR="006667F5">
        <w:t xml:space="preserve">ste </w:t>
      </w:r>
      <w:r>
        <w:t>será</w:t>
      </w:r>
      <w:r w:rsidR="006667F5">
        <w:t xml:space="preserve"> un término para </w:t>
      </w:r>
      <w:r>
        <w:t xml:space="preserve">referirse a </w:t>
      </w:r>
      <w:r w:rsidR="006667F5">
        <w:t xml:space="preserve">la concentración. Entonces, dado que el segundo </w:t>
      </w:r>
      <w:proofErr w:type="spellStart"/>
      <w:r w:rsidR="00057BF4" w:rsidRPr="00057BF4">
        <w:rPr>
          <w:i/>
          <w:iCs/>
        </w:rPr>
        <w:t>jhāna</w:t>
      </w:r>
      <w:proofErr w:type="spellEnd"/>
      <w:r w:rsidR="006667F5">
        <w:t xml:space="preserve"> da existencia a (</w:t>
      </w:r>
      <w:proofErr w:type="spellStart"/>
      <w:r w:rsidR="006667F5" w:rsidRPr="00990BB4">
        <w:rPr>
          <w:i/>
          <w:iCs/>
        </w:rPr>
        <w:t>bhāveti</w:t>
      </w:r>
      <w:proofErr w:type="spellEnd"/>
      <w:r w:rsidR="006667F5">
        <w:t>), aumenta, esta [cosa] única, “</w:t>
      </w:r>
      <w:r w:rsidR="005F0826">
        <w:t>otorga</w:t>
      </w:r>
      <w:r w:rsidR="006667F5">
        <w:t xml:space="preserve"> singularidad” (</w:t>
      </w:r>
      <w:proofErr w:type="spellStart"/>
      <w:r w:rsidR="006667F5" w:rsidRPr="00990BB4">
        <w:rPr>
          <w:i/>
          <w:iCs/>
        </w:rPr>
        <w:t>ekodibhāva</w:t>
      </w:r>
      <w:proofErr w:type="spellEnd"/>
      <w:r w:rsidR="006667F5">
        <w:t>). Pero como esta</w:t>
      </w:r>
      <w:r w:rsidR="00434CBD">
        <w:t xml:space="preserve"> cosa </w:t>
      </w:r>
      <w:r w:rsidR="00B7277B">
        <w:t>única</w:t>
      </w:r>
      <w:r w:rsidR="006667F5">
        <w:t xml:space="preserve"> es </w:t>
      </w:r>
      <w:r w:rsidR="00D92ED7">
        <w:t xml:space="preserve">producto </w:t>
      </w:r>
      <w:r w:rsidR="006667F5">
        <w:t xml:space="preserve">de </w:t>
      </w:r>
      <w:r w:rsidR="00D92ED7">
        <w:t>la mente</w:t>
      </w:r>
      <w:r w:rsidR="006667F5">
        <w:t xml:space="preserve">, no de un ser o de un alma, así </w:t>
      </w:r>
      <w:r w:rsidR="00BF6424">
        <w:t>es cómo se refer</w:t>
      </w:r>
      <w:r w:rsidR="005F0826">
        <w:t>irá</w:t>
      </w:r>
      <w:r w:rsidR="00BF6424">
        <w:t xml:space="preserve"> a </w:t>
      </w:r>
      <w:r w:rsidR="00D92ED7">
        <w:t xml:space="preserve">una </w:t>
      </w:r>
      <w:r w:rsidR="008C7152">
        <w:t>singularidad</w:t>
      </w:r>
      <w:r w:rsidR="00B7277B">
        <w:t xml:space="preserve"> </w:t>
      </w:r>
      <w:r w:rsidR="006667F5">
        <w:t>ment</w:t>
      </w:r>
      <w:r w:rsidR="00B7277B">
        <w:t>al</w:t>
      </w:r>
      <w:r w:rsidR="006667F5">
        <w:t>.</w:t>
      </w:r>
    </w:p>
    <w:p w14:paraId="47D187C5" w14:textId="2D0E94D3" w:rsidR="006667F5" w:rsidRDefault="006667F5" w:rsidP="006667F5">
      <w:r>
        <w:t xml:space="preserve">144. </w:t>
      </w:r>
      <w:r>
        <w:tab/>
        <w:t xml:space="preserve">Podría preguntarse: ¿Pero </w:t>
      </w:r>
      <w:r w:rsidR="00B7277B">
        <w:t xml:space="preserve">en el primer </w:t>
      </w:r>
      <w:proofErr w:type="spellStart"/>
      <w:r w:rsidR="00B7277B" w:rsidRPr="00057BF4">
        <w:rPr>
          <w:i/>
          <w:iCs/>
        </w:rPr>
        <w:t>jhāna</w:t>
      </w:r>
      <w:proofErr w:type="spellEnd"/>
      <w:r w:rsidR="00B7277B">
        <w:t xml:space="preserve"> </w:t>
      </w:r>
      <w:r>
        <w:t xml:space="preserve">no existe </w:t>
      </w:r>
      <w:r w:rsidR="00B7277B">
        <w:t xml:space="preserve">también </w:t>
      </w:r>
      <w:r>
        <w:t xml:space="preserve">esta fe, y también esta concentración con el nombre de </w:t>
      </w:r>
      <w:r w:rsidR="00D92ED7">
        <w:t>una</w:t>
      </w:r>
      <w:r>
        <w:t xml:space="preserve"> “única [cosa]”? Entonces, ¿por qué se dice que </w:t>
      </w:r>
      <w:proofErr w:type="spellStart"/>
      <w:r>
        <w:t>s</w:t>
      </w:r>
      <w:r w:rsidR="008C7152">
        <w:t>é</w:t>
      </w:r>
      <w:r>
        <w:t>lo</w:t>
      </w:r>
      <w:proofErr w:type="spellEnd"/>
      <w:r>
        <w:t xml:space="preserve"> este segundo </w:t>
      </w:r>
      <w:proofErr w:type="spellStart"/>
      <w:r w:rsidR="00057BF4" w:rsidRPr="00057BF4">
        <w:rPr>
          <w:i/>
          <w:iCs/>
        </w:rPr>
        <w:t>jhāna</w:t>
      </w:r>
      <w:proofErr w:type="spellEnd"/>
      <w:r>
        <w:t xml:space="preserve"> </w:t>
      </w:r>
      <w:r w:rsidR="00737D08">
        <w:t>posee</w:t>
      </w:r>
      <w:r>
        <w:t xml:space="preserve"> confianza y </w:t>
      </w:r>
      <w:r w:rsidR="008C7152">
        <w:t xml:space="preserve">singularidad </w:t>
      </w:r>
      <w:r w:rsidR="00D92ED7">
        <w:t>mental</w:t>
      </w:r>
      <w:r>
        <w:t xml:space="preserve">? Se puede responder de la siguiente manera: es porque el primer </w:t>
      </w:r>
      <w:proofErr w:type="spellStart"/>
      <w:r w:rsidR="00057BF4" w:rsidRPr="00057BF4">
        <w:rPr>
          <w:i/>
          <w:iCs/>
        </w:rPr>
        <w:t>jhāna</w:t>
      </w:r>
      <w:proofErr w:type="spellEnd"/>
      <w:r>
        <w:t xml:space="preserve"> [157] no </w:t>
      </w:r>
      <w:r w:rsidR="008C7152">
        <w:t xml:space="preserve">posee </w:t>
      </w:r>
      <w:r>
        <w:t xml:space="preserve">plena confianza debido a la perturbación creada por </w:t>
      </w:r>
      <w:r w:rsidR="00AC67C9">
        <w:t>la aplicación y la sustentación mental</w:t>
      </w:r>
      <w:r>
        <w:t xml:space="preserve">, como el </w:t>
      </w:r>
      <w:proofErr w:type="gramStart"/>
      <w:r>
        <w:t>agua agitad</w:t>
      </w:r>
      <w:r w:rsidR="00AC67C9">
        <w:t>o</w:t>
      </w:r>
      <w:proofErr w:type="gramEnd"/>
      <w:r>
        <w:t xml:space="preserve"> por ondas y</w:t>
      </w:r>
      <w:r w:rsidR="009A7882">
        <w:t xml:space="preserve"> </w:t>
      </w:r>
      <w:r w:rsidR="00834903" w:rsidRPr="00834903">
        <w:t>bucles</w:t>
      </w:r>
      <w:r>
        <w:t xml:space="preserve">. Por eso, aunque en </w:t>
      </w:r>
      <w:r w:rsidR="00AC67C9">
        <w:t>é</w:t>
      </w:r>
      <w:r>
        <w:t>l exist</w:t>
      </w:r>
      <w:r w:rsidR="00D92ED7">
        <w:t>a</w:t>
      </w:r>
      <w:r>
        <w:t xml:space="preserve"> fe, no se </w:t>
      </w:r>
      <w:r w:rsidR="00D92ED7">
        <w:t xml:space="preserve">le </w:t>
      </w:r>
      <w:r w:rsidR="00834903">
        <w:t>designará como</w:t>
      </w:r>
      <w:r w:rsidR="00D92ED7">
        <w:t xml:space="preserve"> </w:t>
      </w:r>
      <w:r>
        <w:t xml:space="preserve">“confianza”. Y allí también la concentración no </w:t>
      </w:r>
      <w:r w:rsidR="00C1232A">
        <w:t>será</w:t>
      </w:r>
      <w:r>
        <w:t xml:space="preserve"> del todo evidente debido a la falta de plena confianza. Por eso no se le llama “</w:t>
      </w:r>
      <w:r w:rsidR="00AC67C9">
        <w:t>singularidad</w:t>
      </w:r>
      <w:r>
        <w:t xml:space="preserve">” </w:t>
      </w:r>
      <w:r w:rsidR="00C1232A">
        <w:t xml:space="preserve">en </w:t>
      </w:r>
      <w:r w:rsidR="00BC63EB">
        <w:t>tal</w:t>
      </w:r>
      <w:r w:rsidR="00C1232A">
        <w:t xml:space="preserve"> caso</w:t>
      </w:r>
      <w:r>
        <w:t xml:space="preserve">. Pero en este segundo </w:t>
      </w:r>
      <w:proofErr w:type="spellStart"/>
      <w:r w:rsidR="00057BF4" w:rsidRPr="00057BF4">
        <w:rPr>
          <w:i/>
          <w:iCs/>
        </w:rPr>
        <w:t>jhāna</w:t>
      </w:r>
      <w:proofErr w:type="spellEnd"/>
      <w:r>
        <w:t xml:space="preserve"> la fe </w:t>
      </w:r>
      <w:r w:rsidR="00BC63EB">
        <w:t>será</w:t>
      </w:r>
      <w:r>
        <w:t xml:space="preserve"> fuerte, habiendo </w:t>
      </w:r>
      <w:r w:rsidR="00785993">
        <w:t>adquirido</w:t>
      </w:r>
      <w:r>
        <w:t xml:space="preserve"> equilibrio en ausencia de los impedimentos de</w:t>
      </w:r>
      <w:r w:rsidR="00BC63EB">
        <w:t xml:space="preserve"> la aplicación y la sustentación mental</w:t>
      </w:r>
      <w:r>
        <w:t xml:space="preserve">; y la concentración también </w:t>
      </w:r>
      <w:r w:rsidR="00B573F5">
        <w:t>será</w:t>
      </w:r>
      <w:r>
        <w:t xml:space="preserve"> evidente al tener </w:t>
      </w:r>
      <w:r w:rsidR="00BC63EB">
        <w:t xml:space="preserve">a </w:t>
      </w:r>
      <w:r>
        <w:t>una fe fuerte como compañera. Es</w:t>
      </w:r>
      <w:r w:rsidR="00EE14AF">
        <w:t>t</w:t>
      </w:r>
      <w:r>
        <w:t xml:space="preserve">o </w:t>
      </w:r>
      <w:r w:rsidR="00EE14AF">
        <w:t>se podría</w:t>
      </w:r>
      <w:r>
        <w:t xml:space="preserve"> entender como la razón por la cual solo </w:t>
      </w:r>
      <w:r w:rsidR="00785993">
        <w:t xml:space="preserve">a </w:t>
      </w:r>
      <w:r>
        <w:t xml:space="preserve">este </w:t>
      </w:r>
      <w:proofErr w:type="spellStart"/>
      <w:r w:rsidR="00057BF4" w:rsidRPr="00057BF4">
        <w:rPr>
          <w:i/>
          <w:iCs/>
        </w:rPr>
        <w:t>jhāna</w:t>
      </w:r>
      <w:proofErr w:type="spellEnd"/>
      <w:r>
        <w:t xml:space="preserve"> se </w:t>
      </w:r>
      <w:r w:rsidR="00785993">
        <w:t xml:space="preserve">le </w:t>
      </w:r>
      <w:r>
        <w:t>describe de esta manera.</w:t>
      </w:r>
    </w:p>
    <w:p w14:paraId="4C527A5D" w14:textId="6CFC5C07" w:rsidR="006667F5" w:rsidRDefault="006667F5" w:rsidP="006667F5">
      <w:r>
        <w:t xml:space="preserve">145. </w:t>
      </w:r>
      <w:r>
        <w:tab/>
      </w:r>
      <w:r w:rsidR="00EE14AF">
        <w:t xml:space="preserve">No obstante, </w:t>
      </w:r>
      <w:r>
        <w:t xml:space="preserve">eso también se afirma en el </w:t>
      </w:r>
      <w:proofErr w:type="spellStart"/>
      <w:r w:rsidRPr="00990BB4">
        <w:rPr>
          <w:i/>
          <w:iCs/>
        </w:rPr>
        <w:t>Vibhaṅga</w:t>
      </w:r>
      <w:proofErr w:type="spellEnd"/>
      <w:r>
        <w:t xml:space="preserve"> con las palabras: “‘Confianza’ es fe, tener fe, </w:t>
      </w:r>
      <w:r w:rsidR="00484A5E">
        <w:t>confiabilidad</w:t>
      </w:r>
      <w:r>
        <w:t xml:space="preserve">, plena confianza. </w:t>
      </w:r>
      <w:r w:rsidR="00230F78">
        <w:t xml:space="preserve">La </w:t>
      </w:r>
      <w:r>
        <w:t>‘</w:t>
      </w:r>
      <w:r w:rsidR="00230F78">
        <w:t>s</w:t>
      </w:r>
      <w:r w:rsidR="00FF2C4D">
        <w:t>ingularidad</w:t>
      </w:r>
      <w:r>
        <w:t xml:space="preserve"> mental’ </w:t>
      </w:r>
      <w:r w:rsidR="00FF2C4D">
        <w:t xml:space="preserve">será la </w:t>
      </w:r>
      <w:r>
        <w:t xml:space="preserve">firmeza de </w:t>
      </w:r>
      <w:r w:rsidR="00FF2C4D">
        <w:t xml:space="preserve">la </w:t>
      </w:r>
      <w:r>
        <w:t>con</w:t>
      </w:r>
      <w:r w:rsidR="00EE14AF">
        <w:t>s</w:t>
      </w:r>
      <w:r>
        <w:t xml:space="preserve">ciencia… </w:t>
      </w:r>
      <w:r w:rsidR="00FF2C4D">
        <w:t xml:space="preserve">la </w:t>
      </w:r>
      <w:r>
        <w:t>concentración correcta” (</w:t>
      </w:r>
      <w:proofErr w:type="spellStart"/>
      <w:r>
        <w:t>Vibh</w:t>
      </w:r>
      <w:proofErr w:type="spellEnd"/>
      <w:r>
        <w:t xml:space="preserve"> 258). Y este comentario sobre el significado no debe entenderse de tal </w:t>
      </w:r>
      <w:r w:rsidR="00AC24D1">
        <w:t>forma</w:t>
      </w:r>
      <w:r>
        <w:t xml:space="preserve"> que </w:t>
      </w:r>
      <w:r w:rsidR="00AB4774">
        <w:t>entre</w:t>
      </w:r>
      <w:r>
        <w:t xml:space="preserve"> en conflicto con el significado expresado </w:t>
      </w:r>
      <w:r w:rsidR="00AC24D1">
        <w:t xml:space="preserve">de </w:t>
      </w:r>
      <w:r w:rsidR="00AB4774">
        <w:t>tal</w:t>
      </w:r>
      <w:r>
        <w:t xml:space="preserve"> manera, sino al contrario</w:t>
      </w:r>
      <w:r w:rsidR="009C3520">
        <w:t>,</w:t>
      </w:r>
      <w:r>
        <w:t xml:space="preserve"> para estar de acuerdo y concordar con </w:t>
      </w:r>
      <w:r w:rsidR="00B71C2B">
        <w:t>ello</w:t>
      </w:r>
      <w:r>
        <w:t>.</w:t>
      </w:r>
    </w:p>
    <w:p w14:paraId="132D2DE9" w14:textId="61B07549" w:rsidR="006667F5" w:rsidRDefault="006667F5" w:rsidP="006667F5">
      <w:r>
        <w:t xml:space="preserve">146. </w:t>
      </w:r>
      <w:r>
        <w:tab/>
      </w:r>
      <w:r w:rsidRPr="000C7BF2">
        <w:rPr>
          <w:i/>
          <w:iCs/>
        </w:rPr>
        <w:t xml:space="preserve">Sin </w:t>
      </w:r>
      <w:r w:rsidR="0097410A">
        <w:rPr>
          <w:i/>
          <w:iCs/>
        </w:rPr>
        <w:t>aplicación mental</w:t>
      </w:r>
      <w:r w:rsidRPr="000C7BF2">
        <w:rPr>
          <w:i/>
          <w:iCs/>
        </w:rPr>
        <w:t xml:space="preserve">, sin </w:t>
      </w:r>
      <w:r w:rsidR="0097410A">
        <w:rPr>
          <w:i/>
          <w:iCs/>
        </w:rPr>
        <w:t>sustentación mental</w:t>
      </w:r>
      <w:r>
        <w:t xml:space="preserve">: dado que ha sido abandonado por el desarrollo, no </w:t>
      </w:r>
      <w:r w:rsidR="00AB4774">
        <w:t xml:space="preserve">habrá </w:t>
      </w:r>
      <w:r w:rsidR="0097410A" w:rsidRPr="0097410A">
        <w:t xml:space="preserve">aplicación mental </w:t>
      </w:r>
      <w:r>
        <w:t>en esto, o e</w:t>
      </w:r>
      <w:r w:rsidR="00746CD8">
        <w:t>n</w:t>
      </w:r>
      <w:r>
        <w:t xml:space="preserve"> est</w:t>
      </w:r>
      <w:r w:rsidR="00746CD8">
        <w:t>e</w:t>
      </w:r>
      <w:r>
        <w:t xml:space="preserve"> </w:t>
      </w:r>
      <w:proofErr w:type="spellStart"/>
      <w:r w:rsidR="00057BF4" w:rsidRPr="00057BF4">
        <w:rPr>
          <w:i/>
          <w:iCs/>
        </w:rPr>
        <w:t>jhāna</w:t>
      </w:r>
      <w:proofErr w:type="spellEnd"/>
      <w:r>
        <w:t xml:space="preserve">, por lo que </w:t>
      </w:r>
      <w:r w:rsidR="00746CD8">
        <w:t xml:space="preserve">carecerá de </w:t>
      </w:r>
      <w:r w:rsidR="0097410A" w:rsidRPr="0097410A">
        <w:t>aplicación mental</w:t>
      </w:r>
      <w:r>
        <w:t>. La misma explicación se aplica a</w:t>
      </w:r>
      <w:r w:rsidR="0097410A">
        <w:t xml:space="preserve"> </w:t>
      </w:r>
      <w:r>
        <w:t>l</w:t>
      </w:r>
      <w:r w:rsidR="0097410A">
        <w:t>a</w:t>
      </w:r>
      <w:r>
        <w:t xml:space="preserve"> </w:t>
      </w:r>
      <w:r w:rsidR="0097410A" w:rsidRPr="0097410A">
        <w:t>sustentación mental</w:t>
      </w:r>
      <w:r>
        <w:t xml:space="preserve">. También se dice en el </w:t>
      </w:r>
      <w:proofErr w:type="spellStart"/>
      <w:r w:rsidR="00990BB4" w:rsidRPr="00990BB4">
        <w:rPr>
          <w:i/>
          <w:iCs/>
        </w:rPr>
        <w:t>Vibhaṅga</w:t>
      </w:r>
      <w:proofErr w:type="spellEnd"/>
      <w:r>
        <w:t>: “Así que est</w:t>
      </w:r>
      <w:r w:rsidR="0097410A">
        <w:t>a</w:t>
      </w:r>
      <w:r>
        <w:t xml:space="preserve"> </w:t>
      </w:r>
      <w:proofErr w:type="gramStart"/>
      <w:r w:rsidR="0097410A">
        <w:t xml:space="preserve">aplicación mental </w:t>
      </w:r>
      <w:r>
        <w:t>y est</w:t>
      </w:r>
      <w:r w:rsidR="0097410A">
        <w:t>a</w:t>
      </w:r>
      <w:r>
        <w:t xml:space="preserve"> </w:t>
      </w:r>
      <w:r w:rsidR="0097410A">
        <w:t>sustentación mental</w:t>
      </w:r>
      <w:proofErr w:type="gramEnd"/>
      <w:r w:rsidR="0097410A">
        <w:t xml:space="preserve"> </w:t>
      </w:r>
      <w:r>
        <w:t>s</w:t>
      </w:r>
      <w:r w:rsidR="0097410A">
        <w:t>erá</w:t>
      </w:r>
      <w:r>
        <w:t xml:space="preserve">n </w:t>
      </w:r>
      <w:r w:rsidR="00746CD8">
        <w:t>apaciguad</w:t>
      </w:r>
      <w:r w:rsidR="008301E7">
        <w:t>a</w:t>
      </w:r>
      <w:r w:rsidR="00746CD8">
        <w:t>s</w:t>
      </w:r>
      <w:r>
        <w:t>, aquietad</w:t>
      </w:r>
      <w:r w:rsidR="008301E7">
        <w:t>a</w:t>
      </w:r>
      <w:r>
        <w:t xml:space="preserve">s, </w:t>
      </w:r>
      <w:proofErr w:type="spellStart"/>
      <w:r w:rsidR="00D113E8">
        <w:t>calamadas</w:t>
      </w:r>
      <w:proofErr w:type="spellEnd"/>
      <w:r>
        <w:t>, puest</w:t>
      </w:r>
      <w:r w:rsidR="00D113E8">
        <w:t>a</w:t>
      </w:r>
      <w:r>
        <w:t>s en reposo, totalmente en reposo, eliminad</w:t>
      </w:r>
      <w:r w:rsidR="00D113E8">
        <w:t>a</w:t>
      </w:r>
      <w:r>
        <w:t>s, totalmente eliminad</w:t>
      </w:r>
      <w:r w:rsidR="00D113E8">
        <w:t>a</w:t>
      </w:r>
      <w:r>
        <w:t>s,</w:t>
      </w:r>
      <w:r w:rsidRPr="002D3D90">
        <w:rPr>
          <w:vertAlign w:val="superscript"/>
        </w:rPr>
        <w:t>43</w:t>
      </w:r>
      <w:r>
        <w:t xml:space="preserve"> sec</w:t>
      </w:r>
      <w:r w:rsidR="00D113E8">
        <w:t>a</w:t>
      </w:r>
      <w:r>
        <w:t>s, completamente sec</w:t>
      </w:r>
      <w:r w:rsidR="00D113E8">
        <w:t>a</w:t>
      </w:r>
      <w:r>
        <w:t>s, fin</w:t>
      </w:r>
      <w:r w:rsidR="0025602B">
        <w:t>iquitad</w:t>
      </w:r>
      <w:r w:rsidR="00D113E8">
        <w:t>a</w:t>
      </w:r>
      <w:r w:rsidR="0025602B">
        <w:t>s</w:t>
      </w:r>
      <w:r>
        <w:t xml:space="preserve"> de; por eso se dice: sin </w:t>
      </w:r>
      <w:r w:rsidR="00D113E8">
        <w:t>aplicación mental</w:t>
      </w:r>
      <w:r>
        <w:t xml:space="preserve">, sin </w:t>
      </w:r>
      <w:r w:rsidR="00D113E8">
        <w:t>sustentación mental</w:t>
      </w:r>
      <w:r>
        <w:t>” (</w:t>
      </w:r>
      <w:proofErr w:type="spellStart"/>
      <w:r>
        <w:t>Vibh</w:t>
      </w:r>
      <w:proofErr w:type="spellEnd"/>
      <w:r>
        <w:t xml:space="preserve"> 258).</w:t>
      </w:r>
    </w:p>
    <w:p w14:paraId="4746FB3E" w14:textId="37F7840C" w:rsidR="006667F5" w:rsidRDefault="006667F5" w:rsidP="00D113E8">
      <w:pPr>
        <w:pStyle w:val="NormalConSangria"/>
      </w:pPr>
      <w:r>
        <w:t>Aquí se p</w:t>
      </w:r>
      <w:r w:rsidR="00D113E8">
        <w:t>o</w:t>
      </w:r>
      <w:r>
        <w:t>d</w:t>
      </w:r>
      <w:r w:rsidR="00D113E8">
        <w:t>ría</w:t>
      </w:r>
      <w:r>
        <w:t xml:space="preserve"> preguntar: ¿No ha sido ya establecido este significado </w:t>
      </w:r>
      <w:r w:rsidR="00966F91">
        <w:t>con</w:t>
      </w:r>
      <w:r>
        <w:t xml:space="preserve"> las palabras “con el </w:t>
      </w:r>
      <w:r w:rsidR="0025602B">
        <w:t>apaciguamiento</w:t>
      </w:r>
      <w:r>
        <w:t xml:space="preserve"> de </w:t>
      </w:r>
      <w:r w:rsidR="00966F91">
        <w:t>la aplicación y la sustentación mental</w:t>
      </w:r>
      <w:r>
        <w:t xml:space="preserve">?” Entonces, ¿por qué se dice nuevamente “sin </w:t>
      </w:r>
      <w:r w:rsidR="00966F91">
        <w:t>aplicación mental</w:t>
      </w:r>
      <w:r>
        <w:t xml:space="preserve">, sin </w:t>
      </w:r>
      <w:r w:rsidR="00966F91">
        <w:t>sustentación mental</w:t>
      </w:r>
      <w:r>
        <w:t xml:space="preserve">?”—Se </w:t>
      </w:r>
      <w:r w:rsidR="00966F91">
        <w:t>podría</w:t>
      </w:r>
      <w:r>
        <w:t xml:space="preserve"> responder</w:t>
      </w:r>
      <w:r w:rsidR="00966F91">
        <w:t xml:space="preserve"> así</w:t>
      </w:r>
      <w:r>
        <w:t xml:space="preserve">: Sí, ese significado ya ha sido establecido. Pero esto no indica ese significado. ¿No dijimos antes: “La frase 'con el </w:t>
      </w:r>
      <w:r w:rsidR="0025602B" w:rsidRPr="0025602B">
        <w:t xml:space="preserve">apaciguamiento </w:t>
      </w:r>
      <w:proofErr w:type="spellStart"/>
      <w:r>
        <w:t>del</w:t>
      </w:r>
      <w:proofErr w:type="spellEnd"/>
      <w:r>
        <w:t xml:space="preserve"> </w:t>
      </w:r>
      <w:r w:rsidR="00966F91">
        <w:t xml:space="preserve">la aplicación y la sustentación mental' </w:t>
      </w:r>
      <w:r>
        <w:t xml:space="preserve">se expresa de esta manera para indicar que el acto de alcanzar los otros </w:t>
      </w:r>
      <w:proofErr w:type="spellStart"/>
      <w:r w:rsidR="00057BF4" w:rsidRPr="00057BF4">
        <w:rPr>
          <w:i/>
          <w:iCs/>
        </w:rPr>
        <w:t>jhāna</w:t>
      </w:r>
      <w:r w:rsidRPr="00990BB4">
        <w:rPr>
          <w:i/>
          <w:iCs/>
        </w:rPr>
        <w:t>s</w:t>
      </w:r>
      <w:proofErr w:type="spellEnd"/>
      <w:r>
        <w:t>, comenzando con el segundo desde el primero, se efect</w:t>
      </w:r>
      <w:r w:rsidR="00155181">
        <w:t>u</w:t>
      </w:r>
      <w:r>
        <w:t>a</w:t>
      </w:r>
      <w:r w:rsidR="00155181">
        <w:t xml:space="preserve">rá </w:t>
      </w:r>
      <w:r>
        <w:t xml:space="preserve">mediante la superación del factor </w:t>
      </w:r>
      <w:r w:rsidR="00A94D4E">
        <w:t>denso</w:t>
      </w:r>
      <w:r>
        <w:t xml:space="preserve"> en cada caso</w:t>
      </w:r>
      <w:r w:rsidR="000D4C4D">
        <w:t>”?</w:t>
      </w:r>
      <w:r>
        <w:t xml:space="preserve"> (§140).</w:t>
      </w:r>
    </w:p>
    <w:p w14:paraId="09214AD3" w14:textId="6F40756F" w:rsidR="006667F5" w:rsidRDefault="006667F5" w:rsidP="006667F5">
      <w:r>
        <w:t xml:space="preserve">147. </w:t>
      </w:r>
      <w:r>
        <w:tab/>
        <w:t>Además, esta confianza surg</w:t>
      </w:r>
      <w:r w:rsidR="008172B7">
        <w:t>irá</w:t>
      </w:r>
      <w:r>
        <w:t xml:space="preserve"> con el acto de </w:t>
      </w:r>
      <w:r w:rsidR="00CE37DE">
        <w:t>apaciguar</w:t>
      </w:r>
      <w:r>
        <w:t>, no la oscuridad de la</w:t>
      </w:r>
      <w:r w:rsidR="00121F7D">
        <w:t>s impurezas</w:t>
      </w:r>
      <w:r>
        <w:t xml:space="preserve">, sino </w:t>
      </w:r>
      <w:r w:rsidR="00121F7D">
        <w:t>la aplicación y la sustentación mental</w:t>
      </w:r>
      <w:r>
        <w:t>. Y la singularidad</w:t>
      </w:r>
      <w:r w:rsidR="000D6FAC" w:rsidRPr="000D6FAC">
        <w:t xml:space="preserve"> </w:t>
      </w:r>
      <w:r w:rsidR="000D6FAC">
        <w:t>surgirá</w:t>
      </w:r>
      <w:r>
        <w:t xml:space="preserve">, no como en </w:t>
      </w:r>
    </w:p>
    <w:p w14:paraId="4270A790" w14:textId="77777777" w:rsidR="006667F5" w:rsidRDefault="006667F5" w:rsidP="006667F5">
      <w:pPr>
        <w:pStyle w:val="PiedepginaLegal"/>
        <w:rPr>
          <w:u w:val="single"/>
        </w:rPr>
      </w:pPr>
      <w:r>
        <w:rPr>
          <w:u w:val="single"/>
        </w:rPr>
        <w:tab/>
      </w:r>
      <w:r>
        <w:rPr>
          <w:u w:val="single"/>
        </w:rPr>
        <w:tab/>
      </w:r>
      <w:r>
        <w:rPr>
          <w:u w:val="single"/>
        </w:rPr>
        <w:tab/>
      </w:r>
      <w:r>
        <w:rPr>
          <w:u w:val="single"/>
        </w:rPr>
        <w:tab/>
        <w:t>.</w:t>
      </w:r>
    </w:p>
    <w:p w14:paraId="3DADD216" w14:textId="5A97CDF3" w:rsidR="00F90098" w:rsidRDefault="006667F5" w:rsidP="006667F5">
      <w:pPr>
        <w:pStyle w:val="PiedepginaLegal"/>
      </w:pPr>
      <w:r>
        <w:t xml:space="preserve">43. </w:t>
      </w:r>
      <w:r>
        <w:tab/>
      </w:r>
      <w:proofErr w:type="spellStart"/>
      <w:r w:rsidRPr="00990BB4">
        <w:rPr>
          <w:i/>
          <w:iCs/>
        </w:rPr>
        <w:t>Appita</w:t>
      </w:r>
      <w:proofErr w:type="spellEnd"/>
      <w:r>
        <w:t xml:space="preserve">—“acabado con”: </w:t>
      </w:r>
      <w:proofErr w:type="spellStart"/>
      <w:r w:rsidRPr="00990BB4">
        <w:rPr>
          <w:i/>
          <w:iCs/>
        </w:rPr>
        <w:t>Appitā</w:t>
      </w:r>
      <w:proofErr w:type="spellEnd"/>
      <w:r w:rsidRPr="00990BB4">
        <w:rPr>
          <w:i/>
          <w:iCs/>
        </w:rPr>
        <w:t xml:space="preserve"> ti </w:t>
      </w:r>
      <w:proofErr w:type="spellStart"/>
      <w:r w:rsidRPr="00990BB4">
        <w:rPr>
          <w:i/>
          <w:iCs/>
        </w:rPr>
        <w:t>vināsa</w:t>
      </w:r>
      <w:r w:rsidR="00990BB4">
        <w:rPr>
          <w:i/>
          <w:iCs/>
        </w:rPr>
        <w:t>ṃ</w:t>
      </w:r>
      <w:proofErr w:type="spellEnd"/>
      <w:r w:rsidRPr="00990BB4">
        <w:rPr>
          <w:i/>
          <w:iCs/>
        </w:rPr>
        <w:t xml:space="preserve"> </w:t>
      </w:r>
      <w:proofErr w:type="spellStart"/>
      <w:r w:rsidRPr="00990BB4">
        <w:rPr>
          <w:i/>
          <w:iCs/>
        </w:rPr>
        <w:t>gamitā</w:t>
      </w:r>
      <w:proofErr w:type="spellEnd"/>
      <w:r>
        <w:t xml:space="preserve"> (“</w:t>
      </w:r>
      <w:proofErr w:type="spellStart"/>
      <w:r w:rsidRPr="00F24AEA">
        <w:rPr>
          <w:i/>
          <w:iCs/>
        </w:rPr>
        <w:t>Appita</w:t>
      </w:r>
      <w:proofErr w:type="spellEnd"/>
      <w:r>
        <w:t xml:space="preserve">” significa “hecho para </w:t>
      </w:r>
      <w:r w:rsidR="002D17DA">
        <w:t>proceder</w:t>
      </w:r>
      <w:r>
        <w:t xml:space="preserve"> </w:t>
      </w:r>
      <w:r w:rsidR="00377F6A">
        <w:t>hacia</w:t>
      </w:r>
      <w:r>
        <w:t xml:space="preserve"> </w:t>
      </w:r>
      <w:r w:rsidR="00377F6A">
        <w:t>un</w:t>
      </w:r>
      <w:r>
        <w:t>a aniquilación”) (</w:t>
      </w:r>
      <w:proofErr w:type="spellStart"/>
      <w:r>
        <w:t>Vism-mhṭ</w:t>
      </w:r>
      <w:proofErr w:type="spellEnd"/>
      <w:r>
        <w:t xml:space="preserve"> 153). Este significado, aunque no </w:t>
      </w:r>
      <w:r w:rsidR="00377F6A">
        <w:t xml:space="preserve">se encuentre </w:t>
      </w:r>
      <w:r>
        <w:t xml:space="preserve">en </w:t>
      </w:r>
      <w:r w:rsidR="00377F6A">
        <w:t xml:space="preserve">el </w:t>
      </w:r>
      <w:r>
        <w:t xml:space="preserve">PED, se da en </w:t>
      </w:r>
      <w:r w:rsidR="00377F6A">
        <w:t xml:space="preserve">el </w:t>
      </w:r>
      <w:r>
        <w:t>CPD.</w:t>
      </w:r>
    </w:p>
    <w:p w14:paraId="5186297D" w14:textId="77777777" w:rsidR="00F90098" w:rsidRDefault="00F90098">
      <w:pPr>
        <w:tabs>
          <w:tab w:val="clear" w:pos="425"/>
        </w:tabs>
        <w:spacing w:after="160"/>
      </w:pPr>
      <w:r>
        <w:br w:type="page"/>
      </w:r>
    </w:p>
    <w:p w14:paraId="71074F82" w14:textId="77777777" w:rsidR="009236B9" w:rsidRDefault="009236B9" w:rsidP="009236B9"/>
    <w:p w14:paraId="71217B42" w14:textId="166465C2" w:rsidR="009236B9" w:rsidRDefault="008172B7" w:rsidP="009236B9">
      <w:r>
        <w:t xml:space="preserve">el acceso al </w:t>
      </w:r>
      <w:proofErr w:type="spellStart"/>
      <w:r w:rsidRPr="00057BF4">
        <w:rPr>
          <w:i/>
        </w:rPr>
        <w:t>jhāna</w:t>
      </w:r>
      <w:proofErr w:type="spellEnd"/>
      <w:r>
        <w:t xml:space="preserve"> </w:t>
      </w:r>
      <w:r w:rsidR="009236B9">
        <w:t xml:space="preserve">con el abandono de los obstáculos, ni como en el primer </w:t>
      </w:r>
      <w:proofErr w:type="spellStart"/>
      <w:r w:rsidR="00057BF4" w:rsidRPr="00057BF4">
        <w:rPr>
          <w:i/>
          <w:iCs/>
        </w:rPr>
        <w:t>jhāna</w:t>
      </w:r>
      <w:proofErr w:type="spellEnd"/>
      <w:r w:rsidR="009236B9">
        <w:t xml:space="preserve"> con la manifestación de los factores, sino con el acto de </w:t>
      </w:r>
      <w:r>
        <w:t>apaciguar</w:t>
      </w:r>
      <w:r w:rsidR="009236B9">
        <w:t xml:space="preserve"> </w:t>
      </w:r>
      <w:r w:rsidR="000D6FAC">
        <w:t>la aplicación y la sustentación mental</w:t>
      </w:r>
      <w:r w:rsidR="009236B9">
        <w:t xml:space="preserve">. De modo que la cláusula [primera] indica la causa de la confianza y la </w:t>
      </w:r>
      <w:r w:rsidR="00033ABC">
        <w:t>singularidad</w:t>
      </w:r>
      <w:r w:rsidR="009236B9">
        <w:t xml:space="preserve">. De la misma manera, este </w:t>
      </w:r>
      <w:proofErr w:type="spellStart"/>
      <w:r w:rsidR="00057BF4" w:rsidRPr="00057BF4">
        <w:rPr>
          <w:i/>
          <w:iCs/>
        </w:rPr>
        <w:t>jhāna</w:t>
      </w:r>
      <w:proofErr w:type="spellEnd"/>
      <w:r w:rsidR="009236B9">
        <w:t xml:space="preserve"> </w:t>
      </w:r>
      <w:r>
        <w:t>carece</w:t>
      </w:r>
      <w:r w:rsidR="00281C6B">
        <w:t xml:space="preserve">rá </w:t>
      </w:r>
      <w:r>
        <w:t>de</w:t>
      </w:r>
      <w:r w:rsidR="009236B9">
        <w:t xml:space="preserve"> </w:t>
      </w:r>
      <w:proofErr w:type="gramStart"/>
      <w:r w:rsidR="00033ABC">
        <w:t>aplicación mental y sustentación mental</w:t>
      </w:r>
      <w:proofErr w:type="gramEnd"/>
      <w:r w:rsidR="009236B9">
        <w:t xml:space="preserve">, no como en el tercer y cuarto </w:t>
      </w:r>
      <w:proofErr w:type="spellStart"/>
      <w:r w:rsidR="00057BF4" w:rsidRPr="00057BF4">
        <w:rPr>
          <w:i/>
          <w:iCs/>
        </w:rPr>
        <w:t>jhāna</w:t>
      </w:r>
      <w:r w:rsidR="009236B9" w:rsidRPr="00A753EB">
        <w:rPr>
          <w:i/>
          <w:iCs/>
        </w:rPr>
        <w:t>s</w:t>
      </w:r>
      <w:proofErr w:type="spellEnd"/>
      <w:r w:rsidR="009236B9">
        <w:t xml:space="preserve"> o como en la con</w:t>
      </w:r>
      <w:r>
        <w:t>s</w:t>
      </w:r>
      <w:r w:rsidR="009236B9">
        <w:t xml:space="preserve">ciencia del ojo, etc., con solo ausencia, sino con el acto real de </w:t>
      </w:r>
      <w:r>
        <w:t>apaciguar</w:t>
      </w:r>
      <w:r w:rsidR="009236B9">
        <w:t xml:space="preserve"> </w:t>
      </w:r>
      <w:r w:rsidR="00033ABC">
        <w:t>la aplicación y la sustentación mental</w:t>
      </w:r>
      <w:r w:rsidR="009236B9">
        <w:t>. De modo que [</w:t>
      </w:r>
      <w:r w:rsidR="00495B53">
        <w:t xml:space="preserve">la </w:t>
      </w:r>
      <w:r w:rsidR="009236B9">
        <w:t xml:space="preserve">primera cláusula] también indica la causa del estado sin </w:t>
      </w:r>
      <w:r w:rsidR="008B2293">
        <w:t xml:space="preserve">aplicación </w:t>
      </w:r>
      <w:r w:rsidR="001A67E4">
        <w:t xml:space="preserve">ni </w:t>
      </w:r>
      <w:r w:rsidR="008B2293">
        <w:t>sustentación mental</w:t>
      </w:r>
      <w:r w:rsidR="009236B9">
        <w:t xml:space="preserve">; no indica la mera ausencia de </w:t>
      </w:r>
      <w:r w:rsidR="008B2293">
        <w:t>la aplicación y la sustentación mental</w:t>
      </w:r>
      <w:r w:rsidR="009236B9">
        <w:t xml:space="preserve">. [158] La simple ausencia de </w:t>
      </w:r>
      <w:r w:rsidR="008B2293">
        <w:t xml:space="preserve">la aplicación y la sustentación mental </w:t>
      </w:r>
      <w:r w:rsidR="009236B9">
        <w:t xml:space="preserve">se indica mediante esta [segunda] cláusula, </w:t>
      </w:r>
      <w:r w:rsidR="00AE7207">
        <w:t>es decir</w:t>
      </w:r>
      <w:r w:rsidR="009236B9">
        <w:t xml:space="preserve">, “sin </w:t>
      </w:r>
      <w:r w:rsidR="008B2293">
        <w:t>aplicación mental</w:t>
      </w:r>
      <w:r w:rsidR="009236B9">
        <w:t xml:space="preserve">, sin </w:t>
      </w:r>
      <w:r w:rsidR="008B2293">
        <w:t>sustentación mental</w:t>
      </w:r>
      <w:r w:rsidR="009236B9">
        <w:t xml:space="preserve">”. En consecuencia, </w:t>
      </w:r>
      <w:r w:rsidR="00AE7207">
        <w:t>será</w:t>
      </w:r>
      <w:r w:rsidR="009236B9">
        <w:t xml:space="preserve"> necesario declararlo sin perjuicio de que ya se haya dicho lo primero.</w:t>
      </w:r>
    </w:p>
    <w:p w14:paraId="2C827AC1" w14:textId="54773BA3" w:rsidR="009236B9" w:rsidRDefault="009236B9" w:rsidP="009236B9">
      <w:r>
        <w:t xml:space="preserve">148. </w:t>
      </w:r>
      <w:r>
        <w:tab/>
      </w:r>
      <w:r w:rsidR="007361C4">
        <w:rPr>
          <w:i/>
          <w:iCs/>
        </w:rPr>
        <w:t>Surgidas</w:t>
      </w:r>
      <w:r w:rsidRPr="000C7BF2">
        <w:rPr>
          <w:i/>
          <w:iCs/>
        </w:rPr>
        <w:t xml:space="preserve"> de la concentración</w:t>
      </w:r>
      <w:r>
        <w:t xml:space="preserve">: </w:t>
      </w:r>
      <w:r w:rsidR="00495B53">
        <w:t xml:space="preserve">el significado es </w:t>
      </w:r>
      <w:r w:rsidR="007361C4">
        <w:t>surgidas</w:t>
      </w:r>
      <w:r>
        <w:t xml:space="preserve"> de la concentración del primer </w:t>
      </w:r>
      <w:proofErr w:type="spellStart"/>
      <w:r w:rsidR="00057BF4" w:rsidRPr="00057BF4">
        <w:rPr>
          <w:i/>
          <w:iCs/>
        </w:rPr>
        <w:t>jhāna</w:t>
      </w:r>
      <w:proofErr w:type="spellEnd"/>
      <w:r>
        <w:t xml:space="preserve">, o </w:t>
      </w:r>
      <w:r w:rsidR="00690734">
        <w:t>surgidas</w:t>
      </w:r>
      <w:r>
        <w:t xml:space="preserve"> de la concentración asociada</w:t>
      </w:r>
      <w:r w:rsidR="00690734">
        <w:t xml:space="preserve"> a</w:t>
      </w:r>
      <w:r w:rsidR="00D50913">
        <w:t xml:space="preserve"> él</w:t>
      </w:r>
      <w:r>
        <w:t xml:space="preserve">. Aquí, aunque el primer </w:t>
      </w:r>
      <w:proofErr w:type="spellStart"/>
      <w:r w:rsidR="00D50913" w:rsidRPr="00D50913">
        <w:rPr>
          <w:i/>
          <w:iCs/>
        </w:rPr>
        <w:t>jhāna</w:t>
      </w:r>
      <w:proofErr w:type="spellEnd"/>
      <w:r w:rsidR="00D50913">
        <w:t xml:space="preserve"> </w:t>
      </w:r>
      <w:r>
        <w:t xml:space="preserve">también </w:t>
      </w:r>
      <w:r w:rsidR="00D50913">
        <w:t>surgió</w:t>
      </w:r>
      <w:r>
        <w:t xml:space="preserve"> de la concentración asociada</w:t>
      </w:r>
      <w:r w:rsidR="00D50913">
        <w:t xml:space="preserve"> a él</w:t>
      </w:r>
      <w:r>
        <w:t xml:space="preserve">, </w:t>
      </w:r>
      <w:r w:rsidR="00D50913">
        <w:t>es</w:t>
      </w:r>
      <w:r>
        <w:t xml:space="preserve"> sólo esta concentración la que </w:t>
      </w:r>
      <w:r w:rsidR="00D50913">
        <w:t>es</w:t>
      </w:r>
      <w:r>
        <w:t xml:space="preserve"> bastante digna de ser llamada "concentración" debido a su completa confianza y extrema inmovilidad debido a la ausencia de </w:t>
      </w:r>
      <w:r w:rsidR="00D50913">
        <w:t xml:space="preserve">las </w:t>
      </w:r>
      <w:r>
        <w:t>perturbaci</w:t>
      </w:r>
      <w:r w:rsidR="00775C4A">
        <w:t>o</w:t>
      </w:r>
      <w:r>
        <w:t>n</w:t>
      </w:r>
      <w:r w:rsidR="00775C4A">
        <w:t>es</w:t>
      </w:r>
      <w:r>
        <w:t xml:space="preserve"> </w:t>
      </w:r>
      <w:r w:rsidR="00D50913">
        <w:t xml:space="preserve">generadas </w:t>
      </w:r>
      <w:r>
        <w:t xml:space="preserve">por </w:t>
      </w:r>
      <w:r w:rsidR="00690734">
        <w:t>la aplicación y la sustentación mental</w:t>
      </w:r>
      <w:r>
        <w:t xml:space="preserve">. Entonces solo </w:t>
      </w:r>
      <w:r w:rsidR="00107E99">
        <w:t xml:space="preserve">a </w:t>
      </w:r>
      <w:r>
        <w:t>este [</w:t>
      </w:r>
      <w:proofErr w:type="spellStart"/>
      <w:r w:rsidR="00057BF4" w:rsidRPr="00057BF4">
        <w:rPr>
          <w:i/>
          <w:iCs/>
        </w:rPr>
        <w:t>jhāna</w:t>
      </w:r>
      <w:proofErr w:type="spellEnd"/>
      <w:r>
        <w:t xml:space="preserve">] se </w:t>
      </w:r>
      <w:r w:rsidR="00F376A5">
        <w:t xml:space="preserve">le </w:t>
      </w:r>
      <w:r>
        <w:t>llama</w:t>
      </w:r>
      <w:r w:rsidR="00690734">
        <w:t>r</w:t>
      </w:r>
      <w:r w:rsidR="00D37CFD">
        <w:t>á</w:t>
      </w:r>
      <w:r>
        <w:t xml:space="preserve"> “</w:t>
      </w:r>
      <w:r w:rsidR="00690734">
        <w:t>surgidas</w:t>
      </w:r>
      <w:r>
        <w:t xml:space="preserve"> de la concentración”, y eso </w:t>
      </w:r>
      <w:r w:rsidR="00775C4A">
        <w:t>se ha</w:t>
      </w:r>
      <w:r w:rsidR="00690734">
        <w:t>rá</w:t>
      </w:r>
      <w:r w:rsidR="00775C4A">
        <w:t xml:space="preserve"> </w:t>
      </w:r>
      <w:r w:rsidR="00F376A5">
        <w:t>en virtud de</w:t>
      </w:r>
      <w:r>
        <w:t xml:space="preserve"> recomendarlo.</w:t>
      </w:r>
    </w:p>
    <w:p w14:paraId="24AC079F" w14:textId="11108FE8" w:rsidR="009236B9" w:rsidRDefault="009236B9" w:rsidP="009236B9">
      <w:pPr>
        <w:pStyle w:val="NormalConSangria"/>
      </w:pPr>
      <w:r w:rsidRPr="000C7BF2">
        <w:rPr>
          <w:i/>
          <w:iCs/>
        </w:rPr>
        <w:t xml:space="preserve">Con felicidad y dicha </w:t>
      </w:r>
      <w:r>
        <w:t xml:space="preserve">es como ya se explicó. </w:t>
      </w:r>
      <w:r w:rsidRPr="00F376A5">
        <w:rPr>
          <w:i/>
          <w:iCs/>
        </w:rPr>
        <w:t>Segundo</w:t>
      </w:r>
      <w:r>
        <w:t xml:space="preserve">: segundo en </w:t>
      </w:r>
      <w:r w:rsidR="00F376A5">
        <w:t xml:space="preserve">la </w:t>
      </w:r>
      <w:r w:rsidR="00D37CFD">
        <w:t>secuencia</w:t>
      </w:r>
      <w:r>
        <w:t xml:space="preserve"> numérica</w:t>
      </w:r>
      <w:r w:rsidR="00D37CFD">
        <w:t xml:space="preserve"> de todos los </w:t>
      </w:r>
      <w:proofErr w:type="spellStart"/>
      <w:r w:rsidR="00D37CFD" w:rsidRPr="00D37CFD">
        <w:rPr>
          <w:i/>
          <w:iCs/>
        </w:rPr>
        <w:t>jhānas</w:t>
      </w:r>
      <w:proofErr w:type="spellEnd"/>
      <w:r>
        <w:t xml:space="preserve">. También segundo porque </w:t>
      </w:r>
      <w:r w:rsidR="00244EFD">
        <w:t xml:space="preserve">se </w:t>
      </w:r>
      <w:proofErr w:type="spellStart"/>
      <w:r w:rsidR="009C7166">
        <w:t>este</w:t>
      </w:r>
      <w:proofErr w:type="spellEnd"/>
      <w:r w:rsidR="009C7166">
        <w:t xml:space="preserve"> </w:t>
      </w:r>
      <w:proofErr w:type="spellStart"/>
      <w:r w:rsidR="009C7166" w:rsidRPr="009C7166">
        <w:rPr>
          <w:i/>
          <w:iCs/>
        </w:rPr>
        <w:t>jhāna</w:t>
      </w:r>
      <w:proofErr w:type="spellEnd"/>
      <w:r w:rsidR="009C7166">
        <w:t xml:space="preserve"> se consuma</w:t>
      </w:r>
      <w:r>
        <w:t xml:space="preserve"> segund</w:t>
      </w:r>
      <w:r w:rsidR="00244EFD">
        <w:t>amente</w:t>
      </w:r>
      <w:r>
        <w:t>.</w:t>
      </w:r>
    </w:p>
    <w:p w14:paraId="76AD1981" w14:textId="2D17873D" w:rsidR="009236B9" w:rsidRDefault="009236B9" w:rsidP="009236B9">
      <w:r>
        <w:t xml:space="preserve">149. </w:t>
      </w:r>
      <w:r>
        <w:tab/>
        <w:t xml:space="preserve">Entonces también se dijo arriba </w:t>
      </w:r>
      <w:r w:rsidRPr="000C7BF2">
        <w:rPr>
          <w:i/>
          <w:iCs/>
        </w:rPr>
        <w:t>que abandona</w:t>
      </w:r>
      <w:r w:rsidR="00DB0FAC">
        <w:rPr>
          <w:i/>
          <w:iCs/>
        </w:rPr>
        <w:t>rá</w:t>
      </w:r>
      <w:r w:rsidRPr="000C7BF2">
        <w:rPr>
          <w:i/>
          <w:iCs/>
        </w:rPr>
        <w:t xml:space="preserve"> dos factores</w:t>
      </w:r>
      <w:r>
        <w:t xml:space="preserve">, </w:t>
      </w:r>
      <w:r w:rsidR="00FD662C">
        <w:rPr>
          <w:i/>
          <w:iCs/>
        </w:rPr>
        <w:t>poseerá</w:t>
      </w:r>
      <w:r w:rsidRPr="000C7BF2">
        <w:rPr>
          <w:i/>
          <w:iCs/>
        </w:rPr>
        <w:t xml:space="preserve"> tres factores</w:t>
      </w:r>
      <w:r>
        <w:t xml:space="preserve"> (§139). Aquí, el abandono de </w:t>
      </w:r>
      <w:r w:rsidR="00285018">
        <w:t xml:space="preserve">los </w:t>
      </w:r>
      <w:r>
        <w:t>dos factores debe</w:t>
      </w:r>
      <w:r w:rsidR="009C7166">
        <w:t>rá</w:t>
      </w:r>
      <w:r>
        <w:t xml:space="preserve"> entenderse como el abandono </w:t>
      </w:r>
      <w:r w:rsidR="009C7166">
        <w:t xml:space="preserve">de la </w:t>
      </w:r>
      <w:proofErr w:type="gramStart"/>
      <w:r w:rsidR="009C7166">
        <w:t>aplicación mental y la sustentación mental</w:t>
      </w:r>
      <w:proofErr w:type="gramEnd"/>
      <w:r>
        <w:t xml:space="preserve">. </w:t>
      </w:r>
      <w:r w:rsidR="009C7166">
        <w:t xml:space="preserve">No obstante, </w:t>
      </w:r>
      <w:r>
        <w:t xml:space="preserve">mientras que los obstáculos se abandonan en el momento del acceso al primer </w:t>
      </w:r>
      <w:proofErr w:type="spellStart"/>
      <w:r w:rsidR="00057BF4" w:rsidRPr="00057BF4">
        <w:rPr>
          <w:i/>
          <w:iCs/>
        </w:rPr>
        <w:t>jhāna</w:t>
      </w:r>
      <w:proofErr w:type="spellEnd"/>
      <w:r>
        <w:t>, en el caso de est</w:t>
      </w:r>
      <w:r w:rsidR="00285018">
        <w:t xml:space="preserve">e </w:t>
      </w:r>
      <w:proofErr w:type="spellStart"/>
      <w:r w:rsidR="00057BF4" w:rsidRPr="00057BF4">
        <w:rPr>
          <w:i/>
          <w:iCs/>
        </w:rPr>
        <w:t>jhāna</w:t>
      </w:r>
      <w:proofErr w:type="spellEnd"/>
      <w:r>
        <w:t xml:space="preserve"> </w:t>
      </w:r>
      <w:r w:rsidR="009C7166">
        <w:t xml:space="preserve">la </w:t>
      </w:r>
      <w:proofErr w:type="gramStart"/>
      <w:r w:rsidR="009C7166">
        <w:t>aplicación mental y sustentación mental</w:t>
      </w:r>
      <w:proofErr w:type="gramEnd"/>
      <w:r w:rsidR="009C7166">
        <w:t xml:space="preserve"> </w:t>
      </w:r>
      <w:r>
        <w:t xml:space="preserve">no se abandonan en el momento de su acceso. Es solo en el momento de la absorción real que el </w:t>
      </w:r>
      <w:proofErr w:type="spellStart"/>
      <w:r w:rsidR="00057BF4" w:rsidRPr="00057BF4">
        <w:rPr>
          <w:i/>
          <w:iCs/>
        </w:rPr>
        <w:t>jhāna</w:t>
      </w:r>
      <w:proofErr w:type="spellEnd"/>
      <w:r>
        <w:t xml:space="preserve"> surg</w:t>
      </w:r>
      <w:r w:rsidR="00285018">
        <w:t>irá</w:t>
      </w:r>
      <w:r>
        <w:t xml:space="preserve"> sin ell</w:t>
      </w:r>
      <w:r w:rsidR="009C7166">
        <w:t>a</w:t>
      </w:r>
      <w:r>
        <w:t xml:space="preserve">s. De ahí que se </w:t>
      </w:r>
      <w:r w:rsidR="008F6268">
        <w:t xml:space="preserve">le </w:t>
      </w:r>
      <w:r>
        <w:t>llamen factores de abandono.</w:t>
      </w:r>
    </w:p>
    <w:p w14:paraId="69B85349" w14:textId="5FC0FBA8" w:rsidR="009236B9" w:rsidRDefault="009236B9" w:rsidP="009236B9">
      <w:r>
        <w:t xml:space="preserve">150. </w:t>
      </w:r>
      <w:r>
        <w:tab/>
      </w:r>
      <w:r w:rsidR="00BE6581">
        <w:t>La</w:t>
      </w:r>
      <w:r>
        <w:t xml:space="preserve"> posesión de tres factores debe</w:t>
      </w:r>
      <w:r w:rsidR="00DB0FAC">
        <w:t>rá</w:t>
      </w:r>
      <w:r>
        <w:t xml:space="preserve"> entenderse como el surgimiento de los tres</w:t>
      </w:r>
      <w:r w:rsidR="00295BE9">
        <w:t xml:space="preserve"> factores siguientes</w:t>
      </w:r>
      <w:r>
        <w:t xml:space="preserve">, es decir, </w:t>
      </w:r>
      <w:r w:rsidR="00295BE9">
        <w:t xml:space="preserve">la </w:t>
      </w:r>
      <w:r>
        <w:t xml:space="preserve">felicidad, </w:t>
      </w:r>
      <w:r w:rsidR="00295BE9">
        <w:t xml:space="preserve">la </w:t>
      </w:r>
      <w:r>
        <w:t xml:space="preserve">dicha y </w:t>
      </w:r>
      <w:r w:rsidR="001716E6">
        <w:t xml:space="preserve">la </w:t>
      </w:r>
      <w:r>
        <w:t>unificación ment</w:t>
      </w:r>
      <w:r w:rsidR="00BE6581">
        <w:t>al</w:t>
      </w:r>
      <w:r>
        <w:t>. Entonces, cuando se di</w:t>
      </w:r>
      <w:r w:rsidR="00BE6581">
        <w:t>ga</w:t>
      </w:r>
      <w:r>
        <w:t xml:space="preserve"> en el </w:t>
      </w:r>
      <w:proofErr w:type="spellStart"/>
      <w:r w:rsidRPr="00A753EB">
        <w:rPr>
          <w:i/>
          <w:iCs/>
        </w:rPr>
        <w:t>Vibhaṅga</w:t>
      </w:r>
      <w:proofErr w:type="spellEnd"/>
      <w:r>
        <w:t>, “‘</w:t>
      </w:r>
      <w:proofErr w:type="spellStart"/>
      <w:r w:rsidR="00057BF4" w:rsidRPr="00057BF4">
        <w:rPr>
          <w:i/>
          <w:iCs/>
        </w:rPr>
        <w:t>Jhāna</w:t>
      </w:r>
      <w:proofErr w:type="spellEnd"/>
      <w:r w:rsidRPr="00A753EB">
        <w:rPr>
          <w:i/>
          <w:iCs/>
        </w:rPr>
        <w:t>’</w:t>
      </w:r>
      <w:r>
        <w:t xml:space="preserve">: confianza, felicidad, dicha, unificación </w:t>
      </w:r>
      <w:r w:rsidR="00BE6581">
        <w:t>mental</w:t>
      </w:r>
      <w:r>
        <w:t>” (</w:t>
      </w:r>
      <w:proofErr w:type="spellStart"/>
      <w:r>
        <w:t>Vibh</w:t>
      </w:r>
      <w:proofErr w:type="spellEnd"/>
      <w:r>
        <w:t xml:space="preserve"> 258), esto se </w:t>
      </w:r>
      <w:r w:rsidR="00BE6581">
        <w:t>dirá</w:t>
      </w:r>
      <w:r>
        <w:t xml:space="preserve"> en sentido figurado para </w:t>
      </w:r>
      <w:r w:rsidR="00F625F4">
        <w:t>exponer</w:t>
      </w:r>
      <w:r>
        <w:t xml:space="preserve"> </w:t>
      </w:r>
      <w:r w:rsidR="00F625F4">
        <w:t xml:space="preserve">a </w:t>
      </w:r>
      <w:r>
        <w:t xml:space="preserve">ese </w:t>
      </w:r>
      <w:proofErr w:type="spellStart"/>
      <w:r w:rsidR="00057BF4" w:rsidRPr="00057BF4">
        <w:rPr>
          <w:i/>
          <w:iCs/>
        </w:rPr>
        <w:t>jhāna</w:t>
      </w:r>
      <w:proofErr w:type="spellEnd"/>
      <w:r w:rsidR="00A753EB">
        <w:t xml:space="preserve"> </w:t>
      </w:r>
      <w:r>
        <w:t xml:space="preserve">con su equipo. Pero, exceptuando </w:t>
      </w:r>
      <w:r w:rsidR="001716E6">
        <w:t xml:space="preserve">a </w:t>
      </w:r>
      <w:r>
        <w:t xml:space="preserve">la confianza, este </w:t>
      </w:r>
      <w:proofErr w:type="spellStart"/>
      <w:r w:rsidR="00057BF4" w:rsidRPr="00057BF4">
        <w:rPr>
          <w:i/>
          <w:iCs/>
        </w:rPr>
        <w:t>jhāna</w:t>
      </w:r>
      <w:proofErr w:type="spellEnd"/>
      <w:r>
        <w:t xml:space="preserve"> </w:t>
      </w:r>
      <w:r w:rsidR="00CF7715">
        <w:t>tendrá</w:t>
      </w:r>
      <w:r>
        <w:t xml:space="preserve"> literalmente tres factores </w:t>
      </w:r>
      <w:r w:rsidRPr="00F625F4">
        <w:rPr>
          <w:i/>
          <w:iCs/>
        </w:rPr>
        <w:t>qua</w:t>
      </w:r>
      <w:r>
        <w:t xml:space="preserve"> factores que ha</w:t>
      </w:r>
      <w:r w:rsidR="00CF7715">
        <w:t>brá</w:t>
      </w:r>
      <w:r>
        <w:t>n alcanzado la característica de ilumina</w:t>
      </w:r>
      <w:r w:rsidR="00CC41E9">
        <w:t>r</w:t>
      </w:r>
      <w:r>
        <w:t xml:space="preserve"> (ver §119), según se dice: “¿Qué </w:t>
      </w:r>
      <w:proofErr w:type="spellStart"/>
      <w:r w:rsidR="00057BF4" w:rsidRPr="00057BF4">
        <w:rPr>
          <w:i/>
          <w:iCs/>
        </w:rPr>
        <w:t>jhāna</w:t>
      </w:r>
      <w:proofErr w:type="spellEnd"/>
      <w:r>
        <w:t xml:space="preserve"> </w:t>
      </w:r>
      <w:r w:rsidR="00F625F4">
        <w:t xml:space="preserve">es </w:t>
      </w:r>
      <w:r>
        <w:t xml:space="preserve">de tres factores en esa ocasión? Es </w:t>
      </w:r>
      <w:r w:rsidR="0044760D">
        <w:t xml:space="preserve">el de la </w:t>
      </w:r>
      <w:r>
        <w:t>felicidad, dicha</w:t>
      </w:r>
      <w:r w:rsidR="00F625F4">
        <w:t xml:space="preserve"> y</w:t>
      </w:r>
      <w:r>
        <w:t xml:space="preserve"> unificación </w:t>
      </w:r>
      <w:r w:rsidR="00F625F4">
        <w:t>mental</w:t>
      </w:r>
      <w:r>
        <w:t>” (</w:t>
      </w:r>
      <w:proofErr w:type="spellStart"/>
      <w:r>
        <w:t>Vibh</w:t>
      </w:r>
      <w:proofErr w:type="spellEnd"/>
      <w:r>
        <w:t xml:space="preserve"> 263).</w:t>
      </w:r>
    </w:p>
    <w:p w14:paraId="5F60073C" w14:textId="12CD0CEF" w:rsidR="009236B9" w:rsidRDefault="009236B9" w:rsidP="009236B9">
      <w:pPr>
        <w:pStyle w:val="NormalConSangria"/>
      </w:pPr>
      <w:r>
        <w:t xml:space="preserve">El resto es como en el caso del primer </w:t>
      </w:r>
      <w:proofErr w:type="spellStart"/>
      <w:r w:rsidR="00057BF4" w:rsidRPr="00057BF4">
        <w:rPr>
          <w:i/>
          <w:iCs/>
        </w:rPr>
        <w:t>jhāna</w:t>
      </w:r>
      <w:proofErr w:type="spellEnd"/>
      <w:r>
        <w:t>.</w:t>
      </w:r>
    </w:p>
    <w:p w14:paraId="59BB2C0E" w14:textId="531B1BB4" w:rsidR="009236B9" w:rsidRDefault="009236B9" w:rsidP="009236B9">
      <w:r>
        <w:t xml:space="preserve">151. </w:t>
      </w:r>
      <w:r>
        <w:tab/>
        <w:t>Una vez que esto se ha</w:t>
      </w:r>
      <w:r w:rsidR="00843ABF">
        <w:t>ya</w:t>
      </w:r>
      <w:r>
        <w:t xml:space="preserve"> obtenido </w:t>
      </w:r>
      <w:r w:rsidR="00DB0FAC">
        <w:t>así</w:t>
      </w:r>
      <w:r>
        <w:t xml:space="preserve">, y él </w:t>
      </w:r>
      <w:r w:rsidR="00843ABF">
        <w:t>desarrolle</w:t>
      </w:r>
      <w:r>
        <w:t xml:space="preserve"> maestría en las cinco formas ya descritas, entonces al emerger del ahora familiar segundo </w:t>
      </w:r>
      <w:proofErr w:type="spellStart"/>
      <w:r w:rsidR="00057BF4" w:rsidRPr="00057BF4">
        <w:rPr>
          <w:i/>
          <w:iCs/>
        </w:rPr>
        <w:t>jhāna</w:t>
      </w:r>
      <w:proofErr w:type="spellEnd"/>
      <w:r>
        <w:t xml:space="preserve"> </w:t>
      </w:r>
      <w:r w:rsidR="00843ABF">
        <w:t>podrá</w:t>
      </w:r>
      <w:r>
        <w:t xml:space="preserve"> considerar l</w:t>
      </w:r>
      <w:r w:rsidR="00843ABF">
        <w:t>o</w:t>
      </w:r>
      <w:r>
        <w:t xml:space="preserve">s </w:t>
      </w:r>
      <w:r w:rsidR="00843ABF">
        <w:t xml:space="preserve">defectos </w:t>
      </w:r>
      <w:r>
        <w:t>en él así: “Est</w:t>
      </w:r>
      <w:r w:rsidR="00843ABF">
        <w:t>a</w:t>
      </w:r>
      <w:r>
        <w:t xml:space="preserve"> </w:t>
      </w:r>
      <w:r w:rsidR="00843ABF">
        <w:t xml:space="preserve">consumación </w:t>
      </w:r>
      <w:r>
        <w:t>está amenazad</w:t>
      </w:r>
      <w:r w:rsidR="00843ABF">
        <w:t>a</w:t>
      </w:r>
      <w:r>
        <w:t xml:space="preserve"> por la cercanía de </w:t>
      </w:r>
      <w:r w:rsidR="00741E28">
        <w:t xml:space="preserve">la </w:t>
      </w:r>
      <w:proofErr w:type="gramStart"/>
      <w:r w:rsidR="00741E28">
        <w:t>aplicación mental y sustentación mental</w:t>
      </w:r>
      <w:proofErr w:type="gramEnd"/>
      <w:r>
        <w:t xml:space="preserve">; “Todo lo que </w:t>
      </w:r>
      <w:r w:rsidR="00843ABF">
        <w:t>exist</w:t>
      </w:r>
      <w:r w:rsidR="00741E28">
        <w:t>a</w:t>
      </w:r>
      <w:r>
        <w:t xml:space="preserve"> en él de felicidad, de </w:t>
      </w:r>
      <w:r w:rsidR="00843ABF">
        <w:t xml:space="preserve">dicha </w:t>
      </w:r>
      <w:r>
        <w:t>mental, proclama</w:t>
      </w:r>
      <w:r w:rsidR="009E66F1">
        <w:t>rá</w:t>
      </w:r>
      <w:r>
        <w:t xml:space="preserve"> su </w:t>
      </w:r>
      <w:r w:rsidR="00843ABF">
        <w:t>densificación</w:t>
      </w:r>
      <w:r>
        <w:t xml:space="preserve">” (D I 37), y sus factores </w:t>
      </w:r>
      <w:r w:rsidR="000815F5">
        <w:t xml:space="preserve">serán </w:t>
      </w:r>
      <w:r>
        <w:t xml:space="preserve">debilitados por la </w:t>
      </w:r>
      <w:r w:rsidR="00843ABF">
        <w:t xml:space="preserve">densidad </w:t>
      </w:r>
      <w:r>
        <w:t xml:space="preserve">de la felicidad así expresada”. </w:t>
      </w:r>
      <w:r w:rsidR="00B92C4F">
        <w:t>Entonces p</w:t>
      </w:r>
      <w:r w:rsidR="00843ABF">
        <w:t xml:space="preserve">odrá </w:t>
      </w:r>
      <w:r w:rsidR="00B92C4F">
        <w:t xml:space="preserve">conducir </w:t>
      </w:r>
      <w:r>
        <w:t xml:space="preserve">la mente </w:t>
      </w:r>
      <w:r w:rsidR="00C9045E">
        <w:t xml:space="preserve">hacia </w:t>
      </w:r>
      <w:r>
        <w:t xml:space="preserve">el tercer </w:t>
      </w:r>
      <w:proofErr w:type="spellStart"/>
      <w:r w:rsidR="00057BF4" w:rsidRPr="00057BF4">
        <w:rPr>
          <w:i/>
          <w:iCs/>
        </w:rPr>
        <w:t>jhāna</w:t>
      </w:r>
      <w:proofErr w:type="spellEnd"/>
      <w:r>
        <w:t xml:space="preserve"> como </w:t>
      </w:r>
      <w:r w:rsidR="00C9045E">
        <w:t xml:space="preserve">algo </w:t>
      </w:r>
      <w:r>
        <w:t xml:space="preserve">más </w:t>
      </w:r>
      <w:r w:rsidR="00113395">
        <w:t xml:space="preserve">apacible </w:t>
      </w:r>
      <w:r>
        <w:t xml:space="preserve">y así </w:t>
      </w:r>
      <w:r w:rsidR="00113395">
        <w:t xml:space="preserve">pondrá </w:t>
      </w:r>
      <w:r>
        <w:t xml:space="preserve">fin a su apego al segundo </w:t>
      </w:r>
      <w:proofErr w:type="spellStart"/>
      <w:r w:rsidR="00057BF4" w:rsidRPr="00057BF4">
        <w:rPr>
          <w:i/>
          <w:iCs/>
        </w:rPr>
        <w:t>jhāna</w:t>
      </w:r>
      <w:proofErr w:type="spellEnd"/>
      <w:r>
        <w:t xml:space="preserve"> y comenzar</w:t>
      </w:r>
      <w:r w:rsidR="00113395">
        <w:t>á</w:t>
      </w:r>
      <w:r>
        <w:t xml:space="preserve"> a hacer lo necesario para alcanzar el tercero.</w:t>
      </w:r>
    </w:p>
    <w:p w14:paraId="22ECBE61" w14:textId="77777777" w:rsidR="009236B9" w:rsidRDefault="009236B9">
      <w:pPr>
        <w:tabs>
          <w:tab w:val="clear" w:pos="425"/>
        </w:tabs>
        <w:spacing w:after="160"/>
      </w:pPr>
      <w:r>
        <w:br w:type="page"/>
      </w:r>
    </w:p>
    <w:p w14:paraId="5DF2AF51" w14:textId="77777777" w:rsidR="00782669" w:rsidRDefault="00782669" w:rsidP="009236B9"/>
    <w:p w14:paraId="3C816545" w14:textId="16836400" w:rsidR="00FC35CA" w:rsidRDefault="00FC35CA" w:rsidP="00FC35CA">
      <w:r>
        <w:t xml:space="preserve">152. </w:t>
      </w:r>
      <w:r>
        <w:tab/>
        <w:t>Cuando ha</w:t>
      </w:r>
      <w:r w:rsidR="00C9045E">
        <w:t>ya</w:t>
      </w:r>
      <w:r>
        <w:t xml:space="preserve"> emergido del segundo </w:t>
      </w:r>
      <w:proofErr w:type="spellStart"/>
      <w:r w:rsidR="00057BF4" w:rsidRPr="00057BF4">
        <w:rPr>
          <w:i/>
          <w:iCs/>
        </w:rPr>
        <w:t>jhāna</w:t>
      </w:r>
      <w:proofErr w:type="spellEnd"/>
      <w:r>
        <w:t xml:space="preserve"> [159], la felicidad </w:t>
      </w:r>
      <w:r w:rsidR="00FC2C4C">
        <w:t>a</w:t>
      </w:r>
      <w:r>
        <w:t>parece</w:t>
      </w:r>
      <w:r w:rsidR="00C9045E">
        <w:t>rá</w:t>
      </w:r>
      <w:r>
        <w:t xml:space="preserve"> </w:t>
      </w:r>
      <w:r w:rsidR="00FC2C4C">
        <w:t xml:space="preserve">como </w:t>
      </w:r>
      <w:r w:rsidR="00C9045E">
        <w:t xml:space="preserve">densa </w:t>
      </w:r>
      <w:r>
        <w:t>a medida que revis</w:t>
      </w:r>
      <w:r w:rsidR="00C9045E">
        <w:t>e</w:t>
      </w:r>
      <w:r>
        <w:t xml:space="preserve"> los factores del </w:t>
      </w:r>
      <w:proofErr w:type="spellStart"/>
      <w:r w:rsidR="00057BF4" w:rsidRPr="00057BF4">
        <w:rPr>
          <w:i/>
          <w:iCs/>
        </w:rPr>
        <w:t>jhāna</w:t>
      </w:r>
      <w:proofErr w:type="spellEnd"/>
      <w:r>
        <w:t xml:space="preserve"> con con</w:t>
      </w:r>
      <w:r w:rsidR="005E7894">
        <w:t>s</w:t>
      </w:r>
      <w:r>
        <w:t>ciencia</w:t>
      </w:r>
      <w:r w:rsidR="005E7894" w:rsidRPr="005E7894">
        <w:t xml:space="preserve"> </w:t>
      </w:r>
      <w:r w:rsidR="005E7894">
        <w:t>plena</w:t>
      </w:r>
      <w:r w:rsidR="00B95743">
        <w:t xml:space="preserve"> y atenta</w:t>
      </w:r>
      <w:r>
        <w:t>, mientras que la dicha y la unificación le parece</w:t>
      </w:r>
      <w:r w:rsidR="005E7894">
        <w:t>rá</w:t>
      </w:r>
      <w:r>
        <w:t xml:space="preserve">n </w:t>
      </w:r>
      <w:r w:rsidR="005E7894">
        <w:t>apacibles</w:t>
      </w:r>
      <w:r>
        <w:t>. Luego, cuando tra</w:t>
      </w:r>
      <w:r w:rsidR="005E7894">
        <w:t>iga</w:t>
      </w:r>
      <w:r>
        <w:t xml:space="preserve"> a la mente </w:t>
      </w:r>
      <w:r w:rsidR="005E7894">
        <w:t>a</w:t>
      </w:r>
      <w:r w:rsidR="00CC5160">
        <w:t>l</w:t>
      </w:r>
      <w:r>
        <w:t xml:space="preserve"> mismo signo “tierra, tierra” una y otra vez con el propósito de abandonar el factor denso y obtener los factores </w:t>
      </w:r>
      <w:r w:rsidR="005E7894">
        <w:t>apacibles</w:t>
      </w:r>
      <w:r>
        <w:t xml:space="preserve">, [sabiendo] “ahora surgirá el tercer </w:t>
      </w:r>
      <w:proofErr w:type="spellStart"/>
      <w:r w:rsidR="00057BF4" w:rsidRPr="00057BF4">
        <w:rPr>
          <w:i/>
          <w:iCs/>
        </w:rPr>
        <w:t>jhāna</w:t>
      </w:r>
      <w:proofErr w:type="spellEnd"/>
      <w:r>
        <w:t>”, surg</w:t>
      </w:r>
      <w:r w:rsidR="00487236">
        <w:t>irá</w:t>
      </w:r>
      <w:r>
        <w:t xml:space="preserve"> en él la </w:t>
      </w:r>
      <w:r w:rsidR="008334A0">
        <w:t xml:space="preserve">advertencia </w:t>
      </w:r>
      <w:r w:rsidR="00F31343">
        <w:t>en</w:t>
      </w:r>
      <w:r>
        <w:t xml:space="preserve"> </w:t>
      </w:r>
      <w:r w:rsidR="00487236">
        <w:t xml:space="preserve">la </w:t>
      </w:r>
      <w:r>
        <w:t xml:space="preserve">puerta </w:t>
      </w:r>
      <w:r w:rsidR="008334A0">
        <w:t xml:space="preserve">mental </w:t>
      </w:r>
      <w:r>
        <w:t>con es</w:t>
      </w:r>
      <w:r w:rsidR="00F31343">
        <w:t>e</w:t>
      </w:r>
      <w:r>
        <w:t xml:space="preserve"> mism</w:t>
      </w:r>
      <w:r w:rsidR="00487236">
        <w:t>o</w:t>
      </w:r>
      <w:r>
        <w:t xml:space="preserve"> </w:t>
      </w:r>
      <w:proofErr w:type="spellStart"/>
      <w:r w:rsidR="00057BF4" w:rsidRPr="00057BF4">
        <w:rPr>
          <w:i/>
          <w:iCs/>
        </w:rPr>
        <w:t>kasiṇa</w:t>
      </w:r>
      <w:proofErr w:type="spellEnd"/>
      <w:r>
        <w:t xml:space="preserve"> </w:t>
      </w:r>
      <w:r w:rsidR="00487236">
        <w:t xml:space="preserve">tierra </w:t>
      </w:r>
      <w:r>
        <w:t>como objeto, interrumpiendo el continu</w:t>
      </w:r>
      <w:r w:rsidR="008334A0">
        <w:t>um</w:t>
      </w:r>
      <w:r>
        <w:t xml:space="preserve"> de la vida. Después de e</w:t>
      </w:r>
      <w:r w:rsidR="00F31343">
        <w:t>ll</w:t>
      </w:r>
      <w:r>
        <w:t>o, cuatro o cinco impulsos impulsa</w:t>
      </w:r>
      <w:r w:rsidR="008334A0">
        <w:t>rá</w:t>
      </w:r>
      <w:r>
        <w:t xml:space="preserve">n </w:t>
      </w:r>
      <w:r w:rsidR="00F31343">
        <w:t>a</w:t>
      </w:r>
      <w:r>
        <w:t xml:space="preserve">l mismo objeto, el último de los cuales </w:t>
      </w:r>
      <w:r w:rsidR="00164513">
        <w:t xml:space="preserve">será </w:t>
      </w:r>
      <w:r>
        <w:t xml:space="preserve">un impulso de la esfera de la materia </w:t>
      </w:r>
      <w:r w:rsidR="00BE522E">
        <w:t>sutil</w:t>
      </w:r>
      <w:r>
        <w:t xml:space="preserve"> pertenec</w:t>
      </w:r>
      <w:r w:rsidR="00BE522E">
        <w:t>iente</w:t>
      </w:r>
      <w:r>
        <w:t xml:space="preserve"> al tercer </w:t>
      </w:r>
      <w:proofErr w:type="spellStart"/>
      <w:r w:rsidR="00057BF4" w:rsidRPr="00057BF4">
        <w:rPr>
          <w:i/>
          <w:iCs/>
        </w:rPr>
        <w:t>jhāna</w:t>
      </w:r>
      <w:proofErr w:type="spellEnd"/>
      <w:r>
        <w:t xml:space="preserve">. El resto </w:t>
      </w:r>
      <w:r w:rsidR="00BE522E">
        <w:t xml:space="preserve">será </w:t>
      </w:r>
      <w:r>
        <w:t>de los tipos ya indicados (§74).</w:t>
      </w:r>
    </w:p>
    <w:p w14:paraId="1159FC0E" w14:textId="77777777" w:rsidR="002D17DA" w:rsidRDefault="002D17DA" w:rsidP="00FC35CA"/>
    <w:p w14:paraId="4B16E80D" w14:textId="0FD5300F" w:rsidR="00FC35CA" w:rsidRDefault="00FC35CA" w:rsidP="00FC35CA">
      <w:pPr>
        <w:pStyle w:val="Ttulo3"/>
        <w:ind w:left="708"/>
      </w:pPr>
      <w:r>
        <w:t xml:space="preserve">[El Tercer </w:t>
      </w:r>
      <w:proofErr w:type="spellStart"/>
      <w:r w:rsidR="00057BF4" w:rsidRPr="00057BF4">
        <w:rPr>
          <w:i/>
          <w:iCs/>
        </w:rPr>
        <w:t>Jhāna</w:t>
      </w:r>
      <w:proofErr w:type="spellEnd"/>
      <w:r>
        <w:t>]</w:t>
      </w:r>
    </w:p>
    <w:p w14:paraId="48D10859" w14:textId="622F6C3F" w:rsidR="00FC35CA" w:rsidRDefault="00FC35CA" w:rsidP="00FC35CA">
      <w:r>
        <w:t xml:space="preserve">153. </w:t>
      </w:r>
      <w:r>
        <w:tab/>
        <w:t>Y en este punto, “</w:t>
      </w:r>
      <w:r w:rsidRPr="00CE7FE5">
        <w:rPr>
          <w:i/>
          <w:iCs/>
        </w:rPr>
        <w:t xml:space="preserve">Con el desvanecimiento </w:t>
      </w:r>
      <w:r w:rsidR="00CE7FE5" w:rsidRPr="00CE7FE5">
        <w:rPr>
          <w:i/>
          <w:iCs/>
        </w:rPr>
        <w:t xml:space="preserve">también </w:t>
      </w:r>
      <w:r w:rsidRPr="00CE7FE5">
        <w:rPr>
          <w:i/>
          <w:iCs/>
        </w:rPr>
        <w:t xml:space="preserve">de la felicidad </w:t>
      </w:r>
      <w:r w:rsidR="00CE7FE5">
        <w:rPr>
          <w:i/>
          <w:iCs/>
        </w:rPr>
        <w:t>habitará</w:t>
      </w:r>
      <w:r w:rsidRPr="00CE7FE5">
        <w:rPr>
          <w:i/>
          <w:iCs/>
        </w:rPr>
        <w:t xml:space="preserve"> en la ecuanimidad, atento y plenamente consciente, </w:t>
      </w:r>
      <w:r w:rsidR="005765E0">
        <w:rPr>
          <w:i/>
          <w:iCs/>
        </w:rPr>
        <w:t xml:space="preserve">entonces </w:t>
      </w:r>
      <w:r w:rsidR="00377823">
        <w:rPr>
          <w:i/>
          <w:iCs/>
        </w:rPr>
        <w:t>sentirá dicha</w:t>
      </w:r>
      <w:r w:rsidRPr="00CE7FE5">
        <w:rPr>
          <w:i/>
          <w:iCs/>
        </w:rPr>
        <w:t xml:space="preserve"> </w:t>
      </w:r>
      <w:r w:rsidR="00377823">
        <w:rPr>
          <w:i/>
          <w:iCs/>
        </w:rPr>
        <w:t>e</w:t>
      </w:r>
      <w:r w:rsidRPr="00CE7FE5">
        <w:rPr>
          <w:i/>
          <w:iCs/>
        </w:rPr>
        <w:t>n su cuerpo; él entra</w:t>
      </w:r>
      <w:r w:rsidR="005765E0">
        <w:rPr>
          <w:i/>
          <w:iCs/>
        </w:rPr>
        <w:t>rá</w:t>
      </w:r>
      <w:r w:rsidRPr="00CE7FE5">
        <w:rPr>
          <w:i/>
          <w:iCs/>
        </w:rPr>
        <w:t xml:space="preserve"> y </w:t>
      </w:r>
      <w:r w:rsidR="005765E0">
        <w:rPr>
          <w:i/>
          <w:iCs/>
        </w:rPr>
        <w:t xml:space="preserve">habitará </w:t>
      </w:r>
      <w:r w:rsidRPr="00CE7FE5">
        <w:rPr>
          <w:i/>
          <w:iCs/>
        </w:rPr>
        <w:t xml:space="preserve">en el tercer </w:t>
      </w:r>
      <w:proofErr w:type="spellStart"/>
      <w:r w:rsidR="00057BF4" w:rsidRPr="00CE7FE5">
        <w:rPr>
          <w:i/>
          <w:iCs/>
        </w:rPr>
        <w:t>jhāna</w:t>
      </w:r>
      <w:proofErr w:type="spellEnd"/>
      <w:r w:rsidRPr="00CE7FE5">
        <w:rPr>
          <w:i/>
          <w:iCs/>
        </w:rPr>
        <w:t>, debido a lo cual los Nobles anuncian: 'Aquel que ten</w:t>
      </w:r>
      <w:r w:rsidR="005765E0">
        <w:rPr>
          <w:i/>
          <w:iCs/>
        </w:rPr>
        <w:t>ga</w:t>
      </w:r>
      <w:r w:rsidRPr="00CE7FE5">
        <w:rPr>
          <w:i/>
          <w:iCs/>
        </w:rPr>
        <w:t xml:space="preserve"> ecuanimidad y </w:t>
      </w:r>
      <w:r w:rsidR="005765E0">
        <w:rPr>
          <w:i/>
          <w:iCs/>
        </w:rPr>
        <w:t>sea</w:t>
      </w:r>
      <w:r w:rsidRPr="00CE7FE5">
        <w:rPr>
          <w:i/>
          <w:iCs/>
        </w:rPr>
        <w:t xml:space="preserve"> consciente, </w:t>
      </w:r>
      <w:r w:rsidR="005765E0">
        <w:rPr>
          <w:i/>
          <w:iCs/>
        </w:rPr>
        <w:t xml:space="preserve">habitará </w:t>
      </w:r>
      <w:r w:rsidRPr="00CE7FE5">
        <w:rPr>
          <w:i/>
          <w:iCs/>
        </w:rPr>
        <w:t xml:space="preserve">en </w:t>
      </w:r>
      <w:r w:rsidR="005765E0">
        <w:rPr>
          <w:i/>
          <w:iCs/>
        </w:rPr>
        <w:t xml:space="preserve">la dicha </w:t>
      </w:r>
      <w:r w:rsidRPr="00CE7FE5">
        <w:t>(</w:t>
      </w:r>
      <w:proofErr w:type="spellStart"/>
      <w:r w:rsidRPr="00CE7FE5">
        <w:t>Vibh</w:t>
      </w:r>
      <w:proofErr w:type="spellEnd"/>
      <w:r w:rsidRPr="00CE7FE5">
        <w:t xml:space="preserve"> 245),</w:t>
      </w:r>
      <w:r w:rsidRPr="00CE7FE5">
        <w:rPr>
          <w:i/>
          <w:iCs/>
        </w:rPr>
        <w:t xml:space="preserve"> y así ha</w:t>
      </w:r>
      <w:r w:rsidR="005765E0">
        <w:rPr>
          <w:i/>
          <w:iCs/>
        </w:rPr>
        <w:t>brá consumado</w:t>
      </w:r>
      <w:r w:rsidRPr="00CE7FE5">
        <w:rPr>
          <w:i/>
          <w:iCs/>
        </w:rPr>
        <w:t xml:space="preserve"> el tercer </w:t>
      </w:r>
      <w:proofErr w:type="spellStart"/>
      <w:r w:rsidR="00057BF4" w:rsidRPr="00CE7FE5">
        <w:rPr>
          <w:i/>
          <w:iCs/>
        </w:rPr>
        <w:t>jhāna</w:t>
      </w:r>
      <w:proofErr w:type="spellEnd"/>
      <w:r w:rsidRPr="00CE7FE5">
        <w:rPr>
          <w:i/>
          <w:iCs/>
        </w:rPr>
        <w:t>, que abandona</w:t>
      </w:r>
      <w:r w:rsidR="005765E0">
        <w:rPr>
          <w:i/>
          <w:iCs/>
        </w:rPr>
        <w:t xml:space="preserve">rá </w:t>
      </w:r>
      <w:r w:rsidRPr="00CE7FE5">
        <w:rPr>
          <w:i/>
          <w:iCs/>
        </w:rPr>
        <w:t>un factor, posee</w:t>
      </w:r>
      <w:r w:rsidR="005765E0">
        <w:rPr>
          <w:i/>
          <w:iCs/>
        </w:rPr>
        <w:t xml:space="preserve">rá </w:t>
      </w:r>
      <w:r w:rsidRPr="00CE7FE5">
        <w:rPr>
          <w:i/>
          <w:iCs/>
        </w:rPr>
        <w:t xml:space="preserve">dos factores, </w:t>
      </w:r>
      <w:r w:rsidR="005765E0">
        <w:rPr>
          <w:i/>
          <w:iCs/>
        </w:rPr>
        <w:t>será</w:t>
      </w:r>
      <w:r w:rsidRPr="00CE7FE5">
        <w:rPr>
          <w:i/>
          <w:iCs/>
        </w:rPr>
        <w:t xml:space="preserve"> bueno de tres maneras, posee</w:t>
      </w:r>
      <w:r w:rsidR="005765E0">
        <w:rPr>
          <w:i/>
          <w:iCs/>
        </w:rPr>
        <w:t xml:space="preserve">rá </w:t>
      </w:r>
      <w:r w:rsidRPr="00CE7FE5">
        <w:rPr>
          <w:i/>
          <w:iCs/>
        </w:rPr>
        <w:t xml:space="preserve">diez características y </w:t>
      </w:r>
      <w:r w:rsidR="00CE20C6">
        <w:rPr>
          <w:i/>
          <w:iCs/>
        </w:rPr>
        <w:t xml:space="preserve">corresponderá al </w:t>
      </w:r>
      <w:proofErr w:type="spellStart"/>
      <w:r w:rsidR="00057BF4" w:rsidRPr="00CE7FE5">
        <w:rPr>
          <w:i/>
          <w:iCs/>
        </w:rPr>
        <w:t>kasiṇa</w:t>
      </w:r>
      <w:proofErr w:type="spellEnd"/>
      <w:r w:rsidR="00CE20C6">
        <w:rPr>
          <w:i/>
          <w:iCs/>
        </w:rPr>
        <w:t xml:space="preserve"> tierra</w:t>
      </w:r>
      <w:r w:rsidRPr="00CE7FE5">
        <w:rPr>
          <w:i/>
          <w:iCs/>
        </w:rPr>
        <w:t>.</w:t>
      </w:r>
    </w:p>
    <w:p w14:paraId="163A1F11" w14:textId="482FF0F4" w:rsidR="00FC35CA" w:rsidRDefault="00FC35CA" w:rsidP="00FC35CA">
      <w:r>
        <w:t xml:space="preserve">154. </w:t>
      </w:r>
      <w:r>
        <w:tab/>
        <w:t xml:space="preserve">Aquí, </w:t>
      </w:r>
      <w:r w:rsidRPr="000C7BF2">
        <w:rPr>
          <w:i/>
          <w:iCs/>
        </w:rPr>
        <w:t xml:space="preserve">con el desvanecimiento </w:t>
      </w:r>
      <w:r w:rsidR="00CE20C6" w:rsidRPr="00CE7FE5">
        <w:rPr>
          <w:i/>
          <w:iCs/>
        </w:rPr>
        <w:t xml:space="preserve">también </w:t>
      </w:r>
      <w:r w:rsidRPr="000C7BF2">
        <w:rPr>
          <w:i/>
          <w:iCs/>
        </w:rPr>
        <w:t xml:space="preserve">de la felicidad </w:t>
      </w:r>
      <w:r>
        <w:t>(</w:t>
      </w:r>
      <w:proofErr w:type="spellStart"/>
      <w:r w:rsidRPr="00A753EB">
        <w:rPr>
          <w:i/>
          <w:iCs/>
        </w:rPr>
        <w:t>pītiyā</w:t>
      </w:r>
      <w:proofErr w:type="spellEnd"/>
      <w:r w:rsidRPr="00A753EB">
        <w:rPr>
          <w:i/>
          <w:iCs/>
        </w:rPr>
        <w:t xml:space="preserve"> ca </w:t>
      </w:r>
      <w:proofErr w:type="spellStart"/>
      <w:r w:rsidRPr="00A753EB">
        <w:rPr>
          <w:i/>
          <w:iCs/>
        </w:rPr>
        <w:t>virāgā</w:t>
      </w:r>
      <w:proofErr w:type="spellEnd"/>
      <w:r>
        <w:t>): e</w:t>
      </w:r>
      <w:r w:rsidR="00CD0D4B">
        <w:t>ste</w:t>
      </w:r>
      <w:r>
        <w:t xml:space="preserve"> desvanecimiento es </w:t>
      </w:r>
      <w:r w:rsidR="00CD0D4B">
        <w:t xml:space="preserve">el </w:t>
      </w:r>
      <w:r>
        <w:t xml:space="preserve">disgusto o </w:t>
      </w:r>
      <w:r w:rsidR="00CD0D4B">
        <w:t xml:space="preserve">la </w:t>
      </w:r>
      <w:r>
        <w:t>superación de la felicidad del tipo ya descrito. Pero las palabras “</w:t>
      </w:r>
      <w:r w:rsidR="002E7499">
        <w:t>también</w:t>
      </w:r>
      <w:r>
        <w:t>” (</w:t>
      </w:r>
      <w:r w:rsidRPr="00CD0D4B">
        <w:rPr>
          <w:i/>
          <w:iCs/>
        </w:rPr>
        <w:t>ca</w:t>
      </w:r>
      <w:r>
        <w:t xml:space="preserve">) entre las dos [palabras </w:t>
      </w:r>
      <w:proofErr w:type="spellStart"/>
      <w:r w:rsidRPr="00A753EB">
        <w:rPr>
          <w:i/>
          <w:iCs/>
        </w:rPr>
        <w:t>pītiyā</w:t>
      </w:r>
      <w:proofErr w:type="spellEnd"/>
      <w:r>
        <w:t xml:space="preserve"> y </w:t>
      </w:r>
      <w:proofErr w:type="spellStart"/>
      <w:r w:rsidRPr="00A753EB">
        <w:rPr>
          <w:i/>
          <w:iCs/>
        </w:rPr>
        <w:t>virāgā</w:t>
      </w:r>
      <w:proofErr w:type="spellEnd"/>
      <w:r>
        <w:t>] tienen el significado de una conjunción;</w:t>
      </w:r>
      <w:r w:rsidRPr="002D3D90">
        <w:rPr>
          <w:vertAlign w:val="superscript"/>
        </w:rPr>
        <w:t>44</w:t>
      </w:r>
      <w:r>
        <w:t xml:space="preserve"> l</w:t>
      </w:r>
      <w:r w:rsidR="002E7499">
        <w:t>o</w:t>
      </w:r>
      <w:r>
        <w:t>s unen o bien la palabra “</w:t>
      </w:r>
      <w:r w:rsidR="002E7499" w:rsidRPr="002E7499">
        <w:t>desvanecimiento</w:t>
      </w:r>
      <w:r>
        <w:t xml:space="preserve">” o la expresión “el </w:t>
      </w:r>
      <w:r w:rsidR="00560330">
        <w:t>apaciguamiento</w:t>
      </w:r>
      <w:r>
        <w:t xml:space="preserve"> de </w:t>
      </w:r>
      <w:r w:rsidR="009449E3">
        <w:t>la aplicación y la sustentación mental</w:t>
      </w:r>
      <w:r>
        <w:t>” [</w:t>
      </w:r>
      <w:r w:rsidR="00560330">
        <w:t xml:space="preserve">mencionado </w:t>
      </w:r>
      <w:r>
        <w:t xml:space="preserve">en la descripción del segundo </w:t>
      </w:r>
      <w:proofErr w:type="spellStart"/>
      <w:r w:rsidR="00057BF4" w:rsidRPr="00057BF4">
        <w:rPr>
          <w:i/>
          <w:iCs/>
        </w:rPr>
        <w:t>jhāna</w:t>
      </w:r>
      <w:proofErr w:type="spellEnd"/>
      <w:r>
        <w:t>]. Aquí, cuando se tom</w:t>
      </w:r>
      <w:r w:rsidR="00560330">
        <w:t>e</w:t>
      </w:r>
      <w:r>
        <w:t xml:space="preserve"> como conjunto "</w:t>
      </w:r>
      <w:r w:rsidR="00560330" w:rsidRPr="00560330">
        <w:t>apaciguamiento</w:t>
      </w:r>
      <w:r>
        <w:t xml:space="preserve">", la </w:t>
      </w:r>
      <w:r w:rsidR="00C235C2">
        <w:t>interpretación</w:t>
      </w:r>
      <w:r>
        <w:t xml:space="preserve"> que debe entenderse es "con el desvanecimiento y</w:t>
      </w:r>
      <w:r w:rsidR="007A74F7">
        <w:t>,</w:t>
      </w:r>
      <w:r>
        <w:t xml:space="preserve"> </w:t>
      </w:r>
      <w:r w:rsidR="007A74F7">
        <w:t>lo que es más,</w:t>
      </w:r>
      <w:r>
        <w:t xml:space="preserve"> con el </w:t>
      </w:r>
      <w:r w:rsidR="00C675D0" w:rsidRPr="00C675D0">
        <w:t xml:space="preserve">apaciguamiento </w:t>
      </w:r>
      <w:r>
        <w:t xml:space="preserve">de la felicidad". Con esta </w:t>
      </w:r>
      <w:r w:rsidR="007A74F7">
        <w:t>interpretación</w:t>
      </w:r>
      <w:r>
        <w:t xml:space="preserve"> “</w:t>
      </w:r>
      <w:r w:rsidR="009D6C0E">
        <w:t>desvanecimiento</w:t>
      </w:r>
      <w:r>
        <w:t xml:space="preserve">” tiene el significado de desagrado; por lo tanto, el significado puede considerarse como "con </w:t>
      </w:r>
      <w:r w:rsidR="00A306B0">
        <w:t xml:space="preserve">el </w:t>
      </w:r>
      <w:r>
        <w:t xml:space="preserve">disgusto </w:t>
      </w:r>
      <w:r w:rsidR="00A306B0">
        <w:t>hacia</w:t>
      </w:r>
      <w:r w:rsidR="009D6C0E">
        <w:t xml:space="preserve"> </w:t>
      </w:r>
      <w:r>
        <w:t xml:space="preserve">y con el </w:t>
      </w:r>
      <w:r w:rsidR="00C675D0" w:rsidRPr="00C675D0">
        <w:t xml:space="preserve">apaciguamiento </w:t>
      </w:r>
      <w:r>
        <w:t>de la felicidad". Pero cuando se tom</w:t>
      </w:r>
      <w:r w:rsidR="00C675D0">
        <w:t>e</w:t>
      </w:r>
      <w:r>
        <w:t xml:space="preserve"> como conjunto las palabras “</w:t>
      </w:r>
      <w:r w:rsidR="00D209C0" w:rsidRPr="00D209C0">
        <w:t xml:space="preserve">apaciguamiento </w:t>
      </w:r>
      <w:r w:rsidR="00A306B0">
        <w:t xml:space="preserve">de la </w:t>
      </w:r>
      <w:proofErr w:type="gramStart"/>
      <w:r w:rsidR="00A306B0">
        <w:t>aplicación mental y sustentación mental</w:t>
      </w:r>
      <w:proofErr w:type="gramEnd"/>
      <w:r>
        <w:t xml:space="preserve">”, entonces la </w:t>
      </w:r>
      <w:r w:rsidR="005C0DF9">
        <w:t>interpretación</w:t>
      </w:r>
      <w:r>
        <w:t xml:space="preserve"> que debe entenderse es “con el desvanecimiento de la felicidad y, además, con el </w:t>
      </w:r>
      <w:r w:rsidR="00D209C0" w:rsidRPr="00D209C0">
        <w:t xml:space="preserve">apaciguamiento </w:t>
      </w:r>
      <w:r w:rsidR="005C0DF9">
        <w:t>de la aplicación mental y la sustentación mental</w:t>
      </w:r>
      <w:r>
        <w:t xml:space="preserve">”. Con esta </w:t>
      </w:r>
      <w:r w:rsidR="005C0DF9">
        <w:t xml:space="preserve">interpretación </w:t>
      </w:r>
      <w:r>
        <w:t>“desvanec</w:t>
      </w:r>
      <w:r w:rsidR="005C0DF9">
        <w:t>imiento</w:t>
      </w:r>
      <w:r>
        <w:t xml:space="preserve">” tiene el significado de superar; por lo que este significado </w:t>
      </w:r>
      <w:r w:rsidR="00B441FB">
        <w:t>podrá</w:t>
      </w:r>
      <w:r>
        <w:t xml:space="preserve"> considerarse como “con la superación de la felicidad y con el </w:t>
      </w:r>
      <w:r w:rsidR="00832649">
        <w:t xml:space="preserve">apaciguamiento </w:t>
      </w:r>
      <w:r>
        <w:t xml:space="preserve">de </w:t>
      </w:r>
      <w:r w:rsidR="00B05CB3">
        <w:t>la aplicación y la sustentación mental</w:t>
      </w:r>
      <w:r>
        <w:t>”.</w:t>
      </w:r>
    </w:p>
    <w:p w14:paraId="4EC695C2" w14:textId="545680A7" w:rsidR="00FC35CA" w:rsidRDefault="00FC35CA" w:rsidP="00FC35CA">
      <w:r>
        <w:t xml:space="preserve">155. </w:t>
      </w:r>
      <w:r>
        <w:tab/>
        <w:t xml:space="preserve">Por supuesto, </w:t>
      </w:r>
      <w:r w:rsidR="00B05CB3" w:rsidRPr="00B05CB3">
        <w:t xml:space="preserve">la aplicación y la sustentación mental </w:t>
      </w:r>
      <w:r>
        <w:t>ya ha</w:t>
      </w:r>
      <w:r w:rsidR="00B05CB3">
        <w:t>brá</w:t>
      </w:r>
      <w:r>
        <w:t xml:space="preserve"> sido </w:t>
      </w:r>
      <w:r w:rsidR="00832649">
        <w:t xml:space="preserve">apaciguado </w:t>
      </w:r>
      <w:r>
        <w:t xml:space="preserve">también en el segundo </w:t>
      </w:r>
      <w:proofErr w:type="spellStart"/>
      <w:r w:rsidR="00057BF4" w:rsidRPr="00057BF4">
        <w:rPr>
          <w:i/>
          <w:iCs/>
        </w:rPr>
        <w:t>jhāna</w:t>
      </w:r>
      <w:proofErr w:type="spellEnd"/>
      <w:r>
        <w:t xml:space="preserve">. Sin embargo, esto se dice para </w:t>
      </w:r>
      <w:r w:rsidR="00B05CB3">
        <w:t xml:space="preserve">exponer </w:t>
      </w:r>
      <w:r>
        <w:t xml:space="preserve">el </w:t>
      </w:r>
      <w:r w:rsidR="00832649">
        <w:t>sendero</w:t>
      </w:r>
      <w:r>
        <w:t xml:space="preserve"> hacia este tercer </w:t>
      </w:r>
      <w:proofErr w:type="spellStart"/>
      <w:r w:rsidR="00057BF4" w:rsidRPr="00057BF4">
        <w:rPr>
          <w:i/>
          <w:iCs/>
        </w:rPr>
        <w:t>jhāna</w:t>
      </w:r>
      <w:proofErr w:type="spellEnd"/>
      <w:r>
        <w:t xml:space="preserve"> y para recomendarlo. Porque cuando se di</w:t>
      </w:r>
      <w:r w:rsidR="00832649">
        <w:t>ga</w:t>
      </w:r>
      <w:r>
        <w:t xml:space="preserve"> “con el </w:t>
      </w:r>
      <w:r w:rsidR="00832649">
        <w:t xml:space="preserve">apaciguamiento </w:t>
      </w:r>
      <w:r>
        <w:t xml:space="preserve">de </w:t>
      </w:r>
      <w:r w:rsidR="00B05CB3">
        <w:t>la aplicación y la sustentación mental</w:t>
      </w:r>
      <w:r>
        <w:t>”, se declara</w:t>
      </w:r>
      <w:r w:rsidR="00651EA8">
        <w:t xml:space="preserve">rá </w:t>
      </w:r>
      <w:r>
        <w:t xml:space="preserve">que el </w:t>
      </w:r>
      <w:r w:rsidR="00651EA8">
        <w:t xml:space="preserve">sendero </w:t>
      </w:r>
      <w:r>
        <w:t xml:space="preserve">hacia este </w:t>
      </w:r>
      <w:proofErr w:type="spellStart"/>
      <w:r w:rsidR="00057BF4" w:rsidRPr="00057BF4">
        <w:rPr>
          <w:i/>
          <w:iCs/>
        </w:rPr>
        <w:t>jhāna</w:t>
      </w:r>
      <w:proofErr w:type="spellEnd"/>
      <w:r>
        <w:t xml:space="preserve"> </w:t>
      </w:r>
      <w:r w:rsidR="00651EA8">
        <w:t>consistirá</w:t>
      </w:r>
      <w:r>
        <w:t xml:space="preserve"> necesariamente </w:t>
      </w:r>
      <w:r w:rsidR="0062114E">
        <w:t>d</w:t>
      </w:r>
      <w:r>
        <w:t xml:space="preserve">el </w:t>
      </w:r>
      <w:r w:rsidR="00651EA8">
        <w:t xml:space="preserve">apaciguamiento </w:t>
      </w:r>
      <w:r>
        <w:t xml:space="preserve">de </w:t>
      </w:r>
      <w:r w:rsidR="0062114E">
        <w:t>la aplicación y la sustentación mental</w:t>
      </w:r>
      <w:r>
        <w:t xml:space="preserve">. Y así como, aunque una visión </w:t>
      </w:r>
      <w:r w:rsidR="00A81A37">
        <w:t>incorrecta</w:t>
      </w:r>
      <w:r>
        <w:t xml:space="preserve"> id</w:t>
      </w:r>
      <w:r w:rsidR="00881BF7">
        <w:t>entitaria</w:t>
      </w:r>
      <w:r>
        <w:t>, etc., no se abandon</w:t>
      </w:r>
      <w:r w:rsidR="00881BF7">
        <w:t>ará</w:t>
      </w:r>
      <w:r>
        <w:t xml:space="preserve"> en la consecución del tercer noble </w:t>
      </w:r>
      <w:r w:rsidR="00651EA8">
        <w:t xml:space="preserve">sendero </w:t>
      </w:r>
      <w:r>
        <w:t xml:space="preserve">[sino en el primero], </w:t>
      </w:r>
      <w:r w:rsidR="00E81CF5">
        <w:t>n</w:t>
      </w:r>
      <w:r w:rsidR="00651EA8">
        <w:t xml:space="preserve">o obstante, </w:t>
      </w:r>
      <w:r>
        <w:t>cuando se recomiend</w:t>
      </w:r>
      <w:r w:rsidR="00651EA8">
        <w:t>e</w:t>
      </w:r>
      <w:r>
        <w:t xml:space="preserve"> </w:t>
      </w:r>
      <w:r w:rsidR="00302B05">
        <w:t>mediante la descripción de</w:t>
      </w:r>
      <w:r>
        <w:t xml:space="preserve"> su abandono </w:t>
      </w:r>
      <w:r w:rsidR="002E513B">
        <w:t>de la siguiente manera</w:t>
      </w:r>
      <w:r>
        <w:t xml:space="preserve">, "Con el abandono de los cinco </w:t>
      </w:r>
      <w:r w:rsidR="002E513B">
        <w:t xml:space="preserve">grilletes </w:t>
      </w:r>
      <w:r>
        <w:t>inferiores</w:t>
      </w:r>
      <w:r w:rsidR="002E513B">
        <w:t>"</w:t>
      </w:r>
      <w:r>
        <w:t xml:space="preserve"> (A I 232), [160] </w:t>
      </w:r>
      <w:r w:rsidR="00302B05">
        <w:t xml:space="preserve">entonces </w:t>
      </w:r>
    </w:p>
    <w:p w14:paraId="336C115D" w14:textId="6FF03004" w:rsidR="00FC35CA" w:rsidRPr="00FC35CA" w:rsidRDefault="00FC35CA" w:rsidP="00FC35CA">
      <w:pPr>
        <w:pStyle w:val="PiedepginaLegal"/>
        <w:rPr>
          <w:u w:val="single"/>
        </w:rPr>
      </w:pPr>
      <w:r w:rsidRPr="00FC35CA">
        <w:rPr>
          <w:u w:val="single"/>
        </w:rPr>
        <w:tab/>
      </w:r>
      <w:r w:rsidRPr="00FC35CA">
        <w:rPr>
          <w:u w:val="single"/>
        </w:rPr>
        <w:tab/>
      </w:r>
      <w:r w:rsidRPr="00FC35CA">
        <w:rPr>
          <w:u w:val="single"/>
        </w:rPr>
        <w:tab/>
      </w:r>
      <w:r w:rsidRPr="00FC35CA">
        <w:rPr>
          <w:u w:val="single"/>
        </w:rPr>
        <w:tab/>
        <w:t>.</w:t>
      </w:r>
    </w:p>
    <w:p w14:paraId="005CD23E" w14:textId="2983AD10" w:rsidR="00FC35CA" w:rsidRDefault="00FC35CA" w:rsidP="00FC35CA">
      <w:pPr>
        <w:pStyle w:val="PiedepginaLegal"/>
      </w:pPr>
      <w:r>
        <w:t xml:space="preserve">44. </w:t>
      </w:r>
      <w:r>
        <w:tab/>
      </w:r>
      <w:proofErr w:type="spellStart"/>
      <w:r w:rsidRPr="00A753EB">
        <w:rPr>
          <w:i/>
          <w:iCs/>
        </w:rPr>
        <w:t>Sampiṇḍana</w:t>
      </w:r>
      <w:proofErr w:type="spellEnd"/>
      <w:r>
        <w:t xml:space="preserve">— “conjunción”: gramo. término para la palabra </w:t>
      </w:r>
      <w:r w:rsidRPr="002D17DA">
        <w:rPr>
          <w:i/>
          <w:iCs/>
        </w:rPr>
        <w:t>ca</w:t>
      </w:r>
      <w:r>
        <w:t xml:space="preserve"> (y). Este significado no se da en </w:t>
      </w:r>
      <w:r w:rsidR="002D17DA">
        <w:t xml:space="preserve">el </w:t>
      </w:r>
      <w:r>
        <w:t>PED. Cf. M-a I 40.</w:t>
      </w:r>
    </w:p>
    <w:p w14:paraId="29EB65DD" w14:textId="77777777" w:rsidR="00FC35CA" w:rsidRDefault="00FC35CA">
      <w:pPr>
        <w:tabs>
          <w:tab w:val="clear" w:pos="425"/>
        </w:tabs>
        <w:spacing w:after="160"/>
      </w:pPr>
      <w:r>
        <w:br w:type="page"/>
      </w:r>
    </w:p>
    <w:p w14:paraId="70F99FBF" w14:textId="52DB52D6" w:rsidR="000E3399" w:rsidRDefault="002D3D90" w:rsidP="00246D7C">
      <w:r>
        <w:lastRenderedPageBreak/>
        <w:br/>
      </w:r>
    </w:p>
    <w:p w14:paraId="27EDE9E7" w14:textId="72308AE0" w:rsidR="00246D7C" w:rsidRDefault="001A5E6D" w:rsidP="00246D7C">
      <w:r>
        <w:t xml:space="preserve">se </w:t>
      </w:r>
      <w:r w:rsidR="00302B05">
        <w:t xml:space="preserve">despertará el deseo de aquellos </w:t>
      </w:r>
      <w:r w:rsidR="00246D7C">
        <w:t>que intent</w:t>
      </w:r>
      <w:r w:rsidR="0053174D">
        <w:t>e</w:t>
      </w:r>
      <w:r w:rsidR="00246D7C">
        <w:t xml:space="preserve">n alcanzar ese tercer noble </w:t>
      </w:r>
      <w:r w:rsidR="0053174D">
        <w:t>sendero</w:t>
      </w:r>
      <w:r w:rsidR="00246D7C">
        <w:t>; así también, cuando se mencion</w:t>
      </w:r>
      <w:r>
        <w:t>e</w:t>
      </w:r>
      <w:r w:rsidR="00246D7C">
        <w:t xml:space="preserve"> el </w:t>
      </w:r>
      <w:r w:rsidR="0053174D">
        <w:t xml:space="preserve">apaciguamiento </w:t>
      </w:r>
      <w:r w:rsidR="00246D7C">
        <w:t xml:space="preserve">de </w:t>
      </w:r>
      <w:r>
        <w:t>la aplicación y la sustentación mental</w:t>
      </w:r>
      <w:r w:rsidR="00246D7C">
        <w:t xml:space="preserve">, aunque en realidad no se </w:t>
      </w:r>
      <w:r w:rsidR="000E76AE">
        <w:t>apacigüen</w:t>
      </w:r>
      <w:r w:rsidR="0053174D">
        <w:t xml:space="preserve"> </w:t>
      </w:r>
      <w:r w:rsidR="00246D7C">
        <w:t>aquí [sino en el segundo</w:t>
      </w:r>
      <w:r w:rsidR="000E76AE">
        <w:t xml:space="preserve"> </w:t>
      </w:r>
      <w:proofErr w:type="spellStart"/>
      <w:r w:rsidR="000E76AE" w:rsidRPr="000E76AE">
        <w:rPr>
          <w:i/>
          <w:iCs/>
        </w:rPr>
        <w:t>jhāna</w:t>
      </w:r>
      <w:proofErr w:type="spellEnd"/>
      <w:r w:rsidR="00246D7C">
        <w:t>], se trata</w:t>
      </w:r>
      <w:r w:rsidR="000E76AE">
        <w:t xml:space="preserve">rá </w:t>
      </w:r>
      <w:r w:rsidR="00246D7C">
        <w:t xml:space="preserve">de una recomendación. Por lo tanto, el significado expresado es </w:t>
      </w:r>
      <w:r w:rsidR="000E76AE">
        <w:t>é</w:t>
      </w:r>
      <w:r w:rsidR="00246D7C">
        <w:t xml:space="preserve">ste: “Con la superación de la felicidad y con el </w:t>
      </w:r>
      <w:r w:rsidR="000E76AE">
        <w:t xml:space="preserve">apaciguamiento </w:t>
      </w:r>
      <w:r w:rsidR="00246D7C">
        <w:t xml:space="preserve">de </w:t>
      </w:r>
      <w:r>
        <w:t>la aplicación y la sustentación mental</w:t>
      </w:r>
      <w:r w:rsidR="00246D7C">
        <w:t>”.</w:t>
      </w:r>
    </w:p>
    <w:p w14:paraId="6D330F91" w14:textId="344AD9EB" w:rsidR="00246D7C" w:rsidRDefault="00246D7C" w:rsidP="00246D7C">
      <w:r>
        <w:t xml:space="preserve">156. </w:t>
      </w:r>
      <w:r w:rsidR="000E3399">
        <w:tab/>
      </w:r>
      <w:r w:rsidRPr="000C7BF2">
        <w:rPr>
          <w:i/>
          <w:iCs/>
        </w:rPr>
        <w:t xml:space="preserve">Él </w:t>
      </w:r>
      <w:r w:rsidR="000E76AE" w:rsidRPr="000E76AE">
        <w:rPr>
          <w:i/>
          <w:iCs/>
        </w:rPr>
        <w:t>habita</w:t>
      </w:r>
      <w:r w:rsidR="00F044B5">
        <w:rPr>
          <w:i/>
          <w:iCs/>
        </w:rPr>
        <w:t>rá</w:t>
      </w:r>
      <w:r w:rsidR="000E76AE">
        <w:t xml:space="preserve"> </w:t>
      </w:r>
      <w:r w:rsidRPr="000C7BF2">
        <w:rPr>
          <w:i/>
          <w:iCs/>
        </w:rPr>
        <w:t>en la ecuanimidad</w:t>
      </w:r>
      <w:r>
        <w:t xml:space="preserve">: </w:t>
      </w:r>
      <w:r w:rsidR="00137C8F">
        <w:t xml:space="preserve">el significado es que él </w:t>
      </w:r>
      <w:r>
        <w:t>observa</w:t>
      </w:r>
      <w:r w:rsidR="00F044B5">
        <w:t>rá</w:t>
      </w:r>
      <w:r>
        <w:t xml:space="preserve"> las cosas a medida que sur</w:t>
      </w:r>
      <w:r w:rsidR="00F044B5">
        <w:t>ja</w:t>
      </w:r>
      <w:r>
        <w:t>n (</w:t>
      </w:r>
      <w:proofErr w:type="spellStart"/>
      <w:r w:rsidR="00546A64" w:rsidRPr="00A753EB">
        <w:rPr>
          <w:i/>
          <w:iCs/>
        </w:rPr>
        <w:t>upapattito</w:t>
      </w:r>
      <w:proofErr w:type="spellEnd"/>
      <w:r w:rsidR="00546A64" w:rsidRPr="00A753EB">
        <w:rPr>
          <w:i/>
          <w:iCs/>
        </w:rPr>
        <w:t xml:space="preserve"> </w:t>
      </w:r>
      <w:proofErr w:type="spellStart"/>
      <w:r w:rsidRPr="00A753EB">
        <w:rPr>
          <w:i/>
          <w:iCs/>
        </w:rPr>
        <w:t>ikkhati</w:t>
      </w:r>
      <w:proofErr w:type="spellEnd"/>
      <w:r>
        <w:t xml:space="preserve">), por lo que </w:t>
      </w:r>
      <w:r w:rsidR="00F044B5">
        <w:t xml:space="preserve">habrá </w:t>
      </w:r>
      <w:r>
        <w:t>ecuanimidad (</w:t>
      </w:r>
      <w:r w:rsidR="00057BF4" w:rsidRPr="00057BF4">
        <w:rPr>
          <w:i/>
        </w:rPr>
        <w:t>upekkhā</w:t>
      </w:r>
      <w:r>
        <w:t xml:space="preserve">—u observación); </w:t>
      </w:r>
      <w:proofErr w:type="spellStart"/>
      <w:r w:rsidR="00137C8F">
        <w:t>observa</w:t>
      </w:r>
      <w:r w:rsidR="00F044B5">
        <w:t>rpa</w:t>
      </w:r>
      <w:proofErr w:type="spellEnd"/>
      <w:r>
        <w:t xml:space="preserve"> </w:t>
      </w:r>
      <w:r w:rsidR="00137C8F">
        <w:t>correctamente</w:t>
      </w:r>
      <w:r>
        <w:t xml:space="preserve">, </w:t>
      </w:r>
      <w:r w:rsidR="00137C8F">
        <w:t>observa</w:t>
      </w:r>
      <w:r w:rsidR="00F044B5">
        <w:t>rá</w:t>
      </w:r>
      <w:r w:rsidR="00137C8F">
        <w:t xml:space="preserve"> </w:t>
      </w:r>
      <w:r>
        <w:t>sin parcialidad (</w:t>
      </w:r>
      <w:r w:rsidRPr="003912E5">
        <w:rPr>
          <w:i/>
          <w:iCs/>
        </w:rPr>
        <w:t>a-</w:t>
      </w:r>
      <w:proofErr w:type="spellStart"/>
      <w:r w:rsidRPr="003912E5">
        <w:rPr>
          <w:i/>
          <w:iCs/>
        </w:rPr>
        <w:t>pakkha</w:t>
      </w:r>
      <w:proofErr w:type="spellEnd"/>
      <w:r w:rsidRPr="003912E5">
        <w:rPr>
          <w:i/>
          <w:iCs/>
        </w:rPr>
        <w:t>-patita</w:t>
      </w:r>
      <w:r>
        <w:t xml:space="preserve">). Se dice que un poseedor del tercer </w:t>
      </w:r>
      <w:proofErr w:type="spellStart"/>
      <w:r w:rsidR="00057BF4" w:rsidRPr="00057BF4">
        <w:rPr>
          <w:i/>
          <w:iCs/>
        </w:rPr>
        <w:t>jhāna</w:t>
      </w:r>
      <w:proofErr w:type="spellEnd"/>
      <w:r>
        <w:t xml:space="preserve"> “</w:t>
      </w:r>
      <w:r w:rsidR="00137C8F">
        <w:t xml:space="preserve">habita </w:t>
      </w:r>
      <w:r>
        <w:t>en la ecuanimidad”, ya que posee una ecuanimidad que es clara, abundante y sólida.</w:t>
      </w:r>
    </w:p>
    <w:p w14:paraId="5AE926E9" w14:textId="56EAC2B9" w:rsidR="00246D7C" w:rsidRDefault="00246D7C" w:rsidP="000E3399">
      <w:pPr>
        <w:pStyle w:val="NormalConSangria"/>
      </w:pPr>
      <w:r>
        <w:t xml:space="preserve">La ecuanimidad </w:t>
      </w:r>
      <w:r w:rsidR="008E5CFD">
        <w:t xml:space="preserve">puede ser </w:t>
      </w:r>
      <w:r>
        <w:t xml:space="preserve">de diez tipos; </w:t>
      </w:r>
      <w:r w:rsidR="008E5CFD">
        <w:t xml:space="preserve">la </w:t>
      </w:r>
      <w:r>
        <w:t xml:space="preserve">ecuanimidad de seis factores, </w:t>
      </w:r>
      <w:r w:rsidR="008E5CFD">
        <w:t xml:space="preserve">la </w:t>
      </w:r>
      <w:r>
        <w:t xml:space="preserve">ecuanimidad como </w:t>
      </w:r>
      <w:r w:rsidR="008E5CFD">
        <w:t xml:space="preserve">un estado </w:t>
      </w:r>
      <w:r>
        <w:t>divin</w:t>
      </w:r>
      <w:r w:rsidR="008E5CFD">
        <w:t>o</w:t>
      </w:r>
      <w:r>
        <w:t xml:space="preserve">, </w:t>
      </w:r>
      <w:r w:rsidR="004871C4">
        <w:t xml:space="preserve">la </w:t>
      </w:r>
      <w:r>
        <w:t xml:space="preserve">ecuanimidad como factor de iluminación, </w:t>
      </w:r>
      <w:r w:rsidR="004871C4">
        <w:t xml:space="preserve">la </w:t>
      </w:r>
      <w:r>
        <w:t xml:space="preserve">ecuanimidad de </w:t>
      </w:r>
      <w:r w:rsidR="004871C4">
        <w:t xml:space="preserve">la </w:t>
      </w:r>
      <w:r>
        <w:t xml:space="preserve">energía, </w:t>
      </w:r>
      <w:r w:rsidR="004871C4">
        <w:t xml:space="preserve">la </w:t>
      </w:r>
      <w:r>
        <w:t xml:space="preserve">ecuanimidad </w:t>
      </w:r>
      <w:r w:rsidR="004871C4">
        <w:t xml:space="preserve">respecto a </w:t>
      </w:r>
      <w:r>
        <w:t xml:space="preserve">las formaciones, </w:t>
      </w:r>
      <w:r w:rsidR="00012D1D">
        <w:t xml:space="preserve">la </w:t>
      </w:r>
      <w:r>
        <w:t xml:space="preserve">ecuanimidad como </w:t>
      </w:r>
      <w:r w:rsidR="00E14F7A">
        <w:t>sensación</w:t>
      </w:r>
      <w:r>
        <w:t xml:space="preserve">, </w:t>
      </w:r>
      <w:r w:rsidR="00012D1D">
        <w:t xml:space="preserve">la </w:t>
      </w:r>
      <w:r>
        <w:t xml:space="preserve">ecuanimidad </w:t>
      </w:r>
      <w:r w:rsidR="00012D1D">
        <w:t xml:space="preserve">respecto a </w:t>
      </w:r>
      <w:r>
        <w:t xml:space="preserve">la percepción, </w:t>
      </w:r>
      <w:r w:rsidR="00012D1D">
        <w:t xml:space="preserve">la </w:t>
      </w:r>
      <w:r>
        <w:t xml:space="preserve">ecuanimidad como </w:t>
      </w:r>
      <w:r w:rsidR="00012D1D">
        <w:t xml:space="preserve">una </w:t>
      </w:r>
      <w:r>
        <w:t xml:space="preserve">neutralidad específica, </w:t>
      </w:r>
      <w:r w:rsidR="00012D1D">
        <w:t xml:space="preserve">la </w:t>
      </w:r>
      <w:r>
        <w:t>ecuanimidad de</w:t>
      </w:r>
      <w:r w:rsidR="00012D1D">
        <w:t>l</w:t>
      </w:r>
      <w:r>
        <w:t xml:space="preserve"> </w:t>
      </w:r>
      <w:proofErr w:type="spellStart"/>
      <w:r w:rsidR="00057BF4" w:rsidRPr="00057BF4">
        <w:rPr>
          <w:i/>
          <w:iCs/>
        </w:rPr>
        <w:t>jhāna</w:t>
      </w:r>
      <w:proofErr w:type="spellEnd"/>
      <w:r>
        <w:t xml:space="preserve"> y </w:t>
      </w:r>
      <w:r w:rsidR="00012D1D">
        <w:t xml:space="preserve">la </w:t>
      </w:r>
      <w:r>
        <w:t xml:space="preserve">ecuanimidad de </w:t>
      </w:r>
      <w:r w:rsidR="000D2F20">
        <w:t xml:space="preserve">la </w:t>
      </w:r>
      <w:r>
        <w:t>purificación.</w:t>
      </w:r>
    </w:p>
    <w:p w14:paraId="3D868E96" w14:textId="0D0B1BE5" w:rsidR="00246D7C" w:rsidRDefault="00246D7C" w:rsidP="00246D7C">
      <w:r>
        <w:t xml:space="preserve">157. </w:t>
      </w:r>
      <w:r w:rsidR="000E3399">
        <w:tab/>
      </w:r>
      <w:r>
        <w:t xml:space="preserve">Aquí, </w:t>
      </w:r>
      <w:r w:rsidRPr="00546A64">
        <w:rPr>
          <w:i/>
          <w:iCs/>
        </w:rPr>
        <w:t>la ecuanimidad de seis factores</w:t>
      </w:r>
      <w:r>
        <w:t xml:space="preserve"> es un nombre para la ecuanimidad en alguien cuyas </w:t>
      </w:r>
      <w:r w:rsidR="00166106">
        <w:t>corrupciones</w:t>
      </w:r>
      <w:r>
        <w:t xml:space="preserve"> est</w:t>
      </w:r>
      <w:r w:rsidR="00166106">
        <w:t>é</w:t>
      </w:r>
      <w:r>
        <w:t>n destruidas. Es el modo de no abandono del estado natural de pureza cuando los objetos deseables o indeseables de las seis clases se enfo</w:t>
      </w:r>
      <w:r w:rsidR="00166106">
        <w:t>que</w:t>
      </w:r>
      <w:r>
        <w:t>n en las seis puertas descrit</w:t>
      </w:r>
      <w:r w:rsidR="00166106">
        <w:t>o</w:t>
      </w:r>
      <w:r>
        <w:t xml:space="preserve"> así: “Aquí un </w:t>
      </w:r>
      <w:proofErr w:type="spellStart"/>
      <w:r w:rsidR="00057BF4" w:rsidRPr="00057BF4">
        <w:rPr>
          <w:i/>
          <w:iCs/>
        </w:rPr>
        <w:t>bhikkhu</w:t>
      </w:r>
      <w:proofErr w:type="spellEnd"/>
      <w:r>
        <w:t xml:space="preserve"> </w:t>
      </w:r>
      <w:r w:rsidR="00166106">
        <w:t xml:space="preserve">cuyas corrupciones </w:t>
      </w:r>
      <w:r>
        <w:t>ha</w:t>
      </w:r>
      <w:r w:rsidR="00166106">
        <w:t>ya</w:t>
      </w:r>
      <w:r>
        <w:t>n sido destruid</w:t>
      </w:r>
      <w:r w:rsidR="00166106">
        <w:t>a</w:t>
      </w:r>
      <w:r>
        <w:t>s no se alegra</w:t>
      </w:r>
      <w:r w:rsidR="00166106">
        <w:t xml:space="preserve">rá </w:t>
      </w:r>
      <w:r>
        <w:t>ni se entristece</w:t>
      </w:r>
      <w:r w:rsidR="00166106">
        <w:t xml:space="preserve">rá </w:t>
      </w:r>
      <w:r>
        <w:t>al ver un objeto visible con el ojo: habita</w:t>
      </w:r>
      <w:r w:rsidR="00166106">
        <w:t xml:space="preserve">rá </w:t>
      </w:r>
      <w:r>
        <w:t>en la ecuanimidad, atento y plenamente consciente” (A III 279).</w:t>
      </w:r>
    </w:p>
    <w:p w14:paraId="6E18F771" w14:textId="6D6F3788" w:rsidR="00246D7C" w:rsidRDefault="00246D7C" w:rsidP="00246D7C">
      <w:r>
        <w:t xml:space="preserve">158. </w:t>
      </w:r>
      <w:r w:rsidR="000E3399">
        <w:tab/>
      </w:r>
      <w:r>
        <w:t xml:space="preserve">La </w:t>
      </w:r>
      <w:r w:rsidRPr="00546A64">
        <w:rPr>
          <w:i/>
          <w:iCs/>
        </w:rPr>
        <w:t xml:space="preserve">ecuanimidad como </w:t>
      </w:r>
      <w:r w:rsidR="00FC2AF3">
        <w:rPr>
          <w:i/>
          <w:iCs/>
        </w:rPr>
        <w:t>estado</w:t>
      </w:r>
      <w:r w:rsidRPr="00546A64">
        <w:rPr>
          <w:i/>
          <w:iCs/>
        </w:rPr>
        <w:t xml:space="preserve"> divin</w:t>
      </w:r>
      <w:r w:rsidR="004B0BFB">
        <w:rPr>
          <w:i/>
          <w:iCs/>
        </w:rPr>
        <w:t>o</w:t>
      </w:r>
      <w:r>
        <w:t xml:space="preserve"> es el nombre de la ecuanimidad que consiste en el modo de neutralidad hacia los seres descrito así: “Él habita atento </w:t>
      </w:r>
      <w:r w:rsidR="004B0BFB">
        <w:t>hacia una dirección</w:t>
      </w:r>
      <w:r>
        <w:t xml:space="preserve"> con el corazón dotado de ecuanimidad” (D I 251).</w:t>
      </w:r>
    </w:p>
    <w:p w14:paraId="4ED999EB" w14:textId="02220F25" w:rsidR="00246D7C" w:rsidRDefault="00246D7C" w:rsidP="00246D7C">
      <w:r>
        <w:t xml:space="preserve">159. </w:t>
      </w:r>
      <w:r w:rsidR="000E3399">
        <w:tab/>
      </w:r>
      <w:r>
        <w:t xml:space="preserve">La </w:t>
      </w:r>
      <w:r w:rsidRPr="00252C80">
        <w:rPr>
          <w:i/>
          <w:iCs/>
        </w:rPr>
        <w:t>ecuanimidad como factor de iluminación</w:t>
      </w:r>
      <w:r>
        <w:t xml:space="preserve"> es un nombre para la ecuanimidad que consist</w:t>
      </w:r>
      <w:r w:rsidR="004B0BFB">
        <w:t>a</w:t>
      </w:r>
      <w:r>
        <w:t xml:space="preserve"> en modo de neutralidad </w:t>
      </w:r>
      <w:proofErr w:type="spellStart"/>
      <w:r w:rsidR="00AE1660">
        <w:t>conaciente</w:t>
      </w:r>
      <w:proofErr w:type="spellEnd"/>
      <w:r w:rsidR="00AE1660">
        <w:t xml:space="preserve"> con</w:t>
      </w:r>
      <w:r>
        <w:t xml:space="preserve"> los estados consensuales descritos así: “Él desarrolla el factor de </w:t>
      </w:r>
      <w:r w:rsidR="00A11DD8">
        <w:t xml:space="preserve">la </w:t>
      </w:r>
      <w:r>
        <w:t>iluminación de la ecuanimidad dependie</w:t>
      </w:r>
      <w:r w:rsidR="00A11DD8">
        <w:t>n</w:t>
      </w:r>
      <w:r w:rsidR="00C8243B">
        <w:t>te</w:t>
      </w:r>
      <w:r>
        <w:t xml:space="preserve"> de la renuncia</w:t>
      </w:r>
      <w:r w:rsidR="004B0BFB">
        <w:t>ción</w:t>
      </w:r>
      <w:r>
        <w:t>” (M I 11).</w:t>
      </w:r>
    </w:p>
    <w:p w14:paraId="0CF2AD8E" w14:textId="6581D430" w:rsidR="00246D7C" w:rsidRDefault="00246D7C" w:rsidP="00246D7C">
      <w:r>
        <w:t xml:space="preserve">160. </w:t>
      </w:r>
      <w:r w:rsidR="000E3399">
        <w:tab/>
      </w:r>
      <w:r>
        <w:t xml:space="preserve">La </w:t>
      </w:r>
      <w:r w:rsidRPr="00252C80">
        <w:rPr>
          <w:i/>
          <w:iCs/>
        </w:rPr>
        <w:t>ecuanimidad de la energía</w:t>
      </w:r>
      <w:r>
        <w:t xml:space="preserve"> es un nombre para </w:t>
      </w:r>
      <w:r w:rsidR="00A11DD8">
        <w:t>un</w:t>
      </w:r>
      <w:r>
        <w:t>a ecuanimidad también conocida como energía ni demasiado extenuante ni demasiado laxa, descrita así: “De vez en cuando trae</w:t>
      </w:r>
      <w:r w:rsidR="00DE13D3">
        <w:t xml:space="preserve">rá </w:t>
      </w:r>
      <w:r>
        <w:t>a la mente el signo de la ecuanimidad” (A I 257).</w:t>
      </w:r>
    </w:p>
    <w:p w14:paraId="54F8EA9D" w14:textId="3FA30F1E" w:rsidR="00246D7C" w:rsidRDefault="00246D7C" w:rsidP="00246D7C">
      <w:r>
        <w:t xml:space="preserve">161. </w:t>
      </w:r>
      <w:r w:rsidR="000E3399">
        <w:tab/>
      </w:r>
      <w:r>
        <w:t xml:space="preserve">La </w:t>
      </w:r>
      <w:r w:rsidRPr="00252C80">
        <w:rPr>
          <w:i/>
          <w:iCs/>
        </w:rPr>
        <w:t xml:space="preserve">ecuanimidad </w:t>
      </w:r>
      <w:r w:rsidR="00E71460">
        <w:rPr>
          <w:i/>
          <w:iCs/>
        </w:rPr>
        <w:t>respecto a</w:t>
      </w:r>
      <w:r w:rsidRPr="00252C80">
        <w:rPr>
          <w:i/>
          <w:iCs/>
        </w:rPr>
        <w:t xml:space="preserve"> las formaciones</w:t>
      </w:r>
      <w:r>
        <w:t xml:space="preserve"> es un nombre para la ecuanimidad que </w:t>
      </w:r>
      <w:proofErr w:type="gramStart"/>
      <w:r>
        <w:t>consist</w:t>
      </w:r>
      <w:r w:rsidR="00BA4DF1">
        <w:t>a</w:t>
      </w:r>
      <w:r>
        <w:t xml:space="preserve"> </w:t>
      </w:r>
      <w:r w:rsidR="00E71460">
        <w:t>de</w:t>
      </w:r>
      <w:proofErr w:type="gramEnd"/>
      <w:r w:rsidR="00E71460">
        <w:t xml:space="preserve"> </w:t>
      </w:r>
      <w:r>
        <w:t xml:space="preserve">la neutralidad </w:t>
      </w:r>
      <w:r w:rsidR="00492DB1">
        <w:t xml:space="preserve">hacia </w:t>
      </w:r>
      <w:r>
        <w:t>la aprehensión reflexi</w:t>
      </w:r>
      <w:r w:rsidR="00BA4DF1">
        <w:t>va</w:t>
      </w:r>
      <w:r>
        <w:t xml:space="preserve"> y </w:t>
      </w:r>
      <w:r w:rsidR="00492DB1">
        <w:t xml:space="preserve">de </w:t>
      </w:r>
      <w:r>
        <w:t xml:space="preserve">la compostura </w:t>
      </w:r>
      <w:r w:rsidR="00492DB1">
        <w:t xml:space="preserve">hacia </w:t>
      </w:r>
      <w:r>
        <w:t xml:space="preserve">los obstáculos, etc., descrita así: “¿Cuántas clases de ecuanimidad </w:t>
      </w:r>
      <w:r w:rsidR="00492DB1">
        <w:t xml:space="preserve">hacia </w:t>
      </w:r>
      <w:r>
        <w:t xml:space="preserve">las formaciones surgen a través de la concentración? ¿Cuántos tipos de ecuanimidad </w:t>
      </w:r>
      <w:r w:rsidR="00492DB1">
        <w:t xml:space="preserve">hacia </w:t>
      </w:r>
      <w:r>
        <w:t xml:space="preserve">las formaciones surgen a través del discernimiento? A través de la concentración surgen ocho tipos de ecuanimidad </w:t>
      </w:r>
      <w:r w:rsidR="00492DB1">
        <w:t xml:space="preserve">hacia </w:t>
      </w:r>
      <w:r>
        <w:t xml:space="preserve">las formaciones. </w:t>
      </w:r>
      <w:r w:rsidR="0044327A">
        <w:t xml:space="preserve">A través de la percepción surgen diez </w:t>
      </w:r>
      <w:r>
        <w:t xml:space="preserve">tipos de ecuanimidad </w:t>
      </w:r>
      <w:r w:rsidR="00492DB1">
        <w:t xml:space="preserve">hacia </w:t>
      </w:r>
      <w:r>
        <w:t>las formaciones”</w:t>
      </w:r>
      <w:r w:rsidRPr="002D3D90">
        <w:rPr>
          <w:vertAlign w:val="superscript"/>
        </w:rPr>
        <w:t>45</w:t>
      </w:r>
      <w:r>
        <w:t xml:space="preserve"> (</w:t>
      </w:r>
      <w:proofErr w:type="spellStart"/>
      <w:r w:rsidRPr="003912E5">
        <w:rPr>
          <w:i/>
          <w:iCs/>
        </w:rPr>
        <w:t>Paṭis</w:t>
      </w:r>
      <w:proofErr w:type="spellEnd"/>
      <w:r>
        <w:t xml:space="preserve"> I 64). [161]</w:t>
      </w:r>
    </w:p>
    <w:p w14:paraId="6C4D748E" w14:textId="5DA00F33" w:rsidR="00246D7C" w:rsidRPr="000E3399" w:rsidRDefault="000E3399" w:rsidP="000E3399">
      <w:pPr>
        <w:pStyle w:val="PiedepginaLegal"/>
        <w:rPr>
          <w:u w:val="single"/>
        </w:rPr>
      </w:pPr>
      <w:r w:rsidRPr="000E3399">
        <w:rPr>
          <w:u w:val="single"/>
        </w:rPr>
        <w:tab/>
      </w:r>
      <w:r w:rsidRPr="000E3399">
        <w:rPr>
          <w:u w:val="single"/>
        </w:rPr>
        <w:tab/>
      </w:r>
      <w:r w:rsidRPr="000E3399">
        <w:rPr>
          <w:u w:val="single"/>
        </w:rPr>
        <w:tab/>
      </w:r>
      <w:r w:rsidRPr="000E3399">
        <w:rPr>
          <w:u w:val="single"/>
        </w:rPr>
        <w:tab/>
      </w:r>
      <w:r w:rsidR="00246D7C" w:rsidRPr="000E3399">
        <w:rPr>
          <w:u w:val="single"/>
        </w:rPr>
        <w:t>.</w:t>
      </w:r>
    </w:p>
    <w:p w14:paraId="4989FC0C" w14:textId="4A6985B7" w:rsidR="000E3399" w:rsidRDefault="00246D7C" w:rsidP="000E3399">
      <w:pPr>
        <w:pStyle w:val="PiedepginaLegal"/>
      </w:pPr>
      <w:r>
        <w:t xml:space="preserve">45. </w:t>
      </w:r>
      <w:r w:rsidR="000E3399">
        <w:tab/>
      </w:r>
      <w:r>
        <w:t xml:space="preserve">Las “ocho clases” son las que están conectadas con los ocho </w:t>
      </w:r>
      <w:proofErr w:type="spellStart"/>
      <w:r w:rsidR="00057BF4" w:rsidRPr="00057BF4">
        <w:rPr>
          <w:i/>
          <w:iCs/>
        </w:rPr>
        <w:t>jhāna</w:t>
      </w:r>
      <w:r w:rsidRPr="003912E5">
        <w:rPr>
          <w:i/>
          <w:iCs/>
        </w:rPr>
        <w:t>s</w:t>
      </w:r>
      <w:proofErr w:type="spellEnd"/>
      <w:r>
        <w:t xml:space="preserve">, las “diez clases” </w:t>
      </w:r>
      <w:r w:rsidR="008A59D7">
        <w:t xml:space="preserve">son </w:t>
      </w:r>
      <w:r>
        <w:t xml:space="preserve">las que están conectadas con los cuatro </w:t>
      </w:r>
      <w:r w:rsidR="008A59D7">
        <w:t>senderos</w:t>
      </w:r>
      <w:r>
        <w:t>, las cuatro fru</w:t>
      </w:r>
      <w:r w:rsidR="00DD4C69">
        <w:t>i</w:t>
      </w:r>
      <w:r>
        <w:t>ciones, la liberación del vacío y la liberación sin signos.</w:t>
      </w:r>
    </w:p>
    <w:p w14:paraId="419CCD6C" w14:textId="77777777" w:rsidR="000E3399" w:rsidRDefault="000E3399">
      <w:pPr>
        <w:tabs>
          <w:tab w:val="clear" w:pos="425"/>
        </w:tabs>
        <w:spacing w:after="160"/>
      </w:pPr>
      <w:r>
        <w:br w:type="page"/>
      </w:r>
    </w:p>
    <w:p w14:paraId="6ADA1605" w14:textId="6E7BD608" w:rsidR="006A2CFB" w:rsidRDefault="006A2CFB" w:rsidP="006A2CFB">
      <w:r>
        <w:lastRenderedPageBreak/>
        <w:t xml:space="preserve">162. </w:t>
      </w:r>
      <w:r>
        <w:tab/>
        <w:t xml:space="preserve">La </w:t>
      </w:r>
      <w:r w:rsidRPr="00252C80">
        <w:rPr>
          <w:i/>
          <w:iCs/>
        </w:rPr>
        <w:t xml:space="preserve">ecuanimidad como </w:t>
      </w:r>
      <w:r w:rsidR="00252C80">
        <w:rPr>
          <w:i/>
          <w:iCs/>
        </w:rPr>
        <w:t>sensación</w:t>
      </w:r>
      <w:r>
        <w:t xml:space="preserve"> es un nombre para la ecuanimidad conocida como ni-dolor-ni-placer descrita así: “En la ocasión en </w:t>
      </w:r>
      <w:r w:rsidR="001E6F43">
        <w:t xml:space="preserve">la </w:t>
      </w:r>
      <w:r>
        <w:t>que ha</w:t>
      </w:r>
      <w:r w:rsidR="00E54DC8">
        <w:t>ya</w:t>
      </w:r>
      <w:r>
        <w:t xml:space="preserve"> surgido una </w:t>
      </w:r>
      <w:r w:rsidR="00305E12">
        <w:t>consciencia</w:t>
      </w:r>
      <w:r>
        <w:t xml:space="preserve"> provechosa de la esfera de los sentidos acompañada de ecuanimidad” (</w:t>
      </w:r>
      <w:proofErr w:type="spellStart"/>
      <w:r>
        <w:t>Dhs</w:t>
      </w:r>
      <w:proofErr w:type="spellEnd"/>
      <w:r>
        <w:t xml:space="preserve"> §156).</w:t>
      </w:r>
    </w:p>
    <w:p w14:paraId="4B8B9DE0" w14:textId="78B71455" w:rsidR="006A2CFB" w:rsidRDefault="006A2CFB" w:rsidP="006A2CFB">
      <w:r>
        <w:t xml:space="preserve">163. </w:t>
      </w:r>
      <w:r>
        <w:tab/>
        <w:t xml:space="preserve">La </w:t>
      </w:r>
      <w:r w:rsidRPr="00252C80">
        <w:rPr>
          <w:i/>
          <w:iCs/>
        </w:rPr>
        <w:t xml:space="preserve">ecuanimidad </w:t>
      </w:r>
      <w:r w:rsidR="009F367D">
        <w:rPr>
          <w:i/>
          <w:iCs/>
        </w:rPr>
        <w:t>respecto a la sabiduría</w:t>
      </w:r>
      <w:r>
        <w:t xml:space="preserve"> es un nombre para la ecuanimidad que </w:t>
      </w:r>
      <w:proofErr w:type="gramStart"/>
      <w:r>
        <w:t>consist</w:t>
      </w:r>
      <w:r w:rsidR="009F367D">
        <w:t>a</w:t>
      </w:r>
      <w:r>
        <w:t xml:space="preserve"> </w:t>
      </w:r>
      <w:r w:rsidR="00DF1744">
        <w:t>de</w:t>
      </w:r>
      <w:proofErr w:type="gramEnd"/>
      <w:r w:rsidR="00DF1744">
        <w:t xml:space="preserve"> </w:t>
      </w:r>
      <w:r w:rsidR="00394162">
        <w:t>un</w:t>
      </w:r>
      <w:r>
        <w:t xml:space="preserve">a neutralidad </w:t>
      </w:r>
      <w:r w:rsidR="00394162">
        <w:t xml:space="preserve">respecto a </w:t>
      </w:r>
      <w:r>
        <w:t>la investigación descrita así: “Lo que exist</w:t>
      </w:r>
      <w:r w:rsidR="00E21A25">
        <w:t>a</w:t>
      </w:r>
      <w:r>
        <w:t>, lo que ha</w:t>
      </w:r>
      <w:r w:rsidR="00E21A25">
        <w:t>ya</w:t>
      </w:r>
      <w:r>
        <w:t xml:space="preserve"> llegado a ser, </w:t>
      </w:r>
      <w:r w:rsidR="00C6698D">
        <w:t xml:space="preserve">él lo </w:t>
      </w:r>
      <w:r>
        <w:t>abandon</w:t>
      </w:r>
      <w:r w:rsidR="00C6698D">
        <w:t>a</w:t>
      </w:r>
      <w:r w:rsidR="00394162">
        <w:t>rá</w:t>
      </w:r>
      <w:r>
        <w:t xml:space="preserve"> y obten</w:t>
      </w:r>
      <w:r w:rsidR="00394162">
        <w:t>drá así</w:t>
      </w:r>
      <w:r>
        <w:t xml:space="preserve"> ecuanimidad” (M II 264-65, A IV 70f).</w:t>
      </w:r>
    </w:p>
    <w:p w14:paraId="46346F1E" w14:textId="6781FC26" w:rsidR="006A2CFB" w:rsidRDefault="006A2CFB" w:rsidP="006A2CFB">
      <w:r>
        <w:t xml:space="preserve">164. </w:t>
      </w:r>
      <w:r>
        <w:tab/>
        <w:t xml:space="preserve">La </w:t>
      </w:r>
      <w:r w:rsidRPr="00252C80">
        <w:rPr>
          <w:i/>
          <w:iCs/>
        </w:rPr>
        <w:t>ecuanimidad como neutralidad</w:t>
      </w:r>
      <w:r>
        <w:t xml:space="preserve"> </w:t>
      </w:r>
      <w:r w:rsidRPr="00482DA8">
        <w:rPr>
          <w:i/>
          <w:iCs/>
        </w:rPr>
        <w:t>específica</w:t>
      </w:r>
      <w:r>
        <w:t xml:space="preserve"> es un nombre para la ecuanimidad consist</w:t>
      </w:r>
      <w:r w:rsidR="006574EA">
        <w:t>ente</w:t>
      </w:r>
      <w:r>
        <w:t xml:space="preserve"> </w:t>
      </w:r>
      <w:r w:rsidR="003E164A">
        <w:t>de una</w:t>
      </w:r>
      <w:r>
        <w:t xml:space="preserve"> </w:t>
      </w:r>
      <w:r w:rsidR="00A1393F">
        <w:t>equivalente</w:t>
      </w:r>
      <w:r>
        <w:t xml:space="preserve"> eficiencia de los estados </w:t>
      </w:r>
      <w:proofErr w:type="spellStart"/>
      <w:r w:rsidR="003975AA">
        <w:t>cona</w:t>
      </w:r>
      <w:r w:rsidR="00B52C29">
        <w:t>s</w:t>
      </w:r>
      <w:r w:rsidR="003975AA">
        <w:t>cientes</w:t>
      </w:r>
      <w:proofErr w:type="spellEnd"/>
      <w:r>
        <w:t>; está contenido entre</w:t>
      </w:r>
      <w:r w:rsidR="00FB0209">
        <w:t xml:space="preserve"> los</w:t>
      </w:r>
      <w:r>
        <w:t xml:space="preserve"> “</w:t>
      </w:r>
      <w:r w:rsidR="00FB0209">
        <w:t>cualesquiera estados</w:t>
      </w:r>
      <w:r>
        <w:t xml:space="preserve">” comenzando con celo (XIV.133; </w:t>
      </w:r>
      <w:proofErr w:type="spellStart"/>
      <w:r>
        <w:t>Dhs</w:t>
      </w:r>
      <w:proofErr w:type="spellEnd"/>
      <w:r>
        <w:t>-a 132).</w:t>
      </w:r>
    </w:p>
    <w:p w14:paraId="6497BC72" w14:textId="6816E798" w:rsidR="006A2CFB" w:rsidRDefault="006A2CFB" w:rsidP="006A2CFB">
      <w:r>
        <w:t xml:space="preserve">165. </w:t>
      </w:r>
      <w:r>
        <w:tab/>
        <w:t xml:space="preserve">La </w:t>
      </w:r>
      <w:r w:rsidRPr="00252C80">
        <w:rPr>
          <w:i/>
          <w:iCs/>
        </w:rPr>
        <w:t>ecuanimidad de</w:t>
      </w:r>
      <w:r w:rsidR="00E53C61">
        <w:rPr>
          <w:i/>
          <w:iCs/>
        </w:rPr>
        <w:t>l</w:t>
      </w:r>
      <w:r>
        <w:t xml:space="preserve"> </w:t>
      </w:r>
      <w:proofErr w:type="spellStart"/>
      <w:r w:rsidR="00057BF4" w:rsidRPr="00057BF4">
        <w:rPr>
          <w:i/>
          <w:iCs/>
        </w:rPr>
        <w:t>jhāna</w:t>
      </w:r>
      <w:proofErr w:type="spellEnd"/>
      <w:r>
        <w:t xml:space="preserve"> es un nombre para la ecuanimidad que produ</w:t>
      </w:r>
      <w:r w:rsidR="00E53C61">
        <w:t>zca</w:t>
      </w:r>
      <w:r>
        <w:t xml:space="preserve"> imparcialidad incluso hacia la dicha más elevada descrita así: “Él </w:t>
      </w:r>
      <w:r w:rsidR="00FD3220">
        <w:t>habita</w:t>
      </w:r>
      <w:r>
        <w:t xml:space="preserve"> en la ecuanimidad” (</w:t>
      </w:r>
      <w:proofErr w:type="spellStart"/>
      <w:r>
        <w:t>Vibh</w:t>
      </w:r>
      <w:proofErr w:type="spellEnd"/>
      <w:r>
        <w:t xml:space="preserve"> 245).</w:t>
      </w:r>
    </w:p>
    <w:p w14:paraId="2C25467E" w14:textId="28A8B3C5" w:rsidR="006A2CFB" w:rsidRDefault="006A2CFB" w:rsidP="006A2CFB">
      <w:r>
        <w:t>166.</w:t>
      </w:r>
      <w:r>
        <w:tab/>
        <w:t xml:space="preserve">La </w:t>
      </w:r>
      <w:r w:rsidRPr="00252C80">
        <w:rPr>
          <w:i/>
          <w:iCs/>
        </w:rPr>
        <w:t xml:space="preserve">ecuanimidad </w:t>
      </w:r>
      <w:r w:rsidR="0083445E">
        <w:rPr>
          <w:i/>
          <w:iCs/>
        </w:rPr>
        <w:t xml:space="preserve">de la </w:t>
      </w:r>
      <w:r w:rsidRPr="00252C80">
        <w:rPr>
          <w:i/>
          <w:iCs/>
        </w:rPr>
        <w:t>purifica</w:t>
      </w:r>
      <w:r w:rsidR="0083445E">
        <w:rPr>
          <w:i/>
          <w:iCs/>
        </w:rPr>
        <w:t>ción</w:t>
      </w:r>
      <w:r>
        <w:t xml:space="preserve"> es un nombre para la ecuanimidad purificada de toda oposición, y que </w:t>
      </w:r>
      <w:proofErr w:type="gramStart"/>
      <w:r>
        <w:t>consist</w:t>
      </w:r>
      <w:r w:rsidR="006517D0">
        <w:t>a</w:t>
      </w:r>
      <w:r>
        <w:t xml:space="preserve"> </w:t>
      </w:r>
      <w:r w:rsidR="006517D0">
        <w:t>d</w:t>
      </w:r>
      <w:r>
        <w:t>e</w:t>
      </w:r>
      <w:proofErr w:type="gramEnd"/>
      <w:r w:rsidR="00A45983">
        <w:t xml:space="preserve"> un</w:t>
      </w:r>
      <w:r>
        <w:t xml:space="preserve"> desinterés en acallar la oposición</w:t>
      </w:r>
      <w:r w:rsidR="00C3768E">
        <w:t>,</w:t>
      </w:r>
      <w:r>
        <w:t xml:space="preserve"> descrita así: “El cuarto </w:t>
      </w:r>
      <w:proofErr w:type="spellStart"/>
      <w:r w:rsidR="00057BF4" w:rsidRPr="00057BF4">
        <w:rPr>
          <w:i/>
          <w:iCs/>
        </w:rPr>
        <w:t>jhāna</w:t>
      </w:r>
      <w:proofErr w:type="spellEnd"/>
      <w:r>
        <w:t xml:space="preserve">, que… tiene la atención purificada </w:t>
      </w:r>
      <w:r w:rsidR="00FB7816">
        <w:t>mediante</w:t>
      </w:r>
      <w:r>
        <w:t xml:space="preserve"> la ecuanimidad” (</w:t>
      </w:r>
      <w:proofErr w:type="spellStart"/>
      <w:r>
        <w:t>Vibh</w:t>
      </w:r>
      <w:proofErr w:type="spellEnd"/>
      <w:r>
        <w:t xml:space="preserve"> 245).</w:t>
      </w:r>
    </w:p>
    <w:p w14:paraId="2D0E2AE3" w14:textId="786BB93A" w:rsidR="006A2CFB" w:rsidRDefault="006A2CFB" w:rsidP="006A2CFB">
      <w:r>
        <w:t xml:space="preserve">167. </w:t>
      </w:r>
      <w:r>
        <w:tab/>
        <w:t xml:space="preserve">Aquí, la ecuanimidad de seis factores, la ecuanimidad como </w:t>
      </w:r>
      <w:r w:rsidR="006129DE">
        <w:t>estado</w:t>
      </w:r>
      <w:r>
        <w:t xml:space="preserve"> divin</w:t>
      </w:r>
      <w:r w:rsidR="006129DE">
        <w:t>o</w:t>
      </w:r>
      <w:r>
        <w:t>, la ecuanimidad como factor de iluminación, la ecuanimidad como neutralidad específica, la ecuanimidad de</w:t>
      </w:r>
      <w:r w:rsidR="00583D64">
        <w:t>l</w:t>
      </w:r>
      <w:r>
        <w:t xml:space="preserve"> </w:t>
      </w:r>
      <w:proofErr w:type="spellStart"/>
      <w:r w:rsidR="00057BF4" w:rsidRPr="00057BF4">
        <w:rPr>
          <w:i/>
          <w:iCs/>
        </w:rPr>
        <w:t>jhāna</w:t>
      </w:r>
      <w:proofErr w:type="spellEnd"/>
      <w:r>
        <w:t xml:space="preserve"> y la ecuanimidad purificadora son uno en significado, es decir, la ecuanimidad como neutralidad específica. </w:t>
      </w:r>
      <w:r w:rsidR="00FE7A0A">
        <w:t>Se</w:t>
      </w:r>
      <w:r>
        <w:t xml:space="preserve"> diferencia</w:t>
      </w:r>
      <w:r w:rsidR="00FE7A0A">
        <w:t>n</w:t>
      </w:r>
      <w:r>
        <w:t xml:space="preserve">, sin embargo, </w:t>
      </w:r>
      <w:r w:rsidR="00FE7A0A">
        <w:t xml:space="preserve">en </w:t>
      </w:r>
      <w:r w:rsidR="00173A10">
        <w:t xml:space="preserve">una </w:t>
      </w:r>
      <w:r>
        <w:t>de posición,</w:t>
      </w:r>
      <w:r w:rsidRPr="002D3D90">
        <w:rPr>
          <w:vertAlign w:val="superscript"/>
        </w:rPr>
        <w:t>46</w:t>
      </w:r>
      <w:r>
        <w:t xml:space="preserve"> como la diferencia en</w:t>
      </w:r>
      <w:r w:rsidR="00F22430">
        <w:t>tre</w:t>
      </w:r>
      <w:r>
        <w:t xml:space="preserve"> un solo ser como un niño, un joven, un adulto, un general, un rey, etc. Por lo tanto, de estos debe entenderse que la ecuanimidad como factor de iluminación, etc., no se enc</w:t>
      </w:r>
      <w:r w:rsidR="00EA1617">
        <w:t>o</w:t>
      </w:r>
      <w:r>
        <w:t>ntra</w:t>
      </w:r>
      <w:r w:rsidR="00EA1617">
        <w:t xml:space="preserve">rá </w:t>
      </w:r>
      <w:r>
        <w:t>donde hay</w:t>
      </w:r>
      <w:r w:rsidR="00EA1617">
        <w:t>a</w:t>
      </w:r>
      <w:r>
        <w:t xml:space="preserve"> una ecuanimidad de seis factores; o que la ecuanimidad de seis factores, etc., no se </w:t>
      </w:r>
      <w:r w:rsidR="00EA1617">
        <w:t xml:space="preserve">encontrará </w:t>
      </w:r>
      <w:r>
        <w:t>donde hay</w:t>
      </w:r>
      <w:r w:rsidR="00EA1617">
        <w:t>a</w:t>
      </w:r>
      <w:r>
        <w:t xml:space="preserve"> ecuanimidad como factor de iluminación.</w:t>
      </w:r>
    </w:p>
    <w:p w14:paraId="13901B83" w14:textId="52E61CCA" w:rsidR="006A2CFB" w:rsidRDefault="006A2CFB" w:rsidP="006A2CFB">
      <w:pPr>
        <w:pStyle w:val="NormalConSangria"/>
      </w:pPr>
      <w:r>
        <w:t xml:space="preserve">Y así como estos tienen un significado, también la ecuanimidad </w:t>
      </w:r>
      <w:r w:rsidR="00173A10">
        <w:t>respecto a</w:t>
      </w:r>
      <w:r>
        <w:t xml:space="preserve"> las formaciones y la ecuanimidad </w:t>
      </w:r>
      <w:r w:rsidR="00173A10">
        <w:t xml:space="preserve">respecto a </w:t>
      </w:r>
      <w:r>
        <w:t xml:space="preserve">la </w:t>
      </w:r>
      <w:r w:rsidR="00173A10">
        <w:t>sabiduría</w:t>
      </w:r>
      <w:r>
        <w:t xml:space="preserve"> también tienen un significado; porque son simplemente entendimientos clasificados </w:t>
      </w:r>
      <w:r w:rsidR="000A214F">
        <w:t>respecto a</w:t>
      </w:r>
      <w:r>
        <w:t xml:space="preserve"> estas dos maneras según la función.</w:t>
      </w:r>
    </w:p>
    <w:p w14:paraId="1A7C2A4A" w14:textId="028EE2CE" w:rsidR="006A2CFB" w:rsidRDefault="006A2CFB" w:rsidP="006A2CFB">
      <w:r>
        <w:t xml:space="preserve">168. </w:t>
      </w:r>
      <w:r>
        <w:tab/>
      </w:r>
      <w:r w:rsidR="000A214F">
        <w:t>De igual forma que</w:t>
      </w:r>
      <w:r>
        <w:t xml:space="preserve"> un hombre ha</w:t>
      </w:r>
      <w:r w:rsidR="000A214F">
        <w:t>ya</w:t>
      </w:r>
      <w:r>
        <w:t xml:space="preserve"> visto una serpiente entrar en su casa por la noche y la  </w:t>
      </w:r>
      <w:r w:rsidR="00632ECC">
        <w:t>procure</w:t>
      </w:r>
      <w:r>
        <w:t xml:space="preserve"> con un palo ahorquillado, y luego cuando la ha</w:t>
      </w:r>
      <w:r w:rsidR="008214E0">
        <w:t>ya</w:t>
      </w:r>
      <w:r>
        <w:t xml:space="preserve"> visto tendida en el almacén de grano</w:t>
      </w:r>
      <w:r w:rsidR="008214E0">
        <w:t>s</w:t>
      </w:r>
      <w:r>
        <w:t xml:space="preserve"> y </w:t>
      </w:r>
      <w:r w:rsidR="008214E0">
        <w:t xml:space="preserve">la </w:t>
      </w:r>
      <w:r>
        <w:t>ha</w:t>
      </w:r>
      <w:r w:rsidR="008214E0">
        <w:t>ya</w:t>
      </w:r>
      <w:r>
        <w:t xml:space="preserve"> mirado para ver si realmente </w:t>
      </w:r>
      <w:r w:rsidR="008214E0">
        <w:t xml:space="preserve">se trata de </w:t>
      </w:r>
      <w:r>
        <w:t xml:space="preserve">una serpiente o no, y luego al ver </w:t>
      </w:r>
      <w:r w:rsidR="00E94D31">
        <w:t xml:space="preserve">las </w:t>
      </w:r>
      <w:r>
        <w:t>tres marcas</w:t>
      </w:r>
      <w:r w:rsidRPr="002D3D90">
        <w:rPr>
          <w:vertAlign w:val="superscript"/>
        </w:rPr>
        <w:t>47</w:t>
      </w:r>
      <w:r>
        <w:t xml:space="preserve"> no ten</w:t>
      </w:r>
      <w:r w:rsidR="00E94D31">
        <w:t>ga</w:t>
      </w:r>
      <w:r>
        <w:t xml:space="preserve"> más dudas, y por lo tanto hay</w:t>
      </w:r>
      <w:r w:rsidR="00E94D31">
        <w:t>a</w:t>
      </w:r>
      <w:r>
        <w:t xml:space="preserve"> neutralidad en él acerca de seguir investigando si es o no una serpiente, [162] así también, cuando un hombre ha</w:t>
      </w:r>
      <w:r w:rsidR="00E94D31">
        <w:t>ya</w:t>
      </w:r>
      <w:r>
        <w:t xml:space="preserve"> comenzado a vislumbrar, y ve</w:t>
      </w:r>
      <w:r w:rsidR="00E94D31">
        <w:t>a</w:t>
      </w:r>
      <w:r>
        <w:t xml:space="preserve"> con </w:t>
      </w:r>
      <w:r w:rsidR="00E94D31">
        <w:t>la sabiduría d</w:t>
      </w:r>
      <w:r>
        <w:t xml:space="preserve">el conocimiento las tres características, entonces </w:t>
      </w:r>
      <w:r w:rsidR="00E94D31">
        <w:t>habrá</w:t>
      </w:r>
      <w:r>
        <w:t xml:space="preserve"> neutralidad en él acerca de seguir investigando </w:t>
      </w:r>
      <w:r w:rsidR="00A424EE">
        <w:t xml:space="preserve">sobre </w:t>
      </w:r>
      <w:r>
        <w:t xml:space="preserve">la impermanencia, etc., de las formaciones, y </w:t>
      </w:r>
      <w:r w:rsidR="0032216E">
        <w:t xml:space="preserve">a </w:t>
      </w:r>
      <w:r>
        <w:t xml:space="preserve">esa neutralidad se </w:t>
      </w:r>
      <w:r w:rsidR="0032216E">
        <w:t xml:space="preserve">le </w:t>
      </w:r>
      <w:r>
        <w:t>llama</w:t>
      </w:r>
      <w:r w:rsidR="0032216E">
        <w:t xml:space="preserve">rá </w:t>
      </w:r>
      <w:r w:rsidRPr="0032216E">
        <w:rPr>
          <w:i/>
          <w:iCs/>
        </w:rPr>
        <w:t xml:space="preserve">ecuanimidad </w:t>
      </w:r>
      <w:r w:rsidR="0032216E" w:rsidRPr="0032216E">
        <w:rPr>
          <w:i/>
          <w:iCs/>
        </w:rPr>
        <w:t>respecto a</w:t>
      </w:r>
      <w:r w:rsidR="00A424EE">
        <w:rPr>
          <w:i/>
          <w:iCs/>
        </w:rPr>
        <w:t xml:space="preserve"> la sabiduría</w:t>
      </w:r>
      <w:r>
        <w:t>.</w:t>
      </w:r>
    </w:p>
    <w:p w14:paraId="286F071E" w14:textId="0BB1AB5A" w:rsidR="006A2CFB" w:rsidRDefault="006A2CFB" w:rsidP="006A2CFB">
      <w:r>
        <w:t xml:space="preserve">169. </w:t>
      </w:r>
      <w:r>
        <w:tab/>
        <w:t>Pero así como, cuando el hombre ha</w:t>
      </w:r>
      <w:r w:rsidR="00267605">
        <w:t>ya</w:t>
      </w:r>
      <w:r>
        <w:t xml:space="preserve"> agarrado firmemente a la serpiente con el palo ahorquillado y pens</w:t>
      </w:r>
      <w:r w:rsidR="005B2D7D">
        <w:t>ado</w:t>
      </w:r>
      <w:r>
        <w:t xml:space="preserve">: "¿Cómo me desharé de la serpiente sin lastimarla o ser mordido por ella?" entonces como él </w:t>
      </w:r>
      <w:r w:rsidR="00924ED3">
        <w:t>se encuentra</w:t>
      </w:r>
      <w:r>
        <w:t xml:space="preserve"> buscando sólo la manera de deshacerse de </w:t>
      </w:r>
      <w:r w:rsidR="00924ED3">
        <w:t>e</w:t>
      </w:r>
      <w:r>
        <w:t>l</w:t>
      </w:r>
      <w:r w:rsidR="00924ED3">
        <w:t>la</w:t>
      </w:r>
      <w:r>
        <w:t>, ha</w:t>
      </w:r>
      <w:r w:rsidR="00924ED3">
        <w:t>brá</w:t>
      </w:r>
      <w:r>
        <w:t xml:space="preserve"> neutralidad en él </w:t>
      </w:r>
      <w:r w:rsidR="00924ED3">
        <w:t xml:space="preserve">respecto a </w:t>
      </w:r>
      <w:r>
        <w:t>agarrarl</w:t>
      </w:r>
      <w:r w:rsidR="00924ED3">
        <w:t>a</w:t>
      </w:r>
      <w:r>
        <w:t xml:space="preserve">, así también, cuando un hombre, a través de la búsqueda de las tres características, </w:t>
      </w:r>
      <w:r w:rsidR="00924ED3">
        <w:t xml:space="preserve">aprecie </w:t>
      </w:r>
      <w:r>
        <w:t>los tres tipos de devenir como si estuvieran ardiendo, entonces ha</w:t>
      </w:r>
      <w:r w:rsidR="00924ED3">
        <w:t>brá</w:t>
      </w:r>
      <w:r>
        <w:t xml:space="preserve"> neutralidad en él acerca de aferrarse a las formaciones, y </w:t>
      </w:r>
      <w:r w:rsidR="000B26DC">
        <w:t xml:space="preserve">a </w:t>
      </w:r>
      <w:r>
        <w:t xml:space="preserve">esa neutralidad se </w:t>
      </w:r>
      <w:r w:rsidR="000B26DC">
        <w:t xml:space="preserve">le </w:t>
      </w:r>
      <w:r>
        <w:t>llama</w:t>
      </w:r>
      <w:r w:rsidR="000B26DC">
        <w:t xml:space="preserve">rá </w:t>
      </w:r>
      <w:r w:rsidRPr="00252C80">
        <w:rPr>
          <w:i/>
          <w:iCs/>
        </w:rPr>
        <w:t xml:space="preserve">ecuanimidad </w:t>
      </w:r>
      <w:r w:rsidR="000B26DC" w:rsidRPr="0032216E">
        <w:rPr>
          <w:i/>
          <w:iCs/>
        </w:rPr>
        <w:t xml:space="preserve">respecto </w:t>
      </w:r>
      <w:r w:rsidR="000B26DC">
        <w:rPr>
          <w:i/>
          <w:iCs/>
        </w:rPr>
        <w:t>a</w:t>
      </w:r>
      <w:r w:rsidRPr="00252C80">
        <w:rPr>
          <w:i/>
          <w:iCs/>
        </w:rPr>
        <w:t xml:space="preserve"> las formaciones</w:t>
      </w:r>
      <w:r>
        <w:t>.</w:t>
      </w:r>
    </w:p>
    <w:p w14:paraId="4670C025" w14:textId="219CA0CB" w:rsidR="006A2CFB" w:rsidRPr="006A2CFB" w:rsidRDefault="006A2CFB" w:rsidP="006A2CFB">
      <w:pPr>
        <w:pStyle w:val="PiedepginaLegal"/>
        <w:rPr>
          <w:u w:val="single"/>
        </w:rPr>
      </w:pPr>
      <w:r w:rsidRPr="006A2CFB">
        <w:rPr>
          <w:u w:val="single"/>
        </w:rPr>
        <w:tab/>
      </w:r>
      <w:r w:rsidRPr="006A2CFB">
        <w:rPr>
          <w:u w:val="single"/>
        </w:rPr>
        <w:tab/>
      </w:r>
      <w:r w:rsidRPr="006A2CFB">
        <w:rPr>
          <w:u w:val="single"/>
        </w:rPr>
        <w:tab/>
      </w:r>
      <w:r w:rsidRPr="006A2CFB">
        <w:rPr>
          <w:u w:val="single"/>
        </w:rPr>
        <w:tab/>
        <w:t>.</w:t>
      </w:r>
    </w:p>
    <w:p w14:paraId="6E8838C2" w14:textId="49C5E22E" w:rsidR="006A2CFB" w:rsidRDefault="006A2CFB" w:rsidP="006A2CFB">
      <w:pPr>
        <w:pStyle w:val="PiedepginaLegal"/>
      </w:pPr>
      <w:r>
        <w:t xml:space="preserve"> 46. ​​</w:t>
      </w:r>
      <w:proofErr w:type="spellStart"/>
      <w:r w:rsidRPr="003912E5">
        <w:rPr>
          <w:i/>
          <w:iCs/>
        </w:rPr>
        <w:t>Avatthā</w:t>
      </w:r>
      <w:proofErr w:type="spellEnd"/>
      <w:r>
        <w:t xml:space="preserve">—“posición, ocasión”. No </w:t>
      </w:r>
      <w:r w:rsidR="006E01C3">
        <w:t xml:space="preserve">encontrado </w:t>
      </w:r>
      <w:r>
        <w:t xml:space="preserve">en </w:t>
      </w:r>
      <w:r w:rsidR="006E01C3">
        <w:t xml:space="preserve">el </w:t>
      </w:r>
      <w:r>
        <w:t>PED; ver DPC.</w:t>
      </w:r>
    </w:p>
    <w:p w14:paraId="087DA7FF" w14:textId="7AF66B33" w:rsidR="000E3399" w:rsidRDefault="006A2CFB" w:rsidP="006A2CFB">
      <w:pPr>
        <w:pStyle w:val="PiedepginaLegal"/>
      </w:pPr>
      <w:r>
        <w:t xml:space="preserve"> 47. </w:t>
      </w:r>
      <w:proofErr w:type="spellStart"/>
      <w:r w:rsidRPr="003912E5">
        <w:rPr>
          <w:i/>
          <w:iCs/>
        </w:rPr>
        <w:t>Sovatthika</w:t>
      </w:r>
      <w:r>
        <w:t>-</w:t>
      </w:r>
      <w:r w:rsidRPr="003912E5">
        <w:rPr>
          <w:i/>
          <w:iCs/>
        </w:rPr>
        <w:t>ttaya</w:t>
      </w:r>
      <w:proofErr w:type="spellEnd"/>
      <w:r>
        <w:t>—“tres puntos”; cf. XXI.49.</w:t>
      </w:r>
      <w:r w:rsidR="000E3399">
        <w:br w:type="page"/>
      </w:r>
    </w:p>
    <w:p w14:paraId="4FE94AA1" w14:textId="16E4DF1C" w:rsidR="001641D7" w:rsidRDefault="001641D7" w:rsidP="001641D7"/>
    <w:p w14:paraId="2117D923" w14:textId="67A77537" w:rsidR="001641D7" w:rsidRDefault="001641D7" w:rsidP="001641D7">
      <w:r>
        <w:t xml:space="preserve">170. </w:t>
      </w:r>
      <w:r>
        <w:tab/>
      </w:r>
      <w:r w:rsidR="007F5219">
        <w:t>Por lo tanto</w:t>
      </w:r>
      <w:r>
        <w:t>, cuando se estable</w:t>
      </w:r>
      <w:r w:rsidR="00BA2879">
        <w:t>zca</w:t>
      </w:r>
      <w:r>
        <w:t xml:space="preserve"> la ecuanimidad </w:t>
      </w:r>
      <w:r w:rsidR="00BA2879">
        <w:t>respecto a</w:t>
      </w:r>
      <w:r>
        <w:t xml:space="preserve"> la </w:t>
      </w:r>
      <w:r w:rsidR="0057474D" w:rsidRPr="0057474D">
        <w:t>sabiduría</w:t>
      </w:r>
      <w:r>
        <w:t>, también se establece</w:t>
      </w:r>
      <w:r w:rsidR="0057474D">
        <w:t xml:space="preserve">rá </w:t>
      </w:r>
      <w:r>
        <w:t xml:space="preserve">la ecuanimidad </w:t>
      </w:r>
      <w:r w:rsidR="0057474D">
        <w:t xml:space="preserve">respecto a </w:t>
      </w:r>
      <w:r>
        <w:t>las formaciones. Pero se divid</w:t>
      </w:r>
      <w:r w:rsidR="0057474D">
        <w:t>irá</w:t>
      </w:r>
      <w:r>
        <w:t xml:space="preserve"> </w:t>
      </w:r>
      <w:r w:rsidR="00BA6A2A">
        <w:t xml:space="preserve">así </w:t>
      </w:r>
      <w:r>
        <w:t xml:space="preserve">en dos según la función, es decir, </w:t>
      </w:r>
      <w:proofErr w:type="gramStart"/>
      <w:r w:rsidR="001D5B7B">
        <w:t>de acuerdo a</w:t>
      </w:r>
      <w:proofErr w:type="gramEnd"/>
      <w:r>
        <w:t xml:space="preserve"> la </w:t>
      </w:r>
      <w:r w:rsidR="0085648B">
        <w:t>neutralidad</w:t>
      </w:r>
      <w:r w:rsidR="00252C80" w:rsidRPr="0085648B">
        <w:t xml:space="preserve"> </w:t>
      </w:r>
      <w:r w:rsidR="005C7CF6">
        <w:t xml:space="preserve">respecto a </w:t>
      </w:r>
      <w:r w:rsidRPr="0085648B">
        <w:t xml:space="preserve">investigar y </w:t>
      </w:r>
      <w:r w:rsidR="00BA6A2A">
        <w:t xml:space="preserve">respecto </w:t>
      </w:r>
      <w:r w:rsidR="00F2748D">
        <w:t>sostener</w:t>
      </w:r>
      <w:r>
        <w:t>.</w:t>
      </w:r>
    </w:p>
    <w:p w14:paraId="2AF1CCF6" w14:textId="69C951B3" w:rsidR="001641D7" w:rsidRDefault="001641D7" w:rsidP="0085648B">
      <w:pPr>
        <w:pStyle w:val="NormalConSangria"/>
      </w:pPr>
      <w:r>
        <w:t xml:space="preserve">La </w:t>
      </w:r>
      <w:r w:rsidRPr="0085648B">
        <w:rPr>
          <w:i/>
          <w:iCs/>
        </w:rPr>
        <w:t xml:space="preserve">ecuanimidad de </w:t>
      </w:r>
      <w:r w:rsidR="00F2748D">
        <w:rPr>
          <w:i/>
          <w:iCs/>
        </w:rPr>
        <w:t xml:space="preserve">la </w:t>
      </w:r>
      <w:r w:rsidRPr="0085648B">
        <w:rPr>
          <w:i/>
          <w:iCs/>
        </w:rPr>
        <w:t xml:space="preserve">energía y la ecuanimidad de </w:t>
      </w:r>
      <w:r w:rsidR="00F2748D">
        <w:rPr>
          <w:i/>
          <w:iCs/>
        </w:rPr>
        <w:t xml:space="preserve">la sensación </w:t>
      </w:r>
      <w:r>
        <w:t>son diferentes tanto entre sí como del resto.</w:t>
      </w:r>
    </w:p>
    <w:p w14:paraId="1950CA84" w14:textId="1A75B69C" w:rsidR="001641D7" w:rsidRDefault="001641D7" w:rsidP="001641D7">
      <w:r>
        <w:t xml:space="preserve">171. </w:t>
      </w:r>
      <w:r>
        <w:tab/>
      </w:r>
      <w:r w:rsidR="00BE7EBC">
        <w:t>Finalmente</w:t>
      </w:r>
      <w:r>
        <w:t xml:space="preserve">, de </w:t>
      </w:r>
      <w:r w:rsidR="00BE7EBC">
        <w:t>todos los</w:t>
      </w:r>
      <w:r>
        <w:t xml:space="preserve"> tipos de ecuanimidad</w:t>
      </w:r>
      <w:r w:rsidR="00BE7EBC">
        <w:t xml:space="preserve"> descritos</w:t>
      </w:r>
      <w:r>
        <w:t>, es la ecuanimidad de</w:t>
      </w:r>
      <w:r w:rsidR="00764D10">
        <w:t>l</w:t>
      </w:r>
      <w:r>
        <w:t xml:space="preserve"> </w:t>
      </w:r>
      <w:proofErr w:type="spellStart"/>
      <w:r w:rsidR="00057BF4" w:rsidRPr="00057BF4">
        <w:rPr>
          <w:i/>
          <w:iCs/>
        </w:rPr>
        <w:t>jhāna</w:t>
      </w:r>
      <w:proofErr w:type="spellEnd"/>
      <w:r>
        <w:t xml:space="preserve"> lo que se pretende </w:t>
      </w:r>
      <w:r w:rsidR="00764D10">
        <w:t xml:space="preserve">exponer </w:t>
      </w:r>
      <w:r>
        <w:t xml:space="preserve">aquí. </w:t>
      </w:r>
      <w:r w:rsidR="00764D10">
        <w:t xml:space="preserve">Éste </w:t>
      </w:r>
      <w:r w:rsidR="00BE7EBC">
        <w:t>tendrá</w:t>
      </w:r>
      <w:r>
        <w:t xml:space="preserve"> la característica de la neutralidad. Su función </w:t>
      </w:r>
      <w:r w:rsidR="00296392">
        <w:t>será</w:t>
      </w:r>
      <w:r>
        <w:t xml:space="preserve"> </w:t>
      </w:r>
      <w:r w:rsidR="00BE4F0E">
        <w:t>la del desinterés</w:t>
      </w:r>
      <w:r>
        <w:t xml:space="preserve">. Se manifiesta como </w:t>
      </w:r>
      <w:r w:rsidR="00C675F2">
        <w:t>indiferencia</w:t>
      </w:r>
      <w:r>
        <w:t xml:space="preserve">. Su causa próxima </w:t>
      </w:r>
      <w:r w:rsidR="00F7330A">
        <w:t xml:space="preserve">será </w:t>
      </w:r>
      <w:r>
        <w:t>el desvanecimiento de la felicidad.</w:t>
      </w:r>
    </w:p>
    <w:p w14:paraId="4B75F8ED" w14:textId="1320403E" w:rsidR="001641D7" w:rsidRDefault="001641D7" w:rsidP="001641D7">
      <w:pPr>
        <w:pStyle w:val="NormalConSangria"/>
      </w:pPr>
      <w:r>
        <w:t xml:space="preserve">Aquí </w:t>
      </w:r>
      <w:r w:rsidR="00F7330A">
        <w:t>podrá</w:t>
      </w:r>
      <w:r>
        <w:t xml:space="preserve"> decirse: ¿no es esto</w:t>
      </w:r>
      <w:r w:rsidR="00C20FE5">
        <w:t>,</w:t>
      </w:r>
      <w:r>
        <w:t xml:space="preserve"> </w:t>
      </w:r>
      <w:r w:rsidR="00C20FE5">
        <w:t xml:space="preserve">en significado, </w:t>
      </w:r>
      <w:r>
        <w:t>simplemente la ecuanimidad como neutralidad específica? Y e</w:t>
      </w:r>
      <w:r w:rsidR="00DB1779">
        <w:t>ll</w:t>
      </w:r>
      <w:r>
        <w:t xml:space="preserve">o existe </w:t>
      </w:r>
      <w:r w:rsidR="00B65769">
        <w:t xml:space="preserve">también </w:t>
      </w:r>
      <w:r>
        <w:t xml:space="preserve">en el primer y segundo </w:t>
      </w:r>
      <w:proofErr w:type="spellStart"/>
      <w:r w:rsidR="00057BF4" w:rsidRPr="00057BF4">
        <w:rPr>
          <w:i/>
          <w:iCs/>
        </w:rPr>
        <w:t>jhāna</w:t>
      </w:r>
      <w:proofErr w:type="spellEnd"/>
      <w:r>
        <w:t xml:space="preserve">; por lo que esta cláusula, "Él </w:t>
      </w:r>
      <w:r w:rsidR="00C91AE5">
        <w:t>habita</w:t>
      </w:r>
      <w:r>
        <w:t xml:space="preserve"> en la ecuanimidad", debe </w:t>
      </w:r>
      <w:r w:rsidR="00C40797">
        <w:t xml:space="preserve">también </w:t>
      </w:r>
      <w:r>
        <w:t xml:space="preserve">ser declarada </w:t>
      </w:r>
      <w:proofErr w:type="gramStart"/>
      <w:r w:rsidR="00DB1779">
        <w:t>en relación a</w:t>
      </w:r>
      <w:proofErr w:type="gramEnd"/>
      <w:r>
        <w:t xml:space="preserve"> </w:t>
      </w:r>
      <w:r w:rsidR="00C40797">
        <w:t xml:space="preserve">esos </w:t>
      </w:r>
      <w:proofErr w:type="spellStart"/>
      <w:r w:rsidR="00C40797">
        <w:rPr>
          <w:i/>
          <w:iCs/>
        </w:rPr>
        <w:t>jhāna</w:t>
      </w:r>
      <w:r w:rsidR="00C40797">
        <w:t>s</w:t>
      </w:r>
      <w:proofErr w:type="spellEnd"/>
      <w:r>
        <w:t>. ¿Por qué no lo es? —[Se puede responder:] Porque su función allí no es evidente ya que está eclipsad</w:t>
      </w:r>
      <w:r w:rsidR="00C40797">
        <w:t>o</w:t>
      </w:r>
      <w:r>
        <w:t xml:space="preserve"> por </w:t>
      </w:r>
      <w:r w:rsidR="00DB7D5B">
        <w:t xml:space="preserve">la aplicación mental </w:t>
      </w:r>
      <w:r>
        <w:t xml:space="preserve">y </w:t>
      </w:r>
      <w:r w:rsidR="000C7FF6">
        <w:t>lo restante</w:t>
      </w:r>
      <w:r>
        <w:t xml:space="preserve">. </w:t>
      </w:r>
      <w:r w:rsidR="000C7FF6">
        <w:t>No obstante, a</w:t>
      </w:r>
      <w:r>
        <w:t xml:space="preserve">parece aquí con una función bastante evidente, con </w:t>
      </w:r>
      <w:r w:rsidR="000C7FF6">
        <w:t>un</w:t>
      </w:r>
      <w:r>
        <w:t>a cabeza erguida, por así decirlo, porque no está eclipsado por l</w:t>
      </w:r>
      <w:r w:rsidR="00DB7D5B">
        <w:t>a</w:t>
      </w:r>
      <w:r>
        <w:t xml:space="preserve"> </w:t>
      </w:r>
      <w:r w:rsidR="00DB7D5B">
        <w:t>aplicación mental,</w:t>
      </w:r>
      <w:r>
        <w:t xml:space="preserve"> l</w:t>
      </w:r>
      <w:r w:rsidR="00DB7D5B">
        <w:t>a</w:t>
      </w:r>
      <w:r>
        <w:t xml:space="preserve"> </w:t>
      </w:r>
      <w:r w:rsidR="00DB7D5B">
        <w:t>sustentación mental</w:t>
      </w:r>
      <w:r>
        <w:t xml:space="preserve"> y la felicidad. Por e</w:t>
      </w:r>
      <w:r w:rsidR="00DB7D5B">
        <w:t>ll</w:t>
      </w:r>
      <w:r>
        <w:t>o se afirma aquí</w:t>
      </w:r>
      <w:r w:rsidR="00B25B25">
        <w:t xml:space="preserve"> de </w:t>
      </w:r>
      <w:r w:rsidR="00DB7D5B">
        <w:t>la</w:t>
      </w:r>
      <w:r w:rsidR="00B25B25">
        <w:t xml:space="preserve"> manera</w:t>
      </w:r>
      <w:r w:rsidR="00DB7D5B">
        <w:t xml:space="preserve"> expuesta</w:t>
      </w:r>
      <w:r>
        <w:t>.</w:t>
      </w:r>
    </w:p>
    <w:p w14:paraId="07DB872D" w14:textId="55FC08BB" w:rsidR="001641D7" w:rsidRDefault="00B25B25" w:rsidP="001641D7">
      <w:pPr>
        <w:pStyle w:val="NormalConSangria"/>
      </w:pPr>
      <w:r>
        <w:t xml:space="preserve">Es así </w:t>
      </w:r>
      <w:r w:rsidR="004009DE">
        <w:t xml:space="preserve">cómo </w:t>
      </w:r>
      <w:r>
        <w:t xml:space="preserve">se completa en todos sus aspectos </w:t>
      </w:r>
      <w:r w:rsidR="004009DE">
        <w:t>e</w:t>
      </w:r>
      <w:r w:rsidR="001641D7">
        <w:t>l comentario sobre el significado de la cláusula “Él habita en la ecuanimidad”.</w:t>
      </w:r>
    </w:p>
    <w:p w14:paraId="0BDD6C1E" w14:textId="5E2A71C4" w:rsidR="001641D7" w:rsidRDefault="001641D7" w:rsidP="001641D7">
      <w:r>
        <w:t xml:space="preserve">172. </w:t>
      </w:r>
      <w:r>
        <w:tab/>
        <w:t>Ahora</w:t>
      </w:r>
      <w:r w:rsidR="00BA18AC">
        <w:t xml:space="preserve"> bien</w:t>
      </w:r>
      <w:r>
        <w:t xml:space="preserve">, en cuanto a </w:t>
      </w:r>
      <w:r w:rsidRPr="0085648B">
        <w:rPr>
          <w:i/>
          <w:iCs/>
        </w:rPr>
        <w:t>atento y plenamente consciente</w:t>
      </w:r>
      <w:r>
        <w:t>: aquí, él recuerda (</w:t>
      </w:r>
      <w:proofErr w:type="spellStart"/>
      <w:r w:rsidRPr="003912E5">
        <w:rPr>
          <w:i/>
          <w:iCs/>
        </w:rPr>
        <w:t>sarati</w:t>
      </w:r>
      <w:proofErr w:type="spellEnd"/>
      <w:r>
        <w:t xml:space="preserve">), por lo </w:t>
      </w:r>
      <w:r w:rsidR="0082244D">
        <w:t>tanto,</w:t>
      </w:r>
      <w:r>
        <w:t xml:space="preserve"> está atento (</w:t>
      </w:r>
      <w:r w:rsidRPr="00E81AAA">
        <w:rPr>
          <w:i/>
          <w:iCs/>
        </w:rPr>
        <w:t>sata</w:t>
      </w:r>
      <w:r>
        <w:t xml:space="preserve">). </w:t>
      </w:r>
      <w:r w:rsidR="00A72D81">
        <w:t>Él tendrá</w:t>
      </w:r>
      <w:r>
        <w:t xml:space="preserve"> plena </w:t>
      </w:r>
      <w:r w:rsidR="00305E12">
        <w:t>consciencia</w:t>
      </w:r>
      <w:r>
        <w:t xml:space="preserve"> (</w:t>
      </w:r>
      <w:proofErr w:type="spellStart"/>
      <w:r w:rsidRPr="003912E5">
        <w:rPr>
          <w:i/>
          <w:iCs/>
        </w:rPr>
        <w:t>sampajānāti</w:t>
      </w:r>
      <w:proofErr w:type="spellEnd"/>
      <w:r>
        <w:t xml:space="preserve">), por lo tanto, </w:t>
      </w:r>
      <w:r w:rsidR="00A72D81">
        <w:t xml:space="preserve">será </w:t>
      </w:r>
      <w:r>
        <w:t>plenamente consciente (</w:t>
      </w:r>
      <w:proofErr w:type="spellStart"/>
      <w:r w:rsidRPr="003912E5">
        <w:rPr>
          <w:i/>
          <w:iCs/>
        </w:rPr>
        <w:t>sampajāna</w:t>
      </w:r>
      <w:proofErr w:type="spellEnd"/>
      <w:r>
        <w:t xml:space="preserve">). </w:t>
      </w:r>
      <w:r w:rsidR="00394697">
        <w:t>É</w:t>
      </w:r>
      <w:r>
        <w:t>sta</w:t>
      </w:r>
      <w:r w:rsidR="000B6416">
        <w:t>s</w:t>
      </w:r>
      <w:r>
        <w:t xml:space="preserve"> </w:t>
      </w:r>
      <w:r w:rsidR="00542E8E">
        <w:t>será</w:t>
      </w:r>
      <w:r w:rsidR="000B6416">
        <w:t>n</w:t>
      </w:r>
      <w:r w:rsidR="00542E8E">
        <w:t xml:space="preserve"> </w:t>
      </w:r>
      <w:r>
        <w:t>la con</w:t>
      </w:r>
      <w:r w:rsidR="000B31C2">
        <w:t>s</w:t>
      </w:r>
      <w:r>
        <w:t xml:space="preserve">ciencia </w:t>
      </w:r>
      <w:r w:rsidR="000B31C2">
        <w:t xml:space="preserve">plena </w:t>
      </w:r>
      <w:r w:rsidR="00A72D81">
        <w:t xml:space="preserve">y </w:t>
      </w:r>
      <w:r w:rsidR="000B6416">
        <w:t xml:space="preserve">la </w:t>
      </w:r>
      <w:r w:rsidR="00A72D81">
        <w:t>aten</w:t>
      </w:r>
      <w:r w:rsidR="000B6416">
        <w:t>ción</w:t>
      </w:r>
      <w:r w:rsidR="00A72D81">
        <w:t xml:space="preserve"> </w:t>
      </w:r>
      <w:r>
        <w:t>declarada</w:t>
      </w:r>
      <w:r w:rsidR="000B6416">
        <w:t>s</w:t>
      </w:r>
      <w:r>
        <w:t xml:space="preserve"> como atributo</w:t>
      </w:r>
      <w:r w:rsidR="000B6416">
        <w:t>s</w:t>
      </w:r>
      <w:r>
        <w:t xml:space="preserve"> personales. Aquí, la atención </w:t>
      </w:r>
      <w:r w:rsidR="000B31C2">
        <w:t xml:space="preserve">tendrá </w:t>
      </w:r>
      <w:r>
        <w:t xml:space="preserve">la característica de recordar. Su función </w:t>
      </w:r>
      <w:r w:rsidR="000B31C2">
        <w:t xml:space="preserve">será </w:t>
      </w:r>
      <w:r>
        <w:t>no olvidar. Se manifesta</w:t>
      </w:r>
      <w:r w:rsidR="000B31C2">
        <w:t>rá</w:t>
      </w:r>
      <w:r>
        <w:t xml:space="preserve"> como vigilancia. La </w:t>
      </w:r>
      <w:r w:rsidR="000B31C2">
        <w:t xml:space="preserve">consciencia </w:t>
      </w:r>
      <w:r>
        <w:t xml:space="preserve">plena </w:t>
      </w:r>
      <w:r w:rsidR="000B31C2">
        <w:t xml:space="preserve">tendrá </w:t>
      </w:r>
      <w:r>
        <w:t xml:space="preserve">la característica de la no confusión. Su función </w:t>
      </w:r>
      <w:r w:rsidR="000B31C2">
        <w:t xml:space="preserve">será </w:t>
      </w:r>
      <w:r>
        <w:t>investigar (juzgar). Se manifesta</w:t>
      </w:r>
      <w:r w:rsidR="000B31C2">
        <w:t>rá</w:t>
      </w:r>
      <w:r>
        <w:t xml:space="preserve"> como escrutinio.</w:t>
      </w:r>
    </w:p>
    <w:p w14:paraId="4889792A" w14:textId="5438A789" w:rsidR="001641D7" w:rsidRDefault="001641D7" w:rsidP="001641D7">
      <w:r>
        <w:t xml:space="preserve">173. </w:t>
      </w:r>
      <w:r>
        <w:tab/>
        <w:t xml:space="preserve">Aquí, aunque esta atención y esta </w:t>
      </w:r>
      <w:r w:rsidR="00305E12">
        <w:t>consciencia</w:t>
      </w:r>
      <w:r>
        <w:t xml:space="preserve"> </w:t>
      </w:r>
      <w:r w:rsidR="0003473B">
        <w:t xml:space="preserve">plena </w:t>
      </w:r>
      <w:r>
        <w:t xml:space="preserve">también existen en los </w:t>
      </w:r>
      <w:proofErr w:type="spellStart"/>
      <w:r w:rsidR="00057BF4" w:rsidRPr="00057BF4">
        <w:rPr>
          <w:i/>
          <w:iCs/>
        </w:rPr>
        <w:t>jhāna</w:t>
      </w:r>
      <w:r w:rsidRPr="003912E5">
        <w:rPr>
          <w:i/>
          <w:iCs/>
        </w:rPr>
        <w:t>s</w:t>
      </w:r>
      <w:proofErr w:type="spellEnd"/>
      <w:r>
        <w:t xml:space="preserve"> anteriores, porque alguien que </w:t>
      </w:r>
      <w:r w:rsidR="00C70E5E">
        <w:t>sea</w:t>
      </w:r>
      <w:r>
        <w:t xml:space="preserve"> olvidadizo y no </w:t>
      </w:r>
      <w:r w:rsidR="00C70E5E">
        <w:t>sea</w:t>
      </w:r>
      <w:r>
        <w:t xml:space="preserve"> completamente consciente no </w:t>
      </w:r>
      <w:r w:rsidR="00C70E5E">
        <w:t>consumará</w:t>
      </w:r>
      <w:r>
        <w:t xml:space="preserve"> ni siquiera el acceso, y mucho menos la absorción, sin embargo, debido a la [comparativa] </w:t>
      </w:r>
      <w:r w:rsidR="00C70E5E">
        <w:t xml:space="preserve">densidad </w:t>
      </w:r>
      <w:r>
        <w:t xml:space="preserve">de esos </w:t>
      </w:r>
      <w:proofErr w:type="spellStart"/>
      <w:r w:rsidR="00057BF4" w:rsidRPr="00057BF4">
        <w:rPr>
          <w:i/>
          <w:iCs/>
        </w:rPr>
        <w:t>jhāna</w:t>
      </w:r>
      <w:r w:rsidRPr="003912E5">
        <w:rPr>
          <w:i/>
          <w:iCs/>
        </w:rPr>
        <w:t>s</w:t>
      </w:r>
      <w:proofErr w:type="spellEnd"/>
      <w:r>
        <w:t xml:space="preserve">, la marcha de la mente </w:t>
      </w:r>
      <w:r w:rsidR="00C70E5E">
        <w:t xml:space="preserve">será </w:t>
      </w:r>
      <w:r>
        <w:t>fácil [allí], como la de un hombre en un terreno [llano], y así las funciones de la atención y la con</w:t>
      </w:r>
      <w:r w:rsidR="00EA76B9">
        <w:t>s</w:t>
      </w:r>
      <w:r>
        <w:t xml:space="preserve">ciencia </w:t>
      </w:r>
      <w:r w:rsidR="00AF0E3B">
        <w:t xml:space="preserve">plena </w:t>
      </w:r>
      <w:r>
        <w:t xml:space="preserve">no </w:t>
      </w:r>
      <w:r w:rsidR="00AF0E3B">
        <w:t xml:space="preserve">serán </w:t>
      </w:r>
      <w:r>
        <w:t xml:space="preserve">evidentes en ellos. [163] </w:t>
      </w:r>
      <w:r w:rsidR="00EA76B9">
        <w:t xml:space="preserve">No obstante, </w:t>
      </w:r>
      <w:r>
        <w:t xml:space="preserve">solo se afirma aquí porque la sutileza de este </w:t>
      </w:r>
      <w:proofErr w:type="spellStart"/>
      <w:r w:rsidR="00057BF4" w:rsidRPr="00057BF4">
        <w:rPr>
          <w:i/>
          <w:iCs/>
        </w:rPr>
        <w:t>jhāna</w:t>
      </w:r>
      <w:proofErr w:type="spellEnd"/>
      <w:r>
        <w:t xml:space="preserve">, que se debe al abandono de los factores densos, requiere que la marcha de la mente siempre incluya las funciones de </w:t>
      </w:r>
      <w:r w:rsidR="00AF0E3B">
        <w:t xml:space="preserve">la </w:t>
      </w:r>
      <w:r>
        <w:t xml:space="preserve">atención y </w:t>
      </w:r>
      <w:r w:rsidR="00AF0E3B">
        <w:t xml:space="preserve">la </w:t>
      </w:r>
      <w:r>
        <w:t>con</w:t>
      </w:r>
      <w:r w:rsidR="00865B17">
        <w:t>s</w:t>
      </w:r>
      <w:r>
        <w:t>ciencia</w:t>
      </w:r>
      <w:r w:rsidR="00AF0E3B" w:rsidRPr="00AF0E3B">
        <w:t xml:space="preserve"> </w:t>
      </w:r>
      <w:r w:rsidR="00AF0E3B">
        <w:t>plena</w:t>
      </w:r>
      <w:r>
        <w:t xml:space="preserve">, como la </w:t>
      </w:r>
      <w:r w:rsidR="00865B17">
        <w:t xml:space="preserve">consciencia </w:t>
      </w:r>
      <w:r>
        <w:t xml:space="preserve">de un hombre </w:t>
      </w:r>
      <w:r w:rsidR="000B6592">
        <w:t>respecto al filo de</w:t>
      </w:r>
      <w:r>
        <w:t xml:space="preserve"> una navaja de afeitar.</w:t>
      </w:r>
    </w:p>
    <w:p w14:paraId="67FE7255" w14:textId="2E5BF37D" w:rsidR="006A2CFB" w:rsidRDefault="001641D7" w:rsidP="001641D7">
      <w:r>
        <w:t xml:space="preserve">174. </w:t>
      </w:r>
      <w:r>
        <w:tab/>
      </w:r>
      <w:r w:rsidR="00AE246A">
        <w:t xml:space="preserve">Es </w:t>
      </w:r>
      <w:r>
        <w:t>más, así como un ternero que sig</w:t>
      </w:r>
      <w:r w:rsidR="007E7D54">
        <w:t>a</w:t>
      </w:r>
      <w:r>
        <w:t xml:space="preserve"> a una vaca regresa</w:t>
      </w:r>
      <w:r w:rsidR="007E7D54">
        <w:t xml:space="preserve">rá </w:t>
      </w:r>
      <w:r>
        <w:t xml:space="preserve">a la vaca cuando se le </w:t>
      </w:r>
      <w:r w:rsidR="00E6754E">
        <w:t>deje libre</w:t>
      </w:r>
      <w:r>
        <w:t xml:space="preserve"> </w:t>
      </w:r>
      <w:r w:rsidR="00E6754E">
        <w:t xml:space="preserve">y </w:t>
      </w:r>
      <w:r>
        <w:t xml:space="preserve">no se le </w:t>
      </w:r>
      <w:r w:rsidR="00E6754E">
        <w:t>restrinja su andar</w:t>
      </w:r>
      <w:r>
        <w:t xml:space="preserve">, así también, cuando este tercer </w:t>
      </w:r>
      <w:proofErr w:type="spellStart"/>
      <w:r w:rsidR="00057BF4" w:rsidRPr="00057BF4">
        <w:rPr>
          <w:i/>
          <w:iCs/>
        </w:rPr>
        <w:t>jhāna</w:t>
      </w:r>
      <w:proofErr w:type="spellEnd"/>
      <w:r>
        <w:t xml:space="preserve"> </w:t>
      </w:r>
      <w:r w:rsidR="007E7D54">
        <w:t xml:space="preserve">se encuentre </w:t>
      </w:r>
      <w:r>
        <w:t>alejado de la felicidad, regresar</w:t>
      </w:r>
      <w:r w:rsidR="007E7D54">
        <w:t>á</w:t>
      </w:r>
      <w:r>
        <w:t xml:space="preserve"> a la felicidad si no se lo impid</w:t>
      </w:r>
      <w:r w:rsidR="007E7D54">
        <w:t>iese</w:t>
      </w:r>
      <w:r>
        <w:t xml:space="preserve"> la atención y la con</w:t>
      </w:r>
      <w:r w:rsidR="00E6754E">
        <w:t>s</w:t>
      </w:r>
      <w:r>
        <w:t>ciencia</w:t>
      </w:r>
      <w:r w:rsidR="007E7D54" w:rsidRPr="007E7D54">
        <w:t xml:space="preserve"> </w:t>
      </w:r>
      <w:r w:rsidR="007E7D54">
        <w:t>plena</w:t>
      </w:r>
      <w:r>
        <w:t>, y volvería a unirse a la felicidad. Y</w:t>
      </w:r>
      <w:r w:rsidR="007E7D54">
        <w:t>,</w:t>
      </w:r>
      <w:r>
        <w:t xml:space="preserve"> además, los seres </w:t>
      </w:r>
      <w:r w:rsidR="007E7D54">
        <w:t>andan</w:t>
      </w:r>
      <w:r>
        <w:t xml:space="preserve"> ávidos de dicha, y este tipo de dicha es sumamente dulce ya que no </w:t>
      </w:r>
      <w:r w:rsidR="007E7D54">
        <w:t>existe</w:t>
      </w:r>
      <w:r>
        <w:t xml:space="preserve"> ninguna mayor. </w:t>
      </w:r>
      <w:r w:rsidR="00E24080">
        <w:t xml:space="preserve">No obstante, </w:t>
      </w:r>
      <w:r>
        <w:t>aquí no ha</w:t>
      </w:r>
      <w:r w:rsidR="007E7D54">
        <w:t>brá</w:t>
      </w:r>
      <w:r>
        <w:t xml:space="preserve"> codicia por la dicha debido a la influencia de la atención y la con</w:t>
      </w:r>
      <w:r w:rsidR="00E24080">
        <w:t>s</w:t>
      </w:r>
      <w:r>
        <w:t>ciencia</w:t>
      </w:r>
      <w:r w:rsidR="007E7D54" w:rsidRPr="007E7D54">
        <w:t xml:space="preserve"> </w:t>
      </w:r>
      <w:r w:rsidR="007E7D54">
        <w:t>plena</w:t>
      </w:r>
      <w:r>
        <w:t xml:space="preserve"> </w:t>
      </w:r>
      <w:r w:rsidR="009A0B71">
        <w:t xml:space="preserve">y </w:t>
      </w:r>
      <w:r>
        <w:t xml:space="preserve">no por ninguna otra razón. Y así </w:t>
      </w:r>
      <w:r w:rsidR="00112BBA">
        <w:t xml:space="preserve">también </w:t>
      </w:r>
      <w:r>
        <w:t xml:space="preserve">debe entenderse que </w:t>
      </w:r>
      <w:r w:rsidR="00632BE9">
        <w:t xml:space="preserve">lo que aquí </w:t>
      </w:r>
      <w:r>
        <w:t xml:space="preserve">se establece </w:t>
      </w:r>
      <w:r w:rsidR="00632BE9">
        <w:t xml:space="preserve">tiene por objeto </w:t>
      </w:r>
      <w:r>
        <w:t xml:space="preserve">enfatizar </w:t>
      </w:r>
      <w:r w:rsidR="00350433">
        <w:t xml:space="preserve">también </w:t>
      </w:r>
      <w:r>
        <w:t>este significado.</w:t>
      </w:r>
    </w:p>
    <w:p w14:paraId="241E0367" w14:textId="2E755C36" w:rsidR="001641D7" w:rsidRDefault="001641D7">
      <w:pPr>
        <w:tabs>
          <w:tab w:val="clear" w:pos="425"/>
        </w:tabs>
        <w:spacing w:after="160"/>
      </w:pPr>
      <w:r>
        <w:br w:type="page"/>
      </w:r>
    </w:p>
    <w:p w14:paraId="675F5CA1" w14:textId="77777777" w:rsidR="001641D7" w:rsidRDefault="001641D7" w:rsidP="001641D7"/>
    <w:p w14:paraId="19944465" w14:textId="105EE855" w:rsidR="0055169D" w:rsidRDefault="0055169D" w:rsidP="0055169D">
      <w:r>
        <w:t xml:space="preserve">175. </w:t>
      </w:r>
      <w:r>
        <w:tab/>
        <w:t>Ahora</w:t>
      </w:r>
      <w:r w:rsidR="00FA3F69">
        <w:t xml:space="preserve"> bien</w:t>
      </w:r>
      <w:r>
        <w:t xml:space="preserve">, en cuanto a la cláusula </w:t>
      </w:r>
      <w:r w:rsidRPr="0085648B">
        <w:rPr>
          <w:i/>
          <w:iCs/>
        </w:rPr>
        <w:t xml:space="preserve">él siente </w:t>
      </w:r>
      <w:r w:rsidR="00FA3F69">
        <w:rPr>
          <w:i/>
          <w:iCs/>
        </w:rPr>
        <w:t>dicha</w:t>
      </w:r>
      <w:r w:rsidRPr="0085648B">
        <w:rPr>
          <w:i/>
          <w:iCs/>
        </w:rPr>
        <w:t xml:space="preserve"> con su cuerpo</w:t>
      </w:r>
      <w:r>
        <w:t xml:space="preserve">: aquí, aunque en </w:t>
      </w:r>
      <w:r w:rsidR="00FA3F69">
        <w:t>alguien</w:t>
      </w:r>
      <w:r>
        <w:t xml:space="preserve"> que realmente pose</w:t>
      </w:r>
      <w:r w:rsidR="00FA3F69">
        <w:t>a</w:t>
      </w:r>
      <w:r>
        <w:t xml:space="preserve"> el tercer </w:t>
      </w:r>
      <w:proofErr w:type="spellStart"/>
      <w:r w:rsidR="00057BF4" w:rsidRPr="00057BF4">
        <w:rPr>
          <w:i/>
          <w:iCs/>
        </w:rPr>
        <w:t>jhāna</w:t>
      </w:r>
      <w:proofErr w:type="spellEnd"/>
      <w:r>
        <w:t xml:space="preserve"> no ha</w:t>
      </w:r>
      <w:r w:rsidR="00FA3F69">
        <w:t>brá</w:t>
      </w:r>
      <w:r>
        <w:t xml:space="preserve"> preocupación por sentir </w:t>
      </w:r>
      <w:r w:rsidR="00FA3F69">
        <w:t>dicha</w:t>
      </w:r>
      <w:r>
        <w:t>, sin embargo sentir</w:t>
      </w:r>
      <w:r w:rsidR="00FA3F69">
        <w:t>á</w:t>
      </w:r>
      <w:r>
        <w:t xml:space="preserve"> la </w:t>
      </w:r>
      <w:r w:rsidR="00FA3F69">
        <w:t xml:space="preserve">dicha </w:t>
      </w:r>
      <w:r>
        <w:t xml:space="preserve">asociada con su cuerpo mental, y después de emerger del </w:t>
      </w:r>
      <w:proofErr w:type="spellStart"/>
      <w:r w:rsidR="00057BF4" w:rsidRPr="00057BF4">
        <w:rPr>
          <w:i/>
          <w:iCs/>
        </w:rPr>
        <w:t>jhāna</w:t>
      </w:r>
      <w:proofErr w:type="spellEnd"/>
      <w:r>
        <w:t xml:space="preserve"> también sentir</w:t>
      </w:r>
      <w:r w:rsidR="00FA3F69">
        <w:t>á</w:t>
      </w:r>
      <w:r>
        <w:t xml:space="preserve"> </w:t>
      </w:r>
      <w:r w:rsidR="00FA3F69">
        <w:t xml:space="preserve">dicha </w:t>
      </w:r>
      <w:r>
        <w:t>ya que su cuerpo material habr</w:t>
      </w:r>
      <w:r w:rsidR="007C365B">
        <w:t>á</w:t>
      </w:r>
      <w:r>
        <w:t xml:space="preserve"> sido afectado por la materia sumamente superior originada por esa </w:t>
      </w:r>
      <w:r w:rsidR="007C365B">
        <w:t xml:space="preserve">dicha </w:t>
      </w:r>
      <w:r>
        <w:t>asociada con el cuerpo mental.</w:t>
      </w:r>
      <w:r w:rsidR="000463AF">
        <w:rPr>
          <w:vertAlign w:val="superscript"/>
        </w:rPr>
        <w:t>48</w:t>
      </w:r>
      <w:r>
        <w:t xml:space="preserve"> Es para </w:t>
      </w:r>
      <w:r w:rsidR="005B1B18">
        <w:t>exponer</w:t>
      </w:r>
      <w:r>
        <w:t xml:space="preserve"> este significado que se </w:t>
      </w:r>
      <w:r w:rsidR="00EA78EC">
        <w:t>mencionan</w:t>
      </w:r>
      <w:r w:rsidR="005B1B18">
        <w:t xml:space="preserve"> </w:t>
      </w:r>
      <w:r>
        <w:t xml:space="preserve">las palabras “él siente </w:t>
      </w:r>
      <w:r w:rsidR="005B1B18">
        <w:t>dicha</w:t>
      </w:r>
      <w:r>
        <w:t xml:space="preserve"> con su cuerpo”.</w:t>
      </w:r>
    </w:p>
    <w:p w14:paraId="68108884" w14:textId="3759FA55" w:rsidR="0055169D" w:rsidRDefault="0055169D" w:rsidP="0055169D">
      <w:r>
        <w:t xml:space="preserve">176. </w:t>
      </w:r>
      <w:r>
        <w:tab/>
        <w:t>Ahora</w:t>
      </w:r>
      <w:r w:rsidR="005B1B18">
        <w:t xml:space="preserve"> bien</w:t>
      </w:r>
      <w:r>
        <w:t xml:space="preserve">, en cuanto a la cláusula, que... a causa de la cual los Nobles anuncian: </w:t>
      </w:r>
      <w:r w:rsidR="00F40400">
        <w:t>lo que se pretende decir es que a</w:t>
      </w:r>
      <w:r>
        <w:t>quel que ten</w:t>
      </w:r>
      <w:r w:rsidR="00F40400">
        <w:t>ga</w:t>
      </w:r>
      <w:r>
        <w:t xml:space="preserve"> ecuanimidad y </w:t>
      </w:r>
      <w:r w:rsidR="00F40400">
        <w:t>sea</w:t>
      </w:r>
      <w:r>
        <w:t xml:space="preserve"> consciente </w:t>
      </w:r>
      <w:r w:rsidR="00F40400">
        <w:t>habitará</w:t>
      </w:r>
      <w:r>
        <w:t xml:space="preserve"> en </w:t>
      </w:r>
      <w:r w:rsidR="00F40400">
        <w:t>la dicha</w:t>
      </w:r>
      <w:r>
        <w:t xml:space="preserve">: aquí está el </w:t>
      </w:r>
      <w:proofErr w:type="spellStart"/>
      <w:r w:rsidR="00057BF4" w:rsidRPr="00057BF4">
        <w:rPr>
          <w:i/>
          <w:iCs/>
        </w:rPr>
        <w:t>jhāna</w:t>
      </w:r>
      <w:proofErr w:type="spellEnd"/>
      <w:r>
        <w:t xml:space="preserve">, </w:t>
      </w:r>
      <w:r w:rsidR="00CF0247">
        <w:t>como consecuencia</w:t>
      </w:r>
      <w:r>
        <w:t xml:space="preserve"> del </w:t>
      </w:r>
      <w:r w:rsidR="00F74A5C">
        <w:t>cual,</w:t>
      </w:r>
      <w:r>
        <w:t xml:space="preserve"> como causa, </w:t>
      </w:r>
      <w:r w:rsidR="00C2569B">
        <w:t xml:space="preserve">a cuenta del cual </w:t>
      </w:r>
      <w:r>
        <w:t>como razón, los Nobles, es decir, los Iluminados, etc., “anuncian, enseñan, declaran, establecen, revelan, exponen, explican, aclaran” (</w:t>
      </w:r>
      <w:proofErr w:type="spellStart"/>
      <w:r>
        <w:t>Vibh</w:t>
      </w:r>
      <w:proofErr w:type="spellEnd"/>
      <w:r>
        <w:t xml:space="preserve"> 259) </w:t>
      </w:r>
      <w:r w:rsidR="00CF0247">
        <w:t xml:space="preserve">a </w:t>
      </w:r>
      <w:r>
        <w:t>aquella persona que pose</w:t>
      </w:r>
      <w:r w:rsidR="00F40400">
        <w:t>a</w:t>
      </w:r>
      <w:r>
        <w:t xml:space="preserve"> el tercer </w:t>
      </w:r>
      <w:proofErr w:type="spellStart"/>
      <w:r w:rsidR="00057BF4" w:rsidRPr="00057BF4">
        <w:rPr>
          <w:i/>
          <w:iCs/>
        </w:rPr>
        <w:t>jhāna</w:t>
      </w:r>
      <w:proofErr w:type="spellEnd"/>
      <w:r>
        <w:t>—</w:t>
      </w:r>
      <w:r w:rsidR="00F40400">
        <w:t xml:space="preserve"> </w:t>
      </w:r>
      <w:r>
        <w:t>ellos alaban,</w:t>
      </w:r>
      <w:r w:rsidR="006808C3">
        <w:t xml:space="preserve"> </w:t>
      </w:r>
      <w:r>
        <w:t>¿Por qué? Porque “aquel que ten</w:t>
      </w:r>
      <w:r w:rsidR="006808C3">
        <w:t>ga</w:t>
      </w:r>
      <w:r>
        <w:t xml:space="preserve"> ecuanimidad y </w:t>
      </w:r>
      <w:r w:rsidR="006808C3">
        <w:t xml:space="preserve">sea </w:t>
      </w:r>
      <w:r>
        <w:t xml:space="preserve">consciente, </w:t>
      </w:r>
      <w:r w:rsidR="006808C3">
        <w:t>habitará en la dicha</w:t>
      </w:r>
      <w:r>
        <w:t>. Él entra</w:t>
      </w:r>
      <w:r w:rsidR="006808C3">
        <w:t>rá</w:t>
      </w:r>
      <w:r>
        <w:t xml:space="preserve"> y </w:t>
      </w:r>
      <w:r w:rsidR="006808C3">
        <w:t xml:space="preserve">habitará </w:t>
      </w:r>
      <w:r>
        <w:t xml:space="preserve">en ese tercer </w:t>
      </w:r>
      <w:proofErr w:type="spellStart"/>
      <w:r w:rsidR="00057BF4" w:rsidRPr="00057BF4">
        <w:rPr>
          <w:i/>
          <w:iCs/>
        </w:rPr>
        <w:t>jhāna</w:t>
      </w:r>
      <w:proofErr w:type="spellEnd"/>
      <w:r>
        <w:t>” (</w:t>
      </w:r>
      <w:proofErr w:type="spellStart"/>
      <w:r w:rsidRPr="003912E5">
        <w:rPr>
          <w:i/>
          <w:iCs/>
        </w:rPr>
        <w:t>ta</w:t>
      </w:r>
      <w:r w:rsidR="003912E5" w:rsidRPr="003912E5">
        <w:rPr>
          <w:i/>
          <w:iCs/>
        </w:rPr>
        <w:t>ṃ</w:t>
      </w:r>
      <w:proofErr w:type="spellEnd"/>
      <w:r w:rsidRPr="003912E5">
        <w:rPr>
          <w:i/>
          <w:iCs/>
        </w:rPr>
        <w:t xml:space="preserve">… </w:t>
      </w:r>
      <w:proofErr w:type="spellStart"/>
      <w:r w:rsidRPr="003912E5">
        <w:rPr>
          <w:i/>
          <w:iCs/>
        </w:rPr>
        <w:t>tatiyaṃ</w:t>
      </w:r>
      <w:proofErr w:type="spellEnd"/>
      <w:r w:rsidRPr="003912E5">
        <w:rPr>
          <w:i/>
          <w:iCs/>
        </w:rPr>
        <w:t xml:space="preserve"> </w:t>
      </w:r>
      <w:proofErr w:type="spellStart"/>
      <w:r w:rsidR="00057BF4" w:rsidRPr="00057BF4">
        <w:rPr>
          <w:i/>
          <w:iCs/>
        </w:rPr>
        <w:t>jhāna</w:t>
      </w:r>
      <w:r w:rsidRPr="003912E5">
        <w:rPr>
          <w:i/>
          <w:iCs/>
        </w:rPr>
        <w:t>ṃ</w:t>
      </w:r>
      <w:proofErr w:type="spellEnd"/>
      <w:r w:rsidRPr="003912E5">
        <w:rPr>
          <w:i/>
          <w:iCs/>
        </w:rPr>
        <w:t xml:space="preserve"> </w:t>
      </w:r>
      <w:proofErr w:type="spellStart"/>
      <w:r w:rsidRPr="003912E5">
        <w:rPr>
          <w:i/>
          <w:iCs/>
        </w:rPr>
        <w:t>upasampajja</w:t>
      </w:r>
      <w:proofErr w:type="spellEnd"/>
      <w:r w:rsidRPr="003912E5">
        <w:rPr>
          <w:i/>
          <w:iCs/>
        </w:rPr>
        <w:t xml:space="preserve"> </w:t>
      </w:r>
      <w:proofErr w:type="spellStart"/>
      <w:r w:rsidRPr="003912E5">
        <w:rPr>
          <w:i/>
          <w:iCs/>
        </w:rPr>
        <w:t>viharati</w:t>
      </w:r>
      <w:proofErr w:type="spellEnd"/>
      <w:r>
        <w:t xml:space="preserve">) es </w:t>
      </w:r>
      <w:r w:rsidR="006808C3">
        <w:t xml:space="preserve">así </w:t>
      </w:r>
      <w:r>
        <w:t xml:space="preserve">cómo debe entenderse la </w:t>
      </w:r>
      <w:r w:rsidR="00CF0247">
        <w:t>interpretación</w:t>
      </w:r>
      <w:r>
        <w:t xml:space="preserve"> aquí. Pero ¿por qué lo alaban así? Porque es digno de alabanza.</w:t>
      </w:r>
    </w:p>
    <w:p w14:paraId="5D522823" w14:textId="3C0E83F1" w:rsidR="0055169D" w:rsidRDefault="0055169D" w:rsidP="0055169D">
      <w:r>
        <w:t xml:space="preserve">177. </w:t>
      </w:r>
      <w:r>
        <w:tab/>
      </w:r>
      <w:r w:rsidR="005A3778">
        <w:t>Es debido a est</w:t>
      </w:r>
      <w:r w:rsidR="003F69B5">
        <w:t>o</w:t>
      </w:r>
      <w:r w:rsidR="005A3778">
        <w:t xml:space="preserve"> que</w:t>
      </w:r>
      <w:r>
        <w:t xml:space="preserve"> este hombre </w:t>
      </w:r>
      <w:r w:rsidR="009163C1">
        <w:t xml:space="preserve">será </w:t>
      </w:r>
      <w:r>
        <w:t xml:space="preserve">digno de elogio ya que </w:t>
      </w:r>
      <w:r w:rsidR="009163C1">
        <w:t xml:space="preserve">tendrá </w:t>
      </w:r>
      <w:r>
        <w:t xml:space="preserve">ecuanimidad hacia el tercer </w:t>
      </w:r>
      <w:proofErr w:type="spellStart"/>
      <w:r w:rsidR="00057BF4" w:rsidRPr="00057BF4">
        <w:rPr>
          <w:i/>
          <w:iCs/>
        </w:rPr>
        <w:t>jhāna</w:t>
      </w:r>
      <w:proofErr w:type="spellEnd"/>
      <w:r>
        <w:t xml:space="preserve">, aunque </w:t>
      </w:r>
      <w:r w:rsidR="008D2EAD">
        <w:t>ést</w:t>
      </w:r>
      <w:r w:rsidR="003B66E4">
        <w:t>e</w:t>
      </w:r>
      <w:r w:rsidR="008D2EAD">
        <w:t xml:space="preserve"> </w:t>
      </w:r>
      <w:r>
        <w:t>pose</w:t>
      </w:r>
      <w:r w:rsidR="008D2EAD">
        <w:t>a</w:t>
      </w:r>
      <w:r>
        <w:t xml:space="preserve"> una dicha sumamente dulce y ha</w:t>
      </w:r>
      <w:r w:rsidR="008D2EAD">
        <w:t>ya</w:t>
      </w:r>
      <w:r>
        <w:t xml:space="preserve"> alcanzado la perfección de la dicha, y no se sent</w:t>
      </w:r>
      <w:r w:rsidR="003B66E4">
        <w:t>irá</w:t>
      </w:r>
      <w:r>
        <w:t xml:space="preserve"> atraído hacia </w:t>
      </w:r>
      <w:r w:rsidR="003B66E4">
        <w:t xml:space="preserve">él </w:t>
      </w:r>
      <w:r>
        <w:t xml:space="preserve">por </w:t>
      </w:r>
      <w:r w:rsidR="00307752">
        <w:t xml:space="preserve">afición </w:t>
      </w:r>
      <w:r w:rsidR="005A3778">
        <w:t>a</w:t>
      </w:r>
      <w:r>
        <w:t xml:space="preserve"> </w:t>
      </w:r>
      <w:r w:rsidR="003F69B5">
        <w:t xml:space="preserve">tal </w:t>
      </w:r>
      <w:r>
        <w:t xml:space="preserve">dicha, y </w:t>
      </w:r>
      <w:r w:rsidR="003B66E4">
        <w:t xml:space="preserve">será </w:t>
      </w:r>
      <w:r>
        <w:t xml:space="preserve">atento con la atención establecida para prevenir el surgimiento de la felicidad, y </w:t>
      </w:r>
      <w:r w:rsidR="003B66E4">
        <w:t xml:space="preserve">sentirá </w:t>
      </w:r>
      <w:r>
        <w:t xml:space="preserve">con su cuerpo mental la </w:t>
      </w:r>
      <w:r w:rsidR="003F69B5">
        <w:t xml:space="preserve">dicha </w:t>
      </w:r>
      <w:r>
        <w:t xml:space="preserve">inmaculada </w:t>
      </w:r>
      <w:r w:rsidR="003B66E4">
        <w:t xml:space="preserve">estimada </w:t>
      </w:r>
      <w:r>
        <w:t xml:space="preserve">por los Nobles, cultivada por los Nobles. Debido a que </w:t>
      </w:r>
      <w:r w:rsidR="003B66E4">
        <w:t xml:space="preserve">será así </w:t>
      </w:r>
      <w:r>
        <w:t xml:space="preserve">digno de alabanza, debe entenderse que los Nobles lo </w:t>
      </w:r>
      <w:r w:rsidR="003B66E4">
        <w:t xml:space="preserve">elogian </w:t>
      </w:r>
      <w:r>
        <w:t>con las palabras: "El que ten</w:t>
      </w:r>
      <w:r w:rsidR="00300F2F">
        <w:t>ga</w:t>
      </w:r>
      <w:r>
        <w:t xml:space="preserve"> ecuanimidad y </w:t>
      </w:r>
      <w:r w:rsidR="00300F2F">
        <w:t>sea</w:t>
      </w:r>
      <w:r>
        <w:t xml:space="preserve"> atento </w:t>
      </w:r>
      <w:r w:rsidR="00260151">
        <w:t>habitará</w:t>
      </w:r>
      <w:r>
        <w:t xml:space="preserve"> en </w:t>
      </w:r>
      <w:r w:rsidR="00260151">
        <w:t>la dicha</w:t>
      </w:r>
      <w:r>
        <w:t xml:space="preserve">", declarando así las cualidades especiales que son dignas de </w:t>
      </w:r>
      <w:r w:rsidR="00366600">
        <w:t>elogios</w:t>
      </w:r>
      <w:r>
        <w:t>.</w:t>
      </w:r>
    </w:p>
    <w:p w14:paraId="33DAAE0B" w14:textId="67D762E5" w:rsidR="0055169D" w:rsidRDefault="0091751A" w:rsidP="0055169D">
      <w:r>
        <w:tab/>
      </w:r>
      <w:r w:rsidR="0055169D">
        <w:t xml:space="preserve">[164] </w:t>
      </w:r>
      <w:r w:rsidR="0055169D" w:rsidRPr="00260151">
        <w:rPr>
          <w:i/>
          <w:iCs/>
        </w:rPr>
        <w:t>Tercer</w:t>
      </w:r>
      <w:r w:rsidR="0055169D">
        <w:t>: es el tercero e</w:t>
      </w:r>
      <w:r w:rsidR="00592EAB">
        <w:t>n</w:t>
      </w:r>
      <w:r w:rsidR="0055169D">
        <w:t xml:space="preserve"> la serie numérica</w:t>
      </w:r>
      <w:r w:rsidR="001A4EC2">
        <w:t xml:space="preserve"> de todos los </w:t>
      </w:r>
      <w:proofErr w:type="spellStart"/>
      <w:r w:rsidR="001A4EC2" w:rsidRPr="001A4EC2">
        <w:rPr>
          <w:i/>
          <w:iCs/>
        </w:rPr>
        <w:t>jhāna</w:t>
      </w:r>
      <w:r w:rsidR="00985ED0">
        <w:t>s</w:t>
      </w:r>
      <w:proofErr w:type="spellEnd"/>
      <w:r w:rsidR="0055169D">
        <w:t xml:space="preserve">; y </w:t>
      </w:r>
      <w:r w:rsidR="00985ED0">
        <w:t xml:space="preserve">también </w:t>
      </w:r>
      <w:r w:rsidR="0055169D">
        <w:t xml:space="preserve">es tercero porque </w:t>
      </w:r>
      <w:r w:rsidR="00A6398D">
        <w:t xml:space="preserve">se </w:t>
      </w:r>
      <w:r w:rsidR="00CE712D">
        <w:t>entra</w:t>
      </w:r>
      <w:r w:rsidR="0055169D">
        <w:t xml:space="preserve"> </w:t>
      </w:r>
      <w:r w:rsidR="00450DA8">
        <w:t>e</w:t>
      </w:r>
      <w:r w:rsidR="00CE712D">
        <w:t>n</w:t>
      </w:r>
      <w:r w:rsidR="00450DA8">
        <w:t xml:space="preserve"> </w:t>
      </w:r>
      <w:r w:rsidR="00985ED0">
        <w:t xml:space="preserve">este </w:t>
      </w:r>
      <w:proofErr w:type="spellStart"/>
      <w:r w:rsidR="00985ED0">
        <w:rPr>
          <w:i/>
          <w:iCs/>
        </w:rPr>
        <w:t>jhāna</w:t>
      </w:r>
      <w:proofErr w:type="spellEnd"/>
      <w:r w:rsidR="00985ED0">
        <w:rPr>
          <w:i/>
          <w:iCs/>
        </w:rPr>
        <w:t xml:space="preserve"> </w:t>
      </w:r>
      <w:r w:rsidR="0055169D">
        <w:t>tercer</w:t>
      </w:r>
      <w:r w:rsidR="0007794E">
        <w:t>a</w:t>
      </w:r>
      <w:r w:rsidR="00C22C5D">
        <w:t>mente</w:t>
      </w:r>
      <w:r w:rsidR="0055169D">
        <w:t>.</w:t>
      </w:r>
    </w:p>
    <w:p w14:paraId="6753A1FA" w14:textId="255A508F" w:rsidR="0055169D" w:rsidRDefault="0055169D" w:rsidP="0055169D">
      <w:r>
        <w:t xml:space="preserve">178. </w:t>
      </w:r>
      <w:r w:rsidR="0091751A">
        <w:tab/>
      </w:r>
      <w:r>
        <w:t xml:space="preserve">Luego se dijo que </w:t>
      </w:r>
      <w:r w:rsidRPr="0085648B">
        <w:rPr>
          <w:i/>
          <w:iCs/>
        </w:rPr>
        <w:t>abandona un factor</w:t>
      </w:r>
      <w:r>
        <w:t xml:space="preserve">, </w:t>
      </w:r>
      <w:r w:rsidR="00985ED0">
        <w:rPr>
          <w:i/>
          <w:iCs/>
        </w:rPr>
        <w:t xml:space="preserve">posee </w:t>
      </w:r>
      <w:r w:rsidRPr="0085648B">
        <w:rPr>
          <w:i/>
          <w:iCs/>
        </w:rPr>
        <w:t>dos factores</w:t>
      </w:r>
      <w:r>
        <w:t xml:space="preserve"> (§153): aquí el abandono de</w:t>
      </w:r>
      <w:r w:rsidR="00C22C5D">
        <w:t>l primer</w:t>
      </w:r>
      <w:r>
        <w:t xml:space="preserve"> factor debe entenderse como el abandono de la felicidad. </w:t>
      </w:r>
      <w:r w:rsidR="00543511">
        <w:t xml:space="preserve">No obstante, </w:t>
      </w:r>
      <w:r>
        <w:t>eso se abandona</w:t>
      </w:r>
      <w:r w:rsidR="00543511">
        <w:t>rá</w:t>
      </w:r>
      <w:r>
        <w:t xml:space="preserve"> solo en el momento de la absorción, como lo </w:t>
      </w:r>
      <w:r w:rsidR="00543511">
        <w:t xml:space="preserve">fueron la </w:t>
      </w:r>
      <w:proofErr w:type="gramStart"/>
      <w:r w:rsidR="00543511">
        <w:t xml:space="preserve">aplicación mental </w:t>
      </w:r>
      <w:r>
        <w:t xml:space="preserve">y </w:t>
      </w:r>
      <w:r w:rsidR="00543511">
        <w:t>la sustentación mental</w:t>
      </w:r>
      <w:proofErr w:type="gramEnd"/>
      <w:r>
        <w:t xml:space="preserve"> en el segundo </w:t>
      </w:r>
      <w:proofErr w:type="spellStart"/>
      <w:r w:rsidR="00057BF4" w:rsidRPr="00057BF4">
        <w:rPr>
          <w:i/>
          <w:iCs/>
        </w:rPr>
        <w:t>jhāna</w:t>
      </w:r>
      <w:proofErr w:type="spellEnd"/>
      <w:r>
        <w:t>; de ahí que se llame su factor de abandono.</w:t>
      </w:r>
    </w:p>
    <w:p w14:paraId="0E79E6B0" w14:textId="7734310E" w:rsidR="0055169D" w:rsidRDefault="0055169D" w:rsidP="0055169D">
      <w:r>
        <w:t xml:space="preserve">179. </w:t>
      </w:r>
      <w:r w:rsidR="0091751A">
        <w:tab/>
      </w:r>
      <w:r>
        <w:t xml:space="preserve">La </w:t>
      </w:r>
      <w:r w:rsidR="00543511">
        <w:t>posesión</w:t>
      </w:r>
      <w:r>
        <w:t xml:space="preserve"> de los dos factores debe entenderse como el surgimiento de los dos, </w:t>
      </w:r>
      <w:r w:rsidR="009B0B6A">
        <w:t>es decir</w:t>
      </w:r>
      <w:r>
        <w:t xml:space="preserve">, </w:t>
      </w:r>
      <w:r w:rsidR="00543511">
        <w:t xml:space="preserve">de </w:t>
      </w:r>
      <w:r w:rsidR="009B0B6A">
        <w:t xml:space="preserve">la dicha </w:t>
      </w:r>
      <w:r>
        <w:t xml:space="preserve">y </w:t>
      </w:r>
      <w:r w:rsidR="009B0B6A">
        <w:t xml:space="preserve">la </w:t>
      </w:r>
      <w:r>
        <w:t>unificación. Entonces, cuando se di</w:t>
      </w:r>
      <w:r w:rsidR="009B0B6A">
        <w:t>ga</w:t>
      </w:r>
      <w:r>
        <w:t xml:space="preserve"> en el </w:t>
      </w:r>
      <w:proofErr w:type="spellStart"/>
      <w:r w:rsidRPr="003912E5">
        <w:rPr>
          <w:i/>
          <w:iCs/>
        </w:rPr>
        <w:t>Vibhaṅga</w:t>
      </w:r>
      <w:proofErr w:type="spellEnd"/>
      <w:r>
        <w:t>, “‘</w:t>
      </w:r>
      <w:proofErr w:type="spellStart"/>
      <w:r w:rsidR="00057BF4" w:rsidRPr="00057BF4">
        <w:rPr>
          <w:i/>
          <w:iCs/>
        </w:rPr>
        <w:t>Jhāna</w:t>
      </w:r>
      <w:proofErr w:type="spellEnd"/>
      <w:r w:rsidRPr="003912E5">
        <w:rPr>
          <w:i/>
          <w:iCs/>
        </w:rPr>
        <w:t>’</w:t>
      </w:r>
      <w:r>
        <w:t xml:space="preserve">: ecuanimidad, atención, </w:t>
      </w:r>
      <w:r w:rsidR="00305E12">
        <w:t>consciencia</w:t>
      </w:r>
      <w:r w:rsidR="009B0B6A" w:rsidRPr="009B0B6A">
        <w:t xml:space="preserve"> </w:t>
      </w:r>
      <w:r w:rsidR="009B0B6A">
        <w:t>plena</w:t>
      </w:r>
      <w:r>
        <w:t>, dicha, unificación ment</w:t>
      </w:r>
      <w:r w:rsidR="009B0B6A">
        <w:t>al</w:t>
      </w:r>
      <w:r>
        <w:t>” (</w:t>
      </w:r>
      <w:proofErr w:type="spellStart"/>
      <w:r>
        <w:t>Vibh</w:t>
      </w:r>
      <w:proofErr w:type="spellEnd"/>
      <w:r>
        <w:t xml:space="preserve"> 260), esto se di</w:t>
      </w:r>
      <w:r w:rsidR="009B0B6A">
        <w:t xml:space="preserve">rá </w:t>
      </w:r>
      <w:r>
        <w:t xml:space="preserve">en sentido figurado para </w:t>
      </w:r>
      <w:r w:rsidR="009B0B6A">
        <w:t>exponer</w:t>
      </w:r>
      <w:r>
        <w:t xml:space="preserve"> </w:t>
      </w:r>
      <w:r w:rsidR="009B0B6A">
        <w:t xml:space="preserve">a este </w:t>
      </w:r>
      <w:proofErr w:type="spellStart"/>
      <w:r w:rsidR="00057BF4" w:rsidRPr="00057BF4">
        <w:rPr>
          <w:i/>
          <w:iCs/>
        </w:rPr>
        <w:t>jhāna</w:t>
      </w:r>
      <w:proofErr w:type="spellEnd"/>
      <w:r>
        <w:t xml:space="preserve"> con su equipo. Pero, a excepción de la ecuanimidad, la atención y la con</w:t>
      </w:r>
      <w:r w:rsidR="00543511">
        <w:t>s</w:t>
      </w:r>
      <w:r>
        <w:t>ciencia</w:t>
      </w:r>
      <w:r w:rsidR="00396007" w:rsidRPr="00396007">
        <w:t xml:space="preserve"> </w:t>
      </w:r>
      <w:r w:rsidR="00396007">
        <w:t>plena</w:t>
      </w:r>
      <w:r>
        <w:t xml:space="preserve">, este </w:t>
      </w:r>
      <w:proofErr w:type="spellStart"/>
      <w:r w:rsidR="00057BF4" w:rsidRPr="00057BF4">
        <w:rPr>
          <w:i/>
          <w:iCs/>
        </w:rPr>
        <w:t>jhāna</w:t>
      </w:r>
      <w:proofErr w:type="spellEnd"/>
      <w:r>
        <w:t xml:space="preserve"> tiene literalmente solo dos factores </w:t>
      </w:r>
      <w:r w:rsidRPr="00396007">
        <w:rPr>
          <w:i/>
          <w:iCs/>
        </w:rPr>
        <w:t>qua</w:t>
      </w:r>
      <w:r>
        <w:t xml:space="preserve"> factores que ha</w:t>
      </w:r>
      <w:r w:rsidR="00E700BC">
        <w:t>brá</w:t>
      </w:r>
      <w:r>
        <w:t>n alcanzado la característica de ilumina</w:t>
      </w:r>
      <w:r w:rsidR="00543511">
        <w:t>r</w:t>
      </w:r>
      <w:r>
        <w:t xml:space="preserve"> (ver §119), según </w:t>
      </w:r>
      <w:r w:rsidR="00543511">
        <w:t xml:space="preserve">lo </w:t>
      </w:r>
      <w:proofErr w:type="spellStart"/>
      <w:r w:rsidR="00543511">
        <w:t>dicho</w:t>
      </w:r>
      <w:r>
        <w:t>e</w:t>
      </w:r>
      <w:proofErr w:type="spellEnd"/>
      <w:r>
        <w:t xml:space="preserve">, "¿Cuál es el </w:t>
      </w:r>
      <w:proofErr w:type="spellStart"/>
      <w:r w:rsidR="00057BF4" w:rsidRPr="00057BF4">
        <w:rPr>
          <w:i/>
          <w:iCs/>
        </w:rPr>
        <w:t>jhāna</w:t>
      </w:r>
      <w:proofErr w:type="spellEnd"/>
      <w:r>
        <w:t xml:space="preserve"> de dos factores en </w:t>
      </w:r>
      <w:proofErr w:type="gramStart"/>
      <w:r>
        <w:t>ese ocasión</w:t>
      </w:r>
      <w:proofErr w:type="gramEnd"/>
      <w:r>
        <w:t xml:space="preserve">? Es </w:t>
      </w:r>
      <w:r w:rsidR="00E700BC">
        <w:t xml:space="preserve">la </w:t>
      </w:r>
      <w:r>
        <w:t xml:space="preserve">dicha y </w:t>
      </w:r>
      <w:r w:rsidR="00543511">
        <w:t>l</w:t>
      </w:r>
      <w:r w:rsidR="00E700BC">
        <w:t xml:space="preserve">a </w:t>
      </w:r>
      <w:r>
        <w:t>unificación ment</w:t>
      </w:r>
      <w:r w:rsidR="00E700BC">
        <w:t>al</w:t>
      </w:r>
      <w:r>
        <w:t>” (</w:t>
      </w:r>
      <w:proofErr w:type="spellStart"/>
      <w:r>
        <w:t>Vibh</w:t>
      </w:r>
      <w:proofErr w:type="spellEnd"/>
      <w:r>
        <w:t xml:space="preserve"> 264).</w:t>
      </w:r>
    </w:p>
    <w:p w14:paraId="7593B2DE" w14:textId="040ADD64" w:rsidR="0055169D" w:rsidRDefault="0055169D" w:rsidP="0091751A">
      <w:pPr>
        <w:pStyle w:val="NormalConSangria"/>
      </w:pPr>
      <w:r>
        <w:t xml:space="preserve">El resto </w:t>
      </w:r>
      <w:r w:rsidR="00F74A5C">
        <w:t>será</w:t>
      </w:r>
      <w:r>
        <w:t xml:space="preserve"> como en el caso del primer </w:t>
      </w:r>
      <w:proofErr w:type="spellStart"/>
      <w:r w:rsidR="00057BF4" w:rsidRPr="00057BF4">
        <w:rPr>
          <w:i/>
          <w:iCs/>
        </w:rPr>
        <w:t>jhāna</w:t>
      </w:r>
      <w:proofErr w:type="spellEnd"/>
      <w:r>
        <w:t>.</w:t>
      </w:r>
    </w:p>
    <w:p w14:paraId="29268891" w14:textId="77777777" w:rsidR="007F01B3" w:rsidRDefault="007F01B3" w:rsidP="0091751A">
      <w:pPr>
        <w:pStyle w:val="NormalConSangria"/>
      </w:pPr>
    </w:p>
    <w:p w14:paraId="2D952B16" w14:textId="77777777" w:rsidR="0055169D" w:rsidRDefault="0055169D" w:rsidP="0055169D">
      <w:pPr>
        <w:pStyle w:val="PiedepginaLegal"/>
        <w:rPr>
          <w:u w:val="single"/>
        </w:rPr>
      </w:pPr>
      <w:r>
        <w:rPr>
          <w:u w:val="single"/>
        </w:rPr>
        <w:tab/>
      </w:r>
      <w:r>
        <w:rPr>
          <w:u w:val="single"/>
        </w:rPr>
        <w:tab/>
      </w:r>
      <w:r>
        <w:rPr>
          <w:u w:val="single"/>
        </w:rPr>
        <w:tab/>
      </w:r>
      <w:r>
        <w:rPr>
          <w:u w:val="single"/>
        </w:rPr>
        <w:tab/>
        <w:t>.</w:t>
      </w:r>
    </w:p>
    <w:p w14:paraId="555E4B33" w14:textId="792BE93A" w:rsidR="0055169D" w:rsidRDefault="0055169D" w:rsidP="0055169D">
      <w:pPr>
        <w:pStyle w:val="PiedepginaLegal"/>
      </w:pPr>
      <w:r>
        <w:t xml:space="preserve">48. </w:t>
      </w:r>
      <w:r>
        <w:tab/>
        <w:t xml:space="preserve">Para la materialidad originada </w:t>
      </w:r>
      <w:r w:rsidR="00630251">
        <w:t>de</w:t>
      </w:r>
      <w:r>
        <w:t xml:space="preserve"> la con</w:t>
      </w:r>
      <w:r w:rsidR="00630251">
        <w:t>s</w:t>
      </w:r>
      <w:r>
        <w:t xml:space="preserve">ciencia ver XX.30 </w:t>
      </w:r>
      <w:r w:rsidR="00A106A7">
        <w:t>ss</w:t>
      </w:r>
      <w:r>
        <w:t>.</w:t>
      </w:r>
    </w:p>
    <w:p w14:paraId="50F12078" w14:textId="77777777" w:rsidR="0091751A" w:rsidRDefault="0091751A">
      <w:pPr>
        <w:tabs>
          <w:tab w:val="clear" w:pos="425"/>
        </w:tabs>
        <w:spacing w:after="160"/>
      </w:pPr>
      <w:r>
        <w:br w:type="page"/>
      </w:r>
    </w:p>
    <w:p w14:paraId="1DB098B5" w14:textId="77777777" w:rsidR="009266DB" w:rsidRDefault="009266DB" w:rsidP="009266DB"/>
    <w:p w14:paraId="48D1504B" w14:textId="7F147AA0" w:rsidR="009266DB" w:rsidRDefault="009266DB" w:rsidP="009266DB">
      <w:r>
        <w:t xml:space="preserve">180. </w:t>
      </w:r>
      <w:r>
        <w:tab/>
        <w:t>Una vez que esto se ha</w:t>
      </w:r>
      <w:r w:rsidR="00E700BC">
        <w:t>ya</w:t>
      </w:r>
      <w:r>
        <w:t xml:space="preserve"> </w:t>
      </w:r>
      <w:r w:rsidR="00E700BC">
        <w:t>adquirido</w:t>
      </w:r>
      <w:r>
        <w:t xml:space="preserve"> </w:t>
      </w:r>
      <w:r w:rsidR="004722D1">
        <w:t>así</w:t>
      </w:r>
      <w:r>
        <w:t xml:space="preserve">, y una vez que </w:t>
      </w:r>
      <w:r w:rsidR="00E700BC">
        <w:t xml:space="preserve">haya desarrollado </w:t>
      </w:r>
      <w:r>
        <w:t xml:space="preserve">maestría en las cinco formas ya descritas, entonces al emerger del ahora familiar tercer </w:t>
      </w:r>
      <w:proofErr w:type="spellStart"/>
      <w:r w:rsidR="00057BF4" w:rsidRPr="00057BF4">
        <w:rPr>
          <w:i/>
          <w:iCs/>
        </w:rPr>
        <w:t>jhāna</w:t>
      </w:r>
      <w:proofErr w:type="spellEnd"/>
      <w:r>
        <w:t xml:space="preserve">, </w:t>
      </w:r>
      <w:r w:rsidR="00E700BC">
        <w:t xml:space="preserve">podrá </w:t>
      </w:r>
      <w:r>
        <w:t>considerar l</w:t>
      </w:r>
      <w:r w:rsidR="00E700BC">
        <w:t>o</w:t>
      </w:r>
      <w:r>
        <w:t xml:space="preserve">s </w:t>
      </w:r>
      <w:r w:rsidR="00E700BC">
        <w:t xml:space="preserve">defectos </w:t>
      </w:r>
      <w:r>
        <w:t>en él así: “Est</w:t>
      </w:r>
      <w:r w:rsidR="00E700BC">
        <w:t>a</w:t>
      </w:r>
      <w:r>
        <w:t xml:space="preserve"> </w:t>
      </w:r>
      <w:r w:rsidR="00E700BC">
        <w:t xml:space="preserve">consumación </w:t>
      </w:r>
      <w:r>
        <w:t>está amenazad</w:t>
      </w:r>
      <w:r w:rsidR="00E700BC">
        <w:t>a</w:t>
      </w:r>
      <w:r>
        <w:t xml:space="preserve"> por la cercanía de </w:t>
      </w:r>
      <w:r w:rsidR="00E503EA">
        <w:t xml:space="preserve">la </w:t>
      </w:r>
      <w:r>
        <w:t xml:space="preserve">felicidad; </w:t>
      </w:r>
      <w:r w:rsidR="00E503EA">
        <w:t>‘</w:t>
      </w:r>
      <w:r>
        <w:t>Todo lo que hay</w:t>
      </w:r>
      <w:r w:rsidR="00E503EA">
        <w:t>a</w:t>
      </w:r>
      <w:r>
        <w:t xml:space="preserve"> en él de preocupación mental por la </w:t>
      </w:r>
      <w:r w:rsidR="00E503EA">
        <w:t>dicha</w:t>
      </w:r>
      <w:r>
        <w:t xml:space="preserve"> proclama su </w:t>
      </w:r>
      <w:r w:rsidR="00E503EA">
        <w:t>grado de densidad</w:t>
      </w:r>
      <w:r>
        <w:t xml:space="preserve">” (D I 37; ver Ch. IX, n. 20), y sus factores son debilitados por la </w:t>
      </w:r>
      <w:r w:rsidR="00E503EA">
        <w:t>densidad</w:t>
      </w:r>
      <w:r>
        <w:t xml:space="preserve"> de la </w:t>
      </w:r>
      <w:r w:rsidR="00E503EA">
        <w:t xml:space="preserve">dicha </w:t>
      </w:r>
      <w:r>
        <w:t xml:space="preserve">así expresada”. </w:t>
      </w:r>
      <w:r w:rsidR="00E503EA">
        <w:t xml:space="preserve">Entonces podrá conducir </w:t>
      </w:r>
      <w:r>
        <w:t xml:space="preserve">la mente </w:t>
      </w:r>
      <w:r w:rsidR="00E503EA">
        <w:t xml:space="preserve">hacia </w:t>
      </w:r>
      <w:r>
        <w:t xml:space="preserve">el cuarto </w:t>
      </w:r>
      <w:proofErr w:type="spellStart"/>
      <w:r w:rsidR="00057BF4" w:rsidRPr="00057BF4">
        <w:rPr>
          <w:i/>
          <w:iCs/>
        </w:rPr>
        <w:t>jhāna</w:t>
      </w:r>
      <w:proofErr w:type="spellEnd"/>
      <w:r>
        <w:t xml:space="preserve"> como </w:t>
      </w:r>
      <w:r w:rsidR="0097554D">
        <w:t xml:space="preserve">algo </w:t>
      </w:r>
      <w:r>
        <w:t xml:space="preserve">más tranquilo y terminar </w:t>
      </w:r>
      <w:r w:rsidR="00022AE2">
        <w:t xml:space="preserve">así </w:t>
      </w:r>
      <w:r>
        <w:t xml:space="preserve">con su apego </w:t>
      </w:r>
      <w:r w:rsidR="00022AE2">
        <w:t>hacia e</w:t>
      </w:r>
      <w:r>
        <w:t xml:space="preserve">l tercer </w:t>
      </w:r>
      <w:proofErr w:type="spellStart"/>
      <w:r w:rsidR="00057BF4" w:rsidRPr="00057BF4">
        <w:rPr>
          <w:i/>
          <w:iCs/>
        </w:rPr>
        <w:t>jhāna</w:t>
      </w:r>
      <w:proofErr w:type="spellEnd"/>
      <w:r>
        <w:t xml:space="preserve"> y comenzar a hacer lo necesario para alcanzar el cuarto.</w:t>
      </w:r>
    </w:p>
    <w:p w14:paraId="2102187A" w14:textId="37518C36" w:rsidR="009266DB" w:rsidRDefault="009266DB" w:rsidP="009266DB">
      <w:r>
        <w:t>181.</w:t>
      </w:r>
      <w:r>
        <w:tab/>
        <w:t>Cuando ha</w:t>
      </w:r>
      <w:r w:rsidR="00E503EA">
        <w:t>ya</w:t>
      </w:r>
      <w:r>
        <w:t xml:space="preserve"> emergido del tercer </w:t>
      </w:r>
      <w:proofErr w:type="spellStart"/>
      <w:r w:rsidR="00057BF4" w:rsidRPr="00057BF4">
        <w:rPr>
          <w:i/>
          <w:iCs/>
        </w:rPr>
        <w:t>jhāna</w:t>
      </w:r>
      <w:proofErr w:type="spellEnd"/>
      <w:r>
        <w:t>, la dicha, en otras palabras, la alegría mental, le parece</w:t>
      </w:r>
      <w:r w:rsidR="00E503EA">
        <w:t>rá</w:t>
      </w:r>
      <w:r>
        <w:t xml:space="preserve"> burda a medida que revis</w:t>
      </w:r>
      <w:r w:rsidR="00E503EA">
        <w:t>e</w:t>
      </w:r>
      <w:r>
        <w:t xml:space="preserve"> los factores del </w:t>
      </w:r>
      <w:proofErr w:type="spellStart"/>
      <w:r w:rsidR="00057BF4" w:rsidRPr="00057BF4">
        <w:rPr>
          <w:i/>
          <w:iCs/>
        </w:rPr>
        <w:t>jhāna</w:t>
      </w:r>
      <w:proofErr w:type="spellEnd"/>
      <w:r>
        <w:t xml:space="preserve"> con atención y con</w:t>
      </w:r>
      <w:r w:rsidR="00CE1235">
        <w:t>s</w:t>
      </w:r>
      <w:r>
        <w:t>ciencia</w:t>
      </w:r>
      <w:r w:rsidR="001B1BED" w:rsidRPr="001B1BED">
        <w:t xml:space="preserve"> </w:t>
      </w:r>
      <w:r w:rsidR="001B1BED">
        <w:t>plena</w:t>
      </w:r>
      <w:r>
        <w:t xml:space="preserve">, mientras que la ecuanimidad como </w:t>
      </w:r>
      <w:r w:rsidR="00BD33CF">
        <w:t xml:space="preserve">sensación </w:t>
      </w:r>
      <w:r>
        <w:t xml:space="preserve">y unificación </w:t>
      </w:r>
      <w:r w:rsidR="00BD33CF">
        <w:t xml:space="preserve">mental </w:t>
      </w:r>
      <w:r w:rsidR="00CE1235">
        <w:t>a</w:t>
      </w:r>
      <w:r>
        <w:t>parece</w:t>
      </w:r>
      <w:r w:rsidR="00BD33CF">
        <w:t>rá</w:t>
      </w:r>
      <w:r>
        <w:t xml:space="preserve">n </w:t>
      </w:r>
      <w:r w:rsidR="00CE1235">
        <w:t xml:space="preserve">como </w:t>
      </w:r>
      <w:r w:rsidR="00BD33CF">
        <w:t>apacibles</w:t>
      </w:r>
      <w:r>
        <w:t xml:space="preserve">. </w:t>
      </w:r>
      <w:r w:rsidR="00BD33CF">
        <w:t>Entonces</w:t>
      </w:r>
      <w:r>
        <w:t xml:space="preserve">, cuando </w:t>
      </w:r>
      <w:r w:rsidR="00BD33CF">
        <w:t>dirija</w:t>
      </w:r>
      <w:r>
        <w:t xml:space="preserve"> la mente </w:t>
      </w:r>
      <w:r w:rsidR="002F7EE7">
        <w:t xml:space="preserve">hacia </w:t>
      </w:r>
      <w:r>
        <w:t xml:space="preserve">ese mismo signo como “tierra, tierra” una y otra vez con el propósito de abandonar el factor denso y obtener los factores </w:t>
      </w:r>
      <w:r w:rsidR="002F7EE7">
        <w:t>apacibles</w:t>
      </w:r>
      <w:r>
        <w:t>, [</w:t>
      </w:r>
      <w:r w:rsidR="00CE1235">
        <w:t>conociendo</w:t>
      </w:r>
      <w:r>
        <w:t xml:space="preserve">] “ahora surgirá el cuarto </w:t>
      </w:r>
      <w:proofErr w:type="spellStart"/>
      <w:r w:rsidR="00057BF4" w:rsidRPr="00057BF4">
        <w:rPr>
          <w:i/>
          <w:iCs/>
        </w:rPr>
        <w:t>jhāna</w:t>
      </w:r>
      <w:proofErr w:type="spellEnd"/>
      <w:r>
        <w:t>”, surg</w:t>
      </w:r>
      <w:r w:rsidR="002F7EE7">
        <w:t>irá</w:t>
      </w:r>
      <w:r>
        <w:t xml:space="preserve"> la </w:t>
      </w:r>
      <w:r w:rsidR="00F923E0">
        <w:t xml:space="preserve">advertencia de la </w:t>
      </w:r>
      <w:r w:rsidR="002F7EE7">
        <w:t xml:space="preserve">puerta </w:t>
      </w:r>
      <w:r>
        <w:t>ment</w:t>
      </w:r>
      <w:r w:rsidR="002F7EE7">
        <w:t xml:space="preserve">al </w:t>
      </w:r>
      <w:r>
        <w:t>con es</w:t>
      </w:r>
      <w:r w:rsidR="00F923E0">
        <w:t>e</w:t>
      </w:r>
      <w:r>
        <w:t xml:space="preserve"> mism</w:t>
      </w:r>
      <w:r w:rsidR="00F923E0">
        <w:t>o</w:t>
      </w:r>
      <w:r>
        <w:t xml:space="preserve"> </w:t>
      </w:r>
      <w:proofErr w:type="spellStart"/>
      <w:r w:rsidR="00057BF4" w:rsidRPr="00057BF4">
        <w:rPr>
          <w:i/>
          <w:iCs/>
        </w:rPr>
        <w:t>kasiṇa</w:t>
      </w:r>
      <w:proofErr w:type="spellEnd"/>
      <w:r>
        <w:t xml:space="preserve"> </w:t>
      </w:r>
      <w:r w:rsidR="00F923E0">
        <w:t xml:space="preserve">tierra </w:t>
      </w:r>
      <w:r>
        <w:t>como su objeto, interrumpiendo el continu</w:t>
      </w:r>
      <w:r w:rsidR="00F923E0">
        <w:t>um</w:t>
      </w:r>
      <w:r>
        <w:t xml:space="preserve"> de la vida. Después de e</w:t>
      </w:r>
      <w:r w:rsidR="00CE1235">
        <w:t>ll</w:t>
      </w:r>
      <w:r>
        <w:t>o, cuatro o cinco impulsos impulsa</w:t>
      </w:r>
      <w:r w:rsidR="00061D3C">
        <w:t>rá</w:t>
      </w:r>
      <w:r>
        <w:t xml:space="preserve">n </w:t>
      </w:r>
      <w:r w:rsidR="00CE1235">
        <w:t>a</w:t>
      </w:r>
      <w:r>
        <w:t xml:space="preserve">l mismo objeto, [165] el último de los cuales </w:t>
      </w:r>
      <w:r w:rsidR="00061D3C">
        <w:t>será</w:t>
      </w:r>
      <w:r>
        <w:t xml:space="preserve"> un impulso de la esfera de la materia </w:t>
      </w:r>
      <w:r w:rsidR="00CE1235">
        <w:t>sutil</w:t>
      </w:r>
      <w:r>
        <w:t xml:space="preserve"> que pertenece al cuarto </w:t>
      </w:r>
      <w:proofErr w:type="spellStart"/>
      <w:r w:rsidR="00057BF4" w:rsidRPr="00057BF4">
        <w:rPr>
          <w:i/>
          <w:iCs/>
        </w:rPr>
        <w:t>jhāna</w:t>
      </w:r>
      <w:proofErr w:type="spellEnd"/>
      <w:r>
        <w:t xml:space="preserve">. El resto </w:t>
      </w:r>
      <w:r w:rsidR="00CE1235">
        <w:t>serán</w:t>
      </w:r>
      <w:r>
        <w:t xml:space="preserve"> de los tipos ya indicados (§74).</w:t>
      </w:r>
    </w:p>
    <w:p w14:paraId="6871C1E1" w14:textId="5DD8C663" w:rsidR="009266DB" w:rsidRDefault="009266DB" w:rsidP="009266DB">
      <w:r>
        <w:t xml:space="preserve">182. </w:t>
      </w:r>
      <w:r>
        <w:tab/>
      </w:r>
      <w:r w:rsidR="00CE1235">
        <w:t xml:space="preserve">No obstante, </w:t>
      </w:r>
      <w:r>
        <w:t>exist</w:t>
      </w:r>
      <w:r w:rsidR="00CE1235">
        <w:t>irá</w:t>
      </w:r>
      <w:r>
        <w:t xml:space="preserve"> esta diferencia: </w:t>
      </w:r>
      <w:r w:rsidR="00827688">
        <w:t>la sensación</w:t>
      </w:r>
      <w:r>
        <w:t xml:space="preserve"> de </w:t>
      </w:r>
      <w:r w:rsidR="005E7E60">
        <w:t>dicha</w:t>
      </w:r>
      <w:r>
        <w:t xml:space="preserve"> (agradable) no </w:t>
      </w:r>
      <w:r w:rsidR="007B453F">
        <w:t xml:space="preserve">será </w:t>
      </w:r>
      <w:r>
        <w:t xml:space="preserve">una condición, como condición de repetición, para </w:t>
      </w:r>
      <w:r w:rsidR="005E7E60">
        <w:t>la sensación</w:t>
      </w:r>
      <w:r>
        <w:t xml:space="preserve"> n</w:t>
      </w:r>
      <w:r w:rsidR="00CE1235">
        <w:t>i</w:t>
      </w:r>
      <w:r>
        <w:t>-</w:t>
      </w:r>
      <w:r w:rsidR="00CE1235">
        <w:t>agradable</w:t>
      </w:r>
      <w:r>
        <w:t>-ni-</w:t>
      </w:r>
      <w:r w:rsidR="00CE1235">
        <w:t>des</w:t>
      </w:r>
      <w:r>
        <w:t>agradable, y [el trabajo preliminar] debe</w:t>
      </w:r>
      <w:r w:rsidR="007B453F">
        <w:t>rá</w:t>
      </w:r>
      <w:r>
        <w:t xml:space="preserve"> </w:t>
      </w:r>
      <w:r w:rsidR="005A475C">
        <w:t>surgir</w:t>
      </w:r>
      <w:r>
        <w:t xml:space="preserve"> en el caso del cuarto </w:t>
      </w:r>
      <w:proofErr w:type="spellStart"/>
      <w:r w:rsidR="00057BF4" w:rsidRPr="00057BF4">
        <w:rPr>
          <w:i/>
          <w:iCs/>
        </w:rPr>
        <w:t>jhāna</w:t>
      </w:r>
      <w:proofErr w:type="spellEnd"/>
      <w:r>
        <w:t xml:space="preserve"> </w:t>
      </w:r>
      <w:r w:rsidR="002A4F2E">
        <w:t>con</w:t>
      </w:r>
      <w:r>
        <w:t xml:space="preserve"> </w:t>
      </w:r>
      <w:r w:rsidR="005A475C">
        <w:t xml:space="preserve">una </w:t>
      </w:r>
      <w:r>
        <w:t xml:space="preserve">sensación </w:t>
      </w:r>
      <w:r w:rsidR="004B0DD5">
        <w:t>ni-</w:t>
      </w:r>
      <w:r w:rsidR="005A475C">
        <w:t>agradable</w:t>
      </w:r>
      <w:r>
        <w:t>-ni-</w:t>
      </w:r>
      <w:r w:rsidR="005A475C">
        <w:t>des</w:t>
      </w:r>
      <w:r>
        <w:t xml:space="preserve">agradable; en consecuencia, estas </w:t>
      </w:r>
      <w:r w:rsidR="00305E12">
        <w:t>consciencia</w:t>
      </w:r>
      <w:r>
        <w:t>s del trabajo preliminar est</w:t>
      </w:r>
      <w:r w:rsidR="001434FC">
        <w:t>ar</w:t>
      </w:r>
      <w:r>
        <w:t xml:space="preserve">án asociadas con </w:t>
      </w:r>
      <w:r w:rsidR="001434FC">
        <w:t xml:space="preserve">la </w:t>
      </w:r>
      <w:r w:rsidR="002A4F2E">
        <w:t xml:space="preserve">sensaciones </w:t>
      </w:r>
      <w:r>
        <w:t>ni</w:t>
      </w:r>
      <w:r w:rsidR="002A4F2E">
        <w:t>-</w:t>
      </w:r>
      <w:r w:rsidR="001434FC">
        <w:t>agradables</w:t>
      </w:r>
      <w:r w:rsidR="002A4F2E">
        <w:t>-</w:t>
      </w:r>
      <w:r>
        <w:t>ni</w:t>
      </w:r>
      <w:r w:rsidR="002A4F2E">
        <w:t>-</w:t>
      </w:r>
      <w:r w:rsidR="001434FC">
        <w:t>desagradables</w:t>
      </w:r>
      <w:r>
        <w:t>, y aquí la felicidad se desvanece</w:t>
      </w:r>
      <w:r w:rsidR="002A4F2E">
        <w:t xml:space="preserve">rá </w:t>
      </w:r>
      <w:r>
        <w:t>simplemente debido a su asociación con la ecuanimidad.</w:t>
      </w:r>
    </w:p>
    <w:p w14:paraId="37478B7A" w14:textId="77777777" w:rsidR="00630251" w:rsidRDefault="00630251" w:rsidP="009266DB"/>
    <w:p w14:paraId="6F27D277" w14:textId="64363B40" w:rsidR="009266DB" w:rsidRDefault="009266DB" w:rsidP="009266DB">
      <w:pPr>
        <w:pStyle w:val="Ttulo3"/>
        <w:ind w:left="708"/>
      </w:pPr>
      <w:r>
        <w:t xml:space="preserve">[El Cuarto </w:t>
      </w:r>
      <w:proofErr w:type="spellStart"/>
      <w:r w:rsidR="00057BF4" w:rsidRPr="00057BF4">
        <w:rPr>
          <w:i/>
          <w:iCs/>
        </w:rPr>
        <w:t>Jhāna</w:t>
      </w:r>
      <w:proofErr w:type="spellEnd"/>
      <w:r>
        <w:t>]</w:t>
      </w:r>
    </w:p>
    <w:p w14:paraId="65C2177D" w14:textId="5EDF6CA1" w:rsidR="009266DB" w:rsidRDefault="009266DB" w:rsidP="009266DB">
      <w:r>
        <w:t xml:space="preserve">183. </w:t>
      </w:r>
      <w:r>
        <w:tab/>
        <w:t>Y en este punto, “</w:t>
      </w:r>
      <w:r w:rsidRPr="00071A7C">
        <w:rPr>
          <w:i/>
          <w:iCs/>
        </w:rPr>
        <w:t xml:space="preserve">Con el abandono del placer y el dolor y con la desaparición previa de la alegría y </w:t>
      </w:r>
      <w:r w:rsidR="00E4537B">
        <w:rPr>
          <w:i/>
          <w:iCs/>
        </w:rPr>
        <w:t>la aflicción</w:t>
      </w:r>
      <w:r w:rsidRPr="00071A7C">
        <w:rPr>
          <w:i/>
          <w:iCs/>
        </w:rPr>
        <w:t xml:space="preserve">, </w:t>
      </w:r>
      <w:r w:rsidR="00E4537B">
        <w:rPr>
          <w:i/>
          <w:iCs/>
        </w:rPr>
        <w:t xml:space="preserve">él </w:t>
      </w:r>
      <w:r w:rsidRPr="00071A7C">
        <w:rPr>
          <w:i/>
          <w:iCs/>
        </w:rPr>
        <w:t>entra</w:t>
      </w:r>
      <w:r w:rsidR="00E4537B">
        <w:rPr>
          <w:i/>
          <w:iCs/>
        </w:rPr>
        <w:t>rá</w:t>
      </w:r>
      <w:r w:rsidRPr="00071A7C">
        <w:rPr>
          <w:i/>
          <w:iCs/>
        </w:rPr>
        <w:t xml:space="preserve"> y </w:t>
      </w:r>
      <w:r w:rsidR="00E4537B">
        <w:rPr>
          <w:i/>
          <w:iCs/>
        </w:rPr>
        <w:t xml:space="preserve">habitará </w:t>
      </w:r>
      <w:r w:rsidRPr="00071A7C">
        <w:rPr>
          <w:i/>
          <w:iCs/>
        </w:rPr>
        <w:t xml:space="preserve">en el cuarto </w:t>
      </w:r>
      <w:proofErr w:type="spellStart"/>
      <w:r w:rsidR="00057BF4" w:rsidRPr="00071A7C">
        <w:rPr>
          <w:i/>
          <w:iCs/>
        </w:rPr>
        <w:t>jhāna</w:t>
      </w:r>
      <w:proofErr w:type="spellEnd"/>
      <w:r w:rsidRPr="00071A7C">
        <w:rPr>
          <w:i/>
          <w:iCs/>
        </w:rPr>
        <w:t xml:space="preserve">, que </w:t>
      </w:r>
      <w:r w:rsidR="006C7543">
        <w:rPr>
          <w:i/>
          <w:iCs/>
        </w:rPr>
        <w:t>pose</w:t>
      </w:r>
      <w:r w:rsidR="004722D1">
        <w:rPr>
          <w:i/>
          <w:iCs/>
        </w:rPr>
        <w:t>erá</w:t>
      </w:r>
      <w:r w:rsidR="006C7543">
        <w:rPr>
          <w:i/>
          <w:iCs/>
        </w:rPr>
        <w:t xml:space="preserve"> ni</w:t>
      </w:r>
      <w:r w:rsidR="00967EBF">
        <w:rPr>
          <w:i/>
          <w:iCs/>
        </w:rPr>
        <w:t>-</w:t>
      </w:r>
      <w:r w:rsidRPr="00071A7C">
        <w:rPr>
          <w:i/>
          <w:iCs/>
        </w:rPr>
        <w:t>dolor</w:t>
      </w:r>
      <w:r w:rsidR="00967EBF">
        <w:rPr>
          <w:i/>
          <w:iCs/>
        </w:rPr>
        <w:t>-</w:t>
      </w:r>
      <w:r w:rsidRPr="00071A7C">
        <w:rPr>
          <w:i/>
          <w:iCs/>
        </w:rPr>
        <w:t>ni</w:t>
      </w:r>
      <w:r w:rsidR="00967EBF">
        <w:rPr>
          <w:i/>
          <w:iCs/>
        </w:rPr>
        <w:t>-</w:t>
      </w:r>
      <w:r w:rsidRPr="00071A7C">
        <w:rPr>
          <w:i/>
          <w:iCs/>
        </w:rPr>
        <w:t xml:space="preserve">placer y </w:t>
      </w:r>
      <w:r w:rsidR="006C7543">
        <w:rPr>
          <w:i/>
          <w:iCs/>
        </w:rPr>
        <w:t>posee</w:t>
      </w:r>
      <w:r w:rsidR="004722D1">
        <w:rPr>
          <w:i/>
          <w:iCs/>
        </w:rPr>
        <w:t>rá</w:t>
      </w:r>
      <w:r w:rsidR="006C7543">
        <w:rPr>
          <w:i/>
          <w:iCs/>
        </w:rPr>
        <w:t xml:space="preserve"> </w:t>
      </w:r>
      <w:r w:rsidRPr="00071A7C">
        <w:rPr>
          <w:i/>
          <w:iCs/>
        </w:rPr>
        <w:t>pureza de atención debid</w:t>
      </w:r>
      <w:r w:rsidR="006C7543">
        <w:rPr>
          <w:i/>
          <w:iCs/>
        </w:rPr>
        <w:t>a</w:t>
      </w:r>
      <w:r w:rsidRPr="00071A7C">
        <w:rPr>
          <w:i/>
          <w:iCs/>
        </w:rPr>
        <w:t xml:space="preserve"> a </w:t>
      </w:r>
      <w:r w:rsidR="00740235">
        <w:rPr>
          <w:i/>
          <w:iCs/>
        </w:rPr>
        <w:t xml:space="preserve">la </w:t>
      </w:r>
      <w:r w:rsidRPr="00071A7C">
        <w:rPr>
          <w:i/>
          <w:iCs/>
        </w:rPr>
        <w:t>ecuanimidad” (</w:t>
      </w:r>
      <w:proofErr w:type="spellStart"/>
      <w:r w:rsidRPr="00071A7C">
        <w:rPr>
          <w:i/>
          <w:iCs/>
        </w:rPr>
        <w:t>Vibh</w:t>
      </w:r>
      <w:proofErr w:type="spellEnd"/>
      <w:r w:rsidRPr="00071A7C">
        <w:rPr>
          <w:i/>
          <w:iCs/>
        </w:rPr>
        <w:t xml:space="preserve"> 245), y así ha</w:t>
      </w:r>
      <w:r w:rsidR="00740235">
        <w:rPr>
          <w:i/>
          <w:iCs/>
        </w:rPr>
        <w:t>brá</w:t>
      </w:r>
      <w:r w:rsidRPr="00071A7C">
        <w:rPr>
          <w:i/>
          <w:iCs/>
        </w:rPr>
        <w:t xml:space="preserve"> alcanzado el cuarto </w:t>
      </w:r>
      <w:proofErr w:type="spellStart"/>
      <w:r w:rsidR="00057BF4" w:rsidRPr="00071A7C">
        <w:rPr>
          <w:i/>
          <w:iCs/>
        </w:rPr>
        <w:t>jhāna</w:t>
      </w:r>
      <w:proofErr w:type="spellEnd"/>
      <w:r w:rsidRPr="00071A7C">
        <w:rPr>
          <w:i/>
          <w:iCs/>
        </w:rPr>
        <w:t>, que abandona</w:t>
      </w:r>
      <w:r w:rsidR="00740235">
        <w:rPr>
          <w:i/>
          <w:iCs/>
        </w:rPr>
        <w:t>rá</w:t>
      </w:r>
      <w:r w:rsidRPr="00071A7C">
        <w:rPr>
          <w:i/>
          <w:iCs/>
        </w:rPr>
        <w:t xml:space="preserve"> un factor, </w:t>
      </w:r>
      <w:r w:rsidR="00740235">
        <w:rPr>
          <w:i/>
          <w:iCs/>
        </w:rPr>
        <w:t xml:space="preserve">adquirirá </w:t>
      </w:r>
      <w:r w:rsidRPr="00071A7C">
        <w:rPr>
          <w:i/>
          <w:iCs/>
        </w:rPr>
        <w:t xml:space="preserve">dos factores, </w:t>
      </w:r>
      <w:r w:rsidR="00740235">
        <w:rPr>
          <w:i/>
          <w:iCs/>
        </w:rPr>
        <w:t xml:space="preserve">será </w:t>
      </w:r>
      <w:r w:rsidRPr="00071A7C">
        <w:rPr>
          <w:i/>
          <w:iCs/>
        </w:rPr>
        <w:t>bueno en tres formas, posee</w:t>
      </w:r>
      <w:r w:rsidR="00BC7AF8">
        <w:rPr>
          <w:i/>
          <w:iCs/>
        </w:rPr>
        <w:t xml:space="preserve">rá </w:t>
      </w:r>
      <w:r w:rsidRPr="00071A7C">
        <w:rPr>
          <w:i/>
          <w:iCs/>
        </w:rPr>
        <w:t xml:space="preserve">diez características y </w:t>
      </w:r>
      <w:r w:rsidR="00BC7AF8">
        <w:rPr>
          <w:i/>
          <w:iCs/>
        </w:rPr>
        <w:t>corresponderá al</w:t>
      </w:r>
      <w:r w:rsidRPr="00071A7C">
        <w:rPr>
          <w:i/>
          <w:iCs/>
        </w:rPr>
        <w:t xml:space="preserve"> </w:t>
      </w:r>
      <w:proofErr w:type="spellStart"/>
      <w:r w:rsidR="00057BF4" w:rsidRPr="00071A7C">
        <w:rPr>
          <w:i/>
          <w:iCs/>
        </w:rPr>
        <w:t>kasiṇa</w:t>
      </w:r>
      <w:proofErr w:type="spellEnd"/>
      <w:r w:rsidR="00BC7AF8">
        <w:rPr>
          <w:i/>
          <w:iCs/>
        </w:rPr>
        <w:t xml:space="preserve"> </w:t>
      </w:r>
      <w:r w:rsidR="00BC7AF8">
        <w:t>tierra</w:t>
      </w:r>
      <w:r>
        <w:t>.</w:t>
      </w:r>
    </w:p>
    <w:p w14:paraId="620C04C7" w14:textId="0A243CFC" w:rsidR="009266DB" w:rsidRDefault="009266DB" w:rsidP="009266DB">
      <w:r>
        <w:t xml:space="preserve">184. </w:t>
      </w:r>
      <w:r>
        <w:tab/>
        <w:t xml:space="preserve">Aquí, </w:t>
      </w:r>
      <w:r w:rsidRPr="00C71BC3">
        <w:rPr>
          <w:i/>
          <w:iCs/>
        </w:rPr>
        <w:t>con el abandono del placer y el dolor</w:t>
      </w:r>
      <w:r>
        <w:t xml:space="preserve">: </w:t>
      </w:r>
      <w:r w:rsidR="00967EBF">
        <w:t xml:space="preserve">se </w:t>
      </w:r>
      <w:r w:rsidR="00FD2E3C">
        <w:t xml:space="preserve">quiere decir </w:t>
      </w:r>
      <w:r>
        <w:t xml:space="preserve">con el abandono del placer corporal y del dolor corporal. </w:t>
      </w:r>
      <w:r w:rsidR="00CE6B6E">
        <w:rPr>
          <w:i/>
          <w:iCs/>
        </w:rPr>
        <w:t>Previa</w:t>
      </w:r>
      <w:r>
        <w:t xml:space="preserve">: </w:t>
      </w:r>
      <w:r w:rsidR="005E7BCE">
        <w:t xml:space="preserve">a </w:t>
      </w:r>
      <w:r w:rsidR="00FD2E3C">
        <w:t xml:space="preserve">la </w:t>
      </w:r>
      <w:r>
        <w:t xml:space="preserve">que tuvo lugar antes, no en el momento del cuarto </w:t>
      </w:r>
      <w:proofErr w:type="spellStart"/>
      <w:r w:rsidR="00057BF4" w:rsidRPr="00057BF4">
        <w:rPr>
          <w:i/>
          <w:iCs/>
        </w:rPr>
        <w:t>jhāna</w:t>
      </w:r>
      <w:proofErr w:type="spellEnd"/>
      <w:r>
        <w:t xml:space="preserve">. </w:t>
      </w:r>
      <w:r w:rsidRPr="00C71BC3">
        <w:rPr>
          <w:i/>
          <w:iCs/>
        </w:rPr>
        <w:t xml:space="preserve">Desaparición </w:t>
      </w:r>
      <w:r w:rsidR="00D13F63">
        <w:rPr>
          <w:i/>
          <w:iCs/>
        </w:rPr>
        <w:t xml:space="preserve">previa </w:t>
      </w:r>
      <w:r w:rsidRPr="00C71BC3">
        <w:rPr>
          <w:i/>
          <w:iCs/>
        </w:rPr>
        <w:t xml:space="preserve">de la alegría y </w:t>
      </w:r>
      <w:r w:rsidR="00084701">
        <w:rPr>
          <w:i/>
          <w:iCs/>
        </w:rPr>
        <w:t>la aflicción</w:t>
      </w:r>
      <w:r>
        <w:t xml:space="preserve">: </w:t>
      </w:r>
      <w:r w:rsidR="00821BCD">
        <w:t xml:space="preserve">lo que se quiere decir es </w:t>
      </w:r>
      <w:r>
        <w:t xml:space="preserve">con la desaparición previa de los dos, es decir, </w:t>
      </w:r>
      <w:r w:rsidR="00B23B31">
        <w:t xml:space="preserve">tanto </w:t>
      </w:r>
      <w:r w:rsidR="00D13F63">
        <w:t xml:space="preserve">de </w:t>
      </w:r>
      <w:r>
        <w:t xml:space="preserve">la dicha mental (placer) </w:t>
      </w:r>
      <w:r w:rsidR="00B23B31">
        <w:t>como d</w:t>
      </w:r>
      <w:r>
        <w:t xml:space="preserve">el dolor mental; con </w:t>
      </w:r>
      <w:r w:rsidR="006A6BBC">
        <w:t>su</w:t>
      </w:r>
      <w:r>
        <w:t xml:space="preserve"> abandono.</w:t>
      </w:r>
    </w:p>
    <w:p w14:paraId="7C28AC4C" w14:textId="40D0F445" w:rsidR="009266DB" w:rsidRDefault="009266DB" w:rsidP="009266DB">
      <w:r>
        <w:t xml:space="preserve">185. </w:t>
      </w:r>
      <w:r>
        <w:tab/>
      </w:r>
      <w:r w:rsidR="006A6BBC">
        <w:t xml:space="preserve">No obstante, </w:t>
      </w:r>
      <w:r>
        <w:t xml:space="preserve">¿cuándo se produce el abandono de éstos? En el momento de acceso de los cuatro </w:t>
      </w:r>
      <w:proofErr w:type="spellStart"/>
      <w:r w:rsidR="00057BF4" w:rsidRPr="00057BF4">
        <w:rPr>
          <w:i/>
          <w:iCs/>
        </w:rPr>
        <w:t>jhāna</w:t>
      </w:r>
      <w:r w:rsidRPr="003912E5">
        <w:rPr>
          <w:i/>
          <w:iCs/>
        </w:rPr>
        <w:t>s</w:t>
      </w:r>
      <w:proofErr w:type="spellEnd"/>
      <w:r>
        <w:t xml:space="preserve">. Porque la alegría [mental] solo se abandona en el momento del acceso al cuarto </w:t>
      </w:r>
      <w:proofErr w:type="spellStart"/>
      <w:r w:rsidR="00057BF4" w:rsidRPr="00057BF4">
        <w:rPr>
          <w:i/>
          <w:iCs/>
        </w:rPr>
        <w:t>jhāna</w:t>
      </w:r>
      <w:proofErr w:type="spellEnd"/>
      <w:r>
        <w:t xml:space="preserve">, mientras que el dolor [corporal], </w:t>
      </w:r>
      <w:r w:rsidR="00990E98">
        <w:t>la aflicción</w:t>
      </w:r>
      <w:r>
        <w:t xml:space="preserve"> [mental] y la dicha (placer) [corporal] se abandonan respectivamente en los momentos de acceso del primer, segundo, y tercer </w:t>
      </w:r>
      <w:proofErr w:type="spellStart"/>
      <w:r w:rsidR="00057BF4" w:rsidRPr="00057BF4">
        <w:rPr>
          <w:i/>
          <w:iCs/>
        </w:rPr>
        <w:t>jhāna</w:t>
      </w:r>
      <w:proofErr w:type="spellEnd"/>
      <w:r>
        <w:t>. Entonces, aunque en realidad no se mencion</w:t>
      </w:r>
      <w:r w:rsidR="00A728E7">
        <w:t>e</w:t>
      </w:r>
      <w:r>
        <w:t xml:space="preserve"> el orden en </w:t>
      </w:r>
      <w:r w:rsidR="00A967C9">
        <w:t xml:space="preserve">el </w:t>
      </w:r>
      <w:r>
        <w:t>que se abandon</w:t>
      </w:r>
      <w:r w:rsidR="00A967C9">
        <w:t>e</w:t>
      </w:r>
      <w:r>
        <w:t>n</w:t>
      </w:r>
      <w:r w:rsidR="004A1768">
        <w:t xml:space="preserve"> estos</w:t>
      </w:r>
      <w:r>
        <w:t xml:space="preserve">, </w:t>
      </w:r>
      <w:r w:rsidR="00A728E7">
        <w:t xml:space="preserve">no obstante, </w:t>
      </w:r>
      <w:r>
        <w:t xml:space="preserve">el abandono del placer, </w:t>
      </w:r>
      <w:r w:rsidR="00A728E7">
        <w:t>d</w:t>
      </w:r>
      <w:r>
        <w:t xml:space="preserve">el dolor, </w:t>
      </w:r>
      <w:r w:rsidR="00A728E7">
        <w:t xml:space="preserve">de </w:t>
      </w:r>
      <w:r>
        <w:t xml:space="preserve">la alegría y </w:t>
      </w:r>
      <w:r w:rsidR="00A728E7">
        <w:t xml:space="preserve">de </w:t>
      </w:r>
      <w:r>
        <w:t xml:space="preserve">la </w:t>
      </w:r>
      <w:r w:rsidR="00574E42">
        <w:t xml:space="preserve">aflicción </w:t>
      </w:r>
      <w:r>
        <w:t>se establece</w:t>
      </w:r>
      <w:r w:rsidR="006F0568">
        <w:t xml:space="preserve">rá </w:t>
      </w:r>
      <w:r>
        <w:t xml:space="preserve">aquí </w:t>
      </w:r>
      <w:proofErr w:type="gramStart"/>
      <w:r>
        <w:t xml:space="preserve">de acuerdo </w:t>
      </w:r>
      <w:r w:rsidR="006F0568">
        <w:t>a</w:t>
      </w:r>
      <w:r>
        <w:t>l</w:t>
      </w:r>
      <w:proofErr w:type="gramEnd"/>
      <w:r>
        <w:t xml:space="preserve"> orden </w:t>
      </w:r>
      <w:r w:rsidR="006F0568">
        <w:t>con el</w:t>
      </w:r>
      <w:r>
        <w:t xml:space="preserve"> que se resumen las facultades en el </w:t>
      </w:r>
      <w:proofErr w:type="spellStart"/>
      <w:r w:rsidRPr="003912E5">
        <w:rPr>
          <w:i/>
          <w:iCs/>
        </w:rPr>
        <w:t>Indriya</w:t>
      </w:r>
      <w:proofErr w:type="spellEnd"/>
      <w:r>
        <w:t xml:space="preserve"> </w:t>
      </w:r>
      <w:proofErr w:type="spellStart"/>
      <w:r w:rsidRPr="003912E5">
        <w:rPr>
          <w:i/>
          <w:iCs/>
        </w:rPr>
        <w:t>Vibhaṅga</w:t>
      </w:r>
      <w:proofErr w:type="spellEnd"/>
      <w:r>
        <w:t xml:space="preserve"> (</w:t>
      </w:r>
      <w:proofErr w:type="spellStart"/>
      <w:r>
        <w:t>Vibh</w:t>
      </w:r>
      <w:proofErr w:type="spellEnd"/>
      <w:r>
        <w:t xml:space="preserve"> 122).</w:t>
      </w:r>
    </w:p>
    <w:p w14:paraId="6806E758" w14:textId="77777777" w:rsidR="009266DB" w:rsidRDefault="009266DB">
      <w:pPr>
        <w:tabs>
          <w:tab w:val="clear" w:pos="425"/>
        </w:tabs>
        <w:spacing w:after="160"/>
      </w:pPr>
      <w:r>
        <w:br w:type="page"/>
      </w:r>
    </w:p>
    <w:p w14:paraId="3D4D1A7C" w14:textId="0C8A0EF0" w:rsidR="005C58DC" w:rsidRDefault="005C58DC" w:rsidP="009266DB"/>
    <w:p w14:paraId="3183A70A" w14:textId="1605958C" w:rsidR="005C58DC" w:rsidRDefault="005C58DC" w:rsidP="005C58DC">
      <w:r>
        <w:t xml:space="preserve">186. </w:t>
      </w:r>
      <w:r>
        <w:tab/>
        <w:t xml:space="preserve">Pero si </w:t>
      </w:r>
      <w:r w:rsidR="006F0568">
        <w:t>é</w:t>
      </w:r>
      <w:r>
        <w:t xml:space="preserve">stos solo se abandonan en los momentos de acceso </w:t>
      </w:r>
      <w:r w:rsidR="000B4721">
        <w:t>a</w:t>
      </w:r>
      <w:r>
        <w:t xml:space="preserve"> los </w:t>
      </w:r>
      <w:r w:rsidR="006F0568">
        <w:t>diferentes</w:t>
      </w:r>
      <w:r>
        <w:t xml:space="preserve"> </w:t>
      </w:r>
      <w:proofErr w:type="spellStart"/>
      <w:r w:rsidR="00057BF4" w:rsidRPr="00057BF4">
        <w:rPr>
          <w:i/>
          <w:iCs/>
        </w:rPr>
        <w:t>jhāna</w:t>
      </w:r>
      <w:r w:rsidRPr="00C71BC3">
        <w:rPr>
          <w:i/>
          <w:iCs/>
        </w:rPr>
        <w:t>s</w:t>
      </w:r>
      <w:proofErr w:type="spellEnd"/>
      <w:r>
        <w:t xml:space="preserve">, ¿por qué se dice que cesan en el </w:t>
      </w:r>
      <w:proofErr w:type="spellStart"/>
      <w:r w:rsidR="00057BF4" w:rsidRPr="00057BF4">
        <w:rPr>
          <w:i/>
          <w:iCs/>
        </w:rPr>
        <w:t>jhāna</w:t>
      </w:r>
      <w:proofErr w:type="spellEnd"/>
      <w:r>
        <w:t xml:space="preserve"> mismo </w:t>
      </w:r>
      <w:r w:rsidR="00751E7E">
        <w:t>en e</w:t>
      </w:r>
      <w:r>
        <w:t>l siguiente pasaje: “¿Y dónde cesa sin resto la facultad del dolor que ha</w:t>
      </w:r>
      <w:r w:rsidR="006F0568">
        <w:t>ya</w:t>
      </w:r>
      <w:r>
        <w:t xml:space="preserve"> surgido? Aquí, </w:t>
      </w:r>
      <w:proofErr w:type="spellStart"/>
      <w:r w:rsidR="00057BF4" w:rsidRPr="00057BF4">
        <w:rPr>
          <w:i/>
          <w:iCs/>
        </w:rPr>
        <w:t>bhikkhu</w:t>
      </w:r>
      <w:r w:rsidRPr="00C71BC3">
        <w:rPr>
          <w:i/>
          <w:iCs/>
        </w:rPr>
        <w:t>s</w:t>
      </w:r>
      <w:proofErr w:type="spellEnd"/>
      <w:r>
        <w:t xml:space="preserve">, completamente apartado de los </w:t>
      </w:r>
      <w:r w:rsidR="007831DD">
        <w:t>deseos sensoriales</w:t>
      </w:r>
      <w:r>
        <w:t xml:space="preserve">, apartado de las cosas inútiles, un </w:t>
      </w:r>
      <w:proofErr w:type="spellStart"/>
      <w:r w:rsidR="00057BF4" w:rsidRPr="00057BF4">
        <w:rPr>
          <w:i/>
        </w:rPr>
        <w:t>bhikkhu</w:t>
      </w:r>
      <w:proofErr w:type="spellEnd"/>
      <w:r>
        <w:t xml:space="preserve"> entra y </w:t>
      </w:r>
      <w:r w:rsidR="006F0568">
        <w:t>habita</w:t>
      </w:r>
      <w:r>
        <w:t xml:space="preserve"> en el primer </w:t>
      </w:r>
      <w:proofErr w:type="spellStart"/>
      <w:r w:rsidR="00057BF4" w:rsidRPr="00057BF4">
        <w:rPr>
          <w:i/>
          <w:iCs/>
        </w:rPr>
        <w:t>jhāna</w:t>
      </w:r>
      <w:proofErr w:type="spellEnd"/>
      <w:r>
        <w:t xml:space="preserve">, que es... </w:t>
      </w:r>
      <w:r w:rsidR="00D62718">
        <w:t>surgido</w:t>
      </w:r>
      <w:r>
        <w:t xml:space="preserve"> de la reclusión. Es aquí donde la facultad de dolor surgida cesa sin resto... ¿Dónde cesa sin resto la facultad de </w:t>
      </w:r>
      <w:r w:rsidR="00E26459">
        <w:t>la aflicción</w:t>
      </w:r>
      <w:r>
        <w:t xml:space="preserve"> </w:t>
      </w:r>
      <w:r w:rsidR="00C00C84">
        <w:t xml:space="preserve">que </w:t>
      </w:r>
      <w:r w:rsidR="00E26459">
        <w:t xml:space="preserve">haya </w:t>
      </w:r>
      <w:r>
        <w:t>surgid</w:t>
      </w:r>
      <w:r w:rsidR="00E26459">
        <w:t>o</w:t>
      </w:r>
      <w:r>
        <w:t xml:space="preserve">? … en el segundo </w:t>
      </w:r>
      <w:proofErr w:type="spellStart"/>
      <w:r w:rsidR="00057BF4" w:rsidRPr="00057BF4">
        <w:rPr>
          <w:i/>
          <w:iCs/>
        </w:rPr>
        <w:t>jhāna</w:t>
      </w:r>
      <w:proofErr w:type="spellEnd"/>
      <w:r>
        <w:t>] … ¿Dónde cesa sin resto la facultad de placer que ha</w:t>
      </w:r>
      <w:r w:rsidR="00E26459">
        <w:t>ya</w:t>
      </w:r>
      <w:r>
        <w:t xml:space="preserve"> surgido? … en el tercer </w:t>
      </w:r>
      <w:proofErr w:type="spellStart"/>
      <w:r w:rsidR="00057BF4" w:rsidRPr="00057BF4">
        <w:rPr>
          <w:i/>
          <w:iCs/>
        </w:rPr>
        <w:t>jhāna</w:t>
      </w:r>
      <w:proofErr w:type="spellEnd"/>
      <w:r>
        <w:t>] … ¿Dónde cesa sin resto la facultad de alegría que ha</w:t>
      </w:r>
      <w:r w:rsidR="00E26459">
        <w:t>ya</w:t>
      </w:r>
      <w:r>
        <w:t xml:space="preserve"> surgido? [166] Aquí, </w:t>
      </w:r>
      <w:proofErr w:type="spellStart"/>
      <w:r w:rsidR="00057BF4" w:rsidRPr="00057BF4">
        <w:rPr>
          <w:i/>
          <w:iCs/>
        </w:rPr>
        <w:t>bhikkhu</w:t>
      </w:r>
      <w:r w:rsidRPr="00C71BC3">
        <w:rPr>
          <w:i/>
          <w:iCs/>
        </w:rPr>
        <w:t>s</w:t>
      </w:r>
      <w:proofErr w:type="spellEnd"/>
      <w:r>
        <w:t xml:space="preserve">, </w:t>
      </w:r>
      <w:r w:rsidRPr="00C71BC3">
        <w:rPr>
          <w:i/>
          <w:iCs/>
        </w:rPr>
        <w:t>con</w:t>
      </w:r>
      <w:r>
        <w:t xml:space="preserve"> el abandono del placer y el dolor [y con la desaparición previa de la alegría y </w:t>
      </w:r>
      <w:r w:rsidR="00E26459">
        <w:t>la aflicción</w:t>
      </w:r>
      <w:r>
        <w:t xml:space="preserve">] un </w:t>
      </w:r>
      <w:proofErr w:type="spellStart"/>
      <w:r w:rsidR="00057BF4" w:rsidRPr="00057BF4">
        <w:rPr>
          <w:i/>
        </w:rPr>
        <w:t>bhikkhu</w:t>
      </w:r>
      <w:proofErr w:type="spellEnd"/>
      <w:r>
        <w:t xml:space="preserve"> entra y </w:t>
      </w:r>
      <w:r w:rsidR="00E26459">
        <w:t xml:space="preserve">habita </w:t>
      </w:r>
      <w:r>
        <w:t xml:space="preserve">en el cuarto </w:t>
      </w:r>
      <w:proofErr w:type="spellStart"/>
      <w:r w:rsidR="00057BF4" w:rsidRPr="00057BF4">
        <w:rPr>
          <w:i/>
          <w:iCs/>
        </w:rPr>
        <w:t>jhāna</w:t>
      </w:r>
      <w:proofErr w:type="spellEnd"/>
      <w:r>
        <w:t xml:space="preserve">, que... </w:t>
      </w:r>
      <w:r w:rsidR="00690681">
        <w:t>posee</w:t>
      </w:r>
      <w:r>
        <w:t xml:space="preserve"> atención purificada </w:t>
      </w:r>
      <w:r w:rsidR="00690681">
        <w:t xml:space="preserve">mediante </w:t>
      </w:r>
      <w:r>
        <w:t>la ecuanimidad. Es aquí donde la facultad de</w:t>
      </w:r>
      <w:r w:rsidR="00B92F34">
        <w:t xml:space="preserve"> </w:t>
      </w:r>
      <w:r>
        <w:t>l</w:t>
      </w:r>
      <w:r w:rsidR="00B92F34">
        <w:t>a</w:t>
      </w:r>
      <w:r>
        <w:t xml:space="preserve"> </w:t>
      </w:r>
      <w:r w:rsidR="00B92F34">
        <w:t>alegría</w:t>
      </w:r>
      <w:r>
        <w:t xml:space="preserve"> surgida cesa sin resto” (S V 213-15).</w:t>
      </w:r>
    </w:p>
    <w:p w14:paraId="22AC000E" w14:textId="01BB3620" w:rsidR="005C58DC" w:rsidRDefault="005C58DC" w:rsidP="005C58DC">
      <w:pPr>
        <w:pStyle w:val="NormalConSangria"/>
      </w:pPr>
      <w:r>
        <w:t xml:space="preserve">Se dice así </w:t>
      </w:r>
      <w:r w:rsidR="00AB3010">
        <w:t>porque se</w:t>
      </w:r>
      <w:r w:rsidR="001E4B61">
        <w:t xml:space="preserve"> ref</w:t>
      </w:r>
      <w:r w:rsidR="00B81ED2">
        <w:t>ie</w:t>
      </w:r>
      <w:r w:rsidR="001E4B61">
        <w:t>re</w:t>
      </w:r>
      <w:r>
        <w:t xml:space="preserve"> a la cesación reforzada. </w:t>
      </w:r>
      <w:r w:rsidR="001E4B61">
        <w:t xml:space="preserve">Ya </w:t>
      </w:r>
      <w:r>
        <w:t xml:space="preserve">que en el primer </w:t>
      </w:r>
      <w:proofErr w:type="spellStart"/>
      <w:r w:rsidR="00057BF4" w:rsidRPr="00057BF4">
        <w:rPr>
          <w:i/>
          <w:iCs/>
        </w:rPr>
        <w:t>jhāna</w:t>
      </w:r>
      <w:proofErr w:type="spellEnd"/>
      <w:r>
        <w:t xml:space="preserve">, etc., es </w:t>
      </w:r>
      <w:r w:rsidR="005322A9">
        <w:t xml:space="preserve">la </w:t>
      </w:r>
      <w:r>
        <w:t xml:space="preserve">cesación reforzada, no solo </w:t>
      </w:r>
      <w:r w:rsidR="005322A9">
        <w:t xml:space="preserve">la </w:t>
      </w:r>
      <w:r>
        <w:t xml:space="preserve">cesación, lo que tiene lugar. </w:t>
      </w:r>
      <w:r w:rsidR="005322A9">
        <w:t>Lo que tiene lugar e</w:t>
      </w:r>
      <w:r>
        <w:t>n el momento del acceso es sólo su cesación, no su cesación reforzada.</w:t>
      </w:r>
    </w:p>
    <w:p w14:paraId="3B8ACF42" w14:textId="62333D68" w:rsidR="005C58DC" w:rsidRDefault="005C58DC" w:rsidP="005C58DC">
      <w:r>
        <w:t xml:space="preserve">187. </w:t>
      </w:r>
      <w:r>
        <w:tab/>
        <w:t xml:space="preserve">En consecuencia, durante el acceso </w:t>
      </w:r>
      <w:r w:rsidR="005322A9">
        <w:t xml:space="preserve">al </w:t>
      </w:r>
      <w:r w:rsidR="00C153A3">
        <w:t xml:space="preserve">primer </w:t>
      </w:r>
      <w:proofErr w:type="spellStart"/>
      <w:r w:rsidR="00057BF4" w:rsidRPr="00057BF4">
        <w:rPr>
          <w:i/>
          <w:iCs/>
        </w:rPr>
        <w:t>jhāna</w:t>
      </w:r>
      <w:proofErr w:type="spellEnd"/>
      <w:r>
        <w:t xml:space="preserve">, que tiene múltiples </w:t>
      </w:r>
      <w:r w:rsidR="00C153A3">
        <w:t>advertencias</w:t>
      </w:r>
      <w:r>
        <w:t xml:space="preserve">, podría </w:t>
      </w:r>
      <w:r w:rsidR="009020A0">
        <w:t>re</w:t>
      </w:r>
      <w:r>
        <w:t>surgir la facultad del dolor [corporal]</w:t>
      </w:r>
      <w:r w:rsidRPr="00F44429">
        <w:rPr>
          <w:vertAlign w:val="superscript"/>
        </w:rPr>
        <w:t>49</w:t>
      </w:r>
      <w:r>
        <w:t xml:space="preserve"> debido al contacto con tábanos, moscas, etc. o la incomodidad de un asiento desigual, aunque esa facultad del dolor </w:t>
      </w:r>
      <w:r w:rsidR="001D1B05">
        <w:t>haya</w:t>
      </w:r>
      <w:r w:rsidR="009020A0">
        <w:t xml:space="preserve"> </w:t>
      </w:r>
      <w:r>
        <w:t>ces</w:t>
      </w:r>
      <w:r w:rsidR="009020A0">
        <w:t>ado</w:t>
      </w:r>
      <w:r>
        <w:t xml:space="preserve">, no </w:t>
      </w:r>
      <w:r w:rsidR="00EB0578">
        <w:t xml:space="preserve">será </w:t>
      </w:r>
      <w:r>
        <w:t>así durante la absorción. O bien, aunque haya cesado durante el acceso, no ha</w:t>
      </w:r>
      <w:r w:rsidR="00464B6C">
        <w:t>brá</w:t>
      </w:r>
      <w:r>
        <w:t xml:space="preserve"> cesado absolutamente allí, ya que no </w:t>
      </w:r>
      <w:r w:rsidR="008E1FA3">
        <w:t xml:space="preserve">habrá sido </w:t>
      </w:r>
      <w:r>
        <w:t xml:space="preserve">del todo vencido por la oposición. </w:t>
      </w:r>
      <w:r w:rsidR="00EB0578">
        <w:t xml:space="preserve">No obstante, </w:t>
      </w:r>
      <w:r>
        <w:t>durante la absorción, todo el cuerpo se llena</w:t>
      </w:r>
      <w:r w:rsidR="008E1FA3">
        <w:t xml:space="preserve">rá </w:t>
      </w:r>
      <w:r>
        <w:t xml:space="preserve">de dicha debido a la </w:t>
      </w:r>
      <w:r w:rsidR="004145EE">
        <w:t>difusión</w:t>
      </w:r>
      <w:r>
        <w:t xml:space="preserve"> de la felicidad. Y la facultad del dolor ha</w:t>
      </w:r>
      <w:r w:rsidR="004145EE">
        <w:t>brá</w:t>
      </w:r>
      <w:r>
        <w:t xml:space="preserve"> cesado absolutamente en aqu</w:t>
      </w:r>
      <w:r w:rsidR="004145EE">
        <w:t>é</w:t>
      </w:r>
      <w:r>
        <w:t xml:space="preserve">l cuyo cuerpo </w:t>
      </w:r>
      <w:r w:rsidR="004145EE">
        <w:t>haya sido vertido de</w:t>
      </w:r>
      <w:r>
        <w:t xml:space="preserve"> dicha, ya que entonces </w:t>
      </w:r>
      <w:r w:rsidR="004145EE">
        <w:t xml:space="preserve">habrá sido impactado </w:t>
      </w:r>
      <w:r>
        <w:t>por la oposición.</w:t>
      </w:r>
    </w:p>
    <w:p w14:paraId="573DFD54" w14:textId="77777777" w:rsidR="005C58DC" w:rsidRDefault="005C58DC" w:rsidP="005C58DC"/>
    <w:p w14:paraId="224A7B9D" w14:textId="77777777" w:rsidR="005C58DC" w:rsidRDefault="005C58DC" w:rsidP="005C58DC">
      <w:pPr>
        <w:pStyle w:val="PiedepginaLegal"/>
        <w:rPr>
          <w:u w:val="single"/>
        </w:rPr>
      </w:pPr>
      <w:r>
        <w:rPr>
          <w:u w:val="single"/>
        </w:rPr>
        <w:tab/>
      </w:r>
      <w:r>
        <w:rPr>
          <w:u w:val="single"/>
        </w:rPr>
        <w:tab/>
      </w:r>
      <w:r>
        <w:rPr>
          <w:u w:val="single"/>
        </w:rPr>
        <w:tab/>
      </w:r>
      <w:r>
        <w:rPr>
          <w:u w:val="single"/>
        </w:rPr>
        <w:tab/>
        <w:t>.</w:t>
      </w:r>
    </w:p>
    <w:p w14:paraId="10229EC0" w14:textId="24251D82" w:rsidR="005C58DC" w:rsidRDefault="005C58DC" w:rsidP="005C58DC">
      <w:pPr>
        <w:pStyle w:val="PiedepginaLegal"/>
      </w:pPr>
      <w:r>
        <w:t xml:space="preserve">49. </w:t>
      </w:r>
      <w:r>
        <w:tab/>
        <w:t>“Dicen que</w:t>
      </w:r>
      <w:r w:rsidR="004145EE">
        <w:t>,</w:t>
      </w:r>
      <w:r>
        <w:t xml:space="preserve"> con las palabras, 'Podría </w:t>
      </w:r>
      <w:r w:rsidR="0084555E">
        <w:t>darse el</w:t>
      </w:r>
      <w:r>
        <w:t xml:space="preserve"> surgimiento de la facultad del dolor', </w:t>
      </w:r>
      <w:r w:rsidR="0084555E">
        <w:t xml:space="preserve">ello </w:t>
      </w:r>
      <w:r>
        <w:t xml:space="preserve">se </w:t>
      </w:r>
      <w:r w:rsidR="00CB7491">
        <w:t>expone</w:t>
      </w:r>
      <w:r>
        <w:t xml:space="preserve"> dado que el dolor surg</w:t>
      </w:r>
      <w:r w:rsidR="0084555E">
        <w:t>irá</w:t>
      </w:r>
      <w:r>
        <w:t xml:space="preserve"> incluso en </w:t>
      </w:r>
      <w:r w:rsidR="00F25D5B">
        <w:t>aquel</w:t>
      </w:r>
      <w:r>
        <w:t xml:space="preserve">los que </w:t>
      </w:r>
      <w:r w:rsidR="00B54B44">
        <w:t>consum</w:t>
      </w:r>
      <w:r w:rsidR="0084555E">
        <w:t>e</w:t>
      </w:r>
      <w:r w:rsidR="00B54B44">
        <w:t>n los</w:t>
      </w:r>
      <w:r>
        <w:t xml:space="preserve"> </w:t>
      </w:r>
      <w:proofErr w:type="spellStart"/>
      <w:r w:rsidR="00057BF4" w:rsidRPr="00057BF4">
        <w:rPr>
          <w:i/>
          <w:iCs/>
        </w:rPr>
        <w:t>jhāna</w:t>
      </w:r>
      <w:r w:rsidR="004F498F" w:rsidRPr="004F498F">
        <w:t>s</w:t>
      </w:r>
      <w:proofErr w:type="spellEnd"/>
      <w:r>
        <w:t xml:space="preserve">, </w:t>
      </w:r>
      <w:r w:rsidR="00C650CC">
        <w:t>está demostrado</w:t>
      </w:r>
      <w:r>
        <w:t xml:space="preserve"> que el odio puede existir sin ser un obstáculo </w:t>
      </w:r>
      <w:r w:rsidR="00C650CC">
        <w:t xml:space="preserve">como </w:t>
      </w:r>
      <w:r w:rsidR="004F498F">
        <w:t xml:space="preserve">los </w:t>
      </w:r>
      <w:r w:rsidR="00C650CC">
        <w:t>en el caso de la</w:t>
      </w:r>
      <w:r>
        <w:t xml:space="preserve"> codicia; </w:t>
      </w:r>
      <w:r w:rsidR="004A2504">
        <w:t xml:space="preserve">ya </w:t>
      </w:r>
      <w:r>
        <w:t xml:space="preserve">que </w:t>
      </w:r>
      <w:r w:rsidR="00566C9C">
        <w:t>la aflicción</w:t>
      </w:r>
      <w:r>
        <w:t xml:space="preserve"> no surg</w:t>
      </w:r>
      <w:r w:rsidR="0084555E">
        <w:t>irá</w:t>
      </w:r>
      <w:r>
        <w:t xml:space="preserve"> sin el odio. Tampoco, dicen, </w:t>
      </w:r>
      <w:r w:rsidR="00B01F38">
        <w:t>existe</w:t>
      </w:r>
      <w:r>
        <w:t xml:space="preserve"> ningún conflicto con el texto de</w:t>
      </w:r>
      <w:r w:rsidR="00566C9C">
        <w:t>l</w:t>
      </w:r>
      <w:r>
        <w:t xml:space="preserve"> </w:t>
      </w:r>
      <w:proofErr w:type="spellStart"/>
      <w:r w:rsidRPr="00C71BC3">
        <w:rPr>
          <w:i/>
          <w:iCs/>
        </w:rPr>
        <w:t>Pa</w:t>
      </w:r>
      <w:r w:rsidR="00C71BC3" w:rsidRPr="00C71BC3">
        <w:rPr>
          <w:i/>
          <w:iCs/>
        </w:rPr>
        <w:t>ṭṭ</w:t>
      </w:r>
      <w:r w:rsidRPr="00C71BC3">
        <w:rPr>
          <w:i/>
          <w:iCs/>
        </w:rPr>
        <w:t>h</w:t>
      </w:r>
      <w:r w:rsidR="00C71BC3" w:rsidRPr="00C71BC3">
        <w:rPr>
          <w:i/>
          <w:iCs/>
        </w:rPr>
        <w:t>ā</w:t>
      </w:r>
      <w:r w:rsidRPr="00C71BC3">
        <w:rPr>
          <w:i/>
          <w:iCs/>
        </w:rPr>
        <w:t>na</w:t>
      </w:r>
      <w:proofErr w:type="spellEnd"/>
      <w:r>
        <w:t xml:space="preserve"> que se pueda </w:t>
      </w:r>
      <w:r w:rsidR="00566C9C">
        <w:t>conjeturar</w:t>
      </w:r>
      <w:r>
        <w:t xml:space="preserve"> aquí, ya que lo que se </w:t>
      </w:r>
      <w:r w:rsidR="00566C9C">
        <w:t xml:space="preserve">expone </w:t>
      </w:r>
      <w:r>
        <w:t xml:space="preserve">allí </w:t>
      </w:r>
      <w:r w:rsidR="004A2504">
        <w:t>se refiere</w:t>
      </w:r>
      <w:r>
        <w:t xml:space="preserve"> solo </w:t>
      </w:r>
      <w:r w:rsidR="004A2504">
        <w:t xml:space="preserve">a </w:t>
      </w:r>
      <w:r w:rsidR="008D4E77">
        <w:t>la aflicción</w:t>
      </w:r>
      <w:r>
        <w:t xml:space="preserve"> ocurr</w:t>
      </w:r>
      <w:r w:rsidR="008D4E77">
        <w:t>ida</w:t>
      </w:r>
      <w:r>
        <w:t xml:space="preserve"> </w:t>
      </w:r>
      <w:r w:rsidR="00C40A79">
        <w:t>al hacer</w:t>
      </w:r>
      <w:r>
        <w:t xml:space="preserve"> que </w:t>
      </w:r>
      <w:r w:rsidR="00C40A79">
        <w:t>e</w:t>
      </w:r>
      <w:r>
        <w:t xml:space="preserve">l </w:t>
      </w:r>
      <w:proofErr w:type="spellStart"/>
      <w:r w:rsidR="00057BF4" w:rsidRPr="00057BF4">
        <w:rPr>
          <w:i/>
          <w:iCs/>
        </w:rPr>
        <w:t>jhāna</w:t>
      </w:r>
      <w:proofErr w:type="spellEnd"/>
      <w:r>
        <w:t xml:space="preserve"> perdid</w:t>
      </w:r>
      <w:r w:rsidR="00C40A79">
        <w:t>o</w:t>
      </w:r>
      <w:r>
        <w:t xml:space="preserve"> sea su objeto</w:t>
      </w:r>
      <w:r w:rsidR="0093645E">
        <w:t>,</w:t>
      </w:r>
      <w:r>
        <w:t xml:space="preserve"> </w:t>
      </w:r>
      <w:r w:rsidR="00C40A79">
        <w:t>ya que</w:t>
      </w:r>
      <w:r>
        <w:t xml:space="preserve"> la </w:t>
      </w:r>
      <w:r w:rsidR="00AA0179">
        <w:t>aflicción</w:t>
      </w:r>
      <w:r>
        <w:t xml:space="preserve"> que ocurr</w:t>
      </w:r>
      <w:r w:rsidR="00C40A79">
        <w:t>a</w:t>
      </w:r>
      <w:r>
        <w:t xml:space="preserve"> </w:t>
      </w:r>
      <w:r w:rsidR="0093645E">
        <w:t>al hacer</w:t>
      </w:r>
      <w:r>
        <w:t xml:space="preserve"> su objeto </w:t>
      </w:r>
      <w:r w:rsidR="00AA0179">
        <w:t xml:space="preserve">un </w:t>
      </w:r>
      <w:proofErr w:type="spellStart"/>
      <w:r w:rsidR="00057BF4" w:rsidRPr="00057BF4">
        <w:rPr>
          <w:i/>
          <w:iCs/>
        </w:rPr>
        <w:t>jhāna</w:t>
      </w:r>
      <w:proofErr w:type="spellEnd"/>
      <w:r>
        <w:t xml:space="preserve"> que no se ha</w:t>
      </w:r>
      <w:r w:rsidR="0093645E">
        <w:t>ya</w:t>
      </w:r>
      <w:r>
        <w:t xml:space="preserve"> perdido no </w:t>
      </w:r>
      <w:r w:rsidR="0093645E">
        <w:t>será relevante</w:t>
      </w:r>
      <w:r>
        <w:t xml:space="preserve"> </w:t>
      </w:r>
      <w:r w:rsidR="00B01F38">
        <w:t>entonce</w:t>
      </w:r>
      <w:r w:rsidR="0093645E">
        <w:t>s</w:t>
      </w:r>
      <w:r>
        <w:t xml:space="preserve">. Y dicen que no se puede sostener que </w:t>
      </w:r>
      <w:r w:rsidR="00DF2FA4">
        <w:t>la aflicción</w:t>
      </w:r>
      <w:r>
        <w:t xml:space="preserve"> no sur</w:t>
      </w:r>
      <w:r w:rsidR="00F06FE5">
        <w:t>girá</w:t>
      </w:r>
      <w:r w:rsidR="00D71BC0">
        <w:t xml:space="preserve"> </w:t>
      </w:r>
      <w:r>
        <w:t xml:space="preserve">en </w:t>
      </w:r>
      <w:r w:rsidR="00D71BC0">
        <w:t xml:space="preserve">lo </w:t>
      </w:r>
      <w:r>
        <w:t>absoluto en aquellos que ha</w:t>
      </w:r>
      <w:r w:rsidR="00DF2FA4">
        <w:t>ya</w:t>
      </w:r>
      <w:r w:rsidR="00D71BC0">
        <w:t>n</w:t>
      </w:r>
      <w:r>
        <w:t xml:space="preserve"> </w:t>
      </w:r>
      <w:r w:rsidR="00DF2FA4">
        <w:t>consumado un</w:t>
      </w:r>
      <w:r>
        <w:t xml:space="preserve"> </w:t>
      </w:r>
      <w:proofErr w:type="spellStart"/>
      <w:r w:rsidR="00057BF4" w:rsidRPr="00057BF4">
        <w:rPr>
          <w:i/>
          <w:iCs/>
        </w:rPr>
        <w:t>jhāna</w:t>
      </w:r>
      <w:proofErr w:type="spellEnd"/>
      <w:r>
        <w:t xml:space="preserve"> ya que sí surgió en </w:t>
      </w:r>
      <w:r w:rsidR="00D71BC0">
        <w:t xml:space="preserve">el caso </w:t>
      </w:r>
      <w:r w:rsidR="003E28C0">
        <w:t xml:space="preserve">de </w:t>
      </w:r>
      <w:r>
        <w:t>Asita qu</w:t>
      </w:r>
      <w:r w:rsidR="006F684B">
        <w:t>ien</w:t>
      </w:r>
      <w:r>
        <w:t xml:space="preserve"> </w:t>
      </w:r>
      <w:r w:rsidR="00D71BC0">
        <w:t xml:space="preserve">había desarrollado </w:t>
      </w:r>
      <w:r>
        <w:t>l</w:t>
      </w:r>
      <w:r w:rsidR="00D71BC0">
        <w:t>a</w:t>
      </w:r>
      <w:r>
        <w:t xml:space="preserve">s ocho </w:t>
      </w:r>
      <w:r w:rsidR="00D71BC0">
        <w:t xml:space="preserve">absorciones </w:t>
      </w:r>
      <w:r>
        <w:t xml:space="preserve">(Sn 691), y él no </w:t>
      </w:r>
      <w:r w:rsidR="006F684B">
        <w:t>era</w:t>
      </w:r>
      <w:r w:rsidR="002F56B6">
        <w:t xml:space="preserve"> </w:t>
      </w:r>
      <w:r w:rsidR="00DF2FA4">
        <w:t xml:space="preserve">alguien </w:t>
      </w:r>
      <w:r>
        <w:t xml:space="preserve">que </w:t>
      </w:r>
      <w:r w:rsidR="00DF2FA4">
        <w:t xml:space="preserve">hubiese </w:t>
      </w:r>
      <w:r>
        <w:t xml:space="preserve">perdido </w:t>
      </w:r>
      <w:r w:rsidR="002F56B6">
        <w:t>algún</w:t>
      </w:r>
      <w:r w:rsidR="00D71BC0">
        <w:t xml:space="preserve"> </w:t>
      </w:r>
      <w:proofErr w:type="spellStart"/>
      <w:r w:rsidR="00057BF4" w:rsidRPr="00057BF4">
        <w:rPr>
          <w:i/>
          <w:iCs/>
        </w:rPr>
        <w:t>jhāna</w:t>
      </w:r>
      <w:proofErr w:type="spellEnd"/>
      <w:r>
        <w:t xml:space="preserve">. Eso dicen. Eso </w:t>
      </w:r>
      <w:r w:rsidR="00421BB5">
        <w:t>es incorrecto</w:t>
      </w:r>
      <w:r>
        <w:t xml:space="preserve"> porque no </w:t>
      </w:r>
      <w:r w:rsidR="002F56B6">
        <w:t>exist</w:t>
      </w:r>
      <w:r w:rsidR="002A5F5D">
        <w:t>irá</w:t>
      </w:r>
      <w:r>
        <w:t xml:space="preserve"> odio sin la naturaleza de un obstáculo. Si lo hubie</w:t>
      </w:r>
      <w:r w:rsidR="00A57F64">
        <w:t>se</w:t>
      </w:r>
      <w:r>
        <w:t xml:space="preserve">, surgiría en los seres </w:t>
      </w:r>
      <w:r w:rsidR="00A57F64">
        <w:t xml:space="preserve">de la </w:t>
      </w:r>
      <w:r>
        <w:t>materia</w:t>
      </w:r>
      <w:r w:rsidR="00A57F64">
        <w:t xml:space="preserve"> sutil</w:t>
      </w:r>
      <w:r>
        <w:t xml:space="preserve"> e inmateriales, y no es así. En consecuencia, cuando en pasajes como 'En el estado inmaterial, debido al obstáculo de la lujuria</w:t>
      </w:r>
      <w:r w:rsidR="008F136D">
        <w:t>,</w:t>
      </w:r>
      <w:r>
        <w:t xml:space="preserve"> exist</w:t>
      </w:r>
      <w:r w:rsidR="00804BFA">
        <w:t>irá</w:t>
      </w:r>
      <w:r>
        <w:t xml:space="preserve"> el obstáculo de la rigidez y el letargo... el obstáculo de la agitación, el obstáculo de la ignorancia' (</w:t>
      </w:r>
      <w:proofErr w:type="spellStart"/>
      <w:r w:rsidRPr="00C71BC3">
        <w:t>Paṭṭh</w:t>
      </w:r>
      <w:proofErr w:type="spellEnd"/>
      <w:r>
        <w:t xml:space="preserve"> II 291)</w:t>
      </w:r>
      <w:r w:rsidR="00BA267C">
        <w:t>;</w:t>
      </w:r>
      <w:r>
        <w:t xml:space="preserve"> la mala voluntad y la preocupación no son mencionados como obstáculos, </w:t>
      </w:r>
      <w:r w:rsidR="008F136D">
        <w:t xml:space="preserve">pero </w:t>
      </w:r>
      <w:r>
        <w:t>eso no implica que no sean obstáculos, incluso suponiendo que fue</w:t>
      </w:r>
      <w:r w:rsidR="00CE591D">
        <w:t>se</w:t>
      </w:r>
      <w:r>
        <w:t xml:space="preserve"> porque la lujuria, etc., no </w:t>
      </w:r>
      <w:r w:rsidR="00FF4A4D">
        <w:t xml:space="preserve">fuesen </w:t>
      </w:r>
      <w:r>
        <w:t xml:space="preserve">realmente obstáculos y </w:t>
      </w:r>
      <w:r w:rsidR="00FF4A4D">
        <w:t xml:space="preserve">fuesen </w:t>
      </w:r>
      <w:r>
        <w:t xml:space="preserve">llamados obstáculos en sentido figurado debido a la semejanza con los obstáculos. Y no </w:t>
      </w:r>
      <w:r w:rsidR="008B5813">
        <w:t>se puede</w:t>
      </w:r>
      <w:r>
        <w:t xml:space="preserve"> argumentar, 'es porque surgió en Asita', ya que </w:t>
      </w:r>
      <w:r w:rsidR="004F498F">
        <w:t xml:space="preserve">habrá </w:t>
      </w:r>
      <w:r>
        <w:t xml:space="preserve">un </w:t>
      </w:r>
      <w:r w:rsidR="004F498F">
        <w:t xml:space="preserve">distanciamiento </w:t>
      </w:r>
      <w:r>
        <w:t>de</w:t>
      </w:r>
      <w:r w:rsidR="004F498F">
        <w:t>l</w:t>
      </w:r>
      <w:r>
        <w:t xml:space="preserve"> </w:t>
      </w:r>
      <w:proofErr w:type="spellStart"/>
      <w:r w:rsidR="00057BF4" w:rsidRPr="00057BF4">
        <w:rPr>
          <w:i/>
          <w:iCs/>
        </w:rPr>
        <w:t>jhāna</w:t>
      </w:r>
      <w:proofErr w:type="spellEnd"/>
      <w:r>
        <w:t xml:space="preserve"> con el surgimiento del dolor. La forma de considerar e</w:t>
      </w:r>
      <w:r w:rsidR="009D3BBE">
        <w:t>ll</w:t>
      </w:r>
      <w:r>
        <w:t xml:space="preserve">o es </w:t>
      </w:r>
      <w:r w:rsidR="008F136D">
        <w:t>por</w:t>
      </w:r>
      <w:r>
        <w:t xml:space="preserve">que cuando el </w:t>
      </w:r>
      <w:proofErr w:type="spellStart"/>
      <w:r w:rsidR="00057BF4" w:rsidRPr="00057BF4">
        <w:rPr>
          <w:i/>
          <w:iCs/>
        </w:rPr>
        <w:t>jhāna</w:t>
      </w:r>
      <w:proofErr w:type="spellEnd"/>
      <w:r>
        <w:t xml:space="preserve"> se pierd</w:t>
      </w:r>
      <w:r w:rsidR="008F136D">
        <w:t>a</w:t>
      </w:r>
      <w:r>
        <w:t xml:space="preserve"> por alguna razón trivial, tales hombres lo restablece</w:t>
      </w:r>
      <w:r w:rsidR="008F136D">
        <w:t>rá</w:t>
      </w:r>
      <w:r>
        <w:t>n sin dificultad” (</w:t>
      </w:r>
      <w:proofErr w:type="spellStart"/>
      <w:r>
        <w:t>Vism-mhṭ</w:t>
      </w:r>
      <w:proofErr w:type="spellEnd"/>
      <w:r>
        <w:t xml:space="preserve"> 158–59).</w:t>
      </w:r>
    </w:p>
    <w:p w14:paraId="3B52985E" w14:textId="77777777" w:rsidR="005C58DC" w:rsidRDefault="005C58DC">
      <w:pPr>
        <w:tabs>
          <w:tab w:val="clear" w:pos="425"/>
        </w:tabs>
        <w:spacing w:after="160"/>
      </w:pPr>
      <w:r>
        <w:br w:type="page"/>
      </w:r>
    </w:p>
    <w:p w14:paraId="2C718886" w14:textId="29524DAF" w:rsidR="00324C49" w:rsidRDefault="00F44429" w:rsidP="00324C49">
      <w:r>
        <w:lastRenderedPageBreak/>
        <w:br/>
      </w:r>
    </w:p>
    <w:p w14:paraId="75F9448A" w14:textId="73AB1388" w:rsidR="00324C49" w:rsidRDefault="00324C49" w:rsidP="00324C49">
      <w:r>
        <w:t xml:space="preserve">188. </w:t>
      </w:r>
      <w:r>
        <w:tab/>
        <w:t xml:space="preserve">Y durante el acceso </w:t>
      </w:r>
      <w:r w:rsidR="00E661E5">
        <w:t>a</w:t>
      </w:r>
      <w:r>
        <w:t xml:space="preserve">l segundo </w:t>
      </w:r>
      <w:proofErr w:type="spellStart"/>
      <w:r w:rsidR="00057BF4" w:rsidRPr="00057BF4">
        <w:rPr>
          <w:i/>
          <w:iCs/>
        </w:rPr>
        <w:t>jhāna</w:t>
      </w:r>
      <w:proofErr w:type="spellEnd"/>
      <w:r>
        <w:t xml:space="preserve"> también, </w:t>
      </w:r>
      <w:r w:rsidR="00E661E5">
        <w:t>el cual</w:t>
      </w:r>
      <w:r>
        <w:t xml:space="preserve"> tiene múltiples advertencias, podría surgir la facultad [mental] del dolor, aunque ya </w:t>
      </w:r>
      <w:r w:rsidR="00BF4D0A">
        <w:t>haya</w:t>
      </w:r>
      <w:r>
        <w:t xml:space="preserve"> cesado allí, porque surg</w:t>
      </w:r>
      <w:r w:rsidR="00BF4D0A">
        <w:t>irá</w:t>
      </w:r>
      <w:r>
        <w:t xml:space="preserve"> cuando hay</w:t>
      </w:r>
      <w:r w:rsidR="00BF4D0A">
        <w:t>a</w:t>
      </w:r>
      <w:r>
        <w:t xml:space="preserve"> cansancio corporal y aflicción mental, que </w:t>
      </w:r>
      <w:r w:rsidR="002D04C4">
        <w:t>posee</w:t>
      </w:r>
      <w:r>
        <w:t xml:space="preserve"> </w:t>
      </w:r>
      <w:r w:rsidR="009E5473">
        <w:t xml:space="preserve">aplicación </w:t>
      </w:r>
      <w:r>
        <w:t xml:space="preserve">y </w:t>
      </w:r>
      <w:r w:rsidR="009E5473">
        <w:t xml:space="preserve">sustentación mental </w:t>
      </w:r>
      <w:r>
        <w:t xml:space="preserve">como su condición, </w:t>
      </w:r>
      <w:r w:rsidR="00622910">
        <w:t xml:space="preserve">no obstante, </w:t>
      </w:r>
      <w:r>
        <w:t>no surg</w:t>
      </w:r>
      <w:r w:rsidR="00622910">
        <w:t>irá</w:t>
      </w:r>
      <w:r>
        <w:t xml:space="preserve"> cuando </w:t>
      </w:r>
      <w:r w:rsidR="00622910">
        <w:t xml:space="preserve">la aplicación y sustentación mental </w:t>
      </w:r>
      <w:r>
        <w:t>est</w:t>
      </w:r>
      <w:r w:rsidR="00622910">
        <w:t>é</w:t>
      </w:r>
      <w:r w:rsidR="002D04C4">
        <w:t>n</w:t>
      </w:r>
      <w:r>
        <w:t xml:space="preserve"> ausente</w:t>
      </w:r>
      <w:r w:rsidR="002D04C4">
        <w:t>s</w:t>
      </w:r>
      <w:r>
        <w:t>. Cuando sur</w:t>
      </w:r>
      <w:r w:rsidR="002D04C4">
        <w:t>ja</w:t>
      </w:r>
      <w:r>
        <w:t>, lo ha</w:t>
      </w:r>
      <w:r w:rsidR="002D04C4">
        <w:t>rán</w:t>
      </w:r>
      <w:r>
        <w:t xml:space="preserve"> en presencia de</w:t>
      </w:r>
      <w:r w:rsidR="00622910">
        <w:t xml:space="preserve"> </w:t>
      </w:r>
      <w:r>
        <w:t>l</w:t>
      </w:r>
      <w:r w:rsidR="00622910">
        <w:t>a</w:t>
      </w:r>
      <w:r>
        <w:t xml:space="preserve"> </w:t>
      </w:r>
      <w:r w:rsidR="00622910">
        <w:t>aplicación y sustentación mental</w:t>
      </w:r>
      <w:r>
        <w:t>, y no se abandona</w:t>
      </w:r>
      <w:r w:rsidR="002D04C4">
        <w:t>rá</w:t>
      </w:r>
      <w:r>
        <w:t xml:space="preserve">n en el </w:t>
      </w:r>
      <w:r w:rsidR="002D04C4">
        <w:t xml:space="preserve">acceso al segundo </w:t>
      </w:r>
      <w:proofErr w:type="spellStart"/>
      <w:r w:rsidR="00057BF4" w:rsidRPr="00057BF4">
        <w:rPr>
          <w:i/>
          <w:iCs/>
        </w:rPr>
        <w:t>jhāna</w:t>
      </w:r>
      <w:proofErr w:type="spellEnd"/>
      <w:r>
        <w:t xml:space="preserve">; pero esto no </w:t>
      </w:r>
      <w:r w:rsidR="00622910">
        <w:t>será</w:t>
      </w:r>
      <w:r>
        <w:t xml:space="preserve"> así en el segundo </w:t>
      </w:r>
      <w:proofErr w:type="spellStart"/>
      <w:r w:rsidR="00057BF4" w:rsidRPr="00057BF4">
        <w:rPr>
          <w:i/>
          <w:iCs/>
        </w:rPr>
        <w:t>jhāna</w:t>
      </w:r>
      <w:proofErr w:type="spellEnd"/>
      <w:r>
        <w:t xml:space="preserve"> mismo porque sus condiciones se abandona</w:t>
      </w:r>
      <w:r w:rsidR="002D04C4">
        <w:t>rá</w:t>
      </w:r>
      <w:r>
        <w:t xml:space="preserve">n </w:t>
      </w:r>
      <w:r w:rsidR="00622910">
        <w:t>entonces</w:t>
      </w:r>
      <w:r>
        <w:t>.</w:t>
      </w:r>
    </w:p>
    <w:p w14:paraId="76C75DE9" w14:textId="06CEB465" w:rsidR="00324C49" w:rsidRDefault="00324C49" w:rsidP="00324C49">
      <w:r>
        <w:t xml:space="preserve">189. </w:t>
      </w:r>
      <w:r>
        <w:tab/>
        <w:t xml:space="preserve">Asimismo, en el acceso </w:t>
      </w:r>
      <w:r w:rsidR="002D04C4">
        <w:t>a</w:t>
      </w:r>
      <w:r>
        <w:t xml:space="preserve">l tercer </w:t>
      </w:r>
      <w:proofErr w:type="spellStart"/>
      <w:r w:rsidR="00057BF4" w:rsidRPr="00057BF4">
        <w:rPr>
          <w:i/>
          <w:iCs/>
        </w:rPr>
        <w:t>jhāna</w:t>
      </w:r>
      <w:proofErr w:type="spellEnd"/>
      <w:r>
        <w:t xml:space="preserve"> podría surgir la facultad de placer [corporal] abandonada en alguien cuyo cuerpo </w:t>
      </w:r>
      <w:r w:rsidR="00C82480">
        <w:t>estuviese</w:t>
      </w:r>
      <w:r>
        <w:t xml:space="preserve"> penetrado por la materialidad superior originada por la [</w:t>
      </w:r>
      <w:r w:rsidR="00305E12">
        <w:t>consciencia</w:t>
      </w:r>
      <w:r>
        <w:t xml:space="preserve"> asociada con la] felicidad. Pero no así en el tercer </w:t>
      </w:r>
      <w:proofErr w:type="spellStart"/>
      <w:r w:rsidR="00057BF4" w:rsidRPr="00057BF4">
        <w:rPr>
          <w:i/>
          <w:iCs/>
        </w:rPr>
        <w:t>jhāna</w:t>
      </w:r>
      <w:proofErr w:type="spellEnd"/>
      <w:r>
        <w:t xml:space="preserve"> mismo. </w:t>
      </w:r>
      <w:r w:rsidR="00EF47CB">
        <w:t xml:space="preserve">Ya </w:t>
      </w:r>
      <w:r>
        <w:t xml:space="preserve">que en el tercer </w:t>
      </w:r>
      <w:proofErr w:type="spellStart"/>
      <w:r w:rsidR="00057BF4" w:rsidRPr="00057BF4">
        <w:rPr>
          <w:i/>
          <w:iCs/>
        </w:rPr>
        <w:t>jhāna</w:t>
      </w:r>
      <w:proofErr w:type="spellEnd"/>
      <w:r>
        <w:t xml:space="preserve"> la felicidad</w:t>
      </w:r>
      <w:r w:rsidR="00C82480">
        <w:t>,</w:t>
      </w:r>
      <w:r>
        <w:t xml:space="preserve"> </w:t>
      </w:r>
      <w:r w:rsidR="00C82480">
        <w:t>la cual</w:t>
      </w:r>
      <w:r w:rsidR="00EF47CB">
        <w:t xml:space="preserve"> </w:t>
      </w:r>
      <w:r>
        <w:t xml:space="preserve">es una condición para la </w:t>
      </w:r>
      <w:r w:rsidR="00C82480">
        <w:t>dicha</w:t>
      </w:r>
      <w:r>
        <w:t xml:space="preserve"> (placer) [corporal]</w:t>
      </w:r>
      <w:r w:rsidR="00C82480">
        <w:t>,</w:t>
      </w:r>
      <w:r>
        <w:t xml:space="preserve"> ha</w:t>
      </w:r>
      <w:r w:rsidR="00C82480">
        <w:t>brá</w:t>
      </w:r>
      <w:r>
        <w:t xml:space="preserve"> cesado por completo. Asimismo, en el acceso </w:t>
      </w:r>
      <w:r w:rsidR="00C82480">
        <w:t>a</w:t>
      </w:r>
      <w:r>
        <w:t xml:space="preserve">l cuarto </w:t>
      </w:r>
      <w:proofErr w:type="spellStart"/>
      <w:r w:rsidR="00057BF4" w:rsidRPr="00057BF4">
        <w:rPr>
          <w:i/>
          <w:iCs/>
        </w:rPr>
        <w:t>jhāna</w:t>
      </w:r>
      <w:proofErr w:type="spellEnd"/>
      <w:r>
        <w:t xml:space="preserve"> podría </w:t>
      </w:r>
      <w:r w:rsidR="003D22B2">
        <w:t>darse</w:t>
      </w:r>
      <w:r>
        <w:t xml:space="preserve"> </w:t>
      </w:r>
      <w:r w:rsidR="003D22B2">
        <w:t>el</w:t>
      </w:r>
      <w:r>
        <w:t xml:space="preserve"> </w:t>
      </w:r>
      <w:r w:rsidR="003D22B2">
        <w:t>re</w:t>
      </w:r>
      <w:r>
        <w:t>surgi</w:t>
      </w:r>
      <w:r w:rsidR="003D22B2">
        <w:t>miento</w:t>
      </w:r>
      <w:r>
        <w:t xml:space="preserve"> </w:t>
      </w:r>
      <w:r w:rsidR="003D22B2">
        <w:t xml:space="preserve">de </w:t>
      </w:r>
      <w:r>
        <w:t xml:space="preserve">la facultad de </w:t>
      </w:r>
      <w:r w:rsidR="00922796">
        <w:t xml:space="preserve">la </w:t>
      </w:r>
      <w:r>
        <w:t xml:space="preserve">alegría [mental] abandonada debido a su cercanía y porque </w:t>
      </w:r>
      <w:r w:rsidR="00A02EF1">
        <w:t xml:space="preserve">podría haber sido </w:t>
      </w:r>
      <w:r>
        <w:t xml:space="preserve">no superada adecuadamente debido a la ausencia de ecuanimidad llevada a la </w:t>
      </w:r>
      <w:r w:rsidR="00F73CF7">
        <w:t xml:space="preserve">fortaleza </w:t>
      </w:r>
      <w:r>
        <w:t xml:space="preserve">de </w:t>
      </w:r>
      <w:r w:rsidR="00F73CF7">
        <w:t xml:space="preserve">la </w:t>
      </w:r>
      <w:r>
        <w:t xml:space="preserve">absorción. Pero no </w:t>
      </w:r>
      <w:r w:rsidR="003E1FBF">
        <w:t xml:space="preserve">será </w:t>
      </w:r>
      <w:r>
        <w:t xml:space="preserve">así en el cuarto </w:t>
      </w:r>
      <w:proofErr w:type="spellStart"/>
      <w:r w:rsidR="00057BF4" w:rsidRPr="00057BF4">
        <w:rPr>
          <w:i/>
          <w:iCs/>
        </w:rPr>
        <w:t>jhāna</w:t>
      </w:r>
      <w:proofErr w:type="spellEnd"/>
      <w:r>
        <w:t xml:space="preserve"> mismo. Y eso </w:t>
      </w:r>
      <w:r w:rsidR="00F73CF7">
        <w:t xml:space="preserve">es </w:t>
      </w:r>
      <w:proofErr w:type="spellStart"/>
      <w:r w:rsidR="00F73CF7">
        <w:t xml:space="preserve">por </w:t>
      </w:r>
      <w:r>
        <w:t>que</w:t>
      </w:r>
      <w:proofErr w:type="spellEnd"/>
      <w:r>
        <w:t xml:space="preserve"> en cada caso (§186) las palabras "</w:t>
      </w:r>
      <w:r w:rsidR="003E1FBF">
        <w:t>sin residuos</w:t>
      </w:r>
      <w:r>
        <w:t>" se incluyen así: "Es aquí donde la facultad de</w:t>
      </w:r>
      <w:r w:rsidR="007507FC">
        <w:t>l</w:t>
      </w:r>
      <w:r>
        <w:t xml:space="preserve"> dolor surgida cesa</w:t>
      </w:r>
      <w:r w:rsidR="003E1FBF">
        <w:t>rá</w:t>
      </w:r>
      <w:r>
        <w:t xml:space="preserve"> sin </w:t>
      </w:r>
      <w:r w:rsidR="007507FC">
        <w:t>residuo</w:t>
      </w:r>
      <w:r w:rsidR="003E1FBF">
        <w:t>s</w:t>
      </w:r>
      <w:r>
        <w:t>".</w:t>
      </w:r>
    </w:p>
    <w:p w14:paraId="596AB68B" w14:textId="02CC2ED1" w:rsidR="00324C49" w:rsidRDefault="00324C49" w:rsidP="00324C49">
      <w:r>
        <w:t xml:space="preserve">190. </w:t>
      </w:r>
      <w:r>
        <w:tab/>
        <w:t xml:space="preserve">Aquí se puede preguntar: Entonces, si estos tipos de </w:t>
      </w:r>
      <w:r w:rsidR="007507FC">
        <w:t>sensaciones</w:t>
      </w:r>
      <w:r>
        <w:t xml:space="preserve"> se abandonan en el acceso de </w:t>
      </w:r>
      <w:r w:rsidR="007507FC">
        <w:t xml:space="preserve">la </w:t>
      </w:r>
      <w:r>
        <w:t>manera</w:t>
      </w:r>
      <w:r w:rsidR="007507FC">
        <w:t xml:space="preserve"> mencionada</w:t>
      </w:r>
      <w:r>
        <w:t xml:space="preserve">, ¿por qué se introducen aquí? Se hace para que puedan </w:t>
      </w:r>
      <w:r w:rsidR="009256A9">
        <w:t xml:space="preserve">entenderse </w:t>
      </w:r>
      <w:r>
        <w:t xml:space="preserve">fácilmente. Porque </w:t>
      </w:r>
      <w:r w:rsidR="009256A9">
        <w:t xml:space="preserve">la sensación </w:t>
      </w:r>
      <w:r>
        <w:t>ni-</w:t>
      </w:r>
      <w:r w:rsidR="00207B56">
        <w:t>agradable</w:t>
      </w:r>
      <w:r>
        <w:t>-ni-</w:t>
      </w:r>
      <w:r w:rsidR="00207B56">
        <w:t xml:space="preserve">desagradable </w:t>
      </w:r>
      <w:r>
        <w:t>descrit</w:t>
      </w:r>
      <w:r w:rsidR="009256A9">
        <w:t>a</w:t>
      </w:r>
      <w:r>
        <w:t xml:space="preserve"> aquí por las palabras “que no tiene ni-dolor-ni-placer” es sutil, difícil de reconocer y n</w:t>
      </w:r>
      <w:r w:rsidR="00D417F7">
        <w:t>ada</w:t>
      </w:r>
      <w:r>
        <w:t xml:space="preserve"> fácil de comprender. Así como un vaquero</w:t>
      </w:r>
      <w:r w:rsidRPr="00F44429">
        <w:rPr>
          <w:vertAlign w:val="superscript"/>
        </w:rPr>
        <w:t>50</w:t>
      </w:r>
      <w:r>
        <w:t xml:space="preserve"> </w:t>
      </w:r>
      <w:r w:rsidR="007E212B">
        <w:t>al querer</w:t>
      </w:r>
      <w:r>
        <w:t xml:space="preserve"> atrapar </w:t>
      </w:r>
      <w:r w:rsidR="00D417F7">
        <w:t>a</w:t>
      </w:r>
      <w:r w:rsidR="007E212B">
        <w:t xml:space="preserve"> un</w:t>
      </w:r>
      <w:r>
        <w:t xml:space="preserve"> buey </w:t>
      </w:r>
      <w:r w:rsidR="00B12A9C">
        <w:t>de un rebaño</w:t>
      </w:r>
      <w:r w:rsidR="007E212B">
        <w:t>,</w:t>
      </w:r>
      <w:r w:rsidR="00B12A9C">
        <w:t xml:space="preserve"> </w:t>
      </w:r>
      <w:r w:rsidR="009B6A37">
        <w:t>el</w:t>
      </w:r>
      <w:r>
        <w:t xml:space="preserve"> </w:t>
      </w:r>
      <w:r w:rsidR="009B6A37">
        <w:t xml:space="preserve">cual </w:t>
      </w:r>
      <w:r>
        <w:t xml:space="preserve">no </w:t>
      </w:r>
      <w:r w:rsidR="009B6A37">
        <w:t>podr</w:t>
      </w:r>
      <w:r w:rsidR="00E334E4">
        <w:t>ía</w:t>
      </w:r>
      <w:r w:rsidR="009B6A37">
        <w:t xml:space="preserve"> </w:t>
      </w:r>
      <w:r>
        <w:t>atrapar</w:t>
      </w:r>
      <w:r w:rsidR="007E212B">
        <w:t>lo</w:t>
      </w:r>
      <w:r>
        <w:t xml:space="preserve"> en </w:t>
      </w:r>
      <w:r w:rsidR="009B6A37">
        <w:t xml:space="preserve">lo </w:t>
      </w:r>
      <w:r>
        <w:t>absoluto acercándose a él, re</w:t>
      </w:r>
      <w:r w:rsidR="00B12A9C">
        <w:t>u</w:t>
      </w:r>
      <w:r>
        <w:t>n</w:t>
      </w:r>
      <w:r w:rsidR="00B12A9C">
        <w:t>irá</w:t>
      </w:r>
      <w:r>
        <w:t xml:space="preserve"> todo el ganado en un corral [167] y deja</w:t>
      </w:r>
      <w:r w:rsidR="001D1B09">
        <w:t xml:space="preserve">rá </w:t>
      </w:r>
      <w:r>
        <w:t>salir uno por uno</w:t>
      </w:r>
      <w:r w:rsidR="00ED3C15">
        <w:t xml:space="preserve"> a cada animal</w:t>
      </w:r>
      <w:r>
        <w:t>, y luego di</w:t>
      </w:r>
      <w:r w:rsidR="001D1B09">
        <w:t>r</w:t>
      </w:r>
      <w:r w:rsidR="00ED3C15">
        <w:t>ía</w:t>
      </w:r>
      <w:r>
        <w:t xml:space="preserve"> "</w:t>
      </w:r>
      <w:r w:rsidR="001D1B09">
        <w:t>Ahora</w:t>
      </w:r>
      <w:r>
        <w:t>; atráp</w:t>
      </w:r>
      <w:r w:rsidR="00FA12C7">
        <w:t>en</w:t>
      </w:r>
      <w:r>
        <w:t>lo”, y así queda</w:t>
      </w:r>
      <w:r w:rsidR="001D1B09">
        <w:t>r</w:t>
      </w:r>
      <w:r w:rsidR="00ED3C15">
        <w:t>ía</w:t>
      </w:r>
      <w:r w:rsidR="001D1B09">
        <w:t xml:space="preserve"> </w:t>
      </w:r>
      <w:r>
        <w:t xml:space="preserve">atrapado, así también el </w:t>
      </w:r>
      <w:r w:rsidR="00944788" w:rsidRPr="00944788">
        <w:rPr>
          <w:i/>
          <w:iCs/>
        </w:rPr>
        <w:t>Bhagavā</w:t>
      </w:r>
      <w:r>
        <w:t xml:space="preserve"> ha reunido </w:t>
      </w:r>
      <w:r w:rsidR="00944788">
        <w:t xml:space="preserve">a </w:t>
      </w:r>
      <w:r>
        <w:t xml:space="preserve">todos estos cinco tipos de </w:t>
      </w:r>
      <w:r w:rsidR="00944788">
        <w:t>sensaciones</w:t>
      </w:r>
      <w:r>
        <w:t xml:space="preserve"> para que puedan ser </w:t>
      </w:r>
      <w:r w:rsidR="00944788">
        <w:t xml:space="preserve">percibidas </w:t>
      </w:r>
      <w:r>
        <w:t xml:space="preserve">fácilmente; </w:t>
      </w:r>
      <w:r w:rsidR="000925A5">
        <w:t xml:space="preserve">ya </w:t>
      </w:r>
      <w:r>
        <w:t xml:space="preserve">que cuando se </w:t>
      </w:r>
      <w:r w:rsidR="00ED3C15">
        <w:t>exponen</w:t>
      </w:r>
      <w:r>
        <w:t xml:space="preserve"> reunid</w:t>
      </w:r>
      <w:r w:rsidR="00944788">
        <w:t>a</w:t>
      </w:r>
      <w:r>
        <w:t xml:space="preserve">s </w:t>
      </w:r>
      <w:r w:rsidR="000925A5">
        <w:t>así</w:t>
      </w:r>
      <w:r>
        <w:t xml:space="preserve">, entonces lo que no </w:t>
      </w:r>
      <w:r w:rsidR="00944788">
        <w:t>sea</w:t>
      </w:r>
      <w:r>
        <w:t xml:space="preserve"> placer (</w:t>
      </w:r>
      <w:r w:rsidR="00944788">
        <w:t>dicha</w:t>
      </w:r>
      <w:r>
        <w:t xml:space="preserve">) corporal o dolor corporal o alegría[mental o </w:t>
      </w:r>
      <w:r w:rsidR="00AB3EFD">
        <w:t>aflicción</w:t>
      </w:r>
      <w:r w:rsidR="00ED3C15">
        <w:t xml:space="preserve"> </w:t>
      </w:r>
      <w:r>
        <w:t xml:space="preserve">mental aún </w:t>
      </w:r>
      <w:r w:rsidR="00AB3EFD">
        <w:t xml:space="preserve">podrá percibirse </w:t>
      </w:r>
      <w:r w:rsidR="00FD3BCF">
        <w:t>así</w:t>
      </w:r>
      <w:r>
        <w:t>: "</w:t>
      </w:r>
      <w:r w:rsidR="00AB3EFD">
        <w:t>É</w:t>
      </w:r>
      <w:r>
        <w:t>st</w:t>
      </w:r>
      <w:r w:rsidR="00AB3EFD">
        <w:t>a</w:t>
      </w:r>
      <w:r>
        <w:t xml:space="preserve"> </w:t>
      </w:r>
      <w:r w:rsidR="00AB3EFD">
        <w:t xml:space="preserve">es una sensación </w:t>
      </w:r>
      <w:r w:rsidR="00FA12C7">
        <w:t>ni-agradable-ni-desagradable</w:t>
      </w:r>
      <w:r>
        <w:t>.”</w:t>
      </w:r>
    </w:p>
    <w:p w14:paraId="6DE9D8EC" w14:textId="736816FB" w:rsidR="00324C49" w:rsidRDefault="00324C49" w:rsidP="00324C49">
      <w:r>
        <w:t xml:space="preserve">191. </w:t>
      </w:r>
      <w:r>
        <w:tab/>
        <w:t xml:space="preserve">Además, esto puede entenderse como </w:t>
      </w:r>
      <w:r w:rsidR="009C490A">
        <w:t xml:space="preserve">se ha mencionado </w:t>
      </w:r>
      <w:r w:rsidR="00EF36A4">
        <w:t>al</w:t>
      </w:r>
      <w:r>
        <w:t xml:space="preserve"> mostrar la condición para la liberación de la mente </w:t>
      </w:r>
      <w:r w:rsidR="00EF36A4">
        <w:t>ni-agradable-ni-desagradable</w:t>
      </w:r>
      <w:r>
        <w:t xml:space="preserve">. Pues el abandono del dolor [corporal], etc., </w:t>
      </w:r>
      <w:r w:rsidR="009C490A">
        <w:t xml:space="preserve">serán </w:t>
      </w:r>
      <w:r>
        <w:t>condiciones para e</w:t>
      </w:r>
      <w:r w:rsidR="00162A6B">
        <w:t>ll</w:t>
      </w:r>
      <w:r>
        <w:t xml:space="preserve">o, según </w:t>
      </w:r>
      <w:r w:rsidR="00162A6B">
        <w:t xml:space="preserve">lo </w:t>
      </w:r>
      <w:r>
        <w:t>dicho: “</w:t>
      </w:r>
      <w:r w:rsidR="00162A6B">
        <w:t>Existen</w:t>
      </w:r>
      <w:r>
        <w:t xml:space="preserve"> cuatro condiciones, amigo, para alcanzar la liberación mental </w:t>
      </w:r>
      <w:r w:rsidR="00175635">
        <w:t>ni-agradable-ni-desagradable</w:t>
      </w:r>
      <w:r>
        <w:t xml:space="preserve">. Aquí, amigo, con el abandono del placer y el dolor y con la desaparición previa de la alegría y </w:t>
      </w:r>
      <w:r w:rsidR="00162A6B">
        <w:t>la aflicción</w:t>
      </w:r>
      <w:r>
        <w:t xml:space="preserve">, un </w:t>
      </w:r>
      <w:proofErr w:type="spellStart"/>
      <w:r w:rsidR="00057BF4" w:rsidRPr="00057BF4">
        <w:rPr>
          <w:i/>
          <w:iCs/>
        </w:rPr>
        <w:t>bhikkhu</w:t>
      </w:r>
      <w:proofErr w:type="spellEnd"/>
      <w:r>
        <w:t xml:space="preserve"> entra y </w:t>
      </w:r>
      <w:r w:rsidR="00162A6B">
        <w:t xml:space="preserve">habita </w:t>
      </w:r>
      <w:r>
        <w:t xml:space="preserve">en el cuarto </w:t>
      </w:r>
      <w:proofErr w:type="spellStart"/>
      <w:r w:rsidR="00057BF4" w:rsidRPr="00057BF4">
        <w:rPr>
          <w:i/>
          <w:iCs/>
        </w:rPr>
        <w:t>jhāna</w:t>
      </w:r>
      <w:proofErr w:type="spellEnd"/>
      <w:r>
        <w:t xml:space="preserve">... ecuanimidad. Estas son las cuatro condiciones para </w:t>
      </w:r>
      <w:r w:rsidR="00162A6B">
        <w:t>la consumación</w:t>
      </w:r>
      <w:r>
        <w:t xml:space="preserve"> de la liberación mental </w:t>
      </w:r>
      <w:r w:rsidR="00175635">
        <w:t>ni-agradable-ni-desagradable</w:t>
      </w:r>
      <w:r>
        <w:t>” (M I 296).</w:t>
      </w:r>
    </w:p>
    <w:p w14:paraId="3F33BB30" w14:textId="15CBAD4B" w:rsidR="00324C49" w:rsidRDefault="00324C49" w:rsidP="00324C49">
      <w:r>
        <w:t xml:space="preserve">192. </w:t>
      </w:r>
      <w:r>
        <w:tab/>
        <w:t>O, alternativamente, así como, aunque la visión errónea de la individualidad, etc., ya ha</w:t>
      </w:r>
      <w:r w:rsidR="00175635">
        <w:t>ya</w:t>
      </w:r>
      <w:r>
        <w:t xml:space="preserve"> sido abandonada en los </w:t>
      </w:r>
      <w:r w:rsidR="00995358">
        <w:t>senderos</w:t>
      </w:r>
      <w:r>
        <w:t xml:space="preserve"> anteriores, </w:t>
      </w:r>
      <w:r w:rsidR="006D54C6">
        <w:t>no obstante,</w:t>
      </w:r>
      <w:r>
        <w:t xml:space="preserve"> se menciona</w:t>
      </w:r>
      <w:r w:rsidR="00995358">
        <w:t>rá</w:t>
      </w:r>
      <w:r>
        <w:t xml:space="preserve">n como abandonadas en la descripción del tercer </w:t>
      </w:r>
      <w:r w:rsidR="00995358">
        <w:t>sendero</w:t>
      </w:r>
      <w:r>
        <w:t xml:space="preserve"> con el fin de recomendarlo (cf. §155). así también estos tipos de </w:t>
      </w:r>
      <w:r w:rsidR="00995358">
        <w:t xml:space="preserve">sensaciones </w:t>
      </w:r>
      <w:r w:rsidR="0066747F">
        <w:t xml:space="preserve">podrán </w:t>
      </w:r>
      <w:r>
        <w:t xml:space="preserve">entenderse como </w:t>
      </w:r>
      <w:r w:rsidR="005004A3">
        <w:t xml:space="preserve">son </w:t>
      </w:r>
      <w:r>
        <w:t>mencionad</w:t>
      </w:r>
      <w:r w:rsidR="0066747F">
        <w:t>a</w:t>
      </w:r>
      <w:r>
        <w:t xml:space="preserve">s aquí con el propósito de recomendar </w:t>
      </w:r>
    </w:p>
    <w:p w14:paraId="371397E8" w14:textId="77777777" w:rsidR="00324C49" w:rsidRDefault="00324C49" w:rsidP="00324C49">
      <w:pPr>
        <w:pStyle w:val="PiedepginaLegal"/>
        <w:rPr>
          <w:u w:val="single"/>
        </w:rPr>
      </w:pPr>
      <w:r>
        <w:rPr>
          <w:u w:val="single"/>
        </w:rPr>
        <w:tab/>
      </w:r>
      <w:r>
        <w:rPr>
          <w:u w:val="single"/>
        </w:rPr>
        <w:tab/>
      </w:r>
      <w:r>
        <w:rPr>
          <w:u w:val="single"/>
        </w:rPr>
        <w:tab/>
      </w:r>
      <w:r>
        <w:rPr>
          <w:u w:val="single"/>
        </w:rPr>
        <w:tab/>
        <w:t>.</w:t>
      </w:r>
    </w:p>
    <w:p w14:paraId="0781234B" w14:textId="0CAA9D10" w:rsidR="00324C49" w:rsidRDefault="00324C49" w:rsidP="00324C49">
      <w:pPr>
        <w:pStyle w:val="PiedepginaLegal"/>
      </w:pPr>
      <w:r>
        <w:t xml:space="preserve">50. </w:t>
      </w:r>
      <w:r>
        <w:tab/>
      </w:r>
      <w:proofErr w:type="spellStart"/>
      <w:r w:rsidRPr="00BF1702">
        <w:rPr>
          <w:i/>
          <w:iCs/>
        </w:rPr>
        <w:t>Gopa</w:t>
      </w:r>
      <w:proofErr w:type="spellEnd"/>
      <w:r>
        <w:t>—“vaquer</w:t>
      </w:r>
      <w:r w:rsidR="00F45750">
        <w:t>a</w:t>
      </w:r>
      <w:r>
        <w:t xml:space="preserve"> (o guardián)”: no </w:t>
      </w:r>
      <w:r w:rsidR="007B58CE">
        <w:t xml:space="preserve">encontrado </w:t>
      </w:r>
      <w:r>
        <w:t xml:space="preserve">en </w:t>
      </w:r>
      <w:r w:rsidR="008F136D">
        <w:t xml:space="preserve">el </w:t>
      </w:r>
      <w:r>
        <w:t>PED.</w:t>
      </w:r>
    </w:p>
    <w:p w14:paraId="0234EA5A" w14:textId="77777777" w:rsidR="00324C49" w:rsidRDefault="00324C49">
      <w:pPr>
        <w:tabs>
          <w:tab w:val="clear" w:pos="425"/>
        </w:tabs>
        <w:spacing w:after="160"/>
      </w:pPr>
      <w:r>
        <w:br w:type="page"/>
      </w:r>
    </w:p>
    <w:p w14:paraId="0E0942B4" w14:textId="77777777" w:rsidR="00D905A4" w:rsidRDefault="00D905A4" w:rsidP="00324C49"/>
    <w:p w14:paraId="19D9D68F" w14:textId="77777777" w:rsidR="00D905A4" w:rsidRDefault="00D905A4" w:rsidP="00324C49"/>
    <w:p w14:paraId="3988A071" w14:textId="26BEB153" w:rsidR="00D905A4" w:rsidRDefault="005004A3" w:rsidP="00D905A4">
      <w:r>
        <w:t xml:space="preserve">este </w:t>
      </w:r>
      <w:proofErr w:type="spellStart"/>
      <w:r w:rsidR="007B58CE" w:rsidRPr="00057BF4">
        <w:rPr>
          <w:i/>
          <w:iCs/>
        </w:rPr>
        <w:t>jhāna</w:t>
      </w:r>
      <w:proofErr w:type="spellEnd"/>
      <w:r w:rsidR="007B58CE">
        <w:t xml:space="preserve">. O, </w:t>
      </w:r>
      <w:r w:rsidR="00D905A4">
        <w:t>alternativamente, puede entenderse como mencionad</w:t>
      </w:r>
      <w:r>
        <w:t>a</w:t>
      </w:r>
      <w:r w:rsidR="00D905A4">
        <w:t xml:space="preserve">s con el propósito de </w:t>
      </w:r>
      <w:r w:rsidR="007B58CE">
        <w:t>exponer</w:t>
      </w:r>
      <w:r w:rsidR="00D905A4">
        <w:t xml:space="preserve"> que la codicia y el odio están muy lejos debido a la eliminación de sus condiciones; porque de estos, el placer (</w:t>
      </w:r>
      <w:r w:rsidR="009C4714">
        <w:t xml:space="preserve">la </w:t>
      </w:r>
      <w:r w:rsidR="007B58CE">
        <w:t>dicha</w:t>
      </w:r>
      <w:r w:rsidR="00D905A4">
        <w:t>) es una condición para la alegría, y la alegría para la codicia; el dolor es una condición para la aflicción y la aflicción para el odio. Entonces, con la eliminación del placer (bienaventuranza), etc., la codicia y el odio est</w:t>
      </w:r>
      <w:r w:rsidR="00206DF9">
        <w:t>ar</w:t>
      </w:r>
      <w:r w:rsidR="00D905A4">
        <w:t>án muy lejos</w:t>
      </w:r>
      <w:r w:rsidR="00206DF9">
        <w:t xml:space="preserve"> de estar presentes</w:t>
      </w:r>
      <w:r w:rsidR="00D905A4">
        <w:t>, ya que se elimina</w:t>
      </w:r>
      <w:r w:rsidR="00206DF9">
        <w:t>rá</w:t>
      </w:r>
      <w:r w:rsidR="00D905A4">
        <w:t>n junto con sus condiciones.</w:t>
      </w:r>
    </w:p>
    <w:p w14:paraId="497FD94E" w14:textId="40BD14E4" w:rsidR="00D905A4" w:rsidRDefault="00D905A4" w:rsidP="00D905A4">
      <w:r>
        <w:t xml:space="preserve">193. </w:t>
      </w:r>
      <w:r>
        <w:tab/>
      </w:r>
      <w:r w:rsidRPr="002F1EAC">
        <w:rPr>
          <w:i/>
          <w:iCs/>
        </w:rPr>
        <w:t xml:space="preserve">Que </w:t>
      </w:r>
      <w:r w:rsidR="00965D87">
        <w:rPr>
          <w:i/>
          <w:iCs/>
        </w:rPr>
        <w:t>posee</w:t>
      </w:r>
      <w:r w:rsidRPr="002F1EAC">
        <w:rPr>
          <w:i/>
          <w:iCs/>
        </w:rPr>
        <w:t xml:space="preserve"> ni-dolor-ni-placer</w:t>
      </w:r>
      <w:r>
        <w:t>: no ha</w:t>
      </w:r>
      <w:r w:rsidR="00965D87">
        <w:t>brá</w:t>
      </w:r>
      <w:r>
        <w:t xml:space="preserve"> dolor debido a </w:t>
      </w:r>
      <w:r w:rsidR="00B3205E">
        <w:t>la ausencia de</w:t>
      </w:r>
      <w:r>
        <w:t xml:space="preserve"> dolor; ni</w:t>
      </w:r>
      <w:r w:rsidR="009B7472">
        <w:t xml:space="preserve"> tampoco </w:t>
      </w:r>
      <w:r>
        <w:t xml:space="preserve">placer debido </w:t>
      </w:r>
      <w:r w:rsidR="009753AA">
        <w:t xml:space="preserve">a la ausencia de placer </w:t>
      </w:r>
      <w:r>
        <w:t>(</w:t>
      </w:r>
      <w:r w:rsidR="00B474DA">
        <w:t>dicha</w:t>
      </w:r>
      <w:r>
        <w:t xml:space="preserve">). Con esto </w:t>
      </w:r>
      <w:r w:rsidR="00D62823">
        <w:t xml:space="preserve">él </w:t>
      </w:r>
      <w:r w:rsidR="00004D20">
        <w:t xml:space="preserve">indicará </w:t>
      </w:r>
      <w:r>
        <w:t xml:space="preserve">el tercer tipo de </w:t>
      </w:r>
      <w:r w:rsidR="00B474DA">
        <w:t xml:space="preserve">sensación </w:t>
      </w:r>
      <w:r w:rsidR="00D236B1">
        <w:t xml:space="preserve">que se opone </w:t>
      </w:r>
      <w:r>
        <w:t xml:space="preserve">tanto al dolor como al placer, no </w:t>
      </w:r>
      <w:r w:rsidR="009B7472">
        <w:t xml:space="preserve">a </w:t>
      </w:r>
      <w:r>
        <w:t xml:space="preserve">la </w:t>
      </w:r>
      <w:r w:rsidR="00320C54">
        <w:t>simple</w:t>
      </w:r>
      <w:r>
        <w:t xml:space="preserve"> ausencia de dolor y placer. </w:t>
      </w:r>
      <w:r w:rsidR="002457F2">
        <w:t>A e</w:t>
      </w:r>
      <w:r>
        <w:t xml:space="preserve">ste tercer tipo de </w:t>
      </w:r>
      <w:r w:rsidR="002457F2">
        <w:t xml:space="preserve">sensación </w:t>
      </w:r>
      <w:r w:rsidR="00C44B0B">
        <w:t>denominado</w:t>
      </w:r>
      <w:r>
        <w:t xml:space="preserve"> </w:t>
      </w:r>
      <w:r w:rsidR="00C44B0B" w:rsidRPr="00C44B0B">
        <w:t xml:space="preserve">ni–agradable–ni–desagradable </w:t>
      </w:r>
      <w:r>
        <w:t xml:space="preserve">también se </w:t>
      </w:r>
      <w:r w:rsidR="002457F2">
        <w:t xml:space="preserve">le </w:t>
      </w:r>
      <w:r w:rsidR="00C44B0B">
        <w:t xml:space="preserve">denominará </w:t>
      </w:r>
      <w:r>
        <w:t xml:space="preserve">“ecuanimidad”. Tiene la característica de experimentar lo que </w:t>
      </w:r>
      <w:r w:rsidR="002457F2">
        <w:t>sea</w:t>
      </w:r>
      <w:r>
        <w:t xml:space="preserve"> contrario tanto a lo deseable como a lo indeseable. Su función es neutra. Su manifestación </w:t>
      </w:r>
      <w:r w:rsidR="00D31C53">
        <w:t xml:space="preserve">es </w:t>
      </w:r>
      <w:proofErr w:type="spellStart"/>
      <w:r w:rsidR="00D31C53">
        <w:t>ine</w:t>
      </w:r>
      <w:r>
        <w:t>vidente</w:t>
      </w:r>
      <w:proofErr w:type="spellEnd"/>
      <w:r>
        <w:t>. Su causa próxima debe entenderse como l</w:t>
      </w:r>
      <w:r w:rsidR="00562200">
        <w:t>a</w:t>
      </w:r>
      <w:r>
        <w:t xml:space="preserve"> ces</w:t>
      </w:r>
      <w:r w:rsidR="00562200">
        <w:t>ación</w:t>
      </w:r>
      <w:r>
        <w:t xml:space="preserve"> del placer (bienaventuranza).</w:t>
      </w:r>
    </w:p>
    <w:p w14:paraId="48C05F66" w14:textId="0A1C13A6" w:rsidR="00D905A4" w:rsidRDefault="00D905A4" w:rsidP="00D905A4">
      <w:r>
        <w:t xml:space="preserve">194. </w:t>
      </w:r>
      <w:r>
        <w:tab/>
      </w:r>
      <w:r w:rsidRPr="002F1EAC">
        <w:rPr>
          <w:i/>
          <w:iCs/>
        </w:rPr>
        <w:t xml:space="preserve">Y </w:t>
      </w:r>
      <w:r w:rsidR="009F4F8D">
        <w:rPr>
          <w:i/>
          <w:iCs/>
        </w:rPr>
        <w:t>posee</w:t>
      </w:r>
      <w:r w:rsidRPr="002F1EAC">
        <w:rPr>
          <w:i/>
          <w:iCs/>
        </w:rPr>
        <w:t xml:space="preserve"> pureza de atención debido a la ecuanimidad</w:t>
      </w:r>
      <w:r>
        <w:t xml:space="preserve">: </w:t>
      </w:r>
      <w:r w:rsidR="009F4F8D">
        <w:t>posee</w:t>
      </w:r>
      <w:r>
        <w:t xml:space="preserve"> </w:t>
      </w:r>
      <w:r w:rsidR="007749E0">
        <w:t xml:space="preserve">la </w:t>
      </w:r>
      <w:r>
        <w:t xml:space="preserve">pureza de </w:t>
      </w:r>
      <w:r w:rsidR="007749E0">
        <w:t xml:space="preserve">la </w:t>
      </w:r>
      <w:r>
        <w:t xml:space="preserve">atención </w:t>
      </w:r>
      <w:r w:rsidR="007749E0">
        <w:t xml:space="preserve">plena </w:t>
      </w:r>
      <w:r w:rsidR="009F4F8D">
        <w:t xml:space="preserve">producida </w:t>
      </w:r>
      <w:r>
        <w:t xml:space="preserve">por la ecuanimidad. </w:t>
      </w:r>
      <w:r w:rsidR="009F4F8D">
        <w:t xml:space="preserve">Ya </w:t>
      </w:r>
      <w:r>
        <w:t xml:space="preserve">que la atención plena en este </w:t>
      </w:r>
      <w:proofErr w:type="spellStart"/>
      <w:r w:rsidR="00057BF4" w:rsidRPr="00057BF4">
        <w:rPr>
          <w:i/>
          <w:iCs/>
        </w:rPr>
        <w:t>jhāna</w:t>
      </w:r>
      <w:proofErr w:type="spellEnd"/>
      <w:r>
        <w:t xml:space="preserve"> est</w:t>
      </w:r>
      <w:r w:rsidR="009F4F8D">
        <w:t>ar</w:t>
      </w:r>
      <w:r>
        <w:t>á bastante purificada, y su purificación se efect</w:t>
      </w:r>
      <w:r w:rsidR="009F4F8D">
        <w:t>u</w:t>
      </w:r>
      <w:r>
        <w:t>a</w:t>
      </w:r>
      <w:r w:rsidR="009F4F8D">
        <w:t>rá</w:t>
      </w:r>
      <w:r>
        <w:t xml:space="preserve"> mediante la ecuanimidad, no mediante ninguna otra cosa. Por eso se dice que </w:t>
      </w:r>
      <w:r w:rsidR="009F4F8D">
        <w:t xml:space="preserve">tendrá </w:t>
      </w:r>
      <w:r>
        <w:t xml:space="preserve">pureza de atención debido a la ecuanimidad. También se dice en el </w:t>
      </w:r>
      <w:proofErr w:type="spellStart"/>
      <w:r w:rsidRPr="00C12F51">
        <w:rPr>
          <w:i/>
          <w:iCs/>
        </w:rPr>
        <w:t>Vibhaṅga</w:t>
      </w:r>
      <w:proofErr w:type="spellEnd"/>
      <w:r>
        <w:t>: “Esta atención plena se limpia, se purifica, se aclara, mediante la ecuanimidad; por eso se dice que tiene pureza de atención debido a la ecuanimidad” (</w:t>
      </w:r>
      <w:proofErr w:type="spellStart"/>
      <w:r>
        <w:t>Vibh</w:t>
      </w:r>
      <w:proofErr w:type="spellEnd"/>
      <w:r>
        <w:t xml:space="preserve"> 261). [168] Y la ecuanimidad debido a la cual llega a haber esta pureza de atención debe entenderse </w:t>
      </w:r>
      <w:r w:rsidR="000C74A8">
        <w:t xml:space="preserve">en significado </w:t>
      </w:r>
      <w:r>
        <w:t xml:space="preserve">como neutralidad específica. Y no solo </w:t>
      </w:r>
      <w:r w:rsidR="00D64495">
        <w:t xml:space="preserve">se purifica aquí </w:t>
      </w:r>
      <w:r>
        <w:t xml:space="preserve">la atención plena, sino también todos los estados asociados. Sin embargo, la enseñanza se </w:t>
      </w:r>
      <w:r w:rsidR="00B36F04">
        <w:t>expone</w:t>
      </w:r>
      <w:r>
        <w:t xml:space="preserve"> bajo el título de atención plena.</w:t>
      </w:r>
    </w:p>
    <w:p w14:paraId="1718B2A2" w14:textId="706C54CC" w:rsidR="00D905A4" w:rsidRDefault="00D905A4" w:rsidP="00D905A4">
      <w:r>
        <w:t xml:space="preserve">195. </w:t>
      </w:r>
      <w:r>
        <w:tab/>
        <w:t>Aquí, esta ecuanimidad exist</w:t>
      </w:r>
      <w:r w:rsidR="00584EFB">
        <w:t>irá</w:t>
      </w:r>
      <w:r>
        <w:t xml:space="preserve"> también en los tres </w:t>
      </w:r>
      <w:proofErr w:type="spellStart"/>
      <w:r w:rsidR="00057BF4" w:rsidRPr="00057BF4">
        <w:rPr>
          <w:i/>
          <w:iCs/>
        </w:rPr>
        <w:t>jhāna</w:t>
      </w:r>
      <w:r w:rsidRPr="002F1EAC">
        <w:rPr>
          <w:i/>
          <w:iCs/>
        </w:rPr>
        <w:t>s</w:t>
      </w:r>
      <w:proofErr w:type="spellEnd"/>
      <w:r>
        <w:t xml:space="preserve"> inferiores; pero al igual que, aunque una </w:t>
      </w:r>
      <w:r w:rsidR="00584EFB">
        <w:t xml:space="preserve">Luna </w:t>
      </w:r>
      <w:r>
        <w:t>creciente exist</w:t>
      </w:r>
      <w:r w:rsidR="00584EFB">
        <w:t>i</w:t>
      </w:r>
      <w:r w:rsidR="00B36F04">
        <w:t>ese</w:t>
      </w:r>
      <w:r>
        <w:t xml:space="preserve"> durante el día pero no purificada o clara </w:t>
      </w:r>
      <w:r w:rsidR="00584EFB">
        <w:t xml:space="preserve">debido a que será </w:t>
      </w:r>
      <w:r>
        <w:t xml:space="preserve">eclipsada por el resplandor del </w:t>
      </w:r>
      <w:r w:rsidR="00D1719B">
        <w:t xml:space="preserve">Sol </w:t>
      </w:r>
      <w:r>
        <w:t>durante o porque est</w:t>
      </w:r>
      <w:r w:rsidR="00D1719B">
        <w:t>é</w:t>
      </w:r>
      <w:r>
        <w:t xml:space="preserve"> privada de la noche, que es su aliada debido a la dulzura y debido a su </w:t>
      </w:r>
      <w:r w:rsidR="00D1719B">
        <w:t>contribución</w:t>
      </w:r>
      <w:r>
        <w:t xml:space="preserve">, así también, esta </w:t>
      </w:r>
      <w:r w:rsidR="00D1719B">
        <w:t xml:space="preserve">Luna </w:t>
      </w:r>
      <w:r>
        <w:t>creciente de ecuanimidad que consist</w:t>
      </w:r>
      <w:r w:rsidR="00D1719B">
        <w:t>irá</w:t>
      </w:r>
      <w:r>
        <w:t xml:space="preserve"> </w:t>
      </w:r>
      <w:r w:rsidR="00D1719B">
        <w:t>de la</w:t>
      </w:r>
      <w:r>
        <w:t xml:space="preserve"> neutralidad específica exist</w:t>
      </w:r>
      <w:r w:rsidR="00D1719B">
        <w:t>irá</w:t>
      </w:r>
      <w:r>
        <w:t xml:space="preserve"> en el primer </w:t>
      </w:r>
      <w:proofErr w:type="spellStart"/>
      <w:r w:rsidR="00057BF4" w:rsidRPr="00057BF4">
        <w:rPr>
          <w:i/>
          <w:iCs/>
        </w:rPr>
        <w:t>jhāna</w:t>
      </w:r>
      <w:proofErr w:type="spellEnd"/>
      <w:r>
        <w:t>, etc., pero no est</w:t>
      </w:r>
      <w:r w:rsidR="00D1719B">
        <w:t>ar</w:t>
      </w:r>
      <w:r>
        <w:t xml:space="preserve">á purificada ya que </w:t>
      </w:r>
      <w:r w:rsidR="00D1719B">
        <w:t xml:space="preserve">será </w:t>
      </w:r>
      <w:r>
        <w:t xml:space="preserve">eclipsada por el resplandor de los estados opuestos que consisten </w:t>
      </w:r>
      <w:r w:rsidR="00D1719B">
        <w:t>de</w:t>
      </w:r>
      <w:r w:rsidR="00B36F04">
        <w:t xml:space="preserve"> </w:t>
      </w:r>
      <w:r w:rsidR="003963FF">
        <w:t>l</w:t>
      </w:r>
      <w:r w:rsidR="00B36F04">
        <w:t>a</w:t>
      </w:r>
      <w:r w:rsidR="00D1719B">
        <w:t xml:space="preserve"> </w:t>
      </w:r>
      <w:r w:rsidR="00B36F04">
        <w:t>aplicación mental</w:t>
      </w:r>
      <w:r>
        <w:t xml:space="preserve">, etc., y ya que </w:t>
      </w:r>
      <w:r w:rsidR="003963FF">
        <w:t xml:space="preserve">estará </w:t>
      </w:r>
      <w:r>
        <w:t xml:space="preserve">privado de la noche de </w:t>
      </w:r>
      <w:r w:rsidR="003963FF">
        <w:t xml:space="preserve">la </w:t>
      </w:r>
      <w:r>
        <w:t>ecuanimidad-como-</w:t>
      </w:r>
      <w:r w:rsidR="003963FF">
        <w:t xml:space="preserve">sensación como </w:t>
      </w:r>
      <w:r>
        <w:t>su aliado; y debido a que no est</w:t>
      </w:r>
      <w:r w:rsidR="003963FF">
        <w:t>ar</w:t>
      </w:r>
      <w:r>
        <w:t xml:space="preserve">á purificada, la atención consciente </w:t>
      </w:r>
      <w:proofErr w:type="spellStart"/>
      <w:r>
        <w:t>conasc</w:t>
      </w:r>
      <w:r w:rsidR="002F1EAC">
        <w:t>i</w:t>
      </w:r>
      <w:r>
        <w:t>ente</w:t>
      </w:r>
      <w:proofErr w:type="spellEnd"/>
      <w:r>
        <w:t xml:space="preserve"> y otros estados tampoco est</w:t>
      </w:r>
      <w:r w:rsidR="003963FF">
        <w:t>ar</w:t>
      </w:r>
      <w:r>
        <w:t xml:space="preserve">án purificados, como el resplandor no purificado de la </w:t>
      </w:r>
      <w:r w:rsidR="003963FF">
        <w:t xml:space="preserve">Luna </w:t>
      </w:r>
      <w:r>
        <w:t>creciente durante el día. Por eso se di</w:t>
      </w:r>
      <w:r w:rsidR="00D338C2">
        <w:t>rá</w:t>
      </w:r>
      <w:r>
        <w:t xml:space="preserve"> que ninguno de estos [primeros tres </w:t>
      </w:r>
      <w:proofErr w:type="spellStart"/>
      <w:r w:rsidR="00057BF4" w:rsidRPr="00057BF4">
        <w:rPr>
          <w:i/>
          <w:iCs/>
        </w:rPr>
        <w:t>jhāna</w:t>
      </w:r>
      <w:r w:rsidRPr="002F1EAC">
        <w:rPr>
          <w:i/>
          <w:iCs/>
        </w:rPr>
        <w:t>s</w:t>
      </w:r>
      <w:proofErr w:type="spellEnd"/>
      <w:r>
        <w:t xml:space="preserve">] tiene pureza de atención plena debido a la ecuanimidad. </w:t>
      </w:r>
      <w:r w:rsidR="003963FF">
        <w:t xml:space="preserve">No obstante, </w:t>
      </w:r>
      <w:r>
        <w:t xml:space="preserve">aquí esta </w:t>
      </w:r>
      <w:r w:rsidR="00D61762">
        <w:t xml:space="preserve">Luna creciente </w:t>
      </w:r>
      <w:r>
        <w:t xml:space="preserve">que </w:t>
      </w:r>
      <w:proofErr w:type="gramStart"/>
      <w:r>
        <w:t>consist</w:t>
      </w:r>
      <w:r w:rsidR="00D61762">
        <w:t>irá</w:t>
      </w:r>
      <w:r>
        <w:t xml:space="preserve"> </w:t>
      </w:r>
      <w:r w:rsidR="00D61762">
        <w:t>de</w:t>
      </w:r>
      <w:proofErr w:type="gramEnd"/>
      <w:r w:rsidR="00D61762">
        <w:t xml:space="preserve"> </w:t>
      </w:r>
      <w:r>
        <w:t xml:space="preserve">la neutralidad específica </w:t>
      </w:r>
      <w:r w:rsidR="00D61762">
        <w:t xml:space="preserve">será </w:t>
      </w:r>
      <w:r>
        <w:t xml:space="preserve">completamente pura porque no </w:t>
      </w:r>
      <w:r w:rsidR="00D61762">
        <w:t xml:space="preserve">será </w:t>
      </w:r>
      <w:r>
        <w:t xml:space="preserve">eclipsada por el resplandor de los estados opuestos </w:t>
      </w:r>
      <w:r w:rsidR="00D61762">
        <w:t>consistentes de</w:t>
      </w:r>
      <w:r w:rsidR="00D338C2">
        <w:t xml:space="preserve"> </w:t>
      </w:r>
      <w:r>
        <w:t>l</w:t>
      </w:r>
      <w:r w:rsidR="00D338C2">
        <w:t>a</w:t>
      </w:r>
      <w:r>
        <w:t xml:space="preserve"> </w:t>
      </w:r>
      <w:r w:rsidR="00D338C2">
        <w:t>aplicación mental</w:t>
      </w:r>
      <w:r>
        <w:t xml:space="preserve">, etc., y porque </w:t>
      </w:r>
      <w:r w:rsidR="00D61762">
        <w:t xml:space="preserve">tendrá </w:t>
      </w:r>
      <w:r>
        <w:t xml:space="preserve">como aliada </w:t>
      </w:r>
      <w:r w:rsidR="00D61762">
        <w:t xml:space="preserve">a </w:t>
      </w:r>
      <w:r>
        <w:t xml:space="preserve">la noche de la ecuanimidad como </w:t>
      </w:r>
      <w:r w:rsidR="002E33CB">
        <w:t>sensación</w:t>
      </w:r>
      <w:r>
        <w:t>. Y puesto que est</w:t>
      </w:r>
      <w:r w:rsidR="002E33CB">
        <w:t>ar</w:t>
      </w:r>
      <w:r>
        <w:t xml:space="preserve">á purificada, la atención consciente </w:t>
      </w:r>
      <w:proofErr w:type="spellStart"/>
      <w:r>
        <w:t>conasc</w:t>
      </w:r>
      <w:r w:rsidR="002F1EAC">
        <w:t>i</w:t>
      </w:r>
      <w:r>
        <w:t>ente</w:t>
      </w:r>
      <w:proofErr w:type="spellEnd"/>
      <w:r>
        <w:t xml:space="preserve"> y otros estados también est</w:t>
      </w:r>
      <w:r w:rsidR="002E33CB">
        <w:t>ar</w:t>
      </w:r>
      <w:r>
        <w:t xml:space="preserve">án purificados y claros, como el resplandor purificado de la </w:t>
      </w:r>
      <w:r w:rsidR="002E33CB">
        <w:t xml:space="preserve">Luna </w:t>
      </w:r>
      <w:r>
        <w:t xml:space="preserve">creciente. Debe entenderse que es </w:t>
      </w:r>
      <w:r w:rsidR="0053721A">
        <w:t xml:space="preserve">debido a </w:t>
      </w:r>
      <w:r>
        <w:t>es</w:t>
      </w:r>
      <w:r w:rsidR="000038F3">
        <w:t>t</w:t>
      </w:r>
      <w:r>
        <w:t xml:space="preserve">o que </w:t>
      </w:r>
      <w:r w:rsidR="002E33CB">
        <w:t>se di</w:t>
      </w:r>
      <w:r w:rsidR="0053721A">
        <w:t>rá</w:t>
      </w:r>
      <w:r w:rsidR="002E33CB">
        <w:t xml:space="preserve"> que </w:t>
      </w:r>
      <w:r>
        <w:t xml:space="preserve">solo este </w:t>
      </w:r>
      <w:proofErr w:type="spellStart"/>
      <w:r w:rsidR="00057BF4" w:rsidRPr="00057BF4">
        <w:rPr>
          <w:i/>
          <w:iCs/>
        </w:rPr>
        <w:t>jhāna</w:t>
      </w:r>
      <w:proofErr w:type="spellEnd"/>
      <w:r>
        <w:t xml:space="preserve"> </w:t>
      </w:r>
      <w:r w:rsidR="000A2AA4">
        <w:t xml:space="preserve">posee </w:t>
      </w:r>
      <w:r>
        <w:t>pureza de atención debido a la ecuanimidad.</w:t>
      </w:r>
    </w:p>
    <w:p w14:paraId="77578AB6" w14:textId="1EED161D" w:rsidR="00D905A4" w:rsidRDefault="00D905A4" w:rsidP="00D905A4">
      <w:r>
        <w:t xml:space="preserve">196. </w:t>
      </w:r>
      <w:r>
        <w:tab/>
      </w:r>
      <w:r w:rsidRPr="002F1EAC">
        <w:rPr>
          <w:i/>
          <w:iCs/>
        </w:rPr>
        <w:t>Cuart</w:t>
      </w:r>
      <w:r w:rsidR="000A2AA4">
        <w:rPr>
          <w:i/>
          <w:iCs/>
        </w:rPr>
        <w:t>o</w:t>
      </w:r>
      <w:r>
        <w:t xml:space="preserve">: es </w:t>
      </w:r>
      <w:r w:rsidR="00902F3F">
        <w:t>e</w:t>
      </w:r>
      <w:r>
        <w:t>l cuart</w:t>
      </w:r>
      <w:r w:rsidR="00902F3F">
        <w:t>o</w:t>
      </w:r>
      <w:r>
        <w:t xml:space="preserve"> en </w:t>
      </w:r>
      <w:r w:rsidR="00902F3F">
        <w:t xml:space="preserve">la </w:t>
      </w:r>
      <w:r w:rsidR="0053721A">
        <w:t xml:space="preserve">secuencia </w:t>
      </w:r>
      <w:r>
        <w:t>numérica</w:t>
      </w:r>
      <w:r w:rsidR="0053721A">
        <w:t xml:space="preserve"> de todos los </w:t>
      </w:r>
      <w:proofErr w:type="spellStart"/>
      <w:r w:rsidR="0053721A">
        <w:rPr>
          <w:i/>
          <w:iCs/>
        </w:rPr>
        <w:t>jhāna</w:t>
      </w:r>
      <w:r w:rsidR="0053721A" w:rsidRPr="0053721A">
        <w:t>s</w:t>
      </w:r>
      <w:proofErr w:type="spellEnd"/>
      <w:r>
        <w:t xml:space="preserve">; y </w:t>
      </w:r>
      <w:r w:rsidR="00A6398D">
        <w:t xml:space="preserve">es cuarto porque se entra en </w:t>
      </w:r>
      <w:r w:rsidR="0053721A">
        <w:t xml:space="preserve">este </w:t>
      </w:r>
      <w:proofErr w:type="spellStart"/>
      <w:r w:rsidR="0053721A" w:rsidRPr="0053721A">
        <w:rPr>
          <w:i/>
          <w:iCs/>
        </w:rPr>
        <w:t>jhāna</w:t>
      </w:r>
      <w:proofErr w:type="spellEnd"/>
      <w:r w:rsidR="00A6398D">
        <w:t xml:space="preserve"> en cuarto lugar.</w:t>
      </w:r>
    </w:p>
    <w:p w14:paraId="50B2474B" w14:textId="77777777" w:rsidR="00D905A4" w:rsidRDefault="00D905A4">
      <w:pPr>
        <w:tabs>
          <w:tab w:val="clear" w:pos="425"/>
        </w:tabs>
        <w:spacing w:after="160"/>
      </w:pPr>
      <w:r>
        <w:br w:type="page"/>
      </w:r>
    </w:p>
    <w:p w14:paraId="1EF629F7" w14:textId="77777777" w:rsidR="00A257F1" w:rsidRDefault="00A257F1" w:rsidP="000904F1"/>
    <w:p w14:paraId="4ECFF96B" w14:textId="7CF33C4A" w:rsidR="000904F1" w:rsidRDefault="000904F1" w:rsidP="000904F1">
      <w:r>
        <w:t xml:space="preserve">197. </w:t>
      </w:r>
      <w:r>
        <w:tab/>
      </w:r>
      <w:r w:rsidR="0053721A">
        <w:t>Luego</w:t>
      </w:r>
      <w:r>
        <w:t xml:space="preserve"> se dijo, </w:t>
      </w:r>
      <w:r w:rsidRPr="00EA2D42">
        <w:rPr>
          <w:i/>
          <w:iCs/>
        </w:rPr>
        <w:t>que abandona un factor</w:t>
      </w:r>
      <w:r>
        <w:t xml:space="preserve">, </w:t>
      </w:r>
      <w:r w:rsidR="00A6398D">
        <w:rPr>
          <w:i/>
          <w:iCs/>
        </w:rPr>
        <w:t xml:space="preserve">adquiere </w:t>
      </w:r>
      <w:r w:rsidRPr="0085648B">
        <w:rPr>
          <w:i/>
          <w:iCs/>
        </w:rPr>
        <w:t>dos factores</w:t>
      </w:r>
      <w:r>
        <w:t xml:space="preserve"> (§183); aquí el abandono del único factor debe entenderse como el abandono de la alegría. Pero es</w:t>
      </w:r>
      <w:r w:rsidR="00F16F25">
        <w:t>a</w:t>
      </w:r>
      <w:r>
        <w:t xml:space="preserve"> </w:t>
      </w:r>
      <w:r w:rsidR="00F16F25">
        <w:t>alegría</w:t>
      </w:r>
      <w:r>
        <w:t xml:space="preserve"> se abandona en realidad en los primeros impulsos de la misma serie cogn</w:t>
      </w:r>
      <w:r w:rsidR="004D26EE">
        <w:t>i</w:t>
      </w:r>
      <w:r>
        <w:t>tiva (cf. § 185). De ahí que se llame su factor de abandono.</w:t>
      </w:r>
    </w:p>
    <w:p w14:paraId="1BA05B9C" w14:textId="3CAC2087" w:rsidR="000904F1" w:rsidRDefault="000904F1" w:rsidP="000904F1">
      <w:pPr>
        <w:pStyle w:val="NormalConSangria"/>
      </w:pPr>
      <w:r>
        <w:t>La posesión de los dos factores debe</w:t>
      </w:r>
      <w:r w:rsidR="00F16F25">
        <w:t>rá</w:t>
      </w:r>
      <w:r>
        <w:t xml:space="preserve"> entenderse como el surgimiento de </w:t>
      </w:r>
      <w:r w:rsidR="00F16F25">
        <w:t>ambos</w:t>
      </w:r>
      <w:r>
        <w:t xml:space="preserve">, </w:t>
      </w:r>
      <w:r w:rsidR="00F16F25">
        <w:t>es decir</w:t>
      </w:r>
      <w:r>
        <w:t xml:space="preserve">, la ecuanimidad como </w:t>
      </w:r>
      <w:r w:rsidR="00F16F25">
        <w:t xml:space="preserve">sensación </w:t>
      </w:r>
      <w:r>
        <w:t>y la unificación ment</w:t>
      </w:r>
      <w:r w:rsidR="00F16F25">
        <w:t>al</w:t>
      </w:r>
      <w:r>
        <w:t>.</w:t>
      </w:r>
    </w:p>
    <w:p w14:paraId="71E72C10" w14:textId="561DB1F5" w:rsidR="000904F1" w:rsidRDefault="000904F1" w:rsidP="000904F1">
      <w:pPr>
        <w:pStyle w:val="NormalConSangria"/>
      </w:pPr>
      <w:r>
        <w:t xml:space="preserve">El resto </w:t>
      </w:r>
      <w:r w:rsidR="00C00D10">
        <w:t>será</w:t>
      </w:r>
      <w:r>
        <w:t xml:space="preserve"> </w:t>
      </w:r>
      <w:r w:rsidR="00F16F25">
        <w:t xml:space="preserve">tal </w:t>
      </w:r>
      <w:r>
        <w:t xml:space="preserve">como se indica en el caso del primer </w:t>
      </w:r>
      <w:proofErr w:type="spellStart"/>
      <w:r w:rsidR="00057BF4" w:rsidRPr="00057BF4">
        <w:rPr>
          <w:i/>
          <w:iCs/>
        </w:rPr>
        <w:t>jhāna</w:t>
      </w:r>
      <w:proofErr w:type="spellEnd"/>
      <w:r>
        <w:t>.</w:t>
      </w:r>
    </w:p>
    <w:p w14:paraId="4C924B16" w14:textId="693ADC15" w:rsidR="000904F1" w:rsidRDefault="000904F1" w:rsidP="000904F1">
      <w:pPr>
        <w:pStyle w:val="NormalConSangria"/>
      </w:pPr>
      <w:r>
        <w:t xml:space="preserve">Esto, en primer lugar, </w:t>
      </w:r>
      <w:r w:rsidR="006F0077">
        <w:t xml:space="preserve">se expone </w:t>
      </w:r>
      <w:proofErr w:type="gramStart"/>
      <w:r>
        <w:t xml:space="preserve">de acuerdo </w:t>
      </w:r>
      <w:r w:rsidR="006F0077">
        <w:t>a</w:t>
      </w:r>
      <w:r>
        <w:t>l</w:t>
      </w:r>
      <w:proofErr w:type="gramEnd"/>
      <w:r>
        <w:t xml:space="preserve"> cómputo cuádruple de</w:t>
      </w:r>
      <w:r w:rsidR="00DB65FD">
        <w:t>l</w:t>
      </w:r>
      <w:r>
        <w:t xml:space="preserve"> </w:t>
      </w:r>
      <w:proofErr w:type="spellStart"/>
      <w:r w:rsidR="00057BF4" w:rsidRPr="00057BF4">
        <w:rPr>
          <w:i/>
          <w:iCs/>
        </w:rPr>
        <w:t>jhāna</w:t>
      </w:r>
      <w:proofErr w:type="spellEnd"/>
      <w:r>
        <w:t>.</w:t>
      </w:r>
    </w:p>
    <w:p w14:paraId="23576CC7" w14:textId="38D887BB" w:rsidR="000904F1" w:rsidRDefault="000904F1" w:rsidP="000904F1">
      <w:pPr>
        <w:pStyle w:val="Ttulo3"/>
        <w:ind w:left="708"/>
      </w:pPr>
      <w:r>
        <w:t xml:space="preserve">[El </w:t>
      </w:r>
      <w:r w:rsidR="006F0077">
        <w:t>Cómputo</w:t>
      </w:r>
      <w:r>
        <w:t xml:space="preserve"> </w:t>
      </w:r>
      <w:r w:rsidR="00887EF9">
        <w:t>Quíntuple de los</w:t>
      </w:r>
      <w:r>
        <w:t xml:space="preserve"> </w:t>
      </w:r>
      <w:proofErr w:type="spellStart"/>
      <w:r w:rsidR="00057BF4" w:rsidRPr="00057BF4">
        <w:rPr>
          <w:i/>
          <w:iCs/>
        </w:rPr>
        <w:t>Jhāna</w:t>
      </w:r>
      <w:r w:rsidR="00DB65FD">
        <w:t>s</w:t>
      </w:r>
      <w:proofErr w:type="spellEnd"/>
      <w:r>
        <w:t>]</w:t>
      </w:r>
    </w:p>
    <w:p w14:paraId="6BF4C357" w14:textId="703EFBBC" w:rsidR="000904F1" w:rsidRDefault="000904F1" w:rsidP="000904F1">
      <w:r>
        <w:t xml:space="preserve">198. </w:t>
      </w:r>
      <w:r w:rsidR="00A257F1">
        <w:tab/>
      </w:r>
      <w:r w:rsidR="00DB65FD">
        <w:t xml:space="preserve">No obstante, </w:t>
      </w:r>
      <w:r>
        <w:t xml:space="preserve">cuando </w:t>
      </w:r>
      <w:r w:rsidR="008540E4">
        <w:t xml:space="preserve">él </w:t>
      </w:r>
      <w:r>
        <w:t>est</w:t>
      </w:r>
      <w:r w:rsidR="008540E4">
        <w:t>é</w:t>
      </w:r>
      <w:r>
        <w:t xml:space="preserve"> desarrollando </w:t>
      </w:r>
      <w:r w:rsidR="008540E4">
        <w:t xml:space="preserve">los cinco </w:t>
      </w:r>
      <w:proofErr w:type="spellStart"/>
      <w:r w:rsidR="00057BF4" w:rsidRPr="00057BF4">
        <w:rPr>
          <w:i/>
          <w:iCs/>
        </w:rPr>
        <w:t>jhāna</w:t>
      </w:r>
      <w:r w:rsidR="008540E4">
        <w:t>s</w:t>
      </w:r>
      <w:proofErr w:type="spellEnd"/>
      <w:r>
        <w:t xml:space="preserve">, entonces, al emerger del primer </w:t>
      </w:r>
      <w:proofErr w:type="spellStart"/>
      <w:r w:rsidR="00057BF4" w:rsidRPr="00057BF4">
        <w:rPr>
          <w:i/>
        </w:rPr>
        <w:t>jhāna</w:t>
      </w:r>
      <w:proofErr w:type="spellEnd"/>
      <w:r>
        <w:t xml:space="preserve"> </w:t>
      </w:r>
      <w:r w:rsidR="0002278B">
        <w:t>entonces</w:t>
      </w:r>
      <w:r>
        <w:t xml:space="preserve"> familiar, </w:t>
      </w:r>
      <w:r w:rsidR="008540E4">
        <w:t>podrá</w:t>
      </w:r>
      <w:r>
        <w:t xml:space="preserve"> considerar </w:t>
      </w:r>
      <w:r w:rsidR="008540E4">
        <w:t xml:space="preserve">los defectos </w:t>
      </w:r>
      <w:r>
        <w:t xml:space="preserve">en él de esta manera: “Este logro está amenazado por la cercanía de los obstáculos, y sus factores </w:t>
      </w:r>
      <w:r w:rsidR="008013E6">
        <w:t>serán</w:t>
      </w:r>
      <w:r>
        <w:t xml:space="preserve"> debilitado</w:t>
      </w:r>
      <w:r w:rsidR="008540E4">
        <w:t>s</w:t>
      </w:r>
      <w:r>
        <w:t xml:space="preserve"> por la </w:t>
      </w:r>
      <w:r w:rsidR="008540E4">
        <w:t xml:space="preserve">densidad </w:t>
      </w:r>
      <w:r w:rsidR="0002278B">
        <w:t>de la aplicación</w:t>
      </w:r>
      <w:r w:rsidR="0002278B">
        <w:rPr>
          <w:lang w:val="es-MX"/>
        </w:rPr>
        <w:t xml:space="preserve"> mental</w:t>
      </w:r>
      <w:r>
        <w:t xml:space="preserve">.” [169] </w:t>
      </w:r>
      <w:r w:rsidR="00D34B65">
        <w:t xml:space="preserve">Entonces podrá conducir </w:t>
      </w:r>
      <w:r>
        <w:t xml:space="preserve">la mente </w:t>
      </w:r>
      <w:r w:rsidR="00D34B65">
        <w:t xml:space="preserve">hacia </w:t>
      </w:r>
      <w:r>
        <w:t xml:space="preserve">el segundo </w:t>
      </w:r>
      <w:proofErr w:type="spellStart"/>
      <w:r w:rsidR="00057BF4" w:rsidRPr="00057BF4">
        <w:rPr>
          <w:i/>
          <w:iCs/>
        </w:rPr>
        <w:t>jhāna</w:t>
      </w:r>
      <w:proofErr w:type="spellEnd"/>
      <w:r>
        <w:t xml:space="preserve"> como </w:t>
      </w:r>
      <w:r w:rsidR="0002278B">
        <w:t xml:space="preserve">algo </w:t>
      </w:r>
      <w:r>
        <w:t xml:space="preserve">más </w:t>
      </w:r>
      <w:r w:rsidR="00D34B65">
        <w:t xml:space="preserve">apacible </w:t>
      </w:r>
      <w:r>
        <w:t xml:space="preserve">y poner fin </w:t>
      </w:r>
      <w:r w:rsidR="0002278B">
        <w:t xml:space="preserve">así </w:t>
      </w:r>
      <w:r>
        <w:t xml:space="preserve">a su apego </w:t>
      </w:r>
      <w:r w:rsidR="0002278B">
        <w:t>hacia e</w:t>
      </w:r>
      <w:r>
        <w:t xml:space="preserve">l primer </w:t>
      </w:r>
      <w:proofErr w:type="spellStart"/>
      <w:r w:rsidR="00057BF4" w:rsidRPr="00057BF4">
        <w:rPr>
          <w:i/>
        </w:rPr>
        <w:t>jhāna</w:t>
      </w:r>
      <w:proofErr w:type="spellEnd"/>
      <w:r>
        <w:t xml:space="preserve"> y comenzar a hacer lo necesario para alcanzar el segundo.</w:t>
      </w:r>
    </w:p>
    <w:p w14:paraId="27F6D186" w14:textId="67BE77D0" w:rsidR="000904F1" w:rsidRDefault="000904F1" w:rsidP="000904F1">
      <w:r>
        <w:t xml:space="preserve">199. </w:t>
      </w:r>
      <w:r w:rsidR="00A257F1">
        <w:tab/>
      </w:r>
      <w:r>
        <w:t>Ahora</w:t>
      </w:r>
      <w:r w:rsidR="00673672">
        <w:t xml:space="preserve"> bien</w:t>
      </w:r>
      <w:r>
        <w:t xml:space="preserve">, </w:t>
      </w:r>
      <w:r w:rsidR="00BC343D">
        <w:t xml:space="preserve">él </w:t>
      </w:r>
      <w:r>
        <w:t>emerge</w:t>
      </w:r>
      <w:r w:rsidR="00673672">
        <w:t>rá</w:t>
      </w:r>
      <w:r>
        <w:t xml:space="preserve"> del primer </w:t>
      </w:r>
      <w:proofErr w:type="spellStart"/>
      <w:r w:rsidR="00057BF4" w:rsidRPr="00057BF4">
        <w:rPr>
          <w:i/>
          <w:iCs/>
        </w:rPr>
        <w:t>jhāna</w:t>
      </w:r>
      <w:proofErr w:type="spellEnd"/>
      <w:r>
        <w:t xml:space="preserve"> </w:t>
      </w:r>
      <w:r w:rsidR="006152F1">
        <w:t>atento</w:t>
      </w:r>
      <w:r>
        <w:t xml:space="preserve"> y plenamente consciente; y solo </w:t>
      </w:r>
      <w:r w:rsidR="006C090C">
        <w:t>la aplicación</w:t>
      </w:r>
      <w:r w:rsidR="006C090C">
        <w:rPr>
          <w:lang w:val="es-MX"/>
        </w:rPr>
        <w:t xml:space="preserve"> mental</w:t>
      </w:r>
      <w:r w:rsidR="006C090C">
        <w:t xml:space="preserve"> </w:t>
      </w:r>
      <w:r>
        <w:t>le parece</w:t>
      </w:r>
      <w:r w:rsidR="006152F1">
        <w:t>rá</w:t>
      </w:r>
      <w:r>
        <w:t xml:space="preserve"> </w:t>
      </w:r>
      <w:r w:rsidR="006152F1">
        <w:t>dens</w:t>
      </w:r>
      <w:r w:rsidR="006C090C">
        <w:t>a</w:t>
      </w:r>
      <w:r w:rsidR="006152F1">
        <w:t xml:space="preserve"> </w:t>
      </w:r>
      <w:r>
        <w:t>cuando revis</w:t>
      </w:r>
      <w:r w:rsidR="006152F1">
        <w:t>e</w:t>
      </w:r>
      <w:r>
        <w:t xml:space="preserve"> los factores de</w:t>
      </w:r>
      <w:r w:rsidR="006C090C">
        <w:t xml:space="preserve"> este</w:t>
      </w:r>
      <w:r>
        <w:t xml:space="preserve"> </w:t>
      </w:r>
      <w:proofErr w:type="spellStart"/>
      <w:r w:rsidR="00057BF4" w:rsidRPr="00057BF4">
        <w:rPr>
          <w:i/>
          <w:iCs/>
        </w:rPr>
        <w:t>jhāna</w:t>
      </w:r>
      <w:proofErr w:type="spellEnd"/>
      <w:r>
        <w:t xml:space="preserve">, mientras que </w:t>
      </w:r>
      <w:r w:rsidR="006C090C">
        <w:t>la sustentación mental</w:t>
      </w:r>
      <w:r>
        <w:t>, etc., le parece</w:t>
      </w:r>
      <w:r w:rsidR="006152F1">
        <w:t>rá</w:t>
      </w:r>
      <w:r w:rsidR="006C090C">
        <w:t>n</w:t>
      </w:r>
      <w:r>
        <w:t xml:space="preserve"> </w:t>
      </w:r>
      <w:r w:rsidR="006152F1">
        <w:t>apacible</w:t>
      </w:r>
      <w:r w:rsidR="006C090C">
        <w:t>s</w:t>
      </w:r>
      <w:r>
        <w:t xml:space="preserve">. Entonces, mientras </w:t>
      </w:r>
      <w:r w:rsidR="00822B8F">
        <w:t xml:space="preserve">conduzca </w:t>
      </w:r>
      <w:r>
        <w:t xml:space="preserve">la mente </w:t>
      </w:r>
      <w:r w:rsidR="00822B8F">
        <w:t xml:space="preserve">con </w:t>
      </w:r>
      <w:r>
        <w:t xml:space="preserve">ese mismo signo como “tierra, tierra” una y otra vez con el propósito de abandonar el factor denso y obtener factores </w:t>
      </w:r>
      <w:r w:rsidR="00822B8F">
        <w:t>apacibles</w:t>
      </w:r>
      <w:r>
        <w:t xml:space="preserve">, el segundo </w:t>
      </w:r>
      <w:proofErr w:type="spellStart"/>
      <w:r w:rsidR="00057BF4" w:rsidRPr="00057BF4">
        <w:rPr>
          <w:i/>
          <w:iCs/>
        </w:rPr>
        <w:t>jhāna</w:t>
      </w:r>
      <w:proofErr w:type="spellEnd"/>
      <w:r>
        <w:t xml:space="preserve"> surg</w:t>
      </w:r>
      <w:r w:rsidR="00822B8F">
        <w:t>irá</w:t>
      </w:r>
      <w:r>
        <w:t xml:space="preserve"> en él de la manera ya descrita.</w:t>
      </w:r>
    </w:p>
    <w:p w14:paraId="42D0D154" w14:textId="00FB8993" w:rsidR="000904F1" w:rsidRDefault="000904F1" w:rsidP="00A257F1">
      <w:pPr>
        <w:pStyle w:val="NormalConSangria"/>
      </w:pPr>
      <w:r>
        <w:t xml:space="preserve">Su factor de abandono </w:t>
      </w:r>
      <w:r w:rsidR="00822B8F">
        <w:t xml:space="preserve">será </w:t>
      </w:r>
      <w:r>
        <w:t xml:space="preserve">sólo </w:t>
      </w:r>
      <w:r w:rsidR="001268CB">
        <w:t>la aplicación</w:t>
      </w:r>
      <w:r w:rsidR="001268CB">
        <w:rPr>
          <w:lang w:val="es-MX"/>
        </w:rPr>
        <w:t xml:space="preserve"> mental</w:t>
      </w:r>
      <w:r>
        <w:t xml:space="preserve">. Los cuatro que comienzan con </w:t>
      </w:r>
      <w:r w:rsidR="00C71F10">
        <w:t xml:space="preserve">la </w:t>
      </w:r>
      <w:proofErr w:type="spellStart"/>
      <w:r w:rsidR="00C71F10">
        <w:t>susettación</w:t>
      </w:r>
      <w:proofErr w:type="spellEnd"/>
      <w:r w:rsidR="00C71F10">
        <w:t xml:space="preserve"> mental</w:t>
      </w:r>
      <w:r>
        <w:t xml:space="preserve"> </w:t>
      </w:r>
      <w:r w:rsidR="00822B8F">
        <w:t xml:space="preserve">serán </w:t>
      </w:r>
      <w:r>
        <w:t>los factores que pose</w:t>
      </w:r>
      <w:r w:rsidR="00822B8F">
        <w:t>a</w:t>
      </w:r>
      <w:r>
        <w:t xml:space="preserve">. El resto </w:t>
      </w:r>
      <w:r w:rsidR="00822B8F">
        <w:t xml:space="preserve">será tal </w:t>
      </w:r>
      <w:r>
        <w:t xml:space="preserve">como ya se ha </w:t>
      </w:r>
      <w:r w:rsidR="00822B8F">
        <w:t>mencionado</w:t>
      </w:r>
      <w:r>
        <w:t>.</w:t>
      </w:r>
    </w:p>
    <w:p w14:paraId="5FFB6093" w14:textId="2C02B7F9" w:rsidR="000904F1" w:rsidRDefault="000904F1" w:rsidP="000904F1">
      <w:r>
        <w:t xml:space="preserve">200. </w:t>
      </w:r>
      <w:r w:rsidR="00A257F1">
        <w:tab/>
      </w:r>
      <w:r>
        <w:t>Cuando esto se ha</w:t>
      </w:r>
      <w:r w:rsidR="00822B8F">
        <w:t>ya</w:t>
      </w:r>
      <w:r>
        <w:t xml:space="preserve"> obtenido </w:t>
      </w:r>
      <w:r w:rsidR="001268CB">
        <w:t>así</w:t>
      </w:r>
      <w:r>
        <w:t xml:space="preserve">, y una vez que </w:t>
      </w:r>
      <w:r w:rsidR="009214C1">
        <w:t xml:space="preserve">él </w:t>
      </w:r>
      <w:r w:rsidR="00162014">
        <w:t>desarrolle</w:t>
      </w:r>
      <w:r>
        <w:t xml:space="preserve"> maestría en las cinco formas ya descritas, entonces, al emerger del </w:t>
      </w:r>
      <w:r w:rsidR="009214C1">
        <w:t xml:space="preserve">entonces </w:t>
      </w:r>
      <w:r>
        <w:t xml:space="preserve">familiar segundo </w:t>
      </w:r>
      <w:proofErr w:type="spellStart"/>
      <w:r w:rsidR="00057BF4" w:rsidRPr="00057BF4">
        <w:rPr>
          <w:i/>
          <w:iCs/>
        </w:rPr>
        <w:t>jhāna</w:t>
      </w:r>
      <w:proofErr w:type="spellEnd"/>
      <w:r>
        <w:t xml:space="preserve">, </w:t>
      </w:r>
      <w:r w:rsidR="00162014">
        <w:t>podrá</w:t>
      </w:r>
      <w:r>
        <w:t xml:space="preserve"> considerar l</w:t>
      </w:r>
      <w:r w:rsidR="00225946">
        <w:t>o</w:t>
      </w:r>
      <w:r>
        <w:t xml:space="preserve">s </w:t>
      </w:r>
      <w:r w:rsidR="00225946">
        <w:t xml:space="preserve">defectos </w:t>
      </w:r>
      <w:r>
        <w:t>en él de esta manera: “Est</w:t>
      </w:r>
      <w:r w:rsidR="00225946">
        <w:t>a</w:t>
      </w:r>
      <w:r>
        <w:t xml:space="preserve"> </w:t>
      </w:r>
      <w:r w:rsidR="00225946">
        <w:t xml:space="preserve">consumación </w:t>
      </w:r>
      <w:r>
        <w:t>est</w:t>
      </w:r>
      <w:r w:rsidR="003757A6">
        <w:t>ar</w:t>
      </w:r>
      <w:r>
        <w:t>á amenazad</w:t>
      </w:r>
      <w:r w:rsidR="00225946">
        <w:t>a</w:t>
      </w:r>
      <w:r>
        <w:t xml:space="preserve"> por </w:t>
      </w:r>
      <w:r w:rsidR="009214C1">
        <w:t>la</w:t>
      </w:r>
      <w:r>
        <w:t xml:space="preserve"> cercanía </w:t>
      </w:r>
      <w:r w:rsidR="009214C1">
        <w:t>de la aplicación</w:t>
      </w:r>
      <w:r w:rsidR="009214C1">
        <w:rPr>
          <w:lang w:val="es-MX"/>
        </w:rPr>
        <w:t xml:space="preserve"> mental</w:t>
      </w:r>
      <w:r>
        <w:t xml:space="preserve">, y sus factores </w:t>
      </w:r>
      <w:r w:rsidR="003757A6">
        <w:t xml:space="preserve">serán </w:t>
      </w:r>
      <w:r>
        <w:t xml:space="preserve">debilitados por la </w:t>
      </w:r>
      <w:r w:rsidR="003757A6">
        <w:t xml:space="preserve">densidad </w:t>
      </w:r>
      <w:r>
        <w:t xml:space="preserve">de </w:t>
      </w:r>
      <w:r w:rsidR="009214C1">
        <w:t>la sustentación mental</w:t>
      </w:r>
      <w:r>
        <w:t>”</w:t>
      </w:r>
      <w:r w:rsidR="008013E6">
        <w:t>.</w:t>
      </w:r>
      <w:r>
        <w:t xml:space="preserve"> </w:t>
      </w:r>
      <w:r w:rsidR="008013E6">
        <w:t xml:space="preserve">Entonces podrá conducir </w:t>
      </w:r>
      <w:r>
        <w:t xml:space="preserve">la mente </w:t>
      </w:r>
      <w:r w:rsidR="008013E6">
        <w:t xml:space="preserve">hacia </w:t>
      </w:r>
      <w:r>
        <w:t xml:space="preserve">el tercer </w:t>
      </w:r>
      <w:proofErr w:type="spellStart"/>
      <w:r w:rsidR="00057BF4" w:rsidRPr="00057BF4">
        <w:rPr>
          <w:i/>
          <w:iCs/>
        </w:rPr>
        <w:t>jhāna</w:t>
      </w:r>
      <w:proofErr w:type="spellEnd"/>
      <w:r>
        <w:t xml:space="preserve"> como </w:t>
      </w:r>
      <w:r w:rsidR="008D1AB1">
        <w:t xml:space="preserve">algo </w:t>
      </w:r>
      <w:r>
        <w:t xml:space="preserve">más </w:t>
      </w:r>
      <w:r w:rsidR="008D1AB1">
        <w:t>apacible</w:t>
      </w:r>
      <w:r>
        <w:t xml:space="preserve"> y así </w:t>
      </w:r>
      <w:r w:rsidR="008D1AB1">
        <w:t xml:space="preserve">pondrá </w:t>
      </w:r>
      <w:r>
        <w:t xml:space="preserve">fin a su apego al segundo </w:t>
      </w:r>
      <w:proofErr w:type="spellStart"/>
      <w:r w:rsidR="00057BF4" w:rsidRPr="00057BF4">
        <w:rPr>
          <w:i/>
        </w:rPr>
        <w:t>jhāna</w:t>
      </w:r>
      <w:proofErr w:type="spellEnd"/>
      <w:r>
        <w:t xml:space="preserve"> y comenzar</w:t>
      </w:r>
      <w:r w:rsidR="008D1AB1">
        <w:t>á</w:t>
      </w:r>
      <w:r>
        <w:t xml:space="preserve"> a hacer lo necesario para alcanzar el tercero.</w:t>
      </w:r>
    </w:p>
    <w:p w14:paraId="49B4D82B" w14:textId="1DD31FC9" w:rsidR="000904F1" w:rsidRDefault="000904F1" w:rsidP="000904F1">
      <w:r>
        <w:t xml:space="preserve">201. </w:t>
      </w:r>
      <w:r w:rsidR="00A257F1">
        <w:tab/>
      </w:r>
      <w:r>
        <w:t>Ahora</w:t>
      </w:r>
      <w:r w:rsidR="008D1AB1">
        <w:t xml:space="preserve"> bien</w:t>
      </w:r>
      <w:r>
        <w:t xml:space="preserve">, </w:t>
      </w:r>
      <w:r w:rsidR="008D1AB1">
        <w:t xml:space="preserve">al </w:t>
      </w:r>
      <w:r>
        <w:t>emerge</w:t>
      </w:r>
      <w:r w:rsidR="008D1AB1">
        <w:t>r</w:t>
      </w:r>
      <w:r>
        <w:t xml:space="preserve"> del segundo </w:t>
      </w:r>
      <w:proofErr w:type="spellStart"/>
      <w:r w:rsidR="00057BF4" w:rsidRPr="00057BF4">
        <w:rPr>
          <w:i/>
          <w:iCs/>
        </w:rPr>
        <w:t>jhāna</w:t>
      </w:r>
      <w:proofErr w:type="spellEnd"/>
      <w:r>
        <w:t xml:space="preserve"> </w:t>
      </w:r>
      <w:r w:rsidR="008D1AB1">
        <w:t xml:space="preserve">atento </w:t>
      </w:r>
      <w:r>
        <w:t xml:space="preserve">y plenamente consciente; </w:t>
      </w:r>
      <w:r w:rsidR="00194AE2">
        <w:t xml:space="preserve">cuando revise los factores del </w:t>
      </w:r>
      <w:proofErr w:type="spellStart"/>
      <w:r w:rsidR="00194AE2" w:rsidRPr="00057BF4">
        <w:rPr>
          <w:i/>
          <w:iCs/>
        </w:rPr>
        <w:t>jhāna</w:t>
      </w:r>
      <w:proofErr w:type="spellEnd"/>
      <w:r w:rsidR="00194AE2">
        <w:t xml:space="preserve"> </w:t>
      </w:r>
      <w:r>
        <w:t xml:space="preserve">solo </w:t>
      </w:r>
      <w:r w:rsidR="00235436">
        <w:t xml:space="preserve">la sustentación mental </w:t>
      </w:r>
      <w:r>
        <w:t>le parece</w:t>
      </w:r>
      <w:r w:rsidR="008D1AB1">
        <w:t>rá dens</w:t>
      </w:r>
      <w:r w:rsidR="00235436">
        <w:t>a</w:t>
      </w:r>
      <w:r>
        <w:t>, mientras que la felicidad, etc., le parece</w:t>
      </w:r>
      <w:r w:rsidR="00194AE2">
        <w:t>rán</w:t>
      </w:r>
      <w:r>
        <w:t xml:space="preserve"> </w:t>
      </w:r>
      <w:r w:rsidR="00194AE2">
        <w:t>apacibles</w:t>
      </w:r>
      <w:r>
        <w:t xml:space="preserve">. Entonces, mientras </w:t>
      </w:r>
      <w:r w:rsidR="00194AE2">
        <w:t>conduz</w:t>
      </w:r>
      <w:r w:rsidR="00555EF0">
        <w:t>ca</w:t>
      </w:r>
      <w:r>
        <w:t xml:space="preserve"> la mente </w:t>
      </w:r>
      <w:r w:rsidR="00555EF0">
        <w:t xml:space="preserve">con </w:t>
      </w:r>
      <w:r>
        <w:t xml:space="preserve">ese mismo signo como “tierra, tierra” una y otra vez con el propósito de abandonar el factor denso y obtener los factores </w:t>
      </w:r>
      <w:r w:rsidR="00555EF0">
        <w:t>apacibles</w:t>
      </w:r>
      <w:r>
        <w:t xml:space="preserve">, el tercer </w:t>
      </w:r>
      <w:proofErr w:type="spellStart"/>
      <w:r w:rsidR="00057BF4" w:rsidRPr="00057BF4">
        <w:rPr>
          <w:i/>
          <w:iCs/>
        </w:rPr>
        <w:t>jhāna</w:t>
      </w:r>
      <w:proofErr w:type="spellEnd"/>
      <w:r>
        <w:t xml:space="preserve"> surg</w:t>
      </w:r>
      <w:r w:rsidR="00555EF0">
        <w:t>irá</w:t>
      </w:r>
      <w:r>
        <w:t xml:space="preserve"> en él de la manera ya descrita.</w:t>
      </w:r>
    </w:p>
    <w:p w14:paraId="39D5D19F" w14:textId="788C1682" w:rsidR="000904F1" w:rsidRDefault="000904F1" w:rsidP="00A257F1">
      <w:pPr>
        <w:pStyle w:val="NormalConSangria"/>
      </w:pPr>
      <w:r>
        <w:t xml:space="preserve">Su factor de abandono </w:t>
      </w:r>
      <w:r w:rsidR="00555EF0">
        <w:t xml:space="preserve">será </w:t>
      </w:r>
      <w:r>
        <w:t xml:space="preserve">sólo </w:t>
      </w:r>
      <w:r w:rsidR="00614695">
        <w:t>la sustentación mental</w:t>
      </w:r>
      <w:r>
        <w:t>. Los tres que comien</w:t>
      </w:r>
      <w:r w:rsidR="00144B43">
        <w:t>ce</w:t>
      </w:r>
      <w:r>
        <w:t xml:space="preserve">n con </w:t>
      </w:r>
      <w:r w:rsidR="00144B43">
        <w:t xml:space="preserve">la </w:t>
      </w:r>
      <w:r>
        <w:t xml:space="preserve">felicidad, como en el segundo </w:t>
      </w:r>
      <w:proofErr w:type="spellStart"/>
      <w:r w:rsidR="00057BF4" w:rsidRPr="00057BF4">
        <w:rPr>
          <w:i/>
          <w:iCs/>
        </w:rPr>
        <w:t>jhāna</w:t>
      </w:r>
      <w:proofErr w:type="spellEnd"/>
      <w:r>
        <w:t xml:space="preserve"> en el cómputo cuádruple, </w:t>
      </w:r>
      <w:r w:rsidR="00144B43">
        <w:t>serán</w:t>
      </w:r>
      <w:r>
        <w:t xml:space="preserve"> los factores que </w:t>
      </w:r>
      <w:r w:rsidR="00614695">
        <w:t xml:space="preserve">entonces </w:t>
      </w:r>
      <w:r>
        <w:t>pose</w:t>
      </w:r>
      <w:r w:rsidR="00614695">
        <w:t>erá</w:t>
      </w:r>
      <w:r>
        <w:t xml:space="preserve">. El resto </w:t>
      </w:r>
      <w:r w:rsidR="00144B43">
        <w:t>será</w:t>
      </w:r>
      <w:r>
        <w:t xml:space="preserve"> como ya se ha </w:t>
      </w:r>
      <w:r w:rsidR="00144B43">
        <w:t>mencionado</w:t>
      </w:r>
      <w:r w:rsidR="00614695">
        <w:t xml:space="preserve"> antes</w:t>
      </w:r>
      <w:r>
        <w:t>.</w:t>
      </w:r>
    </w:p>
    <w:p w14:paraId="01F5D69E" w14:textId="6479B561" w:rsidR="00A257F1" w:rsidRDefault="000904F1" w:rsidP="000904F1">
      <w:r>
        <w:t xml:space="preserve">202. </w:t>
      </w:r>
      <w:r w:rsidR="00A257F1">
        <w:tab/>
      </w:r>
      <w:r>
        <w:t xml:space="preserve">Así que lo que </w:t>
      </w:r>
      <w:r w:rsidR="00144B43">
        <w:t>sea</w:t>
      </w:r>
      <w:r>
        <w:t xml:space="preserve"> segundo en el cómputo cuádruple se convert</w:t>
      </w:r>
      <w:r w:rsidR="00144B43">
        <w:t>irá</w:t>
      </w:r>
      <w:r>
        <w:t xml:space="preserve"> en el segundo y tercero en el cómputo quíntuple al ser dividido en dos. Y el tercer y el cuarto </w:t>
      </w:r>
      <w:proofErr w:type="spellStart"/>
      <w:r w:rsidR="00144B43" w:rsidRPr="00144B43">
        <w:rPr>
          <w:i/>
          <w:iCs/>
        </w:rPr>
        <w:t>jhāna</w:t>
      </w:r>
      <w:proofErr w:type="spellEnd"/>
      <w:r w:rsidR="00144B43">
        <w:t xml:space="preserve"> </w:t>
      </w:r>
      <w:r>
        <w:t xml:space="preserve">en </w:t>
      </w:r>
    </w:p>
    <w:p w14:paraId="0F7796C3" w14:textId="77777777" w:rsidR="00A257F1" w:rsidRDefault="00A257F1">
      <w:pPr>
        <w:tabs>
          <w:tab w:val="clear" w:pos="425"/>
        </w:tabs>
        <w:spacing w:after="160"/>
      </w:pPr>
      <w:r>
        <w:br w:type="page"/>
      </w:r>
    </w:p>
    <w:p w14:paraId="0AD918C8" w14:textId="77777777" w:rsidR="00A257F1" w:rsidRDefault="00A257F1" w:rsidP="000904F1"/>
    <w:p w14:paraId="534D089B" w14:textId="311DD46D" w:rsidR="007F0AC6" w:rsidRDefault="00144B43" w:rsidP="007F0AC6">
      <w:r>
        <w:t xml:space="preserve">el </w:t>
      </w:r>
      <w:r w:rsidR="007F0AC6">
        <w:t xml:space="preserve">cómputo </w:t>
      </w:r>
      <w:r w:rsidR="00D37187">
        <w:t>previo</w:t>
      </w:r>
      <w:r w:rsidR="007F0AC6">
        <w:t xml:space="preserve"> se convert</w:t>
      </w:r>
      <w:r w:rsidR="00442C5F">
        <w:t>irá</w:t>
      </w:r>
      <w:r w:rsidR="007F0AC6">
        <w:t xml:space="preserve"> en el cuarto y quinto </w:t>
      </w:r>
      <w:r w:rsidR="00D37187">
        <w:t>del presente</w:t>
      </w:r>
      <w:r w:rsidR="007F0AC6">
        <w:t xml:space="preserve"> cómputo</w:t>
      </w:r>
      <w:r w:rsidR="00442C5F">
        <w:t>, respectivamente</w:t>
      </w:r>
      <w:r w:rsidR="007F0AC6">
        <w:t xml:space="preserve">. El primero </w:t>
      </w:r>
      <w:r w:rsidR="00442C5F">
        <w:t xml:space="preserve">seguirá </w:t>
      </w:r>
      <w:r w:rsidR="007F0AC6">
        <w:t>siendo el primero en cada caso.</w:t>
      </w:r>
    </w:p>
    <w:p w14:paraId="047F646C" w14:textId="514F831B" w:rsidR="00A257F1" w:rsidRDefault="00626921" w:rsidP="00D37187">
      <w:pPr>
        <w:ind w:left="1416" w:right="1043"/>
      </w:pPr>
      <w:r>
        <w:t xml:space="preserve">Éste ha sido el </w:t>
      </w:r>
      <w:r w:rsidR="007F0AC6">
        <w:t xml:space="preserve">cuarto capítulo </w:t>
      </w:r>
      <w:r w:rsidR="009F6332">
        <w:t xml:space="preserve">con el nombre de </w:t>
      </w:r>
      <w:r w:rsidR="007F0AC6">
        <w:t xml:space="preserve">“La Descripción del </w:t>
      </w:r>
      <w:proofErr w:type="spellStart"/>
      <w:r w:rsidR="00057BF4" w:rsidRPr="00057BF4">
        <w:rPr>
          <w:i/>
          <w:iCs/>
        </w:rPr>
        <w:t>Kasiṇa</w:t>
      </w:r>
      <w:proofErr w:type="spellEnd"/>
      <w:r w:rsidR="005B4FC9" w:rsidRPr="005B4FC9">
        <w:t xml:space="preserve"> </w:t>
      </w:r>
      <w:r w:rsidR="005B4FC9">
        <w:t>Tierra</w:t>
      </w:r>
      <w:r w:rsidR="007F0AC6">
        <w:t xml:space="preserve">” </w:t>
      </w:r>
      <w:r w:rsidR="00D515B5">
        <w:t>d</w:t>
      </w:r>
      <w:r w:rsidR="007F0AC6">
        <w:t xml:space="preserve">el Tratado sobre el Desarrollo de la Concentración </w:t>
      </w:r>
      <w:r>
        <w:t>d</w:t>
      </w:r>
      <w:r w:rsidR="007F0AC6">
        <w:t xml:space="preserve">el </w:t>
      </w:r>
      <w:r w:rsidR="007F0AC6" w:rsidRPr="007F0AC6">
        <w:rPr>
          <w:i/>
          <w:iCs/>
        </w:rPr>
        <w:t>Sendero de la Purificación</w:t>
      </w:r>
      <w:r w:rsidR="007F0AC6">
        <w:t xml:space="preserve"> </w:t>
      </w:r>
      <w:r w:rsidR="00483541">
        <w:t>compuesto para alegría de buenas personas.</w:t>
      </w:r>
    </w:p>
    <w:p w14:paraId="32A4049C" w14:textId="7C65CAC6" w:rsidR="00627D73" w:rsidRDefault="00627D73">
      <w:pPr>
        <w:tabs>
          <w:tab w:val="clear" w:pos="425"/>
        </w:tabs>
        <w:spacing w:after="160"/>
      </w:pPr>
      <w:r>
        <w:br w:type="page"/>
      </w:r>
    </w:p>
    <w:p w14:paraId="5B347502" w14:textId="77777777" w:rsidR="00D12BD8" w:rsidRDefault="00D12BD8" w:rsidP="007F0AC6"/>
    <w:p w14:paraId="05AAE581" w14:textId="77777777" w:rsidR="00D12BD8" w:rsidRDefault="00D12BD8" w:rsidP="007F0AC6"/>
    <w:p w14:paraId="311D056A" w14:textId="77777777" w:rsidR="00D12BD8" w:rsidRDefault="00D12BD8" w:rsidP="007F0AC6"/>
    <w:p w14:paraId="172EAFDB" w14:textId="3F4E134D" w:rsidR="00627D73" w:rsidRDefault="00627D73" w:rsidP="00627D73">
      <w:pPr>
        <w:pStyle w:val="Ttulo2"/>
        <w:jc w:val="center"/>
      </w:pPr>
      <w:r>
        <w:t>Capítulo V</w:t>
      </w:r>
      <w:r>
        <w:br/>
        <w:t>L</w:t>
      </w:r>
      <w:r w:rsidR="00A744C3">
        <w:t>o</w:t>
      </w:r>
      <w:r>
        <w:t xml:space="preserve">s </w:t>
      </w:r>
      <w:proofErr w:type="spellStart"/>
      <w:r w:rsidR="00057BF4" w:rsidRPr="00057BF4">
        <w:rPr>
          <w:i/>
        </w:rPr>
        <w:t>Kasiṇa</w:t>
      </w:r>
      <w:r>
        <w:t>s</w:t>
      </w:r>
      <w:proofErr w:type="spellEnd"/>
      <w:r>
        <w:t xml:space="preserve"> Restantes</w:t>
      </w:r>
    </w:p>
    <w:p w14:paraId="751D3255" w14:textId="5EE0BB04" w:rsidR="00627D73" w:rsidRDefault="00627D73" w:rsidP="00627D73">
      <w:pPr>
        <w:jc w:val="center"/>
      </w:pPr>
      <w:r>
        <w:br/>
        <w:t>(</w:t>
      </w:r>
      <w:proofErr w:type="spellStart"/>
      <w:r w:rsidRPr="00627D73">
        <w:rPr>
          <w:b/>
          <w:bCs/>
          <w:i/>
          <w:iCs/>
          <w:sz w:val="22"/>
          <w:szCs w:val="28"/>
        </w:rPr>
        <w:t>Sesa-</w:t>
      </w:r>
      <w:r w:rsidR="00057BF4" w:rsidRPr="00057BF4">
        <w:rPr>
          <w:b/>
          <w:bCs/>
          <w:i/>
          <w:iCs/>
          <w:sz w:val="22"/>
          <w:szCs w:val="28"/>
        </w:rPr>
        <w:t>kasiṇa</w:t>
      </w:r>
      <w:r w:rsidRPr="00627D73">
        <w:rPr>
          <w:b/>
          <w:bCs/>
          <w:i/>
          <w:iCs/>
          <w:sz w:val="22"/>
          <w:szCs w:val="28"/>
        </w:rPr>
        <w:t>-niddesa</w:t>
      </w:r>
      <w:proofErr w:type="spellEnd"/>
      <w:r>
        <w:t>)</w:t>
      </w:r>
    </w:p>
    <w:p w14:paraId="12AD40A4" w14:textId="690D8685" w:rsidR="00627D73" w:rsidRDefault="00627D73" w:rsidP="00627D73">
      <w:pPr>
        <w:pStyle w:val="Ttulo3"/>
        <w:ind w:left="708"/>
      </w:pPr>
      <w:r>
        <w:t xml:space="preserve">[El </w:t>
      </w:r>
      <w:proofErr w:type="spellStart"/>
      <w:r w:rsidR="00057BF4" w:rsidRPr="00057BF4">
        <w:rPr>
          <w:i/>
          <w:iCs/>
        </w:rPr>
        <w:t>Kasiṇa</w:t>
      </w:r>
      <w:proofErr w:type="spellEnd"/>
      <w:r w:rsidR="00DA3B60" w:rsidRPr="00DA3B60">
        <w:t xml:space="preserve"> </w:t>
      </w:r>
      <w:r w:rsidR="00DA3B60">
        <w:t>Agua</w:t>
      </w:r>
      <w:r>
        <w:t>]</w:t>
      </w:r>
    </w:p>
    <w:p w14:paraId="1B9592E5" w14:textId="3D363032" w:rsidR="00627D73" w:rsidRDefault="00627D73" w:rsidP="00627D73">
      <w:r>
        <w:t xml:space="preserve">1. </w:t>
      </w:r>
      <w:r>
        <w:tab/>
        <w:t>[170] Ahora</w:t>
      </w:r>
      <w:r w:rsidR="008C07F6">
        <w:t xml:space="preserve"> bien</w:t>
      </w:r>
      <w:r>
        <w:t xml:space="preserve">, el </w:t>
      </w:r>
      <w:proofErr w:type="spellStart"/>
      <w:r w:rsidR="00057BF4" w:rsidRPr="00057BF4">
        <w:rPr>
          <w:i/>
          <w:iCs/>
        </w:rPr>
        <w:t>kasiṇa</w:t>
      </w:r>
      <w:proofErr w:type="spellEnd"/>
      <w:r>
        <w:t xml:space="preserve"> agua </w:t>
      </w:r>
      <w:r w:rsidR="001117D2">
        <w:t>se analizará</w:t>
      </w:r>
      <w:r>
        <w:t xml:space="preserve"> después del </w:t>
      </w:r>
      <w:proofErr w:type="spellStart"/>
      <w:r w:rsidR="00057BF4" w:rsidRPr="00057BF4">
        <w:rPr>
          <w:i/>
          <w:iCs/>
        </w:rPr>
        <w:t>kasiṇa</w:t>
      </w:r>
      <w:proofErr w:type="spellEnd"/>
      <w:r>
        <w:t xml:space="preserve"> tierra (III.105). </w:t>
      </w:r>
      <w:r w:rsidR="00C07A9F">
        <w:t xml:space="preserve">A </w:t>
      </w:r>
      <w:r w:rsidR="00847556">
        <w:t>continuación,</w:t>
      </w:r>
      <w:r>
        <w:t xml:space="preserve"> </w:t>
      </w:r>
      <w:r w:rsidR="00621C2B">
        <w:t>se expondrá</w:t>
      </w:r>
      <w:r>
        <w:t xml:space="preserve"> </w:t>
      </w:r>
      <w:r w:rsidR="00C07A9F">
        <w:t>una</w:t>
      </w:r>
      <w:r>
        <w:t xml:space="preserve"> explicación detallada.</w:t>
      </w:r>
    </w:p>
    <w:p w14:paraId="54312153" w14:textId="43CCE3F4" w:rsidR="00627D73" w:rsidRDefault="00627D73" w:rsidP="00627D73">
      <w:pPr>
        <w:pStyle w:val="NormalConSangria"/>
      </w:pPr>
      <w:r>
        <w:t xml:space="preserve">Aquel que quiera desarrollar el </w:t>
      </w:r>
      <w:proofErr w:type="spellStart"/>
      <w:r w:rsidR="00057BF4" w:rsidRPr="00057BF4">
        <w:rPr>
          <w:i/>
          <w:iCs/>
        </w:rPr>
        <w:t>kasiṇa</w:t>
      </w:r>
      <w:proofErr w:type="spellEnd"/>
      <w:r>
        <w:t xml:space="preserve"> agua debe</w:t>
      </w:r>
      <w:r w:rsidR="00C07A9F">
        <w:t>rá</w:t>
      </w:r>
      <w:r>
        <w:t xml:space="preserve">, como en el caso del </w:t>
      </w:r>
      <w:proofErr w:type="spellStart"/>
      <w:r w:rsidR="00057BF4" w:rsidRPr="00057BF4">
        <w:rPr>
          <w:i/>
          <w:iCs/>
        </w:rPr>
        <w:t>kasiṇa</w:t>
      </w:r>
      <w:proofErr w:type="spellEnd"/>
      <w:r>
        <w:t xml:space="preserve"> tierra, sentarse cómodamente y captar </w:t>
      </w:r>
      <w:r w:rsidR="00C07A9F">
        <w:t>el signo</w:t>
      </w:r>
      <w:r>
        <w:t xml:space="preserve"> en el agua que “se</w:t>
      </w:r>
      <w:r w:rsidR="00C07A9F">
        <w:t>a</w:t>
      </w:r>
      <w:r>
        <w:t xml:space="preserve"> </w:t>
      </w:r>
      <w:r w:rsidR="0065361B">
        <w:t>fabricado</w:t>
      </w:r>
      <w:r>
        <w:t xml:space="preserve"> o no </w:t>
      </w:r>
      <w:r w:rsidR="0065361B">
        <w:t>fabricado</w:t>
      </w:r>
      <w:r>
        <w:t>”, etc.; y así todo lo demás debe</w:t>
      </w:r>
      <w:r w:rsidR="00847556">
        <w:t xml:space="preserve">rá </w:t>
      </w:r>
      <w:r>
        <w:t xml:space="preserve">repetirse en detalle (IV.22). Y como en este caso, </w:t>
      </w:r>
      <w:r w:rsidR="00915BD3">
        <w:t xml:space="preserve">así </w:t>
      </w:r>
      <w:r w:rsidR="00847556">
        <w:t xml:space="preserve">se hará en </w:t>
      </w:r>
      <w:r>
        <w:t>todos los que</w:t>
      </w:r>
      <w:r w:rsidR="00CF38E8">
        <w:t xml:space="preserve"> le</w:t>
      </w:r>
      <w:r>
        <w:t xml:space="preserve"> sig</w:t>
      </w:r>
      <w:r w:rsidR="00847556">
        <w:t>a</w:t>
      </w:r>
      <w:r>
        <w:t xml:space="preserve">n [en este capítulo]. De hecho, no repetiremos ni siquiera esto y sólo señalaremos lo que </w:t>
      </w:r>
      <w:r w:rsidR="00847556">
        <w:t>se</w:t>
      </w:r>
      <w:r w:rsidR="00CF38E8">
        <w:t>rá</w:t>
      </w:r>
      <w:r w:rsidR="00847556">
        <w:t xml:space="preserve"> </w:t>
      </w:r>
      <w:r>
        <w:t>diferente.</w:t>
      </w:r>
    </w:p>
    <w:p w14:paraId="7BD84796" w14:textId="3E199C38" w:rsidR="00627D73" w:rsidRDefault="00627D73" w:rsidP="00627D73">
      <w:r>
        <w:t xml:space="preserve">2. </w:t>
      </w:r>
      <w:r w:rsidR="00D12BD8">
        <w:tab/>
      </w:r>
      <w:r>
        <w:t>Aquí también, cuando alguien ha</w:t>
      </w:r>
      <w:r w:rsidR="00664F56">
        <w:t>ya</w:t>
      </w:r>
      <w:r>
        <w:t xml:space="preserve"> tenido </w:t>
      </w:r>
      <w:r w:rsidR="00664F56">
        <w:t xml:space="preserve">una </w:t>
      </w:r>
      <w:r>
        <w:t xml:space="preserve">práctica </w:t>
      </w:r>
      <w:r w:rsidR="00664F56">
        <w:t xml:space="preserve">previa </w:t>
      </w:r>
      <w:r>
        <w:t xml:space="preserve">en vidas </w:t>
      </w:r>
      <w:r w:rsidR="00664F56">
        <w:t>pasadas</w:t>
      </w:r>
      <w:r>
        <w:t xml:space="preserve">, </w:t>
      </w:r>
      <w:r w:rsidR="00664F56">
        <w:t xml:space="preserve">el signo </w:t>
      </w:r>
      <w:r>
        <w:t>surg</w:t>
      </w:r>
      <w:r w:rsidR="00BB65B7">
        <w:t>irá</w:t>
      </w:r>
      <w:r>
        <w:t xml:space="preserve"> para él en </w:t>
      </w:r>
      <w:r w:rsidR="006C2F02">
        <w:t xml:space="preserve">el </w:t>
      </w:r>
      <w:r>
        <w:t xml:space="preserve">agua que no </w:t>
      </w:r>
      <w:r w:rsidR="006C2F02">
        <w:t xml:space="preserve">sea </w:t>
      </w:r>
      <w:r w:rsidR="0065361B">
        <w:t>fabricado</w:t>
      </w:r>
      <w:r>
        <w:t>, como un</w:t>
      </w:r>
      <w:r w:rsidR="00CF38E8">
        <w:t>a</w:t>
      </w:r>
      <w:r>
        <w:t xml:space="preserve"> </w:t>
      </w:r>
      <w:r w:rsidR="006C2F02">
        <w:t>fuente</w:t>
      </w:r>
      <w:r>
        <w:t>, un lago, una laguna o el océano</w:t>
      </w:r>
      <w:r w:rsidR="00CF38E8">
        <w:t>,</w:t>
      </w:r>
      <w:r>
        <w:t xml:space="preserve"> como en el caso del </w:t>
      </w:r>
      <w:r w:rsidR="00B34070">
        <w:t>Venerable</w:t>
      </w:r>
      <w:r>
        <w:t xml:space="preserve"> </w:t>
      </w:r>
      <w:proofErr w:type="spellStart"/>
      <w:r>
        <w:t>Cūḷa-Sīva</w:t>
      </w:r>
      <w:proofErr w:type="spellEnd"/>
      <w:r>
        <w:t xml:space="preserve">. El </w:t>
      </w:r>
      <w:r w:rsidR="006C2F02">
        <w:t>Venerable</w:t>
      </w:r>
      <w:r>
        <w:t xml:space="preserve">, al parecer, pensó en abandonar la ganancia y el honor y vivir una vida </w:t>
      </w:r>
      <w:r w:rsidR="006C2F02">
        <w:t xml:space="preserve">de </w:t>
      </w:r>
      <w:r>
        <w:t>reclu</w:t>
      </w:r>
      <w:r w:rsidR="006C2F02">
        <w:t>sión</w:t>
      </w:r>
      <w:r>
        <w:t xml:space="preserve">. Abordó un barco en </w:t>
      </w:r>
      <w:proofErr w:type="spellStart"/>
      <w:r>
        <w:t>Mahātittha</w:t>
      </w:r>
      <w:proofErr w:type="spellEnd"/>
      <w:r>
        <w:t xml:space="preserve"> (</w:t>
      </w:r>
      <w:proofErr w:type="spellStart"/>
      <w:r w:rsidRPr="00B34070">
        <w:rPr>
          <w:i/>
          <w:iCs/>
        </w:rPr>
        <w:t>Mannar</w:t>
      </w:r>
      <w:proofErr w:type="spellEnd"/>
      <w:r>
        <w:t xml:space="preserve">) y navegó hasta </w:t>
      </w:r>
      <w:proofErr w:type="spellStart"/>
      <w:r>
        <w:t>Jambudīpa</w:t>
      </w:r>
      <w:proofErr w:type="spellEnd"/>
      <w:r>
        <w:t xml:space="preserve"> (India). Mientras contemplaba el océano, el signo </w:t>
      </w:r>
      <w:proofErr w:type="spellStart"/>
      <w:r w:rsidR="00057BF4" w:rsidRPr="00057BF4">
        <w:rPr>
          <w:i/>
          <w:iCs/>
        </w:rPr>
        <w:t>kasiṇa</w:t>
      </w:r>
      <w:proofErr w:type="spellEnd"/>
      <w:r>
        <w:t xml:space="preserve">, la contraparte de ese </w:t>
      </w:r>
      <w:proofErr w:type="gramStart"/>
      <w:r>
        <w:t>océano,</w:t>
      </w:r>
      <w:proofErr w:type="gramEnd"/>
      <w:r>
        <w:t xml:space="preserve"> surgió en él.</w:t>
      </w:r>
    </w:p>
    <w:p w14:paraId="333F4EE9" w14:textId="3D724698" w:rsidR="00627D73" w:rsidRDefault="00627D73" w:rsidP="00627D73">
      <w:r>
        <w:t xml:space="preserve">3. </w:t>
      </w:r>
      <w:r w:rsidR="00D12BD8">
        <w:tab/>
      </w:r>
      <w:r>
        <w:t>Alguien sin tal práctica previa debe</w:t>
      </w:r>
      <w:r w:rsidR="0087697D">
        <w:t>rá</w:t>
      </w:r>
      <w:r>
        <w:t xml:space="preserve"> </w:t>
      </w:r>
      <w:r w:rsidR="00C67474">
        <w:t>res</w:t>
      </w:r>
      <w:r>
        <w:t>guardarse de l</w:t>
      </w:r>
      <w:r w:rsidR="0087697D">
        <w:t>o</w:t>
      </w:r>
      <w:r>
        <w:t xml:space="preserve">s cuatro </w:t>
      </w:r>
      <w:r w:rsidR="0087697D">
        <w:t>defectos</w:t>
      </w:r>
      <w:r>
        <w:t xml:space="preserve"> de un </w:t>
      </w:r>
      <w:proofErr w:type="spellStart"/>
      <w:r w:rsidR="00057BF4" w:rsidRPr="00057BF4">
        <w:rPr>
          <w:i/>
          <w:iCs/>
        </w:rPr>
        <w:t>kasiṇa</w:t>
      </w:r>
      <w:proofErr w:type="spellEnd"/>
      <w:r>
        <w:t xml:space="preserve"> (IV.24) y no aprehender el agua como uno de los colores, azul, amarillo, rojo o blanco. Debe</w:t>
      </w:r>
      <w:r w:rsidR="007E7CDB">
        <w:t xml:space="preserve">rá </w:t>
      </w:r>
      <w:r>
        <w:t>llenar hasta el borde un cuenco o un cántaro de agua de cuatro patas</w:t>
      </w:r>
      <w:r w:rsidRPr="00F44429">
        <w:rPr>
          <w:vertAlign w:val="superscript"/>
        </w:rPr>
        <w:t>1</w:t>
      </w:r>
      <w:r>
        <w:t xml:space="preserve"> con agua </w:t>
      </w:r>
      <w:r w:rsidR="007E7CDB">
        <w:t xml:space="preserve">que </w:t>
      </w:r>
      <w:r>
        <w:t xml:space="preserve">no </w:t>
      </w:r>
      <w:r w:rsidR="007E7CDB">
        <w:t xml:space="preserve">esté </w:t>
      </w:r>
      <w:r>
        <w:t>contaminada con tierra, tomada al aire libre a través de un paño limpio [colador], o con cualquier otra agua clara no turbia. Debe ponerlo en un lugar protegido en las afueras del monasterio como ya se ha descrito y sentarse cómodamente. No debe</w:t>
      </w:r>
      <w:r w:rsidR="00802E31">
        <w:t>rá</w:t>
      </w:r>
      <w:r>
        <w:t xml:space="preserve"> revisar su color ni recordar su característica. Aprehendiendo el color como perteneciente a su soporte físico, debe</w:t>
      </w:r>
      <w:r w:rsidR="00E619EC">
        <w:t xml:space="preserve">rá </w:t>
      </w:r>
      <w:r>
        <w:t xml:space="preserve">fijar su mente en el concepto [nombre] como el </w:t>
      </w:r>
      <w:r w:rsidR="00312832">
        <w:t>objeto</w:t>
      </w:r>
      <w:r>
        <w:t xml:space="preserve"> mental más sobresaliente, y usar cualquiera de los </w:t>
      </w:r>
      <w:r w:rsidR="00802E31">
        <w:t>diferentes</w:t>
      </w:r>
      <w:r>
        <w:t xml:space="preserve"> nombres para el agua (</w:t>
      </w:r>
      <w:proofErr w:type="spellStart"/>
      <w:r w:rsidRPr="00B34070">
        <w:rPr>
          <w:i/>
          <w:iCs/>
        </w:rPr>
        <w:t>āpo</w:t>
      </w:r>
      <w:proofErr w:type="spellEnd"/>
      <w:r>
        <w:t>) como “lluvia” (</w:t>
      </w:r>
      <w:proofErr w:type="spellStart"/>
      <w:r w:rsidRPr="00B34070">
        <w:rPr>
          <w:i/>
          <w:iCs/>
        </w:rPr>
        <w:t>ambu</w:t>
      </w:r>
      <w:proofErr w:type="spellEnd"/>
      <w:proofErr w:type="gramStart"/>
      <w:r>
        <w:t>) ,</w:t>
      </w:r>
      <w:proofErr w:type="gramEnd"/>
      <w:r>
        <w:t xml:space="preserve"> “líquido” (</w:t>
      </w:r>
      <w:proofErr w:type="spellStart"/>
      <w:r w:rsidRPr="00B34070">
        <w:rPr>
          <w:i/>
          <w:iCs/>
        </w:rPr>
        <w:t>udaka</w:t>
      </w:r>
      <w:proofErr w:type="spellEnd"/>
      <w:r>
        <w:t>), “rocío” (</w:t>
      </w:r>
      <w:proofErr w:type="spellStart"/>
      <w:r w:rsidRPr="00B34070">
        <w:rPr>
          <w:i/>
          <w:iCs/>
        </w:rPr>
        <w:t>vāri</w:t>
      </w:r>
      <w:proofErr w:type="spellEnd"/>
      <w:r>
        <w:t>), “fluido” (</w:t>
      </w:r>
      <w:proofErr w:type="spellStart"/>
      <w:r w:rsidRPr="00B34070">
        <w:rPr>
          <w:i/>
          <w:iCs/>
        </w:rPr>
        <w:t>salila</w:t>
      </w:r>
      <w:proofErr w:type="spellEnd"/>
      <w:r>
        <w:t>),</w:t>
      </w:r>
      <w:r w:rsidRPr="00F44429">
        <w:rPr>
          <w:vertAlign w:val="superscript"/>
        </w:rPr>
        <w:t>2</w:t>
      </w:r>
      <w:r>
        <w:t xml:space="preserve"> debe</w:t>
      </w:r>
      <w:r w:rsidR="00312832">
        <w:t xml:space="preserve">rá </w:t>
      </w:r>
      <w:r>
        <w:t xml:space="preserve">desarrollar [el </w:t>
      </w:r>
      <w:proofErr w:type="spellStart"/>
      <w:r w:rsidR="00057BF4" w:rsidRPr="00057BF4">
        <w:rPr>
          <w:i/>
          <w:iCs/>
        </w:rPr>
        <w:t>kasiṇa</w:t>
      </w:r>
      <w:proofErr w:type="spellEnd"/>
      <w:r>
        <w:t xml:space="preserve">] usando [preferiblemente] el </w:t>
      </w:r>
      <w:r w:rsidR="00312832">
        <w:t xml:space="preserve">nombre </w:t>
      </w:r>
      <w:r>
        <w:t xml:space="preserve">obvio </w:t>
      </w:r>
      <w:r w:rsidR="009F4EDC">
        <w:t xml:space="preserve">más utilizado </w:t>
      </w:r>
      <w:r>
        <w:t>“agua, agua”.</w:t>
      </w:r>
    </w:p>
    <w:p w14:paraId="1EC31F95" w14:textId="3E25016C" w:rsidR="00627D73" w:rsidRDefault="00627D73" w:rsidP="00627D73">
      <w:r>
        <w:t xml:space="preserve">4. </w:t>
      </w:r>
      <w:r w:rsidR="00D12BD8">
        <w:tab/>
      </w:r>
      <w:r>
        <w:t>A medida que lo desarroll</w:t>
      </w:r>
      <w:r w:rsidR="00312832">
        <w:t>e</w:t>
      </w:r>
      <w:r>
        <w:t xml:space="preserve"> </w:t>
      </w:r>
      <w:r w:rsidR="009F4EDC">
        <w:t>así</w:t>
      </w:r>
      <w:r>
        <w:t>, los dos signos eventualmente surg</w:t>
      </w:r>
      <w:r w:rsidR="00312832">
        <w:t>irá</w:t>
      </w:r>
      <w:r>
        <w:t>n en él de la manera ya descrita. Aquí, sin embargo, el signo de</w:t>
      </w:r>
      <w:r w:rsidR="009F4EDC">
        <w:t>l</w:t>
      </w:r>
      <w:r>
        <w:t xml:space="preserve"> aprendizaje </w:t>
      </w:r>
      <w:r w:rsidR="00312832">
        <w:t xml:space="preserve">tendrá </w:t>
      </w:r>
      <w:r>
        <w:t>la apariencia de moverse. [171] Si el agua tiene burbujas espuma</w:t>
      </w:r>
      <w:r w:rsidR="00312832">
        <w:t>ntes</w:t>
      </w:r>
      <w:r>
        <w:t xml:space="preserve"> mezcladas con </w:t>
      </w:r>
      <w:r w:rsidR="00312832">
        <w:t>él</w:t>
      </w:r>
      <w:r>
        <w:t>, el signo de</w:t>
      </w:r>
      <w:r w:rsidR="001256CD">
        <w:t>l</w:t>
      </w:r>
      <w:r>
        <w:t xml:space="preserve"> aprendizaje </w:t>
      </w:r>
      <w:r w:rsidR="00312832">
        <w:t xml:space="preserve">tendrá </w:t>
      </w:r>
      <w:r>
        <w:t xml:space="preserve">la misma apariencia, y </w:t>
      </w:r>
      <w:r w:rsidR="00312832">
        <w:t xml:space="preserve">será </w:t>
      </w:r>
      <w:r>
        <w:t>evidente como un</w:t>
      </w:r>
      <w:r w:rsidR="00312832" w:rsidRPr="00312832">
        <w:t xml:space="preserve"> </w:t>
      </w:r>
      <w:r w:rsidR="00312832">
        <w:t xml:space="preserve">defecto del </w:t>
      </w:r>
      <w:proofErr w:type="spellStart"/>
      <w:r w:rsidR="00312832" w:rsidRPr="00057BF4">
        <w:rPr>
          <w:i/>
          <w:iCs/>
        </w:rPr>
        <w:t>kasiṇa</w:t>
      </w:r>
      <w:proofErr w:type="spellEnd"/>
      <w:r w:rsidR="00312832">
        <w:t xml:space="preserve">. No obstante, el signo </w:t>
      </w:r>
      <w:r w:rsidR="001256CD">
        <w:t>contraparte</w:t>
      </w:r>
    </w:p>
    <w:p w14:paraId="16713263" w14:textId="77777777" w:rsidR="00D12BD8" w:rsidRDefault="00D12BD8" w:rsidP="00D12BD8">
      <w:pPr>
        <w:pStyle w:val="PiedepginaLegal"/>
        <w:rPr>
          <w:u w:val="single"/>
        </w:rPr>
      </w:pPr>
      <w:r>
        <w:rPr>
          <w:u w:val="single"/>
        </w:rPr>
        <w:tab/>
      </w:r>
      <w:r>
        <w:rPr>
          <w:u w:val="single"/>
        </w:rPr>
        <w:tab/>
      </w:r>
      <w:r>
        <w:rPr>
          <w:u w:val="single"/>
        </w:rPr>
        <w:tab/>
      </w:r>
      <w:r>
        <w:rPr>
          <w:u w:val="single"/>
        </w:rPr>
        <w:tab/>
        <w:t>.</w:t>
      </w:r>
    </w:p>
    <w:p w14:paraId="00CA04CD" w14:textId="5F627896" w:rsidR="00627D73" w:rsidRDefault="00627D73" w:rsidP="00D12BD8">
      <w:pPr>
        <w:pStyle w:val="PiedepginaLegal"/>
      </w:pPr>
      <w:r>
        <w:t xml:space="preserve">1. </w:t>
      </w:r>
      <w:r w:rsidR="00D12BD8">
        <w:tab/>
      </w:r>
      <w:proofErr w:type="spellStart"/>
      <w:r w:rsidRPr="00B34070">
        <w:rPr>
          <w:i/>
          <w:iCs/>
        </w:rPr>
        <w:t>Kuṇḍika</w:t>
      </w:r>
      <w:proofErr w:type="spellEnd"/>
      <w:r>
        <w:t>—“una vasija de agua de cuatro patas”: no en PED.</w:t>
      </w:r>
    </w:p>
    <w:p w14:paraId="44D490BB" w14:textId="53143FEA" w:rsidR="00D12BD8" w:rsidRDefault="00627D73" w:rsidP="009F4EDC">
      <w:pPr>
        <w:pStyle w:val="PiedepginaLegal"/>
      </w:pPr>
      <w:r>
        <w:t xml:space="preserve">2. </w:t>
      </w:r>
      <w:r w:rsidR="00D12BD8">
        <w:tab/>
      </w:r>
      <w:r>
        <w:t>El inglés realmente no puede proporcionar cinco palabras para el agua</w:t>
      </w:r>
      <w:r w:rsidR="001E78C5">
        <w:t xml:space="preserve"> </w:t>
      </w:r>
      <w:r w:rsidR="001E78C5" w:rsidRPr="001E78C5">
        <w:t xml:space="preserve">[aparentemente el </w:t>
      </w:r>
      <w:proofErr w:type="spellStart"/>
      <w:r w:rsidR="001E78C5" w:rsidRPr="001E78C5">
        <w:t>espa</w:t>
      </w:r>
      <w:proofErr w:type="spellEnd"/>
      <w:r w:rsidR="00C15892">
        <w:rPr>
          <w:lang w:val="es-MX"/>
        </w:rPr>
        <w:t>ñ</w:t>
      </w:r>
      <w:proofErr w:type="spellStart"/>
      <w:r w:rsidR="001E78C5" w:rsidRPr="001E78C5">
        <w:t>ol</w:t>
      </w:r>
      <w:proofErr w:type="spellEnd"/>
      <w:r w:rsidR="00C15892">
        <w:t xml:space="preserve"> </w:t>
      </w:r>
      <w:r w:rsidR="001E78C5" w:rsidRPr="001E78C5">
        <w:t>tampoco]</w:t>
      </w:r>
      <w:r>
        <w:t>.</w:t>
      </w:r>
      <w:r w:rsidR="00D12BD8">
        <w:br w:type="page"/>
      </w:r>
    </w:p>
    <w:p w14:paraId="7EDE990C" w14:textId="77777777" w:rsidR="00FC7DF2" w:rsidRDefault="00FC7DF2" w:rsidP="00FC7DF2"/>
    <w:p w14:paraId="4C439F7E" w14:textId="7FA35AA0" w:rsidR="00FC7DF2" w:rsidRDefault="00FC7DF2" w:rsidP="00FC7DF2">
      <w:r>
        <w:t>aparece</w:t>
      </w:r>
      <w:r w:rsidR="00312832">
        <w:t xml:space="preserve">rá </w:t>
      </w:r>
      <w:r>
        <w:t>inactivo, como un abanico de cristal colocado en el espacio, como el disco de un espejo hecho de cristal. Con la aparición de ese signo alcanza</w:t>
      </w:r>
      <w:r w:rsidR="00312832">
        <w:t xml:space="preserve">rá </w:t>
      </w:r>
      <w:r w:rsidR="00FD2939">
        <w:t xml:space="preserve">el acceso al </w:t>
      </w:r>
      <w:proofErr w:type="spellStart"/>
      <w:r w:rsidR="00057BF4" w:rsidRPr="00057BF4">
        <w:rPr>
          <w:i/>
          <w:iCs/>
        </w:rPr>
        <w:t>jhāna</w:t>
      </w:r>
      <w:proofErr w:type="spellEnd"/>
      <w:r>
        <w:t xml:space="preserve"> y la tétrada </w:t>
      </w:r>
      <w:r w:rsidR="005A069E">
        <w:t>o</w:t>
      </w:r>
      <w:r>
        <w:t xml:space="preserve"> </w:t>
      </w:r>
      <w:proofErr w:type="spellStart"/>
      <w:r>
        <w:t>pentada</w:t>
      </w:r>
      <w:proofErr w:type="spellEnd"/>
      <w:r>
        <w:t xml:space="preserve"> </w:t>
      </w:r>
      <w:proofErr w:type="spellStart"/>
      <w:r w:rsidR="00057BF4" w:rsidRPr="00057BF4">
        <w:rPr>
          <w:i/>
          <w:iCs/>
        </w:rPr>
        <w:t>jhān</w:t>
      </w:r>
      <w:r w:rsidR="00FD2939">
        <w:rPr>
          <w:i/>
          <w:iCs/>
        </w:rPr>
        <w:t>ica</w:t>
      </w:r>
      <w:proofErr w:type="spellEnd"/>
      <w:r>
        <w:t xml:space="preserve"> en la forma ya descrita.</w:t>
      </w:r>
    </w:p>
    <w:p w14:paraId="594A7DDD" w14:textId="7CF97F88" w:rsidR="00FC7DF2" w:rsidRDefault="00FC7DF2" w:rsidP="00FC7DF2">
      <w:pPr>
        <w:pStyle w:val="Ttulo3"/>
        <w:ind w:left="708"/>
      </w:pPr>
      <w:r>
        <w:t>[</w:t>
      </w:r>
      <w:r w:rsidR="00B34070">
        <w:t>El</w:t>
      </w:r>
      <w:r>
        <w:t xml:space="preserve"> </w:t>
      </w:r>
      <w:proofErr w:type="spellStart"/>
      <w:r w:rsidR="00057BF4" w:rsidRPr="00057BF4">
        <w:rPr>
          <w:i/>
          <w:iCs/>
        </w:rPr>
        <w:t>Kasiṇa</w:t>
      </w:r>
      <w:proofErr w:type="spellEnd"/>
      <w:r>
        <w:t xml:space="preserve"> Fuego]</w:t>
      </w:r>
    </w:p>
    <w:p w14:paraId="19CB6001" w14:textId="792E1236" w:rsidR="00FC7DF2" w:rsidRDefault="00FC7DF2" w:rsidP="00FC7DF2">
      <w:r>
        <w:t xml:space="preserve">5. </w:t>
      </w:r>
      <w:r>
        <w:tab/>
        <w:t xml:space="preserve">Cualquiera que quiera desarrollar el </w:t>
      </w:r>
      <w:proofErr w:type="spellStart"/>
      <w:r w:rsidR="00057BF4" w:rsidRPr="00057BF4">
        <w:rPr>
          <w:i/>
          <w:iCs/>
        </w:rPr>
        <w:t>kasiṇa</w:t>
      </w:r>
      <w:proofErr w:type="spellEnd"/>
      <w:r>
        <w:t xml:space="preserve"> fuego debe</w:t>
      </w:r>
      <w:r w:rsidR="00FD2939">
        <w:t xml:space="preserve">rá </w:t>
      </w:r>
      <w:r>
        <w:t xml:space="preserve">captar </w:t>
      </w:r>
      <w:r w:rsidR="00FD2939">
        <w:t>el signo d</w:t>
      </w:r>
      <w:r>
        <w:t xml:space="preserve">el fuego. </w:t>
      </w:r>
      <w:r w:rsidR="00FD2939">
        <w:t>Al respecto</w:t>
      </w:r>
      <w:r>
        <w:t>, cuando alguien con mérito</w:t>
      </w:r>
      <w:r w:rsidR="005A069E">
        <w:t>s</w:t>
      </w:r>
      <w:r>
        <w:t>, habiendo tenido práctica previa</w:t>
      </w:r>
      <w:r w:rsidR="00FD2939">
        <w:t xml:space="preserve"> en vidas pasadas</w:t>
      </w:r>
      <w:r>
        <w:t>, est</w:t>
      </w:r>
      <w:r w:rsidR="00FD2939">
        <w:t>é</w:t>
      </w:r>
      <w:r>
        <w:t xml:space="preserve"> captando </w:t>
      </w:r>
      <w:r w:rsidR="00FD2939">
        <w:t>el signo</w:t>
      </w:r>
      <w:r>
        <w:t>, surg</w:t>
      </w:r>
      <w:r w:rsidR="0043246F">
        <w:t>irá</w:t>
      </w:r>
      <w:r>
        <w:t xml:space="preserve"> en él en cualquier tipo de fuego, no </w:t>
      </w:r>
      <w:r w:rsidR="005A069E">
        <w:t xml:space="preserve">necesariamente </w:t>
      </w:r>
      <w:r w:rsidR="0065361B">
        <w:t>fabricado</w:t>
      </w:r>
      <w:r>
        <w:t xml:space="preserve">, como </w:t>
      </w:r>
      <w:r w:rsidR="0043246F">
        <w:t xml:space="preserve">al </w:t>
      </w:r>
      <w:r>
        <w:t>mira</w:t>
      </w:r>
      <w:r w:rsidR="0043246F">
        <w:t>r</w:t>
      </w:r>
      <w:r>
        <w:t xml:space="preserve"> la combustión ardien</w:t>
      </w:r>
      <w:r w:rsidR="0005666A">
        <w:t>do</w:t>
      </w:r>
      <w:r>
        <w:t xml:space="preserve"> </w:t>
      </w:r>
      <w:r w:rsidR="0043246F">
        <w:t>e</w:t>
      </w:r>
      <w:r w:rsidR="00C606B5">
        <w:t>n</w:t>
      </w:r>
      <w:r w:rsidR="0043246F">
        <w:t xml:space="preserve"> </w:t>
      </w:r>
      <w:r>
        <w:t xml:space="preserve">la llama de una lámpara o </w:t>
      </w:r>
      <w:r w:rsidR="0043246F">
        <w:t xml:space="preserve">de </w:t>
      </w:r>
      <w:r>
        <w:t xml:space="preserve">un horno o </w:t>
      </w:r>
      <w:r w:rsidR="0043246F">
        <w:t xml:space="preserve">de </w:t>
      </w:r>
      <w:r>
        <w:t>un lugar para horne</w:t>
      </w:r>
      <w:r w:rsidR="00C606B5">
        <w:t>ar</w:t>
      </w:r>
      <w:r>
        <w:t xml:space="preserve"> cuencos o en una conflagración forestal, como en el caso del </w:t>
      </w:r>
      <w:r w:rsidR="0043246F">
        <w:t xml:space="preserve">Venerable </w:t>
      </w:r>
      <w:proofErr w:type="spellStart"/>
      <w:r>
        <w:t>Cittagutta</w:t>
      </w:r>
      <w:proofErr w:type="spellEnd"/>
      <w:r>
        <w:t xml:space="preserve">. </w:t>
      </w:r>
      <w:r w:rsidR="0043246F">
        <w:t xml:space="preserve">El signo </w:t>
      </w:r>
      <w:r>
        <w:t xml:space="preserve">surgió en ese </w:t>
      </w:r>
      <w:r w:rsidR="0043246F">
        <w:t>Venerable cuando</w:t>
      </w:r>
      <w:r>
        <w:t xml:space="preserve"> miraba la llama de una lámpara mientras </w:t>
      </w:r>
      <w:r w:rsidR="0043246F">
        <w:t xml:space="preserve">se encontraba </w:t>
      </w:r>
      <w:r>
        <w:t xml:space="preserve">en la casa de </w:t>
      </w:r>
      <w:proofErr w:type="spellStart"/>
      <w:r w:rsidR="00057BF4" w:rsidRPr="00057BF4">
        <w:rPr>
          <w:i/>
          <w:iCs/>
        </w:rPr>
        <w:t>Uposatha</w:t>
      </w:r>
      <w:proofErr w:type="spellEnd"/>
      <w:r>
        <w:t xml:space="preserve"> </w:t>
      </w:r>
      <w:r w:rsidR="0005666A">
        <w:t xml:space="preserve">un </w:t>
      </w:r>
      <w:r>
        <w:t xml:space="preserve">día </w:t>
      </w:r>
      <w:r w:rsidR="00672339">
        <w:t>durante</w:t>
      </w:r>
      <w:r>
        <w:t xml:space="preserve"> la predicación del </w:t>
      </w:r>
      <w:r w:rsidR="00057BF4" w:rsidRPr="00057BF4">
        <w:rPr>
          <w:i/>
        </w:rPr>
        <w:t>Dhamma</w:t>
      </w:r>
      <w:r>
        <w:t>.</w:t>
      </w:r>
    </w:p>
    <w:p w14:paraId="2A2EBC3D" w14:textId="679E2494" w:rsidR="00FC7DF2" w:rsidRDefault="00FC7DF2" w:rsidP="00FC7DF2">
      <w:r>
        <w:t xml:space="preserve">6. </w:t>
      </w:r>
      <w:r>
        <w:tab/>
        <w:t xml:space="preserve">Cualquier otra persona debería </w:t>
      </w:r>
      <w:r w:rsidR="0065361B">
        <w:t>fabricarse</w:t>
      </w:r>
      <w:r>
        <w:t xml:space="preserve"> uno. Aquí las instrucciones para hacerlo. Debe</w:t>
      </w:r>
      <w:r w:rsidR="0065361B">
        <w:t xml:space="preserve">rá </w:t>
      </w:r>
      <w:r>
        <w:t>partir un poco de duramen húmedo, secarlo y partirlo en trozos pequeños. Debe</w:t>
      </w:r>
      <w:r w:rsidR="0065361B">
        <w:t xml:space="preserve">rá </w:t>
      </w:r>
      <w:r>
        <w:t>ir a la raíz de un árbol adecuado o</w:t>
      </w:r>
      <w:r w:rsidR="00B34070">
        <w:t xml:space="preserve"> </w:t>
      </w:r>
      <w:r>
        <w:t xml:space="preserve">a un cobertizo y allí hacer una pila </w:t>
      </w:r>
      <w:r w:rsidR="0065361B">
        <w:t>de</w:t>
      </w:r>
      <w:r>
        <w:t xml:space="preserve"> la </w:t>
      </w:r>
      <w:r w:rsidR="0065361B">
        <w:t xml:space="preserve">misma </w:t>
      </w:r>
      <w:r>
        <w:t xml:space="preserve">forma que se </w:t>
      </w:r>
      <w:r w:rsidR="0065361B">
        <w:t>procede para hornear</w:t>
      </w:r>
      <w:r>
        <w:t xml:space="preserve"> tazones, y encenderla. Debe hacer un agujero de un palmo y cuatro dedos de ancho en una estera de junco o un pedazo de cuero o tela, y después de colgarlo frente al fuego, debe</w:t>
      </w:r>
      <w:r w:rsidR="0065361B">
        <w:t>rá</w:t>
      </w:r>
      <w:r>
        <w:t xml:space="preserve"> sentarse en la forma ya descrita. En lugar de prestar atención a la hierba y los palos de abajo o al humo de arriba, debe</w:t>
      </w:r>
      <w:r w:rsidR="0065361B">
        <w:t>rá</w:t>
      </w:r>
      <w:r>
        <w:t xml:space="preserve"> captar </w:t>
      </w:r>
      <w:r w:rsidR="0065361B">
        <w:t xml:space="preserve">el signo </w:t>
      </w:r>
      <w:r>
        <w:t xml:space="preserve">en la densa combustión </w:t>
      </w:r>
      <w:r w:rsidR="005951FC">
        <w:t xml:space="preserve">que se encuentre </w:t>
      </w:r>
      <w:r>
        <w:t>en el medio.</w:t>
      </w:r>
    </w:p>
    <w:p w14:paraId="5DF83AA3" w14:textId="30C8158B" w:rsidR="00FC7DF2" w:rsidRDefault="00FC7DF2" w:rsidP="00FC7DF2">
      <w:r>
        <w:t xml:space="preserve">7. </w:t>
      </w:r>
      <w:r>
        <w:tab/>
        <w:t>No debe</w:t>
      </w:r>
      <w:r w:rsidR="0065361B">
        <w:t xml:space="preserve">rá inspeccionar </w:t>
      </w:r>
      <w:r>
        <w:t>el color azul</w:t>
      </w:r>
      <w:r w:rsidR="005951FC">
        <w:t>,</w:t>
      </w:r>
      <w:r>
        <w:t xml:space="preserve"> amarillo, etc., </w:t>
      </w:r>
      <w:r w:rsidR="005951FC">
        <w:t xml:space="preserve">del fuego, </w:t>
      </w:r>
      <w:r>
        <w:t xml:space="preserve">ni prestar atención a su característica como </w:t>
      </w:r>
      <w:r w:rsidR="005951FC">
        <w:t xml:space="preserve">su </w:t>
      </w:r>
      <w:r>
        <w:t xml:space="preserve">calor, etc., sino </w:t>
      </w:r>
      <w:r w:rsidR="0065361B">
        <w:t xml:space="preserve">adoptar </w:t>
      </w:r>
      <w:r w:rsidR="00CD53AA">
        <w:t>a</w:t>
      </w:r>
      <w:r>
        <w:t>l color como perteneciente a su soporte físico, y fija</w:t>
      </w:r>
      <w:r w:rsidR="0065361B">
        <w:t>r</w:t>
      </w:r>
      <w:r>
        <w:t xml:space="preserve"> </w:t>
      </w:r>
      <w:r w:rsidR="0065361B">
        <w:t xml:space="preserve">la </w:t>
      </w:r>
      <w:r>
        <w:t xml:space="preserve">mente en el concepto [nombre] como el </w:t>
      </w:r>
      <w:r w:rsidR="0065361B">
        <w:t xml:space="preserve">objeto </w:t>
      </w:r>
      <w:r>
        <w:t xml:space="preserve">mental más sobresaliente, y usando cualquiera de los nombres para </w:t>
      </w:r>
      <w:r w:rsidR="00CD53AA">
        <w:t>designar a</w:t>
      </w:r>
      <w:r>
        <w:t>l fuego (</w:t>
      </w:r>
      <w:r w:rsidRPr="0065361B">
        <w:rPr>
          <w:i/>
          <w:iCs/>
        </w:rPr>
        <w:t>tejo</w:t>
      </w:r>
      <w:r>
        <w:t>) como “</w:t>
      </w:r>
      <w:r w:rsidR="0065361B">
        <w:t>b</w:t>
      </w:r>
      <w:r>
        <w:t>rillante” (</w:t>
      </w:r>
      <w:proofErr w:type="spellStart"/>
      <w:r w:rsidRPr="00B34070">
        <w:rPr>
          <w:i/>
          <w:iCs/>
        </w:rPr>
        <w:t>pāvaka</w:t>
      </w:r>
      <w:proofErr w:type="spellEnd"/>
      <w:r>
        <w:t>), “</w:t>
      </w:r>
      <w:r w:rsidR="0065361B">
        <w:t xml:space="preserve">El </w:t>
      </w:r>
      <w:r>
        <w:t>que Deja el Camino Negro” (</w:t>
      </w:r>
      <w:proofErr w:type="spellStart"/>
      <w:r w:rsidRPr="00B34070">
        <w:rPr>
          <w:i/>
          <w:iCs/>
        </w:rPr>
        <w:t>kaṇhavattani</w:t>
      </w:r>
      <w:proofErr w:type="spellEnd"/>
      <w:r>
        <w:t>), “el Conocedor de las Criaturas” (</w:t>
      </w:r>
      <w:proofErr w:type="spellStart"/>
      <w:r w:rsidRPr="00B34070">
        <w:rPr>
          <w:i/>
          <w:iCs/>
        </w:rPr>
        <w:t>jātaveda</w:t>
      </w:r>
      <w:proofErr w:type="spellEnd"/>
      <w:r>
        <w:t>), “el Altar del Sacrificio” (</w:t>
      </w:r>
      <w:proofErr w:type="spellStart"/>
      <w:r w:rsidRPr="00B34070">
        <w:rPr>
          <w:i/>
          <w:iCs/>
        </w:rPr>
        <w:t>hutāsana</w:t>
      </w:r>
      <w:proofErr w:type="spellEnd"/>
      <w:r>
        <w:t>), etc., debe</w:t>
      </w:r>
      <w:r w:rsidR="0065361B">
        <w:t xml:space="preserve">rá </w:t>
      </w:r>
      <w:r>
        <w:t xml:space="preserve">desarrollar [el </w:t>
      </w:r>
      <w:proofErr w:type="spellStart"/>
      <w:r w:rsidR="00057BF4" w:rsidRPr="00057BF4">
        <w:rPr>
          <w:i/>
          <w:iCs/>
        </w:rPr>
        <w:t>kasiṇa</w:t>
      </w:r>
      <w:proofErr w:type="spellEnd"/>
      <w:r>
        <w:t xml:space="preserve">] usando [preferiblemente] </w:t>
      </w:r>
      <w:r w:rsidR="0065361B">
        <w:t xml:space="preserve">la designación </w:t>
      </w:r>
      <w:r>
        <w:t>obvi</w:t>
      </w:r>
      <w:r w:rsidR="0065361B">
        <w:t>a</w:t>
      </w:r>
      <w:r>
        <w:t xml:space="preserve"> </w:t>
      </w:r>
      <w:r w:rsidR="00CD53AA">
        <w:t xml:space="preserve">de </w:t>
      </w:r>
      <w:r>
        <w:t>“fuego, fuego”.</w:t>
      </w:r>
    </w:p>
    <w:p w14:paraId="5405DB49" w14:textId="7785DA24" w:rsidR="00FC7DF2" w:rsidRDefault="00FC7DF2" w:rsidP="00FC7DF2">
      <w:r>
        <w:t xml:space="preserve">8. </w:t>
      </w:r>
      <w:r>
        <w:tab/>
        <w:t xml:space="preserve">A medida que </w:t>
      </w:r>
      <w:r w:rsidR="0065361B">
        <w:t>se</w:t>
      </w:r>
      <w:r>
        <w:t xml:space="preserve"> desarroll</w:t>
      </w:r>
      <w:r w:rsidR="0065361B">
        <w:t>e</w:t>
      </w:r>
      <w:r>
        <w:t xml:space="preserve"> </w:t>
      </w:r>
      <w:r w:rsidR="00FC3F84">
        <w:t xml:space="preserve">así </w:t>
      </w:r>
      <w:r w:rsidR="0065361B">
        <w:t>el signo</w:t>
      </w:r>
      <w:r>
        <w:t>, eventualmente surg</w:t>
      </w:r>
      <w:r w:rsidR="0065361B">
        <w:t>irán</w:t>
      </w:r>
      <w:r>
        <w:t xml:space="preserve"> en él los dos signos, como ya se ha descrito. Aquí, </w:t>
      </w:r>
      <w:r w:rsidR="0065361B">
        <w:t xml:space="preserve">el signo </w:t>
      </w:r>
      <w:r>
        <w:t>de</w:t>
      </w:r>
      <w:r w:rsidR="0065361B">
        <w:t>l</w:t>
      </w:r>
      <w:r>
        <w:t xml:space="preserve"> aprendizaje aparece</w:t>
      </w:r>
      <w:r w:rsidR="0065361B">
        <w:t>rá</w:t>
      </w:r>
      <w:r>
        <w:t xml:space="preserve"> como [el fuego para </w:t>
      </w:r>
      <w:r w:rsidR="0065361B">
        <w:t>mantener</w:t>
      </w:r>
      <w:r>
        <w:t>] hundiéndose a medida que la llama sig</w:t>
      </w:r>
      <w:r w:rsidR="0065361B">
        <w:t>a</w:t>
      </w:r>
      <w:r>
        <w:t xml:space="preserve"> desprendiéndose. [172] </w:t>
      </w:r>
      <w:r w:rsidR="0065361B">
        <w:t xml:space="preserve">No obstante, </w:t>
      </w:r>
      <w:r>
        <w:t>cuando alguien lo aprehend</w:t>
      </w:r>
      <w:r w:rsidR="0065361B">
        <w:t>a</w:t>
      </w:r>
      <w:r>
        <w:t xml:space="preserve"> </w:t>
      </w:r>
      <w:r w:rsidR="0065361B">
        <w:t>de</w:t>
      </w:r>
      <w:r>
        <w:t xml:space="preserve"> un </w:t>
      </w:r>
      <w:proofErr w:type="spellStart"/>
      <w:r w:rsidR="00057BF4" w:rsidRPr="00057BF4">
        <w:rPr>
          <w:i/>
          <w:iCs/>
        </w:rPr>
        <w:t>kasiṇa</w:t>
      </w:r>
      <w:proofErr w:type="spellEnd"/>
      <w:r>
        <w:t xml:space="preserve"> que no </w:t>
      </w:r>
      <w:r w:rsidR="0065361B">
        <w:t>sea</w:t>
      </w:r>
      <w:r>
        <w:t xml:space="preserve"> </w:t>
      </w:r>
      <w:r w:rsidR="0065361B">
        <w:t>fabricado</w:t>
      </w:r>
      <w:r>
        <w:t xml:space="preserve">, cualquier defecto en el </w:t>
      </w:r>
      <w:proofErr w:type="spellStart"/>
      <w:r w:rsidR="00057BF4" w:rsidRPr="00057BF4">
        <w:rPr>
          <w:i/>
          <w:iCs/>
        </w:rPr>
        <w:t>kasiṇa</w:t>
      </w:r>
      <w:proofErr w:type="spellEnd"/>
      <w:r>
        <w:t xml:space="preserve"> </w:t>
      </w:r>
      <w:r w:rsidR="0065361B">
        <w:t>será</w:t>
      </w:r>
      <w:r>
        <w:t xml:space="preserve"> evidente [en el signo de</w:t>
      </w:r>
      <w:r w:rsidR="00FC3F84">
        <w:t>l</w:t>
      </w:r>
      <w:r>
        <w:t xml:space="preserve"> aprendizaje], y aparece</w:t>
      </w:r>
      <w:r w:rsidR="0065361B">
        <w:t xml:space="preserve">rá </w:t>
      </w:r>
      <w:r>
        <w:t xml:space="preserve">en él </w:t>
      </w:r>
      <w:r w:rsidR="0065361B">
        <w:t xml:space="preserve">en </w:t>
      </w:r>
      <w:r>
        <w:t>cualquier tizón, o montón de brasas o cenizas, o humo. El signo contraparte aparece</w:t>
      </w:r>
      <w:r w:rsidR="0065361B">
        <w:t xml:space="preserve">rá </w:t>
      </w:r>
      <w:r>
        <w:t>inmóvil como un trozo de tela roja colocada en el espacio, como un abanico de oro, como una columna de oro. Con su aparición alcanza</w:t>
      </w:r>
      <w:r w:rsidR="00FC3F84">
        <w:t>rá</w:t>
      </w:r>
      <w:r>
        <w:t xml:space="preserve"> </w:t>
      </w:r>
      <w:r w:rsidR="0065361B">
        <w:t xml:space="preserve">el acceso al </w:t>
      </w:r>
      <w:proofErr w:type="spellStart"/>
      <w:r w:rsidR="00057BF4" w:rsidRPr="00057BF4">
        <w:rPr>
          <w:i/>
          <w:iCs/>
        </w:rPr>
        <w:t>jhāna</w:t>
      </w:r>
      <w:proofErr w:type="spellEnd"/>
      <w:r>
        <w:t xml:space="preserve"> y la tétrada </w:t>
      </w:r>
      <w:r w:rsidR="00B90F2A">
        <w:t>o</w:t>
      </w:r>
      <w:r>
        <w:t xml:space="preserve"> </w:t>
      </w:r>
      <w:proofErr w:type="spellStart"/>
      <w:r>
        <w:t>pentada</w:t>
      </w:r>
      <w:proofErr w:type="spellEnd"/>
      <w:r>
        <w:t xml:space="preserve"> </w:t>
      </w:r>
      <w:proofErr w:type="spellStart"/>
      <w:r w:rsidR="00057BF4" w:rsidRPr="00057BF4">
        <w:rPr>
          <w:i/>
          <w:iCs/>
        </w:rPr>
        <w:t>jhān</w:t>
      </w:r>
      <w:r w:rsidR="00B90F2A">
        <w:rPr>
          <w:i/>
          <w:iCs/>
        </w:rPr>
        <w:t>ica</w:t>
      </w:r>
      <w:proofErr w:type="spellEnd"/>
      <w:r>
        <w:t xml:space="preserve"> en la forma ya descrita.</w:t>
      </w:r>
    </w:p>
    <w:p w14:paraId="7FBA7408" w14:textId="2A958F2A" w:rsidR="00FC7DF2" w:rsidRDefault="00FC7DF2" w:rsidP="00FC7DF2">
      <w:pPr>
        <w:pStyle w:val="Ttulo3"/>
        <w:ind w:left="708"/>
      </w:pPr>
      <w:r>
        <w:t xml:space="preserve">[El </w:t>
      </w:r>
      <w:proofErr w:type="spellStart"/>
      <w:r w:rsidR="00057BF4" w:rsidRPr="00057BF4">
        <w:rPr>
          <w:i/>
          <w:iCs/>
        </w:rPr>
        <w:t>Kasiṇa</w:t>
      </w:r>
      <w:proofErr w:type="spellEnd"/>
      <w:r w:rsidR="00B34070">
        <w:t xml:space="preserve"> </w:t>
      </w:r>
      <w:r>
        <w:t>Aire]</w:t>
      </w:r>
    </w:p>
    <w:p w14:paraId="0B6C6DB4" w14:textId="66606284" w:rsidR="00FC7DF2" w:rsidRDefault="00FC7DF2" w:rsidP="00B90F2A">
      <w:r>
        <w:t xml:space="preserve">9. </w:t>
      </w:r>
      <w:r>
        <w:tab/>
        <w:t xml:space="preserve">Cualquiera que quiera desarrollar el </w:t>
      </w:r>
      <w:proofErr w:type="spellStart"/>
      <w:r w:rsidR="00057BF4" w:rsidRPr="00057BF4">
        <w:rPr>
          <w:i/>
          <w:iCs/>
        </w:rPr>
        <w:t>kasiṇa</w:t>
      </w:r>
      <w:proofErr w:type="spellEnd"/>
      <w:r>
        <w:t xml:space="preserve"> </w:t>
      </w:r>
      <w:r w:rsidR="0065361B">
        <w:t xml:space="preserve">aire </w:t>
      </w:r>
      <w:r>
        <w:t>debe</w:t>
      </w:r>
      <w:r w:rsidR="0065361B">
        <w:t xml:space="preserve">rá </w:t>
      </w:r>
      <w:r>
        <w:t xml:space="preserve">captar </w:t>
      </w:r>
      <w:r w:rsidR="0065361B">
        <w:t xml:space="preserve">el signo </w:t>
      </w:r>
      <w:r>
        <w:t>en el aire. Y eso se ha</w:t>
      </w:r>
      <w:r w:rsidR="0065361B">
        <w:t xml:space="preserve">rá </w:t>
      </w:r>
      <w:r>
        <w:t>con la vista o con el tacto. Porque esto se dice en los Comentarios: “Aquel que est</w:t>
      </w:r>
      <w:r w:rsidR="0065361B">
        <w:t>é</w:t>
      </w:r>
      <w:r>
        <w:t xml:space="preserve"> aprendiendo el </w:t>
      </w:r>
      <w:proofErr w:type="spellStart"/>
      <w:r w:rsidR="00057BF4" w:rsidRPr="00057BF4">
        <w:rPr>
          <w:i/>
          <w:iCs/>
        </w:rPr>
        <w:t>kasiṇa</w:t>
      </w:r>
      <w:proofErr w:type="spellEnd"/>
      <w:r>
        <w:t xml:space="preserve"> </w:t>
      </w:r>
      <w:r w:rsidR="0065361B">
        <w:t xml:space="preserve">aire </w:t>
      </w:r>
      <w:r>
        <w:t>capta</w:t>
      </w:r>
      <w:r w:rsidR="0065361B">
        <w:t xml:space="preserve">rá el signo </w:t>
      </w:r>
      <w:r>
        <w:t>en el aire. Se da</w:t>
      </w:r>
      <w:r w:rsidR="0065361B">
        <w:t xml:space="preserve">rá </w:t>
      </w:r>
      <w:r>
        <w:t>cuenta de que las puntas de la</w:t>
      </w:r>
      <w:r w:rsidR="00B90F2A">
        <w:t>s</w:t>
      </w:r>
      <w:r>
        <w:t xml:space="preserve"> caña</w:t>
      </w:r>
      <w:r w:rsidR="00B90F2A">
        <w:t>s</w:t>
      </w:r>
      <w:r>
        <w:t xml:space="preserve"> de azúcar [en crecimiento] se m</w:t>
      </w:r>
      <w:r w:rsidR="0065361B">
        <w:t>o</w:t>
      </w:r>
      <w:r>
        <w:t>ve</w:t>
      </w:r>
      <w:r w:rsidR="0065361B">
        <w:t>rá</w:t>
      </w:r>
      <w:r>
        <w:t>n de un lado a otro; o nota</w:t>
      </w:r>
      <w:r w:rsidR="0065361B">
        <w:t>rá</w:t>
      </w:r>
      <w:r>
        <w:t xml:space="preserve"> las copas de los bambúes, o las copas de los árboles, o las puntas de los cabellos, moviéndose de un lado a otro; o nota</w:t>
      </w:r>
      <w:r w:rsidR="0065361B">
        <w:t>rá</w:t>
      </w:r>
      <w:r>
        <w:t xml:space="preserve"> el </w:t>
      </w:r>
      <w:r w:rsidR="0065361B">
        <w:t>contacto</w:t>
      </w:r>
      <w:r>
        <w:t xml:space="preserve"> de ella en el cuerpo”.</w:t>
      </w:r>
      <w:r>
        <w:br w:type="page"/>
      </w:r>
    </w:p>
    <w:p w14:paraId="75EF11D2" w14:textId="4C1C5F0D" w:rsidR="00923F91" w:rsidRDefault="00923F91" w:rsidP="00923F91">
      <w:r>
        <w:lastRenderedPageBreak/>
        <w:t xml:space="preserve">10. </w:t>
      </w:r>
      <w:r>
        <w:tab/>
        <w:t>Así que cuando ve</w:t>
      </w:r>
      <w:r w:rsidR="0065361B">
        <w:t>a</w:t>
      </w:r>
      <w:r>
        <w:t xml:space="preserve"> </w:t>
      </w:r>
      <w:proofErr w:type="gramStart"/>
      <w:r w:rsidR="0065361B">
        <w:t xml:space="preserve">la </w:t>
      </w:r>
      <w:r>
        <w:t>cañas</w:t>
      </w:r>
      <w:proofErr w:type="gramEnd"/>
      <w:r>
        <w:t xml:space="preserve"> de azúcar </w:t>
      </w:r>
      <w:r w:rsidR="0065361B">
        <w:t>en el</w:t>
      </w:r>
      <w:r>
        <w:t xml:space="preserve"> follaje denso de pie con las copas niveladas o </w:t>
      </w:r>
      <w:r w:rsidR="0065361B">
        <w:t xml:space="preserve">los </w:t>
      </w:r>
      <w:r>
        <w:t xml:space="preserve">bambúes o </w:t>
      </w:r>
      <w:r w:rsidR="0065361B">
        <w:t xml:space="preserve">los </w:t>
      </w:r>
      <w:r>
        <w:t xml:space="preserve">árboles, o </w:t>
      </w:r>
      <w:r w:rsidR="0065361B">
        <w:t xml:space="preserve">el </w:t>
      </w:r>
      <w:r>
        <w:t xml:space="preserve">cabello de cuatro dedos de largo en la cabeza de un hombre, siendo </w:t>
      </w:r>
      <w:r w:rsidR="0065361B">
        <w:t>soplados</w:t>
      </w:r>
      <w:r>
        <w:t xml:space="preserve"> por el viento, debe</w:t>
      </w:r>
      <w:r w:rsidR="0065361B">
        <w:t>rá</w:t>
      </w:r>
      <w:r>
        <w:t xml:space="preserve"> establecer la atención de esta manera: “Este viento está </w:t>
      </w:r>
      <w:r w:rsidR="0065361B">
        <w:t>soplando</w:t>
      </w:r>
      <w:r>
        <w:t xml:space="preserve"> e</w:t>
      </w:r>
      <w:r w:rsidR="0065361B">
        <w:t>l</w:t>
      </w:r>
      <w:r>
        <w:t xml:space="preserve"> lugar." O </w:t>
      </w:r>
      <w:r w:rsidR="0065361B">
        <w:t xml:space="preserve">podrá </w:t>
      </w:r>
      <w:r>
        <w:t xml:space="preserve">establecer la atención plena donde el viento </w:t>
      </w:r>
      <w:r w:rsidR="0065361B">
        <w:t>sople</w:t>
      </w:r>
      <w:r>
        <w:t xml:space="preserve"> una parte de su cuerpo después de entrar por la abertura de una ventana o </w:t>
      </w:r>
      <w:r w:rsidR="0065361B">
        <w:t>a través de</w:t>
      </w:r>
      <w:r>
        <w:t xml:space="preserve"> una grieta en una pared, y usar cualquiera de los nombres para </w:t>
      </w:r>
      <w:r w:rsidR="0065361B">
        <w:t xml:space="preserve">el </w:t>
      </w:r>
      <w:r>
        <w:t>viento (</w:t>
      </w:r>
      <w:proofErr w:type="spellStart"/>
      <w:r w:rsidRPr="00B34070">
        <w:rPr>
          <w:i/>
          <w:iCs/>
        </w:rPr>
        <w:t>vāta</w:t>
      </w:r>
      <w:proofErr w:type="spellEnd"/>
      <w:r>
        <w:t xml:space="preserve">) que </w:t>
      </w:r>
      <w:r w:rsidR="0065361B">
        <w:t>comenzará</w:t>
      </w:r>
      <w:r>
        <w:t xml:space="preserve"> con "viento" (</w:t>
      </w:r>
      <w:proofErr w:type="spellStart"/>
      <w:r w:rsidRPr="00B34070">
        <w:rPr>
          <w:i/>
          <w:iCs/>
        </w:rPr>
        <w:t>vāta</w:t>
      </w:r>
      <w:proofErr w:type="spellEnd"/>
      <w:r>
        <w:t>), "brisa"</w:t>
      </w:r>
      <w:r w:rsidR="0065361B">
        <w:t xml:space="preserve"> </w:t>
      </w:r>
      <w:r>
        <w:t>(</w:t>
      </w:r>
      <w:proofErr w:type="spellStart"/>
      <w:r w:rsidRPr="00B34070">
        <w:rPr>
          <w:i/>
          <w:iCs/>
        </w:rPr>
        <w:t>māluta</w:t>
      </w:r>
      <w:proofErr w:type="spellEnd"/>
      <w:r>
        <w:t>), “soplado” (</w:t>
      </w:r>
      <w:proofErr w:type="spellStart"/>
      <w:r w:rsidRPr="00B34070">
        <w:rPr>
          <w:i/>
          <w:iCs/>
        </w:rPr>
        <w:t>anila</w:t>
      </w:r>
      <w:proofErr w:type="spellEnd"/>
      <w:r>
        <w:t>), debe</w:t>
      </w:r>
      <w:r w:rsidR="0065361B">
        <w:t>rá</w:t>
      </w:r>
      <w:r>
        <w:t xml:space="preserve"> desarrollar [</w:t>
      </w:r>
      <w:r w:rsidR="0065361B">
        <w:t>e</w:t>
      </w:r>
      <w:r>
        <w:t xml:space="preserve">l </w:t>
      </w:r>
      <w:proofErr w:type="spellStart"/>
      <w:r w:rsidR="00057BF4" w:rsidRPr="00057BF4">
        <w:rPr>
          <w:i/>
          <w:iCs/>
        </w:rPr>
        <w:t>kasiṇa</w:t>
      </w:r>
      <w:proofErr w:type="spellEnd"/>
      <w:r>
        <w:t xml:space="preserve">] usando [preferiblemente] el </w:t>
      </w:r>
      <w:r w:rsidR="0065361B">
        <w:t xml:space="preserve">nombre </w:t>
      </w:r>
      <w:r>
        <w:t xml:space="preserve">obvio </w:t>
      </w:r>
      <w:r w:rsidR="00AB015E">
        <w:t xml:space="preserve">de </w:t>
      </w:r>
      <w:r>
        <w:t>“aire, aire”.</w:t>
      </w:r>
      <w:r w:rsidR="00216D68" w:rsidRPr="00216D68">
        <w:t xml:space="preserve"> </w:t>
      </w:r>
    </w:p>
    <w:p w14:paraId="6F8BA185" w14:textId="240D4C0C" w:rsidR="00923F91" w:rsidRDefault="00923F91" w:rsidP="00923F91">
      <w:r>
        <w:t xml:space="preserve">11. </w:t>
      </w:r>
      <w:r>
        <w:tab/>
        <w:t>Aquí, el signo de aprendizaje parece</w:t>
      </w:r>
      <w:r w:rsidR="0065361B">
        <w:t>rá</w:t>
      </w:r>
      <w:r>
        <w:t xml:space="preserve"> moverse como el remolino de </w:t>
      </w:r>
      <w:r w:rsidR="0065361B">
        <w:t xml:space="preserve">un </w:t>
      </w:r>
      <w:r>
        <w:t xml:space="preserve">vapor caliente sobre las gachas de arroz recién sacadas </w:t>
      </w:r>
      <w:r w:rsidR="0065361B">
        <w:t>de</w:t>
      </w:r>
      <w:r w:rsidR="00F50728">
        <w:t xml:space="preserve"> </w:t>
      </w:r>
      <w:r>
        <w:t>l</w:t>
      </w:r>
      <w:r w:rsidR="00F50728">
        <w:t>a</w:t>
      </w:r>
      <w:r>
        <w:t xml:space="preserve"> horn</w:t>
      </w:r>
      <w:r w:rsidR="00F50728">
        <w:t>illa</w:t>
      </w:r>
      <w:r>
        <w:t xml:space="preserve">. </w:t>
      </w:r>
      <w:r w:rsidR="00F50728">
        <w:t>No obstante, e</w:t>
      </w:r>
      <w:r>
        <w:t xml:space="preserve">l signo contraparte </w:t>
      </w:r>
      <w:r w:rsidR="0065361B">
        <w:t>será</w:t>
      </w:r>
      <w:r>
        <w:t xml:space="preserve"> silencioso e inmóvil. El resto debe</w:t>
      </w:r>
      <w:r w:rsidR="0065361B">
        <w:t>rá</w:t>
      </w:r>
      <w:r>
        <w:t xml:space="preserve"> entenderse </w:t>
      </w:r>
      <w:r w:rsidR="0065361B">
        <w:t>de</w:t>
      </w:r>
      <w:r>
        <w:t xml:space="preserve"> la forma ya descrita.</w:t>
      </w:r>
    </w:p>
    <w:p w14:paraId="5AC04B73" w14:textId="3DD7B55E" w:rsidR="00923F91" w:rsidRDefault="00923F91" w:rsidP="00923F91">
      <w:pPr>
        <w:pStyle w:val="Ttulo3"/>
        <w:ind w:left="708"/>
      </w:pPr>
      <w:r>
        <w:t xml:space="preserve">[La </w:t>
      </w:r>
      <w:proofErr w:type="spellStart"/>
      <w:r w:rsidR="00057BF4" w:rsidRPr="00057BF4">
        <w:rPr>
          <w:i/>
          <w:iCs/>
        </w:rPr>
        <w:t>Kasiṇa</w:t>
      </w:r>
      <w:proofErr w:type="spellEnd"/>
      <w:r>
        <w:t xml:space="preserve"> Azul]</w:t>
      </w:r>
    </w:p>
    <w:p w14:paraId="1E1B566B" w14:textId="1B64E2BB" w:rsidR="00923F91" w:rsidRDefault="00923F91" w:rsidP="00923F91">
      <w:r>
        <w:t xml:space="preserve">12. </w:t>
      </w:r>
      <w:r>
        <w:tab/>
        <w:t>A continuación se dice [en los Comentarios]: “Quien est</w:t>
      </w:r>
      <w:r w:rsidR="0065361B">
        <w:t>é</w:t>
      </w:r>
      <w:r>
        <w:t xml:space="preserve"> apre</w:t>
      </w:r>
      <w:r w:rsidR="0065361B">
        <w:t>he</w:t>
      </w:r>
      <w:r>
        <w:t xml:space="preserve">ndiendo el </w:t>
      </w:r>
      <w:proofErr w:type="spellStart"/>
      <w:r w:rsidR="00057BF4" w:rsidRPr="00057BF4">
        <w:rPr>
          <w:i/>
          <w:iCs/>
        </w:rPr>
        <w:t>kasiṇa</w:t>
      </w:r>
      <w:proofErr w:type="spellEnd"/>
      <w:r>
        <w:t xml:space="preserve"> azul aprehende</w:t>
      </w:r>
      <w:r w:rsidR="0065361B">
        <w:t>rá</w:t>
      </w:r>
      <w:r>
        <w:t xml:space="preserve"> el signo en </w:t>
      </w:r>
      <w:r w:rsidR="0065361B">
        <w:t xml:space="preserve">el </w:t>
      </w:r>
      <w:r>
        <w:t xml:space="preserve">azul, ya sea en una flor o en una tela o en un elemento de </w:t>
      </w:r>
      <w:r w:rsidR="0065361B">
        <w:t xml:space="preserve">tal </w:t>
      </w:r>
      <w:r>
        <w:t>color”.</w:t>
      </w:r>
      <w:r w:rsidRPr="0065361B">
        <w:rPr>
          <w:vertAlign w:val="superscript"/>
        </w:rPr>
        <w:t>3</w:t>
      </w:r>
      <w:r>
        <w:t xml:space="preserve"> En primer lugar, cuando alguien </w:t>
      </w:r>
      <w:r w:rsidR="00724AF7">
        <w:t xml:space="preserve">ya </w:t>
      </w:r>
      <w:r w:rsidR="0065361B">
        <w:t>pose</w:t>
      </w:r>
      <w:r w:rsidR="00724AF7">
        <w:t>a</w:t>
      </w:r>
      <w:r>
        <w:t xml:space="preserve"> mérito</w:t>
      </w:r>
      <w:r w:rsidR="0065361B">
        <w:t>s del pasado</w:t>
      </w:r>
      <w:r>
        <w:t>, práctica previa, la señal surg</w:t>
      </w:r>
      <w:r w:rsidR="0065361B">
        <w:t>irá</w:t>
      </w:r>
      <w:r>
        <w:t xml:space="preserve"> en él cuando ve</w:t>
      </w:r>
      <w:r w:rsidR="0065361B">
        <w:t>a</w:t>
      </w:r>
      <w:r>
        <w:t xml:space="preserve"> un arbusto </w:t>
      </w:r>
      <w:r w:rsidR="00724AF7">
        <w:t>de</w:t>
      </w:r>
      <w:r>
        <w:t xml:space="preserve"> flores azules, o tales flores esparcidas en un lugar de ofrenda</w:t>
      </w:r>
      <w:r w:rsidR="0065361B">
        <w:t>s</w:t>
      </w:r>
      <w:r>
        <w:t>, o cualquier tela o gema azul.</w:t>
      </w:r>
    </w:p>
    <w:p w14:paraId="19CEFFF8" w14:textId="4287898A" w:rsidR="00923F91" w:rsidRDefault="00923F91" w:rsidP="00923F91">
      <w:r>
        <w:t xml:space="preserve">13. </w:t>
      </w:r>
      <w:r>
        <w:tab/>
        <w:t xml:space="preserve">[173] </w:t>
      </w:r>
      <w:r w:rsidR="0065361B">
        <w:t xml:space="preserve">No obstante, </w:t>
      </w:r>
      <w:r>
        <w:t>cualquier otra persona debe</w:t>
      </w:r>
      <w:r w:rsidR="0065361B">
        <w:t>rá</w:t>
      </w:r>
      <w:r>
        <w:t xml:space="preserve"> tomar flores tales como lotos azules, flores de </w:t>
      </w:r>
      <w:proofErr w:type="spellStart"/>
      <w:r w:rsidRPr="00B34070">
        <w:rPr>
          <w:i/>
          <w:iCs/>
        </w:rPr>
        <w:t>girikaṇṇikā</w:t>
      </w:r>
      <w:proofErr w:type="spellEnd"/>
      <w:r>
        <w:t xml:space="preserve"> (gloria de la mañana), etc., y extenderlas para llenar completamente una bandeja o una canasta plana de modo que no se vean </w:t>
      </w:r>
      <w:r w:rsidR="0065361B">
        <w:t xml:space="preserve">los </w:t>
      </w:r>
      <w:r>
        <w:t xml:space="preserve">estambres </w:t>
      </w:r>
      <w:r w:rsidR="00724AF7">
        <w:t>ni los</w:t>
      </w:r>
      <w:r>
        <w:t xml:space="preserve"> tallos</w:t>
      </w:r>
      <w:r w:rsidR="0065361B">
        <w:t>;</w:t>
      </w:r>
      <w:r>
        <w:t xml:space="preserve"> </w:t>
      </w:r>
      <w:r w:rsidR="0065361B">
        <w:t>puede ser</w:t>
      </w:r>
      <w:r>
        <w:t xml:space="preserve"> solo su</w:t>
      </w:r>
      <w:r w:rsidR="0065361B">
        <w:t>s</w:t>
      </w:r>
      <w:r>
        <w:t xml:space="preserve"> pétalos </w:t>
      </w:r>
      <w:r w:rsidR="0065361B">
        <w:t>o</w:t>
      </w:r>
      <w:r>
        <w:t xml:space="preserve"> </w:t>
      </w:r>
      <w:r w:rsidR="0065361B">
        <w:t xml:space="preserve">podrá </w:t>
      </w:r>
      <w:r>
        <w:t xml:space="preserve">llenarlo con </w:t>
      </w:r>
      <w:r w:rsidR="00724AF7">
        <w:t>un</w:t>
      </w:r>
      <w:r w:rsidR="00DE2639">
        <w:t xml:space="preserve">a cantidad de </w:t>
      </w:r>
      <w:r>
        <w:t xml:space="preserve">tela azul; o </w:t>
      </w:r>
      <w:r w:rsidR="0065361B">
        <w:t>podrá</w:t>
      </w:r>
      <w:r>
        <w:t xml:space="preserve"> sujetar la tela sobre el borde de la bandeja o canasta como la cubierta de un tambor. O </w:t>
      </w:r>
      <w:r w:rsidR="00DE2639">
        <w:t>podría</w:t>
      </w:r>
      <w:r>
        <w:t xml:space="preserve"> </w:t>
      </w:r>
      <w:r w:rsidR="00DE2639">
        <w:t xml:space="preserve">fabricar </w:t>
      </w:r>
      <w:r>
        <w:t xml:space="preserve">un disco </w:t>
      </w:r>
      <w:proofErr w:type="spellStart"/>
      <w:r w:rsidR="00057BF4" w:rsidRPr="00057BF4">
        <w:rPr>
          <w:i/>
          <w:iCs/>
        </w:rPr>
        <w:t>kasiṇa</w:t>
      </w:r>
      <w:proofErr w:type="spellEnd"/>
      <w:r>
        <w:t xml:space="preserve">, ya sea portátil como se describe </w:t>
      </w:r>
      <w:r w:rsidR="0065361B">
        <w:t>en caso</w:t>
      </w:r>
      <w:r>
        <w:t xml:space="preserve"> del </w:t>
      </w:r>
      <w:proofErr w:type="spellStart"/>
      <w:r w:rsidR="00057BF4" w:rsidRPr="00057BF4">
        <w:rPr>
          <w:i/>
          <w:iCs/>
        </w:rPr>
        <w:t>kasiṇa</w:t>
      </w:r>
      <w:proofErr w:type="spellEnd"/>
      <w:r>
        <w:t xml:space="preserve"> </w:t>
      </w:r>
      <w:r w:rsidR="0065361B">
        <w:t xml:space="preserve">tierra </w:t>
      </w:r>
      <w:r>
        <w:t xml:space="preserve">o en una pared, con uno de los elementos de </w:t>
      </w:r>
      <w:r w:rsidR="0065361B">
        <w:t xml:space="preserve">otro </w:t>
      </w:r>
      <w:r>
        <w:t>color</w:t>
      </w:r>
      <w:r w:rsidR="0065361B">
        <w:t>,</w:t>
      </w:r>
      <w:r>
        <w:t xml:space="preserve"> como </w:t>
      </w:r>
      <w:r w:rsidR="0065361B">
        <w:t xml:space="preserve">el </w:t>
      </w:r>
      <w:r>
        <w:t xml:space="preserve">verde bronce, </w:t>
      </w:r>
      <w:proofErr w:type="gramStart"/>
      <w:r w:rsidR="0065361B">
        <w:t xml:space="preserve">el </w:t>
      </w:r>
      <w:r>
        <w:t>verde hoja</w:t>
      </w:r>
      <w:proofErr w:type="gramEnd"/>
      <w:r>
        <w:t xml:space="preserve">, </w:t>
      </w:r>
      <w:r w:rsidR="0065361B">
        <w:t xml:space="preserve">el </w:t>
      </w:r>
      <w:r>
        <w:t>ungüento negro</w:t>
      </w:r>
      <w:r w:rsidR="0065361B" w:rsidRPr="0065361B">
        <w:rPr>
          <w:i/>
          <w:iCs/>
        </w:rPr>
        <w:t xml:space="preserve"> </w:t>
      </w:r>
      <w:proofErr w:type="spellStart"/>
      <w:r w:rsidR="0065361B" w:rsidRPr="00B34070">
        <w:rPr>
          <w:i/>
          <w:iCs/>
        </w:rPr>
        <w:t>añjana</w:t>
      </w:r>
      <w:proofErr w:type="spellEnd"/>
      <w:r>
        <w:t>, rodeándolo con un color diferente. Después de e</w:t>
      </w:r>
      <w:r w:rsidR="0065361B">
        <w:t>ll</w:t>
      </w:r>
      <w:r>
        <w:t>o, debe</w:t>
      </w:r>
      <w:r w:rsidR="0065361B">
        <w:t>rá</w:t>
      </w:r>
      <w:r>
        <w:t xml:space="preserve"> traerlo a la mente </w:t>
      </w:r>
      <w:r w:rsidR="0065361B">
        <w:t>mediante su nombre</w:t>
      </w:r>
      <w:r>
        <w:t xml:space="preserve"> “azul, azul” en la forma ya descrita </w:t>
      </w:r>
      <w:r w:rsidR="0065361B">
        <w:t xml:space="preserve">en el caso del </w:t>
      </w:r>
      <w:proofErr w:type="spellStart"/>
      <w:r w:rsidR="00057BF4" w:rsidRPr="00057BF4">
        <w:rPr>
          <w:i/>
          <w:iCs/>
        </w:rPr>
        <w:t>kasiṇa</w:t>
      </w:r>
      <w:proofErr w:type="spellEnd"/>
      <w:r w:rsidR="0065361B" w:rsidRPr="0065361B">
        <w:t xml:space="preserve"> </w:t>
      </w:r>
      <w:r w:rsidR="0065361B">
        <w:t>tierra</w:t>
      </w:r>
      <w:r>
        <w:t>.</w:t>
      </w:r>
    </w:p>
    <w:p w14:paraId="353E904E" w14:textId="55DA7C45" w:rsidR="00923F91" w:rsidRDefault="00923F91" w:rsidP="00923F91">
      <w:r>
        <w:t xml:space="preserve">14. </w:t>
      </w:r>
      <w:r>
        <w:tab/>
        <w:t xml:space="preserve">Y aquí también cualquier </w:t>
      </w:r>
      <w:r w:rsidR="0065361B">
        <w:t>defecto</w:t>
      </w:r>
      <w:r>
        <w:t xml:space="preserve"> en el </w:t>
      </w:r>
      <w:proofErr w:type="spellStart"/>
      <w:r w:rsidR="00057BF4" w:rsidRPr="00057BF4">
        <w:rPr>
          <w:i/>
          <w:iCs/>
        </w:rPr>
        <w:t>kasiṇa</w:t>
      </w:r>
      <w:proofErr w:type="spellEnd"/>
      <w:r>
        <w:t xml:space="preserve"> </w:t>
      </w:r>
      <w:r w:rsidR="00831D7C">
        <w:t>será</w:t>
      </w:r>
      <w:r>
        <w:t xml:space="preserve"> evidente en el signo de aprendizaje; los estambres y tallos y los espacios entre los pétalos, etc., s</w:t>
      </w:r>
      <w:r w:rsidR="00831D7C">
        <w:t>erán</w:t>
      </w:r>
      <w:r>
        <w:t xml:space="preserve"> evidentes. El signo contraparte aparece</w:t>
      </w:r>
      <w:r w:rsidR="00831D7C">
        <w:t>rá</w:t>
      </w:r>
      <w:r>
        <w:t xml:space="preserve"> como un abanico de cristal en el espacio, libre del disco </w:t>
      </w:r>
      <w:proofErr w:type="spellStart"/>
      <w:r w:rsidR="00057BF4" w:rsidRPr="00057BF4">
        <w:rPr>
          <w:i/>
          <w:iCs/>
        </w:rPr>
        <w:t>kasiṇa</w:t>
      </w:r>
      <w:proofErr w:type="spellEnd"/>
      <w:r>
        <w:t>. El resto debe</w:t>
      </w:r>
      <w:r w:rsidR="0065361B">
        <w:t>rá</w:t>
      </w:r>
      <w:r>
        <w:t xml:space="preserve"> entenderse como ya </w:t>
      </w:r>
      <w:r w:rsidR="0065361B">
        <w:t xml:space="preserve">se ha </w:t>
      </w:r>
      <w:r>
        <w:t>descrito.</w:t>
      </w:r>
    </w:p>
    <w:p w14:paraId="3C32D78E" w14:textId="4B329F1B" w:rsidR="00923F91" w:rsidRDefault="00923F91" w:rsidP="00923F91">
      <w:pPr>
        <w:pStyle w:val="Ttulo3"/>
        <w:ind w:left="708"/>
      </w:pPr>
      <w:r>
        <w:t>[</w:t>
      </w:r>
      <w:r w:rsidR="00B34070">
        <w:t>El</w:t>
      </w:r>
      <w:r>
        <w:t xml:space="preserve"> </w:t>
      </w:r>
      <w:proofErr w:type="spellStart"/>
      <w:r w:rsidR="00057BF4" w:rsidRPr="00057BF4">
        <w:rPr>
          <w:i/>
          <w:iCs/>
        </w:rPr>
        <w:t>Kasiṇa</w:t>
      </w:r>
      <w:proofErr w:type="spellEnd"/>
      <w:r>
        <w:t xml:space="preserve"> Amarill</w:t>
      </w:r>
      <w:r w:rsidR="00B34070">
        <w:t>o</w:t>
      </w:r>
      <w:r>
        <w:t>]</w:t>
      </w:r>
    </w:p>
    <w:p w14:paraId="0584268D" w14:textId="6996B52A" w:rsidR="00923F91" w:rsidRDefault="00923F91" w:rsidP="00923F91">
      <w:r>
        <w:t xml:space="preserve">15. </w:t>
      </w:r>
      <w:r>
        <w:tab/>
        <w:t>Lo mismo ocurr</w:t>
      </w:r>
      <w:r w:rsidR="0065361B">
        <w:t>irá</w:t>
      </w:r>
      <w:r>
        <w:t xml:space="preserve"> con el </w:t>
      </w:r>
      <w:proofErr w:type="spellStart"/>
      <w:r w:rsidR="00057BF4" w:rsidRPr="00057BF4">
        <w:rPr>
          <w:i/>
          <w:iCs/>
        </w:rPr>
        <w:t>kasiṇa</w:t>
      </w:r>
      <w:proofErr w:type="spellEnd"/>
      <w:r w:rsidR="00B34070">
        <w:t xml:space="preserve"> </w:t>
      </w:r>
      <w:r>
        <w:t>amarillo; pues esto se dice: “Aquel que est</w:t>
      </w:r>
      <w:r w:rsidR="0065361B">
        <w:t>é</w:t>
      </w:r>
      <w:r>
        <w:t xml:space="preserve"> aprendiendo el </w:t>
      </w:r>
      <w:proofErr w:type="spellStart"/>
      <w:r w:rsidR="00057BF4" w:rsidRPr="00057BF4">
        <w:rPr>
          <w:i/>
          <w:iCs/>
        </w:rPr>
        <w:t>kasiṇa</w:t>
      </w:r>
      <w:proofErr w:type="spellEnd"/>
      <w:r>
        <w:t xml:space="preserve"> amarillo capta</w:t>
      </w:r>
      <w:r w:rsidR="0065361B">
        <w:t>rá</w:t>
      </w:r>
      <w:r>
        <w:t xml:space="preserve"> el signo amarillo, ya sea en una flor o en una tela o en un elemento de color”. Por lo tanto, aquí también, cuando alguien </w:t>
      </w:r>
      <w:r w:rsidR="0065361B">
        <w:t>posea</w:t>
      </w:r>
      <w:r>
        <w:t xml:space="preserve"> mérito</w:t>
      </w:r>
      <w:r w:rsidR="0065361B">
        <w:t>s previos</w:t>
      </w:r>
      <w:r>
        <w:t xml:space="preserve">, habiendo </w:t>
      </w:r>
      <w:r w:rsidR="0065361B">
        <w:t xml:space="preserve">desarrollado la </w:t>
      </w:r>
      <w:r>
        <w:t xml:space="preserve">práctica </w:t>
      </w:r>
      <w:r w:rsidR="0065361B">
        <w:t>en el pasado</w:t>
      </w:r>
      <w:r>
        <w:t xml:space="preserve">, </w:t>
      </w:r>
      <w:r w:rsidR="0065361B">
        <w:t xml:space="preserve">el signo </w:t>
      </w:r>
      <w:r>
        <w:t>surg</w:t>
      </w:r>
      <w:r w:rsidR="0065361B">
        <w:t>irá</w:t>
      </w:r>
      <w:r>
        <w:t xml:space="preserve"> en él cuando ve</w:t>
      </w:r>
      <w:r w:rsidR="0065361B">
        <w:t>a</w:t>
      </w:r>
      <w:r>
        <w:t xml:space="preserve"> un arbusto </w:t>
      </w:r>
      <w:r w:rsidR="0065361B">
        <w:t xml:space="preserve">con alguna </w:t>
      </w:r>
      <w:r>
        <w:t xml:space="preserve">flor o flores esparcidas, o tela amarilla o </w:t>
      </w:r>
      <w:r w:rsidR="0065361B">
        <w:t xml:space="preserve">un </w:t>
      </w:r>
      <w:r>
        <w:t xml:space="preserve">elemento de </w:t>
      </w:r>
      <w:r w:rsidR="0065361B">
        <w:t xml:space="preserve">tal </w:t>
      </w:r>
      <w:r>
        <w:t xml:space="preserve">color, como en el caso del </w:t>
      </w:r>
      <w:r w:rsidR="00B34070">
        <w:t xml:space="preserve">Venerable </w:t>
      </w:r>
      <w:proofErr w:type="spellStart"/>
      <w:r>
        <w:t>Cittagutta</w:t>
      </w:r>
      <w:proofErr w:type="spellEnd"/>
      <w:r>
        <w:t xml:space="preserve">. Ese </w:t>
      </w:r>
      <w:r w:rsidR="0065361B">
        <w:t>Venerable</w:t>
      </w:r>
      <w:r>
        <w:t xml:space="preserve">, al parecer, vio que se hacía una ofrenda en </w:t>
      </w:r>
      <w:r w:rsidR="0065361B">
        <w:t>un</w:t>
      </w:r>
      <w:r>
        <w:t xml:space="preserve"> altar de flores, con flores de pattaṅga</w:t>
      </w:r>
      <w:r w:rsidRPr="00B34070">
        <w:rPr>
          <w:vertAlign w:val="superscript"/>
        </w:rPr>
        <w:t>4</w:t>
      </w:r>
      <w:r>
        <w:t xml:space="preserve"> en </w:t>
      </w:r>
      <w:proofErr w:type="spellStart"/>
      <w:r>
        <w:t>Cittalapabbata</w:t>
      </w:r>
      <w:proofErr w:type="spellEnd"/>
      <w:r>
        <w:t xml:space="preserve">, y tan pronto como lo vio, surgió en él </w:t>
      </w:r>
      <w:r w:rsidR="0065361B">
        <w:t xml:space="preserve">el signo </w:t>
      </w:r>
      <w:r>
        <w:t>del tamaño del altar de flores.</w:t>
      </w:r>
    </w:p>
    <w:p w14:paraId="35FA1BDE" w14:textId="77777777" w:rsidR="00923F91" w:rsidRDefault="00923F91" w:rsidP="00923F91">
      <w:pPr>
        <w:pStyle w:val="PiedepginaLegal"/>
        <w:rPr>
          <w:u w:val="single"/>
        </w:rPr>
      </w:pPr>
      <w:r>
        <w:rPr>
          <w:u w:val="single"/>
        </w:rPr>
        <w:tab/>
      </w:r>
      <w:r>
        <w:rPr>
          <w:u w:val="single"/>
        </w:rPr>
        <w:tab/>
      </w:r>
      <w:r>
        <w:rPr>
          <w:u w:val="single"/>
        </w:rPr>
        <w:tab/>
      </w:r>
      <w:r>
        <w:rPr>
          <w:u w:val="single"/>
        </w:rPr>
        <w:tab/>
        <w:t>.</w:t>
      </w:r>
    </w:p>
    <w:p w14:paraId="3946AF62" w14:textId="014E2052" w:rsidR="00923F91" w:rsidRDefault="00923F91" w:rsidP="00923F91">
      <w:pPr>
        <w:pStyle w:val="PiedepginaLegal"/>
      </w:pPr>
      <w:r>
        <w:t xml:space="preserve">3. </w:t>
      </w:r>
      <w:r>
        <w:tab/>
      </w:r>
      <w:proofErr w:type="spellStart"/>
      <w:r w:rsidRPr="0065361B">
        <w:rPr>
          <w:i/>
          <w:iCs/>
        </w:rPr>
        <w:t>Vaṇṇa-dhātu</w:t>
      </w:r>
      <w:proofErr w:type="spellEnd"/>
      <w:r>
        <w:t>—“elemento de</w:t>
      </w:r>
      <w:r w:rsidR="00B92FAA">
        <w:t>l</w:t>
      </w:r>
      <w:r>
        <w:t xml:space="preserve"> color” tal vez debería haberse traducido simplemente </w:t>
      </w:r>
      <w:r w:rsidR="00B92FAA">
        <w:t>como</w:t>
      </w:r>
      <w:r>
        <w:t xml:space="preserve"> “pintura”. La única palabra </w:t>
      </w:r>
      <w:r w:rsidR="00AD6B1D" w:rsidRPr="00AD6B1D">
        <w:rPr>
          <w:i/>
        </w:rPr>
        <w:t>Pāḷi</w:t>
      </w:r>
      <w:r>
        <w:t xml:space="preserve"> "</w:t>
      </w:r>
      <w:proofErr w:type="spellStart"/>
      <w:r w:rsidRPr="0065361B">
        <w:rPr>
          <w:i/>
          <w:iCs/>
        </w:rPr>
        <w:t>nīla</w:t>
      </w:r>
      <w:proofErr w:type="spellEnd"/>
      <w:r>
        <w:t xml:space="preserve">" tiene que servir </w:t>
      </w:r>
      <w:r w:rsidR="00B92FAA">
        <w:t xml:space="preserve">en inglés </w:t>
      </w:r>
      <w:r>
        <w:t>para el azul, el verde y, a veces, el negro.</w:t>
      </w:r>
    </w:p>
    <w:p w14:paraId="37B2D3ED" w14:textId="7905C0B1" w:rsidR="00923F91" w:rsidRDefault="00923F91" w:rsidP="00923F91">
      <w:pPr>
        <w:pStyle w:val="PiedepginaLegal"/>
      </w:pPr>
      <w:r>
        <w:t xml:space="preserve">4. </w:t>
      </w:r>
      <w:r>
        <w:tab/>
      </w:r>
      <w:proofErr w:type="spellStart"/>
      <w:r w:rsidRPr="0065361B">
        <w:rPr>
          <w:i/>
          <w:iCs/>
        </w:rPr>
        <w:t>Pattaṅga</w:t>
      </w:r>
      <w:proofErr w:type="spellEnd"/>
      <w:r>
        <w:t xml:space="preserve">: no </w:t>
      </w:r>
      <w:r w:rsidR="0065361B">
        <w:t xml:space="preserve">encontrado </w:t>
      </w:r>
      <w:r>
        <w:t xml:space="preserve">en </w:t>
      </w:r>
      <w:r w:rsidR="0065361B">
        <w:t xml:space="preserve">el </w:t>
      </w:r>
      <w:r>
        <w:t xml:space="preserve">PED. </w:t>
      </w:r>
      <w:proofErr w:type="spellStart"/>
      <w:r w:rsidRPr="0065361B">
        <w:rPr>
          <w:i/>
          <w:iCs/>
        </w:rPr>
        <w:t>Āsana</w:t>
      </w:r>
      <w:proofErr w:type="spellEnd"/>
      <w:r>
        <w:t xml:space="preserve">—“altar”: no </w:t>
      </w:r>
      <w:r w:rsidR="0065361B">
        <w:t xml:space="preserve">se encuentra </w:t>
      </w:r>
      <w:r>
        <w:t xml:space="preserve">en este sentido en </w:t>
      </w:r>
      <w:r w:rsidR="0065361B">
        <w:t xml:space="preserve">el </w:t>
      </w:r>
      <w:r>
        <w:t>PED.</w:t>
      </w:r>
      <w:r>
        <w:br w:type="page"/>
      </w:r>
    </w:p>
    <w:p w14:paraId="09EDED0E" w14:textId="35808485" w:rsidR="00C319A2" w:rsidRDefault="00C319A2" w:rsidP="00C319A2">
      <w:r>
        <w:lastRenderedPageBreak/>
        <w:t xml:space="preserve">16. </w:t>
      </w:r>
      <w:r>
        <w:tab/>
        <w:t>Cualquier otra persona debe</w:t>
      </w:r>
      <w:r w:rsidR="0065361B">
        <w:t>rá</w:t>
      </w:r>
      <w:r>
        <w:t xml:space="preserve"> </w:t>
      </w:r>
      <w:r w:rsidR="0065361B">
        <w:t>fabricar</w:t>
      </w:r>
      <w:r>
        <w:t xml:space="preserve"> un </w:t>
      </w:r>
      <w:proofErr w:type="spellStart"/>
      <w:r w:rsidR="00057BF4" w:rsidRPr="00057BF4">
        <w:rPr>
          <w:i/>
          <w:iCs/>
        </w:rPr>
        <w:t>kasiṇa</w:t>
      </w:r>
      <w:proofErr w:type="spellEnd"/>
      <w:r>
        <w:t xml:space="preserve">, de la manera descrita para </w:t>
      </w:r>
      <w:r w:rsidR="00B34070">
        <w:t>e</w:t>
      </w:r>
      <w:r>
        <w:t xml:space="preserve">l </w:t>
      </w:r>
      <w:proofErr w:type="spellStart"/>
      <w:r w:rsidR="00057BF4" w:rsidRPr="00057BF4">
        <w:rPr>
          <w:i/>
          <w:iCs/>
        </w:rPr>
        <w:t>kasiṇa</w:t>
      </w:r>
      <w:proofErr w:type="spellEnd"/>
      <w:r>
        <w:t xml:space="preserve"> azul, con flores </w:t>
      </w:r>
      <w:proofErr w:type="spellStart"/>
      <w:r w:rsidRPr="00B34070">
        <w:rPr>
          <w:i/>
          <w:iCs/>
        </w:rPr>
        <w:t>kaṇikāra</w:t>
      </w:r>
      <w:proofErr w:type="spellEnd"/>
      <w:r>
        <w:t xml:space="preserve">, etc., o con </w:t>
      </w:r>
      <w:r w:rsidR="0065361B">
        <w:t xml:space="preserve">una </w:t>
      </w:r>
      <w:r>
        <w:t>tela amarilla o con un elemento de color. Deber</w:t>
      </w:r>
      <w:r w:rsidR="0065361B">
        <w:t>á</w:t>
      </w:r>
      <w:r>
        <w:t xml:space="preserve"> </w:t>
      </w:r>
      <w:r w:rsidR="0065361B">
        <w:t xml:space="preserve">evocarlo </w:t>
      </w:r>
      <w:r>
        <w:t xml:space="preserve">como "amarillo, amarillo". El resto </w:t>
      </w:r>
      <w:r w:rsidR="0065361B">
        <w:t xml:space="preserve">será </w:t>
      </w:r>
      <w:r>
        <w:t xml:space="preserve">como </w:t>
      </w:r>
      <w:r w:rsidR="005A7D8E">
        <w:t>l</w:t>
      </w:r>
      <w:r w:rsidR="0065361B">
        <w:t>o ya descrito</w:t>
      </w:r>
      <w:r>
        <w:t>.</w:t>
      </w:r>
    </w:p>
    <w:p w14:paraId="07ABF9E0" w14:textId="2CEC857C" w:rsidR="00C319A2" w:rsidRDefault="00C319A2" w:rsidP="0065361B">
      <w:pPr>
        <w:pStyle w:val="Ttulo3"/>
        <w:spacing w:before="120"/>
        <w:ind w:left="709"/>
      </w:pPr>
      <w:r>
        <w:t>[</w:t>
      </w:r>
      <w:r w:rsidR="00B34070">
        <w:t>El</w:t>
      </w:r>
      <w:r>
        <w:t xml:space="preserve"> </w:t>
      </w:r>
      <w:proofErr w:type="spellStart"/>
      <w:r w:rsidR="00057BF4" w:rsidRPr="00057BF4">
        <w:rPr>
          <w:i/>
          <w:iCs/>
        </w:rPr>
        <w:t>Kasiṇa</w:t>
      </w:r>
      <w:proofErr w:type="spellEnd"/>
      <w:r>
        <w:t xml:space="preserve"> Roj</w:t>
      </w:r>
      <w:r w:rsidR="00B34070">
        <w:t>o</w:t>
      </w:r>
      <w:r>
        <w:t>]</w:t>
      </w:r>
    </w:p>
    <w:p w14:paraId="6B9DAAEE" w14:textId="371ED1CF" w:rsidR="00C319A2" w:rsidRDefault="00C319A2" w:rsidP="00C319A2">
      <w:r>
        <w:t xml:space="preserve">17. </w:t>
      </w:r>
      <w:r>
        <w:tab/>
        <w:t>Lo mismo ocurr</w:t>
      </w:r>
      <w:r w:rsidR="0065361B">
        <w:t>irá</w:t>
      </w:r>
      <w:r>
        <w:t xml:space="preserve"> con el </w:t>
      </w:r>
      <w:proofErr w:type="spellStart"/>
      <w:r w:rsidR="00057BF4" w:rsidRPr="00057BF4">
        <w:rPr>
          <w:i/>
          <w:iCs/>
        </w:rPr>
        <w:t>kasiṇa</w:t>
      </w:r>
      <w:proofErr w:type="spellEnd"/>
      <w:r>
        <w:t xml:space="preserve"> rojo; porque esto </w:t>
      </w:r>
      <w:r w:rsidR="0065361B">
        <w:t>está dicho</w:t>
      </w:r>
      <w:r>
        <w:t>: “Aquel que est</w:t>
      </w:r>
      <w:r w:rsidR="0065361B">
        <w:t>é</w:t>
      </w:r>
      <w:r>
        <w:t xml:space="preserve"> apre</w:t>
      </w:r>
      <w:r w:rsidR="0065361B">
        <w:t>he</w:t>
      </w:r>
      <w:r>
        <w:t xml:space="preserve">ndiendo el </w:t>
      </w:r>
      <w:proofErr w:type="spellStart"/>
      <w:r w:rsidR="00057BF4" w:rsidRPr="00057BF4">
        <w:rPr>
          <w:i/>
          <w:iCs/>
        </w:rPr>
        <w:t>kasiṇa</w:t>
      </w:r>
      <w:proofErr w:type="spellEnd"/>
      <w:r>
        <w:t xml:space="preserve"> rojo aprehende</w:t>
      </w:r>
      <w:r w:rsidR="0065361B">
        <w:t>rá</w:t>
      </w:r>
      <w:r>
        <w:t xml:space="preserve"> el signo en </w:t>
      </w:r>
      <w:r w:rsidR="0065361B">
        <w:t xml:space="preserve">el </w:t>
      </w:r>
      <w:r>
        <w:t xml:space="preserve">rojo, [174] ya sea en una flor o en una tela o en un elemento de </w:t>
      </w:r>
      <w:r w:rsidR="0065361B">
        <w:t xml:space="preserve">tal </w:t>
      </w:r>
      <w:r>
        <w:t xml:space="preserve">color”. Por lo tanto, aquí también, cuando alguien </w:t>
      </w:r>
      <w:r w:rsidR="0065361B">
        <w:t>haya desarrollado</w:t>
      </w:r>
      <w:r>
        <w:t xml:space="preserve"> mérito</w:t>
      </w:r>
      <w:r w:rsidR="0065361B">
        <w:t>s en el pasado</w:t>
      </w:r>
      <w:r>
        <w:t xml:space="preserve">, habiendo </w:t>
      </w:r>
      <w:r w:rsidR="0065361B">
        <w:t xml:space="preserve">desarrollado una </w:t>
      </w:r>
      <w:r>
        <w:t xml:space="preserve">práctica previa, </w:t>
      </w:r>
      <w:r w:rsidR="0065361B">
        <w:t xml:space="preserve">el signo </w:t>
      </w:r>
      <w:r>
        <w:t>surg</w:t>
      </w:r>
      <w:r w:rsidR="0065361B">
        <w:t>irá</w:t>
      </w:r>
      <w:r>
        <w:t xml:space="preserve"> en él cuando ve</w:t>
      </w:r>
      <w:r w:rsidR="0065361B">
        <w:t>a</w:t>
      </w:r>
      <w:r>
        <w:t xml:space="preserve"> un arbusto </w:t>
      </w:r>
      <w:proofErr w:type="spellStart"/>
      <w:r w:rsidRPr="00B34070">
        <w:rPr>
          <w:i/>
          <w:iCs/>
        </w:rPr>
        <w:t>bandhujīvaka</w:t>
      </w:r>
      <w:proofErr w:type="spellEnd"/>
      <w:r>
        <w:t xml:space="preserve"> (hibisco), etc., en flor, o tales flores extendidas, o una tela roja o una gema o un elemento de </w:t>
      </w:r>
      <w:r w:rsidR="0065361B">
        <w:t xml:space="preserve">tal </w:t>
      </w:r>
      <w:r>
        <w:t>color.</w:t>
      </w:r>
    </w:p>
    <w:p w14:paraId="1AB34F9F" w14:textId="752FAD26" w:rsidR="00C319A2" w:rsidRDefault="00C319A2" w:rsidP="00C319A2">
      <w:r>
        <w:t xml:space="preserve">18. </w:t>
      </w:r>
      <w:r>
        <w:tab/>
      </w:r>
      <w:r w:rsidR="0065361B">
        <w:t xml:space="preserve">No obstante, </w:t>
      </w:r>
      <w:r>
        <w:t>cualquier otra persona debe</w:t>
      </w:r>
      <w:r w:rsidR="0065361B">
        <w:t>rá</w:t>
      </w:r>
      <w:r>
        <w:t xml:space="preserve"> </w:t>
      </w:r>
      <w:r w:rsidR="0065361B">
        <w:t>fabricar</w:t>
      </w:r>
      <w:r>
        <w:t xml:space="preserve"> un </w:t>
      </w:r>
      <w:proofErr w:type="spellStart"/>
      <w:r w:rsidR="00057BF4" w:rsidRPr="00057BF4">
        <w:rPr>
          <w:i/>
          <w:iCs/>
        </w:rPr>
        <w:t>kasiṇa</w:t>
      </w:r>
      <w:proofErr w:type="spellEnd"/>
      <w:r>
        <w:t xml:space="preserve">, de la manera ya descrita para </w:t>
      </w:r>
      <w:r w:rsidR="0065361B">
        <w:t>el</w:t>
      </w:r>
      <w:r>
        <w:t xml:space="preserve"> </w:t>
      </w:r>
      <w:proofErr w:type="spellStart"/>
      <w:r w:rsidR="00057BF4" w:rsidRPr="00057BF4">
        <w:rPr>
          <w:i/>
          <w:iCs/>
        </w:rPr>
        <w:t>kasiṇa</w:t>
      </w:r>
      <w:proofErr w:type="spellEnd"/>
      <w:r>
        <w:t xml:space="preserve"> azul, con flores </w:t>
      </w:r>
      <w:proofErr w:type="spellStart"/>
      <w:r w:rsidRPr="00B34070">
        <w:rPr>
          <w:i/>
          <w:iCs/>
        </w:rPr>
        <w:t>jayasumana</w:t>
      </w:r>
      <w:proofErr w:type="spellEnd"/>
      <w:r>
        <w:t xml:space="preserve"> o </w:t>
      </w:r>
      <w:proofErr w:type="spellStart"/>
      <w:r w:rsidRPr="00B34070">
        <w:rPr>
          <w:i/>
          <w:iCs/>
        </w:rPr>
        <w:t>bandhujīvaka</w:t>
      </w:r>
      <w:proofErr w:type="spellEnd"/>
      <w:r>
        <w:t xml:space="preserve"> o flores rojas </w:t>
      </w:r>
      <w:proofErr w:type="spellStart"/>
      <w:r w:rsidRPr="00B34070">
        <w:rPr>
          <w:i/>
          <w:iCs/>
        </w:rPr>
        <w:t>koraṇḍaka</w:t>
      </w:r>
      <w:proofErr w:type="spellEnd"/>
      <w:r>
        <w:t xml:space="preserve">, etc., o con </w:t>
      </w:r>
      <w:r w:rsidR="0065361B">
        <w:t xml:space="preserve">una </w:t>
      </w:r>
      <w:r>
        <w:t xml:space="preserve">tela roja o con un elemento de </w:t>
      </w:r>
      <w:r w:rsidR="0065361B">
        <w:t xml:space="preserve">tal </w:t>
      </w:r>
      <w:r>
        <w:t>color. Deber</w:t>
      </w:r>
      <w:r w:rsidR="0065361B">
        <w:t>á</w:t>
      </w:r>
      <w:r>
        <w:t xml:space="preserve"> </w:t>
      </w:r>
      <w:r w:rsidR="0065361B">
        <w:t xml:space="preserve">evocarlo mediante el nombre </w:t>
      </w:r>
      <w:r>
        <w:t xml:space="preserve">"rojo, rojo". El resto </w:t>
      </w:r>
      <w:r w:rsidR="0065361B">
        <w:t>será como lo ya descrito antes</w:t>
      </w:r>
      <w:r>
        <w:t>.</w:t>
      </w:r>
    </w:p>
    <w:p w14:paraId="6C024D91" w14:textId="009F7115" w:rsidR="00C319A2" w:rsidRDefault="00C319A2" w:rsidP="0065361B">
      <w:pPr>
        <w:pStyle w:val="Ttulo3"/>
        <w:spacing w:before="120"/>
        <w:ind w:left="709"/>
      </w:pPr>
      <w:r>
        <w:t>[</w:t>
      </w:r>
      <w:r w:rsidR="00B34070">
        <w:t>El</w:t>
      </w:r>
      <w:r>
        <w:t xml:space="preserve"> </w:t>
      </w:r>
      <w:proofErr w:type="spellStart"/>
      <w:r w:rsidR="00057BF4" w:rsidRPr="00057BF4">
        <w:rPr>
          <w:i/>
          <w:iCs/>
        </w:rPr>
        <w:t>Kasiṇa</w:t>
      </w:r>
      <w:proofErr w:type="spellEnd"/>
      <w:r>
        <w:t xml:space="preserve"> Blanc</w:t>
      </w:r>
      <w:r w:rsidR="00B34070">
        <w:t>o</w:t>
      </w:r>
      <w:r>
        <w:t>]</w:t>
      </w:r>
    </w:p>
    <w:p w14:paraId="2F66A678" w14:textId="3C7771EA" w:rsidR="00C319A2" w:rsidRDefault="00C319A2" w:rsidP="00C319A2">
      <w:r>
        <w:t xml:space="preserve">19. </w:t>
      </w:r>
      <w:r>
        <w:tab/>
        <w:t xml:space="preserve">Del </w:t>
      </w:r>
      <w:proofErr w:type="spellStart"/>
      <w:r w:rsidR="0065361B" w:rsidRPr="00057BF4">
        <w:rPr>
          <w:i/>
          <w:iCs/>
        </w:rPr>
        <w:t>kasiṇa</w:t>
      </w:r>
      <w:proofErr w:type="spellEnd"/>
      <w:r w:rsidR="0065361B">
        <w:t xml:space="preserve"> </w:t>
      </w:r>
      <w:r>
        <w:t>blanco se dice: “Quien est</w:t>
      </w:r>
      <w:r w:rsidR="0065361B">
        <w:t>é</w:t>
      </w:r>
      <w:r>
        <w:t xml:space="preserve"> apre</w:t>
      </w:r>
      <w:r w:rsidR="0065361B">
        <w:t>he</w:t>
      </w:r>
      <w:r>
        <w:t xml:space="preserve">ndiendo el </w:t>
      </w:r>
      <w:proofErr w:type="spellStart"/>
      <w:r w:rsidR="00057BF4" w:rsidRPr="00057BF4">
        <w:rPr>
          <w:i/>
          <w:iCs/>
        </w:rPr>
        <w:t>kasiṇa</w:t>
      </w:r>
      <w:proofErr w:type="spellEnd"/>
      <w:r>
        <w:t xml:space="preserve"> blanco aprehende</w:t>
      </w:r>
      <w:r w:rsidR="0065361B">
        <w:t>rá</w:t>
      </w:r>
      <w:r>
        <w:t xml:space="preserve"> el signo en </w:t>
      </w:r>
      <w:r w:rsidR="0065361B">
        <w:t xml:space="preserve">el </w:t>
      </w:r>
      <w:r>
        <w:t xml:space="preserve">blanco, ya sea en una flor o en una tela o en un elemento de </w:t>
      </w:r>
      <w:r w:rsidR="0065361B">
        <w:t xml:space="preserve">ese </w:t>
      </w:r>
      <w:r>
        <w:t xml:space="preserve">color”. Entonces, en primer lugar, cuando alguien </w:t>
      </w:r>
      <w:r w:rsidR="0065361B">
        <w:t>posea</w:t>
      </w:r>
      <w:r>
        <w:t xml:space="preserve"> mérito</w:t>
      </w:r>
      <w:r w:rsidR="0065361B">
        <w:t>s pasados</w:t>
      </w:r>
      <w:r>
        <w:t xml:space="preserve">, después de haber </w:t>
      </w:r>
      <w:r w:rsidR="0065361B">
        <w:t xml:space="preserve">desarrollado </w:t>
      </w:r>
      <w:r>
        <w:t xml:space="preserve">una práctica previa, </w:t>
      </w:r>
      <w:r w:rsidR="0065361B">
        <w:t xml:space="preserve">el signo </w:t>
      </w:r>
      <w:r>
        <w:t>surg</w:t>
      </w:r>
      <w:r w:rsidR="0065361B">
        <w:t>irá</w:t>
      </w:r>
      <w:r>
        <w:t xml:space="preserve"> en él cuando ve</w:t>
      </w:r>
      <w:r w:rsidR="0065361B">
        <w:t>a</w:t>
      </w:r>
      <w:r>
        <w:t xml:space="preserve"> un arbusto en flor de tal tipo o flores </w:t>
      </w:r>
      <w:r w:rsidR="0065361B">
        <w:t xml:space="preserve">como el </w:t>
      </w:r>
      <w:proofErr w:type="spellStart"/>
      <w:r w:rsidRPr="00B34070">
        <w:rPr>
          <w:i/>
          <w:iCs/>
        </w:rPr>
        <w:t>vassikasumana</w:t>
      </w:r>
      <w:proofErr w:type="spellEnd"/>
      <w:r>
        <w:t xml:space="preserve"> (jazmín), etc., esparcidas, o un montón de lotos blancos o lirios, </w:t>
      </w:r>
      <w:r w:rsidR="0065361B">
        <w:t xml:space="preserve">un </w:t>
      </w:r>
      <w:r>
        <w:t xml:space="preserve">paño blanco o </w:t>
      </w:r>
      <w:r w:rsidR="0065361B">
        <w:t xml:space="preserve">un </w:t>
      </w:r>
      <w:r>
        <w:t xml:space="preserve">elemento de </w:t>
      </w:r>
      <w:r w:rsidR="0065361B">
        <w:t xml:space="preserve">ese </w:t>
      </w:r>
      <w:r>
        <w:t>color; y también surg</w:t>
      </w:r>
      <w:r w:rsidR="00D60382">
        <w:t>i</w:t>
      </w:r>
      <w:r w:rsidR="0065361B">
        <w:t>rá</w:t>
      </w:r>
      <w:r>
        <w:t xml:space="preserve"> en un disco de estaño, de plata </w:t>
      </w:r>
      <w:r w:rsidR="0065361B">
        <w:t xml:space="preserve">o en </w:t>
      </w:r>
      <w:r>
        <w:t xml:space="preserve">la </w:t>
      </w:r>
      <w:r w:rsidR="0065361B">
        <w:t>Luna</w:t>
      </w:r>
      <w:r>
        <w:t>.</w:t>
      </w:r>
    </w:p>
    <w:p w14:paraId="100D0790" w14:textId="08AB74C0" w:rsidR="00C319A2" w:rsidRDefault="00C319A2" w:rsidP="00C319A2">
      <w:r>
        <w:t xml:space="preserve">20. </w:t>
      </w:r>
      <w:r>
        <w:tab/>
      </w:r>
      <w:r w:rsidR="0065361B">
        <w:t xml:space="preserve">En el caso de </w:t>
      </w:r>
      <w:r w:rsidR="00CB0427">
        <w:t xml:space="preserve">los </w:t>
      </w:r>
      <w:r>
        <w:t>otro</w:t>
      </w:r>
      <w:r w:rsidR="00CB0427">
        <w:t>s</w:t>
      </w:r>
      <w:r>
        <w:t xml:space="preserve"> </w:t>
      </w:r>
      <w:r w:rsidR="0065361B">
        <w:t>meditador</w:t>
      </w:r>
      <w:r w:rsidR="00CB0427">
        <w:t>es</w:t>
      </w:r>
      <w:r w:rsidR="0065361B">
        <w:t xml:space="preserve">, </w:t>
      </w:r>
      <w:r>
        <w:t>debe</w:t>
      </w:r>
      <w:r w:rsidR="0065361B">
        <w:t>rá</w:t>
      </w:r>
      <w:r w:rsidR="00CB0427">
        <w:t>n</w:t>
      </w:r>
      <w:r>
        <w:t xml:space="preserve"> </w:t>
      </w:r>
      <w:r w:rsidR="0065361B">
        <w:t>fabricar</w:t>
      </w:r>
      <w:r>
        <w:t xml:space="preserve"> un </w:t>
      </w:r>
      <w:proofErr w:type="spellStart"/>
      <w:r w:rsidR="00057BF4" w:rsidRPr="00057BF4">
        <w:rPr>
          <w:i/>
          <w:iCs/>
        </w:rPr>
        <w:t>kasiṇa</w:t>
      </w:r>
      <w:proofErr w:type="spellEnd"/>
      <w:r>
        <w:t xml:space="preserve">, en la forma ya descrita </w:t>
      </w:r>
      <w:r w:rsidR="0065361B">
        <w:t xml:space="preserve">con el </w:t>
      </w:r>
      <w:proofErr w:type="spellStart"/>
      <w:r w:rsidR="00057BF4" w:rsidRPr="00057BF4">
        <w:rPr>
          <w:i/>
          <w:iCs/>
        </w:rPr>
        <w:t>kasiṇa</w:t>
      </w:r>
      <w:proofErr w:type="spellEnd"/>
      <w:r>
        <w:t xml:space="preserve"> azul, con las flores blancas ya mencionadas, o con </w:t>
      </w:r>
      <w:r w:rsidR="0065361B">
        <w:t xml:space="preserve">paño </w:t>
      </w:r>
      <w:r>
        <w:t xml:space="preserve">o </w:t>
      </w:r>
      <w:r w:rsidR="0065361B">
        <w:t xml:space="preserve">un </w:t>
      </w:r>
      <w:r>
        <w:t xml:space="preserve">elemento de </w:t>
      </w:r>
      <w:r w:rsidR="0065361B">
        <w:t xml:space="preserve">ese </w:t>
      </w:r>
      <w:r>
        <w:t>color. Deber</w:t>
      </w:r>
      <w:r w:rsidR="0065361B">
        <w:t>á</w:t>
      </w:r>
      <w:r>
        <w:t xml:space="preserve"> </w:t>
      </w:r>
      <w:r w:rsidR="0065361B">
        <w:t>evocarlo en</w:t>
      </w:r>
      <w:r>
        <w:t xml:space="preserve"> la mente como "blanco, blanco". El resto </w:t>
      </w:r>
      <w:r w:rsidR="0065361B">
        <w:t xml:space="preserve">será </w:t>
      </w:r>
      <w:r>
        <w:t xml:space="preserve">como </w:t>
      </w:r>
      <w:r w:rsidR="0065361B">
        <w:t>lo ya descrito</w:t>
      </w:r>
      <w:r>
        <w:t>.</w:t>
      </w:r>
    </w:p>
    <w:p w14:paraId="5EE7DB1B" w14:textId="767041E3" w:rsidR="00C319A2" w:rsidRDefault="00C319A2" w:rsidP="0065361B">
      <w:pPr>
        <w:pStyle w:val="Ttulo3"/>
        <w:spacing w:before="120"/>
        <w:ind w:left="709"/>
      </w:pPr>
      <w:r>
        <w:t>[</w:t>
      </w:r>
      <w:r w:rsidR="005151D3">
        <w:t>El</w:t>
      </w:r>
      <w:r>
        <w:t xml:space="preserve"> </w:t>
      </w:r>
      <w:proofErr w:type="spellStart"/>
      <w:r w:rsidR="00057BF4" w:rsidRPr="00057BF4">
        <w:rPr>
          <w:i/>
          <w:iCs/>
        </w:rPr>
        <w:t>Kasiṇa</w:t>
      </w:r>
      <w:proofErr w:type="spellEnd"/>
      <w:r w:rsidR="00B34070" w:rsidRPr="00B34070">
        <w:rPr>
          <w:i/>
          <w:iCs/>
        </w:rPr>
        <w:t xml:space="preserve"> </w:t>
      </w:r>
      <w:r>
        <w:t>Luz]</w:t>
      </w:r>
    </w:p>
    <w:p w14:paraId="7FCD72B2" w14:textId="6293C6E8" w:rsidR="00C319A2" w:rsidRDefault="00C319A2" w:rsidP="00C319A2">
      <w:r>
        <w:t xml:space="preserve">21. </w:t>
      </w:r>
      <w:r>
        <w:tab/>
      </w:r>
      <w:r w:rsidR="0065361B">
        <w:t>Respecto al</w:t>
      </w:r>
      <w:r>
        <w:t xml:space="preserve"> </w:t>
      </w:r>
      <w:proofErr w:type="spellStart"/>
      <w:r w:rsidR="00057BF4" w:rsidRPr="00057BF4">
        <w:rPr>
          <w:i/>
          <w:iCs/>
        </w:rPr>
        <w:t>kasiṇa</w:t>
      </w:r>
      <w:proofErr w:type="spellEnd"/>
      <w:r>
        <w:t xml:space="preserve"> </w:t>
      </w:r>
      <w:r w:rsidR="0065361B">
        <w:t>luz</w:t>
      </w:r>
      <w:r>
        <w:t>: “</w:t>
      </w:r>
      <w:r w:rsidR="0065361B">
        <w:t>El</w:t>
      </w:r>
      <w:r>
        <w:t xml:space="preserve"> que est</w:t>
      </w:r>
      <w:r w:rsidR="0065361B">
        <w:t>é</w:t>
      </w:r>
      <w:r>
        <w:t xml:space="preserve"> apre</w:t>
      </w:r>
      <w:r w:rsidR="0065361B">
        <w:t>he</w:t>
      </w:r>
      <w:r>
        <w:t xml:space="preserve">ndiendo </w:t>
      </w:r>
      <w:r w:rsidR="0065361B">
        <w:t>e</w:t>
      </w:r>
      <w:r>
        <w:t xml:space="preserve">l </w:t>
      </w:r>
      <w:proofErr w:type="spellStart"/>
      <w:r w:rsidR="00057BF4" w:rsidRPr="00057BF4">
        <w:rPr>
          <w:i/>
          <w:iCs/>
        </w:rPr>
        <w:t>kasiṇa</w:t>
      </w:r>
      <w:proofErr w:type="spellEnd"/>
      <w:r>
        <w:t xml:space="preserve"> </w:t>
      </w:r>
      <w:r w:rsidR="0065361B">
        <w:t xml:space="preserve">luz </w:t>
      </w:r>
      <w:r>
        <w:t>capta</w:t>
      </w:r>
      <w:r w:rsidR="0065361B">
        <w:t>rá</w:t>
      </w:r>
      <w:r>
        <w:t xml:space="preserve"> el signo luz en </w:t>
      </w:r>
      <w:r w:rsidR="0065361B">
        <w:t>el</w:t>
      </w:r>
      <w:r>
        <w:t xml:space="preserve"> agujero en una pared, o en el ojo de una cerradura, o en la abertura de una ventana”. Entonces, en primer lugar, cuando alguien </w:t>
      </w:r>
      <w:r w:rsidR="0065361B">
        <w:t>posea</w:t>
      </w:r>
      <w:r>
        <w:t xml:space="preserve"> </w:t>
      </w:r>
      <w:r w:rsidR="0065361B">
        <w:t xml:space="preserve">ya </w:t>
      </w:r>
      <w:r>
        <w:t>mérito</w:t>
      </w:r>
      <w:r w:rsidR="0065361B">
        <w:t>s</w:t>
      </w:r>
      <w:r w:rsidR="00EF3EBD">
        <w:t xml:space="preserve"> pasados</w:t>
      </w:r>
      <w:r>
        <w:t xml:space="preserve">, habiendo </w:t>
      </w:r>
      <w:r w:rsidR="00EF3EBD">
        <w:t xml:space="preserve">desarrollado </w:t>
      </w:r>
      <w:r>
        <w:t xml:space="preserve">una práctica previa, </w:t>
      </w:r>
      <w:r w:rsidR="0065361B">
        <w:t xml:space="preserve">el signo </w:t>
      </w:r>
      <w:r>
        <w:t>surg</w:t>
      </w:r>
      <w:r w:rsidR="0065361B">
        <w:t>irá</w:t>
      </w:r>
      <w:r>
        <w:t xml:space="preserve"> en él cuando ve</w:t>
      </w:r>
      <w:r w:rsidR="0065361B">
        <w:t>a</w:t>
      </w:r>
      <w:r>
        <w:t xml:space="preserve"> el círculo </w:t>
      </w:r>
      <w:r w:rsidR="0065361B">
        <w:t>dibujado</w:t>
      </w:r>
      <w:r>
        <w:t xml:space="preserve"> sobre una pared o </w:t>
      </w:r>
      <w:r w:rsidR="0065361B">
        <w:t xml:space="preserve">sobre el </w:t>
      </w:r>
      <w:r>
        <w:t xml:space="preserve">piso </w:t>
      </w:r>
      <w:r w:rsidR="0065361B">
        <w:t xml:space="preserve">debido a </w:t>
      </w:r>
      <w:r>
        <w:t xml:space="preserve">la luz del </w:t>
      </w:r>
      <w:r w:rsidR="0065361B">
        <w:t xml:space="preserve">Sol </w:t>
      </w:r>
      <w:r>
        <w:t xml:space="preserve">o la luz de la </w:t>
      </w:r>
      <w:r w:rsidR="0065361B">
        <w:t xml:space="preserve">Luna </w:t>
      </w:r>
      <w:r>
        <w:t xml:space="preserve">entrando por </w:t>
      </w:r>
      <w:r w:rsidR="004939E8">
        <w:t xml:space="preserve">el </w:t>
      </w:r>
      <w:r>
        <w:t>agujero en una pared, etc., o cuando ve</w:t>
      </w:r>
      <w:r w:rsidR="0065361B">
        <w:t>a</w:t>
      </w:r>
      <w:r>
        <w:t xml:space="preserve"> un círculo </w:t>
      </w:r>
      <w:r w:rsidR="0065361B">
        <w:t>dibujado en e</w:t>
      </w:r>
      <w:r>
        <w:t xml:space="preserve">l suelo por la luz del </w:t>
      </w:r>
      <w:r w:rsidR="0065361B">
        <w:t xml:space="preserve">Sol </w:t>
      </w:r>
      <w:r>
        <w:t xml:space="preserve">o la luz de la </w:t>
      </w:r>
      <w:r w:rsidR="0065361B">
        <w:t xml:space="preserve">Luna </w:t>
      </w:r>
      <w:r>
        <w:t>que entr</w:t>
      </w:r>
      <w:r w:rsidR="0065361B">
        <w:t>e</w:t>
      </w:r>
      <w:r>
        <w:t xml:space="preserve"> por un</w:t>
      </w:r>
      <w:r w:rsidR="0065361B">
        <w:t>a</w:t>
      </w:r>
      <w:r>
        <w:t xml:space="preserve"> </w:t>
      </w:r>
      <w:r w:rsidR="0065361B">
        <w:t>abertura entre</w:t>
      </w:r>
      <w:r>
        <w:t xml:space="preserve"> las ramas de un árbol de hojas densas o por </w:t>
      </w:r>
      <w:r w:rsidR="0065361B">
        <w:t>la abertura de</w:t>
      </w:r>
      <w:r>
        <w:t xml:space="preserve"> una choza hecha de ramas apretadas.</w:t>
      </w:r>
    </w:p>
    <w:p w14:paraId="07B61958" w14:textId="4E702B31" w:rsidR="00C319A2" w:rsidRDefault="00C319A2" w:rsidP="00C319A2">
      <w:r>
        <w:t xml:space="preserve">22. </w:t>
      </w:r>
      <w:r>
        <w:tab/>
        <w:t>Cualquier otra persona debe</w:t>
      </w:r>
      <w:r w:rsidR="0065361B">
        <w:t>rá</w:t>
      </w:r>
      <w:r>
        <w:t xml:space="preserve"> </w:t>
      </w:r>
      <w:r w:rsidR="00046BFC">
        <w:t>fabricar</w:t>
      </w:r>
      <w:r>
        <w:t xml:space="preserve"> el mismo tipo de círculo de luminosidad que acabamos de describir, desarrollándolo como “luminosidad, luminosidad” o “luz, luz”. Si no puede </w:t>
      </w:r>
      <w:r w:rsidR="0065361B">
        <w:t>fabricar uno</w:t>
      </w:r>
      <w:r>
        <w:t xml:space="preserve">, </w:t>
      </w:r>
      <w:r w:rsidR="0065361B">
        <w:t>podrá</w:t>
      </w:r>
      <w:r>
        <w:t xml:space="preserve"> encender una lámpara dentro de una olla, cerrar la boca de la olla, hacerle un agujero y colocarla con el agujero hacia la pared. La luz de la lámpara que sal</w:t>
      </w:r>
      <w:r w:rsidR="0065361B">
        <w:t>ga</w:t>
      </w:r>
      <w:r>
        <w:t xml:space="preserve"> </w:t>
      </w:r>
      <w:r w:rsidR="0065361B">
        <w:t xml:space="preserve">por </w:t>
      </w:r>
      <w:r>
        <w:t>el agujero dibuja</w:t>
      </w:r>
      <w:r w:rsidR="0065361B">
        <w:t>rá</w:t>
      </w:r>
      <w:r>
        <w:t xml:space="preserve"> un círculo en la pared. Deber</w:t>
      </w:r>
      <w:r w:rsidR="0065361B">
        <w:t>á</w:t>
      </w:r>
      <w:r>
        <w:t xml:space="preserve"> desarrollar</w:t>
      </w:r>
      <w:r w:rsidR="0065361B">
        <w:t>lo</w:t>
      </w:r>
      <w:r>
        <w:t xml:space="preserve"> [175] </w:t>
      </w:r>
      <w:r w:rsidR="0065361B">
        <w:t xml:space="preserve">evocando su nombre </w:t>
      </w:r>
      <w:r>
        <w:t xml:space="preserve">“luz, luz”. </w:t>
      </w:r>
      <w:r w:rsidR="0065361B">
        <w:t>É</w:t>
      </w:r>
      <w:r>
        <w:t>ste dura</w:t>
      </w:r>
      <w:r w:rsidR="0065361B">
        <w:t>rá</w:t>
      </w:r>
      <w:r>
        <w:t xml:space="preserve"> más que los otros tipos</w:t>
      </w:r>
      <w:r w:rsidR="0065361B">
        <w:t xml:space="preserve"> de signos</w:t>
      </w:r>
      <w:r>
        <w:t>.</w:t>
      </w:r>
    </w:p>
    <w:p w14:paraId="7DC2FAB8" w14:textId="016A731D" w:rsidR="00F23381" w:rsidRDefault="00C319A2" w:rsidP="0065361B">
      <w:r>
        <w:t>23.</w:t>
      </w:r>
      <w:r>
        <w:tab/>
        <w:t xml:space="preserve"> Aquí </w:t>
      </w:r>
      <w:r w:rsidR="00D23755">
        <w:t>el signo</w:t>
      </w:r>
      <w:r>
        <w:t xml:space="preserve"> de</w:t>
      </w:r>
      <w:r w:rsidR="00D23755">
        <w:t>l</w:t>
      </w:r>
      <w:r>
        <w:t xml:space="preserve"> aprendizaje </w:t>
      </w:r>
      <w:r w:rsidR="00022F37">
        <w:t>serpa</w:t>
      </w:r>
      <w:r>
        <w:t xml:space="preserve"> como el círculo </w:t>
      </w:r>
      <w:r w:rsidR="00022F37">
        <w:t xml:space="preserve">de luz </w:t>
      </w:r>
      <w:r w:rsidR="00601B05">
        <w:t>dibujado</w:t>
      </w:r>
      <w:r>
        <w:t xml:space="preserve"> en la pared o en el suelo. El signo contraparte </w:t>
      </w:r>
      <w:r w:rsidR="00601B05">
        <w:t xml:space="preserve">será </w:t>
      </w:r>
      <w:r>
        <w:t xml:space="preserve">como un grupo compacto de luces brillantes. El resto </w:t>
      </w:r>
      <w:r w:rsidR="00601B05">
        <w:t xml:space="preserve">será </w:t>
      </w:r>
      <w:r>
        <w:t xml:space="preserve">como </w:t>
      </w:r>
      <w:r w:rsidR="00601B05">
        <w:t>lo descrito anteriormente</w:t>
      </w:r>
      <w:r>
        <w:t>.</w:t>
      </w:r>
      <w:r w:rsidR="00F23381">
        <w:br w:type="page"/>
      </w:r>
    </w:p>
    <w:p w14:paraId="4340FFC0" w14:textId="5CE61519" w:rsidR="00F23381" w:rsidRDefault="00F23381" w:rsidP="00F23381">
      <w:pPr>
        <w:pStyle w:val="Ttulo3"/>
        <w:ind w:left="708"/>
      </w:pPr>
      <w:r>
        <w:lastRenderedPageBreak/>
        <w:t xml:space="preserve">[El </w:t>
      </w:r>
      <w:proofErr w:type="spellStart"/>
      <w:r w:rsidR="00057BF4" w:rsidRPr="00057BF4">
        <w:rPr>
          <w:i/>
          <w:iCs/>
        </w:rPr>
        <w:t>Kasiṇa</w:t>
      </w:r>
      <w:proofErr w:type="spellEnd"/>
      <w:r>
        <w:t xml:space="preserve"> </w:t>
      </w:r>
      <w:r w:rsidR="0065361B">
        <w:t>del</w:t>
      </w:r>
      <w:r>
        <w:t xml:space="preserve"> Espacio Limitado]</w:t>
      </w:r>
    </w:p>
    <w:p w14:paraId="2FA03B8C" w14:textId="13D4D557" w:rsidR="00F23381" w:rsidRDefault="00F23381" w:rsidP="00F23381">
      <w:r>
        <w:t xml:space="preserve">24. </w:t>
      </w:r>
      <w:r>
        <w:tab/>
        <w:t xml:space="preserve">Del </w:t>
      </w:r>
      <w:proofErr w:type="spellStart"/>
      <w:r w:rsidR="00057BF4" w:rsidRPr="00057BF4">
        <w:rPr>
          <w:i/>
          <w:iCs/>
        </w:rPr>
        <w:t>kasiṇa</w:t>
      </w:r>
      <w:proofErr w:type="spellEnd"/>
      <w:r>
        <w:t xml:space="preserve"> del espacio limitado se dice: “Aquel que est</w:t>
      </w:r>
      <w:r w:rsidR="0065361B">
        <w:t>é</w:t>
      </w:r>
      <w:r>
        <w:t xml:space="preserve"> apre</w:t>
      </w:r>
      <w:r w:rsidR="0065361B">
        <w:t>he</w:t>
      </w:r>
      <w:r>
        <w:t xml:space="preserve">ndiendo el </w:t>
      </w:r>
      <w:proofErr w:type="spellStart"/>
      <w:r w:rsidR="00057BF4" w:rsidRPr="00057BF4">
        <w:rPr>
          <w:i/>
          <w:iCs/>
        </w:rPr>
        <w:t>kasiṇa</w:t>
      </w:r>
      <w:proofErr w:type="spellEnd"/>
      <w:r>
        <w:t xml:space="preserve"> del espacio aprehende</w:t>
      </w:r>
      <w:r w:rsidR="0065361B">
        <w:t>rá</w:t>
      </w:r>
      <w:r>
        <w:t xml:space="preserve"> </w:t>
      </w:r>
      <w:r w:rsidR="0065361B">
        <w:t xml:space="preserve">el signo </w:t>
      </w:r>
      <w:r>
        <w:t xml:space="preserve">en </w:t>
      </w:r>
      <w:r w:rsidR="00601B05">
        <w:t>el</w:t>
      </w:r>
      <w:r>
        <w:t xml:space="preserve"> agujero en una pared, o en el ojo de una cerradura, o en la abertura de una ventana”. Entonces, en primer lugar, cuando alguien </w:t>
      </w:r>
      <w:r w:rsidR="00250AB4">
        <w:t>posea previamente</w:t>
      </w:r>
      <w:r>
        <w:t xml:space="preserve"> mérito</w:t>
      </w:r>
      <w:r w:rsidR="0065361B">
        <w:t>s</w:t>
      </w:r>
      <w:r>
        <w:t xml:space="preserve">, práctica </w:t>
      </w:r>
      <w:r w:rsidR="00250AB4">
        <w:t>del pasado</w:t>
      </w:r>
      <w:r>
        <w:t xml:space="preserve">, </w:t>
      </w:r>
      <w:r w:rsidR="00250AB4">
        <w:t xml:space="preserve">el signo </w:t>
      </w:r>
      <w:r>
        <w:t>surg</w:t>
      </w:r>
      <w:r w:rsidR="0065361B">
        <w:t>irá</w:t>
      </w:r>
      <w:r>
        <w:t xml:space="preserve"> en él cuando ve</w:t>
      </w:r>
      <w:r w:rsidR="0065361B">
        <w:t>a</w:t>
      </w:r>
      <w:r>
        <w:t xml:space="preserve"> cualquier [</w:t>
      </w:r>
      <w:r w:rsidR="00250AB4">
        <w:t xml:space="preserve">espacio </w:t>
      </w:r>
      <w:r>
        <w:t>como un] agujero en una pared.</w:t>
      </w:r>
    </w:p>
    <w:p w14:paraId="311938AF" w14:textId="6E962612" w:rsidR="00F23381" w:rsidRDefault="00F23381" w:rsidP="00F23381">
      <w:r>
        <w:t xml:space="preserve">25. </w:t>
      </w:r>
      <w:r>
        <w:tab/>
      </w:r>
      <w:r w:rsidR="00250AB4">
        <w:t>Los demás meditadores</w:t>
      </w:r>
      <w:r>
        <w:t xml:space="preserve"> debe</w:t>
      </w:r>
      <w:r w:rsidR="0065361B">
        <w:t>rán</w:t>
      </w:r>
      <w:r>
        <w:t xml:space="preserve"> </w:t>
      </w:r>
      <w:r w:rsidR="0065361B">
        <w:t xml:space="preserve">fabricar </w:t>
      </w:r>
      <w:r>
        <w:t xml:space="preserve">un agujero de un palmo y cuatro dedos de ancho en una choza bien techada, o </w:t>
      </w:r>
      <w:r w:rsidR="0065361B">
        <w:t>sobre</w:t>
      </w:r>
      <w:r>
        <w:t xml:space="preserve"> un pedazo de cuero, o en una estera de junco, etc. Debe</w:t>
      </w:r>
      <w:r w:rsidR="0065361B">
        <w:t>rá</w:t>
      </w:r>
      <w:r>
        <w:t xml:space="preserve"> desarrollar uno de estos, o un agujero como </w:t>
      </w:r>
      <w:r w:rsidR="0065361B">
        <w:t>el hueco de</w:t>
      </w:r>
      <w:r>
        <w:t xml:space="preserve"> una pared, </w:t>
      </w:r>
      <w:r w:rsidR="0065361B">
        <w:t>y evocarlo a través del nombre</w:t>
      </w:r>
      <w:r>
        <w:t xml:space="preserve"> "espacio, espacio".</w:t>
      </w:r>
    </w:p>
    <w:p w14:paraId="2FA06EB6" w14:textId="3EF5ABB1" w:rsidR="00F23381" w:rsidRDefault="00F23381" w:rsidP="00F23381">
      <w:r>
        <w:t xml:space="preserve">26. </w:t>
      </w:r>
      <w:r>
        <w:tab/>
        <w:t>Aquí el signo de</w:t>
      </w:r>
      <w:r w:rsidR="00546397">
        <w:t>l</w:t>
      </w:r>
      <w:r>
        <w:t xml:space="preserve"> aprendizaje se parece</w:t>
      </w:r>
      <w:r w:rsidR="0065361B">
        <w:t>rá</w:t>
      </w:r>
      <w:r>
        <w:t xml:space="preserve"> al agujero junto </w:t>
      </w:r>
      <w:r w:rsidR="008C309F">
        <w:t>a una</w:t>
      </w:r>
      <w:r>
        <w:t xml:space="preserve"> pared, etc., que lo rode</w:t>
      </w:r>
      <w:r w:rsidR="0065361B">
        <w:t>e</w:t>
      </w:r>
      <w:r>
        <w:t xml:space="preserve">. Los intentos de extenderlo </w:t>
      </w:r>
      <w:r w:rsidR="00A835DA">
        <w:t>fracasarán</w:t>
      </w:r>
      <w:r>
        <w:t>. El signo contraparte aparece</w:t>
      </w:r>
      <w:r w:rsidR="00546397">
        <w:t>rá</w:t>
      </w:r>
      <w:r>
        <w:t xml:space="preserve"> solo como un círculo </w:t>
      </w:r>
      <w:r w:rsidR="00233E8C">
        <w:t>en el</w:t>
      </w:r>
      <w:r>
        <w:t xml:space="preserve"> espacio. Los intentos de extenderlo </w:t>
      </w:r>
      <w:r w:rsidR="00233E8C">
        <w:t>tendrán</w:t>
      </w:r>
      <w:r>
        <w:t xml:space="preserve"> éxito. El resto debe</w:t>
      </w:r>
      <w:r w:rsidR="0065361B">
        <w:t>rá</w:t>
      </w:r>
      <w:r>
        <w:t xml:space="preserve"> entenderse como </w:t>
      </w:r>
      <w:r w:rsidR="0065361B">
        <w:t xml:space="preserve">lo ya </w:t>
      </w:r>
      <w:r>
        <w:t xml:space="preserve">descrito bajo </w:t>
      </w:r>
      <w:r w:rsidR="0065361B">
        <w:t>el título del</w:t>
      </w:r>
      <w:r>
        <w:t xml:space="preserve"> </w:t>
      </w:r>
      <w:proofErr w:type="spellStart"/>
      <w:r w:rsidR="00057BF4" w:rsidRPr="00057BF4">
        <w:rPr>
          <w:i/>
        </w:rPr>
        <w:t>kasiṇa</w:t>
      </w:r>
      <w:proofErr w:type="spellEnd"/>
      <w:r w:rsidR="0065361B" w:rsidRPr="0065361B">
        <w:t xml:space="preserve"> </w:t>
      </w:r>
      <w:r w:rsidR="0065361B">
        <w:t>tierra</w:t>
      </w:r>
      <w:r>
        <w:t>.</w:t>
      </w:r>
      <w:r w:rsidRPr="00F23D56">
        <w:rPr>
          <w:vertAlign w:val="superscript"/>
        </w:rPr>
        <w:t>5</w:t>
      </w:r>
    </w:p>
    <w:p w14:paraId="38C40D7D" w14:textId="7F4CE5FA" w:rsidR="00F23381" w:rsidRDefault="00F23381" w:rsidP="00F23381">
      <w:pPr>
        <w:pStyle w:val="Ttulo3"/>
        <w:ind w:left="708"/>
      </w:pPr>
      <w:r>
        <w:t>[</w:t>
      </w:r>
      <w:r w:rsidR="00233E8C">
        <w:t xml:space="preserve">En </w:t>
      </w:r>
      <w:r>
        <w:t>General]</w:t>
      </w:r>
    </w:p>
    <w:p w14:paraId="5446584A" w14:textId="74CD7290" w:rsidR="00F23381" w:rsidRPr="0065361B" w:rsidRDefault="00F23381" w:rsidP="00F23381">
      <w:pPr>
        <w:pStyle w:val="VersoIngls01Sangria"/>
        <w:ind w:left="0"/>
        <w:rPr>
          <w:sz w:val="16"/>
          <w:szCs w:val="20"/>
        </w:rPr>
      </w:pPr>
      <w:r>
        <w:t xml:space="preserve">27. </w:t>
      </w:r>
      <w:r>
        <w:tab/>
      </w:r>
      <w:r>
        <w:tab/>
      </w:r>
      <w:r>
        <w:tab/>
      </w:r>
      <w:r w:rsidR="0065361B">
        <w:t>Aquél</w:t>
      </w:r>
      <w:r w:rsidRPr="0065361B">
        <w:rPr>
          <w:sz w:val="16"/>
          <w:szCs w:val="20"/>
        </w:rPr>
        <w:t xml:space="preserve"> </w:t>
      </w:r>
      <w:r w:rsidR="0065361B">
        <w:rPr>
          <w:sz w:val="16"/>
          <w:szCs w:val="20"/>
        </w:rPr>
        <w:t xml:space="preserve">de </w:t>
      </w:r>
      <w:r w:rsidRPr="0065361B">
        <w:rPr>
          <w:sz w:val="16"/>
          <w:szCs w:val="20"/>
        </w:rPr>
        <w:t xml:space="preserve">Diez Poderes, quien </w:t>
      </w:r>
      <w:proofErr w:type="gramStart"/>
      <w:r w:rsidRPr="0065361B">
        <w:rPr>
          <w:sz w:val="16"/>
          <w:szCs w:val="20"/>
        </w:rPr>
        <w:t>todas las cosas v</w:t>
      </w:r>
      <w:r w:rsidR="0065361B">
        <w:rPr>
          <w:sz w:val="16"/>
          <w:szCs w:val="20"/>
        </w:rPr>
        <w:t>e</w:t>
      </w:r>
      <w:proofErr w:type="gramEnd"/>
      <w:r w:rsidRPr="0065361B">
        <w:rPr>
          <w:sz w:val="16"/>
          <w:szCs w:val="20"/>
        </w:rPr>
        <w:t>,</w:t>
      </w:r>
    </w:p>
    <w:p w14:paraId="29B5ED98" w14:textId="38EACB3E" w:rsidR="00F23381" w:rsidRPr="0065361B" w:rsidRDefault="00127161" w:rsidP="00F23381">
      <w:pPr>
        <w:pStyle w:val="VersoIngls01Sangria"/>
        <w:rPr>
          <w:sz w:val="16"/>
          <w:szCs w:val="20"/>
        </w:rPr>
      </w:pPr>
      <w:r>
        <w:rPr>
          <w:sz w:val="16"/>
          <w:szCs w:val="20"/>
        </w:rPr>
        <w:t>Ha enunciado</w:t>
      </w:r>
      <w:r w:rsidR="0065361B">
        <w:rPr>
          <w:sz w:val="16"/>
          <w:szCs w:val="20"/>
        </w:rPr>
        <w:t xml:space="preserve"> los</w:t>
      </w:r>
      <w:r w:rsidR="00F23381" w:rsidRPr="0065361B">
        <w:rPr>
          <w:sz w:val="16"/>
          <w:szCs w:val="20"/>
        </w:rPr>
        <w:t xml:space="preserve"> diez </w:t>
      </w:r>
      <w:proofErr w:type="spellStart"/>
      <w:r w:rsidR="00057BF4" w:rsidRPr="0065361B">
        <w:rPr>
          <w:i/>
          <w:iCs/>
          <w:sz w:val="16"/>
          <w:szCs w:val="20"/>
        </w:rPr>
        <w:t>kasiṇa</w:t>
      </w:r>
      <w:r w:rsidR="00F23381" w:rsidRPr="0065361B">
        <w:rPr>
          <w:i/>
          <w:iCs/>
          <w:sz w:val="16"/>
          <w:szCs w:val="20"/>
        </w:rPr>
        <w:t>s</w:t>
      </w:r>
      <w:proofErr w:type="spellEnd"/>
      <w:r w:rsidR="00F23381" w:rsidRPr="0065361B">
        <w:rPr>
          <w:sz w:val="16"/>
          <w:szCs w:val="20"/>
        </w:rPr>
        <w:t xml:space="preserve">, cada </w:t>
      </w:r>
      <w:proofErr w:type="spellStart"/>
      <w:r w:rsidR="00F23381" w:rsidRPr="0065361B">
        <w:rPr>
          <w:sz w:val="16"/>
          <w:szCs w:val="20"/>
        </w:rPr>
        <w:t>un</w:t>
      </w:r>
      <w:proofErr w:type="spellEnd"/>
      <w:r w:rsidR="00F23381" w:rsidRPr="0065361B">
        <w:rPr>
          <w:sz w:val="16"/>
          <w:szCs w:val="20"/>
        </w:rPr>
        <w:t xml:space="preserve"> de l</w:t>
      </w:r>
      <w:r w:rsidR="0065361B">
        <w:rPr>
          <w:sz w:val="16"/>
          <w:szCs w:val="20"/>
        </w:rPr>
        <w:t>o</w:t>
      </w:r>
      <w:r w:rsidR="00F23381" w:rsidRPr="0065361B">
        <w:rPr>
          <w:sz w:val="16"/>
          <w:szCs w:val="20"/>
        </w:rPr>
        <w:t xml:space="preserve">s cuales </w:t>
      </w:r>
      <w:r w:rsidR="0065361B">
        <w:rPr>
          <w:sz w:val="16"/>
          <w:szCs w:val="20"/>
        </w:rPr>
        <w:t>podrá convertirse en</w:t>
      </w:r>
    </w:p>
    <w:p w14:paraId="4368AA79" w14:textId="06E90F3F" w:rsidR="00F23381" w:rsidRPr="0065361B" w:rsidRDefault="00F23381" w:rsidP="00F23381">
      <w:pPr>
        <w:pStyle w:val="VersoIngls01Sangria"/>
        <w:rPr>
          <w:sz w:val="16"/>
          <w:szCs w:val="20"/>
        </w:rPr>
      </w:pPr>
      <w:r w:rsidRPr="0065361B">
        <w:rPr>
          <w:sz w:val="16"/>
          <w:szCs w:val="20"/>
        </w:rPr>
        <w:t>La causa de</w:t>
      </w:r>
      <w:r w:rsidR="0065361B">
        <w:rPr>
          <w:sz w:val="16"/>
          <w:szCs w:val="20"/>
        </w:rPr>
        <w:t>l</w:t>
      </w:r>
      <w:r w:rsidRPr="0065361B">
        <w:rPr>
          <w:sz w:val="16"/>
          <w:szCs w:val="20"/>
        </w:rPr>
        <w:t xml:space="preserve"> cuádruple y quíntuple</w:t>
      </w:r>
      <w:r w:rsidR="0065361B" w:rsidRPr="0065361B">
        <w:rPr>
          <w:i/>
          <w:iCs/>
          <w:sz w:val="16"/>
          <w:szCs w:val="20"/>
        </w:rPr>
        <w:t xml:space="preserve"> </w:t>
      </w:r>
      <w:proofErr w:type="spellStart"/>
      <w:r w:rsidR="0065361B" w:rsidRPr="0065361B">
        <w:rPr>
          <w:i/>
          <w:iCs/>
          <w:sz w:val="16"/>
          <w:szCs w:val="20"/>
        </w:rPr>
        <w:t>jhāna</w:t>
      </w:r>
      <w:proofErr w:type="spellEnd"/>
      <w:r w:rsidRPr="0065361B">
        <w:rPr>
          <w:sz w:val="16"/>
          <w:szCs w:val="20"/>
        </w:rPr>
        <w:t>,</w:t>
      </w:r>
    </w:p>
    <w:p w14:paraId="2160BE06" w14:textId="5BE59EF9" w:rsidR="00F23381" w:rsidRPr="0065361B" w:rsidRDefault="00F23381" w:rsidP="00F23381">
      <w:pPr>
        <w:pStyle w:val="VersoIngls01Sangria"/>
        <w:rPr>
          <w:sz w:val="16"/>
          <w:szCs w:val="20"/>
        </w:rPr>
      </w:pPr>
      <w:r w:rsidRPr="0065361B">
        <w:rPr>
          <w:sz w:val="16"/>
          <w:szCs w:val="20"/>
        </w:rPr>
        <w:t xml:space="preserve">La propia llave maestra de la esfera de la materia </w:t>
      </w:r>
      <w:r w:rsidR="0065361B">
        <w:rPr>
          <w:sz w:val="16"/>
          <w:szCs w:val="20"/>
        </w:rPr>
        <w:t>sutil</w:t>
      </w:r>
      <w:r w:rsidRPr="0065361B">
        <w:rPr>
          <w:sz w:val="16"/>
          <w:szCs w:val="20"/>
        </w:rPr>
        <w:t>.</w:t>
      </w:r>
    </w:p>
    <w:p w14:paraId="1766AC65" w14:textId="1DFA1D98" w:rsidR="00F23381" w:rsidRPr="0065361B" w:rsidRDefault="00F23381" w:rsidP="00F23381">
      <w:pPr>
        <w:pStyle w:val="VersoIngls01Sangria"/>
        <w:rPr>
          <w:sz w:val="16"/>
          <w:szCs w:val="20"/>
        </w:rPr>
      </w:pPr>
      <w:r w:rsidRPr="0065361B">
        <w:rPr>
          <w:sz w:val="16"/>
          <w:szCs w:val="20"/>
        </w:rPr>
        <w:t>Ahora</w:t>
      </w:r>
      <w:r w:rsidR="0065361B">
        <w:rPr>
          <w:sz w:val="16"/>
          <w:szCs w:val="20"/>
        </w:rPr>
        <w:t xml:space="preserve"> bien</w:t>
      </w:r>
      <w:r w:rsidRPr="0065361B">
        <w:rPr>
          <w:sz w:val="16"/>
          <w:szCs w:val="20"/>
        </w:rPr>
        <w:t>, conociendo sus descripciones y la forma</w:t>
      </w:r>
    </w:p>
    <w:p w14:paraId="58F06BB7" w14:textId="77777777" w:rsidR="00F23381" w:rsidRPr="0065361B" w:rsidRDefault="00F23381" w:rsidP="00F23381">
      <w:pPr>
        <w:pStyle w:val="VersoIngls01Sangria"/>
        <w:rPr>
          <w:sz w:val="16"/>
          <w:szCs w:val="20"/>
        </w:rPr>
      </w:pPr>
      <w:r w:rsidRPr="0065361B">
        <w:rPr>
          <w:sz w:val="16"/>
          <w:szCs w:val="20"/>
        </w:rPr>
        <w:t>Para abordar cada uno y cómo se desarrollan,</w:t>
      </w:r>
    </w:p>
    <w:p w14:paraId="1A614132" w14:textId="6B4EF844" w:rsidR="00F23381" w:rsidRPr="0065361B" w:rsidRDefault="00F23381" w:rsidP="00F23381">
      <w:pPr>
        <w:pStyle w:val="VersoIngls01Sangria"/>
        <w:rPr>
          <w:sz w:val="16"/>
          <w:szCs w:val="20"/>
        </w:rPr>
      </w:pPr>
      <w:r w:rsidRPr="0065361B">
        <w:rPr>
          <w:sz w:val="16"/>
          <w:szCs w:val="20"/>
        </w:rPr>
        <w:t>Ha</w:t>
      </w:r>
      <w:r w:rsidR="0065361B">
        <w:rPr>
          <w:sz w:val="16"/>
          <w:szCs w:val="20"/>
        </w:rPr>
        <w:t>brá</w:t>
      </w:r>
      <w:r w:rsidRPr="0065361B">
        <w:rPr>
          <w:sz w:val="16"/>
          <w:szCs w:val="20"/>
        </w:rPr>
        <w:t xml:space="preserve"> algunos puntos adicionales que compensarán</w:t>
      </w:r>
      <w:r w:rsidR="0065361B">
        <w:rPr>
          <w:sz w:val="16"/>
          <w:szCs w:val="20"/>
        </w:rPr>
        <w:t xml:space="preserve"> el</w:t>
      </w:r>
    </w:p>
    <w:p w14:paraId="200EDC5B" w14:textId="7566F61B" w:rsidR="00F23381" w:rsidRPr="0065361B" w:rsidRDefault="00F23381" w:rsidP="00F23381">
      <w:pPr>
        <w:pStyle w:val="VersoIngls01Sangria"/>
        <w:spacing w:after="100"/>
        <w:ind w:left="1418"/>
        <w:rPr>
          <w:sz w:val="16"/>
          <w:szCs w:val="20"/>
        </w:rPr>
      </w:pPr>
      <w:r w:rsidRPr="0065361B">
        <w:rPr>
          <w:sz w:val="16"/>
          <w:szCs w:val="20"/>
        </w:rPr>
        <w:t xml:space="preserve">Estudio, cada uno con su </w:t>
      </w:r>
      <w:r w:rsidR="00D0786A">
        <w:rPr>
          <w:sz w:val="16"/>
          <w:szCs w:val="20"/>
        </w:rPr>
        <w:t>aspecto</w:t>
      </w:r>
      <w:r w:rsidRPr="0065361B">
        <w:rPr>
          <w:sz w:val="16"/>
          <w:szCs w:val="20"/>
        </w:rPr>
        <w:t xml:space="preserve"> especial </w:t>
      </w:r>
      <w:r w:rsidR="00D0786A">
        <w:rPr>
          <w:sz w:val="16"/>
          <w:szCs w:val="20"/>
        </w:rPr>
        <w:t>a</w:t>
      </w:r>
      <w:r w:rsidRPr="0065361B">
        <w:rPr>
          <w:sz w:val="16"/>
          <w:szCs w:val="20"/>
        </w:rPr>
        <w:t xml:space="preserve"> desempeñar.</w:t>
      </w:r>
    </w:p>
    <w:p w14:paraId="75284395" w14:textId="19EB768E" w:rsidR="00F23381" w:rsidRDefault="00F23381" w:rsidP="00F23381">
      <w:r>
        <w:t xml:space="preserve">28. </w:t>
      </w:r>
      <w:r>
        <w:tab/>
        <w:t xml:space="preserve">De estos, el </w:t>
      </w:r>
      <w:proofErr w:type="spellStart"/>
      <w:r w:rsidR="00057BF4" w:rsidRPr="00057BF4">
        <w:rPr>
          <w:i/>
          <w:iCs/>
        </w:rPr>
        <w:t>kasiṇa</w:t>
      </w:r>
      <w:proofErr w:type="spellEnd"/>
      <w:r>
        <w:t xml:space="preserve"> tierra es la base para </w:t>
      </w:r>
      <w:r w:rsidR="0065361B">
        <w:t xml:space="preserve">los </w:t>
      </w:r>
      <w:r>
        <w:t xml:space="preserve">poderes tales como el estado descrito como "Habiendo sido uno, se </w:t>
      </w:r>
      <w:r w:rsidR="00A86C71">
        <w:t>convierte en</w:t>
      </w:r>
      <w:r>
        <w:t xml:space="preserve"> muchos" (D I 78), etc., y caminar, pararse o sentarse en el espacio o en el agua </w:t>
      </w:r>
      <w:r w:rsidR="004579FD">
        <w:t xml:space="preserve">creando </w:t>
      </w:r>
      <w:r>
        <w:t>la tierra y la adquisición de las bases del dominio (M II 13) por el método limitado e inconmensurable.</w:t>
      </w:r>
    </w:p>
    <w:p w14:paraId="46404D41" w14:textId="48E5AD82" w:rsidR="00F23381" w:rsidRDefault="00F23381" w:rsidP="00F23381">
      <w:r>
        <w:t xml:space="preserve">29. </w:t>
      </w:r>
      <w:r>
        <w:tab/>
        <w:t xml:space="preserve">El </w:t>
      </w:r>
      <w:proofErr w:type="spellStart"/>
      <w:r w:rsidR="00057BF4" w:rsidRPr="00057BF4">
        <w:rPr>
          <w:i/>
          <w:iCs/>
        </w:rPr>
        <w:t>kasiṇa</w:t>
      </w:r>
      <w:proofErr w:type="spellEnd"/>
      <w:r>
        <w:t xml:space="preserve"> </w:t>
      </w:r>
      <w:r w:rsidR="0065361B">
        <w:t xml:space="preserve">agua </w:t>
      </w:r>
      <w:r w:rsidR="00B07755">
        <w:t>corresponderá a</w:t>
      </w:r>
      <w:r>
        <w:t xml:space="preserve"> la base de </w:t>
      </w:r>
      <w:r w:rsidR="0065361B">
        <w:t xml:space="preserve">los </w:t>
      </w:r>
      <w:r>
        <w:t xml:space="preserve">poderes tales como sumergirse y </w:t>
      </w:r>
      <w:r w:rsidR="00B07755">
        <w:t>emerger</w:t>
      </w:r>
      <w:r>
        <w:t xml:space="preserve"> de la tierra (D I 78), causar lluvia</w:t>
      </w:r>
      <w:r w:rsidR="0065361B">
        <w:t>s</w:t>
      </w:r>
      <w:r>
        <w:t>, tormentas, crear ríos y mares, hacer temblar la tierra</w:t>
      </w:r>
      <w:r w:rsidR="00556B16">
        <w:t>,</w:t>
      </w:r>
      <w:r>
        <w:t xml:space="preserve"> las rocas y palacios (M I 253).</w:t>
      </w:r>
    </w:p>
    <w:p w14:paraId="64A0B9E8" w14:textId="0B46B649" w:rsidR="00F23381" w:rsidRPr="00F23381" w:rsidRDefault="00F23381" w:rsidP="00F23381">
      <w:pPr>
        <w:pStyle w:val="PiedepginaLegal"/>
        <w:rPr>
          <w:u w:val="single"/>
        </w:rPr>
      </w:pPr>
      <w:r w:rsidRPr="00F23381">
        <w:rPr>
          <w:u w:val="single"/>
        </w:rPr>
        <w:tab/>
      </w:r>
      <w:r w:rsidRPr="00F23381">
        <w:rPr>
          <w:u w:val="single"/>
        </w:rPr>
        <w:tab/>
      </w:r>
      <w:r w:rsidRPr="00F23381">
        <w:rPr>
          <w:u w:val="single"/>
        </w:rPr>
        <w:tab/>
      </w:r>
      <w:r w:rsidRPr="00F23381">
        <w:rPr>
          <w:u w:val="single"/>
        </w:rPr>
        <w:tab/>
        <w:t>.</w:t>
      </w:r>
    </w:p>
    <w:p w14:paraId="1C325592" w14:textId="09C970B6" w:rsidR="00F23381" w:rsidRDefault="00F23381" w:rsidP="00F23381">
      <w:pPr>
        <w:pStyle w:val="PiedepginaLegal"/>
      </w:pPr>
      <w:r>
        <w:t xml:space="preserve"> 5. </w:t>
      </w:r>
      <w:r>
        <w:tab/>
        <w:t xml:space="preserve">En los </w:t>
      </w:r>
      <w:r w:rsidRPr="0065361B">
        <w:rPr>
          <w:i/>
          <w:iCs/>
        </w:rPr>
        <w:t>Suttas</w:t>
      </w:r>
      <w:r>
        <w:t xml:space="preserve">, los primeros ocho </w:t>
      </w:r>
      <w:proofErr w:type="spellStart"/>
      <w:r w:rsidR="00057BF4" w:rsidRPr="00057BF4">
        <w:rPr>
          <w:i/>
          <w:iCs/>
        </w:rPr>
        <w:t>kasiṇa</w:t>
      </w:r>
      <w:r w:rsidRPr="000B7DEA">
        <w:rPr>
          <w:i/>
          <w:iCs/>
        </w:rPr>
        <w:t>s</w:t>
      </w:r>
      <w:proofErr w:type="spellEnd"/>
      <w:r>
        <w:t xml:space="preserve"> son los mismos que se dan aquí, y son los únicos mencionados en el </w:t>
      </w:r>
      <w:proofErr w:type="spellStart"/>
      <w:r w:rsidR="00057BF4" w:rsidRPr="00057BF4">
        <w:rPr>
          <w:i/>
          <w:iCs/>
        </w:rPr>
        <w:t>Dhamma</w:t>
      </w:r>
      <w:r w:rsidRPr="000B7DEA">
        <w:rPr>
          <w:i/>
          <w:iCs/>
        </w:rPr>
        <w:t>saṅgaṇī</w:t>
      </w:r>
      <w:proofErr w:type="spellEnd"/>
      <w:r>
        <w:t xml:space="preserve"> (§160–203) y</w:t>
      </w:r>
      <w:r w:rsidR="0065361B">
        <w:t xml:space="preserve"> en el</w:t>
      </w:r>
      <w:r>
        <w:t xml:space="preserve"> </w:t>
      </w:r>
      <w:proofErr w:type="spellStart"/>
      <w:r w:rsidRPr="000B7DEA">
        <w:rPr>
          <w:i/>
          <w:iCs/>
        </w:rPr>
        <w:t>Paṭisambhidā</w:t>
      </w:r>
      <w:proofErr w:type="spellEnd"/>
      <w:r>
        <w:t xml:space="preserve"> (</w:t>
      </w:r>
      <w:proofErr w:type="spellStart"/>
      <w:r w:rsidRPr="000B7DEA">
        <w:rPr>
          <w:i/>
          <w:iCs/>
        </w:rPr>
        <w:t>Paṭis</w:t>
      </w:r>
      <w:proofErr w:type="spellEnd"/>
      <w:r>
        <w:t xml:space="preserve"> I 6). Los </w:t>
      </w:r>
      <w:r w:rsidRPr="0065361B">
        <w:rPr>
          <w:i/>
          <w:iCs/>
        </w:rPr>
        <w:t>Suttas</w:t>
      </w:r>
      <w:r>
        <w:t xml:space="preserve"> </w:t>
      </w:r>
      <w:r w:rsidR="0065361B">
        <w:t xml:space="preserve">le </w:t>
      </w:r>
      <w:r>
        <w:t xml:space="preserve">dan </w:t>
      </w:r>
      <w:r w:rsidR="0065361B">
        <w:t>a</w:t>
      </w:r>
      <w:r>
        <w:t xml:space="preserve">l espacio y </w:t>
      </w:r>
      <w:r w:rsidR="0065361B">
        <w:t xml:space="preserve">a </w:t>
      </w:r>
      <w:r>
        <w:t>la con</w:t>
      </w:r>
      <w:r w:rsidR="0065361B">
        <w:t>s</w:t>
      </w:r>
      <w:r>
        <w:t xml:space="preserve">ciencia como noveno y décimo </w:t>
      </w:r>
      <w:proofErr w:type="spellStart"/>
      <w:r w:rsidR="00D43961">
        <w:rPr>
          <w:i/>
          <w:iCs/>
        </w:rPr>
        <w:t>kasiṇa</w:t>
      </w:r>
      <w:proofErr w:type="spellEnd"/>
      <w:r w:rsidR="00D43961">
        <w:rPr>
          <w:i/>
          <w:iCs/>
        </w:rPr>
        <w:t xml:space="preserve">, </w:t>
      </w:r>
      <w:r>
        <w:t xml:space="preserve">respectivamente (M II 14–15; D III 268; </w:t>
      </w:r>
      <w:proofErr w:type="spellStart"/>
      <w:r w:rsidRPr="000B7DEA">
        <w:rPr>
          <w:i/>
          <w:iCs/>
        </w:rPr>
        <w:t>Netti</w:t>
      </w:r>
      <w:proofErr w:type="spellEnd"/>
      <w:r>
        <w:t xml:space="preserve"> 89, etc.). </w:t>
      </w:r>
      <w:r w:rsidR="0065361B">
        <w:t xml:space="preserve">No obstante, </w:t>
      </w:r>
      <w:r>
        <w:t xml:space="preserve">estos dos últimos parecen coincidir con los dos primeros estados inmateriales, es decir, </w:t>
      </w:r>
      <w:r w:rsidR="00D43961">
        <w:t xml:space="preserve">con </w:t>
      </w:r>
      <w:r>
        <w:t xml:space="preserve">el </w:t>
      </w:r>
      <w:r w:rsidR="00D43961">
        <w:t xml:space="preserve">estado del </w:t>
      </w:r>
      <w:r>
        <w:t xml:space="preserve">espacio ilimitado y </w:t>
      </w:r>
      <w:r w:rsidR="00DC002E">
        <w:t xml:space="preserve">de </w:t>
      </w:r>
      <w:r>
        <w:t xml:space="preserve">la </w:t>
      </w:r>
      <w:r w:rsidR="00305E12">
        <w:t>consciencia</w:t>
      </w:r>
      <w:r>
        <w:t xml:space="preserve"> ilimitada. El </w:t>
      </w:r>
      <w:proofErr w:type="spellStart"/>
      <w:r w:rsidR="00057BF4" w:rsidRPr="00057BF4">
        <w:rPr>
          <w:i/>
          <w:iCs/>
        </w:rPr>
        <w:t>kasiṇa</w:t>
      </w:r>
      <w:proofErr w:type="spellEnd"/>
      <w:r>
        <w:t xml:space="preserve"> </w:t>
      </w:r>
      <w:r w:rsidR="00DC002E">
        <w:t>luz</w:t>
      </w:r>
      <w:r>
        <w:t xml:space="preserve"> </w:t>
      </w:r>
      <w:r w:rsidR="00DC002E">
        <w:t>proporcionado</w:t>
      </w:r>
      <w:r>
        <w:t xml:space="preserve"> aquí como noveno no aparece en los </w:t>
      </w:r>
      <w:r w:rsidRPr="0065361B">
        <w:rPr>
          <w:i/>
          <w:iCs/>
        </w:rPr>
        <w:t>Suttas</w:t>
      </w:r>
      <w:r>
        <w:t xml:space="preserve">. </w:t>
      </w:r>
      <w:r w:rsidR="0065361B">
        <w:t>Puede ser</w:t>
      </w:r>
      <w:r>
        <w:t xml:space="preserve"> quizás un desarrollo de la “percepción de la luz” (</w:t>
      </w:r>
      <w:proofErr w:type="spellStart"/>
      <w:r w:rsidRPr="000B7DEA">
        <w:rPr>
          <w:i/>
          <w:iCs/>
        </w:rPr>
        <w:t>āloka-</w:t>
      </w:r>
      <w:r w:rsidR="00057BF4" w:rsidRPr="00057BF4">
        <w:rPr>
          <w:i/>
          <w:iCs/>
        </w:rPr>
        <w:t>saññā</w:t>
      </w:r>
      <w:proofErr w:type="spellEnd"/>
      <w:r>
        <w:t xml:space="preserve">) (A II 45). El </w:t>
      </w:r>
      <w:proofErr w:type="spellStart"/>
      <w:r w:rsidR="00057BF4" w:rsidRPr="00057BF4">
        <w:rPr>
          <w:i/>
          <w:iCs/>
        </w:rPr>
        <w:t>kasiṇa</w:t>
      </w:r>
      <w:proofErr w:type="spellEnd"/>
      <w:r>
        <w:t xml:space="preserve"> de</w:t>
      </w:r>
      <w:r w:rsidR="005D1B65">
        <w:t>l</w:t>
      </w:r>
      <w:r>
        <w:t xml:space="preserve"> espacio limitado dado aquí como </w:t>
      </w:r>
      <w:r w:rsidR="005D1B65">
        <w:t xml:space="preserve">el </w:t>
      </w:r>
      <w:r>
        <w:t xml:space="preserve">décimo </w:t>
      </w:r>
      <w:proofErr w:type="spellStart"/>
      <w:r w:rsidR="005D1B65">
        <w:rPr>
          <w:i/>
          <w:iCs/>
        </w:rPr>
        <w:t>kasiṇa</w:t>
      </w:r>
      <w:proofErr w:type="spellEnd"/>
      <w:r w:rsidR="005D1B65">
        <w:rPr>
          <w:i/>
          <w:iCs/>
        </w:rPr>
        <w:t xml:space="preserve"> </w:t>
      </w:r>
      <w:r>
        <w:t xml:space="preserve">quizás se haya hecho "limitado" para diferenciarlo del primer estado inmaterial. El comentario sobre </w:t>
      </w:r>
      <w:r w:rsidR="0065361B">
        <w:t>e</w:t>
      </w:r>
      <w:r>
        <w:t xml:space="preserve">l </w:t>
      </w:r>
      <w:proofErr w:type="spellStart"/>
      <w:r w:rsidR="00057BF4" w:rsidRPr="00057BF4">
        <w:rPr>
          <w:i/>
          <w:iCs/>
        </w:rPr>
        <w:t>kasiṇa</w:t>
      </w:r>
      <w:proofErr w:type="spellEnd"/>
      <w:r>
        <w:t xml:space="preserve"> </w:t>
      </w:r>
      <w:r w:rsidR="0065361B">
        <w:t xml:space="preserve">consciencia </w:t>
      </w:r>
      <w:r>
        <w:t xml:space="preserve">(M-a III 261) no dice nada </w:t>
      </w:r>
      <w:r w:rsidR="0065361B">
        <w:t>al</w:t>
      </w:r>
      <w:r>
        <w:t xml:space="preserve"> aspecto. En cuanto al espacio, </w:t>
      </w:r>
      <w:proofErr w:type="spellStart"/>
      <w:r>
        <w:t>Vism-mh</w:t>
      </w:r>
      <w:r w:rsidR="00880CBF">
        <w:t>ṭ</w:t>
      </w:r>
      <w:proofErr w:type="spellEnd"/>
      <w:r>
        <w:t xml:space="preserve"> (p. 373) dice: “El logro de los estados inmateriales no se produce por medio del </w:t>
      </w:r>
      <w:proofErr w:type="spellStart"/>
      <w:r w:rsidR="00057BF4" w:rsidRPr="00057BF4">
        <w:rPr>
          <w:i/>
          <w:iCs/>
        </w:rPr>
        <w:t>kasiṇa</w:t>
      </w:r>
      <w:proofErr w:type="spellEnd"/>
      <w:r w:rsidR="0065361B" w:rsidRPr="0065361B">
        <w:t xml:space="preserve"> </w:t>
      </w:r>
      <w:r w:rsidR="0065361B">
        <w:t>espacio</w:t>
      </w:r>
      <w:r>
        <w:t xml:space="preserve">, y con las palabras 'terminando con el </w:t>
      </w:r>
      <w:proofErr w:type="spellStart"/>
      <w:r w:rsidR="00057BF4" w:rsidRPr="00057BF4">
        <w:rPr>
          <w:i/>
          <w:iCs/>
        </w:rPr>
        <w:t>kasiṇa</w:t>
      </w:r>
      <w:proofErr w:type="spellEnd"/>
      <w:r>
        <w:t xml:space="preserve"> blanco' (XXI.2) el </w:t>
      </w:r>
      <w:proofErr w:type="spellStart"/>
      <w:r w:rsidR="00057BF4" w:rsidRPr="00057BF4">
        <w:rPr>
          <w:i/>
          <w:iCs/>
        </w:rPr>
        <w:t>kasiṇa</w:t>
      </w:r>
      <w:proofErr w:type="spellEnd"/>
      <w:r>
        <w:t xml:space="preserve"> luz está incluido en el </w:t>
      </w:r>
      <w:proofErr w:type="spellStart"/>
      <w:r w:rsidR="00057BF4" w:rsidRPr="00057BF4">
        <w:rPr>
          <w:i/>
          <w:iCs/>
        </w:rPr>
        <w:t>kasiṇa</w:t>
      </w:r>
      <w:proofErr w:type="spellEnd"/>
      <w:r>
        <w:t xml:space="preserve"> blanco”</w:t>
      </w:r>
      <w:r w:rsidR="0065361B">
        <w:t>.</w:t>
      </w:r>
      <w:r>
        <w:t xml:space="preserve"> Para una descripción del espacio (</w:t>
      </w:r>
      <w:proofErr w:type="spellStart"/>
      <w:r w:rsidRPr="000B7DEA">
        <w:rPr>
          <w:i/>
          <w:iCs/>
        </w:rPr>
        <w:t>ākāsa</w:t>
      </w:r>
      <w:proofErr w:type="spellEnd"/>
      <w:r>
        <w:t xml:space="preserve">) véase </w:t>
      </w:r>
      <w:proofErr w:type="spellStart"/>
      <w:r>
        <w:t>Dhs</w:t>
      </w:r>
      <w:proofErr w:type="spellEnd"/>
      <w:r>
        <w:t xml:space="preserve">-a 325, </w:t>
      </w:r>
      <w:proofErr w:type="spellStart"/>
      <w:r w:rsidRPr="000B7DEA">
        <w:rPr>
          <w:i/>
          <w:iCs/>
        </w:rPr>
        <w:t>Netti</w:t>
      </w:r>
      <w:proofErr w:type="spellEnd"/>
      <w:r>
        <w:t xml:space="preserve"> 29. </w:t>
      </w:r>
      <w:r w:rsidR="0065133C">
        <w:t xml:space="preserve">El </w:t>
      </w:r>
      <w:proofErr w:type="spellStart"/>
      <w:r>
        <w:t>Vism-mhṭ</w:t>
      </w:r>
      <w:proofErr w:type="spellEnd"/>
      <w:r>
        <w:t xml:space="preserve"> (pág. 393) </w:t>
      </w:r>
      <w:r w:rsidR="0065133C">
        <w:t xml:space="preserve">también </w:t>
      </w:r>
      <w:r>
        <w:t xml:space="preserve">define el espacio así: “Dondequiera que no haya obstrucción, </w:t>
      </w:r>
      <w:r w:rsidR="0065361B">
        <w:t xml:space="preserve">a </w:t>
      </w:r>
      <w:r>
        <w:t xml:space="preserve">eso se </w:t>
      </w:r>
      <w:r w:rsidR="0065361B">
        <w:t xml:space="preserve">le </w:t>
      </w:r>
      <w:r>
        <w:t>llama</w:t>
      </w:r>
      <w:r w:rsidR="0065133C">
        <w:t>rá</w:t>
      </w:r>
      <w:r>
        <w:t xml:space="preserve"> espacio”. Nuevamente, </w:t>
      </w:r>
      <w:r w:rsidR="0065133C">
        <w:t xml:space="preserve">el </w:t>
      </w:r>
      <w:proofErr w:type="spellStart"/>
      <w:r w:rsidRPr="000B7DEA">
        <w:rPr>
          <w:i/>
          <w:iCs/>
        </w:rPr>
        <w:t>Majjhima</w:t>
      </w:r>
      <w:proofErr w:type="spellEnd"/>
      <w:r w:rsidRPr="000B7DEA">
        <w:rPr>
          <w:i/>
          <w:iCs/>
        </w:rPr>
        <w:t xml:space="preserve"> Nikāya </w:t>
      </w:r>
      <w:proofErr w:type="spellStart"/>
      <w:r w:rsidRPr="000B7DEA">
        <w:rPr>
          <w:i/>
          <w:iCs/>
        </w:rPr>
        <w:t>Ṭīkā</w:t>
      </w:r>
      <w:proofErr w:type="spellEnd"/>
      <w:r>
        <w:t xml:space="preserve"> (comentando sobre </w:t>
      </w:r>
      <w:r w:rsidR="0065133C">
        <w:t>e</w:t>
      </w:r>
      <w:r w:rsidR="002E3448">
        <w:t xml:space="preserve">l </w:t>
      </w:r>
      <w:r>
        <w:t>MN 106) comenta: “</w:t>
      </w:r>
      <w:r w:rsidR="0065361B">
        <w:t>A lo</w:t>
      </w:r>
      <w:r>
        <w:t xml:space="preserve">s </w:t>
      </w:r>
      <w:r w:rsidR="007831DD">
        <w:t>deseos sensoriales</w:t>
      </w:r>
      <w:r>
        <w:t xml:space="preserve"> no se </w:t>
      </w:r>
      <w:r w:rsidR="0065361B">
        <w:t xml:space="preserve">le </w:t>
      </w:r>
      <w:r>
        <w:t>llama vacío (</w:t>
      </w:r>
      <w:proofErr w:type="spellStart"/>
      <w:r w:rsidRPr="000B7DEA">
        <w:rPr>
          <w:i/>
          <w:iCs/>
        </w:rPr>
        <w:t>ritta</w:t>
      </w:r>
      <w:proofErr w:type="spellEnd"/>
      <w:r>
        <w:t xml:space="preserve">) en el sentido de que </w:t>
      </w:r>
      <w:r w:rsidR="0065361B">
        <w:t>a</w:t>
      </w:r>
      <w:r>
        <w:t xml:space="preserve">l espacio, que está completamente desprovisto de esencia individual, se </w:t>
      </w:r>
      <w:r w:rsidR="0065361B">
        <w:t xml:space="preserve">le </w:t>
      </w:r>
      <w:r>
        <w:t>llama vacío”.</w:t>
      </w:r>
    </w:p>
    <w:p w14:paraId="7B991271" w14:textId="77777777" w:rsidR="00F23381" w:rsidRDefault="00F23381">
      <w:pPr>
        <w:tabs>
          <w:tab w:val="clear" w:pos="425"/>
        </w:tabs>
        <w:spacing w:after="160"/>
      </w:pPr>
      <w:r>
        <w:br w:type="page"/>
      </w:r>
    </w:p>
    <w:p w14:paraId="61B4B54D" w14:textId="77777777" w:rsidR="008C19B7" w:rsidRDefault="008C19B7" w:rsidP="00F23381"/>
    <w:p w14:paraId="64722433" w14:textId="1B9B9792" w:rsidR="008C19B7" w:rsidRDefault="008C19B7" w:rsidP="008C19B7">
      <w:r>
        <w:t xml:space="preserve">30. </w:t>
      </w:r>
      <w:r>
        <w:tab/>
        <w:t xml:space="preserve">El </w:t>
      </w:r>
      <w:proofErr w:type="spellStart"/>
      <w:r w:rsidR="00057BF4" w:rsidRPr="00057BF4">
        <w:rPr>
          <w:i/>
          <w:iCs/>
        </w:rPr>
        <w:t>kasiṇa</w:t>
      </w:r>
      <w:proofErr w:type="spellEnd"/>
      <w:r>
        <w:t xml:space="preserve"> </w:t>
      </w:r>
      <w:r w:rsidR="0065361B">
        <w:t xml:space="preserve">fuego </w:t>
      </w:r>
      <w:r>
        <w:t xml:space="preserve">es la base de poderes tales como </w:t>
      </w:r>
      <w:r w:rsidR="00CD3653">
        <w:t>emitir humos</w:t>
      </w:r>
      <w:r>
        <w:t>, arder, provocar lluvias de chispas, contrarrestar el fuego con fuego, la capacidad de quemar solo lo que uno quier</w:t>
      </w:r>
      <w:r w:rsidR="0065361B">
        <w:t>a</w:t>
      </w:r>
      <w:r>
        <w:t xml:space="preserve"> quemar (S IV 290), [176] causar luz con el propósito de </w:t>
      </w:r>
      <w:r w:rsidR="0065361B">
        <w:t>ver</w:t>
      </w:r>
      <w:r>
        <w:t xml:space="preserve"> objetos visibles con el ojo divino, quema</w:t>
      </w:r>
      <w:r w:rsidR="00CD3653">
        <w:t>r</w:t>
      </w:r>
      <w:r>
        <w:t xml:space="preserve"> el cuerpo por medio del elemento fuego en el momento de </w:t>
      </w:r>
      <w:r w:rsidR="008544B1">
        <w:t xml:space="preserve">consumar </w:t>
      </w:r>
      <w:r w:rsidR="0065361B">
        <w:t xml:space="preserve">el </w:t>
      </w:r>
      <w:r w:rsidRPr="0065361B">
        <w:rPr>
          <w:i/>
          <w:iCs/>
        </w:rPr>
        <w:t>Nibbāna</w:t>
      </w:r>
      <w:r>
        <w:t xml:space="preserve"> (M-a IV 196).</w:t>
      </w:r>
    </w:p>
    <w:p w14:paraId="09E3B1FD" w14:textId="2787D0A9" w:rsidR="008C19B7" w:rsidRDefault="008C19B7" w:rsidP="008C19B7">
      <w:r>
        <w:t xml:space="preserve">31. </w:t>
      </w:r>
      <w:r>
        <w:tab/>
        <w:t xml:space="preserve">El </w:t>
      </w:r>
      <w:proofErr w:type="spellStart"/>
      <w:r w:rsidR="00057BF4" w:rsidRPr="00057BF4">
        <w:rPr>
          <w:i/>
          <w:iCs/>
        </w:rPr>
        <w:t>kasiṇa</w:t>
      </w:r>
      <w:proofErr w:type="spellEnd"/>
      <w:r>
        <w:t xml:space="preserve"> </w:t>
      </w:r>
      <w:r w:rsidR="0065361B">
        <w:t xml:space="preserve">aire </w:t>
      </w:r>
      <w:r>
        <w:t xml:space="preserve">es la base de poderes tales como ir </w:t>
      </w:r>
      <w:r w:rsidR="0065361B">
        <w:t>a</w:t>
      </w:r>
      <w:r>
        <w:t xml:space="preserve"> la velocidad del viento, causando tormentas de viento.</w:t>
      </w:r>
    </w:p>
    <w:p w14:paraId="7F2FFB3E" w14:textId="4A6CDD80" w:rsidR="008C19B7" w:rsidRDefault="008C19B7" w:rsidP="008C19B7">
      <w:r>
        <w:t xml:space="preserve">32. </w:t>
      </w:r>
      <w:r>
        <w:tab/>
        <w:t xml:space="preserve">El </w:t>
      </w:r>
      <w:proofErr w:type="spellStart"/>
      <w:r w:rsidR="00057BF4" w:rsidRPr="00057BF4">
        <w:rPr>
          <w:i/>
          <w:iCs/>
        </w:rPr>
        <w:t>kasiṇa</w:t>
      </w:r>
      <w:proofErr w:type="spellEnd"/>
      <w:r>
        <w:t xml:space="preserve"> azul </w:t>
      </w:r>
      <w:r w:rsidR="000F5C6B">
        <w:t xml:space="preserve">será </w:t>
      </w:r>
      <w:r>
        <w:t xml:space="preserve">la base de poderes tales como la creación de </w:t>
      </w:r>
      <w:r w:rsidR="00552903">
        <w:t xml:space="preserve">figuras </w:t>
      </w:r>
      <w:r>
        <w:t xml:space="preserve">negras, de </w:t>
      </w:r>
      <w:r w:rsidR="0065361B">
        <w:t xml:space="preserve">la </w:t>
      </w:r>
      <w:r>
        <w:t xml:space="preserve">oscuridad, la adquisición de las bases del </w:t>
      </w:r>
      <w:r w:rsidR="000F5C6B">
        <w:t xml:space="preserve">dominio </w:t>
      </w:r>
      <w:r>
        <w:t>mediante el método de l</w:t>
      </w:r>
      <w:r w:rsidR="008B1390">
        <w:t>a</w:t>
      </w:r>
      <w:r w:rsidR="00FE06CF">
        <w:t xml:space="preserve"> </w:t>
      </w:r>
      <w:r w:rsidR="008B1390">
        <w:t>belleza</w:t>
      </w:r>
      <w:r w:rsidR="00FE06CF">
        <w:t xml:space="preserve"> </w:t>
      </w:r>
      <w:r>
        <w:t>y l</w:t>
      </w:r>
      <w:r w:rsidR="00514051">
        <w:t>a</w:t>
      </w:r>
      <w:r>
        <w:t xml:space="preserve"> </w:t>
      </w:r>
      <w:r w:rsidR="00633F7B">
        <w:t>fe</w:t>
      </w:r>
      <w:r w:rsidR="00514051">
        <w:t>aldad</w:t>
      </w:r>
      <w:r>
        <w:t xml:space="preserve">, y </w:t>
      </w:r>
      <w:r w:rsidR="00645512">
        <w:t xml:space="preserve">la consumación </w:t>
      </w:r>
      <w:r>
        <w:t>de la liberación mediante la belleza (ver M II 12)</w:t>
      </w:r>
    </w:p>
    <w:p w14:paraId="6EC66C89" w14:textId="7488E90A" w:rsidR="008C19B7" w:rsidRDefault="008C19B7" w:rsidP="008C19B7">
      <w:r>
        <w:t xml:space="preserve">33. </w:t>
      </w:r>
      <w:r>
        <w:tab/>
        <w:t xml:space="preserve">El </w:t>
      </w:r>
      <w:proofErr w:type="spellStart"/>
      <w:r w:rsidR="00057BF4" w:rsidRPr="00057BF4">
        <w:rPr>
          <w:i/>
          <w:iCs/>
        </w:rPr>
        <w:t>kasiṇa</w:t>
      </w:r>
      <w:proofErr w:type="spellEnd"/>
      <w:r>
        <w:t xml:space="preserve"> amarillo es la base de poderes tales como la creación de </w:t>
      </w:r>
      <w:r w:rsidR="004E4F22">
        <w:t xml:space="preserve">figuras </w:t>
      </w:r>
      <w:r>
        <w:t>amarillas, la resolución de que algo sea dorado (S I 116), la adquisición de las bases de la maestría en la forma indicada y el logro de la liberación por medio de l</w:t>
      </w:r>
      <w:r w:rsidR="0065361B">
        <w:t>a</w:t>
      </w:r>
      <w:r>
        <w:t xml:space="preserve"> bell</w:t>
      </w:r>
      <w:r w:rsidR="0065361B">
        <w:t>eza</w:t>
      </w:r>
      <w:r>
        <w:t>.</w:t>
      </w:r>
    </w:p>
    <w:p w14:paraId="4D3EBD14" w14:textId="1F36E6FA" w:rsidR="008C19B7" w:rsidRDefault="008C19B7" w:rsidP="008C19B7">
      <w:r>
        <w:t xml:space="preserve">34. </w:t>
      </w:r>
      <w:r>
        <w:tab/>
        <w:t xml:space="preserve">El </w:t>
      </w:r>
      <w:proofErr w:type="spellStart"/>
      <w:r w:rsidR="00057BF4" w:rsidRPr="00057BF4">
        <w:rPr>
          <w:i/>
          <w:iCs/>
        </w:rPr>
        <w:t>kasiṇa</w:t>
      </w:r>
      <w:proofErr w:type="spellEnd"/>
      <w:r>
        <w:t xml:space="preserve"> rojo es la base de poderes tales como la creación de </w:t>
      </w:r>
      <w:r w:rsidR="004E4F22">
        <w:t xml:space="preserve">figuras </w:t>
      </w:r>
      <w:r>
        <w:t xml:space="preserve">rojas, la adquisición de las bases del dominio en la forma indicada y el logro de la liberación por medio de </w:t>
      </w:r>
      <w:r w:rsidR="0065361B">
        <w:t>la belleza</w:t>
      </w:r>
      <w:r>
        <w:t>.</w:t>
      </w:r>
    </w:p>
    <w:p w14:paraId="7AE88519" w14:textId="525EAF84" w:rsidR="008C19B7" w:rsidRDefault="008C19B7" w:rsidP="008C19B7">
      <w:r>
        <w:t xml:space="preserve">35. </w:t>
      </w:r>
      <w:r>
        <w:tab/>
        <w:t xml:space="preserve">El </w:t>
      </w:r>
      <w:proofErr w:type="spellStart"/>
      <w:r w:rsidR="00057BF4" w:rsidRPr="00057BF4">
        <w:rPr>
          <w:i/>
          <w:iCs/>
        </w:rPr>
        <w:t>kasiṇa</w:t>
      </w:r>
      <w:proofErr w:type="spellEnd"/>
      <w:r>
        <w:t xml:space="preserve"> blanco es la base de poderes tales como crear </w:t>
      </w:r>
      <w:r w:rsidR="00597F3B">
        <w:t xml:space="preserve">figuras </w:t>
      </w:r>
      <w:r>
        <w:t xml:space="preserve">blancas, </w:t>
      </w:r>
      <w:r w:rsidR="0065361B">
        <w:t xml:space="preserve">disipar </w:t>
      </w:r>
      <w:r>
        <w:t xml:space="preserve">la </w:t>
      </w:r>
      <w:r w:rsidR="00C07B7E">
        <w:t>pereza</w:t>
      </w:r>
      <w:r w:rsidR="00C07B7E">
        <w:rPr>
          <w:rFonts w:cs="Cormorant"/>
        </w:rPr>
        <w:t>‒</w:t>
      </w:r>
      <w:r w:rsidR="00C07B7E">
        <w:t>y</w:t>
      </w:r>
      <w:r w:rsidR="00C07B7E">
        <w:rPr>
          <w:rFonts w:cs="Cormorant"/>
        </w:rPr>
        <w:t>‒</w:t>
      </w:r>
      <w:r w:rsidR="00C07B7E">
        <w:t>letargo</w:t>
      </w:r>
      <w:r>
        <w:t xml:space="preserve">, disipar </w:t>
      </w:r>
      <w:r w:rsidR="003C0296">
        <w:t xml:space="preserve">la </w:t>
      </w:r>
      <w:r>
        <w:t>oscuridad, generar luz con el fin de ver objetos visibles con el ojo divino.</w:t>
      </w:r>
    </w:p>
    <w:p w14:paraId="4547124F" w14:textId="4A124F1D" w:rsidR="008C19B7" w:rsidRDefault="008C19B7" w:rsidP="008C19B7">
      <w:r>
        <w:t xml:space="preserve">36. </w:t>
      </w:r>
      <w:r>
        <w:tab/>
      </w:r>
      <w:r w:rsidR="0065361B">
        <w:t>El</w:t>
      </w:r>
      <w:r>
        <w:t xml:space="preserve"> </w:t>
      </w:r>
      <w:proofErr w:type="spellStart"/>
      <w:r w:rsidR="00057BF4" w:rsidRPr="00057BF4">
        <w:rPr>
          <w:i/>
          <w:iCs/>
        </w:rPr>
        <w:t>kasiṇa</w:t>
      </w:r>
      <w:proofErr w:type="spellEnd"/>
      <w:r>
        <w:t xml:space="preserve"> </w:t>
      </w:r>
      <w:r w:rsidR="0065361B">
        <w:t xml:space="preserve">luz </w:t>
      </w:r>
      <w:r>
        <w:t xml:space="preserve">es la base de poderes tales como crear </w:t>
      </w:r>
      <w:r w:rsidR="003C0296">
        <w:t xml:space="preserve">figuras </w:t>
      </w:r>
      <w:r>
        <w:t xml:space="preserve">luminosas, disipar la rigidez y el letargo, disipar </w:t>
      </w:r>
      <w:r w:rsidR="003C0296">
        <w:t xml:space="preserve">la </w:t>
      </w:r>
      <w:r>
        <w:t xml:space="preserve">oscuridad, generar luz con el </w:t>
      </w:r>
      <w:r w:rsidR="0065361B">
        <w:t xml:space="preserve">fin </w:t>
      </w:r>
      <w:r>
        <w:t>de ver objetos visibles con el ojo divino.</w:t>
      </w:r>
    </w:p>
    <w:p w14:paraId="52962ED9" w14:textId="519CD215" w:rsidR="008C19B7" w:rsidRDefault="008C19B7" w:rsidP="008C19B7">
      <w:r>
        <w:t xml:space="preserve">37. </w:t>
      </w:r>
      <w:r>
        <w:tab/>
        <w:t xml:space="preserve">El </w:t>
      </w:r>
      <w:proofErr w:type="spellStart"/>
      <w:r w:rsidR="00057BF4" w:rsidRPr="00057BF4">
        <w:rPr>
          <w:i/>
          <w:iCs/>
        </w:rPr>
        <w:t>kasiṇa</w:t>
      </w:r>
      <w:proofErr w:type="spellEnd"/>
      <w:r>
        <w:t xml:space="preserve"> </w:t>
      </w:r>
      <w:r w:rsidR="0065361B">
        <w:t xml:space="preserve">espacio </w:t>
      </w:r>
      <w:r>
        <w:t>es la base de poderes tales como revelar lo oculto, mantener posturas dentro de la tierra y las rocas creando espacio dentro de ellas, viajar sin obstáculos a través de las paredes, etc.</w:t>
      </w:r>
    </w:p>
    <w:p w14:paraId="669025FA" w14:textId="79A35C29" w:rsidR="008C19B7" w:rsidRDefault="008C19B7" w:rsidP="008C19B7">
      <w:r>
        <w:t xml:space="preserve">38. </w:t>
      </w:r>
      <w:r>
        <w:tab/>
        <w:t>La clasificación “arriba, abajo, alrededor, exclusiv</w:t>
      </w:r>
      <w:r w:rsidR="0065361B">
        <w:t>amente</w:t>
      </w:r>
      <w:r>
        <w:t xml:space="preserve">, </w:t>
      </w:r>
      <w:r w:rsidR="0065361B">
        <w:t>inmensurablemente</w:t>
      </w:r>
      <w:r>
        <w:t xml:space="preserve">” se aplica a todos los </w:t>
      </w:r>
      <w:proofErr w:type="spellStart"/>
      <w:r w:rsidR="00057BF4" w:rsidRPr="00057BF4">
        <w:rPr>
          <w:i/>
          <w:iCs/>
        </w:rPr>
        <w:t>kasiṇa</w:t>
      </w:r>
      <w:r w:rsidRPr="000B7DEA">
        <w:rPr>
          <w:i/>
          <w:iCs/>
        </w:rPr>
        <w:t>s</w:t>
      </w:r>
      <w:proofErr w:type="spellEnd"/>
      <w:r>
        <w:t xml:space="preserve">; pues esto se dice: “Él percibe </w:t>
      </w:r>
      <w:r w:rsidR="0065361B">
        <w:t>e</w:t>
      </w:r>
      <w:r>
        <w:t xml:space="preserve">l </w:t>
      </w:r>
      <w:proofErr w:type="spellStart"/>
      <w:r w:rsidR="00057BF4" w:rsidRPr="00057BF4">
        <w:rPr>
          <w:i/>
          <w:iCs/>
        </w:rPr>
        <w:t>kasiṇa</w:t>
      </w:r>
      <w:proofErr w:type="spellEnd"/>
      <w:r>
        <w:t xml:space="preserve"> </w:t>
      </w:r>
      <w:r w:rsidR="0065361B">
        <w:t xml:space="preserve">tierra </w:t>
      </w:r>
      <w:r w:rsidR="0034558E">
        <w:t xml:space="preserve">hacia </w:t>
      </w:r>
      <w:r>
        <w:t>arriba, abajo, alrededor, exclusiva</w:t>
      </w:r>
      <w:r w:rsidR="0065361B">
        <w:t>mente</w:t>
      </w:r>
      <w:r>
        <w:t xml:space="preserve">, </w:t>
      </w:r>
      <w:r w:rsidR="0065361B">
        <w:t>inmensurablemente</w:t>
      </w:r>
      <w:r>
        <w:t>” (M II 14), y así sucesivamente.</w:t>
      </w:r>
    </w:p>
    <w:p w14:paraId="430DDE48" w14:textId="36F810DB" w:rsidR="008C19B7" w:rsidRDefault="008C19B7" w:rsidP="008C19B7">
      <w:r>
        <w:t xml:space="preserve">39. </w:t>
      </w:r>
      <w:r>
        <w:tab/>
        <w:t xml:space="preserve">Aquí, </w:t>
      </w:r>
      <w:r w:rsidRPr="00083E56">
        <w:rPr>
          <w:i/>
          <w:iCs/>
        </w:rPr>
        <w:t>arriba</w:t>
      </w:r>
      <w:r>
        <w:t xml:space="preserve"> es hacia arriba </w:t>
      </w:r>
      <w:r w:rsidR="0065361B">
        <w:t>en dirección al</w:t>
      </w:r>
      <w:r>
        <w:t xml:space="preserve"> cielo. </w:t>
      </w:r>
      <w:r w:rsidRPr="00083E56">
        <w:rPr>
          <w:i/>
          <w:iCs/>
        </w:rPr>
        <w:t>Abajo</w:t>
      </w:r>
      <w:r>
        <w:t xml:space="preserve"> es hacia abajo, </w:t>
      </w:r>
      <w:r w:rsidR="0065361B">
        <w:t xml:space="preserve">en dirección hacia el centro de la </w:t>
      </w:r>
      <w:r>
        <w:t xml:space="preserve">tierra. </w:t>
      </w:r>
      <w:r w:rsidR="000B7DEA" w:rsidRPr="00083E56">
        <w:rPr>
          <w:i/>
          <w:iCs/>
        </w:rPr>
        <w:t>Alrededor</w:t>
      </w:r>
      <w:r>
        <w:t xml:space="preserve"> está </w:t>
      </w:r>
      <w:r w:rsidR="0065361B">
        <w:t>de</w:t>
      </w:r>
      <w:r>
        <w:t xml:space="preserve">marcado </w:t>
      </w:r>
      <w:r w:rsidR="0065361B">
        <w:t xml:space="preserve">en algún </w:t>
      </w:r>
      <w:r>
        <w:t xml:space="preserve">alrededor como el perímetro de un campo. </w:t>
      </w:r>
      <w:r w:rsidR="0065361B">
        <w:t xml:space="preserve">Ya </w:t>
      </w:r>
      <w:r>
        <w:t>que uno extende</w:t>
      </w:r>
      <w:r w:rsidR="0065361B">
        <w:t>rá</w:t>
      </w:r>
      <w:r>
        <w:t xml:space="preserve"> </w:t>
      </w:r>
      <w:r w:rsidR="0065361B">
        <w:t>un</w:t>
      </w:r>
      <w:r>
        <w:t xml:space="preserve"> </w:t>
      </w:r>
      <w:proofErr w:type="spellStart"/>
      <w:r w:rsidR="00057BF4" w:rsidRPr="00057BF4">
        <w:rPr>
          <w:i/>
          <w:iCs/>
        </w:rPr>
        <w:t>kasiṇa</w:t>
      </w:r>
      <w:proofErr w:type="spellEnd"/>
      <w:r>
        <w:t xml:space="preserve"> solo hacia arriba, otro hacia abajo, otro </w:t>
      </w:r>
      <w:r w:rsidR="0065361B">
        <w:t xml:space="preserve">hacia el </w:t>
      </w:r>
      <w:r>
        <w:t xml:space="preserve">alrededor; o por alguna razón otro lo </w:t>
      </w:r>
      <w:r w:rsidR="0065361B">
        <w:t>proyectar</w:t>
      </w:r>
      <w:r w:rsidR="00065956">
        <w:t>ía</w:t>
      </w:r>
      <w:r w:rsidR="0065361B">
        <w:t>,</w:t>
      </w:r>
      <w:r>
        <w:t xml:space="preserve"> así como quien </w:t>
      </w:r>
      <w:r w:rsidR="00065956">
        <w:t>quisiera</w:t>
      </w:r>
      <w:r w:rsidR="0065361B">
        <w:t xml:space="preserve"> </w:t>
      </w:r>
      <w:r>
        <w:t>ver objetos visibles con el ojo divino proyecta</w:t>
      </w:r>
      <w:r w:rsidR="0065361B">
        <w:t>r</w:t>
      </w:r>
      <w:r w:rsidR="00065956">
        <w:t>ía</w:t>
      </w:r>
      <w:r>
        <w:t xml:space="preserve"> luz. [177] De ahí que se diga “</w:t>
      </w:r>
      <w:r w:rsidR="00065956">
        <w:t xml:space="preserve">hacia </w:t>
      </w:r>
      <w:r>
        <w:t xml:space="preserve">arriba, abajo, alrededor”. La palabra </w:t>
      </w:r>
      <w:r w:rsidRPr="00083E56">
        <w:rPr>
          <w:i/>
          <w:iCs/>
        </w:rPr>
        <w:t>exclusiv</w:t>
      </w:r>
      <w:r w:rsidR="0065361B">
        <w:rPr>
          <w:i/>
          <w:iCs/>
        </w:rPr>
        <w:t>amente</w:t>
      </w:r>
      <w:r>
        <w:t xml:space="preserve">, sin embargo, </w:t>
      </w:r>
      <w:r w:rsidR="0065361B">
        <w:t>indica</w:t>
      </w:r>
      <w:r>
        <w:t xml:space="preserve"> que cualquiera de esos estados no </w:t>
      </w:r>
      <w:r w:rsidR="0065361B">
        <w:t>tendrá</w:t>
      </w:r>
      <w:r>
        <w:t xml:space="preserve"> nada que ver con ningún otro. Así como ha</w:t>
      </w:r>
      <w:r w:rsidR="0065361B">
        <w:t>brá</w:t>
      </w:r>
      <w:r>
        <w:t xml:space="preserve"> agua y nada más </w:t>
      </w:r>
      <w:r w:rsidR="0065361B">
        <w:t xml:space="preserve">que agua </w:t>
      </w:r>
      <w:r>
        <w:t xml:space="preserve">en todas las direcciones </w:t>
      </w:r>
      <w:r w:rsidR="0065361B">
        <w:t xml:space="preserve">en </w:t>
      </w:r>
      <w:r>
        <w:t xml:space="preserve">quien </w:t>
      </w:r>
      <w:r w:rsidR="0065361B">
        <w:t xml:space="preserve">se encuentre </w:t>
      </w:r>
      <w:r>
        <w:t xml:space="preserve">realmente en el agua, así también, el </w:t>
      </w:r>
      <w:proofErr w:type="spellStart"/>
      <w:r w:rsidR="00057BF4" w:rsidRPr="00057BF4">
        <w:rPr>
          <w:i/>
          <w:iCs/>
        </w:rPr>
        <w:t>kasiṇa</w:t>
      </w:r>
      <w:proofErr w:type="spellEnd"/>
      <w:r>
        <w:t xml:space="preserve"> tierra </w:t>
      </w:r>
      <w:r w:rsidR="0065361B">
        <w:t xml:space="preserve">será </w:t>
      </w:r>
      <w:r>
        <w:t xml:space="preserve">solo </w:t>
      </w:r>
      <w:proofErr w:type="spellStart"/>
      <w:r w:rsidR="00057BF4" w:rsidRPr="00057BF4">
        <w:rPr>
          <w:i/>
          <w:iCs/>
        </w:rPr>
        <w:t>kasiṇa</w:t>
      </w:r>
      <w:proofErr w:type="spellEnd"/>
      <w:r>
        <w:t xml:space="preserve"> tierra; no </w:t>
      </w:r>
      <w:r w:rsidR="0065361B">
        <w:t xml:space="preserve">tendrá </w:t>
      </w:r>
      <w:r>
        <w:t xml:space="preserve">nada en común con ningún otro </w:t>
      </w:r>
      <w:proofErr w:type="spellStart"/>
      <w:r w:rsidR="00057BF4" w:rsidRPr="00057BF4">
        <w:rPr>
          <w:i/>
          <w:iCs/>
        </w:rPr>
        <w:t>kasiṇa</w:t>
      </w:r>
      <w:proofErr w:type="spellEnd"/>
      <w:r>
        <w:t xml:space="preserve">. Del mismo modo en cada caso. </w:t>
      </w:r>
      <w:r w:rsidR="0065361B" w:rsidRPr="0065361B">
        <w:rPr>
          <w:i/>
          <w:iCs/>
        </w:rPr>
        <w:t>Inmensurablemente</w:t>
      </w:r>
      <w:r w:rsidR="0065361B">
        <w:t xml:space="preserve"> </w:t>
      </w:r>
      <w:r>
        <w:t>significa</w:t>
      </w:r>
      <w:r w:rsidR="0065361B">
        <w:t>rá</w:t>
      </w:r>
      <w:r>
        <w:t xml:space="preserve"> intención </w:t>
      </w:r>
      <w:r w:rsidR="0065361B">
        <w:t>inmensurable</w:t>
      </w:r>
      <w:r>
        <w:t xml:space="preserve">. </w:t>
      </w:r>
      <w:r w:rsidR="0065361B">
        <w:t>Él e</w:t>
      </w:r>
      <w:r>
        <w:t>st</w:t>
      </w:r>
      <w:r w:rsidR="0065361B">
        <w:t>ar</w:t>
      </w:r>
      <w:r>
        <w:t xml:space="preserve">á atento </w:t>
      </w:r>
      <w:r w:rsidR="0065361B">
        <w:t xml:space="preserve">hacia </w:t>
      </w:r>
      <w:r>
        <w:t xml:space="preserve">la totalidad con su mente, sin </w:t>
      </w:r>
      <w:r w:rsidR="0042178E">
        <w:t>hacer</w:t>
      </w:r>
      <w:r>
        <w:t xml:space="preserve"> medi</w:t>
      </w:r>
      <w:r w:rsidR="0042178E">
        <w:t>ciones</w:t>
      </w:r>
      <w:r>
        <w:t xml:space="preserve"> de esta manera: “</w:t>
      </w:r>
      <w:r w:rsidR="0065361B">
        <w:t>É</w:t>
      </w:r>
      <w:r>
        <w:t xml:space="preserve">ste es su comienzo, </w:t>
      </w:r>
      <w:r w:rsidR="0065361B">
        <w:t>é</w:t>
      </w:r>
      <w:r>
        <w:t>ste su medio”.</w:t>
      </w:r>
    </w:p>
    <w:p w14:paraId="51F544D7" w14:textId="07B38150" w:rsidR="008C19B7" w:rsidRDefault="008C19B7" w:rsidP="008C19B7">
      <w:r>
        <w:t xml:space="preserve">40. </w:t>
      </w:r>
      <w:r>
        <w:tab/>
        <w:t xml:space="preserve">Ningún ser viviente </w:t>
      </w:r>
      <w:r w:rsidR="0065361B">
        <w:t>podrá</w:t>
      </w:r>
      <w:r>
        <w:t xml:space="preserve"> desarrollar </w:t>
      </w:r>
      <w:r w:rsidR="0065361B">
        <w:t xml:space="preserve">un </w:t>
      </w:r>
      <w:proofErr w:type="spellStart"/>
      <w:r w:rsidR="00057BF4" w:rsidRPr="00057BF4">
        <w:rPr>
          <w:i/>
          <w:iCs/>
        </w:rPr>
        <w:t>kasiṇa</w:t>
      </w:r>
      <w:proofErr w:type="spellEnd"/>
      <w:r>
        <w:t xml:space="preserve"> </w:t>
      </w:r>
      <w:r w:rsidR="00C94B09">
        <w:t>tal como se describe a continuación</w:t>
      </w:r>
      <w:r>
        <w:t xml:space="preserve">: “Los seres obstaculizados por el </w:t>
      </w:r>
      <w:proofErr w:type="spellStart"/>
      <w:r w:rsidR="00057BF4" w:rsidRPr="00057BF4">
        <w:rPr>
          <w:i/>
          <w:iCs/>
        </w:rPr>
        <w:t>kamma</w:t>
      </w:r>
      <w:proofErr w:type="spellEnd"/>
      <w:r>
        <w:t xml:space="preserve">, por la corrupción o por el resultado del </w:t>
      </w:r>
      <w:proofErr w:type="spellStart"/>
      <w:r w:rsidR="00057BF4" w:rsidRPr="00057BF4">
        <w:rPr>
          <w:i/>
          <w:iCs/>
        </w:rPr>
        <w:t>kamma</w:t>
      </w:r>
      <w:proofErr w:type="spellEnd"/>
      <w:r>
        <w:t>, que care</w:t>
      </w:r>
      <w:r w:rsidR="0065361B">
        <w:t>zca</w:t>
      </w:r>
      <w:r>
        <w:t xml:space="preserve">n de fe, celo y </w:t>
      </w:r>
      <w:r w:rsidR="0065361B">
        <w:t>entendimiento</w:t>
      </w:r>
      <w:r>
        <w:t xml:space="preserve">, serán incapaces de </w:t>
      </w:r>
      <w:r w:rsidR="0065361B">
        <w:t>pen</w:t>
      </w:r>
      <w:r>
        <w:t xml:space="preserve">etrar en la certeza de la rectitud </w:t>
      </w:r>
      <w:r w:rsidR="0065361B">
        <w:t>de los</w:t>
      </w:r>
      <w:r>
        <w:t xml:space="preserve"> estados </w:t>
      </w:r>
      <w:r w:rsidR="009535BA">
        <w:t>productivo</w:t>
      </w:r>
      <w:r>
        <w:t>. (</w:t>
      </w:r>
      <w:proofErr w:type="spellStart"/>
      <w:r>
        <w:t>Vib</w:t>
      </w:r>
      <w:proofErr w:type="spellEnd"/>
      <w:r>
        <w:t xml:space="preserve"> 341).</w:t>
      </w:r>
    </w:p>
    <w:p w14:paraId="55E4EF2D" w14:textId="77777777" w:rsidR="008C19B7" w:rsidRDefault="008C19B7">
      <w:pPr>
        <w:tabs>
          <w:tab w:val="clear" w:pos="425"/>
        </w:tabs>
        <w:spacing w:after="160"/>
      </w:pPr>
      <w:r>
        <w:br w:type="page"/>
      </w:r>
    </w:p>
    <w:p w14:paraId="4F9CC79D" w14:textId="77777777" w:rsidR="00046DB3" w:rsidRDefault="00046DB3" w:rsidP="008C19B7"/>
    <w:p w14:paraId="696278A1" w14:textId="1F913F3B" w:rsidR="00046DB3" w:rsidRDefault="00046DB3" w:rsidP="00046DB3">
      <w:r>
        <w:t xml:space="preserve">41. </w:t>
      </w:r>
      <w:r>
        <w:tab/>
        <w:t xml:space="preserve">En este documento, las palabras </w:t>
      </w:r>
      <w:r w:rsidRPr="00083E56">
        <w:rPr>
          <w:i/>
          <w:iCs/>
        </w:rPr>
        <w:t>obstaculizado por</w:t>
      </w:r>
      <w:r>
        <w:t xml:space="preserve"> </w:t>
      </w:r>
      <w:r w:rsidR="008507E6">
        <w:t xml:space="preserve">el </w:t>
      </w:r>
      <w:proofErr w:type="spellStart"/>
      <w:r w:rsidR="00057BF4" w:rsidRPr="00057BF4">
        <w:rPr>
          <w:i/>
          <w:iCs/>
        </w:rPr>
        <w:t>kamma</w:t>
      </w:r>
      <w:proofErr w:type="spellEnd"/>
      <w:r>
        <w:t xml:space="preserve"> se refieren a aquellos que poseen </w:t>
      </w:r>
      <w:r w:rsidR="008507E6">
        <w:t xml:space="preserve">un </w:t>
      </w:r>
      <w:r>
        <w:t xml:space="preserve">mal </w:t>
      </w:r>
      <w:proofErr w:type="spellStart"/>
      <w:r w:rsidR="00057BF4" w:rsidRPr="00057BF4">
        <w:rPr>
          <w:i/>
          <w:iCs/>
        </w:rPr>
        <w:t>kamma</w:t>
      </w:r>
      <w:proofErr w:type="spellEnd"/>
      <w:r>
        <w:t xml:space="preserve"> que impli</w:t>
      </w:r>
      <w:r w:rsidR="008507E6">
        <w:t>que</w:t>
      </w:r>
      <w:r>
        <w:t xml:space="preserve"> un efecto inmediato [sobre </w:t>
      </w:r>
      <w:r w:rsidR="008507E6">
        <w:t>su</w:t>
      </w:r>
      <w:r>
        <w:t xml:space="preserve"> renacimiento</w:t>
      </w:r>
      <w:r w:rsidR="008507E6">
        <w:t xml:space="preserve"> futuro</w:t>
      </w:r>
      <w:r>
        <w:t>].</w:t>
      </w:r>
      <w:r w:rsidRPr="000B7DEA">
        <w:rPr>
          <w:vertAlign w:val="superscript"/>
        </w:rPr>
        <w:t>6</w:t>
      </w:r>
      <w:r>
        <w:t xml:space="preserve"> </w:t>
      </w:r>
      <w:r w:rsidRPr="008507E6">
        <w:rPr>
          <w:i/>
          <w:iCs/>
        </w:rPr>
        <w:t>Por contaminación</w:t>
      </w:r>
      <w:r>
        <w:t xml:space="preserve">: quienes </w:t>
      </w:r>
      <w:r w:rsidR="008507E6">
        <w:t xml:space="preserve">se </w:t>
      </w:r>
      <w:r>
        <w:t>ha</w:t>
      </w:r>
      <w:r w:rsidR="008507E6">
        <w:t>ya</w:t>
      </w:r>
      <w:r>
        <w:t xml:space="preserve">n </w:t>
      </w:r>
      <w:r w:rsidR="008507E6">
        <w:t>adherido a</w:t>
      </w:r>
      <w:r>
        <w:t xml:space="preserve"> una visión incorrecta</w:t>
      </w:r>
      <w:r w:rsidRPr="00F23D56">
        <w:rPr>
          <w:vertAlign w:val="superscript"/>
        </w:rPr>
        <w:t>7</w:t>
      </w:r>
      <w:r>
        <w:t xml:space="preserve"> o s</w:t>
      </w:r>
      <w:r w:rsidR="008507E6">
        <w:t>ea</w:t>
      </w:r>
      <w:r>
        <w:t xml:space="preserve">n hermafroditas o eunucos. </w:t>
      </w:r>
      <w:r w:rsidRPr="008507E6">
        <w:rPr>
          <w:i/>
          <w:iCs/>
        </w:rPr>
        <w:t xml:space="preserve">Por </w:t>
      </w:r>
      <w:r w:rsidR="00AC3E7B">
        <w:rPr>
          <w:i/>
          <w:iCs/>
        </w:rPr>
        <w:t xml:space="preserve">el </w:t>
      </w:r>
      <w:r w:rsidR="008507E6" w:rsidRPr="008507E6">
        <w:rPr>
          <w:i/>
          <w:iCs/>
        </w:rPr>
        <w:t>resultado de</w:t>
      </w:r>
      <w:r w:rsidR="008507E6">
        <w:rPr>
          <w:i/>
          <w:iCs/>
        </w:rPr>
        <w:t xml:space="preserve"> </w:t>
      </w:r>
      <w:proofErr w:type="spellStart"/>
      <w:r w:rsidR="00057BF4" w:rsidRPr="00057BF4">
        <w:rPr>
          <w:i/>
          <w:iCs/>
        </w:rPr>
        <w:t>kamma</w:t>
      </w:r>
      <w:proofErr w:type="spellEnd"/>
      <w:r>
        <w:t>: quienes ha</w:t>
      </w:r>
      <w:r w:rsidR="008507E6">
        <w:t>ya</w:t>
      </w:r>
      <w:r>
        <w:t xml:space="preserve">n tenido un </w:t>
      </w:r>
      <w:r w:rsidR="009E503B" w:rsidRPr="00C71EC8">
        <w:t>vín</w:t>
      </w:r>
      <w:r w:rsidR="009E503B">
        <w:t>culo</w:t>
      </w:r>
      <w:r w:rsidR="009E503B" w:rsidRPr="00C71EC8">
        <w:t>–</w:t>
      </w:r>
      <w:r w:rsidR="009E503B">
        <w:t>de</w:t>
      </w:r>
      <w:r w:rsidR="009E503B" w:rsidRPr="00C71EC8">
        <w:t>–</w:t>
      </w:r>
      <w:r w:rsidR="009E503B">
        <w:t>renacimiento</w:t>
      </w:r>
      <w:r w:rsidR="009E503B" w:rsidRPr="00C71EC8">
        <w:t xml:space="preserve"> </w:t>
      </w:r>
      <w:r>
        <w:t xml:space="preserve">sin una </w:t>
      </w:r>
      <w:r w:rsidR="004C476E">
        <w:t xml:space="preserve">causa–raíz </w:t>
      </w:r>
      <w:r>
        <w:t>[</w:t>
      </w:r>
      <w:r w:rsidR="008507E6">
        <w:t>productiva</w:t>
      </w:r>
      <w:r>
        <w:t>] o con solo dos causas raíz [</w:t>
      </w:r>
      <w:r w:rsidR="008507E6">
        <w:t>productivas</w:t>
      </w:r>
      <w:r>
        <w:t xml:space="preserve">]. </w:t>
      </w:r>
      <w:r w:rsidRPr="008507E6">
        <w:rPr>
          <w:i/>
          <w:iCs/>
        </w:rPr>
        <w:t>Care</w:t>
      </w:r>
      <w:r w:rsidR="008507E6" w:rsidRPr="008507E6">
        <w:rPr>
          <w:i/>
          <w:iCs/>
        </w:rPr>
        <w:t>zca</w:t>
      </w:r>
      <w:r w:rsidRPr="008507E6">
        <w:rPr>
          <w:i/>
          <w:iCs/>
        </w:rPr>
        <w:t>n de fe</w:t>
      </w:r>
      <w:r>
        <w:t xml:space="preserve">: </w:t>
      </w:r>
      <w:r w:rsidR="00AC3E7B">
        <w:t xml:space="preserve">que </w:t>
      </w:r>
      <w:r>
        <w:t>care</w:t>
      </w:r>
      <w:r w:rsidR="00AC3E7B">
        <w:t>zcan</w:t>
      </w:r>
      <w:r>
        <w:t xml:space="preserve"> de fe en el </w:t>
      </w:r>
      <w:r w:rsidR="00057BF4" w:rsidRPr="00057BF4">
        <w:rPr>
          <w:i/>
        </w:rPr>
        <w:t>Buddha</w:t>
      </w:r>
      <w:r>
        <w:t xml:space="preserve">, el </w:t>
      </w:r>
      <w:r w:rsidR="00057BF4" w:rsidRPr="00057BF4">
        <w:rPr>
          <w:i/>
        </w:rPr>
        <w:t>Dhamma</w:t>
      </w:r>
      <w:r>
        <w:t xml:space="preserve"> y </w:t>
      </w:r>
      <w:r w:rsidR="00AC3E7B">
        <w:t xml:space="preserve">el </w:t>
      </w:r>
      <w:r w:rsidR="00AC3E7B">
        <w:rPr>
          <w:i/>
          <w:iCs/>
        </w:rPr>
        <w:t>Saṅgha</w:t>
      </w:r>
      <w:r>
        <w:t xml:space="preserve">. </w:t>
      </w:r>
      <w:r w:rsidR="009A5836" w:rsidRPr="008507E6">
        <w:rPr>
          <w:i/>
          <w:iCs/>
        </w:rPr>
        <w:t xml:space="preserve">Carezcan </w:t>
      </w:r>
      <w:r w:rsidR="009A5836">
        <w:rPr>
          <w:i/>
          <w:iCs/>
        </w:rPr>
        <w:t xml:space="preserve">de </w:t>
      </w:r>
      <w:r w:rsidR="009A5836" w:rsidRPr="00AC3E7B">
        <w:rPr>
          <w:i/>
          <w:iCs/>
        </w:rPr>
        <w:t>celo</w:t>
      </w:r>
      <w:r>
        <w:t xml:space="preserve">: </w:t>
      </w:r>
      <w:r w:rsidR="00110168">
        <w:t xml:space="preserve">que </w:t>
      </w:r>
      <w:r>
        <w:t>est</w:t>
      </w:r>
      <w:r w:rsidR="00AC3E7B">
        <w:t>é</w:t>
      </w:r>
      <w:r>
        <w:t xml:space="preserve">n desprovistos de celo por el </w:t>
      </w:r>
      <w:r w:rsidR="00110168">
        <w:t xml:space="preserve">sendero </w:t>
      </w:r>
      <w:r>
        <w:t xml:space="preserve">sin oposición. </w:t>
      </w:r>
      <w:r w:rsidR="005537F5" w:rsidRPr="005537F5">
        <w:rPr>
          <w:i/>
          <w:iCs/>
        </w:rPr>
        <w:t>Carezcan</w:t>
      </w:r>
      <w:r w:rsidR="005537F5" w:rsidRPr="005537F5">
        <w:t xml:space="preserve"> </w:t>
      </w:r>
      <w:r w:rsidR="005537F5">
        <w:t xml:space="preserve">de </w:t>
      </w:r>
      <w:r w:rsidR="009A5836" w:rsidRPr="009A5836">
        <w:rPr>
          <w:i/>
          <w:iCs/>
        </w:rPr>
        <w:t>entendimiento</w:t>
      </w:r>
      <w:r>
        <w:t xml:space="preserve">: </w:t>
      </w:r>
      <w:r w:rsidR="009A5836">
        <w:t xml:space="preserve">que </w:t>
      </w:r>
      <w:r>
        <w:t>est</w:t>
      </w:r>
      <w:r w:rsidR="009A5836">
        <w:t>é</w:t>
      </w:r>
      <w:r>
        <w:t xml:space="preserve">n </w:t>
      </w:r>
      <w:r w:rsidR="005537F5">
        <w:t xml:space="preserve">desprovistos </w:t>
      </w:r>
      <w:r>
        <w:t xml:space="preserve">de la visión correcta mundana y supramundana. </w:t>
      </w:r>
      <w:r w:rsidR="005537F5" w:rsidRPr="005537F5">
        <w:rPr>
          <w:i/>
          <w:iCs/>
        </w:rPr>
        <w:t>Ellos s</w:t>
      </w:r>
      <w:r w:rsidRPr="005537F5">
        <w:rPr>
          <w:i/>
          <w:iCs/>
        </w:rPr>
        <w:t xml:space="preserve">erán incapaces de entrar en la certeza de la rectitud </w:t>
      </w:r>
      <w:r w:rsidR="005537F5" w:rsidRPr="005537F5">
        <w:rPr>
          <w:i/>
          <w:iCs/>
        </w:rPr>
        <w:t xml:space="preserve">de </w:t>
      </w:r>
      <w:r w:rsidRPr="005537F5">
        <w:rPr>
          <w:i/>
          <w:iCs/>
        </w:rPr>
        <w:t xml:space="preserve">estados </w:t>
      </w:r>
      <w:r w:rsidR="005537F5" w:rsidRPr="005537F5">
        <w:rPr>
          <w:i/>
          <w:iCs/>
        </w:rPr>
        <w:t xml:space="preserve">productivos </w:t>
      </w:r>
      <w:r>
        <w:t>significa que s</w:t>
      </w:r>
      <w:r w:rsidR="005537F5">
        <w:t>erá</w:t>
      </w:r>
      <w:r>
        <w:t xml:space="preserve">n incapaces de entrar en el noble </w:t>
      </w:r>
      <w:r w:rsidR="005537F5">
        <w:t>sendero</w:t>
      </w:r>
      <w:r>
        <w:t xml:space="preserve"> </w:t>
      </w:r>
      <w:r w:rsidR="005537F5">
        <w:t xml:space="preserve">conocido como </w:t>
      </w:r>
      <w:r>
        <w:t xml:space="preserve">“certeza” y “rectitud </w:t>
      </w:r>
      <w:r w:rsidR="00D652A7">
        <w:t>de</w:t>
      </w:r>
      <w:r>
        <w:t xml:space="preserve"> estados </w:t>
      </w:r>
      <w:r w:rsidR="00D652A7">
        <w:t>productivos</w:t>
      </w:r>
      <w:r>
        <w:t>”.</w:t>
      </w:r>
    </w:p>
    <w:p w14:paraId="01BAB27A" w14:textId="2109169C" w:rsidR="00046DB3" w:rsidRDefault="00046DB3" w:rsidP="00046DB3">
      <w:r>
        <w:t xml:space="preserve">42. </w:t>
      </w:r>
      <w:r>
        <w:tab/>
        <w:t xml:space="preserve">Y esto no se </w:t>
      </w:r>
      <w:r w:rsidR="00D652A7">
        <w:t xml:space="preserve">limitará </w:t>
      </w:r>
      <w:r>
        <w:t xml:space="preserve">solo a los </w:t>
      </w:r>
      <w:proofErr w:type="spellStart"/>
      <w:r w:rsidR="00057BF4" w:rsidRPr="00057BF4">
        <w:rPr>
          <w:i/>
          <w:iCs/>
        </w:rPr>
        <w:t>kasiṇa</w:t>
      </w:r>
      <w:r w:rsidRPr="000B7DEA">
        <w:rPr>
          <w:i/>
          <w:iCs/>
        </w:rPr>
        <w:t>s</w:t>
      </w:r>
      <w:proofErr w:type="spellEnd"/>
      <w:r>
        <w:t xml:space="preserve">; </w:t>
      </w:r>
      <w:r w:rsidR="00D652A7">
        <w:t xml:space="preserve">ya </w:t>
      </w:r>
      <w:r>
        <w:t xml:space="preserve">que ninguno de </w:t>
      </w:r>
      <w:r w:rsidR="00D652A7">
        <w:t xml:space="preserve">estos seres </w:t>
      </w:r>
      <w:r>
        <w:t xml:space="preserve">logrará desarrollar ningún </w:t>
      </w:r>
      <w:r w:rsidR="00D652A7">
        <w:t xml:space="preserve">objeto </w:t>
      </w:r>
      <w:r>
        <w:t xml:space="preserve">de meditación en </w:t>
      </w:r>
      <w:r w:rsidR="00E3225A">
        <w:t xml:space="preserve">lo </w:t>
      </w:r>
      <w:r>
        <w:t xml:space="preserve">absoluto. Entonces, la tarea de </w:t>
      </w:r>
      <w:r w:rsidR="00E3225A">
        <w:t xml:space="preserve">la </w:t>
      </w:r>
      <w:r>
        <w:t xml:space="preserve">devoción </w:t>
      </w:r>
      <w:r w:rsidR="00E3225A">
        <w:t xml:space="preserve">hacia un </w:t>
      </w:r>
      <w:proofErr w:type="gramStart"/>
      <w:r w:rsidR="00E3225A">
        <w:t xml:space="preserve">objeto </w:t>
      </w:r>
      <w:r>
        <w:t xml:space="preserve"> de</w:t>
      </w:r>
      <w:proofErr w:type="gramEnd"/>
      <w:r>
        <w:t xml:space="preserve"> meditación debe</w:t>
      </w:r>
      <w:r w:rsidR="00E3225A">
        <w:t>rá</w:t>
      </w:r>
      <w:r>
        <w:t xml:space="preserve"> ser emprendida por un miembro del clan que no </w:t>
      </w:r>
      <w:r w:rsidR="00E3225A">
        <w:t xml:space="preserve">posea </w:t>
      </w:r>
      <w:r>
        <w:t xml:space="preserve">obstáculos por el resultado del </w:t>
      </w:r>
      <w:proofErr w:type="spellStart"/>
      <w:r w:rsidRPr="00E3225A">
        <w:rPr>
          <w:i/>
          <w:iCs/>
        </w:rPr>
        <w:t>kam</w:t>
      </w:r>
      <w:r w:rsidR="00E3225A" w:rsidRPr="00E3225A">
        <w:rPr>
          <w:i/>
          <w:iCs/>
        </w:rPr>
        <w:t>m</w:t>
      </w:r>
      <w:r w:rsidRPr="00E3225A">
        <w:rPr>
          <w:i/>
          <w:iCs/>
        </w:rPr>
        <w:t>a</w:t>
      </w:r>
      <w:proofErr w:type="spellEnd"/>
      <w:r>
        <w:t xml:space="preserve">, que evite los obstáculos del </w:t>
      </w:r>
      <w:proofErr w:type="spellStart"/>
      <w:r w:rsidR="00057BF4" w:rsidRPr="00057BF4">
        <w:rPr>
          <w:i/>
          <w:iCs/>
        </w:rPr>
        <w:t>kamma</w:t>
      </w:r>
      <w:proofErr w:type="spellEnd"/>
      <w:r>
        <w:t xml:space="preserve"> y la corrupción, y que fomente la fe, el celo y </w:t>
      </w:r>
      <w:r w:rsidR="00E3225A">
        <w:t xml:space="preserve">el entendimiento </w:t>
      </w:r>
      <w:r>
        <w:t xml:space="preserve">escuchando el </w:t>
      </w:r>
      <w:r w:rsidR="00057BF4" w:rsidRPr="00057BF4">
        <w:rPr>
          <w:i/>
        </w:rPr>
        <w:t>Dhamma</w:t>
      </w:r>
      <w:r>
        <w:t>, frecuentando a hombres buenos</w:t>
      </w:r>
      <w:r w:rsidR="00E3225A">
        <w:t>, etc</w:t>
      </w:r>
      <w:r>
        <w:t>.</w:t>
      </w:r>
    </w:p>
    <w:p w14:paraId="3692639B" w14:textId="77D4F46C" w:rsidR="003759D4" w:rsidRDefault="00373669" w:rsidP="00E3225A">
      <w:pPr>
        <w:ind w:left="1416" w:right="1043"/>
      </w:pPr>
      <w:r w:rsidRPr="00373669">
        <w:t xml:space="preserve">Éste </w:t>
      </w:r>
      <w:r w:rsidR="00626921">
        <w:t>ha sido</w:t>
      </w:r>
      <w:r w:rsidRPr="00373669">
        <w:t xml:space="preserve"> el</w:t>
      </w:r>
      <w:r w:rsidR="00046DB3">
        <w:t xml:space="preserve"> quinto capítulo </w:t>
      </w:r>
      <w:r w:rsidR="009F6332">
        <w:t xml:space="preserve">con el nombre de </w:t>
      </w:r>
      <w:r w:rsidR="00046DB3">
        <w:t xml:space="preserve">“La Descripción de los </w:t>
      </w:r>
      <w:proofErr w:type="spellStart"/>
      <w:r w:rsidR="00057BF4" w:rsidRPr="00057BF4">
        <w:rPr>
          <w:i/>
          <w:iCs/>
        </w:rPr>
        <w:t>Kasiṇa</w:t>
      </w:r>
      <w:r w:rsidR="00046DB3" w:rsidRPr="000B7DEA">
        <w:rPr>
          <w:i/>
          <w:iCs/>
        </w:rPr>
        <w:t>s</w:t>
      </w:r>
      <w:proofErr w:type="spellEnd"/>
      <w:r w:rsidR="00046DB3">
        <w:t xml:space="preserve"> </w:t>
      </w:r>
      <w:r w:rsidR="00626921">
        <w:t>Restantes</w:t>
      </w:r>
      <w:r w:rsidR="00046DB3">
        <w:t xml:space="preserve">” </w:t>
      </w:r>
      <w:r w:rsidR="00D515B5">
        <w:t>d</w:t>
      </w:r>
      <w:r w:rsidR="00046DB3">
        <w:t xml:space="preserve">el Tratado sobre el Desarrollo de la Concentración </w:t>
      </w:r>
      <w:r>
        <w:t>d</w:t>
      </w:r>
      <w:r w:rsidR="00046DB3">
        <w:t xml:space="preserve">el </w:t>
      </w:r>
      <w:r w:rsidR="003759D4" w:rsidRPr="003759D4">
        <w:rPr>
          <w:i/>
          <w:iCs/>
        </w:rPr>
        <w:t>Sendero</w:t>
      </w:r>
      <w:r w:rsidR="00046DB3" w:rsidRPr="003759D4">
        <w:rPr>
          <w:i/>
          <w:iCs/>
        </w:rPr>
        <w:t xml:space="preserve"> de la Purificación</w:t>
      </w:r>
      <w:r w:rsidR="00046DB3">
        <w:t xml:space="preserve"> </w:t>
      </w:r>
      <w:r w:rsidR="00483541">
        <w:t>compuesto para alegría de buenas personas.</w:t>
      </w:r>
    </w:p>
    <w:p w14:paraId="5AB4F208" w14:textId="77777777" w:rsidR="00C84AC1" w:rsidRDefault="00C84AC1">
      <w:pPr>
        <w:tabs>
          <w:tab w:val="clear" w:pos="425"/>
        </w:tabs>
        <w:spacing w:after="160"/>
      </w:pPr>
    </w:p>
    <w:p w14:paraId="66511ACF" w14:textId="77777777" w:rsidR="00C84AC1" w:rsidRDefault="00C84AC1">
      <w:pPr>
        <w:tabs>
          <w:tab w:val="clear" w:pos="425"/>
        </w:tabs>
        <w:spacing w:after="160"/>
      </w:pPr>
    </w:p>
    <w:p w14:paraId="1C5BD740" w14:textId="77777777" w:rsidR="00C84AC1" w:rsidRDefault="00C84AC1">
      <w:pPr>
        <w:tabs>
          <w:tab w:val="clear" w:pos="425"/>
        </w:tabs>
        <w:spacing w:after="160"/>
      </w:pPr>
    </w:p>
    <w:p w14:paraId="3F393E08" w14:textId="77777777" w:rsidR="00C84AC1" w:rsidRDefault="00C84AC1">
      <w:pPr>
        <w:tabs>
          <w:tab w:val="clear" w:pos="425"/>
        </w:tabs>
        <w:spacing w:after="160"/>
      </w:pPr>
    </w:p>
    <w:p w14:paraId="2D3F4102" w14:textId="77777777" w:rsidR="00C84AC1" w:rsidRDefault="00C84AC1">
      <w:pPr>
        <w:tabs>
          <w:tab w:val="clear" w:pos="425"/>
        </w:tabs>
        <w:spacing w:after="160"/>
      </w:pPr>
    </w:p>
    <w:p w14:paraId="72A1B766" w14:textId="77777777" w:rsidR="00C84AC1" w:rsidRDefault="00C84AC1">
      <w:pPr>
        <w:tabs>
          <w:tab w:val="clear" w:pos="425"/>
        </w:tabs>
        <w:spacing w:after="160"/>
      </w:pPr>
    </w:p>
    <w:p w14:paraId="12334D29" w14:textId="77777777" w:rsidR="00C84AC1" w:rsidRDefault="00C84AC1">
      <w:pPr>
        <w:tabs>
          <w:tab w:val="clear" w:pos="425"/>
        </w:tabs>
        <w:spacing w:after="160"/>
      </w:pPr>
    </w:p>
    <w:p w14:paraId="5D9C3338" w14:textId="77777777" w:rsidR="00C84AC1" w:rsidRDefault="00C84AC1">
      <w:pPr>
        <w:tabs>
          <w:tab w:val="clear" w:pos="425"/>
        </w:tabs>
        <w:spacing w:after="160"/>
      </w:pPr>
    </w:p>
    <w:p w14:paraId="68FD8789" w14:textId="77777777" w:rsidR="00A92EC5" w:rsidRDefault="00A92EC5">
      <w:pPr>
        <w:tabs>
          <w:tab w:val="clear" w:pos="425"/>
        </w:tabs>
        <w:spacing w:after="160"/>
      </w:pPr>
    </w:p>
    <w:p w14:paraId="7BDC591B" w14:textId="77777777" w:rsidR="00C84AC1" w:rsidRDefault="00C84AC1">
      <w:pPr>
        <w:tabs>
          <w:tab w:val="clear" w:pos="425"/>
        </w:tabs>
        <w:spacing w:after="160"/>
      </w:pPr>
    </w:p>
    <w:p w14:paraId="66522E10" w14:textId="77777777" w:rsidR="00C84AC1" w:rsidRPr="00F23381" w:rsidRDefault="00C84AC1" w:rsidP="00C84AC1">
      <w:pPr>
        <w:pStyle w:val="PiedepginaLegal"/>
        <w:rPr>
          <w:u w:val="single"/>
        </w:rPr>
      </w:pPr>
      <w:r w:rsidRPr="00F23381">
        <w:rPr>
          <w:u w:val="single"/>
        </w:rPr>
        <w:tab/>
      </w:r>
      <w:r w:rsidRPr="00F23381">
        <w:rPr>
          <w:u w:val="single"/>
        </w:rPr>
        <w:tab/>
      </w:r>
      <w:r w:rsidRPr="00F23381">
        <w:rPr>
          <w:u w:val="single"/>
        </w:rPr>
        <w:tab/>
      </w:r>
      <w:r w:rsidRPr="00F23381">
        <w:rPr>
          <w:u w:val="single"/>
        </w:rPr>
        <w:tab/>
        <w:t>.</w:t>
      </w:r>
    </w:p>
    <w:p w14:paraId="059DB605" w14:textId="3A8C4589" w:rsidR="00C84AC1" w:rsidRDefault="00C84AC1" w:rsidP="00C84AC1">
      <w:pPr>
        <w:pStyle w:val="PiedepginaLegal"/>
      </w:pPr>
      <w:r>
        <w:t xml:space="preserve">6. </w:t>
      </w:r>
      <w:r>
        <w:tab/>
        <w:t xml:space="preserve">Los cinco tipos de </w:t>
      </w:r>
      <w:proofErr w:type="spellStart"/>
      <w:r w:rsidR="00057BF4" w:rsidRPr="00057BF4">
        <w:rPr>
          <w:i/>
          <w:iCs/>
        </w:rPr>
        <w:t>kamma</w:t>
      </w:r>
      <w:proofErr w:type="spellEnd"/>
      <w:r>
        <w:t xml:space="preserve"> </w:t>
      </w:r>
      <w:r w:rsidR="002E3448">
        <w:t xml:space="preserve">perjudicial </w:t>
      </w:r>
      <w:r>
        <w:t xml:space="preserve">con efecto inmediato sobre el renacimiento son, en ese orden de prioridad: matricidio, parricidio, </w:t>
      </w:r>
      <w:proofErr w:type="spellStart"/>
      <w:r w:rsidR="00057BF4" w:rsidRPr="00057BF4">
        <w:rPr>
          <w:i/>
          <w:iCs/>
        </w:rPr>
        <w:t>arahant</w:t>
      </w:r>
      <w:r w:rsidRPr="000B7DEA">
        <w:rPr>
          <w:i/>
          <w:iCs/>
        </w:rPr>
        <w:t>icidio</w:t>
      </w:r>
      <w:proofErr w:type="spellEnd"/>
      <w:r>
        <w:t xml:space="preserve">, derramamiento intencional de la sangre de un </w:t>
      </w:r>
      <w:r w:rsidR="00057BF4" w:rsidRPr="00057BF4">
        <w:rPr>
          <w:i/>
        </w:rPr>
        <w:t>Buddha</w:t>
      </w:r>
      <w:r>
        <w:t xml:space="preserve"> y causar un cisma en la Comunidad</w:t>
      </w:r>
      <w:r w:rsidR="003B20DE">
        <w:t xml:space="preserve"> del </w:t>
      </w:r>
      <w:proofErr w:type="spellStart"/>
      <w:r w:rsidR="003B20DE">
        <w:rPr>
          <w:i/>
          <w:iCs/>
        </w:rPr>
        <w:t>saṅgha</w:t>
      </w:r>
      <w:proofErr w:type="spellEnd"/>
      <w:r>
        <w:t xml:space="preserve">, los cuales </w:t>
      </w:r>
      <w:r w:rsidR="006D44F6">
        <w:t xml:space="preserve">producen </w:t>
      </w:r>
      <w:r>
        <w:t>renacimiento</w:t>
      </w:r>
      <w:r w:rsidR="006D44F6">
        <w:t>s</w:t>
      </w:r>
      <w:r>
        <w:t xml:space="preserve"> en el infierno </w:t>
      </w:r>
      <w:r w:rsidR="006D44F6">
        <w:t xml:space="preserve">con una permanencia </w:t>
      </w:r>
      <w:r>
        <w:t>allí por el resto del eón (</w:t>
      </w:r>
      <w:r w:rsidRPr="006D44F6">
        <w:rPr>
          <w:i/>
          <w:iCs/>
        </w:rPr>
        <w:t>kappa</w:t>
      </w:r>
      <w:r>
        <w:t xml:space="preserve">), </w:t>
      </w:r>
      <w:r w:rsidR="00A92EC5">
        <w:t xml:space="preserve">sin importar </w:t>
      </w:r>
      <w:r>
        <w:t xml:space="preserve">cualquier otro tipo de </w:t>
      </w:r>
      <w:proofErr w:type="spellStart"/>
      <w:r w:rsidR="00057BF4" w:rsidRPr="00057BF4">
        <w:rPr>
          <w:i/>
          <w:iCs/>
        </w:rPr>
        <w:t>kamma</w:t>
      </w:r>
      <w:proofErr w:type="spellEnd"/>
      <w:r>
        <w:t xml:space="preserve"> </w:t>
      </w:r>
      <w:r w:rsidR="00A92EC5">
        <w:t xml:space="preserve">positivo </w:t>
      </w:r>
      <w:r>
        <w:t>que se haya realizado (M-a IV 109f).</w:t>
      </w:r>
    </w:p>
    <w:p w14:paraId="4E47500B" w14:textId="5F58182A" w:rsidR="00C84AC1" w:rsidRDefault="00C84AC1" w:rsidP="00C84AC1">
      <w:pPr>
        <w:pStyle w:val="PiedepginaLegal"/>
      </w:pPr>
      <w:r>
        <w:t xml:space="preserve">7. </w:t>
      </w:r>
      <w:r>
        <w:tab/>
        <w:t xml:space="preserve">El punto de vista </w:t>
      </w:r>
      <w:r w:rsidR="00A92EC5">
        <w:t>sobre la in</w:t>
      </w:r>
      <w:r>
        <w:t>causa</w:t>
      </w:r>
      <w:r w:rsidR="00A92EC5">
        <w:t>lidad</w:t>
      </w:r>
      <w:r>
        <w:t>, el punto de vista de la ineficacia moral de la acción, el punto de vista nihilista de que no existe tal cosa como dar, etc. (ver DN 2).</w:t>
      </w:r>
    </w:p>
    <w:p w14:paraId="29B73AD0" w14:textId="4F536B47" w:rsidR="003759D4" w:rsidRDefault="003759D4" w:rsidP="00C84AC1">
      <w:r>
        <w:br w:type="page"/>
      </w:r>
    </w:p>
    <w:p w14:paraId="372AFF5C" w14:textId="77777777" w:rsidR="00E36460" w:rsidRDefault="00E36460" w:rsidP="003759D4"/>
    <w:p w14:paraId="6F72BBC3" w14:textId="77777777" w:rsidR="008568A7" w:rsidRDefault="008568A7" w:rsidP="003759D4"/>
    <w:p w14:paraId="38B6BA54" w14:textId="43D13169" w:rsidR="008568A7" w:rsidRDefault="008568A7" w:rsidP="008568A7">
      <w:pPr>
        <w:pStyle w:val="Ttulo2"/>
        <w:jc w:val="center"/>
      </w:pPr>
      <w:r>
        <w:t>Capítulo VI</w:t>
      </w:r>
      <w:r>
        <w:br/>
        <w:t xml:space="preserve">La </w:t>
      </w:r>
      <w:r w:rsidR="0056587C">
        <w:t>Repugnancia</w:t>
      </w:r>
      <w:r>
        <w:t xml:space="preserve"> Como </w:t>
      </w:r>
      <w:r w:rsidR="00B32527">
        <w:t>O</w:t>
      </w:r>
      <w:r w:rsidR="0056587C">
        <w:t>bjeto</w:t>
      </w:r>
      <w:r>
        <w:t xml:space="preserve"> De Meditación</w:t>
      </w:r>
    </w:p>
    <w:p w14:paraId="0716FAA0" w14:textId="77777777" w:rsidR="00777829" w:rsidRDefault="00777829" w:rsidP="00777829"/>
    <w:p w14:paraId="5516F607" w14:textId="218F0747" w:rsidR="008568A7" w:rsidRDefault="008568A7" w:rsidP="008568A7">
      <w:pPr>
        <w:jc w:val="center"/>
      </w:pPr>
      <w:r>
        <w:t>(</w:t>
      </w:r>
      <w:proofErr w:type="spellStart"/>
      <w:r w:rsidRPr="00EE5BA9">
        <w:rPr>
          <w:b/>
          <w:bCs/>
          <w:i/>
          <w:iCs/>
          <w:sz w:val="22"/>
          <w:szCs w:val="28"/>
        </w:rPr>
        <w:t>Asubha-</w:t>
      </w:r>
      <w:r w:rsidR="00057BF4" w:rsidRPr="00057BF4">
        <w:rPr>
          <w:b/>
          <w:bCs/>
          <w:i/>
          <w:iCs/>
          <w:sz w:val="22"/>
          <w:szCs w:val="28"/>
        </w:rPr>
        <w:t>kamma</w:t>
      </w:r>
      <w:r w:rsidRPr="00EE5BA9">
        <w:rPr>
          <w:b/>
          <w:bCs/>
          <w:i/>
          <w:iCs/>
          <w:sz w:val="22"/>
          <w:szCs w:val="28"/>
        </w:rPr>
        <w:t>ṭṭhāna-niddesa</w:t>
      </w:r>
      <w:proofErr w:type="spellEnd"/>
      <w:r>
        <w:t>)</w:t>
      </w:r>
    </w:p>
    <w:p w14:paraId="6CE9540A" w14:textId="14A8F4FC" w:rsidR="008568A7" w:rsidRDefault="00EE5BA9" w:rsidP="00EE5BA9">
      <w:pPr>
        <w:pStyle w:val="Ttulo3"/>
        <w:ind w:left="708"/>
      </w:pPr>
      <w:r>
        <w:t>[Definiciones Generales]</w:t>
      </w:r>
    </w:p>
    <w:p w14:paraId="4E49FA3E" w14:textId="66C85D43" w:rsidR="008568A7" w:rsidRDefault="008568A7" w:rsidP="008568A7">
      <w:r>
        <w:t xml:space="preserve">1. </w:t>
      </w:r>
      <w:r w:rsidR="00EE5BA9">
        <w:tab/>
      </w:r>
      <w:r>
        <w:t>[178] Ahora</w:t>
      </w:r>
      <w:r w:rsidR="00D13AB1">
        <w:t xml:space="preserve"> bien</w:t>
      </w:r>
      <w:r>
        <w:t xml:space="preserve">, </w:t>
      </w:r>
      <w:r w:rsidR="006E5FF6">
        <w:t xml:space="preserve">después de los </w:t>
      </w:r>
      <w:proofErr w:type="spellStart"/>
      <w:r w:rsidR="006E5FF6" w:rsidRPr="00057BF4">
        <w:rPr>
          <w:i/>
          <w:iCs/>
        </w:rPr>
        <w:t>kasiṇa</w:t>
      </w:r>
      <w:r w:rsidR="006E5FF6" w:rsidRPr="000B7DEA">
        <w:rPr>
          <w:i/>
          <w:iCs/>
        </w:rPr>
        <w:t>s</w:t>
      </w:r>
      <w:proofErr w:type="spellEnd"/>
      <w:r w:rsidR="006E5FF6">
        <w:t xml:space="preserve"> </w:t>
      </w:r>
      <w:r w:rsidR="00A177D9">
        <w:t xml:space="preserve">se enumerarán </w:t>
      </w:r>
      <w:r w:rsidR="008D1756">
        <w:t xml:space="preserve">a continuación </w:t>
      </w:r>
      <w:r w:rsidR="00315CBB">
        <w:t xml:space="preserve">los </w:t>
      </w:r>
      <w:r>
        <w:t xml:space="preserve">diez tipos de </w:t>
      </w:r>
      <w:r w:rsidR="00315CBB" w:rsidRPr="00315CBB">
        <w:t>repugnancia</w:t>
      </w:r>
      <w:r w:rsidR="00315CBB">
        <w:t xml:space="preserve">, </w:t>
      </w:r>
      <w:r>
        <w:t>[</w:t>
      </w:r>
      <w:r w:rsidR="008B3407">
        <w:t>respecto</w:t>
      </w:r>
      <w:r w:rsidR="00623AF4">
        <w:t xml:space="preserve"> a</w:t>
      </w:r>
      <w:r w:rsidR="00DA30A3">
        <w:t xml:space="preserve"> los</w:t>
      </w:r>
      <w:r>
        <w:t xml:space="preserve"> cadáveres] sin con</w:t>
      </w:r>
      <w:r w:rsidR="00315CBB">
        <w:t>s</w:t>
      </w:r>
      <w:r>
        <w:t>ciencia: l</w:t>
      </w:r>
      <w:r w:rsidR="00754BAF">
        <w:t>o</w:t>
      </w:r>
      <w:r>
        <w:t xml:space="preserve"> hincha</w:t>
      </w:r>
      <w:r w:rsidR="00754BAF">
        <w:t>do</w:t>
      </w:r>
      <w:r>
        <w:t>, l</w:t>
      </w:r>
      <w:r w:rsidR="00754BAF">
        <w:t>o</w:t>
      </w:r>
      <w:r>
        <w:t xml:space="preserve"> lívid</w:t>
      </w:r>
      <w:r w:rsidR="00315CBB">
        <w:t>o</w:t>
      </w:r>
      <w:r>
        <w:t xml:space="preserve">, </w:t>
      </w:r>
      <w:r w:rsidR="0058793E" w:rsidRPr="0058793E">
        <w:t>l</w:t>
      </w:r>
      <w:r w:rsidR="00621119">
        <w:t>o</w:t>
      </w:r>
      <w:r w:rsidR="0058793E" w:rsidRPr="0058793E">
        <w:t xml:space="preserve"> supura</w:t>
      </w:r>
      <w:r w:rsidR="00C37DEC">
        <w:t>do</w:t>
      </w:r>
      <w:r>
        <w:t>, l</w:t>
      </w:r>
      <w:r w:rsidR="00F86E56">
        <w:t>o</w:t>
      </w:r>
      <w:r>
        <w:t xml:space="preserve"> cort</w:t>
      </w:r>
      <w:r w:rsidR="00D125EC">
        <w:t>ado</w:t>
      </w:r>
      <w:r>
        <w:t>, l</w:t>
      </w:r>
      <w:r w:rsidR="00F86E56">
        <w:t>o</w:t>
      </w:r>
      <w:r>
        <w:t xml:space="preserve"> roíd</w:t>
      </w:r>
      <w:r w:rsidR="00F86E56">
        <w:t>o</w:t>
      </w:r>
      <w:r>
        <w:t>, l</w:t>
      </w:r>
      <w:r w:rsidR="00F86E56">
        <w:t>o</w:t>
      </w:r>
      <w:r>
        <w:t xml:space="preserve"> </w:t>
      </w:r>
      <w:r w:rsidR="00094BE1" w:rsidRPr="00094BE1">
        <w:t>disperso</w:t>
      </w:r>
      <w:r>
        <w:t>, l</w:t>
      </w:r>
      <w:r w:rsidR="00F86E56">
        <w:t>o</w:t>
      </w:r>
      <w:r>
        <w:t xml:space="preserve"> cortad</w:t>
      </w:r>
      <w:r w:rsidR="00F86E56">
        <w:t>o</w:t>
      </w:r>
      <w:r>
        <w:t xml:space="preserve"> y esparcid</w:t>
      </w:r>
      <w:r w:rsidR="00F86E56">
        <w:t>o</w:t>
      </w:r>
      <w:r>
        <w:t>, l</w:t>
      </w:r>
      <w:r w:rsidR="00D33AE3">
        <w:t>o</w:t>
      </w:r>
      <w:r>
        <w:t xml:space="preserve"> sangrado, </w:t>
      </w:r>
      <w:r w:rsidR="00D33AE3">
        <w:t xml:space="preserve">lo </w:t>
      </w:r>
      <w:r>
        <w:t>infestado</w:t>
      </w:r>
      <w:r w:rsidR="00D33AE3">
        <w:t xml:space="preserve"> de gusanos</w:t>
      </w:r>
      <w:r>
        <w:t xml:space="preserve">, </w:t>
      </w:r>
      <w:r w:rsidR="00CD566D">
        <w:t>el</w:t>
      </w:r>
      <w:r>
        <w:t xml:space="preserve"> esqueleto (III.105).</w:t>
      </w:r>
    </w:p>
    <w:p w14:paraId="07120B0C" w14:textId="49EF50B2" w:rsidR="008568A7" w:rsidRDefault="007D159B" w:rsidP="00083E56">
      <w:pPr>
        <w:pStyle w:val="NormalConSangria"/>
      </w:pPr>
      <w:r w:rsidRPr="007D159B">
        <w:rPr>
          <w:i/>
          <w:iCs/>
        </w:rPr>
        <w:t>L</w:t>
      </w:r>
      <w:r w:rsidR="00754BAF">
        <w:rPr>
          <w:i/>
          <w:iCs/>
        </w:rPr>
        <w:t>o</w:t>
      </w:r>
      <w:r w:rsidR="00A95291">
        <w:rPr>
          <w:i/>
          <w:iCs/>
        </w:rPr>
        <w:t xml:space="preserve"> </w:t>
      </w:r>
      <w:r w:rsidRPr="007D159B">
        <w:rPr>
          <w:i/>
          <w:iCs/>
        </w:rPr>
        <w:t>hincha</w:t>
      </w:r>
      <w:r w:rsidR="00754BAF">
        <w:rPr>
          <w:i/>
          <w:iCs/>
        </w:rPr>
        <w:t>do</w:t>
      </w:r>
      <w:r w:rsidR="008568A7">
        <w:t xml:space="preserve">: </w:t>
      </w:r>
      <w:r w:rsidR="00F84DD7">
        <w:t>se referirá a</w:t>
      </w:r>
      <w:r>
        <w:t xml:space="preserve"> lo que </w:t>
      </w:r>
      <w:r w:rsidR="008568A7">
        <w:t>est</w:t>
      </w:r>
      <w:r>
        <w:t>é</w:t>
      </w:r>
      <w:r w:rsidR="008568A7">
        <w:t xml:space="preserve"> hinchado (</w:t>
      </w:r>
      <w:proofErr w:type="spellStart"/>
      <w:r w:rsidR="008568A7" w:rsidRPr="000B7DEA">
        <w:rPr>
          <w:i/>
          <w:iCs/>
        </w:rPr>
        <w:t>uddhumāta</w:t>
      </w:r>
      <w:proofErr w:type="spellEnd"/>
      <w:r w:rsidR="008568A7">
        <w:t xml:space="preserve">) </w:t>
      </w:r>
      <w:r>
        <w:t xml:space="preserve">ya </w:t>
      </w:r>
      <w:r w:rsidR="008568A7">
        <w:t xml:space="preserve">que </w:t>
      </w:r>
      <w:r>
        <w:t xml:space="preserve">estará </w:t>
      </w:r>
      <w:r w:rsidR="008568A7">
        <w:t>hincha</w:t>
      </w:r>
      <w:r>
        <w:t>do</w:t>
      </w:r>
      <w:r w:rsidR="008568A7">
        <w:t xml:space="preserve"> por dilatación e hinchaz</w:t>
      </w:r>
      <w:r w:rsidR="00DA30A3">
        <w:t>o</w:t>
      </w:r>
      <w:r w:rsidR="008568A7">
        <w:t>n</w:t>
      </w:r>
      <w:r w:rsidR="00DA30A3">
        <w:t>es</w:t>
      </w:r>
      <w:r w:rsidR="008568A7">
        <w:t xml:space="preserve"> graduales después (</w:t>
      </w:r>
      <w:proofErr w:type="spellStart"/>
      <w:r w:rsidR="008568A7" w:rsidRPr="000B7DEA">
        <w:rPr>
          <w:i/>
          <w:iCs/>
        </w:rPr>
        <w:t>uddhaṃ</w:t>
      </w:r>
      <w:proofErr w:type="spellEnd"/>
      <w:r w:rsidR="008568A7">
        <w:t>) del final de la vida, como lo es un fuelle con el viento. Lo que est</w:t>
      </w:r>
      <w:r w:rsidR="00DA30A3">
        <w:t>é</w:t>
      </w:r>
      <w:r w:rsidR="008568A7">
        <w:t xml:space="preserve"> hinchado (</w:t>
      </w:r>
      <w:proofErr w:type="spellStart"/>
      <w:r w:rsidR="008568A7" w:rsidRPr="000B7DEA">
        <w:rPr>
          <w:i/>
          <w:iCs/>
        </w:rPr>
        <w:t>uddhumāta</w:t>
      </w:r>
      <w:proofErr w:type="spellEnd"/>
      <w:r w:rsidR="008568A7">
        <w:t xml:space="preserve">) </w:t>
      </w:r>
      <w:r w:rsidR="002253CF">
        <w:t>será</w:t>
      </w:r>
      <w:r w:rsidR="008568A7">
        <w:t xml:space="preserve"> lo mismo que “lo hinchado” (</w:t>
      </w:r>
      <w:proofErr w:type="spellStart"/>
      <w:r w:rsidR="008568A7" w:rsidRPr="001D5467">
        <w:rPr>
          <w:i/>
          <w:iCs/>
        </w:rPr>
        <w:t>uddhumātaka</w:t>
      </w:r>
      <w:proofErr w:type="spellEnd"/>
      <w:r w:rsidR="008568A7">
        <w:t>). O alternativamente, lo que est</w:t>
      </w:r>
      <w:r w:rsidR="002253CF">
        <w:t>é</w:t>
      </w:r>
      <w:r w:rsidR="008568A7">
        <w:t xml:space="preserve"> hinchado (</w:t>
      </w:r>
      <w:proofErr w:type="spellStart"/>
      <w:r w:rsidR="008568A7" w:rsidRPr="000B7DEA">
        <w:rPr>
          <w:i/>
          <w:iCs/>
        </w:rPr>
        <w:t>uddhumāta</w:t>
      </w:r>
      <w:proofErr w:type="spellEnd"/>
      <w:r w:rsidR="008568A7">
        <w:t xml:space="preserve">) </w:t>
      </w:r>
      <w:r w:rsidR="002253CF">
        <w:t xml:space="preserve">será </w:t>
      </w:r>
      <w:r w:rsidR="008568A7">
        <w:t>vil (</w:t>
      </w:r>
      <w:proofErr w:type="spellStart"/>
      <w:r w:rsidR="008568A7" w:rsidRPr="000B7DEA">
        <w:rPr>
          <w:i/>
          <w:iCs/>
        </w:rPr>
        <w:t>kucchita</w:t>
      </w:r>
      <w:proofErr w:type="spellEnd"/>
      <w:r w:rsidR="008568A7">
        <w:t xml:space="preserve">) debido a su repulsión, </w:t>
      </w:r>
      <w:r w:rsidR="00BF4B0F">
        <w:t>debido a</w:t>
      </w:r>
      <w:r w:rsidR="008568A7">
        <w:t xml:space="preserve"> que </w:t>
      </w:r>
      <w:r w:rsidR="00BF4B0F">
        <w:t xml:space="preserve">se encuentra </w:t>
      </w:r>
      <w:r w:rsidR="008568A7">
        <w:t>“hinchado” (</w:t>
      </w:r>
      <w:proofErr w:type="spellStart"/>
      <w:r w:rsidR="008568A7" w:rsidRPr="000B7DEA">
        <w:rPr>
          <w:i/>
          <w:iCs/>
        </w:rPr>
        <w:t>uddhumātaka</w:t>
      </w:r>
      <w:proofErr w:type="spellEnd"/>
      <w:r w:rsidR="008568A7">
        <w:t xml:space="preserve">). </w:t>
      </w:r>
      <w:r w:rsidR="00BF4B0F">
        <w:t>É</w:t>
      </w:r>
      <w:r w:rsidR="008568A7">
        <w:t>ste es un término para un cadáver en ese estado particular.</w:t>
      </w:r>
    </w:p>
    <w:p w14:paraId="5A3E7BC3" w14:textId="54CC4455" w:rsidR="008568A7" w:rsidRDefault="008568A7" w:rsidP="008568A7">
      <w:r>
        <w:t xml:space="preserve">2. </w:t>
      </w:r>
      <w:r w:rsidR="00EE5BA9">
        <w:tab/>
      </w:r>
      <w:r w:rsidR="00F10816" w:rsidRPr="00F10816">
        <w:rPr>
          <w:i/>
          <w:iCs/>
        </w:rPr>
        <w:t>Lo</w:t>
      </w:r>
      <w:r w:rsidRPr="00BA767F">
        <w:rPr>
          <w:i/>
          <w:iCs/>
        </w:rPr>
        <w:t xml:space="preserve"> lívido</w:t>
      </w:r>
      <w:r>
        <w:t xml:space="preserve">: </w:t>
      </w:r>
      <w:r w:rsidR="0041644D">
        <w:t xml:space="preserve">a </w:t>
      </w:r>
      <w:r>
        <w:t>lo que ten</w:t>
      </w:r>
      <w:r w:rsidR="0041644D">
        <w:t>ga</w:t>
      </w:r>
      <w:r>
        <w:t xml:space="preserve"> una decoloración irregular se </w:t>
      </w:r>
      <w:r w:rsidR="00190E0E">
        <w:t xml:space="preserve">le </w:t>
      </w:r>
      <w:r>
        <w:t>llama</w:t>
      </w:r>
      <w:r w:rsidR="00190E0E">
        <w:t>rá</w:t>
      </w:r>
      <w:r>
        <w:t xml:space="preserve"> lívido (</w:t>
      </w:r>
      <w:proofErr w:type="spellStart"/>
      <w:r w:rsidRPr="000B7DEA">
        <w:rPr>
          <w:i/>
          <w:iCs/>
        </w:rPr>
        <w:t>vinīla</w:t>
      </w:r>
      <w:proofErr w:type="spellEnd"/>
      <w:r>
        <w:t>). Lo que s</w:t>
      </w:r>
      <w:r w:rsidR="00B82165">
        <w:t>ea</w:t>
      </w:r>
      <w:r>
        <w:t xml:space="preserve"> lívido </w:t>
      </w:r>
      <w:r w:rsidR="00B82165">
        <w:t>será</w:t>
      </w:r>
      <w:r>
        <w:t xml:space="preserve"> lo mismo que “lo lívido” (</w:t>
      </w:r>
      <w:proofErr w:type="spellStart"/>
      <w:r w:rsidRPr="000B7DEA">
        <w:rPr>
          <w:i/>
          <w:iCs/>
        </w:rPr>
        <w:t>vinīlaka</w:t>
      </w:r>
      <w:proofErr w:type="spellEnd"/>
      <w:r>
        <w:t xml:space="preserve">). O alternativamente, lo que </w:t>
      </w:r>
      <w:r w:rsidR="00503335">
        <w:t>sea</w:t>
      </w:r>
      <w:r>
        <w:t xml:space="preserve"> lívido (</w:t>
      </w:r>
      <w:proofErr w:type="spellStart"/>
      <w:r w:rsidRPr="000B7DEA">
        <w:rPr>
          <w:i/>
          <w:iCs/>
        </w:rPr>
        <w:t>vinīla</w:t>
      </w:r>
      <w:proofErr w:type="spellEnd"/>
      <w:r>
        <w:t xml:space="preserve">) </w:t>
      </w:r>
      <w:r w:rsidR="00503335">
        <w:t>será</w:t>
      </w:r>
      <w:r>
        <w:t xml:space="preserve"> vil (</w:t>
      </w:r>
      <w:proofErr w:type="spellStart"/>
      <w:r w:rsidRPr="000B7DEA">
        <w:rPr>
          <w:i/>
          <w:iCs/>
        </w:rPr>
        <w:t>kucchita</w:t>
      </w:r>
      <w:proofErr w:type="spellEnd"/>
      <w:r>
        <w:t xml:space="preserve">) debido a </w:t>
      </w:r>
      <w:r w:rsidR="00503335">
        <w:t>su</w:t>
      </w:r>
      <w:r>
        <w:t xml:space="preserve"> repulsión, </w:t>
      </w:r>
      <w:r w:rsidR="00EB1BA3">
        <w:t>debido a ello</w:t>
      </w:r>
      <w:r>
        <w:t xml:space="preserve"> </w:t>
      </w:r>
      <w:r w:rsidR="00503335">
        <w:t>será</w:t>
      </w:r>
      <w:r>
        <w:t xml:space="preserve"> </w:t>
      </w:r>
      <w:r w:rsidR="00C25C79">
        <w:t xml:space="preserve">designado como </w:t>
      </w:r>
      <w:r>
        <w:t>“lo lívido” (</w:t>
      </w:r>
      <w:proofErr w:type="spellStart"/>
      <w:r w:rsidRPr="000B7DEA">
        <w:rPr>
          <w:i/>
          <w:iCs/>
        </w:rPr>
        <w:t>vinīlaka</w:t>
      </w:r>
      <w:proofErr w:type="spellEnd"/>
      <w:r>
        <w:t>).</w:t>
      </w:r>
      <w:r w:rsidR="001D5467">
        <w:rPr>
          <w:vertAlign w:val="superscript"/>
        </w:rPr>
        <w:t>1</w:t>
      </w:r>
      <w:r>
        <w:t xml:space="preserve"> </w:t>
      </w:r>
      <w:r w:rsidR="00503335">
        <w:t>É</w:t>
      </w:r>
      <w:r>
        <w:t xml:space="preserve">ste es un término </w:t>
      </w:r>
      <w:r w:rsidR="00A86DAE">
        <w:t xml:space="preserve">asignado a </w:t>
      </w:r>
      <w:r>
        <w:t xml:space="preserve">un cadáver que </w:t>
      </w:r>
      <w:r w:rsidR="00503335">
        <w:t>sea</w:t>
      </w:r>
      <w:r>
        <w:t xml:space="preserve"> de color rojizo en lugares donde la carne </w:t>
      </w:r>
      <w:r w:rsidR="00503335">
        <w:t>sea</w:t>
      </w:r>
      <w:r>
        <w:t xml:space="preserve"> prominente, de color blanquecino en lugares donde se ha</w:t>
      </w:r>
      <w:r w:rsidR="00503335">
        <w:t>ya</w:t>
      </w:r>
      <w:r>
        <w:t xml:space="preserve"> acumulado pus, pero en su mayoría </w:t>
      </w:r>
      <w:r w:rsidR="00EB1BA3">
        <w:t>será</w:t>
      </w:r>
      <w:r w:rsidR="000704BB">
        <w:t xml:space="preserve"> </w:t>
      </w:r>
      <w:r>
        <w:t>azul-</w:t>
      </w:r>
      <w:r w:rsidR="000704BB">
        <w:t>oscuro</w:t>
      </w:r>
      <w:r>
        <w:t xml:space="preserve"> (</w:t>
      </w:r>
      <w:proofErr w:type="spellStart"/>
      <w:r w:rsidRPr="00503335">
        <w:rPr>
          <w:i/>
          <w:iCs/>
        </w:rPr>
        <w:t>nīla</w:t>
      </w:r>
      <w:proofErr w:type="spellEnd"/>
      <w:r>
        <w:t>), como si estuviera cubiert</w:t>
      </w:r>
      <w:r w:rsidR="00EB1BA3">
        <w:t>o</w:t>
      </w:r>
      <w:r>
        <w:t xml:space="preserve"> con una tela azul-</w:t>
      </w:r>
      <w:r w:rsidR="00BA3B50">
        <w:t>oscuro</w:t>
      </w:r>
      <w:r>
        <w:t xml:space="preserve"> </w:t>
      </w:r>
      <w:r w:rsidR="0058793E">
        <w:t>sobre</w:t>
      </w:r>
      <w:r>
        <w:t xml:space="preserve"> </w:t>
      </w:r>
      <w:r w:rsidR="00503335">
        <w:t xml:space="preserve">lugares </w:t>
      </w:r>
      <w:r>
        <w:t>azul-</w:t>
      </w:r>
      <w:r w:rsidR="00503335">
        <w:t>oscuros</w:t>
      </w:r>
      <w:r>
        <w:t>.</w:t>
      </w:r>
    </w:p>
    <w:p w14:paraId="2A1ECEB8" w14:textId="2D8D8188" w:rsidR="008568A7" w:rsidRDefault="008568A7" w:rsidP="008568A7">
      <w:r>
        <w:t xml:space="preserve">3. </w:t>
      </w:r>
      <w:r w:rsidR="00EE5BA9">
        <w:tab/>
      </w:r>
      <w:r w:rsidRPr="00BA767F">
        <w:rPr>
          <w:i/>
          <w:iCs/>
        </w:rPr>
        <w:t>L</w:t>
      </w:r>
      <w:r w:rsidR="00C37DEC">
        <w:rPr>
          <w:i/>
          <w:iCs/>
        </w:rPr>
        <w:t>o</w:t>
      </w:r>
      <w:r>
        <w:t xml:space="preserve"> </w:t>
      </w:r>
      <w:r w:rsidRPr="00BA767F">
        <w:rPr>
          <w:i/>
          <w:iCs/>
        </w:rPr>
        <w:t>supura</w:t>
      </w:r>
      <w:r w:rsidR="00C37DEC">
        <w:rPr>
          <w:i/>
          <w:iCs/>
        </w:rPr>
        <w:t>do</w:t>
      </w:r>
      <w:r>
        <w:t>: lo que gote</w:t>
      </w:r>
      <w:r w:rsidR="0058793E">
        <w:t>e</w:t>
      </w:r>
      <w:r>
        <w:t xml:space="preserve"> pus en lugares </w:t>
      </w:r>
      <w:r w:rsidR="00F8620A">
        <w:t>abiertos</w:t>
      </w:r>
      <w:r>
        <w:t xml:space="preserve"> </w:t>
      </w:r>
      <w:r w:rsidR="00F8620A">
        <w:t xml:space="preserve">se encontrará </w:t>
      </w:r>
      <w:r>
        <w:t>supurado (</w:t>
      </w:r>
      <w:proofErr w:type="spellStart"/>
      <w:r w:rsidRPr="000B7DEA">
        <w:rPr>
          <w:i/>
          <w:iCs/>
        </w:rPr>
        <w:t>vipubba</w:t>
      </w:r>
      <w:proofErr w:type="spellEnd"/>
      <w:r>
        <w:t xml:space="preserve">). Lo que </w:t>
      </w:r>
      <w:r w:rsidR="00D125EC">
        <w:t>se encuentre</w:t>
      </w:r>
      <w:r>
        <w:t xml:space="preserve"> </w:t>
      </w:r>
      <w:r w:rsidR="00F8620A">
        <w:t xml:space="preserve">supurando será </w:t>
      </w:r>
      <w:r>
        <w:t xml:space="preserve">lo mismo que “lo </w:t>
      </w:r>
      <w:r w:rsidR="00511B49">
        <w:t>supurado</w:t>
      </w:r>
      <w:r>
        <w:t>” (</w:t>
      </w:r>
      <w:proofErr w:type="spellStart"/>
      <w:r w:rsidRPr="000B7DEA">
        <w:rPr>
          <w:i/>
          <w:iCs/>
        </w:rPr>
        <w:t>vipubbaka</w:t>
      </w:r>
      <w:proofErr w:type="spellEnd"/>
      <w:r>
        <w:t>). O alternativamente, lo que est</w:t>
      </w:r>
      <w:r w:rsidR="00511B49">
        <w:t>é</w:t>
      </w:r>
      <w:r>
        <w:t xml:space="preserve"> </w:t>
      </w:r>
      <w:r w:rsidR="00511B49">
        <w:t xml:space="preserve">supurado </w:t>
      </w:r>
      <w:r>
        <w:t>(</w:t>
      </w:r>
      <w:proofErr w:type="spellStart"/>
      <w:r w:rsidRPr="000B7DEA">
        <w:rPr>
          <w:i/>
          <w:iCs/>
        </w:rPr>
        <w:t>vipubba</w:t>
      </w:r>
      <w:proofErr w:type="spellEnd"/>
      <w:r>
        <w:t xml:space="preserve">) </w:t>
      </w:r>
      <w:r w:rsidR="00511B49">
        <w:t xml:space="preserve">será </w:t>
      </w:r>
      <w:r>
        <w:t>vil (</w:t>
      </w:r>
      <w:proofErr w:type="spellStart"/>
      <w:r w:rsidRPr="000B7DEA">
        <w:rPr>
          <w:i/>
          <w:iCs/>
        </w:rPr>
        <w:t>kucchita</w:t>
      </w:r>
      <w:proofErr w:type="spellEnd"/>
      <w:r>
        <w:t xml:space="preserve">) debido a </w:t>
      </w:r>
      <w:r w:rsidR="00C37DEC">
        <w:t>su</w:t>
      </w:r>
      <w:r>
        <w:t xml:space="preserve"> repulsión, por lo que </w:t>
      </w:r>
      <w:r w:rsidR="00D125EC">
        <w:t xml:space="preserve">se le llamará </w:t>
      </w:r>
      <w:r>
        <w:t xml:space="preserve">“lo </w:t>
      </w:r>
      <w:r w:rsidR="00C37DEC" w:rsidRPr="00C37DEC">
        <w:t>supurado</w:t>
      </w:r>
      <w:r>
        <w:t>” (</w:t>
      </w:r>
      <w:proofErr w:type="spellStart"/>
      <w:r w:rsidRPr="000B7DEA">
        <w:rPr>
          <w:i/>
          <w:iCs/>
        </w:rPr>
        <w:t>vipubbaka</w:t>
      </w:r>
      <w:proofErr w:type="spellEnd"/>
      <w:r>
        <w:t xml:space="preserve">). Este </w:t>
      </w:r>
      <w:r w:rsidR="00C37DEC">
        <w:t>será</w:t>
      </w:r>
      <w:r>
        <w:t xml:space="preserve"> un término para un cadáver en ese estado </w:t>
      </w:r>
      <w:r w:rsidR="00161808">
        <w:t xml:space="preserve">en </w:t>
      </w:r>
      <w:r>
        <w:t>particular.</w:t>
      </w:r>
    </w:p>
    <w:p w14:paraId="7AED2B60" w14:textId="492DA416" w:rsidR="008568A7" w:rsidRDefault="008568A7" w:rsidP="008568A7">
      <w:r>
        <w:t xml:space="preserve">4. </w:t>
      </w:r>
      <w:r w:rsidR="00EE5BA9">
        <w:tab/>
      </w:r>
      <w:r w:rsidR="00BA767F" w:rsidRPr="00BA767F">
        <w:rPr>
          <w:i/>
          <w:iCs/>
        </w:rPr>
        <w:t>Lo</w:t>
      </w:r>
      <w:r w:rsidRPr="00BA767F">
        <w:rPr>
          <w:i/>
          <w:iCs/>
        </w:rPr>
        <w:t xml:space="preserve"> cortado</w:t>
      </w:r>
      <w:r>
        <w:t xml:space="preserve">: </w:t>
      </w:r>
      <w:r w:rsidR="00D125EC">
        <w:t xml:space="preserve">a </w:t>
      </w:r>
      <w:r>
        <w:t>lo que se ha</w:t>
      </w:r>
      <w:r w:rsidR="00C37DEC">
        <w:t>ya</w:t>
      </w:r>
      <w:r>
        <w:t xml:space="preserve"> abierto al cortarlo en dos se llama</w:t>
      </w:r>
      <w:r w:rsidR="00D125EC">
        <w:t>rá</w:t>
      </w:r>
      <w:r>
        <w:t xml:space="preserve"> cortado (</w:t>
      </w:r>
      <w:proofErr w:type="spellStart"/>
      <w:r w:rsidRPr="000B7DEA">
        <w:rPr>
          <w:i/>
          <w:iCs/>
        </w:rPr>
        <w:t>vicchidda</w:t>
      </w:r>
      <w:proofErr w:type="spellEnd"/>
      <w:r>
        <w:t>).</w:t>
      </w:r>
      <w:r w:rsidR="001D5467">
        <w:rPr>
          <w:vertAlign w:val="superscript"/>
        </w:rPr>
        <w:t>2</w:t>
      </w:r>
      <w:r>
        <w:t xml:space="preserve"> Lo que se cort</w:t>
      </w:r>
      <w:r w:rsidR="00C37DEC">
        <w:t>e</w:t>
      </w:r>
      <w:r>
        <w:t xml:space="preserve"> </w:t>
      </w:r>
      <w:r w:rsidR="00C37DEC">
        <w:t>será</w:t>
      </w:r>
      <w:r>
        <w:t xml:space="preserve"> lo mismo que “lo cortado” (</w:t>
      </w:r>
      <w:proofErr w:type="spellStart"/>
      <w:r w:rsidRPr="000B7DEA">
        <w:rPr>
          <w:i/>
          <w:iCs/>
        </w:rPr>
        <w:t>vicchiddaka</w:t>
      </w:r>
      <w:proofErr w:type="spellEnd"/>
      <w:r>
        <w:t>). O, alternativamente, lo que se cort</w:t>
      </w:r>
      <w:r w:rsidR="006C0D70">
        <w:t>e</w:t>
      </w:r>
      <w:r>
        <w:t xml:space="preserve"> (</w:t>
      </w:r>
      <w:proofErr w:type="spellStart"/>
      <w:r w:rsidRPr="006C0D70">
        <w:rPr>
          <w:i/>
          <w:iCs/>
        </w:rPr>
        <w:t>vicchidda</w:t>
      </w:r>
      <w:proofErr w:type="spellEnd"/>
      <w:r>
        <w:t xml:space="preserve">) </w:t>
      </w:r>
      <w:r w:rsidR="006C0D70">
        <w:t xml:space="preserve">será </w:t>
      </w:r>
      <w:r>
        <w:t>vil (</w:t>
      </w:r>
      <w:proofErr w:type="spellStart"/>
      <w:r w:rsidRPr="000B7DEA">
        <w:rPr>
          <w:i/>
          <w:iCs/>
        </w:rPr>
        <w:t>kucchita</w:t>
      </w:r>
      <w:proofErr w:type="spellEnd"/>
      <w:r>
        <w:t xml:space="preserve">) debido a su repulsión, por lo que </w:t>
      </w:r>
      <w:r w:rsidR="006C0D70">
        <w:t xml:space="preserve">se le designará </w:t>
      </w:r>
      <w:r>
        <w:t>"lo cortado" (</w:t>
      </w:r>
      <w:proofErr w:type="spellStart"/>
      <w:r w:rsidRPr="000B7DEA">
        <w:rPr>
          <w:i/>
          <w:iCs/>
        </w:rPr>
        <w:t>vicchiddaka</w:t>
      </w:r>
      <w:proofErr w:type="spellEnd"/>
      <w:r>
        <w:t xml:space="preserve">). Este </w:t>
      </w:r>
      <w:r w:rsidR="006C0D70">
        <w:t xml:space="preserve">será </w:t>
      </w:r>
      <w:r>
        <w:t xml:space="preserve">un término para un cadáver cortado </w:t>
      </w:r>
      <w:r w:rsidR="006C0D70">
        <w:t>por</w:t>
      </w:r>
      <w:r>
        <w:t xml:space="preserve"> el medio. [179]</w:t>
      </w:r>
    </w:p>
    <w:p w14:paraId="77A60D77" w14:textId="323ADC16" w:rsidR="008568A7" w:rsidRDefault="008568A7" w:rsidP="008568A7">
      <w:r>
        <w:t xml:space="preserve">5. </w:t>
      </w:r>
      <w:r w:rsidR="00BA767F">
        <w:tab/>
      </w:r>
      <w:r w:rsidRPr="00BA767F">
        <w:rPr>
          <w:i/>
          <w:iCs/>
        </w:rPr>
        <w:t>Lo roído</w:t>
      </w:r>
      <w:r>
        <w:t>: lo que ha</w:t>
      </w:r>
      <w:r w:rsidR="005102E7">
        <w:t>ya</w:t>
      </w:r>
      <w:r>
        <w:t xml:space="preserve"> sido masticado aquí y allá de varias maneras por perros, chacales, etc., </w:t>
      </w:r>
      <w:r w:rsidR="009D195F">
        <w:t>será</w:t>
      </w:r>
      <w:r>
        <w:t xml:space="preserve"> lo que est</w:t>
      </w:r>
      <w:r w:rsidR="009D195F">
        <w:t>é</w:t>
      </w:r>
      <w:r>
        <w:t xml:space="preserve"> roído (</w:t>
      </w:r>
      <w:proofErr w:type="spellStart"/>
      <w:r w:rsidRPr="000B7DEA">
        <w:rPr>
          <w:i/>
          <w:iCs/>
        </w:rPr>
        <w:t>vikkhāyita</w:t>
      </w:r>
      <w:proofErr w:type="spellEnd"/>
      <w:r>
        <w:t>). Lo que se ro</w:t>
      </w:r>
      <w:r w:rsidR="009B4620">
        <w:t>a</w:t>
      </w:r>
      <w:r>
        <w:t xml:space="preserve"> </w:t>
      </w:r>
      <w:r w:rsidR="00E37ED5">
        <w:t>será</w:t>
      </w:r>
      <w:r>
        <w:t xml:space="preserve"> lo mismo que “lo roído” (</w:t>
      </w:r>
      <w:proofErr w:type="spellStart"/>
      <w:r w:rsidRPr="000B7DEA">
        <w:rPr>
          <w:i/>
          <w:iCs/>
        </w:rPr>
        <w:t>vikkhāyitaka</w:t>
      </w:r>
      <w:proofErr w:type="spellEnd"/>
      <w:r>
        <w:t>). O alternativamente, lo que se ro</w:t>
      </w:r>
      <w:r w:rsidR="00E37ED5">
        <w:t>a</w:t>
      </w:r>
      <w:r>
        <w:t xml:space="preserve"> (</w:t>
      </w:r>
      <w:proofErr w:type="spellStart"/>
      <w:r w:rsidRPr="000B7DEA">
        <w:rPr>
          <w:i/>
          <w:iCs/>
        </w:rPr>
        <w:t>vikkhāyita</w:t>
      </w:r>
      <w:proofErr w:type="spellEnd"/>
      <w:r>
        <w:t xml:space="preserve">) </w:t>
      </w:r>
      <w:r w:rsidR="00161808">
        <w:t>será</w:t>
      </w:r>
      <w:r>
        <w:t xml:space="preserve"> vil (</w:t>
      </w:r>
      <w:proofErr w:type="spellStart"/>
      <w:r w:rsidRPr="000B7DEA">
        <w:rPr>
          <w:i/>
          <w:iCs/>
        </w:rPr>
        <w:t>kucchita</w:t>
      </w:r>
      <w:proofErr w:type="spellEnd"/>
      <w:r>
        <w:t xml:space="preserve">) debido </w:t>
      </w:r>
      <w:r w:rsidR="00161808">
        <w:t>u</w:t>
      </w:r>
    </w:p>
    <w:p w14:paraId="688C5A5D" w14:textId="7649F37B" w:rsidR="00B61C9C" w:rsidRDefault="00B61C9C" w:rsidP="00B61C9C">
      <w:pPr>
        <w:pStyle w:val="Piedepgina"/>
        <w:rPr>
          <w:u w:val="single"/>
        </w:rPr>
      </w:pPr>
      <w:r>
        <w:rPr>
          <w:u w:val="single"/>
        </w:rPr>
        <w:t xml:space="preserve">                                                                                                                                                                             .</w:t>
      </w:r>
    </w:p>
    <w:p w14:paraId="4172B1E7" w14:textId="124BDBDA" w:rsidR="008568A7" w:rsidRDefault="008568A7" w:rsidP="00B61C9C">
      <w:pPr>
        <w:pStyle w:val="PiedepginaLegal"/>
      </w:pPr>
      <w:r>
        <w:t xml:space="preserve">1. </w:t>
      </w:r>
      <w:r w:rsidR="00B61C9C">
        <w:tab/>
      </w:r>
      <w:r>
        <w:t>No es posible traducir tales derivaciones de significado asociativ</w:t>
      </w:r>
      <w:r w:rsidR="00510626">
        <w:t>o</w:t>
      </w:r>
      <w:r>
        <w:t>s y aliterad</w:t>
      </w:r>
      <w:r w:rsidR="00510626">
        <w:t>o</w:t>
      </w:r>
      <w:r>
        <w:t>s al inglés</w:t>
      </w:r>
      <w:r w:rsidR="00510626">
        <w:t xml:space="preserve"> </w:t>
      </w:r>
      <w:r w:rsidR="00510626" w:rsidRPr="00510626">
        <w:t>[</w:t>
      </w:r>
      <w:r w:rsidR="00510626">
        <w:t>tampoco al español</w:t>
      </w:r>
      <w:r w:rsidR="00510626" w:rsidRPr="00510626">
        <w:t>]</w:t>
      </w:r>
      <w:r>
        <w:t>. No tienen nada que ver con el desarrollo histórico de las palabras, y su propósito es puramente mnemotécnico.</w:t>
      </w:r>
    </w:p>
    <w:p w14:paraId="654C5681" w14:textId="18813CA1" w:rsidR="00B61C9C" w:rsidRDefault="008568A7" w:rsidP="00EB1BA3">
      <w:pPr>
        <w:pStyle w:val="PiedepginaLegal"/>
      </w:pPr>
      <w:r>
        <w:t xml:space="preserve">2. </w:t>
      </w:r>
      <w:r w:rsidR="00B61C9C">
        <w:tab/>
      </w:r>
      <w:proofErr w:type="spellStart"/>
      <w:r w:rsidRPr="000B7DEA">
        <w:rPr>
          <w:i/>
          <w:iCs/>
        </w:rPr>
        <w:t>Apavārita</w:t>
      </w:r>
      <w:proofErr w:type="spellEnd"/>
      <w:r>
        <w:t xml:space="preserve">—“abierto”: no </w:t>
      </w:r>
      <w:r w:rsidR="00510626">
        <w:t xml:space="preserve">encontrado </w:t>
      </w:r>
      <w:r>
        <w:t xml:space="preserve">en </w:t>
      </w:r>
      <w:r w:rsidR="00510626">
        <w:t xml:space="preserve">el </w:t>
      </w:r>
      <w:r>
        <w:t>PED.</w:t>
      </w:r>
      <w:r w:rsidR="00B61C9C">
        <w:br w:type="page"/>
      </w:r>
    </w:p>
    <w:p w14:paraId="6E210A6A" w14:textId="30FFB1CC" w:rsidR="00A62036" w:rsidRDefault="00A62036" w:rsidP="00A62036">
      <w:r>
        <w:lastRenderedPageBreak/>
        <w:t xml:space="preserve">repulsión, por lo que </w:t>
      </w:r>
      <w:r w:rsidR="006C0D70">
        <w:t>se le designará</w:t>
      </w:r>
      <w:r>
        <w:t xml:space="preserve"> “lo roído” (</w:t>
      </w:r>
      <w:proofErr w:type="spellStart"/>
      <w:r w:rsidRPr="000B7DEA">
        <w:rPr>
          <w:i/>
          <w:iCs/>
        </w:rPr>
        <w:t>vikkhāyitaka</w:t>
      </w:r>
      <w:proofErr w:type="spellEnd"/>
      <w:r>
        <w:t xml:space="preserve">). </w:t>
      </w:r>
      <w:r w:rsidR="006C0D70">
        <w:t>É</w:t>
      </w:r>
      <w:r>
        <w:t xml:space="preserve">ste </w:t>
      </w:r>
      <w:r w:rsidR="006C0D70">
        <w:t xml:space="preserve">será </w:t>
      </w:r>
      <w:r>
        <w:t xml:space="preserve">un término para un cadáver en ese estado </w:t>
      </w:r>
      <w:r w:rsidR="00161808">
        <w:t xml:space="preserve">en </w:t>
      </w:r>
      <w:r>
        <w:t>particular.</w:t>
      </w:r>
    </w:p>
    <w:p w14:paraId="04996997" w14:textId="05E382E0" w:rsidR="00A62036" w:rsidRDefault="00A62036" w:rsidP="00A62036">
      <w:r>
        <w:t xml:space="preserve">6. </w:t>
      </w:r>
      <w:r>
        <w:tab/>
      </w:r>
      <w:r w:rsidRPr="00BA767F">
        <w:rPr>
          <w:i/>
          <w:iCs/>
        </w:rPr>
        <w:t>Lo disperso</w:t>
      </w:r>
      <w:r>
        <w:t xml:space="preserve">: </w:t>
      </w:r>
      <w:r w:rsidR="006C0D70">
        <w:t xml:space="preserve">a </w:t>
      </w:r>
      <w:r>
        <w:t xml:space="preserve">lo que </w:t>
      </w:r>
      <w:r w:rsidR="00B44A2A">
        <w:t>se encuentre</w:t>
      </w:r>
      <w:r>
        <w:t xml:space="preserve"> </w:t>
      </w:r>
      <w:r w:rsidR="00DE4F02">
        <w:t>esparcido</w:t>
      </w:r>
      <w:r w:rsidR="00B44A2A">
        <w:t xml:space="preserve"> </w:t>
      </w:r>
      <w:r>
        <w:t>(</w:t>
      </w:r>
      <w:proofErr w:type="spellStart"/>
      <w:r w:rsidRPr="000B7DEA">
        <w:rPr>
          <w:i/>
          <w:iCs/>
        </w:rPr>
        <w:t>vividhaṃ</w:t>
      </w:r>
      <w:proofErr w:type="spellEnd"/>
      <w:r>
        <w:t xml:space="preserve"> </w:t>
      </w:r>
      <w:proofErr w:type="spellStart"/>
      <w:r w:rsidRPr="000B7DEA">
        <w:rPr>
          <w:i/>
          <w:iCs/>
        </w:rPr>
        <w:t>khittaṃ</w:t>
      </w:r>
      <w:proofErr w:type="spellEnd"/>
      <w:r>
        <w:t xml:space="preserve">) </w:t>
      </w:r>
      <w:r w:rsidR="00DE4F02">
        <w:t xml:space="preserve">se le denominará </w:t>
      </w:r>
      <w:r w:rsidR="00094BE1">
        <w:t>lo</w:t>
      </w:r>
      <w:r>
        <w:t xml:space="preserve"> disperso (</w:t>
      </w:r>
      <w:proofErr w:type="spellStart"/>
      <w:r w:rsidRPr="000B7DEA">
        <w:rPr>
          <w:i/>
          <w:iCs/>
        </w:rPr>
        <w:t>vikkhittaṃ</w:t>
      </w:r>
      <w:proofErr w:type="spellEnd"/>
      <w:r>
        <w:t xml:space="preserve">). Lo que </w:t>
      </w:r>
      <w:r w:rsidR="003639A4">
        <w:t xml:space="preserve">se encuentre </w:t>
      </w:r>
      <w:r>
        <w:t xml:space="preserve">disperso </w:t>
      </w:r>
      <w:r w:rsidR="003639A4">
        <w:t xml:space="preserve">será </w:t>
      </w:r>
      <w:r>
        <w:t>lo mismo que “lo disperso” (</w:t>
      </w:r>
      <w:proofErr w:type="spellStart"/>
      <w:r w:rsidRPr="000B7DEA">
        <w:rPr>
          <w:i/>
          <w:iCs/>
        </w:rPr>
        <w:t>vikkhittaka</w:t>
      </w:r>
      <w:proofErr w:type="spellEnd"/>
      <w:r>
        <w:t>). O alternativamente, lo que est</w:t>
      </w:r>
      <w:r w:rsidR="003639A4">
        <w:t>é</w:t>
      </w:r>
      <w:r>
        <w:t xml:space="preserve"> disperso (</w:t>
      </w:r>
      <w:proofErr w:type="spellStart"/>
      <w:r w:rsidRPr="000B7DEA">
        <w:rPr>
          <w:i/>
          <w:iCs/>
        </w:rPr>
        <w:t>vikkhitta</w:t>
      </w:r>
      <w:proofErr w:type="spellEnd"/>
      <w:r>
        <w:t xml:space="preserve">) </w:t>
      </w:r>
      <w:r w:rsidR="003639A4">
        <w:t>será</w:t>
      </w:r>
      <w:r>
        <w:t xml:space="preserve"> vil (</w:t>
      </w:r>
      <w:proofErr w:type="spellStart"/>
      <w:r w:rsidRPr="000B7DEA">
        <w:rPr>
          <w:i/>
          <w:iCs/>
        </w:rPr>
        <w:t>kucchita</w:t>
      </w:r>
      <w:proofErr w:type="spellEnd"/>
      <w:r>
        <w:t xml:space="preserve">) debido a su repulsión, por lo que </w:t>
      </w:r>
      <w:r w:rsidR="00D005B9">
        <w:t xml:space="preserve">se denominará </w:t>
      </w:r>
      <w:r>
        <w:t>“lo disperso” (</w:t>
      </w:r>
      <w:proofErr w:type="spellStart"/>
      <w:r w:rsidRPr="000B7DEA">
        <w:rPr>
          <w:i/>
          <w:iCs/>
        </w:rPr>
        <w:t>vikkhittaka</w:t>
      </w:r>
      <w:proofErr w:type="spellEnd"/>
      <w:r>
        <w:t xml:space="preserve">). </w:t>
      </w:r>
      <w:r w:rsidR="00D005B9">
        <w:t>É</w:t>
      </w:r>
      <w:r>
        <w:t xml:space="preserve">ste </w:t>
      </w:r>
      <w:r w:rsidR="003639A4">
        <w:t xml:space="preserve">será </w:t>
      </w:r>
      <w:r>
        <w:t xml:space="preserve">un término para un cadáver que </w:t>
      </w:r>
      <w:r w:rsidR="003639A4">
        <w:t xml:space="preserve">se encuentre </w:t>
      </w:r>
      <w:r>
        <w:t xml:space="preserve">aquí y allá de esta manera: “Aquí una mano, allá un pie, allá </w:t>
      </w:r>
      <w:r w:rsidR="003639A4">
        <w:t xml:space="preserve">la </w:t>
      </w:r>
      <w:r>
        <w:t>cabeza” (cf. M I 58).</w:t>
      </w:r>
    </w:p>
    <w:p w14:paraId="0C747AAF" w14:textId="46D0627B" w:rsidR="00A62036" w:rsidRDefault="00A62036" w:rsidP="00A62036">
      <w:r>
        <w:t xml:space="preserve">7. </w:t>
      </w:r>
      <w:r>
        <w:tab/>
      </w:r>
      <w:r w:rsidRPr="009B0196">
        <w:rPr>
          <w:i/>
          <w:iCs/>
        </w:rPr>
        <w:t>Lo cortado y disperso</w:t>
      </w:r>
      <w:r>
        <w:t xml:space="preserve">: </w:t>
      </w:r>
      <w:r w:rsidR="00EF29A5">
        <w:t xml:space="preserve">lo que </w:t>
      </w:r>
      <w:r w:rsidR="00A95D93">
        <w:t>se encuentre</w:t>
      </w:r>
      <w:r>
        <w:t xml:space="preserve"> cortado y disperso de la manera que acabamos de describir, </w:t>
      </w:r>
      <w:r w:rsidR="00A95D93">
        <w:t xml:space="preserve">se denominará </w:t>
      </w:r>
      <w:r w:rsidR="00EF29A5">
        <w:t xml:space="preserve">por lo tanto </w:t>
      </w:r>
      <w:r>
        <w:t>“</w:t>
      </w:r>
      <w:r w:rsidR="00A95D93">
        <w:t xml:space="preserve">lo </w:t>
      </w:r>
      <w:r>
        <w:t>cortado y disperso” (</w:t>
      </w:r>
      <w:proofErr w:type="spellStart"/>
      <w:r w:rsidRPr="000B7DEA">
        <w:rPr>
          <w:i/>
          <w:iCs/>
        </w:rPr>
        <w:t>hata</w:t>
      </w:r>
      <w:r>
        <w:t>-</w:t>
      </w:r>
      <w:r w:rsidRPr="000B7DEA">
        <w:rPr>
          <w:i/>
          <w:iCs/>
        </w:rPr>
        <w:t>vikkhittaka</w:t>
      </w:r>
      <w:proofErr w:type="spellEnd"/>
      <w:r>
        <w:t xml:space="preserve">). </w:t>
      </w:r>
      <w:r w:rsidR="00A95D93">
        <w:t>É</w:t>
      </w:r>
      <w:r>
        <w:t xml:space="preserve">ste </w:t>
      </w:r>
      <w:r w:rsidR="00EF29A5">
        <w:t xml:space="preserve">será </w:t>
      </w:r>
      <w:r>
        <w:t xml:space="preserve">un término para un cadáver </w:t>
      </w:r>
      <w:r w:rsidR="00EF29A5" w:rsidRPr="00EF29A5">
        <w:t xml:space="preserve">disperso </w:t>
      </w:r>
      <w:r>
        <w:t xml:space="preserve">en la forma que </w:t>
      </w:r>
      <w:r w:rsidR="00EF29A5">
        <w:t xml:space="preserve">lo </w:t>
      </w:r>
      <w:r>
        <w:t>acabamos de describir después de haber sido cortado con un cuchillo en forma de pata de gallo en cada miembro.</w:t>
      </w:r>
    </w:p>
    <w:p w14:paraId="6B934138" w14:textId="5820A5D8" w:rsidR="00A62036" w:rsidRDefault="00A62036" w:rsidP="00A62036">
      <w:r>
        <w:t xml:space="preserve">8. </w:t>
      </w:r>
      <w:r>
        <w:tab/>
      </w:r>
      <w:r w:rsidR="006F35AE" w:rsidRPr="006F35AE">
        <w:rPr>
          <w:i/>
          <w:iCs/>
        </w:rPr>
        <w:t>Lo</w:t>
      </w:r>
      <w:r w:rsidRPr="006F35AE">
        <w:rPr>
          <w:i/>
          <w:iCs/>
        </w:rPr>
        <w:t xml:space="preserve"> sangrado</w:t>
      </w:r>
      <w:r>
        <w:t xml:space="preserve">: </w:t>
      </w:r>
      <w:r w:rsidR="00A95D93">
        <w:t xml:space="preserve">será </w:t>
      </w:r>
      <w:r w:rsidR="00E04FED">
        <w:t xml:space="preserve">lo que </w:t>
      </w:r>
      <w:r>
        <w:t>salpi</w:t>
      </w:r>
      <w:r w:rsidR="00E04FED">
        <w:t>que</w:t>
      </w:r>
      <w:r>
        <w:t xml:space="preserve"> (</w:t>
      </w:r>
      <w:proofErr w:type="spellStart"/>
      <w:r w:rsidRPr="000B7DEA">
        <w:rPr>
          <w:i/>
          <w:iCs/>
        </w:rPr>
        <w:t>kirati</w:t>
      </w:r>
      <w:proofErr w:type="spellEnd"/>
      <w:r>
        <w:t xml:space="preserve">), </w:t>
      </w:r>
      <w:r w:rsidR="00E04FED">
        <w:t xml:space="preserve">se </w:t>
      </w:r>
      <w:r>
        <w:t>espar</w:t>
      </w:r>
      <w:r w:rsidR="00E04FED">
        <w:t>za</w:t>
      </w:r>
      <w:r>
        <w:t>, sangre (</w:t>
      </w:r>
      <w:proofErr w:type="spellStart"/>
      <w:r w:rsidRPr="000B7DEA">
        <w:rPr>
          <w:i/>
          <w:iCs/>
        </w:rPr>
        <w:t>lohita</w:t>
      </w:r>
      <w:proofErr w:type="spellEnd"/>
      <w:r>
        <w:t>), y gote</w:t>
      </w:r>
      <w:r w:rsidR="00E04FED">
        <w:t>e</w:t>
      </w:r>
      <w:r>
        <w:t xml:space="preserve"> aquí y allá, por e</w:t>
      </w:r>
      <w:r w:rsidR="00E04FED">
        <w:t>ll</w:t>
      </w:r>
      <w:r>
        <w:t xml:space="preserve">o </w:t>
      </w:r>
      <w:r w:rsidR="00A95D93">
        <w:t xml:space="preserve">se le denominará </w:t>
      </w:r>
      <w:r>
        <w:t>“l</w:t>
      </w:r>
      <w:r w:rsidR="00E04FED">
        <w:t>o</w:t>
      </w:r>
      <w:r>
        <w:t xml:space="preserve"> sangrado” (</w:t>
      </w:r>
      <w:proofErr w:type="spellStart"/>
      <w:r w:rsidRPr="000B7DEA">
        <w:rPr>
          <w:i/>
          <w:iCs/>
        </w:rPr>
        <w:t>lohitaka</w:t>
      </w:r>
      <w:proofErr w:type="spellEnd"/>
      <w:r>
        <w:t xml:space="preserve">). </w:t>
      </w:r>
      <w:r w:rsidR="00E04FED">
        <w:t>É</w:t>
      </w:r>
      <w:r>
        <w:t xml:space="preserve">ste </w:t>
      </w:r>
      <w:r w:rsidR="00E04FED">
        <w:t xml:space="preserve">será </w:t>
      </w:r>
      <w:r>
        <w:t xml:space="preserve">un término para un cadáver manchado </w:t>
      </w:r>
      <w:r w:rsidR="00E04FED">
        <w:t>de</w:t>
      </w:r>
      <w:r>
        <w:t xml:space="preserve"> sangre </w:t>
      </w:r>
      <w:r w:rsidR="00E04FED">
        <w:t xml:space="preserve">y </w:t>
      </w:r>
      <w:r>
        <w:t>que gote</w:t>
      </w:r>
      <w:r w:rsidR="00A95D93">
        <w:t>e</w:t>
      </w:r>
      <w:r>
        <w:t>.</w:t>
      </w:r>
    </w:p>
    <w:p w14:paraId="0B3A03A6" w14:textId="2E3DAEAB" w:rsidR="00A62036" w:rsidRDefault="00A62036" w:rsidP="00A62036">
      <w:r>
        <w:t xml:space="preserve">9. </w:t>
      </w:r>
      <w:r>
        <w:tab/>
      </w:r>
      <w:r w:rsidRPr="006F35AE">
        <w:rPr>
          <w:i/>
          <w:iCs/>
        </w:rPr>
        <w:t>Lo infestado de gusanos</w:t>
      </w:r>
      <w:r>
        <w:t xml:space="preserve">: </w:t>
      </w:r>
      <w:r w:rsidR="002E7C5F">
        <w:t xml:space="preserve">se referirá </w:t>
      </w:r>
      <w:r w:rsidR="00B34055">
        <w:t xml:space="preserve">a </w:t>
      </w:r>
      <w:r>
        <w:t>l</w:t>
      </w:r>
      <w:r w:rsidR="00EC3E6D">
        <w:t>a</w:t>
      </w:r>
      <w:r>
        <w:t xml:space="preserve">s </w:t>
      </w:r>
      <w:r w:rsidR="00EC3E6D">
        <w:t>larvas largas</w:t>
      </w:r>
      <w:r>
        <w:t xml:space="preserve"> </w:t>
      </w:r>
      <w:r w:rsidR="00BA7F52">
        <w:t xml:space="preserve">a </w:t>
      </w:r>
      <w:r>
        <w:t xml:space="preserve">los que se </w:t>
      </w:r>
      <w:r w:rsidR="00BA7F52">
        <w:t xml:space="preserve">les </w:t>
      </w:r>
      <w:r>
        <w:t>llam</w:t>
      </w:r>
      <w:r w:rsidR="00BA7F52">
        <w:t>ará</w:t>
      </w:r>
      <w:r>
        <w:t xml:space="preserve"> gusanos (</w:t>
      </w:r>
      <w:proofErr w:type="spellStart"/>
      <w:r w:rsidRPr="00395A74">
        <w:rPr>
          <w:i/>
          <w:iCs/>
        </w:rPr>
        <w:t>puḷuva</w:t>
      </w:r>
      <w:proofErr w:type="spellEnd"/>
      <w:r>
        <w:t xml:space="preserve">); </w:t>
      </w:r>
      <w:r w:rsidR="00184D5E">
        <w:t>estará esparcido de</w:t>
      </w:r>
      <w:r>
        <w:t xml:space="preserve"> gusanos (</w:t>
      </w:r>
      <w:proofErr w:type="spellStart"/>
      <w:r w:rsidRPr="000B7DEA">
        <w:rPr>
          <w:i/>
          <w:iCs/>
        </w:rPr>
        <w:t>puḷuve</w:t>
      </w:r>
      <w:proofErr w:type="spellEnd"/>
      <w:r w:rsidRPr="000B7DEA">
        <w:rPr>
          <w:i/>
          <w:iCs/>
        </w:rPr>
        <w:t xml:space="preserve"> </w:t>
      </w:r>
      <w:proofErr w:type="spellStart"/>
      <w:r w:rsidRPr="000B7DEA">
        <w:rPr>
          <w:i/>
          <w:iCs/>
        </w:rPr>
        <w:t>kirati</w:t>
      </w:r>
      <w:proofErr w:type="spellEnd"/>
      <w:r>
        <w:t>), por lo que est</w:t>
      </w:r>
      <w:r w:rsidR="00184D5E">
        <w:t>ar</w:t>
      </w:r>
      <w:r>
        <w:t>á infestado de gusanos (</w:t>
      </w:r>
      <w:proofErr w:type="spellStart"/>
      <w:r w:rsidRPr="000B7DEA">
        <w:rPr>
          <w:i/>
          <w:iCs/>
        </w:rPr>
        <w:t>puḷuvaka</w:t>
      </w:r>
      <w:proofErr w:type="spellEnd"/>
      <w:r>
        <w:t xml:space="preserve">). </w:t>
      </w:r>
      <w:r w:rsidR="00184D5E">
        <w:t>É</w:t>
      </w:r>
      <w:r>
        <w:t xml:space="preserve">ste </w:t>
      </w:r>
      <w:r w:rsidR="002E7C5F">
        <w:t xml:space="preserve">será </w:t>
      </w:r>
      <w:r>
        <w:t>un término para un cadáver lleno de gusanos.</w:t>
      </w:r>
    </w:p>
    <w:p w14:paraId="4BAAA5FC" w14:textId="06B04087" w:rsidR="00A62036" w:rsidRDefault="00A62036" w:rsidP="00A62036">
      <w:r>
        <w:t xml:space="preserve">10. </w:t>
      </w:r>
      <w:r>
        <w:tab/>
      </w:r>
      <w:r w:rsidR="00CD566D" w:rsidRPr="002E7C5F">
        <w:rPr>
          <w:i/>
          <w:iCs/>
        </w:rPr>
        <w:t>El</w:t>
      </w:r>
      <w:r w:rsidRPr="006F35AE">
        <w:rPr>
          <w:i/>
          <w:iCs/>
        </w:rPr>
        <w:t xml:space="preserve"> esqueleto</w:t>
      </w:r>
      <w:r>
        <w:t xml:space="preserve">: </w:t>
      </w:r>
      <w:r w:rsidR="00E31339">
        <w:t xml:space="preserve">cualquier </w:t>
      </w:r>
      <w:r>
        <w:t>hueso (</w:t>
      </w:r>
      <w:proofErr w:type="spellStart"/>
      <w:r w:rsidRPr="000B7DEA">
        <w:rPr>
          <w:i/>
          <w:iCs/>
        </w:rPr>
        <w:t>aṭṭhi</w:t>
      </w:r>
      <w:proofErr w:type="spellEnd"/>
      <w:r>
        <w:t xml:space="preserve">) </w:t>
      </w:r>
      <w:r w:rsidR="00CD566D">
        <w:t xml:space="preserve">será </w:t>
      </w:r>
      <w:r>
        <w:t xml:space="preserve">lo mismo que </w:t>
      </w:r>
      <w:r w:rsidR="00E31339">
        <w:t xml:space="preserve">el </w:t>
      </w:r>
      <w:r>
        <w:t>esqueleto (</w:t>
      </w:r>
      <w:proofErr w:type="spellStart"/>
      <w:r w:rsidRPr="000B7DEA">
        <w:rPr>
          <w:i/>
          <w:iCs/>
        </w:rPr>
        <w:t>aṭṭhika</w:t>
      </w:r>
      <w:proofErr w:type="spellEnd"/>
      <w:r>
        <w:t xml:space="preserve">). O alternativamente, </w:t>
      </w:r>
      <w:r w:rsidR="00CD566D">
        <w:t>un</w:t>
      </w:r>
      <w:r>
        <w:t xml:space="preserve"> hueso (</w:t>
      </w:r>
      <w:proofErr w:type="spellStart"/>
      <w:r w:rsidRPr="000B7DEA">
        <w:rPr>
          <w:i/>
          <w:iCs/>
        </w:rPr>
        <w:t>aṭṭhi</w:t>
      </w:r>
      <w:proofErr w:type="spellEnd"/>
      <w:r>
        <w:t xml:space="preserve">) </w:t>
      </w:r>
      <w:r w:rsidR="00CD566D">
        <w:t xml:space="preserve">será </w:t>
      </w:r>
      <w:r>
        <w:t>vil (</w:t>
      </w:r>
      <w:proofErr w:type="spellStart"/>
      <w:r w:rsidRPr="000B7DEA">
        <w:rPr>
          <w:i/>
          <w:iCs/>
        </w:rPr>
        <w:t>kucchita</w:t>
      </w:r>
      <w:proofErr w:type="spellEnd"/>
      <w:r>
        <w:t xml:space="preserve">) debido a su repulsión, por lo que </w:t>
      </w:r>
      <w:r w:rsidR="00E31339">
        <w:t xml:space="preserve">se le denominará </w:t>
      </w:r>
      <w:r>
        <w:t>esqueleto (</w:t>
      </w:r>
      <w:proofErr w:type="spellStart"/>
      <w:r w:rsidRPr="000B7DEA">
        <w:rPr>
          <w:i/>
          <w:iCs/>
        </w:rPr>
        <w:t>aṭṭhika</w:t>
      </w:r>
      <w:proofErr w:type="spellEnd"/>
      <w:r>
        <w:t xml:space="preserve">). </w:t>
      </w:r>
      <w:r w:rsidR="00CD566D">
        <w:t>É</w:t>
      </w:r>
      <w:r>
        <w:t xml:space="preserve">ste </w:t>
      </w:r>
      <w:r w:rsidR="00CD566D">
        <w:t xml:space="preserve">será </w:t>
      </w:r>
      <w:r>
        <w:t xml:space="preserve">un término tanto para un solo hueso como para </w:t>
      </w:r>
      <w:r w:rsidR="00E31339">
        <w:t>toda la</w:t>
      </w:r>
      <w:r>
        <w:t xml:space="preserve"> estructura </w:t>
      </w:r>
      <w:r w:rsidR="00E31339">
        <w:t>ósea</w:t>
      </w:r>
      <w:r>
        <w:t>.</w:t>
      </w:r>
    </w:p>
    <w:p w14:paraId="6CAE949A" w14:textId="7004A932" w:rsidR="00A62036" w:rsidRDefault="00A62036" w:rsidP="00A62036">
      <w:r>
        <w:t xml:space="preserve">11. </w:t>
      </w:r>
      <w:r w:rsidR="006F35AE">
        <w:tab/>
      </w:r>
      <w:r>
        <w:t xml:space="preserve">Estos nombres también se </w:t>
      </w:r>
      <w:r w:rsidR="00BF2765">
        <w:t xml:space="preserve">utilizarán </w:t>
      </w:r>
      <w:r>
        <w:t>tanto para los signos que sur</w:t>
      </w:r>
      <w:r w:rsidR="00BF2765">
        <w:t>ja</w:t>
      </w:r>
      <w:r>
        <w:t xml:space="preserve">n con la hinchazón, etc., como su soporte, como para los </w:t>
      </w:r>
      <w:proofErr w:type="spellStart"/>
      <w:r w:rsidR="00057BF4" w:rsidRPr="00057BF4">
        <w:rPr>
          <w:i/>
          <w:iCs/>
        </w:rPr>
        <w:t>jhāna</w:t>
      </w:r>
      <w:r w:rsidRPr="000B7DEA">
        <w:rPr>
          <w:i/>
          <w:iCs/>
        </w:rPr>
        <w:t>s</w:t>
      </w:r>
      <w:proofErr w:type="spellEnd"/>
      <w:r>
        <w:t xml:space="preserve"> obtenidos en los signos.</w:t>
      </w:r>
    </w:p>
    <w:p w14:paraId="0087D2E8" w14:textId="6CF9F2A7" w:rsidR="00A62036" w:rsidRDefault="00A62036" w:rsidP="00A62036">
      <w:pPr>
        <w:pStyle w:val="Ttulo3"/>
        <w:ind w:left="708"/>
      </w:pPr>
      <w:r>
        <w:t>[</w:t>
      </w:r>
      <w:r w:rsidR="00BF2765">
        <w:t>Lo</w:t>
      </w:r>
      <w:r>
        <w:t xml:space="preserve"> Hinchado]</w:t>
      </w:r>
    </w:p>
    <w:p w14:paraId="75B2C49A" w14:textId="017CD988" w:rsidR="00A62036" w:rsidRDefault="00A62036" w:rsidP="00A62036">
      <w:r>
        <w:t xml:space="preserve">12. </w:t>
      </w:r>
      <w:r>
        <w:tab/>
        <w:t>Aquí, cuando un meditador quier</w:t>
      </w:r>
      <w:r w:rsidR="00BF2765">
        <w:t>a</w:t>
      </w:r>
      <w:r>
        <w:t xml:space="preserve"> desarrollar el </w:t>
      </w:r>
      <w:proofErr w:type="spellStart"/>
      <w:r w:rsidR="00057BF4" w:rsidRPr="00057BF4">
        <w:rPr>
          <w:i/>
          <w:iCs/>
        </w:rPr>
        <w:t>jhāna</w:t>
      </w:r>
      <w:proofErr w:type="spellEnd"/>
      <w:r>
        <w:t xml:space="preserve"> "</w:t>
      </w:r>
      <w:r w:rsidR="00BF2765">
        <w:t xml:space="preserve">de </w:t>
      </w:r>
      <w:r>
        <w:t xml:space="preserve">lo hinchado" despertando el signo de lo hinchado en un cuerpo hinchado, debe, de la manera ya descrita, acercarse a un maestro del tipo mencionado </w:t>
      </w:r>
      <w:r w:rsidR="00096A72">
        <w:t>en el caso</w:t>
      </w:r>
      <w:r>
        <w:t xml:space="preserve"> </w:t>
      </w:r>
      <w:r w:rsidR="00096A72">
        <w:t>d</w:t>
      </w:r>
      <w:r w:rsidR="00BF2765">
        <w:t>e</w:t>
      </w:r>
      <w:r>
        <w:t xml:space="preserve">l </w:t>
      </w:r>
      <w:proofErr w:type="spellStart"/>
      <w:r w:rsidR="00057BF4" w:rsidRPr="00057BF4">
        <w:rPr>
          <w:i/>
          <w:iCs/>
        </w:rPr>
        <w:t>kasiṇa</w:t>
      </w:r>
      <w:proofErr w:type="spellEnd"/>
      <w:r>
        <w:t xml:space="preserve"> </w:t>
      </w:r>
      <w:r w:rsidR="00BF2765">
        <w:t xml:space="preserve">tierra </w:t>
      </w:r>
      <w:r>
        <w:t xml:space="preserve">y aprender el </w:t>
      </w:r>
      <w:r w:rsidR="00096A72">
        <w:t xml:space="preserve">objeto </w:t>
      </w:r>
      <w:r>
        <w:t xml:space="preserve">de la meditación de él. Al explicarle el </w:t>
      </w:r>
      <w:r w:rsidR="00096A72">
        <w:t xml:space="preserve">objeto </w:t>
      </w:r>
      <w:r>
        <w:t>de meditación, el maestro debe</w:t>
      </w:r>
      <w:r w:rsidR="00096A72">
        <w:t>rá</w:t>
      </w:r>
      <w:r>
        <w:t xml:space="preserve"> explicarlo todo, es decir, las instrucciones para </w:t>
      </w:r>
      <w:r w:rsidR="00F14996">
        <w:t>acudir ante</w:t>
      </w:r>
      <w:r>
        <w:t xml:space="preserve"> el objet</w:t>
      </w:r>
      <w:r w:rsidR="00EE5C10">
        <w:t>o</w:t>
      </w:r>
      <w:r>
        <w:t xml:space="preserve"> </w:t>
      </w:r>
      <w:r w:rsidR="00EE5C10">
        <w:t>y</w:t>
      </w:r>
      <w:r>
        <w:t xml:space="preserve"> adquirir el signo de </w:t>
      </w:r>
      <w:r w:rsidR="00EE5C10">
        <w:t>la repugnancia</w:t>
      </w:r>
      <w:r>
        <w:t xml:space="preserve">, la caracterización de los signos circundantes, las once formas de aprehender el signo, la revisión del </w:t>
      </w:r>
      <w:r w:rsidR="00F14996">
        <w:t>camino</w:t>
      </w:r>
      <w:r>
        <w:t xml:space="preserve"> de ida y vuelta, concluyendo con las indicaciones para la absorción. Y cuando el meditador haya aprendido todo </w:t>
      </w:r>
      <w:r w:rsidR="00237465">
        <w:t>correctamente</w:t>
      </w:r>
      <w:r>
        <w:t>, debe</w:t>
      </w:r>
      <w:r w:rsidR="00237465">
        <w:t>rá</w:t>
      </w:r>
      <w:r>
        <w:t xml:space="preserve"> </w:t>
      </w:r>
      <w:r w:rsidR="00F14996">
        <w:t>acud</w:t>
      </w:r>
      <w:r>
        <w:t>ir a</w:t>
      </w:r>
      <w:r w:rsidR="00F14996">
        <w:t>l</w:t>
      </w:r>
      <w:r>
        <w:t xml:space="preserve"> </w:t>
      </w:r>
      <w:r w:rsidR="00237465">
        <w:t>lugar</w:t>
      </w:r>
      <w:r>
        <w:t xml:space="preserve"> de la clase ya descrita y vivir allí mientras </w:t>
      </w:r>
      <w:r w:rsidR="00237465">
        <w:t xml:space="preserve">procure el signo </w:t>
      </w:r>
      <w:r w:rsidR="00F14996">
        <w:t xml:space="preserve">sobre </w:t>
      </w:r>
      <w:r>
        <w:t>lo hinchado.</w:t>
      </w:r>
    </w:p>
    <w:p w14:paraId="662D3C3C" w14:textId="17445320" w:rsidR="00A62036" w:rsidRDefault="00A62036" w:rsidP="00A62036">
      <w:r>
        <w:t xml:space="preserve">13. </w:t>
      </w:r>
      <w:r>
        <w:tab/>
        <w:t>Mientras tanto, cuando o</w:t>
      </w:r>
      <w:r w:rsidR="0050302A">
        <w:t>iga</w:t>
      </w:r>
      <w:r>
        <w:t xml:space="preserve"> a la gente decir que en la puerta de alguna aldea o en algún camino o en el borde de algún bosque o en la base de alguna roca o en la raíz de algún árbol [180] o en algún osario ya</w:t>
      </w:r>
      <w:r w:rsidR="0050302A">
        <w:t>zca</w:t>
      </w:r>
      <w:r>
        <w:t xml:space="preserve"> un cadáver hinchado, no debe </w:t>
      </w:r>
      <w:r w:rsidR="0050302A">
        <w:t>acud</w:t>
      </w:r>
      <w:r>
        <w:t>ir allí de inmediato, como quien se sumer</w:t>
      </w:r>
      <w:r w:rsidR="00951E42">
        <w:t>ge</w:t>
      </w:r>
      <w:r>
        <w:t xml:space="preserve"> en un río donde no hay</w:t>
      </w:r>
      <w:r w:rsidR="00254D57">
        <w:t>a</w:t>
      </w:r>
      <w:r>
        <w:t xml:space="preserve"> vado.</w:t>
      </w:r>
    </w:p>
    <w:p w14:paraId="246F9CA7" w14:textId="4DC219A3" w:rsidR="002E7C8E" w:rsidRDefault="00A62036" w:rsidP="002E7C8E">
      <w:r>
        <w:t xml:space="preserve">14. </w:t>
      </w:r>
      <w:r>
        <w:tab/>
        <w:t>¿Por qué no? Porque est</w:t>
      </w:r>
      <w:r w:rsidR="00755041">
        <w:t>e</w:t>
      </w:r>
      <w:r>
        <w:t xml:space="preserve"> </w:t>
      </w:r>
      <w:r w:rsidR="00755041">
        <w:t>objeto de repugnancia</w:t>
      </w:r>
      <w:r>
        <w:t xml:space="preserve"> est</w:t>
      </w:r>
      <w:r w:rsidR="00755041">
        <w:t>ar</w:t>
      </w:r>
      <w:r>
        <w:t>á acosad</w:t>
      </w:r>
      <w:r w:rsidR="00755041">
        <w:t>o</w:t>
      </w:r>
      <w:r>
        <w:t xml:space="preserve"> por bestias salvajes y seres no humanos, y </w:t>
      </w:r>
      <w:r w:rsidR="002E7C8E">
        <w:t xml:space="preserve">el meditador </w:t>
      </w:r>
      <w:r>
        <w:t xml:space="preserve">podría arriesgar su vida allí. O tal vez el camino </w:t>
      </w:r>
      <w:r w:rsidR="00524CA3">
        <w:t xml:space="preserve">podría </w:t>
      </w:r>
      <w:r>
        <w:t>pasa</w:t>
      </w:r>
      <w:r w:rsidR="00524CA3">
        <w:t>r</w:t>
      </w:r>
      <w:r>
        <w:t xml:space="preserve"> por la puerta de un pueblo</w:t>
      </w:r>
      <w:r w:rsidR="00682E19">
        <w:t>,</w:t>
      </w:r>
      <w:r>
        <w:t xml:space="preserve"> un lugar de baño o un campo de regadío, y allí podría </w:t>
      </w:r>
      <w:r w:rsidR="00682E19">
        <w:t>ver</w:t>
      </w:r>
      <w:r>
        <w:t xml:space="preserve"> un objeto visible del sexo opuesto. O quizás el cuerpo sea del sexo opuesto; </w:t>
      </w:r>
      <w:r w:rsidR="00524CA3">
        <w:t xml:space="preserve">ya </w:t>
      </w:r>
      <w:r>
        <w:t xml:space="preserve">que </w:t>
      </w:r>
      <w:r w:rsidR="00524CA3">
        <w:t xml:space="preserve">a un hombre no le convendrá observar </w:t>
      </w:r>
      <w:r>
        <w:t xml:space="preserve">un cuerpo femenino, y el masculino a </w:t>
      </w:r>
      <w:r w:rsidR="00AB27A6">
        <w:t>un</w:t>
      </w:r>
      <w:r>
        <w:t xml:space="preserve">a mujer. Si solo </w:t>
      </w:r>
      <w:r w:rsidR="00303929">
        <w:t>ha muerto</w:t>
      </w:r>
      <w:r>
        <w:t xml:space="preserve"> </w:t>
      </w:r>
      <w:r w:rsidR="002E7C8E">
        <w:br w:type="page"/>
      </w:r>
    </w:p>
    <w:p w14:paraId="6D6B10E5" w14:textId="77777777" w:rsidR="00015AB2" w:rsidRDefault="00015AB2" w:rsidP="00123BDB">
      <w:pPr>
        <w:tabs>
          <w:tab w:val="clear" w:pos="425"/>
        </w:tabs>
        <w:spacing w:after="160"/>
      </w:pPr>
    </w:p>
    <w:p w14:paraId="74E4EA61" w14:textId="5B552B4D" w:rsidR="00123BDB" w:rsidRDefault="002E7C8E" w:rsidP="00123BDB">
      <w:pPr>
        <w:tabs>
          <w:tab w:val="clear" w:pos="425"/>
        </w:tabs>
        <w:spacing w:after="160"/>
      </w:pPr>
      <w:r>
        <w:t xml:space="preserve">recientemente, </w:t>
      </w:r>
      <w:r w:rsidR="00AB27A6">
        <w:t xml:space="preserve">incluso </w:t>
      </w:r>
      <w:r w:rsidR="00303929">
        <w:t>podría</w:t>
      </w:r>
      <w:r w:rsidR="00AB27A6">
        <w:t xml:space="preserve"> verse </w:t>
      </w:r>
      <w:r w:rsidR="00524CA3">
        <w:t xml:space="preserve">hasta </w:t>
      </w:r>
      <w:r w:rsidR="00AB27A6">
        <w:t xml:space="preserve">hermoso; por lo tanto, podría haber </w:t>
      </w:r>
      <w:r w:rsidR="00123BDB">
        <w:t xml:space="preserve">peligro </w:t>
      </w:r>
      <w:r w:rsidR="00303929">
        <w:t>en</w:t>
      </w:r>
      <w:r w:rsidR="00123BDB">
        <w:t xml:space="preserve"> la vida de pureza. Pero si se juzga a sí mismo así, “Esto no es difícil para alguien como yo”, entonces </w:t>
      </w:r>
      <w:r w:rsidR="00303929">
        <w:t>podrá acud</w:t>
      </w:r>
      <w:r w:rsidR="00123BDB">
        <w:t>ir allí.</w:t>
      </w:r>
    </w:p>
    <w:p w14:paraId="0D0072DE" w14:textId="5DD33E47" w:rsidR="00123BDB" w:rsidRDefault="00123BDB" w:rsidP="00123BDB">
      <w:r>
        <w:t xml:space="preserve">15. </w:t>
      </w:r>
      <w:r>
        <w:tab/>
        <w:t>Y cuando vaya</w:t>
      </w:r>
      <w:r w:rsidR="00524CA3">
        <w:t xml:space="preserve"> al lugar</w:t>
      </w:r>
      <w:r>
        <w:t>, debe</w:t>
      </w:r>
      <w:r w:rsidR="00524CA3">
        <w:t>ría</w:t>
      </w:r>
      <w:r>
        <w:t xml:space="preserve"> hacerlo solo después de haber hablado con el </w:t>
      </w:r>
      <w:r w:rsidR="003077E8">
        <w:t>Venerable</w:t>
      </w:r>
      <w:r>
        <w:t xml:space="preserve"> mayor de la Comunidad o con algún </w:t>
      </w:r>
      <w:proofErr w:type="spellStart"/>
      <w:r w:rsidR="00057BF4" w:rsidRPr="00057BF4">
        <w:rPr>
          <w:i/>
          <w:iCs/>
        </w:rPr>
        <w:t>bhikkhu</w:t>
      </w:r>
      <w:proofErr w:type="spellEnd"/>
      <w:r>
        <w:t xml:space="preserve"> conocido.</w:t>
      </w:r>
    </w:p>
    <w:p w14:paraId="65436A37" w14:textId="10217C0A" w:rsidR="00123BDB" w:rsidRDefault="00123BDB" w:rsidP="00123BDB">
      <w:r>
        <w:t xml:space="preserve">16. </w:t>
      </w:r>
      <w:r>
        <w:tab/>
        <w:t>¿Por qué? Porque si todos sus miembros se estremecen ante el osario, o si su garganta se eleva cuando se enfrenta a objetos desagradables tales como las formas y sonidos visibles de seres no humanos, leones, tigres, etc., o algo más lo afli</w:t>
      </w:r>
      <w:r w:rsidR="003077E8">
        <w:t>ja</w:t>
      </w:r>
      <w:r>
        <w:t xml:space="preserve">, entonces aquel a quien le </w:t>
      </w:r>
      <w:r w:rsidR="003077E8">
        <w:t>haya contado al respecto</w:t>
      </w:r>
      <w:r>
        <w:t xml:space="preserve"> tendrá su </w:t>
      </w:r>
      <w:r w:rsidR="003077E8">
        <w:t xml:space="preserve">cuenco </w:t>
      </w:r>
      <w:r>
        <w:t xml:space="preserve">y su </w:t>
      </w:r>
      <w:r w:rsidR="003077E8">
        <w:t xml:space="preserve">ropaje </w:t>
      </w:r>
      <w:r>
        <w:t>bien cuidad</w:t>
      </w:r>
      <w:r w:rsidR="003077E8">
        <w:t>o</w:t>
      </w:r>
      <w:r>
        <w:t xml:space="preserve">s en el monasterio, o </w:t>
      </w:r>
      <w:r w:rsidR="00524CA3">
        <w:t>aguardarán</w:t>
      </w:r>
      <w:r>
        <w:t xml:space="preserve"> </w:t>
      </w:r>
      <w:r w:rsidR="00524CA3">
        <w:t>por</w:t>
      </w:r>
      <w:r>
        <w:t xml:space="preserve"> él enviándole jóvenes monjes o novicios.</w:t>
      </w:r>
    </w:p>
    <w:p w14:paraId="664EA954" w14:textId="3F223EE8" w:rsidR="00123BDB" w:rsidRDefault="00123BDB" w:rsidP="00123BDB">
      <w:r>
        <w:t xml:space="preserve">17. </w:t>
      </w:r>
      <w:r>
        <w:tab/>
        <w:t xml:space="preserve">Además, </w:t>
      </w:r>
      <w:r w:rsidR="006468B0">
        <w:t xml:space="preserve">algunos </w:t>
      </w:r>
      <w:r>
        <w:t xml:space="preserve">ladrones </w:t>
      </w:r>
      <w:r w:rsidR="00C461BE">
        <w:t>podrían</w:t>
      </w:r>
      <w:r>
        <w:t xml:space="preserve"> reunirse allí pensando que un cementerio </w:t>
      </w:r>
      <w:r w:rsidR="00D90479">
        <w:t>podría ser</w:t>
      </w:r>
      <w:r w:rsidR="00C461BE">
        <w:t xml:space="preserve"> </w:t>
      </w:r>
      <w:r>
        <w:t xml:space="preserve">un lugar seguro para ellos, ya sea </w:t>
      </w:r>
      <w:r w:rsidR="00C461BE">
        <w:t>por</w:t>
      </w:r>
      <w:r>
        <w:t xml:space="preserve">que hayan hecho algo malo o no. Y cuando </w:t>
      </w:r>
      <w:r w:rsidR="006468B0">
        <w:t xml:space="preserve">otros </w:t>
      </w:r>
      <w:r>
        <w:t>hombres los persig</w:t>
      </w:r>
      <w:r w:rsidR="00C461BE">
        <w:t>a</w:t>
      </w:r>
      <w:r>
        <w:t xml:space="preserve">n, </w:t>
      </w:r>
      <w:r w:rsidR="006468B0">
        <w:t xml:space="preserve">podrían </w:t>
      </w:r>
      <w:r>
        <w:t>deja</w:t>
      </w:r>
      <w:r w:rsidR="008E760B">
        <w:t>r</w:t>
      </w:r>
      <w:r>
        <w:t xml:space="preserve"> caer sus bienes cerca </w:t>
      </w:r>
      <w:r w:rsidR="008E760B">
        <w:t>a</w:t>
      </w:r>
      <w:r>
        <w:t xml:space="preserve">l </w:t>
      </w:r>
      <w:proofErr w:type="spellStart"/>
      <w:r w:rsidR="00057BF4" w:rsidRPr="00057BF4">
        <w:rPr>
          <w:i/>
          <w:iCs/>
        </w:rPr>
        <w:t>bhikkhu</w:t>
      </w:r>
      <w:proofErr w:type="spellEnd"/>
      <w:r>
        <w:t xml:space="preserve"> y hu</w:t>
      </w:r>
      <w:r w:rsidR="008E760B">
        <w:t>ir</w:t>
      </w:r>
      <w:r>
        <w:t xml:space="preserve">. </w:t>
      </w:r>
      <w:r w:rsidR="001B35C0">
        <w:t>Podría ser que</w:t>
      </w:r>
      <w:r>
        <w:t xml:space="preserve"> los hombres </w:t>
      </w:r>
      <w:proofErr w:type="spellStart"/>
      <w:r>
        <w:t>agarr</w:t>
      </w:r>
      <w:r w:rsidR="006468B0">
        <w:t>ar</w:t>
      </w:r>
      <w:r w:rsidR="001B35C0">
        <w:t>sen</w:t>
      </w:r>
      <w:proofErr w:type="spellEnd"/>
      <w:r>
        <w:t xml:space="preserve"> al </w:t>
      </w:r>
      <w:proofErr w:type="spellStart"/>
      <w:r w:rsidR="00057BF4" w:rsidRPr="00057BF4">
        <w:rPr>
          <w:i/>
          <w:iCs/>
        </w:rPr>
        <w:t>bhikkhu</w:t>
      </w:r>
      <w:proofErr w:type="spellEnd"/>
      <w:r>
        <w:t xml:space="preserve">, diciendo “Hemos encontrado al ladrón con los bienes”, </w:t>
      </w:r>
      <w:r w:rsidR="001B35C0">
        <w:t xml:space="preserve">e </w:t>
      </w:r>
      <w:r>
        <w:t>intimid</w:t>
      </w:r>
      <w:r w:rsidR="008E5E69">
        <w:t>ar</w:t>
      </w:r>
      <w:r w:rsidR="001B35C0">
        <w:t>lo</w:t>
      </w:r>
      <w:r>
        <w:t xml:space="preserve">. Entonces aquel a quien </w:t>
      </w:r>
      <w:r w:rsidR="008E5E69">
        <w:t xml:space="preserve">se le </w:t>
      </w:r>
      <w:r w:rsidR="0094053D">
        <w:t xml:space="preserve">haya dicho </w:t>
      </w:r>
      <w:r w:rsidR="008E5E69">
        <w:t xml:space="preserve">esto podrá </w:t>
      </w:r>
      <w:r>
        <w:t>explicar</w:t>
      </w:r>
      <w:r w:rsidR="008E5E69">
        <w:t>les</w:t>
      </w:r>
      <w:r>
        <w:t xml:space="preserve"> a </w:t>
      </w:r>
      <w:r w:rsidR="001B35C0">
        <w:t>esto</w:t>
      </w:r>
      <w:r>
        <w:t xml:space="preserve">s hombres “No lo intimiden; fue a hacer este trabajo especial después de </w:t>
      </w:r>
      <w:r w:rsidR="000547AA">
        <w:t>informármelo</w:t>
      </w:r>
      <w:r>
        <w:t xml:space="preserve">”, y </w:t>
      </w:r>
      <w:r w:rsidR="001B35C0">
        <w:t xml:space="preserve">así </w:t>
      </w:r>
      <w:r w:rsidR="0094053D">
        <w:t>podría ser rescatado</w:t>
      </w:r>
      <w:r>
        <w:t xml:space="preserve">. </w:t>
      </w:r>
      <w:r w:rsidR="0094053D">
        <w:t>É</w:t>
      </w:r>
      <w:r>
        <w:t xml:space="preserve">sta es la ventaja de </w:t>
      </w:r>
      <w:r w:rsidR="00E17B38">
        <w:t xml:space="preserve">visitar el lugar </w:t>
      </w:r>
      <w:r>
        <w:t>solo después de inform</w:t>
      </w:r>
      <w:r w:rsidR="00E17B38">
        <w:t>á</w:t>
      </w:r>
      <w:r>
        <w:t>r</w:t>
      </w:r>
      <w:r w:rsidR="00E17B38">
        <w:t>selo</w:t>
      </w:r>
      <w:r>
        <w:t xml:space="preserve"> a alguien.</w:t>
      </w:r>
    </w:p>
    <w:p w14:paraId="72C2E430" w14:textId="28130F97" w:rsidR="00123BDB" w:rsidRDefault="00123BDB" w:rsidP="00123BDB">
      <w:r>
        <w:t xml:space="preserve">18. </w:t>
      </w:r>
      <w:r>
        <w:tab/>
        <w:t>Por lo tanto, debe</w:t>
      </w:r>
      <w:r w:rsidR="00E17B38">
        <w:t>rá</w:t>
      </w:r>
      <w:r>
        <w:t xml:space="preserve"> informar a un </w:t>
      </w:r>
      <w:proofErr w:type="spellStart"/>
      <w:r w:rsidR="00057BF4" w:rsidRPr="00057BF4">
        <w:rPr>
          <w:i/>
          <w:iCs/>
        </w:rPr>
        <w:t>bhikkhu</w:t>
      </w:r>
      <w:proofErr w:type="spellEnd"/>
      <w:r>
        <w:t xml:space="preserve"> del tipo descrito y luego partir </w:t>
      </w:r>
      <w:r w:rsidR="00FA0935">
        <w:t>con entusiasmo</w:t>
      </w:r>
      <w:r>
        <w:t xml:space="preserve"> p</w:t>
      </w:r>
      <w:r w:rsidR="004D1AEC">
        <w:t>a</w:t>
      </w:r>
      <w:r>
        <w:t>r</w:t>
      </w:r>
      <w:r w:rsidR="004D1AEC">
        <w:t>a</w:t>
      </w:r>
      <w:r>
        <w:t xml:space="preserve"> </w:t>
      </w:r>
      <w:r w:rsidR="00FA0935">
        <w:t>procurar el signo</w:t>
      </w:r>
      <w:r>
        <w:t>, tan feliz y alegre como un guerrero noble (</w:t>
      </w:r>
      <w:proofErr w:type="spellStart"/>
      <w:r w:rsidRPr="00A661C4">
        <w:rPr>
          <w:i/>
          <w:iCs/>
        </w:rPr>
        <w:t>khattiya</w:t>
      </w:r>
      <w:proofErr w:type="spellEnd"/>
      <w:r>
        <w:t xml:space="preserve">) en su camino hacia la escena de la unción, como </w:t>
      </w:r>
      <w:r w:rsidR="004D1AEC">
        <w:t xml:space="preserve">aquél que </w:t>
      </w:r>
      <w:r>
        <w:t>va</w:t>
      </w:r>
      <w:r w:rsidR="002706E2">
        <w:t>ya</w:t>
      </w:r>
      <w:r>
        <w:t xml:space="preserve"> a ofrecer libaciones en la sala del sacrificio, o como un </w:t>
      </w:r>
      <w:r w:rsidR="002706E2">
        <w:t xml:space="preserve">hombre </w:t>
      </w:r>
      <w:r>
        <w:t xml:space="preserve">pobre en camino para desenterrar un tesoro escondido. Y debe </w:t>
      </w:r>
      <w:r w:rsidR="002706E2">
        <w:t>acud</w:t>
      </w:r>
      <w:r>
        <w:t>ir allí en la forma aconsejada por los Comentarios.</w:t>
      </w:r>
    </w:p>
    <w:p w14:paraId="39B8FC20" w14:textId="1728A594" w:rsidR="00123BDB" w:rsidRDefault="00123BDB" w:rsidP="00123BDB">
      <w:r>
        <w:t xml:space="preserve">19. </w:t>
      </w:r>
      <w:r>
        <w:tab/>
      </w:r>
      <w:r w:rsidR="00C70713">
        <w:t xml:space="preserve">Ya </w:t>
      </w:r>
      <w:r>
        <w:t xml:space="preserve">que esto </w:t>
      </w:r>
      <w:r w:rsidR="00C70713">
        <w:t>está dicho</w:t>
      </w:r>
      <w:r>
        <w:t>: “Aquel que est</w:t>
      </w:r>
      <w:r w:rsidR="002706E2">
        <w:t>é</w:t>
      </w:r>
      <w:r>
        <w:t xml:space="preserve"> aprendiendo el signo </w:t>
      </w:r>
      <w:r w:rsidR="00C407A9">
        <w:t xml:space="preserve">de la repugnancia </w:t>
      </w:r>
      <w:r w:rsidR="002706E2">
        <w:t xml:space="preserve">de lo </w:t>
      </w:r>
      <w:r>
        <w:t xml:space="preserve">hinchado </w:t>
      </w:r>
      <w:r w:rsidR="000F46F1">
        <w:t>irá</w:t>
      </w:r>
      <w:r>
        <w:t xml:space="preserve"> </w:t>
      </w:r>
      <w:r w:rsidR="00A701D3">
        <w:t xml:space="preserve">al lugar en cuestión </w:t>
      </w:r>
      <w:r>
        <w:t xml:space="preserve">solo </w:t>
      </w:r>
      <w:r w:rsidR="000F46F1">
        <w:t xml:space="preserve">y </w:t>
      </w:r>
      <w:r>
        <w:t>sin compañía, con una atención incesante establecida</w:t>
      </w:r>
      <w:r w:rsidR="000F46F1">
        <w:t xml:space="preserve"> en él</w:t>
      </w:r>
      <w:r>
        <w:t xml:space="preserve">, con sus facultades sensoriales </w:t>
      </w:r>
      <w:r w:rsidR="000F46F1">
        <w:t>dirigidas hacia su interior</w:t>
      </w:r>
      <w:r>
        <w:t xml:space="preserve">, sin </w:t>
      </w:r>
      <w:r w:rsidR="00A701D3">
        <w:t>una</w:t>
      </w:r>
      <w:r>
        <w:t xml:space="preserve"> mente </w:t>
      </w:r>
      <w:r w:rsidR="000F46F1">
        <w:t xml:space="preserve">dispersa </w:t>
      </w:r>
      <w:r>
        <w:t xml:space="preserve">hacia </w:t>
      </w:r>
      <w:r w:rsidR="000F46F1">
        <w:t>el exterior</w:t>
      </w:r>
      <w:r>
        <w:t xml:space="preserve">, repasando el </w:t>
      </w:r>
      <w:r w:rsidR="00C862FA">
        <w:t xml:space="preserve">recorrido </w:t>
      </w:r>
      <w:r w:rsidR="00A701D3">
        <w:t xml:space="preserve">de ida </w:t>
      </w:r>
      <w:r>
        <w:t xml:space="preserve">y </w:t>
      </w:r>
      <w:r w:rsidR="00C862FA">
        <w:t xml:space="preserve">de </w:t>
      </w:r>
      <w:r w:rsidR="00A701D3">
        <w:t>regreso</w:t>
      </w:r>
      <w:r>
        <w:t>. En el lugar donde se ha</w:t>
      </w:r>
      <w:r w:rsidR="00C862FA">
        <w:t>ya</w:t>
      </w:r>
      <w:r>
        <w:t xml:space="preserve"> dejado </w:t>
      </w:r>
      <w:r w:rsidR="00C862FA">
        <w:t xml:space="preserve">el </w:t>
      </w:r>
      <w:r>
        <w:t xml:space="preserve">signo de </w:t>
      </w:r>
      <w:r w:rsidR="001370FB">
        <w:t>la repugnancia</w:t>
      </w:r>
      <w:r>
        <w:t xml:space="preserve"> </w:t>
      </w:r>
      <w:r w:rsidR="00C862FA">
        <w:t xml:space="preserve">de lo hinchado </w:t>
      </w:r>
      <w:r>
        <w:t xml:space="preserve">[181], </w:t>
      </w:r>
      <w:r w:rsidR="001370FB">
        <w:t>registrará</w:t>
      </w:r>
      <w:r>
        <w:t xml:space="preserve"> cualquier piedra</w:t>
      </w:r>
      <w:r w:rsidR="00ED2660">
        <w:t>,</w:t>
      </w:r>
      <w:r>
        <w:t xml:space="preserve"> termitero</w:t>
      </w:r>
      <w:r w:rsidR="00ED2660">
        <w:t>,</w:t>
      </w:r>
      <w:r>
        <w:t xml:space="preserve"> árbol</w:t>
      </w:r>
      <w:r w:rsidR="00ED2660">
        <w:t>,</w:t>
      </w:r>
      <w:r>
        <w:t xml:space="preserve"> arbusto o enredadera </w:t>
      </w:r>
      <w:r w:rsidR="007D005C">
        <w:t>del lugar,</w:t>
      </w:r>
      <w:r>
        <w:t xml:space="preserve"> cada uno con su signo particular y </w:t>
      </w:r>
      <w:r w:rsidR="001370FB">
        <w:t xml:space="preserve">su </w:t>
      </w:r>
      <w:r>
        <w:t>relación con el objeto. Cuando ha</w:t>
      </w:r>
      <w:r w:rsidR="001370FB">
        <w:t>ya</w:t>
      </w:r>
      <w:r>
        <w:t xml:space="preserve"> hecho esto, caracteriza</w:t>
      </w:r>
      <w:r w:rsidR="001370FB">
        <w:t>rá</w:t>
      </w:r>
      <w:r>
        <w:t xml:space="preserve"> el signo de </w:t>
      </w:r>
      <w:r w:rsidR="001370FB">
        <w:t xml:space="preserve">la repugnancia </w:t>
      </w:r>
      <w:r w:rsidR="007D005C">
        <w:t xml:space="preserve">de lo hinchado </w:t>
      </w:r>
      <w:r>
        <w:t xml:space="preserve">por el hecho de haber alcanzado esa esencia individual particular. (ver § 84) Entonces </w:t>
      </w:r>
      <w:r w:rsidR="005C7A50">
        <w:t>se asegurará</w:t>
      </w:r>
      <w:r>
        <w:t xml:space="preserve"> que el signo se aprehend</w:t>
      </w:r>
      <w:r w:rsidR="000529B0">
        <w:t>a</w:t>
      </w:r>
      <w:r>
        <w:t xml:space="preserve"> correctamente, que se recuerd</w:t>
      </w:r>
      <w:r w:rsidR="00A92622">
        <w:t>e</w:t>
      </w:r>
      <w:r>
        <w:t xml:space="preserve"> correctamente, que est</w:t>
      </w:r>
      <w:r w:rsidR="000529B0">
        <w:t>é</w:t>
      </w:r>
      <w:r>
        <w:t xml:space="preserve"> definido correctamente, por su color, por su marca, por su forma, por su dirección, por su ubicación, por su delimitación, por sus juntas, por sus aberturas, por sus concavidades, por sus convexidades, y todo alrededor.</w:t>
      </w:r>
    </w:p>
    <w:p w14:paraId="08AD26AE" w14:textId="1FE1B054" w:rsidR="00123BDB" w:rsidRDefault="00123BDB" w:rsidP="00123BDB">
      <w:r>
        <w:t xml:space="preserve">20. </w:t>
      </w:r>
      <w:r>
        <w:tab/>
        <w:t>“Cuando ha</w:t>
      </w:r>
      <w:r w:rsidR="00A31C06">
        <w:t>ya</w:t>
      </w:r>
      <w:r>
        <w:t xml:space="preserve"> aprehendido apropiadamente el signo, recordado apropiadamente, definido apropiadamente, él </w:t>
      </w:r>
      <w:r w:rsidR="005C7A50">
        <w:t>acudirá</w:t>
      </w:r>
      <w:r>
        <w:t xml:space="preserve"> solo, sin compañía, con una incesante atención establecida, con </w:t>
      </w:r>
      <w:r w:rsidR="005C7A50">
        <w:t>las</w:t>
      </w:r>
      <w:r>
        <w:t xml:space="preserve"> facultades sensoriales </w:t>
      </w:r>
      <w:r w:rsidR="00A31C06">
        <w:t>dirigidas hacia su interior</w:t>
      </w:r>
      <w:r>
        <w:t xml:space="preserve">, </w:t>
      </w:r>
      <w:r w:rsidR="00A31C06">
        <w:t>no hacia el exterior</w:t>
      </w:r>
      <w:r>
        <w:t xml:space="preserve">, repasando el </w:t>
      </w:r>
      <w:r w:rsidR="005C7A50">
        <w:t xml:space="preserve">trayecto de ida </w:t>
      </w:r>
      <w:r w:rsidR="00DC64F6">
        <w:t>y</w:t>
      </w:r>
      <w:r>
        <w:t xml:space="preserve"> </w:t>
      </w:r>
      <w:r w:rsidR="00A31C06">
        <w:t>de regreso</w:t>
      </w:r>
      <w:r>
        <w:t>. Cuando camin</w:t>
      </w:r>
      <w:r w:rsidR="00A31C06">
        <w:t>e</w:t>
      </w:r>
      <w:r>
        <w:t>, res</w:t>
      </w:r>
      <w:r w:rsidR="00231F6C">
        <w:t>o</w:t>
      </w:r>
      <w:r>
        <w:t>lve</w:t>
      </w:r>
      <w:r w:rsidR="00231F6C">
        <w:t>rá</w:t>
      </w:r>
      <w:r>
        <w:t xml:space="preserve"> que su caminar esté orientado hacia ella; cuando se sient</w:t>
      </w:r>
      <w:r w:rsidR="00231F6C">
        <w:t>e</w:t>
      </w:r>
      <w:r>
        <w:t>, prepara</w:t>
      </w:r>
      <w:r w:rsidR="00231F6C">
        <w:t>rá</w:t>
      </w:r>
      <w:r>
        <w:t xml:space="preserve"> un asiento que se orient</w:t>
      </w:r>
      <w:r w:rsidR="00231F6C">
        <w:t>e</w:t>
      </w:r>
      <w:r>
        <w:t xml:space="preserve"> hacia él.</w:t>
      </w:r>
    </w:p>
    <w:p w14:paraId="1D2021C2" w14:textId="006ECE62" w:rsidR="00123BDB" w:rsidRDefault="00123BDB" w:rsidP="00123BDB">
      <w:r>
        <w:t xml:space="preserve">21. </w:t>
      </w:r>
      <w:r>
        <w:tab/>
        <w:t>“¿Cuál es el propósito</w:t>
      </w:r>
      <w:r w:rsidR="00231F6C">
        <w:t>?</w:t>
      </w:r>
      <w:r>
        <w:t xml:space="preserve">, </w:t>
      </w:r>
      <w:r w:rsidR="00231F6C">
        <w:t>¿</w:t>
      </w:r>
      <w:r>
        <w:t xml:space="preserve">cuál es la ventaja de caracterizar los signos circundantes? Caracterizar los signos circundantes tiene </w:t>
      </w:r>
      <w:r w:rsidR="00231F6C">
        <w:t xml:space="preserve">como </w:t>
      </w:r>
      <w:r>
        <w:t>propósito</w:t>
      </w:r>
      <w:r w:rsidR="00231F6C" w:rsidRPr="00231F6C">
        <w:t xml:space="preserve"> </w:t>
      </w:r>
      <w:r w:rsidR="00231F6C">
        <w:t>la no ilusión</w:t>
      </w:r>
      <w:r>
        <w:t xml:space="preserve">, </w:t>
      </w:r>
      <w:r w:rsidR="00231F6C">
        <w:t xml:space="preserve">tendrá a </w:t>
      </w:r>
      <w:r>
        <w:t>l</w:t>
      </w:r>
      <w:r w:rsidR="00231F6C">
        <w:t>a</w:t>
      </w:r>
      <w:r>
        <w:t xml:space="preserve"> no </w:t>
      </w:r>
      <w:r w:rsidR="00231F6C">
        <w:t xml:space="preserve">ilusión como </w:t>
      </w:r>
      <w:r>
        <w:t>ventaja. ¿Cuál es el propósito, cuál es la ventaja de aprehender el signo en los [otros] once</w:t>
      </w:r>
    </w:p>
    <w:p w14:paraId="62555AC2" w14:textId="77777777" w:rsidR="00123BDB" w:rsidRDefault="00123BDB">
      <w:pPr>
        <w:tabs>
          <w:tab w:val="clear" w:pos="425"/>
        </w:tabs>
        <w:spacing w:after="160"/>
      </w:pPr>
      <w:r>
        <w:br w:type="page"/>
      </w:r>
    </w:p>
    <w:p w14:paraId="1DC718AE" w14:textId="3F741EEC" w:rsidR="00062F99" w:rsidRDefault="00062F99" w:rsidP="00062F99"/>
    <w:p w14:paraId="2B5B43E3" w14:textId="7CE351D9" w:rsidR="00062F99" w:rsidRDefault="00DC64F6" w:rsidP="00062F99">
      <w:r>
        <w:t>modos</w:t>
      </w:r>
      <w:r w:rsidR="00A928E9">
        <w:t>?</w:t>
      </w:r>
      <w:r w:rsidR="00231F6C">
        <w:t xml:space="preserve"> </w:t>
      </w:r>
      <w:r w:rsidR="00062F99">
        <w:t xml:space="preserve">Aprehender el signo en las [otras] </w:t>
      </w:r>
      <w:proofErr w:type="gramStart"/>
      <w:r w:rsidR="00062F99">
        <w:t>once formas tiene</w:t>
      </w:r>
      <w:proofErr w:type="gramEnd"/>
      <w:r w:rsidR="00062F99">
        <w:t xml:space="preserve"> </w:t>
      </w:r>
      <w:r w:rsidR="000F6CAE">
        <w:t>a</w:t>
      </w:r>
      <w:r w:rsidR="00062F99">
        <w:t>l anclaje [ment</w:t>
      </w:r>
      <w:r w:rsidR="00A928E9">
        <w:t>al</w:t>
      </w:r>
      <w:r w:rsidR="00062F99">
        <w:t xml:space="preserve">] </w:t>
      </w:r>
      <w:r w:rsidR="00A928E9">
        <w:t>como</w:t>
      </w:r>
      <w:r w:rsidR="00062F99">
        <w:t xml:space="preserve"> su propósito, tiene </w:t>
      </w:r>
      <w:r w:rsidR="00A928E9">
        <w:t>a</w:t>
      </w:r>
      <w:r w:rsidR="00062F99">
        <w:t>l anclaje [</w:t>
      </w:r>
      <w:r w:rsidR="00A928E9">
        <w:t>mental</w:t>
      </w:r>
      <w:r w:rsidR="00062F99">
        <w:t xml:space="preserve">] </w:t>
      </w:r>
      <w:r w:rsidR="00A928E9">
        <w:t xml:space="preserve">como </w:t>
      </w:r>
      <w:r>
        <w:t xml:space="preserve">su </w:t>
      </w:r>
      <w:r w:rsidR="00062F99">
        <w:t xml:space="preserve">ventaja. ¿Cuál es el propósito, cuál es la ventaja de revisar el </w:t>
      </w:r>
      <w:r>
        <w:t>camino</w:t>
      </w:r>
      <w:r w:rsidR="00062F99">
        <w:t xml:space="preserve"> </w:t>
      </w:r>
      <w:r w:rsidR="009A095F">
        <w:t xml:space="preserve">recorrido </w:t>
      </w:r>
      <w:r>
        <w:t xml:space="preserve">de ida </w:t>
      </w:r>
      <w:r w:rsidR="00062F99">
        <w:t xml:space="preserve">y </w:t>
      </w:r>
      <w:r>
        <w:t>vuelta</w:t>
      </w:r>
      <w:r w:rsidR="00062F99">
        <w:t xml:space="preserve">? Revisar el </w:t>
      </w:r>
      <w:r w:rsidR="009A095F">
        <w:t xml:space="preserve">sendero recorrido </w:t>
      </w:r>
      <w:r>
        <w:t xml:space="preserve">de ida </w:t>
      </w:r>
      <w:r w:rsidR="00062F99">
        <w:t xml:space="preserve">y </w:t>
      </w:r>
      <w:r>
        <w:t xml:space="preserve">vuelta </w:t>
      </w:r>
      <w:r w:rsidR="00062F99">
        <w:t xml:space="preserve">tiene </w:t>
      </w:r>
      <w:r w:rsidR="00201725">
        <w:t xml:space="preserve">como propósito </w:t>
      </w:r>
      <w:r w:rsidR="00062F99">
        <w:t xml:space="preserve">mantener [la mente] en el </w:t>
      </w:r>
      <w:r w:rsidR="00201725">
        <w:t xml:space="preserve">camino </w:t>
      </w:r>
      <w:r w:rsidR="00E70653">
        <w:t xml:space="preserve">como su </w:t>
      </w:r>
      <w:r w:rsidR="00062F99">
        <w:t xml:space="preserve">propósito, tiene mantener [la mente] en el </w:t>
      </w:r>
      <w:r w:rsidR="00253953">
        <w:t xml:space="preserve">camino </w:t>
      </w:r>
      <w:r w:rsidR="00E70653">
        <w:t xml:space="preserve">como </w:t>
      </w:r>
      <w:r w:rsidR="00062F99">
        <w:t>su beneficio.</w:t>
      </w:r>
    </w:p>
    <w:p w14:paraId="6748183B" w14:textId="602CEA3B" w:rsidR="00062F99" w:rsidRDefault="00062F99" w:rsidP="00062F99">
      <w:r>
        <w:t xml:space="preserve">22. </w:t>
      </w:r>
      <w:r>
        <w:tab/>
        <w:t>“Cuando ha</w:t>
      </w:r>
      <w:r w:rsidR="00E70653">
        <w:t>ya</w:t>
      </w:r>
      <w:r>
        <w:t xml:space="preserve"> establecido reverencia </w:t>
      </w:r>
      <w:r w:rsidR="00253953">
        <w:t>hacia</w:t>
      </w:r>
      <w:r>
        <w:t xml:space="preserve"> él viendo sus ventajas y percibiéndolo como un tesoro y así lleg</w:t>
      </w:r>
      <w:r w:rsidR="00D47610">
        <w:t>ue</w:t>
      </w:r>
      <w:r>
        <w:t xml:space="preserve"> a </w:t>
      </w:r>
      <w:r w:rsidR="00253953">
        <w:t>apreciarlo</w:t>
      </w:r>
      <w:r>
        <w:t>, ancla</w:t>
      </w:r>
      <w:r w:rsidR="00D47610">
        <w:t>rá</w:t>
      </w:r>
      <w:r>
        <w:t xml:space="preserve"> su mente en ese objeto: 'Seguramente de esta manera seré liberado del envejecimiento y la muerte. Completamente apartado de los </w:t>
      </w:r>
      <w:r w:rsidR="007831DD">
        <w:t>deseos sensoriales</w:t>
      </w:r>
      <w:r>
        <w:t>, apartado de las cosas inútiles, entra</w:t>
      </w:r>
      <w:r w:rsidR="00D47610">
        <w:t>rá</w:t>
      </w:r>
      <w:r>
        <w:t xml:space="preserve"> y </w:t>
      </w:r>
      <w:r w:rsidR="00D47610">
        <w:t xml:space="preserve">habitará </w:t>
      </w:r>
      <w:r>
        <w:t xml:space="preserve">en el primer </w:t>
      </w:r>
      <w:proofErr w:type="spellStart"/>
      <w:r w:rsidR="00057BF4" w:rsidRPr="00057BF4">
        <w:rPr>
          <w:i/>
          <w:iCs/>
        </w:rPr>
        <w:t>jhāna</w:t>
      </w:r>
      <w:proofErr w:type="spellEnd"/>
      <w:r>
        <w:t>... [reclusión]. Ha</w:t>
      </w:r>
      <w:r w:rsidR="00D47610">
        <w:t>brá</w:t>
      </w:r>
      <w:r>
        <w:t xml:space="preserve"> </w:t>
      </w:r>
      <w:r w:rsidR="009257B5">
        <w:t>consumado</w:t>
      </w:r>
      <w:r>
        <w:t xml:space="preserve"> </w:t>
      </w:r>
      <w:r w:rsidR="009257B5">
        <w:t>e</w:t>
      </w:r>
      <w:r>
        <w:t xml:space="preserve">l primer </w:t>
      </w:r>
      <w:proofErr w:type="spellStart"/>
      <w:r w:rsidR="00057BF4" w:rsidRPr="00057BF4">
        <w:rPr>
          <w:i/>
          <w:iCs/>
        </w:rPr>
        <w:t>jhāna</w:t>
      </w:r>
      <w:proofErr w:type="spellEnd"/>
      <w:r w:rsidR="00A661C4">
        <w:t xml:space="preserve"> </w:t>
      </w:r>
      <w:r>
        <w:t xml:space="preserve">de la esfera de la materia </w:t>
      </w:r>
      <w:r w:rsidR="00D47610">
        <w:t>sutil</w:t>
      </w:r>
      <w:r>
        <w:t xml:space="preserve">. </w:t>
      </w:r>
      <w:r w:rsidR="00D47610">
        <w:t xml:space="preserve">El suyo será </w:t>
      </w:r>
      <w:r>
        <w:t xml:space="preserve">un </w:t>
      </w:r>
      <w:r w:rsidR="00D47610">
        <w:t xml:space="preserve">estado </w:t>
      </w:r>
      <w:r>
        <w:t xml:space="preserve">celestial y un ejemplo de acción meritoria que </w:t>
      </w:r>
      <w:proofErr w:type="gramStart"/>
      <w:r>
        <w:t>consist</w:t>
      </w:r>
      <w:r w:rsidR="00D47610">
        <w:t>irá</w:t>
      </w:r>
      <w:r>
        <w:t xml:space="preserve"> </w:t>
      </w:r>
      <w:r w:rsidR="009257B5">
        <w:t>de</w:t>
      </w:r>
      <w:r>
        <w:t>l</w:t>
      </w:r>
      <w:proofErr w:type="gramEnd"/>
      <w:r>
        <w:t xml:space="preserve"> desarrollo [meditativo]”. (</w:t>
      </w:r>
      <w:r w:rsidRPr="00C72AA3">
        <w:rPr>
          <w:i/>
          <w:iCs/>
        </w:rPr>
        <w:t>Fuente no rastreada</w:t>
      </w:r>
      <w:r>
        <w:t>).</w:t>
      </w:r>
    </w:p>
    <w:p w14:paraId="53D6752F" w14:textId="64B27A87" w:rsidR="00062F99" w:rsidRDefault="00062F99" w:rsidP="00062F99">
      <w:r>
        <w:t xml:space="preserve">23. </w:t>
      </w:r>
      <w:r>
        <w:tab/>
        <w:t xml:space="preserve">Entonces, si va al cementerio para probar su control mental, que lo haga después de tocar el gong o convocar </w:t>
      </w:r>
      <w:r w:rsidR="00296E66">
        <w:t xml:space="preserve">a </w:t>
      </w:r>
      <w:r>
        <w:t xml:space="preserve">un capítulo. Si va allí principalmente para [desarrollar ese] </w:t>
      </w:r>
      <w:r w:rsidR="00BB03DB">
        <w:t>objeto</w:t>
      </w:r>
      <w:r>
        <w:t xml:space="preserve"> de meditación, que vaya solo, sin acompañante, sin renunciar a su </w:t>
      </w:r>
      <w:r w:rsidR="00BB03DB">
        <w:t xml:space="preserve">objeto </w:t>
      </w:r>
      <w:r>
        <w:t xml:space="preserve">básico de meditación y teniéndolo siempre presente, llevando un </w:t>
      </w:r>
      <w:r w:rsidR="008C1C51">
        <w:t>palo</w:t>
      </w:r>
      <w:r>
        <w:t xml:space="preserve"> o un bastón para evitar ataques de perros, etc., [182] asegurando una atención incesante estableciéndola </w:t>
      </w:r>
      <w:r w:rsidR="008C1C51">
        <w:t>correctamente</w:t>
      </w:r>
      <w:r>
        <w:t xml:space="preserve">, sin que su mente se </w:t>
      </w:r>
      <w:r w:rsidR="00296E66">
        <w:t>dirija</w:t>
      </w:r>
      <w:r>
        <w:t xml:space="preserve"> hacia el exterior </w:t>
      </w:r>
      <w:r w:rsidR="00DA76CB">
        <w:t xml:space="preserve">ya </w:t>
      </w:r>
      <w:r>
        <w:t>que se ha</w:t>
      </w:r>
      <w:r w:rsidR="00DA76CB">
        <w:t>brá</w:t>
      </w:r>
      <w:r>
        <w:t xml:space="preserve"> asegurado de que sus facultades, de las cuales su mente es la sexta, est</w:t>
      </w:r>
      <w:r w:rsidR="00DA76CB">
        <w:t>arán d</w:t>
      </w:r>
      <w:r>
        <w:t>irigidas hacia el interior.</w:t>
      </w:r>
    </w:p>
    <w:p w14:paraId="655A7F89" w14:textId="1CB55386" w:rsidR="00062F99" w:rsidRDefault="00062F99" w:rsidP="00062F99">
      <w:r>
        <w:t xml:space="preserve">24. </w:t>
      </w:r>
      <w:r>
        <w:tab/>
        <w:t>Al salir del monasterio debe</w:t>
      </w:r>
      <w:r w:rsidR="00DA76CB">
        <w:t>rá</w:t>
      </w:r>
      <w:r>
        <w:t xml:space="preserve"> fijarse en la puerta: “He salido en tal dirección por tal puerta”. Luego debe</w:t>
      </w:r>
      <w:r w:rsidR="00836C9A">
        <w:t>rá</w:t>
      </w:r>
      <w:r>
        <w:t xml:space="preserve"> definir el camino por el que va</w:t>
      </w:r>
      <w:r w:rsidR="00DA76CB">
        <w:t>ya</w:t>
      </w:r>
      <w:r>
        <w:t xml:space="preserve">: “Este camino va en dirección este… oeste… norte… dirección sur” o “Va en dirección intermedia”; y “En este lugar va </w:t>
      </w:r>
      <w:r w:rsidR="00DA76CB">
        <w:t xml:space="preserve">hacia </w:t>
      </w:r>
      <w:r>
        <w:t xml:space="preserve">la izquierda, en este lugar </w:t>
      </w:r>
      <w:r w:rsidR="00DA76CB">
        <w:t xml:space="preserve">hacia </w:t>
      </w:r>
      <w:r>
        <w:t xml:space="preserve">la derecha”; y “En este lugar hay una piedra, en </w:t>
      </w:r>
      <w:r w:rsidR="00DA76CB">
        <w:t>é</w:t>
      </w:r>
      <w:r>
        <w:t xml:space="preserve">ste un termitero, en </w:t>
      </w:r>
      <w:r w:rsidR="00DA76CB">
        <w:t>é</w:t>
      </w:r>
      <w:r>
        <w:t xml:space="preserve">ste un árbol, en </w:t>
      </w:r>
      <w:r w:rsidR="00DA76CB">
        <w:t>é</w:t>
      </w:r>
      <w:r>
        <w:t xml:space="preserve">ste un arbusto, en </w:t>
      </w:r>
      <w:r w:rsidR="00DA76CB">
        <w:t>é</w:t>
      </w:r>
      <w:r>
        <w:t>ste una enredadera”. Debe</w:t>
      </w:r>
      <w:r w:rsidR="00DA76CB">
        <w:t>rá</w:t>
      </w:r>
      <w:r>
        <w:t xml:space="preserve"> dirigirse al lugar donde est</w:t>
      </w:r>
      <w:r w:rsidR="00DA76CB">
        <w:t>é</w:t>
      </w:r>
      <w:r>
        <w:t xml:space="preserve"> </w:t>
      </w:r>
      <w:r w:rsidR="00DA76CB">
        <w:t>el signo</w:t>
      </w:r>
      <w:r>
        <w:t>, definiendo así el camino por el que va</w:t>
      </w:r>
      <w:r w:rsidR="00DA76CB">
        <w:t>ya</w:t>
      </w:r>
      <w:r>
        <w:t>.</w:t>
      </w:r>
    </w:p>
    <w:p w14:paraId="5BDBA773" w14:textId="68DF4010" w:rsidR="00062F99" w:rsidRDefault="00062F99" w:rsidP="00062F99">
      <w:r>
        <w:t xml:space="preserve">25. </w:t>
      </w:r>
      <w:r>
        <w:tab/>
        <w:t>Y no debe</w:t>
      </w:r>
      <w:r w:rsidR="00DA76CB">
        <w:t>rá</w:t>
      </w:r>
      <w:r>
        <w:t xml:space="preserve"> acercarse contra el viento; porque si lo hiciera y el olor de los cadáveres le asalta</w:t>
      </w:r>
      <w:r w:rsidR="00AA1BBE">
        <w:t>se</w:t>
      </w:r>
      <w:r>
        <w:t xml:space="preserve"> la nariz, su cerebro</w:t>
      </w:r>
      <w:r w:rsidR="00D61B9D" w:rsidRPr="00015AB2">
        <w:rPr>
          <w:vertAlign w:val="superscript"/>
        </w:rPr>
        <w:t>3</w:t>
      </w:r>
      <w:r>
        <w:t xml:space="preserve"> podría trastornarse, o podría vomitar la comida, o podría arrepentirse de haber </w:t>
      </w:r>
      <w:r w:rsidR="00DA76CB">
        <w:t>llegado</w:t>
      </w:r>
      <w:r w:rsidR="00890387">
        <w:t xml:space="preserve"> al lugar</w:t>
      </w:r>
      <w:r>
        <w:t xml:space="preserve">, pensando: "¡A qué lugar </w:t>
      </w:r>
      <w:r w:rsidR="001F6386">
        <w:t>(</w:t>
      </w:r>
      <w:r w:rsidR="00890387">
        <w:t xml:space="preserve">lleno </w:t>
      </w:r>
      <w:r>
        <w:t>de cadáveres</w:t>
      </w:r>
      <w:r w:rsidR="001F6386">
        <w:t>)</w:t>
      </w:r>
      <w:r>
        <w:t xml:space="preserve"> he venido!" Entonces, en lugar de acercarse a barlovento, debería ir a favor del viento. Si no puede ir por un camino a favor del viento, si </w:t>
      </w:r>
      <w:r w:rsidR="003B11CF">
        <w:t>hubiese</w:t>
      </w:r>
      <w:r>
        <w:t xml:space="preserve"> una montaña</w:t>
      </w:r>
      <w:r w:rsidR="003B11CF">
        <w:t>,</w:t>
      </w:r>
      <w:r>
        <w:t xml:space="preserve"> un barranco</w:t>
      </w:r>
      <w:r w:rsidR="003B11CF">
        <w:t>,</w:t>
      </w:r>
      <w:r>
        <w:t xml:space="preserve"> una roca</w:t>
      </w:r>
      <w:r w:rsidR="003B11CF">
        <w:t>,</w:t>
      </w:r>
      <w:r>
        <w:t xml:space="preserve"> una cerca</w:t>
      </w:r>
      <w:r w:rsidR="003B11CF">
        <w:t>,</w:t>
      </w:r>
      <w:r>
        <w:t xml:space="preserve"> una zona de espinos</w:t>
      </w:r>
      <w:r w:rsidR="003B11CF">
        <w:t>,</w:t>
      </w:r>
      <w:r>
        <w:t xml:space="preserve"> agua o un pantano en el camino, entonces debe</w:t>
      </w:r>
      <w:r w:rsidR="003B11CF">
        <w:t>rá</w:t>
      </w:r>
      <w:r>
        <w:t xml:space="preserve"> ir tapándose la nariz con la punta de su </w:t>
      </w:r>
      <w:r w:rsidR="004C13F6">
        <w:t>ropaje</w:t>
      </w:r>
      <w:r>
        <w:t xml:space="preserve">. Estos </w:t>
      </w:r>
      <w:r w:rsidR="003B11CF">
        <w:t xml:space="preserve">serán </w:t>
      </w:r>
      <w:r>
        <w:t>los deberes al ir.</w:t>
      </w:r>
    </w:p>
    <w:p w14:paraId="14B3CA36" w14:textId="2BEEA1E3" w:rsidR="00062F99" w:rsidRDefault="00062F99" w:rsidP="00062F99">
      <w:r>
        <w:t xml:space="preserve">26. </w:t>
      </w:r>
      <w:r>
        <w:tab/>
        <w:t xml:space="preserve">Cuando haya </w:t>
      </w:r>
      <w:r w:rsidR="004C13F6">
        <w:t>llegado</w:t>
      </w:r>
      <w:r>
        <w:t xml:space="preserve"> </w:t>
      </w:r>
      <w:r w:rsidR="003B11CF">
        <w:t>así al lugar</w:t>
      </w:r>
      <w:r>
        <w:t>, no debe</w:t>
      </w:r>
      <w:r w:rsidR="004C13F6">
        <w:t>rá</w:t>
      </w:r>
      <w:r>
        <w:t xml:space="preserve"> mirar de inmediato </w:t>
      </w:r>
      <w:r w:rsidR="004C13F6">
        <w:t xml:space="preserve">el signo </w:t>
      </w:r>
      <w:r>
        <w:t xml:space="preserve">de </w:t>
      </w:r>
      <w:r w:rsidR="004C13F6">
        <w:t>la repugnancia</w:t>
      </w:r>
      <w:r>
        <w:t>; debe</w:t>
      </w:r>
      <w:r w:rsidR="004C13F6">
        <w:t>rá</w:t>
      </w:r>
      <w:r>
        <w:t xml:space="preserve"> asegurarse de la dirección. Porque quizás si se para en cierta dirección, el objeto no le aparece</w:t>
      </w:r>
      <w:r w:rsidR="00B15429">
        <w:t>rá</w:t>
      </w:r>
      <w:r>
        <w:t xml:space="preserve"> claramente y su mente no </w:t>
      </w:r>
      <w:r w:rsidR="00B15429">
        <w:t xml:space="preserve">será </w:t>
      </w:r>
      <w:r>
        <w:t>manejable. Entonces, en lugar de</w:t>
      </w:r>
      <w:r w:rsidR="00357FFA">
        <w:t xml:space="preserve"> ubicarse así</w:t>
      </w:r>
      <w:r>
        <w:t>, debe</w:t>
      </w:r>
      <w:r w:rsidR="00B15429">
        <w:t>rá</w:t>
      </w:r>
      <w:r>
        <w:t xml:space="preserve"> pararse donde el objeto apare</w:t>
      </w:r>
      <w:r w:rsidR="00B15429">
        <w:t>zca</w:t>
      </w:r>
      <w:r>
        <w:t xml:space="preserve"> claramente y su mente </w:t>
      </w:r>
      <w:r w:rsidR="00B15429">
        <w:t xml:space="preserve">sea </w:t>
      </w:r>
      <w:r>
        <w:t>manejable. Y debe</w:t>
      </w:r>
      <w:r w:rsidR="00B15429">
        <w:t>rá</w:t>
      </w:r>
      <w:r>
        <w:t xml:space="preserve"> evitar situarse a</w:t>
      </w:r>
      <w:r w:rsidR="00B15429">
        <w:t>l</w:t>
      </w:r>
      <w:r>
        <w:t xml:space="preserve"> sotavento o a</w:t>
      </w:r>
      <w:r w:rsidR="00B15429">
        <w:t>l</w:t>
      </w:r>
      <w:r>
        <w:t xml:space="preserve"> barlovento de </w:t>
      </w:r>
      <w:proofErr w:type="gramStart"/>
      <w:r>
        <w:t>la misma</w:t>
      </w:r>
      <w:proofErr w:type="gramEnd"/>
      <w:r>
        <w:t>. Porque si está a</w:t>
      </w:r>
      <w:r w:rsidR="0078727C">
        <w:t>l</w:t>
      </w:r>
      <w:r>
        <w:t xml:space="preserve"> sotavento le molesta</w:t>
      </w:r>
      <w:r w:rsidR="0078727C">
        <w:t>rá</w:t>
      </w:r>
      <w:r>
        <w:t xml:space="preserve"> el olor a cadáver y su mente se distrae</w:t>
      </w:r>
      <w:r w:rsidR="0078727C">
        <w:t>rá</w:t>
      </w:r>
      <w:r>
        <w:t>; y si está a</w:t>
      </w:r>
      <w:r w:rsidR="0078727C">
        <w:t>l</w:t>
      </w:r>
      <w:r>
        <w:t xml:space="preserve"> barlovento allí habita</w:t>
      </w:r>
      <w:r w:rsidR="0078727C">
        <w:t>rá</w:t>
      </w:r>
      <w:r>
        <w:t>n seres no</w:t>
      </w:r>
      <w:r w:rsidR="00FC2A38">
        <w:t>–</w:t>
      </w:r>
      <w:r>
        <w:t>humanos,</w:t>
      </w:r>
    </w:p>
    <w:p w14:paraId="3F383480" w14:textId="48613A20" w:rsidR="00123BDB" w:rsidRDefault="00123BDB" w:rsidP="00123BDB">
      <w:pPr>
        <w:pStyle w:val="PiedepginaLegal"/>
        <w:rPr>
          <w:u w:val="single"/>
        </w:rPr>
      </w:pPr>
      <w:r>
        <w:rPr>
          <w:u w:val="single"/>
        </w:rPr>
        <w:tab/>
      </w:r>
      <w:r>
        <w:rPr>
          <w:u w:val="single"/>
        </w:rPr>
        <w:tab/>
      </w:r>
      <w:r>
        <w:rPr>
          <w:u w:val="single"/>
        </w:rPr>
        <w:tab/>
      </w:r>
      <w:r>
        <w:rPr>
          <w:u w:val="single"/>
        </w:rPr>
        <w:tab/>
        <w:t>.</w:t>
      </w:r>
    </w:p>
    <w:p w14:paraId="757CB02A" w14:textId="15C10FBC" w:rsidR="00062F99" w:rsidRDefault="00062F99" w:rsidP="00062F99">
      <w:pPr>
        <w:pStyle w:val="PiedepginaLegal"/>
      </w:pPr>
      <w:r>
        <w:t xml:space="preserve">3. </w:t>
      </w:r>
      <w:r>
        <w:tab/>
        <w:t>Esto no implica lo que, ahora, podríamos suponer. Véase la descripción de “cerebro” en VIII.126 y especialmente en VIII.136. Lo que se quiere decir es que tal vez podría tener un resfriado o un catarro.</w:t>
      </w:r>
    </w:p>
    <w:p w14:paraId="6523AC6D" w14:textId="1ACF0919" w:rsidR="00062F99" w:rsidRDefault="00062F99">
      <w:pPr>
        <w:tabs>
          <w:tab w:val="clear" w:pos="425"/>
        </w:tabs>
        <w:spacing w:after="160"/>
      </w:pPr>
      <w:r>
        <w:br w:type="page"/>
      </w:r>
    </w:p>
    <w:p w14:paraId="6AE15FFD" w14:textId="777B4E27" w:rsidR="003B4143" w:rsidRDefault="001B767F" w:rsidP="003B4143">
      <w:r>
        <w:lastRenderedPageBreak/>
        <w:t xml:space="preserve">y podrían </w:t>
      </w:r>
      <w:r w:rsidR="003B4143">
        <w:t xml:space="preserve">enojarse y hacerle </w:t>
      </w:r>
      <w:r w:rsidR="00217036">
        <w:t xml:space="preserve">pasar </w:t>
      </w:r>
      <w:r w:rsidR="000133FC">
        <w:t xml:space="preserve">alguna </w:t>
      </w:r>
      <w:r w:rsidR="00217036">
        <w:t>experiencia desagradable</w:t>
      </w:r>
      <w:r w:rsidR="003B4143">
        <w:t>. Por lo tanto, debe</w:t>
      </w:r>
      <w:r w:rsidR="000133FC">
        <w:t>rá</w:t>
      </w:r>
      <w:r w:rsidR="003B4143">
        <w:t xml:space="preserve"> </w:t>
      </w:r>
      <w:r w:rsidR="00385541">
        <w:t>alejarse</w:t>
      </w:r>
      <w:r w:rsidR="003B4143">
        <w:t xml:space="preserve"> un poco y no permanecer demasiado </w:t>
      </w:r>
      <w:r w:rsidR="00385541">
        <w:t xml:space="preserve">en dirección </w:t>
      </w:r>
      <w:r w:rsidR="003B4143">
        <w:t>a</w:t>
      </w:r>
      <w:r w:rsidR="000133FC">
        <w:t>l</w:t>
      </w:r>
      <w:r w:rsidR="003B4143">
        <w:t xml:space="preserve"> barlovento. [183]</w:t>
      </w:r>
    </w:p>
    <w:p w14:paraId="632C6638" w14:textId="7050BD52" w:rsidR="003B4143" w:rsidRDefault="003B4143" w:rsidP="003B4143">
      <w:r>
        <w:t xml:space="preserve">27. </w:t>
      </w:r>
      <w:r>
        <w:tab/>
        <w:t>Entonces debe</w:t>
      </w:r>
      <w:r w:rsidR="00385541">
        <w:t>rá</w:t>
      </w:r>
      <w:r>
        <w:t xml:space="preserve"> pararse ni demasiado lejos ni demasiado cerca, ni demasiado hacia los pies o </w:t>
      </w:r>
      <w:r w:rsidR="00385541">
        <w:t xml:space="preserve">hacia </w:t>
      </w:r>
      <w:r>
        <w:t>la cabeza. Porque si se para demasiado lejos, el objeto no le resulta</w:t>
      </w:r>
      <w:r w:rsidR="006B6A16">
        <w:t>rá</w:t>
      </w:r>
      <w:r>
        <w:t xml:space="preserve"> claro, y si se para demasiado cerca, </w:t>
      </w:r>
      <w:r w:rsidR="00EE52CC">
        <w:t>podría</w:t>
      </w:r>
      <w:r>
        <w:t xml:space="preserve"> asustarse. Si se inclina</w:t>
      </w:r>
      <w:r w:rsidR="000E7CA4">
        <w:t>se</w:t>
      </w:r>
      <w:r>
        <w:t xml:space="preserve"> demasiado hacia los pies o hacia la cabeza, no se le manifesta</w:t>
      </w:r>
      <w:r w:rsidR="000E7CA4">
        <w:t>rá</w:t>
      </w:r>
      <w:r>
        <w:t xml:space="preserve"> por igual toda la </w:t>
      </w:r>
      <w:r w:rsidR="000E7CA4">
        <w:t>repugnancia</w:t>
      </w:r>
      <w:r>
        <w:t>. Por lo tanto, debe</w:t>
      </w:r>
      <w:r w:rsidR="000E7CA4">
        <w:t>rá</w:t>
      </w:r>
      <w:r>
        <w:t xml:space="preserve"> pararse ni demasiado lejos ni demasiado cerca, frente a la mitad del cuerpo, en un lugar conveniente para que él lo </w:t>
      </w:r>
      <w:r w:rsidR="005017E9">
        <w:t xml:space="preserve">pueda </w:t>
      </w:r>
      <w:r w:rsidR="007F75EC">
        <w:t>observ</w:t>
      </w:r>
      <w:r w:rsidR="005017E9">
        <w:t>ar cómodamente</w:t>
      </w:r>
      <w:r>
        <w:t>.</w:t>
      </w:r>
    </w:p>
    <w:p w14:paraId="395A4F2E" w14:textId="6735F4AF" w:rsidR="003B4143" w:rsidRDefault="003B4143" w:rsidP="003B4143">
      <w:r>
        <w:t xml:space="preserve">28. </w:t>
      </w:r>
      <w:r>
        <w:tab/>
        <w:t>Luego debe</w:t>
      </w:r>
      <w:r w:rsidR="007F75EC">
        <w:t>rá</w:t>
      </w:r>
      <w:r>
        <w:t xml:space="preserve"> caracterizar los signos circundantes en la forma expresada así: “En el lugar donde se ha</w:t>
      </w:r>
      <w:r w:rsidR="007F75EC">
        <w:t>ya</w:t>
      </w:r>
      <w:r>
        <w:t xml:space="preserve"> dejado el signo </w:t>
      </w:r>
      <w:r w:rsidR="006333E3">
        <w:t xml:space="preserve">de la repugnancia de la </w:t>
      </w:r>
      <w:r>
        <w:t>hincha</w:t>
      </w:r>
      <w:r w:rsidR="006333E3">
        <w:t>zón</w:t>
      </w:r>
      <w:r>
        <w:t xml:space="preserve">, él </w:t>
      </w:r>
      <w:r w:rsidR="007160BE">
        <w:t xml:space="preserve">deberá </w:t>
      </w:r>
      <w:r>
        <w:t>nota</w:t>
      </w:r>
      <w:r w:rsidR="006333E3">
        <w:t>r</w:t>
      </w:r>
      <w:r w:rsidR="007160BE">
        <w:t xml:space="preserve"> </w:t>
      </w:r>
      <w:r>
        <w:t>cualquier piedra… o enredadera allí con su signo” (§19).</w:t>
      </w:r>
    </w:p>
    <w:p w14:paraId="589C7392" w14:textId="6D787051" w:rsidR="003B4143" w:rsidRDefault="003B4143" w:rsidP="003B4143">
      <w:r>
        <w:t xml:space="preserve">29. </w:t>
      </w:r>
      <w:r>
        <w:tab/>
      </w:r>
      <w:r w:rsidR="007160BE">
        <w:t>É</w:t>
      </w:r>
      <w:r>
        <w:t xml:space="preserve">stas son las instrucciones para caracterizarlos. Si </w:t>
      </w:r>
      <w:r w:rsidR="007160BE">
        <w:t>hubiese</w:t>
      </w:r>
      <w:r>
        <w:t xml:space="preserve"> </w:t>
      </w:r>
      <w:r w:rsidR="007160BE">
        <w:t>alg</w:t>
      </w:r>
      <w:r>
        <w:t xml:space="preserve">una roca en el foco del ojo cerca del </w:t>
      </w:r>
      <w:r w:rsidR="005017E9">
        <w:t>signo</w:t>
      </w:r>
      <w:r>
        <w:t>, debe</w:t>
      </w:r>
      <w:r w:rsidR="007160BE">
        <w:t>rá</w:t>
      </w:r>
      <w:r>
        <w:t xml:space="preserve"> definirla de esta manera: "Esta roca es alta o baja, pequeña o grande, marrón</w:t>
      </w:r>
      <w:r w:rsidR="007160BE">
        <w:t>,</w:t>
      </w:r>
      <w:r>
        <w:t xml:space="preserve"> negra o blanca, larga o redonda", después de lo cual debe</w:t>
      </w:r>
      <w:r w:rsidR="007160BE">
        <w:t>rá</w:t>
      </w:r>
      <w:r>
        <w:t xml:space="preserve"> observar [las posiciones relativas] así: “En este lugar, esto es una roca, </w:t>
      </w:r>
      <w:r w:rsidR="001E5893">
        <w:t>é</w:t>
      </w:r>
      <w:r>
        <w:t>st</w:t>
      </w:r>
      <w:r w:rsidR="001E5893">
        <w:t>e</w:t>
      </w:r>
      <w:r>
        <w:t xml:space="preserve"> es </w:t>
      </w:r>
      <w:r w:rsidR="001E5893">
        <w:t>el signo de la</w:t>
      </w:r>
      <w:r w:rsidR="001E5893" w:rsidRPr="001E5893">
        <w:t xml:space="preserve"> </w:t>
      </w:r>
      <w:r w:rsidR="001E5893">
        <w:t>repugnancia</w:t>
      </w:r>
      <w:r>
        <w:t xml:space="preserve">; </w:t>
      </w:r>
      <w:r w:rsidR="001E5893">
        <w:t>é</w:t>
      </w:r>
      <w:r>
        <w:t>st</w:t>
      </w:r>
      <w:r w:rsidR="001E5893">
        <w:t>e</w:t>
      </w:r>
      <w:r>
        <w:t xml:space="preserve"> es </w:t>
      </w:r>
      <w:r w:rsidR="001E5893">
        <w:t>e</w:t>
      </w:r>
      <w:r>
        <w:t xml:space="preserve">l </w:t>
      </w:r>
      <w:r w:rsidR="001E5893">
        <w:t xml:space="preserve">signo </w:t>
      </w:r>
      <w:r>
        <w:t xml:space="preserve">de la </w:t>
      </w:r>
      <w:r w:rsidR="001E5893">
        <w:t>repugnancia</w:t>
      </w:r>
      <w:r>
        <w:t xml:space="preserve">, </w:t>
      </w:r>
      <w:r w:rsidR="00252AAA">
        <w:t>é</w:t>
      </w:r>
      <w:r>
        <w:t>sta es una roca”.</w:t>
      </w:r>
    </w:p>
    <w:p w14:paraId="050A9C68" w14:textId="04F10C36" w:rsidR="003B4143" w:rsidRDefault="003B4143" w:rsidP="003B4143">
      <w:r>
        <w:t xml:space="preserve">30. </w:t>
      </w:r>
      <w:r>
        <w:tab/>
        <w:t xml:space="preserve">Si </w:t>
      </w:r>
      <w:r w:rsidR="00252AAA">
        <w:t>hubiese</w:t>
      </w:r>
      <w:r>
        <w:t xml:space="preserve"> un termitero, debe</w:t>
      </w:r>
      <w:r w:rsidR="00252AAA">
        <w:t>rá</w:t>
      </w:r>
      <w:r>
        <w:t xml:space="preserve"> definirlo de esta manera: “</w:t>
      </w:r>
      <w:r w:rsidR="00252AAA">
        <w:t>é</w:t>
      </w:r>
      <w:r>
        <w:t>ste es alto o bajo, pequeño o grande, marrón</w:t>
      </w:r>
      <w:r w:rsidR="00252AAA">
        <w:t>,</w:t>
      </w:r>
      <w:r>
        <w:t xml:space="preserve"> negro o blanco, largo o redondo”, después de lo cual debe</w:t>
      </w:r>
      <w:r w:rsidR="00252AAA">
        <w:t>rá</w:t>
      </w:r>
      <w:r>
        <w:t xml:space="preserve"> observar [las posiciones relativas] así: “En este lugar, </w:t>
      </w:r>
      <w:r w:rsidR="00DE7693">
        <w:t>é</w:t>
      </w:r>
      <w:r>
        <w:t>st</w:t>
      </w:r>
      <w:r w:rsidR="00DE7693">
        <w:t>e</w:t>
      </w:r>
      <w:r>
        <w:t xml:space="preserve"> es un montículo de termitas, </w:t>
      </w:r>
      <w:r w:rsidR="00252AAA">
        <w:t xml:space="preserve">éste </w:t>
      </w:r>
      <w:r>
        <w:t xml:space="preserve">es </w:t>
      </w:r>
      <w:r w:rsidR="00252AAA">
        <w:t xml:space="preserve">el signo </w:t>
      </w:r>
      <w:r>
        <w:t xml:space="preserve">de </w:t>
      </w:r>
      <w:r w:rsidR="00252AAA">
        <w:t>la repugnancia</w:t>
      </w:r>
      <w:r>
        <w:t>”.</w:t>
      </w:r>
    </w:p>
    <w:p w14:paraId="031EF8A2" w14:textId="76283194" w:rsidR="003B4143" w:rsidRDefault="003B4143" w:rsidP="003B4143">
      <w:r>
        <w:t xml:space="preserve">31. </w:t>
      </w:r>
      <w:r>
        <w:tab/>
        <w:t xml:space="preserve">Si </w:t>
      </w:r>
      <w:r w:rsidR="00252AAA">
        <w:t xml:space="preserve">hubiese </w:t>
      </w:r>
      <w:r>
        <w:t>un árbol, debe</w:t>
      </w:r>
      <w:r w:rsidR="00252AAA">
        <w:t>rá</w:t>
      </w:r>
      <w:r>
        <w:t xml:space="preserve"> definirlo de esta manera: “</w:t>
      </w:r>
      <w:r w:rsidR="00252AAA">
        <w:t>É</w:t>
      </w:r>
      <w:r>
        <w:t xml:space="preserve">sta es una higuera </w:t>
      </w:r>
      <w:proofErr w:type="spellStart"/>
      <w:r w:rsidRPr="00A661C4">
        <w:rPr>
          <w:i/>
          <w:iCs/>
        </w:rPr>
        <w:t>pipal</w:t>
      </w:r>
      <w:proofErr w:type="spellEnd"/>
      <w:r>
        <w:t xml:space="preserve"> o una higuera </w:t>
      </w:r>
      <w:proofErr w:type="spellStart"/>
      <w:r w:rsidRPr="00A661C4">
        <w:rPr>
          <w:i/>
          <w:iCs/>
        </w:rPr>
        <w:t>banyan</w:t>
      </w:r>
      <w:proofErr w:type="spellEnd"/>
      <w:r>
        <w:t xml:space="preserve"> o una higuera </w:t>
      </w:r>
      <w:proofErr w:type="spellStart"/>
      <w:r w:rsidRPr="00A661C4">
        <w:rPr>
          <w:i/>
          <w:iCs/>
        </w:rPr>
        <w:t>kacchaka</w:t>
      </w:r>
      <w:proofErr w:type="spellEnd"/>
      <w:r>
        <w:t xml:space="preserve"> o una higuera </w:t>
      </w:r>
      <w:proofErr w:type="spellStart"/>
      <w:r w:rsidRPr="00A661C4">
        <w:rPr>
          <w:i/>
          <w:iCs/>
        </w:rPr>
        <w:t>kapittha</w:t>
      </w:r>
      <w:proofErr w:type="spellEnd"/>
      <w:r>
        <w:t>; es alt</w:t>
      </w:r>
      <w:r w:rsidR="00252AAA">
        <w:t>a</w:t>
      </w:r>
      <w:r>
        <w:t xml:space="preserve"> o baj</w:t>
      </w:r>
      <w:r w:rsidR="00252AAA">
        <w:t>a</w:t>
      </w:r>
      <w:r>
        <w:t>, pequeñ</w:t>
      </w:r>
      <w:r w:rsidR="00252AAA">
        <w:t>a</w:t>
      </w:r>
      <w:r>
        <w:t xml:space="preserve"> o grande, negr</w:t>
      </w:r>
      <w:r w:rsidR="00252AAA">
        <w:t>a</w:t>
      </w:r>
      <w:r>
        <w:t xml:space="preserve"> o blanc</w:t>
      </w:r>
      <w:r w:rsidR="00252AAA">
        <w:t>a</w:t>
      </w:r>
      <w:r>
        <w:t>”, después de lo cual debe</w:t>
      </w:r>
      <w:r w:rsidR="00252AAA">
        <w:t>rá</w:t>
      </w:r>
      <w:r>
        <w:t xml:space="preserve"> observar [las posiciones relativas] así: “En este lugar, esto es un árbol, </w:t>
      </w:r>
      <w:r w:rsidR="00252AAA">
        <w:t xml:space="preserve">éste </w:t>
      </w:r>
      <w:r>
        <w:t xml:space="preserve">es el signo de la </w:t>
      </w:r>
      <w:r w:rsidR="00252AAA">
        <w:t>repugnancia</w:t>
      </w:r>
      <w:r>
        <w:t>”.</w:t>
      </w:r>
    </w:p>
    <w:p w14:paraId="563510D4" w14:textId="2BE0E666" w:rsidR="003B4143" w:rsidRDefault="003B4143" w:rsidP="003B4143">
      <w:r>
        <w:t xml:space="preserve">32. </w:t>
      </w:r>
      <w:r>
        <w:tab/>
        <w:t xml:space="preserve">Si </w:t>
      </w:r>
      <w:r w:rsidR="009E58AE">
        <w:t xml:space="preserve">hubiese </w:t>
      </w:r>
      <w:r>
        <w:t>un arbusto, debe</w:t>
      </w:r>
      <w:r w:rsidR="009E58AE">
        <w:t>rá</w:t>
      </w:r>
      <w:r>
        <w:t xml:space="preserve"> definirlo de esta manera: “</w:t>
      </w:r>
      <w:r w:rsidR="009E58AE">
        <w:t xml:space="preserve">Éste </w:t>
      </w:r>
      <w:r>
        <w:t xml:space="preserve">es un arbusto </w:t>
      </w:r>
      <w:r w:rsidRPr="009E58AE">
        <w:rPr>
          <w:i/>
          <w:iCs/>
        </w:rPr>
        <w:t>sindi</w:t>
      </w:r>
      <w:r w:rsidR="00192600">
        <w:t>,</w:t>
      </w:r>
      <w:r>
        <w:t xml:space="preserve"> un arbusto </w:t>
      </w:r>
      <w:proofErr w:type="spellStart"/>
      <w:r w:rsidRPr="00A661C4">
        <w:rPr>
          <w:i/>
          <w:iCs/>
        </w:rPr>
        <w:t>karamanda</w:t>
      </w:r>
      <w:proofErr w:type="spellEnd"/>
      <w:r w:rsidR="009E58AE">
        <w:t>,</w:t>
      </w:r>
      <w:r>
        <w:t xml:space="preserve"> un arbusto </w:t>
      </w:r>
      <w:proofErr w:type="spellStart"/>
      <w:r w:rsidRPr="00A661C4">
        <w:rPr>
          <w:i/>
          <w:iCs/>
        </w:rPr>
        <w:t>kaṇavīra</w:t>
      </w:r>
      <w:proofErr w:type="spellEnd"/>
      <w:r>
        <w:t xml:space="preserve"> o un arbusto </w:t>
      </w:r>
      <w:proofErr w:type="spellStart"/>
      <w:r w:rsidRPr="00A661C4">
        <w:rPr>
          <w:i/>
          <w:iCs/>
        </w:rPr>
        <w:t>koraṇḍaka</w:t>
      </w:r>
      <w:proofErr w:type="spellEnd"/>
      <w:r>
        <w:t>; es alto o bajo, pequeño o grande”, después de lo cual debe</w:t>
      </w:r>
      <w:r w:rsidR="009E58AE">
        <w:t>rá</w:t>
      </w:r>
      <w:r>
        <w:t xml:space="preserve"> observar [las posiciones relativas] así: “En este lugar, esto es un arbusto, </w:t>
      </w:r>
      <w:r w:rsidR="009E58AE">
        <w:t xml:space="preserve">éste </w:t>
      </w:r>
      <w:r>
        <w:t xml:space="preserve">es el signo de la </w:t>
      </w:r>
      <w:r w:rsidR="009E58AE">
        <w:t>repugnancia</w:t>
      </w:r>
      <w:r>
        <w:t>”.</w:t>
      </w:r>
    </w:p>
    <w:p w14:paraId="4CD374C7" w14:textId="0AF6AD75" w:rsidR="003B4143" w:rsidRDefault="003B4143" w:rsidP="003B4143">
      <w:r>
        <w:t xml:space="preserve">33. </w:t>
      </w:r>
      <w:r>
        <w:tab/>
        <w:t xml:space="preserve">Si </w:t>
      </w:r>
      <w:r w:rsidR="009E58AE">
        <w:t xml:space="preserve">hubiese </w:t>
      </w:r>
      <w:r>
        <w:t>una enredadera, debe</w:t>
      </w:r>
      <w:r w:rsidR="009E58AE">
        <w:t>rá</w:t>
      </w:r>
      <w:r>
        <w:t xml:space="preserve"> definirla de esta manera: "</w:t>
      </w:r>
      <w:r w:rsidR="00EC5C20">
        <w:t>É</w:t>
      </w:r>
      <w:r>
        <w:t>sta es una enredadera de calabaza</w:t>
      </w:r>
      <w:r w:rsidR="00FE366C">
        <w:t>,</w:t>
      </w:r>
      <w:r>
        <w:t xml:space="preserve"> una enredadera marrón</w:t>
      </w:r>
      <w:r w:rsidR="00FE366C">
        <w:t>,</w:t>
      </w:r>
      <w:r>
        <w:t xml:space="preserve"> una enredadera negra o una enredadera apestosa", después de lo cual debe</w:t>
      </w:r>
      <w:r w:rsidR="005A2344">
        <w:t>rá</w:t>
      </w:r>
      <w:r>
        <w:t xml:space="preserve"> observar [las posiciones relativas] así: “En este lugar, </w:t>
      </w:r>
      <w:r w:rsidR="005A2344">
        <w:t xml:space="preserve">ésta </w:t>
      </w:r>
      <w:r>
        <w:t xml:space="preserve">es una enredadera, </w:t>
      </w:r>
      <w:r w:rsidR="0004399D">
        <w:t xml:space="preserve">éste </w:t>
      </w:r>
      <w:r>
        <w:t xml:space="preserve">es </w:t>
      </w:r>
      <w:r w:rsidR="0004399D">
        <w:t>e</w:t>
      </w:r>
      <w:r>
        <w:t xml:space="preserve">l </w:t>
      </w:r>
      <w:r w:rsidR="0004399D">
        <w:t xml:space="preserve">signo </w:t>
      </w:r>
      <w:r>
        <w:t xml:space="preserve">de </w:t>
      </w:r>
      <w:r w:rsidR="0004399D">
        <w:t>la repugnancia</w:t>
      </w:r>
      <w:r>
        <w:t xml:space="preserve">; </w:t>
      </w:r>
      <w:r w:rsidR="0004399D">
        <w:t xml:space="preserve">éste </w:t>
      </w:r>
      <w:r>
        <w:t xml:space="preserve">es el signo de la </w:t>
      </w:r>
      <w:r w:rsidR="0004399D">
        <w:t>repugnancia</w:t>
      </w:r>
      <w:r>
        <w:t xml:space="preserve">, </w:t>
      </w:r>
      <w:r w:rsidR="0004399D">
        <w:t xml:space="preserve">ésta </w:t>
      </w:r>
      <w:r>
        <w:t>es una enredadera”.</w:t>
      </w:r>
    </w:p>
    <w:p w14:paraId="6733C604" w14:textId="502CD5E6" w:rsidR="003B4143" w:rsidRDefault="003B4143" w:rsidP="003B4143">
      <w:r>
        <w:t xml:space="preserve">34. </w:t>
      </w:r>
      <w:r>
        <w:tab/>
        <w:t xml:space="preserve">También </w:t>
      </w:r>
      <w:r w:rsidRPr="00C72AA3">
        <w:rPr>
          <w:i/>
          <w:iCs/>
        </w:rPr>
        <w:t xml:space="preserve">con su signo particular y en relación con el objeto </w:t>
      </w:r>
      <w:r w:rsidRPr="00C72AA3">
        <w:t>se dijo</w:t>
      </w:r>
      <w:r>
        <w:t xml:space="preserve"> (§19); </w:t>
      </w:r>
      <w:r w:rsidR="00FE366C">
        <w:t>no obstante,</w:t>
      </w:r>
      <w:r>
        <w:t xml:space="preserve"> es</w:t>
      </w:r>
      <w:r w:rsidR="00FE366C">
        <w:t>t</w:t>
      </w:r>
      <w:r>
        <w:t>o está incluido en lo que acaba de decirse; pues lo “caracteriza</w:t>
      </w:r>
      <w:r w:rsidR="00FE366C">
        <w:t>rá</w:t>
      </w:r>
      <w:r>
        <w:t xml:space="preserve"> con su signo particular” cuando defin</w:t>
      </w:r>
      <w:r w:rsidR="00604EA7">
        <w:t>a</w:t>
      </w:r>
      <w:r>
        <w:t xml:space="preserve"> una y otra vez</w:t>
      </w:r>
      <w:r w:rsidR="004F17F3">
        <w:t>, cuando</w:t>
      </w:r>
      <w:r>
        <w:t xml:space="preserve"> lo “caracter</w:t>
      </w:r>
      <w:r w:rsidR="00604EA7">
        <w:t>ice</w:t>
      </w:r>
      <w:r>
        <w:t xml:space="preserve"> </w:t>
      </w:r>
      <w:r w:rsidR="004F17F3">
        <w:t>con</w:t>
      </w:r>
      <w:r>
        <w:t xml:space="preserve"> relación al objeto”</w:t>
      </w:r>
      <w:r w:rsidR="004F17F3">
        <w:t>,</w:t>
      </w:r>
      <w:r>
        <w:t xml:space="preserve"> cuando lo defin</w:t>
      </w:r>
      <w:r w:rsidR="00604EA7">
        <w:t>a</w:t>
      </w:r>
      <w:r>
        <w:t xml:space="preserve"> combinándolo cada vez en pares así: “</w:t>
      </w:r>
      <w:r w:rsidR="00604EA7">
        <w:t xml:space="preserve">Ésta </w:t>
      </w:r>
      <w:r>
        <w:t xml:space="preserve">es una roca, </w:t>
      </w:r>
      <w:r w:rsidR="00604EA7">
        <w:t xml:space="preserve">éste </w:t>
      </w:r>
      <w:r>
        <w:t xml:space="preserve">es el signo de la </w:t>
      </w:r>
      <w:r w:rsidR="00604EA7">
        <w:t>repugnancia</w:t>
      </w:r>
      <w:r>
        <w:t xml:space="preserve">; </w:t>
      </w:r>
      <w:r w:rsidR="00604EA7">
        <w:t xml:space="preserve">éste </w:t>
      </w:r>
      <w:r>
        <w:t xml:space="preserve">es </w:t>
      </w:r>
      <w:r w:rsidR="00C934FC">
        <w:t>e</w:t>
      </w:r>
      <w:r>
        <w:t xml:space="preserve">l </w:t>
      </w:r>
      <w:r w:rsidR="00604EA7">
        <w:t xml:space="preserve">signo </w:t>
      </w:r>
      <w:r>
        <w:t xml:space="preserve">de la </w:t>
      </w:r>
      <w:r w:rsidR="00604EA7">
        <w:t>repugnancia y</w:t>
      </w:r>
      <w:r>
        <w:t xml:space="preserve"> </w:t>
      </w:r>
      <w:r w:rsidR="00604EA7">
        <w:t xml:space="preserve">ésta </w:t>
      </w:r>
      <w:r>
        <w:t>es una roca”.</w:t>
      </w:r>
    </w:p>
    <w:p w14:paraId="48406B7B" w14:textId="5C316396" w:rsidR="003B4143" w:rsidRDefault="003B4143" w:rsidP="003B4143">
      <w:r>
        <w:t xml:space="preserve">35. </w:t>
      </w:r>
      <w:r>
        <w:tab/>
        <w:t>Hecho esto, de nuevo debe</w:t>
      </w:r>
      <w:r w:rsidR="00604EA7">
        <w:t>rá</w:t>
      </w:r>
      <w:r>
        <w:t xml:space="preserve"> recordar el hecho de que </w:t>
      </w:r>
      <w:r w:rsidR="00227976">
        <w:t xml:space="preserve">el estado propio de estar hinchado </w:t>
      </w:r>
      <w:r>
        <w:t>ten</w:t>
      </w:r>
      <w:r w:rsidR="00604EA7">
        <w:t>ga</w:t>
      </w:r>
      <w:r>
        <w:t xml:space="preserve"> una esencia individual, </w:t>
      </w:r>
      <w:r w:rsidR="00227976">
        <w:t xml:space="preserve">ya </w:t>
      </w:r>
      <w:r>
        <w:t xml:space="preserve">que no </w:t>
      </w:r>
      <w:r w:rsidR="004F17F3">
        <w:t>será</w:t>
      </w:r>
      <w:r>
        <w:t xml:space="preserve"> común a ninguna otra cosa, ya que se </w:t>
      </w:r>
      <w:r w:rsidR="00B61B78">
        <w:t>ha dicho</w:t>
      </w:r>
      <w:r>
        <w:t xml:space="preserve"> que él lo defin</w:t>
      </w:r>
      <w:r w:rsidR="00B61B78">
        <w:t>irá</w:t>
      </w:r>
      <w:r w:rsidRPr="003B4143">
        <w:rPr>
          <w:vertAlign w:val="superscript"/>
        </w:rPr>
        <w:t>4</w:t>
      </w:r>
      <w:r>
        <w:t xml:space="preserve"> </w:t>
      </w:r>
      <w:r w:rsidRPr="00C72AA3">
        <w:rPr>
          <w:i/>
          <w:iCs/>
        </w:rPr>
        <w:t xml:space="preserve">por el hecho de </w:t>
      </w:r>
      <w:r w:rsidR="00322831">
        <w:rPr>
          <w:i/>
          <w:iCs/>
        </w:rPr>
        <w:t>haber</w:t>
      </w:r>
      <w:r>
        <w:t xml:space="preserve"> </w:t>
      </w:r>
      <w:r w:rsidRPr="00C72AA3">
        <w:rPr>
          <w:i/>
          <w:iCs/>
        </w:rPr>
        <w:t>alcanzado</w:t>
      </w:r>
      <w:r>
        <w:t xml:space="preserve"> </w:t>
      </w:r>
      <w:r w:rsidRPr="00C72AA3">
        <w:rPr>
          <w:i/>
          <w:iCs/>
        </w:rPr>
        <w:t>esa esencia individual particular</w:t>
      </w:r>
      <w:r>
        <w:t>. El significado es</w:t>
      </w:r>
    </w:p>
    <w:p w14:paraId="208E715F" w14:textId="77777777" w:rsidR="003B4143" w:rsidRDefault="003B4143" w:rsidP="003B4143">
      <w:pPr>
        <w:pStyle w:val="PiedepginaLegal"/>
        <w:rPr>
          <w:u w:val="single"/>
        </w:rPr>
      </w:pPr>
      <w:r>
        <w:rPr>
          <w:u w:val="single"/>
        </w:rPr>
        <w:tab/>
      </w:r>
      <w:r>
        <w:rPr>
          <w:u w:val="single"/>
        </w:rPr>
        <w:tab/>
      </w:r>
      <w:r>
        <w:rPr>
          <w:u w:val="single"/>
        </w:rPr>
        <w:tab/>
      </w:r>
      <w:r>
        <w:rPr>
          <w:u w:val="single"/>
        </w:rPr>
        <w:tab/>
        <w:t>.</w:t>
      </w:r>
    </w:p>
    <w:p w14:paraId="1BC929CA" w14:textId="2C6C652F" w:rsidR="003B4143" w:rsidRDefault="003B4143" w:rsidP="003B4143">
      <w:pPr>
        <w:pStyle w:val="PiedepginaLegal"/>
      </w:pPr>
      <w:r>
        <w:t xml:space="preserve">4. </w:t>
      </w:r>
      <w:r w:rsidR="00A661C4">
        <w:tab/>
      </w:r>
      <w:r>
        <w:t xml:space="preserve">La referencia a §19 requiere </w:t>
      </w:r>
      <w:proofErr w:type="spellStart"/>
      <w:r w:rsidRPr="00A661C4">
        <w:rPr>
          <w:i/>
          <w:iCs/>
        </w:rPr>
        <w:t>sabhāvato</w:t>
      </w:r>
      <w:proofErr w:type="spellEnd"/>
      <w:r w:rsidRPr="00A661C4">
        <w:rPr>
          <w:i/>
          <w:iCs/>
        </w:rPr>
        <w:t xml:space="preserve"> </w:t>
      </w:r>
      <w:proofErr w:type="spellStart"/>
      <w:r w:rsidRPr="00A661C4">
        <w:rPr>
          <w:i/>
          <w:iCs/>
        </w:rPr>
        <w:t>upalakkhati</w:t>
      </w:r>
      <w:proofErr w:type="spellEnd"/>
      <w:r>
        <w:t xml:space="preserve"> en lugar de </w:t>
      </w:r>
      <w:proofErr w:type="spellStart"/>
      <w:r w:rsidRPr="00A661C4">
        <w:rPr>
          <w:i/>
          <w:iCs/>
        </w:rPr>
        <w:t>sabhāvato</w:t>
      </w:r>
      <w:proofErr w:type="spellEnd"/>
      <w:r w:rsidRPr="00A661C4">
        <w:rPr>
          <w:i/>
          <w:iCs/>
        </w:rPr>
        <w:t xml:space="preserve"> </w:t>
      </w:r>
      <w:proofErr w:type="spellStart"/>
      <w:r w:rsidRPr="00A661C4">
        <w:rPr>
          <w:i/>
          <w:iCs/>
        </w:rPr>
        <w:t>vavaṭṭhāpeti</w:t>
      </w:r>
      <w:proofErr w:type="spellEnd"/>
      <w:r>
        <w:t>, pero así lo dicen las lecturas.</w:t>
      </w:r>
      <w:r>
        <w:br w:type="page"/>
      </w:r>
    </w:p>
    <w:p w14:paraId="2C0EE2BB" w14:textId="77777777" w:rsidR="00AB5EC5" w:rsidRDefault="00AB5EC5" w:rsidP="00123BDB"/>
    <w:p w14:paraId="5FFDB67E" w14:textId="406228B5" w:rsidR="00AB5EC5" w:rsidRDefault="00AB5EC5" w:rsidP="00AB5EC5">
      <w:r>
        <w:t xml:space="preserve">que debe definirse según su esencia individual, según su propia naturaleza, como “lo </w:t>
      </w:r>
      <w:r w:rsidR="00322831">
        <w:t>hinchado</w:t>
      </w:r>
      <w:r>
        <w:t>,</w:t>
      </w:r>
      <w:r w:rsidRPr="0051300F">
        <w:rPr>
          <w:vertAlign w:val="superscript"/>
        </w:rPr>
        <w:t>5</w:t>
      </w:r>
      <w:r>
        <w:t xml:space="preserve"> lo inflado”.</w:t>
      </w:r>
    </w:p>
    <w:p w14:paraId="234EE6CD" w14:textId="6F27045F" w:rsidR="00AB5EC5" w:rsidRDefault="00AB5EC5" w:rsidP="00AB5EC5">
      <w:pPr>
        <w:pStyle w:val="NormalConSangria"/>
      </w:pPr>
      <w:r>
        <w:t>Habiéndolo definido</w:t>
      </w:r>
      <w:r w:rsidR="00322831" w:rsidRPr="00322831">
        <w:t xml:space="preserve"> </w:t>
      </w:r>
      <w:r w:rsidR="00322831">
        <w:t>así</w:t>
      </w:r>
      <w:r>
        <w:t>, debe</w:t>
      </w:r>
      <w:r w:rsidR="00322831">
        <w:t>rá</w:t>
      </w:r>
      <w:r>
        <w:t xml:space="preserve"> aprehender el signo de las seis maneras siguientes, </w:t>
      </w:r>
      <w:r w:rsidR="00322831">
        <w:t>es decir</w:t>
      </w:r>
      <w:r>
        <w:t>, (1) por su color, (2) por su marca, (3) por su forma, [184] (4) por su dirección, (5) por su ubicación, (6) por su delimitación. ¿Cómo?</w:t>
      </w:r>
    </w:p>
    <w:p w14:paraId="24F916F3" w14:textId="2AE47150" w:rsidR="00AB5EC5" w:rsidRDefault="00AB5EC5" w:rsidP="00AB5EC5">
      <w:r>
        <w:t xml:space="preserve">36. </w:t>
      </w:r>
      <w:r>
        <w:tab/>
        <w:t>(1) El meditador debe</w:t>
      </w:r>
      <w:r w:rsidR="009A7297">
        <w:t>rá</w:t>
      </w:r>
      <w:r>
        <w:t xml:space="preserve"> definirlo por </w:t>
      </w:r>
      <w:r w:rsidRPr="00182724">
        <w:rPr>
          <w:i/>
          <w:iCs/>
        </w:rPr>
        <w:t>su color</w:t>
      </w:r>
      <w:r>
        <w:t xml:space="preserve"> así: “</w:t>
      </w:r>
      <w:r w:rsidR="00620E29">
        <w:t xml:space="preserve">Éste </w:t>
      </w:r>
      <w:r>
        <w:t>es el cuerpo de alguien de piel negra</w:t>
      </w:r>
      <w:r w:rsidR="00620E29">
        <w:t>,</w:t>
      </w:r>
      <w:r>
        <w:t xml:space="preserve"> blanca o amarilla”.</w:t>
      </w:r>
    </w:p>
    <w:p w14:paraId="02F21EE7" w14:textId="691A624B" w:rsidR="00AB5EC5" w:rsidRDefault="00AB5EC5" w:rsidP="00AB5EC5">
      <w:r>
        <w:t xml:space="preserve">37. </w:t>
      </w:r>
      <w:r>
        <w:tab/>
        <w:t>(2) En lugar de definirlo por la marca femenina o la marca masculina, debe</w:t>
      </w:r>
      <w:r w:rsidR="00B83641">
        <w:t>rá</w:t>
      </w:r>
      <w:r>
        <w:t xml:space="preserve"> definirlo por su marca así: “</w:t>
      </w:r>
      <w:r w:rsidR="00B83641">
        <w:t xml:space="preserve">Éste </w:t>
      </w:r>
      <w:r>
        <w:t xml:space="preserve">es </w:t>
      </w:r>
      <w:r w:rsidR="009A7297">
        <w:t>un</w:t>
      </w:r>
      <w:r>
        <w:t xml:space="preserve"> cuerpo de alguien que </w:t>
      </w:r>
      <w:r w:rsidR="009A7297">
        <w:t>se encontraba</w:t>
      </w:r>
      <w:r>
        <w:t xml:space="preserve"> en la primera fase de la vida, en la fase intermedia, en la última fase.”</w:t>
      </w:r>
    </w:p>
    <w:p w14:paraId="1D98475B" w14:textId="765DC227" w:rsidR="00AB5EC5" w:rsidRDefault="00AB5EC5" w:rsidP="00AB5EC5">
      <w:r>
        <w:t xml:space="preserve">38. </w:t>
      </w:r>
      <w:r>
        <w:tab/>
        <w:t>(3</w:t>
      </w:r>
      <w:r w:rsidRPr="00182724">
        <w:rPr>
          <w:i/>
          <w:iCs/>
        </w:rPr>
        <w:t>) Por su forma</w:t>
      </w:r>
      <w:r>
        <w:t>: debe</w:t>
      </w:r>
      <w:r w:rsidR="00B83641">
        <w:t>rá</w:t>
      </w:r>
      <w:r>
        <w:t xml:space="preserve"> definirlo solo por la forma de</w:t>
      </w:r>
      <w:r w:rsidR="00B83641">
        <w:t xml:space="preserve"> </w:t>
      </w:r>
      <w:r>
        <w:t>l</w:t>
      </w:r>
      <w:r w:rsidR="00B83641">
        <w:t>o</w:t>
      </w:r>
      <w:r>
        <w:t xml:space="preserve"> hinchado así: “</w:t>
      </w:r>
      <w:r w:rsidR="00B83641">
        <w:t xml:space="preserve">Ésta </w:t>
      </w:r>
      <w:r>
        <w:t xml:space="preserve">es la forma de su cabeza, </w:t>
      </w:r>
      <w:r w:rsidR="00B83641">
        <w:t xml:space="preserve">Ésta </w:t>
      </w:r>
      <w:r>
        <w:t xml:space="preserve">es la forma de su cuello, </w:t>
      </w:r>
      <w:r w:rsidR="00B83641">
        <w:t xml:space="preserve">ésta </w:t>
      </w:r>
      <w:r>
        <w:t xml:space="preserve">la forma de su mano, </w:t>
      </w:r>
      <w:r w:rsidR="00AF07AB">
        <w:t xml:space="preserve">ésta </w:t>
      </w:r>
      <w:r>
        <w:t xml:space="preserve">la forma de su pecho, </w:t>
      </w:r>
      <w:r w:rsidR="00AF07AB">
        <w:t xml:space="preserve">ésta </w:t>
      </w:r>
      <w:r>
        <w:t xml:space="preserve">la forma de su vientre, </w:t>
      </w:r>
      <w:r w:rsidR="00AF07AB">
        <w:t xml:space="preserve">ésta </w:t>
      </w:r>
      <w:r>
        <w:t xml:space="preserve">la forma de su ombligo, </w:t>
      </w:r>
      <w:r w:rsidR="00AF07AB">
        <w:t xml:space="preserve">ésta </w:t>
      </w:r>
      <w:r>
        <w:t xml:space="preserve">la forma de sus caderas, </w:t>
      </w:r>
      <w:r w:rsidR="00AF07AB">
        <w:t xml:space="preserve">ésta </w:t>
      </w:r>
      <w:r>
        <w:t xml:space="preserve">la forma de su muslo, </w:t>
      </w:r>
      <w:r w:rsidR="00AF07AB">
        <w:t xml:space="preserve">ésta </w:t>
      </w:r>
      <w:r>
        <w:t xml:space="preserve">la forma de su pantorrilla, </w:t>
      </w:r>
      <w:r w:rsidR="00AF07AB">
        <w:t xml:space="preserve">ésta </w:t>
      </w:r>
      <w:r>
        <w:t>la forma de su pie.”</w:t>
      </w:r>
    </w:p>
    <w:p w14:paraId="75F633D1" w14:textId="3D183067" w:rsidR="00AB5EC5" w:rsidRDefault="00AB5EC5" w:rsidP="00AB5EC5">
      <w:r>
        <w:t>39.</w:t>
      </w:r>
      <w:r>
        <w:tab/>
        <w:t xml:space="preserve"> (4) Debe</w:t>
      </w:r>
      <w:r w:rsidR="00AF07AB">
        <w:t>rá</w:t>
      </w:r>
      <w:r>
        <w:t xml:space="preserve"> definirlo </w:t>
      </w:r>
      <w:r w:rsidRPr="00182724">
        <w:rPr>
          <w:i/>
          <w:iCs/>
        </w:rPr>
        <w:t>por su dirección</w:t>
      </w:r>
      <w:r>
        <w:t xml:space="preserve"> así: "Hay dos direcciones en este cuerpo, es decir, hacia abajo desde el ombligo como la dirección inferior, y hacia arriba como la dirección superior". O alternativamente, puede definirlo así: “Estoy parado en esta dirección; </w:t>
      </w:r>
      <w:r w:rsidR="00191275">
        <w:t xml:space="preserve">el signo </w:t>
      </w:r>
      <w:r>
        <w:t xml:space="preserve">de </w:t>
      </w:r>
      <w:r w:rsidR="00191275">
        <w:t xml:space="preserve">la repugnancia </w:t>
      </w:r>
      <w:r>
        <w:t>está en esa dirección”.</w:t>
      </w:r>
    </w:p>
    <w:p w14:paraId="012ECDE5" w14:textId="5C1CD491" w:rsidR="00AB5EC5" w:rsidRDefault="00AB5EC5" w:rsidP="00AB5EC5">
      <w:r>
        <w:t xml:space="preserve">40. </w:t>
      </w:r>
      <w:r>
        <w:tab/>
        <w:t>(5) Debe</w:t>
      </w:r>
      <w:r w:rsidR="00191275">
        <w:t>rá</w:t>
      </w:r>
      <w:r>
        <w:t xml:space="preserve"> definirlo </w:t>
      </w:r>
      <w:r w:rsidRPr="00182724">
        <w:rPr>
          <w:i/>
          <w:iCs/>
        </w:rPr>
        <w:t>por su ubicación</w:t>
      </w:r>
      <w:r>
        <w:t xml:space="preserve"> así: "La mano está en esta ubicación, el pie en </w:t>
      </w:r>
      <w:r w:rsidR="00191275">
        <w:t>ésta</w:t>
      </w:r>
      <w:r>
        <w:t xml:space="preserve">, la cabeza en </w:t>
      </w:r>
      <w:r w:rsidR="00191275">
        <w:t>ésta</w:t>
      </w:r>
      <w:r>
        <w:t xml:space="preserve">, la mitad del cuerpo en </w:t>
      </w:r>
      <w:r w:rsidR="00191275">
        <w:t>ésta</w:t>
      </w:r>
      <w:r>
        <w:t xml:space="preserve">". O alternativamente, </w:t>
      </w:r>
      <w:r w:rsidR="00191275">
        <w:t>podrá</w:t>
      </w:r>
      <w:r>
        <w:t xml:space="preserve"> definirlo así: “Estoy en este lugar; el signo de la </w:t>
      </w:r>
      <w:r w:rsidR="00191275">
        <w:t xml:space="preserve">repugnancia </w:t>
      </w:r>
      <w:r>
        <w:t xml:space="preserve">está </w:t>
      </w:r>
      <w:r w:rsidR="00BD730E">
        <w:t>ahí</w:t>
      </w:r>
      <w:r>
        <w:t>.”</w:t>
      </w:r>
    </w:p>
    <w:p w14:paraId="7B9D6C21" w14:textId="07BC45E4" w:rsidR="00AB5EC5" w:rsidRDefault="00AB5EC5" w:rsidP="00AB5EC5">
      <w:r>
        <w:t xml:space="preserve">41. </w:t>
      </w:r>
      <w:r>
        <w:tab/>
        <w:t>(6) Debe</w:t>
      </w:r>
      <w:r w:rsidR="00960373">
        <w:t>rá</w:t>
      </w:r>
      <w:r>
        <w:t xml:space="preserve"> definirlo </w:t>
      </w:r>
      <w:r w:rsidRPr="00182724">
        <w:rPr>
          <w:i/>
          <w:iCs/>
        </w:rPr>
        <w:t>por su delimitación</w:t>
      </w:r>
      <w:r>
        <w:t xml:space="preserve"> así: “Este cuerpo está delimitado </w:t>
      </w:r>
      <w:r w:rsidR="00BD730E">
        <w:t xml:space="preserve">hacia </w:t>
      </w:r>
      <w:r>
        <w:t xml:space="preserve">abajo por las plantas de los pies, </w:t>
      </w:r>
      <w:r w:rsidR="00BD730E">
        <w:t xml:space="preserve">hacia </w:t>
      </w:r>
      <w:r>
        <w:t xml:space="preserve">arriba por las puntas de los cabellos, todo alrededor por la piel; el </w:t>
      </w:r>
      <w:r w:rsidR="00805991">
        <w:t>lugar</w:t>
      </w:r>
      <w:r>
        <w:t xml:space="preserve"> así delimitado </w:t>
      </w:r>
      <w:r w:rsidR="00960373">
        <w:t>está</w:t>
      </w:r>
      <w:r>
        <w:t xml:space="preserve"> </w:t>
      </w:r>
      <w:r w:rsidR="00960373">
        <w:t xml:space="preserve">ocupado </w:t>
      </w:r>
      <w:r>
        <w:t xml:space="preserve">con treinta y dos cadáveres”. O alternativamente, </w:t>
      </w:r>
      <w:r w:rsidR="00960373">
        <w:t xml:space="preserve">podrá </w:t>
      </w:r>
      <w:r>
        <w:t>definirlo así: “</w:t>
      </w:r>
      <w:r w:rsidR="00805991">
        <w:t xml:space="preserve">Ésta </w:t>
      </w:r>
      <w:r>
        <w:t xml:space="preserve">es la delimitación de su mano, </w:t>
      </w:r>
      <w:r w:rsidR="00805991">
        <w:t xml:space="preserve">ésta </w:t>
      </w:r>
      <w:r>
        <w:t xml:space="preserve">la delimitación de su pie, </w:t>
      </w:r>
      <w:r w:rsidR="00805991">
        <w:t xml:space="preserve">ésta </w:t>
      </w:r>
      <w:r>
        <w:t xml:space="preserve">la delimitación de su cabeza, </w:t>
      </w:r>
      <w:r w:rsidR="00805991">
        <w:t xml:space="preserve">ésta </w:t>
      </w:r>
      <w:r>
        <w:t xml:space="preserve">la delimitación de la parte media de su cuerpo”. O alternativamente, </w:t>
      </w:r>
      <w:r w:rsidR="0018678A">
        <w:t>podrá</w:t>
      </w:r>
      <w:r>
        <w:t xml:space="preserve"> delimitar todo lo que ha</w:t>
      </w:r>
      <w:r w:rsidR="0018678A">
        <w:t>ya</w:t>
      </w:r>
      <w:r>
        <w:t xml:space="preserve"> aprehendido así: “Solo esta parte de lo hinchado es así”.</w:t>
      </w:r>
    </w:p>
    <w:p w14:paraId="614A390E" w14:textId="56050F22" w:rsidR="00AB5EC5" w:rsidRDefault="00AB5EC5" w:rsidP="00AB5EC5">
      <w:r>
        <w:t xml:space="preserve">42. </w:t>
      </w:r>
      <w:r>
        <w:tab/>
        <w:t xml:space="preserve">Sin embargo, un cuerpo femenino no </w:t>
      </w:r>
      <w:r w:rsidR="009D5B9E">
        <w:t>será</w:t>
      </w:r>
      <w:r>
        <w:t xml:space="preserve"> apropiado para un hombre o uno masculino para una mujer; porque el objeto, [</w:t>
      </w:r>
      <w:r w:rsidR="0018678A">
        <w:t>es decir</w:t>
      </w:r>
      <w:r>
        <w:t>, el aspecto repulsivo], no ha</w:t>
      </w:r>
      <w:r w:rsidR="009D5B9E">
        <w:t>rá</w:t>
      </w:r>
      <w:r>
        <w:t xml:space="preserve"> su aparición en un cuerpo del sexo opuesto, lo cual se convert</w:t>
      </w:r>
      <w:r w:rsidR="0018678A">
        <w:t>irá</w:t>
      </w:r>
      <w:r>
        <w:t xml:space="preserve"> simplemente en una condición </w:t>
      </w:r>
      <w:r w:rsidR="00752B85">
        <w:t xml:space="preserve">incorrecta </w:t>
      </w:r>
      <w:r>
        <w:t xml:space="preserve">para </w:t>
      </w:r>
      <w:r w:rsidR="009D5B9E">
        <w:t xml:space="preserve">un </w:t>
      </w:r>
      <w:r>
        <w:t>tipo de excitación.</w:t>
      </w:r>
      <w:r w:rsidRPr="0051300F">
        <w:rPr>
          <w:vertAlign w:val="superscript"/>
        </w:rPr>
        <w:t>6</w:t>
      </w:r>
      <w:r>
        <w:t xml:space="preserve"> Para citar el</w:t>
      </w:r>
      <w:r w:rsidR="00E73BC9" w:rsidRPr="00E73BC9">
        <w:rPr>
          <w:i/>
          <w:iCs/>
        </w:rPr>
        <w:t xml:space="preserve"> </w:t>
      </w:r>
      <w:r w:rsidR="00E73BC9" w:rsidRPr="00A661C4">
        <w:rPr>
          <w:i/>
          <w:iCs/>
        </w:rPr>
        <w:t xml:space="preserve">Comentario </w:t>
      </w:r>
      <w:proofErr w:type="spellStart"/>
      <w:r w:rsidR="00E73BC9" w:rsidRPr="00A661C4">
        <w:rPr>
          <w:i/>
          <w:iCs/>
        </w:rPr>
        <w:t>Majjhima</w:t>
      </w:r>
      <w:proofErr w:type="spellEnd"/>
      <w:r w:rsidR="00E73BC9">
        <w:t>: “Incluso cuando se</w:t>
      </w:r>
    </w:p>
    <w:p w14:paraId="45C1A180" w14:textId="77777777" w:rsidR="00AB5EC5" w:rsidRDefault="00AB5EC5" w:rsidP="00AB5EC5">
      <w:pPr>
        <w:pStyle w:val="PiedepginaLegal"/>
        <w:rPr>
          <w:u w:val="single"/>
        </w:rPr>
      </w:pPr>
      <w:r>
        <w:rPr>
          <w:u w:val="single"/>
        </w:rPr>
        <w:tab/>
      </w:r>
      <w:r>
        <w:rPr>
          <w:u w:val="single"/>
        </w:rPr>
        <w:tab/>
      </w:r>
      <w:r>
        <w:rPr>
          <w:u w:val="single"/>
        </w:rPr>
        <w:tab/>
      </w:r>
      <w:r>
        <w:rPr>
          <w:u w:val="single"/>
        </w:rPr>
        <w:tab/>
        <w:t>.</w:t>
      </w:r>
    </w:p>
    <w:p w14:paraId="6058A493" w14:textId="615F6329" w:rsidR="00AB5EC5" w:rsidRDefault="00AB5EC5" w:rsidP="00AB5EC5">
      <w:pPr>
        <w:pStyle w:val="PiedepginaLegal"/>
      </w:pPr>
      <w:r>
        <w:t xml:space="preserve">5. </w:t>
      </w:r>
      <w:r>
        <w:tab/>
      </w:r>
      <w:proofErr w:type="spellStart"/>
      <w:r w:rsidRPr="00A661C4">
        <w:rPr>
          <w:i/>
          <w:iCs/>
        </w:rPr>
        <w:t>Vaṇita</w:t>
      </w:r>
      <w:proofErr w:type="spellEnd"/>
      <w:r>
        <w:t>—“</w:t>
      </w:r>
      <w:r w:rsidR="005E0E0D">
        <w:t>hinchado</w:t>
      </w:r>
      <w:r>
        <w:t>”: ​​</w:t>
      </w:r>
      <w:r w:rsidR="00CB4071">
        <w:t>comentado</w:t>
      </w:r>
      <w:r>
        <w:t xml:space="preserve"> por </w:t>
      </w:r>
      <w:r w:rsidR="0068536E">
        <w:t xml:space="preserve">el </w:t>
      </w:r>
      <w:proofErr w:type="spellStart"/>
      <w:r>
        <w:t>Vism-mhṭ</w:t>
      </w:r>
      <w:proofErr w:type="spellEnd"/>
      <w:r>
        <w:t xml:space="preserve"> con </w:t>
      </w:r>
      <w:proofErr w:type="spellStart"/>
      <w:r w:rsidRPr="005E0E0D">
        <w:rPr>
          <w:i/>
          <w:iCs/>
        </w:rPr>
        <w:t>sūna</w:t>
      </w:r>
      <w:proofErr w:type="spellEnd"/>
      <w:r>
        <w:t xml:space="preserve"> (hinchado). No </w:t>
      </w:r>
      <w:r w:rsidR="005E0E0D">
        <w:t xml:space="preserve">encontrado </w:t>
      </w:r>
      <w:r>
        <w:t xml:space="preserve">en </w:t>
      </w:r>
      <w:r w:rsidR="005E0E0D">
        <w:t xml:space="preserve">el </w:t>
      </w:r>
      <w:r>
        <w:t>PED en este sentido.</w:t>
      </w:r>
    </w:p>
    <w:p w14:paraId="031B7251" w14:textId="110BFA53" w:rsidR="00AB5EC5" w:rsidRDefault="00AB5EC5" w:rsidP="00AB5EC5">
      <w:pPr>
        <w:pStyle w:val="PiedepginaLegal"/>
      </w:pPr>
      <w:r>
        <w:t xml:space="preserve">6. </w:t>
      </w:r>
      <w:r>
        <w:tab/>
      </w:r>
      <w:proofErr w:type="spellStart"/>
      <w:r w:rsidRPr="00A661C4">
        <w:rPr>
          <w:i/>
          <w:iCs/>
        </w:rPr>
        <w:t>Vipphandana</w:t>
      </w:r>
      <w:proofErr w:type="spellEnd"/>
      <w:r>
        <w:t xml:space="preserve">—“tipo incorrecto de excitación”: </w:t>
      </w:r>
      <w:r w:rsidR="00CB4071">
        <w:t xml:space="preserve">el </w:t>
      </w:r>
      <w:proofErr w:type="spellStart"/>
      <w:r>
        <w:t>Vism-mhṭ</w:t>
      </w:r>
      <w:proofErr w:type="spellEnd"/>
      <w:r>
        <w:t xml:space="preserve"> dice aquí “</w:t>
      </w:r>
      <w:proofErr w:type="spellStart"/>
      <w:r w:rsidRPr="00A661C4">
        <w:rPr>
          <w:i/>
          <w:iCs/>
        </w:rPr>
        <w:t>Kilesaparipphandanass</w:t>
      </w:r>
      <w:proofErr w:type="spellEnd"/>
      <w:r w:rsidRPr="00A661C4">
        <w:rPr>
          <w:i/>
          <w:iCs/>
        </w:rPr>
        <w:t>'</w:t>
      </w:r>
      <w:r>
        <w:t xml:space="preserve"> </w:t>
      </w:r>
      <w:proofErr w:type="spellStart"/>
      <w:r w:rsidRPr="00A661C4">
        <w:rPr>
          <w:i/>
          <w:iCs/>
        </w:rPr>
        <w:t>eva</w:t>
      </w:r>
      <w:proofErr w:type="spellEnd"/>
      <w:r w:rsidRPr="00A661C4">
        <w:rPr>
          <w:i/>
          <w:iCs/>
        </w:rPr>
        <w:t xml:space="preserve"> </w:t>
      </w:r>
      <w:proofErr w:type="spellStart"/>
      <w:r w:rsidRPr="00A661C4">
        <w:rPr>
          <w:i/>
          <w:iCs/>
        </w:rPr>
        <w:t>nimittaṃ</w:t>
      </w:r>
      <w:proofErr w:type="spellEnd"/>
      <w:r w:rsidRPr="00A661C4">
        <w:rPr>
          <w:i/>
          <w:iCs/>
        </w:rPr>
        <w:t xml:space="preserve"> </w:t>
      </w:r>
      <w:proofErr w:type="spellStart"/>
      <w:r w:rsidRPr="00A661C4">
        <w:rPr>
          <w:i/>
          <w:iCs/>
        </w:rPr>
        <w:t>hotī</w:t>
      </w:r>
      <w:proofErr w:type="spellEnd"/>
      <w:r w:rsidRPr="00A661C4">
        <w:rPr>
          <w:i/>
          <w:iCs/>
        </w:rPr>
        <w:t xml:space="preserve"> ti </w:t>
      </w:r>
      <w:proofErr w:type="spellStart"/>
      <w:r w:rsidRPr="00A661C4">
        <w:rPr>
          <w:i/>
          <w:iCs/>
        </w:rPr>
        <w:t>attho</w:t>
      </w:r>
      <w:proofErr w:type="spellEnd"/>
      <w:r>
        <w:t xml:space="preserve"> (el significado es que se convierte en el signo de interferencia </w:t>
      </w:r>
      <w:r w:rsidR="004517F6">
        <w:t>mediante</w:t>
      </w:r>
      <w:r>
        <w:t xml:space="preserve"> (</w:t>
      </w:r>
      <w:r w:rsidR="005E0E0D">
        <w:t xml:space="preserve">la </w:t>
      </w:r>
      <w:r>
        <w:t xml:space="preserve">actividad de) </w:t>
      </w:r>
      <w:r w:rsidR="005E0E0D">
        <w:t xml:space="preserve">una </w:t>
      </w:r>
      <w:r>
        <w:t>contaminación” (</w:t>
      </w:r>
      <w:proofErr w:type="spellStart"/>
      <w:r>
        <w:t>Vism-mhṭ</w:t>
      </w:r>
      <w:proofErr w:type="spellEnd"/>
      <w:r>
        <w:t xml:space="preserve"> 170). </w:t>
      </w:r>
      <w:proofErr w:type="spellStart"/>
      <w:r w:rsidRPr="00A661C4">
        <w:rPr>
          <w:i/>
          <w:iCs/>
        </w:rPr>
        <w:t>Phandati</w:t>
      </w:r>
      <w:proofErr w:type="spellEnd"/>
      <w:r>
        <w:t xml:space="preserve"> y </w:t>
      </w:r>
      <w:proofErr w:type="spellStart"/>
      <w:r w:rsidRPr="00A661C4">
        <w:rPr>
          <w:i/>
          <w:iCs/>
        </w:rPr>
        <w:t>vipphandati</w:t>
      </w:r>
      <w:proofErr w:type="spellEnd"/>
      <w:r>
        <w:t xml:space="preserve"> tienen ambos significados tales como "palpitar, agitar, crispar” y </w:t>
      </w:r>
      <w:proofErr w:type="spellStart"/>
      <w:r w:rsidRPr="00A661C4">
        <w:rPr>
          <w:i/>
          <w:iCs/>
        </w:rPr>
        <w:t>pariphandati</w:t>
      </w:r>
      <w:proofErr w:type="spellEnd"/>
      <w:r>
        <w:t xml:space="preserve"> no </w:t>
      </w:r>
      <w:r w:rsidR="00FC09DA">
        <w:t xml:space="preserve">ha sido </w:t>
      </w:r>
      <w:r w:rsidR="005E0E0D">
        <w:t>encontrado</w:t>
      </w:r>
      <w:r>
        <w:t xml:space="preserve"> en </w:t>
      </w:r>
      <w:r w:rsidR="005E0E0D">
        <w:t xml:space="preserve">el </w:t>
      </w:r>
      <w:r>
        <w:t>PED. Para el sentido de excitación (</w:t>
      </w:r>
      <w:proofErr w:type="spellStart"/>
      <w:r w:rsidRPr="00A661C4">
        <w:rPr>
          <w:i/>
          <w:iCs/>
        </w:rPr>
        <w:t>phandana</w:t>
      </w:r>
      <w:proofErr w:type="spellEnd"/>
      <w:r>
        <w:t xml:space="preserve">) incorrecta (vi-), cf. IV.89 y XIV.132 y </w:t>
      </w:r>
      <w:proofErr w:type="gramStart"/>
      <w:r w:rsidR="008671B9">
        <w:t>tome</w:t>
      </w:r>
      <w:proofErr w:type="gramEnd"/>
      <w:r w:rsidR="008671B9">
        <w:t xml:space="preserve"> </w:t>
      </w:r>
      <w:r>
        <w:t xml:space="preserve">nota. </w:t>
      </w:r>
      <w:r w:rsidR="008671B9">
        <w:t xml:space="preserve">Parece </w:t>
      </w:r>
      <w:r>
        <w:t xml:space="preserve">ser </w:t>
      </w:r>
      <w:r w:rsidR="008671B9">
        <w:t xml:space="preserve">que hay </w:t>
      </w:r>
      <w:r>
        <w:t>una asociación de</w:t>
      </w:r>
      <w:r w:rsidR="00FC09DA">
        <w:t>l</w:t>
      </w:r>
      <w:r>
        <w:t xml:space="preserve"> significado entre </w:t>
      </w:r>
      <w:proofErr w:type="spellStart"/>
      <w:r w:rsidRPr="00A661C4">
        <w:rPr>
          <w:i/>
          <w:iCs/>
        </w:rPr>
        <w:t>vipphāra</w:t>
      </w:r>
      <w:proofErr w:type="spellEnd"/>
      <w:r w:rsidRPr="00A661C4">
        <w:rPr>
          <w:i/>
          <w:iCs/>
        </w:rPr>
        <w:t xml:space="preserve">, </w:t>
      </w:r>
      <w:proofErr w:type="spellStart"/>
      <w:r w:rsidRPr="00A661C4">
        <w:rPr>
          <w:i/>
          <w:iCs/>
        </w:rPr>
        <w:t>vyāpāra</w:t>
      </w:r>
      <w:proofErr w:type="spellEnd"/>
      <w:r w:rsidRPr="00A661C4">
        <w:rPr>
          <w:i/>
          <w:iCs/>
        </w:rPr>
        <w:t xml:space="preserve">, </w:t>
      </w:r>
      <w:proofErr w:type="spellStart"/>
      <w:r w:rsidRPr="00A661C4">
        <w:rPr>
          <w:i/>
          <w:iCs/>
        </w:rPr>
        <w:t>vipphandana</w:t>
      </w:r>
      <w:proofErr w:type="spellEnd"/>
      <w:r w:rsidRPr="00A661C4">
        <w:rPr>
          <w:i/>
          <w:iCs/>
        </w:rPr>
        <w:t xml:space="preserve">, </w:t>
      </w:r>
      <w:proofErr w:type="spellStart"/>
      <w:r w:rsidRPr="00A661C4">
        <w:rPr>
          <w:i/>
          <w:iCs/>
        </w:rPr>
        <w:t>īhaka</w:t>
      </w:r>
      <w:proofErr w:type="spellEnd"/>
      <w:r w:rsidRPr="00A661C4">
        <w:rPr>
          <w:i/>
          <w:iCs/>
        </w:rPr>
        <w:t xml:space="preserve"> y </w:t>
      </w:r>
      <w:proofErr w:type="spellStart"/>
      <w:r w:rsidRPr="00A661C4">
        <w:rPr>
          <w:i/>
          <w:iCs/>
        </w:rPr>
        <w:t>paripphandana</w:t>
      </w:r>
      <w:proofErr w:type="spellEnd"/>
      <w:r>
        <w:t xml:space="preserve"> (quizás también </w:t>
      </w:r>
      <w:proofErr w:type="spellStart"/>
      <w:r w:rsidRPr="00A661C4">
        <w:rPr>
          <w:i/>
          <w:iCs/>
        </w:rPr>
        <w:t>ābhoga</w:t>
      </w:r>
      <w:proofErr w:type="spellEnd"/>
      <w:r>
        <w:t>) en los sentidos generales de interés, actividad, preocupación, interferencia, intervención, etc.</w:t>
      </w:r>
    </w:p>
    <w:p w14:paraId="644B141E" w14:textId="77777777" w:rsidR="00AB5EC5" w:rsidRDefault="00AB5EC5">
      <w:pPr>
        <w:tabs>
          <w:tab w:val="clear" w:pos="425"/>
        </w:tabs>
        <w:spacing w:after="160"/>
        <w:rPr>
          <w:color w:val="000000" w:themeColor="text1"/>
          <w:spacing w:val="10"/>
          <w:sz w:val="14"/>
        </w:rPr>
      </w:pPr>
      <w:r>
        <w:br w:type="page"/>
      </w:r>
    </w:p>
    <w:p w14:paraId="2F5A318D" w14:textId="77777777" w:rsidR="00AB5EC5" w:rsidRDefault="00AB5EC5" w:rsidP="00AB5EC5"/>
    <w:p w14:paraId="6D59FA05" w14:textId="16E4119B" w:rsidR="002E100B" w:rsidRDefault="002E100B" w:rsidP="002E100B">
      <w:r>
        <w:t>descompon</w:t>
      </w:r>
      <w:r w:rsidR="00E73BC9">
        <w:t>ga</w:t>
      </w:r>
      <w:r>
        <w:t>,</w:t>
      </w:r>
      <w:r w:rsidRPr="0051300F">
        <w:rPr>
          <w:vertAlign w:val="superscript"/>
        </w:rPr>
        <w:t>7</w:t>
      </w:r>
      <w:r>
        <w:t xml:space="preserve"> una mujer invad</w:t>
      </w:r>
      <w:r w:rsidR="00E73BC9">
        <w:t>irá</w:t>
      </w:r>
      <w:r>
        <w:t xml:space="preserve"> la mente de un hombre y </w:t>
      </w:r>
      <w:r w:rsidR="00037871">
        <w:t xml:space="preserve">tal contaminación </w:t>
      </w:r>
      <w:r>
        <w:t>permanece</w:t>
      </w:r>
      <w:r w:rsidR="00E73BC9">
        <w:t>rá</w:t>
      </w:r>
      <w:r>
        <w:t xml:space="preserve"> allí”. Por eso el signo debe</w:t>
      </w:r>
      <w:r w:rsidR="00E73BC9">
        <w:t>rá</w:t>
      </w:r>
      <w:r>
        <w:t xml:space="preserve"> ser aprehendido en las seis vías sólo en un cuerpo del mismo sexo.</w:t>
      </w:r>
    </w:p>
    <w:p w14:paraId="2FD98BE0" w14:textId="5D573B20" w:rsidR="002E100B" w:rsidRDefault="002E100B" w:rsidP="002E100B">
      <w:r>
        <w:t xml:space="preserve">43. </w:t>
      </w:r>
      <w:r>
        <w:tab/>
        <w:t>Pero cuando un miembro de clan ha</w:t>
      </w:r>
      <w:r w:rsidR="00037871">
        <w:t>ya</w:t>
      </w:r>
      <w:r>
        <w:t xml:space="preserve"> cultivado el </w:t>
      </w:r>
      <w:r w:rsidR="00037871">
        <w:t>objeto</w:t>
      </w:r>
      <w:r>
        <w:t xml:space="preserve"> de la meditación con Iluminados </w:t>
      </w:r>
      <w:r w:rsidR="00037871">
        <w:t>del pasado</w:t>
      </w:r>
      <w:r>
        <w:t>, ha</w:t>
      </w:r>
      <w:r w:rsidR="006744DA">
        <w:t>ya</w:t>
      </w:r>
      <w:r>
        <w:t xml:space="preserve"> mantenido las prácticas </w:t>
      </w:r>
      <w:r w:rsidR="00656CF3">
        <w:t>asceta</w:t>
      </w:r>
      <w:r>
        <w:t xml:space="preserve">s, trillado los grandes elementos primarios, discernido </w:t>
      </w:r>
      <w:r w:rsidR="006744DA">
        <w:t xml:space="preserve">en </w:t>
      </w:r>
      <w:r>
        <w:t>las formaciones, definido la mentalidad-materialidad, eliminado la percepción de un ser, realizado los deberes del asceta [185]</w:t>
      </w:r>
      <w:r w:rsidR="006744DA">
        <w:t>,</w:t>
      </w:r>
      <w:r>
        <w:t xml:space="preserve"> </w:t>
      </w:r>
      <w:r w:rsidR="006744DA">
        <w:t>v</w:t>
      </w:r>
      <w:r>
        <w:t>ivi</w:t>
      </w:r>
      <w:r w:rsidR="006744DA">
        <w:t xml:space="preserve">do </w:t>
      </w:r>
      <w:r>
        <w:t xml:space="preserve">la vida </w:t>
      </w:r>
      <w:r w:rsidR="00B5489C">
        <w:t xml:space="preserve">de </w:t>
      </w:r>
      <w:r>
        <w:t>moral</w:t>
      </w:r>
      <w:r w:rsidR="00B5489C">
        <w:t>idad</w:t>
      </w:r>
      <w:r>
        <w:t xml:space="preserve"> y desarroll</w:t>
      </w:r>
      <w:r w:rsidR="00B5489C">
        <w:t>ado</w:t>
      </w:r>
      <w:r>
        <w:t xml:space="preserve"> el desarrollo, cuando conten</w:t>
      </w:r>
      <w:r w:rsidR="00B5489C">
        <w:t>ga</w:t>
      </w:r>
      <w:r>
        <w:t xml:space="preserve"> la semilla [de </w:t>
      </w:r>
      <w:r w:rsidR="00786CA7">
        <w:t>distanciarse</w:t>
      </w:r>
      <w:r>
        <w:t xml:space="preserve"> de las formaciones], y ten</w:t>
      </w:r>
      <w:r w:rsidR="00B5489C">
        <w:t>ga</w:t>
      </w:r>
      <w:r>
        <w:t xml:space="preserve"> un </w:t>
      </w:r>
      <w:r w:rsidR="00B5489C">
        <w:t xml:space="preserve">entendimiento </w:t>
      </w:r>
      <w:r>
        <w:t>maduro y poca corrupción, entonces el signo contraparte aparece</w:t>
      </w:r>
      <w:r w:rsidR="00B5489C">
        <w:t>rá</w:t>
      </w:r>
      <w:r>
        <w:t xml:space="preserve"> ante él en el lugar mientras </w:t>
      </w:r>
      <w:r w:rsidR="00B5489C">
        <w:t xml:space="preserve">prosiga </w:t>
      </w:r>
      <w:r w:rsidR="000C708E">
        <w:t>observándolo</w:t>
      </w:r>
      <w:r>
        <w:t xml:space="preserve">. Si no aparece </w:t>
      </w:r>
      <w:r w:rsidR="00A66F8E">
        <w:t>así</w:t>
      </w:r>
      <w:r>
        <w:t>, entonces se le aparece</w:t>
      </w:r>
      <w:r w:rsidR="00B5489C">
        <w:t>rá</w:t>
      </w:r>
      <w:r>
        <w:t xml:space="preserve"> cuando est</w:t>
      </w:r>
      <w:r w:rsidR="00A21457">
        <w:t>é</w:t>
      </w:r>
      <w:r>
        <w:t xml:space="preserve"> aprehendiendo </w:t>
      </w:r>
      <w:r w:rsidR="00A21457">
        <w:t xml:space="preserve">el signo </w:t>
      </w:r>
      <w:r>
        <w:t>en las seis formas.</w:t>
      </w:r>
    </w:p>
    <w:p w14:paraId="47D7E62B" w14:textId="3E9270CE" w:rsidR="002E100B" w:rsidRDefault="002E100B" w:rsidP="002E100B">
      <w:r>
        <w:t xml:space="preserve">44. </w:t>
      </w:r>
      <w:r>
        <w:tab/>
        <w:t>Pero si no se le aparec</w:t>
      </w:r>
      <w:r w:rsidR="005C1CC6">
        <w:t>iera</w:t>
      </w:r>
      <w:r>
        <w:t xml:space="preserve"> aun entonces, debe</w:t>
      </w:r>
      <w:r w:rsidR="005C1CC6">
        <w:t>rá</w:t>
      </w:r>
      <w:r>
        <w:t xml:space="preserve"> volver a aprehender el signo de cinco maneras más: (7) por sus </w:t>
      </w:r>
      <w:r w:rsidR="005C1CC6">
        <w:t>articulaciones</w:t>
      </w:r>
      <w:r>
        <w:t xml:space="preserve">, (8) por sus aberturas, (9) por sus concavidades, (10) por sus convexidades, y (11) </w:t>
      </w:r>
      <w:r w:rsidR="0028621C">
        <w:t xml:space="preserve">por </w:t>
      </w:r>
      <w:r>
        <w:t>todo alrededor.</w:t>
      </w:r>
    </w:p>
    <w:p w14:paraId="40A5D8A3" w14:textId="12B83226" w:rsidR="002E100B" w:rsidRDefault="002E100B" w:rsidP="002E100B">
      <w:r>
        <w:t xml:space="preserve">45. </w:t>
      </w:r>
      <w:r>
        <w:tab/>
        <w:t xml:space="preserve">Aquí, (7) por sus </w:t>
      </w:r>
      <w:r w:rsidR="005C1CC6">
        <w:t>articulaciones se refer</w:t>
      </w:r>
      <w:r w:rsidR="00AA6F86">
        <w:t>irá</w:t>
      </w:r>
      <w:r>
        <w:t xml:space="preserve"> [correctamente] </w:t>
      </w:r>
      <w:r w:rsidR="005C1CC6">
        <w:t xml:space="preserve">a </w:t>
      </w:r>
      <w:r>
        <w:t xml:space="preserve">sus ciento ochenta </w:t>
      </w:r>
      <w:r w:rsidR="00AA6F86">
        <w:t>articulaciones</w:t>
      </w:r>
      <w:r>
        <w:t xml:space="preserve">. </w:t>
      </w:r>
      <w:r w:rsidR="005C1CC6">
        <w:t>Pero</w:t>
      </w:r>
      <w:r>
        <w:t xml:space="preserve"> ¿cómo </w:t>
      </w:r>
      <w:r w:rsidR="00FF04FC">
        <w:t>podrá</w:t>
      </w:r>
      <w:r>
        <w:t xml:space="preserve"> definir las ciento ochenta articulaciones en l</w:t>
      </w:r>
      <w:r w:rsidR="00FF04FC">
        <w:t>o</w:t>
      </w:r>
      <w:r>
        <w:t xml:space="preserve"> hinchado? En consecuencia, </w:t>
      </w:r>
      <w:r w:rsidR="00FF04FC">
        <w:t>podrá</w:t>
      </w:r>
      <w:r>
        <w:t xml:space="preserve"> definirlo por sus catorce articulaciones principales así: Tres articulaciones en el brazo derecho, tres en el brazo izquierdo, tres en la pierna derecha, tres en la pierna izquierda, una articulación del cuello, una articulación de la cintura.</w:t>
      </w:r>
    </w:p>
    <w:p w14:paraId="3574B6F6" w14:textId="3DC7D101" w:rsidR="002E100B" w:rsidRDefault="002E100B" w:rsidP="002E100B">
      <w:r>
        <w:t>46. ​​</w:t>
      </w:r>
      <w:r>
        <w:tab/>
        <w:t xml:space="preserve">(8) </w:t>
      </w:r>
      <w:r w:rsidRPr="00182724">
        <w:rPr>
          <w:i/>
          <w:iCs/>
        </w:rPr>
        <w:t>Por sus aberturas</w:t>
      </w:r>
      <w:r>
        <w:t xml:space="preserve">: una “abertura” </w:t>
      </w:r>
      <w:r w:rsidR="00B139EB">
        <w:t xml:space="preserve">será </w:t>
      </w:r>
      <w:r>
        <w:t xml:space="preserve">el </w:t>
      </w:r>
      <w:r w:rsidR="00B139EB">
        <w:t>espacio</w:t>
      </w:r>
      <w:r>
        <w:t xml:space="preserve"> entre el brazo [y el costado], el </w:t>
      </w:r>
      <w:r w:rsidR="00B139EB">
        <w:t xml:space="preserve">espacio </w:t>
      </w:r>
      <w:r>
        <w:t>entre las piernas, el hueco del estómago, el hueco de la oreja. Debe</w:t>
      </w:r>
      <w:r w:rsidR="004C5012">
        <w:t>rá</w:t>
      </w:r>
      <w:r>
        <w:t xml:space="preserve"> definirlo por sus aperturas de esta manera. O alternativamente, se </w:t>
      </w:r>
      <w:r w:rsidR="004C5012">
        <w:t>podrá</w:t>
      </w:r>
      <w:r>
        <w:t xml:space="preserve"> definir el estado abierto o cerrado de los ojos y el estado abierto o cerrado de la boca.</w:t>
      </w:r>
    </w:p>
    <w:p w14:paraId="599BDBB9" w14:textId="3F3CA26B" w:rsidR="002E100B" w:rsidRDefault="002E100B" w:rsidP="002E100B">
      <w:r>
        <w:t xml:space="preserve">47. </w:t>
      </w:r>
      <w:r>
        <w:tab/>
        <w:t xml:space="preserve">(9) </w:t>
      </w:r>
      <w:r w:rsidRPr="00182724">
        <w:rPr>
          <w:i/>
          <w:iCs/>
        </w:rPr>
        <w:t>Por sus concavidades</w:t>
      </w:r>
      <w:r>
        <w:t>: debe</w:t>
      </w:r>
      <w:r w:rsidR="00FD78AF">
        <w:t>rá</w:t>
      </w:r>
      <w:r>
        <w:t xml:space="preserve"> definir</w:t>
      </w:r>
      <w:r w:rsidR="00FD78AF">
        <w:t>se</w:t>
      </w:r>
      <w:r>
        <w:t xml:space="preserve"> cualquier lugar cóncavo en el cuerpo, como las cuencas de los ojos o el interior de la boca o la base del cuello. O </w:t>
      </w:r>
      <w:r w:rsidR="00786883">
        <w:t>podrá</w:t>
      </w:r>
      <w:r>
        <w:t xml:space="preserve"> definirlo así: “Estoy parado en un lugar cóncavo, el cuerpo está en un lugar convexo”.</w:t>
      </w:r>
    </w:p>
    <w:p w14:paraId="4B4938AD" w14:textId="687D7E36" w:rsidR="002E100B" w:rsidRDefault="002E100B" w:rsidP="002E100B">
      <w:r>
        <w:t xml:space="preserve">48. </w:t>
      </w:r>
      <w:r>
        <w:tab/>
        <w:t xml:space="preserve">(10) </w:t>
      </w:r>
      <w:r w:rsidRPr="00182724">
        <w:rPr>
          <w:i/>
          <w:iCs/>
        </w:rPr>
        <w:t>Por sus convexidades</w:t>
      </w:r>
      <w:r>
        <w:t xml:space="preserve">: </w:t>
      </w:r>
      <w:r w:rsidR="00786883">
        <w:t xml:space="preserve">deberá definirse </w:t>
      </w:r>
      <w:r>
        <w:t>cualquier lugar elevado en el cuerpo como la rodilla</w:t>
      </w:r>
      <w:r w:rsidR="009A638E">
        <w:t>,</w:t>
      </w:r>
      <w:r>
        <w:t xml:space="preserve"> el pecho o la frente. O </w:t>
      </w:r>
      <w:r w:rsidR="00A90E42">
        <w:t xml:space="preserve">podrá </w:t>
      </w:r>
      <w:r>
        <w:t>definirlo así: “Estoy parado en un lugar convexo, el cuerpo está en un lugar cóncavo”.</w:t>
      </w:r>
    </w:p>
    <w:p w14:paraId="531010F9" w14:textId="576812EF" w:rsidR="002E100B" w:rsidRDefault="002E100B" w:rsidP="002E100B">
      <w:r>
        <w:t xml:space="preserve">49. </w:t>
      </w:r>
      <w:r>
        <w:tab/>
        <w:t xml:space="preserve">(11) </w:t>
      </w:r>
      <w:r w:rsidRPr="00182724">
        <w:rPr>
          <w:i/>
          <w:iCs/>
        </w:rPr>
        <w:t>Todo alrededor</w:t>
      </w:r>
      <w:r>
        <w:t xml:space="preserve">: todo el cuerpo </w:t>
      </w:r>
      <w:r w:rsidR="00844208">
        <w:t xml:space="preserve">deberá </w:t>
      </w:r>
      <w:r>
        <w:t xml:space="preserve">estar definido en todos lados. Después de trabajar sobre todo el cuerpo con </w:t>
      </w:r>
      <w:r w:rsidR="00844208">
        <w:t>entendimiento</w:t>
      </w:r>
      <w:r>
        <w:t xml:space="preserve">, </w:t>
      </w:r>
      <w:r w:rsidR="00844208">
        <w:t xml:space="preserve">deberá </w:t>
      </w:r>
      <w:r>
        <w:t xml:space="preserve">establecer su mente así: “Lo hinchado, lo hinchado”, sobre cualquier parte que se le presente claramente. Si aún no ha </w:t>
      </w:r>
      <w:r w:rsidR="00EB5AF1">
        <w:t>surgido</w:t>
      </w:r>
      <w:r>
        <w:t xml:space="preserve">, y si hay una intensidad especial de </w:t>
      </w:r>
      <w:r w:rsidR="00EB5AF1">
        <w:t xml:space="preserve">la </w:t>
      </w:r>
      <w:r>
        <w:t>hinchazón en el vientre,</w:t>
      </w:r>
      <w:r w:rsidRPr="0051300F">
        <w:rPr>
          <w:vertAlign w:val="superscript"/>
        </w:rPr>
        <w:t>8</w:t>
      </w:r>
      <w:r>
        <w:t xml:space="preserve"> </w:t>
      </w:r>
      <w:r w:rsidR="00844208">
        <w:t xml:space="preserve">deberá </w:t>
      </w:r>
      <w:r>
        <w:t>establecer su mente así: “</w:t>
      </w:r>
      <w:r w:rsidR="00844208">
        <w:t>Lo hinchado, lo hinchado</w:t>
      </w:r>
      <w:r>
        <w:t>”, sobre eso.</w:t>
      </w:r>
    </w:p>
    <w:p w14:paraId="2A680F47" w14:textId="68F8FB38" w:rsidR="002E100B" w:rsidRDefault="002E100B" w:rsidP="002E100B">
      <w:r>
        <w:t xml:space="preserve">50. </w:t>
      </w:r>
      <w:r>
        <w:tab/>
        <w:t xml:space="preserve">Ahora bien, en cuanto a las palabras, </w:t>
      </w:r>
      <w:r w:rsidR="00182724" w:rsidRPr="00182724">
        <w:rPr>
          <w:i/>
          <w:iCs/>
        </w:rPr>
        <w:t xml:space="preserve">él </w:t>
      </w:r>
      <w:r w:rsidR="004D17AD">
        <w:rPr>
          <w:i/>
          <w:iCs/>
        </w:rPr>
        <w:t xml:space="preserve">se asegurará </w:t>
      </w:r>
      <w:r w:rsidRPr="00182724">
        <w:rPr>
          <w:i/>
          <w:iCs/>
        </w:rPr>
        <w:t>que el signo est</w:t>
      </w:r>
      <w:r w:rsidR="004D17AD">
        <w:rPr>
          <w:i/>
          <w:iCs/>
        </w:rPr>
        <w:t>é</w:t>
      </w:r>
      <w:r w:rsidRPr="00182724">
        <w:rPr>
          <w:i/>
          <w:iCs/>
        </w:rPr>
        <w:t xml:space="preserve"> bien aprehendido</w:t>
      </w:r>
      <w:r>
        <w:t xml:space="preserve">, etc., la explicación es </w:t>
      </w:r>
      <w:r w:rsidR="00844208">
        <w:t>ésta</w:t>
      </w:r>
      <w:r>
        <w:t xml:space="preserve">. El meditador </w:t>
      </w:r>
      <w:r w:rsidR="00844208">
        <w:t xml:space="preserve">deberá </w:t>
      </w:r>
      <w:r>
        <w:t xml:space="preserve">aprehender </w:t>
      </w:r>
      <w:r w:rsidR="00844208">
        <w:t xml:space="preserve">el signo </w:t>
      </w:r>
      <w:r>
        <w:t xml:space="preserve">completamente en ese cuerpo de la misma manera </w:t>
      </w:r>
      <w:r w:rsidR="004D17AD">
        <w:t>cómo</w:t>
      </w:r>
      <w:r>
        <w:t xml:space="preserve"> se aprehend</w:t>
      </w:r>
      <w:r w:rsidR="004D17AD">
        <w:t>e</w:t>
      </w:r>
      <w:r>
        <w:t xml:space="preserve"> </w:t>
      </w:r>
      <w:r w:rsidR="00844208">
        <w:t>e</w:t>
      </w:r>
      <w:r>
        <w:t xml:space="preserve">l </w:t>
      </w:r>
      <w:r w:rsidR="00844208">
        <w:t xml:space="preserve">signo </w:t>
      </w:r>
      <w:r>
        <w:t>ya descrit</w:t>
      </w:r>
      <w:r w:rsidR="00844208">
        <w:t>o</w:t>
      </w:r>
      <w:r>
        <w:t xml:space="preserve">. Él </w:t>
      </w:r>
      <w:r w:rsidR="00844208">
        <w:t xml:space="preserve">deberá </w:t>
      </w:r>
      <w:r>
        <w:t xml:space="preserve">advertirlo con </w:t>
      </w:r>
      <w:r w:rsidR="0018104A">
        <w:t xml:space="preserve">una consciencia </w:t>
      </w:r>
    </w:p>
    <w:p w14:paraId="1814B06A" w14:textId="77777777" w:rsidR="002E100B" w:rsidRDefault="002E100B" w:rsidP="002E100B">
      <w:pPr>
        <w:pStyle w:val="PiedepginaLegal"/>
        <w:rPr>
          <w:u w:val="single"/>
        </w:rPr>
      </w:pPr>
      <w:r>
        <w:rPr>
          <w:u w:val="single"/>
        </w:rPr>
        <w:tab/>
      </w:r>
      <w:r>
        <w:rPr>
          <w:u w:val="single"/>
        </w:rPr>
        <w:tab/>
      </w:r>
      <w:r>
        <w:rPr>
          <w:u w:val="single"/>
        </w:rPr>
        <w:tab/>
      </w:r>
      <w:r>
        <w:rPr>
          <w:u w:val="single"/>
        </w:rPr>
        <w:tab/>
        <w:t>.</w:t>
      </w:r>
    </w:p>
    <w:p w14:paraId="3CF9FFEF" w14:textId="1C0EA957" w:rsidR="002E100B" w:rsidRDefault="002E100B" w:rsidP="002E100B">
      <w:pPr>
        <w:pStyle w:val="PiedepginaLegal"/>
      </w:pPr>
      <w:r>
        <w:t xml:space="preserve">7. </w:t>
      </w:r>
      <w:r>
        <w:tab/>
        <w:t xml:space="preserve">El texto de Harvard </w:t>
      </w:r>
      <w:r w:rsidR="00EA77FD">
        <w:t>utiliza</w:t>
      </w:r>
      <w:r w:rsidR="00060C24">
        <w:t xml:space="preserve"> el término</w:t>
      </w:r>
      <w:r>
        <w:t xml:space="preserve"> </w:t>
      </w:r>
      <w:proofErr w:type="spellStart"/>
      <w:r w:rsidRPr="00A661C4">
        <w:rPr>
          <w:i/>
          <w:iCs/>
        </w:rPr>
        <w:t>ugghāṭita</w:t>
      </w:r>
      <w:proofErr w:type="spellEnd"/>
      <w:r>
        <w:t xml:space="preserve">, pero </w:t>
      </w:r>
      <w:r w:rsidR="00520D80">
        <w:t xml:space="preserve">el </w:t>
      </w:r>
      <w:proofErr w:type="spellStart"/>
      <w:r>
        <w:t>Vism-mhṭ</w:t>
      </w:r>
      <w:proofErr w:type="spellEnd"/>
      <w:r>
        <w:t xml:space="preserve"> (p. 170) dice "</w:t>
      </w:r>
      <w:proofErr w:type="spellStart"/>
      <w:r w:rsidRPr="00A661C4">
        <w:rPr>
          <w:i/>
          <w:iCs/>
        </w:rPr>
        <w:t>ugghāṇitā</w:t>
      </w:r>
      <w:proofErr w:type="spellEnd"/>
      <w:r>
        <w:t xml:space="preserve"> (no </w:t>
      </w:r>
      <w:r w:rsidR="00F05260">
        <w:t xml:space="preserve">encontrado </w:t>
      </w:r>
      <w:r>
        <w:t xml:space="preserve">en </w:t>
      </w:r>
      <w:r w:rsidR="00F05260">
        <w:t xml:space="preserve">el </w:t>
      </w:r>
      <w:r>
        <w:t xml:space="preserve">PED) </w:t>
      </w:r>
      <w:proofErr w:type="spellStart"/>
      <w:r w:rsidRPr="00A661C4">
        <w:rPr>
          <w:i/>
          <w:iCs/>
        </w:rPr>
        <w:t>pī-tī</w:t>
      </w:r>
      <w:proofErr w:type="spellEnd"/>
      <w:r w:rsidRPr="00A661C4">
        <w:rPr>
          <w:i/>
          <w:iCs/>
        </w:rPr>
        <w:t xml:space="preserve"> </w:t>
      </w:r>
      <w:proofErr w:type="spellStart"/>
      <w:r w:rsidRPr="00A661C4">
        <w:rPr>
          <w:i/>
          <w:iCs/>
        </w:rPr>
        <w:t>uddhumātakabhāvappattā</w:t>
      </w:r>
      <w:proofErr w:type="spellEnd"/>
      <w:r w:rsidRPr="00A661C4">
        <w:rPr>
          <w:i/>
          <w:iCs/>
        </w:rPr>
        <w:t xml:space="preserve"> pi </w:t>
      </w:r>
      <w:proofErr w:type="spellStart"/>
      <w:r w:rsidRPr="00A661C4">
        <w:rPr>
          <w:i/>
          <w:iCs/>
        </w:rPr>
        <w:t>sabbaso</w:t>
      </w:r>
      <w:proofErr w:type="spellEnd"/>
      <w:r w:rsidRPr="00A661C4">
        <w:rPr>
          <w:i/>
          <w:iCs/>
        </w:rPr>
        <w:t xml:space="preserve"> </w:t>
      </w:r>
      <w:proofErr w:type="spellStart"/>
      <w:r w:rsidRPr="00A661C4">
        <w:rPr>
          <w:i/>
          <w:iCs/>
        </w:rPr>
        <w:t>kuthita</w:t>
      </w:r>
      <w:proofErr w:type="spellEnd"/>
      <w:r w:rsidRPr="00A661C4">
        <w:rPr>
          <w:i/>
          <w:iCs/>
        </w:rPr>
        <w:t>-</w:t>
      </w:r>
      <w:proofErr w:type="spellStart"/>
      <w:r w:rsidRPr="00A661C4">
        <w:rPr>
          <w:i/>
          <w:iCs/>
        </w:rPr>
        <w:t>sarīrā</w:t>
      </w:r>
      <w:proofErr w:type="spellEnd"/>
      <w:r w:rsidRPr="00A661C4">
        <w:rPr>
          <w:i/>
          <w:iCs/>
        </w:rPr>
        <w:t>-</w:t>
      </w:r>
      <w:proofErr w:type="spellStart"/>
      <w:r w:rsidRPr="00A661C4">
        <w:rPr>
          <w:i/>
          <w:iCs/>
        </w:rPr>
        <w:t>pī</w:t>
      </w:r>
      <w:proofErr w:type="spellEnd"/>
      <w:r w:rsidRPr="00A661C4">
        <w:rPr>
          <w:i/>
          <w:iCs/>
        </w:rPr>
        <w:t xml:space="preserve">-ti </w:t>
      </w:r>
      <w:proofErr w:type="spellStart"/>
      <w:r w:rsidRPr="00A661C4">
        <w:rPr>
          <w:i/>
          <w:iCs/>
        </w:rPr>
        <w:t>attho</w:t>
      </w:r>
      <w:proofErr w:type="spellEnd"/>
      <w:r>
        <w:t>".</w:t>
      </w:r>
    </w:p>
    <w:p w14:paraId="20BF56FA" w14:textId="1AFFBC80" w:rsidR="002E100B" w:rsidRDefault="002E100B" w:rsidP="002E100B">
      <w:pPr>
        <w:pStyle w:val="PiedepginaLegal"/>
      </w:pPr>
      <w:r>
        <w:t xml:space="preserve">8. </w:t>
      </w:r>
      <w:r>
        <w:tab/>
        <w:t>“</w:t>
      </w:r>
      <w:proofErr w:type="spellStart"/>
      <w:r w:rsidRPr="00A661C4">
        <w:rPr>
          <w:i/>
          <w:iCs/>
        </w:rPr>
        <w:t>Udara-pariyosānaī</w:t>
      </w:r>
      <w:proofErr w:type="spellEnd"/>
      <w:r w:rsidRPr="00A661C4">
        <w:rPr>
          <w:i/>
          <w:iCs/>
        </w:rPr>
        <w:t xml:space="preserve"> </w:t>
      </w:r>
      <w:proofErr w:type="spellStart"/>
      <w:r w:rsidRPr="00A661C4">
        <w:rPr>
          <w:i/>
          <w:iCs/>
        </w:rPr>
        <w:t>uparisarīram</w:t>
      </w:r>
      <w:proofErr w:type="spellEnd"/>
      <w:r>
        <w:t>” (</w:t>
      </w:r>
      <w:proofErr w:type="spellStart"/>
      <w:r>
        <w:t>Vism-mhṭ</w:t>
      </w:r>
      <w:proofErr w:type="spellEnd"/>
      <w:r>
        <w:t xml:space="preserve"> 172). </w:t>
      </w:r>
      <w:proofErr w:type="spellStart"/>
      <w:r w:rsidRPr="00A661C4">
        <w:rPr>
          <w:i/>
          <w:iCs/>
        </w:rPr>
        <w:t>Pariyosāna</w:t>
      </w:r>
      <w:proofErr w:type="spellEnd"/>
      <w:r>
        <w:t xml:space="preserve"> aquí significa “intensidad” aunque normalmente significa “fin”; </w:t>
      </w:r>
      <w:r w:rsidR="00F05260">
        <w:t xml:space="preserve">no obstante, </w:t>
      </w:r>
      <w:r>
        <w:t xml:space="preserve">ver </w:t>
      </w:r>
      <w:r w:rsidR="00F05260">
        <w:t xml:space="preserve">en el </w:t>
      </w:r>
      <w:r>
        <w:t xml:space="preserve">PED </w:t>
      </w:r>
      <w:proofErr w:type="spellStart"/>
      <w:r w:rsidRPr="00A661C4">
        <w:rPr>
          <w:i/>
          <w:iCs/>
        </w:rPr>
        <w:t>pariyosita</w:t>
      </w:r>
      <w:proofErr w:type="spellEnd"/>
      <w:r>
        <w:t>.</w:t>
      </w:r>
    </w:p>
    <w:p w14:paraId="156D8D6F" w14:textId="77777777" w:rsidR="002E100B" w:rsidRDefault="002E100B">
      <w:pPr>
        <w:tabs>
          <w:tab w:val="clear" w:pos="425"/>
        </w:tabs>
        <w:spacing w:after="160"/>
        <w:rPr>
          <w:color w:val="000000" w:themeColor="text1"/>
          <w:spacing w:val="10"/>
          <w:sz w:val="14"/>
        </w:rPr>
      </w:pPr>
      <w:r>
        <w:br w:type="page"/>
      </w:r>
    </w:p>
    <w:p w14:paraId="6F888A96" w14:textId="77777777" w:rsidR="00CA2370" w:rsidRDefault="00CA2370" w:rsidP="00CA2370"/>
    <w:p w14:paraId="1BCDF410" w14:textId="34F8FBCB" w:rsidR="00CA2370" w:rsidRDefault="0018104A" w:rsidP="00CA2370">
      <w:r>
        <w:t>bien establecida</w:t>
      </w:r>
      <w:r w:rsidR="00CA2370">
        <w:t>. Deber</w:t>
      </w:r>
      <w:r w:rsidR="004D17AD">
        <w:t>á</w:t>
      </w:r>
      <w:r w:rsidR="00CA2370">
        <w:t xml:space="preserve"> asegurarse de que se recuerde correctamente, de que se defina correctamente, haciéndolo una y otra vez. </w:t>
      </w:r>
      <w:r w:rsidR="003B5F01">
        <w:t>Ubicado</w:t>
      </w:r>
      <w:r w:rsidR="00CA2370">
        <w:t xml:space="preserve"> en un lugar no muy lejos ni muy cerca del cuerpo, </w:t>
      </w:r>
      <w:r w:rsidR="00A608E0">
        <w:t xml:space="preserve">deberá </w:t>
      </w:r>
      <w:r w:rsidR="00CA2370">
        <w:t xml:space="preserve">abrir los ojos, mirar y captar </w:t>
      </w:r>
      <w:r w:rsidR="00A608E0">
        <w:t>e</w:t>
      </w:r>
      <w:r w:rsidR="00CA2370">
        <w:t xml:space="preserve">l </w:t>
      </w:r>
      <w:r w:rsidR="00A608E0">
        <w:t>signo</w:t>
      </w:r>
      <w:r w:rsidR="00CA2370">
        <w:t xml:space="preserve">. [186] </w:t>
      </w:r>
      <w:r w:rsidR="00A608E0">
        <w:t xml:space="preserve">Deberá </w:t>
      </w:r>
      <w:r w:rsidR="00CA2370">
        <w:t>abrir los ojos y mirar cien, mil veces, [pensando]: “</w:t>
      </w:r>
      <w:r w:rsidR="00A608E0">
        <w:t>repugnancia</w:t>
      </w:r>
      <w:r w:rsidR="00CA2370">
        <w:t xml:space="preserve"> de lo hinchado, </w:t>
      </w:r>
      <w:r w:rsidR="00A608E0">
        <w:t xml:space="preserve">repugnancia </w:t>
      </w:r>
      <w:r w:rsidR="00CA2370">
        <w:t xml:space="preserve">de lo hinchado”, y </w:t>
      </w:r>
      <w:r w:rsidR="00A608E0">
        <w:t xml:space="preserve">deberá </w:t>
      </w:r>
      <w:r w:rsidR="00CA2370">
        <w:t>cerrar los ojos y advertirlo.</w:t>
      </w:r>
    </w:p>
    <w:p w14:paraId="4718C83A" w14:textId="01466E53" w:rsidR="00CA2370" w:rsidRDefault="00CA2370" w:rsidP="00CA2370">
      <w:r>
        <w:t xml:space="preserve">51. </w:t>
      </w:r>
      <w:r>
        <w:tab/>
        <w:t>A medida que lo ha</w:t>
      </w:r>
      <w:r w:rsidR="00A608E0">
        <w:t>ga</w:t>
      </w:r>
      <w:r>
        <w:t xml:space="preserve"> una y otra vez, </w:t>
      </w:r>
      <w:r w:rsidR="00A608E0">
        <w:t xml:space="preserve">el signo </w:t>
      </w:r>
      <w:r>
        <w:t>de aprendizaje llega</w:t>
      </w:r>
      <w:r w:rsidR="00A608E0">
        <w:t>rá</w:t>
      </w:r>
      <w:r>
        <w:t xml:space="preserve"> a ser propiamente aprehendid</w:t>
      </w:r>
      <w:r w:rsidR="009A53B6">
        <w:t>o</w:t>
      </w:r>
      <w:r>
        <w:t xml:space="preserve"> por él. ¿Cuándo se aprehende</w:t>
      </w:r>
      <w:r w:rsidR="00A608E0">
        <w:t>rá</w:t>
      </w:r>
      <w:r>
        <w:t xml:space="preserve"> </w:t>
      </w:r>
      <w:r w:rsidR="00613D16">
        <w:t xml:space="preserve">el signo </w:t>
      </w:r>
      <w:r>
        <w:t>correctamente? Cuando se enfo</w:t>
      </w:r>
      <w:r w:rsidR="00A608E0">
        <w:t>que en ello</w:t>
      </w:r>
      <w:r>
        <w:t xml:space="preserve"> tanto </w:t>
      </w:r>
      <w:r w:rsidR="00613D16">
        <w:t xml:space="preserve">que </w:t>
      </w:r>
      <w:r>
        <w:t>si abr</w:t>
      </w:r>
      <w:r w:rsidR="00613D16">
        <w:t>iendo</w:t>
      </w:r>
      <w:r>
        <w:t xml:space="preserve"> los ojos y </w:t>
      </w:r>
      <w:r w:rsidR="007C43F3">
        <w:t xml:space="preserve">lo </w:t>
      </w:r>
      <w:r>
        <w:t>mira</w:t>
      </w:r>
      <w:r w:rsidR="00613D16">
        <w:t>se</w:t>
      </w:r>
      <w:r>
        <w:t xml:space="preserve"> </w:t>
      </w:r>
      <w:r w:rsidR="00AF765A">
        <w:t xml:space="preserve">sería </w:t>
      </w:r>
      <w:r>
        <w:t xml:space="preserve">como </w:t>
      </w:r>
      <w:r w:rsidR="007C43F3">
        <w:t xml:space="preserve">si </w:t>
      </w:r>
      <w:r>
        <w:t>los cerra</w:t>
      </w:r>
      <w:r w:rsidR="00AF765A">
        <w:t>se</w:t>
      </w:r>
      <w:r>
        <w:t xml:space="preserve"> y </w:t>
      </w:r>
      <w:r w:rsidR="00A608E0">
        <w:t xml:space="preserve">lo </w:t>
      </w:r>
      <w:r>
        <w:t>advirt</w:t>
      </w:r>
      <w:r w:rsidR="00AF765A">
        <w:t>iese</w:t>
      </w:r>
      <w:r>
        <w:t>, entonces se di</w:t>
      </w:r>
      <w:r w:rsidR="00A608E0">
        <w:t>rá</w:t>
      </w:r>
      <w:r>
        <w:t xml:space="preserve"> que est</w:t>
      </w:r>
      <w:r w:rsidR="00A608E0">
        <w:t>ar</w:t>
      </w:r>
      <w:r>
        <w:t>á correctamente aprehendido.</w:t>
      </w:r>
    </w:p>
    <w:p w14:paraId="1CC63EAD" w14:textId="326347E0" w:rsidR="00CA2370" w:rsidRDefault="00CA2370" w:rsidP="00CA2370">
      <w:r>
        <w:t xml:space="preserve">52. </w:t>
      </w:r>
      <w:r>
        <w:tab/>
        <w:t xml:space="preserve">Cuando haya aprehendido </w:t>
      </w:r>
      <w:r w:rsidR="007C43F3">
        <w:t xml:space="preserve">así </w:t>
      </w:r>
      <w:r>
        <w:t xml:space="preserve">debidamente el signo, debidamente recordado y debidamente definido, entonces, si no puede concluir su desarrollo en el lugar, </w:t>
      </w:r>
      <w:r w:rsidR="00A608E0">
        <w:t xml:space="preserve">podrá </w:t>
      </w:r>
      <w:r w:rsidR="007C43F3">
        <w:t>regresar</w:t>
      </w:r>
      <w:r>
        <w:t xml:space="preserve"> a su propio alojamiento, solo, de la misma manera </w:t>
      </w:r>
      <w:r w:rsidR="007C43F3">
        <w:t>cuando</w:t>
      </w:r>
      <w:r>
        <w:t xml:space="preserve"> se describ</w:t>
      </w:r>
      <w:r w:rsidR="007C43F3">
        <w:t>ió</w:t>
      </w:r>
      <w:r>
        <w:t xml:space="preserve"> </w:t>
      </w:r>
      <w:r w:rsidR="00A608E0">
        <w:t>respecto a</w:t>
      </w:r>
      <w:r>
        <w:t xml:space="preserve"> su </w:t>
      </w:r>
      <w:r w:rsidR="00A608E0">
        <w:t>regreso</w:t>
      </w:r>
      <w:r>
        <w:t>, sin acompañante</w:t>
      </w:r>
      <w:r w:rsidR="00A608E0">
        <w:t>s</w:t>
      </w:r>
      <w:r>
        <w:t xml:space="preserve">, teniendo en mente ese mismo </w:t>
      </w:r>
      <w:r w:rsidR="00A608E0">
        <w:t>objeto</w:t>
      </w:r>
      <w:r>
        <w:t xml:space="preserve"> de meditación, con la atención bien establecida, y con la mente no </w:t>
      </w:r>
      <w:r w:rsidR="00A608E0">
        <w:t>orientada</w:t>
      </w:r>
      <w:r>
        <w:t xml:space="preserve"> hacia </w:t>
      </w:r>
      <w:r w:rsidR="00A608E0">
        <w:t xml:space="preserve">el exterior </w:t>
      </w:r>
      <w:r>
        <w:t xml:space="preserve">debido a que sus facultades </w:t>
      </w:r>
      <w:r w:rsidR="00A608E0">
        <w:t>se encontrarán</w:t>
      </w:r>
      <w:r>
        <w:t xml:space="preserve"> </w:t>
      </w:r>
      <w:r w:rsidR="00A608E0">
        <w:t xml:space="preserve">dirigidas </w:t>
      </w:r>
      <w:r>
        <w:t xml:space="preserve">hacia </w:t>
      </w:r>
      <w:r w:rsidR="00A608E0">
        <w:t>el interior</w:t>
      </w:r>
      <w:r>
        <w:t>.</w:t>
      </w:r>
    </w:p>
    <w:p w14:paraId="7C5F3202" w14:textId="50B340A9" w:rsidR="00CA2370" w:rsidRDefault="00CA2370" w:rsidP="00CA2370">
      <w:r>
        <w:t xml:space="preserve">53. </w:t>
      </w:r>
      <w:r>
        <w:tab/>
        <w:t xml:space="preserve">Al salir del osario </w:t>
      </w:r>
      <w:r w:rsidR="00A608E0">
        <w:t xml:space="preserve">deberá </w:t>
      </w:r>
      <w:r>
        <w:t xml:space="preserve">definir el camino por el que </w:t>
      </w:r>
      <w:r w:rsidR="00A608E0">
        <w:t>regrese</w:t>
      </w:r>
      <w:r>
        <w:t xml:space="preserve"> así: “El camino por el que he salido </w:t>
      </w:r>
      <w:r w:rsidR="0002362A">
        <w:t>va</w:t>
      </w:r>
      <w:r w:rsidR="007C43F3">
        <w:t xml:space="preserve"> </w:t>
      </w:r>
      <w:r>
        <w:t>en dirección este, oeste… norte… dirección sur”, o “Va en dirección intermedia</w:t>
      </w:r>
      <w:proofErr w:type="gramStart"/>
      <w:r>
        <w:t>” ;</w:t>
      </w:r>
      <w:proofErr w:type="gramEnd"/>
      <w:r>
        <w:t xml:space="preserve"> o “En este lugar </w:t>
      </w:r>
      <w:r w:rsidR="00A608E0">
        <w:t xml:space="preserve">se </w:t>
      </w:r>
      <w:r>
        <w:t xml:space="preserve">va </w:t>
      </w:r>
      <w:r w:rsidR="00A608E0">
        <w:t>haci</w:t>
      </w:r>
      <w:r>
        <w:t xml:space="preserve">a la izquierda, en este lugar a la derecha”; y “En este lugar hay una piedra, en </w:t>
      </w:r>
      <w:r w:rsidR="0035059B">
        <w:t xml:space="preserve">éste </w:t>
      </w:r>
      <w:r>
        <w:t xml:space="preserve">un termitero, en </w:t>
      </w:r>
      <w:r w:rsidR="0035059B">
        <w:t xml:space="preserve">éste </w:t>
      </w:r>
      <w:r>
        <w:t xml:space="preserve">un árbol, en </w:t>
      </w:r>
      <w:r w:rsidR="0035059B">
        <w:t xml:space="preserve">éste </w:t>
      </w:r>
      <w:r>
        <w:t xml:space="preserve">un arbusto, en </w:t>
      </w:r>
      <w:r w:rsidR="0035059B">
        <w:t xml:space="preserve">éste </w:t>
      </w:r>
      <w:r>
        <w:t>una enredadera”.</w:t>
      </w:r>
    </w:p>
    <w:p w14:paraId="6B0E7BA6" w14:textId="1F072C0C" w:rsidR="00CA2370" w:rsidRDefault="00CA2370" w:rsidP="00CA2370">
      <w:r>
        <w:t xml:space="preserve">54. </w:t>
      </w:r>
      <w:r>
        <w:tab/>
        <w:t>Cuando haya definido el camino por el que ha</w:t>
      </w:r>
      <w:r w:rsidR="0035059B">
        <w:t>ya</w:t>
      </w:r>
      <w:r>
        <w:t xml:space="preserve"> regresado y cuando, una vez de regreso, esté caminando de un lado a otro, </w:t>
      </w:r>
      <w:r w:rsidR="0035059B">
        <w:t>deberá</w:t>
      </w:r>
      <w:r>
        <w:t xml:space="preserve"> ver que su caminar esté orientado también hacia él; el significado es que debe caminar de un lado a otro sobre un terreno que </w:t>
      </w:r>
      <w:r w:rsidR="0035059B">
        <w:t>se oriente</w:t>
      </w:r>
      <w:r>
        <w:t xml:space="preserve"> en la dirección de</w:t>
      </w:r>
      <w:r w:rsidR="0035059B">
        <w:t xml:space="preserve">l signo </w:t>
      </w:r>
      <w:r>
        <w:t xml:space="preserve">de </w:t>
      </w:r>
      <w:r w:rsidR="0035059B">
        <w:t>la repugnancia</w:t>
      </w:r>
      <w:r>
        <w:t xml:space="preserve">. Y cuando se siente, </w:t>
      </w:r>
      <w:r w:rsidR="0035059B">
        <w:t xml:space="preserve">deberá </w:t>
      </w:r>
      <w:r>
        <w:t>preparar un asiento orientado hacia él también.</w:t>
      </w:r>
    </w:p>
    <w:p w14:paraId="25AA7223" w14:textId="60DF69C7" w:rsidR="00CA2370" w:rsidRDefault="00CA2370" w:rsidP="00CA2370">
      <w:r>
        <w:t xml:space="preserve">55. </w:t>
      </w:r>
      <w:r>
        <w:tab/>
      </w:r>
      <w:r w:rsidR="00BE64BB">
        <w:t xml:space="preserve">No obstante, </w:t>
      </w:r>
      <w:r>
        <w:t xml:space="preserve">si </w:t>
      </w:r>
      <w:r w:rsidR="00BE64BB">
        <w:t>hubiese</w:t>
      </w:r>
      <w:r>
        <w:t xml:space="preserve"> un pantano</w:t>
      </w:r>
      <w:r w:rsidR="00BE64BB">
        <w:t>,</w:t>
      </w:r>
      <w:r>
        <w:t xml:space="preserve"> un barranco</w:t>
      </w:r>
      <w:r w:rsidR="00BE64BB">
        <w:t>,</w:t>
      </w:r>
      <w:r>
        <w:t xml:space="preserve"> un árbol</w:t>
      </w:r>
      <w:r w:rsidR="00BE64BB">
        <w:t>,</w:t>
      </w:r>
      <w:r>
        <w:t xml:space="preserve"> una cerca</w:t>
      </w:r>
      <w:r w:rsidR="00BE64BB">
        <w:t>,</w:t>
      </w:r>
      <w:r>
        <w:t xml:space="preserve"> un</w:t>
      </w:r>
      <w:r w:rsidR="00E158AA">
        <w:t>a</w:t>
      </w:r>
      <w:r>
        <w:t xml:space="preserve"> </w:t>
      </w:r>
      <w:r w:rsidR="00E158AA">
        <w:t>ciénaga</w:t>
      </w:r>
      <w:r>
        <w:t xml:space="preserve"> en esa dirección, si él no </w:t>
      </w:r>
      <w:r w:rsidR="00BE64BB">
        <w:t>pudiese</w:t>
      </w:r>
      <w:r>
        <w:t xml:space="preserve"> caminar </w:t>
      </w:r>
      <w:r w:rsidR="00BE64BB">
        <w:t xml:space="preserve">de </w:t>
      </w:r>
      <w:r>
        <w:t xml:space="preserve">arriba </w:t>
      </w:r>
      <w:r w:rsidR="00BE64BB">
        <w:t>a</w:t>
      </w:r>
      <w:r>
        <w:t xml:space="preserve"> abajo en un pedazo de tierra mirando </w:t>
      </w:r>
      <w:r w:rsidR="0005071C">
        <w:t>hacia</w:t>
      </w:r>
      <w:r>
        <w:t xml:space="preserve"> esa dirección, si él no </w:t>
      </w:r>
      <w:r w:rsidR="00E158AA">
        <w:t>pudiese</w:t>
      </w:r>
      <w:r w:rsidR="00BE64BB">
        <w:t xml:space="preserve"> </w:t>
      </w:r>
      <w:r>
        <w:t xml:space="preserve">preparar su asiento así porque no </w:t>
      </w:r>
      <w:r w:rsidR="00E158AA">
        <w:t xml:space="preserve">hubiese </w:t>
      </w:r>
      <w:r>
        <w:t xml:space="preserve">lugar </w:t>
      </w:r>
      <w:r w:rsidR="00E158AA">
        <w:t xml:space="preserve">así </w:t>
      </w:r>
      <w:r>
        <w:t xml:space="preserve">para él, entonces </w:t>
      </w:r>
      <w:r w:rsidR="00BE64BB">
        <w:t xml:space="preserve">podrá </w:t>
      </w:r>
      <w:r>
        <w:t xml:space="preserve">caminar de un lado a otro y sentarse en un lugar donde haya lugar, aunque no mire hacia allí; </w:t>
      </w:r>
      <w:r w:rsidR="000C1C5D">
        <w:t xml:space="preserve">aunque </w:t>
      </w:r>
      <w:r w:rsidR="0005071C">
        <w:t>deb</w:t>
      </w:r>
      <w:r w:rsidR="000C1C5D">
        <w:t>a</w:t>
      </w:r>
      <w:r w:rsidR="0005071C">
        <w:t xml:space="preserve"> </w:t>
      </w:r>
      <w:r>
        <w:t>volver su mente en esa dirección.</w:t>
      </w:r>
    </w:p>
    <w:p w14:paraId="16E972AC" w14:textId="2B81D2BD" w:rsidR="00CA2370" w:rsidRDefault="00CA2370" w:rsidP="00CA2370">
      <w:r>
        <w:t xml:space="preserve">56. </w:t>
      </w:r>
      <w:r>
        <w:tab/>
        <w:t>Ahora</w:t>
      </w:r>
      <w:r w:rsidR="000C1C5D">
        <w:t xml:space="preserve"> bien</w:t>
      </w:r>
      <w:r>
        <w:t xml:space="preserve">, en cuanto a las preguntas que comienzan con </w:t>
      </w:r>
      <w:r w:rsidRPr="00182724">
        <w:rPr>
          <w:i/>
          <w:iCs/>
        </w:rPr>
        <w:t>¿cuál es el propósito... que caracteriza a los signos circundantes</w:t>
      </w:r>
      <w:r>
        <w:t xml:space="preserve">? La intención de la respuesta que comienza con las palabras, </w:t>
      </w:r>
      <w:r w:rsidRPr="00165461">
        <w:rPr>
          <w:i/>
          <w:iCs/>
        </w:rPr>
        <w:t xml:space="preserve">no tiene por objeto </w:t>
      </w:r>
      <w:r w:rsidR="000C1C5D">
        <w:rPr>
          <w:i/>
          <w:iCs/>
        </w:rPr>
        <w:t>la ilusión</w:t>
      </w:r>
      <w:r>
        <w:t xml:space="preserve">, es </w:t>
      </w:r>
      <w:r w:rsidR="000C1C5D">
        <w:t>ésta</w:t>
      </w:r>
      <w:r>
        <w:t>: Si alguien va en el momento equivocado al lugar donde est</w:t>
      </w:r>
      <w:r w:rsidR="00245CAC">
        <w:t>é</w:t>
      </w:r>
      <w:r>
        <w:t xml:space="preserve"> el signo de l</w:t>
      </w:r>
      <w:r w:rsidR="000C1C5D">
        <w:t>o</w:t>
      </w:r>
      <w:r>
        <w:t xml:space="preserve"> hinchad</w:t>
      </w:r>
      <w:r w:rsidR="000C1C5D">
        <w:t>o</w:t>
      </w:r>
      <w:r>
        <w:t>, y abre los ojos con el propósito de aprehender caracteriza</w:t>
      </w:r>
      <w:r w:rsidR="00D63010">
        <w:t>ndo</w:t>
      </w:r>
      <w:r>
        <w:t xml:space="preserve"> los signos circundantes, entonces, tan pronto como mir</w:t>
      </w:r>
      <w:r w:rsidR="00D63010">
        <w:t>e</w:t>
      </w:r>
      <w:r>
        <w:t>, el cuerpo muerto aparece</w:t>
      </w:r>
      <w:r w:rsidR="00D63010">
        <w:t>rá</w:t>
      </w:r>
      <w:r>
        <w:t xml:space="preserve"> [187] como si estuviera de pie, amenazándolo</w:t>
      </w:r>
      <w:r w:rsidR="00185589">
        <w:rPr>
          <w:vertAlign w:val="superscript"/>
        </w:rPr>
        <w:t>9</w:t>
      </w:r>
      <w:r>
        <w:t xml:space="preserve"> y persiguiéndolo, y cuando ve</w:t>
      </w:r>
      <w:r w:rsidR="00D63010">
        <w:t>a</w:t>
      </w:r>
      <w:r>
        <w:t xml:space="preserve"> el objeto espantoso y temible, su mente se </w:t>
      </w:r>
      <w:r w:rsidR="009E46F2">
        <w:t>desequilibrará</w:t>
      </w:r>
      <w:r>
        <w:t xml:space="preserve">, </w:t>
      </w:r>
      <w:r w:rsidR="00D63010">
        <w:t xml:space="preserve">será </w:t>
      </w:r>
      <w:r>
        <w:t xml:space="preserve">como uno demente, atenazado por el pánico, el miedo y el terror, y con los pelos de punta. Porque entre los treinta y ocho </w:t>
      </w:r>
      <w:r w:rsidR="00D63010">
        <w:t xml:space="preserve">objetos </w:t>
      </w:r>
      <w:r>
        <w:t xml:space="preserve">de meditación expuestos en los textos, ningún objeto es tan aterrador como </w:t>
      </w:r>
      <w:r w:rsidR="00D63010">
        <w:t>é</w:t>
      </w:r>
      <w:r>
        <w:t xml:space="preserve">ste. Hay algunos que pierden </w:t>
      </w:r>
      <w:r w:rsidR="00D63010">
        <w:t xml:space="preserve">inclusive los </w:t>
      </w:r>
      <w:proofErr w:type="spellStart"/>
      <w:r w:rsidR="00057BF4" w:rsidRPr="00057BF4">
        <w:rPr>
          <w:i/>
          <w:iCs/>
        </w:rPr>
        <w:t>jhāna</w:t>
      </w:r>
      <w:r w:rsidR="00D63010">
        <w:t>s</w:t>
      </w:r>
      <w:proofErr w:type="spellEnd"/>
      <w:r>
        <w:t xml:space="preserve"> </w:t>
      </w:r>
      <w:r w:rsidR="00D63010">
        <w:t xml:space="preserve">con </w:t>
      </w:r>
      <w:r>
        <w:t xml:space="preserve">este </w:t>
      </w:r>
      <w:r w:rsidR="00D63010">
        <w:t xml:space="preserve">objeto </w:t>
      </w:r>
      <w:r>
        <w:t xml:space="preserve">de meditación. ¿Por qué? Porque es </w:t>
      </w:r>
      <w:r w:rsidR="00D63010">
        <w:t xml:space="preserve">muy </w:t>
      </w:r>
      <w:r>
        <w:t>aterrador.</w:t>
      </w:r>
    </w:p>
    <w:p w14:paraId="164ABE12" w14:textId="77777777" w:rsidR="00CA2370" w:rsidRDefault="00CA2370" w:rsidP="00CA2370">
      <w:pPr>
        <w:pStyle w:val="PiedepginaLegal"/>
        <w:rPr>
          <w:u w:val="single"/>
        </w:rPr>
      </w:pPr>
      <w:r>
        <w:rPr>
          <w:u w:val="single"/>
        </w:rPr>
        <w:tab/>
      </w:r>
      <w:r>
        <w:rPr>
          <w:u w:val="single"/>
        </w:rPr>
        <w:tab/>
      </w:r>
      <w:r>
        <w:rPr>
          <w:u w:val="single"/>
        </w:rPr>
        <w:tab/>
      </w:r>
      <w:r>
        <w:rPr>
          <w:u w:val="single"/>
        </w:rPr>
        <w:tab/>
        <w:t>.</w:t>
      </w:r>
    </w:p>
    <w:p w14:paraId="20CC9AB8" w14:textId="07591665" w:rsidR="00A62036" w:rsidRDefault="00CA2370" w:rsidP="00CA2370">
      <w:pPr>
        <w:pStyle w:val="PiedepginaLegal"/>
      </w:pPr>
      <w:r>
        <w:t xml:space="preserve">9. </w:t>
      </w:r>
      <w:r>
        <w:tab/>
        <w:t xml:space="preserve">No </w:t>
      </w:r>
      <w:r w:rsidR="008E77AA">
        <w:t>existe</w:t>
      </w:r>
      <w:r>
        <w:t xml:space="preserve"> ningún sentido </w:t>
      </w:r>
      <w:r w:rsidR="008E77AA">
        <w:t xml:space="preserve">para </w:t>
      </w:r>
      <w:proofErr w:type="spellStart"/>
      <w:r w:rsidRPr="009351A3">
        <w:rPr>
          <w:i/>
          <w:iCs/>
        </w:rPr>
        <w:t>ajjhottharati</w:t>
      </w:r>
      <w:proofErr w:type="spellEnd"/>
      <w:r>
        <w:t xml:space="preserve"> </w:t>
      </w:r>
      <w:r w:rsidR="008E77AA">
        <w:t xml:space="preserve">ofrecido </w:t>
      </w:r>
      <w:r>
        <w:t xml:space="preserve">en </w:t>
      </w:r>
      <w:r w:rsidR="008E77AA">
        <w:t xml:space="preserve">el </w:t>
      </w:r>
      <w:r>
        <w:t>PED que encaje aquí. Cf. I.56.</w:t>
      </w:r>
      <w:r w:rsidR="00A62036">
        <w:br w:type="page"/>
      </w:r>
    </w:p>
    <w:p w14:paraId="439FC43D" w14:textId="55C98B4E" w:rsidR="00EF126D" w:rsidRDefault="00EF126D" w:rsidP="00EF126D">
      <w:r>
        <w:lastRenderedPageBreak/>
        <w:t xml:space="preserve">57. </w:t>
      </w:r>
      <w:r>
        <w:tab/>
        <w:t xml:space="preserve">Así que el meditador </w:t>
      </w:r>
      <w:r w:rsidR="00D63010">
        <w:t xml:space="preserve">deberá </w:t>
      </w:r>
      <w:r>
        <w:t xml:space="preserve">mantenerse firme. Estableciendo bien su atención plena, </w:t>
      </w:r>
      <w:r w:rsidR="00D63010">
        <w:t xml:space="preserve">deberá </w:t>
      </w:r>
      <w:r>
        <w:t xml:space="preserve">eliminar sus miedos de esta manera: “Ningún cadáver se </w:t>
      </w:r>
      <w:r w:rsidR="00173417">
        <w:t xml:space="preserve">va </w:t>
      </w:r>
      <w:r w:rsidR="008408A6">
        <w:t xml:space="preserve">a </w:t>
      </w:r>
      <w:r>
        <w:t>levant</w:t>
      </w:r>
      <w:r w:rsidR="008408A6">
        <w:t>ar</w:t>
      </w:r>
      <w:r>
        <w:t xml:space="preserve"> y pers</w:t>
      </w:r>
      <w:r w:rsidR="008408A6">
        <w:t>e</w:t>
      </w:r>
      <w:r>
        <w:t>gu</w:t>
      </w:r>
      <w:r w:rsidR="008408A6">
        <w:t>ir</w:t>
      </w:r>
      <w:r>
        <w:t xml:space="preserve"> a </w:t>
      </w:r>
      <w:r w:rsidR="008408A6">
        <w:t>nadie</w:t>
      </w:r>
      <w:r>
        <w:t xml:space="preserve">. Si </w:t>
      </w:r>
      <w:r w:rsidR="00D63010">
        <w:t>se aproximara</w:t>
      </w:r>
      <w:r>
        <w:t xml:space="preserve"> esa piedra o esa enredadera cercana, el cuerpo podría también</w:t>
      </w:r>
      <w:r w:rsidR="00D63010" w:rsidRPr="00D63010">
        <w:t xml:space="preserve"> </w:t>
      </w:r>
      <w:r w:rsidR="00D63010">
        <w:t>acercarse</w:t>
      </w:r>
      <w:r>
        <w:t>; pero como esa piedra o esa enredadera</w:t>
      </w:r>
      <w:r w:rsidR="00D63010" w:rsidRPr="00D63010">
        <w:t xml:space="preserve"> </w:t>
      </w:r>
      <w:r w:rsidR="000B26BA">
        <w:t>no pueden aproximar</w:t>
      </w:r>
      <w:r w:rsidR="008408A6">
        <w:t>se</w:t>
      </w:r>
      <w:r>
        <w:t xml:space="preserve">, tampoco </w:t>
      </w:r>
      <w:r w:rsidR="000B26BA">
        <w:t xml:space="preserve">lo hará </w:t>
      </w:r>
      <w:r w:rsidR="008408A6">
        <w:t>el</w:t>
      </w:r>
      <w:r w:rsidR="000B26BA">
        <w:t xml:space="preserve"> </w:t>
      </w:r>
      <w:r>
        <w:t xml:space="preserve">cuerpo. Su aparición </w:t>
      </w:r>
      <w:r w:rsidR="000B26BA">
        <w:t xml:space="preserve">ante </w:t>
      </w:r>
      <w:r w:rsidR="00FB3D63">
        <w:t>tu vista surge</w:t>
      </w:r>
      <w:r>
        <w:t xml:space="preserve"> de esta manera: de tu percepción, creada por tu percepción. Hoy se te ha aparecido tu </w:t>
      </w:r>
      <w:r w:rsidR="00537B9D">
        <w:t xml:space="preserve">objeto </w:t>
      </w:r>
      <w:r>
        <w:t xml:space="preserve">de meditación. No tengas miedo, monje”. Debería reírse y dirigir su mente </w:t>
      </w:r>
      <w:r w:rsidR="000515D7">
        <w:t>hacia e</w:t>
      </w:r>
      <w:r w:rsidR="00537B9D">
        <w:t>l signo</w:t>
      </w:r>
      <w:r>
        <w:t xml:space="preserve">. De esa manera llegará a la distinción. Las palabras "La caracterización de los signos circundantes no tiene </w:t>
      </w:r>
      <w:r w:rsidR="00537B9D">
        <w:t>como</w:t>
      </w:r>
      <w:r>
        <w:t xml:space="preserve"> propósito </w:t>
      </w:r>
      <w:r w:rsidR="00537B9D">
        <w:t xml:space="preserve">la </w:t>
      </w:r>
      <w:r w:rsidR="000F6587">
        <w:t>producción de la ilusión</w:t>
      </w:r>
      <w:r>
        <w:t xml:space="preserve">" </w:t>
      </w:r>
      <w:r w:rsidR="00FB3D63">
        <w:t xml:space="preserve">así </w:t>
      </w:r>
      <w:r>
        <w:t xml:space="preserve">se dice </w:t>
      </w:r>
      <w:r w:rsidR="000F6587">
        <w:t>al</w:t>
      </w:r>
      <w:r>
        <w:t xml:space="preserve"> respecto.</w:t>
      </w:r>
    </w:p>
    <w:p w14:paraId="63383512" w14:textId="760A525F" w:rsidR="00EF126D" w:rsidRDefault="00EF126D" w:rsidP="00EF126D">
      <w:r>
        <w:t xml:space="preserve">58. </w:t>
      </w:r>
      <w:r>
        <w:tab/>
        <w:t xml:space="preserve">Lograr aprehender el signo en </w:t>
      </w:r>
      <w:proofErr w:type="gramStart"/>
      <w:r>
        <w:t xml:space="preserve">los once </w:t>
      </w:r>
      <w:r w:rsidR="000F6587">
        <w:t>formas</w:t>
      </w:r>
      <w:proofErr w:type="gramEnd"/>
      <w:r>
        <w:t xml:space="preserve"> </w:t>
      </w:r>
      <w:r w:rsidR="00A3483D">
        <w:t xml:space="preserve">significará </w:t>
      </w:r>
      <w:r>
        <w:t xml:space="preserve">anclar el </w:t>
      </w:r>
      <w:r w:rsidR="000F6587">
        <w:t xml:space="preserve">objeto </w:t>
      </w:r>
      <w:r>
        <w:t xml:space="preserve">de meditación. Pues la apertura de </w:t>
      </w:r>
      <w:r w:rsidR="00A3483D">
        <w:t>los</w:t>
      </w:r>
      <w:r>
        <w:t xml:space="preserve"> ojos y la </w:t>
      </w:r>
      <w:r w:rsidR="000F6587">
        <w:t>observación</w:t>
      </w:r>
      <w:r>
        <w:t xml:space="preserve"> condiciona</w:t>
      </w:r>
      <w:r w:rsidR="000F6587">
        <w:t>rá</w:t>
      </w:r>
      <w:r>
        <w:t>n el surgimiento del signo de</w:t>
      </w:r>
      <w:r w:rsidR="00A3483D">
        <w:t>l</w:t>
      </w:r>
      <w:r>
        <w:t xml:space="preserve"> aprendizaje; y cuando </w:t>
      </w:r>
      <w:r w:rsidR="00A3483D">
        <w:t xml:space="preserve">él </w:t>
      </w:r>
      <w:r>
        <w:t>ejercit</w:t>
      </w:r>
      <w:r w:rsidR="000F6587">
        <w:t>e</w:t>
      </w:r>
      <w:r>
        <w:t xml:space="preserve"> su mente en e</w:t>
      </w:r>
      <w:r w:rsidR="000F6587">
        <w:t>ll</w:t>
      </w:r>
      <w:r>
        <w:t>o, surg</w:t>
      </w:r>
      <w:r w:rsidR="000F6587">
        <w:t>irá</w:t>
      </w:r>
      <w:r>
        <w:t xml:space="preserve"> el signo contraparte; y</w:t>
      </w:r>
      <w:r w:rsidR="000F6587">
        <w:t xml:space="preserve"> </w:t>
      </w:r>
      <w:r>
        <w:t>a medida que ejercit</w:t>
      </w:r>
      <w:r w:rsidR="000F6587">
        <w:t>e</w:t>
      </w:r>
      <w:r>
        <w:t xml:space="preserve"> su mente en e</w:t>
      </w:r>
      <w:r w:rsidR="000F6587">
        <w:t>ll</w:t>
      </w:r>
      <w:r>
        <w:t>o, alcanza</w:t>
      </w:r>
      <w:r w:rsidR="000F6587">
        <w:t>rá</w:t>
      </w:r>
      <w:r>
        <w:t xml:space="preserve"> la absorción. Cuando est</w:t>
      </w:r>
      <w:r w:rsidR="000F6587">
        <w:t>é</w:t>
      </w:r>
      <w:r>
        <w:t xml:space="preserve"> seguro de la absorción, desarrolla</w:t>
      </w:r>
      <w:r w:rsidR="000F6587">
        <w:t>rá</w:t>
      </w:r>
      <w:r>
        <w:t xml:space="preserve"> la </w:t>
      </w:r>
      <w:r w:rsidR="000F6587">
        <w:t xml:space="preserve">sabiduría </w:t>
      </w:r>
      <w:r>
        <w:t xml:space="preserve">y </w:t>
      </w:r>
      <w:r w:rsidR="000F6587">
        <w:t xml:space="preserve">consumará </w:t>
      </w:r>
      <w:r>
        <w:t xml:space="preserve">el estado de </w:t>
      </w:r>
      <w:r w:rsidR="00057BF4" w:rsidRPr="00057BF4">
        <w:rPr>
          <w:i/>
          <w:iCs/>
        </w:rPr>
        <w:t>Arahant</w:t>
      </w:r>
      <w:r>
        <w:t>. Por eso se di</w:t>
      </w:r>
      <w:r w:rsidR="00A3483D">
        <w:t>ce</w:t>
      </w:r>
      <w:r>
        <w:t xml:space="preserve">: </w:t>
      </w:r>
      <w:r w:rsidRPr="00FA1B59">
        <w:rPr>
          <w:i/>
          <w:iCs/>
        </w:rPr>
        <w:t xml:space="preserve">aprehender el signo en las [otras] </w:t>
      </w:r>
      <w:proofErr w:type="gramStart"/>
      <w:r w:rsidRPr="00FA1B59">
        <w:rPr>
          <w:i/>
          <w:iCs/>
        </w:rPr>
        <w:t>once formas tiene</w:t>
      </w:r>
      <w:proofErr w:type="gramEnd"/>
      <w:r w:rsidRPr="00FA1B59">
        <w:rPr>
          <w:i/>
          <w:iCs/>
        </w:rPr>
        <w:t xml:space="preserve"> como propósito el anclaje [de la mente]</w:t>
      </w:r>
      <w:r>
        <w:t>.</w:t>
      </w:r>
    </w:p>
    <w:p w14:paraId="7E58D65E" w14:textId="18B25DF6" w:rsidR="00EF126D" w:rsidRDefault="00EF126D" w:rsidP="00EF126D">
      <w:r>
        <w:t xml:space="preserve">59. </w:t>
      </w:r>
      <w:r>
        <w:tab/>
      </w:r>
      <w:r w:rsidRPr="00FA1B59">
        <w:rPr>
          <w:i/>
          <w:iCs/>
        </w:rPr>
        <w:t xml:space="preserve">El repaso del </w:t>
      </w:r>
      <w:r w:rsidR="007F30D5">
        <w:rPr>
          <w:i/>
          <w:iCs/>
        </w:rPr>
        <w:t>camino</w:t>
      </w:r>
      <w:r w:rsidRPr="00FA1B59">
        <w:rPr>
          <w:i/>
          <w:iCs/>
        </w:rPr>
        <w:t xml:space="preserve"> </w:t>
      </w:r>
      <w:r w:rsidR="0034281A">
        <w:rPr>
          <w:i/>
          <w:iCs/>
        </w:rPr>
        <w:t xml:space="preserve">recorrido </w:t>
      </w:r>
      <w:r w:rsidR="007F30D5">
        <w:rPr>
          <w:i/>
          <w:iCs/>
        </w:rPr>
        <w:t xml:space="preserve">de ida </w:t>
      </w:r>
      <w:r w:rsidRPr="00FA1B59">
        <w:rPr>
          <w:i/>
          <w:iCs/>
        </w:rPr>
        <w:t xml:space="preserve">y </w:t>
      </w:r>
      <w:r w:rsidR="007F30D5">
        <w:rPr>
          <w:i/>
          <w:iCs/>
        </w:rPr>
        <w:t xml:space="preserve">de regreso </w:t>
      </w:r>
      <w:r w:rsidRPr="00FA1B59">
        <w:rPr>
          <w:i/>
          <w:iCs/>
        </w:rPr>
        <w:t xml:space="preserve">tiene </w:t>
      </w:r>
      <w:r w:rsidR="004568C4">
        <w:rPr>
          <w:i/>
          <w:iCs/>
        </w:rPr>
        <w:t xml:space="preserve">como </w:t>
      </w:r>
      <w:r w:rsidRPr="00FA1B59">
        <w:rPr>
          <w:i/>
          <w:iCs/>
        </w:rPr>
        <w:t xml:space="preserve">propósito </w:t>
      </w:r>
      <w:r w:rsidR="004568C4">
        <w:rPr>
          <w:i/>
          <w:iCs/>
        </w:rPr>
        <w:t xml:space="preserve">el </w:t>
      </w:r>
      <w:r w:rsidRPr="00FA1B59">
        <w:rPr>
          <w:i/>
          <w:iCs/>
        </w:rPr>
        <w:t>de mantener</w:t>
      </w:r>
      <w:r>
        <w:t xml:space="preserve"> [</w:t>
      </w:r>
      <w:r w:rsidRPr="004568C4">
        <w:rPr>
          <w:i/>
          <w:iCs/>
        </w:rPr>
        <w:t>la mente</w:t>
      </w:r>
      <w:r>
        <w:t xml:space="preserve">] en </w:t>
      </w:r>
      <w:r w:rsidR="007F30D5">
        <w:t xml:space="preserve">el </w:t>
      </w:r>
      <w:r w:rsidR="000376F7">
        <w:t>trayecto</w:t>
      </w:r>
      <w:r>
        <w:t xml:space="preserve">: el significado es que el repaso del camino </w:t>
      </w:r>
      <w:r w:rsidR="000376F7" w:rsidRPr="000376F7">
        <w:t xml:space="preserve">recorrido </w:t>
      </w:r>
      <w:r w:rsidR="007F30D5">
        <w:t xml:space="preserve">de ida </w:t>
      </w:r>
      <w:r>
        <w:t xml:space="preserve">y de regreso mencionado tiene el propósito de mantener </w:t>
      </w:r>
      <w:r w:rsidR="00AE45BC">
        <w:t xml:space="preserve">la atención </w:t>
      </w:r>
      <w:r>
        <w:t xml:space="preserve">correctamente </w:t>
      </w:r>
      <w:r w:rsidR="007F30D5">
        <w:t>en e</w:t>
      </w:r>
      <w:r>
        <w:t xml:space="preserve">l </w:t>
      </w:r>
      <w:r w:rsidR="000376F7">
        <w:t xml:space="preserve">trayecto </w:t>
      </w:r>
      <w:r w:rsidR="0069398B">
        <w:t xml:space="preserve">vinculado con </w:t>
      </w:r>
      <w:r>
        <w:t xml:space="preserve">el </w:t>
      </w:r>
      <w:r w:rsidR="000376F7">
        <w:t xml:space="preserve">objeto </w:t>
      </w:r>
      <w:r>
        <w:t>de meditación.</w:t>
      </w:r>
    </w:p>
    <w:p w14:paraId="3124C464" w14:textId="741A64AD" w:rsidR="00EF126D" w:rsidRDefault="00EF126D" w:rsidP="00EF126D">
      <w:r>
        <w:t xml:space="preserve">60. </w:t>
      </w:r>
      <w:r>
        <w:tab/>
        <w:t xml:space="preserve">Porque si este </w:t>
      </w:r>
      <w:proofErr w:type="spellStart"/>
      <w:r w:rsidR="00057BF4" w:rsidRPr="00057BF4">
        <w:rPr>
          <w:i/>
        </w:rPr>
        <w:t>bhikkhu</w:t>
      </w:r>
      <w:proofErr w:type="spellEnd"/>
      <w:r>
        <w:t xml:space="preserve"> va junto con su </w:t>
      </w:r>
      <w:r w:rsidR="00AE45BC">
        <w:t xml:space="preserve">objeto </w:t>
      </w:r>
      <w:r>
        <w:t>de meditación y la gente en el camino le pregunta</w:t>
      </w:r>
      <w:r w:rsidR="00AE45BC">
        <w:t>se</w:t>
      </w:r>
      <w:r>
        <w:t xml:space="preserve"> sobre el día, "¿Qué </w:t>
      </w:r>
      <w:r w:rsidR="00AE45BC">
        <w:t xml:space="preserve">día </w:t>
      </w:r>
      <w:r>
        <w:t xml:space="preserve">es hoy, </w:t>
      </w:r>
      <w:r w:rsidR="00AE45BC">
        <w:t>Venerable Señor</w:t>
      </w:r>
      <w:r>
        <w:t xml:space="preserve">?" o le </w:t>
      </w:r>
      <w:r w:rsidR="0069398B">
        <w:t>hicieran</w:t>
      </w:r>
      <w:r>
        <w:t xml:space="preserve"> alguna pregunta [sobre el </w:t>
      </w:r>
      <w:r w:rsidR="00057BF4" w:rsidRPr="00057BF4">
        <w:rPr>
          <w:i/>
        </w:rPr>
        <w:t>Dhamma</w:t>
      </w:r>
      <w:r>
        <w:t>], o le d</w:t>
      </w:r>
      <w:r w:rsidR="0069398B">
        <w:t>iera</w:t>
      </w:r>
      <w:r>
        <w:t xml:space="preserve">n la bienvenida, </w:t>
      </w:r>
      <w:r w:rsidR="0069398B">
        <w:t xml:space="preserve">él </w:t>
      </w:r>
      <w:r>
        <w:t>no debe</w:t>
      </w:r>
      <w:r w:rsidR="0069398B">
        <w:t>ría</w:t>
      </w:r>
      <w:r>
        <w:t xml:space="preserve"> continuar en silencio, pensando “Tengo un </w:t>
      </w:r>
      <w:r w:rsidR="00DA653B">
        <w:t xml:space="preserve">objeto </w:t>
      </w:r>
      <w:r>
        <w:t>de meditación”. Ha</w:t>
      </w:r>
      <w:r w:rsidR="00DA653B">
        <w:t>brá</w:t>
      </w:r>
      <w:r>
        <w:t xml:space="preserve"> que </w:t>
      </w:r>
      <w:r w:rsidR="0069398B">
        <w:t xml:space="preserve">responder sobre </w:t>
      </w:r>
      <w:r>
        <w:t>el día</w:t>
      </w:r>
      <w:r w:rsidR="0069398B">
        <w:t xml:space="preserve"> preguntado</w:t>
      </w:r>
      <w:r>
        <w:t>, ha</w:t>
      </w:r>
      <w:r w:rsidR="00DA653B">
        <w:t>brá</w:t>
      </w:r>
      <w:r>
        <w:t xml:space="preserve"> que responder a la pregunta, incluso diciendo “no sé” si no </w:t>
      </w:r>
      <w:r w:rsidR="0069398B">
        <w:t xml:space="preserve">se </w:t>
      </w:r>
      <w:r>
        <w:t>s</w:t>
      </w:r>
      <w:r w:rsidR="0069398B">
        <w:t>upiese la respuesta</w:t>
      </w:r>
      <w:r>
        <w:t xml:space="preserve">, </w:t>
      </w:r>
      <w:r w:rsidR="001D36E5">
        <w:t xml:space="preserve">debería </w:t>
      </w:r>
      <w:r>
        <w:t>responder</w:t>
      </w:r>
      <w:r w:rsidR="001D36E5">
        <w:t>se</w:t>
      </w:r>
      <w:r>
        <w:t xml:space="preserve"> a una legítima bienvenida. [188] Mientras lo ha</w:t>
      </w:r>
      <w:r w:rsidR="00DA653B">
        <w:t>ga</w:t>
      </w:r>
      <w:r>
        <w:t>, el signo recién adquirido se desvanece</w:t>
      </w:r>
      <w:r w:rsidR="00DA653B">
        <w:t>rá</w:t>
      </w:r>
      <w:r>
        <w:t>. Pero incluso si desaparec</w:t>
      </w:r>
      <w:r w:rsidR="00DA653B">
        <w:t>iera</w:t>
      </w:r>
      <w:r>
        <w:t xml:space="preserve">, </w:t>
      </w:r>
      <w:proofErr w:type="spellStart"/>
      <w:r>
        <w:t>aún</w:t>
      </w:r>
      <w:proofErr w:type="spellEnd"/>
      <w:r>
        <w:t xml:space="preserve"> </w:t>
      </w:r>
      <w:r w:rsidR="005D4D42">
        <w:t xml:space="preserve">así </w:t>
      </w:r>
      <w:r>
        <w:t>debe</w:t>
      </w:r>
      <w:r w:rsidR="005D4D42">
        <w:t>rá</w:t>
      </w:r>
      <w:r>
        <w:t xml:space="preserve"> decir el día cuando se le pregunte; si no sabe la respuesta a la pregunta, igual debe</w:t>
      </w:r>
      <w:r w:rsidR="005D4D42">
        <w:t>rá</w:t>
      </w:r>
      <w:r>
        <w:t xml:space="preserve"> decir “no sé”, y si la sabe, debe</w:t>
      </w:r>
      <w:r w:rsidR="005D4D42">
        <w:t>rá</w:t>
      </w:r>
      <w:r>
        <w:t xml:space="preserve"> </w:t>
      </w:r>
      <w:r w:rsidR="005D4D42">
        <w:t xml:space="preserve">decirla </w:t>
      </w:r>
      <w:r>
        <w:t>con seguridad;</w:t>
      </w:r>
      <w:r w:rsidRPr="00185589">
        <w:rPr>
          <w:vertAlign w:val="superscript"/>
        </w:rPr>
        <w:t>10</w:t>
      </w:r>
      <w:r>
        <w:t xml:space="preserve"> y debe</w:t>
      </w:r>
      <w:r w:rsidR="005D4D42">
        <w:t>rá</w:t>
      </w:r>
      <w:r>
        <w:t xml:space="preserve"> responder a una bienvenida. También se debe atender a la recepción de visitantes al ver a un </w:t>
      </w:r>
      <w:proofErr w:type="spellStart"/>
      <w:r w:rsidR="00057BF4" w:rsidRPr="00057BF4">
        <w:rPr>
          <w:i/>
          <w:iCs/>
        </w:rPr>
        <w:t>bhikkhu</w:t>
      </w:r>
      <w:proofErr w:type="spellEnd"/>
      <w:r>
        <w:t xml:space="preserve"> visitante, y también se deben llevar a cabo todos los deberes restantes </w:t>
      </w:r>
      <w:r w:rsidR="005D4D42">
        <w:t xml:space="preserve">de </w:t>
      </w:r>
      <w:r>
        <w:t xml:space="preserve">los </w:t>
      </w:r>
      <w:proofErr w:type="spellStart"/>
      <w:r w:rsidRPr="009351A3">
        <w:rPr>
          <w:i/>
          <w:iCs/>
        </w:rPr>
        <w:t>Khandhakas</w:t>
      </w:r>
      <w:proofErr w:type="spellEnd"/>
      <w:r>
        <w:t xml:space="preserve">, es decir, los deberes de la terraza del santuario, los deberes de la terraza del árbol </w:t>
      </w:r>
      <w:proofErr w:type="spellStart"/>
      <w:r w:rsidRPr="00DE1CB6">
        <w:rPr>
          <w:i/>
          <w:iCs/>
        </w:rPr>
        <w:t>Bodhi</w:t>
      </w:r>
      <w:proofErr w:type="spellEnd"/>
      <w:r>
        <w:t xml:space="preserve">, los deberes de la casa de </w:t>
      </w:r>
      <w:proofErr w:type="spellStart"/>
      <w:r w:rsidR="00057BF4" w:rsidRPr="00057BF4">
        <w:rPr>
          <w:i/>
        </w:rPr>
        <w:t>Uposatha</w:t>
      </w:r>
      <w:proofErr w:type="spellEnd"/>
      <w:r>
        <w:t>, los deberes del refectorio y la casa de baños, y los del maestro, el preceptor, los visitantes, los monjes que part</w:t>
      </w:r>
      <w:r w:rsidR="005D4D42">
        <w:t>a</w:t>
      </w:r>
      <w:r>
        <w:t xml:space="preserve">n y </w:t>
      </w:r>
      <w:r w:rsidR="005D4D42">
        <w:t>lo</w:t>
      </w:r>
      <w:r>
        <w:t xml:space="preserve"> </w:t>
      </w:r>
      <w:r w:rsidR="00C53519">
        <w:t>demás</w:t>
      </w:r>
      <w:r>
        <w:t>.</w:t>
      </w:r>
    </w:p>
    <w:p w14:paraId="6A8F0E10" w14:textId="1FEC3DCD" w:rsidR="00EF126D" w:rsidRDefault="00EF126D" w:rsidP="00EF126D">
      <w:r>
        <w:t xml:space="preserve">61. </w:t>
      </w:r>
      <w:r>
        <w:tab/>
        <w:t xml:space="preserve">Y el signo recién adquirido </w:t>
      </w:r>
      <w:r w:rsidR="00BC4E90">
        <w:t xml:space="preserve">también </w:t>
      </w:r>
      <w:r>
        <w:t>se desvanece</w:t>
      </w:r>
      <w:r w:rsidR="005D4D42">
        <w:t>rá</w:t>
      </w:r>
      <w:r>
        <w:t xml:space="preserve"> mientras él est</w:t>
      </w:r>
      <w:r w:rsidR="00BC4E90">
        <w:t>é</w:t>
      </w:r>
      <w:r>
        <w:t xml:space="preserve"> llevando a cabo estos</w:t>
      </w:r>
      <w:r w:rsidR="00BC4E90">
        <w:t xml:space="preserve"> asuntos</w:t>
      </w:r>
      <w:r>
        <w:t>. Cuando quier</w:t>
      </w:r>
      <w:r w:rsidR="00BC4E90">
        <w:t>a</w:t>
      </w:r>
      <w:r>
        <w:t xml:space="preserve"> </w:t>
      </w:r>
      <w:r w:rsidR="00BD213F">
        <w:t>regresar</w:t>
      </w:r>
      <w:r>
        <w:t xml:space="preserve"> de nuevo</w:t>
      </w:r>
      <w:r w:rsidR="00BD213F">
        <w:t xml:space="preserve"> al lugar</w:t>
      </w:r>
      <w:r>
        <w:t xml:space="preserve">, pensando “Iré y tomaré </w:t>
      </w:r>
      <w:r w:rsidR="00BC4E90">
        <w:t>el signo</w:t>
      </w:r>
      <w:r>
        <w:t>”, descubr</w:t>
      </w:r>
      <w:r w:rsidR="00BC4E90">
        <w:t>irá</w:t>
      </w:r>
      <w:r>
        <w:t xml:space="preserve"> que no </w:t>
      </w:r>
      <w:r w:rsidR="00BD213F">
        <w:t>podrá</w:t>
      </w:r>
      <w:r>
        <w:t xml:space="preserve"> ir al cementerio porque ha</w:t>
      </w:r>
      <w:r w:rsidR="00BC4E90">
        <w:t>brá</w:t>
      </w:r>
      <w:r>
        <w:t xml:space="preserve"> sido invadido por seres no humanos o por bestias salvajes, o </w:t>
      </w:r>
      <w:r w:rsidR="00BC4E90">
        <w:t xml:space="preserve">el signo </w:t>
      </w:r>
      <w:r>
        <w:t>ha</w:t>
      </w:r>
      <w:r w:rsidR="00BC4E90">
        <w:t>brá</w:t>
      </w:r>
      <w:r>
        <w:t xml:space="preserve"> desaparecido. Porque un cadáver hinchado sólo dura uno o dos días y luego se convierte en un cadáver lívido. De todos los </w:t>
      </w:r>
      <w:r w:rsidR="009F3AA9">
        <w:t xml:space="preserve">objetos </w:t>
      </w:r>
      <w:r>
        <w:t xml:space="preserve">de meditación, no </w:t>
      </w:r>
      <w:r w:rsidR="009F3AA9">
        <w:t>habrá</w:t>
      </w:r>
      <w:r>
        <w:t xml:space="preserve"> ninguno tan difícil de encontrar como </w:t>
      </w:r>
      <w:r w:rsidR="009F3AA9">
        <w:t>é</w:t>
      </w:r>
      <w:r>
        <w:t>ste.</w:t>
      </w:r>
    </w:p>
    <w:p w14:paraId="0D1B5E92" w14:textId="0BA9729D" w:rsidR="00EF126D" w:rsidRDefault="00EF126D" w:rsidP="00EF126D">
      <w:r>
        <w:t xml:space="preserve">62. </w:t>
      </w:r>
      <w:r>
        <w:tab/>
        <w:t xml:space="preserve">Entonces, cuando </w:t>
      </w:r>
      <w:r w:rsidR="009F3AA9">
        <w:t xml:space="preserve">el signo </w:t>
      </w:r>
      <w:r>
        <w:t>se ha</w:t>
      </w:r>
      <w:r w:rsidR="009F3AA9">
        <w:t>ya</w:t>
      </w:r>
      <w:r>
        <w:t xml:space="preserve"> desvanecido de esta manera, el </w:t>
      </w:r>
      <w:proofErr w:type="spellStart"/>
      <w:r w:rsidR="00057BF4" w:rsidRPr="00057BF4">
        <w:rPr>
          <w:i/>
          <w:iCs/>
        </w:rPr>
        <w:t>bhikkhu</w:t>
      </w:r>
      <w:proofErr w:type="spellEnd"/>
      <w:r>
        <w:t xml:space="preserve"> debe</w:t>
      </w:r>
      <w:r w:rsidR="009F3AA9">
        <w:t>rá</w:t>
      </w:r>
      <w:r>
        <w:t xml:space="preserve"> sentarse en su cuarto de noche o en su cuarto de día y, en primer lugar, revisar el camino </w:t>
      </w:r>
      <w:r w:rsidR="009F3AA9">
        <w:t xml:space="preserve">recorrido </w:t>
      </w:r>
      <w:r w:rsidR="00E66202">
        <w:t xml:space="preserve">de ida </w:t>
      </w:r>
      <w:r>
        <w:t xml:space="preserve">y llegar hasta el lugar donde realmente </w:t>
      </w:r>
      <w:r w:rsidR="00E66202">
        <w:t xml:space="preserve">se encontraba </w:t>
      </w:r>
      <w:r>
        <w:t>sentado con las piernas cruzadas, haciéndolo de esta manera: “Salí del</w:t>
      </w:r>
      <w:r w:rsidR="009F3AA9" w:rsidRPr="009F3AA9">
        <w:t xml:space="preserve"> </w:t>
      </w:r>
      <w:r w:rsidR="009F3AA9">
        <w:t xml:space="preserve">monasterio por esta puerta, tomé un camino que </w:t>
      </w:r>
      <w:r w:rsidR="00E66202">
        <w:t>iba</w:t>
      </w:r>
      <w:r w:rsidR="009F3AA9">
        <w:t xml:space="preserve"> en tal </w:t>
      </w:r>
    </w:p>
    <w:p w14:paraId="5C6CD467" w14:textId="77777777" w:rsidR="00EF126D" w:rsidRDefault="00EF126D" w:rsidP="00EF126D">
      <w:pPr>
        <w:pStyle w:val="PiedepginaLegal"/>
        <w:rPr>
          <w:u w:val="single"/>
        </w:rPr>
      </w:pPr>
      <w:r>
        <w:rPr>
          <w:u w:val="single"/>
        </w:rPr>
        <w:tab/>
      </w:r>
      <w:r>
        <w:rPr>
          <w:u w:val="single"/>
        </w:rPr>
        <w:tab/>
      </w:r>
      <w:r>
        <w:rPr>
          <w:u w:val="single"/>
        </w:rPr>
        <w:tab/>
      </w:r>
      <w:r>
        <w:rPr>
          <w:u w:val="single"/>
        </w:rPr>
        <w:tab/>
        <w:t>.</w:t>
      </w:r>
    </w:p>
    <w:p w14:paraId="00D9BD74" w14:textId="5BE8514B" w:rsidR="00EF126D" w:rsidRDefault="00EF126D" w:rsidP="00E66202">
      <w:pPr>
        <w:pStyle w:val="PiedepginaLegal"/>
      </w:pPr>
      <w:r>
        <w:t xml:space="preserve">10. </w:t>
      </w:r>
      <w:r>
        <w:tab/>
        <w:t xml:space="preserve">Leer </w:t>
      </w:r>
      <w:proofErr w:type="spellStart"/>
      <w:r w:rsidRPr="009351A3">
        <w:rPr>
          <w:i/>
          <w:iCs/>
        </w:rPr>
        <w:t>eka</w:t>
      </w:r>
      <w:r w:rsidR="00C33F2B">
        <w:rPr>
          <w:i/>
          <w:iCs/>
        </w:rPr>
        <w:t>ṃ</w:t>
      </w:r>
      <w:r w:rsidRPr="009351A3">
        <w:rPr>
          <w:i/>
          <w:iCs/>
        </w:rPr>
        <w:t>sena</w:t>
      </w:r>
      <w:proofErr w:type="spellEnd"/>
      <w:r>
        <w:t xml:space="preserve"> (seguramente) </w:t>
      </w:r>
      <w:r w:rsidR="006275C0">
        <w:t>en el</w:t>
      </w:r>
      <w:r>
        <w:t xml:space="preserve"> texto de Harvard en lugar de </w:t>
      </w:r>
      <w:proofErr w:type="spellStart"/>
      <w:r w:rsidRPr="009351A3">
        <w:rPr>
          <w:i/>
          <w:iCs/>
        </w:rPr>
        <w:t>ekadesena</w:t>
      </w:r>
      <w:proofErr w:type="spellEnd"/>
      <w:r>
        <w:t xml:space="preserve"> (parcialmente).</w:t>
      </w:r>
      <w:r>
        <w:br w:type="page"/>
      </w:r>
    </w:p>
    <w:p w14:paraId="3BA01A2F" w14:textId="77777777" w:rsidR="00506FF3" w:rsidRDefault="00506FF3" w:rsidP="00506FF3"/>
    <w:p w14:paraId="219D7F61" w14:textId="4C92D9CB" w:rsidR="00506FF3" w:rsidRDefault="00E66202" w:rsidP="00506FF3">
      <w:r>
        <w:t>dirección, viré</w:t>
      </w:r>
      <w:r w:rsidR="00506FF3">
        <w:t xml:space="preserve"> a la izquierda en tal lugar, tomé la derecha en tal lugar, en una parte había una piedra, en otra una termitero o un árbol o un arbusto o una enredadera; habiendo ido por ese camino, vi la inmundicia en tal y tal lugar, me paré allí mirando en tal y tal dirección y observé tales y tales señales circundantes, percibí </w:t>
      </w:r>
      <w:r w:rsidR="00BC07BD">
        <w:t xml:space="preserve">el signo </w:t>
      </w:r>
      <w:r w:rsidR="00506FF3">
        <w:t xml:space="preserve">de la </w:t>
      </w:r>
      <w:r w:rsidR="00BC07BD">
        <w:t xml:space="preserve">repugnancia </w:t>
      </w:r>
      <w:r w:rsidR="00506FF3">
        <w:t xml:space="preserve">de esta manera; </w:t>
      </w:r>
      <w:r w:rsidR="003C456A">
        <w:t xml:space="preserve">salí </w:t>
      </w:r>
      <w:r w:rsidR="00506FF3">
        <w:t xml:space="preserve">del osario en tal o cual dirección, volví por tal o cual camino haciendo esto y </w:t>
      </w:r>
      <w:r w:rsidR="007912D5">
        <w:t>aquello</w:t>
      </w:r>
      <w:r w:rsidR="00506FF3">
        <w:t>, y ahora estoy sentado aquí”.</w:t>
      </w:r>
    </w:p>
    <w:p w14:paraId="322C7FB6" w14:textId="12C41282" w:rsidR="00506FF3" w:rsidRDefault="00506FF3" w:rsidP="00506FF3">
      <w:r>
        <w:t xml:space="preserve">63. </w:t>
      </w:r>
      <w:r>
        <w:tab/>
        <w:t>Al revisarlo de esta manera, el signo se ha</w:t>
      </w:r>
      <w:r w:rsidR="007912D5">
        <w:t>rá</w:t>
      </w:r>
      <w:r>
        <w:t xml:space="preserve"> evidente y aparece</w:t>
      </w:r>
      <w:r w:rsidR="007912D5">
        <w:t>rá</w:t>
      </w:r>
      <w:r>
        <w:t xml:space="preserve"> como colocado frente a él; el </w:t>
      </w:r>
      <w:r w:rsidR="007912D5">
        <w:t xml:space="preserve">objeto </w:t>
      </w:r>
      <w:r>
        <w:t>de meditación cabalga</w:t>
      </w:r>
      <w:r w:rsidR="00471BE5">
        <w:t>rá</w:t>
      </w:r>
      <w:r>
        <w:t xml:space="preserve"> sobre su pista como lo hacía antes. Por eso se di</w:t>
      </w:r>
      <w:r w:rsidR="002320DD">
        <w:t>ce</w:t>
      </w:r>
      <w:r>
        <w:t xml:space="preserve">: </w:t>
      </w:r>
      <w:r w:rsidRPr="00FA1B59">
        <w:rPr>
          <w:i/>
          <w:iCs/>
        </w:rPr>
        <w:t xml:space="preserve">la revisión del </w:t>
      </w:r>
      <w:r w:rsidR="00471BE5">
        <w:rPr>
          <w:i/>
          <w:iCs/>
        </w:rPr>
        <w:t>trayecto</w:t>
      </w:r>
      <w:r w:rsidRPr="00FA1B59">
        <w:rPr>
          <w:i/>
          <w:iCs/>
        </w:rPr>
        <w:t xml:space="preserve"> </w:t>
      </w:r>
      <w:r w:rsidR="00471BE5">
        <w:rPr>
          <w:i/>
          <w:iCs/>
        </w:rPr>
        <w:t xml:space="preserve">recorrido </w:t>
      </w:r>
      <w:r w:rsidR="002320DD">
        <w:rPr>
          <w:i/>
          <w:iCs/>
        </w:rPr>
        <w:t xml:space="preserve">de ida </w:t>
      </w:r>
      <w:r w:rsidRPr="00FA1B59">
        <w:rPr>
          <w:i/>
          <w:iCs/>
        </w:rPr>
        <w:t xml:space="preserve">y </w:t>
      </w:r>
      <w:r w:rsidR="00471BE5">
        <w:rPr>
          <w:i/>
          <w:iCs/>
        </w:rPr>
        <w:t xml:space="preserve">de regreso </w:t>
      </w:r>
      <w:r w:rsidRPr="00FA1B59">
        <w:rPr>
          <w:i/>
          <w:iCs/>
        </w:rPr>
        <w:t>tiene como objeto mantener [la mente] en el camino</w:t>
      </w:r>
      <w:r>
        <w:t>.</w:t>
      </w:r>
    </w:p>
    <w:p w14:paraId="702C29ED" w14:textId="7F70887D" w:rsidR="00506FF3" w:rsidRDefault="00506FF3" w:rsidP="00506FF3">
      <w:r>
        <w:t xml:space="preserve">64. </w:t>
      </w:r>
      <w:r>
        <w:tab/>
        <w:t>Ahora, en cuanto a las palabras, cuando ha</w:t>
      </w:r>
      <w:r w:rsidR="003438F3">
        <w:t>ya</w:t>
      </w:r>
      <w:r>
        <w:t xml:space="preserve"> establecido reverencia por ell</w:t>
      </w:r>
      <w:r w:rsidR="00AD5769">
        <w:t>o</w:t>
      </w:r>
      <w:r>
        <w:t xml:space="preserve"> al ver sus ventajas y al percibirlas como un tesoro y así llegar a </w:t>
      </w:r>
      <w:r w:rsidR="00AD5769">
        <w:t>estimarlas</w:t>
      </w:r>
      <w:r>
        <w:t>, ancla</w:t>
      </w:r>
      <w:r w:rsidR="00AD5769">
        <w:t>rá</w:t>
      </w:r>
      <w:r>
        <w:t xml:space="preserve"> la mente en ese objeto: aquí, habiendo </w:t>
      </w:r>
      <w:r w:rsidR="001840ED">
        <w:t>desarrollado el</w:t>
      </w:r>
      <w:r>
        <w:t xml:space="preserve"> </w:t>
      </w:r>
      <w:proofErr w:type="spellStart"/>
      <w:r w:rsidR="00057BF4" w:rsidRPr="00057BF4">
        <w:rPr>
          <w:i/>
          <w:iCs/>
        </w:rPr>
        <w:t>jhāna</w:t>
      </w:r>
      <w:proofErr w:type="spellEnd"/>
      <w:r>
        <w:t xml:space="preserve"> ejerciendo su mente sobre la </w:t>
      </w:r>
      <w:r w:rsidR="001840ED">
        <w:t>repugnancia de</w:t>
      </w:r>
      <w:r>
        <w:t xml:space="preserve"> lo hinchado, debe</w:t>
      </w:r>
      <w:r w:rsidR="001840ED">
        <w:t>rá</w:t>
      </w:r>
      <w:r>
        <w:t xml:space="preserve"> aumentar la percepción con el </w:t>
      </w:r>
      <w:proofErr w:type="spellStart"/>
      <w:r w:rsidR="00057BF4" w:rsidRPr="00057BF4">
        <w:rPr>
          <w:i/>
          <w:iCs/>
        </w:rPr>
        <w:t>jhāna</w:t>
      </w:r>
      <w:proofErr w:type="spellEnd"/>
      <w:r>
        <w:t xml:space="preserve"> como su causa próxima, y ​​luego debe</w:t>
      </w:r>
      <w:r w:rsidR="001840ED">
        <w:t>rá</w:t>
      </w:r>
      <w:r>
        <w:t xml:space="preserve"> ver las ventajas de esta manera: [189] "Seguramente de esta manera me liberaré del envejecimiento y la muerte".</w:t>
      </w:r>
    </w:p>
    <w:p w14:paraId="69516DDE" w14:textId="258C0C19" w:rsidR="00506FF3" w:rsidRDefault="00506FF3" w:rsidP="00506FF3">
      <w:r>
        <w:t xml:space="preserve">65. </w:t>
      </w:r>
      <w:r>
        <w:tab/>
        <w:t>Así como un pobre que adqui</w:t>
      </w:r>
      <w:r w:rsidR="001840ED">
        <w:t>e</w:t>
      </w:r>
      <w:r>
        <w:t>r</w:t>
      </w:r>
      <w:r w:rsidR="001840ED">
        <w:t>e</w:t>
      </w:r>
      <w:r>
        <w:t xml:space="preserve"> un tesoro de gemas lo guardaría y </w:t>
      </w:r>
      <w:r w:rsidR="00B30A16">
        <w:t>atesoraría</w:t>
      </w:r>
      <w:r>
        <w:t xml:space="preserve"> con gran afecto, sintiendo reverencia por él como </w:t>
      </w:r>
      <w:r w:rsidR="00BA7FA7">
        <w:t xml:space="preserve">alguien que </w:t>
      </w:r>
      <w:r w:rsidR="00B30A16">
        <w:t xml:space="preserve">sepa apreciar </w:t>
      </w:r>
      <w:r>
        <w:t xml:space="preserve">su valor, "¡Tengo lo que realmente </w:t>
      </w:r>
      <w:r w:rsidR="00130C54">
        <w:t xml:space="preserve">es </w:t>
      </w:r>
      <w:r>
        <w:t xml:space="preserve">difícil de conseguir!" así también [este </w:t>
      </w:r>
      <w:proofErr w:type="spellStart"/>
      <w:r w:rsidR="00057BF4" w:rsidRPr="00057BF4">
        <w:rPr>
          <w:i/>
          <w:iCs/>
        </w:rPr>
        <w:t>bhikkhu</w:t>
      </w:r>
      <w:proofErr w:type="spellEnd"/>
      <w:r>
        <w:t>] debe</w:t>
      </w:r>
      <w:r w:rsidR="00130C54">
        <w:t>rá</w:t>
      </w:r>
      <w:r>
        <w:t xml:space="preserve"> </w:t>
      </w:r>
      <w:r w:rsidR="00B30A16">
        <w:t>res</w:t>
      </w:r>
      <w:r>
        <w:t xml:space="preserve">guardar el signo, </w:t>
      </w:r>
      <w:r w:rsidR="00130C54">
        <w:t xml:space="preserve">estimarlo </w:t>
      </w:r>
      <w:r>
        <w:t xml:space="preserve">y sentir reverencia por él como alguien que </w:t>
      </w:r>
      <w:r w:rsidR="00B30A16">
        <w:t xml:space="preserve">sepa </w:t>
      </w:r>
      <w:r>
        <w:t>apreci</w:t>
      </w:r>
      <w:r w:rsidR="00B30A16">
        <w:t>ar</w:t>
      </w:r>
      <w:r>
        <w:t xml:space="preserve"> su valor: “Tengo este </w:t>
      </w:r>
      <w:r w:rsidR="00BA7FA7">
        <w:t xml:space="preserve">objeto </w:t>
      </w:r>
      <w:r>
        <w:t xml:space="preserve">de meditación, que en verdad es </w:t>
      </w:r>
      <w:r w:rsidR="00BA7FA7">
        <w:t>muy</w:t>
      </w:r>
      <w:r>
        <w:t xml:space="preserve"> difícil de conseguir como lo es </w:t>
      </w:r>
      <w:r w:rsidR="00E0667F">
        <w:t xml:space="preserve">para un pobre conseguir </w:t>
      </w:r>
      <w:r>
        <w:t xml:space="preserve">un tesoro muy valioso. Porque alguien cuyo </w:t>
      </w:r>
      <w:r w:rsidR="00BA7FA7">
        <w:t xml:space="preserve">objeto </w:t>
      </w:r>
      <w:r>
        <w:t xml:space="preserve">de meditación </w:t>
      </w:r>
      <w:r w:rsidR="00BA7FA7">
        <w:t>sean</w:t>
      </w:r>
      <w:r>
        <w:t xml:space="preserve"> los cuatro elementos discern</w:t>
      </w:r>
      <w:r w:rsidR="00BA7FA7">
        <w:t>irá</w:t>
      </w:r>
      <w:r>
        <w:t xml:space="preserve"> </w:t>
      </w:r>
      <w:r w:rsidR="004A5CEE">
        <w:t xml:space="preserve">sobre </w:t>
      </w:r>
      <w:r>
        <w:t xml:space="preserve">los cuatro elementos primarios en sí mismo, aquel cuyo </w:t>
      </w:r>
      <w:r w:rsidR="004A5CEE">
        <w:t xml:space="preserve">objeto </w:t>
      </w:r>
      <w:r>
        <w:t xml:space="preserve">de meditación </w:t>
      </w:r>
      <w:r w:rsidR="004A5CEE">
        <w:t>sea</w:t>
      </w:r>
      <w:r>
        <w:t xml:space="preserve"> la respiración </w:t>
      </w:r>
      <w:r w:rsidR="004A5CEE">
        <w:t xml:space="preserve">discernirá </w:t>
      </w:r>
      <w:r w:rsidR="00484D5E">
        <w:t xml:space="preserve">en </w:t>
      </w:r>
      <w:r>
        <w:t xml:space="preserve">el </w:t>
      </w:r>
      <w:r w:rsidR="00484D5E">
        <w:t xml:space="preserve">aire que circule </w:t>
      </w:r>
      <w:r>
        <w:t xml:space="preserve">en sus propias fosas nasales, y aquel cuyo </w:t>
      </w:r>
      <w:r w:rsidR="004A5CEE">
        <w:t xml:space="preserve">objeto </w:t>
      </w:r>
      <w:r>
        <w:t xml:space="preserve">de meditación </w:t>
      </w:r>
      <w:r w:rsidR="004A5CEE">
        <w:t>sea</w:t>
      </w:r>
      <w:r>
        <w:t xml:space="preserve"> un </w:t>
      </w:r>
      <w:proofErr w:type="spellStart"/>
      <w:r w:rsidR="00057BF4" w:rsidRPr="00057BF4">
        <w:rPr>
          <w:i/>
          <w:iCs/>
        </w:rPr>
        <w:t>kasiṇa</w:t>
      </w:r>
      <w:proofErr w:type="spellEnd"/>
      <w:r>
        <w:t xml:space="preserve"> </w:t>
      </w:r>
      <w:r w:rsidR="004A5CEE">
        <w:t>fabricará</w:t>
      </w:r>
      <w:r>
        <w:t xml:space="preserve"> un </w:t>
      </w:r>
      <w:proofErr w:type="spellStart"/>
      <w:r w:rsidR="00057BF4" w:rsidRPr="00057BF4">
        <w:rPr>
          <w:i/>
          <w:iCs/>
        </w:rPr>
        <w:t>kasiṇa</w:t>
      </w:r>
      <w:proofErr w:type="spellEnd"/>
      <w:r>
        <w:t xml:space="preserve"> y lo desarrolla</w:t>
      </w:r>
      <w:r w:rsidR="004A5CEE">
        <w:t>rá</w:t>
      </w:r>
      <w:r>
        <w:t xml:space="preserve"> a su gusto, así </w:t>
      </w:r>
      <w:proofErr w:type="gramStart"/>
      <w:r>
        <w:t xml:space="preserve">estos otros </w:t>
      </w:r>
      <w:r w:rsidR="004A5CEE">
        <w:t>objeto</w:t>
      </w:r>
      <w:proofErr w:type="gramEnd"/>
      <w:r w:rsidR="004A5CEE">
        <w:t xml:space="preserve"> </w:t>
      </w:r>
      <w:r>
        <w:t>de meditación se cons</w:t>
      </w:r>
      <w:r w:rsidR="004A5CEE">
        <w:t>e</w:t>
      </w:r>
      <w:r>
        <w:t>gu</w:t>
      </w:r>
      <w:r w:rsidR="004A5CEE">
        <w:t>irá</w:t>
      </w:r>
      <w:r>
        <w:t>n fácilmente. Pero éste dura sólo uno, o dos días, después de los cuales se convert</w:t>
      </w:r>
      <w:r w:rsidR="004A5CEE">
        <w:t>irá</w:t>
      </w:r>
      <w:r>
        <w:t xml:space="preserve"> en un cadáver lívido. No ha</w:t>
      </w:r>
      <w:r w:rsidR="004A5CEE">
        <w:t>brá</w:t>
      </w:r>
      <w:r>
        <w:t xml:space="preserve"> nada más difícil de conseguir que </w:t>
      </w:r>
      <w:r w:rsidR="004A5CEE">
        <w:t>algo así</w:t>
      </w:r>
      <w:r>
        <w:t xml:space="preserve">.” En sus </w:t>
      </w:r>
      <w:r w:rsidR="004A5CEE">
        <w:t>recintos</w:t>
      </w:r>
      <w:r>
        <w:t xml:space="preserve"> nocturnos y en sus </w:t>
      </w:r>
      <w:r w:rsidR="004A5CEE">
        <w:t xml:space="preserve">recintos </w:t>
      </w:r>
      <w:r>
        <w:t>diurnos debe</w:t>
      </w:r>
      <w:r w:rsidR="004A5CEE">
        <w:t>rá</w:t>
      </w:r>
      <w:r>
        <w:t xml:space="preserve"> mantener su mente anclada allí de esta manera, “Repugnancia </w:t>
      </w:r>
      <w:r w:rsidR="00484D5E">
        <w:t>sobre</w:t>
      </w:r>
      <w:r>
        <w:t xml:space="preserve"> lo hinchado, repulsión </w:t>
      </w:r>
      <w:r w:rsidR="00484D5E">
        <w:t xml:space="preserve">sobre </w:t>
      </w:r>
      <w:r>
        <w:t>lo hinchado”. Y debe</w:t>
      </w:r>
      <w:r w:rsidR="004A5CEE">
        <w:t>rá</w:t>
      </w:r>
      <w:r>
        <w:t xml:space="preserve"> advertir el signo, traerlo a la mente y </w:t>
      </w:r>
      <w:r w:rsidR="00A24768">
        <w:t>hacer contacto</w:t>
      </w:r>
      <w:r>
        <w:t xml:space="preserve"> con </w:t>
      </w:r>
      <w:r w:rsidR="00A24768">
        <w:t>la mente</w:t>
      </w:r>
      <w:r>
        <w:t xml:space="preserve"> y </w:t>
      </w:r>
      <w:r w:rsidR="00A24768">
        <w:t xml:space="preserve">la aplicación mental </w:t>
      </w:r>
      <w:r>
        <w:t>una y otra vez.</w:t>
      </w:r>
    </w:p>
    <w:p w14:paraId="73F0D8C1" w14:textId="7DBA5B18" w:rsidR="00506FF3" w:rsidRDefault="00506FF3" w:rsidP="00506FF3">
      <w:r>
        <w:t xml:space="preserve">66. </w:t>
      </w:r>
      <w:r>
        <w:tab/>
        <w:t>Mientras lo ha</w:t>
      </w:r>
      <w:r w:rsidR="00B41BE3">
        <w:t>ga</w:t>
      </w:r>
      <w:r>
        <w:t>, surg</w:t>
      </w:r>
      <w:r w:rsidR="00B41BE3">
        <w:t>irá</w:t>
      </w:r>
      <w:r>
        <w:t xml:space="preserve"> el signo contraparte. Aquí está la diferencia entre los dos signos. El signo de aprendizaje aparece</w:t>
      </w:r>
      <w:r w:rsidR="00385E63">
        <w:t>rá</w:t>
      </w:r>
      <w:r>
        <w:t xml:space="preserve"> como un espectáculo espantoso, </w:t>
      </w:r>
      <w:r w:rsidR="00385E63">
        <w:t xml:space="preserve">horrendo </w:t>
      </w:r>
      <w:r>
        <w:t>y aterrador; pero el signo contraparte aparece</w:t>
      </w:r>
      <w:r w:rsidR="00385E63">
        <w:t>rá</w:t>
      </w:r>
      <w:r>
        <w:t xml:space="preserve"> como un hombre con grandes extremidades </w:t>
      </w:r>
      <w:r w:rsidR="00385E63">
        <w:t>re</w:t>
      </w:r>
      <w:r>
        <w:t>costado después de comer hasta saciarse.</w:t>
      </w:r>
    </w:p>
    <w:p w14:paraId="683D1DC5" w14:textId="700FEA63" w:rsidR="00506FF3" w:rsidRDefault="00506FF3" w:rsidP="00506FF3">
      <w:r>
        <w:t xml:space="preserve">67. </w:t>
      </w:r>
      <w:r>
        <w:tab/>
        <w:t xml:space="preserve">Simultáneamente con la adquisición del signo equivalente, su lujuria </w:t>
      </w:r>
      <w:r w:rsidR="00385E63">
        <w:t>será</w:t>
      </w:r>
      <w:r>
        <w:t xml:space="preserve"> abandonada por la supresión debido a que no presta</w:t>
      </w:r>
      <w:r w:rsidR="00385E63">
        <w:t>rá</w:t>
      </w:r>
      <w:r>
        <w:t xml:space="preserve"> atención externamente a los </w:t>
      </w:r>
      <w:r w:rsidR="007831DD">
        <w:t>deseos sensoriales</w:t>
      </w:r>
      <w:r>
        <w:t xml:space="preserve"> [como objeto]. Y por su abandono </w:t>
      </w:r>
      <w:r w:rsidR="007C0300">
        <w:t>hacia</w:t>
      </w:r>
      <w:r>
        <w:t xml:space="preserve"> la aprobación, se abandona</w:t>
      </w:r>
      <w:r w:rsidR="007C0300">
        <w:t>rá</w:t>
      </w:r>
      <w:r>
        <w:t xml:space="preserve"> también la mala voluntad, como se abandona</w:t>
      </w:r>
      <w:r w:rsidR="007C0300">
        <w:t>rá</w:t>
      </w:r>
      <w:r>
        <w:t xml:space="preserve"> el pus con el abandono de la sangre. Del mismo modo, la rigidez y el letargo se abandona</w:t>
      </w:r>
      <w:r w:rsidR="007C0300">
        <w:t>rá</w:t>
      </w:r>
      <w:r>
        <w:t>n mediante el ejercicio de la energía</w:t>
      </w:r>
      <w:r w:rsidR="007C0300">
        <w:t>;</w:t>
      </w:r>
      <w:r>
        <w:t xml:space="preserve"> la agitación y la preocupación se abandona</w:t>
      </w:r>
      <w:r w:rsidR="007C0300">
        <w:t>rá</w:t>
      </w:r>
      <w:r>
        <w:t xml:space="preserve">n mediante la devoción </w:t>
      </w:r>
      <w:r w:rsidR="007C0300">
        <w:t>hacia</w:t>
      </w:r>
      <w:r>
        <w:t xml:space="preserve"> las cosas </w:t>
      </w:r>
      <w:r w:rsidR="007C0300">
        <w:t xml:space="preserve">apacibles </w:t>
      </w:r>
      <w:r>
        <w:t>que no caus</w:t>
      </w:r>
      <w:r w:rsidR="007C0300">
        <w:t>e</w:t>
      </w:r>
      <w:r>
        <w:t xml:space="preserve">n remordimiento; y la incertidumbre sobre el Maestro que </w:t>
      </w:r>
      <w:r w:rsidR="007C0EDD">
        <w:t>muestre</w:t>
      </w:r>
      <w:r>
        <w:t xml:space="preserve"> el </w:t>
      </w:r>
      <w:r w:rsidR="00AA7102">
        <w:t>sendero</w:t>
      </w:r>
      <w:r>
        <w:t xml:space="preserve">, </w:t>
      </w:r>
      <w:r w:rsidR="007C0EDD">
        <w:t>acerca</w:t>
      </w:r>
      <w:r>
        <w:t xml:space="preserve"> </w:t>
      </w:r>
      <w:r w:rsidR="007C0EDD">
        <w:t>d</w:t>
      </w:r>
      <w:r>
        <w:t xml:space="preserve">el </w:t>
      </w:r>
      <w:r w:rsidR="00F24420">
        <w:t xml:space="preserve">sendero </w:t>
      </w:r>
      <w:r>
        <w:t xml:space="preserve">y </w:t>
      </w:r>
      <w:r w:rsidR="007C0EDD">
        <w:t>acerca d</w:t>
      </w:r>
      <w:r>
        <w:t xml:space="preserve">el fruto del </w:t>
      </w:r>
      <w:r w:rsidR="00F24420">
        <w:t>sendero</w:t>
      </w:r>
      <w:r>
        <w:t>, se abandona</w:t>
      </w:r>
      <w:r w:rsidR="00F24420">
        <w:t>rá</w:t>
      </w:r>
      <w:r>
        <w:t xml:space="preserve"> a través de la experiencia real de la distinción alcanzada. Así se abandona</w:t>
      </w:r>
      <w:r w:rsidR="00F24420">
        <w:t>rá</w:t>
      </w:r>
      <w:r>
        <w:t xml:space="preserve">n los cinco obstáculos. Y </w:t>
      </w:r>
      <w:r w:rsidR="00F24420">
        <w:t xml:space="preserve">surgirá </w:t>
      </w:r>
      <w:r w:rsidR="00CC762C">
        <w:t xml:space="preserve">la aplicación mental </w:t>
      </w:r>
      <w:r w:rsidR="00F24420">
        <w:t xml:space="preserve">presente </w:t>
      </w:r>
      <w:r>
        <w:t>con la característica de</w:t>
      </w:r>
    </w:p>
    <w:p w14:paraId="5F5E342A" w14:textId="77777777" w:rsidR="00506FF3" w:rsidRDefault="00506FF3">
      <w:pPr>
        <w:tabs>
          <w:tab w:val="clear" w:pos="425"/>
        </w:tabs>
        <w:spacing w:after="160"/>
      </w:pPr>
      <w:r>
        <w:br w:type="page"/>
      </w:r>
    </w:p>
    <w:p w14:paraId="7E29E69D" w14:textId="03C265C5" w:rsidR="00A42F56" w:rsidRDefault="00A42F56" w:rsidP="00506FF3"/>
    <w:p w14:paraId="3FFAF315" w14:textId="0DF5B300" w:rsidR="00A42F56" w:rsidRDefault="00F24420" w:rsidP="00A42F56">
      <w:r>
        <w:t>orienta</w:t>
      </w:r>
      <w:r w:rsidR="00CC762C">
        <w:t>r</w:t>
      </w:r>
      <w:r>
        <w:t xml:space="preserve"> de</w:t>
      </w:r>
      <w:r w:rsidR="00A42F56">
        <w:t xml:space="preserve"> la mente hacia ese mismo signo, y </w:t>
      </w:r>
      <w:r w:rsidR="001578C1">
        <w:t xml:space="preserve">surgirá </w:t>
      </w:r>
      <w:r w:rsidR="00CC762C">
        <w:t>la sustentación mental</w:t>
      </w:r>
      <w:r w:rsidR="00A42F56">
        <w:t xml:space="preserve"> </w:t>
      </w:r>
      <w:r w:rsidR="001543C0">
        <w:t xml:space="preserve">con la característica de </w:t>
      </w:r>
      <w:r w:rsidR="00A42F56">
        <w:t>cumpli</w:t>
      </w:r>
      <w:r w:rsidR="00414D85">
        <w:t>r</w:t>
      </w:r>
      <w:r w:rsidR="00A42F56">
        <w:t xml:space="preserve"> la función de presionar el signo, y </w:t>
      </w:r>
      <w:r w:rsidR="002A425C">
        <w:t xml:space="preserve">la </w:t>
      </w:r>
      <w:r w:rsidR="00A42F56">
        <w:t xml:space="preserve">felicidad debido a la adquisición de </w:t>
      </w:r>
      <w:r w:rsidR="002A425C">
        <w:t xml:space="preserve">la </w:t>
      </w:r>
      <w:r w:rsidR="00A42F56">
        <w:t xml:space="preserve">distinción, y </w:t>
      </w:r>
      <w:r w:rsidR="002A425C">
        <w:t xml:space="preserve">la </w:t>
      </w:r>
      <w:r w:rsidR="00A42F56">
        <w:t xml:space="preserve">tranquilidad debido a la producción de </w:t>
      </w:r>
      <w:r w:rsidR="00CF042B">
        <w:t xml:space="preserve">la </w:t>
      </w:r>
      <w:r w:rsidR="00A42F56">
        <w:t xml:space="preserve">tranquilidad en alguien cuya mente </w:t>
      </w:r>
      <w:r w:rsidR="002A425C">
        <w:t xml:space="preserve">sea </w:t>
      </w:r>
      <w:r w:rsidR="00A42F56">
        <w:t xml:space="preserve">feliz, y </w:t>
      </w:r>
      <w:r w:rsidR="001578C1">
        <w:t xml:space="preserve">surgirá la </w:t>
      </w:r>
      <w:r w:rsidR="00CF042B">
        <w:t>dicha</w:t>
      </w:r>
      <w:r w:rsidR="00A42F56">
        <w:t xml:space="preserve"> con esa tranquilidad como su signo, [190] y la unificación que tiene </w:t>
      </w:r>
      <w:r w:rsidR="00CF042B">
        <w:t xml:space="preserve">a </w:t>
      </w:r>
      <w:r w:rsidR="00A42F56">
        <w:t xml:space="preserve">la dicha como su signo debido a la producción de </w:t>
      </w:r>
      <w:r w:rsidR="00CF042B">
        <w:t xml:space="preserve">la </w:t>
      </w:r>
      <w:r w:rsidR="00A42F56">
        <w:t xml:space="preserve">concentración en alguien cuya mente </w:t>
      </w:r>
      <w:r w:rsidR="00CF042B">
        <w:t xml:space="preserve">sea </w:t>
      </w:r>
      <w:r w:rsidR="00A42F56">
        <w:t xml:space="preserve">dichosa. Entonces </w:t>
      </w:r>
      <w:r w:rsidR="001578C1">
        <w:t xml:space="preserve">se manifestarán </w:t>
      </w:r>
      <w:r w:rsidR="00A42F56">
        <w:t xml:space="preserve">los factores </w:t>
      </w:r>
      <w:proofErr w:type="spellStart"/>
      <w:r w:rsidR="00057BF4" w:rsidRPr="00057BF4">
        <w:rPr>
          <w:i/>
          <w:iCs/>
        </w:rPr>
        <w:t>jhān</w:t>
      </w:r>
      <w:r w:rsidR="00CF042B">
        <w:rPr>
          <w:i/>
          <w:iCs/>
        </w:rPr>
        <w:t>icos</w:t>
      </w:r>
      <w:proofErr w:type="spellEnd"/>
      <w:r w:rsidR="00A42F56">
        <w:t>.</w:t>
      </w:r>
    </w:p>
    <w:p w14:paraId="194C3636" w14:textId="428399EE" w:rsidR="00A42F56" w:rsidRDefault="00A42F56" w:rsidP="00A42F56">
      <w:r>
        <w:t xml:space="preserve">68. </w:t>
      </w:r>
      <w:r w:rsidR="007B6BFC">
        <w:tab/>
      </w:r>
      <w:r>
        <w:t xml:space="preserve">Así, el acceso, que es el anverso del primer </w:t>
      </w:r>
      <w:proofErr w:type="spellStart"/>
      <w:r w:rsidR="00057BF4" w:rsidRPr="00057BF4">
        <w:rPr>
          <w:i/>
          <w:iCs/>
        </w:rPr>
        <w:t>jhāna</w:t>
      </w:r>
      <w:proofErr w:type="spellEnd"/>
      <w:r>
        <w:t>, se produc</w:t>
      </w:r>
      <w:r w:rsidR="00F60B63">
        <w:t>irá</w:t>
      </w:r>
      <w:r>
        <w:t xml:space="preserve"> en él también en ese mismo momento. Todo </w:t>
      </w:r>
      <w:r w:rsidR="00C01799">
        <w:t>al respecto</w:t>
      </w:r>
      <w:r>
        <w:t xml:space="preserve">, hasta la absorción en el primer </w:t>
      </w:r>
      <w:proofErr w:type="spellStart"/>
      <w:r w:rsidR="00057BF4" w:rsidRPr="00057BF4">
        <w:rPr>
          <w:i/>
          <w:iCs/>
        </w:rPr>
        <w:t>jhāna</w:t>
      </w:r>
      <w:proofErr w:type="spellEnd"/>
      <w:r>
        <w:t xml:space="preserve"> y el dominio en él, debe</w:t>
      </w:r>
      <w:r w:rsidR="00F60B63">
        <w:t>rá</w:t>
      </w:r>
      <w:r>
        <w:t xml:space="preserve"> entenderse como se describ</w:t>
      </w:r>
      <w:r w:rsidR="00F60B63">
        <w:t>ió en el caso</w:t>
      </w:r>
      <w:r>
        <w:t xml:space="preserve"> </w:t>
      </w:r>
      <w:r w:rsidR="00F60B63">
        <w:t xml:space="preserve">del </w:t>
      </w:r>
      <w:proofErr w:type="spellStart"/>
      <w:r w:rsidR="00057BF4" w:rsidRPr="00057BF4">
        <w:rPr>
          <w:i/>
          <w:iCs/>
        </w:rPr>
        <w:t>kasiṇa</w:t>
      </w:r>
      <w:proofErr w:type="spellEnd"/>
      <w:r w:rsidR="00F60B63">
        <w:rPr>
          <w:i/>
          <w:iCs/>
        </w:rPr>
        <w:t xml:space="preserve"> </w:t>
      </w:r>
      <w:r w:rsidR="00F60B63" w:rsidRPr="00F60B63">
        <w:t>tie</w:t>
      </w:r>
      <w:r w:rsidR="00F60B63">
        <w:t>rra</w:t>
      </w:r>
      <w:r>
        <w:t>.</w:t>
      </w:r>
    </w:p>
    <w:p w14:paraId="1BC87755" w14:textId="574D5592" w:rsidR="00A42F56" w:rsidRDefault="00A42F56" w:rsidP="00A42F56">
      <w:r>
        <w:t xml:space="preserve">69. </w:t>
      </w:r>
      <w:r w:rsidR="007B6BFC">
        <w:tab/>
      </w:r>
      <w:r>
        <w:t xml:space="preserve">En cuanto a lo lívido y lo </w:t>
      </w:r>
      <w:r w:rsidR="009D713F">
        <w:t>restante</w:t>
      </w:r>
      <w:r>
        <w:t xml:space="preserve">: la caracterización ya descrita, comenzando con </w:t>
      </w:r>
      <w:r w:rsidR="004E67B2">
        <w:t>el pasaje</w:t>
      </w:r>
      <w:r>
        <w:t xml:space="preserve"> que comienza "Aquel que est</w:t>
      </w:r>
      <w:r w:rsidR="004E67B2">
        <w:t>é</w:t>
      </w:r>
      <w:r>
        <w:t xml:space="preserve"> aprendiendo el signo </w:t>
      </w:r>
      <w:r w:rsidR="00211A39">
        <w:t xml:space="preserve">de la repugnancia </w:t>
      </w:r>
      <w:r w:rsidR="004E67B2">
        <w:t xml:space="preserve">de lo </w:t>
      </w:r>
      <w:r>
        <w:t>hincha</w:t>
      </w:r>
      <w:r w:rsidR="00F60B63">
        <w:t>d</w:t>
      </w:r>
      <w:r>
        <w:t xml:space="preserve">o </w:t>
      </w:r>
      <w:r w:rsidR="00211A39">
        <w:t>irá</w:t>
      </w:r>
      <w:r>
        <w:t xml:space="preserve"> solo </w:t>
      </w:r>
      <w:r w:rsidR="00211A39">
        <w:t xml:space="preserve">y </w:t>
      </w:r>
      <w:r>
        <w:t xml:space="preserve">sin compañía, con una atención incesante </w:t>
      </w:r>
      <w:r w:rsidR="00211A39">
        <w:t xml:space="preserve">y </w:t>
      </w:r>
      <w:r>
        <w:t>establecida" (§19), debe</w:t>
      </w:r>
      <w:r w:rsidR="00211A39">
        <w:t>rá</w:t>
      </w:r>
      <w:r>
        <w:t xml:space="preserve"> ent</w:t>
      </w:r>
      <w:r w:rsidR="00211A39">
        <w:t>e</w:t>
      </w:r>
      <w:r>
        <w:t>nd</w:t>
      </w:r>
      <w:r w:rsidR="00211A39">
        <w:t>er</w:t>
      </w:r>
      <w:r>
        <w:t>se todo con su exposición e intención, sustituyendo la palabra “</w:t>
      </w:r>
      <w:r w:rsidR="00CA16D4">
        <w:t xml:space="preserve">lo </w:t>
      </w:r>
      <w:r>
        <w:t>hinchado” por la palabra adecuada en cada caso así: “El que est</w:t>
      </w:r>
      <w:r w:rsidR="00211A39">
        <w:t>é</w:t>
      </w:r>
      <w:r>
        <w:t xml:space="preserve"> aprendiendo </w:t>
      </w:r>
      <w:r w:rsidR="00211A39">
        <w:t xml:space="preserve">el signo de la inmundicia de lo </w:t>
      </w:r>
      <w:r>
        <w:t>lívid</w:t>
      </w:r>
      <w:r w:rsidR="00211A39">
        <w:t>o</w:t>
      </w:r>
      <w:r>
        <w:t xml:space="preserve"> …”, “El que est</w:t>
      </w:r>
      <w:r w:rsidR="00211A39">
        <w:t>é</w:t>
      </w:r>
      <w:r>
        <w:t xml:space="preserve"> aprendiendo </w:t>
      </w:r>
      <w:r w:rsidR="00211A39">
        <w:t>el signo de la repugnancia de lo supurado</w:t>
      </w:r>
      <w:r>
        <w:t xml:space="preserve"> …”</w:t>
      </w:r>
      <w:r w:rsidR="00CA16D4">
        <w:t>, etc.</w:t>
      </w:r>
      <w:r>
        <w:t xml:space="preserve"> </w:t>
      </w:r>
      <w:r w:rsidR="00211A39">
        <w:t xml:space="preserve">No obstante, </w:t>
      </w:r>
      <w:r>
        <w:t xml:space="preserve">las diferencias </w:t>
      </w:r>
      <w:r w:rsidR="00211A39">
        <w:t xml:space="preserve">serán </w:t>
      </w:r>
      <w:r>
        <w:t>las siguientes.</w:t>
      </w:r>
    </w:p>
    <w:p w14:paraId="7496B6D1" w14:textId="2E9BB724" w:rsidR="00A42F56" w:rsidRDefault="007B6BFC" w:rsidP="007B6BFC">
      <w:pPr>
        <w:pStyle w:val="Ttulo3"/>
        <w:ind w:left="708"/>
      </w:pPr>
      <w:r>
        <w:t>[</w:t>
      </w:r>
      <w:r w:rsidR="00EB7EA2">
        <w:t>Lo</w:t>
      </w:r>
      <w:r>
        <w:t xml:space="preserve"> </w:t>
      </w:r>
      <w:r w:rsidR="00C33F2B">
        <w:t>Lívido</w:t>
      </w:r>
      <w:r>
        <w:t>]</w:t>
      </w:r>
    </w:p>
    <w:p w14:paraId="54F05FF1" w14:textId="5927BAF7" w:rsidR="00A42F56" w:rsidRDefault="00A42F56" w:rsidP="00A42F56">
      <w:r>
        <w:t xml:space="preserve">70. </w:t>
      </w:r>
      <w:r w:rsidR="009156D6">
        <w:tab/>
      </w:r>
      <w:r w:rsidRPr="00EB7EA2">
        <w:rPr>
          <w:i/>
          <w:iCs/>
        </w:rPr>
        <w:t>Lo lívido</w:t>
      </w:r>
      <w:r>
        <w:t xml:space="preserve"> debe </w:t>
      </w:r>
      <w:r w:rsidR="00EB7EA2">
        <w:t>evocarse en la</w:t>
      </w:r>
      <w:r w:rsidR="00AF221E">
        <w:t xml:space="preserve"> </w:t>
      </w:r>
      <w:r w:rsidR="00EB7EA2">
        <w:t xml:space="preserve">mente </w:t>
      </w:r>
      <w:r w:rsidR="00DA4B63">
        <w:t>así</w:t>
      </w:r>
      <w:r>
        <w:t xml:space="preserve"> “Repugnancia de l</w:t>
      </w:r>
      <w:r w:rsidR="00EB7EA2">
        <w:t>o</w:t>
      </w:r>
      <w:r>
        <w:t xml:space="preserve"> lívid</w:t>
      </w:r>
      <w:r w:rsidR="00EB7EA2">
        <w:t>o</w:t>
      </w:r>
      <w:r>
        <w:t>, repugnancia de l</w:t>
      </w:r>
      <w:r w:rsidR="00EB7EA2">
        <w:t>o</w:t>
      </w:r>
      <w:r>
        <w:t xml:space="preserve"> lívid</w:t>
      </w:r>
      <w:r w:rsidR="00CA16D4">
        <w:t>o</w:t>
      </w:r>
      <w:r>
        <w:t>”. Aquí el signo de aprendizaje aparece</w:t>
      </w:r>
      <w:r w:rsidR="00AF221E">
        <w:t>rá</w:t>
      </w:r>
      <w:r>
        <w:t xml:space="preserve"> manchado de </w:t>
      </w:r>
      <w:r w:rsidR="00AF221E">
        <w:t xml:space="preserve">un </w:t>
      </w:r>
      <w:r>
        <w:t xml:space="preserve">color; pero la apariencia del signo contraparte </w:t>
      </w:r>
      <w:r w:rsidR="00AF221E">
        <w:t>tendrá</w:t>
      </w:r>
      <w:r>
        <w:t xml:space="preserve"> el color que prevale</w:t>
      </w:r>
      <w:r w:rsidR="00AF221E">
        <w:t>zca</w:t>
      </w:r>
      <w:r>
        <w:t>.</w:t>
      </w:r>
    </w:p>
    <w:p w14:paraId="249D8FAC" w14:textId="65C62195" w:rsidR="00A42F56" w:rsidRDefault="007B6BFC" w:rsidP="007B6BFC">
      <w:pPr>
        <w:pStyle w:val="Ttulo3"/>
        <w:ind w:left="708"/>
      </w:pPr>
      <w:r>
        <w:t>[</w:t>
      </w:r>
      <w:r w:rsidR="00D3455E">
        <w:t>L</w:t>
      </w:r>
      <w:r w:rsidR="00AF221E">
        <w:t>o</w:t>
      </w:r>
      <w:r w:rsidR="00D3455E">
        <w:t xml:space="preserve"> Supura</w:t>
      </w:r>
      <w:r w:rsidR="00AF221E">
        <w:t>do</w:t>
      </w:r>
      <w:r>
        <w:t>]</w:t>
      </w:r>
    </w:p>
    <w:p w14:paraId="4B9D7B45" w14:textId="757DEB5D" w:rsidR="00A42F56" w:rsidRDefault="00A42F56" w:rsidP="00A42F56">
      <w:r>
        <w:t xml:space="preserve">71. </w:t>
      </w:r>
      <w:r w:rsidR="009156D6">
        <w:tab/>
      </w:r>
      <w:r>
        <w:t>L</w:t>
      </w:r>
      <w:r w:rsidR="00AF221E">
        <w:t>o</w:t>
      </w:r>
      <w:r>
        <w:t xml:space="preserve"> supur</w:t>
      </w:r>
      <w:r w:rsidR="00AF221E">
        <w:t>ado</w:t>
      </w:r>
      <w:r>
        <w:t xml:space="preserve"> debe</w:t>
      </w:r>
      <w:r w:rsidR="00AF221E">
        <w:t>rá</w:t>
      </w:r>
      <w:r>
        <w:t xml:space="preserve"> </w:t>
      </w:r>
      <w:r w:rsidR="00AF221E">
        <w:t xml:space="preserve">evocarse en la mente </w:t>
      </w:r>
      <w:r>
        <w:t>como "</w:t>
      </w:r>
      <w:r w:rsidR="00AF221E">
        <w:t xml:space="preserve">Repugnancia </w:t>
      </w:r>
      <w:r>
        <w:t>de l</w:t>
      </w:r>
      <w:r w:rsidR="00AF221E">
        <w:t>o</w:t>
      </w:r>
      <w:r>
        <w:t xml:space="preserve"> supura</w:t>
      </w:r>
      <w:r w:rsidR="00AF221E">
        <w:t>do</w:t>
      </w:r>
      <w:r>
        <w:t xml:space="preserve">, </w:t>
      </w:r>
      <w:r w:rsidR="00AF221E" w:rsidRPr="00AF221E">
        <w:t>repugnancia de lo supurado</w:t>
      </w:r>
      <w:r>
        <w:t>". Aquí el signo de aprendizaje aparece</w:t>
      </w:r>
      <w:r w:rsidR="00AF221E">
        <w:t>rá</w:t>
      </w:r>
      <w:r>
        <w:t xml:space="preserve"> </w:t>
      </w:r>
      <w:r w:rsidR="00827B43">
        <w:t>a través del</w:t>
      </w:r>
      <w:r>
        <w:t xml:space="preserve"> gote</w:t>
      </w:r>
      <w:r w:rsidR="00827B43">
        <w:t>o</w:t>
      </w:r>
      <w:r>
        <w:t>; pero el signo contraparte aparece</w:t>
      </w:r>
      <w:r w:rsidR="00827B43">
        <w:t>rá</w:t>
      </w:r>
      <w:r>
        <w:t xml:space="preserve"> inmóvil y silencioso.</w:t>
      </w:r>
    </w:p>
    <w:p w14:paraId="738EF256" w14:textId="0FEDD088" w:rsidR="00A42F56" w:rsidRDefault="007B6BFC" w:rsidP="007B6BFC">
      <w:pPr>
        <w:pStyle w:val="Ttulo3"/>
        <w:ind w:left="708"/>
      </w:pPr>
      <w:r>
        <w:t>[</w:t>
      </w:r>
      <w:r w:rsidR="00827B43">
        <w:t>Lo</w:t>
      </w:r>
      <w:r>
        <w:t xml:space="preserve"> Cort</w:t>
      </w:r>
      <w:r w:rsidR="00827B43">
        <w:t>ado</w:t>
      </w:r>
      <w:r>
        <w:t>]</w:t>
      </w:r>
    </w:p>
    <w:p w14:paraId="4DF3B923" w14:textId="764B1013" w:rsidR="00A42F56" w:rsidRDefault="00A42F56" w:rsidP="00A42F56">
      <w:r>
        <w:t xml:space="preserve">72. </w:t>
      </w:r>
      <w:r w:rsidR="009156D6">
        <w:tab/>
      </w:r>
      <w:r w:rsidR="00827B43" w:rsidRPr="00827B43">
        <w:t xml:space="preserve">Lo cortado </w:t>
      </w:r>
      <w:r w:rsidR="00DA4B63">
        <w:t xml:space="preserve">será lo que </w:t>
      </w:r>
      <w:r>
        <w:t>se enc</w:t>
      </w:r>
      <w:r w:rsidR="00DA4B63">
        <w:t>ue</w:t>
      </w:r>
      <w:r>
        <w:t>ntr</w:t>
      </w:r>
      <w:r w:rsidR="00DA4B63">
        <w:t>e</w:t>
      </w:r>
      <w:r>
        <w:t xml:space="preserve"> en un campo de batalla</w:t>
      </w:r>
      <w:r w:rsidR="00DA4B63">
        <w:t>,</w:t>
      </w:r>
      <w:r>
        <w:t xml:space="preserve"> en un bosque de ladrones</w:t>
      </w:r>
      <w:r w:rsidR="00DA4B63">
        <w:t>,</w:t>
      </w:r>
      <w:r>
        <w:t xml:space="preserve"> en un osario donde los reyes ha</w:t>
      </w:r>
      <w:r w:rsidR="00804C33">
        <w:t>ya</w:t>
      </w:r>
      <w:r>
        <w:t xml:space="preserve">n </w:t>
      </w:r>
      <w:r w:rsidR="0027335F">
        <w:t xml:space="preserve">hecho </w:t>
      </w:r>
      <w:r>
        <w:t xml:space="preserve">cortar a los ladrones o en </w:t>
      </w:r>
      <w:r w:rsidR="00EA0903">
        <w:t>algú</w:t>
      </w:r>
      <w:r>
        <w:t xml:space="preserve">n lugar </w:t>
      </w:r>
      <w:r w:rsidR="00EA0903">
        <w:t xml:space="preserve">de la selva </w:t>
      </w:r>
      <w:r>
        <w:t xml:space="preserve">donde los hombres </w:t>
      </w:r>
      <w:r w:rsidR="0027335F">
        <w:t>haya</w:t>
      </w:r>
      <w:r w:rsidR="00F403E6">
        <w:t>n</w:t>
      </w:r>
      <w:r w:rsidR="0027335F">
        <w:t xml:space="preserve"> sido </w:t>
      </w:r>
      <w:r w:rsidR="00C15F2B">
        <w:t>devorados</w:t>
      </w:r>
      <w:r>
        <w:t xml:space="preserve"> por leones y tigres. Entonces, si cuando </w:t>
      </w:r>
      <w:r w:rsidR="0027335F">
        <w:t xml:space="preserve">él </w:t>
      </w:r>
      <w:r w:rsidR="00F403E6">
        <w:t>visitara tal lugar</w:t>
      </w:r>
      <w:r>
        <w:t>, se enfoca</w:t>
      </w:r>
      <w:r w:rsidR="002B7E24">
        <w:t>se</w:t>
      </w:r>
      <w:r>
        <w:t xml:space="preserve"> en </w:t>
      </w:r>
      <w:r w:rsidR="00F403E6">
        <w:t>la advertencia</w:t>
      </w:r>
      <w:r>
        <w:t xml:space="preserve"> </w:t>
      </w:r>
      <w:r w:rsidR="00967CD4">
        <w:t xml:space="preserve">mental, </w:t>
      </w:r>
      <w:r>
        <w:t xml:space="preserve">aunque </w:t>
      </w:r>
      <w:r w:rsidR="008B1342">
        <w:t xml:space="preserve">yazca </w:t>
      </w:r>
      <w:r>
        <w:t xml:space="preserve">en diferentes lugares, eso </w:t>
      </w:r>
      <w:r w:rsidR="00627513">
        <w:t>será</w:t>
      </w:r>
      <w:r w:rsidR="00F403E6">
        <w:t xml:space="preserve"> </w:t>
      </w:r>
      <w:r w:rsidR="00627513">
        <w:t>suficiente</w:t>
      </w:r>
      <w:r>
        <w:t xml:space="preserve">. Si no, </w:t>
      </w:r>
      <w:r w:rsidR="00967CD4">
        <w:t xml:space="preserve">entonces </w:t>
      </w:r>
      <w:r>
        <w:t xml:space="preserve">no </w:t>
      </w:r>
      <w:r w:rsidR="00F403E6">
        <w:t xml:space="preserve">deberá </w:t>
      </w:r>
      <w:r>
        <w:t>tocarlo con su propia mano; porque al hacerlo se familiarizaría con él.</w:t>
      </w:r>
      <w:r w:rsidRPr="00185589">
        <w:rPr>
          <w:vertAlign w:val="superscript"/>
        </w:rPr>
        <w:t>11</w:t>
      </w:r>
      <w:r>
        <w:t xml:space="preserve"> Debe</w:t>
      </w:r>
      <w:r w:rsidR="00C15F2B">
        <w:t>rá</w:t>
      </w:r>
      <w:r>
        <w:t xml:space="preserve"> conseguir</w:t>
      </w:r>
      <w:r w:rsidR="00C15F2B">
        <w:t>se</w:t>
      </w:r>
      <w:r>
        <w:t xml:space="preserve"> un asistente del monasterio</w:t>
      </w:r>
      <w:r w:rsidR="00C15F2B">
        <w:t>,</w:t>
      </w:r>
      <w:r>
        <w:t xml:space="preserve"> </w:t>
      </w:r>
      <w:r w:rsidR="00C15F2B">
        <w:t>alguien</w:t>
      </w:r>
      <w:r>
        <w:t xml:space="preserve"> que esté estudiando para convertirse en asceta o </w:t>
      </w:r>
      <w:r w:rsidR="00C15F2B">
        <w:t xml:space="preserve">alguna otra persona </w:t>
      </w:r>
      <w:r>
        <w:t xml:space="preserve">más </w:t>
      </w:r>
      <w:r w:rsidR="001B7C92">
        <w:t>con el objeto de</w:t>
      </w:r>
      <w:r>
        <w:t xml:space="preserve"> </w:t>
      </w:r>
      <w:r w:rsidR="001B7C92">
        <w:t xml:space="preserve">recolectar </w:t>
      </w:r>
      <w:r>
        <w:t>todo</w:t>
      </w:r>
      <w:r w:rsidR="001B7C92">
        <w:t>s los miembros</w:t>
      </w:r>
      <w:r>
        <w:t xml:space="preserve"> junto</w:t>
      </w:r>
      <w:r w:rsidR="001B7C92">
        <w:t>s</w:t>
      </w:r>
      <w:r>
        <w:t xml:space="preserve"> en un solo lugar. Si no enc</w:t>
      </w:r>
      <w:r w:rsidR="001B7C92">
        <w:t>o</w:t>
      </w:r>
      <w:r>
        <w:t>ntra</w:t>
      </w:r>
      <w:r w:rsidR="001B7C92">
        <w:t>se</w:t>
      </w:r>
      <w:r>
        <w:t xml:space="preserve"> a nadie que lo haga, </w:t>
      </w:r>
      <w:r w:rsidR="00FB5F10">
        <w:t xml:space="preserve">deberá </w:t>
      </w:r>
      <w:r w:rsidR="001B7C92">
        <w:t>re</w:t>
      </w:r>
      <w:r>
        <w:t>unirlo</w:t>
      </w:r>
      <w:r w:rsidR="001B7C92">
        <w:t>s</w:t>
      </w:r>
      <w:r>
        <w:t xml:space="preserve"> con un bastón o un </w:t>
      </w:r>
      <w:r w:rsidR="00FB5F10">
        <w:t>garrote</w:t>
      </w:r>
      <w:r>
        <w:t xml:space="preserve"> de tal manera que solo haya un dedo de separación [</w:t>
      </w:r>
      <w:r w:rsidR="00FB5F10">
        <w:t xml:space="preserve">entre </w:t>
      </w:r>
      <w:r>
        <w:t>las partes]. Habi</w:t>
      </w:r>
      <w:r w:rsidR="001636CC">
        <w:t>e</w:t>
      </w:r>
      <w:r>
        <w:t>ndo reunido así</w:t>
      </w:r>
      <w:r w:rsidR="001636CC">
        <w:t xml:space="preserve"> todas las partes de los cadáveres</w:t>
      </w:r>
      <w:r>
        <w:t>, deber</w:t>
      </w:r>
      <w:r w:rsidR="00FB5F10">
        <w:t>á</w:t>
      </w:r>
      <w:r>
        <w:t xml:space="preserve"> </w:t>
      </w:r>
      <w:r w:rsidR="00FB5F10">
        <w:t>evocarlo en</w:t>
      </w:r>
      <w:r>
        <w:t xml:space="preserve"> la mente como "</w:t>
      </w:r>
      <w:r w:rsidR="00FB5F10">
        <w:t xml:space="preserve">Repugnancia </w:t>
      </w:r>
      <w:r w:rsidR="001636CC">
        <w:t>sobre</w:t>
      </w:r>
      <w:r>
        <w:t xml:space="preserve"> lo cortado, </w:t>
      </w:r>
      <w:r w:rsidR="00FB5F10">
        <w:t xml:space="preserve">repugnancia </w:t>
      </w:r>
      <w:r w:rsidR="001636CC">
        <w:t xml:space="preserve">sobre </w:t>
      </w:r>
      <w:r>
        <w:t>lo cortado". Aquí, el signo de aprendizaje aparece</w:t>
      </w:r>
      <w:r w:rsidR="00FB5F10">
        <w:t>rá</w:t>
      </w:r>
      <w:r>
        <w:t xml:space="preserve"> como cortado por la mitad; pero el signo contraparte aparece</w:t>
      </w:r>
      <w:r w:rsidR="00FB5F10">
        <w:t>rá</w:t>
      </w:r>
      <w:r>
        <w:t xml:space="preserve"> completo. [191]</w:t>
      </w:r>
    </w:p>
    <w:p w14:paraId="36D8A678" w14:textId="77777777" w:rsidR="00A42F56" w:rsidRDefault="00A42F56" w:rsidP="00A42F56">
      <w:pPr>
        <w:pStyle w:val="PiedepginaLegal"/>
        <w:rPr>
          <w:u w:val="single"/>
        </w:rPr>
      </w:pPr>
      <w:r>
        <w:rPr>
          <w:u w:val="single"/>
        </w:rPr>
        <w:tab/>
      </w:r>
      <w:r>
        <w:rPr>
          <w:u w:val="single"/>
        </w:rPr>
        <w:tab/>
      </w:r>
      <w:r>
        <w:rPr>
          <w:u w:val="single"/>
        </w:rPr>
        <w:tab/>
      </w:r>
      <w:r>
        <w:rPr>
          <w:u w:val="single"/>
        </w:rPr>
        <w:tab/>
        <w:t>.</w:t>
      </w:r>
    </w:p>
    <w:p w14:paraId="0BE80FA8" w14:textId="576F2874" w:rsidR="009156D6" w:rsidRDefault="00A42F56" w:rsidP="001636CC">
      <w:pPr>
        <w:pStyle w:val="PiedepginaLegal"/>
      </w:pPr>
      <w:r>
        <w:t xml:space="preserve">11. </w:t>
      </w:r>
      <w:r>
        <w:tab/>
        <w:t>“Llegaría a manejarlo sin disgusto como lo haría un incinerador de cadáveres” (</w:t>
      </w:r>
      <w:proofErr w:type="spellStart"/>
      <w:r>
        <w:t>Vism-mhṭ</w:t>
      </w:r>
      <w:proofErr w:type="spellEnd"/>
      <w:r>
        <w:t xml:space="preserve"> 176.).</w:t>
      </w:r>
      <w:r w:rsidR="009156D6">
        <w:br w:type="page"/>
      </w:r>
    </w:p>
    <w:p w14:paraId="6A6CFA0B" w14:textId="60F7E635" w:rsidR="008C0E19" w:rsidRPr="008C0E19" w:rsidRDefault="008C0E19" w:rsidP="008C0E19">
      <w:pPr>
        <w:pStyle w:val="Ttulo3"/>
        <w:ind w:left="708"/>
      </w:pPr>
      <w:r w:rsidRPr="008C0E19">
        <w:lastRenderedPageBreak/>
        <w:t>[</w:t>
      </w:r>
      <w:r w:rsidR="00C70C76">
        <w:t>Lo Roído</w:t>
      </w:r>
      <w:r w:rsidRPr="008C0E19">
        <w:t>]</w:t>
      </w:r>
    </w:p>
    <w:p w14:paraId="71C1629E" w14:textId="3C297B3D" w:rsidR="008C0E19" w:rsidRPr="008C0E19" w:rsidRDefault="008C0E19" w:rsidP="008C0E19">
      <w:r w:rsidRPr="008C0E19">
        <w:t xml:space="preserve">73. </w:t>
      </w:r>
      <w:r>
        <w:tab/>
      </w:r>
      <w:r w:rsidRPr="00041D69">
        <w:rPr>
          <w:i/>
          <w:iCs/>
        </w:rPr>
        <w:t>Lo roíd</w:t>
      </w:r>
      <w:r w:rsidRPr="008C0E19">
        <w:t xml:space="preserve">o </w:t>
      </w:r>
      <w:r w:rsidR="00C70C76">
        <w:t>deberá evocarse mentalmente</w:t>
      </w:r>
      <w:r w:rsidRPr="008C0E19">
        <w:t xml:space="preserve"> como “</w:t>
      </w:r>
      <w:r w:rsidR="00C70C76">
        <w:t xml:space="preserve">Repugnancia </w:t>
      </w:r>
      <w:r w:rsidR="001636CC">
        <w:t>sobre</w:t>
      </w:r>
      <w:r w:rsidRPr="008C0E19">
        <w:t xml:space="preserve"> lo roído, </w:t>
      </w:r>
      <w:r w:rsidR="00C70C76">
        <w:t xml:space="preserve">repugnancia </w:t>
      </w:r>
      <w:r w:rsidR="001636CC">
        <w:t>sobre</w:t>
      </w:r>
      <w:r w:rsidR="001636CC" w:rsidRPr="008C0E19">
        <w:t xml:space="preserve"> </w:t>
      </w:r>
      <w:r w:rsidRPr="008C0E19">
        <w:t xml:space="preserve">lo roído”. Aquí el signo de aprendizaje </w:t>
      </w:r>
      <w:r w:rsidR="00C70C76">
        <w:t xml:space="preserve">aparecerá </w:t>
      </w:r>
      <w:r w:rsidRPr="008C0E19">
        <w:t xml:space="preserve">como roído aquí y allá; pero el signo contraparte </w:t>
      </w:r>
      <w:r w:rsidR="00C70C76">
        <w:t xml:space="preserve">aparecerá </w:t>
      </w:r>
      <w:r w:rsidRPr="008C0E19">
        <w:t>completo.</w:t>
      </w:r>
    </w:p>
    <w:p w14:paraId="22F13372" w14:textId="2E7DA4F1" w:rsidR="008C0E19" w:rsidRPr="008C0E19" w:rsidRDefault="008C0E19" w:rsidP="00185589">
      <w:pPr>
        <w:pStyle w:val="Ttulo3"/>
        <w:spacing w:before="160"/>
        <w:ind w:left="709"/>
      </w:pPr>
      <w:r w:rsidRPr="008C0E19">
        <w:t>[Lo</w:t>
      </w:r>
      <w:r w:rsidR="00C70C76">
        <w:t xml:space="preserve"> </w:t>
      </w:r>
      <w:r w:rsidRPr="008C0E19">
        <w:t>Disperso]</w:t>
      </w:r>
    </w:p>
    <w:p w14:paraId="1A4F738F" w14:textId="3E1D2DED" w:rsidR="008C0E19" w:rsidRPr="008C0E19" w:rsidRDefault="008C0E19" w:rsidP="008C0E19">
      <w:r w:rsidRPr="008C0E19">
        <w:t xml:space="preserve">74. </w:t>
      </w:r>
      <w:r>
        <w:tab/>
      </w:r>
      <w:r w:rsidRPr="008C0E19">
        <w:t xml:space="preserve">Después de juntar </w:t>
      </w:r>
      <w:r w:rsidRPr="00041D69">
        <w:rPr>
          <w:i/>
          <w:iCs/>
        </w:rPr>
        <w:t>lo disperso</w:t>
      </w:r>
      <w:r w:rsidRPr="008C0E19">
        <w:t xml:space="preserve"> o </w:t>
      </w:r>
      <w:r w:rsidR="00C70C76">
        <w:t>reunirlo</w:t>
      </w:r>
      <w:r w:rsidRPr="008C0E19">
        <w:t xml:space="preserve"> de la manera descrita </w:t>
      </w:r>
      <w:r w:rsidR="00C70C76">
        <w:t>en la sección de lo</w:t>
      </w:r>
      <w:r w:rsidRPr="008C0E19">
        <w:t xml:space="preserve"> cort</w:t>
      </w:r>
      <w:r w:rsidR="00C70C76">
        <w:t>ado</w:t>
      </w:r>
      <w:r w:rsidRPr="008C0E19">
        <w:t xml:space="preserve"> </w:t>
      </w:r>
      <w:r w:rsidR="00C70C76">
        <w:t>de tal forma</w:t>
      </w:r>
      <w:r w:rsidRPr="008C0E19">
        <w:t xml:space="preserve"> que</w:t>
      </w:r>
      <w:r w:rsidR="00BC2370">
        <w:t xml:space="preserve"> quede </w:t>
      </w:r>
      <w:r w:rsidRPr="008C0E19">
        <w:t>solo el ancho de un dedo</w:t>
      </w:r>
      <w:r w:rsidR="00BC2370">
        <w:t xml:space="preserve"> entre ellos</w:t>
      </w:r>
      <w:r w:rsidRPr="008C0E19">
        <w:t xml:space="preserve">, separando [las piezas], </w:t>
      </w:r>
      <w:r w:rsidR="00BC2370">
        <w:t>deberá evocarlo mentalmente</w:t>
      </w:r>
      <w:r w:rsidRPr="008C0E19">
        <w:t xml:space="preserve"> como "</w:t>
      </w:r>
      <w:r w:rsidR="00BC2370" w:rsidRPr="00BC2370">
        <w:t xml:space="preserve"> </w:t>
      </w:r>
      <w:r w:rsidR="00BC2370">
        <w:t xml:space="preserve">Repugnancia </w:t>
      </w:r>
      <w:r w:rsidR="00634D3F">
        <w:t>sobre</w:t>
      </w:r>
      <w:r w:rsidR="00634D3F" w:rsidRPr="008C0E19">
        <w:t xml:space="preserve"> </w:t>
      </w:r>
      <w:r w:rsidRPr="008C0E19">
        <w:t xml:space="preserve">lo disperso, </w:t>
      </w:r>
      <w:r w:rsidR="00BC2370">
        <w:t xml:space="preserve">repugnancia </w:t>
      </w:r>
      <w:r w:rsidRPr="008C0E19">
        <w:t>de</w:t>
      </w:r>
      <w:r w:rsidR="00634D3F" w:rsidRPr="00634D3F">
        <w:t xml:space="preserve"> </w:t>
      </w:r>
      <w:r w:rsidR="00634D3F">
        <w:t>sobre</w:t>
      </w:r>
      <w:r w:rsidRPr="008C0E19">
        <w:t xml:space="preserve"> lo disperso.” Aquí </w:t>
      </w:r>
      <w:r w:rsidR="00BC2370">
        <w:t xml:space="preserve">aparecerá </w:t>
      </w:r>
      <w:r w:rsidRPr="008C0E19">
        <w:t xml:space="preserve">el signo del aprendizaje con </w:t>
      </w:r>
      <w:r w:rsidR="009D2080">
        <w:t>los espacios</w:t>
      </w:r>
      <w:r w:rsidRPr="008C0E19">
        <w:t xml:space="preserve"> evidentes; pero el signo de contraparte </w:t>
      </w:r>
      <w:r w:rsidR="009D2080">
        <w:t xml:space="preserve">aparecerá </w:t>
      </w:r>
      <w:r w:rsidRPr="008C0E19">
        <w:t>completo.</w:t>
      </w:r>
    </w:p>
    <w:p w14:paraId="7510F1F0" w14:textId="0921A20D" w:rsidR="008C0E19" w:rsidRPr="008C0E19" w:rsidRDefault="008C0E19" w:rsidP="00185589">
      <w:pPr>
        <w:pStyle w:val="Ttulo3"/>
        <w:spacing w:before="160"/>
        <w:ind w:left="709"/>
      </w:pPr>
      <w:r w:rsidRPr="008C0E19">
        <w:t xml:space="preserve">[Lo </w:t>
      </w:r>
      <w:r w:rsidR="004F1FC1">
        <w:t>Infectado</w:t>
      </w:r>
      <w:r w:rsidRPr="008C0E19">
        <w:t xml:space="preserve"> Y Disperso]</w:t>
      </w:r>
    </w:p>
    <w:p w14:paraId="261E7ED9" w14:textId="55657DDC" w:rsidR="008C0E19" w:rsidRPr="008C0E19" w:rsidRDefault="008C0E19" w:rsidP="008C0E19">
      <w:r w:rsidRPr="008C0E19">
        <w:t xml:space="preserve">75. </w:t>
      </w:r>
      <w:r>
        <w:tab/>
      </w:r>
      <w:r w:rsidRPr="00FA1B59">
        <w:rPr>
          <w:i/>
          <w:iCs/>
        </w:rPr>
        <w:t xml:space="preserve">Lo </w:t>
      </w:r>
      <w:r w:rsidR="004F1FC1" w:rsidRPr="004F1FC1">
        <w:rPr>
          <w:i/>
          <w:iCs/>
        </w:rPr>
        <w:t xml:space="preserve">infectado </w:t>
      </w:r>
      <w:r w:rsidRPr="00FA1B59">
        <w:rPr>
          <w:i/>
          <w:iCs/>
        </w:rPr>
        <w:t xml:space="preserve">y </w:t>
      </w:r>
      <w:r w:rsidR="004F1FC1" w:rsidRPr="004F1FC1">
        <w:rPr>
          <w:i/>
          <w:iCs/>
        </w:rPr>
        <w:t xml:space="preserve">disperso </w:t>
      </w:r>
      <w:r w:rsidR="004F1FC1" w:rsidRPr="008C0E19">
        <w:t xml:space="preserve">se </w:t>
      </w:r>
      <w:r w:rsidRPr="008C0E19">
        <w:t>enc</w:t>
      </w:r>
      <w:r w:rsidR="00634D3F">
        <w:t>on</w:t>
      </w:r>
      <w:r w:rsidRPr="008C0E19">
        <w:t>tra</w:t>
      </w:r>
      <w:r w:rsidR="00634D3F">
        <w:t>rá</w:t>
      </w:r>
      <w:r w:rsidRPr="008C0E19">
        <w:t xml:space="preserve"> en los mismos lugares que los descritos bajo l</w:t>
      </w:r>
      <w:r w:rsidR="004F1FC1">
        <w:t>o</w:t>
      </w:r>
      <w:r w:rsidRPr="008C0E19">
        <w:t xml:space="preserve"> cort</w:t>
      </w:r>
      <w:r w:rsidR="004F1FC1">
        <w:t>ado</w:t>
      </w:r>
      <w:r w:rsidRPr="008C0E19">
        <w:t xml:space="preserve">. Por lo tanto, después de </w:t>
      </w:r>
      <w:r w:rsidR="001550A6">
        <w:t>acudir al lugar</w:t>
      </w:r>
      <w:r w:rsidRPr="008C0E19">
        <w:t xml:space="preserve"> y </w:t>
      </w:r>
      <w:r w:rsidR="001550A6">
        <w:t>juntarlo</w:t>
      </w:r>
      <w:r w:rsidRPr="008C0E19">
        <w:t xml:space="preserve"> o </w:t>
      </w:r>
      <w:r w:rsidR="001550A6">
        <w:t xml:space="preserve">reunirlo </w:t>
      </w:r>
      <w:r w:rsidRPr="008C0E19">
        <w:t xml:space="preserve">de la manera descrita </w:t>
      </w:r>
      <w:r w:rsidR="001550A6">
        <w:t xml:space="preserve">en la sección de lo cortado </w:t>
      </w:r>
      <w:r w:rsidRPr="008C0E19">
        <w:t>para que solo haya un dedo de ancho separando [</w:t>
      </w:r>
      <w:r w:rsidR="001550A6">
        <w:t xml:space="preserve">entre </w:t>
      </w:r>
      <w:r w:rsidRPr="008C0E19">
        <w:t>las piezas], debe</w:t>
      </w:r>
      <w:r w:rsidR="001550A6">
        <w:t>rá</w:t>
      </w:r>
      <w:r w:rsidRPr="008C0E19">
        <w:t xml:space="preserve"> </w:t>
      </w:r>
      <w:r w:rsidR="001550A6">
        <w:t xml:space="preserve">evocar mentalmente </w:t>
      </w:r>
      <w:r w:rsidRPr="008C0E19">
        <w:t>"</w:t>
      </w:r>
      <w:r w:rsidR="001550A6">
        <w:t xml:space="preserve">Repugnancia </w:t>
      </w:r>
      <w:r w:rsidR="00BF6F2B">
        <w:t>sobre</w:t>
      </w:r>
      <w:r w:rsidR="00BF6F2B" w:rsidRPr="008C0E19">
        <w:t xml:space="preserve"> </w:t>
      </w:r>
      <w:r w:rsidRPr="008C0E19">
        <w:t xml:space="preserve">lo </w:t>
      </w:r>
      <w:r w:rsidR="001550A6" w:rsidRPr="001550A6">
        <w:t>infectado y disperso</w:t>
      </w:r>
      <w:r w:rsidR="001550A6">
        <w:t>,</w:t>
      </w:r>
      <w:r w:rsidRPr="008C0E19">
        <w:t xml:space="preserve"> </w:t>
      </w:r>
      <w:r w:rsidR="001550A6">
        <w:t xml:space="preserve">repugnancia </w:t>
      </w:r>
      <w:r w:rsidR="00BF6F2B">
        <w:t>sobre</w:t>
      </w:r>
      <w:r w:rsidR="00BF6F2B" w:rsidRPr="008C0E19">
        <w:t xml:space="preserve"> </w:t>
      </w:r>
      <w:r w:rsidRPr="008C0E19">
        <w:t xml:space="preserve">lo </w:t>
      </w:r>
      <w:r w:rsidR="001550A6" w:rsidRPr="001550A6">
        <w:t>infectado y disperso</w:t>
      </w:r>
      <w:r w:rsidRPr="008C0E19">
        <w:t>.” Aquí, cuando el signo del aprendizaje se ha</w:t>
      </w:r>
      <w:r w:rsidR="001550A6">
        <w:t>ga</w:t>
      </w:r>
      <w:r w:rsidRPr="008C0E19">
        <w:t xml:space="preserve"> evidente, lo </w:t>
      </w:r>
      <w:r w:rsidR="001550A6">
        <w:t>hará</w:t>
      </w:r>
      <w:r w:rsidRPr="008C0E19">
        <w:t xml:space="preserve"> con las fisuras de las heridas; pero el signo contraparte </w:t>
      </w:r>
      <w:r w:rsidR="001550A6">
        <w:t xml:space="preserve">aparecerá </w:t>
      </w:r>
      <w:r w:rsidRPr="008C0E19">
        <w:t>completo.</w:t>
      </w:r>
    </w:p>
    <w:p w14:paraId="7AF50BA4" w14:textId="77E8DEB0" w:rsidR="008C0E19" w:rsidRPr="008C0E19" w:rsidRDefault="008C0E19" w:rsidP="00185589">
      <w:pPr>
        <w:pStyle w:val="Ttulo3"/>
        <w:spacing w:before="160"/>
        <w:ind w:left="709"/>
      </w:pPr>
      <w:r w:rsidRPr="008C0E19">
        <w:t>[</w:t>
      </w:r>
      <w:r w:rsidR="001550A6">
        <w:t>Lo</w:t>
      </w:r>
      <w:r w:rsidRPr="008C0E19">
        <w:t xml:space="preserve"> Sangrado]</w:t>
      </w:r>
    </w:p>
    <w:p w14:paraId="25CC975A" w14:textId="30039030" w:rsidR="008C0E19" w:rsidRPr="008C0E19" w:rsidRDefault="008C0E19" w:rsidP="008C0E19">
      <w:r w:rsidRPr="008C0E19">
        <w:t xml:space="preserve">76. </w:t>
      </w:r>
      <w:r>
        <w:tab/>
      </w:r>
      <w:r w:rsidR="00FA1B59" w:rsidRPr="00FA1B59">
        <w:rPr>
          <w:i/>
          <w:iCs/>
        </w:rPr>
        <w:t>Lo</w:t>
      </w:r>
      <w:r w:rsidRPr="00FA1B59">
        <w:rPr>
          <w:i/>
          <w:iCs/>
        </w:rPr>
        <w:t xml:space="preserve"> sangrado</w:t>
      </w:r>
      <w:r w:rsidRPr="008C0E19">
        <w:t xml:space="preserve"> se enc</w:t>
      </w:r>
      <w:r w:rsidR="001550A6">
        <w:t>o</w:t>
      </w:r>
      <w:r w:rsidRPr="008C0E19">
        <w:t>ntra</w:t>
      </w:r>
      <w:r w:rsidR="001550A6">
        <w:t>rá</w:t>
      </w:r>
      <w:r w:rsidRPr="008C0E19">
        <w:t xml:space="preserve"> en el momento en que [la sangre] gote</w:t>
      </w:r>
      <w:r w:rsidR="001550A6">
        <w:t>e</w:t>
      </w:r>
      <w:r w:rsidRPr="008C0E19">
        <w:t xml:space="preserve"> de las aberturas de las heridas recibidas en los campos de batalla, etc., o de las aberturas de los forúnculos reventados y los abscesos </w:t>
      </w:r>
      <w:r w:rsidR="001550A6">
        <w:t>donde</w:t>
      </w:r>
      <w:r w:rsidRPr="008C0E19">
        <w:t xml:space="preserve"> las manos y los pies ha</w:t>
      </w:r>
      <w:r w:rsidR="001550A6">
        <w:t>ya</w:t>
      </w:r>
      <w:r w:rsidRPr="008C0E19">
        <w:t xml:space="preserve">n sido cortados. Entonces, al ver eso, </w:t>
      </w:r>
      <w:r w:rsidR="001550A6">
        <w:t>deberá evocarse mentalmente</w:t>
      </w:r>
      <w:r w:rsidRPr="008C0E19">
        <w:t xml:space="preserve"> como "</w:t>
      </w:r>
      <w:r w:rsidR="001550A6" w:rsidRPr="001550A6">
        <w:t xml:space="preserve"> </w:t>
      </w:r>
      <w:r w:rsidR="001550A6">
        <w:t xml:space="preserve">Repugnancia </w:t>
      </w:r>
      <w:r w:rsidR="002228C0">
        <w:t>sobre</w:t>
      </w:r>
      <w:r w:rsidR="002228C0" w:rsidRPr="008C0E19">
        <w:t xml:space="preserve"> </w:t>
      </w:r>
      <w:r w:rsidRPr="008C0E19">
        <w:t>l</w:t>
      </w:r>
      <w:r w:rsidR="001550A6">
        <w:t>o</w:t>
      </w:r>
      <w:r w:rsidRPr="008C0E19">
        <w:t xml:space="preserve"> sangrado, </w:t>
      </w:r>
      <w:r w:rsidR="001550A6">
        <w:t xml:space="preserve">repugnancia </w:t>
      </w:r>
      <w:r w:rsidR="002228C0">
        <w:t>sobre</w:t>
      </w:r>
      <w:r w:rsidR="002228C0" w:rsidRPr="008C0E19">
        <w:t xml:space="preserve"> </w:t>
      </w:r>
      <w:r w:rsidRPr="008C0E19">
        <w:t>l</w:t>
      </w:r>
      <w:r w:rsidR="001550A6">
        <w:t>o</w:t>
      </w:r>
      <w:r w:rsidRPr="008C0E19">
        <w:t xml:space="preserve"> sangrado". Aquí el signo de aprendizaje </w:t>
      </w:r>
      <w:r w:rsidR="001550A6">
        <w:t xml:space="preserve">parecerá </w:t>
      </w:r>
      <w:r w:rsidRPr="008C0E19">
        <w:t xml:space="preserve">tener el aspecto de moverse como una bandera roja </w:t>
      </w:r>
      <w:r w:rsidR="002D4298">
        <w:t>flameando</w:t>
      </w:r>
      <w:r w:rsidRPr="008C0E19">
        <w:t xml:space="preserve"> por el viento; pero el signo contraparte </w:t>
      </w:r>
      <w:r w:rsidR="00A61C2B">
        <w:t>aparecerá</w:t>
      </w:r>
      <w:r w:rsidR="002D4298">
        <w:t xml:space="preserve"> </w:t>
      </w:r>
      <w:r w:rsidRPr="008C0E19">
        <w:t>tranquilo.</w:t>
      </w:r>
    </w:p>
    <w:p w14:paraId="34D72C71" w14:textId="54BDD8AA" w:rsidR="008C0E19" w:rsidRPr="008C0E19" w:rsidRDefault="008C0E19" w:rsidP="00185589">
      <w:pPr>
        <w:pStyle w:val="Ttulo3"/>
        <w:spacing w:before="160"/>
        <w:ind w:left="709"/>
      </w:pPr>
      <w:r w:rsidRPr="008C0E19">
        <w:t>[El Infestado De Gusanos]</w:t>
      </w:r>
    </w:p>
    <w:p w14:paraId="3DD0AF3C" w14:textId="64C7F7AE" w:rsidR="008C0E19" w:rsidRPr="008C0E19" w:rsidRDefault="008C0E19" w:rsidP="008C0E19">
      <w:r w:rsidRPr="008C0E19">
        <w:t xml:space="preserve">77. </w:t>
      </w:r>
      <w:r>
        <w:tab/>
      </w:r>
      <w:r w:rsidRPr="008C0E19">
        <w:t xml:space="preserve">Hay </w:t>
      </w:r>
      <w:r w:rsidR="004D179A">
        <w:t xml:space="preserve">un tipo de </w:t>
      </w:r>
      <w:r w:rsidRPr="00FA1B59">
        <w:t>cadáver</w:t>
      </w:r>
      <w:r w:rsidRPr="00FA1B59">
        <w:rPr>
          <w:i/>
          <w:iCs/>
        </w:rPr>
        <w:t xml:space="preserve"> infestado de gusanos</w:t>
      </w:r>
      <w:r w:rsidRPr="008C0E19">
        <w:t xml:space="preserve"> </w:t>
      </w:r>
      <w:r w:rsidR="002E76E1">
        <w:t>el cual ocurre</w:t>
      </w:r>
      <w:r w:rsidRPr="008C0E19">
        <w:t xml:space="preserve"> al cabo de dos o tres días </w:t>
      </w:r>
      <w:r w:rsidR="00030129">
        <w:t xml:space="preserve">cuando </w:t>
      </w:r>
      <w:r w:rsidR="002F7B63">
        <w:t>emer</w:t>
      </w:r>
      <w:r w:rsidR="00030129">
        <w:t>ge</w:t>
      </w:r>
      <w:r w:rsidR="002F7B63">
        <w:t xml:space="preserve"> </w:t>
      </w:r>
      <w:r w:rsidR="00030129">
        <w:t xml:space="preserve">del cadáver </w:t>
      </w:r>
      <w:r w:rsidRPr="008C0E19">
        <w:t>una masa de gusanos por los nueve orificios del cadáver, y la masa ya</w:t>
      </w:r>
      <w:r w:rsidR="00030129">
        <w:t xml:space="preserve">cerá en el lugar </w:t>
      </w:r>
      <w:r w:rsidRPr="008C0E19">
        <w:t>como un</w:t>
      </w:r>
      <w:r w:rsidR="00EE47D5">
        <w:t>a cantidad</w:t>
      </w:r>
      <w:r w:rsidRPr="008C0E19">
        <w:t xml:space="preserve"> de arroz </w:t>
      </w:r>
      <w:r w:rsidR="00EE47D5">
        <w:t xml:space="preserve">crudo </w:t>
      </w:r>
      <w:r w:rsidRPr="008C0E19">
        <w:t xml:space="preserve">o hervido del tamaño del cuerpo, ya sea </w:t>
      </w:r>
      <w:r w:rsidR="009731DC">
        <w:t xml:space="preserve">que </w:t>
      </w:r>
      <w:r w:rsidRPr="008C0E19">
        <w:t>el cuerpo s</w:t>
      </w:r>
      <w:r w:rsidR="009731DC">
        <w:t>ea</w:t>
      </w:r>
      <w:r w:rsidRPr="008C0E19">
        <w:t xml:space="preserve"> el de un perro, un chacal, un ser humano,</w:t>
      </w:r>
      <w:r w:rsidRPr="00185589">
        <w:rPr>
          <w:vertAlign w:val="superscript"/>
        </w:rPr>
        <w:t>12</w:t>
      </w:r>
      <w:r w:rsidRPr="008C0E19">
        <w:t xml:space="preserve"> un buey, un búfalo, un elefante, un caballo, una pitón, o lo que se</w:t>
      </w:r>
      <w:r w:rsidR="009731DC">
        <w:t>a;</w:t>
      </w:r>
      <w:r w:rsidRPr="008C0E19">
        <w:t xml:space="preserve"> </w:t>
      </w:r>
      <w:r w:rsidR="009731DC">
        <w:t>s</w:t>
      </w:r>
      <w:r w:rsidRPr="008C0E19">
        <w:t xml:space="preserve">e </w:t>
      </w:r>
      <w:r w:rsidR="00C72B63">
        <w:t>podrá</w:t>
      </w:r>
      <w:r w:rsidRPr="008C0E19">
        <w:t xml:space="preserve"> </w:t>
      </w:r>
      <w:r w:rsidR="00C72B63">
        <w:t>evocar mentalmente</w:t>
      </w:r>
      <w:r w:rsidRPr="008C0E19">
        <w:t xml:space="preserve"> con respecto a cualquiera de estos </w:t>
      </w:r>
      <w:r w:rsidR="00C72B63">
        <w:t>cuerpos</w:t>
      </w:r>
      <w:r w:rsidR="00AD5A30">
        <w:t xml:space="preserve"> </w:t>
      </w:r>
      <w:r w:rsidRPr="008C0E19">
        <w:t>"</w:t>
      </w:r>
      <w:r w:rsidR="00C72B63">
        <w:t xml:space="preserve">Repugnancia </w:t>
      </w:r>
      <w:r w:rsidR="00474C80">
        <w:t>sobre</w:t>
      </w:r>
      <w:r w:rsidR="00474C80" w:rsidRPr="008C0E19">
        <w:t xml:space="preserve"> </w:t>
      </w:r>
      <w:r w:rsidRPr="008C0E19">
        <w:t xml:space="preserve">lo infestado de gusanos, </w:t>
      </w:r>
      <w:r w:rsidR="00C72B63">
        <w:t xml:space="preserve">repugnancia </w:t>
      </w:r>
      <w:r w:rsidR="00474C80">
        <w:t>sobre</w:t>
      </w:r>
      <w:r w:rsidR="00474C80" w:rsidRPr="008C0E19">
        <w:t xml:space="preserve"> </w:t>
      </w:r>
      <w:r w:rsidRPr="008C0E19">
        <w:t>lo infestado</w:t>
      </w:r>
      <w:r w:rsidR="00C72B63">
        <w:t xml:space="preserve"> </w:t>
      </w:r>
      <w:r w:rsidRPr="008C0E19">
        <w:t xml:space="preserve">de gusanos". </w:t>
      </w:r>
      <w:r w:rsidR="00EF757E">
        <w:t xml:space="preserve">Ya </w:t>
      </w:r>
      <w:r w:rsidRPr="008C0E19">
        <w:t xml:space="preserve">que </w:t>
      </w:r>
      <w:r w:rsidR="00AD5A30">
        <w:t xml:space="preserve">el signo que </w:t>
      </w:r>
      <w:r w:rsidRPr="008C0E19">
        <w:t xml:space="preserve">surgió </w:t>
      </w:r>
      <w:r w:rsidR="00AD5A30">
        <w:t>en el caso d</w:t>
      </w:r>
      <w:r w:rsidRPr="008C0E19">
        <w:t xml:space="preserve">el </w:t>
      </w:r>
      <w:r w:rsidR="00C33F2B">
        <w:t>Venerable</w:t>
      </w:r>
      <w:r w:rsidRPr="008C0E19">
        <w:t xml:space="preserve"> </w:t>
      </w:r>
      <w:proofErr w:type="spellStart"/>
      <w:r w:rsidRPr="008C0E19">
        <w:t>Cūḷa-Piṇḍapātika-Tissa</w:t>
      </w:r>
      <w:proofErr w:type="spellEnd"/>
      <w:r w:rsidRPr="008C0E19">
        <w:t xml:space="preserve"> </w:t>
      </w:r>
      <w:r w:rsidR="00EF757E">
        <w:t>fue el</w:t>
      </w:r>
      <w:r w:rsidRPr="008C0E19">
        <w:t xml:space="preserve"> </w:t>
      </w:r>
      <w:r w:rsidR="00AD5A30">
        <w:t>d</w:t>
      </w:r>
      <w:r w:rsidRPr="008C0E19">
        <w:t xml:space="preserve">el cadáver de un elefante en el embalse de </w:t>
      </w:r>
      <w:proofErr w:type="spellStart"/>
      <w:r w:rsidRPr="00C33F2B">
        <w:rPr>
          <w:i/>
          <w:iCs/>
        </w:rPr>
        <w:t>Kāḷadīghavāpi</w:t>
      </w:r>
      <w:proofErr w:type="spellEnd"/>
      <w:r w:rsidRPr="008C0E19">
        <w:t>. Aquí el signo de aprendizaje aparece</w:t>
      </w:r>
      <w:r w:rsidR="00AD5A30">
        <w:t>rá</w:t>
      </w:r>
      <w:r w:rsidRPr="008C0E19">
        <w:t xml:space="preserve"> como si se moviera; pero el signo contraparte </w:t>
      </w:r>
      <w:r w:rsidR="00AD5A30">
        <w:t>aparecerá inmóvil</w:t>
      </w:r>
      <w:r w:rsidRPr="008C0E19">
        <w:t>, como una bola de arroz hervido.</w:t>
      </w:r>
    </w:p>
    <w:p w14:paraId="09DF75E1" w14:textId="122DE573" w:rsidR="008C0E19" w:rsidRPr="008C0E19" w:rsidRDefault="008C0E19" w:rsidP="00185589">
      <w:pPr>
        <w:pStyle w:val="Ttulo3"/>
        <w:spacing w:before="160"/>
        <w:ind w:left="709"/>
      </w:pPr>
      <w:r w:rsidRPr="008C0E19">
        <w:t>[Un Esqueleto]</w:t>
      </w:r>
    </w:p>
    <w:p w14:paraId="5CB9ED7D" w14:textId="6411C69D" w:rsidR="008C0E19" w:rsidRPr="008C0E19" w:rsidRDefault="008C0E19" w:rsidP="008C0E19">
      <w:r w:rsidRPr="008C0E19">
        <w:t xml:space="preserve">78. </w:t>
      </w:r>
      <w:r>
        <w:tab/>
      </w:r>
      <w:r w:rsidRPr="008C0E19">
        <w:t xml:space="preserve">Un esqueleto se describe en varios aspectos en el </w:t>
      </w:r>
      <w:r w:rsidR="00AD5A30">
        <w:t>pasaje</w:t>
      </w:r>
      <w:r w:rsidRPr="008C0E19">
        <w:t xml:space="preserve"> que comienza "Como si estuviera mirando un cadáver arrojado </w:t>
      </w:r>
      <w:r w:rsidR="001653DA">
        <w:t>a</w:t>
      </w:r>
      <w:r w:rsidRPr="008C0E19">
        <w:t xml:space="preserve"> un osario, un esqueleto </w:t>
      </w:r>
      <w:r w:rsidR="00442116">
        <w:t>con</w:t>
      </w:r>
      <w:r w:rsidRPr="008C0E19">
        <w:t xml:space="preserve"> carne y hueso</w:t>
      </w:r>
      <w:r w:rsidR="00442116">
        <w:t>s</w:t>
      </w:r>
      <w:r w:rsidRPr="008C0E19">
        <w:t>, sostenido</w:t>
      </w:r>
      <w:r w:rsidR="00AD5A30">
        <w:t>s y</w:t>
      </w:r>
    </w:p>
    <w:p w14:paraId="397CBD80" w14:textId="77777777" w:rsidR="008C0E19" w:rsidRDefault="008C0E19" w:rsidP="008C0E19">
      <w:pPr>
        <w:pStyle w:val="PiedepginaLegal"/>
        <w:rPr>
          <w:u w:val="single"/>
        </w:rPr>
      </w:pPr>
      <w:r>
        <w:rPr>
          <w:u w:val="single"/>
        </w:rPr>
        <w:tab/>
      </w:r>
      <w:r>
        <w:rPr>
          <w:u w:val="single"/>
        </w:rPr>
        <w:tab/>
      </w:r>
      <w:r>
        <w:rPr>
          <w:u w:val="single"/>
        </w:rPr>
        <w:tab/>
      </w:r>
      <w:r>
        <w:rPr>
          <w:u w:val="single"/>
        </w:rPr>
        <w:tab/>
        <w:t>.</w:t>
      </w:r>
    </w:p>
    <w:p w14:paraId="31509877" w14:textId="63BE7B31" w:rsidR="008C0E19" w:rsidRDefault="008C0E19" w:rsidP="008C0E19">
      <w:pPr>
        <w:pStyle w:val="PiedepginaLegal"/>
      </w:pPr>
      <w:r w:rsidRPr="008C0E19">
        <w:t xml:space="preserve">12. </w:t>
      </w:r>
      <w:r>
        <w:tab/>
      </w:r>
      <w:r w:rsidRPr="008C0E19">
        <w:t>Le</w:t>
      </w:r>
      <w:r w:rsidR="00627513">
        <w:t>er</w:t>
      </w:r>
      <w:r w:rsidRPr="008C0E19">
        <w:t xml:space="preserve"> </w:t>
      </w:r>
      <w:proofErr w:type="spellStart"/>
      <w:r w:rsidRPr="00C33F2B">
        <w:rPr>
          <w:i/>
          <w:iCs/>
        </w:rPr>
        <w:t>manussa</w:t>
      </w:r>
      <w:proofErr w:type="spellEnd"/>
      <w:r w:rsidRPr="008C0E19">
        <w:t xml:space="preserve"> </w:t>
      </w:r>
      <w:r w:rsidR="00627513">
        <w:t>en la edición</w:t>
      </w:r>
      <w:r w:rsidRPr="008C0E19">
        <w:t xml:space="preserve"> cingal</w:t>
      </w:r>
      <w:r w:rsidR="00627513">
        <w:t>e</w:t>
      </w:r>
      <w:r w:rsidRPr="008C0E19">
        <w:t>s</w:t>
      </w:r>
      <w:r w:rsidR="00627513">
        <w:t>a</w:t>
      </w:r>
      <w:r w:rsidRPr="008C0E19">
        <w:t>.</w:t>
      </w:r>
    </w:p>
    <w:p w14:paraId="23CBFE53" w14:textId="77777777" w:rsidR="008C0E19" w:rsidRDefault="008C0E19">
      <w:pPr>
        <w:tabs>
          <w:tab w:val="clear" w:pos="425"/>
        </w:tabs>
        <w:spacing w:after="160"/>
        <w:rPr>
          <w:color w:val="000000" w:themeColor="text1"/>
          <w:spacing w:val="10"/>
          <w:sz w:val="14"/>
        </w:rPr>
      </w:pPr>
      <w:r>
        <w:br w:type="page"/>
      </w:r>
    </w:p>
    <w:p w14:paraId="4FFEDF9A" w14:textId="07897BF4" w:rsidR="009A64C2" w:rsidRDefault="009A64C2" w:rsidP="009A64C2"/>
    <w:p w14:paraId="708A5030" w14:textId="01223339" w:rsidR="009A64C2" w:rsidRDefault="009A64C2" w:rsidP="009A64C2">
      <w:r>
        <w:t>unidos por tendones” (D II 296). [192] Así que debe</w:t>
      </w:r>
      <w:r w:rsidR="00AD5A30">
        <w:t>rá</w:t>
      </w:r>
      <w:r>
        <w:t xml:space="preserve"> ir por el camino ya descrito hasta donde ha</w:t>
      </w:r>
      <w:r w:rsidR="00AD5A30">
        <w:t>ya</w:t>
      </w:r>
      <w:r>
        <w:t xml:space="preserve"> sido puesto, y observando algunas piedras, etc., con sus signos circundantes y en relación con el objeto, </w:t>
      </w:r>
      <w:r w:rsidR="00D50DB6">
        <w:t xml:space="preserve">él </w:t>
      </w:r>
      <w:r>
        <w:t>debe caracterizarlo p</w:t>
      </w:r>
      <w:r w:rsidRPr="00D50DB6">
        <w:rPr>
          <w:i/>
          <w:iCs/>
        </w:rPr>
        <w:t>or el hecho de haber alcanzado esa esencia individual particul</w:t>
      </w:r>
      <w:r>
        <w:t xml:space="preserve">ar así, “Esto es un esqueleto”, y debería aprehender el signo en las once formas </w:t>
      </w:r>
      <w:r w:rsidR="00931952">
        <w:t>a través del</w:t>
      </w:r>
      <w:r>
        <w:t xml:space="preserve"> color y </w:t>
      </w:r>
      <w:r w:rsidR="00931952">
        <w:t xml:space="preserve">lo </w:t>
      </w:r>
      <w:r w:rsidR="001653DA">
        <w:t>demás</w:t>
      </w:r>
      <w:r>
        <w:t xml:space="preserve">. Pero si lo </w:t>
      </w:r>
      <w:r w:rsidR="007B0FCC">
        <w:t>observara</w:t>
      </w:r>
      <w:r>
        <w:t>, [aprendiéndolo sólo] por su color blanco, no se le aparece</w:t>
      </w:r>
      <w:r w:rsidR="007B0FCC">
        <w:t>rá</w:t>
      </w:r>
      <w:r>
        <w:t xml:space="preserve"> con su esencia individual como repulsiva, sino sólo como una variante del </w:t>
      </w:r>
      <w:proofErr w:type="spellStart"/>
      <w:r w:rsidR="00057BF4" w:rsidRPr="00057BF4">
        <w:rPr>
          <w:i/>
          <w:iCs/>
        </w:rPr>
        <w:t>kasiṇa</w:t>
      </w:r>
      <w:proofErr w:type="spellEnd"/>
      <w:r>
        <w:t xml:space="preserve"> blanco. En consecuencia, solo </w:t>
      </w:r>
      <w:r w:rsidR="007B0FCC">
        <w:t xml:space="preserve">deberá </w:t>
      </w:r>
      <w:r>
        <w:t xml:space="preserve">mirarlo como "un esqueleto" en </w:t>
      </w:r>
      <w:r w:rsidR="001653DA">
        <w:t>su</w:t>
      </w:r>
      <w:r>
        <w:t xml:space="preserve"> aspecto repulsivo.</w:t>
      </w:r>
      <w:r w:rsidR="002714BC">
        <w:t xml:space="preserve"> </w:t>
      </w:r>
    </w:p>
    <w:p w14:paraId="05333B5A" w14:textId="47788575" w:rsidR="009A64C2" w:rsidRDefault="009A64C2" w:rsidP="009A64C2">
      <w:r>
        <w:t xml:space="preserve">79. </w:t>
      </w:r>
      <w:r>
        <w:tab/>
      </w:r>
      <w:r w:rsidR="001653DA">
        <w:t xml:space="preserve">La </w:t>
      </w:r>
      <w:r>
        <w:t>“</w:t>
      </w:r>
      <w:r w:rsidR="001653DA">
        <w:t>m</w:t>
      </w:r>
      <w:r>
        <w:t xml:space="preserve">arca” </w:t>
      </w:r>
      <w:r w:rsidR="001653DA">
        <w:t>será</w:t>
      </w:r>
      <w:r>
        <w:t xml:space="preserve"> </w:t>
      </w:r>
      <w:r w:rsidR="001653DA">
        <w:t xml:space="preserve">aquí </w:t>
      </w:r>
      <w:r>
        <w:t xml:space="preserve">un término </w:t>
      </w:r>
      <w:r w:rsidR="00886E5C">
        <w:t xml:space="preserve">útil </w:t>
      </w:r>
      <w:r>
        <w:t xml:space="preserve">para </w:t>
      </w:r>
      <w:r w:rsidR="001653DA">
        <w:t xml:space="preserve">referirse a </w:t>
      </w:r>
      <w:r>
        <w:t>la mano, etc.</w:t>
      </w:r>
      <w:r w:rsidR="001653DA">
        <w:t>,</w:t>
      </w:r>
      <w:r>
        <w:t xml:space="preserve"> por lo que debe</w:t>
      </w:r>
      <w:r w:rsidR="00886E5C">
        <w:t>rá</w:t>
      </w:r>
      <w:r>
        <w:t xml:space="preserve"> definirla </w:t>
      </w:r>
      <w:r w:rsidRPr="00D50DB6">
        <w:rPr>
          <w:i/>
          <w:iCs/>
        </w:rPr>
        <w:t>por su marca</w:t>
      </w:r>
      <w:r>
        <w:t xml:space="preserve"> </w:t>
      </w:r>
      <w:proofErr w:type="gramStart"/>
      <w:r w:rsidR="009C37F7">
        <w:t>de acuerdo a</w:t>
      </w:r>
      <w:proofErr w:type="gramEnd"/>
      <w:r w:rsidR="009C37F7">
        <w:t xml:space="preserve"> </w:t>
      </w:r>
      <w:r w:rsidR="001653DA">
        <w:t xml:space="preserve">si se refiere a </w:t>
      </w:r>
      <w:r w:rsidR="009C37F7">
        <w:t>la</w:t>
      </w:r>
      <w:r>
        <w:t xml:space="preserve"> mano, </w:t>
      </w:r>
      <w:r w:rsidR="001653DA">
        <w:t>a</w:t>
      </w:r>
      <w:r w:rsidR="00777303">
        <w:t xml:space="preserve">l </w:t>
      </w:r>
      <w:r>
        <w:t xml:space="preserve">pie, </w:t>
      </w:r>
      <w:r w:rsidR="001653DA">
        <w:t xml:space="preserve">a </w:t>
      </w:r>
      <w:r w:rsidR="00777303">
        <w:t xml:space="preserve">la </w:t>
      </w:r>
      <w:r>
        <w:t xml:space="preserve">cabeza, </w:t>
      </w:r>
      <w:r w:rsidR="001653DA">
        <w:t>a</w:t>
      </w:r>
      <w:r w:rsidR="00777303">
        <w:t xml:space="preserve">l </w:t>
      </w:r>
      <w:r>
        <w:t xml:space="preserve">pecho, </w:t>
      </w:r>
      <w:r w:rsidR="001653DA">
        <w:t>a</w:t>
      </w:r>
      <w:r w:rsidR="00777303">
        <w:t xml:space="preserve">l </w:t>
      </w:r>
      <w:r>
        <w:t xml:space="preserve">brazo, </w:t>
      </w:r>
      <w:r w:rsidR="001653DA">
        <w:t xml:space="preserve">a </w:t>
      </w:r>
      <w:r w:rsidR="00777303">
        <w:t xml:space="preserve">la </w:t>
      </w:r>
      <w:r>
        <w:t xml:space="preserve">cintura, </w:t>
      </w:r>
      <w:r w:rsidR="001653DA">
        <w:t>a</w:t>
      </w:r>
      <w:r w:rsidR="00777303">
        <w:t xml:space="preserve">l </w:t>
      </w:r>
      <w:r>
        <w:t xml:space="preserve">muslo y </w:t>
      </w:r>
      <w:r w:rsidR="001653DA">
        <w:t xml:space="preserve">a </w:t>
      </w:r>
      <w:r w:rsidR="00777303">
        <w:t xml:space="preserve">la </w:t>
      </w:r>
      <w:r>
        <w:t xml:space="preserve">espinilla. </w:t>
      </w:r>
      <w:r w:rsidR="00C10A86">
        <w:t xml:space="preserve">Sin embargo, deberá también </w:t>
      </w:r>
      <w:r>
        <w:t xml:space="preserve">definirlo </w:t>
      </w:r>
      <w:r w:rsidRPr="00D50DB6">
        <w:rPr>
          <w:i/>
          <w:iCs/>
        </w:rPr>
        <w:t>por su forma</w:t>
      </w:r>
      <w:r>
        <w:t xml:space="preserve">, según sea largo, corto, cuadrado, redondo, pequeño o grande. </w:t>
      </w:r>
      <w:r w:rsidRPr="00777303">
        <w:rPr>
          <w:i/>
          <w:iCs/>
        </w:rPr>
        <w:t>Por</w:t>
      </w:r>
      <w:r>
        <w:t xml:space="preserve"> </w:t>
      </w:r>
      <w:r w:rsidRPr="00777303">
        <w:rPr>
          <w:i/>
          <w:iCs/>
        </w:rPr>
        <w:t>su dirección</w:t>
      </w:r>
      <w:r>
        <w:t xml:space="preserve"> </w:t>
      </w:r>
      <w:r w:rsidRPr="00777303">
        <w:rPr>
          <w:i/>
          <w:iCs/>
        </w:rPr>
        <w:t>y por su ubicación</w:t>
      </w:r>
      <w:r>
        <w:t xml:space="preserve"> como ya se ha descrito (§39-40). Habiéndolo definido </w:t>
      </w:r>
      <w:r w:rsidRPr="00D50DB6">
        <w:rPr>
          <w:i/>
          <w:iCs/>
        </w:rPr>
        <w:t>por su delimitación</w:t>
      </w:r>
      <w:r>
        <w:t xml:space="preserve"> según la periferia de cada hueso, </w:t>
      </w:r>
      <w:r w:rsidR="000F44CD">
        <w:t xml:space="preserve">deberá </w:t>
      </w:r>
      <w:r>
        <w:t xml:space="preserve">llegar a la absorción aprehendiendo el que le parezca más evidente. Pero también se </w:t>
      </w:r>
      <w:r w:rsidR="000F44CD">
        <w:t xml:space="preserve">podrá </w:t>
      </w:r>
      <w:r>
        <w:t xml:space="preserve">definir </w:t>
      </w:r>
      <w:r w:rsidRPr="00D50DB6">
        <w:rPr>
          <w:i/>
          <w:iCs/>
        </w:rPr>
        <w:t>por sus concavidades</w:t>
      </w:r>
      <w:r>
        <w:t xml:space="preserve"> y </w:t>
      </w:r>
      <w:r w:rsidRPr="00D50DB6">
        <w:rPr>
          <w:i/>
          <w:iCs/>
        </w:rPr>
        <w:t>sus convexidades</w:t>
      </w:r>
      <w:r>
        <w:t xml:space="preserve"> según los lugares cóncavos y convexos de cada hueso. Y también se </w:t>
      </w:r>
      <w:r w:rsidR="00B76A86">
        <w:t xml:space="preserve">podrá </w:t>
      </w:r>
      <w:r>
        <w:t xml:space="preserve">definir por </w:t>
      </w:r>
      <w:r w:rsidR="00B76A86">
        <w:t xml:space="preserve">su </w:t>
      </w:r>
      <w:r>
        <w:t xml:space="preserve">posición así: “Estoy parado en un lugar cóncavo, el esqueleto está en un lugar convexo; o estoy parado en un lugar convexo, el esqueleto está en un lugar cóncavo”. </w:t>
      </w:r>
      <w:r w:rsidR="00FE37E0">
        <w:t xml:space="preserve">Deberá </w:t>
      </w:r>
      <w:r>
        <w:t>definir</w:t>
      </w:r>
      <w:r w:rsidR="00FE37E0">
        <w:t xml:space="preserve"> los huesos</w:t>
      </w:r>
      <w:r>
        <w:t xml:space="preserve"> </w:t>
      </w:r>
      <w:r w:rsidRPr="00D50DB6">
        <w:rPr>
          <w:i/>
          <w:iCs/>
        </w:rPr>
        <w:t>por sus articulaciones</w:t>
      </w:r>
      <w:r>
        <w:t xml:space="preserve"> de acuerdo con la unión de dos huesos cualesquiera. Debe</w:t>
      </w:r>
      <w:r w:rsidR="00FE37E0">
        <w:t>rá</w:t>
      </w:r>
      <w:r>
        <w:t xml:space="preserve"> definir</w:t>
      </w:r>
      <w:r w:rsidR="00FE37E0">
        <w:t>los</w:t>
      </w:r>
      <w:r>
        <w:t xml:space="preserve"> </w:t>
      </w:r>
      <w:r w:rsidRPr="00D50DB6">
        <w:rPr>
          <w:i/>
          <w:iCs/>
        </w:rPr>
        <w:t>por sus aberturas</w:t>
      </w:r>
      <w:r>
        <w:t xml:space="preserve"> de acuerdo con los espacios que separ</w:t>
      </w:r>
      <w:r w:rsidR="00FE37E0">
        <w:t>e</w:t>
      </w:r>
      <w:r>
        <w:t xml:space="preserve">n </w:t>
      </w:r>
      <w:r w:rsidR="00FE37E0">
        <w:t xml:space="preserve">a dichos </w:t>
      </w:r>
      <w:r>
        <w:t>huesos. Debería definir</w:t>
      </w:r>
      <w:r w:rsidR="00FE37E0">
        <w:t>los</w:t>
      </w:r>
      <w:r>
        <w:t xml:space="preserve"> </w:t>
      </w:r>
      <w:r w:rsidRPr="00740E82">
        <w:rPr>
          <w:i/>
          <w:iCs/>
        </w:rPr>
        <w:t>en todos los sentidos</w:t>
      </w:r>
      <w:r>
        <w:t xml:space="preserve"> dirigiendo el conocimiento hacia </w:t>
      </w:r>
      <w:r w:rsidR="00FE37E0">
        <w:t xml:space="preserve">ellos </w:t>
      </w:r>
      <w:r>
        <w:t>de manera integral de la siguiente manera: "En este lugar está este esqueleto". Si el signo no surg</w:t>
      </w:r>
      <w:r w:rsidR="00B75334">
        <w:t>iese</w:t>
      </w:r>
      <w:r>
        <w:t xml:space="preserve"> ni siquiera de esta manera, entonces la mente debe</w:t>
      </w:r>
      <w:r w:rsidR="00B75334">
        <w:t>rá</w:t>
      </w:r>
      <w:r>
        <w:t xml:space="preserve"> establecerse en el hueso frontal. Y en este caso, como en el caso de los que le preced</w:t>
      </w:r>
      <w:r w:rsidR="00B75334">
        <w:t>a</w:t>
      </w:r>
      <w:r>
        <w:t xml:space="preserve">n comenzando </w:t>
      </w:r>
      <w:r w:rsidR="006921F3">
        <w:t>con</w:t>
      </w:r>
      <w:r>
        <w:t xml:space="preserve"> </w:t>
      </w:r>
      <w:r w:rsidR="00B75334">
        <w:t>lo infestado por gusanos</w:t>
      </w:r>
      <w:r>
        <w:t>, la aprehensión del signo debe</w:t>
      </w:r>
      <w:r w:rsidR="00B75334">
        <w:t>rá</w:t>
      </w:r>
      <w:r>
        <w:t xml:space="preserve"> observarse de esta</w:t>
      </w:r>
      <w:r w:rsidR="006921F3">
        <w:t>s</w:t>
      </w:r>
      <w:r>
        <w:t xml:space="preserve"> </w:t>
      </w:r>
      <w:r w:rsidR="006921F3">
        <w:t xml:space="preserve">once </w:t>
      </w:r>
      <w:r>
        <w:t>manera</w:t>
      </w:r>
      <w:r w:rsidR="006921F3">
        <w:t>s</w:t>
      </w:r>
      <w:r>
        <w:t xml:space="preserve"> según convenga.</w:t>
      </w:r>
    </w:p>
    <w:p w14:paraId="19788D31" w14:textId="6AA8BAF1" w:rsidR="009A64C2" w:rsidRDefault="009A64C2" w:rsidP="009A64C2">
      <w:r>
        <w:t xml:space="preserve">80. </w:t>
      </w:r>
      <w:r>
        <w:tab/>
        <w:t xml:space="preserve">Este </w:t>
      </w:r>
      <w:r w:rsidR="00B75334">
        <w:t>objeto</w:t>
      </w:r>
      <w:r>
        <w:t xml:space="preserve"> de meditación </w:t>
      </w:r>
      <w:r w:rsidR="005D6EDB">
        <w:t>tendrá</w:t>
      </w:r>
      <w:r>
        <w:t xml:space="preserve"> éxito con un esqueleto completo </w:t>
      </w:r>
      <w:r w:rsidR="006921F3">
        <w:t>e</w:t>
      </w:r>
      <w:r>
        <w:t xml:space="preserve"> </w:t>
      </w:r>
      <w:r w:rsidR="006921F3">
        <w:t xml:space="preserve">inclusive </w:t>
      </w:r>
      <w:r>
        <w:t>con un solo hueso</w:t>
      </w:r>
      <w:r w:rsidR="006921F3" w:rsidRPr="006921F3">
        <w:t xml:space="preserve"> </w:t>
      </w:r>
      <w:r w:rsidR="006921F3">
        <w:t>también</w:t>
      </w:r>
      <w:r>
        <w:t>. Entonces, habiendo apre</w:t>
      </w:r>
      <w:r w:rsidR="005D6EDB">
        <w:t>he</w:t>
      </w:r>
      <w:r>
        <w:t>ndido el signo en cualquiera de est</w:t>
      </w:r>
      <w:r w:rsidR="006921F3">
        <w:t>a</w:t>
      </w:r>
      <w:r>
        <w:t>s once formas, debe</w:t>
      </w:r>
      <w:r w:rsidR="005D6EDB">
        <w:t>rá</w:t>
      </w:r>
      <w:r>
        <w:t xml:space="preserve"> recordarlo como "</w:t>
      </w:r>
      <w:r w:rsidR="005D6EDB">
        <w:t xml:space="preserve">Repugnancia </w:t>
      </w:r>
      <w:r>
        <w:t>de</w:t>
      </w:r>
      <w:r w:rsidR="006921F3" w:rsidRPr="006921F3">
        <w:t xml:space="preserve"> </w:t>
      </w:r>
      <w:r w:rsidR="006921F3">
        <w:t>sobre</w:t>
      </w:r>
      <w:r>
        <w:t xml:space="preserve"> un esqueleto, </w:t>
      </w:r>
      <w:r w:rsidR="005D6EDB">
        <w:t xml:space="preserve">repugnancia </w:t>
      </w:r>
      <w:r w:rsidR="006921F3">
        <w:t xml:space="preserve">sobre </w:t>
      </w:r>
      <w:r>
        <w:t xml:space="preserve">un esqueleto". Aquí el signo de aprendizaje y el signo contraparte </w:t>
      </w:r>
      <w:r w:rsidR="005D6EDB">
        <w:t>será</w:t>
      </w:r>
      <w:r>
        <w:t xml:space="preserve"> similares, </w:t>
      </w:r>
      <w:r w:rsidR="00EC2EB3">
        <w:t>así</w:t>
      </w:r>
      <w:r>
        <w:t xml:space="preserve"> se dice. Eso </w:t>
      </w:r>
      <w:r w:rsidR="0027232E">
        <w:t>será</w:t>
      </w:r>
      <w:r>
        <w:t xml:space="preserve"> correcto para un solo hueso. Pero cuando el signo de aprendizaje se manifiest</w:t>
      </w:r>
      <w:r w:rsidR="00EC2EB3">
        <w:t>e</w:t>
      </w:r>
      <w:r>
        <w:t xml:space="preserve"> en un marco esquelético, lo que </w:t>
      </w:r>
      <w:r w:rsidR="00EC2EB3">
        <w:t xml:space="preserve">será </w:t>
      </w:r>
      <w:r>
        <w:t xml:space="preserve">correcto decir </w:t>
      </w:r>
      <w:r w:rsidR="002266E6">
        <w:t xml:space="preserve">será </w:t>
      </w:r>
      <w:r>
        <w:t>que hay</w:t>
      </w:r>
      <w:r w:rsidR="002266E6">
        <w:t>a</w:t>
      </w:r>
      <w:r>
        <w:t xml:space="preserve"> </w:t>
      </w:r>
      <w:r w:rsidR="002266E6">
        <w:t>espacios</w:t>
      </w:r>
      <w:r>
        <w:t xml:space="preserve"> en el signo de aprendizaje mientras que </w:t>
      </w:r>
      <w:r w:rsidR="002266E6">
        <w:t xml:space="preserve">en </w:t>
      </w:r>
      <w:r>
        <w:t>el signo contraparte aparece</w:t>
      </w:r>
      <w:r w:rsidR="002266E6">
        <w:t>rá</w:t>
      </w:r>
      <w:r>
        <w:t xml:space="preserve"> completo. [193] Y el signo de aprendizaje, incluso en un solo hueso, deber</w:t>
      </w:r>
      <w:r w:rsidR="002266E6">
        <w:t>á</w:t>
      </w:r>
      <w:r>
        <w:t xml:space="preserve"> ser terrible y aterrador, pero el signo contraparte produc</w:t>
      </w:r>
      <w:r w:rsidR="009E7E3E">
        <w:t>irá</w:t>
      </w:r>
      <w:r>
        <w:t xml:space="preserve"> felicidad y alegría porque brinda</w:t>
      </w:r>
      <w:r w:rsidR="009E7E3E">
        <w:t>rá</w:t>
      </w:r>
      <w:r>
        <w:t xml:space="preserve"> acceso.</w:t>
      </w:r>
    </w:p>
    <w:p w14:paraId="3BE39704" w14:textId="04990F4F" w:rsidR="008C0E19" w:rsidRPr="008C0E19" w:rsidRDefault="009A64C2" w:rsidP="009A64C2">
      <w:r>
        <w:t xml:space="preserve">81. </w:t>
      </w:r>
      <w:r>
        <w:tab/>
        <w:t>Lo dicho en los Comentarios en este contexto permit</w:t>
      </w:r>
      <w:r w:rsidR="004B2FA1">
        <w:t>irá</w:t>
      </w:r>
      <w:r>
        <w:t xml:space="preserve"> es</w:t>
      </w:r>
      <w:r w:rsidR="004B2FA1">
        <w:t>t</w:t>
      </w:r>
      <w:r>
        <w:t xml:space="preserve">a deducción. Porque allí, después de decir esto, “No </w:t>
      </w:r>
      <w:r w:rsidR="00895134">
        <w:t>existe</w:t>
      </w:r>
      <w:r>
        <w:t xml:space="preserve"> signo equivalente en las cuatro moradas divinas y en las diez clases de </w:t>
      </w:r>
      <w:r w:rsidR="009E7E3E">
        <w:t>repugnancia</w:t>
      </w:r>
      <w:r w:rsidR="00CC6DB9">
        <w:t>s</w:t>
      </w:r>
      <w:r>
        <w:t xml:space="preserve">; porque en el caso de las moradas divinas, el signo es la ruptura de los límites mismos, y en el caso de las diez clases de </w:t>
      </w:r>
      <w:r w:rsidR="00CC6DB9">
        <w:t>repugnancias</w:t>
      </w:r>
      <w:r>
        <w:t xml:space="preserve">, el signo surge tan pronto como se </w:t>
      </w:r>
      <w:proofErr w:type="spellStart"/>
      <w:r w:rsidR="00895134">
        <w:t>aprecice</w:t>
      </w:r>
      <w:proofErr w:type="spellEnd"/>
      <w:r>
        <w:t xml:space="preserve"> la </w:t>
      </w:r>
      <w:r w:rsidR="00CC6DB9">
        <w:t>repugnancia</w:t>
      </w:r>
      <w:r>
        <w:t xml:space="preserve">, sin pensar en ello”, </w:t>
      </w:r>
      <w:r w:rsidR="00CC6DB9">
        <w:t>y se dice nueva e</w:t>
      </w:r>
      <w:r>
        <w:t xml:space="preserve"> inmediatamente después: “Aquí el signo es doble: el signo de aprendizaje y el signo contraparte. El signo de aprendizaje parece</w:t>
      </w:r>
      <w:r w:rsidR="00CC6DB9">
        <w:t>rá</w:t>
      </w:r>
      <w:r>
        <w:t xml:space="preserve"> espantoso, </w:t>
      </w:r>
      <w:r w:rsidR="00CC6DB9">
        <w:t>horrendo</w:t>
      </w:r>
      <w:r>
        <w:t xml:space="preserve"> y aterrador”, y así sucesivamente. Así que lo que </w:t>
      </w:r>
      <w:r w:rsidR="00895134">
        <w:t>he</w:t>
      </w:r>
      <w:r w:rsidR="00826295">
        <w:t>mos dichos</w:t>
      </w:r>
      <w:r>
        <w:t xml:space="preserve"> </w:t>
      </w:r>
      <w:r w:rsidR="00826295">
        <w:t xml:space="preserve">ha sido </w:t>
      </w:r>
      <w:r>
        <w:t xml:space="preserve">bien considerado. Y es sólo esto lo que </w:t>
      </w:r>
      <w:r w:rsidR="00E445D3">
        <w:t xml:space="preserve">será </w:t>
      </w:r>
      <w:r>
        <w:t xml:space="preserve">correcto aquí. Además, la apariencia de todo el cuerpo de </w:t>
      </w:r>
    </w:p>
    <w:p w14:paraId="35DC4A77" w14:textId="1CF9AC38" w:rsidR="00AF5A78" w:rsidRPr="008C0E19" w:rsidRDefault="00AF5A78">
      <w:pPr>
        <w:tabs>
          <w:tab w:val="clear" w:pos="425"/>
        </w:tabs>
        <w:spacing w:after="160"/>
      </w:pPr>
      <w:r w:rsidRPr="008C0E19">
        <w:br w:type="page"/>
      </w:r>
    </w:p>
    <w:p w14:paraId="76C67FA9" w14:textId="230E8F63" w:rsidR="00AF5A78" w:rsidRDefault="00AF5A78" w:rsidP="00AF5A78"/>
    <w:p w14:paraId="3314DAD7" w14:textId="58818A34" w:rsidR="005C72AE" w:rsidRDefault="00826295" w:rsidP="005C72AE">
      <w:r>
        <w:t xml:space="preserve">una mujer como </w:t>
      </w:r>
      <w:r w:rsidR="00E445D3">
        <w:t xml:space="preserve">una colección de </w:t>
      </w:r>
      <w:r w:rsidR="005C72AE">
        <w:t xml:space="preserve">huesos </w:t>
      </w:r>
      <w:r w:rsidR="00914C6A">
        <w:t>en</w:t>
      </w:r>
      <w:r w:rsidR="005C72AE">
        <w:t xml:space="preserve"> </w:t>
      </w:r>
      <w:r w:rsidR="00914C6A">
        <w:t>e</w:t>
      </w:r>
      <w:r w:rsidR="005C72AE">
        <w:t xml:space="preserve">l </w:t>
      </w:r>
      <w:r w:rsidR="00C33F2B">
        <w:t>Venerable</w:t>
      </w:r>
      <w:r w:rsidR="005C72AE">
        <w:t xml:space="preserve"> Mahā-</w:t>
      </w:r>
      <w:proofErr w:type="spellStart"/>
      <w:r w:rsidR="005C72AE">
        <w:t>Tissa</w:t>
      </w:r>
      <w:proofErr w:type="spellEnd"/>
      <w:r w:rsidR="005C72AE">
        <w:t xml:space="preserve"> a través de </w:t>
      </w:r>
      <w:r w:rsidR="00B73F2B">
        <w:t>la</w:t>
      </w:r>
      <w:r w:rsidR="005C72AE">
        <w:t xml:space="preserve"> </w:t>
      </w:r>
      <w:r w:rsidR="00914C6A">
        <w:t>simple inspección</w:t>
      </w:r>
      <w:r w:rsidR="005C72AE">
        <w:t xml:space="preserve"> </w:t>
      </w:r>
      <w:r w:rsidR="00914C6A">
        <w:t>de</w:t>
      </w:r>
      <w:r w:rsidR="005C72AE">
        <w:t xml:space="preserve"> sus dientes demuestra esto aquí (ver I.55).</w:t>
      </w:r>
    </w:p>
    <w:p w14:paraId="7E565A78" w14:textId="77777777" w:rsidR="009E5A8C" w:rsidRDefault="009E5A8C" w:rsidP="005C72AE"/>
    <w:p w14:paraId="421C2CDE" w14:textId="0D62A414" w:rsidR="005C72AE" w:rsidRDefault="00994C00" w:rsidP="00994C00">
      <w:pPr>
        <w:pStyle w:val="Ttulo3"/>
        <w:ind w:left="708"/>
      </w:pPr>
      <w:r>
        <w:t>[</w:t>
      </w:r>
      <w:r w:rsidR="00E87C83">
        <w:t xml:space="preserve">En </w:t>
      </w:r>
      <w:r>
        <w:t>General]</w:t>
      </w:r>
    </w:p>
    <w:p w14:paraId="4DF2146B" w14:textId="6928F5B4" w:rsidR="005C72AE" w:rsidRPr="009E5A8C" w:rsidRDefault="005C72AE" w:rsidP="005C72AE">
      <w:pPr>
        <w:pStyle w:val="VersoIngls01Sangria"/>
        <w:ind w:left="0"/>
        <w:rPr>
          <w:sz w:val="16"/>
          <w:szCs w:val="20"/>
        </w:rPr>
      </w:pPr>
      <w:r>
        <w:t xml:space="preserve">82. </w:t>
      </w:r>
      <w:r>
        <w:tab/>
      </w:r>
      <w:r>
        <w:tab/>
      </w:r>
      <w:r>
        <w:tab/>
      </w:r>
      <w:r w:rsidRPr="009E5A8C">
        <w:rPr>
          <w:sz w:val="16"/>
          <w:szCs w:val="20"/>
        </w:rPr>
        <w:t xml:space="preserve">El Divino Gobernante </w:t>
      </w:r>
      <w:r w:rsidR="00A06CA2" w:rsidRPr="009E5A8C">
        <w:rPr>
          <w:sz w:val="16"/>
          <w:szCs w:val="20"/>
        </w:rPr>
        <w:t>de</w:t>
      </w:r>
      <w:r w:rsidRPr="009E5A8C">
        <w:rPr>
          <w:sz w:val="16"/>
          <w:szCs w:val="20"/>
        </w:rPr>
        <w:t xml:space="preserve"> </w:t>
      </w:r>
      <w:r w:rsidR="00A06CA2" w:rsidRPr="009E5A8C">
        <w:rPr>
          <w:sz w:val="16"/>
          <w:szCs w:val="20"/>
        </w:rPr>
        <w:t>1</w:t>
      </w:r>
      <w:r w:rsidR="00C33F2B" w:rsidRPr="009E5A8C">
        <w:rPr>
          <w:sz w:val="16"/>
          <w:szCs w:val="20"/>
        </w:rPr>
        <w:t>,000</w:t>
      </w:r>
      <w:r w:rsidRPr="009E5A8C">
        <w:rPr>
          <w:sz w:val="16"/>
          <w:szCs w:val="20"/>
        </w:rPr>
        <w:t xml:space="preserve"> ojos</w:t>
      </w:r>
    </w:p>
    <w:p w14:paraId="5B06298E" w14:textId="2E09CC9B" w:rsidR="005C72AE" w:rsidRPr="009E5A8C" w:rsidRDefault="0044783A" w:rsidP="005C72AE">
      <w:pPr>
        <w:pStyle w:val="VersoIngls01Sangria"/>
        <w:rPr>
          <w:sz w:val="16"/>
          <w:szCs w:val="20"/>
        </w:rPr>
      </w:pPr>
      <w:r w:rsidRPr="009E5A8C">
        <w:rPr>
          <w:sz w:val="16"/>
          <w:szCs w:val="20"/>
        </w:rPr>
        <w:t xml:space="preserve">Aquél </w:t>
      </w:r>
      <w:r w:rsidR="00A06CA2" w:rsidRPr="009E5A8C">
        <w:rPr>
          <w:sz w:val="16"/>
          <w:szCs w:val="20"/>
        </w:rPr>
        <w:t xml:space="preserve">elogiado </w:t>
      </w:r>
      <w:r w:rsidRPr="009E5A8C">
        <w:rPr>
          <w:sz w:val="16"/>
          <w:szCs w:val="20"/>
        </w:rPr>
        <w:t>de</w:t>
      </w:r>
      <w:r w:rsidR="005C72AE" w:rsidRPr="009E5A8C">
        <w:rPr>
          <w:sz w:val="16"/>
          <w:szCs w:val="20"/>
        </w:rPr>
        <w:t xml:space="preserve"> Diez Poderes,</w:t>
      </w:r>
    </w:p>
    <w:p w14:paraId="167520E1" w14:textId="61CA1646" w:rsidR="005C72AE" w:rsidRPr="009E5A8C" w:rsidRDefault="005C72AE" w:rsidP="005C72AE">
      <w:pPr>
        <w:pStyle w:val="VersoIngls01Sangria"/>
        <w:rPr>
          <w:sz w:val="16"/>
          <w:szCs w:val="20"/>
        </w:rPr>
      </w:pPr>
      <w:r w:rsidRPr="009E5A8C">
        <w:rPr>
          <w:sz w:val="16"/>
          <w:szCs w:val="20"/>
        </w:rPr>
        <w:t>Quie</w:t>
      </w:r>
      <w:r w:rsidR="00E87C83" w:rsidRPr="009E5A8C">
        <w:rPr>
          <w:sz w:val="16"/>
          <w:szCs w:val="20"/>
        </w:rPr>
        <w:t xml:space="preserve">n, siendo </w:t>
      </w:r>
      <w:r w:rsidRPr="009E5A8C">
        <w:rPr>
          <w:sz w:val="16"/>
          <w:szCs w:val="20"/>
        </w:rPr>
        <w:t xml:space="preserve">justo en fama, dio a conocer como causa </w:t>
      </w:r>
      <w:r w:rsidR="00A06CA2" w:rsidRPr="009E5A8C">
        <w:rPr>
          <w:sz w:val="16"/>
          <w:szCs w:val="20"/>
        </w:rPr>
        <w:t xml:space="preserve">de </w:t>
      </w:r>
      <w:r w:rsidR="0044783A" w:rsidRPr="009E5A8C">
        <w:rPr>
          <w:sz w:val="16"/>
          <w:szCs w:val="20"/>
        </w:rPr>
        <w:t>l</w:t>
      </w:r>
      <w:r w:rsidR="00A06CA2" w:rsidRPr="009E5A8C">
        <w:rPr>
          <w:sz w:val="16"/>
          <w:szCs w:val="20"/>
        </w:rPr>
        <w:t>os</w:t>
      </w:r>
      <w:r w:rsidRPr="009E5A8C">
        <w:rPr>
          <w:sz w:val="16"/>
          <w:szCs w:val="20"/>
        </w:rPr>
        <w:t xml:space="preserve"> </w:t>
      </w:r>
      <w:proofErr w:type="spellStart"/>
      <w:r w:rsidR="00057BF4" w:rsidRPr="009E5A8C">
        <w:rPr>
          <w:i/>
          <w:iCs/>
          <w:sz w:val="16"/>
          <w:szCs w:val="20"/>
        </w:rPr>
        <w:t>jhāna</w:t>
      </w:r>
      <w:r w:rsidR="00E87C83" w:rsidRPr="009E5A8C">
        <w:rPr>
          <w:sz w:val="16"/>
          <w:szCs w:val="20"/>
        </w:rPr>
        <w:t>s</w:t>
      </w:r>
      <w:proofErr w:type="spellEnd"/>
    </w:p>
    <w:p w14:paraId="267B079F" w14:textId="7066243F" w:rsidR="005C72AE" w:rsidRPr="009E5A8C" w:rsidRDefault="005C72AE" w:rsidP="005C72AE">
      <w:pPr>
        <w:pStyle w:val="VersoIngls01Sangria"/>
        <w:rPr>
          <w:sz w:val="16"/>
          <w:szCs w:val="20"/>
        </w:rPr>
      </w:pPr>
      <w:r w:rsidRPr="009E5A8C">
        <w:rPr>
          <w:sz w:val="16"/>
          <w:szCs w:val="20"/>
        </w:rPr>
        <w:t xml:space="preserve">Esta </w:t>
      </w:r>
      <w:r w:rsidR="00A06CA2" w:rsidRPr="009E5A8C">
        <w:rPr>
          <w:sz w:val="16"/>
          <w:szCs w:val="20"/>
        </w:rPr>
        <w:t xml:space="preserve">repugnancia </w:t>
      </w:r>
      <w:r w:rsidRPr="009E5A8C">
        <w:rPr>
          <w:sz w:val="16"/>
          <w:szCs w:val="20"/>
        </w:rPr>
        <w:t xml:space="preserve">de diez </w:t>
      </w:r>
      <w:r w:rsidR="009D73CB" w:rsidRPr="009E5A8C">
        <w:rPr>
          <w:sz w:val="16"/>
          <w:szCs w:val="20"/>
        </w:rPr>
        <w:t>clases</w:t>
      </w:r>
      <w:r w:rsidRPr="009E5A8C">
        <w:rPr>
          <w:sz w:val="16"/>
          <w:szCs w:val="20"/>
        </w:rPr>
        <w:t xml:space="preserve"> de l</w:t>
      </w:r>
      <w:r w:rsidR="00834F61" w:rsidRPr="009E5A8C">
        <w:rPr>
          <w:sz w:val="16"/>
          <w:szCs w:val="20"/>
        </w:rPr>
        <w:t>a</w:t>
      </w:r>
      <w:r w:rsidRPr="009E5A8C">
        <w:rPr>
          <w:sz w:val="16"/>
          <w:szCs w:val="20"/>
        </w:rPr>
        <w:t xml:space="preserve"> manera</w:t>
      </w:r>
      <w:r w:rsidR="00834F61" w:rsidRPr="009E5A8C">
        <w:rPr>
          <w:sz w:val="16"/>
          <w:szCs w:val="20"/>
        </w:rPr>
        <w:t xml:space="preserve"> apropiada</w:t>
      </w:r>
      <w:r w:rsidRPr="009E5A8C">
        <w:rPr>
          <w:sz w:val="16"/>
          <w:szCs w:val="20"/>
        </w:rPr>
        <w:t>.</w:t>
      </w:r>
    </w:p>
    <w:p w14:paraId="58E014DC" w14:textId="049F839B" w:rsidR="005C72AE" w:rsidRPr="009E5A8C" w:rsidRDefault="005C72AE" w:rsidP="005C72AE">
      <w:pPr>
        <w:pStyle w:val="VersoIngls01Sangria"/>
        <w:rPr>
          <w:sz w:val="16"/>
          <w:szCs w:val="20"/>
        </w:rPr>
      </w:pPr>
      <w:r w:rsidRPr="009E5A8C">
        <w:rPr>
          <w:sz w:val="16"/>
          <w:szCs w:val="20"/>
        </w:rPr>
        <w:t>Ahora, conociendo su descripción y forma</w:t>
      </w:r>
    </w:p>
    <w:p w14:paraId="278D1B4F" w14:textId="42A1C9AF" w:rsidR="005C72AE" w:rsidRPr="009E5A8C" w:rsidRDefault="005C72AE" w:rsidP="005C72AE">
      <w:pPr>
        <w:pStyle w:val="VersoIngls01Sangria"/>
        <w:rPr>
          <w:sz w:val="16"/>
          <w:szCs w:val="20"/>
        </w:rPr>
      </w:pPr>
      <w:r w:rsidRPr="009E5A8C">
        <w:rPr>
          <w:sz w:val="16"/>
          <w:szCs w:val="20"/>
        </w:rPr>
        <w:t>Para abordar cada un</w:t>
      </w:r>
      <w:r w:rsidR="009D73CB" w:rsidRPr="009E5A8C">
        <w:rPr>
          <w:sz w:val="16"/>
          <w:szCs w:val="20"/>
        </w:rPr>
        <w:t>a</w:t>
      </w:r>
      <w:r w:rsidRPr="009E5A8C">
        <w:rPr>
          <w:sz w:val="16"/>
          <w:szCs w:val="20"/>
        </w:rPr>
        <w:t xml:space="preserve"> y </w:t>
      </w:r>
      <w:r w:rsidR="00B319AD" w:rsidRPr="009E5A8C">
        <w:rPr>
          <w:sz w:val="16"/>
          <w:szCs w:val="20"/>
        </w:rPr>
        <w:t xml:space="preserve">saber </w:t>
      </w:r>
      <w:r w:rsidRPr="009E5A8C">
        <w:rPr>
          <w:sz w:val="16"/>
          <w:szCs w:val="20"/>
        </w:rPr>
        <w:t>cómo desarrolla</w:t>
      </w:r>
      <w:r w:rsidR="009D73CB" w:rsidRPr="009E5A8C">
        <w:rPr>
          <w:sz w:val="16"/>
          <w:szCs w:val="20"/>
        </w:rPr>
        <w:t>rlas</w:t>
      </w:r>
      <w:r w:rsidRPr="009E5A8C">
        <w:rPr>
          <w:sz w:val="16"/>
          <w:szCs w:val="20"/>
        </w:rPr>
        <w:t>,</w:t>
      </w:r>
    </w:p>
    <w:p w14:paraId="6B5D61F0" w14:textId="0BDA36CC" w:rsidR="005C72AE" w:rsidRPr="009E5A8C" w:rsidRDefault="005C72AE" w:rsidP="005C72AE">
      <w:pPr>
        <w:pStyle w:val="VersoIngls01Sangria"/>
        <w:rPr>
          <w:sz w:val="16"/>
          <w:szCs w:val="20"/>
        </w:rPr>
      </w:pPr>
      <w:r w:rsidRPr="009E5A8C">
        <w:rPr>
          <w:sz w:val="16"/>
          <w:szCs w:val="20"/>
        </w:rPr>
        <w:t xml:space="preserve">Hay algunos puntos adicionales que </w:t>
      </w:r>
      <w:r w:rsidR="00E87C83" w:rsidRPr="009E5A8C">
        <w:rPr>
          <w:sz w:val="16"/>
          <w:szCs w:val="20"/>
        </w:rPr>
        <w:t>re</w:t>
      </w:r>
      <w:r w:rsidRPr="009E5A8C">
        <w:rPr>
          <w:sz w:val="16"/>
          <w:szCs w:val="20"/>
        </w:rPr>
        <w:t>compensarán</w:t>
      </w:r>
    </w:p>
    <w:p w14:paraId="788335E3" w14:textId="7EAC0AC1" w:rsidR="005C72AE" w:rsidRPr="009E5A8C" w:rsidRDefault="00E87C83" w:rsidP="005C72AE">
      <w:pPr>
        <w:pStyle w:val="VersoIngls01Sangria"/>
        <w:spacing w:after="100"/>
        <w:ind w:left="1418"/>
        <w:rPr>
          <w:sz w:val="16"/>
          <w:szCs w:val="20"/>
        </w:rPr>
      </w:pPr>
      <w:r w:rsidRPr="009E5A8C">
        <w:rPr>
          <w:sz w:val="16"/>
          <w:szCs w:val="20"/>
        </w:rPr>
        <w:t>El e</w:t>
      </w:r>
      <w:r w:rsidR="005C72AE" w:rsidRPr="009E5A8C">
        <w:rPr>
          <w:sz w:val="16"/>
          <w:szCs w:val="20"/>
        </w:rPr>
        <w:t xml:space="preserve">studio, cada uno con su parte especial </w:t>
      </w:r>
      <w:r w:rsidR="00B319AD" w:rsidRPr="009E5A8C">
        <w:rPr>
          <w:sz w:val="16"/>
          <w:szCs w:val="20"/>
        </w:rPr>
        <w:t>a</w:t>
      </w:r>
      <w:r w:rsidR="005C72AE" w:rsidRPr="009E5A8C">
        <w:rPr>
          <w:sz w:val="16"/>
          <w:szCs w:val="20"/>
        </w:rPr>
        <w:t xml:space="preserve"> desempeñar.</w:t>
      </w:r>
    </w:p>
    <w:p w14:paraId="5CB72F7D" w14:textId="6C8C3C76" w:rsidR="005C72AE" w:rsidRDefault="005C72AE" w:rsidP="005C72AE">
      <w:r>
        <w:t xml:space="preserve">83. </w:t>
      </w:r>
      <w:r w:rsidR="00994C00">
        <w:tab/>
      </w:r>
      <w:r>
        <w:t>Aquel que ha</w:t>
      </w:r>
      <w:r w:rsidR="00D51BD4">
        <w:t>ya</w:t>
      </w:r>
      <w:r>
        <w:t xml:space="preserve"> </w:t>
      </w:r>
      <w:r w:rsidR="00D51BD4">
        <w:t>consumado los</w:t>
      </w:r>
      <w:r>
        <w:t xml:space="preserve"> </w:t>
      </w:r>
      <w:proofErr w:type="spellStart"/>
      <w:r w:rsidR="00057BF4" w:rsidRPr="00057BF4">
        <w:rPr>
          <w:i/>
          <w:iCs/>
        </w:rPr>
        <w:t>jhāna</w:t>
      </w:r>
      <w:r w:rsidR="00D51BD4">
        <w:t>s</w:t>
      </w:r>
      <w:proofErr w:type="spellEnd"/>
      <w:r>
        <w:t xml:space="preserve"> </w:t>
      </w:r>
      <w:r w:rsidR="00D51BD4">
        <w:t>a través de</w:t>
      </w:r>
      <w:r>
        <w:t xml:space="preserve"> cualquiera de est</w:t>
      </w:r>
      <w:r w:rsidR="00B319AD">
        <w:t>o</w:t>
      </w:r>
      <w:r>
        <w:t xml:space="preserve">s </w:t>
      </w:r>
      <w:r w:rsidR="00B319AD">
        <w:t xml:space="preserve">objetos </w:t>
      </w:r>
      <w:r>
        <w:t>se libera</w:t>
      </w:r>
      <w:r w:rsidR="00D51BD4">
        <w:t>rá</w:t>
      </w:r>
      <w:r>
        <w:t xml:space="preserve"> de la codicia; se </w:t>
      </w:r>
      <w:r w:rsidR="00D51BD4">
        <w:t xml:space="preserve">parecerá </w:t>
      </w:r>
      <w:r>
        <w:t xml:space="preserve">[a un </w:t>
      </w:r>
      <w:r w:rsidR="00057BF4" w:rsidRPr="00057BF4">
        <w:rPr>
          <w:i/>
          <w:iCs/>
        </w:rPr>
        <w:t>Arahant</w:t>
      </w:r>
      <w:r>
        <w:t xml:space="preserve">] sin codicia porque su codicia </w:t>
      </w:r>
      <w:r w:rsidR="00D51BD4">
        <w:t xml:space="preserve">habrá </w:t>
      </w:r>
      <w:r>
        <w:t xml:space="preserve">sido bien reprimida. Al mismo tiempo, sin embargo, esta clasificación de la </w:t>
      </w:r>
      <w:r w:rsidR="00D51BD4">
        <w:t xml:space="preserve">repugnancia deberá </w:t>
      </w:r>
      <w:r>
        <w:t>entenderse establecida de acuerdo con las esencias individuales particulares alcanzadas sucesivamente por el cuerpo [muerto] y también de acuerdo con las subdivisiones particulares del temperamento codicioso.</w:t>
      </w:r>
    </w:p>
    <w:p w14:paraId="7AA5A925" w14:textId="4819096F" w:rsidR="005C72AE" w:rsidRDefault="005C72AE" w:rsidP="005C72AE">
      <w:r>
        <w:t xml:space="preserve">84. </w:t>
      </w:r>
      <w:r w:rsidR="00994C00">
        <w:tab/>
      </w:r>
      <w:r>
        <w:t>Cuando un cadáver ha</w:t>
      </w:r>
      <w:r w:rsidR="001620FC">
        <w:t>ya</w:t>
      </w:r>
      <w:r>
        <w:t xml:space="preserve"> entrado en estado </w:t>
      </w:r>
      <w:r w:rsidR="001620FC">
        <w:t xml:space="preserve">de </w:t>
      </w:r>
      <w:r>
        <w:t>repulsi</w:t>
      </w:r>
      <w:r w:rsidR="001620FC">
        <w:t>ón</w:t>
      </w:r>
      <w:r>
        <w:t xml:space="preserve">, </w:t>
      </w:r>
      <w:r w:rsidR="001620FC">
        <w:t xml:space="preserve">podrá </w:t>
      </w:r>
      <w:r>
        <w:t>haber alcanzado la esencia individual de</w:t>
      </w:r>
      <w:r w:rsidR="001620FC">
        <w:t xml:space="preserve"> </w:t>
      </w:r>
      <w:r>
        <w:t>l</w:t>
      </w:r>
      <w:r w:rsidR="001620FC">
        <w:t>o</w:t>
      </w:r>
      <w:r>
        <w:t xml:space="preserve"> hinchado o cualquiera de las esencias individuales comenzando por l</w:t>
      </w:r>
      <w:r w:rsidR="00B319AD">
        <w:t>o</w:t>
      </w:r>
      <w:r>
        <w:t xml:space="preserve"> lívido. Así que el signo debe</w:t>
      </w:r>
      <w:r w:rsidR="001620FC">
        <w:t>rá</w:t>
      </w:r>
      <w:r>
        <w:t xml:space="preserve"> ser aprehendido como “</w:t>
      </w:r>
      <w:r w:rsidR="001620FC">
        <w:t xml:space="preserve">Repugnancia </w:t>
      </w:r>
      <w:r w:rsidR="00B319AD">
        <w:t xml:space="preserve">sobre </w:t>
      </w:r>
      <w:r>
        <w:t>de lo hinchado”, “</w:t>
      </w:r>
      <w:r w:rsidR="001620FC">
        <w:t xml:space="preserve">Repugnancia </w:t>
      </w:r>
      <w:r w:rsidR="00B319AD">
        <w:t xml:space="preserve">sobre </w:t>
      </w:r>
      <w:r>
        <w:t xml:space="preserve">lo lívido”, según lo que </w:t>
      </w:r>
      <w:r w:rsidR="001620FC">
        <w:t xml:space="preserve">se </w:t>
      </w:r>
      <w:r>
        <w:t xml:space="preserve">haya podido encontrar. </w:t>
      </w:r>
      <w:r w:rsidR="001620FC">
        <w:t xml:space="preserve">Deberá </w:t>
      </w:r>
      <w:r>
        <w:t xml:space="preserve">entenderse que así es como la clasificación de la </w:t>
      </w:r>
      <w:r w:rsidR="001620FC">
        <w:t xml:space="preserve">repugnancia </w:t>
      </w:r>
      <w:r>
        <w:t>se multiplica</w:t>
      </w:r>
      <w:r w:rsidR="001620FC">
        <w:t>rá</w:t>
      </w:r>
      <w:r>
        <w:t xml:space="preserve"> por diez con la llegada del cuerpo a cada esencia individual particular.</w:t>
      </w:r>
    </w:p>
    <w:p w14:paraId="7A22F84A" w14:textId="4CCA3578" w:rsidR="005C72AE" w:rsidRDefault="005C72AE" w:rsidP="005C72AE">
      <w:r>
        <w:t xml:space="preserve">85. </w:t>
      </w:r>
      <w:r w:rsidR="00994C00">
        <w:tab/>
      </w:r>
      <w:r>
        <w:t xml:space="preserve">E individualmente </w:t>
      </w:r>
      <w:r w:rsidRPr="00176717">
        <w:rPr>
          <w:i/>
          <w:iCs/>
        </w:rPr>
        <w:t>l</w:t>
      </w:r>
      <w:r w:rsidR="001620FC">
        <w:rPr>
          <w:i/>
          <w:iCs/>
        </w:rPr>
        <w:t>o</w:t>
      </w:r>
      <w:r w:rsidRPr="00176717">
        <w:rPr>
          <w:i/>
          <w:iCs/>
        </w:rPr>
        <w:t xml:space="preserve"> hincha</w:t>
      </w:r>
      <w:r w:rsidR="001620FC">
        <w:rPr>
          <w:i/>
          <w:iCs/>
        </w:rPr>
        <w:t>do</w:t>
      </w:r>
      <w:r>
        <w:t xml:space="preserve"> le conven</w:t>
      </w:r>
      <w:r w:rsidR="001620FC">
        <w:t>drá</w:t>
      </w:r>
      <w:r>
        <w:t xml:space="preserve"> al que s</w:t>
      </w:r>
      <w:r w:rsidR="001620FC">
        <w:t>ea</w:t>
      </w:r>
      <w:r>
        <w:t xml:space="preserve"> codicioso </w:t>
      </w:r>
      <w:r w:rsidR="001620FC">
        <w:t>por</w:t>
      </w:r>
      <w:r>
        <w:t xml:space="preserve"> la forma, ya que ha</w:t>
      </w:r>
      <w:r w:rsidR="001620FC">
        <w:t>rá</w:t>
      </w:r>
      <w:r>
        <w:t xml:space="preserve"> evidente la desfiguración de la forma del cuerpo. </w:t>
      </w:r>
      <w:r w:rsidR="001620FC" w:rsidRPr="001620FC">
        <w:rPr>
          <w:i/>
          <w:iCs/>
        </w:rPr>
        <w:t>Lo</w:t>
      </w:r>
      <w:r w:rsidRPr="00BD37E4">
        <w:rPr>
          <w:i/>
          <w:iCs/>
        </w:rPr>
        <w:t xml:space="preserve"> lívido</w:t>
      </w:r>
      <w:r>
        <w:t xml:space="preserve"> </w:t>
      </w:r>
      <w:r w:rsidR="001620FC">
        <w:t xml:space="preserve">le convendrá </w:t>
      </w:r>
      <w:r>
        <w:t xml:space="preserve">al codicioso </w:t>
      </w:r>
      <w:r w:rsidR="001620FC">
        <w:t xml:space="preserve">por </w:t>
      </w:r>
      <w:r>
        <w:t xml:space="preserve">el color del cuerpo, ya que </w:t>
      </w:r>
      <w:r w:rsidR="001620FC">
        <w:t xml:space="preserve">hará </w:t>
      </w:r>
      <w:r>
        <w:t xml:space="preserve">evidente la desfiguración del color de la piel. </w:t>
      </w:r>
      <w:r w:rsidRPr="00176717">
        <w:rPr>
          <w:i/>
          <w:iCs/>
        </w:rPr>
        <w:t>L</w:t>
      </w:r>
      <w:r w:rsidR="001620FC">
        <w:rPr>
          <w:i/>
          <w:iCs/>
        </w:rPr>
        <w:t>o</w:t>
      </w:r>
      <w:r w:rsidRPr="00176717">
        <w:rPr>
          <w:i/>
          <w:iCs/>
        </w:rPr>
        <w:t xml:space="preserve"> supura</w:t>
      </w:r>
      <w:r w:rsidR="001620FC">
        <w:rPr>
          <w:i/>
          <w:iCs/>
        </w:rPr>
        <w:t>do</w:t>
      </w:r>
      <w:r>
        <w:t xml:space="preserve"> [194] </w:t>
      </w:r>
      <w:r w:rsidR="001620FC">
        <w:t xml:space="preserve">le convendrá </w:t>
      </w:r>
      <w:r>
        <w:t>a quien s</w:t>
      </w:r>
      <w:r w:rsidR="001620FC">
        <w:t>ea</w:t>
      </w:r>
      <w:r>
        <w:t xml:space="preserve"> codicioso </w:t>
      </w:r>
      <w:r w:rsidR="00F93B7C">
        <w:t xml:space="preserve">por </w:t>
      </w:r>
      <w:r>
        <w:t>el olor del cuerpo provocado por olores, perfumes, etc., ya que pon</w:t>
      </w:r>
      <w:r w:rsidR="00761D2B">
        <w:t>drá</w:t>
      </w:r>
      <w:r>
        <w:t xml:space="preserve"> de manifiesto los malos olores relacionados con esta llaga, el cuerpo. </w:t>
      </w:r>
      <w:r w:rsidR="00761D2B">
        <w:rPr>
          <w:i/>
          <w:iCs/>
        </w:rPr>
        <w:t>Lo</w:t>
      </w:r>
      <w:r w:rsidRPr="00176717">
        <w:rPr>
          <w:i/>
          <w:iCs/>
        </w:rPr>
        <w:t xml:space="preserve"> cort</w:t>
      </w:r>
      <w:r w:rsidR="00761D2B">
        <w:rPr>
          <w:i/>
          <w:iCs/>
        </w:rPr>
        <w:t>ado</w:t>
      </w:r>
      <w:r>
        <w:t xml:space="preserve"> se adapta</w:t>
      </w:r>
      <w:r w:rsidR="00761D2B">
        <w:t>rá</w:t>
      </w:r>
      <w:r>
        <w:t xml:space="preserve"> a quien s</w:t>
      </w:r>
      <w:r w:rsidR="00761D2B">
        <w:t>ea</w:t>
      </w:r>
      <w:r>
        <w:t xml:space="preserve"> codicioso por la compacidad del cuerpo, ya que ha</w:t>
      </w:r>
      <w:r w:rsidR="00761D2B">
        <w:t>rá</w:t>
      </w:r>
      <w:r>
        <w:t xml:space="preserve"> evidente el vacío en su interior. </w:t>
      </w:r>
      <w:r w:rsidR="00BD37E4" w:rsidRPr="00BD37E4">
        <w:rPr>
          <w:i/>
          <w:iCs/>
        </w:rPr>
        <w:t>Lo</w:t>
      </w:r>
      <w:r w:rsidRPr="00BD37E4">
        <w:rPr>
          <w:i/>
          <w:iCs/>
        </w:rPr>
        <w:t xml:space="preserve"> roído</w:t>
      </w:r>
      <w:r>
        <w:t xml:space="preserve"> </w:t>
      </w:r>
      <w:r w:rsidR="00693E08">
        <w:t xml:space="preserve">le convendrá </w:t>
      </w:r>
      <w:r>
        <w:t>a quien s</w:t>
      </w:r>
      <w:r w:rsidR="00693E08">
        <w:t>ea</w:t>
      </w:r>
      <w:r>
        <w:t xml:space="preserve"> codicioso por la acumulación de carne en partes del cuerpo como los senos, ya que ha</w:t>
      </w:r>
      <w:r w:rsidR="00693E08">
        <w:t>rá</w:t>
      </w:r>
      <w:r>
        <w:t xml:space="preserve"> evidente cómo una fina acumulación de carne se convert</w:t>
      </w:r>
      <w:r w:rsidR="00693E08">
        <w:t>irá</w:t>
      </w:r>
      <w:r>
        <w:t xml:space="preserve"> en nada. </w:t>
      </w:r>
      <w:r w:rsidR="00BD37E4" w:rsidRPr="00BD37E4">
        <w:rPr>
          <w:i/>
          <w:iCs/>
        </w:rPr>
        <w:t>Lo</w:t>
      </w:r>
      <w:r w:rsidRPr="00BD37E4">
        <w:rPr>
          <w:i/>
          <w:iCs/>
        </w:rPr>
        <w:t xml:space="preserve"> disperso</w:t>
      </w:r>
      <w:r>
        <w:t xml:space="preserve"> se adapta</w:t>
      </w:r>
      <w:r w:rsidR="00693E08">
        <w:t>rá</w:t>
      </w:r>
      <w:r>
        <w:t xml:space="preserve"> a quien </w:t>
      </w:r>
      <w:r w:rsidR="00693E08">
        <w:t xml:space="preserve">sea </w:t>
      </w:r>
      <w:r>
        <w:t>codicioso por la gracia de los miembros, ya que ha</w:t>
      </w:r>
      <w:r w:rsidR="00693E08">
        <w:t>rá</w:t>
      </w:r>
      <w:r>
        <w:t xml:space="preserve"> evidente cómo los miembros pueden ser esparcidos. </w:t>
      </w:r>
      <w:r w:rsidRPr="00BD37E4">
        <w:rPr>
          <w:i/>
          <w:iCs/>
        </w:rPr>
        <w:t xml:space="preserve">Lo </w:t>
      </w:r>
      <w:r w:rsidR="00B04A3C">
        <w:rPr>
          <w:i/>
          <w:iCs/>
        </w:rPr>
        <w:t>infectado</w:t>
      </w:r>
      <w:r>
        <w:t xml:space="preserve"> </w:t>
      </w:r>
      <w:r w:rsidRPr="00BD37E4">
        <w:rPr>
          <w:i/>
          <w:iCs/>
        </w:rPr>
        <w:t xml:space="preserve">y </w:t>
      </w:r>
      <w:r w:rsidR="00B04A3C">
        <w:rPr>
          <w:i/>
          <w:iCs/>
        </w:rPr>
        <w:t xml:space="preserve">disperso </w:t>
      </w:r>
      <w:r w:rsidR="00B04A3C">
        <w:t xml:space="preserve">le convendrá </w:t>
      </w:r>
      <w:r>
        <w:t xml:space="preserve">al codicioso </w:t>
      </w:r>
      <w:r w:rsidR="00F93B7C">
        <w:t>por</w:t>
      </w:r>
      <w:r>
        <w:t xml:space="preserve"> un cuerpo fino como un todo, ya que ha</w:t>
      </w:r>
      <w:r w:rsidR="00B04A3C">
        <w:t>rá</w:t>
      </w:r>
      <w:r>
        <w:t xml:space="preserve"> evidente la desintegración y alteración del cuerpo como un todo. </w:t>
      </w:r>
      <w:r w:rsidR="00BD37E4" w:rsidRPr="00BD37E4">
        <w:rPr>
          <w:i/>
          <w:iCs/>
        </w:rPr>
        <w:t>Lo</w:t>
      </w:r>
      <w:r w:rsidRPr="00BD37E4">
        <w:rPr>
          <w:i/>
          <w:iCs/>
        </w:rPr>
        <w:t xml:space="preserve"> sangrado</w:t>
      </w:r>
      <w:r>
        <w:t xml:space="preserve"> </w:t>
      </w:r>
      <w:r w:rsidR="00B04A3C">
        <w:t xml:space="preserve">le convendrá </w:t>
      </w:r>
      <w:r>
        <w:t>a quien s</w:t>
      </w:r>
      <w:r w:rsidR="00B04A3C">
        <w:t>ea</w:t>
      </w:r>
      <w:r>
        <w:t xml:space="preserve"> codicioso </w:t>
      </w:r>
      <w:r w:rsidR="00F93B7C">
        <w:t>por</w:t>
      </w:r>
      <w:r>
        <w:t xml:space="preserve"> la elegancia que producen los ornamentos, ya que </w:t>
      </w:r>
      <w:r w:rsidR="00B04A3C">
        <w:t>hará</w:t>
      </w:r>
      <w:r>
        <w:t xml:space="preserve"> evidente su repulsión cuando se unt</w:t>
      </w:r>
      <w:r w:rsidR="00B04A3C">
        <w:t>e</w:t>
      </w:r>
      <w:r>
        <w:t xml:space="preserve"> </w:t>
      </w:r>
      <w:r w:rsidR="00B04A3C">
        <w:t>de</w:t>
      </w:r>
      <w:r>
        <w:t xml:space="preserve"> sangre.</w:t>
      </w:r>
      <w:r w:rsidR="00BD37E4">
        <w:t xml:space="preserve"> </w:t>
      </w:r>
      <w:r w:rsidR="00BD37E4" w:rsidRPr="00BD37E4">
        <w:rPr>
          <w:i/>
          <w:iCs/>
        </w:rPr>
        <w:t>Lo</w:t>
      </w:r>
      <w:r w:rsidRPr="00BD37E4">
        <w:rPr>
          <w:i/>
          <w:iCs/>
        </w:rPr>
        <w:t xml:space="preserve"> infestado</w:t>
      </w:r>
      <w:r>
        <w:t xml:space="preserve"> </w:t>
      </w:r>
      <w:r w:rsidRPr="00BD37E4">
        <w:rPr>
          <w:i/>
          <w:iCs/>
        </w:rPr>
        <w:t>de gusanos</w:t>
      </w:r>
      <w:r>
        <w:t xml:space="preserve"> </w:t>
      </w:r>
      <w:r w:rsidR="00B04A3C">
        <w:t xml:space="preserve">le convendrá </w:t>
      </w:r>
      <w:r>
        <w:t>a quien s</w:t>
      </w:r>
      <w:r w:rsidR="00B04A3C">
        <w:t>ea</w:t>
      </w:r>
      <w:r>
        <w:t xml:space="preserve"> codicioso por la propiedad del cuerpo, ya que ha</w:t>
      </w:r>
      <w:r w:rsidR="00B04A3C">
        <w:t>rá</w:t>
      </w:r>
      <w:r>
        <w:t xml:space="preserve"> evidente cómo el cuerpo se comparte con muchas familias de gusanos. </w:t>
      </w:r>
      <w:r w:rsidRPr="00BD37E4">
        <w:rPr>
          <w:i/>
          <w:iCs/>
        </w:rPr>
        <w:t>Un esqueleto</w:t>
      </w:r>
      <w:r>
        <w:t xml:space="preserve"> se adapta</w:t>
      </w:r>
      <w:r w:rsidR="00744FC6">
        <w:t>rá</w:t>
      </w:r>
      <w:r>
        <w:t xml:space="preserve"> a alguien ávido de dientes finos, ya que ha</w:t>
      </w:r>
      <w:r w:rsidR="00744FC6">
        <w:t>rá</w:t>
      </w:r>
      <w:r>
        <w:t xml:space="preserve"> evidente la repulsión de los huesos en el cuerpo. Debe</w:t>
      </w:r>
      <w:r w:rsidR="00744FC6">
        <w:t>rá</w:t>
      </w:r>
      <w:r>
        <w:t xml:space="preserve"> entenderse que así es como la clasificación de la </w:t>
      </w:r>
      <w:r w:rsidR="00744FC6">
        <w:t xml:space="preserve">repugnancia </w:t>
      </w:r>
      <w:r>
        <w:t>llega</w:t>
      </w:r>
      <w:r w:rsidR="00744FC6">
        <w:t>rá</w:t>
      </w:r>
      <w:r>
        <w:t xml:space="preserve"> a multiplicarse por diez según las subdivisiones del temperamento codicioso.</w:t>
      </w:r>
    </w:p>
    <w:p w14:paraId="39ED09C8" w14:textId="559D2103" w:rsidR="00994C00" w:rsidRDefault="00994C00">
      <w:pPr>
        <w:tabs>
          <w:tab w:val="clear" w:pos="425"/>
        </w:tabs>
        <w:spacing w:after="160"/>
      </w:pPr>
      <w:r>
        <w:br w:type="page"/>
      </w:r>
    </w:p>
    <w:p w14:paraId="34B9CBF9" w14:textId="7FFF87F0" w:rsidR="00765C32" w:rsidRDefault="00765C32" w:rsidP="00765C32">
      <w:r>
        <w:lastRenderedPageBreak/>
        <w:br/>
        <w:t xml:space="preserve">86. </w:t>
      </w:r>
      <w:r w:rsidR="00D11879">
        <w:tab/>
      </w:r>
      <w:r w:rsidR="00A44A84">
        <w:t xml:space="preserve">No obstante, respecto </w:t>
      </w:r>
      <w:r>
        <w:t>a la</w:t>
      </w:r>
      <w:r w:rsidR="00E12B74">
        <w:t>s</w:t>
      </w:r>
      <w:r>
        <w:t xml:space="preserve"> </w:t>
      </w:r>
      <w:r w:rsidR="00E12B74">
        <w:t xml:space="preserve">diez </w:t>
      </w:r>
      <w:r>
        <w:t>impureza</w:t>
      </w:r>
      <w:r w:rsidR="00E12B74">
        <w:t>s</w:t>
      </w:r>
      <w:r w:rsidR="00A44A84">
        <w:t xml:space="preserve">: </w:t>
      </w:r>
      <w:r>
        <w:t xml:space="preserve">así como es sólo en virtud de su timón que un barco se mantiene estable en un río </w:t>
      </w:r>
      <w:r w:rsidR="00A44A84">
        <w:t>de</w:t>
      </w:r>
      <w:r>
        <w:t xml:space="preserve"> aguas turbulentas</w:t>
      </w:r>
      <w:r w:rsidRPr="00185589">
        <w:rPr>
          <w:vertAlign w:val="superscript"/>
        </w:rPr>
        <w:t>13</w:t>
      </w:r>
      <w:r>
        <w:t xml:space="preserve"> y una corriente rápida, y no </w:t>
      </w:r>
      <w:r w:rsidR="00562A68">
        <w:t>podrá</w:t>
      </w:r>
      <w:r>
        <w:t xml:space="preserve"> estabilizarse sin un timón, así también [aquí]</w:t>
      </w:r>
      <w:r w:rsidR="00421C0E">
        <w:t>,</w:t>
      </w:r>
      <w:r>
        <w:t xml:space="preserve"> </w:t>
      </w:r>
      <w:r w:rsidR="00421C0E">
        <w:t xml:space="preserve">debido </w:t>
      </w:r>
      <w:r>
        <w:t>a</w:t>
      </w:r>
      <w:r w:rsidR="00025BCC">
        <w:t xml:space="preserve"> </w:t>
      </w:r>
      <w:r>
        <w:t>l</w:t>
      </w:r>
      <w:r w:rsidR="00025BCC">
        <w:t>a</w:t>
      </w:r>
      <w:r>
        <w:t xml:space="preserve"> débil </w:t>
      </w:r>
      <w:r w:rsidR="00025BCC">
        <w:t>aprehensión</w:t>
      </w:r>
      <w:r>
        <w:t xml:space="preserve"> del objeto, la con</w:t>
      </w:r>
      <w:r w:rsidR="00025BCC">
        <w:t>s</w:t>
      </w:r>
      <w:r>
        <w:t>ciencia, cuando se unifi</w:t>
      </w:r>
      <w:r w:rsidR="00025BCC">
        <w:t>que</w:t>
      </w:r>
      <w:r>
        <w:t>, solo se manten</w:t>
      </w:r>
      <w:r w:rsidR="00025BCC">
        <w:t>drá</w:t>
      </w:r>
      <w:r>
        <w:t xml:space="preserve"> estable en virtud de</w:t>
      </w:r>
      <w:r w:rsidR="00562A68">
        <w:t xml:space="preserve"> </w:t>
      </w:r>
      <w:r>
        <w:t>l</w:t>
      </w:r>
      <w:r w:rsidR="00562A68">
        <w:t>a</w:t>
      </w:r>
      <w:r>
        <w:t xml:space="preserve"> </w:t>
      </w:r>
      <w:r w:rsidR="00562A68">
        <w:t>aplicación mental</w:t>
      </w:r>
      <w:r>
        <w:t xml:space="preserve">, y no </w:t>
      </w:r>
      <w:r w:rsidR="00025BCC">
        <w:t xml:space="preserve">podrá </w:t>
      </w:r>
      <w:r>
        <w:t>estabilizarse sin l</w:t>
      </w:r>
      <w:r w:rsidR="00562A68">
        <w:t>a</w:t>
      </w:r>
      <w:r>
        <w:t xml:space="preserve"> </w:t>
      </w:r>
      <w:r w:rsidR="00562A68">
        <w:t>aplicación mental</w:t>
      </w:r>
      <w:r>
        <w:t xml:space="preserve">, razón por la cual aquí solo </w:t>
      </w:r>
      <w:r w:rsidR="00025BCC">
        <w:t xml:space="preserve">se manifestará </w:t>
      </w:r>
      <w:r>
        <w:t xml:space="preserve">el primer </w:t>
      </w:r>
      <w:proofErr w:type="spellStart"/>
      <w:r w:rsidR="00057BF4" w:rsidRPr="00057BF4">
        <w:rPr>
          <w:i/>
          <w:iCs/>
        </w:rPr>
        <w:t>jhāna</w:t>
      </w:r>
      <w:proofErr w:type="spellEnd"/>
      <w:r>
        <w:t xml:space="preserve">, no el segundo y </w:t>
      </w:r>
      <w:r w:rsidR="00025BCC">
        <w:t>los restantes</w:t>
      </w:r>
      <w:r>
        <w:t>.</w:t>
      </w:r>
    </w:p>
    <w:p w14:paraId="56D2DEA8" w14:textId="1760FE2C" w:rsidR="00765C32" w:rsidRDefault="00765C32" w:rsidP="00765C32">
      <w:r>
        <w:t xml:space="preserve">87. </w:t>
      </w:r>
      <w:r w:rsidR="00D11879">
        <w:tab/>
      </w:r>
      <w:r>
        <w:t xml:space="preserve">Y por </w:t>
      </w:r>
      <w:r w:rsidR="00025BCC">
        <w:t>repugnante</w:t>
      </w:r>
      <w:r>
        <w:t xml:space="preserve"> que sea este objeto, sin </w:t>
      </w:r>
      <w:r w:rsidR="004D7686">
        <w:t>embargo,</w:t>
      </w:r>
      <w:r>
        <w:t xml:space="preserve"> desperta</w:t>
      </w:r>
      <w:r w:rsidR="00025BCC">
        <w:t>rá</w:t>
      </w:r>
      <w:r>
        <w:t xml:space="preserve"> alegría y felicidad en él al ver sus ventajas </w:t>
      </w:r>
      <w:r w:rsidR="004D7686">
        <w:t xml:space="preserve">y al abandonar la opresión de los obstáculos </w:t>
      </w:r>
      <w:r>
        <w:t>así: "</w:t>
      </w:r>
      <w:r w:rsidRPr="00BD37E4">
        <w:rPr>
          <w:i/>
          <w:iCs/>
        </w:rPr>
        <w:t>Ciertamente de esta manera seré liberado del envejecimiento y la muerte</w:t>
      </w:r>
      <w:r>
        <w:t>"; tal como lo hace un</w:t>
      </w:r>
      <w:r w:rsidR="009A7E34">
        <w:t>a</w:t>
      </w:r>
      <w:r>
        <w:t xml:space="preserve"> </w:t>
      </w:r>
      <w:r w:rsidR="009A7E34">
        <w:t>cantidad</w:t>
      </w:r>
      <w:r>
        <w:t xml:space="preserve"> de basura </w:t>
      </w:r>
      <w:r w:rsidR="00313FD0">
        <w:t>con</w:t>
      </w:r>
      <w:r>
        <w:t xml:space="preserve"> un </w:t>
      </w:r>
      <w:r w:rsidR="00A61B27">
        <w:t>barrendero</w:t>
      </w:r>
      <w:r>
        <w:t xml:space="preserve"> de flores al ver las ventajas de esta manera: "Ahora tendré un </w:t>
      </w:r>
      <w:r w:rsidR="004D7686">
        <w:t>ingreso</w:t>
      </w:r>
      <w:r>
        <w:t xml:space="preserve"> alto", y </w:t>
      </w:r>
      <w:r w:rsidR="00A61B27">
        <w:t xml:space="preserve">también </w:t>
      </w:r>
      <w:r>
        <w:t>como lo hacen las purgas y los eméticos en un hombre que sufr</w:t>
      </w:r>
      <w:r w:rsidR="004D7686">
        <w:t>a</w:t>
      </w:r>
      <w:r>
        <w:t xml:space="preserve"> los dolores de</w:t>
      </w:r>
      <w:r w:rsidR="004D7686">
        <w:t xml:space="preserve">bido a una </w:t>
      </w:r>
      <w:r>
        <w:t>enfermedad.</w:t>
      </w:r>
    </w:p>
    <w:p w14:paraId="72B4ACA5" w14:textId="38835085" w:rsidR="00765C32" w:rsidRDefault="00765C32" w:rsidP="00765C32">
      <w:r>
        <w:t xml:space="preserve">88. </w:t>
      </w:r>
      <w:r w:rsidR="00D11879">
        <w:tab/>
      </w:r>
      <w:r>
        <w:t xml:space="preserve">Esta </w:t>
      </w:r>
      <w:r w:rsidR="004D7686">
        <w:t>repugnancia</w:t>
      </w:r>
      <w:r>
        <w:t xml:space="preserve">, aunque de diez tipos, </w:t>
      </w:r>
      <w:r w:rsidR="004D7686">
        <w:t>tendrá</w:t>
      </w:r>
      <w:r>
        <w:t xml:space="preserve"> una sola característica. Porque</w:t>
      </w:r>
      <w:r w:rsidR="004D7686">
        <w:t>,</w:t>
      </w:r>
      <w:r>
        <w:t xml:space="preserve"> aunque </w:t>
      </w:r>
      <w:r w:rsidR="004D7686">
        <w:t xml:space="preserve">sea </w:t>
      </w:r>
      <w:r>
        <w:t>de diez tipos, sin embargo</w:t>
      </w:r>
      <w:r w:rsidR="004D7686">
        <w:t>,</w:t>
      </w:r>
      <w:r>
        <w:t xml:space="preserve"> su característica </w:t>
      </w:r>
      <w:r w:rsidR="004D7686">
        <w:t xml:space="preserve">será </w:t>
      </w:r>
      <w:r>
        <w:t>sólo su estado (esencia</w:t>
      </w:r>
      <w:r w:rsidR="008C6CCF">
        <w:t>lmente</w:t>
      </w:r>
      <w:r>
        <w:t xml:space="preserve">) impuro, apestoso, repugnante y repulsivo. Y la </w:t>
      </w:r>
      <w:r w:rsidR="008C6CCF">
        <w:t xml:space="preserve">repugnancia </w:t>
      </w:r>
      <w:r>
        <w:t>aparece</w:t>
      </w:r>
      <w:r w:rsidR="008C6CCF">
        <w:t>rá</w:t>
      </w:r>
      <w:r>
        <w:t xml:space="preserve"> con esta característica no solo en un cuerpo muerto sino también en uno vivo, como le sucedió al </w:t>
      </w:r>
      <w:r w:rsidR="00BD37E4">
        <w:t xml:space="preserve">Venerable </w:t>
      </w:r>
      <w:r>
        <w:t>Mahā-</w:t>
      </w:r>
      <w:proofErr w:type="spellStart"/>
      <w:r>
        <w:t>Tissa</w:t>
      </w:r>
      <w:proofErr w:type="spellEnd"/>
      <w:r>
        <w:t xml:space="preserve"> que vivía en </w:t>
      </w:r>
      <w:proofErr w:type="spellStart"/>
      <w:r>
        <w:t>Cetiyapabbata</w:t>
      </w:r>
      <w:proofErr w:type="spellEnd"/>
      <w:r>
        <w:t xml:space="preserve"> (I.55), y al asistente novicio del </w:t>
      </w:r>
      <w:r w:rsidR="00BD37E4">
        <w:t xml:space="preserve">Venerable </w:t>
      </w:r>
      <w:proofErr w:type="spellStart"/>
      <w:r w:rsidR="00057BF4" w:rsidRPr="008C6CCF">
        <w:rPr>
          <w:iCs/>
        </w:rPr>
        <w:t>Saṅgha</w:t>
      </w:r>
      <w:r w:rsidRPr="008C6CCF">
        <w:rPr>
          <w:iCs/>
        </w:rPr>
        <w:t>rakkhita</w:t>
      </w:r>
      <w:proofErr w:type="spellEnd"/>
      <w:r>
        <w:t xml:space="preserve"> mientras estaba viendo a</w:t>
      </w:r>
      <w:r w:rsidR="00A61B27">
        <w:t xml:space="preserve"> un</w:t>
      </w:r>
      <w:r>
        <w:t xml:space="preserve"> rey montando un elefante. Porque un cuerpo vivo </w:t>
      </w:r>
      <w:r w:rsidR="008C6CCF">
        <w:t xml:space="preserve">será </w:t>
      </w:r>
      <w:r>
        <w:t xml:space="preserve">tan </w:t>
      </w:r>
      <w:r w:rsidR="008C6CCF">
        <w:t xml:space="preserve">repugnante </w:t>
      </w:r>
      <w:r>
        <w:t xml:space="preserve">como uno muerto, [195] sólo la característica de </w:t>
      </w:r>
      <w:r w:rsidR="00562CD6">
        <w:t xml:space="preserve">la repugnancia </w:t>
      </w:r>
      <w:r>
        <w:t xml:space="preserve">no </w:t>
      </w:r>
      <w:r w:rsidR="00562CD6">
        <w:t xml:space="preserve">será </w:t>
      </w:r>
      <w:r>
        <w:t>evidente en un cuerpo vivo</w:t>
      </w:r>
      <w:r w:rsidR="00562CD6">
        <w:t xml:space="preserve"> y</w:t>
      </w:r>
      <w:r>
        <w:t xml:space="preserve"> ocultad</w:t>
      </w:r>
      <w:r w:rsidR="00562CD6">
        <w:t>o</w:t>
      </w:r>
      <w:r>
        <w:t xml:space="preserve"> por adornos adventicios.</w:t>
      </w:r>
    </w:p>
    <w:p w14:paraId="18501913" w14:textId="63834F94" w:rsidR="00765C32" w:rsidRDefault="00765C32" w:rsidP="00765C32">
      <w:r>
        <w:t xml:space="preserve">89. </w:t>
      </w:r>
      <w:r w:rsidR="00D11879">
        <w:tab/>
      </w:r>
      <w:r>
        <w:t xml:space="preserve">Esta es la naturaleza del cuerpo: es una colección de más de trescientos huesos, unidos por ciento ochenta articulaciones, unidos por novecientos tendones, recubiertos con novecientos pedazos de carne, envueltos en piel interior húmeda, encerrados en la cutícula exterior, con orificios aquí y allá, goteando y </w:t>
      </w:r>
      <w:r w:rsidR="003C71A2">
        <w:t>exudando</w:t>
      </w:r>
      <w:r>
        <w:t xml:space="preserve"> constantemente como una olla de grasa, habitada por una comunidad de gusanos, hogar de la</w:t>
      </w:r>
      <w:r w:rsidR="00473DF8">
        <w:t>s</w:t>
      </w:r>
      <w:r>
        <w:t xml:space="preserve"> enfermedad</w:t>
      </w:r>
      <w:r w:rsidR="00473DF8">
        <w:t>es</w:t>
      </w:r>
      <w:r>
        <w:t xml:space="preserve">, base </w:t>
      </w:r>
      <w:r w:rsidR="00473DF8">
        <w:t>para</w:t>
      </w:r>
      <w:r>
        <w:t xml:space="preserve"> los estados dolorosos, rezumando perpetuamente </w:t>
      </w:r>
      <w:r w:rsidR="0006520F">
        <w:t xml:space="preserve">a través de </w:t>
      </w:r>
      <w:r>
        <w:t xml:space="preserve">los nueve orificios como un carbunco </w:t>
      </w:r>
      <w:r w:rsidR="00D55417">
        <w:t xml:space="preserve">crónico y </w:t>
      </w:r>
      <w:r>
        <w:t>abierto, de ambos ojos gotea</w:t>
      </w:r>
      <w:r w:rsidR="0006520F">
        <w:t>ndo</w:t>
      </w:r>
      <w:r>
        <w:t xml:space="preserve"> suciedad de ojos, de cuyos oídos sale suciedad de oídos, de cuyas fosas nasales mocos, de cuya boca comida</w:t>
      </w:r>
      <w:r w:rsidR="0006520F">
        <w:t>,</w:t>
      </w:r>
      <w:r>
        <w:t xml:space="preserve"> bilis</w:t>
      </w:r>
      <w:r w:rsidR="0006520F">
        <w:t>,</w:t>
      </w:r>
      <w:r>
        <w:t xml:space="preserve"> flema y sangre, de cuyas salidas inferiores excremento y orina, y de cuyos noventa y nueve mil poros </w:t>
      </w:r>
      <w:r w:rsidR="001F3274">
        <w:t xml:space="preserve">brotan </w:t>
      </w:r>
      <w:r>
        <w:t>el caldo de</w:t>
      </w:r>
      <w:r w:rsidR="00D55417">
        <w:t>l</w:t>
      </w:r>
      <w:r>
        <w:t xml:space="preserve"> sudor rancio, con </w:t>
      </w:r>
      <w:r w:rsidR="00A44826">
        <w:t>moscas</w:t>
      </w:r>
      <w:r>
        <w:t xml:space="preserve"> y similares zumbando a su alrededor, que cuando no atiende con </w:t>
      </w:r>
      <w:r w:rsidR="00A44826" w:rsidRPr="00AF3823">
        <w:rPr>
          <w:iCs/>
        </w:rPr>
        <w:t>palillos</w:t>
      </w:r>
      <w:r w:rsidR="00A44826">
        <w:rPr>
          <w:i/>
        </w:rPr>
        <w:t xml:space="preserve"> </w:t>
      </w:r>
      <w:r w:rsidR="00A44826">
        <w:t xml:space="preserve">los </w:t>
      </w:r>
      <w:r>
        <w:t xml:space="preserve">dientes </w:t>
      </w:r>
      <w:r w:rsidR="00AF3823">
        <w:t xml:space="preserve">y utiliza </w:t>
      </w:r>
      <w:r>
        <w:t xml:space="preserve">enjuague bucal y </w:t>
      </w:r>
      <w:r w:rsidR="00AF3823">
        <w:t>se un</w:t>
      </w:r>
      <w:r w:rsidR="00381114">
        <w:t>ja</w:t>
      </w:r>
      <w:r w:rsidR="00AF3823">
        <w:t xml:space="preserve"> la </w:t>
      </w:r>
      <w:r>
        <w:t xml:space="preserve">cabeza y </w:t>
      </w:r>
      <w:r w:rsidR="00427C13">
        <w:t xml:space="preserve">se </w:t>
      </w:r>
      <w:r>
        <w:t>bañ</w:t>
      </w:r>
      <w:r w:rsidR="00381114">
        <w:t>e</w:t>
      </w:r>
      <w:r>
        <w:t xml:space="preserve"> y </w:t>
      </w:r>
      <w:r w:rsidR="00427C13">
        <w:t xml:space="preserve">use </w:t>
      </w:r>
      <w:r>
        <w:t xml:space="preserve">ropa interior y </w:t>
      </w:r>
      <w:r w:rsidR="00427C13">
        <w:t xml:space="preserve">se </w:t>
      </w:r>
      <w:r>
        <w:t>v</w:t>
      </w:r>
      <w:r w:rsidR="00427C13">
        <w:t>i</w:t>
      </w:r>
      <w:r>
        <w:t>st</w:t>
      </w:r>
      <w:r w:rsidR="00427C13">
        <w:t>a</w:t>
      </w:r>
      <w:r>
        <w:t>, a juzgar por la repulsión universal del cuerpo, ha</w:t>
      </w:r>
      <w:r w:rsidR="000145F8">
        <w:t>r</w:t>
      </w:r>
      <w:r w:rsidR="001F705B">
        <w:t>ía</w:t>
      </w:r>
      <w:r>
        <w:t xml:space="preserve"> incluso </w:t>
      </w:r>
      <w:r w:rsidR="000145F8">
        <w:t xml:space="preserve">que el cuerpo de </w:t>
      </w:r>
      <w:r>
        <w:t>un rey, si vag</w:t>
      </w:r>
      <w:r w:rsidR="000145F8">
        <w:t>ase</w:t>
      </w:r>
      <w:r>
        <w:t xml:space="preserve"> de aldea en aldea con su cabello en desorden natural </w:t>
      </w:r>
      <w:r w:rsidR="000145F8">
        <w:t xml:space="preserve">y </w:t>
      </w:r>
      <w:r>
        <w:t xml:space="preserve">salvaje, no </w:t>
      </w:r>
      <w:r w:rsidR="000145F8">
        <w:t xml:space="preserve">sea </w:t>
      </w:r>
      <w:r>
        <w:t xml:space="preserve">diferente de un </w:t>
      </w:r>
      <w:r w:rsidR="00CB0971">
        <w:t>barrendero</w:t>
      </w:r>
      <w:r>
        <w:t xml:space="preserve"> de flores</w:t>
      </w:r>
      <w:r w:rsidR="00FF643C">
        <w:t>,</w:t>
      </w:r>
      <w:r>
        <w:t xml:space="preserve"> un paria</w:t>
      </w:r>
      <w:r w:rsidR="00FF643C">
        <w:t>, etc</w:t>
      </w:r>
      <w:r>
        <w:t>. Así</w:t>
      </w:r>
      <w:r w:rsidR="00381114">
        <w:t>,</w:t>
      </w:r>
      <w:r>
        <w:t xml:space="preserve"> no ha</w:t>
      </w:r>
      <w:r w:rsidR="00FF643C">
        <w:t>brá</w:t>
      </w:r>
      <w:r>
        <w:t xml:space="preserve"> distinción entre el cuerpo de un rey y el de un paria en lo que se refier</w:t>
      </w:r>
      <w:r w:rsidR="00FF643C">
        <w:t>a</w:t>
      </w:r>
      <w:r>
        <w:t xml:space="preserve"> a su repugnancia nauseabunda</w:t>
      </w:r>
      <w:r w:rsidR="00FF643C">
        <w:t>,</w:t>
      </w:r>
      <w:r>
        <w:t xml:space="preserve"> apestosa </w:t>
      </w:r>
      <w:r w:rsidR="00427C13">
        <w:t xml:space="preserve">e </w:t>
      </w:r>
      <w:r>
        <w:t>impura.</w:t>
      </w:r>
    </w:p>
    <w:p w14:paraId="53DEAD5E" w14:textId="1A642102" w:rsidR="00765C32" w:rsidRDefault="00765C32" w:rsidP="00765C32">
      <w:r>
        <w:t xml:space="preserve">90. </w:t>
      </w:r>
      <w:r w:rsidR="00D11879">
        <w:tab/>
      </w:r>
      <w:r>
        <w:t xml:space="preserve">Pero frotando las manchas de sus dientes con </w:t>
      </w:r>
      <w:r w:rsidR="00310618" w:rsidRPr="00310618">
        <w:rPr>
          <w:iCs/>
        </w:rPr>
        <w:t>p</w:t>
      </w:r>
      <w:r w:rsidR="00310618">
        <w:rPr>
          <w:iCs/>
        </w:rPr>
        <w:t>al</w:t>
      </w:r>
      <w:r w:rsidR="00310618" w:rsidRPr="00310618">
        <w:rPr>
          <w:iCs/>
        </w:rPr>
        <w:t>illos</w:t>
      </w:r>
      <w:r w:rsidR="00310618">
        <w:t xml:space="preserve"> </w:t>
      </w:r>
      <w:r>
        <w:t>y enjuague bucal y todo e</w:t>
      </w:r>
      <w:r w:rsidR="00CB0971">
        <w:t>ll</w:t>
      </w:r>
      <w:r>
        <w:t xml:space="preserve">o, ocultando sus partes íntimas debajo de varios </w:t>
      </w:r>
      <w:proofErr w:type="spellStart"/>
      <w:r>
        <w:t>paños</w:t>
      </w:r>
      <w:proofErr w:type="spellEnd"/>
      <w:r>
        <w:t xml:space="preserve">, embadurnándolo con varios perfumes y ungüentos, </w:t>
      </w:r>
      <w:r w:rsidR="005D16C5">
        <w:t>ataviándolo</w:t>
      </w:r>
      <w:r>
        <w:t xml:space="preserve"> con ramilletes y cosas por el estilo, se </w:t>
      </w:r>
      <w:r w:rsidR="005D16C5">
        <w:t>construirá</w:t>
      </w:r>
      <w:r>
        <w:t xml:space="preserve"> un estado que permit</w:t>
      </w:r>
      <w:r w:rsidR="005D16C5">
        <w:t>a</w:t>
      </w:r>
      <w:r>
        <w:t xml:space="preserve"> que se </w:t>
      </w:r>
      <w:r w:rsidR="005D16C5">
        <w:t xml:space="preserve">adopte </w:t>
      </w:r>
      <w:r w:rsidR="005950F7">
        <w:t xml:space="preserve">al cuerpo </w:t>
      </w:r>
      <w:r>
        <w:t xml:space="preserve">como </w:t>
      </w:r>
      <w:r w:rsidR="005D16C5">
        <w:t xml:space="preserve">un </w:t>
      </w:r>
      <w:r>
        <w:t xml:space="preserve">"yo" y </w:t>
      </w:r>
      <w:proofErr w:type="spellStart"/>
      <w:r w:rsidR="005950F7">
        <w:t>como</w:t>
      </w:r>
      <w:r w:rsidR="005D16C5">
        <w:t>un</w:t>
      </w:r>
      <w:proofErr w:type="spellEnd"/>
      <w:r w:rsidR="005D16C5">
        <w:t xml:space="preserve"> </w:t>
      </w:r>
      <w:r>
        <w:t xml:space="preserve">"mío". Así los hombres se </w:t>
      </w:r>
      <w:r w:rsidR="00B92DB5">
        <w:t>complacen con</w:t>
      </w:r>
      <w:r>
        <w:t xml:space="preserve"> las mujeres y las mujeres </w:t>
      </w:r>
      <w:r w:rsidR="00B92DB5">
        <w:t xml:space="preserve">con </w:t>
      </w:r>
      <w:r>
        <w:t>los hombres sin darse cuenta</w:t>
      </w:r>
      <w:r w:rsidR="00B92DB5" w:rsidRPr="00B92DB5">
        <w:t xml:space="preserve"> </w:t>
      </w:r>
      <w:r w:rsidR="005950F7">
        <w:t xml:space="preserve">sobre </w:t>
      </w:r>
      <w:r w:rsidR="00B92DB5">
        <w:t xml:space="preserve">la verdadera naturaleza de su </w:t>
      </w:r>
    </w:p>
    <w:p w14:paraId="07EBEB2F" w14:textId="5C78540F" w:rsidR="00D11879" w:rsidRDefault="00D11879" w:rsidP="00D11879">
      <w:pPr>
        <w:pStyle w:val="Piedepgina"/>
        <w:rPr>
          <w:u w:val="single"/>
        </w:rPr>
      </w:pPr>
      <w:r>
        <w:rPr>
          <w:u w:val="single"/>
        </w:rPr>
        <w:t xml:space="preserve">                                                                                                                                                                                                  .</w:t>
      </w:r>
    </w:p>
    <w:p w14:paraId="08084463" w14:textId="65DE62DE" w:rsidR="00994C00" w:rsidRDefault="00765C32" w:rsidP="00D11879">
      <w:pPr>
        <w:pStyle w:val="PiedepginaLegal"/>
      </w:pPr>
      <w:r>
        <w:t xml:space="preserve">13. </w:t>
      </w:r>
      <w:r w:rsidR="00D11879">
        <w:tab/>
      </w:r>
      <w:proofErr w:type="spellStart"/>
      <w:r w:rsidRPr="00BD37E4">
        <w:rPr>
          <w:i/>
          <w:iCs/>
        </w:rPr>
        <w:t>Aparisaṇ</w:t>
      </w:r>
      <w:r w:rsidR="002656E9" w:rsidRPr="002656E9">
        <w:rPr>
          <w:i/>
          <w:iCs/>
        </w:rPr>
        <w:t>ṭ</w:t>
      </w:r>
      <w:r w:rsidRPr="00BD37E4">
        <w:rPr>
          <w:i/>
          <w:iCs/>
        </w:rPr>
        <w:t>hita</w:t>
      </w:r>
      <w:proofErr w:type="spellEnd"/>
      <w:r>
        <w:t xml:space="preserve">—“turbulento”. </w:t>
      </w:r>
      <w:proofErr w:type="spellStart"/>
      <w:r w:rsidRPr="00BD37E4">
        <w:rPr>
          <w:i/>
          <w:iCs/>
        </w:rPr>
        <w:t>Parisaṇṭhāti</w:t>
      </w:r>
      <w:proofErr w:type="spellEnd"/>
      <w:r>
        <w:t xml:space="preserve"> (aquietar) no </w:t>
      </w:r>
      <w:r w:rsidR="00C30AC3">
        <w:t>encontrado</w:t>
      </w:r>
      <w:r>
        <w:t xml:space="preserve"> en </w:t>
      </w:r>
      <w:r w:rsidR="00C30AC3">
        <w:t xml:space="preserve">el </w:t>
      </w:r>
      <w:r>
        <w:t xml:space="preserve">PED. </w:t>
      </w:r>
      <w:proofErr w:type="spellStart"/>
      <w:r w:rsidRPr="00BD37E4">
        <w:rPr>
          <w:i/>
          <w:iCs/>
        </w:rPr>
        <w:t>Aparisaṇþhita</w:t>
      </w:r>
      <w:proofErr w:type="spellEnd"/>
      <w:r>
        <w:t xml:space="preserve"> no está en </w:t>
      </w:r>
      <w:r w:rsidR="00A86F01">
        <w:t xml:space="preserve">el </w:t>
      </w:r>
      <w:r>
        <w:t>CPD.</w:t>
      </w:r>
      <w:r w:rsidR="002656E9">
        <w:t xml:space="preserve"> </w:t>
      </w:r>
    </w:p>
    <w:p w14:paraId="2506BFE1" w14:textId="69AD0CB4" w:rsidR="00D11879" w:rsidRDefault="00D11879">
      <w:pPr>
        <w:tabs>
          <w:tab w:val="clear" w:pos="425"/>
        </w:tabs>
        <w:spacing w:after="160"/>
      </w:pPr>
      <w:r>
        <w:br w:type="page"/>
      </w:r>
    </w:p>
    <w:p w14:paraId="2ECD4CE7" w14:textId="77777777" w:rsidR="00D11879" w:rsidRDefault="00D11879" w:rsidP="00791215"/>
    <w:p w14:paraId="673EFAB3" w14:textId="0C8F7AD6" w:rsidR="00791215" w:rsidRDefault="005950F7" w:rsidP="00791215">
      <w:r>
        <w:t xml:space="preserve">repugnante característica, </w:t>
      </w:r>
      <w:r w:rsidR="00A461BB">
        <w:t>camuflado</w:t>
      </w:r>
      <w:r w:rsidR="00791215">
        <w:t xml:space="preserve"> </w:t>
      </w:r>
      <w:r w:rsidR="00A461BB">
        <w:t xml:space="preserve">entonces </w:t>
      </w:r>
      <w:r w:rsidR="00791215">
        <w:t xml:space="preserve">por </w:t>
      </w:r>
      <w:r w:rsidR="00B92DB5">
        <w:t>los</w:t>
      </w:r>
      <w:r w:rsidR="00791215">
        <w:t xml:space="preserve"> adorno</w:t>
      </w:r>
      <w:r w:rsidR="00B92DB5">
        <w:t>s</w:t>
      </w:r>
      <w:r w:rsidR="00791215">
        <w:t xml:space="preserve"> adventicio</w:t>
      </w:r>
      <w:r w:rsidR="00B92DB5">
        <w:t>s</w:t>
      </w:r>
      <w:r w:rsidR="00791215">
        <w:t xml:space="preserve">. </w:t>
      </w:r>
      <w:r w:rsidR="00B92DB5">
        <w:t xml:space="preserve">No obstante, </w:t>
      </w:r>
      <w:r w:rsidR="00791215">
        <w:t xml:space="preserve">en el sentido último, no </w:t>
      </w:r>
      <w:r w:rsidR="00B92DB5">
        <w:t>existe</w:t>
      </w:r>
      <w:r w:rsidR="00791215">
        <w:t xml:space="preserve"> aquí, ni siquiera del tamaño de un átomo, </w:t>
      </w:r>
      <w:r w:rsidR="0068598D">
        <w:t xml:space="preserve">algo </w:t>
      </w:r>
      <w:r w:rsidR="00791215">
        <w:t>digno de codiciar.</w:t>
      </w:r>
    </w:p>
    <w:p w14:paraId="762497F7" w14:textId="5E11211A" w:rsidR="00791215" w:rsidRDefault="00791215" w:rsidP="00791215">
      <w:r>
        <w:t xml:space="preserve">91. </w:t>
      </w:r>
      <w:r>
        <w:tab/>
        <w:t xml:space="preserve">Y luego, cuando cualquier parte </w:t>
      </w:r>
      <w:proofErr w:type="spellStart"/>
      <w:r>
        <w:t xml:space="preserve">de </w:t>
      </w:r>
      <w:r w:rsidR="00694DB6">
        <w:t>e</w:t>
      </w:r>
      <w:r>
        <w:t>l</w:t>
      </w:r>
      <w:proofErr w:type="spellEnd"/>
      <w:r>
        <w:t xml:space="preserve"> </w:t>
      </w:r>
      <w:r w:rsidR="00694DB6">
        <w:t xml:space="preserve">cuerpo </w:t>
      </w:r>
      <w:r>
        <w:t>como</w:t>
      </w:r>
      <w:r w:rsidR="00694DB6">
        <w:t>, por ejemplo,</w:t>
      </w:r>
      <w:r>
        <w:t xml:space="preserve"> </w:t>
      </w:r>
      <w:r w:rsidR="0068598D">
        <w:t xml:space="preserve">los cabellos </w:t>
      </w:r>
      <w:r>
        <w:t xml:space="preserve">de la cabeza, </w:t>
      </w:r>
      <w:r w:rsidR="0068598D">
        <w:t xml:space="preserve">los vellos </w:t>
      </w:r>
      <w:r>
        <w:t xml:space="preserve">del cuerpo, </w:t>
      </w:r>
      <w:r w:rsidR="0068598D">
        <w:t xml:space="preserve">las </w:t>
      </w:r>
      <w:r>
        <w:t xml:space="preserve">uñas, </w:t>
      </w:r>
      <w:r w:rsidR="0068598D">
        <w:t xml:space="preserve">los </w:t>
      </w:r>
      <w:r>
        <w:t xml:space="preserve">dientes, </w:t>
      </w:r>
      <w:r w:rsidR="0068598D">
        <w:t xml:space="preserve">la </w:t>
      </w:r>
      <w:r>
        <w:t xml:space="preserve">saliva, </w:t>
      </w:r>
      <w:r w:rsidR="0068598D">
        <w:t xml:space="preserve">los </w:t>
      </w:r>
      <w:r>
        <w:t xml:space="preserve">mocos, </w:t>
      </w:r>
      <w:r w:rsidR="0068598D">
        <w:t xml:space="preserve">los </w:t>
      </w:r>
      <w:r>
        <w:t>excrementos u orina</w:t>
      </w:r>
      <w:r w:rsidR="00694DB6">
        <w:t>, etc.</w:t>
      </w:r>
      <w:r>
        <w:t xml:space="preserve"> ha</w:t>
      </w:r>
      <w:r w:rsidR="00584298">
        <w:t>ya</w:t>
      </w:r>
      <w:r>
        <w:t xml:space="preserve">n </w:t>
      </w:r>
      <w:r w:rsidR="00584298">
        <w:t xml:space="preserve">brotado </w:t>
      </w:r>
      <w:r>
        <w:t xml:space="preserve">del cuerpo, los seres no los tocarán; </w:t>
      </w:r>
      <w:r w:rsidR="00584298">
        <w:t xml:space="preserve">se </w:t>
      </w:r>
      <w:r>
        <w:t>avergonza</w:t>
      </w:r>
      <w:r w:rsidR="00584298">
        <w:t>rán</w:t>
      </w:r>
      <w:r>
        <w:t xml:space="preserve">, </w:t>
      </w:r>
      <w:r w:rsidR="00584298">
        <w:t xml:space="preserve">se sentirán </w:t>
      </w:r>
      <w:r>
        <w:t xml:space="preserve">humillados y disgustados. </w:t>
      </w:r>
      <w:r w:rsidR="00584298">
        <w:t xml:space="preserve">No obstante, </w:t>
      </w:r>
      <w:r>
        <w:t>mientras alguna de estas cosas permane</w:t>
      </w:r>
      <w:r w:rsidR="00DB5898">
        <w:t>zca</w:t>
      </w:r>
      <w:r>
        <w:t xml:space="preserve"> </w:t>
      </w:r>
      <w:r w:rsidR="00584298">
        <w:t xml:space="preserve">dentro de </w:t>
      </w:r>
      <w:r>
        <w:t xml:space="preserve">él, aunque sea igualmente repugnante, lo </w:t>
      </w:r>
      <w:r w:rsidR="00DB5898">
        <w:t>adoptarán</w:t>
      </w:r>
      <w:r>
        <w:t xml:space="preserve"> como agradable, deseable, permanente, [196] placentero, propio, porque están envueltos en la oscuridad de la ignorancia y teñidos de</w:t>
      </w:r>
      <w:r w:rsidR="00584298">
        <w:t>l</w:t>
      </w:r>
      <w:r>
        <w:t xml:space="preserve"> afecto y </w:t>
      </w:r>
      <w:r w:rsidR="00584298">
        <w:t xml:space="preserve">la </w:t>
      </w:r>
      <w:r>
        <w:t xml:space="preserve">codicia por uno mismo. Al </w:t>
      </w:r>
      <w:r w:rsidR="00A91C4A">
        <w:t>adoptarlo así,</w:t>
      </w:r>
      <w:r>
        <w:t xml:space="preserve"> </w:t>
      </w:r>
      <w:r w:rsidR="00A91C4A">
        <w:t xml:space="preserve">tal </w:t>
      </w:r>
      <w:r>
        <w:t xml:space="preserve">como lo hacen, se </w:t>
      </w:r>
      <w:r w:rsidR="000317C0">
        <w:t>parecerán</w:t>
      </w:r>
      <w:r>
        <w:t xml:space="preserve"> al viejo chacal que vio una </w:t>
      </w:r>
      <w:r w:rsidR="00A91C4A">
        <w:t xml:space="preserve">vez una </w:t>
      </w:r>
      <w:r>
        <w:t xml:space="preserve">flor que aún no había caído de un árbol </w:t>
      </w:r>
      <w:proofErr w:type="spellStart"/>
      <w:r w:rsidRPr="00BD37E4">
        <w:rPr>
          <w:i/>
          <w:iCs/>
        </w:rPr>
        <w:t>kiṃsuka</w:t>
      </w:r>
      <w:proofErr w:type="spellEnd"/>
      <w:r>
        <w:t xml:space="preserve"> en un bosque y la añoró, </w:t>
      </w:r>
      <w:r w:rsidR="004C5C9C">
        <w:t>creyendo</w:t>
      </w:r>
      <w:r>
        <w:t>: “Esto es un pedazo de carne, es un pedazo de carne”.</w:t>
      </w:r>
    </w:p>
    <w:p w14:paraId="74E6D0FE" w14:textId="1C6B77D8" w:rsidR="00791215" w:rsidRPr="00C13372" w:rsidRDefault="00791215" w:rsidP="00791215">
      <w:pPr>
        <w:pStyle w:val="VersoIngls01Sangria"/>
        <w:ind w:left="0"/>
        <w:rPr>
          <w:sz w:val="16"/>
          <w:szCs w:val="20"/>
        </w:rPr>
      </w:pPr>
      <w:r>
        <w:t xml:space="preserve">83. </w:t>
      </w:r>
      <w:r>
        <w:tab/>
      </w:r>
      <w:r>
        <w:tab/>
      </w:r>
      <w:r>
        <w:tab/>
      </w:r>
      <w:r w:rsidRPr="00C13372">
        <w:rPr>
          <w:sz w:val="16"/>
          <w:szCs w:val="20"/>
        </w:rPr>
        <w:t xml:space="preserve">Hubo un chacal </w:t>
      </w:r>
      <w:r w:rsidR="004C5C9C" w:rsidRPr="00C13372">
        <w:rPr>
          <w:sz w:val="16"/>
          <w:szCs w:val="20"/>
        </w:rPr>
        <w:t>que por casualidad vio</w:t>
      </w:r>
    </w:p>
    <w:p w14:paraId="55ECA0A0" w14:textId="67F5CCB5" w:rsidR="00791215" w:rsidRPr="00C13372" w:rsidRDefault="000674E6" w:rsidP="00791215">
      <w:pPr>
        <w:pStyle w:val="VersoIngls01Sangria"/>
        <w:rPr>
          <w:sz w:val="16"/>
          <w:szCs w:val="20"/>
        </w:rPr>
      </w:pPr>
      <w:r w:rsidRPr="00C13372">
        <w:rPr>
          <w:sz w:val="16"/>
          <w:szCs w:val="20"/>
        </w:rPr>
        <w:t xml:space="preserve">En un bosque un </w:t>
      </w:r>
      <w:r w:rsidR="004C5C9C" w:rsidRPr="00C13372">
        <w:rPr>
          <w:sz w:val="16"/>
          <w:szCs w:val="20"/>
        </w:rPr>
        <w:t xml:space="preserve">árbol </w:t>
      </w:r>
      <w:proofErr w:type="spellStart"/>
      <w:r w:rsidR="00791215" w:rsidRPr="00C13372">
        <w:rPr>
          <w:i/>
          <w:iCs/>
          <w:sz w:val="16"/>
          <w:szCs w:val="20"/>
        </w:rPr>
        <w:t>kiṃsuka</w:t>
      </w:r>
      <w:proofErr w:type="spellEnd"/>
      <w:r w:rsidR="00791215" w:rsidRPr="00C13372">
        <w:rPr>
          <w:sz w:val="16"/>
          <w:szCs w:val="20"/>
        </w:rPr>
        <w:t xml:space="preserve"> en flor;</w:t>
      </w:r>
    </w:p>
    <w:p w14:paraId="71DAF9CE" w14:textId="38D10081" w:rsidR="00791215" w:rsidRPr="00C13372" w:rsidRDefault="00791215" w:rsidP="00791215">
      <w:pPr>
        <w:pStyle w:val="VersoIngls01Sangria"/>
        <w:rPr>
          <w:sz w:val="16"/>
          <w:szCs w:val="20"/>
        </w:rPr>
      </w:pPr>
      <w:r w:rsidRPr="00C13372">
        <w:rPr>
          <w:sz w:val="16"/>
          <w:szCs w:val="20"/>
        </w:rPr>
        <w:t xml:space="preserve">A toda prisa se dirigió </w:t>
      </w:r>
      <w:r w:rsidR="004C5C9C" w:rsidRPr="00C13372">
        <w:rPr>
          <w:sz w:val="16"/>
          <w:szCs w:val="20"/>
        </w:rPr>
        <w:t>haci</w:t>
      </w:r>
      <w:r w:rsidRPr="00C13372">
        <w:rPr>
          <w:sz w:val="16"/>
          <w:szCs w:val="20"/>
        </w:rPr>
        <w:t>a donde estaba:</w:t>
      </w:r>
    </w:p>
    <w:p w14:paraId="78AE5250" w14:textId="77777777" w:rsidR="00791215" w:rsidRPr="00C13372" w:rsidRDefault="00791215" w:rsidP="00A6436D">
      <w:pPr>
        <w:pStyle w:val="VersoIngls01Sangria"/>
        <w:spacing w:after="100"/>
        <w:ind w:left="1418"/>
        <w:rPr>
          <w:sz w:val="16"/>
          <w:szCs w:val="20"/>
        </w:rPr>
      </w:pPr>
      <w:r w:rsidRPr="00C13372">
        <w:rPr>
          <w:sz w:val="16"/>
          <w:szCs w:val="20"/>
        </w:rPr>
        <w:t>“¡He encontrado un árbol que produce carne!”</w:t>
      </w:r>
    </w:p>
    <w:p w14:paraId="5298B847" w14:textId="67CF724C" w:rsidR="00791215" w:rsidRPr="00C13372" w:rsidRDefault="00791215" w:rsidP="00791215">
      <w:pPr>
        <w:pStyle w:val="VersoIngls01Sangria"/>
        <w:rPr>
          <w:sz w:val="16"/>
          <w:szCs w:val="20"/>
        </w:rPr>
      </w:pPr>
      <w:r w:rsidRPr="00C13372">
        <w:rPr>
          <w:sz w:val="16"/>
          <w:szCs w:val="20"/>
        </w:rPr>
        <w:t xml:space="preserve">Masticó las flores que caían, pero </w:t>
      </w:r>
      <w:r w:rsidR="004C5C9C" w:rsidRPr="00C13372">
        <w:rPr>
          <w:sz w:val="16"/>
          <w:szCs w:val="20"/>
        </w:rPr>
        <w:t xml:space="preserve">no </w:t>
      </w:r>
      <w:r w:rsidRPr="00C13372">
        <w:rPr>
          <w:sz w:val="16"/>
          <w:szCs w:val="20"/>
        </w:rPr>
        <w:t>pudo,</w:t>
      </w:r>
    </w:p>
    <w:p w14:paraId="47E26751" w14:textId="26E97CB6" w:rsidR="00791215" w:rsidRPr="00C13372" w:rsidRDefault="00791215" w:rsidP="00791215">
      <w:pPr>
        <w:pStyle w:val="VersoIngls01Sangria"/>
        <w:rPr>
          <w:sz w:val="16"/>
          <w:szCs w:val="20"/>
        </w:rPr>
      </w:pPr>
      <w:r w:rsidRPr="00C13372">
        <w:rPr>
          <w:sz w:val="16"/>
          <w:szCs w:val="20"/>
        </w:rPr>
        <w:t>Por supuesto, enc</w:t>
      </w:r>
      <w:r w:rsidR="004C5C9C" w:rsidRPr="00C13372">
        <w:rPr>
          <w:sz w:val="16"/>
          <w:szCs w:val="20"/>
        </w:rPr>
        <w:t>o</w:t>
      </w:r>
      <w:r w:rsidRPr="00C13372">
        <w:rPr>
          <w:sz w:val="16"/>
          <w:szCs w:val="20"/>
        </w:rPr>
        <w:t>ntr</w:t>
      </w:r>
      <w:r w:rsidR="004C5C9C" w:rsidRPr="00C13372">
        <w:rPr>
          <w:sz w:val="16"/>
          <w:szCs w:val="20"/>
        </w:rPr>
        <w:t>ar</w:t>
      </w:r>
      <w:r w:rsidRPr="00C13372">
        <w:rPr>
          <w:sz w:val="16"/>
          <w:szCs w:val="20"/>
        </w:rPr>
        <w:t xml:space="preserve"> nada apto para comer;</w:t>
      </w:r>
    </w:p>
    <w:p w14:paraId="53A25B00" w14:textId="6EAEE2B8" w:rsidR="00791215" w:rsidRPr="00C13372" w:rsidRDefault="00791215" w:rsidP="00791215">
      <w:pPr>
        <w:pStyle w:val="VersoIngls01Sangria"/>
        <w:rPr>
          <w:sz w:val="16"/>
          <w:szCs w:val="20"/>
        </w:rPr>
      </w:pPr>
      <w:r w:rsidRPr="00C13372">
        <w:rPr>
          <w:sz w:val="16"/>
          <w:szCs w:val="20"/>
        </w:rPr>
        <w:t xml:space="preserve">Él lo </w:t>
      </w:r>
      <w:proofErr w:type="spellStart"/>
      <w:r w:rsidR="006D1103" w:rsidRPr="00C13372">
        <w:rPr>
          <w:sz w:val="16"/>
          <w:szCs w:val="20"/>
        </w:rPr>
        <w:t>prcibió</w:t>
      </w:r>
      <w:proofErr w:type="spellEnd"/>
      <w:r w:rsidR="004C5C9C" w:rsidRPr="00C13372">
        <w:rPr>
          <w:sz w:val="16"/>
          <w:szCs w:val="20"/>
        </w:rPr>
        <w:t xml:space="preserve"> </w:t>
      </w:r>
      <w:r w:rsidRPr="00C13372">
        <w:rPr>
          <w:sz w:val="16"/>
          <w:szCs w:val="20"/>
        </w:rPr>
        <w:t>así: “A diferencia de la carne</w:t>
      </w:r>
      <w:r w:rsidR="006D1103" w:rsidRPr="00C13372">
        <w:rPr>
          <w:sz w:val="16"/>
          <w:szCs w:val="20"/>
        </w:rPr>
        <w:t>,</w:t>
      </w:r>
    </w:p>
    <w:p w14:paraId="168A0145" w14:textId="1F350937" w:rsidR="00791215" w:rsidRPr="00C13372" w:rsidRDefault="006D1103" w:rsidP="00A6436D">
      <w:pPr>
        <w:pStyle w:val="VersoIngls01Sangria"/>
        <w:spacing w:after="100"/>
        <w:ind w:left="1418"/>
        <w:rPr>
          <w:sz w:val="16"/>
          <w:szCs w:val="20"/>
        </w:rPr>
      </w:pPr>
      <w:r w:rsidRPr="00C13372">
        <w:rPr>
          <w:sz w:val="16"/>
          <w:szCs w:val="20"/>
        </w:rPr>
        <w:t>Este</w:t>
      </w:r>
      <w:r w:rsidR="00791215" w:rsidRPr="00C13372">
        <w:rPr>
          <w:sz w:val="16"/>
          <w:szCs w:val="20"/>
        </w:rPr>
        <w:t xml:space="preserve"> árbol, no </w:t>
      </w:r>
      <w:r w:rsidR="00A62576" w:rsidRPr="00C13372">
        <w:rPr>
          <w:sz w:val="16"/>
          <w:szCs w:val="20"/>
        </w:rPr>
        <w:t xml:space="preserve">tiene nada de </w:t>
      </w:r>
      <w:r w:rsidR="00791215" w:rsidRPr="00C13372">
        <w:rPr>
          <w:sz w:val="16"/>
          <w:szCs w:val="20"/>
        </w:rPr>
        <w:t>bueno”.</w:t>
      </w:r>
    </w:p>
    <w:p w14:paraId="475F679E" w14:textId="06FCD1CB" w:rsidR="00791215" w:rsidRPr="00C13372" w:rsidRDefault="00791215" w:rsidP="00791215">
      <w:pPr>
        <w:pStyle w:val="VersoIngls01Sangria"/>
        <w:rPr>
          <w:sz w:val="16"/>
          <w:szCs w:val="20"/>
        </w:rPr>
      </w:pPr>
      <w:r w:rsidRPr="00C13372">
        <w:rPr>
          <w:sz w:val="16"/>
          <w:szCs w:val="20"/>
        </w:rPr>
        <w:t xml:space="preserve">Un hombre sabio no pensará en </w:t>
      </w:r>
      <w:r w:rsidR="00A62576" w:rsidRPr="00C13372">
        <w:rPr>
          <w:sz w:val="16"/>
          <w:szCs w:val="20"/>
        </w:rPr>
        <w:t>considerar</w:t>
      </w:r>
    </w:p>
    <w:p w14:paraId="3216F10A" w14:textId="087BE9A3" w:rsidR="00791215" w:rsidRPr="00C13372" w:rsidRDefault="00791215" w:rsidP="00791215">
      <w:pPr>
        <w:pStyle w:val="VersoIngls01Sangria"/>
        <w:rPr>
          <w:sz w:val="16"/>
          <w:szCs w:val="20"/>
        </w:rPr>
      </w:pPr>
      <w:r w:rsidRPr="00C13372">
        <w:rPr>
          <w:sz w:val="16"/>
          <w:szCs w:val="20"/>
        </w:rPr>
        <w:t xml:space="preserve">Como </w:t>
      </w:r>
      <w:r w:rsidR="00A62576" w:rsidRPr="00C13372">
        <w:rPr>
          <w:sz w:val="16"/>
          <w:szCs w:val="20"/>
        </w:rPr>
        <w:t xml:space="preserve">una </w:t>
      </w:r>
      <w:r w:rsidRPr="00C13372">
        <w:rPr>
          <w:sz w:val="16"/>
          <w:szCs w:val="20"/>
        </w:rPr>
        <w:t xml:space="preserve">falta sólo la parte que </w:t>
      </w:r>
      <w:r w:rsidR="00C91FAE" w:rsidRPr="00C13372">
        <w:rPr>
          <w:sz w:val="16"/>
          <w:szCs w:val="20"/>
        </w:rPr>
        <w:t>haya caído</w:t>
      </w:r>
      <w:r w:rsidRPr="00C13372">
        <w:rPr>
          <w:sz w:val="16"/>
          <w:szCs w:val="20"/>
        </w:rPr>
        <w:t>,</w:t>
      </w:r>
    </w:p>
    <w:p w14:paraId="3529E1E7" w14:textId="708974A0" w:rsidR="00791215" w:rsidRPr="00C13372" w:rsidRDefault="00C91FAE" w:rsidP="00791215">
      <w:pPr>
        <w:pStyle w:val="VersoIngls01Sangria"/>
        <w:rPr>
          <w:sz w:val="16"/>
          <w:szCs w:val="20"/>
        </w:rPr>
      </w:pPr>
      <w:r w:rsidRPr="00C13372">
        <w:rPr>
          <w:sz w:val="16"/>
          <w:szCs w:val="20"/>
        </w:rPr>
        <w:t>Sino que</w:t>
      </w:r>
      <w:r w:rsidR="00791215" w:rsidRPr="00C13372">
        <w:rPr>
          <w:sz w:val="16"/>
          <w:szCs w:val="20"/>
        </w:rPr>
        <w:t xml:space="preserve"> </w:t>
      </w:r>
      <w:r w:rsidR="00145406" w:rsidRPr="00C13372">
        <w:rPr>
          <w:sz w:val="16"/>
          <w:szCs w:val="20"/>
        </w:rPr>
        <w:t xml:space="preserve">también </w:t>
      </w:r>
      <w:r w:rsidR="00791215" w:rsidRPr="00C13372">
        <w:rPr>
          <w:sz w:val="16"/>
          <w:szCs w:val="20"/>
        </w:rPr>
        <w:t>trata</w:t>
      </w:r>
      <w:r w:rsidRPr="00C13372">
        <w:rPr>
          <w:sz w:val="16"/>
          <w:szCs w:val="20"/>
        </w:rPr>
        <w:t>rá</w:t>
      </w:r>
      <w:r w:rsidR="00791215" w:rsidRPr="00C13372">
        <w:rPr>
          <w:sz w:val="16"/>
          <w:szCs w:val="20"/>
        </w:rPr>
        <w:t xml:space="preserve"> como </w:t>
      </w:r>
      <w:r w:rsidRPr="00C13372">
        <w:rPr>
          <w:sz w:val="16"/>
          <w:szCs w:val="20"/>
        </w:rPr>
        <w:t xml:space="preserve">repugnante </w:t>
      </w:r>
      <w:r w:rsidR="00791215" w:rsidRPr="00C13372">
        <w:rPr>
          <w:sz w:val="16"/>
          <w:szCs w:val="20"/>
        </w:rPr>
        <w:t xml:space="preserve">la parte </w:t>
      </w:r>
    </w:p>
    <w:p w14:paraId="22CC2985" w14:textId="37972EBD" w:rsidR="00791215" w:rsidRPr="00C13372" w:rsidRDefault="00791215" w:rsidP="00A6436D">
      <w:pPr>
        <w:pStyle w:val="VersoIngls01Sangria"/>
        <w:spacing w:after="100"/>
        <w:ind w:left="1418"/>
        <w:rPr>
          <w:sz w:val="16"/>
          <w:szCs w:val="20"/>
        </w:rPr>
      </w:pPr>
      <w:r w:rsidRPr="00C13372">
        <w:rPr>
          <w:sz w:val="16"/>
          <w:szCs w:val="20"/>
        </w:rPr>
        <w:t xml:space="preserve">Que en el cuerpo </w:t>
      </w:r>
      <w:r w:rsidR="00C91FAE" w:rsidRPr="00C13372">
        <w:rPr>
          <w:sz w:val="16"/>
          <w:szCs w:val="20"/>
        </w:rPr>
        <w:t>t</w:t>
      </w:r>
      <w:r w:rsidRPr="00C13372">
        <w:rPr>
          <w:sz w:val="16"/>
          <w:szCs w:val="20"/>
        </w:rPr>
        <w:t>en</w:t>
      </w:r>
      <w:r w:rsidR="00C91FAE" w:rsidRPr="00C13372">
        <w:rPr>
          <w:sz w:val="16"/>
          <w:szCs w:val="20"/>
        </w:rPr>
        <w:t>ga</w:t>
      </w:r>
      <w:r w:rsidRPr="00C13372">
        <w:rPr>
          <w:sz w:val="16"/>
          <w:szCs w:val="20"/>
        </w:rPr>
        <w:t xml:space="preserve"> su asiento.</w:t>
      </w:r>
    </w:p>
    <w:p w14:paraId="0D619B8D" w14:textId="42A0945C" w:rsidR="00791215" w:rsidRPr="00C13372" w:rsidRDefault="00791215" w:rsidP="00791215">
      <w:pPr>
        <w:pStyle w:val="VersoIngls01Sangria"/>
        <w:rPr>
          <w:sz w:val="16"/>
          <w:szCs w:val="20"/>
        </w:rPr>
      </w:pPr>
      <w:r w:rsidRPr="00C13372">
        <w:rPr>
          <w:sz w:val="16"/>
          <w:szCs w:val="20"/>
        </w:rPr>
        <w:t xml:space="preserve">Los necios no pueden </w:t>
      </w:r>
      <w:r w:rsidR="007C36B1" w:rsidRPr="00C13372">
        <w:rPr>
          <w:sz w:val="16"/>
          <w:szCs w:val="20"/>
        </w:rPr>
        <w:t xml:space="preserve">discernir </w:t>
      </w:r>
      <w:r w:rsidRPr="00C13372">
        <w:rPr>
          <w:sz w:val="16"/>
          <w:szCs w:val="20"/>
        </w:rPr>
        <w:t>en su locura;</w:t>
      </w:r>
    </w:p>
    <w:p w14:paraId="74992797" w14:textId="27FAB601" w:rsidR="00791215" w:rsidRPr="00C13372" w:rsidRDefault="00145406" w:rsidP="00791215">
      <w:pPr>
        <w:pStyle w:val="VersoIngls01Sangria"/>
        <w:rPr>
          <w:sz w:val="16"/>
          <w:szCs w:val="20"/>
        </w:rPr>
      </w:pPr>
      <w:r w:rsidRPr="00C13372">
        <w:rPr>
          <w:sz w:val="16"/>
          <w:szCs w:val="20"/>
        </w:rPr>
        <w:t>Adoptan</w:t>
      </w:r>
      <w:r w:rsidR="00791215" w:rsidRPr="00C13372">
        <w:rPr>
          <w:sz w:val="16"/>
          <w:szCs w:val="20"/>
        </w:rPr>
        <w:t xml:space="preserve"> </w:t>
      </w:r>
      <w:r w:rsidRPr="00C13372">
        <w:rPr>
          <w:sz w:val="16"/>
          <w:szCs w:val="20"/>
        </w:rPr>
        <w:t>a</w:t>
      </w:r>
      <w:r w:rsidR="00791215" w:rsidRPr="00C13372">
        <w:rPr>
          <w:sz w:val="16"/>
          <w:szCs w:val="20"/>
        </w:rPr>
        <w:t xml:space="preserve">l cuerpo </w:t>
      </w:r>
      <w:r w:rsidRPr="00C13372">
        <w:rPr>
          <w:sz w:val="16"/>
          <w:szCs w:val="20"/>
        </w:rPr>
        <w:t xml:space="preserve">como si fuera </w:t>
      </w:r>
      <w:r w:rsidR="004240AD" w:rsidRPr="00C13372">
        <w:rPr>
          <w:sz w:val="16"/>
          <w:szCs w:val="20"/>
        </w:rPr>
        <w:t xml:space="preserve">algo </w:t>
      </w:r>
      <w:r w:rsidR="00AF29F9" w:rsidRPr="00C13372">
        <w:rPr>
          <w:sz w:val="16"/>
          <w:szCs w:val="20"/>
        </w:rPr>
        <w:t>positivo</w:t>
      </w:r>
      <w:r w:rsidR="00791215" w:rsidRPr="00C13372">
        <w:rPr>
          <w:sz w:val="16"/>
          <w:szCs w:val="20"/>
        </w:rPr>
        <w:t>,</w:t>
      </w:r>
    </w:p>
    <w:p w14:paraId="3290D4FA" w14:textId="4EEE463A" w:rsidR="00791215" w:rsidRPr="00C13372" w:rsidRDefault="00791215" w:rsidP="00791215">
      <w:pPr>
        <w:pStyle w:val="VersoIngls01Sangria"/>
        <w:rPr>
          <w:sz w:val="16"/>
          <w:szCs w:val="20"/>
        </w:rPr>
      </w:pPr>
      <w:r w:rsidRPr="00C13372">
        <w:rPr>
          <w:sz w:val="16"/>
          <w:szCs w:val="20"/>
        </w:rPr>
        <w:t>Y pronto queda</w:t>
      </w:r>
      <w:r w:rsidR="00AF29F9" w:rsidRPr="00C13372">
        <w:rPr>
          <w:sz w:val="16"/>
          <w:szCs w:val="20"/>
        </w:rPr>
        <w:t>n</w:t>
      </w:r>
      <w:r w:rsidRPr="00C13372">
        <w:rPr>
          <w:sz w:val="16"/>
          <w:szCs w:val="20"/>
        </w:rPr>
        <w:t xml:space="preserve"> atrapado</w:t>
      </w:r>
      <w:r w:rsidR="00AF29F9" w:rsidRPr="00C13372">
        <w:rPr>
          <w:sz w:val="16"/>
          <w:szCs w:val="20"/>
        </w:rPr>
        <w:t>s</w:t>
      </w:r>
      <w:r w:rsidRPr="00C13372">
        <w:rPr>
          <w:sz w:val="16"/>
          <w:szCs w:val="20"/>
        </w:rPr>
        <w:t xml:space="preserve"> en la trampa del mal</w:t>
      </w:r>
    </w:p>
    <w:p w14:paraId="79473DE1" w14:textId="7F46BB02" w:rsidR="00791215" w:rsidRPr="00C13372" w:rsidRDefault="00791215" w:rsidP="00A6436D">
      <w:pPr>
        <w:pStyle w:val="VersoIngls01Sangria"/>
        <w:spacing w:after="100"/>
        <w:ind w:left="1418"/>
        <w:rPr>
          <w:sz w:val="16"/>
          <w:szCs w:val="20"/>
        </w:rPr>
      </w:pPr>
      <w:r w:rsidRPr="00C13372">
        <w:rPr>
          <w:sz w:val="16"/>
          <w:szCs w:val="20"/>
        </w:rPr>
        <w:t xml:space="preserve">Tampoco puede escapar de su </w:t>
      </w:r>
      <w:r w:rsidR="00AF29F9" w:rsidRPr="00C13372">
        <w:rPr>
          <w:sz w:val="16"/>
          <w:szCs w:val="20"/>
        </w:rPr>
        <w:t xml:space="preserve">doloroso </w:t>
      </w:r>
      <w:r w:rsidRPr="00C13372">
        <w:rPr>
          <w:sz w:val="16"/>
          <w:szCs w:val="20"/>
        </w:rPr>
        <w:t>hechizo.</w:t>
      </w:r>
    </w:p>
    <w:p w14:paraId="3D1DD062" w14:textId="77777777" w:rsidR="00791215" w:rsidRPr="00C13372" w:rsidRDefault="00791215" w:rsidP="00791215">
      <w:pPr>
        <w:pStyle w:val="VersoIngls01Sangria"/>
        <w:rPr>
          <w:sz w:val="16"/>
          <w:szCs w:val="20"/>
        </w:rPr>
      </w:pPr>
      <w:r w:rsidRPr="00C13372">
        <w:rPr>
          <w:sz w:val="16"/>
          <w:szCs w:val="20"/>
        </w:rPr>
        <w:t>Pero como los sabios han puesto así al descubierto</w:t>
      </w:r>
    </w:p>
    <w:p w14:paraId="3BD00BF4" w14:textId="3EF1967D" w:rsidR="00791215" w:rsidRPr="00C13372" w:rsidRDefault="00791215" w:rsidP="00791215">
      <w:pPr>
        <w:pStyle w:val="VersoIngls01Sangria"/>
        <w:rPr>
          <w:sz w:val="16"/>
          <w:szCs w:val="20"/>
        </w:rPr>
      </w:pPr>
      <w:r w:rsidRPr="00C13372">
        <w:rPr>
          <w:sz w:val="16"/>
          <w:szCs w:val="20"/>
        </w:rPr>
        <w:t xml:space="preserve">La naturaleza de este </w:t>
      </w:r>
      <w:r w:rsidR="00AF29F9" w:rsidRPr="00C13372">
        <w:rPr>
          <w:sz w:val="16"/>
          <w:szCs w:val="20"/>
        </w:rPr>
        <w:t xml:space="preserve">sucio </w:t>
      </w:r>
      <w:r w:rsidRPr="00C13372">
        <w:rPr>
          <w:sz w:val="16"/>
          <w:szCs w:val="20"/>
        </w:rPr>
        <w:t>cuerpo, entonces,</w:t>
      </w:r>
    </w:p>
    <w:p w14:paraId="37676D01" w14:textId="2A58E1E1" w:rsidR="00791215" w:rsidRPr="00C13372" w:rsidRDefault="00791215" w:rsidP="00791215">
      <w:pPr>
        <w:pStyle w:val="VersoIngls01Sangria"/>
        <w:rPr>
          <w:sz w:val="16"/>
          <w:szCs w:val="20"/>
        </w:rPr>
      </w:pPr>
      <w:r w:rsidRPr="00C13372">
        <w:rPr>
          <w:sz w:val="16"/>
          <w:szCs w:val="20"/>
        </w:rPr>
        <w:t xml:space="preserve">Ya sea vivo o muerto, ellos </w:t>
      </w:r>
      <w:r w:rsidR="00AF29F9" w:rsidRPr="00C13372">
        <w:rPr>
          <w:sz w:val="16"/>
          <w:szCs w:val="20"/>
        </w:rPr>
        <w:t>reconocen</w:t>
      </w:r>
    </w:p>
    <w:p w14:paraId="15CD7F48" w14:textId="57C9A75F" w:rsidR="00791215" w:rsidRPr="00C13372" w:rsidRDefault="00AF29F9" w:rsidP="00A6436D">
      <w:pPr>
        <w:pStyle w:val="VersoIngls01Sangria"/>
        <w:spacing w:after="100"/>
        <w:ind w:left="1418"/>
        <w:rPr>
          <w:sz w:val="16"/>
          <w:szCs w:val="20"/>
        </w:rPr>
      </w:pPr>
      <w:r w:rsidRPr="00C13372">
        <w:rPr>
          <w:sz w:val="16"/>
          <w:szCs w:val="20"/>
        </w:rPr>
        <w:t xml:space="preserve">Que no existe </w:t>
      </w:r>
      <w:r w:rsidR="00791215" w:rsidRPr="00C13372">
        <w:rPr>
          <w:sz w:val="16"/>
          <w:szCs w:val="20"/>
        </w:rPr>
        <w:t xml:space="preserve">belleza </w:t>
      </w:r>
      <w:r w:rsidR="006B44D0" w:rsidRPr="00C13372">
        <w:rPr>
          <w:sz w:val="16"/>
          <w:szCs w:val="20"/>
        </w:rPr>
        <w:t>que anhelar en él</w:t>
      </w:r>
      <w:r w:rsidR="00791215" w:rsidRPr="00C13372">
        <w:rPr>
          <w:sz w:val="16"/>
          <w:szCs w:val="20"/>
        </w:rPr>
        <w:t>.</w:t>
      </w:r>
    </w:p>
    <w:p w14:paraId="07989E50" w14:textId="6E26C70B" w:rsidR="00791215" w:rsidRDefault="00791215" w:rsidP="00791215">
      <w:r>
        <w:t xml:space="preserve">93. </w:t>
      </w:r>
      <w:r w:rsidR="006B44D0">
        <w:tab/>
      </w:r>
      <w:r>
        <w:t>Por esto se dice:</w:t>
      </w:r>
    </w:p>
    <w:p w14:paraId="04FE1C89" w14:textId="646B7CA7" w:rsidR="00791215" w:rsidRPr="00C13372" w:rsidRDefault="00791215" w:rsidP="00A6436D">
      <w:pPr>
        <w:pStyle w:val="VersoIngls01Sangria"/>
        <w:rPr>
          <w:sz w:val="16"/>
          <w:szCs w:val="20"/>
        </w:rPr>
      </w:pPr>
      <w:r w:rsidRPr="00C13372">
        <w:rPr>
          <w:sz w:val="16"/>
          <w:szCs w:val="20"/>
        </w:rPr>
        <w:t xml:space="preserve">“Este cuerpo </w:t>
      </w:r>
      <w:r w:rsidR="006B44D0" w:rsidRPr="00C13372">
        <w:rPr>
          <w:sz w:val="16"/>
          <w:szCs w:val="20"/>
        </w:rPr>
        <w:t>repugnante</w:t>
      </w:r>
      <w:r w:rsidRPr="00C13372">
        <w:rPr>
          <w:sz w:val="16"/>
          <w:szCs w:val="20"/>
        </w:rPr>
        <w:t xml:space="preserve"> apesta</w:t>
      </w:r>
    </w:p>
    <w:p w14:paraId="23997376" w14:textId="6E57D737" w:rsidR="00791215" w:rsidRPr="00C13372" w:rsidRDefault="00791215" w:rsidP="00A6436D">
      <w:pPr>
        <w:pStyle w:val="VersoIngls01Sangria"/>
        <w:rPr>
          <w:sz w:val="16"/>
          <w:szCs w:val="20"/>
        </w:rPr>
      </w:pPr>
      <w:r w:rsidRPr="00C13372">
        <w:rPr>
          <w:sz w:val="16"/>
          <w:szCs w:val="20"/>
        </w:rPr>
        <w:t xml:space="preserve">como estiércol, como </w:t>
      </w:r>
      <w:r w:rsidR="006B44D0" w:rsidRPr="00C13372">
        <w:rPr>
          <w:sz w:val="16"/>
          <w:szCs w:val="20"/>
        </w:rPr>
        <w:t xml:space="preserve">el lugar </w:t>
      </w:r>
      <w:r w:rsidRPr="00C13372">
        <w:rPr>
          <w:sz w:val="16"/>
          <w:szCs w:val="20"/>
        </w:rPr>
        <w:t>de un retrete;</w:t>
      </w:r>
    </w:p>
    <w:p w14:paraId="50EF387A" w14:textId="13F0EA67" w:rsidR="00791215" w:rsidRPr="00C13372" w:rsidRDefault="00BF1230" w:rsidP="00A6436D">
      <w:pPr>
        <w:pStyle w:val="VersoIngls01Sangria"/>
        <w:rPr>
          <w:sz w:val="16"/>
          <w:szCs w:val="20"/>
        </w:rPr>
      </w:pPr>
      <w:r w:rsidRPr="00C13372">
        <w:rPr>
          <w:sz w:val="16"/>
          <w:szCs w:val="20"/>
        </w:rPr>
        <w:t>El hombre que albergue sabiduría a e</w:t>
      </w:r>
      <w:r w:rsidR="00791215" w:rsidRPr="00C13372">
        <w:rPr>
          <w:sz w:val="16"/>
          <w:szCs w:val="20"/>
        </w:rPr>
        <w:t xml:space="preserve">ste cuerpo </w:t>
      </w:r>
    </w:p>
    <w:p w14:paraId="04568C85" w14:textId="093F43A0" w:rsidR="00791215" w:rsidRPr="00C13372" w:rsidRDefault="00791215" w:rsidP="00A6436D">
      <w:pPr>
        <w:pStyle w:val="VersoIngls01Sangria"/>
        <w:spacing w:after="100"/>
        <w:ind w:left="1418"/>
        <w:rPr>
          <w:sz w:val="16"/>
          <w:szCs w:val="20"/>
        </w:rPr>
      </w:pPr>
      <w:r w:rsidRPr="00C13372">
        <w:rPr>
          <w:sz w:val="16"/>
          <w:szCs w:val="20"/>
        </w:rPr>
        <w:t>Condenar</w:t>
      </w:r>
      <w:r w:rsidR="002077A7" w:rsidRPr="00C13372">
        <w:rPr>
          <w:sz w:val="16"/>
          <w:szCs w:val="20"/>
        </w:rPr>
        <w:t>á</w:t>
      </w:r>
      <w:r w:rsidRPr="00C13372">
        <w:rPr>
          <w:sz w:val="16"/>
          <w:szCs w:val="20"/>
        </w:rPr>
        <w:t xml:space="preserve">, </w:t>
      </w:r>
      <w:r w:rsidR="0088533B" w:rsidRPr="00C13372">
        <w:rPr>
          <w:sz w:val="16"/>
          <w:szCs w:val="20"/>
        </w:rPr>
        <w:t xml:space="preserve">a </w:t>
      </w:r>
      <w:r w:rsidR="002077A7" w:rsidRPr="00C13372">
        <w:rPr>
          <w:sz w:val="16"/>
          <w:szCs w:val="20"/>
        </w:rPr>
        <w:t xml:space="preserve">aquel </w:t>
      </w:r>
      <w:r w:rsidRPr="00C13372">
        <w:rPr>
          <w:sz w:val="16"/>
          <w:szCs w:val="20"/>
        </w:rPr>
        <w:t xml:space="preserve">objeto de </w:t>
      </w:r>
      <w:r w:rsidR="002077A7" w:rsidRPr="00C13372">
        <w:rPr>
          <w:sz w:val="16"/>
          <w:szCs w:val="20"/>
        </w:rPr>
        <w:t xml:space="preserve">placer </w:t>
      </w:r>
      <w:r w:rsidR="0088533B" w:rsidRPr="00C13372">
        <w:rPr>
          <w:sz w:val="16"/>
          <w:szCs w:val="20"/>
        </w:rPr>
        <w:t>en</w:t>
      </w:r>
      <w:r w:rsidR="00B76F36" w:rsidRPr="00C13372">
        <w:rPr>
          <w:sz w:val="16"/>
          <w:szCs w:val="20"/>
        </w:rPr>
        <w:t xml:space="preserve"> </w:t>
      </w:r>
      <w:r w:rsidRPr="00C13372">
        <w:rPr>
          <w:sz w:val="16"/>
          <w:szCs w:val="20"/>
        </w:rPr>
        <w:t>un necio.</w:t>
      </w:r>
    </w:p>
    <w:p w14:paraId="075988E3" w14:textId="6B415C7A" w:rsidR="00791215" w:rsidRPr="00C13372" w:rsidRDefault="00791215" w:rsidP="00A6436D">
      <w:pPr>
        <w:pStyle w:val="VersoIngls01Sangria"/>
        <w:rPr>
          <w:sz w:val="16"/>
          <w:szCs w:val="20"/>
        </w:rPr>
      </w:pPr>
      <w:r w:rsidRPr="00C13372">
        <w:rPr>
          <w:sz w:val="16"/>
          <w:szCs w:val="20"/>
        </w:rPr>
        <w:t xml:space="preserve">“Un tumor </w:t>
      </w:r>
      <w:r w:rsidR="0088533B" w:rsidRPr="00C13372">
        <w:rPr>
          <w:sz w:val="16"/>
          <w:szCs w:val="20"/>
        </w:rPr>
        <w:t>que alberga</w:t>
      </w:r>
      <w:r w:rsidRPr="00C13372">
        <w:rPr>
          <w:sz w:val="16"/>
          <w:szCs w:val="20"/>
        </w:rPr>
        <w:t xml:space="preserve"> nueve agujeros</w:t>
      </w:r>
    </w:p>
    <w:p w14:paraId="10E51348" w14:textId="77777777" w:rsidR="00791215" w:rsidRPr="00C13372" w:rsidRDefault="00791215" w:rsidP="00A6436D">
      <w:pPr>
        <w:pStyle w:val="VersoIngls01Sangria"/>
        <w:rPr>
          <w:sz w:val="16"/>
          <w:szCs w:val="20"/>
        </w:rPr>
      </w:pPr>
      <w:r w:rsidRPr="00C13372">
        <w:rPr>
          <w:sz w:val="16"/>
          <w:szCs w:val="20"/>
        </w:rPr>
        <w:t>Envuelto en una capa de piel pegajosa</w:t>
      </w:r>
    </w:p>
    <w:p w14:paraId="3F216814" w14:textId="605F8304" w:rsidR="00791215" w:rsidRPr="00C13372" w:rsidRDefault="00791215" w:rsidP="00A6436D">
      <w:pPr>
        <w:pStyle w:val="VersoIngls01Sangria"/>
        <w:rPr>
          <w:sz w:val="16"/>
          <w:szCs w:val="20"/>
        </w:rPr>
      </w:pPr>
      <w:r w:rsidRPr="00C13372">
        <w:rPr>
          <w:sz w:val="16"/>
          <w:szCs w:val="20"/>
        </w:rPr>
        <w:t>Y chorrean</w:t>
      </w:r>
      <w:r w:rsidR="0088533B" w:rsidRPr="00C13372">
        <w:rPr>
          <w:sz w:val="16"/>
          <w:szCs w:val="20"/>
        </w:rPr>
        <w:t>te</w:t>
      </w:r>
      <w:r w:rsidRPr="00C13372">
        <w:rPr>
          <w:sz w:val="16"/>
          <w:szCs w:val="20"/>
        </w:rPr>
        <w:t xml:space="preserve"> suciedad por tod</w:t>
      </w:r>
      <w:r w:rsidR="00B76F36" w:rsidRPr="00C13372">
        <w:rPr>
          <w:sz w:val="16"/>
          <w:szCs w:val="20"/>
        </w:rPr>
        <w:t>a</w:t>
      </w:r>
      <w:r w:rsidRPr="00C13372">
        <w:rPr>
          <w:sz w:val="16"/>
          <w:szCs w:val="20"/>
        </w:rPr>
        <w:t xml:space="preserve">s </w:t>
      </w:r>
      <w:r w:rsidR="00B76F36" w:rsidRPr="00C13372">
        <w:rPr>
          <w:sz w:val="16"/>
          <w:szCs w:val="20"/>
        </w:rPr>
        <w:t>partes</w:t>
      </w:r>
      <w:r w:rsidRPr="00C13372">
        <w:rPr>
          <w:sz w:val="16"/>
          <w:szCs w:val="20"/>
        </w:rPr>
        <w:t>,</w:t>
      </w:r>
    </w:p>
    <w:p w14:paraId="2F782AED" w14:textId="4C4037F2" w:rsidR="00A6436D" w:rsidRPr="00C13372" w:rsidRDefault="00791215" w:rsidP="00A6436D">
      <w:pPr>
        <w:pStyle w:val="VersoIngls01Sangria"/>
        <w:spacing w:after="100"/>
        <w:ind w:left="1418"/>
        <w:rPr>
          <w:sz w:val="16"/>
          <w:szCs w:val="20"/>
        </w:rPr>
      </w:pPr>
      <w:r w:rsidRPr="00C13372">
        <w:rPr>
          <w:sz w:val="16"/>
          <w:szCs w:val="20"/>
        </w:rPr>
        <w:t>Contaminando el aire con hedores a lo largo y ancho.</w:t>
      </w:r>
    </w:p>
    <w:p w14:paraId="56AF2ABC" w14:textId="77777777" w:rsidR="00A6436D" w:rsidRDefault="00A6436D">
      <w:pPr>
        <w:tabs>
          <w:tab w:val="clear" w:pos="425"/>
        </w:tabs>
        <w:spacing w:after="160"/>
      </w:pPr>
      <w:r>
        <w:br w:type="page"/>
      </w:r>
    </w:p>
    <w:p w14:paraId="554ED4A2" w14:textId="77777777" w:rsidR="00791215" w:rsidRDefault="00791215" w:rsidP="00A6436D"/>
    <w:p w14:paraId="07952F61" w14:textId="77777777" w:rsidR="006867C3" w:rsidRPr="00C13372" w:rsidRDefault="006867C3" w:rsidP="006867C3">
      <w:pPr>
        <w:pStyle w:val="VersoIngls01Sangria"/>
        <w:rPr>
          <w:sz w:val="16"/>
          <w:szCs w:val="20"/>
        </w:rPr>
      </w:pPr>
      <w:r w:rsidRPr="00C13372">
        <w:rPr>
          <w:sz w:val="16"/>
          <w:szCs w:val="20"/>
        </w:rPr>
        <w:t>Si acaso sucediera</w:t>
      </w:r>
    </w:p>
    <w:p w14:paraId="0147466D" w14:textId="6B67DAAA" w:rsidR="006867C3" w:rsidRPr="00C13372" w:rsidRDefault="006867C3" w:rsidP="006867C3">
      <w:pPr>
        <w:pStyle w:val="VersoIngls01Sangria"/>
        <w:rPr>
          <w:sz w:val="16"/>
          <w:szCs w:val="20"/>
        </w:rPr>
      </w:pPr>
      <w:r w:rsidRPr="00C13372">
        <w:rPr>
          <w:sz w:val="16"/>
          <w:szCs w:val="20"/>
        </w:rPr>
        <w:t xml:space="preserve">Que lo que </w:t>
      </w:r>
      <w:r w:rsidR="002B23F0" w:rsidRPr="00C13372">
        <w:rPr>
          <w:sz w:val="16"/>
          <w:szCs w:val="20"/>
        </w:rPr>
        <w:t xml:space="preserve">estuviera </w:t>
      </w:r>
      <w:r w:rsidRPr="00C13372">
        <w:rPr>
          <w:sz w:val="16"/>
          <w:szCs w:val="20"/>
        </w:rPr>
        <w:t xml:space="preserve">dentro </w:t>
      </w:r>
      <w:r w:rsidR="001540C0" w:rsidRPr="00C13372">
        <w:rPr>
          <w:sz w:val="16"/>
          <w:szCs w:val="20"/>
        </w:rPr>
        <w:t>afuera estuviera</w:t>
      </w:r>
      <w:r w:rsidRPr="00C13372">
        <w:rPr>
          <w:sz w:val="16"/>
          <w:szCs w:val="20"/>
        </w:rPr>
        <w:t>,</w:t>
      </w:r>
    </w:p>
    <w:p w14:paraId="26658131" w14:textId="5C42366F" w:rsidR="006867C3" w:rsidRPr="00C13372" w:rsidRDefault="006867C3" w:rsidP="006867C3">
      <w:pPr>
        <w:pStyle w:val="VersoIngls01Sangria"/>
        <w:rPr>
          <w:sz w:val="16"/>
          <w:szCs w:val="20"/>
        </w:rPr>
      </w:pPr>
      <w:r w:rsidRPr="00C13372">
        <w:rPr>
          <w:sz w:val="16"/>
          <w:szCs w:val="20"/>
        </w:rPr>
        <w:t xml:space="preserve">Seguramente un hombre necesitaría un </w:t>
      </w:r>
      <w:r w:rsidR="00B65CAF" w:rsidRPr="00C13372">
        <w:rPr>
          <w:sz w:val="16"/>
          <w:szCs w:val="20"/>
        </w:rPr>
        <w:t>garrote</w:t>
      </w:r>
    </w:p>
    <w:p w14:paraId="1F19F41E" w14:textId="3FEE0D40" w:rsidR="006867C3" w:rsidRPr="00C13372" w:rsidRDefault="00B65CAF" w:rsidP="006867C3">
      <w:pPr>
        <w:pStyle w:val="VersoIngls01Sangria"/>
        <w:spacing w:after="100"/>
        <w:ind w:left="1418"/>
        <w:rPr>
          <w:sz w:val="16"/>
          <w:szCs w:val="20"/>
        </w:rPr>
      </w:pPr>
      <w:r w:rsidRPr="00C13372">
        <w:rPr>
          <w:sz w:val="16"/>
          <w:szCs w:val="20"/>
        </w:rPr>
        <w:t xml:space="preserve">Para espantar </w:t>
      </w:r>
      <w:r w:rsidR="006867C3" w:rsidRPr="00C13372">
        <w:rPr>
          <w:sz w:val="16"/>
          <w:szCs w:val="20"/>
        </w:rPr>
        <w:t>a los cuervos y a los perros.</w:t>
      </w:r>
    </w:p>
    <w:p w14:paraId="22CFEE7F" w14:textId="527B8C65" w:rsidR="006867C3" w:rsidRDefault="006867C3" w:rsidP="006867C3">
      <w:r>
        <w:t xml:space="preserve">94. </w:t>
      </w:r>
      <w:r>
        <w:tab/>
      </w:r>
      <w:r w:rsidR="00343800">
        <w:t xml:space="preserve">Por </w:t>
      </w:r>
      <w:r w:rsidR="00B65CAF">
        <w:t>lo tanto</w:t>
      </w:r>
      <w:r>
        <w:t xml:space="preserve">, un </w:t>
      </w:r>
      <w:proofErr w:type="spellStart"/>
      <w:r w:rsidR="00057BF4" w:rsidRPr="00057BF4">
        <w:rPr>
          <w:i/>
          <w:iCs/>
        </w:rPr>
        <w:t>bhikkhu</w:t>
      </w:r>
      <w:proofErr w:type="spellEnd"/>
      <w:r>
        <w:t xml:space="preserve"> capaz debe captar </w:t>
      </w:r>
      <w:r w:rsidR="0087515F">
        <w:t>el signo</w:t>
      </w:r>
      <w:r>
        <w:t xml:space="preserve"> dondequiera que se manifieste el aspecto de la </w:t>
      </w:r>
      <w:r w:rsidR="0087515F">
        <w:t>repugnancia</w:t>
      </w:r>
      <w:r>
        <w:t>, ya sea en un cuerpo vivo o en uno muerto, debe</w:t>
      </w:r>
      <w:r w:rsidR="0087515F">
        <w:t>rá</w:t>
      </w:r>
      <w:r>
        <w:t xml:space="preserve"> hacer que el </w:t>
      </w:r>
      <w:r w:rsidR="0087515F">
        <w:t>objeto</w:t>
      </w:r>
      <w:r>
        <w:t xml:space="preserve"> de meditación </w:t>
      </w:r>
      <w:r w:rsidR="0087515F">
        <w:t xml:space="preserve">consume </w:t>
      </w:r>
      <w:r>
        <w:t>la absorción.</w:t>
      </w:r>
    </w:p>
    <w:p w14:paraId="28572FCA" w14:textId="0E5B13CA" w:rsidR="006867C3" w:rsidRDefault="00626921" w:rsidP="009F6332">
      <w:pPr>
        <w:ind w:left="1416" w:right="1043"/>
      </w:pPr>
      <w:r>
        <w:t>Éste ha sido el</w:t>
      </w:r>
      <w:r w:rsidR="006867C3">
        <w:t xml:space="preserve"> sexto capítulo </w:t>
      </w:r>
      <w:r w:rsidR="009F6332">
        <w:t xml:space="preserve">con el nombre de </w:t>
      </w:r>
      <w:r w:rsidR="006867C3">
        <w:t>"</w:t>
      </w:r>
      <w:r w:rsidR="0087515F">
        <w:t xml:space="preserve">Descripción </w:t>
      </w:r>
      <w:r w:rsidR="006867C3">
        <w:t xml:space="preserve">de la </w:t>
      </w:r>
      <w:r w:rsidR="0087515F">
        <w:t>Repugnancia</w:t>
      </w:r>
      <w:r w:rsidR="006867C3">
        <w:t xml:space="preserve"> como </w:t>
      </w:r>
      <w:r w:rsidR="0087515F">
        <w:t xml:space="preserve">Objeto </w:t>
      </w:r>
      <w:r w:rsidR="006867C3">
        <w:t xml:space="preserve">de </w:t>
      </w:r>
      <w:r w:rsidR="0087515F">
        <w:t>Meditación</w:t>
      </w:r>
      <w:r w:rsidR="006867C3">
        <w:t xml:space="preserve">" </w:t>
      </w:r>
      <w:r w:rsidR="00D515B5">
        <w:t>d</w:t>
      </w:r>
      <w:r w:rsidR="006867C3">
        <w:t xml:space="preserve">el Tratado sobre el </w:t>
      </w:r>
      <w:r w:rsidR="009F6332">
        <w:t xml:space="preserve">Desarrollo </w:t>
      </w:r>
      <w:r w:rsidR="006867C3">
        <w:t xml:space="preserve">de la </w:t>
      </w:r>
      <w:r w:rsidR="00EE5BD7">
        <w:t xml:space="preserve">Concentración </w:t>
      </w:r>
      <w:r>
        <w:t>d</w:t>
      </w:r>
      <w:r w:rsidR="006867C3">
        <w:t xml:space="preserve">el </w:t>
      </w:r>
      <w:r w:rsidR="006867C3" w:rsidRPr="006867C3">
        <w:rPr>
          <w:i/>
          <w:iCs/>
        </w:rPr>
        <w:t xml:space="preserve">Sendero de la </w:t>
      </w:r>
      <w:r w:rsidR="00C13372">
        <w:rPr>
          <w:i/>
          <w:iCs/>
        </w:rPr>
        <w:br/>
      </w:r>
      <w:r w:rsidR="006867C3" w:rsidRPr="006867C3">
        <w:rPr>
          <w:i/>
          <w:iCs/>
        </w:rPr>
        <w:t>Purificación</w:t>
      </w:r>
      <w:r w:rsidR="006867C3">
        <w:t xml:space="preserve"> </w:t>
      </w:r>
      <w:r w:rsidR="00483541">
        <w:t>compuesto para alegría de buenas personas.</w:t>
      </w:r>
    </w:p>
    <w:p w14:paraId="66DF2E17" w14:textId="77777777" w:rsidR="006867C3" w:rsidRDefault="006867C3" w:rsidP="006867C3"/>
    <w:p w14:paraId="11BE06AD" w14:textId="4212E374" w:rsidR="006867C3" w:rsidRDefault="006867C3">
      <w:pPr>
        <w:tabs>
          <w:tab w:val="clear" w:pos="425"/>
        </w:tabs>
        <w:spacing w:after="160"/>
      </w:pPr>
      <w:r>
        <w:br w:type="page"/>
      </w:r>
    </w:p>
    <w:p w14:paraId="69ACB35A" w14:textId="77777777" w:rsidR="006867C3" w:rsidRDefault="006867C3" w:rsidP="006867C3"/>
    <w:p w14:paraId="63F6A150" w14:textId="77777777" w:rsidR="00A26E4F" w:rsidRDefault="00A26E4F" w:rsidP="006867C3"/>
    <w:p w14:paraId="546EEB99" w14:textId="77777777" w:rsidR="00A26E4F" w:rsidRDefault="00A26E4F" w:rsidP="006867C3"/>
    <w:p w14:paraId="1F9E164F" w14:textId="77777777" w:rsidR="00A26E4F" w:rsidRDefault="00A26E4F" w:rsidP="006867C3"/>
    <w:p w14:paraId="239429FC" w14:textId="2E92367E" w:rsidR="00A26E4F" w:rsidRDefault="00A26E4F" w:rsidP="00A26E4F">
      <w:pPr>
        <w:pStyle w:val="Ttulo2"/>
        <w:jc w:val="center"/>
      </w:pPr>
      <w:r>
        <w:t>Capítulo VII</w:t>
      </w:r>
      <w:r>
        <w:br/>
        <w:t xml:space="preserve">Seis </w:t>
      </w:r>
      <w:r w:rsidR="00F277EB">
        <w:t>Evocaciones</w:t>
      </w:r>
    </w:p>
    <w:p w14:paraId="647D8EA4" w14:textId="69455257" w:rsidR="00A26E4F" w:rsidRDefault="00A26E4F" w:rsidP="0099374F">
      <w:pPr>
        <w:jc w:val="center"/>
      </w:pPr>
      <w:r>
        <w:br/>
        <w:t>(</w:t>
      </w:r>
      <w:proofErr w:type="spellStart"/>
      <w:r w:rsidRPr="00A26E4F">
        <w:rPr>
          <w:b/>
          <w:bCs/>
          <w:i/>
          <w:iCs/>
          <w:sz w:val="22"/>
          <w:szCs w:val="28"/>
        </w:rPr>
        <w:t>Cha-anussati-niddesa</w:t>
      </w:r>
      <w:proofErr w:type="spellEnd"/>
      <w:r>
        <w:t>)</w:t>
      </w:r>
    </w:p>
    <w:p w14:paraId="3FD611A7" w14:textId="1B9904FF" w:rsidR="00A26E4F" w:rsidRDefault="00A26E4F" w:rsidP="00A26E4F">
      <w:r>
        <w:t xml:space="preserve">1. </w:t>
      </w:r>
      <w:r>
        <w:tab/>
        <w:t>[197] Ahora</w:t>
      </w:r>
      <w:r w:rsidR="00716420">
        <w:t xml:space="preserve"> bien</w:t>
      </w:r>
      <w:r>
        <w:t xml:space="preserve">, diez </w:t>
      </w:r>
      <w:r w:rsidR="0084259F">
        <w:t>evocaciones</w:t>
      </w:r>
      <w:r>
        <w:t xml:space="preserve"> </w:t>
      </w:r>
      <w:r w:rsidR="0077076B">
        <w:t>fueron</w:t>
      </w:r>
      <w:r>
        <w:t xml:space="preserve"> enumera</w:t>
      </w:r>
      <w:r w:rsidR="0077076B">
        <w:t>das</w:t>
      </w:r>
      <w:r>
        <w:t xml:space="preserve"> </w:t>
      </w:r>
      <w:r w:rsidR="008F0BB2">
        <w:t xml:space="preserve">inmediatamente </w:t>
      </w:r>
      <w:r w:rsidR="000B4BF5">
        <w:t xml:space="preserve">después </w:t>
      </w:r>
      <w:r>
        <w:t xml:space="preserve">de los diez tipos de </w:t>
      </w:r>
      <w:r w:rsidR="000B4BF5">
        <w:t xml:space="preserve">repugnancia </w:t>
      </w:r>
      <w:r>
        <w:t xml:space="preserve">(III.105). </w:t>
      </w:r>
      <w:r w:rsidR="005B5AC7">
        <w:t xml:space="preserve">Al respecto, </w:t>
      </w:r>
      <w:r>
        <w:t>estos</w:t>
      </w:r>
      <w:r w:rsidR="005B5AC7">
        <w:t xml:space="preserve"> son</w:t>
      </w:r>
      <w:r>
        <w:t>:</w:t>
      </w:r>
    </w:p>
    <w:p w14:paraId="127018F9" w14:textId="54AC493F" w:rsidR="00A26E4F" w:rsidRDefault="00A26E4F" w:rsidP="00A26E4F">
      <w:pPr>
        <w:pStyle w:val="NormalConSangria"/>
      </w:pPr>
      <w:r>
        <w:t>La atención plena (</w:t>
      </w:r>
      <w:proofErr w:type="spellStart"/>
      <w:r w:rsidRPr="00D77DB2">
        <w:rPr>
          <w:i/>
          <w:iCs/>
        </w:rPr>
        <w:t>sati</w:t>
      </w:r>
      <w:proofErr w:type="spellEnd"/>
      <w:r>
        <w:t xml:space="preserve">) en sí misma es </w:t>
      </w:r>
      <w:r w:rsidR="005B5AC7">
        <w:t>una</w:t>
      </w:r>
      <w:r w:rsidR="0084259F">
        <w:t xml:space="preserve"> evocación</w:t>
      </w:r>
      <w:r>
        <w:t xml:space="preserve"> (</w:t>
      </w:r>
      <w:proofErr w:type="spellStart"/>
      <w:r w:rsidRPr="00D77DB2">
        <w:rPr>
          <w:i/>
          <w:iCs/>
        </w:rPr>
        <w:t>anussati</w:t>
      </w:r>
      <w:proofErr w:type="spellEnd"/>
      <w:r>
        <w:t>) porque surge una y otra vez; o alternativamente, la atención plena (</w:t>
      </w:r>
      <w:proofErr w:type="spellStart"/>
      <w:r w:rsidRPr="00D77DB2">
        <w:rPr>
          <w:i/>
          <w:iCs/>
        </w:rPr>
        <w:t>sati</w:t>
      </w:r>
      <w:proofErr w:type="spellEnd"/>
      <w:r>
        <w:t>) que es apropiada (</w:t>
      </w:r>
      <w:proofErr w:type="spellStart"/>
      <w:r w:rsidRPr="00D77DB2">
        <w:rPr>
          <w:i/>
          <w:iCs/>
        </w:rPr>
        <w:t>anu</w:t>
      </w:r>
      <w:r w:rsidR="00057BF4" w:rsidRPr="00057BF4">
        <w:rPr>
          <w:i/>
          <w:iCs/>
        </w:rPr>
        <w:t>rūpa</w:t>
      </w:r>
      <w:proofErr w:type="spellEnd"/>
      <w:r>
        <w:t xml:space="preserve">) para un miembro del clan que </w:t>
      </w:r>
      <w:r w:rsidR="00654F89">
        <w:t xml:space="preserve">se </w:t>
      </w:r>
      <w:r>
        <w:t>ha</w:t>
      </w:r>
      <w:r w:rsidR="00654F89">
        <w:t>ya</w:t>
      </w:r>
      <w:r>
        <w:t xml:space="preserve"> </w:t>
      </w:r>
      <w:r w:rsidR="00654F89">
        <w:t xml:space="preserve">ordenado en </w:t>
      </w:r>
      <w:r>
        <w:t>la fe, ya que ocurr</w:t>
      </w:r>
      <w:r w:rsidR="00654F89">
        <w:t>irá</w:t>
      </w:r>
      <w:r>
        <w:t xml:space="preserve"> solo en aquellos casos en los que deb</w:t>
      </w:r>
      <w:r w:rsidR="00197B51">
        <w:t>i</w:t>
      </w:r>
      <w:r>
        <w:t>era</w:t>
      </w:r>
      <w:r w:rsidR="00197B51">
        <w:t>n</w:t>
      </w:r>
      <w:r>
        <w:t xml:space="preserve"> ocurrir, es </w:t>
      </w:r>
      <w:r w:rsidR="00197B51">
        <w:t xml:space="preserve">una </w:t>
      </w:r>
      <w:r>
        <w:t>“</w:t>
      </w:r>
      <w:r w:rsidR="003C07F0">
        <w:t>evocación</w:t>
      </w:r>
      <w:r>
        <w:t>” (</w:t>
      </w:r>
      <w:proofErr w:type="spellStart"/>
      <w:r w:rsidRPr="00D77DB2">
        <w:rPr>
          <w:i/>
          <w:iCs/>
        </w:rPr>
        <w:t>anussati</w:t>
      </w:r>
      <w:proofErr w:type="spellEnd"/>
      <w:r>
        <w:t>).</w:t>
      </w:r>
    </w:p>
    <w:p w14:paraId="717AD21C" w14:textId="3B5F9526" w:rsidR="00A26E4F" w:rsidRDefault="00197B51" w:rsidP="00A26E4F">
      <w:pPr>
        <w:pStyle w:val="NormalConSangria"/>
      </w:pPr>
      <w:r>
        <w:t>La evocación</w:t>
      </w:r>
      <w:r w:rsidR="00A26E4F">
        <w:t xml:space="preserve"> surgid</w:t>
      </w:r>
      <w:r>
        <w:t>a</w:t>
      </w:r>
      <w:r w:rsidR="00A26E4F">
        <w:t xml:space="preserve"> </w:t>
      </w:r>
      <w:r w:rsidR="00A003A1">
        <w:t>como</w:t>
      </w:r>
      <w:r w:rsidR="00270A8F">
        <w:t xml:space="preserve"> </w:t>
      </w:r>
      <w:r w:rsidR="00A26E4F">
        <w:t>inspira</w:t>
      </w:r>
      <w:r w:rsidR="00270A8F">
        <w:t>ción hacia</w:t>
      </w:r>
      <w:r w:rsidR="00A26E4F">
        <w:t xml:space="preserve"> el Iluminado </w:t>
      </w:r>
      <w:r w:rsidR="00270A8F">
        <w:t xml:space="preserve">será </w:t>
      </w:r>
      <w:r w:rsidR="0084259F">
        <w:t xml:space="preserve">la </w:t>
      </w:r>
      <w:r w:rsidR="0084259F" w:rsidRPr="0084259F">
        <w:rPr>
          <w:i/>
          <w:iCs/>
        </w:rPr>
        <w:t xml:space="preserve">evocación </w:t>
      </w:r>
      <w:r w:rsidR="00A26E4F" w:rsidRPr="0084259F">
        <w:rPr>
          <w:i/>
          <w:iCs/>
        </w:rPr>
        <w:t xml:space="preserve">del </w:t>
      </w:r>
      <w:r w:rsidR="00057BF4" w:rsidRPr="00057BF4">
        <w:rPr>
          <w:i/>
          <w:iCs/>
        </w:rPr>
        <w:t>Buddha</w:t>
      </w:r>
      <w:r w:rsidR="00A26E4F">
        <w:t xml:space="preserve">. </w:t>
      </w:r>
      <w:r w:rsidR="00BA7FD3">
        <w:t>É</w:t>
      </w:r>
      <w:r w:rsidR="00A26E4F">
        <w:t xml:space="preserve">ste </w:t>
      </w:r>
      <w:r w:rsidR="00BA7FD3">
        <w:t xml:space="preserve">será </w:t>
      </w:r>
      <w:r w:rsidR="00A26E4F">
        <w:t xml:space="preserve">un término para la atención plena </w:t>
      </w:r>
      <w:r w:rsidR="002547A4">
        <w:t xml:space="preserve">sobre </w:t>
      </w:r>
      <w:r w:rsidR="00A26E4F">
        <w:t>las cualidades especiales del Iluminado como su objeto.</w:t>
      </w:r>
    </w:p>
    <w:p w14:paraId="0FDB6B38" w14:textId="25C62376" w:rsidR="00A26E4F" w:rsidRDefault="00DA2988" w:rsidP="00A26E4F">
      <w:pPr>
        <w:pStyle w:val="NormalConSangria"/>
      </w:pPr>
      <w:r>
        <w:t xml:space="preserve">La evocación surgida </w:t>
      </w:r>
      <w:r w:rsidR="00A003A1">
        <w:t>como</w:t>
      </w:r>
      <w:r>
        <w:t xml:space="preserve"> inspiración </w:t>
      </w:r>
      <w:r w:rsidR="00EC06A4">
        <w:t xml:space="preserve">en </w:t>
      </w:r>
      <w:r>
        <w:t xml:space="preserve">la </w:t>
      </w:r>
      <w:r w:rsidR="002547A4">
        <w:t xml:space="preserve">Enseñanza </w:t>
      </w:r>
      <w:r>
        <w:t xml:space="preserve">será </w:t>
      </w:r>
      <w:r w:rsidR="0084259F">
        <w:t xml:space="preserve">la </w:t>
      </w:r>
      <w:r w:rsidR="0084259F" w:rsidRPr="0084259F">
        <w:rPr>
          <w:i/>
          <w:iCs/>
        </w:rPr>
        <w:t xml:space="preserve">evocación </w:t>
      </w:r>
      <w:r w:rsidR="00A26E4F" w:rsidRPr="0084259F">
        <w:rPr>
          <w:i/>
          <w:iCs/>
        </w:rPr>
        <w:t>del</w:t>
      </w:r>
      <w:r w:rsidR="00A26E4F">
        <w:t xml:space="preserve"> </w:t>
      </w:r>
      <w:r w:rsidR="00057BF4" w:rsidRPr="00057BF4">
        <w:rPr>
          <w:i/>
          <w:iCs/>
        </w:rPr>
        <w:t>Dhamma</w:t>
      </w:r>
      <w:r w:rsidR="00A26E4F">
        <w:t>.</w:t>
      </w:r>
      <w:r w:rsidR="00A26E4F" w:rsidRPr="00D77DB2">
        <w:rPr>
          <w:vertAlign w:val="superscript"/>
        </w:rPr>
        <w:t>1</w:t>
      </w:r>
      <w:r w:rsidR="00A26E4F">
        <w:t xml:space="preserve"> </w:t>
      </w:r>
      <w:r>
        <w:t xml:space="preserve">Éste será </w:t>
      </w:r>
      <w:r w:rsidR="00A26E4F">
        <w:t xml:space="preserve">un término para la atención plena </w:t>
      </w:r>
      <w:r w:rsidR="002547A4">
        <w:t xml:space="preserve">sobre </w:t>
      </w:r>
      <w:r w:rsidR="00A26E4F">
        <w:t xml:space="preserve">las cualidades especiales de la </w:t>
      </w:r>
      <w:r w:rsidR="002547A4">
        <w:t>Enseñanza</w:t>
      </w:r>
      <w:r w:rsidR="00B40447">
        <w:t>,</w:t>
      </w:r>
      <w:r w:rsidR="002547A4">
        <w:t xml:space="preserve"> </w:t>
      </w:r>
      <w:r w:rsidR="00B40447">
        <w:t xml:space="preserve">como que </w:t>
      </w:r>
      <w:r>
        <w:t>ha sido</w:t>
      </w:r>
      <w:r w:rsidR="00A26E4F">
        <w:t xml:space="preserve"> bien proclamada, etc., como su objeto.</w:t>
      </w:r>
    </w:p>
    <w:p w14:paraId="663C955B" w14:textId="77777777" w:rsidR="00E56940" w:rsidRDefault="00E56940" w:rsidP="00A26E4F">
      <w:pPr>
        <w:pStyle w:val="NormalConSangria"/>
      </w:pPr>
    </w:p>
    <w:p w14:paraId="6FACFE4F" w14:textId="7E745BA4" w:rsidR="00A26E4F" w:rsidRPr="00A26E4F" w:rsidRDefault="00A26E4F" w:rsidP="00A26E4F">
      <w:pPr>
        <w:pStyle w:val="PiedepginaLegal"/>
        <w:rPr>
          <w:u w:val="single"/>
        </w:rPr>
      </w:pPr>
      <w:r w:rsidRPr="00A26E4F">
        <w:rPr>
          <w:u w:val="single"/>
        </w:rPr>
        <w:tab/>
      </w:r>
      <w:r w:rsidRPr="00A26E4F">
        <w:rPr>
          <w:u w:val="single"/>
        </w:rPr>
        <w:tab/>
      </w:r>
      <w:r w:rsidRPr="00A26E4F">
        <w:rPr>
          <w:u w:val="single"/>
        </w:rPr>
        <w:tab/>
      </w:r>
      <w:r w:rsidRPr="00A26E4F">
        <w:rPr>
          <w:u w:val="single"/>
        </w:rPr>
        <w:tab/>
        <w:t>.</w:t>
      </w:r>
    </w:p>
    <w:p w14:paraId="22E5C8BA" w14:textId="494D69BD" w:rsidR="00A26E4F" w:rsidRDefault="00A26E4F" w:rsidP="00A26E4F">
      <w:pPr>
        <w:pStyle w:val="PiedepginaLegal"/>
      </w:pPr>
      <w:r>
        <w:t xml:space="preserve"> 1. </w:t>
      </w:r>
      <w:r>
        <w:tab/>
        <w:t xml:space="preserve">La palabra </w:t>
      </w:r>
      <w:r w:rsidR="00057BF4" w:rsidRPr="00057BF4">
        <w:rPr>
          <w:i/>
          <w:iCs/>
        </w:rPr>
        <w:t>Dhamma</w:t>
      </w:r>
      <w:r w:rsidR="00B80F86">
        <w:rPr>
          <w:i/>
          <w:iCs/>
        </w:rPr>
        <w:t xml:space="preserve"> </w:t>
      </w:r>
      <w:r>
        <w:t>—</w:t>
      </w:r>
      <w:r w:rsidR="00B80F86">
        <w:t xml:space="preserve"> </w:t>
      </w:r>
      <w:r>
        <w:t xml:space="preserve">quizás la </w:t>
      </w:r>
      <w:r w:rsidR="00B80F86">
        <w:t xml:space="preserve">palabra </w:t>
      </w:r>
      <w:r>
        <w:t>más importante y utilizada de</w:t>
      </w:r>
      <w:r w:rsidR="00B80F86">
        <w:t>l</w:t>
      </w:r>
      <w:r>
        <w:t xml:space="preserve"> </w:t>
      </w:r>
      <w:r w:rsidR="00AD6B1D" w:rsidRPr="00AD6B1D">
        <w:rPr>
          <w:i/>
        </w:rPr>
        <w:t>Pāḷi</w:t>
      </w:r>
      <w:r>
        <w:t xml:space="preserve">—no tiene un solo </w:t>
      </w:r>
      <w:r w:rsidR="00560E5B">
        <w:t xml:space="preserve">significado </w:t>
      </w:r>
      <w:r>
        <w:t xml:space="preserve">equivalente en inglés </w:t>
      </w:r>
      <w:r w:rsidR="004E389D">
        <w:t xml:space="preserve">[tampoco en español] </w:t>
      </w:r>
      <w:r>
        <w:t xml:space="preserve">porque ninguna palabra en inglés tiene una generalización tan amplia y vaga como la palabra </w:t>
      </w:r>
      <w:r w:rsidR="00057BF4" w:rsidRPr="00057BF4">
        <w:rPr>
          <w:i/>
        </w:rPr>
        <w:t>Dhamma</w:t>
      </w:r>
      <w:r>
        <w:t xml:space="preserve"> en su sentido más amplio (que incluye </w:t>
      </w:r>
      <w:r w:rsidR="00E04CD7">
        <w:t xml:space="preserve">inclusive </w:t>
      </w:r>
      <w:r>
        <w:t>“todo” lo que pued</w:t>
      </w:r>
      <w:r w:rsidR="00560E5B">
        <w:t>a</w:t>
      </w:r>
      <w:r>
        <w:t xml:space="preserve"> ser conocido o pensado de cualquier manera) y al mismo tiempo una capacidad de estar, por así decirlo, enfocado </w:t>
      </w:r>
      <w:r w:rsidR="00E04CD7">
        <w:t>a</w:t>
      </w:r>
      <w:r>
        <w:t xml:space="preserve"> un conjunto de usos específicos bien definidos. Aproximadamente </w:t>
      </w:r>
      <w:r w:rsidR="00057BF4" w:rsidRPr="00057BF4">
        <w:rPr>
          <w:i/>
        </w:rPr>
        <w:t>Dhamma</w:t>
      </w:r>
      <w:r>
        <w:t xml:space="preserve"> = lo que se pued</w:t>
      </w:r>
      <w:r w:rsidR="00BC03E3">
        <w:t>a</w:t>
      </w:r>
      <w:r>
        <w:t xml:space="preserve"> recordar o lo que se pued</w:t>
      </w:r>
      <w:r w:rsidR="00BC03E3">
        <w:t>a</w:t>
      </w:r>
      <w:r>
        <w:t xml:space="preserve"> </w:t>
      </w:r>
      <w:r w:rsidR="005B75B8">
        <w:t>albergar</w:t>
      </w:r>
      <w:r>
        <w:t xml:space="preserve"> ment</w:t>
      </w:r>
      <w:r w:rsidR="005B75B8">
        <w:t>almente</w:t>
      </w:r>
      <w:r>
        <w:t xml:space="preserve"> (</w:t>
      </w:r>
      <w:proofErr w:type="spellStart"/>
      <w:r w:rsidRPr="00D77DB2">
        <w:rPr>
          <w:i/>
          <w:iCs/>
        </w:rPr>
        <w:t>dhāretabba</w:t>
      </w:r>
      <w:proofErr w:type="spellEnd"/>
      <w:r>
        <w:t xml:space="preserve">) como </w:t>
      </w:r>
      <w:proofErr w:type="spellStart"/>
      <w:r w:rsidR="00057BF4" w:rsidRPr="00057BF4">
        <w:rPr>
          <w:i/>
          <w:iCs/>
        </w:rPr>
        <w:t>kamma</w:t>
      </w:r>
      <w:proofErr w:type="spellEnd"/>
      <w:r>
        <w:t xml:space="preserve"> = lo que se pued</w:t>
      </w:r>
      <w:r w:rsidR="00BC03E3">
        <w:t>a</w:t>
      </w:r>
      <w:r>
        <w:t xml:space="preserve"> hacer (</w:t>
      </w:r>
      <w:proofErr w:type="spellStart"/>
      <w:r w:rsidRPr="00D77DB2">
        <w:rPr>
          <w:i/>
          <w:iCs/>
        </w:rPr>
        <w:t>kātabba</w:t>
      </w:r>
      <w:proofErr w:type="spellEnd"/>
      <w:r>
        <w:t>). L</w:t>
      </w:r>
      <w:r w:rsidR="00220335">
        <w:t>a</w:t>
      </w:r>
      <w:r>
        <w:t xml:space="preserve">s siguientes dos </w:t>
      </w:r>
      <w:r w:rsidR="00220335">
        <w:t>acepciones</w:t>
      </w:r>
      <w:r>
        <w:t xml:space="preserve"> principales (y superpuest</w:t>
      </w:r>
      <w:r w:rsidR="005B75B8">
        <w:t>a</w:t>
      </w:r>
      <w:r>
        <w:t>s) están involucrad</w:t>
      </w:r>
      <w:r w:rsidR="00220335">
        <w:t>a</w:t>
      </w:r>
      <w:r>
        <w:t xml:space="preserve">s aquí: (i) la Ley tal como </w:t>
      </w:r>
      <w:r w:rsidR="00220335">
        <w:t>es</w:t>
      </w:r>
      <w:r>
        <w:t xml:space="preserve"> enseña</w:t>
      </w:r>
      <w:r w:rsidR="00220335">
        <w:t>da</w:t>
      </w:r>
      <w:r>
        <w:t>, y (</w:t>
      </w:r>
      <w:proofErr w:type="spellStart"/>
      <w:r>
        <w:t>ii</w:t>
      </w:r>
      <w:proofErr w:type="spellEnd"/>
      <w:r>
        <w:t>) los objetos de la con</w:t>
      </w:r>
      <w:r w:rsidR="00220335">
        <w:t>s</w:t>
      </w:r>
      <w:r>
        <w:t>ciencia. (i) En el primer caso, la palabra se dejó sin traducir como "</w:t>
      </w:r>
      <w:r w:rsidR="00057BF4" w:rsidRPr="00057BF4">
        <w:rPr>
          <w:i/>
        </w:rPr>
        <w:t>Dhamma</w:t>
      </w:r>
      <w:r>
        <w:t>" o "</w:t>
      </w:r>
      <w:r w:rsidR="006D11B1" w:rsidRPr="00057BF4">
        <w:rPr>
          <w:i/>
        </w:rPr>
        <w:t>dhamma</w:t>
      </w:r>
      <w:r>
        <w:t>" o se presentó como "Ley" o "ley". Esto va desde el sentido amplio de "Buena Ley", "ley cósmica" y "</w:t>
      </w:r>
      <w:r w:rsidR="006D11B1">
        <w:t xml:space="preserve">la </w:t>
      </w:r>
      <w:r>
        <w:t>enseñanza" hasta sentidos técnicos específicos como "discriminación de la ley", "causalidad", "</w:t>
      </w:r>
      <w:r w:rsidR="00203F20">
        <w:t>ser</w:t>
      </w:r>
      <w:r>
        <w:t xml:space="preserve"> sujeto </w:t>
      </w:r>
      <w:r w:rsidR="00C74E18">
        <w:t>a</w:t>
      </w:r>
      <w:r w:rsidR="00497744">
        <w:t>,</w:t>
      </w:r>
      <w:r w:rsidR="00C74E18">
        <w:t xml:space="preserve"> </w:t>
      </w:r>
      <w:r>
        <w:t>o tener la naturaleza de". (</w:t>
      </w:r>
      <w:proofErr w:type="spellStart"/>
      <w:r>
        <w:t>ii</w:t>
      </w:r>
      <w:proofErr w:type="spellEnd"/>
      <w:r>
        <w:t>) En el segundo caso, la palabra en su sentido más amplio de “algo conocido o pensado” se ha dejado sin traducir como “</w:t>
      </w:r>
      <w:r w:rsidR="001E4F9B" w:rsidRPr="00057BF4">
        <w:rPr>
          <w:i/>
        </w:rPr>
        <w:t>dhamma</w:t>
      </w:r>
      <w:r>
        <w:t xml:space="preserve">” o se ha traducido como “estado” (más raramente como “cosa” o “fenómeno”), mientras que en su sentido técnico como una de las doce bases o dieciocho elementos se han utilizado “objeto mental” </w:t>
      </w:r>
      <w:r w:rsidR="005A4CCF">
        <w:t>o</w:t>
      </w:r>
      <w:r>
        <w:t xml:space="preserve"> “dato mental”. El uso a veces indiscriminado de "</w:t>
      </w:r>
      <w:r w:rsidR="00057BF4" w:rsidRPr="00057BF4">
        <w:rPr>
          <w:i/>
        </w:rPr>
        <w:t>Dhamma</w:t>
      </w:r>
      <w:r>
        <w:t xml:space="preserve">", "estado" y "ley" en ambos sentidos </w:t>
      </w:r>
      <w:r w:rsidR="0053627E">
        <w:t xml:space="preserve">de manera </w:t>
      </w:r>
      <w:r>
        <w:t xml:space="preserve">más </w:t>
      </w:r>
      <w:r w:rsidR="0053627E">
        <w:t>resuelta</w:t>
      </w:r>
      <w:r>
        <w:t xml:space="preserve"> es deliberado. Las palabras en </w:t>
      </w:r>
      <w:r w:rsidRPr="00F433B0">
        <w:rPr>
          <w:i/>
          <w:iCs/>
        </w:rPr>
        <w:t>inglés</w:t>
      </w:r>
      <w:r>
        <w:t xml:space="preserve"> </w:t>
      </w:r>
      <w:r w:rsidR="0053627E">
        <w:t>{</w:t>
      </w:r>
      <w:r w:rsidR="0053627E" w:rsidRPr="0053627E">
        <w:rPr>
          <w:i/>
          <w:iCs/>
        </w:rPr>
        <w:t xml:space="preserve">en este caso en </w:t>
      </w:r>
      <w:proofErr w:type="spellStart"/>
      <w:r w:rsidR="0053627E" w:rsidRPr="0053627E">
        <w:rPr>
          <w:i/>
          <w:iCs/>
        </w:rPr>
        <w:t>espa</w:t>
      </w:r>
      <w:proofErr w:type="spellEnd"/>
      <w:r w:rsidR="0053627E">
        <w:rPr>
          <w:i/>
          <w:iCs/>
          <w:lang w:val="es-MX"/>
        </w:rPr>
        <w:t>ñ</w:t>
      </w:r>
      <w:proofErr w:type="spellStart"/>
      <w:r w:rsidR="0053627E" w:rsidRPr="0053627E">
        <w:rPr>
          <w:i/>
          <w:iCs/>
        </w:rPr>
        <w:t>ol</w:t>
      </w:r>
      <w:proofErr w:type="spellEnd"/>
      <w:r w:rsidR="0053627E">
        <w:t xml:space="preserve">} </w:t>
      </w:r>
      <w:r>
        <w:t xml:space="preserve">se han reservado en la medida de lo posible para traducir </w:t>
      </w:r>
      <w:r w:rsidR="00057BF4" w:rsidRPr="00057BF4">
        <w:rPr>
          <w:i/>
        </w:rPr>
        <w:t>Dhamma</w:t>
      </w:r>
      <w:r>
        <w:t xml:space="preserve"> (excepto que "estado" se ha usado a veces para traducir </w:t>
      </w:r>
      <w:proofErr w:type="spellStart"/>
      <w:r w:rsidRPr="00D77DB2">
        <w:rPr>
          <w:i/>
          <w:iCs/>
        </w:rPr>
        <w:t>bhāva</w:t>
      </w:r>
      <w:proofErr w:type="spellEnd"/>
      <w:r>
        <w:t xml:space="preserve">, etc., en </w:t>
      </w:r>
      <w:r w:rsidR="00553993">
        <w:t>un</w:t>
      </w:r>
      <w:r>
        <w:t xml:space="preserve"> sentido </w:t>
      </w:r>
      <w:r w:rsidR="00553993">
        <w:t>sustantivo</w:t>
      </w:r>
      <w:r>
        <w:t>). Ocasionalmente, otros significados subsidiarios de naturaleza no técnica se han interpretado de otra manera según el contexto.</w:t>
      </w:r>
    </w:p>
    <w:p w14:paraId="0AF2CE49" w14:textId="724B1004" w:rsidR="00A26E4F" w:rsidRDefault="00A26E4F">
      <w:pPr>
        <w:tabs>
          <w:tab w:val="clear" w:pos="425"/>
        </w:tabs>
        <w:spacing w:after="160"/>
      </w:pPr>
      <w:r>
        <w:br w:type="page"/>
      </w:r>
    </w:p>
    <w:p w14:paraId="6162668C" w14:textId="73F9A7C4" w:rsidR="008A052B" w:rsidRDefault="00B40447" w:rsidP="008A052B">
      <w:pPr>
        <w:pStyle w:val="NormalConSangria"/>
      </w:pPr>
      <w:r>
        <w:lastRenderedPageBreak/>
        <w:t xml:space="preserve">La evocación surgida </w:t>
      </w:r>
      <w:r w:rsidR="00A003A1">
        <w:t>como</w:t>
      </w:r>
      <w:r>
        <w:t xml:space="preserve"> inspiración </w:t>
      </w:r>
      <w:r w:rsidR="00EC06A4">
        <w:t xml:space="preserve">en </w:t>
      </w:r>
      <w:r w:rsidR="008A052B">
        <w:t xml:space="preserve">la Comunidad </w:t>
      </w:r>
      <w:r>
        <w:t xml:space="preserve">será </w:t>
      </w:r>
      <w:r w:rsidR="0084259F">
        <w:t xml:space="preserve">la </w:t>
      </w:r>
      <w:r w:rsidR="0084259F" w:rsidRPr="0084259F">
        <w:rPr>
          <w:i/>
          <w:iCs/>
        </w:rPr>
        <w:t xml:space="preserve">evocación </w:t>
      </w:r>
      <w:r w:rsidR="008A052B" w:rsidRPr="0084259F">
        <w:rPr>
          <w:i/>
          <w:iCs/>
        </w:rPr>
        <w:t>del</w:t>
      </w:r>
      <w:r w:rsidR="008A052B">
        <w:t xml:space="preserve"> </w:t>
      </w:r>
      <w:r w:rsidR="00057BF4" w:rsidRPr="00057BF4">
        <w:rPr>
          <w:i/>
          <w:iCs/>
        </w:rPr>
        <w:t>Saṅgha</w:t>
      </w:r>
      <w:r w:rsidR="008A052B">
        <w:t xml:space="preserve">. </w:t>
      </w:r>
      <w:r>
        <w:t xml:space="preserve">Éste será </w:t>
      </w:r>
      <w:r w:rsidR="008A052B">
        <w:t>un término para la atención plena con las cualidades especiales de la Comunidad</w:t>
      </w:r>
      <w:r>
        <w:t>, como</w:t>
      </w:r>
      <w:r w:rsidR="008A052B">
        <w:t xml:space="preserve"> de </w:t>
      </w:r>
      <w:r>
        <w:t xml:space="preserve">haber </w:t>
      </w:r>
      <w:proofErr w:type="spellStart"/>
      <w:r w:rsidR="008A052B">
        <w:t>entra</w:t>
      </w:r>
      <w:r>
        <w:t>ndo</w:t>
      </w:r>
      <w:proofErr w:type="spellEnd"/>
      <w:r w:rsidR="008A052B">
        <w:t xml:space="preserve"> en el </w:t>
      </w:r>
      <w:r>
        <w:t>sendero</w:t>
      </w:r>
      <w:r w:rsidR="002A3B73">
        <w:t xml:space="preserve"> correcto</w:t>
      </w:r>
      <w:r w:rsidR="008A052B">
        <w:t>, etc., como su objeto.</w:t>
      </w:r>
    </w:p>
    <w:p w14:paraId="1704E8C5" w14:textId="755417EB" w:rsidR="008A052B" w:rsidRDefault="00B40447" w:rsidP="008A052B">
      <w:pPr>
        <w:pStyle w:val="NormalConSangria"/>
      </w:pPr>
      <w:r>
        <w:t xml:space="preserve">La evocación surgida </w:t>
      </w:r>
      <w:r w:rsidR="00A003A1">
        <w:t xml:space="preserve">como </w:t>
      </w:r>
      <w:r>
        <w:t xml:space="preserve">inspiración </w:t>
      </w:r>
      <w:r w:rsidR="002A3AD8">
        <w:t xml:space="preserve">en </w:t>
      </w:r>
      <w:r w:rsidR="008A052B">
        <w:t xml:space="preserve">la virtud </w:t>
      </w:r>
      <w:r>
        <w:t xml:space="preserve">será </w:t>
      </w:r>
      <w:r w:rsidR="0084259F">
        <w:t xml:space="preserve">la </w:t>
      </w:r>
      <w:r w:rsidR="0084259F" w:rsidRPr="0084259F">
        <w:rPr>
          <w:i/>
          <w:iCs/>
        </w:rPr>
        <w:t xml:space="preserve">evocación </w:t>
      </w:r>
      <w:r w:rsidR="008A052B" w:rsidRPr="0084259F">
        <w:rPr>
          <w:i/>
          <w:iCs/>
        </w:rPr>
        <w:t>de la virtud</w:t>
      </w:r>
      <w:r w:rsidR="008A052B">
        <w:t xml:space="preserve">. Este </w:t>
      </w:r>
      <w:r w:rsidR="00FD299C">
        <w:t xml:space="preserve">será </w:t>
      </w:r>
      <w:r w:rsidR="008A052B">
        <w:t xml:space="preserve">un término para la atención plena </w:t>
      </w:r>
      <w:r w:rsidR="002A3662">
        <w:t xml:space="preserve">sobre </w:t>
      </w:r>
      <w:r w:rsidR="008A052B">
        <w:t>las cualidades especiales de la virtud intacta, etc., como su objeto.</w:t>
      </w:r>
    </w:p>
    <w:p w14:paraId="3262943A" w14:textId="2A0F9E0B" w:rsidR="008A052B" w:rsidRDefault="00F073DD" w:rsidP="008A052B">
      <w:pPr>
        <w:pStyle w:val="NormalConSangria"/>
      </w:pPr>
      <w:r>
        <w:t xml:space="preserve">La evocación surgida </w:t>
      </w:r>
      <w:r w:rsidR="00A003A1">
        <w:t xml:space="preserve">como </w:t>
      </w:r>
      <w:r>
        <w:t xml:space="preserve">inspiración </w:t>
      </w:r>
      <w:r w:rsidR="00C76228">
        <w:t>en</w:t>
      </w:r>
      <w:r>
        <w:t xml:space="preserve"> </w:t>
      </w:r>
      <w:r w:rsidR="008A052B">
        <w:t xml:space="preserve">la generosidad </w:t>
      </w:r>
      <w:r w:rsidR="000B0DB1">
        <w:t xml:space="preserve">será </w:t>
      </w:r>
      <w:r w:rsidR="0084259F">
        <w:t xml:space="preserve">la </w:t>
      </w:r>
      <w:r w:rsidR="0084259F" w:rsidRPr="0084259F">
        <w:rPr>
          <w:i/>
          <w:iCs/>
        </w:rPr>
        <w:t xml:space="preserve">evocación </w:t>
      </w:r>
      <w:r w:rsidR="008A052B" w:rsidRPr="0084259F">
        <w:rPr>
          <w:i/>
          <w:iCs/>
        </w:rPr>
        <w:t>de la generosidad</w:t>
      </w:r>
      <w:r w:rsidR="008A052B">
        <w:t xml:space="preserve">. </w:t>
      </w:r>
      <w:r w:rsidR="00FD299C">
        <w:t xml:space="preserve">Éste será </w:t>
      </w:r>
      <w:r w:rsidR="008A052B">
        <w:t xml:space="preserve">un término para la atención plena </w:t>
      </w:r>
      <w:r w:rsidR="002A3662">
        <w:t xml:space="preserve">sobre </w:t>
      </w:r>
      <w:r w:rsidR="008A052B">
        <w:t xml:space="preserve">las cualidades especiales de la generosidad </w:t>
      </w:r>
      <w:r w:rsidR="00FD299C">
        <w:t>como</w:t>
      </w:r>
      <w:r w:rsidR="008A052B">
        <w:t xml:space="preserve"> </w:t>
      </w:r>
      <w:r w:rsidR="00C76228">
        <w:t>un</w:t>
      </w:r>
      <w:r w:rsidR="008A052B">
        <w:t>a generosidad libre, etc., como su objeto.</w:t>
      </w:r>
    </w:p>
    <w:p w14:paraId="0ADD3390" w14:textId="529968B6" w:rsidR="008A052B" w:rsidRDefault="006C65D2" w:rsidP="008A052B">
      <w:pPr>
        <w:pStyle w:val="NormalConSangria"/>
      </w:pPr>
      <w:r>
        <w:t xml:space="preserve">La evocación surgida </w:t>
      </w:r>
      <w:r w:rsidR="00A003A1">
        <w:t xml:space="preserve">como </w:t>
      </w:r>
      <w:r>
        <w:t xml:space="preserve">inspiración </w:t>
      </w:r>
      <w:r w:rsidR="002A3AD8">
        <w:t>en</w:t>
      </w:r>
      <w:r>
        <w:t xml:space="preserve"> </w:t>
      </w:r>
      <w:r w:rsidR="008A052B">
        <w:t xml:space="preserve">las deidades </w:t>
      </w:r>
      <w:r>
        <w:t xml:space="preserve">será </w:t>
      </w:r>
      <w:r w:rsidR="0084259F">
        <w:t xml:space="preserve">la </w:t>
      </w:r>
      <w:r w:rsidR="0084259F" w:rsidRPr="0084259F">
        <w:rPr>
          <w:i/>
          <w:iCs/>
        </w:rPr>
        <w:t xml:space="preserve">evocación </w:t>
      </w:r>
      <w:r w:rsidR="008A052B" w:rsidRPr="0084259F">
        <w:rPr>
          <w:i/>
          <w:iCs/>
        </w:rPr>
        <w:t>de las deidades</w:t>
      </w:r>
      <w:r w:rsidR="008A052B">
        <w:t xml:space="preserve">. </w:t>
      </w:r>
      <w:r>
        <w:t xml:space="preserve">Éste será </w:t>
      </w:r>
      <w:r w:rsidR="008A052B">
        <w:t xml:space="preserve">un término para la atención plena </w:t>
      </w:r>
      <w:r w:rsidR="002A3662">
        <w:t xml:space="preserve">sobre </w:t>
      </w:r>
      <w:r w:rsidR="008A052B">
        <w:t xml:space="preserve">las cualidades especiales de la fe, etc., como su objeto </w:t>
      </w:r>
      <w:r w:rsidR="002A3662">
        <w:t>teniendo a</w:t>
      </w:r>
      <w:r w:rsidR="008A052B">
        <w:t xml:space="preserve"> </w:t>
      </w:r>
      <w:r w:rsidR="009E0F5F">
        <w:t xml:space="preserve">las </w:t>
      </w:r>
      <w:r w:rsidR="008A052B">
        <w:t>deidades como testigos.</w:t>
      </w:r>
    </w:p>
    <w:p w14:paraId="630FE185" w14:textId="6E80417B" w:rsidR="008A052B" w:rsidRDefault="002A3662" w:rsidP="008A052B">
      <w:pPr>
        <w:pStyle w:val="NormalConSangria"/>
      </w:pPr>
      <w:r>
        <w:t xml:space="preserve">La evocación surgida </w:t>
      </w:r>
      <w:r w:rsidR="00A003A1">
        <w:t xml:space="preserve">como </w:t>
      </w:r>
      <w:r>
        <w:t xml:space="preserve">inspiración </w:t>
      </w:r>
      <w:r w:rsidR="00EC06A4">
        <w:t xml:space="preserve">en </w:t>
      </w:r>
      <w:r w:rsidR="008A052B">
        <w:t xml:space="preserve">la muerte </w:t>
      </w:r>
      <w:r>
        <w:t xml:space="preserve">será </w:t>
      </w:r>
      <w:r w:rsidR="0084259F">
        <w:t xml:space="preserve">la </w:t>
      </w:r>
      <w:r w:rsidR="0084259F" w:rsidRPr="0084259F">
        <w:rPr>
          <w:i/>
          <w:iCs/>
        </w:rPr>
        <w:t xml:space="preserve">evocación </w:t>
      </w:r>
      <w:r w:rsidR="008A052B" w:rsidRPr="0084259F">
        <w:rPr>
          <w:i/>
          <w:iCs/>
        </w:rPr>
        <w:t>de la muerte</w:t>
      </w:r>
      <w:r w:rsidR="008A052B">
        <w:t xml:space="preserve">. </w:t>
      </w:r>
      <w:r>
        <w:t xml:space="preserve">Éste será </w:t>
      </w:r>
      <w:r w:rsidR="008A052B">
        <w:t xml:space="preserve">un término para la atención plena </w:t>
      </w:r>
      <w:r>
        <w:t xml:space="preserve">sobre </w:t>
      </w:r>
      <w:r w:rsidR="008A052B">
        <w:t xml:space="preserve">la terminación de la facultad de </w:t>
      </w:r>
      <w:r>
        <w:t xml:space="preserve">la </w:t>
      </w:r>
      <w:r w:rsidR="008A052B">
        <w:t>vida como su objeto.</w:t>
      </w:r>
    </w:p>
    <w:p w14:paraId="734B8CB8" w14:textId="575A8410" w:rsidR="008A052B" w:rsidRDefault="008A052B" w:rsidP="008A052B">
      <w:pPr>
        <w:pStyle w:val="NormalConSangria"/>
      </w:pPr>
      <w:r>
        <w:t>[</w:t>
      </w:r>
      <w:r w:rsidRPr="0084259F">
        <w:rPr>
          <w:i/>
          <w:iCs/>
        </w:rPr>
        <w:t xml:space="preserve">La atención plena ocupada </w:t>
      </w:r>
      <w:r w:rsidR="007B1859">
        <w:rPr>
          <w:i/>
          <w:iCs/>
        </w:rPr>
        <w:t>en</w:t>
      </w:r>
      <w:r w:rsidRPr="0084259F">
        <w:rPr>
          <w:i/>
          <w:iCs/>
        </w:rPr>
        <w:t xml:space="preserve"> el cuerpo</w:t>
      </w:r>
      <w:r>
        <w:t xml:space="preserve"> (</w:t>
      </w:r>
      <w:proofErr w:type="spellStart"/>
      <w:r w:rsidRPr="004663DE">
        <w:rPr>
          <w:i/>
          <w:iCs/>
        </w:rPr>
        <w:t>kāya-gatā</w:t>
      </w:r>
      <w:proofErr w:type="spellEnd"/>
      <w:r w:rsidRPr="004663DE">
        <w:rPr>
          <w:i/>
          <w:iCs/>
        </w:rPr>
        <w:t xml:space="preserve"> </w:t>
      </w:r>
      <w:proofErr w:type="spellStart"/>
      <w:r w:rsidRPr="004663DE">
        <w:rPr>
          <w:i/>
          <w:iCs/>
        </w:rPr>
        <w:t>sati</w:t>
      </w:r>
      <w:proofErr w:type="spellEnd"/>
      <w:r>
        <w:t xml:space="preserve">—literalmente, “atención plena </w:t>
      </w:r>
      <w:r w:rsidR="00852D1F">
        <w:t>orientado al</w:t>
      </w:r>
      <w:r>
        <w:t xml:space="preserve"> cuerpo”):] </w:t>
      </w:r>
      <w:r w:rsidR="004A272B">
        <w:t>es</w:t>
      </w:r>
      <w:r w:rsidR="00852D1F">
        <w:t>tá</w:t>
      </w:r>
      <w:r w:rsidR="004A272B">
        <w:t xml:space="preserve"> </w:t>
      </w:r>
      <w:r w:rsidR="00852D1F">
        <w:t>orientad</w:t>
      </w:r>
      <w:r w:rsidR="00BB712A">
        <w:t>a</w:t>
      </w:r>
      <w:r w:rsidR="00852D1F">
        <w:t xml:space="preserve"> </w:t>
      </w:r>
      <w:r>
        <w:t>(</w:t>
      </w:r>
      <w:r w:rsidRPr="004663DE">
        <w:rPr>
          <w:i/>
          <w:iCs/>
        </w:rPr>
        <w:t>gata</w:t>
      </w:r>
      <w:r>
        <w:t>) al cuerpo material (</w:t>
      </w:r>
      <w:proofErr w:type="spellStart"/>
      <w:r w:rsidRPr="004663DE">
        <w:rPr>
          <w:i/>
          <w:iCs/>
        </w:rPr>
        <w:t>kāya</w:t>
      </w:r>
      <w:proofErr w:type="spellEnd"/>
      <w:r>
        <w:t xml:space="preserve">) que se analiza en </w:t>
      </w:r>
      <w:r w:rsidR="00046D2F">
        <w:t xml:space="preserve">los </w:t>
      </w:r>
      <w:r w:rsidR="002A3662">
        <w:t>cabellos</w:t>
      </w:r>
      <w:r>
        <w:t xml:space="preserve"> de la cabeza, etc., o </w:t>
      </w:r>
      <w:r w:rsidR="00046D2F">
        <w:t>es</w:t>
      </w:r>
      <w:r w:rsidR="00852D1F">
        <w:t>tá</w:t>
      </w:r>
      <w:r w:rsidR="00046D2F">
        <w:t xml:space="preserve"> </w:t>
      </w:r>
      <w:r w:rsidR="00852D1F">
        <w:t>orientad</w:t>
      </w:r>
      <w:r w:rsidR="00117756">
        <w:t>a</w:t>
      </w:r>
      <w:r w:rsidR="00852D1F">
        <w:t xml:space="preserve"> </w:t>
      </w:r>
      <w:r w:rsidR="00BB712A">
        <w:t>hacia e</w:t>
      </w:r>
      <w:r>
        <w:t xml:space="preserve">l cuerpo, por lo </w:t>
      </w:r>
      <w:r w:rsidR="00945DA0">
        <w:t>tanto,</w:t>
      </w:r>
      <w:r>
        <w:t xml:space="preserve"> es</w:t>
      </w:r>
      <w:r w:rsidR="00BB712A">
        <w:t>tá</w:t>
      </w:r>
      <w:r>
        <w:t xml:space="preserve"> “</w:t>
      </w:r>
      <w:r w:rsidR="006B67A6">
        <w:t>orientad</w:t>
      </w:r>
      <w:r w:rsidR="00BB712A">
        <w:t>a</w:t>
      </w:r>
      <w:r w:rsidR="006B67A6">
        <w:t xml:space="preserve"> al </w:t>
      </w:r>
      <w:r>
        <w:t>cuerpo” (</w:t>
      </w:r>
      <w:proofErr w:type="spellStart"/>
      <w:r w:rsidRPr="004663DE">
        <w:rPr>
          <w:i/>
          <w:iCs/>
        </w:rPr>
        <w:t>kāya-gatā</w:t>
      </w:r>
      <w:proofErr w:type="spellEnd"/>
      <w:r>
        <w:t xml:space="preserve">). Es </w:t>
      </w:r>
      <w:r w:rsidR="00117756">
        <w:t xml:space="preserve">una </w:t>
      </w:r>
      <w:r w:rsidR="00046D2F">
        <w:t>atención-</w:t>
      </w:r>
      <w:r w:rsidR="006B67A6">
        <w:t xml:space="preserve">orientada </w:t>
      </w:r>
      <w:r w:rsidR="00622CDC">
        <w:t>hacia</w:t>
      </w:r>
      <w:r w:rsidR="006B67A6">
        <w:t xml:space="preserve"> lo </w:t>
      </w:r>
      <w:r w:rsidR="00046D2F">
        <w:t>cor</w:t>
      </w:r>
      <w:r w:rsidR="00331A14">
        <w:t xml:space="preserve">poral </w:t>
      </w:r>
      <w:r>
        <w:t>(</w:t>
      </w:r>
      <w:proofErr w:type="spellStart"/>
      <w:r w:rsidRPr="004663DE">
        <w:rPr>
          <w:i/>
          <w:iCs/>
        </w:rPr>
        <w:t>kāya-gatā</w:t>
      </w:r>
      <w:proofErr w:type="spellEnd"/>
      <w:r>
        <w:t xml:space="preserve">) y </w:t>
      </w:r>
      <w:r w:rsidR="00235814">
        <w:t>se trata de una</w:t>
      </w:r>
      <w:r>
        <w:t xml:space="preserve"> atención plena (</w:t>
      </w:r>
      <w:proofErr w:type="spellStart"/>
      <w:r w:rsidRPr="004663DE">
        <w:rPr>
          <w:i/>
          <w:iCs/>
        </w:rPr>
        <w:t>sati</w:t>
      </w:r>
      <w:proofErr w:type="spellEnd"/>
      <w:r>
        <w:t>), por lo tanto</w:t>
      </w:r>
      <w:r w:rsidR="006B67A6">
        <w:t>,</w:t>
      </w:r>
      <w:r>
        <w:t xml:space="preserve"> es “</w:t>
      </w:r>
      <w:r w:rsidR="00235814">
        <w:t xml:space="preserve">una </w:t>
      </w:r>
      <w:r w:rsidR="006B67A6">
        <w:t>atención</w:t>
      </w:r>
      <w:r w:rsidR="0092402E">
        <w:t>-</w:t>
      </w:r>
      <w:r w:rsidR="006B67A6">
        <w:t>plena</w:t>
      </w:r>
      <w:r w:rsidR="001C1731">
        <w:t xml:space="preserve"> </w:t>
      </w:r>
      <w:r w:rsidR="0092402E">
        <w:t>orientada-al-cuerpo</w:t>
      </w:r>
      <w:r>
        <w:t>” (</w:t>
      </w:r>
      <w:proofErr w:type="spellStart"/>
      <w:r w:rsidRPr="004663DE">
        <w:rPr>
          <w:i/>
          <w:iCs/>
        </w:rPr>
        <w:t>kāyagata</w:t>
      </w:r>
      <w:proofErr w:type="spellEnd"/>
      <w:r w:rsidR="004663DE" w:rsidRPr="004663DE">
        <w:rPr>
          <w:i/>
          <w:iCs/>
        </w:rPr>
        <w:t xml:space="preserve"> </w:t>
      </w:r>
      <w:proofErr w:type="spellStart"/>
      <w:r w:rsidRPr="004663DE">
        <w:rPr>
          <w:i/>
          <w:iCs/>
        </w:rPr>
        <w:t>sati</w:t>
      </w:r>
      <w:proofErr w:type="spellEnd"/>
      <w:r>
        <w:t xml:space="preserve">—compuesto único); </w:t>
      </w:r>
      <w:r w:rsidR="000A259F">
        <w:t xml:space="preserve">no obstante, </w:t>
      </w:r>
      <w:r>
        <w:t xml:space="preserve">en lugar de acortar [la vocal] de la manera habitual, se dice “atención plena </w:t>
      </w:r>
      <w:r w:rsidR="001C1731">
        <w:t>orientad</w:t>
      </w:r>
      <w:r w:rsidR="00235814">
        <w:t>a</w:t>
      </w:r>
      <w:r w:rsidR="001C1731">
        <w:t xml:space="preserve"> a</w:t>
      </w:r>
      <w:r>
        <w:t>l cuerpo” (</w:t>
      </w:r>
      <w:proofErr w:type="spellStart"/>
      <w:r w:rsidRPr="004663DE">
        <w:rPr>
          <w:i/>
          <w:iCs/>
        </w:rPr>
        <w:t>kāyagatā</w:t>
      </w:r>
      <w:proofErr w:type="spellEnd"/>
      <w:r>
        <w:t xml:space="preserve"> </w:t>
      </w:r>
      <w:proofErr w:type="spellStart"/>
      <w:r w:rsidRPr="004663DE">
        <w:rPr>
          <w:i/>
          <w:iCs/>
        </w:rPr>
        <w:t>sati</w:t>
      </w:r>
      <w:proofErr w:type="spellEnd"/>
      <w:r>
        <w:t xml:space="preserve">— adj. compuesto + sustantivo). </w:t>
      </w:r>
      <w:r w:rsidR="009B6DF4">
        <w:t xml:space="preserve">Éste </w:t>
      </w:r>
      <w:r>
        <w:t>es un término para la atención plena que tiene como objeto el signo de las partes del cuerpo consisten</w:t>
      </w:r>
      <w:r w:rsidR="009B6DF4">
        <w:t>tes</w:t>
      </w:r>
      <w:r>
        <w:t xml:space="preserve"> </w:t>
      </w:r>
      <w:r w:rsidR="009B6DF4">
        <w:t xml:space="preserve">de los cabellos </w:t>
      </w:r>
      <w:r>
        <w:t xml:space="preserve">de la cabeza y </w:t>
      </w:r>
      <w:r w:rsidR="009B6DF4">
        <w:t>lo restante</w:t>
      </w:r>
      <w:r>
        <w:t>.</w:t>
      </w:r>
    </w:p>
    <w:p w14:paraId="400E6850" w14:textId="4C9319AE" w:rsidR="008A052B" w:rsidRDefault="008A052B" w:rsidP="008A052B">
      <w:pPr>
        <w:pStyle w:val="NormalConSangria"/>
      </w:pPr>
      <w:r>
        <w:t>La atención plena que sur</w:t>
      </w:r>
      <w:r w:rsidR="00CE68FC">
        <w:t>ja</w:t>
      </w:r>
      <w:r>
        <w:t xml:space="preserve"> inspirada por la respiración (</w:t>
      </w:r>
      <w:r w:rsidRPr="0084259F">
        <w:rPr>
          <w:i/>
          <w:iCs/>
        </w:rPr>
        <w:t>ānāpāna</w:t>
      </w:r>
      <w:r>
        <w:t xml:space="preserve">) </w:t>
      </w:r>
      <w:r w:rsidR="00CE68FC">
        <w:t xml:space="preserve">será </w:t>
      </w:r>
      <w:r>
        <w:t xml:space="preserve">la </w:t>
      </w:r>
      <w:r w:rsidRPr="0084259F">
        <w:rPr>
          <w:i/>
          <w:iCs/>
        </w:rPr>
        <w:t>atención plena de la respiración</w:t>
      </w:r>
      <w:r>
        <w:t xml:space="preserve">. </w:t>
      </w:r>
      <w:r w:rsidR="00CE68FC">
        <w:t xml:space="preserve">Éste será </w:t>
      </w:r>
      <w:r>
        <w:t>un término para la atención plena que ten</w:t>
      </w:r>
      <w:r w:rsidR="00CE68FC">
        <w:t>ga</w:t>
      </w:r>
      <w:r>
        <w:t xml:space="preserve"> como objeto el signo de </w:t>
      </w:r>
      <w:r w:rsidR="00CE68FC">
        <w:t>la</w:t>
      </w:r>
      <w:r w:rsidR="009F7C74">
        <w:t>s</w:t>
      </w:r>
      <w:r w:rsidR="00CE68FC">
        <w:t xml:space="preserve"> </w:t>
      </w:r>
      <w:r>
        <w:t>inhalaciones y exhalaciones.</w:t>
      </w:r>
    </w:p>
    <w:p w14:paraId="03C499BC" w14:textId="6C597BF3" w:rsidR="008A052B" w:rsidRPr="008A052B" w:rsidRDefault="008A052B" w:rsidP="008A052B">
      <w:pPr>
        <w:pStyle w:val="PiedepginaLegal"/>
        <w:rPr>
          <w:u w:val="single"/>
        </w:rPr>
      </w:pPr>
      <w:r w:rsidRPr="008A052B">
        <w:rPr>
          <w:u w:val="single"/>
        </w:rPr>
        <w:tab/>
      </w:r>
      <w:r w:rsidRPr="008A052B">
        <w:rPr>
          <w:u w:val="single"/>
        </w:rPr>
        <w:tab/>
      </w:r>
      <w:r w:rsidRPr="008A052B">
        <w:rPr>
          <w:u w:val="single"/>
        </w:rPr>
        <w:tab/>
      </w:r>
      <w:r w:rsidRPr="008A052B">
        <w:rPr>
          <w:u w:val="single"/>
        </w:rPr>
        <w:tab/>
        <w:t xml:space="preserve"> .</w:t>
      </w:r>
    </w:p>
    <w:p w14:paraId="37BA229F" w14:textId="77777777" w:rsidR="008A052B" w:rsidRDefault="008A052B" w:rsidP="008A052B">
      <w:pPr>
        <w:pStyle w:val="PiedepginaLegal"/>
      </w:pPr>
      <w:r>
        <w:t>…</w:t>
      </w:r>
    </w:p>
    <w:p w14:paraId="284A7E84" w14:textId="00CD1A92" w:rsidR="008A052B" w:rsidRDefault="008A052B" w:rsidP="008A052B">
      <w:pPr>
        <w:pStyle w:val="PiedepginaLegal"/>
      </w:pPr>
      <w:r>
        <w:tab/>
      </w:r>
      <w:r>
        <w:tab/>
        <w:t xml:space="preserve">Para evitar confusiones, es necesario distinguir las interpretaciones de la palabra </w:t>
      </w:r>
      <w:r w:rsidR="00057BF4" w:rsidRPr="00057BF4">
        <w:rPr>
          <w:i/>
          <w:iCs/>
        </w:rPr>
        <w:t>Dhamma</w:t>
      </w:r>
      <w:r>
        <w:t xml:space="preserve"> y las interpretaciones de las palabras utilizadas para definirla. La palabra en sí es un gerundio del verbo </w:t>
      </w:r>
      <w:proofErr w:type="spellStart"/>
      <w:r w:rsidRPr="004663DE">
        <w:rPr>
          <w:i/>
          <w:iCs/>
        </w:rPr>
        <w:t>dharati</w:t>
      </w:r>
      <w:proofErr w:type="spellEnd"/>
      <w:r>
        <w:t xml:space="preserve"> (</w:t>
      </w:r>
      <w:r w:rsidRPr="004663DE">
        <w:rPr>
          <w:i/>
          <w:iCs/>
        </w:rPr>
        <w:t>caus</w:t>
      </w:r>
      <w:r w:rsidR="00C87F03">
        <w:rPr>
          <w:i/>
          <w:iCs/>
        </w:rPr>
        <w:t>ativo</w:t>
      </w:r>
      <w:r>
        <w:t xml:space="preserve">. </w:t>
      </w:r>
      <w:proofErr w:type="spellStart"/>
      <w:r w:rsidRPr="004663DE">
        <w:rPr>
          <w:i/>
          <w:iCs/>
        </w:rPr>
        <w:t>dhāreti</w:t>
      </w:r>
      <w:proofErr w:type="spellEnd"/>
      <w:r>
        <w:t>—“</w:t>
      </w:r>
      <w:r w:rsidR="00074261">
        <w:t>albergar</w:t>
      </w:r>
      <w:r>
        <w:t>”) y, por lo tanto, es el equivalente literal de “</w:t>
      </w:r>
      <w:r w:rsidR="00E8738F">
        <w:t xml:space="preserve">la </w:t>
      </w:r>
      <w:r>
        <w:t xml:space="preserve">cualidad que ha de ser </w:t>
      </w:r>
      <w:r w:rsidR="00074261">
        <w:t>albergada</w:t>
      </w:r>
      <w:r>
        <w:t xml:space="preserve">”. Pero dado que los significados gramaticales de las dos palabras </w:t>
      </w:r>
      <w:proofErr w:type="spellStart"/>
      <w:r w:rsidRPr="004663DE">
        <w:rPr>
          <w:i/>
          <w:iCs/>
        </w:rPr>
        <w:t>dharati</w:t>
      </w:r>
      <w:proofErr w:type="spellEnd"/>
      <w:r>
        <w:t xml:space="preserve"> (“</w:t>
      </w:r>
      <w:r w:rsidR="00074261">
        <w:t>albergar</w:t>
      </w:r>
      <w:r>
        <w:t xml:space="preserve">”) y </w:t>
      </w:r>
      <w:proofErr w:type="spellStart"/>
      <w:r w:rsidRPr="00DB5E6C">
        <w:rPr>
          <w:i/>
          <w:iCs/>
        </w:rPr>
        <w:t>dahati</w:t>
      </w:r>
      <w:proofErr w:type="spellEnd"/>
      <w:r>
        <w:t xml:space="preserve"> (“poner o clasificar”, </w:t>
      </w:r>
      <w:r w:rsidR="00FA74D7">
        <w:t>en</w:t>
      </w:r>
      <w:r>
        <w:t xml:space="preserve"> donde </w:t>
      </w:r>
      <w:proofErr w:type="spellStart"/>
      <w:r w:rsidRPr="004663DE">
        <w:rPr>
          <w:i/>
          <w:iCs/>
        </w:rPr>
        <w:t>dhātu</w:t>
      </w:r>
      <w:proofErr w:type="spellEnd"/>
      <w:r w:rsidR="00FA74D7">
        <w:rPr>
          <w:i/>
          <w:iCs/>
        </w:rPr>
        <w:t xml:space="preserve"> </w:t>
      </w:r>
      <w:r w:rsidR="00FA74D7" w:rsidRPr="00FA74D7">
        <w:t>es</w:t>
      </w:r>
      <w:r>
        <w:t>—“elemento”) a veces se unen, a menudo se acerca</w:t>
      </w:r>
      <w:r w:rsidR="006F3E01">
        <w:t>n</w:t>
      </w:r>
      <w:r>
        <w:t xml:space="preserve"> mucho a </w:t>
      </w:r>
      <w:proofErr w:type="spellStart"/>
      <w:r w:rsidR="00DB5E6C">
        <w:rPr>
          <w:i/>
          <w:iCs/>
        </w:rPr>
        <w:t>dhātu</w:t>
      </w:r>
      <w:proofErr w:type="spellEnd"/>
      <w:r>
        <w:t xml:space="preserve"> (</w:t>
      </w:r>
      <w:r w:rsidR="006F3E01">
        <w:t>no obstante,</w:t>
      </w:r>
      <w:r>
        <w:t xml:space="preserve"> véase VIII n. 68 y XI.104). Si se pregunta</w:t>
      </w:r>
      <w:r w:rsidR="00C67CA9">
        <w:t>se</w:t>
      </w:r>
      <w:r>
        <w:t xml:space="preserve">, ¿qué </w:t>
      </w:r>
      <w:r w:rsidR="006F3E01">
        <w:t>posee</w:t>
      </w:r>
      <w:r>
        <w:t xml:space="preserve"> las cualidades </w:t>
      </w:r>
      <w:r w:rsidR="00E8738F">
        <w:t>de</w:t>
      </w:r>
      <w:r>
        <w:t xml:space="preserve"> </w:t>
      </w:r>
      <w:r w:rsidR="006F3E01">
        <w:t>albergar</w:t>
      </w:r>
      <w:r>
        <w:t xml:space="preserve">? Una respuesta correcta aquí probablemente sería que es </w:t>
      </w:r>
      <w:r w:rsidR="00CF77A2">
        <w:t>la ocasión</w:t>
      </w:r>
      <w:r>
        <w:t xml:space="preserve"> (</w:t>
      </w:r>
      <w:proofErr w:type="spellStart"/>
      <w:r w:rsidRPr="004663DE">
        <w:rPr>
          <w:i/>
          <w:iCs/>
        </w:rPr>
        <w:t>samaya</w:t>
      </w:r>
      <w:proofErr w:type="spellEnd"/>
      <w:r>
        <w:t xml:space="preserve">), como se establece en el </w:t>
      </w:r>
      <w:proofErr w:type="spellStart"/>
      <w:r w:rsidR="00057BF4" w:rsidRPr="00057BF4">
        <w:rPr>
          <w:i/>
          <w:iCs/>
        </w:rPr>
        <w:t>Dhamma</w:t>
      </w:r>
      <w:r w:rsidRPr="004663DE">
        <w:rPr>
          <w:i/>
          <w:iCs/>
        </w:rPr>
        <w:t>saṅgaṇī</w:t>
      </w:r>
      <w:proofErr w:type="spellEnd"/>
      <w:r>
        <w:t xml:space="preserve"> (§1, etc.), en el que surgen y </w:t>
      </w:r>
      <w:r w:rsidR="004D47EC">
        <w:t>se encuentran</w:t>
      </w:r>
      <w:r>
        <w:t xml:space="preserve"> presentes los diversos </w:t>
      </w:r>
      <w:r w:rsidR="00057BF4" w:rsidRPr="00057BF4">
        <w:rPr>
          <w:i/>
        </w:rPr>
        <w:t>Dhamma</w:t>
      </w:r>
      <w:r>
        <w:t xml:space="preserve">s enumerados allí, relacionados entre sí de diversas formas. La palabra </w:t>
      </w:r>
      <w:proofErr w:type="spellStart"/>
      <w:r w:rsidRPr="004663DE">
        <w:rPr>
          <w:i/>
          <w:iCs/>
        </w:rPr>
        <w:t>dhammin</w:t>
      </w:r>
      <w:proofErr w:type="spellEnd"/>
      <w:r>
        <w:t xml:space="preserve"> (cosa cualificada o “portador de lo que se ha de </w:t>
      </w:r>
      <w:r w:rsidR="00DD5B78">
        <w:t>albergar</w:t>
      </w:r>
      <w:r>
        <w:t xml:space="preserve">”) es una introducción tardía como término lógico (quizás usado por primera vez en </w:t>
      </w:r>
      <w:r w:rsidR="00AD6B1D" w:rsidRPr="00AD6B1D">
        <w:rPr>
          <w:i/>
        </w:rPr>
        <w:t>Pāḷi</w:t>
      </w:r>
      <w:r>
        <w:t xml:space="preserve"> </w:t>
      </w:r>
      <w:r w:rsidR="00DD5B78">
        <w:t>en el</w:t>
      </w:r>
      <w:r>
        <w:t xml:space="preserve"> </w:t>
      </w:r>
      <w:proofErr w:type="spellStart"/>
      <w:r>
        <w:t>Vism-mhṭ</w:t>
      </w:r>
      <w:proofErr w:type="spellEnd"/>
      <w:r>
        <w:t>, ver p. 534).</w:t>
      </w:r>
    </w:p>
    <w:p w14:paraId="384223E4" w14:textId="426FE320" w:rsidR="008A052B" w:rsidRDefault="008A052B" w:rsidP="00C05051">
      <w:pPr>
        <w:pStyle w:val="PiedepginaLegal"/>
      </w:pPr>
      <w:r>
        <w:tab/>
      </w:r>
      <w:r>
        <w:tab/>
        <w:t>En cuanto a las definiciones de la palabra, hay varias. En D-a I 99 se dan cuatro significados: cualidad especial moral (meritoria) (</w:t>
      </w:r>
      <w:proofErr w:type="spellStart"/>
      <w:r w:rsidRPr="004663DE">
        <w:rPr>
          <w:i/>
          <w:iCs/>
        </w:rPr>
        <w:t>guṇa</w:t>
      </w:r>
      <w:proofErr w:type="spellEnd"/>
      <w:r>
        <w:t>), predicación de la Ley (</w:t>
      </w:r>
      <w:proofErr w:type="spellStart"/>
      <w:r w:rsidRPr="004663DE">
        <w:rPr>
          <w:i/>
          <w:iCs/>
        </w:rPr>
        <w:t>desanā</w:t>
      </w:r>
      <w:proofErr w:type="spellEnd"/>
      <w:r>
        <w:t>), escritura (</w:t>
      </w:r>
      <w:proofErr w:type="spellStart"/>
      <w:r w:rsidRPr="004663DE">
        <w:rPr>
          <w:i/>
          <w:iCs/>
        </w:rPr>
        <w:t>pariyatti</w:t>
      </w:r>
      <w:proofErr w:type="spellEnd"/>
      <w:r>
        <w:t>) y “</w:t>
      </w:r>
      <w:r w:rsidR="00DD5B78">
        <w:t xml:space="preserve">un </w:t>
      </w:r>
      <w:r>
        <w:t xml:space="preserve">ser </w:t>
      </w:r>
      <w:r w:rsidR="00B86EDA">
        <w:t xml:space="preserve">no </w:t>
      </w:r>
      <w:r>
        <w:t>vivo” (</w:t>
      </w:r>
      <w:proofErr w:type="spellStart"/>
      <w:r w:rsidRPr="004663DE">
        <w:rPr>
          <w:i/>
          <w:iCs/>
        </w:rPr>
        <w:t>nissattatā</w:t>
      </w:r>
      <w:proofErr w:type="spellEnd"/>
      <w:r>
        <w:t xml:space="preserve">). También se dan cuatro significados en </w:t>
      </w:r>
      <w:proofErr w:type="spellStart"/>
      <w:r>
        <w:t>Dhs</w:t>
      </w:r>
      <w:proofErr w:type="spellEnd"/>
      <w:r>
        <w:t>-a 38: escritura (</w:t>
      </w:r>
      <w:proofErr w:type="spellStart"/>
      <w:r w:rsidRPr="004663DE">
        <w:rPr>
          <w:i/>
          <w:iCs/>
        </w:rPr>
        <w:t>pariyatti</w:t>
      </w:r>
      <w:proofErr w:type="spellEnd"/>
      <w:r>
        <w:t>), causa (de efecto) como ley (</w:t>
      </w:r>
      <w:proofErr w:type="spellStart"/>
      <w:r w:rsidRPr="004663DE">
        <w:rPr>
          <w:i/>
          <w:iCs/>
        </w:rPr>
        <w:t>hetu</w:t>
      </w:r>
      <w:proofErr w:type="spellEnd"/>
      <w:r>
        <w:t>), cualidad especial moral (meritoria) (</w:t>
      </w:r>
      <w:proofErr w:type="spellStart"/>
      <w:r w:rsidRPr="004663DE">
        <w:rPr>
          <w:i/>
          <w:iCs/>
        </w:rPr>
        <w:t>guṇa</w:t>
      </w:r>
      <w:proofErr w:type="spellEnd"/>
      <w:r>
        <w:t>), y “</w:t>
      </w:r>
      <w:r w:rsidR="00DD5B78">
        <w:t xml:space="preserve">un </w:t>
      </w:r>
      <w:r>
        <w:t xml:space="preserve">ser </w:t>
      </w:r>
      <w:r w:rsidR="00D763B9">
        <w:t xml:space="preserve">no </w:t>
      </w:r>
      <w:r>
        <w:t xml:space="preserve">vivo y </w:t>
      </w:r>
      <w:r w:rsidR="00D763B9">
        <w:t>carente</w:t>
      </w:r>
      <w:r>
        <w:t xml:space="preserve"> de alma” (</w:t>
      </w:r>
      <w:proofErr w:type="spellStart"/>
      <w:r w:rsidRPr="004663DE">
        <w:rPr>
          <w:i/>
          <w:iCs/>
        </w:rPr>
        <w:t>nissatta-nijjīvatā</w:t>
      </w:r>
      <w:proofErr w:type="spellEnd"/>
      <w:r>
        <w:t xml:space="preserve">). En </w:t>
      </w:r>
      <w:r w:rsidR="00DD5B78">
        <w:t xml:space="preserve">el </w:t>
      </w:r>
      <w:r>
        <w:t>M-a I 17 se da una definición más amplia, donde se distinguen los siguientes significados: dominio de las escrituras, (</w:t>
      </w:r>
      <w:proofErr w:type="spellStart"/>
      <w:r w:rsidRPr="004663DE">
        <w:rPr>
          <w:i/>
          <w:iCs/>
        </w:rPr>
        <w:t>pariyatti</w:t>
      </w:r>
      <w:proofErr w:type="spellEnd"/>
      <w:r>
        <w:t>—A III 86) verdad, (</w:t>
      </w:r>
      <w:r w:rsidRPr="004663DE">
        <w:rPr>
          <w:i/>
          <w:iCs/>
        </w:rPr>
        <w:t>sacca</w:t>
      </w:r>
      <w:r>
        <w:t>—</w:t>
      </w:r>
      <w:proofErr w:type="spellStart"/>
      <w:r>
        <w:t>Vin</w:t>
      </w:r>
      <w:proofErr w:type="spellEnd"/>
      <w:r>
        <w:t xml:space="preserve"> I 12) </w:t>
      </w:r>
      <w:r w:rsidRPr="001714E4">
        <w:t>concentración</w:t>
      </w:r>
      <w:r>
        <w:t>, (</w:t>
      </w:r>
      <w:r w:rsidR="00057BF4" w:rsidRPr="00057BF4">
        <w:rPr>
          <w:i/>
        </w:rPr>
        <w:t>samādhi</w:t>
      </w:r>
      <w:r>
        <w:t xml:space="preserve">— D II 54) </w:t>
      </w:r>
      <w:r w:rsidR="00DD5B78">
        <w:t>sabiduría</w:t>
      </w:r>
      <w:r>
        <w:t>, (</w:t>
      </w:r>
      <w:r w:rsidR="00057BF4" w:rsidRPr="00057BF4">
        <w:rPr>
          <w:i/>
        </w:rPr>
        <w:t>paññā</w:t>
      </w:r>
      <w:r>
        <w:t>— J-a I 280) naturaleza, (</w:t>
      </w:r>
      <w:proofErr w:type="spellStart"/>
      <w:r w:rsidRPr="004663DE">
        <w:rPr>
          <w:i/>
          <w:iCs/>
        </w:rPr>
        <w:t>pakati</w:t>
      </w:r>
      <w:proofErr w:type="spellEnd"/>
      <w:r>
        <w:t>—M I 162) esencia individual, (</w:t>
      </w:r>
      <w:proofErr w:type="spellStart"/>
      <w:r w:rsidRPr="004663DE">
        <w:rPr>
          <w:i/>
          <w:iCs/>
        </w:rPr>
        <w:t>sabhāva</w:t>
      </w:r>
      <w:proofErr w:type="spellEnd"/>
      <w:r>
        <w:t>—</w:t>
      </w:r>
      <w:proofErr w:type="spellStart"/>
      <w:r>
        <w:t>Dhs</w:t>
      </w:r>
      <w:proofErr w:type="spellEnd"/>
      <w:r>
        <w:t xml:space="preserve"> 1) vacuidad, (</w:t>
      </w:r>
      <w:proofErr w:type="spellStart"/>
      <w:r w:rsidRPr="004663DE">
        <w:rPr>
          <w:i/>
          <w:iCs/>
        </w:rPr>
        <w:t>suññatā</w:t>
      </w:r>
      <w:proofErr w:type="spellEnd"/>
      <w:r>
        <w:t>—</w:t>
      </w:r>
      <w:proofErr w:type="spellStart"/>
      <w:r>
        <w:t>Dhs</w:t>
      </w:r>
      <w:proofErr w:type="spellEnd"/>
      <w:r>
        <w:t xml:space="preserve"> 25) mérito, (</w:t>
      </w:r>
      <w:proofErr w:type="spellStart"/>
      <w:r w:rsidRPr="00D763B9">
        <w:rPr>
          <w:i/>
          <w:iCs/>
        </w:rPr>
        <w:t>puñña</w:t>
      </w:r>
      <w:proofErr w:type="spellEnd"/>
      <w:r>
        <w:t>—S I 82) ofensa, (</w:t>
      </w:r>
      <w:proofErr w:type="spellStart"/>
      <w:r w:rsidRPr="004663DE">
        <w:rPr>
          <w:i/>
          <w:iCs/>
        </w:rPr>
        <w:t>āpatti</w:t>
      </w:r>
      <w:proofErr w:type="spellEnd"/>
      <w:r>
        <w:t xml:space="preserve">— </w:t>
      </w:r>
      <w:proofErr w:type="spellStart"/>
      <w:r>
        <w:t>Vin</w:t>
      </w:r>
      <w:proofErr w:type="spellEnd"/>
      <w:r>
        <w:t xml:space="preserve"> III 187) lo que s</w:t>
      </w:r>
      <w:r w:rsidR="00B805DD">
        <w:t>ea</w:t>
      </w:r>
      <w:r>
        <w:t xml:space="preserve"> cognoscible, (</w:t>
      </w:r>
      <w:proofErr w:type="spellStart"/>
      <w:r w:rsidRPr="004663DE">
        <w:rPr>
          <w:i/>
          <w:iCs/>
        </w:rPr>
        <w:t>ñeyya</w:t>
      </w:r>
      <w:proofErr w:type="spellEnd"/>
      <w:r>
        <w:t>—</w:t>
      </w:r>
      <w:proofErr w:type="spellStart"/>
      <w:r w:rsidRPr="004663DE">
        <w:rPr>
          <w:i/>
          <w:iCs/>
        </w:rPr>
        <w:t>Paṭis</w:t>
      </w:r>
      <w:proofErr w:type="spellEnd"/>
      <w:r>
        <w:t xml:space="preserve"> II 194) “</w:t>
      </w:r>
      <w:r w:rsidRPr="00B805DD">
        <w:rPr>
          <w:i/>
          <w:iCs/>
        </w:rPr>
        <w:t>y así sucesivamente</w:t>
      </w:r>
      <w:r>
        <w:t>” (ver también VIII n. 68).</w:t>
      </w:r>
      <w:r>
        <w:br w:type="page"/>
      </w:r>
    </w:p>
    <w:p w14:paraId="41781AB0" w14:textId="77777777" w:rsidR="00A26E4F" w:rsidRDefault="00A26E4F" w:rsidP="00A26E4F"/>
    <w:p w14:paraId="1CD199A4" w14:textId="0800D6A4" w:rsidR="004C0568" w:rsidRDefault="00D763B9" w:rsidP="004C0568">
      <w:pPr>
        <w:pStyle w:val="NormalConSangria"/>
      </w:pPr>
      <w:r>
        <w:t xml:space="preserve">La evocación surgida por inspiración </w:t>
      </w:r>
      <w:r w:rsidR="00235814">
        <w:t>en</w:t>
      </w:r>
      <w:r>
        <w:t xml:space="preserve"> </w:t>
      </w:r>
      <w:r w:rsidR="004C0568">
        <w:t xml:space="preserve">la paz </w:t>
      </w:r>
      <w:r>
        <w:t xml:space="preserve">será la </w:t>
      </w:r>
      <w:r w:rsidRPr="0056018D">
        <w:rPr>
          <w:i/>
          <w:iCs/>
        </w:rPr>
        <w:t xml:space="preserve">evocación </w:t>
      </w:r>
      <w:r w:rsidR="004C0568" w:rsidRPr="0056018D">
        <w:rPr>
          <w:i/>
          <w:iCs/>
        </w:rPr>
        <w:t>de la paz</w:t>
      </w:r>
      <w:r w:rsidR="004C0568">
        <w:t xml:space="preserve">. </w:t>
      </w:r>
      <w:r>
        <w:t xml:space="preserve">Éste </w:t>
      </w:r>
      <w:r w:rsidR="00235814">
        <w:t>será</w:t>
      </w:r>
      <w:r w:rsidR="004C0568">
        <w:t xml:space="preserve"> un término que </w:t>
      </w:r>
      <w:r w:rsidR="0056018D">
        <w:t>tendrá</w:t>
      </w:r>
      <w:r w:rsidR="004C0568">
        <w:t xml:space="preserve"> como objeto el </w:t>
      </w:r>
      <w:r w:rsidR="0056018D">
        <w:t>apaciguamiento</w:t>
      </w:r>
      <w:r w:rsidR="004C0568">
        <w:t xml:space="preserve"> de todo sufrimiento.</w:t>
      </w:r>
    </w:p>
    <w:p w14:paraId="2FFFDC0E" w14:textId="07577B7A" w:rsidR="004C0568" w:rsidRDefault="004C0568" w:rsidP="004C0568">
      <w:pPr>
        <w:pStyle w:val="Ttulo3"/>
        <w:ind w:left="708"/>
      </w:pPr>
      <w:r>
        <w:t xml:space="preserve">[(1) </w:t>
      </w:r>
      <w:r w:rsidR="0084259F">
        <w:t xml:space="preserve">La </w:t>
      </w:r>
      <w:r w:rsidR="0056018D" w:rsidRPr="0084259F">
        <w:t>Evocación</w:t>
      </w:r>
      <w:r w:rsidR="0056018D">
        <w:rPr>
          <w:i/>
          <w:iCs/>
        </w:rPr>
        <w:t xml:space="preserve"> </w:t>
      </w:r>
      <w:r>
        <w:t>Del Iluminado]</w:t>
      </w:r>
    </w:p>
    <w:p w14:paraId="05A9D6C3" w14:textId="5E282FF0" w:rsidR="004C0568" w:rsidRDefault="004C0568" w:rsidP="004C0568">
      <w:r>
        <w:t xml:space="preserve">2. </w:t>
      </w:r>
      <w:r>
        <w:tab/>
        <w:t>[198] Ahora</w:t>
      </w:r>
      <w:r w:rsidR="0056018D">
        <w:t xml:space="preserve"> bien</w:t>
      </w:r>
      <w:r>
        <w:t>, un meditador con confianza</w:t>
      </w:r>
      <w:r w:rsidR="005755B3">
        <w:t xml:space="preserve"> absoluta</w:t>
      </w:r>
      <w:r w:rsidRPr="00281EF0">
        <w:rPr>
          <w:vertAlign w:val="superscript"/>
        </w:rPr>
        <w:t>2</w:t>
      </w:r>
      <w:r>
        <w:t xml:space="preserve"> que quiera desarrollar primero </w:t>
      </w:r>
      <w:r w:rsidR="0084259F">
        <w:t xml:space="preserve">la </w:t>
      </w:r>
      <w:r w:rsidR="0084259F" w:rsidRPr="0084259F">
        <w:t>evocación</w:t>
      </w:r>
      <w:r w:rsidR="0084259F">
        <w:rPr>
          <w:i/>
          <w:iCs/>
        </w:rPr>
        <w:t xml:space="preserve"> </w:t>
      </w:r>
      <w:r>
        <w:t>del Iluminado entre est</w:t>
      </w:r>
      <w:r w:rsidR="00633E0F">
        <w:t>a</w:t>
      </w:r>
      <w:r>
        <w:t xml:space="preserve">s diez </w:t>
      </w:r>
      <w:r w:rsidR="00633E0F">
        <w:t xml:space="preserve">evocaciones </w:t>
      </w:r>
      <w:r>
        <w:t>debe</w:t>
      </w:r>
      <w:r w:rsidR="00633E0F">
        <w:t>rá</w:t>
      </w:r>
      <w:r>
        <w:t xml:space="preserve"> </w:t>
      </w:r>
      <w:r w:rsidR="00633E0F">
        <w:t>dirigirse hacia</w:t>
      </w:r>
      <w:r>
        <w:t xml:space="preserve"> un retiro solitario en una </w:t>
      </w:r>
      <w:r w:rsidR="005755B3">
        <w:t>vivienda</w:t>
      </w:r>
      <w:r>
        <w:t xml:space="preserve"> favorable y </w:t>
      </w:r>
      <w:r w:rsidR="005755B3">
        <w:t xml:space="preserve">evocar </w:t>
      </w:r>
      <w:r>
        <w:t xml:space="preserve">las cualidades especiales del Iluminado, </w:t>
      </w:r>
      <w:r w:rsidR="005755B3">
        <w:t>d</w:t>
      </w:r>
      <w:r>
        <w:t xml:space="preserve">el </w:t>
      </w:r>
      <w:r w:rsidR="007D2BB9" w:rsidRPr="007D2BB9">
        <w:rPr>
          <w:i/>
          <w:iCs/>
        </w:rPr>
        <w:t>Bhagavā</w:t>
      </w:r>
      <w:r>
        <w:t>, como sigue:</w:t>
      </w:r>
    </w:p>
    <w:p w14:paraId="5FA0A9DD" w14:textId="620E6402" w:rsidR="004C0568" w:rsidRDefault="004C0568" w:rsidP="004C0568">
      <w:pPr>
        <w:pStyle w:val="NormalConSangria"/>
      </w:pPr>
      <w:r w:rsidRPr="005B496E">
        <w:rPr>
          <w:i/>
          <w:iCs/>
        </w:rPr>
        <w:t xml:space="preserve">Ese </w:t>
      </w:r>
      <w:r w:rsidR="007D2BB9" w:rsidRPr="005B496E">
        <w:rPr>
          <w:i/>
          <w:iCs/>
        </w:rPr>
        <w:t xml:space="preserve">Bhagavā </w:t>
      </w:r>
      <w:r w:rsidRPr="005B496E">
        <w:rPr>
          <w:i/>
          <w:iCs/>
        </w:rPr>
        <w:t>es tal porque es</w:t>
      </w:r>
      <w:r w:rsidR="007D2BB9" w:rsidRPr="005B496E">
        <w:rPr>
          <w:i/>
          <w:iCs/>
        </w:rPr>
        <w:t>tá</w:t>
      </w:r>
      <w:r w:rsidRPr="005B496E">
        <w:rPr>
          <w:i/>
          <w:iCs/>
        </w:rPr>
        <w:t xml:space="preserve"> consumado, plenamente iluminado, dotado de [clara] visión y [virtuosa] conducta, </w:t>
      </w:r>
      <w:r w:rsidR="0029138E" w:rsidRPr="005B496E">
        <w:rPr>
          <w:i/>
          <w:iCs/>
        </w:rPr>
        <w:t xml:space="preserve">es </w:t>
      </w:r>
      <w:r w:rsidRPr="005B496E">
        <w:rPr>
          <w:i/>
          <w:iCs/>
        </w:rPr>
        <w:t xml:space="preserve">sublime, conocedor de mundos, incomparable líder de hombres a </w:t>
      </w:r>
      <w:r w:rsidR="0029138E" w:rsidRPr="005B496E">
        <w:rPr>
          <w:i/>
          <w:iCs/>
        </w:rPr>
        <w:t>ser adiestrados</w:t>
      </w:r>
      <w:r w:rsidRPr="005B496E">
        <w:rPr>
          <w:i/>
          <w:iCs/>
        </w:rPr>
        <w:t>, maestro de dioses y hombres, iluminado y bienaventurado</w:t>
      </w:r>
      <w:r>
        <w:t xml:space="preserve"> (M I 37; A III 285).</w:t>
      </w:r>
    </w:p>
    <w:p w14:paraId="31A177E0" w14:textId="45D41415" w:rsidR="004C0568" w:rsidRDefault="004C0568" w:rsidP="004C0568">
      <w:r>
        <w:t xml:space="preserve">3. </w:t>
      </w:r>
      <w:r>
        <w:tab/>
        <w:t xml:space="preserve">He aquí la forma en que </w:t>
      </w:r>
      <w:r w:rsidR="00006C6B">
        <w:t>se evoca</w:t>
      </w:r>
      <w:r w:rsidR="00DA5B75">
        <w:t xml:space="preserve"> al </w:t>
      </w:r>
      <w:r w:rsidR="00DA5B75" w:rsidRPr="00DA5B75">
        <w:rPr>
          <w:i/>
          <w:iCs/>
        </w:rPr>
        <w:t>Buddha</w:t>
      </w:r>
      <w:r>
        <w:t xml:space="preserve">: “Ese </w:t>
      </w:r>
      <w:r w:rsidR="009110F1">
        <w:rPr>
          <w:i/>
          <w:iCs/>
        </w:rPr>
        <w:t>Bhagavā</w:t>
      </w:r>
      <w:r w:rsidR="009110F1">
        <w:t xml:space="preserve"> </w:t>
      </w:r>
      <w:r>
        <w:t>es tal porque es</w:t>
      </w:r>
      <w:r w:rsidR="00006C6B">
        <w:t>tá</w:t>
      </w:r>
      <w:r>
        <w:t xml:space="preserve"> consumado, es tal porque es</w:t>
      </w:r>
      <w:r w:rsidR="00006C6B">
        <w:t>tá</w:t>
      </w:r>
      <w:r>
        <w:t xml:space="preserve"> plenamente iluminado… es tal porque es</w:t>
      </w:r>
      <w:r w:rsidR="00006C6B">
        <w:t>tá</w:t>
      </w:r>
      <w:r>
        <w:t xml:space="preserve"> </w:t>
      </w:r>
      <w:r w:rsidR="005975D3">
        <w:t>dotado de…</w:t>
      </w:r>
      <w:r>
        <w:t xml:space="preserve">”—lo es por estas varias razones, es lo que </w:t>
      </w:r>
      <w:r w:rsidR="005975D3">
        <w:t xml:space="preserve">se ha querido </w:t>
      </w:r>
      <w:r>
        <w:t>decir.</w:t>
      </w:r>
    </w:p>
    <w:p w14:paraId="1A809821" w14:textId="6514E447" w:rsidR="004C0568" w:rsidRDefault="004C0568" w:rsidP="006B7078">
      <w:pPr>
        <w:pStyle w:val="Ttulo4"/>
        <w:ind w:left="708"/>
      </w:pPr>
      <w:r>
        <w:t>[</w:t>
      </w:r>
      <w:r w:rsidR="004663DE">
        <w:t>Consumado</w:t>
      </w:r>
      <w:r>
        <w:t>]</w:t>
      </w:r>
    </w:p>
    <w:p w14:paraId="5258F5F7" w14:textId="22CFB0D6" w:rsidR="004C0568" w:rsidRDefault="004C0568" w:rsidP="004C0568">
      <w:r>
        <w:t xml:space="preserve">4. </w:t>
      </w:r>
      <w:r>
        <w:tab/>
        <w:t xml:space="preserve">Aquí, lo que </w:t>
      </w:r>
      <w:r w:rsidR="0084259F">
        <w:t>se evoca</w:t>
      </w:r>
      <w:r w:rsidR="009110F1">
        <w:t>rá</w:t>
      </w:r>
      <w:r>
        <w:t xml:space="preserve"> en primer lugar es que el </w:t>
      </w:r>
      <w:r w:rsidR="005975D3">
        <w:rPr>
          <w:i/>
          <w:iCs/>
        </w:rPr>
        <w:t>Bhagavā</w:t>
      </w:r>
      <w:r w:rsidR="005975D3">
        <w:t xml:space="preserve"> </w:t>
      </w:r>
      <w:r>
        <w:t xml:space="preserve">está </w:t>
      </w:r>
      <w:r w:rsidRPr="0084259F">
        <w:rPr>
          <w:i/>
          <w:iCs/>
        </w:rPr>
        <w:t>consumado</w:t>
      </w:r>
      <w:r>
        <w:t xml:space="preserve"> (</w:t>
      </w:r>
      <w:proofErr w:type="spellStart"/>
      <w:r w:rsidR="00057BF4" w:rsidRPr="00057BF4">
        <w:rPr>
          <w:i/>
          <w:iCs/>
        </w:rPr>
        <w:t>arahant</w:t>
      </w:r>
      <w:r w:rsidRPr="004663DE">
        <w:rPr>
          <w:i/>
          <w:iCs/>
        </w:rPr>
        <w:t>a</w:t>
      </w:r>
      <w:proofErr w:type="spellEnd"/>
      <w:r>
        <w:t>) por las siguientes razones: (i) debido a l</w:t>
      </w:r>
      <w:r w:rsidR="001938CD">
        <w:t>o</w:t>
      </w:r>
      <w:r>
        <w:t xml:space="preserve"> </w:t>
      </w:r>
      <w:r w:rsidR="001938CD">
        <w:t>distante</w:t>
      </w:r>
      <w:r>
        <w:t xml:space="preserve"> (</w:t>
      </w:r>
      <w:proofErr w:type="spellStart"/>
      <w:r w:rsidRPr="004663DE">
        <w:rPr>
          <w:i/>
          <w:iCs/>
        </w:rPr>
        <w:t>āraka</w:t>
      </w:r>
      <w:proofErr w:type="spellEnd"/>
      <w:r>
        <w:t>), y (</w:t>
      </w:r>
      <w:proofErr w:type="spellStart"/>
      <w:r>
        <w:t>ii</w:t>
      </w:r>
      <w:proofErr w:type="spellEnd"/>
      <w:r>
        <w:t>) debido a sus enemigos (</w:t>
      </w:r>
      <w:proofErr w:type="spellStart"/>
      <w:r w:rsidRPr="004663DE">
        <w:rPr>
          <w:i/>
          <w:iCs/>
        </w:rPr>
        <w:t>ari</w:t>
      </w:r>
      <w:proofErr w:type="spellEnd"/>
      <w:r>
        <w:t>) y (</w:t>
      </w:r>
      <w:proofErr w:type="spellStart"/>
      <w:r>
        <w:t>iii</w:t>
      </w:r>
      <w:proofErr w:type="spellEnd"/>
      <w:r>
        <w:t xml:space="preserve">) </w:t>
      </w:r>
      <w:r w:rsidR="001938CD">
        <w:t xml:space="preserve">a </w:t>
      </w:r>
      <w:r>
        <w:t>los ra</w:t>
      </w:r>
      <w:r w:rsidR="004F63F1">
        <w:t>dio</w:t>
      </w:r>
      <w:r>
        <w:t>s (</w:t>
      </w:r>
      <w:r w:rsidRPr="00D76179">
        <w:rPr>
          <w:i/>
          <w:iCs/>
        </w:rPr>
        <w:t>ara</w:t>
      </w:r>
      <w:r>
        <w:t xml:space="preserve">) </w:t>
      </w:r>
      <w:r w:rsidR="004F63F1">
        <w:t xml:space="preserve">que </w:t>
      </w:r>
      <w:r>
        <w:t>ha</w:t>
      </w:r>
      <w:r w:rsidR="008857EC">
        <w:t xml:space="preserve"> </w:t>
      </w:r>
      <w:r>
        <w:t>destruido (</w:t>
      </w:r>
      <w:proofErr w:type="spellStart"/>
      <w:r w:rsidRPr="004663DE">
        <w:rPr>
          <w:i/>
          <w:iCs/>
        </w:rPr>
        <w:t>hata</w:t>
      </w:r>
      <w:proofErr w:type="spellEnd"/>
      <w:r>
        <w:t>), y (</w:t>
      </w:r>
      <w:proofErr w:type="spellStart"/>
      <w:r>
        <w:t>iv</w:t>
      </w:r>
      <w:proofErr w:type="spellEnd"/>
      <w:r>
        <w:t xml:space="preserve">) </w:t>
      </w:r>
      <w:r w:rsidR="00355554">
        <w:t>por</w:t>
      </w:r>
      <w:r>
        <w:t xml:space="preserve"> </w:t>
      </w:r>
      <w:r w:rsidR="00504C6B">
        <w:t>ser digno</w:t>
      </w:r>
      <w:r>
        <w:t xml:space="preserve"> (</w:t>
      </w:r>
      <w:proofErr w:type="spellStart"/>
      <w:r w:rsidRPr="004663DE">
        <w:rPr>
          <w:i/>
          <w:iCs/>
        </w:rPr>
        <w:t>araha</w:t>
      </w:r>
      <w:proofErr w:type="spellEnd"/>
      <w:r>
        <w:t xml:space="preserve">) de </w:t>
      </w:r>
      <w:r w:rsidR="00504C6B">
        <w:t xml:space="preserve">sus </w:t>
      </w:r>
      <w:r>
        <w:t xml:space="preserve">requisitos, etc., y (v) debido a la ausencia de </w:t>
      </w:r>
      <w:r w:rsidR="000E1E6E">
        <w:t xml:space="preserve">la </w:t>
      </w:r>
      <w:r>
        <w:t xml:space="preserve">maldad </w:t>
      </w:r>
      <w:r w:rsidR="00355554">
        <w:t xml:space="preserve">realizada </w:t>
      </w:r>
      <w:r>
        <w:t>secreta</w:t>
      </w:r>
      <w:r w:rsidR="00355554">
        <w:t>mente</w:t>
      </w:r>
      <w:r>
        <w:t xml:space="preserve"> (</w:t>
      </w:r>
      <w:proofErr w:type="spellStart"/>
      <w:r w:rsidRPr="004663DE">
        <w:rPr>
          <w:i/>
          <w:iCs/>
        </w:rPr>
        <w:t>rahābhāva</w:t>
      </w:r>
      <w:proofErr w:type="spellEnd"/>
      <w:r>
        <w:t>).</w:t>
      </w:r>
      <w:r w:rsidRPr="00281EF0">
        <w:rPr>
          <w:vertAlign w:val="superscript"/>
        </w:rPr>
        <w:t>3</w:t>
      </w:r>
    </w:p>
    <w:p w14:paraId="39E0E59D" w14:textId="3D853810" w:rsidR="004C0568" w:rsidRDefault="004C0568" w:rsidP="004C0568">
      <w:r>
        <w:t xml:space="preserve">5. </w:t>
      </w:r>
      <w:r>
        <w:tab/>
        <w:t xml:space="preserve">(i) Se encuentra completamente </w:t>
      </w:r>
      <w:r w:rsidR="00F34814">
        <w:t>distanciado</w:t>
      </w:r>
      <w:r>
        <w:t xml:space="preserve"> y lejos de todas las impurezas</w:t>
      </w:r>
      <w:r w:rsidR="007632BB">
        <w:t xml:space="preserve"> ya </w:t>
      </w:r>
      <w:r>
        <w:t xml:space="preserve">que ha </w:t>
      </w:r>
      <w:r w:rsidR="003B2C44">
        <w:t xml:space="preserve">destruido </w:t>
      </w:r>
      <w:r>
        <w:t xml:space="preserve">todo rastro de impureza por medio del </w:t>
      </w:r>
      <w:r w:rsidR="00355554">
        <w:t>sendero</w:t>
      </w:r>
      <w:r>
        <w:t>; debido a tal lejanía (</w:t>
      </w:r>
      <w:proofErr w:type="spellStart"/>
      <w:r w:rsidRPr="004663DE">
        <w:rPr>
          <w:i/>
          <w:iCs/>
        </w:rPr>
        <w:t>āraka</w:t>
      </w:r>
      <w:proofErr w:type="spellEnd"/>
      <w:r>
        <w:t>), él es</w:t>
      </w:r>
      <w:r w:rsidR="00D76179">
        <w:t>tá</w:t>
      </w:r>
      <w:r>
        <w:t xml:space="preserve"> consumado (</w:t>
      </w:r>
      <w:proofErr w:type="spellStart"/>
      <w:r w:rsidR="00057BF4" w:rsidRPr="00057BF4">
        <w:rPr>
          <w:i/>
          <w:iCs/>
        </w:rPr>
        <w:t>arahant</w:t>
      </w:r>
      <w:r w:rsidRPr="004663DE">
        <w:rPr>
          <w:i/>
          <w:iCs/>
        </w:rPr>
        <w:t>a</w:t>
      </w:r>
      <w:proofErr w:type="spellEnd"/>
      <w:r>
        <w:t>).</w:t>
      </w:r>
    </w:p>
    <w:p w14:paraId="03D58C8F" w14:textId="22830288" w:rsidR="004C0568" w:rsidRPr="00C05051" w:rsidRDefault="004C0568" w:rsidP="004C0568">
      <w:pPr>
        <w:pStyle w:val="VersoIngls01Sangria"/>
        <w:rPr>
          <w:sz w:val="16"/>
          <w:szCs w:val="20"/>
        </w:rPr>
      </w:pPr>
      <w:r w:rsidRPr="00C05051">
        <w:rPr>
          <w:sz w:val="16"/>
          <w:szCs w:val="20"/>
        </w:rPr>
        <w:t xml:space="preserve">Un hombre </w:t>
      </w:r>
      <w:r w:rsidR="008C2544" w:rsidRPr="00C05051">
        <w:rPr>
          <w:sz w:val="16"/>
          <w:szCs w:val="20"/>
        </w:rPr>
        <w:t>distante</w:t>
      </w:r>
      <w:r w:rsidRPr="00C05051">
        <w:rPr>
          <w:sz w:val="16"/>
          <w:szCs w:val="20"/>
        </w:rPr>
        <w:t xml:space="preserve"> (</w:t>
      </w:r>
      <w:proofErr w:type="spellStart"/>
      <w:r w:rsidRPr="00C05051">
        <w:rPr>
          <w:i/>
          <w:iCs/>
          <w:sz w:val="16"/>
          <w:szCs w:val="20"/>
        </w:rPr>
        <w:t>āraka</w:t>
      </w:r>
      <w:proofErr w:type="spellEnd"/>
      <w:r w:rsidRPr="00C05051">
        <w:rPr>
          <w:sz w:val="16"/>
          <w:szCs w:val="20"/>
        </w:rPr>
        <w:t xml:space="preserve">) de hecho </w:t>
      </w:r>
      <w:r w:rsidR="008C2544" w:rsidRPr="00C05051">
        <w:rPr>
          <w:sz w:val="16"/>
          <w:szCs w:val="20"/>
        </w:rPr>
        <w:t xml:space="preserve">los </w:t>
      </w:r>
      <w:r w:rsidRPr="00C05051">
        <w:rPr>
          <w:sz w:val="16"/>
          <w:szCs w:val="20"/>
        </w:rPr>
        <w:t>llamamos</w:t>
      </w:r>
    </w:p>
    <w:p w14:paraId="327DF93B" w14:textId="6B43C825" w:rsidR="004C0568" w:rsidRPr="00C05051" w:rsidRDefault="004C0568" w:rsidP="004C0568">
      <w:pPr>
        <w:pStyle w:val="VersoIngls01Sangria"/>
        <w:rPr>
          <w:sz w:val="16"/>
          <w:szCs w:val="20"/>
        </w:rPr>
      </w:pPr>
      <w:r w:rsidRPr="00C05051">
        <w:rPr>
          <w:sz w:val="16"/>
          <w:szCs w:val="20"/>
        </w:rPr>
        <w:t xml:space="preserve">De </w:t>
      </w:r>
      <w:r w:rsidR="00DC4E6F" w:rsidRPr="00C05051">
        <w:rPr>
          <w:sz w:val="16"/>
          <w:szCs w:val="20"/>
        </w:rPr>
        <w:t xml:space="preserve">cosas </w:t>
      </w:r>
      <w:r w:rsidRPr="00C05051">
        <w:rPr>
          <w:sz w:val="16"/>
          <w:szCs w:val="20"/>
        </w:rPr>
        <w:t xml:space="preserve">que no </w:t>
      </w:r>
      <w:r w:rsidR="007632BB" w:rsidRPr="00C05051">
        <w:rPr>
          <w:sz w:val="16"/>
          <w:szCs w:val="20"/>
        </w:rPr>
        <w:t>posee</w:t>
      </w:r>
      <w:r w:rsidRPr="00C05051">
        <w:rPr>
          <w:sz w:val="16"/>
          <w:szCs w:val="20"/>
        </w:rPr>
        <w:t xml:space="preserve"> </w:t>
      </w:r>
      <w:r w:rsidR="00DC4E6F" w:rsidRPr="00C05051">
        <w:rPr>
          <w:sz w:val="16"/>
          <w:szCs w:val="20"/>
        </w:rPr>
        <w:t xml:space="preserve">nada </w:t>
      </w:r>
      <w:r w:rsidRPr="00C05051">
        <w:rPr>
          <w:sz w:val="16"/>
          <w:szCs w:val="20"/>
        </w:rPr>
        <w:t xml:space="preserve">en </w:t>
      </w:r>
      <w:r w:rsidR="00DC4E6F" w:rsidRPr="00C05051">
        <w:rPr>
          <w:sz w:val="16"/>
          <w:szCs w:val="20"/>
        </w:rPr>
        <w:t xml:space="preserve">lo </w:t>
      </w:r>
      <w:r w:rsidRPr="00C05051">
        <w:rPr>
          <w:sz w:val="16"/>
          <w:szCs w:val="20"/>
        </w:rPr>
        <w:t>absoluto;</w:t>
      </w:r>
    </w:p>
    <w:p w14:paraId="25CF1783" w14:textId="5095BAA0" w:rsidR="004C0568" w:rsidRPr="00C05051" w:rsidRDefault="004C0568" w:rsidP="004C0568">
      <w:pPr>
        <w:pStyle w:val="VersoIngls01Sangria"/>
        <w:rPr>
          <w:sz w:val="16"/>
          <w:szCs w:val="20"/>
        </w:rPr>
      </w:pPr>
      <w:r w:rsidRPr="00C05051">
        <w:rPr>
          <w:sz w:val="16"/>
          <w:szCs w:val="20"/>
        </w:rPr>
        <w:t>El Salvador también</w:t>
      </w:r>
      <w:r w:rsidR="00FA57EC" w:rsidRPr="00C05051">
        <w:rPr>
          <w:sz w:val="16"/>
          <w:szCs w:val="20"/>
        </w:rPr>
        <w:t>,</w:t>
      </w:r>
      <w:r w:rsidRPr="00C05051">
        <w:rPr>
          <w:sz w:val="16"/>
          <w:szCs w:val="20"/>
        </w:rPr>
        <w:t xml:space="preserve"> </w:t>
      </w:r>
      <w:r w:rsidR="00AB7A11" w:rsidRPr="00C05051">
        <w:rPr>
          <w:sz w:val="16"/>
          <w:szCs w:val="20"/>
        </w:rPr>
        <w:t>poseedor de ninguna impureza</w:t>
      </w:r>
    </w:p>
    <w:p w14:paraId="14C5D695" w14:textId="3D6DDA7E" w:rsidR="004C0568" w:rsidRPr="00C05051" w:rsidRDefault="004C0568" w:rsidP="004C0568">
      <w:pPr>
        <w:pStyle w:val="VersoIngls01Sangria"/>
        <w:spacing w:after="100"/>
        <w:ind w:left="1418"/>
        <w:rPr>
          <w:sz w:val="16"/>
          <w:szCs w:val="20"/>
        </w:rPr>
      </w:pPr>
      <w:r w:rsidRPr="00C05051">
        <w:rPr>
          <w:sz w:val="16"/>
          <w:szCs w:val="20"/>
        </w:rPr>
        <w:t xml:space="preserve">Que bien se </w:t>
      </w:r>
      <w:r w:rsidR="00AB7A11" w:rsidRPr="00C05051">
        <w:rPr>
          <w:sz w:val="16"/>
          <w:szCs w:val="20"/>
        </w:rPr>
        <w:t xml:space="preserve">ha </w:t>
      </w:r>
      <w:r w:rsidRPr="00C05051">
        <w:rPr>
          <w:sz w:val="16"/>
          <w:szCs w:val="20"/>
        </w:rPr>
        <w:t>gan</w:t>
      </w:r>
      <w:r w:rsidR="00AB7A11" w:rsidRPr="00C05051">
        <w:rPr>
          <w:sz w:val="16"/>
          <w:szCs w:val="20"/>
        </w:rPr>
        <w:t>ado</w:t>
      </w:r>
      <w:r w:rsidRPr="00C05051">
        <w:rPr>
          <w:sz w:val="16"/>
          <w:szCs w:val="20"/>
        </w:rPr>
        <w:t xml:space="preserve"> el nombre de “</w:t>
      </w:r>
      <w:r w:rsidR="00AB7A11" w:rsidRPr="00C05051">
        <w:rPr>
          <w:sz w:val="16"/>
          <w:szCs w:val="20"/>
        </w:rPr>
        <w:t>consumado</w:t>
      </w:r>
      <w:r w:rsidRPr="00C05051">
        <w:rPr>
          <w:sz w:val="16"/>
          <w:szCs w:val="20"/>
        </w:rPr>
        <w:t>” (</w:t>
      </w:r>
      <w:proofErr w:type="spellStart"/>
      <w:r w:rsidR="00057BF4" w:rsidRPr="00C05051">
        <w:rPr>
          <w:i/>
          <w:iCs/>
          <w:sz w:val="16"/>
          <w:szCs w:val="20"/>
        </w:rPr>
        <w:t>arahant</w:t>
      </w:r>
      <w:r w:rsidRPr="00C05051">
        <w:rPr>
          <w:i/>
          <w:iCs/>
          <w:sz w:val="16"/>
          <w:szCs w:val="20"/>
        </w:rPr>
        <w:t>a</w:t>
      </w:r>
      <w:proofErr w:type="spellEnd"/>
      <w:r w:rsidRPr="00C05051">
        <w:rPr>
          <w:sz w:val="16"/>
          <w:szCs w:val="20"/>
        </w:rPr>
        <w:t>).</w:t>
      </w:r>
    </w:p>
    <w:p w14:paraId="04C5CB61" w14:textId="300A2BE6" w:rsidR="004C0568" w:rsidRDefault="004C0568" w:rsidP="004C0568">
      <w:r>
        <w:t xml:space="preserve">6. </w:t>
      </w:r>
      <w:r>
        <w:tab/>
        <w:t>(</w:t>
      </w:r>
      <w:proofErr w:type="spellStart"/>
      <w:r>
        <w:t>ii</w:t>
      </w:r>
      <w:proofErr w:type="spellEnd"/>
      <w:r>
        <w:t>) Y estos enemigos (</w:t>
      </w:r>
      <w:proofErr w:type="spellStart"/>
      <w:r w:rsidRPr="0084259F">
        <w:rPr>
          <w:i/>
          <w:iCs/>
        </w:rPr>
        <w:t>ari</w:t>
      </w:r>
      <w:proofErr w:type="spellEnd"/>
      <w:r>
        <w:t xml:space="preserve">), estas impurezas, </w:t>
      </w:r>
      <w:r w:rsidR="00FA57EC">
        <w:t>han sido</w:t>
      </w:r>
      <w:r>
        <w:t xml:space="preserve"> destruidos (</w:t>
      </w:r>
      <w:proofErr w:type="spellStart"/>
      <w:r w:rsidRPr="004663DE">
        <w:rPr>
          <w:i/>
          <w:iCs/>
        </w:rPr>
        <w:t>hata</w:t>
      </w:r>
      <w:proofErr w:type="spellEnd"/>
      <w:r>
        <w:t xml:space="preserve">) por el </w:t>
      </w:r>
      <w:r w:rsidR="00AB7A11">
        <w:t xml:space="preserve">sendero </w:t>
      </w:r>
      <w:r>
        <w:t xml:space="preserve">—debido a que los enemigos </w:t>
      </w:r>
      <w:r w:rsidR="00FA57EC">
        <w:t xml:space="preserve">han sido </w:t>
      </w:r>
      <w:r>
        <w:t>así destruidos, él también es</w:t>
      </w:r>
      <w:r w:rsidR="00C478B8">
        <w:t>tá</w:t>
      </w:r>
      <w:r>
        <w:t xml:space="preserve"> consumado (</w:t>
      </w:r>
      <w:proofErr w:type="spellStart"/>
      <w:r w:rsidR="00057BF4" w:rsidRPr="00057BF4">
        <w:rPr>
          <w:i/>
          <w:iCs/>
        </w:rPr>
        <w:t>arahant</w:t>
      </w:r>
      <w:r w:rsidRPr="004663DE">
        <w:rPr>
          <w:i/>
          <w:iCs/>
        </w:rPr>
        <w:t>a</w:t>
      </w:r>
      <w:proofErr w:type="spellEnd"/>
      <w:r>
        <w:t>).</w:t>
      </w:r>
    </w:p>
    <w:p w14:paraId="3317F306" w14:textId="0A44EB62" w:rsidR="004C0568" w:rsidRPr="00C05051" w:rsidRDefault="004C0568" w:rsidP="004C0568">
      <w:pPr>
        <w:pStyle w:val="VersoIngls01Sangria"/>
        <w:rPr>
          <w:sz w:val="16"/>
          <w:szCs w:val="20"/>
        </w:rPr>
      </w:pPr>
      <w:r w:rsidRPr="00C05051">
        <w:rPr>
          <w:sz w:val="16"/>
          <w:szCs w:val="20"/>
        </w:rPr>
        <w:t>Los enemigos (</w:t>
      </w:r>
      <w:proofErr w:type="spellStart"/>
      <w:r w:rsidRPr="00C05051">
        <w:rPr>
          <w:i/>
          <w:iCs/>
          <w:sz w:val="16"/>
          <w:szCs w:val="20"/>
        </w:rPr>
        <w:t>ari</w:t>
      </w:r>
      <w:proofErr w:type="spellEnd"/>
      <w:r w:rsidRPr="00C05051">
        <w:rPr>
          <w:sz w:val="16"/>
          <w:szCs w:val="20"/>
        </w:rPr>
        <w:t>) desplega</w:t>
      </w:r>
      <w:r w:rsidR="00583153" w:rsidRPr="00C05051">
        <w:rPr>
          <w:sz w:val="16"/>
          <w:szCs w:val="20"/>
        </w:rPr>
        <w:t>dos</w:t>
      </w:r>
      <w:r w:rsidRPr="00C05051">
        <w:rPr>
          <w:sz w:val="16"/>
          <w:szCs w:val="20"/>
        </w:rPr>
        <w:t>,</w:t>
      </w:r>
    </w:p>
    <w:p w14:paraId="38D2FC28" w14:textId="7D06D962" w:rsidR="004C0568" w:rsidRPr="00C05051" w:rsidRDefault="004C0568" w:rsidP="004C0568">
      <w:pPr>
        <w:pStyle w:val="VersoIngls01Sangria"/>
        <w:rPr>
          <w:sz w:val="16"/>
          <w:szCs w:val="20"/>
        </w:rPr>
      </w:pPr>
      <w:r w:rsidRPr="00C05051">
        <w:rPr>
          <w:sz w:val="16"/>
          <w:szCs w:val="20"/>
        </w:rPr>
        <w:t xml:space="preserve">La codicia y </w:t>
      </w:r>
      <w:r w:rsidR="00583153" w:rsidRPr="00C05051">
        <w:rPr>
          <w:sz w:val="16"/>
          <w:szCs w:val="20"/>
        </w:rPr>
        <w:t>lo demás</w:t>
      </w:r>
      <w:r w:rsidRPr="00C05051">
        <w:rPr>
          <w:sz w:val="16"/>
          <w:szCs w:val="20"/>
        </w:rPr>
        <w:t>, han sido destruidos (</w:t>
      </w:r>
      <w:proofErr w:type="spellStart"/>
      <w:r w:rsidRPr="00C05051">
        <w:rPr>
          <w:i/>
          <w:iCs/>
          <w:sz w:val="16"/>
          <w:szCs w:val="20"/>
        </w:rPr>
        <w:t>hata</w:t>
      </w:r>
      <w:proofErr w:type="spellEnd"/>
      <w:r w:rsidRPr="00C05051">
        <w:rPr>
          <w:sz w:val="16"/>
          <w:szCs w:val="20"/>
        </w:rPr>
        <w:t>)</w:t>
      </w:r>
    </w:p>
    <w:p w14:paraId="11204F3E" w14:textId="2F748668" w:rsidR="004C0568" w:rsidRPr="00C05051" w:rsidRDefault="004C0568" w:rsidP="004C0568">
      <w:pPr>
        <w:pStyle w:val="VersoIngls01Sangria"/>
        <w:rPr>
          <w:sz w:val="16"/>
          <w:szCs w:val="20"/>
        </w:rPr>
      </w:pPr>
      <w:r w:rsidRPr="00C05051">
        <w:rPr>
          <w:sz w:val="16"/>
          <w:szCs w:val="20"/>
        </w:rPr>
        <w:t xml:space="preserve">Por </w:t>
      </w:r>
      <w:r w:rsidR="00403676" w:rsidRPr="00C05051">
        <w:rPr>
          <w:sz w:val="16"/>
          <w:szCs w:val="20"/>
        </w:rPr>
        <w:t>la</w:t>
      </w:r>
      <w:r w:rsidRPr="00C05051">
        <w:rPr>
          <w:sz w:val="16"/>
          <w:szCs w:val="20"/>
        </w:rPr>
        <w:t xml:space="preserve"> espada de </w:t>
      </w:r>
      <w:r w:rsidR="00403676" w:rsidRPr="00C05051">
        <w:rPr>
          <w:sz w:val="16"/>
          <w:szCs w:val="20"/>
        </w:rPr>
        <w:t xml:space="preserve">su </w:t>
      </w:r>
      <w:r w:rsidRPr="00C05051">
        <w:rPr>
          <w:sz w:val="16"/>
          <w:szCs w:val="20"/>
        </w:rPr>
        <w:t>sabiduría</w:t>
      </w:r>
      <w:r w:rsidR="009D617A" w:rsidRPr="00C05051">
        <w:rPr>
          <w:sz w:val="16"/>
          <w:szCs w:val="20"/>
        </w:rPr>
        <w:t>, la del Servidor</w:t>
      </w:r>
      <w:r w:rsidRPr="00C05051">
        <w:rPr>
          <w:sz w:val="16"/>
          <w:szCs w:val="20"/>
        </w:rPr>
        <w:t>,</w:t>
      </w:r>
    </w:p>
    <w:p w14:paraId="1F8CC6A8" w14:textId="2246345C" w:rsidR="004C0568" w:rsidRPr="00C05051" w:rsidRDefault="009134D6" w:rsidP="004C0568">
      <w:pPr>
        <w:pStyle w:val="VersoIngls01Sangria"/>
        <w:spacing w:after="100"/>
        <w:ind w:left="1418"/>
        <w:rPr>
          <w:sz w:val="16"/>
          <w:szCs w:val="20"/>
        </w:rPr>
      </w:pPr>
      <w:r w:rsidRPr="00C05051">
        <w:rPr>
          <w:sz w:val="16"/>
          <w:szCs w:val="20"/>
        </w:rPr>
        <w:t>Es a</w:t>
      </w:r>
      <w:r w:rsidR="004C0568" w:rsidRPr="00C05051">
        <w:rPr>
          <w:sz w:val="16"/>
          <w:szCs w:val="20"/>
        </w:rPr>
        <w:t xml:space="preserve">sí </w:t>
      </w:r>
      <w:proofErr w:type="spellStart"/>
      <w:r w:rsidR="00E50227" w:rsidRPr="00C05051">
        <w:rPr>
          <w:sz w:val="16"/>
          <w:szCs w:val="20"/>
        </w:rPr>
        <w:t>cómo</w:t>
      </w:r>
      <w:proofErr w:type="spellEnd"/>
      <w:r w:rsidR="004C0568" w:rsidRPr="00C05051">
        <w:rPr>
          <w:sz w:val="16"/>
          <w:szCs w:val="20"/>
        </w:rPr>
        <w:t xml:space="preserve"> </w:t>
      </w:r>
      <w:r w:rsidR="004242DA" w:rsidRPr="00C05051">
        <w:rPr>
          <w:sz w:val="16"/>
          <w:szCs w:val="20"/>
        </w:rPr>
        <w:t xml:space="preserve">él </w:t>
      </w:r>
      <w:r w:rsidR="00382F3C">
        <w:rPr>
          <w:sz w:val="16"/>
          <w:szCs w:val="20"/>
        </w:rPr>
        <w:t>se encuentra</w:t>
      </w:r>
      <w:r w:rsidR="004C0568" w:rsidRPr="00C05051">
        <w:rPr>
          <w:sz w:val="16"/>
          <w:szCs w:val="20"/>
        </w:rPr>
        <w:t xml:space="preserve"> "</w:t>
      </w:r>
      <w:r w:rsidRPr="00C05051">
        <w:rPr>
          <w:sz w:val="16"/>
          <w:szCs w:val="20"/>
        </w:rPr>
        <w:t>consumado</w:t>
      </w:r>
      <w:r w:rsidR="004C0568" w:rsidRPr="00C05051">
        <w:rPr>
          <w:sz w:val="16"/>
          <w:szCs w:val="20"/>
        </w:rPr>
        <w:t>" (</w:t>
      </w:r>
      <w:proofErr w:type="spellStart"/>
      <w:r w:rsidR="004C0568" w:rsidRPr="00C05051">
        <w:rPr>
          <w:i/>
          <w:iCs/>
          <w:sz w:val="16"/>
          <w:szCs w:val="20"/>
        </w:rPr>
        <w:t>arah</w:t>
      </w:r>
      <w:r w:rsidR="004663DE" w:rsidRPr="00C05051">
        <w:rPr>
          <w:i/>
          <w:iCs/>
          <w:sz w:val="16"/>
          <w:szCs w:val="20"/>
        </w:rPr>
        <w:t>k</w:t>
      </w:r>
      <w:r w:rsidR="004C0568" w:rsidRPr="00C05051">
        <w:rPr>
          <w:i/>
          <w:iCs/>
          <w:sz w:val="16"/>
          <w:szCs w:val="20"/>
        </w:rPr>
        <w:t>anta</w:t>
      </w:r>
      <w:proofErr w:type="spellEnd"/>
      <w:r w:rsidR="004C0568" w:rsidRPr="00C05051">
        <w:rPr>
          <w:sz w:val="16"/>
          <w:szCs w:val="20"/>
        </w:rPr>
        <w:t xml:space="preserve">), </w:t>
      </w:r>
      <w:r w:rsidR="004242DA" w:rsidRPr="00C05051">
        <w:rPr>
          <w:sz w:val="16"/>
          <w:szCs w:val="20"/>
        </w:rPr>
        <w:t>en total consonancia</w:t>
      </w:r>
      <w:r w:rsidR="004C0568" w:rsidRPr="00C05051">
        <w:rPr>
          <w:sz w:val="16"/>
          <w:szCs w:val="20"/>
        </w:rPr>
        <w:t>.</w:t>
      </w:r>
    </w:p>
    <w:p w14:paraId="76ADD94B" w14:textId="0895180B" w:rsidR="004C0568" w:rsidRDefault="004C0568" w:rsidP="004C0568">
      <w:r>
        <w:t xml:space="preserve">7. </w:t>
      </w:r>
      <w:r>
        <w:tab/>
        <w:t>(</w:t>
      </w:r>
      <w:proofErr w:type="spellStart"/>
      <w:r>
        <w:t>iii</w:t>
      </w:r>
      <w:proofErr w:type="spellEnd"/>
      <w:r>
        <w:t>) Ahora, esta rueda de</w:t>
      </w:r>
      <w:r w:rsidR="004242DA">
        <w:t xml:space="preserve">l ciclo </w:t>
      </w:r>
      <w:r>
        <w:t xml:space="preserve">de renacimientos con su eje </w:t>
      </w:r>
      <w:r w:rsidR="00056B3A">
        <w:t xml:space="preserve">fabricado </w:t>
      </w:r>
      <w:r>
        <w:t xml:space="preserve">de ignorancia y de </w:t>
      </w:r>
      <w:r w:rsidR="00E50227">
        <w:t xml:space="preserve">deseo </w:t>
      </w:r>
      <w:r>
        <w:t xml:space="preserve">por </w:t>
      </w:r>
      <w:r w:rsidR="00E50227">
        <w:t xml:space="preserve">el </w:t>
      </w:r>
      <w:r>
        <w:t xml:space="preserve">devenir, con sus radios </w:t>
      </w:r>
      <w:r w:rsidR="00056B3A">
        <w:t>consistentes de las</w:t>
      </w:r>
      <w:r>
        <w:t xml:space="preserve"> formaciones de mérito y </w:t>
      </w:r>
      <w:r w:rsidR="00E50227">
        <w:t>lo demás</w:t>
      </w:r>
      <w:r>
        <w:t xml:space="preserve">, con su borde de </w:t>
      </w:r>
      <w:r w:rsidR="008A510B">
        <w:t>vejez</w:t>
      </w:r>
      <w:r w:rsidR="00E502A0">
        <w:t>–</w:t>
      </w:r>
      <w:r>
        <w:t>y</w:t>
      </w:r>
      <w:r w:rsidR="00E502A0">
        <w:t>–</w:t>
      </w:r>
      <w:r>
        <w:t xml:space="preserve">muerte, que está unido a </w:t>
      </w:r>
      <w:r w:rsidR="00D7207A">
        <w:t xml:space="preserve">la carroza </w:t>
      </w:r>
      <w:r>
        <w:t>de</w:t>
      </w:r>
      <w:r w:rsidR="00D7207A">
        <w:t>l</w:t>
      </w:r>
      <w:r w:rsidR="00D7207A" w:rsidRPr="00D7207A">
        <w:t xml:space="preserve"> </w:t>
      </w:r>
      <w:r w:rsidR="00D7207A">
        <w:t>triple devenir</w:t>
      </w:r>
    </w:p>
    <w:p w14:paraId="0A9F5435" w14:textId="77777777" w:rsidR="004C0568" w:rsidRPr="008A052B" w:rsidRDefault="004C0568" w:rsidP="004C0568">
      <w:pPr>
        <w:pStyle w:val="PiedepginaLegal"/>
        <w:rPr>
          <w:u w:val="single"/>
        </w:rPr>
      </w:pPr>
      <w:r w:rsidRPr="008A052B">
        <w:rPr>
          <w:u w:val="single"/>
        </w:rPr>
        <w:tab/>
      </w:r>
      <w:r w:rsidRPr="008A052B">
        <w:rPr>
          <w:u w:val="single"/>
        </w:rPr>
        <w:tab/>
      </w:r>
      <w:r w:rsidRPr="008A052B">
        <w:rPr>
          <w:u w:val="single"/>
        </w:rPr>
        <w:tab/>
      </w:r>
      <w:r w:rsidRPr="008A052B">
        <w:rPr>
          <w:u w:val="single"/>
        </w:rPr>
        <w:tab/>
        <w:t xml:space="preserve"> .</w:t>
      </w:r>
    </w:p>
    <w:p w14:paraId="7A5B3B59" w14:textId="1E72CBDA" w:rsidR="004C0568" w:rsidRDefault="004C0568" w:rsidP="004C0568">
      <w:pPr>
        <w:pStyle w:val="PiedepginaLegal"/>
      </w:pPr>
      <w:r>
        <w:t xml:space="preserve">2. </w:t>
      </w:r>
      <w:r>
        <w:tab/>
        <w:t>“‘Confianza absoluta’ es la confianza que brinda el noble</w:t>
      </w:r>
      <w:r w:rsidR="0079660F">
        <w:t xml:space="preserve"> sendero</w:t>
      </w:r>
      <w:r>
        <w:t>. El desarrollo de</w:t>
      </w:r>
      <w:r w:rsidR="0079660F">
        <w:t xml:space="preserve"> </w:t>
      </w:r>
      <w:r>
        <w:t>l</w:t>
      </w:r>
      <w:r w:rsidR="0079660F">
        <w:t>a</w:t>
      </w:r>
      <w:r>
        <w:t xml:space="preserve"> </w:t>
      </w:r>
      <w:r w:rsidR="0079660F">
        <w:t xml:space="preserve">evocación en cuestión tendrá </w:t>
      </w:r>
      <w:r>
        <w:t xml:space="preserve">éxito en quien </w:t>
      </w:r>
      <w:r w:rsidR="0079660F">
        <w:t xml:space="preserve">posea </w:t>
      </w:r>
      <w:r>
        <w:t>e</w:t>
      </w:r>
      <w:r w:rsidR="0079660F">
        <w:t>ll</w:t>
      </w:r>
      <w:r>
        <w:t>o, no en ningún otro” (</w:t>
      </w:r>
      <w:proofErr w:type="spellStart"/>
      <w:r>
        <w:t>Vism-mhṭ</w:t>
      </w:r>
      <w:proofErr w:type="spellEnd"/>
      <w:r>
        <w:t xml:space="preserve"> 181). La “confianza absoluta” </w:t>
      </w:r>
      <w:r w:rsidR="0079660F">
        <w:t xml:space="preserve">será </w:t>
      </w:r>
      <w:r>
        <w:t xml:space="preserve">un componente de los primeros tres “factores de </w:t>
      </w:r>
      <w:r w:rsidR="0079660F">
        <w:t xml:space="preserve">la </w:t>
      </w:r>
      <w:r>
        <w:t xml:space="preserve">entrada </w:t>
      </w:r>
      <w:r w:rsidR="00BD6A2F">
        <w:t>a</w:t>
      </w:r>
      <w:r>
        <w:t xml:space="preserve"> la corriente” (ver S V 196).</w:t>
      </w:r>
    </w:p>
    <w:p w14:paraId="5CAFA538" w14:textId="09739139" w:rsidR="004C0568" w:rsidRDefault="004C0568" w:rsidP="004C0568">
      <w:pPr>
        <w:pStyle w:val="PiedepginaLegal"/>
      </w:pPr>
      <w:r>
        <w:t xml:space="preserve">3. </w:t>
      </w:r>
      <w:r>
        <w:tab/>
        <w:t xml:space="preserve">Cf. derivación de la palabra </w:t>
      </w:r>
      <w:proofErr w:type="spellStart"/>
      <w:r w:rsidRPr="004663DE">
        <w:rPr>
          <w:i/>
          <w:iCs/>
        </w:rPr>
        <w:t>ariya</w:t>
      </w:r>
      <w:proofErr w:type="spellEnd"/>
      <w:r>
        <w:t xml:space="preserve"> ("noble") en M-a I 21.</w:t>
      </w:r>
    </w:p>
    <w:p w14:paraId="3197002A" w14:textId="77777777" w:rsidR="004C0568" w:rsidRDefault="004C0568">
      <w:pPr>
        <w:tabs>
          <w:tab w:val="clear" w:pos="425"/>
        </w:tabs>
        <w:spacing w:after="160"/>
        <w:rPr>
          <w:color w:val="000000" w:themeColor="text1"/>
          <w:spacing w:val="10"/>
          <w:sz w:val="14"/>
        </w:rPr>
      </w:pPr>
      <w:r>
        <w:br w:type="page"/>
      </w:r>
    </w:p>
    <w:p w14:paraId="78BEAE70" w14:textId="34523FE6" w:rsidR="005A6D6C" w:rsidRDefault="000C60C4" w:rsidP="005A6D6C">
      <w:r>
        <w:lastRenderedPageBreak/>
        <w:t>atravesado</w:t>
      </w:r>
      <w:r w:rsidR="005A6D6C">
        <w:t xml:space="preserve"> con el eje </w:t>
      </w:r>
      <w:r w:rsidR="007B6195">
        <w:t xml:space="preserve">fabricado </w:t>
      </w:r>
      <w:r w:rsidR="005A6D6C">
        <w:t>de los orígenes de l</w:t>
      </w:r>
      <w:r w:rsidR="00BA0686">
        <w:t>a</w:t>
      </w:r>
      <w:r w:rsidR="005A6D6C">
        <w:t xml:space="preserve">s </w:t>
      </w:r>
      <w:r w:rsidR="00BA0686">
        <w:t>corrupciones</w:t>
      </w:r>
      <w:r w:rsidR="005A6D6C">
        <w:t xml:space="preserve"> (ver M I 55), ha ido girando a lo largo de un tiempo </w:t>
      </w:r>
      <w:r w:rsidR="00BA0686">
        <w:t>de inescudriñable comienzo</w:t>
      </w:r>
      <w:r w:rsidR="005A6D6C">
        <w:t>. Todos los radios de esta rueda (</w:t>
      </w:r>
      <w:r w:rsidR="005A6D6C" w:rsidRPr="007B6195">
        <w:rPr>
          <w:i/>
          <w:iCs/>
        </w:rPr>
        <w:t>ara</w:t>
      </w:r>
      <w:r w:rsidR="005A6D6C">
        <w:t xml:space="preserve">) </w:t>
      </w:r>
      <w:r w:rsidR="00BA0686">
        <w:t xml:space="preserve">han sido </w:t>
      </w:r>
      <w:r w:rsidR="005A6D6C">
        <w:t>destruidos (</w:t>
      </w:r>
      <w:proofErr w:type="spellStart"/>
      <w:r w:rsidR="005A6D6C" w:rsidRPr="00FA178A">
        <w:rPr>
          <w:i/>
          <w:iCs/>
        </w:rPr>
        <w:t>hata</w:t>
      </w:r>
      <w:proofErr w:type="spellEnd"/>
      <w:r w:rsidR="005A6D6C">
        <w:t xml:space="preserve">) por </w:t>
      </w:r>
      <w:r w:rsidR="00BA0686">
        <w:t>É</w:t>
      </w:r>
      <w:r w:rsidR="005A6D6C">
        <w:t>l en el Lugar de la Iluminación, mientras permanecía firme con los pies de la energía en el suelo de la virtud, empuñando con la mano de la fe el hacha del conocimiento que destruy</w:t>
      </w:r>
      <w:r w:rsidR="00BA0686">
        <w:t>ó</w:t>
      </w:r>
      <w:r w:rsidR="005A6D6C">
        <w:t xml:space="preserve"> el </w:t>
      </w:r>
      <w:proofErr w:type="spellStart"/>
      <w:r w:rsidR="00057BF4" w:rsidRPr="00057BF4">
        <w:rPr>
          <w:i/>
          <w:iCs/>
        </w:rPr>
        <w:t>kamma</w:t>
      </w:r>
      <w:proofErr w:type="spellEnd"/>
      <w:r w:rsidR="005A6D6C">
        <w:t>— debido a que los ra</w:t>
      </w:r>
      <w:r w:rsidR="004F63F1">
        <w:t>di</w:t>
      </w:r>
      <w:r w:rsidR="005A6D6C">
        <w:t xml:space="preserve">os así destruidos, él también </w:t>
      </w:r>
      <w:r w:rsidR="0055392C">
        <w:t xml:space="preserve">es denominado </w:t>
      </w:r>
      <w:r w:rsidR="005A6D6C" w:rsidRPr="0055392C">
        <w:rPr>
          <w:i/>
          <w:iCs/>
        </w:rPr>
        <w:t>consumado</w:t>
      </w:r>
      <w:r w:rsidR="005A6D6C">
        <w:t xml:space="preserve"> (</w:t>
      </w:r>
      <w:proofErr w:type="spellStart"/>
      <w:r w:rsidR="00057BF4" w:rsidRPr="00057BF4">
        <w:rPr>
          <w:i/>
          <w:iCs/>
        </w:rPr>
        <w:t>arahant</w:t>
      </w:r>
      <w:r w:rsidR="005A6D6C" w:rsidRPr="00FA178A">
        <w:rPr>
          <w:i/>
          <w:iCs/>
        </w:rPr>
        <w:t>a</w:t>
      </w:r>
      <w:proofErr w:type="spellEnd"/>
      <w:r w:rsidR="005A6D6C">
        <w:t>).</w:t>
      </w:r>
    </w:p>
    <w:p w14:paraId="4636E8DC" w14:textId="6AF9CD33" w:rsidR="005A6D6C" w:rsidRDefault="005A6D6C" w:rsidP="005A6D6C">
      <w:r>
        <w:t xml:space="preserve">8. </w:t>
      </w:r>
      <w:r>
        <w:tab/>
        <w:t xml:space="preserve">O, alternativamente, es </w:t>
      </w:r>
      <w:r w:rsidR="00BA0686">
        <w:t xml:space="preserve">el ciclo de inescudriñable comienzo </w:t>
      </w:r>
      <w:r>
        <w:t xml:space="preserve">de renacimientos </w:t>
      </w:r>
      <w:r w:rsidR="00B93EF8">
        <w:t xml:space="preserve">a lo </w:t>
      </w:r>
      <w:r>
        <w:t>que se</w:t>
      </w:r>
      <w:r w:rsidR="00B93EF8">
        <w:t xml:space="preserve"> le</w:t>
      </w:r>
      <w:r>
        <w:t xml:space="preserve"> </w:t>
      </w:r>
      <w:r w:rsidR="00B93EF8">
        <w:t xml:space="preserve">designa como </w:t>
      </w:r>
      <w:r>
        <w:t>la "rueda de</w:t>
      </w:r>
      <w:r w:rsidR="00B93EF8">
        <w:t>l</w:t>
      </w:r>
      <w:r>
        <w:t xml:space="preserve"> </w:t>
      </w:r>
      <w:r w:rsidR="00B93EF8">
        <w:t xml:space="preserve">ciclo </w:t>
      </w:r>
      <w:r>
        <w:t xml:space="preserve">de renacimientos". La ignorancia es </w:t>
      </w:r>
      <w:r w:rsidR="00966460">
        <w:t xml:space="preserve">el </w:t>
      </w:r>
      <w:r>
        <w:t xml:space="preserve">centro </w:t>
      </w:r>
      <w:r w:rsidR="00966460">
        <w:t xml:space="preserve">de la rueda </w:t>
      </w:r>
      <w:r>
        <w:t xml:space="preserve">porque es su raíz. El envejecimiento-y-la-muerte es </w:t>
      </w:r>
      <w:r w:rsidR="00966460">
        <w:t xml:space="preserve">el </w:t>
      </w:r>
      <w:r>
        <w:t xml:space="preserve">borde porque </w:t>
      </w:r>
      <w:r w:rsidR="0018032F">
        <w:t>ahí</w:t>
      </w:r>
      <w:r>
        <w:t xml:space="preserve"> termina</w:t>
      </w:r>
      <w:r w:rsidR="0018032F">
        <w:t xml:space="preserve"> la rueda</w:t>
      </w:r>
      <w:r>
        <w:t>. Los diez estados restantes [de</w:t>
      </w:r>
      <w:r w:rsidR="00966460">
        <w:t xml:space="preserve"> </w:t>
      </w:r>
      <w:r>
        <w:t>l</w:t>
      </w:r>
      <w:r w:rsidR="00966460">
        <w:t>a</w:t>
      </w:r>
      <w:r>
        <w:t xml:space="preserve"> orig</w:t>
      </w:r>
      <w:r w:rsidR="00966460">
        <w:t>inación</w:t>
      </w:r>
      <w:r>
        <w:t xml:space="preserve"> dependiente] son ​​sus ra</w:t>
      </w:r>
      <w:r w:rsidR="004F63F1">
        <w:t>dio</w:t>
      </w:r>
      <w:r>
        <w:t>s porque la ignorancia es su raíz y el envejecimiento y la muerte su terminación.</w:t>
      </w:r>
    </w:p>
    <w:p w14:paraId="43902899" w14:textId="201151DD" w:rsidR="005A6D6C" w:rsidRDefault="005A6D6C" w:rsidP="005A6D6C">
      <w:r>
        <w:t xml:space="preserve">9. </w:t>
      </w:r>
      <w:r>
        <w:tab/>
        <w:t xml:space="preserve">Aquí, la ignorancia </w:t>
      </w:r>
      <w:r w:rsidR="009268B3">
        <w:t>corresponderá a</w:t>
      </w:r>
      <w:r>
        <w:t xml:space="preserve">l desconocimiento del sufrimiento y lo demás. Y la ignorancia </w:t>
      </w:r>
      <w:r w:rsidR="00C603FC">
        <w:t xml:space="preserve">sobre </w:t>
      </w:r>
      <w:r>
        <w:t xml:space="preserve">el devenir </w:t>
      </w:r>
      <w:r w:rsidR="00EB69C2" w:rsidRPr="00EB69C2">
        <w:rPr>
          <w:color w:val="833C0B" w:themeColor="accent2" w:themeShade="80"/>
        </w:rPr>
        <w:t>sensorial</w:t>
      </w:r>
      <w:r>
        <w:t xml:space="preserve"> [199] </w:t>
      </w:r>
      <w:r w:rsidR="00C603FC">
        <w:t>será</w:t>
      </w:r>
      <w:r>
        <w:t xml:space="preserve"> una condición para las formaciones en el devenir </w:t>
      </w:r>
      <w:r w:rsidR="007F3B7C" w:rsidRPr="00EB69C2">
        <w:rPr>
          <w:color w:val="833C0B" w:themeColor="accent2" w:themeShade="80"/>
        </w:rPr>
        <w:t>sensorial</w:t>
      </w:r>
      <w:r>
        <w:t xml:space="preserve">. La ignorancia </w:t>
      </w:r>
      <w:r w:rsidR="005738EA">
        <w:t xml:space="preserve">sobre </w:t>
      </w:r>
      <w:r>
        <w:t xml:space="preserve">el devenir de la materia </w:t>
      </w:r>
      <w:r w:rsidR="00C603FC">
        <w:t xml:space="preserve">sutil </w:t>
      </w:r>
      <w:r w:rsidR="00592A94">
        <w:t xml:space="preserve">será </w:t>
      </w:r>
      <w:r>
        <w:t xml:space="preserve">una condición para las formaciones en el devenir de la materia </w:t>
      </w:r>
      <w:r w:rsidR="00592A94">
        <w:t>sutil</w:t>
      </w:r>
      <w:r>
        <w:t xml:space="preserve">. La ignorancia </w:t>
      </w:r>
      <w:r w:rsidR="005738EA">
        <w:t xml:space="preserve">sobre </w:t>
      </w:r>
      <w:r>
        <w:t xml:space="preserve">el devenir inmaterial </w:t>
      </w:r>
      <w:r w:rsidR="00592A94">
        <w:t xml:space="preserve">será </w:t>
      </w:r>
      <w:r>
        <w:t>una condición para las formaciones en el devenir inmaterial.</w:t>
      </w:r>
    </w:p>
    <w:p w14:paraId="0C7245E9" w14:textId="114F6A7F" w:rsidR="005A6D6C" w:rsidRDefault="005A6D6C" w:rsidP="005A6D6C">
      <w:r>
        <w:t xml:space="preserve">10. </w:t>
      </w:r>
      <w:r>
        <w:tab/>
        <w:t xml:space="preserve">Las formaciones en el devenir </w:t>
      </w:r>
      <w:r w:rsidR="00340082">
        <w:t>sensorial</w:t>
      </w:r>
      <w:r>
        <w:t xml:space="preserve"> </w:t>
      </w:r>
      <w:r w:rsidR="00E26A7F">
        <w:t xml:space="preserve">serán </w:t>
      </w:r>
      <w:r>
        <w:t>una condición para la con</w:t>
      </w:r>
      <w:r w:rsidR="005738EA">
        <w:t>s</w:t>
      </w:r>
      <w:r>
        <w:t xml:space="preserve">ciencia </w:t>
      </w:r>
      <w:r w:rsidR="002C0FD0">
        <w:t xml:space="preserve">del </w:t>
      </w:r>
      <w:r w:rsidR="002C0FD0" w:rsidRPr="00C71EC8">
        <w:t>vín</w:t>
      </w:r>
      <w:r w:rsidR="002C0FD0">
        <w:t>culo</w:t>
      </w:r>
      <w:r w:rsidR="002C0FD0" w:rsidRPr="00C71EC8">
        <w:t>–</w:t>
      </w:r>
      <w:r w:rsidR="002C0FD0">
        <w:t>de</w:t>
      </w:r>
      <w:r w:rsidR="002C0FD0" w:rsidRPr="00C71EC8">
        <w:t>–</w:t>
      </w:r>
      <w:r w:rsidR="002C0FD0">
        <w:t>renacimiento</w:t>
      </w:r>
      <w:r>
        <w:t xml:space="preserve"> </w:t>
      </w:r>
      <w:r w:rsidR="002A7ABA">
        <w:t>con</w:t>
      </w:r>
      <w:r>
        <w:t xml:space="preserve"> el devenir </w:t>
      </w:r>
      <w:r w:rsidR="002C0FD0">
        <w:t>sensorial</w:t>
      </w:r>
      <w:r>
        <w:t>. Y lo mismo con el resto.</w:t>
      </w:r>
    </w:p>
    <w:p w14:paraId="16F0A455" w14:textId="28D981AF" w:rsidR="005A6D6C" w:rsidRDefault="005A6D6C" w:rsidP="005A6D6C">
      <w:r>
        <w:t xml:space="preserve">11. </w:t>
      </w:r>
      <w:r>
        <w:tab/>
        <w:t>La con</w:t>
      </w:r>
      <w:r w:rsidR="005738EA">
        <w:t>s</w:t>
      </w:r>
      <w:r>
        <w:t xml:space="preserve">ciencia que vincula el renacimiento </w:t>
      </w:r>
      <w:r w:rsidR="002A7ABA">
        <w:t>con</w:t>
      </w:r>
      <w:r>
        <w:t xml:space="preserve"> el devenir sensual </w:t>
      </w:r>
      <w:r w:rsidR="00E26A7F">
        <w:t>será</w:t>
      </w:r>
      <w:r>
        <w:t xml:space="preserve"> una condición para la mentalidad-materialidad </w:t>
      </w:r>
      <w:r w:rsidR="002A7ABA">
        <w:t>d</w:t>
      </w:r>
      <w:r>
        <w:t xml:space="preserve">el devenir sensual. De manera similar en el devenir de la materia </w:t>
      </w:r>
      <w:r w:rsidR="00E26A7F">
        <w:t>sutil</w:t>
      </w:r>
      <w:r>
        <w:t xml:space="preserve">. El devenir inmaterial </w:t>
      </w:r>
      <w:r w:rsidR="00DE1BBB">
        <w:t>será</w:t>
      </w:r>
      <w:r>
        <w:t xml:space="preserve"> una condición sólo para la mentalidad.</w:t>
      </w:r>
    </w:p>
    <w:p w14:paraId="28DD1C8F" w14:textId="1686A3C3" w:rsidR="005A6D6C" w:rsidRDefault="005A6D6C" w:rsidP="005A6D6C">
      <w:r>
        <w:t xml:space="preserve">12. </w:t>
      </w:r>
      <w:r>
        <w:tab/>
        <w:t xml:space="preserve">La </w:t>
      </w:r>
      <w:r w:rsidR="00DE1BBB">
        <w:t>materialidad-</w:t>
      </w:r>
      <w:r>
        <w:t xml:space="preserve">mentalidad en el devenir sensual </w:t>
      </w:r>
      <w:r w:rsidR="00DE1BBB">
        <w:t xml:space="preserve">será </w:t>
      </w:r>
      <w:r>
        <w:t xml:space="preserve">una condición para la base séxtuple en el devenir sensual. La </w:t>
      </w:r>
      <w:r w:rsidR="007E71CB">
        <w:t xml:space="preserve">materialidad-mentalidad </w:t>
      </w:r>
      <w:r>
        <w:t xml:space="preserve">en el devenir de la materia sutil </w:t>
      </w:r>
      <w:r w:rsidR="007E71CB">
        <w:t xml:space="preserve">será </w:t>
      </w:r>
      <w:r>
        <w:t xml:space="preserve">una condición para </w:t>
      </w:r>
      <w:r w:rsidR="00853598">
        <w:t xml:space="preserve">las </w:t>
      </w:r>
      <w:r>
        <w:t xml:space="preserve">tres bases en el devenir de la materia sutil. La mentalidad en el devenir inmaterial </w:t>
      </w:r>
      <w:r w:rsidR="007E71CB">
        <w:t xml:space="preserve">será </w:t>
      </w:r>
      <w:r>
        <w:t>una condición para una base en el devenir inmaterial.</w:t>
      </w:r>
    </w:p>
    <w:p w14:paraId="459D5EF5" w14:textId="431FA6A6" w:rsidR="005A6D6C" w:rsidRDefault="005A6D6C" w:rsidP="005A6D6C">
      <w:r>
        <w:t xml:space="preserve">13. </w:t>
      </w:r>
      <w:r>
        <w:tab/>
        <w:t xml:space="preserve">La base séxtuple en el devenir sensual </w:t>
      </w:r>
      <w:r w:rsidR="004779BC">
        <w:t xml:space="preserve">será </w:t>
      </w:r>
      <w:r>
        <w:t xml:space="preserve">una condición para seis clases de contacto en el devenir sensual. </w:t>
      </w:r>
      <w:r w:rsidR="004779BC">
        <w:t>Las t</w:t>
      </w:r>
      <w:r>
        <w:t xml:space="preserve">res bases en el devenir de la materia </w:t>
      </w:r>
      <w:r w:rsidR="004779BC">
        <w:t xml:space="preserve">sutil serán </w:t>
      </w:r>
      <w:r>
        <w:t xml:space="preserve">condiciones para </w:t>
      </w:r>
      <w:r w:rsidR="009B3009">
        <w:t xml:space="preserve">las </w:t>
      </w:r>
      <w:r>
        <w:t xml:space="preserve">tres clases de contacto en el devenir de la materia </w:t>
      </w:r>
      <w:r w:rsidR="004779BC">
        <w:t>sutil</w:t>
      </w:r>
      <w:r>
        <w:t xml:space="preserve">. Solo la base de la mente en el devenir inmaterial </w:t>
      </w:r>
      <w:r w:rsidR="004779BC">
        <w:t xml:space="preserve">será </w:t>
      </w:r>
      <w:r>
        <w:t>una condición para un tipo de contacto en el devenir inmaterial.</w:t>
      </w:r>
    </w:p>
    <w:p w14:paraId="4150C202" w14:textId="2C1E586B" w:rsidR="005A6D6C" w:rsidRDefault="005A6D6C" w:rsidP="005A6D6C">
      <w:r>
        <w:t xml:space="preserve">14. </w:t>
      </w:r>
      <w:r>
        <w:tab/>
        <w:t xml:space="preserve">Las seis clases de contacto en el devenir sensual </w:t>
      </w:r>
      <w:r w:rsidR="004779BC">
        <w:t xml:space="preserve">serán </w:t>
      </w:r>
      <w:r>
        <w:t xml:space="preserve">condiciones para las seis clases de </w:t>
      </w:r>
      <w:r w:rsidR="004779BC">
        <w:t>sensación</w:t>
      </w:r>
      <w:r>
        <w:t xml:space="preserve"> en el devenir sensual. </w:t>
      </w:r>
      <w:r w:rsidR="00146295">
        <w:t>Las t</w:t>
      </w:r>
      <w:r>
        <w:t xml:space="preserve">res clases de contacto en el devenir de la materia </w:t>
      </w:r>
      <w:r w:rsidR="00146295">
        <w:t xml:space="preserve">sutil serán </w:t>
      </w:r>
      <w:r>
        <w:t xml:space="preserve">condiciones para tres clases de </w:t>
      </w:r>
      <w:r w:rsidR="00146295">
        <w:t xml:space="preserve">sensación </w:t>
      </w:r>
      <w:r>
        <w:t xml:space="preserve">allí también. Un </w:t>
      </w:r>
      <w:r w:rsidR="00F71E1B">
        <w:t xml:space="preserve">solo </w:t>
      </w:r>
      <w:r>
        <w:t xml:space="preserve">tipo de contacto en el devenir inmaterial </w:t>
      </w:r>
      <w:r w:rsidR="00355CF6">
        <w:t xml:space="preserve">será </w:t>
      </w:r>
      <w:r>
        <w:t xml:space="preserve">también una condición para un tipo de </w:t>
      </w:r>
      <w:r w:rsidR="00355CF6">
        <w:t>sensación</w:t>
      </w:r>
      <w:r>
        <w:t>.</w:t>
      </w:r>
    </w:p>
    <w:p w14:paraId="522F9ADF" w14:textId="27B5B4C6" w:rsidR="005A6D6C" w:rsidRDefault="005A6D6C" w:rsidP="005A6D6C">
      <w:r>
        <w:t xml:space="preserve">15. </w:t>
      </w:r>
      <w:r>
        <w:tab/>
        <w:t xml:space="preserve">Las seis clases de </w:t>
      </w:r>
      <w:r w:rsidR="00355CF6">
        <w:t>sensaciones</w:t>
      </w:r>
      <w:r>
        <w:t xml:space="preserve"> en el devenir sensual </w:t>
      </w:r>
      <w:r w:rsidR="00355CF6">
        <w:t xml:space="preserve">serán </w:t>
      </w:r>
      <w:r>
        <w:t xml:space="preserve">condiciones para los </w:t>
      </w:r>
      <w:r w:rsidR="008D1C1F">
        <w:t xml:space="preserve">6 </w:t>
      </w:r>
      <w:r>
        <w:t xml:space="preserve">grupos de </w:t>
      </w:r>
      <w:r w:rsidR="00355CF6">
        <w:t>deseos</w:t>
      </w:r>
      <w:r>
        <w:t xml:space="preserve"> en el devenir sensual. </w:t>
      </w:r>
      <w:r w:rsidR="00355CF6">
        <w:t>L</w:t>
      </w:r>
      <w:r w:rsidR="007F351C">
        <w:t>a</w:t>
      </w:r>
      <w:r w:rsidR="00355CF6">
        <w:t xml:space="preserve">s </w:t>
      </w:r>
      <w:r w:rsidR="007F351C">
        <w:t>t</w:t>
      </w:r>
      <w:r>
        <w:t xml:space="preserve">res </w:t>
      </w:r>
      <w:r w:rsidR="008B59E2">
        <w:t xml:space="preserve">clases de contacto </w:t>
      </w:r>
      <w:r>
        <w:t xml:space="preserve">en el devenir de la materia </w:t>
      </w:r>
      <w:r w:rsidR="007F351C">
        <w:t xml:space="preserve">sutil serán </w:t>
      </w:r>
      <w:r>
        <w:t xml:space="preserve">para </w:t>
      </w:r>
      <w:r w:rsidR="00B17AED">
        <w:t xml:space="preserve">las </w:t>
      </w:r>
      <w:r>
        <w:t xml:space="preserve">tres allí también. Un tipo de </w:t>
      </w:r>
      <w:r w:rsidR="00B17AED">
        <w:t>sensación</w:t>
      </w:r>
      <w:r>
        <w:t xml:space="preserve"> en el devenir inmaterial </w:t>
      </w:r>
      <w:r w:rsidR="00B17AED">
        <w:t xml:space="preserve">será </w:t>
      </w:r>
      <w:r>
        <w:t xml:space="preserve">una condición para un grupo de </w:t>
      </w:r>
      <w:r w:rsidR="00B17AED">
        <w:t>deseos</w:t>
      </w:r>
      <w:r>
        <w:t xml:space="preserve"> en el devenir inmaterial. El </w:t>
      </w:r>
      <w:r w:rsidR="00B17AED">
        <w:t xml:space="preserve">deseo </w:t>
      </w:r>
      <w:r>
        <w:t xml:space="preserve">en los diversos tipos de devenir </w:t>
      </w:r>
      <w:r w:rsidR="00B17AED">
        <w:t xml:space="preserve">será </w:t>
      </w:r>
      <w:r>
        <w:t xml:space="preserve">una condición para apegarse </w:t>
      </w:r>
      <w:r w:rsidR="00B0399E">
        <w:t>a su correspondiente esfera</w:t>
      </w:r>
      <w:r>
        <w:t>.</w:t>
      </w:r>
    </w:p>
    <w:p w14:paraId="2111E6CD" w14:textId="445F6599" w:rsidR="00FB0E39" w:rsidRDefault="005A6D6C" w:rsidP="00FB0E39">
      <w:r>
        <w:t xml:space="preserve">16. </w:t>
      </w:r>
      <w:r>
        <w:tab/>
      </w:r>
      <w:r w:rsidR="009462E3">
        <w:t>El apego</w:t>
      </w:r>
      <w:r>
        <w:t xml:space="preserve">, etc., son las condiciones respectivas para el devenir y </w:t>
      </w:r>
      <w:r w:rsidR="009462E3">
        <w:t>lo demás</w:t>
      </w:r>
      <w:r>
        <w:t xml:space="preserve">. ¿En qué manera? Aquí alguien </w:t>
      </w:r>
      <w:r w:rsidR="009462E3">
        <w:t xml:space="preserve">puede </w:t>
      </w:r>
      <w:r>
        <w:t>pensa</w:t>
      </w:r>
      <w:r w:rsidR="009462E3">
        <w:t>r</w:t>
      </w:r>
      <w:r>
        <w:t xml:space="preserve">: “Disfrutaré de los </w:t>
      </w:r>
      <w:r w:rsidR="007831DD">
        <w:t>deseos sensoriales</w:t>
      </w:r>
      <w:r>
        <w:t xml:space="preserve">”, y con el </w:t>
      </w:r>
      <w:r w:rsidR="009462E3">
        <w:t xml:space="preserve">apego </w:t>
      </w:r>
      <w:r>
        <w:t>a</w:t>
      </w:r>
      <w:r w:rsidR="003F7451">
        <w:t xml:space="preserve"> </w:t>
      </w:r>
      <w:r>
        <w:t>l</w:t>
      </w:r>
      <w:r w:rsidR="003F7451">
        <w:t>os</w:t>
      </w:r>
      <w:r>
        <w:t xml:space="preserve"> deseo</w:t>
      </w:r>
      <w:r w:rsidR="003F7451">
        <w:t>s</w:t>
      </w:r>
      <w:r>
        <w:t xml:space="preserve"> de </w:t>
      </w:r>
      <w:r w:rsidR="003F7451">
        <w:t xml:space="preserve">sensoriales </w:t>
      </w:r>
      <w:r>
        <w:t>como condición, se comporta</w:t>
      </w:r>
      <w:r w:rsidR="009462E3">
        <w:t>rá</w:t>
      </w:r>
      <w:r>
        <w:t xml:space="preserve"> mal en cuerpo, palabra y mente. Debido al cumplimiento de su mala conducta, reaparece</w:t>
      </w:r>
      <w:r w:rsidR="009462E3">
        <w:t>rá</w:t>
      </w:r>
      <w:r>
        <w:t xml:space="preserve"> en un estado de p</w:t>
      </w:r>
      <w:r w:rsidR="009462E3">
        <w:t>e</w:t>
      </w:r>
      <w:r>
        <w:t>rdi</w:t>
      </w:r>
      <w:r w:rsidR="009462E3">
        <w:t>ción</w:t>
      </w:r>
      <w:r>
        <w:t xml:space="preserve"> (privación). El </w:t>
      </w:r>
      <w:proofErr w:type="spellStart"/>
      <w:r w:rsidR="00057BF4" w:rsidRPr="00057BF4">
        <w:rPr>
          <w:i/>
          <w:iCs/>
        </w:rPr>
        <w:t>kamma</w:t>
      </w:r>
      <w:proofErr w:type="spellEnd"/>
      <w:r>
        <w:t xml:space="preserve"> que </w:t>
      </w:r>
      <w:r w:rsidR="00FB0E39">
        <w:br w:type="page"/>
      </w:r>
    </w:p>
    <w:p w14:paraId="51EA2433" w14:textId="77777777" w:rsidR="00D34717" w:rsidRDefault="00D34717" w:rsidP="00A66941"/>
    <w:p w14:paraId="59E880B1" w14:textId="4B97615B" w:rsidR="00A66941" w:rsidRDefault="000B311C" w:rsidP="00A66941">
      <w:r>
        <w:t>sea</w:t>
      </w:r>
      <w:r w:rsidR="009462E3">
        <w:t xml:space="preserve"> la causa de su reaparición </w:t>
      </w:r>
      <w:r w:rsidR="00197F8F">
        <w:t>allí será</w:t>
      </w:r>
      <w:r w:rsidR="00A66941">
        <w:t xml:space="preserve"> el devenir del proceso </w:t>
      </w:r>
      <w:proofErr w:type="spellStart"/>
      <w:r w:rsidR="00057BF4" w:rsidRPr="00057BF4">
        <w:rPr>
          <w:i/>
          <w:iCs/>
        </w:rPr>
        <w:t>kamm</w:t>
      </w:r>
      <w:r w:rsidR="00197F8F" w:rsidRPr="00576BC8">
        <w:rPr>
          <w:i/>
          <w:iCs/>
        </w:rPr>
        <w:t>ico</w:t>
      </w:r>
      <w:proofErr w:type="spellEnd"/>
      <w:r w:rsidR="00A66941">
        <w:t xml:space="preserve">, los agregados generados por el </w:t>
      </w:r>
      <w:proofErr w:type="spellStart"/>
      <w:r w:rsidR="00057BF4" w:rsidRPr="00057BF4">
        <w:rPr>
          <w:i/>
          <w:iCs/>
        </w:rPr>
        <w:t>kamma</w:t>
      </w:r>
      <w:proofErr w:type="spellEnd"/>
      <w:r w:rsidR="00A66941">
        <w:t xml:space="preserve"> </w:t>
      </w:r>
      <w:r w:rsidR="00576BC8">
        <w:t xml:space="preserve">serán </w:t>
      </w:r>
      <w:r w:rsidR="00A66941">
        <w:t xml:space="preserve">el devenir del proceso de renacimiento, la generación de los agregados </w:t>
      </w:r>
      <w:r w:rsidR="00576BC8">
        <w:t xml:space="preserve">será </w:t>
      </w:r>
      <w:r w:rsidR="00A66941">
        <w:t xml:space="preserve">el </w:t>
      </w:r>
      <w:r w:rsidR="00576BC8">
        <w:t>re</w:t>
      </w:r>
      <w:r w:rsidR="00A66941">
        <w:t>nacimiento, su maduración e</w:t>
      </w:r>
      <w:r w:rsidR="00FA4A08">
        <w:t>s</w:t>
      </w:r>
      <w:r w:rsidR="00A66941">
        <w:t xml:space="preserve"> </w:t>
      </w:r>
      <w:r w:rsidR="00FA4A08">
        <w:t>la vejez;</w:t>
      </w:r>
      <w:r w:rsidR="00A66941">
        <w:t xml:space="preserve"> su disolución</w:t>
      </w:r>
      <w:r w:rsidR="00FA4A08">
        <w:t>,</w:t>
      </w:r>
      <w:r w:rsidR="00A66941">
        <w:t xml:space="preserve"> la muerte.</w:t>
      </w:r>
    </w:p>
    <w:p w14:paraId="479DE0D0" w14:textId="429FB05D" w:rsidR="00A66941" w:rsidRDefault="00A66941" w:rsidP="00A66941">
      <w:r>
        <w:t xml:space="preserve">17. </w:t>
      </w:r>
      <w:r>
        <w:tab/>
      </w:r>
      <w:r w:rsidR="00566EDB">
        <w:t xml:space="preserve">Alguien podría </w:t>
      </w:r>
      <w:r>
        <w:t>pensa</w:t>
      </w:r>
      <w:r w:rsidR="00576BC8">
        <w:t>r</w:t>
      </w:r>
      <w:r>
        <w:t xml:space="preserve">: “Gozaré de </w:t>
      </w:r>
      <w:r w:rsidR="00576BC8">
        <w:t xml:space="preserve">la dicha </w:t>
      </w:r>
      <w:r>
        <w:t>del cielo”, y de manera paralela se comporta</w:t>
      </w:r>
      <w:r w:rsidR="00351537">
        <w:t>rá</w:t>
      </w:r>
      <w:r>
        <w:t xml:space="preserve"> </w:t>
      </w:r>
      <w:r w:rsidR="00351537">
        <w:t>correctamente</w:t>
      </w:r>
      <w:r>
        <w:t>. Debido al cumplimiento de su buena conducta, reaparece</w:t>
      </w:r>
      <w:r w:rsidR="00576BC8">
        <w:t>rá</w:t>
      </w:r>
      <w:r>
        <w:t xml:space="preserve"> en un cielo [de </w:t>
      </w:r>
      <w:r w:rsidR="00576BC8">
        <w:t xml:space="preserve">la </w:t>
      </w:r>
      <w:r>
        <w:t xml:space="preserve">esfera sensual]. El </w:t>
      </w:r>
      <w:proofErr w:type="spellStart"/>
      <w:r w:rsidR="00057BF4" w:rsidRPr="00057BF4">
        <w:rPr>
          <w:i/>
          <w:iCs/>
        </w:rPr>
        <w:t>kamma</w:t>
      </w:r>
      <w:proofErr w:type="spellEnd"/>
      <w:r>
        <w:t xml:space="preserve"> que </w:t>
      </w:r>
      <w:r w:rsidR="00576BC8">
        <w:t xml:space="preserve">sea </w:t>
      </w:r>
      <w:r>
        <w:t xml:space="preserve">la causa de su reaparición </w:t>
      </w:r>
      <w:r w:rsidR="00576BC8">
        <w:t xml:space="preserve">allí será </w:t>
      </w:r>
      <w:r w:rsidR="001C7C16">
        <w:t>su</w:t>
      </w:r>
      <w:r>
        <w:t xml:space="preserve"> devenir del proceso </w:t>
      </w:r>
      <w:proofErr w:type="spellStart"/>
      <w:r w:rsidR="00057BF4" w:rsidRPr="00057BF4">
        <w:rPr>
          <w:i/>
          <w:iCs/>
        </w:rPr>
        <w:t>kamm</w:t>
      </w:r>
      <w:r w:rsidR="00576BC8">
        <w:rPr>
          <w:i/>
          <w:iCs/>
        </w:rPr>
        <w:t>ico</w:t>
      </w:r>
      <w:proofErr w:type="spellEnd"/>
      <w:r>
        <w:t xml:space="preserve">, y ​​el resto </w:t>
      </w:r>
      <w:r w:rsidR="00576BC8">
        <w:t xml:space="preserve">será </w:t>
      </w:r>
      <w:r>
        <w:t>como antes.</w:t>
      </w:r>
    </w:p>
    <w:p w14:paraId="0EC67597" w14:textId="5D17039D" w:rsidR="00A66941" w:rsidRDefault="00A66941" w:rsidP="00A66941">
      <w:r>
        <w:t xml:space="preserve">18. </w:t>
      </w:r>
      <w:r>
        <w:tab/>
      </w:r>
      <w:r w:rsidR="00576BC8">
        <w:t xml:space="preserve">Otro </w:t>
      </w:r>
      <w:r w:rsidR="001C7C16">
        <w:t xml:space="preserve">podría </w:t>
      </w:r>
      <w:r w:rsidR="00576BC8">
        <w:t>pensar</w:t>
      </w:r>
      <w:r>
        <w:t xml:space="preserve">: “Disfrutaré de </w:t>
      </w:r>
      <w:r w:rsidR="00576BC8">
        <w:t xml:space="preserve">la dicha </w:t>
      </w:r>
      <w:r>
        <w:t xml:space="preserve">del mundo </w:t>
      </w:r>
      <w:r w:rsidR="00057BF4" w:rsidRPr="00057BF4">
        <w:rPr>
          <w:i/>
        </w:rPr>
        <w:t>Brahmā</w:t>
      </w:r>
      <w:r>
        <w:t xml:space="preserve">”, y con </w:t>
      </w:r>
      <w:r w:rsidR="00576BC8">
        <w:t>apego</w:t>
      </w:r>
      <w:r>
        <w:t xml:space="preserve"> al deseo de </w:t>
      </w:r>
      <w:r w:rsidR="00E03EDD">
        <w:t xml:space="preserve">sensoriales </w:t>
      </w:r>
      <w:r>
        <w:t>como condición, desarrolla</w:t>
      </w:r>
      <w:r w:rsidR="00576BC8">
        <w:t>rá</w:t>
      </w:r>
      <w:r>
        <w:t xml:space="preserve"> </w:t>
      </w:r>
      <w:r w:rsidR="00FC0679">
        <w:t>el amor–benevolente</w:t>
      </w:r>
      <w:r>
        <w:t xml:space="preserve">, </w:t>
      </w:r>
      <w:r w:rsidR="00FC0679">
        <w:t xml:space="preserve">la </w:t>
      </w:r>
      <w:r>
        <w:t xml:space="preserve">compasión, </w:t>
      </w:r>
      <w:r w:rsidR="00FC0679">
        <w:t xml:space="preserve">la </w:t>
      </w:r>
      <w:r>
        <w:t xml:space="preserve">alegría </w:t>
      </w:r>
      <w:r w:rsidR="004F1352">
        <w:t xml:space="preserve">altruista </w:t>
      </w:r>
      <w:r>
        <w:t xml:space="preserve">y </w:t>
      </w:r>
      <w:r w:rsidR="00FC0679">
        <w:t xml:space="preserve">la </w:t>
      </w:r>
      <w:r>
        <w:t>ecuanimidad.</w:t>
      </w:r>
      <w:r w:rsidRPr="00FA178A">
        <w:rPr>
          <w:vertAlign w:val="superscript"/>
        </w:rPr>
        <w:t>4</w:t>
      </w:r>
      <w:r>
        <w:t xml:space="preserve"> [200] Debido a</w:t>
      </w:r>
      <w:r w:rsidR="00D13AD2">
        <w:t xml:space="preserve"> </w:t>
      </w:r>
      <w:r>
        <w:t>l</w:t>
      </w:r>
      <w:r w:rsidR="00D13AD2">
        <w:t>a</w:t>
      </w:r>
      <w:r>
        <w:t xml:space="preserve"> </w:t>
      </w:r>
      <w:r w:rsidR="00D13AD2">
        <w:t>consumación</w:t>
      </w:r>
      <w:r>
        <w:t xml:space="preserve"> de la meditación desarroll</w:t>
      </w:r>
      <w:r w:rsidR="00D13AD2">
        <w:t>ada</w:t>
      </w:r>
      <w:r>
        <w:t>, renace</w:t>
      </w:r>
      <w:r w:rsidR="00D13AD2">
        <w:t>rá</w:t>
      </w:r>
      <w:r>
        <w:t xml:space="preserve"> en el </w:t>
      </w:r>
      <w:r w:rsidR="00E03EDD">
        <w:t>plano</w:t>
      </w:r>
      <w:r w:rsidR="00E03EDD">
        <w:rPr>
          <w:i/>
          <w:iCs/>
        </w:rPr>
        <w:t>–</w:t>
      </w:r>
      <w:r w:rsidR="00057BF4" w:rsidRPr="00057BF4">
        <w:rPr>
          <w:i/>
        </w:rPr>
        <w:t>Brahmā</w:t>
      </w:r>
      <w:r>
        <w:t xml:space="preserve">. El </w:t>
      </w:r>
      <w:proofErr w:type="spellStart"/>
      <w:r w:rsidR="00057BF4" w:rsidRPr="00057BF4">
        <w:rPr>
          <w:i/>
          <w:iCs/>
        </w:rPr>
        <w:t>kamma</w:t>
      </w:r>
      <w:proofErr w:type="spellEnd"/>
      <w:r>
        <w:t xml:space="preserve"> que </w:t>
      </w:r>
      <w:r w:rsidR="00D13AD2">
        <w:t xml:space="preserve">sea </w:t>
      </w:r>
      <w:r>
        <w:t xml:space="preserve">la causa de su renacimiento </w:t>
      </w:r>
      <w:r w:rsidR="00D13AD2">
        <w:t xml:space="preserve">allí será </w:t>
      </w:r>
      <w:r>
        <w:t xml:space="preserve">el devenir del proceso </w:t>
      </w:r>
      <w:proofErr w:type="spellStart"/>
      <w:r w:rsidR="00057BF4" w:rsidRPr="00057BF4">
        <w:rPr>
          <w:i/>
          <w:iCs/>
        </w:rPr>
        <w:t>kamm</w:t>
      </w:r>
      <w:r w:rsidR="00D13AD2">
        <w:rPr>
          <w:i/>
          <w:iCs/>
        </w:rPr>
        <w:t>ico</w:t>
      </w:r>
      <w:proofErr w:type="spellEnd"/>
      <w:r>
        <w:t xml:space="preserve">, y ​​el resto </w:t>
      </w:r>
      <w:r w:rsidR="0003738E">
        <w:t xml:space="preserve">será </w:t>
      </w:r>
      <w:r>
        <w:t>como antes.</w:t>
      </w:r>
    </w:p>
    <w:p w14:paraId="6E99D627" w14:textId="3A08D473" w:rsidR="00A66941" w:rsidRDefault="00A66941" w:rsidP="00A66941">
      <w:r>
        <w:t xml:space="preserve">19. </w:t>
      </w:r>
      <w:r>
        <w:tab/>
        <w:t xml:space="preserve">Otro más </w:t>
      </w:r>
      <w:r w:rsidR="00C47725">
        <w:t>podría pensar</w:t>
      </w:r>
      <w:r>
        <w:t xml:space="preserve">: “Disfrutaré </w:t>
      </w:r>
      <w:r w:rsidR="00C47725">
        <w:t xml:space="preserve">de la dicha </w:t>
      </w:r>
      <w:r>
        <w:t>del devenir inmaterial”, y con la misma condición desarrolla</w:t>
      </w:r>
      <w:r w:rsidR="00C47725">
        <w:t>rá</w:t>
      </w:r>
      <w:r>
        <w:t xml:space="preserve"> los logros comenzando con la base consiste</w:t>
      </w:r>
      <w:r w:rsidR="00C47725">
        <w:t>nte</w:t>
      </w:r>
      <w:r>
        <w:t xml:space="preserve"> </w:t>
      </w:r>
      <w:r w:rsidR="00C47725">
        <w:t>d</w:t>
      </w:r>
      <w:r>
        <w:t xml:space="preserve">el espacio </w:t>
      </w:r>
      <w:r w:rsidR="004C72F4">
        <w:t>infinito</w:t>
      </w:r>
      <w:r>
        <w:t>. Debido a</w:t>
      </w:r>
      <w:r w:rsidR="00C765CE">
        <w:t xml:space="preserve"> </w:t>
      </w:r>
      <w:r>
        <w:t>l</w:t>
      </w:r>
      <w:r w:rsidR="00C765CE">
        <w:t>a</w:t>
      </w:r>
      <w:r>
        <w:t xml:space="preserve"> </w:t>
      </w:r>
      <w:r w:rsidR="003F542C">
        <w:t xml:space="preserve">consumación </w:t>
      </w:r>
      <w:r>
        <w:t>del desarrollo, renace</w:t>
      </w:r>
      <w:r w:rsidR="003F542C">
        <w:t>rá</w:t>
      </w:r>
      <w:r>
        <w:t xml:space="preserve"> en uno de estos estados. El </w:t>
      </w:r>
      <w:proofErr w:type="spellStart"/>
      <w:r w:rsidR="00057BF4" w:rsidRPr="00057BF4">
        <w:rPr>
          <w:i/>
          <w:iCs/>
        </w:rPr>
        <w:t>kamma</w:t>
      </w:r>
      <w:proofErr w:type="spellEnd"/>
      <w:r>
        <w:t xml:space="preserve"> que </w:t>
      </w:r>
      <w:r w:rsidR="003F542C">
        <w:t xml:space="preserve">sea </w:t>
      </w:r>
      <w:r>
        <w:t xml:space="preserve">la causa de su renacimiento </w:t>
      </w:r>
      <w:r w:rsidR="003F542C">
        <w:t xml:space="preserve">allí será </w:t>
      </w:r>
      <w:r>
        <w:t xml:space="preserve">el devenir del proceso </w:t>
      </w:r>
      <w:proofErr w:type="spellStart"/>
      <w:r w:rsidR="00057BF4" w:rsidRPr="00057BF4">
        <w:rPr>
          <w:i/>
          <w:iCs/>
        </w:rPr>
        <w:t>kamm</w:t>
      </w:r>
      <w:r w:rsidR="003F542C">
        <w:rPr>
          <w:i/>
          <w:iCs/>
        </w:rPr>
        <w:t>ico</w:t>
      </w:r>
      <w:proofErr w:type="spellEnd"/>
      <w:r>
        <w:t xml:space="preserve">, los agregados generados por el </w:t>
      </w:r>
      <w:proofErr w:type="spellStart"/>
      <w:r w:rsidR="00057BF4" w:rsidRPr="00057BF4">
        <w:rPr>
          <w:i/>
          <w:iCs/>
        </w:rPr>
        <w:t>kamma</w:t>
      </w:r>
      <w:proofErr w:type="spellEnd"/>
      <w:r>
        <w:t xml:space="preserve"> </w:t>
      </w:r>
      <w:r w:rsidR="003F542C">
        <w:t xml:space="preserve">será </w:t>
      </w:r>
      <w:r>
        <w:t xml:space="preserve">el devenir del proceso de renacimiento, la generación de los agregados </w:t>
      </w:r>
      <w:r w:rsidR="003F542C">
        <w:t xml:space="preserve">será </w:t>
      </w:r>
      <w:r>
        <w:t xml:space="preserve">el </w:t>
      </w:r>
      <w:r w:rsidR="003F542C">
        <w:t>re</w:t>
      </w:r>
      <w:r>
        <w:t xml:space="preserve">nacimiento, su maduración el envejecimiento, su disolución la muerte (véase M II 263). Los restantes tipos de apego se </w:t>
      </w:r>
      <w:r w:rsidR="00810928">
        <w:t xml:space="preserve">podrán </w:t>
      </w:r>
      <w:r>
        <w:t>interpretar de la misma manera.</w:t>
      </w:r>
    </w:p>
    <w:p w14:paraId="1EB98E21" w14:textId="4C313CA3" w:rsidR="00A66941" w:rsidRDefault="00A66941" w:rsidP="00A66941">
      <w:r>
        <w:t xml:space="preserve">20. </w:t>
      </w:r>
      <w:r>
        <w:tab/>
        <w:t>Entonces, “La comprensión del discernimiento de las condiciones así, ‘La ignorancia es una causa, las formaciones surgen causalmente, y ambos estados surgen causalmente’, es el conocimiento de la relación causal de los estados. La comprensión del discernimiento de las condiciones así</w:t>
      </w:r>
      <w:r w:rsidR="00124730">
        <w:t>:</w:t>
      </w:r>
      <w:r>
        <w:t xml:space="preserve"> 'En el pasado y en el futuro, la ignorancia es una causa, las formaciones surgen causalmente, y ambos estados surgen causalmente', es </w:t>
      </w:r>
      <w:r w:rsidR="00AD26E6">
        <w:t xml:space="preserve">también </w:t>
      </w:r>
      <w:r>
        <w:t>el conocimiento de la relación causal de los estados” (</w:t>
      </w:r>
      <w:proofErr w:type="spellStart"/>
      <w:r w:rsidRPr="00FA178A">
        <w:rPr>
          <w:i/>
          <w:iCs/>
        </w:rPr>
        <w:t>Paṭis</w:t>
      </w:r>
      <w:proofErr w:type="spellEnd"/>
      <w:r>
        <w:t xml:space="preserve"> I 50), y todas las cláusulas se deben dar en detalle de esta manera.</w:t>
      </w:r>
    </w:p>
    <w:p w14:paraId="4F8E5A7C" w14:textId="719BD0A3" w:rsidR="00A66941" w:rsidRDefault="00A66941" w:rsidP="00A66941">
      <w:r>
        <w:t xml:space="preserve">21. </w:t>
      </w:r>
      <w:r w:rsidR="00810928">
        <w:tab/>
      </w:r>
      <w:r>
        <w:t xml:space="preserve">Aquí, la ignorancia y las formaciones </w:t>
      </w:r>
      <w:r w:rsidR="000729C4">
        <w:t xml:space="preserve">serán </w:t>
      </w:r>
      <w:r>
        <w:t>un resumen; la con</w:t>
      </w:r>
      <w:r w:rsidR="000729C4">
        <w:t>s</w:t>
      </w:r>
      <w:r>
        <w:t xml:space="preserve">ciencia, la </w:t>
      </w:r>
      <w:r w:rsidR="000729C4">
        <w:t>materialidad-mentalidad</w:t>
      </w:r>
      <w:r>
        <w:t xml:space="preserve">, la base séxtuple, el contacto y </w:t>
      </w:r>
      <w:r w:rsidR="000729C4">
        <w:t>la sensación</w:t>
      </w:r>
      <w:r>
        <w:t xml:space="preserve"> </w:t>
      </w:r>
      <w:r w:rsidR="000729C4">
        <w:t xml:space="preserve">serán </w:t>
      </w:r>
      <w:r>
        <w:t xml:space="preserve">otro; el </w:t>
      </w:r>
      <w:r w:rsidR="00C57D4A">
        <w:t>deseo</w:t>
      </w:r>
      <w:r>
        <w:t xml:space="preserve">, el apego y el devenir </w:t>
      </w:r>
      <w:r w:rsidR="00C57D4A">
        <w:t xml:space="preserve">serán </w:t>
      </w:r>
      <w:r>
        <w:t xml:space="preserve">otro; y el </w:t>
      </w:r>
      <w:r w:rsidR="00C57D4A">
        <w:t>re</w:t>
      </w:r>
      <w:r>
        <w:t>nacimiento</w:t>
      </w:r>
      <w:r w:rsidR="00C57D4A">
        <w:t>,</w:t>
      </w:r>
      <w:r>
        <w:t xml:space="preserve"> envejecimiento y la muerte </w:t>
      </w:r>
      <w:r w:rsidR="00C57D4A">
        <w:t xml:space="preserve">serán </w:t>
      </w:r>
      <w:r>
        <w:t xml:space="preserve">otro. Aquí </w:t>
      </w:r>
      <w:r w:rsidR="00C56F1E">
        <w:t>los factores del primer resumen serán</w:t>
      </w:r>
      <w:r w:rsidR="00C57D4A">
        <w:t xml:space="preserve"> </w:t>
      </w:r>
      <w:r>
        <w:t>pasado</w:t>
      </w:r>
      <w:r w:rsidR="00662120">
        <w:t>s</w:t>
      </w:r>
      <w:r>
        <w:t xml:space="preserve">, los dos intermedios </w:t>
      </w:r>
      <w:r w:rsidR="00C57D4A">
        <w:t xml:space="preserve">serán </w:t>
      </w:r>
      <w:r>
        <w:t>presente</w:t>
      </w:r>
      <w:r w:rsidR="002C0897">
        <w:t>s</w:t>
      </w:r>
      <w:r>
        <w:t xml:space="preserve">, y el </w:t>
      </w:r>
      <w:r w:rsidR="00C57D4A">
        <w:t>re</w:t>
      </w:r>
      <w:r>
        <w:t>nacimiento</w:t>
      </w:r>
      <w:r w:rsidR="00C57D4A">
        <w:t>,</w:t>
      </w:r>
      <w:r>
        <w:t xml:space="preserve"> el envejecimiento y la muerte </w:t>
      </w:r>
      <w:r w:rsidR="0043257A">
        <w:t xml:space="preserve">serán </w:t>
      </w:r>
      <w:r>
        <w:t>futuro</w:t>
      </w:r>
      <w:r w:rsidR="008403BB">
        <w:t>s</w:t>
      </w:r>
      <w:r>
        <w:t>. Cuando se mencion</w:t>
      </w:r>
      <w:r w:rsidR="0043257A">
        <w:t>e</w:t>
      </w:r>
      <w:r>
        <w:t xml:space="preserve"> </w:t>
      </w:r>
      <w:r w:rsidR="008403BB">
        <w:t xml:space="preserve">a </w:t>
      </w:r>
      <w:r>
        <w:t xml:space="preserve">la ignorancia y las formaciones, </w:t>
      </w:r>
      <w:r w:rsidR="008403BB">
        <w:t>entonces</w:t>
      </w:r>
      <w:r>
        <w:t xml:space="preserve"> </w:t>
      </w:r>
      <w:r w:rsidR="00BD3D2F">
        <w:t xml:space="preserve">él </w:t>
      </w:r>
      <w:r>
        <w:t>se desapasiona</w:t>
      </w:r>
      <w:r w:rsidR="008403BB">
        <w:t>rá</w:t>
      </w:r>
      <w:r>
        <w:t xml:space="preserve"> </w:t>
      </w:r>
      <w:r w:rsidR="008403BB">
        <w:t xml:space="preserve">de </w:t>
      </w:r>
      <w:r>
        <w:t>ellas, cuando su codicia se desvane</w:t>
      </w:r>
      <w:r w:rsidR="0043257A">
        <w:t>zca</w:t>
      </w:r>
      <w:r>
        <w:t>, cuando se liber</w:t>
      </w:r>
      <w:r w:rsidR="0043257A">
        <w:t>e</w:t>
      </w:r>
      <w:r>
        <w:t xml:space="preserve">, entonces </w:t>
      </w:r>
      <w:r w:rsidR="00044F09">
        <w:t xml:space="preserve">él </w:t>
      </w:r>
      <w:r w:rsidR="008014B6">
        <w:t xml:space="preserve">las </w:t>
      </w:r>
      <w:r>
        <w:t>destru</w:t>
      </w:r>
      <w:r w:rsidR="00044F09">
        <w:t>irá</w:t>
      </w:r>
      <w:r>
        <w:t xml:space="preserve">, </w:t>
      </w:r>
      <w:r w:rsidR="008014B6">
        <w:t xml:space="preserve">las </w:t>
      </w:r>
      <w:r>
        <w:t>destru</w:t>
      </w:r>
      <w:r w:rsidR="00044F09">
        <w:t>irá</w:t>
      </w:r>
      <w:r>
        <w:t xml:space="preserve"> por completo, </w:t>
      </w:r>
      <w:r w:rsidR="008014B6">
        <w:t xml:space="preserve">las </w:t>
      </w:r>
      <w:r>
        <w:t>abol</w:t>
      </w:r>
      <w:r w:rsidR="009928FD">
        <w:t>irá</w:t>
      </w:r>
      <w:r>
        <w:t xml:space="preserve">, </w:t>
      </w:r>
      <w:r w:rsidR="00D43C70">
        <w:t xml:space="preserve">destruirá </w:t>
      </w:r>
      <w:r>
        <w:t>los ra</w:t>
      </w:r>
      <w:r w:rsidR="004F63F1">
        <w:t>dio</w:t>
      </w:r>
      <w:r>
        <w:t>s de esta rueda de</w:t>
      </w:r>
      <w:r w:rsidR="009928FD">
        <w:t>l</w:t>
      </w:r>
      <w:r>
        <w:t xml:space="preserve"> </w:t>
      </w:r>
      <w:r w:rsidR="009928FD">
        <w:t xml:space="preserve">ciclo </w:t>
      </w:r>
      <w:r>
        <w:t>de renacimientos del tipo que acabamos de describir.</w:t>
      </w:r>
    </w:p>
    <w:p w14:paraId="06031BA0" w14:textId="6579E322" w:rsidR="00D34717" w:rsidRDefault="00A66941" w:rsidP="00D34717">
      <w:r>
        <w:t xml:space="preserve">22. </w:t>
      </w:r>
      <w:r>
        <w:tab/>
        <w:t xml:space="preserve">Ahora bien, el </w:t>
      </w:r>
      <w:r w:rsidR="00BD3D2F">
        <w:rPr>
          <w:i/>
          <w:iCs/>
        </w:rPr>
        <w:t>Bhagavā</w:t>
      </w:r>
      <w:r w:rsidR="00BD3D2F">
        <w:t xml:space="preserve"> </w:t>
      </w:r>
      <w:r>
        <w:t>conoció, vio, comprendió y penetró en todos los aspectos est</w:t>
      </w:r>
      <w:r w:rsidR="00BD3D2F">
        <w:t>a</w:t>
      </w:r>
      <w:r>
        <w:t xml:space="preserve"> orig</w:t>
      </w:r>
      <w:r w:rsidR="00BD3D2F">
        <w:t>i</w:t>
      </w:r>
      <w:r>
        <w:t>n</w:t>
      </w:r>
      <w:r w:rsidR="00BD3D2F">
        <w:t>ación</w:t>
      </w:r>
      <w:r>
        <w:t xml:space="preserve"> dependiente con sus cuatro resúmenes, sus tres tiempos, sus veinte aspectos y sus </w:t>
      </w:r>
      <w:r w:rsidR="00D34717">
        <w:t>tres eslabones.</w:t>
      </w:r>
      <w:r w:rsidR="00D34717" w:rsidRPr="00084D90">
        <w:t xml:space="preserve"> </w:t>
      </w:r>
      <w:r w:rsidR="00D34717">
        <w:t xml:space="preserve"> “El conocimiento </w:t>
      </w:r>
      <w:r w:rsidR="00C56F1E">
        <w:t>se da</w:t>
      </w:r>
      <w:r w:rsidR="00D34717">
        <w:t xml:space="preserve"> en el sentido de ser conocido,</w:t>
      </w:r>
      <w:r w:rsidR="00D34717" w:rsidRPr="00A7026A">
        <w:rPr>
          <w:vertAlign w:val="superscript"/>
        </w:rPr>
        <w:t>5</w:t>
      </w:r>
      <w:r w:rsidR="00D34717">
        <w:t xml:space="preserve"> y la comprensión </w:t>
      </w:r>
      <w:r w:rsidR="00C56F1E">
        <w:t>se da</w:t>
      </w:r>
      <w:r w:rsidR="00D34717">
        <w:t xml:space="preserve"> en el </w:t>
      </w:r>
    </w:p>
    <w:p w14:paraId="5AA0D6E1" w14:textId="77777777" w:rsidR="00A66941" w:rsidRDefault="00A66941" w:rsidP="00A66941">
      <w:pPr>
        <w:pStyle w:val="PiedepginaLegal"/>
        <w:rPr>
          <w:u w:val="single"/>
        </w:rPr>
      </w:pPr>
      <w:r>
        <w:rPr>
          <w:u w:val="single"/>
        </w:rPr>
        <w:tab/>
      </w:r>
      <w:r>
        <w:rPr>
          <w:u w:val="single"/>
        </w:rPr>
        <w:tab/>
      </w:r>
      <w:r>
        <w:rPr>
          <w:u w:val="single"/>
        </w:rPr>
        <w:tab/>
      </w:r>
      <w:r>
        <w:rPr>
          <w:u w:val="single"/>
        </w:rPr>
        <w:tab/>
        <w:t xml:space="preserve"> .</w:t>
      </w:r>
    </w:p>
    <w:p w14:paraId="2291C1DE" w14:textId="5B74EE3C" w:rsidR="00FB0E39" w:rsidRDefault="00A66941" w:rsidP="00A66941">
      <w:pPr>
        <w:pStyle w:val="PiedepginaLegal"/>
      </w:pPr>
      <w:r>
        <w:t xml:space="preserve">4. </w:t>
      </w:r>
      <w:r>
        <w:tab/>
        <w:t xml:space="preserve">“Por las palabras, 'Todos los </w:t>
      </w:r>
      <w:r w:rsidR="00C528B3" w:rsidRPr="00057BF4">
        <w:rPr>
          <w:i/>
        </w:rPr>
        <w:t>dhamma</w:t>
      </w:r>
      <w:r w:rsidR="00C528B3">
        <w:t xml:space="preserve">s </w:t>
      </w:r>
      <w:r>
        <w:t xml:space="preserve">de los tres planos son </w:t>
      </w:r>
      <w:r w:rsidR="001F46B4">
        <w:t xml:space="preserve">también </w:t>
      </w:r>
      <w:r>
        <w:t xml:space="preserve">deseos </w:t>
      </w:r>
      <w:r w:rsidR="00D5102B">
        <w:t>sensoriales</w:t>
      </w:r>
      <w:r>
        <w:t xml:space="preserve"> (</w:t>
      </w:r>
      <w:proofErr w:type="spellStart"/>
      <w:r w:rsidRPr="00946BCD">
        <w:rPr>
          <w:i/>
          <w:iCs/>
        </w:rPr>
        <w:t>kāma</w:t>
      </w:r>
      <w:proofErr w:type="spellEnd"/>
      <w:r>
        <w:t>) en el sentido de ser deseables (</w:t>
      </w:r>
      <w:proofErr w:type="spellStart"/>
      <w:r w:rsidRPr="00FA178A">
        <w:rPr>
          <w:i/>
          <w:iCs/>
        </w:rPr>
        <w:t>kamanīya</w:t>
      </w:r>
      <w:proofErr w:type="spellEnd"/>
      <w:r>
        <w:t xml:space="preserve">) (Cf. </w:t>
      </w:r>
      <w:proofErr w:type="spellStart"/>
      <w:r>
        <w:t>Nidd</w:t>
      </w:r>
      <w:proofErr w:type="spellEnd"/>
      <w:r>
        <w:t xml:space="preserve"> I 1: </w:t>
      </w:r>
      <w:proofErr w:type="spellStart"/>
      <w:r w:rsidRPr="00FA178A">
        <w:rPr>
          <w:i/>
          <w:iCs/>
        </w:rPr>
        <w:t>sabbepi</w:t>
      </w:r>
      <w:proofErr w:type="spellEnd"/>
      <w:r w:rsidRPr="00FA178A">
        <w:rPr>
          <w:i/>
          <w:iCs/>
        </w:rPr>
        <w:t xml:space="preserve"> </w:t>
      </w:r>
      <w:proofErr w:type="spellStart"/>
      <w:r w:rsidRPr="00FA178A">
        <w:rPr>
          <w:i/>
          <w:iCs/>
        </w:rPr>
        <w:t>kāmāvacarā</w:t>
      </w:r>
      <w:proofErr w:type="spellEnd"/>
      <w:r w:rsidRPr="00FA178A">
        <w:rPr>
          <w:i/>
          <w:iCs/>
        </w:rPr>
        <w:t xml:space="preserve"> </w:t>
      </w:r>
      <w:proofErr w:type="spellStart"/>
      <w:r w:rsidRPr="00FA178A">
        <w:rPr>
          <w:i/>
          <w:iCs/>
        </w:rPr>
        <w:t>dhammā</w:t>
      </w:r>
      <w:proofErr w:type="spellEnd"/>
      <w:r w:rsidRPr="00FA178A">
        <w:rPr>
          <w:i/>
          <w:iCs/>
        </w:rPr>
        <w:t xml:space="preserve">, </w:t>
      </w:r>
      <w:proofErr w:type="spellStart"/>
      <w:r w:rsidRPr="00FA178A">
        <w:rPr>
          <w:i/>
          <w:iCs/>
        </w:rPr>
        <w:t>sabbepi</w:t>
      </w:r>
      <w:proofErr w:type="spellEnd"/>
      <w:r w:rsidRPr="00FA178A">
        <w:rPr>
          <w:i/>
          <w:iCs/>
        </w:rPr>
        <w:t xml:space="preserve"> </w:t>
      </w:r>
      <w:proofErr w:type="spellStart"/>
      <w:r w:rsidRPr="00FA178A">
        <w:rPr>
          <w:i/>
          <w:iCs/>
        </w:rPr>
        <w:t>rūpāvacarā</w:t>
      </w:r>
      <w:proofErr w:type="spellEnd"/>
      <w:r w:rsidRPr="00FA178A">
        <w:rPr>
          <w:i/>
          <w:iCs/>
        </w:rPr>
        <w:t xml:space="preserve"> </w:t>
      </w:r>
      <w:proofErr w:type="spellStart"/>
      <w:r w:rsidRPr="00FA178A">
        <w:rPr>
          <w:i/>
          <w:iCs/>
        </w:rPr>
        <w:t>dhammā</w:t>
      </w:r>
      <w:proofErr w:type="spellEnd"/>
      <w:r w:rsidRPr="00FA178A">
        <w:rPr>
          <w:i/>
          <w:iCs/>
        </w:rPr>
        <w:t xml:space="preserve">, </w:t>
      </w:r>
      <w:proofErr w:type="spellStart"/>
      <w:r w:rsidRPr="00FA178A">
        <w:rPr>
          <w:i/>
          <w:iCs/>
        </w:rPr>
        <w:t>sabbepi</w:t>
      </w:r>
      <w:proofErr w:type="spellEnd"/>
      <w:r w:rsidRPr="00FA178A">
        <w:rPr>
          <w:i/>
          <w:iCs/>
        </w:rPr>
        <w:t xml:space="preserve"> </w:t>
      </w:r>
      <w:proofErr w:type="spellStart"/>
      <w:r w:rsidRPr="00FA178A">
        <w:rPr>
          <w:i/>
          <w:iCs/>
        </w:rPr>
        <w:t>arūpvacarā</w:t>
      </w:r>
      <w:proofErr w:type="spellEnd"/>
      <w:r w:rsidRPr="00FA178A">
        <w:rPr>
          <w:i/>
          <w:iCs/>
        </w:rPr>
        <w:t xml:space="preserve"> </w:t>
      </w:r>
      <w:proofErr w:type="spellStart"/>
      <w:r w:rsidRPr="00FA178A">
        <w:rPr>
          <w:i/>
          <w:iCs/>
        </w:rPr>
        <w:t>dhammā</w:t>
      </w:r>
      <w:proofErr w:type="spellEnd"/>
      <w:r w:rsidRPr="00FA178A">
        <w:rPr>
          <w:i/>
          <w:iCs/>
        </w:rPr>
        <w:t xml:space="preserve">… </w:t>
      </w:r>
      <w:proofErr w:type="spellStart"/>
      <w:r w:rsidRPr="00FA178A">
        <w:rPr>
          <w:i/>
          <w:iCs/>
        </w:rPr>
        <w:t>kāmanīyaṭṭhena</w:t>
      </w:r>
      <w:proofErr w:type="spellEnd"/>
      <w:r w:rsidRPr="00FA178A">
        <w:rPr>
          <w:i/>
          <w:iCs/>
        </w:rPr>
        <w:t xml:space="preserve"> …</w:t>
      </w:r>
      <w:proofErr w:type="spellStart"/>
      <w:r w:rsidRPr="00FA178A">
        <w:rPr>
          <w:i/>
          <w:iCs/>
        </w:rPr>
        <w:t>kāmā</w:t>
      </w:r>
      <w:proofErr w:type="spellEnd"/>
      <w:r>
        <w:t xml:space="preserve">), la codicia </w:t>
      </w:r>
      <w:r w:rsidR="006435F4">
        <w:t xml:space="preserve">hacia </w:t>
      </w:r>
      <w:r w:rsidR="00872EAA">
        <w:t xml:space="preserve">el </w:t>
      </w:r>
      <w:r>
        <w:t xml:space="preserve">devenir es </w:t>
      </w:r>
      <w:r w:rsidR="00D5102B">
        <w:t>apego</w:t>
      </w:r>
      <w:r w:rsidR="00E57C0E">
        <w:t xml:space="preserve"> hacia e</w:t>
      </w:r>
      <w:r>
        <w:t xml:space="preserve">l deseo </w:t>
      </w:r>
      <w:r w:rsidR="00E57C0E">
        <w:t>sensorial</w:t>
      </w:r>
      <w:r>
        <w:t>' (</w:t>
      </w:r>
      <w:proofErr w:type="spellStart"/>
      <w:r>
        <w:t>Vism-mhṭ</w:t>
      </w:r>
      <w:proofErr w:type="spellEnd"/>
      <w:r>
        <w:t xml:space="preserve"> 184). Véase XII.72. Para el “</w:t>
      </w:r>
      <w:r w:rsidR="00872EAA">
        <w:t>sendero</w:t>
      </w:r>
      <w:r>
        <w:t xml:space="preserve"> </w:t>
      </w:r>
      <w:r w:rsidR="00872EAA">
        <w:t>hacia e</w:t>
      </w:r>
      <w:r>
        <w:t xml:space="preserve">l mundo </w:t>
      </w:r>
      <w:r w:rsidR="00057BF4" w:rsidRPr="00057BF4">
        <w:rPr>
          <w:i/>
          <w:iCs/>
        </w:rPr>
        <w:t>Brahmā</w:t>
      </w:r>
      <w:r>
        <w:t>”, véase M II 194–96; 207</w:t>
      </w:r>
      <w:r w:rsidR="00F34F34">
        <w:t>s</w:t>
      </w:r>
    </w:p>
    <w:p w14:paraId="64C35B3B" w14:textId="285AF182" w:rsidR="006458EF" w:rsidRDefault="006458EF">
      <w:pPr>
        <w:tabs>
          <w:tab w:val="clear" w:pos="425"/>
        </w:tabs>
        <w:spacing w:after="160"/>
      </w:pPr>
      <w:r>
        <w:br w:type="page"/>
      </w:r>
    </w:p>
    <w:p w14:paraId="6817B0C5" w14:textId="0C0ABE0C" w:rsidR="006F0130" w:rsidRDefault="00C56F1E" w:rsidP="006F0130">
      <w:r>
        <w:lastRenderedPageBreak/>
        <w:t xml:space="preserve">sentido </w:t>
      </w:r>
      <w:r w:rsidR="00D34717">
        <w:t>del acto de comprender e</w:t>
      </w:r>
      <w:r>
        <w:t>ll</w:t>
      </w:r>
      <w:r w:rsidR="00D34717">
        <w:t xml:space="preserve">o. </w:t>
      </w:r>
      <w:r w:rsidR="006F0130">
        <w:t>Por eso se dijo: ‘</w:t>
      </w:r>
      <w:r w:rsidR="00D34717">
        <w:t>El entendimiento</w:t>
      </w:r>
      <w:r w:rsidR="006F0130">
        <w:t xml:space="preserve"> del discernimiento de las condiciones </w:t>
      </w:r>
      <w:r w:rsidR="009F66B9">
        <w:t xml:space="preserve">se traducirá en </w:t>
      </w:r>
      <w:r w:rsidR="006F0130">
        <w:t>el conocimiento de la relación causal de los estados’” (</w:t>
      </w:r>
      <w:proofErr w:type="spellStart"/>
      <w:r w:rsidR="006F0130" w:rsidRPr="009166E1">
        <w:rPr>
          <w:i/>
          <w:iCs/>
        </w:rPr>
        <w:t>Paṭis</w:t>
      </w:r>
      <w:proofErr w:type="spellEnd"/>
      <w:r w:rsidR="006F0130">
        <w:t xml:space="preserve"> I 52). Así, cuando el </w:t>
      </w:r>
      <w:r w:rsidR="009F66B9">
        <w:rPr>
          <w:i/>
          <w:iCs/>
        </w:rPr>
        <w:t>Bhagavā</w:t>
      </w:r>
      <w:r w:rsidR="006F0130">
        <w:t>, conociendo correctamente estos estados con el conocimiento de las relaciones de los estados, se desapasion</w:t>
      </w:r>
      <w:r>
        <w:t>ó</w:t>
      </w:r>
      <w:r w:rsidR="006F0130">
        <w:t xml:space="preserve"> </w:t>
      </w:r>
      <w:r>
        <w:t>de</w:t>
      </w:r>
      <w:r w:rsidR="006F0130">
        <w:t xml:space="preserve"> ellos, cuando su codicia se desvaneció, cuando fue liberado, entonces destruyó, destruyó por completo, abolió los ra</w:t>
      </w:r>
      <w:r w:rsidR="004F63F1">
        <w:t>dios</w:t>
      </w:r>
      <w:r w:rsidR="006F0130">
        <w:t xml:space="preserve"> de esta rueda del </w:t>
      </w:r>
      <w:r w:rsidR="009F66B9">
        <w:t>ciclo</w:t>
      </w:r>
      <w:r w:rsidR="006F0130">
        <w:t xml:space="preserve"> de renacimientos del tipo que acabamos de describir.</w:t>
      </w:r>
    </w:p>
    <w:p w14:paraId="6FE55300" w14:textId="3D4A3720" w:rsidR="006F0130" w:rsidRDefault="006F0130" w:rsidP="009A18B0">
      <w:pPr>
        <w:pStyle w:val="NormalConSangria"/>
      </w:pPr>
      <w:r>
        <w:t xml:space="preserve">Debido a que los rayos </w:t>
      </w:r>
      <w:r w:rsidR="009F66B9">
        <w:t>fueron</w:t>
      </w:r>
      <w:r>
        <w:t xml:space="preserve"> así destruidos, él también </w:t>
      </w:r>
      <w:r w:rsidR="003230FF">
        <w:t>es un ser</w:t>
      </w:r>
      <w:r w:rsidR="009919B2">
        <w:t xml:space="preserve"> </w:t>
      </w:r>
      <w:r>
        <w:t>consum</w:t>
      </w:r>
      <w:r w:rsidR="003230FF">
        <w:t>ado</w:t>
      </w:r>
      <w:r>
        <w:t xml:space="preserve"> (</w:t>
      </w:r>
      <w:proofErr w:type="spellStart"/>
      <w:r w:rsidR="00057BF4" w:rsidRPr="00057BF4">
        <w:rPr>
          <w:i/>
          <w:iCs/>
        </w:rPr>
        <w:t>arahant</w:t>
      </w:r>
      <w:r w:rsidRPr="009166E1">
        <w:rPr>
          <w:i/>
          <w:iCs/>
        </w:rPr>
        <w:t>a</w:t>
      </w:r>
      <w:proofErr w:type="spellEnd"/>
      <w:r>
        <w:t>). [201]</w:t>
      </w:r>
    </w:p>
    <w:p w14:paraId="4BAE143F" w14:textId="77777777" w:rsidR="006F0130" w:rsidRDefault="006F0130" w:rsidP="009A18B0">
      <w:pPr>
        <w:pStyle w:val="VersoIngls01Sangria"/>
      </w:pPr>
      <w:r>
        <w:t>Los radios (</w:t>
      </w:r>
      <w:r w:rsidRPr="009166E1">
        <w:rPr>
          <w:i/>
          <w:iCs/>
        </w:rPr>
        <w:t>ara</w:t>
      </w:r>
      <w:r>
        <w:t>) de la rueda del renacimiento han sido</w:t>
      </w:r>
    </w:p>
    <w:p w14:paraId="704B886E" w14:textId="4CC38854" w:rsidR="006F0130" w:rsidRDefault="006F0130" w:rsidP="009A18B0">
      <w:pPr>
        <w:pStyle w:val="VersoIngls01Sangria"/>
      </w:pPr>
      <w:r>
        <w:t>Destruido</w:t>
      </w:r>
      <w:r w:rsidR="004F63F1">
        <w:t>s</w:t>
      </w:r>
      <w:r>
        <w:t xml:space="preserve"> (</w:t>
      </w:r>
      <w:proofErr w:type="spellStart"/>
      <w:r w:rsidRPr="009166E1">
        <w:rPr>
          <w:i/>
          <w:iCs/>
        </w:rPr>
        <w:t>hata</w:t>
      </w:r>
      <w:proofErr w:type="spellEnd"/>
      <w:r>
        <w:t>) con el arma de la sabiduría afilada</w:t>
      </w:r>
    </w:p>
    <w:p w14:paraId="1CBDD21C" w14:textId="06C99DFC" w:rsidR="006F0130" w:rsidRDefault="006F0130" w:rsidP="009A18B0">
      <w:pPr>
        <w:pStyle w:val="VersoIngls01Sangria"/>
      </w:pPr>
      <w:r>
        <w:t xml:space="preserve">Por él, el </w:t>
      </w:r>
      <w:r w:rsidR="004F63F1">
        <w:t>Servidor</w:t>
      </w:r>
      <w:r>
        <w:t xml:space="preserve"> del Mundo,</w:t>
      </w:r>
    </w:p>
    <w:p w14:paraId="3932303F" w14:textId="025D2BEA" w:rsidR="006F0130" w:rsidRDefault="006F0130" w:rsidP="009A18B0">
      <w:pPr>
        <w:pStyle w:val="VersoIngls01Sangria"/>
        <w:spacing w:after="100"/>
        <w:ind w:left="1418"/>
      </w:pPr>
      <w:r>
        <w:t xml:space="preserve">Y </w:t>
      </w:r>
      <w:r w:rsidR="004F63F1">
        <w:t>es cómo es llamado</w:t>
      </w:r>
      <w:r>
        <w:t xml:space="preserve"> “</w:t>
      </w:r>
      <w:r w:rsidR="004F63F1">
        <w:t>consumado</w:t>
      </w:r>
      <w:r>
        <w:t>” (</w:t>
      </w:r>
      <w:proofErr w:type="spellStart"/>
      <w:r w:rsidR="00057BF4" w:rsidRPr="00057BF4">
        <w:rPr>
          <w:i/>
          <w:iCs/>
        </w:rPr>
        <w:t>arahant</w:t>
      </w:r>
      <w:r w:rsidRPr="009166E1">
        <w:rPr>
          <w:i/>
          <w:iCs/>
        </w:rPr>
        <w:t>a</w:t>
      </w:r>
      <w:proofErr w:type="spellEnd"/>
      <w:r>
        <w:t>).</w:t>
      </w:r>
    </w:p>
    <w:p w14:paraId="5571C3F1" w14:textId="1106C499" w:rsidR="006F0130" w:rsidRDefault="006F0130" w:rsidP="006F0130">
      <w:r>
        <w:t xml:space="preserve">23. </w:t>
      </w:r>
      <w:r w:rsidR="005D1BAD">
        <w:tab/>
      </w:r>
      <w:r>
        <w:t>(</w:t>
      </w:r>
      <w:proofErr w:type="spellStart"/>
      <w:r>
        <w:t>iv</w:t>
      </w:r>
      <w:proofErr w:type="spellEnd"/>
      <w:r>
        <w:t>) Y es digno (</w:t>
      </w:r>
      <w:proofErr w:type="spellStart"/>
      <w:r w:rsidR="00057BF4" w:rsidRPr="00057BF4">
        <w:rPr>
          <w:i/>
          <w:iCs/>
        </w:rPr>
        <w:t>Arahat</w:t>
      </w:r>
      <w:r w:rsidRPr="000E10C7">
        <w:rPr>
          <w:i/>
          <w:iCs/>
        </w:rPr>
        <w:t>i</w:t>
      </w:r>
      <w:proofErr w:type="spellEnd"/>
      <w:r>
        <w:t xml:space="preserve">) de </w:t>
      </w:r>
      <w:r w:rsidR="00BA1106">
        <w:t xml:space="preserve">recibir </w:t>
      </w:r>
      <w:r>
        <w:t>los requisitos</w:t>
      </w:r>
      <w:r w:rsidR="00063323">
        <w:t>,</w:t>
      </w:r>
      <w:r>
        <w:t xml:space="preserve"> </w:t>
      </w:r>
      <w:r w:rsidR="00AB5CA3">
        <w:t xml:space="preserve">como </w:t>
      </w:r>
      <w:r>
        <w:t>l</w:t>
      </w:r>
      <w:r w:rsidR="004F63F1">
        <w:t>o</w:t>
      </w:r>
      <w:r>
        <w:t xml:space="preserve">s </w:t>
      </w:r>
      <w:r w:rsidR="004F63F1">
        <w:t>ropajes</w:t>
      </w:r>
      <w:r>
        <w:t xml:space="preserve">, etc., y de la distinción de recibir </w:t>
      </w:r>
      <w:r w:rsidR="00AB5CA3">
        <w:t>reverencia</w:t>
      </w:r>
      <w:r w:rsidR="00063323">
        <w:t>,</w:t>
      </w:r>
      <w:r w:rsidR="00AB5CA3">
        <w:t xml:space="preserve"> </w:t>
      </w:r>
      <w:r w:rsidR="00063323">
        <w:t xml:space="preserve">ya </w:t>
      </w:r>
      <w:r>
        <w:t xml:space="preserve">que es él quien es </w:t>
      </w:r>
      <w:r w:rsidR="00AB5CA3">
        <w:t xml:space="preserve">el </w:t>
      </w:r>
      <w:r>
        <w:t xml:space="preserve">más digno de ofrendas. </w:t>
      </w:r>
      <w:r w:rsidR="004B38BE">
        <w:t xml:space="preserve">Ya </w:t>
      </w:r>
      <w:r>
        <w:t>que cuando ha</w:t>
      </w:r>
      <w:r w:rsidR="00AB5CA3">
        <w:t>ya</w:t>
      </w:r>
      <w:r>
        <w:t xml:space="preserve"> surgido un Perfecto, las deidades importantes y los seres humanos no rinden </w:t>
      </w:r>
      <w:r w:rsidR="00AB5CA3">
        <w:t xml:space="preserve">reverencia </w:t>
      </w:r>
      <w:r>
        <w:t xml:space="preserve">a nadie más; </w:t>
      </w:r>
      <w:r w:rsidR="00AB5CA3">
        <w:t xml:space="preserve">ya </w:t>
      </w:r>
      <w:r>
        <w:t xml:space="preserve">que </w:t>
      </w:r>
      <w:r w:rsidR="00AB5CA3">
        <w:t xml:space="preserve">hasta </w:t>
      </w:r>
      <w:r w:rsidR="00057BF4" w:rsidRPr="00057BF4">
        <w:rPr>
          <w:i/>
          <w:iCs/>
        </w:rPr>
        <w:t>Brahmā</w:t>
      </w:r>
      <w:r>
        <w:t xml:space="preserve"> </w:t>
      </w:r>
      <w:proofErr w:type="spellStart"/>
      <w:r w:rsidRPr="003769B4">
        <w:rPr>
          <w:i/>
          <w:iCs/>
        </w:rPr>
        <w:t>Sahampati</w:t>
      </w:r>
      <w:proofErr w:type="spellEnd"/>
      <w:r>
        <w:t xml:space="preserve"> rindió </w:t>
      </w:r>
      <w:r w:rsidR="00AB5CA3">
        <w:t xml:space="preserve">reverencia </w:t>
      </w:r>
      <w:r>
        <w:t xml:space="preserve">al Perfecto con una guirnalda </w:t>
      </w:r>
      <w:r w:rsidR="003D407B">
        <w:t>preciosa</w:t>
      </w:r>
      <w:r>
        <w:t xml:space="preserve"> tan grande como </w:t>
      </w:r>
      <w:proofErr w:type="spellStart"/>
      <w:r>
        <w:t>Sineru</w:t>
      </w:r>
      <w:proofErr w:type="spellEnd"/>
      <w:r>
        <w:t xml:space="preserve">, y otras deidades lo hicieron según sus medios, así como seres humanos </w:t>
      </w:r>
      <w:r w:rsidR="00F50DDA">
        <w:t xml:space="preserve">tales </w:t>
      </w:r>
      <w:r>
        <w:t xml:space="preserve">como el </w:t>
      </w:r>
      <w:r w:rsidR="00AB5CA3">
        <w:t xml:space="preserve">Rey </w:t>
      </w:r>
      <w:r>
        <w:t xml:space="preserve">Bimbisāra [de Magadha] y el </w:t>
      </w:r>
      <w:r w:rsidR="00AB5CA3">
        <w:t xml:space="preserve">Rey </w:t>
      </w:r>
      <w:r>
        <w:t xml:space="preserve">de </w:t>
      </w:r>
      <w:proofErr w:type="spellStart"/>
      <w:r>
        <w:t>Kosala</w:t>
      </w:r>
      <w:proofErr w:type="spellEnd"/>
      <w:r>
        <w:t xml:space="preserve">. Y después de que el </w:t>
      </w:r>
      <w:r w:rsidR="00F50DDA" w:rsidRPr="00F50DDA">
        <w:rPr>
          <w:i/>
          <w:iCs/>
        </w:rPr>
        <w:t>Bhagavā</w:t>
      </w:r>
      <w:r>
        <w:t xml:space="preserve"> finalmente </w:t>
      </w:r>
      <w:r w:rsidR="00F50DDA">
        <w:t>consumara el</w:t>
      </w:r>
      <w:r>
        <w:t xml:space="preserve"> </w:t>
      </w:r>
      <w:r w:rsidRPr="00F50DDA">
        <w:rPr>
          <w:i/>
          <w:iCs/>
        </w:rPr>
        <w:t>Nibbāna</w:t>
      </w:r>
      <w:r>
        <w:t xml:space="preserve">, el </w:t>
      </w:r>
      <w:r w:rsidR="00F50DDA">
        <w:t xml:space="preserve">Rey </w:t>
      </w:r>
      <w:proofErr w:type="spellStart"/>
      <w:r>
        <w:t>Asoka</w:t>
      </w:r>
      <w:proofErr w:type="spellEnd"/>
      <w:r>
        <w:t xml:space="preserve"> renunció a la riqueza por la cantidad de noventa y seis millones </w:t>
      </w:r>
      <w:r w:rsidR="008971BC">
        <w:t xml:space="preserve">de </w:t>
      </w:r>
      <w:proofErr w:type="spellStart"/>
      <w:r w:rsidR="008971BC">
        <w:t>monedas</w:t>
      </w:r>
      <w:r>
        <w:t>p</w:t>
      </w:r>
      <w:r w:rsidR="005D4B89">
        <w:t>a</w:t>
      </w:r>
      <w:r>
        <w:t>r</w:t>
      </w:r>
      <w:r w:rsidR="005D4B89">
        <w:t>a</w:t>
      </w:r>
      <w:proofErr w:type="spellEnd"/>
      <w:r>
        <w:t xml:space="preserve"> su </w:t>
      </w:r>
      <w:r w:rsidR="005D4B89">
        <w:t xml:space="preserve">propio </w:t>
      </w:r>
      <w:r>
        <w:t xml:space="preserve">bien y fundó </w:t>
      </w:r>
      <w:r w:rsidR="005D4B89">
        <w:t xml:space="preserve">84,000 </w:t>
      </w:r>
      <w:r>
        <w:t xml:space="preserve">mil monasterios en todo </w:t>
      </w:r>
      <w:proofErr w:type="spellStart"/>
      <w:r>
        <w:t>Jambudīpa</w:t>
      </w:r>
      <w:proofErr w:type="spellEnd"/>
      <w:r>
        <w:t xml:space="preserve"> (India). Y así, </w:t>
      </w:r>
      <w:r w:rsidR="005D4B89">
        <w:t xml:space="preserve">considerando a </w:t>
      </w:r>
      <w:r w:rsidR="00BB7157">
        <w:t>toda esta gente devota</w:t>
      </w:r>
      <w:r>
        <w:t>, ¿qué necesidad de hablar de otros? Debido al val</w:t>
      </w:r>
      <w:r w:rsidR="000B0000">
        <w:t>or</w:t>
      </w:r>
      <w:r>
        <w:t xml:space="preserve"> de los requisitos, también </w:t>
      </w:r>
      <w:r w:rsidR="001D1FAB">
        <w:t>fue un hombre consumado</w:t>
      </w:r>
      <w:r>
        <w:t xml:space="preserve"> (</w:t>
      </w:r>
      <w:proofErr w:type="spellStart"/>
      <w:r w:rsidR="00057BF4" w:rsidRPr="00057BF4">
        <w:rPr>
          <w:i/>
          <w:iCs/>
        </w:rPr>
        <w:t>arahant</w:t>
      </w:r>
      <w:r w:rsidRPr="000E10C7">
        <w:rPr>
          <w:i/>
          <w:iCs/>
        </w:rPr>
        <w:t>a</w:t>
      </w:r>
      <w:proofErr w:type="spellEnd"/>
      <w:r>
        <w:t>).</w:t>
      </w:r>
    </w:p>
    <w:p w14:paraId="0876D357" w14:textId="5561CF8C" w:rsidR="006F0130" w:rsidRDefault="001D1FAB" w:rsidP="005D1BAD">
      <w:pPr>
        <w:pStyle w:val="VersoIngls01Sangria"/>
      </w:pPr>
      <w:r>
        <w:t xml:space="preserve">Es así </w:t>
      </w:r>
      <w:proofErr w:type="gramStart"/>
      <w:r>
        <w:t>que</w:t>
      </w:r>
      <w:proofErr w:type="gramEnd"/>
      <w:r>
        <w:t xml:space="preserve"> É</w:t>
      </w:r>
      <w:r w:rsidR="006F0130">
        <w:t xml:space="preserve">l es digno, el </w:t>
      </w:r>
      <w:r>
        <w:t xml:space="preserve">Servidor </w:t>
      </w:r>
      <w:r w:rsidR="006F0130">
        <w:t>del Mundo,</w:t>
      </w:r>
    </w:p>
    <w:p w14:paraId="51965B77" w14:textId="13BB7901" w:rsidR="006F0130" w:rsidRDefault="006F0130" w:rsidP="005D1BAD">
      <w:pPr>
        <w:pStyle w:val="VersoIngls01Sangria"/>
      </w:pPr>
      <w:r>
        <w:t xml:space="preserve">de </w:t>
      </w:r>
      <w:r w:rsidR="009B28F7">
        <w:t xml:space="preserve">reverencia rendida a través de </w:t>
      </w:r>
      <w:r w:rsidR="007F05F9">
        <w:t xml:space="preserve">sus </w:t>
      </w:r>
      <w:r>
        <w:t>requisitos; la palabra</w:t>
      </w:r>
    </w:p>
    <w:p w14:paraId="103FBA2D" w14:textId="0AF95E42" w:rsidR="006F0130" w:rsidRDefault="006F0130" w:rsidP="005D1BAD">
      <w:pPr>
        <w:pStyle w:val="VersoIngls01Sangria"/>
      </w:pPr>
      <w:r>
        <w:t>“</w:t>
      </w:r>
      <w:r w:rsidR="007F05F9">
        <w:t>Consumado</w:t>
      </w:r>
      <w:r>
        <w:t>” (</w:t>
      </w:r>
      <w:proofErr w:type="spellStart"/>
      <w:r w:rsidR="00057BF4" w:rsidRPr="00057BF4">
        <w:rPr>
          <w:i/>
          <w:iCs/>
        </w:rPr>
        <w:t>arahant</w:t>
      </w:r>
      <w:r w:rsidRPr="000E10C7">
        <w:rPr>
          <w:i/>
          <w:iCs/>
        </w:rPr>
        <w:t>a</w:t>
      </w:r>
      <w:proofErr w:type="spellEnd"/>
      <w:r>
        <w:t>) tiene este significado en el mundo:</w:t>
      </w:r>
    </w:p>
    <w:p w14:paraId="77D610EF" w14:textId="69AD6900" w:rsidR="006F0130" w:rsidRDefault="006F0130" w:rsidP="005D1BAD">
      <w:pPr>
        <w:pStyle w:val="VersoIngls01Sangria"/>
        <w:spacing w:after="100"/>
        <w:ind w:left="1418"/>
      </w:pPr>
      <w:r>
        <w:t>De ahí que e</w:t>
      </w:r>
      <w:r w:rsidR="007F05F9">
        <w:t>ste</w:t>
      </w:r>
      <w:r>
        <w:t xml:space="preserve"> </w:t>
      </w:r>
      <w:r w:rsidR="00260D94">
        <w:t>Vencedor</w:t>
      </w:r>
      <w:r>
        <w:t xml:space="preserve"> sea digno de esa palabra.</w:t>
      </w:r>
    </w:p>
    <w:p w14:paraId="6A5490B1" w14:textId="47577A3A" w:rsidR="006F0130" w:rsidRDefault="006F0130" w:rsidP="006F0130">
      <w:r>
        <w:t>24.</w:t>
      </w:r>
      <w:r w:rsidR="002262F8">
        <w:tab/>
      </w:r>
      <w:r>
        <w:t xml:space="preserve">(v) Y no actúa como </w:t>
      </w:r>
      <w:r w:rsidR="00260D94">
        <w:t xml:space="preserve">aquellos necios </w:t>
      </w:r>
      <w:r>
        <w:t xml:space="preserve">del mundo que se jactan de su </w:t>
      </w:r>
      <w:r w:rsidR="0041156B">
        <w:t>lucidez,</w:t>
      </w:r>
      <w:r w:rsidR="00260D94">
        <w:t xml:space="preserve"> pero </w:t>
      </w:r>
      <w:proofErr w:type="spellStart"/>
      <w:r w:rsidR="00260D94">
        <w:t>aún</w:t>
      </w:r>
      <w:proofErr w:type="spellEnd"/>
      <w:r w:rsidR="00260D94">
        <w:t xml:space="preserve"> así</w:t>
      </w:r>
      <w:r>
        <w:t xml:space="preserve">, </w:t>
      </w:r>
      <w:r w:rsidR="00EE5EE2">
        <w:t xml:space="preserve">y </w:t>
      </w:r>
      <w:r w:rsidR="00260D94">
        <w:t>no obstante</w:t>
      </w:r>
      <w:r>
        <w:t xml:space="preserve">, </w:t>
      </w:r>
      <w:r w:rsidR="00260D94">
        <w:t xml:space="preserve">obran con </w:t>
      </w:r>
      <w:r>
        <w:t xml:space="preserve">el mal, </w:t>
      </w:r>
      <w:r w:rsidR="0041156B">
        <w:t xml:space="preserve">haciéndolo </w:t>
      </w:r>
      <w:r>
        <w:t>en secreto por temor a obtener mala reputación. Debido a la ausencia de malas acciones secretas (</w:t>
      </w:r>
      <w:proofErr w:type="spellStart"/>
      <w:r w:rsidRPr="000E10C7">
        <w:rPr>
          <w:i/>
          <w:iCs/>
        </w:rPr>
        <w:t>rahābhāva</w:t>
      </w:r>
      <w:proofErr w:type="spellEnd"/>
      <w:r>
        <w:t xml:space="preserve">), él también es </w:t>
      </w:r>
      <w:r w:rsidR="0041156B">
        <w:t xml:space="preserve">un hombre </w:t>
      </w:r>
      <w:r>
        <w:t>consumado (</w:t>
      </w:r>
      <w:proofErr w:type="spellStart"/>
      <w:r w:rsidR="00057BF4" w:rsidRPr="00057BF4">
        <w:rPr>
          <w:i/>
          <w:iCs/>
        </w:rPr>
        <w:t>arahant</w:t>
      </w:r>
      <w:r w:rsidRPr="000E10C7">
        <w:rPr>
          <w:i/>
          <w:iCs/>
        </w:rPr>
        <w:t>a</w:t>
      </w:r>
      <w:proofErr w:type="spellEnd"/>
      <w:r>
        <w:t>).</w:t>
      </w:r>
    </w:p>
    <w:p w14:paraId="493FB77C" w14:textId="034688CA" w:rsidR="006F0130" w:rsidRDefault="006F0130" w:rsidP="00EC71FF">
      <w:pPr>
        <w:pStyle w:val="VersoIngls01Sangria"/>
      </w:pPr>
      <w:r>
        <w:t xml:space="preserve">Ninguna mala acción secreta </w:t>
      </w:r>
      <w:r w:rsidR="00DA0FC3">
        <w:t xml:space="preserve">se podría </w:t>
      </w:r>
      <w:r>
        <w:t>reclamar</w:t>
      </w:r>
      <w:r w:rsidR="00B80EB9">
        <w:t xml:space="preserve"> respecto a</w:t>
      </w:r>
    </w:p>
    <w:p w14:paraId="2C6EDA14" w14:textId="77777777" w:rsidR="006F0130" w:rsidRDefault="006F0130" w:rsidP="00EC71FF">
      <w:pPr>
        <w:pStyle w:val="VersoIngls01Sangria"/>
      </w:pPr>
      <w:r>
        <w:t>Un autor tan augusto; el nombre</w:t>
      </w:r>
    </w:p>
    <w:p w14:paraId="33B0F66D" w14:textId="648A6BBE" w:rsidR="006F0130" w:rsidRDefault="006F0130" w:rsidP="00EC71FF">
      <w:pPr>
        <w:pStyle w:val="VersoIngls01Sangria"/>
      </w:pPr>
      <w:r>
        <w:t>"</w:t>
      </w:r>
      <w:r w:rsidR="00DA0FC3">
        <w:t>Consumado</w:t>
      </w:r>
      <w:r>
        <w:t>" (</w:t>
      </w:r>
      <w:proofErr w:type="spellStart"/>
      <w:r w:rsidR="00057BF4" w:rsidRPr="00057BF4">
        <w:rPr>
          <w:i/>
          <w:iCs/>
        </w:rPr>
        <w:t>arahant</w:t>
      </w:r>
      <w:r w:rsidRPr="000E10C7">
        <w:rPr>
          <w:i/>
          <w:iCs/>
        </w:rPr>
        <w:t>a</w:t>
      </w:r>
      <w:proofErr w:type="spellEnd"/>
      <w:r>
        <w:t xml:space="preserve">) es </w:t>
      </w:r>
      <w:r w:rsidR="005259B8">
        <w:t xml:space="preserve">lo que </w:t>
      </w:r>
      <w:r w:rsidR="002639A3">
        <w:t xml:space="preserve">él </w:t>
      </w:r>
      <w:r>
        <w:t>merec</w:t>
      </w:r>
      <w:r w:rsidR="005259B8">
        <w:t>e</w:t>
      </w:r>
    </w:p>
    <w:p w14:paraId="26EA802D" w14:textId="2F2AA089" w:rsidR="006F0130" w:rsidRDefault="006F0130" w:rsidP="00EC71FF">
      <w:pPr>
        <w:pStyle w:val="VersoIngls01Sangria"/>
        <w:spacing w:after="100"/>
        <w:ind w:left="1418"/>
      </w:pPr>
      <w:r>
        <w:t xml:space="preserve">Por </w:t>
      </w:r>
      <w:r w:rsidR="00B80EB9">
        <w:t xml:space="preserve">su ausencia </w:t>
      </w:r>
      <w:r>
        <w:t>de tal</w:t>
      </w:r>
      <w:r w:rsidR="005259B8">
        <w:t>es</w:t>
      </w:r>
      <w:r>
        <w:t xml:space="preserve"> secreto</w:t>
      </w:r>
      <w:r w:rsidR="005259B8">
        <w:t>s</w:t>
      </w:r>
      <w:r>
        <w:t xml:space="preserve"> (</w:t>
      </w:r>
      <w:proofErr w:type="spellStart"/>
      <w:r w:rsidRPr="000E10C7">
        <w:rPr>
          <w:i/>
          <w:iCs/>
        </w:rPr>
        <w:t>rahābhāva</w:t>
      </w:r>
      <w:proofErr w:type="spellEnd"/>
      <w:r>
        <w:t>).</w:t>
      </w:r>
    </w:p>
    <w:p w14:paraId="0D440A41" w14:textId="7087FFF4" w:rsidR="006F0130" w:rsidRDefault="006F0130" w:rsidP="006F0130">
      <w:r>
        <w:t xml:space="preserve">25. </w:t>
      </w:r>
      <w:r w:rsidR="002262F8">
        <w:tab/>
      </w:r>
      <w:r>
        <w:t>Así que en todos los sentidos:</w:t>
      </w:r>
    </w:p>
    <w:p w14:paraId="064A132B" w14:textId="20D45D53" w:rsidR="006F0130" w:rsidRDefault="006F0130" w:rsidP="00EC71FF">
      <w:pPr>
        <w:pStyle w:val="VersoIngls01Sangria"/>
      </w:pPr>
      <w:r>
        <w:t xml:space="preserve">El Sabio de </w:t>
      </w:r>
      <w:r w:rsidR="004D4303">
        <w:t>pureza distante</w:t>
      </w:r>
      <w:r>
        <w:t>,</w:t>
      </w:r>
    </w:p>
    <w:p w14:paraId="62CE0AE5" w14:textId="1F3FCAC8" w:rsidR="006F0130" w:rsidRDefault="00334348" w:rsidP="00EC71FF">
      <w:pPr>
        <w:pStyle w:val="VersoIngls01Sangria"/>
      </w:pPr>
      <w:r>
        <w:t xml:space="preserve">Dispersó </w:t>
      </w:r>
      <w:r w:rsidR="00C26F7F">
        <w:t xml:space="preserve">a sus </w:t>
      </w:r>
      <w:r w:rsidR="006F0130">
        <w:t>enemigos</w:t>
      </w:r>
      <w:r w:rsidR="00C26F7F">
        <w:t xml:space="preserve"> impuros </w:t>
      </w:r>
      <w:r w:rsidR="004F3BC8">
        <w:t>y vencidos</w:t>
      </w:r>
      <w:r w:rsidR="006F0130">
        <w:t>,</w:t>
      </w:r>
    </w:p>
    <w:p w14:paraId="1584EED3" w14:textId="69D06765" w:rsidR="006F0130" w:rsidRDefault="008D788B" w:rsidP="00EC71FF">
      <w:pPr>
        <w:pStyle w:val="VersoIngls01Sangria"/>
      </w:pPr>
      <w:r>
        <w:t>Y l</w:t>
      </w:r>
      <w:r w:rsidR="006F0130">
        <w:t>os ra</w:t>
      </w:r>
      <w:r w:rsidR="004F3BC8">
        <w:t>dio</w:t>
      </w:r>
      <w:r w:rsidR="006F0130">
        <w:t xml:space="preserve">s de la rueda del renacimiento </w:t>
      </w:r>
      <w:r w:rsidR="00914658">
        <w:t>fueron</w:t>
      </w:r>
      <w:r w:rsidR="004F3BC8">
        <w:t xml:space="preserve"> </w:t>
      </w:r>
      <w:r w:rsidR="006F0130">
        <w:t>destruidos,</w:t>
      </w:r>
    </w:p>
    <w:p w14:paraId="27CAE341" w14:textId="236B5FC6" w:rsidR="006F0130" w:rsidRDefault="006F0130" w:rsidP="00DC2094">
      <w:pPr>
        <w:pStyle w:val="VersoIngls01Sangria"/>
      </w:pPr>
      <w:r>
        <w:t xml:space="preserve">Digno de los requisitos empleados, </w:t>
      </w:r>
    </w:p>
    <w:p w14:paraId="4F064CDD" w14:textId="151E1DE8" w:rsidR="005D5795" w:rsidRDefault="008D788B" w:rsidP="00EC71FF">
      <w:pPr>
        <w:pStyle w:val="VersoIngls01Sangria"/>
      </w:pPr>
      <w:r>
        <w:t>Mal</w:t>
      </w:r>
      <w:r w:rsidR="00334348">
        <w:t>os</w:t>
      </w:r>
      <w:r>
        <w:t xml:space="preserve"> secreto</w:t>
      </w:r>
      <w:r w:rsidR="00334348">
        <w:t>s</w:t>
      </w:r>
      <w:r>
        <w:t xml:space="preserve"> él evita:</w:t>
      </w:r>
    </w:p>
    <w:p w14:paraId="2D7CFCD8" w14:textId="1747A195" w:rsidR="006F0130" w:rsidRDefault="006F0130" w:rsidP="00EC71FF">
      <w:pPr>
        <w:pStyle w:val="VersoIngls01Sangria"/>
      </w:pPr>
      <w:r>
        <w:t xml:space="preserve">Por estas cinco razones </w:t>
      </w:r>
      <w:r w:rsidR="00622CF8">
        <w:t xml:space="preserve">se </w:t>
      </w:r>
      <w:r>
        <w:t>puede afirmar</w:t>
      </w:r>
    </w:p>
    <w:p w14:paraId="2EFCC835" w14:textId="16CD694F" w:rsidR="006F0130" w:rsidRDefault="006F0130" w:rsidP="00EC71FF">
      <w:pPr>
        <w:pStyle w:val="VersoIngls01Sangria"/>
      </w:pPr>
      <w:r>
        <w:t>Esta palabra “</w:t>
      </w:r>
      <w:r w:rsidR="005D5795">
        <w:t>Consumado</w:t>
      </w:r>
      <w:r>
        <w:t xml:space="preserve">” </w:t>
      </w:r>
      <w:r w:rsidR="00622CF8">
        <w:t>como</w:t>
      </w:r>
      <w:r>
        <w:t xml:space="preserve"> su nombre.</w:t>
      </w:r>
    </w:p>
    <w:p w14:paraId="4B4884D8" w14:textId="5485408B" w:rsidR="00813679" w:rsidRDefault="00813679" w:rsidP="00813679">
      <w:pPr>
        <w:pStyle w:val="Piedepgina"/>
        <w:rPr>
          <w:u w:val="single"/>
        </w:rPr>
      </w:pPr>
      <w:r>
        <w:rPr>
          <w:u w:val="single"/>
        </w:rPr>
        <w:t xml:space="preserve">                                                                                                                                                                          .</w:t>
      </w:r>
    </w:p>
    <w:p w14:paraId="3321554C" w14:textId="03412A02" w:rsidR="00813679" w:rsidRDefault="006F0130" w:rsidP="000E10C7">
      <w:pPr>
        <w:pStyle w:val="PiedepginaLegal"/>
      </w:pPr>
      <w:r>
        <w:t xml:space="preserve">5. </w:t>
      </w:r>
      <w:r w:rsidR="00813679">
        <w:tab/>
      </w:r>
      <w:r w:rsidR="001151F1">
        <w:t>Le</w:t>
      </w:r>
      <w:r w:rsidR="006435F4">
        <w:t>er</w:t>
      </w:r>
      <w:r w:rsidR="001151F1">
        <w:t xml:space="preserve"> </w:t>
      </w:r>
      <w:r>
        <w:t>“</w:t>
      </w:r>
      <w:proofErr w:type="spellStart"/>
      <w:r w:rsidRPr="000E10C7">
        <w:rPr>
          <w:i/>
          <w:iCs/>
        </w:rPr>
        <w:t>taṃ</w:t>
      </w:r>
      <w:proofErr w:type="spellEnd"/>
      <w:r w:rsidRPr="000E10C7">
        <w:rPr>
          <w:i/>
          <w:iCs/>
        </w:rPr>
        <w:t xml:space="preserve"> </w:t>
      </w:r>
      <w:proofErr w:type="spellStart"/>
      <w:r w:rsidRPr="000E10C7">
        <w:rPr>
          <w:i/>
          <w:iCs/>
        </w:rPr>
        <w:t>ñātaṭṭthena</w:t>
      </w:r>
      <w:proofErr w:type="spellEnd"/>
      <w:r w:rsidRPr="000E10C7">
        <w:rPr>
          <w:i/>
          <w:iCs/>
        </w:rPr>
        <w:t xml:space="preserve"> </w:t>
      </w:r>
      <w:proofErr w:type="spellStart"/>
      <w:r w:rsidRPr="000E10C7">
        <w:rPr>
          <w:i/>
          <w:iCs/>
        </w:rPr>
        <w:t>ñāṇaṃ</w:t>
      </w:r>
      <w:proofErr w:type="spellEnd"/>
      <w:r w:rsidRPr="000E10C7">
        <w:rPr>
          <w:i/>
          <w:iCs/>
        </w:rPr>
        <w:t>”</w:t>
      </w:r>
      <w:r>
        <w:t xml:space="preserve"> </w:t>
      </w:r>
      <w:r w:rsidR="006435F4">
        <w:t>en el</w:t>
      </w:r>
      <w:r>
        <w:t xml:space="preserve"> </w:t>
      </w:r>
      <w:proofErr w:type="spellStart"/>
      <w:r>
        <w:t>Vism-mhṭ</w:t>
      </w:r>
      <w:proofErr w:type="spellEnd"/>
      <w:r>
        <w:t>.</w:t>
      </w:r>
      <w:r w:rsidR="00813679">
        <w:br w:type="page"/>
      </w:r>
    </w:p>
    <w:p w14:paraId="66DC0277" w14:textId="77777777" w:rsidR="006F0130" w:rsidRDefault="006F0130" w:rsidP="00813679">
      <w:pPr>
        <w:pStyle w:val="PiedepginaLegal"/>
      </w:pPr>
    </w:p>
    <w:p w14:paraId="797596D3" w14:textId="00D359FA" w:rsidR="002262F8" w:rsidRDefault="002262F8" w:rsidP="006B7078">
      <w:pPr>
        <w:pStyle w:val="Ttulo4"/>
        <w:ind w:left="708"/>
      </w:pPr>
      <w:r>
        <w:t>[Totalmente Iluminado]</w:t>
      </w:r>
    </w:p>
    <w:p w14:paraId="2F28052E" w14:textId="7DD07E97" w:rsidR="002262F8" w:rsidRDefault="002262F8" w:rsidP="002262F8">
      <w:r>
        <w:t xml:space="preserve">26. </w:t>
      </w:r>
      <w:r>
        <w:tab/>
        <w:t xml:space="preserve">Está completamente </w:t>
      </w:r>
      <w:r w:rsidR="001151F1">
        <w:t xml:space="preserve">Iluminado </w:t>
      </w:r>
      <w:r>
        <w:t>(</w:t>
      </w:r>
      <w:proofErr w:type="spellStart"/>
      <w:r w:rsidR="00B155A2" w:rsidRPr="00057BF4">
        <w:rPr>
          <w:i/>
          <w:iCs/>
        </w:rPr>
        <w:t>sammā</w:t>
      </w:r>
      <w:r w:rsidR="00B155A2" w:rsidRPr="00A73C57">
        <w:rPr>
          <w:i/>
          <w:iCs/>
        </w:rPr>
        <w:t>sam</w:t>
      </w:r>
      <w:r w:rsidR="00B155A2" w:rsidRPr="00057BF4">
        <w:rPr>
          <w:i/>
          <w:iCs/>
        </w:rPr>
        <w:t>buddha</w:t>
      </w:r>
      <w:proofErr w:type="spellEnd"/>
      <w:r>
        <w:t>) porque ha descubierto (</w:t>
      </w:r>
      <w:proofErr w:type="spellStart"/>
      <w:r w:rsidR="001F46B4" w:rsidRPr="00057BF4">
        <w:rPr>
          <w:i/>
          <w:iCs/>
        </w:rPr>
        <w:t>buddha</w:t>
      </w:r>
      <w:proofErr w:type="spellEnd"/>
      <w:r>
        <w:t>) todas las cosas correctamente (</w:t>
      </w:r>
      <w:proofErr w:type="spellStart"/>
      <w:r w:rsidR="00057BF4" w:rsidRPr="00057BF4">
        <w:rPr>
          <w:i/>
          <w:iCs/>
        </w:rPr>
        <w:t>sammā</w:t>
      </w:r>
      <w:proofErr w:type="spellEnd"/>
      <w:r>
        <w:t>) y por sí mismo (</w:t>
      </w:r>
      <w:proofErr w:type="spellStart"/>
      <w:r w:rsidRPr="00A73C57">
        <w:rPr>
          <w:i/>
          <w:iCs/>
        </w:rPr>
        <w:t>s</w:t>
      </w:r>
      <w:r w:rsidR="00A73C57" w:rsidRPr="00A73C57">
        <w:rPr>
          <w:i/>
          <w:iCs/>
        </w:rPr>
        <w:t>ā</w:t>
      </w:r>
      <w:r w:rsidRPr="00A73C57">
        <w:rPr>
          <w:i/>
          <w:iCs/>
        </w:rPr>
        <w:t>ma</w:t>
      </w:r>
      <w:r w:rsidR="00A73C57" w:rsidRPr="00A73C57">
        <w:rPr>
          <w:i/>
          <w:iCs/>
        </w:rPr>
        <w:t>ṃ</w:t>
      </w:r>
      <w:proofErr w:type="spellEnd"/>
      <w:r>
        <w:t>).</w:t>
      </w:r>
    </w:p>
    <w:p w14:paraId="2D5B782C" w14:textId="75F77C50" w:rsidR="002262F8" w:rsidRDefault="002262F8" w:rsidP="002262F8">
      <w:pPr>
        <w:pStyle w:val="NormalConSangria"/>
      </w:pPr>
      <w:r>
        <w:t>De hecho, todas las cosas fueron descubiertas por él correctamente</w:t>
      </w:r>
      <w:r w:rsidR="00273002">
        <w:t xml:space="preserve"> y </w:t>
      </w:r>
      <w:r>
        <w:t xml:space="preserve">por sí mismo en el sentido de que </w:t>
      </w:r>
      <w:r w:rsidR="0091593A">
        <w:t xml:space="preserve">las </w:t>
      </w:r>
      <w:r>
        <w:t xml:space="preserve">descubrió, cosas </w:t>
      </w:r>
      <w:r w:rsidR="001200E0">
        <w:t xml:space="preserve">que hay </w:t>
      </w:r>
      <w:r w:rsidR="00317EFF">
        <w:t>por</w:t>
      </w:r>
      <w:r w:rsidR="001200E0">
        <w:t xml:space="preserve"> conocer</w:t>
      </w:r>
      <w:r>
        <w:t xml:space="preserve"> directamente, que deben ser conocidas </w:t>
      </w:r>
      <w:r w:rsidR="0091593A">
        <w:t>cor</w:t>
      </w:r>
      <w:r>
        <w:t xml:space="preserve">rectamente (es decir, </w:t>
      </w:r>
      <w:r w:rsidR="00951EAA">
        <w:t xml:space="preserve">el conocimiento </w:t>
      </w:r>
      <w:r w:rsidR="005147B6">
        <w:t>sobre</w:t>
      </w:r>
      <w:r w:rsidR="001102C1">
        <w:t xml:space="preserve"> </w:t>
      </w:r>
      <w:r>
        <w:t xml:space="preserve">las cuatro </w:t>
      </w:r>
      <w:r w:rsidR="00100A6A">
        <w:t xml:space="preserve">nobles </w:t>
      </w:r>
      <w:r>
        <w:t xml:space="preserve">verdades), cosas </w:t>
      </w:r>
      <w:r w:rsidR="00F053CD">
        <w:t>a</w:t>
      </w:r>
      <w:r>
        <w:t xml:space="preserve"> ser </w:t>
      </w:r>
      <w:r w:rsidR="00100A6A">
        <w:t xml:space="preserve">plenamente </w:t>
      </w:r>
      <w:r>
        <w:t>entendidas</w:t>
      </w:r>
      <w:r w:rsidR="00951EAA">
        <w:t>,</w:t>
      </w:r>
      <w:r>
        <w:t xml:space="preserve"> que deben ser plenamente </w:t>
      </w:r>
      <w:r w:rsidR="00F053CD">
        <w:t>entendidas</w:t>
      </w:r>
      <w:r>
        <w:t xml:space="preserve"> (es decir, </w:t>
      </w:r>
      <w:r w:rsidR="00100A6A">
        <w:t xml:space="preserve">la </w:t>
      </w:r>
      <w:r>
        <w:t xml:space="preserve">penetración </w:t>
      </w:r>
      <w:r w:rsidR="00906702">
        <w:t xml:space="preserve">sobre </w:t>
      </w:r>
      <w:r>
        <w:t>el sufrimiento), cosas que hay que abandonar</w:t>
      </w:r>
      <w:r w:rsidR="00951EAA">
        <w:t>,</w:t>
      </w:r>
      <w:r>
        <w:t xml:space="preserve"> que </w:t>
      </w:r>
      <w:r w:rsidR="00F44FD5">
        <w:t>deben ser</w:t>
      </w:r>
      <w:r>
        <w:t xml:space="preserve"> abandona</w:t>
      </w:r>
      <w:r w:rsidR="00F44FD5">
        <w:t>das</w:t>
      </w:r>
      <w:r>
        <w:t xml:space="preserve"> (es decir, </w:t>
      </w:r>
      <w:r w:rsidR="00EC471F">
        <w:t xml:space="preserve">sobre la </w:t>
      </w:r>
      <w:r>
        <w:t xml:space="preserve">penetración </w:t>
      </w:r>
      <w:r w:rsidR="00C014DC">
        <w:t xml:space="preserve">en </w:t>
      </w:r>
      <w:r>
        <w:t xml:space="preserve">el origen del sufrimiento), cosas que hay que </w:t>
      </w:r>
      <w:r w:rsidR="00527E47">
        <w:t>consumar</w:t>
      </w:r>
      <w:r w:rsidR="00951EAA">
        <w:t>,</w:t>
      </w:r>
      <w:r>
        <w:t xml:space="preserve"> que </w:t>
      </w:r>
      <w:r w:rsidR="00527E47">
        <w:t xml:space="preserve">deben ser consumadas </w:t>
      </w:r>
      <w:r>
        <w:t xml:space="preserve">(que es decir, penetración </w:t>
      </w:r>
      <w:r w:rsidR="00527E47">
        <w:t xml:space="preserve">sobre </w:t>
      </w:r>
      <w:r>
        <w:t xml:space="preserve">la cesación del sufrimiento), y cosas </w:t>
      </w:r>
      <w:r w:rsidR="00951EAA">
        <w:t xml:space="preserve">que hay </w:t>
      </w:r>
      <w:r w:rsidR="005E134A">
        <w:t>que</w:t>
      </w:r>
      <w:r>
        <w:t xml:space="preserve"> desarrollar </w:t>
      </w:r>
      <w:r w:rsidR="00E4666C">
        <w:t>y</w:t>
      </w:r>
      <w:r w:rsidR="00951EAA">
        <w:t xml:space="preserve"> </w:t>
      </w:r>
      <w:r>
        <w:t>que deben</w:t>
      </w:r>
      <w:r w:rsidR="00430D31">
        <w:t xml:space="preserve"> ser </w:t>
      </w:r>
      <w:r>
        <w:t>desarrolla</w:t>
      </w:r>
      <w:r w:rsidR="00430D31">
        <w:t>das</w:t>
      </w:r>
      <w:r>
        <w:t xml:space="preserve"> (es decir, </w:t>
      </w:r>
      <w:r w:rsidR="00430D31">
        <w:t xml:space="preserve">la </w:t>
      </w:r>
      <w:r>
        <w:t xml:space="preserve">penetración </w:t>
      </w:r>
      <w:r w:rsidR="00430D31">
        <w:t xml:space="preserve">sobre el </w:t>
      </w:r>
      <w:r w:rsidR="00E4666C">
        <w:t>noble sendero</w:t>
      </w:r>
      <w:r>
        <w:t>). Por eso se dice:</w:t>
      </w:r>
    </w:p>
    <w:p w14:paraId="291E0E3F" w14:textId="5BD58B34" w:rsidR="002262F8" w:rsidRDefault="002262F8" w:rsidP="002262F8">
      <w:pPr>
        <w:pStyle w:val="VersoIngls01Sangria"/>
      </w:pPr>
      <w:r>
        <w:t xml:space="preserve">Lo que debe ser conocido directamente </w:t>
      </w:r>
      <w:r w:rsidR="00430D31">
        <w:t>ha sido</w:t>
      </w:r>
      <w:r>
        <w:t xml:space="preserve"> conocido directamente,</w:t>
      </w:r>
    </w:p>
    <w:p w14:paraId="01154DB3" w14:textId="7878D8E8" w:rsidR="002262F8" w:rsidRDefault="002262F8" w:rsidP="002262F8">
      <w:pPr>
        <w:pStyle w:val="VersoIngls01Sangria"/>
      </w:pPr>
      <w:r>
        <w:t xml:space="preserve">Lo que </w:t>
      </w:r>
      <w:r w:rsidR="00BC28DA">
        <w:t xml:space="preserve">debe ser </w:t>
      </w:r>
      <w:r>
        <w:t>desarrolla</w:t>
      </w:r>
      <w:r w:rsidR="00BC28DA">
        <w:t>do</w:t>
      </w:r>
      <w:r>
        <w:t xml:space="preserve"> </w:t>
      </w:r>
      <w:r w:rsidR="00BC28DA">
        <w:t xml:space="preserve">ha sido </w:t>
      </w:r>
      <w:r>
        <w:t>desarrollado,</w:t>
      </w:r>
    </w:p>
    <w:p w14:paraId="29527218" w14:textId="03439C0D" w:rsidR="002262F8" w:rsidRDefault="002262F8" w:rsidP="002262F8">
      <w:pPr>
        <w:pStyle w:val="VersoIngls01Sangria"/>
      </w:pPr>
      <w:r>
        <w:t xml:space="preserve">Lo que </w:t>
      </w:r>
      <w:r w:rsidR="00BC28DA">
        <w:t xml:space="preserve">debe </w:t>
      </w:r>
      <w:r>
        <w:t>ser abandonado ha sido abandonado;</w:t>
      </w:r>
    </w:p>
    <w:p w14:paraId="5AEFC0AF" w14:textId="51632CF3" w:rsidR="002262F8" w:rsidRDefault="002262F8" w:rsidP="002262F8">
      <w:pPr>
        <w:pStyle w:val="VersoIngls01Sangria"/>
        <w:spacing w:after="100"/>
        <w:ind w:left="1418"/>
      </w:pPr>
      <w:r>
        <w:t xml:space="preserve">Y por eso, </w:t>
      </w:r>
      <w:proofErr w:type="spellStart"/>
      <w:r w:rsidRPr="00C27208">
        <w:rPr>
          <w:i/>
          <w:iCs/>
        </w:rPr>
        <w:t>brahman</w:t>
      </w:r>
      <w:proofErr w:type="spellEnd"/>
      <w:r>
        <w:t xml:space="preserve">, </w:t>
      </w:r>
      <w:r w:rsidR="00951EAA">
        <w:t xml:space="preserve">soy </w:t>
      </w:r>
      <w:r w:rsidR="00E4666C">
        <w:t xml:space="preserve">un </w:t>
      </w:r>
      <w:r w:rsidR="00951EAA">
        <w:t xml:space="preserve">Iluminado </w:t>
      </w:r>
      <w:r>
        <w:t>(Sn 558).</w:t>
      </w:r>
    </w:p>
    <w:p w14:paraId="3ABFE73B" w14:textId="1AD074FB" w:rsidR="002262F8" w:rsidRDefault="002262F8" w:rsidP="002262F8">
      <w:r>
        <w:t>2</w:t>
      </w:r>
      <w:r w:rsidRPr="00512D5D">
        <w:t>7</w:t>
      </w:r>
      <w:r>
        <w:t xml:space="preserve">. </w:t>
      </w:r>
      <w:r>
        <w:tab/>
        <w:t xml:space="preserve">[202] Además, él mismo ha descubierto todas las cosas correctamente, paso a paso, así: El ojo es la verdad del sufrimiento; el </w:t>
      </w:r>
      <w:r w:rsidR="00951EAA">
        <w:t>deseo</w:t>
      </w:r>
      <w:r>
        <w:t xml:space="preserve"> </w:t>
      </w:r>
      <w:r w:rsidR="00E249CA">
        <w:t xml:space="preserve">previo </w:t>
      </w:r>
      <w:r>
        <w:t>que lo origina por ser su causa-raíz es la verdad de</w:t>
      </w:r>
      <w:r w:rsidR="00E249CA">
        <w:t xml:space="preserve"> su</w:t>
      </w:r>
      <w:r>
        <w:t xml:space="preserve"> origen; la no ocurrencia de ambos es la verdad de la cesación</w:t>
      </w:r>
      <w:r w:rsidR="00D024D3">
        <w:t xml:space="preserve"> del sufrimiento</w:t>
      </w:r>
      <w:r>
        <w:t xml:space="preserve">; el </w:t>
      </w:r>
      <w:r w:rsidR="00E249CA">
        <w:t xml:space="preserve">sendero </w:t>
      </w:r>
      <w:r>
        <w:t xml:space="preserve">que es el acto de comprender la cesación es la verdad del </w:t>
      </w:r>
      <w:r w:rsidR="00D024D3">
        <w:t xml:space="preserve">noble </w:t>
      </w:r>
      <w:r w:rsidR="00E249CA">
        <w:t>sendero</w:t>
      </w:r>
      <w:r>
        <w:t>. Y así también en el caso del oído, la nariz, la lengua, el cuerpo y la mente.</w:t>
      </w:r>
    </w:p>
    <w:p w14:paraId="6F16A8EF" w14:textId="4E432AD2" w:rsidR="002262F8" w:rsidRDefault="002262F8" w:rsidP="002262F8">
      <w:r>
        <w:t xml:space="preserve">28. </w:t>
      </w:r>
      <w:r>
        <w:tab/>
        <w:t>Y del mismo modo deben interpretarse las siguientes cosas:</w:t>
      </w:r>
    </w:p>
    <w:p w14:paraId="535BC53F" w14:textId="32E40651" w:rsidR="002262F8" w:rsidRDefault="002262F8" w:rsidP="00CF1853">
      <w:pPr>
        <w:pStyle w:val="VersoIngls01Sangria"/>
        <w:tabs>
          <w:tab w:val="clear" w:pos="425"/>
        </w:tabs>
        <w:ind w:left="992" w:hanging="284"/>
      </w:pPr>
      <w:r>
        <w:t xml:space="preserve">las seis bases comenzando con </w:t>
      </w:r>
      <w:r w:rsidR="00E66A2A">
        <w:t xml:space="preserve">los </w:t>
      </w:r>
      <w:r>
        <w:t>objetos visibles;</w:t>
      </w:r>
    </w:p>
    <w:p w14:paraId="02AAD570" w14:textId="79F5CFD6" w:rsidR="002262F8" w:rsidRDefault="002262F8" w:rsidP="00CF1853">
      <w:pPr>
        <w:pStyle w:val="VersoIngls01Sangria"/>
        <w:tabs>
          <w:tab w:val="clear" w:pos="425"/>
        </w:tabs>
        <w:ind w:left="992" w:hanging="284"/>
      </w:pPr>
      <w:r>
        <w:t xml:space="preserve">los seis grupos de </w:t>
      </w:r>
      <w:r w:rsidR="00E66A2A">
        <w:t xml:space="preserve">la </w:t>
      </w:r>
      <w:r>
        <w:t>con</w:t>
      </w:r>
      <w:r w:rsidR="00E66A2A">
        <w:t>s</w:t>
      </w:r>
      <w:r>
        <w:t>ciencia comenzando con la con</w:t>
      </w:r>
      <w:r w:rsidR="00E66A2A">
        <w:t>s</w:t>
      </w:r>
      <w:r>
        <w:t>ciencia del ojo;</w:t>
      </w:r>
    </w:p>
    <w:p w14:paraId="6ECACB1A" w14:textId="0D621A96" w:rsidR="002262F8" w:rsidRDefault="002262F8" w:rsidP="00CF1853">
      <w:pPr>
        <w:pStyle w:val="VersoIngls01Sangria"/>
        <w:tabs>
          <w:tab w:val="clear" w:pos="425"/>
        </w:tabs>
        <w:ind w:left="992" w:hanging="284"/>
      </w:pPr>
      <w:r>
        <w:t xml:space="preserve">los seis tipos de contacto </w:t>
      </w:r>
      <w:r w:rsidR="00E66A2A">
        <w:t xml:space="preserve">comenzando </w:t>
      </w:r>
      <w:r>
        <w:t>con el contacto visual;</w:t>
      </w:r>
    </w:p>
    <w:p w14:paraId="74DEA519" w14:textId="7187BE2B" w:rsidR="002262F8" w:rsidRDefault="002262F8" w:rsidP="00CF1853">
      <w:pPr>
        <w:pStyle w:val="VersoIngls01Sangria"/>
        <w:tabs>
          <w:tab w:val="clear" w:pos="425"/>
        </w:tabs>
        <w:ind w:left="992" w:hanging="284"/>
      </w:pPr>
      <w:r>
        <w:t xml:space="preserve">los seis tipos de </w:t>
      </w:r>
      <w:r w:rsidR="00E66A2A">
        <w:t>sensación</w:t>
      </w:r>
      <w:r>
        <w:t xml:space="preserve"> </w:t>
      </w:r>
      <w:r w:rsidR="00E66A2A">
        <w:t xml:space="preserve">comenzando </w:t>
      </w:r>
      <w:r>
        <w:t xml:space="preserve">con el </w:t>
      </w:r>
      <w:r w:rsidR="00E66A2A">
        <w:t>surgimiento</w:t>
      </w:r>
      <w:r>
        <w:t xml:space="preserve"> del contacto visual;</w:t>
      </w:r>
    </w:p>
    <w:p w14:paraId="1C709C35" w14:textId="77777777" w:rsidR="002262F8" w:rsidRDefault="002262F8" w:rsidP="00CF1853">
      <w:pPr>
        <w:pStyle w:val="VersoIngls01Sangria"/>
        <w:tabs>
          <w:tab w:val="clear" w:pos="425"/>
        </w:tabs>
        <w:ind w:left="992" w:hanging="284"/>
      </w:pPr>
      <w:r>
        <w:t>los seis tipos de percepción comenzando con la percepción de objetos visibles;</w:t>
      </w:r>
    </w:p>
    <w:p w14:paraId="272554ED" w14:textId="19B5BD91" w:rsidR="002262F8" w:rsidRDefault="002262F8" w:rsidP="00CF1853">
      <w:pPr>
        <w:pStyle w:val="VersoIngls01Sangria"/>
        <w:tabs>
          <w:tab w:val="clear" w:pos="425"/>
        </w:tabs>
        <w:ind w:left="992" w:hanging="284"/>
      </w:pPr>
      <w:r>
        <w:t xml:space="preserve">las seis clases de volición comenzando con </w:t>
      </w:r>
      <w:r w:rsidR="00E66A2A">
        <w:t xml:space="preserve">la </w:t>
      </w:r>
      <w:r>
        <w:t>volición sobre objetos visibles;</w:t>
      </w:r>
    </w:p>
    <w:p w14:paraId="5E37E05D" w14:textId="314A39F4" w:rsidR="002262F8" w:rsidRDefault="002262F8" w:rsidP="00CF1853">
      <w:pPr>
        <w:pStyle w:val="VersoIngls01Sangria"/>
        <w:tabs>
          <w:tab w:val="clear" w:pos="425"/>
        </w:tabs>
        <w:ind w:left="992" w:hanging="284"/>
      </w:pPr>
      <w:r>
        <w:t>los seis grupos de</w:t>
      </w:r>
      <w:r w:rsidR="00E66A2A">
        <w:t>l</w:t>
      </w:r>
      <w:r>
        <w:t xml:space="preserve"> </w:t>
      </w:r>
      <w:r w:rsidR="00E66A2A">
        <w:t>deseo</w:t>
      </w:r>
      <w:r>
        <w:t xml:space="preserve"> </w:t>
      </w:r>
      <w:r w:rsidR="00E66A2A">
        <w:t xml:space="preserve">comenzando </w:t>
      </w:r>
      <w:r>
        <w:t xml:space="preserve">con </w:t>
      </w:r>
      <w:r w:rsidR="00E66A2A">
        <w:t>el deseo hacia los</w:t>
      </w:r>
      <w:r>
        <w:t xml:space="preserve"> objetos visibles;</w:t>
      </w:r>
    </w:p>
    <w:p w14:paraId="20A72894" w14:textId="7DD5EAF4" w:rsidR="002262F8" w:rsidRDefault="002262F8" w:rsidP="00CF1853">
      <w:pPr>
        <w:pStyle w:val="VersoIngls01Sangria"/>
        <w:tabs>
          <w:tab w:val="clear" w:pos="425"/>
        </w:tabs>
        <w:ind w:left="992" w:hanging="284"/>
      </w:pPr>
      <w:r>
        <w:t xml:space="preserve">los seis tipos de </w:t>
      </w:r>
      <w:r w:rsidR="001E2046">
        <w:t xml:space="preserve">aplicación mental </w:t>
      </w:r>
      <w:r>
        <w:t xml:space="preserve">comenzando con </w:t>
      </w:r>
      <w:r w:rsidR="001E2046">
        <w:t xml:space="preserve">la aplicación mental </w:t>
      </w:r>
      <w:r>
        <w:t>sobre los objetos visibles;</w:t>
      </w:r>
    </w:p>
    <w:p w14:paraId="31AC1237" w14:textId="049B0097" w:rsidR="0093444A" w:rsidRDefault="002262F8" w:rsidP="00CF1853">
      <w:pPr>
        <w:pStyle w:val="VersoIngls01Sangria"/>
        <w:tabs>
          <w:tab w:val="clear" w:pos="425"/>
        </w:tabs>
        <w:ind w:left="992" w:hanging="284"/>
      </w:pPr>
      <w:r>
        <w:t xml:space="preserve">los seis tipos de </w:t>
      </w:r>
      <w:r w:rsidR="001E2046">
        <w:t>sustentación mental</w:t>
      </w:r>
      <w:r>
        <w:t xml:space="preserve"> que comienzan con </w:t>
      </w:r>
      <w:r w:rsidR="001E2046">
        <w:t xml:space="preserve">la sustentación mental </w:t>
      </w:r>
      <w:r>
        <w:t xml:space="preserve">acerca de los objetos visibles; </w:t>
      </w:r>
    </w:p>
    <w:p w14:paraId="74238681" w14:textId="77777777" w:rsidR="0093444A" w:rsidRDefault="002262F8" w:rsidP="00CF1853">
      <w:pPr>
        <w:pStyle w:val="VersoIngls01Sangria"/>
        <w:tabs>
          <w:tab w:val="clear" w:pos="425"/>
        </w:tabs>
        <w:ind w:left="992" w:hanging="284"/>
      </w:pPr>
      <w:r>
        <w:t xml:space="preserve">los cinco agregados comenzando con el agregado de materia; </w:t>
      </w:r>
    </w:p>
    <w:p w14:paraId="47CC729B" w14:textId="20D3B06A" w:rsidR="002262F8" w:rsidRDefault="002262F8" w:rsidP="00CF1853">
      <w:pPr>
        <w:pStyle w:val="VersoIngls01Sangria"/>
        <w:tabs>
          <w:tab w:val="clear" w:pos="425"/>
        </w:tabs>
        <w:ind w:left="992" w:hanging="284"/>
      </w:pPr>
      <w:r>
        <w:t>l</w:t>
      </w:r>
      <w:r w:rsidR="0093444A">
        <w:t>o</w:t>
      </w:r>
      <w:r>
        <w:t xml:space="preserve">s diez </w:t>
      </w:r>
      <w:proofErr w:type="spellStart"/>
      <w:r w:rsidR="00057BF4" w:rsidRPr="00057BF4">
        <w:rPr>
          <w:i/>
          <w:iCs/>
        </w:rPr>
        <w:t>kasiṇa</w:t>
      </w:r>
      <w:r w:rsidRPr="00C27208">
        <w:rPr>
          <w:i/>
          <w:iCs/>
        </w:rPr>
        <w:t>s</w:t>
      </w:r>
      <w:proofErr w:type="spellEnd"/>
      <w:r>
        <w:t>;</w:t>
      </w:r>
    </w:p>
    <w:p w14:paraId="2AB7BF2C" w14:textId="77777777" w:rsidR="00F41031" w:rsidRDefault="002262F8" w:rsidP="00CF1853">
      <w:pPr>
        <w:pStyle w:val="VersoIngls01Sangria"/>
        <w:tabs>
          <w:tab w:val="clear" w:pos="425"/>
        </w:tabs>
        <w:ind w:left="992" w:hanging="284"/>
      </w:pPr>
      <w:r>
        <w:t>l</w:t>
      </w:r>
      <w:r w:rsidR="0093444A">
        <w:t>a</w:t>
      </w:r>
      <w:r>
        <w:t xml:space="preserve">s diez </w:t>
      </w:r>
      <w:r w:rsidR="0093444A">
        <w:t>evocaciones</w:t>
      </w:r>
      <w:r>
        <w:t xml:space="preserve">; </w:t>
      </w:r>
    </w:p>
    <w:p w14:paraId="09559109" w14:textId="660D63BA" w:rsidR="002262F8" w:rsidRDefault="002262F8" w:rsidP="00CF1853">
      <w:pPr>
        <w:pStyle w:val="VersoIngls01Sangria"/>
        <w:tabs>
          <w:tab w:val="clear" w:pos="425"/>
        </w:tabs>
        <w:ind w:left="992" w:hanging="284"/>
      </w:pPr>
      <w:r>
        <w:t>las diez percepciones comenzando con la percepción de lo hinchado;</w:t>
      </w:r>
    </w:p>
    <w:p w14:paraId="32A9A8E3" w14:textId="799191FF" w:rsidR="002262F8" w:rsidRDefault="002262F8" w:rsidP="00CF1853">
      <w:pPr>
        <w:pStyle w:val="VersoIngls01Sangria"/>
        <w:tabs>
          <w:tab w:val="clear" w:pos="425"/>
        </w:tabs>
        <w:ind w:left="992" w:hanging="284"/>
      </w:pPr>
      <w:r>
        <w:t xml:space="preserve">los </w:t>
      </w:r>
      <w:r w:rsidR="006166A6">
        <w:t>32</w:t>
      </w:r>
      <w:r>
        <w:t xml:space="preserve"> aspectos [del cuerpo] comenzando con los </w:t>
      </w:r>
      <w:r w:rsidR="00F41031">
        <w:t>cabellos</w:t>
      </w:r>
      <w:r>
        <w:t xml:space="preserve"> de la cabeza;</w:t>
      </w:r>
    </w:p>
    <w:p w14:paraId="31C0E328" w14:textId="77777777" w:rsidR="002262F8" w:rsidRDefault="002262F8" w:rsidP="00CF1853">
      <w:pPr>
        <w:pStyle w:val="VersoIngls01Sangria"/>
        <w:tabs>
          <w:tab w:val="clear" w:pos="425"/>
        </w:tabs>
        <w:ind w:left="992" w:hanging="284"/>
      </w:pPr>
      <w:r>
        <w:t>las doce bases;</w:t>
      </w:r>
    </w:p>
    <w:p w14:paraId="58859C9E" w14:textId="4FD75570" w:rsidR="001F5EAA" w:rsidRPr="00A26E4F" w:rsidRDefault="002262F8" w:rsidP="00CF1853">
      <w:pPr>
        <w:pStyle w:val="VersoIngls01Sangria"/>
        <w:tabs>
          <w:tab w:val="clear" w:pos="425"/>
        </w:tabs>
        <w:ind w:left="992" w:hanging="284"/>
      </w:pPr>
      <w:r>
        <w:t>los dieciocho elementos;</w:t>
      </w:r>
    </w:p>
    <w:p w14:paraId="6FED35E6" w14:textId="77777777" w:rsidR="00761203" w:rsidRDefault="00761203" w:rsidP="00CF1853">
      <w:pPr>
        <w:tabs>
          <w:tab w:val="clear" w:pos="425"/>
        </w:tabs>
        <w:spacing w:after="0"/>
      </w:pPr>
      <w:r>
        <w:br w:type="page"/>
      </w:r>
    </w:p>
    <w:p w14:paraId="245DE365" w14:textId="77777777" w:rsidR="00761203" w:rsidRDefault="00761203" w:rsidP="00CF1853">
      <w:pPr>
        <w:pStyle w:val="VersoIngls01Sangria"/>
        <w:tabs>
          <w:tab w:val="clear" w:pos="425"/>
        </w:tabs>
        <w:ind w:left="992" w:hanging="284"/>
      </w:pPr>
      <w:r>
        <w:lastRenderedPageBreak/>
        <w:t>los nueve tipos de devenir comenzando con el devenir sensual;</w:t>
      </w:r>
      <w:r w:rsidRPr="00A7026A">
        <w:rPr>
          <w:vertAlign w:val="superscript"/>
        </w:rPr>
        <w:t>6</w:t>
      </w:r>
    </w:p>
    <w:p w14:paraId="40E96C6A" w14:textId="03CC7C75" w:rsidR="00761203" w:rsidRDefault="00761203" w:rsidP="00CF1853">
      <w:pPr>
        <w:pStyle w:val="VersoIngls01Sangria"/>
        <w:tabs>
          <w:tab w:val="clear" w:pos="425"/>
        </w:tabs>
        <w:ind w:left="992" w:hanging="284"/>
      </w:pPr>
      <w:r>
        <w:t xml:space="preserve">los cuatro </w:t>
      </w:r>
      <w:proofErr w:type="spellStart"/>
      <w:r w:rsidR="00057BF4" w:rsidRPr="00057BF4">
        <w:rPr>
          <w:i/>
          <w:iCs/>
        </w:rPr>
        <w:t>jhāna</w:t>
      </w:r>
      <w:r w:rsidRPr="00C27208">
        <w:rPr>
          <w:i/>
          <w:iCs/>
        </w:rPr>
        <w:t>s</w:t>
      </w:r>
      <w:proofErr w:type="spellEnd"/>
      <w:r>
        <w:t xml:space="preserve"> comenzando con el primero;</w:t>
      </w:r>
    </w:p>
    <w:p w14:paraId="55F0E65D" w14:textId="2D0080B4" w:rsidR="00761203" w:rsidRDefault="00761203" w:rsidP="00CF1853">
      <w:pPr>
        <w:pStyle w:val="VersoIngls01Sangria"/>
        <w:tabs>
          <w:tab w:val="clear" w:pos="425"/>
        </w:tabs>
        <w:ind w:left="992" w:hanging="284"/>
      </w:pPr>
      <w:r>
        <w:t xml:space="preserve">los cuatro estados inmensurables </w:t>
      </w:r>
      <w:r w:rsidR="009C7EA2">
        <w:t xml:space="preserve">comenzando </w:t>
      </w:r>
      <w:r>
        <w:t>con el desarrollo d</w:t>
      </w:r>
      <w:r w:rsidR="00FC0679">
        <w:t>el amor–benevolente</w:t>
      </w:r>
      <w:r>
        <w:t>;</w:t>
      </w:r>
    </w:p>
    <w:p w14:paraId="15C25F0C" w14:textId="297E605E" w:rsidR="00761203" w:rsidRDefault="00761203" w:rsidP="00CF1853">
      <w:pPr>
        <w:pStyle w:val="VersoIngls01Sangria"/>
        <w:tabs>
          <w:tab w:val="clear" w:pos="425"/>
        </w:tabs>
        <w:ind w:left="992" w:hanging="284"/>
      </w:pPr>
      <w:r>
        <w:t>l</w:t>
      </w:r>
      <w:r w:rsidR="00396038">
        <w:t>a</w:t>
      </w:r>
      <w:r>
        <w:t xml:space="preserve">s cuatro </w:t>
      </w:r>
      <w:r w:rsidR="00396038">
        <w:t>absorciones</w:t>
      </w:r>
      <w:r>
        <w:t xml:space="preserve"> inmateriales;</w:t>
      </w:r>
    </w:p>
    <w:p w14:paraId="0BB76CAE" w14:textId="4C1E5E78" w:rsidR="00761203" w:rsidRDefault="00761203" w:rsidP="00CF1853">
      <w:pPr>
        <w:pStyle w:val="VersoIngls01Sangria"/>
        <w:tabs>
          <w:tab w:val="clear" w:pos="425"/>
        </w:tabs>
        <w:ind w:left="992" w:hanging="284"/>
      </w:pPr>
      <w:r>
        <w:t xml:space="preserve">los factores de </w:t>
      </w:r>
      <w:r w:rsidR="00396038">
        <w:t xml:space="preserve">la </w:t>
      </w:r>
      <w:r>
        <w:t>orig</w:t>
      </w:r>
      <w:r w:rsidR="00396038">
        <w:t>i</w:t>
      </w:r>
      <w:r>
        <w:t>n</w:t>
      </w:r>
      <w:r w:rsidR="00396038">
        <w:t>ación</w:t>
      </w:r>
      <w:r>
        <w:t xml:space="preserve"> dependiente en orden inverso comenzando con el envejecimiento y la muerte</w:t>
      </w:r>
      <w:r w:rsidR="00CF1853">
        <w:t xml:space="preserve"> </w:t>
      </w:r>
      <w:r>
        <w:t>y en orden progresivo comenzando con la ignorancia (cf. XX.9).</w:t>
      </w:r>
    </w:p>
    <w:p w14:paraId="16D0F5CD" w14:textId="725DAA3B" w:rsidR="00761203" w:rsidRDefault="00761203" w:rsidP="00761203">
      <w:r>
        <w:t xml:space="preserve">29. </w:t>
      </w:r>
      <w:r>
        <w:tab/>
        <w:t xml:space="preserve">Aquí, </w:t>
      </w:r>
      <w:r w:rsidR="0084178E">
        <w:t>é</w:t>
      </w:r>
      <w:r>
        <w:t xml:space="preserve">sta es la </w:t>
      </w:r>
      <w:r w:rsidR="0084178E">
        <w:t xml:space="preserve">interpretación </w:t>
      </w:r>
      <w:r>
        <w:t>de una sola cláusula [de</w:t>
      </w:r>
      <w:r w:rsidR="00396038">
        <w:t xml:space="preserve"> </w:t>
      </w:r>
      <w:r>
        <w:t>l</w:t>
      </w:r>
      <w:r w:rsidR="00396038">
        <w:t>a</w:t>
      </w:r>
      <w:r>
        <w:t xml:space="preserve"> orig</w:t>
      </w:r>
      <w:r w:rsidR="00396038">
        <w:t>inación</w:t>
      </w:r>
      <w:r>
        <w:t xml:space="preserve"> dependiente]: Vejez-y-muerte es la verdad del sufrimiento, el nacimiento es la verdad del origen, el escape de ambos es la verdad de la cesación, la forma en </w:t>
      </w:r>
      <w:r w:rsidR="00396038">
        <w:t xml:space="preserve">la </w:t>
      </w:r>
      <w:r>
        <w:t xml:space="preserve">que </w:t>
      </w:r>
      <w:r w:rsidR="00396038">
        <w:t>se dé</w:t>
      </w:r>
      <w:r>
        <w:t xml:space="preserve"> el acto de comprender la cesación </w:t>
      </w:r>
      <w:r w:rsidR="00396038">
        <w:t xml:space="preserve">será </w:t>
      </w:r>
      <w:r>
        <w:t xml:space="preserve">la verdad del </w:t>
      </w:r>
      <w:r w:rsidR="00396038">
        <w:t>sendero</w:t>
      </w:r>
      <w:r>
        <w:t>.</w:t>
      </w:r>
    </w:p>
    <w:p w14:paraId="697281DA" w14:textId="69BE6F32" w:rsidR="00761203" w:rsidRDefault="00761203" w:rsidP="00761203">
      <w:pPr>
        <w:pStyle w:val="NormalConSangria"/>
      </w:pPr>
      <w:r>
        <w:t xml:space="preserve">De esta manera </w:t>
      </w:r>
      <w:r w:rsidR="00396038">
        <w:t xml:space="preserve">Él </w:t>
      </w:r>
      <w:r>
        <w:t>ha descubierto, descubierto progresivamente, descubierto completamente, todos los estados correctamente y por sí mismo, paso a paso. Por eso se di</w:t>
      </w:r>
      <w:r w:rsidR="00396038">
        <w:t>ce</w:t>
      </w:r>
      <w:r>
        <w:t xml:space="preserve"> arriba: “Él está plenamente iluminado porque ha descubierto todas las cosas correctamente y por sí mismo” (§26).</w:t>
      </w:r>
      <w:r w:rsidRPr="00A7026A">
        <w:rPr>
          <w:vertAlign w:val="superscript"/>
        </w:rPr>
        <w:t>7</w:t>
      </w:r>
    </w:p>
    <w:p w14:paraId="68EC73DD" w14:textId="6B515979" w:rsidR="00761203" w:rsidRDefault="00761203" w:rsidP="006B7078">
      <w:pPr>
        <w:pStyle w:val="Ttulo4"/>
        <w:ind w:left="708"/>
      </w:pPr>
      <w:r>
        <w:t xml:space="preserve">[Dotado De Visión Clara </w:t>
      </w:r>
      <w:r w:rsidR="00396038">
        <w:t>y</w:t>
      </w:r>
      <w:r>
        <w:t xml:space="preserve"> Conducta Virtuosa]</w:t>
      </w:r>
    </w:p>
    <w:p w14:paraId="5225E629" w14:textId="6081FE75" w:rsidR="00761203" w:rsidRDefault="00761203" w:rsidP="00761203">
      <w:r>
        <w:t xml:space="preserve">30. </w:t>
      </w:r>
      <w:r>
        <w:tab/>
      </w:r>
      <w:r w:rsidR="00BE17AA">
        <w:t>Él e</w:t>
      </w:r>
      <w:r>
        <w:t>st</w:t>
      </w:r>
      <w:r w:rsidR="00BE17AA">
        <w:t>ar</w:t>
      </w:r>
      <w:r>
        <w:t xml:space="preserve">á dotado de </w:t>
      </w:r>
      <w:r w:rsidR="00BE17AA">
        <w:t xml:space="preserve">una </w:t>
      </w:r>
      <w:r>
        <w:t xml:space="preserve">visión clara y </w:t>
      </w:r>
      <w:r w:rsidR="00BE17AA">
        <w:t xml:space="preserve">una </w:t>
      </w:r>
      <w:r>
        <w:t xml:space="preserve">conducta virtuosa: </w:t>
      </w:r>
      <w:proofErr w:type="spellStart"/>
      <w:r w:rsidRPr="00C27208">
        <w:rPr>
          <w:i/>
          <w:iCs/>
        </w:rPr>
        <w:t>vijjācaraṇasampanno</w:t>
      </w:r>
      <w:proofErr w:type="spellEnd"/>
      <w:r>
        <w:t xml:space="preserve"> = </w:t>
      </w:r>
      <w:proofErr w:type="spellStart"/>
      <w:r w:rsidRPr="00C27208">
        <w:rPr>
          <w:i/>
          <w:iCs/>
        </w:rPr>
        <w:t>vijjṇhi</w:t>
      </w:r>
      <w:proofErr w:type="spellEnd"/>
      <w:r w:rsidRPr="00C27208">
        <w:rPr>
          <w:i/>
          <w:iCs/>
        </w:rPr>
        <w:t xml:space="preserve"> </w:t>
      </w:r>
      <w:proofErr w:type="spellStart"/>
      <w:r w:rsidRPr="00C27208">
        <w:rPr>
          <w:i/>
          <w:iCs/>
        </w:rPr>
        <w:t>caraṇena</w:t>
      </w:r>
      <w:proofErr w:type="spellEnd"/>
      <w:r w:rsidRPr="00C27208">
        <w:rPr>
          <w:i/>
          <w:iCs/>
        </w:rPr>
        <w:t xml:space="preserve"> ca </w:t>
      </w:r>
      <w:proofErr w:type="spellStart"/>
      <w:r w:rsidRPr="00C27208">
        <w:rPr>
          <w:i/>
          <w:iCs/>
        </w:rPr>
        <w:t>sampanno</w:t>
      </w:r>
      <w:proofErr w:type="spellEnd"/>
      <w:r>
        <w:t xml:space="preserve"> (</w:t>
      </w:r>
      <w:r w:rsidR="00560D2F">
        <w:rPr>
          <w:color w:val="1F3864" w:themeColor="accent1" w:themeShade="80"/>
        </w:rPr>
        <w:t>determinación</w:t>
      </w:r>
      <w:r w:rsidRPr="00BD5A03">
        <w:rPr>
          <w:color w:val="1F3864" w:themeColor="accent1" w:themeShade="80"/>
        </w:rPr>
        <w:t xml:space="preserve"> </w:t>
      </w:r>
      <w:r w:rsidR="00650B48">
        <w:rPr>
          <w:color w:val="1F3864" w:themeColor="accent1" w:themeShade="80"/>
        </w:rPr>
        <w:t xml:space="preserve">de </w:t>
      </w:r>
      <w:r w:rsidRPr="00BD5A03">
        <w:rPr>
          <w:color w:val="1F3864" w:themeColor="accent1" w:themeShade="80"/>
        </w:rPr>
        <w:t>compuesto</w:t>
      </w:r>
      <w:r>
        <w:t>).</w:t>
      </w:r>
    </w:p>
    <w:p w14:paraId="34C94F40" w14:textId="77777777" w:rsidR="00761203" w:rsidRDefault="00761203" w:rsidP="00761203">
      <w:pPr>
        <w:pStyle w:val="Piedepgina"/>
        <w:rPr>
          <w:u w:val="single"/>
        </w:rPr>
      </w:pPr>
      <w:r>
        <w:t> </w:t>
      </w:r>
      <w:r>
        <w:rPr>
          <w:u w:val="single"/>
        </w:rPr>
        <w:t xml:space="preserve">                                                                                                                                                                          .</w:t>
      </w:r>
    </w:p>
    <w:p w14:paraId="59BFBE08" w14:textId="6E92D1D9" w:rsidR="00761203" w:rsidRDefault="00761203" w:rsidP="00761203">
      <w:pPr>
        <w:pStyle w:val="PiedepginaLegal"/>
      </w:pPr>
      <w:r>
        <w:t xml:space="preserve">6. </w:t>
      </w:r>
      <w:r>
        <w:tab/>
        <w:t xml:space="preserve">Véase XVII.253f. La palabra </w:t>
      </w:r>
      <w:proofErr w:type="spellStart"/>
      <w:r w:rsidRPr="00C27208">
        <w:rPr>
          <w:i/>
          <w:iCs/>
        </w:rPr>
        <w:t>bhava</w:t>
      </w:r>
      <w:proofErr w:type="spellEnd"/>
      <w:r>
        <w:t xml:space="preserve"> se traduce aquí tanto p</w:t>
      </w:r>
      <w:r w:rsidR="00676489">
        <w:t xml:space="preserve">ara </w:t>
      </w:r>
      <w:r>
        <w:t>"existencia" como p</w:t>
      </w:r>
      <w:r w:rsidR="00676489">
        <w:t>a</w:t>
      </w:r>
      <w:r>
        <w:t>r</w:t>
      </w:r>
      <w:r w:rsidR="00676489">
        <w:t>a</w:t>
      </w:r>
      <w:r>
        <w:t xml:space="preserve"> "devenir". La primera, aunque menos incómoda para el oído, es inexacta si se le permite una cierta estática. “</w:t>
      </w:r>
      <w:r w:rsidR="00A00ED8">
        <w:t>Devenir</w:t>
      </w:r>
      <w:r>
        <w:t xml:space="preserve">” se usará con más frecuencia a medida que </w:t>
      </w:r>
      <w:r w:rsidR="00A00ED8">
        <w:t>se prosiga con</w:t>
      </w:r>
      <w:r>
        <w:t xml:space="preserve"> este trabajo. Laxamente, los dos sentidos tienden a fusionarse. Pero técnicamente, “existencia” tal vez debería usarse solo para </w:t>
      </w:r>
      <w:proofErr w:type="spellStart"/>
      <w:r w:rsidRPr="00C27208">
        <w:rPr>
          <w:i/>
          <w:iCs/>
        </w:rPr>
        <w:t>atthitā</w:t>
      </w:r>
      <w:proofErr w:type="spellEnd"/>
      <w:r>
        <w:t xml:space="preserve">, que significa la existencia momentánea de un </w:t>
      </w:r>
      <w:r w:rsidR="00057BF4" w:rsidRPr="00057BF4">
        <w:rPr>
          <w:i/>
        </w:rPr>
        <w:t>Dhamma</w:t>
      </w:r>
      <w:r>
        <w:t xml:space="preserve"> “que posee los tres instantes de surgimiento, presencia y disolución”. “</w:t>
      </w:r>
      <w:r w:rsidR="00A5379A">
        <w:t>Devenir</w:t>
      </w:r>
      <w:r>
        <w:t xml:space="preserve">” entonces significa el flujo continuo o flujo de tales momentos de </w:t>
      </w:r>
      <w:r w:rsidR="00A5379A">
        <w:t xml:space="preserve">este </w:t>
      </w:r>
      <w:r>
        <w:t xml:space="preserve">triple instante; y ocurre en tres modos principales: sensual, material </w:t>
      </w:r>
      <w:r w:rsidR="00A5379A">
        <w:t>sutil</w:t>
      </w:r>
      <w:r>
        <w:t xml:space="preserve"> e inmaterial. Para comentarios sobre palabras </w:t>
      </w:r>
      <w:r w:rsidR="00600123">
        <w:t xml:space="preserve">como </w:t>
      </w:r>
      <w:r>
        <w:t>“ser” y “esencia” ver VIII n. 68.</w:t>
      </w:r>
    </w:p>
    <w:p w14:paraId="2BEA30DE" w14:textId="743E796F" w:rsidR="00761203" w:rsidRDefault="00761203" w:rsidP="00761203">
      <w:pPr>
        <w:pStyle w:val="PiedepginaLegal"/>
      </w:pPr>
      <w:r>
        <w:t xml:space="preserve">7. </w:t>
      </w:r>
      <w:r>
        <w:tab/>
        <w:t>“¿No es el conocimiento sin obstrucciones (</w:t>
      </w:r>
      <w:proofErr w:type="spellStart"/>
      <w:r w:rsidRPr="00553522">
        <w:rPr>
          <w:i/>
          <w:iCs/>
        </w:rPr>
        <w:t>anāvaraṇa</w:t>
      </w:r>
      <w:proofErr w:type="spellEnd"/>
      <w:r w:rsidRPr="00553522">
        <w:rPr>
          <w:i/>
          <w:iCs/>
        </w:rPr>
        <w:t>-ñāṇa</w:t>
      </w:r>
      <w:r>
        <w:t>) diferente del conocimiento omnisciente (</w:t>
      </w:r>
      <w:proofErr w:type="spellStart"/>
      <w:r w:rsidRPr="00553522">
        <w:rPr>
          <w:i/>
          <w:iCs/>
        </w:rPr>
        <w:t>sabbaññuta</w:t>
      </w:r>
      <w:proofErr w:type="spellEnd"/>
      <w:r w:rsidRPr="00553522">
        <w:rPr>
          <w:i/>
          <w:iCs/>
        </w:rPr>
        <w:t>-ñāṇa</w:t>
      </w:r>
      <w:r>
        <w:t>)? De lo contrario, ¿se contradecirían las palabras “Seis tipos de conocimientos no compartidos [por los discípulos]” (</w:t>
      </w:r>
      <w:proofErr w:type="spellStart"/>
      <w:r w:rsidRPr="00553522">
        <w:rPr>
          <w:i/>
          <w:iCs/>
        </w:rPr>
        <w:t>Paṭis</w:t>
      </w:r>
      <w:proofErr w:type="spellEnd"/>
      <w:r>
        <w:t xml:space="preserve"> I 3)? [</w:t>
      </w:r>
      <w:r w:rsidRPr="00512D5D">
        <w:rPr>
          <w:b/>
          <w:bCs/>
          <w:i/>
          <w:iCs/>
        </w:rPr>
        <w:t>Nota</w:t>
      </w:r>
      <w:r>
        <w:t>: Los seis tipos son: conocimiento de las facultades prevalec</w:t>
      </w:r>
      <w:r w:rsidR="00512D5D">
        <w:t>ientes</w:t>
      </w:r>
      <w:r>
        <w:t xml:space="preserve"> </w:t>
      </w:r>
      <w:r w:rsidR="00512D5D">
        <w:t>de</w:t>
      </w:r>
      <w:r>
        <w:t xml:space="preserve"> los seres, conocimiento de las inclinaciones y tendencias de los seres, conocimiento del </w:t>
      </w:r>
      <w:r w:rsidR="00600123">
        <w:t>Milagro</w:t>
      </w:r>
      <w:r>
        <w:t xml:space="preserve"> Gemel</w:t>
      </w:r>
      <w:r w:rsidR="00600123">
        <w:t>o</w:t>
      </w:r>
      <w:r>
        <w:t xml:space="preserve">, conocimiento del logro de la gran compasión, conocimiento omnisciente y conocimiento sin obstrucciones (ver </w:t>
      </w:r>
      <w:proofErr w:type="spellStart"/>
      <w:r w:rsidRPr="00553522">
        <w:rPr>
          <w:i/>
          <w:iCs/>
        </w:rPr>
        <w:t>Paṭis</w:t>
      </w:r>
      <w:proofErr w:type="spellEnd"/>
      <w:r>
        <w:t xml:space="preserve"> I 133)].— No </w:t>
      </w:r>
      <w:r w:rsidR="0094606D">
        <w:t>existe</w:t>
      </w:r>
      <w:r>
        <w:t xml:space="preserve"> contradicción, porque se describen dos modos en </w:t>
      </w:r>
      <w:r w:rsidR="00D02155">
        <w:t xml:space="preserve">el </w:t>
      </w:r>
      <w:r>
        <w:t xml:space="preserve">que se da el campo objetivo de un mismo tipo de conocimiento con el fin de </w:t>
      </w:r>
      <w:r w:rsidR="0094606D">
        <w:t>exponer</w:t>
      </w:r>
      <w:r>
        <w:t xml:space="preserve"> mediante esta diferencia cómo no es compartido por otros.</w:t>
      </w:r>
    </w:p>
    <w:p w14:paraId="02C648BA" w14:textId="55405506" w:rsidR="00E70D13" w:rsidRDefault="00761203" w:rsidP="00761203">
      <w:pPr>
        <w:pStyle w:val="PiedepginaLegal"/>
      </w:pPr>
      <w:r>
        <w:tab/>
      </w:r>
      <w:r>
        <w:tab/>
        <w:t xml:space="preserve">Es sólo una clase de conocimiento; pero se llama conocimiento omnisciente porque su campo objetivo </w:t>
      </w:r>
      <w:proofErr w:type="gramStart"/>
      <w:r>
        <w:t xml:space="preserve">consiste </w:t>
      </w:r>
      <w:r w:rsidR="00690CC3">
        <w:t>de</w:t>
      </w:r>
      <w:proofErr w:type="gramEnd"/>
      <w:r>
        <w:t xml:space="preserve"> </w:t>
      </w:r>
      <w:r w:rsidR="00690CC3" w:rsidRPr="00057BF4">
        <w:rPr>
          <w:i/>
        </w:rPr>
        <w:t>Dhamma</w:t>
      </w:r>
      <w:r w:rsidR="00690CC3">
        <w:t xml:space="preserve">s </w:t>
      </w:r>
      <w:r>
        <w:t>formado, informe</w:t>
      </w:r>
      <w:r w:rsidR="00690CC3">
        <w:t>s</w:t>
      </w:r>
      <w:r>
        <w:t xml:space="preserve"> y convencional</w:t>
      </w:r>
      <w:r w:rsidR="00690CC3">
        <w:t>es</w:t>
      </w:r>
      <w:r>
        <w:t xml:space="preserve"> (</w:t>
      </w:r>
      <w:proofErr w:type="spellStart"/>
      <w:r w:rsidRPr="00553522">
        <w:rPr>
          <w:i/>
          <w:iCs/>
        </w:rPr>
        <w:t>sammuti</w:t>
      </w:r>
      <w:proofErr w:type="spellEnd"/>
      <w:r>
        <w:t>) [es decir, conceptual</w:t>
      </w:r>
      <w:r w:rsidR="00690CC3">
        <w:t>es</w:t>
      </w:r>
      <w:r>
        <w:t xml:space="preserve">] sin </w:t>
      </w:r>
      <w:r w:rsidR="005A320D">
        <w:t>residuo</w:t>
      </w:r>
      <w:r>
        <w:t xml:space="preserve">, y se llama conocimiento sin obstrucciones debido a su acceso irrestricto al campo objetivo, debido a la ausencia de obstrucciones. Y en consecuencia se dice en el </w:t>
      </w:r>
      <w:proofErr w:type="spellStart"/>
      <w:r w:rsidRPr="00553522">
        <w:rPr>
          <w:i/>
          <w:iCs/>
        </w:rPr>
        <w:t>Paṭisambhidā</w:t>
      </w:r>
      <w:proofErr w:type="spellEnd"/>
      <w:r>
        <w:t xml:space="preserve">: “Conoce todo lo formado y lo </w:t>
      </w:r>
      <w:r w:rsidR="005A320D">
        <w:t xml:space="preserve">no </w:t>
      </w:r>
      <w:r>
        <w:t>form</w:t>
      </w:r>
      <w:r w:rsidR="005A320D">
        <w:t>ado</w:t>
      </w:r>
      <w:r>
        <w:t xml:space="preserve"> sin </w:t>
      </w:r>
      <w:r w:rsidR="005A320D">
        <w:t>residuos</w:t>
      </w:r>
      <w:r>
        <w:t xml:space="preserve">, por lo que es </w:t>
      </w:r>
      <w:r w:rsidR="00A021E8">
        <w:t xml:space="preserve">conocido como </w:t>
      </w:r>
      <w:r>
        <w:t>conocimiento omnisciente. No tiene obstrucción en él, por lo que es un conocimiento sin obstrucciones” (</w:t>
      </w:r>
      <w:proofErr w:type="spellStart"/>
      <w:r w:rsidRPr="00553522">
        <w:rPr>
          <w:i/>
          <w:iCs/>
        </w:rPr>
        <w:t>Paṭis</w:t>
      </w:r>
      <w:proofErr w:type="spellEnd"/>
      <w:r>
        <w:t xml:space="preserve"> I 131), y así sucesivamente. Por lo tanto, no son diferentes tipos de conocimiento. Y no debe haber ninguna reserva</w:t>
      </w:r>
      <w:r w:rsidR="00A021E8">
        <w:t xml:space="preserve"> al respecto</w:t>
      </w:r>
      <w:r>
        <w:t>, de lo contrario se seguiría que el conocimiento omnisciente y sin obstrucciones ten</w:t>
      </w:r>
      <w:r w:rsidR="00E22D74">
        <w:t>dr</w:t>
      </w:r>
      <w:r>
        <w:t>ía obstrucciones y no ha</w:t>
      </w:r>
      <w:r w:rsidR="00E22D74">
        <w:t>r</w:t>
      </w:r>
      <w:r>
        <w:t xml:space="preserve">ía de todos los </w:t>
      </w:r>
      <w:r w:rsidR="00451EC2">
        <w:rPr>
          <w:i/>
        </w:rPr>
        <w:t>d</w:t>
      </w:r>
      <w:r w:rsidR="00057BF4" w:rsidRPr="00057BF4">
        <w:rPr>
          <w:i/>
        </w:rPr>
        <w:t>hamma</w:t>
      </w:r>
      <w:r>
        <w:t xml:space="preserve">s su objeto. De hecho, no </w:t>
      </w:r>
      <w:r w:rsidR="00E22D74">
        <w:t xml:space="preserve">existe </w:t>
      </w:r>
      <w:r w:rsidR="00734283">
        <w:t>ni la más</w:t>
      </w:r>
      <w:r>
        <w:t xml:space="preserve"> </w:t>
      </w:r>
    </w:p>
    <w:p w14:paraId="4854C2F2" w14:textId="77777777" w:rsidR="00E70D13" w:rsidRDefault="00E70D13">
      <w:pPr>
        <w:tabs>
          <w:tab w:val="clear" w:pos="425"/>
        </w:tabs>
        <w:spacing w:after="160"/>
        <w:rPr>
          <w:color w:val="000000" w:themeColor="text1"/>
          <w:spacing w:val="10"/>
          <w:sz w:val="14"/>
        </w:rPr>
      </w:pPr>
      <w:r>
        <w:br w:type="page"/>
      </w:r>
    </w:p>
    <w:p w14:paraId="5FFA807D" w14:textId="77777777" w:rsidR="004519D9" w:rsidRDefault="004519D9" w:rsidP="00E70D13"/>
    <w:p w14:paraId="72A3D7F0" w14:textId="72CC797C" w:rsidR="00576B9D" w:rsidRDefault="00576B9D" w:rsidP="00BD5A03">
      <w:pPr>
        <w:pStyle w:val="NormalConSangria"/>
      </w:pPr>
      <w:r>
        <w:t xml:space="preserve">Aquí, en cuanto a la </w:t>
      </w:r>
      <w:r w:rsidRPr="003F7EA2">
        <w:rPr>
          <w:i/>
          <w:iCs/>
        </w:rPr>
        <w:t>visión</w:t>
      </w:r>
      <w:r>
        <w:t xml:space="preserve"> [</w:t>
      </w:r>
      <w:r w:rsidRPr="003F7EA2">
        <w:rPr>
          <w:i/>
          <w:iCs/>
        </w:rPr>
        <w:t>clara</w:t>
      </w:r>
      <w:r>
        <w:t xml:space="preserve">]: </w:t>
      </w:r>
      <w:r w:rsidR="00BD5A03">
        <w:t>existen</w:t>
      </w:r>
      <w:r>
        <w:t xml:space="preserve"> </w:t>
      </w:r>
      <w:r w:rsidR="00C95642">
        <w:t>3</w:t>
      </w:r>
      <w:r>
        <w:t xml:space="preserve"> tipos de visión clara y </w:t>
      </w:r>
      <w:r w:rsidR="00C95642">
        <w:t>8</w:t>
      </w:r>
      <w:r>
        <w:t xml:space="preserve"> tipos de visión clara. Los </w:t>
      </w:r>
      <w:r w:rsidR="00C95642">
        <w:t>3</w:t>
      </w:r>
      <w:r>
        <w:t xml:space="preserve"> tipos deben entenderse como se establece en el </w:t>
      </w:r>
      <w:proofErr w:type="spellStart"/>
      <w:r w:rsidRPr="00553522">
        <w:rPr>
          <w:i/>
          <w:iCs/>
        </w:rPr>
        <w:t>Bhayabherava</w:t>
      </w:r>
      <w:proofErr w:type="spellEnd"/>
      <w:r w:rsidRPr="00553522">
        <w:rPr>
          <w:i/>
          <w:iCs/>
        </w:rPr>
        <w:t xml:space="preserve"> Sutta</w:t>
      </w:r>
      <w:r>
        <w:t xml:space="preserve"> (M I 22f.), y los </w:t>
      </w:r>
      <w:r w:rsidR="00C95642">
        <w:t>8</w:t>
      </w:r>
      <w:r>
        <w:t xml:space="preserve"> tipos como se establece en el </w:t>
      </w:r>
      <w:proofErr w:type="spellStart"/>
      <w:r w:rsidRPr="00553522">
        <w:rPr>
          <w:i/>
          <w:iCs/>
        </w:rPr>
        <w:t>Ambaṭṭha</w:t>
      </w:r>
      <w:proofErr w:type="spellEnd"/>
      <w:r w:rsidRPr="00553522">
        <w:rPr>
          <w:i/>
          <w:iCs/>
        </w:rPr>
        <w:t xml:space="preserve"> ​​Sutta</w:t>
      </w:r>
      <w:r>
        <w:t xml:space="preserve"> (D I 100). Porque allí se establecen </w:t>
      </w:r>
      <w:r w:rsidR="00885B48">
        <w:t>8</w:t>
      </w:r>
      <w:r>
        <w:t xml:space="preserve"> tipos de visión clara, compuestos por los </w:t>
      </w:r>
      <w:r w:rsidR="00C95642">
        <w:t>6</w:t>
      </w:r>
      <w:r>
        <w:t xml:space="preserve"> tipos de conocimiento directo junto con la </w:t>
      </w:r>
      <w:r w:rsidR="00AC04E3" w:rsidRPr="00527EA6">
        <w:t>sabid</w:t>
      </w:r>
      <w:r w:rsidR="00AC04E3">
        <w:t>uría–revelativa</w:t>
      </w:r>
      <w:r>
        <w:t xml:space="preserve"> y el poder </w:t>
      </w:r>
      <w:r w:rsidR="00BE726E">
        <w:t>supernormal</w:t>
      </w:r>
      <w:r>
        <w:t xml:space="preserve"> del cuerpo creado por la mente.</w:t>
      </w:r>
    </w:p>
    <w:p w14:paraId="6289C36A" w14:textId="77777777" w:rsidR="004B7EDA" w:rsidRDefault="004B7EDA" w:rsidP="00BD5A03">
      <w:pPr>
        <w:pStyle w:val="NormalConSangria"/>
      </w:pPr>
    </w:p>
    <w:p w14:paraId="65DF7F50" w14:textId="780D6C75" w:rsidR="00576B9D" w:rsidRDefault="00576B9D" w:rsidP="00576B9D">
      <w:pPr>
        <w:pStyle w:val="Piedepgina"/>
        <w:rPr>
          <w:u w:val="single"/>
        </w:rPr>
      </w:pPr>
      <w:r>
        <w:rPr>
          <w:u w:val="single"/>
        </w:rPr>
        <w:t xml:space="preserve">                                                                                                                                                                          .</w:t>
      </w:r>
    </w:p>
    <w:p w14:paraId="109DB2C8" w14:textId="77777777" w:rsidR="00576B9D" w:rsidRDefault="00576B9D" w:rsidP="00576B9D">
      <w:pPr>
        <w:pStyle w:val="PiedepginaLegal"/>
      </w:pPr>
      <w:r>
        <w:t xml:space="preserve">… </w:t>
      </w:r>
    </w:p>
    <w:p w14:paraId="1E706039" w14:textId="78601F44" w:rsidR="00576B9D" w:rsidRDefault="00576B9D" w:rsidP="00576B9D">
      <w:pPr>
        <w:pStyle w:val="PiedepginaLegal"/>
      </w:pPr>
      <w:r>
        <w:tab/>
      </w:r>
      <w:r w:rsidR="00734283">
        <w:t xml:space="preserve">mínima obstrucción al </w:t>
      </w:r>
      <w:r>
        <w:t xml:space="preserve">conocimiento del </w:t>
      </w:r>
      <w:r w:rsidR="00451EC2" w:rsidRPr="00451EC2">
        <w:rPr>
          <w:i/>
          <w:iCs/>
        </w:rPr>
        <w:t>Bhagavā</w:t>
      </w:r>
      <w:r>
        <w:t>: y si su conocimiento sin obstrucciones no tuvie</w:t>
      </w:r>
      <w:r w:rsidR="000863F1">
        <w:t>se</w:t>
      </w:r>
      <w:r>
        <w:t xml:space="preserve"> </w:t>
      </w:r>
      <w:r w:rsidR="000863F1">
        <w:t xml:space="preserve">a </w:t>
      </w:r>
      <w:r>
        <w:t xml:space="preserve">todos los </w:t>
      </w:r>
      <w:r w:rsidR="00451EC2" w:rsidRPr="00057BF4">
        <w:rPr>
          <w:i/>
        </w:rPr>
        <w:t>dhamma</w:t>
      </w:r>
      <w:r w:rsidR="00451EC2">
        <w:t xml:space="preserve">s </w:t>
      </w:r>
      <w:r>
        <w:t xml:space="preserve">como su objeto, </w:t>
      </w:r>
      <w:r w:rsidR="007C4663">
        <w:t>se daría la</w:t>
      </w:r>
      <w:r>
        <w:t xml:space="preserve"> obstrucción donde no ocurri</w:t>
      </w:r>
      <w:r w:rsidR="007B58C9">
        <w:t>ese</w:t>
      </w:r>
      <w:r>
        <w:t xml:space="preserve">, y por lo tanto no </w:t>
      </w:r>
      <w:r w:rsidR="007B58C9">
        <w:t>sería</w:t>
      </w:r>
      <w:r>
        <w:t xml:space="preserve"> sin obstrucciones.</w:t>
      </w:r>
    </w:p>
    <w:p w14:paraId="58282D64" w14:textId="72C20E0F" w:rsidR="00576B9D" w:rsidRDefault="00576B9D" w:rsidP="00576B9D">
      <w:pPr>
        <w:pStyle w:val="PiedepginaLegal"/>
      </w:pPr>
      <w:r>
        <w:tab/>
      </w:r>
      <w:r>
        <w:tab/>
        <w:t>“O alternativamente, inclus</w:t>
      </w:r>
      <w:r w:rsidR="007C4663">
        <w:t>ive</w:t>
      </w:r>
      <w:r>
        <w:t xml:space="preserve"> si </w:t>
      </w:r>
      <w:r w:rsidR="00F14BE2">
        <w:t>sup</w:t>
      </w:r>
      <w:r w:rsidR="00734364">
        <w:t>usi</w:t>
      </w:r>
      <w:r w:rsidR="00F14BE2">
        <w:t>ésemos</w:t>
      </w:r>
      <w:r>
        <w:t xml:space="preserve"> que </w:t>
      </w:r>
      <w:r w:rsidR="00734364">
        <w:t>fueran</w:t>
      </w:r>
      <w:r>
        <w:t xml:space="preserve"> diferentes, todavía </w:t>
      </w:r>
      <w:r w:rsidR="007B58C9">
        <w:t>ser</w:t>
      </w:r>
      <w:r w:rsidR="00734364">
        <w:t>ía</w:t>
      </w:r>
      <w:r w:rsidR="007B58C9">
        <w:t xml:space="preserve"> </w:t>
      </w:r>
      <w:r w:rsidR="00734364">
        <w:t xml:space="preserve">un </w:t>
      </w:r>
      <w:r>
        <w:t>conocimiento omnisciente en sí mismo el que se entiend</w:t>
      </w:r>
      <w:r w:rsidR="00734364">
        <w:t>a</w:t>
      </w:r>
      <w:r>
        <w:t xml:space="preserve"> como 'sin obstáculos', ya que </w:t>
      </w:r>
      <w:r w:rsidR="00023903">
        <w:t>ser</w:t>
      </w:r>
      <w:r w:rsidR="00950E56">
        <w:t>ía</w:t>
      </w:r>
      <w:r w:rsidR="00023903">
        <w:t xml:space="preserve"> </w:t>
      </w:r>
      <w:r>
        <w:t>lo que ocurr</w:t>
      </w:r>
      <w:r w:rsidR="00950E56">
        <w:t>iese</w:t>
      </w:r>
      <w:r>
        <w:t xml:space="preserve"> sin obstáculos universalmente. Y es por su logro </w:t>
      </w:r>
      <w:r w:rsidR="00023903">
        <w:t xml:space="preserve">al respecto </w:t>
      </w:r>
      <w:r>
        <w:t xml:space="preserve">que el </w:t>
      </w:r>
      <w:r w:rsidR="00023903" w:rsidRPr="00451EC2">
        <w:rPr>
          <w:i/>
          <w:iCs/>
        </w:rPr>
        <w:t>Bhagavā</w:t>
      </w:r>
      <w:r w:rsidR="00023903">
        <w:t xml:space="preserve"> </w:t>
      </w:r>
      <w:r>
        <w:t xml:space="preserve">es conocido como Omnisciente, </w:t>
      </w:r>
      <w:proofErr w:type="spellStart"/>
      <w:r w:rsidRPr="00553522">
        <w:t>Omnividente</w:t>
      </w:r>
      <w:proofErr w:type="spellEnd"/>
      <w:r>
        <w:t>, Completamente Iluminado, no por la con</w:t>
      </w:r>
      <w:r w:rsidR="00023903">
        <w:t>s</w:t>
      </w:r>
      <w:r>
        <w:t>ciencia (</w:t>
      </w:r>
      <w:proofErr w:type="spellStart"/>
      <w:r w:rsidRPr="00553522">
        <w:rPr>
          <w:i/>
          <w:iCs/>
        </w:rPr>
        <w:t>avabodha</w:t>
      </w:r>
      <w:proofErr w:type="spellEnd"/>
      <w:r>
        <w:t xml:space="preserve">) de cada </w:t>
      </w:r>
      <w:r w:rsidR="00F14BE2" w:rsidRPr="00057BF4">
        <w:rPr>
          <w:i/>
        </w:rPr>
        <w:t>dhamma</w:t>
      </w:r>
      <w:r w:rsidR="00F14BE2">
        <w:t xml:space="preserve"> </w:t>
      </w:r>
      <w:r>
        <w:t xml:space="preserve">a la vez, simultáneamente (ver M II 127). Y en consecuencia se dice en el </w:t>
      </w:r>
      <w:proofErr w:type="spellStart"/>
      <w:r w:rsidRPr="00553522">
        <w:rPr>
          <w:i/>
          <w:iCs/>
        </w:rPr>
        <w:t>Paṭisambhidā</w:t>
      </w:r>
      <w:proofErr w:type="spellEnd"/>
      <w:r>
        <w:t xml:space="preserve">: ‘Este es un nombre derivado de la liberación final de los Iluminados, los </w:t>
      </w:r>
      <w:proofErr w:type="spellStart"/>
      <w:r w:rsidR="00470A0B">
        <w:rPr>
          <w:i/>
          <w:iCs/>
        </w:rPr>
        <w:t>Bhagavā</w:t>
      </w:r>
      <w:r w:rsidR="00470A0B">
        <w:t>s</w:t>
      </w:r>
      <w:proofErr w:type="spellEnd"/>
      <w:r>
        <w:t xml:space="preserve">, junto con la adquisición del conocimiento omnisciente </w:t>
      </w:r>
      <w:r w:rsidR="00470A0B">
        <w:t>sobre</w:t>
      </w:r>
      <w:r>
        <w:t xml:space="preserve"> la raíz del Árbol de la Iluminación; este nombre “</w:t>
      </w:r>
      <w:r w:rsidR="00057BF4" w:rsidRPr="00057BF4">
        <w:rPr>
          <w:i/>
        </w:rPr>
        <w:t>Buddha</w:t>
      </w:r>
      <w:r>
        <w:t xml:space="preserve">” es una designación basada en la </w:t>
      </w:r>
      <w:r w:rsidR="00470A0B">
        <w:t>consumación</w:t>
      </w:r>
      <w:r>
        <w:t>” (</w:t>
      </w:r>
      <w:proofErr w:type="spellStart"/>
      <w:r>
        <w:t>Paṭis</w:t>
      </w:r>
      <w:proofErr w:type="spellEnd"/>
      <w:r>
        <w:t xml:space="preserve"> I 174). Porque la habilidad en la continuidad del </w:t>
      </w:r>
      <w:r w:rsidR="00A27A8E">
        <w:rPr>
          <w:i/>
          <w:iCs/>
        </w:rPr>
        <w:t>Bhagavā</w:t>
      </w:r>
      <w:r w:rsidR="00A27A8E">
        <w:t xml:space="preserve"> </w:t>
      </w:r>
      <w:r>
        <w:t xml:space="preserve">para penetrar todos los </w:t>
      </w:r>
      <w:r w:rsidR="00A27A8E" w:rsidRPr="00057BF4">
        <w:rPr>
          <w:i/>
        </w:rPr>
        <w:t>dhamma</w:t>
      </w:r>
      <w:r w:rsidR="00A27A8E">
        <w:t xml:space="preserve">s </w:t>
      </w:r>
      <w:r>
        <w:t xml:space="preserve">sin excepción se debió a que él había </w:t>
      </w:r>
      <w:r w:rsidR="00A27A8E">
        <w:t>consumado</w:t>
      </w:r>
      <w:r>
        <w:t xml:space="preserve"> por completo el conocimiento capaz de </w:t>
      </w:r>
      <w:r w:rsidR="00950E56">
        <w:t>permitirle hacerse</w:t>
      </w:r>
      <w:r>
        <w:t xml:space="preserve"> consciente de todos los </w:t>
      </w:r>
      <w:r w:rsidR="00A27A8E" w:rsidRPr="00057BF4">
        <w:rPr>
          <w:i/>
        </w:rPr>
        <w:t>dhamma</w:t>
      </w:r>
      <w:r w:rsidR="00A27A8E">
        <w:t>s</w:t>
      </w:r>
      <w:r>
        <w:t>.</w:t>
      </w:r>
    </w:p>
    <w:p w14:paraId="1862487F" w14:textId="6ACD56DD" w:rsidR="00576B9D" w:rsidRDefault="00576B9D" w:rsidP="00576B9D">
      <w:pPr>
        <w:pStyle w:val="PiedepginaLegal"/>
      </w:pPr>
      <w:r>
        <w:tab/>
      </w:r>
      <w:r>
        <w:tab/>
        <w:t xml:space="preserve">“Aquí se puede preguntar: Pero </w:t>
      </w:r>
      <w:r w:rsidR="00546D4C">
        <w:t>¿</w:t>
      </w:r>
      <w:r>
        <w:t>cómo</w:t>
      </w:r>
      <w:r w:rsidR="00546D4C">
        <w:t xml:space="preserve"> es</w:t>
      </w:r>
      <w:r>
        <w:t xml:space="preserve"> entonces</w:t>
      </w:r>
      <w:r w:rsidR="00546D4C">
        <w:t>?</w:t>
      </w:r>
      <w:r>
        <w:t xml:space="preserve"> </w:t>
      </w:r>
      <w:r w:rsidR="00A27A8E">
        <w:t xml:space="preserve">cuando </w:t>
      </w:r>
      <w:r>
        <w:t xml:space="preserve">se produce este conocimiento, ¿lo hace con respecto a todos los campos </w:t>
      </w:r>
      <w:proofErr w:type="gramStart"/>
      <w:r>
        <w:t>simultáneamente o sucesivamente</w:t>
      </w:r>
      <w:proofErr w:type="gramEnd"/>
      <w:r>
        <w:t xml:space="preserve">? </w:t>
      </w:r>
      <w:r w:rsidR="00533146">
        <w:t xml:space="preserve">Ya </w:t>
      </w:r>
      <w:r>
        <w:t>que, en primer lugar, si ocurr</w:t>
      </w:r>
      <w:r w:rsidR="00546D4C">
        <w:t>iese</w:t>
      </w:r>
      <w:r>
        <w:t xml:space="preserve"> simultáneamente con respecto a cada campo objetivo, entonces con la aparición simultánea de </w:t>
      </w:r>
      <w:r w:rsidR="00546D4C" w:rsidRPr="00057BF4">
        <w:rPr>
          <w:i/>
        </w:rPr>
        <w:t>dhamma</w:t>
      </w:r>
      <w:r w:rsidR="00546D4C">
        <w:t xml:space="preserve">s </w:t>
      </w:r>
      <w:r>
        <w:t xml:space="preserve">formados clasificados como pasados, futuros y presentes, internos y externos, etc., y de </w:t>
      </w:r>
      <w:r w:rsidR="00546D4C" w:rsidRPr="00057BF4">
        <w:rPr>
          <w:i/>
        </w:rPr>
        <w:t>dhamma</w:t>
      </w:r>
      <w:r w:rsidR="00546D4C">
        <w:t xml:space="preserve">s </w:t>
      </w:r>
      <w:r w:rsidR="008F293D">
        <w:t xml:space="preserve">no </w:t>
      </w:r>
      <w:r>
        <w:t>form</w:t>
      </w:r>
      <w:r w:rsidR="008F293D">
        <w:t>ados</w:t>
      </w:r>
      <w:r>
        <w:t xml:space="preserve"> y convencionales (conceptuales), </w:t>
      </w:r>
      <w:r w:rsidR="008F293D">
        <w:t xml:space="preserve">no </w:t>
      </w:r>
      <w:r>
        <w:t xml:space="preserve">habría ninguna </w:t>
      </w:r>
      <w:r w:rsidR="00305E12">
        <w:t>consciencia</w:t>
      </w:r>
      <w:r>
        <w:t xml:space="preserve"> de contrast</w:t>
      </w:r>
      <w:r w:rsidR="00533146">
        <w:t>e</w:t>
      </w:r>
      <w:r>
        <w:t xml:space="preserve"> (</w:t>
      </w:r>
      <w:proofErr w:type="spellStart"/>
      <w:r w:rsidRPr="00553522">
        <w:rPr>
          <w:i/>
          <w:iCs/>
        </w:rPr>
        <w:t>paṭibhāga</w:t>
      </w:r>
      <w:proofErr w:type="spellEnd"/>
      <w:r>
        <w:t>), como sucede en quien mir</w:t>
      </w:r>
      <w:r w:rsidR="008F293D">
        <w:t>e</w:t>
      </w:r>
      <w:r>
        <w:t xml:space="preserve"> </w:t>
      </w:r>
      <w:r w:rsidR="0047505E">
        <w:t xml:space="preserve">a la distancia </w:t>
      </w:r>
      <w:r>
        <w:t xml:space="preserve">un lienzo pintado. Siendo así, se deduce que todos los </w:t>
      </w:r>
      <w:r w:rsidR="0047505E" w:rsidRPr="00057BF4">
        <w:rPr>
          <w:i/>
        </w:rPr>
        <w:t>dhamma</w:t>
      </w:r>
      <w:r w:rsidR="0047505E">
        <w:t xml:space="preserve">s </w:t>
      </w:r>
      <w:r>
        <w:t xml:space="preserve">se convierten en el campo objetivo del conocimiento del </w:t>
      </w:r>
      <w:r w:rsidR="0047505E">
        <w:rPr>
          <w:i/>
          <w:iCs/>
        </w:rPr>
        <w:t>Bhagavā</w:t>
      </w:r>
      <w:r w:rsidR="0047505E">
        <w:t xml:space="preserve"> </w:t>
      </w:r>
      <w:r>
        <w:t>en una forma indiferenciada (</w:t>
      </w:r>
      <w:proofErr w:type="spellStart"/>
      <w:r w:rsidRPr="00553522">
        <w:rPr>
          <w:i/>
          <w:iCs/>
        </w:rPr>
        <w:t>anirūpita-</w:t>
      </w:r>
      <w:r w:rsidR="00057BF4" w:rsidRPr="00057BF4">
        <w:rPr>
          <w:i/>
          <w:iCs/>
        </w:rPr>
        <w:t>rūpa</w:t>
      </w:r>
      <w:r w:rsidRPr="00553522">
        <w:rPr>
          <w:i/>
          <w:iCs/>
        </w:rPr>
        <w:t>na</w:t>
      </w:r>
      <w:proofErr w:type="spellEnd"/>
      <w:r>
        <w:t>), como lo hace a través del aspecto del no-</w:t>
      </w:r>
      <w:r w:rsidR="00533146">
        <w:t>alma</w:t>
      </w:r>
      <w:r>
        <w:t xml:space="preserve"> aquellos que est</w:t>
      </w:r>
      <w:r w:rsidR="004C3592">
        <w:t>é</w:t>
      </w:r>
      <w:r>
        <w:t xml:space="preserve">n ejercitando la </w:t>
      </w:r>
      <w:r w:rsidR="0047505E">
        <w:t>sabiduría</w:t>
      </w:r>
      <w:r>
        <w:t>, así</w:t>
      </w:r>
      <w:r w:rsidR="004C3592">
        <w:t>:</w:t>
      </w:r>
      <w:r>
        <w:t xml:space="preserve"> 'Todos los </w:t>
      </w:r>
      <w:r w:rsidR="0047505E" w:rsidRPr="00057BF4">
        <w:rPr>
          <w:i/>
          <w:iCs/>
        </w:rPr>
        <w:t>dhamma</w:t>
      </w:r>
      <w:r w:rsidR="0047505E" w:rsidRPr="00553522">
        <w:rPr>
          <w:i/>
          <w:iCs/>
        </w:rPr>
        <w:t>s</w:t>
      </w:r>
      <w:r w:rsidR="0047505E">
        <w:t xml:space="preserve"> </w:t>
      </w:r>
      <w:r>
        <w:t xml:space="preserve">son </w:t>
      </w:r>
      <w:r w:rsidR="00553522">
        <w:t>no</w:t>
      </w:r>
      <w:r>
        <w:t>-</w:t>
      </w:r>
      <w:r w:rsidR="00553522">
        <w:t>alma</w:t>
      </w:r>
      <w:r>
        <w:t>' (</w:t>
      </w:r>
      <w:proofErr w:type="spellStart"/>
      <w:r>
        <w:t>Dhp</w:t>
      </w:r>
      <w:proofErr w:type="spellEnd"/>
      <w:r>
        <w:t xml:space="preserve"> 279; Th 678; M I 230; II 64; S III 132; A I 286; IV 14; </w:t>
      </w:r>
      <w:proofErr w:type="spellStart"/>
      <w:r w:rsidRPr="00553522">
        <w:rPr>
          <w:i/>
          <w:iCs/>
        </w:rPr>
        <w:t>Paṭis</w:t>
      </w:r>
      <w:proofErr w:type="spellEnd"/>
      <w:r>
        <w:t xml:space="preserve"> II 48, 62; </w:t>
      </w:r>
      <w:proofErr w:type="spellStart"/>
      <w:r>
        <w:t>Vin</w:t>
      </w:r>
      <w:proofErr w:type="spellEnd"/>
      <w:r>
        <w:t xml:space="preserve"> I 86. Cf. también A III 444; IV 88, 338; Sn 1076). Y no escapan a esta dificultad aquellos que di</w:t>
      </w:r>
      <w:r w:rsidR="00630FD9">
        <w:t>ga</w:t>
      </w:r>
      <w:r>
        <w:t xml:space="preserve">n que el conocimiento del Iluminado ocurre con la característica de la presencia de todos los </w:t>
      </w:r>
      <w:r w:rsidR="00630FD9" w:rsidRPr="00057BF4">
        <w:rPr>
          <w:i/>
        </w:rPr>
        <w:t>dhamma</w:t>
      </w:r>
      <w:r w:rsidR="00630FD9">
        <w:t xml:space="preserve">s </w:t>
      </w:r>
      <w:r>
        <w:t>cognoscibles como su campo objetivo, desprovisto de pensamiento discriminatorio (</w:t>
      </w:r>
      <w:proofErr w:type="spellStart"/>
      <w:r w:rsidRPr="00553522">
        <w:rPr>
          <w:i/>
          <w:iCs/>
        </w:rPr>
        <w:t>vikappa-rahita</w:t>
      </w:r>
      <w:proofErr w:type="spellEnd"/>
      <w:r>
        <w:t>), y universal en el tiempo (</w:t>
      </w:r>
      <w:proofErr w:type="spellStart"/>
      <w:r w:rsidRPr="00553522">
        <w:rPr>
          <w:i/>
          <w:iCs/>
        </w:rPr>
        <w:t>sabba-kāla</w:t>
      </w:r>
      <w:proofErr w:type="spellEnd"/>
      <w:r>
        <w:t xml:space="preserve">) y que es por eso </w:t>
      </w:r>
      <w:proofErr w:type="gramStart"/>
      <w:r>
        <w:t>que</w:t>
      </w:r>
      <w:proofErr w:type="gramEnd"/>
      <w:r>
        <w:t xml:space="preserve"> se le llama '</w:t>
      </w:r>
      <w:r w:rsidR="002F427E">
        <w:t>El que t</w:t>
      </w:r>
      <w:r>
        <w:t xml:space="preserve">odo lo ve' y por </w:t>
      </w:r>
      <w:r w:rsidR="002F427E">
        <w:t xml:space="preserve">lo cual </w:t>
      </w:r>
      <w:r>
        <w:t xml:space="preserve">se dice, 'El </w:t>
      </w:r>
      <w:proofErr w:type="spellStart"/>
      <w:r w:rsidRPr="00553522">
        <w:rPr>
          <w:i/>
          <w:iCs/>
        </w:rPr>
        <w:t>Nāga</w:t>
      </w:r>
      <w:proofErr w:type="spellEnd"/>
      <w:r>
        <w:t xml:space="preserve"> se concentra caminando y se concentra de pie' (?).</w:t>
      </w:r>
    </w:p>
    <w:p w14:paraId="6D19A118" w14:textId="35DAE86F" w:rsidR="004519D9" w:rsidRDefault="00576B9D" w:rsidP="00576B9D">
      <w:pPr>
        <w:pStyle w:val="PiedepginaLegal"/>
      </w:pPr>
      <w:r>
        <w:tab/>
      </w:r>
      <w:r>
        <w:tab/>
        <w:t xml:space="preserve">No escapa </w:t>
      </w:r>
      <w:r w:rsidR="002067EA">
        <w:t>de</w:t>
      </w:r>
      <w:r>
        <w:t xml:space="preserve"> la dificultad ya que el conocimiento del </w:t>
      </w:r>
      <w:r w:rsidR="00B07547">
        <w:rPr>
          <w:i/>
          <w:iCs/>
        </w:rPr>
        <w:t>Bhagavā</w:t>
      </w:r>
      <w:r w:rsidR="00B07547">
        <w:t xml:space="preserve"> </w:t>
      </w:r>
      <w:r>
        <w:t xml:space="preserve">tendría entonces sólo un campo objetivo parcial, </w:t>
      </w:r>
      <w:r w:rsidR="002067EA">
        <w:t xml:space="preserve">ya </w:t>
      </w:r>
      <w:r>
        <w:t xml:space="preserve">que al tener como objeto la característica de la presencia, los </w:t>
      </w:r>
      <w:r w:rsidR="00B07547" w:rsidRPr="00057BF4">
        <w:rPr>
          <w:i/>
        </w:rPr>
        <w:t>dhamma</w:t>
      </w:r>
      <w:r w:rsidR="00B07547">
        <w:t xml:space="preserve">s </w:t>
      </w:r>
      <w:r>
        <w:t xml:space="preserve">pasados, futuros y convencionales, que carecen de esa característica, estarían ausentes. Por lo tanto, es incorrecto decir que </w:t>
      </w:r>
      <w:r w:rsidR="00D67FF9">
        <w:t xml:space="preserve">su conocimiento </w:t>
      </w:r>
      <w:r>
        <w:t>ocurr</w:t>
      </w:r>
      <w:r w:rsidR="00ED21D9">
        <w:t>iría</w:t>
      </w:r>
      <w:r>
        <w:t xml:space="preserve"> simultáneamente con respecto a todos los campos objetivos. Luego, en segundo lugar, si decimos que ocurre sucesivamente con respecto a cada campo objetivo, eso también </w:t>
      </w:r>
      <w:r w:rsidR="00ED21D9">
        <w:t xml:space="preserve">sería </w:t>
      </w:r>
      <w:r>
        <w:t>incorrecto. Pues cuando se aprehend</w:t>
      </w:r>
      <w:r w:rsidR="00D67FF9">
        <w:t>e</w:t>
      </w:r>
      <w:r>
        <w:t xml:space="preserve"> sucesivamente lo cognoscible, clasificado de las muchas maneras diferentes según el </w:t>
      </w:r>
      <w:r w:rsidR="00ED21D9">
        <w:t>surgimiento</w:t>
      </w:r>
      <w:r>
        <w:t>, el lugar, la esencia individual, etc., y la dirección, el lugar, el tiempo, etc., entonces no se efect</w:t>
      </w:r>
      <w:r w:rsidR="00ED21D9">
        <w:t>u</w:t>
      </w:r>
      <w:r>
        <w:t>a</w:t>
      </w:r>
      <w:r w:rsidR="00ED21D9">
        <w:t>r</w:t>
      </w:r>
      <w:r w:rsidR="002067EA">
        <w:t>á</w:t>
      </w:r>
      <w:r>
        <w:t xml:space="preserve"> la penetración sin </w:t>
      </w:r>
      <w:r w:rsidR="00ED21D9">
        <w:t>residuos</w:t>
      </w:r>
      <w:r>
        <w:t>, puesto que lo cognoscible es infinito. Y también están equivocados quienes di</w:t>
      </w:r>
      <w:r w:rsidR="00663D8B">
        <w:t>ga</w:t>
      </w:r>
      <w:r>
        <w:t xml:space="preserve">n que el </w:t>
      </w:r>
      <w:r w:rsidR="00663D8B">
        <w:rPr>
          <w:i/>
          <w:iCs/>
        </w:rPr>
        <w:t>Bhagavā</w:t>
      </w:r>
      <w:r w:rsidR="00663D8B">
        <w:t xml:space="preserve"> </w:t>
      </w:r>
      <w:r>
        <w:t>e</w:t>
      </w:r>
      <w:r w:rsidR="00A318FD">
        <w:t>ra</w:t>
      </w:r>
      <w:r>
        <w:t xml:space="preserve"> </w:t>
      </w:r>
      <w:proofErr w:type="spellStart"/>
      <w:r>
        <w:t>Omnividente</w:t>
      </w:r>
      <w:proofErr w:type="spellEnd"/>
      <w:r>
        <w:t xml:space="preserve"> debido a que hizo su definición al tomar una parte de lo cognoscible como realmente experimentado (</w:t>
      </w:r>
      <w:proofErr w:type="spellStart"/>
      <w:r w:rsidRPr="00C17A17">
        <w:rPr>
          <w:i/>
          <w:iCs/>
        </w:rPr>
        <w:t>paccakkha</w:t>
      </w:r>
      <w:proofErr w:type="spellEnd"/>
      <w:r>
        <w:t xml:space="preserve">) y </w:t>
      </w:r>
      <w:r w:rsidR="00103519">
        <w:t xml:space="preserve">por </w:t>
      </w:r>
      <w:r>
        <w:t xml:space="preserve">decidir que el resto </w:t>
      </w:r>
      <w:r w:rsidR="00663D8B">
        <w:t>era</w:t>
      </w:r>
      <w:r>
        <w:t xml:space="preserve"> lo mismo debido a l</w:t>
      </w:r>
      <w:r w:rsidR="00663D8B">
        <w:t>o</w:t>
      </w:r>
      <w:r>
        <w:t xml:space="preserve"> inequívoc</w:t>
      </w:r>
      <w:r w:rsidR="00663D8B">
        <w:t>o</w:t>
      </w:r>
      <w:r>
        <w:t xml:space="preserve"> de su </w:t>
      </w:r>
    </w:p>
    <w:p w14:paraId="17F810C3" w14:textId="77777777" w:rsidR="004519D9" w:rsidRDefault="004519D9">
      <w:pPr>
        <w:tabs>
          <w:tab w:val="clear" w:pos="425"/>
        </w:tabs>
        <w:spacing w:after="160"/>
        <w:rPr>
          <w:color w:val="000000" w:themeColor="text1"/>
          <w:spacing w:val="10"/>
          <w:sz w:val="14"/>
        </w:rPr>
      </w:pPr>
      <w:r>
        <w:br w:type="page"/>
      </w:r>
    </w:p>
    <w:p w14:paraId="613ECAC8" w14:textId="2BC57819" w:rsidR="00E57D46" w:rsidRDefault="008D6A2C" w:rsidP="008D6A2C">
      <w:r>
        <w:lastRenderedPageBreak/>
        <w:br/>
      </w:r>
    </w:p>
    <w:p w14:paraId="0CC6F88B" w14:textId="4F4112A2" w:rsidR="00E57D46" w:rsidRDefault="00E57D46" w:rsidP="00E57D46">
      <w:r>
        <w:t xml:space="preserve">31. </w:t>
      </w:r>
      <w:r>
        <w:tab/>
        <w:t xml:space="preserve">La </w:t>
      </w:r>
      <w:r w:rsidRPr="003F7EA2">
        <w:rPr>
          <w:i/>
          <w:iCs/>
        </w:rPr>
        <w:t>conducta</w:t>
      </w:r>
      <w:r>
        <w:t xml:space="preserve"> </w:t>
      </w:r>
      <w:r w:rsidRPr="003F7EA2">
        <w:rPr>
          <w:i/>
          <w:iCs/>
        </w:rPr>
        <w:t>virtuosa</w:t>
      </w:r>
      <w:r>
        <w:t xml:space="preserve"> debe entenderse como </w:t>
      </w:r>
      <w:r w:rsidR="004D6273">
        <w:t>15</w:t>
      </w:r>
      <w:r>
        <w:t xml:space="preserve"> cosas, es decir: </w:t>
      </w:r>
      <w:r w:rsidR="00C11883" w:rsidRPr="00C11883">
        <w:rPr>
          <w:color w:val="1F3864" w:themeColor="accent1" w:themeShade="80"/>
        </w:rPr>
        <w:t xml:space="preserve">(i) </w:t>
      </w:r>
      <w:r>
        <w:t xml:space="preserve">la </w:t>
      </w:r>
      <w:r w:rsidR="000177EA">
        <w:t>restricción mediante</w:t>
      </w:r>
      <w:r>
        <w:t xml:space="preserve"> la virtud, </w:t>
      </w:r>
      <w:r w:rsidR="00C11883" w:rsidRPr="00C11883">
        <w:rPr>
          <w:color w:val="1F3864" w:themeColor="accent1" w:themeShade="80"/>
        </w:rPr>
        <w:t>(</w:t>
      </w:r>
      <w:proofErr w:type="spellStart"/>
      <w:r w:rsidR="00C11883">
        <w:rPr>
          <w:color w:val="1F3864" w:themeColor="accent1" w:themeShade="80"/>
        </w:rPr>
        <w:t>i</w:t>
      </w:r>
      <w:r w:rsidR="00C11883" w:rsidRPr="00C11883">
        <w:rPr>
          <w:color w:val="1F3864" w:themeColor="accent1" w:themeShade="80"/>
        </w:rPr>
        <w:t>i</w:t>
      </w:r>
      <w:proofErr w:type="spellEnd"/>
      <w:r w:rsidR="00C11883" w:rsidRPr="00C11883">
        <w:rPr>
          <w:color w:val="1F3864" w:themeColor="accent1" w:themeShade="80"/>
        </w:rPr>
        <w:t xml:space="preserve">) </w:t>
      </w:r>
      <w:r>
        <w:t xml:space="preserve">la </w:t>
      </w:r>
      <w:r w:rsidR="000177EA">
        <w:t xml:space="preserve">vigilancia </w:t>
      </w:r>
      <w:r>
        <w:t xml:space="preserve">de las facultades de los sentidos, </w:t>
      </w:r>
      <w:r w:rsidR="00C11883" w:rsidRPr="00C11883">
        <w:rPr>
          <w:color w:val="1F3864" w:themeColor="accent1" w:themeShade="80"/>
        </w:rPr>
        <w:t>(</w:t>
      </w:r>
      <w:proofErr w:type="spellStart"/>
      <w:r w:rsidR="00C11883" w:rsidRPr="00C11883">
        <w:rPr>
          <w:color w:val="1F3864" w:themeColor="accent1" w:themeShade="80"/>
        </w:rPr>
        <w:t>i</w:t>
      </w:r>
      <w:r w:rsidR="00C11883">
        <w:rPr>
          <w:color w:val="1F3864" w:themeColor="accent1" w:themeShade="80"/>
        </w:rPr>
        <w:t>ii</w:t>
      </w:r>
      <w:proofErr w:type="spellEnd"/>
      <w:r w:rsidR="00C11883" w:rsidRPr="00C11883">
        <w:rPr>
          <w:color w:val="1F3864" w:themeColor="accent1" w:themeShade="80"/>
        </w:rPr>
        <w:t xml:space="preserve">) </w:t>
      </w:r>
      <w:r>
        <w:t xml:space="preserve">el conocimiento de la cantidad correcta al comer, </w:t>
      </w:r>
      <w:r w:rsidR="00C11883" w:rsidRPr="00C11883">
        <w:rPr>
          <w:color w:val="1F3864" w:themeColor="accent1" w:themeShade="80"/>
        </w:rPr>
        <w:t>(</w:t>
      </w:r>
      <w:proofErr w:type="spellStart"/>
      <w:r w:rsidR="00C11883" w:rsidRPr="00C11883">
        <w:rPr>
          <w:color w:val="1F3864" w:themeColor="accent1" w:themeShade="80"/>
        </w:rPr>
        <w:t>i</w:t>
      </w:r>
      <w:r w:rsidR="00C11883">
        <w:rPr>
          <w:color w:val="1F3864" w:themeColor="accent1" w:themeShade="80"/>
        </w:rPr>
        <w:t>v</w:t>
      </w:r>
      <w:proofErr w:type="spellEnd"/>
      <w:r w:rsidR="00C11883" w:rsidRPr="00C11883">
        <w:rPr>
          <w:color w:val="1F3864" w:themeColor="accent1" w:themeShade="80"/>
        </w:rPr>
        <w:t xml:space="preserve">) </w:t>
      </w:r>
      <w:r>
        <w:t xml:space="preserve">la devoción </w:t>
      </w:r>
      <w:r w:rsidR="000177EA">
        <w:t>hacia</w:t>
      </w:r>
      <w:r>
        <w:t xml:space="preserve"> la vigilia, </w:t>
      </w:r>
      <w:r w:rsidR="00C11883" w:rsidRPr="00C11883">
        <w:rPr>
          <w:color w:val="1F3864" w:themeColor="accent1" w:themeShade="80"/>
        </w:rPr>
        <w:t>(</w:t>
      </w:r>
      <w:r w:rsidR="00C11883">
        <w:rPr>
          <w:color w:val="1F3864" w:themeColor="accent1" w:themeShade="80"/>
        </w:rPr>
        <w:t>v</w:t>
      </w:r>
      <w:r w:rsidR="00D000AA">
        <w:rPr>
          <w:color w:val="1F3864" w:themeColor="accent1" w:themeShade="80"/>
        </w:rPr>
        <w:t>-xi</w:t>
      </w:r>
      <w:r w:rsidR="00D000AA" w:rsidRPr="00C11883">
        <w:rPr>
          <w:color w:val="1F3864" w:themeColor="accent1" w:themeShade="80"/>
        </w:rPr>
        <w:t xml:space="preserve">) </w:t>
      </w:r>
      <w:r>
        <w:t xml:space="preserve">los </w:t>
      </w:r>
      <w:r w:rsidR="00B70B26">
        <w:t>7</w:t>
      </w:r>
      <w:r>
        <w:t xml:space="preserve"> buenos estados</w:t>
      </w:r>
      <w:r w:rsidRPr="003D750B">
        <w:rPr>
          <w:vertAlign w:val="superscript"/>
        </w:rPr>
        <w:t>8</w:t>
      </w:r>
      <w:r>
        <w:t xml:space="preserve"> y </w:t>
      </w:r>
      <w:r w:rsidR="00B70B26" w:rsidRPr="00C11883">
        <w:rPr>
          <w:color w:val="1F3864" w:themeColor="accent1" w:themeShade="80"/>
        </w:rPr>
        <w:t>(</w:t>
      </w:r>
      <w:proofErr w:type="spellStart"/>
      <w:r w:rsidR="00D000AA">
        <w:rPr>
          <w:color w:val="1F3864" w:themeColor="accent1" w:themeShade="80"/>
        </w:rPr>
        <w:t>xii</w:t>
      </w:r>
      <w:r w:rsidR="00C7080F">
        <w:rPr>
          <w:color w:val="1F3864" w:themeColor="accent1" w:themeShade="80"/>
        </w:rPr>
        <w:t>-xv</w:t>
      </w:r>
      <w:proofErr w:type="spellEnd"/>
      <w:r w:rsidR="00B70B26" w:rsidRPr="00C11883">
        <w:rPr>
          <w:color w:val="1F3864" w:themeColor="accent1" w:themeShade="80"/>
        </w:rPr>
        <w:t xml:space="preserve">) </w:t>
      </w:r>
      <w:r>
        <w:t xml:space="preserve">los </w:t>
      </w:r>
      <w:r w:rsidR="00D000AA">
        <w:t>4</w:t>
      </w:r>
      <w:r>
        <w:t xml:space="preserve"> </w:t>
      </w:r>
      <w:proofErr w:type="spellStart"/>
      <w:r w:rsidR="00057BF4" w:rsidRPr="00057BF4">
        <w:rPr>
          <w:i/>
          <w:iCs/>
        </w:rPr>
        <w:t>jhāna</w:t>
      </w:r>
      <w:r w:rsidRPr="00C17A17">
        <w:rPr>
          <w:i/>
          <w:iCs/>
        </w:rPr>
        <w:t>s</w:t>
      </w:r>
      <w:proofErr w:type="spellEnd"/>
      <w:r>
        <w:t xml:space="preserve"> de la esfera de la materia </w:t>
      </w:r>
      <w:r w:rsidR="000177EA">
        <w:t>sutil</w:t>
      </w:r>
      <w:r>
        <w:t xml:space="preserve">. </w:t>
      </w:r>
      <w:r w:rsidR="00C744CF">
        <w:t xml:space="preserve">Ya </w:t>
      </w:r>
      <w:r>
        <w:t xml:space="preserve">que es precisamente por medio de estas </w:t>
      </w:r>
      <w:r w:rsidR="004D6273">
        <w:t>15</w:t>
      </w:r>
      <w:r>
        <w:t xml:space="preserve"> cosas que un </w:t>
      </w:r>
      <w:r w:rsidR="004D6273">
        <w:t xml:space="preserve">noble </w:t>
      </w:r>
      <w:r>
        <w:t xml:space="preserve">discípulo se conduce, que </w:t>
      </w:r>
      <w:r w:rsidR="00C744CF">
        <w:t xml:space="preserve">se dirige </w:t>
      </w:r>
      <w:r>
        <w:t>hacia lo inmortal. Por eso se le llama “</w:t>
      </w:r>
      <w:r w:rsidRPr="003F7EA2">
        <w:rPr>
          <w:i/>
          <w:iCs/>
        </w:rPr>
        <w:t>conducta</w:t>
      </w:r>
      <w:r>
        <w:t xml:space="preserve"> [</w:t>
      </w:r>
      <w:r w:rsidRPr="003F7EA2">
        <w:rPr>
          <w:i/>
          <w:iCs/>
        </w:rPr>
        <w:t>virtuosa</w:t>
      </w:r>
      <w:r>
        <w:t xml:space="preserve">]”, </w:t>
      </w:r>
      <w:r w:rsidR="00B370B4">
        <w:t>conforme</w:t>
      </w:r>
      <w:r w:rsidR="00E94170">
        <w:t xml:space="preserve"> a lo que se dice al respecto</w:t>
      </w:r>
      <w:r>
        <w:t xml:space="preserve">, “Aquí, </w:t>
      </w:r>
      <w:proofErr w:type="spellStart"/>
      <w:r w:rsidRPr="00C17A17">
        <w:rPr>
          <w:i/>
          <w:iCs/>
        </w:rPr>
        <w:t>Mahā</w:t>
      </w:r>
      <w:r w:rsidR="00057BF4" w:rsidRPr="00057BF4">
        <w:rPr>
          <w:i/>
          <w:iCs/>
        </w:rPr>
        <w:t>nāma</w:t>
      </w:r>
      <w:proofErr w:type="spellEnd"/>
      <w:r>
        <w:t xml:space="preserve">, un noble discípulo </w:t>
      </w:r>
      <w:r w:rsidR="00E94170">
        <w:t xml:space="preserve">posee </w:t>
      </w:r>
      <w:r>
        <w:t xml:space="preserve">virtud” (M I 355), etc., lo cual debe entenderse </w:t>
      </w:r>
      <w:r w:rsidR="00C11883">
        <w:t>e</w:t>
      </w:r>
      <w:r w:rsidR="00B370B4">
        <w:t>n</w:t>
      </w:r>
      <w:r w:rsidR="00C11883">
        <w:t xml:space="preserve"> su totalidad tal </w:t>
      </w:r>
      <w:r>
        <w:t xml:space="preserve">como </w:t>
      </w:r>
      <w:r w:rsidR="00C11883">
        <w:t xml:space="preserve">se establece </w:t>
      </w:r>
      <w:r>
        <w:t xml:space="preserve">en el Medio Cincuenta [del </w:t>
      </w:r>
      <w:proofErr w:type="spellStart"/>
      <w:r w:rsidRPr="00C17A17">
        <w:rPr>
          <w:i/>
          <w:iCs/>
        </w:rPr>
        <w:t>Majjhima</w:t>
      </w:r>
      <w:proofErr w:type="spellEnd"/>
      <w:r w:rsidRPr="00C17A17">
        <w:rPr>
          <w:i/>
          <w:iCs/>
        </w:rPr>
        <w:t xml:space="preserve"> Nikāya</w:t>
      </w:r>
      <w:r>
        <w:t>].</w:t>
      </w:r>
    </w:p>
    <w:p w14:paraId="7115B134" w14:textId="77777777" w:rsidR="00E57D46" w:rsidRDefault="00E57D46" w:rsidP="00E57D46">
      <w:pPr>
        <w:pStyle w:val="Piedepgina"/>
        <w:rPr>
          <w:u w:val="single"/>
        </w:rPr>
      </w:pPr>
      <w:r>
        <w:t> </w:t>
      </w:r>
      <w:r>
        <w:rPr>
          <w:u w:val="single"/>
        </w:rPr>
        <w:t xml:space="preserve">                                                                                                                                                                          .</w:t>
      </w:r>
    </w:p>
    <w:p w14:paraId="19172DBC" w14:textId="77777777" w:rsidR="00E57D46" w:rsidRPr="00C17A17" w:rsidRDefault="00E57D46" w:rsidP="00E57D46">
      <w:pPr>
        <w:pStyle w:val="PiedepginaLegal"/>
        <w:rPr>
          <w:i/>
          <w:iCs/>
        </w:rPr>
      </w:pPr>
      <w:r>
        <w:t>…</w:t>
      </w:r>
    </w:p>
    <w:p w14:paraId="648FF294" w14:textId="247B7428" w:rsidR="00E57D46" w:rsidRDefault="00E57D46" w:rsidP="00507993">
      <w:pPr>
        <w:pStyle w:val="PiedepginaLegal"/>
        <w:tabs>
          <w:tab w:val="clear" w:pos="6804"/>
        </w:tabs>
        <w:ind w:right="617"/>
      </w:pPr>
      <w:r>
        <w:tab/>
      </w:r>
      <w:r w:rsidR="00103519">
        <w:t xml:space="preserve">significado y </w:t>
      </w:r>
      <w:r w:rsidR="00A318FD">
        <w:t xml:space="preserve">que tal </w:t>
      </w:r>
      <w:r w:rsidR="002067EA" w:rsidRPr="00C17A17">
        <w:t>conocimiento</w:t>
      </w:r>
      <w:r w:rsidR="002067EA">
        <w:t xml:space="preserve"> no era </w:t>
      </w:r>
      <w:r>
        <w:t>inferencial (</w:t>
      </w:r>
      <w:proofErr w:type="spellStart"/>
      <w:r w:rsidRPr="00C17A17">
        <w:rPr>
          <w:i/>
          <w:iCs/>
        </w:rPr>
        <w:t>anumānika</w:t>
      </w:r>
      <w:proofErr w:type="spellEnd"/>
      <w:r>
        <w:t>) ya que est</w:t>
      </w:r>
      <w:r w:rsidR="00663D8B">
        <w:t xml:space="preserve">aba </w:t>
      </w:r>
      <w:r>
        <w:t>libre de duda</w:t>
      </w:r>
      <w:r w:rsidR="00663D8B">
        <w:t>s</w:t>
      </w:r>
      <w:r>
        <w:t xml:space="preserve">, porque es lo que se descubre dudosamente </w:t>
      </w:r>
      <w:r w:rsidR="00DF7255">
        <w:t xml:space="preserve">lo </w:t>
      </w:r>
      <w:r>
        <w:t>que se entiende por conocimiento inferencial en el mundo. Y se equivocan porque no existe tal definición tomando una parte de lo cognoscible como realmente experimentad</w:t>
      </w:r>
      <w:r w:rsidR="00DF7255">
        <w:t>o</w:t>
      </w:r>
      <w:r>
        <w:t xml:space="preserve"> y decidiendo que el resto </w:t>
      </w:r>
      <w:r w:rsidR="00103519">
        <w:t>fuese</w:t>
      </w:r>
      <w:r>
        <w:t xml:space="preserve"> lo mismo por lo inequívoco de su significado, sin hacer que todo ello sea realmente experimentado. </w:t>
      </w:r>
      <w:r w:rsidR="00103519">
        <w:t xml:space="preserve">Ya </w:t>
      </w:r>
      <w:r>
        <w:t>que entonces ese “descanso” no se experimenta</w:t>
      </w:r>
      <w:r w:rsidR="00DF7255">
        <w:t>ría</w:t>
      </w:r>
      <w:r>
        <w:t xml:space="preserve"> realmente; y si fuera realmente experimentado, ya no sería “</w:t>
      </w:r>
      <w:r w:rsidR="00DF7255">
        <w:t>residuo</w:t>
      </w:r>
      <w:r>
        <w:t>”.</w:t>
      </w:r>
    </w:p>
    <w:p w14:paraId="0159F7C1" w14:textId="123CF15A" w:rsidR="00E57D46" w:rsidRDefault="00E57D46" w:rsidP="00507993">
      <w:pPr>
        <w:pStyle w:val="PiedepginaLegal"/>
        <w:tabs>
          <w:tab w:val="clear" w:pos="6804"/>
        </w:tabs>
        <w:ind w:right="617"/>
      </w:pPr>
      <w:r>
        <w:tab/>
      </w:r>
      <w:r>
        <w:tab/>
        <w:t xml:space="preserve">“Todo eso no es un argumento. —¿Por qué </w:t>
      </w:r>
      <w:r w:rsidR="00C17A17">
        <w:t>no? —</w:t>
      </w:r>
      <w:r>
        <w:t xml:space="preserve">Porque éste no es </w:t>
      </w:r>
      <w:r w:rsidR="00DF7255">
        <w:t xml:space="preserve">un </w:t>
      </w:r>
      <w:r>
        <w:t xml:space="preserve">campo de raciocinio; pues el </w:t>
      </w:r>
      <w:r w:rsidR="00DF7255">
        <w:rPr>
          <w:i/>
          <w:iCs/>
        </w:rPr>
        <w:t>Bhagavā</w:t>
      </w:r>
      <w:r w:rsidR="00DF7255">
        <w:t xml:space="preserve"> </w:t>
      </w:r>
      <w:r>
        <w:t xml:space="preserve">ha dicho esto: ‘El campo objetivo de los Iluminados es </w:t>
      </w:r>
      <w:r w:rsidR="005643D3">
        <w:t xml:space="preserve">un </w:t>
      </w:r>
      <w:r>
        <w:t>impensable, no puede ser pensado; cualquiera que trata</w:t>
      </w:r>
      <w:r w:rsidR="00103519">
        <w:t>se</w:t>
      </w:r>
      <w:r>
        <w:t xml:space="preserve"> de pensarlo cosecharía locura y frustración” (A II 80). La explicación acordada aquí es </w:t>
      </w:r>
      <w:r w:rsidR="00DF7255">
        <w:t>é</w:t>
      </w:r>
      <w:r>
        <w:t xml:space="preserve">sta: cualquier cosa que el </w:t>
      </w:r>
      <w:r w:rsidR="008F6DC0">
        <w:rPr>
          <w:i/>
          <w:iCs/>
        </w:rPr>
        <w:t>Bhagavā</w:t>
      </w:r>
      <w:r w:rsidR="008F6DC0">
        <w:t xml:space="preserve"> </w:t>
      </w:r>
      <w:r>
        <w:t>quiera saber, ya sea total o parcialmente, allí su conocimiento ocurr</w:t>
      </w:r>
      <w:r w:rsidR="008F6DC0">
        <w:t>irá</w:t>
      </w:r>
      <w:r>
        <w:t xml:space="preserve"> como experiencia real porque lo ha</w:t>
      </w:r>
      <w:r w:rsidR="003A0B93">
        <w:t>rá</w:t>
      </w:r>
      <w:r>
        <w:t xml:space="preserve"> sin obstáculos. Y </w:t>
      </w:r>
      <w:r w:rsidR="00E05BDA">
        <w:t>él posee</w:t>
      </w:r>
      <w:r>
        <w:t xml:space="preserve"> </w:t>
      </w:r>
      <w:r w:rsidR="00E05BDA">
        <w:t xml:space="preserve">una </w:t>
      </w:r>
      <w:r>
        <w:t>concentración constante debido a la ausencia de distracción. Y no p</w:t>
      </w:r>
      <w:r w:rsidR="00E05BDA">
        <w:t>o</w:t>
      </w:r>
      <w:r>
        <w:t>d</w:t>
      </w:r>
      <w:r w:rsidR="00E05BDA">
        <w:t>rá</w:t>
      </w:r>
      <w:r>
        <w:t xml:space="preserve"> ocurrir en asociación con </w:t>
      </w:r>
      <w:r w:rsidR="00F3782C">
        <w:t>el</w:t>
      </w:r>
      <w:r>
        <w:t xml:space="preserve"> deseo de un tipo que se deb</w:t>
      </w:r>
      <w:r w:rsidR="004D38BC">
        <w:t>a</w:t>
      </w:r>
      <w:r>
        <w:t xml:space="preserve"> a la ausencia del campo objetivo de algo que él quier</w:t>
      </w:r>
      <w:r w:rsidR="004D38BC">
        <w:t>a</w:t>
      </w:r>
      <w:r>
        <w:t xml:space="preserve"> saber. No puede haber excepción a esto debido a las palabras, 'Todos los </w:t>
      </w:r>
      <w:r w:rsidR="004D38BC" w:rsidRPr="00057BF4">
        <w:rPr>
          <w:i/>
        </w:rPr>
        <w:t>dhamma</w:t>
      </w:r>
      <w:r w:rsidR="004D38BC">
        <w:t xml:space="preserve">s </w:t>
      </w:r>
      <w:r>
        <w:t xml:space="preserve">están disponibles para la advertencia del Iluminado, </w:t>
      </w:r>
      <w:r w:rsidR="004D38BC">
        <w:t>d</w:t>
      </w:r>
      <w:r>
        <w:t xml:space="preserve">el </w:t>
      </w:r>
      <w:r w:rsidR="004D38BC">
        <w:rPr>
          <w:i/>
          <w:iCs/>
        </w:rPr>
        <w:t>Bhagavā</w:t>
      </w:r>
      <w:r>
        <w:t>, están disponibles a</w:t>
      </w:r>
      <w:r w:rsidR="004D38BC">
        <w:t>nte</w:t>
      </w:r>
      <w:r>
        <w:t xml:space="preserve"> su deseo, están disponibles </w:t>
      </w:r>
      <w:r w:rsidR="004D38BC">
        <w:t>ante</w:t>
      </w:r>
      <w:r>
        <w:t xml:space="preserve"> su atención, están disponibles </w:t>
      </w:r>
      <w:r w:rsidR="004D38BC">
        <w:t>ante</w:t>
      </w:r>
      <w:r>
        <w:t xml:space="preserve"> su pensamiento' (</w:t>
      </w:r>
      <w:proofErr w:type="spellStart"/>
      <w:r w:rsidRPr="00C17A17">
        <w:rPr>
          <w:i/>
          <w:iCs/>
        </w:rPr>
        <w:t>Pa</w:t>
      </w:r>
      <w:r w:rsidR="00C17A17" w:rsidRPr="00C17A17">
        <w:rPr>
          <w:i/>
          <w:iCs/>
        </w:rPr>
        <w:t>ṭ</w:t>
      </w:r>
      <w:r w:rsidRPr="00C17A17">
        <w:rPr>
          <w:i/>
          <w:iCs/>
        </w:rPr>
        <w:t>is</w:t>
      </w:r>
      <w:proofErr w:type="spellEnd"/>
      <w:r>
        <w:t xml:space="preserve"> II 195). Y el conocimiento del </w:t>
      </w:r>
      <w:r w:rsidR="004D38BC">
        <w:rPr>
          <w:i/>
          <w:iCs/>
        </w:rPr>
        <w:t>Bhagavā</w:t>
      </w:r>
      <w:r w:rsidR="004D38BC">
        <w:t xml:space="preserve"> </w:t>
      </w:r>
      <w:r>
        <w:t>que tiene el pasado y el futuro como su campo objetivo es una experiencia enteramente real ya que está desprovist</w:t>
      </w:r>
      <w:r w:rsidR="004D38BC">
        <w:t>a</w:t>
      </w:r>
      <w:r>
        <w:t xml:space="preserve"> de suposiciones basadas en inferencias, tradiciones o conjeturas.</w:t>
      </w:r>
    </w:p>
    <w:p w14:paraId="73824E5F" w14:textId="0D7C83C1" w:rsidR="00E57D46" w:rsidRDefault="00E57D46" w:rsidP="00507993">
      <w:pPr>
        <w:pStyle w:val="PiedepginaLegal"/>
        <w:tabs>
          <w:tab w:val="clear" w:pos="6804"/>
        </w:tabs>
        <w:ind w:right="617"/>
      </w:pPr>
      <w:r>
        <w:tab/>
      </w:r>
      <w:r>
        <w:tab/>
        <w:t xml:space="preserve">“Y sin embargo, incluso en ese caso, supongamos que él quisiera conocer el todo en su totalidad, ¿entonces su conocimiento no ocurriría sin diferenciación en todo el campo objetivo simultáneamente? ¿Y entonces todavía no habría forma de salir de esa dificultad? “Eso no es así, debido a su pureza. Porque el campo objetivo del Iluminado está purificado y es impensable. De lo contrario, no habría </w:t>
      </w:r>
      <w:proofErr w:type="spellStart"/>
      <w:r>
        <w:t>impensabilidad</w:t>
      </w:r>
      <w:proofErr w:type="spellEnd"/>
      <w:r>
        <w:t xml:space="preserve"> </w:t>
      </w:r>
      <w:r w:rsidR="00DB357E">
        <w:t>respecto</w:t>
      </w:r>
      <w:r>
        <w:t xml:space="preserve"> </w:t>
      </w:r>
      <w:r w:rsidR="00DB357E">
        <w:t>a</w:t>
      </w:r>
      <w:r>
        <w:t xml:space="preserve">l conocimiento del Iluminado, </w:t>
      </w:r>
      <w:r w:rsidR="00EF049E">
        <w:t>d</w:t>
      </w:r>
      <w:r>
        <w:t xml:space="preserve">el </w:t>
      </w:r>
      <w:r w:rsidR="00EF049E">
        <w:rPr>
          <w:i/>
          <w:iCs/>
        </w:rPr>
        <w:t>Bhagavā</w:t>
      </w:r>
      <w:r>
        <w:t>, si ocurrie</w:t>
      </w:r>
      <w:r w:rsidR="008B3799">
        <w:t>se</w:t>
      </w:r>
      <w:r>
        <w:t xml:space="preserve"> de la misma manera que </w:t>
      </w:r>
      <w:r w:rsidR="008B3799">
        <w:t xml:space="preserve">en </w:t>
      </w:r>
      <w:r>
        <w:t>la gente común. Entonces, aunque ocurr</w:t>
      </w:r>
      <w:r w:rsidR="008B3799">
        <w:t>a</w:t>
      </w:r>
      <w:r>
        <w:t xml:space="preserve"> con todos los </w:t>
      </w:r>
      <w:r w:rsidR="008B3799" w:rsidRPr="00057BF4">
        <w:rPr>
          <w:i/>
        </w:rPr>
        <w:t>dhamma</w:t>
      </w:r>
      <w:r w:rsidR="008B3799">
        <w:t xml:space="preserve">s </w:t>
      </w:r>
      <w:r>
        <w:t>como su objeto, sin embargo, lo ha</w:t>
      </w:r>
      <w:r w:rsidR="00953D14">
        <w:t>rá</w:t>
      </w:r>
      <w:r>
        <w:t xml:space="preserve"> definiendo esos </w:t>
      </w:r>
      <w:r w:rsidR="00953D14" w:rsidRPr="00057BF4">
        <w:rPr>
          <w:i/>
        </w:rPr>
        <w:t>dhamma</w:t>
      </w:r>
      <w:r w:rsidR="00953D14">
        <w:t xml:space="preserve">s </w:t>
      </w:r>
      <w:r>
        <w:t xml:space="preserve">con bastante claridad, como si tuviera un solo </w:t>
      </w:r>
      <w:r w:rsidR="00953D14" w:rsidRPr="00057BF4">
        <w:rPr>
          <w:i/>
        </w:rPr>
        <w:t>dhamma</w:t>
      </w:r>
      <w:r w:rsidR="00953D14">
        <w:t xml:space="preserve"> </w:t>
      </w:r>
      <w:r>
        <w:t>como su objeto. Esto es lo impensable aquí'</w:t>
      </w:r>
      <w:r w:rsidR="00953D14">
        <w:t>.</w:t>
      </w:r>
    </w:p>
    <w:p w14:paraId="6905999B" w14:textId="029A2F84" w:rsidR="00E57D46" w:rsidRDefault="00E57D46" w:rsidP="00507993">
      <w:pPr>
        <w:pStyle w:val="PiedepginaLegal"/>
        <w:tabs>
          <w:tab w:val="clear" w:pos="6804"/>
        </w:tabs>
        <w:ind w:right="617"/>
      </w:pPr>
      <w:r>
        <w:tab/>
      </w:r>
      <w:r>
        <w:tab/>
        <w:t>Ha</w:t>
      </w:r>
      <w:r w:rsidR="001658EB">
        <w:t>brá</w:t>
      </w:r>
      <w:r>
        <w:t xml:space="preserve"> tanto conocimiento como </w:t>
      </w:r>
      <w:r w:rsidR="001658EB">
        <w:t xml:space="preserve">haya de </w:t>
      </w:r>
      <w:r>
        <w:t>cognoscible, ha</w:t>
      </w:r>
      <w:r w:rsidR="001658EB">
        <w:t>brá</w:t>
      </w:r>
      <w:r>
        <w:t xml:space="preserve"> tanto cognoscible como </w:t>
      </w:r>
      <w:r w:rsidR="001658EB">
        <w:t xml:space="preserve">de </w:t>
      </w:r>
      <w:r>
        <w:t>conocimiento; el conocimiento está limitado por lo cognoscible, lo cognoscible está limitado por el conocimiento” (</w:t>
      </w:r>
      <w:proofErr w:type="spellStart"/>
      <w:r w:rsidRPr="00C17A17">
        <w:rPr>
          <w:i/>
          <w:iCs/>
        </w:rPr>
        <w:t>Paṭis</w:t>
      </w:r>
      <w:proofErr w:type="spellEnd"/>
      <w:r>
        <w:t xml:space="preserve"> II l95). Así que es </w:t>
      </w:r>
      <w:r w:rsidR="00953CAA">
        <w:t xml:space="preserve">un </w:t>
      </w:r>
      <w:r>
        <w:t xml:space="preserve">Completamente Iluminado porque ha descubierto correctamente y por sí mismo todos los </w:t>
      </w:r>
      <w:r w:rsidR="00953CAA" w:rsidRPr="00057BF4">
        <w:rPr>
          <w:i/>
        </w:rPr>
        <w:t>dhamma</w:t>
      </w:r>
      <w:r w:rsidR="00953CAA">
        <w:t>s conjunta e independientemente</w:t>
      </w:r>
      <w:r>
        <w:t>, simultánea y sucesivamente, de acuerdo con su deseo” (</w:t>
      </w:r>
      <w:proofErr w:type="spellStart"/>
      <w:r>
        <w:t>Vism-mhṭ</w:t>
      </w:r>
      <w:proofErr w:type="spellEnd"/>
      <w:r>
        <w:t xml:space="preserve"> 190–91).</w:t>
      </w:r>
    </w:p>
    <w:p w14:paraId="3C106CE5" w14:textId="690EA6E4" w:rsidR="00E57D46" w:rsidRDefault="00E57D46" w:rsidP="00507993">
      <w:pPr>
        <w:pStyle w:val="PiedepginaLegal"/>
        <w:tabs>
          <w:tab w:val="clear" w:pos="6804"/>
        </w:tabs>
        <w:ind w:right="617"/>
      </w:pPr>
      <w:r>
        <w:t xml:space="preserve"> 8. </w:t>
      </w:r>
      <w:r>
        <w:tab/>
        <w:t xml:space="preserve">Un poseedor de “los siete” </w:t>
      </w:r>
      <w:r w:rsidR="00BD526A" w:rsidRPr="00CA4BBD">
        <w:t>{</w:t>
      </w:r>
      <w:r w:rsidR="00BD526A" w:rsidRPr="00BD526A">
        <w:rPr>
          <w:i/>
          <w:iCs/>
        </w:rPr>
        <w:t>buenos estados</w:t>
      </w:r>
      <w:r w:rsidR="00BD526A" w:rsidRPr="00CA4BBD">
        <w:t>}</w:t>
      </w:r>
      <w:r w:rsidR="00BD526A">
        <w:t xml:space="preserve"> </w:t>
      </w:r>
      <w:r>
        <w:t>ten</w:t>
      </w:r>
      <w:r w:rsidR="003D750B">
        <w:t>drá</w:t>
      </w:r>
      <w:r>
        <w:t xml:space="preserve"> fe, </w:t>
      </w:r>
      <w:r w:rsidR="00BC01C6">
        <w:t>temor</w:t>
      </w:r>
      <w:r w:rsidR="00CA4BBD">
        <w:t xml:space="preserve"> </w:t>
      </w:r>
      <w:r w:rsidR="00CA4BBD" w:rsidRPr="008005EB">
        <w:rPr>
          <w:i/>
          <w:iCs/>
          <w:color w:val="833C0B" w:themeColor="accent2" w:themeShade="80"/>
          <w:spacing w:val="0"/>
          <w:u w:color="000000"/>
        </w:rPr>
        <w:t>moral</w:t>
      </w:r>
      <w:r w:rsidRPr="008005EB">
        <w:rPr>
          <w:color w:val="833C0B" w:themeColor="accent2" w:themeShade="80"/>
          <w:spacing w:val="0"/>
          <w:u w:color="000000"/>
        </w:rPr>
        <w:t>,</w:t>
      </w:r>
      <w:r w:rsidRPr="008005EB">
        <w:t xml:space="preserve"> </w:t>
      </w:r>
      <w:r>
        <w:t>vergüenza</w:t>
      </w:r>
      <w:r w:rsidR="00CA4BBD">
        <w:t xml:space="preserve"> </w:t>
      </w:r>
      <w:r w:rsidR="00CA4BBD" w:rsidRPr="008005EB">
        <w:rPr>
          <w:i/>
          <w:iCs/>
          <w:color w:val="833C0B" w:themeColor="accent2" w:themeShade="80"/>
          <w:spacing w:val="0"/>
          <w:u w:color="000000"/>
        </w:rPr>
        <w:t>moral</w:t>
      </w:r>
      <w:r w:rsidRPr="008005EB">
        <w:rPr>
          <w:color w:val="833C0B" w:themeColor="accent2" w:themeShade="80"/>
          <w:spacing w:val="0"/>
          <w:u w:color="000000"/>
        </w:rPr>
        <w:t>,</w:t>
      </w:r>
      <w:r w:rsidRPr="008005EB">
        <w:t xml:space="preserve"> </w:t>
      </w:r>
      <w:r w:rsidR="00612E40">
        <w:t>conocimiento</w:t>
      </w:r>
      <w:r>
        <w:t xml:space="preserve">, energía, atención plena y </w:t>
      </w:r>
      <w:r w:rsidR="0012799C">
        <w:t>sabiduría</w:t>
      </w:r>
      <w:r w:rsidR="00612E40">
        <w:t xml:space="preserve"> </w:t>
      </w:r>
      <w:r>
        <w:t xml:space="preserve">(ver D III 252). </w:t>
      </w:r>
      <w:r w:rsidR="0063590B">
        <w:t xml:space="preserve">El </w:t>
      </w:r>
      <w:r>
        <w:t xml:space="preserve">PED rastrea </w:t>
      </w:r>
      <w:proofErr w:type="spellStart"/>
      <w:r w:rsidR="006D6D1A" w:rsidRPr="006D6D1A">
        <w:rPr>
          <w:i/>
          <w:iCs/>
        </w:rPr>
        <w:t>saddhamma</w:t>
      </w:r>
      <w:proofErr w:type="spellEnd"/>
      <w:r w:rsidR="006D6D1A">
        <w:t xml:space="preserve"> </w:t>
      </w:r>
      <w:r>
        <w:t xml:space="preserve">(como "el verdadero </w:t>
      </w:r>
      <w:r w:rsidR="006D6D1A" w:rsidRPr="00057BF4">
        <w:rPr>
          <w:i/>
        </w:rPr>
        <w:t>dhamma</w:t>
      </w:r>
      <w:r>
        <w:t xml:space="preserve">", etc.) a </w:t>
      </w:r>
      <w:proofErr w:type="spellStart"/>
      <w:r w:rsidRPr="00C17A17">
        <w:rPr>
          <w:i/>
          <w:iCs/>
        </w:rPr>
        <w:t>sant</w:t>
      </w:r>
      <w:proofErr w:type="spellEnd"/>
      <w:r>
        <w:t xml:space="preserve"> + </w:t>
      </w:r>
      <w:r w:rsidR="006D6D1A" w:rsidRPr="00057BF4">
        <w:rPr>
          <w:i/>
          <w:iCs/>
        </w:rPr>
        <w:t>dhamma</w:t>
      </w:r>
      <w:r>
        <w:t xml:space="preserve">; pero es probable </w:t>
      </w:r>
      <w:r w:rsidRPr="00C17A17">
        <w:rPr>
          <w:i/>
          <w:iCs/>
        </w:rPr>
        <w:t>que</w:t>
      </w:r>
      <w:r>
        <w:t xml:space="preserve"> se pueda rastrear </w:t>
      </w:r>
      <w:r w:rsidR="0063590B">
        <w:t xml:space="preserve">como </w:t>
      </w:r>
      <w:proofErr w:type="spellStart"/>
      <w:r w:rsidRPr="00C17A17">
        <w:rPr>
          <w:i/>
          <w:iCs/>
        </w:rPr>
        <w:t>srad</w:t>
      </w:r>
      <w:proofErr w:type="spellEnd"/>
      <w:r>
        <w:t xml:space="preserve"> + </w:t>
      </w:r>
      <w:r w:rsidR="006D6D1A" w:rsidRPr="00057BF4">
        <w:rPr>
          <w:i/>
          <w:iCs/>
        </w:rPr>
        <w:t>dhamma</w:t>
      </w:r>
      <w:r w:rsidR="006D6D1A">
        <w:t xml:space="preserve"> </w:t>
      </w:r>
      <w:r>
        <w:t>= (buena base) para depositar la fe (</w:t>
      </w:r>
      <w:proofErr w:type="spellStart"/>
      <w:r w:rsidRPr="00C17A17">
        <w:rPr>
          <w:i/>
          <w:iCs/>
        </w:rPr>
        <w:t>saddhā</w:t>
      </w:r>
      <w:proofErr w:type="spellEnd"/>
      <w:r>
        <w:t>).</w:t>
      </w:r>
    </w:p>
    <w:p w14:paraId="38E5E2C2" w14:textId="77777777" w:rsidR="00507993" w:rsidRDefault="00507993">
      <w:pPr>
        <w:tabs>
          <w:tab w:val="clear" w:pos="425"/>
        </w:tabs>
        <w:spacing w:after="160"/>
      </w:pPr>
      <w:r>
        <w:br w:type="page"/>
      </w:r>
    </w:p>
    <w:p w14:paraId="42722065" w14:textId="77777777" w:rsidR="00FB0859" w:rsidRDefault="00FB0859" w:rsidP="00507993"/>
    <w:p w14:paraId="1141CEFB" w14:textId="77777777" w:rsidR="002C520B" w:rsidRDefault="002C520B" w:rsidP="00507993"/>
    <w:p w14:paraId="451A49EB" w14:textId="19B6B4E7" w:rsidR="00FB0859" w:rsidRDefault="00FB0859" w:rsidP="003F7EA2">
      <w:pPr>
        <w:pStyle w:val="NormalConSangria"/>
      </w:pPr>
      <w:r>
        <w:t xml:space="preserve">[203] Ahora bien, el </w:t>
      </w:r>
      <w:r w:rsidR="0063590B">
        <w:rPr>
          <w:i/>
          <w:iCs/>
        </w:rPr>
        <w:t>Bhagavā</w:t>
      </w:r>
      <w:r w:rsidR="0063590B">
        <w:t xml:space="preserve"> </w:t>
      </w:r>
      <w:r>
        <w:t xml:space="preserve">está dotado de esta especie de visión clara y </w:t>
      </w:r>
      <w:r w:rsidR="0063590B">
        <w:t xml:space="preserve">también </w:t>
      </w:r>
      <w:r>
        <w:t xml:space="preserve">de esta conducta; por eso se le llama “dotado de </w:t>
      </w:r>
      <w:r w:rsidRPr="001C4BF3">
        <w:rPr>
          <w:i/>
          <w:iCs/>
        </w:rPr>
        <w:t>visión</w:t>
      </w:r>
      <w:r>
        <w:t xml:space="preserve"> [clara] y </w:t>
      </w:r>
      <w:r w:rsidRPr="003F7EA2">
        <w:rPr>
          <w:i/>
          <w:iCs/>
        </w:rPr>
        <w:t>conducta</w:t>
      </w:r>
      <w:r>
        <w:t xml:space="preserve"> [</w:t>
      </w:r>
      <w:r w:rsidRPr="001C4BF3">
        <w:t>virtuosa</w:t>
      </w:r>
      <w:r>
        <w:t>]”.</w:t>
      </w:r>
    </w:p>
    <w:p w14:paraId="1C929829" w14:textId="79C29DD8" w:rsidR="00FB0859" w:rsidRDefault="00FB0859" w:rsidP="00FB0859">
      <w:r>
        <w:t xml:space="preserve">32. </w:t>
      </w:r>
      <w:r>
        <w:tab/>
        <w:t xml:space="preserve">Aquí, la posesión de la visión clara del </w:t>
      </w:r>
      <w:r w:rsidR="001C4BF3">
        <w:rPr>
          <w:i/>
          <w:iCs/>
        </w:rPr>
        <w:t>Bhagavā</w:t>
      </w:r>
      <w:r w:rsidR="001C4BF3">
        <w:t xml:space="preserve"> </w:t>
      </w:r>
      <w:proofErr w:type="gramStart"/>
      <w:r>
        <w:t xml:space="preserve">consiste </w:t>
      </w:r>
      <w:r w:rsidR="001C4BF3">
        <w:t>de</w:t>
      </w:r>
      <w:proofErr w:type="gramEnd"/>
      <w:r w:rsidR="001C4BF3">
        <w:t xml:space="preserve"> la consumación</w:t>
      </w:r>
      <w:r>
        <w:t xml:space="preserve"> de la omnisciencia (</w:t>
      </w:r>
      <w:proofErr w:type="spellStart"/>
      <w:r w:rsidRPr="008D6A2C">
        <w:rPr>
          <w:i/>
          <w:iCs/>
        </w:rPr>
        <w:t>Paṭis</w:t>
      </w:r>
      <w:proofErr w:type="spellEnd"/>
      <w:r>
        <w:t xml:space="preserve"> I 131), mientras que </w:t>
      </w:r>
      <w:r w:rsidR="00765F5B">
        <w:t>la</w:t>
      </w:r>
      <w:r>
        <w:t xml:space="preserve"> posesión de </w:t>
      </w:r>
      <w:r w:rsidR="00765F5B">
        <w:t xml:space="preserve">su </w:t>
      </w:r>
      <w:r>
        <w:t xml:space="preserve">conducta consiste </w:t>
      </w:r>
      <w:r w:rsidR="001C4BF3">
        <w:t xml:space="preserve">de la consumación </w:t>
      </w:r>
      <w:r>
        <w:t>de la gran compasión (</w:t>
      </w:r>
      <w:proofErr w:type="spellStart"/>
      <w:r w:rsidRPr="008D6A2C">
        <w:rPr>
          <w:i/>
          <w:iCs/>
        </w:rPr>
        <w:t>Paṭis</w:t>
      </w:r>
      <w:proofErr w:type="spellEnd"/>
      <w:r>
        <w:t xml:space="preserve"> I 126). Él sabe a través de la omnisciencia lo que </w:t>
      </w:r>
      <w:r w:rsidR="00C04C89">
        <w:t xml:space="preserve">sea </w:t>
      </w:r>
      <w:r>
        <w:t xml:space="preserve">bueno y </w:t>
      </w:r>
      <w:r w:rsidR="007B1A51">
        <w:t xml:space="preserve">perjudicial </w:t>
      </w:r>
      <w:r>
        <w:t xml:space="preserve">para todos los seres, y a través de la compasión les advierte </w:t>
      </w:r>
      <w:r w:rsidR="00C04C89">
        <w:t xml:space="preserve">sobre </w:t>
      </w:r>
      <w:r>
        <w:t xml:space="preserve">el mal y los exhorta a </w:t>
      </w:r>
      <w:r w:rsidR="007B1A51">
        <w:t xml:space="preserve">obrar con </w:t>
      </w:r>
      <w:r>
        <w:t xml:space="preserve">el bien. Así es como está poseído de visión </w:t>
      </w:r>
      <w:r w:rsidR="00C04C89">
        <w:t xml:space="preserve">clara </w:t>
      </w:r>
      <w:r>
        <w:t xml:space="preserve">y conducta, por lo que sus discípulos han entrado </w:t>
      </w:r>
      <w:r w:rsidR="007B1A51">
        <w:t>a</w:t>
      </w:r>
      <w:r>
        <w:t xml:space="preserve">l buen </w:t>
      </w:r>
      <w:r w:rsidR="00C4726E">
        <w:t xml:space="preserve">sendero </w:t>
      </w:r>
      <w:r>
        <w:t xml:space="preserve">en lugar de entrar </w:t>
      </w:r>
      <w:r w:rsidR="00534169">
        <w:t>en e</w:t>
      </w:r>
      <w:r>
        <w:t xml:space="preserve">l mal </w:t>
      </w:r>
      <w:r w:rsidR="007B1A51">
        <w:t xml:space="preserve">sendero </w:t>
      </w:r>
      <w:r>
        <w:t xml:space="preserve">como lo han hecho los </w:t>
      </w:r>
      <w:r w:rsidR="00EA6E85">
        <w:t xml:space="preserve">mortificados </w:t>
      </w:r>
      <w:r>
        <w:t xml:space="preserve">discípulos de aquellos que no </w:t>
      </w:r>
      <w:r w:rsidR="00EA6E85">
        <w:t xml:space="preserve">poseen una </w:t>
      </w:r>
      <w:r w:rsidRPr="00EE4A4B">
        <w:rPr>
          <w:i/>
          <w:iCs/>
        </w:rPr>
        <w:t xml:space="preserve">visión </w:t>
      </w:r>
      <w:r w:rsidR="00EE4A4B" w:rsidRPr="00EE4A4B">
        <w:rPr>
          <w:i/>
          <w:iCs/>
        </w:rPr>
        <w:t>clara</w:t>
      </w:r>
      <w:r w:rsidR="00EE4A4B">
        <w:t xml:space="preserve"> </w:t>
      </w:r>
      <w:r>
        <w:t xml:space="preserve">y </w:t>
      </w:r>
      <w:r w:rsidRPr="00EE4A4B">
        <w:rPr>
          <w:i/>
          <w:iCs/>
        </w:rPr>
        <w:t>conducta</w:t>
      </w:r>
      <w:r w:rsidR="00EE4A4B" w:rsidRPr="00EE4A4B">
        <w:rPr>
          <w:i/>
          <w:iCs/>
        </w:rPr>
        <w:t xml:space="preserve"> virtuosa</w:t>
      </w:r>
      <w:r>
        <w:t>.</w:t>
      </w:r>
      <w:r w:rsidRPr="00A7026A">
        <w:rPr>
          <w:vertAlign w:val="superscript"/>
        </w:rPr>
        <w:t>9</w:t>
      </w:r>
    </w:p>
    <w:p w14:paraId="3EE423ED" w14:textId="16359D31" w:rsidR="00FB0859" w:rsidRDefault="00FB0859" w:rsidP="006B7078">
      <w:pPr>
        <w:pStyle w:val="Ttulo4"/>
        <w:ind w:left="708"/>
      </w:pPr>
      <w:r>
        <w:t>[Sublime]</w:t>
      </w:r>
    </w:p>
    <w:p w14:paraId="51431C6E" w14:textId="0E2F874C" w:rsidR="00FB0859" w:rsidRDefault="00FB0859" w:rsidP="00FB0859">
      <w:pPr>
        <w:rPr>
          <w:i/>
          <w:iCs/>
        </w:rPr>
      </w:pPr>
      <w:r>
        <w:t xml:space="preserve">33. </w:t>
      </w:r>
      <w:r>
        <w:tab/>
        <w:t xml:space="preserve">Se le llama </w:t>
      </w:r>
      <w:r w:rsidRPr="003F7EA2">
        <w:rPr>
          <w:i/>
          <w:iCs/>
        </w:rPr>
        <w:t>sublime</w:t>
      </w:r>
      <w:r>
        <w:t xml:space="preserve"> (</w:t>
      </w:r>
      <w:proofErr w:type="spellStart"/>
      <w:r w:rsidRPr="008D6A2C">
        <w:rPr>
          <w:i/>
          <w:iCs/>
        </w:rPr>
        <w:t>sugata</w:t>
      </w:r>
      <w:proofErr w:type="spellEnd"/>
      <w:r>
        <w:t>)</w:t>
      </w:r>
      <w:r w:rsidRPr="00A7026A">
        <w:rPr>
          <w:vertAlign w:val="superscript"/>
        </w:rPr>
        <w:t>10</w:t>
      </w:r>
      <w:r>
        <w:t xml:space="preserve"> (i) por </w:t>
      </w:r>
      <w:r w:rsidR="0061147A">
        <w:t>su</w:t>
      </w:r>
      <w:r>
        <w:t xml:space="preserve"> manera de </w:t>
      </w:r>
      <w:r w:rsidR="000F0ADF">
        <w:t>andar</w:t>
      </w:r>
      <w:r>
        <w:t xml:space="preserve"> </w:t>
      </w:r>
      <w:r w:rsidR="000F0ADF">
        <w:t xml:space="preserve">la cual </w:t>
      </w:r>
      <w:r>
        <w:t>es buena (</w:t>
      </w:r>
      <w:proofErr w:type="spellStart"/>
      <w:r w:rsidRPr="008D6A2C">
        <w:rPr>
          <w:i/>
          <w:iCs/>
        </w:rPr>
        <w:t>sobhaṇa-gamana</w:t>
      </w:r>
      <w:proofErr w:type="spellEnd"/>
      <w:r>
        <w:t>), (</w:t>
      </w:r>
      <w:proofErr w:type="spellStart"/>
      <w:r>
        <w:t>ii</w:t>
      </w:r>
      <w:proofErr w:type="spellEnd"/>
      <w:r>
        <w:t>) por haber</w:t>
      </w:r>
      <w:r w:rsidR="00823418">
        <w:t>se</w:t>
      </w:r>
      <w:r>
        <w:t xml:space="preserve"> </w:t>
      </w:r>
      <w:r w:rsidR="0061147A">
        <w:t>ret</w:t>
      </w:r>
      <w:r>
        <w:t>i</w:t>
      </w:r>
      <w:r w:rsidR="0061147A">
        <w:t>ra</w:t>
      </w:r>
      <w:r>
        <w:t>do a un lugar excelente (</w:t>
      </w:r>
      <w:proofErr w:type="spellStart"/>
      <w:r w:rsidRPr="008D6A2C">
        <w:rPr>
          <w:i/>
          <w:iCs/>
        </w:rPr>
        <w:t>sundaraṃ</w:t>
      </w:r>
      <w:proofErr w:type="spellEnd"/>
      <w:r w:rsidR="00780AAB" w:rsidRPr="00780AAB">
        <w:rPr>
          <w:i/>
          <w:iCs/>
        </w:rPr>
        <w:t xml:space="preserve"> </w:t>
      </w:r>
      <w:proofErr w:type="spellStart"/>
      <w:r w:rsidR="00780AAB" w:rsidRPr="008D6A2C">
        <w:rPr>
          <w:i/>
          <w:iCs/>
        </w:rPr>
        <w:t>ṭhānaṃ</w:t>
      </w:r>
      <w:proofErr w:type="spellEnd"/>
      <w:r w:rsidR="00780AAB" w:rsidRPr="008D6A2C">
        <w:rPr>
          <w:i/>
          <w:iCs/>
        </w:rPr>
        <w:t xml:space="preserve"> </w:t>
      </w:r>
      <w:proofErr w:type="spellStart"/>
      <w:r w:rsidR="00780AAB" w:rsidRPr="008D6A2C">
        <w:rPr>
          <w:i/>
          <w:iCs/>
        </w:rPr>
        <w:t>gatattā</w:t>
      </w:r>
      <w:proofErr w:type="spellEnd"/>
      <w:r w:rsidR="00780AAB">
        <w:t>), (</w:t>
      </w:r>
      <w:proofErr w:type="spellStart"/>
      <w:r w:rsidR="00780AAB">
        <w:t>iii</w:t>
      </w:r>
      <w:proofErr w:type="spellEnd"/>
      <w:r w:rsidR="00780AAB">
        <w:t>) por haber</w:t>
      </w:r>
    </w:p>
    <w:p w14:paraId="52DB705A" w14:textId="77777777" w:rsidR="00F2294D" w:rsidRDefault="00F2294D" w:rsidP="00FB0859"/>
    <w:p w14:paraId="1BBC4C41" w14:textId="0793FEF2" w:rsidR="00FB0859" w:rsidRDefault="00FB0859" w:rsidP="00FB0859">
      <w:pPr>
        <w:pStyle w:val="Piedepgina"/>
        <w:rPr>
          <w:u w:val="single"/>
        </w:rPr>
      </w:pPr>
      <w:r>
        <w:rPr>
          <w:u w:val="single"/>
        </w:rPr>
        <w:t xml:space="preserve">                                                                                                                                                                          .</w:t>
      </w:r>
    </w:p>
    <w:p w14:paraId="0C868A62" w14:textId="781D6914" w:rsidR="00FB0859" w:rsidRDefault="00FB0859" w:rsidP="00F2294D">
      <w:pPr>
        <w:pStyle w:val="PiedepginaLegal"/>
        <w:tabs>
          <w:tab w:val="clear" w:pos="6804"/>
        </w:tabs>
        <w:ind w:right="476"/>
      </w:pPr>
      <w:r>
        <w:t xml:space="preserve">9. </w:t>
      </w:r>
      <w:r>
        <w:tab/>
        <w:t xml:space="preserve">“Aquí la posesión de </w:t>
      </w:r>
      <w:r w:rsidR="00C4726E">
        <w:t xml:space="preserve">la </w:t>
      </w:r>
      <w:r>
        <w:t>visión del Maestro muestra la grandeza de</w:t>
      </w:r>
      <w:r w:rsidR="00C4726E">
        <w:t>l</w:t>
      </w:r>
      <w:r>
        <w:t xml:space="preserve"> entendimiento, y </w:t>
      </w:r>
      <w:r w:rsidR="002115BE">
        <w:t xml:space="preserve">la </w:t>
      </w:r>
      <w:r>
        <w:t xml:space="preserve">posesión de </w:t>
      </w:r>
      <w:r w:rsidR="002115BE">
        <w:t xml:space="preserve">su </w:t>
      </w:r>
      <w:r>
        <w:t>conducta la grandeza de su compasión. Fue a través d</w:t>
      </w:r>
      <w:r w:rsidR="002115BE">
        <w:t xml:space="preserve">el entendimiento </w:t>
      </w:r>
      <w:r>
        <w:t xml:space="preserve">que el </w:t>
      </w:r>
      <w:r w:rsidR="002115BE">
        <w:rPr>
          <w:i/>
          <w:iCs/>
        </w:rPr>
        <w:t>Bhagavā</w:t>
      </w:r>
      <w:r w:rsidR="002115BE">
        <w:t xml:space="preserve"> </w:t>
      </w:r>
      <w:r>
        <w:t xml:space="preserve">alcanzó el reino del </w:t>
      </w:r>
      <w:r w:rsidR="00057BF4" w:rsidRPr="00057BF4">
        <w:rPr>
          <w:i/>
          <w:iCs/>
        </w:rPr>
        <w:t>Dhamma</w:t>
      </w:r>
      <w:r>
        <w:t>, y</w:t>
      </w:r>
      <w:r w:rsidR="002115BE">
        <w:t xml:space="preserve"> </w:t>
      </w:r>
      <w:r>
        <w:t xml:space="preserve">a través de la compasión </w:t>
      </w:r>
      <w:r w:rsidR="00534169">
        <w:t xml:space="preserve">que </w:t>
      </w:r>
      <w:r>
        <w:t xml:space="preserve">se convirtió en el otorgante del </w:t>
      </w:r>
      <w:r w:rsidR="00057BF4" w:rsidRPr="00057BF4">
        <w:rPr>
          <w:i/>
          <w:iCs/>
        </w:rPr>
        <w:t>Dhamma</w:t>
      </w:r>
      <w:r>
        <w:t>. Fue a través d</w:t>
      </w:r>
      <w:r w:rsidR="002115BE">
        <w:t xml:space="preserve">el entendimiento </w:t>
      </w:r>
      <w:r>
        <w:t xml:space="preserve">que sintió repugnancia por </w:t>
      </w:r>
      <w:r w:rsidR="002115BE">
        <w:t>el ciclo</w:t>
      </w:r>
      <w:r>
        <w:t xml:space="preserve"> de renacimientos, y a través de la compasión que l</w:t>
      </w:r>
      <w:r w:rsidR="004265EB">
        <w:t>o</w:t>
      </w:r>
      <w:r>
        <w:t xml:space="preserve"> soportó. Fue a través de </w:t>
      </w:r>
      <w:r w:rsidR="004265EB">
        <w:t xml:space="preserve">del entendimiento </w:t>
      </w:r>
      <w:r>
        <w:t xml:space="preserve">que comprendió plenamente el sufrimiento de los demás, y a través de la compasión que se comprometió a </w:t>
      </w:r>
      <w:r w:rsidR="00861258">
        <w:t>reducirlo</w:t>
      </w:r>
      <w:r>
        <w:t xml:space="preserve">. Fue a través </w:t>
      </w:r>
      <w:r w:rsidR="004265EB">
        <w:t xml:space="preserve">del entendimiento </w:t>
      </w:r>
      <w:r>
        <w:t xml:space="preserve">que se encontró cara a cara con </w:t>
      </w:r>
      <w:r w:rsidR="004265EB">
        <w:t>el</w:t>
      </w:r>
      <w:r w:rsidR="00060D97">
        <w:t xml:space="preserve"> </w:t>
      </w:r>
      <w:r w:rsidRPr="008D6A2C">
        <w:rPr>
          <w:i/>
          <w:iCs/>
        </w:rPr>
        <w:t>Nibbāna</w:t>
      </w:r>
      <w:r>
        <w:t>, y</w:t>
      </w:r>
      <w:r w:rsidR="00060D97">
        <w:t xml:space="preserve"> </w:t>
      </w:r>
      <w:r>
        <w:t xml:space="preserve">a través de la compasión que lo </w:t>
      </w:r>
      <w:r w:rsidR="00060D97">
        <w:t>consumó</w:t>
      </w:r>
      <w:r>
        <w:t xml:space="preserve">. Fue a través </w:t>
      </w:r>
      <w:r w:rsidR="00060D97">
        <w:t xml:space="preserve">del entendimiento </w:t>
      </w:r>
      <w:r>
        <w:t>que él mismo cruzó</w:t>
      </w:r>
      <w:r w:rsidR="00014B6D">
        <w:t xml:space="preserve"> hasta la otra orilla</w:t>
      </w:r>
      <w:r>
        <w:t>, y</w:t>
      </w:r>
      <w:r w:rsidR="00060D97">
        <w:t xml:space="preserve"> </w:t>
      </w:r>
      <w:r>
        <w:t xml:space="preserve">a través de la compasión que hizo </w:t>
      </w:r>
      <w:r w:rsidR="00942320">
        <w:t xml:space="preserve">que </w:t>
      </w:r>
      <w:r>
        <w:t>otros</w:t>
      </w:r>
      <w:r w:rsidR="00942320">
        <w:t xml:space="preserve"> lo crucen</w:t>
      </w:r>
      <w:r>
        <w:t xml:space="preserve">. Fue a través </w:t>
      </w:r>
      <w:r w:rsidR="00533A53">
        <w:t xml:space="preserve">del entendimiento </w:t>
      </w:r>
      <w:r>
        <w:t xml:space="preserve">que perfeccionó el estado de Iluminado y a través de la compasión que perfeccionó la tarea de </w:t>
      </w:r>
      <w:r w:rsidR="00942320">
        <w:t xml:space="preserve">un </w:t>
      </w:r>
      <w:r>
        <w:t>Iluminado.</w:t>
      </w:r>
    </w:p>
    <w:p w14:paraId="20777891" w14:textId="76E8C840" w:rsidR="00FB0859" w:rsidRDefault="00FB0859" w:rsidP="00F2294D">
      <w:pPr>
        <w:pStyle w:val="PiedepginaLegal"/>
        <w:tabs>
          <w:tab w:val="clear" w:pos="6804"/>
        </w:tabs>
        <w:ind w:right="476"/>
      </w:pPr>
      <w:r>
        <w:t xml:space="preserve">   </w:t>
      </w:r>
      <w:r>
        <w:tab/>
      </w:r>
      <w:r>
        <w:tab/>
        <w:t xml:space="preserve">“O fue a través de la compasión que enfrentó </w:t>
      </w:r>
      <w:r w:rsidR="00D04F23">
        <w:t>el ciclo</w:t>
      </w:r>
      <w:r>
        <w:t xml:space="preserve"> de renacimientos como un </w:t>
      </w:r>
      <w:r w:rsidR="00D04F23">
        <w:br/>
      </w:r>
      <w:r w:rsidR="00057BF4" w:rsidRPr="00057BF4">
        <w:rPr>
          <w:i/>
        </w:rPr>
        <w:t>Bodhisatta</w:t>
      </w:r>
      <w:r>
        <w:t xml:space="preserve">, y a través </w:t>
      </w:r>
      <w:r w:rsidR="00D04F23">
        <w:t xml:space="preserve">del entendimiento </w:t>
      </w:r>
      <w:r>
        <w:t xml:space="preserve">de que no se </w:t>
      </w:r>
      <w:r w:rsidR="00923167">
        <w:t xml:space="preserve">complació </w:t>
      </w:r>
      <w:r>
        <w:t xml:space="preserve">en ello. Del mismo modo, fue a través de la compasión que practicó la no crueldad </w:t>
      </w:r>
      <w:r w:rsidR="00923167">
        <w:t xml:space="preserve">hacia </w:t>
      </w:r>
      <w:r>
        <w:t xml:space="preserve">los demás, y a través </w:t>
      </w:r>
      <w:r w:rsidR="00923167">
        <w:t xml:space="preserve">del entendimiento </w:t>
      </w:r>
      <w:r>
        <w:t xml:space="preserve">de que él mismo no </w:t>
      </w:r>
      <w:r w:rsidR="00923167">
        <w:t xml:space="preserve">tuvo </w:t>
      </w:r>
      <w:r>
        <w:t xml:space="preserve">miedo </w:t>
      </w:r>
      <w:r w:rsidR="00923167">
        <w:t xml:space="preserve">hacia </w:t>
      </w:r>
      <w:r w:rsidR="00942320">
        <w:t>ellos</w:t>
      </w:r>
      <w:r>
        <w:t xml:space="preserve">. Fue a través de la compasión que protegió a los demás para protegerse a sí mismo, y a través </w:t>
      </w:r>
      <w:r w:rsidR="00923167">
        <w:t xml:space="preserve">del entendimiento </w:t>
      </w:r>
      <w:r>
        <w:t xml:space="preserve">de que se protegió a sí mismo para proteger a los demás. Asimismo, fue por compasión que no atormentó a los demás, y </w:t>
      </w:r>
      <w:r w:rsidR="007C4496">
        <w:t>mediante</w:t>
      </w:r>
      <w:r>
        <w:t xml:space="preserve"> </w:t>
      </w:r>
      <w:r w:rsidR="00EE31A8">
        <w:t xml:space="preserve">el entendimiento </w:t>
      </w:r>
      <w:r>
        <w:t xml:space="preserve">que no se atormentó a sí mismo; así de los cuatro tipos de personas comenzando con el que practica para su propio bienestar (A II 96) perfeccionó el cuarto y mejor tipo. Asimismo, fue a través de la compasión que se convirtió en el </w:t>
      </w:r>
      <w:r w:rsidR="009B2FC4">
        <w:t xml:space="preserve">servidor </w:t>
      </w:r>
      <w:r>
        <w:t xml:space="preserve">del mundo, y a través </w:t>
      </w:r>
      <w:r w:rsidR="009B2FC4">
        <w:t xml:space="preserve">del entendimiento </w:t>
      </w:r>
      <w:r w:rsidR="00670749">
        <w:t xml:space="preserve">que </w:t>
      </w:r>
      <w:r>
        <w:t xml:space="preserve">se convirtió en su propio </w:t>
      </w:r>
      <w:r w:rsidR="009B2FC4">
        <w:t>servidor</w:t>
      </w:r>
      <w:r>
        <w:t xml:space="preserve">. Fue a través de la compasión que tuvo humildad [como </w:t>
      </w:r>
      <w:r w:rsidR="00057BF4" w:rsidRPr="00057BF4">
        <w:rPr>
          <w:i/>
          <w:iCs/>
        </w:rPr>
        <w:t>Bodhisatta</w:t>
      </w:r>
      <w:r>
        <w:t xml:space="preserve">], y a través </w:t>
      </w:r>
      <w:r w:rsidR="009B2FC4">
        <w:t xml:space="preserve">del entendimiento </w:t>
      </w:r>
      <w:r>
        <w:t xml:space="preserve">que </w:t>
      </w:r>
      <w:r w:rsidR="004D3CA7">
        <w:t>gozó de la</w:t>
      </w:r>
      <w:r>
        <w:t xml:space="preserve"> dignidad [como </w:t>
      </w:r>
      <w:r w:rsidR="004D3CA7">
        <w:t xml:space="preserve">un </w:t>
      </w:r>
      <w:r w:rsidR="00057BF4" w:rsidRPr="00057BF4">
        <w:rPr>
          <w:i/>
        </w:rPr>
        <w:t>Buddha</w:t>
      </w:r>
      <w:r>
        <w:t xml:space="preserve">]. Del mismo modo, fue a través de la compasión que ayudó a todos los seres como un padre mientras que, </w:t>
      </w:r>
      <w:r w:rsidR="009B2FC4">
        <w:t xml:space="preserve">a través del entendimiento </w:t>
      </w:r>
      <w:r>
        <w:t>asociad</w:t>
      </w:r>
      <w:r w:rsidR="009B2FC4">
        <w:t>o</w:t>
      </w:r>
      <w:r>
        <w:t xml:space="preserve"> </w:t>
      </w:r>
      <w:r w:rsidR="009B2FC4">
        <w:t xml:space="preserve">a </w:t>
      </w:r>
      <w:r>
        <w:t>ell</w:t>
      </w:r>
      <w:r w:rsidR="009B2FC4">
        <w:t>o</w:t>
      </w:r>
      <w:r>
        <w:t xml:space="preserve">, su mente permaneció desapegada </w:t>
      </w:r>
      <w:r w:rsidR="004D3CA7">
        <w:t xml:space="preserve">hacia </w:t>
      </w:r>
      <w:r>
        <w:t xml:space="preserve">todos ellos, y fue a través </w:t>
      </w:r>
      <w:r w:rsidR="0062102A">
        <w:t xml:space="preserve">del entendimiento </w:t>
      </w:r>
      <w:r>
        <w:t xml:space="preserve">que su mente permaneció desapegada de todos los </w:t>
      </w:r>
      <w:r w:rsidR="00057BF4" w:rsidRPr="00057BF4">
        <w:rPr>
          <w:i/>
        </w:rPr>
        <w:t>Dhamma</w:t>
      </w:r>
      <w:r>
        <w:t xml:space="preserve">s, mientras que debido a la compasión asociada </w:t>
      </w:r>
      <w:r w:rsidR="0062102A">
        <w:t>a ello</w:t>
      </w:r>
      <w:r>
        <w:t xml:space="preserve">. que </w:t>
      </w:r>
      <w:r w:rsidR="0062102A">
        <w:t xml:space="preserve">fue </w:t>
      </w:r>
      <w:r>
        <w:t>útil para todos los seres. Porque</w:t>
      </w:r>
      <w:r w:rsidR="0062102A">
        <w:t>,</w:t>
      </w:r>
      <w:r>
        <w:t xml:space="preserve"> así como la compasión del </w:t>
      </w:r>
      <w:r w:rsidR="0062102A">
        <w:rPr>
          <w:i/>
          <w:iCs/>
        </w:rPr>
        <w:t>Bhagavā</w:t>
      </w:r>
      <w:r w:rsidR="0062102A">
        <w:t xml:space="preserve"> </w:t>
      </w:r>
      <w:r>
        <w:t xml:space="preserve">estaba desprovista de afecto sentimental o dolor, así su entendimiento estaba libre de pensamientos </w:t>
      </w:r>
      <w:r w:rsidR="0062102A">
        <w:t>tales como</w:t>
      </w:r>
      <w:r>
        <w:t xml:space="preserve"> 'yo' y 'mío'” (</w:t>
      </w:r>
      <w:proofErr w:type="spellStart"/>
      <w:r>
        <w:t>Vism-mhṭ</w:t>
      </w:r>
      <w:proofErr w:type="spellEnd"/>
      <w:r>
        <w:t xml:space="preserve"> 192–93).</w:t>
      </w:r>
    </w:p>
    <w:p w14:paraId="047ABCB0" w14:textId="1C1A31E9" w:rsidR="00FB0859" w:rsidRDefault="00FB0859" w:rsidP="00F2294D">
      <w:pPr>
        <w:pStyle w:val="PiedepginaLegal"/>
        <w:tabs>
          <w:tab w:val="clear" w:pos="6804"/>
        </w:tabs>
        <w:ind w:right="476"/>
      </w:pPr>
      <w:r>
        <w:t xml:space="preserve">10. </w:t>
      </w:r>
      <w:r>
        <w:tab/>
        <w:t>Se han adoptado las siguientes representaciones para los epítetos más utilizados p</w:t>
      </w:r>
      <w:r w:rsidR="00C758AB">
        <w:t>ara</w:t>
      </w:r>
      <w:r>
        <w:t xml:space="preserve"> </w:t>
      </w:r>
      <w:r w:rsidR="00C758AB">
        <w:t xml:space="preserve">la palabra </w:t>
      </w:r>
      <w:r w:rsidR="00057BF4" w:rsidRPr="00057BF4">
        <w:rPr>
          <w:i/>
        </w:rPr>
        <w:t>Buddha</w:t>
      </w:r>
      <w:r>
        <w:t xml:space="preserve">. </w:t>
      </w:r>
      <w:proofErr w:type="spellStart"/>
      <w:r w:rsidRPr="008D6A2C">
        <w:rPr>
          <w:i/>
          <w:iCs/>
        </w:rPr>
        <w:t>Tathāgata</w:t>
      </w:r>
      <w:proofErr w:type="spellEnd"/>
      <w:r>
        <w:t>, (</w:t>
      </w:r>
      <w:r w:rsidR="00B00334">
        <w:t xml:space="preserve">el </w:t>
      </w:r>
      <w:r>
        <w:t xml:space="preserve">Perfecto—para </w:t>
      </w:r>
      <w:r w:rsidR="002C520B">
        <w:t xml:space="preserve">tales </w:t>
      </w:r>
      <w:r>
        <w:t xml:space="preserve">definiciones ver M-a I 45f.) </w:t>
      </w:r>
      <w:proofErr w:type="spellStart"/>
      <w:r w:rsidRPr="008D6A2C">
        <w:rPr>
          <w:i/>
          <w:iCs/>
        </w:rPr>
        <w:t>Bhagavant</w:t>
      </w:r>
      <w:proofErr w:type="spellEnd"/>
      <w:r>
        <w:t xml:space="preserve"> (</w:t>
      </w:r>
      <w:r w:rsidR="00B00334">
        <w:t xml:space="preserve">el </w:t>
      </w:r>
    </w:p>
    <w:p w14:paraId="7DB7F51A" w14:textId="77777777" w:rsidR="00FB0859" w:rsidRDefault="00FB0859">
      <w:pPr>
        <w:tabs>
          <w:tab w:val="clear" w:pos="425"/>
        </w:tabs>
        <w:spacing w:after="160"/>
      </w:pPr>
      <w:r>
        <w:br w:type="page"/>
      </w:r>
    </w:p>
    <w:p w14:paraId="10AC7025" w14:textId="5BE1F2EC" w:rsidR="00DA6EB4" w:rsidRDefault="00DA6EB4" w:rsidP="00FB0859">
      <w:r>
        <w:lastRenderedPageBreak/>
        <w:br/>
      </w:r>
    </w:p>
    <w:p w14:paraId="66CB0F0F" w14:textId="114BD746" w:rsidR="00DA6EB4" w:rsidRDefault="006825D4" w:rsidP="00DA6EB4">
      <w:r>
        <w:t>part</w:t>
      </w:r>
      <w:r w:rsidR="00DA6EB4">
        <w:t>ido correctamente (</w:t>
      </w:r>
      <w:proofErr w:type="spellStart"/>
      <w:r w:rsidR="00057BF4" w:rsidRPr="00057BF4">
        <w:rPr>
          <w:i/>
          <w:iCs/>
        </w:rPr>
        <w:t>sammā</w:t>
      </w:r>
      <w:r w:rsidR="00DA6EB4" w:rsidRPr="008D6A2C">
        <w:rPr>
          <w:i/>
          <w:iCs/>
        </w:rPr>
        <w:t>gatattā</w:t>
      </w:r>
      <w:proofErr w:type="spellEnd"/>
      <w:r w:rsidR="00DA6EB4">
        <w:t>), y (</w:t>
      </w:r>
      <w:proofErr w:type="spellStart"/>
      <w:r w:rsidR="00DA6EB4">
        <w:t>iv</w:t>
      </w:r>
      <w:proofErr w:type="spellEnd"/>
      <w:r w:rsidR="00DA6EB4">
        <w:t>) por haber</w:t>
      </w:r>
      <w:r w:rsidR="000D04C5">
        <w:t>lo</w:t>
      </w:r>
      <w:r w:rsidR="00DA6EB4">
        <w:t xml:space="preserve"> enunciado correctamente (</w:t>
      </w:r>
      <w:proofErr w:type="spellStart"/>
      <w:r w:rsidR="00057BF4" w:rsidRPr="00057BF4">
        <w:rPr>
          <w:i/>
          <w:iCs/>
        </w:rPr>
        <w:t>sammā</w:t>
      </w:r>
      <w:r w:rsidR="00DA6EB4" w:rsidRPr="008D6A2C">
        <w:rPr>
          <w:i/>
          <w:iCs/>
        </w:rPr>
        <w:t>gadattā</w:t>
      </w:r>
      <w:proofErr w:type="spellEnd"/>
      <w:r w:rsidR="00DA6EB4">
        <w:t>).</w:t>
      </w:r>
    </w:p>
    <w:p w14:paraId="170D9EF3" w14:textId="1F21F97D" w:rsidR="00DA6EB4" w:rsidRDefault="00FF164D" w:rsidP="00DA6EB4">
      <w:pPr>
        <w:pStyle w:val="NormalConSangria"/>
      </w:pPr>
      <w:r>
        <w:tab/>
      </w:r>
      <w:r w:rsidR="00DA6EB4">
        <w:t xml:space="preserve">(i) </w:t>
      </w:r>
      <w:r w:rsidR="000D04C5">
        <w:t xml:space="preserve">A </w:t>
      </w:r>
      <w:r w:rsidR="00D379A0">
        <w:t>la</w:t>
      </w:r>
      <w:r w:rsidR="00DA6EB4">
        <w:t xml:space="preserve"> manera de </w:t>
      </w:r>
      <w:r w:rsidR="00E31C7B">
        <w:t>andar</w:t>
      </w:r>
      <w:r w:rsidR="00DA6EB4">
        <w:t xml:space="preserve"> (</w:t>
      </w:r>
      <w:proofErr w:type="spellStart"/>
      <w:r w:rsidR="00DA6EB4" w:rsidRPr="008D6A2C">
        <w:rPr>
          <w:i/>
          <w:iCs/>
        </w:rPr>
        <w:t>gamana</w:t>
      </w:r>
      <w:proofErr w:type="spellEnd"/>
      <w:r w:rsidR="00DA6EB4">
        <w:t xml:space="preserve">) se </w:t>
      </w:r>
      <w:r w:rsidR="00D379A0">
        <w:t xml:space="preserve">le </w:t>
      </w:r>
      <w:r w:rsidR="00DA6EB4">
        <w:t>llama “ido” (</w:t>
      </w:r>
      <w:r w:rsidR="00DA6EB4" w:rsidRPr="000D04C5">
        <w:rPr>
          <w:i/>
          <w:iCs/>
        </w:rPr>
        <w:t>gata</w:t>
      </w:r>
      <w:r w:rsidR="00DA6EB4">
        <w:t xml:space="preserve">), y eso en el </w:t>
      </w:r>
      <w:r w:rsidR="0055660A" w:rsidRPr="0055660A">
        <w:rPr>
          <w:i/>
          <w:iCs/>
        </w:rPr>
        <w:t>Bhagavā</w:t>
      </w:r>
      <w:r w:rsidR="00DA6EB4">
        <w:t xml:space="preserve"> </w:t>
      </w:r>
      <w:r w:rsidR="0055660A">
        <w:t>ha sido</w:t>
      </w:r>
      <w:r w:rsidR="00DA6EB4">
        <w:t xml:space="preserve"> bueno (</w:t>
      </w:r>
      <w:proofErr w:type="spellStart"/>
      <w:r w:rsidR="00DA6EB4" w:rsidRPr="008D6A2C">
        <w:rPr>
          <w:i/>
          <w:iCs/>
        </w:rPr>
        <w:t>sobhaṇa</w:t>
      </w:r>
      <w:proofErr w:type="spellEnd"/>
      <w:r w:rsidR="00DA6EB4">
        <w:t xml:space="preserve">), purificado, sin </w:t>
      </w:r>
      <w:r w:rsidR="0055660A">
        <w:t>impureza</w:t>
      </w:r>
      <w:r w:rsidR="00DA6EB4">
        <w:t xml:space="preserve">. Pero </w:t>
      </w:r>
      <w:r w:rsidR="0055660A">
        <w:rPr>
          <w:lang w:val="es-MX"/>
        </w:rPr>
        <w:t>¿</w:t>
      </w:r>
      <w:r w:rsidR="00DA6EB4">
        <w:t>qu</w:t>
      </w:r>
      <w:r w:rsidR="009A3BF7">
        <w:t>é</w:t>
      </w:r>
      <w:r w:rsidR="00DA6EB4">
        <w:t xml:space="preserve"> </w:t>
      </w:r>
      <w:r w:rsidR="007762D5">
        <w:t>por donde ha andado</w:t>
      </w:r>
      <w:r w:rsidR="00DA6EB4">
        <w:t xml:space="preserve">? </w:t>
      </w:r>
      <w:r w:rsidR="007762D5">
        <w:t>Por</w:t>
      </w:r>
      <w:r w:rsidR="00DA6EB4">
        <w:t xml:space="preserve"> el noble</w:t>
      </w:r>
      <w:r w:rsidR="00272476">
        <w:t xml:space="preserve"> </w:t>
      </w:r>
      <w:r w:rsidR="007762D5">
        <w:t>sendero</w:t>
      </w:r>
      <w:r w:rsidR="00DA6EB4">
        <w:t xml:space="preserve">; porque por medio de esa manera de andar ha “ido” sin apego en dirección </w:t>
      </w:r>
      <w:r w:rsidR="00272476">
        <w:t xml:space="preserve">hacia </w:t>
      </w:r>
      <w:r w:rsidR="00DA6EB4">
        <w:t>la seguridad</w:t>
      </w:r>
      <w:r w:rsidR="00272476">
        <w:t xml:space="preserve"> </w:t>
      </w:r>
      <w:r w:rsidR="00DA6EB4">
        <w:t>—</w:t>
      </w:r>
      <w:r w:rsidR="00272476">
        <w:t xml:space="preserve"> </w:t>
      </w:r>
      <w:r w:rsidR="00DA6EB4">
        <w:t>así él es sublime (</w:t>
      </w:r>
      <w:proofErr w:type="spellStart"/>
      <w:r w:rsidR="00DA6EB4" w:rsidRPr="008D6A2C">
        <w:rPr>
          <w:i/>
          <w:iCs/>
        </w:rPr>
        <w:t>sugata</w:t>
      </w:r>
      <w:proofErr w:type="spellEnd"/>
      <w:r w:rsidR="00DA6EB4">
        <w:t xml:space="preserve">) debido a </w:t>
      </w:r>
      <w:r w:rsidR="007762D5">
        <w:t>su</w:t>
      </w:r>
      <w:r w:rsidR="00DA6EB4">
        <w:t xml:space="preserve"> manera de andar que </w:t>
      </w:r>
      <w:r w:rsidR="00272476">
        <w:t xml:space="preserve">ha sido </w:t>
      </w:r>
      <w:r w:rsidR="00DA6EB4">
        <w:t>buena.</w:t>
      </w:r>
    </w:p>
    <w:p w14:paraId="0097845B" w14:textId="1D4C1E88" w:rsidR="00DA6EB4" w:rsidRDefault="00FF164D" w:rsidP="00DA6EB4">
      <w:pPr>
        <w:pStyle w:val="NormalConSangria"/>
      </w:pPr>
      <w:r>
        <w:tab/>
      </w:r>
      <w:r w:rsidR="00DA6EB4">
        <w:t>(</w:t>
      </w:r>
      <w:proofErr w:type="spellStart"/>
      <w:r w:rsidR="00DA6EB4">
        <w:t>ii</w:t>
      </w:r>
      <w:proofErr w:type="spellEnd"/>
      <w:r w:rsidR="00DA6EB4">
        <w:t xml:space="preserve">) Y </w:t>
      </w:r>
      <w:r>
        <w:t>ha sido un</w:t>
      </w:r>
      <w:r w:rsidR="00DA6EB4">
        <w:t xml:space="preserve"> lugar excelente (</w:t>
      </w:r>
      <w:proofErr w:type="spellStart"/>
      <w:r w:rsidR="00DA6EB4" w:rsidRPr="008D6A2C">
        <w:rPr>
          <w:i/>
          <w:iCs/>
        </w:rPr>
        <w:t>sundara</w:t>
      </w:r>
      <w:proofErr w:type="spellEnd"/>
      <w:r w:rsidR="00DA6EB4">
        <w:t>) al que ha ido (</w:t>
      </w:r>
      <w:r w:rsidR="00DA6EB4" w:rsidRPr="008D6A2C">
        <w:rPr>
          <w:i/>
          <w:iCs/>
        </w:rPr>
        <w:t>gata</w:t>
      </w:r>
      <w:r w:rsidR="00DA6EB4">
        <w:t xml:space="preserve">), al </w:t>
      </w:r>
      <w:r w:rsidR="00DA6EB4" w:rsidRPr="008D6A2C">
        <w:rPr>
          <w:i/>
          <w:iCs/>
        </w:rPr>
        <w:t>Nibbāna</w:t>
      </w:r>
      <w:r w:rsidR="00DA6EB4">
        <w:t xml:space="preserve"> inmortal; por lo tanto, es sublime (</w:t>
      </w:r>
      <w:proofErr w:type="spellStart"/>
      <w:r w:rsidR="00DA6EB4" w:rsidRPr="008D6A2C">
        <w:rPr>
          <w:i/>
          <w:iCs/>
        </w:rPr>
        <w:t>sugata</w:t>
      </w:r>
      <w:proofErr w:type="spellEnd"/>
      <w:r w:rsidR="00DA6EB4">
        <w:t>) también por haber ido a un lugar excelente.</w:t>
      </w:r>
    </w:p>
    <w:p w14:paraId="4FBD53C0" w14:textId="70451528" w:rsidR="00DA6EB4" w:rsidRDefault="00DA6EB4" w:rsidP="00DA6EB4">
      <w:r>
        <w:t xml:space="preserve">34. </w:t>
      </w:r>
      <w:r>
        <w:tab/>
        <w:t>(</w:t>
      </w:r>
      <w:proofErr w:type="spellStart"/>
      <w:r>
        <w:t>iii</w:t>
      </w:r>
      <w:proofErr w:type="spellEnd"/>
      <w:r>
        <w:t>) Y correctamente (</w:t>
      </w:r>
      <w:proofErr w:type="spellStart"/>
      <w:r w:rsidR="00057BF4" w:rsidRPr="00057BF4">
        <w:rPr>
          <w:i/>
          <w:iCs/>
        </w:rPr>
        <w:t>sammā</w:t>
      </w:r>
      <w:proofErr w:type="spellEnd"/>
      <w:r>
        <w:t>) ha ido (</w:t>
      </w:r>
      <w:r w:rsidRPr="008D6A2C">
        <w:rPr>
          <w:i/>
          <w:iCs/>
        </w:rPr>
        <w:t>gata</w:t>
      </w:r>
      <w:r>
        <w:t xml:space="preserve">), </w:t>
      </w:r>
      <w:r w:rsidR="00AF3A97">
        <w:t xml:space="preserve">nuevamente </w:t>
      </w:r>
      <w:r>
        <w:t xml:space="preserve">sin </w:t>
      </w:r>
      <w:r w:rsidR="00793544">
        <w:t>retorno</w:t>
      </w:r>
      <w:r>
        <w:t xml:space="preserve"> </w:t>
      </w:r>
      <w:r w:rsidR="002C6E92">
        <w:t>hacia el abandono de</w:t>
      </w:r>
      <w:r>
        <w:t xml:space="preserve"> las impurezas por cada </w:t>
      </w:r>
      <w:r w:rsidR="001E24C7">
        <w:t>sendero</w:t>
      </w:r>
      <w:r>
        <w:t xml:space="preserve">. Porque eso </w:t>
      </w:r>
      <w:r w:rsidR="001E24C7">
        <w:t>está dicho</w:t>
      </w:r>
      <w:r>
        <w:t>: “Él no v</w:t>
      </w:r>
      <w:r w:rsidR="00AF3A97">
        <w:t>o</w:t>
      </w:r>
      <w:r>
        <w:t>lve</w:t>
      </w:r>
      <w:r w:rsidR="00AF3A97">
        <w:t>rá</w:t>
      </w:r>
      <w:r>
        <w:t>, regresa</w:t>
      </w:r>
      <w:r w:rsidR="00AF3A97">
        <w:t>rá</w:t>
      </w:r>
      <w:r>
        <w:t xml:space="preserve">, </w:t>
      </w:r>
      <w:r w:rsidR="001E24C7">
        <w:t>retorna</w:t>
      </w:r>
      <w:r w:rsidR="00AF3A97">
        <w:t>rá</w:t>
      </w:r>
      <w:r>
        <w:t xml:space="preserve">, a las impurezas abandonadas por el </w:t>
      </w:r>
      <w:r w:rsidR="001E24C7">
        <w:t xml:space="preserve">sendero </w:t>
      </w:r>
      <w:r>
        <w:t xml:space="preserve">de </w:t>
      </w:r>
      <w:r w:rsidR="001E24C7">
        <w:t xml:space="preserve">la </w:t>
      </w:r>
      <w:r>
        <w:t xml:space="preserve">entrada </w:t>
      </w:r>
      <w:r w:rsidR="00F36C8D">
        <w:t>a</w:t>
      </w:r>
      <w:r>
        <w:t xml:space="preserve"> la corriente, por lo que es sublime… </w:t>
      </w:r>
      <w:r w:rsidR="005820F4">
        <w:t xml:space="preserve">él </w:t>
      </w:r>
      <w:r>
        <w:t>no v</w:t>
      </w:r>
      <w:r w:rsidR="00F36C8D">
        <w:t>o</w:t>
      </w:r>
      <w:r>
        <w:t>lve</w:t>
      </w:r>
      <w:r w:rsidR="00F36C8D">
        <w:t>rá</w:t>
      </w:r>
      <w:r>
        <w:t xml:space="preserve">, </w:t>
      </w:r>
      <w:r w:rsidR="001E24C7">
        <w:t>regresa</w:t>
      </w:r>
      <w:r w:rsidR="00F36C8D">
        <w:t>rá</w:t>
      </w:r>
      <w:r>
        <w:t xml:space="preserve">, </w:t>
      </w:r>
      <w:r w:rsidR="001E24C7">
        <w:t>retorna</w:t>
      </w:r>
      <w:r w:rsidR="00F36C8D">
        <w:t>rá</w:t>
      </w:r>
      <w:r>
        <w:t xml:space="preserve"> a las impurezas abandonadas </w:t>
      </w:r>
      <w:r w:rsidR="005820F4">
        <w:t xml:space="preserve">mediante </w:t>
      </w:r>
      <w:r>
        <w:t xml:space="preserve">el </w:t>
      </w:r>
      <w:r w:rsidR="00E13277">
        <w:t xml:space="preserve">sendero </w:t>
      </w:r>
      <w:r w:rsidR="00057BF4" w:rsidRPr="00057BF4">
        <w:rPr>
          <w:i/>
        </w:rPr>
        <w:t>Arahant</w:t>
      </w:r>
      <w:r>
        <w:t>, por e</w:t>
      </w:r>
      <w:r w:rsidR="005820F4">
        <w:t>ll</w:t>
      </w:r>
      <w:r>
        <w:t>o es sublime” (¿antiguo comentario?). O alternativamente, ha ido correctamente desde el momento de [</w:t>
      </w:r>
      <w:r w:rsidR="00D44004">
        <w:t>asumir su determinación</w:t>
      </w:r>
      <w:r>
        <w:t>] a</w:t>
      </w:r>
      <w:r w:rsidR="00865F8B">
        <w:t>nte</w:t>
      </w:r>
      <w:r>
        <w:t xml:space="preserve"> los pies </w:t>
      </w:r>
      <w:proofErr w:type="spellStart"/>
      <w:r>
        <w:t>de</w:t>
      </w:r>
      <w:r w:rsidR="00D44004">
        <w:t>ll</w:t>
      </w:r>
      <w:proofErr w:type="spellEnd"/>
      <w:r w:rsidR="00D44004">
        <w:t xml:space="preserve"> </w:t>
      </w:r>
      <w:r w:rsidR="00D44004" w:rsidRPr="00D44004">
        <w:rPr>
          <w:i/>
          <w:iCs/>
        </w:rPr>
        <w:t>Buddha</w:t>
      </w:r>
      <w:r>
        <w:t xml:space="preserve"> </w:t>
      </w:r>
      <w:proofErr w:type="spellStart"/>
      <w:r>
        <w:t>Dīpaṅkarā</w:t>
      </w:r>
      <w:proofErr w:type="spellEnd"/>
      <w:r>
        <w:t xml:space="preserve"> hasta la Sesión de </w:t>
      </w:r>
      <w:r w:rsidR="00865F8B">
        <w:t xml:space="preserve">su </w:t>
      </w:r>
      <w:r>
        <w:t>Iluminación, trabajando p</w:t>
      </w:r>
      <w:r w:rsidR="00865F8B">
        <w:t>a</w:t>
      </w:r>
      <w:r>
        <w:t>r</w:t>
      </w:r>
      <w:r w:rsidR="00865F8B">
        <w:t>a</w:t>
      </w:r>
      <w:r>
        <w:t xml:space="preserve"> bienestar y felicidad de todo el mundo a través del </w:t>
      </w:r>
      <w:r w:rsidR="00865F8B">
        <w:t xml:space="preserve">desarrollo </w:t>
      </w:r>
      <w:r>
        <w:t xml:space="preserve">de las treinta perfecciones y siguiendo el </w:t>
      </w:r>
      <w:r w:rsidR="00865F8B">
        <w:t xml:space="preserve">sendero </w:t>
      </w:r>
      <w:r>
        <w:t xml:space="preserve">correcto. </w:t>
      </w:r>
      <w:r w:rsidR="00865F8B">
        <w:t xml:space="preserve">sendero </w:t>
      </w:r>
      <w:r>
        <w:t>sin desv</w:t>
      </w:r>
      <w:r w:rsidR="00865F8B">
        <w:t>ío</w:t>
      </w:r>
      <w:r>
        <w:t xml:space="preserve"> hacia ninguno de los dos extremos, es decir, hacia el etern</w:t>
      </w:r>
      <w:r w:rsidR="008D6A2C">
        <w:t>al</w:t>
      </w:r>
      <w:r>
        <w:t xml:space="preserve">ismo o el </w:t>
      </w:r>
      <w:r w:rsidR="00865F8B">
        <w:t>nihilismo</w:t>
      </w:r>
      <w:r>
        <w:t xml:space="preserve">, hacia la indulgencia en los placeres de los sentidos o </w:t>
      </w:r>
      <w:r w:rsidR="00865F8B">
        <w:t xml:space="preserve">hacia </w:t>
      </w:r>
      <w:r>
        <w:t xml:space="preserve">la </w:t>
      </w:r>
      <w:r w:rsidR="00865F8B">
        <w:t>auto mortificación</w:t>
      </w:r>
      <w:r>
        <w:t>—</w:t>
      </w:r>
      <w:r w:rsidR="00865F8B">
        <w:t xml:space="preserve"> es así </w:t>
      </w:r>
      <w:r w:rsidR="00A16EF1">
        <w:t>cómo</w:t>
      </w:r>
      <w:r w:rsidR="00865F8B">
        <w:t xml:space="preserve"> </w:t>
      </w:r>
      <w:r>
        <w:t>es sublime</w:t>
      </w:r>
      <w:r w:rsidR="00865F8B">
        <w:t>,</w:t>
      </w:r>
      <w:r>
        <w:t xml:space="preserve"> también por haber </w:t>
      </w:r>
      <w:r w:rsidR="003260CF">
        <w:t xml:space="preserve">recorrido el sendero </w:t>
      </w:r>
      <w:r>
        <w:t>correctamente.</w:t>
      </w:r>
    </w:p>
    <w:p w14:paraId="2D42CB89" w14:textId="7222C9F6" w:rsidR="00DA6EB4" w:rsidRDefault="00DA6EB4" w:rsidP="00DA6EB4">
      <w:r>
        <w:t xml:space="preserve">35. </w:t>
      </w:r>
      <w:r>
        <w:tab/>
        <w:t>(</w:t>
      </w:r>
      <w:proofErr w:type="spellStart"/>
      <w:r>
        <w:t>iv</w:t>
      </w:r>
      <w:proofErr w:type="spellEnd"/>
      <w:r>
        <w:t xml:space="preserve">) Y </w:t>
      </w:r>
      <w:r w:rsidR="00CA3B08">
        <w:t xml:space="preserve">lo ha </w:t>
      </w:r>
      <w:r>
        <w:t>enuncia</w:t>
      </w:r>
      <w:r w:rsidR="00CA3B08">
        <w:t>do</w:t>
      </w:r>
      <w:r w:rsidRPr="00A7026A">
        <w:rPr>
          <w:vertAlign w:val="superscript"/>
        </w:rPr>
        <w:t>11</w:t>
      </w:r>
      <w:r>
        <w:t xml:space="preserve"> (</w:t>
      </w:r>
      <w:proofErr w:type="spellStart"/>
      <w:r w:rsidRPr="008D6A2C">
        <w:rPr>
          <w:i/>
          <w:iCs/>
        </w:rPr>
        <w:t>gadati</w:t>
      </w:r>
      <w:proofErr w:type="spellEnd"/>
      <w:r>
        <w:t>) correctamente (</w:t>
      </w:r>
      <w:proofErr w:type="spellStart"/>
      <w:r w:rsidR="00057BF4" w:rsidRPr="00057BF4">
        <w:rPr>
          <w:i/>
          <w:iCs/>
        </w:rPr>
        <w:t>sammā</w:t>
      </w:r>
      <w:proofErr w:type="spellEnd"/>
      <w:r>
        <w:t xml:space="preserve">); sólo pronuncia palabras apropiadas en el lugar apropiado; por lo tanto, también es sublime debido a que </w:t>
      </w:r>
      <w:r w:rsidR="00CA3B08">
        <w:t xml:space="preserve">lo </w:t>
      </w:r>
      <w:r>
        <w:t>enuncia correctamente.</w:t>
      </w:r>
    </w:p>
    <w:p w14:paraId="76872374" w14:textId="0EE68612" w:rsidR="00DA6EB4" w:rsidRDefault="00DA6EB4" w:rsidP="008D6A2C">
      <w:pPr>
        <w:pStyle w:val="NormalConSangria"/>
      </w:pPr>
      <w:r>
        <w:t xml:space="preserve">Aquí hay un </w:t>
      </w:r>
      <w:proofErr w:type="spellStart"/>
      <w:r w:rsidRPr="008D6A2C">
        <w:rPr>
          <w:i/>
          <w:iCs/>
        </w:rPr>
        <w:t>sutta</w:t>
      </w:r>
      <w:proofErr w:type="spellEnd"/>
      <w:r>
        <w:t xml:space="preserve"> que confirma esto: “</w:t>
      </w:r>
      <w:r w:rsidR="001869A4">
        <w:t xml:space="preserve">Palabras tales </w:t>
      </w:r>
      <w:r>
        <w:t>que el Perfecto s</w:t>
      </w:r>
      <w:r w:rsidR="00151E27">
        <w:t>epa</w:t>
      </w:r>
      <w:r>
        <w:t xml:space="preserve"> que s</w:t>
      </w:r>
      <w:r w:rsidR="001869A4">
        <w:t>ea</w:t>
      </w:r>
      <w:r>
        <w:t>n falsas e incorrectas, que condu</w:t>
      </w:r>
      <w:r w:rsidR="00151E27">
        <w:t>zca</w:t>
      </w:r>
      <w:r>
        <w:t xml:space="preserve">n al </w:t>
      </w:r>
      <w:r w:rsidR="00151E27">
        <w:t>perjuicio</w:t>
      </w:r>
      <w:r w:rsidR="00872BC9" w:rsidRPr="00872BC9">
        <w:t xml:space="preserve"> </w:t>
      </w:r>
      <w:r w:rsidR="00872BC9">
        <w:t>de alguien</w:t>
      </w:r>
      <w:r>
        <w:t>, y que desagrad</w:t>
      </w:r>
      <w:r w:rsidR="001869A4">
        <w:t>e</w:t>
      </w:r>
      <w:r>
        <w:t>n y no s</w:t>
      </w:r>
      <w:r w:rsidR="001869A4">
        <w:t>ea</w:t>
      </w:r>
      <w:r>
        <w:t xml:space="preserve">n bienvenidas para los demás, </w:t>
      </w:r>
      <w:r w:rsidR="00D35165">
        <w:t xml:space="preserve">es así </w:t>
      </w:r>
      <w:r w:rsidR="00872BC9">
        <w:t>cómo</w:t>
      </w:r>
      <w:r w:rsidR="00D35165">
        <w:t xml:space="preserve"> </w:t>
      </w:r>
      <w:r>
        <w:t xml:space="preserve">él no </w:t>
      </w:r>
      <w:r w:rsidR="00D35165">
        <w:t>las dice</w:t>
      </w:r>
      <w:r>
        <w:t xml:space="preserve">. Y </w:t>
      </w:r>
      <w:r w:rsidR="00872BC9">
        <w:t>palabras tales</w:t>
      </w:r>
      <w:r>
        <w:t xml:space="preserve"> que el Perfecto </w:t>
      </w:r>
      <w:r w:rsidR="00872BC9">
        <w:t xml:space="preserve">sepa </w:t>
      </w:r>
      <w:r>
        <w:t xml:space="preserve">que </w:t>
      </w:r>
      <w:r w:rsidR="00872BC9">
        <w:t xml:space="preserve">sean </w:t>
      </w:r>
      <w:r>
        <w:t>verdader</w:t>
      </w:r>
      <w:r w:rsidR="00872BC9">
        <w:t>as</w:t>
      </w:r>
      <w:r>
        <w:t xml:space="preserve"> y correct</w:t>
      </w:r>
      <w:r w:rsidR="00872BC9">
        <w:t>as</w:t>
      </w:r>
      <w:r>
        <w:t>, pero que condu</w:t>
      </w:r>
      <w:r w:rsidR="00872BC9">
        <w:t>zcan</w:t>
      </w:r>
      <w:r>
        <w:t xml:space="preserve"> al </w:t>
      </w:r>
      <w:r w:rsidR="00872BC9">
        <w:t>perjuicio de alguien</w:t>
      </w:r>
      <w:r>
        <w:t>, y que desagrad</w:t>
      </w:r>
      <w:r w:rsidR="00872BC9">
        <w:t>e</w:t>
      </w:r>
      <w:r>
        <w:t xml:space="preserve"> y no s</w:t>
      </w:r>
      <w:r w:rsidR="00872BC9">
        <w:t>ea</w:t>
      </w:r>
      <w:r>
        <w:t xml:space="preserve"> bienvenid</w:t>
      </w:r>
      <w:r w:rsidR="00E8721D">
        <w:t>as</w:t>
      </w:r>
      <w:r>
        <w:t xml:space="preserve"> para </w:t>
      </w:r>
      <w:r w:rsidR="00872BC9">
        <w:t>alguien</w:t>
      </w:r>
      <w:r>
        <w:t xml:space="preserve">, </w:t>
      </w:r>
      <w:r w:rsidR="00872BC9">
        <w:t>es así cómo él no las dice</w:t>
      </w:r>
      <w:r>
        <w:t xml:space="preserve">. [204] Y </w:t>
      </w:r>
      <w:r w:rsidR="00872BC9">
        <w:t xml:space="preserve">palabras tales </w:t>
      </w:r>
      <w:r>
        <w:t xml:space="preserve">que el Perfecto </w:t>
      </w:r>
      <w:r w:rsidR="00872BC9">
        <w:t xml:space="preserve">sepa </w:t>
      </w:r>
      <w:r>
        <w:t xml:space="preserve">que </w:t>
      </w:r>
      <w:r w:rsidR="00872BC9">
        <w:t xml:space="preserve">sean </w:t>
      </w:r>
      <w:r>
        <w:t>verdader</w:t>
      </w:r>
      <w:r w:rsidR="00872BC9">
        <w:t>as</w:t>
      </w:r>
      <w:r>
        <w:t xml:space="preserve"> y correct</w:t>
      </w:r>
      <w:r w:rsidR="00872BC9">
        <w:t>as</w:t>
      </w:r>
      <w:r>
        <w:t>, conducente</w:t>
      </w:r>
      <w:r w:rsidR="00872BC9">
        <w:t>s</w:t>
      </w:r>
      <w:r>
        <w:t xml:space="preserve"> al bien</w:t>
      </w:r>
      <w:r w:rsidR="00872BC9">
        <w:t>estar</w:t>
      </w:r>
      <w:r>
        <w:t>, pero desagradable</w:t>
      </w:r>
      <w:r w:rsidR="00872BC9">
        <w:t>s</w:t>
      </w:r>
      <w:r>
        <w:t xml:space="preserve"> </w:t>
      </w:r>
      <w:r w:rsidR="000711CE">
        <w:t xml:space="preserve">e insanas </w:t>
      </w:r>
      <w:r>
        <w:t xml:space="preserve">para </w:t>
      </w:r>
      <w:r w:rsidR="00E8721D">
        <w:t>algunos</w:t>
      </w:r>
      <w:r>
        <w:t xml:space="preserve">, </w:t>
      </w:r>
      <w:r w:rsidR="000711CE">
        <w:t xml:space="preserve">respecto a este </w:t>
      </w:r>
      <w:r>
        <w:t>discurso el Perfecto sabe el momento de exponer</w:t>
      </w:r>
      <w:r w:rsidR="000711CE">
        <w:t>las</w:t>
      </w:r>
      <w:r>
        <w:t xml:space="preserve">. </w:t>
      </w:r>
      <w:r w:rsidR="000711CE">
        <w:t>Palabras tales que</w:t>
      </w:r>
      <w:r>
        <w:t xml:space="preserve"> el Perfecto </w:t>
      </w:r>
      <w:r w:rsidR="000711CE">
        <w:t xml:space="preserve">sepa </w:t>
      </w:r>
      <w:r>
        <w:t xml:space="preserve">que </w:t>
      </w:r>
      <w:r w:rsidR="000711CE">
        <w:t xml:space="preserve">sean </w:t>
      </w:r>
      <w:r>
        <w:t>fals</w:t>
      </w:r>
      <w:r w:rsidR="000711CE">
        <w:t>as</w:t>
      </w:r>
      <w:r>
        <w:t xml:space="preserve"> e incorrect</w:t>
      </w:r>
      <w:r w:rsidR="000711CE">
        <w:t>as</w:t>
      </w:r>
      <w:r>
        <w:t>, y conducente</w:t>
      </w:r>
      <w:r w:rsidR="000711CE">
        <w:t>s</w:t>
      </w:r>
      <w:r>
        <w:t xml:space="preserve"> al </w:t>
      </w:r>
      <w:r w:rsidR="000711CE">
        <w:t>perjuicio</w:t>
      </w:r>
      <w:r>
        <w:t>, pero agradable</w:t>
      </w:r>
      <w:r w:rsidR="000711CE">
        <w:t>s</w:t>
      </w:r>
      <w:r>
        <w:t xml:space="preserve"> y bienvenid</w:t>
      </w:r>
      <w:r w:rsidR="000711CE">
        <w:t>as</w:t>
      </w:r>
      <w:r>
        <w:t xml:space="preserve"> a los demás, </w:t>
      </w:r>
      <w:r w:rsidR="000711CE">
        <w:t>es así cómo él no las dice</w:t>
      </w:r>
      <w:r>
        <w:t xml:space="preserve">. Y </w:t>
      </w:r>
      <w:r w:rsidR="000711CE">
        <w:t>palabras tales que</w:t>
      </w:r>
      <w:r>
        <w:t xml:space="preserve"> el Perfecto </w:t>
      </w:r>
      <w:r w:rsidR="000711CE">
        <w:t xml:space="preserve">sepan </w:t>
      </w:r>
      <w:r>
        <w:t xml:space="preserve">que </w:t>
      </w:r>
      <w:r w:rsidR="000711CE">
        <w:t xml:space="preserve">sean </w:t>
      </w:r>
      <w:r>
        <w:t>verdader</w:t>
      </w:r>
      <w:r w:rsidR="00F122AB">
        <w:t>as</w:t>
      </w:r>
      <w:r>
        <w:t xml:space="preserve"> y correct</w:t>
      </w:r>
      <w:r w:rsidR="00F122AB">
        <w:t>as</w:t>
      </w:r>
      <w:r>
        <w:t>, pero conducente</w:t>
      </w:r>
      <w:r w:rsidR="00F122AB">
        <w:t>s</w:t>
      </w:r>
      <w:r>
        <w:t xml:space="preserve"> al </w:t>
      </w:r>
      <w:r w:rsidR="00F122AB">
        <w:t>perjuicio de alguien</w:t>
      </w:r>
      <w:r>
        <w:t xml:space="preserve">, aunque </w:t>
      </w:r>
      <w:r w:rsidR="00F122AB">
        <w:t xml:space="preserve">sean </w:t>
      </w:r>
      <w:r>
        <w:t>agradable</w:t>
      </w:r>
      <w:r w:rsidR="00F122AB">
        <w:t>s</w:t>
      </w:r>
      <w:r>
        <w:t xml:space="preserve"> y bienvenid</w:t>
      </w:r>
      <w:r w:rsidR="00F122AB">
        <w:t>as</w:t>
      </w:r>
      <w:r>
        <w:t xml:space="preserve"> </w:t>
      </w:r>
      <w:r w:rsidR="00F122AB">
        <w:t>por</w:t>
      </w:r>
      <w:r>
        <w:t xml:space="preserve"> los demás, </w:t>
      </w:r>
      <w:r w:rsidR="00F122AB">
        <w:t>es así cómo él no las dice</w:t>
      </w:r>
      <w:r>
        <w:t xml:space="preserve">. Y </w:t>
      </w:r>
      <w:r w:rsidR="00F122AB">
        <w:t xml:space="preserve">palabras tales </w:t>
      </w:r>
      <w:r>
        <w:t xml:space="preserve">que el Perfecto </w:t>
      </w:r>
      <w:r w:rsidR="00F122AB">
        <w:t xml:space="preserve">sepa </w:t>
      </w:r>
      <w:r>
        <w:t xml:space="preserve">que </w:t>
      </w:r>
      <w:r w:rsidR="00F122AB">
        <w:t xml:space="preserve">sean </w:t>
      </w:r>
      <w:r>
        <w:t>verdader</w:t>
      </w:r>
      <w:r w:rsidR="00F122AB">
        <w:t>as</w:t>
      </w:r>
      <w:r>
        <w:t xml:space="preserve"> y correct</w:t>
      </w:r>
      <w:r w:rsidR="00F122AB">
        <w:t>as</w:t>
      </w:r>
      <w:r>
        <w:t>, conducente</w:t>
      </w:r>
      <w:r w:rsidR="00F122AB">
        <w:t>s</w:t>
      </w:r>
      <w:r>
        <w:t xml:space="preserve"> al bien</w:t>
      </w:r>
      <w:r w:rsidR="00F122AB">
        <w:t>estar</w:t>
      </w:r>
      <w:r>
        <w:t>, y agradable</w:t>
      </w:r>
      <w:r w:rsidR="00F122AB">
        <w:t>s</w:t>
      </w:r>
      <w:r>
        <w:t xml:space="preserve"> y bienvenid</w:t>
      </w:r>
      <w:r w:rsidR="00F122AB">
        <w:t>as</w:t>
      </w:r>
      <w:r>
        <w:t xml:space="preserve"> </w:t>
      </w:r>
      <w:r w:rsidR="00F122AB">
        <w:t>por</w:t>
      </w:r>
      <w:r>
        <w:t xml:space="preserve"> los demás, ese discurso el Perfecto sabe el </w:t>
      </w:r>
      <w:r w:rsidR="00F122AB">
        <w:t>momento correcto</w:t>
      </w:r>
      <w:r>
        <w:t xml:space="preserve"> para exponer</w:t>
      </w:r>
      <w:r w:rsidR="00F122AB">
        <w:t>las</w:t>
      </w:r>
      <w:r>
        <w:t>” (M I 395)</w:t>
      </w:r>
      <w:r w:rsidR="00F122AB">
        <w:t xml:space="preserve"> </w:t>
      </w:r>
      <w:r>
        <w:t xml:space="preserve">— </w:t>
      </w:r>
      <w:r w:rsidR="00F122AB">
        <w:t xml:space="preserve">es </w:t>
      </w:r>
      <w:r>
        <w:t xml:space="preserve">así </w:t>
      </w:r>
      <w:r w:rsidR="00F122AB">
        <w:t xml:space="preserve">cómo </w:t>
      </w:r>
      <w:r w:rsidR="00A90667">
        <w:t xml:space="preserve">él </w:t>
      </w:r>
      <w:r w:rsidR="00056B88">
        <w:t xml:space="preserve">también </w:t>
      </w:r>
      <w:r>
        <w:t xml:space="preserve">es sublime </w:t>
      </w:r>
      <w:r w:rsidR="00056B88">
        <w:t>al expresarse o enunciar</w:t>
      </w:r>
      <w:r>
        <w:t xml:space="preserve"> </w:t>
      </w:r>
      <w:r w:rsidR="00A116A2">
        <w:t xml:space="preserve">el </w:t>
      </w:r>
      <w:r w:rsidR="00A116A2">
        <w:rPr>
          <w:i/>
          <w:iCs/>
        </w:rPr>
        <w:t xml:space="preserve">dhamma </w:t>
      </w:r>
      <w:r>
        <w:t>correctamente.</w:t>
      </w:r>
    </w:p>
    <w:p w14:paraId="246D66D5" w14:textId="77777777" w:rsidR="00DA6EB4" w:rsidRDefault="00DA6EB4" w:rsidP="00DA6EB4">
      <w:pPr>
        <w:pStyle w:val="Piedepgina"/>
        <w:rPr>
          <w:u w:val="single"/>
        </w:rPr>
      </w:pPr>
      <w:r>
        <w:rPr>
          <w:u w:val="single"/>
        </w:rPr>
        <w:t xml:space="preserve">                                                                                                                                                                          .</w:t>
      </w:r>
    </w:p>
    <w:p w14:paraId="71B093C1" w14:textId="77777777" w:rsidR="00DA6EB4" w:rsidRDefault="00DA6EB4" w:rsidP="00DA6EB4">
      <w:pPr>
        <w:pStyle w:val="PiedepginaLegal"/>
      </w:pPr>
      <w:r>
        <w:t xml:space="preserve">… </w:t>
      </w:r>
    </w:p>
    <w:p w14:paraId="67D80B34" w14:textId="57656A96" w:rsidR="00DA6EB4" w:rsidRDefault="00DA6EB4" w:rsidP="00DA6EB4">
      <w:pPr>
        <w:pStyle w:val="PiedepginaLegal"/>
      </w:pPr>
      <w:r>
        <w:tab/>
      </w:r>
      <w:r w:rsidR="00B00334">
        <w:t>Bienaventurado)</w:t>
      </w:r>
      <w:r>
        <w:t xml:space="preserve">, </w:t>
      </w:r>
      <w:proofErr w:type="spellStart"/>
      <w:r w:rsidRPr="008D6A2C">
        <w:rPr>
          <w:i/>
          <w:iCs/>
        </w:rPr>
        <w:t>Sugata</w:t>
      </w:r>
      <w:proofErr w:type="spellEnd"/>
      <w:r>
        <w:t xml:space="preserve"> (</w:t>
      </w:r>
      <w:r w:rsidR="008D6A2C">
        <w:t xml:space="preserve">El </w:t>
      </w:r>
      <w:r>
        <w:t xml:space="preserve">Sublime). Estas representaciones no pretenden ser literales. Los intentos de ser literales aquí pueden producir un efecto extraño o pintoresco, y por esa misma razón fallan en traducir lo que está en </w:t>
      </w:r>
      <w:r w:rsidR="00447C11">
        <w:t xml:space="preserve">el </w:t>
      </w:r>
      <w:r w:rsidR="00AD6B1D" w:rsidRPr="00AD6B1D">
        <w:rPr>
          <w:i/>
        </w:rPr>
        <w:t>Pāḷi</w:t>
      </w:r>
      <w:r>
        <w:t>.</w:t>
      </w:r>
    </w:p>
    <w:p w14:paraId="2A31A46A" w14:textId="2E546B74" w:rsidR="00DA6EB4" w:rsidRDefault="00DA6EB4" w:rsidP="00DA6EB4">
      <w:pPr>
        <w:pStyle w:val="PiedepginaLegal"/>
      </w:pPr>
      <w:r>
        <w:t xml:space="preserve">11. </w:t>
      </w:r>
      <w:r>
        <w:tab/>
      </w:r>
      <w:proofErr w:type="spellStart"/>
      <w:r w:rsidRPr="008D6A2C">
        <w:rPr>
          <w:i/>
          <w:iCs/>
        </w:rPr>
        <w:t>Gadati</w:t>
      </w:r>
      <w:proofErr w:type="spellEnd"/>
      <w:r>
        <w:t xml:space="preserve"> —“enunciar”: solo </w:t>
      </w:r>
      <w:r w:rsidR="009D3068">
        <w:t xml:space="preserve">el </w:t>
      </w:r>
      <w:r>
        <w:t xml:space="preserve">sustantivo </w:t>
      </w:r>
      <w:proofErr w:type="spellStart"/>
      <w:r w:rsidRPr="008D6A2C">
        <w:rPr>
          <w:i/>
          <w:iCs/>
        </w:rPr>
        <w:t>gada</w:t>
      </w:r>
      <w:proofErr w:type="spellEnd"/>
      <w:r>
        <w:t xml:space="preserve"> </w:t>
      </w:r>
      <w:r w:rsidR="009D3068">
        <w:t xml:space="preserve">se encuentra </w:t>
      </w:r>
      <w:r>
        <w:t xml:space="preserve">en </w:t>
      </w:r>
      <w:r w:rsidR="00650629">
        <w:t xml:space="preserve">el </w:t>
      </w:r>
      <w:r>
        <w:t>PED.</w:t>
      </w:r>
    </w:p>
    <w:p w14:paraId="7157AE02" w14:textId="77777777" w:rsidR="00DA6EB4" w:rsidRDefault="00DA6EB4">
      <w:pPr>
        <w:tabs>
          <w:tab w:val="clear" w:pos="425"/>
        </w:tabs>
        <w:spacing w:after="160"/>
      </w:pPr>
      <w:r>
        <w:br w:type="page"/>
      </w:r>
    </w:p>
    <w:p w14:paraId="7881F483" w14:textId="77777777" w:rsidR="009D3068" w:rsidRDefault="009D3068" w:rsidP="009D3068"/>
    <w:p w14:paraId="279D28AF" w14:textId="77AB0F96" w:rsidR="007D4AE6" w:rsidRDefault="00154F1A" w:rsidP="006B7078">
      <w:pPr>
        <w:pStyle w:val="Ttulo4"/>
        <w:ind w:left="708"/>
      </w:pPr>
      <w:r>
        <w:t>[Conocedor De Mundos]</w:t>
      </w:r>
    </w:p>
    <w:p w14:paraId="532E9618" w14:textId="67BE8544" w:rsidR="007D4AE6" w:rsidRDefault="007D4AE6" w:rsidP="007D4AE6">
      <w:r>
        <w:t xml:space="preserve">36. </w:t>
      </w:r>
      <w:r w:rsidR="00154F1A">
        <w:tab/>
      </w:r>
      <w:r>
        <w:t xml:space="preserve">Él es el </w:t>
      </w:r>
      <w:r w:rsidRPr="003F7EA2">
        <w:rPr>
          <w:i/>
          <w:iCs/>
        </w:rPr>
        <w:t xml:space="preserve">conocedor de </w:t>
      </w:r>
      <w:r w:rsidR="00C34DFB">
        <w:rPr>
          <w:i/>
          <w:iCs/>
        </w:rPr>
        <w:t xml:space="preserve">los </w:t>
      </w:r>
      <w:r w:rsidRPr="003F7EA2">
        <w:rPr>
          <w:i/>
          <w:iCs/>
        </w:rPr>
        <w:t>mundos</w:t>
      </w:r>
      <w:r>
        <w:t xml:space="preserve"> porque ha conocido el </w:t>
      </w:r>
      <w:r w:rsidR="00EE2BCF">
        <w:t>universo</w:t>
      </w:r>
      <w:r>
        <w:t xml:space="preserve"> en todos los sentidos. </w:t>
      </w:r>
      <w:r w:rsidR="00650629">
        <w:t xml:space="preserve">Ya </w:t>
      </w:r>
      <w:r>
        <w:t xml:space="preserve">que el </w:t>
      </w:r>
      <w:r w:rsidR="00650629">
        <w:rPr>
          <w:i/>
          <w:iCs/>
        </w:rPr>
        <w:t>Bhagavā</w:t>
      </w:r>
      <w:r w:rsidR="00650629">
        <w:t xml:space="preserve"> </w:t>
      </w:r>
      <w:r>
        <w:t xml:space="preserve">ha experimentado, conocido y penetrado el mundo en todos los sentidos hasta su esencia individual, su surgimiento, su cesación y los medios para su cesación, según </w:t>
      </w:r>
      <w:r w:rsidR="00650629">
        <w:t xml:space="preserve">lo </w:t>
      </w:r>
      <w:r>
        <w:t xml:space="preserve">dicho: “Amigo, que </w:t>
      </w:r>
      <w:r w:rsidR="00650629">
        <w:t xml:space="preserve">exista </w:t>
      </w:r>
      <w:r>
        <w:t>un fin del mundo donde uno ni na</w:t>
      </w:r>
      <w:r w:rsidR="00E0374D">
        <w:t>zca</w:t>
      </w:r>
      <w:r>
        <w:t>, ni enveje</w:t>
      </w:r>
      <w:r w:rsidR="00E0374D">
        <w:t>zca</w:t>
      </w:r>
      <w:r>
        <w:t>, ni muer</w:t>
      </w:r>
      <w:r w:rsidR="00E0374D">
        <w:t>a</w:t>
      </w:r>
      <w:r>
        <w:t xml:space="preserve">, ni </w:t>
      </w:r>
      <w:r w:rsidR="00CE2332">
        <w:t>fallezca</w:t>
      </w:r>
      <w:r>
        <w:t>, ni reapare</w:t>
      </w:r>
      <w:r w:rsidR="00CE2332">
        <w:t>zca</w:t>
      </w:r>
      <w:r>
        <w:t xml:space="preserve">, </w:t>
      </w:r>
      <w:r w:rsidR="000D644A">
        <w:t xml:space="preserve">que habrá de ser conocido </w:t>
      </w:r>
      <w:r>
        <w:t xml:space="preserve">o </w:t>
      </w:r>
      <w:r w:rsidR="000D644A">
        <w:t xml:space="preserve">visto </w:t>
      </w:r>
      <w:r>
        <w:t xml:space="preserve">o </w:t>
      </w:r>
      <w:r w:rsidR="000D644A">
        <w:t>consumado</w:t>
      </w:r>
      <w:r>
        <w:t xml:space="preserve"> por el viaje, eso </w:t>
      </w:r>
      <w:r w:rsidR="000D644A">
        <w:t xml:space="preserve">yo </w:t>
      </w:r>
      <w:r>
        <w:t xml:space="preserve">no lo </w:t>
      </w:r>
      <w:r w:rsidR="000D644A">
        <w:t>afirmo</w:t>
      </w:r>
      <w:r>
        <w:t xml:space="preserve">. Sin embargo, no digo que haya un fin del sufrimiento sin llegar al fin del mundo. Más bien, es en este </w:t>
      </w:r>
      <w:r w:rsidR="008D5BC4">
        <w:t xml:space="preserve">cuerpo </w:t>
      </w:r>
      <w:r>
        <w:t>de una braza de largo con sus percepciones y su con</w:t>
      </w:r>
      <w:r w:rsidR="008D5BC4">
        <w:t>s</w:t>
      </w:r>
      <w:r>
        <w:t xml:space="preserve">ciencia que doy a conocer el mundo, el surgimiento del mundo, la cesación del mundo y el </w:t>
      </w:r>
      <w:r w:rsidR="008D5BC4">
        <w:t>sendero</w:t>
      </w:r>
      <w:r w:rsidR="0059426A">
        <w:t xml:space="preserve"> </w:t>
      </w:r>
      <w:r>
        <w:t>que conduce a la cesación del mundo.</w:t>
      </w:r>
    </w:p>
    <w:p w14:paraId="3D40EC5D" w14:textId="77777777" w:rsidR="007D4AE6" w:rsidRDefault="007D4AE6" w:rsidP="007D4AE6">
      <w:pPr>
        <w:pStyle w:val="VersoIngls01Sangria"/>
      </w:pPr>
      <w:r>
        <w:t>“Es completamente imposible</w:t>
      </w:r>
    </w:p>
    <w:p w14:paraId="7EB876DC" w14:textId="47FD52F9" w:rsidR="007D4AE6" w:rsidRDefault="008D5BC4" w:rsidP="007D4AE6">
      <w:pPr>
        <w:pStyle w:val="VersoIngls01Sangria"/>
      </w:pPr>
      <w:r>
        <w:t xml:space="preserve">Llegar </w:t>
      </w:r>
      <w:r w:rsidR="007D4AE6">
        <w:t xml:space="preserve">viajando </w:t>
      </w:r>
      <w:r w:rsidR="0059426A">
        <w:t>hasta e</w:t>
      </w:r>
      <w:r w:rsidR="007D4AE6">
        <w:t>l fin del mundo;</w:t>
      </w:r>
    </w:p>
    <w:p w14:paraId="05B4D647" w14:textId="2C6A8364" w:rsidR="007D4AE6" w:rsidRDefault="007D4AE6" w:rsidP="007D4AE6">
      <w:pPr>
        <w:pStyle w:val="VersoIngls01Sangria"/>
      </w:pPr>
      <w:r>
        <w:t xml:space="preserve">Pero no </w:t>
      </w:r>
      <w:r w:rsidR="008508BB">
        <w:t>habrá</w:t>
      </w:r>
      <w:r>
        <w:t xml:space="preserve"> escapatoria </w:t>
      </w:r>
      <w:r w:rsidR="008508BB">
        <w:t>a</w:t>
      </w:r>
      <w:r>
        <w:t>l dolor.</w:t>
      </w:r>
    </w:p>
    <w:p w14:paraId="058D1B1E" w14:textId="6CE3D210" w:rsidR="007D4AE6" w:rsidRDefault="007D4AE6" w:rsidP="007D4AE6">
      <w:pPr>
        <w:pStyle w:val="VersoIngls01Sangria"/>
      </w:pPr>
      <w:r>
        <w:t xml:space="preserve">Hasta que se haya llegado </w:t>
      </w:r>
      <w:r w:rsidR="001A01BB">
        <w:t xml:space="preserve">hasta </w:t>
      </w:r>
      <w:r w:rsidR="00F911EC">
        <w:t>e</w:t>
      </w:r>
      <w:r>
        <w:t>l fin del mundo.</w:t>
      </w:r>
    </w:p>
    <w:p w14:paraId="1155FFA7" w14:textId="48FB3E67" w:rsidR="007D4AE6" w:rsidRDefault="007D4AE6" w:rsidP="007D4AE6">
      <w:pPr>
        <w:pStyle w:val="VersoIngls01Sangria"/>
      </w:pPr>
      <w:r>
        <w:t xml:space="preserve">Es </w:t>
      </w:r>
      <w:r w:rsidR="001D256A">
        <w:t>el</w:t>
      </w:r>
      <w:r>
        <w:t xml:space="preserve"> sabio, un conocedor de mundos,</w:t>
      </w:r>
    </w:p>
    <w:p w14:paraId="2B3D7486" w14:textId="74E826B4" w:rsidR="007D4AE6" w:rsidRDefault="007D4AE6" w:rsidP="007D4AE6">
      <w:pPr>
        <w:pStyle w:val="VersoIngls01Sangria"/>
      </w:pPr>
      <w:r>
        <w:t>Qui</w:t>
      </w:r>
      <w:r w:rsidR="001A01BB">
        <w:t>e</w:t>
      </w:r>
      <w:r>
        <w:t>n llega</w:t>
      </w:r>
      <w:r w:rsidR="008508BB">
        <w:t>rá</w:t>
      </w:r>
      <w:r>
        <w:t xml:space="preserve"> </w:t>
      </w:r>
      <w:r w:rsidR="008508BB">
        <w:t>hasta e</w:t>
      </w:r>
      <w:r>
        <w:t xml:space="preserve">l fin del mundo, y </w:t>
      </w:r>
      <w:r w:rsidR="00F911EC">
        <w:t>será</w:t>
      </w:r>
      <w:r>
        <w:t xml:space="preserve"> él</w:t>
      </w:r>
    </w:p>
    <w:p w14:paraId="6FABFDC3" w14:textId="24A57005" w:rsidR="007D4AE6" w:rsidRDefault="007D4AE6" w:rsidP="007D4AE6">
      <w:pPr>
        <w:pStyle w:val="VersoIngls01Sangria"/>
      </w:pPr>
      <w:r>
        <w:t>Cuya vida divina se viv</w:t>
      </w:r>
      <w:r w:rsidR="00794DC7">
        <w:t>irá</w:t>
      </w:r>
      <w:r>
        <w:t xml:space="preserve"> hasta su término;</w:t>
      </w:r>
    </w:p>
    <w:p w14:paraId="34330DD0" w14:textId="0922AE0A" w:rsidR="007D4AE6" w:rsidRDefault="007D4AE6" w:rsidP="007D4AE6">
      <w:pPr>
        <w:pStyle w:val="VersoIngls01Sangria"/>
      </w:pPr>
      <w:r>
        <w:t>En paz est</w:t>
      </w:r>
      <w:r w:rsidR="00637A61">
        <w:t>ar</w:t>
      </w:r>
      <w:r>
        <w:t>á quien ha</w:t>
      </w:r>
      <w:r w:rsidR="00794DC7">
        <w:t>ya</w:t>
      </w:r>
      <w:r>
        <w:t xml:space="preserve"> conocido el fin del mundo</w:t>
      </w:r>
    </w:p>
    <w:p w14:paraId="25A5B4AA" w14:textId="1F8842FF" w:rsidR="007D4AE6" w:rsidRDefault="007D4AE6" w:rsidP="007D4AE6">
      <w:pPr>
        <w:pStyle w:val="VersoIngls01Sangria"/>
        <w:spacing w:after="100"/>
        <w:ind w:left="1418"/>
      </w:pPr>
      <w:r>
        <w:t xml:space="preserve">Y no </w:t>
      </w:r>
      <w:r w:rsidR="00794DC7">
        <w:t xml:space="preserve">aguarde </w:t>
      </w:r>
      <w:r>
        <w:t xml:space="preserve">ni </w:t>
      </w:r>
      <w:r w:rsidR="00794DC7">
        <w:t xml:space="preserve">por </w:t>
      </w:r>
      <w:r w:rsidR="00C166DD">
        <w:t>é</w:t>
      </w:r>
      <w:r>
        <w:t xml:space="preserve">ste ni </w:t>
      </w:r>
      <w:r w:rsidR="00794DC7">
        <w:t xml:space="preserve">por el </w:t>
      </w:r>
      <w:r w:rsidR="00C166DD">
        <w:t xml:space="preserve">mundo por </w:t>
      </w:r>
      <w:r>
        <w:t>venir” (S I 62).</w:t>
      </w:r>
    </w:p>
    <w:p w14:paraId="611097E7" w14:textId="53234FD0" w:rsidR="007D4AE6" w:rsidRDefault="007D4AE6" w:rsidP="007D4AE6">
      <w:r>
        <w:t xml:space="preserve">37. </w:t>
      </w:r>
      <w:r w:rsidR="00154F1A">
        <w:tab/>
      </w:r>
      <w:r>
        <w:t xml:space="preserve">Además, </w:t>
      </w:r>
      <w:r w:rsidR="00C83E26">
        <w:t>existen</w:t>
      </w:r>
      <w:r>
        <w:t xml:space="preserve"> tres mundos: el mundo de las formaciones, el mundo de los seres y el mundo de</w:t>
      </w:r>
      <w:r w:rsidR="00520F44">
        <w:t>l espacio</w:t>
      </w:r>
      <w:r>
        <w:t>. Aquí, en el pasaje “</w:t>
      </w:r>
      <w:r w:rsidR="00DF2BD0">
        <w:t>En u</w:t>
      </w:r>
      <w:r>
        <w:t>n mundo: todos los seres</w:t>
      </w:r>
      <w:r w:rsidR="00197790">
        <w:t xml:space="preserve"> vivos</w:t>
      </w:r>
      <w:r>
        <w:t xml:space="preserve"> subsisten por </w:t>
      </w:r>
      <w:r w:rsidR="00197790">
        <w:t>medio d</w:t>
      </w:r>
      <w:r>
        <w:t xml:space="preserve">el </w:t>
      </w:r>
      <w:r w:rsidR="009437B6">
        <w:t>nutrimento</w:t>
      </w:r>
      <w:r>
        <w:t>” (</w:t>
      </w:r>
      <w:proofErr w:type="spellStart"/>
      <w:r w:rsidRPr="008D6A2C">
        <w:rPr>
          <w:i/>
          <w:iCs/>
        </w:rPr>
        <w:t>Pa</w:t>
      </w:r>
      <w:r w:rsidR="008D6A2C" w:rsidRPr="008D6A2C">
        <w:rPr>
          <w:i/>
          <w:iCs/>
        </w:rPr>
        <w:t>ṭ</w:t>
      </w:r>
      <w:r w:rsidRPr="008D6A2C">
        <w:rPr>
          <w:i/>
          <w:iCs/>
        </w:rPr>
        <w:t>is</w:t>
      </w:r>
      <w:proofErr w:type="spellEnd"/>
      <w:r>
        <w:t xml:space="preserve"> I 122), [205] se debe entender el mundo de las formaciones. En el pasaje “‘El mundo es eterno’ o ‘El mundo no es eterno’” (M I 426) es el mundo de los seres. En el pasaje:</w:t>
      </w:r>
    </w:p>
    <w:p w14:paraId="54A050F5" w14:textId="0263C978" w:rsidR="007D4AE6" w:rsidRDefault="007D4AE6" w:rsidP="007D4AE6">
      <w:pPr>
        <w:pStyle w:val="VersoIngls01Sangria"/>
      </w:pPr>
      <w:r>
        <w:t xml:space="preserve">“Hasta donde circulan la </w:t>
      </w:r>
      <w:r w:rsidR="00CB1629">
        <w:t xml:space="preserve">Luna </w:t>
      </w:r>
      <w:r>
        <w:t xml:space="preserve">y el </w:t>
      </w:r>
      <w:r w:rsidR="00CB1629">
        <w:t>Sol</w:t>
      </w:r>
    </w:p>
    <w:p w14:paraId="254EB141" w14:textId="77777777" w:rsidR="007D4AE6" w:rsidRDefault="007D4AE6" w:rsidP="007D4AE6">
      <w:pPr>
        <w:pStyle w:val="VersoIngls01Sangria"/>
      </w:pPr>
      <w:r>
        <w:t>Brillando</w:t>
      </w:r>
      <w:r w:rsidRPr="00A7026A">
        <w:rPr>
          <w:vertAlign w:val="superscript"/>
        </w:rPr>
        <w:t>12</w:t>
      </w:r>
      <w:r>
        <w:t xml:space="preserve"> e iluminando las [cuatro] direcciones,</w:t>
      </w:r>
    </w:p>
    <w:p w14:paraId="56F2D3D1" w14:textId="77777777" w:rsidR="007D4AE6" w:rsidRDefault="007D4AE6" w:rsidP="007D4AE6">
      <w:pPr>
        <w:pStyle w:val="VersoIngls01Sangria"/>
      </w:pPr>
      <w:r>
        <w:t>Más de mil veces más grande un mundo</w:t>
      </w:r>
    </w:p>
    <w:p w14:paraId="3CB4E486" w14:textId="53E333D2" w:rsidR="007D4AE6" w:rsidRDefault="00D06465" w:rsidP="007D4AE6">
      <w:pPr>
        <w:pStyle w:val="VersoIngls01Sangria"/>
        <w:spacing w:after="100"/>
        <w:ind w:left="1418"/>
      </w:pPr>
      <w:r>
        <w:t>S</w:t>
      </w:r>
      <w:r w:rsidR="007D4AE6">
        <w:t xml:space="preserve">u poder </w:t>
      </w:r>
      <w:proofErr w:type="spellStart"/>
      <w:r w:rsidR="007D4AE6">
        <w:t>domina</w:t>
      </w:r>
      <w:proofErr w:type="spellEnd"/>
      <w:r w:rsidR="007D4AE6">
        <w:t xml:space="preserve"> indiscutiblemente” (M I 328)—</w:t>
      </w:r>
    </w:p>
    <w:p w14:paraId="02AFBC3B" w14:textId="57FE07DD" w:rsidR="007D4AE6" w:rsidRDefault="007D4AE6" w:rsidP="007D4AE6">
      <w:r>
        <w:t xml:space="preserve">es el mundo del </w:t>
      </w:r>
      <w:r w:rsidR="00D06465">
        <w:t>espacio</w:t>
      </w:r>
      <w:r>
        <w:t xml:space="preserve">. El </w:t>
      </w:r>
      <w:r w:rsidR="00D06465">
        <w:rPr>
          <w:i/>
          <w:iCs/>
        </w:rPr>
        <w:t>Bhagavā</w:t>
      </w:r>
      <w:r w:rsidR="00D06465">
        <w:t xml:space="preserve"> </w:t>
      </w:r>
      <w:r>
        <w:t xml:space="preserve">ha </w:t>
      </w:r>
      <w:r w:rsidR="00D06465">
        <w:t>conocido</w:t>
      </w:r>
      <w:r>
        <w:t xml:space="preserve"> también </w:t>
      </w:r>
      <w:r w:rsidR="00D06465">
        <w:t xml:space="preserve">eso </w:t>
      </w:r>
      <w:r>
        <w:t>en todos los sentidos.</w:t>
      </w:r>
    </w:p>
    <w:p w14:paraId="2AD4C4DA" w14:textId="146F4DF8" w:rsidR="007D4AE6" w:rsidRDefault="007D4AE6" w:rsidP="007D4AE6">
      <w:r>
        <w:t xml:space="preserve">38. </w:t>
      </w:r>
      <w:r w:rsidR="00154F1A">
        <w:tab/>
      </w:r>
      <w:r>
        <w:t xml:space="preserve">Asimismo, por las palabras: “Un mundo: todos los seres subsisten por el alimento. Dos mundos: mentalidad y materialidad. Tres mundos: tres clases de </w:t>
      </w:r>
      <w:r w:rsidR="00D06465">
        <w:t>sensaciones</w:t>
      </w:r>
      <w:r>
        <w:t>. Cuatro mundos: cuatro tipos de nutrientes. Cinco mundos: cinco agregados como objetos de</w:t>
      </w:r>
      <w:r w:rsidR="005D1AAD">
        <w:t>l</w:t>
      </w:r>
      <w:r>
        <w:t xml:space="preserve"> apego. Seis mundos: seis bases internas. Siete mundos: siete </w:t>
      </w:r>
      <w:r w:rsidR="00D06465">
        <w:t>estados</w:t>
      </w:r>
      <w:r>
        <w:t xml:space="preserve"> de con</w:t>
      </w:r>
      <w:r w:rsidR="00D06465">
        <w:t>s</w:t>
      </w:r>
      <w:r>
        <w:t xml:space="preserve">ciencia. Ocho mundos: ocho </w:t>
      </w:r>
      <w:r w:rsidR="003D3215">
        <w:t xml:space="preserve">vicisitudes </w:t>
      </w:r>
      <w:r>
        <w:t>mundan</w:t>
      </w:r>
      <w:r w:rsidR="003D3215">
        <w:t>a</w:t>
      </w:r>
      <w:r>
        <w:t>s. Nueve mundos: nueve moradas de seres. Diez mundos: diez bases. Doce mundos: doce bases. Dieciocho mundos: dieciocho elementos” (</w:t>
      </w:r>
      <w:proofErr w:type="spellStart"/>
      <w:r w:rsidRPr="008D6A2C">
        <w:rPr>
          <w:i/>
          <w:iCs/>
        </w:rPr>
        <w:t>Paṭis</w:t>
      </w:r>
      <w:proofErr w:type="spellEnd"/>
      <w:r>
        <w:t xml:space="preserve"> I 122),</w:t>
      </w:r>
      <w:r w:rsidRPr="00A7026A">
        <w:rPr>
          <w:vertAlign w:val="superscript"/>
        </w:rPr>
        <w:t>13</w:t>
      </w:r>
      <w:r>
        <w:t xml:space="preserve"> este mundo de formaciones le </w:t>
      </w:r>
      <w:r w:rsidR="00C6667A">
        <w:t>fue</w:t>
      </w:r>
      <w:r>
        <w:t xml:space="preserve"> conocido en todos los sentidos.</w:t>
      </w:r>
    </w:p>
    <w:p w14:paraId="3F90B97D" w14:textId="5371A6C9" w:rsidR="007D4AE6" w:rsidRDefault="007D4AE6" w:rsidP="007D4AE6">
      <w:r>
        <w:t xml:space="preserve">39. </w:t>
      </w:r>
      <w:r w:rsidR="00154F1A">
        <w:tab/>
      </w:r>
      <w:r w:rsidR="005B4C40">
        <w:t xml:space="preserve">No obstante, </w:t>
      </w:r>
      <w:r>
        <w:t xml:space="preserve">él conoce los hábitos de todos los seres, conoce sus tendencias inherentes, conoce sus temperamentos, conoce sus inclinaciones, los conoce como </w:t>
      </w:r>
      <w:r w:rsidR="00B36929">
        <w:t xml:space="preserve">si tuviesen </w:t>
      </w:r>
      <w:r>
        <w:t xml:space="preserve">poco polvo en sus ojos y mucho polvo en sus ojos, con facultades agudas y con facultades torpes, con buen </w:t>
      </w:r>
    </w:p>
    <w:p w14:paraId="0D261CEB" w14:textId="77777777" w:rsidR="007D4AE6" w:rsidRDefault="007D4AE6" w:rsidP="007D4AE6">
      <w:pPr>
        <w:pStyle w:val="Piedepgina"/>
        <w:rPr>
          <w:u w:val="single"/>
        </w:rPr>
      </w:pPr>
      <w:r>
        <w:rPr>
          <w:u w:val="single"/>
        </w:rPr>
        <w:t xml:space="preserve">                                                                                                                                                                          .</w:t>
      </w:r>
    </w:p>
    <w:p w14:paraId="6AE16D94" w14:textId="68C1ECCD" w:rsidR="007D4AE6" w:rsidRDefault="007D4AE6" w:rsidP="007D4AE6">
      <w:pPr>
        <w:pStyle w:val="PiedepginaLegal"/>
      </w:pPr>
      <w:r>
        <w:t xml:space="preserve">12. </w:t>
      </w:r>
      <w:r>
        <w:tab/>
      </w:r>
      <w:proofErr w:type="spellStart"/>
      <w:r w:rsidRPr="008D6A2C">
        <w:rPr>
          <w:i/>
          <w:iCs/>
        </w:rPr>
        <w:t>Bhanti</w:t>
      </w:r>
      <w:proofErr w:type="spellEnd"/>
      <w:r>
        <w:t xml:space="preserve">—“ellos brillan”: esta forma no se </w:t>
      </w:r>
      <w:r w:rsidR="00951797">
        <w:t>encuentra</w:t>
      </w:r>
      <w:r>
        <w:t xml:space="preserve"> en </w:t>
      </w:r>
      <w:r w:rsidR="00951797">
        <w:t xml:space="preserve">el </w:t>
      </w:r>
      <w:r>
        <w:t xml:space="preserve">PED bajo </w:t>
      </w:r>
      <w:proofErr w:type="spellStart"/>
      <w:r w:rsidRPr="008D6A2C">
        <w:rPr>
          <w:i/>
          <w:iCs/>
        </w:rPr>
        <w:t>bhāti</w:t>
      </w:r>
      <w:proofErr w:type="spellEnd"/>
      <w:r>
        <w:t>.</w:t>
      </w:r>
    </w:p>
    <w:p w14:paraId="50AC2F10" w14:textId="179CF455" w:rsidR="0085131C" w:rsidRDefault="007D4AE6" w:rsidP="007D4AE6">
      <w:pPr>
        <w:pStyle w:val="PiedepginaLegal"/>
      </w:pPr>
      <w:r>
        <w:t xml:space="preserve">13. </w:t>
      </w:r>
      <w:r>
        <w:tab/>
        <w:t xml:space="preserve">Para tomar lo que no </w:t>
      </w:r>
      <w:proofErr w:type="spellStart"/>
      <w:r w:rsidR="00AF29BA">
        <w:t>ssea</w:t>
      </w:r>
      <w:proofErr w:type="spellEnd"/>
      <w:r>
        <w:t xml:space="preserve"> evidente en este párrafo, </w:t>
      </w:r>
      <w:r w:rsidR="00951797">
        <w:t xml:space="preserve">los </w:t>
      </w:r>
      <w:r w:rsidRPr="00951797">
        <w:rPr>
          <w:i/>
          <w:iCs/>
        </w:rPr>
        <w:t xml:space="preserve">tres tipos de </w:t>
      </w:r>
      <w:r w:rsidR="00E67341" w:rsidRPr="00951797">
        <w:rPr>
          <w:i/>
          <w:iCs/>
        </w:rPr>
        <w:t>sensaciones</w:t>
      </w:r>
      <w:r>
        <w:t xml:space="preserve"> </w:t>
      </w:r>
      <w:r w:rsidR="00951797">
        <w:t>son agradables</w:t>
      </w:r>
      <w:r>
        <w:t xml:space="preserve">, </w:t>
      </w:r>
      <w:r w:rsidR="00951797">
        <w:t xml:space="preserve">desagradables </w:t>
      </w:r>
      <w:r>
        <w:t>y ni</w:t>
      </w:r>
      <w:r w:rsidR="00200CC3">
        <w:t>–</w:t>
      </w:r>
      <w:r w:rsidR="00951797">
        <w:t>agradables</w:t>
      </w:r>
      <w:r w:rsidR="00200CC3">
        <w:t>–</w:t>
      </w:r>
      <w:r>
        <w:t>ni</w:t>
      </w:r>
      <w:r w:rsidR="00200CC3">
        <w:t>–</w:t>
      </w:r>
      <w:r w:rsidR="00951797">
        <w:t xml:space="preserve">desagradables </w:t>
      </w:r>
      <w:r>
        <w:t xml:space="preserve">(ver MN 59). </w:t>
      </w:r>
      <w:r w:rsidR="00951797">
        <w:t xml:space="preserve">Los </w:t>
      </w:r>
      <w:r w:rsidR="00951797">
        <w:rPr>
          <w:i/>
          <w:iCs/>
        </w:rPr>
        <w:t>c</w:t>
      </w:r>
      <w:r w:rsidRPr="00762664">
        <w:rPr>
          <w:i/>
          <w:iCs/>
        </w:rPr>
        <w:t>uatro tipos de nutri</w:t>
      </w:r>
      <w:r w:rsidR="00E171FD">
        <w:rPr>
          <w:i/>
          <w:iCs/>
        </w:rPr>
        <w:t>mentos</w:t>
      </w:r>
      <w:r>
        <w:t xml:space="preserve"> son </w:t>
      </w:r>
    </w:p>
    <w:p w14:paraId="38A8D0F4" w14:textId="77777777" w:rsidR="0085131C" w:rsidRDefault="0085131C">
      <w:pPr>
        <w:tabs>
          <w:tab w:val="clear" w:pos="425"/>
        </w:tabs>
        <w:spacing w:after="160"/>
        <w:rPr>
          <w:color w:val="000000" w:themeColor="text1"/>
          <w:spacing w:val="10"/>
          <w:sz w:val="14"/>
        </w:rPr>
      </w:pPr>
      <w:r>
        <w:br w:type="page"/>
      </w:r>
    </w:p>
    <w:p w14:paraId="2035A1FC" w14:textId="77777777" w:rsidR="00A7026A" w:rsidRDefault="00A7026A" w:rsidP="00DB0490"/>
    <w:p w14:paraId="4B6366EB" w14:textId="73F723A3" w:rsidR="00DB0490" w:rsidRDefault="00B36929" w:rsidP="00DB0490">
      <w:r>
        <w:t xml:space="preserve">comportamiento y con </w:t>
      </w:r>
      <w:r w:rsidR="00DB0490">
        <w:t>mal comportamiento, fácil</w:t>
      </w:r>
      <w:r w:rsidR="00A61E96">
        <w:t>es</w:t>
      </w:r>
      <w:r w:rsidR="00DB0490">
        <w:t xml:space="preserve"> de enseñar y difícil</w:t>
      </w:r>
      <w:r w:rsidR="00A61E96">
        <w:t>es</w:t>
      </w:r>
      <w:r w:rsidR="00DB0490">
        <w:t xml:space="preserve"> de enseñar, capa</w:t>
      </w:r>
      <w:r w:rsidR="00A61E96">
        <w:t>ces</w:t>
      </w:r>
      <w:r w:rsidR="00DB0490">
        <w:t xml:space="preserve"> e incapa</w:t>
      </w:r>
      <w:r w:rsidR="00A61E96">
        <w:t>ces</w:t>
      </w:r>
      <w:r w:rsidR="00DB0490">
        <w:t xml:space="preserve"> [de </w:t>
      </w:r>
      <w:r w:rsidR="00A61E96">
        <w:t>consumar</w:t>
      </w:r>
      <w:r w:rsidR="00DB0490">
        <w:t xml:space="preserve">] (cf. </w:t>
      </w:r>
      <w:proofErr w:type="spellStart"/>
      <w:r w:rsidR="00DB0490" w:rsidRPr="008D6A2C">
        <w:rPr>
          <w:i/>
          <w:iCs/>
        </w:rPr>
        <w:t>Paṭis</w:t>
      </w:r>
      <w:proofErr w:type="spellEnd"/>
      <w:r w:rsidR="00DB0490">
        <w:t xml:space="preserve"> I 121), por lo tanto, este mundo de seres le era conocido en todos los sentidos.</w:t>
      </w:r>
    </w:p>
    <w:p w14:paraId="3F703337" w14:textId="1A03D39F" w:rsidR="00DB0490" w:rsidRDefault="00DB0490" w:rsidP="00DB0490">
      <w:r>
        <w:t xml:space="preserve">40. </w:t>
      </w:r>
      <w:r>
        <w:tab/>
      </w:r>
      <w:r w:rsidR="000E1995">
        <w:t>Así</w:t>
      </w:r>
      <w:r>
        <w:t xml:space="preserve"> como el mundo de los seres también el mundo del </w:t>
      </w:r>
      <w:r w:rsidR="00A61E96">
        <w:t>espacio</w:t>
      </w:r>
      <w:r>
        <w:t xml:space="preserve">. </w:t>
      </w:r>
      <w:r w:rsidR="002052EC">
        <w:t>Así que</w:t>
      </w:r>
      <w:r>
        <w:t xml:space="preserve"> en consecuencia </w:t>
      </w:r>
      <w:r w:rsidR="002052EC">
        <w:t>lo siguiente</w:t>
      </w:r>
      <w:r w:rsidR="00DB7DE4">
        <w:t>:</w:t>
      </w:r>
      <w:r w:rsidR="002052EC">
        <w:t xml:space="preserve"> </w:t>
      </w:r>
      <w:r>
        <w:t>[</w:t>
      </w:r>
      <w:r w:rsidR="002052EC">
        <w:t xml:space="preserve">es decir, las medidas del </w:t>
      </w:r>
      <w:r>
        <w:t>mundo de la siguiente manera]</w:t>
      </w:r>
    </w:p>
    <w:p w14:paraId="4E69A9C2" w14:textId="38852E39" w:rsidR="00DB0490" w:rsidRDefault="00A9214A" w:rsidP="00DB0490">
      <w:pPr>
        <w:pStyle w:val="NormalConSangria"/>
      </w:pPr>
      <w:r>
        <w:t>La esfera terrestre</w:t>
      </w:r>
      <w:r w:rsidR="00DB0490" w:rsidRPr="00A7026A">
        <w:rPr>
          <w:vertAlign w:val="superscript"/>
        </w:rPr>
        <w:t>14</w:t>
      </w:r>
      <w:r w:rsidR="00DB0490">
        <w:t xml:space="preserve"> tiene </w:t>
      </w:r>
      <w:r w:rsidR="00704931">
        <w:t>1</w:t>
      </w:r>
      <w:r w:rsidR="00C65062">
        <w:t>’</w:t>
      </w:r>
      <w:r w:rsidR="00704931">
        <w:t>20</w:t>
      </w:r>
      <w:r w:rsidR="00B03ED2">
        <w:t>3</w:t>
      </w:r>
      <w:r w:rsidR="00704931">
        <w:t>,</w:t>
      </w:r>
      <w:r w:rsidR="004D6149">
        <w:t>45</w:t>
      </w:r>
      <w:r w:rsidR="00704931">
        <w:t>0</w:t>
      </w:r>
      <w:r w:rsidR="00DB0490">
        <w:t xml:space="preserve"> leguas de ancho y </w:t>
      </w:r>
      <w:r w:rsidR="004D6149">
        <w:t>largo</w:t>
      </w:r>
      <w:r w:rsidR="00DB0490">
        <w:t>. En circunferencia, sin embargo:</w:t>
      </w:r>
    </w:p>
    <w:p w14:paraId="46A25D14" w14:textId="73D4A48F" w:rsidR="00DB0490" w:rsidRDefault="00DB0490" w:rsidP="00DB0490">
      <w:pPr>
        <w:pStyle w:val="VersoIngls01Sangria"/>
      </w:pPr>
      <w:r>
        <w:t>[</w:t>
      </w:r>
      <w:r w:rsidR="002E0B39">
        <w:t>El perímetro de él</w:t>
      </w:r>
      <w:r>
        <w:t xml:space="preserve">] </w:t>
      </w:r>
      <w:r w:rsidR="00094E0C">
        <w:t xml:space="preserve">alrededor </w:t>
      </w:r>
      <w:r w:rsidR="007444E6">
        <w:t xml:space="preserve">es </w:t>
      </w:r>
    </w:p>
    <w:p w14:paraId="5E704A04" w14:textId="57644A8A" w:rsidR="00DB0490" w:rsidRDefault="007444E6" w:rsidP="00DB0490">
      <w:pPr>
        <w:pStyle w:val="VersoIngls01Sangria"/>
      </w:pPr>
      <w:r>
        <w:t xml:space="preserve">De </w:t>
      </w:r>
      <w:r w:rsidR="00202108">
        <w:t xml:space="preserve">tres </w:t>
      </w:r>
      <w:r>
        <w:t xml:space="preserve">millones </w:t>
      </w:r>
      <w:r w:rsidR="00202108">
        <w:t>seiscientos diez mil trescientos</w:t>
      </w:r>
      <w:r w:rsidR="00202108">
        <w:br/>
        <w:t xml:space="preserve">cincuenta ligas, </w:t>
      </w:r>
      <w:r w:rsidR="00DB0490">
        <w:t xml:space="preserve">es </w:t>
      </w:r>
      <w:r w:rsidR="00202108">
        <w:t xml:space="preserve">decir </w:t>
      </w:r>
      <w:r w:rsidR="00DB0490">
        <w:t>3</w:t>
      </w:r>
      <w:r w:rsidR="00041E02">
        <w:t>’</w:t>
      </w:r>
      <w:r w:rsidR="00DB0490">
        <w:t>610.350</w:t>
      </w:r>
      <w:r w:rsidR="00041E02">
        <w:t xml:space="preserve"> l</w:t>
      </w:r>
      <w:r w:rsidR="00DF628A">
        <w:t>e</w:t>
      </w:r>
      <w:r w:rsidR="00041E02">
        <w:t>g</w:t>
      </w:r>
      <w:r w:rsidR="00DF628A">
        <w:t>u</w:t>
      </w:r>
      <w:r w:rsidR="00202108">
        <w:t>a</w:t>
      </w:r>
      <w:r w:rsidR="00041E02">
        <w:t>s</w:t>
      </w:r>
      <w:r w:rsidR="00DB0490">
        <w:t>.</w:t>
      </w:r>
    </w:p>
    <w:p w14:paraId="72D02BED" w14:textId="77777777" w:rsidR="00DB0490" w:rsidRDefault="00DB0490" w:rsidP="00DB0490">
      <w:pPr>
        <w:pStyle w:val="VersoIngls01Sangria"/>
      </w:pPr>
    </w:p>
    <w:p w14:paraId="76D6D9BC" w14:textId="77777777" w:rsidR="00DB0490" w:rsidRDefault="00DB0490" w:rsidP="00DB0490">
      <w:pPr>
        <w:pStyle w:val="Piedepgina"/>
        <w:rPr>
          <w:u w:val="single"/>
        </w:rPr>
      </w:pPr>
      <w:r>
        <w:rPr>
          <w:u w:val="single"/>
        </w:rPr>
        <w:t xml:space="preserve">                                                                                                                                                                          .</w:t>
      </w:r>
    </w:p>
    <w:p w14:paraId="159B9F86" w14:textId="77777777" w:rsidR="00DB0490" w:rsidRDefault="00DB0490" w:rsidP="00DB0490">
      <w:pPr>
        <w:pStyle w:val="PiedepginaLegal"/>
      </w:pPr>
      <w:r>
        <w:t>…</w:t>
      </w:r>
    </w:p>
    <w:p w14:paraId="321DD84F" w14:textId="26A4EEDB" w:rsidR="00DB0490" w:rsidRDefault="00DB0490" w:rsidP="003350FC">
      <w:pPr>
        <w:pStyle w:val="PiedepginaLegal"/>
        <w:tabs>
          <w:tab w:val="clear" w:pos="6804"/>
        </w:tabs>
        <w:ind w:right="476"/>
      </w:pPr>
      <w:r>
        <w:tab/>
      </w:r>
      <w:r w:rsidR="00951797">
        <w:t xml:space="preserve">los </w:t>
      </w:r>
      <w:r w:rsidR="00E171FD" w:rsidRPr="00E171FD">
        <w:t xml:space="preserve">nutrimentos </w:t>
      </w:r>
      <w:r w:rsidR="00CD4D0A">
        <w:t>físicos</w:t>
      </w:r>
      <w:r>
        <w:t xml:space="preserve">, </w:t>
      </w:r>
      <w:r w:rsidR="005146A5">
        <w:t xml:space="preserve">el </w:t>
      </w:r>
      <w:r>
        <w:t xml:space="preserve">contacto, </w:t>
      </w:r>
      <w:r w:rsidR="005146A5">
        <w:t xml:space="preserve">la </w:t>
      </w:r>
      <w:r>
        <w:t xml:space="preserve">volición mental y </w:t>
      </w:r>
      <w:r w:rsidR="005146A5">
        <w:t xml:space="preserve">la </w:t>
      </w:r>
      <w:r>
        <w:t>con</w:t>
      </w:r>
      <w:r w:rsidR="00CD4D0A">
        <w:t>s</w:t>
      </w:r>
      <w:r>
        <w:t xml:space="preserve">ciencia (ver M I 48 y M-a I 207f.). </w:t>
      </w:r>
      <w:r w:rsidRPr="00762664">
        <w:rPr>
          <w:i/>
          <w:iCs/>
        </w:rPr>
        <w:t>L</w:t>
      </w:r>
      <w:r w:rsidR="00951797">
        <w:rPr>
          <w:i/>
          <w:iCs/>
        </w:rPr>
        <w:t>o</w:t>
      </w:r>
      <w:r w:rsidRPr="00762664">
        <w:rPr>
          <w:i/>
          <w:iCs/>
        </w:rPr>
        <w:t xml:space="preserve">s siete </w:t>
      </w:r>
      <w:r w:rsidR="00E247BE">
        <w:rPr>
          <w:i/>
          <w:iCs/>
        </w:rPr>
        <w:t xml:space="preserve">estados </w:t>
      </w:r>
      <w:r w:rsidRPr="00762664">
        <w:rPr>
          <w:i/>
          <w:iCs/>
        </w:rPr>
        <w:t xml:space="preserve">de </w:t>
      </w:r>
      <w:r w:rsidR="00305E12">
        <w:rPr>
          <w:i/>
          <w:iCs/>
        </w:rPr>
        <w:t>consciencia</w:t>
      </w:r>
      <w:r>
        <w:t xml:space="preserve"> son: (1) </w:t>
      </w:r>
      <w:r w:rsidR="005146A5">
        <w:t xml:space="preserve">la </w:t>
      </w:r>
      <w:r>
        <w:t xml:space="preserve">esfera sensorial, (2) </w:t>
      </w:r>
      <w:r w:rsidR="005146A5">
        <w:t xml:space="preserve">el </w:t>
      </w:r>
      <w:r>
        <w:t xml:space="preserve">séquito </w:t>
      </w:r>
      <w:r w:rsidR="00057BF4" w:rsidRPr="00057BF4">
        <w:rPr>
          <w:i/>
        </w:rPr>
        <w:t>Brahmā</w:t>
      </w:r>
      <w:r>
        <w:t xml:space="preserve">, (3) Deidades </w:t>
      </w:r>
      <w:proofErr w:type="spellStart"/>
      <w:r w:rsidRPr="008D6A2C">
        <w:rPr>
          <w:i/>
          <w:iCs/>
        </w:rPr>
        <w:t>Ābhassara</w:t>
      </w:r>
      <w:proofErr w:type="spellEnd"/>
      <w:r>
        <w:t xml:space="preserve"> (mundo </w:t>
      </w:r>
      <w:r w:rsidR="00057BF4" w:rsidRPr="00057BF4">
        <w:rPr>
          <w:i/>
        </w:rPr>
        <w:t>Brahmā</w:t>
      </w:r>
      <w:r>
        <w:t xml:space="preserve">), (4) </w:t>
      </w:r>
      <w:r w:rsidR="005146A5">
        <w:t xml:space="preserve">las deidades </w:t>
      </w:r>
      <w:proofErr w:type="spellStart"/>
      <w:r w:rsidRPr="008D6A2C">
        <w:rPr>
          <w:i/>
          <w:iCs/>
        </w:rPr>
        <w:t>Subhakiṇṇa</w:t>
      </w:r>
      <w:proofErr w:type="spellEnd"/>
      <w:r>
        <w:t xml:space="preserve"> (mundo </w:t>
      </w:r>
      <w:r w:rsidR="00057BF4" w:rsidRPr="00057BF4">
        <w:rPr>
          <w:i/>
        </w:rPr>
        <w:t>Brahmā</w:t>
      </w:r>
      <w:r>
        <w:t>), (5) base consiste</w:t>
      </w:r>
      <w:r w:rsidR="005473DF">
        <w:t>nte</w:t>
      </w:r>
      <w:r>
        <w:t xml:space="preserve"> </w:t>
      </w:r>
      <w:r w:rsidR="005473DF">
        <w:t>del</w:t>
      </w:r>
      <w:r>
        <w:t xml:space="preserve"> espacio ilimitado, (</w:t>
      </w:r>
      <w:proofErr w:type="gramStart"/>
      <w:r>
        <w:t>6)</w:t>
      </w:r>
      <w:r w:rsidR="005146A5">
        <w:t>la</w:t>
      </w:r>
      <w:proofErr w:type="gramEnd"/>
      <w:r w:rsidR="005146A5">
        <w:t xml:space="preserve"> </w:t>
      </w:r>
      <w:r>
        <w:t xml:space="preserve"> base consiste</w:t>
      </w:r>
      <w:r w:rsidR="005473DF">
        <w:t>nte</w:t>
      </w:r>
      <w:r>
        <w:t xml:space="preserve"> </w:t>
      </w:r>
      <w:r w:rsidR="005473DF">
        <w:t xml:space="preserve">de la </w:t>
      </w:r>
      <w:r w:rsidR="00305E12">
        <w:t>consciencia</w:t>
      </w:r>
      <w:r>
        <w:t xml:space="preserve"> ilimitada, (7) base consiste </w:t>
      </w:r>
      <w:r w:rsidR="005473DF">
        <w:t>de</w:t>
      </w:r>
      <w:r>
        <w:t xml:space="preserve">l </w:t>
      </w:r>
      <w:r w:rsidR="005473DF">
        <w:t xml:space="preserve">vacío </w:t>
      </w:r>
      <w:r>
        <w:t xml:space="preserve">(ver D III 253). </w:t>
      </w:r>
      <w:r w:rsidRPr="00762664">
        <w:rPr>
          <w:i/>
          <w:iCs/>
        </w:rPr>
        <w:t>L</w:t>
      </w:r>
      <w:r w:rsidR="00A65314">
        <w:rPr>
          <w:i/>
          <w:iCs/>
        </w:rPr>
        <w:t>a</w:t>
      </w:r>
      <w:r w:rsidRPr="00762664">
        <w:rPr>
          <w:i/>
          <w:iCs/>
        </w:rPr>
        <w:t xml:space="preserve">s ocho </w:t>
      </w:r>
      <w:proofErr w:type="gramStart"/>
      <w:r w:rsidR="00A65314">
        <w:rPr>
          <w:i/>
          <w:iCs/>
        </w:rPr>
        <w:t xml:space="preserve">vicisitudes </w:t>
      </w:r>
      <w:r w:rsidRPr="00762664">
        <w:rPr>
          <w:i/>
          <w:iCs/>
        </w:rPr>
        <w:t>mundanos</w:t>
      </w:r>
      <w:proofErr w:type="gramEnd"/>
      <w:r>
        <w:t xml:space="preserve"> son ganancia, fama, alabanza, placer y sus opuestos (ver D III 260). </w:t>
      </w:r>
      <w:r w:rsidRPr="00762664">
        <w:rPr>
          <w:i/>
          <w:iCs/>
        </w:rPr>
        <w:t>L</w:t>
      </w:r>
      <w:r w:rsidR="00E171FD">
        <w:rPr>
          <w:i/>
          <w:iCs/>
        </w:rPr>
        <w:t>o</w:t>
      </w:r>
      <w:r w:rsidRPr="00762664">
        <w:rPr>
          <w:i/>
          <w:iCs/>
        </w:rPr>
        <w:t xml:space="preserve">s nueve </w:t>
      </w:r>
      <w:r w:rsidR="00E171FD">
        <w:rPr>
          <w:i/>
          <w:iCs/>
        </w:rPr>
        <w:t xml:space="preserve">planos </w:t>
      </w:r>
      <w:r w:rsidRPr="00762664">
        <w:rPr>
          <w:i/>
          <w:iCs/>
        </w:rPr>
        <w:t>de los seres</w:t>
      </w:r>
      <w:r>
        <w:t xml:space="preserve">: (1–4) como en </w:t>
      </w:r>
      <w:r w:rsidR="00F93D72">
        <w:t xml:space="preserve">los </w:t>
      </w:r>
      <w:r w:rsidR="00A65314">
        <w:t xml:space="preserve">estados </w:t>
      </w:r>
      <w:r>
        <w:t>de con</w:t>
      </w:r>
      <w:r w:rsidR="00C718A9">
        <w:t>s</w:t>
      </w:r>
      <w:r>
        <w:t xml:space="preserve">ciencia, (5) seres inconscientes, (6–9) los cuatro estados inmateriales (ver D III 263). </w:t>
      </w:r>
      <w:r w:rsidRPr="00762664">
        <w:rPr>
          <w:i/>
          <w:iCs/>
        </w:rPr>
        <w:t>Las diez bases</w:t>
      </w:r>
      <w:r>
        <w:t xml:space="preserve"> son ojo, oído, nariz, lengua, cuerpo, objeto visible, sonido, olor, sabor, objeto tangible.</w:t>
      </w:r>
    </w:p>
    <w:p w14:paraId="3E0019B4" w14:textId="035911AA" w:rsidR="00DB0490" w:rsidRDefault="00DB0490" w:rsidP="003350FC">
      <w:pPr>
        <w:pStyle w:val="PiedepginaLegal"/>
        <w:tabs>
          <w:tab w:val="clear" w:pos="6804"/>
        </w:tabs>
        <w:ind w:right="476"/>
      </w:pPr>
      <w:r>
        <w:t xml:space="preserve">14. </w:t>
      </w:r>
      <w:r>
        <w:tab/>
      </w:r>
      <w:proofErr w:type="spellStart"/>
      <w:r w:rsidRPr="008D6A2C">
        <w:rPr>
          <w:i/>
          <w:iCs/>
        </w:rPr>
        <w:t>Cakkavāḷa</w:t>
      </w:r>
      <w:proofErr w:type="spellEnd"/>
      <w:r>
        <w:t xml:space="preserve"> (esfera </w:t>
      </w:r>
      <w:r w:rsidR="00AA3B62">
        <w:t xml:space="preserve">estelar </w:t>
      </w:r>
      <w:r>
        <w:t xml:space="preserve">o </w:t>
      </w:r>
      <w:r w:rsidR="005A0ED4">
        <w:t>sideral</w:t>
      </w:r>
      <w:r>
        <w:t xml:space="preserve">) es un término para el concepto de un </w:t>
      </w:r>
      <w:r w:rsidR="005B3B86">
        <w:t>único</w:t>
      </w:r>
      <w:r>
        <w:t xml:space="preserve"> </w:t>
      </w:r>
      <w:r w:rsidR="00B6041C">
        <w:t xml:space="preserve">y </w:t>
      </w:r>
      <w:r w:rsidR="002320BC">
        <w:t xml:space="preserve">completo </w:t>
      </w:r>
      <w:r>
        <w:t>universo</w:t>
      </w:r>
      <w:r w:rsidR="00B6041C">
        <w:t>,</w:t>
      </w:r>
      <w:r>
        <w:t xml:space="preserve"> como uno entre un número infinito de tales universos. Este concepto de cosmos, en su forma general, no es exclusivo del budismo, pero parec</w:t>
      </w:r>
      <w:r w:rsidR="00B6041C">
        <w:t>iera</w:t>
      </w:r>
      <w:r>
        <w:t xml:space="preserve"> haber sido el ya generalmente aceptado. El término </w:t>
      </w:r>
      <w:r w:rsidRPr="008D6A2C">
        <w:rPr>
          <w:i/>
          <w:iCs/>
        </w:rPr>
        <w:t>loka-</w:t>
      </w:r>
      <w:proofErr w:type="spellStart"/>
      <w:r w:rsidR="008D6A2C" w:rsidRPr="008D6A2C">
        <w:rPr>
          <w:i/>
          <w:iCs/>
        </w:rPr>
        <w:t>dhātu</w:t>
      </w:r>
      <w:proofErr w:type="spellEnd"/>
      <w:r>
        <w:t xml:space="preserve"> (elemento</w:t>
      </w:r>
      <w:r w:rsidR="009E71B3">
        <w:rPr>
          <w:rFonts w:cs="Cormorant"/>
        </w:rPr>
        <w:t>–</w:t>
      </w:r>
      <w:r>
        <w:t xml:space="preserve">mundo), en su sentido más restringido, es una esfera </w:t>
      </w:r>
      <w:r w:rsidR="003F7B4C">
        <w:t>sideral</w:t>
      </w:r>
      <w:r>
        <w:t>, pero puede extenderse para significar cualquier número</w:t>
      </w:r>
      <w:r w:rsidR="000E4185">
        <w:t xml:space="preserve"> de esferas</w:t>
      </w:r>
      <w:r>
        <w:t xml:space="preserve">, por ejemplo, el conjunto de esferas </w:t>
      </w:r>
      <w:r w:rsidR="008035A9">
        <w:t xml:space="preserve">cósmicas </w:t>
      </w:r>
      <w:r>
        <w:t xml:space="preserve">dominadas por un </w:t>
      </w:r>
      <w:r w:rsidR="00057BF4" w:rsidRPr="00057BF4">
        <w:rPr>
          <w:i/>
        </w:rPr>
        <w:t>Brahmā</w:t>
      </w:r>
      <w:r>
        <w:t xml:space="preserve"> </w:t>
      </w:r>
      <w:r w:rsidR="008035A9">
        <w:t xml:space="preserve">en </w:t>
      </w:r>
      <w:r>
        <w:t>particular (ver MN 120).</w:t>
      </w:r>
    </w:p>
    <w:p w14:paraId="24E6E16A" w14:textId="322F92D7" w:rsidR="00DB0490" w:rsidRPr="0034272E" w:rsidRDefault="00DB0490" w:rsidP="003350FC">
      <w:pPr>
        <w:pStyle w:val="PiedepginaLegal"/>
        <w:tabs>
          <w:tab w:val="clear" w:pos="6804"/>
        </w:tabs>
        <w:ind w:right="476"/>
        <w:rPr>
          <w:color w:val="1F3864" w:themeColor="accent1" w:themeShade="80"/>
        </w:rPr>
      </w:pPr>
      <w:r>
        <w:tab/>
      </w:r>
      <w:r>
        <w:tab/>
      </w:r>
      <w:r w:rsidRPr="0034272E">
        <w:rPr>
          <w:color w:val="1F3864" w:themeColor="accent1" w:themeShade="80"/>
        </w:rPr>
        <w:t xml:space="preserve">Así concebido, un círculo de “montañas de </w:t>
      </w:r>
      <w:r w:rsidR="003F7B4C" w:rsidRPr="0034272E">
        <w:rPr>
          <w:color w:val="1F3864" w:themeColor="accent1" w:themeShade="80"/>
        </w:rPr>
        <w:t xml:space="preserve">una </w:t>
      </w:r>
      <w:r w:rsidRPr="0034272E">
        <w:rPr>
          <w:color w:val="1F3864" w:themeColor="accent1" w:themeShade="80"/>
        </w:rPr>
        <w:t xml:space="preserve">esfera </w:t>
      </w:r>
      <w:r w:rsidR="004148B9" w:rsidRPr="0034272E">
        <w:rPr>
          <w:color w:val="1F3864" w:themeColor="accent1" w:themeShade="80"/>
        </w:rPr>
        <w:t>sideral</w:t>
      </w:r>
      <w:r w:rsidRPr="0034272E">
        <w:rPr>
          <w:color w:val="1F3864" w:themeColor="accent1" w:themeShade="80"/>
        </w:rPr>
        <w:t>” “como el borde de una rueda” (</w:t>
      </w:r>
      <w:proofErr w:type="spellStart"/>
      <w:r w:rsidRPr="0034272E">
        <w:rPr>
          <w:i/>
          <w:iCs/>
          <w:color w:val="1F3864" w:themeColor="accent1" w:themeShade="80"/>
        </w:rPr>
        <w:t>cakka</w:t>
      </w:r>
      <w:proofErr w:type="spellEnd"/>
      <w:r w:rsidRPr="0034272E">
        <w:rPr>
          <w:color w:val="1F3864" w:themeColor="accent1" w:themeShade="80"/>
        </w:rPr>
        <w:t>—</w:t>
      </w:r>
      <w:proofErr w:type="spellStart"/>
      <w:r w:rsidRPr="0034272E">
        <w:rPr>
          <w:color w:val="1F3864" w:themeColor="accent1" w:themeShade="80"/>
        </w:rPr>
        <w:t>Vism-mhṭ</w:t>
      </w:r>
      <w:proofErr w:type="spellEnd"/>
      <w:r w:rsidRPr="0034272E">
        <w:rPr>
          <w:color w:val="1F3864" w:themeColor="accent1" w:themeShade="80"/>
        </w:rPr>
        <w:t xml:space="preserve"> 198) encierra </w:t>
      </w:r>
      <w:r w:rsidR="003148D6" w:rsidRPr="0034272E">
        <w:rPr>
          <w:color w:val="1F3864" w:themeColor="accent1" w:themeShade="80"/>
        </w:rPr>
        <w:t>un</w:t>
      </w:r>
      <w:r w:rsidRPr="0034272E">
        <w:rPr>
          <w:color w:val="1F3864" w:themeColor="accent1" w:themeShade="80"/>
        </w:rPr>
        <w:t xml:space="preserve"> océano. En el centro del océano se encuentra el Monte </w:t>
      </w:r>
      <w:proofErr w:type="spellStart"/>
      <w:r w:rsidRPr="0034272E">
        <w:rPr>
          <w:i/>
          <w:iCs/>
          <w:color w:val="1F3864" w:themeColor="accent1" w:themeShade="80"/>
        </w:rPr>
        <w:t>Sineru</w:t>
      </w:r>
      <w:proofErr w:type="spellEnd"/>
      <w:r w:rsidRPr="0034272E">
        <w:rPr>
          <w:color w:val="1F3864" w:themeColor="accent1" w:themeShade="80"/>
        </w:rPr>
        <w:t xml:space="preserve"> (o Meru), rodeado por siete anillos concéntricos de montañas separad</w:t>
      </w:r>
      <w:r w:rsidR="00090D18" w:rsidRPr="0034272E">
        <w:rPr>
          <w:color w:val="1F3864" w:themeColor="accent1" w:themeShade="80"/>
        </w:rPr>
        <w:t>a</w:t>
      </w:r>
      <w:r w:rsidRPr="0034272E">
        <w:rPr>
          <w:color w:val="1F3864" w:themeColor="accent1" w:themeShade="80"/>
        </w:rPr>
        <w:t>s por anillos de mar. En el océano entre el más exter</w:t>
      </w:r>
      <w:r w:rsidR="00090D18" w:rsidRPr="0034272E">
        <w:rPr>
          <w:color w:val="1F3864" w:themeColor="accent1" w:themeShade="80"/>
        </w:rPr>
        <w:t>n</w:t>
      </w:r>
      <w:r w:rsidRPr="0034272E">
        <w:rPr>
          <w:color w:val="1F3864" w:themeColor="accent1" w:themeShade="80"/>
        </w:rPr>
        <w:t xml:space="preserve">o de estos siete anillos y el anillo de la “montaña de la esfera </w:t>
      </w:r>
      <w:r w:rsidR="00F316F2" w:rsidRPr="0034272E">
        <w:rPr>
          <w:color w:val="1F3864" w:themeColor="accent1" w:themeShade="80"/>
        </w:rPr>
        <w:t>sideral</w:t>
      </w:r>
      <w:r w:rsidRPr="0034272E">
        <w:rPr>
          <w:color w:val="1F3864" w:themeColor="accent1" w:themeShade="80"/>
        </w:rPr>
        <w:t>” que lo encierra, se encuentran los “cuatro continentes”.</w:t>
      </w:r>
    </w:p>
    <w:p w14:paraId="48625CE0" w14:textId="148422A3" w:rsidR="00DB0490" w:rsidRDefault="00DB0490" w:rsidP="003350FC">
      <w:pPr>
        <w:pStyle w:val="PiedepginaLegal"/>
        <w:tabs>
          <w:tab w:val="clear" w:pos="6804"/>
        </w:tabs>
        <w:ind w:right="476"/>
      </w:pPr>
      <w:r>
        <w:tab/>
      </w:r>
      <w:r>
        <w:tab/>
        <w:t xml:space="preserve">“A más de </w:t>
      </w:r>
      <w:r w:rsidR="00242144">
        <w:t>42</w:t>
      </w:r>
      <w:r>
        <w:t xml:space="preserve"> mil leguas de distancia” (</w:t>
      </w:r>
      <w:proofErr w:type="spellStart"/>
      <w:r>
        <w:t>Dhs</w:t>
      </w:r>
      <w:proofErr w:type="spellEnd"/>
      <w:r>
        <w:t xml:space="preserve">-a 313) la </w:t>
      </w:r>
      <w:r w:rsidR="00DE6A64">
        <w:t xml:space="preserve">Luna </w:t>
      </w:r>
      <w:r>
        <w:t xml:space="preserve">y el </w:t>
      </w:r>
      <w:r w:rsidR="00DE6A64">
        <w:t xml:space="preserve">Sol </w:t>
      </w:r>
      <w:r>
        <w:t xml:space="preserve">circulan </w:t>
      </w:r>
      <w:r w:rsidR="00242144">
        <w:t>alrededor de</w:t>
      </w:r>
      <w:r>
        <w:t xml:space="preserve"> ellos dentro de</w:t>
      </w:r>
      <w:r w:rsidR="0034272E">
        <w:t xml:space="preserve"> un</w:t>
      </w:r>
      <w:r>
        <w:t xml:space="preserve"> anillo montañoso de la esfera </w:t>
      </w:r>
      <w:r w:rsidR="00240D15">
        <w:t>estelar</w:t>
      </w:r>
      <w:r>
        <w:t xml:space="preserve">, y la noche es el efecto de que el </w:t>
      </w:r>
      <w:r w:rsidR="00E6335E">
        <w:t xml:space="preserve">Sol </w:t>
      </w:r>
      <w:r>
        <w:t>se pon</w:t>
      </w:r>
      <w:r w:rsidR="00F621A6">
        <w:t>ga</w:t>
      </w:r>
      <w:r>
        <w:t xml:space="preserve"> detrás de </w:t>
      </w:r>
      <w:proofErr w:type="spellStart"/>
      <w:r w:rsidRPr="008D6A2C">
        <w:rPr>
          <w:i/>
          <w:iCs/>
        </w:rPr>
        <w:t>Sineru</w:t>
      </w:r>
      <w:proofErr w:type="spellEnd"/>
      <w:r>
        <w:t xml:space="preserve">. Las órbitas de la </w:t>
      </w:r>
      <w:r w:rsidR="00A612AA">
        <w:t xml:space="preserve">Luna </w:t>
      </w:r>
      <w:r>
        <w:t xml:space="preserve">y el </w:t>
      </w:r>
      <w:r w:rsidR="00A612AA">
        <w:t xml:space="preserve">Sol </w:t>
      </w:r>
      <w:r>
        <w:t>están en el cielo de la esfera de los sentidos de los Cuatro Reyes (</w:t>
      </w:r>
      <w:proofErr w:type="spellStart"/>
      <w:r w:rsidRPr="008D6A2C">
        <w:rPr>
          <w:i/>
          <w:iCs/>
        </w:rPr>
        <w:t>Catumahārājā</w:t>
      </w:r>
      <w:proofErr w:type="spellEnd"/>
      <w:r>
        <w:t xml:space="preserve">), el cielo más bajo, que es una capa que se extiende desde las montañas de la esfera </w:t>
      </w:r>
      <w:r w:rsidR="00E6335E">
        <w:t>estelar</w:t>
      </w:r>
      <w:r>
        <w:t xml:space="preserve"> hasta las laderas de </w:t>
      </w:r>
      <w:proofErr w:type="spellStart"/>
      <w:r w:rsidRPr="008D6A2C">
        <w:rPr>
          <w:i/>
          <w:iCs/>
        </w:rPr>
        <w:t>Sineru</w:t>
      </w:r>
      <w:proofErr w:type="spellEnd"/>
      <w:r>
        <w:t>. Las estrellas están a ambos lados de ellos (</w:t>
      </w:r>
      <w:proofErr w:type="spellStart"/>
      <w:r>
        <w:t>Dhs</w:t>
      </w:r>
      <w:proofErr w:type="spellEnd"/>
      <w:r>
        <w:t>-a 318). Por encima de e</w:t>
      </w:r>
      <w:r w:rsidR="00320E51">
        <w:t>ll</w:t>
      </w:r>
      <w:r>
        <w:t xml:space="preserve">o vienen las capas sucesivas de los otros cinco cielos de las esferas de los sentidos —los cuatro más </w:t>
      </w:r>
      <w:r w:rsidR="00975697">
        <w:t>elevados</w:t>
      </w:r>
      <w:r>
        <w:t xml:space="preserve"> que no tocan la tierra— y por encima de ellos los mundos </w:t>
      </w:r>
      <w:r w:rsidR="00057BF4" w:rsidRPr="00057BF4">
        <w:rPr>
          <w:i/>
        </w:rPr>
        <w:t>Brahmā</w:t>
      </w:r>
      <w:r>
        <w:t xml:space="preserve"> de </w:t>
      </w:r>
      <w:r w:rsidR="00D67C9A">
        <w:t xml:space="preserve">la </w:t>
      </w:r>
      <w:r>
        <w:t xml:space="preserve">materia </w:t>
      </w:r>
      <w:r w:rsidR="000412CA">
        <w:t>sutil</w:t>
      </w:r>
      <w:r>
        <w:t xml:space="preserve">, </w:t>
      </w:r>
      <w:r w:rsidR="004E2760">
        <w:t>cuyo mundo más elevado</w:t>
      </w:r>
      <w:r>
        <w:t xml:space="preserve"> se extiende sobre más de un</w:t>
      </w:r>
      <w:r w:rsidR="009E71B3">
        <w:t>a</w:t>
      </w:r>
      <w:r>
        <w:t xml:space="preserve"> esfera </w:t>
      </w:r>
      <w:r w:rsidR="00B4027E">
        <w:t xml:space="preserve">estelar </w:t>
      </w:r>
      <w:r>
        <w:t xml:space="preserve">(ver A V 59). La esfera </w:t>
      </w:r>
      <w:r w:rsidR="00563102">
        <w:t>sideral</w:t>
      </w:r>
      <w:r>
        <w:t xml:space="preserve"> descansa sobre el agua, que descansa sobre el aire, que descansa sobre el espacio. Las esferas </w:t>
      </w:r>
      <w:r w:rsidR="00FC2F27">
        <w:t xml:space="preserve">siderales </w:t>
      </w:r>
      <w:r>
        <w:t xml:space="preserve">"yacen adyacentes entre sí en contacto como </w:t>
      </w:r>
      <w:r w:rsidR="00FC2F27">
        <w:t xml:space="preserve">si fueran </w:t>
      </w:r>
      <w:r>
        <w:t>cuencos, dejando un espacio triangular sin luz entre cada tres" (</w:t>
      </w:r>
      <w:proofErr w:type="spellStart"/>
      <w:r>
        <w:t>Vism-mhṭ</w:t>
      </w:r>
      <w:proofErr w:type="spellEnd"/>
      <w:r>
        <w:t xml:space="preserve"> 199), llamado "espacio intermedio </w:t>
      </w:r>
      <w:r w:rsidR="00F37E20">
        <w:t>estelar</w:t>
      </w:r>
      <w:r>
        <w:t xml:space="preserve">" (ver también M-a IV 178). Sus números se extienden así en las cuatro direcciones hasta el infinito </w:t>
      </w:r>
      <w:r w:rsidR="00C51BA9">
        <w:t xml:space="preserve">sobre </w:t>
      </w:r>
      <w:r>
        <w:t xml:space="preserve">del </w:t>
      </w:r>
      <w:r w:rsidR="00C51BA9">
        <w:t xml:space="preserve">soporte de la superficie de </w:t>
      </w:r>
      <w:r>
        <w:t>agua.</w:t>
      </w:r>
    </w:p>
    <w:p w14:paraId="40751C4F" w14:textId="243BF039" w:rsidR="00DB0490" w:rsidRDefault="00DB0490" w:rsidP="003350FC">
      <w:pPr>
        <w:pStyle w:val="PiedepginaLegal"/>
        <w:tabs>
          <w:tab w:val="clear" w:pos="6804"/>
        </w:tabs>
        <w:ind w:right="476"/>
      </w:pPr>
      <w:r>
        <w:tab/>
      </w:r>
      <w:r>
        <w:tab/>
        <w:t>El continente sur</w:t>
      </w:r>
      <w:r w:rsidR="00C51BA9">
        <w:t>,</w:t>
      </w:r>
      <w:r>
        <w:t xml:space="preserve"> </w:t>
      </w:r>
      <w:proofErr w:type="spellStart"/>
      <w:r>
        <w:t>Jambudīpa</w:t>
      </w:r>
      <w:proofErr w:type="spellEnd"/>
      <w:r>
        <w:t xml:space="preserve"> es el mundo </w:t>
      </w:r>
      <w:r w:rsidR="00275898">
        <w:t xml:space="preserve">conocido y </w:t>
      </w:r>
      <w:r>
        <w:t xml:space="preserve">habitado </w:t>
      </w:r>
      <w:r w:rsidR="00275898">
        <w:t xml:space="preserve">por lo hombres </w:t>
      </w:r>
      <w:r>
        <w:t>(</w:t>
      </w:r>
      <w:r w:rsidR="00275898">
        <w:t xml:space="preserve">no obstante, </w:t>
      </w:r>
      <w:r>
        <w:t xml:space="preserve">ver, por ejemplo, DN 26). Varios infiernos (ver, por ejemplo, MN 130; A V 173; </w:t>
      </w:r>
      <w:proofErr w:type="spellStart"/>
      <w:r>
        <w:t>Vin</w:t>
      </w:r>
      <w:proofErr w:type="spellEnd"/>
      <w:r>
        <w:t xml:space="preserve"> III 107) </w:t>
      </w:r>
      <w:r w:rsidR="00275898">
        <w:t xml:space="preserve">se encuentran </w:t>
      </w:r>
      <w:r>
        <w:t>debajo de la superficie de la tierra. El cielo más bajo de la esfera sensual es el de las Deidades de los Cuatro Reyes</w:t>
      </w:r>
      <w:r w:rsidR="007073E2">
        <w:t>, (</w:t>
      </w:r>
      <w:proofErr w:type="spellStart"/>
      <w:r w:rsidR="007073E2" w:rsidRPr="008D6A2C">
        <w:rPr>
          <w:i/>
          <w:iCs/>
        </w:rPr>
        <w:t>Cātumahārājika</w:t>
      </w:r>
      <w:proofErr w:type="spellEnd"/>
      <w:r w:rsidR="007073E2">
        <w:t xml:space="preserve">). </w:t>
      </w:r>
      <w:r w:rsidR="00275898">
        <w:t xml:space="preserve">Estos </w:t>
      </w:r>
      <w:r w:rsidR="007073E2">
        <w:t xml:space="preserve">cuatro </w:t>
      </w:r>
      <w:r w:rsidR="00275898">
        <w:t xml:space="preserve">grandes Reyes </w:t>
      </w:r>
      <w:r w:rsidR="007073E2">
        <w:t xml:space="preserve">son </w:t>
      </w:r>
      <w:proofErr w:type="spellStart"/>
      <w:r w:rsidR="007073E2" w:rsidRPr="008D6A2C">
        <w:rPr>
          <w:i/>
          <w:iCs/>
        </w:rPr>
        <w:t>Dhataraṭṭha</w:t>
      </w:r>
      <w:proofErr w:type="spellEnd"/>
      <w:r w:rsidR="007073E2" w:rsidRPr="008D6A2C">
        <w:rPr>
          <w:i/>
          <w:iCs/>
        </w:rPr>
        <w:t xml:space="preserve"> ​​</w:t>
      </w:r>
      <w:proofErr w:type="spellStart"/>
      <w:r w:rsidR="007073E2" w:rsidRPr="008D6A2C">
        <w:rPr>
          <w:i/>
          <w:iCs/>
        </w:rPr>
        <w:t>Gandhabba-rāja</w:t>
      </w:r>
      <w:proofErr w:type="spellEnd"/>
      <w:r w:rsidR="007073E2">
        <w:t xml:space="preserve"> (Rey del Este</w:t>
      </w:r>
      <w:r w:rsidR="007073E2" w:rsidRPr="008D6A2C">
        <w:rPr>
          <w:i/>
          <w:iCs/>
        </w:rPr>
        <w:t>),</w:t>
      </w:r>
      <w:r w:rsidR="000B4742">
        <w:rPr>
          <w:i/>
          <w:iCs/>
        </w:rPr>
        <w:t xml:space="preserve"> </w:t>
      </w:r>
      <w:proofErr w:type="spellStart"/>
      <w:r w:rsidR="000B4742" w:rsidRPr="008D6A2C">
        <w:rPr>
          <w:i/>
          <w:iCs/>
        </w:rPr>
        <w:t>Virūḷha</w:t>
      </w:r>
      <w:proofErr w:type="spellEnd"/>
      <w:r w:rsidR="000B4742" w:rsidRPr="008D6A2C">
        <w:rPr>
          <w:i/>
          <w:iCs/>
        </w:rPr>
        <w:t xml:space="preserve"> </w:t>
      </w:r>
      <w:proofErr w:type="spellStart"/>
      <w:r w:rsidR="000B4742" w:rsidRPr="008D6A2C">
        <w:rPr>
          <w:i/>
          <w:iCs/>
        </w:rPr>
        <w:t>Kumbhaṇḍa-rāja</w:t>
      </w:r>
      <w:proofErr w:type="spellEnd"/>
      <w:r w:rsidR="000B4742">
        <w:t xml:space="preserve"> (Rey del Sur), </w:t>
      </w:r>
      <w:r>
        <w:t xml:space="preserve"> </w:t>
      </w:r>
    </w:p>
    <w:p w14:paraId="7697A51D" w14:textId="77777777" w:rsidR="00DB0490" w:rsidRDefault="00DB0490">
      <w:pPr>
        <w:tabs>
          <w:tab w:val="clear" w:pos="425"/>
        </w:tabs>
        <w:spacing w:after="160"/>
      </w:pPr>
      <w:r>
        <w:br w:type="page"/>
      </w:r>
    </w:p>
    <w:p w14:paraId="23CCBCD8" w14:textId="77777777" w:rsidR="00B37AA3" w:rsidRDefault="00B37AA3" w:rsidP="00DB0490"/>
    <w:p w14:paraId="75896948" w14:textId="5590B10C" w:rsidR="00B37AA3" w:rsidRDefault="00B37AA3" w:rsidP="00B37AA3">
      <w:r>
        <w:t xml:space="preserve">41. </w:t>
      </w:r>
      <w:r>
        <w:tab/>
        <w:t>En el presente:</w:t>
      </w:r>
    </w:p>
    <w:p w14:paraId="3398E53F" w14:textId="4D80A2A6" w:rsidR="00B37AA3" w:rsidRDefault="00AB57DE" w:rsidP="00B37AA3">
      <w:pPr>
        <w:pStyle w:val="VersoIngls01Sangria"/>
      </w:pPr>
      <w:r>
        <w:t xml:space="preserve">Dos cientos mil ligas </w:t>
      </w:r>
    </w:p>
    <w:p w14:paraId="0B9F5F8E" w14:textId="47DB2433" w:rsidR="00B37AA3" w:rsidRDefault="00B37AA3" w:rsidP="00B37AA3">
      <w:pPr>
        <w:pStyle w:val="VersoIngls01Sangria"/>
      </w:pPr>
      <w:r>
        <w:t xml:space="preserve">Y cuatro </w:t>
      </w:r>
      <w:proofErr w:type="spellStart"/>
      <w:r w:rsidRPr="008D6A2C">
        <w:rPr>
          <w:i/>
          <w:iCs/>
        </w:rPr>
        <w:t>nahutas</w:t>
      </w:r>
      <w:proofErr w:type="spellEnd"/>
      <w:r>
        <w:t xml:space="preserve"> (240</w:t>
      </w:r>
      <w:r w:rsidR="00E170B7">
        <w:t>,</w:t>
      </w:r>
      <w:r>
        <w:t>000):</w:t>
      </w:r>
    </w:p>
    <w:p w14:paraId="7C2190DE" w14:textId="77777777" w:rsidR="00B37AA3" w:rsidRDefault="00B37AA3" w:rsidP="00B37AA3">
      <w:pPr>
        <w:pStyle w:val="VersoIngls01Sangria"/>
      </w:pPr>
      <w:r>
        <w:t>Esta tierra, este "Portador de toda riqueza",</w:t>
      </w:r>
    </w:p>
    <w:p w14:paraId="2EBF7D06" w14:textId="369FDE8D" w:rsidR="00B37AA3" w:rsidRDefault="00B37AA3" w:rsidP="00B37AA3">
      <w:pPr>
        <w:pStyle w:val="VersoIngls01Sangria"/>
        <w:spacing w:after="100"/>
        <w:ind w:left="1418"/>
      </w:pPr>
      <w:r>
        <w:t xml:space="preserve">Tiene </w:t>
      </w:r>
      <w:r w:rsidR="005A3DE0">
        <w:t xml:space="preserve">tal </w:t>
      </w:r>
      <w:r w:rsidR="005E59F0">
        <w:t>espesor</w:t>
      </w:r>
      <w:r>
        <w:t xml:space="preserve">, </w:t>
      </w:r>
      <w:r w:rsidR="005A3DE0">
        <w:t xml:space="preserve">así lo </w:t>
      </w:r>
      <w:r>
        <w:t>dicen.</w:t>
      </w:r>
    </w:p>
    <w:p w14:paraId="032C2A12" w14:textId="2FFD630E" w:rsidR="00B37AA3" w:rsidRDefault="00B37AA3" w:rsidP="00B37AA3">
      <w:r>
        <w:t xml:space="preserve">Y su </w:t>
      </w:r>
      <w:r w:rsidR="00EC3C89">
        <w:t>soporte</w:t>
      </w:r>
      <w:r>
        <w:t>:</w:t>
      </w:r>
    </w:p>
    <w:p w14:paraId="5056B4AD" w14:textId="1C69B55D" w:rsidR="00B37AA3" w:rsidRDefault="00EC3C89" w:rsidP="00B37AA3">
      <w:pPr>
        <w:pStyle w:val="VersoIngls01Sangria"/>
      </w:pPr>
      <w:r>
        <w:t>Cuatrocientas mil ligas</w:t>
      </w:r>
    </w:p>
    <w:p w14:paraId="295E3D46" w14:textId="43DFE118" w:rsidR="00B37AA3" w:rsidRDefault="00B37AA3" w:rsidP="00B37AA3">
      <w:pPr>
        <w:pStyle w:val="VersoIngls01Sangria"/>
      </w:pPr>
      <w:r>
        <w:t xml:space="preserve">Y ocho </w:t>
      </w:r>
      <w:proofErr w:type="spellStart"/>
      <w:r w:rsidRPr="008D6A2C">
        <w:rPr>
          <w:i/>
          <w:iCs/>
        </w:rPr>
        <w:t>nahutas</w:t>
      </w:r>
      <w:proofErr w:type="spellEnd"/>
      <w:r>
        <w:t xml:space="preserve"> (480</w:t>
      </w:r>
      <w:r w:rsidR="004E7AAA">
        <w:t>,</w:t>
      </w:r>
      <w:r>
        <w:t>000):</w:t>
      </w:r>
    </w:p>
    <w:p w14:paraId="1F616A8B" w14:textId="77777777" w:rsidR="00B37AA3" w:rsidRDefault="00B37AA3" w:rsidP="00B37AA3">
      <w:pPr>
        <w:pStyle w:val="VersoIngls01Sangria"/>
      </w:pPr>
      <w:r>
        <w:t>El agua descansando en el aire.</w:t>
      </w:r>
    </w:p>
    <w:p w14:paraId="77410E3D" w14:textId="68F04D71" w:rsidR="00B37AA3" w:rsidRDefault="00B37AA3" w:rsidP="00B37AA3">
      <w:pPr>
        <w:pStyle w:val="VersoIngls01Sangria"/>
        <w:spacing w:after="100"/>
        <w:ind w:left="1418"/>
      </w:pPr>
      <w:r>
        <w:t>Tiene ta</w:t>
      </w:r>
      <w:r w:rsidR="001E753D">
        <w:t>l</w:t>
      </w:r>
      <w:r>
        <w:t xml:space="preserve"> grosor, </w:t>
      </w:r>
      <w:r w:rsidR="001E753D">
        <w:t>así lo</w:t>
      </w:r>
      <w:r>
        <w:t xml:space="preserve"> dicen.</w:t>
      </w:r>
    </w:p>
    <w:p w14:paraId="15CC3FC3" w14:textId="06CC965D" w:rsidR="00B37AA3" w:rsidRDefault="00B37AA3" w:rsidP="00B37AA3">
      <w:r>
        <w:t xml:space="preserve">Y el </w:t>
      </w:r>
      <w:r w:rsidR="001E753D">
        <w:t xml:space="preserve">soporte </w:t>
      </w:r>
      <w:r>
        <w:t>de eso: [206]</w:t>
      </w:r>
    </w:p>
    <w:p w14:paraId="57B6CA38" w14:textId="1DCF8913" w:rsidR="00B37AA3" w:rsidRDefault="0008777D" w:rsidP="00B37AA3">
      <w:pPr>
        <w:pStyle w:val="VersoIngls01Sangria"/>
      </w:pPr>
      <w:r>
        <w:t xml:space="preserve">Novecientos sesenta mil ligas </w:t>
      </w:r>
      <w:r w:rsidR="00516806">
        <w:t>en</w:t>
      </w:r>
    </w:p>
    <w:p w14:paraId="2326FFE9" w14:textId="553403E0" w:rsidR="00B37AA3" w:rsidRDefault="00B37AA3" w:rsidP="00B37AA3">
      <w:pPr>
        <w:pStyle w:val="VersoIngls01Sangria"/>
      </w:pPr>
      <w:r>
        <w:t>El aire en el firmamento</w:t>
      </w:r>
      <w:r w:rsidR="00516806">
        <w:t xml:space="preserve"> </w:t>
      </w:r>
      <w:r>
        <w:t>(960</w:t>
      </w:r>
      <w:r w:rsidR="004E7AAA">
        <w:t>,</w:t>
      </w:r>
      <w:r>
        <w:t>000)</w:t>
      </w:r>
    </w:p>
    <w:p w14:paraId="2A344265" w14:textId="165068C3" w:rsidR="00B37AA3" w:rsidRDefault="00B37AA3" w:rsidP="00B37AA3">
      <w:pPr>
        <w:pStyle w:val="VersoIngls01Sangria"/>
        <w:spacing w:after="100"/>
        <w:ind w:left="1418"/>
      </w:pPr>
      <w:r>
        <w:t xml:space="preserve">Así que </w:t>
      </w:r>
      <w:r w:rsidR="00516806">
        <w:t>é</w:t>
      </w:r>
      <w:r>
        <w:t>sta es la extensión del mundo.</w:t>
      </w:r>
    </w:p>
    <w:p w14:paraId="31E3F1BC" w14:textId="61A6C2EC" w:rsidR="00B37AA3" w:rsidRDefault="00B37AA3" w:rsidP="00B37AA3">
      <w:r>
        <w:t xml:space="preserve">42. </w:t>
      </w:r>
      <w:r>
        <w:tab/>
        <w:t>Tal es su extensión. Y estas características se encuentran en él:</w:t>
      </w:r>
    </w:p>
    <w:p w14:paraId="5689A2EB" w14:textId="77777777" w:rsidR="000E5CE3" w:rsidRPr="001F5FE0" w:rsidRDefault="000E5CE3" w:rsidP="000E5CE3">
      <w:pPr>
        <w:pStyle w:val="VersoIngls01Sangria"/>
        <w:ind w:left="708"/>
        <w:rPr>
          <w:color w:val="1F3864" w:themeColor="accent1" w:themeShade="80"/>
          <w:sz w:val="16"/>
          <w:szCs w:val="20"/>
        </w:rPr>
      </w:pPr>
      <w:proofErr w:type="spellStart"/>
      <w:r w:rsidRPr="001F5FE0">
        <w:rPr>
          <w:i/>
          <w:iCs/>
          <w:color w:val="1F3864" w:themeColor="accent1" w:themeShade="80"/>
          <w:sz w:val="16"/>
          <w:szCs w:val="20"/>
        </w:rPr>
        <w:t>Sineru</w:t>
      </w:r>
      <w:proofErr w:type="spellEnd"/>
      <w:r w:rsidRPr="001F5FE0">
        <w:rPr>
          <w:color w:val="1F3864" w:themeColor="accent1" w:themeShade="80"/>
          <w:sz w:val="16"/>
          <w:szCs w:val="20"/>
        </w:rPr>
        <w:t>, la más alta de todas las montañas, se sumerge en el mar</w:t>
      </w:r>
    </w:p>
    <w:p w14:paraId="793BE4B0" w14:textId="32D88BB5" w:rsidR="000E5CE3" w:rsidRPr="001F5FE0" w:rsidRDefault="0047388D" w:rsidP="000E5CE3">
      <w:pPr>
        <w:pStyle w:val="VersoIngls01Sangria"/>
        <w:ind w:left="708"/>
        <w:rPr>
          <w:color w:val="1F3864" w:themeColor="accent1" w:themeShade="80"/>
          <w:sz w:val="16"/>
          <w:szCs w:val="20"/>
        </w:rPr>
      </w:pPr>
      <w:r>
        <w:rPr>
          <w:color w:val="1F3864" w:themeColor="accent1" w:themeShade="80"/>
          <w:sz w:val="16"/>
          <w:szCs w:val="20"/>
        </w:rPr>
        <w:t>A</w:t>
      </w:r>
      <w:r w:rsidR="000E5CE3" w:rsidRPr="001F5FE0">
        <w:rPr>
          <w:color w:val="1F3864" w:themeColor="accent1" w:themeShade="80"/>
          <w:sz w:val="16"/>
          <w:szCs w:val="20"/>
        </w:rPr>
        <w:t xml:space="preserve"> ochenta y cuatro mil leguas, y se eleva en igual grado</w:t>
      </w:r>
      <w:r w:rsidR="009E12F8" w:rsidRPr="001F5FE0">
        <w:rPr>
          <w:color w:val="1F3864" w:themeColor="accent1" w:themeShade="80"/>
          <w:sz w:val="16"/>
          <w:szCs w:val="20"/>
        </w:rPr>
        <w:t>.</w:t>
      </w:r>
    </w:p>
    <w:p w14:paraId="09C1338B" w14:textId="77777777" w:rsidR="000E5CE3" w:rsidRPr="001F5FE0" w:rsidRDefault="000E5CE3" w:rsidP="000E5CE3">
      <w:pPr>
        <w:pStyle w:val="VersoIngls01Sangria"/>
        <w:ind w:left="708"/>
        <w:rPr>
          <w:color w:val="1F3864" w:themeColor="accent1" w:themeShade="80"/>
          <w:sz w:val="16"/>
          <w:szCs w:val="20"/>
        </w:rPr>
      </w:pPr>
      <w:r w:rsidRPr="001F5FE0">
        <w:rPr>
          <w:color w:val="1F3864" w:themeColor="accent1" w:themeShade="80"/>
          <w:sz w:val="16"/>
          <w:szCs w:val="20"/>
        </w:rPr>
        <w:t xml:space="preserve">Siete anillos montañosos concéntricos rodean a </w:t>
      </w:r>
      <w:proofErr w:type="spellStart"/>
      <w:r w:rsidRPr="001F5FE0">
        <w:rPr>
          <w:i/>
          <w:iCs/>
          <w:color w:val="1F3864" w:themeColor="accent1" w:themeShade="80"/>
          <w:sz w:val="16"/>
          <w:szCs w:val="20"/>
        </w:rPr>
        <w:t>Sineru</w:t>
      </w:r>
      <w:proofErr w:type="spellEnd"/>
      <w:r w:rsidRPr="001F5FE0">
        <w:rPr>
          <w:color w:val="1F3864" w:themeColor="accent1" w:themeShade="80"/>
          <w:sz w:val="16"/>
          <w:szCs w:val="20"/>
        </w:rPr>
        <w:t xml:space="preserve"> de tal manera</w:t>
      </w:r>
    </w:p>
    <w:p w14:paraId="53E31BDC" w14:textId="77777777" w:rsidR="000E5CE3" w:rsidRPr="001F5FE0" w:rsidRDefault="000E5CE3" w:rsidP="000E5CE3">
      <w:pPr>
        <w:pStyle w:val="VersoIngls01Sangria"/>
        <w:ind w:left="708"/>
        <w:rPr>
          <w:color w:val="1F3864" w:themeColor="accent1" w:themeShade="80"/>
          <w:sz w:val="16"/>
          <w:szCs w:val="20"/>
        </w:rPr>
      </w:pPr>
      <w:r w:rsidRPr="001F5FE0">
        <w:rPr>
          <w:color w:val="1F3864" w:themeColor="accent1" w:themeShade="80"/>
          <w:sz w:val="16"/>
          <w:szCs w:val="20"/>
        </w:rPr>
        <w:t>Que cada uno de ellos en profundidad y altura es la mitad del tamaño de su predecesor:</w:t>
      </w:r>
    </w:p>
    <w:p w14:paraId="4AB0A1E2" w14:textId="69ED8AE5" w:rsidR="000E5CE3" w:rsidRPr="001F5FE0" w:rsidRDefault="000E5CE3" w:rsidP="000E5CE3">
      <w:pPr>
        <w:pStyle w:val="VersoIngls01Sangria"/>
        <w:ind w:left="708"/>
        <w:rPr>
          <w:color w:val="1F3864" w:themeColor="accent1" w:themeShade="80"/>
          <w:sz w:val="16"/>
          <w:szCs w:val="20"/>
        </w:rPr>
      </w:pPr>
      <w:r w:rsidRPr="001F5FE0">
        <w:rPr>
          <w:color w:val="1F3864" w:themeColor="accent1" w:themeShade="80"/>
          <w:sz w:val="16"/>
          <w:szCs w:val="20"/>
        </w:rPr>
        <w:t xml:space="preserve">Vastas cordilleras llamadas </w:t>
      </w:r>
      <w:proofErr w:type="spellStart"/>
      <w:r w:rsidRPr="001F5FE0">
        <w:rPr>
          <w:color w:val="1F3864" w:themeColor="accent1" w:themeShade="80"/>
          <w:sz w:val="16"/>
          <w:szCs w:val="20"/>
        </w:rPr>
        <w:t>Yugandhara</w:t>
      </w:r>
      <w:proofErr w:type="spellEnd"/>
      <w:r w:rsidRPr="001F5FE0">
        <w:rPr>
          <w:color w:val="1F3864" w:themeColor="accent1" w:themeShade="80"/>
          <w:sz w:val="16"/>
          <w:szCs w:val="20"/>
        </w:rPr>
        <w:t xml:space="preserve">, </w:t>
      </w:r>
      <w:proofErr w:type="spellStart"/>
      <w:r w:rsidR="008D6A2C" w:rsidRPr="001F5FE0">
        <w:rPr>
          <w:color w:val="1F3864" w:themeColor="accent1" w:themeShade="80"/>
          <w:sz w:val="16"/>
          <w:szCs w:val="20"/>
        </w:rPr>
        <w:t>Īsadhara</w:t>
      </w:r>
      <w:proofErr w:type="spellEnd"/>
      <w:r w:rsidRPr="001F5FE0">
        <w:rPr>
          <w:color w:val="1F3864" w:themeColor="accent1" w:themeShade="80"/>
          <w:sz w:val="16"/>
          <w:szCs w:val="20"/>
        </w:rPr>
        <w:t xml:space="preserve">, </w:t>
      </w:r>
      <w:proofErr w:type="spellStart"/>
      <w:r w:rsidRPr="001F5FE0">
        <w:rPr>
          <w:color w:val="1F3864" w:themeColor="accent1" w:themeShade="80"/>
          <w:sz w:val="16"/>
          <w:szCs w:val="20"/>
        </w:rPr>
        <w:t>Karav</w:t>
      </w:r>
      <w:r w:rsidR="008D6A2C" w:rsidRPr="001F5FE0">
        <w:rPr>
          <w:color w:val="1F3864" w:themeColor="accent1" w:themeShade="80"/>
          <w:sz w:val="16"/>
          <w:szCs w:val="20"/>
        </w:rPr>
        <w:t>ī</w:t>
      </w:r>
      <w:r w:rsidRPr="001F5FE0">
        <w:rPr>
          <w:color w:val="1F3864" w:themeColor="accent1" w:themeShade="80"/>
          <w:sz w:val="16"/>
          <w:szCs w:val="20"/>
        </w:rPr>
        <w:t>ka</w:t>
      </w:r>
      <w:proofErr w:type="spellEnd"/>
      <w:r w:rsidRPr="001F5FE0">
        <w:rPr>
          <w:color w:val="1F3864" w:themeColor="accent1" w:themeShade="80"/>
          <w:sz w:val="16"/>
          <w:szCs w:val="20"/>
        </w:rPr>
        <w:t>,</w:t>
      </w:r>
    </w:p>
    <w:p w14:paraId="753F4892" w14:textId="76A6194A" w:rsidR="000E5CE3" w:rsidRPr="001F5FE0" w:rsidRDefault="000E5CE3" w:rsidP="000E5CE3">
      <w:pPr>
        <w:pStyle w:val="VersoIngls01Sangria"/>
        <w:ind w:left="708"/>
        <w:rPr>
          <w:color w:val="1F3864" w:themeColor="accent1" w:themeShade="80"/>
          <w:sz w:val="16"/>
          <w:szCs w:val="20"/>
        </w:rPr>
      </w:pPr>
      <w:proofErr w:type="spellStart"/>
      <w:r w:rsidRPr="001F5FE0">
        <w:rPr>
          <w:color w:val="1F3864" w:themeColor="accent1" w:themeShade="80"/>
          <w:sz w:val="16"/>
          <w:szCs w:val="20"/>
        </w:rPr>
        <w:t>Sudassana</w:t>
      </w:r>
      <w:proofErr w:type="spellEnd"/>
      <w:r w:rsidRPr="001F5FE0">
        <w:rPr>
          <w:color w:val="1F3864" w:themeColor="accent1" w:themeShade="80"/>
          <w:sz w:val="16"/>
          <w:szCs w:val="20"/>
        </w:rPr>
        <w:t xml:space="preserve">, </w:t>
      </w:r>
      <w:proofErr w:type="spellStart"/>
      <w:r w:rsidRPr="001F5FE0">
        <w:rPr>
          <w:color w:val="1F3864" w:themeColor="accent1" w:themeShade="80"/>
          <w:sz w:val="16"/>
          <w:szCs w:val="20"/>
        </w:rPr>
        <w:t>Nemindhara</w:t>
      </w:r>
      <w:proofErr w:type="spellEnd"/>
      <w:r w:rsidRPr="001F5FE0">
        <w:rPr>
          <w:color w:val="1F3864" w:themeColor="accent1" w:themeShade="80"/>
          <w:sz w:val="16"/>
          <w:szCs w:val="20"/>
        </w:rPr>
        <w:t xml:space="preserve">, </w:t>
      </w:r>
      <w:proofErr w:type="spellStart"/>
      <w:r w:rsidRPr="001F5FE0">
        <w:rPr>
          <w:color w:val="1F3864" w:themeColor="accent1" w:themeShade="80"/>
          <w:sz w:val="16"/>
          <w:szCs w:val="20"/>
        </w:rPr>
        <w:t>Vinataka</w:t>
      </w:r>
      <w:proofErr w:type="spellEnd"/>
      <w:r w:rsidRPr="001F5FE0">
        <w:rPr>
          <w:color w:val="1F3864" w:themeColor="accent1" w:themeShade="80"/>
          <w:sz w:val="16"/>
          <w:szCs w:val="20"/>
        </w:rPr>
        <w:t xml:space="preserve">, </w:t>
      </w:r>
      <w:proofErr w:type="spellStart"/>
      <w:r w:rsidRPr="001F5FE0">
        <w:rPr>
          <w:color w:val="1F3864" w:themeColor="accent1" w:themeShade="80"/>
          <w:sz w:val="16"/>
          <w:szCs w:val="20"/>
        </w:rPr>
        <w:t>Assaka</w:t>
      </w:r>
      <w:r w:rsidR="008D6A2C" w:rsidRPr="001F5FE0">
        <w:rPr>
          <w:color w:val="1F3864" w:themeColor="accent1" w:themeShade="80"/>
          <w:sz w:val="16"/>
          <w:szCs w:val="20"/>
        </w:rPr>
        <w:t>ṇṇ</w:t>
      </w:r>
      <w:r w:rsidRPr="001F5FE0">
        <w:rPr>
          <w:color w:val="1F3864" w:themeColor="accent1" w:themeShade="80"/>
          <w:sz w:val="16"/>
          <w:szCs w:val="20"/>
        </w:rPr>
        <w:t>a</w:t>
      </w:r>
      <w:proofErr w:type="spellEnd"/>
      <w:r w:rsidRPr="001F5FE0">
        <w:rPr>
          <w:color w:val="1F3864" w:themeColor="accent1" w:themeShade="80"/>
          <w:sz w:val="16"/>
          <w:szCs w:val="20"/>
        </w:rPr>
        <w:t>.</w:t>
      </w:r>
    </w:p>
    <w:p w14:paraId="17CFF158" w14:textId="5D769D0D" w:rsidR="000E5CE3" w:rsidRPr="001F5FE0" w:rsidRDefault="00A04D55" w:rsidP="000E5CE3">
      <w:pPr>
        <w:pStyle w:val="VersoIngls01Sangria"/>
        <w:ind w:left="708"/>
        <w:rPr>
          <w:color w:val="1F3864" w:themeColor="accent1" w:themeShade="80"/>
          <w:sz w:val="16"/>
          <w:szCs w:val="20"/>
        </w:rPr>
      </w:pPr>
      <w:r w:rsidRPr="001F5FE0">
        <w:rPr>
          <w:color w:val="1F3864" w:themeColor="accent1" w:themeShade="80"/>
          <w:sz w:val="16"/>
          <w:szCs w:val="20"/>
        </w:rPr>
        <w:t>Brisa</w:t>
      </w:r>
      <w:r w:rsidR="00FF71F2" w:rsidRPr="001F5FE0">
        <w:rPr>
          <w:color w:val="1F3864" w:themeColor="accent1" w:themeShade="80"/>
          <w:sz w:val="16"/>
          <w:szCs w:val="20"/>
        </w:rPr>
        <w:t>s</w:t>
      </w:r>
      <w:r w:rsidRPr="001F5FE0">
        <w:rPr>
          <w:color w:val="1F3864" w:themeColor="accent1" w:themeShade="80"/>
          <w:sz w:val="16"/>
          <w:szCs w:val="20"/>
        </w:rPr>
        <w:t xml:space="preserve"> </w:t>
      </w:r>
      <w:r w:rsidR="000E5CE3" w:rsidRPr="001F5FE0">
        <w:rPr>
          <w:color w:val="1F3864" w:themeColor="accent1" w:themeShade="80"/>
          <w:sz w:val="16"/>
          <w:szCs w:val="20"/>
        </w:rPr>
        <w:t>Celestial</w:t>
      </w:r>
      <w:r w:rsidR="00FF71F2" w:rsidRPr="001F5FE0">
        <w:rPr>
          <w:color w:val="1F3864" w:themeColor="accent1" w:themeShade="80"/>
          <w:sz w:val="16"/>
          <w:szCs w:val="20"/>
        </w:rPr>
        <w:t>es soplan</w:t>
      </w:r>
      <w:r w:rsidR="000E5CE3" w:rsidRPr="001F5FE0">
        <w:rPr>
          <w:color w:val="1F3864" w:themeColor="accent1" w:themeShade="80"/>
          <w:sz w:val="16"/>
          <w:szCs w:val="20"/>
        </w:rPr>
        <w:t xml:space="preserve"> sus </w:t>
      </w:r>
      <w:proofErr w:type="gramStart"/>
      <w:r w:rsidR="000E5CE3" w:rsidRPr="001F5FE0">
        <w:rPr>
          <w:color w:val="1F3864" w:themeColor="accent1" w:themeShade="80"/>
          <w:sz w:val="16"/>
          <w:szCs w:val="20"/>
        </w:rPr>
        <w:t>acantilados brillan</w:t>
      </w:r>
      <w:r w:rsidR="0047388D">
        <w:rPr>
          <w:color w:val="1F3864" w:themeColor="accent1" w:themeShade="80"/>
          <w:sz w:val="16"/>
          <w:szCs w:val="20"/>
        </w:rPr>
        <w:t>te</w:t>
      </w:r>
      <w:proofErr w:type="gramEnd"/>
      <w:r w:rsidR="000E5CE3" w:rsidRPr="001F5FE0">
        <w:rPr>
          <w:color w:val="1F3864" w:themeColor="accent1" w:themeShade="80"/>
          <w:sz w:val="16"/>
          <w:szCs w:val="20"/>
        </w:rPr>
        <w:t xml:space="preserve"> </w:t>
      </w:r>
      <w:r w:rsidR="0047388D">
        <w:rPr>
          <w:color w:val="1F3864" w:themeColor="accent1" w:themeShade="80"/>
          <w:sz w:val="16"/>
          <w:szCs w:val="20"/>
        </w:rPr>
        <w:t>de</w:t>
      </w:r>
      <w:r w:rsidR="000E5CE3" w:rsidRPr="001F5FE0">
        <w:rPr>
          <w:color w:val="1F3864" w:themeColor="accent1" w:themeShade="80"/>
          <w:sz w:val="16"/>
          <w:szCs w:val="20"/>
        </w:rPr>
        <w:t xml:space="preserve"> gemas, y aquí residen</w:t>
      </w:r>
    </w:p>
    <w:p w14:paraId="1F6A6A74" w14:textId="04FCCB85" w:rsidR="000E5CE3" w:rsidRPr="001F5FE0" w:rsidRDefault="000E5CE3" w:rsidP="000E5CE3">
      <w:pPr>
        <w:pStyle w:val="VersoIngls01Sangria"/>
        <w:ind w:left="708"/>
        <w:rPr>
          <w:color w:val="1F3864" w:themeColor="accent1" w:themeShade="80"/>
          <w:sz w:val="16"/>
          <w:szCs w:val="20"/>
        </w:rPr>
      </w:pPr>
      <w:r w:rsidRPr="001F5FE0">
        <w:rPr>
          <w:color w:val="1F3864" w:themeColor="accent1" w:themeShade="80"/>
          <w:sz w:val="16"/>
          <w:szCs w:val="20"/>
        </w:rPr>
        <w:t xml:space="preserve">Los Cuatro Reyes de los Puntos Cardinales, y otros dioses y </w:t>
      </w:r>
      <w:r w:rsidR="003160F3">
        <w:rPr>
          <w:color w:val="1F3864" w:themeColor="accent1" w:themeShade="80"/>
          <w:sz w:val="16"/>
          <w:szCs w:val="20"/>
        </w:rPr>
        <w:t>espíritus</w:t>
      </w:r>
      <w:r w:rsidRPr="001F5FE0">
        <w:rPr>
          <w:color w:val="1F3864" w:themeColor="accent1" w:themeShade="80"/>
          <w:sz w:val="16"/>
          <w:szCs w:val="20"/>
        </w:rPr>
        <w:t xml:space="preserve"> a</w:t>
      </w:r>
      <w:r w:rsidR="005D3B93" w:rsidRPr="001F5FE0">
        <w:rPr>
          <w:color w:val="1F3864" w:themeColor="accent1" w:themeShade="80"/>
          <w:sz w:val="16"/>
          <w:szCs w:val="20"/>
        </w:rPr>
        <w:t xml:space="preserve"> sus</w:t>
      </w:r>
      <w:r w:rsidRPr="001F5FE0">
        <w:rPr>
          <w:color w:val="1F3864" w:themeColor="accent1" w:themeShade="80"/>
          <w:sz w:val="16"/>
          <w:szCs w:val="20"/>
        </w:rPr>
        <w:t xml:space="preserve"> lado</w:t>
      </w:r>
      <w:r w:rsidR="005D3B93" w:rsidRPr="001F5FE0">
        <w:rPr>
          <w:color w:val="1F3864" w:themeColor="accent1" w:themeShade="80"/>
          <w:sz w:val="16"/>
          <w:szCs w:val="20"/>
        </w:rPr>
        <w:t>s</w:t>
      </w:r>
      <w:r w:rsidRPr="001F5FE0">
        <w:rPr>
          <w:color w:val="1F3864" w:themeColor="accent1" w:themeShade="80"/>
          <w:sz w:val="16"/>
          <w:szCs w:val="20"/>
        </w:rPr>
        <w:t>.</w:t>
      </w:r>
      <w:r w:rsidRPr="001F5FE0">
        <w:rPr>
          <w:color w:val="1F3864" w:themeColor="accent1" w:themeShade="80"/>
          <w:sz w:val="16"/>
          <w:szCs w:val="20"/>
          <w:vertAlign w:val="superscript"/>
        </w:rPr>
        <w:t>15</w:t>
      </w:r>
    </w:p>
    <w:p w14:paraId="72DC91A4" w14:textId="64E39A7C" w:rsidR="00B37AA3" w:rsidRPr="001F5FE0" w:rsidRDefault="000E5CE3" w:rsidP="000E5CE3">
      <w:pPr>
        <w:pStyle w:val="VersoIngls01Sangria"/>
        <w:ind w:left="708"/>
        <w:rPr>
          <w:color w:val="1F3864" w:themeColor="accent1" w:themeShade="80"/>
          <w:sz w:val="16"/>
          <w:szCs w:val="20"/>
        </w:rPr>
      </w:pPr>
      <w:r w:rsidRPr="001F5FE0">
        <w:rPr>
          <w:color w:val="1F3864" w:themeColor="accent1" w:themeShade="80"/>
          <w:sz w:val="16"/>
          <w:szCs w:val="20"/>
        </w:rPr>
        <w:t>La elevada masa montañosa de</w:t>
      </w:r>
      <w:r w:rsidR="008D6A2C" w:rsidRPr="001F5FE0">
        <w:rPr>
          <w:color w:val="1F3864" w:themeColor="accent1" w:themeShade="80"/>
          <w:sz w:val="16"/>
          <w:szCs w:val="20"/>
        </w:rPr>
        <w:t xml:space="preserve"> </w:t>
      </w:r>
      <w:r w:rsidRPr="001F5FE0">
        <w:rPr>
          <w:color w:val="1F3864" w:themeColor="accent1" w:themeShade="80"/>
          <w:sz w:val="16"/>
          <w:szCs w:val="20"/>
        </w:rPr>
        <w:t>l</w:t>
      </w:r>
      <w:r w:rsidR="008D6A2C" w:rsidRPr="001F5FE0">
        <w:rPr>
          <w:color w:val="1F3864" w:themeColor="accent1" w:themeShade="80"/>
          <w:sz w:val="16"/>
          <w:szCs w:val="20"/>
        </w:rPr>
        <w:t>os</w:t>
      </w:r>
      <w:r w:rsidRPr="001F5FE0">
        <w:rPr>
          <w:color w:val="1F3864" w:themeColor="accent1" w:themeShade="80"/>
          <w:sz w:val="16"/>
          <w:szCs w:val="20"/>
        </w:rPr>
        <w:t xml:space="preserve"> Him</w:t>
      </w:r>
      <w:r w:rsidR="008D6A2C" w:rsidRPr="001F5FE0">
        <w:rPr>
          <w:color w:val="1F3864" w:themeColor="accent1" w:themeShade="80"/>
          <w:sz w:val="16"/>
          <w:szCs w:val="20"/>
        </w:rPr>
        <w:t>a</w:t>
      </w:r>
      <w:r w:rsidRPr="001F5FE0">
        <w:rPr>
          <w:color w:val="1F3864" w:themeColor="accent1" w:themeShade="80"/>
          <w:sz w:val="16"/>
          <w:szCs w:val="20"/>
        </w:rPr>
        <w:t>laya</w:t>
      </w:r>
      <w:r w:rsidR="008D6A2C" w:rsidRPr="001F5FE0">
        <w:rPr>
          <w:color w:val="1F3864" w:themeColor="accent1" w:themeShade="80"/>
          <w:sz w:val="16"/>
          <w:szCs w:val="20"/>
        </w:rPr>
        <w:t>s</w:t>
      </w:r>
      <w:r w:rsidRPr="001F5FE0">
        <w:rPr>
          <w:color w:val="1F3864" w:themeColor="accent1" w:themeShade="80"/>
          <w:sz w:val="16"/>
          <w:szCs w:val="20"/>
        </w:rPr>
        <w:t xml:space="preserve"> se eleva </w:t>
      </w:r>
      <w:r w:rsidR="002547DB">
        <w:rPr>
          <w:color w:val="1F3864" w:themeColor="accent1" w:themeShade="80"/>
          <w:sz w:val="16"/>
          <w:szCs w:val="20"/>
        </w:rPr>
        <w:t>a una</w:t>
      </w:r>
      <w:r w:rsidRPr="001F5FE0">
        <w:rPr>
          <w:color w:val="1F3864" w:themeColor="accent1" w:themeShade="80"/>
          <w:sz w:val="16"/>
          <w:szCs w:val="20"/>
        </w:rPr>
        <w:t xml:space="preserve"> altura </w:t>
      </w:r>
      <w:r w:rsidR="002547DB">
        <w:rPr>
          <w:color w:val="1F3864" w:themeColor="accent1" w:themeShade="80"/>
          <w:sz w:val="16"/>
          <w:szCs w:val="20"/>
        </w:rPr>
        <w:t xml:space="preserve">de </w:t>
      </w:r>
      <w:r w:rsidRPr="001F5FE0">
        <w:rPr>
          <w:color w:val="1F3864" w:themeColor="accent1" w:themeShade="80"/>
          <w:sz w:val="16"/>
          <w:szCs w:val="20"/>
        </w:rPr>
        <w:t>quinientas leguas</w:t>
      </w:r>
    </w:p>
    <w:p w14:paraId="1CE135EA" w14:textId="4D651D23" w:rsidR="007856A9" w:rsidRPr="001F5FE0" w:rsidRDefault="00D75A5C" w:rsidP="000E5CE3">
      <w:pPr>
        <w:pStyle w:val="VersoIngls01Sangria"/>
        <w:ind w:left="708"/>
        <w:rPr>
          <w:color w:val="1F3864" w:themeColor="accent1" w:themeShade="80"/>
          <w:sz w:val="16"/>
          <w:szCs w:val="20"/>
        </w:rPr>
      </w:pPr>
      <w:r w:rsidRPr="001F5FE0">
        <w:rPr>
          <w:color w:val="1F3864" w:themeColor="accent1" w:themeShade="80"/>
          <w:sz w:val="16"/>
          <w:szCs w:val="20"/>
        </w:rPr>
        <w:t>Y en su anchura y en su longitud cubren tres mil leguas,</w:t>
      </w:r>
    </w:p>
    <w:p w14:paraId="0FBFC6CF" w14:textId="77777777" w:rsidR="00B37AA3" w:rsidRDefault="00B37AA3" w:rsidP="00B37AA3">
      <w:pPr>
        <w:pStyle w:val="Piedepgina"/>
        <w:rPr>
          <w:u w:val="single"/>
        </w:rPr>
      </w:pPr>
      <w:r>
        <w:rPr>
          <w:u w:val="single"/>
        </w:rPr>
        <w:t xml:space="preserve">                                                                                                                                                                          .</w:t>
      </w:r>
    </w:p>
    <w:p w14:paraId="4DB62BAF" w14:textId="77777777" w:rsidR="00B37AA3" w:rsidRDefault="00B37AA3" w:rsidP="00B37AA3">
      <w:pPr>
        <w:pStyle w:val="PiedepginaLegal"/>
      </w:pPr>
      <w:r>
        <w:t xml:space="preserve">… </w:t>
      </w:r>
    </w:p>
    <w:p w14:paraId="3C7CFCD7" w14:textId="443E2170" w:rsidR="00B37AA3" w:rsidRDefault="00B37AA3" w:rsidP="00B37AA3">
      <w:pPr>
        <w:pStyle w:val="PiedepginaLegal"/>
      </w:pPr>
      <w:r>
        <w:tab/>
      </w:r>
      <w:proofErr w:type="spellStart"/>
      <w:r w:rsidRPr="008D6A2C">
        <w:rPr>
          <w:i/>
          <w:iCs/>
        </w:rPr>
        <w:t>Virāpaka</w:t>
      </w:r>
      <w:proofErr w:type="spellEnd"/>
      <w:r w:rsidRPr="008D6A2C">
        <w:rPr>
          <w:i/>
          <w:iCs/>
        </w:rPr>
        <w:t xml:space="preserve"> </w:t>
      </w:r>
      <w:proofErr w:type="spellStart"/>
      <w:r w:rsidRPr="008D6A2C">
        <w:rPr>
          <w:i/>
          <w:iCs/>
        </w:rPr>
        <w:t>Nāga-rāja</w:t>
      </w:r>
      <w:proofErr w:type="spellEnd"/>
      <w:r>
        <w:t xml:space="preserve"> (Rey del Oeste) y </w:t>
      </w:r>
      <w:proofErr w:type="spellStart"/>
      <w:r w:rsidRPr="008D6A2C">
        <w:rPr>
          <w:i/>
          <w:iCs/>
        </w:rPr>
        <w:t>Kuvera</w:t>
      </w:r>
      <w:proofErr w:type="spellEnd"/>
      <w:r w:rsidRPr="008D6A2C">
        <w:rPr>
          <w:i/>
          <w:iCs/>
        </w:rPr>
        <w:t xml:space="preserve"> o </w:t>
      </w:r>
      <w:proofErr w:type="spellStart"/>
      <w:r w:rsidRPr="008D6A2C">
        <w:rPr>
          <w:i/>
          <w:iCs/>
        </w:rPr>
        <w:t>Vessavaṭa</w:t>
      </w:r>
      <w:proofErr w:type="spellEnd"/>
      <w:r w:rsidRPr="008D6A2C">
        <w:rPr>
          <w:i/>
          <w:iCs/>
        </w:rPr>
        <w:t xml:space="preserve"> Yakkha-</w:t>
      </w:r>
      <w:proofErr w:type="spellStart"/>
      <w:r w:rsidRPr="008D6A2C">
        <w:rPr>
          <w:i/>
          <w:iCs/>
        </w:rPr>
        <w:t>rāja</w:t>
      </w:r>
      <w:proofErr w:type="spellEnd"/>
      <w:r>
        <w:t xml:space="preserve"> (Rey del Norte—ver DN 32). Aquí circulan la </w:t>
      </w:r>
      <w:r w:rsidR="008A7E71">
        <w:t xml:space="preserve">Luna </w:t>
      </w:r>
      <w:r>
        <w:t xml:space="preserve">y el </w:t>
      </w:r>
      <w:r w:rsidR="008A7E71">
        <w:t>Sol</w:t>
      </w:r>
      <w:r>
        <w:t xml:space="preserve">. Las deidades de este cielo a menudo están en guerra con los demonios </w:t>
      </w:r>
      <w:r w:rsidRPr="008A7E71">
        <w:rPr>
          <w:i/>
          <w:iCs/>
        </w:rPr>
        <w:t>Asura</w:t>
      </w:r>
      <w:r w:rsidR="008D5DFB">
        <w:t>s</w:t>
      </w:r>
      <w:r>
        <w:t xml:space="preserve"> (ver, por ejemplo, D II 285) </w:t>
      </w:r>
      <w:r w:rsidR="008D5DFB">
        <w:t xml:space="preserve">el conflicto </w:t>
      </w:r>
      <w:r>
        <w:t xml:space="preserve">por la posesión de las laderas inferiores de </w:t>
      </w:r>
      <w:proofErr w:type="spellStart"/>
      <w:r w:rsidRPr="00A8126D">
        <w:rPr>
          <w:i/>
          <w:iCs/>
        </w:rPr>
        <w:t>Sineru</w:t>
      </w:r>
      <w:proofErr w:type="spellEnd"/>
      <w:r>
        <w:t xml:space="preserve">. </w:t>
      </w:r>
      <w:r w:rsidR="008D5DFB">
        <w:t xml:space="preserve">La </w:t>
      </w:r>
      <w:r>
        <w:t xml:space="preserve">siguiente </w:t>
      </w:r>
      <w:r w:rsidR="008D5DFB">
        <w:t xml:space="preserve">esfera </w:t>
      </w:r>
      <w:r>
        <w:t xml:space="preserve">superior es </w:t>
      </w:r>
      <w:proofErr w:type="spellStart"/>
      <w:r w:rsidR="008D5DFB">
        <w:t>rl</w:t>
      </w:r>
      <w:proofErr w:type="spellEnd"/>
      <w:r w:rsidR="008D5DFB">
        <w:t xml:space="preserve"> </w:t>
      </w:r>
      <w:proofErr w:type="spellStart"/>
      <w:r w:rsidRPr="008D6A2C">
        <w:rPr>
          <w:i/>
          <w:iCs/>
        </w:rPr>
        <w:t>Tāvatiṃsa</w:t>
      </w:r>
      <w:proofErr w:type="spellEnd"/>
      <w:r>
        <w:t xml:space="preserve"> (el Cielo de los Treinta y </w:t>
      </w:r>
      <w:r w:rsidR="008A7E71">
        <w:t>Tres</w:t>
      </w:r>
      <w:r>
        <w:t xml:space="preserve">), gobernado por </w:t>
      </w:r>
      <w:r w:rsidRPr="008A7E71">
        <w:rPr>
          <w:i/>
          <w:iCs/>
        </w:rPr>
        <w:t>Sakka</w:t>
      </w:r>
      <w:r>
        <w:t>, Gobernante de los Dioses (</w:t>
      </w:r>
      <w:proofErr w:type="spellStart"/>
      <w:r w:rsidRPr="008D6A2C">
        <w:rPr>
          <w:i/>
          <w:iCs/>
        </w:rPr>
        <w:t>sakkadevinda</w:t>
      </w:r>
      <w:proofErr w:type="spellEnd"/>
      <w:r>
        <w:t>). Encima de e</w:t>
      </w:r>
      <w:r w:rsidR="008D5DFB">
        <w:t>ll</w:t>
      </w:r>
      <w:r>
        <w:t xml:space="preserve">o </w:t>
      </w:r>
      <w:r w:rsidR="003833C2">
        <w:t xml:space="preserve">se encuentra </w:t>
      </w:r>
      <w:r>
        <w:t xml:space="preserve">el cielo de las Deidades </w:t>
      </w:r>
      <w:proofErr w:type="spellStart"/>
      <w:r w:rsidRPr="008D6A2C">
        <w:rPr>
          <w:i/>
          <w:iCs/>
        </w:rPr>
        <w:t>Yāma</w:t>
      </w:r>
      <w:proofErr w:type="spellEnd"/>
      <w:r>
        <w:t xml:space="preserve"> (Deidades que han </w:t>
      </w:r>
      <w:r w:rsidR="003833C2">
        <w:t>parti</w:t>
      </w:r>
      <w:r>
        <w:t xml:space="preserve">do </w:t>
      </w:r>
      <w:r w:rsidR="003833C2">
        <w:t xml:space="preserve">hacia </w:t>
      </w:r>
      <w:r>
        <w:t xml:space="preserve">la Felicidad) gobernadas por el Rey </w:t>
      </w:r>
      <w:proofErr w:type="spellStart"/>
      <w:r w:rsidRPr="008D6A2C">
        <w:rPr>
          <w:i/>
          <w:iCs/>
        </w:rPr>
        <w:t>Suyāma</w:t>
      </w:r>
      <w:proofErr w:type="spellEnd"/>
      <w:r>
        <w:t xml:space="preserve"> (que no debe confundirse con el Rey </w:t>
      </w:r>
      <w:proofErr w:type="spellStart"/>
      <w:r w:rsidRPr="008D6A2C">
        <w:rPr>
          <w:i/>
          <w:iCs/>
        </w:rPr>
        <w:t>Yama</w:t>
      </w:r>
      <w:proofErr w:type="spellEnd"/>
      <w:r>
        <w:t xml:space="preserve"> del Inframundo—ver M III 179). Más </w:t>
      </w:r>
      <w:r w:rsidR="00A8126D">
        <w:t>arriba</w:t>
      </w:r>
      <w:r w:rsidR="003833C2">
        <w:t xml:space="preserve"> </w:t>
      </w:r>
      <w:r>
        <w:t xml:space="preserve">aún </w:t>
      </w:r>
      <w:r w:rsidR="00A8126D">
        <w:t xml:space="preserve">se encuentran </w:t>
      </w:r>
      <w:r>
        <w:t xml:space="preserve">las Deidades del Cielo </w:t>
      </w:r>
      <w:proofErr w:type="spellStart"/>
      <w:r w:rsidRPr="008D6A2C">
        <w:rPr>
          <w:i/>
          <w:iCs/>
        </w:rPr>
        <w:t>Tusita</w:t>
      </w:r>
      <w:proofErr w:type="spellEnd"/>
      <w:r>
        <w:t xml:space="preserve"> (</w:t>
      </w:r>
      <w:r w:rsidR="00A8126D">
        <w:t xml:space="preserve">los </w:t>
      </w:r>
      <w:r>
        <w:t>Contento</w:t>
      </w:r>
      <w:r w:rsidR="003833C2">
        <w:t>s</w:t>
      </w:r>
      <w:r>
        <w:t xml:space="preserve">) </w:t>
      </w:r>
      <w:r w:rsidR="006062EB">
        <w:t xml:space="preserve">gobernado por </w:t>
      </w:r>
      <w:r>
        <w:t xml:space="preserve">el Rey </w:t>
      </w:r>
      <w:proofErr w:type="spellStart"/>
      <w:r w:rsidRPr="008D6A2C">
        <w:rPr>
          <w:i/>
          <w:iCs/>
        </w:rPr>
        <w:t>Santusita</w:t>
      </w:r>
      <w:proofErr w:type="spellEnd"/>
      <w:r>
        <w:t xml:space="preserve">. El quinto de estos cielos es el de las Deidades </w:t>
      </w:r>
      <w:proofErr w:type="spellStart"/>
      <w:r w:rsidRPr="008D6A2C">
        <w:rPr>
          <w:i/>
          <w:iCs/>
        </w:rPr>
        <w:t>Nimmānarati</w:t>
      </w:r>
      <w:proofErr w:type="spellEnd"/>
      <w:r>
        <w:t xml:space="preserve"> (Deidades que se </w:t>
      </w:r>
      <w:r w:rsidR="00B55496">
        <w:t>Complacen</w:t>
      </w:r>
      <w:r>
        <w:t xml:space="preserve"> en </w:t>
      </w:r>
      <w:r w:rsidR="00180B07">
        <w:t xml:space="preserve">su propia </w:t>
      </w:r>
      <w:r>
        <w:t>Crea</w:t>
      </w:r>
      <w:r w:rsidR="00180B07">
        <w:t>ción</w:t>
      </w:r>
      <w:r>
        <w:t xml:space="preserve">) gobernadas por el Rey </w:t>
      </w:r>
      <w:proofErr w:type="spellStart"/>
      <w:r w:rsidRPr="008D6A2C">
        <w:rPr>
          <w:i/>
          <w:iCs/>
        </w:rPr>
        <w:t>Sunimmita</w:t>
      </w:r>
      <w:proofErr w:type="spellEnd"/>
      <w:r>
        <w:t xml:space="preserve">. El último y más </w:t>
      </w:r>
      <w:r w:rsidR="00180B07">
        <w:t xml:space="preserve">elevado </w:t>
      </w:r>
      <w:r>
        <w:t xml:space="preserve">de los cielos de la esfera sensual es el </w:t>
      </w:r>
      <w:r w:rsidR="00180B07">
        <w:t xml:space="preserve">Cielo </w:t>
      </w:r>
      <w:proofErr w:type="spellStart"/>
      <w:r w:rsidRPr="008D6A2C">
        <w:rPr>
          <w:i/>
          <w:iCs/>
        </w:rPr>
        <w:t>Paranimmitavasavatti</w:t>
      </w:r>
      <w:proofErr w:type="spellEnd"/>
      <w:r w:rsidRPr="008D6A2C">
        <w:rPr>
          <w:i/>
          <w:iCs/>
        </w:rPr>
        <w:t xml:space="preserve"> </w:t>
      </w:r>
      <w:r>
        <w:t xml:space="preserve">(Deidades que Ejercen Poder sobre las Creaciones de Otros). Su </w:t>
      </w:r>
      <w:r w:rsidR="00C87658">
        <w:t xml:space="preserve">Rey </w:t>
      </w:r>
      <w:r>
        <w:t xml:space="preserve">es </w:t>
      </w:r>
      <w:proofErr w:type="spellStart"/>
      <w:r w:rsidRPr="008D6A2C">
        <w:rPr>
          <w:i/>
          <w:iCs/>
        </w:rPr>
        <w:t>Vasavatti</w:t>
      </w:r>
      <w:proofErr w:type="spellEnd"/>
      <w:r>
        <w:t xml:space="preserve"> (ver A I 227; para detalles ver </w:t>
      </w:r>
      <w:proofErr w:type="spellStart"/>
      <w:r>
        <w:t>Vibh</w:t>
      </w:r>
      <w:proofErr w:type="spellEnd"/>
      <w:r>
        <w:t xml:space="preserve">-a 519f.). </w:t>
      </w:r>
      <w:r w:rsidR="00057BF4" w:rsidRPr="00057BF4">
        <w:rPr>
          <w:i/>
        </w:rPr>
        <w:t>Māra</w:t>
      </w:r>
      <w:r>
        <w:t xml:space="preserve"> (Muerte) vive </w:t>
      </w:r>
      <w:r w:rsidR="006A5C13">
        <w:t xml:space="preserve">con sus huestes </w:t>
      </w:r>
      <w:r>
        <w:t xml:space="preserve">en una parte remota de este cielo, como un rebelde </w:t>
      </w:r>
      <w:r w:rsidR="006A5C13">
        <w:t>junto</w:t>
      </w:r>
      <w:r>
        <w:t xml:space="preserve"> </w:t>
      </w:r>
      <w:r w:rsidR="00B55496">
        <w:t xml:space="preserve">a </w:t>
      </w:r>
      <w:r>
        <w:t xml:space="preserve">una banda de </w:t>
      </w:r>
      <w:r w:rsidR="006A5C13">
        <w:t xml:space="preserve">mafiosos </w:t>
      </w:r>
      <w:r>
        <w:t xml:space="preserve">(M-a I 33f.). Para la destrucción y renovación de todo esto al final del eón, véase </w:t>
      </w:r>
      <w:r w:rsidR="00E2683E">
        <w:t>el Cap</w:t>
      </w:r>
      <w:r>
        <w:t>. XIII.</w:t>
      </w:r>
    </w:p>
    <w:p w14:paraId="0A1B0C02" w14:textId="7E3EEB08" w:rsidR="00EE2497" w:rsidRDefault="00B37AA3" w:rsidP="00B37AA3">
      <w:pPr>
        <w:pStyle w:val="PiedepginaLegal"/>
      </w:pPr>
      <w:r>
        <w:t xml:space="preserve"> 15. </w:t>
      </w:r>
      <w:r w:rsidR="00AE47E6">
        <w:tab/>
      </w:r>
      <w:proofErr w:type="spellStart"/>
      <w:r w:rsidRPr="008D6A2C">
        <w:rPr>
          <w:i/>
          <w:iCs/>
        </w:rPr>
        <w:t>Sineru</w:t>
      </w:r>
      <w:proofErr w:type="spellEnd"/>
      <w:r>
        <w:t xml:space="preserve"> no sólo tiene 84</w:t>
      </w:r>
      <w:r w:rsidR="00C87658">
        <w:t>,</w:t>
      </w:r>
      <w:r>
        <w:t xml:space="preserve">000 leguas de altura, sino que mide lo mismo de ancho y de </w:t>
      </w:r>
      <w:r w:rsidR="00FA348E">
        <w:t>largo</w:t>
      </w:r>
      <w:r>
        <w:t xml:space="preserve">. Porque esto se dice: </w:t>
      </w:r>
      <w:r w:rsidRPr="008D6A2C">
        <w:rPr>
          <w:i/>
          <w:iCs/>
        </w:rPr>
        <w:t>'</w:t>
      </w:r>
      <w:proofErr w:type="spellStart"/>
      <w:r w:rsidR="00057BF4" w:rsidRPr="00057BF4">
        <w:rPr>
          <w:i/>
          <w:iCs/>
        </w:rPr>
        <w:t>Bhikkhu</w:t>
      </w:r>
      <w:r w:rsidRPr="008D6A2C">
        <w:rPr>
          <w:i/>
          <w:iCs/>
        </w:rPr>
        <w:t>s</w:t>
      </w:r>
      <w:proofErr w:type="spellEnd"/>
      <w:r>
        <w:t xml:space="preserve">, </w:t>
      </w:r>
      <w:proofErr w:type="spellStart"/>
      <w:r w:rsidRPr="008D6A2C">
        <w:rPr>
          <w:i/>
          <w:iCs/>
        </w:rPr>
        <w:t>Sineru</w:t>
      </w:r>
      <w:proofErr w:type="spellEnd"/>
      <w:r>
        <w:t xml:space="preserve">, </w:t>
      </w:r>
      <w:r w:rsidR="00FA348E">
        <w:t xml:space="preserve">Rey </w:t>
      </w:r>
      <w:r>
        <w:t>de las montañas, tiene ochenta y cuatro mil</w:t>
      </w:r>
    </w:p>
    <w:p w14:paraId="3A59874F" w14:textId="77777777" w:rsidR="00EE2497" w:rsidRDefault="00EE2497">
      <w:pPr>
        <w:tabs>
          <w:tab w:val="clear" w:pos="425"/>
        </w:tabs>
        <w:spacing w:after="160"/>
      </w:pPr>
      <w:r>
        <w:br w:type="page"/>
      </w:r>
    </w:p>
    <w:p w14:paraId="003B1FD9" w14:textId="77777777" w:rsidR="00A7026A" w:rsidRDefault="00A7026A" w:rsidP="00695AC4">
      <w:pPr>
        <w:pStyle w:val="VersoIngls01Sangria"/>
        <w:ind w:left="708"/>
      </w:pPr>
    </w:p>
    <w:p w14:paraId="658C4CA8" w14:textId="025F7355" w:rsidR="003B394D" w:rsidRDefault="003B394D" w:rsidP="00695AC4">
      <w:pPr>
        <w:pStyle w:val="VersoIngls01Sangria"/>
        <w:ind w:left="708"/>
      </w:pPr>
    </w:p>
    <w:p w14:paraId="5265BB72" w14:textId="790611B8" w:rsidR="003B394D" w:rsidRPr="001F5FE0" w:rsidRDefault="003B394D" w:rsidP="00695AC4">
      <w:pPr>
        <w:pStyle w:val="VersoIngls01Sangria"/>
        <w:ind w:left="708"/>
        <w:rPr>
          <w:color w:val="1F3864" w:themeColor="accent1" w:themeShade="80"/>
          <w:sz w:val="16"/>
          <w:szCs w:val="20"/>
          <w:vertAlign w:val="superscript"/>
        </w:rPr>
      </w:pPr>
      <w:r w:rsidRPr="001F5FE0">
        <w:rPr>
          <w:color w:val="1F3864" w:themeColor="accent1" w:themeShade="80"/>
          <w:sz w:val="16"/>
          <w:szCs w:val="20"/>
        </w:rPr>
        <w:t xml:space="preserve">Y luego está adornado además </w:t>
      </w:r>
      <w:r w:rsidR="00C87044">
        <w:rPr>
          <w:color w:val="1F3864" w:themeColor="accent1" w:themeShade="80"/>
          <w:sz w:val="16"/>
          <w:szCs w:val="20"/>
        </w:rPr>
        <w:t>de</w:t>
      </w:r>
      <w:r w:rsidRPr="001F5FE0">
        <w:rPr>
          <w:color w:val="1F3864" w:themeColor="accent1" w:themeShade="80"/>
          <w:sz w:val="16"/>
          <w:szCs w:val="20"/>
        </w:rPr>
        <w:t xml:space="preserve"> ochenta </w:t>
      </w:r>
      <w:r w:rsidR="00DD6BEC">
        <w:rPr>
          <w:color w:val="1F3864" w:themeColor="accent1" w:themeShade="80"/>
          <w:sz w:val="16"/>
          <w:szCs w:val="20"/>
        </w:rPr>
        <w:t xml:space="preserve">y </w:t>
      </w:r>
      <w:r w:rsidR="00DD6BEC" w:rsidRPr="001F5FE0">
        <w:rPr>
          <w:color w:val="1F3864" w:themeColor="accent1" w:themeShade="80"/>
          <w:sz w:val="16"/>
          <w:szCs w:val="20"/>
        </w:rPr>
        <w:t xml:space="preserve">cuatro </w:t>
      </w:r>
      <w:r w:rsidRPr="001F5FE0">
        <w:rPr>
          <w:color w:val="1F3864" w:themeColor="accent1" w:themeShade="80"/>
          <w:sz w:val="16"/>
          <w:szCs w:val="20"/>
        </w:rPr>
        <w:t>mil picos.</w:t>
      </w:r>
      <w:r w:rsidR="00ED3E85" w:rsidRPr="001F5FE0">
        <w:rPr>
          <w:color w:val="1F3864" w:themeColor="accent1" w:themeShade="80"/>
          <w:sz w:val="16"/>
          <w:szCs w:val="20"/>
          <w:vertAlign w:val="superscript"/>
        </w:rPr>
        <w:t>16</w:t>
      </w:r>
    </w:p>
    <w:p w14:paraId="23D4EC44" w14:textId="01AD6D71" w:rsidR="003B394D" w:rsidRPr="001F5FE0" w:rsidRDefault="003B394D" w:rsidP="00695AC4">
      <w:pPr>
        <w:pStyle w:val="VersoIngls01Sangria"/>
        <w:ind w:left="708"/>
        <w:rPr>
          <w:color w:val="1F3864" w:themeColor="accent1" w:themeShade="80"/>
          <w:sz w:val="16"/>
          <w:szCs w:val="20"/>
        </w:rPr>
      </w:pPr>
      <w:r w:rsidRPr="001F5FE0">
        <w:rPr>
          <w:color w:val="1F3864" w:themeColor="accent1" w:themeShade="80"/>
          <w:sz w:val="16"/>
          <w:szCs w:val="20"/>
        </w:rPr>
        <w:t xml:space="preserve">El </w:t>
      </w:r>
      <w:r w:rsidR="00101830" w:rsidRPr="001F5FE0">
        <w:rPr>
          <w:color w:val="1F3864" w:themeColor="accent1" w:themeShade="80"/>
          <w:sz w:val="16"/>
          <w:szCs w:val="20"/>
        </w:rPr>
        <w:t xml:space="preserve">Árbol </w:t>
      </w:r>
      <w:proofErr w:type="spellStart"/>
      <w:r w:rsidRPr="001F5FE0">
        <w:rPr>
          <w:color w:val="1F3864" w:themeColor="accent1" w:themeShade="80"/>
          <w:sz w:val="16"/>
          <w:szCs w:val="20"/>
        </w:rPr>
        <w:t>Jambu</w:t>
      </w:r>
      <w:proofErr w:type="spellEnd"/>
      <w:r w:rsidRPr="001F5FE0">
        <w:rPr>
          <w:color w:val="1F3864" w:themeColor="accent1" w:themeShade="80"/>
          <w:sz w:val="16"/>
          <w:szCs w:val="20"/>
        </w:rPr>
        <w:t xml:space="preserve"> llamado </w:t>
      </w:r>
      <w:proofErr w:type="spellStart"/>
      <w:r w:rsidRPr="001F5FE0">
        <w:rPr>
          <w:i/>
          <w:iCs/>
          <w:color w:val="1F3864" w:themeColor="accent1" w:themeShade="80"/>
          <w:sz w:val="16"/>
          <w:szCs w:val="20"/>
        </w:rPr>
        <w:t>Nāga</w:t>
      </w:r>
      <w:proofErr w:type="spellEnd"/>
      <w:r w:rsidRPr="001F5FE0">
        <w:rPr>
          <w:color w:val="1F3864" w:themeColor="accent1" w:themeShade="80"/>
          <w:sz w:val="16"/>
          <w:szCs w:val="20"/>
        </w:rPr>
        <w:t xml:space="preserve"> presta el nombre, por su magnificencia,</w:t>
      </w:r>
    </w:p>
    <w:p w14:paraId="3A78BD1A" w14:textId="7F8F205C" w:rsidR="003B394D" w:rsidRPr="001F5FE0" w:rsidRDefault="003B394D" w:rsidP="00695AC4">
      <w:pPr>
        <w:pStyle w:val="VersoIngls01Sangria"/>
        <w:ind w:left="708"/>
        <w:rPr>
          <w:color w:val="1F3864" w:themeColor="accent1" w:themeShade="80"/>
          <w:sz w:val="16"/>
          <w:szCs w:val="20"/>
        </w:rPr>
      </w:pPr>
      <w:r w:rsidRPr="001F5FE0">
        <w:rPr>
          <w:color w:val="1F3864" w:themeColor="accent1" w:themeShade="80"/>
          <w:sz w:val="16"/>
          <w:szCs w:val="20"/>
        </w:rPr>
        <w:t xml:space="preserve">a la tierra de </w:t>
      </w:r>
      <w:proofErr w:type="spellStart"/>
      <w:r w:rsidRPr="001F5FE0">
        <w:rPr>
          <w:color w:val="1F3864" w:themeColor="accent1" w:themeShade="80"/>
          <w:sz w:val="16"/>
          <w:szCs w:val="20"/>
        </w:rPr>
        <w:t>Jambudīpa</w:t>
      </w:r>
      <w:proofErr w:type="spellEnd"/>
      <w:r w:rsidRPr="001F5FE0">
        <w:rPr>
          <w:color w:val="1F3864" w:themeColor="accent1" w:themeShade="80"/>
          <w:sz w:val="16"/>
          <w:szCs w:val="20"/>
        </w:rPr>
        <w:t xml:space="preserve">; su tronco, </w:t>
      </w:r>
      <w:r w:rsidR="004F2ECA">
        <w:rPr>
          <w:color w:val="1F3864" w:themeColor="accent1" w:themeShade="80"/>
          <w:sz w:val="16"/>
          <w:szCs w:val="20"/>
        </w:rPr>
        <w:t>de quince</w:t>
      </w:r>
      <w:r w:rsidRPr="001F5FE0">
        <w:rPr>
          <w:color w:val="1F3864" w:themeColor="accent1" w:themeShade="80"/>
          <w:sz w:val="16"/>
          <w:szCs w:val="20"/>
        </w:rPr>
        <w:t xml:space="preserve"> leguas de circunferencia,</w:t>
      </w:r>
    </w:p>
    <w:p w14:paraId="44FB6477" w14:textId="301C5B0D" w:rsidR="003B394D" w:rsidRPr="001F5FE0" w:rsidRDefault="00DD6BEC" w:rsidP="00695AC4">
      <w:pPr>
        <w:pStyle w:val="VersoIngls01Sangria"/>
        <w:ind w:left="708"/>
        <w:rPr>
          <w:color w:val="1F3864" w:themeColor="accent1" w:themeShade="80"/>
          <w:sz w:val="16"/>
          <w:szCs w:val="20"/>
        </w:rPr>
      </w:pPr>
      <w:r>
        <w:rPr>
          <w:color w:val="1F3864" w:themeColor="accent1" w:themeShade="80"/>
          <w:sz w:val="16"/>
          <w:szCs w:val="20"/>
        </w:rPr>
        <w:t>Se eleva</w:t>
      </w:r>
      <w:r w:rsidR="003B394D" w:rsidRPr="001F5FE0">
        <w:rPr>
          <w:color w:val="1F3864" w:themeColor="accent1" w:themeShade="80"/>
          <w:sz w:val="16"/>
          <w:szCs w:val="20"/>
        </w:rPr>
        <w:t xml:space="preserve"> cincuenta leguas, y lleva alrededor ramas de igual amplitud,</w:t>
      </w:r>
    </w:p>
    <w:p w14:paraId="7B49F0C9" w14:textId="7813E50A" w:rsidR="003B394D" w:rsidRPr="001F5FE0" w:rsidRDefault="003B394D" w:rsidP="00695AC4">
      <w:pPr>
        <w:pStyle w:val="VersoIngls01Sangria"/>
        <w:spacing w:after="100"/>
        <w:ind w:left="709"/>
        <w:rPr>
          <w:color w:val="1F3864" w:themeColor="accent1" w:themeShade="80"/>
          <w:sz w:val="16"/>
          <w:szCs w:val="20"/>
        </w:rPr>
      </w:pPr>
      <w:r w:rsidRPr="001F5FE0">
        <w:rPr>
          <w:color w:val="1F3864" w:themeColor="accent1" w:themeShade="80"/>
          <w:sz w:val="16"/>
          <w:szCs w:val="20"/>
        </w:rPr>
        <w:t xml:space="preserve">De modo que cien leguas definen </w:t>
      </w:r>
      <w:r w:rsidR="00DD6BEC">
        <w:rPr>
          <w:color w:val="1F3864" w:themeColor="accent1" w:themeShade="80"/>
          <w:sz w:val="16"/>
          <w:szCs w:val="20"/>
        </w:rPr>
        <w:t xml:space="preserve">su </w:t>
      </w:r>
      <w:r w:rsidRPr="001F5FE0">
        <w:rPr>
          <w:color w:val="1F3864" w:themeColor="accent1" w:themeShade="80"/>
          <w:sz w:val="16"/>
          <w:szCs w:val="20"/>
        </w:rPr>
        <w:t>diámetro y altura.</w:t>
      </w:r>
    </w:p>
    <w:p w14:paraId="5EA73AC4" w14:textId="32C75143" w:rsidR="003B394D" w:rsidRPr="001F5FE0" w:rsidRDefault="003B394D" w:rsidP="00695AC4">
      <w:pPr>
        <w:pStyle w:val="VersoIngls01Sangria"/>
        <w:ind w:left="0"/>
        <w:rPr>
          <w:color w:val="1F3864" w:themeColor="accent1" w:themeShade="80"/>
          <w:sz w:val="16"/>
          <w:szCs w:val="20"/>
        </w:rPr>
      </w:pPr>
      <w:r>
        <w:t xml:space="preserve">43. </w:t>
      </w:r>
      <w:r w:rsidR="00695AC4">
        <w:tab/>
      </w:r>
      <w:r w:rsidR="00695AC4">
        <w:tab/>
      </w:r>
      <w:r w:rsidRPr="001F5FE0">
        <w:rPr>
          <w:color w:val="1F3864" w:themeColor="accent1" w:themeShade="80"/>
          <w:sz w:val="16"/>
          <w:szCs w:val="20"/>
        </w:rPr>
        <w:t>La línea de cumbres de las Montañas de la Esfera Mundial se sumerge en el mar</w:t>
      </w:r>
    </w:p>
    <w:p w14:paraId="508652D6" w14:textId="703A4158" w:rsidR="003B394D" w:rsidRPr="001F5FE0" w:rsidRDefault="003B394D" w:rsidP="00695AC4">
      <w:pPr>
        <w:pStyle w:val="VersoIngls01Sangria"/>
        <w:ind w:left="708"/>
        <w:rPr>
          <w:color w:val="1F3864" w:themeColor="accent1" w:themeShade="80"/>
          <w:sz w:val="16"/>
          <w:szCs w:val="20"/>
        </w:rPr>
      </w:pPr>
      <w:r w:rsidRPr="001F5FE0">
        <w:rPr>
          <w:color w:val="1F3864" w:themeColor="accent1" w:themeShade="80"/>
          <w:sz w:val="16"/>
          <w:szCs w:val="20"/>
        </w:rPr>
        <w:t xml:space="preserve">Sólo ochenta </w:t>
      </w:r>
      <w:r w:rsidR="00B33105">
        <w:rPr>
          <w:color w:val="1F3864" w:themeColor="accent1" w:themeShade="80"/>
          <w:sz w:val="16"/>
          <w:szCs w:val="20"/>
        </w:rPr>
        <w:t xml:space="preserve">y dos </w:t>
      </w:r>
      <w:r w:rsidRPr="001F5FE0">
        <w:rPr>
          <w:color w:val="1F3864" w:themeColor="accent1" w:themeShade="80"/>
          <w:sz w:val="16"/>
          <w:szCs w:val="20"/>
        </w:rPr>
        <w:t>mil leguas, y se eleva en igual grado,</w:t>
      </w:r>
    </w:p>
    <w:p w14:paraId="4C24A938" w14:textId="77777777" w:rsidR="003B394D" w:rsidRPr="001F5FE0" w:rsidRDefault="003B394D" w:rsidP="00695AC4">
      <w:pPr>
        <w:pStyle w:val="VersoIngls01Sangria"/>
        <w:spacing w:after="100"/>
        <w:ind w:left="709"/>
        <w:rPr>
          <w:color w:val="1F3864" w:themeColor="accent1" w:themeShade="80"/>
          <w:sz w:val="16"/>
          <w:szCs w:val="20"/>
        </w:rPr>
      </w:pPr>
      <w:r w:rsidRPr="001F5FE0">
        <w:rPr>
          <w:color w:val="1F3864" w:themeColor="accent1" w:themeShade="80"/>
          <w:sz w:val="16"/>
          <w:szCs w:val="20"/>
        </w:rPr>
        <w:t>Envolviendo un elemento del mundo en su totalidad.</w:t>
      </w:r>
    </w:p>
    <w:p w14:paraId="087EDFE8" w14:textId="397C2D88" w:rsidR="003B394D" w:rsidRPr="00D815AD" w:rsidRDefault="003B394D" w:rsidP="00695AC4">
      <w:pPr>
        <w:pStyle w:val="NormalConSangria"/>
        <w:rPr>
          <w:color w:val="1F3864" w:themeColor="accent1" w:themeShade="80"/>
        </w:rPr>
      </w:pPr>
      <w:r w:rsidRPr="00D815AD">
        <w:rPr>
          <w:color w:val="1F3864" w:themeColor="accent1" w:themeShade="80"/>
        </w:rPr>
        <w:t xml:space="preserve">Y el tamaño del árbol </w:t>
      </w:r>
      <w:proofErr w:type="spellStart"/>
      <w:r w:rsidRPr="00D815AD">
        <w:rPr>
          <w:color w:val="1F3864" w:themeColor="accent1" w:themeShade="80"/>
        </w:rPr>
        <w:t>Jambu</w:t>
      </w:r>
      <w:proofErr w:type="spellEnd"/>
      <w:r w:rsidRPr="00D815AD">
        <w:rPr>
          <w:color w:val="1F3864" w:themeColor="accent1" w:themeShade="80"/>
        </w:rPr>
        <w:t xml:space="preserve"> (manzan</w:t>
      </w:r>
      <w:r w:rsidR="00176301" w:rsidRPr="00D815AD">
        <w:rPr>
          <w:color w:val="1F3864" w:themeColor="accent1" w:themeShade="80"/>
        </w:rPr>
        <w:t>o</w:t>
      </w:r>
      <w:r w:rsidRPr="00D815AD">
        <w:rPr>
          <w:color w:val="1F3864" w:themeColor="accent1" w:themeShade="80"/>
        </w:rPr>
        <w:t xml:space="preserve"> </w:t>
      </w:r>
      <w:r w:rsidR="00176301" w:rsidRPr="00D815AD">
        <w:rPr>
          <w:color w:val="1F3864" w:themeColor="accent1" w:themeShade="80"/>
        </w:rPr>
        <w:t>pomarrosa</w:t>
      </w:r>
      <w:r w:rsidRPr="00D815AD">
        <w:rPr>
          <w:color w:val="1F3864" w:themeColor="accent1" w:themeShade="80"/>
        </w:rPr>
        <w:t xml:space="preserve">) es el mismo que el del árbol </w:t>
      </w:r>
      <w:proofErr w:type="spellStart"/>
      <w:r w:rsidRPr="00D815AD">
        <w:rPr>
          <w:i/>
          <w:iCs/>
          <w:color w:val="1F3864" w:themeColor="accent1" w:themeShade="80"/>
        </w:rPr>
        <w:t>Citrapāṭaliya</w:t>
      </w:r>
      <w:proofErr w:type="spellEnd"/>
      <w:r w:rsidRPr="00D815AD">
        <w:rPr>
          <w:color w:val="1F3864" w:themeColor="accent1" w:themeShade="80"/>
        </w:rPr>
        <w:t xml:space="preserve"> de los demonios </w:t>
      </w:r>
      <w:r w:rsidRPr="00D815AD">
        <w:rPr>
          <w:i/>
          <w:iCs/>
          <w:color w:val="1F3864" w:themeColor="accent1" w:themeShade="80"/>
        </w:rPr>
        <w:t>Asura</w:t>
      </w:r>
      <w:r w:rsidRPr="00D815AD">
        <w:rPr>
          <w:color w:val="1F3864" w:themeColor="accent1" w:themeShade="80"/>
        </w:rPr>
        <w:t xml:space="preserve">, el árbol </w:t>
      </w:r>
      <w:proofErr w:type="spellStart"/>
      <w:r w:rsidRPr="00D815AD">
        <w:rPr>
          <w:i/>
          <w:iCs/>
          <w:color w:val="1F3864" w:themeColor="accent1" w:themeShade="80"/>
        </w:rPr>
        <w:t>Simbali</w:t>
      </w:r>
      <w:proofErr w:type="spellEnd"/>
      <w:r w:rsidRPr="00D815AD">
        <w:rPr>
          <w:color w:val="1F3864" w:themeColor="accent1" w:themeShade="80"/>
        </w:rPr>
        <w:t xml:space="preserve"> de los demonios </w:t>
      </w:r>
      <w:proofErr w:type="spellStart"/>
      <w:r w:rsidRPr="00D815AD">
        <w:rPr>
          <w:i/>
          <w:iCs/>
          <w:color w:val="1F3864" w:themeColor="accent1" w:themeShade="80"/>
        </w:rPr>
        <w:t>Garuḷa</w:t>
      </w:r>
      <w:proofErr w:type="spellEnd"/>
      <w:r w:rsidRPr="00D815AD">
        <w:rPr>
          <w:color w:val="1F3864" w:themeColor="accent1" w:themeShade="80"/>
        </w:rPr>
        <w:t xml:space="preserve">, el árbol </w:t>
      </w:r>
      <w:proofErr w:type="spellStart"/>
      <w:r w:rsidRPr="00D815AD">
        <w:rPr>
          <w:i/>
          <w:iCs/>
          <w:color w:val="1F3864" w:themeColor="accent1" w:themeShade="80"/>
        </w:rPr>
        <w:t>Kadamba</w:t>
      </w:r>
      <w:proofErr w:type="spellEnd"/>
      <w:r w:rsidRPr="00D815AD">
        <w:rPr>
          <w:color w:val="1F3864" w:themeColor="accent1" w:themeShade="80"/>
        </w:rPr>
        <w:t xml:space="preserve"> en [el continente occidental de] </w:t>
      </w:r>
      <w:proofErr w:type="spellStart"/>
      <w:r w:rsidRPr="00D815AD">
        <w:rPr>
          <w:i/>
          <w:iCs/>
          <w:color w:val="1F3864" w:themeColor="accent1" w:themeShade="80"/>
        </w:rPr>
        <w:t>Aparagoyana</w:t>
      </w:r>
      <w:proofErr w:type="spellEnd"/>
      <w:r w:rsidRPr="00D815AD">
        <w:rPr>
          <w:color w:val="1F3864" w:themeColor="accent1" w:themeShade="80"/>
        </w:rPr>
        <w:t xml:space="preserve">, el árbol </w:t>
      </w:r>
      <w:r w:rsidRPr="00D815AD">
        <w:rPr>
          <w:i/>
          <w:iCs/>
          <w:color w:val="1F3864" w:themeColor="accent1" w:themeShade="80"/>
        </w:rPr>
        <w:t>Kappa</w:t>
      </w:r>
      <w:r w:rsidRPr="00D815AD">
        <w:rPr>
          <w:color w:val="1F3864" w:themeColor="accent1" w:themeShade="80"/>
        </w:rPr>
        <w:t xml:space="preserve"> [en el continente norte] de </w:t>
      </w:r>
      <w:proofErr w:type="spellStart"/>
      <w:r w:rsidRPr="00D815AD">
        <w:rPr>
          <w:i/>
          <w:iCs/>
          <w:color w:val="1F3864" w:themeColor="accent1" w:themeShade="80"/>
        </w:rPr>
        <w:t>Uttarakurus</w:t>
      </w:r>
      <w:proofErr w:type="spellEnd"/>
      <w:r w:rsidRPr="00D815AD">
        <w:rPr>
          <w:color w:val="1F3864" w:themeColor="accent1" w:themeShade="80"/>
        </w:rPr>
        <w:t xml:space="preserve">, el Árbol </w:t>
      </w:r>
      <w:proofErr w:type="spellStart"/>
      <w:r w:rsidRPr="00D815AD">
        <w:rPr>
          <w:i/>
          <w:iCs/>
          <w:color w:val="1F3864" w:themeColor="accent1" w:themeShade="80"/>
        </w:rPr>
        <w:t>Sirīsa</w:t>
      </w:r>
      <w:proofErr w:type="spellEnd"/>
      <w:r w:rsidRPr="00D815AD">
        <w:rPr>
          <w:color w:val="1F3864" w:themeColor="accent1" w:themeShade="80"/>
        </w:rPr>
        <w:t xml:space="preserve"> en [el continente oriental de] </w:t>
      </w:r>
      <w:proofErr w:type="spellStart"/>
      <w:r w:rsidRPr="00D815AD">
        <w:rPr>
          <w:i/>
          <w:iCs/>
          <w:color w:val="1F3864" w:themeColor="accent1" w:themeShade="80"/>
        </w:rPr>
        <w:t>Pubbavideha</w:t>
      </w:r>
      <w:proofErr w:type="spellEnd"/>
      <w:r w:rsidRPr="00D815AD">
        <w:rPr>
          <w:color w:val="1F3864" w:themeColor="accent1" w:themeShade="80"/>
        </w:rPr>
        <w:t xml:space="preserve">, y el Árbol </w:t>
      </w:r>
      <w:proofErr w:type="spellStart"/>
      <w:r w:rsidRPr="00D815AD">
        <w:rPr>
          <w:i/>
          <w:iCs/>
          <w:color w:val="1F3864" w:themeColor="accent1" w:themeShade="80"/>
        </w:rPr>
        <w:t>Pāricchattaka</w:t>
      </w:r>
      <w:proofErr w:type="spellEnd"/>
      <w:r w:rsidRPr="00D815AD">
        <w:rPr>
          <w:color w:val="1F3864" w:themeColor="accent1" w:themeShade="80"/>
        </w:rPr>
        <w:t xml:space="preserve"> [en el cielo] de las Deidades de los Treinta y Tres (</w:t>
      </w:r>
      <w:proofErr w:type="spellStart"/>
      <w:r w:rsidRPr="00D815AD">
        <w:rPr>
          <w:i/>
          <w:iCs/>
          <w:color w:val="1F3864" w:themeColor="accent1" w:themeShade="80"/>
        </w:rPr>
        <w:t>Tāvatiṃsa</w:t>
      </w:r>
      <w:proofErr w:type="spellEnd"/>
      <w:r w:rsidRPr="00D815AD">
        <w:rPr>
          <w:color w:val="1F3864" w:themeColor="accent1" w:themeShade="80"/>
        </w:rPr>
        <w:t>).</w:t>
      </w:r>
      <w:r w:rsidR="00FA255F" w:rsidRPr="00D815AD">
        <w:rPr>
          <w:color w:val="1F3864" w:themeColor="accent1" w:themeShade="80"/>
          <w:vertAlign w:val="superscript"/>
        </w:rPr>
        <w:t>17</w:t>
      </w:r>
      <w:r w:rsidRPr="00D815AD">
        <w:rPr>
          <w:color w:val="1F3864" w:themeColor="accent1" w:themeShade="80"/>
        </w:rPr>
        <w:t xml:space="preserve"> De ahí que los Antiguos dijeran:</w:t>
      </w:r>
    </w:p>
    <w:p w14:paraId="06607E0F" w14:textId="77777777" w:rsidR="003B394D" w:rsidRPr="00D815AD" w:rsidRDefault="003B394D" w:rsidP="00695AC4">
      <w:pPr>
        <w:pStyle w:val="VersoIngls01Sangria"/>
        <w:ind w:left="708"/>
        <w:rPr>
          <w:color w:val="1F3864" w:themeColor="accent1" w:themeShade="80"/>
        </w:rPr>
      </w:pPr>
      <w:r w:rsidRPr="00D815AD">
        <w:rPr>
          <w:color w:val="1F3864" w:themeColor="accent1" w:themeShade="80"/>
        </w:rPr>
        <w:t xml:space="preserve">El </w:t>
      </w:r>
      <w:proofErr w:type="spellStart"/>
      <w:r w:rsidRPr="00D815AD">
        <w:rPr>
          <w:i/>
          <w:iCs/>
          <w:color w:val="1F3864" w:themeColor="accent1" w:themeShade="80"/>
        </w:rPr>
        <w:t>Pāṭali</w:t>
      </w:r>
      <w:proofErr w:type="spellEnd"/>
      <w:r w:rsidRPr="00D815AD">
        <w:rPr>
          <w:color w:val="1F3864" w:themeColor="accent1" w:themeShade="80"/>
        </w:rPr>
        <w:t xml:space="preserve">, </w:t>
      </w:r>
      <w:proofErr w:type="spellStart"/>
      <w:r w:rsidRPr="00D815AD">
        <w:rPr>
          <w:i/>
          <w:iCs/>
          <w:color w:val="1F3864" w:themeColor="accent1" w:themeShade="80"/>
        </w:rPr>
        <w:t>Simbali</w:t>
      </w:r>
      <w:proofErr w:type="spellEnd"/>
      <w:r w:rsidRPr="00D815AD">
        <w:rPr>
          <w:color w:val="1F3864" w:themeColor="accent1" w:themeShade="80"/>
        </w:rPr>
        <w:t xml:space="preserve"> y </w:t>
      </w:r>
      <w:proofErr w:type="spellStart"/>
      <w:r w:rsidRPr="00D815AD">
        <w:rPr>
          <w:i/>
          <w:iCs/>
          <w:color w:val="1F3864" w:themeColor="accent1" w:themeShade="80"/>
        </w:rPr>
        <w:t>Jambu</w:t>
      </w:r>
      <w:proofErr w:type="spellEnd"/>
      <w:r w:rsidRPr="00D815AD">
        <w:rPr>
          <w:color w:val="1F3864" w:themeColor="accent1" w:themeShade="80"/>
        </w:rPr>
        <w:t xml:space="preserve">, el </w:t>
      </w:r>
      <w:proofErr w:type="spellStart"/>
      <w:r w:rsidRPr="00D815AD">
        <w:rPr>
          <w:i/>
          <w:iCs/>
          <w:color w:val="1F3864" w:themeColor="accent1" w:themeShade="80"/>
        </w:rPr>
        <w:t>Pāricchattaka</w:t>
      </w:r>
      <w:proofErr w:type="spellEnd"/>
      <w:r w:rsidRPr="00D815AD">
        <w:rPr>
          <w:color w:val="1F3864" w:themeColor="accent1" w:themeShade="80"/>
        </w:rPr>
        <w:t xml:space="preserve"> de las deidades,</w:t>
      </w:r>
    </w:p>
    <w:p w14:paraId="3ED0B075" w14:textId="77777777" w:rsidR="003B394D" w:rsidRPr="00D815AD" w:rsidRDefault="003B394D" w:rsidP="00695AC4">
      <w:pPr>
        <w:pStyle w:val="VersoIngls01Sangria"/>
        <w:spacing w:after="100"/>
        <w:ind w:left="709"/>
        <w:rPr>
          <w:color w:val="1F3864" w:themeColor="accent1" w:themeShade="80"/>
        </w:rPr>
      </w:pPr>
      <w:r w:rsidRPr="00D815AD">
        <w:rPr>
          <w:color w:val="1F3864" w:themeColor="accent1" w:themeShade="80"/>
        </w:rPr>
        <w:t xml:space="preserve">El </w:t>
      </w:r>
      <w:proofErr w:type="spellStart"/>
      <w:r w:rsidRPr="00D815AD">
        <w:rPr>
          <w:i/>
          <w:iCs/>
          <w:color w:val="1F3864" w:themeColor="accent1" w:themeShade="80"/>
        </w:rPr>
        <w:t>Kadamba</w:t>
      </w:r>
      <w:proofErr w:type="spellEnd"/>
      <w:r w:rsidRPr="00D815AD">
        <w:rPr>
          <w:color w:val="1F3864" w:themeColor="accent1" w:themeShade="80"/>
        </w:rPr>
        <w:t xml:space="preserve">, el Árbol </w:t>
      </w:r>
      <w:r w:rsidRPr="00D815AD">
        <w:rPr>
          <w:i/>
          <w:iCs/>
          <w:color w:val="1F3864" w:themeColor="accent1" w:themeShade="80"/>
        </w:rPr>
        <w:t>Kappa</w:t>
      </w:r>
      <w:r w:rsidRPr="00D815AD">
        <w:rPr>
          <w:color w:val="1F3864" w:themeColor="accent1" w:themeShade="80"/>
        </w:rPr>
        <w:t xml:space="preserve"> y el </w:t>
      </w:r>
      <w:proofErr w:type="spellStart"/>
      <w:r w:rsidRPr="00D815AD">
        <w:rPr>
          <w:i/>
          <w:iCs/>
          <w:color w:val="1F3864" w:themeColor="accent1" w:themeShade="80"/>
        </w:rPr>
        <w:t>Sirīsa</w:t>
      </w:r>
      <w:proofErr w:type="spellEnd"/>
      <w:r w:rsidRPr="00D815AD">
        <w:rPr>
          <w:color w:val="1F3864" w:themeColor="accent1" w:themeShade="80"/>
        </w:rPr>
        <w:t xml:space="preserve"> como el séptimo.</w:t>
      </w:r>
    </w:p>
    <w:p w14:paraId="2CFAFA50" w14:textId="08147D52" w:rsidR="003B394D" w:rsidRPr="00711317" w:rsidRDefault="003B394D" w:rsidP="003B394D">
      <w:pPr>
        <w:rPr>
          <w:color w:val="1F3864" w:themeColor="accent1" w:themeShade="80"/>
        </w:rPr>
      </w:pPr>
      <w:r w:rsidRPr="00711317">
        <w:rPr>
          <w:color w:val="1F3864" w:themeColor="accent1" w:themeShade="80"/>
        </w:rPr>
        <w:t>44.</w:t>
      </w:r>
      <w:r w:rsidR="00695AC4" w:rsidRPr="00711317">
        <w:rPr>
          <w:color w:val="1F3864" w:themeColor="accent1" w:themeShade="80"/>
        </w:rPr>
        <w:tab/>
      </w:r>
      <w:r w:rsidRPr="00711317">
        <w:rPr>
          <w:color w:val="1F3864" w:themeColor="accent1" w:themeShade="80"/>
        </w:rPr>
        <w:t xml:space="preserve">[207] Aquí, el disco de la </w:t>
      </w:r>
      <w:r w:rsidR="00BD6234" w:rsidRPr="00711317">
        <w:rPr>
          <w:color w:val="1F3864" w:themeColor="accent1" w:themeShade="80"/>
        </w:rPr>
        <w:t xml:space="preserve">Luna </w:t>
      </w:r>
      <w:r w:rsidRPr="00711317">
        <w:rPr>
          <w:color w:val="1F3864" w:themeColor="accent1" w:themeShade="80"/>
        </w:rPr>
        <w:t xml:space="preserve">tiene cuarenta y nueve leguas [de </w:t>
      </w:r>
      <w:r w:rsidR="00BD6234" w:rsidRPr="00711317">
        <w:rPr>
          <w:color w:val="1F3864" w:themeColor="accent1" w:themeShade="80"/>
        </w:rPr>
        <w:t>longitud</w:t>
      </w:r>
      <w:r w:rsidRPr="00711317">
        <w:rPr>
          <w:color w:val="1F3864" w:themeColor="accent1" w:themeShade="80"/>
        </w:rPr>
        <w:t xml:space="preserve">] y el disco del </w:t>
      </w:r>
      <w:r w:rsidR="0030124F" w:rsidRPr="00711317">
        <w:rPr>
          <w:color w:val="1F3864" w:themeColor="accent1" w:themeShade="80"/>
        </w:rPr>
        <w:t xml:space="preserve">Sol </w:t>
      </w:r>
      <w:r w:rsidRPr="00711317">
        <w:rPr>
          <w:color w:val="1F3864" w:themeColor="accent1" w:themeShade="80"/>
        </w:rPr>
        <w:t xml:space="preserve">tiene cincuenta leguas. El reino de </w:t>
      </w:r>
      <w:proofErr w:type="spellStart"/>
      <w:r w:rsidRPr="00711317">
        <w:rPr>
          <w:i/>
          <w:iCs/>
          <w:color w:val="1F3864" w:themeColor="accent1" w:themeShade="80"/>
        </w:rPr>
        <w:t>Tāvatiṃsa</w:t>
      </w:r>
      <w:proofErr w:type="spellEnd"/>
      <w:r w:rsidRPr="00711317">
        <w:rPr>
          <w:color w:val="1F3864" w:themeColor="accent1" w:themeShade="80"/>
        </w:rPr>
        <w:t xml:space="preserve"> (los Treinta y tres Dioses) tiene diez mil leguas. Asimismo, el reino de los demonios </w:t>
      </w:r>
      <w:r w:rsidRPr="00AC148F">
        <w:rPr>
          <w:i/>
          <w:iCs/>
          <w:color w:val="1F3864" w:themeColor="accent1" w:themeShade="80"/>
        </w:rPr>
        <w:t>Asura</w:t>
      </w:r>
      <w:r w:rsidRPr="00711317">
        <w:rPr>
          <w:color w:val="1F3864" w:themeColor="accent1" w:themeShade="80"/>
        </w:rPr>
        <w:t xml:space="preserve">, el gran Infierno </w:t>
      </w:r>
      <w:proofErr w:type="spellStart"/>
      <w:r w:rsidRPr="00711317">
        <w:rPr>
          <w:i/>
          <w:iCs/>
          <w:color w:val="1F3864" w:themeColor="accent1" w:themeShade="80"/>
        </w:rPr>
        <w:t>Avīci</w:t>
      </w:r>
      <w:proofErr w:type="spellEnd"/>
      <w:r w:rsidRPr="00711317">
        <w:rPr>
          <w:color w:val="1F3864" w:themeColor="accent1" w:themeShade="80"/>
        </w:rPr>
        <w:t xml:space="preserve"> (incesante) y </w:t>
      </w:r>
      <w:proofErr w:type="spellStart"/>
      <w:r w:rsidRPr="00711317">
        <w:rPr>
          <w:color w:val="1F3864" w:themeColor="accent1" w:themeShade="80"/>
        </w:rPr>
        <w:t>Jambudīpa</w:t>
      </w:r>
      <w:proofErr w:type="spellEnd"/>
      <w:r w:rsidRPr="00711317">
        <w:rPr>
          <w:color w:val="1F3864" w:themeColor="accent1" w:themeShade="80"/>
        </w:rPr>
        <w:t xml:space="preserve"> (India). </w:t>
      </w:r>
      <w:proofErr w:type="spellStart"/>
      <w:r w:rsidRPr="00711317">
        <w:rPr>
          <w:i/>
          <w:iCs/>
          <w:color w:val="1F3864" w:themeColor="accent1" w:themeShade="80"/>
        </w:rPr>
        <w:t>Aparagoyāna</w:t>
      </w:r>
      <w:proofErr w:type="spellEnd"/>
      <w:r w:rsidRPr="00711317">
        <w:rPr>
          <w:color w:val="1F3864" w:themeColor="accent1" w:themeShade="80"/>
        </w:rPr>
        <w:t xml:space="preserve"> </w:t>
      </w:r>
      <w:r w:rsidR="00A07EB4">
        <w:rPr>
          <w:color w:val="1F3864" w:themeColor="accent1" w:themeShade="80"/>
        </w:rPr>
        <w:t>posee</w:t>
      </w:r>
      <w:r w:rsidRPr="00711317">
        <w:rPr>
          <w:color w:val="1F3864" w:themeColor="accent1" w:themeShade="80"/>
        </w:rPr>
        <w:t xml:space="preserve"> siete mil leguas. </w:t>
      </w:r>
      <w:r w:rsidR="00F40401" w:rsidRPr="00711317">
        <w:rPr>
          <w:color w:val="1F3864" w:themeColor="accent1" w:themeShade="80"/>
        </w:rPr>
        <w:t>Asimismo,</w:t>
      </w:r>
      <w:r w:rsidRPr="00711317">
        <w:rPr>
          <w:color w:val="1F3864" w:themeColor="accent1" w:themeShade="80"/>
        </w:rPr>
        <w:t xml:space="preserve"> </w:t>
      </w:r>
      <w:proofErr w:type="spellStart"/>
      <w:r w:rsidRPr="00711317">
        <w:rPr>
          <w:i/>
          <w:iCs/>
          <w:color w:val="1F3864" w:themeColor="accent1" w:themeShade="80"/>
        </w:rPr>
        <w:t>Pubbavideha</w:t>
      </w:r>
      <w:proofErr w:type="spellEnd"/>
      <w:r w:rsidRPr="00711317">
        <w:rPr>
          <w:color w:val="1F3864" w:themeColor="accent1" w:themeShade="80"/>
        </w:rPr>
        <w:t xml:space="preserve">. </w:t>
      </w:r>
      <w:proofErr w:type="spellStart"/>
      <w:r w:rsidRPr="00711317">
        <w:rPr>
          <w:i/>
          <w:iCs/>
          <w:color w:val="1F3864" w:themeColor="accent1" w:themeShade="80"/>
        </w:rPr>
        <w:t>Uttarakurū</w:t>
      </w:r>
      <w:proofErr w:type="spellEnd"/>
      <w:r w:rsidRPr="00711317">
        <w:rPr>
          <w:color w:val="1F3864" w:themeColor="accent1" w:themeShade="80"/>
        </w:rPr>
        <w:t xml:space="preserve"> ocho mil leguas. Y aquí, cada gran continente está rodeado por quinientas pequeñas islas. Y todo eso constituye una única esfera </w:t>
      </w:r>
      <w:r w:rsidR="00A07EB4">
        <w:rPr>
          <w:color w:val="1F3864" w:themeColor="accent1" w:themeShade="80"/>
        </w:rPr>
        <w:t>sideral</w:t>
      </w:r>
      <w:r w:rsidRPr="00711317">
        <w:rPr>
          <w:color w:val="1F3864" w:themeColor="accent1" w:themeShade="80"/>
        </w:rPr>
        <w:t xml:space="preserve">, un único </w:t>
      </w:r>
      <w:r w:rsidRPr="00324971">
        <w:rPr>
          <w:color w:val="833C0B" w:themeColor="accent2" w:themeShade="80"/>
        </w:rPr>
        <w:t xml:space="preserve">elemento </w:t>
      </w:r>
      <w:r w:rsidR="00324971" w:rsidRPr="00324971">
        <w:rPr>
          <w:color w:val="833C0B" w:themeColor="accent2" w:themeShade="80"/>
        </w:rPr>
        <w:t>mundo</w:t>
      </w:r>
      <w:r w:rsidRPr="00711317">
        <w:rPr>
          <w:color w:val="1F3864" w:themeColor="accent1" w:themeShade="80"/>
        </w:rPr>
        <w:t xml:space="preserve">. Entre [esta y las esferas </w:t>
      </w:r>
      <w:r w:rsidR="00A07EB4">
        <w:rPr>
          <w:color w:val="1F3864" w:themeColor="accent1" w:themeShade="80"/>
        </w:rPr>
        <w:t>siderales</w:t>
      </w:r>
      <w:r w:rsidRPr="00711317">
        <w:rPr>
          <w:color w:val="1F3864" w:themeColor="accent1" w:themeShade="80"/>
        </w:rPr>
        <w:t xml:space="preserve"> adyacentes] se encuentran los infiernos</w:t>
      </w:r>
      <w:r w:rsidR="002272D9" w:rsidRPr="00711317">
        <w:rPr>
          <w:color w:val="1F3864" w:themeColor="accent1" w:themeShade="80"/>
          <w:vertAlign w:val="superscript"/>
        </w:rPr>
        <w:t>18</w:t>
      </w:r>
      <w:r w:rsidRPr="00711317">
        <w:rPr>
          <w:color w:val="1F3864" w:themeColor="accent1" w:themeShade="80"/>
        </w:rPr>
        <w:t xml:space="preserve"> </w:t>
      </w:r>
      <w:proofErr w:type="spellStart"/>
      <w:r w:rsidRPr="00711317">
        <w:rPr>
          <w:i/>
          <w:iCs/>
          <w:color w:val="1F3864" w:themeColor="accent1" w:themeShade="80"/>
        </w:rPr>
        <w:t>Lokantarika</w:t>
      </w:r>
      <w:proofErr w:type="spellEnd"/>
      <w:r w:rsidRPr="00711317">
        <w:rPr>
          <w:color w:val="1F3864" w:themeColor="accent1" w:themeShade="80"/>
        </w:rPr>
        <w:t xml:space="preserve"> (mundo </w:t>
      </w:r>
      <w:proofErr w:type="spellStart"/>
      <w:r w:rsidRPr="00711317">
        <w:rPr>
          <w:color w:val="1F3864" w:themeColor="accent1" w:themeShade="80"/>
        </w:rPr>
        <w:t>interespacial</w:t>
      </w:r>
      <w:proofErr w:type="spellEnd"/>
      <w:r w:rsidRPr="00711317">
        <w:rPr>
          <w:color w:val="1F3864" w:themeColor="accent1" w:themeShade="80"/>
        </w:rPr>
        <w:t xml:space="preserve">). Así que las esferas del </w:t>
      </w:r>
      <w:r w:rsidR="00454E49">
        <w:rPr>
          <w:color w:val="1F3864" w:themeColor="accent1" w:themeShade="80"/>
        </w:rPr>
        <w:t>universo</w:t>
      </w:r>
      <w:r w:rsidRPr="00711317">
        <w:rPr>
          <w:color w:val="1F3864" w:themeColor="accent1" w:themeShade="80"/>
        </w:rPr>
        <w:t xml:space="preserve"> son infinitas en número, los elementos </w:t>
      </w:r>
      <w:r w:rsidR="00454E49">
        <w:rPr>
          <w:color w:val="1F3864" w:themeColor="accent1" w:themeShade="80"/>
        </w:rPr>
        <w:t>siderales</w:t>
      </w:r>
      <w:r w:rsidRPr="00711317">
        <w:rPr>
          <w:color w:val="1F3864" w:themeColor="accent1" w:themeShade="80"/>
        </w:rPr>
        <w:t xml:space="preserve"> son infinitos, y el </w:t>
      </w:r>
      <w:r w:rsidR="00454E49" w:rsidRPr="00454E49">
        <w:rPr>
          <w:i/>
          <w:iCs/>
          <w:color w:val="1F3864" w:themeColor="accent1" w:themeShade="80"/>
        </w:rPr>
        <w:t>Bhagavā</w:t>
      </w:r>
      <w:r w:rsidRPr="00711317">
        <w:rPr>
          <w:color w:val="1F3864" w:themeColor="accent1" w:themeShade="80"/>
        </w:rPr>
        <w:t xml:space="preserve"> los ha experimentado, conocido y penetrado en ellos con el conocimiento infinito de los Iluminados.</w:t>
      </w:r>
    </w:p>
    <w:p w14:paraId="33619951" w14:textId="7F3213D2" w:rsidR="003B394D" w:rsidRDefault="003B394D" w:rsidP="003B394D">
      <w:r>
        <w:t xml:space="preserve">45. </w:t>
      </w:r>
      <w:r w:rsidR="00695AC4">
        <w:tab/>
      </w:r>
      <w:r>
        <w:t>Por lo tanto, este mundo de</w:t>
      </w:r>
      <w:r w:rsidR="00454E49">
        <w:t>l espacio</w:t>
      </w:r>
      <w:r>
        <w:t xml:space="preserve"> también le era conocido en todos los sentidos. Entonces él es “</w:t>
      </w:r>
      <w:r w:rsidR="00F0606F">
        <w:t xml:space="preserve">el </w:t>
      </w:r>
      <w:r>
        <w:t>conocedor de mundos” porque ha visto el mundo en todas sus formas.</w:t>
      </w:r>
    </w:p>
    <w:p w14:paraId="492334DB" w14:textId="77777777" w:rsidR="003B394D" w:rsidRDefault="003B394D" w:rsidP="003B394D">
      <w:pPr>
        <w:pStyle w:val="Piedepgina"/>
        <w:rPr>
          <w:u w:val="single"/>
        </w:rPr>
      </w:pPr>
      <w:r>
        <w:rPr>
          <w:u w:val="single"/>
        </w:rPr>
        <w:t xml:space="preserve">                                                                                                                                                                          .</w:t>
      </w:r>
    </w:p>
    <w:p w14:paraId="02C84F60" w14:textId="77777777" w:rsidR="0059355A" w:rsidRDefault="003B394D" w:rsidP="0059355A">
      <w:pPr>
        <w:pStyle w:val="PiedepginaLegal"/>
      </w:pPr>
      <w:r>
        <w:t xml:space="preserve">… </w:t>
      </w:r>
    </w:p>
    <w:p w14:paraId="3557ABFD" w14:textId="32A7ECC6" w:rsidR="003B394D" w:rsidRPr="00817F03" w:rsidRDefault="0059355A" w:rsidP="0059355A">
      <w:pPr>
        <w:pStyle w:val="PiedepginaLegal"/>
        <w:rPr>
          <w:color w:val="1F3864" w:themeColor="accent1" w:themeShade="80"/>
        </w:rPr>
      </w:pPr>
      <w:r>
        <w:tab/>
      </w:r>
      <w:r w:rsidR="003B394D" w:rsidRPr="00817F03">
        <w:rPr>
          <w:color w:val="1F3864" w:themeColor="accent1" w:themeShade="80"/>
        </w:rPr>
        <w:t xml:space="preserve">leguas de ancho y tiene ochenta y cuatro mil leguas de </w:t>
      </w:r>
      <w:r w:rsidR="000A2810" w:rsidRPr="00817F03">
        <w:rPr>
          <w:color w:val="1F3864" w:themeColor="accent1" w:themeShade="80"/>
        </w:rPr>
        <w:t>largo</w:t>
      </w:r>
      <w:r w:rsidR="003B394D" w:rsidRPr="00817F03">
        <w:rPr>
          <w:color w:val="1F3864" w:themeColor="accent1" w:themeShade="80"/>
        </w:rPr>
        <w:t xml:space="preserve">” (A IV 100). Cada una de las siete montañas circundantes tiene la mitad de altura que la última mencionada, es decir, </w:t>
      </w:r>
      <w:proofErr w:type="spellStart"/>
      <w:r w:rsidR="003B394D" w:rsidRPr="00817F03">
        <w:rPr>
          <w:i/>
          <w:iCs/>
          <w:color w:val="1F3864" w:themeColor="accent1" w:themeShade="80"/>
        </w:rPr>
        <w:t>Yugandhara</w:t>
      </w:r>
      <w:proofErr w:type="spellEnd"/>
      <w:r w:rsidR="003B394D" w:rsidRPr="00817F03">
        <w:rPr>
          <w:color w:val="1F3864" w:themeColor="accent1" w:themeShade="80"/>
        </w:rPr>
        <w:t xml:space="preserve"> tiene la mitad de altura que </w:t>
      </w:r>
      <w:proofErr w:type="spellStart"/>
      <w:r w:rsidR="003B394D" w:rsidRPr="00817F03">
        <w:rPr>
          <w:i/>
          <w:iCs/>
          <w:color w:val="1F3864" w:themeColor="accent1" w:themeShade="80"/>
        </w:rPr>
        <w:t>Sineru</w:t>
      </w:r>
      <w:proofErr w:type="spellEnd"/>
      <w:r w:rsidR="003B394D" w:rsidRPr="00817F03">
        <w:rPr>
          <w:color w:val="1F3864" w:themeColor="accent1" w:themeShade="80"/>
        </w:rPr>
        <w:t xml:space="preserve">, y así sucesivamente. El gran océano desciende gradualmente desde el pie de las montañas de la esfera </w:t>
      </w:r>
      <w:r w:rsidR="00792C34">
        <w:rPr>
          <w:color w:val="1F3864" w:themeColor="accent1" w:themeShade="80"/>
        </w:rPr>
        <w:t xml:space="preserve">sideral </w:t>
      </w:r>
      <w:r w:rsidR="003B394D" w:rsidRPr="00817F03">
        <w:rPr>
          <w:color w:val="1F3864" w:themeColor="accent1" w:themeShade="80"/>
        </w:rPr>
        <w:t xml:space="preserve">hasta el pie de </w:t>
      </w:r>
      <w:proofErr w:type="spellStart"/>
      <w:r w:rsidR="003B394D" w:rsidRPr="00817F03">
        <w:rPr>
          <w:i/>
          <w:iCs/>
          <w:color w:val="1F3864" w:themeColor="accent1" w:themeShade="80"/>
        </w:rPr>
        <w:t>Sineru</w:t>
      </w:r>
      <w:proofErr w:type="spellEnd"/>
      <w:r w:rsidR="003B394D" w:rsidRPr="00817F03">
        <w:rPr>
          <w:color w:val="1F3864" w:themeColor="accent1" w:themeShade="80"/>
        </w:rPr>
        <w:t xml:space="preserve">, donde mide en profundidad tanto como la altura de </w:t>
      </w:r>
      <w:proofErr w:type="spellStart"/>
      <w:r w:rsidR="003B394D" w:rsidRPr="00817F03">
        <w:rPr>
          <w:i/>
          <w:iCs/>
          <w:color w:val="1F3864" w:themeColor="accent1" w:themeShade="80"/>
        </w:rPr>
        <w:t>Sineru</w:t>
      </w:r>
      <w:proofErr w:type="spellEnd"/>
      <w:r w:rsidR="003B394D" w:rsidRPr="00817F03">
        <w:rPr>
          <w:color w:val="1F3864" w:themeColor="accent1" w:themeShade="80"/>
        </w:rPr>
        <w:t xml:space="preserve">. Y </w:t>
      </w:r>
      <w:proofErr w:type="spellStart"/>
      <w:r w:rsidR="003B394D" w:rsidRPr="00817F03">
        <w:rPr>
          <w:i/>
          <w:iCs/>
          <w:color w:val="1F3864" w:themeColor="accent1" w:themeShade="80"/>
        </w:rPr>
        <w:t>Yugandhara</w:t>
      </w:r>
      <w:proofErr w:type="spellEnd"/>
      <w:r w:rsidR="003B394D" w:rsidRPr="00817F03">
        <w:rPr>
          <w:color w:val="1F3864" w:themeColor="accent1" w:themeShade="80"/>
        </w:rPr>
        <w:t xml:space="preserve">, que tiene la mitad de esa altura, descansa sobre la tierra como lo hacen </w:t>
      </w:r>
      <w:proofErr w:type="spellStart"/>
      <w:r w:rsidR="003B394D" w:rsidRPr="00817F03">
        <w:rPr>
          <w:i/>
          <w:iCs/>
          <w:color w:val="1F3864" w:themeColor="accent1" w:themeShade="80"/>
        </w:rPr>
        <w:t>Īsadhara</w:t>
      </w:r>
      <w:proofErr w:type="spellEnd"/>
      <w:r w:rsidR="003B394D" w:rsidRPr="00817F03">
        <w:rPr>
          <w:color w:val="1F3864" w:themeColor="accent1" w:themeShade="80"/>
        </w:rPr>
        <w:t xml:space="preserve"> y l</w:t>
      </w:r>
      <w:r w:rsidR="00D824E9">
        <w:rPr>
          <w:color w:val="1F3864" w:themeColor="accent1" w:themeShade="80"/>
        </w:rPr>
        <w:t>a</w:t>
      </w:r>
      <w:r w:rsidR="003B394D" w:rsidRPr="00817F03">
        <w:rPr>
          <w:color w:val="1F3864" w:themeColor="accent1" w:themeShade="80"/>
        </w:rPr>
        <w:t xml:space="preserve">s demás; pues se dice: </w:t>
      </w:r>
      <w:r w:rsidR="003B394D" w:rsidRPr="00817F03">
        <w:rPr>
          <w:i/>
          <w:iCs/>
          <w:color w:val="1F3864" w:themeColor="accent1" w:themeShade="80"/>
        </w:rPr>
        <w:t>'</w:t>
      </w:r>
      <w:proofErr w:type="spellStart"/>
      <w:r w:rsidR="00057BF4" w:rsidRPr="00817F03">
        <w:rPr>
          <w:i/>
          <w:iCs/>
          <w:color w:val="1F3864" w:themeColor="accent1" w:themeShade="80"/>
        </w:rPr>
        <w:t>Bhikkhu</w:t>
      </w:r>
      <w:r w:rsidR="003B394D" w:rsidRPr="00817F03">
        <w:rPr>
          <w:i/>
          <w:iCs/>
          <w:color w:val="1F3864" w:themeColor="accent1" w:themeShade="80"/>
        </w:rPr>
        <w:t>s</w:t>
      </w:r>
      <w:proofErr w:type="spellEnd"/>
      <w:r w:rsidR="003B394D" w:rsidRPr="00817F03">
        <w:rPr>
          <w:color w:val="1F3864" w:themeColor="accent1" w:themeShade="80"/>
        </w:rPr>
        <w:t xml:space="preserve">, el gran océano se </w:t>
      </w:r>
      <w:r w:rsidR="00AB27DB" w:rsidRPr="00817F03">
        <w:rPr>
          <w:color w:val="1F3864" w:themeColor="accent1" w:themeShade="80"/>
        </w:rPr>
        <w:t>ladea</w:t>
      </w:r>
      <w:r w:rsidR="003B394D" w:rsidRPr="00817F03">
        <w:rPr>
          <w:color w:val="1F3864" w:themeColor="accent1" w:themeShade="80"/>
        </w:rPr>
        <w:t xml:space="preserve"> gradualmente, </w:t>
      </w:r>
      <w:r w:rsidR="00792C34">
        <w:rPr>
          <w:color w:val="1F3864" w:themeColor="accent1" w:themeShade="80"/>
        </w:rPr>
        <w:t xml:space="preserve">se </w:t>
      </w:r>
      <w:r w:rsidR="003B394D" w:rsidRPr="00817F03">
        <w:rPr>
          <w:color w:val="1F3864" w:themeColor="accent1" w:themeShade="80"/>
        </w:rPr>
        <w:t>tiende gradualmente, se inclina gradualmente' (</w:t>
      </w:r>
      <w:proofErr w:type="spellStart"/>
      <w:r w:rsidR="003B394D" w:rsidRPr="00817F03">
        <w:rPr>
          <w:color w:val="1F3864" w:themeColor="accent1" w:themeShade="80"/>
        </w:rPr>
        <w:t>Ud</w:t>
      </w:r>
      <w:proofErr w:type="spellEnd"/>
      <w:r w:rsidR="003B394D" w:rsidRPr="00817F03">
        <w:rPr>
          <w:color w:val="1F3864" w:themeColor="accent1" w:themeShade="80"/>
        </w:rPr>
        <w:t xml:space="preserve"> 53). Entre </w:t>
      </w:r>
      <w:proofErr w:type="spellStart"/>
      <w:r w:rsidR="003B394D" w:rsidRPr="00817F03">
        <w:rPr>
          <w:i/>
          <w:iCs/>
          <w:color w:val="1F3864" w:themeColor="accent1" w:themeShade="80"/>
        </w:rPr>
        <w:t>Sineru</w:t>
      </w:r>
      <w:proofErr w:type="spellEnd"/>
      <w:r w:rsidR="003B394D" w:rsidRPr="00817F03">
        <w:rPr>
          <w:color w:val="1F3864" w:themeColor="accent1" w:themeShade="80"/>
        </w:rPr>
        <w:t xml:space="preserve"> y </w:t>
      </w:r>
      <w:proofErr w:type="spellStart"/>
      <w:r w:rsidR="003B394D" w:rsidRPr="00817F03">
        <w:rPr>
          <w:i/>
          <w:iCs/>
          <w:color w:val="1F3864" w:themeColor="accent1" w:themeShade="80"/>
        </w:rPr>
        <w:t>Yugandhara</w:t>
      </w:r>
      <w:proofErr w:type="spellEnd"/>
      <w:r w:rsidR="003B394D" w:rsidRPr="00817F03">
        <w:rPr>
          <w:color w:val="1F3864" w:themeColor="accent1" w:themeShade="80"/>
        </w:rPr>
        <w:t xml:space="preserve"> y así sucesivamente, </w:t>
      </w:r>
      <w:r w:rsidR="00FC22EE">
        <w:rPr>
          <w:color w:val="1F3864" w:themeColor="accent1" w:themeShade="80"/>
        </w:rPr>
        <w:t xml:space="preserve">a </w:t>
      </w:r>
      <w:r w:rsidR="003B394D" w:rsidRPr="00817F03">
        <w:rPr>
          <w:color w:val="1F3864" w:themeColor="accent1" w:themeShade="80"/>
        </w:rPr>
        <w:t xml:space="preserve">los océanos se </w:t>
      </w:r>
      <w:r w:rsidR="00FC22EE">
        <w:rPr>
          <w:color w:val="1F3864" w:themeColor="accent1" w:themeShade="80"/>
        </w:rPr>
        <w:t xml:space="preserve">les </w:t>
      </w:r>
      <w:r w:rsidR="003B394D" w:rsidRPr="00817F03">
        <w:rPr>
          <w:color w:val="1F3864" w:themeColor="accent1" w:themeShade="80"/>
        </w:rPr>
        <w:t>llaman "sin fondo" (</w:t>
      </w:r>
      <w:proofErr w:type="spellStart"/>
      <w:r w:rsidR="003B394D" w:rsidRPr="00817F03">
        <w:rPr>
          <w:i/>
          <w:iCs/>
          <w:color w:val="1F3864" w:themeColor="accent1" w:themeShade="80"/>
        </w:rPr>
        <w:t>sīdanta</w:t>
      </w:r>
      <w:proofErr w:type="spellEnd"/>
      <w:r w:rsidR="003B394D" w:rsidRPr="00817F03">
        <w:rPr>
          <w:color w:val="1F3864" w:themeColor="accent1" w:themeShade="80"/>
        </w:rPr>
        <w:t xml:space="preserve">). Sus anchos corresponden respectivamente a las alturas de </w:t>
      </w:r>
      <w:proofErr w:type="spellStart"/>
      <w:r w:rsidR="003B394D" w:rsidRPr="00817F03">
        <w:rPr>
          <w:i/>
          <w:iCs/>
          <w:color w:val="1F3864" w:themeColor="accent1" w:themeShade="80"/>
        </w:rPr>
        <w:t>Sineru</w:t>
      </w:r>
      <w:proofErr w:type="spellEnd"/>
      <w:r w:rsidR="003B394D" w:rsidRPr="00817F03">
        <w:rPr>
          <w:color w:val="1F3864" w:themeColor="accent1" w:themeShade="80"/>
        </w:rPr>
        <w:t xml:space="preserve"> y el resto. Las montañas se alzan alrededor de </w:t>
      </w:r>
      <w:proofErr w:type="spellStart"/>
      <w:r w:rsidR="003B394D" w:rsidRPr="00817F03">
        <w:rPr>
          <w:color w:val="1F3864" w:themeColor="accent1" w:themeShade="80"/>
        </w:rPr>
        <w:t>Sineru</w:t>
      </w:r>
      <w:proofErr w:type="spellEnd"/>
      <w:r w:rsidR="003B394D" w:rsidRPr="00817F03">
        <w:rPr>
          <w:color w:val="1F3864" w:themeColor="accent1" w:themeShade="80"/>
        </w:rPr>
        <w:t xml:space="preserve">, cercándolo, por así decirlo. </w:t>
      </w:r>
      <w:proofErr w:type="spellStart"/>
      <w:r w:rsidR="003B394D" w:rsidRPr="00817F03">
        <w:rPr>
          <w:i/>
          <w:iCs/>
          <w:color w:val="1F3864" w:themeColor="accent1" w:themeShade="80"/>
        </w:rPr>
        <w:t>Yugandhara</w:t>
      </w:r>
      <w:proofErr w:type="spellEnd"/>
      <w:r w:rsidR="003B394D" w:rsidRPr="00817F03">
        <w:rPr>
          <w:color w:val="1F3864" w:themeColor="accent1" w:themeShade="80"/>
        </w:rPr>
        <w:t xml:space="preserve"> rodea a </w:t>
      </w:r>
      <w:proofErr w:type="spellStart"/>
      <w:r w:rsidR="003B394D" w:rsidRPr="00817F03">
        <w:rPr>
          <w:i/>
          <w:iCs/>
          <w:color w:val="1F3864" w:themeColor="accent1" w:themeShade="80"/>
        </w:rPr>
        <w:t>Sineru</w:t>
      </w:r>
      <w:proofErr w:type="spellEnd"/>
      <w:r w:rsidR="003B394D" w:rsidRPr="00817F03">
        <w:rPr>
          <w:color w:val="1F3864" w:themeColor="accent1" w:themeShade="80"/>
        </w:rPr>
        <w:t xml:space="preserve">, luego </w:t>
      </w:r>
      <w:proofErr w:type="spellStart"/>
      <w:r w:rsidR="003B394D" w:rsidRPr="00817F03">
        <w:rPr>
          <w:i/>
          <w:iCs/>
          <w:color w:val="1F3864" w:themeColor="accent1" w:themeShade="80"/>
        </w:rPr>
        <w:t>Īsadhara</w:t>
      </w:r>
      <w:proofErr w:type="spellEnd"/>
      <w:r w:rsidR="003B394D" w:rsidRPr="00817F03">
        <w:rPr>
          <w:color w:val="1F3864" w:themeColor="accent1" w:themeShade="80"/>
        </w:rPr>
        <w:t xml:space="preserve"> rodea a </w:t>
      </w:r>
      <w:proofErr w:type="spellStart"/>
      <w:r w:rsidR="003B394D" w:rsidRPr="00817F03">
        <w:rPr>
          <w:i/>
          <w:iCs/>
          <w:color w:val="1F3864" w:themeColor="accent1" w:themeShade="80"/>
        </w:rPr>
        <w:t>Yugandhara</w:t>
      </w:r>
      <w:proofErr w:type="spellEnd"/>
      <w:r w:rsidR="003B394D" w:rsidRPr="00817F03">
        <w:rPr>
          <w:color w:val="1F3864" w:themeColor="accent1" w:themeShade="80"/>
        </w:rPr>
        <w:t>, y lo mismo ocurre con los demás” (</w:t>
      </w:r>
      <w:proofErr w:type="spellStart"/>
      <w:r w:rsidR="003B394D" w:rsidRPr="00817F03">
        <w:rPr>
          <w:color w:val="1F3864" w:themeColor="accent1" w:themeShade="80"/>
        </w:rPr>
        <w:t>Vism-mhṭ</w:t>
      </w:r>
      <w:proofErr w:type="spellEnd"/>
      <w:r w:rsidR="003B394D" w:rsidRPr="00817F03">
        <w:rPr>
          <w:color w:val="1F3864" w:themeColor="accent1" w:themeShade="80"/>
        </w:rPr>
        <w:t xml:space="preserve"> </w:t>
      </w:r>
      <w:r w:rsidR="003B394D" w:rsidRPr="002B7429">
        <w:rPr>
          <w:color w:val="1F3864" w:themeColor="accent1" w:themeShade="80"/>
        </w:rPr>
        <w:t>19</w:t>
      </w:r>
      <w:r w:rsidR="003B394D" w:rsidRPr="00817F03">
        <w:rPr>
          <w:color w:val="1F3864" w:themeColor="accent1" w:themeShade="80"/>
        </w:rPr>
        <w:t>9).</w:t>
      </w:r>
    </w:p>
    <w:p w14:paraId="7F6DD5EF" w14:textId="4F4AA4E6" w:rsidR="003B394D" w:rsidRDefault="003B394D" w:rsidP="00695AC4">
      <w:pPr>
        <w:pStyle w:val="PiedepginaLegal"/>
      </w:pPr>
      <w:r>
        <w:t xml:space="preserve">16. </w:t>
      </w:r>
      <w:r w:rsidR="00695AC4">
        <w:tab/>
      </w:r>
      <w:r>
        <w:t xml:space="preserve">Para las descripciones comentadas </w:t>
      </w:r>
      <w:r w:rsidR="008029EA">
        <w:t xml:space="preserve">sobre </w:t>
      </w:r>
      <w:r>
        <w:t>e</w:t>
      </w:r>
      <w:r w:rsidR="00AB27DB">
        <w:t>l</w:t>
      </w:r>
      <w:r>
        <w:t xml:space="preserve"> </w:t>
      </w:r>
      <w:proofErr w:type="spellStart"/>
      <w:r w:rsidRPr="008D6A2C">
        <w:rPr>
          <w:i/>
          <w:iCs/>
        </w:rPr>
        <w:t>Himavant</w:t>
      </w:r>
      <w:proofErr w:type="spellEnd"/>
      <w:r>
        <w:t xml:space="preserve"> (Himalaya</w:t>
      </w:r>
      <w:r w:rsidR="00AB27DB">
        <w:t>s</w:t>
      </w:r>
      <w:r>
        <w:t>) con sus cinco picos y siete grandes lagos, véase M-a III 54</w:t>
      </w:r>
    </w:p>
    <w:p w14:paraId="33B5278A" w14:textId="557CE8E5" w:rsidR="003B394D" w:rsidRDefault="003B394D" w:rsidP="00695AC4">
      <w:pPr>
        <w:pStyle w:val="PiedepginaLegal"/>
      </w:pPr>
      <w:r>
        <w:t xml:space="preserve">17. </w:t>
      </w:r>
      <w:r w:rsidR="00695AC4">
        <w:tab/>
      </w:r>
      <w:r>
        <w:t xml:space="preserve">A-a comentando A I 35 atribuye el Árbol </w:t>
      </w:r>
      <w:proofErr w:type="spellStart"/>
      <w:r w:rsidRPr="008D6A2C">
        <w:rPr>
          <w:i/>
          <w:iCs/>
        </w:rPr>
        <w:t>Simbali</w:t>
      </w:r>
      <w:proofErr w:type="spellEnd"/>
      <w:r>
        <w:t xml:space="preserve"> a los </w:t>
      </w:r>
      <w:proofErr w:type="spellStart"/>
      <w:r w:rsidRPr="008D6A2C">
        <w:rPr>
          <w:i/>
          <w:iCs/>
        </w:rPr>
        <w:t>Supaṇṇas</w:t>
      </w:r>
      <w:proofErr w:type="spellEnd"/>
      <w:r>
        <w:t xml:space="preserve"> o demonios alados. El comentario a </w:t>
      </w:r>
      <w:proofErr w:type="spellStart"/>
      <w:r>
        <w:t>Ud</w:t>
      </w:r>
      <w:proofErr w:type="spellEnd"/>
      <w:r>
        <w:t xml:space="preserve"> 5.5, dicho sea de paso, </w:t>
      </w:r>
      <w:r w:rsidR="00FC22EE">
        <w:t>ofrece</w:t>
      </w:r>
      <w:r>
        <w:t xml:space="preserve"> más información sobre todas estas cosas, de las cuales sólo una pequeña parte se encuentra en los </w:t>
      </w:r>
      <w:r w:rsidRPr="00AB27DB">
        <w:rPr>
          <w:i/>
          <w:iCs/>
        </w:rPr>
        <w:t>Suttas</w:t>
      </w:r>
      <w:r>
        <w:t>.</w:t>
      </w:r>
    </w:p>
    <w:p w14:paraId="593EC38D" w14:textId="61BFF37F" w:rsidR="00E57D46" w:rsidRDefault="003B394D" w:rsidP="00695AC4">
      <w:pPr>
        <w:pStyle w:val="PiedepginaLegal"/>
      </w:pPr>
      <w:r>
        <w:t xml:space="preserve">18. </w:t>
      </w:r>
      <w:r w:rsidR="00695AC4">
        <w:tab/>
      </w:r>
      <w:r>
        <w:t>Ver nota 14.</w:t>
      </w:r>
      <w:r w:rsidR="00E57D46">
        <w:br w:type="page"/>
      </w:r>
    </w:p>
    <w:p w14:paraId="099D9504" w14:textId="77777777" w:rsidR="0016605C" w:rsidRDefault="0016605C" w:rsidP="00E57D46"/>
    <w:p w14:paraId="10932E5B" w14:textId="1A22E0B8" w:rsidR="0016605C" w:rsidRDefault="0016605C" w:rsidP="006B7078">
      <w:pPr>
        <w:pStyle w:val="Ttulo4"/>
        <w:ind w:left="708"/>
      </w:pPr>
      <w:r>
        <w:t xml:space="preserve">[Líder Incomparable De Hombres A </w:t>
      </w:r>
      <w:r w:rsidR="003333BC">
        <w:t>Ser Adiestrados</w:t>
      </w:r>
      <w:r>
        <w:t>]</w:t>
      </w:r>
    </w:p>
    <w:p w14:paraId="79661393" w14:textId="4F630A7D" w:rsidR="0016605C" w:rsidRDefault="0016605C" w:rsidP="0016605C">
      <w:r>
        <w:t>46. ​​</w:t>
      </w:r>
      <w:r>
        <w:tab/>
        <w:t xml:space="preserve">En ausencia de alguien más distinguido </w:t>
      </w:r>
      <w:r w:rsidR="003333BC">
        <w:t>en</w:t>
      </w:r>
      <w:r>
        <w:t xml:space="preserve"> cualidades especiales que él, no </w:t>
      </w:r>
      <w:r w:rsidR="00A70F69">
        <w:t xml:space="preserve">existe </w:t>
      </w:r>
      <w:r>
        <w:t xml:space="preserve">nadie que se compare </w:t>
      </w:r>
      <w:r w:rsidR="003D4542">
        <w:t>a</w:t>
      </w:r>
      <w:r>
        <w:t xml:space="preserve"> él, por lo que </w:t>
      </w:r>
      <w:r w:rsidR="00A70F69">
        <w:t xml:space="preserve">se le conoce como </w:t>
      </w:r>
      <w:r w:rsidRPr="001B373E">
        <w:rPr>
          <w:i/>
          <w:iCs/>
        </w:rPr>
        <w:t>incomparable</w:t>
      </w:r>
      <w:r>
        <w:t xml:space="preserve">. </w:t>
      </w:r>
      <w:r w:rsidR="00A70F69">
        <w:t xml:space="preserve">Ya </w:t>
      </w:r>
      <w:r>
        <w:t xml:space="preserve">que de esta manera supera al mundo entero en la cualidad especial de la virtud, y también en las cualidades especiales de </w:t>
      </w:r>
      <w:r w:rsidR="000B3E38">
        <w:t xml:space="preserve">la </w:t>
      </w:r>
      <w:r>
        <w:t xml:space="preserve">concentración, </w:t>
      </w:r>
      <w:r w:rsidR="000B3E38">
        <w:t>el entendimiento</w:t>
      </w:r>
      <w:r>
        <w:t xml:space="preserve">, </w:t>
      </w:r>
      <w:r w:rsidR="000B3E38">
        <w:t xml:space="preserve">la </w:t>
      </w:r>
      <w:r>
        <w:t xml:space="preserve">liberación, y </w:t>
      </w:r>
      <w:r w:rsidR="000B3E38">
        <w:t xml:space="preserve">el </w:t>
      </w:r>
      <w:r>
        <w:t xml:space="preserve">conocimiento y </w:t>
      </w:r>
      <w:r w:rsidR="000B3E38">
        <w:t xml:space="preserve">la </w:t>
      </w:r>
      <w:r>
        <w:t xml:space="preserve">visión de liberación. En la cualidad especial de la virtud es sin igual, </w:t>
      </w:r>
      <w:r w:rsidR="009A4F92">
        <w:t xml:space="preserve">él </w:t>
      </w:r>
      <w:r>
        <w:t xml:space="preserve">es sólo </w:t>
      </w:r>
      <w:r w:rsidR="009A4F92">
        <w:t xml:space="preserve">igual </w:t>
      </w:r>
      <w:r>
        <w:t xml:space="preserve">a aquellos [otros Iluminados] sin igual, </w:t>
      </w:r>
      <w:r w:rsidR="001B5AE8">
        <w:t>de manera</w:t>
      </w:r>
      <w:r>
        <w:t xml:space="preserve"> sin igual, sin doble, sin contraparte; … en la cualidad especial de conocimiento y visión de </w:t>
      </w:r>
      <w:r w:rsidR="007A2E4C">
        <w:t xml:space="preserve">la </w:t>
      </w:r>
      <w:r>
        <w:t xml:space="preserve">liberación él es … </w:t>
      </w:r>
      <w:r w:rsidR="00C0414F">
        <w:t>no posee</w:t>
      </w:r>
      <w:r>
        <w:t xml:space="preserve"> contraparte, según se dice: “No veo en el mundo con sus deidades, sus </w:t>
      </w:r>
      <w:proofErr w:type="spellStart"/>
      <w:r w:rsidR="00057BF4" w:rsidRPr="00057BF4">
        <w:rPr>
          <w:i/>
          <w:iCs/>
        </w:rPr>
        <w:t>Māra</w:t>
      </w:r>
      <w:r w:rsidRPr="008D6A2C">
        <w:rPr>
          <w:i/>
          <w:iCs/>
        </w:rPr>
        <w:t>s</w:t>
      </w:r>
      <w:proofErr w:type="spellEnd"/>
      <w:r>
        <w:t xml:space="preserve"> y sus </w:t>
      </w:r>
      <w:r w:rsidR="00057BF4" w:rsidRPr="00057BF4">
        <w:rPr>
          <w:i/>
          <w:iCs/>
        </w:rPr>
        <w:t>Brahmā</w:t>
      </w:r>
      <w:r w:rsidRPr="001B373E">
        <w:rPr>
          <w:i/>
          <w:iCs/>
        </w:rPr>
        <w:t>s</w:t>
      </w:r>
      <w:r>
        <w:t xml:space="preserve">, en esta generación con sus ascetas y </w:t>
      </w:r>
      <w:r w:rsidRPr="007A2E4C">
        <w:rPr>
          <w:i/>
          <w:iCs/>
        </w:rPr>
        <w:t>brahmanes</w:t>
      </w:r>
      <w:r>
        <w:t>, con sus pr</w:t>
      </w:r>
      <w:r w:rsidR="007A2E4C">
        <w:t>i</w:t>
      </w:r>
      <w:r>
        <w:t>nces</w:t>
      </w:r>
      <w:r w:rsidR="007A2E4C">
        <w:t>as</w:t>
      </w:r>
      <w:r>
        <w:t xml:space="preserve"> y hombres,</w:t>
      </w:r>
      <w:r w:rsidRPr="002272D9">
        <w:rPr>
          <w:vertAlign w:val="superscript"/>
        </w:rPr>
        <w:t>19</w:t>
      </w:r>
      <w:r>
        <w:t xml:space="preserve"> </w:t>
      </w:r>
      <w:r w:rsidR="007A2E4C">
        <w:t>a nadie</w:t>
      </w:r>
      <w:r>
        <w:t xml:space="preserve"> más perfecto en virtud que </w:t>
      </w:r>
      <w:r w:rsidR="00173670">
        <w:t>a mí</w:t>
      </w:r>
      <w:r>
        <w:t xml:space="preserve">” (S I 139), </w:t>
      </w:r>
      <w:r w:rsidR="007D4E13">
        <w:t xml:space="preserve">y así </w:t>
      </w:r>
      <w:r>
        <w:t>con el resto en detalle</w:t>
      </w:r>
      <w:r w:rsidR="007D4E13">
        <w:t>;</w:t>
      </w:r>
      <w:r>
        <w:t xml:space="preserve"> </w:t>
      </w:r>
      <w:r w:rsidR="007D4E13">
        <w:t xml:space="preserve">de igual manera </w:t>
      </w:r>
      <w:r>
        <w:t xml:space="preserve">en el </w:t>
      </w:r>
      <w:proofErr w:type="spellStart"/>
      <w:r w:rsidRPr="008D6A2C">
        <w:rPr>
          <w:i/>
          <w:iCs/>
        </w:rPr>
        <w:t>Aggappasāda</w:t>
      </w:r>
      <w:proofErr w:type="spellEnd"/>
      <w:r w:rsidRPr="008D6A2C">
        <w:rPr>
          <w:i/>
          <w:iCs/>
        </w:rPr>
        <w:t xml:space="preserve"> Sutta</w:t>
      </w:r>
      <w:r>
        <w:t xml:space="preserve"> (A II 34; It 87), y así sucesivamente, y en las estrofas que comienzan , “No tengo maestro y no existe </w:t>
      </w:r>
      <w:r w:rsidR="004042F8">
        <w:t xml:space="preserve">nadie similar a mí </w:t>
      </w:r>
      <w:r>
        <w:t xml:space="preserve">en todo el mundo” (M I 171), todo lo cual debe ser </w:t>
      </w:r>
      <w:r w:rsidR="004042F8">
        <w:t>leído</w:t>
      </w:r>
      <w:r>
        <w:t xml:space="preserve"> en detalle.</w:t>
      </w:r>
    </w:p>
    <w:p w14:paraId="5C09E949" w14:textId="114F33DB" w:rsidR="0016605C" w:rsidRDefault="0016605C" w:rsidP="0016605C">
      <w:r>
        <w:t xml:space="preserve">47. </w:t>
      </w:r>
      <w:r>
        <w:tab/>
        <w:t>Él guía (</w:t>
      </w:r>
      <w:proofErr w:type="spellStart"/>
      <w:r w:rsidRPr="008D6A2C">
        <w:rPr>
          <w:i/>
          <w:iCs/>
        </w:rPr>
        <w:t>sāreti</w:t>
      </w:r>
      <w:proofErr w:type="spellEnd"/>
      <w:r>
        <w:t xml:space="preserve">) a los hombres a </w:t>
      </w:r>
      <w:r w:rsidR="004042F8">
        <w:t>ser adiestrados</w:t>
      </w:r>
      <w:r>
        <w:t xml:space="preserve"> (</w:t>
      </w:r>
      <w:proofErr w:type="spellStart"/>
      <w:r w:rsidRPr="008D6A2C">
        <w:rPr>
          <w:i/>
          <w:iCs/>
        </w:rPr>
        <w:t>purisa-damme</w:t>
      </w:r>
      <w:proofErr w:type="spellEnd"/>
      <w:r>
        <w:t xml:space="preserve">), por lo que es </w:t>
      </w:r>
      <w:r w:rsidRPr="001B373E">
        <w:rPr>
          <w:i/>
          <w:iCs/>
        </w:rPr>
        <w:t xml:space="preserve">líder de hombres a </w:t>
      </w:r>
      <w:r w:rsidR="001B373E">
        <w:rPr>
          <w:i/>
          <w:iCs/>
        </w:rPr>
        <w:t xml:space="preserve">ser adiestrados </w:t>
      </w:r>
      <w:r>
        <w:t>(</w:t>
      </w:r>
      <w:proofErr w:type="spellStart"/>
      <w:r w:rsidRPr="008D6A2C">
        <w:rPr>
          <w:i/>
          <w:iCs/>
        </w:rPr>
        <w:t>purisadammasārathī</w:t>
      </w:r>
      <w:proofErr w:type="spellEnd"/>
      <w:r>
        <w:t xml:space="preserve">); él </w:t>
      </w:r>
      <w:r w:rsidR="004042F8">
        <w:t>adiestra</w:t>
      </w:r>
      <w:r>
        <w:t xml:space="preserve">, él disciplina, es lo que se quiere decir. Aquí, los animales </w:t>
      </w:r>
      <w:r w:rsidR="00724882">
        <w:t>masculinos</w:t>
      </w:r>
      <w:r w:rsidR="004042F8">
        <w:t xml:space="preserve"> </w:t>
      </w:r>
      <w:r>
        <w:t>(</w:t>
      </w:r>
      <w:proofErr w:type="spellStart"/>
      <w:r w:rsidRPr="008D6A2C">
        <w:rPr>
          <w:i/>
          <w:iCs/>
        </w:rPr>
        <w:t>purisā</w:t>
      </w:r>
      <w:proofErr w:type="spellEnd"/>
      <w:r>
        <w:t>) y los humanos</w:t>
      </w:r>
      <w:r w:rsidR="004042F8" w:rsidRPr="004042F8">
        <w:t xml:space="preserve"> </w:t>
      </w:r>
      <w:r w:rsidR="00724882">
        <w:t>masculinos</w:t>
      </w:r>
      <w:r>
        <w:t xml:space="preserve">, y los no humanos </w:t>
      </w:r>
      <w:r w:rsidR="00724882">
        <w:t xml:space="preserve">masculinos </w:t>
      </w:r>
      <w:r>
        <w:t>que no est</w:t>
      </w:r>
      <w:r w:rsidR="00CC3894">
        <w:t>é</w:t>
      </w:r>
      <w:r>
        <w:t xml:space="preserve">n </w:t>
      </w:r>
      <w:r w:rsidR="00CC3894">
        <w:t xml:space="preserve">adiestrados </w:t>
      </w:r>
      <w:r>
        <w:t xml:space="preserve">pero que </w:t>
      </w:r>
      <w:r w:rsidR="00CC3894">
        <w:t>se encuentr</w:t>
      </w:r>
      <w:r w:rsidR="00724882">
        <w:t>e</w:t>
      </w:r>
      <w:r w:rsidR="00CC3894">
        <w:t xml:space="preserve">n </w:t>
      </w:r>
      <w:r>
        <w:t>aptos para serlo (</w:t>
      </w:r>
      <w:proofErr w:type="spellStart"/>
      <w:r w:rsidRPr="008D6A2C">
        <w:rPr>
          <w:i/>
          <w:iCs/>
        </w:rPr>
        <w:t>dametuṃ</w:t>
      </w:r>
      <w:proofErr w:type="spellEnd"/>
      <w:r>
        <w:t xml:space="preserve"> </w:t>
      </w:r>
      <w:proofErr w:type="spellStart"/>
      <w:r w:rsidRPr="008D6A2C">
        <w:rPr>
          <w:i/>
          <w:iCs/>
        </w:rPr>
        <w:t>yuttā</w:t>
      </w:r>
      <w:proofErr w:type="spellEnd"/>
      <w:r>
        <w:t>) s</w:t>
      </w:r>
      <w:r w:rsidR="000075F0">
        <w:t>erán</w:t>
      </w:r>
      <w:r>
        <w:t xml:space="preserve"> “</w:t>
      </w:r>
      <w:r w:rsidR="000075F0">
        <w:t xml:space="preserve">los </w:t>
      </w:r>
      <w:r>
        <w:t xml:space="preserve">hombres que deben ser </w:t>
      </w:r>
      <w:r w:rsidR="000075F0">
        <w:t>adiestrados</w:t>
      </w:r>
      <w:r>
        <w:t>” (</w:t>
      </w:r>
      <w:proofErr w:type="spellStart"/>
      <w:r w:rsidRPr="008D6A2C">
        <w:rPr>
          <w:i/>
          <w:iCs/>
        </w:rPr>
        <w:t>purisadammā</w:t>
      </w:r>
      <w:proofErr w:type="spellEnd"/>
      <w:r>
        <w:t>). Porque los animales</w:t>
      </w:r>
      <w:r w:rsidR="00CC3894" w:rsidRPr="00CC3894">
        <w:t xml:space="preserve"> </w:t>
      </w:r>
      <w:r w:rsidR="00724882">
        <w:t>masculinos</w:t>
      </w:r>
      <w:r>
        <w:t xml:space="preserve">, </w:t>
      </w:r>
      <w:r w:rsidR="00CC3894">
        <w:t>es decir</w:t>
      </w:r>
      <w:r>
        <w:t xml:space="preserve">, el </w:t>
      </w:r>
      <w:proofErr w:type="spellStart"/>
      <w:r w:rsidR="008D6A2C" w:rsidRPr="008D6A2C">
        <w:rPr>
          <w:i/>
          <w:iCs/>
        </w:rPr>
        <w:t>Nāga</w:t>
      </w:r>
      <w:proofErr w:type="spellEnd"/>
      <w:r w:rsidR="008D6A2C">
        <w:t xml:space="preserve"> </w:t>
      </w:r>
      <w:r>
        <w:t xml:space="preserve">real (serpiente) </w:t>
      </w:r>
      <w:proofErr w:type="spellStart"/>
      <w:r w:rsidRPr="008D6A2C">
        <w:rPr>
          <w:i/>
          <w:iCs/>
        </w:rPr>
        <w:t>Apalāla</w:t>
      </w:r>
      <w:proofErr w:type="spellEnd"/>
      <w:r w:rsidRPr="008D6A2C">
        <w:rPr>
          <w:i/>
          <w:iCs/>
        </w:rPr>
        <w:t xml:space="preserve">, </w:t>
      </w:r>
      <w:proofErr w:type="spellStart"/>
      <w:r w:rsidRPr="008D6A2C">
        <w:rPr>
          <w:i/>
          <w:iCs/>
        </w:rPr>
        <w:t>Cūḷodara</w:t>
      </w:r>
      <w:proofErr w:type="spellEnd"/>
      <w:r w:rsidRPr="008D6A2C">
        <w:rPr>
          <w:i/>
          <w:iCs/>
        </w:rPr>
        <w:t xml:space="preserve">, </w:t>
      </w:r>
      <w:proofErr w:type="spellStart"/>
      <w:r w:rsidRPr="008D6A2C">
        <w:rPr>
          <w:i/>
          <w:iCs/>
        </w:rPr>
        <w:t>Mahodara</w:t>
      </w:r>
      <w:proofErr w:type="spellEnd"/>
      <w:r w:rsidRPr="008D6A2C">
        <w:rPr>
          <w:i/>
          <w:iCs/>
        </w:rPr>
        <w:t xml:space="preserve">, </w:t>
      </w:r>
      <w:proofErr w:type="spellStart"/>
      <w:r w:rsidRPr="008D6A2C">
        <w:rPr>
          <w:i/>
          <w:iCs/>
        </w:rPr>
        <w:t>Aggisikha</w:t>
      </w:r>
      <w:proofErr w:type="spellEnd"/>
      <w:r w:rsidRPr="008D6A2C">
        <w:rPr>
          <w:i/>
          <w:iCs/>
        </w:rPr>
        <w:t xml:space="preserve">, </w:t>
      </w:r>
      <w:proofErr w:type="spellStart"/>
      <w:r w:rsidRPr="008D6A2C">
        <w:rPr>
          <w:i/>
          <w:iCs/>
        </w:rPr>
        <w:t>Dhūmasikha</w:t>
      </w:r>
      <w:proofErr w:type="spellEnd"/>
      <w:r>
        <w:t xml:space="preserve">, el </w:t>
      </w:r>
      <w:proofErr w:type="spellStart"/>
      <w:r>
        <w:t>Nāga</w:t>
      </w:r>
      <w:proofErr w:type="spellEnd"/>
      <w:r>
        <w:t xml:space="preserve"> real </w:t>
      </w:r>
      <w:proofErr w:type="spellStart"/>
      <w:r w:rsidRPr="008D6A2C">
        <w:rPr>
          <w:i/>
          <w:iCs/>
        </w:rPr>
        <w:t>Āravāḷa</w:t>
      </w:r>
      <w:proofErr w:type="spellEnd"/>
      <w:r>
        <w:t xml:space="preserve">, el elefante </w:t>
      </w:r>
      <w:proofErr w:type="spellStart"/>
      <w:r w:rsidRPr="008D6A2C">
        <w:rPr>
          <w:i/>
          <w:iCs/>
        </w:rPr>
        <w:t>Dhanapālaka</w:t>
      </w:r>
      <w:proofErr w:type="spellEnd"/>
      <w:r>
        <w:t xml:space="preserve">, etc., fueron </w:t>
      </w:r>
      <w:r w:rsidR="00CC3894">
        <w:t xml:space="preserve">adiestrados </w:t>
      </w:r>
      <w:r>
        <w:t xml:space="preserve">por el </w:t>
      </w:r>
      <w:r w:rsidR="00CC3894" w:rsidRPr="00CC3894">
        <w:rPr>
          <w:i/>
          <w:iCs/>
        </w:rPr>
        <w:t>Bhagavā</w:t>
      </w:r>
      <w:r>
        <w:t>, libres del veneno [de la corrupción] y establecido</w:t>
      </w:r>
      <w:r w:rsidR="00DA5616">
        <w:t>s</w:t>
      </w:r>
      <w:r>
        <w:t xml:space="preserve"> en los refugios y los preceptos de la virtud; y también los humanos</w:t>
      </w:r>
      <w:r w:rsidR="00CC3894" w:rsidRPr="00CC3894">
        <w:t xml:space="preserve"> </w:t>
      </w:r>
      <w:r w:rsidR="00724882">
        <w:t>masculinos</w:t>
      </w:r>
      <w:r>
        <w:t xml:space="preserve">, </w:t>
      </w:r>
      <w:r w:rsidR="00CC3894">
        <w:t>es decir</w:t>
      </w:r>
      <w:r>
        <w:t xml:space="preserve">, </w:t>
      </w:r>
      <w:proofErr w:type="spellStart"/>
      <w:r w:rsidRPr="008D6A2C">
        <w:rPr>
          <w:i/>
          <w:iCs/>
        </w:rPr>
        <w:t>Saccaka</w:t>
      </w:r>
      <w:proofErr w:type="spellEnd"/>
      <w:r>
        <w:t xml:space="preserve"> el hijo de </w:t>
      </w:r>
      <w:r w:rsidR="00313B8D">
        <w:t xml:space="preserve">los </w:t>
      </w:r>
      <w:proofErr w:type="spellStart"/>
      <w:r w:rsidRPr="008D6A2C">
        <w:rPr>
          <w:i/>
          <w:iCs/>
        </w:rPr>
        <w:t>Nigaṇṭhas</w:t>
      </w:r>
      <w:proofErr w:type="spellEnd"/>
      <w:r>
        <w:t xml:space="preserve"> (jainistas), el estudiante </w:t>
      </w:r>
      <w:r w:rsidRPr="008D6A2C">
        <w:rPr>
          <w:i/>
          <w:iCs/>
        </w:rPr>
        <w:t>brahmán</w:t>
      </w:r>
      <w:r>
        <w:t xml:space="preserve"> </w:t>
      </w:r>
      <w:proofErr w:type="spellStart"/>
      <w:r w:rsidRPr="008D6A2C">
        <w:rPr>
          <w:i/>
          <w:iCs/>
        </w:rPr>
        <w:t>Ambaṭṭha</w:t>
      </w:r>
      <w:proofErr w:type="spellEnd"/>
      <w:r>
        <w:t xml:space="preserve">, [208] </w:t>
      </w:r>
      <w:proofErr w:type="spellStart"/>
      <w:r w:rsidRPr="008D6A2C">
        <w:rPr>
          <w:i/>
          <w:iCs/>
        </w:rPr>
        <w:t>Pokkharasāti</w:t>
      </w:r>
      <w:proofErr w:type="spellEnd"/>
      <w:r>
        <w:t xml:space="preserve">, </w:t>
      </w:r>
      <w:proofErr w:type="spellStart"/>
      <w:r w:rsidRPr="008D6A2C">
        <w:rPr>
          <w:i/>
          <w:iCs/>
        </w:rPr>
        <w:t>Soṇadaṇḍa</w:t>
      </w:r>
      <w:proofErr w:type="spellEnd"/>
      <w:r w:rsidRPr="008D6A2C">
        <w:rPr>
          <w:i/>
          <w:iCs/>
        </w:rPr>
        <w:t xml:space="preserve">, </w:t>
      </w:r>
      <w:proofErr w:type="spellStart"/>
      <w:r w:rsidRPr="008D6A2C">
        <w:rPr>
          <w:i/>
          <w:iCs/>
        </w:rPr>
        <w:t>Kūþadanta</w:t>
      </w:r>
      <w:proofErr w:type="spellEnd"/>
      <w:r>
        <w:t>, y así sucesivamente; y también los no humanos</w:t>
      </w:r>
      <w:r w:rsidR="00724882" w:rsidRPr="00724882">
        <w:t xml:space="preserve"> </w:t>
      </w:r>
      <w:r w:rsidR="00724882">
        <w:t>masculinos</w:t>
      </w:r>
      <w:r>
        <w:t xml:space="preserve">, </w:t>
      </w:r>
      <w:r w:rsidR="00724882">
        <w:t>es decir</w:t>
      </w:r>
      <w:r>
        <w:t xml:space="preserve">, los espíritus </w:t>
      </w:r>
      <w:proofErr w:type="spellStart"/>
      <w:r w:rsidRPr="008D6A2C">
        <w:rPr>
          <w:i/>
          <w:iCs/>
        </w:rPr>
        <w:t>Āḷavaka</w:t>
      </w:r>
      <w:proofErr w:type="spellEnd"/>
      <w:r w:rsidRPr="008D6A2C">
        <w:rPr>
          <w:i/>
          <w:iCs/>
        </w:rPr>
        <w:t xml:space="preserve">, </w:t>
      </w:r>
      <w:proofErr w:type="spellStart"/>
      <w:r w:rsidRPr="008D6A2C">
        <w:rPr>
          <w:i/>
          <w:iCs/>
        </w:rPr>
        <w:t>Sūciloma</w:t>
      </w:r>
      <w:proofErr w:type="spellEnd"/>
      <w:r w:rsidRPr="008D6A2C">
        <w:rPr>
          <w:i/>
          <w:iCs/>
        </w:rPr>
        <w:t xml:space="preserve"> y </w:t>
      </w:r>
      <w:proofErr w:type="spellStart"/>
      <w:r w:rsidRPr="008D6A2C">
        <w:rPr>
          <w:i/>
          <w:iCs/>
        </w:rPr>
        <w:t>Kharaloma</w:t>
      </w:r>
      <w:proofErr w:type="spellEnd"/>
      <w:r>
        <w:t xml:space="preserve">, </w:t>
      </w:r>
      <w:r w:rsidR="00724882">
        <w:t xml:space="preserve">el </w:t>
      </w:r>
      <w:r>
        <w:t>Gobernante de los Dioses</w:t>
      </w:r>
      <w:r w:rsidR="00724882" w:rsidRPr="00724882">
        <w:rPr>
          <w:i/>
          <w:iCs/>
        </w:rPr>
        <w:t xml:space="preserve"> Sakka</w:t>
      </w:r>
      <w:r>
        <w:t>, etc.,</w:t>
      </w:r>
      <w:r w:rsidRPr="002272D9">
        <w:rPr>
          <w:vertAlign w:val="superscript"/>
        </w:rPr>
        <w:t>20</w:t>
      </w:r>
      <w:r>
        <w:t xml:space="preserve"> </w:t>
      </w:r>
      <w:r w:rsidR="00B403F9">
        <w:t xml:space="preserve">todos </w:t>
      </w:r>
      <w:r>
        <w:t xml:space="preserve">fueron </w:t>
      </w:r>
      <w:r w:rsidR="00724882">
        <w:t>adiestrados</w:t>
      </w:r>
      <w:r>
        <w:t xml:space="preserve"> y disciplinados por varios medios disciplinarios. Y el siguiente </w:t>
      </w:r>
      <w:proofErr w:type="spellStart"/>
      <w:r w:rsidRPr="008D6A2C">
        <w:rPr>
          <w:i/>
          <w:iCs/>
        </w:rPr>
        <w:t>sutta</w:t>
      </w:r>
      <w:proofErr w:type="spellEnd"/>
      <w:r>
        <w:t xml:space="preserve"> debería darse aquí completo: “Disciplino a los hombres para que sean </w:t>
      </w:r>
      <w:r w:rsidR="000F3855">
        <w:t>adiestrados</w:t>
      </w:r>
      <w:r>
        <w:t xml:space="preserve">, a veces suavemente, </w:t>
      </w:r>
      <w:proofErr w:type="spellStart"/>
      <w:r w:rsidRPr="008D6A2C">
        <w:rPr>
          <w:i/>
          <w:iCs/>
        </w:rPr>
        <w:t>Kesi</w:t>
      </w:r>
      <w:proofErr w:type="spellEnd"/>
      <w:r>
        <w:t xml:space="preserve">, y los disciplino a veces </w:t>
      </w:r>
      <w:r w:rsidR="00A76870">
        <w:t>severa</w:t>
      </w:r>
      <w:r>
        <w:t xml:space="preserve">mente, y los disciplino a veces suave y </w:t>
      </w:r>
      <w:r w:rsidR="00A76870" w:rsidRPr="004A0803">
        <w:t>sever</w:t>
      </w:r>
      <w:r w:rsidRPr="004A0803">
        <w:t>amente</w:t>
      </w:r>
      <w:r>
        <w:t>” (A II 112).</w:t>
      </w:r>
    </w:p>
    <w:p w14:paraId="03476B2B" w14:textId="6124237D" w:rsidR="0016605C" w:rsidRDefault="0016605C" w:rsidP="0016605C">
      <w:r>
        <w:t xml:space="preserve">48. </w:t>
      </w:r>
      <w:r>
        <w:tab/>
        <w:t xml:space="preserve">Luego, el </w:t>
      </w:r>
      <w:r w:rsidR="000F3855">
        <w:rPr>
          <w:i/>
          <w:iCs/>
        </w:rPr>
        <w:t>Bhagavā</w:t>
      </w:r>
      <w:r w:rsidR="000F3855">
        <w:t xml:space="preserve"> </w:t>
      </w:r>
      <w:r w:rsidR="00A24C8A">
        <w:t>adiestra</w:t>
      </w:r>
      <w:r>
        <w:t xml:space="preserve"> aún más a los que ya </w:t>
      </w:r>
      <w:r w:rsidR="00A24C8A">
        <w:t>estén</w:t>
      </w:r>
      <w:r>
        <w:t xml:space="preserve"> </w:t>
      </w:r>
      <w:r w:rsidR="00A24C8A">
        <w:t>adiestrados</w:t>
      </w:r>
      <w:r>
        <w:t xml:space="preserve">, al </w:t>
      </w:r>
      <w:r w:rsidR="00A24C8A">
        <w:t>instruirlos en</w:t>
      </w:r>
      <w:r>
        <w:t xml:space="preserve"> el primer </w:t>
      </w:r>
      <w:proofErr w:type="spellStart"/>
      <w:r w:rsidR="00057BF4" w:rsidRPr="00057BF4">
        <w:rPr>
          <w:i/>
          <w:iCs/>
        </w:rPr>
        <w:t>jhāna</w:t>
      </w:r>
      <w:proofErr w:type="spellEnd"/>
      <w:r>
        <w:t>, etc., respectivamente a aquellos cuya virtud est</w:t>
      </w:r>
      <w:r w:rsidR="00A24C8A">
        <w:t>é</w:t>
      </w:r>
      <w:r>
        <w:t xml:space="preserve"> purificada, etc., y también el </w:t>
      </w:r>
      <w:r w:rsidR="00B1343F">
        <w:t>curso</w:t>
      </w:r>
      <w:r w:rsidR="00A24C8A">
        <w:t xml:space="preserve"> </w:t>
      </w:r>
      <w:r>
        <w:t xml:space="preserve">hacia el </w:t>
      </w:r>
      <w:r w:rsidR="00B1343F">
        <w:t xml:space="preserve">sendero </w:t>
      </w:r>
      <w:r>
        <w:t xml:space="preserve">superior a los que </w:t>
      </w:r>
      <w:r w:rsidR="00B1343F">
        <w:t xml:space="preserve">ya hayan </w:t>
      </w:r>
      <w:r>
        <w:t>entra</w:t>
      </w:r>
      <w:r w:rsidR="00B1343F">
        <w:t>do</w:t>
      </w:r>
      <w:r>
        <w:t xml:space="preserve"> </w:t>
      </w:r>
      <w:r w:rsidR="00B1343F">
        <w:t xml:space="preserve">a </w:t>
      </w:r>
      <w:r>
        <w:t>la corriente, y así sucesivamente.</w:t>
      </w:r>
    </w:p>
    <w:p w14:paraId="3B51B3FD" w14:textId="77777777" w:rsidR="0016605C" w:rsidRDefault="0016605C" w:rsidP="0016605C">
      <w:pPr>
        <w:pStyle w:val="Piedepgina"/>
        <w:rPr>
          <w:u w:val="single"/>
        </w:rPr>
      </w:pPr>
      <w:r>
        <w:rPr>
          <w:u w:val="single"/>
        </w:rPr>
        <w:t xml:space="preserve">                                                                                                                                                                          .</w:t>
      </w:r>
    </w:p>
    <w:p w14:paraId="685EBE3B" w14:textId="6B60CE17" w:rsidR="0016605C" w:rsidRDefault="0016605C" w:rsidP="0016605C">
      <w:pPr>
        <w:pStyle w:val="PiedepginaLegal"/>
      </w:pPr>
      <w:r>
        <w:t xml:space="preserve">19. </w:t>
      </w:r>
      <w:r>
        <w:tab/>
        <w:t xml:space="preserve">El comentario respalda la interpretación de </w:t>
      </w:r>
      <w:proofErr w:type="spellStart"/>
      <w:r w:rsidRPr="008D6A2C">
        <w:rPr>
          <w:i/>
          <w:iCs/>
        </w:rPr>
        <w:t>sa</w:t>
      </w:r>
      <w:r w:rsidR="00057BF4" w:rsidRPr="00057BF4">
        <w:rPr>
          <w:i/>
          <w:iCs/>
        </w:rPr>
        <w:t>deva</w:t>
      </w:r>
      <w:r w:rsidRPr="008D6A2C">
        <w:rPr>
          <w:i/>
          <w:iCs/>
        </w:rPr>
        <w:t>manussānaṃ</w:t>
      </w:r>
      <w:proofErr w:type="spellEnd"/>
      <w:r>
        <w:t xml:space="preserve"> por “con sus </w:t>
      </w:r>
      <w:r w:rsidR="007C25B9" w:rsidRPr="007C25B9">
        <w:t xml:space="preserve">príncipes </w:t>
      </w:r>
      <w:r>
        <w:t xml:space="preserve">y hombres”. Ver M-a II 20 y también M-a I 33 donde se explica el uso de </w:t>
      </w:r>
      <w:proofErr w:type="spellStart"/>
      <w:r w:rsidRPr="008D6A2C">
        <w:rPr>
          <w:i/>
          <w:iCs/>
        </w:rPr>
        <w:t>sammuti</w:t>
      </w:r>
      <w:proofErr w:type="spellEnd"/>
      <w:r w:rsidRPr="008D6A2C">
        <w:rPr>
          <w:i/>
          <w:iCs/>
        </w:rPr>
        <w:t>-</w:t>
      </w:r>
      <w:r w:rsidR="00057BF4" w:rsidRPr="00057BF4">
        <w:rPr>
          <w:i/>
          <w:iCs/>
        </w:rPr>
        <w:t>deva</w:t>
      </w:r>
      <w:r>
        <w:t xml:space="preserve"> para un personaje real, no un dios real. </w:t>
      </w:r>
      <w:r w:rsidR="00057BF4" w:rsidRPr="00057BF4">
        <w:rPr>
          <w:i/>
        </w:rPr>
        <w:t>Deva</w:t>
      </w:r>
      <w:r>
        <w:t xml:space="preserve"> es el modo normal de dirigirse a un </w:t>
      </w:r>
      <w:r w:rsidR="00B1343F">
        <w:t>rey</w:t>
      </w:r>
      <w:r>
        <w:t xml:space="preserve">. Además, la primera mitad de la oración trata </w:t>
      </w:r>
      <w:r w:rsidR="002B7429">
        <w:t>sobre las</w:t>
      </w:r>
      <w:r>
        <w:t xml:space="preserve"> deidades y estaría fuera de lugar volver a referirse a ellas en la cláusula relacionada con la humanidad.</w:t>
      </w:r>
    </w:p>
    <w:p w14:paraId="43A026AC" w14:textId="2CEEEF59" w:rsidR="0016605C" w:rsidRDefault="0016605C" w:rsidP="0016605C">
      <w:pPr>
        <w:pStyle w:val="PiedepginaLegal"/>
      </w:pPr>
      <w:r>
        <w:t xml:space="preserve">20. </w:t>
      </w:r>
      <w:r>
        <w:tab/>
        <w:t xml:space="preserve">Las referencias son </w:t>
      </w:r>
      <w:r w:rsidR="00EB59E2">
        <w:t>é</w:t>
      </w:r>
      <w:r>
        <w:t xml:space="preserve">stas: </w:t>
      </w:r>
      <w:proofErr w:type="spellStart"/>
      <w:r w:rsidRPr="002B7429">
        <w:t>Apalāla</w:t>
      </w:r>
      <w:proofErr w:type="spellEnd"/>
      <w:r>
        <w:t xml:space="preserve"> (</w:t>
      </w:r>
      <w:proofErr w:type="spellStart"/>
      <w:r w:rsidRPr="008D6A2C">
        <w:rPr>
          <w:i/>
          <w:iCs/>
        </w:rPr>
        <w:t>Mahāvaṃsa</w:t>
      </w:r>
      <w:proofErr w:type="spellEnd"/>
      <w:r>
        <w:t>, p. 242), “Morando en el Himalaya” (</w:t>
      </w:r>
      <w:proofErr w:type="spellStart"/>
      <w:r>
        <w:t>Vism-mhṭ</w:t>
      </w:r>
      <w:proofErr w:type="spellEnd"/>
      <w:r>
        <w:t xml:space="preserve"> 202), </w:t>
      </w:r>
      <w:proofErr w:type="spellStart"/>
      <w:r w:rsidRPr="002B7429">
        <w:t>Cūḷodara</w:t>
      </w:r>
      <w:proofErr w:type="spellEnd"/>
      <w:r w:rsidRPr="002B7429">
        <w:t xml:space="preserve"> y </w:t>
      </w:r>
      <w:proofErr w:type="spellStart"/>
      <w:r w:rsidRPr="002B7429">
        <w:t>Mahodara</w:t>
      </w:r>
      <w:proofErr w:type="spellEnd"/>
      <w:r>
        <w:t xml:space="preserve"> (</w:t>
      </w:r>
      <w:proofErr w:type="spellStart"/>
      <w:r>
        <w:t>Mhv</w:t>
      </w:r>
      <w:proofErr w:type="spellEnd"/>
      <w:r>
        <w:t xml:space="preserve"> págs. 7–8; </w:t>
      </w:r>
      <w:proofErr w:type="spellStart"/>
      <w:r>
        <w:t>Dīp</w:t>
      </w:r>
      <w:proofErr w:type="spellEnd"/>
      <w:r>
        <w:t xml:space="preserve"> págs. 21–23), </w:t>
      </w:r>
      <w:proofErr w:type="spellStart"/>
      <w:r w:rsidRPr="002B7429">
        <w:t>Aggisikha</w:t>
      </w:r>
      <w:proofErr w:type="spellEnd"/>
      <w:r w:rsidRPr="002B7429">
        <w:t xml:space="preserve"> y </w:t>
      </w:r>
      <w:proofErr w:type="spellStart"/>
      <w:r w:rsidRPr="002B7429">
        <w:t>Dhūmasikha</w:t>
      </w:r>
      <w:proofErr w:type="spellEnd"/>
      <w:r>
        <w:t xml:space="preserve"> ("Habitante de Sri Lanka"—</w:t>
      </w:r>
      <w:proofErr w:type="spellStart"/>
      <w:r>
        <w:t>Vism-mhṭ</w:t>
      </w:r>
      <w:proofErr w:type="spellEnd"/>
      <w:r>
        <w:t xml:space="preserve"> 202), </w:t>
      </w:r>
      <w:proofErr w:type="spellStart"/>
      <w:r w:rsidRPr="002B7429">
        <w:t>Āravāḷa</w:t>
      </w:r>
      <w:proofErr w:type="spellEnd"/>
      <w:r w:rsidRPr="002B7429">
        <w:t xml:space="preserve"> y </w:t>
      </w:r>
      <w:proofErr w:type="spellStart"/>
      <w:r w:rsidRPr="002B7429">
        <w:t>Dhanapālaka</w:t>
      </w:r>
      <w:proofErr w:type="spellEnd"/>
      <w:r>
        <w:t xml:space="preserve"> (</w:t>
      </w:r>
      <w:proofErr w:type="spellStart"/>
      <w:r>
        <w:t>Vin</w:t>
      </w:r>
      <w:proofErr w:type="spellEnd"/>
      <w:r>
        <w:t xml:space="preserve"> II 194–96; J-a V 333–37), </w:t>
      </w:r>
      <w:proofErr w:type="spellStart"/>
      <w:r w:rsidRPr="002B7429">
        <w:t>Saccaka</w:t>
      </w:r>
      <w:proofErr w:type="spellEnd"/>
      <w:r>
        <w:t xml:space="preserve"> (MN 35 y 36), </w:t>
      </w:r>
      <w:proofErr w:type="spellStart"/>
      <w:r w:rsidRPr="002B7429">
        <w:t>Ambaṭṭha</w:t>
      </w:r>
      <w:proofErr w:type="spellEnd"/>
      <w:r>
        <w:t xml:space="preserve"> ​​(DN 3), </w:t>
      </w:r>
      <w:proofErr w:type="spellStart"/>
      <w:r w:rsidRPr="002B7429">
        <w:t>Pokkharkasāti</w:t>
      </w:r>
      <w:proofErr w:type="spellEnd"/>
      <w:r>
        <w:t xml:space="preserve"> (D I </w:t>
      </w:r>
      <w:proofErr w:type="gramStart"/>
      <w:r>
        <w:t>109 )</w:t>
      </w:r>
      <w:proofErr w:type="gramEnd"/>
      <w:r>
        <w:t xml:space="preserve">, </w:t>
      </w:r>
      <w:proofErr w:type="spellStart"/>
      <w:r w:rsidRPr="002B7429">
        <w:t>Soṇadaṇḍa</w:t>
      </w:r>
      <w:proofErr w:type="spellEnd"/>
      <w:r>
        <w:t xml:space="preserve"> (DN 4), </w:t>
      </w:r>
      <w:proofErr w:type="spellStart"/>
      <w:r w:rsidRPr="002B7429">
        <w:t>Kūṭadanta</w:t>
      </w:r>
      <w:proofErr w:type="spellEnd"/>
      <w:r>
        <w:t xml:space="preserve"> (DN 5), </w:t>
      </w:r>
      <w:proofErr w:type="spellStart"/>
      <w:r w:rsidRPr="002B7429">
        <w:t>Āḷavaka</w:t>
      </w:r>
      <w:proofErr w:type="spellEnd"/>
      <w:r>
        <w:t xml:space="preserve"> (Sn p. 31), </w:t>
      </w:r>
      <w:proofErr w:type="spellStart"/>
      <w:r w:rsidRPr="002B7429">
        <w:t>Sūciloma</w:t>
      </w:r>
      <w:proofErr w:type="spellEnd"/>
      <w:r w:rsidRPr="002B7429">
        <w:t xml:space="preserve"> y </w:t>
      </w:r>
      <w:proofErr w:type="spellStart"/>
      <w:r w:rsidRPr="002B7429">
        <w:t>Kharaloma</w:t>
      </w:r>
      <w:proofErr w:type="spellEnd"/>
      <w:r>
        <w:t xml:space="preserve"> (Sn p. 47f.), </w:t>
      </w:r>
      <w:r w:rsidRPr="00EB59E2">
        <w:rPr>
          <w:i/>
          <w:iCs/>
        </w:rPr>
        <w:t>Sakka</w:t>
      </w:r>
      <w:r>
        <w:t xml:space="preserve"> (D I 263f.).</w:t>
      </w:r>
    </w:p>
    <w:p w14:paraId="62067F53" w14:textId="77777777" w:rsidR="0016605C" w:rsidRDefault="0016605C">
      <w:pPr>
        <w:tabs>
          <w:tab w:val="clear" w:pos="425"/>
        </w:tabs>
        <w:spacing w:after="160"/>
        <w:rPr>
          <w:color w:val="000000" w:themeColor="text1"/>
          <w:spacing w:val="10"/>
          <w:sz w:val="14"/>
        </w:rPr>
      </w:pPr>
      <w:r>
        <w:br w:type="page"/>
      </w:r>
    </w:p>
    <w:p w14:paraId="79538443" w14:textId="77777777" w:rsidR="00CB3458" w:rsidRDefault="00CB3458" w:rsidP="0016605C"/>
    <w:p w14:paraId="780590AD" w14:textId="47618ABC" w:rsidR="00CB3458" w:rsidRDefault="00CB3458" w:rsidP="001B373E">
      <w:pPr>
        <w:pStyle w:val="NormalConSangria"/>
      </w:pPr>
      <w:r>
        <w:t xml:space="preserve">O, alternativamente, las </w:t>
      </w:r>
      <w:proofErr w:type="gramStart"/>
      <w:r>
        <w:t xml:space="preserve">palabras </w:t>
      </w:r>
      <w:r w:rsidRPr="001B373E">
        <w:rPr>
          <w:i/>
          <w:iCs/>
        </w:rPr>
        <w:t>líder</w:t>
      </w:r>
      <w:proofErr w:type="gramEnd"/>
      <w:r w:rsidRPr="001B373E">
        <w:rPr>
          <w:i/>
          <w:iCs/>
        </w:rPr>
        <w:t xml:space="preserve"> incomparable de hombres</w:t>
      </w:r>
      <w:r>
        <w:t xml:space="preserve"> </w:t>
      </w:r>
      <w:r w:rsidR="00EB59E2" w:rsidRPr="00EB59E2">
        <w:t>a</w:t>
      </w:r>
      <w:r w:rsidRPr="00EB59E2">
        <w:t xml:space="preserve"> ser </w:t>
      </w:r>
      <w:r w:rsidR="00EB59E2" w:rsidRPr="00EB59E2">
        <w:t>adiestrados</w:t>
      </w:r>
      <w:r w:rsidR="00EB59E2">
        <w:t xml:space="preserve"> </w:t>
      </w:r>
      <w:r>
        <w:t xml:space="preserve">pueden tomarse juntas como una sola cláusula. Porque el </w:t>
      </w:r>
      <w:r w:rsidR="00EB59E2">
        <w:rPr>
          <w:i/>
          <w:iCs/>
        </w:rPr>
        <w:t>Bhagavā</w:t>
      </w:r>
      <w:r w:rsidR="00EB59E2">
        <w:t xml:space="preserve"> </w:t>
      </w:r>
      <w:r>
        <w:t xml:space="preserve">guía a los hombres a ser </w:t>
      </w:r>
      <w:r w:rsidR="00EB59E2" w:rsidRPr="00EB59E2">
        <w:t>adiestrados</w:t>
      </w:r>
      <w:r w:rsidR="00EB59E2">
        <w:t xml:space="preserve"> </w:t>
      </w:r>
      <w:r>
        <w:t xml:space="preserve">de tal manera que en una sola sesión puedan </w:t>
      </w:r>
      <w:r w:rsidR="00630B72">
        <w:t xml:space="preserve">dirigirse </w:t>
      </w:r>
      <w:r>
        <w:t>en las ocho direcciones [</w:t>
      </w:r>
      <w:r w:rsidR="00630B72">
        <w:t xml:space="preserve">hacia </w:t>
      </w:r>
      <w:r>
        <w:t xml:space="preserve">las ocho liberaciones] sin vacilación. Por eso se le llama el </w:t>
      </w:r>
      <w:r w:rsidRPr="001B373E">
        <w:rPr>
          <w:i/>
          <w:iCs/>
        </w:rPr>
        <w:t xml:space="preserve">incomparable líder de hombres a </w:t>
      </w:r>
      <w:r w:rsidR="001B373E">
        <w:rPr>
          <w:i/>
          <w:iCs/>
        </w:rPr>
        <w:t>ser adiestrados</w:t>
      </w:r>
      <w:r>
        <w:t xml:space="preserve">. Y el siguiente pasaje del </w:t>
      </w:r>
      <w:proofErr w:type="spellStart"/>
      <w:r w:rsidRPr="008D6A2C">
        <w:rPr>
          <w:i/>
          <w:iCs/>
        </w:rPr>
        <w:t>sutta</w:t>
      </w:r>
      <w:proofErr w:type="spellEnd"/>
      <w:r>
        <w:t xml:space="preserve"> debe darse aquí completo: “Guiado por el domador de elefantes, </w:t>
      </w:r>
      <w:proofErr w:type="spellStart"/>
      <w:r w:rsidR="00057BF4" w:rsidRPr="00057BF4">
        <w:rPr>
          <w:i/>
          <w:iCs/>
        </w:rPr>
        <w:t>bhikkhu</w:t>
      </w:r>
      <w:r w:rsidRPr="008D6A2C">
        <w:rPr>
          <w:i/>
          <w:iCs/>
        </w:rPr>
        <w:t>s</w:t>
      </w:r>
      <w:proofErr w:type="spellEnd"/>
      <w:r>
        <w:t xml:space="preserve">, el elefante a ser </w:t>
      </w:r>
      <w:r w:rsidR="006151A8" w:rsidRPr="00EB59E2">
        <w:t>adiestrado</w:t>
      </w:r>
      <w:r w:rsidR="006151A8">
        <w:t xml:space="preserve"> </w:t>
      </w:r>
      <w:r>
        <w:t>va en una dirección…” (M III 222).</w:t>
      </w:r>
    </w:p>
    <w:p w14:paraId="088C3F27" w14:textId="714F4FD5" w:rsidR="00CB3458" w:rsidRDefault="00CB3458" w:rsidP="006B7078">
      <w:pPr>
        <w:pStyle w:val="Ttulo4"/>
        <w:ind w:left="708"/>
      </w:pPr>
      <w:r>
        <w:t>[Maestro De Dioses Y Hombres]</w:t>
      </w:r>
    </w:p>
    <w:p w14:paraId="075F69DA" w14:textId="563EFEEA" w:rsidR="00CB3458" w:rsidRDefault="00CB3458" w:rsidP="00CB3458">
      <w:r>
        <w:t xml:space="preserve">49. </w:t>
      </w:r>
      <w:r w:rsidR="008D6A2C">
        <w:tab/>
      </w:r>
      <w:r>
        <w:t>Enseña (</w:t>
      </w:r>
      <w:proofErr w:type="spellStart"/>
      <w:r w:rsidRPr="008D6A2C">
        <w:rPr>
          <w:i/>
          <w:iCs/>
        </w:rPr>
        <w:t>anusāsati</w:t>
      </w:r>
      <w:proofErr w:type="spellEnd"/>
      <w:r>
        <w:t xml:space="preserve">) por medio del aquí y ahora, de la vida venidera, y de la meta última, según convenga </w:t>
      </w:r>
      <w:r w:rsidR="006151A8">
        <w:t>e</w:t>
      </w:r>
      <w:r>
        <w:t>l caso, por lo que es Maestro (</w:t>
      </w:r>
      <w:proofErr w:type="spellStart"/>
      <w:r w:rsidRPr="008D6A2C">
        <w:rPr>
          <w:i/>
          <w:iCs/>
        </w:rPr>
        <w:t>satthar</w:t>
      </w:r>
      <w:proofErr w:type="spellEnd"/>
      <w:r>
        <w:t xml:space="preserve">). </w:t>
      </w:r>
      <w:r w:rsidR="006151A8">
        <w:t>Además</w:t>
      </w:r>
      <w:r>
        <w:t xml:space="preserve">, este significado debe entenderse según </w:t>
      </w:r>
      <w:r w:rsidR="006151A8">
        <w:t xml:space="preserve">el </w:t>
      </w:r>
      <w:proofErr w:type="spellStart"/>
      <w:r w:rsidRPr="008D6A2C">
        <w:rPr>
          <w:i/>
          <w:iCs/>
        </w:rPr>
        <w:t>Niddesa</w:t>
      </w:r>
      <w:proofErr w:type="spellEnd"/>
      <w:r>
        <w:t xml:space="preserve"> así: “‘Maestro (</w:t>
      </w:r>
      <w:proofErr w:type="spellStart"/>
      <w:r w:rsidRPr="008D6A2C">
        <w:rPr>
          <w:i/>
          <w:iCs/>
        </w:rPr>
        <w:t>satthar</w:t>
      </w:r>
      <w:proofErr w:type="spellEnd"/>
      <w:r>
        <w:t xml:space="preserve">)’: el </w:t>
      </w:r>
      <w:r w:rsidR="006151A8" w:rsidRPr="006151A8">
        <w:rPr>
          <w:i/>
          <w:iCs/>
        </w:rPr>
        <w:t>Bhagavā</w:t>
      </w:r>
      <w:r>
        <w:t xml:space="preserve"> es </w:t>
      </w:r>
      <w:r w:rsidR="006151A8">
        <w:t xml:space="preserve">el </w:t>
      </w:r>
      <w:r>
        <w:t xml:space="preserve">líder de </w:t>
      </w:r>
      <w:r w:rsidR="006151A8">
        <w:t xml:space="preserve">una </w:t>
      </w:r>
      <w:r>
        <w:t>caravana (</w:t>
      </w:r>
      <w:proofErr w:type="spellStart"/>
      <w:r w:rsidRPr="008D6A2C">
        <w:rPr>
          <w:i/>
          <w:iCs/>
        </w:rPr>
        <w:t>satthar</w:t>
      </w:r>
      <w:proofErr w:type="spellEnd"/>
      <w:r>
        <w:t xml:space="preserve">) ya que él </w:t>
      </w:r>
      <w:r w:rsidR="006151A8">
        <w:t>conduce a las</w:t>
      </w:r>
      <w:r>
        <w:t xml:space="preserve"> caravanas a casa (</w:t>
      </w:r>
      <w:proofErr w:type="spellStart"/>
      <w:r w:rsidRPr="008D6A2C">
        <w:rPr>
          <w:i/>
          <w:iCs/>
        </w:rPr>
        <w:t>satthar</w:t>
      </w:r>
      <w:proofErr w:type="spellEnd"/>
      <w:r>
        <w:t xml:space="preserve">). Así como alguien que </w:t>
      </w:r>
      <w:r w:rsidR="004D76E1">
        <w:t xml:space="preserve">conduzca </w:t>
      </w:r>
      <w:r>
        <w:t xml:space="preserve">una caravana </w:t>
      </w:r>
      <w:r w:rsidR="004D76E1">
        <w:t xml:space="preserve">hacia </w:t>
      </w:r>
      <w:r>
        <w:t xml:space="preserve">casa </w:t>
      </w:r>
      <w:r w:rsidR="004D76E1">
        <w:t xml:space="preserve">conduciéndolas </w:t>
      </w:r>
      <w:r>
        <w:t xml:space="preserve">a través de un desierto, a través de un desierto infestado de ladrones, a través de un desierto infestado de bestias salvajes, a través de un desierto sin comida, a través de un desierto sin agua, </w:t>
      </w:r>
      <w:r w:rsidR="00DF201D">
        <w:t>conduc</w:t>
      </w:r>
      <w:r w:rsidR="009335A5">
        <w:t>iéndolos</w:t>
      </w:r>
      <w:r w:rsidR="00DF201D">
        <w:t xml:space="preserve"> hasta e</w:t>
      </w:r>
      <w:r>
        <w:t>l otro lado, cruza</w:t>
      </w:r>
      <w:r w:rsidR="009335A5">
        <w:t>ndo el desierto</w:t>
      </w:r>
      <w:r>
        <w:t xml:space="preserve"> por completo, lo hace cruz</w:t>
      </w:r>
      <w:r w:rsidR="009335A5">
        <w:t>ándolo</w:t>
      </w:r>
      <w:r>
        <w:t xml:space="preserve"> adecuadamente, los </w:t>
      </w:r>
      <w:r w:rsidR="001139F0">
        <w:t xml:space="preserve">hace </w:t>
      </w:r>
      <w:r>
        <w:t xml:space="preserve">llegar </w:t>
      </w:r>
      <w:r w:rsidR="001139F0">
        <w:t xml:space="preserve">hacia </w:t>
      </w:r>
      <w:r>
        <w:t xml:space="preserve">una tierra segura, así también el </w:t>
      </w:r>
      <w:r w:rsidR="001139F0">
        <w:rPr>
          <w:i/>
          <w:iCs/>
        </w:rPr>
        <w:t>Bhagavā</w:t>
      </w:r>
      <w:r w:rsidR="001139F0">
        <w:t xml:space="preserve"> </w:t>
      </w:r>
      <w:r>
        <w:t>es un líder de caravana</w:t>
      </w:r>
      <w:r w:rsidR="00100296">
        <w:t>s</w:t>
      </w:r>
      <w:r>
        <w:t xml:space="preserve">, </w:t>
      </w:r>
      <w:r w:rsidR="001139F0">
        <w:t>alguien</w:t>
      </w:r>
      <w:r>
        <w:t xml:space="preserve"> que </w:t>
      </w:r>
      <w:r w:rsidR="000D1A23">
        <w:t>conduce a las caravanas haci</w:t>
      </w:r>
      <w:r>
        <w:t xml:space="preserve">a casa, los </w:t>
      </w:r>
      <w:r w:rsidR="000D1A23">
        <w:t>conduce</w:t>
      </w:r>
      <w:r>
        <w:t xml:space="preserve"> a través de un desierto, los hace cruzar el desierto del </w:t>
      </w:r>
      <w:r w:rsidR="000D1A23">
        <w:t>re</w:t>
      </w:r>
      <w:r>
        <w:t>nacimiento” (</w:t>
      </w:r>
      <w:proofErr w:type="spellStart"/>
      <w:r>
        <w:t>Nidd</w:t>
      </w:r>
      <w:proofErr w:type="spellEnd"/>
      <w:r>
        <w:t xml:space="preserve"> I 446).</w:t>
      </w:r>
    </w:p>
    <w:p w14:paraId="726C89E3" w14:textId="297FB95A" w:rsidR="00CB3458" w:rsidRDefault="00CB3458" w:rsidP="00CB3458">
      <w:r>
        <w:t xml:space="preserve">50. </w:t>
      </w:r>
      <w:r w:rsidR="008D6A2C">
        <w:tab/>
      </w:r>
      <w:r w:rsidRPr="001B373E">
        <w:rPr>
          <w:i/>
          <w:iCs/>
        </w:rPr>
        <w:t>De dioses y hombres</w:t>
      </w:r>
      <w:r>
        <w:t xml:space="preserve">: </w:t>
      </w:r>
      <w:proofErr w:type="spellStart"/>
      <w:r w:rsidR="00057BF4" w:rsidRPr="00057BF4">
        <w:rPr>
          <w:i/>
          <w:iCs/>
        </w:rPr>
        <w:t>deva</w:t>
      </w:r>
      <w:r w:rsidRPr="008D6A2C">
        <w:rPr>
          <w:i/>
          <w:iCs/>
        </w:rPr>
        <w:t>manussānaṃ</w:t>
      </w:r>
      <w:proofErr w:type="spellEnd"/>
      <w:r>
        <w:t xml:space="preserve"> = </w:t>
      </w:r>
      <w:proofErr w:type="spellStart"/>
      <w:r w:rsidRPr="008D6A2C">
        <w:rPr>
          <w:i/>
          <w:iCs/>
        </w:rPr>
        <w:t>devānañ</w:t>
      </w:r>
      <w:proofErr w:type="spellEnd"/>
      <w:r w:rsidRPr="008D6A2C">
        <w:rPr>
          <w:i/>
          <w:iCs/>
        </w:rPr>
        <w:t xml:space="preserve"> ca </w:t>
      </w:r>
      <w:proofErr w:type="spellStart"/>
      <w:r w:rsidRPr="008D6A2C">
        <w:rPr>
          <w:i/>
          <w:iCs/>
        </w:rPr>
        <w:t>manussānañ</w:t>
      </w:r>
      <w:proofErr w:type="spellEnd"/>
      <w:r w:rsidRPr="008D6A2C">
        <w:rPr>
          <w:i/>
          <w:iCs/>
        </w:rPr>
        <w:t xml:space="preserve"> ca</w:t>
      </w:r>
      <w:r>
        <w:t xml:space="preserve"> (</w:t>
      </w:r>
      <w:r w:rsidR="000D1A23">
        <w:t>de</w:t>
      </w:r>
      <w:r w:rsidR="00570034">
        <w:t>nominación</w:t>
      </w:r>
      <w:r>
        <w:t xml:space="preserve"> compuest</w:t>
      </w:r>
      <w:r w:rsidR="00570034">
        <w:t>a</w:t>
      </w:r>
      <w:r>
        <w:t>). Esto se dice para denotar a los que s</w:t>
      </w:r>
      <w:r w:rsidR="008D0A44">
        <w:t>ea</w:t>
      </w:r>
      <w:r>
        <w:t xml:space="preserve">n los mejores y también a las personas capaces de progresar. </w:t>
      </w:r>
      <w:r w:rsidR="00570034">
        <w:t xml:space="preserve">Ya </w:t>
      </w:r>
      <w:r>
        <w:t xml:space="preserve">que el </w:t>
      </w:r>
      <w:r w:rsidR="00570034">
        <w:rPr>
          <w:i/>
          <w:iCs/>
        </w:rPr>
        <w:t>Bhagavā,</w:t>
      </w:r>
      <w:r w:rsidR="00570034">
        <w:t xml:space="preserve"> </w:t>
      </w:r>
      <w:r>
        <w:t>como maestro</w:t>
      </w:r>
      <w:r w:rsidR="00570034">
        <w:t>,</w:t>
      </w:r>
      <w:r>
        <w:t xml:space="preserve"> impartió su enseñanza también a los animales. </w:t>
      </w:r>
      <w:r w:rsidR="00FE3F13">
        <w:t xml:space="preserve">Ya </w:t>
      </w:r>
      <w:r>
        <w:t>que cuando los animales pued</w:t>
      </w:r>
      <w:r w:rsidR="00D14F59">
        <w:t>a</w:t>
      </w:r>
      <w:r>
        <w:t xml:space="preserve">n, a través de </w:t>
      </w:r>
      <w:r w:rsidR="00C76185">
        <w:t>la audición d</w:t>
      </w:r>
      <w:r>
        <w:t xml:space="preserve">el </w:t>
      </w:r>
      <w:r w:rsidR="00057BF4" w:rsidRPr="00057BF4">
        <w:rPr>
          <w:i/>
        </w:rPr>
        <w:t>Dhamma</w:t>
      </w:r>
      <w:r>
        <w:t xml:space="preserve"> del </w:t>
      </w:r>
      <w:r w:rsidR="00570034">
        <w:rPr>
          <w:i/>
          <w:iCs/>
        </w:rPr>
        <w:t>Bhagavā</w:t>
      </w:r>
      <w:r>
        <w:t xml:space="preserve">, adquirir el beneficio de un renacimiento adecuado como </w:t>
      </w:r>
      <w:r w:rsidR="00570034">
        <w:t>soporte</w:t>
      </w:r>
      <w:r>
        <w:t xml:space="preserve"> para progres</w:t>
      </w:r>
      <w:r w:rsidR="00FE3F13">
        <w:t>ar</w:t>
      </w:r>
      <w:r>
        <w:t xml:space="preserve">, y con el beneficio de ese mismo </w:t>
      </w:r>
      <w:r w:rsidR="00570034">
        <w:t xml:space="preserve">soporte </w:t>
      </w:r>
      <w:r>
        <w:t>llega</w:t>
      </w:r>
      <w:r w:rsidR="00570034">
        <w:t>r</w:t>
      </w:r>
      <w:r>
        <w:t xml:space="preserve"> </w:t>
      </w:r>
      <w:r w:rsidR="00B55B07">
        <w:t xml:space="preserve">a </w:t>
      </w:r>
      <w:r>
        <w:t xml:space="preserve">su segundo o tercer renacimiento, </w:t>
      </w:r>
      <w:r w:rsidR="00D14F59">
        <w:t>consumarán</w:t>
      </w:r>
      <w:r>
        <w:t xml:space="preserve"> del </w:t>
      </w:r>
      <w:r w:rsidR="00570034">
        <w:t xml:space="preserve">sendero </w:t>
      </w:r>
      <w:r>
        <w:t>y su fruición.</w:t>
      </w:r>
    </w:p>
    <w:p w14:paraId="48F2C46C" w14:textId="2150DD4B" w:rsidR="00CB3458" w:rsidRDefault="00CB3458" w:rsidP="00CB3458">
      <w:r>
        <w:t xml:space="preserve">51. </w:t>
      </w:r>
      <w:r w:rsidR="008D6A2C">
        <w:tab/>
      </w:r>
      <w:proofErr w:type="spellStart"/>
      <w:r w:rsidRPr="008D6A2C">
        <w:rPr>
          <w:i/>
          <w:iCs/>
        </w:rPr>
        <w:t>Maṇḍūka</w:t>
      </w:r>
      <w:proofErr w:type="spellEnd"/>
      <w:r>
        <w:t xml:space="preserve">, el hijo de la deidad, y otros ilustran esto. Mientras el </w:t>
      </w:r>
      <w:r w:rsidR="00D47570">
        <w:rPr>
          <w:i/>
          <w:iCs/>
        </w:rPr>
        <w:t>Bhagavā</w:t>
      </w:r>
      <w:r w:rsidR="00D47570">
        <w:t xml:space="preserve"> </w:t>
      </w:r>
      <w:r>
        <w:t xml:space="preserve">enseñaba el </w:t>
      </w:r>
      <w:r w:rsidR="00057BF4" w:rsidRPr="00057BF4">
        <w:rPr>
          <w:i/>
        </w:rPr>
        <w:t>Dhamma</w:t>
      </w:r>
      <w:r>
        <w:t xml:space="preserve"> a los habitantes de la ciudad de </w:t>
      </w:r>
      <w:proofErr w:type="spellStart"/>
      <w:r w:rsidRPr="008D6A2C">
        <w:t>Campā</w:t>
      </w:r>
      <w:proofErr w:type="spellEnd"/>
      <w:r>
        <w:t xml:space="preserve"> a orillas del lago </w:t>
      </w:r>
      <w:proofErr w:type="spellStart"/>
      <w:r>
        <w:t>Gaggarā</w:t>
      </w:r>
      <w:proofErr w:type="spellEnd"/>
      <w:r>
        <w:t>, parece que una rana (</w:t>
      </w:r>
      <w:proofErr w:type="spellStart"/>
      <w:r w:rsidRPr="008D6A2C">
        <w:rPr>
          <w:i/>
          <w:iCs/>
        </w:rPr>
        <w:t>maṇḍūka</w:t>
      </w:r>
      <w:proofErr w:type="spellEnd"/>
      <w:r>
        <w:t xml:space="preserve">) percibió </w:t>
      </w:r>
      <w:r w:rsidR="00EF0598">
        <w:t>el signo</w:t>
      </w:r>
      <w:r>
        <w:t xml:space="preserve"> </w:t>
      </w:r>
      <w:r w:rsidR="00D47570">
        <w:t xml:space="preserve">de </w:t>
      </w:r>
      <w:r>
        <w:t xml:space="preserve">la voz del </w:t>
      </w:r>
      <w:r w:rsidR="00D47570">
        <w:rPr>
          <w:i/>
          <w:iCs/>
        </w:rPr>
        <w:t>Bhagavā</w:t>
      </w:r>
      <w:r>
        <w:t xml:space="preserve">. [209] Un vaquero que estaba de pie apoyado en un palo puso su palo en la cabeza de la rana y la aplastó. </w:t>
      </w:r>
      <w:r w:rsidR="009C4972">
        <w:t>Ésta m</w:t>
      </w:r>
      <w:r>
        <w:t xml:space="preserve">urió y renació de inmediato en un palacio divino dorado de doce leguas de ancho en el reino de los Treinta y </w:t>
      </w:r>
      <w:r w:rsidR="00D47570">
        <w:t xml:space="preserve">Tres </w:t>
      </w:r>
      <w:r>
        <w:t>(</w:t>
      </w:r>
      <w:proofErr w:type="spellStart"/>
      <w:r w:rsidRPr="008D6A2C">
        <w:rPr>
          <w:i/>
          <w:iCs/>
        </w:rPr>
        <w:t>Tāvatiṃsa</w:t>
      </w:r>
      <w:proofErr w:type="spellEnd"/>
      <w:r>
        <w:t xml:space="preserve">). </w:t>
      </w:r>
      <w:r w:rsidR="00F65B03">
        <w:t xml:space="preserve">Allí se </w:t>
      </w:r>
      <w:r>
        <w:t xml:space="preserve">encontró, como si despertara de un sueño, en medio de una multitud de ninfas celestiales, y exclamó: “Así que en realidad he renacido aquí. ¿Qué </w:t>
      </w:r>
      <w:r w:rsidR="00D47570">
        <w:t>acción he</w:t>
      </w:r>
      <w:r>
        <w:t xml:space="preserve"> h</w:t>
      </w:r>
      <w:r w:rsidR="00D47570">
        <w:t>echo</w:t>
      </w:r>
      <w:r>
        <w:t xml:space="preserve">? Cuando buscó la razón, descubrió que no era otra que su aprehensión de la señal </w:t>
      </w:r>
      <w:r w:rsidR="004D4A05">
        <w:t xml:space="preserve">de </w:t>
      </w:r>
      <w:r>
        <w:t xml:space="preserve">la voz del </w:t>
      </w:r>
      <w:r w:rsidR="004D4A05">
        <w:rPr>
          <w:i/>
          <w:iCs/>
        </w:rPr>
        <w:t>Bhagavā</w:t>
      </w:r>
      <w:r>
        <w:t>. Fue inmediatamente con su palacio divino a</w:t>
      </w:r>
      <w:r w:rsidR="004D4A05">
        <w:t>donde e</w:t>
      </w:r>
      <w:r>
        <w:t xml:space="preserve">l </w:t>
      </w:r>
      <w:r w:rsidR="004D4A05">
        <w:rPr>
          <w:i/>
          <w:iCs/>
        </w:rPr>
        <w:t>Bhagavā</w:t>
      </w:r>
      <w:r w:rsidR="004D4A05">
        <w:t xml:space="preserve"> </w:t>
      </w:r>
      <w:r>
        <w:t xml:space="preserve">y rindió </w:t>
      </w:r>
      <w:r w:rsidR="004D4A05">
        <w:t xml:space="preserve">reverencia </w:t>
      </w:r>
      <w:r>
        <w:t xml:space="preserve">a sus pies. Aunque el </w:t>
      </w:r>
      <w:r w:rsidR="004D4A05">
        <w:rPr>
          <w:i/>
          <w:iCs/>
        </w:rPr>
        <w:t>Bhagavā</w:t>
      </w:r>
      <w:r w:rsidR="004D4A05">
        <w:t xml:space="preserve"> </w:t>
      </w:r>
      <w:r>
        <w:t xml:space="preserve">lo </w:t>
      </w:r>
      <w:r w:rsidR="004D4A05">
        <w:t>supiese</w:t>
      </w:r>
      <w:r>
        <w:t>, le preguntó:</w:t>
      </w:r>
    </w:p>
    <w:p w14:paraId="24663FEC" w14:textId="26F619E2" w:rsidR="00CB3458" w:rsidRPr="00913E6A" w:rsidRDefault="00CB3458" w:rsidP="00CB3458">
      <w:pPr>
        <w:pStyle w:val="VersoIngls01Sangria"/>
        <w:rPr>
          <w:sz w:val="16"/>
          <w:szCs w:val="20"/>
        </w:rPr>
      </w:pPr>
      <w:r w:rsidRPr="00913E6A">
        <w:rPr>
          <w:sz w:val="16"/>
          <w:szCs w:val="20"/>
        </w:rPr>
        <w:t xml:space="preserve">“Quien ahora rinde </w:t>
      </w:r>
      <w:r w:rsidR="004D4A05" w:rsidRPr="00913E6A">
        <w:rPr>
          <w:sz w:val="16"/>
          <w:szCs w:val="20"/>
        </w:rPr>
        <w:t xml:space="preserve">reverencia </w:t>
      </w:r>
      <w:r w:rsidRPr="00913E6A">
        <w:rPr>
          <w:sz w:val="16"/>
          <w:szCs w:val="20"/>
        </w:rPr>
        <w:t>a mis pies,</w:t>
      </w:r>
    </w:p>
    <w:p w14:paraId="01AF0EAA" w14:textId="77777777" w:rsidR="00CB3458" w:rsidRPr="00913E6A" w:rsidRDefault="00CB3458" w:rsidP="00CB3458">
      <w:pPr>
        <w:pStyle w:val="VersoIngls01Sangria"/>
        <w:rPr>
          <w:sz w:val="16"/>
          <w:szCs w:val="20"/>
        </w:rPr>
      </w:pPr>
      <w:r w:rsidRPr="00913E6A">
        <w:rPr>
          <w:sz w:val="16"/>
          <w:szCs w:val="20"/>
        </w:rPr>
        <w:t>Brillando con la gloria del éxito,</w:t>
      </w:r>
    </w:p>
    <w:p w14:paraId="33D23FA3" w14:textId="06CC08EE" w:rsidR="00CB3458" w:rsidRPr="00913E6A" w:rsidRDefault="00CB3458" w:rsidP="00CB3458">
      <w:pPr>
        <w:pStyle w:val="VersoIngls01Sangria"/>
        <w:rPr>
          <w:sz w:val="16"/>
          <w:szCs w:val="20"/>
        </w:rPr>
      </w:pPr>
      <w:r w:rsidRPr="00913E6A">
        <w:rPr>
          <w:sz w:val="16"/>
          <w:szCs w:val="20"/>
        </w:rPr>
        <w:t xml:space="preserve">Iluminando todo </w:t>
      </w:r>
      <w:r w:rsidR="00913E6A" w:rsidRPr="00913E6A">
        <w:rPr>
          <w:sz w:val="16"/>
          <w:szCs w:val="20"/>
        </w:rPr>
        <w:t xml:space="preserve">el </w:t>
      </w:r>
      <w:r w:rsidRPr="00913E6A">
        <w:rPr>
          <w:sz w:val="16"/>
          <w:szCs w:val="20"/>
        </w:rPr>
        <w:t>alrededor</w:t>
      </w:r>
    </w:p>
    <w:p w14:paraId="721A180A" w14:textId="77777777" w:rsidR="00CB3458" w:rsidRPr="00913E6A" w:rsidRDefault="00CB3458" w:rsidP="00CB3458">
      <w:pPr>
        <w:pStyle w:val="VersoIngls01Sangria"/>
        <w:rPr>
          <w:sz w:val="16"/>
          <w:szCs w:val="20"/>
        </w:rPr>
      </w:pPr>
      <w:r w:rsidRPr="00913E6A">
        <w:rPr>
          <w:sz w:val="16"/>
          <w:szCs w:val="20"/>
        </w:rPr>
        <w:t>¿Con una belleza tan sobresaliente?</w:t>
      </w:r>
    </w:p>
    <w:p w14:paraId="64DC613B" w14:textId="77777777" w:rsidR="00CB3458" w:rsidRDefault="00CB3458">
      <w:pPr>
        <w:tabs>
          <w:tab w:val="clear" w:pos="425"/>
        </w:tabs>
        <w:spacing w:after="160"/>
      </w:pPr>
      <w:r>
        <w:br w:type="page"/>
      </w:r>
    </w:p>
    <w:p w14:paraId="406012B6" w14:textId="77777777" w:rsidR="00C81FB3" w:rsidRPr="008F63A6" w:rsidRDefault="00C81FB3" w:rsidP="00C81FB3">
      <w:pPr>
        <w:pStyle w:val="VersoIngls01Sangria"/>
        <w:rPr>
          <w:sz w:val="16"/>
          <w:szCs w:val="20"/>
        </w:rPr>
      </w:pPr>
      <w:r w:rsidRPr="008F63A6">
        <w:rPr>
          <w:sz w:val="16"/>
          <w:szCs w:val="20"/>
        </w:rPr>
        <w:lastRenderedPageBreak/>
        <w:t>“En mi última vida fui una rana,</w:t>
      </w:r>
    </w:p>
    <w:p w14:paraId="40BAB173" w14:textId="7B28B55D" w:rsidR="00C81FB3" w:rsidRPr="008F63A6" w:rsidRDefault="00913E6A" w:rsidP="00C81FB3">
      <w:pPr>
        <w:pStyle w:val="VersoIngls01Sangria"/>
        <w:rPr>
          <w:sz w:val="16"/>
          <w:szCs w:val="20"/>
        </w:rPr>
      </w:pPr>
      <w:r>
        <w:rPr>
          <w:sz w:val="16"/>
          <w:szCs w:val="20"/>
        </w:rPr>
        <w:t>En l</w:t>
      </w:r>
      <w:r w:rsidR="00C81FB3" w:rsidRPr="008F63A6">
        <w:rPr>
          <w:sz w:val="16"/>
          <w:szCs w:val="20"/>
        </w:rPr>
        <w:t xml:space="preserve">as aguas de un estanque </w:t>
      </w:r>
      <w:r>
        <w:rPr>
          <w:sz w:val="16"/>
          <w:szCs w:val="20"/>
        </w:rPr>
        <w:t>viví</w:t>
      </w:r>
      <w:r w:rsidR="00C81FB3" w:rsidRPr="008F63A6">
        <w:rPr>
          <w:sz w:val="16"/>
          <w:szCs w:val="20"/>
        </w:rPr>
        <w:t>;</w:t>
      </w:r>
    </w:p>
    <w:p w14:paraId="553660BE" w14:textId="77777777" w:rsidR="00C81FB3" w:rsidRPr="008F63A6" w:rsidRDefault="00C81FB3" w:rsidP="00C81FB3">
      <w:pPr>
        <w:pStyle w:val="VersoIngls01Sangria"/>
        <w:rPr>
          <w:sz w:val="16"/>
          <w:szCs w:val="20"/>
        </w:rPr>
      </w:pPr>
      <w:r w:rsidRPr="008F63A6">
        <w:rPr>
          <w:sz w:val="16"/>
          <w:szCs w:val="20"/>
        </w:rPr>
        <w:t>El cayado de un vaquero acabó con mi vida</w:t>
      </w:r>
    </w:p>
    <w:p w14:paraId="222A3C4E" w14:textId="408E330B" w:rsidR="00C81FB3" w:rsidRPr="008F63A6" w:rsidRDefault="00C81FB3" w:rsidP="00C81FB3">
      <w:pPr>
        <w:pStyle w:val="VersoIngls01Sangria"/>
        <w:spacing w:after="100"/>
        <w:ind w:left="1418"/>
        <w:rPr>
          <w:sz w:val="16"/>
          <w:szCs w:val="20"/>
        </w:rPr>
      </w:pPr>
      <w:r w:rsidRPr="008F63A6">
        <w:rPr>
          <w:sz w:val="16"/>
          <w:szCs w:val="20"/>
        </w:rPr>
        <w:t>Mientras escucha</w:t>
      </w:r>
      <w:r w:rsidR="00913E6A">
        <w:rPr>
          <w:sz w:val="16"/>
          <w:szCs w:val="20"/>
        </w:rPr>
        <w:t>ba</w:t>
      </w:r>
      <w:r w:rsidRPr="008F63A6">
        <w:rPr>
          <w:sz w:val="16"/>
          <w:szCs w:val="20"/>
        </w:rPr>
        <w:t xml:space="preserve"> </w:t>
      </w:r>
      <w:r w:rsidR="00913E6A">
        <w:rPr>
          <w:sz w:val="16"/>
          <w:szCs w:val="20"/>
        </w:rPr>
        <w:t>s</w:t>
      </w:r>
      <w:r w:rsidRPr="008F63A6">
        <w:rPr>
          <w:sz w:val="16"/>
          <w:szCs w:val="20"/>
        </w:rPr>
        <w:t xml:space="preserve">u </w:t>
      </w:r>
      <w:r w:rsidR="00057BF4" w:rsidRPr="00057BF4">
        <w:rPr>
          <w:i/>
          <w:sz w:val="16"/>
          <w:szCs w:val="20"/>
        </w:rPr>
        <w:t>Dhamma</w:t>
      </w:r>
      <w:r w:rsidRPr="008F63A6">
        <w:rPr>
          <w:sz w:val="16"/>
          <w:szCs w:val="20"/>
        </w:rPr>
        <w:t>” (</w:t>
      </w:r>
      <w:proofErr w:type="spellStart"/>
      <w:r w:rsidRPr="008F63A6">
        <w:rPr>
          <w:sz w:val="16"/>
          <w:szCs w:val="20"/>
        </w:rPr>
        <w:t>Vv</w:t>
      </w:r>
      <w:proofErr w:type="spellEnd"/>
      <w:r w:rsidRPr="008F63A6">
        <w:rPr>
          <w:sz w:val="16"/>
          <w:szCs w:val="20"/>
        </w:rPr>
        <w:t xml:space="preserve"> 49).</w:t>
      </w:r>
    </w:p>
    <w:p w14:paraId="495849A9" w14:textId="0842176B" w:rsidR="00C81FB3" w:rsidRPr="005C4467" w:rsidRDefault="00C81FB3" w:rsidP="008114F6">
      <w:pPr>
        <w:pStyle w:val="NormalConSangria"/>
        <w:rPr>
          <w:sz w:val="17"/>
          <w:szCs w:val="17"/>
        </w:rPr>
      </w:pPr>
      <w:r w:rsidRPr="005C4467">
        <w:rPr>
          <w:sz w:val="17"/>
          <w:szCs w:val="17"/>
        </w:rPr>
        <w:t xml:space="preserve">El </w:t>
      </w:r>
      <w:r w:rsidR="007755AD">
        <w:rPr>
          <w:i/>
          <w:iCs/>
        </w:rPr>
        <w:t>Bhagavā</w:t>
      </w:r>
      <w:r w:rsidR="007755AD" w:rsidRPr="005C4467">
        <w:rPr>
          <w:sz w:val="17"/>
          <w:szCs w:val="17"/>
        </w:rPr>
        <w:t xml:space="preserve"> </w:t>
      </w:r>
      <w:r w:rsidRPr="005C4467">
        <w:rPr>
          <w:sz w:val="17"/>
          <w:szCs w:val="17"/>
        </w:rPr>
        <w:t xml:space="preserve">le enseñó el </w:t>
      </w:r>
      <w:r w:rsidR="00057BF4" w:rsidRPr="00057BF4">
        <w:rPr>
          <w:i/>
          <w:sz w:val="17"/>
          <w:szCs w:val="17"/>
        </w:rPr>
        <w:t>Dhamma</w:t>
      </w:r>
      <w:r w:rsidRPr="005C4467">
        <w:rPr>
          <w:sz w:val="17"/>
          <w:szCs w:val="17"/>
        </w:rPr>
        <w:t xml:space="preserve">. Ochenta y cuatro mil criaturas ganaron penetración </w:t>
      </w:r>
      <w:r w:rsidR="007755AD">
        <w:rPr>
          <w:sz w:val="17"/>
          <w:szCs w:val="17"/>
        </w:rPr>
        <w:t>en ta</w:t>
      </w:r>
      <w:r w:rsidRPr="005C4467">
        <w:rPr>
          <w:sz w:val="17"/>
          <w:szCs w:val="17"/>
        </w:rPr>
        <w:t xml:space="preserve">l </w:t>
      </w:r>
      <w:r w:rsidR="00057BF4" w:rsidRPr="00057BF4">
        <w:rPr>
          <w:i/>
          <w:sz w:val="17"/>
          <w:szCs w:val="17"/>
        </w:rPr>
        <w:t>Dhamma</w:t>
      </w:r>
      <w:r w:rsidRPr="005C4467">
        <w:rPr>
          <w:sz w:val="17"/>
          <w:szCs w:val="17"/>
        </w:rPr>
        <w:t>. Tan pronto como el hijo de la deidad se estableció en la fruición de la entrada en la corriente, sonrió y luego desapareció.</w:t>
      </w:r>
    </w:p>
    <w:p w14:paraId="5B0EC39E" w14:textId="0B7774E0" w:rsidR="00C81FB3" w:rsidRDefault="00C81FB3" w:rsidP="006B7078">
      <w:pPr>
        <w:pStyle w:val="Ttulo4"/>
        <w:ind w:left="708"/>
      </w:pPr>
      <w:r>
        <w:t>[I</w:t>
      </w:r>
      <w:r w:rsidR="008D6A2C">
        <w:t>luminado</w:t>
      </w:r>
      <w:r>
        <w:t>]</w:t>
      </w:r>
    </w:p>
    <w:p w14:paraId="60735B77" w14:textId="3A3F0B74" w:rsidR="00C81FB3" w:rsidRPr="005C4467" w:rsidRDefault="00C81FB3" w:rsidP="00C81FB3">
      <w:pPr>
        <w:rPr>
          <w:sz w:val="17"/>
          <w:szCs w:val="17"/>
        </w:rPr>
      </w:pPr>
      <w:r w:rsidRPr="005C4467">
        <w:rPr>
          <w:sz w:val="17"/>
          <w:szCs w:val="17"/>
        </w:rPr>
        <w:t xml:space="preserve">52. </w:t>
      </w:r>
      <w:r w:rsidR="008114F6" w:rsidRPr="005C4467">
        <w:rPr>
          <w:sz w:val="17"/>
          <w:szCs w:val="17"/>
        </w:rPr>
        <w:tab/>
      </w:r>
      <w:r w:rsidRPr="005C4467">
        <w:rPr>
          <w:sz w:val="17"/>
          <w:szCs w:val="17"/>
        </w:rPr>
        <w:t xml:space="preserve">Está </w:t>
      </w:r>
      <w:r w:rsidRPr="001B373E">
        <w:rPr>
          <w:i/>
          <w:iCs/>
          <w:sz w:val="17"/>
          <w:szCs w:val="17"/>
        </w:rPr>
        <w:t>iluminado</w:t>
      </w:r>
      <w:r w:rsidRPr="005C4467">
        <w:rPr>
          <w:sz w:val="17"/>
          <w:szCs w:val="17"/>
        </w:rPr>
        <w:t xml:space="preserve"> (</w:t>
      </w:r>
      <w:proofErr w:type="spellStart"/>
      <w:r w:rsidR="00B03D68" w:rsidRPr="00057BF4">
        <w:rPr>
          <w:i/>
          <w:sz w:val="17"/>
          <w:szCs w:val="17"/>
        </w:rPr>
        <w:t>buddha</w:t>
      </w:r>
      <w:proofErr w:type="spellEnd"/>
      <w:r w:rsidRPr="005C4467">
        <w:rPr>
          <w:sz w:val="17"/>
          <w:szCs w:val="17"/>
        </w:rPr>
        <w:t xml:space="preserve">) con el conocimiento que pertenece al fruto de la liberación, ya que todo lo que se </w:t>
      </w:r>
      <w:r w:rsidR="00B03D68">
        <w:rPr>
          <w:sz w:val="17"/>
          <w:szCs w:val="17"/>
        </w:rPr>
        <w:t>pudiese</w:t>
      </w:r>
      <w:r w:rsidRPr="005C4467">
        <w:rPr>
          <w:sz w:val="17"/>
          <w:szCs w:val="17"/>
        </w:rPr>
        <w:t xml:space="preserve"> </w:t>
      </w:r>
      <w:r w:rsidR="00B03D68">
        <w:rPr>
          <w:sz w:val="17"/>
          <w:szCs w:val="17"/>
        </w:rPr>
        <w:t xml:space="preserve">descubrir </w:t>
      </w:r>
      <w:r w:rsidRPr="005C4467">
        <w:rPr>
          <w:sz w:val="17"/>
          <w:szCs w:val="17"/>
        </w:rPr>
        <w:t>ha sido descubierto (</w:t>
      </w:r>
      <w:proofErr w:type="spellStart"/>
      <w:r w:rsidR="00B03D68" w:rsidRPr="00057BF4">
        <w:rPr>
          <w:i/>
          <w:sz w:val="17"/>
          <w:szCs w:val="17"/>
        </w:rPr>
        <w:t>buddha</w:t>
      </w:r>
      <w:proofErr w:type="spellEnd"/>
      <w:r w:rsidRPr="005C4467">
        <w:rPr>
          <w:sz w:val="17"/>
          <w:szCs w:val="17"/>
        </w:rPr>
        <w:t>) por él.</w:t>
      </w:r>
    </w:p>
    <w:p w14:paraId="4488C09E" w14:textId="67C68424" w:rsidR="00C81FB3" w:rsidRPr="005C4467" w:rsidRDefault="00C81FB3" w:rsidP="00C81FB3">
      <w:pPr>
        <w:pStyle w:val="NormalConSangria"/>
        <w:rPr>
          <w:sz w:val="17"/>
          <w:szCs w:val="17"/>
        </w:rPr>
      </w:pPr>
      <w:r w:rsidRPr="005C4467">
        <w:rPr>
          <w:sz w:val="17"/>
          <w:szCs w:val="17"/>
        </w:rPr>
        <w:t xml:space="preserve">O alternativamente, </w:t>
      </w:r>
      <w:r w:rsidR="000616B2">
        <w:rPr>
          <w:sz w:val="17"/>
          <w:szCs w:val="17"/>
        </w:rPr>
        <w:t xml:space="preserve">él ha </w:t>
      </w:r>
      <w:r w:rsidRPr="005C4467">
        <w:rPr>
          <w:sz w:val="17"/>
          <w:szCs w:val="17"/>
        </w:rPr>
        <w:t>descub</w:t>
      </w:r>
      <w:r w:rsidR="000616B2">
        <w:rPr>
          <w:sz w:val="17"/>
          <w:szCs w:val="17"/>
        </w:rPr>
        <w:t>ierto</w:t>
      </w:r>
      <w:r w:rsidRPr="005C4467">
        <w:rPr>
          <w:sz w:val="17"/>
          <w:szCs w:val="17"/>
        </w:rPr>
        <w:t xml:space="preserve"> (</w:t>
      </w:r>
      <w:proofErr w:type="spellStart"/>
      <w:r w:rsidRPr="008D6A2C">
        <w:rPr>
          <w:i/>
          <w:iCs/>
          <w:sz w:val="17"/>
          <w:szCs w:val="17"/>
        </w:rPr>
        <w:t>bujjhi</w:t>
      </w:r>
      <w:proofErr w:type="spellEnd"/>
      <w:r w:rsidRPr="005C4467">
        <w:rPr>
          <w:sz w:val="17"/>
          <w:szCs w:val="17"/>
        </w:rPr>
        <w:t xml:space="preserve">) las cuatro verdades por sí mismo y </w:t>
      </w:r>
      <w:r w:rsidR="000616B2">
        <w:rPr>
          <w:sz w:val="17"/>
          <w:szCs w:val="17"/>
        </w:rPr>
        <w:t xml:space="preserve">ha </w:t>
      </w:r>
      <w:r w:rsidRPr="005C4467">
        <w:rPr>
          <w:sz w:val="17"/>
          <w:szCs w:val="17"/>
        </w:rPr>
        <w:t>despert</w:t>
      </w:r>
      <w:r w:rsidR="000616B2">
        <w:rPr>
          <w:sz w:val="17"/>
          <w:szCs w:val="17"/>
        </w:rPr>
        <w:t>ado</w:t>
      </w:r>
      <w:r w:rsidRPr="005C4467">
        <w:rPr>
          <w:sz w:val="17"/>
          <w:szCs w:val="17"/>
        </w:rPr>
        <w:t xml:space="preserve"> (</w:t>
      </w:r>
      <w:proofErr w:type="spellStart"/>
      <w:r w:rsidRPr="008D6A2C">
        <w:rPr>
          <w:i/>
          <w:iCs/>
          <w:sz w:val="17"/>
          <w:szCs w:val="17"/>
        </w:rPr>
        <w:t>bodhesi</w:t>
      </w:r>
      <w:proofErr w:type="spellEnd"/>
      <w:r w:rsidRPr="005C4467">
        <w:rPr>
          <w:sz w:val="17"/>
          <w:szCs w:val="17"/>
        </w:rPr>
        <w:t xml:space="preserve">) a otros </w:t>
      </w:r>
      <w:r w:rsidR="000616B2">
        <w:rPr>
          <w:sz w:val="17"/>
          <w:szCs w:val="17"/>
        </w:rPr>
        <w:t>al respecto</w:t>
      </w:r>
      <w:r w:rsidRPr="005C4467">
        <w:rPr>
          <w:sz w:val="17"/>
          <w:szCs w:val="17"/>
        </w:rPr>
        <w:t xml:space="preserve">, así y por otras razones similares, está </w:t>
      </w:r>
      <w:r w:rsidR="00B47C9A" w:rsidRPr="005C4467">
        <w:rPr>
          <w:sz w:val="17"/>
          <w:szCs w:val="17"/>
        </w:rPr>
        <w:t xml:space="preserve">Iluminado </w:t>
      </w:r>
      <w:r w:rsidRPr="005C4467">
        <w:rPr>
          <w:sz w:val="17"/>
          <w:szCs w:val="17"/>
        </w:rPr>
        <w:t>(</w:t>
      </w:r>
      <w:proofErr w:type="spellStart"/>
      <w:r w:rsidR="00414370" w:rsidRPr="00057BF4">
        <w:rPr>
          <w:i/>
          <w:sz w:val="17"/>
          <w:szCs w:val="17"/>
        </w:rPr>
        <w:t>buddha</w:t>
      </w:r>
      <w:proofErr w:type="spellEnd"/>
      <w:r w:rsidRPr="005C4467">
        <w:rPr>
          <w:sz w:val="17"/>
          <w:szCs w:val="17"/>
        </w:rPr>
        <w:t xml:space="preserve">). Y para explicar este significado todo el pasaje en el </w:t>
      </w:r>
      <w:proofErr w:type="spellStart"/>
      <w:r w:rsidRPr="0051040A">
        <w:rPr>
          <w:i/>
          <w:iCs/>
          <w:sz w:val="17"/>
          <w:szCs w:val="17"/>
        </w:rPr>
        <w:t>Niddesa</w:t>
      </w:r>
      <w:proofErr w:type="spellEnd"/>
      <w:r w:rsidRPr="005C4467">
        <w:rPr>
          <w:sz w:val="17"/>
          <w:szCs w:val="17"/>
        </w:rPr>
        <w:t xml:space="preserve"> comienza así: “Él es el descubridor (</w:t>
      </w:r>
      <w:proofErr w:type="spellStart"/>
      <w:r w:rsidRPr="0051040A">
        <w:rPr>
          <w:i/>
          <w:iCs/>
          <w:sz w:val="17"/>
          <w:szCs w:val="17"/>
        </w:rPr>
        <w:t>bujjhitar</w:t>
      </w:r>
      <w:proofErr w:type="spellEnd"/>
      <w:r w:rsidRPr="005C4467">
        <w:rPr>
          <w:sz w:val="17"/>
          <w:szCs w:val="17"/>
        </w:rPr>
        <w:t>) de las verdades, por lo que es iluminado (</w:t>
      </w:r>
      <w:proofErr w:type="spellStart"/>
      <w:r w:rsidR="00414370" w:rsidRPr="00057BF4">
        <w:rPr>
          <w:i/>
          <w:sz w:val="17"/>
          <w:szCs w:val="17"/>
        </w:rPr>
        <w:t>buddha</w:t>
      </w:r>
      <w:proofErr w:type="spellEnd"/>
      <w:r w:rsidRPr="005C4467">
        <w:rPr>
          <w:sz w:val="17"/>
          <w:szCs w:val="17"/>
        </w:rPr>
        <w:t>). Él es el despierto (</w:t>
      </w:r>
      <w:proofErr w:type="spellStart"/>
      <w:r w:rsidRPr="0051040A">
        <w:rPr>
          <w:i/>
          <w:iCs/>
          <w:sz w:val="17"/>
          <w:szCs w:val="17"/>
        </w:rPr>
        <w:t>bodhetar</w:t>
      </w:r>
      <w:proofErr w:type="spellEnd"/>
      <w:r w:rsidRPr="005C4467">
        <w:rPr>
          <w:sz w:val="17"/>
          <w:szCs w:val="17"/>
        </w:rPr>
        <w:t xml:space="preserve">) de la generación, por lo que es </w:t>
      </w:r>
      <w:r w:rsidR="008C68A7">
        <w:rPr>
          <w:sz w:val="17"/>
          <w:szCs w:val="17"/>
        </w:rPr>
        <w:t xml:space="preserve">un </w:t>
      </w:r>
      <w:r w:rsidRPr="005C4467">
        <w:rPr>
          <w:sz w:val="17"/>
          <w:szCs w:val="17"/>
        </w:rPr>
        <w:t>iluminado (</w:t>
      </w:r>
      <w:proofErr w:type="spellStart"/>
      <w:r w:rsidR="008C68A7" w:rsidRPr="00057BF4">
        <w:rPr>
          <w:i/>
          <w:sz w:val="17"/>
          <w:szCs w:val="17"/>
        </w:rPr>
        <w:t>buddha</w:t>
      </w:r>
      <w:proofErr w:type="spellEnd"/>
      <w:r w:rsidRPr="005C4467">
        <w:rPr>
          <w:sz w:val="17"/>
          <w:szCs w:val="17"/>
        </w:rPr>
        <w:t>)” (</w:t>
      </w:r>
      <w:proofErr w:type="spellStart"/>
      <w:r w:rsidRPr="005C4467">
        <w:rPr>
          <w:sz w:val="17"/>
          <w:szCs w:val="17"/>
        </w:rPr>
        <w:t>Nidd</w:t>
      </w:r>
      <w:proofErr w:type="spellEnd"/>
      <w:r w:rsidRPr="005C4467">
        <w:rPr>
          <w:sz w:val="17"/>
          <w:szCs w:val="17"/>
        </w:rPr>
        <w:t xml:space="preserve"> I 457), o el mismo pasaje del </w:t>
      </w:r>
      <w:proofErr w:type="spellStart"/>
      <w:r w:rsidRPr="0051040A">
        <w:rPr>
          <w:i/>
          <w:iCs/>
          <w:sz w:val="17"/>
          <w:szCs w:val="17"/>
        </w:rPr>
        <w:t>Paṭisambhidā</w:t>
      </w:r>
      <w:proofErr w:type="spellEnd"/>
      <w:r w:rsidRPr="005C4467">
        <w:rPr>
          <w:sz w:val="17"/>
          <w:szCs w:val="17"/>
        </w:rPr>
        <w:t xml:space="preserve"> (</w:t>
      </w:r>
      <w:proofErr w:type="spellStart"/>
      <w:r w:rsidRPr="0051040A">
        <w:rPr>
          <w:i/>
          <w:iCs/>
          <w:sz w:val="17"/>
          <w:szCs w:val="17"/>
        </w:rPr>
        <w:t>Paṭis</w:t>
      </w:r>
      <w:proofErr w:type="spellEnd"/>
      <w:r w:rsidRPr="005C4467">
        <w:rPr>
          <w:sz w:val="17"/>
          <w:szCs w:val="17"/>
        </w:rPr>
        <w:t xml:space="preserve"> I 174), debe citarse en detalle.</w:t>
      </w:r>
    </w:p>
    <w:p w14:paraId="4D5245D0" w14:textId="2979DA89" w:rsidR="00C81FB3" w:rsidRDefault="00C81FB3" w:rsidP="006B7078">
      <w:pPr>
        <w:pStyle w:val="Ttulo4"/>
        <w:ind w:left="708"/>
      </w:pPr>
      <w:r>
        <w:t>[</w:t>
      </w:r>
      <w:r w:rsidR="008C68A7">
        <w:t>Bienaventurado</w:t>
      </w:r>
      <w:r>
        <w:t>]</w:t>
      </w:r>
    </w:p>
    <w:p w14:paraId="684D2349" w14:textId="4FC607AD" w:rsidR="00C81FB3" w:rsidRPr="005C4467" w:rsidRDefault="00C81FB3" w:rsidP="00C81FB3">
      <w:pPr>
        <w:rPr>
          <w:sz w:val="17"/>
          <w:szCs w:val="17"/>
        </w:rPr>
      </w:pPr>
      <w:r w:rsidRPr="005C4467">
        <w:rPr>
          <w:sz w:val="17"/>
          <w:szCs w:val="17"/>
        </w:rPr>
        <w:t xml:space="preserve">53. </w:t>
      </w:r>
      <w:r w:rsidR="008114F6" w:rsidRPr="005C4467">
        <w:rPr>
          <w:sz w:val="17"/>
          <w:szCs w:val="17"/>
        </w:rPr>
        <w:tab/>
      </w:r>
      <w:r w:rsidR="006C2EFE" w:rsidRPr="006C2EFE">
        <w:rPr>
          <w:sz w:val="17"/>
          <w:szCs w:val="17"/>
        </w:rPr>
        <w:t xml:space="preserve">Bienaventurado </w:t>
      </w:r>
      <w:r w:rsidRPr="005C4467">
        <w:rPr>
          <w:sz w:val="17"/>
          <w:szCs w:val="17"/>
        </w:rPr>
        <w:t>(</w:t>
      </w:r>
      <w:proofErr w:type="spellStart"/>
      <w:r w:rsidR="002B7429">
        <w:rPr>
          <w:i/>
          <w:iCs/>
          <w:sz w:val="17"/>
          <w:szCs w:val="17"/>
        </w:rPr>
        <w:t>bhagava</w:t>
      </w:r>
      <w:r w:rsidRPr="005C4467">
        <w:rPr>
          <w:i/>
          <w:iCs/>
          <w:sz w:val="17"/>
          <w:szCs w:val="17"/>
        </w:rPr>
        <w:t>nt</w:t>
      </w:r>
      <w:proofErr w:type="spellEnd"/>
      <w:r w:rsidRPr="005C4467">
        <w:rPr>
          <w:sz w:val="17"/>
          <w:szCs w:val="17"/>
        </w:rPr>
        <w:t>) es un término que significa el respeto y la veneración otorgados a él como el más elevado de todos los seres y distinguido por sus cualidades especiales.</w:t>
      </w:r>
      <w:r w:rsidRPr="002B7429">
        <w:rPr>
          <w:sz w:val="17"/>
          <w:szCs w:val="17"/>
          <w:vertAlign w:val="superscript"/>
        </w:rPr>
        <w:t>21</w:t>
      </w:r>
      <w:r w:rsidRPr="005C4467">
        <w:rPr>
          <w:sz w:val="17"/>
          <w:szCs w:val="17"/>
        </w:rPr>
        <w:t xml:space="preserve"> Por lo tanto, los </w:t>
      </w:r>
      <w:r w:rsidR="009323D5">
        <w:rPr>
          <w:sz w:val="17"/>
          <w:szCs w:val="17"/>
        </w:rPr>
        <w:t>Venerables</w:t>
      </w:r>
      <w:r w:rsidRPr="005C4467">
        <w:rPr>
          <w:sz w:val="17"/>
          <w:szCs w:val="17"/>
        </w:rPr>
        <w:t xml:space="preserve"> </w:t>
      </w:r>
      <w:r w:rsidR="009323D5">
        <w:rPr>
          <w:sz w:val="17"/>
          <w:szCs w:val="17"/>
        </w:rPr>
        <w:t>decían</w:t>
      </w:r>
      <w:r w:rsidRPr="005C4467">
        <w:rPr>
          <w:sz w:val="17"/>
          <w:szCs w:val="17"/>
        </w:rPr>
        <w:t>:</w:t>
      </w:r>
    </w:p>
    <w:p w14:paraId="724FA8D8" w14:textId="4D5F6356" w:rsidR="00C81FB3" w:rsidRPr="008F63A6" w:rsidRDefault="00C81FB3" w:rsidP="00C81FB3">
      <w:pPr>
        <w:pStyle w:val="VersoIngls01Sangria"/>
        <w:rPr>
          <w:sz w:val="16"/>
          <w:szCs w:val="20"/>
        </w:rPr>
      </w:pPr>
      <w:r w:rsidRPr="008F63A6">
        <w:rPr>
          <w:sz w:val="16"/>
          <w:szCs w:val="20"/>
        </w:rPr>
        <w:t>“</w:t>
      </w:r>
      <w:r w:rsidR="006905DB" w:rsidRPr="006905DB">
        <w:rPr>
          <w:sz w:val="16"/>
          <w:szCs w:val="20"/>
        </w:rPr>
        <w:t>Bienaventurado</w:t>
      </w:r>
      <w:r w:rsidRPr="008F63A6">
        <w:rPr>
          <w:sz w:val="16"/>
          <w:szCs w:val="20"/>
        </w:rPr>
        <w:t>” es la mejor de las palabras,</w:t>
      </w:r>
    </w:p>
    <w:p w14:paraId="750D53F0" w14:textId="77777777" w:rsidR="00C81FB3" w:rsidRPr="008F63A6" w:rsidRDefault="00C81FB3" w:rsidP="00C81FB3">
      <w:pPr>
        <w:pStyle w:val="VersoIngls01Sangria"/>
        <w:rPr>
          <w:sz w:val="16"/>
          <w:szCs w:val="20"/>
        </w:rPr>
      </w:pPr>
      <w:r w:rsidRPr="008F63A6">
        <w:rPr>
          <w:sz w:val="16"/>
          <w:szCs w:val="20"/>
        </w:rPr>
        <w:t>“Bienaventurado” es la mejor palabra;</w:t>
      </w:r>
    </w:p>
    <w:p w14:paraId="1B5A0691" w14:textId="6247D8AD" w:rsidR="00C81FB3" w:rsidRPr="008F63A6" w:rsidRDefault="00C81FB3" w:rsidP="00C81FB3">
      <w:pPr>
        <w:pStyle w:val="VersoIngls01Sangria"/>
        <w:rPr>
          <w:sz w:val="16"/>
          <w:szCs w:val="20"/>
        </w:rPr>
      </w:pPr>
      <w:r w:rsidRPr="008F63A6">
        <w:rPr>
          <w:sz w:val="16"/>
          <w:szCs w:val="20"/>
        </w:rPr>
        <w:t xml:space="preserve">Merecedor de </w:t>
      </w:r>
      <w:r w:rsidR="0045719D">
        <w:rPr>
          <w:sz w:val="16"/>
          <w:szCs w:val="20"/>
        </w:rPr>
        <w:t>admiración</w:t>
      </w:r>
      <w:r w:rsidRPr="008F63A6">
        <w:rPr>
          <w:sz w:val="16"/>
          <w:szCs w:val="20"/>
        </w:rPr>
        <w:t xml:space="preserve"> y veneración,</w:t>
      </w:r>
    </w:p>
    <w:p w14:paraId="67BA9D33" w14:textId="5D0CD2A2" w:rsidR="00C81FB3" w:rsidRPr="008F63A6" w:rsidRDefault="0045719D" w:rsidP="00C81FB3">
      <w:pPr>
        <w:pStyle w:val="VersoIngls01Sangria"/>
        <w:spacing w:after="100"/>
        <w:ind w:left="1418"/>
        <w:rPr>
          <w:sz w:val="16"/>
          <w:szCs w:val="20"/>
        </w:rPr>
      </w:pPr>
      <w:r>
        <w:rPr>
          <w:sz w:val="16"/>
          <w:szCs w:val="20"/>
        </w:rPr>
        <w:t>Que Bienaventurado</w:t>
      </w:r>
      <w:r w:rsidRPr="008F63A6">
        <w:rPr>
          <w:sz w:val="16"/>
          <w:szCs w:val="20"/>
        </w:rPr>
        <w:t xml:space="preserve"> </w:t>
      </w:r>
      <w:r w:rsidR="00C81FB3" w:rsidRPr="008F63A6">
        <w:rPr>
          <w:sz w:val="16"/>
          <w:szCs w:val="20"/>
        </w:rPr>
        <w:t xml:space="preserve">sea el </w:t>
      </w:r>
      <w:r w:rsidRPr="008F63A6">
        <w:rPr>
          <w:sz w:val="16"/>
          <w:szCs w:val="20"/>
        </w:rPr>
        <w:t>nombre,</w:t>
      </w:r>
      <w:r w:rsidR="00C81FB3" w:rsidRPr="008F63A6">
        <w:rPr>
          <w:sz w:val="16"/>
          <w:szCs w:val="20"/>
        </w:rPr>
        <w:t xml:space="preserve"> por lo tanto.</w:t>
      </w:r>
    </w:p>
    <w:p w14:paraId="7D2D9407" w14:textId="0F585E48" w:rsidR="00C81FB3" w:rsidRPr="005C4467" w:rsidRDefault="00C81FB3" w:rsidP="00C81FB3">
      <w:pPr>
        <w:rPr>
          <w:sz w:val="17"/>
          <w:szCs w:val="17"/>
        </w:rPr>
      </w:pPr>
      <w:r w:rsidRPr="005C4467">
        <w:rPr>
          <w:sz w:val="17"/>
          <w:szCs w:val="17"/>
        </w:rPr>
        <w:t xml:space="preserve">54. </w:t>
      </w:r>
      <w:r w:rsidRPr="005C4467">
        <w:rPr>
          <w:sz w:val="17"/>
          <w:szCs w:val="17"/>
        </w:rPr>
        <w:tab/>
        <w:t xml:space="preserve">O alternativamente, los nombres son de cuatro tipos: </w:t>
      </w:r>
      <w:r w:rsidR="00D16C18">
        <w:rPr>
          <w:sz w:val="17"/>
          <w:szCs w:val="17"/>
        </w:rPr>
        <w:t xml:space="preserve">los que </w:t>
      </w:r>
      <w:r w:rsidRPr="005C4467">
        <w:rPr>
          <w:sz w:val="17"/>
          <w:szCs w:val="17"/>
        </w:rPr>
        <w:t xml:space="preserve">denotan un período de vida, </w:t>
      </w:r>
      <w:r w:rsidR="00D16C18">
        <w:rPr>
          <w:sz w:val="17"/>
          <w:szCs w:val="17"/>
        </w:rPr>
        <w:t xml:space="preserve">los que </w:t>
      </w:r>
      <w:r w:rsidRPr="005C4467">
        <w:rPr>
          <w:sz w:val="17"/>
          <w:szCs w:val="17"/>
        </w:rPr>
        <w:t xml:space="preserve">describen una marca particular, </w:t>
      </w:r>
      <w:r w:rsidR="00D16C18">
        <w:rPr>
          <w:sz w:val="17"/>
          <w:szCs w:val="17"/>
        </w:rPr>
        <w:t xml:space="preserve">los que </w:t>
      </w:r>
      <w:r w:rsidRPr="005C4467">
        <w:rPr>
          <w:sz w:val="17"/>
          <w:szCs w:val="17"/>
        </w:rPr>
        <w:t xml:space="preserve">significan una adquisición particular y </w:t>
      </w:r>
      <w:r w:rsidR="00D16C18">
        <w:rPr>
          <w:sz w:val="17"/>
          <w:szCs w:val="17"/>
        </w:rPr>
        <w:t xml:space="preserve">los que </w:t>
      </w:r>
      <w:r w:rsidRPr="005C4467">
        <w:rPr>
          <w:sz w:val="17"/>
          <w:szCs w:val="17"/>
        </w:rPr>
        <w:t>surgieron fortuitamente,</w:t>
      </w:r>
      <w:r w:rsidRPr="002272D9">
        <w:rPr>
          <w:sz w:val="17"/>
          <w:szCs w:val="17"/>
          <w:vertAlign w:val="superscript"/>
        </w:rPr>
        <w:t>22</w:t>
      </w:r>
      <w:r w:rsidRPr="005C4467">
        <w:rPr>
          <w:sz w:val="17"/>
          <w:szCs w:val="17"/>
        </w:rPr>
        <w:t xml:space="preserve"> </w:t>
      </w:r>
      <w:r w:rsidR="001E0B0A">
        <w:rPr>
          <w:sz w:val="17"/>
          <w:szCs w:val="17"/>
        </w:rPr>
        <w:t xml:space="preserve">el </w:t>
      </w:r>
      <w:r w:rsidRPr="005C4467">
        <w:rPr>
          <w:sz w:val="17"/>
          <w:szCs w:val="17"/>
        </w:rPr>
        <w:t xml:space="preserve">último en el uso corriente del mundo se </w:t>
      </w:r>
      <w:r w:rsidR="001E0B0A">
        <w:rPr>
          <w:sz w:val="17"/>
          <w:szCs w:val="17"/>
        </w:rPr>
        <w:t xml:space="preserve">le </w:t>
      </w:r>
      <w:r w:rsidRPr="005C4467">
        <w:rPr>
          <w:sz w:val="17"/>
          <w:szCs w:val="17"/>
        </w:rPr>
        <w:t>llama “</w:t>
      </w:r>
      <w:r w:rsidR="00BC18DE">
        <w:rPr>
          <w:sz w:val="17"/>
          <w:szCs w:val="17"/>
        </w:rPr>
        <w:t>azaroso</w:t>
      </w:r>
      <w:r w:rsidRPr="005C4467">
        <w:rPr>
          <w:sz w:val="17"/>
          <w:szCs w:val="17"/>
        </w:rPr>
        <w:t>”. Aquí, [210] los nombres que denotan un período de vida son aquellos tales como “becerro de un año” (</w:t>
      </w:r>
      <w:proofErr w:type="spellStart"/>
      <w:r w:rsidRPr="0051040A">
        <w:rPr>
          <w:i/>
          <w:iCs/>
          <w:sz w:val="17"/>
          <w:szCs w:val="17"/>
        </w:rPr>
        <w:t>vaccha</w:t>
      </w:r>
      <w:proofErr w:type="spellEnd"/>
      <w:r w:rsidRPr="005C4467">
        <w:rPr>
          <w:sz w:val="17"/>
          <w:szCs w:val="17"/>
        </w:rPr>
        <w:t>), “novillo para ser entrenado” (</w:t>
      </w:r>
      <w:proofErr w:type="spellStart"/>
      <w:r w:rsidRPr="0051040A">
        <w:rPr>
          <w:i/>
          <w:iCs/>
          <w:sz w:val="17"/>
          <w:szCs w:val="17"/>
        </w:rPr>
        <w:t>damma</w:t>
      </w:r>
      <w:proofErr w:type="spellEnd"/>
      <w:r w:rsidRPr="005C4467">
        <w:rPr>
          <w:sz w:val="17"/>
          <w:szCs w:val="17"/>
        </w:rPr>
        <w:t>), “buey yugo” (</w:t>
      </w:r>
      <w:proofErr w:type="spellStart"/>
      <w:r w:rsidRPr="0051040A">
        <w:rPr>
          <w:i/>
          <w:iCs/>
          <w:sz w:val="17"/>
          <w:szCs w:val="17"/>
        </w:rPr>
        <w:t>balivaddha</w:t>
      </w:r>
      <w:proofErr w:type="spellEnd"/>
      <w:r w:rsidRPr="005C4467">
        <w:rPr>
          <w:sz w:val="17"/>
          <w:szCs w:val="17"/>
        </w:rPr>
        <w:t>), y similares. Los nombres que describen una marca particular son aquellos como “portador de bastón” (</w:t>
      </w:r>
      <w:proofErr w:type="spellStart"/>
      <w:r w:rsidRPr="0051040A">
        <w:rPr>
          <w:i/>
          <w:iCs/>
          <w:sz w:val="17"/>
          <w:szCs w:val="17"/>
        </w:rPr>
        <w:t>daṇḍin</w:t>
      </w:r>
      <w:proofErr w:type="spellEnd"/>
      <w:r w:rsidRPr="005C4467">
        <w:rPr>
          <w:sz w:val="17"/>
          <w:szCs w:val="17"/>
        </w:rPr>
        <w:t>), “portador de paraguas” (</w:t>
      </w:r>
      <w:proofErr w:type="spellStart"/>
      <w:r w:rsidRPr="0051040A">
        <w:rPr>
          <w:i/>
          <w:iCs/>
          <w:sz w:val="17"/>
          <w:szCs w:val="17"/>
        </w:rPr>
        <w:t>chattin</w:t>
      </w:r>
      <w:proofErr w:type="spellEnd"/>
      <w:r w:rsidRPr="005C4467">
        <w:rPr>
          <w:sz w:val="17"/>
          <w:szCs w:val="17"/>
        </w:rPr>
        <w:t>), “portador de moño” (</w:t>
      </w:r>
      <w:proofErr w:type="spellStart"/>
      <w:r w:rsidRPr="0051040A">
        <w:rPr>
          <w:i/>
          <w:iCs/>
          <w:sz w:val="17"/>
          <w:szCs w:val="17"/>
        </w:rPr>
        <w:t>sikhin</w:t>
      </w:r>
      <w:proofErr w:type="spellEnd"/>
      <w:r w:rsidRPr="005C4467">
        <w:rPr>
          <w:sz w:val="17"/>
          <w:szCs w:val="17"/>
        </w:rPr>
        <w:t>), “portador de mano” (</w:t>
      </w:r>
      <w:proofErr w:type="spellStart"/>
      <w:r w:rsidRPr="0051040A">
        <w:rPr>
          <w:i/>
          <w:iCs/>
          <w:sz w:val="17"/>
          <w:szCs w:val="17"/>
        </w:rPr>
        <w:t>karin</w:t>
      </w:r>
      <w:proofErr w:type="spellEnd"/>
      <w:r w:rsidRPr="005C4467">
        <w:rPr>
          <w:sz w:val="17"/>
          <w:szCs w:val="17"/>
        </w:rPr>
        <w:t xml:space="preserve">—elefante), y similares. </w:t>
      </w:r>
      <w:r w:rsidRPr="00A86556">
        <w:rPr>
          <w:i/>
          <w:iCs/>
          <w:sz w:val="17"/>
          <w:szCs w:val="17"/>
        </w:rPr>
        <w:t xml:space="preserve">Los nombres que significan una </w:t>
      </w:r>
      <w:r w:rsidR="000A1AFB" w:rsidRPr="000A1AFB">
        <w:rPr>
          <w:i/>
          <w:iCs/>
          <w:sz w:val="17"/>
          <w:szCs w:val="17"/>
        </w:rPr>
        <w:t xml:space="preserve">marca </w:t>
      </w:r>
      <w:r w:rsidRPr="00A86556">
        <w:rPr>
          <w:i/>
          <w:iCs/>
          <w:sz w:val="17"/>
          <w:szCs w:val="17"/>
        </w:rPr>
        <w:t xml:space="preserve">particular </w:t>
      </w:r>
      <w:r w:rsidRPr="005C4467">
        <w:rPr>
          <w:sz w:val="17"/>
          <w:szCs w:val="17"/>
        </w:rPr>
        <w:t>son aquellos como “poseedor de la triple visión clara” (</w:t>
      </w:r>
      <w:proofErr w:type="spellStart"/>
      <w:r w:rsidRPr="0051040A">
        <w:rPr>
          <w:i/>
          <w:iCs/>
          <w:sz w:val="17"/>
          <w:szCs w:val="17"/>
        </w:rPr>
        <w:t>tevijja</w:t>
      </w:r>
      <w:proofErr w:type="spellEnd"/>
      <w:r w:rsidRPr="005C4467">
        <w:rPr>
          <w:sz w:val="17"/>
          <w:szCs w:val="17"/>
        </w:rPr>
        <w:t>), “poseedor de los seis conocimientos directos” (</w:t>
      </w:r>
      <w:proofErr w:type="spellStart"/>
      <w:r w:rsidRPr="0051040A">
        <w:rPr>
          <w:i/>
          <w:iCs/>
          <w:sz w:val="17"/>
          <w:szCs w:val="17"/>
        </w:rPr>
        <w:t>chaḷabhiñña</w:t>
      </w:r>
      <w:proofErr w:type="spellEnd"/>
      <w:r w:rsidRPr="005C4467">
        <w:rPr>
          <w:sz w:val="17"/>
          <w:szCs w:val="17"/>
        </w:rPr>
        <w:t xml:space="preserve">), y similares. </w:t>
      </w:r>
      <w:r w:rsidR="00CC467C" w:rsidRPr="005C4467">
        <w:rPr>
          <w:sz w:val="17"/>
          <w:szCs w:val="17"/>
        </w:rPr>
        <w:t xml:space="preserve">Nombres tales </w:t>
      </w:r>
      <w:r w:rsidR="00CC467C">
        <w:rPr>
          <w:sz w:val="17"/>
          <w:szCs w:val="17"/>
        </w:rPr>
        <w:t>como</w:t>
      </w:r>
      <w:r w:rsidRPr="005C4467">
        <w:rPr>
          <w:sz w:val="17"/>
          <w:szCs w:val="17"/>
        </w:rPr>
        <w:t xml:space="preserve"> </w:t>
      </w:r>
      <w:proofErr w:type="spellStart"/>
      <w:r w:rsidRPr="0051040A">
        <w:rPr>
          <w:i/>
          <w:iCs/>
          <w:sz w:val="17"/>
          <w:szCs w:val="17"/>
        </w:rPr>
        <w:t>Sirivaḍḍhaka</w:t>
      </w:r>
      <w:proofErr w:type="spellEnd"/>
      <w:r w:rsidRPr="005C4467">
        <w:rPr>
          <w:sz w:val="17"/>
          <w:szCs w:val="17"/>
        </w:rPr>
        <w:t xml:space="preserve"> ("Aumentador de </w:t>
      </w:r>
      <w:r w:rsidR="00F9478A">
        <w:rPr>
          <w:sz w:val="17"/>
          <w:szCs w:val="17"/>
        </w:rPr>
        <w:t>Brillo</w:t>
      </w:r>
      <w:r w:rsidRPr="005C4467">
        <w:rPr>
          <w:sz w:val="17"/>
          <w:szCs w:val="17"/>
        </w:rPr>
        <w:t xml:space="preserve">"), </w:t>
      </w:r>
      <w:proofErr w:type="spellStart"/>
      <w:r w:rsidRPr="0051040A">
        <w:rPr>
          <w:i/>
          <w:iCs/>
          <w:sz w:val="17"/>
          <w:szCs w:val="17"/>
        </w:rPr>
        <w:t>Dhanavaḍḍhaka</w:t>
      </w:r>
      <w:proofErr w:type="spellEnd"/>
      <w:r w:rsidRPr="005C4467">
        <w:rPr>
          <w:sz w:val="17"/>
          <w:szCs w:val="17"/>
        </w:rPr>
        <w:t xml:space="preserve"> ("Aumentador de Riqueza"), etc., son </w:t>
      </w:r>
      <w:r w:rsidRPr="002C4279">
        <w:rPr>
          <w:i/>
          <w:iCs/>
          <w:sz w:val="17"/>
          <w:szCs w:val="17"/>
        </w:rPr>
        <w:t>nombres surgidos fortuitamente</w:t>
      </w:r>
      <w:r w:rsidRPr="005C4467">
        <w:rPr>
          <w:sz w:val="17"/>
          <w:szCs w:val="17"/>
        </w:rPr>
        <w:t>; no tienen ninguna referencia a los significados de las palabras.</w:t>
      </w:r>
    </w:p>
    <w:p w14:paraId="63D57513" w14:textId="77777777" w:rsidR="00C81FB3" w:rsidRDefault="00C81FB3" w:rsidP="00C81FB3">
      <w:pPr>
        <w:pStyle w:val="Piedepgina"/>
        <w:rPr>
          <w:u w:val="single"/>
        </w:rPr>
      </w:pPr>
      <w:r>
        <w:rPr>
          <w:u w:val="single"/>
        </w:rPr>
        <w:t xml:space="preserve">                                                                                                                                                                          .</w:t>
      </w:r>
    </w:p>
    <w:p w14:paraId="01B02294" w14:textId="479714E9" w:rsidR="00C81FB3" w:rsidRDefault="00C81FB3" w:rsidP="00C81FB3">
      <w:pPr>
        <w:pStyle w:val="PiedepginaLegal"/>
      </w:pPr>
      <w:r>
        <w:t xml:space="preserve">21. </w:t>
      </w:r>
      <w:r>
        <w:tab/>
        <w:t xml:space="preserve">Para </w:t>
      </w:r>
      <w:r w:rsidR="002B7429">
        <w:t>el análisis</w:t>
      </w:r>
      <w:r>
        <w:t xml:space="preserve"> de este compuesto cf. pasaje paralelo en M-a I 10.</w:t>
      </w:r>
    </w:p>
    <w:p w14:paraId="5D2B3BB1" w14:textId="0A09FD8C" w:rsidR="00C81FB3" w:rsidRDefault="00C81FB3" w:rsidP="00C81FB3">
      <w:pPr>
        <w:pStyle w:val="PiedepginaLegal"/>
      </w:pPr>
      <w:r>
        <w:t xml:space="preserve">22. </w:t>
      </w:r>
      <w:r>
        <w:tab/>
      </w:r>
      <w:proofErr w:type="spellStart"/>
      <w:r w:rsidRPr="0051040A">
        <w:rPr>
          <w:i/>
          <w:iCs/>
        </w:rPr>
        <w:t>Āvatthika</w:t>
      </w:r>
      <w:proofErr w:type="spellEnd"/>
      <w:r>
        <w:t xml:space="preserve">—“denota un período en la vida” (de </w:t>
      </w:r>
      <w:proofErr w:type="spellStart"/>
      <w:r w:rsidRPr="0051040A">
        <w:rPr>
          <w:i/>
          <w:iCs/>
        </w:rPr>
        <w:t>avatthā</w:t>
      </w:r>
      <w:proofErr w:type="spellEnd"/>
      <w:r>
        <w:t>, véase IV.167); no en</w:t>
      </w:r>
      <w:r w:rsidR="00C54565">
        <w:t>contrado en el</w:t>
      </w:r>
      <w:r>
        <w:t xml:space="preserve"> PED; el significado que se le da en el PED para </w:t>
      </w:r>
      <w:proofErr w:type="spellStart"/>
      <w:r w:rsidRPr="0051040A">
        <w:rPr>
          <w:i/>
          <w:iCs/>
        </w:rPr>
        <w:t>liṅgika</w:t>
      </w:r>
      <w:proofErr w:type="spellEnd"/>
      <w:r>
        <w:t xml:space="preserve">—“que describe una marca en particular,” apenas es adecuado para esta referencia; </w:t>
      </w:r>
      <w:proofErr w:type="spellStart"/>
      <w:r w:rsidRPr="0051040A">
        <w:rPr>
          <w:i/>
          <w:iCs/>
        </w:rPr>
        <w:t>nemittika</w:t>
      </w:r>
      <w:proofErr w:type="spellEnd"/>
      <w:r>
        <w:t xml:space="preserve">—“significa una adquisición particular” no está en este sentido en </w:t>
      </w:r>
      <w:r w:rsidR="00C54565">
        <w:t xml:space="preserve">el </w:t>
      </w:r>
      <w:r>
        <w:t xml:space="preserve">PED. Para obtener más información sobre los nombres, consulte </w:t>
      </w:r>
      <w:proofErr w:type="spellStart"/>
      <w:r>
        <w:t>Dhs</w:t>
      </w:r>
      <w:proofErr w:type="spellEnd"/>
      <w:r>
        <w:t>-a 390.</w:t>
      </w:r>
    </w:p>
    <w:p w14:paraId="4C22AFC3" w14:textId="77777777" w:rsidR="005C4467" w:rsidRDefault="005C4467">
      <w:pPr>
        <w:tabs>
          <w:tab w:val="clear" w:pos="425"/>
        </w:tabs>
        <w:spacing w:after="160"/>
        <w:rPr>
          <w:color w:val="000000" w:themeColor="text1"/>
          <w:spacing w:val="10"/>
          <w:sz w:val="14"/>
        </w:rPr>
      </w:pPr>
      <w:r>
        <w:br w:type="page"/>
      </w:r>
    </w:p>
    <w:p w14:paraId="155B5A9C" w14:textId="78C47A6C" w:rsidR="00880440" w:rsidRDefault="00880440" w:rsidP="00880440">
      <w:r>
        <w:lastRenderedPageBreak/>
        <w:br/>
      </w:r>
      <w:r w:rsidR="0088140E" w:rsidRPr="005C4467">
        <w:rPr>
          <w:sz w:val="17"/>
          <w:szCs w:val="17"/>
        </w:rPr>
        <w:t xml:space="preserve">55. </w:t>
      </w:r>
      <w:r w:rsidR="0088140E" w:rsidRPr="005C4467">
        <w:rPr>
          <w:sz w:val="17"/>
          <w:szCs w:val="17"/>
        </w:rPr>
        <w:tab/>
        <w:t xml:space="preserve">Este nombre, </w:t>
      </w:r>
      <w:r w:rsidR="00DB23AA">
        <w:rPr>
          <w:i/>
          <w:iCs/>
          <w:sz w:val="17"/>
          <w:szCs w:val="17"/>
        </w:rPr>
        <w:t>Bhagavā</w:t>
      </w:r>
      <w:r w:rsidR="0088140E" w:rsidRPr="005C4467">
        <w:rPr>
          <w:sz w:val="17"/>
          <w:szCs w:val="17"/>
        </w:rPr>
        <w:t xml:space="preserve">, es uno que significa una adquisición particular; no </w:t>
      </w:r>
      <w:r w:rsidR="00DB23AA">
        <w:rPr>
          <w:sz w:val="17"/>
          <w:szCs w:val="17"/>
        </w:rPr>
        <w:t>ha sido seleccionado</w:t>
      </w:r>
      <w:r w:rsidR="0088140E" w:rsidRPr="005C4467">
        <w:rPr>
          <w:sz w:val="17"/>
          <w:szCs w:val="17"/>
        </w:rPr>
        <w:t xml:space="preserve"> por Mahā-</w:t>
      </w:r>
      <w:proofErr w:type="spellStart"/>
      <w:r w:rsidR="0088140E" w:rsidRPr="0051040A">
        <w:rPr>
          <w:sz w:val="17"/>
          <w:szCs w:val="17"/>
        </w:rPr>
        <w:t>Māyā</w:t>
      </w:r>
      <w:proofErr w:type="spellEnd"/>
      <w:r w:rsidR="0088140E" w:rsidRPr="005C4467">
        <w:rPr>
          <w:sz w:val="17"/>
          <w:szCs w:val="17"/>
        </w:rPr>
        <w:t xml:space="preserve">, ni por el </w:t>
      </w:r>
      <w:r w:rsidR="00DB23AA" w:rsidRPr="005C4467">
        <w:rPr>
          <w:sz w:val="17"/>
          <w:szCs w:val="17"/>
        </w:rPr>
        <w:t xml:space="preserve">Rey </w:t>
      </w:r>
      <w:proofErr w:type="spellStart"/>
      <w:r w:rsidR="0088140E" w:rsidRPr="005C4467">
        <w:rPr>
          <w:sz w:val="17"/>
          <w:szCs w:val="17"/>
        </w:rPr>
        <w:t>Suddhodana</w:t>
      </w:r>
      <w:proofErr w:type="spellEnd"/>
      <w:r w:rsidR="0088140E" w:rsidRPr="005C4467">
        <w:rPr>
          <w:sz w:val="17"/>
          <w:szCs w:val="17"/>
        </w:rPr>
        <w:t xml:space="preserve">, ni por los ochenta mil parientes, ni por </w:t>
      </w:r>
      <w:r w:rsidR="00DB23AA">
        <w:rPr>
          <w:sz w:val="17"/>
          <w:szCs w:val="17"/>
        </w:rPr>
        <w:t xml:space="preserve">las </w:t>
      </w:r>
      <w:r w:rsidR="0088140E" w:rsidRPr="005C4467">
        <w:rPr>
          <w:sz w:val="17"/>
          <w:szCs w:val="17"/>
        </w:rPr>
        <w:t xml:space="preserve">deidades distinguidas como </w:t>
      </w:r>
      <w:r w:rsidR="0088140E" w:rsidRPr="0051040A">
        <w:rPr>
          <w:i/>
          <w:iCs/>
          <w:sz w:val="17"/>
          <w:szCs w:val="17"/>
        </w:rPr>
        <w:t>Sakka</w:t>
      </w:r>
      <w:r w:rsidR="0088140E" w:rsidRPr="005C4467">
        <w:rPr>
          <w:sz w:val="17"/>
          <w:szCs w:val="17"/>
        </w:rPr>
        <w:t xml:space="preserve">, </w:t>
      </w:r>
      <w:proofErr w:type="spellStart"/>
      <w:r w:rsidR="0088140E" w:rsidRPr="0051040A">
        <w:rPr>
          <w:i/>
          <w:iCs/>
          <w:sz w:val="17"/>
          <w:szCs w:val="17"/>
        </w:rPr>
        <w:t>Santusita</w:t>
      </w:r>
      <w:proofErr w:type="spellEnd"/>
      <w:r w:rsidR="0088140E" w:rsidRPr="005C4467">
        <w:rPr>
          <w:sz w:val="17"/>
          <w:szCs w:val="17"/>
        </w:rPr>
        <w:t xml:space="preserve"> y otras. Y esto lo dice el General de la Ley:</w:t>
      </w:r>
      <w:r w:rsidR="0088140E" w:rsidRPr="005C4467">
        <w:rPr>
          <w:sz w:val="17"/>
          <w:szCs w:val="17"/>
          <w:vertAlign w:val="superscript"/>
        </w:rPr>
        <w:t>23</w:t>
      </w:r>
      <w:r w:rsidR="0088140E" w:rsidRPr="005C4467">
        <w:rPr>
          <w:sz w:val="17"/>
          <w:szCs w:val="17"/>
        </w:rPr>
        <w:t xml:space="preserve"> </w:t>
      </w:r>
      <w:r>
        <w:t>no es un nombre hecho por una madre... Este nombre '</w:t>
      </w:r>
      <w:r w:rsidR="00057BF4" w:rsidRPr="00057BF4">
        <w:rPr>
          <w:i/>
        </w:rPr>
        <w:t>Buddha</w:t>
      </w:r>
      <w:r>
        <w:t xml:space="preserve">', que significa liberación final, es una descripción realista </w:t>
      </w:r>
      <w:r w:rsidR="0057777F">
        <w:t>sobre</w:t>
      </w:r>
      <w:r>
        <w:t xml:space="preserve"> los </w:t>
      </w:r>
      <w:r w:rsidR="00057BF4" w:rsidRPr="00057BF4">
        <w:rPr>
          <w:i/>
        </w:rPr>
        <w:t>Buddha</w:t>
      </w:r>
      <w:r>
        <w:t xml:space="preserve">s (Iluminados), </w:t>
      </w:r>
      <w:r w:rsidR="0057777F">
        <w:t xml:space="preserve">sobre </w:t>
      </w:r>
      <w:r>
        <w:t xml:space="preserve">los </w:t>
      </w:r>
      <w:r w:rsidR="00142739" w:rsidRPr="00142739">
        <w:t>Bienaventurado</w:t>
      </w:r>
      <w:r w:rsidR="00142739">
        <w:t>s</w:t>
      </w:r>
      <w:r>
        <w:t xml:space="preserve">, junto con </w:t>
      </w:r>
      <w:r w:rsidR="00334984">
        <w:t>la</w:t>
      </w:r>
      <w:r>
        <w:t xml:space="preserve"> obtención del conocimiento omnisciente en la raíz de una Iluminación [ Árbol]” (</w:t>
      </w:r>
      <w:proofErr w:type="spellStart"/>
      <w:r w:rsidRPr="00A86556">
        <w:rPr>
          <w:i/>
          <w:iCs/>
        </w:rPr>
        <w:t>Paṭis</w:t>
      </w:r>
      <w:proofErr w:type="spellEnd"/>
      <w:r>
        <w:t xml:space="preserve"> I 174; </w:t>
      </w:r>
      <w:proofErr w:type="spellStart"/>
      <w:r>
        <w:t>Nidd</w:t>
      </w:r>
      <w:proofErr w:type="spellEnd"/>
      <w:r>
        <w:t xml:space="preserve"> I 143).</w:t>
      </w:r>
    </w:p>
    <w:p w14:paraId="6CAFD80E" w14:textId="38198412" w:rsidR="00880440" w:rsidRDefault="00880440" w:rsidP="00880440">
      <w:r>
        <w:t xml:space="preserve">56. </w:t>
      </w:r>
      <w:r w:rsidR="00A86556">
        <w:tab/>
      </w:r>
      <w:r>
        <w:t xml:space="preserve">Ahora bien, para explicar también las cualidades especiales </w:t>
      </w:r>
      <w:r w:rsidR="002E43A7">
        <w:t>calificativas de</w:t>
      </w:r>
      <w:r>
        <w:t xml:space="preserve"> este nombre, citan la siguiente estrofa:</w:t>
      </w:r>
    </w:p>
    <w:p w14:paraId="31007292" w14:textId="77777777" w:rsidR="00880440" w:rsidRDefault="00880440" w:rsidP="00880440">
      <w:pPr>
        <w:pStyle w:val="VersoPali01Centrado"/>
        <w:spacing w:after="0"/>
        <w:ind w:left="2126"/>
        <w:jc w:val="left"/>
      </w:pPr>
      <w:proofErr w:type="spellStart"/>
      <w:r>
        <w:t>Bhagī</w:t>
      </w:r>
      <w:proofErr w:type="spellEnd"/>
      <w:r>
        <w:t xml:space="preserve"> </w:t>
      </w:r>
      <w:proofErr w:type="spellStart"/>
      <w:r>
        <w:t>bhajī</w:t>
      </w:r>
      <w:proofErr w:type="spellEnd"/>
      <w:r>
        <w:t xml:space="preserve"> </w:t>
      </w:r>
      <w:proofErr w:type="spellStart"/>
      <w:r>
        <w:t>bhāgī</w:t>
      </w:r>
      <w:proofErr w:type="spellEnd"/>
      <w:r>
        <w:t xml:space="preserve"> </w:t>
      </w:r>
      <w:proofErr w:type="spellStart"/>
      <w:r>
        <w:t>vibhattavā</w:t>
      </w:r>
      <w:proofErr w:type="spellEnd"/>
      <w:r>
        <w:t xml:space="preserve"> </w:t>
      </w:r>
      <w:proofErr w:type="spellStart"/>
      <w:r>
        <w:t>iti</w:t>
      </w:r>
      <w:proofErr w:type="spellEnd"/>
    </w:p>
    <w:p w14:paraId="79380AA6" w14:textId="77777777" w:rsidR="00880440" w:rsidRDefault="00880440" w:rsidP="00880440">
      <w:pPr>
        <w:pStyle w:val="VersoPali01Centrado"/>
        <w:spacing w:after="0"/>
        <w:ind w:left="2126"/>
        <w:jc w:val="left"/>
      </w:pPr>
      <w:proofErr w:type="spellStart"/>
      <w:r>
        <w:t>Akāsi</w:t>
      </w:r>
      <w:proofErr w:type="spellEnd"/>
      <w:r>
        <w:t xml:space="preserve"> </w:t>
      </w:r>
      <w:proofErr w:type="spellStart"/>
      <w:r>
        <w:t>bhaggan</w:t>
      </w:r>
      <w:proofErr w:type="spellEnd"/>
      <w:r>
        <w:t xml:space="preserve"> ti </w:t>
      </w:r>
      <w:proofErr w:type="spellStart"/>
      <w:r>
        <w:t>garū</w:t>
      </w:r>
      <w:proofErr w:type="spellEnd"/>
      <w:r>
        <w:t xml:space="preserve"> ti </w:t>
      </w:r>
      <w:proofErr w:type="spellStart"/>
      <w:r>
        <w:t>bhāgyavā</w:t>
      </w:r>
      <w:proofErr w:type="spellEnd"/>
    </w:p>
    <w:p w14:paraId="75FD8AAC" w14:textId="77777777" w:rsidR="00880440" w:rsidRPr="00880440" w:rsidRDefault="00880440" w:rsidP="00880440">
      <w:pPr>
        <w:pStyle w:val="VersoPali01Centrado"/>
        <w:spacing w:after="0"/>
        <w:ind w:left="2126"/>
        <w:jc w:val="left"/>
        <w:rPr>
          <w:lang w:val="en-US"/>
        </w:rPr>
      </w:pPr>
      <w:proofErr w:type="spellStart"/>
      <w:r w:rsidRPr="00880440">
        <w:rPr>
          <w:lang w:val="en-US"/>
        </w:rPr>
        <w:t>Bahūhi</w:t>
      </w:r>
      <w:proofErr w:type="spellEnd"/>
      <w:r w:rsidRPr="00880440">
        <w:rPr>
          <w:lang w:val="en-US"/>
        </w:rPr>
        <w:t xml:space="preserve"> </w:t>
      </w:r>
      <w:proofErr w:type="spellStart"/>
      <w:r w:rsidRPr="00880440">
        <w:rPr>
          <w:lang w:val="en-US"/>
        </w:rPr>
        <w:t>ñāyehi</w:t>
      </w:r>
      <w:proofErr w:type="spellEnd"/>
      <w:r w:rsidRPr="00880440">
        <w:rPr>
          <w:lang w:val="en-US"/>
        </w:rPr>
        <w:t xml:space="preserve"> </w:t>
      </w:r>
      <w:proofErr w:type="spellStart"/>
      <w:r w:rsidRPr="00880440">
        <w:rPr>
          <w:lang w:val="en-US"/>
        </w:rPr>
        <w:t>subhāvitattano</w:t>
      </w:r>
      <w:proofErr w:type="spellEnd"/>
    </w:p>
    <w:p w14:paraId="1ABDD8CE" w14:textId="77777777" w:rsidR="00880440" w:rsidRPr="00880440" w:rsidRDefault="00880440" w:rsidP="00880440">
      <w:pPr>
        <w:pStyle w:val="VersoPali01Centrado"/>
        <w:ind w:left="2124"/>
        <w:jc w:val="left"/>
        <w:rPr>
          <w:lang w:val="en-US"/>
        </w:rPr>
      </w:pPr>
      <w:proofErr w:type="spellStart"/>
      <w:r w:rsidRPr="00880440">
        <w:rPr>
          <w:lang w:val="en-US"/>
        </w:rPr>
        <w:t>Bhavantago</w:t>
      </w:r>
      <w:proofErr w:type="spellEnd"/>
      <w:r w:rsidRPr="00880440">
        <w:rPr>
          <w:lang w:val="en-US"/>
        </w:rPr>
        <w:t xml:space="preserve"> so </w:t>
      </w:r>
      <w:proofErr w:type="spellStart"/>
      <w:r w:rsidRPr="00880440">
        <w:rPr>
          <w:lang w:val="en-US"/>
        </w:rPr>
        <w:t>bhagava</w:t>
      </w:r>
      <w:proofErr w:type="spellEnd"/>
      <w:r w:rsidRPr="00880440">
        <w:rPr>
          <w:lang w:val="en-US"/>
        </w:rPr>
        <w:t xml:space="preserve"> </w:t>
      </w:r>
      <w:proofErr w:type="spellStart"/>
      <w:r w:rsidRPr="00880440">
        <w:rPr>
          <w:lang w:val="en-US"/>
        </w:rPr>
        <w:t>ti</w:t>
      </w:r>
      <w:proofErr w:type="spellEnd"/>
      <w:r w:rsidRPr="00880440">
        <w:rPr>
          <w:lang w:val="en-US"/>
        </w:rPr>
        <w:t xml:space="preserve"> </w:t>
      </w:r>
      <w:proofErr w:type="spellStart"/>
      <w:r w:rsidRPr="00880440">
        <w:rPr>
          <w:lang w:val="en-US"/>
        </w:rPr>
        <w:t>vuccati</w:t>
      </w:r>
      <w:proofErr w:type="spellEnd"/>
      <w:r w:rsidRPr="00880440">
        <w:rPr>
          <w:lang w:val="en-US"/>
        </w:rPr>
        <w:t>.</w:t>
      </w:r>
    </w:p>
    <w:p w14:paraId="0033151B" w14:textId="51132D26" w:rsidR="00880440" w:rsidRDefault="00880440" w:rsidP="00880440">
      <w:pPr>
        <w:pStyle w:val="NormalConSangria"/>
      </w:pPr>
      <w:r>
        <w:t>El reveren</w:t>
      </w:r>
      <w:r w:rsidR="0082279C">
        <w:t>ciable</w:t>
      </w:r>
      <w:r>
        <w:t xml:space="preserve"> (</w:t>
      </w:r>
      <w:proofErr w:type="spellStart"/>
      <w:r w:rsidRPr="0043268C">
        <w:rPr>
          <w:i/>
          <w:iCs/>
        </w:rPr>
        <w:t>garu</w:t>
      </w:r>
      <w:proofErr w:type="spellEnd"/>
      <w:r>
        <w:t xml:space="preserve">) </w:t>
      </w:r>
      <w:r w:rsidR="0082279C">
        <w:t xml:space="preserve">posee dicha </w:t>
      </w:r>
      <w:r>
        <w:t>(</w:t>
      </w:r>
      <w:proofErr w:type="spellStart"/>
      <w:r w:rsidRPr="0043268C">
        <w:rPr>
          <w:i/>
          <w:iCs/>
        </w:rPr>
        <w:t>bhagī</w:t>
      </w:r>
      <w:proofErr w:type="spellEnd"/>
      <w:r>
        <w:t xml:space="preserve">), es </w:t>
      </w:r>
      <w:r w:rsidR="0082279C">
        <w:t xml:space="preserve">un </w:t>
      </w:r>
      <w:r>
        <w:t>frecuentador (</w:t>
      </w:r>
      <w:proofErr w:type="spellStart"/>
      <w:r w:rsidRPr="0043268C">
        <w:rPr>
          <w:i/>
          <w:iCs/>
        </w:rPr>
        <w:t>bhajī</w:t>
      </w:r>
      <w:proofErr w:type="spellEnd"/>
      <w:r>
        <w:t xml:space="preserve">), </w:t>
      </w:r>
      <w:r w:rsidR="0047156A">
        <w:t xml:space="preserve">un </w:t>
      </w:r>
      <w:r>
        <w:t>participante (</w:t>
      </w:r>
      <w:proofErr w:type="spellStart"/>
      <w:r w:rsidRPr="0043268C">
        <w:rPr>
          <w:i/>
          <w:iCs/>
        </w:rPr>
        <w:t>bhāgì</w:t>
      </w:r>
      <w:proofErr w:type="spellEnd"/>
      <w:r>
        <w:t xml:space="preserve">), </w:t>
      </w:r>
      <w:r w:rsidR="0047156A">
        <w:t xml:space="preserve">un </w:t>
      </w:r>
      <w:r>
        <w:t>poseedor de lo analizado (</w:t>
      </w:r>
      <w:proofErr w:type="spellStart"/>
      <w:r w:rsidRPr="0043268C">
        <w:rPr>
          <w:i/>
          <w:iCs/>
        </w:rPr>
        <w:t>vibhattavā</w:t>
      </w:r>
      <w:proofErr w:type="spellEnd"/>
      <w:r>
        <w:t>);</w:t>
      </w:r>
    </w:p>
    <w:p w14:paraId="42BD5E1D" w14:textId="0575D256" w:rsidR="00880440" w:rsidRDefault="00880440" w:rsidP="00880440">
      <w:pPr>
        <w:pStyle w:val="NormalConSangria"/>
      </w:pPr>
      <w:r>
        <w:t xml:space="preserve">Él ha </w:t>
      </w:r>
      <w:r w:rsidR="005D2621">
        <w:t>ocasionado</w:t>
      </w:r>
      <w:r>
        <w:t xml:space="preserve"> la abolición (</w:t>
      </w:r>
      <w:proofErr w:type="spellStart"/>
      <w:r w:rsidRPr="0043268C">
        <w:rPr>
          <w:i/>
          <w:iCs/>
        </w:rPr>
        <w:t>bhagga</w:t>
      </w:r>
      <w:proofErr w:type="spellEnd"/>
      <w:r>
        <w:t>), es afortunado (</w:t>
      </w:r>
      <w:proofErr w:type="spellStart"/>
      <w:r w:rsidRPr="0043268C">
        <w:rPr>
          <w:i/>
          <w:iCs/>
        </w:rPr>
        <w:t>bhāgyavā</w:t>
      </w:r>
      <w:proofErr w:type="spellEnd"/>
      <w:r>
        <w:t>),</w:t>
      </w:r>
    </w:p>
    <w:p w14:paraId="75D045F1" w14:textId="77777777" w:rsidR="00880440" w:rsidRDefault="00880440" w:rsidP="00880440">
      <w:pPr>
        <w:pStyle w:val="NormalConSangria"/>
      </w:pPr>
      <w:r>
        <w:t>Él se ha desarrollado completamente (</w:t>
      </w:r>
      <w:proofErr w:type="spellStart"/>
      <w:r w:rsidRPr="0043268C">
        <w:rPr>
          <w:i/>
          <w:iCs/>
        </w:rPr>
        <w:t>subhāvitattano</w:t>
      </w:r>
      <w:proofErr w:type="spellEnd"/>
      <w:r>
        <w:t>) de muchas maneras;</w:t>
      </w:r>
    </w:p>
    <w:p w14:paraId="52181ABF" w14:textId="54556819" w:rsidR="00880440" w:rsidRDefault="00880440" w:rsidP="00880440">
      <w:pPr>
        <w:pStyle w:val="NormalConSangria"/>
      </w:pPr>
      <w:r>
        <w:t>Ha llegado al final del devenir (</w:t>
      </w:r>
      <w:proofErr w:type="spellStart"/>
      <w:r w:rsidRPr="0043268C">
        <w:rPr>
          <w:i/>
          <w:iCs/>
        </w:rPr>
        <w:t>bhavantago</w:t>
      </w:r>
      <w:proofErr w:type="spellEnd"/>
      <w:r>
        <w:t>); por eso es llamado “</w:t>
      </w:r>
      <w:r w:rsidR="00271804" w:rsidRPr="00271804">
        <w:t>Bienaventurado</w:t>
      </w:r>
      <w:r>
        <w:t>” (</w:t>
      </w:r>
      <w:r w:rsidR="00057BF4" w:rsidRPr="00057BF4">
        <w:rPr>
          <w:i/>
          <w:iCs/>
        </w:rPr>
        <w:t>Bhagavā</w:t>
      </w:r>
      <w:r>
        <w:t>).</w:t>
      </w:r>
    </w:p>
    <w:p w14:paraId="01C6F652" w14:textId="423B4516" w:rsidR="00880440" w:rsidRDefault="00880440" w:rsidP="00880440">
      <w:pPr>
        <w:pStyle w:val="NormalConSangria"/>
        <w:rPr>
          <w:vertAlign w:val="superscript"/>
        </w:rPr>
      </w:pPr>
      <w:r>
        <w:t xml:space="preserve">El significado de estas palabras debe entenderse de acuerdo con el método de explicación dado en </w:t>
      </w:r>
      <w:r w:rsidR="005D2621">
        <w:t xml:space="preserve">el </w:t>
      </w:r>
      <w:proofErr w:type="spellStart"/>
      <w:r w:rsidRPr="0043268C">
        <w:rPr>
          <w:i/>
          <w:iCs/>
        </w:rPr>
        <w:t>Niddesa</w:t>
      </w:r>
      <w:proofErr w:type="spellEnd"/>
      <w:r>
        <w:t xml:space="preserve"> (Nidd I 142).</w:t>
      </w:r>
      <w:r w:rsidRPr="00880440">
        <w:rPr>
          <w:vertAlign w:val="superscript"/>
        </w:rPr>
        <w:t>24</w:t>
      </w:r>
    </w:p>
    <w:p w14:paraId="6B7ED8C6" w14:textId="77777777" w:rsidR="002B7429" w:rsidRDefault="002B7429" w:rsidP="00880440">
      <w:pPr>
        <w:pStyle w:val="NormalConSangria"/>
      </w:pPr>
    </w:p>
    <w:p w14:paraId="56C5A02A" w14:textId="77777777" w:rsidR="00880440" w:rsidRDefault="00880440" w:rsidP="00880440">
      <w:pPr>
        <w:pStyle w:val="Piedepgina"/>
        <w:rPr>
          <w:u w:val="single"/>
        </w:rPr>
      </w:pPr>
      <w:r>
        <w:rPr>
          <w:u w:val="single"/>
        </w:rPr>
        <w:t xml:space="preserve">                                                                                                                                                                          .</w:t>
      </w:r>
    </w:p>
    <w:p w14:paraId="1023DA38" w14:textId="7F562B0C" w:rsidR="00271804" w:rsidRDefault="00271804" w:rsidP="002B7429">
      <w:pPr>
        <w:pStyle w:val="PiedepginaLegal"/>
        <w:tabs>
          <w:tab w:val="clear" w:pos="6804"/>
        </w:tabs>
        <w:ind w:right="476"/>
      </w:pPr>
      <w:r>
        <w:t xml:space="preserve">23. </w:t>
      </w:r>
      <w:r>
        <w:tab/>
      </w:r>
      <w:r w:rsidR="002B7429">
        <w:t xml:space="preserve">Nombre </w:t>
      </w:r>
      <w:r w:rsidR="006366E0">
        <w:t>asignado a</w:t>
      </w:r>
      <w:r>
        <w:t xml:space="preserve">l Venerable Sāriputta </w:t>
      </w:r>
      <w:r w:rsidR="006366E0">
        <w:t xml:space="preserve">en el comentario </w:t>
      </w:r>
      <w:r>
        <w:t xml:space="preserve">a quien se </w:t>
      </w:r>
      <w:r w:rsidR="006366E0">
        <w:t xml:space="preserve">le </w:t>
      </w:r>
      <w:r>
        <w:t xml:space="preserve">atribuye tradicionalmente la autoría del </w:t>
      </w:r>
      <w:proofErr w:type="spellStart"/>
      <w:r w:rsidRPr="0051040A">
        <w:rPr>
          <w:i/>
          <w:iCs/>
        </w:rPr>
        <w:t>Paṭisambhidā</w:t>
      </w:r>
      <w:proofErr w:type="spellEnd"/>
      <w:r>
        <w:t xml:space="preserve">. El texto </w:t>
      </w:r>
      <w:proofErr w:type="spellStart"/>
      <w:r w:rsidRPr="0051040A">
        <w:rPr>
          <w:i/>
          <w:iCs/>
        </w:rPr>
        <w:t>Paṭisambhidā</w:t>
      </w:r>
      <w:proofErr w:type="spellEnd"/>
      <w:r>
        <w:t xml:space="preserve"> </w:t>
      </w:r>
      <w:r w:rsidR="002B7429">
        <w:t>trata con el término</w:t>
      </w:r>
      <w:r>
        <w:t xml:space="preserve"> “</w:t>
      </w:r>
      <w:r w:rsidRPr="00057BF4">
        <w:rPr>
          <w:i/>
          <w:iCs/>
        </w:rPr>
        <w:t>Buddha</w:t>
      </w:r>
      <w:r>
        <w:t xml:space="preserve">”, </w:t>
      </w:r>
      <w:r w:rsidR="002B7429">
        <w:t xml:space="preserve">y </w:t>
      </w:r>
      <w:r>
        <w:t>no “</w:t>
      </w:r>
      <w:r w:rsidRPr="00057BF4">
        <w:rPr>
          <w:i/>
        </w:rPr>
        <w:t>Bhagavā</w:t>
      </w:r>
      <w:r>
        <w:t>”.</w:t>
      </w:r>
    </w:p>
    <w:p w14:paraId="79A8473B" w14:textId="28140AC5" w:rsidR="00880440" w:rsidRDefault="00880440" w:rsidP="002B7429">
      <w:pPr>
        <w:pStyle w:val="PiedepginaLegal"/>
        <w:tabs>
          <w:tab w:val="clear" w:pos="6804"/>
        </w:tabs>
        <w:ind w:right="476"/>
      </w:pPr>
      <w:r>
        <w:t>24.</w:t>
      </w:r>
      <w:r>
        <w:tab/>
        <w:t xml:space="preserve">“El método </w:t>
      </w:r>
      <w:proofErr w:type="spellStart"/>
      <w:r w:rsidRPr="00A86556">
        <w:rPr>
          <w:i/>
          <w:iCs/>
        </w:rPr>
        <w:t>Niddesa</w:t>
      </w:r>
      <w:proofErr w:type="spellEnd"/>
      <w:r>
        <w:t xml:space="preserve"> es </w:t>
      </w:r>
      <w:r w:rsidR="00FE5647">
        <w:t>é</w:t>
      </w:r>
      <w:r>
        <w:t xml:space="preserve">ste: ‘La palabra </w:t>
      </w:r>
      <w:r w:rsidR="00DB23AA" w:rsidRPr="00DB23AA">
        <w:t>Bienaventurado</w:t>
      </w:r>
      <w:r w:rsidR="00DB23AA">
        <w:t xml:space="preserve"> </w:t>
      </w:r>
      <w:r>
        <w:t>(</w:t>
      </w:r>
      <w:proofErr w:type="spellStart"/>
      <w:r w:rsidR="00505F49" w:rsidRPr="00057BF4">
        <w:rPr>
          <w:i/>
          <w:iCs/>
        </w:rPr>
        <w:t>bhagavā</w:t>
      </w:r>
      <w:proofErr w:type="spellEnd"/>
      <w:r>
        <w:t xml:space="preserve">) es un término de respeto. Además, ha </w:t>
      </w:r>
      <w:r w:rsidR="002B7429">
        <w:t xml:space="preserve">eliminado </w:t>
      </w:r>
      <w:r>
        <w:t>(</w:t>
      </w:r>
      <w:proofErr w:type="spellStart"/>
      <w:r w:rsidRPr="00A86556">
        <w:rPr>
          <w:i/>
          <w:iCs/>
        </w:rPr>
        <w:t>bhagga</w:t>
      </w:r>
      <w:proofErr w:type="spellEnd"/>
      <w:r>
        <w:t xml:space="preserve">) la codicia, por lo que es </w:t>
      </w:r>
      <w:r w:rsidR="00DB23AA" w:rsidRPr="00DB23AA">
        <w:t xml:space="preserve">Bienaventurado </w:t>
      </w:r>
      <w:r>
        <w:t>(</w:t>
      </w:r>
      <w:proofErr w:type="spellStart"/>
      <w:r w:rsidR="00505F49" w:rsidRPr="00057BF4">
        <w:rPr>
          <w:i/>
          <w:iCs/>
        </w:rPr>
        <w:t>bhagavā</w:t>
      </w:r>
      <w:proofErr w:type="spellEnd"/>
      <w:r>
        <w:t xml:space="preserve">); ha </w:t>
      </w:r>
      <w:r w:rsidR="002B7429">
        <w:t>eliminado</w:t>
      </w:r>
      <w:r>
        <w:t xml:space="preserve"> el </w:t>
      </w:r>
      <w:r w:rsidR="00FE5647">
        <w:t>odio,</w:t>
      </w:r>
      <w:r>
        <w:t xml:space="preserve"> </w:t>
      </w:r>
      <w:r w:rsidR="00FD4073">
        <w:t>…</w:t>
      </w:r>
      <w:r w:rsidR="00FE5647">
        <w:t>la ilusión</w:t>
      </w:r>
      <w:r>
        <w:t xml:space="preserve">, </w:t>
      </w:r>
      <w:r w:rsidR="00FD4073">
        <w:t>…</w:t>
      </w:r>
      <w:r>
        <w:t>los puntos de vista,</w:t>
      </w:r>
      <w:r w:rsidR="00FD4073">
        <w:t xml:space="preserve"> </w:t>
      </w:r>
      <w:r>
        <w:t>...la codicia,</w:t>
      </w:r>
      <w:r w:rsidR="00FD4073">
        <w:t xml:space="preserve"> </w:t>
      </w:r>
      <w:r>
        <w:t>...la</w:t>
      </w:r>
      <w:r w:rsidR="002B7429">
        <w:t>s</w:t>
      </w:r>
      <w:r>
        <w:t xml:space="preserve"> </w:t>
      </w:r>
      <w:r w:rsidR="002B7429">
        <w:t>impurezas</w:t>
      </w:r>
      <w:r>
        <w:t xml:space="preserve">, </w:t>
      </w:r>
      <w:r w:rsidR="002B7429">
        <w:t xml:space="preserve">es así cómo </w:t>
      </w:r>
      <w:r>
        <w:t xml:space="preserve">es </w:t>
      </w:r>
      <w:r w:rsidR="00FD4073">
        <w:t>Bienaventurado</w:t>
      </w:r>
      <w:r>
        <w:t>.</w:t>
      </w:r>
    </w:p>
    <w:p w14:paraId="47C198BF" w14:textId="75F3C718" w:rsidR="00880440" w:rsidRDefault="00880440" w:rsidP="002B7429">
      <w:pPr>
        <w:pStyle w:val="PiedepginaLegal"/>
        <w:tabs>
          <w:tab w:val="clear" w:pos="6804"/>
        </w:tabs>
        <w:ind w:right="476"/>
      </w:pPr>
      <w:r>
        <w:tab/>
      </w:r>
      <w:r>
        <w:tab/>
        <w:t>“‘Él dividió (</w:t>
      </w:r>
      <w:proofErr w:type="spellStart"/>
      <w:r w:rsidRPr="00A86556">
        <w:rPr>
          <w:i/>
          <w:iCs/>
        </w:rPr>
        <w:t>bhaji</w:t>
      </w:r>
      <w:proofErr w:type="spellEnd"/>
      <w:r>
        <w:t>), analizó (</w:t>
      </w:r>
      <w:proofErr w:type="spellStart"/>
      <w:r w:rsidRPr="00A86556">
        <w:rPr>
          <w:i/>
          <w:iCs/>
        </w:rPr>
        <w:t>vibhaji</w:t>
      </w:r>
      <w:proofErr w:type="spellEnd"/>
      <w:r>
        <w:t>) y clasificó (</w:t>
      </w:r>
      <w:proofErr w:type="spellStart"/>
      <w:r w:rsidRPr="00A86556">
        <w:rPr>
          <w:i/>
          <w:iCs/>
        </w:rPr>
        <w:t>paṭivibhaji</w:t>
      </w:r>
      <w:proofErr w:type="spellEnd"/>
      <w:r>
        <w:t xml:space="preserve">) el tesoro del </w:t>
      </w:r>
      <w:r w:rsidR="00057BF4" w:rsidRPr="00057BF4">
        <w:rPr>
          <w:i/>
        </w:rPr>
        <w:t>Dhamma</w:t>
      </w:r>
      <w:r>
        <w:t xml:space="preserve">, </w:t>
      </w:r>
      <w:r w:rsidR="002B7429">
        <w:t>es así cómo</w:t>
      </w:r>
      <w:r>
        <w:t xml:space="preserve"> es </w:t>
      </w:r>
      <w:r w:rsidR="00FD4073">
        <w:t xml:space="preserve">un Bienaventurado </w:t>
      </w:r>
      <w:r>
        <w:t>(</w:t>
      </w:r>
      <w:r w:rsidR="00057BF4" w:rsidRPr="00057BF4">
        <w:rPr>
          <w:i/>
        </w:rPr>
        <w:t>Bhagavā</w:t>
      </w:r>
      <w:r>
        <w:t xml:space="preserve">). Él </w:t>
      </w:r>
      <w:r w:rsidRPr="00A86556">
        <w:rPr>
          <w:i/>
          <w:iCs/>
        </w:rPr>
        <w:t>pone</w:t>
      </w:r>
      <w:r>
        <w:t xml:space="preserve"> fin a las clases de devenir (</w:t>
      </w:r>
      <w:proofErr w:type="spellStart"/>
      <w:r w:rsidRPr="00A86556">
        <w:rPr>
          <w:i/>
          <w:iCs/>
        </w:rPr>
        <w:t>bhavāna</w:t>
      </w:r>
      <w:r w:rsidR="00A86556">
        <w:rPr>
          <w:i/>
          <w:iCs/>
        </w:rPr>
        <w:t>ṃ</w:t>
      </w:r>
      <w:proofErr w:type="spellEnd"/>
      <w:r>
        <w:t xml:space="preserve"> </w:t>
      </w:r>
      <w:proofErr w:type="spellStart"/>
      <w:r w:rsidRPr="00A86556">
        <w:rPr>
          <w:i/>
          <w:iCs/>
        </w:rPr>
        <w:t>antakaroti</w:t>
      </w:r>
      <w:proofErr w:type="spellEnd"/>
      <w:r>
        <w:t xml:space="preserve">), </w:t>
      </w:r>
      <w:r w:rsidR="002B7429">
        <w:t xml:space="preserve">es así cómo </w:t>
      </w:r>
      <w:r>
        <w:t xml:space="preserve">es </w:t>
      </w:r>
      <w:r w:rsidR="00FD4073">
        <w:t xml:space="preserve">un Bienaventurado </w:t>
      </w:r>
      <w:r>
        <w:t>(</w:t>
      </w:r>
      <w:proofErr w:type="spellStart"/>
      <w:r w:rsidR="00505F49" w:rsidRPr="00057BF4">
        <w:rPr>
          <w:i/>
          <w:iCs/>
        </w:rPr>
        <w:t>bhagavā</w:t>
      </w:r>
      <w:proofErr w:type="spellEnd"/>
      <w:r>
        <w:t>). Ha desarrollado (</w:t>
      </w:r>
      <w:proofErr w:type="spellStart"/>
      <w:r w:rsidRPr="00A86556">
        <w:rPr>
          <w:i/>
          <w:iCs/>
        </w:rPr>
        <w:t>bhāvita</w:t>
      </w:r>
      <w:proofErr w:type="spellEnd"/>
      <w:r>
        <w:t>) el cuerpo y la virtud</w:t>
      </w:r>
      <w:r w:rsidR="002B7429">
        <w:t>,</w:t>
      </w:r>
      <w:r>
        <w:t xml:space="preserve"> la mente y el entendimiento, </w:t>
      </w:r>
      <w:r w:rsidR="002B7429">
        <w:t xml:space="preserve">es así cómo </w:t>
      </w:r>
      <w:r>
        <w:t xml:space="preserve">es </w:t>
      </w:r>
      <w:r w:rsidR="00FD4073" w:rsidRPr="00FD4073">
        <w:t xml:space="preserve">un Bienaventurado </w:t>
      </w:r>
      <w:r>
        <w:t>(</w:t>
      </w:r>
      <w:r w:rsidR="00057BF4" w:rsidRPr="00057BF4">
        <w:rPr>
          <w:i/>
          <w:iCs/>
        </w:rPr>
        <w:t>Bhagavā</w:t>
      </w:r>
      <w:r>
        <w:t>).</w:t>
      </w:r>
    </w:p>
    <w:p w14:paraId="690DAA08" w14:textId="3C2340E1" w:rsidR="00880440" w:rsidRDefault="00880440" w:rsidP="002B7429">
      <w:pPr>
        <w:pStyle w:val="PiedepginaLegal"/>
        <w:tabs>
          <w:tab w:val="clear" w:pos="6804"/>
        </w:tabs>
        <w:ind w:right="476"/>
      </w:pPr>
      <w:r>
        <w:tab/>
      </w:r>
      <w:r>
        <w:tab/>
        <w:t xml:space="preserve">“'O el </w:t>
      </w:r>
      <w:r w:rsidR="00FD4073" w:rsidRPr="00FD4073">
        <w:t xml:space="preserve">Bienaventurado </w:t>
      </w:r>
      <w:r>
        <w:t>es un frecuentador (</w:t>
      </w:r>
      <w:proofErr w:type="spellStart"/>
      <w:r w:rsidRPr="00A86556">
        <w:rPr>
          <w:i/>
          <w:iCs/>
        </w:rPr>
        <w:t>bhajī</w:t>
      </w:r>
      <w:proofErr w:type="spellEnd"/>
      <w:r>
        <w:t xml:space="preserve">) de lugares de descanso remotos en la espesura de </w:t>
      </w:r>
      <w:r w:rsidR="00FD4073">
        <w:t>un</w:t>
      </w:r>
      <w:r>
        <w:t xml:space="preserve">a jungla </w:t>
      </w:r>
      <w:r w:rsidR="00FD4073">
        <w:t>de</w:t>
      </w:r>
      <w:r>
        <w:t xml:space="preserve"> poco ruido, </w:t>
      </w:r>
      <w:r w:rsidR="00FD4073">
        <w:t>de</w:t>
      </w:r>
      <w:r>
        <w:t xml:space="preserve"> pocas voces, </w:t>
      </w:r>
      <w:r w:rsidR="00FD4073">
        <w:t>de</w:t>
      </w:r>
      <w:r>
        <w:t xml:space="preserve"> una atmósfera solitaria, donde uno pued</w:t>
      </w:r>
      <w:r w:rsidR="002B7429">
        <w:t>a</w:t>
      </w:r>
      <w:r>
        <w:t xml:space="preserve"> yacer </w:t>
      </w:r>
      <w:r w:rsidR="00FD4073">
        <w:t>recluido</w:t>
      </w:r>
      <w:r>
        <w:t xml:space="preserve"> de la gente, propicio para el retiro, </w:t>
      </w:r>
      <w:r w:rsidR="002B7429">
        <w:t xml:space="preserve">es así cómo </w:t>
      </w:r>
      <w:r>
        <w:t xml:space="preserve">es </w:t>
      </w:r>
      <w:r w:rsidR="00762A95">
        <w:t xml:space="preserve">un Bienaventurado </w:t>
      </w:r>
      <w:r>
        <w:t>(</w:t>
      </w:r>
      <w:proofErr w:type="spellStart"/>
      <w:r w:rsidR="00505F49" w:rsidRPr="00057BF4">
        <w:rPr>
          <w:i/>
          <w:iCs/>
        </w:rPr>
        <w:t>bhagavā</w:t>
      </w:r>
      <w:proofErr w:type="spellEnd"/>
      <w:r>
        <w:t>).</w:t>
      </w:r>
    </w:p>
    <w:p w14:paraId="1F6C4B94" w14:textId="1060172A" w:rsidR="00880440" w:rsidRDefault="00880440" w:rsidP="002B7429">
      <w:pPr>
        <w:pStyle w:val="PiedepginaLegal"/>
        <w:tabs>
          <w:tab w:val="clear" w:pos="6804"/>
        </w:tabs>
        <w:ind w:right="476"/>
      </w:pPr>
      <w:r>
        <w:tab/>
      </w:r>
      <w:r>
        <w:tab/>
        <w:t xml:space="preserve">“‘O el </w:t>
      </w:r>
      <w:r w:rsidR="00762A95">
        <w:t xml:space="preserve">Bienaventurado </w:t>
      </w:r>
      <w:r>
        <w:t xml:space="preserve">es un </w:t>
      </w:r>
      <w:r w:rsidR="002B7429">
        <w:t>portador</w:t>
      </w:r>
      <w:r>
        <w:t xml:space="preserve"> (</w:t>
      </w:r>
      <w:proofErr w:type="spellStart"/>
      <w:r w:rsidRPr="00A86556">
        <w:rPr>
          <w:i/>
          <w:iCs/>
        </w:rPr>
        <w:t>bhg</w:t>
      </w:r>
      <w:r w:rsidR="00A86556" w:rsidRPr="00A86556">
        <w:rPr>
          <w:i/>
          <w:iCs/>
        </w:rPr>
        <w:t>ī</w:t>
      </w:r>
      <w:proofErr w:type="spellEnd"/>
      <w:r>
        <w:t xml:space="preserve">) de </w:t>
      </w:r>
      <w:r w:rsidR="00762A95">
        <w:t>ropaje</w:t>
      </w:r>
      <w:r w:rsidR="00505F49">
        <w:t>s</w:t>
      </w:r>
      <w:r>
        <w:t xml:space="preserve">, </w:t>
      </w:r>
      <w:r w:rsidR="002B7429">
        <w:t xml:space="preserve">de </w:t>
      </w:r>
      <w:r w:rsidR="00505F49">
        <w:t>ofrenda de alimentos</w:t>
      </w:r>
      <w:r>
        <w:t xml:space="preserve">, </w:t>
      </w:r>
      <w:r w:rsidR="002B7429">
        <w:t xml:space="preserve">de </w:t>
      </w:r>
      <w:r>
        <w:t xml:space="preserve">lugar de descanso y </w:t>
      </w:r>
      <w:r w:rsidR="002B7429">
        <w:t>d</w:t>
      </w:r>
      <w:r>
        <w:t xml:space="preserve">el requisito de la medicina como cura para enfermos, </w:t>
      </w:r>
      <w:r w:rsidR="002B7429">
        <w:t xml:space="preserve">es así cómo es </w:t>
      </w:r>
      <w:r w:rsidR="00505F49">
        <w:t xml:space="preserve">un Bienaventurado </w:t>
      </w:r>
      <w:r>
        <w:t>(</w:t>
      </w:r>
      <w:proofErr w:type="spellStart"/>
      <w:r w:rsidRPr="00A86556">
        <w:rPr>
          <w:i/>
          <w:iCs/>
        </w:rPr>
        <w:t>bhagvā</w:t>
      </w:r>
      <w:proofErr w:type="spellEnd"/>
      <w:r>
        <w:t xml:space="preserve">). O </w:t>
      </w:r>
      <w:r w:rsidR="00037E8A">
        <w:t xml:space="preserve">es un </w:t>
      </w:r>
      <w:r w:rsidR="002B7429">
        <w:t>portador</w:t>
      </w:r>
      <w:r w:rsidR="00037E8A">
        <w:t xml:space="preserve"> </w:t>
      </w:r>
      <w:r>
        <w:t xml:space="preserve">del sabor del significado, </w:t>
      </w:r>
      <w:r w:rsidR="00126216">
        <w:t>d</w:t>
      </w:r>
      <w:r>
        <w:t xml:space="preserve">el sabor de la Ley, </w:t>
      </w:r>
      <w:r w:rsidR="00AB557D">
        <w:t>d</w:t>
      </w:r>
      <w:r>
        <w:t xml:space="preserve">el sabor de la liberación, </w:t>
      </w:r>
      <w:r w:rsidR="00AB557D">
        <w:t xml:space="preserve">de </w:t>
      </w:r>
      <w:r>
        <w:t xml:space="preserve">la virtud superior, </w:t>
      </w:r>
      <w:r w:rsidR="00AB557D">
        <w:t xml:space="preserve">de </w:t>
      </w:r>
      <w:r>
        <w:t>la con</w:t>
      </w:r>
      <w:r w:rsidR="00505F49">
        <w:t>s</w:t>
      </w:r>
      <w:r>
        <w:t xml:space="preserve">ciencia superior, </w:t>
      </w:r>
      <w:r w:rsidR="00AB557D">
        <w:t>d</w:t>
      </w:r>
      <w:r w:rsidR="00505F49">
        <w:t>el entendimiento</w:t>
      </w:r>
      <w:r>
        <w:t xml:space="preserve"> superior, </w:t>
      </w:r>
      <w:r w:rsidR="00AB557D">
        <w:t xml:space="preserve">es así cómo </w:t>
      </w:r>
      <w:r>
        <w:t xml:space="preserve">es </w:t>
      </w:r>
      <w:r w:rsidR="00505F49">
        <w:t xml:space="preserve">un Bienaventurado </w:t>
      </w:r>
      <w:r>
        <w:t>(</w:t>
      </w:r>
      <w:proofErr w:type="spellStart"/>
      <w:r w:rsidRPr="00A86556">
        <w:rPr>
          <w:i/>
          <w:iCs/>
        </w:rPr>
        <w:t>bhagvā</w:t>
      </w:r>
      <w:proofErr w:type="spellEnd"/>
      <w:r>
        <w:t xml:space="preserve">). O </w:t>
      </w:r>
      <w:r w:rsidR="006225D7">
        <w:t xml:space="preserve">es un </w:t>
      </w:r>
      <w:r w:rsidR="00AB557D">
        <w:t xml:space="preserve">portador </w:t>
      </w:r>
      <w:r>
        <w:t xml:space="preserve">de los cuatro </w:t>
      </w:r>
      <w:proofErr w:type="spellStart"/>
      <w:r w:rsidR="00057BF4" w:rsidRPr="00057BF4">
        <w:rPr>
          <w:i/>
          <w:iCs/>
        </w:rPr>
        <w:t>jhāna</w:t>
      </w:r>
      <w:r w:rsidR="00A86556">
        <w:rPr>
          <w:i/>
          <w:iCs/>
        </w:rPr>
        <w:t>s</w:t>
      </w:r>
      <w:proofErr w:type="spellEnd"/>
      <w:r>
        <w:t xml:space="preserve">, los cuatro estados inconmensurables, los cuatro estados inmateriales, </w:t>
      </w:r>
      <w:r w:rsidR="00AB557D">
        <w:t xml:space="preserve">es así cómo </w:t>
      </w:r>
      <w:r>
        <w:t xml:space="preserve">es </w:t>
      </w:r>
      <w:r w:rsidR="006225D7">
        <w:t>un Bienaventurado</w:t>
      </w:r>
      <w:r>
        <w:t xml:space="preserve">. O es </w:t>
      </w:r>
      <w:r w:rsidR="00AB557D">
        <w:t xml:space="preserve">un portador </w:t>
      </w:r>
      <w:r>
        <w:t xml:space="preserve">de las ocho liberaciones, las ocho bases de la maestría, los nueve logros sucesivos, </w:t>
      </w:r>
      <w:r w:rsidR="00AB557D">
        <w:t xml:space="preserve">es así cómo </w:t>
      </w:r>
      <w:r>
        <w:t xml:space="preserve">es </w:t>
      </w:r>
      <w:r w:rsidR="006225D7">
        <w:t>un Bienaventurado</w:t>
      </w:r>
      <w:r>
        <w:t xml:space="preserve">. O </w:t>
      </w:r>
      <w:r w:rsidR="006225D7">
        <w:t xml:space="preserve">es un </w:t>
      </w:r>
      <w:r w:rsidR="00AB557D">
        <w:t xml:space="preserve">portador </w:t>
      </w:r>
      <w:r>
        <w:t xml:space="preserve">de los diez desarrollos de la percepción, los </w:t>
      </w:r>
      <w:r w:rsidR="0034053E">
        <w:t>10</w:t>
      </w:r>
      <w:r>
        <w:t xml:space="preserve"> logros </w:t>
      </w:r>
      <w:proofErr w:type="spellStart"/>
      <w:r w:rsidR="00057BF4" w:rsidRPr="00057BF4">
        <w:rPr>
          <w:i/>
          <w:iCs/>
        </w:rPr>
        <w:t>kasiṇa</w:t>
      </w:r>
      <w:proofErr w:type="spellEnd"/>
      <w:r>
        <w:t xml:space="preserve">, la concentración debido a la atención plena de la respiración, el logro debido a la </w:t>
      </w:r>
      <w:proofErr w:type="gramStart"/>
      <w:r>
        <w:t>impureza,</w:t>
      </w:r>
      <w:proofErr w:type="gramEnd"/>
      <w:r>
        <w:t xml:space="preserve"> </w:t>
      </w:r>
      <w:r w:rsidR="00AB557D">
        <w:t xml:space="preserve">es así cómo </w:t>
      </w:r>
      <w:r>
        <w:t xml:space="preserve">es </w:t>
      </w:r>
      <w:r w:rsidR="00213766">
        <w:t>un Bienaventurado</w:t>
      </w:r>
      <w:r>
        <w:t xml:space="preserve">. O es </w:t>
      </w:r>
      <w:r w:rsidR="00AB557D">
        <w:t xml:space="preserve">un portador </w:t>
      </w:r>
      <w:r>
        <w:t>de los diez poderes de los Perfectos (ver MN 12), de los</w:t>
      </w:r>
      <w:r w:rsidR="00213766" w:rsidRPr="00213766">
        <w:t xml:space="preserve"> cuatro tipos de confianza </w:t>
      </w:r>
    </w:p>
    <w:p w14:paraId="4636F0A3" w14:textId="77777777" w:rsidR="006F5C11" w:rsidRDefault="006F5C11">
      <w:pPr>
        <w:tabs>
          <w:tab w:val="clear" w:pos="425"/>
        </w:tabs>
        <w:spacing w:after="160"/>
      </w:pPr>
      <w:r>
        <w:br w:type="page"/>
      </w:r>
    </w:p>
    <w:p w14:paraId="4247D0CF" w14:textId="72E81ACC" w:rsidR="006F5C11" w:rsidRDefault="006F5C11" w:rsidP="006F5C11">
      <w:r>
        <w:lastRenderedPageBreak/>
        <w:br/>
      </w:r>
    </w:p>
    <w:p w14:paraId="625BEFEF" w14:textId="73DB0660" w:rsidR="006F5C11" w:rsidRDefault="006F5C11" w:rsidP="006F5C11">
      <w:r>
        <w:t xml:space="preserve">57. </w:t>
      </w:r>
      <w:r w:rsidR="002272D9">
        <w:tab/>
      </w:r>
      <w:r>
        <w:t>Pero hay este otro camino:</w:t>
      </w:r>
    </w:p>
    <w:p w14:paraId="7C1091D1" w14:textId="53EFAD55" w:rsidR="006F5C11" w:rsidRDefault="006F5C11" w:rsidP="002F35E4">
      <w:pPr>
        <w:pStyle w:val="VersoPali01Centrado"/>
        <w:spacing w:after="0"/>
        <w:ind w:left="1416"/>
        <w:jc w:val="left"/>
      </w:pPr>
      <w:proofErr w:type="spellStart"/>
      <w:r>
        <w:t>Bhāgyavā</w:t>
      </w:r>
      <w:proofErr w:type="spellEnd"/>
      <w:r>
        <w:t xml:space="preserve"> </w:t>
      </w:r>
      <w:proofErr w:type="spellStart"/>
      <w:r>
        <w:t>bhaggavā</w:t>
      </w:r>
      <w:proofErr w:type="spellEnd"/>
      <w:r>
        <w:t xml:space="preserve"> </w:t>
      </w:r>
      <w:proofErr w:type="spellStart"/>
      <w:r>
        <w:t>yutto</w:t>
      </w:r>
      <w:proofErr w:type="spellEnd"/>
      <w:r>
        <w:t xml:space="preserve"> </w:t>
      </w:r>
      <w:proofErr w:type="spellStart"/>
      <w:r>
        <w:t>bhagehi</w:t>
      </w:r>
      <w:proofErr w:type="spellEnd"/>
      <w:r>
        <w:t xml:space="preserve"> ca </w:t>
      </w:r>
      <w:proofErr w:type="spellStart"/>
      <w:r>
        <w:t>vibhattavā</w:t>
      </w:r>
      <w:proofErr w:type="spellEnd"/>
      <w:r>
        <w:t>.</w:t>
      </w:r>
    </w:p>
    <w:p w14:paraId="22B6F1A5" w14:textId="0B306CF6" w:rsidR="006F5C11" w:rsidRDefault="006F5C11" w:rsidP="002F35E4">
      <w:pPr>
        <w:pStyle w:val="VersoPali01Centrado"/>
        <w:ind w:left="1416"/>
        <w:jc w:val="left"/>
      </w:pPr>
      <w:proofErr w:type="spellStart"/>
      <w:r>
        <w:t>Bhattavā</w:t>
      </w:r>
      <w:proofErr w:type="spellEnd"/>
      <w:r>
        <w:t xml:space="preserve"> </w:t>
      </w:r>
      <w:proofErr w:type="spellStart"/>
      <w:r>
        <w:t>vanta-gamano</w:t>
      </w:r>
      <w:proofErr w:type="spellEnd"/>
      <w:r>
        <w:t xml:space="preserve"> </w:t>
      </w:r>
      <w:proofErr w:type="spellStart"/>
      <w:r>
        <w:t>bhavesu</w:t>
      </w:r>
      <w:proofErr w:type="spellEnd"/>
      <w:r>
        <w:t xml:space="preserve">: </w:t>
      </w:r>
      <w:r w:rsidR="00057BF4" w:rsidRPr="00057BF4">
        <w:t>Bhagavā</w:t>
      </w:r>
      <w:r>
        <w:t xml:space="preserve"> tato.</w:t>
      </w:r>
    </w:p>
    <w:p w14:paraId="5F60FE03" w14:textId="28945258" w:rsidR="006F5C11" w:rsidRDefault="006F5C11" w:rsidP="006F5C11">
      <w:pPr>
        <w:pStyle w:val="NormalConSangria"/>
      </w:pPr>
      <w:r>
        <w:t>Es afortunado (</w:t>
      </w:r>
      <w:proofErr w:type="spellStart"/>
      <w:r w:rsidRPr="00A86556">
        <w:rPr>
          <w:i/>
          <w:iCs/>
        </w:rPr>
        <w:t>bhāgyavā</w:t>
      </w:r>
      <w:proofErr w:type="spellEnd"/>
      <w:r>
        <w:t xml:space="preserve">), poseedor de </w:t>
      </w:r>
      <w:r w:rsidR="005D2621">
        <w:t xml:space="preserve">la </w:t>
      </w:r>
      <w:r w:rsidR="00487AD7">
        <w:t xml:space="preserve">facultad de la </w:t>
      </w:r>
      <w:r>
        <w:t>abolición (</w:t>
      </w:r>
      <w:proofErr w:type="spellStart"/>
      <w:r w:rsidRPr="00A86556">
        <w:rPr>
          <w:i/>
          <w:iCs/>
        </w:rPr>
        <w:t>bhaggavā</w:t>
      </w:r>
      <w:proofErr w:type="spellEnd"/>
      <w:r>
        <w:t xml:space="preserve">), </w:t>
      </w:r>
      <w:r w:rsidR="00487AD7">
        <w:t xml:space="preserve">está </w:t>
      </w:r>
      <w:r>
        <w:t xml:space="preserve">asociado con </w:t>
      </w:r>
      <w:proofErr w:type="gramStart"/>
      <w:r w:rsidR="00487AD7">
        <w:t xml:space="preserve">la </w:t>
      </w:r>
      <w:r>
        <w:t>bendiciones</w:t>
      </w:r>
      <w:proofErr w:type="gramEnd"/>
      <w:r>
        <w:t xml:space="preserve"> (</w:t>
      </w:r>
      <w:proofErr w:type="spellStart"/>
      <w:r w:rsidRPr="00A86556">
        <w:rPr>
          <w:i/>
          <w:iCs/>
        </w:rPr>
        <w:t>yutto</w:t>
      </w:r>
      <w:proofErr w:type="spellEnd"/>
      <w:r w:rsidRPr="00A86556">
        <w:rPr>
          <w:i/>
          <w:iCs/>
        </w:rPr>
        <w:t xml:space="preserve"> </w:t>
      </w:r>
      <w:proofErr w:type="spellStart"/>
      <w:r w:rsidRPr="00A86556">
        <w:rPr>
          <w:i/>
          <w:iCs/>
        </w:rPr>
        <w:t>bhagehi</w:t>
      </w:r>
      <w:proofErr w:type="spellEnd"/>
      <w:r w:rsidRPr="00A86556">
        <w:rPr>
          <w:i/>
          <w:iCs/>
        </w:rPr>
        <w:t>)</w:t>
      </w:r>
      <w:r>
        <w:t xml:space="preserve"> y </w:t>
      </w:r>
      <w:r w:rsidR="00487AD7">
        <w:t xml:space="preserve">es </w:t>
      </w:r>
      <w:r>
        <w:t>poseedor de lo que ha</w:t>
      </w:r>
      <w:r w:rsidR="00B817E7">
        <w:t>ya sido</w:t>
      </w:r>
      <w:r>
        <w:t xml:space="preserve"> analizado (</w:t>
      </w:r>
      <w:proofErr w:type="spellStart"/>
      <w:r w:rsidRPr="00A86556">
        <w:rPr>
          <w:i/>
          <w:iCs/>
        </w:rPr>
        <w:t>vibhattavā</w:t>
      </w:r>
      <w:proofErr w:type="spellEnd"/>
      <w:r>
        <w:t>).</w:t>
      </w:r>
    </w:p>
    <w:p w14:paraId="26FDA656" w14:textId="1F192354" w:rsidR="006F5C11" w:rsidRDefault="006F5C11" w:rsidP="006F5C11">
      <w:pPr>
        <w:pStyle w:val="NormalConSangria"/>
      </w:pPr>
      <w:r>
        <w:t>Él ha frecuentado (</w:t>
      </w:r>
      <w:proofErr w:type="spellStart"/>
      <w:r w:rsidRPr="00A86556">
        <w:rPr>
          <w:i/>
          <w:iCs/>
        </w:rPr>
        <w:t>bhattavā</w:t>
      </w:r>
      <w:proofErr w:type="spellEnd"/>
      <w:r>
        <w:t>), y ha rechazado entrar en las clases de devenir (</w:t>
      </w:r>
      <w:proofErr w:type="spellStart"/>
      <w:r w:rsidRPr="00A86556">
        <w:rPr>
          <w:i/>
          <w:iCs/>
        </w:rPr>
        <w:t>vanta-gamano</w:t>
      </w:r>
      <w:proofErr w:type="spellEnd"/>
      <w:r w:rsidRPr="00A86556">
        <w:rPr>
          <w:i/>
          <w:iCs/>
        </w:rPr>
        <w:t xml:space="preserve"> </w:t>
      </w:r>
      <w:proofErr w:type="spellStart"/>
      <w:r w:rsidRPr="00A86556">
        <w:rPr>
          <w:i/>
          <w:iCs/>
        </w:rPr>
        <w:t>bhavesu</w:t>
      </w:r>
      <w:proofErr w:type="spellEnd"/>
      <w:r>
        <w:t xml:space="preserve">), por lo que es </w:t>
      </w:r>
      <w:r w:rsidR="00B817E7" w:rsidRPr="00B817E7">
        <w:t xml:space="preserve">un Bienaventurado </w:t>
      </w:r>
      <w:r>
        <w:t>(</w:t>
      </w:r>
      <w:r w:rsidR="00057BF4" w:rsidRPr="00057BF4">
        <w:rPr>
          <w:i/>
          <w:iCs/>
        </w:rPr>
        <w:t>Bhagavā</w:t>
      </w:r>
      <w:r>
        <w:t>).</w:t>
      </w:r>
    </w:p>
    <w:p w14:paraId="6BE304A3" w14:textId="691BCCA0" w:rsidR="006F5C11" w:rsidRDefault="006F5C11" w:rsidP="006F5C11">
      <w:r>
        <w:t xml:space="preserve">58. </w:t>
      </w:r>
      <w:r>
        <w:tab/>
        <w:t>Aquí, al usar la característica del lenguaje que comienza con “</w:t>
      </w:r>
      <w:r w:rsidR="00E81B4B">
        <w:t xml:space="preserve">un </w:t>
      </w:r>
      <w:r>
        <w:t xml:space="preserve">aumento de </w:t>
      </w:r>
      <w:r w:rsidR="00F062E6">
        <w:t xml:space="preserve">la </w:t>
      </w:r>
      <w:r>
        <w:t xml:space="preserve">vocal de </w:t>
      </w:r>
      <w:r w:rsidR="00F062E6">
        <w:t xml:space="preserve">la </w:t>
      </w:r>
      <w:r>
        <w:t xml:space="preserve">sílaba, </w:t>
      </w:r>
      <w:r w:rsidR="005C4AA2">
        <w:t xml:space="preserve">la </w:t>
      </w:r>
      <w:r>
        <w:t xml:space="preserve">elisión de </w:t>
      </w:r>
      <w:r w:rsidR="00F062E6">
        <w:t xml:space="preserve">la </w:t>
      </w:r>
      <w:r>
        <w:t xml:space="preserve">sílaba” (ver </w:t>
      </w:r>
      <w:proofErr w:type="spellStart"/>
      <w:r w:rsidRPr="00A86556">
        <w:rPr>
          <w:i/>
          <w:iCs/>
        </w:rPr>
        <w:t>Kāśika</w:t>
      </w:r>
      <w:proofErr w:type="spellEnd"/>
      <w:r>
        <w:t xml:space="preserve"> VI.3.109), o al usar la característica de inserción que comienza con el ejemplo de </w:t>
      </w:r>
      <w:proofErr w:type="spellStart"/>
      <w:r w:rsidRPr="00A86556">
        <w:rPr>
          <w:i/>
          <w:iCs/>
        </w:rPr>
        <w:t>pisodara</w:t>
      </w:r>
      <w:proofErr w:type="spellEnd"/>
      <w:r>
        <w:t xml:space="preserve">, etc. (ver </w:t>
      </w:r>
      <w:proofErr w:type="spellStart"/>
      <w:r w:rsidRPr="00A86556">
        <w:rPr>
          <w:i/>
          <w:iCs/>
        </w:rPr>
        <w:t>Pāṇini</w:t>
      </w:r>
      <w:proofErr w:type="spellEnd"/>
      <w:r>
        <w:t xml:space="preserve">, </w:t>
      </w:r>
      <w:proofErr w:type="spellStart"/>
      <w:r w:rsidRPr="00A86556">
        <w:rPr>
          <w:i/>
          <w:iCs/>
        </w:rPr>
        <w:t>Gaṇapā</w:t>
      </w:r>
      <w:r w:rsidR="00A86556" w:rsidRPr="00A86556">
        <w:rPr>
          <w:i/>
          <w:iCs/>
        </w:rPr>
        <w:t>ṭ</w:t>
      </w:r>
      <w:r w:rsidRPr="00A86556">
        <w:rPr>
          <w:i/>
          <w:iCs/>
        </w:rPr>
        <w:t>þha</w:t>
      </w:r>
      <w:proofErr w:type="spellEnd"/>
      <w:r>
        <w:t xml:space="preserve"> 6, 3, 109), se puede saber que él también puede ser llamado "</w:t>
      </w:r>
      <w:r w:rsidR="005D1312" w:rsidRPr="005D1312">
        <w:t>Bienaventurado</w:t>
      </w:r>
      <w:r>
        <w:t>" (</w:t>
      </w:r>
      <w:r w:rsidR="00057BF4" w:rsidRPr="00057BF4">
        <w:rPr>
          <w:i/>
          <w:iCs/>
        </w:rPr>
        <w:t>Bhagavā</w:t>
      </w:r>
      <w:r>
        <w:t xml:space="preserve">) cuando se </w:t>
      </w:r>
      <w:r w:rsidR="002021E0">
        <w:t xml:space="preserve">le </w:t>
      </w:r>
      <w:r>
        <w:t>llam</w:t>
      </w:r>
      <w:r w:rsidR="002021E0">
        <w:t>e</w:t>
      </w:r>
      <w:r>
        <w:t xml:space="preserve"> "afortunado" (</w:t>
      </w:r>
      <w:proofErr w:type="spellStart"/>
      <w:r w:rsidRPr="00A86556">
        <w:rPr>
          <w:i/>
          <w:iCs/>
        </w:rPr>
        <w:t>bhāgyavā</w:t>
      </w:r>
      <w:proofErr w:type="spellEnd"/>
      <w:r>
        <w:t>) debido a la fortuna (</w:t>
      </w:r>
      <w:proofErr w:type="spellStart"/>
      <w:r w:rsidRPr="00A86556">
        <w:rPr>
          <w:i/>
          <w:iCs/>
        </w:rPr>
        <w:t>bhāgya</w:t>
      </w:r>
      <w:proofErr w:type="spellEnd"/>
      <w:r>
        <w:t>) de haber alcanzado l</w:t>
      </w:r>
      <w:r w:rsidR="003F01FB">
        <w:t>a</w:t>
      </w:r>
      <w:r>
        <w:t xml:space="preserve"> otra orilla del océano de la perfección de la generosidad, la virtud, etc., que producen la bienaventuranza mundana y supramundana (véase </w:t>
      </w:r>
      <w:proofErr w:type="spellStart"/>
      <w:r>
        <w:t>Khp</w:t>
      </w:r>
      <w:proofErr w:type="spellEnd"/>
      <w:r>
        <w:t>-a 108).</w:t>
      </w:r>
    </w:p>
    <w:p w14:paraId="7F35C16B" w14:textId="286A6D20" w:rsidR="006F5C11" w:rsidRDefault="006F5C11" w:rsidP="006F5C11">
      <w:r>
        <w:t xml:space="preserve">59. </w:t>
      </w:r>
      <w:r>
        <w:tab/>
        <w:t xml:space="preserve">Del mismo modo, él también </w:t>
      </w:r>
      <w:r w:rsidR="00F70C8E">
        <w:t>podría</w:t>
      </w:r>
      <w:r>
        <w:t xml:space="preserve"> ser </w:t>
      </w:r>
      <w:r w:rsidR="003F5762">
        <w:t>llamado</w:t>
      </w:r>
      <w:r w:rsidR="00F70C8E">
        <w:t xml:space="preserve"> </w:t>
      </w:r>
      <w:r>
        <w:t>"</w:t>
      </w:r>
      <w:r w:rsidR="002021E0" w:rsidRPr="002021E0">
        <w:t>Bienaventurado</w:t>
      </w:r>
      <w:r>
        <w:t>" (</w:t>
      </w:r>
      <w:r w:rsidR="00057BF4" w:rsidRPr="00057BF4">
        <w:rPr>
          <w:i/>
          <w:iCs/>
        </w:rPr>
        <w:t>Bhagavā</w:t>
      </w:r>
      <w:r>
        <w:t xml:space="preserve">) </w:t>
      </w:r>
      <w:r w:rsidR="002021E0">
        <w:t xml:space="preserve">cuando se le </w:t>
      </w:r>
      <w:r w:rsidR="003D4854">
        <w:t xml:space="preserve">describa como </w:t>
      </w:r>
      <w:r>
        <w:t xml:space="preserve">"poseído </w:t>
      </w:r>
      <w:r w:rsidR="002021E0">
        <w:t>de</w:t>
      </w:r>
      <w:r>
        <w:t xml:space="preserve"> </w:t>
      </w:r>
      <w:r w:rsidR="00F05DD0">
        <w:t xml:space="preserve">la facultad de la </w:t>
      </w:r>
      <w:r>
        <w:t>abolición" (</w:t>
      </w:r>
      <w:proofErr w:type="spellStart"/>
      <w:r w:rsidRPr="00A86556">
        <w:rPr>
          <w:i/>
          <w:iCs/>
        </w:rPr>
        <w:t>bhaggavā</w:t>
      </w:r>
      <w:proofErr w:type="spellEnd"/>
      <w:r>
        <w:t>) debido a que las siguientes amenazas ha</w:t>
      </w:r>
      <w:r w:rsidR="00D95303">
        <w:t xml:space="preserve">brían </w:t>
      </w:r>
      <w:r>
        <w:t xml:space="preserve">sido </w:t>
      </w:r>
      <w:r w:rsidR="0000772F">
        <w:t>extinguidas</w:t>
      </w:r>
      <w:r w:rsidR="003D4854">
        <w:t xml:space="preserve"> por él</w:t>
      </w:r>
      <w:r>
        <w:t xml:space="preserve">; </w:t>
      </w:r>
      <w:r w:rsidR="00D95303">
        <w:t xml:space="preserve">ya </w:t>
      </w:r>
      <w:r>
        <w:t>que él ha</w:t>
      </w:r>
      <w:r w:rsidR="00D95303">
        <w:t>bría</w:t>
      </w:r>
      <w:r>
        <w:t xml:space="preserve"> </w:t>
      </w:r>
      <w:r w:rsidR="0000772F">
        <w:t xml:space="preserve">extinguido </w:t>
      </w:r>
      <w:r>
        <w:t>(</w:t>
      </w:r>
      <w:proofErr w:type="spellStart"/>
      <w:r w:rsidRPr="00A86556">
        <w:rPr>
          <w:i/>
          <w:iCs/>
        </w:rPr>
        <w:t>abhañji</w:t>
      </w:r>
      <w:proofErr w:type="spellEnd"/>
      <w:r>
        <w:t xml:space="preserve">) los </w:t>
      </w:r>
      <w:r w:rsidR="00D74A46">
        <w:t xml:space="preserve">100,000 </w:t>
      </w:r>
      <w:r>
        <w:t>tipos de problemas</w:t>
      </w:r>
      <w:r w:rsidR="0000772F">
        <w:t xml:space="preserve"> en su totalidad</w:t>
      </w:r>
      <w:r>
        <w:t xml:space="preserve">, ansiedades </w:t>
      </w:r>
      <w:r w:rsidR="009E3E8A">
        <w:t>e impurezas</w:t>
      </w:r>
      <w:r>
        <w:t xml:space="preserve"> clasificad</w:t>
      </w:r>
      <w:r w:rsidR="009E3E8A">
        <w:t>a</w:t>
      </w:r>
      <w:r>
        <w:t xml:space="preserve">s como </w:t>
      </w:r>
      <w:r w:rsidR="0000772F">
        <w:t xml:space="preserve">la </w:t>
      </w:r>
      <w:r>
        <w:t xml:space="preserve">codicia, </w:t>
      </w:r>
      <w:r w:rsidR="0000772F">
        <w:t xml:space="preserve">el </w:t>
      </w:r>
      <w:r>
        <w:t xml:space="preserve">odio, </w:t>
      </w:r>
      <w:r w:rsidR="0000772F">
        <w:t xml:space="preserve">la </w:t>
      </w:r>
      <w:r w:rsidR="00F05DD0">
        <w:t xml:space="preserve">ilusión </w:t>
      </w:r>
      <w:r>
        <w:t xml:space="preserve">y </w:t>
      </w:r>
      <w:r w:rsidR="0000772F">
        <w:t xml:space="preserve">la </w:t>
      </w:r>
      <w:r>
        <w:t>atención dirigida</w:t>
      </w:r>
      <w:r w:rsidR="00722B61">
        <w:t xml:space="preserve"> incorrectamente</w:t>
      </w:r>
      <w:r>
        <w:t xml:space="preserve">; como </w:t>
      </w:r>
      <w:r w:rsidR="0000772F">
        <w:t xml:space="preserve">la </w:t>
      </w:r>
      <w:r>
        <w:t xml:space="preserve">inconsciencia y </w:t>
      </w:r>
      <w:r w:rsidR="0000772F">
        <w:t xml:space="preserve">la </w:t>
      </w:r>
      <w:r>
        <w:t xml:space="preserve">desvergüenza, como </w:t>
      </w:r>
      <w:r w:rsidR="0000772F">
        <w:t xml:space="preserve">la </w:t>
      </w:r>
      <w:r>
        <w:t xml:space="preserve">ira y </w:t>
      </w:r>
      <w:r w:rsidR="006E286F">
        <w:t xml:space="preserve">la </w:t>
      </w:r>
      <w:r>
        <w:t xml:space="preserve">enemistad, como </w:t>
      </w:r>
      <w:r w:rsidR="006E286F">
        <w:t xml:space="preserve">el </w:t>
      </w:r>
      <w:r>
        <w:t xml:space="preserve">desprecio y </w:t>
      </w:r>
      <w:r w:rsidR="006E286F">
        <w:t xml:space="preserve">la </w:t>
      </w:r>
      <w:r>
        <w:t xml:space="preserve">dominación, como </w:t>
      </w:r>
      <w:r w:rsidR="006E286F">
        <w:t xml:space="preserve">la </w:t>
      </w:r>
      <w:r>
        <w:t xml:space="preserve">envidia y </w:t>
      </w:r>
      <w:r w:rsidR="006E286F">
        <w:t xml:space="preserve">la </w:t>
      </w:r>
      <w:r>
        <w:t xml:space="preserve">avaricia, como </w:t>
      </w:r>
      <w:r w:rsidR="006E286F">
        <w:t xml:space="preserve">el </w:t>
      </w:r>
      <w:r>
        <w:t xml:space="preserve">engaño y </w:t>
      </w:r>
      <w:r w:rsidR="006E286F">
        <w:t xml:space="preserve">el </w:t>
      </w:r>
      <w:r>
        <w:t xml:space="preserve">fraude, como </w:t>
      </w:r>
      <w:r w:rsidR="006E286F">
        <w:t xml:space="preserve">la </w:t>
      </w:r>
      <w:r>
        <w:t xml:space="preserve">obstinación y </w:t>
      </w:r>
      <w:r w:rsidR="006E286F">
        <w:t xml:space="preserve">la </w:t>
      </w:r>
      <w:r>
        <w:t xml:space="preserve">presunción, como </w:t>
      </w:r>
      <w:r w:rsidR="006E286F">
        <w:t xml:space="preserve">el </w:t>
      </w:r>
      <w:r>
        <w:t xml:space="preserve">orgullo y </w:t>
      </w:r>
      <w:r w:rsidR="006E286F">
        <w:t xml:space="preserve">la </w:t>
      </w:r>
      <w:r>
        <w:t xml:space="preserve">altivez, como </w:t>
      </w:r>
      <w:r w:rsidR="006E286F">
        <w:t xml:space="preserve">la </w:t>
      </w:r>
      <w:r>
        <w:t xml:space="preserve">vanidad y </w:t>
      </w:r>
      <w:r w:rsidR="006E286F">
        <w:t xml:space="preserve">la </w:t>
      </w:r>
      <w:r>
        <w:t xml:space="preserve">negligencia, como </w:t>
      </w:r>
      <w:r w:rsidR="006E286F">
        <w:t xml:space="preserve">la </w:t>
      </w:r>
      <w:r>
        <w:t xml:space="preserve">codicia e </w:t>
      </w:r>
      <w:r w:rsidR="006E286F">
        <w:t xml:space="preserve">la </w:t>
      </w:r>
      <w:r>
        <w:t xml:space="preserve">ignorancia; como las tres raíces de lo </w:t>
      </w:r>
      <w:r w:rsidR="006E286F">
        <w:t>improductivo</w:t>
      </w:r>
      <w:r>
        <w:t xml:space="preserve">, </w:t>
      </w:r>
      <w:r w:rsidR="00BA5316">
        <w:t xml:space="preserve">los </w:t>
      </w:r>
      <w:r>
        <w:t xml:space="preserve">tipos de mala conducta, </w:t>
      </w:r>
      <w:r w:rsidR="00BA5316">
        <w:t xml:space="preserve">la </w:t>
      </w:r>
      <w:r>
        <w:t xml:space="preserve">corrupción, </w:t>
      </w:r>
      <w:r w:rsidR="00BA5316">
        <w:t xml:space="preserve">las </w:t>
      </w:r>
      <w:r>
        <w:t xml:space="preserve">manchas, [211] </w:t>
      </w:r>
      <w:r w:rsidR="00C93C7B">
        <w:t xml:space="preserve">las </w:t>
      </w:r>
      <w:r>
        <w:t xml:space="preserve">percepciones ficticias, </w:t>
      </w:r>
      <w:r w:rsidR="00C93C7B">
        <w:t xml:space="preserve">la </w:t>
      </w:r>
      <w:r w:rsidR="000C670A">
        <w:t>aplicación mental</w:t>
      </w:r>
      <w:r>
        <w:t xml:space="preserve"> y </w:t>
      </w:r>
      <w:r w:rsidR="00C93C7B">
        <w:t xml:space="preserve">las </w:t>
      </w:r>
      <w:r>
        <w:t xml:space="preserve">diversificaciones; como las </w:t>
      </w:r>
      <w:r w:rsidR="006E4349">
        <w:t>4</w:t>
      </w:r>
      <w:r>
        <w:t xml:space="preserve"> perversidades, gangrenas, ataduras, inundaciones, </w:t>
      </w:r>
      <w:r w:rsidR="00C93C7B">
        <w:t>lazos</w:t>
      </w:r>
      <w:r>
        <w:t xml:space="preserve">, </w:t>
      </w:r>
      <w:r w:rsidR="00FB14D0">
        <w:t>senderos</w:t>
      </w:r>
      <w:r w:rsidR="00C93C7B">
        <w:t xml:space="preserve"> incorrecto</w:t>
      </w:r>
      <w:r>
        <w:t xml:space="preserve">, apetencias y apegos; como los </w:t>
      </w:r>
      <w:r w:rsidR="004356A0">
        <w:t>5</w:t>
      </w:r>
      <w:r>
        <w:t xml:space="preserve"> desiertos en el corazón, </w:t>
      </w:r>
      <w:r w:rsidR="0050501A">
        <w:t>l</w:t>
      </w:r>
      <w:r w:rsidR="00E15509">
        <w:t>a</w:t>
      </w:r>
      <w:r w:rsidR="0050501A">
        <w:t xml:space="preserve">s </w:t>
      </w:r>
      <w:r w:rsidR="00E15509">
        <w:t>cadenas</w:t>
      </w:r>
      <w:r>
        <w:t xml:space="preserve"> </w:t>
      </w:r>
      <w:r w:rsidR="0050501A">
        <w:t>d</w:t>
      </w:r>
      <w:r>
        <w:t xml:space="preserve">el corazón, </w:t>
      </w:r>
      <w:r w:rsidR="00C93C7B">
        <w:t xml:space="preserve">los </w:t>
      </w:r>
      <w:r>
        <w:t xml:space="preserve">obstáculos y </w:t>
      </w:r>
      <w:r w:rsidR="00C93C7B">
        <w:t xml:space="preserve">las </w:t>
      </w:r>
      <w:r>
        <w:t xml:space="preserve">clases de </w:t>
      </w:r>
      <w:r w:rsidR="00D64ED7">
        <w:t>placer</w:t>
      </w:r>
      <w:r>
        <w:t xml:space="preserve">; como las </w:t>
      </w:r>
      <w:r w:rsidR="00C93C7B">
        <w:t xml:space="preserve">6 </w:t>
      </w:r>
      <w:r>
        <w:t xml:space="preserve">raíces de </w:t>
      </w:r>
      <w:r w:rsidR="00F05DD0">
        <w:t xml:space="preserve">la </w:t>
      </w:r>
      <w:r>
        <w:t xml:space="preserve">discordia y </w:t>
      </w:r>
      <w:r w:rsidR="00F05DD0">
        <w:t xml:space="preserve">los </w:t>
      </w:r>
      <w:r>
        <w:t xml:space="preserve">grupos de </w:t>
      </w:r>
      <w:r w:rsidR="00F05DD0">
        <w:t xml:space="preserve">la </w:t>
      </w:r>
      <w:r>
        <w:t xml:space="preserve">avidez; como las </w:t>
      </w:r>
      <w:r w:rsidR="00C93C7B">
        <w:t xml:space="preserve">7 </w:t>
      </w:r>
      <w:r>
        <w:t xml:space="preserve">tendencias inherentes; como los </w:t>
      </w:r>
      <w:r w:rsidR="00C93C7B">
        <w:t xml:space="preserve">8 </w:t>
      </w:r>
      <w:r>
        <w:t xml:space="preserve">males; como las </w:t>
      </w:r>
      <w:r w:rsidR="00C93C7B">
        <w:t xml:space="preserve">9 </w:t>
      </w:r>
      <w:r>
        <w:t xml:space="preserve">cosas enraizadas en el </w:t>
      </w:r>
      <w:r w:rsidR="004F5CC8">
        <w:t>deseo</w:t>
      </w:r>
      <w:r>
        <w:t xml:space="preserve">; como los </w:t>
      </w:r>
      <w:r w:rsidR="00C11584">
        <w:t>10</w:t>
      </w:r>
      <w:r>
        <w:t xml:space="preserve"> cursos de </w:t>
      </w:r>
      <w:r w:rsidR="00C93C7B">
        <w:t xml:space="preserve">la </w:t>
      </w:r>
      <w:r>
        <w:t xml:space="preserve">acción </w:t>
      </w:r>
      <w:r w:rsidR="00C93C7B">
        <w:t>improductiva</w:t>
      </w:r>
      <w:r>
        <w:t xml:space="preserve">; como los </w:t>
      </w:r>
      <w:r w:rsidR="00C93C7B">
        <w:t xml:space="preserve">62 </w:t>
      </w:r>
      <w:r>
        <w:t xml:space="preserve">tipos de </w:t>
      </w:r>
      <w:r w:rsidR="004D758D">
        <w:t xml:space="preserve">visiones incorrectas </w:t>
      </w:r>
      <w:r>
        <w:t>[fals</w:t>
      </w:r>
      <w:r w:rsidR="004D758D">
        <w:t>a</w:t>
      </w:r>
      <w:r>
        <w:t xml:space="preserve">s]; como las </w:t>
      </w:r>
      <w:r w:rsidR="001770D7">
        <w:t>108</w:t>
      </w:r>
      <w:r>
        <w:t xml:space="preserve"> formas de comportamiento del </w:t>
      </w:r>
      <w:r w:rsidR="004F5CC8">
        <w:t>deseo</w:t>
      </w:r>
      <w:r w:rsidRPr="002272D9">
        <w:rPr>
          <w:vertAlign w:val="superscript"/>
        </w:rPr>
        <w:t>25</w:t>
      </w:r>
      <w:r>
        <w:t xml:space="preserve"> —</w:t>
      </w:r>
      <w:r w:rsidR="004D758D">
        <w:t xml:space="preserve"> </w:t>
      </w:r>
      <w:r>
        <w:t>o, en suma, l</w:t>
      </w:r>
      <w:r w:rsidR="004F5CC8">
        <w:t>o</w:t>
      </w:r>
      <w:r>
        <w:t xml:space="preserve">s </w:t>
      </w:r>
    </w:p>
    <w:p w14:paraId="189F778E" w14:textId="77777777" w:rsidR="006F5C11" w:rsidRDefault="006F5C11" w:rsidP="006F5C11">
      <w:pPr>
        <w:pStyle w:val="Piedepgina"/>
        <w:rPr>
          <w:u w:val="single"/>
        </w:rPr>
      </w:pPr>
      <w:r>
        <w:rPr>
          <w:u w:val="single"/>
        </w:rPr>
        <w:t xml:space="preserve">                                                                                                                                                                          .</w:t>
      </w:r>
    </w:p>
    <w:p w14:paraId="3FF3AB04" w14:textId="77777777" w:rsidR="006F5C11" w:rsidRDefault="006F5C11" w:rsidP="006F5C11">
      <w:pPr>
        <w:pStyle w:val="PiedepginaLegal"/>
      </w:pPr>
      <w:r>
        <w:t xml:space="preserve">… </w:t>
      </w:r>
    </w:p>
    <w:p w14:paraId="54F0E9A5" w14:textId="1420CAD2" w:rsidR="006F5C11" w:rsidRDefault="006F5C11" w:rsidP="006F5C11">
      <w:pPr>
        <w:pStyle w:val="PiedepginaLegal"/>
      </w:pPr>
      <w:r>
        <w:tab/>
      </w:r>
      <w:r w:rsidR="00AB557D" w:rsidRPr="00213766">
        <w:t>perfecta (</w:t>
      </w:r>
      <w:proofErr w:type="spellStart"/>
      <w:r w:rsidR="00AB557D" w:rsidRPr="00213766">
        <w:t>ibíd</w:t>
      </w:r>
      <w:proofErr w:type="spellEnd"/>
      <w:r w:rsidR="00AB557D" w:rsidRPr="00213766">
        <w:t>.) de las cuatro</w:t>
      </w:r>
      <w:r w:rsidR="00AB557D">
        <w:t xml:space="preserve"> </w:t>
      </w:r>
      <w:r>
        <w:t xml:space="preserve">discriminaciones, de los seis tipos de conocimiento directo, de los seis estados de los Iluminados [no compartidos por discípulos (ver nota 7)], </w:t>
      </w:r>
      <w:r w:rsidR="00AB557D">
        <w:t xml:space="preserve">es así cómo </w:t>
      </w:r>
      <w:r>
        <w:t xml:space="preserve">es </w:t>
      </w:r>
      <w:r w:rsidR="007E73D0">
        <w:t>un Bienaventurado</w:t>
      </w:r>
      <w:r>
        <w:t xml:space="preserve">. </w:t>
      </w:r>
      <w:r w:rsidR="007E73D0">
        <w:t xml:space="preserve">Bienaventurado </w:t>
      </w:r>
      <w:r>
        <w:t>(</w:t>
      </w:r>
      <w:r w:rsidR="00057BF4" w:rsidRPr="00057BF4">
        <w:rPr>
          <w:i/>
          <w:iCs/>
        </w:rPr>
        <w:t>Bhagavā</w:t>
      </w:r>
      <w:r>
        <w:t xml:space="preserve">): </w:t>
      </w:r>
      <w:r w:rsidR="007E73D0">
        <w:t>é</w:t>
      </w:r>
      <w:r>
        <w:t xml:space="preserve">ste no es un nombre </w:t>
      </w:r>
      <w:r w:rsidR="004C013A">
        <w:t>seleccionado</w:t>
      </w:r>
      <w:r>
        <w:t xml:space="preserve"> </w:t>
      </w:r>
      <w:proofErr w:type="spellStart"/>
      <w:r w:rsidR="007E73D0">
        <w:t>seleccionado</w:t>
      </w:r>
      <w:proofErr w:type="spellEnd"/>
      <w:r w:rsidR="007E73D0">
        <w:t xml:space="preserve"> por </w:t>
      </w:r>
      <w:r>
        <w:t xml:space="preserve">una madre… Este nombre, </w:t>
      </w:r>
      <w:r w:rsidR="007E73D0">
        <w:t>Bienaventurado</w:t>
      </w:r>
      <w:r>
        <w:t xml:space="preserve">, es una designación basada en </w:t>
      </w:r>
      <w:r w:rsidR="007E73D0">
        <w:t>una consumación</w:t>
      </w:r>
      <w:r>
        <w:t>”’ (</w:t>
      </w:r>
      <w:proofErr w:type="spellStart"/>
      <w:r>
        <w:t>Vism-mhṭ</w:t>
      </w:r>
      <w:proofErr w:type="spellEnd"/>
      <w:r>
        <w:t xml:space="preserve"> 207).</w:t>
      </w:r>
    </w:p>
    <w:p w14:paraId="6B046303" w14:textId="6D54C924" w:rsidR="006F5C11" w:rsidRDefault="006F5C11" w:rsidP="006F5C11">
      <w:pPr>
        <w:pStyle w:val="PiedepginaLegal"/>
      </w:pPr>
      <w:r>
        <w:t xml:space="preserve">25. </w:t>
      </w:r>
      <w:r>
        <w:tab/>
      </w:r>
      <w:r w:rsidR="00F92E5D">
        <w:t xml:space="preserve">A continuación </w:t>
      </w:r>
      <w:r>
        <w:t xml:space="preserve">explicaciones </w:t>
      </w:r>
      <w:r w:rsidR="001770D7">
        <w:t xml:space="preserve">sobre lo </w:t>
      </w:r>
      <w:r w:rsidR="006F2F0A">
        <w:t xml:space="preserve">que se encuentra </w:t>
      </w:r>
      <w:r>
        <w:t xml:space="preserve">en esta lista que no </w:t>
      </w:r>
      <w:r w:rsidR="00B51F01">
        <w:t>podrán</w:t>
      </w:r>
      <w:r>
        <w:t xml:space="preserve"> ser </w:t>
      </w:r>
      <w:r w:rsidR="001770D7">
        <w:t xml:space="preserve">encontradas </w:t>
      </w:r>
      <w:r w:rsidR="00B24254">
        <w:t>mediante</w:t>
      </w:r>
      <w:r>
        <w:t xml:space="preserve"> referencia al índice: Los pares, “ira y enemistad” </w:t>
      </w:r>
      <w:r w:rsidR="00B24254">
        <w:t>hasta</w:t>
      </w:r>
      <w:r>
        <w:t xml:space="preserve"> “soberbia y negligencia” (M I 16). Las “</w:t>
      </w:r>
      <w:r w:rsidR="00F22F6E">
        <w:t>3</w:t>
      </w:r>
      <w:r>
        <w:t xml:space="preserve"> raíces” </w:t>
      </w:r>
      <w:r w:rsidR="001770D7">
        <w:t xml:space="preserve">corresponden </w:t>
      </w:r>
      <w:r w:rsidR="004866BD">
        <w:t xml:space="preserve">a </w:t>
      </w:r>
      <w:r>
        <w:t xml:space="preserve">la codicia, el odio y </w:t>
      </w:r>
      <w:r w:rsidR="00C2740B">
        <w:t>la ilusión</w:t>
      </w:r>
      <w:r>
        <w:t xml:space="preserve"> (D III 214). Las “</w:t>
      </w:r>
      <w:r w:rsidR="00F22F6E">
        <w:t>3</w:t>
      </w:r>
      <w:r>
        <w:t xml:space="preserve"> clases de mala conducta” </w:t>
      </w:r>
      <w:r w:rsidR="004866BD">
        <w:t xml:space="preserve">corresponden a </w:t>
      </w:r>
      <w:r>
        <w:t xml:space="preserve">las </w:t>
      </w:r>
      <w:r w:rsidR="00B24254">
        <w:t>físicas</w:t>
      </w:r>
      <w:r>
        <w:t xml:space="preserve">, </w:t>
      </w:r>
      <w:r w:rsidR="00B24254">
        <w:t xml:space="preserve">verbales </w:t>
      </w:r>
      <w:r>
        <w:t xml:space="preserve">y </w:t>
      </w:r>
      <w:r w:rsidR="00B24254">
        <w:t xml:space="preserve">mentales </w:t>
      </w:r>
      <w:r>
        <w:t>(S V 75). Las “</w:t>
      </w:r>
      <w:r w:rsidR="00F22F6E">
        <w:t>3</w:t>
      </w:r>
      <w:r>
        <w:t xml:space="preserve"> </w:t>
      </w:r>
      <w:r w:rsidR="005C1C61">
        <w:t>impurezas</w:t>
      </w:r>
      <w:r>
        <w:t xml:space="preserve">” </w:t>
      </w:r>
      <w:r w:rsidR="004866BD">
        <w:t xml:space="preserve">corresponden a </w:t>
      </w:r>
      <w:r>
        <w:t xml:space="preserve">la mala conducta, el </w:t>
      </w:r>
      <w:r w:rsidR="00C2740B">
        <w:t xml:space="preserve">deseo </w:t>
      </w:r>
      <w:r>
        <w:t xml:space="preserve">y las </w:t>
      </w:r>
      <w:r w:rsidR="004866BD">
        <w:t>visiones incorrectas</w:t>
      </w:r>
      <w:r>
        <w:t xml:space="preserve"> (Cap. I.9,13). Las “</w:t>
      </w:r>
      <w:r w:rsidR="00F22F6E">
        <w:t>3</w:t>
      </w:r>
      <w:r>
        <w:t xml:space="preserve"> percepciones </w:t>
      </w:r>
      <w:r w:rsidR="00C2740B">
        <w:t>incorrectas</w:t>
      </w:r>
      <w:r>
        <w:t>” (</w:t>
      </w:r>
      <w:proofErr w:type="spellStart"/>
      <w:r w:rsidRPr="00A86556">
        <w:rPr>
          <w:i/>
          <w:iCs/>
        </w:rPr>
        <w:t>visama</w:t>
      </w:r>
      <w:r w:rsidR="00057BF4" w:rsidRPr="00057BF4">
        <w:rPr>
          <w:i/>
          <w:iCs/>
        </w:rPr>
        <w:t>saññā</w:t>
      </w:r>
      <w:proofErr w:type="spellEnd"/>
      <w:r>
        <w:t xml:space="preserve">) </w:t>
      </w:r>
      <w:r w:rsidR="000C59BB">
        <w:t xml:space="preserve">corresponden a </w:t>
      </w:r>
      <w:r>
        <w:t xml:space="preserve">aquellas relacionadas con la codicia, el odio y </w:t>
      </w:r>
      <w:r w:rsidR="00C2740B">
        <w:t xml:space="preserve">la ilusión </w:t>
      </w:r>
      <w:r>
        <w:t>(Vibh368). L</w:t>
      </w:r>
      <w:r w:rsidR="000C59BB">
        <w:t>a</w:t>
      </w:r>
      <w:r>
        <w:t xml:space="preserve">s </w:t>
      </w:r>
      <w:r w:rsidR="00F22F6E">
        <w:t>3</w:t>
      </w:r>
      <w:r>
        <w:t xml:space="preserve"> "</w:t>
      </w:r>
      <w:r w:rsidR="000C59BB">
        <w:t>aplicaciones mentales</w:t>
      </w:r>
      <w:r>
        <w:t xml:space="preserve">" </w:t>
      </w:r>
      <w:r w:rsidR="001E0793">
        <w:t xml:space="preserve">corresponden a estados mentales </w:t>
      </w:r>
      <w:r w:rsidR="00485A21">
        <w:t>vinculados al</w:t>
      </w:r>
      <w:r>
        <w:t xml:space="preserve"> deseo de </w:t>
      </w:r>
      <w:r w:rsidR="001E0793">
        <w:t>sensorial</w:t>
      </w:r>
      <w:r>
        <w:t xml:space="preserve">, </w:t>
      </w:r>
      <w:r w:rsidR="00000937">
        <w:t xml:space="preserve">a </w:t>
      </w:r>
      <w:r w:rsidR="00485A21">
        <w:t xml:space="preserve">la </w:t>
      </w:r>
      <w:r>
        <w:t xml:space="preserve">mala voluntad y </w:t>
      </w:r>
      <w:r w:rsidR="00000937">
        <w:t xml:space="preserve">a </w:t>
      </w:r>
      <w:r w:rsidR="00485A21">
        <w:t>la</w:t>
      </w:r>
      <w:r w:rsidR="001615C6">
        <w:t xml:space="preserve"> </w:t>
      </w:r>
      <w:r>
        <w:t>crueldad (M I 114). Las “</w:t>
      </w:r>
      <w:r w:rsidR="00F22F6E">
        <w:t>3</w:t>
      </w:r>
      <w:r>
        <w:t xml:space="preserve"> diversificaciones” (</w:t>
      </w:r>
      <w:proofErr w:type="spellStart"/>
      <w:r w:rsidRPr="00A86556">
        <w:rPr>
          <w:i/>
          <w:iCs/>
        </w:rPr>
        <w:t>papañca</w:t>
      </w:r>
      <w:proofErr w:type="spellEnd"/>
      <w:r>
        <w:t xml:space="preserve">) </w:t>
      </w:r>
      <w:r w:rsidR="00000937">
        <w:t xml:space="preserve">corresponden a </w:t>
      </w:r>
      <w:r>
        <w:t xml:space="preserve">las debidas a la </w:t>
      </w:r>
      <w:r w:rsidR="00BA2F72">
        <w:t>codicia</w:t>
      </w:r>
      <w:r>
        <w:t xml:space="preserve">, la vanidad y las </w:t>
      </w:r>
      <w:r w:rsidR="001615C6">
        <w:t>visiones incorrectas</w:t>
      </w:r>
      <w:r>
        <w:t xml:space="preserve"> (XVI n. 17). “</w:t>
      </w:r>
      <w:r w:rsidR="00B24254">
        <w:t xml:space="preserve">Las </w:t>
      </w:r>
      <w:r w:rsidR="00F22F6E">
        <w:t>4</w:t>
      </w:r>
      <w:r>
        <w:t xml:space="preserve"> perversidades”: </w:t>
      </w:r>
      <w:r w:rsidR="00000937">
        <w:t xml:space="preserve">corresponden a </w:t>
      </w:r>
      <w:r>
        <w:t xml:space="preserve">ver permanencia, placer, </w:t>
      </w:r>
      <w:r w:rsidR="00D03E9C">
        <w:t xml:space="preserve">alma </w:t>
      </w:r>
      <w:r>
        <w:t>y belleza, donde</w:t>
      </w:r>
    </w:p>
    <w:p w14:paraId="5AEDBA17" w14:textId="77777777" w:rsidR="006F5C11" w:rsidRDefault="006F5C11">
      <w:pPr>
        <w:tabs>
          <w:tab w:val="clear" w:pos="425"/>
        </w:tabs>
        <w:spacing w:after="160"/>
      </w:pPr>
      <w:r>
        <w:br w:type="page"/>
      </w:r>
    </w:p>
    <w:p w14:paraId="7BEE8375" w14:textId="77777777" w:rsidR="008043F1" w:rsidRDefault="008043F1" w:rsidP="006F5C11"/>
    <w:p w14:paraId="20885FF0" w14:textId="4301E5EC" w:rsidR="008043F1" w:rsidRDefault="00C11584" w:rsidP="008043F1">
      <w:r>
        <w:t xml:space="preserve">5 </w:t>
      </w:r>
      <w:proofErr w:type="spellStart"/>
      <w:r w:rsidRPr="00057BF4">
        <w:rPr>
          <w:i/>
          <w:iCs/>
        </w:rPr>
        <w:t>Māra</w:t>
      </w:r>
      <w:r w:rsidRPr="00A86556">
        <w:rPr>
          <w:i/>
          <w:iCs/>
        </w:rPr>
        <w:t>s</w:t>
      </w:r>
      <w:proofErr w:type="spellEnd"/>
      <w:r>
        <w:t xml:space="preserve">, </w:t>
      </w:r>
      <w:r w:rsidR="004F5CC8">
        <w:t>es decir, l</w:t>
      </w:r>
      <w:r w:rsidR="008A7420">
        <w:t>o</w:t>
      </w:r>
      <w:r w:rsidR="004F5CC8">
        <w:t>s</w:t>
      </w:r>
      <w:r w:rsidR="004F5CC8" w:rsidRPr="00057BF4">
        <w:rPr>
          <w:i/>
          <w:iCs/>
        </w:rPr>
        <w:t xml:space="preserve"> </w:t>
      </w:r>
      <w:proofErr w:type="spellStart"/>
      <w:r w:rsidR="00057BF4" w:rsidRPr="00057BF4">
        <w:rPr>
          <w:i/>
          <w:iCs/>
        </w:rPr>
        <w:t>Māra</w:t>
      </w:r>
      <w:r w:rsidR="008043F1" w:rsidRPr="00A86556">
        <w:rPr>
          <w:i/>
          <w:iCs/>
        </w:rPr>
        <w:t>s</w:t>
      </w:r>
      <w:proofErr w:type="spellEnd"/>
      <w:r w:rsidR="008043F1">
        <w:t xml:space="preserve"> de la contaminación, de los agregados y de las formaciones de</w:t>
      </w:r>
      <w:r w:rsidR="00C53792">
        <w:t>l</w:t>
      </w:r>
      <w:r w:rsidR="008043F1">
        <w:t xml:space="preserve"> </w:t>
      </w:r>
      <w:proofErr w:type="spellStart"/>
      <w:r w:rsidR="00057BF4" w:rsidRPr="00057BF4">
        <w:rPr>
          <w:i/>
          <w:iCs/>
        </w:rPr>
        <w:t>kamma</w:t>
      </w:r>
      <w:proofErr w:type="spellEnd"/>
      <w:r w:rsidR="008043F1">
        <w:t xml:space="preserve">, </w:t>
      </w:r>
      <w:r w:rsidR="008A7420">
        <w:t xml:space="preserve">del </w:t>
      </w:r>
      <w:r w:rsidR="00057BF4" w:rsidRPr="00057BF4">
        <w:rPr>
          <w:i/>
          <w:iCs/>
        </w:rPr>
        <w:t>Māra</w:t>
      </w:r>
      <w:r w:rsidR="008043F1">
        <w:t xml:space="preserve"> como </w:t>
      </w:r>
      <w:r w:rsidR="00A53AA5">
        <w:t>la</w:t>
      </w:r>
      <w:r w:rsidR="008043F1">
        <w:t xml:space="preserve"> deidad y </w:t>
      </w:r>
      <w:r w:rsidR="008A7420">
        <w:t xml:space="preserve">del </w:t>
      </w:r>
      <w:r w:rsidR="00057BF4" w:rsidRPr="00057BF4">
        <w:rPr>
          <w:i/>
          <w:iCs/>
        </w:rPr>
        <w:t>Māra</w:t>
      </w:r>
      <w:r w:rsidR="008043F1">
        <w:t xml:space="preserve"> como la muerte.</w:t>
      </w:r>
    </w:p>
    <w:p w14:paraId="2AD532AF" w14:textId="77777777" w:rsidR="008043F1" w:rsidRDefault="008043F1" w:rsidP="003014D8">
      <w:pPr>
        <w:pStyle w:val="NumeracinconSangra"/>
      </w:pPr>
      <w:r>
        <w:t>Y en este contexto se dice:</w:t>
      </w:r>
    </w:p>
    <w:p w14:paraId="50063BC4" w14:textId="77777777" w:rsidR="008043F1" w:rsidRDefault="008043F1" w:rsidP="008043F1">
      <w:pPr>
        <w:pStyle w:val="VersoIngls01Sangria"/>
      </w:pPr>
      <w:r>
        <w:t>Ha abolido (</w:t>
      </w:r>
      <w:proofErr w:type="spellStart"/>
      <w:r w:rsidRPr="00A86556">
        <w:rPr>
          <w:i/>
          <w:iCs/>
        </w:rPr>
        <w:t>bhagga</w:t>
      </w:r>
      <w:proofErr w:type="spellEnd"/>
      <w:r>
        <w:t>) la codicia y el odio,</w:t>
      </w:r>
    </w:p>
    <w:p w14:paraId="1A2FA007" w14:textId="39E5546C" w:rsidR="008043F1" w:rsidRDefault="008043F1" w:rsidP="008043F1">
      <w:pPr>
        <w:pStyle w:val="VersoIngls01Sangria"/>
      </w:pPr>
      <w:r>
        <w:t>también</w:t>
      </w:r>
      <w:r w:rsidR="005430E4" w:rsidRPr="005430E4">
        <w:t xml:space="preserve"> </w:t>
      </w:r>
      <w:r w:rsidR="005430E4">
        <w:t>la Ilusión</w:t>
      </w:r>
      <w:r>
        <w:t xml:space="preserve">, él está libre de </w:t>
      </w:r>
      <w:r w:rsidR="005430E4">
        <w:t>las corrupciones</w:t>
      </w:r>
      <w:r>
        <w:t>;</w:t>
      </w:r>
    </w:p>
    <w:p w14:paraId="301AED82" w14:textId="636CDA6E" w:rsidR="008043F1" w:rsidRDefault="00424D72" w:rsidP="008043F1">
      <w:pPr>
        <w:pStyle w:val="VersoIngls01Sangria"/>
      </w:pPr>
      <w:r>
        <w:t>Ha a</w:t>
      </w:r>
      <w:r w:rsidR="008043F1">
        <w:t>boli</w:t>
      </w:r>
      <w:r w:rsidR="005430E4">
        <w:t>do</w:t>
      </w:r>
      <w:r w:rsidR="008043F1">
        <w:t xml:space="preserve"> todo estado perverso,</w:t>
      </w:r>
    </w:p>
    <w:p w14:paraId="14165A36" w14:textId="7C5F002F" w:rsidR="008043F1" w:rsidRDefault="00424D72" w:rsidP="008043F1">
      <w:pPr>
        <w:pStyle w:val="VersoIngls01Sangria"/>
        <w:spacing w:after="100"/>
        <w:ind w:left="1418"/>
      </w:pPr>
      <w:r>
        <w:t xml:space="preserve">Su </w:t>
      </w:r>
      <w:r w:rsidR="008043F1">
        <w:t>nombre puede ser correctamente</w:t>
      </w:r>
      <w:r>
        <w:t xml:space="preserve"> “Bienaventurado”</w:t>
      </w:r>
      <w:r w:rsidR="008043F1">
        <w:t>.</w:t>
      </w:r>
    </w:p>
    <w:p w14:paraId="388F961F" w14:textId="5C631057" w:rsidR="008043F1" w:rsidRDefault="008043F1" w:rsidP="008043F1">
      <w:r>
        <w:t xml:space="preserve">60. </w:t>
      </w:r>
      <w:r w:rsidR="00A86556">
        <w:tab/>
      </w:r>
      <w:r>
        <w:t>Y por su fortuna (</w:t>
      </w:r>
      <w:proofErr w:type="spellStart"/>
      <w:r w:rsidRPr="00A86556">
        <w:rPr>
          <w:i/>
          <w:iCs/>
        </w:rPr>
        <w:t>bhāgyavatā</w:t>
      </w:r>
      <w:proofErr w:type="spellEnd"/>
      <w:r>
        <w:t>) se indica la excelencia de su cuerpo material que tiene cien características de mérito</w:t>
      </w:r>
      <w:r w:rsidR="001F36A5">
        <w:t>s</w:t>
      </w:r>
      <w:r>
        <w:t>; y por haber abolido los defectos (</w:t>
      </w:r>
      <w:proofErr w:type="spellStart"/>
      <w:r w:rsidRPr="00A86556">
        <w:rPr>
          <w:i/>
          <w:iCs/>
        </w:rPr>
        <w:t>bhaggadosatā</w:t>
      </w:r>
      <w:proofErr w:type="spellEnd"/>
      <w:r>
        <w:t xml:space="preserve">) se indica la excelencia de su cuerpo </w:t>
      </w:r>
      <w:r w:rsidR="00295FD0">
        <w:t xml:space="preserve">de </w:t>
      </w:r>
      <w:r w:rsidR="00057BF4" w:rsidRPr="00057BF4">
        <w:rPr>
          <w:i/>
        </w:rPr>
        <w:t>Dhamma</w:t>
      </w:r>
      <w:r>
        <w:t>. Asimismo, por su fortuna se indica la estima de las personas mundanas; y por haber abolido los defectos, la estima de los que se le asemejan. Y por su fortuna se indica que es apto para que los laicos confíen en él</w:t>
      </w:r>
      <w:r w:rsidRPr="002272D9">
        <w:rPr>
          <w:vertAlign w:val="superscript"/>
        </w:rPr>
        <w:t>26</w:t>
      </w:r>
      <w:r>
        <w:t xml:space="preserve">; </w:t>
      </w:r>
      <w:r w:rsidR="008653AB">
        <w:t>por</w:t>
      </w:r>
      <w:r>
        <w:t xml:space="preserve"> haber abolido los defectos </w:t>
      </w:r>
      <w:r w:rsidR="00AF6487">
        <w:t>por</w:t>
      </w:r>
      <w:r>
        <w:t xml:space="preserve"> los que puede</w:t>
      </w:r>
      <w:r w:rsidR="00FA5C2C">
        <w:t>n</w:t>
      </w:r>
      <w:r>
        <w:t xml:space="preserve"> confiar en él aquellos que se ha</w:t>
      </w:r>
      <w:r w:rsidR="008D2221">
        <w:t>ya</w:t>
      </w:r>
      <w:r>
        <w:t xml:space="preserve">n </w:t>
      </w:r>
      <w:r w:rsidR="00EE60C1">
        <w:t>ordenado</w:t>
      </w:r>
      <w:r>
        <w:t>; y cuando ambos ha</w:t>
      </w:r>
      <w:r w:rsidR="00FA5C2C">
        <w:t>ya</w:t>
      </w:r>
      <w:r>
        <w:t>n confiado en él, obten</w:t>
      </w:r>
      <w:r w:rsidR="00FA5C2C">
        <w:t>drá</w:t>
      </w:r>
      <w:r>
        <w:t xml:space="preserve">n alivio del dolor físico y mental, así como </w:t>
      </w:r>
      <w:r w:rsidR="001E4489">
        <w:t xml:space="preserve">la </w:t>
      </w:r>
      <w:r>
        <w:t xml:space="preserve">ayuda </w:t>
      </w:r>
      <w:r w:rsidR="001E4489">
        <w:t xml:space="preserve">de donaciones </w:t>
      </w:r>
      <w:r>
        <w:t xml:space="preserve">materiales y </w:t>
      </w:r>
      <w:r w:rsidR="00EE60C1">
        <w:t>e</w:t>
      </w:r>
      <w:r>
        <w:t xml:space="preserve">l </w:t>
      </w:r>
      <w:r w:rsidR="00057BF4" w:rsidRPr="00057BF4">
        <w:rPr>
          <w:i/>
        </w:rPr>
        <w:t>Dhamma</w:t>
      </w:r>
      <w:r>
        <w:t xml:space="preserve">, y ​​se </w:t>
      </w:r>
      <w:r w:rsidR="00FA5C2C">
        <w:t xml:space="preserve">volverán </w:t>
      </w:r>
      <w:r>
        <w:t>capaces de encontrar tanto la bienaventuranza mundana como la supramundana.</w:t>
      </w:r>
    </w:p>
    <w:p w14:paraId="777EE831" w14:textId="0CE58E4C" w:rsidR="008043F1" w:rsidRDefault="008043F1" w:rsidP="008043F1">
      <w:r>
        <w:t xml:space="preserve">61. </w:t>
      </w:r>
      <w:r w:rsidR="00A86556">
        <w:tab/>
      </w:r>
      <w:r>
        <w:t>También se le llama “</w:t>
      </w:r>
      <w:r w:rsidR="00821589">
        <w:t>Bienaventurado</w:t>
      </w:r>
      <w:r>
        <w:t>” (</w:t>
      </w:r>
      <w:r w:rsidR="00057BF4" w:rsidRPr="00057BF4">
        <w:rPr>
          <w:i/>
          <w:iCs/>
        </w:rPr>
        <w:t>Bhagavā</w:t>
      </w:r>
      <w:r>
        <w:t>) ya que está “</w:t>
      </w:r>
      <w:r w:rsidRPr="0098092A">
        <w:rPr>
          <w:i/>
          <w:iCs/>
        </w:rPr>
        <w:t xml:space="preserve">asociado con </w:t>
      </w:r>
      <w:r w:rsidR="00821589">
        <w:rPr>
          <w:i/>
          <w:iCs/>
        </w:rPr>
        <w:t>la bienaventuranza</w:t>
      </w:r>
      <w:r>
        <w:t>” (</w:t>
      </w:r>
      <w:proofErr w:type="spellStart"/>
      <w:r w:rsidRPr="00A86556">
        <w:rPr>
          <w:i/>
          <w:iCs/>
        </w:rPr>
        <w:t>bhagehi</w:t>
      </w:r>
      <w:proofErr w:type="spellEnd"/>
      <w:r>
        <w:t xml:space="preserve"> </w:t>
      </w:r>
      <w:proofErr w:type="spellStart"/>
      <w:r w:rsidRPr="00A86556">
        <w:rPr>
          <w:i/>
          <w:iCs/>
        </w:rPr>
        <w:t>yuttattā</w:t>
      </w:r>
      <w:proofErr w:type="spellEnd"/>
      <w:r>
        <w:t xml:space="preserve">) como las siguientes, en el sentido de que “tiene esas </w:t>
      </w:r>
      <w:r w:rsidR="00975AB9" w:rsidRPr="00975AB9">
        <w:t>bienaventuranza</w:t>
      </w:r>
      <w:r w:rsidR="00975AB9">
        <w:t>s</w:t>
      </w:r>
      <w:r>
        <w:t>” (</w:t>
      </w:r>
      <w:proofErr w:type="spellStart"/>
      <w:r w:rsidRPr="00A86556">
        <w:rPr>
          <w:i/>
          <w:iCs/>
        </w:rPr>
        <w:t>bhagā</w:t>
      </w:r>
      <w:proofErr w:type="spellEnd"/>
      <w:r>
        <w:t xml:space="preserve"> </w:t>
      </w:r>
      <w:proofErr w:type="spellStart"/>
      <w:r w:rsidRPr="00A86556">
        <w:rPr>
          <w:i/>
          <w:iCs/>
        </w:rPr>
        <w:t>assa</w:t>
      </w:r>
      <w:proofErr w:type="spellEnd"/>
      <w:r>
        <w:t xml:space="preserve"> </w:t>
      </w:r>
      <w:proofErr w:type="spellStart"/>
      <w:r w:rsidRPr="00A86556">
        <w:rPr>
          <w:i/>
          <w:iCs/>
        </w:rPr>
        <w:t>santi</w:t>
      </w:r>
      <w:proofErr w:type="spellEnd"/>
      <w:r>
        <w:t>). Ahora bien, en el mundo la palabra “</w:t>
      </w:r>
      <w:r w:rsidR="00975AB9" w:rsidRPr="00975AB9">
        <w:t>bienaventuranza</w:t>
      </w:r>
      <w:r>
        <w:t xml:space="preserve">” se usa para seis cosas, </w:t>
      </w:r>
      <w:r w:rsidR="00975AB9">
        <w:t>es decir</w:t>
      </w:r>
      <w:r>
        <w:t xml:space="preserve">, señorío, </w:t>
      </w:r>
      <w:r w:rsidR="00057BF4" w:rsidRPr="00057BF4">
        <w:rPr>
          <w:i/>
        </w:rPr>
        <w:t>Dhamma</w:t>
      </w:r>
      <w:r>
        <w:t xml:space="preserve">, fama, gloria, deseo y esfuerzo. Él </w:t>
      </w:r>
      <w:r w:rsidR="00907E44">
        <w:t>posee</w:t>
      </w:r>
      <w:r>
        <w:t xml:space="preserve"> señorío supremo sobre su propia mente, ya sea del tipo considerado mundano</w:t>
      </w:r>
      <w:r w:rsidR="002E715A">
        <w:t>,</w:t>
      </w:r>
      <w:r>
        <w:t xml:space="preserve"> consiste</w:t>
      </w:r>
      <w:r w:rsidR="00975AB9">
        <w:t>nte</w:t>
      </w:r>
      <w:r>
        <w:t xml:space="preserve"> </w:t>
      </w:r>
      <w:r w:rsidR="00975AB9">
        <w:t>de</w:t>
      </w:r>
      <w:r>
        <w:t xml:space="preserve"> "minucia</w:t>
      </w:r>
      <w:r w:rsidR="002E715A">
        <w:t>s</w:t>
      </w:r>
      <w:r>
        <w:t>, ligereza</w:t>
      </w:r>
      <w:r w:rsidR="002E715A">
        <w:t>s</w:t>
      </w:r>
      <w:r>
        <w:t>", etc.,</w:t>
      </w:r>
      <w:r w:rsidRPr="002272D9">
        <w:rPr>
          <w:vertAlign w:val="superscript"/>
        </w:rPr>
        <w:t>27</w:t>
      </w:r>
      <w:r>
        <w:t xml:space="preserve"> o completa en todos los aspectos, e igualmente </w:t>
      </w:r>
      <w:r w:rsidR="002945EC">
        <w:t>d</w:t>
      </w:r>
      <w:r>
        <w:t xml:space="preserve">el </w:t>
      </w:r>
      <w:r w:rsidR="00057BF4" w:rsidRPr="00057BF4">
        <w:rPr>
          <w:i/>
        </w:rPr>
        <w:t>Dhamma</w:t>
      </w:r>
      <w:r>
        <w:t xml:space="preserve"> supramundano. Y tiene una fama sumamente pura, difundida por los tres mundos, adquirida a través de la cualidad especial de la veracidad. Y tiene la gloria de todos los miembros, perfecto en todos los aspectos, </w:t>
      </w:r>
      <w:r w:rsidR="00295CED">
        <w:t>e</w:t>
      </w:r>
      <w:r>
        <w:t xml:space="preserve">s capaz de consolar los ojos de las personas ansiosas de ver su cuerpo material. Y </w:t>
      </w:r>
      <w:r w:rsidR="00295CED">
        <w:t>posee</w:t>
      </w:r>
      <w:r>
        <w:t xml:space="preserve"> su </w:t>
      </w:r>
      <w:r w:rsidRPr="002945EC">
        <w:rPr>
          <w:i/>
          <w:iCs/>
        </w:rPr>
        <w:t>deseo</w:t>
      </w:r>
      <w:r>
        <w:t xml:space="preserve">, es decir, la </w:t>
      </w:r>
      <w:r w:rsidR="002945EC">
        <w:t xml:space="preserve">facultad de </w:t>
      </w:r>
      <w:r>
        <w:t>produc</w:t>
      </w:r>
      <w:r w:rsidR="002945EC">
        <w:t>ir</w:t>
      </w:r>
      <w:r>
        <w:t xml:space="preserve"> lo que quier</w:t>
      </w:r>
      <w:r w:rsidR="002945EC">
        <w:t>a</w:t>
      </w:r>
      <w:r>
        <w:t>, ya que todo lo que quier</w:t>
      </w:r>
      <w:r w:rsidR="002945EC">
        <w:t>a</w:t>
      </w:r>
      <w:r>
        <w:t xml:space="preserve"> y</w:t>
      </w:r>
    </w:p>
    <w:p w14:paraId="604B4AE2" w14:textId="77777777" w:rsidR="008043F1" w:rsidRDefault="008043F1" w:rsidP="008043F1">
      <w:pPr>
        <w:pStyle w:val="Piedepgina"/>
        <w:rPr>
          <w:u w:val="single"/>
        </w:rPr>
      </w:pPr>
      <w:r>
        <w:rPr>
          <w:u w:val="single"/>
        </w:rPr>
        <w:t xml:space="preserve">                                                                                                                                                                          .</w:t>
      </w:r>
    </w:p>
    <w:p w14:paraId="52F6CEA5" w14:textId="77777777" w:rsidR="008043F1" w:rsidRDefault="008043F1" w:rsidP="008043F1">
      <w:pPr>
        <w:pStyle w:val="PiedepginaLegal"/>
      </w:pPr>
      <w:r>
        <w:t xml:space="preserve">… </w:t>
      </w:r>
    </w:p>
    <w:p w14:paraId="130E10DF" w14:textId="6C30BCE5" w:rsidR="008043F1" w:rsidRDefault="008043F1" w:rsidP="008043F1">
      <w:pPr>
        <w:pStyle w:val="PiedepginaLegal"/>
      </w:pPr>
      <w:r>
        <w:tab/>
        <w:t xml:space="preserve">no </w:t>
      </w:r>
      <w:r w:rsidR="00B24254">
        <w:t>exista</w:t>
      </w:r>
      <w:r>
        <w:t xml:space="preserve"> ninguno </w:t>
      </w:r>
      <w:r w:rsidR="00B24254">
        <w:t xml:space="preserve">de estos rasgos </w:t>
      </w:r>
      <w:r>
        <w:t>(</w:t>
      </w:r>
      <w:proofErr w:type="spellStart"/>
      <w:r>
        <w:t>Vibh</w:t>
      </w:r>
      <w:proofErr w:type="spellEnd"/>
      <w:r>
        <w:t xml:space="preserve"> 376). “</w:t>
      </w:r>
      <w:r w:rsidR="00B24254">
        <w:t xml:space="preserve">Las </w:t>
      </w:r>
      <w:r w:rsidR="00F22F6E">
        <w:t>4</w:t>
      </w:r>
      <w:r>
        <w:t xml:space="preserve"> </w:t>
      </w:r>
      <w:r w:rsidR="001615C6">
        <w:t>corrupciones</w:t>
      </w:r>
      <w:r>
        <w:t>”, etc. (XXII.47ff.). “</w:t>
      </w:r>
      <w:r w:rsidR="00B24254">
        <w:t xml:space="preserve">Los </w:t>
      </w:r>
      <w:r w:rsidR="00F22F6E">
        <w:t>5</w:t>
      </w:r>
      <w:r>
        <w:t xml:space="preserve"> desiertos” y “</w:t>
      </w:r>
      <w:r w:rsidR="00B24254">
        <w:t>l</w:t>
      </w:r>
      <w:r w:rsidR="0035653E">
        <w:t>a</w:t>
      </w:r>
      <w:r w:rsidR="00B24254">
        <w:t xml:space="preserve">s </w:t>
      </w:r>
      <w:r w:rsidR="0035653E">
        <w:t>cadenas</w:t>
      </w:r>
      <w:r>
        <w:t>” (M I 101). “</w:t>
      </w:r>
      <w:r w:rsidR="00D03E9C">
        <w:t xml:space="preserve">Las </w:t>
      </w:r>
      <w:r w:rsidR="00F22F6E">
        <w:t>5</w:t>
      </w:r>
      <w:r>
        <w:t xml:space="preserve"> clases de </w:t>
      </w:r>
      <w:r w:rsidR="00DE3C64">
        <w:t>placer</w:t>
      </w:r>
      <w:r>
        <w:t xml:space="preserve">”: </w:t>
      </w:r>
      <w:r w:rsidR="002D1BE6">
        <w:t>el placer en</w:t>
      </w:r>
      <w:r>
        <w:t xml:space="preserve"> los </w:t>
      </w:r>
      <w:r w:rsidR="00F22F6E">
        <w:t>5</w:t>
      </w:r>
      <w:r>
        <w:t xml:space="preserve"> agregados (XVI.93). “</w:t>
      </w:r>
      <w:r w:rsidR="00B24254">
        <w:t xml:space="preserve">Las </w:t>
      </w:r>
      <w:r w:rsidR="00F22F6E">
        <w:t>6</w:t>
      </w:r>
      <w:r>
        <w:t xml:space="preserve"> raíces de </w:t>
      </w:r>
      <w:r w:rsidR="00B24254">
        <w:t xml:space="preserve">la </w:t>
      </w:r>
      <w:r>
        <w:t xml:space="preserve">discordia”: </w:t>
      </w:r>
      <w:r w:rsidR="007558D9">
        <w:t xml:space="preserve">la </w:t>
      </w:r>
      <w:r>
        <w:t xml:space="preserve">ira, </w:t>
      </w:r>
      <w:r w:rsidR="007558D9">
        <w:t xml:space="preserve">el </w:t>
      </w:r>
      <w:r>
        <w:t xml:space="preserve">desprecio, </w:t>
      </w:r>
      <w:r w:rsidR="007558D9">
        <w:t xml:space="preserve">la </w:t>
      </w:r>
      <w:r>
        <w:t xml:space="preserve">envidia, </w:t>
      </w:r>
      <w:r w:rsidR="007558D9">
        <w:t xml:space="preserve">el </w:t>
      </w:r>
      <w:r>
        <w:t xml:space="preserve">fraude, </w:t>
      </w:r>
      <w:r w:rsidR="007558D9">
        <w:t xml:space="preserve">la </w:t>
      </w:r>
      <w:r>
        <w:t xml:space="preserve">maldad de </w:t>
      </w:r>
      <w:proofErr w:type="gramStart"/>
      <w:r>
        <w:t xml:space="preserve">los </w:t>
      </w:r>
      <w:r w:rsidR="00071698">
        <w:t>aspiraciones</w:t>
      </w:r>
      <w:proofErr w:type="gramEnd"/>
      <w:r>
        <w:t xml:space="preserve"> y </w:t>
      </w:r>
      <w:r w:rsidR="007558D9">
        <w:t xml:space="preserve">la </w:t>
      </w:r>
      <w:r>
        <w:t>adhesión a la</w:t>
      </w:r>
      <w:r w:rsidR="00D03E9C">
        <w:t>s</w:t>
      </w:r>
      <w:r>
        <w:t xml:space="preserve"> propia</w:t>
      </w:r>
      <w:r w:rsidR="00D03E9C">
        <w:t>s</w:t>
      </w:r>
      <w:r>
        <w:t xml:space="preserve"> </w:t>
      </w:r>
      <w:r w:rsidR="00D03E9C">
        <w:t>visiones</w:t>
      </w:r>
      <w:r>
        <w:t xml:space="preserve"> </w:t>
      </w:r>
      <w:r w:rsidR="00BC23E6">
        <w:t xml:space="preserve">incorrectas </w:t>
      </w:r>
      <w:r>
        <w:t>(D III 246). “</w:t>
      </w:r>
      <w:r w:rsidR="007558D9">
        <w:t xml:space="preserve">Las </w:t>
      </w:r>
      <w:r w:rsidR="00F22F6E">
        <w:t>9</w:t>
      </w:r>
      <w:r>
        <w:t xml:space="preserve"> cosas enraizadas en el deseo” (D III 288-89). “</w:t>
      </w:r>
      <w:r w:rsidR="007558D9">
        <w:t xml:space="preserve">Los </w:t>
      </w:r>
      <w:r w:rsidR="00F22F6E">
        <w:t>10</w:t>
      </w:r>
      <w:r>
        <w:t xml:space="preserve"> cursos de acci</w:t>
      </w:r>
      <w:r w:rsidR="007558D9">
        <w:t>o</w:t>
      </w:r>
      <w:r>
        <w:t>n</w:t>
      </w:r>
      <w:r w:rsidR="007558D9">
        <w:t>es</w:t>
      </w:r>
      <w:r>
        <w:t xml:space="preserve"> </w:t>
      </w:r>
      <w:r w:rsidR="00C766F6">
        <w:t>improductivas</w:t>
      </w:r>
      <w:r>
        <w:t xml:space="preserve">”: matar, robar, conducta sexual inapropiada, mentir, calumniar, hablar </w:t>
      </w:r>
      <w:r w:rsidR="00E93AD9">
        <w:t>rudamente</w:t>
      </w:r>
      <w:r>
        <w:t xml:space="preserve">, murmurar, </w:t>
      </w:r>
      <w:r w:rsidR="007558D9">
        <w:t xml:space="preserve">la </w:t>
      </w:r>
      <w:r>
        <w:t xml:space="preserve">avaricia, </w:t>
      </w:r>
      <w:r w:rsidR="007558D9">
        <w:t xml:space="preserve">la </w:t>
      </w:r>
      <w:r>
        <w:t xml:space="preserve">mala voluntad, </w:t>
      </w:r>
      <w:r w:rsidR="007558D9">
        <w:t xml:space="preserve">la </w:t>
      </w:r>
      <w:r>
        <w:t xml:space="preserve">visión </w:t>
      </w:r>
      <w:r w:rsidR="007558D9">
        <w:t xml:space="preserve">incorrecta </w:t>
      </w:r>
      <w:r>
        <w:t>(M I 47, 286f.). “</w:t>
      </w:r>
      <w:r w:rsidR="007558D9">
        <w:t xml:space="preserve">Las </w:t>
      </w:r>
      <w:r w:rsidR="00F22F6E">
        <w:t>62</w:t>
      </w:r>
      <w:r>
        <w:t xml:space="preserve"> clases de visión</w:t>
      </w:r>
      <w:r w:rsidR="00E93AD9">
        <w:t xml:space="preserve"> </w:t>
      </w:r>
      <w:r w:rsidR="00E93AD9" w:rsidRPr="00F22F6E">
        <w:rPr>
          <w:color w:val="833C0B" w:themeColor="accent2" w:themeShade="80"/>
          <w:spacing w:val="0"/>
          <w:u w:color="000000"/>
        </w:rPr>
        <w:t>incorrecta</w:t>
      </w:r>
      <w:r>
        <w:t xml:space="preserve">”: (D I 12ss.; MN 102). “Las </w:t>
      </w:r>
      <w:r w:rsidR="00EF7EB9">
        <w:t>108</w:t>
      </w:r>
      <w:r>
        <w:t xml:space="preserve"> formas de</w:t>
      </w:r>
      <w:r w:rsidR="00F22F6E">
        <w:t>l</w:t>
      </w:r>
      <w:r>
        <w:t xml:space="preserve"> comportamiento del </w:t>
      </w:r>
      <w:r w:rsidR="007558D9">
        <w:t>deseo</w:t>
      </w:r>
      <w:r>
        <w:t>” (</w:t>
      </w:r>
      <w:proofErr w:type="spellStart"/>
      <w:r>
        <w:t>Vibh</w:t>
      </w:r>
      <w:proofErr w:type="spellEnd"/>
      <w:r>
        <w:t xml:space="preserve"> 400).</w:t>
      </w:r>
    </w:p>
    <w:p w14:paraId="1DA9F469" w14:textId="30A975A1" w:rsidR="008043F1" w:rsidRDefault="008043F1" w:rsidP="008043F1">
      <w:pPr>
        <w:pStyle w:val="PiedepginaLegal"/>
      </w:pPr>
      <w:r>
        <w:t xml:space="preserve">26. </w:t>
      </w:r>
      <w:r>
        <w:tab/>
      </w:r>
      <w:proofErr w:type="spellStart"/>
      <w:r w:rsidRPr="00A86556">
        <w:rPr>
          <w:i/>
          <w:iCs/>
        </w:rPr>
        <w:t>Abhigamanīya</w:t>
      </w:r>
      <w:proofErr w:type="spellEnd"/>
      <w:r>
        <w:t xml:space="preserve">—“adecuado para ser confiable”: </w:t>
      </w:r>
      <w:proofErr w:type="spellStart"/>
      <w:r w:rsidRPr="00A86556">
        <w:rPr>
          <w:i/>
          <w:iCs/>
        </w:rPr>
        <w:t>abhigacchati</w:t>
      </w:r>
      <w:proofErr w:type="spellEnd"/>
      <w:r>
        <w:t xml:space="preserve"> no </w:t>
      </w:r>
      <w:r w:rsidR="007558D9">
        <w:t xml:space="preserve">encontrado en el </w:t>
      </w:r>
      <w:r>
        <w:t>PED.</w:t>
      </w:r>
    </w:p>
    <w:p w14:paraId="46EB0BCE" w14:textId="17B43901" w:rsidR="008043F1" w:rsidRDefault="008043F1" w:rsidP="008043F1">
      <w:pPr>
        <w:pStyle w:val="PiedepginaLegal"/>
      </w:pPr>
      <w:r>
        <w:t xml:space="preserve">27. </w:t>
      </w:r>
      <w:r>
        <w:tab/>
      </w:r>
      <w:r w:rsidR="007558D9">
        <w:t xml:space="preserve">El </w:t>
      </w:r>
      <w:proofErr w:type="spellStart"/>
      <w:r>
        <w:t>Vism-mhṭ</w:t>
      </w:r>
      <w:proofErr w:type="spellEnd"/>
      <w:r>
        <w:t xml:space="preserve"> </w:t>
      </w:r>
      <w:r w:rsidR="007558D9">
        <w:t>menciona</w:t>
      </w:r>
      <w:r>
        <w:t xml:space="preserve"> </w:t>
      </w:r>
      <w:r w:rsidR="006206FC">
        <w:t xml:space="preserve">que </w:t>
      </w:r>
      <w:r>
        <w:t>la palabra “</w:t>
      </w:r>
      <w:r w:rsidRPr="007558D9">
        <w:rPr>
          <w:i/>
          <w:iCs/>
        </w:rPr>
        <w:t>etc</w:t>
      </w:r>
      <w:r>
        <w:t>.”</w:t>
      </w:r>
      <w:r w:rsidR="006206FC">
        <w:t xml:space="preserve"> </w:t>
      </w:r>
      <w:r>
        <w:t>incluye los seis siguientes</w:t>
      </w:r>
      <w:r w:rsidR="006206FC">
        <w:t xml:space="preserve"> términos</w:t>
      </w:r>
      <w:r>
        <w:t xml:space="preserve">: </w:t>
      </w:r>
      <w:proofErr w:type="spellStart"/>
      <w:r w:rsidRPr="00A86556">
        <w:rPr>
          <w:i/>
          <w:iCs/>
        </w:rPr>
        <w:t>mahimā</w:t>
      </w:r>
      <w:proofErr w:type="spellEnd"/>
      <w:r w:rsidRPr="00A86556">
        <w:rPr>
          <w:i/>
          <w:iCs/>
        </w:rPr>
        <w:t xml:space="preserve">, </w:t>
      </w:r>
      <w:proofErr w:type="spellStart"/>
      <w:r w:rsidRPr="00A86556">
        <w:rPr>
          <w:i/>
          <w:iCs/>
        </w:rPr>
        <w:t>patti</w:t>
      </w:r>
      <w:proofErr w:type="spellEnd"/>
      <w:r w:rsidRPr="00A86556">
        <w:rPr>
          <w:i/>
          <w:iCs/>
        </w:rPr>
        <w:t xml:space="preserve">, </w:t>
      </w:r>
      <w:proofErr w:type="spellStart"/>
      <w:r w:rsidRPr="00A86556">
        <w:rPr>
          <w:i/>
          <w:iCs/>
        </w:rPr>
        <w:t>pā</w:t>
      </w:r>
      <w:r w:rsidR="00057BF4" w:rsidRPr="00057BF4">
        <w:rPr>
          <w:i/>
          <w:iCs/>
        </w:rPr>
        <w:t>kamma</w:t>
      </w:r>
      <w:proofErr w:type="spellEnd"/>
      <w:r w:rsidRPr="00A86556">
        <w:rPr>
          <w:i/>
          <w:iCs/>
        </w:rPr>
        <w:t xml:space="preserve">, </w:t>
      </w:r>
      <w:proofErr w:type="spellStart"/>
      <w:r w:rsidRPr="00A86556">
        <w:rPr>
          <w:i/>
          <w:iCs/>
        </w:rPr>
        <w:t>ìsitā</w:t>
      </w:r>
      <w:proofErr w:type="spellEnd"/>
      <w:r w:rsidRPr="00A86556">
        <w:rPr>
          <w:i/>
          <w:iCs/>
        </w:rPr>
        <w:t xml:space="preserve">, </w:t>
      </w:r>
      <w:proofErr w:type="spellStart"/>
      <w:r w:rsidRPr="00A86556">
        <w:rPr>
          <w:i/>
          <w:iCs/>
        </w:rPr>
        <w:t>vasitā</w:t>
      </w:r>
      <w:proofErr w:type="spellEnd"/>
      <w:r>
        <w:t xml:space="preserve"> y </w:t>
      </w:r>
      <w:proofErr w:type="spellStart"/>
      <w:r w:rsidRPr="00A86556">
        <w:rPr>
          <w:i/>
          <w:iCs/>
        </w:rPr>
        <w:t>yatthakāmāvasāyitā</w:t>
      </w:r>
      <w:proofErr w:type="spellEnd"/>
      <w:r>
        <w:t xml:space="preserve">. “Aquí, </w:t>
      </w:r>
      <w:proofErr w:type="spellStart"/>
      <w:r w:rsidRPr="00A86556">
        <w:rPr>
          <w:i/>
          <w:iCs/>
        </w:rPr>
        <w:t>a</w:t>
      </w:r>
      <w:r w:rsidR="00A86556" w:rsidRPr="00A86556">
        <w:rPr>
          <w:i/>
          <w:iCs/>
        </w:rPr>
        <w:t>ṇ</w:t>
      </w:r>
      <w:r w:rsidRPr="00A86556">
        <w:rPr>
          <w:i/>
          <w:iCs/>
        </w:rPr>
        <w:t>im</w:t>
      </w:r>
      <w:r w:rsidR="00A86556" w:rsidRPr="00A86556">
        <w:rPr>
          <w:i/>
          <w:iCs/>
        </w:rPr>
        <w:t>ā</w:t>
      </w:r>
      <w:proofErr w:type="spellEnd"/>
      <w:r>
        <w:t xml:space="preserve"> significa hacer que el cuerpo sea diminuto (del tamaño de un átomo—</w:t>
      </w:r>
      <w:proofErr w:type="spellStart"/>
      <w:r w:rsidRPr="00A86556">
        <w:rPr>
          <w:i/>
          <w:iCs/>
        </w:rPr>
        <w:t>a</w:t>
      </w:r>
      <w:r w:rsidR="00A86556" w:rsidRPr="00A86556">
        <w:rPr>
          <w:i/>
          <w:iCs/>
        </w:rPr>
        <w:t>ṇ</w:t>
      </w:r>
      <w:r w:rsidRPr="00A86556">
        <w:rPr>
          <w:i/>
          <w:iCs/>
        </w:rPr>
        <w:t>u</w:t>
      </w:r>
      <w:proofErr w:type="spellEnd"/>
      <w:r>
        <w:t xml:space="preserve">). </w:t>
      </w:r>
      <w:proofErr w:type="spellStart"/>
      <w:r w:rsidRPr="00A86556">
        <w:rPr>
          <w:i/>
          <w:iCs/>
        </w:rPr>
        <w:t>Laghim</w:t>
      </w:r>
      <w:r w:rsidR="00A86556" w:rsidRPr="00A86556">
        <w:rPr>
          <w:i/>
          <w:iCs/>
        </w:rPr>
        <w:t>ā</w:t>
      </w:r>
      <w:proofErr w:type="spellEnd"/>
      <w:r>
        <w:t xml:space="preserve"> significa ligereza de</w:t>
      </w:r>
      <w:r w:rsidR="006206FC">
        <w:t>l</w:t>
      </w:r>
      <w:r>
        <w:t xml:space="preserve"> cuerpo; caminar sobre el aire, etc. </w:t>
      </w:r>
      <w:proofErr w:type="spellStart"/>
      <w:r w:rsidRPr="00A86556">
        <w:rPr>
          <w:i/>
          <w:iCs/>
        </w:rPr>
        <w:t>Mahimā</w:t>
      </w:r>
      <w:proofErr w:type="spellEnd"/>
      <w:r>
        <w:t xml:space="preserve"> significa </w:t>
      </w:r>
      <w:r w:rsidR="006206FC">
        <w:t xml:space="preserve">un </w:t>
      </w:r>
      <w:r>
        <w:t>agrandamiento que produ</w:t>
      </w:r>
      <w:r w:rsidR="006206FC">
        <w:t>zca</w:t>
      </w:r>
      <w:r>
        <w:t xml:space="preserve"> </w:t>
      </w:r>
      <w:r w:rsidR="006206FC">
        <w:t xml:space="preserve">una </w:t>
      </w:r>
      <w:r>
        <w:t xml:space="preserve">enormidad </w:t>
      </w:r>
      <w:r w:rsidR="006206FC">
        <w:t xml:space="preserve">en </w:t>
      </w:r>
      <w:r>
        <w:t xml:space="preserve">el cuerpo. </w:t>
      </w:r>
      <w:proofErr w:type="spellStart"/>
      <w:r w:rsidRPr="006206FC">
        <w:rPr>
          <w:i/>
          <w:iCs/>
        </w:rPr>
        <w:t>Patti</w:t>
      </w:r>
      <w:proofErr w:type="spellEnd"/>
      <w:r>
        <w:t xml:space="preserve"> significa llegar a donde uno quier</w:t>
      </w:r>
      <w:r w:rsidR="006206FC">
        <w:t>a</w:t>
      </w:r>
      <w:r>
        <w:t xml:space="preserve"> ir. </w:t>
      </w:r>
      <w:proofErr w:type="spellStart"/>
      <w:r w:rsidRPr="006206FC">
        <w:rPr>
          <w:i/>
          <w:iCs/>
        </w:rPr>
        <w:t>Pā</w:t>
      </w:r>
      <w:r w:rsidR="00057BF4" w:rsidRPr="006206FC">
        <w:rPr>
          <w:i/>
          <w:iCs/>
        </w:rPr>
        <w:t>kamma</w:t>
      </w:r>
      <w:proofErr w:type="spellEnd"/>
      <w:r>
        <w:t xml:space="preserve"> significa producir lo que uno quier</w:t>
      </w:r>
      <w:r w:rsidR="006206FC">
        <w:t>a</w:t>
      </w:r>
      <w:r>
        <w:t xml:space="preserve"> </w:t>
      </w:r>
      <w:r w:rsidR="006206FC">
        <w:t>decidi</w:t>
      </w:r>
      <w:r w:rsidR="00F96E56">
        <w:t>é</w:t>
      </w:r>
      <w:r w:rsidR="006206FC">
        <w:t>ndo</w:t>
      </w:r>
      <w:r w:rsidR="00F96E56">
        <w:t>lo</w:t>
      </w:r>
      <w:r>
        <w:t xml:space="preserve">, y así sucesivamente. </w:t>
      </w:r>
      <w:proofErr w:type="spellStart"/>
      <w:r w:rsidRPr="00F96E56">
        <w:rPr>
          <w:i/>
          <w:iCs/>
        </w:rPr>
        <w:t>Isitá</w:t>
      </w:r>
      <w:proofErr w:type="spellEnd"/>
      <w:r>
        <w:t xml:space="preserve"> significa autodominio, señorío. </w:t>
      </w:r>
      <w:proofErr w:type="spellStart"/>
      <w:r w:rsidRPr="00A86556">
        <w:rPr>
          <w:i/>
          <w:iCs/>
        </w:rPr>
        <w:t>Vasit</w:t>
      </w:r>
      <w:r w:rsidR="00A86556">
        <w:rPr>
          <w:i/>
          <w:iCs/>
        </w:rPr>
        <w:t>ā</w:t>
      </w:r>
      <w:proofErr w:type="spellEnd"/>
      <w:r>
        <w:t xml:space="preserve"> significa dominio de poderes milagrosos. </w:t>
      </w:r>
      <w:proofErr w:type="spellStart"/>
      <w:r w:rsidRPr="00A86556">
        <w:rPr>
          <w:i/>
          <w:iCs/>
        </w:rPr>
        <w:t>Yatthakāmāvasāyitā</w:t>
      </w:r>
      <w:proofErr w:type="spellEnd"/>
      <w:r>
        <w:t xml:space="preserve"> significa el logro de la perfección en todos los sentidos en alguien que </w:t>
      </w:r>
      <w:r w:rsidR="00F96E56">
        <w:t>se desplace</w:t>
      </w:r>
      <w:r>
        <w:t xml:space="preserve"> por el aire o ha</w:t>
      </w:r>
      <w:r w:rsidR="00F96E56">
        <w:t>ga</w:t>
      </w:r>
      <w:r>
        <w:t xml:space="preserve"> cualquier otra cosa por el estilo” (</w:t>
      </w:r>
      <w:proofErr w:type="spellStart"/>
      <w:r>
        <w:t>Vism-mhṭ</w:t>
      </w:r>
      <w:proofErr w:type="spellEnd"/>
      <w:r>
        <w:t xml:space="preserve"> 210). </w:t>
      </w:r>
      <w:proofErr w:type="spellStart"/>
      <w:r w:rsidRPr="00A86556">
        <w:rPr>
          <w:i/>
          <w:iCs/>
        </w:rPr>
        <w:t>Yogabhāṣya</w:t>
      </w:r>
      <w:proofErr w:type="spellEnd"/>
      <w:r>
        <w:t xml:space="preserve"> 3.45.</w:t>
      </w:r>
    </w:p>
    <w:p w14:paraId="754E554A" w14:textId="77777777" w:rsidR="008043F1" w:rsidRDefault="008043F1">
      <w:pPr>
        <w:tabs>
          <w:tab w:val="clear" w:pos="425"/>
        </w:tabs>
        <w:spacing w:after="160"/>
      </w:pPr>
      <w:r>
        <w:br w:type="page"/>
      </w:r>
    </w:p>
    <w:p w14:paraId="084860AA" w14:textId="05695F50" w:rsidR="00C44802" w:rsidRDefault="00C44802" w:rsidP="008043F1">
      <w:r>
        <w:lastRenderedPageBreak/>
        <w:br/>
      </w:r>
    </w:p>
    <w:p w14:paraId="76132DCE" w14:textId="4DAE257A" w:rsidR="00C44802" w:rsidRDefault="00C44802" w:rsidP="00C44802">
      <w:r>
        <w:t>necesit</w:t>
      </w:r>
      <w:r w:rsidR="002945EC">
        <w:t>e</w:t>
      </w:r>
      <w:r>
        <w:t xml:space="preserve"> como beneficioso para sí mismo o para otros </w:t>
      </w:r>
      <w:r w:rsidR="002945EC">
        <w:t>será</w:t>
      </w:r>
      <w:r>
        <w:t xml:space="preserve"> producido </w:t>
      </w:r>
      <w:r w:rsidR="002945EC">
        <w:t xml:space="preserve">allí y </w:t>
      </w:r>
      <w:r>
        <w:t xml:space="preserve">entonces para él. Y tiene </w:t>
      </w:r>
      <w:r w:rsidR="00730982">
        <w:t xml:space="preserve">la facultad del </w:t>
      </w:r>
      <w:r w:rsidR="00730982" w:rsidRPr="00730982">
        <w:rPr>
          <w:i/>
          <w:iCs/>
        </w:rPr>
        <w:t>emprendimiento</w:t>
      </w:r>
      <w:r>
        <w:t xml:space="preserve">, es decir, el justo </w:t>
      </w:r>
      <w:r w:rsidR="00730982" w:rsidRPr="00730982">
        <w:t>emprendimiento</w:t>
      </w:r>
      <w:r>
        <w:t>, por lo que todo el mundo lo venera.</w:t>
      </w:r>
    </w:p>
    <w:p w14:paraId="58D12574" w14:textId="54386D05" w:rsidR="00C44802" w:rsidRDefault="00C44802" w:rsidP="00C44802">
      <w:r>
        <w:t>62.</w:t>
      </w:r>
      <w:r>
        <w:tab/>
        <w:t xml:space="preserve"> Él también puede ser llamado “</w:t>
      </w:r>
      <w:r w:rsidR="00730982">
        <w:t>Bienaventurado</w:t>
      </w:r>
      <w:r>
        <w:t>” (</w:t>
      </w:r>
      <w:r w:rsidR="00057BF4" w:rsidRPr="00057BF4">
        <w:rPr>
          <w:i/>
          <w:iCs/>
        </w:rPr>
        <w:t>Bhagavā</w:t>
      </w:r>
      <w:r>
        <w:t xml:space="preserve">) cuando </w:t>
      </w:r>
      <w:r w:rsidR="0057084C">
        <w:t>se le llame</w:t>
      </w:r>
      <w:r>
        <w:t xml:space="preserve"> “</w:t>
      </w:r>
      <w:r w:rsidRPr="0098092A">
        <w:rPr>
          <w:i/>
          <w:iCs/>
        </w:rPr>
        <w:t>poseedor de lo que ha</w:t>
      </w:r>
      <w:r w:rsidR="00F2207C">
        <w:rPr>
          <w:i/>
          <w:iCs/>
        </w:rPr>
        <w:t>ya</w:t>
      </w:r>
      <w:r w:rsidRPr="0098092A">
        <w:rPr>
          <w:i/>
          <w:iCs/>
        </w:rPr>
        <w:t xml:space="preserve"> sido analizado</w:t>
      </w:r>
      <w:r>
        <w:t>” (</w:t>
      </w:r>
      <w:proofErr w:type="spellStart"/>
      <w:r w:rsidRPr="00A86556">
        <w:rPr>
          <w:i/>
          <w:iCs/>
        </w:rPr>
        <w:t>vibhattavā</w:t>
      </w:r>
      <w:proofErr w:type="spellEnd"/>
      <w:r>
        <w:t xml:space="preserve">) debido a que ha analizado [y aclarado] todos los estados en las tres clases que comienzan con lo </w:t>
      </w:r>
      <w:r w:rsidR="0057084C">
        <w:t>productivo</w:t>
      </w:r>
      <w:r>
        <w:t xml:space="preserve">; o </w:t>
      </w:r>
      <w:r w:rsidR="00ED0380">
        <w:t>lo</w:t>
      </w:r>
      <w:r w:rsidR="00B14F60">
        <w:t>s</w:t>
      </w:r>
      <w:r w:rsidR="00ED0380">
        <w:t xml:space="preserve"> </w:t>
      </w:r>
      <w:r w:rsidR="00B14F60">
        <w:t xml:space="preserve">estados </w:t>
      </w:r>
      <w:r w:rsidR="00ED0380">
        <w:t>productivo</w:t>
      </w:r>
      <w:r w:rsidR="00B14F60">
        <w:t>s</w:t>
      </w:r>
      <w:r>
        <w:t>, etc., en clases tales como agregados, bases, elementos, verdades, facultades, orig</w:t>
      </w:r>
      <w:r w:rsidR="00B14F60">
        <w:t>i</w:t>
      </w:r>
      <w:r>
        <w:t>n</w:t>
      </w:r>
      <w:r w:rsidR="00B14F60">
        <w:t>ación</w:t>
      </w:r>
      <w:r>
        <w:t xml:space="preserve"> dependiente, etc.; [212] o la noble verdad del sufrimiento en los sentidos de opr</w:t>
      </w:r>
      <w:r w:rsidR="001F504B">
        <w:t>esión</w:t>
      </w:r>
      <w:r>
        <w:t>, forma</w:t>
      </w:r>
      <w:r w:rsidR="001F504B">
        <w:t>ción</w:t>
      </w:r>
      <w:r>
        <w:t xml:space="preserve">, </w:t>
      </w:r>
      <w:r w:rsidR="001F504B">
        <w:t xml:space="preserve">combustión </w:t>
      </w:r>
      <w:r>
        <w:t>y cambi</w:t>
      </w:r>
      <w:r w:rsidR="001F504B">
        <w:t>o</w:t>
      </w:r>
      <w:r>
        <w:t>; y el de</w:t>
      </w:r>
      <w:r w:rsidR="006D5D62">
        <w:t>l</w:t>
      </w:r>
      <w:r>
        <w:t xml:space="preserve"> origen </w:t>
      </w:r>
      <w:r w:rsidR="006D5D62">
        <w:t xml:space="preserve">del sufrimiento </w:t>
      </w:r>
      <w:r>
        <w:t xml:space="preserve">en los sentidos de acumulación, fuente, vínculo e impedimento; y de la cesación en los sentidos de escape, reclusión, ser informe e inmortal; y del </w:t>
      </w:r>
      <w:r w:rsidR="005D6496">
        <w:t xml:space="preserve">sendero en </w:t>
      </w:r>
      <w:r>
        <w:t xml:space="preserve">los sentidos de </w:t>
      </w:r>
      <w:r w:rsidR="005D6496">
        <w:t>escape</w:t>
      </w:r>
      <w:r>
        <w:t xml:space="preserve">, causa, visión y predominio. </w:t>
      </w:r>
      <w:r w:rsidR="00786DB3">
        <w:t xml:space="preserve">Lo </w:t>
      </w:r>
      <w:r w:rsidR="00F2207C">
        <w:t xml:space="preserve">que se quiere decir es </w:t>
      </w:r>
      <w:r w:rsidR="00786DB3">
        <w:t>que l</w:t>
      </w:r>
      <w:r w:rsidR="00293513">
        <w:t xml:space="preserve">os ha </w:t>
      </w:r>
      <w:r>
        <w:t xml:space="preserve">analizado, </w:t>
      </w:r>
      <w:r w:rsidR="00293513">
        <w:t xml:space="preserve">ha </w:t>
      </w:r>
      <w:r>
        <w:t>revelado, mostrado.</w:t>
      </w:r>
    </w:p>
    <w:p w14:paraId="6A96C973" w14:textId="213390EF" w:rsidR="00C44802" w:rsidRDefault="00C44802" w:rsidP="00C44802">
      <w:r>
        <w:t xml:space="preserve">63. </w:t>
      </w:r>
      <w:r>
        <w:tab/>
        <w:t>Él [también] puede ser llamado “</w:t>
      </w:r>
      <w:r w:rsidR="00852BE9">
        <w:t>Bienaventurado</w:t>
      </w:r>
      <w:r>
        <w:t>” (</w:t>
      </w:r>
      <w:r w:rsidR="00057BF4" w:rsidRPr="00057BF4">
        <w:rPr>
          <w:i/>
          <w:iCs/>
        </w:rPr>
        <w:t>Bhagavā</w:t>
      </w:r>
      <w:r>
        <w:t xml:space="preserve">) cuando </w:t>
      </w:r>
      <w:r w:rsidR="00852BE9">
        <w:t>se le llame</w:t>
      </w:r>
      <w:r w:rsidR="00CF175E">
        <w:t xml:space="preserve"> como</w:t>
      </w:r>
      <w:r>
        <w:t xml:space="preserve"> alguien que “</w:t>
      </w:r>
      <w:r w:rsidRPr="0043268C">
        <w:rPr>
          <w:i/>
          <w:iCs/>
        </w:rPr>
        <w:t>ha frecuentado</w:t>
      </w:r>
      <w:r>
        <w:t>” (</w:t>
      </w:r>
      <w:proofErr w:type="spellStart"/>
      <w:r w:rsidRPr="00A86556">
        <w:rPr>
          <w:i/>
          <w:iCs/>
        </w:rPr>
        <w:t>bhattavā</w:t>
      </w:r>
      <w:proofErr w:type="spellEnd"/>
      <w:r>
        <w:t>) debido a que ha frecuentado (</w:t>
      </w:r>
      <w:proofErr w:type="spellStart"/>
      <w:r w:rsidRPr="00A86556">
        <w:rPr>
          <w:i/>
          <w:iCs/>
        </w:rPr>
        <w:t>bhaji</w:t>
      </w:r>
      <w:proofErr w:type="spellEnd"/>
      <w:r>
        <w:t>), cultivado, practicado repetidamente, tales cosas mundanas y supramundanas superiores a los estados humanos como l</w:t>
      </w:r>
      <w:r w:rsidR="002E7324">
        <w:t>o</w:t>
      </w:r>
      <w:r>
        <w:t xml:space="preserve">s </w:t>
      </w:r>
      <w:r w:rsidR="002E7324">
        <w:t>planos</w:t>
      </w:r>
      <w:r>
        <w:t xml:space="preserve"> celestiales, divinas y nobles,</w:t>
      </w:r>
      <w:r w:rsidRPr="002272D9">
        <w:rPr>
          <w:vertAlign w:val="superscript"/>
        </w:rPr>
        <w:t>28</w:t>
      </w:r>
      <w:r>
        <w:t xml:space="preserve"> como la reclusión corporal, mental y existencial, como las liberaciones vacías, sin deseos y sin signos, y otros </w:t>
      </w:r>
      <w:r w:rsidR="00786DB3">
        <w:t xml:space="preserve">estados </w:t>
      </w:r>
      <w:r>
        <w:t>también.</w:t>
      </w:r>
    </w:p>
    <w:p w14:paraId="35BB39B6" w14:textId="395630E5" w:rsidR="00C44802" w:rsidRDefault="00C44802" w:rsidP="00C44802">
      <w:r>
        <w:t xml:space="preserve">64. </w:t>
      </w:r>
      <w:r>
        <w:tab/>
        <w:t>Él [también] puede ser llamado “</w:t>
      </w:r>
      <w:r w:rsidR="00CF175E">
        <w:t>Bienaventurado</w:t>
      </w:r>
      <w:r>
        <w:t>” (</w:t>
      </w:r>
      <w:r w:rsidR="00057BF4" w:rsidRPr="00057BF4">
        <w:rPr>
          <w:i/>
          <w:iCs/>
        </w:rPr>
        <w:t>Bhagavā</w:t>
      </w:r>
      <w:r>
        <w:t xml:space="preserve">) cuando </w:t>
      </w:r>
      <w:r w:rsidR="00CC71C1">
        <w:t xml:space="preserve">se le llame </w:t>
      </w:r>
      <w:r w:rsidR="00415610">
        <w:t xml:space="preserve">como </w:t>
      </w:r>
      <w:r>
        <w:t>alguien que “</w:t>
      </w:r>
      <w:r w:rsidRPr="0043268C">
        <w:rPr>
          <w:i/>
          <w:iCs/>
        </w:rPr>
        <w:t xml:space="preserve">ha rechazado ir </w:t>
      </w:r>
      <w:r w:rsidR="00CC71C1">
        <w:rPr>
          <w:i/>
          <w:iCs/>
        </w:rPr>
        <w:t>por</w:t>
      </w:r>
      <w:r w:rsidRPr="0043268C">
        <w:rPr>
          <w:i/>
          <w:iCs/>
        </w:rPr>
        <w:t xml:space="preserve"> </w:t>
      </w:r>
      <w:r w:rsidR="00415610">
        <w:rPr>
          <w:i/>
          <w:iCs/>
        </w:rPr>
        <w:t xml:space="preserve">todos </w:t>
      </w:r>
      <w:r w:rsidRPr="0043268C">
        <w:rPr>
          <w:i/>
          <w:iCs/>
        </w:rPr>
        <w:t>los tipos de devenir</w:t>
      </w:r>
      <w:r>
        <w:t>” (</w:t>
      </w:r>
      <w:proofErr w:type="spellStart"/>
      <w:r w:rsidRPr="00A86556">
        <w:rPr>
          <w:i/>
          <w:iCs/>
        </w:rPr>
        <w:t>vantagamano</w:t>
      </w:r>
      <w:proofErr w:type="spellEnd"/>
      <w:r>
        <w:t xml:space="preserve"> </w:t>
      </w:r>
      <w:proofErr w:type="spellStart"/>
      <w:r w:rsidRPr="00A86556">
        <w:rPr>
          <w:i/>
          <w:iCs/>
        </w:rPr>
        <w:t>bhavesu</w:t>
      </w:r>
      <w:proofErr w:type="spellEnd"/>
      <w:r>
        <w:t>) porque en los tres tipos de devenir (</w:t>
      </w:r>
      <w:proofErr w:type="spellStart"/>
      <w:r w:rsidRPr="00A86556">
        <w:rPr>
          <w:i/>
          <w:iCs/>
        </w:rPr>
        <w:t>bhava</w:t>
      </w:r>
      <w:proofErr w:type="spellEnd"/>
      <w:r>
        <w:t xml:space="preserve">), el ir </w:t>
      </w:r>
      <w:proofErr w:type="gramStart"/>
      <w:r>
        <w:t xml:space="preserve">( </w:t>
      </w:r>
      <w:proofErr w:type="spellStart"/>
      <w:r w:rsidRPr="00A86556">
        <w:rPr>
          <w:i/>
          <w:iCs/>
        </w:rPr>
        <w:t>gamana</w:t>
      </w:r>
      <w:proofErr w:type="spellEnd"/>
      <w:proofErr w:type="gramEnd"/>
      <w:r>
        <w:t>), en otras palabras, el deseo, ha sido rechazado (</w:t>
      </w:r>
      <w:proofErr w:type="spellStart"/>
      <w:r w:rsidRPr="00A86556">
        <w:rPr>
          <w:i/>
          <w:iCs/>
        </w:rPr>
        <w:t>vanta</w:t>
      </w:r>
      <w:proofErr w:type="spellEnd"/>
      <w:r>
        <w:t xml:space="preserve">) por él. Y las sílabas </w:t>
      </w:r>
      <w:proofErr w:type="spellStart"/>
      <w:r w:rsidRPr="00A86556">
        <w:rPr>
          <w:i/>
          <w:iCs/>
        </w:rPr>
        <w:t>bha</w:t>
      </w:r>
      <w:proofErr w:type="spellEnd"/>
      <w:r>
        <w:t xml:space="preserve"> de la palabra </w:t>
      </w:r>
      <w:proofErr w:type="spellStart"/>
      <w:r w:rsidRPr="00A86556">
        <w:rPr>
          <w:i/>
          <w:iCs/>
        </w:rPr>
        <w:t>bhava</w:t>
      </w:r>
      <w:proofErr w:type="spellEnd"/>
      <w:r>
        <w:t xml:space="preserve">, y </w:t>
      </w:r>
      <w:proofErr w:type="spellStart"/>
      <w:r w:rsidRPr="00BC398B">
        <w:rPr>
          <w:i/>
          <w:iCs/>
        </w:rPr>
        <w:t>ga</w:t>
      </w:r>
      <w:proofErr w:type="spellEnd"/>
      <w:r>
        <w:t xml:space="preserve"> de la palabra </w:t>
      </w:r>
      <w:proofErr w:type="spellStart"/>
      <w:r w:rsidRPr="00A86556">
        <w:rPr>
          <w:i/>
          <w:iCs/>
        </w:rPr>
        <w:t>gamana</w:t>
      </w:r>
      <w:proofErr w:type="spellEnd"/>
      <w:r>
        <w:t xml:space="preserve">, y </w:t>
      </w:r>
      <w:r w:rsidRPr="00BC398B">
        <w:rPr>
          <w:i/>
          <w:iCs/>
        </w:rPr>
        <w:t>va</w:t>
      </w:r>
      <w:r>
        <w:t xml:space="preserve"> de la palabra </w:t>
      </w:r>
      <w:proofErr w:type="spellStart"/>
      <w:r w:rsidRPr="00A86556">
        <w:rPr>
          <w:i/>
          <w:iCs/>
        </w:rPr>
        <w:t>vanta</w:t>
      </w:r>
      <w:proofErr w:type="spellEnd"/>
      <w:r>
        <w:t xml:space="preserve"> con la letra </w:t>
      </w:r>
      <w:r w:rsidRPr="00415610">
        <w:rPr>
          <w:i/>
          <w:iCs/>
        </w:rPr>
        <w:t>a</w:t>
      </w:r>
      <w:r>
        <w:t xml:space="preserve"> alargada, forman la palabra </w:t>
      </w:r>
      <w:r w:rsidR="00057BF4" w:rsidRPr="00057BF4">
        <w:rPr>
          <w:i/>
          <w:iCs/>
        </w:rPr>
        <w:t>Bhagavā</w:t>
      </w:r>
      <w:r>
        <w:t xml:space="preserve">, tal como se hace en el mundo [de los gramáticos fuera de la Dispensación] con la palabra </w:t>
      </w:r>
      <w:proofErr w:type="spellStart"/>
      <w:r w:rsidRPr="00BC398B">
        <w:rPr>
          <w:i/>
          <w:iCs/>
        </w:rPr>
        <w:t>mekh</w:t>
      </w:r>
      <w:r w:rsidR="0098092A" w:rsidRPr="00BC398B">
        <w:rPr>
          <w:i/>
          <w:iCs/>
        </w:rPr>
        <w:t>k</w:t>
      </w:r>
      <w:r w:rsidRPr="00BC398B">
        <w:rPr>
          <w:i/>
          <w:iCs/>
        </w:rPr>
        <w:t>alā</w:t>
      </w:r>
      <w:proofErr w:type="spellEnd"/>
      <w:r>
        <w:t xml:space="preserve"> (cinturilla) ya que se puede decir “guirnalda para las partes íntimas” (</w:t>
      </w:r>
      <w:proofErr w:type="spellStart"/>
      <w:r w:rsidRPr="0098092A">
        <w:rPr>
          <w:i/>
          <w:iCs/>
        </w:rPr>
        <w:t>mehanassa</w:t>
      </w:r>
      <w:proofErr w:type="spellEnd"/>
      <w:r>
        <w:t xml:space="preserve"> </w:t>
      </w:r>
      <w:proofErr w:type="spellStart"/>
      <w:r w:rsidRPr="0098092A">
        <w:rPr>
          <w:i/>
          <w:iCs/>
        </w:rPr>
        <w:t>khassa</w:t>
      </w:r>
      <w:proofErr w:type="spellEnd"/>
      <w:r>
        <w:t xml:space="preserve"> </w:t>
      </w:r>
      <w:proofErr w:type="spellStart"/>
      <w:r w:rsidRPr="0098092A">
        <w:rPr>
          <w:i/>
          <w:iCs/>
        </w:rPr>
        <w:t>mālā</w:t>
      </w:r>
      <w:proofErr w:type="spellEnd"/>
      <w:r>
        <w:t>).</w:t>
      </w:r>
    </w:p>
    <w:p w14:paraId="6AA1DB66" w14:textId="16B773A9" w:rsidR="00C44802" w:rsidRDefault="00C44802" w:rsidP="00C44802">
      <w:r>
        <w:t xml:space="preserve">65. </w:t>
      </w:r>
      <w:r w:rsidR="00BC398B">
        <w:tab/>
      </w:r>
      <w:r>
        <w:t xml:space="preserve">Siempre que el meditador </w:t>
      </w:r>
      <w:r w:rsidR="00F5751C">
        <w:t>evoque</w:t>
      </w:r>
      <w:r>
        <w:t xml:space="preserve"> las cualidades especiales del </w:t>
      </w:r>
      <w:r w:rsidR="00057BF4" w:rsidRPr="00057BF4">
        <w:rPr>
          <w:i/>
        </w:rPr>
        <w:t>Buddha</w:t>
      </w:r>
      <w:r>
        <w:t xml:space="preserve"> de esta manera, "Por esta y esta razón el </w:t>
      </w:r>
      <w:r w:rsidR="00BC398B">
        <w:rPr>
          <w:i/>
          <w:iCs/>
          <w:sz w:val="17"/>
          <w:szCs w:val="17"/>
        </w:rPr>
        <w:t>Bhagavā</w:t>
      </w:r>
      <w:r w:rsidR="00BC398B">
        <w:t xml:space="preserve"> </w:t>
      </w:r>
      <w:r>
        <w:t xml:space="preserve">es consumado... por esta y esta razón es </w:t>
      </w:r>
      <w:r w:rsidR="00BC398B">
        <w:t>Bienaventurado</w:t>
      </w:r>
      <w:r>
        <w:t>", entonces: "En esa ocasión la mente no est</w:t>
      </w:r>
      <w:r w:rsidR="00BC398B">
        <w:t>ar</w:t>
      </w:r>
      <w:r>
        <w:t xml:space="preserve">á obsesionada por la codicia, ni por el odio, ni por la ilusión; su mente </w:t>
      </w:r>
      <w:r w:rsidR="003A2E4B">
        <w:t>tendrá</w:t>
      </w:r>
      <w:r>
        <w:t xml:space="preserve"> rectitud en esa ocasión, inspirándose en el Perfecto” (A III 285).</w:t>
      </w:r>
      <w:r w:rsidRPr="002272D9">
        <w:rPr>
          <w:vertAlign w:val="superscript"/>
        </w:rPr>
        <w:t>29</w:t>
      </w:r>
    </w:p>
    <w:p w14:paraId="7EAF014A" w14:textId="7D546E6B" w:rsidR="00C44802" w:rsidRDefault="00C44802" w:rsidP="00C44802">
      <w:pPr>
        <w:pStyle w:val="Piedepgina"/>
        <w:rPr>
          <w:u w:val="single"/>
        </w:rPr>
      </w:pPr>
      <w:r>
        <w:rPr>
          <w:u w:val="single"/>
        </w:rPr>
        <w:t xml:space="preserve">                                                                                                                                                                                     .</w:t>
      </w:r>
    </w:p>
    <w:p w14:paraId="409034D6" w14:textId="4F8DED56" w:rsidR="00C44802" w:rsidRDefault="00C44802" w:rsidP="00C44802">
      <w:pPr>
        <w:pStyle w:val="PiedepginaLegal"/>
        <w:tabs>
          <w:tab w:val="clear" w:pos="6804"/>
        </w:tabs>
        <w:ind w:right="476"/>
      </w:pPr>
      <w:r>
        <w:t xml:space="preserve">28. </w:t>
      </w:r>
      <w:r>
        <w:tab/>
        <w:t>L</w:t>
      </w:r>
      <w:r w:rsidR="003A2E4B">
        <w:t>o</w:t>
      </w:r>
      <w:r>
        <w:t>s tres “</w:t>
      </w:r>
      <w:r w:rsidR="003A2E4B">
        <w:t>estados</w:t>
      </w:r>
      <w:r>
        <w:t>” son est</w:t>
      </w:r>
      <w:r w:rsidR="003A2E4B">
        <w:t>o</w:t>
      </w:r>
      <w:r>
        <w:t xml:space="preserve">s: </w:t>
      </w:r>
      <w:r w:rsidR="003A2E4B">
        <w:t xml:space="preserve">el </w:t>
      </w:r>
      <w:r w:rsidR="00A3787E">
        <w:t>plano</w:t>
      </w:r>
      <w:r w:rsidR="003A2E4B">
        <w:t xml:space="preserve"> </w:t>
      </w:r>
      <w:r>
        <w:t xml:space="preserve">celestial = </w:t>
      </w:r>
      <w:proofErr w:type="spellStart"/>
      <w:r w:rsidR="00057BF4" w:rsidRPr="00057BF4">
        <w:rPr>
          <w:i/>
          <w:iCs/>
        </w:rPr>
        <w:t>kasiṇa</w:t>
      </w:r>
      <w:proofErr w:type="spellEnd"/>
      <w:r>
        <w:t xml:space="preserve"> </w:t>
      </w:r>
      <w:proofErr w:type="spellStart"/>
      <w:r w:rsidR="00057BF4" w:rsidRPr="00057BF4">
        <w:rPr>
          <w:i/>
          <w:iCs/>
        </w:rPr>
        <w:t>jhāna</w:t>
      </w:r>
      <w:proofErr w:type="spellEnd"/>
      <w:r>
        <w:t xml:space="preserve">, </w:t>
      </w:r>
      <w:r w:rsidR="003A2E4B">
        <w:t xml:space="preserve">el estado </w:t>
      </w:r>
      <w:r>
        <w:t>divin</w:t>
      </w:r>
      <w:r w:rsidR="00641471">
        <w:t>o</w:t>
      </w:r>
      <w:r>
        <w:t xml:space="preserve"> = amor </w:t>
      </w:r>
      <w:proofErr w:type="spellStart"/>
      <w:r w:rsidR="00057BF4" w:rsidRPr="00057BF4">
        <w:rPr>
          <w:i/>
          <w:iCs/>
        </w:rPr>
        <w:t>jhāna</w:t>
      </w:r>
      <w:proofErr w:type="spellEnd"/>
      <w:r>
        <w:t xml:space="preserve">, etc., </w:t>
      </w:r>
      <w:r w:rsidR="003A2E4B">
        <w:t xml:space="preserve">estado </w:t>
      </w:r>
      <w:r>
        <w:t xml:space="preserve">noble = logro de </w:t>
      </w:r>
      <w:r w:rsidR="003A2E4B">
        <w:t xml:space="preserve">la </w:t>
      </w:r>
      <w:r>
        <w:t>fruición. Para los tres tipos de reclusión, véase IV, nota 23.</w:t>
      </w:r>
    </w:p>
    <w:p w14:paraId="59D5733E" w14:textId="7263C655" w:rsidR="00C44802" w:rsidRDefault="00C44802" w:rsidP="00C44802">
      <w:pPr>
        <w:pStyle w:val="PiedepginaLegal"/>
        <w:tabs>
          <w:tab w:val="clear" w:pos="6804"/>
        </w:tabs>
        <w:ind w:right="476"/>
      </w:pPr>
      <w:r>
        <w:t xml:space="preserve">29. </w:t>
      </w:r>
      <w:r>
        <w:tab/>
      </w:r>
      <w:r w:rsidR="00021EAF">
        <w:t xml:space="preserve">El </w:t>
      </w:r>
      <w:proofErr w:type="spellStart"/>
      <w:r>
        <w:t>Vism-mhṭ</w:t>
      </w:r>
      <w:proofErr w:type="spellEnd"/>
      <w:r>
        <w:t xml:space="preserve"> agrega siete juegos más </w:t>
      </w:r>
      <w:r w:rsidR="001F76C8">
        <w:t xml:space="preserve">a </w:t>
      </w:r>
      <w:r>
        <w:t xml:space="preserve">la palabra </w:t>
      </w:r>
      <w:r w:rsidR="00057BF4" w:rsidRPr="00057BF4">
        <w:rPr>
          <w:i/>
          <w:iCs/>
        </w:rPr>
        <w:t>Bhagavā</w:t>
      </w:r>
      <w:r>
        <w:t xml:space="preserve">, que en resumen son estos: él es </w:t>
      </w:r>
      <w:proofErr w:type="spellStart"/>
      <w:r w:rsidRPr="0098092A">
        <w:rPr>
          <w:i/>
          <w:iCs/>
        </w:rPr>
        <w:t>bhāgavā</w:t>
      </w:r>
      <w:proofErr w:type="spellEnd"/>
      <w:r>
        <w:t xml:space="preserve"> (un poseedor de partes) porque tiene los agregados del </w:t>
      </w:r>
      <w:r w:rsidR="00057BF4" w:rsidRPr="00057BF4">
        <w:rPr>
          <w:i/>
        </w:rPr>
        <w:t>Dhamma</w:t>
      </w:r>
      <w:r>
        <w:t xml:space="preserve"> de la virtud, etc. (</w:t>
      </w:r>
      <w:proofErr w:type="spellStart"/>
      <w:r w:rsidRPr="0098092A">
        <w:rPr>
          <w:i/>
          <w:iCs/>
        </w:rPr>
        <w:t>bhāgā</w:t>
      </w:r>
      <w:proofErr w:type="spellEnd"/>
      <w:r>
        <w:t xml:space="preserve"> = parte, </w:t>
      </w:r>
      <w:proofErr w:type="spellStart"/>
      <w:r w:rsidRPr="0098092A">
        <w:rPr>
          <w:i/>
          <w:iCs/>
        </w:rPr>
        <w:t>vant</w:t>
      </w:r>
      <w:proofErr w:type="spellEnd"/>
      <w:r>
        <w:t xml:space="preserve"> = poseedor de). Él es </w:t>
      </w:r>
      <w:r w:rsidR="007B10F2">
        <w:t xml:space="preserve">un </w:t>
      </w:r>
      <w:proofErr w:type="spellStart"/>
      <w:r w:rsidRPr="0098092A">
        <w:rPr>
          <w:i/>
          <w:iCs/>
        </w:rPr>
        <w:t>bhatavā</w:t>
      </w:r>
      <w:proofErr w:type="spellEnd"/>
      <w:r>
        <w:t xml:space="preserve"> (poseedor de lo que se </w:t>
      </w:r>
      <w:r w:rsidR="00D95EDC">
        <w:t>porta</w:t>
      </w:r>
      <w:r>
        <w:t xml:space="preserve">) porque ha </w:t>
      </w:r>
      <w:r w:rsidR="007B10F2">
        <w:t>portado</w:t>
      </w:r>
      <w:r>
        <w:t xml:space="preserve"> (</w:t>
      </w:r>
      <w:proofErr w:type="spellStart"/>
      <w:r w:rsidRPr="0098092A">
        <w:rPr>
          <w:i/>
          <w:iCs/>
        </w:rPr>
        <w:t>bhata</w:t>
      </w:r>
      <w:proofErr w:type="spellEnd"/>
      <w:r>
        <w:t>) las perfecciones hasta su pleno desarrollo. Ha cultivado las partes (</w:t>
      </w:r>
      <w:proofErr w:type="spellStart"/>
      <w:r w:rsidRPr="0098092A">
        <w:rPr>
          <w:i/>
          <w:iCs/>
        </w:rPr>
        <w:t>bhāge</w:t>
      </w:r>
      <w:proofErr w:type="spellEnd"/>
      <w:r>
        <w:t xml:space="preserve"> </w:t>
      </w:r>
      <w:proofErr w:type="spellStart"/>
      <w:r w:rsidRPr="0098092A">
        <w:rPr>
          <w:i/>
          <w:iCs/>
        </w:rPr>
        <w:t>vani</w:t>
      </w:r>
      <w:proofErr w:type="spellEnd"/>
      <w:r>
        <w:t>), es decir, ha desarrollado las diversas clases de logros. Ha cultivado las bendiciones (</w:t>
      </w:r>
      <w:proofErr w:type="spellStart"/>
      <w:r w:rsidRPr="0098092A">
        <w:rPr>
          <w:i/>
          <w:iCs/>
        </w:rPr>
        <w:t>bhage</w:t>
      </w:r>
      <w:proofErr w:type="spellEnd"/>
      <w:r w:rsidRPr="0098092A">
        <w:rPr>
          <w:i/>
          <w:iCs/>
        </w:rPr>
        <w:t xml:space="preserve"> </w:t>
      </w:r>
      <w:proofErr w:type="spellStart"/>
      <w:r w:rsidRPr="0098092A">
        <w:rPr>
          <w:i/>
          <w:iCs/>
        </w:rPr>
        <w:t>vani</w:t>
      </w:r>
      <w:proofErr w:type="spellEnd"/>
      <w:r>
        <w:t xml:space="preserve">), es decir, las bendiciones mundanas y supramundanas. Él es </w:t>
      </w:r>
      <w:r w:rsidR="007B10F2">
        <w:t xml:space="preserve">un </w:t>
      </w:r>
      <w:proofErr w:type="spellStart"/>
      <w:r w:rsidRPr="0098092A">
        <w:rPr>
          <w:i/>
          <w:iCs/>
        </w:rPr>
        <w:t>bhattavā</w:t>
      </w:r>
      <w:proofErr w:type="spellEnd"/>
      <w:r>
        <w:t xml:space="preserve"> (</w:t>
      </w:r>
      <w:r w:rsidR="007B10F2">
        <w:t xml:space="preserve">un </w:t>
      </w:r>
      <w:r>
        <w:t>poseedor de devotos) porque la gente devota (</w:t>
      </w:r>
      <w:proofErr w:type="spellStart"/>
      <w:r w:rsidRPr="0098092A">
        <w:rPr>
          <w:i/>
          <w:iCs/>
        </w:rPr>
        <w:t>bhatta</w:t>
      </w:r>
      <w:proofErr w:type="spellEnd"/>
      <w:r>
        <w:t>) le muestra devoción (</w:t>
      </w:r>
      <w:proofErr w:type="spellStart"/>
      <w:r w:rsidRPr="0098092A">
        <w:rPr>
          <w:i/>
          <w:iCs/>
        </w:rPr>
        <w:t>bhatti</w:t>
      </w:r>
      <w:proofErr w:type="spellEnd"/>
      <w:r>
        <w:t xml:space="preserve">) a causa de sus logros. Ha rechazado </w:t>
      </w:r>
      <w:r w:rsidR="001F76C8">
        <w:t xml:space="preserve">las </w:t>
      </w:r>
      <w:r>
        <w:t>bendiciones (</w:t>
      </w:r>
      <w:proofErr w:type="spellStart"/>
      <w:r w:rsidRPr="0098092A">
        <w:rPr>
          <w:i/>
          <w:iCs/>
        </w:rPr>
        <w:t>bhage</w:t>
      </w:r>
      <w:proofErr w:type="spellEnd"/>
      <w:r w:rsidRPr="0098092A">
        <w:rPr>
          <w:i/>
          <w:iCs/>
        </w:rPr>
        <w:t xml:space="preserve"> </w:t>
      </w:r>
      <w:proofErr w:type="spellStart"/>
      <w:r w:rsidRPr="0098092A">
        <w:rPr>
          <w:i/>
          <w:iCs/>
        </w:rPr>
        <w:t>vami</w:t>
      </w:r>
      <w:proofErr w:type="spellEnd"/>
      <w:r>
        <w:t>) como la gloria, el señorío, la fama, etc. Ha rechazado las partes (</w:t>
      </w:r>
      <w:proofErr w:type="spellStart"/>
      <w:r w:rsidRPr="0098092A">
        <w:rPr>
          <w:i/>
          <w:iCs/>
        </w:rPr>
        <w:t>bhāge</w:t>
      </w:r>
      <w:proofErr w:type="spellEnd"/>
      <w:r w:rsidRPr="0098092A">
        <w:rPr>
          <w:i/>
          <w:iCs/>
        </w:rPr>
        <w:t xml:space="preserve"> </w:t>
      </w:r>
      <w:proofErr w:type="spellStart"/>
      <w:r w:rsidRPr="0098092A">
        <w:rPr>
          <w:i/>
          <w:iCs/>
        </w:rPr>
        <w:t>vami</w:t>
      </w:r>
      <w:proofErr w:type="spellEnd"/>
      <w:r>
        <w:t>), como los cinco agregados de la experiencia, y así sucesivamente (</w:t>
      </w:r>
      <w:proofErr w:type="spellStart"/>
      <w:r>
        <w:t>Vism-mhṭ</w:t>
      </w:r>
      <w:proofErr w:type="spellEnd"/>
      <w:r>
        <w:t xml:space="preserve"> 241–46).</w:t>
      </w:r>
    </w:p>
    <w:p w14:paraId="0F16D43F" w14:textId="46D05CCF" w:rsidR="00C44802" w:rsidRDefault="00C44802">
      <w:pPr>
        <w:tabs>
          <w:tab w:val="clear" w:pos="425"/>
        </w:tabs>
        <w:spacing w:after="160"/>
      </w:pPr>
      <w:r>
        <w:br w:type="page"/>
      </w:r>
    </w:p>
    <w:p w14:paraId="42854F29" w14:textId="77777777" w:rsidR="00C44802" w:rsidRDefault="00C44802" w:rsidP="00C44802"/>
    <w:p w14:paraId="74BABCB8" w14:textId="221B5C4C" w:rsidR="00FB1EC6" w:rsidRDefault="00FB1EC6" w:rsidP="00FB1EC6">
      <w:r>
        <w:t xml:space="preserve">66. </w:t>
      </w:r>
      <w:r>
        <w:tab/>
        <w:t>Entonces, cuando ha</w:t>
      </w:r>
      <w:r w:rsidR="00F04C9A">
        <w:t>ya</w:t>
      </w:r>
      <w:r>
        <w:t xml:space="preserve"> suprimido los obstáculos </w:t>
      </w:r>
      <w:r w:rsidR="00C32D4E">
        <w:t xml:space="preserve">así </w:t>
      </w:r>
      <w:r>
        <w:t>prev</w:t>
      </w:r>
      <w:r w:rsidR="009E4537">
        <w:t>i</w:t>
      </w:r>
      <w:r>
        <w:t>ni</w:t>
      </w:r>
      <w:r w:rsidR="009E4537">
        <w:t>endo</w:t>
      </w:r>
      <w:r>
        <w:t xml:space="preserve"> la obsesión por la codicia, etc., y su mente </w:t>
      </w:r>
      <w:r w:rsidR="009E4537">
        <w:t>confronte</w:t>
      </w:r>
      <w:r>
        <w:t xml:space="preserve"> el </w:t>
      </w:r>
      <w:r w:rsidR="009E4537">
        <w:t xml:space="preserve">objeto </w:t>
      </w:r>
      <w:r>
        <w:t>de meditación con rectitud, entonces su pensamiento aplicado y sostenido ocurr</w:t>
      </w:r>
      <w:r w:rsidR="009E4537">
        <w:t>irá</w:t>
      </w:r>
      <w:r>
        <w:t xml:space="preserve"> con una tendencia hacia las cualidades especiales del Iluminado. A medida que continú</w:t>
      </w:r>
      <w:r w:rsidR="00D60BEC">
        <w:t>e</w:t>
      </w:r>
      <w:r>
        <w:t xml:space="preserve"> ejercitando </w:t>
      </w:r>
      <w:r w:rsidR="00F04C9A">
        <w:t xml:space="preserve">la </w:t>
      </w:r>
      <w:proofErr w:type="gramStart"/>
      <w:r w:rsidR="00F04C9A">
        <w:t>aplicación mental</w:t>
      </w:r>
      <w:r>
        <w:t xml:space="preserve"> y </w:t>
      </w:r>
      <w:r w:rsidR="00F04C9A">
        <w:t>la sustentación mental</w:t>
      </w:r>
      <w:proofErr w:type="gramEnd"/>
      <w:r w:rsidR="00F04C9A">
        <w:t xml:space="preserve"> </w:t>
      </w:r>
      <w:r>
        <w:t>sobre las cualidades especiales del Iluminado, la felicidad surg</w:t>
      </w:r>
      <w:r w:rsidR="00A94782">
        <w:t>irá</w:t>
      </w:r>
      <w:r>
        <w:t xml:space="preserve"> en él. Con su mente feliz, con la felicidad como causa próxima, sus perturbaciones corporales y mentales </w:t>
      </w:r>
      <w:r w:rsidR="00A94782">
        <w:t xml:space="preserve">serán </w:t>
      </w:r>
      <w:r>
        <w:t>apaciguadas por la tranquilidad. Cuando las perturbaciones se ha</w:t>
      </w:r>
      <w:r w:rsidR="00A94782">
        <w:t>ya</w:t>
      </w:r>
      <w:r>
        <w:t>n tranquilizado, surg</w:t>
      </w:r>
      <w:r w:rsidR="00A94782">
        <w:t>irá</w:t>
      </w:r>
      <w:r>
        <w:t xml:space="preserve"> en él la dicha corporal y mental. Cuando </w:t>
      </w:r>
      <w:r w:rsidR="00A94782">
        <w:t>se sienta</w:t>
      </w:r>
      <w:r>
        <w:t xml:space="preserve"> dichoso, su mente, con las cualidades especiales del Iluminado como su objeto, se concentra</w:t>
      </w:r>
      <w:r w:rsidR="00A94782">
        <w:t>rá</w:t>
      </w:r>
      <w:r>
        <w:t>, y así los factores de</w:t>
      </w:r>
      <w:r w:rsidR="00A94782">
        <w:t>l</w:t>
      </w:r>
      <w:r w:rsidR="005A36FF">
        <w:t xml:space="preserve"> </w:t>
      </w:r>
      <w:proofErr w:type="spellStart"/>
      <w:r w:rsidR="00057BF4" w:rsidRPr="00057BF4">
        <w:rPr>
          <w:i/>
          <w:iCs/>
        </w:rPr>
        <w:t>jhāna</w:t>
      </w:r>
      <w:proofErr w:type="spellEnd"/>
      <w:r>
        <w:t xml:space="preserve"> eventualmente surg</w:t>
      </w:r>
      <w:r w:rsidR="00A94782">
        <w:t>irá</w:t>
      </w:r>
      <w:r>
        <w:t>n en un solo momento. Pero debido a la profundidad de las cualidades especiales del Iluminado, o debido a que est</w:t>
      </w:r>
      <w:r w:rsidR="00A94782">
        <w:t>é</w:t>
      </w:r>
      <w:r>
        <w:t xml:space="preserve"> ocupado en </w:t>
      </w:r>
      <w:r w:rsidR="00A94782">
        <w:t>evocar las</w:t>
      </w:r>
      <w:r>
        <w:t xml:space="preserve"> cualidades especiales de muchos tipos, el </w:t>
      </w:r>
      <w:proofErr w:type="spellStart"/>
      <w:r w:rsidR="00057BF4" w:rsidRPr="00057BF4">
        <w:rPr>
          <w:i/>
          <w:iCs/>
        </w:rPr>
        <w:t>jhāna</w:t>
      </w:r>
      <w:proofErr w:type="spellEnd"/>
      <w:r>
        <w:t xml:space="preserve"> </w:t>
      </w:r>
      <w:r w:rsidR="005A36FF">
        <w:t>será</w:t>
      </w:r>
      <w:r>
        <w:t xml:space="preserve"> solo acceso y no alcanza</w:t>
      </w:r>
      <w:r w:rsidR="005A36FF">
        <w:t>rá</w:t>
      </w:r>
      <w:r>
        <w:t xml:space="preserve"> la absorción. Y </w:t>
      </w:r>
      <w:r w:rsidR="005A36FF">
        <w:t xml:space="preserve">a </w:t>
      </w:r>
      <w:r>
        <w:t xml:space="preserve">ese </w:t>
      </w:r>
      <w:proofErr w:type="spellStart"/>
      <w:r w:rsidR="00057BF4" w:rsidRPr="00057BF4">
        <w:rPr>
          <w:i/>
          <w:iCs/>
        </w:rPr>
        <w:t>jhāna</w:t>
      </w:r>
      <w:proofErr w:type="spellEnd"/>
      <w:r w:rsidR="0098092A">
        <w:t xml:space="preserve"> </w:t>
      </w:r>
      <w:r>
        <w:t xml:space="preserve">de acceso en sí también se </w:t>
      </w:r>
      <w:r w:rsidR="005A36FF">
        <w:t xml:space="preserve">le </w:t>
      </w:r>
      <w:r>
        <w:t>conoce</w:t>
      </w:r>
      <w:r w:rsidR="00A85DDB">
        <w:t>rá</w:t>
      </w:r>
      <w:r>
        <w:t xml:space="preserve"> como "</w:t>
      </w:r>
      <w:r w:rsidR="005A36FF">
        <w:t xml:space="preserve">evocación </w:t>
      </w:r>
      <w:r>
        <w:t xml:space="preserve">del </w:t>
      </w:r>
      <w:r w:rsidR="00057BF4" w:rsidRPr="00057BF4">
        <w:rPr>
          <w:i/>
        </w:rPr>
        <w:t>Buddha</w:t>
      </w:r>
      <w:r>
        <w:t>", porque surg</w:t>
      </w:r>
      <w:r w:rsidR="005A36FF">
        <w:t>irá</w:t>
      </w:r>
      <w:r>
        <w:t xml:space="preserve"> con </w:t>
      </w:r>
      <w:r w:rsidR="006866EA">
        <w:t>la evocación</w:t>
      </w:r>
      <w:r>
        <w:t xml:space="preserve"> de las cualidades especiales del Iluminado como </w:t>
      </w:r>
      <w:r w:rsidR="001721A6">
        <w:t xml:space="preserve">los </w:t>
      </w:r>
      <w:r>
        <w:t>medio</w:t>
      </w:r>
      <w:r w:rsidR="001721A6">
        <w:t>s</w:t>
      </w:r>
      <w:r>
        <w:t>.</w:t>
      </w:r>
    </w:p>
    <w:p w14:paraId="3AE6D8E7" w14:textId="4108AAB9" w:rsidR="00FB1EC6" w:rsidRDefault="00FB1EC6" w:rsidP="00FB1EC6">
      <w:r>
        <w:t xml:space="preserve">67. </w:t>
      </w:r>
      <w:r>
        <w:tab/>
        <w:t xml:space="preserve">Cuando un </w:t>
      </w:r>
      <w:proofErr w:type="spellStart"/>
      <w:r w:rsidR="00057BF4" w:rsidRPr="00057BF4">
        <w:rPr>
          <w:i/>
          <w:iCs/>
        </w:rPr>
        <w:t>bhikkhu</w:t>
      </w:r>
      <w:proofErr w:type="spellEnd"/>
      <w:r>
        <w:t xml:space="preserve"> se dedi</w:t>
      </w:r>
      <w:r w:rsidR="006866EA">
        <w:t>que</w:t>
      </w:r>
      <w:r>
        <w:t xml:space="preserve"> a est</w:t>
      </w:r>
      <w:r w:rsidR="006866EA">
        <w:t>a</w:t>
      </w:r>
      <w:r>
        <w:t xml:space="preserve"> </w:t>
      </w:r>
      <w:r w:rsidR="006866EA">
        <w:t xml:space="preserve">evocación </w:t>
      </w:r>
      <w:r>
        <w:t xml:space="preserve">del </w:t>
      </w:r>
      <w:r w:rsidR="00057BF4" w:rsidRPr="00057BF4">
        <w:rPr>
          <w:i/>
        </w:rPr>
        <w:t>Buddha</w:t>
      </w:r>
      <w:r>
        <w:t xml:space="preserve">, </w:t>
      </w:r>
      <w:r w:rsidR="006866EA">
        <w:t>deber ser</w:t>
      </w:r>
      <w:r>
        <w:t xml:space="preserve"> respetuoso y deferente hacia el Maestro. </w:t>
      </w:r>
      <w:r w:rsidR="00DB2A15">
        <w:t>Él a</w:t>
      </w:r>
      <w:r>
        <w:t>lcanza</w:t>
      </w:r>
      <w:r w:rsidR="006866EA">
        <w:t>rá</w:t>
      </w:r>
      <w:r>
        <w:t xml:space="preserve"> la plenitud de la fe, la atención plena, </w:t>
      </w:r>
      <w:r w:rsidR="006866EA">
        <w:t>el entendimiento</w:t>
      </w:r>
      <w:r>
        <w:t xml:space="preserve"> y el mérito. </w:t>
      </w:r>
      <w:r w:rsidR="00DB2A15">
        <w:t>Tendrá</w:t>
      </w:r>
      <w:r>
        <w:t xml:space="preserve"> mucha felicidad y alegría. Él vence</w:t>
      </w:r>
      <w:r w:rsidR="00DB2A15">
        <w:t>rá</w:t>
      </w:r>
      <w:r>
        <w:t xml:space="preserve"> el miedo y el pavor. [213] </w:t>
      </w:r>
      <w:r w:rsidR="00DB2A15">
        <w:t xml:space="preserve">Será </w:t>
      </w:r>
      <w:r>
        <w:t>capaz de soportar el dolor. Llega</w:t>
      </w:r>
      <w:r w:rsidR="00DB2A15">
        <w:t>rá</w:t>
      </w:r>
      <w:r>
        <w:t xml:space="preserve"> a sentir como si estuviera viviendo </w:t>
      </w:r>
      <w:r w:rsidR="00DB2A15">
        <w:t>ante</w:t>
      </w:r>
      <w:r>
        <w:t xml:space="preserve"> la presencia del Maestro. Y su cuerpo, cuando </w:t>
      </w:r>
      <w:r w:rsidR="00DB2A15">
        <w:t>la evocación</w:t>
      </w:r>
      <w:r>
        <w:t xml:space="preserve"> de las cualidades especiales del </w:t>
      </w:r>
      <w:r w:rsidR="00057BF4" w:rsidRPr="00057BF4">
        <w:rPr>
          <w:i/>
        </w:rPr>
        <w:t>Buddha</w:t>
      </w:r>
      <w:r>
        <w:t xml:space="preserve"> mor</w:t>
      </w:r>
      <w:r w:rsidR="00DB2A15">
        <w:t>e</w:t>
      </w:r>
      <w:r>
        <w:t xml:space="preserve"> en él, se </w:t>
      </w:r>
      <w:r w:rsidR="003D1304">
        <w:t xml:space="preserve">volverá </w:t>
      </w:r>
      <w:r>
        <w:t xml:space="preserve">tan digno de veneración como un santuario. Su mente </w:t>
      </w:r>
      <w:r w:rsidR="003D1304">
        <w:t xml:space="preserve">tenderá </w:t>
      </w:r>
      <w:r>
        <w:t xml:space="preserve">hacia el plano de los </w:t>
      </w:r>
      <w:r w:rsidR="00057BF4" w:rsidRPr="00057BF4">
        <w:rPr>
          <w:i/>
        </w:rPr>
        <w:t>Buddha</w:t>
      </w:r>
      <w:r>
        <w:t>s. Cuando se encuentr</w:t>
      </w:r>
      <w:r w:rsidR="003D1304">
        <w:t>e</w:t>
      </w:r>
      <w:r>
        <w:t xml:space="preserve"> con una oportunidad </w:t>
      </w:r>
      <w:r w:rsidR="003D1304">
        <w:t xml:space="preserve">para la </w:t>
      </w:r>
      <w:r>
        <w:t xml:space="preserve">transgresión, </w:t>
      </w:r>
      <w:r w:rsidR="00321774">
        <w:t xml:space="preserve">percibirá </w:t>
      </w:r>
      <w:r>
        <w:t>la con</w:t>
      </w:r>
      <w:r w:rsidR="003D1304">
        <w:t>s</w:t>
      </w:r>
      <w:r>
        <w:t>ciencia y la vergüenza tan vívida</w:t>
      </w:r>
      <w:r w:rsidR="00321774">
        <w:t>mente</w:t>
      </w:r>
      <w:r>
        <w:t xml:space="preserve"> como si estuvie</w:t>
      </w:r>
      <w:r w:rsidR="00321774">
        <w:t>se</w:t>
      </w:r>
      <w:r>
        <w:t xml:space="preserve"> cara a cara con el Maestro. Y si no penetra</w:t>
      </w:r>
      <w:r w:rsidR="00321774">
        <w:t>se</w:t>
      </w:r>
      <w:r w:rsidR="004E2932">
        <w:t xml:space="preserve"> en un conocimiento</w:t>
      </w:r>
      <w:r>
        <w:t xml:space="preserve"> más </w:t>
      </w:r>
      <w:r w:rsidR="001721A6">
        <w:t>elevado</w:t>
      </w:r>
      <w:r>
        <w:t>, al menos se dirig</w:t>
      </w:r>
      <w:r w:rsidR="004E2932">
        <w:t>irá</w:t>
      </w:r>
      <w:r>
        <w:t xml:space="preserve"> </w:t>
      </w:r>
      <w:r w:rsidR="004E2932">
        <w:t xml:space="preserve">hacia </w:t>
      </w:r>
      <w:r>
        <w:t>un destino feliz.</w:t>
      </w:r>
    </w:p>
    <w:p w14:paraId="451BEBB6" w14:textId="7CF74575" w:rsidR="00FB1EC6" w:rsidRDefault="00FB1EC6" w:rsidP="00FB1EC6">
      <w:pPr>
        <w:pStyle w:val="VersoIngls01Sangria"/>
      </w:pPr>
      <w:r>
        <w:t xml:space="preserve">Ahora bien, cuando un hombre </w:t>
      </w:r>
      <w:r w:rsidR="004E2932">
        <w:t>sea</w:t>
      </w:r>
      <w:r>
        <w:t xml:space="preserve"> verdaderamente sabio,</w:t>
      </w:r>
    </w:p>
    <w:p w14:paraId="5B2E7E21" w14:textId="77777777" w:rsidR="00FB1EC6" w:rsidRDefault="00FB1EC6" w:rsidP="00FB1EC6">
      <w:pPr>
        <w:pStyle w:val="VersoIngls01Sangria"/>
      </w:pPr>
      <w:r>
        <w:t>Su tarea constante seguramente será</w:t>
      </w:r>
    </w:p>
    <w:p w14:paraId="21A9B01A" w14:textId="7D0C053C" w:rsidR="00FB1EC6" w:rsidRDefault="00FB1EC6" w:rsidP="00FB1EC6">
      <w:pPr>
        <w:pStyle w:val="VersoIngls01Sangria"/>
      </w:pPr>
      <w:r>
        <w:t>Est</w:t>
      </w:r>
      <w:r w:rsidR="004E2932">
        <w:t>a</w:t>
      </w:r>
      <w:r>
        <w:t xml:space="preserve"> </w:t>
      </w:r>
      <w:r w:rsidR="004E2932">
        <w:t>evocación sobre</w:t>
      </w:r>
      <w:r>
        <w:t xml:space="preserve"> </w:t>
      </w:r>
      <w:r w:rsidR="004E2932">
        <w:t>el</w:t>
      </w:r>
      <w:r>
        <w:t xml:space="preserve"> </w:t>
      </w:r>
      <w:r w:rsidR="00057BF4" w:rsidRPr="00057BF4">
        <w:rPr>
          <w:i/>
        </w:rPr>
        <w:t>Buddha</w:t>
      </w:r>
    </w:p>
    <w:p w14:paraId="05D58F72" w14:textId="269C6D80" w:rsidR="00FB1EC6" w:rsidRDefault="00A0036F" w:rsidP="00FB1EC6">
      <w:pPr>
        <w:pStyle w:val="VersoIngls01Sangria"/>
        <w:spacing w:after="100"/>
        <w:ind w:left="1418"/>
      </w:pPr>
      <w:r>
        <w:t>Y será b</w:t>
      </w:r>
      <w:r w:rsidR="00FB1EC6">
        <w:t xml:space="preserve">endecido con </w:t>
      </w:r>
      <w:r w:rsidR="00925EE0">
        <w:t>su tan</w:t>
      </w:r>
      <w:r>
        <w:t xml:space="preserve"> </w:t>
      </w:r>
      <w:r w:rsidR="00FB1EC6">
        <w:t>poderosa potencia.</w:t>
      </w:r>
    </w:p>
    <w:p w14:paraId="4E9546A8" w14:textId="0F2B3F34" w:rsidR="00FB1EC6" w:rsidRDefault="00A0036F" w:rsidP="00CC0E26">
      <w:pPr>
        <w:pStyle w:val="NormalConSangria"/>
      </w:pPr>
      <w:r>
        <w:t>É</w:t>
      </w:r>
      <w:r w:rsidR="00FB1EC6">
        <w:t xml:space="preserve">sta, en primer lugar, es la sección que trata sobre </w:t>
      </w:r>
      <w:r>
        <w:t>la evocación</w:t>
      </w:r>
      <w:r w:rsidR="00FB1EC6">
        <w:t xml:space="preserve"> del Iluminado en la explicación detallada.</w:t>
      </w:r>
    </w:p>
    <w:p w14:paraId="4FC489D9" w14:textId="11EFE162" w:rsidR="00FB1EC6" w:rsidRDefault="00FB1EC6" w:rsidP="00FB1EC6">
      <w:pPr>
        <w:pStyle w:val="Ttulo3"/>
        <w:ind w:left="708"/>
      </w:pPr>
      <w:r>
        <w:t xml:space="preserve">[(2) </w:t>
      </w:r>
      <w:r w:rsidR="001A01E8">
        <w:t>La Evocación</w:t>
      </w:r>
      <w:r>
        <w:t xml:space="preserve"> Del </w:t>
      </w:r>
      <w:r w:rsidR="00057BF4" w:rsidRPr="00057BF4">
        <w:rPr>
          <w:i/>
          <w:iCs/>
        </w:rPr>
        <w:t>Dhamma</w:t>
      </w:r>
      <w:r>
        <w:t>]</w:t>
      </w:r>
    </w:p>
    <w:p w14:paraId="41E93C79" w14:textId="027BF5D0" w:rsidR="00FB1EC6" w:rsidRDefault="00FB1EC6" w:rsidP="00FB1EC6">
      <w:r>
        <w:t xml:space="preserve">68. </w:t>
      </w:r>
      <w:r w:rsidR="008068F0">
        <w:tab/>
      </w:r>
      <w:r>
        <w:t xml:space="preserve">Aquel que quiera desarrollar </w:t>
      </w:r>
      <w:r w:rsidR="008068F0">
        <w:t xml:space="preserve">la evocación </w:t>
      </w:r>
      <w:r>
        <w:t xml:space="preserve">del </w:t>
      </w:r>
      <w:r w:rsidR="00057BF4" w:rsidRPr="00057BF4">
        <w:rPr>
          <w:i/>
          <w:iCs/>
        </w:rPr>
        <w:t>Dhamma</w:t>
      </w:r>
      <w:r>
        <w:t xml:space="preserve"> (Ley) debe</w:t>
      </w:r>
      <w:r w:rsidR="008068F0">
        <w:t>rá</w:t>
      </w:r>
      <w:r>
        <w:t xml:space="preserve"> ir a un retiro solitario y </w:t>
      </w:r>
      <w:r w:rsidR="008068F0">
        <w:t xml:space="preserve">evocar </w:t>
      </w:r>
      <w:r>
        <w:t xml:space="preserve">las cualidades especiales tanto del </w:t>
      </w:r>
      <w:r w:rsidR="00057BF4" w:rsidRPr="00057BF4">
        <w:rPr>
          <w:i/>
          <w:iCs/>
        </w:rPr>
        <w:t>Dhamma</w:t>
      </w:r>
      <w:r>
        <w:t xml:space="preserve"> (Ley) de las escrituras como </w:t>
      </w:r>
      <w:r w:rsidR="003C07C6">
        <w:t xml:space="preserve">los nueve </w:t>
      </w:r>
      <w:r w:rsidR="00057BF4" w:rsidRPr="00057BF4">
        <w:rPr>
          <w:i/>
          <w:iCs/>
        </w:rPr>
        <w:t>Dhamma</w:t>
      </w:r>
      <w:r w:rsidR="003C07C6">
        <w:t>s</w:t>
      </w:r>
      <w:r>
        <w:t xml:space="preserve"> (estado</w:t>
      </w:r>
      <w:r w:rsidR="003C07C6">
        <w:t>s</w:t>
      </w:r>
      <w:r>
        <w:t>) supramundano</w:t>
      </w:r>
      <w:r w:rsidR="003C07C6">
        <w:t>s</w:t>
      </w:r>
      <w:r>
        <w:t xml:space="preserve"> de la siguiente manera:</w:t>
      </w:r>
    </w:p>
    <w:p w14:paraId="199D511A" w14:textId="77777777" w:rsidR="00FB1EC6" w:rsidRDefault="00FB1EC6" w:rsidP="00FB1EC6">
      <w:pPr>
        <w:pStyle w:val="Piedepgina"/>
        <w:rPr>
          <w:u w:val="single"/>
        </w:rPr>
      </w:pPr>
      <w:r>
        <w:rPr>
          <w:u w:val="single"/>
        </w:rPr>
        <w:t xml:space="preserve">                                                                                                                                                                          .</w:t>
      </w:r>
    </w:p>
    <w:p w14:paraId="7E485BA8" w14:textId="77777777" w:rsidR="00FB1EC6" w:rsidRDefault="00FB1EC6" w:rsidP="00FB1EC6">
      <w:pPr>
        <w:pStyle w:val="PiedepginaLegal"/>
      </w:pPr>
      <w:r>
        <w:t xml:space="preserve">… </w:t>
      </w:r>
    </w:p>
    <w:p w14:paraId="439674BB" w14:textId="59B2EB75" w:rsidR="00FB1EC6" w:rsidRDefault="00FB1EC6" w:rsidP="00FB1EC6">
      <w:pPr>
        <w:pStyle w:val="PiedepginaLegal"/>
      </w:pPr>
      <w:r>
        <w:tab/>
        <w:t>En cuanto a la palabra “</w:t>
      </w:r>
      <w:proofErr w:type="spellStart"/>
      <w:r w:rsidRPr="0098092A">
        <w:rPr>
          <w:i/>
          <w:iCs/>
        </w:rPr>
        <w:t>bhattavā</w:t>
      </w:r>
      <w:proofErr w:type="spellEnd"/>
      <w:r>
        <w:t>”: en VII.63, se explica como “alguien que ha frecuentado (</w:t>
      </w:r>
      <w:proofErr w:type="spellStart"/>
      <w:r w:rsidRPr="0098092A">
        <w:rPr>
          <w:i/>
          <w:iCs/>
        </w:rPr>
        <w:t>bhaji</w:t>
      </w:r>
      <w:proofErr w:type="spellEnd"/>
      <w:r>
        <w:t>)</w:t>
      </w:r>
      <w:r w:rsidR="00A34CA4">
        <w:t xml:space="preserve"> los</w:t>
      </w:r>
      <w:r>
        <w:t xml:space="preserve"> logros”. En este sentido, los logros han sido "frecuentados" (</w:t>
      </w:r>
      <w:proofErr w:type="spellStart"/>
      <w:r w:rsidRPr="0098092A">
        <w:rPr>
          <w:i/>
          <w:iCs/>
        </w:rPr>
        <w:t>bhatta</w:t>
      </w:r>
      <w:proofErr w:type="spellEnd"/>
      <w:r>
        <w:t>) por él</w:t>
      </w:r>
      <w:r w:rsidR="00514502">
        <w:t>,</w:t>
      </w:r>
      <w:r>
        <w:t xml:space="preserve"> </w:t>
      </w:r>
      <w:r w:rsidR="00514502">
        <w:t xml:space="preserve">el </w:t>
      </w:r>
      <w:proofErr w:type="spellStart"/>
      <w:r>
        <w:t>Vism-mhṭ</w:t>
      </w:r>
      <w:proofErr w:type="spellEnd"/>
      <w:r>
        <w:t xml:space="preserve"> (214 f.) </w:t>
      </w:r>
      <w:r w:rsidR="00514502">
        <w:t>u</w:t>
      </w:r>
      <w:r w:rsidR="00531EFB">
        <w:t xml:space="preserve">sa </w:t>
      </w:r>
      <w:r>
        <w:t>la misma palabra en otro sentido</w:t>
      </w:r>
      <w:r w:rsidR="00C142F1">
        <w:t>,</w:t>
      </w:r>
      <w:r>
        <w:t xml:space="preserve"> como “poseedor de devotos”, ampliándola como </w:t>
      </w:r>
      <w:proofErr w:type="spellStart"/>
      <w:r w:rsidRPr="0098092A">
        <w:rPr>
          <w:i/>
          <w:iCs/>
        </w:rPr>
        <w:t>bhattā</w:t>
      </w:r>
      <w:proofErr w:type="spellEnd"/>
      <w:r>
        <w:t xml:space="preserve"> </w:t>
      </w:r>
      <w:proofErr w:type="spellStart"/>
      <w:r w:rsidRPr="0098092A">
        <w:rPr>
          <w:i/>
          <w:iCs/>
        </w:rPr>
        <w:t>daḷhabhattikā</w:t>
      </w:r>
      <w:proofErr w:type="spellEnd"/>
      <w:r>
        <w:t xml:space="preserve"> </w:t>
      </w:r>
      <w:proofErr w:type="spellStart"/>
      <w:r w:rsidRPr="0098092A">
        <w:rPr>
          <w:i/>
          <w:iCs/>
        </w:rPr>
        <w:t>assa</w:t>
      </w:r>
      <w:proofErr w:type="spellEnd"/>
      <w:r w:rsidRPr="0098092A">
        <w:rPr>
          <w:i/>
          <w:iCs/>
        </w:rPr>
        <w:t xml:space="preserve"> </w:t>
      </w:r>
      <w:proofErr w:type="spellStart"/>
      <w:r w:rsidRPr="0098092A">
        <w:rPr>
          <w:i/>
          <w:iCs/>
        </w:rPr>
        <w:t>bahu</w:t>
      </w:r>
      <w:proofErr w:type="spellEnd"/>
      <w:r w:rsidRPr="0098092A">
        <w:rPr>
          <w:i/>
          <w:iCs/>
        </w:rPr>
        <w:t xml:space="preserve"> </w:t>
      </w:r>
      <w:proofErr w:type="spellStart"/>
      <w:r w:rsidRPr="0098092A">
        <w:rPr>
          <w:i/>
          <w:iCs/>
        </w:rPr>
        <w:t>atthi</w:t>
      </w:r>
      <w:proofErr w:type="spellEnd"/>
      <w:r>
        <w:t xml:space="preserve"> (“él tiene muchos devotos firmes”—</w:t>
      </w:r>
      <w:proofErr w:type="spellStart"/>
      <w:r>
        <w:t>Skr</w:t>
      </w:r>
      <w:proofErr w:type="spellEnd"/>
      <w:r>
        <w:t xml:space="preserve">. </w:t>
      </w:r>
      <w:proofErr w:type="spellStart"/>
      <w:r w:rsidRPr="00514502">
        <w:rPr>
          <w:i/>
          <w:iCs/>
        </w:rPr>
        <w:t>bhakta</w:t>
      </w:r>
      <w:proofErr w:type="spellEnd"/>
      <w:r>
        <w:t xml:space="preserve">). En </w:t>
      </w:r>
      <w:r w:rsidR="00514502">
        <w:t xml:space="preserve">el </w:t>
      </w:r>
      <w:r>
        <w:t xml:space="preserve">PED bajo </w:t>
      </w:r>
      <w:proofErr w:type="spellStart"/>
      <w:r w:rsidRPr="0098092A">
        <w:rPr>
          <w:i/>
          <w:iCs/>
        </w:rPr>
        <w:t>bhattavant</w:t>
      </w:r>
      <w:proofErr w:type="spellEnd"/>
      <w:r>
        <w:t xml:space="preserve"> (citando también </w:t>
      </w:r>
      <w:r w:rsidR="00514502">
        <w:t xml:space="preserve">el </w:t>
      </w:r>
      <w:proofErr w:type="spellStart"/>
      <w:r>
        <w:t>Vism</w:t>
      </w:r>
      <w:proofErr w:type="spellEnd"/>
      <w:r>
        <w:t xml:space="preserve"> 212) solo se da el segundo significado. </w:t>
      </w:r>
      <w:proofErr w:type="spellStart"/>
      <w:r w:rsidRPr="0098092A">
        <w:rPr>
          <w:i/>
          <w:iCs/>
        </w:rPr>
        <w:t>Bhatta</w:t>
      </w:r>
      <w:proofErr w:type="spellEnd"/>
      <w:r>
        <w:t xml:space="preserve"> es de la misma raíz (</w:t>
      </w:r>
      <w:proofErr w:type="spellStart"/>
      <w:r w:rsidRPr="0098092A">
        <w:rPr>
          <w:i/>
          <w:iCs/>
        </w:rPr>
        <w:t>bhaj</w:t>
      </w:r>
      <w:proofErr w:type="spellEnd"/>
      <w:r>
        <w:t>) en ambos casos.</w:t>
      </w:r>
    </w:p>
    <w:p w14:paraId="25A292AD" w14:textId="2C136F94" w:rsidR="00FB1EC6" w:rsidRDefault="00FB1EC6" w:rsidP="00FB1EC6">
      <w:pPr>
        <w:pStyle w:val="PiedepginaLegal"/>
      </w:pPr>
      <w:r>
        <w:tab/>
      </w:r>
      <w:r>
        <w:tab/>
        <w:t>Para una breve exposición de est</w:t>
      </w:r>
      <w:r w:rsidR="003C07C6">
        <w:t>a</w:t>
      </w:r>
      <w:r>
        <w:t xml:space="preserve"> </w:t>
      </w:r>
      <w:r w:rsidR="003C07C6">
        <w:t>evocación</w:t>
      </w:r>
      <w:r>
        <w:t xml:space="preserve"> véase el comentario a</w:t>
      </w:r>
      <w:r w:rsidR="00514502">
        <w:t>l</w:t>
      </w:r>
      <w:r>
        <w:t xml:space="preserve"> AN 1:16.1.</w:t>
      </w:r>
    </w:p>
    <w:p w14:paraId="5CF61320" w14:textId="77777777" w:rsidR="00FB1EC6" w:rsidRDefault="00FB1EC6">
      <w:pPr>
        <w:tabs>
          <w:tab w:val="clear" w:pos="425"/>
        </w:tabs>
        <w:spacing w:after="160"/>
        <w:rPr>
          <w:color w:val="000000" w:themeColor="text1"/>
          <w:spacing w:val="10"/>
          <w:sz w:val="14"/>
        </w:rPr>
      </w:pPr>
      <w:r>
        <w:br w:type="page"/>
      </w:r>
    </w:p>
    <w:p w14:paraId="34F49CB8" w14:textId="5EF94C34" w:rsidR="00BC65EF" w:rsidRDefault="00BC65EF" w:rsidP="0007263B">
      <w:pPr>
        <w:pStyle w:val="NormalConSangria"/>
      </w:pPr>
      <w:r>
        <w:lastRenderedPageBreak/>
        <w:t>“</w:t>
      </w:r>
      <w:r w:rsidRPr="005B496E">
        <w:rPr>
          <w:i/>
          <w:iCs/>
        </w:rPr>
        <w:t xml:space="preserve">El </w:t>
      </w:r>
      <w:r w:rsidR="00057BF4" w:rsidRPr="005B496E">
        <w:rPr>
          <w:i/>
          <w:iCs/>
        </w:rPr>
        <w:t>Dhamma</w:t>
      </w:r>
      <w:r w:rsidRPr="005B496E">
        <w:rPr>
          <w:i/>
          <w:iCs/>
        </w:rPr>
        <w:t xml:space="preserve"> es</w:t>
      </w:r>
      <w:r w:rsidR="003C07C6" w:rsidRPr="005B496E">
        <w:rPr>
          <w:i/>
          <w:iCs/>
        </w:rPr>
        <w:t>tá</w:t>
      </w:r>
      <w:r w:rsidRPr="005B496E">
        <w:rPr>
          <w:i/>
          <w:iCs/>
        </w:rPr>
        <w:t xml:space="preserve"> bien proclamado por el </w:t>
      </w:r>
      <w:r w:rsidR="00DC09DE" w:rsidRPr="005B496E">
        <w:rPr>
          <w:i/>
          <w:iCs/>
        </w:rPr>
        <w:t>Bhagavā</w:t>
      </w:r>
      <w:r w:rsidRPr="005B496E">
        <w:rPr>
          <w:i/>
          <w:iCs/>
        </w:rPr>
        <w:t xml:space="preserve">, </w:t>
      </w:r>
      <w:r w:rsidR="005B496E">
        <w:rPr>
          <w:i/>
          <w:iCs/>
        </w:rPr>
        <w:t xml:space="preserve">es </w:t>
      </w:r>
      <w:r w:rsidRPr="005B496E">
        <w:rPr>
          <w:i/>
          <w:iCs/>
        </w:rPr>
        <w:t xml:space="preserve">visible aquí y ahora, </w:t>
      </w:r>
      <w:r w:rsidR="00DC09DE" w:rsidRPr="005B496E">
        <w:rPr>
          <w:i/>
          <w:iCs/>
        </w:rPr>
        <w:t>sin demora</w:t>
      </w:r>
      <w:r w:rsidRPr="005B496E">
        <w:rPr>
          <w:i/>
          <w:iCs/>
        </w:rPr>
        <w:t xml:space="preserve"> (</w:t>
      </w:r>
      <w:r w:rsidR="0007263B" w:rsidRPr="005B496E">
        <w:rPr>
          <w:i/>
          <w:iCs/>
        </w:rPr>
        <w:t xml:space="preserve">es </w:t>
      </w:r>
      <w:r w:rsidRPr="005B496E">
        <w:rPr>
          <w:i/>
          <w:iCs/>
        </w:rPr>
        <w:t xml:space="preserve">atemporal), invita a la inspección, conduce hacia </w:t>
      </w:r>
      <w:r w:rsidR="00AE6FC3" w:rsidRPr="005B496E">
        <w:rPr>
          <w:i/>
          <w:iCs/>
        </w:rPr>
        <w:t>la meta</w:t>
      </w:r>
      <w:r w:rsidRPr="005B496E">
        <w:rPr>
          <w:i/>
          <w:iCs/>
        </w:rPr>
        <w:t xml:space="preserve"> y </w:t>
      </w:r>
      <w:r w:rsidR="0007263B" w:rsidRPr="005B496E">
        <w:rPr>
          <w:i/>
          <w:iCs/>
        </w:rPr>
        <w:t xml:space="preserve">es </w:t>
      </w:r>
      <w:r w:rsidRPr="005B496E">
        <w:rPr>
          <w:i/>
          <w:iCs/>
        </w:rPr>
        <w:t xml:space="preserve">experimentable </w:t>
      </w:r>
      <w:r w:rsidR="003B7572" w:rsidRPr="005B496E">
        <w:rPr>
          <w:i/>
          <w:iCs/>
        </w:rPr>
        <w:t xml:space="preserve">directamente </w:t>
      </w:r>
      <w:r w:rsidRPr="005B496E">
        <w:rPr>
          <w:i/>
          <w:iCs/>
        </w:rPr>
        <w:t>por los sabios</w:t>
      </w:r>
      <w:r>
        <w:t>” (M I 37; A III 285).</w:t>
      </w:r>
    </w:p>
    <w:p w14:paraId="272D0F78" w14:textId="2E1096A8" w:rsidR="00BC65EF" w:rsidRDefault="00BC65EF" w:rsidP="006B7078">
      <w:pPr>
        <w:pStyle w:val="Ttulo4"/>
        <w:ind w:left="708"/>
      </w:pPr>
      <w:r>
        <w:t>[Bien Proclamado]</w:t>
      </w:r>
    </w:p>
    <w:p w14:paraId="06B73328" w14:textId="57D76795" w:rsidR="00BC65EF" w:rsidRDefault="00BC65EF" w:rsidP="00BC65EF">
      <w:r>
        <w:t xml:space="preserve">69. </w:t>
      </w:r>
      <w:r>
        <w:tab/>
      </w:r>
      <w:r w:rsidRPr="0098092A">
        <w:rPr>
          <w:i/>
          <w:iCs/>
        </w:rPr>
        <w:t>Bien proclamado</w:t>
      </w:r>
      <w:r>
        <w:t xml:space="preserve">: en esta cláusula se incluye </w:t>
      </w:r>
      <w:r w:rsidR="003B7572">
        <w:t>a</w:t>
      </w:r>
      <w:r>
        <w:t xml:space="preserve">l </w:t>
      </w:r>
      <w:r w:rsidR="00057BF4" w:rsidRPr="00057BF4">
        <w:rPr>
          <w:i/>
          <w:iCs/>
        </w:rPr>
        <w:t>Dhamma</w:t>
      </w:r>
      <w:r>
        <w:t xml:space="preserve"> de las </w:t>
      </w:r>
      <w:r w:rsidR="00404D2E">
        <w:t>escrituras,</w:t>
      </w:r>
      <w:r>
        <w:t xml:space="preserve"> así como </w:t>
      </w:r>
      <w:r w:rsidR="003B7572">
        <w:t>a</w:t>
      </w:r>
      <w:r>
        <w:t xml:space="preserve">l otro; en el resto de las cláusulas sólo se incluye </w:t>
      </w:r>
      <w:r w:rsidR="003B7572">
        <w:t>a</w:t>
      </w:r>
      <w:r>
        <w:t xml:space="preserve">l </w:t>
      </w:r>
      <w:r w:rsidR="00057BF4" w:rsidRPr="00057BF4">
        <w:rPr>
          <w:i/>
          <w:iCs/>
        </w:rPr>
        <w:t>Dhamma</w:t>
      </w:r>
      <w:r>
        <w:t xml:space="preserve"> supramundano.</w:t>
      </w:r>
    </w:p>
    <w:p w14:paraId="3D3240BA" w14:textId="4D88C0EC" w:rsidR="00BC65EF" w:rsidRDefault="00BC65EF" w:rsidP="0098092A">
      <w:pPr>
        <w:pStyle w:val="NormalConSangria"/>
      </w:pPr>
      <w:r>
        <w:t xml:space="preserve">Aquí, el </w:t>
      </w:r>
      <w:r w:rsidR="00057BF4" w:rsidRPr="00057BF4">
        <w:rPr>
          <w:i/>
          <w:iCs/>
        </w:rPr>
        <w:t>Dhamma</w:t>
      </w:r>
      <w:r>
        <w:t xml:space="preserve"> de las escrituras está bien proclamado porque es bueno al principio, en el medio y al final, y porque anuncia la vida de pureza que </w:t>
      </w:r>
      <w:r w:rsidR="00BF5034">
        <w:t>será</w:t>
      </w:r>
      <w:r>
        <w:t xml:space="preserve"> completamente perfecta y pura </w:t>
      </w:r>
      <w:r w:rsidR="00BF5034">
        <w:t xml:space="preserve">en </w:t>
      </w:r>
      <w:r>
        <w:t>significado y detalle (ver M I 179).</w:t>
      </w:r>
    </w:p>
    <w:p w14:paraId="4BE9E614" w14:textId="3892A5A4" w:rsidR="00BC65EF" w:rsidRDefault="00BC65EF" w:rsidP="0098092A">
      <w:pPr>
        <w:pStyle w:val="NormalConSangria"/>
      </w:pPr>
      <w:r>
        <w:t xml:space="preserve">Incluso una sola estrofa de la enseñanza del </w:t>
      </w:r>
      <w:r w:rsidR="00BF5034">
        <w:rPr>
          <w:i/>
          <w:iCs/>
        </w:rPr>
        <w:t>Bhagavā</w:t>
      </w:r>
      <w:r w:rsidR="00BF5034">
        <w:t xml:space="preserve"> </w:t>
      </w:r>
      <w:r>
        <w:t xml:space="preserve">es buena al principio con la primera palabra, buena en el medio con la segunda, tercera, etc., y buena al final con la última palabra, </w:t>
      </w:r>
      <w:r w:rsidR="00BF5034">
        <w:t xml:space="preserve">ya </w:t>
      </w:r>
      <w:r>
        <w:t xml:space="preserve">que el </w:t>
      </w:r>
      <w:r w:rsidR="00057BF4" w:rsidRPr="00057BF4">
        <w:rPr>
          <w:i/>
          <w:iCs/>
        </w:rPr>
        <w:t>Dhamma</w:t>
      </w:r>
      <w:r>
        <w:t xml:space="preserve"> es totalmente admirable. Un </w:t>
      </w:r>
      <w:proofErr w:type="spellStart"/>
      <w:r w:rsidRPr="0098092A">
        <w:rPr>
          <w:i/>
          <w:iCs/>
        </w:rPr>
        <w:t>sutta</w:t>
      </w:r>
      <w:proofErr w:type="spellEnd"/>
      <w:r>
        <w:t xml:space="preserve"> con una sola secuencia de significado</w:t>
      </w:r>
      <w:r w:rsidR="00D22C17">
        <w:t>s</w:t>
      </w:r>
      <w:r w:rsidRPr="002272D9">
        <w:rPr>
          <w:vertAlign w:val="superscript"/>
        </w:rPr>
        <w:t>30</w:t>
      </w:r>
      <w:r>
        <w:t xml:space="preserve"> es bueno al principio con la introducción, bueno al final con la conclusión y bueno en el medio con lo que </w:t>
      </w:r>
      <w:r w:rsidR="004217BB">
        <w:t>encuentre en</w:t>
      </w:r>
      <w:r w:rsidR="00DD3527">
        <w:t>tre</w:t>
      </w:r>
      <w:r w:rsidR="004217BB">
        <w:t xml:space="preserve"> ambos</w:t>
      </w:r>
      <w:r>
        <w:t xml:space="preserve">. Un </w:t>
      </w:r>
      <w:proofErr w:type="spellStart"/>
      <w:r w:rsidRPr="0098092A">
        <w:rPr>
          <w:i/>
          <w:iCs/>
        </w:rPr>
        <w:t>sutta</w:t>
      </w:r>
      <w:proofErr w:type="spellEnd"/>
      <w:r>
        <w:t xml:space="preserve"> con varias secuencias de significado es bueno al principio con la primera secuencia de significado, bueno al final con la última secuencia de significado y bueno en el medio con las secuencias de significado</w:t>
      </w:r>
      <w:r w:rsidR="00C2034B">
        <w:t>s</w:t>
      </w:r>
      <w:r>
        <w:t xml:space="preserve"> intermedi</w:t>
      </w:r>
      <w:r w:rsidR="00C2034B">
        <w:t>o</w:t>
      </w:r>
      <w:r>
        <w:t xml:space="preserve">s. Además, es bueno al principio con la introducción </w:t>
      </w:r>
      <w:r w:rsidRPr="00625465">
        <w:rPr>
          <w:color w:val="1F3864" w:themeColor="accent1" w:themeShade="80"/>
        </w:rPr>
        <w:t xml:space="preserve">[dando lugar] </w:t>
      </w:r>
      <w:r>
        <w:t xml:space="preserve">y el origen </w:t>
      </w:r>
      <w:r w:rsidR="00AC6086">
        <w:t>para proporcionar una</w:t>
      </w:r>
      <w:r>
        <w:t xml:space="preserve"> razón </w:t>
      </w:r>
      <w:r w:rsidR="00DA18A6">
        <w:t>para</w:t>
      </w:r>
      <w:r>
        <w:t xml:space="preserve"> su expresión. Es bueno en el medio porque </w:t>
      </w:r>
      <w:r w:rsidR="00625465">
        <w:t xml:space="preserve">es </w:t>
      </w:r>
      <w:r>
        <w:t>conven</w:t>
      </w:r>
      <w:r w:rsidR="00625465">
        <w:t>iente para</w:t>
      </w:r>
      <w:r>
        <w:t xml:space="preserve"> los </w:t>
      </w:r>
      <w:r w:rsidR="00625465">
        <w:t xml:space="preserve">seres </w:t>
      </w:r>
      <w:r>
        <w:t xml:space="preserve">susceptibles de ser </w:t>
      </w:r>
      <w:r w:rsidR="00625465">
        <w:t>instruid</w:t>
      </w:r>
      <w:r w:rsidR="0063121D">
        <w:t>o</w:t>
      </w:r>
      <w:r w:rsidR="00625465">
        <w:t xml:space="preserve">s </w:t>
      </w:r>
      <w:r>
        <w:t>ya que es inequívoco en su significado y razona</w:t>
      </w:r>
      <w:r w:rsidR="0063121D">
        <w:t>ble</w:t>
      </w:r>
      <w:r>
        <w:t xml:space="preserve"> con causa y ejemplo. Es bueno al final con su conclusión inspira</w:t>
      </w:r>
      <w:r w:rsidR="00A92B1B">
        <w:t>ndo</w:t>
      </w:r>
      <w:r>
        <w:t xml:space="preserve"> fe en los oyentes.</w:t>
      </w:r>
    </w:p>
    <w:p w14:paraId="672C642E" w14:textId="3436B913" w:rsidR="00BC65EF" w:rsidRDefault="00BC65EF" w:rsidP="00BC65EF">
      <w:r>
        <w:t xml:space="preserve">70. </w:t>
      </w:r>
      <w:r>
        <w:tab/>
        <w:t xml:space="preserve">También todo el </w:t>
      </w:r>
      <w:r w:rsidR="00057BF4" w:rsidRPr="00057BF4">
        <w:rPr>
          <w:i/>
          <w:iCs/>
        </w:rPr>
        <w:t>Dhamma</w:t>
      </w:r>
      <w:r>
        <w:t xml:space="preserve"> de la Dispensación es bueno al principio con la virtud como el propio bienestar </w:t>
      </w:r>
      <w:r w:rsidR="00787BEB">
        <w:t>personal</w:t>
      </w:r>
      <w:r>
        <w:t xml:space="preserve">. Es bueno en el medio con </w:t>
      </w:r>
      <w:r w:rsidR="007A5E79">
        <w:t xml:space="preserve">la </w:t>
      </w:r>
      <w:r>
        <w:t xml:space="preserve">serenidad y </w:t>
      </w:r>
      <w:r w:rsidR="00A92B1B">
        <w:t xml:space="preserve">la </w:t>
      </w:r>
      <w:r w:rsidR="007A5E79">
        <w:t>sabiduría</w:t>
      </w:r>
      <w:r w:rsidR="00A92B1B">
        <w:t>,</w:t>
      </w:r>
      <w:r>
        <w:t xml:space="preserve"> con </w:t>
      </w:r>
      <w:r w:rsidR="007A5E79">
        <w:t xml:space="preserve">el sendero </w:t>
      </w:r>
      <w:r>
        <w:t xml:space="preserve">y </w:t>
      </w:r>
      <w:r w:rsidR="007A5E79">
        <w:t xml:space="preserve">la </w:t>
      </w:r>
      <w:r>
        <w:t xml:space="preserve">fruición. Es bueno al final con </w:t>
      </w:r>
      <w:r w:rsidR="007A5E79">
        <w:t xml:space="preserve">el </w:t>
      </w:r>
      <w:r w:rsidRPr="0098092A">
        <w:rPr>
          <w:i/>
          <w:iCs/>
        </w:rPr>
        <w:t>Nibbāna</w:t>
      </w:r>
      <w:r>
        <w:t xml:space="preserve">. O alternativamente, es bueno al principio con </w:t>
      </w:r>
      <w:r w:rsidR="0049584D">
        <w:t xml:space="preserve">la </w:t>
      </w:r>
      <w:r>
        <w:t xml:space="preserve">virtud y </w:t>
      </w:r>
      <w:r w:rsidR="0049584D">
        <w:t xml:space="preserve">la </w:t>
      </w:r>
      <w:r>
        <w:t xml:space="preserve">concentración. [214] Es bueno en el medio con la </w:t>
      </w:r>
      <w:r w:rsidR="007A5E79">
        <w:t xml:space="preserve">sabiduría </w:t>
      </w:r>
      <w:r>
        <w:t xml:space="preserve">y el </w:t>
      </w:r>
      <w:r w:rsidR="007A5E79">
        <w:t>sendero</w:t>
      </w:r>
      <w:r>
        <w:t xml:space="preserve">. Es bueno al final con </w:t>
      </w:r>
      <w:r w:rsidR="007A5E79">
        <w:t xml:space="preserve">la </w:t>
      </w:r>
      <w:r>
        <w:t xml:space="preserve">fruición y </w:t>
      </w:r>
      <w:r w:rsidR="007A5E79">
        <w:t xml:space="preserve">el </w:t>
      </w:r>
      <w:r w:rsidRPr="007A5E79">
        <w:rPr>
          <w:i/>
          <w:iCs/>
        </w:rPr>
        <w:t>Nibbāna</w:t>
      </w:r>
      <w:r>
        <w:t xml:space="preserve">. O alternativamente, es bueno al principio porque es el buen descubrimiento hecho por </w:t>
      </w:r>
      <w:r w:rsidR="007A5E79">
        <w:t xml:space="preserve">el </w:t>
      </w:r>
      <w:r w:rsidR="00057BF4" w:rsidRPr="00057BF4">
        <w:rPr>
          <w:i/>
        </w:rPr>
        <w:t>Buddha</w:t>
      </w:r>
      <w:r>
        <w:t xml:space="preserve">. Es bueno en el medio porque </w:t>
      </w:r>
      <w:r w:rsidR="00201BB9">
        <w:t>representa</w:t>
      </w:r>
      <w:r>
        <w:t xml:space="preserve"> la buena regulación del </w:t>
      </w:r>
      <w:r w:rsidR="00057BF4" w:rsidRPr="00057BF4">
        <w:rPr>
          <w:i/>
          <w:iCs/>
        </w:rPr>
        <w:t>Dhamma</w:t>
      </w:r>
      <w:r>
        <w:t xml:space="preserve">. Es bueno al final porque es el buen </w:t>
      </w:r>
      <w:r w:rsidR="00201BB9">
        <w:t xml:space="preserve">sendero </w:t>
      </w:r>
      <w:r>
        <w:t>en el que entr</w:t>
      </w:r>
      <w:r w:rsidR="0082766F">
        <w:t>a</w:t>
      </w:r>
      <w:r>
        <w:t xml:space="preserve"> </w:t>
      </w:r>
      <w:r w:rsidR="00201BB9">
        <w:t>e</w:t>
      </w:r>
      <w:r>
        <w:t xml:space="preserve">l </w:t>
      </w:r>
      <w:r w:rsidR="00057BF4" w:rsidRPr="00057BF4">
        <w:rPr>
          <w:i/>
          <w:iCs/>
        </w:rPr>
        <w:t>Saṅgha</w:t>
      </w:r>
      <w:r>
        <w:t>. O alternativamente, es bueno al principio como el descubrimiento de lo que puede ser alcanzado por alguien que entr</w:t>
      </w:r>
      <w:r w:rsidR="00201BB9">
        <w:t>e</w:t>
      </w:r>
      <w:r>
        <w:t xml:space="preserve"> en el </w:t>
      </w:r>
      <w:r w:rsidR="00201BB9">
        <w:t xml:space="preserve">sendero </w:t>
      </w:r>
      <w:r>
        <w:t xml:space="preserve">de la práctica </w:t>
      </w:r>
      <w:r w:rsidR="00201BB9">
        <w:t>correspondientemente</w:t>
      </w:r>
      <w:r>
        <w:t xml:space="preserve"> después de haber oído hablar </w:t>
      </w:r>
      <w:r w:rsidR="00201BB9">
        <w:t>al respecto</w:t>
      </w:r>
      <w:r>
        <w:t xml:space="preserve">. Es bueno en el medio como la iluminación no proclamada [de </w:t>
      </w:r>
      <w:r w:rsidR="00963A9A">
        <w:t xml:space="preserve">los </w:t>
      </w:r>
      <w:proofErr w:type="spellStart"/>
      <w:r w:rsidR="00963A9A" w:rsidRPr="0098092A">
        <w:rPr>
          <w:i/>
          <w:iCs/>
        </w:rPr>
        <w:t>Pacceka</w:t>
      </w:r>
      <w:r w:rsidR="00963A9A" w:rsidRPr="00057BF4">
        <w:rPr>
          <w:i/>
          <w:iCs/>
        </w:rPr>
        <w:t>buddha</w:t>
      </w:r>
      <w:r w:rsidR="00963A9A" w:rsidRPr="0098092A">
        <w:rPr>
          <w:i/>
          <w:iCs/>
        </w:rPr>
        <w:t>s</w:t>
      </w:r>
      <w:proofErr w:type="spellEnd"/>
      <w:r>
        <w:t xml:space="preserve">]. Es bueno al final como iluminación </w:t>
      </w:r>
      <w:r w:rsidR="000731CF">
        <w:t>para</w:t>
      </w:r>
      <w:r>
        <w:t xml:space="preserve"> los discípulos.</w:t>
      </w:r>
    </w:p>
    <w:p w14:paraId="2D0C2D87" w14:textId="6D8D89CF" w:rsidR="00BC65EF" w:rsidRDefault="00BC65EF" w:rsidP="00BC65EF">
      <w:r>
        <w:t xml:space="preserve">71. </w:t>
      </w:r>
      <w:r>
        <w:tab/>
        <w:t xml:space="preserve">Y cuando es escuchada, hace bien oírla porque suprime los obstáculos, así es buena al principio. Y cuando se </w:t>
      </w:r>
      <w:r w:rsidR="001811D0">
        <w:t>desarrolla</w:t>
      </w:r>
      <w:r>
        <w:t xml:space="preserve"> el </w:t>
      </w:r>
      <w:r w:rsidR="00FC1123">
        <w:t xml:space="preserve">curso </w:t>
      </w:r>
      <w:r>
        <w:t>de práctica, hace bien a través del</w:t>
      </w:r>
      <w:r w:rsidR="00F93AE7">
        <w:t xml:space="preserve"> </w:t>
      </w:r>
      <w:r w:rsidR="0037109A">
        <w:t xml:space="preserve">sendero que se ha </w:t>
      </w:r>
    </w:p>
    <w:p w14:paraId="735BFE28" w14:textId="77777777" w:rsidR="00BC65EF" w:rsidRDefault="00BC65EF" w:rsidP="00BC65EF">
      <w:pPr>
        <w:pStyle w:val="Piedepgina"/>
        <w:rPr>
          <w:u w:val="single"/>
        </w:rPr>
      </w:pPr>
      <w:r>
        <w:rPr>
          <w:u w:val="single"/>
        </w:rPr>
        <w:t xml:space="preserve">                                                                                                                                                                          .</w:t>
      </w:r>
    </w:p>
    <w:p w14:paraId="51904CC1" w14:textId="22E83845" w:rsidR="00BC65EF" w:rsidRDefault="00BC65EF" w:rsidP="00BC65EF">
      <w:pPr>
        <w:pStyle w:val="PiedepginaLegal"/>
      </w:pPr>
      <w:r>
        <w:t xml:space="preserve">30. </w:t>
      </w:r>
      <w:r>
        <w:tab/>
      </w:r>
      <w:proofErr w:type="spellStart"/>
      <w:r w:rsidRPr="0098092A">
        <w:rPr>
          <w:i/>
          <w:iCs/>
        </w:rPr>
        <w:t>Anusandhi</w:t>
      </w:r>
      <w:proofErr w:type="spellEnd"/>
      <w:r>
        <w:t>— “secuencia de significado</w:t>
      </w:r>
      <w:r w:rsidR="00CE2647">
        <w:t>s</w:t>
      </w:r>
      <w:r>
        <w:t>”: ​​un término de</w:t>
      </w:r>
      <w:r w:rsidR="00CE2647">
        <w:t>l</w:t>
      </w:r>
      <w:r>
        <w:t xml:space="preserve"> comentario técnico que significa tanto un tema particular tratado en un discurso, como también la forma de vincular un tema con otro en el mismo discurso. En M-a I 175 se distinguen tres clases: la secuencia de significado en respuesta a una pregunta (</w:t>
      </w:r>
      <w:proofErr w:type="spellStart"/>
      <w:r w:rsidRPr="0098092A">
        <w:rPr>
          <w:i/>
          <w:iCs/>
        </w:rPr>
        <w:t>pucchānusandhi</w:t>
      </w:r>
      <w:proofErr w:type="spellEnd"/>
      <w:r>
        <w:t>—p. ej. M I 36), la que se adapta a una idiosincrasia personal (</w:t>
      </w:r>
      <w:proofErr w:type="spellStart"/>
      <w:r w:rsidRPr="0098092A">
        <w:rPr>
          <w:i/>
          <w:iCs/>
        </w:rPr>
        <w:t>ajjhāsayānusandhi</w:t>
      </w:r>
      <w:proofErr w:type="spellEnd"/>
      <w:r>
        <w:t>—p. ej. M I 23) y la que se debe al curso natural de la enseñanza (</w:t>
      </w:r>
      <w:proofErr w:type="spellStart"/>
      <w:r w:rsidRPr="0098092A">
        <w:rPr>
          <w:i/>
          <w:iCs/>
        </w:rPr>
        <w:t>yathānusandhi</w:t>
      </w:r>
      <w:proofErr w:type="spellEnd"/>
      <w:r>
        <w:t>—por ejemplo, todo el desarrollo de MN 6).</w:t>
      </w:r>
    </w:p>
    <w:p w14:paraId="67FDF00E" w14:textId="0C92CE57" w:rsidR="00932D8C" w:rsidRDefault="00932D8C">
      <w:pPr>
        <w:tabs>
          <w:tab w:val="clear" w:pos="425"/>
        </w:tabs>
        <w:spacing w:after="160"/>
      </w:pPr>
      <w:r>
        <w:br w:type="page"/>
      </w:r>
    </w:p>
    <w:p w14:paraId="77029ED8" w14:textId="77777777" w:rsidR="00932D8C" w:rsidRDefault="00932D8C" w:rsidP="00932D8C"/>
    <w:p w14:paraId="1587C736" w14:textId="0BBDB0CB" w:rsidR="0031789D" w:rsidRDefault="0037109A" w:rsidP="0031789D">
      <w:r>
        <w:t xml:space="preserve">iniciado ya </w:t>
      </w:r>
      <w:r w:rsidR="0031789D">
        <w:t xml:space="preserve">que </w:t>
      </w:r>
      <w:r>
        <w:t>conlleva</w:t>
      </w:r>
      <w:r w:rsidR="0031789D">
        <w:t xml:space="preserve"> la dicha de la serenidad y la </w:t>
      </w:r>
      <w:r>
        <w:t>sabiduría</w:t>
      </w:r>
      <w:r w:rsidR="0031789D">
        <w:t xml:space="preserve">, por lo que es bueno en el medio. Y cuando se ha </w:t>
      </w:r>
      <w:r w:rsidR="00A074F5">
        <w:t xml:space="preserve">recorrido </w:t>
      </w:r>
      <w:r w:rsidR="0031789D">
        <w:t xml:space="preserve">así el </w:t>
      </w:r>
      <w:r w:rsidR="00A074F5">
        <w:t xml:space="preserve">curso </w:t>
      </w:r>
      <w:r w:rsidR="0031789D">
        <w:t xml:space="preserve">de práctica y el fruto del </w:t>
      </w:r>
      <w:r w:rsidR="00A074F5">
        <w:t xml:space="preserve">sendero </w:t>
      </w:r>
      <w:r w:rsidR="0031789D">
        <w:t>est</w:t>
      </w:r>
      <w:r w:rsidR="00A074F5">
        <w:t>é</w:t>
      </w:r>
      <w:r w:rsidR="0031789D">
        <w:t xml:space="preserve"> listo, ha</w:t>
      </w:r>
      <w:r w:rsidR="00A074F5">
        <w:t>rá</w:t>
      </w:r>
      <w:r w:rsidR="0031789D">
        <w:t xml:space="preserve"> bien a través del fruto del </w:t>
      </w:r>
      <w:r w:rsidR="00A074F5">
        <w:t xml:space="preserve">sendero </w:t>
      </w:r>
      <w:r w:rsidR="0031789D">
        <w:t>porque trae</w:t>
      </w:r>
      <w:r w:rsidR="00055214">
        <w:t>rá</w:t>
      </w:r>
      <w:r w:rsidR="0031789D">
        <w:t xml:space="preserve"> equilibrio [inquebrantable], por lo que </w:t>
      </w:r>
      <w:r w:rsidR="00055214">
        <w:t xml:space="preserve">será </w:t>
      </w:r>
      <w:r w:rsidR="0031789D">
        <w:t>bueno al final.</w:t>
      </w:r>
    </w:p>
    <w:p w14:paraId="14F21233" w14:textId="73B749B0" w:rsidR="0031789D" w:rsidRDefault="0031789D" w:rsidP="00C00E32">
      <w:pPr>
        <w:pStyle w:val="NormalConSangria"/>
      </w:pPr>
      <w:r>
        <w:t>Entonces es</w:t>
      </w:r>
      <w:r w:rsidR="00055214">
        <w:t>tá</w:t>
      </w:r>
      <w:r>
        <w:t xml:space="preserve"> “bien proclamado” por ser bueno en el principio, en el medio y al final.</w:t>
      </w:r>
    </w:p>
    <w:p w14:paraId="25B0EF1E" w14:textId="5D11680E" w:rsidR="0031789D" w:rsidRDefault="0031789D" w:rsidP="0031789D">
      <w:r>
        <w:t xml:space="preserve">72. </w:t>
      </w:r>
      <w:r w:rsidR="00C00E32">
        <w:tab/>
      </w:r>
      <w:r>
        <w:t xml:space="preserve">Ahora bien, la vida de pureza, es decir, la vida de pureza de la Dispensación y la vida de pureza del </w:t>
      </w:r>
      <w:r w:rsidR="002A5AF5">
        <w:t>sendero</w:t>
      </w:r>
      <w:r>
        <w:t xml:space="preserve">, que el Bienaventurado </w:t>
      </w:r>
      <w:r w:rsidR="002A5AF5">
        <w:t>ha mostrado</w:t>
      </w:r>
      <w:r>
        <w:t xml:space="preserve">, que </w:t>
      </w:r>
      <w:r w:rsidR="00990CDE">
        <w:t xml:space="preserve">la </w:t>
      </w:r>
      <w:r w:rsidR="001811D0">
        <w:t xml:space="preserve">ha </w:t>
      </w:r>
      <w:r w:rsidR="00990CDE">
        <w:t>exp</w:t>
      </w:r>
      <w:r w:rsidR="001811D0">
        <w:t>uesto</w:t>
      </w:r>
      <w:r w:rsidR="00990CDE">
        <w:t xml:space="preserve"> de </w:t>
      </w:r>
      <w:r>
        <w:t xml:space="preserve">diversas maneras cuando enseña el </w:t>
      </w:r>
      <w:r w:rsidR="00057BF4" w:rsidRPr="00057BF4">
        <w:rPr>
          <w:i/>
          <w:iCs/>
        </w:rPr>
        <w:t>Dhamma</w:t>
      </w:r>
      <w:r>
        <w:t xml:space="preserve">, </w:t>
      </w:r>
      <w:r w:rsidR="00990CDE">
        <w:t>posee</w:t>
      </w:r>
      <w:r>
        <w:t xml:space="preserve"> “sentido” por </w:t>
      </w:r>
      <w:r w:rsidR="009266B0">
        <w:t xml:space="preserve">la </w:t>
      </w:r>
      <w:r>
        <w:t xml:space="preserve">perfección </w:t>
      </w:r>
      <w:r w:rsidR="009266B0">
        <w:t xml:space="preserve">en su </w:t>
      </w:r>
      <w:r>
        <w:t>sentido, y es “detall</w:t>
      </w:r>
      <w:r w:rsidR="009266B0">
        <w:t>ad</w:t>
      </w:r>
      <w:r w:rsidR="00FC1B64">
        <w:t>o</w:t>
      </w:r>
      <w:r>
        <w:t xml:space="preserve">” por </w:t>
      </w:r>
      <w:r w:rsidR="009266B0">
        <w:t xml:space="preserve">su </w:t>
      </w:r>
      <w:r>
        <w:t xml:space="preserve">perfección </w:t>
      </w:r>
      <w:r w:rsidR="009266B0">
        <w:t xml:space="preserve">en el </w:t>
      </w:r>
      <w:r>
        <w:t xml:space="preserve">detalle, como es propio que sea. </w:t>
      </w:r>
      <w:r w:rsidR="006F004F">
        <w:t xml:space="preserve">Posee </w:t>
      </w:r>
      <w:r>
        <w:t xml:space="preserve">“sentido” porque se </w:t>
      </w:r>
      <w:r w:rsidR="009C6E17">
        <w:t>adapta</w:t>
      </w:r>
      <w:r>
        <w:t xml:space="preserve"> a las palabras declarando su sentido al pronunciarl</w:t>
      </w:r>
      <w:r w:rsidR="00725169">
        <w:t>as</w:t>
      </w:r>
      <w:r>
        <w:t>, aclar</w:t>
      </w:r>
      <w:r w:rsidR="00725169">
        <w:t>ándolo</w:t>
      </w:r>
      <w:r>
        <w:t>, revel</w:t>
      </w:r>
      <w:r w:rsidR="00725169">
        <w:t>ándo</w:t>
      </w:r>
      <w:r>
        <w:t>lo, expon</w:t>
      </w:r>
      <w:r w:rsidR="00725169">
        <w:t>iéndol</w:t>
      </w:r>
      <w:r>
        <w:t>o y explic</w:t>
      </w:r>
      <w:r w:rsidR="00725169">
        <w:t>ándol</w:t>
      </w:r>
      <w:r>
        <w:t>o. Es “detall</w:t>
      </w:r>
      <w:r w:rsidR="00FC1B64">
        <w:t>ado</w:t>
      </w:r>
      <w:r>
        <w:t xml:space="preserve">” porque </w:t>
      </w:r>
      <w:r w:rsidR="00FC1B64">
        <w:t>manifiesta su</w:t>
      </w:r>
      <w:r>
        <w:t xml:space="preserve"> perfección </w:t>
      </w:r>
      <w:r w:rsidR="00FC1B64">
        <w:t xml:space="preserve">en las </w:t>
      </w:r>
      <w:r>
        <w:t xml:space="preserve">sílabas, palabras, detalles, estilo, lenguaje y descripciones. </w:t>
      </w:r>
      <w:r w:rsidR="00FC1B64">
        <w:t xml:space="preserve">Posee </w:t>
      </w:r>
      <w:r>
        <w:t>"</w:t>
      </w:r>
      <w:r w:rsidR="00FC1B64">
        <w:t>sentido</w:t>
      </w:r>
      <w:r>
        <w:t>" debido a la profundidad de</w:t>
      </w:r>
      <w:r w:rsidR="00FC1B64">
        <w:t>l</w:t>
      </w:r>
      <w:r>
        <w:t xml:space="preserve"> significado y </w:t>
      </w:r>
      <w:r w:rsidR="00FC1B64">
        <w:t xml:space="preserve">a </w:t>
      </w:r>
      <w:r>
        <w:t xml:space="preserve">la profundidad de </w:t>
      </w:r>
      <w:r w:rsidR="00FC1B64">
        <w:t xml:space="preserve">la </w:t>
      </w:r>
      <w:r>
        <w:t>penetración. Es “</w:t>
      </w:r>
      <w:r w:rsidR="00FC1B64">
        <w:t>detallado</w:t>
      </w:r>
      <w:r>
        <w:t xml:space="preserve">” debido a la profundidad de la ley y </w:t>
      </w:r>
      <w:r w:rsidR="00FC1B64">
        <w:t xml:space="preserve">a </w:t>
      </w:r>
      <w:r>
        <w:t xml:space="preserve">la profundidad de la enseñanza. </w:t>
      </w:r>
      <w:r w:rsidR="00FD3177">
        <w:t xml:space="preserve">Tiene </w:t>
      </w:r>
      <w:r>
        <w:t>“sentido” porque es competencia de las discriminaciones de</w:t>
      </w:r>
      <w:r w:rsidR="00FD3177">
        <w:t>l</w:t>
      </w:r>
      <w:r>
        <w:t xml:space="preserve"> sentido y de la </w:t>
      </w:r>
      <w:r w:rsidR="00981E04">
        <w:t>sabiduría</w:t>
      </w:r>
      <w:r>
        <w:t>. Es “</w:t>
      </w:r>
      <w:r w:rsidR="00981E04">
        <w:t>detallado</w:t>
      </w:r>
      <w:r>
        <w:t xml:space="preserve">” porque es competencia de las discriminaciones de la ley y del idioma (ver XIV.21). </w:t>
      </w:r>
      <w:r w:rsidR="00453EC4">
        <w:t>Posee</w:t>
      </w:r>
      <w:r>
        <w:t xml:space="preserve"> “sentido” ya que inspira confianza en personas de discreción, siendo experimentable por los sabios. Es “detall</w:t>
      </w:r>
      <w:r w:rsidR="00E14803">
        <w:t>ado</w:t>
      </w:r>
      <w:r>
        <w:t xml:space="preserve">” ya que inspira confianza en las personas mundanas, siendo objeto idóneo </w:t>
      </w:r>
      <w:r w:rsidR="00E14803">
        <w:t xml:space="preserve">para </w:t>
      </w:r>
      <w:r>
        <w:t xml:space="preserve">la fe. </w:t>
      </w:r>
      <w:r w:rsidR="00E14803">
        <w:t>Posee</w:t>
      </w:r>
      <w:r>
        <w:t xml:space="preserve"> “significado” porque su intención es profunda. Es “detall</w:t>
      </w:r>
      <w:r w:rsidR="0009740E">
        <w:t>ado</w:t>
      </w:r>
      <w:r>
        <w:t xml:space="preserve">” porque sus palabras son claras. Es “absolutamente perfecto” con la perfección completa debido a la ausencia de cualquier cosa que pueda ser añadida. Es “puro” con la </w:t>
      </w:r>
      <w:proofErr w:type="spellStart"/>
      <w:r>
        <w:t>inmaculabilidad</w:t>
      </w:r>
      <w:proofErr w:type="spellEnd"/>
      <w:r>
        <w:t xml:space="preserve"> debid</w:t>
      </w:r>
      <w:r w:rsidR="00876E36">
        <w:t>a</w:t>
      </w:r>
      <w:r>
        <w:t xml:space="preserve"> a la ausencia de algo que </w:t>
      </w:r>
      <w:r w:rsidR="004F6CE2">
        <w:t xml:space="preserve">debiera ser </w:t>
      </w:r>
      <w:r>
        <w:t>sustra</w:t>
      </w:r>
      <w:r w:rsidR="004F6CE2">
        <w:t>ído</w:t>
      </w:r>
      <w:r>
        <w:t>.</w:t>
      </w:r>
    </w:p>
    <w:p w14:paraId="0FD21B68" w14:textId="5388DF27" w:rsidR="0031789D" w:rsidRDefault="0031789D" w:rsidP="0031789D">
      <w:r>
        <w:t xml:space="preserve">73. </w:t>
      </w:r>
      <w:r w:rsidR="00C00E32">
        <w:tab/>
      </w:r>
      <w:r>
        <w:t xml:space="preserve">Además, </w:t>
      </w:r>
      <w:r w:rsidR="004D5AB6">
        <w:t>posee</w:t>
      </w:r>
      <w:r>
        <w:t xml:space="preserve"> “significado” porque brinda </w:t>
      </w:r>
      <w:r w:rsidR="004D5AB6">
        <w:t xml:space="preserve">una </w:t>
      </w:r>
      <w:r>
        <w:t>distinción particular</w:t>
      </w:r>
      <w:r w:rsidRPr="002272D9">
        <w:rPr>
          <w:vertAlign w:val="superscript"/>
        </w:rPr>
        <w:t>31</w:t>
      </w:r>
      <w:r>
        <w:t xml:space="preserve"> de logro a través de la práctica del </w:t>
      </w:r>
      <w:r w:rsidR="000D6CE4">
        <w:t>sendero</w:t>
      </w:r>
      <w:r>
        <w:t>, y es “detall</w:t>
      </w:r>
      <w:r w:rsidR="000D6CE4">
        <w:t>ado</w:t>
      </w:r>
      <w:r>
        <w:t>” porque brinda la distinción particular de</w:t>
      </w:r>
      <w:r w:rsidR="001A4ECD">
        <w:t>l</w:t>
      </w:r>
      <w:r>
        <w:t xml:space="preserve"> aprend</w:t>
      </w:r>
      <w:r w:rsidR="001A4ECD">
        <w:t>izaje</w:t>
      </w:r>
      <w:r>
        <w:t xml:space="preserve"> a través del dominio de las Escrituras. Es “absolutamente perfecto” porque está conectado con los cinco agregados del </w:t>
      </w:r>
      <w:r w:rsidR="00057BF4" w:rsidRPr="00057BF4">
        <w:rPr>
          <w:i/>
        </w:rPr>
        <w:t>Dhamma</w:t>
      </w:r>
      <w:r>
        <w:t xml:space="preserve"> comenzando con la virtud.</w:t>
      </w:r>
      <w:r w:rsidRPr="002272D9">
        <w:rPr>
          <w:vertAlign w:val="superscript"/>
        </w:rPr>
        <w:t>32</w:t>
      </w:r>
      <w:r>
        <w:t xml:space="preserve"> Es “puro” porque no tiene imperfecci</w:t>
      </w:r>
      <w:r w:rsidR="000D6CE4">
        <w:t>o</w:t>
      </w:r>
      <w:r>
        <w:t>n</w:t>
      </w:r>
      <w:r w:rsidR="000D6CE4">
        <w:t>es</w:t>
      </w:r>
      <w:r>
        <w:t>, porque existe con el propósito de cruzar [</w:t>
      </w:r>
      <w:r w:rsidR="009E2520">
        <w:t>el ciclo</w:t>
      </w:r>
      <w:r>
        <w:t xml:space="preserve"> de </w:t>
      </w:r>
      <w:r w:rsidR="009E2520">
        <w:t xml:space="preserve">la </w:t>
      </w:r>
      <w:r>
        <w:t>inundación de renacimientos (ver M I 134)], y porque no se ocupa de cosas mundanas.</w:t>
      </w:r>
    </w:p>
    <w:p w14:paraId="0A721F87" w14:textId="4950F406" w:rsidR="0031789D" w:rsidRDefault="0031789D" w:rsidP="00C00E32">
      <w:pPr>
        <w:pStyle w:val="NormalConSangria"/>
      </w:pPr>
      <w:r>
        <w:t>Por lo tanto, es</w:t>
      </w:r>
      <w:r w:rsidR="009E2520">
        <w:t>tá</w:t>
      </w:r>
      <w:r>
        <w:t xml:space="preserve"> "bien proclamado" porque "anuncia la vida de pureza que </w:t>
      </w:r>
      <w:r w:rsidR="009E2520">
        <w:t>será</w:t>
      </w:r>
      <w:r>
        <w:t xml:space="preserve"> completamente perfecta y pura </w:t>
      </w:r>
      <w:r w:rsidR="009E2520">
        <w:t xml:space="preserve">en </w:t>
      </w:r>
      <w:r>
        <w:t>significado y detalle".</w:t>
      </w:r>
    </w:p>
    <w:p w14:paraId="5730411A" w14:textId="7FCE5B1C" w:rsidR="0031789D" w:rsidRDefault="0031789D" w:rsidP="00C00E32">
      <w:pPr>
        <w:pStyle w:val="NormalConSangria"/>
      </w:pPr>
      <w:r>
        <w:t xml:space="preserve">O, alternativamente, está bien proclamado ya que ha sido correctamente proclamado sin perversión de significado. Porque el sentido de la ley de otros sectarios </w:t>
      </w:r>
      <w:r w:rsidR="008D2FBA">
        <w:t xml:space="preserve">suele </w:t>
      </w:r>
      <w:r>
        <w:t>sufr</w:t>
      </w:r>
      <w:r w:rsidR="008D2FBA">
        <w:t>ir</w:t>
      </w:r>
      <w:r>
        <w:t xml:space="preserve"> </w:t>
      </w:r>
      <w:r w:rsidR="008D2FBA">
        <w:t xml:space="preserve">de </w:t>
      </w:r>
      <w:r>
        <w:t>perversi</w:t>
      </w:r>
      <w:r w:rsidR="008D2FBA">
        <w:t>o</w:t>
      </w:r>
      <w:r>
        <w:t>n</w:t>
      </w:r>
      <w:r w:rsidR="008D2FBA">
        <w:t>es</w:t>
      </w:r>
      <w:r>
        <w:t xml:space="preserve">, ya que en realidad no </w:t>
      </w:r>
      <w:r w:rsidR="008D2FBA">
        <w:t xml:space="preserve">existe </w:t>
      </w:r>
      <w:r>
        <w:t xml:space="preserve">obstrucción en las [215] cosas allí descritas como obstructivas y en realidad no </w:t>
      </w:r>
      <w:r w:rsidR="00060EF0">
        <w:t>existe ningún</w:t>
      </w:r>
      <w:r>
        <w:t xml:space="preserve"> </w:t>
      </w:r>
      <w:r w:rsidR="00060EF0">
        <w:t xml:space="preserve">escape </w:t>
      </w:r>
      <w:r>
        <w:t xml:space="preserve">en las cosas allí descritas como </w:t>
      </w:r>
      <w:r w:rsidR="00060EF0">
        <w:t>un escape</w:t>
      </w:r>
      <w:r>
        <w:t xml:space="preserve">, por lo que </w:t>
      </w:r>
      <w:r w:rsidR="006B44E4">
        <w:t xml:space="preserve">estas </w:t>
      </w:r>
      <w:r>
        <w:t>ley</w:t>
      </w:r>
      <w:r w:rsidR="006B44E4">
        <w:t>es</w:t>
      </w:r>
      <w:r>
        <w:t xml:space="preserve"> </w:t>
      </w:r>
      <w:r w:rsidR="006B44E4">
        <w:t xml:space="preserve">están </w:t>
      </w:r>
      <w:r>
        <w:t>mal proclamada</w:t>
      </w:r>
      <w:r w:rsidR="006B44E4">
        <w:t>s</w:t>
      </w:r>
      <w:r>
        <w:t>; pero no as</w:t>
      </w:r>
      <w:r w:rsidR="006B44E4">
        <w:t>í</w:t>
      </w:r>
      <w:r>
        <w:t xml:space="preserve"> el</w:t>
      </w:r>
      <w:r w:rsidR="006B44E4" w:rsidRPr="006B44E4">
        <w:t xml:space="preserve"> </w:t>
      </w:r>
      <w:r w:rsidR="006B44E4">
        <w:t xml:space="preserve">La Ley del </w:t>
      </w:r>
      <w:r w:rsidR="006B44E4">
        <w:rPr>
          <w:i/>
          <w:iCs/>
        </w:rPr>
        <w:t>Bhagavā</w:t>
      </w:r>
      <w:r w:rsidR="006B44E4">
        <w:t>, cuyo significado no</w:t>
      </w:r>
    </w:p>
    <w:p w14:paraId="236ABE39" w14:textId="77777777" w:rsidR="0031789D" w:rsidRDefault="0031789D" w:rsidP="0031789D">
      <w:pPr>
        <w:pStyle w:val="Piedepgina"/>
        <w:rPr>
          <w:u w:val="single"/>
        </w:rPr>
      </w:pPr>
      <w:r>
        <w:rPr>
          <w:u w:val="single"/>
        </w:rPr>
        <w:t xml:space="preserve">                                                                                                                                                                          .</w:t>
      </w:r>
    </w:p>
    <w:p w14:paraId="03ABA890" w14:textId="5311E67F" w:rsidR="0031789D" w:rsidRDefault="0031789D" w:rsidP="0031789D">
      <w:pPr>
        <w:pStyle w:val="PiedepginaLegal"/>
      </w:pPr>
      <w:r>
        <w:t xml:space="preserve">31. </w:t>
      </w:r>
      <w:r>
        <w:tab/>
      </w:r>
      <w:proofErr w:type="spellStart"/>
      <w:r w:rsidRPr="0098092A">
        <w:rPr>
          <w:i/>
          <w:iCs/>
        </w:rPr>
        <w:t>Vyatti</w:t>
      </w:r>
      <w:proofErr w:type="spellEnd"/>
      <w:r>
        <w:t xml:space="preserve"> (</w:t>
      </w:r>
      <w:proofErr w:type="spellStart"/>
      <w:r>
        <w:t>byatti</w:t>
      </w:r>
      <w:proofErr w:type="spellEnd"/>
      <w:r>
        <w:t>)—“distinción particular” (</w:t>
      </w:r>
      <w:r w:rsidR="00923DB8">
        <w:t>sustantivo</w:t>
      </w:r>
      <w:r>
        <w:t xml:space="preserve"> f</w:t>
      </w:r>
      <w:r w:rsidR="00923DB8">
        <w:t>e</w:t>
      </w:r>
      <w:r>
        <w:t>m</w:t>
      </w:r>
      <w:r w:rsidR="00923DB8">
        <w:t>enino</w:t>
      </w:r>
      <w:r>
        <w:t xml:space="preserve">. </w:t>
      </w:r>
      <w:r w:rsidRPr="0098092A">
        <w:rPr>
          <w:i/>
          <w:iCs/>
        </w:rPr>
        <w:t>vi</w:t>
      </w:r>
      <w:r>
        <w:t xml:space="preserve"> + </w:t>
      </w:r>
      <w:proofErr w:type="spellStart"/>
      <w:r w:rsidRPr="0098092A">
        <w:rPr>
          <w:i/>
          <w:iCs/>
        </w:rPr>
        <w:t>añj</w:t>
      </w:r>
      <w:proofErr w:type="spellEnd"/>
      <w:r>
        <w:t xml:space="preserve">); no </w:t>
      </w:r>
      <w:r w:rsidR="00F00C4C">
        <w:t>as</w:t>
      </w:r>
      <w:r w:rsidR="00DE6925">
        <w:t>í</w:t>
      </w:r>
      <w:r>
        <w:t xml:space="preserve"> </w:t>
      </w:r>
      <w:r w:rsidR="00B8178D">
        <w:t>d</w:t>
      </w:r>
      <w:r>
        <w:t xml:space="preserve">escrito en </w:t>
      </w:r>
      <w:r w:rsidR="00B8178D">
        <w:t xml:space="preserve">el </w:t>
      </w:r>
      <w:r>
        <w:t xml:space="preserve">PED pero ver </w:t>
      </w:r>
      <w:proofErr w:type="spellStart"/>
      <w:r w:rsidRPr="0098092A">
        <w:rPr>
          <w:i/>
          <w:iCs/>
        </w:rPr>
        <w:t>viyatti</w:t>
      </w:r>
      <w:proofErr w:type="spellEnd"/>
      <w:r>
        <w:t xml:space="preserve">. Glosado por </w:t>
      </w:r>
      <w:r w:rsidR="00DE6925">
        <w:t xml:space="preserve">el </w:t>
      </w:r>
      <w:proofErr w:type="spellStart"/>
      <w:r>
        <w:t>Vism-mhṭ</w:t>
      </w:r>
      <w:proofErr w:type="spellEnd"/>
      <w:r>
        <w:t xml:space="preserve"> co</w:t>
      </w:r>
      <w:r w:rsidR="00DE6925">
        <w:t>mo</w:t>
      </w:r>
      <w:r>
        <w:t xml:space="preserve"> </w:t>
      </w:r>
      <w:proofErr w:type="spellStart"/>
      <w:r w:rsidRPr="0098092A">
        <w:rPr>
          <w:i/>
          <w:iCs/>
        </w:rPr>
        <w:t>veyyatti</w:t>
      </w:r>
      <w:proofErr w:type="spellEnd"/>
      <w:r>
        <w:t>.</w:t>
      </w:r>
    </w:p>
    <w:p w14:paraId="0071B532" w14:textId="6E8A1021" w:rsidR="0031789D" w:rsidRDefault="0031789D" w:rsidP="0031789D">
      <w:pPr>
        <w:pStyle w:val="PiedepginaLegal"/>
      </w:pPr>
      <w:r>
        <w:t xml:space="preserve">32. </w:t>
      </w:r>
      <w:r w:rsidR="00C00E32">
        <w:tab/>
      </w:r>
      <w:r>
        <w:t xml:space="preserve">Estos “cinco agregados” son </w:t>
      </w:r>
      <w:r w:rsidR="00B8178D">
        <w:t>aquellos</w:t>
      </w:r>
      <w:r>
        <w:t xml:space="preserve"> de </w:t>
      </w:r>
      <w:r w:rsidR="00B8178D">
        <w:t xml:space="preserve">la </w:t>
      </w:r>
      <w:r>
        <w:t xml:space="preserve">virtud, concentración, </w:t>
      </w:r>
      <w:r w:rsidR="00B8178D">
        <w:t>entendimiento</w:t>
      </w:r>
      <w:r>
        <w:t>, liberación y conocimiento y visión de liberación.</w:t>
      </w:r>
    </w:p>
    <w:p w14:paraId="059E0E90" w14:textId="198E06B4" w:rsidR="00C00E32" w:rsidRDefault="00C00E32">
      <w:pPr>
        <w:tabs>
          <w:tab w:val="clear" w:pos="425"/>
        </w:tabs>
        <w:spacing w:after="160"/>
      </w:pPr>
      <w:r>
        <w:br w:type="page"/>
      </w:r>
    </w:p>
    <w:p w14:paraId="26827BD0" w14:textId="77777777" w:rsidR="002272D9" w:rsidRDefault="002272D9" w:rsidP="007D1466"/>
    <w:p w14:paraId="71E89197" w14:textId="74B9E876" w:rsidR="007D1466" w:rsidRDefault="007D1466" w:rsidP="007D1466">
      <w:r>
        <w:t xml:space="preserve">sufre </w:t>
      </w:r>
      <w:r w:rsidR="006B44E4">
        <w:t xml:space="preserve">de ninguna </w:t>
      </w:r>
      <w:r>
        <w:t xml:space="preserve">perversión ya que las cosas allí descritas como obstrucciones y las cosas allí descritas como </w:t>
      </w:r>
      <w:r w:rsidR="006B44E4">
        <w:t xml:space="preserve">un escape </w:t>
      </w:r>
      <w:r>
        <w:t xml:space="preserve">lo son </w:t>
      </w:r>
      <w:r w:rsidR="00E60CF5">
        <w:t xml:space="preserve">así </w:t>
      </w:r>
      <w:r>
        <w:t>real</w:t>
      </w:r>
      <w:r w:rsidR="00E60CF5">
        <w:t>mente</w:t>
      </w:r>
      <w:r>
        <w:t>.</w:t>
      </w:r>
    </w:p>
    <w:p w14:paraId="022633D6" w14:textId="18E2E95B" w:rsidR="007D1466" w:rsidRDefault="00865CB0" w:rsidP="007D1466">
      <w:pPr>
        <w:pStyle w:val="NormalConSangria"/>
      </w:pPr>
      <w:r>
        <w:t>Por lo tanto</w:t>
      </w:r>
      <w:r w:rsidR="007D1466">
        <w:t xml:space="preserve">, en primer lugar, el </w:t>
      </w:r>
      <w:r w:rsidR="00057BF4" w:rsidRPr="00057BF4">
        <w:rPr>
          <w:i/>
          <w:iCs/>
        </w:rPr>
        <w:t>Dhamma</w:t>
      </w:r>
      <w:r w:rsidR="007D1466">
        <w:t xml:space="preserve"> de las escrituras está “bien proclamado”.</w:t>
      </w:r>
    </w:p>
    <w:p w14:paraId="0E9F5477" w14:textId="3A7C9BCB" w:rsidR="007D1466" w:rsidRDefault="007D1466" w:rsidP="007D1466">
      <w:r>
        <w:t xml:space="preserve">74. </w:t>
      </w:r>
      <w:r>
        <w:tab/>
        <w:t xml:space="preserve">El </w:t>
      </w:r>
      <w:r w:rsidR="00057BF4" w:rsidRPr="00057BF4">
        <w:rPr>
          <w:i/>
          <w:iCs/>
        </w:rPr>
        <w:t>Dhamma</w:t>
      </w:r>
      <w:r>
        <w:t xml:space="preserve"> supramundano </w:t>
      </w:r>
      <w:r w:rsidRPr="009C1FCD">
        <w:t>está</w:t>
      </w:r>
      <w:r w:rsidRPr="009C1FCD">
        <w:rPr>
          <w:i/>
          <w:iCs/>
        </w:rPr>
        <w:t xml:space="preserve"> bien proclamado</w:t>
      </w:r>
      <w:r>
        <w:t xml:space="preserve"> ya que tanto el </w:t>
      </w:r>
      <w:r w:rsidR="00E60CF5">
        <w:t>sendero</w:t>
      </w:r>
      <w:r>
        <w:t xml:space="preserve"> que concuerda con el </w:t>
      </w:r>
      <w:r w:rsidRPr="009C1FCD">
        <w:rPr>
          <w:i/>
          <w:iCs/>
        </w:rPr>
        <w:t>Nibbāna</w:t>
      </w:r>
      <w:r>
        <w:t xml:space="preserve"> como el </w:t>
      </w:r>
      <w:r w:rsidRPr="009C1FCD">
        <w:rPr>
          <w:i/>
          <w:iCs/>
        </w:rPr>
        <w:t>Nibbāna</w:t>
      </w:r>
      <w:r>
        <w:t xml:space="preserve"> que concuerda con el </w:t>
      </w:r>
      <w:r w:rsidR="00E60CF5">
        <w:t xml:space="preserve">sendero, </w:t>
      </w:r>
      <w:r>
        <w:t>han sido proclamados, según</w:t>
      </w:r>
      <w:r w:rsidR="005750D6">
        <w:t xml:space="preserve"> lo siguiente</w:t>
      </w:r>
      <w:r>
        <w:t xml:space="preserve">: “El </w:t>
      </w:r>
      <w:r w:rsidR="00E60CF5">
        <w:t xml:space="preserve">Sendero </w:t>
      </w:r>
      <w:r>
        <w:t xml:space="preserve">que conduce al </w:t>
      </w:r>
      <w:r w:rsidRPr="009C1FCD">
        <w:rPr>
          <w:i/>
          <w:iCs/>
        </w:rPr>
        <w:t>Nibbāna</w:t>
      </w:r>
      <w:r>
        <w:t xml:space="preserve"> ha sido debidamente declarado a los discípulos por el </w:t>
      </w:r>
      <w:r w:rsidR="00E60CF5">
        <w:rPr>
          <w:i/>
          <w:iCs/>
        </w:rPr>
        <w:t>Bhagavā</w:t>
      </w:r>
      <w:r>
        <w:t xml:space="preserve">, </w:t>
      </w:r>
      <w:r w:rsidR="005750D6">
        <w:t xml:space="preserve">el </w:t>
      </w:r>
      <w:r w:rsidRPr="009C1FCD">
        <w:rPr>
          <w:i/>
          <w:iCs/>
        </w:rPr>
        <w:t>Nibbāna</w:t>
      </w:r>
      <w:r>
        <w:t xml:space="preserve"> y el </w:t>
      </w:r>
      <w:r w:rsidR="00090550">
        <w:t>sendero</w:t>
      </w:r>
      <w:r>
        <w:t xml:space="preserve"> </w:t>
      </w:r>
      <w:r w:rsidR="00F4466B">
        <w:t>llegan a un encuentro</w:t>
      </w:r>
      <w:r w:rsidR="00BB1BC4">
        <w:t>.</w:t>
      </w:r>
      <w:r>
        <w:t xml:space="preserve"> </w:t>
      </w:r>
      <w:r w:rsidR="00BB1BC4">
        <w:t>A</w:t>
      </w:r>
      <w:r>
        <w:t xml:space="preserve">sí como </w:t>
      </w:r>
      <w:r w:rsidR="00BB1BC4">
        <w:t xml:space="preserve">las aguas </w:t>
      </w:r>
      <w:r>
        <w:t>del Ganges se encuentra</w:t>
      </w:r>
      <w:r w:rsidR="00BB1BC4">
        <w:t>n</w:t>
      </w:r>
      <w:r>
        <w:t xml:space="preserve"> y se une</w:t>
      </w:r>
      <w:r w:rsidR="00BB1BC4">
        <w:t>n</w:t>
      </w:r>
      <w:r>
        <w:t xml:space="preserve"> con </w:t>
      </w:r>
      <w:r w:rsidR="005750D6">
        <w:t xml:space="preserve">las </w:t>
      </w:r>
      <w:r>
        <w:t>agua</w:t>
      </w:r>
      <w:r w:rsidR="005750D6">
        <w:t>s</w:t>
      </w:r>
      <w:r>
        <w:t xml:space="preserve"> del </w:t>
      </w:r>
      <w:proofErr w:type="spellStart"/>
      <w:r>
        <w:t>Yamun</w:t>
      </w:r>
      <w:r w:rsidR="009C1FCD">
        <w:t>ā</w:t>
      </w:r>
      <w:proofErr w:type="spellEnd"/>
      <w:r>
        <w:t xml:space="preserve">, así también el </w:t>
      </w:r>
      <w:r w:rsidR="00F4466B">
        <w:rPr>
          <w:i/>
          <w:iCs/>
        </w:rPr>
        <w:t>Bhagavā</w:t>
      </w:r>
      <w:r w:rsidR="00F4466B">
        <w:t xml:space="preserve"> </w:t>
      </w:r>
      <w:r>
        <w:t xml:space="preserve">ha declarado apropiadamente a los discípulos el </w:t>
      </w:r>
      <w:r w:rsidR="00F4466B">
        <w:t>sendero</w:t>
      </w:r>
      <w:r>
        <w:t xml:space="preserve"> que conduce </w:t>
      </w:r>
      <w:r w:rsidR="00F4466B">
        <w:t>hacia e</w:t>
      </w:r>
      <w:r>
        <w:t xml:space="preserve">l </w:t>
      </w:r>
      <w:r w:rsidR="009C1FCD">
        <w:rPr>
          <w:i/>
          <w:iCs/>
        </w:rPr>
        <w:t>Nibbāna</w:t>
      </w:r>
      <w:r>
        <w:t xml:space="preserve">, y </w:t>
      </w:r>
      <w:r w:rsidR="00BB1BC4">
        <w:t xml:space="preserve">es así cómo </w:t>
      </w:r>
      <w:r w:rsidR="00F4466B">
        <w:t xml:space="preserve">el </w:t>
      </w:r>
      <w:proofErr w:type="spellStart"/>
      <w:r w:rsidRPr="009C1FCD">
        <w:rPr>
          <w:i/>
          <w:iCs/>
        </w:rPr>
        <w:t>Nibbana</w:t>
      </w:r>
      <w:proofErr w:type="spellEnd"/>
      <w:r>
        <w:t xml:space="preserve"> y el </w:t>
      </w:r>
      <w:r w:rsidR="00F4466B">
        <w:t xml:space="preserve">sendero </w:t>
      </w:r>
      <w:r w:rsidR="009A2641">
        <w:t>llegan a un encuentro</w:t>
      </w:r>
      <w:r>
        <w:t>” (D II 223).</w:t>
      </w:r>
    </w:p>
    <w:p w14:paraId="117803CC" w14:textId="067F9E05" w:rsidR="007D1466" w:rsidRDefault="007D1466" w:rsidP="007D1466">
      <w:r>
        <w:t xml:space="preserve">75. </w:t>
      </w:r>
      <w:r>
        <w:tab/>
        <w:t>Y aquí el noble</w:t>
      </w:r>
      <w:r w:rsidR="00BB1BC4">
        <w:t xml:space="preserve"> sendero</w:t>
      </w:r>
      <w:r>
        <w:t xml:space="preserve">, que es el </w:t>
      </w:r>
      <w:r w:rsidR="00BB1BC4">
        <w:t xml:space="preserve">sendero </w:t>
      </w:r>
      <w:r>
        <w:t>medio</w:t>
      </w:r>
      <w:r w:rsidR="00BB1BC4">
        <w:t>,</w:t>
      </w:r>
      <w:r>
        <w:t xml:space="preserve"> ya que no se acerca a ningún extremo, está </w:t>
      </w:r>
      <w:r w:rsidRPr="002509B6">
        <w:rPr>
          <w:i/>
          <w:iCs/>
        </w:rPr>
        <w:t>bien proclamado</w:t>
      </w:r>
      <w:r>
        <w:t xml:space="preserve"> al ser proclamado </w:t>
      </w:r>
      <w:r w:rsidR="00B87CCE">
        <w:t xml:space="preserve">como </w:t>
      </w:r>
      <w:r>
        <w:t xml:space="preserve">el </w:t>
      </w:r>
      <w:r w:rsidR="00B87CCE">
        <w:t xml:space="preserve">sendero </w:t>
      </w:r>
      <w:r>
        <w:t>medio.</w:t>
      </w:r>
    </w:p>
    <w:p w14:paraId="443653D2" w14:textId="6959533F" w:rsidR="007D1466" w:rsidRDefault="007D1466" w:rsidP="007D1466">
      <w:pPr>
        <w:pStyle w:val="NormalConSangria"/>
      </w:pPr>
      <w:r>
        <w:t xml:space="preserve">Los frutos del ascetismo, donde se tranquilizan las impurezas, también </w:t>
      </w:r>
      <w:r w:rsidR="00B87CCE">
        <w:t>están</w:t>
      </w:r>
      <w:r>
        <w:t xml:space="preserve"> bien proclamados al proclamarse que </w:t>
      </w:r>
      <w:r w:rsidR="00B87CCE">
        <w:t xml:space="preserve">estos </w:t>
      </w:r>
      <w:r>
        <w:t>han tranquilizado las impurezas.</w:t>
      </w:r>
    </w:p>
    <w:p w14:paraId="733A674B" w14:textId="78BD803E" w:rsidR="007D1466" w:rsidRDefault="00B87CCE" w:rsidP="007D1466">
      <w:pPr>
        <w:pStyle w:val="NormalConSangria"/>
      </w:pPr>
      <w:r>
        <w:t xml:space="preserve">El </w:t>
      </w:r>
      <w:r w:rsidR="007D1466" w:rsidRPr="002509B6">
        <w:rPr>
          <w:i/>
          <w:iCs/>
        </w:rPr>
        <w:t>Nibbāna</w:t>
      </w:r>
      <w:r w:rsidR="007D1466">
        <w:t>, cuya esencia individual es eterna, inmortal, el refugio, el amparo, etc., también es</w:t>
      </w:r>
      <w:r w:rsidR="00F52563">
        <w:t>tá</w:t>
      </w:r>
      <w:r w:rsidR="007D1466">
        <w:t xml:space="preserve"> bien proclamado al proclamarse que tiene una esencia individual que es eterna, y así sucesivamente.</w:t>
      </w:r>
    </w:p>
    <w:p w14:paraId="22999771" w14:textId="3D7FCEDB" w:rsidR="007D1466" w:rsidRDefault="007D1466" w:rsidP="007D1466">
      <w:pPr>
        <w:pStyle w:val="NormalConSangria"/>
      </w:pPr>
      <w:r>
        <w:t xml:space="preserve">Así que el </w:t>
      </w:r>
      <w:r w:rsidR="00057BF4" w:rsidRPr="00057BF4">
        <w:rPr>
          <w:i/>
          <w:iCs/>
        </w:rPr>
        <w:t>Dhamma</w:t>
      </w:r>
      <w:r>
        <w:t xml:space="preserve"> supramundano también está “bien proclamado”.</w:t>
      </w:r>
    </w:p>
    <w:p w14:paraId="795392CE" w14:textId="6C716CB0" w:rsidR="007D1466" w:rsidRDefault="007D1466" w:rsidP="006B7078">
      <w:pPr>
        <w:pStyle w:val="Ttulo4"/>
        <w:ind w:left="708"/>
      </w:pPr>
      <w:r>
        <w:t xml:space="preserve">[Visible Aquí </w:t>
      </w:r>
      <w:r w:rsidR="00730B51">
        <w:t>y</w:t>
      </w:r>
      <w:r>
        <w:t xml:space="preserve"> Ahora]</w:t>
      </w:r>
    </w:p>
    <w:p w14:paraId="1633D0FD" w14:textId="0AED315F" w:rsidR="007D1466" w:rsidRDefault="007D1466" w:rsidP="007D1466">
      <w:r>
        <w:t xml:space="preserve">76. </w:t>
      </w:r>
      <w:r>
        <w:tab/>
      </w:r>
      <w:r w:rsidRPr="002D75FF">
        <w:rPr>
          <w:i/>
          <w:iCs/>
        </w:rPr>
        <w:t>Visible aquí y ahora</w:t>
      </w:r>
      <w:r>
        <w:t xml:space="preserve">: en primer lugar, el noble </w:t>
      </w:r>
      <w:r w:rsidR="002D75FF">
        <w:t xml:space="preserve">sendero </w:t>
      </w:r>
      <w:r>
        <w:t xml:space="preserve">es “visible aquí y ahora” ya que puede ser visto por una </w:t>
      </w:r>
      <w:r w:rsidR="00EA32BB">
        <w:t xml:space="preserve">noble </w:t>
      </w:r>
      <w:r>
        <w:t>persona cuando ha</w:t>
      </w:r>
      <w:r w:rsidR="00EA32BB">
        <w:t>ya</w:t>
      </w:r>
      <w:r>
        <w:t xml:space="preserve"> acabado con la codicia, etc., en su propia continuidad, según </w:t>
      </w:r>
      <w:r w:rsidR="00EA32BB">
        <w:t>el pasaje</w:t>
      </w:r>
      <w:r>
        <w:t xml:space="preserve">: “Cuando un hombre está teñido de codicia, </w:t>
      </w:r>
      <w:r w:rsidRPr="009C1FCD">
        <w:rPr>
          <w:i/>
          <w:iCs/>
        </w:rPr>
        <w:t>brahm</w:t>
      </w:r>
      <w:r w:rsidR="005C776E">
        <w:rPr>
          <w:i/>
          <w:iCs/>
        </w:rPr>
        <w:t>á</w:t>
      </w:r>
      <w:r w:rsidRPr="009C1FCD">
        <w:rPr>
          <w:i/>
          <w:iCs/>
        </w:rPr>
        <w:t>n</w:t>
      </w:r>
      <w:r>
        <w:t xml:space="preserve">, y está abrumado y su mente está obsesionada por la codicia, entonces piensa en su propia aflicción, piensa en la aflicción de los demás, piensa en la aflicción de ambos, y experimenta sufrimiento y </w:t>
      </w:r>
      <w:r w:rsidR="00EA32BB">
        <w:t>aflicción</w:t>
      </w:r>
      <w:r>
        <w:t xml:space="preserve">. Cuando se ha abandonado la codicia, no piensa en su propia aflicción, ni piensa en la aflicción de los demás, ni piensa en la aflicción de ambos, y no experimenta sufrimiento mental ni </w:t>
      </w:r>
      <w:r w:rsidR="00B0632C">
        <w:t>aflicción</w:t>
      </w:r>
      <w:r>
        <w:t xml:space="preserve">. Así, </w:t>
      </w:r>
      <w:r w:rsidR="00B0632C" w:rsidRPr="009C1FCD">
        <w:rPr>
          <w:i/>
          <w:iCs/>
        </w:rPr>
        <w:t>brahmán</w:t>
      </w:r>
      <w:r>
        <w:t>, es c</w:t>
      </w:r>
      <w:r w:rsidR="00B0632C">
        <w:t>ó</w:t>
      </w:r>
      <w:r>
        <w:t xml:space="preserve">mo el </w:t>
      </w:r>
      <w:r w:rsidR="00057BF4" w:rsidRPr="00057BF4">
        <w:rPr>
          <w:i/>
          <w:iCs/>
        </w:rPr>
        <w:t>Dhamma</w:t>
      </w:r>
      <w:r>
        <w:t xml:space="preserve"> es visible aquí y ahora” (A I 156). [216]</w:t>
      </w:r>
    </w:p>
    <w:p w14:paraId="5CE53FF7" w14:textId="21DC5DD1" w:rsidR="007D1466" w:rsidRDefault="007D1466" w:rsidP="007D1466">
      <w:r>
        <w:t xml:space="preserve">77. </w:t>
      </w:r>
      <w:r>
        <w:tab/>
        <w:t>Además, l</w:t>
      </w:r>
      <w:r w:rsidR="00B0632C">
        <w:t>os</w:t>
      </w:r>
      <w:r>
        <w:t xml:space="preserve"> </w:t>
      </w:r>
      <w:r w:rsidR="00B0632C">
        <w:t xml:space="preserve">nueve </w:t>
      </w:r>
      <w:r w:rsidR="00057BF4" w:rsidRPr="00057BF4">
        <w:rPr>
          <w:i/>
          <w:iCs/>
        </w:rPr>
        <w:t>Dhamma</w:t>
      </w:r>
      <w:r w:rsidR="00B0632C">
        <w:t>s</w:t>
      </w:r>
      <w:r>
        <w:t xml:space="preserve"> supramundano</w:t>
      </w:r>
      <w:r w:rsidR="00B0632C">
        <w:t>s</w:t>
      </w:r>
      <w:r>
        <w:t xml:space="preserve"> también </w:t>
      </w:r>
      <w:r w:rsidR="00B0632C">
        <w:t>son</w:t>
      </w:r>
      <w:r>
        <w:t xml:space="preserve"> </w:t>
      </w:r>
      <w:r w:rsidRPr="002509B6">
        <w:rPr>
          <w:i/>
          <w:iCs/>
        </w:rPr>
        <w:t>visible</w:t>
      </w:r>
      <w:r w:rsidR="00B0632C">
        <w:rPr>
          <w:i/>
          <w:iCs/>
        </w:rPr>
        <w:t>s</w:t>
      </w:r>
      <w:r w:rsidRPr="002509B6">
        <w:rPr>
          <w:i/>
          <w:iCs/>
        </w:rPr>
        <w:t xml:space="preserve"> aquí y ahora</w:t>
      </w:r>
      <w:r>
        <w:t>, ya que cuando alguien lo ha</w:t>
      </w:r>
      <w:r w:rsidR="00B0632C">
        <w:t>ya</w:t>
      </w:r>
      <w:r>
        <w:t xml:space="preserve"> </w:t>
      </w:r>
      <w:r w:rsidR="00B0632C">
        <w:t>consumado</w:t>
      </w:r>
      <w:r>
        <w:t xml:space="preserve">, </w:t>
      </w:r>
      <w:r w:rsidR="00B0632C">
        <w:t xml:space="preserve">será </w:t>
      </w:r>
      <w:r>
        <w:t xml:space="preserve">visible para él a través de la </w:t>
      </w:r>
      <w:r w:rsidR="004F5411">
        <w:t>examinac</w:t>
      </w:r>
      <w:r>
        <w:t xml:space="preserve">ión del conocimiento sin tener que confiar en la fe </w:t>
      </w:r>
      <w:r w:rsidR="00B0632C">
        <w:t>de nadie</w:t>
      </w:r>
      <w:r>
        <w:t>.</w:t>
      </w:r>
    </w:p>
    <w:p w14:paraId="78A3DACA" w14:textId="09577614" w:rsidR="00C00E32" w:rsidRDefault="007D1466" w:rsidP="007D1466">
      <w:r>
        <w:t xml:space="preserve">78. </w:t>
      </w:r>
      <w:r>
        <w:tab/>
        <w:t>O alternativamente, la vis</w:t>
      </w:r>
      <w:r w:rsidR="00B0632C">
        <w:t>ión</w:t>
      </w:r>
      <w:r>
        <w:t xml:space="preserve"> (</w:t>
      </w:r>
      <w:r w:rsidR="00057BF4" w:rsidRPr="00057BF4">
        <w:rPr>
          <w:i/>
          <w:iCs/>
        </w:rPr>
        <w:t>diṭṭhi</w:t>
      </w:r>
      <w:r>
        <w:t>) que se recomienda (</w:t>
      </w:r>
      <w:proofErr w:type="spellStart"/>
      <w:r w:rsidRPr="009C1FCD">
        <w:rPr>
          <w:i/>
          <w:iCs/>
        </w:rPr>
        <w:t>pasattha</w:t>
      </w:r>
      <w:proofErr w:type="spellEnd"/>
      <w:r>
        <w:t xml:space="preserve">—pp. de la raíz </w:t>
      </w:r>
      <w:proofErr w:type="spellStart"/>
      <w:r w:rsidRPr="009C1FCD">
        <w:rPr>
          <w:i/>
          <w:iCs/>
        </w:rPr>
        <w:t>saṃs</w:t>
      </w:r>
      <w:proofErr w:type="spellEnd"/>
      <w:r>
        <w:t>) es la “vis</w:t>
      </w:r>
      <w:r w:rsidR="00B0632C">
        <w:t>ión</w:t>
      </w:r>
      <w:r>
        <w:t xml:space="preserve"> </w:t>
      </w:r>
      <w:r w:rsidR="00B0632C">
        <w:t>correcta</w:t>
      </w:r>
      <w:r>
        <w:t>” (</w:t>
      </w:r>
      <w:proofErr w:type="spellStart"/>
      <w:r w:rsidRPr="009C1FCD">
        <w:rPr>
          <w:i/>
          <w:iCs/>
        </w:rPr>
        <w:t>san</w:t>
      </w:r>
      <w:r w:rsidR="00057BF4" w:rsidRPr="00057BF4">
        <w:rPr>
          <w:i/>
          <w:iCs/>
        </w:rPr>
        <w:t>diṭṭhi</w:t>
      </w:r>
      <w:proofErr w:type="spellEnd"/>
      <w:r>
        <w:t xml:space="preserve">). Conquista </w:t>
      </w:r>
      <w:r w:rsidR="007629A0">
        <w:t xml:space="preserve">la visión incorrecta </w:t>
      </w:r>
      <w:r>
        <w:t xml:space="preserve">por medio de la visión </w:t>
      </w:r>
      <w:r w:rsidR="00B0632C">
        <w:t>correcta</w:t>
      </w:r>
      <w:r>
        <w:t>, por lo tanto, “</w:t>
      </w:r>
      <w:r w:rsidR="0085117F">
        <w:t>posee</w:t>
      </w:r>
      <w:r>
        <w:t xml:space="preserve"> visión </w:t>
      </w:r>
      <w:r w:rsidR="00B0632C">
        <w:t>correcta</w:t>
      </w:r>
      <w:r>
        <w:t>” (</w:t>
      </w:r>
      <w:proofErr w:type="spellStart"/>
      <w:r w:rsidRPr="009C1FCD">
        <w:rPr>
          <w:i/>
          <w:iCs/>
        </w:rPr>
        <w:t>san</w:t>
      </w:r>
      <w:r w:rsidR="00057BF4" w:rsidRPr="00057BF4">
        <w:rPr>
          <w:i/>
          <w:iCs/>
        </w:rPr>
        <w:t>diṭṭhi</w:t>
      </w:r>
      <w:r w:rsidRPr="009C1FCD">
        <w:rPr>
          <w:i/>
          <w:iCs/>
        </w:rPr>
        <w:t>ka</w:t>
      </w:r>
      <w:proofErr w:type="spellEnd"/>
      <w:r>
        <w:t xml:space="preserve">—“visible aquí y ahora”). </w:t>
      </w:r>
      <w:r w:rsidR="0000027C">
        <w:t>Ya que,</w:t>
      </w:r>
      <w:r>
        <w:t xml:space="preserve"> de esta manera, el noble </w:t>
      </w:r>
      <w:r w:rsidR="0000027C">
        <w:t xml:space="preserve">sendero </w:t>
      </w:r>
      <w:r>
        <w:t xml:space="preserve">vence las impurezas por medio de la visión </w:t>
      </w:r>
      <w:r w:rsidR="0000027C">
        <w:t>correcta</w:t>
      </w:r>
      <w:r>
        <w:t xml:space="preserve"> asociada con él, y la fruición noble lo hace por medio de la visión adecuada que es su causa, y el </w:t>
      </w:r>
      <w:r w:rsidR="009C1FCD" w:rsidRPr="009C1FCD">
        <w:rPr>
          <w:i/>
          <w:iCs/>
        </w:rPr>
        <w:t>Nibbāna</w:t>
      </w:r>
      <w:r w:rsidR="009C1FCD">
        <w:t xml:space="preserve"> </w:t>
      </w:r>
      <w:r>
        <w:t xml:space="preserve">lo hace por medio de la visión adecuada que tiene al </w:t>
      </w:r>
      <w:r w:rsidR="009C1FCD" w:rsidRPr="009C1FCD">
        <w:rPr>
          <w:i/>
          <w:iCs/>
        </w:rPr>
        <w:t>Nibbāna</w:t>
      </w:r>
      <w:r w:rsidR="009C1FCD">
        <w:t xml:space="preserve"> </w:t>
      </w:r>
      <w:r>
        <w:t xml:space="preserve">como su campo objetivo. De modo que el </w:t>
      </w:r>
      <w:r w:rsidR="00057BF4" w:rsidRPr="00057BF4">
        <w:rPr>
          <w:i/>
        </w:rPr>
        <w:t>Dhamma</w:t>
      </w:r>
      <w:r>
        <w:t xml:space="preserve"> supramundano de nueve aspectos “tiene la visión </w:t>
      </w:r>
      <w:r w:rsidR="00F044FD">
        <w:t>correcta</w:t>
      </w:r>
      <w:r>
        <w:t>” (</w:t>
      </w:r>
      <w:proofErr w:type="spellStart"/>
      <w:r w:rsidRPr="009C1FCD">
        <w:rPr>
          <w:i/>
          <w:iCs/>
        </w:rPr>
        <w:t>san</w:t>
      </w:r>
      <w:r w:rsidR="00057BF4" w:rsidRPr="00057BF4">
        <w:rPr>
          <w:i/>
          <w:iCs/>
        </w:rPr>
        <w:t>diṭṭhi</w:t>
      </w:r>
      <w:r w:rsidRPr="009C1FCD">
        <w:rPr>
          <w:i/>
          <w:iCs/>
        </w:rPr>
        <w:t>ka</w:t>
      </w:r>
      <w:proofErr w:type="spellEnd"/>
      <w:r>
        <w:t xml:space="preserve">—“es visible aquí y ahora”) ya que conquista </w:t>
      </w:r>
      <w:r w:rsidR="007629A0">
        <w:t xml:space="preserve">la visión incorrecta </w:t>
      </w:r>
      <w:r>
        <w:t xml:space="preserve">por medio de </w:t>
      </w:r>
      <w:r w:rsidR="007629A0">
        <w:t>un</w:t>
      </w:r>
      <w:r>
        <w:t xml:space="preserve">a visión adecuada, tal como se </w:t>
      </w:r>
      <w:r w:rsidR="004B1258">
        <w:t xml:space="preserve">le </w:t>
      </w:r>
      <w:r>
        <w:t>llama así a un auriga (</w:t>
      </w:r>
      <w:proofErr w:type="spellStart"/>
      <w:r w:rsidRPr="009C1FCD">
        <w:rPr>
          <w:i/>
          <w:iCs/>
        </w:rPr>
        <w:t>rathika</w:t>
      </w:r>
      <w:proofErr w:type="spellEnd"/>
      <w:r>
        <w:t xml:space="preserve">) </w:t>
      </w:r>
      <w:r w:rsidR="004B1258">
        <w:t xml:space="preserve">ya </w:t>
      </w:r>
      <w:r>
        <w:t xml:space="preserve">que conquista por medio de </w:t>
      </w:r>
      <w:r w:rsidR="008B7634">
        <w:t>su</w:t>
      </w:r>
      <w:r>
        <w:t xml:space="preserve"> carr</w:t>
      </w:r>
      <w:r w:rsidR="007629A0">
        <w:t>uaje</w:t>
      </w:r>
      <w:r>
        <w:t xml:space="preserve"> (</w:t>
      </w:r>
      <w:proofErr w:type="spellStart"/>
      <w:r w:rsidRPr="009C1FCD">
        <w:rPr>
          <w:i/>
          <w:iCs/>
        </w:rPr>
        <w:t>ratha</w:t>
      </w:r>
      <w:proofErr w:type="spellEnd"/>
      <w:r>
        <w:t>).</w:t>
      </w:r>
    </w:p>
    <w:p w14:paraId="35878188" w14:textId="2A80FFAC" w:rsidR="007D1466" w:rsidRDefault="007D1466">
      <w:pPr>
        <w:tabs>
          <w:tab w:val="clear" w:pos="425"/>
        </w:tabs>
        <w:spacing w:after="160"/>
      </w:pPr>
      <w:r>
        <w:br w:type="page"/>
      </w:r>
    </w:p>
    <w:p w14:paraId="31DD24FB" w14:textId="77777777" w:rsidR="007D1466" w:rsidRDefault="007D1466" w:rsidP="007D1466"/>
    <w:p w14:paraId="42B69338" w14:textId="028BFEC7" w:rsidR="00C6662B" w:rsidRDefault="00C6662B" w:rsidP="00C6662B">
      <w:r>
        <w:t xml:space="preserve">79. </w:t>
      </w:r>
      <w:r w:rsidR="00677AD3">
        <w:tab/>
      </w:r>
      <w:r>
        <w:t xml:space="preserve">O alternativamente, </w:t>
      </w:r>
      <w:r w:rsidR="00BD6623">
        <w:t>se ve</w:t>
      </w:r>
      <w:r>
        <w:t xml:space="preserve"> (</w:t>
      </w:r>
      <w:r w:rsidRPr="009C1FCD">
        <w:rPr>
          <w:i/>
          <w:iCs/>
        </w:rPr>
        <w:t>dassana</w:t>
      </w:r>
      <w:r>
        <w:t xml:space="preserve">) lo que se </w:t>
      </w:r>
      <w:r w:rsidR="00E0306A">
        <w:t>cono</w:t>
      </w:r>
      <w:r w:rsidR="007557B3">
        <w:t>zca</w:t>
      </w:r>
      <w:r w:rsidR="00E0306A">
        <w:t xml:space="preserve"> como</w:t>
      </w:r>
      <w:r>
        <w:t xml:space="preserve"> “lo visto” (</w:t>
      </w:r>
      <w:proofErr w:type="spellStart"/>
      <w:r w:rsidRPr="009C1FCD">
        <w:rPr>
          <w:i/>
          <w:iCs/>
        </w:rPr>
        <w:t>diṭṭha</w:t>
      </w:r>
      <w:proofErr w:type="spellEnd"/>
      <w:r>
        <w:t xml:space="preserve">); entonces </w:t>
      </w:r>
      <w:proofErr w:type="spellStart"/>
      <w:r w:rsidRPr="009C1FCD">
        <w:rPr>
          <w:i/>
          <w:iCs/>
        </w:rPr>
        <w:t>diṭṭha</w:t>
      </w:r>
      <w:proofErr w:type="spellEnd"/>
      <w:r>
        <w:t xml:space="preserve"> y </w:t>
      </w:r>
      <w:proofErr w:type="spellStart"/>
      <w:r w:rsidRPr="009C1FCD">
        <w:rPr>
          <w:i/>
          <w:iCs/>
        </w:rPr>
        <w:t>sandiṭṭha</w:t>
      </w:r>
      <w:proofErr w:type="spellEnd"/>
      <w:r>
        <w:t xml:space="preserve"> son idénticos en significado como “</w:t>
      </w:r>
      <w:r w:rsidR="001D304E">
        <w:t>lo visto</w:t>
      </w:r>
      <w:r>
        <w:t>”. Es digno de ser visto (</w:t>
      </w:r>
      <w:proofErr w:type="spellStart"/>
      <w:r w:rsidRPr="00FF5BDE">
        <w:rPr>
          <w:i/>
          <w:iCs/>
        </w:rPr>
        <w:t>diṭṭha</w:t>
      </w:r>
      <w:proofErr w:type="spellEnd"/>
      <w:r>
        <w:t>), por lo que es “visible aquí y ahora” (</w:t>
      </w:r>
      <w:proofErr w:type="spellStart"/>
      <w:r w:rsidRPr="009C1FCD">
        <w:rPr>
          <w:i/>
          <w:iCs/>
        </w:rPr>
        <w:t>san</w:t>
      </w:r>
      <w:r w:rsidR="00057BF4" w:rsidRPr="00057BF4">
        <w:rPr>
          <w:i/>
          <w:iCs/>
        </w:rPr>
        <w:t>diṭṭhi</w:t>
      </w:r>
      <w:r w:rsidRPr="009C1FCD">
        <w:rPr>
          <w:i/>
          <w:iCs/>
        </w:rPr>
        <w:t>ka</w:t>
      </w:r>
      <w:proofErr w:type="spellEnd"/>
      <w:r>
        <w:t xml:space="preserve">). </w:t>
      </w:r>
      <w:r w:rsidR="00D47574">
        <w:t xml:space="preserve">Ya </w:t>
      </w:r>
      <w:r>
        <w:t xml:space="preserve">que el </w:t>
      </w:r>
      <w:r w:rsidR="00057BF4" w:rsidRPr="00057BF4">
        <w:rPr>
          <w:i/>
          <w:iCs/>
        </w:rPr>
        <w:t>Dhamma</w:t>
      </w:r>
      <w:r>
        <w:t xml:space="preserve"> (</w:t>
      </w:r>
      <w:r w:rsidR="001D304E">
        <w:t xml:space="preserve">la </w:t>
      </w:r>
      <w:r>
        <w:t xml:space="preserve">ley) supramundano detiene </w:t>
      </w:r>
      <w:r w:rsidR="00C90B9B">
        <w:t>e</w:t>
      </w:r>
      <w:r>
        <w:t xml:space="preserve">l </w:t>
      </w:r>
      <w:r w:rsidR="00C90B9B">
        <w:t>ciclo</w:t>
      </w:r>
      <w:r>
        <w:t xml:space="preserve"> temible [de</w:t>
      </w:r>
      <w:r w:rsidR="00C90B9B">
        <w:t>l</w:t>
      </w:r>
      <w:r>
        <w:t xml:space="preserve"> </w:t>
      </w:r>
      <w:proofErr w:type="spellStart"/>
      <w:r w:rsidR="00057BF4" w:rsidRPr="00057BF4">
        <w:rPr>
          <w:i/>
          <w:iCs/>
        </w:rPr>
        <w:t>kamma</w:t>
      </w:r>
      <w:proofErr w:type="spellEnd"/>
      <w:r>
        <w:t>, etc.,] tan pronto como se ve</w:t>
      </w:r>
      <w:r w:rsidR="00C90B9B">
        <w:t>a</w:t>
      </w:r>
      <w:r>
        <w:t xml:space="preserve"> por medio de la penetración que </w:t>
      </w:r>
      <w:proofErr w:type="gramStart"/>
      <w:r>
        <w:t>consist</w:t>
      </w:r>
      <w:r w:rsidR="00256F8A">
        <w:t>a</w:t>
      </w:r>
      <w:r>
        <w:t xml:space="preserve"> </w:t>
      </w:r>
      <w:r w:rsidR="00256F8A">
        <w:t>d</w:t>
      </w:r>
      <w:r>
        <w:t>el</w:t>
      </w:r>
      <w:proofErr w:type="gramEnd"/>
      <w:r>
        <w:t xml:space="preserve"> desarrollo del </w:t>
      </w:r>
      <w:r w:rsidR="00256F8A">
        <w:t>sendero</w:t>
      </w:r>
      <w:r>
        <w:t xml:space="preserve"> y por medio de la penetración que consist</w:t>
      </w:r>
      <w:r w:rsidR="00256F8A">
        <w:t>a</w:t>
      </w:r>
      <w:r>
        <w:t xml:space="preserve"> </w:t>
      </w:r>
      <w:r w:rsidR="00256F8A">
        <w:t xml:space="preserve">de la consumación </w:t>
      </w:r>
      <w:r>
        <w:t xml:space="preserve">del </w:t>
      </w:r>
      <w:r w:rsidRPr="009C1FCD">
        <w:rPr>
          <w:i/>
          <w:iCs/>
        </w:rPr>
        <w:t>Nibbān</w:t>
      </w:r>
      <w:r w:rsidR="00D47574">
        <w:rPr>
          <w:i/>
          <w:iCs/>
        </w:rPr>
        <w:t>a</w:t>
      </w:r>
      <w:r>
        <w:t>. De modo que es “visible aquí y ahora” (</w:t>
      </w:r>
      <w:proofErr w:type="spellStart"/>
      <w:r w:rsidRPr="009C1FCD">
        <w:rPr>
          <w:i/>
          <w:iCs/>
        </w:rPr>
        <w:t>san</w:t>
      </w:r>
      <w:r w:rsidR="00057BF4" w:rsidRPr="00057BF4">
        <w:rPr>
          <w:i/>
          <w:iCs/>
        </w:rPr>
        <w:t>diṭṭhi</w:t>
      </w:r>
      <w:r w:rsidRPr="009C1FCD">
        <w:rPr>
          <w:i/>
          <w:iCs/>
        </w:rPr>
        <w:t>ka</w:t>
      </w:r>
      <w:proofErr w:type="spellEnd"/>
      <w:r>
        <w:t>) ya que es digno de ser visto (</w:t>
      </w:r>
      <w:proofErr w:type="spellStart"/>
      <w:r w:rsidRPr="009C1FCD">
        <w:rPr>
          <w:i/>
          <w:iCs/>
        </w:rPr>
        <w:t>diṭṭha</w:t>
      </w:r>
      <w:proofErr w:type="spellEnd"/>
      <w:r>
        <w:t xml:space="preserve">), así como </w:t>
      </w:r>
      <w:r w:rsidR="00D47574">
        <w:t>alguien</w:t>
      </w:r>
      <w:r>
        <w:t xml:space="preserve"> que </w:t>
      </w:r>
      <w:r w:rsidR="002A0284">
        <w:t xml:space="preserve">se vista </w:t>
      </w:r>
      <w:r>
        <w:t>(</w:t>
      </w:r>
      <w:proofErr w:type="spellStart"/>
      <w:r w:rsidRPr="009C1FCD">
        <w:rPr>
          <w:i/>
          <w:iCs/>
        </w:rPr>
        <w:t>vattihika</w:t>
      </w:r>
      <w:proofErr w:type="spellEnd"/>
      <w:r>
        <w:t>)</w:t>
      </w:r>
      <w:r w:rsidRPr="009C1FCD">
        <w:rPr>
          <w:i/>
          <w:iCs/>
          <w:vertAlign w:val="superscript"/>
        </w:rPr>
        <w:t>33</w:t>
      </w:r>
      <w:r>
        <w:t xml:space="preserve"> es llamado así porque es digno de </w:t>
      </w:r>
      <w:r w:rsidR="002A0284">
        <w:t>ropas</w:t>
      </w:r>
      <w:r>
        <w:t xml:space="preserve"> (</w:t>
      </w:r>
      <w:proofErr w:type="spellStart"/>
      <w:r w:rsidRPr="009C1FCD">
        <w:rPr>
          <w:i/>
          <w:iCs/>
        </w:rPr>
        <w:t>vattha</w:t>
      </w:r>
      <w:proofErr w:type="spellEnd"/>
      <w:r>
        <w:t>).</w:t>
      </w:r>
    </w:p>
    <w:p w14:paraId="713A9F1C" w14:textId="4047387C" w:rsidR="00C6662B" w:rsidRDefault="00677AD3" w:rsidP="006B7078">
      <w:pPr>
        <w:pStyle w:val="Ttulo4"/>
        <w:ind w:left="708"/>
      </w:pPr>
      <w:r>
        <w:t xml:space="preserve">[No </w:t>
      </w:r>
      <w:r w:rsidR="002A0284">
        <w:t>Demora</w:t>
      </w:r>
      <w:r>
        <w:t>]</w:t>
      </w:r>
    </w:p>
    <w:p w14:paraId="70F6F838" w14:textId="536EAB9D" w:rsidR="00C6662B" w:rsidRDefault="00C6662B" w:rsidP="00C6662B">
      <w:r>
        <w:t xml:space="preserve">80. </w:t>
      </w:r>
      <w:r w:rsidR="00677AD3">
        <w:tab/>
      </w:r>
      <w:r>
        <w:t xml:space="preserve">No </w:t>
      </w:r>
      <w:r w:rsidR="00201521">
        <w:t>se</w:t>
      </w:r>
      <w:r>
        <w:t xml:space="preserve"> </w:t>
      </w:r>
      <w:r w:rsidRPr="00201521">
        <w:rPr>
          <w:i/>
          <w:iCs/>
        </w:rPr>
        <w:t>demora</w:t>
      </w:r>
      <w:r>
        <w:t xml:space="preserve"> (</w:t>
      </w:r>
      <w:proofErr w:type="spellStart"/>
      <w:r>
        <w:t>lit.</w:t>
      </w:r>
      <w:proofErr w:type="spellEnd"/>
      <w:r>
        <w:t xml:space="preserve"> “no </w:t>
      </w:r>
      <w:r w:rsidR="001D2FFC">
        <w:t xml:space="preserve">se </w:t>
      </w:r>
      <w:r>
        <w:t>tarda”—</w:t>
      </w:r>
      <w:proofErr w:type="spellStart"/>
      <w:r w:rsidRPr="009C1FCD">
        <w:rPr>
          <w:i/>
          <w:iCs/>
        </w:rPr>
        <w:t>kāla</w:t>
      </w:r>
      <w:proofErr w:type="spellEnd"/>
      <w:r>
        <w:t xml:space="preserve">) en </w:t>
      </w:r>
      <w:r w:rsidR="002A0284">
        <w:t>términos</w:t>
      </w:r>
      <w:r>
        <w:t xml:space="preserve"> de </w:t>
      </w:r>
      <w:r w:rsidR="002A0284">
        <w:t xml:space="preserve">proporcionar </w:t>
      </w:r>
      <w:r>
        <w:t xml:space="preserve">su propio fruto, por lo tanto </w:t>
      </w:r>
      <w:r w:rsidR="006B7078">
        <w:t>“no</w:t>
      </w:r>
      <w:r>
        <w:t xml:space="preserve"> </w:t>
      </w:r>
      <w:r w:rsidR="006B7078">
        <w:t xml:space="preserve">posee </w:t>
      </w:r>
      <w:r>
        <w:t>demora” (</w:t>
      </w:r>
      <w:proofErr w:type="spellStart"/>
      <w:r w:rsidRPr="009C1FCD">
        <w:rPr>
          <w:i/>
          <w:iCs/>
        </w:rPr>
        <w:t>akāla</w:t>
      </w:r>
      <w:proofErr w:type="spellEnd"/>
      <w:r>
        <w:t>). “</w:t>
      </w:r>
      <w:r w:rsidR="00F01D14">
        <w:t>No posee</w:t>
      </w:r>
      <w:r>
        <w:t xml:space="preserve"> demora” </w:t>
      </w:r>
      <w:r w:rsidR="001D2FFC">
        <w:t>será</w:t>
      </w:r>
      <w:r>
        <w:t xml:space="preserve"> lo mismo que “</w:t>
      </w:r>
      <w:r w:rsidR="003438A1">
        <w:t>no</w:t>
      </w:r>
      <w:r>
        <w:t xml:space="preserve"> demora” (</w:t>
      </w:r>
      <w:proofErr w:type="spellStart"/>
      <w:r w:rsidRPr="0055481C">
        <w:rPr>
          <w:i/>
          <w:iCs/>
        </w:rPr>
        <w:t>akālika</w:t>
      </w:r>
      <w:proofErr w:type="spellEnd"/>
      <w:r>
        <w:t xml:space="preserve">). Lo que </w:t>
      </w:r>
      <w:r w:rsidR="00F01D14">
        <w:t xml:space="preserve">se </w:t>
      </w:r>
      <w:r>
        <w:t xml:space="preserve">quiere decir es que en lugar de dar su fruto después de </w:t>
      </w:r>
      <w:r w:rsidR="001177F2">
        <w:t xml:space="preserve">transcurrir </w:t>
      </w:r>
      <w:r>
        <w:t xml:space="preserve">un </w:t>
      </w:r>
      <w:r w:rsidR="00F01D14">
        <w:t>lapso de tiempo</w:t>
      </w:r>
      <w:r>
        <w:t xml:space="preserve"> (</w:t>
      </w:r>
      <w:r w:rsidR="00F01D14">
        <w:t xml:space="preserve">el término </w:t>
      </w:r>
      <w:r w:rsidR="00403037">
        <w:t xml:space="preserve">de </w:t>
      </w:r>
      <w:proofErr w:type="gramStart"/>
      <w:r w:rsidR="00403037">
        <w:t>una plazo</w:t>
      </w:r>
      <w:proofErr w:type="gramEnd"/>
      <w:r w:rsidR="00403037">
        <w:t xml:space="preserve"> d</w:t>
      </w:r>
      <w:r>
        <w:t>e tiempo), digamos, cinco días, siete días, da su fruto inmediatamente después de su propia ocurrencia (ver Sn 226).</w:t>
      </w:r>
    </w:p>
    <w:p w14:paraId="4D9D70B5" w14:textId="5774DEA6" w:rsidR="00C6662B" w:rsidRDefault="00C6662B" w:rsidP="00C6662B">
      <w:r>
        <w:t xml:space="preserve">81. </w:t>
      </w:r>
      <w:r w:rsidR="00677AD3">
        <w:tab/>
      </w:r>
      <w:r>
        <w:t>O, alternativamente, lo que se retras</w:t>
      </w:r>
      <w:r w:rsidR="00403037">
        <w:t>e</w:t>
      </w:r>
      <w:r>
        <w:t xml:space="preserve"> (</w:t>
      </w:r>
      <w:proofErr w:type="spellStart"/>
      <w:r w:rsidRPr="0055481C">
        <w:rPr>
          <w:i/>
          <w:iCs/>
        </w:rPr>
        <w:t>kālika</w:t>
      </w:r>
      <w:proofErr w:type="spellEnd"/>
      <w:r>
        <w:t>—</w:t>
      </w:r>
      <w:proofErr w:type="spellStart"/>
      <w:r>
        <w:t>lit.</w:t>
      </w:r>
      <w:proofErr w:type="spellEnd"/>
      <w:r>
        <w:t xml:space="preserve"> “lo que tom</w:t>
      </w:r>
      <w:r w:rsidR="00403037">
        <w:t>e</w:t>
      </w:r>
      <w:r>
        <w:t xml:space="preserve"> tiempo”) es lo que </w:t>
      </w:r>
      <w:r w:rsidR="00403037">
        <w:t xml:space="preserve">requerirá </w:t>
      </w:r>
      <w:r>
        <w:t>un tiempo distante</w:t>
      </w:r>
      <w:r w:rsidRPr="002272D9">
        <w:rPr>
          <w:vertAlign w:val="superscript"/>
        </w:rPr>
        <w:t>34</w:t>
      </w:r>
      <w:r>
        <w:t xml:space="preserve"> para </w:t>
      </w:r>
      <w:r w:rsidR="002166E0">
        <w:t xml:space="preserve">que ello </w:t>
      </w:r>
      <w:r>
        <w:t>se</w:t>
      </w:r>
      <w:r w:rsidR="002166E0">
        <w:t>a</w:t>
      </w:r>
      <w:r>
        <w:t xml:space="preserve"> alcanzado antes de que pueda dar su fruto. ¿Qué es e</w:t>
      </w:r>
      <w:r w:rsidR="002166E0">
        <w:t>ll</w:t>
      </w:r>
      <w:r>
        <w:t>o? Es la ley mundana de la ganancia [</w:t>
      </w:r>
      <w:proofErr w:type="spellStart"/>
      <w:r w:rsidR="00057BF4" w:rsidRPr="00057BF4">
        <w:rPr>
          <w:i/>
          <w:iCs/>
        </w:rPr>
        <w:t>kamma</w:t>
      </w:r>
      <w:proofErr w:type="spellEnd"/>
      <w:r>
        <w:t>]. Esto, sin embargo, no demora (</w:t>
      </w:r>
      <w:proofErr w:type="spellStart"/>
      <w:r w:rsidRPr="0055481C">
        <w:rPr>
          <w:i/>
          <w:iCs/>
        </w:rPr>
        <w:t>na</w:t>
      </w:r>
      <w:proofErr w:type="spellEnd"/>
      <w:r w:rsidRPr="0055481C">
        <w:rPr>
          <w:i/>
          <w:iCs/>
        </w:rPr>
        <w:t xml:space="preserve"> </w:t>
      </w:r>
      <w:proofErr w:type="spellStart"/>
      <w:r w:rsidRPr="0055481C">
        <w:rPr>
          <w:i/>
          <w:iCs/>
        </w:rPr>
        <w:t>kālika</w:t>
      </w:r>
      <w:proofErr w:type="spellEnd"/>
      <w:r>
        <w:t xml:space="preserve">) porque su fruto </w:t>
      </w:r>
      <w:r w:rsidR="00B872B3">
        <w:t xml:space="preserve">se da </w:t>
      </w:r>
      <w:r>
        <w:t xml:space="preserve">inmediatamente </w:t>
      </w:r>
      <w:r w:rsidR="00356F92">
        <w:t>junto a él</w:t>
      </w:r>
      <w:r>
        <w:t>, por lo que “no demora” (</w:t>
      </w:r>
      <w:proofErr w:type="spellStart"/>
      <w:r w:rsidRPr="0055481C">
        <w:rPr>
          <w:i/>
          <w:iCs/>
        </w:rPr>
        <w:t>akālika</w:t>
      </w:r>
      <w:proofErr w:type="spellEnd"/>
      <w:r>
        <w:t>).</w:t>
      </w:r>
    </w:p>
    <w:p w14:paraId="2BF9AD0B" w14:textId="3BF6F3E2" w:rsidR="00C6662B" w:rsidRDefault="00C6662B" w:rsidP="00B72F2E">
      <w:pPr>
        <w:pStyle w:val="NormalConSangria"/>
      </w:pPr>
      <w:r>
        <w:t xml:space="preserve">Esto se dice con referencia al </w:t>
      </w:r>
      <w:r w:rsidR="00356F92">
        <w:t>sendero</w:t>
      </w:r>
      <w:r>
        <w:t>.</w:t>
      </w:r>
    </w:p>
    <w:p w14:paraId="247037F2" w14:textId="5FE5FFE1" w:rsidR="00C6662B" w:rsidRDefault="00677AD3" w:rsidP="00356F92">
      <w:pPr>
        <w:pStyle w:val="Ttulo4"/>
        <w:ind w:left="708"/>
      </w:pPr>
      <w:r>
        <w:t xml:space="preserve">[Invita </w:t>
      </w:r>
      <w:r w:rsidR="00356F92">
        <w:t>a la</w:t>
      </w:r>
      <w:r>
        <w:t xml:space="preserve"> Inspección]</w:t>
      </w:r>
    </w:p>
    <w:p w14:paraId="001EF431" w14:textId="34E060D0" w:rsidR="00C6662B" w:rsidRDefault="00C6662B" w:rsidP="00C6662B">
      <w:r>
        <w:t xml:space="preserve">82. </w:t>
      </w:r>
      <w:r w:rsidR="00677AD3">
        <w:tab/>
      </w:r>
      <w:r>
        <w:t xml:space="preserve">Es digno de invitación a </w:t>
      </w:r>
      <w:r w:rsidR="00543D8C">
        <w:t xml:space="preserve">la </w:t>
      </w:r>
      <w:r>
        <w:t>inspecci</w:t>
      </w:r>
      <w:r w:rsidR="00543D8C">
        <w:t>ó</w:t>
      </w:r>
      <w:r>
        <w:t>n (</w:t>
      </w:r>
      <w:proofErr w:type="spellStart"/>
      <w:r w:rsidRPr="0055481C">
        <w:rPr>
          <w:i/>
          <w:iCs/>
        </w:rPr>
        <w:t>ehipassa-vidhi</w:t>
      </w:r>
      <w:proofErr w:type="spellEnd"/>
      <w:r>
        <w:t xml:space="preserve">) </w:t>
      </w:r>
      <w:r w:rsidR="00543D8C">
        <w:t xml:space="preserve">expresado </w:t>
      </w:r>
      <w:r>
        <w:t>así: “Ven</w:t>
      </w:r>
      <w:r w:rsidR="00CF02A5">
        <w:t>id</w:t>
      </w:r>
      <w:r>
        <w:t xml:space="preserve"> y </w:t>
      </w:r>
      <w:r w:rsidR="00CF02A5">
        <w:t>apreciad</w:t>
      </w:r>
      <w:r>
        <w:t xml:space="preserve"> este </w:t>
      </w:r>
      <w:r w:rsidR="00057BF4" w:rsidRPr="00057BF4">
        <w:rPr>
          <w:i/>
          <w:iCs/>
        </w:rPr>
        <w:t>Dhamma</w:t>
      </w:r>
      <w:r>
        <w:t>” (</w:t>
      </w:r>
      <w:proofErr w:type="spellStart"/>
      <w:r>
        <w:t>e</w:t>
      </w:r>
      <w:r w:rsidRPr="0055481C">
        <w:rPr>
          <w:i/>
          <w:iCs/>
        </w:rPr>
        <w:t>hi</w:t>
      </w:r>
      <w:proofErr w:type="spellEnd"/>
      <w:r w:rsidRPr="0055481C">
        <w:rPr>
          <w:i/>
          <w:iCs/>
        </w:rPr>
        <w:t xml:space="preserve"> </w:t>
      </w:r>
      <w:proofErr w:type="spellStart"/>
      <w:r w:rsidRPr="0055481C">
        <w:rPr>
          <w:i/>
          <w:iCs/>
        </w:rPr>
        <w:t>passa</w:t>
      </w:r>
      <w:proofErr w:type="spellEnd"/>
      <w:r w:rsidRPr="0055481C">
        <w:rPr>
          <w:i/>
          <w:iCs/>
        </w:rPr>
        <w:t xml:space="preserve"> </w:t>
      </w:r>
      <w:proofErr w:type="spellStart"/>
      <w:r w:rsidRPr="0055481C">
        <w:rPr>
          <w:i/>
          <w:iCs/>
        </w:rPr>
        <w:t>imaṃ</w:t>
      </w:r>
      <w:proofErr w:type="spellEnd"/>
      <w:r w:rsidRPr="0055481C">
        <w:rPr>
          <w:i/>
          <w:iCs/>
        </w:rPr>
        <w:t xml:space="preserve"> </w:t>
      </w:r>
      <w:proofErr w:type="spellStart"/>
      <w:r w:rsidR="00543D8C" w:rsidRPr="00057BF4">
        <w:rPr>
          <w:i/>
          <w:iCs/>
        </w:rPr>
        <w:t>dhamma</w:t>
      </w:r>
      <w:r w:rsidR="00543D8C" w:rsidRPr="0055481C">
        <w:rPr>
          <w:i/>
          <w:iCs/>
        </w:rPr>
        <w:t>ṃ</w:t>
      </w:r>
      <w:proofErr w:type="spellEnd"/>
      <w:r>
        <w:t xml:space="preserve">), por lo que “invita a </w:t>
      </w:r>
      <w:r w:rsidR="00543D8C">
        <w:t xml:space="preserve">la </w:t>
      </w:r>
      <w:r>
        <w:t>inspecci</w:t>
      </w:r>
      <w:r w:rsidR="00543D8C">
        <w:t>ó</w:t>
      </w:r>
      <w:r>
        <w:t>n” (</w:t>
      </w:r>
      <w:proofErr w:type="spellStart"/>
      <w:r w:rsidRPr="0055481C">
        <w:rPr>
          <w:i/>
          <w:iCs/>
        </w:rPr>
        <w:t>ehipassika</w:t>
      </w:r>
      <w:proofErr w:type="spellEnd"/>
      <w:r>
        <w:t xml:space="preserve">). </w:t>
      </w:r>
      <w:r w:rsidR="00543D8C">
        <w:t>Pero</w:t>
      </w:r>
      <w:r>
        <w:t xml:space="preserve"> ¿por qué es digno de esta invitación? Porque </w:t>
      </w:r>
      <w:r w:rsidR="00484175">
        <w:t xml:space="preserve">es </w:t>
      </w:r>
      <w:proofErr w:type="spellStart"/>
      <w:r w:rsidR="00484175">
        <w:t>encontrable</w:t>
      </w:r>
      <w:proofErr w:type="spellEnd"/>
      <w:r>
        <w:t xml:space="preserve"> y por su pureza. Porque si un hombre ha dicho que hay dinero u oro en </w:t>
      </w:r>
      <w:r w:rsidR="00484175">
        <w:t xml:space="preserve">un </w:t>
      </w:r>
      <w:r>
        <w:t xml:space="preserve">puño vacío, no </w:t>
      </w:r>
      <w:r w:rsidR="00484175">
        <w:t xml:space="preserve">podrá </w:t>
      </w:r>
      <w:r>
        <w:t>decir: “Ven</w:t>
      </w:r>
      <w:r w:rsidR="00356015">
        <w:t>ga</w:t>
      </w:r>
      <w:r>
        <w:t xml:space="preserve"> y </w:t>
      </w:r>
      <w:r w:rsidR="00484175">
        <w:t>verifí</w:t>
      </w:r>
      <w:r w:rsidR="00356015">
        <w:t>que</w:t>
      </w:r>
      <w:r w:rsidR="00484175">
        <w:t>lo</w:t>
      </w:r>
      <w:r>
        <w:t>”. ¿</w:t>
      </w:r>
      <w:proofErr w:type="spellStart"/>
      <w:r>
        <w:t>Por que</w:t>
      </w:r>
      <w:proofErr w:type="spellEnd"/>
      <w:r>
        <w:t xml:space="preserve"> no? Porque no se encuentra</w:t>
      </w:r>
      <w:r w:rsidR="006F0BA6">
        <w:t xml:space="preserve"> nada en tal puño</w:t>
      </w:r>
      <w:r>
        <w:t xml:space="preserve">. </w:t>
      </w:r>
      <w:r w:rsidR="00215218">
        <w:t xml:space="preserve">Por </w:t>
      </w:r>
      <w:r>
        <w:t>otro lado, aunque bien se pued</w:t>
      </w:r>
      <w:r w:rsidR="006F0BA6">
        <w:t xml:space="preserve">a </w:t>
      </w:r>
      <w:r>
        <w:t xml:space="preserve">encontrar estiércol u orina, un hombre no </w:t>
      </w:r>
      <w:r w:rsidR="00DA6154">
        <w:t>podrá</w:t>
      </w:r>
      <w:r>
        <w:t>, con el propósito de alegrar la mente exhibi</w:t>
      </w:r>
      <w:r w:rsidR="00215218">
        <w:t>r</w:t>
      </w:r>
      <w:r>
        <w:t xml:space="preserve"> belleza </w:t>
      </w:r>
      <w:r w:rsidR="00215218">
        <w:t xml:space="preserve">y </w:t>
      </w:r>
      <w:r>
        <w:t>decir: “Ven</w:t>
      </w:r>
      <w:r w:rsidR="00302841">
        <w:t>ga</w:t>
      </w:r>
      <w:r>
        <w:t xml:space="preserve"> y </w:t>
      </w:r>
      <w:r w:rsidR="00DA6154">
        <w:t>verif</w:t>
      </w:r>
      <w:r w:rsidR="00302841">
        <w:t>íquelo</w:t>
      </w:r>
      <w:r>
        <w:t>”; por el contrario, debe</w:t>
      </w:r>
      <w:r w:rsidR="00DA6154">
        <w:t>rá</w:t>
      </w:r>
      <w:r>
        <w:t xml:space="preserve"> cubrirse </w:t>
      </w:r>
      <w:r w:rsidR="00302841">
        <w:t xml:space="preserve">de </w:t>
      </w:r>
      <w:r>
        <w:t>hierba</w:t>
      </w:r>
      <w:r w:rsidR="00215218">
        <w:t>s</w:t>
      </w:r>
      <w:r>
        <w:t xml:space="preserve"> y hojas. ¿Por qué? Por su </w:t>
      </w:r>
    </w:p>
    <w:p w14:paraId="545EA961" w14:textId="77777777" w:rsidR="00C6662B" w:rsidRDefault="00C6662B" w:rsidP="00C6662B">
      <w:pPr>
        <w:pStyle w:val="Piedepgina"/>
        <w:rPr>
          <w:u w:val="single"/>
        </w:rPr>
      </w:pPr>
      <w:r>
        <w:rPr>
          <w:u w:val="single"/>
        </w:rPr>
        <w:t xml:space="preserve">                                                                                                                                                                          .</w:t>
      </w:r>
    </w:p>
    <w:p w14:paraId="6A4A9EC4" w14:textId="24776B15" w:rsidR="00C6662B" w:rsidRDefault="00C6662B" w:rsidP="00C6662B">
      <w:pPr>
        <w:pStyle w:val="PiedepginaLegal"/>
      </w:pPr>
      <w:r>
        <w:t xml:space="preserve">33. </w:t>
      </w:r>
      <w:r w:rsidR="00677AD3">
        <w:tab/>
      </w:r>
      <w:proofErr w:type="spellStart"/>
      <w:r w:rsidRPr="0055481C">
        <w:rPr>
          <w:i/>
          <w:iCs/>
        </w:rPr>
        <w:t>Vatthika</w:t>
      </w:r>
      <w:proofErr w:type="spellEnd"/>
      <w:r>
        <w:t>—“vestible”; no en</w:t>
      </w:r>
      <w:r w:rsidR="00A16095">
        <w:t>contrado en el</w:t>
      </w:r>
      <w:r>
        <w:t xml:space="preserve"> PED.</w:t>
      </w:r>
    </w:p>
    <w:p w14:paraId="4BB9AACE" w14:textId="2B1E78D7" w:rsidR="00C6662B" w:rsidRDefault="00C6662B" w:rsidP="00C6662B">
      <w:pPr>
        <w:pStyle w:val="PiedepginaLegal"/>
      </w:pPr>
      <w:r>
        <w:t>34.</w:t>
      </w:r>
      <w:r w:rsidR="00677AD3">
        <w:tab/>
      </w:r>
      <w:proofErr w:type="spellStart"/>
      <w:r w:rsidRPr="0055481C">
        <w:rPr>
          <w:i/>
          <w:iCs/>
        </w:rPr>
        <w:t>Pakaṭṭha</w:t>
      </w:r>
      <w:proofErr w:type="spellEnd"/>
      <w:r>
        <w:t xml:space="preserve">— “distante”; </w:t>
      </w:r>
      <w:r w:rsidR="00A16095">
        <w:t xml:space="preserve">no encontrado en el </w:t>
      </w:r>
      <w:r>
        <w:t xml:space="preserve">PED (= </w:t>
      </w:r>
      <w:r w:rsidRPr="00040CDE">
        <w:rPr>
          <w:i/>
          <w:iCs/>
        </w:rPr>
        <w:t>dura</w:t>
      </w:r>
      <w:r>
        <w:t>—</w:t>
      </w:r>
      <w:proofErr w:type="spellStart"/>
      <w:r>
        <w:t>Vism-mhṭ</w:t>
      </w:r>
      <w:proofErr w:type="spellEnd"/>
      <w:r>
        <w:t xml:space="preserve"> 297).</w:t>
      </w:r>
    </w:p>
    <w:p w14:paraId="1D64E6F8" w14:textId="1951F8E4" w:rsidR="00C6662B" w:rsidRDefault="00C6662B" w:rsidP="00C6662B">
      <w:pPr>
        <w:pStyle w:val="PiedepginaLegal"/>
      </w:pPr>
      <w:r>
        <w:t xml:space="preserve">35. </w:t>
      </w:r>
      <w:r w:rsidR="00677AD3">
        <w:tab/>
      </w:r>
      <w:r>
        <w:t xml:space="preserve">Este pasaje solo se puede traducir de manera vaga porque la exégesis aquí se basa casi por completo en la sustitución de una forma gramatical </w:t>
      </w:r>
      <w:r w:rsidR="00AD6B1D" w:rsidRPr="00AD6B1D">
        <w:rPr>
          <w:i/>
        </w:rPr>
        <w:t>Pāḷi</w:t>
      </w:r>
      <w:r>
        <w:t xml:space="preserve"> por otra (</w:t>
      </w:r>
      <w:proofErr w:type="spellStart"/>
      <w:r w:rsidRPr="0055481C">
        <w:rPr>
          <w:i/>
          <w:iCs/>
        </w:rPr>
        <w:t>padasiddhi</w:t>
      </w:r>
      <w:proofErr w:type="spellEnd"/>
      <w:r>
        <w:t xml:space="preserve">). La lectura </w:t>
      </w:r>
      <w:proofErr w:type="spellStart"/>
      <w:r w:rsidRPr="0055481C">
        <w:rPr>
          <w:i/>
          <w:iCs/>
        </w:rPr>
        <w:t>opaneyyiko</w:t>
      </w:r>
      <w:proofErr w:type="spellEnd"/>
      <w:r>
        <w:t xml:space="preserve"> (por </w:t>
      </w:r>
      <w:proofErr w:type="spellStart"/>
      <w:r w:rsidRPr="0055481C">
        <w:rPr>
          <w:i/>
          <w:iCs/>
        </w:rPr>
        <w:t>opanayiko</w:t>
      </w:r>
      <w:proofErr w:type="spellEnd"/>
      <w:r>
        <w:t>) no aparece en ningún texto cingalés (generalmente el más fiable); en consecuencia, la oración “</w:t>
      </w:r>
      <w:proofErr w:type="spellStart"/>
      <w:r w:rsidRPr="0055481C">
        <w:rPr>
          <w:i/>
          <w:iCs/>
        </w:rPr>
        <w:t>opanayiko</w:t>
      </w:r>
      <w:proofErr w:type="spellEnd"/>
      <w:r w:rsidRPr="0055481C">
        <w:rPr>
          <w:i/>
          <w:iCs/>
        </w:rPr>
        <w:t xml:space="preserve"> va </w:t>
      </w:r>
      <w:proofErr w:type="spellStart"/>
      <w:r w:rsidRPr="0055481C">
        <w:rPr>
          <w:i/>
          <w:iCs/>
        </w:rPr>
        <w:t>opaneyyiko</w:t>
      </w:r>
      <w:proofErr w:type="spellEnd"/>
      <w:r>
        <w:t>” (ver texto de Harvard) está ausente en ellos, siendo superflua. Se incorporan las explicaciones de</w:t>
      </w:r>
      <w:r w:rsidR="00840B1A">
        <w:t>l</w:t>
      </w:r>
      <w:r>
        <w:t xml:space="preserve"> </w:t>
      </w:r>
      <w:proofErr w:type="spellStart"/>
      <w:r>
        <w:t>Vism-mhṭ</w:t>
      </w:r>
      <w:proofErr w:type="spellEnd"/>
      <w:r>
        <w:t>. Este párrafo depende de</w:t>
      </w:r>
      <w:r w:rsidR="00D63D91">
        <w:t xml:space="preserve"> un</w:t>
      </w:r>
      <w:r>
        <w:t xml:space="preserve"> doble sentido de </w:t>
      </w:r>
      <w:proofErr w:type="spellStart"/>
      <w:r w:rsidRPr="0055481C">
        <w:rPr>
          <w:i/>
          <w:iCs/>
        </w:rPr>
        <w:t>upaneti</w:t>
      </w:r>
      <w:proofErr w:type="spellEnd"/>
      <w:r>
        <w:t xml:space="preserve"> (</w:t>
      </w:r>
      <w:r w:rsidRPr="00840B1A">
        <w:rPr>
          <w:i/>
          <w:iCs/>
        </w:rPr>
        <w:t>upa</w:t>
      </w:r>
      <w:r>
        <w:t xml:space="preserve"> + </w:t>
      </w:r>
      <w:proofErr w:type="spellStart"/>
      <w:r w:rsidRPr="00840B1A">
        <w:rPr>
          <w:i/>
          <w:iCs/>
        </w:rPr>
        <w:t>neti</w:t>
      </w:r>
      <w:proofErr w:type="spellEnd"/>
      <w:r>
        <w:t>, conducir o inducir) y sus derivados como (i) un incentivo atractivo y (</w:t>
      </w:r>
      <w:proofErr w:type="spellStart"/>
      <w:r>
        <w:t>ii</w:t>
      </w:r>
      <w:proofErr w:type="spellEnd"/>
      <w:r>
        <w:t xml:space="preserve">) una guía confiable, por lo que la palabra inducir se </w:t>
      </w:r>
      <w:r w:rsidR="0007695C">
        <w:t>extiende</w:t>
      </w:r>
      <w:r>
        <w:t xml:space="preserve"> un poco</w:t>
      </w:r>
      <w:r w:rsidR="00840B1A">
        <w:t xml:space="preserve"> </w:t>
      </w:r>
      <w:r>
        <w:t xml:space="preserve">y se acuña </w:t>
      </w:r>
      <w:r w:rsidRPr="00840B1A">
        <w:rPr>
          <w:i/>
          <w:iCs/>
        </w:rPr>
        <w:t>inductivo</w:t>
      </w:r>
      <w:r>
        <w:t xml:space="preserve"> en analogía </w:t>
      </w:r>
      <w:r w:rsidR="001A11F4">
        <w:t>con</w:t>
      </w:r>
      <w:r>
        <w:t xml:space="preserve"> conducente. </w:t>
      </w:r>
      <w:proofErr w:type="spellStart"/>
      <w:r w:rsidRPr="0055481C">
        <w:rPr>
          <w:i/>
          <w:iCs/>
        </w:rPr>
        <w:t>Upanaya</w:t>
      </w:r>
      <w:proofErr w:type="spellEnd"/>
      <w:r>
        <w:t xml:space="preserve"> (inducción) no está en </w:t>
      </w:r>
      <w:r w:rsidR="00840B1A">
        <w:t xml:space="preserve">el </w:t>
      </w:r>
      <w:r>
        <w:t xml:space="preserve">PED, ni </w:t>
      </w:r>
      <w:proofErr w:type="spellStart"/>
      <w:r w:rsidRPr="0055481C">
        <w:rPr>
          <w:i/>
          <w:iCs/>
        </w:rPr>
        <w:t>upanayana</w:t>
      </w:r>
      <w:proofErr w:type="spellEnd"/>
      <w:r>
        <w:t xml:space="preserve"> (inducir) en este sentido (ver también XIV.68). </w:t>
      </w:r>
      <w:proofErr w:type="spellStart"/>
      <w:r w:rsidRPr="0055481C">
        <w:rPr>
          <w:i/>
          <w:iCs/>
        </w:rPr>
        <w:t>Upanayana</w:t>
      </w:r>
      <w:proofErr w:type="spellEnd"/>
      <w:r>
        <w:t xml:space="preserve"> significa en lógica “aplicación”, “subsunción”; y también </w:t>
      </w:r>
      <w:proofErr w:type="spellStart"/>
      <w:r w:rsidRPr="0055481C">
        <w:rPr>
          <w:i/>
          <w:iCs/>
        </w:rPr>
        <w:t>upanetabba</w:t>
      </w:r>
      <w:proofErr w:type="spellEnd"/>
      <w:r>
        <w:t xml:space="preserve"> significa “</w:t>
      </w:r>
      <w:r w:rsidR="009A759A">
        <w:t xml:space="preserve">a </w:t>
      </w:r>
      <w:r>
        <w:t xml:space="preserve">ser agregado”; véase el final de §72. Para </w:t>
      </w:r>
      <w:proofErr w:type="spellStart"/>
      <w:r w:rsidRPr="00B55B2F">
        <w:rPr>
          <w:i/>
          <w:iCs/>
        </w:rPr>
        <w:t>allìyana</w:t>
      </w:r>
      <w:proofErr w:type="spellEnd"/>
      <w:r>
        <w:t xml:space="preserve"> (“tratar</w:t>
      </w:r>
      <w:r w:rsidR="00B55B2F">
        <w:t>lo</w:t>
      </w:r>
      <w:r>
        <w:t xml:space="preserve"> como refugio de uno”), véanse las referencias en el Glosario.</w:t>
      </w:r>
    </w:p>
    <w:p w14:paraId="74742E28" w14:textId="772D07D0" w:rsidR="00F30178" w:rsidRDefault="00F30178">
      <w:pPr>
        <w:tabs>
          <w:tab w:val="clear" w:pos="425"/>
        </w:tabs>
        <w:spacing w:after="160"/>
      </w:pPr>
      <w:r>
        <w:br w:type="page"/>
      </w:r>
    </w:p>
    <w:p w14:paraId="09FC40A6" w14:textId="41FF98EF" w:rsidR="00F30178" w:rsidRDefault="00302841" w:rsidP="00F30178">
      <w:r>
        <w:lastRenderedPageBreak/>
        <w:t xml:space="preserve">impureza. </w:t>
      </w:r>
      <w:r w:rsidR="00F30178">
        <w:t xml:space="preserve">Pero este </w:t>
      </w:r>
      <w:r w:rsidR="00057BF4" w:rsidRPr="00057BF4">
        <w:rPr>
          <w:i/>
          <w:iCs/>
        </w:rPr>
        <w:t>Dhamma</w:t>
      </w:r>
      <w:r w:rsidR="00F30178">
        <w:t xml:space="preserve"> supramundano de nueve aspectos se encuentra realmente como tal en su esencia individual, y es tan puro como el disco de la </w:t>
      </w:r>
      <w:r w:rsidR="00215218">
        <w:t xml:space="preserve">Luna </w:t>
      </w:r>
      <w:r w:rsidR="00F30178">
        <w:t>llena en un cielo sin nubes, como una gema de agua pura sobre una tela blanqueada. [217] En consecuencia, es digno de invita</w:t>
      </w:r>
      <w:r w:rsidR="00D376D4">
        <w:t>r</w:t>
      </w:r>
      <w:r w:rsidR="00F30178">
        <w:t xml:space="preserve"> a </w:t>
      </w:r>
      <w:r w:rsidR="00D376D4">
        <w:t xml:space="preserve">la </w:t>
      </w:r>
      <w:r w:rsidR="00F30178">
        <w:t>inspecci</w:t>
      </w:r>
      <w:r w:rsidR="00D376D4">
        <w:t>ó</w:t>
      </w:r>
      <w:r w:rsidR="00F30178">
        <w:t xml:space="preserve">n ya que </w:t>
      </w:r>
      <w:r w:rsidR="00BA09C5">
        <w:t xml:space="preserve">es susceptible de </w:t>
      </w:r>
      <w:r w:rsidR="00F30178">
        <w:t>enc</w:t>
      </w:r>
      <w:r w:rsidR="00BA09C5">
        <w:t>o</w:t>
      </w:r>
      <w:r w:rsidR="00F30178">
        <w:t>ntra</w:t>
      </w:r>
      <w:r w:rsidR="00BA09C5">
        <w:t>rse</w:t>
      </w:r>
      <w:r w:rsidR="00F30178">
        <w:t xml:space="preserve"> y </w:t>
      </w:r>
      <w:r w:rsidR="00EB46BA">
        <w:t>ser</w:t>
      </w:r>
      <w:r w:rsidR="00F30178">
        <w:t xml:space="preserve"> puro, por lo que “invita a </w:t>
      </w:r>
      <w:r w:rsidR="00BA09C5">
        <w:t xml:space="preserve">la </w:t>
      </w:r>
      <w:r w:rsidR="00F30178">
        <w:t>inspecci</w:t>
      </w:r>
      <w:r w:rsidR="00BA09C5">
        <w:t>ó</w:t>
      </w:r>
      <w:r w:rsidR="00F30178">
        <w:t>n”.</w:t>
      </w:r>
    </w:p>
    <w:p w14:paraId="00B1211F" w14:textId="77777777" w:rsidR="00532EDB" w:rsidRDefault="00532EDB" w:rsidP="00F30178"/>
    <w:p w14:paraId="2D48DFFF" w14:textId="59014A3F" w:rsidR="00F30178" w:rsidRDefault="00641BC7" w:rsidP="00BA09C5">
      <w:pPr>
        <w:pStyle w:val="Ttulo4"/>
        <w:ind w:left="708"/>
      </w:pPr>
      <w:r>
        <w:t>[Conduc</w:t>
      </w:r>
      <w:r w:rsidR="00BA09C5">
        <w:t>ente</w:t>
      </w:r>
      <w:r>
        <w:t xml:space="preserve"> Hacia </w:t>
      </w:r>
      <w:r w:rsidR="00EB46BA">
        <w:t>la Meta</w:t>
      </w:r>
      <w:r>
        <w:t>]</w:t>
      </w:r>
    </w:p>
    <w:p w14:paraId="5FC5FC3F" w14:textId="32B8B395" w:rsidR="00F30178" w:rsidRDefault="00F30178" w:rsidP="00F30178">
      <w:r>
        <w:t xml:space="preserve">83. </w:t>
      </w:r>
      <w:r w:rsidR="00641BC7">
        <w:tab/>
      </w:r>
      <w:r>
        <w:t xml:space="preserve">La palabra </w:t>
      </w:r>
      <w:proofErr w:type="spellStart"/>
      <w:r w:rsidRPr="0055481C">
        <w:rPr>
          <w:i/>
          <w:iCs/>
        </w:rPr>
        <w:t>opanayika</w:t>
      </w:r>
      <w:proofErr w:type="spellEnd"/>
      <w:r>
        <w:t xml:space="preserve"> (“conducir hacia </w:t>
      </w:r>
      <w:r w:rsidR="00EB46BA">
        <w:t>la meta</w:t>
      </w:r>
      <w:r>
        <w:t xml:space="preserve">”) es [equivalente al gerundio] </w:t>
      </w:r>
      <w:proofErr w:type="spellStart"/>
      <w:r w:rsidRPr="0055481C">
        <w:rPr>
          <w:i/>
          <w:iCs/>
        </w:rPr>
        <w:t>upanetabba</w:t>
      </w:r>
      <w:proofErr w:type="spellEnd"/>
      <w:r>
        <w:t xml:space="preserve"> (“debería—</w:t>
      </w:r>
      <w:r w:rsidR="00076EAA">
        <w:t>poder</w:t>
      </w:r>
      <w:r>
        <w:t xml:space="preserve">—ser </w:t>
      </w:r>
      <w:r w:rsidR="00EB46BA">
        <w:t>i</w:t>
      </w:r>
      <w:r>
        <w:t xml:space="preserve">nducido”). Aquí hay una exposición. </w:t>
      </w:r>
      <w:r w:rsidR="00201C3F">
        <w:t xml:space="preserve">Inducir </w:t>
      </w:r>
      <w:r>
        <w:t>(</w:t>
      </w:r>
      <w:proofErr w:type="spellStart"/>
      <w:r w:rsidRPr="0055481C">
        <w:rPr>
          <w:i/>
          <w:iCs/>
        </w:rPr>
        <w:t>upanayana</w:t>
      </w:r>
      <w:proofErr w:type="spellEnd"/>
      <w:r>
        <w:t xml:space="preserve">) </w:t>
      </w:r>
      <w:proofErr w:type="gramStart"/>
      <w:r w:rsidR="00F85B2A">
        <w:t>consiste de</w:t>
      </w:r>
      <w:proofErr w:type="gramEnd"/>
      <w:r>
        <w:t xml:space="preserve"> una inducción (</w:t>
      </w:r>
      <w:proofErr w:type="spellStart"/>
      <w:r w:rsidRPr="0055481C">
        <w:rPr>
          <w:i/>
          <w:iCs/>
        </w:rPr>
        <w:t>upanaya</w:t>
      </w:r>
      <w:proofErr w:type="spellEnd"/>
      <w:r>
        <w:t xml:space="preserve">). </w:t>
      </w:r>
      <w:r w:rsidR="000821AD">
        <w:t xml:space="preserve">Vale </w:t>
      </w:r>
      <w:r>
        <w:t xml:space="preserve">la pena </w:t>
      </w:r>
      <w:r w:rsidR="0042547E">
        <w:t>(</w:t>
      </w:r>
      <w:proofErr w:type="spellStart"/>
      <w:r w:rsidR="0042547E" w:rsidRPr="0055481C">
        <w:rPr>
          <w:i/>
          <w:iCs/>
        </w:rPr>
        <w:t>upanayanaṃ</w:t>
      </w:r>
      <w:proofErr w:type="spellEnd"/>
      <w:r w:rsidR="0042547E">
        <w:t xml:space="preserve"> </w:t>
      </w:r>
      <w:proofErr w:type="spellStart"/>
      <w:r w:rsidR="0042547E" w:rsidRPr="00057BF4">
        <w:rPr>
          <w:i/>
          <w:iCs/>
        </w:rPr>
        <w:t>Arahat</w:t>
      </w:r>
      <w:r w:rsidR="0042547E" w:rsidRPr="0055481C">
        <w:rPr>
          <w:i/>
          <w:iCs/>
        </w:rPr>
        <w:t>i</w:t>
      </w:r>
      <w:proofErr w:type="spellEnd"/>
      <w:r w:rsidR="0042547E">
        <w:t xml:space="preserve">) </w:t>
      </w:r>
      <w:r>
        <w:t xml:space="preserve">inducir este </w:t>
      </w:r>
      <w:r w:rsidR="00057BF4" w:rsidRPr="00057BF4">
        <w:rPr>
          <w:i/>
          <w:iCs/>
        </w:rPr>
        <w:t>Dhamma</w:t>
      </w:r>
      <w:r w:rsidR="00F85B2A">
        <w:rPr>
          <w:i/>
          <w:iCs/>
        </w:rPr>
        <w:t>.</w:t>
      </w:r>
      <w:r w:rsidR="000821AD" w:rsidRPr="000821AD">
        <w:t xml:space="preserve"> </w:t>
      </w:r>
      <w:r w:rsidR="000821AD">
        <w:t>Como, por ejemplo, los cuatro senderos y las cuatro fruiciones</w:t>
      </w:r>
      <w:r w:rsidR="00F85B2A">
        <w:t>,</w:t>
      </w:r>
      <w:r w:rsidR="000821AD">
        <w:t xml:space="preserve"> </w:t>
      </w:r>
      <w:r>
        <w:t xml:space="preserve">es decir, </w:t>
      </w:r>
      <w:r w:rsidR="00781D48">
        <w:t>hacer</w:t>
      </w:r>
      <w:r w:rsidR="00220D41">
        <w:t xml:space="preserve"> </w:t>
      </w:r>
      <w:r>
        <w:t>despertar</w:t>
      </w:r>
      <w:r w:rsidR="00F85B2A">
        <w:t>,</w:t>
      </w:r>
      <w:r>
        <w:t xml:space="preserve"> en la propia mente [</w:t>
      </w:r>
      <w:r w:rsidR="00F85B2A">
        <w:t xml:space="preserve">y </w:t>
      </w:r>
      <w:r>
        <w:t>subjetivamente] por medio del desarrollo</w:t>
      </w:r>
      <w:r w:rsidR="00C2208B">
        <w:t xml:space="preserve"> mental</w:t>
      </w:r>
      <w:r>
        <w:t xml:space="preserve">, sin </w:t>
      </w:r>
      <w:r w:rsidR="00220D41">
        <w:t>importar</w:t>
      </w:r>
      <w:r>
        <w:t xml:space="preserve"> </w:t>
      </w:r>
      <w:r w:rsidR="007D64BC">
        <w:t xml:space="preserve">de </w:t>
      </w:r>
      <w:r>
        <w:t xml:space="preserve">si la ropa o la cabeza de uno </w:t>
      </w:r>
      <w:r w:rsidR="007D64BC">
        <w:t xml:space="preserve">se encuentre </w:t>
      </w:r>
      <w:r>
        <w:t xml:space="preserve">en llamas (ver A IV 320), por lo tanto, </w:t>
      </w:r>
      <w:r w:rsidR="007D64BC">
        <w:t xml:space="preserve">significa </w:t>
      </w:r>
      <w:r>
        <w:t>"conduc</w:t>
      </w:r>
      <w:r w:rsidR="004557E9">
        <w:t>ente</w:t>
      </w:r>
      <w:r>
        <w:t xml:space="preserve"> hacia </w:t>
      </w:r>
      <w:r w:rsidR="00C2208B">
        <w:t>la meta</w:t>
      </w:r>
      <w:r>
        <w:t>" (</w:t>
      </w:r>
      <w:proofErr w:type="spellStart"/>
      <w:r w:rsidRPr="0055481C">
        <w:rPr>
          <w:i/>
          <w:iCs/>
        </w:rPr>
        <w:t>opanayika</w:t>
      </w:r>
      <w:proofErr w:type="spellEnd"/>
      <w:r>
        <w:t>). Esto se aplica a los ocho estados supramundanos formados (</w:t>
      </w:r>
      <w:r w:rsidR="00057BF4" w:rsidRPr="00057BF4">
        <w:rPr>
          <w:i/>
        </w:rPr>
        <w:t>Dhamma</w:t>
      </w:r>
      <w:r>
        <w:t xml:space="preserve">s) antes mencionados. </w:t>
      </w:r>
      <w:r w:rsidR="00CB727C">
        <w:t xml:space="preserve">No obstante, </w:t>
      </w:r>
      <w:r>
        <w:t xml:space="preserve">vale la pena inducir el </w:t>
      </w:r>
      <w:r w:rsidR="00057BF4" w:rsidRPr="00057BF4">
        <w:rPr>
          <w:i/>
        </w:rPr>
        <w:t>Dhamma</w:t>
      </w:r>
      <w:r>
        <w:t xml:space="preserve"> no</w:t>
      </w:r>
      <w:r w:rsidR="00581023">
        <w:rPr>
          <w:rFonts w:cs="Cormorant"/>
        </w:rPr>
        <w:t>‒</w:t>
      </w:r>
      <w:r>
        <w:t xml:space="preserve">formado </w:t>
      </w:r>
      <w:r w:rsidRPr="00CB727C">
        <w:rPr>
          <w:i/>
          <w:iCs/>
        </w:rPr>
        <w:t>por</w:t>
      </w:r>
      <w:r>
        <w:t xml:space="preserve"> la propia mente para que se convierta en objeto de la mente, por lo tanto, también es "conduc</w:t>
      </w:r>
      <w:r w:rsidR="00EF1DF0">
        <w:t>ente</w:t>
      </w:r>
      <w:r>
        <w:t xml:space="preserve"> hacia </w:t>
      </w:r>
      <w:r w:rsidR="00C2208B">
        <w:t>la meta</w:t>
      </w:r>
      <w:r>
        <w:t xml:space="preserve">"; el significado es que vale la pena tratarlo como </w:t>
      </w:r>
      <w:r w:rsidR="00EF1DF0">
        <w:t>un</w:t>
      </w:r>
      <w:r>
        <w:t xml:space="preserve"> refugio </w:t>
      </w:r>
      <w:r w:rsidR="007D64BC">
        <w:t>consum</w:t>
      </w:r>
      <w:r w:rsidR="00EF1DF0">
        <w:t>ándol</w:t>
      </w:r>
      <w:r w:rsidR="007D64BC">
        <w:t>o</w:t>
      </w:r>
      <w:r>
        <w:t>.</w:t>
      </w:r>
    </w:p>
    <w:p w14:paraId="496AE915" w14:textId="04DF4EC0" w:rsidR="00F30178" w:rsidRDefault="00F30178" w:rsidP="00F30178">
      <w:pPr>
        <w:rPr>
          <w:vertAlign w:val="superscript"/>
        </w:rPr>
      </w:pPr>
      <w:r>
        <w:t xml:space="preserve">84. </w:t>
      </w:r>
      <w:r w:rsidR="00641BC7">
        <w:tab/>
      </w:r>
      <w:r>
        <w:t>O alternativamente, lo que indu</w:t>
      </w:r>
      <w:r w:rsidR="00BE42E7">
        <w:t>zca</w:t>
      </w:r>
      <w:r>
        <w:t xml:space="preserve"> (</w:t>
      </w:r>
      <w:proofErr w:type="spellStart"/>
      <w:r w:rsidRPr="0055481C">
        <w:rPr>
          <w:i/>
          <w:iCs/>
        </w:rPr>
        <w:t>upaneti</w:t>
      </w:r>
      <w:proofErr w:type="spellEnd"/>
      <w:r>
        <w:t xml:space="preserve">) a la persona noble hacia </w:t>
      </w:r>
      <w:r w:rsidR="008C72DF">
        <w:t xml:space="preserve">el </w:t>
      </w:r>
      <w:r w:rsidRPr="008C72DF">
        <w:rPr>
          <w:i/>
          <w:iCs/>
        </w:rPr>
        <w:t>Nibbāna</w:t>
      </w:r>
      <w:r>
        <w:t xml:space="preserve"> es el noble</w:t>
      </w:r>
      <w:r w:rsidR="008C72DF">
        <w:t xml:space="preserve"> sendero</w:t>
      </w:r>
      <w:r>
        <w:t xml:space="preserve">, </w:t>
      </w:r>
      <w:r w:rsidR="009371ED">
        <w:t>y</w:t>
      </w:r>
      <w:r>
        <w:t xml:space="preserve"> </w:t>
      </w:r>
      <w:r w:rsidR="009371ED">
        <w:t xml:space="preserve">es de esta manera cómo </w:t>
      </w:r>
      <w:r w:rsidR="00B93F7F">
        <w:t xml:space="preserve">el </w:t>
      </w:r>
      <w:r w:rsidR="00B93F7F">
        <w:rPr>
          <w:i/>
          <w:iCs/>
        </w:rPr>
        <w:t>D</w:t>
      </w:r>
      <w:r w:rsidR="00BE42E7">
        <w:rPr>
          <w:i/>
          <w:iCs/>
        </w:rPr>
        <w:t>h</w:t>
      </w:r>
      <w:r w:rsidR="00B93F7F">
        <w:rPr>
          <w:i/>
          <w:iCs/>
        </w:rPr>
        <w:t xml:space="preserve">amma </w:t>
      </w:r>
      <w:r w:rsidR="009371ED">
        <w:t>es</w:t>
      </w:r>
      <w:r>
        <w:t xml:space="preserve"> inductivo (</w:t>
      </w:r>
      <w:proofErr w:type="spellStart"/>
      <w:r w:rsidRPr="0055481C">
        <w:rPr>
          <w:i/>
          <w:iCs/>
        </w:rPr>
        <w:t>upaneyya</w:t>
      </w:r>
      <w:proofErr w:type="spellEnd"/>
      <w:r>
        <w:t>). Una vez más, lo que pued</w:t>
      </w:r>
      <w:r w:rsidR="00B93F7F">
        <w:t>a</w:t>
      </w:r>
      <w:r>
        <w:t xml:space="preserve"> (deb</w:t>
      </w:r>
      <w:r w:rsidR="00B93F7F">
        <w:t>a</w:t>
      </w:r>
      <w:r>
        <w:t>) ser inducido (</w:t>
      </w:r>
      <w:proofErr w:type="spellStart"/>
      <w:r w:rsidRPr="0055481C">
        <w:rPr>
          <w:i/>
          <w:iCs/>
        </w:rPr>
        <w:t>upanetabba</w:t>
      </w:r>
      <w:proofErr w:type="spellEnd"/>
      <w:r>
        <w:t xml:space="preserve">) </w:t>
      </w:r>
      <w:r w:rsidR="007E6811">
        <w:t xml:space="preserve">hacia aquello susceptible de </w:t>
      </w:r>
      <w:r w:rsidR="00B97F50">
        <w:t xml:space="preserve">una </w:t>
      </w:r>
      <w:r w:rsidR="007E6811">
        <w:t>consuma</w:t>
      </w:r>
      <w:r w:rsidR="00B97F50">
        <w:t>ción</w:t>
      </w:r>
      <w:r>
        <w:t xml:space="preserve"> es el </w:t>
      </w:r>
      <w:r w:rsidR="00057BF4" w:rsidRPr="00057BF4">
        <w:rPr>
          <w:i/>
          <w:iCs/>
        </w:rPr>
        <w:t>Dhamma</w:t>
      </w:r>
      <w:r>
        <w:t xml:space="preserve"> consiste</w:t>
      </w:r>
      <w:r w:rsidR="00335D41">
        <w:t>nte</w:t>
      </w:r>
      <w:r>
        <w:t xml:space="preserve"> </w:t>
      </w:r>
      <w:r w:rsidR="0064609C">
        <w:t>de</w:t>
      </w:r>
      <w:r>
        <w:t xml:space="preserve"> la fruición y el </w:t>
      </w:r>
      <w:r w:rsidRPr="007E6811">
        <w:rPr>
          <w:i/>
          <w:iCs/>
        </w:rPr>
        <w:t>Nibbāna</w:t>
      </w:r>
      <w:r>
        <w:t>, que también es inductivo (</w:t>
      </w:r>
      <w:proofErr w:type="spellStart"/>
      <w:r w:rsidRPr="0055481C">
        <w:rPr>
          <w:i/>
          <w:iCs/>
        </w:rPr>
        <w:t>upaneyya</w:t>
      </w:r>
      <w:proofErr w:type="spellEnd"/>
      <w:r>
        <w:t xml:space="preserve">). La palabra </w:t>
      </w:r>
      <w:proofErr w:type="spellStart"/>
      <w:r w:rsidRPr="0055481C">
        <w:rPr>
          <w:i/>
          <w:iCs/>
        </w:rPr>
        <w:t>upaneyya</w:t>
      </w:r>
      <w:proofErr w:type="spellEnd"/>
      <w:r>
        <w:t xml:space="preserve"> es lo mismo que la palabra </w:t>
      </w:r>
      <w:r w:rsidRPr="00B93F7F">
        <w:rPr>
          <w:i/>
          <w:iCs/>
        </w:rPr>
        <w:t>opanayika</w:t>
      </w:r>
      <w:r>
        <w:t>.</w:t>
      </w:r>
      <w:r w:rsidRPr="002272D9">
        <w:rPr>
          <w:vertAlign w:val="superscript"/>
        </w:rPr>
        <w:t>35</w:t>
      </w:r>
    </w:p>
    <w:p w14:paraId="14169931" w14:textId="77777777" w:rsidR="00532EDB" w:rsidRDefault="00532EDB" w:rsidP="00F30178"/>
    <w:p w14:paraId="257CAF8F" w14:textId="2544F84B" w:rsidR="00F30178" w:rsidRDefault="00F30178" w:rsidP="0064609C">
      <w:pPr>
        <w:pStyle w:val="Ttulo4"/>
        <w:ind w:left="708"/>
      </w:pPr>
      <w:r>
        <w:t>[Es Directamente Experimentable Por El Sabio]</w:t>
      </w:r>
    </w:p>
    <w:p w14:paraId="3B67CE20" w14:textId="440BBC73" w:rsidR="00F30178" w:rsidRDefault="00F30178" w:rsidP="00F30178">
      <w:r>
        <w:t xml:space="preserve">85. </w:t>
      </w:r>
      <w:r w:rsidR="00641BC7">
        <w:tab/>
      </w:r>
      <w:r w:rsidRPr="007E6EEB">
        <w:rPr>
          <w:i/>
          <w:iCs/>
        </w:rPr>
        <w:t xml:space="preserve">Es directamente experimentable por </w:t>
      </w:r>
      <w:r w:rsidR="0064609C">
        <w:rPr>
          <w:i/>
          <w:iCs/>
        </w:rPr>
        <w:t>e</w:t>
      </w:r>
      <w:r w:rsidRPr="007E6EEB">
        <w:rPr>
          <w:i/>
          <w:iCs/>
        </w:rPr>
        <w:t>l sabio</w:t>
      </w:r>
      <w:r>
        <w:t>: puede ser experimentad</w:t>
      </w:r>
      <w:r w:rsidR="0064609C">
        <w:t>o</w:t>
      </w:r>
      <w:r>
        <w:t xml:space="preserve"> por todos los tipos de sabios comenzando con los “muy sabios” (ver A II 135) cada uno así: “El </w:t>
      </w:r>
      <w:r w:rsidR="00166248">
        <w:t xml:space="preserve">sendero </w:t>
      </w:r>
      <w:r>
        <w:t>ha sido desarrollado</w:t>
      </w:r>
      <w:r w:rsidR="00410723" w:rsidRPr="00410723">
        <w:t xml:space="preserve"> </w:t>
      </w:r>
      <w:r w:rsidR="00410723">
        <w:t>por mí</w:t>
      </w:r>
      <w:r>
        <w:t xml:space="preserve">, </w:t>
      </w:r>
      <w:r w:rsidR="00C217D2">
        <w:t xml:space="preserve">consumada </w:t>
      </w:r>
      <w:r>
        <w:t xml:space="preserve">la fruición y </w:t>
      </w:r>
      <w:r w:rsidR="00410723">
        <w:t xml:space="preserve">consumada </w:t>
      </w:r>
      <w:r>
        <w:t xml:space="preserve">la cesación.” </w:t>
      </w:r>
      <w:r w:rsidR="004635E8">
        <w:t>Y</w:t>
      </w:r>
      <w:r w:rsidR="0069502F">
        <w:t>a</w:t>
      </w:r>
      <w:r w:rsidR="004635E8">
        <w:t xml:space="preserve"> </w:t>
      </w:r>
      <w:r>
        <w:t>que no sucede</w:t>
      </w:r>
      <w:r w:rsidR="004635E8">
        <w:t>rá</w:t>
      </w:r>
      <w:r>
        <w:t xml:space="preserve"> que cuando un preceptor ha</w:t>
      </w:r>
      <w:r w:rsidR="00410723">
        <w:t>ya</w:t>
      </w:r>
      <w:r>
        <w:t xml:space="preserve"> desarrollado el </w:t>
      </w:r>
      <w:r w:rsidR="00410723">
        <w:t>sendero</w:t>
      </w:r>
      <w:r>
        <w:t xml:space="preserve">, su </w:t>
      </w:r>
      <w:proofErr w:type="spellStart"/>
      <w:r>
        <w:t>co</w:t>
      </w:r>
      <w:r w:rsidR="00410723">
        <w:t>-</w:t>
      </w:r>
      <w:r>
        <w:t>residente</w:t>
      </w:r>
      <w:proofErr w:type="spellEnd"/>
      <w:r>
        <w:t xml:space="preserve"> abandon</w:t>
      </w:r>
      <w:r w:rsidR="004635E8">
        <w:t>e</w:t>
      </w:r>
      <w:r>
        <w:t xml:space="preserve"> sus corrupciones, ni </w:t>
      </w:r>
      <w:r w:rsidR="001840CA">
        <w:t xml:space="preserve">tampoco ocurrirá que </w:t>
      </w:r>
      <w:r>
        <w:t xml:space="preserve">un </w:t>
      </w:r>
      <w:proofErr w:type="spellStart"/>
      <w:r>
        <w:t>co</w:t>
      </w:r>
      <w:r w:rsidR="00410723">
        <w:t>-</w:t>
      </w:r>
      <w:r>
        <w:t>residente</w:t>
      </w:r>
      <w:proofErr w:type="spellEnd"/>
      <w:r>
        <w:t xml:space="preserve"> </w:t>
      </w:r>
      <w:r w:rsidR="001840CA">
        <w:t xml:space="preserve">habite </w:t>
      </w:r>
      <w:r>
        <w:t xml:space="preserve">en la comodidad </w:t>
      </w:r>
      <w:r w:rsidR="001840CA">
        <w:t>singular de</w:t>
      </w:r>
      <w:r w:rsidR="00953F37">
        <w:t xml:space="preserve"> </w:t>
      </w:r>
      <w:r>
        <w:t>l</w:t>
      </w:r>
      <w:r w:rsidR="00953F37">
        <w:t>a</w:t>
      </w:r>
      <w:r>
        <w:t xml:space="preserve"> </w:t>
      </w:r>
      <w:r w:rsidR="00953F37">
        <w:t>absorción</w:t>
      </w:r>
      <w:r>
        <w:t xml:space="preserve"> de </w:t>
      </w:r>
      <w:r w:rsidR="001840CA">
        <w:t xml:space="preserve">la </w:t>
      </w:r>
      <w:r>
        <w:t xml:space="preserve">fruición del preceptor, ni </w:t>
      </w:r>
      <w:r w:rsidR="00410723">
        <w:t>consuma</w:t>
      </w:r>
      <w:r w:rsidR="0069502F">
        <w:t>r</w:t>
      </w:r>
      <w:r w:rsidR="00410723">
        <w:t xml:space="preserve"> </w:t>
      </w:r>
      <w:r>
        <w:t xml:space="preserve">el </w:t>
      </w:r>
      <w:r w:rsidRPr="00A84CA2">
        <w:rPr>
          <w:i/>
          <w:iCs/>
        </w:rPr>
        <w:t>Nibbāna</w:t>
      </w:r>
      <w:r>
        <w:t xml:space="preserve"> </w:t>
      </w:r>
      <w:r w:rsidR="001840CA">
        <w:t xml:space="preserve">qua haya </w:t>
      </w:r>
      <w:r w:rsidR="00410723">
        <w:t>consumado</w:t>
      </w:r>
      <w:r>
        <w:t xml:space="preserve"> el preceptor. Así que esto no </w:t>
      </w:r>
      <w:r w:rsidR="001840CA">
        <w:t xml:space="preserve">será </w:t>
      </w:r>
      <w:r>
        <w:t xml:space="preserve">visible en la forma en que lo </w:t>
      </w:r>
      <w:r w:rsidR="001840CA">
        <w:t xml:space="preserve">sea </w:t>
      </w:r>
      <w:r>
        <w:t xml:space="preserve">un adorno en la cabeza de otra persona, </w:t>
      </w:r>
      <w:r w:rsidR="00A84A27">
        <w:t xml:space="preserve">por el contrario, será </w:t>
      </w:r>
      <w:r>
        <w:t xml:space="preserve">visible solo en la mente </w:t>
      </w:r>
      <w:r w:rsidR="00A84A27">
        <w:t xml:space="preserve">personal </w:t>
      </w:r>
      <w:r>
        <w:t xml:space="preserve">de </w:t>
      </w:r>
      <w:r w:rsidR="00A84A27">
        <w:t xml:space="preserve">cada </w:t>
      </w:r>
      <w:r w:rsidR="004D131A">
        <w:t>ser</w:t>
      </w:r>
      <w:r>
        <w:t xml:space="preserve">. Lo que se quiere decir es que </w:t>
      </w:r>
      <w:r w:rsidR="00A84A27">
        <w:t xml:space="preserve">sólo </w:t>
      </w:r>
      <w:r>
        <w:t xml:space="preserve">puede ser experimentado por hombres sabios </w:t>
      </w:r>
      <w:r w:rsidR="004D131A">
        <w:t>y que</w:t>
      </w:r>
      <w:r>
        <w:t xml:space="preserve"> no es </w:t>
      </w:r>
      <w:r w:rsidR="00A84A27">
        <w:t xml:space="preserve">facultad </w:t>
      </w:r>
      <w:r>
        <w:t xml:space="preserve">de </w:t>
      </w:r>
      <w:r w:rsidR="0005710C">
        <w:t xml:space="preserve">gente </w:t>
      </w:r>
      <w:r>
        <w:t>neci</w:t>
      </w:r>
      <w:r w:rsidR="0005710C">
        <w:t>a</w:t>
      </w:r>
      <w:r>
        <w:t>.</w:t>
      </w:r>
    </w:p>
    <w:p w14:paraId="185B7EEA" w14:textId="230B17C2" w:rsidR="00F30178" w:rsidRDefault="00F30178" w:rsidP="00F30178">
      <w:r>
        <w:t xml:space="preserve">86. </w:t>
      </w:r>
      <w:r w:rsidR="00641BC7">
        <w:tab/>
      </w:r>
      <w:r>
        <w:t>Ahora</w:t>
      </w:r>
      <w:r w:rsidR="00940918">
        <w:t xml:space="preserve"> bien</w:t>
      </w:r>
      <w:r>
        <w:t xml:space="preserve">, además, este </w:t>
      </w:r>
      <w:r w:rsidR="00057BF4" w:rsidRPr="00057BF4">
        <w:rPr>
          <w:i/>
          <w:iCs/>
        </w:rPr>
        <w:t>Dhamma</w:t>
      </w:r>
      <w:r>
        <w:t xml:space="preserve"> está bien proclamado. ¿Por qué? Porque es visible aquí y ahora. </w:t>
      </w:r>
      <w:r w:rsidR="00A84A27">
        <w:t>Y es</w:t>
      </w:r>
      <w:r>
        <w:t xml:space="preserve"> visible aquí y ahora porque </w:t>
      </w:r>
      <w:r w:rsidR="00EC3091">
        <w:t>sus beneficios no demoran</w:t>
      </w:r>
      <w:r>
        <w:t xml:space="preserve">. No </w:t>
      </w:r>
      <w:r w:rsidR="00FE216A">
        <w:t>demoran</w:t>
      </w:r>
      <w:r>
        <w:t xml:space="preserve"> porque invita a la inspección. Y lo que invit</w:t>
      </w:r>
      <w:r w:rsidR="00EC3091">
        <w:t>e</w:t>
      </w:r>
      <w:r>
        <w:t xml:space="preserve"> a la inspección </w:t>
      </w:r>
      <w:r w:rsidR="00EC3091">
        <w:t>pros</w:t>
      </w:r>
      <w:r w:rsidR="00D93CA4">
        <w:t>e</w:t>
      </w:r>
      <w:r w:rsidR="00EC3091">
        <w:t>gu</w:t>
      </w:r>
      <w:r w:rsidR="00D93CA4">
        <w:t>irá</w:t>
      </w:r>
      <w:r w:rsidR="00EC3091">
        <w:t xml:space="preserve"> </w:t>
      </w:r>
      <w:r>
        <w:t xml:space="preserve">hacia </w:t>
      </w:r>
      <w:r w:rsidR="00D93CA4">
        <w:t>la meta</w:t>
      </w:r>
      <w:r>
        <w:t>.</w:t>
      </w:r>
    </w:p>
    <w:p w14:paraId="09208FF5" w14:textId="33D40907" w:rsidR="00F30178" w:rsidRDefault="00F30178" w:rsidP="00F30178">
      <w:r>
        <w:t xml:space="preserve">87. </w:t>
      </w:r>
      <w:r w:rsidR="00641BC7">
        <w:tab/>
      </w:r>
      <w:r>
        <w:t xml:space="preserve">Mientras el meditador </w:t>
      </w:r>
      <w:r w:rsidR="00EC3091">
        <w:t>evoque</w:t>
      </w:r>
      <w:r>
        <w:t xml:space="preserve"> las cualidades especiales del </w:t>
      </w:r>
      <w:r w:rsidR="00057BF4" w:rsidRPr="00057BF4">
        <w:rPr>
          <w:i/>
        </w:rPr>
        <w:t>Dhamma</w:t>
      </w:r>
      <w:r>
        <w:t xml:space="preserve"> </w:t>
      </w:r>
      <w:r w:rsidR="00F476D3">
        <w:t>entonces</w:t>
      </w:r>
      <w:r>
        <w:t xml:space="preserve">: “En esa ocasión </w:t>
      </w:r>
      <w:r w:rsidR="00F476D3">
        <w:t>su</w:t>
      </w:r>
      <w:r>
        <w:t xml:space="preserve"> mente no est</w:t>
      </w:r>
      <w:r w:rsidR="00EC3091">
        <w:t>ar</w:t>
      </w:r>
      <w:r>
        <w:t xml:space="preserve">á obsesionada </w:t>
      </w:r>
      <w:r w:rsidR="00EC3091">
        <w:t xml:space="preserve">con </w:t>
      </w:r>
      <w:r>
        <w:t xml:space="preserve">la codicia, ni obsesionada </w:t>
      </w:r>
      <w:r w:rsidR="00EC3091">
        <w:t xml:space="preserve">con </w:t>
      </w:r>
      <w:r>
        <w:t xml:space="preserve">el odio, ni obsesionada </w:t>
      </w:r>
      <w:r w:rsidR="00EC3091">
        <w:t>con la ilusión</w:t>
      </w:r>
      <w:r>
        <w:t xml:space="preserve">; su mente </w:t>
      </w:r>
      <w:r w:rsidR="00EC3091">
        <w:t>poseerá</w:t>
      </w:r>
      <w:r>
        <w:t xml:space="preserve"> rectitud en </w:t>
      </w:r>
      <w:r w:rsidR="00886F24">
        <w:t xml:space="preserve">tal </w:t>
      </w:r>
      <w:r>
        <w:t>ocasión, inspirad</w:t>
      </w:r>
      <w:r w:rsidR="00EC3091">
        <w:t>a</w:t>
      </w:r>
      <w:r>
        <w:t xml:space="preserve"> por el </w:t>
      </w:r>
      <w:r w:rsidR="00057BF4" w:rsidRPr="00057BF4">
        <w:rPr>
          <w:i/>
          <w:iCs/>
        </w:rPr>
        <w:t>Dhamma</w:t>
      </w:r>
      <w:r>
        <w:t>” (A III 285).</w:t>
      </w:r>
    </w:p>
    <w:p w14:paraId="15919B0B" w14:textId="2FB447E5" w:rsidR="00C055B5" w:rsidRDefault="00F30178" w:rsidP="00641BC7">
      <w:pPr>
        <w:pStyle w:val="NormalConSangria"/>
      </w:pPr>
      <w:r>
        <w:t>Entonces, cuando ha</w:t>
      </w:r>
      <w:r w:rsidR="00886F24">
        <w:t>ya</w:t>
      </w:r>
      <w:r>
        <w:t xml:space="preserve"> suprimido los obstáculos de la manera ya descrita (§66), los factores </w:t>
      </w:r>
      <w:proofErr w:type="spellStart"/>
      <w:r w:rsidR="00057BF4" w:rsidRPr="00057BF4">
        <w:rPr>
          <w:i/>
          <w:iCs/>
        </w:rPr>
        <w:t>jhān</w:t>
      </w:r>
      <w:r w:rsidR="00F476D3">
        <w:rPr>
          <w:i/>
          <w:iCs/>
        </w:rPr>
        <w:t>icos</w:t>
      </w:r>
      <w:proofErr w:type="spellEnd"/>
      <w:r>
        <w:t xml:space="preserve"> surg</w:t>
      </w:r>
      <w:r w:rsidR="00886F24">
        <w:t>irá</w:t>
      </w:r>
      <w:r>
        <w:t xml:space="preserve">n en un solo momento </w:t>
      </w:r>
      <w:r w:rsidR="00B00400">
        <w:t xml:space="preserve">de </w:t>
      </w:r>
      <w:r>
        <w:t>conscien</w:t>
      </w:r>
      <w:r w:rsidR="00B00400">
        <w:t>cia</w:t>
      </w:r>
      <w:r>
        <w:t xml:space="preserve">. Pero debido a la profundidad de las cualidades especiales del </w:t>
      </w:r>
      <w:r w:rsidR="00057BF4" w:rsidRPr="00057BF4">
        <w:rPr>
          <w:i/>
          <w:iCs/>
        </w:rPr>
        <w:t>Dhamma</w:t>
      </w:r>
      <w:r>
        <w:t xml:space="preserve">, o debido a que </w:t>
      </w:r>
      <w:r w:rsidR="00535340">
        <w:t xml:space="preserve">él se encuentre </w:t>
      </w:r>
      <w:r>
        <w:t xml:space="preserve">ocupado en </w:t>
      </w:r>
      <w:r w:rsidR="00535340">
        <w:t xml:space="preserve">evocar </w:t>
      </w:r>
      <w:r>
        <w:t xml:space="preserve">cualidades </w:t>
      </w:r>
    </w:p>
    <w:p w14:paraId="1167F4C0" w14:textId="77777777" w:rsidR="00C055B5" w:rsidRDefault="00C055B5">
      <w:pPr>
        <w:tabs>
          <w:tab w:val="clear" w:pos="425"/>
        </w:tabs>
        <w:spacing w:after="160"/>
      </w:pPr>
      <w:r>
        <w:br w:type="page"/>
      </w:r>
    </w:p>
    <w:p w14:paraId="3EB15383" w14:textId="57870F7D" w:rsidR="00C950BB" w:rsidRDefault="00535340" w:rsidP="00AB2B40">
      <w:r>
        <w:lastRenderedPageBreak/>
        <w:t xml:space="preserve">especiales de muchos </w:t>
      </w:r>
      <w:r w:rsidR="00C950BB">
        <w:t>tipo</w:t>
      </w:r>
      <w:r>
        <w:t>s</w:t>
      </w:r>
      <w:r w:rsidR="00C950BB">
        <w:t xml:space="preserve">, el </w:t>
      </w:r>
      <w:proofErr w:type="spellStart"/>
      <w:r w:rsidR="00057BF4" w:rsidRPr="00057BF4">
        <w:rPr>
          <w:i/>
          <w:iCs/>
        </w:rPr>
        <w:t>jhāna</w:t>
      </w:r>
      <w:proofErr w:type="spellEnd"/>
      <w:r w:rsidR="00C950BB">
        <w:t xml:space="preserve"> </w:t>
      </w:r>
      <w:r>
        <w:t xml:space="preserve">será </w:t>
      </w:r>
      <w:r w:rsidR="00C950BB">
        <w:t xml:space="preserve">solo </w:t>
      </w:r>
      <w:r>
        <w:t xml:space="preserve">de </w:t>
      </w:r>
      <w:r w:rsidR="00C950BB">
        <w:t>acceso y no alcanza</w:t>
      </w:r>
      <w:r>
        <w:t>rá</w:t>
      </w:r>
      <w:r w:rsidR="00C950BB">
        <w:t xml:space="preserve"> la absorción. Y ese </w:t>
      </w:r>
      <w:proofErr w:type="spellStart"/>
      <w:r w:rsidR="00057BF4" w:rsidRPr="00057BF4">
        <w:rPr>
          <w:i/>
          <w:iCs/>
        </w:rPr>
        <w:t>jhāna</w:t>
      </w:r>
      <w:proofErr w:type="spellEnd"/>
      <w:r w:rsidR="00C950BB">
        <w:t xml:space="preserve"> de acceso en sí también se conoce</w:t>
      </w:r>
      <w:r w:rsidR="00716BD4">
        <w:t>rá</w:t>
      </w:r>
      <w:r w:rsidR="00C950BB">
        <w:t xml:space="preserve"> como "</w:t>
      </w:r>
      <w:r w:rsidR="00716BD4">
        <w:t xml:space="preserve">evocación </w:t>
      </w:r>
      <w:r w:rsidR="00C950BB">
        <w:t xml:space="preserve">del </w:t>
      </w:r>
      <w:r w:rsidR="00057BF4" w:rsidRPr="00057BF4">
        <w:rPr>
          <w:i/>
        </w:rPr>
        <w:t>Dhamma</w:t>
      </w:r>
      <w:r w:rsidR="00C950BB">
        <w:t>" porque surg</w:t>
      </w:r>
      <w:r w:rsidR="00716BD4">
        <w:t>irá</w:t>
      </w:r>
      <w:r w:rsidR="00C950BB">
        <w:t xml:space="preserve"> con </w:t>
      </w:r>
      <w:r w:rsidR="00716BD4">
        <w:t xml:space="preserve">la evocación </w:t>
      </w:r>
      <w:r w:rsidR="00C950BB">
        <w:t xml:space="preserve">de las cualidades especiales del </w:t>
      </w:r>
      <w:r w:rsidR="00057BF4" w:rsidRPr="00057BF4">
        <w:rPr>
          <w:i/>
        </w:rPr>
        <w:t>Dhamma</w:t>
      </w:r>
      <w:r w:rsidR="00C950BB">
        <w:t xml:space="preserve"> como medio.</w:t>
      </w:r>
      <w:r w:rsidR="009E6F2A">
        <w:t xml:space="preserve"> </w:t>
      </w:r>
    </w:p>
    <w:p w14:paraId="33DDA0B5" w14:textId="2FADFA43" w:rsidR="00C950BB" w:rsidRDefault="00C950BB" w:rsidP="00AB2B40">
      <w:r>
        <w:t xml:space="preserve">88. </w:t>
      </w:r>
      <w:r w:rsidR="00AB2B40">
        <w:tab/>
      </w:r>
      <w:r>
        <w:t xml:space="preserve">[218] Cuando un </w:t>
      </w:r>
      <w:proofErr w:type="spellStart"/>
      <w:r w:rsidR="00057BF4" w:rsidRPr="00057BF4">
        <w:rPr>
          <w:i/>
          <w:iCs/>
        </w:rPr>
        <w:t>bhikkhu</w:t>
      </w:r>
      <w:proofErr w:type="spellEnd"/>
      <w:r>
        <w:t xml:space="preserve"> s</w:t>
      </w:r>
      <w:r w:rsidR="00716BD4">
        <w:t>ea</w:t>
      </w:r>
      <w:r>
        <w:t xml:space="preserve"> devoto de est</w:t>
      </w:r>
      <w:r w:rsidR="00716BD4">
        <w:t>a</w:t>
      </w:r>
      <w:r>
        <w:t xml:space="preserve"> </w:t>
      </w:r>
      <w:r w:rsidR="00716BD4">
        <w:t xml:space="preserve">evocación </w:t>
      </w:r>
      <w:r>
        <w:t xml:space="preserve">del </w:t>
      </w:r>
      <w:r w:rsidR="00057BF4" w:rsidRPr="00057BF4">
        <w:rPr>
          <w:i/>
          <w:iCs/>
        </w:rPr>
        <w:t>Dhamma</w:t>
      </w:r>
      <w:r>
        <w:t>, pensa</w:t>
      </w:r>
      <w:r w:rsidR="00716BD4">
        <w:t>rá</w:t>
      </w:r>
      <w:r>
        <w:t>: “Nunca en el pasado conocí a un maestro que enseña</w:t>
      </w:r>
      <w:r w:rsidR="00F476D3">
        <w:t>se</w:t>
      </w:r>
      <w:r>
        <w:t xml:space="preserve"> una ley que condujera así hacia </w:t>
      </w:r>
      <w:r w:rsidR="005F6E8C">
        <w:t>su</w:t>
      </w:r>
      <w:r w:rsidR="00987C05">
        <w:t xml:space="preserve"> progreso</w:t>
      </w:r>
      <w:r>
        <w:t xml:space="preserve">, que poseyera este talento, ni ahora veo </w:t>
      </w:r>
      <w:r w:rsidR="00044994">
        <w:t xml:space="preserve">a un </w:t>
      </w:r>
      <w:r>
        <w:t xml:space="preserve">maestro </w:t>
      </w:r>
      <w:r w:rsidR="00044994">
        <w:t xml:space="preserve">tal </w:t>
      </w:r>
      <w:r>
        <w:t xml:space="preserve">que no sea el </w:t>
      </w:r>
      <w:r w:rsidR="00987C05" w:rsidRPr="00987C05">
        <w:rPr>
          <w:i/>
          <w:iCs/>
        </w:rPr>
        <w:t>Bhagavā</w:t>
      </w:r>
      <w:r>
        <w:t xml:space="preserve">.” Al ver las cualidades especiales del </w:t>
      </w:r>
      <w:r w:rsidR="00057BF4" w:rsidRPr="00057BF4">
        <w:rPr>
          <w:i/>
        </w:rPr>
        <w:t>Dhamma</w:t>
      </w:r>
      <w:r>
        <w:t xml:space="preserve"> de esta manera, </w:t>
      </w:r>
      <w:r w:rsidR="00A66614">
        <w:t xml:space="preserve">él </w:t>
      </w:r>
      <w:r w:rsidR="005F6E8C">
        <w:t>ser</w:t>
      </w:r>
      <w:r w:rsidR="00A66614">
        <w:t>á</w:t>
      </w:r>
      <w:r>
        <w:t xml:space="preserve"> respetuoso y deferente hacia el Maestro. Manten</w:t>
      </w:r>
      <w:r w:rsidR="005F6E8C">
        <w:t>drá</w:t>
      </w:r>
      <w:r>
        <w:t xml:space="preserve"> una gran reverencia por el </w:t>
      </w:r>
      <w:r w:rsidR="00057BF4" w:rsidRPr="00057BF4">
        <w:rPr>
          <w:i/>
        </w:rPr>
        <w:t>Dhamma</w:t>
      </w:r>
      <w:r>
        <w:t xml:space="preserve"> y alcanza</w:t>
      </w:r>
      <w:r w:rsidR="005F6E8C">
        <w:t>r</w:t>
      </w:r>
      <w:r w:rsidR="00A66614">
        <w:t>á</w:t>
      </w:r>
      <w:r>
        <w:t xml:space="preserve"> la plenitud de la fe,</w:t>
      </w:r>
      <w:r w:rsidR="005F6E8C">
        <w:t xml:space="preserve"> etc</w:t>
      </w:r>
      <w:r>
        <w:t xml:space="preserve">. </w:t>
      </w:r>
      <w:r w:rsidR="005F6E8C">
        <w:t>Disfrutar</w:t>
      </w:r>
      <w:r w:rsidR="00A66614">
        <w:t>á</w:t>
      </w:r>
      <w:r w:rsidR="005F6E8C">
        <w:t xml:space="preserve"> de</w:t>
      </w:r>
      <w:r>
        <w:t xml:space="preserve"> mucha felicidad y alegría. Él vence</w:t>
      </w:r>
      <w:r w:rsidR="005F6E8C">
        <w:t>rá</w:t>
      </w:r>
      <w:r>
        <w:t xml:space="preserve"> </w:t>
      </w:r>
      <w:r w:rsidR="005F6E8C">
        <w:t>a</w:t>
      </w:r>
      <w:r>
        <w:t xml:space="preserve">l miedo y </w:t>
      </w:r>
      <w:r w:rsidR="005F6E8C">
        <w:t>a</w:t>
      </w:r>
      <w:r>
        <w:t xml:space="preserve">l pavor. </w:t>
      </w:r>
      <w:r w:rsidR="005F6E8C">
        <w:t xml:space="preserve">Será </w:t>
      </w:r>
      <w:r>
        <w:t>capaz de soportar el dolor. Llega</w:t>
      </w:r>
      <w:r w:rsidR="005F6E8C">
        <w:t>rá</w:t>
      </w:r>
      <w:r>
        <w:t xml:space="preserve"> a sentir como si estuviera viviendo </w:t>
      </w:r>
      <w:r w:rsidR="00A66614">
        <w:t xml:space="preserve">ante </w:t>
      </w:r>
      <w:r>
        <w:t xml:space="preserve">la presencia del </w:t>
      </w:r>
      <w:r w:rsidR="00057BF4" w:rsidRPr="00057BF4">
        <w:rPr>
          <w:i/>
          <w:iCs/>
        </w:rPr>
        <w:t>Dhamma</w:t>
      </w:r>
      <w:r>
        <w:t xml:space="preserve">. Y su cuerpo, cuando </w:t>
      </w:r>
      <w:r w:rsidR="005F6E8C">
        <w:t xml:space="preserve">la evocación </w:t>
      </w:r>
      <w:r>
        <w:t xml:space="preserve">de las cualidades especiales del </w:t>
      </w:r>
      <w:r w:rsidR="00057BF4" w:rsidRPr="00057BF4">
        <w:rPr>
          <w:i/>
        </w:rPr>
        <w:t>Dhamma</w:t>
      </w:r>
      <w:r>
        <w:t xml:space="preserve"> </w:t>
      </w:r>
      <w:r w:rsidR="005F6E8C">
        <w:t>habite</w:t>
      </w:r>
      <w:r>
        <w:t xml:space="preserve"> en él, se </w:t>
      </w:r>
      <w:r w:rsidR="005F6E8C">
        <w:t>hará</w:t>
      </w:r>
      <w:r>
        <w:t xml:space="preserve"> tan digno de veneración como un santuario. Su mente </w:t>
      </w:r>
      <w:r w:rsidR="005F6E8C">
        <w:t xml:space="preserve">se orientará </w:t>
      </w:r>
      <w:r>
        <w:t xml:space="preserve">hacia la </w:t>
      </w:r>
      <w:r w:rsidR="005F6E8C">
        <w:t xml:space="preserve">consumación </w:t>
      </w:r>
      <w:r>
        <w:t xml:space="preserve">del </w:t>
      </w:r>
      <w:r w:rsidR="005F6E8C">
        <w:t>incomparable</w:t>
      </w:r>
      <w:r w:rsidR="005F6E8C" w:rsidRPr="00057BF4">
        <w:rPr>
          <w:i/>
        </w:rPr>
        <w:t xml:space="preserve"> </w:t>
      </w:r>
      <w:r w:rsidR="00057BF4" w:rsidRPr="00057BF4">
        <w:rPr>
          <w:i/>
        </w:rPr>
        <w:t>Dhamma</w:t>
      </w:r>
      <w:r>
        <w:t>. Cuando encuentr</w:t>
      </w:r>
      <w:r w:rsidR="005F6E8C">
        <w:t>e</w:t>
      </w:r>
      <w:r>
        <w:t xml:space="preserve"> una oportunidad de transgresión, </w:t>
      </w:r>
      <w:r w:rsidR="005F6E8C">
        <w:t>tendrá</w:t>
      </w:r>
      <w:r>
        <w:t xml:space="preserve"> una vívida </w:t>
      </w:r>
      <w:r w:rsidR="005F6E8C">
        <w:t xml:space="preserve">percepción </w:t>
      </w:r>
      <w:r>
        <w:t>de la con</w:t>
      </w:r>
      <w:r w:rsidR="005F6E8C">
        <w:t>s</w:t>
      </w:r>
      <w:r>
        <w:t xml:space="preserve">ciencia y </w:t>
      </w:r>
      <w:r w:rsidR="005F6E8C">
        <w:t xml:space="preserve">de la </w:t>
      </w:r>
      <w:r>
        <w:t xml:space="preserve">avergüenza </w:t>
      </w:r>
      <w:r w:rsidR="005F6E8C">
        <w:t xml:space="preserve">moral al evocar </w:t>
      </w:r>
      <w:r>
        <w:t xml:space="preserve">la buena regulación del </w:t>
      </w:r>
      <w:r w:rsidR="00057BF4" w:rsidRPr="00057BF4">
        <w:rPr>
          <w:i/>
          <w:iCs/>
        </w:rPr>
        <w:t>Dhamma</w:t>
      </w:r>
      <w:r>
        <w:t xml:space="preserve">. Y si no </w:t>
      </w:r>
      <w:r w:rsidR="007946FC">
        <w:t xml:space="preserve">lograse </w:t>
      </w:r>
      <w:r>
        <w:t>penetra</w:t>
      </w:r>
      <w:r w:rsidR="007946FC">
        <w:t>r</w:t>
      </w:r>
      <w:r>
        <w:t xml:space="preserve"> </w:t>
      </w:r>
      <w:r w:rsidR="007946FC">
        <w:t>en consumaciones superiores</w:t>
      </w:r>
      <w:r>
        <w:t>, al menos se dirig</w:t>
      </w:r>
      <w:r w:rsidR="007946FC">
        <w:t>irá</w:t>
      </w:r>
      <w:r>
        <w:t xml:space="preserve"> </w:t>
      </w:r>
      <w:r w:rsidR="007946FC">
        <w:t>haci</w:t>
      </w:r>
      <w:r>
        <w:t>a un destino feliz.</w:t>
      </w:r>
    </w:p>
    <w:p w14:paraId="586B0A9B" w14:textId="77777777" w:rsidR="00C950BB" w:rsidRDefault="00C950BB" w:rsidP="00AB2B40">
      <w:pPr>
        <w:pStyle w:val="VersoIngls01Sangria"/>
      </w:pPr>
      <w:r>
        <w:t>Ahora bien, cuando un hombre es verdaderamente sabio,</w:t>
      </w:r>
    </w:p>
    <w:p w14:paraId="1D82C7C2" w14:textId="77777777" w:rsidR="00C950BB" w:rsidRDefault="00C950BB" w:rsidP="00AB2B40">
      <w:pPr>
        <w:pStyle w:val="VersoIngls01Sangria"/>
      </w:pPr>
      <w:r>
        <w:t>Su tarea constante seguramente será</w:t>
      </w:r>
    </w:p>
    <w:p w14:paraId="3D362316" w14:textId="38D483AB" w:rsidR="00C950BB" w:rsidRDefault="00C950BB" w:rsidP="00AB2B40">
      <w:pPr>
        <w:pStyle w:val="VersoIngls01Sangria"/>
      </w:pPr>
      <w:r>
        <w:t>Est</w:t>
      </w:r>
      <w:r w:rsidR="007946FC">
        <w:t>a</w:t>
      </w:r>
      <w:r>
        <w:t xml:space="preserve"> </w:t>
      </w:r>
      <w:r w:rsidR="007946FC">
        <w:t>evocación</w:t>
      </w:r>
      <w:r>
        <w:t xml:space="preserve"> del </w:t>
      </w:r>
      <w:r w:rsidR="00057BF4" w:rsidRPr="00057BF4">
        <w:rPr>
          <w:i/>
          <w:iCs/>
        </w:rPr>
        <w:t>Dhamma</w:t>
      </w:r>
    </w:p>
    <w:p w14:paraId="3B4BA9DC" w14:textId="77777777" w:rsidR="00EC02CC" w:rsidRDefault="00EC02CC" w:rsidP="00EC02CC">
      <w:pPr>
        <w:pStyle w:val="VersoIngls01Sangria"/>
        <w:spacing w:after="100"/>
        <w:ind w:left="1418"/>
      </w:pPr>
      <w:r>
        <w:t>Y será bendecido con tan poderosa potencia.</w:t>
      </w:r>
    </w:p>
    <w:p w14:paraId="786819FD" w14:textId="35D8E608" w:rsidR="00C950BB" w:rsidRDefault="001F5B86" w:rsidP="00C950BB">
      <w:pPr>
        <w:pStyle w:val="NormalConSangria"/>
      </w:pPr>
      <w:r>
        <w:t>É</w:t>
      </w:r>
      <w:r w:rsidR="00C950BB">
        <w:t xml:space="preserve">sta es la sección que trata sobre </w:t>
      </w:r>
      <w:r w:rsidR="00A166CB">
        <w:t xml:space="preserve">la evocación </w:t>
      </w:r>
      <w:r w:rsidR="00C950BB">
        <w:t xml:space="preserve">del </w:t>
      </w:r>
      <w:r w:rsidR="00057BF4" w:rsidRPr="00057BF4">
        <w:rPr>
          <w:i/>
          <w:iCs/>
        </w:rPr>
        <w:t>Dhamma</w:t>
      </w:r>
      <w:r w:rsidR="00C950BB">
        <w:t xml:space="preserve"> explica</w:t>
      </w:r>
      <w:r w:rsidR="00A166CB">
        <w:t>da</w:t>
      </w:r>
      <w:r w:rsidR="00C950BB">
        <w:t xml:space="preserve"> detallada</w:t>
      </w:r>
      <w:r w:rsidR="00A166CB">
        <w:t>mente</w:t>
      </w:r>
      <w:r w:rsidR="00C950BB">
        <w:t>.</w:t>
      </w:r>
    </w:p>
    <w:p w14:paraId="4CBA016F" w14:textId="4277F44B" w:rsidR="00C950BB" w:rsidRDefault="00AB2B40" w:rsidP="00AB2B40">
      <w:pPr>
        <w:pStyle w:val="Ttulo3"/>
        <w:ind w:left="708"/>
      </w:pPr>
      <w:r>
        <w:t xml:space="preserve">[(3) </w:t>
      </w:r>
      <w:r w:rsidR="00D231D4">
        <w:t>Evocación</w:t>
      </w:r>
      <w:r>
        <w:t xml:space="preserve"> De</w:t>
      </w:r>
      <w:r w:rsidR="00D231D4">
        <w:t>l</w:t>
      </w:r>
      <w:r>
        <w:t xml:space="preserve"> </w:t>
      </w:r>
      <w:r w:rsidR="00057BF4" w:rsidRPr="00057BF4">
        <w:rPr>
          <w:i/>
          <w:iCs/>
        </w:rPr>
        <w:t>Saṅgha</w:t>
      </w:r>
      <w:r>
        <w:t>]</w:t>
      </w:r>
    </w:p>
    <w:p w14:paraId="16D5E95A" w14:textId="373ACCD1" w:rsidR="00C950BB" w:rsidRDefault="00C950BB" w:rsidP="00AB2B40">
      <w:r>
        <w:t xml:space="preserve">89. </w:t>
      </w:r>
      <w:r w:rsidR="00AB2B40">
        <w:tab/>
      </w:r>
      <w:r>
        <w:t xml:space="preserve">Quien quiera desarrollar </w:t>
      </w:r>
      <w:r w:rsidR="00A166CB">
        <w:t xml:space="preserve">la evocación </w:t>
      </w:r>
      <w:r>
        <w:t>de la Comunidad debe</w:t>
      </w:r>
      <w:r w:rsidR="00A166CB">
        <w:t>rá</w:t>
      </w:r>
      <w:r>
        <w:t xml:space="preserve"> </w:t>
      </w:r>
      <w:r w:rsidR="00A166CB">
        <w:t>dirigirse haci</w:t>
      </w:r>
      <w:r>
        <w:t xml:space="preserve">a un retiro solitario y </w:t>
      </w:r>
      <w:r w:rsidR="00A166CB">
        <w:t xml:space="preserve">evocar </w:t>
      </w:r>
      <w:r>
        <w:t>las cualidades especiales de la comunidad de Nobles de la siguiente manera:</w:t>
      </w:r>
    </w:p>
    <w:p w14:paraId="6638CFAD" w14:textId="2AD61603" w:rsidR="00E82302" w:rsidRDefault="00C950BB" w:rsidP="00C950BB">
      <w:pPr>
        <w:pStyle w:val="NormalConSangria"/>
      </w:pPr>
      <w:r>
        <w:t>“</w:t>
      </w:r>
      <w:r w:rsidRPr="00B77E0D">
        <w:rPr>
          <w:i/>
          <w:iCs/>
        </w:rPr>
        <w:t xml:space="preserve">La comunidad de discípulos del </w:t>
      </w:r>
      <w:r w:rsidR="00C16EE9" w:rsidRPr="00B77E0D">
        <w:rPr>
          <w:i/>
          <w:iCs/>
        </w:rPr>
        <w:t xml:space="preserve">Bhagavā </w:t>
      </w:r>
      <w:r w:rsidRPr="00B77E0D">
        <w:rPr>
          <w:i/>
          <w:iCs/>
        </w:rPr>
        <w:t xml:space="preserve">ha entrado </w:t>
      </w:r>
      <w:r w:rsidR="00C16EE9" w:rsidRPr="00B77E0D">
        <w:rPr>
          <w:i/>
          <w:iCs/>
        </w:rPr>
        <w:t>en</w:t>
      </w:r>
      <w:r w:rsidRPr="00B77E0D">
        <w:rPr>
          <w:i/>
          <w:iCs/>
        </w:rPr>
        <w:t xml:space="preserve"> el buen </w:t>
      </w:r>
      <w:r w:rsidR="00C16EE9" w:rsidRPr="00B77E0D">
        <w:rPr>
          <w:i/>
          <w:iCs/>
        </w:rPr>
        <w:t>sendero</w:t>
      </w:r>
      <w:r w:rsidRPr="00B77E0D">
        <w:rPr>
          <w:i/>
          <w:iCs/>
        </w:rPr>
        <w:t xml:space="preserve">, la comunidad de los discípulos del </w:t>
      </w:r>
      <w:r w:rsidR="00C16EE9" w:rsidRPr="00B77E0D">
        <w:rPr>
          <w:i/>
          <w:iCs/>
        </w:rPr>
        <w:t xml:space="preserve">Bhagavā </w:t>
      </w:r>
      <w:r w:rsidRPr="00B77E0D">
        <w:rPr>
          <w:i/>
          <w:iCs/>
        </w:rPr>
        <w:t xml:space="preserve">ha entrado </w:t>
      </w:r>
      <w:r w:rsidR="00C16EE9" w:rsidRPr="00B77E0D">
        <w:rPr>
          <w:i/>
          <w:iCs/>
        </w:rPr>
        <w:t>en</w:t>
      </w:r>
      <w:r w:rsidRPr="00B77E0D">
        <w:rPr>
          <w:i/>
          <w:iCs/>
        </w:rPr>
        <w:t xml:space="preserve"> el </w:t>
      </w:r>
      <w:r w:rsidR="00C16EE9" w:rsidRPr="00B77E0D">
        <w:rPr>
          <w:i/>
          <w:iCs/>
        </w:rPr>
        <w:t>sendero cor</w:t>
      </w:r>
      <w:r w:rsidRPr="00B77E0D">
        <w:rPr>
          <w:i/>
          <w:iCs/>
        </w:rPr>
        <w:t xml:space="preserve">recto, la comunidad de discípulos del </w:t>
      </w:r>
      <w:r w:rsidR="00C16EE9" w:rsidRPr="00B77E0D">
        <w:rPr>
          <w:i/>
          <w:iCs/>
        </w:rPr>
        <w:t xml:space="preserve">Bhagavā </w:t>
      </w:r>
      <w:r w:rsidRPr="00B77E0D">
        <w:rPr>
          <w:i/>
          <w:iCs/>
        </w:rPr>
        <w:t xml:space="preserve">ha entrado </w:t>
      </w:r>
      <w:r w:rsidR="00772B05">
        <w:rPr>
          <w:i/>
          <w:iCs/>
        </w:rPr>
        <w:t>a</w:t>
      </w:r>
      <w:r w:rsidRPr="00B77E0D">
        <w:rPr>
          <w:i/>
          <w:iCs/>
        </w:rPr>
        <w:t>l verdadero</w:t>
      </w:r>
      <w:r w:rsidR="00C16EE9" w:rsidRPr="00B77E0D">
        <w:rPr>
          <w:i/>
          <w:iCs/>
        </w:rPr>
        <w:t xml:space="preserve"> sendero</w:t>
      </w:r>
      <w:r w:rsidRPr="00B77E0D">
        <w:rPr>
          <w:i/>
          <w:iCs/>
        </w:rPr>
        <w:t xml:space="preserve">, la comunidad de discípulos del </w:t>
      </w:r>
      <w:r w:rsidR="00C16EE9" w:rsidRPr="00B77E0D">
        <w:rPr>
          <w:i/>
          <w:iCs/>
        </w:rPr>
        <w:t xml:space="preserve">Bhagavā </w:t>
      </w:r>
      <w:r w:rsidRPr="00B77E0D">
        <w:rPr>
          <w:i/>
          <w:iCs/>
        </w:rPr>
        <w:t xml:space="preserve">ha entrado </w:t>
      </w:r>
      <w:r w:rsidR="00C16EE9" w:rsidRPr="00B77E0D">
        <w:rPr>
          <w:i/>
          <w:iCs/>
        </w:rPr>
        <w:t>en</w:t>
      </w:r>
      <w:r w:rsidRPr="00B77E0D">
        <w:rPr>
          <w:i/>
          <w:iCs/>
        </w:rPr>
        <w:t xml:space="preserve"> el </w:t>
      </w:r>
      <w:r w:rsidR="00C16EE9" w:rsidRPr="00B77E0D">
        <w:rPr>
          <w:i/>
          <w:iCs/>
        </w:rPr>
        <w:t>sendero apropiado</w:t>
      </w:r>
      <w:r w:rsidRPr="00B77E0D">
        <w:rPr>
          <w:i/>
          <w:iCs/>
        </w:rPr>
        <w:t xml:space="preserve">, la comunidad de discípulos del </w:t>
      </w:r>
      <w:r w:rsidR="00C16EE9" w:rsidRPr="00B77E0D">
        <w:rPr>
          <w:i/>
          <w:iCs/>
        </w:rPr>
        <w:t xml:space="preserve">Bhagavā </w:t>
      </w:r>
      <w:r w:rsidRPr="00B77E0D">
        <w:rPr>
          <w:i/>
          <w:iCs/>
        </w:rPr>
        <w:t xml:space="preserve">ha entrado </w:t>
      </w:r>
      <w:r w:rsidR="00C16EE9" w:rsidRPr="00B77E0D">
        <w:rPr>
          <w:i/>
          <w:iCs/>
        </w:rPr>
        <w:t>en</w:t>
      </w:r>
      <w:r w:rsidRPr="00B77E0D">
        <w:rPr>
          <w:i/>
          <w:iCs/>
        </w:rPr>
        <w:t xml:space="preserve"> el </w:t>
      </w:r>
      <w:r w:rsidR="00C16EE9" w:rsidRPr="00B77E0D">
        <w:rPr>
          <w:i/>
          <w:iCs/>
        </w:rPr>
        <w:t xml:space="preserve">sendero </w:t>
      </w:r>
      <w:r w:rsidRPr="00B77E0D">
        <w:rPr>
          <w:i/>
          <w:iCs/>
        </w:rPr>
        <w:t>recto</w:t>
      </w:r>
      <w:r w:rsidR="00B36E31">
        <w:rPr>
          <w:i/>
          <w:iCs/>
        </w:rPr>
        <w:t>,</w:t>
      </w:r>
      <w:r w:rsidRPr="00B77E0D">
        <w:rPr>
          <w:i/>
          <w:iCs/>
        </w:rPr>
        <w:t xml:space="preserve"> ha entrado </w:t>
      </w:r>
      <w:r w:rsidR="00CC6595" w:rsidRPr="00B77E0D">
        <w:rPr>
          <w:i/>
          <w:iCs/>
        </w:rPr>
        <w:t>en</w:t>
      </w:r>
      <w:r w:rsidRPr="00B77E0D">
        <w:rPr>
          <w:i/>
          <w:iCs/>
        </w:rPr>
        <w:t xml:space="preserve"> el </w:t>
      </w:r>
      <w:r w:rsidR="00CC6595" w:rsidRPr="00B77E0D">
        <w:rPr>
          <w:i/>
          <w:iCs/>
        </w:rPr>
        <w:t xml:space="preserve">sendero </w:t>
      </w:r>
      <w:r w:rsidRPr="00B77E0D">
        <w:rPr>
          <w:i/>
          <w:iCs/>
        </w:rPr>
        <w:t xml:space="preserve">debido, es decir, </w:t>
      </w:r>
      <w:r w:rsidR="00D94601" w:rsidRPr="00B77E0D">
        <w:rPr>
          <w:i/>
          <w:iCs/>
        </w:rPr>
        <w:t xml:space="preserve">el de </w:t>
      </w:r>
      <w:r w:rsidRPr="00B77E0D">
        <w:rPr>
          <w:i/>
          <w:iCs/>
        </w:rPr>
        <w:t>l</w:t>
      </w:r>
      <w:r w:rsidR="00D94601" w:rsidRPr="00B77E0D">
        <w:rPr>
          <w:i/>
          <w:iCs/>
        </w:rPr>
        <w:t>o</w:t>
      </w:r>
      <w:r w:rsidRPr="00B77E0D">
        <w:rPr>
          <w:i/>
          <w:iCs/>
        </w:rPr>
        <w:t>s cuatro pares de hombres, l</w:t>
      </w:r>
      <w:r w:rsidR="00D94601" w:rsidRPr="00B77E0D">
        <w:rPr>
          <w:i/>
          <w:iCs/>
        </w:rPr>
        <w:t>a</w:t>
      </w:r>
      <w:r w:rsidRPr="00B77E0D">
        <w:rPr>
          <w:i/>
          <w:iCs/>
        </w:rPr>
        <w:t xml:space="preserve">s ocho personas; esta comunidad de discípulos del </w:t>
      </w:r>
      <w:r w:rsidR="00D94601" w:rsidRPr="00B77E0D">
        <w:rPr>
          <w:i/>
          <w:iCs/>
        </w:rPr>
        <w:t xml:space="preserve">Bhagavā </w:t>
      </w:r>
      <w:r w:rsidRPr="00B77E0D">
        <w:rPr>
          <w:i/>
          <w:iCs/>
        </w:rPr>
        <w:t xml:space="preserve">es apta </w:t>
      </w:r>
      <w:r w:rsidR="00D94601" w:rsidRPr="00B77E0D">
        <w:rPr>
          <w:i/>
          <w:iCs/>
        </w:rPr>
        <w:t>de ofrecimientos</w:t>
      </w:r>
      <w:r w:rsidRPr="00B77E0D">
        <w:rPr>
          <w:i/>
          <w:iCs/>
        </w:rPr>
        <w:t xml:space="preserve">, apta </w:t>
      </w:r>
      <w:r w:rsidR="00D94601" w:rsidRPr="00B77E0D">
        <w:rPr>
          <w:i/>
          <w:iCs/>
        </w:rPr>
        <w:t xml:space="preserve">de </w:t>
      </w:r>
      <w:r w:rsidRPr="00B77E0D">
        <w:rPr>
          <w:i/>
          <w:iCs/>
        </w:rPr>
        <w:t xml:space="preserve">hospitalidad, apta </w:t>
      </w:r>
      <w:r w:rsidR="00D94601" w:rsidRPr="00B77E0D">
        <w:rPr>
          <w:i/>
          <w:iCs/>
        </w:rPr>
        <w:t xml:space="preserve">de </w:t>
      </w:r>
      <w:r w:rsidRPr="00B77E0D">
        <w:rPr>
          <w:i/>
          <w:iCs/>
        </w:rPr>
        <w:t xml:space="preserve">ofrendas, apta </w:t>
      </w:r>
      <w:r w:rsidR="00D94601" w:rsidRPr="00B77E0D">
        <w:rPr>
          <w:i/>
          <w:iCs/>
        </w:rPr>
        <w:t xml:space="preserve">de </w:t>
      </w:r>
      <w:r w:rsidR="000241A7" w:rsidRPr="00B77E0D">
        <w:rPr>
          <w:i/>
          <w:iCs/>
        </w:rPr>
        <w:t>recibir</w:t>
      </w:r>
      <w:r w:rsidRPr="00B77E0D">
        <w:rPr>
          <w:i/>
          <w:iCs/>
        </w:rPr>
        <w:t xml:space="preserve"> saludo</w:t>
      </w:r>
      <w:r w:rsidR="000241A7" w:rsidRPr="00B77E0D">
        <w:rPr>
          <w:i/>
          <w:iCs/>
        </w:rPr>
        <w:t>s</w:t>
      </w:r>
      <w:r w:rsidRPr="00B77E0D">
        <w:rPr>
          <w:i/>
          <w:iCs/>
        </w:rPr>
        <w:t xml:space="preserve"> reverencial</w:t>
      </w:r>
      <w:r w:rsidR="000241A7" w:rsidRPr="00B77E0D">
        <w:rPr>
          <w:i/>
          <w:iCs/>
        </w:rPr>
        <w:t>es</w:t>
      </w:r>
      <w:r w:rsidRPr="00B77E0D">
        <w:rPr>
          <w:i/>
          <w:iCs/>
        </w:rPr>
        <w:t xml:space="preserve">, </w:t>
      </w:r>
      <w:r w:rsidR="000241A7" w:rsidRPr="00B77E0D">
        <w:rPr>
          <w:i/>
          <w:iCs/>
        </w:rPr>
        <w:t xml:space="preserve">es </w:t>
      </w:r>
      <w:r w:rsidRPr="00B77E0D">
        <w:rPr>
          <w:i/>
          <w:iCs/>
        </w:rPr>
        <w:t xml:space="preserve">como </w:t>
      </w:r>
      <w:r w:rsidR="002A66AE">
        <w:rPr>
          <w:i/>
          <w:iCs/>
        </w:rPr>
        <w:t xml:space="preserve">un </w:t>
      </w:r>
      <w:r w:rsidRPr="00B77E0D">
        <w:rPr>
          <w:i/>
          <w:iCs/>
        </w:rPr>
        <w:t>incomparable campo de mérito</w:t>
      </w:r>
      <w:r w:rsidR="000241A7" w:rsidRPr="00B77E0D">
        <w:rPr>
          <w:i/>
          <w:iCs/>
        </w:rPr>
        <w:t>s</w:t>
      </w:r>
      <w:r w:rsidRPr="00B77E0D">
        <w:rPr>
          <w:i/>
          <w:iCs/>
        </w:rPr>
        <w:t xml:space="preserve"> para el mundo</w:t>
      </w:r>
      <w:r>
        <w:t>” (A III 286).</w:t>
      </w:r>
    </w:p>
    <w:p w14:paraId="08CF693D" w14:textId="5155FE97" w:rsidR="00C950BB" w:rsidRDefault="00AB2B40" w:rsidP="000241A7">
      <w:pPr>
        <w:pStyle w:val="Ttulo4"/>
        <w:ind w:left="708"/>
      </w:pPr>
      <w:r>
        <w:t>[</w:t>
      </w:r>
      <w:r w:rsidR="00B77E0D">
        <w:t>Ha e</w:t>
      </w:r>
      <w:r>
        <w:t xml:space="preserve">ntrado en el </w:t>
      </w:r>
      <w:r w:rsidR="00B77E0D">
        <w:t>buen</w:t>
      </w:r>
      <w:r>
        <w:t xml:space="preserve">, </w:t>
      </w:r>
      <w:r w:rsidR="00B77E0D">
        <w:t>recto</w:t>
      </w:r>
      <w:r>
        <w:t xml:space="preserve">, </w:t>
      </w:r>
      <w:r w:rsidR="00B77E0D">
        <w:t xml:space="preserve">verdadero </w:t>
      </w:r>
      <w:r>
        <w:t xml:space="preserve">y </w:t>
      </w:r>
      <w:r w:rsidR="00B77E0D">
        <w:t>apropiado</w:t>
      </w:r>
      <w:r w:rsidR="008B0069" w:rsidRPr="008B0069">
        <w:t xml:space="preserve"> </w:t>
      </w:r>
      <w:r w:rsidR="008B0069">
        <w:t>sendero</w:t>
      </w:r>
      <w:r>
        <w:t>]</w:t>
      </w:r>
    </w:p>
    <w:p w14:paraId="1967F922" w14:textId="53C8EA41" w:rsidR="00AB2B40" w:rsidRDefault="00C950BB" w:rsidP="00AB2B40">
      <w:r>
        <w:t xml:space="preserve">90. </w:t>
      </w:r>
      <w:r w:rsidR="00AB2B40">
        <w:tab/>
      </w:r>
      <w:r w:rsidRPr="00F94145">
        <w:t xml:space="preserve">Aquí, </w:t>
      </w:r>
      <w:r w:rsidR="008B0069">
        <w:rPr>
          <w:i/>
          <w:iCs/>
        </w:rPr>
        <w:t>ha entrado</w:t>
      </w:r>
      <w:r w:rsidRPr="000520A2">
        <w:rPr>
          <w:i/>
          <w:iCs/>
        </w:rPr>
        <w:t xml:space="preserve"> en el buen </w:t>
      </w:r>
      <w:r w:rsidR="00F94145" w:rsidRPr="00F94145">
        <w:rPr>
          <w:i/>
          <w:iCs/>
        </w:rPr>
        <w:t xml:space="preserve">sendero </w:t>
      </w:r>
      <w:r>
        <w:t>(</w:t>
      </w:r>
      <w:proofErr w:type="spellStart"/>
      <w:r w:rsidRPr="000520A2">
        <w:rPr>
          <w:i/>
          <w:iCs/>
        </w:rPr>
        <w:t>supaṭipanna</w:t>
      </w:r>
      <w:proofErr w:type="spellEnd"/>
      <w:r>
        <w:t xml:space="preserve">) </w:t>
      </w:r>
      <w:r w:rsidR="008B0069">
        <w:t>significar</w:t>
      </w:r>
      <w:r w:rsidR="00C555B9">
        <w:t>á</w:t>
      </w:r>
      <w:r w:rsidR="008B0069">
        <w:t xml:space="preserve"> </w:t>
      </w:r>
      <w:r w:rsidR="00BA58CF">
        <w:t xml:space="preserve">haber </w:t>
      </w:r>
      <w:r>
        <w:t>entra</w:t>
      </w:r>
      <w:r w:rsidR="00BA58CF">
        <w:t>do</w:t>
      </w:r>
      <w:r>
        <w:t xml:space="preserve"> completamente en el </w:t>
      </w:r>
      <w:r w:rsidR="00F94145">
        <w:t xml:space="preserve">sendero </w:t>
      </w:r>
      <w:r>
        <w:t>(</w:t>
      </w:r>
      <w:proofErr w:type="spellStart"/>
      <w:r w:rsidRPr="000520A2">
        <w:rPr>
          <w:i/>
          <w:iCs/>
        </w:rPr>
        <w:t>suṭṭhu</w:t>
      </w:r>
      <w:proofErr w:type="spellEnd"/>
      <w:r>
        <w:t xml:space="preserve"> </w:t>
      </w:r>
      <w:proofErr w:type="spellStart"/>
      <w:r w:rsidRPr="000520A2">
        <w:rPr>
          <w:i/>
          <w:iCs/>
        </w:rPr>
        <w:t>paṭipanna</w:t>
      </w:r>
      <w:proofErr w:type="spellEnd"/>
      <w:r>
        <w:t xml:space="preserve">). Lo que </w:t>
      </w:r>
      <w:r w:rsidR="00F94145">
        <w:t xml:space="preserve">se </w:t>
      </w:r>
      <w:r>
        <w:t xml:space="preserve">quiere decir es que </w:t>
      </w:r>
      <w:r w:rsidR="008D3535">
        <w:t xml:space="preserve">se </w:t>
      </w:r>
      <w:r>
        <w:t xml:space="preserve">ha entrado </w:t>
      </w:r>
      <w:r w:rsidR="008D3535">
        <w:t>a</w:t>
      </w:r>
      <w:r>
        <w:t xml:space="preserve"> un </w:t>
      </w:r>
      <w:r w:rsidR="00F94145">
        <w:t xml:space="preserve">sendero </w:t>
      </w:r>
      <w:r>
        <w:t>(</w:t>
      </w:r>
      <w:proofErr w:type="spellStart"/>
      <w:r w:rsidRPr="00362619">
        <w:rPr>
          <w:i/>
          <w:iCs/>
        </w:rPr>
        <w:t>paṭipanna</w:t>
      </w:r>
      <w:proofErr w:type="spellEnd"/>
      <w:r>
        <w:t xml:space="preserve">) </w:t>
      </w:r>
      <w:r w:rsidR="008D3535">
        <w:t>el cual</w:t>
      </w:r>
      <w:r>
        <w:t xml:space="preserve"> es el </w:t>
      </w:r>
      <w:r w:rsidR="005B404A">
        <w:t xml:space="preserve">sendero </w:t>
      </w:r>
      <w:r w:rsidR="00D16C57">
        <w:t>corr</w:t>
      </w:r>
      <w:r>
        <w:t>ecto (</w:t>
      </w:r>
      <w:proofErr w:type="spellStart"/>
      <w:r w:rsidR="00057BF4" w:rsidRPr="00057BF4">
        <w:rPr>
          <w:i/>
          <w:iCs/>
        </w:rPr>
        <w:t>sammā</w:t>
      </w:r>
      <w:r w:rsidRPr="00362619">
        <w:rPr>
          <w:i/>
          <w:iCs/>
        </w:rPr>
        <w:t>-paṭipadā</w:t>
      </w:r>
      <w:proofErr w:type="spellEnd"/>
      <w:r>
        <w:t xml:space="preserve">), el </w:t>
      </w:r>
      <w:r w:rsidR="005B404A">
        <w:t xml:space="preserve">sendero </w:t>
      </w:r>
      <w:r>
        <w:t xml:space="preserve">que es irreversible, el </w:t>
      </w:r>
      <w:r w:rsidR="005B404A">
        <w:t xml:space="preserve">sendero </w:t>
      </w:r>
      <w:r>
        <w:t xml:space="preserve">que está en conformidad con la verdad, el </w:t>
      </w:r>
      <w:r w:rsidR="005B404A">
        <w:t xml:space="preserve">sendero </w:t>
      </w:r>
      <w:r>
        <w:t xml:space="preserve">que no tiene oposición, el </w:t>
      </w:r>
      <w:r w:rsidR="005B404A">
        <w:t xml:space="preserve">sendero </w:t>
      </w:r>
      <w:r>
        <w:t>que está regulad</w:t>
      </w:r>
      <w:r w:rsidR="006927F3">
        <w:t>o</w:t>
      </w:r>
      <w:r>
        <w:t xml:space="preserve"> por el </w:t>
      </w:r>
      <w:r w:rsidR="00057BF4" w:rsidRPr="00057BF4">
        <w:rPr>
          <w:i/>
        </w:rPr>
        <w:t>Dhamma</w:t>
      </w:r>
      <w:r>
        <w:t xml:space="preserve">. </w:t>
      </w:r>
      <w:r w:rsidR="006927F3">
        <w:t>Ellos o</w:t>
      </w:r>
      <w:r>
        <w:t>yen (</w:t>
      </w:r>
      <w:proofErr w:type="spellStart"/>
      <w:r w:rsidRPr="00362619">
        <w:rPr>
          <w:i/>
          <w:iCs/>
        </w:rPr>
        <w:t>suṇanti</w:t>
      </w:r>
      <w:proofErr w:type="spellEnd"/>
      <w:r>
        <w:t xml:space="preserve">) atentamente las instrucciones del </w:t>
      </w:r>
      <w:r w:rsidR="006927F3">
        <w:rPr>
          <w:i/>
          <w:iCs/>
        </w:rPr>
        <w:t>Bhagavā</w:t>
      </w:r>
      <w:r>
        <w:t xml:space="preserve">, por lo </w:t>
      </w:r>
      <w:r w:rsidR="00D16C57">
        <w:t>cual</w:t>
      </w:r>
      <w:r>
        <w:t xml:space="preserve"> son sus discípulos (</w:t>
      </w:r>
      <w:proofErr w:type="spellStart"/>
      <w:r w:rsidRPr="00362619">
        <w:rPr>
          <w:i/>
          <w:iCs/>
        </w:rPr>
        <w:t>sāvaka</w:t>
      </w:r>
      <w:proofErr w:type="spellEnd"/>
      <w:r>
        <w:t>—</w:t>
      </w:r>
      <w:proofErr w:type="spellStart"/>
      <w:r>
        <w:t>lit.</w:t>
      </w:r>
      <w:proofErr w:type="spellEnd"/>
      <w:r>
        <w:t xml:space="preserve"> “oyentes”). </w:t>
      </w:r>
      <w:r w:rsidRPr="00362619">
        <w:rPr>
          <w:i/>
          <w:iCs/>
        </w:rPr>
        <w:t>La comunidad de discípulos</w:t>
      </w:r>
      <w:r>
        <w:t xml:space="preserve"> es la comunidad de esos discípulos. </w:t>
      </w:r>
      <w:r w:rsidR="0094468F">
        <w:t xml:space="preserve">El </w:t>
      </w:r>
      <w:r w:rsidR="0094468F" w:rsidRPr="00362619">
        <w:t>significado</w:t>
      </w:r>
      <w:r w:rsidR="0094468F">
        <w:t xml:space="preserve"> es que la totalidad de sus discípulos conforma una comunidad</w:t>
      </w:r>
    </w:p>
    <w:p w14:paraId="5CB53A06" w14:textId="77777777" w:rsidR="00AB2B40" w:rsidRDefault="00AB2B40">
      <w:pPr>
        <w:tabs>
          <w:tab w:val="clear" w:pos="425"/>
        </w:tabs>
        <w:spacing w:after="160"/>
      </w:pPr>
      <w:r>
        <w:br w:type="page"/>
      </w:r>
    </w:p>
    <w:p w14:paraId="67E07C09" w14:textId="77777777" w:rsidR="00F30178" w:rsidRDefault="00F30178" w:rsidP="00AB2B40"/>
    <w:p w14:paraId="4C9D1B84" w14:textId="66EC42BD" w:rsidR="00CC2D6D" w:rsidRDefault="00CC2D6D" w:rsidP="00CC2D6D">
      <w:r>
        <w:t>porque posee en común tanto virtud como visión correcta. [219] Es</w:t>
      </w:r>
      <w:r w:rsidR="00770777">
        <w:t>t</w:t>
      </w:r>
      <w:r>
        <w:t xml:space="preserve">e </w:t>
      </w:r>
      <w:r w:rsidR="00844C19">
        <w:t xml:space="preserve">sendero </w:t>
      </w:r>
      <w:r w:rsidR="00770777">
        <w:t>cor</w:t>
      </w:r>
      <w:r>
        <w:t xml:space="preserve">recto, </w:t>
      </w:r>
      <w:r w:rsidR="00770777">
        <w:t>al ser</w:t>
      </w:r>
      <w:r>
        <w:t xml:space="preserve"> </w:t>
      </w:r>
      <w:r w:rsidRPr="00D23BB0">
        <w:rPr>
          <w:i/>
          <w:iCs/>
        </w:rPr>
        <w:t>recto</w:t>
      </w:r>
      <w:r>
        <w:t xml:space="preserve">, no torcido, no </w:t>
      </w:r>
      <w:r w:rsidR="00770777">
        <w:t>plegado</w:t>
      </w:r>
      <w:r>
        <w:t xml:space="preserve">, </w:t>
      </w:r>
      <w:r w:rsidR="00254F96">
        <w:t>sin bifurcación</w:t>
      </w:r>
      <w:r>
        <w:t xml:space="preserve">, se </w:t>
      </w:r>
      <w:r w:rsidR="00254F96">
        <w:t xml:space="preserve">le </w:t>
      </w:r>
      <w:r>
        <w:t>llama noble y verdadero</w:t>
      </w:r>
      <w:r w:rsidR="00770777">
        <w:t>,</w:t>
      </w:r>
      <w:r>
        <w:t xml:space="preserve"> y se </w:t>
      </w:r>
      <w:r w:rsidR="00254F96">
        <w:t xml:space="preserve">le </w:t>
      </w:r>
      <w:r>
        <w:t xml:space="preserve">conoce como </w:t>
      </w:r>
      <w:r w:rsidR="00254F96">
        <w:t>a</w:t>
      </w:r>
      <w:r>
        <w:t>propi</w:t>
      </w:r>
      <w:r w:rsidR="00254F96">
        <w:t>ado</w:t>
      </w:r>
      <w:r>
        <w:t xml:space="preserve"> debido a su conveniencia, por lo tanto, la comunidad noble que ha</w:t>
      </w:r>
      <w:r w:rsidR="00254F96">
        <w:t>ya</w:t>
      </w:r>
      <w:r>
        <w:t xml:space="preserve"> entrado en </w:t>
      </w:r>
      <w:r w:rsidR="00E2109B">
        <w:t xml:space="preserve">él </w:t>
      </w:r>
      <w:r>
        <w:t>también se di</w:t>
      </w:r>
      <w:r w:rsidR="00E2109B">
        <w:t>rá</w:t>
      </w:r>
      <w:r>
        <w:t xml:space="preserve"> que ha entrado en el </w:t>
      </w:r>
      <w:r w:rsidR="00E2109B">
        <w:t xml:space="preserve">sendero </w:t>
      </w:r>
      <w:r w:rsidR="00770777">
        <w:t>cor</w:t>
      </w:r>
      <w:r>
        <w:t xml:space="preserve">recto, </w:t>
      </w:r>
      <w:r w:rsidR="00F679B4">
        <w:t xml:space="preserve">ha </w:t>
      </w:r>
      <w:r w:rsidRPr="00362619">
        <w:rPr>
          <w:i/>
          <w:iCs/>
        </w:rPr>
        <w:t>entr</w:t>
      </w:r>
      <w:r w:rsidR="00F679B4">
        <w:rPr>
          <w:i/>
          <w:iCs/>
        </w:rPr>
        <w:t>ado</w:t>
      </w:r>
      <w:r w:rsidRPr="00362619">
        <w:rPr>
          <w:i/>
          <w:iCs/>
        </w:rPr>
        <w:t xml:space="preserve"> </w:t>
      </w:r>
      <w:r w:rsidR="00E2109B">
        <w:rPr>
          <w:i/>
          <w:iCs/>
        </w:rPr>
        <w:t>en</w:t>
      </w:r>
      <w:r w:rsidRPr="00362619">
        <w:rPr>
          <w:i/>
          <w:iCs/>
        </w:rPr>
        <w:t xml:space="preserve"> el verdadero</w:t>
      </w:r>
      <w:r w:rsidR="00E2109B" w:rsidRPr="00E2109B">
        <w:t xml:space="preserve"> </w:t>
      </w:r>
      <w:r w:rsidR="00E2109B" w:rsidRPr="00E2109B">
        <w:rPr>
          <w:i/>
          <w:iCs/>
        </w:rPr>
        <w:t>sendero</w:t>
      </w:r>
      <w:r w:rsidRPr="00362619">
        <w:rPr>
          <w:i/>
          <w:iCs/>
        </w:rPr>
        <w:t xml:space="preserve">, y </w:t>
      </w:r>
      <w:r w:rsidR="00F679B4">
        <w:rPr>
          <w:i/>
          <w:iCs/>
        </w:rPr>
        <w:t xml:space="preserve">ha </w:t>
      </w:r>
      <w:r w:rsidRPr="00362619">
        <w:rPr>
          <w:i/>
          <w:iCs/>
        </w:rPr>
        <w:t>entr</w:t>
      </w:r>
      <w:r w:rsidR="00F679B4">
        <w:rPr>
          <w:i/>
          <w:iCs/>
        </w:rPr>
        <w:t>ado</w:t>
      </w:r>
      <w:r w:rsidRPr="00362619">
        <w:rPr>
          <w:i/>
          <w:iCs/>
        </w:rPr>
        <w:t xml:space="preserve"> </w:t>
      </w:r>
      <w:r w:rsidR="00E2109B">
        <w:rPr>
          <w:i/>
          <w:iCs/>
        </w:rPr>
        <w:t>en</w:t>
      </w:r>
      <w:r w:rsidRPr="00362619">
        <w:rPr>
          <w:i/>
          <w:iCs/>
        </w:rPr>
        <w:t xml:space="preserve"> el </w:t>
      </w:r>
      <w:r w:rsidR="00E2109B" w:rsidRPr="00E2109B">
        <w:rPr>
          <w:i/>
          <w:iCs/>
        </w:rPr>
        <w:t xml:space="preserve">sendero </w:t>
      </w:r>
      <w:r w:rsidR="00E2109B">
        <w:rPr>
          <w:i/>
          <w:iCs/>
        </w:rPr>
        <w:t>apropiado</w:t>
      </w:r>
      <w:r>
        <w:t>.</w:t>
      </w:r>
    </w:p>
    <w:p w14:paraId="423563AE" w14:textId="09E31214" w:rsidR="00CC2D6D" w:rsidRDefault="00CC2D6D" w:rsidP="00CC2D6D">
      <w:r>
        <w:t xml:space="preserve">91. </w:t>
      </w:r>
      <w:r>
        <w:tab/>
        <w:t xml:space="preserve">Se puede entender que los que </w:t>
      </w:r>
      <w:r w:rsidR="00E2109B">
        <w:t>se encuentren</w:t>
      </w:r>
      <w:r>
        <w:t xml:space="preserve"> en el </w:t>
      </w:r>
      <w:r w:rsidR="00E2109B">
        <w:t xml:space="preserve">sendero </w:t>
      </w:r>
      <w:r>
        <w:t xml:space="preserve">han entrado en el buen </w:t>
      </w:r>
      <w:r w:rsidR="00E2109B">
        <w:t>sendero</w:t>
      </w:r>
      <w:r>
        <w:t xml:space="preserve">, ya que poseen el </w:t>
      </w:r>
      <w:r w:rsidR="00E2109B">
        <w:t xml:space="preserve">sendero </w:t>
      </w:r>
      <w:r>
        <w:t>correcto. Y los que est</w:t>
      </w:r>
      <w:r w:rsidR="00E2109B">
        <w:t>é</w:t>
      </w:r>
      <w:r>
        <w:t xml:space="preserve">n en </w:t>
      </w:r>
      <w:r w:rsidR="00E2109B">
        <w:t xml:space="preserve">la </w:t>
      </w:r>
      <w:r>
        <w:t xml:space="preserve">fruición se puede entender </w:t>
      </w:r>
      <w:r w:rsidRPr="00362619">
        <w:rPr>
          <w:i/>
          <w:iCs/>
        </w:rPr>
        <w:t xml:space="preserve">que han entrado en el buen </w:t>
      </w:r>
      <w:r w:rsidR="00E2109B" w:rsidRPr="00E2109B">
        <w:rPr>
          <w:i/>
          <w:iCs/>
        </w:rPr>
        <w:t xml:space="preserve">sendero </w:t>
      </w:r>
      <w:r>
        <w:t xml:space="preserve">con respecto al </w:t>
      </w:r>
      <w:r w:rsidR="00E2109B">
        <w:t xml:space="preserve">sendero </w:t>
      </w:r>
      <w:r>
        <w:t xml:space="preserve">que </w:t>
      </w:r>
      <w:r w:rsidR="00E93E23">
        <w:t>ya</w:t>
      </w:r>
      <w:r>
        <w:t xml:space="preserve"> </w:t>
      </w:r>
      <w:r w:rsidR="00E2109B">
        <w:t>se haya</w:t>
      </w:r>
      <w:r>
        <w:t xml:space="preserve"> </w:t>
      </w:r>
      <w:r w:rsidR="00E2109B">
        <w:t>recorrido</w:t>
      </w:r>
      <w:r>
        <w:t xml:space="preserve">, ya que por medio del </w:t>
      </w:r>
      <w:r w:rsidR="00E2109B">
        <w:t xml:space="preserve">sendero </w:t>
      </w:r>
      <w:r>
        <w:t xml:space="preserve">correcto han </w:t>
      </w:r>
      <w:r w:rsidR="00E2109B">
        <w:t>consumado</w:t>
      </w:r>
      <w:r>
        <w:t xml:space="preserve"> lo que deb</w:t>
      </w:r>
      <w:r w:rsidR="00E93E23">
        <w:t>ía</w:t>
      </w:r>
      <w:r>
        <w:t xml:space="preserve"> </w:t>
      </w:r>
      <w:r w:rsidR="00E2109B">
        <w:t>consumarse</w:t>
      </w:r>
      <w:r>
        <w:t>.</w:t>
      </w:r>
    </w:p>
    <w:p w14:paraId="153DE40E" w14:textId="6D09F2AF" w:rsidR="00CC2D6D" w:rsidRDefault="00CC2D6D" w:rsidP="00CC2D6D">
      <w:r>
        <w:t xml:space="preserve">92. </w:t>
      </w:r>
      <w:r>
        <w:tab/>
        <w:t xml:space="preserve">Además, la Comunidad ha entrado en el buen </w:t>
      </w:r>
      <w:r w:rsidR="005576C0">
        <w:t xml:space="preserve">sendero </w:t>
      </w:r>
      <w:r>
        <w:t xml:space="preserve">porque ha entrado en el </w:t>
      </w:r>
      <w:r w:rsidR="005576C0">
        <w:t xml:space="preserve">sendero </w:t>
      </w:r>
      <w:proofErr w:type="gramStart"/>
      <w:r>
        <w:t xml:space="preserve">de acuerdo </w:t>
      </w:r>
      <w:r w:rsidR="00EC0FC9">
        <w:t>a</w:t>
      </w:r>
      <w:proofErr w:type="gramEnd"/>
      <w:r>
        <w:t xml:space="preserve"> las instrucciones del </w:t>
      </w:r>
      <w:r w:rsidR="00057BF4" w:rsidRPr="00057BF4">
        <w:rPr>
          <w:i/>
          <w:iCs/>
        </w:rPr>
        <w:t>Dhamma</w:t>
      </w:r>
      <w:r>
        <w:t xml:space="preserve"> y </w:t>
      </w:r>
      <w:r w:rsidR="005576C0">
        <w:t xml:space="preserve">la </w:t>
      </w:r>
      <w:r>
        <w:t>Disciplina (</w:t>
      </w:r>
      <w:r w:rsidR="00057BF4" w:rsidRPr="00057BF4">
        <w:rPr>
          <w:i/>
          <w:iCs/>
        </w:rPr>
        <w:t>Dhamma</w:t>
      </w:r>
      <w:r w:rsidRPr="00362619">
        <w:rPr>
          <w:i/>
          <w:iCs/>
        </w:rPr>
        <w:t>-</w:t>
      </w:r>
      <w:proofErr w:type="spellStart"/>
      <w:r w:rsidRPr="00362619">
        <w:rPr>
          <w:i/>
          <w:iCs/>
        </w:rPr>
        <w:t>vinaya</w:t>
      </w:r>
      <w:proofErr w:type="spellEnd"/>
      <w:r>
        <w:t>)</w:t>
      </w:r>
      <w:r w:rsidR="00EC0FC9">
        <w:t xml:space="preserve"> que están bien proclamados</w:t>
      </w:r>
      <w:r>
        <w:t xml:space="preserve">, y porque ha entrado en el </w:t>
      </w:r>
      <w:r w:rsidR="005576C0">
        <w:t xml:space="preserve">sendero </w:t>
      </w:r>
      <w:r>
        <w:t xml:space="preserve">inmaculado. Ha entrado en el </w:t>
      </w:r>
      <w:r w:rsidR="005576C0">
        <w:t xml:space="preserve">sendero </w:t>
      </w:r>
      <w:r w:rsidR="00EC0FC9">
        <w:t>cor</w:t>
      </w:r>
      <w:r>
        <w:t xml:space="preserve">recto porque ha entrado en el </w:t>
      </w:r>
      <w:r w:rsidR="005576C0">
        <w:t xml:space="preserve">sendero </w:t>
      </w:r>
      <w:r>
        <w:t xml:space="preserve">evitando los dos extremos y </w:t>
      </w:r>
      <w:r w:rsidR="00EC0FC9">
        <w:t>adoptad</w:t>
      </w:r>
      <w:r w:rsidR="003F2EF5">
        <w:t>o</w:t>
      </w:r>
      <w:r>
        <w:t xml:space="preserve"> el </w:t>
      </w:r>
      <w:r w:rsidR="005576C0">
        <w:t xml:space="preserve">sendero </w:t>
      </w:r>
      <w:r>
        <w:t xml:space="preserve">medio, y porque ha entrado en el </w:t>
      </w:r>
      <w:r w:rsidR="005576C0">
        <w:t xml:space="preserve">sendero </w:t>
      </w:r>
      <w:r>
        <w:t>del abandono de l</w:t>
      </w:r>
      <w:r w:rsidR="003F2EF5">
        <w:t>o</w:t>
      </w:r>
      <w:r>
        <w:t xml:space="preserve">s </w:t>
      </w:r>
      <w:r w:rsidR="003F2EF5">
        <w:t>defectos</w:t>
      </w:r>
      <w:r>
        <w:t xml:space="preserve"> de </w:t>
      </w:r>
      <w:r w:rsidR="003F2EF5">
        <w:t xml:space="preserve">la </w:t>
      </w:r>
      <w:r>
        <w:t xml:space="preserve">tortuosidad, </w:t>
      </w:r>
      <w:r w:rsidR="003F2EF5">
        <w:t xml:space="preserve">la </w:t>
      </w:r>
      <w:proofErr w:type="spellStart"/>
      <w:r w:rsidR="003F2EF5">
        <w:t>auto</w:t>
      </w:r>
      <w:r w:rsidR="00F07E11">
        <w:t>mortificación</w:t>
      </w:r>
      <w:proofErr w:type="spellEnd"/>
      <w:r w:rsidR="00F07E11">
        <w:t>,</w:t>
      </w:r>
      <w:r>
        <w:t xml:space="preserve"> </w:t>
      </w:r>
      <w:r w:rsidR="003F2EF5">
        <w:t xml:space="preserve">la </w:t>
      </w:r>
      <w:r>
        <w:t xml:space="preserve">deformación corporal y verbal. </w:t>
      </w:r>
      <w:r w:rsidRPr="00375A71">
        <w:rPr>
          <w:i/>
          <w:iCs/>
        </w:rPr>
        <w:t xml:space="preserve">Ha entrado en el </w:t>
      </w:r>
      <w:r w:rsidR="00E629EB" w:rsidRPr="00375A71">
        <w:rPr>
          <w:i/>
          <w:iCs/>
        </w:rPr>
        <w:t>verdadero</w:t>
      </w:r>
      <w:r w:rsidR="00E629EB">
        <w:t xml:space="preserve"> </w:t>
      </w:r>
      <w:r w:rsidR="00166091" w:rsidRPr="00166091">
        <w:rPr>
          <w:i/>
          <w:iCs/>
        </w:rPr>
        <w:t xml:space="preserve">sendero </w:t>
      </w:r>
      <w:r>
        <w:t xml:space="preserve">porque </w:t>
      </w:r>
      <w:r w:rsidR="00166091">
        <w:t xml:space="preserve">el </w:t>
      </w:r>
      <w:r w:rsidRPr="00166091">
        <w:rPr>
          <w:i/>
          <w:iCs/>
        </w:rPr>
        <w:t>Nibbāna</w:t>
      </w:r>
      <w:r>
        <w:t xml:space="preserve"> es </w:t>
      </w:r>
      <w:r w:rsidR="00166091">
        <w:t xml:space="preserve">a </w:t>
      </w:r>
      <w:r>
        <w:t xml:space="preserve">lo que se </w:t>
      </w:r>
      <w:r w:rsidR="00166091">
        <w:t xml:space="preserve">le </w:t>
      </w:r>
      <w:r>
        <w:t>llama</w:t>
      </w:r>
      <w:r w:rsidR="00166091">
        <w:t>rá</w:t>
      </w:r>
      <w:r>
        <w:t xml:space="preserve"> “verdadero” y ha</w:t>
      </w:r>
      <w:r w:rsidR="00166091">
        <w:t>brá</w:t>
      </w:r>
      <w:r>
        <w:t xml:space="preserve"> entrado en el </w:t>
      </w:r>
      <w:r w:rsidR="00166091">
        <w:t xml:space="preserve">sendero </w:t>
      </w:r>
      <w:r>
        <w:t xml:space="preserve">con ese objetivo. Ha entrado en el </w:t>
      </w:r>
      <w:r w:rsidR="00166091">
        <w:t xml:space="preserve">sendero </w:t>
      </w:r>
      <w:r>
        <w:t xml:space="preserve">debido </w:t>
      </w:r>
      <w:r w:rsidR="00166091">
        <w:t xml:space="preserve">a </w:t>
      </w:r>
      <w:r>
        <w:t xml:space="preserve">que ha entrado en el </w:t>
      </w:r>
      <w:r w:rsidR="00166091">
        <w:t xml:space="preserve">sendero </w:t>
      </w:r>
      <w:r>
        <w:t xml:space="preserve">de aquellos que son dignos de actos </w:t>
      </w:r>
      <w:r w:rsidR="00E629EB">
        <w:t>dignos</w:t>
      </w:r>
      <w:r>
        <w:t xml:space="preserve"> de veneración.</w:t>
      </w:r>
    </w:p>
    <w:p w14:paraId="02629866" w14:textId="77CCDA23" w:rsidR="00CC2D6D" w:rsidRDefault="00CC2D6D" w:rsidP="00CC2D6D">
      <w:r>
        <w:t xml:space="preserve">93. </w:t>
      </w:r>
      <w:r>
        <w:tab/>
        <w:t xml:space="preserve">La palabra </w:t>
      </w:r>
      <w:proofErr w:type="spellStart"/>
      <w:r w:rsidRPr="00362619">
        <w:rPr>
          <w:i/>
          <w:iCs/>
        </w:rPr>
        <w:t>yadidaṃ</w:t>
      </w:r>
      <w:proofErr w:type="spellEnd"/>
      <w:r>
        <w:t xml:space="preserve"> (“es decir”) = </w:t>
      </w:r>
      <w:proofErr w:type="spellStart"/>
      <w:r w:rsidRPr="00362619">
        <w:rPr>
          <w:i/>
          <w:iCs/>
        </w:rPr>
        <w:t>yāni</w:t>
      </w:r>
      <w:proofErr w:type="spellEnd"/>
      <w:r w:rsidRPr="00362619">
        <w:rPr>
          <w:i/>
          <w:iCs/>
        </w:rPr>
        <w:t xml:space="preserve"> </w:t>
      </w:r>
      <w:proofErr w:type="spellStart"/>
      <w:r w:rsidRPr="00362619">
        <w:rPr>
          <w:i/>
          <w:iCs/>
        </w:rPr>
        <w:t>imāni</w:t>
      </w:r>
      <w:proofErr w:type="spellEnd"/>
      <w:r>
        <w:t xml:space="preserve">. </w:t>
      </w:r>
      <w:r w:rsidRPr="00362619">
        <w:rPr>
          <w:i/>
          <w:iCs/>
        </w:rPr>
        <w:t>Los cuatro pares de hombres</w:t>
      </w:r>
      <w:r>
        <w:t xml:space="preserve">: </w:t>
      </w:r>
      <w:r w:rsidR="00243857">
        <w:t>adoptándolos</w:t>
      </w:r>
      <w:r>
        <w:t xml:space="preserve"> por pares</w:t>
      </w:r>
      <w:r w:rsidR="004D797F">
        <w:t xml:space="preserve"> son:</w:t>
      </w:r>
      <w:r>
        <w:t xml:space="preserve"> el que está en el primer </w:t>
      </w:r>
      <w:r w:rsidR="0024199B">
        <w:t xml:space="preserve">sendero </w:t>
      </w:r>
      <w:r w:rsidR="004D797F">
        <w:t xml:space="preserve">es uno </w:t>
      </w:r>
      <w:r>
        <w:t xml:space="preserve">y el que está en el primer fruto </w:t>
      </w:r>
      <w:r w:rsidR="00E66F63">
        <w:t xml:space="preserve">es el segundo del primer </w:t>
      </w:r>
      <w:r>
        <w:t xml:space="preserve">par, de esta manera </w:t>
      </w:r>
      <w:r w:rsidR="00E66F63">
        <w:t xml:space="preserve">existen </w:t>
      </w:r>
      <w:r>
        <w:t xml:space="preserve">cuatro pares. </w:t>
      </w:r>
      <w:r w:rsidRPr="004D797F">
        <w:rPr>
          <w:i/>
          <w:iCs/>
        </w:rPr>
        <w:t>Las ocho personas</w:t>
      </w:r>
      <w:r>
        <w:t xml:space="preserve">: </w:t>
      </w:r>
      <w:r w:rsidR="00E66F63">
        <w:t xml:space="preserve">adoptándolos </w:t>
      </w:r>
      <w:r>
        <w:t xml:space="preserve">por personas </w:t>
      </w:r>
      <w:r w:rsidR="004D797F">
        <w:t xml:space="preserve">son: </w:t>
      </w:r>
      <w:r>
        <w:t xml:space="preserve">el que está en el primer </w:t>
      </w:r>
      <w:r w:rsidR="0024199B">
        <w:t>sendero</w:t>
      </w:r>
      <w:r w:rsidR="00E66F63">
        <w:t>,</w:t>
      </w:r>
      <w:r w:rsidR="0024199B">
        <w:t xml:space="preserve"> </w:t>
      </w:r>
      <w:r>
        <w:t>uno</w:t>
      </w:r>
      <w:r w:rsidR="00E66F63">
        <w:t>,</w:t>
      </w:r>
      <w:r>
        <w:t xml:space="preserve"> y el que está en el primer fruto </w:t>
      </w:r>
      <w:r w:rsidR="004D797F">
        <w:t>otro</w:t>
      </w:r>
      <w:r>
        <w:t xml:space="preserve">, de esta manera hay ocho personas. Y allí, en el compuesto </w:t>
      </w:r>
      <w:proofErr w:type="spellStart"/>
      <w:r w:rsidRPr="00362619">
        <w:rPr>
          <w:i/>
          <w:iCs/>
        </w:rPr>
        <w:t>purisa</w:t>
      </w:r>
      <w:r>
        <w:t>-</w:t>
      </w:r>
      <w:r w:rsidRPr="00362619">
        <w:rPr>
          <w:i/>
          <w:iCs/>
        </w:rPr>
        <w:t>puggala</w:t>
      </w:r>
      <w:proofErr w:type="spellEnd"/>
      <w:r>
        <w:t xml:space="preserve"> (personas), las palabras </w:t>
      </w:r>
      <w:proofErr w:type="spellStart"/>
      <w:r w:rsidRPr="00362619">
        <w:rPr>
          <w:i/>
          <w:iCs/>
        </w:rPr>
        <w:t>purisa</w:t>
      </w:r>
      <w:proofErr w:type="spellEnd"/>
      <w:r>
        <w:t xml:space="preserve"> y </w:t>
      </w:r>
      <w:proofErr w:type="spellStart"/>
      <w:r w:rsidRPr="00362619">
        <w:rPr>
          <w:i/>
          <w:iCs/>
        </w:rPr>
        <w:t>puggala</w:t>
      </w:r>
      <w:proofErr w:type="spellEnd"/>
      <w:r>
        <w:t xml:space="preserve"> tienen el mismo significado, pero se expresa</w:t>
      </w:r>
      <w:r w:rsidR="00C52263">
        <w:t>n</w:t>
      </w:r>
      <w:r>
        <w:t xml:space="preserve"> de esta manera para adaptarse a las diferentes susceptibilidades </w:t>
      </w:r>
      <w:r w:rsidR="00B572D2">
        <w:t>de</w:t>
      </w:r>
      <w:r>
        <w:t xml:space="preserve"> la enseñanza.</w:t>
      </w:r>
    </w:p>
    <w:p w14:paraId="1B7D3415" w14:textId="58408370" w:rsidR="00CC2D6D" w:rsidRDefault="00CC2D6D" w:rsidP="00CC2D6D">
      <w:pPr>
        <w:pStyle w:val="NormalConSangria"/>
      </w:pPr>
      <w:r w:rsidRPr="00362619">
        <w:rPr>
          <w:i/>
          <w:iCs/>
        </w:rPr>
        <w:t xml:space="preserve">Esta comunidad de discípulos del </w:t>
      </w:r>
      <w:r w:rsidR="00B572D2">
        <w:rPr>
          <w:i/>
          <w:iCs/>
        </w:rPr>
        <w:t>Bhagavā</w:t>
      </w:r>
      <w:r>
        <w:t xml:space="preserve">: esta comunidad de discípulos del </w:t>
      </w:r>
      <w:r w:rsidR="00B572D2">
        <w:rPr>
          <w:i/>
          <w:iCs/>
        </w:rPr>
        <w:t>Bhagavā</w:t>
      </w:r>
      <w:r w:rsidR="00B572D2">
        <w:t xml:space="preserve"> </w:t>
      </w:r>
      <w:r>
        <w:t xml:space="preserve">tomados </w:t>
      </w:r>
      <w:r w:rsidR="00B572D2">
        <w:t>en</w:t>
      </w:r>
      <w:r>
        <w:t xml:space="preserve"> pares como los cuatro pares de hombres (</w:t>
      </w:r>
      <w:proofErr w:type="spellStart"/>
      <w:r w:rsidRPr="00362619">
        <w:rPr>
          <w:i/>
          <w:iCs/>
        </w:rPr>
        <w:t>purisa</w:t>
      </w:r>
      <w:proofErr w:type="spellEnd"/>
      <w:r>
        <w:t>) e individualmente como las ocho personas (</w:t>
      </w:r>
      <w:proofErr w:type="spellStart"/>
      <w:r w:rsidRPr="00362619">
        <w:rPr>
          <w:i/>
          <w:iCs/>
        </w:rPr>
        <w:t>purisa-puggala</w:t>
      </w:r>
      <w:proofErr w:type="spellEnd"/>
      <w:r>
        <w:t>).</w:t>
      </w:r>
    </w:p>
    <w:p w14:paraId="2D43D7DC" w14:textId="6634235C" w:rsidR="00CC2D6D" w:rsidRDefault="00CC2D6D" w:rsidP="005E7EDB">
      <w:pPr>
        <w:pStyle w:val="Ttulo4"/>
        <w:ind w:left="708"/>
      </w:pPr>
      <w:r>
        <w:t xml:space="preserve">[Apto </w:t>
      </w:r>
      <w:r w:rsidR="005E7EDB">
        <w:t>de</w:t>
      </w:r>
      <w:r>
        <w:t xml:space="preserve"> </w:t>
      </w:r>
      <w:r w:rsidR="005E7EDB">
        <w:t>Ofrecimientos</w:t>
      </w:r>
      <w:r>
        <w:t>]</w:t>
      </w:r>
    </w:p>
    <w:p w14:paraId="1EBCCF51" w14:textId="5292D082" w:rsidR="00CC2D6D" w:rsidRDefault="00CC2D6D" w:rsidP="00CC2D6D">
      <w:r>
        <w:t xml:space="preserve">94. </w:t>
      </w:r>
      <w:r>
        <w:tab/>
        <w:t xml:space="preserve">En cuanto a adecuarse a los </w:t>
      </w:r>
      <w:r w:rsidR="005E7EDB">
        <w:t>ofrecimientos</w:t>
      </w:r>
      <w:r>
        <w:t>, etc.: lo que se deb</w:t>
      </w:r>
      <w:r w:rsidR="005E7EDB">
        <w:t>a</w:t>
      </w:r>
      <w:r>
        <w:t xml:space="preserve"> traer (</w:t>
      </w:r>
      <w:proofErr w:type="spellStart"/>
      <w:r w:rsidRPr="00362619">
        <w:rPr>
          <w:i/>
          <w:iCs/>
        </w:rPr>
        <w:t>ānetvā</w:t>
      </w:r>
      <w:proofErr w:type="spellEnd"/>
      <w:r>
        <w:t xml:space="preserve">) y </w:t>
      </w:r>
      <w:r w:rsidR="005E7EDB">
        <w:t>ofrecer</w:t>
      </w:r>
      <w:r>
        <w:t xml:space="preserve"> (</w:t>
      </w:r>
      <w:proofErr w:type="spellStart"/>
      <w:r w:rsidRPr="00362619">
        <w:rPr>
          <w:i/>
          <w:iCs/>
        </w:rPr>
        <w:t>hunitabba</w:t>
      </w:r>
      <w:proofErr w:type="spellEnd"/>
      <w:r>
        <w:t xml:space="preserve">) </w:t>
      </w:r>
      <w:r w:rsidR="00FA29D5">
        <w:t>puede darse como</w:t>
      </w:r>
      <w:r>
        <w:t xml:space="preserve"> un </w:t>
      </w:r>
      <w:r w:rsidR="00595363">
        <w:t>presente</w:t>
      </w:r>
      <w:r>
        <w:t xml:space="preserve"> (</w:t>
      </w:r>
      <w:proofErr w:type="spellStart"/>
      <w:r w:rsidRPr="00362619">
        <w:rPr>
          <w:i/>
          <w:iCs/>
        </w:rPr>
        <w:t>āhuna</w:t>
      </w:r>
      <w:proofErr w:type="spellEnd"/>
      <w:r>
        <w:t>—</w:t>
      </w:r>
      <w:proofErr w:type="spellStart"/>
      <w:r>
        <w:t>lit.</w:t>
      </w:r>
      <w:proofErr w:type="spellEnd"/>
      <w:r>
        <w:t xml:space="preserve"> “sacrificio”); el significado es, lo que deb</w:t>
      </w:r>
      <w:r w:rsidR="00595363">
        <w:t>a</w:t>
      </w:r>
      <w:r>
        <w:t xml:space="preserve"> ser traído incluso desde muy lejos y donado a los virtuosos. Es un término para los cuatro requisitos. La Comunidad es apta </w:t>
      </w:r>
      <w:r w:rsidR="00595363">
        <w:t>de</w:t>
      </w:r>
      <w:r>
        <w:t xml:space="preserve"> recibir es</w:t>
      </w:r>
      <w:r w:rsidR="00973701">
        <w:t>t</w:t>
      </w:r>
      <w:r>
        <w:t xml:space="preserve">e </w:t>
      </w:r>
      <w:r w:rsidR="007A7ED2">
        <w:t>of</w:t>
      </w:r>
      <w:r w:rsidR="00973701">
        <w:t>r</w:t>
      </w:r>
      <w:r w:rsidR="007A7ED2">
        <w:t>ecimiento</w:t>
      </w:r>
      <w:r>
        <w:t xml:space="preserve"> (sacrificio) porque </w:t>
      </w:r>
      <w:r w:rsidR="007A7ED2">
        <w:t>permite</w:t>
      </w:r>
      <w:r>
        <w:t xml:space="preserve"> </w:t>
      </w:r>
      <w:r w:rsidR="007A7ED2">
        <w:t xml:space="preserve">la retribución de </w:t>
      </w:r>
      <w:r>
        <w:t xml:space="preserve">grandes frutos, por lo tanto es “apta </w:t>
      </w:r>
      <w:r w:rsidR="007A7ED2">
        <w:t>de ofrecimiento</w:t>
      </w:r>
      <w:r>
        <w:t>” (</w:t>
      </w:r>
      <w:proofErr w:type="spellStart"/>
      <w:r w:rsidRPr="007A7ED2">
        <w:rPr>
          <w:i/>
          <w:iCs/>
        </w:rPr>
        <w:t>āhuneyya</w:t>
      </w:r>
      <w:proofErr w:type="spellEnd"/>
      <w:r>
        <w:t>).</w:t>
      </w:r>
    </w:p>
    <w:p w14:paraId="3D69941C" w14:textId="646B1702" w:rsidR="00CC2D6D" w:rsidRDefault="00CC2D6D" w:rsidP="00CC2D6D">
      <w:r>
        <w:t xml:space="preserve">95. </w:t>
      </w:r>
      <w:r>
        <w:tab/>
        <w:t>O alternativamente, todo tipo de propiedad, incluso cuando el portador ven</w:t>
      </w:r>
      <w:r w:rsidR="007A7ED2">
        <w:t>ga</w:t>
      </w:r>
      <w:r>
        <w:t xml:space="preserve"> (</w:t>
      </w:r>
      <w:proofErr w:type="spellStart"/>
      <w:r w:rsidRPr="00362619">
        <w:rPr>
          <w:i/>
          <w:iCs/>
        </w:rPr>
        <w:t>āgantvā</w:t>
      </w:r>
      <w:proofErr w:type="spellEnd"/>
      <w:r>
        <w:t xml:space="preserve">) de muy lejos, se </w:t>
      </w:r>
      <w:r w:rsidR="007A7ED2">
        <w:t>podrá</w:t>
      </w:r>
      <w:r>
        <w:t xml:space="preserve"> </w:t>
      </w:r>
      <w:r w:rsidR="004E2F54">
        <w:t>aquí ofrecer</w:t>
      </w:r>
      <w:r>
        <w:t xml:space="preserve"> (</w:t>
      </w:r>
      <w:proofErr w:type="spellStart"/>
      <w:r w:rsidRPr="00362619">
        <w:rPr>
          <w:i/>
          <w:iCs/>
        </w:rPr>
        <w:t>hunitabba</w:t>
      </w:r>
      <w:proofErr w:type="spellEnd"/>
      <w:r>
        <w:t xml:space="preserve">), por lo </w:t>
      </w:r>
      <w:r w:rsidR="004E2F54">
        <w:t>cual</w:t>
      </w:r>
      <w:r>
        <w:t xml:space="preserve"> “</w:t>
      </w:r>
      <w:r w:rsidR="008E49CC">
        <w:t xml:space="preserve">se le podrá </w:t>
      </w:r>
      <w:r w:rsidR="004E2F54">
        <w:t>ofrecer</w:t>
      </w:r>
      <w:r>
        <w:t xml:space="preserve">” </w:t>
      </w:r>
      <w:r w:rsidR="004E2F54">
        <w:t xml:space="preserve">a la Comunidad </w:t>
      </w:r>
      <w:r>
        <w:t>(</w:t>
      </w:r>
      <w:proofErr w:type="spellStart"/>
      <w:r w:rsidRPr="00362619">
        <w:rPr>
          <w:i/>
          <w:iCs/>
        </w:rPr>
        <w:t>āhavanīya</w:t>
      </w:r>
      <w:proofErr w:type="spellEnd"/>
      <w:r>
        <w:t xml:space="preserve">); o es apto para que </w:t>
      </w:r>
      <w:r w:rsidRPr="008E49CC">
        <w:rPr>
          <w:i/>
          <w:iCs/>
        </w:rPr>
        <w:t>Sakka</w:t>
      </w:r>
      <w:r>
        <w:t xml:space="preserve"> y otros </w:t>
      </w:r>
      <w:r w:rsidR="008E49CC">
        <w:t>hagan ofrecimientos</w:t>
      </w:r>
      <w:r>
        <w:t xml:space="preserve">, por lo que “se le </w:t>
      </w:r>
      <w:r w:rsidR="008E49CC">
        <w:t xml:space="preserve">podrá </w:t>
      </w:r>
      <w:r>
        <w:t xml:space="preserve">dar”. Y </w:t>
      </w:r>
      <w:r w:rsidR="00841325">
        <w:t>a</w:t>
      </w:r>
      <w:r>
        <w:t xml:space="preserve">l fuego de los </w:t>
      </w:r>
      <w:r w:rsidRPr="008E49CC">
        <w:rPr>
          <w:i/>
          <w:iCs/>
        </w:rPr>
        <w:t>brahmanes</w:t>
      </w:r>
      <w:r>
        <w:t xml:space="preserve"> se </w:t>
      </w:r>
      <w:r w:rsidR="00841325">
        <w:t xml:space="preserve">le </w:t>
      </w:r>
      <w:r>
        <w:t xml:space="preserve">llama “para ser </w:t>
      </w:r>
      <w:r w:rsidR="00841325">
        <w:t xml:space="preserve">ofrecido </w:t>
      </w:r>
      <w:r>
        <w:t>(sacrificado) a” (</w:t>
      </w:r>
      <w:proofErr w:type="spellStart"/>
      <w:r w:rsidRPr="00362619">
        <w:rPr>
          <w:i/>
          <w:iCs/>
        </w:rPr>
        <w:t>āhavan</w:t>
      </w:r>
      <w:r w:rsidR="00FF0D7B">
        <w:rPr>
          <w:i/>
          <w:iCs/>
        </w:rPr>
        <w:t>ī</w:t>
      </w:r>
      <w:r w:rsidRPr="00362619">
        <w:rPr>
          <w:i/>
          <w:iCs/>
        </w:rPr>
        <w:t>ya</w:t>
      </w:r>
      <w:proofErr w:type="spellEnd"/>
      <w:r>
        <w:t xml:space="preserve">), </w:t>
      </w:r>
      <w:r w:rsidR="00FF0D7B">
        <w:t xml:space="preserve">ya </w:t>
      </w:r>
      <w:r>
        <w:t>que ellos creen que lo que se sacrifi</w:t>
      </w:r>
      <w:r w:rsidR="00841325">
        <w:t>que</w:t>
      </w:r>
      <w:r>
        <w:t xml:space="preserve"> trae</w:t>
      </w:r>
      <w:r w:rsidR="00841325">
        <w:t>rá</w:t>
      </w:r>
      <w:r>
        <w:t xml:space="preserve"> grandes frutos. [220] </w:t>
      </w:r>
      <w:r w:rsidR="00FF0D7B">
        <w:t xml:space="preserve">No obstante, </w:t>
      </w:r>
      <w:r>
        <w:t>si ha de sacrificar</w:t>
      </w:r>
      <w:r w:rsidR="002A1A2B">
        <w:t>se</w:t>
      </w:r>
      <w:r>
        <w:t xml:space="preserve"> algo </w:t>
      </w:r>
    </w:p>
    <w:p w14:paraId="5F38B453" w14:textId="77777777" w:rsidR="00D252A9" w:rsidRDefault="00D252A9">
      <w:pPr>
        <w:tabs>
          <w:tab w:val="clear" w:pos="425"/>
        </w:tabs>
        <w:spacing w:after="160"/>
        <w:rPr>
          <w:color w:val="000000" w:themeColor="text1"/>
          <w:spacing w:val="10"/>
          <w:sz w:val="14"/>
        </w:rPr>
      </w:pPr>
      <w:r>
        <w:br w:type="page"/>
      </w:r>
    </w:p>
    <w:p w14:paraId="2239F76C" w14:textId="77777777" w:rsidR="00467E6E" w:rsidRDefault="00467E6E" w:rsidP="00E4326F"/>
    <w:p w14:paraId="110B16BC" w14:textId="20BF3C3C" w:rsidR="00E4326F" w:rsidRDefault="00FF0D7B" w:rsidP="00E4326F">
      <w:proofErr w:type="spellStart"/>
      <w:r>
        <w:t>acausa</w:t>
      </w:r>
      <w:proofErr w:type="spellEnd"/>
      <w:r>
        <w:t xml:space="preserve"> de un gran fruto </w:t>
      </w:r>
      <w:r w:rsidR="00E4326F">
        <w:t xml:space="preserve">traído </w:t>
      </w:r>
      <w:r w:rsidR="00B21335">
        <w:t xml:space="preserve">en virtud de lo que </w:t>
      </w:r>
      <w:r>
        <w:t>fuer</w:t>
      </w:r>
      <w:r w:rsidR="00B21335">
        <w:t xml:space="preserve">a </w:t>
      </w:r>
      <w:r>
        <w:t>a</w:t>
      </w:r>
      <w:r w:rsidR="00B21335">
        <w:t xml:space="preserve"> ser sacrificado</w:t>
      </w:r>
      <w:r w:rsidR="00E4326F">
        <w:t>, entonces seguramente se debe</w:t>
      </w:r>
      <w:r w:rsidR="002A1A2B">
        <w:t>r</w:t>
      </w:r>
      <w:r>
        <w:t>ía</w:t>
      </w:r>
      <w:r w:rsidR="00E4326F">
        <w:t xml:space="preserve"> </w:t>
      </w:r>
      <w:r w:rsidR="00B21335">
        <w:t>hacer e</w:t>
      </w:r>
      <w:r>
        <w:t>ste</w:t>
      </w:r>
      <w:r w:rsidR="00B21335">
        <w:t xml:space="preserve"> </w:t>
      </w:r>
      <w:r w:rsidR="00E4326F">
        <w:t>sacrific</w:t>
      </w:r>
      <w:r w:rsidR="00B21335">
        <w:t>io hacia</w:t>
      </w:r>
      <w:r w:rsidR="00E4326F">
        <w:t xml:space="preserve"> la Comunidad; </w:t>
      </w:r>
      <w:r w:rsidR="00B21335">
        <w:t xml:space="preserve">ya </w:t>
      </w:r>
      <w:r w:rsidR="00E4326F">
        <w:t>que lo que se sacrifi</w:t>
      </w:r>
      <w:r w:rsidR="002A1A2B">
        <w:t>que</w:t>
      </w:r>
      <w:r w:rsidR="00E4326F">
        <w:t xml:space="preserve"> (</w:t>
      </w:r>
      <w:r w:rsidR="00BC5886">
        <w:t>se ofrezca</w:t>
      </w:r>
      <w:r w:rsidR="00E4326F">
        <w:t>) a la Comunidad ten</w:t>
      </w:r>
      <w:r w:rsidR="002A1A2B">
        <w:t>drá</w:t>
      </w:r>
      <w:r w:rsidR="00E4326F">
        <w:t xml:space="preserve"> </w:t>
      </w:r>
      <w:r w:rsidR="00192F57">
        <w:t xml:space="preserve">un </w:t>
      </w:r>
      <w:r w:rsidR="00E4326F">
        <w:t>gran fruto, según dice</w:t>
      </w:r>
      <w:r w:rsidR="00192F57">
        <w:t>n</w:t>
      </w:r>
      <w:r w:rsidR="00E4326F">
        <w:t>:</w:t>
      </w:r>
    </w:p>
    <w:p w14:paraId="7173E137" w14:textId="77777777" w:rsidR="00E4326F" w:rsidRPr="00192F57" w:rsidRDefault="00E4326F" w:rsidP="00E4326F">
      <w:pPr>
        <w:pStyle w:val="VersoIngls01Sangria"/>
        <w:rPr>
          <w:sz w:val="16"/>
          <w:szCs w:val="20"/>
        </w:rPr>
      </w:pPr>
      <w:r w:rsidRPr="00192F57">
        <w:rPr>
          <w:sz w:val="16"/>
          <w:szCs w:val="20"/>
        </w:rPr>
        <w:t>“Si alguien sirviese el fuego</w:t>
      </w:r>
    </w:p>
    <w:p w14:paraId="059400A8" w14:textId="77777777" w:rsidR="00E4326F" w:rsidRPr="00192F57" w:rsidRDefault="00E4326F" w:rsidP="00E4326F">
      <w:pPr>
        <w:pStyle w:val="VersoIngls01Sangria"/>
        <w:rPr>
          <w:sz w:val="16"/>
          <w:szCs w:val="20"/>
        </w:rPr>
      </w:pPr>
      <w:r w:rsidRPr="00192F57">
        <w:rPr>
          <w:sz w:val="16"/>
          <w:szCs w:val="20"/>
        </w:rPr>
        <w:t>En el bosque cien años,</w:t>
      </w:r>
    </w:p>
    <w:p w14:paraId="19E9E24F" w14:textId="75C3ED06" w:rsidR="00E4326F" w:rsidRPr="00192F57" w:rsidRDefault="00E4326F" w:rsidP="00E4326F">
      <w:pPr>
        <w:pStyle w:val="VersoIngls01Sangria"/>
        <w:rPr>
          <w:sz w:val="16"/>
          <w:szCs w:val="20"/>
        </w:rPr>
      </w:pPr>
      <w:r w:rsidRPr="00192F57">
        <w:rPr>
          <w:sz w:val="16"/>
          <w:szCs w:val="20"/>
        </w:rPr>
        <w:t xml:space="preserve">Y </w:t>
      </w:r>
      <w:r w:rsidR="00AC2361" w:rsidRPr="00192F57">
        <w:rPr>
          <w:sz w:val="16"/>
          <w:szCs w:val="20"/>
        </w:rPr>
        <w:t>también rindiese</w:t>
      </w:r>
      <w:r w:rsidRPr="00192F57">
        <w:rPr>
          <w:sz w:val="16"/>
          <w:szCs w:val="20"/>
        </w:rPr>
        <w:t xml:space="preserve"> </w:t>
      </w:r>
      <w:r w:rsidR="00AC2361" w:rsidRPr="00192F57">
        <w:rPr>
          <w:sz w:val="16"/>
          <w:szCs w:val="20"/>
        </w:rPr>
        <w:t xml:space="preserve">reverencia por </w:t>
      </w:r>
      <w:r w:rsidRPr="00192F57">
        <w:rPr>
          <w:sz w:val="16"/>
          <w:szCs w:val="20"/>
        </w:rPr>
        <w:t xml:space="preserve">un </w:t>
      </w:r>
      <w:r w:rsidR="00192F57">
        <w:rPr>
          <w:sz w:val="16"/>
          <w:szCs w:val="20"/>
        </w:rPr>
        <w:t>instante</w:t>
      </w:r>
      <w:r w:rsidRPr="00192F57">
        <w:rPr>
          <w:sz w:val="16"/>
          <w:szCs w:val="20"/>
        </w:rPr>
        <w:t xml:space="preserve"> </w:t>
      </w:r>
    </w:p>
    <w:p w14:paraId="3C9BA9CC" w14:textId="77777777" w:rsidR="00E4326F" w:rsidRPr="00192F57" w:rsidRDefault="00E4326F" w:rsidP="00E4326F">
      <w:pPr>
        <w:pStyle w:val="VersoIngls01Sangria"/>
        <w:rPr>
          <w:sz w:val="16"/>
          <w:szCs w:val="20"/>
        </w:rPr>
      </w:pPr>
      <w:r w:rsidRPr="00192F57">
        <w:rPr>
          <w:sz w:val="16"/>
          <w:szCs w:val="20"/>
        </w:rPr>
        <w:t>A los hombres de autodesarrollo,</w:t>
      </w:r>
    </w:p>
    <w:p w14:paraId="3ACDBA52" w14:textId="4B043BEE" w:rsidR="00E4326F" w:rsidRPr="00192F57" w:rsidRDefault="00E4326F" w:rsidP="00E4326F">
      <w:pPr>
        <w:pStyle w:val="VersoIngls01Sangria"/>
        <w:rPr>
          <w:sz w:val="16"/>
          <w:szCs w:val="20"/>
        </w:rPr>
      </w:pPr>
      <w:r w:rsidRPr="00192F57">
        <w:rPr>
          <w:sz w:val="16"/>
          <w:szCs w:val="20"/>
        </w:rPr>
        <w:t xml:space="preserve">Su </w:t>
      </w:r>
      <w:r w:rsidR="00AC2361" w:rsidRPr="00192F57">
        <w:rPr>
          <w:sz w:val="16"/>
          <w:szCs w:val="20"/>
        </w:rPr>
        <w:t xml:space="preserve">reverencia </w:t>
      </w:r>
      <w:r w:rsidRPr="00192F57">
        <w:rPr>
          <w:sz w:val="16"/>
          <w:szCs w:val="20"/>
        </w:rPr>
        <w:t>superaría con creces</w:t>
      </w:r>
    </w:p>
    <w:p w14:paraId="0171B302" w14:textId="4F994C6E" w:rsidR="00E4326F" w:rsidRPr="00192F57" w:rsidRDefault="00E4326F" w:rsidP="00453A26">
      <w:pPr>
        <w:pStyle w:val="VersoIngls01Sangria"/>
        <w:spacing w:after="100"/>
        <w:ind w:left="1418"/>
        <w:rPr>
          <w:sz w:val="16"/>
          <w:szCs w:val="20"/>
        </w:rPr>
      </w:pPr>
      <w:r w:rsidRPr="00192F57">
        <w:rPr>
          <w:sz w:val="16"/>
          <w:szCs w:val="20"/>
        </w:rPr>
        <w:t>Sus cien años de sacrificio</w:t>
      </w:r>
      <w:r w:rsidR="00192F57">
        <w:rPr>
          <w:sz w:val="16"/>
          <w:szCs w:val="20"/>
        </w:rPr>
        <w:t xml:space="preserve"> al fuego</w:t>
      </w:r>
      <w:r w:rsidRPr="00192F57">
        <w:rPr>
          <w:sz w:val="16"/>
          <w:szCs w:val="20"/>
        </w:rPr>
        <w:t>” (</w:t>
      </w:r>
      <w:proofErr w:type="spellStart"/>
      <w:r w:rsidRPr="00192F57">
        <w:rPr>
          <w:sz w:val="16"/>
          <w:szCs w:val="20"/>
        </w:rPr>
        <w:t>Dhp</w:t>
      </w:r>
      <w:proofErr w:type="spellEnd"/>
      <w:r w:rsidRPr="00192F57">
        <w:rPr>
          <w:sz w:val="16"/>
          <w:szCs w:val="20"/>
        </w:rPr>
        <w:t xml:space="preserve"> 107).</w:t>
      </w:r>
    </w:p>
    <w:p w14:paraId="01ED17B1" w14:textId="3F87B614" w:rsidR="00E4326F" w:rsidRDefault="00E4326F" w:rsidP="00353020">
      <w:pPr>
        <w:pStyle w:val="NormalConSangria"/>
        <w:spacing w:after="240"/>
      </w:pPr>
      <w:r>
        <w:t xml:space="preserve">Y las palabras </w:t>
      </w:r>
      <w:proofErr w:type="spellStart"/>
      <w:r w:rsidRPr="00375A71">
        <w:rPr>
          <w:i/>
          <w:iCs/>
        </w:rPr>
        <w:t>āhavanīya</w:t>
      </w:r>
      <w:proofErr w:type="spellEnd"/>
      <w:r>
        <w:t xml:space="preserve"> (“para ser sacrificado”), que se usan en las escuelas,</w:t>
      </w:r>
      <w:r w:rsidRPr="00467E6E">
        <w:rPr>
          <w:vertAlign w:val="superscript"/>
        </w:rPr>
        <w:t>36</w:t>
      </w:r>
      <w:r>
        <w:t xml:space="preserve"> tienen el mismo significado que esta palabra </w:t>
      </w:r>
      <w:proofErr w:type="spellStart"/>
      <w:r w:rsidRPr="00375A71">
        <w:rPr>
          <w:i/>
          <w:iCs/>
        </w:rPr>
        <w:t>āhuneyya</w:t>
      </w:r>
      <w:proofErr w:type="spellEnd"/>
      <w:r>
        <w:t xml:space="preserve"> (“apto </w:t>
      </w:r>
      <w:r w:rsidR="00784279">
        <w:t>de presentes</w:t>
      </w:r>
      <w:r>
        <w:t xml:space="preserve">”) que se usa aquí. Sólo existe la </w:t>
      </w:r>
      <w:r w:rsidR="00784279">
        <w:t xml:space="preserve">simple </w:t>
      </w:r>
      <w:r w:rsidR="00CB48AD">
        <w:t xml:space="preserve">e </w:t>
      </w:r>
      <w:r>
        <w:t xml:space="preserve">insignificante </w:t>
      </w:r>
      <w:r w:rsidR="00CB48AD">
        <w:t xml:space="preserve">diferencia </w:t>
      </w:r>
      <w:r>
        <w:t xml:space="preserve">de sílabas. Por lo tanto, es "apto </w:t>
      </w:r>
      <w:r w:rsidR="00CB48AD">
        <w:t>de presentes</w:t>
      </w:r>
      <w:r>
        <w:t>".</w:t>
      </w:r>
    </w:p>
    <w:p w14:paraId="7FB28B1C" w14:textId="3DB17C89" w:rsidR="00E4326F" w:rsidRDefault="00E4326F" w:rsidP="00CB48AD">
      <w:pPr>
        <w:pStyle w:val="Ttulo4"/>
        <w:ind w:left="708"/>
      </w:pPr>
      <w:r>
        <w:t xml:space="preserve">[Apto </w:t>
      </w:r>
      <w:r w:rsidR="00CB48AD">
        <w:t>de</w:t>
      </w:r>
      <w:r>
        <w:t xml:space="preserve"> Hospitalidad]</w:t>
      </w:r>
    </w:p>
    <w:p w14:paraId="7F8FA425" w14:textId="071C96F9" w:rsidR="00E4326F" w:rsidRDefault="00E4326F" w:rsidP="00E4326F">
      <w:r>
        <w:t>96.</w:t>
      </w:r>
      <w:r w:rsidR="00375A71">
        <w:tab/>
      </w:r>
      <w:r w:rsidRPr="00375A71">
        <w:rPr>
          <w:i/>
          <w:iCs/>
        </w:rPr>
        <w:t xml:space="preserve">Apto </w:t>
      </w:r>
      <w:r w:rsidR="00CB48AD">
        <w:rPr>
          <w:i/>
          <w:iCs/>
        </w:rPr>
        <w:t>de</w:t>
      </w:r>
      <w:r w:rsidRPr="00375A71">
        <w:rPr>
          <w:i/>
          <w:iCs/>
        </w:rPr>
        <w:t xml:space="preserve"> hospitalidad</w:t>
      </w:r>
      <w:r>
        <w:t xml:space="preserve"> (</w:t>
      </w:r>
      <w:proofErr w:type="spellStart"/>
      <w:r w:rsidRPr="00375A71">
        <w:rPr>
          <w:i/>
          <w:iCs/>
        </w:rPr>
        <w:t>pāhuneyya</w:t>
      </w:r>
      <w:proofErr w:type="spellEnd"/>
      <w:r>
        <w:t>): “hospitalidad” (</w:t>
      </w:r>
      <w:proofErr w:type="spellStart"/>
      <w:r w:rsidRPr="00375A71">
        <w:rPr>
          <w:i/>
          <w:iCs/>
        </w:rPr>
        <w:t>pāhuna</w:t>
      </w:r>
      <w:proofErr w:type="spellEnd"/>
      <w:r>
        <w:t xml:space="preserve">) es como se </w:t>
      </w:r>
      <w:r w:rsidR="00887DA2">
        <w:t xml:space="preserve">le </w:t>
      </w:r>
      <w:r>
        <w:t xml:space="preserve">llama </w:t>
      </w:r>
      <w:r w:rsidR="00304ABA">
        <w:t xml:space="preserve">a </w:t>
      </w:r>
      <w:r>
        <w:t xml:space="preserve">un </w:t>
      </w:r>
      <w:r w:rsidR="00ED7235">
        <w:t>presente</w:t>
      </w:r>
      <w:r>
        <w:t xml:space="preserve"> a los visitantes, preparad</w:t>
      </w:r>
      <w:r w:rsidR="00ED7235">
        <w:t>o</w:t>
      </w:r>
      <w:r>
        <w:t xml:space="preserve"> con todos los honores por el bien de los </w:t>
      </w:r>
      <w:r w:rsidR="00ED7235">
        <w:t>estimados</w:t>
      </w:r>
      <w:r>
        <w:t xml:space="preserve"> parientes y amigos que ha</w:t>
      </w:r>
      <w:r w:rsidR="00304ABA">
        <w:t>ya</w:t>
      </w:r>
      <w:r>
        <w:t xml:space="preserve">n </w:t>
      </w:r>
      <w:r w:rsidR="00304ABA">
        <w:t>llegado</w:t>
      </w:r>
      <w:r>
        <w:t xml:space="preserve"> de </w:t>
      </w:r>
      <w:r w:rsidR="00ED7235">
        <w:t xml:space="preserve">diversas </w:t>
      </w:r>
      <w:r>
        <w:t xml:space="preserve">partes. Pero más que a tales objetos de hospitalidad, </w:t>
      </w:r>
      <w:r w:rsidR="00304ABA">
        <w:t>convendr</w:t>
      </w:r>
      <w:r w:rsidR="00DB7BF7">
        <w:t>ía</w:t>
      </w:r>
      <w:r w:rsidR="00304ABA">
        <w:t xml:space="preserve"> </w:t>
      </w:r>
      <w:r>
        <w:t xml:space="preserve">que se </w:t>
      </w:r>
      <w:r w:rsidR="00304ABA">
        <w:t xml:space="preserve">ofrezca </w:t>
      </w:r>
      <w:r>
        <w:t xml:space="preserve">a la Comunidad; </w:t>
      </w:r>
      <w:r w:rsidR="00304ABA">
        <w:t xml:space="preserve">ya </w:t>
      </w:r>
      <w:r>
        <w:t xml:space="preserve">que no </w:t>
      </w:r>
      <w:r w:rsidR="00304ABA">
        <w:t xml:space="preserve">habrá </w:t>
      </w:r>
      <w:r>
        <w:t xml:space="preserve">objeto de hospitalidad </w:t>
      </w:r>
      <w:r w:rsidR="00304ABA">
        <w:t xml:space="preserve">más </w:t>
      </w:r>
      <w:r>
        <w:t xml:space="preserve">adecuado </w:t>
      </w:r>
      <w:r w:rsidR="001E7F01">
        <w:t xml:space="preserve">de </w:t>
      </w:r>
      <w:r>
        <w:t xml:space="preserve">recibir hospitalidad </w:t>
      </w:r>
      <w:r w:rsidR="001E7F01">
        <w:t xml:space="preserve">que </w:t>
      </w:r>
      <w:r>
        <w:t xml:space="preserve">la Comunidad, ya que </w:t>
      </w:r>
      <w:r w:rsidR="001E7F01">
        <w:t xml:space="preserve">sólo </w:t>
      </w:r>
      <w:r>
        <w:t xml:space="preserve">se </w:t>
      </w:r>
      <w:r w:rsidR="00DB7BF7">
        <w:t>podrá</w:t>
      </w:r>
      <w:r w:rsidR="001E7F01">
        <w:t xml:space="preserve"> </w:t>
      </w:r>
      <w:r>
        <w:t>enc</w:t>
      </w:r>
      <w:r w:rsidR="001E7F01">
        <w:t>o</w:t>
      </w:r>
      <w:r>
        <w:t>ntra</w:t>
      </w:r>
      <w:r w:rsidR="001E7F01">
        <w:t>r</w:t>
      </w:r>
      <w:r>
        <w:t xml:space="preserve"> después de un intervalo entre </w:t>
      </w:r>
      <w:r w:rsidR="00DB7BF7">
        <w:t xml:space="preserve">dos </w:t>
      </w:r>
      <w:r w:rsidR="00057BF4" w:rsidRPr="00057BF4">
        <w:rPr>
          <w:i/>
        </w:rPr>
        <w:t>Buddha</w:t>
      </w:r>
      <w:r>
        <w:t xml:space="preserve">s y posee cualidades totalmente entrañables y </w:t>
      </w:r>
      <w:r w:rsidR="00DB7BF7">
        <w:t>estimables</w:t>
      </w:r>
      <w:r>
        <w:t xml:space="preserve">. Entonces es “apto </w:t>
      </w:r>
      <w:r w:rsidR="001E7F01">
        <w:t xml:space="preserve">de </w:t>
      </w:r>
      <w:r>
        <w:t xml:space="preserve">hospitalidad” ya que la hospitalidad </w:t>
      </w:r>
      <w:r w:rsidR="00090212">
        <w:t xml:space="preserve">será </w:t>
      </w:r>
      <w:r>
        <w:t xml:space="preserve">apta para </w:t>
      </w:r>
      <w:r w:rsidR="00090212">
        <w:t xml:space="preserve">ofrecérsela </w:t>
      </w:r>
      <w:r>
        <w:t xml:space="preserve">y apta para </w:t>
      </w:r>
      <w:r w:rsidR="00DB7BF7">
        <w:t xml:space="preserve">ser </w:t>
      </w:r>
      <w:r>
        <w:t>recibi</w:t>
      </w:r>
      <w:r w:rsidR="00DB7BF7">
        <w:t>d</w:t>
      </w:r>
      <w:r>
        <w:t>a.</w:t>
      </w:r>
    </w:p>
    <w:p w14:paraId="44991168" w14:textId="4118A3D7" w:rsidR="00E4326F" w:rsidRDefault="00225B29" w:rsidP="00353020">
      <w:pPr>
        <w:pStyle w:val="NormalConSangria"/>
        <w:spacing w:after="240"/>
      </w:pPr>
      <w:r>
        <w:t xml:space="preserve">No obstante, </w:t>
      </w:r>
      <w:r w:rsidR="00E4326F">
        <w:t>aquellos que tom</w:t>
      </w:r>
      <w:r w:rsidR="00090212">
        <w:t>e</w:t>
      </w:r>
      <w:r w:rsidR="00E4326F">
        <w:t xml:space="preserve">n el texto como </w:t>
      </w:r>
      <w:proofErr w:type="spellStart"/>
      <w:r w:rsidR="00E4326F" w:rsidRPr="00375A71">
        <w:rPr>
          <w:i/>
          <w:iCs/>
        </w:rPr>
        <w:t>pāhavan</w:t>
      </w:r>
      <w:r w:rsidR="00090212">
        <w:rPr>
          <w:i/>
          <w:iCs/>
        </w:rPr>
        <w:t>ī</w:t>
      </w:r>
      <w:r w:rsidR="00E4326F" w:rsidRPr="00375A71">
        <w:rPr>
          <w:i/>
          <w:iCs/>
        </w:rPr>
        <w:t>ya</w:t>
      </w:r>
      <w:proofErr w:type="spellEnd"/>
      <w:r w:rsidR="00E4326F">
        <w:t xml:space="preserve"> ("apto </w:t>
      </w:r>
      <w:r w:rsidR="00090212">
        <w:t>para ofrecer</w:t>
      </w:r>
      <w:r w:rsidR="00E4326F">
        <w:t xml:space="preserve"> hospitalidad") creen que la Comunidad es digna de ser colocada en primer lugar y, por lo tanto, lo que se va</w:t>
      </w:r>
      <w:r w:rsidR="00090212">
        <w:t>ya</w:t>
      </w:r>
      <w:r w:rsidR="00E4326F">
        <w:t xml:space="preserve"> a dar primero debe</w:t>
      </w:r>
      <w:r w:rsidR="00C479CD">
        <w:t>rá</w:t>
      </w:r>
      <w:r w:rsidR="00E4326F">
        <w:t xml:space="preserve"> </w:t>
      </w:r>
      <w:r w:rsidR="00A701F2">
        <w:t xml:space="preserve">llevarse allí </w:t>
      </w:r>
      <w:r w:rsidR="00E4326F">
        <w:t>y darse (</w:t>
      </w:r>
      <w:proofErr w:type="spellStart"/>
      <w:r w:rsidR="00E4326F" w:rsidRPr="00375A71">
        <w:rPr>
          <w:i/>
          <w:iCs/>
        </w:rPr>
        <w:t>sabba-paṭhamaṃ</w:t>
      </w:r>
      <w:proofErr w:type="spellEnd"/>
      <w:r w:rsidR="00E4326F" w:rsidRPr="00375A71">
        <w:rPr>
          <w:i/>
          <w:iCs/>
        </w:rPr>
        <w:t xml:space="preserve"> </w:t>
      </w:r>
      <w:proofErr w:type="spellStart"/>
      <w:r w:rsidR="00E4326F" w:rsidRPr="00375A71">
        <w:rPr>
          <w:i/>
          <w:iCs/>
        </w:rPr>
        <w:t>ānetvā</w:t>
      </w:r>
      <w:proofErr w:type="spellEnd"/>
      <w:r w:rsidR="00E4326F" w:rsidRPr="00375A71">
        <w:rPr>
          <w:i/>
          <w:iCs/>
        </w:rPr>
        <w:t xml:space="preserve"> </w:t>
      </w:r>
      <w:proofErr w:type="spellStart"/>
      <w:r w:rsidR="00E4326F" w:rsidRPr="00375A71">
        <w:rPr>
          <w:i/>
          <w:iCs/>
        </w:rPr>
        <w:t>ethha</w:t>
      </w:r>
      <w:proofErr w:type="spellEnd"/>
      <w:r w:rsidR="00E4326F" w:rsidRPr="00375A71">
        <w:rPr>
          <w:i/>
          <w:iCs/>
        </w:rPr>
        <w:t xml:space="preserve"> </w:t>
      </w:r>
      <w:proofErr w:type="spellStart"/>
      <w:r w:rsidR="00E4326F" w:rsidRPr="00375A71">
        <w:rPr>
          <w:i/>
          <w:iCs/>
        </w:rPr>
        <w:t>hunitabbaṃ</w:t>
      </w:r>
      <w:proofErr w:type="spellEnd"/>
      <w:r w:rsidR="00E4326F">
        <w:t xml:space="preserve">), y por esa razón </w:t>
      </w:r>
      <w:r w:rsidR="00EC14C8">
        <w:t xml:space="preserve">el </w:t>
      </w:r>
      <w:r w:rsidR="00EC14C8">
        <w:rPr>
          <w:i/>
          <w:iCs/>
        </w:rPr>
        <w:t xml:space="preserve">Saṅgha </w:t>
      </w:r>
      <w:r w:rsidR="00E4326F">
        <w:t>es “apt</w:t>
      </w:r>
      <w:r w:rsidR="00EC14C8">
        <w:t>o</w:t>
      </w:r>
      <w:r w:rsidR="00E4326F">
        <w:t xml:space="preserve"> para </w:t>
      </w:r>
      <w:r w:rsidR="00090212">
        <w:t xml:space="preserve">ofrecer </w:t>
      </w:r>
      <w:r w:rsidR="00E4326F">
        <w:t>hospitalidad” (</w:t>
      </w:r>
      <w:proofErr w:type="spellStart"/>
      <w:r w:rsidR="00E4326F" w:rsidRPr="00090212">
        <w:rPr>
          <w:i/>
          <w:iCs/>
        </w:rPr>
        <w:t>pāhavanīya</w:t>
      </w:r>
      <w:proofErr w:type="spellEnd"/>
      <w:r w:rsidR="00E4326F">
        <w:t>) o dado que es digno de ser brindado en todos los aspectos (</w:t>
      </w:r>
      <w:proofErr w:type="spellStart"/>
      <w:r w:rsidR="00E4326F" w:rsidRPr="00375A71">
        <w:rPr>
          <w:i/>
          <w:iCs/>
        </w:rPr>
        <w:t>sabba-pakārena</w:t>
      </w:r>
      <w:proofErr w:type="spellEnd"/>
      <w:r w:rsidR="00E4326F" w:rsidRPr="00375A71">
        <w:rPr>
          <w:i/>
          <w:iCs/>
        </w:rPr>
        <w:t xml:space="preserve"> </w:t>
      </w:r>
      <w:proofErr w:type="spellStart"/>
      <w:r w:rsidR="00E4326F" w:rsidRPr="00375A71">
        <w:rPr>
          <w:i/>
          <w:iCs/>
        </w:rPr>
        <w:t>āhavanaṃ</w:t>
      </w:r>
      <w:proofErr w:type="spellEnd"/>
      <w:r w:rsidR="00E4326F" w:rsidRPr="00375A71">
        <w:rPr>
          <w:i/>
          <w:iCs/>
        </w:rPr>
        <w:t xml:space="preserve"> </w:t>
      </w:r>
      <w:proofErr w:type="spellStart"/>
      <w:r w:rsidR="00057BF4" w:rsidRPr="00057BF4">
        <w:rPr>
          <w:i/>
          <w:iCs/>
        </w:rPr>
        <w:t>Arahat</w:t>
      </w:r>
      <w:r w:rsidR="00E4326F" w:rsidRPr="00375A71">
        <w:rPr>
          <w:i/>
          <w:iCs/>
        </w:rPr>
        <w:t>i</w:t>
      </w:r>
      <w:proofErr w:type="spellEnd"/>
      <w:r w:rsidR="00E4326F">
        <w:t xml:space="preserve">), </w:t>
      </w:r>
      <w:r w:rsidR="00A701F2">
        <w:t>será</w:t>
      </w:r>
      <w:r w:rsidR="00E4326F">
        <w:t xml:space="preserve"> por lo tanto “apto </w:t>
      </w:r>
      <w:r w:rsidR="00A701F2">
        <w:t xml:space="preserve">para ofrecer </w:t>
      </w:r>
      <w:r w:rsidR="00E4326F">
        <w:t>hospitalidad” (</w:t>
      </w:r>
      <w:proofErr w:type="spellStart"/>
      <w:r w:rsidR="00E4326F" w:rsidRPr="00375A71">
        <w:rPr>
          <w:i/>
          <w:iCs/>
        </w:rPr>
        <w:t>pāhavanīya</w:t>
      </w:r>
      <w:proofErr w:type="spellEnd"/>
      <w:r w:rsidR="00E4326F">
        <w:t xml:space="preserve">). Y aquí </w:t>
      </w:r>
      <w:r w:rsidR="0087140D">
        <w:t xml:space="preserve">a </w:t>
      </w:r>
      <w:r w:rsidR="00E4326F">
        <w:t xml:space="preserve">esto se </w:t>
      </w:r>
      <w:r w:rsidR="0087140D">
        <w:t xml:space="preserve">le </w:t>
      </w:r>
      <w:r w:rsidR="00E4326F">
        <w:t xml:space="preserve">llama </w:t>
      </w:r>
      <w:proofErr w:type="spellStart"/>
      <w:r w:rsidR="00375A71" w:rsidRPr="00375A71">
        <w:rPr>
          <w:i/>
          <w:iCs/>
        </w:rPr>
        <w:t>pāhavanīya</w:t>
      </w:r>
      <w:proofErr w:type="spellEnd"/>
      <w:r w:rsidR="00375A71">
        <w:t xml:space="preserve"> </w:t>
      </w:r>
      <w:r w:rsidR="00E4326F">
        <w:t>en el mismo sentido.</w:t>
      </w:r>
    </w:p>
    <w:p w14:paraId="3F3DA743" w14:textId="68AE5D37" w:rsidR="00E4326F" w:rsidRDefault="00E4326F" w:rsidP="00090212">
      <w:pPr>
        <w:pStyle w:val="Ttulo4"/>
        <w:ind w:left="708"/>
      </w:pPr>
      <w:r>
        <w:t xml:space="preserve">[Apto </w:t>
      </w:r>
      <w:r w:rsidR="0087140D">
        <w:t>de</w:t>
      </w:r>
      <w:r>
        <w:t xml:space="preserve"> </w:t>
      </w:r>
      <w:r w:rsidR="0087140D">
        <w:t>Ofrendas</w:t>
      </w:r>
      <w:r>
        <w:t>]</w:t>
      </w:r>
    </w:p>
    <w:p w14:paraId="3B467F12" w14:textId="72EEAC44" w:rsidR="00E4326F" w:rsidRDefault="00E4326F" w:rsidP="00353020">
      <w:pPr>
        <w:spacing w:after="240"/>
        <w:ind w:firstLine="284"/>
      </w:pPr>
      <w:r>
        <w:t>97.</w:t>
      </w:r>
      <w:r w:rsidR="00C479CD">
        <w:tab/>
        <w:t>“</w:t>
      </w:r>
      <w:r>
        <w:t>Ofrenda” (</w:t>
      </w:r>
      <w:proofErr w:type="spellStart"/>
      <w:r w:rsidRPr="0087140D">
        <w:rPr>
          <w:i/>
          <w:iCs/>
        </w:rPr>
        <w:t>dakkhiṇa</w:t>
      </w:r>
      <w:proofErr w:type="spellEnd"/>
      <w:r>
        <w:t>) es c</w:t>
      </w:r>
      <w:r w:rsidR="00F63B60">
        <w:t>ó</w:t>
      </w:r>
      <w:r>
        <w:t xml:space="preserve">mo se </w:t>
      </w:r>
      <w:r w:rsidR="00F63B60">
        <w:t xml:space="preserve">le </w:t>
      </w:r>
      <w:r>
        <w:t xml:space="preserve">llama </w:t>
      </w:r>
      <w:r w:rsidR="00F63B60">
        <w:t xml:space="preserve">a </w:t>
      </w:r>
      <w:r>
        <w:t xml:space="preserve">un </w:t>
      </w:r>
      <w:r w:rsidR="00F63B60">
        <w:t xml:space="preserve">presente </w:t>
      </w:r>
      <w:r>
        <w:t xml:space="preserve">que debe ser </w:t>
      </w:r>
      <w:r w:rsidR="00F63B60">
        <w:t xml:space="preserve">ofrecido a través de </w:t>
      </w:r>
      <w:r>
        <w:t xml:space="preserve">la fe </w:t>
      </w:r>
      <w:r w:rsidR="00225B29">
        <w:t>hacia</w:t>
      </w:r>
      <w:r>
        <w:t xml:space="preserve"> el mundo venidero. La Comunidad es digna de esa ofrenda, o es útil para </w:t>
      </w:r>
      <w:r w:rsidR="007840D5">
        <w:t>recepcionar tal</w:t>
      </w:r>
      <w:r>
        <w:t xml:space="preserve"> ofrenda porque la purifica haciéndola </w:t>
      </w:r>
      <w:r w:rsidR="00094A7D">
        <w:t xml:space="preserve">un </w:t>
      </w:r>
      <w:r>
        <w:t xml:space="preserve">gran fruto, por lo que </w:t>
      </w:r>
      <w:r w:rsidR="00677A36">
        <w:t xml:space="preserve">el </w:t>
      </w:r>
      <w:r w:rsidR="00677A36">
        <w:rPr>
          <w:i/>
          <w:iCs/>
        </w:rPr>
        <w:t xml:space="preserve">Saṅgha </w:t>
      </w:r>
      <w:r>
        <w:t xml:space="preserve">es </w:t>
      </w:r>
      <w:r w:rsidRPr="00094A7D">
        <w:rPr>
          <w:i/>
          <w:iCs/>
        </w:rPr>
        <w:t>apt</w:t>
      </w:r>
      <w:r w:rsidR="00677A36">
        <w:rPr>
          <w:i/>
          <w:iCs/>
        </w:rPr>
        <w:t>o</w:t>
      </w:r>
      <w:r w:rsidRPr="00094A7D">
        <w:rPr>
          <w:i/>
          <w:iCs/>
        </w:rPr>
        <w:t xml:space="preserve"> </w:t>
      </w:r>
      <w:r w:rsidR="00094A7D" w:rsidRPr="00094A7D">
        <w:rPr>
          <w:i/>
          <w:iCs/>
        </w:rPr>
        <w:t xml:space="preserve">de </w:t>
      </w:r>
      <w:r w:rsidRPr="00094A7D">
        <w:rPr>
          <w:i/>
          <w:iCs/>
        </w:rPr>
        <w:t>ofrendas</w:t>
      </w:r>
      <w:r>
        <w:t xml:space="preserve"> (</w:t>
      </w:r>
      <w:proofErr w:type="spellStart"/>
      <w:r w:rsidRPr="00094A7D">
        <w:rPr>
          <w:i/>
          <w:iCs/>
        </w:rPr>
        <w:t>dakkhiṇeyya</w:t>
      </w:r>
      <w:proofErr w:type="spellEnd"/>
      <w:r>
        <w:t>).</w:t>
      </w:r>
    </w:p>
    <w:p w14:paraId="1A85A531" w14:textId="68029BBE" w:rsidR="00E4326F" w:rsidRDefault="00E4326F" w:rsidP="00094A7D">
      <w:pPr>
        <w:pStyle w:val="Ttulo4"/>
        <w:ind w:left="708"/>
      </w:pPr>
      <w:r>
        <w:t xml:space="preserve">[Apto Para </w:t>
      </w:r>
      <w:r w:rsidR="00886A2A">
        <w:t>Recibir Saludos Reverenciales</w:t>
      </w:r>
      <w:r>
        <w:t>]</w:t>
      </w:r>
    </w:p>
    <w:p w14:paraId="141EFF80" w14:textId="5F2A3897" w:rsidR="00E4326F" w:rsidRDefault="00E4326F" w:rsidP="00353020">
      <w:pPr>
        <w:spacing w:after="240"/>
        <w:ind w:firstLine="284"/>
      </w:pPr>
      <w:r>
        <w:t xml:space="preserve">Es digno de que todo el mundo le otorgue </w:t>
      </w:r>
      <w:r w:rsidR="00F3543D">
        <w:t>un</w:t>
      </w:r>
      <w:r>
        <w:t xml:space="preserve"> saludo reverencial (</w:t>
      </w:r>
      <w:proofErr w:type="spellStart"/>
      <w:r w:rsidRPr="00997F84">
        <w:rPr>
          <w:i/>
          <w:iCs/>
        </w:rPr>
        <w:t>añjali-</w:t>
      </w:r>
      <w:r w:rsidR="00057BF4" w:rsidRPr="00057BF4">
        <w:rPr>
          <w:i/>
          <w:iCs/>
        </w:rPr>
        <w:t>kamma</w:t>
      </w:r>
      <w:proofErr w:type="spellEnd"/>
      <w:r>
        <w:t>) que consist</w:t>
      </w:r>
      <w:r w:rsidR="00677A36">
        <w:t>a</w:t>
      </w:r>
      <w:r>
        <w:t xml:space="preserve"> en colocar ambas manos [palmas juntas] sobre la cabeza, por lo que </w:t>
      </w:r>
      <w:r w:rsidR="00377736">
        <w:t xml:space="preserve">el </w:t>
      </w:r>
      <w:r w:rsidR="00377736">
        <w:rPr>
          <w:i/>
          <w:iCs/>
        </w:rPr>
        <w:t xml:space="preserve">Saṅgha </w:t>
      </w:r>
      <w:r w:rsidR="00377736">
        <w:t xml:space="preserve">será </w:t>
      </w:r>
      <w:r w:rsidRPr="00997F84">
        <w:rPr>
          <w:i/>
          <w:iCs/>
        </w:rPr>
        <w:t xml:space="preserve">apto para </w:t>
      </w:r>
      <w:r w:rsidR="00F3543D">
        <w:rPr>
          <w:i/>
          <w:iCs/>
        </w:rPr>
        <w:t xml:space="preserve">recibir </w:t>
      </w:r>
      <w:r w:rsidRPr="00997F84">
        <w:rPr>
          <w:i/>
          <w:iCs/>
        </w:rPr>
        <w:t>saludo</w:t>
      </w:r>
      <w:r w:rsidR="00F3543D">
        <w:rPr>
          <w:i/>
          <w:iCs/>
        </w:rPr>
        <w:t>s</w:t>
      </w:r>
      <w:r w:rsidRPr="00997F84">
        <w:rPr>
          <w:i/>
          <w:iCs/>
        </w:rPr>
        <w:t xml:space="preserve"> </w:t>
      </w:r>
      <w:r w:rsidRPr="00F3543D">
        <w:rPr>
          <w:i/>
          <w:iCs/>
        </w:rPr>
        <w:t>reverencial</w:t>
      </w:r>
      <w:r w:rsidR="00F3543D">
        <w:rPr>
          <w:i/>
          <w:iCs/>
        </w:rPr>
        <w:t>es</w:t>
      </w:r>
      <w:r>
        <w:t xml:space="preserve"> (</w:t>
      </w:r>
      <w:proofErr w:type="spellStart"/>
      <w:r w:rsidRPr="00997F84">
        <w:rPr>
          <w:i/>
          <w:iCs/>
        </w:rPr>
        <w:t>añjalikaraṇīya</w:t>
      </w:r>
      <w:proofErr w:type="spellEnd"/>
      <w:r>
        <w:t>).</w:t>
      </w:r>
    </w:p>
    <w:p w14:paraId="043C9BE8" w14:textId="4CD9129E" w:rsidR="00E4326F" w:rsidRDefault="00E4326F" w:rsidP="00886A2A">
      <w:pPr>
        <w:pStyle w:val="Ttulo4"/>
        <w:ind w:left="708"/>
      </w:pPr>
      <w:r>
        <w:t>[</w:t>
      </w:r>
      <w:r w:rsidR="00210277">
        <w:t xml:space="preserve">es </w:t>
      </w:r>
      <w:r w:rsidR="00EB6E57">
        <w:t>c</w:t>
      </w:r>
      <w:r>
        <w:t xml:space="preserve">omo </w:t>
      </w:r>
      <w:r w:rsidR="00377736">
        <w:t>un campo incomparable de méritos para el mundo</w:t>
      </w:r>
      <w:r>
        <w:t>]</w:t>
      </w:r>
    </w:p>
    <w:p w14:paraId="2435D4EC" w14:textId="01C791DE" w:rsidR="00E4326F" w:rsidRDefault="00E4326F" w:rsidP="00E4326F">
      <w:r>
        <w:t xml:space="preserve">98. </w:t>
      </w:r>
      <w:r w:rsidR="00997F84">
        <w:tab/>
      </w:r>
      <w:r w:rsidR="00210277" w:rsidRPr="00210277">
        <w:rPr>
          <w:i/>
          <w:iCs/>
        </w:rPr>
        <w:t>Es</w:t>
      </w:r>
      <w:r w:rsidR="00210277">
        <w:t xml:space="preserve"> </w:t>
      </w:r>
      <w:r w:rsidR="00210277" w:rsidRPr="00210277">
        <w:rPr>
          <w:i/>
          <w:iCs/>
        </w:rPr>
        <w:t>c</w:t>
      </w:r>
      <w:r w:rsidRPr="00210277">
        <w:rPr>
          <w:i/>
          <w:iCs/>
        </w:rPr>
        <w:t>omo</w:t>
      </w:r>
      <w:r w:rsidRPr="00997F84">
        <w:rPr>
          <w:i/>
          <w:iCs/>
        </w:rPr>
        <w:t xml:space="preserve"> </w:t>
      </w:r>
      <w:r w:rsidR="00F3543D">
        <w:rPr>
          <w:i/>
          <w:iCs/>
        </w:rPr>
        <w:t xml:space="preserve">un </w:t>
      </w:r>
      <w:r w:rsidRPr="00997F84">
        <w:rPr>
          <w:i/>
          <w:iCs/>
        </w:rPr>
        <w:t>campo incomparable de mérito</w:t>
      </w:r>
      <w:r w:rsidR="00B14DF8">
        <w:rPr>
          <w:i/>
          <w:iCs/>
        </w:rPr>
        <w:t>s</w:t>
      </w:r>
      <w:r w:rsidRPr="00997F84">
        <w:rPr>
          <w:i/>
          <w:iCs/>
        </w:rPr>
        <w:t xml:space="preserve"> para el mundo</w:t>
      </w:r>
      <w:r>
        <w:t xml:space="preserve">: como </w:t>
      </w:r>
      <w:r w:rsidR="00EB6E57">
        <w:t xml:space="preserve">un </w:t>
      </w:r>
      <w:r>
        <w:t xml:space="preserve">lugar sin igual en el mundo para </w:t>
      </w:r>
      <w:r w:rsidR="003009B4">
        <w:t>hacer crecer los</w:t>
      </w:r>
      <w:r>
        <w:t xml:space="preserve"> mérito</w:t>
      </w:r>
      <w:r w:rsidR="003009B4">
        <w:t>s</w:t>
      </w:r>
      <w:r>
        <w:t xml:space="preserve">; así como el lugar para cultivar el arroz o el maíz del rey o </w:t>
      </w:r>
    </w:p>
    <w:p w14:paraId="04214817" w14:textId="2117F6CA" w:rsidR="00E04366" w:rsidRDefault="00E04366" w:rsidP="00E04366">
      <w:pPr>
        <w:pStyle w:val="Piedepgina"/>
        <w:rPr>
          <w:u w:val="single"/>
        </w:rPr>
      </w:pPr>
      <w:r>
        <w:rPr>
          <w:u w:val="single"/>
        </w:rPr>
        <w:t xml:space="preserve">                                                                                                                                                                          .</w:t>
      </w:r>
    </w:p>
    <w:p w14:paraId="30B24F1F" w14:textId="57E2FA61" w:rsidR="00E04366" w:rsidRDefault="00E4326F" w:rsidP="00E04366">
      <w:pPr>
        <w:pStyle w:val="PiedepginaLegal"/>
      </w:pPr>
      <w:r>
        <w:t xml:space="preserve">36. </w:t>
      </w:r>
      <w:r w:rsidR="00E04366">
        <w:tab/>
      </w:r>
      <w:r>
        <w:t xml:space="preserve">“En la escuela </w:t>
      </w:r>
      <w:proofErr w:type="spellStart"/>
      <w:r w:rsidRPr="00997F84">
        <w:rPr>
          <w:i/>
          <w:iCs/>
        </w:rPr>
        <w:t>Sarvāstivādin</w:t>
      </w:r>
      <w:proofErr w:type="spellEnd"/>
      <w:r>
        <w:t xml:space="preserve"> y demás” (</w:t>
      </w:r>
      <w:proofErr w:type="spellStart"/>
      <w:r>
        <w:t>Vism-mhṭ</w:t>
      </w:r>
      <w:proofErr w:type="spellEnd"/>
      <w:r>
        <w:t xml:space="preserve"> 230).</w:t>
      </w:r>
      <w:r w:rsidR="00E04366">
        <w:br w:type="page"/>
      </w:r>
    </w:p>
    <w:p w14:paraId="02B1B777" w14:textId="77777777" w:rsidR="00204F26" w:rsidRDefault="00204F26" w:rsidP="00E04366"/>
    <w:p w14:paraId="479A721E" w14:textId="20753E05" w:rsidR="00204F26" w:rsidRDefault="00EB6E57" w:rsidP="00204F26">
      <w:r>
        <w:t xml:space="preserve">del </w:t>
      </w:r>
      <w:r w:rsidR="003009B4">
        <w:t xml:space="preserve">ministro es el </w:t>
      </w:r>
      <w:r w:rsidR="00204F26">
        <w:t xml:space="preserve">campo de arroz del rey o el campo de maíz del rey, </w:t>
      </w:r>
      <w:r w:rsidR="003009B4">
        <w:t>así mismo,</w:t>
      </w:r>
      <w:r w:rsidR="00204F26">
        <w:t xml:space="preserve"> la Comunidad es el lugar para hacer crecer </w:t>
      </w:r>
      <w:r>
        <w:t xml:space="preserve">los </w:t>
      </w:r>
      <w:r w:rsidR="00204F26">
        <w:t>mérito</w:t>
      </w:r>
      <w:r>
        <w:t>s</w:t>
      </w:r>
      <w:r w:rsidR="00204F26">
        <w:t xml:space="preserve"> </w:t>
      </w:r>
      <w:r>
        <w:t xml:space="preserve">en </w:t>
      </w:r>
      <w:r w:rsidR="00204F26">
        <w:t>todo el mundo. Porque los diversos tipos de mérito</w:t>
      </w:r>
      <w:r>
        <w:t>s</w:t>
      </w:r>
      <w:r w:rsidR="00204F26">
        <w:t xml:space="preserve"> del mundo que condu</w:t>
      </w:r>
      <w:r w:rsidR="003009B4">
        <w:t>zca</w:t>
      </w:r>
      <w:r w:rsidR="00204F26">
        <w:t xml:space="preserve">n </w:t>
      </w:r>
      <w:r w:rsidR="003009B4">
        <w:t>hacia e</w:t>
      </w:r>
      <w:r w:rsidR="00204F26">
        <w:t>l bienestar y la felicidad crece</w:t>
      </w:r>
      <w:r w:rsidR="003009B4">
        <w:t>rá</w:t>
      </w:r>
      <w:r w:rsidR="00204F26">
        <w:t xml:space="preserve">n con la Comunidad como su </w:t>
      </w:r>
      <w:r w:rsidR="003009B4">
        <w:t>soporte</w:t>
      </w:r>
      <w:r w:rsidR="00204F26">
        <w:t>. Por eso</w:t>
      </w:r>
      <w:r>
        <w:t>,</w:t>
      </w:r>
      <w:r w:rsidR="00204F26">
        <w:t xml:space="preserve"> la Comunidad es “un campo </w:t>
      </w:r>
      <w:r w:rsidR="003009B4">
        <w:t xml:space="preserve">incomparable </w:t>
      </w:r>
      <w:r w:rsidR="00204F26">
        <w:t>de mérito</w:t>
      </w:r>
      <w:r w:rsidR="003009B4">
        <w:t>s</w:t>
      </w:r>
      <w:r w:rsidR="00204F26">
        <w:t xml:space="preserve"> para el mundo”.</w:t>
      </w:r>
    </w:p>
    <w:p w14:paraId="0B18B361" w14:textId="38D26EF9" w:rsidR="00204F26" w:rsidRDefault="00204F26" w:rsidP="00204F26">
      <w:r>
        <w:t xml:space="preserve">99. </w:t>
      </w:r>
      <w:r>
        <w:tab/>
        <w:t xml:space="preserve">Mientras </w:t>
      </w:r>
      <w:r w:rsidR="00EB6E57">
        <w:t xml:space="preserve">se </w:t>
      </w:r>
      <w:r w:rsidR="003009B4">
        <w:t>evoque</w:t>
      </w:r>
      <w:r>
        <w:t xml:space="preserve"> </w:t>
      </w:r>
      <w:r w:rsidR="00EB6E57">
        <w:t xml:space="preserve">así </w:t>
      </w:r>
      <w:r>
        <w:t xml:space="preserve">las cualidades especiales del </w:t>
      </w:r>
      <w:r w:rsidR="00057BF4" w:rsidRPr="00057BF4">
        <w:rPr>
          <w:i/>
          <w:iCs/>
        </w:rPr>
        <w:t>Saṅgha</w:t>
      </w:r>
      <w:r>
        <w:t xml:space="preserve">, clasificadas como "habiendo entrado en el buen </w:t>
      </w:r>
      <w:r w:rsidR="003009B4">
        <w:t>sendero</w:t>
      </w:r>
      <w:r>
        <w:t xml:space="preserve">", etc., [221] entonces: "En </w:t>
      </w:r>
      <w:r w:rsidR="003009B4">
        <w:t xml:space="preserve">tal </w:t>
      </w:r>
      <w:r>
        <w:t>ocasión su mente no est</w:t>
      </w:r>
      <w:r w:rsidR="003009B4">
        <w:t>ar</w:t>
      </w:r>
      <w:r>
        <w:t xml:space="preserve">á obsesionada </w:t>
      </w:r>
      <w:r w:rsidR="003009B4">
        <w:t xml:space="preserve">con </w:t>
      </w:r>
      <w:r>
        <w:t xml:space="preserve">la codicia, </w:t>
      </w:r>
      <w:r w:rsidR="005A7D86">
        <w:t>u</w:t>
      </w:r>
      <w:r>
        <w:t xml:space="preserve"> obsesionada </w:t>
      </w:r>
      <w:r w:rsidR="005A7D86">
        <w:t xml:space="preserve">con el </w:t>
      </w:r>
      <w:r>
        <w:t>odio, u obsesionad</w:t>
      </w:r>
      <w:r w:rsidR="005A7D86">
        <w:t>a</w:t>
      </w:r>
      <w:r>
        <w:t xml:space="preserve"> </w:t>
      </w:r>
      <w:r w:rsidR="005A7D86">
        <w:t>con la ilusión</w:t>
      </w:r>
      <w:r>
        <w:t xml:space="preserve">; su mente </w:t>
      </w:r>
      <w:r w:rsidR="005A7D86">
        <w:t xml:space="preserve">tendrá </w:t>
      </w:r>
      <w:r>
        <w:t xml:space="preserve">rectitud en </w:t>
      </w:r>
      <w:r w:rsidR="00EB6E57">
        <w:t xml:space="preserve">tal </w:t>
      </w:r>
      <w:r>
        <w:t xml:space="preserve">ocasión, </w:t>
      </w:r>
      <w:r w:rsidR="005A7D86">
        <w:t xml:space="preserve">se sentirá </w:t>
      </w:r>
      <w:r>
        <w:t xml:space="preserve">inspirado por </w:t>
      </w:r>
      <w:r w:rsidR="005A7D86">
        <w:t>e</w:t>
      </w:r>
      <w:r>
        <w:t xml:space="preserve">l </w:t>
      </w:r>
      <w:r w:rsidR="00057BF4" w:rsidRPr="00057BF4">
        <w:rPr>
          <w:i/>
          <w:iCs/>
        </w:rPr>
        <w:t>Saṅgha</w:t>
      </w:r>
      <w:r>
        <w:t>” (A III 286).</w:t>
      </w:r>
    </w:p>
    <w:p w14:paraId="4DA658D8" w14:textId="5D42952C" w:rsidR="00204F26" w:rsidRDefault="00204F26" w:rsidP="00204F26">
      <w:pPr>
        <w:pStyle w:val="NormalConSangria"/>
      </w:pPr>
      <w:r>
        <w:t>Entonces, cuando ha</w:t>
      </w:r>
      <w:r w:rsidR="005A7D86">
        <w:t>ya</w:t>
      </w:r>
      <w:r>
        <w:t xml:space="preserve"> suprimido los obstáculos en la forma ya descrita (§66), los factores </w:t>
      </w:r>
      <w:proofErr w:type="spellStart"/>
      <w:r w:rsidR="00057BF4" w:rsidRPr="00057BF4">
        <w:rPr>
          <w:i/>
          <w:iCs/>
        </w:rPr>
        <w:t>jhāna</w:t>
      </w:r>
      <w:proofErr w:type="spellEnd"/>
      <w:r w:rsidR="00997F84">
        <w:t xml:space="preserve"> </w:t>
      </w:r>
      <w:r>
        <w:t>surg</w:t>
      </w:r>
      <w:r w:rsidR="005A7D86">
        <w:t>irá</w:t>
      </w:r>
      <w:r>
        <w:t xml:space="preserve">n en un solo momento consciente. Pero debido a la profundidad de las cualidades especiales de la Comunidad, o debido a que </w:t>
      </w:r>
      <w:r w:rsidR="005A7D86">
        <w:t xml:space="preserve">se encuentre </w:t>
      </w:r>
      <w:r>
        <w:t xml:space="preserve">ocupado en </w:t>
      </w:r>
      <w:r w:rsidR="005A7D86">
        <w:t xml:space="preserve">evocar </w:t>
      </w:r>
      <w:r>
        <w:t xml:space="preserve">cualidades especiales de muchos tipos, el </w:t>
      </w:r>
      <w:proofErr w:type="spellStart"/>
      <w:r w:rsidR="00057BF4" w:rsidRPr="00057BF4">
        <w:rPr>
          <w:i/>
          <w:iCs/>
        </w:rPr>
        <w:t>jhāna</w:t>
      </w:r>
      <w:proofErr w:type="spellEnd"/>
      <w:r>
        <w:t xml:space="preserve"> </w:t>
      </w:r>
      <w:r w:rsidR="008648BC">
        <w:t xml:space="preserve">será </w:t>
      </w:r>
      <w:r>
        <w:t xml:space="preserve">solo </w:t>
      </w:r>
      <w:r w:rsidR="003C3132">
        <w:t xml:space="preserve">de </w:t>
      </w:r>
      <w:r>
        <w:t>acceso y no alcanza</w:t>
      </w:r>
      <w:r w:rsidR="008648BC">
        <w:t>rá</w:t>
      </w:r>
      <w:r>
        <w:t xml:space="preserve"> la absorción. Y </w:t>
      </w:r>
      <w:r w:rsidR="008648BC">
        <w:t xml:space="preserve">a </w:t>
      </w:r>
      <w:r>
        <w:t xml:space="preserve">ese </w:t>
      </w:r>
      <w:proofErr w:type="spellStart"/>
      <w:r w:rsidR="00057BF4" w:rsidRPr="00057BF4">
        <w:rPr>
          <w:i/>
          <w:iCs/>
        </w:rPr>
        <w:t>jhāna</w:t>
      </w:r>
      <w:proofErr w:type="spellEnd"/>
      <w:r>
        <w:t xml:space="preserve"> de acceso en sí también se </w:t>
      </w:r>
      <w:r w:rsidR="008648BC">
        <w:t xml:space="preserve">le </w:t>
      </w:r>
      <w:r>
        <w:t>conoce</w:t>
      </w:r>
      <w:r w:rsidR="003C3132">
        <w:t>rá</w:t>
      </w:r>
      <w:r>
        <w:t xml:space="preserve"> como "</w:t>
      </w:r>
      <w:r w:rsidR="008648BC">
        <w:t xml:space="preserve">la evocación del </w:t>
      </w:r>
      <w:r w:rsidR="00057BF4" w:rsidRPr="00057BF4">
        <w:rPr>
          <w:i/>
          <w:iCs/>
        </w:rPr>
        <w:t>Saṅgha</w:t>
      </w:r>
      <w:r>
        <w:t>" porque surg</w:t>
      </w:r>
      <w:r w:rsidR="008648BC">
        <w:t>irá</w:t>
      </w:r>
      <w:r>
        <w:t xml:space="preserve"> con </w:t>
      </w:r>
      <w:r w:rsidR="008648BC">
        <w:t xml:space="preserve">la evocación </w:t>
      </w:r>
      <w:r>
        <w:t>de las cualidades especiales de la Comunidad como medio.</w:t>
      </w:r>
    </w:p>
    <w:p w14:paraId="01AB30B0" w14:textId="5EF2E8BD" w:rsidR="00204F26" w:rsidRDefault="00204F26" w:rsidP="00204F26">
      <w:r>
        <w:t xml:space="preserve">100. </w:t>
      </w:r>
      <w:r>
        <w:tab/>
        <w:t xml:space="preserve">Cuando un </w:t>
      </w:r>
      <w:proofErr w:type="spellStart"/>
      <w:r w:rsidR="00057BF4" w:rsidRPr="00057BF4">
        <w:rPr>
          <w:i/>
          <w:iCs/>
        </w:rPr>
        <w:t>bhikkhu</w:t>
      </w:r>
      <w:proofErr w:type="spellEnd"/>
      <w:r>
        <w:t xml:space="preserve"> se dedi</w:t>
      </w:r>
      <w:r w:rsidR="008648BC">
        <w:t>que</w:t>
      </w:r>
      <w:r>
        <w:t xml:space="preserve"> a est</w:t>
      </w:r>
      <w:r w:rsidR="008648BC">
        <w:t>a</w:t>
      </w:r>
      <w:r>
        <w:t xml:space="preserve"> </w:t>
      </w:r>
      <w:r w:rsidR="008648BC">
        <w:t xml:space="preserve">evocación </w:t>
      </w:r>
      <w:r>
        <w:t xml:space="preserve">de la Comunidad, </w:t>
      </w:r>
      <w:r w:rsidR="008648BC">
        <w:t xml:space="preserve">será </w:t>
      </w:r>
      <w:r>
        <w:t>respetuoso y deferente hacia la Comunidad. Alcanza</w:t>
      </w:r>
      <w:r w:rsidR="008648BC">
        <w:t>rá</w:t>
      </w:r>
      <w:r>
        <w:t xml:space="preserve"> la plenitud de la fe, </w:t>
      </w:r>
      <w:r w:rsidR="008648BC">
        <w:t>etc</w:t>
      </w:r>
      <w:r>
        <w:t xml:space="preserve">. Él </w:t>
      </w:r>
      <w:r w:rsidR="008648BC">
        <w:t xml:space="preserve">tendrá </w:t>
      </w:r>
      <w:r>
        <w:t>mucha felicidad y dicha. Él vence</w:t>
      </w:r>
      <w:r w:rsidR="008648BC">
        <w:t>rá</w:t>
      </w:r>
      <w:r>
        <w:t xml:space="preserve"> </w:t>
      </w:r>
      <w:r w:rsidR="008648BC">
        <w:t>a</w:t>
      </w:r>
      <w:r>
        <w:t xml:space="preserve">l miedo y </w:t>
      </w:r>
      <w:r w:rsidR="008648BC">
        <w:t>a</w:t>
      </w:r>
      <w:r>
        <w:t xml:space="preserve">l pavor. </w:t>
      </w:r>
      <w:r w:rsidR="008648BC">
        <w:t xml:space="preserve">Será </w:t>
      </w:r>
      <w:r>
        <w:t>capaz de soportar el dolor. Llega</w:t>
      </w:r>
      <w:r w:rsidR="008648BC">
        <w:t>rá</w:t>
      </w:r>
      <w:r>
        <w:t xml:space="preserve"> a sentirse como si viviera en presencia de la Comunidad. Y su cuerpo, cuando </w:t>
      </w:r>
      <w:r w:rsidR="008648BC">
        <w:t xml:space="preserve">habite </w:t>
      </w:r>
      <w:r>
        <w:t xml:space="preserve">en él </w:t>
      </w:r>
      <w:r w:rsidR="008648BC">
        <w:t xml:space="preserve">la evocación </w:t>
      </w:r>
      <w:r>
        <w:t xml:space="preserve">de las cualidades especiales del </w:t>
      </w:r>
      <w:r w:rsidR="008648BC">
        <w:rPr>
          <w:i/>
          <w:iCs/>
        </w:rPr>
        <w:t>Saṅgha</w:t>
      </w:r>
      <w:r>
        <w:t xml:space="preserve">, se </w:t>
      </w:r>
      <w:r w:rsidR="008648BC">
        <w:t xml:space="preserve">volverá </w:t>
      </w:r>
      <w:r>
        <w:t xml:space="preserve">tan digno de veneración como una casa de </w:t>
      </w:r>
      <w:proofErr w:type="spellStart"/>
      <w:r w:rsidR="00057BF4" w:rsidRPr="00057BF4">
        <w:rPr>
          <w:i/>
          <w:iCs/>
        </w:rPr>
        <w:t>Uposatha</w:t>
      </w:r>
      <w:proofErr w:type="spellEnd"/>
      <w:r>
        <w:t xml:space="preserve"> donde se ha</w:t>
      </w:r>
      <w:r w:rsidR="008648BC">
        <w:t>ya</w:t>
      </w:r>
      <w:r>
        <w:t xml:space="preserve"> reunido la Comunidad. Su mente </w:t>
      </w:r>
      <w:r w:rsidR="008648BC">
        <w:t xml:space="preserve">se inclinará </w:t>
      </w:r>
      <w:r>
        <w:t xml:space="preserve">hacia </w:t>
      </w:r>
      <w:r w:rsidR="008648BC">
        <w:t xml:space="preserve">la consumación </w:t>
      </w:r>
      <w:r>
        <w:t>de las cualidades especiales de la Comunidad. Cuando encuentr</w:t>
      </w:r>
      <w:r w:rsidR="008648BC">
        <w:t>e</w:t>
      </w:r>
      <w:r>
        <w:t xml:space="preserve"> una oportunidad de transgresión, </w:t>
      </w:r>
      <w:r w:rsidR="00950741">
        <w:t xml:space="preserve">percibirá </w:t>
      </w:r>
      <w:r>
        <w:t>la con</w:t>
      </w:r>
      <w:r w:rsidR="00950741">
        <w:t>s</w:t>
      </w:r>
      <w:r>
        <w:t>ciencia y la vergüenza tan vívidamente como si estuviera cara a cara con la Comunidad. Y si no penetra</w:t>
      </w:r>
      <w:r w:rsidR="00950741">
        <w:t>se</w:t>
      </w:r>
      <w:r>
        <w:t xml:space="preserve"> </w:t>
      </w:r>
      <w:r w:rsidR="00950741">
        <w:t>en una consumación superior</w:t>
      </w:r>
      <w:r>
        <w:t>, al menos se dirig</w:t>
      </w:r>
      <w:r w:rsidR="00950741">
        <w:t>irá hacia</w:t>
      </w:r>
      <w:r>
        <w:t xml:space="preserve"> un destino feliz.</w:t>
      </w:r>
    </w:p>
    <w:p w14:paraId="1F7777BA" w14:textId="0AAA7EC2" w:rsidR="00204F26" w:rsidRDefault="00204F26" w:rsidP="00204F26">
      <w:pPr>
        <w:pStyle w:val="VersoIngls01Sangria"/>
      </w:pPr>
      <w:r>
        <w:t xml:space="preserve">Ahora bien, cuando un hombre </w:t>
      </w:r>
      <w:r w:rsidR="00950741">
        <w:t xml:space="preserve">sea </w:t>
      </w:r>
      <w:r>
        <w:t>verdaderamente sabio,</w:t>
      </w:r>
    </w:p>
    <w:p w14:paraId="4538DF5B" w14:textId="77777777" w:rsidR="00204F26" w:rsidRDefault="00204F26" w:rsidP="00204F26">
      <w:pPr>
        <w:pStyle w:val="VersoIngls01Sangria"/>
      </w:pPr>
      <w:r>
        <w:t>Su tarea constante seguramente será</w:t>
      </w:r>
    </w:p>
    <w:p w14:paraId="31DD8D29" w14:textId="28811CE9" w:rsidR="00204F26" w:rsidRDefault="00950741" w:rsidP="00204F26">
      <w:pPr>
        <w:pStyle w:val="VersoIngls01Sangria"/>
      </w:pPr>
      <w:r>
        <w:t xml:space="preserve">Esta evocación </w:t>
      </w:r>
      <w:r w:rsidR="00204F26">
        <w:t xml:space="preserve">del </w:t>
      </w:r>
      <w:r w:rsidR="00057BF4" w:rsidRPr="00057BF4">
        <w:rPr>
          <w:i/>
          <w:iCs/>
        </w:rPr>
        <w:t>Saṅgha</w:t>
      </w:r>
    </w:p>
    <w:p w14:paraId="1B7D3557" w14:textId="38ADCA53" w:rsidR="00204F26" w:rsidRDefault="00EC02CC" w:rsidP="00204F26">
      <w:pPr>
        <w:pStyle w:val="VersoIngls01Sangria"/>
        <w:spacing w:after="100"/>
        <w:ind w:left="1418"/>
      </w:pPr>
      <w:r>
        <w:t>Y será b</w:t>
      </w:r>
      <w:r w:rsidR="00204F26">
        <w:t>endecid</w:t>
      </w:r>
      <w:r w:rsidR="00D61718">
        <w:t>o</w:t>
      </w:r>
      <w:r w:rsidR="00204F26">
        <w:t xml:space="preserve"> con tan poderosa potencia.</w:t>
      </w:r>
    </w:p>
    <w:p w14:paraId="2D73FD1C" w14:textId="5C71D0A6" w:rsidR="00204F26" w:rsidRDefault="00950741" w:rsidP="00204F26">
      <w:pPr>
        <w:pStyle w:val="NormalConSangria"/>
      </w:pPr>
      <w:r>
        <w:t>É</w:t>
      </w:r>
      <w:r w:rsidR="00204F26">
        <w:t xml:space="preserve">sta es la sección que trata sobre </w:t>
      </w:r>
      <w:r>
        <w:t xml:space="preserve">la evocación </w:t>
      </w:r>
      <w:r w:rsidR="00204F26">
        <w:t>de la Comunidad explica</w:t>
      </w:r>
      <w:r>
        <w:t>da</w:t>
      </w:r>
      <w:r w:rsidR="00204F26">
        <w:t xml:space="preserve"> detallada</w:t>
      </w:r>
      <w:r>
        <w:t>mente</w:t>
      </w:r>
      <w:r w:rsidR="00204F26">
        <w:t>.</w:t>
      </w:r>
    </w:p>
    <w:p w14:paraId="55C1DEFB" w14:textId="51CAA2EE" w:rsidR="00204F26" w:rsidRDefault="00204F26" w:rsidP="00204F26">
      <w:pPr>
        <w:pStyle w:val="Ttulo3"/>
        <w:ind w:left="1416"/>
      </w:pPr>
      <w:r>
        <w:t xml:space="preserve">[(4) </w:t>
      </w:r>
      <w:r w:rsidR="00D231D4">
        <w:t>Evocación</w:t>
      </w:r>
      <w:r>
        <w:t xml:space="preserve"> De La Virtud]</w:t>
      </w:r>
    </w:p>
    <w:p w14:paraId="09942BCA" w14:textId="61EED7F7" w:rsidR="00204F26" w:rsidRDefault="00204F26" w:rsidP="00204F26">
      <w:r>
        <w:t xml:space="preserve">101. </w:t>
      </w:r>
      <w:r>
        <w:tab/>
        <w:t xml:space="preserve">Aquel que quiera desarrollar </w:t>
      </w:r>
      <w:r w:rsidR="00F3375E">
        <w:t>la evocación</w:t>
      </w:r>
      <w:r>
        <w:t xml:space="preserve"> de la virtud debe</w:t>
      </w:r>
      <w:r w:rsidR="00E43B33">
        <w:t>rá</w:t>
      </w:r>
      <w:r>
        <w:t xml:space="preserve"> </w:t>
      </w:r>
      <w:r w:rsidR="00EC02CC">
        <w:t>dirigirse</w:t>
      </w:r>
      <w:r>
        <w:t xml:space="preserve"> a un retiro solitario y </w:t>
      </w:r>
      <w:r w:rsidR="00E43B33">
        <w:t>evocar</w:t>
      </w:r>
      <w:r>
        <w:t xml:space="preserve"> sus propias </w:t>
      </w:r>
      <w:r w:rsidR="00EC02CC">
        <w:t xml:space="preserve">y </w:t>
      </w:r>
      <w:r>
        <w:t xml:space="preserve">diferentes clases de virtud en sus cualidades especiales </w:t>
      </w:r>
      <w:r w:rsidR="007538DB">
        <w:t>como la de encontrarse</w:t>
      </w:r>
      <w:r>
        <w:t xml:space="preserve"> intactas, etc., como </w:t>
      </w:r>
      <w:r w:rsidR="007538DB">
        <w:t>se expone a continuación</w:t>
      </w:r>
      <w:r>
        <w:t>:</w:t>
      </w:r>
    </w:p>
    <w:p w14:paraId="14A9BDFA" w14:textId="34B1EC30" w:rsidR="00204F26" w:rsidRDefault="00204F26" w:rsidP="00204F26">
      <w:pPr>
        <w:pStyle w:val="NormalConSangria"/>
      </w:pPr>
      <w:r>
        <w:t xml:space="preserve">De hecho, mis diversos tipos de virtud </w:t>
      </w:r>
      <w:r w:rsidR="00EC02CC">
        <w:t xml:space="preserve">están </w:t>
      </w:r>
      <w:r>
        <w:t>“</w:t>
      </w:r>
      <w:r w:rsidR="00320274">
        <w:t>intact</w:t>
      </w:r>
      <w:r w:rsidR="00EC02CC">
        <w:t>os</w:t>
      </w:r>
      <w:r>
        <w:t>, sin rasga</w:t>
      </w:r>
      <w:r w:rsidR="00184800">
        <w:t>duras</w:t>
      </w:r>
      <w:r>
        <w:t xml:space="preserve">, sin manchas, sin </w:t>
      </w:r>
      <w:r w:rsidR="00184800">
        <w:t>impurezas</w:t>
      </w:r>
      <w:r>
        <w:t xml:space="preserve">, </w:t>
      </w:r>
      <w:r w:rsidR="00184800">
        <w:t xml:space="preserve">son </w:t>
      </w:r>
      <w:r>
        <w:t>liberador</w:t>
      </w:r>
      <w:r w:rsidR="00EC02CC">
        <w:t>e</w:t>
      </w:r>
      <w:r>
        <w:t xml:space="preserve">s, </w:t>
      </w:r>
      <w:r w:rsidR="00184800">
        <w:t xml:space="preserve">son </w:t>
      </w:r>
      <w:r>
        <w:t>alabad</w:t>
      </w:r>
      <w:r w:rsidR="00EC02CC">
        <w:t>o</w:t>
      </w:r>
      <w:r>
        <w:t xml:space="preserve">s por los sabios, </w:t>
      </w:r>
      <w:r w:rsidR="00EC02CC">
        <w:t>no poseen</w:t>
      </w:r>
      <w:r w:rsidR="004946A8">
        <w:t xml:space="preserve"> apegos</w:t>
      </w:r>
      <w:r>
        <w:t xml:space="preserve"> y </w:t>
      </w:r>
      <w:r w:rsidR="00EC02CC">
        <w:t xml:space="preserve">son </w:t>
      </w:r>
      <w:r>
        <w:t xml:space="preserve">conducentes </w:t>
      </w:r>
      <w:r w:rsidR="004946A8">
        <w:t>haci</w:t>
      </w:r>
      <w:r>
        <w:t>a la concentración” (A III 286). Y un laico debe</w:t>
      </w:r>
      <w:r w:rsidR="00EC02CC">
        <w:t>rá</w:t>
      </w:r>
      <w:r>
        <w:t xml:space="preserve"> </w:t>
      </w:r>
      <w:r w:rsidR="004946A8">
        <w:t>evocarlos</w:t>
      </w:r>
      <w:r>
        <w:t xml:space="preserve"> en la forma de virtud </w:t>
      </w:r>
      <w:r w:rsidR="00EC02CC">
        <w:t xml:space="preserve">para </w:t>
      </w:r>
      <w:r>
        <w:t xml:space="preserve">laicos, mientras que uno que </w:t>
      </w:r>
      <w:r w:rsidR="00E85664">
        <w:t xml:space="preserve">se </w:t>
      </w:r>
      <w:r>
        <w:t>ha</w:t>
      </w:r>
      <w:r w:rsidR="00E85664">
        <w:t>ya</w:t>
      </w:r>
      <w:r>
        <w:t xml:space="preserve"> </w:t>
      </w:r>
      <w:r w:rsidR="00E85664">
        <w:t>ordenado</w:t>
      </w:r>
      <w:r>
        <w:t xml:space="preserve"> debe</w:t>
      </w:r>
      <w:r w:rsidR="00E85664">
        <w:t>rá</w:t>
      </w:r>
      <w:r>
        <w:t xml:space="preserve"> </w:t>
      </w:r>
      <w:r w:rsidR="00E85664">
        <w:t xml:space="preserve">evocarlos </w:t>
      </w:r>
      <w:r>
        <w:t xml:space="preserve">en la forma de virtud </w:t>
      </w:r>
      <w:r w:rsidR="00EC02CC">
        <w:t xml:space="preserve">para </w:t>
      </w:r>
      <w:r>
        <w:t>los que ha</w:t>
      </w:r>
      <w:r w:rsidR="000A0F0C">
        <w:t>n renunciado a una vida de hogar por una sin hogar</w:t>
      </w:r>
      <w:r>
        <w:t>.</w:t>
      </w:r>
    </w:p>
    <w:p w14:paraId="7C085485" w14:textId="77777777" w:rsidR="00204F26" w:rsidRDefault="00204F26">
      <w:pPr>
        <w:tabs>
          <w:tab w:val="clear" w:pos="425"/>
        </w:tabs>
        <w:spacing w:after="160"/>
      </w:pPr>
      <w:r>
        <w:br w:type="page"/>
      </w:r>
    </w:p>
    <w:p w14:paraId="242199C7" w14:textId="77777777" w:rsidR="00A3623C" w:rsidRDefault="00A3623C" w:rsidP="00204F26">
      <w:pPr>
        <w:pStyle w:val="NormalConSangria"/>
      </w:pPr>
    </w:p>
    <w:p w14:paraId="5329CF09" w14:textId="3B218EAB" w:rsidR="00A3623C" w:rsidRDefault="00A3623C" w:rsidP="00A3623C">
      <w:r>
        <w:t xml:space="preserve">102. </w:t>
      </w:r>
      <w:r>
        <w:tab/>
        <w:t>Ya sea</w:t>
      </w:r>
      <w:r w:rsidR="00EC02CC">
        <w:t xml:space="preserve"> que se trate</w:t>
      </w:r>
      <w:r>
        <w:t xml:space="preserve"> </w:t>
      </w:r>
      <w:r w:rsidR="00EC02CC">
        <w:t>de</w:t>
      </w:r>
      <w:r>
        <w:t xml:space="preserve"> virtudes </w:t>
      </w:r>
      <w:r w:rsidR="00EC02CC">
        <w:t>para</w:t>
      </w:r>
      <w:r>
        <w:t xml:space="preserve"> laicos o de los que </w:t>
      </w:r>
      <w:r w:rsidR="000A0F0C">
        <w:t xml:space="preserve">se </w:t>
      </w:r>
      <w:r>
        <w:t>ha</w:t>
      </w:r>
      <w:r w:rsidR="000A0F0C">
        <w:t>ya</w:t>
      </w:r>
      <w:r w:rsidR="00FD3C9B">
        <w:t>n ordenado</w:t>
      </w:r>
      <w:r>
        <w:t xml:space="preserve">, cuando </w:t>
      </w:r>
      <w:r w:rsidR="00EC02CC">
        <w:t>ninguna de ellas se rompa</w:t>
      </w:r>
      <w:r>
        <w:t xml:space="preserve"> al principio o al final, </w:t>
      </w:r>
      <w:r w:rsidR="00771CFF">
        <w:t>y no</w:t>
      </w:r>
      <w:r>
        <w:t xml:space="preserve"> se rasg</w:t>
      </w:r>
      <w:r w:rsidR="00771CFF">
        <w:t>ue</w:t>
      </w:r>
      <w:r w:rsidR="00EC02CC">
        <w:t>n</w:t>
      </w:r>
      <w:r>
        <w:t xml:space="preserve"> como una tela andrajosa en los extremos, entonces </w:t>
      </w:r>
      <w:r w:rsidR="00320274">
        <w:t>estará</w:t>
      </w:r>
      <w:r>
        <w:t xml:space="preserve"> </w:t>
      </w:r>
      <w:r w:rsidR="00320274" w:rsidRPr="00320274">
        <w:rPr>
          <w:i/>
          <w:iCs/>
        </w:rPr>
        <w:t>intacta</w:t>
      </w:r>
      <w:r>
        <w:t>. [222] Cuando ningun</w:t>
      </w:r>
      <w:r w:rsidR="00EC02CC">
        <w:t>a</w:t>
      </w:r>
      <w:r>
        <w:t xml:space="preserve"> de ell</w:t>
      </w:r>
      <w:r w:rsidR="00EC02CC">
        <w:t>a</w:t>
      </w:r>
      <w:r>
        <w:t xml:space="preserve">s </w:t>
      </w:r>
      <w:r w:rsidR="00320274">
        <w:t>esté rot</w:t>
      </w:r>
      <w:r w:rsidR="00EC02CC">
        <w:t>a</w:t>
      </w:r>
      <w:r>
        <w:t xml:space="preserve"> por la mitad, y no </w:t>
      </w:r>
      <w:r w:rsidR="00051E4D">
        <w:t>esté rot</w:t>
      </w:r>
      <w:r w:rsidR="00EC02CC">
        <w:t>a</w:t>
      </w:r>
      <w:r>
        <w:t xml:space="preserve"> como un paño perfor</w:t>
      </w:r>
      <w:r w:rsidR="00051E4D">
        <w:t>ado</w:t>
      </w:r>
      <w:r>
        <w:t xml:space="preserve"> por </w:t>
      </w:r>
      <w:r w:rsidR="00320274">
        <w:t>el medio</w:t>
      </w:r>
      <w:r>
        <w:t xml:space="preserve">, entonces </w:t>
      </w:r>
      <w:r w:rsidR="00382202">
        <w:t xml:space="preserve">estará </w:t>
      </w:r>
      <w:r w:rsidR="00051E4D" w:rsidRPr="00EC02CC">
        <w:rPr>
          <w:i/>
          <w:iCs/>
        </w:rPr>
        <w:t>sin</w:t>
      </w:r>
      <w:r w:rsidR="00382202" w:rsidRPr="00382202">
        <w:rPr>
          <w:i/>
          <w:iCs/>
        </w:rPr>
        <w:t>-</w:t>
      </w:r>
      <w:r w:rsidR="00051E4D">
        <w:rPr>
          <w:i/>
          <w:iCs/>
        </w:rPr>
        <w:t>roturas</w:t>
      </w:r>
      <w:r>
        <w:t>. Cuando no se romp</w:t>
      </w:r>
      <w:r w:rsidR="00382202">
        <w:t>a</w:t>
      </w:r>
      <w:r>
        <w:t>n dos o tres veces seguidas, y no se manch</w:t>
      </w:r>
      <w:r w:rsidR="00382202">
        <w:t>e</w:t>
      </w:r>
      <w:r>
        <w:t>n como una vaca cuyo cuerpo</w:t>
      </w:r>
      <w:r w:rsidR="008B3573">
        <w:t xml:space="preserve"> sea</w:t>
      </w:r>
      <w:r>
        <w:t xml:space="preserve"> como el </w:t>
      </w:r>
      <w:r w:rsidR="00382202">
        <w:t xml:space="preserve">color </w:t>
      </w:r>
      <w:r>
        <w:t>negro o el rojo con manchas oblongas o redondas de colores discrepantes que apare</w:t>
      </w:r>
      <w:r w:rsidR="00EC02CC">
        <w:t>zca</w:t>
      </w:r>
      <w:r>
        <w:t xml:space="preserve">n en la espalda o </w:t>
      </w:r>
      <w:r w:rsidR="008B3573">
        <w:t xml:space="preserve">en </w:t>
      </w:r>
      <w:r>
        <w:t xml:space="preserve">el vientre, entonces no </w:t>
      </w:r>
      <w:r w:rsidR="008B3573">
        <w:t>tendrán</w:t>
      </w:r>
      <w:r>
        <w:t xml:space="preserve"> manchas. Cuando no est</w:t>
      </w:r>
      <w:r w:rsidR="008B3573">
        <w:t>é</w:t>
      </w:r>
      <w:r>
        <w:t>n rot</w:t>
      </w:r>
      <w:r w:rsidR="00EC02CC">
        <w:t>a</w:t>
      </w:r>
      <w:r>
        <w:t>s por completo a intervalos, no est</w:t>
      </w:r>
      <w:r w:rsidR="008B3573">
        <w:t>ar</w:t>
      </w:r>
      <w:r>
        <w:t>án motead</w:t>
      </w:r>
      <w:r w:rsidR="00EC02CC">
        <w:t>a</w:t>
      </w:r>
      <w:r>
        <w:t>s como una vaca salpicada de manchas de colores discrepantes, entonces no est</w:t>
      </w:r>
      <w:r w:rsidR="008B3573">
        <w:t>ar</w:t>
      </w:r>
      <w:r>
        <w:t>án motead</w:t>
      </w:r>
      <w:r w:rsidR="00EC02CC">
        <w:t>a</w:t>
      </w:r>
      <w:r>
        <w:t>s.</w:t>
      </w:r>
    </w:p>
    <w:p w14:paraId="05F86523" w14:textId="6E63F550" w:rsidR="00A3623C" w:rsidRDefault="00A3623C" w:rsidP="00A3623C">
      <w:r>
        <w:t xml:space="preserve">103. </w:t>
      </w:r>
      <w:r>
        <w:tab/>
        <w:t xml:space="preserve">O, en general, </w:t>
      </w:r>
      <w:r w:rsidR="00EC02CC">
        <w:t xml:space="preserve">las virtudes </w:t>
      </w:r>
      <w:r>
        <w:t>est</w:t>
      </w:r>
      <w:r w:rsidR="008B3573">
        <w:t>ar</w:t>
      </w:r>
      <w:r>
        <w:t xml:space="preserve">án </w:t>
      </w:r>
      <w:r w:rsidRPr="00997F84">
        <w:rPr>
          <w:i/>
          <w:iCs/>
        </w:rPr>
        <w:t>intact</w:t>
      </w:r>
      <w:r w:rsidR="00EC02CC">
        <w:rPr>
          <w:i/>
          <w:iCs/>
        </w:rPr>
        <w:t>a</w:t>
      </w:r>
      <w:r w:rsidRPr="00997F84">
        <w:rPr>
          <w:i/>
          <w:iCs/>
        </w:rPr>
        <w:t>s</w:t>
      </w:r>
      <w:r>
        <w:t xml:space="preserve">, </w:t>
      </w:r>
      <w:r w:rsidRPr="00997F84">
        <w:rPr>
          <w:i/>
          <w:iCs/>
        </w:rPr>
        <w:t xml:space="preserve">sin roturas, sin manchas, sin </w:t>
      </w:r>
      <w:r w:rsidR="00997F84">
        <w:rPr>
          <w:i/>
          <w:iCs/>
        </w:rPr>
        <w:t>máculas</w:t>
      </w:r>
      <w:r>
        <w:t xml:space="preserve"> cuando no </w:t>
      </w:r>
      <w:r w:rsidR="00EC02CC">
        <w:t>sean</w:t>
      </w:r>
      <w:r>
        <w:t xml:space="preserve"> dañad</w:t>
      </w:r>
      <w:r w:rsidR="00EC02CC">
        <w:t>a</w:t>
      </w:r>
      <w:r>
        <w:t>s por los siete lazos de la sexualidad (I.144)</w:t>
      </w:r>
      <w:r w:rsidR="00593256">
        <w:t>,</w:t>
      </w:r>
      <w:r>
        <w:t xml:space="preserve"> por la ira</w:t>
      </w:r>
      <w:r w:rsidR="00593256">
        <w:t>,</w:t>
      </w:r>
      <w:r>
        <w:t xml:space="preserve"> la enemistad y otras cosas </w:t>
      </w:r>
      <w:r w:rsidR="00593256">
        <w:t>negativas</w:t>
      </w:r>
      <w:r>
        <w:t xml:space="preserve"> (ver §59).</w:t>
      </w:r>
    </w:p>
    <w:p w14:paraId="254CB387" w14:textId="67543E97" w:rsidR="00A3623C" w:rsidRDefault="00A3623C" w:rsidP="00A3623C">
      <w:r>
        <w:t xml:space="preserve">104. </w:t>
      </w:r>
      <w:r>
        <w:tab/>
        <w:t xml:space="preserve">Esas mismas virtudes </w:t>
      </w:r>
      <w:r w:rsidR="00EC02CC">
        <w:t>serán</w:t>
      </w:r>
      <w:r>
        <w:t xml:space="preserve"> </w:t>
      </w:r>
      <w:r w:rsidRPr="00997F84">
        <w:rPr>
          <w:i/>
          <w:iCs/>
        </w:rPr>
        <w:t>liberadoras</w:t>
      </w:r>
      <w:r>
        <w:t xml:space="preserve"> porque libera</w:t>
      </w:r>
      <w:r w:rsidR="00EC02CC">
        <w:t>rá</w:t>
      </w:r>
      <w:r>
        <w:t xml:space="preserve">n </w:t>
      </w:r>
      <w:r w:rsidR="000F6D10">
        <w:t xml:space="preserve">al practicante </w:t>
      </w:r>
      <w:r>
        <w:t>de la esclavitud del deseo. S</w:t>
      </w:r>
      <w:r w:rsidR="00EC02CC">
        <w:t>erá</w:t>
      </w:r>
      <w:r>
        <w:t xml:space="preserve">n </w:t>
      </w:r>
      <w:r w:rsidR="00E10C3D">
        <w:t>elogiadas</w:t>
      </w:r>
      <w:r>
        <w:t xml:space="preserve"> por los sabios porque s</w:t>
      </w:r>
      <w:r w:rsidR="00EC02CC">
        <w:t>erá</w:t>
      </w:r>
      <w:r>
        <w:t xml:space="preserve">n </w:t>
      </w:r>
      <w:r w:rsidR="00B80FAB">
        <w:t xml:space="preserve">elogiadas </w:t>
      </w:r>
      <w:r>
        <w:t xml:space="preserve">por hombres sabios </w:t>
      </w:r>
      <w:r w:rsidR="00EC02CC">
        <w:t xml:space="preserve">e </w:t>
      </w:r>
      <w:r>
        <w:t xml:space="preserve">Iluminados. No </w:t>
      </w:r>
      <w:r w:rsidR="00EC02CC">
        <w:t>estarán</w:t>
      </w:r>
      <w:r>
        <w:t xml:space="preserve"> adher</w:t>
      </w:r>
      <w:r w:rsidR="00EC02CC">
        <w:t>idas</w:t>
      </w:r>
      <w:r>
        <w:t xml:space="preserve"> a (</w:t>
      </w:r>
      <w:proofErr w:type="spellStart"/>
      <w:r w:rsidRPr="00997F84">
        <w:rPr>
          <w:i/>
          <w:iCs/>
        </w:rPr>
        <w:t>aparāmaṭṭha</w:t>
      </w:r>
      <w:proofErr w:type="spellEnd"/>
      <w:r>
        <w:t xml:space="preserve">) ya que </w:t>
      </w:r>
      <w:r w:rsidRPr="00997F84">
        <w:rPr>
          <w:i/>
          <w:iCs/>
        </w:rPr>
        <w:t>no se adher</w:t>
      </w:r>
      <w:r w:rsidR="00EC02CC">
        <w:rPr>
          <w:i/>
          <w:iCs/>
        </w:rPr>
        <w:t>irá</w:t>
      </w:r>
      <w:r w:rsidRPr="00997F84">
        <w:rPr>
          <w:i/>
          <w:iCs/>
        </w:rPr>
        <w:t>n a</w:t>
      </w:r>
      <w:r>
        <w:t xml:space="preserve"> (</w:t>
      </w:r>
      <w:proofErr w:type="spellStart"/>
      <w:r w:rsidRPr="00997F84">
        <w:rPr>
          <w:i/>
          <w:iCs/>
        </w:rPr>
        <w:t>aparāmaṭṭhattā</w:t>
      </w:r>
      <w:proofErr w:type="spellEnd"/>
      <w:r>
        <w:t xml:space="preserve">) </w:t>
      </w:r>
      <w:r w:rsidR="000F6D10">
        <w:t xml:space="preserve">nada </w:t>
      </w:r>
      <w:r>
        <w:t xml:space="preserve">con deseo y </w:t>
      </w:r>
      <w:r w:rsidR="00EC02CC">
        <w:t>alg</w:t>
      </w:r>
      <w:r w:rsidR="000F6D10">
        <w:t xml:space="preserve">una </w:t>
      </w:r>
      <w:r>
        <w:t xml:space="preserve">visión </w:t>
      </w:r>
      <w:r w:rsidR="000F6D10">
        <w:t>incorrecta</w:t>
      </w:r>
      <w:r w:rsidR="00EC02CC">
        <w:t>;</w:t>
      </w:r>
      <w:r>
        <w:t xml:space="preserve"> o debido a la imposibilidad de </w:t>
      </w:r>
      <w:r w:rsidR="00C2733D">
        <w:t xml:space="preserve">una </w:t>
      </w:r>
      <w:r>
        <w:t>malinterpreta</w:t>
      </w:r>
      <w:r w:rsidR="00C2733D">
        <w:t>ción</w:t>
      </w:r>
      <w:r>
        <w:t xml:space="preserve"> (</w:t>
      </w:r>
      <w:proofErr w:type="spellStart"/>
      <w:r w:rsidRPr="00997F84">
        <w:rPr>
          <w:i/>
          <w:iCs/>
        </w:rPr>
        <w:t>parāmaṭṭhuṃ</w:t>
      </w:r>
      <w:proofErr w:type="spellEnd"/>
      <w:r>
        <w:t xml:space="preserve">) </w:t>
      </w:r>
      <w:r w:rsidR="00EC02CC">
        <w:t>al respecto</w:t>
      </w:r>
      <w:r w:rsidR="001314FB">
        <w:t>,</w:t>
      </w:r>
      <w:r w:rsidR="00EC02CC">
        <w:t xml:space="preserve"> como </w:t>
      </w:r>
      <w:r w:rsidR="001314FB">
        <w:t xml:space="preserve">de </w:t>
      </w:r>
      <w:r w:rsidR="00EC02CC">
        <w:t xml:space="preserve">que </w:t>
      </w:r>
      <w:r>
        <w:t>“Exist</w:t>
      </w:r>
      <w:r w:rsidR="00EC02CC">
        <w:t>a</w:t>
      </w:r>
      <w:r>
        <w:t xml:space="preserve"> este defecto en </w:t>
      </w:r>
      <w:r w:rsidR="001314FB">
        <w:t>s</w:t>
      </w:r>
      <w:r>
        <w:t>us virtudes”. S</w:t>
      </w:r>
      <w:r w:rsidR="00EC02CC">
        <w:t>erá</w:t>
      </w:r>
      <w:r>
        <w:t>n conducentes a la concentración ya que conduc</w:t>
      </w:r>
      <w:r w:rsidR="00EC02CC">
        <w:t>irá</w:t>
      </w:r>
      <w:r>
        <w:t xml:space="preserve">n a la concentración de acceso y </w:t>
      </w:r>
      <w:r w:rsidR="004B153D">
        <w:t xml:space="preserve">a </w:t>
      </w:r>
      <w:r>
        <w:t>la concentración de absorción, o</w:t>
      </w:r>
      <w:r w:rsidR="00997F84">
        <w:t xml:space="preserve"> </w:t>
      </w:r>
      <w:r>
        <w:t>a la concentración de</w:t>
      </w:r>
      <w:r w:rsidR="004B153D">
        <w:t>l</w:t>
      </w:r>
      <w:r>
        <w:t xml:space="preserve"> </w:t>
      </w:r>
      <w:r w:rsidR="004B153D">
        <w:t xml:space="preserve">sendero </w:t>
      </w:r>
      <w:r>
        <w:t xml:space="preserve">y </w:t>
      </w:r>
      <w:r w:rsidR="001314FB">
        <w:t xml:space="preserve">a </w:t>
      </w:r>
      <w:r>
        <w:t xml:space="preserve">la concentración de </w:t>
      </w:r>
      <w:r w:rsidR="004B153D">
        <w:t xml:space="preserve">la </w:t>
      </w:r>
      <w:r>
        <w:t>fruición.</w:t>
      </w:r>
    </w:p>
    <w:p w14:paraId="0A900448" w14:textId="3C12CAA5" w:rsidR="00A3623C" w:rsidRDefault="00A3623C" w:rsidP="00A3623C">
      <w:r>
        <w:t xml:space="preserve">105. </w:t>
      </w:r>
      <w:r>
        <w:tab/>
        <w:t xml:space="preserve">Mientras </w:t>
      </w:r>
      <w:r w:rsidR="00E8759D">
        <w:t xml:space="preserve">se </w:t>
      </w:r>
      <w:r w:rsidR="00EC02CC">
        <w:t xml:space="preserve">evoquen así </w:t>
      </w:r>
      <w:r w:rsidR="00E8759D">
        <w:t>las</w:t>
      </w:r>
      <w:r>
        <w:t xml:space="preserve"> propias virtudes en sus cualidades especiales de </w:t>
      </w:r>
      <w:r w:rsidR="00E8759D">
        <w:t>estar</w:t>
      </w:r>
      <w:r>
        <w:t xml:space="preserve"> intact</w:t>
      </w:r>
      <w:r w:rsidR="00E8759D">
        <w:t>as</w:t>
      </w:r>
      <w:r>
        <w:t>, etc., entonces: “En esa ocasión su mente no est</w:t>
      </w:r>
      <w:r w:rsidR="00E8759D">
        <w:t>ar</w:t>
      </w:r>
      <w:r>
        <w:t xml:space="preserve">á obsesionada por la codicia, ni obsesionada por el odio, ni obsesionada por </w:t>
      </w:r>
      <w:r w:rsidR="006F1E38">
        <w:t>la ilusión</w:t>
      </w:r>
      <w:r>
        <w:t xml:space="preserve">, su mente </w:t>
      </w:r>
      <w:r w:rsidR="001E4A9B">
        <w:t>gozará de</w:t>
      </w:r>
      <w:r>
        <w:t xml:space="preserve"> rectitud en </w:t>
      </w:r>
      <w:r w:rsidR="001E4A9B">
        <w:t xml:space="preserve">tal </w:t>
      </w:r>
      <w:r>
        <w:t xml:space="preserve">ocasión, </w:t>
      </w:r>
      <w:r w:rsidR="001E4A9B">
        <w:t xml:space="preserve">a través de la </w:t>
      </w:r>
      <w:r>
        <w:t>inspir</w:t>
      </w:r>
      <w:r w:rsidR="001E4A9B">
        <w:t>ación</w:t>
      </w:r>
      <w:r>
        <w:t xml:space="preserve"> en la virtud” (A III 286).</w:t>
      </w:r>
    </w:p>
    <w:p w14:paraId="52010783" w14:textId="24C278F6" w:rsidR="00A3623C" w:rsidRDefault="00A3623C" w:rsidP="001E4A9B">
      <w:pPr>
        <w:pStyle w:val="NormalConSangria"/>
      </w:pPr>
      <w:r>
        <w:t xml:space="preserve">Entonces, cuando </w:t>
      </w:r>
      <w:r w:rsidR="001E4A9B">
        <w:t xml:space="preserve">se </w:t>
      </w:r>
      <w:r>
        <w:t>ha</w:t>
      </w:r>
      <w:r w:rsidR="001E4A9B">
        <w:t>ya</w:t>
      </w:r>
      <w:r>
        <w:t xml:space="preserve"> suprimido los obstáculos de la manera ya descrita (§66), los factores </w:t>
      </w:r>
      <w:proofErr w:type="spellStart"/>
      <w:r w:rsidR="00057BF4" w:rsidRPr="00057BF4">
        <w:rPr>
          <w:i/>
          <w:iCs/>
        </w:rPr>
        <w:t>jhān</w:t>
      </w:r>
      <w:r w:rsidR="00EC02CC">
        <w:rPr>
          <w:i/>
          <w:iCs/>
        </w:rPr>
        <w:t>icos</w:t>
      </w:r>
      <w:proofErr w:type="spellEnd"/>
      <w:r>
        <w:t xml:space="preserve"> surg</w:t>
      </w:r>
      <w:r w:rsidR="001E4A9B">
        <w:t>irán</w:t>
      </w:r>
      <w:r>
        <w:t xml:space="preserve"> en un solo momento consciente. Pero debido a la profundidad de las cualidades especiales de la virtud, o debido a que </w:t>
      </w:r>
      <w:r w:rsidR="00080CE7">
        <w:t xml:space="preserve">se </w:t>
      </w:r>
      <w:r>
        <w:t>est</w:t>
      </w:r>
      <w:r w:rsidR="00080CE7">
        <w:t>é</w:t>
      </w:r>
      <w:r>
        <w:t xml:space="preserve"> ocupado en </w:t>
      </w:r>
      <w:r w:rsidR="00080CE7">
        <w:t xml:space="preserve">evocar </w:t>
      </w:r>
      <w:r>
        <w:t xml:space="preserve">cualidades especiales de muchos tipos, el </w:t>
      </w:r>
      <w:proofErr w:type="spellStart"/>
      <w:r w:rsidR="00057BF4" w:rsidRPr="00057BF4">
        <w:rPr>
          <w:i/>
          <w:iCs/>
        </w:rPr>
        <w:t>jhāna</w:t>
      </w:r>
      <w:proofErr w:type="spellEnd"/>
      <w:r>
        <w:t xml:space="preserve"> </w:t>
      </w:r>
      <w:r w:rsidR="00080CE7">
        <w:t>será</w:t>
      </w:r>
      <w:r>
        <w:t xml:space="preserve"> solo </w:t>
      </w:r>
      <w:r w:rsidR="00EC02CC">
        <w:t xml:space="preserve">de </w:t>
      </w:r>
      <w:r>
        <w:t>acceso y no alcanza</w:t>
      </w:r>
      <w:r w:rsidR="00080CE7">
        <w:t>rá</w:t>
      </w:r>
      <w:r>
        <w:t xml:space="preserve"> la absorción. Y ese </w:t>
      </w:r>
      <w:proofErr w:type="spellStart"/>
      <w:r w:rsidR="00057BF4" w:rsidRPr="00057BF4">
        <w:rPr>
          <w:i/>
        </w:rPr>
        <w:t>jhāna</w:t>
      </w:r>
      <w:proofErr w:type="spellEnd"/>
      <w:r>
        <w:t xml:space="preserve"> de acceso en sí también se conoce</w:t>
      </w:r>
      <w:r w:rsidR="00080CE7">
        <w:t>rá</w:t>
      </w:r>
      <w:r>
        <w:t xml:space="preserve"> como "</w:t>
      </w:r>
      <w:r w:rsidR="00080CE7">
        <w:t>la vocación</w:t>
      </w:r>
      <w:r>
        <w:t xml:space="preserve"> de la virtud" porque surg</w:t>
      </w:r>
      <w:r w:rsidR="00080CE7">
        <w:t>irá</w:t>
      </w:r>
      <w:r>
        <w:t xml:space="preserve"> con las </w:t>
      </w:r>
      <w:r w:rsidRPr="00997F84">
        <w:rPr>
          <w:i/>
          <w:iCs/>
        </w:rPr>
        <w:t>cualidades</w:t>
      </w:r>
      <w:r>
        <w:t xml:space="preserve"> especiales de la virtud como medio.</w:t>
      </w:r>
    </w:p>
    <w:p w14:paraId="0C89FFC4" w14:textId="5BC492DA" w:rsidR="00A3623C" w:rsidRDefault="00A3623C" w:rsidP="00A3623C">
      <w:r>
        <w:t xml:space="preserve">106. </w:t>
      </w:r>
      <w:r>
        <w:tab/>
        <w:t xml:space="preserve">Y cuando un </w:t>
      </w:r>
      <w:proofErr w:type="spellStart"/>
      <w:r w:rsidR="00057BF4" w:rsidRPr="00057BF4">
        <w:rPr>
          <w:i/>
          <w:iCs/>
        </w:rPr>
        <w:t>bhikkhu</w:t>
      </w:r>
      <w:proofErr w:type="spellEnd"/>
      <w:r>
        <w:t xml:space="preserve"> se dedi</w:t>
      </w:r>
      <w:r w:rsidR="00365491">
        <w:t>que</w:t>
      </w:r>
      <w:r>
        <w:t xml:space="preserve"> a </w:t>
      </w:r>
      <w:r w:rsidR="00892B58">
        <w:t>la</w:t>
      </w:r>
      <w:r>
        <w:t xml:space="preserve"> </w:t>
      </w:r>
      <w:r w:rsidR="00365491">
        <w:t xml:space="preserve">evocación </w:t>
      </w:r>
      <w:r>
        <w:t xml:space="preserve">de </w:t>
      </w:r>
      <w:r w:rsidR="00892B58">
        <w:t xml:space="preserve">esta </w:t>
      </w:r>
      <w:r>
        <w:t xml:space="preserve">virtud, </w:t>
      </w:r>
      <w:r w:rsidR="00892B58">
        <w:t xml:space="preserve">tendrá </w:t>
      </w:r>
      <w:r>
        <w:t>respeto por el entrenamiento. Viv</w:t>
      </w:r>
      <w:r w:rsidR="00892B58">
        <w:t>irá</w:t>
      </w:r>
      <w:r>
        <w:t xml:space="preserve"> en comunión con sus semejantes en la vida de pureza. </w:t>
      </w:r>
      <w:r w:rsidR="00BB65E5">
        <w:t xml:space="preserve">Será </w:t>
      </w:r>
      <w:r>
        <w:t xml:space="preserve">diligente en la </w:t>
      </w:r>
      <w:r w:rsidR="00BB65E5">
        <w:t>recepción</w:t>
      </w:r>
      <w:r>
        <w:t>. Est</w:t>
      </w:r>
      <w:r w:rsidR="00BB65E5">
        <w:t>ar</w:t>
      </w:r>
      <w:r>
        <w:t>á desprovisto del miedo al autorreproche, etc. Ve</w:t>
      </w:r>
      <w:r w:rsidR="00BB65E5">
        <w:t>rá el</w:t>
      </w:r>
      <w:r>
        <w:t xml:space="preserve"> miedo en el más mínimo defecto. Alcanza</w:t>
      </w:r>
      <w:r w:rsidR="00BB65E5">
        <w:t>rá</w:t>
      </w:r>
      <w:r>
        <w:t xml:space="preserve"> la plenitud de la fe,</w:t>
      </w:r>
      <w:r w:rsidR="00BB65E5">
        <w:t xml:space="preserve"> etc</w:t>
      </w:r>
      <w:r>
        <w:t xml:space="preserve">. </w:t>
      </w:r>
      <w:r w:rsidR="008F5511">
        <w:t xml:space="preserve">Albergará </w:t>
      </w:r>
      <w:r>
        <w:t>mucha felicidad y alegría. Y si no penetra</w:t>
      </w:r>
      <w:r w:rsidR="008F5511">
        <w:t>se</w:t>
      </w:r>
      <w:r>
        <w:t xml:space="preserve"> </w:t>
      </w:r>
      <w:r w:rsidR="008F5511">
        <w:t>ninguna consumación superior</w:t>
      </w:r>
      <w:r>
        <w:t>, al menos se dirig</w:t>
      </w:r>
      <w:r w:rsidR="008F5511">
        <w:t>irá</w:t>
      </w:r>
      <w:r>
        <w:t xml:space="preserve"> </w:t>
      </w:r>
      <w:r w:rsidR="002739DC">
        <w:t>h</w:t>
      </w:r>
      <w:r>
        <w:t>a</w:t>
      </w:r>
      <w:r w:rsidR="002739DC">
        <w:t>cia</w:t>
      </w:r>
      <w:r>
        <w:t xml:space="preserve"> un destino feliz.</w:t>
      </w:r>
    </w:p>
    <w:p w14:paraId="2525A725" w14:textId="4B81050D" w:rsidR="00A3623C" w:rsidRDefault="00A3623C" w:rsidP="00A3623C">
      <w:pPr>
        <w:pStyle w:val="VersoIngls01Sangria"/>
      </w:pPr>
      <w:r>
        <w:t xml:space="preserve">Ahora bien, cuando un hombre </w:t>
      </w:r>
      <w:r w:rsidR="002739DC">
        <w:t>sea</w:t>
      </w:r>
      <w:r>
        <w:t xml:space="preserve"> verdaderamente sabio,</w:t>
      </w:r>
    </w:p>
    <w:p w14:paraId="3089FEF9" w14:textId="77777777" w:rsidR="00A3623C" w:rsidRDefault="00A3623C" w:rsidP="00A3623C">
      <w:pPr>
        <w:pStyle w:val="VersoIngls01Sangria"/>
      </w:pPr>
      <w:r>
        <w:t>Su tarea constante seguramente será</w:t>
      </w:r>
    </w:p>
    <w:p w14:paraId="390769B4" w14:textId="3E0A7064" w:rsidR="00A3623C" w:rsidRDefault="00A3623C" w:rsidP="00A3623C">
      <w:pPr>
        <w:pStyle w:val="VersoIngls01Sangria"/>
      </w:pPr>
      <w:r>
        <w:t>Est</w:t>
      </w:r>
      <w:r w:rsidR="002739DC">
        <w:t>a</w:t>
      </w:r>
      <w:r>
        <w:t xml:space="preserve"> </w:t>
      </w:r>
      <w:r w:rsidR="002739DC">
        <w:t>evocación</w:t>
      </w:r>
      <w:r>
        <w:t xml:space="preserve"> de su virtud</w:t>
      </w:r>
      <w:r w:rsidR="00EE7047">
        <w:t>.</w:t>
      </w:r>
    </w:p>
    <w:p w14:paraId="7DECC1D4" w14:textId="77777777" w:rsidR="00EC02CC" w:rsidRDefault="00EC02CC" w:rsidP="00EC02CC">
      <w:pPr>
        <w:pStyle w:val="VersoIngls01Sangria"/>
        <w:spacing w:after="100"/>
        <w:ind w:left="1418"/>
      </w:pPr>
      <w:r>
        <w:t>Y será bendecido con tan poderosa potencia.</w:t>
      </w:r>
    </w:p>
    <w:p w14:paraId="6A811F72" w14:textId="257E597C" w:rsidR="00A3623C" w:rsidRDefault="00EC02CC" w:rsidP="00A3623C">
      <w:pPr>
        <w:pStyle w:val="NormalConSangria"/>
      </w:pPr>
      <w:r>
        <w:t>É</w:t>
      </w:r>
      <w:r w:rsidR="00A3623C">
        <w:t>sta es la sección que trata de</w:t>
      </w:r>
      <w:r>
        <w:t xml:space="preserve"> </w:t>
      </w:r>
      <w:r w:rsidR="00A3623C">
        <w:t>l</w:t>
      </w:r>
      <w:r>
        <w:t>a</w:t>
      </w:r>
      <w:r w:rsidR="00A3623C">
        <w:t xml:space="preserve"> </w:t>
      </w:r>
      <w:r>
        <w:t>evocación</w:t>
      </w:r>
      <w:r w:rsidR="00A3623C">
        <w:t xml:space="preserve"> de la virtud en la explicación detallada. [223]</w:t>
      </w:r>
    </w:p>
    <w:p w14:paraId="7D161DDD" w14:textId="77777777" w:rsidR="00A3623C" w:rsidRDefault="00A3623C">
      <w:pPr>
        <w:tabs>
          <w:tab w:val="clear" w:pos="425"/>
        </w:tabs>
        <w:spacing w:after="160"/>
      </w:pPr>
      <w:r>
        <w:br w:type="page"/>
      </w:r>
    </w:p>
    <w:p w14:paraId="3368D5DD" w14:textId="77777777" w:rsidR="00986447" w:rsidRDefault="00986447" w:rsidP="00A3623C"/>
    <w:p w14:paraId="006BC4B1" w14:textId="2680207A" w:rsidR="00986447" w:rsidRDefault="00986447" w:rsidP="00986447">
      <w:pPr>
        <w:pStyle w:val="Ttulo3"/>
        <w:ind w:left="708"/>
      </w:pPr>
      <w:r>
        <w:t xml:space="preserve">[(5) </w:t>
      </w:r>
      <w:r w:rsidR="00925EE0">
        <w:t>Evocación</w:t>
      </w:r>
      <w:r>
        <w:t xml:space="preserve"> De </w:t>
      </w:r>
      <w:r w:rsidR="00925EE0">
        <w:t xml:space="preserve">la </w:t>
      </w:r>
      <w:r>
        <w:t>Generosidad]</w:t>
      </w:r>
    </w:p>
    <w:p w14:paraId="41655DF8" w14:textId="08D0C7E0" w:rsidR="00986447" w:rsidRDefault="00986447" w:rsidP="00986447">
      <w:r>
        <w:t xml:space="preserve">107. </w:t>
      </w:r>
      <w:r>
        <w:tab/>
        <w:t xml:space="preserve">Quien quiera desarrollar </w:t>
      </w:r>
      <w:r w:rsidR="007C042D">
        <w:t>la evocación</w:t>
      </w:r>
      <w:r>
        <w:t xml:space="preserve"> de la generosidad, debe</w:t>
      </w:r>
      <w:r w:rsidR="007C042D">
        <w:t>rá</w:t>
      </w:r>
      <w:r>
        <w:t xml:space="preserve"> dedicarse naturalmente a la generosidad y</w:t>
      </w:r>
      <w:r w:rsidR="007C042D">
        <w:t xml:space="preserve"> </w:t>
      </w:r>
      <w:r>
        <w:t xml:space="preserve">a la práctica constante de </w:t>
      </w:r>
      <w:r w:rsidR="007C042D">
        <w:t xml:space="preserve">ofrecer </w:t>
      </w:r>
      <w:r>
        <w:t>y compartir. O bien, si es de los que están comenzando a desarrollarl</w:t>
      </w:r>
      <w:r w:rsidR="007C042D">
        <w:t>a</w:t>
      </w:r>
      <w:r>
        <w:t>, debe</w:t>
      </w:r>
      <w:r w:rsidR="007C042D">
        <w:t>rá</w:t>
      </w:r>
      <w:r>
        <w:t xml:space="preserve"> </w:t>
      </w:r>
      <w:r w:rsidR="007C042D">
        <w:t xml:space="preserve">asumir </w:t>
      </w:r>
      <w:r>
        <w:t xml:space="preserve">la </w:t>
      </w:r>
      <w:r w:rsidR="007C042D">
        <w:t>determinación</w:t>
      </w:r>
      <w:r>
        <w:t>: “De ahora en adelante, cuando haya alguien presente para recibir</w:t>
      </w:r>
      <w:r w:rsidR="007C042D">
        <w:t xml:space="preserve"> algo</w:t>
      </w:r>
      <w:r>
        <w:t xml:space="preserve">, no comeré ni un solo bocado sin haber </w:t>
      </w:r>
      <w:r w:rsidR="00EC02CC">
        <w:t>ofrecido</w:t>
      </w:r>
      <w:r>
        <w:t xml:space="preserve"> un </w:t>
      </w:r>
      <w:r w:rsidR="007C042D">
        <w:t>presente</w:t>
      </w:r>
      <w:r>
        <w:t xml:space="preserve">”. Y ese mismo día debe dar un </w:t>
      </w:r>
      <w:r w:rsidR="007C042D">
        <w:t>presente</w:t>
      </w:r>
      <w:r>
        <w:t xml:space="preserve"> compartiendo según sus medios y su habilidad con aquellos que ten</w:t>
      </w:r>
      <w:r w:rsidR="007C042D">
        <w:t>ga</w:t>
      </w:r>
      <w:r>
        <w:t>n cualidades distingui</w:t>
      </w:r>
      <w:r w:rsidR="007C042D">
        <w:t>bles</w:t>
      </w:r>
      <w:r>
        <w:t xml:space="preserve">. Cuando haya captado la señal </w:t>
      </w:r>
      <w:r w:rsidR="007C042D">
        <w:t>al respecto</w:t>
      </w:r>
      <w:r>
        <w:t>, debe</w:t>
      </w:r>
      <w:r w:rsidR="007C042D">
        <w:t>rá</w:t>
      </w:r>
      <w:r>
        <w:t xml:space="preserve"> </w:t>
      </w:r>
      <w:r w:rsidR="00C62FBB">
        <w:t>acud</w:t>
      </w:r>
      <w:r>
        <w:t xml:space="preserve">ir a un retiro solitario y </w:t>
      </w:r>
      <w:r w:rsidR="00C62FBB">
        <w:t xml:space="preserve">evocar </w:t>
      </w:r>
      <w:r>
        <w:t xml:space="preserve">su propia generosidad en sus cualidades especiales de estar libre de la </w:t>
      </w:r>
      <w:r w:rsidR="00C62FBB">
        <w:t xml:space="preserve">impureza </w:t>
      </w:r>
      <w:r>
        <w:t>de la avaricia, etc., de la siguiente manera:</w:t>
      </w:r>
    </w:p>
    <w:p w14:paraId="68D2B840" w14:textId="0EB18427" w:rsidR="00986447" w:rsidRDefault="00986447" w:rsidP="00986447">
      <w:pPr>
        <w:pStyle w:val="NormalConSangria"/>
      </w:pPr>
      <w:r>
        <w:t>“</w:t>
      </w:r>
      <w:r w:rsidRPr="00F81BF7">
        <w:rPr>
          <w:i/>
          <w:iCs/>
        </w:rPr>
        <w:t xml:space="preserve">Es un </w:t>
      </w:r>
      <w:r w:rsidR="001D3CD7" w:rsidRPr="00F81BF7">
        <w:rPr>
          <w:i/>
          <w:iCs/>
        </w:rPr>
        <w:t xml:space="preserve">beneficio </w:t>
      </w:r>
      <w:r w:rsidRPr="00F81BF7">
        <w:rPr>
          <w:i/>
          <w:iCs/>
        </w:rPr>
        <w:t xml:space="preserve">para mí, es un gran </w:t>
      </w:r>
      <w:r w:rsidR="001D3CD7" w:rsidRPr="00F81BF7">
        <w:rPr>
          <w:i/>
          <w:iCs/>
        </w:rPr>
        <w:t xml:space="preserve">beneficio </w:t>
      </w:r>
      <w:r w:rsidRPr="00F81BF7">
        <w:rPr>
          <w:i/>
          <w:iCs/>
        </w:rPr>
        <w:t>para mí que</w:t>
      </w:r>
      <w:r w:rsidR="002376DE" w:rsidRPr="00F81BF7">
        <w:rPr>
          <w:i/>
          <w:iCs/>
        </w:rPr>
        <w:t>,</w:t>
      </w:r>
      <w:r w:rsidRPr="00F81BF7">
        <w:rPr>
          <w:i/>
          <w:iCs/>
        </w:rPr>
        <w:t xml:space="preserve"> en una generación obsesionada por la </w:t>
      </w:r>
      <w:r w:rsidR="002376DE" w:rsidRPr="00F81BF7">
        <w:rPr>
          <w:i/>
          <w:iCs/>
        </w:rPr>
        <w:t>impureza</w:t>
      </w:r>
      <w:r w:rsidRPr="00F81BF7">
        <w:rPr>
          <w:i/>
          <w:iCs/>
        </w:rPr>
        <w:t xml:space="preserve"> de la avaricia, </w:t>
      </w:r>
      <w:r w:rsidR="00EC02CC">
        <w:rPr>
          <w:i/>
          <w:iCs/>
        </w:rPr>
        <w:t xml:space="preserve">que </w:t>
      </w:r>
      <w:r w:rsidR="008747F2" w:rsidRPr="00F81BF7">
        <w:rPr>
          <w:i/>
          <w:iCs/>
        </w:rPr>
        <w:t>habite</w:t>
      </w:r>
      <w:r w:rsidRPr="00F81BF7">
        <w:rPr>
          <w:i/>
          <w:iCs/>
        </w:rPr>
        <w:t xml:space="preserve"> con el corazón libre de la </w:t>
      </w:r>
      <w:r w:rsidR="002376DE" w:rsidRPr="00F81BF7">
        <w:rPr>
          <w:i/>
          <w:iCs/>
        </w:rPr>
        <w:t xml:space="preserve">impureza </w:t>
      </w:r>
      <w:r w:rsidRPr="00F81BF7">
        <w:rPr>
          <w:i/>
          <w:iCs/>
        </w:rPr>
        <w:t xml:space="preserve">de la avaricia, y sea libremente generoso y </w:t>
      </w:r>
      <w:r w:rsidR="002376DE" w:rsidRPr="00F81BF7">
        <w:rPr>
          <w:i/>
          <w:iCs/>
        </w:rPr>
        <w:t>da</w:t>
      </w:r>
      <w:r w:rsidR="00E408FF" w:rsidRPr="00F81BF7">
        <w:rPr>
          <w:i/>
          <w:iCs/>
        </w:rPr>
        <w:t>divoso</w:t>
      </w:r>
      <w:r w:rsidRPr="00F81BF7">
        <w:rPr>
          <w:i/>
          <w:iCs/>
        </w:rPr>
        <w:t xml:space="preserve">, que me </w:t>
      </w:r>
      <w:r w:rsidR="00E408FF" w:rsidRPr="00F81BF7">
        <w:rPr>
          <w:i/>
          <w:iCs/>
        </w:rPr>
        <w:t xml:space="preserve">complazca </w:t>
      </w:r>
      <w:r w:rsidRPr="00F81BF7">
        <w:rPr>
          <w:i/>
          <w:iCs/>
        </w:rPr>
        <w:t xml:space="preserve">en </w:t>
      </w:r>
      <w:r w:rsidR="00E408FF" w:rsidRPr="00F81BF7">
        <w:rPr>
          <w:i/>
          <w:iCs/>
        </w:rPr>
        <w:t xml:space="preserve">la </w:t>
      </w:r>
      <w:r w:rsidRPr="00F81BF7">
        <w:rPr>
          <w:i/>
          <w:iCs/>
        </w:rPr>
        <w:t>renuncia</w:t>
      </w:r>
      <w:r w:rsidR="00E408FF" w:rsidRPr="00F81BF7">
        <w:rPr>
          <w:i/>
          <w:iCs/>
        </w:rPr>
        <w:t>ción al respecto</w:t>
      </w:r>
      <w:r w:rsidRPr="00F81BF7">
        <w:rPr>
          <w:i/>
          <w:iCs/>
        </w:rPr>
        <w:t xml:space="preserve">, </w:t>
      </w:r>
      <w:r w:rsidR="00E408FF" w:rsidRPr="00F81BF7">
        <w:rPr>
          <w:i/>
          <w:iCs/>
        </w:rPr>
        <w:t xml:space="preserve">a la </w:t>
      </w:r>
      <w:r w:rsidRPr="00F81BF7">
        <w:rPr>
          <w:i/>
          <w:iCs/>
        </w:rPr>
        <w:t xml:space="preserve">espera </w:t>
      </w:r>
      <w:r w:rsidR="00EC02CC">
        <w:rPr>
          <w:i/>
          <w:iCs/>
        </w:rPr>
        <w:t>de</w:t>
      </w:r>
      <w:r w:rsidRPr="00F81BF7">
        <w:rPr>
          <w:i/>
          <w:iCs/>
        </w:rPr>
        <w:t xml:space="preserve"> </w:t>
      </w:r>
      <w:r w:rsidR="00E408FF" w:rsidRPr="00F81BF7">
        <w:rPr>
          <w:i/>
          <w:iCs/>
        </w:rPr>
        <w:t xml:space="preserve">cualquier solicitud </w:t>
      </w:r>
      <w:r w:rsidRPr="00F81BF7">
        <w:rPr>
          <w:i/>
          <w:iCs/>
        </w:rPr>
        <w:t>y regoc</w:t>
      </w:r>
      <w:r w:rsidR="00E408FF" w:rsidRPr="00F81BF7">
        <w:rPr>
          <w:i/>
          <w:iCs/>
        </w:rPr>
        <w:t>i</w:t>
      </w:r>
      <w:r w:rsidRPr="00F81BF7">
        <w:rPr>
          <w:i/>
          <w:iCs/>
        </w:rPr>
        <w:t>ja</w:t>
      </w:r>
      <w:r w:rsidR="00E408FF" w:rsidRPr="00F81BF7">
        <w:rPr>
          <w:i/>
          <w:iCs/>
        </w:rPr>
        <w:t>r</w:t>
      </w:r>
      <w:r w:rsidR="004D5F3C">
        <w:rPr>
          <w:i/>
          <w:iCs/>
        </w:rPr>
        <w:t>m</w:t>
      </w:r>
      <w:r w:rsidRPr="00F81BF7">
        <w:rPr>
          <w:i/>
          <w:iCs/>
        </w:rPr>
        <w:t xml:space="preserve">e en </w:t>
      </w:r>
      <w:r w:rsidR="00E408FF" w:rsidRPr="00F81BF7">
        <w:rPr>
          <w:i/>
          <w:iCs/>
        </w:rPr>
        <w:t xml:space="preserve">la generosidad </w:t>
      </w:r>
      <w:r w:rsidRPr="00F81BF7">
        <w:rPr>
          <w:i/>
          <w:iCs/>
        </w:rPr>
        <w:t xml:space="preserve">y </w:t>
      </w:r>
      <w:r w:rsidR="00E408FF" w:rsidRPr="00F81BF7">
        <w:rPr>
          <w:i/>
          <w:iCs/>
        </w:rPr>
        <w:t xml:space="preserve">el </w:t>
      </w:r>
      <w:r w:rsidRPr="00F81BF7">
        <w:rPr>
          <w:i/>
          <w:iCs/>
        </w:rPr>
        <w:t>compartir</w:t>
      </w:r>
      <w:r>
        <w:t>” (A III 287).</w:t>
      </w:r>
    </w:p>
    <w:p w14:paraId="76F36DA7" w14:textId="1EA71AB5" w:rsidR="00986447" w:rsidRDefault="00986447" w:rsidP="00986447">
      <w:r>
        <w:t xml:space="preserve">108. </w:t>
      </w:r>
      <w:r>
        <w:tab/>
      </w:r>
      <w:r w:rsidR="001207B1">
        <w:t>Al respecto</w:t>
      </w:r>
      <w:r w:rsidRPr="00E93B25">
        <w:rPr>
          <w:i/>
          <w:iCs/>
        </w:rPr>
        <w:t xml:space="preserve">, es </w:t>
      </w:r>
      <w:r w:rsidR="001207B1">
        <w:rPr>
          <w:i/>
          <w:iCs/>
        </w:rPr>
        <w:t xml:space="preserve">un </w:t>
      </w:r>
      <w:r w:rsidR="008747F2" w:rsidRPr="008747F2">
        <w:rPr>
          <w:i/>
          <w:iCs/>
        </w:rPr>
        <w:t xml:space="preserve">beneficio </w:t>
      </w:r>
      <w:r w:rsidRPr="00E93B25">
        <w:rPr>
          <w:i/>
          <w:iCs/>
        </w:rPr>
        <w:t>para</w:t>
      </w:r>
      <w:r>
        <w:t xml:space="preserve"> mí: es </w:t>
      </w:r>
      <w:r w:rsidR="00AD59E8">
        <w:t xml:space="preserve">para </w:t>
      </w:r>
      <w:proofErr w:type="spellStart"/>
      <w:r>
        <w:t>mi</w:t>
      </w:r>
      <w:proofErr w:type="spellEnd"/>
      <w:r>
        <w:t xml:space="preserve"> </w:t>
      </w:r>
      <w:r w:rsidR="00AD59E8">
        <w:t>beneficio</w:t>
      </w:r>
      <w:r>
        <w:t xml:space="preserve">, </w:t>
      </w:r>
      <w:r w:rsidR="00AD59E8">
        <w:t>para mi favor</w:t>
      </w:r>
      <w:r>
        <w:t xml:space="preserve">. La intención es: ciertamente participo de aquellos tipos de </w:t>
      </w:r>
      <w:r w:rsidR="00AD59E8">
        <w:t xml:space="preserve">beneficios </w:t>
      </w:r>
      <w:r w:rsidR="002E3BCA">
        <w:t xml:space="preserve">característicos de </w:t>
      </w:r>
      <w:r>
        <w:t xml:space="preserve">un </w:t>
      </w:r>
      <w:r w:rsidR="002E3BCA">
        <w:t xml:space="preserve">donante, </w:t>
      </w:r>
      <w:r>
        <w:t xml:space="preserve">recomendados por el </w:t>
      </w:r>
      <w:r w:rsidR="002E3BCA" w:rsidRPr="002E3BCA">
        <w:rPr>
          <w:i/>
          <w:iCs/>
        </w:rPr>
        <w:t>Bhagavā</w:t>
      </w:r>
      <w:r w:rsidR="002E3BCA">
        <w:t xml:space="preserve"> </w:t>
      </w:r>
      <w:r>
        <w:t>de la siguiente manera: "Un hombre que d</w:t>
      </w:r>
      <w:r w:rsidR="002E3BCA">
        <w:t>é</w:t>
      </w:r>
      <w:r>
        <w:t xml:space="preserve"> vida [al dar comida] tendrá vida divina o humana" (A III 42</w:t>
      </w:r>
      <w:proofErr w:type="gramStart"/>
      <w:r>
        <w:t>) ,</w:t>
      </w:r>
      <w:proofErr w:type="gramEnd"/>
      <w:r>
        <w:t xml:space="preserve"> y: “El que d</w:t>
      </w:r>
      <w:r w:rsidR="00866103">
        <w:t>é</w:t>
      </w:r>
      <w:r>
        <w:t xml:space="preserve"> </w:t>
      </w:r>
      <w:r w:rsidR="00866103">
        <w:t xml:space="preserve">será </w:t>
      </w:r>
      <w:r>
        <w:t>amado y frecuentado por muchos” (A III 40), y: “El que d</w:t>
      </w:r>
      <w:r w:rsidR="00866103">
        <w:t>é</w:t>
      </w:r>
      <w:r>
        <w:t xml:space="preserve"> </w:t>
      </w:r>
      <w:r w:rsidR="00866103">
        <w:t xml:space="preserve">será </w:t>
      </w:r>
      <w:r>
        <w:t>siempre amado, según la ley de</w:t>
      </w:r>
      <w:r w:rsidR="00866103">
        <w:t xml:space="preserve"> </w:t>
      </w:r>
      <w:r>
        <w:t>l</w:t>
      </w:r>
      <w:r w:rsidR="00866103">
        <w:t>a</w:t>
      </w:r>
      <w:r>
        <w:t xml:space="preserve"> sabi</w:t>
      </w:r>
      <w:r w:rsidR="00866103">
        <w:t>duría</w:t>
      </w:r>
      <w:r>
        <w:t xml:space="preserve">” (A III 41), </w:t>
      </w:r>
      <w:r w:rsidR="00866103">
        <w:t>etc.</w:t>
      </w:r>
    </w:p>
    <w:p w14:paraId="73C289EA" w14:textId="7C87F931" w:rsidR="00986447" w:rsidRDefault="00986447" w:rsidP="00986447">
      <w:r>
        <w:t xml:space="preserve">109. </w:t>
      </w:r>
      <w:r>
        <w:tab/>
      </w:r>
      <w:r w:rsidRPr="00776D4F">
        <w:rPr>
          <w:i/>
          <w:iCs/>
        </w:rPr>
        <w:t xml:space="preserve">Es un gran </w:t>
      </w:r>
      <w:r w:rsidR="00866103">
        <w:rPr>
          <w:i/>
          <w:iCs/>
        </w:rPr>
        <w:t xml:space="preserve">beneficio </w:t>
      </w:r>
      <w:r w:rsidRPr="00776D4F">
        <w:rPr>
          <w:i/>
          <w:iCs/>
        </w:rPr>
        <w:t>para m</w:t>
      </w:r>
      <w:r>
        <w:t xml:space="preserve">í: es un gran </w:t>
      </w:r>
      <w:r w:rsidR="00866103">
        <w:t xml:space="preserve">beneficio </w:t>
      </w:r>
      <w:r>
        <w:t>para mí que esta Dispensa</w:t>
      </w:r>
      <w:r w:rsidR="00866103">
        <w:t>ción</w:t>
      </w:r>
      <w:r>
        <w:t>, o e</w:t>
      </w:r>
      <w:r w:rsidR="00866103">
        <w:t>ste</w:t>
      </w:r>
      <w:r>
        <w:t xml:space="preserve"> estado humano, haya sido </w:t>
      </w:r>
      <w:r w:rsidR="00866103">
        <w:t xml:space="preserve">obtenido </w:t>
      </w:r>
      <w:r>
        <w:t>por mí. ¿Por qué? Por el hecho de que “</w:t>
      </w:r>
      <w:r w:rsidR="00001153">
        <w:t xml:space="preserve">habito </w:t>
      </w:r>
      <w:r>
        <w:t xml:space="preserve">con mi mente libre de la </w:t>
      </w:r>
      <w:r w:rsidR="00001153">
        <w:t xml:space="preserve">impureza </w:t>
      </w:r>
      <w:r>
        <w:t xml:space="preserve">de la avaricia… y me regocijo en </w:t>
      </w:r>
      <w:r w:rsidR="00001153">
        <w:t xml:space="preserve">la generosidad </w:t>
      </w:r>
      <w:r>
        <w:t xml:space="preserve">y </w:t>
      </w:r>
      <w:r w:rsidR="00001153">
        <w:t xml:space="preserve">el </w:t>
      </w:r>
      <w:r>
        <w:t>compartir”.</w:t>
      </w:r>
    </w:p>
    <w:p w14:paraId="0931C5BB" w14:textId="3AEA5B1E" w:rsidR="00986447" w:rsidRDefault="00986447" w:rsidP="00986447">
      <w:r>
        <w:t xml:space="preserve">110. </w:t>
      </w:r>
      <w:r>
        <w:tab/>
        <w:t xml:space="preserve">Aquí, </w:t>
      </w:r>
      <w:r w:rsidRPr="003C4631">
        <w:rPr>
          <w:i/>
          <w:iCs/>
        </w:rPr>
        <w:t xml:space="preserve">obsesionado por la </w:t>
      </w:r>
      <w:r w:rsidR="00001153">
        <w:rPr>
          <w:i/>
          <w:iCs/>
        </w:rPr>
        <w:t>impureza</w:t>
      </w:r>
      <w:r w:rsidRPr="003C4631">
        <w:rPr>
          <w:i/>
          <w:iCs/>
        </w:rPr>
        <w:t xml:space="preserve"> de la avaricia</w:t>
      </w:r>
      <w:r>
        <w:t xml:space="preserve"> </w:t>
      </w:r>
      <w:r w:rsidR="00001153">
        <w:t xml:space="preserve">significa </w:t>
      </w:r>
      <w:r>
        <w:t xml:space="preserve">abrumado por la </w:t>
      </w:r>
      <w:r w:rsidR="00001153">
        <w:t xml:space="preserve">impureza </w:t>
      </w:r>
      <w:r>
        <w:t xml:space="preserve">de la avaricia. </w:t>
      </w:r>
      <w:r w:rsidRPr="00001153">
        <w:rPr>
          <w:i/>
          <w:iCs/>
        </w:rPr>
        <w:t>Generación</w:t>
      </w:r>
      <w:r>
        <w:t xml:space="preserve">: seres, llamados así por el hecho de ser engendrados. Entonces, el significado aquí es </w:t>
      </w:r>
      <w:r w:rsidR="004D5F3C">
        <w:t>é</w:t>
      </w:r>
      <w:r>
        <w:t xml:space="preserve">ste: entre </w:t>
      </w:r>
      <w:r w:rsidR="004D5F3C">
        <w:t xml:space="preserve">los </w:t>
      </w:r>
      <w:r>
        <w:t>seres que est</w:t>
      </w:r>
      <w:r w:rsidR="004D5F3C">
        <w:t>é</w:t>
      </w:r>
      <w:r>
        <w:t xml:space="preserve">n abrumados por la </w:t>
      </w:r>
      <w:r w:rsidR="004D5F3C">
        <w:t xml:space="preserve">impureza </w:t>
      </w:r>
      <w:r>
        <w:t>de la avaricia, que es uno de los estados oscuros que corrompen la transparencia natural de la con</w:t>
      </w:r>
      <w:r w:rsidR="004C2EBB">
        <w:t>s</w:t>
      </w:r>
      <w:r>
        <w:t xml:space="preserve">ciencia (ver A I 10) y que tiene la característica de </w:t>
      </w:r>
      <w:r w:rsidR="004C2EBB">
        <w:t xml:space="preserve">la </w:t>
      </w:r>
      <w:r>
        <w:t xml:space="preserve">incapacidad </w:t>
      </w:r>
      <w:r w:rsidR="004C2EBB">
        <w:t>de</w:t>
      </w:r>
      <w:r>
        <w:t xml:space="preserve"> soportar compartir la propia buena fortuna con los demás.</w:t>
      </w:r>
    </w:p>
    <w:p w14:paraId="557B43D1" w14:textId="6DB4C9F6" w:rsidR="00986447" w:rsidRDefault="00986447" w:rsidP="00986447">
      <w:r>
        <w:t xml:space="preserve">111. </w:t>
      </w:r>
      <w:r>
        <w:tab/>
      </w:r>
      <w:r w:rsidRPr="003C4631">
        <w:rPr>
          <w:i/>
          <w:iCs/>
        </w:rPr>
        <w:t xml:space="preserve">Libre de la </w:t>
      </w:r>
      <w:r w:rsidR="004C2EBB">
        <w:rPr>
          <w:i/>
          <w:iCs/>
        </w:rPr>
        <w:t xml:space="preserve">impureza </w:t>
      </w:r>
      <w:r w:rsidRPr="003C4631">
        <w:rPr>
          <w:i/>
          <w:iCs/>
        </w:rPr>
        <w:t>de la avaricia</w:t>
      </w:r>
      <w:r>
        <w:t xml:space="preserve"> </w:t>
      </w:r>
      <w:r w:rsidR="00660D5B">
        <w:t>significa</w:t>
      </w:r>
      <w:r>
        <w:t xml:space="preserve"> estar tanto libre de la avaricia como de otras </w:t>
      </w:r>
      <w:r w:rsidR="0068479F">
        <w:t>impurezas</w:t>
      </w:r>
      <w:r>
        <w:t xml:space="preserve">, </w:t>
      </w:r>
      <w:r w:rsidR="00660D5B">
        <w:t xml:space="preserve">cono la </w:t>
      </w:r>
      <w:r>
        <w:t xml:space="preserve">codicia, </w:t>
      </w:r>
      <w:r w:rsidR="00660D5B">
        <w:t xml:space="preserve">el </w:t>
      </w:r>
      <w:r>
        <w:t xml:space="preserve">odio y </w:t>
      </w:r>
      <w:r w:rsidR="00660D5B">
        <w:t>l</w:t>
      </w:r>
      <w:r w:rsidR="00EC02CC">
        <w:t>a</w:t>
      </w:r>
      <w:r w:rsidR="00660D5B">
        <w:t xml:space="preserve">s </w:t>
      </w:r>
      <w:r>
        <w:t xml:space="preserve">demás. </w:t>
      </w:r>
      <w:r w:rsidR="00660D5B" w:rsidRPr="00660D5B">
        <w:rPr>
          <w:i/>
          <w:iCs/>
        </w:rPr>
        <w:t>Habito</w:t>
      </w:r>
      <w:r w:rsidRPr="00660D5B">
        <w:rPr>
          <w:i/>
          <w:iCs/>
        </w:rPr>
        <w:t xml:space="preserve"> con mi corazón</w:t>
      </w:r>
      <w:r>
        <w:t xml:space="preserve">: </w:t>
      </w:r>
      <w:r w:rsidR="00660D5B">
        <w:t>habito</w:t>
      </w:r>
      <w:r>
        <w:t xml:space="preserve"> con mi </w:t>
      </w:r>
      <w:r w:rsidR="00305E12">
        <w:t>consciencia</w:t>
      </w:r>
      <w:r>
        <w:t xml:space="preserve"> del tipo ya mencionado, es el significado. [224] </w:t>
      </w:r>
      <w:r w:rsidR="00EC02CC">
        <w:t xml:space="preserve">No obstante, </w:t>
      </w:r>
      <w:r>
        <w:t xml:space="preserve">en el </w:t>
      </w:r>
      <w:proofErr w:type="spellStart"/>
      <w:r w:rsidRPr="003C4631">
        <w:rPr>
          <w:i/>
          <w:iCs/>
        </w:rPr>
        <w:t>sutta</w:t>
      </w:r>
      <w:proofErr w:type="spellEnd"/>
      <w:r>
        <w:t xml:space="preserve">, </w:t>
      </w:r>
      <w:r w:rsidR="00A46CC2">
        <w:t xml:space="preserve">se dice </w:t>
      </w:r>
      <w:r>
        <w:t xml:space="preserve">“Vivo la vida </w:t>
      </w:r>
      <w:r w:rsidR="00CD6DED">
        <w:t>laica</w:t>
      </w:r>
      <w:r>
        <w:t xml:space="preserve"> con mi corazón libre” (A III 287; V 331), etc., porque allí se </w:t>
      </w:r>
      <w:r w:rsidR="00A46CC2">
        <w:t>expuso</w:t>
      </w:r>
      <w:r>
        <w:t xml:space="preserve"> </w:t>
      </w:r>
      <w:r w:rsidR="00D718C9">
        <w:t xml:space="preserve">al </w:t>
      </w:r>
      <w:proofErr w:type="spellStart"/>
      <w:r w:rsidR="00D718C9" w:rsidRPr="00057552">
        <w:rPr>
          <w:i/>
          <w:iCs/>
        </w:rPr>
        <w:t>Sakyan</w:t>
      </w:r>
      <w:proofErr w:type="spellEnd"/>
      <w:r w:rsidR="003C489D" w:rsidRPr="003C489D">
        <w:rPr>
          <w:i/>
          <w:iCs/>
        </w:rPr>
        <w:t xml:space="preserve"> </w:t>
      </w:r>
      <w:proofErr w:type="spellStart"/>
      <w:r w:rsidR="003C489D" w:rsidRPr="00057552">
        <w:rPr>
          <w:i/>
          <w:iCs/>
        </w:rPr>
        <w:t>Mahā</w:t>
      </w:r>
      <w:r w:rsidR="003C489D" w:rsidRPr="00057BF4">
        <w:rPr>
          <w:i/>
          <w:iCs/>
        </w:rPr>
        <w:t>nāma</w:t>
      </w:r>
      <w:proofErr w:type="spellEnd"/>
      <w:r w:rsidR="00D718C9">
        <w:t xml:space="preserve">, </w:t>
      </w:r>
      <w:r w:rsidR="00A3172F">
        <w:t xml:space="preserve">esto </w:t>
      </w:r>
      <w:r>
        <w:t>c</w:t>
      </w:r>
      <w:r w:rsidR="00277330">
        <w:t>o</w:t>
      </w:r>
      <w:r>
        <w:t xml:space="preserve">mo un </w:t>
      </w:r>
      <w:r w:rsidR="00874F34">
        <w:t xml:space="preserve">estado </w:t>
      </w:r>
      <w:r>
        <w:t xml:space="preserve">mental en </w:t>
      </w:r>
      <w:r w:rsidR="00874F34">
        <w:t>el</w:t>
      </w:r>
      <w:r>
        <w:t xml:space="preserve"> </w:t>
      </w:r>
      <w:r w:rsidR="00EC02CC">
        <w:t>cual se pudiese</w:t>
      </w:r>
      <w:r w:rsidR="00D718C9">
        <w:t xml:space="preserve"> </w:t>
      </w:r>
      <w:r>
        <w:t xml:space="preserve">depender constantemente </w:t>
      </w:r>
      <w:r w:rsidR="00691547">
        <w:t xml:space="preserve">ya </w:t>
      </w:r>
      <w:r>
        <w:t xml:space="preserve">que era </w:t>
      </w:r>
      <w:r w:rsidR="00691547">
        <w:t xml:space="preserve">alguien </w:t>
      </w:r>
      <w:r w:rsidR="00A3172F">
        <w:t>que</w:t>
      </w:r>
      <w:r w:rsidR="00691547">
        <w:t xml:space="preserve"> </w:t>
      </w:r>
      <w:r w:rsidR="00874F34">
        <w:t>había</w:t>
      </w:r>
      <w:r>
        <w:t xml:space="preserve"> entra</w:t>
      </w:r>
      <w:r w:rsidR="00874F34">
        <w:t>do a</w:t>
      </w:r>
      <w:r>
        <w:t xml:space="preserve"> la corriente y preguntaba por un </w:t>
      </w:r>
      <w:r w:rsidR="00874F34">
        <w:t xml:space="preserve">estado </w:t>
      </w:r>
      <w:r>
        <w:t xml:space="preserve">en </w:t>
      </w:r>
      <w:r w:rsidR="00874F34">
        <w:t>e</w:t>
      </w:r>
      <w:r>
        <w:t xml:space="preserve">l que </w:t>
      </w:r>
      <w:r w:rsidR="00874F34">
        <w:t xml:space="preserve">se pudiese </w:t>
      </w:r>
      <w:r>
        <w:t>confiar. Allí el significado es “Vivo superando…”</w:t>
      </w:r>
    </w:p>
    <w:p w14:paraId="65E5627B" w14:textId="3D452B30" w:rsidR="00986447" w:rsidRDefault="00986447" w:rsidP="00986447">
      <w:r>
        <w:t xml:space="preserve">112. </w:t>
      </w:r>
      <w:r>
        <w:tab/>
      </w:r>
      <w:r w:rsidRPr="00057552">
        <w:rPr>
          <w:i/>
          <w:iCs/>
        </w:rPr>
        <w:t>Libremente generoso</w:t>
      </w:r>
      <w:r>
        <w:t xml:space="preserve">: </w:t>
      </w:r>
      <w:r w:rsidR="00EC02CC">
        <w:t xml:space="preserve">dadivosamente </w:t>
      </w:r>
      <w:r>
        <w:t xml:space="preserve">generoso. </w:t>
      </w:r>
      <w:r w:rsidR="00815DFA" w:rsidRPr="000F28CF">
        <w:rPr>
          <w:i/>
          <w:iCs/>
        </w:rPr>
        <w:t>Con las</w:t>
      </w:r>
      <w:r w:rsidRPr="000F28CF">
        <w:rPr>
          <w:i/>
          <w:iCs/>
        </w:rPr>
        <w:t xml:space="preserve"> manos abiertas</w:t>
      </w:r>
      <w:r>
        <w:t xml:space="preserve">: con manos que </w:t>
      </w:r>
      <w:r w:rsidR="00EC02CC">
        <w:t>se encuentren</w:t>
      </w:r>
      <w:r>
        <w:t xml:space="preserve"> purifica</w:t>
      </w:r>
      <w:r w:rsidR="000F28CF">
        <w:t>das</w:t>
      </w:r>
      <w:r>
        <w:t xml:space="preserve">. Lo que </w:t>
      </w:r>
      <w:r w:rsidR="00EC02CC">
        <w:t xml:space="preserve">se </w:t>
      </w:r>
      <w:r>
        <w:t xml:space="preserve">quiere decir es: con las manos que siempre se lavan </w:t>
      </w:r>
      <w:r w:rsidR="000F28CF">
        <w:t>con el objeto de</w:t>
      </w:r>
      <w:r>
        <w:t xml:space="preserve"> </w:t>
      </w:r>
      <w:r w:rsidR="00EC02CC">
        <w:t xml:space="preserve">ofrecer </w:t>
      </w:r>
      <w:r w:rsidR="000F28CF">
        <w:t xml:space="preserve">presentes </w:t>
      </w:r>
      <w:r>
        <w:t xml:space="preserve">cuidadosamente con las propias manos. </w:t>
      </w:r>
      <w:r w:rsidRPr="0038458E">
        <w:rPr>
          <w:i/>
          <w:iCs/>
        </w:rPr>
        <w:t xml:space="preserve">Que me </w:t>
      </w:r>
      <w:r w:rsidR="0038458E">
        <w:rPr>
          <w:i/>
          <w:iCs/>
        </w:rPr>
        <w:t>compla</w:t>
      </w:r>
      <w:r w:rsidR="00EC02CC">
        <w:rPr>
          <w:i/>
          <w:iCs/>
        </w:rPr>
        <w:t>ce</w:t>
      </w:r>
      <w:r w:rsidR="0038458E">
        <w:rPr>
          <w:i/>
          <w:iCs/>
        </w:rPr>
        <w:t xml:space="preserve"> </w:t>
      </w:r>
      <w:r w:rsidRPr="0038458E">
        <w:rPr>
          <w:i/>
          <w:iCs/>
        </w:rPr>
        <w:t xml:space="preserve">en </w:t>
      </w:r>
      <w:r w:rsidR="0038458E">
        <w:rPr>
          <w:i/>
          <w:iCs/>
        </w:rPr>
        <w:t xml:space="preserve">la </w:t>
      </w:r>
      <w:r w:rsidRPr="0038458E">
        <w:rPr>
          <w:i/>
          <w:iCs/>
        </w:rPr>
        <w:t>renuncia</w:t>
      </w:r>
      <w:r w:rsidR="00240914">
        <w:rPr>
          <w:i/>
          <w:iCs/>
        </w:rPr>
        <w:t>ción</w:t>
      </w:r>
      <w:r>
        <w:t xml:space="preserve">: el acto de </w:t>
      </w:r>
      <w:r w:rsidR="00240914">
        <w:t xml:space="preserve">la </w:t>
      </w:r>
      <w:r>
        <w:t>renuncia</w:t>
      </w:r>
      <w:r w:rsidR="00240914">
        <w:t>ción</w:t>
      </w:r>
      <w:r>
        <w:t xml:space="preserve"> (</w:t>
      </w:r>
      <w:proofErr w:type="spellStart"/>
      <w:r w:rsidRPr="00057552">
        <w:rPr>
          <w:i/>
          <w:iCs/>
        </w:rPr>
        <w:t>vossajjana</w:t>
      </w:r>
      <w:proofErr w:type="spellEnd"/>
      <w:r>
        <w:t>) es renunciar (</w:t>
      </w:r>
      <w:proofErr w:type="spellStart"/>
      <w:r w:rsidRPr="00057552">
        <w:rPr>
          <w:i/>
          <w:iCs/>
        </w:rPr>
        <w:t>vossagga</w:t>
      </w:r>
      <w:proofErr w:type="spellEnd"/>
      <w:r>
        <w:t xml:space="preserve">); el significado es, </w:t>
      </w:r>
      <w:r w:rsidR="00AE25F2">
        <w:t>abandonar</w:t>
      </w:r>
      <w:r>
        <w:t xml:space="preserve">. </w:t>
      </w:r>
      <w:r w:rsidR="00697627">
        <w:t xml:space="preserve">Complacerse </w:t>
      </w:r>
      <w:r>
        <w:t xml:space="preserve">en </w:t>
      </w:r>
      <w:r w:rsidR="00697627">
        <w:t xml:space="preserve">la </w:t>
      </w:r>
      <w:r>
        <w:t>renuncia</w:t>
      </w:r>
      <w:r w:rsidR="00697627">
        <w:t>ción</w:t>
      </w:r>
      <w:r>
        <w:t xml:space="preserve"> </w:t>
      </w:r>
      <w:r w:rsidR="00AE25F2">
        <w:t>significa</w:t>
      </w:r>
      <w:r>
        <w:t xml:space="preserve"> </w:t>
      </w:r>
      <w:r w:rsidR="00AE25F2">
        <w:t>disfrutar de</w:t>
      </w:r>
      <w:r>
        <w:t xml:space="preserve"> la constante devoción </w:t>
      </w:r>
      <w:r w:rsidR="00AE25F2">
        <w:t>hacia</w:t>
      </w:r>
      <w:r>
        <w:t xml:space="preserve"> ese abandono. </w:t>
      </w:r>
      <w:r w:rsidR="00AE25F2">
        <w:rPr>
          <w:i/>
          <w:iCs/>
        </w:rPr>
        <w:t>A la e</w:t>
      </w:r>
      <w:r w:rsidRPr="00057552">
        <w:rPr>
          <w:i/>
          <w:iCs/>
        </w:rPr>
        <w:t xml:space="preserve">spera </w:t>
      </w:r>
      <w:r w:rsidR="00AE25F2">
        <w:rPr>
          <w:i/>
          <w:iCs/>
        </w:rPr>
        <w:t xml:space="preserve">de </w:t>
      </w:r>
      <w:r w:rsidR="00D9252D">
        <w:rPr>
          <w:i/>
          <w:iCs/>
        </w:rPr>
        <w:t xml:space="preserve">cualquier </w:t>
      </w:r>
      <w:r w:rsidR="00AE25F2">
        <w:rPr>
          <w:i/>
          <w:iCs/>
        </w:rPr>
        <w:t>solic</w:t>
      </w:r>
      <w:r w:rsidR="00D9252D">
        <w:rPr>
          <w:i/>
          <w:iCs/>
        </w:rPr>
        <w:t xml:space="preserve">itud </w:t>
      </w:r>
      <w:r>
        <w:t>(</w:t>
      </w:r>
      <w:proofErr w:type="spellStart"/>
      <w:r w:rsidRPr="00057552">
        <w:rPr>
          <w:i/>
          <w:iCs/>
        </w:rPr>
        <w:t>yācayoga</w:t>
      </w:r>
      <w:proofErr w:type="spellEnd"/>
      <w:r>
        <w:t xml:space="preserve">): </w:t>
      </w:r>
      <w:r w:rsidR="00EC02CC">
        <w:t xml:space="preserve">el significado es </w:t>
      </w:r>
      <w:r>
        <w:t xml:space="preserve">acostumbrarse a </w:t>
      </w:r>
      <w:r w:rsidR="00D9252D">
        <w:t xml:space="preserve">cualquier solicitud </w:t>
      </w:r>
      <w:r>
        <w:t>(</w:t>
      </w:r>
      <w:proofErr w:type="spellStart"/>
      <w:r w:rsidRPr="00057552">
        <w:rPr>
          <w:i/>
          <w:iCs/>
        </w:rPr>
        <w:t>yācana-yogga</w:t>
      </w:r>
      <w:proofErr w:type="spellEnd"/>
      <w:r>
        <w:t>) p</w:t>
      </w:r>
      <w:r w:rsidR="00F94663">
        <w:t>a</w:t>
      </w:r>
      <w:r>
        <w:t>r</w:t>
      </w:r>
      <w:r w:rsidR="00F94663">
        <w:t>a</w:t>
      </w:r>
      <w:r>
        <w:t xml:space="preserve"> </w:t>
      </w:r>
      <w:r w:rsidR="00F94663">
        <w:t xml:space="preserve">poder ofrecer </w:t>
      </w:r>
      <w:r>
        <w:t>lo que pid</w:t>
      </w:r>
      <w:r w:rsidR="00F94663">
        <w:t>a</w:t>
      </w:r>
      <w:r>
        <w:t xml:space="preserve">n los demás. </w:t>
      </w:r>
      <w:proofErr w:type="spellStart"/>
      <w:r w:rsidRPr="00057552">
        <w:rPr>
          <w:i/>
          <w:iCs/>
        </w:rPr>
        <w:t>Yājayoga</w:t>
      </w:r>
      <w:proofErr w:type="spellEnd"/>
      <w:r>
        <w:t xml:space="preserve"> es una lectura, en cuyo caso el significado es: </w:t>
      </w:r>
      <w:r w:rsidR="00F94663">
        <w:t xml:space="preserve">está </w:t>
      </w:r>
      <w:r>
        <w:t>dedicado (</w:t>
      </w:r>
      <w:proofErr w:type="spellStart"/>
      <w:r w:rsidRPr="00057552">
        <w:rPr>
          <w:i/>
          <w:iCs/>
        </w:rPr>
        <w:t>yutta</w:t>
      </w:r>
      <w:proofErr w:type="spellEnd"/>
      <w:r>
        <w:t>) al sacrificio (</w:t>
      </w:r>
      <w:proofErr w:type="spellStart"/>
      <w:r w:rsidRPr="00057552">
        <w:rPr>
          <w:i/>
          <w:iCs/>
        </w:rPr>
        <w:t>yāja</w:t>
      </w:r>
      <w:proofErr w:type="spellEnd"/>
      <w:r>
        <w:t>), en otras palabras, a</w:t>
      </w:r>
      <w:r w:rsidR="00F54CB5" w:rsidRPr="00F54CB5">
        <w:t xml:space="preserve"> </w:t>
      </w:r>
      <w:r w:rsidR="00F54CB5">
        <w:t>sacrificar (</w:t>
      </w:r>
      <w:proofErr w:type="spellStart"/>
      <w:r w:rsidR="00F54CB5" w:rsidRPr="00057552">
        <w:rPr>
          <w:i/>
          <w:iCs/>
        </w:rPr>
        <w:t>yajana</w:t>
      </w:r>
      <w:proofErr w:type="spellEnd"/>
      <w:r w:rsidR="00F54CB5">
        <w:t xml:space="preserve">). </w:t>
      </w:r>
      <w:r>
        <w:br w:type="page"/>
      </w:r>
    </w:p>
    <w:p w14:paraId="6328FCEC" w14:textId="77777777" w:rsidR="00370FA4" w:rsidRDefault="00370FA4" w:rsidP="00986447"/>
    <w:p w14:paraId="2F3C0047" w14:textId="0B35181A" w:rsidR="0025400C" w:rsidRDefault="0025400C" w:rsidP="0025400C">
      <w:r w:rsidRPr="00F46FA0">
        <w:t>Y</w:t>
      </w:r>
      <w:r w:rsidRPr="00057552">
        <w:rPr>
          <w:i/>
          <w:iCs/>
        </w:rPr>
        <w:t xml:space="preserve"> regoc</w:t>
      </w:r>
      <w:r w:rsidR="00F46FA0">
        <w:rPr>
          <w:i/>
          <w:iCs/>
        </w:rPr>
        <w:t>i</w:t>
      </w:r>
      <w:r w:rsidRPr="00057552">
        <w:rPr>
          <w:i/>
          <w:iCs/>
        </w:rPr>
        <w:t>ja</w:t>
      </w:r>
      <w:r w:rsidR="00F46FA0">
        <w:rPr>
          <w:i/>
          <w:iCs/>
        </w:rPr>
        <w:t>r</w:t>
      </w:r>
      <w:r w:rsidR="00EC02CC">
        <w:rPr>
          <w:i/>
          <w:iCs/>
        </w:rPr>
        <w:t>s</w:t>
      </w:r>
      <w:r w:rsidR="00F46FA0">
        <w:rPr>
          <w:i/>
          <w:iCs/>
        </w:rPr>
        <w:t>e</w:t>
      </w:r>
      <w:r w:rsidRPr="00057552">
        <w:rPr>
          <w:i/>
          <w:iCs/>
        </w:rPr>
        <w:t xml:space="preserve"> en </w:t>
      </w:r>
      <w:r w:rsidR="00F46FA0">
        <w:rPr>
          <w:i/>
          <w:iCs/>
        </w:rPr>
        <w:t xml:space="preserve">la generosidad y el </w:t>
      </w:r>
      <w:r w:rsidRPr="00057552">
        <w:rPr>
          <w:i/>
          <w:iCs/>
        </w:rPr>
        <w:t>compartir</w:t>
      </w:r>
      <w:r>
        <w:t xml:space="preserve">: el significado es, </w:t>
      </w:r>
      <w:r w:rsidR="00F46FA0">
        <w:t xml:space="preserve">él lo evoca </w:t>
      </w:r>
      <w:r>
        <w:t xml:space="preserve">así: “Doy </w:t>
      </w:r>
      <w:r w:rsidR="00F46FA0">
        <w:t xml:space="preserve">presentes </w:t>
      </w:r>
      <w:r>
        <w:t xml:space="preserve">y </w:t>
      </w:r>
      <w:r w:rsidR="005F1C84">
        <w:t xml:space="preserve">comparto </w:t>
      </w:r>
      <w:r>
        <w:t xml:space="preserve">lo que </w:t>
      </w:r>
      <w:r w:rsidR="00EC02CC">
        <w:t>haya</w:t>
      </w:r>
      <w:r w:rsidR="005F1C84">
        <w:t xml:space="preserve"> de ser utili</w:t>
      </w:r>
      <w:r w:rsidR="00202FD4">
        <w:t>za</w:t>
      </w:r>
      <w:r>
        <w:t>do por mí, y me regocijo en ambos”.</w:t>
      </w:r>
    </w:p>
    <w:p w14:paraId="2BE36C8D" w14:textId="765B9BAB" w:rsidR="0025400C" w:rsidRDefault="0025400C" w:rsidP="0025400C">
      <w:r>
        <w:t xml:space="preserve">113. </w:t>
      </w:r>
      <w:r>
        <w:tab/>
        <w:t xml:space="preserve">Mientras </w:t>
      </w:r>
      <w:r w:rsidR="00202FD4">
        <w:t>evo</w:t>
      </w:r>
      <w:r w:rsidR="00EC02CC">
        <w:t>que</w:t>
      </w:r>
      <w:r>
        <w:t xml:space="preserve"> </w:t>
      </w:r>
      <w:r w:rsidR="00EC02CC">
        <w:t xml:space="preserve">así </w:t>
      </w:r>
      <w:r>
        <w:t xml:space="preserve">su propia generosidad en sus cualidades especiales </w:t>
      </w:r>
      <w:r w:rsidR="00202FD4">
        <w:t xml:space="preserve">como estar libre </w:t>
      </w:r>
      <w:r>
        <w:t xml:space="preserve">de la </w:t>
      </w:r>
      <w:r w:rsidR="00202FD4">
        <w:t>impureza de</w:t>
      </w:r>
      <w:r>
        <w:t xml:space="preserve"> la avaricia, etc., entonces: “En esa ocasión su mente no est</w:t>
      </w:r>
      <w:r w:rsidR="00202FD4">
        <w:t>ar</w:t>
      </w:r>
      <w:r>
        <w:t xml:space="preserve">á obsesionada por la codicia, ni obsesionada por el odio, ni obsesionada por la </w:t>
      </w:r>
      <w:r w:rsidR="00176086">
        <w:t>ilusión</w:t>
      </w:r>
      <w:r>
        <w:t xml:space="preserve">; su mente </w:t>
      </w:r>
      <w:r w:rsidR="00176086">
        <w:t xml:space="preserve">poseerá </w:t>
      </w:r>
      <w:r>
        <w:t xml:space="preserve">rectitud en </w:t>
      </w:r>
      <w:r w:rsidR="00176086">
        <w:t xml:space="preserve">tal </w:t>
      </w:r>
      <w:r>
        <w:t>ocasión, inspirándose en la generosidad” (A III 287).</w:t>
      </w:r>
    </w:p>
    <w:p w14:paraId="4EC81F02" w14:textId="451BA6D3" w:rsidR="0025400C" w:rsidRDefault="0025400C" w:rsidP="0025400C">
      <w:pPr>
        <w:pStyle w:val="NormalConSangria"/>
      </w:pPr>
      <w:r>
        <w:t>Entonces, cuando ha</w:t>
      </w:r>
      <w:r w:rsidR="00176086">
        <w:t>ya</w:t>
      </w:r>
      <w:r>
        <w:t xml:space="preserve"> suprimido los obstáculos de la manera ya descrita (§66), los factores </w:t>
      </w:r>
      <w:proofErr w:type="spellStart"/>
      <w:r w:rsidR="00057BF4" w:rsidRPr="00057BF4">
        <w:rPr>
          <w:i/>
          <w:iCs/>
        </w:rPr>
        <w:t>jhāna</w:t>
      </w:r>
      <w:proofErr w:type="spellEnd"/>
      <w:r>
        <w:t xml:space="preserve"> surg</w:t>
      </w:r>
      <w:r w:rsidR="00176086">
        <w:t>irá</w:t>
      </w:r>
      <w:r>
        <w:t xml:space="preserve">n en un solo momento consciente. Pero debido a la profundidad de las cualidades especiales de la generosidad, o debido a que </w:t>
      </w:r>
      <w:r w:rsidR="00477735">
        <w:t>se encuentre</w:t>
      </w:r>
      <w:r>
        <w:t xml:space="preserve"> ocupado en </w:t>
      </w:r>
      <w:r w:rsidR="00477735">
        <w:t xml:space="preserve">evocar </w:t>
      </w:r>
      <w:r>
        <w:t xml:space="preserve">cualidades especiales de la generosidad de muchos tipos, el </w:t>
      </w:r>
      <w:proofErr w:type="spellStart"/>
      <w:r w:rsidR="00057BF4" w:rsidRPr="00057BF4">
        <w:rPr>
          <w:i/>
          <w:iCs/>
        </w:rPr>
        <w:t>jhāna</w:t>
      </w:r>
      <w:proofErr w:type="spellEnd"/>
      <w:r>
        <w:t xml:space="preserve"> </w:t>
      </w:r>
      <w:r w:rsidR="00477735">
        <w:t xml:space="preserve">será </w:t>
      </w:r>
      <w:r>
        <w:t xml:space="preserve">solo </w:t>
      </w:r>
      <w:r w:rsidR="00EC02CC">
        <w:t xml:space="preserve">de </w:t>
      </w:r>
      <w:r>
        <w:t>acceso y no alcanza</w:t>
      </w:r>
      <w:r w:rsidR="00477735">
        <w:t>rá</w:t>
      </w:r>
      <w:r>
        <w:t xml:space="preserve"> la absorción. Y ese </w:t>
      </w:r>
      <w:proofErr w:type="spellStart"/>
      <w:r w:rsidR="00057BF4" w:rsidRPr="00057BF4">
        <w:rPr>
          <w:i/>
          <w:iCs/>
        </w:rPr>
        <w:t>jhāna</w:t>
      </w:r>
      <w:proofErr w:type="spellEnd"/>
      <w:r>
        <w:t xml:space="preserve"> de acceso se </w:t>
      </w:r>
      <w:r w:rsidR="00EC02CC">
        <w:t xml:space="preserve">le </w:t>
      </w:r>
      <w:r>
        <w:t>conoce</w:t>
      </w:r>
      <w:r w:rsidR="00EC02CC">
        <w:t>rá</w:t>
      </w:r>
      <w:r>
        <w:t xml:space="preserve"> </w:t>
      </w:r>
      <w:r w:rsidR="00EC02CC">
        <w:t xml:space="preserve">también </w:t>
      </w:r>
      <w:r>
        <w:t>como "</w:t>
      </w:r>
      <w:r w:rsidR="004A0045">
        <w:t>la evocación</w:t>
      </w:r>
      <w:r>
        <w:t xml:space="preserve"> de la generosidad" porque surg</w:t>
      </w:r>
      <w:r w:rsidR="000F757E">
        <w:t>irá</w:t>
      </w:r>
      <w:r>
        <w:t xml:space="preserve"> con las cualidades especiales de la generosidad como medio.</w:t>
      </w:r>
    </w:p>
    <w:p w14:paraId="6E5A7BFF" w14:textId="308C3347" w:rsidR="0025400C" w:rsidRDefault="0025400C" w:rsidP="0025400C">
      <w:r>
        <w:t xml:space="preserve">114. </w:t>
      </w:r>
      <w:r>
        <w:tab/>
        <w:t xml:space="preserve">Y cuando un </w:t>
      </w:r>
      <w:proofErr w:type="spellStart"/>
      <w:r w:rsidR="00057BF4" w:rsidRPr="00057BF4">
        <w:rPr>
          <w:i/>
          <w:iCs/>
        </w:rPr>
        <w:t>bhikkhu</w:t>
      </w:r>
      <w:proofErr w:type="spellEnd"/>
      <w:r>
        <w:t xml:space="preserve"> se dedi</w:t>
      </w:r>
      <w:r w:rsidR="000F757E">
        <w:t>que</w:t>
      </w:r>
      <w:r>
        <w:t xml:space="preserve"> a est</w:t>
      </w:r>
      <w:r w:rsidR="000F757E">
        <w:t>a</w:t>
      </w:r>
      <w:r>
        <w:t xml:space="preserve"> </w:t>
      </w:r>
      <w:r w:rsidR="000F757E">
        <w:t xml:space="preserve">evocación </w:t>
      </w:r>
      <w:r>
        <w:t xml:space="preserve">de la generosidad, se </w:t>
      </w:r>
      <w:r w:rsidR="000F757E">
        <w:t xml:space="preserve">volverá </w:t>
      </w:r>
      <w:r>
        <w:t xml:space="preserve">cada vez más atento </w:t>
      </w:r>
      <w:r w:rsidR="000F757E">
        <w:t>hacia est</w:t>
      </w:r>
      <w:r>
        <w:t xml:space="preserve">a generosidad, su preferencia </w:t>
      </w:r>
      <w:r w:rsidR="000F757E">
        <w:t xml:space="preserve">se inclinará hacia </w:t>
      </w:r>
      <w:r>
        <w:t>la no</w:t>
      </w:r>
      <w:r w:rsidR="000F757E">
        <w:t>-</w:t>
      </w:r>
      <w:r>
        <w:t>codicia, act</w:t>
      </w:r>
      <w:r w:rsidR="00877D64">
        <w:t>u</w:t>
      </w:r>
      <w:r>
        <w:t>a</w:t>
      </w:r>
      <w:r w:rsidR="00877D64">
        <w:t>rá</w:t>
      </w:r>
      <w:r>
        <w:t xml:space="preserve"> </w:t>
      </w:r>
      <w:r w:rsidR="00877D64">
        <w:t xml:space="preserve">en </w:t>
      </w:r>
      <w:r>
        <w:t xml:space="preserve">conformidad con el amor bondadoso, no </w:t>
      </w:r>
      <w:r w:rsidR="00877D64">
        <w:t xml:space="preserve">tendrá </w:t>
      </w:r>
      <w:r>
        <w:t xml:space="preserve">miedo. </w:t>
      </w:r>
      <w:r w:rsidR="00877D64">
        <w:t xml:space="preserve">Gozará </w:t>
      </w:r>
      <w:r w:rsidR="00AA309A">
        <w:t xml:space="preserve">de </w:t>
      </w:r>
      <w:r>
        <w:t>mucha felicidad y alegría. Y si no penetra</w:t>
      </w:r>
      <w:r w:rsidR="00AA309A">
        <w:t>se</w:t>
      </w:r>
      <w:r>
        <w:t xml:space="preserve"> </w:t>
      </w:r>
      <w:r w:rsidR="00AA309A">
        <w:t>en alguna consumación superior</w:t>
      </w:r>
      <w:r>
        <w:t>, al menos se dirig</w:t>
      </w:r>
      <w:r w:rsidR="00AA309A">
        <w:t>irá</w:t>
      </w:r>
      <w:r>
        <w:t xml:space="preserve"> </w:t>
      </w:r>
      <w:r w:rsidR="00AA309A">
        <w:t>haci</w:t>
      </w:r>
      <w:r>
        <w:t>a un destino feliz.</w:t>
      </w:r>
    </w:p>
    <w:p w14:paraId="2053D189" w14:textId="4A982CC6" w:rsidR="0025400C" w:rsidRDefault="0025400C" w:rsidP="0025400C">
      <w:pPr>
        <w:pStyle w:val="VersoIngls01Sangria"/>
      </w:pPr>
      <w:r>
        <w:t xml:space="preserve">Ahora bien, cuando un hombre </w:t>
      </w:r>
      <w:r w:rsidR="00AA309A">
        <w:t>sea</w:t>
      </w:r>
      <w:r>
        <w:t xml:space="preserve"> verdaderamente sabio,</w:t>
      </w:r>
    </w:p>
    <w:p w14:paraId="4A9A3DD3" w14:textId="77777777" w:rsidR="0025400C" w:rsidRDefault="0025400C" w:rsidP="0025400C">
      <w:pPr>
        <w:pStyle w:val="VersoIngls01Sangria"/>
      </w:pPr>
      <w:r>
        <w:t>Su tarea constante seguramente será</w:t>
      </w:r>
    </w:p>
    <w:p w14:paraId="1A42A551" w14:textId="1E22A3AE" w:rsidR="0025400C" w:rsidRDefault="0025400C" w:rsidP="0025400C">
      <w:pPr>
        <w:pStyle w:val="VersoIngls01Sangria"/>
      </w:pPr>
      <w:r>
        <w:t>Est</w:t>
      </w:r>
      <w:r w:rsidR="00AA309A">
        <w:t>a</w:t>
      </w:r>
      <w:r>
        <w:t xml:space="preserve"> </w:t>
      </w:r>
      <w:r w:rsidR="00AA309A">
        <w:t>evocación</w:t>
      </w:r>
      <w:r>
        <w:t xml:space="preserve"> </w:t>
      </w:r>
      <w:r w:rsidR="00EC02CC">
        <w:t>de</w:t>
      </w:r>
      <w:r w:rsidR="00AA309A">
        <w:t xml:space="preserve"> su generosidad</w:t>
      </w:r>
    </w:p>
    <w:p w14:paraId="0A904614" w14:textId="77777777" w:rsidR="00EC02CC" w:rsidRDefault="00EC02CC" w:rsidP="00EC02CC">
      <w:pPr>
        <w:pStyle w:val="VersoIngls01Sangria"/>
        <w:spacing w:after="100"/>
        <w:ind w:left="1418"/>
      </w:pPr>
      <w:r>
        <w:t>Y será bendecido con tan poderosa potencia.</w:t>
      </w:r>
    </w:p>
    <w:p w14:paraId="1068773B" w14:textId="4A4BD8D3" w:rsidR="0025400C" w:rsidRDefault="009F77A1" w:rsidP="0025400C">
      <w:pPr>
        <w:pStyle w:val="NormalConSangria"/>
      </w:pPr>
      <w:r>
        <w:t>É</w:t>
      </w:r>
      <w:r w:rsidR="0025400C">
        <w:t xml:space="preserve">sta es la sección que trata sobre </w:t>
      </w:r>
      <w:r>
        <w:t xml:space="preserve">la evocación </w:t>
      </w:r>
      <w:r w:rsidR="0025400C">
        <w:t>de la generosidad explica</w:t>
      </w:r>
      <w:r>
        <w:t xml:space="preserve">da </w:t>
      </w:r>
      <w:r w:rsidR="0025400C">
        <w:t>detallada</w:t>
      </w:r>
      <w:r>
        <w:t>mente</w:t>
      </w:r>
      <w:r w:rsidR="0025400C">
        <w:t>. [225]</w:t>
      </w:r>
    </w:p>
    <w:p w14:paraId="12B2CD68" w14:textId="2CBF24A9" w:rsidR="0025400C" w:rsidRDefault="0025400C" w:rsidP="0025400C">
      <w:pPr>
        <w:pStyle w:val="Ttulo3"/>
        <w:ind w:left="708"/>
      </w:pPr>
      <w:r>
        <w:t xml:space="preserve">[(6) </w:t>
      </w:r>
      <w:r w:rsidR="009F77A1">
        <w:t>La Evocación</w:t>
      </w:r>
      <w:r>
        <w:t xml:space="preserve"> De </w:t>
      </w:r>
      <w:r w:rsidR="009F77A1">
        <w:t xml:space="preserve">Las </w:t>
      </w:r>
      <w:r>
        <w:t>Deidades]</w:t>
      </w:r>
    </w:p>
    <w:p w14:paraId="707EC062" w14:textId="6A940E2D" w:rsidR="0025400C" w:rsidRDefault="0025400C" w:rsidP="0025400C">
      <w:r>
        <w:t xml:space="preserve">115. </w:t>
      </w:r>
      <w:r>
        <w:tab/>
        <w:t xml:space="preserve">Aquel que quiera desarrollar </w:t>
      </w:r>
      <w:r w:rsidR="00CA7AE9">
        <w:t>la evocación</w:t>
      </w:r>
      <w:r>
        <w:t xml:space="preserve"> de las deidades debe</w:t>
      </w:r>
      <w:r w:rsidR="00CA7AE9">
        <w:t>rá</w:t>
      </w:r>
      <w:r>
        <w:t xml:space="preserve"> poseer las cualidades especiales de </w:t>
      </w:r>
      <w:r w:rsidR="00EC02CC">
        <w:t xml:space="preserve">la </w:t>
      </w:r>
      <w:r>
        <w:t>fe, etc., evocadas por medio del noble</w:t>
      </w:r>
      <w:r w:rsidR="00CA7AE9">
        <w:t xml:space="preserve"> sendero</w:t>
      </w:r>
      <w:r>
        <w:t>, y debe</w:t>
      </w:r>
      <w:r w:rsidR="00CA7AE9">
        <w:t>rá</w:t>
      </w:r>
      <w:r>
        <w:t xml:space="preserve"> </w:t>
      </w:r>
      <w:r w:rsidR="00CA7AE9">
        <w:t>acudi</w:t>
      </w:r>
      <w:r>
        <w:t xml:space="preserve">r a un retiro solitario y </w:t>
      </w:r>
      <w:r w:rsidR="00CA7AE9">
        <w:t>evocar</w:t>
      </w:r>
      <w:r>
        <w:t xml:space="preserve"> sus propias cualidades especiales de fe, etc., con </w:t>
      </w:r>
      <w:r w:rsidR="00E11058">
        <w:t xml:space="preserve">las </w:t>
      </w:r>
      <w:r>
        <w:t xml:space="preserve">deidades </w:t>
      </w:r>
      <w:r w:rsidR="00E11058">
        <w:t>presentes</w:t>
      </w:r>
      <w:r>
        <w:t xml:space="preserve"> como testigos, de la siguiente manera:</w:t>
      </w:r>
    </w:p>
    <w:p w14:paraId="49A752E2" w14:textId="681724C1" w:rsidR="0025400C" w:rsidRDefault="0025400C" w:rsidP="0025400C">
      <w:pPr>
        <w:pStyle w:val="NormalConSangria"/>
      </w:pPr>
      <w:r>
        <w:t>“</w:t>
      </w:r>
      <w:r w:rsidR="00E11058">
        <w:t>Existen</w:t>
      </w:r>
      <w:r>
        <w:t xml:space="preserve"> deidades del Reino de los Cuatro Reyes (</w:t>
      </w:r>
      <w:proofErr w:type="spellStart"/>
      <w:r w:rsidRPr="00057552">
        <w:rPr>
          <w:i/>
          <w:iCs/>
        </w:rPr>
        <w:t>devā</w:t>
      </w:r>
      <w:proofErr w:type="spellEnd"/>
      <w:r w:rsidRPr="00057552">
        <w:rPr>
          <w:i/>
          <w:iCs/>
        </w:rPr>
        <w:t xml:space="preserve"> </w:t>
      </w:r>
      <w:proofErr w:type="spellStart"/>
      <w:r w:rsidRPr="00057552">
        <w:rPr>
          <w:i/>
          <w:iCs/>
        </w:rPr>
        <w:t>cātummahārājikā</w:t>
      </w:r>
      <w:proofErr w:type="spellEnd"/>
      <w:r>
        <w:t xml:space="preserve">), deidades del Reino de los Treinta y </w:t>
      </w:r>
      <w:r w:rsidR="00EC02CC">
        <w:t xml:space="preserve">Tres </w:t>
      </w:r>
      <w:r>
        <w:t>(</w:t>
      </w:r>
      <w:proofErr w:type="spellStart"/>
      <w:r w:rsidRPr="00057552">
        <w:rPr>
          <w:i/>
          <w:iCs/>
        </w:rPr>
        <w:t>devā</w:t>
      </w:r>
      <w:proofErr w:type="spellEnd"/>
      <w:r w:rsidRPr="00057552">
        <w:rPr>
          <w:i/>
          <w:iCs/>
        </w:rPr>
        <w:t xml:space="preserve"> </w:t>
      </w:r>
      <w:proofErr w:type="spellStart"/>
      <w:r w:rsidRPr="00057552">
        <w:rPr>
          <w:i/>
          <w:iCs/>
        </w:rPr>
        <w:t>tāvatiṃsā</w:t>
      </w:r>
      <w:proofErr w:type="spellEnd"/>
      <w:r>
        <w:t xml:space="preserve">), deidades que han </w:t>
      </w:r>
      <w:r w:rsidR="00A4787F">
        <w:t>partido hacia</w:t>
      </w:r>
      <w:r>
        <w:t xml:space="preserve"> la Bienaventuranza Divina (</w:t>
      </w:r>
      <w:proofErr w:type="spellStart"/>
      <w:r w:rsidRPr="00057552">
        <w:rPr>
          <w:i/>
          <w:iCs/>
        </w:rPr>
        <w:t>yāmā</w:t>
      </w:r>
      <w:proofErr w:type="spellEnd"/>
      <w:r>
        <w:t>)… que están Content</w:t>
      </w:r>
      <w:r w:rsidR="00A4787F">
        <w:t>o</w:t>
      </w:r>
      <w:r>
        <w:t>s (</w:t>
      </w:r>
      <w:proofErr w:type="spellStart"/>
      <w:r w:rsidRPr="00057552">
        <w:rPr>
          <w:i/>
          <w:iCs/>
        </w:rPr>
        <w:t>tusitā</w:t>
      </w:r>
      <w:proofErr w:type="spellEnd"/>
      <w:r>
        <w:t xml:space="preserve">) … que se deleitan en </w:t>
      </w:r>
      <w:r w:rsidR="00EC02CC">
        <w:t xml:space="preserve">la </w:t>
      </w:r>
      <w:r>
        <w:t>crea</w:t>
      </w:r>
      <w:r w:rsidR="00A4787F">
        <w:t>ción</w:t>
      </w:r>
      <w:r>
        <w:t xml:space="preserve"> (</w:t>
      </w:r>
      <w:proofErr w:type="spellStart"/>
      <w:r w:rsidRPr="00057552">
        <w:rPr>
          <w:i/>
          <w:iCs/>
        </w:rPr>
        <w:t>nimmānarati</w:t>
      </w:r>
      <w:proofErr w:type="spellEnd"/>
      <w:r>
        <w:t>) … que ejercen poder sobre las creaciones de otros (</w:t>
      </w:r>
      <w:proofErr w:type="spellStart"/>
      <w:r w:rsidRPr="00057552">
        <w:rPr>
          <w:i/>
          <w:iCs/>
        </w:rPr>
        <w:t>paranimmitavasavatti</w:t>
      </w:r>
      <w:proofErr w:type="spellEnd"/>
      <w:r>
        <w:t xml:space="preserve">), </w:t>
      </w:r>
      <w:r w:rsidR="00A4787F">
        <w:t xml:space="preserve">existen </w:t>
      </w:r>
      <w:r>
        <w:t xml:space="preserve">deidades del séquito </w:t>
      </w:r>
      <w:r w:rsidR="00057BF4" w:rsidRPr="00057BF4">
        <w:rPr>
          <w:i/>
        </w:rPr>
        <w:t>Brahmā</w:t>
      </w:r>
      <w:r>
        <w:t xml:space="preserve"> (</w:t>
      </w:r>
      <w:proofErr w:type="spellStart"/>
      <w:r w:rsidRPr="00057552">
        <w:rPr>
          <w:i/>
          <w:iCs/>
        </w:rPr>
        <w:t>brahmakāyikā</w:t>
      </w:r>
      <w:proofErr w:type="spellEnd"/>
      <w:r>
        <w:t xml:space="preserve">), </w:t>
      </w:r>
      <w:r w:rsidR="00A4787F">
        <w:t xml:space="preserve">existen </w:t>
      </w:r>
      <w:r>
        <w:t xml:space="preserve">deidades más </w:t>
      </w:r>
      <w:r w:rsidR="00EC02CC">
        <w:t>elevada</w:t>
      </w:r>
      <w:r>
        <w:t xml:space="preserve"> que e</w:t>
      </w:r>
      <w:r w:rsidR="00EC02CC">
        <w:t>ll</w:t>
      </w:r>
      <w:r>
        <w:t xml:space="preserve">o. Y </w:t>
      </w:r>
      <w:r w:rsidR="001C1AB9">
        <w:t xml:space="preserve">estas </w:t>
      </w:r>
      <w:r>
        <w:t>deidades estaban poseídas de tal fe que al morir aquí renac</w:t>
      </w:r>
      <w:r w:rsidR="001C1AB9">
        <w:t>ieron</w:t>
      </w:r>
      <w:r>
        <w:t xml:space="preserve"> allá, y </w:t>
      </w:r>
      <w:r w:rsidR="00EC02CC">
        <w:t>esta</w:t>
      </w:r>
      <w:r w:rsidR="001C1AB9">
        <w:t xml:space="preserve"> misma </w:t>
      </w:r>
      <w:r>
        <w:t xml:space="preserve">fe </w:t>
      </w:r>
      <w:r w:rsidR="00E971C5">
        <w:t xml:space="preserve">también </w:t>
      </w:r>
      <w:r>
        <w:t xml:space="preserve">está presente en mí. Y esas deidades estaban poseídas de virtud… de </w:t>
      </w:r>
      <w:r w:rsidR="00E971C5">
        <w:t>conocimiento</w:t>
      </w:r>
      <w:r>
        <w:t xml:space="preserve">… de generosidad… de entendimiento tal que </w:t>
      </w:r>
      <w:r w:rsidR="00EB2C6B">
        <w:t xml:space="preserve">al morir </w:t>
      </w:r>
      <w:r>
        <w:t>aquí renac</w:t>
      </w:r>
      <w:r w:rsidR="00E971C5">
        <w:t>ieron</w:t>
      </w:r>
      <w:r>
        <w:t xml:space="preserve"> allá, y tal entendimiento está </w:t>
      </w:r>
      <w:r w:rsidR="00EB2C6B">
        <w:t xml:space="preserve">también </w:t>
      </w:r>
      <w:r>
        <w:t>presente en mí” (A III 287).</w:t>
      </w:r>
    </w:p>
    <w:p w14:paraId="16A67BAB" w14:textId="6D354B35" w:rsidR="0025400C" w:rsidRDefault="0025400C" w:rsidP="0025400C">
      <w:r>
        <w:t xml:space="preserve">116. </w:t>
      </w:r>
      <w:r>
        <w:tab/>
        <w:t xml:space="preserve">En el </w:t>
      </w:r>
      <w:proofErr w:type="spellStart"/>
      <w:r w:rsidRPr="00057552">
        <w:rPr>
          <w:i/>
          <w:iCs/>
        </w:rPr>
        <w:t>sutta</w:t>
      </w:r>
      <w:proofErr w:type="spellEnd"/>
      <w:r>
        <w:t xml:space="preserve">, sin embargo, se dice: “En </w:t>
      </w:r>
      <w:r w:rsidR="00EB2C6B">
        <w:t>aquella</w:t>
      </w:r>
      <w:r>
        <w:t xml:space="preserve"> ocasión, </w:t>
      </w:r>
      <w:proofErr w:type="spellStart"/>
      <w:r w:rsidRPr="00057552">
        <w:rPr>
          <w:i/>
          <w:iCs/>
        </w:rPr>
        <w:t>Mahā</w:t>
      </w:r>
      <w:r w:rsidR="00057BF4" w:rsidRPr="00057BF4">
        <w:rPr>
          <w:i/>
          <w:iCs/>
        </w:rPr>
        <w:t>nāma</w:t>
      </w:r>
      <w:proofErr w:type="spellEnd"/>
      <w:r>
        <w:t>, en qu</w:t>
      </w:r>
      <w:r w:rsidR="00506730">
        <w:t>ien</w:t>
      </w:r>
      <w:r>
        <w:t xml:space="preserve"> un noble discípulo </w:t>
      </w:r>
      <w:r w:rsidR="00506730">
        <w:t xml:space="preserve">evocó </w:t>
      </w:r>
      <w:r>
        <w:t xml:space="preserve">la fe, la virtud, el </w:t>
      </w:r>
      <w:r w:rsidR="00506730">
        <w:t>conocimiento</w:t>
      </w:r>
      <w:r>
        <w:t xml:space="preserve">, la generosidad y el entendimiento que </w:t>
      </w:r>
      <w:r w:rsidR="008C19FF">
        <w:t xml:space="preserve">era </w:t>
      </w:r>
      <w:r>
        <w:t xml:space="preserve">tanto suyos como de esas deidades, “en </w:t>
      </w:r>
      <w:r w:rsidR="00EC02CC">
        <w:t>tal</w:t>
      </w:r>
      <w:r>
        <w:t xml:space="preserve"> ocasión su mente no est</w:t>
      </w:r>
      <w:r w:rsidR="00EC02CC">
        <w:t>uvo</w:t>
      </w:r>
      <w:r>
        <w:t xml:space="preserve"> obsesionada por la codicia…” (A III 287). Aunque esto se diga, debe entenderse, sin embargo, </w:t>
      </w:r>
      <w:r w:rsidR="009F7EAB">
        <w:t xml:space="preserve">que lo </w:t>
      </w:r>
      <w:r>
        <w:t xml:space="preserve">dicho </w:t>
      </w:r>
      <w:r w:rsidR="009F7EAB">
        <w:t xml:space="preserve">tenía como </w:t>
      </w:r>
      <w:r>
        <w:t>efecto</w:t>
      </w:r>
      <w:r w:rsidRPr="008C0E19">
        <w:t xml:space="preserve"> </w:t>
      </w:r>
    </w:p>
    <w:p w14:paraId="21F55614" w14:textId="77777777" w:rsidR="0025400C" w:rsidRDefault="0025400C">
      <w:pPr>
        <w:tabs>
          <w:tab w:val="clear" w:pos="425"/>
        </w:tabs>
        <w:spacing w:after="160"/>
      </w:pPr>
      <w:r>
        <w:br w:type="page"/>
      </w:r>
    </w:p>
    <w:p w14:paraId="13797D54" w14:textId="77777777" w:rsidR="00B60AB7" w:rsidRDefault="00B60AB7" w:rsidP="0025400C"/>
    <w:p w14:paraId="12540AEA" w14:textId="382B400B" w:rsidR="00B60AB7" w:rsidRDefault="00B60AB7" w:rsidP="00B60AB7">
      <w:r>
        <w:t>mostra</w:t>
      </w:r>
      <w:r w:rsidR="008C19FF">
        <w:t>r</w:t>
      </w:r>
      <w:r>
        <w:t xml:space="preserve"> que las cualidades especiales de la fe, etc., en uno mismo </w:t>
      </w:r>
      <w:r w:rsidR="00CF759F">
        <w:t>también l</w:t>
      </w:r>
      <w:r w:rsidR="00EC02CC">
        <w:t>as</w:t>
      </w:r>
      <w:r w:rsidR="00CF759F">
        <w:t xml:space="preserve"> eran </w:t>
      </w:r>
      <w:r>
        <w:t xml:space="preserve">de las deidades, haciendo que las deidades </w:t>
      </w:r>
      <w:r w:rsidR="00CF759F">
        <w:t xml:space="preserve">estén </w:t>
      </w:r>
      <w:r>
        <w:t xml:space="preserve">presenten como testigos. Porque se dice definitivamente en el Comentario: "Él </w:t>
      </w:r>
      <w:r w:rsidR="008C19FF">
        <w:t>evoca</w:t>
      </w:r>
      <w:r>
        <w:t xml:space="preserve"> sus propias cualidades especiales, haciendo </w:t>
      </w:r>
      <w:r w:rsidR="008C19FF">
        <w:t xml:space="preserve">de </w:t>
      </w:r>
      <w:r>
        <w:t xml:space="preserve">las deidades presenten </w:t>
      </w:r>
      <w:r w:rsidR="008C19FF">
        <w:t xml:space="preserve">sus </w:t>
      </w:r>
      <w:r>
        <w:t>testigos".</w:t>
      </w:r>
    </w:p>
    <w:p w14:paraId="3D336091" w14:textId="43A2150A" w:rsidR="00B60AB7" w:rsidRDefault="00B60AB7" w:rsidP="00B60AB7">
      <w:r>
        <w:t xml:space="preserve">117. </w:t>
      </w:r>
      <w:r>
        <w:tab/>
        <w:t xml:space="preserve">Siempre que en la etapa </w:t>
      </w:r>
      <w:r w:rsidR="00B711AF">
        <w:t xml:space="preserve">previa evoque </w:t>
      </w:r>
      <w:r>
        <w:t xml:space="preserve">las cualidades especiales de fe, etc., de las deidades, y en la etapa posterior </w:t>
      </w:r>
      <w:r w:rsidR="00B711AF">
        <w:t xml:space="preserve">evoque </w:t>
      </w:r>
      <w:r>
        <w:t xml:space="preserve">las cualidades especiales de </w:t>
      </w:r>
      <w:r w:rsidR="00B711AF">
        <w:t xml:space="preserve">la </w:t>
      </w:r>
      <w:r>
        <w:t xml:space="preserve">fe, etc., que existen en sí mismo: “En </w:t>
      </w:r>
      <w:r w:rsidR="00312A91">
        <w:t>tal</w:t>
      </w:r>
      <w:r>
        <w:t xml:space="preserve"> ocasión su mente no est</w:t>
      </w:r>
      <w:r w:rsidR="006E644B">
        <w:t>ar</w:t>
      </w:r>
      <w:r>
        <w:t>á obsesionad</w:t>
      </w:r>
      <w:r w:rsidR="00EC02CC">
        <w:t>a</w:t>
      </w:r>
      <w:r>
        <w:t xml:space="preserve"> por la codicia, ni obsesionad</w:t>
      </w:r>
      <w:r w:rsidR="006E644B">
        <w:t>a</w:t>
      </w:r>
      <w:r>
        <w:t xml:space="preserve"> por el odio, ni obsesionad</w:t>
      </w:r>
      <w:r w:rsidR="006E644B">
        <w:t>a</w:t>
      </w:r>
      <w:r>
        <w:t xml:space="preserve"> por </w:t>
      </w:r>
      <w:r w:rsidR="006E644B">
        <w:t>la ilusión</w:t>
      </w:r>
      <w:r>
        <w:t xml:space="preserve">, su mente </w:t>
      </w:r>
      <w:r w:rsidR="006E644B">
        <w:t>poseerá una</w:t>
      </w:r>
      <w:r>
        <w:t xml:space="preserve"> rectitud en </w:t>
      </w:r>
      <w:r w:rsidR="006E644B">
        <w:t xml:space="preserve">tal </w:t>
      </w:r>
      <w:r>
        <w:t>ocasión, inspirándose en las deidades” (A III 288).</w:t>
      </w:r>
    </w:p>
    <w:p w14:paraId="770C5EEF" w14:textId="6A55259D" w:rsidR="00B60AB7" w:rsidRDefault="00B60AB7" w:rsidP="00B60AB7">
      <w:pPr>
        <w:pStyle w:val="NormalConSangria"/>
      </w:pPr>
      <w:r>
        <w:t>Entonces, cuando ha</w:t>
      </w:r>
      <w:r w:rsidR="006E644B">
        <w:t>ya</w:t>
      </w:r>
      <w:r>
        <w:t xml:space="preserve"> suprimido los obstáculos de la manera ya establecida (§66), los factores </w:t>
      </w:r>
      <w:proofErr w:type="spellStart"/>
      <w:r w:rsidR="00057BF4" w:rsidRPr="00057BF4">
        <w:rPr>
          <w:i/>
          <w:iCs/>
        </w:rPr>
        <w:t>jhāna</w:t>
      </w:r>
      <w:proofErr w:type="spellEnd"/>
      <w:r>
        <w:t xml:space="preserve"> surg</w:t>
      </w:r>
      <w:r w:rsidR="006E644B">
        <w:t>irá</w:t>
      </w:r>
      <w:r>
        <w:t xml:space="preserve">n en un solo </w:t>
      </w:r>
      <w:r w:rsidR="006E644B">
        <w:t xml:space="preserve">un </w:t>
      </w:r>
      <w:r>
        <w:t>momento consciente. Pero debido a la profundidad de las cualidades especiales de la fe, etc., o debido a que est</w:t>
      </w:r>
      <w:r w:rsidR="006E644B">
        <w:t>é</w:t>
      </w:r>
      <w:r>
        <w:t xml:space="preserve"> ocupado en </w:t>
      </w:r>
      <w:r w:rsidR="006E644B">
        <w:t xml:space="preserve">evocar </w:t>
      </w:r>
      <w:r>
        <w:t xml:space="preserve">cualidades especiales de muchos tipos, el </w:t>
      </w:r>
      <w:proofErr w:type="spellStart"/>
      <w:r w:rsidR="00057BF4" w:rsidRPr="00057BF4">
        <w:rPr>
          <w:i/>
          <w:iCs/>
        </w:rPr>
        <w:t>jhāna</w:t>
      </w:r>
      <w:proofErr w:type="spellEnd"/>
      <w:r>
        <w:t xml:space="preserve"> </w:t>
      </w:r>
      <w:r w:rsidR="006E644B">
        <w:t xml:space="preserve">será </w:t>
      </w:r>
      <w:r>
        <w:t xml:space="preserve">solo </w:t>
      </w:r>
      <w:r w:rsidR="00EC02CC">
        <w:t xml:space="preserve">de </w:t>
      </w:r>
      <w:r>
        <w:t>acceso y no alcanza</w:t>
      </w:r>
      <w:r w:rsidR="006E644B">
        <w:t>rá</w:t>
      </w:r>
      <w:r>
        <w:t xml:space="preserve"> la absorción. Y </w:t>
      </w:r>
      <w:r w:rsidR="006E644B">
        <w:t xml:space="preserve">a </w:t>
      </w:r>
      <w:r>
        <w:t xml:space="preserve">ese </w:t>
      </w:r>
      <w:proofErr w:type="spellStart"/>
      <w:r w:rsidR="00057BF4" w:rsidRPr="00057BF4">
        <w:rPr>
          <w:i/>
          <w:iCs/>
        </w:rPr>
        <w:t>jhāna</w:t>
      </w:r>
      <w:proofErr w:type="spellEnd"/>
      <w:r>
        <w:t xml:space="preserve"> de acceso en sí también se </w:t>
      </w:r>
      <w:r w:rsidR="006E644B">
        <w:t xml:space="preserve">le </w:t>
      </w:r>
      <w:r>
        <w:t>conoce</w:t>
      </w:r>
      <w:r w:rsidR="006E644B">
        <w:t>rá</w:t>
      </w:r>
      <w:r>
        <w:t xml:space="preserve"> como "</w:t>
      </w:r>
      <w:r w:rsidR="006E644B">
        <w:t xml:space="preserve">evocación </w:t>
      </w:r>
      <w:r>
        <w:t>de las deidades" porque surg</w:t>
      </w:r>
      <w:r w:rsidR="006E644B">
        <w:t>irá</w:t>
      </w:r>
      <w:r>
        <w:t xml:space="preserve"> con las cualidades especiales de las deidades como medio. [226]</w:t>
      </w:r>
    </w:p>
    <w:p w14:paraId="30A2E2DF" w14:textId="35870521" w:rsidR="00B60AB7" w:rsidRDefault="00B60AB7" w:rsidP="00B60AB7">
      <w:r>
        <w:t xml:space="preserve">118. </w:t>
      </w:r>
      <w:r>
        <w:tab/>
        <w:t xml:space="preserve">Y cuando un </w:t>
      </w:r>
      <w:proofErr w:type="spellStart"/>
      <w:r w:rsidR="00057BF4" w:rsidRPr="00057BF4">
        <w:rPr>
          <w:i/>
          <w:iCs/>
        </w:rPr>
        <w:t>bhikkhu</w:t>
      </w:r>
      <w:proofErr w:type="spellEnd"/>
      <w:r>
        <w:t xml:space="preserve"> se dedi</w:t>
      </w:r>
      <w:r w:rsidR="00AD5303">
        <w:t>que</w:t>
      </w:r>
      <w:r>
        <w:t xml:space="preserve"> a est</w:t>
      </w:r>
      <w:r w:rsidR="00AD5303">
        <w:t>a</w:t>
      </w:r>
      <w:r>
        <w:t xml:space="preserve"> </w:t>
      </w:r>
      <w:r w:rsidR="00AD5303">
        <w:t xml:space="preserve">evocación </w:t>
      </w:r>
      <w:r>
        <w:t xml:space="preserve">de las deidades, se </w:t>
      </w:r>
      <w:r w:rsidR="00AD5303">
        <w:t xml:space="preserve">volverá </w:t>
      </w:r>
      <w:r>
        <w:t xml:space="preserve">muy amado por </w:t>
      </w:r>
      <w:r w:rsidR="00AD5303">
        <w:t>ellas</w:t>
      </w:r>
      <w:r>
        <w:t>. Obt</w:t>
      </w:r>
      <w:r w:rsidR="00AD5303">
        <w:t>endrá</w:t>
      </w:r>
      <w:r>
        <w:t xml:space="preserve"> una plenitud de fe aún mayor. </w:t>
      </w:r>
      <w:r w:rsidR="00AD5303">
        <w:t xml:space="preserve">Tendrá </w:t>
      </w:r>
      <w:r>
        <w:t>mucha felicidad y alegría. Y si no penetra</w:t>
      </w:r>
      <w:r w:rsidR="00AD5303">
        <w:t>se en alguna consumación superior</w:t>
      </w:r>
      <w:r>
        <w:t>, al menos se dirig</w:t>
      </w:r>
      <w:r w:rsidR="00AD5303">
        <w:t>irá</w:t>
      </w:r>
      <w:r>
        <w:t xml:space="preserve"> </w:t>
      </w:r>
      <w:r w:rsidR="00AD5303">
        <w:t>hacia</w:t>
      </w:r>
      <w:r>
        <w:t xml:space="preserve"> un destino feliz.</w:t>
      </w:r>
    </w:p>
    <w:p w14:paraId="73E65C27" w14:textId="54586A9A" w:rsidR="00B60AB7" w:rsidRDefault="00B60AB7" w:rsidP="00B60AB7">
      <w:pPr>
        <w:pStyle w:val="VersoIngls01Sangria"/>
      </w:pPr>
      <w:r>
        <w:t>Ahora bien, cuando un hombre s</w:t>
      </w:r>
      <w:r w:rsidR="00EC02CC">
        <w:t>ea</w:t>
      </w:r>
      <w:r>
        <w:t xml:space="preserve"> verdaderamente sabio,</w:t>
      </w:r>
    </w:p>
    <w:p w14:paraId="676A2785" w14:textId="77777777" w:rsidR="00B60AB7" w:rsidRDefault="00B60AB7" w:rsidP="00B60AB7">
      <w:pPr>
        <w:pStyle w:val="VersoIngls01Sangria"/>
      </w:pPr>
      <w:r>
        <w:t>Su tarea constante seguramente será</w:t>
      </w:r>
    </w:p>
    <w:p w14:paraId="6E7B141F" w14:textId="0FB5FEFE" w:rsidR="00B60AB7" w:rsidRDefault="00B60AB7" w:rsidP="00B60AB7">
      <w:pPr>
        <w:pStyle w:val="VersoIngls01Sangria"/>
      </w:pPr>
      <w:r>
        <w:t>Est</w:t>
      </w:r>
      <w:r w:rsidR="00A26939">
        <w:t>a</w:t>
      </w:r>
      <w:r>
        <w:t xml:space="preserve"> </w:t>
      </w:r>
      <w:r w:rsidR="00A26939">
        <w:t>evocación sobre las</w:t>
      </w:r>
      <w:r>
        <w:t xml:space="preserve"> deidades</w:t>
      </w:r>
    </w:p>
    <w:p w14:paraId="586BFF24" w14:textId="77777777" w:rsidR="00EC02CC" w:rsidRDefault="00EC02CC" w:rsidP="00EC02CC">
      <w:pPr>
        <w:pStyle w:val="VersoIngls01Sangria"/>
        <w:spacing w:after="100"/>
        <w:ind w:left="1418"/>
      </w:pPr>
      <w:r>
        <w:t>Y será bendecido con tan poderosa potencia.</w:t>
      </w:r>
    </w:p>
    <w:p w14:paraId="15BFFF53" w14:textId="777F6EF2" w:rsidR="00B60AB7" w:rsidRDefault="00EC02CC" w:rsidP="00B60AB7">
      <w:pPr>
        <w:pStyle w:val="NormalConSangria"/>
      </w:pPr>
      <w:r>
        <w:t>É</w:t>
      </w:r>
      <w:r w:rsidR="00B60AB7">
        <w:t xml:space="preserve">sta es la sección que trata sobre </w:t>
      </w:r>
      <w:r w:rsidR="00A26939">
        <w:t xml:space="preserve">la evocación </w:t>
      </w:r>
      <w:r w:rsidR="00B60AB7">
        <w:t>de las deidades explica</w:t>
      </w:r>
      <w:r w:rsidR="00A26939">
        <w:t>das</w:t>
      </w:r>
      <w:r w:rsidR="00B60AB7">
        <w:t xml:space="preserve"> detallada</w:t>
      </w:r>
      <w:r w:rsidR="00A26939">
        <w:t>mente</w:t>
      </w:r>
      <w:r w:rsidR="00B60AB7">
        <w:t>.</w:t>
      </w:r>
    </w:p>
    <w:p w14:paraId="01B2D459" w14:textId="3021D50B" w:rsidR="00B60AB7" w:rsidRDefault="00B60AB7" w:rsidP="00B60AB7">
      <w:pPr>
        <w:pStyle w:val="Ttulo3"/>
        <w:ind w:left="708"/>
      </w:pPr>
      <w:r>
        <w:t>[</w:t>
      </w:r>
      <w:r w:rsidR="00A26939">
        <w:t xml:space="preserve">En </w:t>
      </w:r>
      <w:r>
        <w:t>General]</w:t>
      </w:r>
    </w:p>
    <w:p w14:paraId="4488FF7F" w14:textId="33FF9E7F" w:rsidR="00B60AB7" w:rsidRDefault="00B60AB7" w:rsidP="00B60AB7">
      <w:r>
        <w:t xml:space="preserve">119. </w:t>
      </w:r>
      <w:r>
        <w:tab/>
        <w:t>Ahora</w:t>
      </w:r>
      <w:r w:rsidR="004D546D">
        <w:t xml:space="preserve"> bien</w:t>
      </w:r>
      <w:r>
        <w:t>, al exponer los detalles de est</w:t>
      </w:r>
      <w:r w:rsidR="00B12E3F">
        <w:t>a</w:t>
      </w:r>
      <w:r>
        <w:t xml:space="preserve">s </w:t>
      </w:r>
      <w:r w:rsidR="00B12E3F">
        <w:t>evocaciones</w:t>
      </w:r>
      <w:r>
        <w:t xml:space="preserve">, después de las palabras, "Su mente </w:t>
      </w:r>
      <w:r w:rsidR="00A26939">
        <w:t>poseerá</w:t>
      </w:r>
      <w:r>
        <w:t xml:space="preserve"> rectitud en esa ocasión, siendo inspirado por el Perfecto", se agrega</w:t>
      </w:r>
      <w:r w:rsidR="00A26939">
        <w:t>rá</w:t>
      </w:r>
      <w:r>
        <w:t xml:space="preserve">: "Cuando la mente de un discípulo noble </w:t>
      </w:r>
      <w:r w:rsidR="00A26939">
        <w:t>pose</w:t>
      </w:r>
      <w:r w:rsidR="00EC02CC">
        <w:t>a</w:t>
      </w:r>
      <w:r w:rsidR="00A26939">
        <w:t xml:space="preserve"> </w:t>
      </w:r>
      <w:r>
        <w:t xml:space="preserve">rectitud, </w:t>
      </w:r>
      <w:proofErr w:type="spellStart"/>
      <w:r w:rsidRPr="00057552">
        <w:rPr>
          <w:i/>
          <w:iCs/>
        </w:rPr>
        <w:t>Mahā</w:t>
      </w:r>
      <w:r w:rsidR="00057BF4" w:rsidRPr="00057BF4">
        <w:rPr>
          <w:i/>
          <w:iCs/>
        </w:rPr>
        <w:t>nāma</w:t>
      </w:r>
      <w:proofErr w:type="spellEnd"/>
      <w:r>
        <w:t>, el significado lo inspira</w:t>
      </w:r>
      <w:r w:rsidR="00EC02CC">
        <w:t>rá</w:t>
      </w:r>
      <w:r>
        <w:t>, la ley lo inspira</w:t>
      </w:r>
      <w:r w:rsidR="00EC02CC">
        <w:t>rá</w:t>
      </w:r>
      <w:r>
        <w:t xml:space="preserve"> y la aplicación de la ley lo alegra</w:t>
      </w:r>
      <w:r w:rsidR="00EC02CC">
        <w:t>rá</w:t>
      </w:r>
      <w:r>
        <w:t>. Cuando est</w:t>
      </w:r>
      <w:r w:rsidR="00EC02CC">
        <w:t>é</w:t>
      </w:r>
      <w:r>
        <w:t xml:space="preserve"> alegre, </w:t>
      </w:r>
      <w:r w:rsidR="00EC02CC">
        <w:t>surgirá</w:t>
      </w:r>
      <w:r>
        <w:t xml:space="preserve"> en él la felicidad” (A III 285-88). Aquí, </w:t>
      </w:r>
      <w:r w:rsidRPr="00F56C85">
        <w:rPr>
          <w:i/>
          <w:iCs/>
        </w:rPr>
        <w:t xml:space="preserve">el </w:t>
      </w:r>
      <w:r w:rsidR="00F56C85">
        <w:rPr>
          <w:i/>
          <w:iCs/>
        </w:rPr>
        <w:t>significado</w:t>
      </w:r>
      <w:r w:rsidRPr="00F56C85">
        <w:rPr>
          <w:i/>
          <w:iCs/>
        </w:rPr>
        <w:t xml:space="preserve"> l</w:t>
      </w:r>
      <w:r w:rsidR="00D255B0" w:rsidRPr="00F56C85">
        <w:rPr>
          <w:i/>
          <w:iCs/>
        </w:rPr>
        <w:t>o</w:t>
      </w:r>
      <w:r w:rsidRPr="00F56C85">
        <w:rPr>
          <w:i/>
          <w:iCs/>
        </w:rPr>
        <w:t xml:space="preserve"> inspir</w:t>
      </w:r>
      <w:r w:rsidR="00D255B0" w:rsidRPr="00F56C85">
        <w:rPr>
          <w:i/>
          <w:iCs/>
        </w:rPr>
        <w:t>a</w:t>
      </w:r>
      <w:r w:rsidR="00EC02CC">
        <w:rPr>
          <w:i/>
          <w:iCs/>
        </w:rPr>
        <w:t>rá</w:t>
      </w:r>
      <w:r>
        <w:t xml:space="preserve"> debe entenderse como </w:t>
      </w:r>
      <w:r w:rsidR="00B84140">
        <w:t xml:space="preserve">la </w:t>
      </w:r>
      <w:r w:rsidR="00F56C85">
        <w:t>referida a la alegría</w:t>
      </w:r>
      <w:r>
        <w:t xml:space="preserve"> inspirad</w:t>
      </w:r>
      <w:r w:rsidR="00F56C85">
        <w:t>a</w:t>
      </w:r>
      <w:r>
        <w:t xml:space="preserve"> por el </w:t>
      </w:r>
      <w:r w:rsidR="00730846">
        <w:t>pasaje</w:t>
      </w:r>
      <w:r>
        <w:t xml:space="preserve"> que comienza: “Este Bienaventurado es tal desde que …” (§2). </w:t>
      </w:r>
      <w:r w:rsidRPr="00052654">
        <w:rPr>
          <w:i/>
          <w:iCs/>
        </w:rPr>
        <w:t>La ley l</w:t>
      </w:r>
      <w:r w:rsidR="00D24DEC" w:rsidRPr="00052654">
        <w:rPr>
          <w:i/>
          <w:iCs/>
        </w:rPr>
        <w:t>o</w:t>
      </w:r>
      <w:r w:rsidRPr="00052654">
        <w:rPr>
          <w:i/>
          <w:iCs/>
        </w:rPr>
        <w:t xml:space="preserve"> inspira</w:t>
      </w:r>
      <w:r w:rsidR="00EC02CC">
        <w:rPr>
          <w:i/>
          <w:iCs/>
        </w:rPr>
        <w:t>rá</w:t>
      </w:r>
      <w:r>
        <w:t xml:space="preserve"> </w:t>
      </w:r>
      <w:r w:rsidR="009475FA">
        <w:t>alude a</w:t>
      </w:r>
      <w:r w:rsidR="00D24DEC">
        <w:t xml:space="preserve"> </w:t>
      </w:r>
      <w:r>
        <w:t>l</w:t>
      </w:r>
      <w:r w:rsidR="00D24DEC">
        <w:t>a</w:t>
      </w:r>
      <w:r>
        <w:t xml:space="preserve"> </w:t>
      </w:r>
      <w:r w:rsidR="00D24DEC">
        <w:t>dicha</w:t>
      </w:r>
      <w:r>
        <w:t xml:space="preserve"> inspirad</w:t>
      </w:r>
      <w:r w:rsidR="00D24DEC">
        <w:t>a</w:t>
      </w:r>
      <w:r>
        <w:t xml:space="preserve"> por el texto. </w:t>
      </w:r>
      <w:r w:rsidRPr="00052654">
        <w:rPr>
          <w:i/>
          <w:iCs/>
        </w:rPr>
        <w:t>La</w:t>
      </w:r>
      <w:r>
        <w:t xml:space="preserve"> </w:t>
      </w:r>
      <w:r w:rsidRPr="00052654">
        <w:rPr>
          <w:i/>
          <w:iCs/>
        </w:rPr>
        <w:t>aplicación de la ley lo alegra</w:t>
      </w:r>
      <w:r w:rsidR="00EC02CC">
        <w:rPr>
          <w:i/>
          <w:iCs/>
        </w:rPr>
        <w:t>rá</w:t>
      </w:r>
      <w:r>
        <w:t>, se dice de ambos (cf. M-a I 173).</w:t>
      </w:r>
    </w:p>
    <w:p w14:paraId="56BE8893" w14:textId="706B6600" w:rsidR="00B60AB7" w:rsidRDefault="00B60AB7" w:rsidP="00B60AB7">
      <w:r>
        <w:t xml:space="preserve">120. </w:t>
      </w:r>
      <w:r>
        <w:tab/>
        <w:t>Y cuando se di</w:t>
      </w:r>
      <w:r w:rsidR="00EC02CC">
        <w:t>ga</w:t>
      </w:r>
      <w:r>
        <w:t xml:space="preserve"> en el caso </w:t>
      </w:r>
      <w:r w:rsidR="00730846">
        <w:t xml:space="preserve">de </w:t>
      </w:r>
      <w:r w:rsidR="008F5F7C">
        <w:t>la evocación</w:t>
      </w:r>
      <w:r>
        <w:t xml:space="preserve"> de </w:t>
      </w:r>
      <w:r w:rsidR="008F5F7C">
        <w:t xml:space="preserve">las </w:t>
      </w:r>
      <w:r>
        <w:t xml:space="preserve">deidades </w:t>
      </w:r>
      <w:r w:rsidRPr="00057552">
        <w:rPr>
          <w:i/>
          <w:iCs/>
        </w:rPr>
        <w:t>inspiradas por deidades</w:t>
      </w:r>
      <w:r>
        <w:t>, debe</w:t>
      </w:r>
      <w:r w:rsidR="00EC02CC">
        <w:t>rá</w:t>
      </w:r>
      <w:r>
        <w:t xml:space="preserve"> entenderse </w:t>
      </w:r>
      <w:r w:rsidR="008F5F7C">
        <w:t>que esto se dice</w:t>
      </w:r>
      <w:r>
        <w:t xml:space="preserve"> </w:t>
      </w:r>
      <w:r w:rsidR="008F5F7C">
        <w:t xml:space="preserve">respecto a </w:t>
      </w:r>
      <w:r>
        <w:t>la con</w:t>
      </w:r>
      <w:r w:rsidR="008F5F7C">
        <w:t>s</w:t>
      </w:r>
      <w:r>
        <w:t xml:space="preserve">ciencia que se da en la etapa </w:t>
      </w:r>
      <w:r w:rsidR="008F5F7C">
        <w:t xml:space="preserve">previa </w:t>
      </w:r>
      <w:r>
        <w:t xml:space="preserve">inspirada por </w:t>
      </w:r>
      <w:r w:rsidR="008F5F7C">
        <w:t xml:space="preserve">las </w:t>
      </w:r>
      <w:r>
        <w:t xml:space="preserve">deidades o de la </w:t>
      </w:r>
      <w:r w:rsidR="00305E12">
        <w:t>consciencia</w:t>
      </w:r>
      <w:r>
        <w:t xml:space="preserve"> que se da en la etapa </w:t>
      </w:r>
      <w:r w:rsidR="008F7DAA">
        <w:t>previa</w:t>
      </w:r>
      <w:r>
        <w:t xml:space="preserve"> inspirada por las cualidades especiales que son similares a las de las deidades y son productoras de estado</w:t>
      </w:r>
      <w:r w:rsidR="00EC02CC">
        <w:t>s</w:t>
      </w:r>
      <w:r>
        <w:t xml:space="preserve"> </w:t>
      </w:r>
      <w:r w:rsidR="00EC02CC">
        <w:t xml:space="preserve">como las </w:t>
      </w:r>
      <w:r>
        <w:t xml:space="preserve">de </w:t>
      </w:r>
      <w:r w:rsidR="008F7DAA">
        <w:t xml:space="preserve">tales </w:t>
      </w:r>
      <w:r>
        <w:t>deidades (cf. §117).</w:t>
      </w:r>
    </w:p>
    <w:p w14:paraId="31954ACD" w14:textId="50E5CE74" w:rsidR="00B60AB7" w:rsidRDefault="00B60AB7" w:rsidP="00B60AB7">
      <w:r>
        <w:t xml:space="preserve">121. </w:t>
      </w:r>
      <w:r>
        <w:tab/>
        <w:t>Est</w:t>
      </w:r>
      <w:r w:rsidR="001C1F9B">
        <w:t>a</w:t>
      </w:r>
      <w:r>
        <w:t xml:space="preserve">s seis </w:t>
      </w:r>
      <w:r w:rsidR="001C1F9B">
        <w:t>evocaciones</w:t>
      </w:r>
      <w:r>
        <w:t xml:space="preserve"> sólo </w:t>
      </w:r>
      <w:r w:rsidR="00DB4F6F">
        <w:t>tendrán</w:t>
      </w:r>
      <w:r>
        <w:t xml:space="preserve"> éxito en </w:t>
      </w:r>
      <w:r w:rsidR="00DB4F6F">
        <w:t xml:space="preserve">los </w:t>
      </w:r>
      <w:r>
        <w:t>nobles</w:t>
      </w:r>
      <w:r w:rsidR="00DB4F6F">
        <w:t xml:space="preserve"> discípulos</w:t>
      </w:r>
      <w:r>
        <w:t xml:space="preserve">. Porque las cualidades especiales del Iluminado, la Ley y la Comunidad, </w:t>
      </w:r>
      <w:r w:rsidR="00165D4F">
        <w:t xml:space="preserve">serán </w:t>
      </w:r>
      <w:r w:rsidR="001C1F9B">
        <w:t xml:space="preserve">sólo </w:t>
      </w:r>
      <w:r>
        <w:t>evidentes para ellos; y posee</w:t>
      </w:r>
      <w:r w:rsidR="00165D4F">
        <w:t>rá</w:t>
      </w:r>
      <w:r>
        <w:t>n la</w:t>
      </w:r>
      <w:r w:rsidRPr="008C0E19">
        <w:t xml:space="preserve"> </w:t>
      </w:r>
    </w:p>
    <w:p w14:paraId="4B07EE8A" w14:textId="77777777" w:rsidR="00B60AB7" w:rsidRDefault="00B60AB7">
      <w:pPr>
        <w:tabs>
          <w:tab w:val="clear" w:pos="425"/>
        </w:tabs>
        <w:spacing w:after="160"/>
      </w:pPr>
      <w:r>
        <w:br w:type="page"/>
      </w:r>
    </w:p>
    <w:p w14:paraId="690B9D3D" w14:textId="77777777" w:rsidR="006A5008" w:rsidRDefault="006A5008" w:rsidP="00B60AB7"/>
    <w:p w14:paraId="65CBBC80" w14:textId="5FA25A79" w:rsidR="006A5008" w:rsidRDefault="006A5008" w:rsidP="006A5008">
      <w:r>
        <w:t>la virtud con las cualidades especiales de la integridad, etc., la generosidad que est</w:t>
      </w:r>
      <w:r w:rsidR="00165D4F">
        <w:t>ar</w:t>
      </w:r>
      <w:r>
        <w:t xml:space="preserve">á libre de </w:t>
      </w:r>
      <w:r w:rsidR="006716B1">
        <w:t>impurezas</w:t>
      </w:r>
      <w:r>
        <w:t xml:space="preserve"> </w:t>
      </w:r>
      <w:r w:rsidR="00766526">
        <w:t xml:space="preserve">como </w:t>
      </w:r>
      <w:r>
        <w:t xml:space="preserve">la avaricia y cualidades especiales </w:t>
      </w:r>
      <w:r w:rsidR="00766526">
        <w:t xml:space="preserve">como </w:t>
      </w:r>
      <w:r>
        <w:t>la fe, etc., similares a las de las deidades.</w:t>
      </w:r>
    </w:p>
    <w:p w14:paraId="540B759B" w14:textId="6E47877B" w:rsidR="006A5008" w:rsidRDefault="006A5008" w:rsidP="006A5008">
      <w:r>
        <w:t xml:space="preserve">122. </w:t>
      </w:r>
      <w:r>
        <w:tab/>
        <w:t xml:space="preserve">Y en el </w:t>
      </w:r>
      <w:proofErr w:type="spellStart"/>
      <w:r w:rsidRPr="00057552">
        <w:rPr>
          <w:i/>
          <w:iCs/>
        </w:rPr>
        <w:t>Mahā</w:t>
      </w:r>
      <w:r w:rsidR="00057BF4" w:rsidRPr="00057BF4">
        <w:rPr>
          <w:i/>
          <w:iCs/>
        </w:rPr>
        <w:t>nāma</w:t>
      </w:r>
      <w:proofErr w:type="spellEnd"/>
      <w:r w:rsidRPr="00057552">
        <w:rPr>
          <w:i/>
          <w:iCs/>
        </w:rPr>
        <w:t xml:space="preserve"> Sutta</w:t>
      </w:r>
      <w:r>
        <w:t xml:space="preserve"> (A III 285 f.) el </w:t>
      </w:r>
      <w:r w:rsidR="00766526" w:rsidRPr="00766526">
        <w:rPr>
          <w:i/>
          <w:iCs/>
        </w:rPr>
        <w:t>Bhagavā</w:t>
      </w:r>
      <w:r>
        <w:t xml:space="preserve"> explica </w:t>
      </w:r>
      <w:r w:rsidR="00EC02CC">
        <w:t xml:space="preserve">estas evocaciones </w:t>
      </w:r>
      <w:r>
        <w:t xml:space="preserve">en detalle para mostrarle al </w:t>
      </w:r>
      <w:r w:rsidR="00AE12CC">
        <w:t>consumador</w:t>
      </w:r>
      <w:r>
        <w:t xml:space="preserve"> de la corriente un </w:t>
      </w:r>
      <w:r w:rsidR="00AE12CC">
        <w:t>estado</w:t>
      </w:r>
      <w:r>
        <w:t xml:space="preserve"> en </w:t>
      </w:r>
      <w:r w:rsidR="00AE12CC">
        <w:t>e</w:t>
      </w:r>
      <w:r>
        <w:t xml:space="preserve">l que </w:t>
      </w:r>
      <w:r w:rsidR="00AE12CC">
        <w:t xml:space="preserve">pueda </w:t>
      </w:r>
      <w:r>
        <w:t>confiar cuando l</w:t>
      </w:r>
      <w:r w:rsidR="00EC02CC">
        <w:t>as</w:t>
      </w:r>
      <w:r>
        <w:t xml:space="preserve"> </w:t>
      </w:r>
      <w:r w:rsidR="00AE12CC">
        <w:t>invoque</w:t>
      </w:r>
      <w:r>
        <w:t>.</w:t>
      </w:r>
    </w:p>
    <w:p w14:paraId="56ABA5DB" w14:textId="1C021514" w:rsidR="006A5008" w:rsidRDefault="006A5008" w:rsidP="006A5008">
      <w:r>
        <w:t xml:space="preserve">123. </w:t>
      </w:r>
      <w:r>
        <w:tab/>
        <w:t xml:space="preserve">También en el </w:t>
      </w:r>
      <w:proofErr w:type="spellStart"/>
      <w:r w:rsidRPr="00057552">
        <w:rPr>
          <w:i/>
          <w:iCs/>
        </w:rPr>
        <w:t>Gedha</w:t>
      </w:r>
      <w:proofErr w:type="spellEnd"/>
      <w:r w:rsidRPr="00057552">
        <w:rPr>
          <w:i/>
          <w:iCs/>
        </w:rPr>
        <w:t xml:space="preserve"> Sutta</w:t>
      </w:r>
      <w:r>
        <w:t xml:space="preserve"> se </w:t>
      </w:r>
      <w:r w:rsidR="00EC02CC">
        <w:t xml:space="preserve">las </w:t>
      </w:r>
      <w:r>
        <w:t>expone para que un noble discípulo purifique su con</w:t>
      </w:r>
      <w:r w:rsidR="00AE12CC">
        <w:t>s</w:t>
      </w:r>
      <w:r>
        <w:t xml:space="preserve">ciencia por medio de </w:t>
      </w:r>
      <w:r w:rsidR="00EC02CC">
        <w:t>est</w:t>
      </w:r>
      <w:r w:rsidR="00AE12CC">
        <w:t>a</w:t>
      </w:r>
      <w:r>
        <w:t xml:space="preserve">s </w:t>
      </w:r>
      <w:r w:rsidR="00AE12CC">
        <w:t>evocaciones</w:t>
      </w:r>
      <w:r>
        <w:t xml:space="preserve"> y así obtenga una mayor purificación en el sentido último, </w:t>
      </w:r>
      <w:r w:rsidR="00EC02CC">
        <w:t xml:space="preserve">mediante </w:t>
      </w:r>
      <w:r w:rsidR="0034664B">
        <w:t>lo siguiente</w:t>
      </w:r>
      <w:r>
        <w:t xml:space="preserve">: “Aquí, </w:t>
      </w:r>
      <w:proofErr w:type="spellStart"/>
      <w:r w:rsidR="00057BF4" w:rsidRPr="00057BF4">
        <w:rPr>
          <w:i/>
          <w:iCs/>
        </w:rPr>
        <w:t>bhikkhu</w:t>
      </w:r>
      <w:r w:rsidRPr="00057552">
        <w:rPr>
          <w:i/>
          <w:iCs/>
        </w:rPr>
        <w:t>s</w:t>
      </w:r>
      <w:proofErr w:type="spellEnd"/>
      <w:r>
        <w:t xml:space="preserve">, un noble discípulo </w:t>
      </w:r>
      <w:r w:rsidR="0034664B">
        <w:t xml:space="preserve">evoca </w:t>
      </w:r>
      <w:r>
        <w:t xml:space="preserve">al Perfecto </w:t>
      </w:r>
      <w:r w:rsidR="0034664B">
        <w:t xml:space="preserve">de </w:t>
      </w:r>
      <w:r>
        <w:t>est</w:t>
      </w:r>
      <w:r w:rsidR="0034664B">
        <w:t>a</w:t>
      </w:r>
      <w:r>
        <w:t xml:space="preserve"> manera: Ese </w:t>
      </w:r>
      <w:r w:rsidR="0034664B">
        <w:rPr>
          <w:i/>
          <w:iCs/>
        </w:rPr>
        <w:t>Bhagavā</w:t>
      </w:r>
      <w:r w:rsidR="0034664B">
        <w:t xml:space="preserve"> </w:t>
      </w:r>
      <w:r>
        <w:t>es tal que es</w:t>
      </w:r>
      <w:r w:rsidR="00C713E6">
        <w:t>tá</w:t>
      </w:r>
      <w:r>
        <w:t xml:space="preserve"> consumado… </w:t>
      </w:r>
      <w:r w:rsidR="00C713E6">
        <w:t>Entonces s</w:t>
      </w:r>
      <w:r>
        <w:t xml:space="preserve">u mente </w:t>
      </w:r>
      <w:r w:rsidR="00C713E6">
        <w:t>poseerá</w:t>
      </w:r>
      <w:r>
        <w:t xml:space="preserve"> rectitud en </w:t>
      </w:r>
      <w:r w:rsidR="00C713E6">
        <w:t xml:space="preserve">tal </w:t>
      </w:r>
      <w:r>
        <w:t>ocasión. Ha</w:t>
      </w:r>
      <w:r w:rsidR="00C713E6">
        <w:t>brá</w:t>
      </w:r>
      <w:r>
        <w:t xml:space="preserve"> renunciado, [227] se ha</w:t>
      </w:r>
      <w:r w:rsidR="00C713E6">
        <w:t>brá</w:t>
      </w:r>
      <w:r>
        <w:t xml:space="preserve"> liberado, ha</w:t>
      </w:r>
      <w:r w:rsidR="000058C9">
        <w:t>brá</w:t>
      </w:r>
      <w:r>
        <w:t xml:space="preserve"> </w:t>
      </w:r>
      <w:r w:rsidR="000058C9">
        <w:t xml:space="preserve">escapado </w:t>
      </w:r>
      <w:r>
        <w:t xml:space="preserve">de la codicia. Codicia, </w:t>
      </w:r>
      <w:proofErr w:type="spellStart"/>
      <w:r w:rsidR="00057BF4" w:rsidRPr="00057BF4">
        <w:rPr>
          <w:i/>
          <w:iCs/>
        </w:rPr>
        <w:t>bhikkhu</w:t>
      </w:r>
      <w:r w:rsidRPr="00057552">
        <w:rPr>
          <w:i/>
          <w:iCs/>
        </w:rPr>
        <w:t>s</w:t>
      </w:r>
      <w:proofErr w:type="spellEnd"/>
      <w:r>
        <w:t>, es un término para las cinco cuerdas de</w:t>
      </w:r>
      <w:r w:rsidR="000058C9">
        <w:t xml:space="preserve"> </w:t>
      </w:r>
      <w:r>
        <w:t>l</w:t>
      </w:r>
      <w:r w:rsidR="000058C9">
        <w:t>os</w:t>
      </w:r>
      <w:r>
        <w:t xml:space="preserve"> </w:t>
      </w:r>
      <w:r w:rsidR="007831DD">
        <w:t>deseos sensoriales</w:t>
      </w:r>
      <w:r>
        <w:t>. Algunos seres obten</w:t>
      </w:r>
      <w:r w:rsidR="00EC02CC">
        <w:t>drá</w:t>
      </w:r>
      <w:r>
        <w:t>n aquí la pureza haciendo de est</w:t>
      </w:r>
      <w:r w:rsidR="000058C9">
        <w:t>a</w:t>
      </w:r>
      <w:r>
        <w:t xml:space="preserve"> </w:t>
      </w:r>
      <w:r w:rsidR="000058C9">
        <w:t>evocación</w:t>
      </w:r>
      <w:r>
        <w:t xml:space="preserve"> su </w:t>
      </w:r>
      <w:r w:rsidR="000058C9">
        <w:t>soporte</w:t>
      </w:r>
      <w:r>
        <w:t>” (A III 312).</w:t>
      </w:r>
    </w:p>
    <w:p w14:paraId="1206A7A4" w14:textId="13BBC7E7" w:rsidR="006A5008" w:rsidRDefault="006A5008" w:rsidP="006A5008">
      <w:r>
        <w:t xml:space="preserve">124. </w:t>
      </w:r>
      <w:r>
        <w:tab/>
        <w:t xml:space="preserve">Y en el </w:t>
      </w:r>
      <w:proofErr w:type="spellStart"/>
      <w:r w:rsidRPr="00057552">
        <w:rPr>
          <w:i/>
          <w:iCs/>
        </w:rPr>
        <w:t>Sambādhokāsa</w:t>
      </w:r>
      <w:proofErr w:type="spellEnd"/>
      <w:r w:rsidRPr="00057552">
        <w:rPr>
          <w:i/>
          <w:iCs/>
        </w:rPr>
        <w:t xml:space="preserve"> Sutta</w:t>
      </w:r>
      <w:r>
        <w:t xml:space="preserve"> enseñado por el </w:t>
      </w:r>
      <w:r w:rsidR="00057552">
        <w:t xml:space="preserve">Venerable </w:t>
      </w:r>
      <w:r>
        <w:t>Mahā-</w:t>
      </w:r>
      <w:proofErr w:type="spellStart"/>
      <w:r>
        <w:t>Kaccāna</w:t>
      </w:r>
      <w:proofErr w:type="spellEnd"/>
      <w:r>
        <w:t xml:space="preserve"> </w:t>
      </w:r>
      <w:r w:rsidR="00AD3FFD">
        <w:t xml:space="preserve">las cualidades </w:t>
      </w:r>
      <w:r>
        <w:t xml:space="preserve">se exponen como la </w:t>
      </w:r>
      <w:r w:rsidR="00A44400">
        <w:t>consumación</w:t>
      </w:r>
      <w:r>
        <w:t xml:space="preserve"> de la apertura total a través de la susceptibilidad de la purificación que existe en el sentido último solo en un discípulo noble</w:t>
      </w:r>
      <w:r w:rsidR="00EC02CC">
        <w:t>,</w:t>
      </w:r>
      <w:r>
        <w:t xml:space="preserve"> así: “Es maravilloso, amigos, es maravilloso cómo el </w:t>
      </w:r>
      <w:r w:rsidR="00AD3FFD">
        <w:rPr>
          <w:i/>
          <w:iCs/>
        </w:rPr>
        <w:t>Bhagavā</w:t>
      </w:r>
      <w:r w:rsidR="00AD3FFD">
        <w:t xml:space="preserve"> </w:t>
      </w:r>
      <w:r>
        <w:t xml:space="preserve">que conoce y ve, </w:t>
      </w:r>
      <w:r w:rsidR="00AD3FFD">
        <w:t>consumado</w:t>
      </w:r>
      <w:r>
        <w:t xml:space="preserve"> y completamente iluminado, ha descubierto la </w:t>
      </w:r>
      <w:r w:rsidR="00AD3FFD">
        <w:t>consumación</w:t>
      </w:r>
      <w:r>
        <w:t xml:space="preserve"> de lo abierto </w:t>
      </w:r>
      <w:r w:rsidR="00C32F5A">
        <w:t>para</w:t>
      </w:r>
      <w:r>
        <w:t xml:space="preserve"> la multitud [</w:t>
      </w:r>
      <w:r w:rsidR="00C32F5A">
        <w:t>la gente laica</w:t>
      </w:r>
      <w:r>
        <w:t xml:space="preserve">] </w:t>
      </w:r>
      <w:r w:rsidR="00C32F5A">
        <w:t>en virtud de la</w:t>
      </w:r>
      <w:r>
        <w:t xml:space="preserve"> purificación de los seres, [para la superación de</w:t>
      </w:r>
      <w:r w:rsidR="002E44E5">
        <w:t xml:space="preserve"> </w:t>
      </w:r>
      <w:r>
        <w:t>l</w:t>
      </w:r>
      <w:r w:rsidR="002E44E5">
        <w:t>a</w:t>
      </w:r>
      <w:r>
        <w:t xml:space="preserve"> </w:t>
      </w:r>
      <w:r w:rsidR="00EC02CC">
        <w:t>aflicción</w:t>
      </w:r>
      <w:r w:rsidR="002E44E5" w:rsidRPr="002E44E5">
        <w:t xml:space="preserve"> </w:t>
      </w:r>
      <w:r>
        <w:t xml:space="preserve">y el lamento, para terminar con el dolor y la </w:t>
      </w:r>
      <w:r w:rsidR="00EC02CC">
        <w:t>desesperación</w:t>
      </w:r>
      <w:r>
        <w:t xml:space="preserve">, para alcanzar el verdadero </w:t>
      </w:r>
      <w:r w:rsidR="002E44E5">
        <w:t>sendero</w:t>
      </w:r>
      <w:r>
        <w:t xml:space="preserve">], para la </w:t>
      </w:r>
      <w:r w:rsidR="002E44E5">
        <w:t>consumación</w:t>
      </w:r>
      <w:r>
        <w:t xml:space="preserve"> de</w:t>
      </w:r>
      <w:r w:rsidR="002E44E5">
        <w:t>l</w:t>
      </w:r>
      <w:r>
        <w:t xml:space="preserve"> </w:t>
      </w:r>
      <w:r w:rsidRPr="00057552">
        <w:rPr>
          <w:i/>
          <w:iCs/>
        </w:rPr>
        <w:t>Nibbāna</w:t>
      </w:r>
      <w:r>
        <w:t xml:space="preserve">, es decir, las seis </w:t>
      </w:r>
      <w:r w:rsidR="002E44E5">
        <w:t>estados de las evocaciones</w:t>
      </w:r>
      <w:r>
        <w:t>. ¿</w:t>
      </w:r>
      <w:r w:rsidR="002E44E5">
        <w:t>Cuáles</w:t>
      </w:r>
      <w:r>
        <w:t xml:space="preserve"> seis? Aquí, amigos, un noble discípulo </w:t>
      </w:r>
      <w:r w:rsidR="002E44E5">
        <w:t xml:space="preserve">evoca </w:t>
      </w:r>
      <w:r>
        <w:t>al Perfecto… Algunos seres son susceptibles de purificación de esta manera” (A III 314-15).</w:t>
      </w:r>
    </w:p>
    <w:p w14:paraId="2459F354" w14:textId="25F0B7BF" w:rsidR="006A5008" w:rsidRDefault="006A5008" w:rsidP="006A5008">
      <w:r>
        <w:t xml:space="preserve">125. </w:t>
      </w:r>
      <w:r>
        <w:tab/>
        <w:t xml:space="preserve">También en el </w:t>
      </w:r>
      <w:proofErr w:type="spellStart"/>
      <w:r w:rsidR="00057BF4" w:rsidRPr="00057BF4">
        <w:rPr>
          <w:i/>
          <w:iCs/>
        </w:rPr>
        <w:t>Uposatha</w:t>
      </w:r>
      <w:proofErr w:type="spellEnd"/>
      <w:r w:rsidRPr="00057552">
        <w:rPr>
          <w:i/>
          <w:iCs/>
        </w:rPr>
        <w:t xml:space="preserve"> Sutta</w:t>
      </w:r>
      <w:r>
        <w:t xml:space="preserve"> para mostrar la grandeza del fruto del </w:t>
      </w:r>
      <w:proofErr w:type="spellStart"/>
      <w:r w:rsidR="00057BF4" w:rsidRPr="00057BF4">
        <w:rPr>
          <w:i/>
          <w:iCs/>
        </w:rPr>
        <w:t>Uposatha</w:t>
      </w:r>
      <w:proofErr w:type="spellEnd"/>
      <w:r>
        <w:t xml:space="preserve">, como </w:t>
      </w:r>
      <w:r w:rsidR="002E44E5">
        <w:t>objeto</w:t>
      </w:r>
      <w:r>
        <w:t xml:space="preserve"> de meditación para purificar la mente de un discípulo noble que está observando el </w:t>
      </w:r>
      <w:proofErr w:type="spellStart"/>
      <w:r w:rsidR="00057BF4" w:rsidRPr="00057BF4">
        <w:rPr>
          <w:i/>
          <w:iCs/>
        </w:rPr>
        <w:t>Uposatha</w:t>
      </w:r>
      <w:proofErr w:type="spellEnd"/>
      <w:r w:rsidR="002E44E5" w:rsidRPr="002E44E5">
        <w:t xml:space="preserve"> </w:t>
      </w:r>
      <w:r w:rsidR="002E44E5">
        <w:t>se expone</w:t>
      </w:r>
      <w:r>
        <w:t xml:space="preserve">: “¿Y cuál es el </w:t>
      </w:r>
      <w:proofErr w:type="spellStart"/>
      <w:r w:rsidR="00057BF4" w:rsidRPr="00057BF4">
        <w:rPr>
          <w:i/>
          <w:iCs/>
        </w:rPr>
        <w:t>Uposatha</w:t>
      </w:r>
      <w:proofErr w:type="spellEnd"/>
      <w:r>
        <w:t xml:space="preserve"> de los Nobles, </w:t>
      </w:r>
      <w:proofErr w:type="spellStart"/>
      <w:r>
        <w:t>Visakha</w:t>
      </w:r>
      <w:proofErr w:type="spellEnd"/>
      <w:r>
        <w:t xml:space="preserve">? Es la </w:t>
      </w:r>
      <w:r w:rsidR="002E44E5">
        <w:t>purificación</w:t>
      </w:r>
      <w:r>
        <w:t xml:space="preserve"> gradual de la mente aún mancillada </w:t>
      </w:r>
      <w:r w:rsidR="002E44E5">
        <w:t xml:space="preserve">de </w:t>
      </w:r>
      <w:r>
        <w:t xml:space="preserve">imperfecciones. ¿Y </w:t>
      </w:r>
      <w:r w:rsidR="002E44E5">
        <w:t xml:space="preserve">cuál </w:t>
      </w:r>
      <w:r>
        <w:t xml:space="preserve">es la limpieza gradual de la mente aún mancillada </w:t>
      </w:r>
      <w:r w:rsidR="002E44E5">
        <w:t xml:space="preserve">de </w:t>
      </w:r>
      <w:r>
        <w:t xml:space="preserve">imperfecciones? Aquí, Visākhā, un noble discípulo </w:t>
      </w:r>
      <w:r w:rsidR="002E44E5">
        <w:t xml:space="preserve">evoca </w:t>
      </w:r>
      <w:r>
        <w:t>al Perfecto…” (A I 206–11).</w:t>
      </w:r>
    </w:p>
    <w:p w14:paraId="29D8B290" w14:textId="43F53681" w:rsidR="006A5008" w:rsidRDefault="006A5008" w:rsidP="006A5008">
      <w:r>
        <w:t xml:space="preserve">126. </w:t>
      </w:r>
      <w:r>
        <w:tab/>
        <w:t xml:space="preserve">Y en el Libro de los Once, cuando un noble discípulo pregunta: </w:t>
      </w:r>
      <w:r w:rsidR="00555406">
        <w:t>“</w:t>
      </w:r>
      <w:r>
        <w:t xml:space="preserve">Venerable </w:t>
      </w:r>
      <w:r w:rsidR="00555406">
        <w:t>Señor</w:t>
      </w:r>
      <w:r>
        <w:t xml:space="preserve">, ¿en qué forma debemos </w:t>
      </w:r>
      <w:r w:rsidR="00555406">
        <w:t>habitar</w:t>
      </w:r>
      <w:r>
        <w:t xml:space="preserve"> los que </w:t>
      </w:r>
      <w:r w:rsidR="00555406">
        <w:t xml:space="preserve">habitamos </w:t>
      </w:r>
      <w:r>
        <w:t>en diversas formas?</w:t>
      </w:r>
      <w:r w:rsidR="00555406">
        <w:t>”</w:t>
      </w:r>
      <w:r>
        <w:t xml:space="preserve"> (A V 328), se explica </w:t>
      </w:r>
      <w:r w:rsidR="00C85672">
        <w:t xml:space="preserve">con el objeto de </w:t>
      </w:r>
      <w:r>
        <w:t xml:space="preserve">mostrarle la manera de </w:t>
      </w:r>
      <w:r w:rsidR="00555406">
        <w:t>habitar</w:t>
      </w:r>
      <w:r>
        <w:t xml:space="preserve"> </w:t>
      </w:r>
      <w:r w:rsidR="00C85672">
        <w:t>lo siguiente</w:t>
      </w:r>
      <w:r>
        <w:t>: “Quien ten</w:t>
      </w:r>
      <w:r w:rsidR="00C85672">
        <w:t>ga</w:t>
      </w:r>
      <w:r>
        <w:t xml:space="preserve"> fe </w:t>
      </w:r>
      <w:r w:rsidR="00EC02CC">
        <w:t>tendrá</w:t>
      </w:r>
      <w:r>
        <w:t xml:space="preserve"> éxito, </w:t>
      </w:r>
      <w:proofErr w:type="spellStart"/>
      <w:r w:rsidRPr="00C85672">
        <w:rPr>
          <w:iCs/>
        </w:rPr>
        <w:t>Mahā</w:t>
      </w:r>
      <w:r w:rsidR="00057BF4" w:rsidRPr="00C85672">
        <w:rPr>
          <w:iCs/>
        </w:rPr>
        <w:t>nāma</w:t>
      </w:r>
      <w:proofErr w:type="spellEnd"/>
      <w:r>
        <w:t xml:space="preserve">, no quien no </w:t>
      </w:r>
      <w:r w:rsidR="00866F2F">
        <w:t>lo tenga</w:t>
      </w:r>
      <w:r>
        <w:t xml:space="preserve">. Aquel que </w:t>
      </w:r>
      <w:r w:rsidR="00866F2F">
        <w:t xml:space="preserve">sea </w:t>
      </w:r>
      <w:r>
        <w:t>enérgico… Aquel cuya atención plena est</w:t>
      </w:r>
      <w:r w:rsidR="00866F2F">
        <w:t>é</w:t>
      </w:r>
      <w:r>
        <w:t xml:space="preserve"> establecida… Aquel que est</w:t>
      </w:r>
      <w:r w:rsidR="00866F2F">
        <w:t>é</w:t>
      </w:r>
      <w:r>
        <w:t xml:space="preserve"> concentrado… Aquel que </w:t>
      </w:r>
      <w:r w:rsidR="00866F2F">
        <w:t xml:space="preserve">posea </w:t>
      </w:r>
      <w:r>
        <w:t>entendimiento ten</w:t>
      </w:r>
      <w:r w:rsidR="00866F2F">
        <w:t>drá</w:t>
      </w:r>
      <w:r>
        <w:t xml:space="preserve"> éxito, </w:t>
      </w:r>
      <w:proofErr w:type="spellStart"/>
      <w:r w:rsidRPr="00866F2F">
        <w:rPr>
          <w:iCs/>
        </w:rPr>
        <w:t>Mahā</w:t>
      </w:r>
      <w:r w:rsidR="00057BF4" w:rsidRPr="00866F2F">
        <w:rPr>
          <w:iCs/>
        </w:rPr>
        <w:t>nāma</w:t>
      </w:r>
      <w:proofErr w:type="spellEnd"/>
      <w:r>
        <w:t xml:space="preserve">, no aquel que no </w:t>
      </w:r>
      <w:r w:rsidR="00866F2F">
        <w:t xml:space="preserve">tenga </w:t>
      </w:r>
      <w:r>
        <w:t>entendimiento. Habiéndo</w:t>
      </w:r>
      <w:r w:rsidR="00EC02CC">
        <w:t>s</w:t>
      </w:r>
      <w:r>
        <w:t xml:space="preserve">e establecido en estas cinco cosas, </w:t>
      </w:r>
      <w:proofErr w:type="spellStart"/>
      <w:r w:rsidRPr="00866F2F">
        <w:rPr>
          <w:iCs/>
        </w:rPr>
        <w:t>Mahā</w:t>
      </w:r>
      <w:r w:rsidR="00057BF4" w:rsidRPr="00866F2F">
        <w:rPr>
          <w:iCs/>
        </w:rPr>
        <w:t>nāma</w:t>
      </w:r>
      <w:proofErr w:type="spellEnd"/>
      <w:r>
        <w:t xml:space="preserve">, debe desarrollar </w:t>
      </w:r>
      <w:r w:rsidR="00866F2F">
        <w:t xml:space="preserve">estas </w:t>
      </w:r>
      <w:r>
        <w:t xml:space="preserve">seis cosas. Aquí, </w:t>
      </w:r>
      <w:proofErr w:type="spellStart"/>
      <w:r w:rsidRPr="00866F2F">
        <w:rPr>
          <w:iCs/>
        </w:rPr>
        <w:t>Mahā</w:t>
      </w:r>
      <w:r w:rsidR="00057BF4" w:rsidRPr="00866F2F">
        <w:rPr>
          <w:iCs/>
        </w:rPr>
        <w:t>nāma</w:t>
      </w:r>
      <w:proofErr w:type="spellEnd"/>
      <w:r>
        <w:t xml:space="preserve">, debe </w:t>
      </w:r>
      <w:r w:rsidR="00866F2F">
        <w:t xml:space="preserve">evocar </w:t>
      </w:r>
      <w:r>
        <w:t xml:space="preserve">al Perfecto: Ese </w:t>
      </w:r>
      <w:r w:rsidR="00866F2F">
        <w:rPr>
          <w:i/>
          <w:iCs/>
        </w:rPr>
        <w:t>Bhagavā</w:t>
      </w:r>
      <w:r w:rsidR="00866F2F">
        <w:t xml:space="preserve"> </w:t>
      </w:r>
      <w:r>
        <w:t xml:space="preserve">es tal </w:t>
      </w:r>
      <w:r w:rsidR="00866F2F">
        <w:t>que está consumado</w:t>
      </w:r>
      <w:r>
        <w:t>...” (A V 329–32).</w:t>
      </w:r>
    </w:p>
    <w:p w14:paraId="7F21B618" w14:textId="600B6349" w:rsidR="006A5008" w:rsidRDefault="006A5008" w:rsidP="006A5008">
      <w:r>
        <w:t xml:space="preserve">127. </w:t>
      </w:r>
      <w:r>
        <w:tab/>
        <w:t xml:space="preserve">Sin embargo, aunque esto </w:t>
      </w:r>
      <w:r w:rsidR="00866F2F">
        <w:t>sea</w:t>
      </w:r>
      <w:r>
        <w:t xml:space="preserve"> así, también </w:t>
      </w:r>
      <w:r w:rsidR="00485A98">
        <w:t xml:space="preserve">podría </w:t>
      </w:r>
      <w:r w:rsidR="009C44E1">
        <w:t>evocarlo en su</w:t>
      </w:r>
      <w:r>
        <w:t xml:space="preserve"> mente un hombre ordinario, si posee las cualidades especiales de </w:t>
      </w:r>
      <w:r w:rsidR="009C44E1">
        <w:t>un</w:t>
      </w:r>
      <w:r>
        <w:t>a virtud purificada y todo lo demás. [228] Porque cuando est</w:t>
      </w:r>
      <w:r w:rsidR="009C44E1">
        <w:t>é</w:t>
      </w:r>
      <w:r>
        <w:t xml:space="preserve"> </w:t>
      </w:r>
      <w:r w:rsidR="009C44E1">
        <w:t xml:space="preserve">evocando </w:t>
      </w:r>
      <w:r>
        <w:t xml:space="preserve">las cualidades especiales del </w:t>
      </w:r>
      <w:r w:rsidR="00057BF4" w:rsidRPr="00057BF4">
        <w:rPr>
          <w:i/>
        </w:rPr>
        <w:t>Buddha</w:t>
      </w:r>
      <w:r>
        <w:t xml:space="preserve">, etc., aunque sea </w:t>
      </w:r>
      <w:r w:rsidR="00EC02CC">
        <w:t xml:space="preserve">sólo </w:t>
      </w:r>
      <w:r>
        <w:t>de oídas, su con</w:t>
      </w:r>
      <w:r w:rsidR="009C44E1">
        <w:t>s</w:t>
      </w:r>
      <w:r>
        <w:t>ciencia se asenta</w:t>
      </w:r>
      <w:r w:rsidR="009C44E1">
        <w:t>rá</w:t>
      </w:r>
      <w:r>
        <w:t>, en virtud de lo cual se suprim</w:t>
      </w:r>
      <w:r w:rsidR="009C44E1">
        <w:t>irá</w:t>
      </w:r>
      <w:r>
        <w:t>n los obstáculos. En su suprema alegría, inicia</w:t>
      </w:r>
      <w:r w:rsidR="009C44E1">
        <w:t>rá</w:t>
      </w:r>
      <w:r>
        <w:t xml:space="preserve"> la </w:t>
      </w:r>
      <w:r w:rsidR="00EC02CC">
        <w:t>sabiduría</w:t>
      </w:r>
      <w:r>
        <w:t xml:space="preserve"> e incluso </w:t>
      </w:r>
      <w:r w:rsidR="009C44E1">
        <w:t xml:space="preserve">podría </w:t>
      </w:r>
      <w:r w:rsidR="00490A5F">
        <w:t>consumar</w:t>
      </w:r>
      <w:r>
        <w:t xml:space="preserve"> </w:t>
      </w:r>
      <w:r w:rsidR="00EC02CC">
        <w:t xml:space="preserve">hasta </w:t>
      </w:r>
      <w:r>
        <w:t xml:space="preserve">el estado de </w:t>
      </w:r>
      <w:r w:rsidR="00057BF4" w:rsidRPr="00057BF4">
        <w:rPr>
          <w:i/>
        </w:rPr>
        <w:t>Arahant</w:t>
      </w:r>
      <w:r>
        <w:t xml:space="preserve">, como el </w:t>
      </w:r>
      <w:r w:rsidR="00057552">
        <w:t>Venerable</w:t>
      </w:r>
      <w:r>
        <w:t xml:space="preserve"> </w:t>
      </w:r>
      <w:r w:rsidR="006869DD">
        <w:br/>
      </w:r>
      <w:proofErr w:type="spellStart"/>
      <w:r w:rsidRPr="006869DD">
        <w:rPr>
          <w:iCs/>
        </w:rPr>
        <w:t>Phussa</w:t>
      </w:r>
      <w:r w:rsidR="00057BF4" w:rsidRPr="006869DD">
        <w:rPr>
          <w:iCs/>
        </w:rPr>
        <w:t>deva</w:t>
      </w:r>
      <w:proofErr w:type="spellEnd"/>
      <w:r>
        <w:t xml:space="preserve"> que habitaba en </w:t>
      </w:r>
      <w:proofErr w:type="spellStart"/>
      <w:r>
        <w:t>Kaṭakandhakāra</w:t>
      </w:r>
      <w:proofErr w:type="spellEnd"/>
      <w:r>
        <w:t>.</w:t>
      </w:r>
    </w:p>
    <w:p w14:paraId="66218788" w14:textId="77777777" w:rsidR="006A5008" w:rsidRDefault="006A5008">
      <w:pPr>
        <w:tabs>
          <w:tab w:val="clear" w:pos="425"/>
        </w:tabs>
        <w:spacing w:after="160"/>
      </w:pPr>
      <w:r>
        <w:br w:type="page"/>
      </w:r>
    </w:p>
    <w:p w14:paraId="2E9F58DA" w14:textId="77777777" w:rsidR="008D25DC" w:rsidRDefault="008D25DC" w:rsidP="006A5008"/>
    <w:p w14:paraId="4B8F2FD6" w14:textId="0420090A" w:rsidR="008D25DC" w:rsidRDefault="008D25DC" w:rsidP="008D25DC">
      <w:r>
        <w:t xml:space="preserve">128. </w:t>
      </w:r>
      <w:r w:rsidR="00057552">
        <w:tab/>
      </w:r>
      <w:r>
        <w:t xml:space="preserve">Ese </w:t>
      </w:r>
      <w:r w:rsidR="00EC02CC">
        <w:t>Venerable</w:t>
      </w:r>
      <w:r>
        <w:t xml:space="preserve">, al parecer, vio una figura del Iluminado creada por </w:t>
      </w:r>
      <w:r w:rsidR="00057BF4" w:rsidRPr="00057BF4">
        <w:rPr>
          <w:i/>
          <w:iCs/>
        </w:rPr>
        <w:t>Māra</w:t>
      </w:r>
      <w:r>
        <w:t xml:space="preserve">. </w:t>
      </w:r>
      <w:r w:rsidR="005146F7">
        <w:t>Entonces</w:t>
      </w:r>
      <w:r w:rsidR="00490A5F">
        <w:t>,</w:t>
      </w:r>
      <w:r w:rsidR="005146F7">
        <w:t xml:space="preserve"> el </w:t>
      </w:r>
      <w:r w:rsidR="0038334F">
        <w:t>Venerable p</w:t>
      </w:r>
      <w:r>
        <w:t>ensó: “¡Qué bueno parec</w:t>
      </w:r>
      <w:r w:rsidR="0038334F">
        <w:t>iera</w:t>
      </w:r>
      <w:r>
        <w:t xml:space="preserve"> esto</w:t>
      </w:r>
      <w:r w:rsidR="0038334F">
        <w:t>,</w:t>
      </w:r>
      <w:r>
        <w:t xml:space="preserve"> a pesar de tener codicia, odio </w:t>
      </w:r>
      <w:r w:rsidR="006869DD">
        <w:t>e ilusión</w:t>
      </w:r>
      <w:r>
        <w:t xml:space="preserve">! ¿Cómo </w:t>
      </w:r>
      <w:r w:rsidR="00EC02CC">
        <w:t>debe</w:t>
      </w:r>
      <w:r>
        <w:t xml:space="preserve"> haber sido la bondad del </w:t>
      </w:r>
      <w:r w:rsidR="006869DD">
        <w:rPr>
          <w:i/>
          <w:iCs/>
        </w:rPr>
        <w:t>Bhagavā</w:t>
      </w:r>
      <w:r>
        <w:t>? ¡</w:t>
      </w:r>
      <w:r w:rsidR="0038334F">
        <w:t xml:space="preserve">Ya </w:t>
      </w:r>
      <w:r>
        <w:t xml:space="preserve">que no </w:t>
      </w:r>
      <w:r w:rsidR="00211FCC">
        <w:t xml:space="preserve">él poseía ninguna </w:t>
      </w:r>
      <w:r>
        <w:t xml:space="preserve">codicia, </w:t>
      </w:r>
      <w:r w:rsidR="00635494">
        <w:t xml:space="preserve">ni </w:t>
      </w:r>
      <w:r>
        <w:t xml:space="preserve">odio ni </w:t>
      </w:r>
      <w:r w:rsidR="006869DD">
        <w:t>ilusión</w:t>
      </w:r>
      <w:r>
        <w:t xml:space="preserve">!” </w:t>
      </w:r>
      <w:r w:rsidR="00211FCC">
        <w:t xml:space="preserve">Entonces, él desarrolló </w:t>
      </w:r>
      <w:r>
        <w:t xml:space="preserve">felicidad con el </w:t>
      </w:r>
      <w:r w:rsidR="006869DD">
        <w:rPr>
          <w:i/>
          <w:iCs/>
        </w:rPr>
        <w:t>Bhagavā</w:t>
      </w:r>
      <w:r w:rsidR="006869DD">
        <w:t xml:space="preserve"> </w:t>
      </w:r>
      <w:r>
        <w:t xml:space="preserve">como </w:t>
      </w:r>
      <w:r w:rsidR="00485A98">
        <w:t xml:space="preserve">su </w:t>
      </w:r>
      <w:r>
        <w:t xml:space="preserve">objeto y al </w:t>
      </w:r>
      <w:r w:rsidR="00485A98">
        <w:t xml:space="preserve">incrementarse </w:t>
      </w:r>
      <w:r>
        <w:t xml:space="preserve">su percepción </w:t>
      </w:r>
      <w:r w:rsidR="00485A98">
        <w:t xml:space="preserve">al respecto consumó </w:t>
      </w:r>
      <w:r>
        <w:t xml:space="preserve">el estado de </w:t>
      </w:r>
      <w:r w:rsidR="00057BF4" w:rsidRPr="00057BF4">
        <w:rPr>
          <w:i/>
          <w:iCs/>
        </w:rPr>
        <w:t>Arahant</w:t>
      </w:r>
      <w:r>
        <w:t>.</w:t>
      </w:r>
    </w:p>
    <w:p w14:paraId="364E9F80" w14:textId="16ACB1DE" w:rsidR="00893393" w:rsidRDefault="00E127D6" w:rsidP="00057552">
      <w:pPr>
        <w:ind w:left="708" w:right="1184"/>
      </w:pPr>
      <w:r>
        <w:t>Éste ha sido e</w:t>
      </w:r>
      <w:r w:rsidR="008D25DC">
        <w:t xml:space="preserve">l séptimo capítulo </w:t>
      </w:r>
      <w:r w:rsidR="00057552">
        <w:t xml:space="preserve">con el nombre de </w:t>
      </w:r>
      <w:r w:rsidR="008D25DC">
        <w:t>“La Descripción de l</w:t>
      </w:r>
      <w:r w:rsidR="00057552">
        <w:t>a</w:t>
      </w:r>
      <w:r w:rsidR="008D25DC">
        <w:t xml:space="preserve">s Seis </w:t>
      </w:r>
      <w:r w:rsidR="00057552">
        <w:t>Evocaciones</w:t>
      </w:r>
      <w:r w:rsidR="008D25DC">
        <w:t xml:space="preserve">” </w:t>
      </w:r>
      <w:r w:rsidR="00D515B5">
        <w:t>de</w:t>
      </w:r>
      <w:r w:rsidR="008D25DC">
        <w:t xml:space="preserve">l Tratado sobre el Desarrollo de la Concentración en </w:t>
      </w:r>
      <w:r w:rsidR="008D25DC" w:rsidRPr="00057552">
        <w:t>el</w:t>
      </w:r>
      <w:r w:rsidR="008D25DC" w:rsidRPr="00893393">
        <w:rPr>
          <w:i/>
          <w:iCs/>
        </w:rPr>
        <w:t xml:space="preserve"> </w:t>
      </w:r>
      <w:r w:rsidR="00893393" w:rsidRPr="00893393">
        <w:rPr>
          <w:i/>
          <w:iCs/>
        </w:rPr>
        <w:t xml:space="preserve">Sendero </w:t>
      </w:r>
      <w:r w:rsidR="008D25DC" w:rsidRPr="00893393">
        <w:rPr>
          <w:i/>
          <w:iCs/>
        </w:rPr>
        <w:t xml:space="preserve">de la </w:t>
      </w:r>
      <w:r w:rsidR="00635494">
        <w:rPr>
          <w:i/>
          <w:iCs/>
        </w:rPr>
        <w:t xml:space="preserve">Purificación </w:t>
      </w:r>
      <w:r w:rsidR="00483541">
        <w:t>compuesto para alegría de buenas personas.</w:t>
      </w:r>
    </w:p>
    <w:p w14:paraId="32EFC81E" w14:textId="33DCF0E4" w:rsidR="00893393" w:rsidRDefault="00893393">
      <w:pPr>
        <w:tabs>
          <w:tab w:val="clear" w:pos="425"/>
        </w:tabs>
        <w:spacing w:after="160"/>
      </w:pPr>
      <w:r>
        <w:br w:type="page"/>
      </w:r>
    </w:p>
    <w:p w14:paraId="3E122FAF" w14:textId="77777777" w:rsidR="00893393" w:rsidRDefault="00893393" w:rsidP="00893393"/>
    <w:p w14:paraId="5538FC02" w14:textId="77777777" w:rsidR="004E0B18" w:rsidRDefault="004E0B18" w:rsidP="00893393"/>
    <w:p w14:paraId="004CA460" w14:textId="77777777" w:rsidR="00893393" w:rsidRDefault="00893393" w:rsidP="00893393"/>
    <w:p w14:paraId="4F0C0ECE" w14:textId="4DB06BDF" w:rsidR="00A14C6D" w:rsidRDefault="00A14C6D" w:rsidP="00A14C6D">
      <w:pPr>
        <w:pStyle w:val="Ttulo2"/>
        <w:jc w:val="center"/>
      </w:pPr>
      <w:r>
        <w:t xml:space="preserve">Capítulo </w:t>
      </w:r>
      <w:r w:rsidR="00E23C1F">
        <w:t>VIII</w:t>
      </w:r>
      <w:r>
        <w:br/>
        <w:t>Otr</w:t>
      </w:r>
      <w:r w:rsidR="00E127D6">
        <w:t>a</w:t>
      </w:r>
      <w:r>
        <w:t xml:space="preserve">s </w:t>
      </w:r>
      <w:r w:rsidR="00E127D6">
        <w:t>Evocaciones</w:t>
      </w:r>
      <w:r>
        <w:t xml:space="preserve"> Como </w:t>
      </w:r>
      <w:r w:rsidR="008204A3">
        <w:t>Objetos</w:t>
      </w:r>
      <w:r>
        <w:t xml:space="preserve"> De Meditación</w:t>
      </w:r>
    </w:p>
    <w:p w14:paraId="55C39B94" w14:textId="77777777" w:rsidR="005D05AE" w:rsidRDefault="005D05AE" w:rsidP="005D05AE"/>
    <w:p w14:paraId="1CA0E408" w14:textId="4EC0CE9F" w:rsidR="00A14C6D" w:rsidRPr="00A14C6D" w:rsidRDefault="00A14C6D" w:rsidP="00A14C6D">
      <w:pPr>
        <w:jc w:val="center"/>
        <w:rPr>
          <w:sz w:val="22"/>
        </w:rPr>
      </w:pPr>
      <w:r w:rsidRPr="00A14C6D">
        <w:rPr>
          <w:sz w:val="22"/>
        </w:rPr>
        <w:t>(</w:t>
      </w:r>
      <w:proofErr w:type="spellStart"/>
      <w:r w:rsidRPr="00A14C6D">
        <w:rPr>
          <w:b/>
          <w:bCs/>
          <w:i/>
          <w:iCs/>
          <w:sz w:val="22"/>
        </w:rPr>
        <w:t>Anussati-</w:t>
      </w:r>
      <w:r w:rsidR="00057BF4" w:rsidRPr="00057BF4">
        <w:rPr>
          <w:b/>
          <w:bCs/>
          <w:i/>
          <w:iCs/>
          <w:sz w:val="22"/>
        </w:rPr>
        <w:t>kamma</w:t>
      </w:r>
      <w:r w:rsidRPr="00A14C6D">
        <w:rPr>
          <w:b/>
          <w:bCs/>
          <w:i/>
          <w:iCs/>
          <w:sz w:val="22"/>
        </w:rPr>
        <w:t>ṭṭhāna-niddesa</w:t>
      </w:r>
      <w:proofErr w:type="spellEnd"/>
      <w:r w:rsidRPr="00A14C6D">
        <w:rPr>
          <w:sz w:val="22"/>
        </w:rPr>
        <w:t>)</w:t>
      </w:r>
    </w:p>
    <w:p w14:paraId="6358CFA9" w14:textId="011964C9" w:rsidR="00A14C6D" w:rsidRDefault="00A14C6D" w:rsidP="00A14C6D">
      <w:pPr>
        <w:pStyle w:val="Ttulo3"/>
        <w:ind w:left="708"/>
      </w:pPr>
      <w:r>
        <w:t xml:space="preserve">[(7) </w:t>
      </w:r>
      <w:r w:rsidR="0036750F">
        <w:t>Consciencia de</w:t>
      </w:r>
      <w:r>
        <w:t xml:space="preserve"> La Muerte]</w:t>
      </w:r>
    </w:p>
    <w:p w14:paraId="61236E8B" w14:textId="054AE5A2" w:rsidR="00A14C6D" w:rsidRDefault="00A14C6D" w:rsidP="00A14C6D">
      <w:r>
        <w:t xml:space="preserve">1. </w:t>
      </w:r>
      <w:r>
        <w:tab/>
        <w:t xml:space="preserve">[229] Ahora </w:t>
      </w:r>
      <w:r w:rsidR="00715CF3">
        <w:t>ha llegado el momento</w:t>
      </w:r>
      <w:r>
        <w:t xml:space="preserve"> </w:t>
      </w:r>
      <w:r w:rsidR="00715CF3">
        <w:t xml:space="preserve">de </w:t>
      </w:r>
      <w:r>
        <w:t xml:space="preserve">la descripción del desarrollo de la </w:t>
      </w:r>
      <w:r w:rsidR="0036750F">
        <w:t xml:space="preserve">consciencia </w:t>
      </w:r>
      <w:r w:rsidR="0025199B">
        <w:t xml:space="preserve">sobre </w:t>
      </w:r>
      <w:r>
        <w:t>la muerte, que se enumera a continuación (III.105).</w:t>
      </w:r>
    </w:p>
    <w:p w14:paraId="2754B6C5" w14:textId="77777777" w:rsidR="00A14C6D" w:rsidRDefault="00A14C6D" w:rsidP="00057552">
      <w:pPr>
        <w:jc w:val="center"/>
      </w:pPr>
      <w:r>
        <w:t>[</w:t>
      </w:r>
      <w:r w:rsidRPr="00057552">
        <w:rPr>
          <w:i/>
          <w:iCs/>
        </w:rPr>
        <w:t>Definiciones</w:t>
      </w:r>
      <w:r>
        <w:t>]</w:t>
      </w:r>
    </w:p>
    <w:p w14:paraId="77F46919" w14:textId="46F0DFF4" w:rsidR="00A14C6D" w:rsidRDefault="00A14C6D" w:rsidP="00A14C6D">
      <w:pPr>
        <w:pStyle w:val="NormalConSangria"/>
      </w:pPr>
      <w:r>
        <w:t>Aquí, la muerte (</w:t>
      </w:r>
      <w:proofErr w:type="spellStart"/>
      <w:r w:rsidRPr="00057552">
        <w:rPr>
          <w:i/>
          <w:iCs/>
        </w:rPr>
        <w:t>maraṇa</w:t>
      </w:r>
      <w:proofErr w:type="spellEnd"/>
      <w:r>
        <w:t xml:space="preserve">) </w:t>
      </w:r>
      <w:r w:rsidR="00AF005A">
        <w:t xml:space="preserve">será </w:t>
      </w:r>
      <w:r>
        <w:t xml:space="preserve">la interrupción de la facultad vital incluida dentro de los límites de un único devenir (existencia). </w:t>
      </w:r>
      <w:r w:rsidR="0060224E">
        <w:t xml:space="preserve">No obstante, </w:t>
      </w:r>
      <w:r>
        <w:t>la muerte como terminación (</w:t>
      </w:r>
      <w:r w:rsidR="001341C3">
        <w:t>truncamiento</w:t>
      </w:r>
      <w:r>
        <w:t xml:space="preserve">), en otras palabras, </w:t>
      </w:r>
      <w:r w:rsidR="0060224E">
        <w:t xml:space="preserve">como </w:t>
      </w:r>
      <w:r>
        <w:t xml:space="preserve">la terminación del sufrimiento del </w:t>
      </w:r>
      <w:r w:rsidR="001341C3">
        <w:t>ciclo</w:t>
      </w:r>
      <w:r>
        <w:t xml:space="preserve"> </w:t>
      </w:r>
      <w:r w:rsidR="0060224E">
        <w:t xml:space="preserve">de renacimientos </w:t>
      </w:r>
      <w:r>
        <w:t>por parte de</w:t>
      </w:r>
      <w:r w:rsidR="0060224E">
        <w:t xml:space="preserve"> un</w:t>
      </w:r>
      <w:r>
        <w:t xml:space="preserve"> </w:t>
      </w:r>
      <w:r w:rsidR="00057BF4" w:rsidRPr="00057BF4">
        <w:rPr>
          <w:i/>
        </w:rPr>
        <w:t>Arahant</w:t>
      </w:r>
      <w:r>
        <w:t>, no se pretende</w:t>
      </w:r>
      <w:r w:rsidR="00AF005A">
        <w:t>rá</w:t>
      </w:r>
      <w:r>
        <w:t xml:space="preserve"> aquí, ni </w:t>
      </w:r>
      <w:r w:rsidR="0060224E">
        <w:t>tampoco</w:t>
      </w:r>
      <w:r>
        <w:t xml:space="preserve"> la muerte momentánea, en otras palabras, la disolución momentánea de las formaciones, ni </w:t>
      </w:r>
      <w:r w:rsidR="0060224E">
        <w:t xml:space="preserve">el uso de </w:t>
      </w:r>
      <w:r>
        <w:t xml:space="preserve">la “muerte” </w:t>
      </w:r>
      <w:r w:rsidR="00AF005A">
        <w:t>en</w:t>
      </w:r>
      <w:r>
        <w:t xml:space="preserve"> las formas convencionales (metafóric</w:t>
      </w:r>
      <w:r w:rsidR="00AF005A">
        <w:t>as</w:t>
      </w:r>
      <w:r>
        <w:t>)</w:t>
      </w:r>
      <w:r w:rsidR="00AF005A">
        <w:t>,</w:t>
      </w:r>
      <w:r>
        <w:t xml:space="preserve"> en expresiones como “árbol muerto”, “metal muerto”, etc.</w:t>
      </w:r>
    </w:p>
    <w:p w14:paraId="7670D37F" w14:textId="0BD09548" w:rsidR="00A14C6D" w:rsidRDefault="00A14C6D" w:rsidP="00A14C6D">
      <w:r>
        <w:t xml:space="preserve">2. </w:t>
      </w:r>
      <w:r>
        <w:tab/>
      </w:r>
      <w:r w:rsidR="00A648B8">
        <w:t xml:space="preserve">Las acepciones que </w:t>
      </w:r>
      <w:r>
        <w:t>se pretende</w:t>
      </w:r>
      <w:r w:rsidR="00EB2F72">
        <w:t>n</w:t>
      </w:r>
      <w:r>
        <w:t xml:space="preserve"> aquí, </w:t>
      </w:r>
      <w:r w:rsidR="00EB2F72">
        <w:t>son</w:t>
      </w:r>
      <w:r>
        <w:t xml:space="preserve"> de dos clases, es decir, </w:t>
      </w:r>
      <w:r w:rsidR="00AF005A">
        <w:t xml:space="preserve">la </w:t>
      </w:r>
      <w:r>
        <w:t xml:space="preserve">muerte </w:t>
      </w:r>
      <w:r w:rsidR="00231A27">
        <w:t>natural</w:t>
      </w:r>
      <w:r>
        <w:t xml:space="preserve"> y </w:t>
      </w:r>
      <w:r w:rsidR="00EB2F72">
        <w:t xml:space="preserve">la </w:t>
      </w:r>
      <w:r>
        <w:t xml:space="preserve">muerte prematura. Aquí, la </w:t>
      </w:r>
      <w:r w:rsidRPr="00057552">
        <w:rPr>
          <w:i/>
          <w:iCs/>
        </w:rPr>
        <w:t xml:space="preserve">muerte </w:t>
      </w:r>
      <w:r w:rsidR="00FE2A11">
        <w:rPr>
          <w:i/>
          <w:iCs/>
        </w:rPr>
        <w:t>natural</w:t>
      </w:r>
      <w:r>
        <w:t xml:space="preserve"> se produc</w:t>
      </w:r>
      <w:r w:rsidR="00231A27">
        <w:t>irá</w:t>
      </w:r>
      <w:r>
        <w:t xml:space="preserve"> con el agotamiento del mérito o con el agotamiento de </w:t>
      </w:r>
      <w:r w:rsidR="00FF2E98">
        <w:t xml:space="preserve">la duración de </w:t>
      </w:r>
      <w:r>
        <w:t xml:space="preserve">una vida o con ambos. La </w:t>
      </w:r>
      <w:r w:rsidRPr="0087470E">
        <w:rPr>
          <w:i/>
          <w:iCs/>
        </w:rPr>
        <w:t>muerte prematura</w:t>
      </w:r>
      <w:r>
        <w:t xml:space="preserve"> se produc</w:t>
      </w:r>
      <w:r w:rsidR="00231A27">
        <w:t>irá</w:t>
      </w:r>
      <w:r>
        <w:t xml:space="preserve"> a través de</w:t>
      </w:r>
      <w:r w:rsidR="004A5EEE">
        <w:t xml:space="preserve"> un</w:t>
      </w:r>
      <w:r>
        <w:t xml:space="preserve"> </w:t>
      </w:r>
      <w:proofErr w:type="spellStart"/>
      <w:r w:rsidR="00057BF4" w:rsidRPr="00057BF4">
        <w:rPr>
          <w:i/>
          <w:iCs/>
        </w:rPr>
        <w:t>kamma</w:t>
      </w:r>
      <w:proofErr w:type="spellEnd"/>
      <w:r>
        <w:t xml:space="preserve"> que interrump</w:t>
      </w:r>
      <w:r w:rsidR="003C04D0">
        <w:t>a</w:t>
      </w:r>
      <w:r>
        <w:t xml:space="preserve"> otro</w:t>
      </w:r>
      <w:r w:rsidR="004A5EEE">
        <w:t xml:space="preserve"> </w:t>
      </w:r>
      <w:proofErr w:type="spellStart"/>
      <w:r w:rsidR="004A5EEE" w:rsidRPr="004A5EEE">
        <w:rPr>
          <w:i/>
          <w:iCs/>
        </w:rPr>
        <w:t>kamma</w:t>
      </w:r>
      <w:proofErr w:type="spellEnd"/>
      <w:r>
        <w:t xml:space="preserve">, </w:t>
      </w:r>
      <w:r w:rsidR="00EA3122">
        <w:t xml:space="preserve">otro </w:t>
      </w:r>
      <w:r>
        <w:t>que produ</w:t>
      </w:r>
      <w:r w:rsidR="007B1BEE">
        <w:t>zca</w:t>
      </w:r>
      <w:r>
        <w:t xml:space="preserve"> </w:t>
      </w:r>
      <w:r w:rsidR="007D7506">
        <w:t xml:space="preserve">un </w:t>
      </w:r>
      <w:proofErr w:type="spellStart"/>
      <w:r w:rsidR="007B1BEE" w:rsidRPr="00057BF4">
        <w:rPr>
          <w:i/>
          <w:iCs/>
        </w:rPr>
        <w:t>kamma</w:t>
      </w:r>
      <w:proofErr w:type="spellEnd"/>
      <w:r w:rsidR="007B1BEE">
        <w:t xml:space="preserve"> </w:t>
      </w:r>
      <w:r w:rsidR="00EA3122">
        <w:t>de generación vital</w:t>
      </w:r>
      <w:r>
        <w:t>.</w:t>
      </w:r>
    </w:p>
    <w:p w14:paraId="616EB33C" w14:textId="1292CC73" w:rsidR="00A14C6D" w:rsidRDefault="00A14C6D" w:rsidP="00A14C6D">
      <w:r>
        <w:t xml:space="preserve">3. </w:t>
      </w:r>
      <w:r>
        <w:tab/>
      </w:r>
      <w:r w:rsidR="007B1BEE">
        <w:t>Aquí</w:t>
      </w:r>
      <w:r>
        <w:t xml:space="preserve">, la muerte por </w:t>
      </w:r>
      <w:r w:rsidRPr="00057552">
        <w:rPr>
          <w:i/>
          <w:iCs/>
        </w:rPr>
        <w:t>agotamiento del mérito</w:t>
      </w:r>
      <w:r>
        <w:t xml:space="preserve"> </w:t>
      </w:r>
      <w:r w:rsidR="005725A9">
        <w:t>corresponderá a</w:t>
      </w:r>
      <w:r w:rsidR="004076A0">
        <w:t xml:space="preserve"> </w:t>
      </w:r>
      <w:r>
        <w:t>un término para el tipo de muerte que se produ</w:t>
      </w:r>
      <w:r w:rsidR="004076A0">
        <w:t>zca</w:t>
      </w:r>
      <w:r>
        <w:t xml:space="preserve"> debido al resultado de que </w:t>
      </w:r>
      <w:r w:rsidR="00BA5B56">
        <w:t>un</w:t>
      </w:r>
      <w:r>
        <w:t xml:space="preserve"> antiguo </w:t>
      </w:r>
      <w:proofErr w:type="spellStart"/>
      <w:r w:rsidR="00057BF4" w:rsidRPr="00057BF4">
        <w:rPr>
          <w:i/>
          <w:iCs/>
        </w:rPr>
        <w:t>kamma</w:t>
      </w:r>
      <w:proofErr w:type="spellEnd"/>
      <w:r>
        <w:t xml:space="preserve"> productor de renacimiento</w:t>
      </w:r>
      <w:r w:rsidR="00BA5B56">
        <w:t>s</w:t>
      </w:r>
      <w:r>
        <w:t xml:space="preserve"> ha</w:t>
      </w:r>
      <w:r w:rsidR="00136844">
        <w:t>ya</w:t>
      </w:r>
      <w:r>
        <w:t xml:space="preserve"> </w:t>
      </w:r>
      <w:r w:rsidR="00BA5B56">
        <w:t>llegado a</w:t>
      </w:r>
      <w:r>
        <w:t xml:space="preserve"> madurar, aunque las condiciones favorables para prolongar </w:t>
      </w:r>
      <w:r w:rsidR="005725A9">
        <w:t>la</w:t>
      </w:r>
      <w:r>
        <w:t xml:space="preserve"> </w:t>
      </w:r>
      <w:r w:rsidRPr="00C6498C">
        <w:t>continuidad de una vida</w:t>
      </w:r>
      <w:r>
        <w:t xml:space="preserve"> pued</w:t>
      </w:r>
      <w:r w:rsidR="00BA5B56">
        <w:t>a</w:t>
      </w:r>
      <w:r>
        <w:t xml:space="preserve">n estar todavía presentes. La muerte </w:t>
      </w:r>
      <w:r w:rsidR="00EA130D">
        <w:t xml:space="preserve">debido al </w:t>
      </w:r>
      <w:r>
        <w:t xml:space="preserve">agotamiento de la </w:t>
      </w:r>
      <w:r w:rsidRPr="00C6498C">
        <w:rPr>
          <w:i/>
          <w:iCs/>
        </w:rPr>
        <w:t>duración de una vida</w:t>
      </w:r>
      <w:r>
        <w:t xml:space="preserve"> </w:t>
      </w:r>
      <w:r w:rsidR="005725A9">
        <w:t xml:space="preserve">corresponderá </w:t>
      </w:r>
      <w:r w:rsidR="00643B0B">
        <w:t>a</w:t>
      </w:r>
      <w:r w:rsidR="00EA130D">
        <w:t xml:space="preserve"> </w:t>
      </w:r>
      <w:r>
        <w:t>un término para el tipo de muerte que se produ</w:t>
      </w:r>
      <w:r w:rsidR="00EA130D">
        <w:t>zca</w:t>
      </w:r>
      <w:r>
        <w:t xml:space="preserve"> debido al agotamiento de la duración normal de</w:t>
      </w:r>
      <w:r w:rsidR="00FF2E98">
        <w:t xml:space="preserve"> la</w:t>
      </w:r>
      <w:r>
        <w:t xml:space="preserve"> vida </w:t>
      </w:r>
      <w:r w:rsidR="00EB38C5">
        <w:t xml:space="preserve">en </w:t>
      </w:r>
      <w:r>
        <w:t>hombres de</w:t>
      </w:r>
      <w:r w:rsidR="00FF5229">
        <w:t>l presente</w:t>
      </w:r>
      <w:r>
        <w:t xml:space="preserve">, </w:t>
      </w:r>
      <w:r w:rsidR="00FF2E98">
        <w:t>el cual</w:t>
      </w:r>
      <w:r>
        <w:t xml:space="preserve"> </w:t>
      </w:r>
      <w:r w:rsidR="00FF5229">
        <w:t xml:space="preserve">puede </w:t>
      </w:r>
      <w:r w:rsidR="00EB38C5">
        <w:t>dura</w:t>
      </w:r>
      <w:r w:rsidR="00FF5229">
        <w:t>r</w:t>
      </w:r>
      <w:r w:rsidR="00EB38C5">
        <w:t xml:space="preserve"> </w:t>
      </w:r>
      <w:r>
        <w:t xml:space="preserve">solo un siglo debido a la falta de excelencia en el destino [como </w:t>
      </w:r>
      <w:r w:rsidR="00161F86">
        <w:t>la tiene</w:t>
      </w:r>
      <w:r w:rsidR="00FF5229">
        <w:t>n</w:t>
      </w:r>
      <w:r w:rsidR="00EB38C5">
        <w:t xml:space="preserve"> </w:t>
      </w:r>
      <w:r>
        <w:t xml:space="preserve">las deidades] o </w:t>
      </w:r>
      <w:r w:rsidR="00FF5229">
        <w:t xml:space="preserve">a </w:t>
      </w:r>
      <w:r w:rsidR="00793EE3">
        <w:t>la falta de</w:t>
      </w:r>
      <w:r>
        <w:t xml:space="preserve"> tiempo [</w:t>
      </w:r>
      <w:r w:rsidR="00793EE3">
        <w:t xml:space="preserve">tal </w:t>
      </w:r>
      <w:r>
        <w:t xml:space="preserve">como </w:t>
      </w:r>
      <w:r w:rsidR="00900249">
        <w:t xml:space="preserve">se da </w:t>
      </w:r>
      <w:r>
        <w:t xml:space="preserve">al comienzo de un eón] o </w:t>
      </w:r>
      <w:r w:rsidR="00793EE3">
        <w:t>a la falta de</w:t>
      </w:r>
      <w:r>
        <w:t xml:space="preserve"> alimento</w:t>
      </w:r>
      <w:r w:rsidR="00FF5229">
        <w:t>s</w:t>
      </w:r>
      <w:r>
        <w:t xml:space="preserve"> [como </w:t>
      </w:r>
      <w:r w:rsidR="00CB17AD">
        <w:t xml:space="preserve">la tienen </w:t>
      </w:r>
      <w:r>
        <w:t xml:space="preserve">los </w:t>
      </w:r>
      <w:proofErr w:type="spellStart"/>
      <w:r w:rsidRPr="00057552">
        <w:rPr>
          <w:i/>
          <w:iCs/>
        </w:rPr>
        <w:t>Uttarakurus</w:t>
      </w:r>
      <w:proofErr w:type="spellEnd"/>
      <w:r>
        <w:t xml:space="preserve"> y demás].</w:t>
      </w:r>
      <w:r w:rsidR="00950C49" w:rsidRPr="009439E6">
        <w:rPr>
          <w:vertAlign w:val="superscript"/>
        </w:rPr>
        <w:t>1</w:t>
      </w:r>
      <w:r>
        <w:t xml:space="preserve"> </w:t>
      </w:r>
      <w:r w:rsidR="00950C49" w:rsidRPr="00950C49">
        <w:t xml:space="preserve">La </w:t>
      </w:r>
      <w:r w:rsidR="00950C49" w:rsidRPr="00C84A5D">
        <w:rPr>
          <w:i/>
          <w:iCs/>
        </w:rPr>
        <w:t>muerte prematura</w:t>
      </w:r>
      <w:r w:rsidR="00950C49" w:rsidRPr="00950C49">
        <w:t xml:space="preserve"> </w:t>
      </w:r>
      <w:r w:rsidR="00FF5229">
        <w:t xml:space="preserve">corresponderá a </w:t>
      </w:r>
      <w:r w:rsidR="00950C49" w:rsidRPr="00950C49">
        <w:t>un término para la muerte de aquellos cuya continuidad s</w:t>
      </w:r>
      <w:r w:rsidR="00147C5A">
        <w:t>ea</w:t>
      </w:r>
      <w:r w:rsidR="00950C49" w:rsidRPr="00950C49">
        <w:t xml:space="preserve"> interrumpida por </w:t>
      </w:r>
      <w:r w:rsidR="00CB17AD">
        <w:t>otro</w:t>
      </w:r>
      <w:r w:rsidR="00950C49" w:rsidRPr="00950C49">
        <w:t xml:space="preserve"> </w:t>
      </w:r>
      <w:proofErr w:type="spellStart"/>
      <w:r w:rsidR="00057BF4" w:rsidRPr="00057BF4">
        <w:rPr>
          <w:i/>
          <w:iCs/>
        </w:rPr>
        <w:t>kamma</w:t>
      </w:r>
      <w:proofErr w:type="spellEnd"/>
      <w:r w:rsidR="00950C49" w:rsidRPr="00950C49">
        <w:t xml:space="preserve"> capaz de hacerlos </w:t>
      </w:r>
      <w:r w:rsidR="00CB17AD">
        <w:t xml:space="preserve">colapsar </w:t>
      </w:r>
      <w:r>
        <w:t>(</w:t>
      </w:r>
      <w:proofErr w:type="spellStart"/>
      <w:r w:rsidRPr="00057552">
        <w:rPr>
          <w:i/>
          <w:iCs/>
        </w:rPr>
        <w:t>cāvana</w:t>
      </w:r>
      <w:proofErr w:type="spellEnd"/>
      <w:r>
        <w:t>) de</w:t>
      </w:r>
      <w:r w:rsidR="00147C5A">
        <w:t>l</w:t>
      </w:r>
      <w:r>
        <w:t xml:space="preserve"> lugar </w:t>
      </w:r>
      <w:r w:rsidR="00147C5A">
        <w:t xml:space="preserve">que ocupan </w:t>
      </w:r>
      <w:r>
        <w:t xml:space="preserve">en </w:t>
      </w:r>
      <w:r w:rsidR="00EC69D6">
        <w:t>tal instante</w:t>
      </w:r>
      <w:r>
        <w:t xml:space="preserve">, como en el caso de </w:t>
      </w:r>
      <w:proofErr w:type="spellStart"/>
      <w:r w:rsidRPr="00057552">
        <w:rPr>
          <w:i/>
          <w:iCs/>
        </w:rPr>
        <w:t>Dūsi</w:t>
      </w:r>
      <w:proofErr w:type="spellEnd"/>
      <w:r w:rsidRPr="00057552">
        <w:rPr>
          <w:i/>
          <w:iCs/>
        </w:rPr>
        <w:t>-</w:t>
      </w:r>
      <w:r w:rsidR="00057BF4" w:rsidRPr="00057BF4">
        <w:rPr>
          <w:i/>
          <w:iCs/>
        </w:rPr>
        <w:t>Māra</w:t>
      </w:r>
      <w:r>
        <w:t xml:space="preserve"> (ver M I 337), </w:t>
      </w:r>
      <w:proofErr w:type="spellStart"/>
      <w:r w:rsidRPr="00057552">
        <w:rPr>
          <w:i/>
          <w:iCs/>
        </w:rPr>
        <w:t>Kalāburājā</w:t>
      </w:r>
      <w:proofErr w:type="spellEnd"/>
      <w:r>
        <w:t xml:space="preserve"> (ver J-a III 39), etc.,</w:t>
      </w:r>
      <w:r w:rsidRPr="001164F7">
        <w:rPr>
          <w:vertAlign w:val="superscript"/>
        </w:rPr>
        <w:t>2</w:t>
      </w:r>
      <w:r>
        <w:t xml:space="preserve"> o </w:t>
      </w:r>
      <w:r w:rsidR="00FF4E51">
        <w:t xml:space="preserve">debido a </w:t>
      </w:r>
      <w:r>
        <w:t xml:space="preserve">la muerte de aquellos cuya continuidad </w:t>
      </w:r>
      <w:r w:rsidR="00061D08">
        <w:t>vital</w:t>
      </w:r>
      <w:r>
        <w:t xml:space="preserve"> se interrump</w:t>
      </w:r>
      <w:r w:rsidR="00CB17AD">
        <w:t>a</w:t>
      </w:r>
      <w:r>
        <w:t xml:space="preserve"> </w:t>
      </w:r>
      <w:r w:rsidR="00061D08">
        <w:t>mediante el</w:t>
      </w:r>
      <w:r>
        <w:t xml:space="preserve"> asalto </w:t>
      </w:r>
      <w:r w:rsidR="00CB17AD">
        <w:t xml:space="preserve">a través de </w:t>
      </w:r>
      <w:r>
        <w:t xml:space="preserve">armas, etc., debido a </w:t>
      </w:r>
      <w:r w:rsidR="00061D08">
        <w:t xml:space="preserve">un </w:t>
      </w:r>
      <w:proofErr w:type="spellStart"/>
      <w:r w:rsidR="00057BF4" w:rsidRPr="00057BF4">
        <w:rPr>
          <w:i/>
          <w:iCs/>
        </w:rPr>
        <w:t>kamma</w:t>
      </w:r>
      <w:proofErr w:type="spellEnd"/>
      <w:r>
        <w:t xml:space="preserve"> </w:t>
      </w:r>
      <w:r w:rsidR="00061D08">
        <w:t>del pasado</w:t>
      </w:r>
      <w:r>
        <w:t>. [230] Todos</w:t>
      </w:r>
      <w:r w:rsidR="008C59DC" w:rsidRPr="008C59DC">
        <w:t xml:space="preserve"> </w:t>
      </w:r>
      <w:r w:rsidR="008C59DC">
        <w:t xml:space="preserve">éstos se incluyen </w:t>
      </w:r>
      <w:r w:rsidR="00624ED6">
        <w:t>en</w:t>
      </w:r>
      <w:r w:rsidR="008C59DC">
        <w:t xml:space="preserve"> la interrupción de la facultad vital de los tipos ya expresados.</w:t>
      </w:r>
    </w:p>
    <w:p w14:paraId="06A9649E" w14:textId="5ED52437" w:rsidR="003F742D" w:rsidRDefault="003F742D" w:rsidP="003F742D">
      <w:pPr>
        <w:pStyle w:val="Piedepgina"/>
        <w:rPr>
          <w:u w:val="single"/>
        </w:rPr>
      </w:pPr>
      <w:r>
        <w:rPr>
          <w:u w:val="single"/>
        </w:rPr>
        <w:t xml:space="preserve">                                                                                                                                                                          .</w:t>
      </w:r>
    </w:p>
    <w:p w14:paraId="7868D55D" w14:textId="1387A5FE" w:rsidR="00A14C6D" w:rsidRDefault="00A14C6D" w:rsidP="003F742D">
      <w:pPr>
        <w:pStyle w:val="PiedepginaLegal"/>
      </w:pPr>
      <w:r>
        <w:t xml:space="preserve">1. </w:t>
      </w:r>
      <w:r w:rsidR="003F742D">
        <w:tab/>
      </w:r>
      <w:r>
        <w:t>Las ampliaciones son de</w:t>
      </w:r>
      <w:r w:rsidR="00F631DC">
        <w:t>l</w:t>
      </w:r>
      <w:r>
        <w:t xml:space="preserve"> </w:t>
      </w:r>
      <w:proofErr w:type="spellStart"/>
      <w:r>
        <w:t>Vism-mhṭ</w:t>
      </w:r>
      <w:proofErr w:type="spellEnd"/>
      <w:r>
        <w:t>, p. 236.</w:t>
      </w:r>
    </w:p>
    <w:p w14:paraId="541D51D3" w14:textId="44A2159E" w:rsidR="00A14C6D" w:rsidRDefault="00A14C6D" w:rsidP="003F742D">
      <w:pPr>
        <w:pStyle w:val="PiedepginaLegal"/>
      </w:pPr>
      <w:r>
        <w:t xml:space="preserve">2. </w:t>
      </w:r>
      <w:r w:rsidR="003F742D">
        <w:tab/>
      </w:r>
      <w:r>
        <w:t xml:space="preserve">“La palabra ‘etc.’ incluye </w:t>
      </w:r>
      <w:proofErr w:type="spellStart"/>
      <w:r w:rsidRPr="00057552">
        <w:rPr>
          <w:i/>
          <w:iCs/>
        </w:rPr>
        <w:t>Nanda</w:t>
      </w:r>
      <w:proofErr w:type="spellEnd"/>
      <w:r w:rsidRPr="00057552">
        <w:rPr>
          <w:i/>
          <w:iCs/>
        </w:rPr>
        <w:t xml:space="preserve">-yakkha, </w:t>
      </w:r>
      <w:proofErr w:type="spellStart"/>
      <w:r w:rsidRPr="00057552">
        <w:rPr>
          <w:i/>
          <w:iCs/>
        </w:rPr>
        <w:t>Nanda-māṇava</w:t>
      </w:r>
      <w:proofErr w:type="spellEnd"/>
      <w:r>
        <w:t xml:space="preserve"> y otras” (</w:t>
      </w:r>
      <w:proofErr w:type="spellStart"/>
      <w:r>
        <w:t>Vism-mhṭ</w:t>
      </w:r>
      <w:proofErr w:type="spellEnd"/>
      <w:r>
        <w:t xml:space="preserve"> 236). Ver A-a II 104 y M-a IV 8.</w:t>
      </w:r>
    </w:p>
    <w:p w14:paraId="05BFBE1C" w14:textId="27ECE13C" w:rsidR="003F742D" w:rsidRDefault="003F742D">
      <w:pPr>
        <w:tabs>
          <w:tab w:val="clear" w:pos="425"/>
        </w:tabs>
        <w:spacing w:after="160"/>
        <w:rPr>
          <w:color w:val="000000" w:themeColor="text1"/>
          <w:spacing w:val="10"/>
          <w:sz w:val="14"/>
        </w:rPr>
      </w:pPr>
      <w:r>
        <w:br w:type="page"/>
      </w:r>
    </w:p>
    <w:p w14:paraId="458982F4" w14:textId="77777777" w:rsidR="003F742D" w:rsidRDefault="003F742D" w:rsidP="003F742D"/>
    <w:p w14:paraId="10A71CA4" w14:textId="1B6E1D1D" w:rsidR="00A143A9" w:rsidRDefault="00A143A9" w:rsidP="00A143A9">
      <w:r>
        <w:t xml:space="preserve">De modo que la atención plena </w:t>
      </w:r>
      <w:r w:rsidR="00F84D46">
        <w:t>sobre</w:t>
      </w:r>
      <w:r>
        <w:t xml:space="preserve"> la muerte </w:t>
      </w:r>
      <w:r w:rsidR="00624ED6">
        <w:t>consistirá en</w:t>
      </w:r>
      <w:r w:rsidR="00F84D46">
        <w:t xml:space="preserve"> la evocación</w:t>
      </w:r>
      <w:r>
        <w:t xml:space="preserve"> de la muerte, en otras palabras, </w:t>
      </w:r>
      <w:r w:rsidR="008E36F3">
        <w:t xml:space="preserve">en </w:t>
      </w:r>
      <w:r>
        <w:t>la interrupción de la facultad vital.</w:t>
      </w:r>
    </w:p>
    <w:p w14:paraId="76027EAA" w14:textId="77777777" w:rsidR="00A143A9" w:rsidRDefault="00A143A9" w:rsidP="00A143A9">
      <w:pPr>
        <w:jc w:val="center"/>
      </w:pPr>
      <w:r>
        <w:t>[</w:t>
      </w:r>
      <w:r w:rsidRPr="00A143A9">
        <w:rPr>
          <w:i/>
          <w:iCs/>
        </w:rPr>
        <w:t>Desarrollo</w:t>
      </w:r>
      <w:r>
        <w:t>]</w:t>
      </w:r>
    </w:p>
    <w:p w14:paraId="58C23DB6" w14:textId="77022F34" w:rsidR="00A143A9" w:rsidRDefault="00A143A9" w:rsidP="00A143A9">
      <w:r>
        <w:t xml:space="preserve">4. </w:t>
      </w:r>
      <w:r>
        <w:tab/>
        <w:t xml:space="preserve">Quien </w:t>
      </w:r>
      <w:r w:rsidR="008E36F3">
        <w:t>desee</w:t>
      </w:r>
      <w:r>
        <w:t xml:space="preserve"> desarrollar esto, debe</w:t>
      </w:r>
      <w:r w:rsidR="00F84D46">
        <w:t>rá</w:t>
      </w:r>
      <w:r>
        <w:t xml:space="preserve"> </w:t>
      </w:r>
      <w:r w:rsidR="00F84D46">
        <w:t xml:space="preserve">dirigirse </w:t>
      </w:r>
      <w:r>
        <w:t>a</w:t>
      </w:r>
      <w:r w:rsidR="00F84D46">
        <w:t xml:space="preserve"> un</w:t>
      </w:r>
      <w:r>
        <w:t xml:space="preserve"> retiro solitario y ejercitar sabiamente la atención </w:t>
      </w:r>
      <w:r w:rsidR="00F84D46">
        <w:t>así</w:t>
      </w:r>
      <w:r>
        <w:t xml:space="preserve">: “La muerte tendrá lugar; la facultad de </w:t>
      </w:r>
      <w:r w:rsidR="00F84D46">
        <w:t xml:space="preserve">la </w:t>
      </w:r>
      <w:r>
        <w:t xml:space="preserve">vida será interrumpida”, o </w:t>
      </w:r>
      <w:r w:rsidR="002A779C">
        <w:t xml:space="preserve">también </w:t>
      </w:r>
      <w:r>
        <w:t>“Muerte, muerte”.</w:t>
      </w:r>
    </w:p>
    <w:p w14:paraId="2EC655FF" w14:textId="50270BA3" w:rsidR="00A143A9" w:rsidRDefault="00A143A9" w:rsidP="00A143A9">
      <w:r>
        <w:t xml:space="preserve">5. </w:t>
      </w:r>
      <w:r>
        <w:tab/>
        <w:t xml:space="preserve">Si ejercita imprudentemente su atención al </w:t>
      </w:r>
      <w:r w:rsidR="00F84D46">
        <w:t>evocar</w:t>
      </w:r>
      <w:r>
        <w:t xml:space="preserve"> la </w:t>
      </w:r>
      <w:r w:rsidR="00F84D46">
        <w:t xml:space="preserve">posible </w:t>
      </w:r>
      <w:r>
        <w:t>muerte de una persona agradable, surg</w:t>
      </w:r>
      <w:r w:rsidR="00F84D46">
        <w:t>ir</w:t>
      </w:r>
      <w:r w:rsidR="002A779C">
        <w:t>á</w:t>
      </w:r>
      <w:r>
        <w:t xml:space="preserve"> dolor, como en una madre al recordar la muerte de su amado hijo que </w:t>
      </w:r>
      <w:r w:rsidR="00ED5EDC">
        <w:t xml:space="preserve">haya </w:t>
      </w:r>
      <w:r>
        <w:t>d</w:t>
      </w:r>
      <w:r w:rsidR="00ED5EDC">
        <w:t>ado</w:t>
      </w:r>
      <w:r>
        <w:t xml:space="preserve"> a luz; y </w:t>
      </w:r>
      <w:r w:rsidR="007115E1">
        <w:t xml:space="preserve">surgiría </w:t>
      </w:r>
      <w:r>
        <w:t xml:space="preserve">alegría al </w:t>
      </w:r>
      <w:r w:rsidR="00F84D46">
        <w:t xml:space="preserve">evocar </w:t>
      </w:r>
      <w:r>
        <w:t xml:space="preserve">la muerte de una persona desagradable, como </w:t>
      </w:r>
      <w:r w:rsidR="002A779C">
        <w:t>con</w:t>
      </w:r>
      <w:r>
        <w:t xml:space="preserve"> los enemigos al </w:t>
      </w:r>
      <w:r w:rsidR="007115E1">
        <w:t>evocar</w:t>
      </w:r>
      <w:r>
        <w:t xml:space="preserve"> la muerte de sus enemigos; y no surg</w:t>
      </w:r>
      <w:r w:rsidR="007115E1">
        <w:t>irá</w:t>
      </w:r>
      <w:r>
        <w:t xml:space="preserve"> ningún sentido de urgencia al </w:t>
      </w:r>
      <w:r w:rsidR="007115E1">
        <w:t xml:space="preserve">evocar </w:t>
      </w:r>
      <w:r>
        <w:t xml:space="preserve">la muerte de personas neutrales, como sucede en un incinerador de cadáveres al ver </w:t>
      </w:r>
      <w:r w:rsidR="007115E1">
        <w:t xml:space="preserve">a </w:t>
      </w:r>
      <w:r>
        <w:t>un cadáver; y la angustia surg</w:t>
      </w:r>
      <w:r w:rsidR="004148DA">
        <w:t>irá</w:t>
      </w:r>
      <w:r>
        <w:t xml:space="preserve"> al </w:t>
      </w:r>
      <w:r w:rsidR="004148DA">
        <w:t xml:space="preserve">evocar </w:t>
      </w:r>
      <w:r>
        <w:t xml:space="preserve">la propia muerte, como sucede en una persona tímida al ver a un asesino con una daga </w:t>
      </w:r>
      <w:r w:rsidR="002A779C">
        <w:t>lista pa</w:t>
      </w:r>
      <w:r w:rsidR="00684832">
        <w:t>ra usarla</w:t>
      </w:r>
      <w:r>
        <w:t>.</w:t>
      </w:r>
    </w:p>
    <w:p w14:paraId="09DDDA2D" w14:textId="38B06AC5" w:rsidR="00A143A9" w:rsidRDefault="00A143A9" w:rsidP="00A143A9">
      <w:r>
        <w:t xml:space="preserve">6. </w:t>
      </w:r>
      <w:r>
        <w:tab/>
        <w:t>En todo e</w:t>
      </w:r>
      <w:r w:rsidR="004148DA">
        <w:t>ll</w:t>
      </w:r>
      <w:r>
        <w:t xml:space="preserve">o no </w:t>
      </w:r>
      <w:r w:rsidR="00926053">
        <w:t>se manifestará</w:t>
      </w:r>
      <w:r>
        <w:t xml:space="preserve"> </w:t>
      </w:r>
      <w:r w:rsidR="00741739">
        <w:t xml:space="preserve">ninguna </w:t>
      </w:r>
      <w:r>
        <w:t xml:space="preserve">atención plena ni </w:t>
      </w:r>
      <w:r w:rsidR="00741739">
        <w:t xml:space="preserve">un </w:t>
      </w:r>
      <w:r>
        <w:t xml:space="preserve">sentido de urgencia ni </w:t>
      </w:r>
      <w:r w:rsidR="00741739">
        <w:t xml:space="preserve">ningún </w:t>
      </w:r>
      <w:r>
        <w:t>conocimiento. Por lo tanto, debe</w:t>
      </w:r>
      <w:r w:rsidR="004148DA">
        <w:t>rá</w:t>
      </w:r>
      <w:r>
        <w:t xml:space="preserve"> </w:t>
      </w:r>
      <w:r w:rsidR="004148DA">
        <w:t>ob</w:t>
      </w:r>
      <w:r w:rsidR="009177CE">
        <w:t xml:space="preserve">servar </w:t>
      </w:r>
      <w:r>
        <w:t>aquí y allá a los seres que ha</w:t>
      </w:r>
      <w:r w:rsidR="009177CE">
        <w:t>ya</w:t>
      </w:r>
      <w:r>
        <w:t>n sido asesinados o ha</w:t>
      </w:r>
      <w:r w:rsidR="009177CE">
        <w:t>ya</w:t>
      </w:r>
      <w:r>
        <w:t>n muerto y advertir la muerte de los seres que ya est</w:t>
      </w:r>
      <w:r w:rsidR="009177CE">
        <w:t>é</w:t>
      </w:r>
      <w:r>
        <w:t xml:space="preserve">n muertos pero que antes se les veía disfrutando de </w:t>
      </w:r>
      <w:r w:rsidR="00741739">
        <w:t xml:space="preserve">las </w:t>
      </w:r>
      <w:r>
        <w:t xml:space="preserve">cosas buenas, haciéndolo con atención plena, con un sentido de urgencia y con conocimiento, después de lo cual él </w:t>
      </w:r>
      <w:r w:rsidR="00F46228">
        <w:t xml:space="preserve">podrá </w:t>
      </w:r>
      <w:r>
        <w:t xml:space="preserve">ejercitar su atención </w:t>
      </w:r>
      <w:r w:rsidR="00F46228">
        <w:t xml:space="preserve">con el pasaje </w:t>
      </w:r>
      <w:r>
        <w:t xml:space="preserve">que comienza: "La muerte </w:t>
      </w:r>
      <w:r w:rsidR="008D3914">
        <w:t>llegará</w:t>
      </w:r>
      <w:r w:rsidR="00E51AD2">
        <w:t>…</w:t>
      </w:r>
      <w:r>
        <w:t>". Al hacerlo, lo ejercita</w:t>
      </w:r>
      <w:r w:rsidR="00F46228">
        <w:t>rá</w:t>
      </w:r>
      <w:r>
        <w:t xml:space="preserve"> sabiamente. </w:t>
      </w:r>
      <w:r w:rsidR="00DC4967">
        <w:t>El sentido consiste en</w:t>
      </w:r>
      <w:r>
        <w:t xml:space="preserve"> ejerce</w:t>
      </w:r>
      <w:r w:rsidR="00F46228">
        <w:t>r</w:t>
      </w:r>
      <w:r w:rsidR="00DC4967">
        <w:t>lo</w:t>
      </w:r>
      <w:r>
        <w:t xml:space="preserve"> como </w:t>
      </w:r>
      <w:r w:rsidR="00F46228">
        <w:t xml:space="preserve">un </w:t>
      </w:r>
      <w:r>
        <w:t xml:space="preserve">medio </w:t>
      </w:r>
      <w:r w:rsidR="00F46228">
        <w:t>correcto</w:t>
      </w:r>
      <w:r>
        <w:t>.</w:t>
      </w:r>
      <w:r w:rsidRPr="00950C49">
        <w:rPr>
          <w:vertAlign w:val="superscript"/>
        </w:rPr>
        <w:t>3</w:t>
      </w:r>
    </w:p>
    <w:p w14:paraId="1F07AF37" w14:textId="471B3088" w:rsidR="00A143A9" w:rsidRDefault="00A143A9" w:rsidP="00A143A9">
      <w:r>
        <w:t xml:space="preserve">7. </w:t>
      </w:r>
      <w:r>
        <w:tab/>
        <w:t>Cuando alguien lo ejercit</w:t>
      </w:r>
      <w:r w:rsidR="00DC4967">
        <w:t>e</w:t>
      </w:r>
      <w:r>
        <w:t xml:space="preserve"> simplemente </w:t>
      </w:r>
      <w:r w:rsidR="00DC4967">
        <w:t>así</w:t>
      </w:r>
      <w:r>
        <w:t>, sus obstáculos se suprim</w:t>
      </w:r>
      <w:r w:rsidR="00DC4967">
        <w:t>irá</w:t>
      </w:r>
      <w:r>
        <w:t>n, su atención plena se establece</w:t>
      </w:r>
      <w:r w:rsidR="00DC4967">
        <w:t>rá</w:t>
      </w:r>
      <w:r>
        <w:t xml:space="preserve"> con la muerte como su objeto, y el </w:t>
      </w:r>
      <w:r w:rsidR="00DC4967">
        <w:t xml:space="preserve">objeto </w:t>
      </w:r>
      <w:r>
        <w:t>de meditación alcanza</w:t>
      </w:r>
      <w:r w:rsidR="00DC4967">
        <w:t>rá</w:t>
      </w:r>
      <w:r>
        <w:t xml:space="preserve"> el acceso.</w:t>
      </w:r>
    </w:p>
    <w:p w14:paraId="04D993AC" w14:textId="213B94C7" w:rsidR="00A143A9" w:rsidRDefault="00A143A9" w:rsidP="00A143A9">
      <w:pPr>
        <w:jc w:val="center"/>
      </w:pPr>
      <w:r>
        <w:t>[</w:t>
      </w:r>
      <w:r w:rsidRPr="00A143A9">
        <w:rPr>
          <w:i/>
          <w:iCs/>
        </w:rPr>
        <w:t xml:space="preserve">Ocho Formas de </w:t>
      </w:r>
      <w:r w:rsidR="009B1FA6">
        <w:rPr>
          <w:i/>
          <w:iCs/>
        </w:rPr>
        <w:t xml:space="preserve">Evocar </w:t>
      </w:r>
      <w:r w:rsidRPr="00A143A9">
        <w:rPr>
          <w:i/>
          <w:iCs/>
        </w:rPr>
        <w:t>la Muerte</w:t>
      </w:r>
      <w:r>
        <w:t>]</w:t>
      </w:r>
    </w:p>
    <w:p w14:paraId="2A02D3ED" w14:textId="24C49456" w:rsidR="00A143A9" w:rsidRDefault="00A143A9" w:rsidP="00A143A9">
      <w:r>
        <w:t xml:space="preserve">8. </w:t>
      </w:r>
      <w:r>
        <w:tab/>
      </w:r>
      <w:r w:rsidR="009B1FA6">
        <w:t xml:space="preserve">No obstante, </w:t>
      </w:r>
      <w:r>
        <w:t xml:space="preserve">quien encuentre que no </w:t>
      </w:r>
      <w:r w:rsidR="0016726A">
        <w:t xml:space="preserve">pueda </w:t>
      </w:r>
      <w:r>
        <w:t>lleg</w:t>
      </w:r>
      <w:r w:rsidR="0016726A">
        <w:t>ar</w:t>
      </w:r>
      <w:r>
        <w:t xml:space="preserve"> tan lejos, debe</w:t>
      </w:r>
      <w:r w:rsidR="009B1FA6">
        <w:t>rá</w:t>
      </w:r>
      <w:r>
        <w:t xml:space="preserve"> hacer su </w:t>
      </w:r>
      <w:r w:rsidR="009B1FA6">
        <w:t xml:space="preserve">evocación </w:t>
      </w:r>
      <w:r>
        <w:t xml:space="preserve">de la muerte de </w:t>
      </w:r>
      <w:r w:rsidR="008638DF">
        <w:t>8</w:t>
      </w:r>
      <w:r>
        <w:t xml:space="preserve"> maneras, </w:t>
      </w:r>
      <w:r w:rsidR="009B1FA6">
        <w:t>es decir</w:t>
      </w:r>
      <w:r>
        <w:t xml:space="preserve">: (1) como si tuviera la apariencia de un asesino, (2) como la ruina del éxito, (3) </w:t>
      </w:r>
      <w:r w:rsidR="00707B6B">
        <w:t>mediante</w:t>
      </w:r>
      <w:r>
        <w:t xml:space="preserve"> </w:t>
      </w:r>
      <w:r w:rsidR="00126F30">
        <w:t>un</w:t>
      </w:r>
      <w:r w:rsidR="00302178">
        <w:t xml:space="preserve">a </w:t>
      </w:r>
      <w:r>
        <w:t xml:space="preserve">comparación, (4) </w:t>
      </w:r>
      <w:r w:rsidR="00965CA9">
        <w:t xml:space="preserve">como </w:t>
      </w:r>
      <w:r w:rsidR="00302178">
        <w:t>e</w:t>
      </w:r>
      <w:r w:rsidR="00965CA9">
        <w:t>l</w:t>
      </w:r>
      <w:r>
        <w:t xml:space="preserve"> compartir el cuerpo con muchos, (5) </w:t>
      </w:r>
      <w:r w:rsidR="00965CA9">
        <w:t xml:space="preserve">como </w:t>
      </w:r>
      <w:r w:rsidR="003D33C4">
        <w:t xml:space="preserve">la </w:t>
      </w:r>
      <w:r>
        <w:t xml:space="preserve">fragilidad de </w:t>
      </w:r>
      <w:r w:rsidR="003D33C4">
        <w:t xml:space="preserve">una </w:t>
      </w:r>
      <w:r>
        <w:t>vida, (6) como si</w:t>
      </w:r>
      <w:r w:rsidR="003D33C4">
        <w:t xml:space="preserve"> no tuviera</w:t>
      </w:r>
      <w:r>
        <w:t xml:space="preserve"> </w:t>
      </w:r>
      <w:r w:rsidR="002678E4">
        <w:t>signos</w:t>
      </w:r>
      <w:r>
        <w:t xml:space="preserve">, (7) </w:t>
      </w:r>
      <w:r w:rsidR="002678E4">
        <w:t xml:space="preserve">como </w:t>
      </w:r>
      <w:r>
        <w:t>l</w:t>
      </w:r>
      <w:r w:rsidR="00B2142E">
        <w:t>a</w:t>
      </w:r>
      <w:r>
        <w:t xml:space="preserve"> limita</w:t>
      </w:r>
      <w:r w:rsidR="00B2142E">
        <w:t>ción</w:t>
      </w:r>
      <w:r>
        <w:t xml:space="preserve"> de la extensión, (8) </w:t>
      </w:r>
      <w:r w:rsidR="002678E4">
        <w:t xml:space="preserve">como una </w:t>
      </w:r>
      <w:r>
        <w:t xml:space="preserve">brevedad del </w:t>
      </w:r>
      <w:r w:rsidR="00416BF1">
        <w:t>instante</w:t>
      </w:r>
      <w:r>
        <w:t>.</w:t>
      </w:r>
    </w:p>
    <w:p w14:paraId="4988E58B" w14:textId="73F3379C" w:rsidR="00A143A9" w:rsidRDefault="00A143A9" w:rsidP="00A143A9">
      <w:r>
        <w:t xml:space="preserve">9. </w:t>
      </w:r>
      <w:r>
        <w:tab/>
        <w:t xml:space="preserve">1. </w:t>
      </w:r>
      <w:r w:rsidR="002678E4">
        <w:t>Aquí</w:t>
      </w:r>
      <w:r>
        <w:t xml:space="preserve">, </w:t>
      </w:r>
      <w:r w:rsidRPr="00C6498C">
        <w:rPr>
          <w:i/>
          <w:iCs/>
        </w:rPr>
        <w:t>como si tuviera la apariencia de un asesino</w:t>
      </w:r>
      <w:r>
        <w:t>: debe</w:t>
      </w:r>
      <w:r w:rsidR="002678E4">
        <w:t>rá</w:t>
      </w:r>
      <w:r>
        <w:t xml:space="preserve"> hacer</w:t>
      </w:r>
      <w:r w:rsidR="002678E4">
        <w:t>se</w:t>
      </w:r>
      <w:r>
        <w:t xml:space="preserve"> su </w:t>
      </w:r>
      <w:r w:rsidR="002678E4">
        <w:t xml:space="preserve">evocación </w:t>
      </w:r>
      <w:r>
        <w:t>de la siguiente manera: “Así como un asesino aparece</w:t>
      </w:r>
      <w:r w:rsidR="00B2142E">
        <w:t>ría</w:t>
      </w:r>
      <w:r>
        <w:t xml:space="preserve"> con una espada, pensando: 'Le cortaré la cabeza a este hombre', y se la aplica a su cuello, así aparece</w:t>
      </w:r>
      <w:r w:rsidR="00724475">
        <w:t>rá</w:t>
      </w:r>
      <w:r>
        <w:t xml:space="preserve"> la muerte.” ¿Por qué? Porque </w:t>
      </w:r>
      <w:r w:rsidR="00724475">
        <w:t>llega</w:t>
      </w:r>
      <w:r w:rsidR="00B2142E">
        <w:t>ré</w:t>
      </w:r>
      <w:r>
        <w:t xml:space="preserve"> con el nacimiento y </w:t>
      </w:r>
      <w:r w:rsidR="00345641">
        <w:t>sustrae</w:t>
      </w:r>
      <w:r w:rsidR="00E32D87">
        <w:t>rá</w:t>
      </w:r>
      <w:r w:rsidR="00345641">
        <w:t xml:space="preserve"> </w:t>
      </w:r>
      <w:r>
        <w:t>la vida.</w:t>
      </w:r>
    </w:p>
    <w:p w14:paraId="4A41C030" w14:textId="68679861" w:rsidR="00A143A9" w:rsidRDefault="00A143A9" w:rsidP="00A143A9">
      <w:pPr>
        <w:rPr>
          <w:sz w:val="14"/>
          <w:u w:val="single"/>
        </w:rPr>
      </w:pPr>
      <w:r>
        <w:t xml:space="preserve">10. </w:t>
      </w:r>
      <w:r w:rsidR="00345641">
        <w:tab/>
      </w:r>
      <w:r>
        <w:t xml:space="preserve">Así como los hongos </w:t>
      </w:r>
      <w:r w:rsidR="00612F27">
        <w:t xml:space="preserve">venenosos </w:t>
      </w:r>
      <w:r>
        <w:t>en ciernes siempre brotan levantando polvo sobre sus puntas, así los seres nacen junto con l</w:t>
      </w:r>
      <w:r w:rsidR="001E7FCD">
        <w:t>a</w:t>
      </w:r>
      <w:r>
        <w:t xml:space="preserve"> </w:t>
      </w:r>
      <w:r w:rsidR="001E7FCD" w:rsidRPr="001E7FCD">
        <w:t>vejez–y–muerte</w:t>
      </w:r>
      <w:r>
        <w:t xml:space="preserve">. </w:t>
      </w:r>
      <w:r w:rsidR="00BE38A9">
        <w:t xml:space="preserve">Ya que </w:t>
      </w:r>
      <w:proofErr w:type="gramStart"/>
      <w:r w:rsidR="00BE38A9">
        <w:t>de acuerdo a</w:t>
      </w:r>
      <w:proofErr w:type="gramEnd"/>
      <w:r w:rsidR="00BE38A9">
        <w:t xml:space="preserve"> </w:t>
      </w:r>
      <w:r w:rsidR="009017F8">
        <w:t xml:space="preserve">la conexión de la </w:t>
      </w:r>
      <w:r>
        <w:t>con</w:t>
      </w:r>
      <w:r w:rsidR="00345641">
        <w:t>s</w:t>
      </w:r>
      <w:r>
        <w:t xml:space="preserve">ciencia con el renacimiento </w:t>
      </w:r>
      <w:r w:rsidR="00826221">
        <w:t xml:space="preserve">se </w:t>
      </w:r>
      <w:r>
        <w:t>alcanza</w:t>
      </w:r>
      <w:r w:rsidR="00826221">
        <w:t>rá</w:t>
      </w:r>
      <w:r>
        <w:t xml:space="preserve"> el envejecimiento inmediatamente después de su surgimiento y luego se rompe</w:t>
      </w:r>
      <w:r w:rsidR="00826221">
        <w:t>rá</w:t>
      </w:r>
      <w:r>
        <w:t xml:space="preserve"> junto con sus agregados asociados, como una piedra que ca</w:t>
      </w:r>
      <w:r w:rsidR="0097254E">
        <w:t>yese</w:t>
      </w:r>
      <w:r>
        <w:t xml:space="preserve"> desde la cima de una roca. [231] Entonces, para empezar, la muerte momentánea </w:t>
      </w:r>
      <w:r w:rsidR="00596FA9">
        <w:t>llega</w:t>
      </w:r>
      <w:r w:rsidR="0097254E">
        <w:t>rá</w:t>
      </w:r>
      <w:r>
        <w:t xml:space="preserve"> junto con el </w:t>
      </w:r>
      <w:r w:rsidR="009E2670">
        <w:t>re</w:t>
      </w:r>
      <w:r>
        <w:t xml:space="preserve">nacimiento. </w:t>
      </w:r>
      <w:r>
        <w:rPr>
          <w:u w:val="single"/>
        </w:rPr>
        <w:t xml:space="preserve">                                                                                                                                                                       </w:t>
      </w:r>
    </w:p>
    <w:p w14:paraId="13DDD8BB" w14:textId="0C1C8CC8" w:rsidR="00A143A9" w:rsidRDefault="00A143A9" w:rsidP="00A143A9">
      <w:pPr>
        <w:pStyle w:val="Piedepgina"/>
        <w:rPr>
          <w:u w:val="single"/>
        </w:rPr>
      </w:pPr>
      <w:r>
        <w:rPr>
          <w:u w:val="single"/>
        </w:rPr>
        <w:t xml:space="preserve">                                                                                                                                                                          .</w:t>
      </w:r>
    </w:p>
    <w:p w14:paraId="2C83863D" w14:textId="16EDE79F" w:rsidR="00CA03CE" w:rsidRDefault="00A143A9" w:rsidP="00A143A9">
      <w:pPr>
        <w:pStyle w:val="PiedepginaLegal"/>
      </w:pPr>
      <w:r>
        <w:t xml:space="preserve">3. </w:t>
      </w:r>
      <w:r w:rsidR="00596FA9">
        <w:tab/>
      </w:r>
      <w:r>
        <w:t xml:space="preserve">Para la expresión </w:t>
      </w:r>
      <w:proofErr w:type="spellStart"/>
      <w:r w:rsidRPr="00C6498C">
        <w:rPr>
          <w:i/>
          <w:iCs/>
        </w:rPr>
        <w:t>upāya-manasikāra</w:t>
      </w:r>
      <w:proofErr w:type="spellEnd"/>
      <w:r>
        <w:t>— “atención como un medio [</w:t>
      </w:r>
      <w:r w:rsidR="00DC4967">
        <w:t>correcto</w:t>
      </w:r>
      <w:r>
        <w:t>]” ver M-a I 64.</w:t>
      </w:r>
    </w:p>
    <w:p w14:paraId="0CC5AC2D" w14:textId="77777777" w:rsidR="00CA03CE" w:rsidRDefault="00CA03CE">
      <w:pPr>
        <w:tabs>
          <w:tab w:val="clear" w:pos="425"/>
        </w:tabs>
        <w:spacing w:after="160"/>
        <w:rPr>
          <w:color w:val="000000" w:themeColor="text1"/>
          <w:spacing w:val="10"/>
          <w:sz w:val="14"/>
        </w:rPr>
      </w:pPr>
      <w:r>
        <w:br w:type="page"/>
      </w:r>
    </w:p>
    <w:p w14:paraId="59506CFA" w14:textId="77777777" w:rsidR="00A143A9" w:rsidRDefault="00A143A9" w:rsidP="00CA03CE"/>
    <w:p w14:paraId="2F1B47F3" w14:textId="1EE7401D" w:rsidR="004D3239" w:rsidRDefault="004D3239" w:rsidP="004D3239">
      <w:r>
        <w:t xml:space="preserve">11. </w:t>
      </w:r>
      <w:r w:rsidR="00BD382B">
        <w:tab/>
      </w:r>
      <w:r>
        <w:t xml:space="preserve">Por lo tanto, así como el </w:t>
      </w:r>
      <w:r w:rsidR="000C1FFC">
        <w:t xml:space="preserve">Sol </w:t>
      </w:r>
      <w:r>
        <w:t xml:space="preserve">sale </w:t>
      </w:r>
      <w:r w:rsidR="000C1FFC">
        <w:t xml:space="preserve">y </w:t>
      </w:r>
      <w:r>
        <w:t>avanza hacia su ocaso y nunca retrocede</w:t>
      </w:r>
      <w:r w:rsidR="00CD3548">
        <w:t>ría de su curso</w:t>
      </w:r>
      <w:r>
        <w:t>, ni siquiera por un breve momento de</w:t>
      </w:r>
      <w:r w:rsidR="00CD3548">
        <w:t>sde</w:t>
      </w:r>
      <w:r>
        <w:t xml:space="preserve"> donde ha</w:t>
      </w:r>
      <w:r w:rsidR="00CD3548">
        <w:t>ya</w:t>
      </w:r>
      <w:r>
        <w:t xml:space="preserve"> llegado, o así como el torrente de una montaña </w:t>
      </w:r>
      <w:r w:rsidR="0067107C">
        <w:t>barrería</w:t>
      </w:r>
      <w:r>
        <w:t xml:space="preserve"> con una corriente rápida, siempre fluyendo y apresurándose y nunca retrocediendo aunque sea por un breve </w:t>
      </w:r>
      <w:r w:rsidR="002D5078">
        <w:t>instante</w:t>
      </w:r>
      <w:r>
        <w:t xml:space="preserve">, así también este ser viviente </w:t>
      </w:r>
      <w:r w:rsidR="0067107C">
        <w:t xml:space="preserve">siempre está </w:t>
      </w:r>
      <w:r>
        <w:t>viaja</w:t>
      </w:r>
      <w:r w:rsidR="0067107C">
        <w:t>ndo</w:t>
      </w:r>
      <w:r>
        <w:t xml:space="preserve"> hacia la muerte desde el momento en </w:t>
      </w:r>
      <w:r w:rsidR="002D5078">
        <w:t xml:space="preserve">el </w:t>
      </w:r>
      <w:r>
        <w:t>que nace, y nunca retrocede</w:t>
      </w:r>
      <w:r w:rsidR="002D5078">
        <w:t>rá</w:t>
      </w:r>
      <w:r>
        <w:t xml:space="preserve"> ni siquiera por un breve </w:t>
      </w:r>
      <w:r w:rsidR="002D5078">
        <w:t>instante</w:t>
      </w:r>
      <w:r w:rsidR="00C36FEA">
        <w:t xml:space="preserve"> en </w:t>
      </w:r>
      <w:proofErr w:type="spellStart"/>
      <w:r w:rsidR="00C36FEA">
        <w:t>u</w:t>
      </w:r>
      <w:proofErr w:type="spellEnd"/>
      <w:r w:rsidR="00C36FEA">
        <w:t xml:space="preserve"> recorrido</w:t>
      </w:r>
      <w:r>
        <w:t>. Por eso se dice:</w:t>
      </w:r>
    </w:p>
    <w:p w14:paraId="44A40E84" w14:textId="7E1AF58D" w:rsidR="004D3239" w:rsidRPr="008B694B" w:rsidRDefault="004D3239" w:rsidP="004D3239">
      <w:pPr>
        <w:pStyle w:val="VersoIngls01Sangria"/>
        <w:rPr>
          <w:sz w:val="16"/>
          <w:szCs w:val="20"/>
        </w:rPr>
      </w:pPr>
      <w:r>
        <w:t>“</w:t>
      </w:r>
      <w:r w:rsidRPr="008B694B">
        <w:rPr>
          <w:sz w:val="16"/>
          <w:szCs w:val="20"/>
        </w:rPr>
        <w:t>Desde el mism</w:t>
      </w:r>
      <w:r w:rsidR="002D5078" w:rsidRPr="008B694B">
        <w:rPr>
          <w:sz w:val="16"/>
          <w:szCs w:val="20"/>
        </w:rPr>
        <w:t>ísimo</w:t>
      </w:r>
      <w:r w:rsidRPr="008B694B">
        <w:rPr>
          <w:sz w:val="16"/>
          <w:szCs w:val="20"/>
        </w:rPr>
        <w:t xml:space="preserve"> día en que un hombre</w:t>
      </w:r>
    </w:p>
    <w:p w14:paraId="64CDC49A" w14:textId="77777777" w:rsidR="004D3239" w:rsidRPr="008B694B" w:rsidRDefault="004D3239" w:rsidP="004D3239">
      <w:pPr>
        <w:pStyle w:val="VersoIngls01Sangria"/>
        <w:rPr>
          <w:sz w:val="16"/>
          <w:szCs w:val="20"/>
        </w:rPr>
      </w:pPr>
      <w:r w:rsidRPr="008B694B">
        <w:rPr>
          <w:sz w:val="16"/>
          <w:szCs w:val="20"/>
        </w:rPr>
        <w:t>Ha sido concebido dentro de un útero</w:t>
      </w:r>
    </w:p>
    <w:p w14:paraId="44FC424E" w14:textId="7F0476B9" w:rsidR="004D3239" w:rsidRPr="008B694B" w:rsidRDefault="004D3239" w:rsidP="004D3239">
      <w:pPr>
        <w:pStyle w:val="VersoIngls01Sangria"/>
        <w:rPr>
          <w:sz w:val="16"/>
          <w:szCs w:val="20"/>
        </w:rPr>
      </w:pPr>
      <w:r w:rsidRPr="008B694B">
        <w:rPr>
          <w:sz w:val="16"/>
          <w:szCs w:val="20"/>
        </w:rPr>
        <w:t xml:space="preserve">No </w:t>
      </w:r>
      <w:r w:rsidR="00767B27" w:rsidRPr="008B694B">
        <w:rPr>
          <w:sz w:val="16"/>
          <w:szCs w:val="20"/>
        </w:rPr>
        <w:t>podrá hacer otra cosa que pro</w:t>
      </w:r>
      <w:r w:rsidRPr="008B694B">
        <w:rPr>
          <w:sz w:val="16"/>
          <w:szCs w:val="20"/>
        </w:rPr>
        <w:t xml:space="preserve">seguir y </w:t>
      </w:r>
      <w:r w:rsidR="00C36FEA" w:rsidRPr="008B694B">
        <w:rPr>
          <w:sz w:val="16"/>
          <w:szCs w:val="20"/>
        </w:rPr>
        <w:t>continuar</w:t>
      </w:r>
      <w:r w:rsidRPr="008B694B">
        <w:rPr>
          <w:sz w:val="16"/>
          <w:szCs w:val="20"/>
        </w:rPr>
        <w:t>,</w:t>
      </w:r>
    </w:p>
    <w:p w14:paraId="1C887591" w14:textId="0DC9F8F4" w:rsidR="004D3239" w:rsidRPr="008B694B" w:rsidRDefault="00AF05DC" w:rsidP="004D3239">
      <w:pPr>
        <w:pStyle w:val="VersoIngls01Sangria"/>
        <w:spacing w:after="100"/>
        <w:ind w:left="1418"/>
        <w:rPr>
          <w:sz w:val="16"/>
          <w:szCs w:val="20"/>
        </w:rPr>
      </w:pPr>
      <w:r w:rsidRPr="008B694B">
        <w:rPr>
          <w:sz w:val="16"/>
          <w:szCs w:val="20"/>
        </w:rPr>
        <w:t xml:space="preserve">Y ni siquiera, al ir, </w:t>
      </w:r>
      <w:r w:rsidR="00BC3825" w:rsidRPr="008B694B">
        <w:rPr>
          <w:sz w:val="16"/>
          <w:szCs w:val="20"/>
        </w:rPr>
        <w:t xml:space="preserve">se </w:t>
      </w:r>
      <w:r w:rsidR="004D3239" w:rsidRPr="008B694B">
        <w:rPr>
          <w:sz w:val="16"/>
          <w:szCs w:val="20"/>
        </w:rPr>
        <w:t>p</w:t>
      </w:r>
      <w:r w:rsidR="00BC3825" w:rsidRPr="008B694B">
        <w:rPr>
          <w:sz w:val="16"/>
          <w:szCs w:val="20"/>
        </w:rPr>
        <w:t>o</w:t>
      </w:r>
      <w:r w:rsidR="004D3239" w:rsidRPr="008B694B">
        <w:rPr>
          <w:sz w:val="16"/>
          <w:szCs w:val="20"/>
        </w:rPr>
        <w:t>d</w:t>
      </w:r>
      <w:r w:rsidR="00BC3825" w:rsidRPr="008B694B">
        <w:rPr>
          <w:sz w:val="16"/>
          <w:szCs w:val="20"/>
        </w:rPr>
        <w:t>rá</w:t>
      </w:r>
      <w:r w:rsidR="004D3239" w:rsidRPr="008B694B">
        <w:rPr>
          <w:sz w:val="16"/>
          <w:szCs w:val="20"/>
        </w:rPr>
        <w:t xml:space="preserve"> </w:t>
      </w:r>
      <w:r w:rsidR="00F83ECC" w:rsidRPr="008B694B">
        <w:rPr>
          <w:sz w:val="16"/>
          <w:szCs w:val="20"/>
        </w:rPr>
        <w:t xml:space="preserve">ni por un instante </w:t>
      </w:r>
      <w:r w:rsidR="004D3239" w:rsidRPr="008B694B">
        <w:rPr>
          <w:sz w:val="16"/>
          <w:szCs w:val="20"/>
        </w:rPr>
        <w:t>volver atrás” (J-a IV 494).</w:t>
      </w:r>
    </w:p>
    <w:p w14:paraId="3A12FD3D" w14:textId="0CEB718C" w:rsidR="004D3239" w:rsidRDefault="004D3239" w:rsidP="004D3239">
      <w:r>
        <w:t xml:space="preserve">12. </w:t>
      </w:r>
      <w:r w:rsidR="00BD382B">
        <w:tab/>
      </w:r>
      <w:r>
        <w:t>Y mientras continú</w:t>
      </w:r>
      <w:r w:rsidR="00BC3825">
        <w:t>e</w:t>
      </w:r>
      <w:r>
        <w:t xml:space="preserve"> así, la muerte </w:t>
      </w:r>
      <w:r w:rsidR="00BC3825">
        <w:t xml:space="preserve">será </w:t>
      </w:r>
      <w:r>
        <w:t xml:space="preserve">tan cercana a él como la </w:t>
      </w:r>
      <w:r w:rsidR="00A56F9D">
        <w:t xml:space="preserve">sequía </w:t>
      </w:r>
      <w:r w:rsidR="00A90B37">
        <w:t xml:space="preserve">lo </w:t>
      </w:r>
      <w:r>
        <w:t xml:space="preserve">es a los riachuelos en el calor del verano, como la caída es a los frutos de los árboles cuando la savia llega a sus </w:t>
      </w:r>
      <w:r w:rsidR="00A56F9D">
        <w:t>tallos</w:t>
      </w:r>
      <w:r>
        <w:t xml:space="preserve"> por la mañana, como la ruptura </w:t>
      </w:r>
      <w:r w:rsidR="00A56F9D">
        <w:t xml:space="preserve">lo </w:t>
      </w:r>
      <w:r>
        <w:t xml:space="preserve">es a las vasijas de barro golpeadas por un mazo, como desaparecer </w:t>
      </w:r>
      <w:r w:rsidR="00A56F9D">
        <w:t xml:space="preserve">lo </w:t>
      </w:r>
      <w:r>
        <w:t xml:space="preserve">es </w:t>
      </w:r>
      <w:r w:rsidR="008B694B">
        <w:t xml:space="preserve">a </w:t>
      </w:r>
      <w:r>
        <w:t xml:space="preserve">las gotas de rocío </w:t>
      </w:r>
      <w:r w:rsidR="008B694B">
        <w:t xml:space="preserve">al entrar en contacto con </w:t>
      </w:r>
      <w:r>
        <w:t xml:space="preserve">los rayos del </w:t>
      </w:r>
      <w:r w:rsidR="00A56F9D">
        <w:t>Sol</w:t>
      </w:r>
      <w:r>
        <w:t>. Por eso se dice:</w:t>
      </w:r>
    </w:p>
    <w:p w14:paraId="0589E488" w14:textId="58E3A582" w:rsidR="004D3239" w:rsidRPr="00AC7629" w:rsidRDefault="004D3239" w:rsidP="004D3239">
      <w:pPr>
        <w:pStyle w:val="VersoIngls01Sangria"/>
        <w:rPr>
          <w:sz w:val="16"/>
          <w:szCs w:val="20"/>
        </w:rPr>
      </w:pPr>
      <w:r w:rsidRPr="00AC7629">
        <w:rPr>
          <w:sz w:val="16"/>
          <w:szCs w:val="20"/>
        </w:rPr>
        <w:t xml:space="preserve">“Las noches y los días </w:t>
      </w:r>
      <w:r w:rsidR="006F05D7" w:rsidRPr="00AC7629">
        <w:rPr>
          <w:sz w:val="16"/>
          <w:szCs w:val="20"/>
        </w:rPr>
        <w:t xml:space="preserve">transcurren </w:t>
      </w:r>
      <w:r w:rsidRPr="00AC7629">
        <w:rPr>
          <w:sz w:val="16"/>
          <w:szCs w:val="20"/>
        </w:rPr>
        <w:t>deslizándose</w:t>
      </w:r>
    </w:p>
    <w:p w14:paraId="1610E0F1" w14:textId="030CA153" w:rsidR="004D3239" w:rsidRPr="00AC7629" w:rsidRDefault="004D3239" w:rsidP="004D3239">
      <w:pPr>
        <w:pStyle w:val="VersoIngls01Sangria"/>
        <w:rPr>
          <w:sz w:val="16"/>
          <w:szCs w:val="20"/>
        </w:rPr>
      </w:pPr>
      <w:r w:rsidRPr="00AC7629">
        <w:rPr>
          <w:sz w:val="16"/>
          <w:szCs w:val="20"/>
        </w:rPr>
        <w:t xml:space="preserve">A medida que la vida </w:t>
      </w:r>
      <w:r w:rsidR="006F05D7" w:rsidRPr="00AC7629">
        <w:rPr>
          <w:sz w:val="16"/>
          <w:szCs w:val="20"/>
        </w:rPr>
        <w:t>continú</w:t>
      </w:r>
      <w:r w:rsidR="00DF50F1" w:rsidRPr="00AC7629">
        <w:rPr>
          <w:sz w:val="16"/>
          <w:szCs w:val="20"/>
        </w:rPr>
        <w:t>a</w:t>
      </w:r>
      <w:r w:rsidR="006F05D7" w:rsidRPr="00AC7629">
        <w:rPr>
          <w:sz w:val="16"/>
          <w:szCs w:val="20"/>
        </w:rPr>
        <w:t xml:space="preserve"> </w:t>
      </w:r>
      <w:r w:rsidR="00BD5EF2">
        <w:rPr>
          <w:sz w:val="16"/>
          <w:szCs w:val="20"/>
        </w:rPr>
        <w:t>reduciéndose</w:t>
      </w:r>
      <w:r w:rsidRPr="00AC7629">
        <w:rPr>
          <w:sz w:val="16"/>
          <w:szCs w:val="20"/>
        </w:rPr>
        <w:t xml:space="preserve"> </w:t>
      </w:r>
      <w:r w:rsidR="00C8039A" w:rsidRPr="00AC7629">
        <w:rPr>
          <w:sz w:val="16"/>
          <w:szCs w:val="20"/>
        </w:rPr>
        <w:t>sosteni</w:t>
      </w:r>
      <w:r w:rsidR="008B694B">
        <w:rPr>
          <w:sz w:val="16"/>
          <w:szCs w:val="20"/>
        </w:rPr>
        <w:t>ble</w:t>
      </w:r>
      <w:r w:rsidR="00C8039A" w:rsidRPr="00AC7629">
        <w:rPr>
          <w:sz w:val="16"/>
          <w:szCs w:val="20"/>
        </w:rPr>
        <w:t>mente</w:t>
      </w:r>
    </w:p>
    <w:p w14:paraId="2092457C" w14:textId="1B2087D3" w:rsidR="004D3239" w:rsidRPr="00AC7629" w:rsidRDefault="004D3239" w:rsidP="004D3239">
      <w:pPr>
        <w:pStyle w:val="VersoIngls01Sangria"/>
        <w:rPr>
          <w:sz w:val="16"/>
          <w:szCs w:val="20"/>
        </w:rPr>
      </w:pPr>
      <w:r w:rsidRPr="00AC7629">
        <w:rPr>
          <w:sz w:val="16"/>
          <w:szCs w:val="20"/>
        </w:rPr>
        <w:t xml:space="preserve">hasta </w:t>
      </w:r>
      <w:r w:rsidR="00BD5EF2">
        <w:rPr>
          <w:sz w:val="16"/>
          <w:szCs w:val="20"/>
        </w:rPr>
        <w:t xml:space="preserve">consumir </w:t>
      </w:r>
      <w:r w:rsidRPr="00AC7629">
        <w:rPr>
          <w:sz w:val="16"/>
          <w:szCs w:val="20"/>
        </w:rPr>
        <w:t xml:space="preserve">el lapso </w:t>
      </w:r>
      <w:r w:rsidR="0065629E" w:rsidRPr="00AC7629">
        <w:rPr>
          <w:sz w:val="16"/>
          <w:szCs w:val="20"/>
        </w:rPr>
        <w:t xml:space="preserve">de vida </w:t>
      </w:r>
      <w:r w:rsidRPr="00AC7629">
        <w:rPr>
          <w:sz w:val="16"/>
          <w:szCs w:val="20"/>
        </w:rPr>
        <w:t xml:space="preserve">de los mortales, </w:t>
      </w:r>
      <w:r w:rsidR="002D2198">
        <w:rPr>
          <w:sz w:val="16"/>
          <w:szCs w:val="20"/>
        </w:rPr>
        <w:t xml:space="preserve">así </w:t>
      </w:r>
      <w:r w:rsidRPr="00AC7629">
        <w:rPr>
          <w:sz w:val="16"/>
          <w:szCs w:val="20"/>
        </w:rPr>
        <w:t xml:space="preserve">como </w:t>
      </w:r>
      <w:r w:rsidR="006F05D7" w:rsidRPr="00AC7629">
        <w:rPr>
          <w:sz w:val="16"/>
          <w:szCs w:val="20"/>
        </w:rPr>
        <w:t xml:space="preserve">los </w:t>
      </w:r>
      <w:r w:rsidR="0065629E" w:rsidRPr="00AC7629">
        <w:rPr>
          <w:sz w:val="16"/>
          <w:szCs w:val="20"/>
        </w:rPr>
        <w:t xml:space="preserve">lagos </w:t>
      </w:r>
    </w:p>
    <w:p w14:paraId="268067E9" w14:textId="1695AB6C" w:rsidR="004D3239" w:rsidRPr="00AC7629" w:rsidRDefault="00B22E81" w:rsidP="004D3239">
      <w:pPr>
        <w:pStyle w:val="VersoIngls01Sangria"/>
        <w:spacing w:after="100"/>
        <w:ind w:left="1418"/>
        <w:rPr>
          <w:sz w:val="16"/>
          <w:szCs w:val="20"/>
        </w:rPr>
      </w:pPr>
      <w:r w:rsidRPr="00AC7629">
        <w:rPr>
          <w:sz w:val="16"/>
          <w:szCs w:val="20"/>
        </w:rPr>
        <w:t>De</w:t>
      </w:r>
      <w:r w:rsidR="004D3239" w:rsidRPr="00AC7629">
        <w:rPr>
          <w:sz w:val="16"/>
          <w:szCs w:val="20"/>
        </w:rPr>
        <w:t xml:space="preserve"> los riachuelos </w:t>
      </w:r>
      <w:r w:rsidRPr="00AC7629">
        <w:rPr>
          <w:sz w:val="16"/>
          <w:szCs w:val="20"/>
        </w:rPr>
        <w:t>colapsan</w:t>
      </w:r>
      <w:r w:rsidR="004D3239" w:rsidRPr="00AC7629">
        <w:rPr>
          <w:sz w:val="16"/>
          <w:szCs w:val="20"/>
        </w:rPr>
        <w:t xml:space="preserve">, </w:t>
      </w:r>
      <w:r w:rsidR="000D279A" w:rsidRPr="00AC7629">
        <w:rPr>
          <w:sz w:val="16"/>
          <w:szCs w:val="20"/>
        </w:rPr>
        <w:t>agotándose completamente</w:t>
      </w:r>
      <w:r w:rsidR="004D3239" w:rsidRPr="00AC7629">
        <w:rPr>
          <w:sz w:val="16"/>
          <w:szCs w:val="20"/>
        </w:rPr>
        <w:t>” (S I 109).</w:t>
      </w:r>
    </w:p>
    <w:p w14:paraId="271F2286" w14:textId="49F821FB" w:rsidR="004D3239" w:rsidRPr="00AC7629" w:rsidRDefault="004D3239" w:rsidP="004D3239">
      <w:pPr>
        <w:pStyle w:val="VersoIngls01Sangria"/>
        <w:rPr>
          <w:sz w:val="16"/>
          <w:szCs w:val="20"/>
        </w:rPr>
      </w:pPr>
      <w:r w:rsidRPr="00AC7629">
        <w:rPr>
          <w:sz w:val="16"/>
          <w:szCs w:val="20"/>
        </w:rPr>
        <w:t>“</w:t>
      </w:r>
      <w:r w:rsidR="000D279A" w:rsidRPr="00AC7629">
        <w:rPr>
          <w:sz w:val="16"/>
          <w:szCs w:val="20"/>
        </w:rPr>
        <w:t xml:space="preserve">Así como existe </w:t>
      </w:r>
      <w:r w:rsidRPr="00AC7629">
        <w:rPr>
          <w:sz w:val="16"/>
          <w:szCs w:val="20"/>
        </w:rPr>
        <w:t>miedo, cuando los frutos están maduros,</w:t>
      </w:r>
    </w:p>
    <w:p w14:paraId="707C3017" w14:textId="3D8D706F" w:rsidR="004D3239" w:rsidRPr="00AC7629" w:rsidRDefault="00074F53" w:rsidP="004D3239">
      <w:pPr>
        <w:pStyle w:val="VersoIngls01Sangria"/>
        <w:rPr>
          <w:sz w:val="16"/>
          <w:szCs w:val="20"/>
        </w:rPr>
      </w:pPr>
      <w:r w:rsidRPr="00AC7629">
        <w:rPr>
          <w:sz w:val="16"/>
          <w:szCs w:val="20"/>
        </w:rPr>
        <w:t xml:space="preserve">Ya </w:t>
      </w:r>
      <w:r w:rsidR="004D3239" w:rsidRPr="00AC7629">
        <w:rPr>
          <w:sz w:val="16"/>
          <w:szCs w:val="20"/>
        </w:rPr>
        <w:t xml:space="preserve">que por la mañana </w:t>
      </w:r>
      <w:r w:rsidR="00726298">
        <w:rPr>
          <w:sz w:val="16"/>
          <w:szCs w:val="20"/>
        </w:rPr>
        <w:t xml:space="preserve">podría </w:t>
      </w:r>
      <w:r w:rsidR="004D3239" w:rsidRPr="00AC7629">
        <w:rPr>
          <w:sz w:val="16"/>
          <w:szCs w:val="20"/>
        </w:rPr>
        <w:t>caer,</w:t>
      </w:r>
    </w:p>
    <w:p w14:paraId="674DD225" w14:textId="4A0777E1" w:rsidR="004D3239" w:rsidRPr="00AC7629" w:rsidRDefault="00074F53" w:rsidP="004D3239">
      <w:pPr>
        <w:pStyle w:val="VersoIngls01Sangria"/>
        <w:rPr>
          <w:sz w:val="16"/>
          <w:szCs w:val="20"/>
        </w:rPr>
      </w:pPr>
      <w:r w:rsidRPr="00AC7629">
        <w:rPr>
          <w:sz w:val="16"/>
          <w:szCs w:val="20"/>
        </w:rPr>
        <w:t>Así</w:t>
      </w:r>
      <w:r w:rsidR="004D3239" w:rsidRPr="00AC7629">
        <w:rPr>
          <w:sz w:val="16"/>
          <w:szCs w:val="20"/>
        </w:rPr>
        <w:t xml:space="preserve"> los mortales </w:t>
      </w:r>
      <w:r w:rsidRPr="00AC7629">
        <w:rPr>
          <w:sz w:val="16"/>
          <w:szCs w:val="20"/>
        </w:rPr>
        <w:t xml:space="preserve">habitan </w:t>
      </w:r>
      <w:r w:rsidR="004D3239" w:rsidRPr="00AC7629">
        <w:rPr>
          <w:sz w:val="16"/>
          <w:szCs w:val="20"/>
        </w:rPr>
        <w:t>en constante temor</w:t>
      </w:r>
    </w:p>
    <w:p w14:paraId="2F83D5F2" w14:textId="4D1BE56A" w:rsidR="004D3239" w:rsidRPr="00AC7629" w:rsidRDefault="004D3239" w:rsidP="004D3239">
      <w:pPr>
        <w:pStyle w:val="VersoIngls01Sangria"/>
        <w:rPr>
          <w:sz w:val="16"/>
          <w:szCs w:val="20"/>
        </w:rPr>
      </w:pPr>
      <w:r w:rsidRPr="00AC7629">
        <w:rPr>
          <w:sz w:val="16"/>
          <w:szCs w:val="20"/>
        </w:rPr>
        <w:t>Cuando na</w:t>
      </w:r>
      <w:r w:rsidR="008671F9" w:rsidRPr="00AC7629">
        <w:rPr>
          <w:sz w:val="16"/>
          <w:szCs w:val="20"/>
        </w:rPr>
        <w:t>cen</w:t>
      </w:r>
      <w:r w:rsidRPr="00AC7629">
        <w:rPr>
          <w:sz w:val="16"/>
          <w:szCs w:val="20"/>
        </w:rPr>
        <w:t xml:space="preserve">, </w:t>
      </w:r>
      <w:r w:rsidR="008671F9" w:rsidRPr="00AC7629">
        <w:rPr>
          <w:sz w:val="16"/>
          <w:szCs w:val="20"/>
        </w:rPr>
        <w:t xml:space="preserve">ya </w:t>
      </w:r>
      <w:r w:rsidRPr="00AC7629">
        <w:rPr>
          <w:sz w:val="16"/>
          <w:szCs w:val="20"/>
        </w:rPr>
        <w:t>que morirán.</w:t>
      </w:r>
    </w:p>
    <w:p w14:paraId="6FB36C18" w14:textId="77777777" w:rsidR="004D3239" w:rsidRPr="00AC7629" w:rsidRDefault="004D3239" w:rsidP="004D3239">
      <w:pPr>
        <w:pStyle w:val="VersoIngls01Sangria"/>
        <w:rPr>
          <w:sz w:val="16"/>
          <w:szCs w:val="20"/>
        </w:rPr>
      </w:pPr>
      <w:r w:rsidRPr="00AC7629">
        <w:rPr>
          <w:sz w:val="16"/>
          <w:szCs w:val="20"/>
        </w:rPr>
        <w:t>Y como el destino de las ollas de barro</w:t>
      </w:r>
    </w:p>
    <w:p w14:paraId="5146C3FD" w14:textId="77777777" w:rsidR="004D3239" w:rsidRPr="00AC7629" w:rsidRDefault="004D3239" w:rsidP="004D3239">
      <w:pPr>
        <w:pStyle w:val="VersoIngls01Sangria"/>
        <w:rPr>
          <w:sz w:val="16"/>
          <w:szCs w:val="20"/>
        </w:rPr>
      </w:pPr>
      <w:r w:rsidRPr="00AC7629">
        <w:rPr>
          <w:sz w:val="16"/>
          <w:szCs w:val="20"/>
        </w:rPr>
        <w:t>Una vez formado por la mano del alfarero,</w:t>
      </w:r>
    </w:p>
    <w:p w14:paraId="22D990B6" w14:textId="133FF22B" w:rsidR="004D3239" w:rsidRPr="00AC7629" w:rsidRDefault="008671F9" w:rsidP="004D3239">
      <w:pPr>
        <w:pStyle w:val="VersoIngls01Sangria"/>
        <w:rPr>
          <w:sz w:val="16"/>
          <w:szCs w:val="20"/>
        </w:rPr>
      </w:pPr>
      <w:r w:rsidRPr="00AC7629">
        <w:rPr>
          <w:sz w:val="16"/>
          <w:szCs w:val="20"/>
        </w:rPr>
        <w:t>Ya sea</w:t>
      </w:r>
      <w:r w:rsidR="004D3239" w:rsidRPr="00AC7629">
        <w:rPr>
          <w:sz w:val="16"/>
          <w:szCs w:val="20"/>
        </w:rPr>
        <w:t xml:space="preserve"> pequeño o grande</w:t>
      </w:r>
      <w:r w:rsidR="00C84E00" w:rsidRPr="00AC7629">
        <w:rPr>
          <w:sz w:val="16"/>
          <w:szCs w:val="20"/>
        </w:rPr>
        <w:t>,</w:t>
      </w:r>
      <w:r w:rsidR="004D3239" w:rsidRPr="00AC7629">
        <w:rPr>
          <w:sz w:val="16"/>
          <w:szCs w:val="20"/>
        </w:rPr>
        <w:t xml:space="preserve"> </w:t>
      </w:r>
      <w:r w:rsidR="00C84E00" w:rsidRPr="00AC7629">
        <w:rPr>
          <w:sz w:val="16"/>
          <w:szCs w:val="20"/>
        </w:rPr>
        <w:t xml:space="preserve">crudo u </w:t>
      </w:r>
      <w:r w:rsidR="004D3239" w:rsidRPr="00AC7629">
        <w:rPr>
          <w:sz w:val="16"/>
          <w:szCs w:val="20"/>
        </w:rPr>
        <w:t>horneado,</w:t>
      </w:r>
      <w:r w:rsidR="004D3239" w:rsidRPr="00AC7629">
        <w:rPr>
          <w:sz w:val="16"/>
          <w:szCs w:val="20"/>
          <w:vertAlign w:val="superscript"/>
        </w:rPr>
        <w:t>4</w:t>
      </w:r>
    </w:p>
    <w:p w14:paraId="0F915AC1" w14:textId="11DFDD99" w:rsidR="004D3239" w:rsidRPr="00AC7629" w:rsidRDefault="00450A26" w:rsidP="004D3239">
      <w:pPr>
        <w:pStyle w:val="VersoIngls01Sangria"/>
        <w:rPr>
          <w:sz w:val="16"/>
          <w:szCs w:val="20"/>
        </w:rPr>
      </w:pPr>
      <w:r w:rsidRPr="00AC7629">
        <w:rPr>
          <w:sz w:val="16"/>
          <w:szCs w:val="20"/>
        </w:rPr>
        <w:t>Están</w:t>
      </w:r>
      <w:r w:rsidR="004D3239" w:rsidRPr="00AC7629">
        <w:rPr>
          <w:sz w:val="16"/>
          <w:szCs w:val="20"/>
        </w:rPr>
        <w:t xml:space="preserve"> condena</w:t>
      </w:r>
      <w:r w:rsidRPr="00AC7629">
        <w:rPr>
          <w:sz w:val="16"/>
          <w:szCs w:val="20"/>
        </w:rPr>
        <w:t>dos</w:t>
      </w:r>
      <w:r w:rsidR="004D3239" w:rsidRPr="00AC7629">
        <w:rPr>
          <w:sz w:val="16"/>
          <w:szCs w:val="20"/>
        </w:rPr>
        <w:t xml:space="preserve"> a </w:t>
      </w:r>
      <w:r w:rsidR="00677268">
        <w:rPr>
          <w:sz w:val="16"/>
          <w:szCs w:val="20"/>
        </w:rPr>
        <w:t>romperse</w:t>
      </w:r>
      <w:r w:rsidR="004D3239" w:rsidRPr="00AC7629">
        <w:rPr>
          <w:sz w:val="16"/>
          <w:szCs w:val="20"/>
        </w:rPr>
        <w:t>,</w:t>
      </w:r>
    </w:p>
    <w:p w14:paraId="56536046" w14:textId="1767C438" w:rsidR="004D3239" w:rsidRPr="00AC7629" w:rsidRDefault="00450A26" w:rsidP="00BD382B">
      <w:pPr>
        <w:pStyle w:val="VersoIngls01Sangria"/>
        <w:spacing w:after="100"/>
        <w:ind w:left="1418"/>
        <w:rPr>
          <w:sz w:val="16"/>
          <w:szCs w:val="20"/>
        </w:rPr>
      </w:pPr>
      <w:r w:rsidRPr="00AC7629">
        <w:rPr>
          <w:sz w:val="16"/>
          <w:szCs w:val="20"/>
        </w:rPr>
        <w:t xml:space="preserve">Es así </w:t>
      </w:r>
      <w:proofErr w:type="spellStart"/>
      <w:r w:rsidRPr="00AC7629">
        <w:rPr>
          <w:sz w:val="16"/>
          <w:szCs w:val="20"/>
        </w:rPr>
        <w:t>cómo</w:t>
      </w:r>
      <w:proofErr w:type="spellEnd"/>
      <w:r w:rsidR="004D3239" w:rsidRPr="00AC7629">
        <w:rPr>
          <w:sz w:val="16"/>
          <w:szCs w:val="20"/>
        </w:rPr>
        <w:t xml:space="preserve"> la vida de los mortales sólo conduc</w:t>
      </w:r>
      <w:r w:rsidR="00726298">
        <w:rPr>
          <w:sz w:val="16"/>
          <w:szCs w:val="20"/>
        </w:rPr>
        <w:t>irá</w:t>
      </w:r>
      <w:r w:rsidR="004D3239" w:rsidRPr="00AC7629">
        <w:rPr>
          <w:sz w:val="16"/>
          <w:szCs w:val="20"/>
        </w:rPr>
        <w:t xml:space="preserve"> </w:t>
      </w:r>
      <w:r w:rsidR="00AC7629" w:rsidRPr="00AC7629">
        <w:rPr>
          <w:sz w:val="16"/>
          <w:szCs w:val="20"/>
        </w:rPr>
        <w:t>hacia</w:t>
      </w:r>
      <w:r w:rsidR="004D3239" w:rsidRPr="00AC7629">
        <w:rPr>
          <w:sz w:val="16"/>
          <w:szCs w:val="20"/>
        </w:rPr>
        <w:t xml:space="preserve"> la muerte” (Sn p. 576f.).</w:t>
      </w:r>
    </w:p>
    <w:p w14:paraId="57A1462E" w14:textId="792F9796" w:rsidR="004D3239" w:rsidRPr="00AC7629" w:rsidRDefault="004D3239" w:rsidP="004D3239">
      <w:pPr>
        <w:pStyle w:val="VersoIngls01Sangria"/>
        <w:rPr>
          <w:sz w:val="16"/>
          <w:szCs w:val="20"/>
        </w:rPr>
      </w:pPr>
      <w:r w:rsidRPr="00AC7629">
        <w:rPr>
          <w:sz w:val="16"/>
          <w:szCs w:val="20"/>
        </w:rPr>
        <w:t xml:space="preserve">“La gota de rocío sobre la brizna de </w:t>
      </w:r>
      <w:r w:rsidR="00AC7629">
        <w:rPr>
          <w:sz w:val="16"/>
          <w:szCs w:val="20"/>
        </w:rPr>
        <w:t xml:space="preserve">la </w:t>
      </w:r>
      <w:r w:rsidRPr="00AC7629">
        <w:rPr>
          <w:sz w:val="16"/>
          <w:szCs w:val="20"/>
        </w:rPr>
        <w:t>hierba</w:t>
      </w:r>
    </w:p>
    <w:p w14:paraId="610E2A00" w14:textId="2C642665" w:rsidR="004D3239" w:rsidRPr="00AC7629" w:rsidRDefault="004D3239" w:rsidP="004D3239">
      <w:pPr>
        <w:pStyle w:val="VersoIngls01Sangria"/>
        <w:rPr>
          <w:sz w:val="16"/>
          <w:szCs w:val="20"/>
        </w:rPr>
      </w:pPr>
      <w:r w:rsidRPr="00AC7629">
        <w:rPr>
          <w:sz w:val="16"/>
          <w:szCs w:val="20"/>
        </w:rPr>
        <w:t xml:space="preserve">se desvanece cuando sale el </w:t>
      </w:r>
      <w:r w:rsidR="00AC7629" w:rsidRPr="00AC7629">
        <w:rPr>
          <w:sz w:val="16"/>
          <w:szCs w:val="20"/>
        </w:rPr>
        <w:t>Sol</w:t>
      </w:r>
      <w:r w:rsidRPr="00AC7629">
        <w:rPr>
          <w:sz w:val="16"/>
          <w:szCs w:val="20"/>
        </w:rPr>
        <w:t>;</w:t>
      </w:r>
    </w:p>
    <w:p w14:paraId="776E334A" w14:textId="77777777" w:rsidR="004D3239" w:rsidRPr="00AC7629" w:rsidRDefault="004D3239" w:rsidP="004D3239">
      <w:pPr>
        <w:pStyle w:val="VersoIngls01Sangria"/>
        <w:rPr>
          <w:sz w:val="16"/>
          <w:szCs w:val="20"/>
        </w:rPr>
      </w:pPr>
      <w:r w:rsidRPr="00AC7629">
        <w:rPr>
          <w:sz w:val="16"/>
          <w:szCs w:val="20"/>
        </w:rPr>
        <w:t>Tal es la duración de la vida humana;</w:t>
      </w:r>
    </w:p>
    <w:p w14:paraId="59B2904C" w14:textId="77777777" w:rsidR="004D3239" w:rsidRPr="00AC7629" w:rsidRDefault="004D3239" w:rsidP="00BD382B">
      <w:pPr>
        <w:pStyle w:val="VersoIngls01Sangria"/>
        <w:spacing w:after="100"/>
        <w:ind w:left="1418"/>
        <w:rPr>
          <w:sz w:val="16"/>
          <w:szCs w:val="20"/>
        </w:rPr>
      </w:pPr>
      <w:r w:rsidRPr="00AC7629">
        <w:rPr>
          <w:sz w:val="16"/>
          <w:szCs w:val="20"/>
        </w:rPr>
        <w:t>Así que, madre, no me estorbes” (J-a IV 122).</w:t>
      </w:r>
    </w:p>
    <w:p w14:paraId="32569B89" w14:textId="2AE85F11" w:rsidR="004D3239" w:rsidRDefault="004D3239" w:rsidP="004D3239">
      <w:r>
        <w:t xml:space="preserve">13. </w:t>
      </w:r>
      <w:r w:rsidR="00BD382B">
        <w:tab/>
      </w:r>
      <w:r>
        <w:t xml:space="preserve">Así </w:t>
      </w:r>
      <w:r w:rsidR="00CA21F3">
        <w:t xml:space="preserve">es cómo esta </w:t>
      </w:r>
      <w:r>
        <w:t xml:space="preserve">muerte viene junto con el </w:t>
      </w:r>
      <w:r w:rsidR="00CA21F3">
        <w:t>re</w:t>
      </w:r>
      <w:r>
        <w:t xml:space="preserve">nacimiento, es como un asesino con la espada en alto. Y </w:t>
      </w:r>
      <w:r w:rsidR="002B14F6">
        <w:t xml:space="preserve">es </w:t>
      </w:r>
      <w:r>
        <w:t xml:space="preserve">como el asesino que aplica la espada en el cuello, </w:t>
      </w:r>
      <w:r w:rsidR="009B26D9">
        <w:t xml:space="preserve">para </w:t>
      </w:r>
      <w:r>
        <w:t>lleva</w:t>
      </w:r>
      <w:r w:rsidR="009B26D9">
        <w:t>rse</w:t>
      </w:r>
      <w:r>
        <w:t xml:space="preserve"> la vida </w:t>
      </w:r>
      <w:r w:rsidR="00CA21F3">
        <w:t>y</w:t>
      </w:r>
      <w:r>
        <w:t xml:space="preserve"> nunca </w:t>
      </w:r>
      <w:r w:rsidR="009B26D9">
        <w:t xml:space="preserve">más </w:t>
      </w:r>
      <w:r>
        <w:t>v</w:t>
      </w:r>
      <w:r w:rsidR="009B26D9">
        <w:t>o</w:t>
      </w:r>
      <w:r>
        <w:t>lve</w:t>
      </w:r>
      <w:r w:rsidR="009B26D9">
        <w:t>r</w:t>
      </w:r>
      <w:r>
        <w:t xml:space="preserve"> </w:t>
      </w:r>
      <w:r w:rsidR="00CA21F3">
        <w:t>devolverla</w:t>
      </w:r>
      <w:r>
        <w:t>. [232] Por eso, ya que la muerte aparece</w:t>
      </w:r>
      <w:r w:rsidR="00CA21F3">
        <w:t>rá</w:t>
      </w:r>
      <w:r>
        <w:t xml:space="preserve"> como un homicida con la espada en alto </w:t>
      </w:r>
      <w:r w:rsidR="00CA21F3">
        <w:t xml:space="preserve">al llegar </w:t>
      </w:r>
      <w:r>
        <w:t xml:space="preserve">junto con el </w:t>
      </w:r>
      <w:r w:rsidR="00CA21F3">
        <w:t>re</w:t>
      </w:r>
      <w:r>
        <w:t xml:space="preserve">nacimiento </w:t>
      </w:r>
      <w:r w:rsidR="00D2660D">
        <w:t xml:space="preserve">para </w:t>
      </w:r>
      <w:r>
        <w:t xml:space="preserve">llevarse </w:t>
      </w:r>
      <w:r w:rsidR="00CA21F3">
        <w:t xml:space="preserve">otra vez </w:t>
      </w:r>
      <w:r>
        <w:t>la vida, debe</w:t>
      </w:r>
      <w:r w:rsidR="00CA21F3">
        <w:t>rá</w:t>
      </w:r>
      <w:r>
        <w:t xml:space="preserve"> </w:t>
      </w:r>
      <w:r w:rsidR="00D2660D">
        <w:t xml:space="preserve">evocarse </w:t>
      </w:r>
      <w:r>
        <w:t>como “</w:t>
      </w:r>
      <w:r w:rsidR="00CA21F3" w:rsidRPr="00CA21F3">
        <w:t>como si tuviera la apariencia de un asesino</w:t>
      </w:r>
      <w:r>
        <w:t>”.</w:t>
      </w:r>
    </w:p>
    <w:p w14:paraId="3F99AE23" w14:textId="0589A544" w:rsidR="004D3239" w:rsidRDefault="004D3239" w:rsidP="004D3239">
      <w:r>
        <w:t xml:space="preserve">14. </w:t>
      </w:r>
      <w:r w:rsidR="00BD382B">
        <w:tab/>
      </w:r>
      <w:r>
        <w:t xml:space="preserve">2. </w:t>
      </w:r>
      <w:r w:rsidRPr="00C6498C">
        <w:rPr>
          <w:i/>
          <w:iCs/>
        </w:rPr>
        <w:t>Como la ruina del éxito</w:t>
      </w:r>
      <w:r>
        <w:t xml:space="preserve">: </w:t>
      </w:r>
      <w:r w:rsidR="00CA21F3">
        <w:t xml:space="preserve">al respecto, </w:t>
      </w:r>
      <w:r>
        <w:t xml:space="preserve">el éxito </w:t>
      </w:r>
      <w:r w:rsidR="00CA21F3">
        <w:t xml:space="preserve">siempre </w:t>
      </w:r>
      <w:r>
        <w:t>brilla</w:t>
      </w:r>
      <w:r w:rsidR="00052E8F">
        <w:t>rá</w:t>
      </w:r>
      <w:r>
        <w:t xml:space="preserve"> mientras el fracaso no lo </w:t>
      </w:r>
      <w:r w:rsidR="00052E8F">
        <w:t>venza</w:t>
      </w:r>
      <w:r>
        <w:t>. Y no exist</w:t>
      </w:r>
      <w:r w:rsidR="0040498E">
        <w:t>irá</w:t>
      </w:r>
      <w:r>
        <w:t xml:space="preserve"> éxito que pueda perdurar fuera del alcance del fracaso. Respectivamente:</w:t>
      </w:r>
    </w:p>
    <w:p w14:paraId="05BA469E" w14:textId="7AC15FE9" w:rsidR="004D3239" w:rsidRPr="00A73EEC" w:rsidRDefault="004D3239" w:rsidP="00BD382B">
      <w:pPr>
        <w:pStyle w:val="VersoIngls01Sangria"/>
        <w:rPr>
          <w:sz w:val="16"/>
          <w:szCs w:val="20"/>
        </w:rPr>
      </w:pPr>
      <w:r w:rsidRPr="00A73EEC">
        <w:rPr>
          <w:sz w:val="16"/>
          <w:szCs w:val="20"/>
        </w:rPr>
        <w:t>“Dio con alegría cien millones</w:t>
      </w:r>
      <w:r w:rsidR="0053520B" w:rsidRPr="00A73EEC">
        <w:rPr>
          <w:sz w:val="16"/>
          <w:szCs w:val="20"/>
        </w:rPr>
        <w:t xml:space="preserve"> de monedas</w:t>
      </w:r>
    </w:p>
    <w:p w14:paraId="5633BCF7" w14:textId="77777777" w:rsidR="004D3239" w:rsidRPr="00A73EEC" w:rsidRDefault="004D3239" w:rsidP="00BD382B">
      <w:pPr>
        <w:pStyle w:val="VersoIngls01Sangria"/>
        <w:rPr>
          <w:sz w:val="16"/>
          <w:szCs w:val="20"/>
        </w:rPr>
      </w:pPr>
      <w:r w:rsidRPr="00A73EEC">
        <w:rPr>
          <w:sz w:val="16"/>
          <w:szCs w:val="20"/>
        </w:rPr>
        <w:t>Después de conquistar toda la tierra,</w:t>
      </w:r>
    </w:p>
    <w:p w14:paraId="19E537F5" w14:textId="77777777" w:rsidR="004D3239" w:rsidRDefault="004D3239" w:rsidP="00BD382B">
      <w:pPr>
        <w:pStyle w:val="VersoIngls01Sangria"/>
        <w:rPr>
          <w:sz w:val="16"/>
          <w:szCs w:val="20"/>
        </w:rPr>
      </w:pPr>
      <w:r w:rsidRPr="00A73EEC">
        <w:rPr>
          <w:sz w:val="16"/>
          <w:szCs w:val="20"/>
        </w:rPr>
        <w:t>Hasta que al final su reino se vino abajo</w:t>
      </w:r>
    </w:p>
    <w:p w14:paraId="6D537E08" w14:textId="77777777" w:rsidR="00CA21F3" w:rsidRPr="00A73EEC" w:rsidRDefault="00CA21F3" w:rsidP="00BD382B">
      <w:pPr>
        <w:pStyle w:val="VersoIngls01Sangria"/>
        <w:rPr>
          <w:sz w:val="16"/>
          <w:szCs w:val="20"/>
        </w:rPr>
      </w:pPr>
    </w:p>
    <w:p w14:paraId="4DDF805D" w14:textId="77777777" w:rsidR="00BD382B" w:rsidRDefault="00BD382B" w:rsidP="00BD382B">
      <w:pPr>
        <w:pStyle w:val="Piedepgina"/>
        <w:rPr>
          <w:u w:val="single"/>
        </w:rPr>
      </w:pPr>
      <w:r>
        <w:t> </w:t>
      </w:r>
      <w:r>
        <w:rPr>
          <w:u w:val="single"/>
        </w:rPr>
        <w:t xml:space="preserve">                                                                                                                                                                          .</w:t>
      </w:r>
    </w:p>
    <w:p w14:paraId="494748C8" w14:textId="614F861C" w:rsidR="00BD382B" w:rsidRDefault="004D3239" w:rsidP="00BD382B">
      <w:pPr>
        <w:pStyle w:val="PiedepginaLegal"/>
      </w:pPr>
      <w:r>
        <w:t xml:space="preserve"> 4. </w:t>
      </w:r>
      <w:r w:rsidR="00BD382B">
        <w:tab/>
      </w:r>
      <w:r>
        <w:t xml:space="preserve">Esta línea no está en el </w:t>
      </w:r>
      <w:r w:rsidRPr="00C6498C">
        <w:rPr>
          <w:i/>
          <w:iCs/>
        </w:rPr>
        <w:t>Sutta-</w:t>
      </w:r>
      <w:proofErr w:type="spellStart"/>
      <w:r w:rsidR="00B1125C" w:rsidRPr="00C6498C">
        <w:rPr>
          <w:i/>
          <w:iCs/>
        </w:rPr>
        <w:t>Nipāta</w:t>
      </w:r>
      <w:proofErr w:type="spellEnd"/>
      <w:r>
        <w:t>, pero véase D II 120, nota.</w:t>
      </w:r>
    </w:p>
    <w:p w14:paraId="70FBDA2C" w14:textId="77777777" w:rsidR="00BD382B" w:rsidRDefault="00BD382B">
      <w:pPr>
        <w:tabs>
          <w:tab w:val="clear" w:pos="425"/>
        </w:tabs>
        <w:spacing w:after="160"/>
        <w:rPr>
          <w:color w:val="000000" w:themeColor="text1"/>
          <w:spacing w:val="10"/>
          <w:sz w:val="14"/>
        </w:rPr>
      </w:pPr>
      <w:r>
        <w:br w:type="page"/>
      </w:r>
    </w:p>
    <w:p w14:paraId="2C127F47" w14:textId="77777777" w:rsidR="004D3239" w:rsidRDefault="004D3239" w:rsidP="007E3147">
      <w:pPr>
        <w:pStyle w:val="VersoIngls01Sangria"/>
      </w:pPr>
    </w:p>
    <w:p w14:paraId="454219B2" w14:textId="77777777" w:rsidR="002D297A" w:rsidRDefault="002D297A" w:rsidP="007E3147">
      <w:pPr>
        <w:pStyle w:val="VersoIngls01Sangria"/>
      </w:pPr>
    </w:p>
    <w:p w14:paraId="1D468189" w14:textId="66E74CE8" w:rsidR="007E3147" w:rsidRPr="00A73EEC" w:rsidRDefault="007E3147" w:rsidP="007E3147">
      <w:pPr>
        <w:pStyle w:val="VersoIngls01Sangria"/>
        <w:rPr>
          <w:sz w:val="16"/>
          <w:szCs w:val="20"/>
        </w:rPr>
      </w:pPr>
      <w:r w:rsidRPr="00A73EEC">
        <w:rPr>
          <w:sz w:val="16"/>
          <w:szCs w:val="20"/>
        </w:rPr>
        <w:t xml:space="preserve">A menos de la mitad de una nuez de </w:t>
      </w:r>
      <w:r w:rsidR="0072721F" w:rsidRPr="00A73EEC">
        <w:rPr>
          <w:sz w:val="16"/>
          <w:szCs w:val="20"/>
        </w:rPr>
        <w:t>bellota</w:t>
      </w:r>
      <w:r w:rsidRPr="00A73EEC">
        <w:rPr>
          <w:sz w:val="16"/>
          <w:szCs w:val="20"/>
        </w:rPr>
        <w:t>.</w:t>
      </w:r>
    </w:p>
    <w:p w14:paraId="34E41B78" w14:textId="77777777" w:rsidR="007E3147" w:rsidRPr="00A73EEC" w:rsidRDefault="007E3147" w:rsidP="007E3147">
      <w:pPr>
        <w:pStyle w:val="VersoIngls01Sangria"/>
        <w:rPr>
          <w:sz w:val="16"/>
          <w:szCs w:val="20"/>
        </w:rPr>
      </w:pPr>
      <w:r w:rsidRPr="00A73EEC">
        <w:rPr>
          <w:sz w:val="16"/>
          <w:szCs w:val="20"/>
        </w:rPr>
        <w:t>Sin embargo, cuando su mérito se agotó,</w:t>
      </w:r>
    </w:p>
    <w:p w14:paraId="2DFE9500" w14:textId="2FC807FF" w:rsidR="007E3147" w:rsidRPr="00A73EEC" w:rsidRDefault="0072721F" w:rsidP="007E3147">
      <w:pPr>
        <w:pStyle w:val="VersoIngls01Sangria"/>
        <w:rPr>
          <w:sz w:val="16"/>
          <w:szCs w:val="20"/>
        </w:rPr>
      </w:pPr>
      <w:r w:rsidRPr="00A73EEC">
        <w:rPr>
          <w:sz w:val="16"/>
          <w:szCs w:val="20"/>
        </w:rPr>
        <w:t xml:space="preserve">Al espirar </w:t>
      </w:r>
      <w:r w:rsidR="00B1125C">
        <w:rPr>
          <w:sz w:val="16"/>
          <w:szCs w:val="20"/>
        </w:rPr>
        <w:t>el</w:t>
      </w:r>
      <w:r w:rsidR="007E3147" w:rsidRPr="00A73EEC">
        <w:rPr>
          <w:sz w:val="16"/>
          <w:szCs w:val="20"/>
        </w:rPr>
        <w:t xml:space="preserve"> cuerpo su último aliento,</w:t>
      </w:r>
    </w:p>
    <w:p w14:paraId="1AA6E2A4" w14:textId="5B99B612" w:rsidR="007E3147" w:rsidRPr="00A73EEC" w:rsidRDefault="005C6D88" w:rsidP="007E3147">
      <w:pPr>
        <w:pStyle w:val="VersoIngls01Sangria"/>
        <w:rPr>
          <w:sz w:val="16"/>
          <w:szCs w:val="20"/>
        </w:rPr>
      </w:pPr>
      <w:r w:rsidRPr="00A73EEC">
        <w:rPr>
          <w:sz w:val="16"/>
          <w:szCs w:val="20"/>
        </w:rPr>
        <w:t>También</w:t>
      </w:r>
      <w:r w:rsidRPr="00A73EEC">
        <w:rPr>
          <w:sz w:val="16"/>
          <w:szCs w:val="20"/>
          <w:vertAlign w:val="superscript"/>
        </w:rPr>
        <w:t xml:space="preserve">5 </w:t>
      </w:r>
      <w:r w:rsidRPr="00A73EEC">
        <w:rPr>
          <w:sz w:val="16"/>
          <w:szCs w:val="20"/>
        </w:rPr>
        <w:t xml:space="preserve">el Feliz </w:t>
      </w:r>
      <w:proofErr w:type="spellStart"/>
      <w:r w:rsidRPr="00A73EEC">
        <w:rPr>
          <w:sz w:val="16"/>
          <w:szCs w:val="20"/>
        </w:rPr>
        <w:t>Asoka</w:t>
      </w:r>
      <w:proofErr w:type="spellEnd"/>
      <w:r w:rsidRPr="00A73EEC">
        <w:rPr>
          <w:sz w:val="16"/>
          <w:szCs w:val="20"/>
        </w:rPr>
        <w:t xml:space="preserve"> </w:t>
      </w:r>
    </w:p>
    <w:p w14:paraId="0F51658E" w14:textId="0C792580" w:rsidR="007E3147" w:rsidRPr="00A73EEC" w:rsidRDefault="000516EA" w:rsidP="007E3147">
      <w:pPr>
        <w:pStyle w:val="VersoIngls01Sangria"/>
        <w:spacing w:after="100"/>
        <w:ind w:left="1418"/>
        <w:rPr>
          <w:sz w:val="16"/>
          <w:szCs w:val="20"/>
        </w:rPr>
      </w:pPr>
      <w:r w:rsidRPr="00A73EEC">
        <w:rPr>
          <w:sz w:val="16"/>
          <w:szCs w:val="20"/>
        </w:rPr>
        <w:t>Sintió</w:t>
      </w:r>
      <w:r w:rsidR="007E3147" w:rsidRPr="00A73EEC">
        <w:rPr>
          <w:sz w:val="16"/>
          <w:szCs w:val="20"/>
        </w:rPr>
        <w:t xml:space="preserve"> </w:t>
      </w:r>
      <w:r w:rsidRPr="00A73EEC">
        <w:rPr>
          <w:sz w:val="16"/>
          <w:szCs w:val="20"/>
        </w:rPr>
        <w:t xml:space="preserve">la aflicción </w:t>
      </w:r>
      <w:r w:rsidR="007E3147" w:rsidRPr="00A73EEC">
        <w:rPr>
          <w:sz w:val="16"/>
          <w:szCs w:val="20"/>
        </w:rPr>
        <w:t>cara a cara con la muerte”.</w:t>
      </w:r>
    </w:p>
    <w:p w14:paraId="40B1A000" w14:textId="3F82DB87" w:rsidR="007E3147" w:rsidRDefault="007E3147" w:rsidP="007E3147">
      <w:r>
        <w:t xml:space="preserve">15. </w:t>
      </w:r>
      <w:r>
        <w:tab/>
        <w:t>Además, toda salud acaba</w:t>
      </w:r>
      <w:r w:rsidR="00835D40">
        <w:t>rá</w:t>
      </w:r>
      <w:r>
        <w:t xml:space="preserve"> en enfermedad, toda juventud en vejez, toda vida en </w:t>
      </w:r>
      <w:r w:rsidR="005C6D88">
        <w:t xml:space="preserve">la </w:t>
      </w:r>
      <w:r>
        <w:t xml:space="preserve">muerte; toda existencia mundana </w:t>
      </w:r>
      <w:r w:rsidR="00835D40">
        <w:t xml:space="preserve">será </w:t>
      </w:r>
      <w:r>
        <w:t xml:space="preserve">adquirida </w:t>
      </w:r>
      <w:r w:rsidR="00FA09F9">
        <w:t>mediante</w:t>
      </w:r>
      <w:r>
        <w:t xml:space="preserve"> el </w:t>
      </w:r>
      <w:r w:rsidR="00B1125C">
        <w:t>re</w:t>
      </w:r>
      <w:r>
        <w:t>nacimiento, atormentada por el envejecimiento, sorprendida por la enfermedad y abatida por la muerte. Por eso se dice:</w:t>
      </w:r>
    </w:p>
    <w:p w14:paraId="7953E84D" w14:textId="77777777" w:rsidR="007E3147" w:rsidRPr="00A73EEC" w:rsidRDefault="007E3147" w:rsidP="007E3147">
      <w:pPr>
        <w:pStyle w:val="VersoIngls01Sangria"/>
        <w:rPr>
          <w:sz w:val="16"/>
          <w:szCs w:val="20"/>
        </w:rPr>
      </w:pPr>
      <w:r w:rsidRPr="00A73EEC">
        <w:rPr>
          <w:sz w:val="16"/>
          <w:szCs w:val="20"/>
        </w:rPr>
        <w:t>“Como si enormes montañas hechas de roca</w:t>
      </w:r>
    </w:p>
    <w:p w14:paraId="2303DD0B" w14:textId="6C767CB2" w:rsidR="007E3147" w:rsidRPr="00A73EEC" w:rsidRDefault="007E3147" w:rsidP="007E3147">
      <w:pPr>
        <w:pStyle w:val="VersoIngls01Sangria"/>
        <w:rPr>
          <w:sz w:val="16"/>
          <w:szCs w:val="20"/>
        </w:rPr>
      </w:pPr>
      <w:r w:rsidRPr="00A73EEC">
        <w:rPr>
          <w:sz w:val="16"/>
          <w:szCs w:val="20"/>
        </w:rPr>
        <w:t>Tan grandes que llegar</w:t>
      </w:r>
      <w:r w:rsidR="00835D40" w:rsidRPr="00A73EEC">
        <w:rPr>
          <w:sz w:val="16"/>
          <w:szCs w:val="20"/>
        </w:rPr>
        <w:t>a</w:t>
      </w:r>
      <w:r w:rsidRPr="00A73EEC">
        <w:rPr>
          <w:sz w:val="16"/>
          <w:szCs w:val="20"/>
        </w:rPr>
        <w:t>n hasta el cielo</w:t>
      </w:r>
    </w:p>
    <w:p w14:paraId="6643A744" w14:textId="54AAB1FD" w:rsidR="007E3147" w:rsidRPr="00A73EEC" w:rsidRDefault="007E3147" w:rsidP="007E3147">
      <w:pPr>
        <w:pStyle w:val="VersoIngls01Sangria"/>
        <w:rPr>
          <w:sz w:val="16"/>
          <w:szCs w:val="20"/>
        </w:rPr>
      </w:pPr>
      <w:r w:rsidRPr="00A73EEC">
        <w:rPr>
          <w:sz w:val="16"/>
          <w:szCs w:val="20"/>
        </w:rPr>
        <w:t xml:space="preserve">fueran a avanzar </w:t>
      </w:r>
      <w:r w:rsidR="00835D40" w:rsidRPr="00A73EEC">
        <w:rPr>
          <w:sz w:val="16"/>
          <w:szCs w:val="20"/>
        </w:rPr>
        <w:t xml:space="preserve">desde </w:t>
      </w:r>
      <w:r w:rsidRPr="00A73EEC">
        <w:rPr>
          <w:sz w:val="16"/>
          <w:szCs w:val="20"/>
        </w:rPr>
        <w:t>tod</w:t>
      </w:r>
      <w:r w:rsidR="00B1125C">
        <w:rPr>
          <w:sz w:val="16"/>
          <w:szCs w:val="20"/>
        </w:rPr>
        <w:t>as las direccione</w:t>
      </w:r>
      <w:r w:rsidRPr="00A73EEC">
        <w:rPr>
          <w:sz w:val="16"/>
          <w:szCs w:val="20"/>
        </w:rPr>
        <w:t>s,</w:t>
      </w:r>
    </w:p>
    <w:p w14:paraId="4C74C55A" w14:textId="4B1DBADD" w:rsidR="007E3147" w:rsidRPr="00A73EEC" w:rsidRDefault="00B1125C" w:rsidP="007E3147">
      <w:pPr>
        <w:pStyle w:val="VersoIngls01Sangria"/>
        <w:rPr>
          <w:sz w:val="16"/>
          <w:szCs w:val="20"/>
        </w:rPr>
      </w:pPr>
      <w:r>
        <w:rPr>
          <w:sz w:val="16"/>
          <w:szCs w:val="20"/>
        </w:rPr>
        <w:t>aplastando</w:t>
      </w:r>
      <w:r w:rsidR="007E3147" w:rsidRPr="00A73EEC">
        <w:rPr>
          <w:sz w:val="16"/>
          <w:szCs w:val="20"/>
        </w:rPr>
        <w:t xml:space="preserve"> debajo de ellos todo lo que viv</w:t>
      </w:r>
      <w:r w:rsidR="00117C44" w:rsidRPr="00A73EEC">
        <w:rPr>
          <w:sz w:val="16"/>
          <w:szCs w:val="20"/>
        </w:rPr>
        <w:t>a</w:t>
      </w:r>
      <w:r w:rsidR="007E3147" w:rsidRPr="00A73EEC">
        <w:rPr>
          <w:sz w:val="16"/>
          <w:szCs w:val="20"/>
        </w:rPr>
        <w:t>,</w:t>
      </w:r>
    </w:p>
    <w:p w14:paraId="36C3EBE2" w14:textId="3DDFCEE2" w:rsidR="007E3147" w:rsidRPr="00A73EEC" w:rsidRDefault="007E3147" w:rsidP="007E3147">
      <w:pPr>
        <w:pStyle w:val="VersoIngls01Sangria"/>
        <w:rPr>
          <w:sz w:val="16"/>
          <w:szCs w:val="20"/>
        </w:rPr>
      </w:pPr>
      <w:r w:rsidRPr="00A73EEC">
        <w:rPr>
          <w:sz w:val="16"/>
          <w:szCs w:val="20"/>
        </w:rPr>
        <w:t xml:space="preserve">Así la edad y la muerte </w:t>
      </w:r>
      <w:r w:rsidR="00B1125C">
        <w:rPr>
          <w:sz w:val="16"/>
          <w:szCs w:val="20"/>
        </w:rPr>
        <w:t xml:space="preserve">avanzarán </w:t>
      </w:r>
      <w:r w:rsidRPr="00A73EEC">
        <w:rPr>
          <w:sz w:val="16"/>
          <w:szCs w:val="20"/>
        </w:rPr>
        <w:t>por encima de todo,</w:t>
      </w:r>
    </w:p>
    <w:p w14:paraId="153CFCF2" w14:textId="18251A47" w:rsidR="007E3147" w:rsidRPr="00A73EEC" w:rsidRDefault="00B1125C" w:rsidP="007E3147">
      <w:pPr>
        <w:pStyle w:val="VersoIngls01Sangria"/>
        <w:rPr>
          <w:sz w:val="16"/>
          <w:szCs w:val="20"/>
        </w:rPr>
      </w:pPr>
      <w:r>
        <w:rPr>
          <w:sz w:val="16"/>
          <w:szCs w:val="20"/>
        </w:rPr>
        <w:t>Sobre g</w:t>
      </w:r>
      <w:r w:rsidR="007E3147" w:rsidRPr="00A73EEC">
        <w:rPr>
          <w:sz w:val="16"/>
          <w:szCs w:val="20"/>
        </w:rPr>
        <w:t>uerreros, sacerdotes, mercaderes y artesanos,</w:t>
      </w:r>
    </w:p>
    <w:p w14:paraId="5FC07A19" w14:textId="2BA94CE4" w:rsidR="007E3147" w:rsidRPr="00A73EEC" w:rsidRDefault="00117C44" w:rsidP="007E3147">
      <w:pPr>
        <w:pStyle w:val="VersoIngls01Sangria"/>
        <w:rPr>
          <w:sz w:val="16"/>
          <w:szCs w:val="20"/>
        </w:rPr>
      </w:pPr>
      <w:r w:rsidRPr="00A73EEC">
        <w:rPr>
          <w:sz w:val="16"/>
          <w:szCs w:val="20"/>
        </w:rPr>
        <w:t xml:space="preserve">Marginados </w:t>
      </w:r>
      <w:r w:rsidR="007E3147" w:rsidRPr="00A73EEC">
        <w:rPr>
          <w:sz w:val="16"/>
          <w:szCs w:val="20"/>
        </w:rPr>
        <w:t>y carroñeros</w:t>
      </w:r>
      <w:r w:rsidR="00B1125C">
        <w:rPr>
          <w:sz w:val="16"/>
          <w:szCs w:val="20"/>
        </w:rPr>
        <w:t>;</w:t>
      </w:r>
    </w:p>
    <w:p w14:paraId="7618F509" w14:textId="77777777" w:rsidR="007E3147" w:rsidRPr="00A73EEC" w:rsidRDefault="007E3147" w:rsidP="007E3147">
      <w:pPr>
        <w:pStyle w:val="VersoIngls01Sangria"/>
        <w:rPr>
          <w:sz w:val="16"/>
          <w:szCs w:val="20"/>
        </w:rPr>
      </w:pPr>
      <w:r w:rsidRPr="00A73EEC">
        <w:rPr>
          <w:sz w:val="16"/>
          <w:szCs w:val="20"/>
        </w:rPr>
        <w:t>Aplastando a todos los seres, sin perdonar a ninguno.</w:t>
      </w:r>
    </w:p>
    <w:p w14:paraId="367D3FF3" w14:textId="0AAB6052" w:rsidR="007E3147" w:rsidRPr="00A73EEC" w:rsidRDefault="007E3147" w:rsidP="007E3147">
      <w:pPr>
        <w:pStyle w:val="VersoIngls01Sangria"/>
        <w:rPr>
          <w:sz w:val="16"/>
          <w:szCs w:val="20"/>
        </w:rPr>
      </w:pPr>
      <w:r w:rsidRPr="00A73EEC">
        <w:rPr>
          <w:sz w:val="16"/>
          <w:szCs w:val="20"/>
        </w:rPr>
        <w:t xml:space="preserve">Y aquí no </w:t>
      </w:r>
      <w:r w:rsidR="006A633B">
        <w:rPr>
          <w:sz w:val="16"/>
          <w:szCs w:val="20"/>
        </w:rPr>
        <w:t xml:space="preserve">existirán </w:t>
      </w:r>
      <w:r w:rsidRPr="00A73EEC">
        <w:rPr>
          <w:sz w:val="16"/>
          <w:szCs w:val="20"/>
        </w:rPr>
        <w:t>tropas de elefantes,</w:t>
      </w:r>
    </w:p>
    <w:p w14:paraId="7E0B137B" w14:textId="19E1E6F2" w:rsidR="007E3147" w:rsidRPr="00A73EEC" w:rsidRDefault="00A73EEC" w:rsidP="007E3147">
      <w:pPr>
        <w:pStyle w:val="VersoIngls01Sangria"/>
        <w:rPr>
          <w:sz w:val="16"/>
          <w:szCs w:val="20"/>
        </w:rPr>
      </w:pPr>
      <w:r w:rsidRPr="00A73EEC">
        <w:rPr>
          <w:sz w:val="16"/>
          <w:szCs w:val="20"/>
        </w:rPr>
        <w:t>Ni</w:t>
      </w:r>
      <w:r w:rsidR="007E3147" w:rsidRPr="00A73EEC">
        <w:rPr>
          <w:sz w:val="16"/>
          <w:szCs w:val="20"/>
        </w:rPr>
        <w:t xml:space="preserve"> aurigas, </w:t>
      </w:r>
      <w:r w:rsidRPr="00A73EEC">
        <w:rPr>
          <w:sz w:val="16"/>
          <w:szCs w:val="20"/>
        </w:rPr>
        <w:t xml:space="preserve">ni </w:t>
      </w:r>
      <w:r w:rsidR="007E3147" w:rsidRPr="00A73EEC">
        <w:rPr>
          <w:sz w:val="16"/>
          <w:szCs w:val="20"/>
        </w:rPr>
        <w:t>infantería,</w:t>
      </w:r>
    </w:p>
    <w:p w14:paraId="09F75D75" w14:textId="18D9908C" w:rsidR="007E3147" w:rsidRPr="00A73EEC" w:rsidRDefault="00A73EEC" w:rsidP="007E3147">
      <w:pPr>
        <w:pStyle w:val="VersoIngls01Sangria"/>
        <w:rPr>
          <w:sz w:val="16"/>
          <w:szCs w:val="20"/>
        </w:rPr>
      </w:pPr>
      <w:r w:rsidRPr="00A73EEC">
        <w:rPr>
          <w:sz w:val="16"/>
          <w:szCs w:val="20"/>
        </w:rPr>
        <w:t xml:space="preserve">Ni </w:t>
      </w:r>
      <w:r w:rsidR="007E3147" w:rsidRPr="00A73EEC">
        <w:rPr>
          <w:sz w:val="16"/>
          <w:szCs w:val="20"/>
        </w:rPr>
        <w:t>estrategia en forma de hechizos,</w:t>
      </w:r>
    </w:p>
    <w:p w14:paraId="71C90A12" w14:textId="15BAC6C9" w:rsidR="007E3147" w:rsidRPr="00A73EEC" w:rsidRDefault="00A73EEC" w:rsidP="007E3147">
      <w:pPr>
        <w:pStyle w:val="VersoIngls01Sangria"/>
        <w:spacing w:after="100"/>
        <w:ind w:left="1418"/>
        <w:rPr>
          <w:sz w:val="16"/>
          <w:szCs w:val="20"/>
        </w:rPr>
      </w:pPr>
      <w:r w:rsidRPr="00A73EEC">
        <w:rPr>
          <w:sz w:val="16"/>
          <w:szCs w:val="20"/>
        </w:rPr>
        <w:t xml:space="preserve">Ni </w:t>
      </w:r>
      <w:r w:rsidR="007E3147" w:rsidRPr="00A73EEC">
        <w:rPr>
          <w:sz w:val="16"/>
          <w:szCs w:val="20"/>
        </w:rPr>
        <w:t xml:space="preserve">riquezas </w:t>
      </w:r>
      <w:r w:rsidRPr="00A73EEC">
        <w:rPr>
          <w:sz w:val="16"/>
          <w:szCs w:val="20"/>
        </w:rPr>
        <w:t xml:space="preserve">que </w:t>
      </w:r>
      <w:r w:rsidR="007E3147" w:rsidRPr="00A73EEC">
        <w:rPr>
          <w:sz w:val="16"/>
          <w:szCs w:val="20"/>
        </w:rPr>
        <w:t>sirv</w:t>
      </w:r>
      <w:r w:rsidRPr="00A73EEC">
        <w:rPr>
          <w:sz w:val="16"/>
          <w:szCs w:val="20"/>
        </w:rPr>
        <w:t>a</w:t>
      </w:r>
      <w:r w:rsidR="007E3147" w:rsidRPr="00A73EEC">
        <w:rPr>
          <w:sz w:val="16"/>
          <w:szCs w:val="20"/>
        </w:rPr>
        <w:t>n para abatirlas” (S I 102).</w:t>
      </w:r>
    </w:p>
    <w:p w14:paraId="48945A10" w14:textId="4C9519C8" w:rsidR="007E3147" w:rsidRDefault="007E3147" w:rsidP="007E3147">
      <w:pPr>
        <w:pStyle w:val="NormalConSangria"/>
      </w:pPr>
      <w:r>
        <w:t>Así es c</w:t>
      </w:r>
      <w:r w:rsidR="006A633B">
        <w:t>ó</w:t>
      </w:r>
      <w:r>
        <w:t xml:space="preserve">mo la muerte debe ser </w:t>
      </w:r>
      <w:r w:rsidR="00A73EEC">
        <w:t>evocada</w:t>
      </w:r>
      <w:r>
        <w:t xml:space="preserve"> como la “ruina del éxito”, definiéndola como la ruina final de la vida</w:t>
      </w:r>
      <w:r w:rsidR="007C0BA9" w:rsidRPr="007C0BA9">
        <w:t xml:space="preserve"> </w:t>
      </w:r>
      <w:r w:rsidR="007C0BA9">
        <w:t>a través del éxito de la muerte</w:t>
      </w:r>
      <w:r>
        <w:t>.</w:t>
      </w:r>
    </w:p>
    <w:p w14:paraId="7E4FE5A9" w14:textId="53606FDA" w:rsidR="007E3147" w:rsidRDefault="007E3147" w:rsidP="007E3147">
      <w:r>
        <w:t xml:space="preserve">16. </w:t>
      </w:r>
      <w:r>
        <w:tab/>
        <w:t xml:space="preserve">3. </w:t>
      </w:r>
      <w:r w:rsidR="006213CF">
        <w:rPr>
          <w:i/>
          <w:iCs/>
        </w:rPr>
        <w:t>Mediante la</w:t>
      </w:r>
      <w:r w:rsidRPr="00C6498C">
        <w:rPr>
          <w:i/>
          <w:iCs/>
        </w:rPr>
        <w:t xml:space="preserve"> comparación</w:t>
      </w:r>
      <w:r>
        <w:t xml:space="preserve">: </w:t>
      </w:r>
      <w:r w:rsidR="00596D0D">
        <w:t xml:space="preserve">mediante la comparación </w:t>
      </w:r>
      <w:r>
        <w:t xml:space="preserve">con los demás. </w:t>
      </w:r>
      <w:r w:rsidR="00596D0D">
        <w:t>Al respecto</w:t>
      </w:r>
      <w:r>
        <w:t>, la muerte debe</w:t>
      </w:r>
      <w:r w:rsidR="00596D0D">
        <w:t>rá</w:t>
      </w:r>
      <w:r>
        <w:t xml:space="preserve"> </w:t>
      </w:r>
      <w:r w:rsidR="00A1362B">
        <w:t>evocarse</w:t>
      </w:r>
      <w:r>
        <w:t xml:space="preserve"> por comparación de siete maneras, es decir: </w:t>
      </w:r>
      <w:r w:rsidR="00E36B41">
        <w:t xml:space="preserve">(i) </w:t>
      </w:r>
      <w:r>
        <w:t xml:space="preserve">con los de gran fama, </w:t>
      </w:r>
      <w:r w:rsidR="00E36B41">
        <w:t>(</w:t>
      </w:r>
      <w:proofErr w:type="spellStart"/>
      <w:r w:rsidR="00E36B41">
        <w:t>ii</w:t>
      </w:r>
      <w:proofErr w:type="spellEnd"/>
      <w:r w:rsidR="00E36B41">
        <w:t xml:space="preserve">) </w:t>
      </w:r>
      <w:r>
        <w:t xml:space="preserve">con los de gran mérito, </w:t>
      </w:r>
      <w:r w:rsidR="00E36B41">
        <w:t>(</w:t>
      </w:r>
      <w:proofErr w:type="spellStart"/>
      <w:r w:rsidR="00E36B41">
        <w:t>iii</w:t>
      </w:r>
      <w:proofErr w:type="spellEnd"/>
      <w:r w:rsidR="00E36B41">
        <w:t xml:space="preserve">) </w:t>
      </w:r>
      <w:r>
        <w:t>con los de gran fuerza,</w:t>
      </w:r>
      <w:r w:rsidR="00E36B41" w:rsidRPr="00E36B41">
        <w:t xml:space="preserve"> </w:t>
      </w:r>
      <w:r w:rsidR="00E36B41">
        <w:t>(</w:t>
      </w:r>
      <w:proofErr w:type="spellStart"/>
      <w:r w:rsidR="00E36B41">
        <w:t>iv</w:t>
      </w:r>
      <w:proofErr w:type="spellEnd"/>
      <w:r w:rsidR="00E36B41">
        <w:t>)</w:t>
      </w:r>
      <w:r>
        <w:t xml:space="preserve"> con los de gran poder sobrenatural, </w:t>
      </w:r>
      <w:r w:rsidR="00E36B41">
        <w:t xml:space="preserve">(v) </w:t>
      </w:r>
      <w:r>
        <w:t xml:space="preserve">con los de gran </w:t>
      </w:r>
      <w:r w:rsidR="00190E8F">
        <w:t>entendimiento</w:t>
      </w:r>
      <w:r>
        <w:t xml:space="preserve">, </w:t>
      </w:r>
      <w:r w:rsidR="00E36B41">
        <w:t xml:space="preserve">(vi) </w:t>
      </w:r>
      <w:r>
        <w:t xml:space="preserve">con </w:t>
      </w:r>
      <w:r w:rsidR="00190E8F">
        <w:t xml:space="preserve">los </w:t>
      </w:r>
      <w:proofErr w:type="spellStart"/>
      <w:r w:rsidR="00190E8F" w:rsidRPr="00190E8F">
        <w:rPr>
          <w:i/>
          <w:iCs/>
        </w:rPr>
        <w:t>Paccekabuddhas</w:t>
      </w:r>
      <w:proofErr w:type="spellEnd"/>
      <w:r>
        <w:t xml:space="preserve">, </w:t>
      </w:r>
      <w:r w:rsidR="00E36B41">
        <w:t>(</w:t>
      </w:r>
      <w:proofErr w:type="spellStart"/>
      <w:r w:rsidR="00E36B41">
        <w:t>vii</w:t>
      </w:r>
      <w:proofErr w:type="spellEnd"/>
      <w:r w:rsidR="00E36B41">
        <w:t xml:space="preserve">) </w:t>
      </w:r>
      <w:r>
        <w:t xml:space="preserve">con </w:t>
      </w:r>
      <w:r w:rsidR="00190E8F">
        <w:t xml:space="preserve">los </w:t>
      </w:r>
      <w:r w:rsidR="00057BF4" w:rsidRPr="00057BF4">
        <w:rPr>
          <w:i/>
        </w:rPr>
        <w:t>Buddha</w:t>
      </w:r>
      <w:r>
        <w:t>s plenamente iluminados. ¿Cómo? [233]</w:t>
      </w:r>
    </w:p>
    <w:p w14:paraId="5A2A7A08" w14:textId="7ADA9CC1" w:rsidR="007E3147" w:rsidRDefault="007E3147" w:rsidP="007E3147">
      <w:r>
        <w:t xml:space="preserve">17. </w:t>
      </w:r>
      <w:r>
        <w:tab/>
        <w:t xml:space="preserve">Aunque </w:t>
      </w:r>
      <w:proofErr w:type="spellStart"/>
      <w:r>
        <w:t>Mahāsammata</w:t>
      </w:r>
      <w:proofErr w:type="spellEnd"/>
      <w:r>
        <w:t xml:space="preserve">, </w:t>
      </w:r>
      <w:proofErr w:type="spellStart"/>
      <w:r>
        <w:t>Mandhātu</w:t>
      </w:r>
      <w:proofErr w:type="spellEnd"/>
      <w:r>
        <w:t xml:space="preserve">, </w:t>
      </w:r>
      <w:proofErr w:type="spellStart"/>
      <w:r>
        <w:t>Mahāsudassana</w:t>
      </w:r>
      <w:proofErr w:type="spellEnd"/>
      <w:r>
        <w:t xml:space="preserve">, </w:t>
      </w:r>
      <w:proofErr w:type="spellStart"/>
      <w:r>
        <w:t>Daḷhanemi</w:t>
      </w:r>
      <w:proofErr w:type="spellEnd"/>
      <w:r>
        <w:t xml:space="preserve">, </w:t>
      </w:r>
      <w:proofErr w:type="spellStart"/>
      <w:r>
        <w:t>Nimi</w:t>
      </w:r>
      <w:proofErr w:type="spellEnd"/>
      <w:r>
        <w:t xml:space="preserve">, </w:t>
      </w:r>
      <w:r w:rsidRPr="00950C49">
        <w:rPr>
          <w:vertAlign w:val="superscript"/>
        </w:rPr>
        <w:t>6</w:t>
      </w:r>
      <w:r>
        <w:t xml:space="preserve"> etc., </w:t>
      </w:r>
      <w:r w:rsidRPr="00950C49">
        <w:rPr>
          <w:vertAlign w:val="superscript"/>
        </w:rPr>
        <w:t>7</w:t>
      </w:r>
      <w:r>
        <w:t xml:space="preserve"> eran muy famosos y tenían muchos seguidores y aunque </w:t>
      </w:r>
      <w:r w:rsidR="001568EF">
        <w:t>hubiesen</w:t>
      </w:r>
      <w:r>
        <w:t xml:space="preserve"> acumulado una enorme riqueza, la muerte inevitablemente </w:t>
      </w:r>
      <w:r w:rsidR="001568EF">
        <w:t xml:space="preserve">al final </w:t>
      </w:r>
      <w:r>
        <w:t>los alcanzó</w:t>
      </w:r>
      <w:r w:rsidR="005D53DD">
        <w:t xml:space="preserve"> a todos</w:t>
      </w:r>
      <w:r>
        <w:t xml:space="preserve">, así que, ¿cómo no </w:t>
      </w:r>
      <w:r w:rsidR="005D53DD">
        <w:t xml:space="preserve">conseguiría </w:t>
      </w:r>
      <w:r>
        <w:t>fin</w:t>
      </w:r>
      <w:r w:rsidR="001568EF">
        <w:t>almente</w:t>
      </w:r>
      <w:r>
        <w:t xml:space="preserve"> alcanza</w:t>
      </w:r>
      <w:r w:rsidR="001568EF">
        <w:t>rme</w:t>
      </w:r>
      <w:r>
        <w:t>?</w:t>
      </w:r>
    </w:p>
    <w:p w14:paraId="2A9865A4" w14:textId="0F7D9D75" w:rsidR="007E3147" w:rsidRPr="005D53DD" w:rsidRDefault="007E3147" w:rsidP="007E3147">
      <w:pPr>
        <w:pStyle w:val="VersoIngls01Sangria"/>
        <w:rPr>
          <w:sz w:val="16"/>
          <w:szCs w:val="20"/>
        </w:rPr>
      </w:pPr>
      <w:r w:rsidRPr="005D53DD">
        <w:rPr>
          <w:sz w:val="16"/>
          <w:szCs w:val="20"/>
        </w:rPr>
        <w:t xml:space="preserve">Grandes </w:t>
      </w:r>
      <w:r w:rsidR="00B9245E" w:rsidRPr="005D53DD">
        <w:rPr>
          <w:sz w:val="16"/>
          <w:szCs w:val="20"/>
        </w:rPr>
        <w:t xml:space="preserve">Reyes </w:t>
      </w:r>
      <w:r w:rsidRPr="005D53DD">
        <w:rPr>
          <w:sz w:val="16"/>
          <w:szCs w:val="20"/>
        </w:rPr>
        <w:t xml:space="preserve">como </w:t>
      </w:r>
      <w:proofErr w:type="spellStart"/>
      <w:r w:rsidRPr="005D53DD">
        <w:rPr>
          <w:sz w:val="16"/>
          <w:szCs w:val="20"/>
        </w:rPr>
        <w:t>Mahāsammata</w:t>
      </w:r>
      <w:proofErr w:type="spellEnd"/>
      <w:r w:rsidRPr="005D53DD">
        <w:rPr>
          <w:sz w:val="16"/>
          <w:szCs w:val="20"/>
        </w:rPr>
        <w:t>,</w:t>
      </w:r>
    </w:p>
    <w:p w14:paraId="33800B29" w14:textId="7B00E71B" w:rsidR="007E3147" w:rsidRPr="005D53DD" w:rsidRDefault="007E3147" w:rsidP="007E3147">
      <w:pPr>
        <w:pStyle w:val="VersoIngls01Sangria"/>
        <w:rPr>
          <w:sz w:val="16"/>
          <w:szCs w:val="20"/>
        </w:rPr>
      </w:pPr>
      <w:r w:rsidRPr="005D53DD">
        <w:rPr>
          <w:sz w:val="16"/>
          <w:szCs w:val="20"/>
        </w:rPr>
        <w:t xml:space="preserve">cuya fama se extendió tan </w:t>
      </w:r>
      <w:r w:rsidR="00B9245E" w:rsidRPr="005D53DD">
        <w:rPr>
          <w:sz w:val="16"/>
          <w:szCs w:val="20"/>
        </w:rPr>
        <w:t>omnipotentemente</w:t>
      </w:r>
      <w:r w:rsidRPr="005D53DD">
        <w:rPr>
          <w:sz w:val="16"/>
          <w:szCs w:val="20"/>
        </w:rPr>
        <w:t>,</w:t>
      </w:r>
    </w:p>
    <w:p w14:paraId="523901C7" w14:textId="1E0405D3" w:rsidR="007E3147" w:rsidRPr="005D53DD" w:rsidRDefault="007E3147" w:rsidP="007E3147">
      <w:pPr>
        <w:pStyle w:val="VersoIngls01Sangria"/>
        <w:rPr>
          <w:sz w:val="16"/>
          <w:szCs w:val="20"/>
        </w:rPr>
      </w:pPr>
      <w:r w:rsidRPr="005D53DD">
        <w:rPr>
          <w:sz w:val="16"/>
          <w:szCs w:val="20"/>
        </w:rPr>
        <w:t xml:space="preserve">Todos también </w:t>
      </w:r>
      <w:r w:rsidR="002D297A" w:rsidRPr="005D53DD">
        <w:rPr>
          <w:sz w:val="16"/>
          <w:szCs w:val="20"/>
        </w:rPr>
        <w:t xml:space="preserve">cayeron </w:t>
      </w:r>
      <w:r w:rsidR="00B9245E" w:rsidRPr="005D53DD">
        <w:rPr>
          <w:sz w:val="16"/>
          <w:szCs w:val="20"/>
        </w:rPr>
        <w:t>bajo</w:t>
      </w:r>
      <w:r w:rsidRPr="005D53DD">
        <w:rPr>
          <w:sz w:val="16"/>
          <w:szCs w:val="20"/>
        </w:rPr>
        <w:t xml:space="preserve"> el poder de la muerte;</w:t>
      </w:r>
    </w:p>
    <w:p w14:paraId="70061FFC" w14:textId="30B84941" w:rsidR="007E3147" w:rsidRDefault="007E3147" w:rsidP="007E3147">
      <w:pPr>
        <w:pStyle w:val="VersoIngls01Sangria"/>
        <w:spacing w:after="100"/>
        <w:ind w:left="1418"/>
        <w:rPr>
          <w:sz w:val="16"/>
          <w:szCs w:val="20"/>
        </w:rPr>
      </w:pPr>
      <w:r w:rsidRPr="005D53DD">
        <w:rPr>
          <w:sz w:val="16"/>
          <w:szCs w:val="20"/>
        </w:rPr>
        <w:t xml:space="preserve">¿Qué se </w:t>
      </w:r>
      <w:r w:rsidR="00B9245E" w:rsidRPr="005D53DD">
        <w:rPr>
          <w:sz w:val="16"/>
          <w:szCs w:val="20"/>
        </w:rPr>
        <w:t>podr</w:t>
      </w:r>
      <w:r w:rsidR="002D297A">
        <w:rPr>
          <w:sz w:val="16"/>
          <w:szCs w:val="20"/>
        </w:rPr>
        <w:t>ía</w:t>
      </w:r>
      <w:r w:rsidR="00B9245E" w:rsidRPr="005D53DD">
        <w:rPr>
          <w:sz w:val="16"/>
          <w:szCs w:val="20"/>
        </w:rPr>
        <w:t xml:space="preserve"> </w:t>
      </w:r>
      <w:r w:rsidRPr="005D53DD">
        <w:rPr>
          <w:sz w:val="16"/>
          <w:szCs w:val="20"/>
        </w:rPr>
        <w:t xml:space="preserve">decir de </w:t>
      </w:r>
      <w:r w:rsidR="00392BF7" w:rsidRPr="005D53DD">
        <w:rPr>
          <w:sz w:val="16"/>
          <w:szCs w:val="20"/>
        </w:rPr>
        <w:t xml:space="preserve">aquellos </w:t>
      </w:r>
      <w:r w:rsidRPr="005D53DD">
        <w:rPr>
          <w:sz w:val="16"/>
          <w:szCs w:val="20"/>
        </w:rPr>
        <w:t>que s</w:t>
      </w:r>
      <w:r w:rsidR="00B9245E" w:rsidRPr="005D53DD">
        <w:rPr>
          <w:sz w:val="16"/>
          <w:szCs w:val="20"/>
        </w:rPr>
        <w:t>ea</w:t>
      </w:r>
      <w:r w:rsidRPr="005D53DD">
        <w:rPr>
          <w:sz w:val="16"/>
          <w:szCs w:val="20"/>
        </w:rPr>
        <w:t>n como yo?</w:t>
      </w:r>
    </w:p>
    <w:p w14:paraId="70E73046" w14:textId="77777777" w:rsidR="005D53DD" w:rsidRPr="005D53DD" w:rsidRDefault="005D53DD" w:rsidP="007E3147">
      <w:pPr>
        <w:pStyle w:val="VersoIngls01Sangria"/>
        <w:spacing w:after="100"/>
        <w:ind w:left="1418"/>
        <w:rPr>
          <w:sz w:val="16"/>
          <w:szCs w:val="20"/>
        </w:rPr>
      </w:pPr>
    </w:p>
    <w:p w14:paraId="00AA9998" w14:textId="77777777" w:rsidR="007E3147" w:rsidRDefault="007E3147" w:rsidP="007E3147">
      <w:pPr>
        <w:pStyle w:val="Piedepgina"/>
        <w:rPr>
          <w:u w:val="single"/>
        </w:rPr>
      </w:pPr>
      <w:r>
        <w:t> </w:t>
      </w:r>
      <w:r>
        <w:rPr>
          <w:u w:val="single"/>
        </w:rPr>
        <w:t xml:space="preserve">                                                                                                                                                                          .</w:t>
      </w:r>
    </w:p>
    <w:p w14:paraId="1B91FB4D" w14:textId="7B53664E" w:rsidR="007E3147" w:rsidRDefault="007E3147" w:rsidP="007E3147">
      <w:pPr>
        <w:pStyle w:val="PiedepginaLegal"/>
      </w:pPr>
      <w:r>
        <w:t xml:space="preserve">5. </w:t>
      </w:r>
      <w:r>
        <w:tab/>
        <w:t xml:space="preserve">Se hace referencia al emperador </w:t>
      </w:r>
      <w:proofErr w:type="spellStart"/>
      <w:r w:rsidRPr="008C54A6">
        <w:t>Asoka</w:t>
      </w:r>
      <w:proofErr w:type="spellEnd"/>
      <w:r>
        <w:t xml:space="preserve">. Su nombre </w:t>
      </w:r>
      <w:proofErr w:type="spellStart"/>
      <w:r w:rsidRPr="008C54A6">
        <w:rPr>
          <w:i/>
          <w:iCs/>
        </w:rPr>
        <w:t>Asoka</w:t>
      </w:r>
      <w:proofErr w:type="spellEnd"/>
      <w:r>
        <w:t xml:space="preserve"> significa "sin </w:t>
      </w:r>
      <w:r w:rsidR="00876FD7">
        <w:t>aflicción</w:t>
      </w:r>
      <w:r>
        <w:t xml:space="preserve">". Esta historia se encuentra en </w:t>
      </w:r>
      <w:proofErr w:type="spellStart"/>
      <w:r w:rsidRPr="008C54A6">
        <w:rPr>
          <w:i/>
          <w:iCs/>
        </w:rPr>
        <w:t>Asokāvadāna</w:t>
      </w:r>
      <w:proofErr w:type="spellEnd"/>
      <w:r>
        <w:t xml:space="preserve"> y </w:t>
      </w:r>
      <w:proofErr w:type="spellStart"/>
      <w:r w:rsidRPr="008C54A6">
        <w:rPr>
          <w:i/>
          <w:iCs/>
        </w:rPr>
        <w:t>Divyāvadāna</w:t>
      </w:r>
      <w:proofErr w:type="spellEnd"/>
      <w:r>
        <w:t>, págs. 429–434.</w:t>
      </w:r>
    </w:p>
    <w:p w14:paraId="4A6266FA" w14:textId="09345C94" w:rsidR="007E3147" w:rsidRDefault="007E3147" w:rsidP="007E3147">
      <w:pPr>
        <w:pStyle w:val="PiedepginaLegal"/>
      </w:pPr>
      <w:r>
        <w:t xml:space="preserve">6. </w:t>
      </w:r>
      <w:r>
        <w:tab/>
        <w:t xml:space="preserve">Las referencias de los nombres aquí y en los siguientes párrafos son: </w:t>
      </w:r>
      <w:proofErr w:type="spellStart"/>
      <w:r w:rsidRPr="008C54A6">
        <w:rPr>
          <w:i/>
          <w:iCs/>
        </w:rPr>
        <w:t>Mahāsammata</w:t>
      </w:r>
      <w:proofErr w:type="spellEnd"/>
      <w:r>
        <w:t xml:space="preserve"> (J-a III 454; II 311), </w:t>
      </w:r>
      <w:proofErr w:type="spellStart"/>
      <w:r w:rsidRPr="008C54A6">
        <w:rPr>
          <w:i/>
          <w:iCs/>
        </w:rPr>
        <w:t>Mandhātu</w:t>
      </w:r>
      <w:proofErr w:type="spellEnd"/>
      <w:r>
        <w:t xml:space="preserve"> (J-a II 311), </w:t>
      </w:r>
      <w:proofErr w:type="spellStart"/>
      <w:r w:rsidRPr="008C54A6">
        <w:rPr>
          <w:i/>
          <w:iCs/>
        </w:rPr>
        <w:t>Mahāsudassana</w:t>
      </w:r>
      <w:proofErr w:type="spellEnd"/>
      <w:r>
        <w:t xml:space="preserve"> (D II 169f.), </w:t>
      </w:r>
      <w:proofErr w:type="spellStart"/>
      <w:r w:rsidRPr="008C54A6">
        <w:rPr>
          <w:i/>
          <w:iCs/>
        </w:rPr>
        <w:t>Daḷhanemi</w:t>
      </w:r>
      <w:proofErr w:type="spellEnd"/>
      <w:r>
        <w:t xml:space="preserve"> (D III 59f.), </w:t>
      </w:r>
      <w:proofErr w:type="spellStart"/>
      <w:r w:rsidRPr="008C54A6">
        <w:rPr>
          <w:i/>
          <w:iCs/>
        </w:rPr>
        <w:t>Nimi</w:t>
      </w:r>
      <w:proofErr w:type="spellEnd"/>
      <w:r>
        <w:t xml:space="preserve"> (J-a VI 96f.), </w:t>
      </w:r>
      <w:proofErr w:type="spellStart"/>
      <w:r w:rsidRPr="008C54A6">
        <w:rPr>
          <w:i/>
          <w:iCs/>
        </w:rPr>
        <w:t>Jotika</w:t>
      </w:r>
      <w:proofErr w:type="spellEnd"/>
      <w:r>
        <w:t xml:space="preserve"> (</w:t>
      </w:r>
      <w:proofErr w:type="spellStart"/>
      <w:r>
        <w:t>Vism</w:t>
      </w:r>
      <w:proofErr w:type="spellEnd"/>
      <w:r>
        <w:t xml:space="preserve"> XII.41), </w:t>
      </w:r>
      <w:proofErr w:type="spellStart"/>
      <w:r w:rsidRPr="008C54A6">
        <w:rPr>
          <w:i/>
          <w:iCs/>
        </w:rPr>
        <w:t>Ja</w:t>
      </w:r>
      <w:r w:rsidR="008C54A6" w:rsidRPr="008C54A6">
        <w:rPr>
          <w:i/>
          <w:iCs/>
        </w:rPr>
        <w:t>ṭ</w:t>
      </w:r>
      <w:r w:rsidRPr="008C54A6">
        <w:rPr>
          <w:i/>
          <w:iCs/>
        </w:rPr>
        <w:t>ila</w:t>
      </w:r>
      <w:proofErr w:type="spellEnd"/>
      <w:r>
        <w:t xml:space="preserve"> (XII.41), </w:t>
      </w:r>
      <w:proofErr w:type="spellStart"/>
      <w:r>
        <w:t>Ugga</w:t>
      </w:r>
      <w:proofErr w:type="spellEnd"/>
      <w:r>
        <w:t xml:space="preserve"> (A-a I 394), </w:t>
      </w:r>
      <w:proofErr w:type="spellStart"/>
      <w:r w:rsidRPr="008C54A6">
        <w:rPr>
          <w:i/>
          <w:iCs/>
        </w:rPr>
        <w:t>Meṇḍaka</w:t>
      </w:r>
      <w:proofErr w:type="spellEnd"/>
      <w:r>
        <w:t xml:space="preserve"> (XII.41f.), </w:t>
      </w:r>
      <w:proofErr w:type="spellStart"/>
      <w:r w:rsidRPr="008C54A6">
        <w:rPr>
          <w:i/>
          <w:iCs/>
        </w:rPr>
        <w:t>Puṇṇaka</w:t>
      </w:r>
      <w:proofErr w:type="spellEnd"/>
      <w:r>
        <w:t xml:space="preserve"> (XII.42), </w:t>
      </w:r>
      <w:proofErr w:type="spellStart"/>
      <w:r w:rsidRPr="008C54A6">
        <w:rPr>
          <w:i/>
          <w:iCs/>
        </w:rPr>
        <w:t>Vāsu</w:t>
      </w:r>
      <w:r w:rsidR="00057BF4" w:rsidRPr="00057BF4">
        <w:rPr>
          <w:i/>
          <w:iCs/>
        </w:rPr>
        <w:t>deva</w:t>
      </w:r>
      <w:proofErr w:type="spellEnd"/>
      <w:r>
        <w:t xml:space="preserve"> (J-a IV 81f.), </w:t>
      </w:r>
      <w:proofErr w:type="spellStart"/>
      <w:r w:rsidRPr="008C54A6">
        <w:rPr>
          <w:i/>
          <w:iCs/>
        </w:rPr>
        <w:t>Bala</w:t>
      </w:r>
      <w:r w:rsidR="00057BF4" w:rsidRPr="00057BF4">
        <w:rPr>
          <w:i/>
          <w:iCs/>
        </w:rPr>
        <w:t>deva</w:t>
      </w:r>
      <w:proofErr w:type="spellEnd"/>
      <w:r>
        <w:t xml:space="preserve"> (J-a IV 81f.), </w:t>
      </w:r>
      <w:proofErr w:type="spellStart"/>
      <w:r w:rsidRPr="008C54A6">
        <w:rPr>
          <w:i/>
          <w:iCs/>
        </w:rPr>
        <w:t>Bhīmasena</w:t>
      </w:r>
      <w:proofErr w:type="spellEnd"/>
      <w:r>
        <w:t xml:space="preserve"> (J-a V 426), </w:t>
      </w:r>
      <w:proofErr w:type="spellStart"/>
      <w:r w:rsidRPr="008C54A6">
        <w:rPr>
          <w:i/>
          <w:iCs/>
        </w:rPr>
        <w:t>Yuddhiṭṭhila</w:t>
      </w:r>
      <w:proofErr w:type="spellEnd"/>
      <w:r>
        <w:t xml:space="preserve"> (J-a V 426), </w:t>
      </w:r>
      <w:proofErr w:type="spellStart"/>
      <w:r w:rsidRPr="008C54A6">
        <w:rPr>
          <w:i/>
          <w:iCs/>
        </w:rPr>
        <w:t>Cāṇura</w:t>
      </w:r>
      <w:proofErr w:type="spellEnd"/>
      <w:r>
        <w:t xml:space="preserve"> (J-a IV 81).</w:t>
      </w:r>
    </w:p>
    <w:p w14:paraId="2A351C9E" w14:textId="1994049B" w:rsidR="007E3147" w:rsidRDefault="007E3147" w:rsidP="007E3147">
      <w:pPr>
        <w:pStyle w:val="PiedepginaLegal"/>
      </w:pPr>
      <w:r>
        <w:t xml:space="preserve">7. </w:t>
      </w:r>
      <w:r>
        <w:tab/>
      </w:r>
      <w:proofErr w:type="spellStart"/>
      <w:r w:rsidRPr="008C54A6">
        <w:rPr>
          <w:i/>
          <w:iCs/>
        </w:rPr>
        <w:t>Pabhuti</w:t>
      </w:r>
      <w:proofErr w:type="spellEnd"/>
      <w:r>
        <w:t xml:space="preserve">—“etc.”: este significado no está en </w:t>
      </w:r>
      <w:r w:rsidR="00426180">
        <w:t xml:space="preserve">el </w:t>
      </w:r>
      <w:r>
        <w:t>PED; ver §121.</w:t>
      </w:r>
    </w:p>
    <w:p w14:paraId="67A620C0" w14:textId="77777777" w:rsidR="007E3147" w:rsidRDefault="007E3147">
      <w:pPr>
        <w:tabs>
          <w:tab w:val="clear" w:pos="425"/>
        </w:tabs>
        <w:spacing w:after="160"/>
      </w:pPr>
      <w:r>
        <w:br w:type="page"/>
      </w:r>
    </w:p>
    <w:p w14:paraId="43F6719C" w14:textId="5758AE4A" w:rsidR="00844A4C" w:rsidRDefault="00B9245E" w:rsidP="00844A4C">
      <w:pPr>
        <w:pStyle w:val="NormalConSangria"/>
      </w:pPr>
      <w:r>
        <w:lastRenderedPageBreak/>
        <w:t>La muerte d</w:t>
      </w:r>
      <w:r w:rsidR="00844A4C">
        <w:t>ebe</w:t>
      </w:r>
      <w:r w:rsidR="002D297A">
        <w:t>rá</w:t>
      </w:r>
      <w:r w:rsidR="00844A4C">
        <w:t xml:space="preserve"> </w:t>
      </w:r>
      <w:r w:rsidR="002D297A">
        <w:t>evocarse</w:t>
      </w:r>
      <w:r w:rsidR="00844A4C">
        <w:t xml:space="preserve"> así, en primer lugar, </w:t>
      </w:r>
      <w:r w:rsidR="002D297A">
        <w:t>mediante la</w:t>
      </w:r>
      <w:r w:rsidR="00844A4C">
        <w:t xml:space="preserve"> comparación </w:t>
      </w:r>
      <w:r w:rsidR="00844A4C" w:rsidRPr="008C54A6">
        <w:rPr>
          <w:i/>
          <w:iCs/>
        </w:rPr>
        <w:t>con los de gran fama</w:t>
      </w:r>
      <w:r w:rsidR="00844A4C">
        <w:t>.</w:t>
      </w:r>
    </w:p>
    <w:p w14:paraId="60713753" w14:textId="6C7F5115" w:rsidR="00844A4C" w:rsidRDefault="00844A4C" w:rsidP="00844A4C">
      <w:r>
        <w:t xml:space="preserve">18. </w:t>
      </w:r>
      <w:r w:rsidR="003B393B">
        <w:tab/>
      </w:r>
      <w:r>
        <w:t xml:space="preserve">¿Cómo </w:t>
      </w:r>
      <w:r w:rsidR="002D297A">
        <w:t xml:space="preserve">mediante la </w:t>
      </w:r>
      <w:r>
        <w:t>comparación con los de gran mérito?</w:t>
      </w:r>
    </w:p>
    <w:p w14:paraId="72645A31" w14:textId="7D1E251F" w:rsidR="00844A4C" w:rsidRDefault="00844A4C" w:rsidP="00844A4C">
      <w:pPr>
        <w:pStyle w:val="VersoIngls01Sangria"/>
      </w:pPr>
      <w:proofErr w:type="spellStart"/>
      <w:r>
        <w:t>Jotika</w:t>
      </w:r>
      <w:proofErr w:type="spellEnd"/>
      <w:r>
        <w:t xml:space="preserve">, </w:t>
      </w:r>
      <w:proofErr w:type="spellStart"/>
      <w:r>
        <w:t>Ja</w:t>
      </w:r>
      <w:r w:rsidR="00D701D6">
        <w:t>ṭ</w:t>
      </w:r>
      <w:r>
        <w:t>ila</w:t>
      </w:r>
      <w:proofErr w:type="spellEnd"/>
      <w:r>
        <w:t xml:space="preserve">, </w:t>
      </w:r>
      <w:proofErr w:type="spellStart"/>
      <w:r>
        <w:t>Ugga</w:t>
      </w:r>
      <w:proofErr w:type="spellEnd"/>
      <w:r>
        <w:t>,</w:t>
      </w:r>
    </w:p>
    <w:p w14:paraId="0EE51159" w14:textId="75681585" w:rsidR="00844A4C" w:rsidRDefault="00844A4C" w:rsidP="00844A4C">
      <w:pPr>
        <w:pStyle w:val="VersoIngls01Sangria"/>
      </w:pPr>
      <w:proofErr w:type="spellStart"/>
      <w:r>
        <w:t>Me</w:t>
      </w:r>
      <w:r w:rsidR="008C54A6">
        <w:t>ṇḍ</w:t>
      </w:r>
      <w:r>
        <w:t>aka</w:t>
      </w:r>
      <w:proofErr w:type="spellEnd"/>
      <w:r>
        <w:t xml:space="preserve"> y </w:t>
      </w:r>
      <w:proofErr w:type="spellStart"/>
      <w:r>
        <w:t>Pu</w:t>
      </w:r>
      <w:r w:rsidR="008C54A6">
        <w:t>ṇṇ</w:t>
      </w:r>
      <w:r>
        <w:t>aka</w:t>
      </w:r>
      <w:proofErr w:type="spellEnd"/>
    </w:p>
    <w:p w14:paraId="04D74D71" w14:textId="3A8AE7F9" w:rsidR="00844A4C" w:rsidRDefault="00844A4C" w:rsidP="00844A4C">
      <w:pPr>
        <w:pStyle w:val="VersoIngls01Sangria"/>
      </w:pPr>
      <w:r>
        <w:t>Estos, dijo el mundo y otros también,</w:t>
      </w:r>
    </w:p>
    <w:p w14:paraId="52C28DD0" w14:textId="7AA9E41F" w:rsidR="00844A4C" w:rsidRDefault="002D297A" w:rsidP="00844A4C">
      <w:pPr>
        <w:pStyle w:val="VersoIngls01Sangria"/>
      </w:pPr>
      <w:r>
        <w:t xml:space="preserve">Vivieron </w:t>
      </w:r>
      <w:r w:rsidR="00EE024C">
        <w:t xml:space="preserve">muy </w:t>
      </w:r>
      <w:r w:rsidR="00844A4C">
        <w:t>meritoriamente;</w:t>
      </w:r>
    </w:p>
    <w:p w14:paraId="0CC75363" w14:textId="6A7AA310" w:rsidR="00844A4C" w:rsidRDefault="002D297A" w:rsidP="00844A4C">
      <w:pPr>
        <w:pStyle w:val="VersoIngls01Sangria"/>
      </w:pPr>
      <w:r>
        <w:t xml:space="preserve">No obstante, </w:t>
      </w:r>
      <w:r w:rsidR="00844A4C">
        <w:t xml:space="preserve">todos y cada uno </w:t>
      </w:r>
      <w:r w:rsidR="00EE024C">
        <w:t xml:space="preserve">de ellos </w:t>
      </w:r>
      <w:r w:rsidR="00844A4C">
        <w:t>llegaron a la muerte;</w:t>
      </w:r>
    </w:p>
    <w:p w14:paraId="55D6A2E1" w14:textId="642FD95E" w:rsidR="00844A4C" w:rsidRDefault="00844A4C" w:rsidP="00844A4C">
      <w:pPr>
        <w:pStyle w:val="VersoIngls01Sangria"/>
        <w:spacing w:after="100"/>
        <w:ind w:left="1418"/>
      </w:pPr>
      <w:r>
        <w:t xml:space="preserve">¿Qué se </w:t>
      </w:r>
      <w:r w:rsidR="00EE024C">
        <w:t>podr</w:t>
      </w:r>
      <w:r w:rsidR="002D297A">
        <w:t>ía</w:t>
      </w:r>
      <w:r w:rsidR="00EE024C">
        <w:t xml:space="preserve"> </w:t>
      </w:r>
      <w:r>
        <w:t xml:space="preserve">decir de </w:t>
      </w:r>
      <w:r w:rsidR="00392BF7">
        <w:t xml:space="preserve">aquellos </w:t>
      </w:r>
      <w:r>
        <w:t>que s</w:t>
      </w:r>
      <w:r w:rsidR="00EE024C">
        <w:t>ea</w:t>
      </w:r>
      <w:r>
        <w:t>n como yo?</w:t>
      </w:r>
    </w:p>
    <w:p w14:paraId="26336822" w14:textId="4151D0E7" w:rsidR="00844A4C" w:rsidRDefault="00723F0B" w:rsidP="00844A4C">
      <w:pPr>
        <w:pStyle w:val="NormalConSangria"/>
      </w:pPr>
      <w:r>
        <w:t xml:space="preserve">La muerte </w:t>
      </w:r>
      <w:r w:rsidR="002D297A">
        <w:t xml:space="preserve">deberá evocarse así mediante la </w:t>
      </w:r>
      <w:r w:rsidR="00844A4C">
        <w:t xml:space="preserve">comparación con </w:t>
      </w:r>
      <w:r>
        <w:t xml:space="preserve">aquellos </w:t>
      </w:r>
      <w:r w:rsidR="00844A4C">
        <w:t>de gran mérito.</w:t>
      </w:r>
    </w:p>
    <w:p w14:paraId="1D2EA464" w14:textId="0865F434" w:rsidR="00844A4C" w:rsidRDefault="00844A4C" w:rsidP="00844A4C">
      <w:r>
        <w:t xml:space="preserve">19. </w:t>
      </w:r>
      <w:r w:rsidR="003B393B">
        <w:tab/>
      </w:r>
      <w:r>
        <w:t xml:space="preserve">¿Cómo </w:t>
      </w:r>
      <w:r w:rsidR="002D297A">
        <w:t xml:space="preserve">mediante la </w:t>
      </w:r>
      <w:r>
        <w:t>comparación con los de gran fuerza?</w:t>
      </w:r>
    </w:p>
    <w:p w14:paraId="2165411C" w14:textId="4C1894DA" w:rsidR="00844A4C" w:rsidRDefault="009B72F8" w:rsidP="00844A4C">
      <w:pPr>
        <w:pStyle w:val="VersoIngls01Sangria"/>
      </w:pPr>
      <w:proofErr w:type="spellStart"/>
      <w:r w:rsidRPr="00194E84">
        <w:t>V</w:t>
      </w:r>
      <w:r>
        <w:t>ā</w:t>
      </w:r>
      <w:r w:rsidRPr="00194E84">
        <w:t>sudeva</w:t>
      </w:r>
      <w:proofErr w:type="spellEnd"/>
      <w:r w:rsidR="00844A4C">
        <w:t xml:space="preserve">, </w:t>
      </w:r>
      <w:proofErr w:type="spellStart"/>
      <w:r w:rsidR="00844A4C" w:rsidRPr="00723F0B">
        <w:rPr>
          <w:iCs/>
        </w:rPr>
        <w:t>Bala</w:t>
      </w:r>
      <w:r w:rsidR="00057BF4" w:rsidRPr="00723F0B">
        <w:rPr>
          <w:iCs/>
        </w:rPr>
        <w:t>deva</w:t>
      </w:r>
      <w:proofErr w:type="spellEnd"/>
      <w:r w:rsidR="00844A4C">
        <w:t>,</w:t>
      </w:r>
    </w:p>
    <w:p w14:paraId="447F8C2A" w14:textId="7D390DCF" w:rsidR="00844A4C" w:rsidRDefault="00844A4C" w:rsidP="00844A4C">
      <w:pPr>
        <w:pStyle w:val="VersoIngls01Sangria"/>
      </w:pPr>
      <w:proofErr w:type="spellStart"/>
      <w:r>
        <w:t>Bh</w:t>
      </w:r>
      <w:r w:rsidR="00CA6FC5">
        <w:t>ī</w:t>
      </w:r>
      <w:r>
        <w:t>masena</w:t>
      </w:r>
      <w:proofErr w:type="spellEnd"/>
      <w:r>
        <w:t xml:space="preserve">, </w:t>
      </w:r>
      <w:proofErr w:type="spellStart"/>
      <w:r>
        <w:t>Yuddhi</w:t>
      </w:r>
      <w:r w:rsidR="00CA6FC5">
        <w:t>ṭṭ</w:t>
      </w:r>
      <w:r>
        <w:t>hila</w:t>
      </w:r>
      <w:proofErr w:type="spellEnd"/>
      <w:r>
        <w:t>,</w:t>
      </w:r>
    </w:p>
    <w:p w14:paraId="6C30FB8D" w14:textId="40990498" w:rsidR="00844A4C" w:rsidRDefault="00844A4C" w:rsidP="00844A4C">
      <w:pPr>
        <w:pStyle w:val="VersoIngls01Sangria"/>
      </w:pPr>
      <w:r>
        <w:t xml:space="preserve">y </w:t>
      </w:r>
      <w:proofErr w:type="spellStart"/>
      <w:r>
        <w:t>C</w:t>
      </w:r>
      <w:r w:rsidR="00CA6FC5">
        <w:t>āṇ</w:t>
      </w:r>
      <w:r>
        <w:t>ura</w:t>
      </w:r>
      <w:proofErr w:type="spellEnd"/>
      <w:r>
        <w:t xml:space="preserve"> el luchador,</w:t>
      </w:r>
    </w:p>
    <w:p w14:paraId="2E2F3753" w14:textId="4770B9FF" w:rsidR="00844A4C" w:rsidRDefault="00764EF4" w:rsidP="00844A4C">
      <w:pPr>
        <w:pStyle w:val="VersoIngls01Sangria"/>
      </w:pPr>
      <w:r>
        <w:t>Se encontraban</w:t>
      </w:r>
      <w:r w:rsidR="00844A4C">
        <w:t xml:space="preserve"> </w:t>
      </w:r>
      <w:r w:rsidR="0094246C">
        <w:t xml:space="preserve">con </w:t>
      </w:r>
      <w:r w:rsidR="00844A4C">
        <w:t>en poder del Exterminador.</w:t>
      </w:r>
    </w:p>
    <w:p w14:paraId="646A4297" w14:textId="7CDE5CE2" w:rsidR="00844A4C" w:rsidRDefault="00844A4C" w:rsidP="00844A4C">
      <w:pPr>
        <w:pStyle w:val="VersoIngls01Sangria"/>
      </w:pPr>
      <w:r>
        <w:t xml:space="preserve">En todo el mundo </w:t>
      </w:r>
      <w:r w:rsidR="00764EF4">
        <w:t xml:space="preserve">fueron </w:t>
      </w:r>
      <w:r>
        <w:t>famosos</w:t>
      </w:r>
    </w:p>
    <w:p w14:paraId="5B899A15" w14:textId="76EED972" w:rsidR="00844A4C" w:rsidRDefault="00844A4C" w:rsidP="00844A4C">
      <w:pPr>
        <w:pStyle w:val="VersoIngls01Sangria"/>
      </w:pPr>
      <w:r>
        <w:t xml:space="preserve">Como </w:t>
      </w:r>
      <w:r w:rsidR="00764EF4">
        <w:t xml:space="preserve">si fueran </w:t>
      </w:r>
      <w:r>
        <w:t>bendecido</w:t>
      </w:r>
      <w:r w:rsidR="00764EF4">
        <w:t>s</w:t>
      </w:r>
      <w:r>
        <w:t xml:space="preserve"> </w:t>
      </w:r>
      <w:r w:rsidR="00764EF4">
        <w:t xml:space="preserve">por </w:t>
      </w:r>
      <w:r>
        <w:t xml:space="preserve">una fuerza </w:t>
      </w:r>
      <w:r w:rsidR="00764EF4">
        <w:t xml:space="preserve">muy </w:t>
      </w:r>
      <w:r>
        <w:t>poderosa;</w:t>
      </w:r>
    </w:p>
    <w:p w14:paraId="48E901CD" w14:textId="307719CB" w:rsidR="00844A4C" w:rsidRDefault="00844A4C" w:rsidP="00844A4C">
      <w:pPr>
        <w:pStyle w:val="VersoIngls01Sangria"/>
      </w:pPr>
      <w:r>
        <w:t xml:space="preserve">Ellos también </w:t>
      </w:r>
      <w:r w:rsidR="00392BF7">
        <w:t>partieron hacia e</w:t>
      </w:r>
      <w:r>
        <w:t>l reino de la muerte;</w:t>
      </w:r>
    </w:p>
    <w:p w14:paraId="2DF6FE13" w14:textId="23A2AE09" w:rsidR="00844A4C" w:rsidRDefault="00844A4C" w:rsidP="00844A4C">
      <w:pPr>
        <w:pStyle w:val="VersoIngls01Sangria"/>
        <w:spacing w:after="100"/>
        <w:ind w:left="1418"/>
      </w:pPr>
      <w:r>
        <w:t xml:space="preserve">¿Qué se </w:t>
      </w:r>
      <w:r w:rsidR="00392BF7">
        <w:t>podr</w:t>
      </w:r>
      <w:r w:rsidR="0094246C">
        <w:t>ía</w:t>
      </w:r>
      <w:r w:rsidR="00392BF7">
        <w:t xml:space="preserve"> </w:t>
      </w:r>
      <w:r>
        <w:t xml:space="preserve">decir de </w:t>
      </w:r>
      <w:r w:rsidR="00392BF7">
        <w:t xml:space="preserve">aquellos </w:t>
      </w:r>
      <w:r>
        <w:t>que s</w:t>
      </w:r>
      <w:r w:rsidR="00392BF7">
        <w:t>ea</w:t>
      </w:r>
      <w:r>
        <w:t>n como yo?</w:t>
      </w:r>
    </w:p>
    <w:p w14:paraId="777DE841" w14:textId="278E1AEB" w:rsidR="00844A4C" w:rsidRDefault="00A84750" w:rsidP="00844A4C">
      <w:pPr>
        <w:pStyle w:val="NormalConSangria"/>
      </w:pPr>
      <w:r>
        <w:t xml:space="preserve">La muerte deberá evocarse así mediante la comparación </w:t>
      </w:r>
      <w:r w:rsidR="00844A4C">
        <w:t xml:space="preserve">con </w:t>
      </w:r>
      <w:r>
        <w:t>aquellos</w:t>
      </w:r>
      <w:r w:rsidR="00844A4C">
        <w:t xml:space="preserve"> de gran fuerza.</w:t>
      </w:r>
    </w:p>
    <w:p w14:paraId="3443FF26" w14:textId="7208750F" w:rsidR="00844A4C" w:rsidRDefault="00844A4C" w:rsidP="00844A4C">
      <w:r>
        <w:t xml:space="preserve">20. </w:t>
      </w:r>
      <w:r w:rsidR="003B393B">
        <w:tab/>
      </w:r>
      <w:r>
        <w:t xml:space="preserve">¿Cómo </w:t>
      </w:r>
      <w:r w:rsidR="00A84750">
        <w:t xml:space="preserve">mediante la </w:t>
      </w:r>
      <w:r>
        <w:t xml:space="preserve">comparación con </w:t>
      </w:r>
      <w:r w:rsidR="00A84750">
        <w:t xml:space="preserve">aquellos </w:t>
      </w:r>
      <w:r>
        <w:t>de gran poder sobrenatural?</w:t>
      </w:r>
    </w:p>
    <w:p w14:paraId="2FA02042" w14:textId="4F22860A" w:rsidR="00844A4C" w:rsidRDefault="00844A4C" w:rsidP="00844A4C">
      <w:pPr>
        <w:pStyle w:val="VersoIngls01Sangria"/>
      </w:pPr>
      <w:r>
        <w:t>El segundo de los discípulos</w:t>
      </w:r>
      <w:r w:rsidR="00392BF7" w:rsidRPr="00392BF7">
        <w:t xml:space="preserve"> </w:t>
      </w:r>
      <w:r w:rsidR="00392BF7">
        <w:t>principales</w:t>
      </w:r>
      <w:r>
        <w:t>,</w:t>
      </w:r>
    </w:p>
    <w:p w14:paraId="2D025A72" w14:textId="77777777" w:rsidR="00844A4C" w:rsidRDefault="00844A4C" w:rsidP="00844A4C">
      <w:pPr>
        <w:pStyle w:val="VersoIngls01Sangria"/>
      </w:pPr>
      <w:r>
        <w:t>El primero en poderes milagrosos,</w:t>
      </w:r>
    </w:p>
    <w:p w14:paraId="4E54926B" w14:textId="28BA0876" w:rsidR="00844A4C" w:rsidRDefault="00392BF7" w:rsidP="00844A4C">
      <w:pPr>
        <w:pStyle w:val="VersoIngls01Sangria"/>
      </w:pPr>
      <w:r>
        <w:t xml:space="preserve">Quien </w:t>
      </w:r>
      <w:r w:rsidR="00844A4C">
        <w:t>con la punta de su dedo gordo</w:t>
      </w:r>
    </w:p>
    <w:p w14:paraId="1D81E5E5" w14:textId="30B4C4C8" w:rsidR="00844A4C" w:rsidRDefault="00392BF7" w:rsidP="00844A4C">
      <w:pPr>
        <w:pStyle w:val="VersoIngls01Sangria"/>
      </w:pPr>
      <w:r>
        <w:t>Hacía</w:t>
      </w:r>
      <w:r w:rsidR="00844A4C">
        <w:t xml:space="preserve"> temblar las torres del Palacio </w:t>
      </w:r>
      <w:proofErr w:type="spellStart"/>
      <w:r w:rsidR="00844A4C">
        <w:t>Vejayanta</w:t>
      </w:r>
      <w:proofErr w:type="spellEnd"/>
      <w:r w:rsidR="00844A4C">
        <w:t>,</w:t>
      </w:r>
    </w:p>
    <w:p w14:paraId="1B5D3F8F" w14:textId="21EE0B4B" w:rsidR="00844A4C" w:rsidRDefault="00844A4C" w:rsidP="00844A4C">
      <w:pPr>
        <w:pStyle w:val="VersoIngls01Sangria"/>
      </w:pPr>
      <w:r>
        <w:t>Como un ciervo en la</w:t>
      </w:r>
      <w:r w:rsidR="00A84750">
        <w:t>s</w:t>
      </w:r>
      <w:r>
        <w:t xml:space="preserve"> fauces de un león, él también,</w:t>
      </w:r>
    </w:p>
    <w:p w14:paraId="635C21B8" w14:textId="48B5C7AD" w:rsidR="00844A4C" w:rsidRDefault="00844A4C" w:rsidP="00844A4C">
      <w:pPr>
        <w:pStyle w:val="VersoIngls01Sangria"/>
      </w:pPr>
      <w:r>
        <w:t xml:space="preserve">A pesar de </w:t>
      </w:r>
      <w:r w:rsidR="00392BF7">
        <w:t xml:space="preserve">su </w:t>
      </w:r>
      <w:r>
        <w:t>potencia milagrosa,</w:t>
      </w:r>
    </w:p>
    <w:p w14:paraId="608688B4" w14:textId="7FA10373" w:rsidR="00844A4C" w:rsidRDefault="00392BF7" w:rsidP="00844A4C">
      <w:pPr>
        <w:pStyle w:val="VersoIngls01Sangria"/>
      </w:pPr>
      <w:r>
        <w:t xml:space="preserve">Cayó </w:t>
      </w:r>
      <w:r w:rsidR="00844A4C">
        <w:t>en las espantosas fauces de la muerte;</w:t>
      </w:r>
    </w:p>
    <w:p w14:paraId="24373AB5" w14:textId="7E374060" w:rsidR="00844A4C" w:rsidRDefault="00844A4C" w:rsidP="00844A4C">
      <w:pPr>
        <w:pStyle w:val="VersoIngls01Sangria"/>
        <w:spacing w:after="100"/>
        <w:ind w:left="1418"/>
      </w:pPr>
      <w:r>
        <w:t xml:space="preserve">¿Qué se </w:t>
      </w:r>
      <w:r w:rsidR="00392BF7">
        <w:t>podr</w:t>
      </w:r>
      <w:r w:rsidR="00916E65">
        <w:t>ía</w:t>
      </w:r>
      <w:r w:rsidR="00392BF7">
        <w:t xml:space="preserve"> </w:t>
      </w:r>
      <w:r>
        <w:t xml:space="preserve">decir de </w:t>
      </w:r>
      <w:r w:rsidR="00392BF7">
        <w:t xml:space="preserve">aquellos </w:t>
      </w:r>
      <w:r>
        <w:t>que s</w:t>
      </w:r>
      <w:r w:rsidR="00392BF7">
        <w:t>ea</w:t>
      </w:r>
      <w:r>
        <w:t>n como yo?</w:t>
      </w:r>
    </w:p>
    <w:p w14:paraId="75D3F902" w14:textId="05A070BE" w:rsidR="00844A4C" w:rsidRDefault="00916E65" w:rsidP="00844A4C">
      <w:pPr>
        <w:pStyle w:val="NormalConSangria"/>
      </w:pPr>
      <w:r>
        <w:t xml:space="preserve">La muerte deberá evocarse así mediante la comparación </w:t>
      </w:r>
      <w:r w:rsidR="00844A4C">
        <w:t>con aquellos de gran poder sobrenatural.</w:t>
      </w:r>
    </w:p>
    <w:p w14:paraId="6004B7F6" w14:textId="2D7C269F" w:rsidR="00844A4C" w:rsidRDefault="00844A4C" w:rsidP="00844A4C">
      <w:r>
        <w:t xml:space="preserve">21. </w:t>
      </w:r>
      <w:r w:rsidR="003B393B">
        <w:tab/>
      </w:r>
      <w:r>
        <w:t xml:space="preserve">¿Cómo </w:t>
      </w:r>
      <w:r w:rsidR="00916E65">
        <w:t xml:space="preserve">mediante la </w:t>
      </w:r>
      <w:r>
        <w:t xml:space="preserve">comparación con </w:t>
      </w:r>
      <w:r w:rsidR="00916E65">
        <w:t xml:space="preserve">aquellos </w:t>
      </w:r>
      <w:r>
        <w:t>de gran entendimiento? [234]</w:t>
      </w:r>
    </w:p>
    <w:p w14:paraId="30124A7C" w14:textId="05F4FC16" w:rsidR="00844A4C" w:rsidRDefault="00844A4C" w:rsidP="00844A4C">
      <w:pPr>
        <w:pStyle w:val="VersoIngls01Sangria"/>
      </w:pPr>
      <w:r>
        <w:t>El primero de los dos discípulos</w:t>
      </w:r>
      <w:r w:rsidR="00916E65" w:rsidRPr="00916E65">
        <w:t xml:space="preserve"> </w:t>
      </w:r>
      <w:r w:rsidR="00916E65">
        <w:t>principales</w:t>
      </w:r>
      <w:r>
        <w:t>.</w:t>
      </w:r>
    </w:p>
    <w:p w14:paraId="48C04306" w14:textId="77777777" w:rsidR="00844A4C" w:rsidRDefault="00844A4C" w:rsidP="00844A4C">
      <w:pPr>
        <w:pStyle w:val="VersoIngls01Sangria"/>
      </w:pPr>
      <w:r>
        <w:t>¿Sobresalió así en el arte de la sabiduría?</w:t>
      </w:r>
    </w:p>
    <w:p w14:paraId="12D81E11" w14:textId="6D71BD53" w:rsidR="00844A4C" w:rsidRDefault="00844A4C" w:rsidP="00844A4C">
      <w:pPr>
        <w:pStyle w:val="VersoIngls01Sangria"/>
      </w:pPr>
      <w:r>
        <w:t xml:space="preserve">Que, salvo el </w:t>
      </w:r>
      <w:r w:rsidR="00916E65">
        <w:t>Servidor</w:t>
      </w:r>
      <w:r>
        <w:t xml:space="preserve"> del Mundo,</w:t>
      </w:r>
    </w:p>
    <w:p w14:paraId="08062056" w14:textId="1322A80A" w:rsidR="00844A4C" w:rsidRDefault="00844A4C" w:rsidP="00844A4C">
      <w:pPr>
        <w:pStyle w:val="VersoIngls01Sangria"/>
      </w:pPr>
      <w:r>
        <w:t>Ningún ser val</w:t>
      </w:r>
      <w:r w:rsidR="00916E65">
        <w:t>ió ni</w:t>
      </w:r>
      <w:r>
        <w:t xml:space="preserve"> su decimosexta parte.</w:t>
      </w:r>
    </w:p>
    <w:p w14:paraId="6E133285" w14:textId="77887D70" w:rsidR="00844A4C" w:rsidRDefault="00844A4C" w:rsidP="00844A4C">
      <w:pPr>
        <w:pStyle w:val="VersoIngls01Sangria"/>
      </w:pPr>
      <w:r>
        <w:t xml:space="preserve">Pero aunque </w:t>
      </w:r>
      <w:r w:rsidR="00033945">
        <w:t xml:space="preserve">fuera </w:t>
      </w:r>
      <w:r>
        <w:t xml:space="preserve">tan grande </w:t>
      </w:r>
    </w:p>
    <w:p w14:paraId="718609C1" w14:textId="03436E05" w:rsidR="00844A4C" w:rsidRDefault="00033945" w:rsidP="00844A4C">
      <w:pPr>
        <w:pStyle w:val="VersoIngls01Sangria"/>
      </w:pPr>
      <w:r>
        <w:t>La facultad de entendimiento</w:t>
      </w:r>
      <w:r w:rsidRPr="00033945">
        <w:t xml:space="preserve"> </w:t>
      </w:r>
      <w:r>
        <w:t>Sāriputta</w:t>
      </w:r>
      <w:r w:rsidR="00844A4C">
        <w:t>,</w:t>
      </w:r>
    </w:p>
    <w:p w14:paraId="3E31319E" w14:textId="0FE0E255" w:rsidR="00844A4C" w:rsidRDefault="00033945" w:rsidP="00844A4C">
      <w:pPr>
        <w:pStyle w:val="VersoIngls01Sangria"/>
      </w:pPr>
      <w:r>
        <w:t>Él también c</w:t>
      </w:r>
      <w:r w:rsidR="00844A4C">
        <w:t xml:space="preserve">ayó </w:t>
      </w:r>
      <w:r>
        <w:t>bajo</w:t>
      </w:r>
      <w:r w:rsidR="00844A4C">
        <w:t xml:space="preserve"> el poder de la muerte;</w:t>
      </w:r>
    </w:p>
    <w:p w14:paraId="004941A9" w14:textId="4F6AA4C3" w:rsidR="00844A4C" w:rsidRDefault="00844A4C" w:rsidP="00844A4C">
      <w:pPr>
        <w:pStyle w:val="VersoIngls01Sangria"/>
        <w:spacing w:after="100"/>
        <w:ind w:left="1418"/>
      </w:pPr>
      <w:r>
        <w:t xml:space="preserve">¿Qué se </w:t>
      </w:r>
      <w:r w:rsidR="00033945">
        <w:t>podría</w:t>
      </w:r>
      <w:r>
        <w:t xml:space="preserve"> decir de </w:t>
      </w:r>
      <w:r w:rsidR="00033945">
        <w:t xml:space="preserve">aquellos </w:t>
      </w:r>
      <w:r>
        <w:t>que s</w:t>
      </w:r>
      <w:r w:rsidR="00033945">
        <w:t>ea</w:t>
      </w:r>
      <w:r>
        <w:t>n como yo?</w:t>
      </w:r>
    </w:p>
    <w:p w14:paraId="0FE2F1EE" w14:textId="672B948A" w:rsidR="00844A4C" w:rsidRDefault="00033945" w:rsidP="00033945">
      <w:pPr>
        <w:pStyle w:val="NormalConSangria"/>
      </w:pPr>
      <w:r>
        <w:t xml:space="preserve">La muerte deberá evocarse así mediante la comparación </w:t>
      </w:r>
      <w:r w:rsidR="00844A4C">
        <w:t>con los de gran entendimiento.</w:t>
      </w:r>
      <w:r w:rsidR="00844A4C">
        <w:br w:type="page"/>
      </w:r>
    </w:p>
    <w:p w14:paraId="1D72E1CC" w14:textId="0DF17142" w:rsidR="003B393B" w:rsidRDefault="003B393B" w:rsidP="003B393B">
      <w:r>
        <w:lastRenderedPageBreak/>
        <w:t xml:space="preserve">22. </w:t>
      </w:r>
      <w:r>
        <w:tab/>
        <w:t xml:space="preserve">¿Cómo </w:t>
      </w:r>
      <w:r w:rsidR="00033945">
        <w:t xml:space="preserve">mediante la </w:t>
      </w:r>
      <w:r>
        <w:t xml:space="preserve">comparación con </w:t>
      </w:r>
      <w:r w:rsidR="00DC5BC7">
        <w:t xml:space="preserve">los </w:t>
      </w:r>
      <w:proofErr w:type="spellStart"/>
      <w:r w:rsidR="00670014" w:rsidRPr="00AA2F16">
        <w:rPr>
          <w:i/>
          <w:iCs/>
        </w:rPr>
        <w:t>Pacceka</w:t>
      </w:r>
      <w:r w:rsidR="00670014" w:rsidRPr="00057BF4">
        <w:rPr>
          <w:i/>
          <w:iCs/>
        </w:rPr>
        <w:t>buddha</w:t>
      </w:r>
      <w:r w:rsidR="00670014" w:rsidRPr="00AA2F16">
        <w:rPr>
          <w:i/>
          <w:iCs/>
        </w:rPr>
        <w:t>s</w:t>
      </w:r>
      <w:proofErr w:type="spellEnd"/>
      <w:r>
        <w:t>? Inclus</w:t>
      </w:r>
      <w:r w:rsidR="00DF6A0C">
        <w:t>ive</w:t>
      </w:r>
      <w:r>
        <w:t xml:space="preserve"> aquellos que por la fuerza de su propio conocimiento y energía </w:t>
      </w:r>
      <w:r w:rsidR="00DF6A0C">
        <w:t>destruyeron</w:t>
      </w:r>
      <w:r w:rsidR="005C09FB">
        <w:t xml:space="preserve"> </w:t>
      </w:r>
      <w:r>
        <w:t xml:space="preserve">todas las corrupciones enemigas y alcanzaron la iluminación por sí mismos, quienes se mantuvieron solos como el cuerno del rinoceronte (ver Sn p. 35f.), quienes se perfeccionaron a sí mismos, </w:t>
      </w:r>
      <w:r w:rsidR="001B195D">
        <w:t xml:space="preserve">inclusive ellos </w:t>
      </w:r>
      <w:r>
        <w:t>no est</w:t>
      </w:r>
      <w:r w:rsidR="001B195D">
        <w:t xml:space="preserve">uvieron </w:t>
      </w:r>
      <w:r>
        <w:t>libre</w:t>
      </w:r>
      <w:r w:rsidR="009A39B6">
        <w:t>s</w:t>
      </w:r>
      <w:r>
        <w:t xml:space="preserve"> de la muerte. Entonces, ¿cómo </w:t>
      </w:r>
      <w:r w:rsidR="00084E9C">
        <w:t xml:space="preserve">podría yo </w:t>
      </w:r>
      <w:r>
        <w:t xml:space="preserve">estar libre </w:t>
      </w:r>
      <w:r w:rsidR="004F1E20">
        <w:t>al respecto</w:t>
      </w:r>
      <w:r>
        <w:t>?</w:t>
      </w:r>
    </w:p>
    <w:p w14:paraId="5B4D1098" w14:textId="77777777" w:rsidR="003B393B" w:rsidRPr="004F1E20" w:rsidRDefault="003B393B" w:rsidP="003B393B">
      <w:pPr>
        <w:pStyle w:val="VersoIngls01Sangria"/>
        <w:rPr>
          <w:sz w:val="16"/>
          <w:szCs w:val="20"/>
        </w:rPr>
      </w:pPr>
      <w:r w:rsidRPr="004F1E20">
        <w:rPr>
          <w:sz w:val="16"/>
          <w:szCs w:val="20"/>
        </w:rPr>
        <w:t>Para ayudarles en su búsqueda de la verdad.</w:t>
      </w:r>
    </w:p>
    <w:p w14:paraId="36828DFB" w14:textId="77777777" w:rsidR="003B393B" w:rsidRPr="004F1E20" w:rsidRDefault="003B393B" w:rsidP="003B393B">
      <w:pPr>
        <w:pStyle w:val="VersoIngls01Sangria"/>
        <w:rPr>
          <w:sz w:val="16"/>
          <w:szCs w:val="20"/>
        </w:rPr>
      </w:pPr>
      <w:r w:rsidRPr="004F1E20">
        <w:rPr>
          <w:sz w:val="16"/>
          <w:szCs w:val="20"/>
        </w:rPr>
        <w:t>Los Sabios emplearon varios signos,</w:t>
      </w:r>
    </w:p>
    <w:p w14:paraId="498DAC33" w14:textId="24FE3C37" w:rsidR="003B393B" w:rsidRPr="004F1E20" w:rsidRDefault="003B393B" w:rsidP="003B393B">
      <w:pPr>
        <w:pStyle w:val="VersoIngls01Sangria"/>
        <w:rPr>
          <w:sz w:val="16"/>
          <w:szCs w:val="20"/>
        </w:rPr>
      </w:pPr>
      <w:r w:rsidRPr="004F1E20">
        <w:rPr>
          <w:sz w:val="16"/>
          <w:szCs w:val="20"/>
        </w:rPr>
        <w:t>Su conocimiento les trajo la auto</w:t>
      </w:r>
      <w:r w:rsidR="004F1E20">
        <w:rPr>
          <w:sz w:val="16"/>
          <w:szCs w:val="20"/>
        </w:rPr>
        <w:t xml:space="preserve"> </w:t>
      </w:r>
      <w:r w:rsidRPr="004F1E20">
        <w:rPr>
          <w:sz w:val="16"/>
          <w:szCs w:val="20"/>
        </w:rPr>
        <w:t>perfección,</w:t>
      </w:r>
    </w:p>
    <w:p w14:paraId="5B140E72" w14:textId="209C7A0F" w:rsidR="003B393B" w:rsidRPr="004F1E20" w:rsidRDefault="003B393B" w:rsidP="003B393B">
      <w:pPr>
        <w:pStyle w:val="VersoIngls01Sangria"/>
        <w:spacing w:after="100"/>
        <w:ind w:left="1418"/>
        <w:rPr>
          <w:sz w:val="16"/>
          <w:szCs w:val="20"/>
        </w:rPr>
      </w:pPr>
      <w:r w:rsidRPr="004F1E20">
        <w:rPr>
          <w:sz w:val="16"/>
          <w:szCs w:val="20"/>
        </w:rPr>
        <w:t xml:space="preserve">Sus </w:t>
      </w:r>
      <w:r w:rsidR="00EB6304" w:rsidRPr="004F1E20">
        <w:rPr>
          <w:sz w:val="16"/>
          <w:szCs w:val="20"/>
        </w:rPr>
        <w:t>corrupciones</w:t>
      </w:r>
      <w:r w:rsidRPr="004F1E20">
        <w:rPr>
          <w:sz w:val="16"/>
          <w:szCs w:val="20"/>
        </w:rPr>
        <w:t xml:space="preserve"> fueron finalmente destruid</w:t>
      </w:r>
      <w:r w:rsidR="00EB6304" w:rsidRPr="004F1E20">
        <w:rPr>
          <w:sz w:val="16"/>
          <w:szCs w:val="20"/>
        </w:rPr>
        <w:t>a</w:t>
      </w:r>
      <w:r w:rsidRPr="004F1E20">
        <w:rPr>
          <w:sz w:val="16"/>
          <w:szCs w:val="20"/>
        </w:rPr>
        <w:t>s.</w:t>
      </w:r>
    </w:p>
    <w:p w14:paraId="2B7B172A" w14:textId="77777777" w:rsidR="003B393B" w:rsidRPr="004F1E20" w:rsidRDefault="003B393B" w:rsidP="003B393B">
      <w:pPr>
        <w:pStyle w:val="VersoIngls01Sangria"/>
        <w:rPr>
          <w:sz w:val="16"/>
          <w:szCs w:val="20"/>
        </w:rPr>
      </w:pPr>
      <w:r w:rsidRPr="004F1E20">
        <w:rPr>
          <w:sz w:val="16"/>
          <w:szCs w:val="20"/>
        </w:rPr>
        <w:t>Como el cuerno del rinoceronte</w:t>
      </w:r>
    </w:p>
    <w:p w14:paraId="2C346161" w14:textId="30459BC0" w:rsidR="003B393B" w:rsidRPr="004F1E20" w:rsidRDefault="003C2CB6" w:rsidP="003B393B">
      <w:pPr>
        <w:pStyle w:val="VersoIngls01Sangria"/>
        <w:rPr>
          <w:sz w:val="16"/>
          <w:szCs w:val="20"/>
        </w:rPr>
      </w:pPr>
      <w:r w:rsidRPr="004F1E20">
        <w:rPr>
          <w:sz w:val="16"/>
          <w:szCs w:val="20"/>
        </w:rPr>
        <w:t xml:space="preserve">Habitaron </w:t>
      </w:r>
      <w:r w:rsidR="003B393B" w:rsidRPr="004F1E20">
        <w:rPr>
          <w:sz w:val="16"/>
          <w:szCs w:val="20"/>
        </w:rPr>
        <w:t>solos en la constancia,</w:t>
      </w:r>
    </w:p>
    <w:p w14:paraId="708885C6" w14:textId="69C23FBB" w:rsidR="003B393B" w:rsidRPr="004F1E20" w:rsidRDefault="003C2CB6" w:rsidP="003B393B">
      <w:pPr>
        <w:pStyle w:val="VersoIngls01Sangria"/>
        <w:rPr>
          <w:sz w:val="16"/>
          <w:szCs w:val="20"/>
        </w:rPr>
      </w:pPr>
      <w:r w:rsidRPr="004F1E20">
        <w:rPr>
          <w:sz w:val="16"/>
          <w:szCs w:val="20"/>
        </w:rPr>
        <w:t xml:space="preserve">No obstante, </w:t>
      </w:r>
      <w:r w:rsidR="003B393B" w:rsidRPr="004F1E20">
        <w:rPr>
          <w:sz w:val="16"/>
          <w:szCs w:val="20"/>
        </w:rPr>
        <w:t>la muerte</w:t>
      </w:r>
      <w:r w:rsidR="00905676">
        <w:rPr>
          <w:sz w:val="16"/>
          <w:szCs w:val="20"/>
        </w:rPr>
        <w:t>,</w:t>
      </w:r>
      <w:r w:rsidR="003B393B" w:rsidRPr="004F1E20">
        <w:rPr>
          <w:sz w:val="16"/>
          <w:szCs w:val="20"/>
        </w:rPr>
        <w:t xml:space="preserve"> de ninguna manera</w:t>
      </w:r>
      <w:r w:rsidR="00905676">
        <w:rPr>
          <w:sz w:val="16"/>
          <w:szCs w:val="20"/>
        </w:rPr>
        <w:t>,</w:t>
      </w:r>
      <w:r w:rsidR="003B393B" w:rsidRPr="004F1E20">
        <w:rPr>
          <w:sz w:val="16"/>
          <w:szCs w:val="20"/>
        </w:rPr>
        <w:t xml:space="preserve"> </w:t>
      </w:r>
      <w:r w:rsidR="00905676">
        <w:rPr>
          <w:sz w:val="16"/>
          <w:szCs w:val="20"/>
        </w:rPr>
        <w:t xml:space="preserve">ellos </w:t>
      </w:r>
      <w:r w:rsidRPr="004F1E20">
        <w:rPr>
          <w:sz w:val="16"/>
          <w:szCs w:val="20"/>
        </w:rPr>
        <w:t>pudieron</w:t>
      </w:r>
      <w:r w:rsidR="003B393B" w:rsidRPr="004F1E20">
        <w:rPr>
          <w:sz w:val="16"/>
          <w:szCs w:val="20"/>
        </w:rPr>
        <w:t xml:space="preserve"> evadir;</w:t>
      </w:r>
    </w:p>
    <w:p w14:paraId="4080FE55" w14:textId="7348EC36" w:rsidR="003B393B" w:rsidRPr="004F1E20" w:rsidRDefault="003B393B" w:rsidP="003B393B">
      <w:pPr>
        <w:pStyle w:val="VersoIngls01Sangria"/>
        <w:spacing w:after="100"/>
        <w:ind w:left="1418"/>
        <w:rPr>
          <w:sz w:val="16"/>
          <w:szCs w:val="20"/>
        </w:rPr>
      </w:pPr>
      <w:r w:rsidRPr="004F1E20">
        <w:rPr>
          <w:sz w:val="16"/>
          <w:szCs w:val="20"/>
        </w:rPr>
        <w:t xml:space="preserve">¿Qué se </w:t>
      </w:r>
      <w:r w:rsidR="003C2CB6" w:rsidRPr="004F1E20">
        <w:rPr>
          <w:sz w:val="16"/>
          <w:szCs w:val="20"/>
        </w:rPr>
        <w:t>podr</w:t>
      </w:r>
      <w:r w:rsidR="00761F10">
        <w:rPr>
          <w:sz w:val="16"/>
          <w:szCs w:val="20"/>
        </w:rPr>
        <w:t>ía</w:t>
      </w:r>
      <w:r w:rsidR="003C2CB6" w:rsidRPr="004F1E20">
        <w:rPr>
          <w:sz w:val="16"/>
          <w:szCs w:val="20"/>
        </w:rPr>
        <w:t xml:space="preserve"> </w:t>
      </w:r>
      <w:r w:rsidRPr="004F1E20">
        <w:rPr>
          <w:sz w:val="16"/>
          <w:szCs w:val="20"/>
        </w:rPr>
        <w:t xml:space="preserve">decir de </w:t>
      </w:r>
      <w:r w:rsidR="003C2CB6" w:rsidRPr="004F1E20">
        <w:rPr>
          <w:sz w:val="16"/>
          <w:szCs w:val="20"/>
        </w:rPr>
        <w:t xml:space="preserve">aquellos </w:t>
      </w:r>
      <w:r w:rsidRPr="004F1E20">
        <w:rPr>
          <w:sz w:val="16"/>
          <w:szCs w:val="20"/>
        </w:rPr>
        <w:t>que s</w:t>
      </w:r>
      <w:r w:rsidR="003C2CB6" w:rsidRPr="004F1E20">
        <w:rPr>
          <w:sz w:val="16"/>
          <w:szCs w:val="20"/>
        </w:rPr>
        <w:t>ea</w:t>
      </w:r>
      <w:r w:rsidRPr="004F1E20">
        <w:rPr>
          <w:sz w:val="16"/>
          <w:szCs w:val="20"/>
        </w:rPr>
        <w:t>n como yo?</w:t>
      </w:r>
    </w:p>
    <w:p w14:paraId="2FA9D108" w14:textId="0B14BF6F" w:rsidR="003B393B" w:rsidRDefault="00905676" w:rsidP="003B393B">
      <w:pPr>
        <w:pStyle w:val="NormalConSangria"/>
      </w:pPr>
      <w:r>
        <w:t xml:space="preserve">La muerte deberá evocarse así mediante la comparación </w:t>
      </w:r>
      <w:r w:rsidR="003B393B">
        <w:t xml:space="preserve">con </w:t>
      </w:r>
      <w:r>
        <w:t xml:space="preserve">los </w:t>
      </w:r>
      <w:proofErr w:type="spellStart"/>
      <w:r w:rsidRPr="00905676">
        <w:rPr>
          <w:i/>
          <w:iCs/>
        </w:rPr>
        <w:t>Paccekabuddhas</w:t>
      </w:r>
      <w:proofErr w:type="spellEnd"/>
      <w:r w:rsidR="003B393B">
        <w:t>.</w:t>
      </w:r>
    </w:p>
    <w:p w14:paraId="20C4E4B1" w14:textId="15239E91" w:rsidR="003B393B" w:rsidRDefault="003B393B" w:rsidP="003B393B">
      <w:r>
        <w:t xml:space="preserve">23. </w:t>
      </w:r>
      <w:r>
        <w:tab/>
        <w:t xml:space="preserve">¿Cómo </w:t>
      </w:r>
      <w:r w:rsidR="00905676">
        <w:t>mediante la</w:t>
      </w:r>
      <w:r>
        <w:t xml:space="preserve"> comparación con los </w:t>
      </w:r>
      <w:r w:rsidR="00057BF4" w:rsidRPr="00057BF4">
        <w:rPr>
          <w:i/>
          <w:iCs/>
        </w:rPr>
        <w:t>Buddha</w:t>
      </w:r>
      <w:r w:rsidRPr="00A352C6">
        <w:rPr>
          <w:i/>
          <w:iCs/>
        </w:rPr>
        <w:t>s completamente iluminados</w:t>
      </w:r>
      <w:r>
        <w:t>? Inclus</w:t>
      </w:r>
      <w:r w:rsidR="00905676">
        <w:t>ive</w:t>
      </w:r>
      <w:r>
        <w:t xml:space="preserve"> el </w:t>
      </w:r>
      <w:r w:rsidR="00EA0274">
        <w:rPr>
          <w:i/>
          <w:iCs/>
        </w:rPr>
        <w:t>Bhagavā</w:t>
      </w:r>
      <w:r>
        <w:t xml:space="preserve">, cuyo cuerpo material fue embellecido con los ochenta detalles menores y adornado con las treinta y dos marcas de un gran hombre (ver MN 91; DN 30), cuyo cuerpo </w:t>
      </w:r>
      <w:r w:rsidR="00EA0274">
        <w:t xml:space="preserve">de </w:t>
      </w:r>
      <w:r w:rsidR="00057BF4" w:rsidRPr="00057BF4">
        <w:rPr>
          <w:i/>
        </w:rPr>
        <w:t>Dhamma</w:t>
      </w:r>
      <w:r>
        <w:t xml:space="preserve"> </w:t>
      </w:r>
      <w:r w:rsidR="00905676">
        <w:t>condujo</w:t>
      </w:r>
      <w:r>
        <w:t xml:space="preserve"> las preciadas cualidades de los agregados de la virtud , etc.,</w:t>
      </w:r>
      <w:r w:rsidR="007D6A51">
        <w:rPr>
          <w:vertAlign w:val="superscript"/>
        </w:rPr>
        <w:t>8</w:t>
      </w:r>
      <w:r>
        <w:t xml:space="preserve"> </w:t>
      </w:r>
      <w:r w:rsidR="002844B3">
        <w:t xml:space="preserve">hacia la perfección, </w:t>
      </w:r>
      <w:r>
        <w:t xml:space="preserve">puro en todo aspecto, que superó la grandeza de la fama, la grandeza del mérito, la grandeza de la fuerza, la grandeza del poder sobrenatural y la grandeza del entendimiento, que no tuvo </w:t>
      </w:r>
      <w:r w:rsidR="002844B3">
        <w:t>par</w:t>
      </w:r>
      <w:r>
        <w:t>, que fue el igual de los sin igual</w:t>
      </w:r>
      <w:r w:rsidR="00D71995">
        <w:t>es</w:t>
      </w:r>
      <w:r>
        <w:t>, sin doble</w:t>
      </w:r>
      <w:r w:rsidR="00D71995">
        <w:t>s</w:t>
      </w:r>
      <w:r>
        <w:t xml:space="preserve">, </w:t>
      </w:r>
      <w:r w:rsidR="00D71995">
        <w:t>consumado</w:t>
      </w:r>
      <w:r>
        <w:t xml:space="preserve"> y plenamente iluminado, inclus</w:t>
      </w:r>
      <w:r w:rsidR="00D71995">
        <w:t>ive</w:t>
      </w:r>
      <w:r>
        <w:t xml:space="preserve"> él fue repentinamente apagado por el aguacero de la lluvia de la muerte, como una gran masa de fuego es apagada por el aguacero de </w:t>
      </w:r>
      <w:r w:rsidR="002B02F4">
        <w:t>la</w:t>
      </w:r>
      <w:r>
        <w:t xml:space="preserve"> lluvia.</w:t>
      </w:r>
    </w:p>
    <w:p w14:paraId="3C862A66" w14:textId="239E13E0" w:rsidR="003B393B" w:rsidRDefault="003B393B" w:rsidP="003B393B">
      <w:pPr>
        <w:pStyle w:val="VersoIngls01Sangria"/>
      </w:pPr>
      <w:r>
        <w:t>Y así el Mayor Sabio pose</w:t>
      </w:r>
      <w:r w:rsidR="00633993">
        <w:t>e</w:t>
      </w:r>
      <w:r w:rsidR="00D71995">
        <w:t>dor</w:t>
      </w:r>
      <w:r w:rsidR="00633993">
        <w:t xml:space="preserve"> de</w:t>
      </w:r>
    </w:p>
    <w:p w14:paraId="02156B91" w14:textId="77777777" w:rsidR="003B393B" w:rsidRDefault="003B393B" w:rsidP="003B393B">
      <w:pPr>
        <w:pStyle w:val="VersoIngls01Sangria"/>
      </w:pPr>
      <w:r>
        <w:t>Tal gran poder en todos los sentidos,</w:t>
      </w:r>
    </w:p>
    <w:p w14:paraId="0ACC4B5B" w14:textId="186E35E5" w:rsidR="003B393B" w:rsidRDefault="00633993" w:rsidP="003B393B">
      <w:pPr>
        <w:pStyle w:val="VersoIngls01Sangria"/>
      </w:pPr>
      <w:r>
        <w:t xml:space="preserve">Que </w:t>
      </w:r>
      <w:r w:rsidR="003B393B">
        <w:t>no fue por miedo o culpa</w:t>
      </w:r>
    </w:p>
    <w:p w14:paraId="5A73A5F2" w14:textId="0DF9D199" w:rsidR="003B393B" w:rsidRDefault="003B393B" w:rsidP="003B393B">
      <w:pPr>
        <w:pStyle w:val="VersoIngls01Sangria"/>
        <w:spacing w:after="100"/>
        <w:ind w:left="1418"/>
      </w:pPr>
      <w:r>
        <w:t>Que sobre él la Muerte domin</w:t>
      </w:r>
      <w:r w:rsidR="00633993">
        <w:t>ó</w:t>
      </w:r>
      <w:r>
        <w:t>.</w:t>
      </w:r>
    </w:p>
    <w:p w14:paraId="21B2151D" w14:textId="77777777" w:rsidR="003B393B" w:rsidRDefault="003B393B" w:rsidP="003B393B">
      <w:pPr>
        <w:pStyle w:val="VersoIngls01Sangria"/>
      </w:pPr>
      <w:r>
        <w:t>Ningún ser, ni siquiera uno sin</w:t>
      </w:r>
    </w:p>
    <w:p w14:paraId="47E0CCC8" w14:textId="0DBCE601" w:rsidR="003B393B" w:rsidRDefault="003B393B" w:rsidP="003B393B">
      <w:pPr>
        <w:pStyle w:val="VersoIngls01Sangria"/>
      </w:pPr>
      <w:r>
        <w:t xml:space="preserve">Culpa </w:t>
      </w:r>
      <w:r w:rsidR="005B5671">
        <w:t>ni</w:t>
      </w:r>
      <w:r>
        <w:t xml:space="preserve"> pusilanimidad,</w:t>
      </w:r>
    </w:p>
    <w:p w14:paraId="161CE6EE" w14:textId="0D3A7F7F" w:rsidR="003B393B" w:rsidRDefault="00422064" w:rsidP="003B393B">
      <w:pPr>
        <w:pStyle w:val="VersoIngls01Sangria"/>
      </w:pPr>
      <w:r>
        <w:t>Estar</w:t>
      </w:r>
      <w:r w:rsidR="00A83600">
        <w:t>á</w:t>
      </w:r>
      <w:r>
        <w:t xml:space="preserve"> a salvo de la </w:t>
      </w:r>
      <w:r w:rsidR="008546E1">
        <w:t>aniquila</w:t>
      </w:r>
      <w:r>
        <w:t>ción</w:t>
      </w:r>
      <w:r w:rsidR="003B393B">
        <w:t xml:space="preserve">; </w:t>
      </w:r>
      <w:r w:rsidR="0001409F">
        <w:t>¿</w:t>
      </w:r>
      <w:r w:rsidR="00A83600">
        <w:t xml:space="preserve">cómo </w:t>
      </w:r>
      <w:r w:rsidR="003B393B">
        <w:t xml:space="preserve">entonces </w:t>
      </w:r>
      <w:r w:rsidR="00A83600">
        <w:t>yo</w:t>
      </w:r>
    </w:p>
    <w:p w14:paraId="6DD3FCDE" w14:textId="55E4DE86" w:rsidR="003B393B" w:rsidRDefault="00DC6791" w:rsidP="003B393B">
      <w:pPr>
        <w:pStyle w:val="VersoIngls01Sangria"/>
        <w:spacing w:after="100"/>
        <w:ind w:left="1418"/>
      </w:pPr>
      <w:r>
        <w:t>Estaría libre de ser</w:t>
      </w:r>
      <w:r w:rsidR="00894555">
        <w:t xml:space="preserve"> </w:t>
      </w:r>
      <w:r w:rsidR="003B393B">
        <w:t>conquista</w:t>
      </w:r>
      <w:r>
        <w:t>do</w:t>
      </w:r>
      <w:r w:rsidR="003B393B">
        <w:t>?</w:t>
      </w:r>
    </w:p>
    <w:p w14:paraId="7898CAA1" w14:textId="60C33324" w:rsidR="003B393B" w:rsidRDefault="002B02F4" w:rsidP="003B393B">
      <w:pPr>
        <w:pStyle w:val="NormalConSangria"/>
      </w:pPr>
      <w:r>
        <w:t xml:space="preserve">La muerte deberá evocarse así mediante la comparación </w:t>
      </w:r>
      <w:r w:rsidR="003B393B">
        <w:t xml:space="preserve">con los </w:t>
      </w:r>
      <w:r w:rsidR="00057BF4" w:rsidRPr="00057BF4">
        <w:rPr>
          <w:i/>
        </w:rPr>
        <w:t>Buddha</w:t>
      </w:r>
      <w:r w:rsidR="003B393B">
        <w:t>s plenamente iluminados.</w:t>
      </w:r>
    </w:p>
    <w:p w14:paraId="18A2779B" w14:textId="0025A0E3" w:rsidR="003B393B" w:rsidRDefault="003B393B" w:rsidP="003B393B">
      <w:r>
        <w:t xml:space="preserve">24. </w:t>
      </w:r>
      <w:r>
        <w:tab/>
        <w:t xml:space="preserve">Cuando </w:t>
      </w:r>
      <w:r w:rsidR="00980259">
        <w:t xml:space="preserve">él haga así su evocación </w:t>
      </w:r>
      <w:r w:rsidR="002B02F4">
        <w:t>sobre</w:t>
      </w:r>
      <w:r w:rsidR="00980259">
        <w:t xml:space="preserve"> la muerte </w:t>
      </w:r>
      <w:r>
        <w:t>comparándose con otros poseedores de gran fama, etc., a la luz de la universalidad de la muerte, pensando: “La muerte me llegará como a aquellos seres ilustres, entonces su objeto de meditación alcanza</w:t>
      </w:r>
      <w:r w:rsidR="00980259">
        <w:t>rá</w:t>
      </w:r>
      <w:r>
        <w:t xml:space="preserve"> el acceso. Así es c</w:t>
      </w:r>
      <w:r w:rsidR="002B02F4">
        <w:t>ó</w:t>
      </w:r>
      <w:r>
        <w:t>mo debe</w:t>
      </w:r>
      <w:r w:rsidR="002B02F4">
        <w:t>rá</w:t>
      </w:r>
      <w:r>
        <w:t xml:space="preserve"> </w:t>
      </w:r>
      <w:r w:rsidR="00980259">
        <w:t xml:space="preserve">evocarse </w:t>
      </w:r>
      <w:r>
        <w:t xml:space="preserve">la muerte </w:t>
      </w:r>
      <w:r w:rsidR="002B02F4">
        <w:t xml:space="preserve">mediante la </w:t>
      </w:r>
      <w:r>
        <w:t>comparación. [235]</w:t>
      </w:r>
    </w:p>
    <w:p w14:paraId="2BD32530" w14:textId="0CC15E82" w:rsidR="003B393B" w:rsidRDefault="003B393B" w:rsidP="003B393B">
      <w:r>
        <w:t xml:space="preserve">25. </w:t>
      </w:r>
      <w:r>
        <w:tab/>
        <w:t xml:space="preserve">4. </w:t>
      </w:r>
      <w:r w:rsidRPr="00A352C6">
        <w:rPr>
          <w:i/>
          <w:iCs/>
        </w:rPr>
        <w:t>En cuanto a compartir el cuerpo con muchos</w:t>
      </w:r>
      <w:r>
        <w:t xml:space="preserve">: este cuerpo es compartido </w:t>
      </w:r>
      <w:r w:rsidR="00D8795C">
        <w:t>con</w:t>
      </w:r>
      <w:r>
        <w:t xml:space="preserve"> muchos</w:t>
      </w:r>
      <w:r w:rsidR="00D8795C">
        <w:t xml:space="preserve"> seres</w:t>
      </w:r>
      <w:r>
        <w:t xml:space="preserve">. En primer lugar, es compartido </w:t>
      </w:r>
      <w:r w:rsidR="00D8795C">
        <w:t>con</w:t>
      </w:r>
      <w:r>
        <w:t xml:space="preserve"> ochenta familias de gusanos. </w:t>
      </w:r>
      <w:r w:rsidR="00310AB5">
        <w:t>Así</w:t>
      </w:r>
      <w:r>
        <w:t xml:space="preserve"> también, </w:t>
      </w:r>
      <w:r w:rsidR="00310AB5">
        <w:t>hay</w:t>
      </w:r>
      <w:r>
        <w:t xml:space="preserve"> criaturas </w:t>
      </w:r>
    </w:p>
    <w:p w14:paraId="18C2589F" w14:textId="69F7BCFD" w:rsidR="00654380" w:rsidRDefault="00654380" w:rsidP="00654380">
      <w:pPr>
        <w:pStyle w:val="Piedepgina"/>
        <w:rPr>
          <w:u w:val="single"/>
        </w:rPr>
      </w:pPr>
      <w:r>
        <w:rPr>
          <w:u w:val="single"/>
        </w:rPr>
        <w:t xml:space="preserve">                                                                                                                                                                          .</w:t>
      </w:r>
    </w:p>
    <w:p w14:paraId="64FE0E5F" w14:textId="7FE8F64E" w:rsidR="00654380" w:rsidRDefault="003B393B" w:rsidP="00654380">
      <w:pPr>
        <w:pStyle w:val="PiedepginaLegal"/>
      </w:pPr>
      <w:r>
        <w:t xml:space="preserve">8. </w:t>
      </w:r>
      <w:r w:rsidR="00654380">
        <w:tab/>
      </w:r>
      <w:r>
        <w:t xml:space="preserve">Virtud, concentración, </w:t>
      </w:r>
      <w:r w:rsidR="00310AB5">
        <w:t>entendimiento</w:t>
      </w:r>
      <w:r>
        <w:t xml:space="preserve">, liberación, conocimiento y visión de </w:t>
      </w:r>
      <w:r w:rsidR="00426180">
        <w:t xml:space="preserve">la </w:t>
      </w:r>
      <w:r>
        <w:t>liberación.</w:t>
      </w:r>
      <w:r w:rsidR="00654380">
        <w:br w:type="page"/>
      </w:r>
    </w:p>
    <w:p w14:paraId="54D3AB2B" w14:textId="77777777" w:rsidR="000C502A" w:rsidRDefault="000C502A" w:rsidP="000C502A"/>
    <w:p w14:paraId="18E31DCB" w14:textId="1F94576B" w:rsidR="000C502A" w:rsidRDefault="00310AB5" w:rsidP="000C502A">
      <w:r>
        <w:t xml:space="preserve">dentro del cuerpo </w:t>
      </w:r>
      <w:r w:rsidR="00CA6E22">
        <w:t xml:space="preserve">que </w:t>
      </w:r>
      <w:r>
        <w:t>viven depend</w:t>
      </w:r>
      <w:r w:rsidR="0015105C">
        <w:t>iendo</w:t>
      </w:r>
      <w:r>
        <w:t xml:space="preserve"> </w:t>
      </w:r>
      <w:r w:rsidR="0015105C">
        <w:t xml:space="preserve">de </w:t>
      </w:r>
      <w:r>
        <w:t xml:space="preserve">la piel exterior, alimentándose de la piel exterior; criaturas </w:t>
      </w:r>
      <w:r w:rsidR="007C4126">
        <w:t xml:space="preserve">que </w:t>
      </w:r>
      <w:r>
        <w:t xml:space="preserve">viven </w:t>
      </w:r>
      <w:r w:rsidR="0015105C">
        <w:t xml:space="preserve">dependiendo de </w:t>
      </w:r>
      <w:r>
        <w:t>la piel interior, alimentándose de la</w:t>
      </w:r>
      <w:r w:rsidRPr="00D8795C">
        <w:t xml:space="preserve"> </w:t>
      </w:r>
      <w:r>
        <w:t xml:space="preserve">piel interior; hay criaturas que viven </w:t>
      </w:r>
      <w:r w:rsidR="0015105C">
        <w:t xml:space="preserve">dependiendo de </w:t>
      </w:r>
      <w:r w:rsidR="000C502A">
        <w:t xml:space="preserve">la carne, alimentándose de la carne; </w:t>
      </w:r>
      <w:r w:rsidR="00895647">
        <w:t>hay</w:t>
      </w:r>
      <w:r w:rsidR="000C502A">
        <w:t xml:space="preserve"> criaturas </w:t>
      </w:r>
      <w:r w:rsidR="007C4126">
        <w:t xml:space="preserve">que </w:t>
      </w:r>
      <w:r w:rsidR="000C502A">
        <w:t xml:space="preserve">viven </w:t>
      </w:r>
      <w:r w:rsidR="0015105C">
        <w:t xml:space="preserve">dependiendo de </w:t>
      </w:r>
      <w:r w:rsidR="000C502A">
        <w:t xml:space="preserve">los tendones, alimentándose de los tendones; </w:t>
      </w:r>
      <w:r w:rsidR="00895647">
        <w:t>hay</w:t>
      </w:r>
      <w:r w:rsidR="000C502A">
        <w:t xml:space="preserve"> criaturas </w:t>
      </w:r>
      <w:r w:rsidR="009E0DA1">
        <w:t xml:space="preserve">que </w:t>
      </w:r>
      <w:r w:rsidR="000C502A">
        <w:t xml:space="preserve">viven </w:t>
      </w:r>
      <w:r w:rsidR="0015105C">
        <w:t xml:space="preserve">dependiendo de </w:t>
      </w:r>
      <w:r w:rsidR="000C502A">
        <w:t xml:space="preserve">los huesos, alimentándose de los huesos; y </w:t>
      </w:r>
      <w:r w:rsidR="009E0DA1">
        <w:t xml:space="preserve">hay </w:t>
      </w:r>
      <w:r w:rsidR="000C502A">
        <w:t xml:space="preserve">criaturas </w:t>
      </w:r>
      <w:r w:rsidR="009E0DA1">
        <w:t xml:space="preserve">que </w:t>
      </w:r>
      <w:r w:rsidR="000C502A">
        <w:t xml:space="preserve">viven </w:t>
      </w:r>
      <w:r w:rsidR="0015105C">
        <w:t xml:space="preserve">dependiendo de </w:t>
      </w:r>
      <w:r w:rsidR="000C502A">
        <w:t xml:space="preserve">la médula, alimentándose de la médula. Y allí nacen, envejecen y mueren, evacuan y </w:t>
      </w:r>
      <w:r w:rsidR="005E4B80">
        <w:t>miccionan</w:t>
      </w:r>
      <w:r w:rsidR="000C502A">
        <w:t xml:space="preserve">; y el cuerpo es su casa de maternidad, su hospital, su osario, su retrete y su urinario. El cuerpo también puede ser llevado a la muerte </w:t>
      </w:r>
      <w:r w:rsidR="004F6E1B">
        <w:t xml:space="preserve">mediante </w:t>
      </w:r>
      <w:r w:rsidR="007D69F0">
        <w:t>el disgusto</w:t>
      </w:r>
      <w:r w:rsidR="000C502A">
        <w:t xml:space="preserve"> de estos gusanos. Y así como se comparte </w:t>
      </w:r>
      <w:r w:rsidR="007D69F0">
        <w:t xml:space="preserve">el cuerpo </w:t>
      </w:r>
      <w:r w:rsidR="000C502A">
        <w:t xml:space="preserve">con ochenta familias de gusanos, </w:t>
      </w:r>
      <w:r w:rsidR="007D69F0">
        <w:t xml:space="preserve">así </w:t>
      </w:r>
      <w:r w:rsidR="000C502A">
        <w:t xml:space="preserve">también se comparte </w:t>
      </w:r>
      <w:r w:rsidR="000D4E69">
        <w:t xml:space="preserve">el cuerpo </w:t>
      </w:r>
      <w:r w:rsidR="000C502A">
        <w:t xml:space="preserve">con varios cientos de enfermedades internas </w:t>
      </w:r>
      <w:r w:rsidR="000D4E69">
        <w:t xml:space="preserve">y también </w:t>
      </w:r>
      <w:r w:rsidR="000C502A">
        <w:t xml:space="preserve">como con </w:t>
      </w:r>
      <w:r w:rsidR="009650A5">
        <w:t xml:space="preserve">las </w:t>
      </w:r>
      <w:r w:rsidR="000C502A">
        <w:t>causas externas de muerte como serpientes, escorpiones</w:t>
      </w:r>
      <w:r w:rsidR="009650A5">
        <w:t>,</w:t>
      </w:r>
      <w:r w:rsidR="000C502A">
        <w:t xml:space="preserve"> </w:t>
      </w:r>
      <w:r w:rsidR="009650A5">
        <w:t>etc</w:t>
      </w:r>
      <w:r w:rsidR="000C502A">
        <w:t>.</w:t>
      </w:r>
    </w:p>
    <w:p w14:paraId="5BFAAD3E" w14:textId="0D5709A1" w:rsidR="000C502A" w:rsidRDefault="000C502A" w:rsidP="000C502A">
      <w:r>
        <w:t xml:space="preserve">26. </w:t>
      </w:r>
      <w:r>
        <w:tab/>
        <w:t xml:space="preserve">Y </w:t>
      </w:r>
      <w:r w:rsidR="0054721D">
        <w:t>a</w:t>
      </w:r>
      <w:r w:rsidR="00196652">
        <w:t>l</w:t>
      </w:r>
      <w:r w:rsidR="0054721D">
        <w:t xml:space="preserve"> igual cómo</w:t>
      </w:r>
      <w:r>
        <w:t xml:space="preserve"> se coloca un blanco en una encrucijada y luego </w:t>
      </w:r>
      <w:r w:rsidR="0029284A">
        <w:t xml:space="preserve">caen sobre él </w:t>
      </w:r>
      <w:r>
        <w:t xml:space="preserve">flechas, lanzas, picas, piedras, etc., </w:t>
      </w:r>
      <w:r w:rsidR="003D34C4">
        <w:t>provenientes</w:t>
      </w:r>
      <w:r>
        <w:t xml:space="preserve"> de todas </w:t>
      </w:r>
      <w:r w:rsidR="003D34C4">
        <w:t xml:space="preserve">las </w:t>
      </w:r>
      <w:r>
        <w:t xml:space="preserve">direcciones, así también toda clase de accidentes sobrevienen al cuerpo y también la muerte </w:t>
      </w:r>
      <w:r w:rsidR="00196652">
        <w:t>mediante</w:t>
      </w:r>
      <w:r>
        <w:t xml:space="preserve"> </w:t>
      </w:r>
      <w:r w:rsidR="003D34C4">
        <w:t xml:space="preserve">la ocurrencia de </w:t>
      </w:r>
      <w:r>
        <w:t xml:space="preserve">accidentes. Por lo tanto, el </w:t>
      </w:r>
      <w:r w:rsidR="003D34C4">
        <w:rPr>
          <w:i/>
          <w:iCs/>
        </w:rPr>
        <w:t xml:space="preserve">Bhagavā </w:t>
      </w:r>
      <w:r>
        <w:t>dijo: “</w:t>
      </w:r>
      <w:r w:rsidR="00196652">
        <w:t>Aquí</w:t>
      </w:r>
      <w:r>
        <w:t xml:space="preserve">, </w:t>
      </w:r>
      <w:proofErr w:type="spellStart"/>
      <w:r w:rsidR="00057BF4" w:rsidRPr="00057BF4">
        <w:rPr>
          <w:i/>
          <w:iCs/>
        </w:rPr>
        <w:t>bhikkhu</w:t>
      </w:r>
      <w:r w:rsidR="00CE02DA" w:rsidRPr="00CE02DA">
        <w:rPr>
          <w:i/>
          <w:iCs/>
        </w:rPr>
        <w:t>s</w:t>
      </w:r>
      <w:proofErr w:type="spellEnd"/>
      <w:r>
        <w:t xml:space="preserve">, cuando el día </w:t>
      </w:r>
      <w:r w:rsidR="00196652">
        <w:t xml:space="preserve">transcurre </w:t>
      </w:r>
      <w:r>
        <w:t>y la noche se acerca,</w:t>
      </w:r>
      <w:r w:rsidR="00CE02DA">
        <w:rPr>
          <w:vertAlign w:val="superscript"/>
        </w:rPr>
        <w:t>9</w:t>
      </w:r>
      <w:r>
        <w:t xml:space="preserve"> un </w:t>
      </w:r>
      <w:proofErr w:type="spellStart"/>
      <w:r w:rsidR="00057BF4" w:rsidRPr="00057BF4">
        <w:rPr>
          <w:i/>
          <w:iCs/>
        </w:rPr>
        <w:t>bhikkhu</w:t>
      </w:r>
      <w:proofErr w:type="spellEnd"/>
      <w:r w:rsidR="00CE02DA" w:rsidRPr="00CE02DA">
        <w:t xml:space="preserve"> </w:t>
      </w:r>
      <w:r>
        <w:t>considera</w:t>
      </w:r>
      <w:r w:rsidR="00196652">
        <w:t>rá</w:t>
      </w:r>
      <w:r>
        <w:t xml:space="preserve"> lo siguiente: ‘De muchas maneras puedo arriesgarme a morir. Me puede morder una serpiente, o me puede picar un escorpión, o me puede picar un ciempiés. Podría morir de e</w:t>
      </w:r>
      <w:r w:rsidR="003D34C4">
        <w:t>ll</w:t>
      </w:r>
      <w:r>
        <w:t>o, y e</w:t>
      </w:r>
      <w:r w:rsidR="009101A8">
        <w:t>llo</w:t>
      </w:r>
      <w:r>
        <w:t xml:space="preserve"> me haría </w:t>
      </w:r>
      <w:r w:rsidR="00216517">
        <w:t>colapsar</w:t>
      </w:r>
      <w:r>
        <w:t>. O podría tropezar y caer, o la comida que h</w:t>
      </w:r>
      <w:r w:rsidR="00216517">
        <w:t>aya</w:t>
      </w:r>
      <w:r>
        <w:t xml:space="preserve"> comido podría no estar </w:t>
      </w:r>
      <w:r w:rsidR="00216517">
        <w:t>a mi favor</w:t>
      </w:r>
      <w:r>
        <w:t xml:space="preserve">, o mi bilis podría alterarse, o mi flema podría </w:t>
      </w:r>
      <w:r w:rsidR="00216517">
        <w:t xml:space="preserve">complicarse </w:t>
      </w:r>
      <w:r w:rsidR="0037239B">
        <w:t>o podrían</w:t>
      </w:r>
      <w:r>
        <w:t xml:space="preserve"> cortar</w:t>
      </w:r>
      <w:r w:rsidR="0037239B">
        <w:t>se</w:t>
      </w:r>
      <w:r>
        <w:t xml:space="preserve"> </w:t>
      </w:r>
      <w:r w:rsidR="00B473E8">
        <w:t xml:space="preserve">mis </w:t>
      </w:r>
      <w:r>
        <w:t xml:space="preserve">articulaciones como </w:t>
      </w:r>
      <w:r w:rsidR="0037239B">
        <w:t>lo hacen los</w:t>
      </w:r>
      <w:r w:rsidR="00B473E8">
        <w:t xml:space="preserve"> </w:t>
      </w:r>
      <w:r>
        <w:t>cuchillos. Podría morir de e</w:t>
      </w:r>
      <w:r w:rsidR="00B473E8">
        <w:t>ll</w:t>
      </w:r>
      <w:r>
        <w:t xml:space="preserve">o, y eso me haría </w:t>
      </w:r>
      <w:r w:rsidR="00D93C70">
        <w:t>acabar ahí</w:t>
      </w:r>
      <w:r w:rsidR="00ED20EA">
        <w:t xml:space="preserve"> mismo</w:t>
      </w:r>
      <w:r>
        <w:t>” (A III 306).</w:t>
      </w:r>
    </w:p>
    <w:p w14:paraId="3AD4FBB7" w14:textId="646904AA" w:rsidR="000C502A" w:rsidRDefault="000C502A" w:rsidP="000C502A">
      <w:pPr>
        <w:pStyle w:val="NormalConSangria"/>
      </w:pPr>
      <w:r>
        <w:t>Así debe</w:t>
      </w:r>
      <w:r w:rsidR="0037239B">
        <w:t>rá</w:t>
      </w:r>
      <w:r>
        <w:t xml:space="preserve"> </w:t>
      </w:r>
      <w:r w:rsidR="00D93C70">
        <w:t>evocarse</w:t>
      </w:r>
      <w:r>
        <w:t xml:space="preserve"> la muerte en cuanto a compartir el cuerpo con muchos.</w:t>
      </w:r>
    </w:p>
    <w:p w14:paraId="17C96D4E" w14:textId="5F9CA89B" w:rsidR="000C502A" w:rsidRDefault="000C502A" w:rsidP="000C502A">
      <w:r>
        <w:t xml:space="preserve">27. </w:t>
      </w:r>
      <w:r>
        <w:tab/>
        <w:t xml:space="preserve">5. </w:t>
      </w:r>
      <w:r w:rsidRPr="006A2981">
        <w:rPr>
          <w:i/>
          <w:iCs/>
        </w:rPr>
        <w:t>En cuanto a la fragilidad de la vida</w:t>
      </w:r>
      <w:r>
        <w:t xml:space="preserve">: esta vida es impotente y frágil. </w:t>
      </w:r>
      <w:r w:rsidR="00C765E7">
        <w:t xml:space="preserve">Es así </w:t>
      </w:r>
      <w:r w:rsidR="00345CA2">
        <w:t>por</w:t>
      </w:r>
      <w:r>
        <w:t xml:space="preserve">que la vida de los seres está </w:t>
      </w:r>
      <w:r w:rsidR="00C765E7">
        <w:t>condicionada</w:t>
      </w:r>
      <w:r>
        <w:t xml:space="preserve"> </w:t>
      </w:r>
      <w:r w:rsidR="00C765E7">
        <w:t>por</w:t>
      </w:r>
      <w:r>
        <w:t xml:space="preserve"> la respiración, está </w:t>
      </w:r>
      <w:r w:rsidR="00C765E7">
        <w:t>condicionada por</w:t>
      </w:r>
      <w:r>
        <w:t xml:space="preserve"> las posturas, está </w:t>
      </w:r>
      <w:r w:rsidR="00C765E7">
        <w:t>condicionada por e</w:t>
      </w:r>
      <w:r>
        <w:t xml:space="preserve">l frío y al calor, está </w:t>
      </w:r>
      <w:r w:rsidR="00C765E7">
        <w:t xml:space="preserve">condicionada por </w:t>
      </w:r>
      <w:r>
        <w:t xml:space="preserve">los elementos primarios y está </w:t>
      </w:r>
      <w:r w:rsidR="00C765E7">
        <w:t>condicionada por e</w:t>
      </w:r>
      <w:r>
        <w:t>l alimento.</w:t>
      </w:r>
    </w:p>
    <w:p w14:paraId="25730A4D" w14:textId="47F122EC" w:rsidR="000C502A" w:rsidRDefault="000C502A" w:rsidP="000C502A">
      <w:r>
        <w:t xml:space="preserve">28. </w:t>
      </w:r>
      <w:r>
        <w:tab/>
        <w:t>La vida ocurr</w:t>
      </w:r>
      <w:r w:rsidR="007F43A8">
        <w:t>irá</w:t>
      </w:r>
      <w:r>
        <w:t xml:space="preserve"> solo cuando la inhalaci</w:t>
      </w:r>
      <w:r w:rsidR="007F43A8">
        <w:t>ó</w:t>
      </w:r>
      <w:r>
        <w:t>n y exhalaci</w:t>
      </w:r>
      <w:r w:rsidR="007F43A8">
        <w:t>ó</w:t>
      </w:r>
      <w:r>
        <w:t>n ocurr</w:t>
      </w:r>
      <w:r w:rsidR="007F43A8">
        <w:t>a</w:t>
      </w:r>
      <w:r>
        <w:t>n de manera uniforme. Pero cuando el viento que ha</w:t>
      </w:r>
      <w:r w:rsidR="00345CA2">
        <w:t>ya</w:t>
      </w:r>
      <w:r>
        <w:t xml:space="preserve"> salido </w:t>
      </w:r>
      <w:r w:rsidR="006D55E5">
        <w:t xml:space="preserve">por las narices hacia </w:t>
      </w:r>
      <w:r>
        <w:t>fuera no vuelv</w:t>
      </w:r>
      <w:r w:rsidR="006D55E5">
        <w:t>a</w:t>
      </w:r>
      <w:r>
        <w:t xml:space="preserve"> a entrar, o cuando el que ha</w:t>
      </w:r>
      <w:r w:rsidR="00345CA2">
        <w:t>ya</w:t>
      </w:r>
      <w:r>
        <w:t xml:space="preserve"> entrado no vuelv</w:t>
      </w:r>
      <w:r w:rsidR="00345CA2">
        <w:t>a</w:t>
      </w:r>
      <w:r>
        <w:t xml:space="preserve"> a salir, entonces </w:t>
      </w:r>
      <w:r w:rsidR="006D55E5">
        <w:t xml:space="preserve">al hombre </w:t>
      </w:r>
      <w:r>
        <w:t xml:space="preserve">se </w:t>
      </w:r>
      <w:r w:rsidR="006D55E5">
        <w:t xml:space="preserve">le </w:t>
      </w:r>
      <w:r>
        <w:t>da</w:t>
      </w:r>
      <w:r w:rsidR="00345CA2">
        <w:t>rá</w:t>
      </w:r>
      <w:r>
        <w:t xml:space="preserve"> por muerto.</w:t>
      </w:r>
    </w:p>
    <w:p w14:paraId="495EF1F5" w14:textId="6A45DC83" w:rsidR="000C502A" w:rsidRDefault="000C502A" w:rsidP="000C502A">
      <w:pPr>
        <w:pStyle w:val="NormalConSangria"/>
      </w:pPr>
      <w:r>
        <w:t xml:space="preserve">Y </w:t>
      </w:r>
      <w:r w:rsidR="00345CA2">
        <w:t xml:space="preserve">la vida </w:t>
      </w:r>
      <w:r>
        <w:t>ocurr</w:t>
      </w:r>
      <w:r w:rsidR="00C71013">
        <w:t>irá</w:t>
      </w:r>
      <w:r>
        <w:t xml:space="preserve"> sólo cuando las cuatro posturas ocurr</w:t>
      </w:r>
      <w:r w:rsidR="00345CA2">
        <w:t>a</w:t>
      </w:r>
      <w:r>
        <w:t>n de manera uniforme. [236] Pero con el predominio de cualquiera de ell</w:t>
      </w:r>
      <w:r w:rsidR="004168F8">
        <w:t>a</w:t>
      </w:r>
      <w:r>
        <w:t>s se interrump</w:t>
      </w:r>
      <w:r w:rsidR="004168F8">
        <w:t>irá</w:t>
      </w:r>
      <w:r>
        <w:t xml:space="preserve"> el proceso de la vida.</w:t>
      </w:r>
    </w:p>
    <w:p w14:paraId="5A751081" w14:textId="0C0760FD" w:rsidR="000C502A" w:rsidRDefault="000C502A" w:rsidP="000C502A">
      <w:pPr>
        <w:pStyle w:val="NormalConSangria"/>
      </w:pPr>
      <w:r>
        <w:t xml:space="preserve">Y </w:t>
      </w:r>
      <w:r w:rsidR="004168F8">
        <w:t xml:space="preserve">la vida </w:t>
      </w:r>
      <w:r>
        <w:t>ocurr</w:t>
      </w:r>
      <w:r w:rsidR="006D55E5">
        <w:t>irá</w:t>
      </w:r>
      <w:r>
        <w:t xml:space="preserve"> sólo cuando el frío y el calor se d</w:t>
      </w:r>
      <w:r w:rsidR="006D55E5">
        <w:t>e</w:t>
      </w:r>
      <w:r>
        <w:t xml:space="preserve">n por igual. </w:t>
      </w:r>
      <w:r w:rsidR="00724637">
        <w:t xml:space="preserve">No obstante, la vida habrá colapsado </w:t>
      </w:r>
      <w:r>
        <w:t xml:space="preserve">cuando un hombre </w:t>
      </w:r>
      <w:r w:rsidR="00724637">
        <w:t xml:space="preserve">sea </w:t>
      </w:r>
      <w:r>
        <w:t>vencido por el frío o el calor excesivo.</w:t>
      </w:r>
    </w:p>
    <w:p w14:paraId="2203D2EF" w14:textId="5C633D89" w:rsidR="000C502A" w:rsidRDefault="000C502A" w:rsidP="000C502A">
      <w:pPr>
        <w:pStyle w:val="NormalConSangria"/>
      </w:pPr>
      <w:r>
        <w:t xml:space="preserve">Y </w:t>
      </w:r>
      <w:r w:rsidR="00724637">
        <w:t xml:space="preserve">la vida </w:t>
      </w:r>
      <w:r>
        <w:t>ocurr</w:t>
      </w:r>
      <w:r w:rsidR="00791477">
        <w:t>irá</w:t>
      </w:r>
      <w:r>
        <w:t xml:space="preserve"> s</w:t>
      </w:r>
      <w:r w:rsidR="00724637">
        <w:t>ó</w:t>
      </w:r>
      <w:r>
        <w:t xml:space="preserve">lo cuando los cuatro elementos primarios </w:t>
      </w:r>
      <w:r w:rsidR="00791477">
        <w:t xml:space="preserve">estén </w:t>
      </w:r>
      <w:r>
        <w:t xml:space="preserve">ocurriendo uniformemente. </w:t>
      </w:r>
      <w:r w:rsidR="00724637">
        <w:t xml:space="preserve">No obstante, </w:t>
      </w:r>
      <w:r>
        <w:t xml:space="preserve">con la perturbación del elemento tierra, incluso la vida de un hombre fuerte </w:t>
      </w:r>
      <w:r w:rsidR="00724637">
        <w:t xml:space="preserve">podría </w:t>
      </w:r>
      <w:r>
        <w:t xml:space="preserve">terminar si su cuerpo se </w:t>
      </w:r>
      <w:r w:rsidR="00724637">
        <w:t xml:space="preserve">volviese </w:t>
      </w:r>
      <w:r>
        <w:t xml:space="preserve">rígido, o con la perturbación de uno de los elementos comenzando con el agua si su cuerpo se </w:t>
      </w:r>
      <w:r w:rsidR="00B078EF">
        <w:t xml:space="preserve">volviese </w:t>
      </w:r>
      <w:r>
        <w:t xml:space="preserve">flácido </w:t>
      </w:r>
      <w:r w:rsidR="00791477">
        <w:t>o</w:t>
      </w:r>
      <w:r>
        <w:t xml:space="preserve"> petrificado con un flujo intestinal, etc., o si está consumido por una fuerte fiebre, o si sufr</w:t>
      </w:r>
      <w:r w:rsidR="00B078EF">
        <w:t>iese</w:t>
      </w:r>
      <w:r>
        <w:t xml:space="preserve"> </w:t>
      </w:r>
      <w:r w:rsidR="00B078EF">
        <w:t xml:space="preserve">de </w:t>
      </w:r>
      <w:r>
        <w:t>una amputación de las ligaduras de las articulaciones de sus miembros (cf. XI.102).</w:t>
      </w:r>
    </w:p>
    <w:p w14:paraId="4BF7AF6A" w14:textId="42903A0E" w:rsidR="000C502A" w:rsidRDefault="000C502A" w:rsidP="000C502A">
      <w:pPr>
        <w:pStyle w:val="Piedepgina"/>
        <w:rPr>
          <w:u w:val="single"/>
        </w:rPr>
      </w:pPr>
      <w:r>
        <w:rPr>
          <w:u w:val="single"/>
        </w:rPr>
        <w:t xml:space="preserve">                                                                                                                                                                          .</w:t>
      </w:r>
    </w:p>
    <w:p w14:paraId="6A47E9BE" w14:textId="7EAD1C70" w:rsidR="00D23189" w:rsidRDefault="000C502A" w:rsidP="000C502A">
      <w:pPr>
        <w:pStyle w:val="PiedepginaLegal"/>
      </w:pPr>
      <w:r>
        <w:t xml:space="preserve">9. </w:t>
      </w:r>
      <w:r w:rsidR="00D23189">
        <w:tab/>
      </w:r>
      <w:proofErr w:type="spellStart"/>
      <w:r w:rsidRPr="006A2981">
        <w:rPr>
          <w:i/>
          <w:iCs/>
        </w:rPr>
        <w:t>Paṭihitāya</w:t>
      </w:r>
      <w:proofErr w:type="spellEnd"/>
      <w:r>
        <w:t xml:space="preserve">—“dibujar sobre”: </w:t>
      </w:r>
      <w:r w:rsidR="005F7CDE">
        <w:t>no en el</w:t>
      </w:r>
      <w:r>
        <w:t xml:space="preserve"> PED; </w:t>
      </w:r>
      <w:r w:rsidR="005F7CDE">
        <w:t xml:space="preserve">el </w:t>
      </w:r>
      <w:proofErr w:type="spellStart"/>
      <w:r>
        <w:t>Vism-mhṭ</w:t>
      </w:r>
      <w:proofErr w:type="spellEnd"/>
      <w:r>
        <w:t xml:space="preserve"> (pág. 240) </w:t>
      </w:r>
      <w:r w:rsidR="005F7CDE">
        <w:t xml:space="preserve">se </w:t>
      </w:r>
      <w:r>
        <w:t xml:space="preserve">lee </w:t>
      </w:r>
      <w:proofErr w:type="spellStart"/>
      <w:r w:rsidRPr="006A2981">
        <w:rPr>
          <w:i/>
          <w:iCs/>
        </w:rPr>
        <w:t>paṇitāya</w:t>
      </w:r>
      <w:proofErr w:type="spellEnd"/>
      <w:r>
        <w:t xml:space="preserve"> y </w:t>
      </w:r>
      <w:r w:rsidR="005F7CDE">
        <w:t xml:space="preserve">se </w:t>
      </w:r>
      <w:r>
        <w:t xml:space="preserve">explica mediante </w:t>
      </w:r>
      <w:proofErr w:type="spellStart"/>
      <w:r w:rsidRPr="006A2981">
        <w:rPr>
          <w:i/>
          <w:iCs/>
        </w:rPr>
        <w:t>paccāgatāya</w:t>
      </w:r>
      <w:proofErr w:type="spellEnd"/>
      <w:r>
        <w:t xml:space="preserve"> (regresa</w:t>
      </w:r>
      <w:r w:rsidR="005F7CDE">
        <w:t>r</w:t>
      </w:r>
      <w:r>
        <w:t>).</w:t>
      </w:r>
    </w:p>
    <w:p w14:paraId="006F5611" w14:textId="77777777" w:rsidR="00D23189" w:rsidRDefault="00D23189">
      <w:pPr>
        <w:tabs>
          <w:tab w:val="clear" w:pos="425"/>
        </w:tabs>
        <w:spacing w:after="160"/>
        <w:rPr>
          <w:color w:val="000000" w:themeColor="text1"/>
          <w:spacing w:val="10"/>
          <w:sz w:val="14"/>
        </w:rPr>
      </w:pPr>
      <w:r>
        <w:br w:type="page"/>
      </w:r>
    </w:p>
    <w:p w14:paraId="0D0932CD" w14:textId="4543DBF5" w:rsidR="00AF308F" w:rsidRDefault="00867A55" w:rsidP="00AF308F">
      <w:pPr>
        <w:pStyle w:val="NormalConSangria"/>
      </w:pPr>
      <w:r>
        <w:lastRenderedPageBreak/>
        <w:t>Además,</w:t>
      </w:r>
      <w:r w:rsidR="00AF308F">
        <w:t xml:space="preserve"> la vida se produc</w:t>
      </w:r>
      <w:r>
        <w:t>irá</w:t>
      </w:r>
      <w:r w:rsidR="00AF308F">
        <w:t xml:space="preserve"> sólo en quien obten</w:t>
      </w:r>
      <w:r w:rsidR="000C6167">
        <w:t>ga</w:t>
      </w:r>
      <w:r w:rsidR="00AF308F">
        <w:t xml:space="preserve"> alimento físico en el momento adecuado; </w:t>
      </w:r>
      <w:r w:rsidR="00D3129C">
        <w:t>no obstante,</w:t>
      </w:r>
      <w:r w:rsidR="00AF308F">
        <w:t xml:space="preserve"> si no </w:t>
      </w:r>
      <w:r w:rsidR="000C515E">
        <w:t xml:space="preserve">se </w:t>
      </w:r>
      <w:r w:rsidR="00AF308F">
        <w:t>obt</w:t>
      </w:r>
      <w:r w:rsidR="00D3129C">
        <w:t>uviese</w:t>
      </w:r>
      <w:r w:rsidR="00AF308F">
        <w:t xml:space="preserve"> nada, </w:t>
      </w:r>
      <w:r w:rsidR="00DC528B">
        <w:t xml:space="preserve">la </w:t>
      </w:r>
      <w:r w:rsidR="00AF308F">
        <w:t>vida</w:t>
      </w:r>
      <w:r w:rsidR="00DC528B">
        <w:t xml:space="preserve"> se consumirá</w:t>
      </w:r>
      <w:r w:rsidR="00AF308F">
        <w:t>.</w:t>
      </w:r>
    </w:p>
    <w:p w14:paraId="34EEAB87" w14:textId="39927B7A" w:rsidR="00AF308F" w:rsidRDefault="00AF308F" w:rsidP="00AF308F">
      <w:pPr>
        <w:pStyle w:val="NormalConSangria"/>
      </w:pPr>
      <w:r>
        <w:t>Así debe</w:t>
      </w:r>
      <w:r w:rsidR="00867A55">
        <w:t>rá</w:t>
      </w:r>
      <w:r>
        <w:t xml:space="preserve"> </w:t>
      </w:r>
      <w:r w:rsidR="007E3D82">
        <w:t xml:space="preserve">evocarse </w:t>
      </w:r>
      <w:r>
        <w:t>la muerte en cuanto a la fragilidad de la vida.</w:t>
      </w:r>
    </w:p>
    <w:p w14:paraId="433737B4" w14:textId="6D24767C" w:rsidR="00AF308F" w:rsidRDefault="00AF308F" w:rsidP="00AF308F">
      <w:r>
        <w:t xml:space="preserve">29. </w:t>
      </w:r>
      <w:r w:rsidR="006A2981">
        <w:tab/>
      </w:r>
      <w:r>
        <w:t xml:space="preserve">6. </w:t>
      </w:r>
      <w:r w:rsidRPr="006A2981">
        <w:rPr>
          <w:i/>
          <w:iCs/>
        </w:rPr>
        <w:t xml:space="preserve">Como si </w:t>
      </w:r>
      <w:r w:rsidR="00261A0F">
        <w:rPr>
          <w:i/>
          <w:iCs/>
        </w:rPr>
        <w:t xml:space="preserve">no tuviera </w:t>
      </w:r>
      <w:r w:rsidRPr="006A2981">
        <w:rPr>
          <w:i/>
          <w:iCs/>
        </w:rPr>
        <w:t>signo</w:t>
      </w:r>
      <w:r w:rsidR="00261A0F">
        <w:rPr>
          <w:i/>
          <w:iCs/>
        </w:rPr>
        <w:t>s</w:t>
      </w:r>
      <w:r>
        <w:t xml:space="preserve">: como indefinible. El significado es que </w:t>
      </w:r>
      <w:r w:rsidR="00D66C74">
        <w:t xml:space="preserve">la muerte </w:t>
      </w:r>
      <w:r>
        <w:t>es impredecible. Porque en el caso de todos los seres:</w:t>
      </w:r>
    </w:p>
    <w:p w14:paraId="3860D02E" w14:textId="7A7B3C30" w:rsidR="00AF308F" w:rsidRDefault="00AF308F" w:rsidP="00AF308F">
      <w:pPr>
        <w:pStyle w:val="VersoIngls01Sangria"/>
      </w:pPr>
      <w:r>
        <w:t>El lapso</w:t>
      </w:r>
      <w:r w:rsidR="00DC528B">
        <w:t xml:space="preserve"> de vida</w:t>
      </w:r>
      <w:r>
        <w:t xml:space="preserve">, la enfermedad, el </w:t>
      </w:r>
      <w:r w:rsidR="00D57AFE">
        <w:t>momento</w:t>
      </w:r>
      <w:r>
        <w:t xml:space="preserve"> y donde</w:t>
      </w:r>
    </w:p>
    <w:p w14:paraId="751F3BBD" w14:textId="266E5E37" w:rsidR="00AF308F" w:rsidRDefault="00AF308F" w:rsidP="00AF308F">
      <w:pPr>
        <w:pStyle w:val="VersoIngls01Sangria"/>
      </w:pPr>
      <w:r>
        <w:t xml:space="preserve">El cuerpo </w:t>
      </w:r>
      <w:r w:rsidR="0030478B">
        <w:t>yacerá</w:t>
      </w:r>
      <w:r>
        <w:t>, el destino:</w:t>
      </w:r>
    </w:p>
    <w:p w14:paraId="4A43C95B" w14:textId="04362B46" w:rsidR="00AF308F" w:rsidRDefault="00AF308F" w:rsidP="00AF308F">
      <w:pPr>
        <w:pStyle w:val="VersoIngls01Sangria"/>
      </w:pPr>
      <w:r>
        <w:t xml:space="preserve">El mundo vivo nunca </w:t>
      </w:r>
      <w:r w:rsidR="00D57AFE">
        <w:t xml:space="preserve">lo podrá </w:t>
      </w:r>
      <w:r>
        <w:t>saber</w:t>
      </w:r>
      <w:r w:rsidRPr="00CE02DA">
        <w:rPr>
          <w:vertAlign w:val="superscript"/>
        </w:rPr>
        <w:t>10</w:t>
      </w:r>
      <w:r>
        <w:t>;</w:t>
      </w:r>
    </w:p>
    <w:p w14:paraId="2590801A" w14:textId="702AF8B3" w:rsidR="00AF308F" w:rsidRDefault="00AF308F" w:rsidP="00AF308F">
      <w:pPr>
        <w:pStyle w:val="VersoIngls01Sangria"/>
        <w:spacing w:after="100"/>
        <w:ind w:left="1418"/>
      </w:pPr>
      <w:r>
        <w:t xml:space="preserve">No </w:t>
      </w:r>
      <w:r w:rsidR="0030478B">
        <w:t>exist</w:t>
      </w:r>
      <w:r w:rsidR="00640362">
        <w:t>irá</w:t>
      </w:r>
      <w:r w:rsidR="00D66C74">
        <w:t>n</w:t>
      </w:r>
      <w:r w:rsidR="0030478B">
        <w:t xml:space="preserve"> </w:t>
      </w:r>
      <w:r w:rsidR="00D57AFE">
        <w:t xml:space="preserve">signos </w:t>
      </w:r>
      <w:r>
        <w:t>que prediga</w:t>
      </w:r>
      <w:r w:rsidR="00640362">
        <w:t>n</w:t>
      </w:r>
      <w:r>
        <w:t xml:space="preserve"> cuándo se</w:t>
      </w:r>
      <w:r w:rsidR="00D57AFE">
        <w:t xml:space="preserve"> da</w:t>
      </w:r>
      <w:r>
        <w:t>rá</w:t>
      </w:r>
      <w:r w:rsidR="00D66C74">
        <w:t xml:space="preserve"> la muerte</w:t>
      </w:r>
      <w:r>
        <w:t>.</w:t>
      </w:r>
    </w:p>
    <w:p w14:paraId="338F2955" w14:textId="4B37F06F" w:rsidR="00AF308F" w:rsidRDefault="00AF308F" w:rsidP="00AF308F">
      <w:r>
        <w:t xml:space="preserve">30. </w:t>
      </w:r>
      <w:r w:rsidR="00985205">
        <w:tab/>
      </w:r>
      <w:r>
        <w:t xml:space="preserve">Aquí, en primer lugar, </w:t>
      </w:r>
      <w:r w:rsidR="00A25942">
        <w:t>en cuanto a</w:t>
      </w:r>
      <w:r>
        <w:t xml:space="preserve">l </w:t>
      </w:r>
      <w:r w:rsidRPr="00985205">
        <w:rPr>
          <w:i/>
          <w:iCs/>
        </w:rPr>
        <w:t>lapso</w:t>
      </w:r>
      <w:r w:rsidR="00D57AFE">
        <w:rPr>
          <w:i/>
          <w:iCs/>
        </w:rPr>
        <w:t xml:space="preserve"> de vida</w:t>
      </w:r>
      <w:r w:rsidR="00A25942">
        <w:rPr>
          <w:i/>
          <w:iCs/>
        </w:rPr>
        <w:t>,</w:t>
      </w:r>
      <w:r w:rsidR="00D57AFE">
        <w:rPr>
          <w:i/>
          <w:iCs/>
        </w:rPr>
        <w:t xml:space="preserve"> </w:t>
      </w:r>
      <w:r w:rsidR="00A25942">
        <w:t xml:space="preserve">éste </w:t>
      </w:r>
      <w:r>
        <w:t>no tiene signo</w:t>
      </w:r>
      <w:r w:rsidR="00A25942">
        <w:t>s</w:t>
      </w:r>
      <w:r>
        <w:t xml:space="preserve"> porque no </w:t>
      </w:r>
      <w:r w:rsidR="00F95D00">
        <w:t xml:space="preserve">existe </w:t>
      </w:r>
      <w:r>
        <w:t>una definición como: Sólo tanto debe</w:t>
      </w:r>
      <w:r w:rsidR="00F95D00">
        <w:t>rá</w:t>
      </w:r>
      <w:r>
        <w:t xml:space="preserve"> ser vivido, no más que e</w:t>
      </w:r>
      <w:r w:rsidR="00F95D00">
        <w:t>ll</w:t>
      </w:r>
      <w:r>
        <w:t xml:space="preserve">o. </w:t>
      </w:r>
      <w:r w:rsidR="004B6C0C">
        <w:t>Esto es debido a que l</w:t>
      </w:r>
      <w:r w:rsidR="009A0BA8">
        <w:t xml:space="preserve">os </w:t>
      </w:r>
      <w:r>
        <w:t xml:space="preserve">seres </w:t>
      </w:r>
      <w:r w:rsidR="004B6C0C">
        <w:t xml:space="preserve">pueden morir </w:t>
      </w:r>
      <w:r>
        <w:t xml:space="preserve">en diversas etapas </w:t>
      </w:r>
      <w:r w:rsidR="00C80CAB">
        <w:t xml:space="preserve">como </w:t>
      </w:r>
      <w:r>
        <w:t xml:space="preserve">embrión, </w:t>
      </w:r>
      <w:r w:rsidR="00C80CAB">
        <w:t>es decir</w:t>
      </w:r>
      <w:r>
        <w:t xml:space="preserve">, en el momento de </w:t>
      </w:r>
      <w:proofErr w:type="spellStart"/>
      <w:r w:rsidRPr="00985205">
        <w:rPr>
          <w:i/>
          <w:iCs/>
        </w:rPr>
        <w:t>kalala</w:t>
      </w:r>
      <w:proofErr w:type="spellEnd"/>
      <w:r>
        <w:t xml:space="preserve">, </w:t>
      </w:r>
      <w:proofErr w:type="spellStart"/>
      <w:r w:rsidR="00C80CAB" w:rsidRPr="00985205">
        <w:rPr>
          <w:i/>
          <w:iCs/>
        </w:rPr>
        <w:t>ab</w:t>
      </w:r>
      <w:r w:rsidR="00C80CAB" w:rsidRPr="00057BF4">
        <w:rPr>
          <w:i/>
          <w:iCs/>
        </w:rPr>
        <w:t>buddha</w:t>
      </w:r>
      <w:proofErr w:type="spellEnd"/>
      <w:r>
        <w:t xml:space="preserve">, </w:t>
      </w:r>
      <w:proofErr w:type="spellStart"/>
      <w:r w:rsidRPr="00985205">
        <w:rPr>
          <w:i/>
          <w:iCs/>
        </w:rPr>
        <w:t>peksi</w:t>
      </w:r>
      <w:proofErr w:type="spellEnd"/>
      <w:r>
        <w:t xml:space="preserve">, </w:t>
      </w:r>
      <w:proofErr w:type="spellStart"/>
      <w:r w:rsidRPr="00985205">
        <w:rPr>
          <w:i/>
          <w:iCs/>
        </w:rPr>
        <w:t>ghana</w:t>
      </w:r>
      <w:proofErr w:type="spellEnd"/>
      <w:r>
        <w:t xml:space="preserve">, </w:t>
      </w:r>
      <w:r w:rsidR="00867B4F">
        <w:t xml:space="preserve">pasado un </w:t>
      </w:r>
      <w:r>
        <w:t>mes, dos, tres, cuatro, cinco meses...</w:t>
      </w:r>
      <w:r w:rsidR="00ED10CB">
        <w:t xml:space="preserve">pasados </w:t>
      </w:r>
      <w:r>
        <w:t xml:space="preserve">diez meses, y en </w:t>
      </w:r>
      <w:r w:rsidR="00ED10CB">
        <w:t xml:space="preserve">alguna </w:t>
      </w:r>
      <w:r>
        <w:t xml:space="preserve">ocasión </w:t>
      </w:r>
      <w:r w:rsidR="00ED10CB">
        <w:t xml:space="preserve">al </w:t>
      </w:r>
      <w:r>
        <w:t xml:space="preserve">salir del vientre. Y después </w:t>
      </w:r>
      <w:r w:rsidR="004D1181">
        <w:t>se podría morir</w:t>
      </w:r>
      <w:r>
        <w:t xml:space="preserve"> </w:t>
      </w:r>
      <w:r w:rsidR="004D1181">
        <w:t xml:space="preserve">en </w:t>
      </w:r>
      <w:r>
        <w:t xml:space="preserve">este o </w:t>
      </w:r>
      <w:r w:rsidR="004D1181">
        <w:t xml:space="preserve">en </w:t>
      </w:r>
      <w:r>
        <w:t>el otro del siglo.</w:t>
      </w:r>
    </w:p>
    <w:p w14:paraId="16316B16" w14:textId="3B93DB32" w:rsidR="00AF308F" w:rsidRDefault="00AF308F" w:rsidP="00AF308F">
      <w:r>
        <w:t xml:space="preserve">31. </w:t>
      </w:r>
      <w:r w:rsidR="00985205">
        <w:tab/>
      </w:r>
      <w:r>
        <w:t xml:space="preserve">Y </w:t>
      </w:r>
      <w:r w:rsidRPr="00985205">
        <w:rPr>
          <w:i/>
          <w:iCs/>
        </w:rPr>
        <w:t>la enfermedad</w:t>
      </w:r>
      <w:r>
        <w:t xml:space="preserve"> no tiene signo</w:t>
      </w:r>
      <w:r w:rsidR="00640362">
        <w:t>,</w:t>
      </w:r>
      <w:r>
        <w:t xml:space="preserve"> porque no </w:t>
      </w:r>
      <w:r w:rsidR="00C2631B">
        <w:t>existe</w:t>
      </w:r>
      <w:r>
        <w:t xml:space="preserve"> una definición </w:t>
      </w:r>
      <w:r w:rsidR="00C2631B">
        <w:t xml:space="preserve">tal </w:t>
      </w:r>
      <w:r>
        <w:t xml:space="preserve">como: </w:t>
      </w:r>
      <w:r w:rsidR="00A206EB">
        <w:t xml:space="preserve">los </w:t>
      </w:r>
      <w:r>
        <w:t xml:space="preserve">seres mueren sólo de esta enfermedad, no de ninguna otra. </w:t>
      </w:r>
      <w:r w:rsidR="00A206EB">
        <w:t xml:space="preserve">Ya </w:t>
      </w:r>
      <w:r>
        <w:t>que los seres mueren de la enfermedad de los ojos o de cualquiera de los que comien</w:t>
      </w:r>
      <w:r w:rsidR="00C2631B">
        <w:t>ce</w:t>
      </w:r>
      <w:r>
        <w:t>n con la enfermedad del oído (ver A V 110).</w:t>
      </w:r>
    </w:p>
    <w:p w14:paraId="00E5F03B" w14:textId="324CE3DB" w:rsidR="00AF308F" w:rsidRDefault="00AF308F" w:rsidP="00AF308F">
      <w:r>
        <w:t xml:space="preserve">32. </w:t>
      </w:r>
      <w:r w:rsidR="00985205">
        <w:tab/>
      </w:r>
      <w:r>
        <w:t xml:space="preserve">Y </w:t>
      </w:r>
      <w:r w:rsidRPr="00985205">
        <w:rPr>
          <w:i/>
          <w:iCs/>
        </w:rPr>
        <w:t xml:space="preserve">el </w:t>
      </w:r>
      <w:r w:rsidR="00985205">
        <w:rPr>
          <w:i/>
          <w:iCs/>
        </w:rPr>
        <w:t>m</w:t>
      </w:r>
      <w:r w:rsidR="00011549">
        <w:rPr>
          <w:i/>
          <w:iCs/>
        </w:rPr>
        <w:t>o</w:t>
      </w:r>
      <w:r w:rsidR="00985205">
        <w:rPr>
          <w:i/>
          <w:iCs/>
        </w:rPr>
        <w:t xml:space="preserve">mento </w:t>
      </w:r>
      <w:r>
        <w:t>no tiene signo</w:t>
      </w:r>
      <w:r w:rsidR="00640362">
        <w:t>,</w:t>
      </w:r>
      <w:r>
        <w:t xml:space="preserve"> </w:t>
      </w:r>
      <w:r w:rsidR="00DF3A6F">
        <w:t xml:space="preserve">ya </w:t>
      </w:r>
      <w:r>
        <w:t xml:space="preserve">que no </w:t>
      </w:r>
      <w:r w:rsidR="00A82605">
        <w:t xml:space="preserve">existe </w:t>
      </w:r>
      <w:r>
        <w:t xml:space="preserve">una definición </w:t>
      </w:r>
      <w:r w:rsidR="00A82605">
        <w:t xml:space="preserve">tal </w:t>
      </w:r>
      <w:r>
        <w:t xml:space="preserve">como: </w:t>
      </w:r>
      <w:r w:rsidR="00DF3A6F">
        <w:t xml:space="preserve">uno </w:t>
      </w:r>
      <w:r>
        <w:t>ten</w:t>
      </w:r>
      <w:r w:rsidR="00DF3A6F">
        <w:t>drá</w:t>
      </w:r>
      <w:r>
        <w:t xml:space="preserve"> que morir sólo en este </w:t>
      </w:r>
      <w:r w:rsidR="00DF3A6F">
        <w:t>momento</w:t>
      </w:r>
      <w:r>
        <w:t xml:space="preserve">, no en ningún otro. </w:t>
      </w:r>
      <w:r w:rsidR="00DF3A6F">
        <w:t xml:space="preserve">Ya </w:t>
      </w:r>
      <w:r>
        <w:t xml:space="preserve">que los seres mueren por la mañana </w:t>
      </w:r>
      <w:r w:rsidR="00A82605">
        <w:t>o</w:t>
      </w:r>
      <w:r>
        <w:t xml:space="preserve"> en cualquier otro momento, como </w:t>
      </w:r>
      <w:r w:rsidR="00DF3A6F">
        <w:t>a</w:t>
      </w:r>
      <w:r>
        <w:t>l mediodía.</w:t>
      </w:r>
    </w:p>
    <w:p w14:paraId="103DB49E" w14:textId="4ACE2877" w:rsidR="00AF308F" w:rsidRDefault="00AF308F" w:rsidP="00AF308F">
      <w:r>
        <w:t xml:space="preserve">33. </w:t>
      </w:r>
      <w:r w:rsidR="00985205">
        <w:tab/>
      </w:r>
      <w:r>
        <w:t xml:space="preserve">Y </w:t>
      </w:r>
      <w:r w:rsidRPr="00011549">
        <w:rPr>
          <w:i/>
          <w:iCs/>
        </w:rPr>
        <w:t>donde el cuerpo</w:t>
      </w:r>
      <w:r>
        <w:t xml:space="preserve"> </w:t>
      </w:r>
      <w:r w:rsidR="000B520F">
        <w:rPr>
          <w:i/>
          <w:iCs/>
        </w:rPr>
        <w:t xml:space="preserve">yacerá </w:t>
      </w:r>
      <w:r>
        <w:t xml:space="preserve">no tiene </w:t>
      </w:r>
      <w:r w:rsidR="000B520F">
        <w:t>signo</w:t>
      </w:r>
      <w:r w:rsidR="00640362">
        <w:t>,</w:t>
      </w:r>
      <w:r w:rsidR="000B520F">
        <w:t xml:space="preserve"> ya </w:t>
      </w:r>
      <w:r>
        <w:t xml:space="preserve">que no </w:t>
      </w:r>
      <w:r w:rsidR="000B520F">
        <w:t xml:space="preserve">existe </w:t>
      </w:r>
      <w:r>
        <w:t xml:space="preserve">una definición </w:t>
      </w:r>
      <w:r w:rsidR="00D83068">
        <w:t xml:space="preserve">tal </w:t>
      </w:r>
      <w:r>
        <w:t xml:space="preserve">como: </w:t>
      </w:r>
      <w:r w:rsidR="000B520F">
        <w:t>c</w:t>
      </w:r>
      <w:r>
        <w:t>uando las personas muer</w:t>
      </w:r>
      <w:r w:rsidR="00D83068">
        <w:t>a</w:t>
      </w:r>
      <w:r>
        <w:t>n, debe</w:t>
      </w:r>
      <w:r w:rsidR="00D83068">
        <w:t>rá</w:t>
      </w:r>
      <w:r>
        <w:t xml:space="preserve">n </w:t>
      </w:r>
      <w:r w:rsidR="00D83068">
        <w:t xml:space="preserve">hacerlo </w:t>
      </w:r>
      <w:r>
        <w:t>deja</w:t>
      </w:r>
      <w:r w:rsidR="00D83068">
        <w:t>ndo</w:t>
      </w:r>
      <w:r>
        <w:t xml:space="preserve"> sus cuerpos solo aquí, no en ningún otro lugar. </w:t>
      </w:r>
      <w:r w:rsidR="000B520F">
        <w:t xml:space="preserve">Ya </w:t>
      </w:r>
      <w:r>
        <w:t xml:space="preserve">que </w:t>
      </w:r>
      <w:r w:rsidR="00A33A58">
        <w:t xml:space="preserve">el cuerpo </w:t>
      </w:r>
      <w:r>
        <w:t xml:space="preserve">de </w:t>
      </w:r>
      <w:r w:rsidR="00A33A58">
        <w:t xml:space="preserve">aquel </w:t>
      </w:r>
      <w:r>
        <w:t xml:space="preserve">nacido dentro de una aldea </w:t>
      </w:r>
      <w:r w:rsidR="00A33A58">
        <w:t xml:space="preserve">podría morir </w:t>
      </w:r>
      <w:r>
        <w:t xml:space="preserve">fuera de </w:t>
      </w:r>
      <w:r w:rsidR="00D83068">
        <w:t>esa</w:t>
      </w:r>
      <w:r>
        <w:t xml:space="preserve"> aldea, y la de los nacidos fuera de la aldea </w:t>
      </w:r>
      <w:r w:rsidR="00A33A58">
        <w:t xml:space="preserve">podrían morir </w:t>
      </w:r>
      <w:r>
        <w:t xml:space="preserve">dentro de ella. Asimismo, el de los nacidos en el agua </w:t>
      </w:r>
      <w:r w:rsidR="00A33A58">
        <w:t xml:space="preserve">podrían morir </w:t>
      </w:r>
      <w:r>
        <w:t xml:space="preserve">sobre la tierra, y el de los nacidos en la tierra, sobre el agua. Y esto se puede </w:t>
      </w:r>
      <w:r w:rsidR="00D83068">
        <w:t>permutar</w:t>
      </w:r>
      <w:r>
        <w:t xml:space="preserve"> de muchas maneras. [237]</w:t>
      </w:r>
    </w:p>
    <w:p w14:paraId="2A46D92F" w14:textId="61F34A40" w:rsidR="00AF308F" w:rsidRDefault="00AF308F" w:rsidP="00AF308F">
      <w:r>
        <w:t xml:space="preserve">34. </w:t>
      </w:r>
      <w:r w:rsidR="00985205">
        <w:tab/>
      </w:r>
      <w:r>
        <w:t xml:space="preserve">Y </w:t>
      </w:r>
      <w:r w:rsidRPr="00011549">
        <w:rPr>
          <w:i/>
          <w:iCs/>
        </w:rPr>
        <w:t>el destino</w:t>
      </w:r>
      <w:r>
        <w:t xml:space="preserve"> no tiene signo</w:t>
      </w:r>
      <w:r w:rsidR="00640362">
        <w:t>,</w:t>
      </w:r>
      <w:r>
        <w:t xml:space="preserve"> porque no </w:t>
      </w:r>
      <w:r w:rsidR="00A33A58">
        <w:t>existe una</w:t>
      </w:r>
      <w:r>
        <w:t xml:space="preserve"> definición </w:t>
      </w:r>
      <w:r w:rsidR="00D83068">
        <w:t xml:space="preserve">tal </w:t>
      </w:r>
      <w:r>
        <w:t xml:space="preserve">como: </w:t>
      </w:r>
      <w:r w:rsidR="00A33A58">
        <w:t>e</w:t>
      </w:r>
      <w:r>
        <w:t>l que allí muer</w:t>
      </w:r>
      <w:r w:rsidR="00D83068">
        <w:t>a</w:t>
      </w:r>
      <w:r>
        <w:t>, aquí debe</w:t>
      </w:r>
      <w:r w:rsidR="00A33A58">
        <w:t>rá</w:t>
      </w:r>
      <w:r>
        <w:t xml:space="preserve"> renacer. </w:t>
      </w:r>
      <w:r w:rsidR="00A33A58">
        <w:t xml:space="preserve">Ya </w:t>
      </w:r>
      <w:r>
        <w:t xml:space="preserve">que </w:t>
      </w:r>
      <w:r w:rsidR="001E5805">
        <w:t xml:space="preserve">existen </w:t>
      </w:r>
      <w:r>
        <w:t xml:space="preserve">algunos que mueren en un mundo divino y renacen en el mundo humano, y </w:t>
      </w:r>
      <w:r w:rsidR="00D83068">
        <w:t xml:space="preserve">existen </w:t>
      </w:r>
      <w:r>
        <w:t>algunos que mueren en el mundo humano y renacen en un mundo divino, y así sucesivamente. Y así</w:t>
      </w:r>
      <w:r w:rsidR="001E5805">
        <w:t>,</w:t>
      </w:r>
      <w:r>
        <w:t xml:space="preserve"> el mundo da vueltas y vueltas a las cinco clases de destinos como un buey enganchado a una máquina.</w:t>
      </w:r>
    </w:p>
    <w:p w14:paraId="7B069F7F" w14:textId="16FFCB73" w:rsidR="00AF308F" w:rsidRDefault="00AF308F" w:rsidP="00AF308F">
      <w:pPr>
        <w:pStyle w:val="NormalConSangria"/>
      </w:pPr>
      <w:r>
        <w:t>Así es c</w:t>
      </w:r>
      <w:r w:rsidR="003B4ED2">
        <w:t>ó</w:t>
      </w:r>
      <w:r>
        <w:t>mo la muerte debe</w:t>
      </w:r>
      <w:r w:rsidR="003B4ED2">
        <w:t>rá</w:t>
      </w:r>
      <w:r>
        <w:t xml:space="preserve"> ser </w:t>
      </w:r>
      <w:r w:rsidR="00697050">
        <w:t>evocada</w:t>
      </w:r>
      <w:r>
        <w:t xml:space="preserve"> como si</w:t>
      </w:r>
      <w:r w:rsidR="00A25942">
        <w:t xml:space="preserve"> no tuviera</w:t>
      </w:r>
      <w:r>
        <w:t xml:space="preserve"> signo</w:t>
      </w:r>
      <w:r w:rsidR="00A25942">
        <w:t>s</w:t>
      </w:r>
      <w:r>
        <w:t>.</w:t>
      </w:r>
    </w:p>
    <w:p w14:paraId="4821D544" w14:textId="52A1AD40" w:rsidR="00AF308F" w:rsidRDefault="00AF308F" w:rsidP="00AF308F">
      <w:r>
        <w:t xml:space="preserve">35. </w:t>
      </w:r>
      <w:r w:rsidR="00985205">
        <w:tab/>
      </w:r>
      <w:r>
        <w:t xml:space="preserve">7. </w:t>
      </w:r>
      <w:r w:rsidRPr="00011549">
        <w:rPr>
          <w:i/>
          <w:iCs/>
        </w:rPr>
        <w:t>En cuanto a la limitación de la extensión</w:t>
      </w:r>
      <w:r>
        <w:t xml:space="preserve">: </w:t>
      </w:r>
      <w:r w:rsidR="00B83F68">
        <w:t xml:space="preserve">ahora </w:t>
      </w:r>
      <w:r>
        <w:t>la extensión de la vida humana es corta. El que viv</w:t>
      </w:r>
      <w:r w:rsidR="00A57FBC">
        <w:t>a</w:t>
      </w:r>
      <w:r>
        <w:t xml:space="preserve"> </w:t>
      </w:r>
      <w:r w:rsidR="00A57FBC">
        <w:t xml:space="preserve">bastante </w:t>
      </w:r>
      <w:r w:rsidR="00B83F68">
        <w:t>lo ha</w:t>
      </w:r>
      <w:r w:rsidR="00A57FBC">
        <w:t>rá</w:t>
      </w:r>
      <w:r w:rsidR="00B83F68">
        <w:t xml:space="preserve"> </w:t>
      </w:r>
      <w:r w:rsidR="00130132">
        <w:t>hasta los</w:t>
      </w:r>
      <w:r>
        <w:t xml:space="preserve"> cien años, más o menos. Por lo tanto, el </w:t>
      </w:r>
      <w:r w:rsidR="00130132" w:rsidRPr="00130132">
        <w:rPr>
          <w:i/>
          <w:iCs/>
        </w:rPr>
        <w:t>Bhagavā</w:t>
      </w:r>
      <w:r w:rsidR="00130132">
        <w:t xml:space="preserve"> </w:t>
      </w:r>
      <w:r>
        <w:t>dijo: “</w:t>
      </w:r>
      <w:proofErr w:type="spellStart"/>
      <w:r w:rsidR="00057BF4" w:rsidRPr="00057BF4">
        <w:rPr>
          <w:i/>
        </w:rPr>
        <w:t>Bhikkhu</w:t>
      </w:r>
      <w:r>
        <w:t>s</w:t>
      </w:r>
      <w:proofErr w:type="spellEnd"/>
      <w:r>
        <w:t xml:space="preserve">, la duración de esta vida humana es corta. Hay una nueva vida a la que </w:t>
      </w:r>
      <w:r w:rsidR="00CB14AC">
        <w:t xml:space="preserve">hay que </w:t>
      </w:r>
      <w:r>
        <w:t>ir, hay [</w:t>
      </w:r>
      <w:r w:rsidR="00130132">
        <w:t>acciones</w:t>
      </w:r>
      <w:r>
        <w:t xml:space="preserve">] provechosas que hacer, hay una vida de pureza que </w:t>
      </w:r>
      <w:r w:rsidR="00130132">
        <w:t>vivir</w:t>
      </w:r>
      <w:r>
        <w:t xml:space="preserve">. No </w:t>
      </w:r>
      <w:r w:rsidR="00A741F9">
        <w:t xml:space="preserve">existe la opción de </w:t>
      </w:r>
      <w:r>
        <w:t xml:space="preserve">no morir </w:t>
      </w:r>
      <w:r w:rsidR="00A741F9">
        <w:t xml:space="preserve">en </w:t>
      </w:r>
      <w:r>
        <w:t xml:space="preserve">el </w:t>
      </w:r>
      <w:r w:rsidR="00CB14AC">
        <w:t xml:space="preserve">que haya </w:t>
      </w:r>
      <w:r>
        <w:t>nacido. El que viv</w:t>
      </w:r>
      <w:r w:rsidR="00A741F9">
        <w:t>a</w:t>
      </w:r>
      <w:r>
        <w:t xml:space="preserve"> mucho </w:t>
      </w:r>
      <w:r w:rsidR="00A741F9">
        <w:t xml:space="preserve">lo hará hasta los </w:t>
      </w:r>
      <w:r>
        <w:t>cien años, más o menos…”</w:t>
      </w:r>
    </w:p>
    <w:p w14:paraId="54FF792E" w14:textId="77777777" w:rsidR="00AF308F" w:rsidRPr="00CB14AC" w:rsidRDefault="00AF308F" w:rsidP="00AF308F">
      <w:pPr>
        <w:pStyle w:val="VersoIngls01Sangria"/>
        <w:rPr>
          <w:sz w:val="16"/>
          <w:szCs w:val="20"/>
        </w:rPr>
      </w:pPr>
      <w:r w:rsidRPr="00CB14AC">
        <w:rPr>
          <w:sz w:val="16"/>
          <w:szCs w:val="20"/>
        </w:rPr>
        <w:t>“La vida de la humanidad es corta;</w:t>
      </w:r>
    </w:p>
    <w:p w14:paraId="67D8ADA1" w14:textId="6EF5623B" w:rsidR="00AF308F" w:rsidRPr="00CB14AC" w:rsidRDefault="00AF308F" w:rsidP="00AF308F">
      <w:pPr>
        <w:pStyle w:val="VersoIngls01Sangria"/>
        <w:rPr>
          <w:sz w:val="16"/>
          <w:szCs w:val="20"/>
        </w:rPr>
      </w:pPr>
      <w:r w:rsidRPr="00CB14AC">
        <w:rPr>
          <w:sz w:val="16"/>
          <w:szCs w:val="20"/>
        </w:rPr>
        <w:t xml:space="preserve">Un hombre sabio lo </w:t>
      </w:r>
      <w:r w:rsidR="00722A9D" w:rsidRPr="00CB14AC">
        <w:rPr>
          <w:sz w:val="16"/>
          <w:szCs w:val="20"/>
        </w:rPr>
        <w:t>considerará</w:t>
      </w:r>
      <w:r w:rsidRPr="00CB14AC">
        <w:rPr>
          <w:sz w:val="16"/>
          <w:szCs w:val="20"/>
        </w:rPr>
        <w:t xml:space="preserve"> </w:t>
      </w:r>
      <w:r w:rsidR="009A2EA5" w:rsidRPr="00CB14AC">
        <w:rPr>
          <w:sz w:val="16"/>
          <w:szCs w:val="20"/>
        </w:rPr>
        <w:t>como un</w:t>
      </w:r>
      <w:r w:rsidRPr="00CB14AC">
        <w:rPr>
          <w:sz w:val="16"/>
          <w:szCs w:val="20"/>
        </w:rPr>
        <w:t xml:space="preserve"> desprecio</w:t>
      </w:r>
    </w:p>
    <w:p w14:paraId="7E89E41C" w14:textId="0C8ACA45" w:rsidR="00AF308F" w:rsidRPr="00CB14AC" w:rsidRDefault="00AF308F" w:rsidP="00AF308F">
      <w:pPr>
        <w:pStyle w:val="VersoIngls01Sangria"/>
        <w:rPr>
          <w:sz w:val="16"/>
          <w:szCs w:val="20"/>
        </w:rPr>
      </w:pPr>
      <w:r w:rsidRPr="00CB14AC">
        <w:rPr>
          <w:sz w:val="16"/>
          <w:szCs w:val="20"/>
        </w:rPr>
        <w:t>Y act</w:t>
      </w:r>
      <w:r w:rsidR="00722A9D" w:rsidRPr="00CB14AC">
        <w:rPr>
          <w:sz w:val="16"/>
          <w:szCs w:val="20"/>
        </w:rPr>
        <w:t>u</w:t>
      </w:r>
      <w:r w:rsidRPr="00CB14AC">
        <w:rPr>
          <w:sz w:val="16"/>
          <w:szCs w:val="20"/>
        </w:rPr>
        <w:t>a</w:t>
      </w:r>
      <w:r w:rsidR="00722A9D" w:rsidRPr="00CB14AC">
        <w:rPr>
          <w:sz w:val="16"/>
          <w:szCs w:val="20"/>
        </w:rPr>
        <w:t>rá</w:t>
      </w:r>
      <w:r w:rsidRPr="00CB14AC">
        <w:rPr>
          <w:sz w:val="16"/>
          <w:szCs w:val="20"/>
        </w:rPr>
        <w:t xml:space="preserve"> como alguien cuya cabeza est</w:t>
      </w:r>
      <w:r w:rsidR="00722A9D" w:rsidRPr="00CB14AC">
        <w:rPr>
          <w:sz w:val="16"/>
          <w:szCs w:val="20"/>
        </w:rPr>
        <w:t>é</w:t>
      </w:r>
      <w:r w:rsidRPr="00CB14AC">
        <w:rPr>
          <w:sz w:val="16"/>
          <w:szCs w:val="20"/>
        </w:rPr>
        <w:t xml:space="preserve"> ardiendo;</w:t>
      </w:r>
    </w:p>
    <w:p w14:paraId="0B00F239" w14:textId="50FBD0D3" w:rsidR="00AF308F" w:rsidRPr="00CB14AC" w:rsidRDefault="00AF308F" w:rsidP="00AF308F">
      <w:pPr>
        <w:pStyle w:val="VersoIngls01Sangria"/>
        <w:rPr>
          <w:sz w:val="16"/>
          <w:szCs w:val="20"/>
        </w:rPr>
      </w:pPr>
      <w:r w:rsidRPr="00CB14AC">
        <w:rPr>
          <w:sz w:val="16"/>
          <w:szCs w:val="20"/>
        </w:rPr>
        <w:t>La muerte nunca dejará de llegar</w:t>
      </w:r>
      <w:r w:rsidR="00722A9D" w:rsidRPr="00CB14AC">
        <w:rPr>
          <w:sz w:val="16"/>
          <w:szCs w:val="20"/>
        </w:rPr>
        <w:t>”</w:t>
      </w:r>
      <w:r w:rsidRPr="00CB14AC">
        <w:rPr>
          <w:sz w:val="16"/>
          <w:szCs w:val="20"/>
        </w:rPr>
        <w:t xml:space="preserve"> (S I 108).</w:t>
      </w:r>
    </w:p>
    <w:p w14:paraId="08535575" w14:textId="6CFCFFF0" w:rsidR="00AF308F" w:rsidRDefault="00AF308F" w:rsidP="00AF308F">
      <w:pPr>
        <w:pStyle w:val="Piedepgina"/>
        <w:rPr>
          <w:u w:val="single"/>
        </w:rPr>
      </w:pPr>
      <w:r>
        <w:rPr>
          <w:u w:val="single"/>
        </w:rPr>
        <w:t xml:space="preserve">                                                                                                                                                                          .</w:t>
      </w:r>
    </w:p>
    <w:p w14:paraId="282F7044" w14:textId="433B7F15" w:rsidR="00AF308F" w:rsidRDefault="00AF308F" w:rsidP="009A2EA5">
      <w:pPr>
        <w:pStyle w:val="PiedepginaLegal"/>
      </w:pPr>
      <w:r>
        <w:t xml:space="preserve">10. </w:t>
      </w:r>
      <w:proofErr w:type="spellStart"/>
      <w:r w:rsidRPr="00985205">
        <w:rPr>
          <w:i/>
          <w:iCs/>
        </w:rPr>
        <w:t>Nāyare</w:t>
      </w:r>
      <w:proofErr w:type="spellEnd"/>
      <w:r>
        <w:t xml:space="preserve">—“puede saber”: forma no </w:t>
      </w:r>
      <w:r w:rsidR="00CB14AC">
        <w:t xml:space="preserve">encontrada </w:t>
      </w:r>
      <w:r>
        <w:t xml:space="preserve">en </w:t>
      </w:r>
      <w:r w:rsidR="00CB14AC">
        <w:t xml:space="preserve">el </w:t>
      </w:r>
      <w:r>
        <w:t xml:space="preserve">PED; </w:t>
      </w:r>
      <w:proofErr w:type="spellStart"/>
      <w:r>
        <w:t>Vism-mhṭ</w:t>
      </w:r>
      <w:proofErr w:type="spellEnd"/>
      <w:r>
        <w:t xml:space="preserve"> </w:t>
      </w:r>
      <w:r w:rsidR="00235468">
        <w:t xml:space="preserve">lo </w:t>
      </w:r>
      <w:r>
        <w:t xml:space="preserve">explica por </w:t>
      </w:r>
      <w:proofErr w:type="spellStart"/>
      <w:r w:rsidRPr="00011549">
        <w:rPr>
          <w:i/>
          <w:iCs/>
        </w:rPr>
        <w:t>ñāyanti</w:t>
      </w:r>
      <w:proofErr w:type="spellEnd"/>
      <w:r>
        <w:t>.</w:t>
      </w:r>
      <w:r>
        <w:br w:type="page"/>
      </w:r>
    </w:p>
    <w:p w14:paraId="409623A8" w14:textId="306D3A42" w:rsidR="0057256A" w:rsidRDefault="0057256A" w:rsidP="00F22AC8">
      <w:pPr>
        <w:pStyle w:val="NormalConSangria"/>
      </w:pPr>
      <w:r>
        <w:lastRenderedPageBreak/>
        <w:t xml:space="preserve">Y </w:t>
      </w:r>
      <w:r w:rsidR="009A2EA5">
        <w:t>dijo,</w:t>
      </w:r>
      <w:r>
        <w:t xml:space="preserve"> además: “</w:t>
      </w:r>
      <w:proofErr w:type="spellStart"/>
      <w:r w:rsidR="00057BF4" w:rsidRPr="00057BF4">
        <w:rPr>
          <w:i/>
          <w:iCs/>
        </w:rPr>
        <w:t>Bhikkhu</w:t>
      </w:r>
      <w:r w:rsidRPr="00011549">
        <w:rPr>
          <w:i/>
          <w:iCs/>
        </w:rPr>
        <w:t>s</w:t>
      </w:r>
      <w:proofErr w:type="spellEnd"/>
      <w:r>
        <w:t xml:space="preserve">, había una vez un maestro llamado </w:t>
      </w:r>
      <w:proofErr w:type="spellStart"/>
      <w:r w:rsidRPr="00E27AC2">
        <w:t>Araka</w:t>
      </w:r>
      <w:proofErr w:type="spellEnd"/>
      <w:r>
        <w:t xml:space="preserve">…” (A IV 136), cuyo </w:t>
      </w:r>
      <w:proofErr w:type="spellStart"/>
      <w:r w:rsidRPr="00011549">
        <w:rPr>
          <w:i/>
          <w:iCs/>
        </w:rPr>
        <w:t>sutta</w:t>
      </w:r>
      <w:proofErr w:type="spellEnd"/>
      <w:r>
        <w:t xml:space="preserve"> debe darse completo, adornado </w:t>
      </w:r>
      <w:r w:rsidR="00BC72BB">
        <w:t>tal como lo está con</w:t>
      </w:r>
      <w:r>
        <w:t xml:space="preserve"> siete símiles.</w:t>
      </w:r>
    </w:p>
    <w:p w14:paraId="5AE2A91D" w14:textId="75B3F73D" w:rsidR="0057256A" w:rsidRDefault="0057256A" w:rsidP="0057256A">
      <w:r>
        <w:t xml:space="preserve">36. </w:t>
      </w:r>
      <w:r w:rsidR="00F22AC8">
        <w:tab/>
      </w:r>
      <w:r>
        <w:t>Y dijo además: “</w:t>
      </w:r>
      <w:proofErr w:type="spellStart"/>
      <w:r w:rsidR="00057BF4" w:rsidRPr="00057BF4">
        <w:rPr>
          <w:i/>
          <w:iCs/>
        </w:rPr>
        <w:t>Bhikkhu</w:t>
      </w:r>
      <w:r w:rsidRPr="00011549">
        <w:rPr>
          <w:i/>
          <w:iCs/>
        </w:rPr>
        <w:t>s</w:t>
      </w:r>
      <w:proofErr w:type="spellEnd"/>
      <w:r>
        <w:t xml:space="preserve">, cuando un </w:t>
      </w:r>
      <w:proofErr w:type="spellStart"/>
      <w:r w:rsidR="00057BF4" w:rsidRPr="00057BF4">
        <w:rPr>
          <w:i/>
          <w:iCs/>
        </w:rPr>
        <w:t>bhikkhu</w:t>
      </w:r>
      <w:proofErr w:type="spellEnd"/>
      <w:r>
        <w:t xml:space="preserve"> desarroll</w:t>
      </w:r>
      <w:r w:rsidR="00605E58">
        <w:t>e</w:t>
      </w:r>
      <w:r>
        <w:t xml:space="preserve"> </w:t>
      </w:r>
      <w:r w:rsidR="00BC72BB">
        <w:t xml:space="preserve">así </w:t>
      </w:r>
      <w:r>
        <w:t xml:space="preserve">la atención plena </w:t>
      </w:r>
      <w:r w:rsidR="00B43A26">
        <w:t>sobre</w:t>
      </w:r>
      <w:r>
        <w:t xml:space="preserve"> la muerte, 'Oh, </w:t>
      </w:r>
      <w:r w:rsidR="00837C85">
        <w:t>qué pueda</w:t>
      </w:r>
      <w:r>
        <w:t xml:space="preserve"> vivir una noche y un día </w:t>
      </w:r>
      <w:r w:rsidR="00837C85">
        <w:t xml:space="preserve">más </w:t>
      </w:r>
      <w:r>
        <w:t xml:space="preserve">para poder atender las enseñanzas del </w:t>
      </w:r>
      <w:r w:rsidR="00837C85">
        <w:br/>
      </w:r>
      <w:r w:rsidR="00035FDD">
        <w:rPr>
          <w:i/>
          <w:iCs/>
        </w:rPr>
        <w:t>Bhagavā</w:t>
      </w:r>
      <w:r>
        <w:t>, seguramente mucho podr</w:t>
      </w:r>
      <w:r w:rsidR="00B43A26">
        <w:t>á</w:t>
      </w:r>
      <w:r>
        <w:t xml:space="preserve"> hacer por mí', y cuando un </w:t>
      </w:r>
      <w:proofErr w:type="spellStart"/>
      <w:r w:rsidR="00057BF4" w:rsidRPr="00057BF4">
        <w:rPr>
          <w:i/>
          <w:iCs/>
        </w:rPr>
        <w:t>bhikkhu</w:t>
      </w:r>
      <w:proofErr w:type="spellEnd"/>
      <w:r>
        <w:t xml:space="preserve"> desarroll</w:t>
      </w:r>
      <w:r w:rsidR="00605E58">
        <w:t>e</w:t>
      </w:r>
      <w:r>
        <w:t xml:space="preserve"> la </w:t>
      </w:r>
      <w:r w:rsidR="0036750F">
        <w:t>consciencia de</w:t>
      </w:r>
      <w:r>
        <w:t xml:space="preserve"> la muerte así, 'Oh, </w:t>
      </w:r>
      <w:r w:rsidR="00B61422">
        <w:t xml:space="preserve">qué pueda </w:t>
      </w:r>
      <w:r>
        <w:t xml:space="preserve">vivir un día </w:t>
      </w:r>
      <w:r w:rsidR="00B61422">
        <w:t>más y</w:t>
      </w:r>
      <w:r>
        <w:t xml:space="preserve"> que pueda atender las enseñanzas del </w:t>
      </w:r>
      <w:r w:rsidR="00B61422">
        <w:br/>
      </w:r>
      <w:r w:rsidR="00B43A26">
        <w:rPr>
          <w:i/>
          <w:iCs/>
        </w:rPr>
        <w:t>Bhagavā</w:t>
      </w:r>
      <w:r>
        <w:t>, seguramente podr</w:t>
      </w:r>
      <w:r w:rsidR="00B43A26">
        <w:t>á</w:t>
      </w:r>
      <w:r>
        <w:t xml:space="preserve"> hacer mucho por mí', y cuando un </w:t>
      </w:r>
      <w:proofErr w:type="spellStart"/>
      <w:r w:rsidR="00057BF4" w:rsidRPr="00057BF4">
        <w:rPr>
          <w:i/>
          <w:iCs/>
        </w:rPr>
        <w:t>bhikkhu</w:t>
      </w:r>
      <w:proofErr w:type="spellEnd"/>
      <w:r>
        <w:t xml:space="preserve"> desarroll</w:t>
      </w:r>
      <w:r w:rsidR="00605E58">
        <w:t>e</w:t>
      </w:r>
      <w:r>
        <w:t xml:space="preserve"> la atención a la muerte así, 'Oh, </w:t>
      </w:r>
      <w:r w:rsidR="00B61422">
        <w:t xml:space="preserve">qué pueda </w:t>
      </w:r>
      <w:r>
        <w:t>viv</w:t>
      </w:r>
      <w:r w:rsidR="007B3A63">
        <w:t>ir</w:t>
      </w:r>
      <w:r>
        <w:t xml:space="preserve"> tanto como sea necesario para masticar y tragar cuatro o cinco bocados para poder prestar atención a las enseñanzas del </w:t>
      </w:r>
      <w:r w:rsidR="007B3A63">
        <w:rPr>
          <w:i/>
          <w:iCs/>
        </w:rPr>
        <w:t>Bhagavā</w:t>
      </w:r>
      <w:r>
        <w:t>, seguramente podr</w:t>
      </w:r>
      <w:r w:rsidR="007B3A63">
        <w:t>á</w:t>
      </w:r>
      <w:r>
        <w:t xml:space="preserve"> hacer mucho por mí': estos </w:t>
      </w:r>
      <w:r w:rsidR="00360022">
        <w:t xml:space="preserve">monjes </w:t>
      </w:r>
      <w:r>
        <w:t>s</w:t>
      </w:r>
      <w:r w:rsidR="007B3A63">
        <w:t>erá</w:t>
      </w:r>
      <w:r>
        <w:t xml:space="preserve">n </w:t>
      </w:r>
      <w:r w:rsidR="007B3A63">
        <w:t xml:space="preserve">considerados como unos </w:t>
      </w:r>
      <w:proofErr w:type="spellStart"/>
      <w:r w:rsidR="00057BF4" w:rsidRPr="00057BF4">
        <w:rPr>
          <w:i/>
          <w:iCs/>
        </w:rPr>
        <w:t>bhikkhu</w:t>
      </w:r>
      <w:r w:rsidRPr="00011549">
        <w:rPr>
          <w:i/>
          <w:iCs/>
        </w:rPr>
        <w:t>s</w:t>
      </w:r>
      <w:proofErr w:type="spellEnd"/>
      <w:r>
        <w:t xml:space="preserve"> que </w:t>
      </w:r>
      <w:r w:rsidR="007B3A63">
        <w:t>habita</w:t>
      </w:r>
      <w:r w:rsidR="005C7814">
        <w:t>rá</w:t>
      </w:r>
      <w:r w:rsidR="007B3A63">
        <w:t xml:space="preserve">n </w:t>
      </w:r>
      <w:r>
        <w:t xml:space="preserve">en la negligencia y desarrollan lentamente la </w:t>
      </w:r>
      <w:r w:rsidR="0036750F">
        <w:t>consciencia de</w:t>
      </w:r>
      <w:r w:rsidR="00605E58">
        <w:t xml:space="preserve"> </w:t>
      </w:r>
      <w:r>
        <w:t xml:space="preserve">la muerte </w:t>
      </w:r>
      <w:r w:rsidR="002F618D">
        <w:t>en virtud de</w:t>
      </w:r>
      <w:r>
        <w:t xml:space="preserve"> destru</w:t>
      </w:r>
      <w:r w:rsidR="002F618D">
        <w:t>ir</w:t>
      </w:r>
      <w:r>
        <w:t xml:space="preserve"> </w:t>
      </w:r>
      <w:r w:rsidR="00605E58">
        <w:t>las corrupciones</w:t>
      </w:r>
      <w:r>
        <w:t>. [238]</w:t>
      </w:r>
    </w:p>
    <w:p w14:paraId="447EB4F9" w14:textId="4D5396E1" w:rsidR="0057256A" w:rsidRDefault="0057256A" w:rsidP="0057256A">
      <w:r>
        <w:t xml:space="preserve">37. </w:t>
      </w:r>
      <w:r w:rsidR="00F22AC8">
        <w:tab/>
      </w:r>
      <w:r>
        <w:t xml:space="preserve">“Y, </w:t>
      </w:r>
      <w:proofErr w:type="spellStart"/>
      <w:r w:rsidR="00057BF4" w:rsidRPr="00057BF4">
        <w:rPr>
          <w:i/>
          <w:iCs/>
        </w:rPr>
        <w:t>bhikkhu</w:t>
      </w:r>
      <w:r w:rsidRPr="00011549">
        <w:rPr>
          <w:i/>
          <w:iCs/>
        </w:rPr>
        <w:t>s</w:t>
      </w:r>
      <w:proofErr w:type="spellEnd"/>
      <w:r>
        <w:t xml:space="preserve">, cuando un </w:t>
      </w:r>
      <w:proofErr w:type="spellStart"/>
      <w:r w:rsidR="00057BF4" w:rsidRPr="00057BF4">
        <w:rPr>
          <w:i/>
          <w:iCs/>
        </w:rPr>
        <w:t>bhikkhu</w:t>
      </w:r>
      <w:proofErr w:type="spellEnd"/>
      <w:r>
        <w:t xml:space="preserve"> desarroll</w:t>
      </w:r>
      <w:r w:rsidR="00605E58">
        <w:t>e</w:t>
      </w:r>
      <w:r>
        <w:t xml:space="preserve"> la atención plena </w:t>
      </w:r>
      <w:r w:rsidR="00605E58">
        <w:t>sobre</w:t>
      </w:r>
      <w:r>
        <w:t xml:space="preserve"> la muerte de esta manera, 'Oh, </w:t>
      </w:r>
      <w:r w:rsidR="00861D09">
        <w:t xml:space="preserve">qué pueda </w:t>
      </w:r>
      <w:r>
        <w:t xml:space="preserve">vivir tanto como sea necesario para masticar y tragar un solo bocado para que pueda prestar atención a las enseñanzas del </w:t>
      </w:r>
      <w:r w:rsidR="008F3C57">
        <w:rPr>
          <w:i/>
          <w:iCs/>
        </w:rPr>
        <w:t>Bhagavā</w:t>
      </w:r>
      <w:r>
        <w:t>, seguramente podr</w:t>
      </w:r>
      <w:r w:rsidR="008F3C57">
        <w:t>á</w:t>
      </w:r>
      <w:r>
        <w:t xml:space="preserve"> hacer mucho</w:t>
      </w:r>
      <w:r w:rsidR="00861D09">
        <w:t xml:space="preserve"> </w:t>
      </w:r>
      <w:r>
        <w:t xml:space="preserve">por mí', y cuando un </w:t>
      </w:r>
      <w:proofErr w:type="spellStart"/>
      <w:r w:rsidR="00057BF4" w:rsidRPr="00057BF4">
        <w:rPr>
          <w:i/>
          <w:iCs/>
        </w:rPr>
        <w:t>bhikkhu</w:t>
      </w:r>
      <w:proofErr w:type="spellEnd"/>
      <w:r>
        <w:t xml:space="preserve"> desarroll</w:t>
      </w:r>
      <w:r w:rsidR="008F3C57">
        <w:t>e</w:t>
      </w:r>
      <w:r>
        <w:t xml:space="preserve"> la atención plena </w:t>
      </w:r>
      <w:r w:rsidR="008F3C57">
        <w:t xml:space="preserve">sobre </w:t>
      </w:r>
      <w:r>
        <w:t xml:space="preserve">la muerte así, 'Oh, </w:t>
      </w:r>
      <w:r w:rsidR="00861D09">
        <w:t xml:space="preserve">qué pueda </w:t>
      </w:r>
      <w:r>
        <w:t xml:space="preserve">vivir tanto tiempo como sea necesario para inhalar y exhalar, o tanto tiempo como sea necesario para exhalar e inhalar, para poder atender las enseñanzas del </w:t>
      </w:r>
      <w:r w:rsidR="008F3C57">
        <w:rPr>
          <w:i/>
          <w:iCs/>
        </w:rPr>
        <w:t>Bhagavā</w:t>
      </w:r>
      <w:r>
        <w:t>, seguramente podr</w:t>
      </w:r>
      <w:r w:rsidR="00BB0B24">
        <w:t>é</w:t>
      </w:r>
      <w:r>
        <w:t xml:space="preserve"> hacer mucho</w:t>
      </w:r>
      <w:r w:rsidR="00401B3A">
        <w:t xml:space="preserve"> por mí</w:t>
      </w:r>
      <w:r>
        <w:t xml:space="preserve">'—estos </w:t>
      </w:r>
      <w:r w:rsidR="00BB0B24">
        <w:t>serán considerados como unos</w:t>
      </w:r>
      <w:r>
        <w:t xml:space="preserve"> </w:t>
      </w:r>
      <w:proofErr w:type="spellStart"/>
      <w:r w:rsidR="00057BF4" w:rsidRPr="00057BF4">
        <w:rPr>
          <w:i/>
          <w:iCs/>
        </w:rPr>
        <w:t>bhikkhu</w:t>
      </w:r>
      <w:r w:rsidRPr="00011549">
        <w:rPr>
          <w:i/>
          <w:iCs/>
        </w:rPr>
        <w:t>s</w:t>
      </w:r>
      <w:proofErr w:type="spellEnd"/>
      <w:r>
        <w:t xml:space="preserve"> que </w:t>
      </w:r>
      <w:r w:rsidR="00BB0B24">
        <w:t>ha</w:t>
      </w:r>
      <w:r w:rsidR="000A61E1">
        <w:t>bita</w:t>
      </w:r>
      <w:r w:rsidR="005C7814">
        <w:t>rá</w:t>
      </w:r>
      <w:r w:rsidR="000A61E1">
        <w:t xml:space="preserve">n </w:t>
      </w:r>
      <w:r>
        <w:t>con diligencia y desarrolla</w:t>
      </w:r>
      <w:r w:rsidR="005C7814">
        <w:t>rá</w:t>
      </w:r>
      <w:r>
        <w:t xml:space="preserve">n intensamente la </w:t>
      </w:r>
      <w:r w:rsidR="0036750F">
        <w:t>consciencia de</w:t>
      </w:r>
      <w:r w:rsidR="000A61E1">
        <w:t xml:space="preserve"> </w:t>
      </w:r>
      <w:r>
        <w:t xml:space="preserve">la muerte </w:t>
      </w:r>
      <w:r w:rsidR="00D44831">
        <w:t xml:space="preserve">en virtud de destruir </w:t>
      </w:r>
      <w:r>
        <w:t>l</w:t>
      </w:r>
      <w:r w:rsidR="000A61E1">
        <w:t>a</w:t>
      </w:r>
      <w:r>
        <w:t xml:space="preserve">s </w:t>
      </w:r>
      <w:r w:rsidR="000A61E1">
        <w:t>corrupciones</w:t>
      </w:r>
      <w:r>
        <w:t>” (A III 305–6).</w:t>
      </w:r>
    </w:p>
    <w:p w14:paraId="4BF17C76" w14:textId="44BAB83F" w:rsidR="0057256A" w:rsidRDefault="0057256A" w:rsidP="0057256A">
      <w:r>
        <w:t xml:space="preserve">38. </w:t>
      </w:r>
      <w:r w:rsidR="00F22AC8">
        <w:tab/>
      </w:r>
      <w:r>
        <w:t xml:space="preserve">De hecho, tan corta es la duración de la vida que no </w:t>
      </w:r>
      <w:r w:rsidR="00D44831">
        <w:t xml:space="preserve">será </w:t>
      </w:r>
      <w:r>
        <w:t xml:space="preserve">seguro </w:t>
      </w:r>
      <w:r w:rsidR="00D44831">
        <w:t xml:space="preserve">la vida </w:t>
      </w:r>
      <w:r>
        <w:t xml:space="preserve">ni siquiera </w:t>
      </w:r>
      <w:r w:rsidR="00D8020D">
        <w:t xml:space="preserve">durará </w:t>
      </w:r>
      <w:r>
        <w:t xml:space="preserve">el </w:t>
      </w:r>
      <w:r w:rsidR="009F206C">
        <w:t>momento</w:t>
      </w:r>
      <w:r>
        <w:t xml:space="preserve"> que llev</w:t>
      </w:r>
      <w:r w:rsidR="009F206C">
        <w:t>e</w:t>
      </w:r>
      <w:r>
        <w:t xml:space="preserve"> masticar y tragar cuatro o cinco bocados.</w:t>
      </w:r>
    </w:p>
    <w:p w14:paraId="0A40AA10" w14:textId="3C824239" w:rsidR="0057256A" w:rsidRDefault="0057256A" w:rsidP="00F22AC8">
      <w:pPr>
        <w:pStyle w:val="NormalConSangria"/>
      </w:pPr>
      <w:r>
        <w:t xml:space="preserve">Así es como debe </w:t>
      </w:r>
      <w:r w:rsidR="009F206C">
        <w:t xml:space="preserve">evocarse </w:t>
      </w:r>
      <w:r>
        <w:t>la muerte en cuanto a la limitación de la extensión.</w:t>
      </w:r>
    </w:p>
    <w:p w14:paraId="6DC8F091" w14:textId="6F07FA66" w:rsidR="0057256A" w:rsidRPr="00F61FEE" w:rsidRDefault="0057256A" w:rsidP="0057256A">
      <w:pPr>
        <w:rPr>
          <w:sz w:val="16"/>
          <w:szCs w:val="20"/>
        </w:rPr>
      </w:pPr>
      <w:r>
        <w:t xml:space="preserve">39. </w:t>
      </w:r>
      <w:r w:rsidR="00011549">
        <w:tab/>
      </w:r>
      <w:r>
        <w:t xml:space="preserve">8. </w:t>
      </w:r>
      <w:r w:rsidRPr="00011549">
        <w:rPr>
          <w:i/>
          <w:iCs/>
        </w:rPr>
        <w:t xml:space="preserve">En cuanto a la brevedad del </w:t>
      </w:r>
      <w:r w:rsidR="004A0AC5">
        <w:rPr>
          <w:i/>
          <w:iCs/>
        </w:rPr>
        <w:t>instante</w:t>
      </w:r>
      <w:r>
        <w:t xml:space="preserve">: en el sentido último, el </w:t>
      </w:r>
      <w:r w:rsidR="00B5264F">
        <w:t>lapso</w:t>
      </w:r>
      <w:r>
        <w:t xml:space="preserve"> de vida de los seres vivos es extremadamente corto, </w:t>
      </w:r>
      <w:r w:rsidR="00C926A4">
        <w:t>durando</w:t>
      </w:r>
      <w:r>
        <w:t xml:space="preserve"> solo la ocurrencia de un solo </w:t>
      </w:r>
      <w:r w:rsidR="00B5264F">
        <w:t xml:space="preserve">instante de </w:t>
      </w:r>
      <w:r>
        <w:t>conscien</w:t>
      </w:r>
      <w:r w:rsidR="00B5264F">
        <w:t>cia</w:t>
      </w:r>
      <w:r>
        <w:t>. Así como la rueda de un carr</w:t>
      </w:r>
      <w:r w:rsidR="00C926A4">
        <w:t>uaje</w:t>
      </w:r>
      <w:r>
        <w:t>, cuando est</w:t>
      </w:r>
      <w:r w:rsidR="00C926A4">
        <w:t>é</w:t>
      </w:r>
      <w:r>
        <w:t xml:space="preserve"> rodando, </w:t>
      </w:r>
      <w:r w:rsidR="00C926A4">
        <w:t xml:space="preserve">el contacto con </w:t>
      </w:r>
      <w:r>
        <w:t xml:space="preserve">el suelo </w:t>
      </w:r>
      <w:r w:rsidR="0096098B">
        <w:t xml:space="preserve">se dará solo </w:t>
      </w:r>
      <w:r>
        <w:t xml:space="preserve">en un punto de la circunferencia de su </w:t>
      </w:r>
      <w:r w:rsidR="00A6104B">
        <w:t>aro</w:t>
      </w:r>
      <w:r>
        <w:t xml:space="preserve"> y, cuando est</w:t>
      </w:r>
      <w:r w:rsidR="0096098B">
        <w:t>é</w:t>
      </w:r>
      <w:r>
        <w:t xml:space="preserve"> en reposo, descansa</w:t>
      </w:r>
      <w:r w:rsidR="0096098B">
        <w:t>rá</w:t>
      </w:r>
      <w:r>
        <w:t xml:space="preserve"> solo en un punto</w:t>
      </w:r>
      <w:r w:rsidR="001E7FCD">
        <w:t>;</w:t>
      </w:r>
      <w:r>
        <w:t xml:space="preserve"> así también, la vida de los seres vivos dura sólo un único </w:t>
      </w:r>
      <w:r w:rsidR="0096098B">
        <w:t xml:space="preserve">instante de </w:t>
      </w:r>
      <w:r>
        <w:t>conscien</w:t>
      </w:r>
      <w:r w:rsidR="0096098B">
        <w:t>cia</w:t>
      </w:r>
      <w:r>
        <w:t xml:space="preserve">. Cuando esa </w:t>
      </w:r>
      <w:r w:rsidR="00305E12">
        <w:t>consciencia</w:t>
      </w:r>
      <w:r>
        <w:t xml:space="preserve"> ha</w:t>
      </w:r>
      <w:r w:rsidR="00A6104B">
        <w:t>ya</w:t>
      </w:r>
      <w:r>
        <w:t xml:space="preserve"> cesado, se di</w:t>
      </w:r>
      <w:r w:rsidR="00A6104B">
        <w:t>rá</w:t>
      </w:r>
      <w:r>
        <w:t xml:space="preserve"> que el ser ha</w:t>
      </w:r>
      <w:r w:rsidR="00A6104B">
        <w:t>brá</w:t>
      </w:r>
      <w:r>
        <w:t xml:space="preserve"> cesado, según se dice: “En un </w:t>
      </w:r>
      <w:r w:rsidR="00910C32">
        <w:t xml:space="preserve">instante </w:t>
      </w:r>
      <w:r>
        <w:t xml:space="preserve">pasado de </w:t>
      </w:r>
      <w:r w:rsidR="00305E12">
        <w:t>consciencia</w:t>
      </w:r>
      <w:r>
        <w:t xml:space="preserve"> vivió, </w:t>
      </w:r>
      <w:r w:rsidR="00574B8C">
        <w:t xml:space="preserve">ahora </w:t>
      </w:r>
      <w:r w:rsidR="00A6104B">
        <w:t xml:space="preserve">ya </w:t>
      </w:r>
      <w:r>
        <w:t xml:space="preserve">no vive, </w:t>
      </w:r>
      <w:r w:rsidR="00574B8C">
        <w:t xml:space="preserve">y luego </w:t>
      </w:r>
      <w:r>
        <w:t>n</w:t>
      </w:r>
      <w:r w:rsidR="00574B8C">
        <w:t>o</w:t>
      </w:r>
      <w:r>
        <w:t xml:space="preserve"> vivirá. En un futuro </w:t>
      </w:r>
      <w:r w:rsidR="00574B8C">
        <w:t xml:space="preserve">instante de </w:t>
      </w:r>
      <w:r>
        <w:t>conscien</w:t>
      </w:r>
      <w:r w:rsidR="00574B8C">
        <w:t>cia</w:t>
      </w:r>
      <w:r>
        <w:t xml:space="preserve"> no vivió, n</w:t>
      </w:r>
      <w:r w:rsidR="00AC53DF">
        <w:t>i tampoco</w:t>
      </w:r>
      <w:r>
        <w:t xml:space="preserve"> vive, </w:t>
      </w:r>
      <w:r w:rsidR="00312D96">
        <w:t xml:space="preserve">sino </w:t>
      </w:r>
      <w:r>
        <w:t xml:space="preserve">vivirá. En </w:t>
      </w:r>
      <w:r w:rsidR="00AC53DF">
        <w:t xml:space="preserve">el instante presente de </w:t>
      </w:r>
      <w:r>
        <w:t>conscien</w:t>
      </w:r>
      <w:r w:rsidR="00AC53DF">
        <w:t>cia</w:t>
      </w:r>
      <w:r>
        <w:t xml:space="preserve"> presente no vivió, </w:t>
      </w:r>
      <w:r w:rsidR="00312D96">
        <w:t xml:space="preserve">sólo </w:t>
      </w:r>
      <w:r>
        <w:t xml:space="preserve">vive </w:t>
      </w:r>
      <w:r w:rsidR="00312D96">
        <w:t xml:space="preserve">y </w:t>
      </w:r>
      <w:r>
        <w:t>no vivirá.”</w:t>
      </w:r>
    </w:p>
    <w:p w14:paraId="50C1D2D3" w14:textId="77777777" w:rsidR="0057256A" w:rsidRPr="00F61FEE" w:rsidRDefault="0057256A" w:rsidP="0057256A">
      <w:pPr>
        <w:pStyle w:val="VersoIngls01Sangria"/>
        <w:rPr>
          <w:sz w:val="16"/>
          <w:szCs w:val="20"/>
        </w:rPr>
      </w:pPr>
      <w:r w:rsidRPr="00F61FEE">
        <w:rPr>
          <w:sz w:val="16"/>
          <w:szCs w:val="20"/>
        </w:rPr>
        <w:t>“La vida, la persona, el placer, el dolor, solo estos</w:t>
      </w:r>
    </w:p>
    <w:p w14:paraId="36C1D513" w14:textId="716EE826" w:rsidR="0057256A" w:rsidRPr="00F61FEE" w:rsidRDefault="00312D96" w:rsidP="0057256A">
      <w:pPr>
        <w:pStyle w:val="VersoIngls01Sangria"/>
        <w:rPr>
          <w:sz w:val="16"/>
          <w:szCs w:val="20"/>
        </w:rPr>
      </w:pPr>
      <w:r w:rsidRPr="00F61FEE">
        <w:rPr>
          <w:sz w:val="16"/>
          <w:szCs w:val="20"/>
        </w:rPr>
        <w:t>Confluyen en</w:t>
      </w:r>
      <w:r w:rsidR="0057256A" w:rsidRPr="00F61FEE">
        <w:rPr>
          <w:sz w:val="16"/>
          <w:szCs w:val="20"/>
        </w:rPr>
        <w:t xml:space="preserve"> un </w:t>
      </w:r>
      <w:r w:rsidR="00F61FEE">
        <w:rPr>
          <w:sz w:val="16"/>
          <w:szCs w:val="20"/>
        </w:rPr>
        <w:t>instante de</w:t>
      </w:r>
      <w:r w:rsidR="0057256A" w:rsidRPr="00F61FEE">
        <w:rPr>
          <w:sz w:val="16"/>
          <w:szCs w:val="20"/>
        </w:rPr>
        <w:t xml:space="preserve"> conscien</w:t>
      </w:r>
      <w:r w:rsidR="00F61FEE">
        <w:rPr>
          <w:sz w:val="16"/>
          <w:szCs w:val="20"/>
        </w:rPr>
        <w:t>cia</w:t>
      </w:r>
      <w:r w:rsidR="0057256A" w:rsidRPr="00F61FEE">
        <w:rPr>
          <w:sz w:val="16"/>
          <w:szCs w:val="20"/>
        </w:rPr>
        <w:t xml:space="preserve"> que </w:t>
      </w:r>
      <w:proofErr w:type="spellStart"/>
      <w:r w:rsidR="001E7FCD">
        <w:rPr>
          <w:sz w:val="16"/>
          <w:szCs w:val="20"/>
        </w:rPr>
        <w:t>trabscurre</w:t>
      </w:r>
      <w:proofErr w:type="spellEnd"/>
      <w:r w:rsidR="0057256A" w:rsidRPr="00F61FEE">
        <w:rPr>
          <w:sz w:val="16"/>
          <w:szCs w:val="20"/>
        </w:rPr>
        <w:t xml:space="preserve"> </w:t>
      </w:r>
      <w:r w:rsidRPr="00F61FEE">
        <w:rPr>
          <w:sz w:val="16"/>
          <w:szCs w:val="20"/>
        </w:rPr>
        <w:t>velozmente</w:t>
      </w:r>
      <w:r w:rsidR="0057256A" w:rsidRPr="00F61FEE">
        <w:rPr>
          <w:sz w:val="16"/>
          <w:szCs w:val="20"/>
        </w:rPr>
        <w:t>.</w:t>
      </w:r>
    </w:p>
    <w:p w14:paraId="45180D5F" w14:textId="30793B29" w:rsidR="0057256A" w:rsidRPr="00F61FEE" w:rsidRDefault="0057256A" w:rsidP="0057256A">
      <w:pPr>
        <w:pStyle w:val="VersoIngls01Sangria"/>
        <w:rPr>
          <w:sz w:val="16"/>
          <w:szCs w:val="20"/>
        </w:rPr>
      </w:pPr>
      <w:r w:rsidRPr="00F61FEE">
        <w:rPr>
          <w:sz w:val="16"/>
          <w:szCs w:val="20"/>
        </w:rPr>
        <w:t>Ces</w:t>
      </w:r>
      <w:r w:rsidR="00312D96" w:rsidRPr="00F61FEE">
        <w:rPr>
          <w:sz w:val="16"/>
          <w:szCs w:val="20"/>
        </w:rPr>
        <w:t>an los</w:t>
      </w:r>
      <w:r w:rsidRPr="00F61FEE">
        <w:rPr>
          <w:sz w:val="16"/>
          <w:szCs w:val="20"/>
        </w:rPr>
        <w:t xml:space="preserve"> agregados de los muertos o </w:t>
      </w:r>
      <w:r w:rsidR="00312D96" w:rsidRPr="00F61FEE">
        <w:rPr>
          <w:sz w:val="16"/>
          <w:szCs w:val="20"/>
        </w:rPr>
        <w:t xml:space="preserve">los </w:t>
      </w:r>
      <w:r w:rsidRPr="00F61FEE">
        <w:rPr>
          <w:sz w:val="16"/>
          <w:szCs w:val="20"/>
        </w:rPr>
        <w:t>vivos</w:t>
      </w:r>
    </w:p>
    <w:p w14:paraId="46C5DCB0" w14:textId="5BA56598" w:rsidR="0057256A" w:rsidRPr="00F61FEE" w:rsidRDefault="0057256A" w:rsidP="0057256A">
      <w:pPr>
        <w:pStyle w:val="VersoIngls01Sangria"/>
        <w:spacing w:after="100"/>
        <w:ind w:left="1418"/>
        <w:rPr>
          <w:sz w:val="16"/>
          <w:szCs w:val="20"/>
        </w:rPr>
      </w:pPr>
      <w:r w:rsidRPr="00F61FEE">
        <w:rPr>
          <w:sz w:val="16"/>
          <w:szCs w:val="20"/>
        </w:rPr>
        <w:t xml:space="preserve">Son todos iguales, han </w:t>
      </w:r>
      <w:r w:rsidR="00312D96" w:rsidRPr="00F61FEE">
        <w:rPr>
          <w:sz w:val="16"/>
          <w:szCs w:val="20"/>
        </w:rPr>
        <w:t>pereci</w:t>
      </w:r>
      <w:r w:rsidRPr="00F61FEE">
        <w:rPr>
          <w:sz w:val="16"/>
          <w:szCs w:val="20"/>
        </w:rPr>
        <w:t xml:space="preserve">do para nunca </w:t>
      </w:r>
      <w:r w:rsidR="00312D96" w:rsidRPr="00F61FEE">
        <w:rPr>
          <w:sz w:val="16"/>
          <w:szCs w:val="20"/>
        </w:rPr>
        <w:t xml:space="preserve">más </w:t>
      </w:r>
      <w:r w:rsidRPr="00F61FEE">
        <w:rPr>
          <w:sz w:val="16"/>
          <w:szCs w:val="20"/>
        </w:rPr>
        <w:t>volver.</w:t>
      </w:r>
    </w:p>
    <w:p w14:paraId="2FB02A59" w14:textId="1193904D" w:rsidR="0057256A" w:rsidRPr="00F61FEE" w:rsidRDefault="0057256A" w:rsidP="0057256A">
      <w:pPr>
        <w:pStyle w:val="VersoIngls01Sangria"/>
        <w:rPr>
          <w:sz w:val="16"/>
          <w:szCs w:val="20"/>
        </w:rPr>
      </w:pPr>
      <w:r w:rsidRPr="00F61FEE">
        <w:rPr>
          <w:sz w:val="16"/>
          <w:szCs w:val="20"/>
        </w:rPr>
        <w:t>Ningún mundo nace</w:t>
      </w:r>
      <w:r w:rsidR="00312D96" w:rsidRPr="00F61FEE">
        <w:rPr>
          <w:sz w:val="16"/>
          <w:szCs w:val="20"/>
        </w:rPr>
        <w:t>rá</w:t>
      </w:r>
      <w:r w:rsidRPr="00F61FEE">
        <w:rPr>
          <w:sz w:val="16"/>
          <w:szCs w:val="20"/>
        </w:rPr>
        <w:t xml:space="preserve"> si la con</w:t>
      </w:r>
      <w:r w:rsidR="00312D96" w:rsidRPr="00F61FEE">
        <w:rPr>
          <w:sz w:val="16"/>
          <w:szCs w:val="20"/>
        </w:rPr>
        <w:t>s</w:t>
      </w:r>
      <w:r w:rsidRPr="00F61FEE">
        <w:rPr>
          <w:sz w:val="16"/>
          <w:szCs w:val="20"/>
        </w:rPr>
        <w:t>ciencia no</w:t>
      </w:r>
      <w:r w:rsidR="00921C61" w:rsidRPr="00F61FEE">
        <w:rPr>
          <w:sz w:val="16"/>
          <w:szCs w:val="20"/>
        </w:rPr>
        <w:t xml:space="preserve"> la</w:t>
      </w:r>
    </w:p>
    <w:p w14:paraId="14556D14" w14:textId="666C29B5" w:rsidR="0057256A" w:rsidRPr="00F61FEE" w:rsidRDefault="00BE604F" w:rsidP="0057256A">
      <w:pPr>
        <w:pStyle w:val="VersoIngls01Sangria"/>
        <w:rPr>
          <w:sz w:val="16"/>
          <w:szCs w:val="20"/>
        </w:rPr>
      </w:pPr>
      <w:r w:rsidRPr="00F61FEE">
        <w:rPr>
          <w:sz w:val="16"/>
          <w:szCs w:val="20"/>
        </w:rPr>
        <w:t>Produce</w:t>
      </w:r>
      <w:r w:rsidR="0057256A" w:rsidRPr="00F61FEE">
        <w:rPr>
          <w:sz w:val="16"/>
          <w:szCs w:val="20"/>
        </w:rPr>
        <w:t>; cuando e</w:t>
      </w:r>
      <w:r w:rsidR="00921C61" w:rsidRPr="00F61FEE">
        <w:rPr>
          <w:sz w:val="16"/>
          <w:szCs w:val="20"/>
        </w:rPr>
        <w:t>ll</w:t>
      </w:r>
      <w:r w:rsidR="0057256A" w:rsidRPr="00F61FEE">
        <w:rPr>
          <w:sz w:val="16"/>
          <w:szCs w:val="20"/>
        </w:rPr>
        <w:t>o est</w:t>
      </w:r>
      <w:r w:rsidR="00921C61" w:rsidRPr="00F61FEE">
        <w:rPr>
          <w:sz w:val="16"/>
          <w:szCs w:val="20"/>
        </w:rPr>
        <w:t>é</w:t>
      </w:r>
      <w:r w:rsidR="0057256A" w:rsidRPr="00F61FEE">
        <w:rPr>
          <w:sz w:val="16"/>
          <w:szCs w:val="20"/>
        </w:rPr>
        <w:t xml:space="preserve"> presente, entonces </w:t>
      </w:r>
      <w:r w:rsidR="002A26D9">
        <w:rPr>
          <w:sz w:val="16"/>
          <w:szCs w:val="20"/>
        </w:rPr>
        <w:t>existirá</w:t>
      </w:r>
      <w:r w:rsidR="0057256A" w:rsidRPr="00F61FEE">
        <w:rPr>
          <w:sz w:val="16"/>
          <w:szCs w:val="20"/>
        </w:rPr>
        <w:t>;</w:t>
      </w:r>
    </w:p>
    <w:p w14:paraId="2C465C74" w14:textId="2F915A3D" w:rsidR="0057256A" w:rsidRPr="00F61FEE" w:rsidRDefault="0057256A" w:rsidP="0057256A">
      <w:pPr>
        <w:pStyle w:val="VersoIngls01Sangria"/>
        <w:rPr>
          <w:sz w:val="16"/>
          <w:szCs w:val="20"/>
        </w:rPr>
      </w:pPr>
      <w:r w:rsidRPr="00F61FEE">
        <w:rPr>
          <w:sz w:val="16"/>
          <w:szCs w:val="20"/>
        </w:rPr>
        <w:t>Cuando la con</w:t>
      </w:r>
      <w:r w:rsidR="00921C61" w:rsidRPr="00F61FEE">
        <w:rPr>
          <w:sz w:val="16"/>
          <w:szCs w:val="20"/>
        </w:rPr>
        <w:t>s</w:t>
      </w:r>
      <w:r w:rsidRPr="00F61FEE">
        <w:rPr>
          <w:sz w:val="16"/>
          <w:szCs w:val="20"/>
        </w:rPr>
        <w:t>ciencia se disuelv</w:t>
      </w:r>
      <w:r w:rsidR="002A26D9">
        <w:rPr>
          <w:sz w:val="16"/>
          <w:szCs w:val="20"/>
        </w:rPr>
        <w:t>a</w:t>
      </w:r>
      <w:r w:rsidRPr="00F61FEE">
        <w:rPr>
          <w:sz w:val="16"/>
          <w:szCs w:val="20"/>
        </w:rPr>
        <w:t xml:space="preserve">, el mundo </w:t>
      </w:r>
      <w:r w:rsidR="00921C61" w:rsidRPr="00F61FEE">
        <w:rPr>
          <w:sz w:val="16"/>
          <w:szCs w:val="20"/>
        </w:rPr>
        <w:t xml:space="preserve">habrá </w:t>
      </w:r>
      <w:r w:rsidR="002A26D9">
        <w:rPr>
          <w:sz w:val="16"/>
          <w:szCs w:val="20"/>
        </w:rPr>
        <w:t>perecido</w:t>
      </w:r>
      <w:r w:rsidRPr="00F61FEE">
        <w:rPr>
          <w:sz w:val="16"/>
          <w:szCs w:val="20"/>
        </w:rPr>
        <w:t>:</w:t>
      </w:r>
    </w:p>
    <w:p w14:paraId="22558CDC" w14:textId="3072FBEE" w:rsidR="0057256A" w:rsidRDefault="0057256A" w:rsidP="0057256A">
      <w:pPr>
        <w:pStyle w:val="VersoIngls01Sangria"/>
        <w:rPr>
          <w:sz w:val="16"/>
          <w:szCs w:val="20"/>
        </w:rPr>
      </w:pPr>
      <w:r w:rsidRPr="00F61FEE">
        <w:rPr>
          <w:sz w:val="16"/>
          <w:szCs w:val="20"/>
        </w:rPr>
        <w:t>El sentido más elevado permitirá este concepto”</w:t>
      </w:r>
      <w:r w:rsidRPr="00F61FEE">
        <w:rPr>
          <w:sz w:val="16"/>
          <w:szCs w:val="20"/>
          <w:vertAlign w:val="superscript"/>
        </w:rPr>
        <w:t>11</w:t>
      </w:r>
      <w:r w:rsidRPr="00F61FEE">
        <w:rPr>
          <w:sz w:val="16"/>
          <w:szCs w:val="20"/>
        </w:rPr>
        <w:t xml:space="preserve"> (</w:t>
      </w:r>
      <w:proofErr w:type="spellStart"/>
      <w:r w:rsidRPr="00F61FEE">
        <w:rPr>
          <w:sz w:val="16"/>
          <w:szCs w:val="20"/>
        </w:rPr>
        <w:t>Nidd</w:t>
      </w:r>
      <w:proofErr w:type="spellEnd"/>
      <w:r w:rsidRPr="00F61FEE">
        <w:rPr>
          <w:sz w:val="16"/>
          <w:szCs w:val="20"/>
        </w:rPr>
        <w:t xml:space="preserve"> I 42).</w:t>
      </w:r>
    </w:p>
    <w:p w14:paraId="3FDF5910" w14:textId="77777777" w:rsidR="001E7FCD" w:rsidRPr="00F61FEE" w:rsidRDefault="001E7FCD" w:rsidP="0057256A">
      <w:pPr>
        <w:pStyle w:val="VersoIngls01Sangria"/>
        <w:rPr>
          <w:sz w:val="16"/>
          <w:szCs w:val="20"/>
        </w:rPr>
      </w:pPr>
    </w:p>
    <w:p w14:paraId="0196FAF1" w14:textId="34338C9B" w:rsidR="0057256A" w:rsidRDefault="0057256A" w:rsidP="0057256A">
      <w:pPr>
        <w:pStyle w:val="Piedepgina"/>
        <w:rPr>
          <w:u w:val="single"/>
        </w:rPr>
      </w:pPr>
      <w:r>
        <w:rPr>
          <w:u w:val="single"/>
        </w:rPr>
        <w:t xml:space="preserve">                                                                                                                                                                          .</w:t>
      </w:r>
    </w:p>
    <w:p w14:paraId="101A6FA3" w14:textId="39455F8C" w:rsidR="00F22AC8" w:rsidRDefault="0057256A" w:rsidP="0057256A">
      <w:pPr>
        <w:pStyle w:val="PiedepginaLegal"/>
      </w:pPr>
      <w:r>
        <w:t>11.</w:t>
      </w:r>
      <w:r>
        <w:tab/>
        <w:t xml:space="preserve"> “'Persona' (</w:t>
      </w:r>
      <w:proofErr w:type="spellStart"/>
      <w:r w:rsidRPr="00011549">
        <w:rPr>
          <w:i/>
          <w:iCs/>
        </w:rPr>
        <w:t>atta-bhāva</w:t>
      </w:r>
      <w:proofErr w:type="spellEnd"/>
      <w:r>
        <w:t xml:space="preserve">) son los distintos </w:t>
      </w:r>
      <w:r w:rsidR="00695165">
        <w:t xml:space="preserve">estados </w:t>
      </w:r>
      <w:r>
        <w:t xml:space="preserve">de la vida, el sentimiento y la </w:t>
      </w:r>
      <w:r w:rsidR="00305E12">
        <w:t>consciencia</w:t>
      </w:r>
      <w:r>
        <w:t xml:space="preserve"> ya mencionados. Las palabras 'solo estos sol</w:t>
      </w:r>
      <w:r w:rsidR="00310A07">
        <w:t>amente</w:t>
      </w:r>
      <w:r>
        <w:t>' significan que no está mezclado con el yo (</w:t>
      </w:r>
      <w:proofErr w:type="spellStart"/>
      <w:r w:rsidRPr="00011549">
        <w:rPr>
          <w:i/>
          <w:iCs/>
        </w:rPr>
        <w:t>attā</w:t>
      </w:r>
      <w:proofErr w:type="spellEnd"/>
      <w:r>
        <w:t>)</w:t>
      </w:r>
    </w:p>
    <w:p w14:paraId="76D57F6A" w14:textId="77777777" w:rsidR="00F22AC8" w:rsidRDefault="00F22AC8">
      <w:pPr>
        <w:tabs>
          <w:tab w:val="clear" w:pos="425"/>
        </w:tabs>
        <w:spacing w:after="160"/>
        <w:rPr>
          <w:color w:val="000000" w:themeColor="text1"/>
          <w:spacing w:val="10"/>
          <w:sz w:val="14"/>
        </w:rPr>
      </w:pPr>
      <w:r>
        <w:br w:type="page"/>
      </w:r>
    </w:p>
    <w:p w14:paraId="7D707276" w14:textId="77777777" w:rsidR="00050C53" w:rsidRDefault="00050C53" w:rsidP="00F22AC8"/>
    <w:p w14:paraId="3567D1FA" w14:textId="77777777" w:rsidR="00050C53" w:rsidRDefault="00050C53" w:rsidP="00F22AC8"/>
    <w:p w14:paraId="2FBEEBF7" w14:textId="77777777" w:rsidR="00050C53" w:rsidRDefault="00050C53" w:rsidP="00050C53">
      <w:pPr>
        <w:pStyle w:val="Piedepgina"/>
        <w:rPr>
          <w:u w:val="single"/>
        </w:rPr>
      </w:pPr>
      <w:r>
        <w:rPr>
          <w:u w:val="single"/>
        </w:rPr>
        <w:t xml:space="preserve">                                                                                                                                                                          .</w:t>
      </w:r>
    </w:p>
    <w:p w14:paraId="5EDFBBE4" w14:textId="6B658EBF" w:rsidR="00050C53" w:rsidRDefault="00050C53" w:rsidP="00050C53">
      <w:pPr>
        <w:pStyle w:val="PiedepginaLegal"/>
      </w:pPr>
      <w:r>
        <w:t>…</w:t>
      </w:r>
    </w:p>
    <w:p w14:paraId="48380D11" w14:textId="13333E11" w:rsidR="00050C53" w:rsidRDefault="00050C53" w:rsidP="00050C53">
      <w:pPr>
        <w:pStyle w:val="PiedepginaLegal"/>
        <w:tabs>
          <w:tab w:val="clear" w:pos="6804"/>
        </w:tabs>
        <w:ind w:right="901"/>
      </w:pPr>
      <w:r>
        <w:tab/>
        <w:t xml:space="preserve">o </w:t>
      </w:r>
      <w:r w:rsidR="00310A07">
        <w:t xml:space="preserve">la </w:t>
      </w:r>
      <w:r>
        <w:t>permanencia” (</w:t>
      </w:r>
      <w:proofErr w:type="spellStart"/>
      <w:r>
        <w:t>Vism-mhṭ</w:t>
      </w:r>
      <w:proofErr w:type="spellEnd"/>
      <w:r>
        <w:t xml:space="preserve"> 242). </w:t>
      </w:r>
      <w:r w:rsidRPr="00011549">
        <w:rPr>
          <w:i/>
          <w:iCs/>
        </w:rPr>
        <w:t>Atta-</w:t>
      </w:r>
      <w:proofErr w:type="spellStart"/>
      <w:r w:rsidRPr="00011549">
        <w:rPr>
          <w:i/>
          <w:iCs/>
        </w:rPr>
        <w:t>bhāva</w:t>
      </w:r>
      <w:proofErr w:type="spellEnd"/>
      <w:r>
        <w:t xml:space="preserve"> tal como se usa en los </w:t>
      </w:r>
      <w:r w:rsidRPr="00310A07">
        <w:rPr>
          <w:i/>
          <w:iCs/>
        </w:rPr>
        <w:t>Suttas</w:t>
      </w:r>
      <w:r>
        <w:t xml:space="preserve"> y en este trabajo es más o menos un sinónimo de </w:t>
      </w:r>
      <w:r w:rsidRPr="00011549">
        <w:rPr>
          <w:i/>
          <w:iCs/>
        </w:rPr>
        <w:t>sakk</w:t>
      </w:r>
      <w:r w:rsidR="00011549" w:rsidRPr="00011549">
        <w:rPr>
          <w:i/>
          <w:iCs/>
        </w:rPr>
        <w:t>ā</w:t>
      </w:r>
      <w:r w:rsidRPr="00011549">
        <w:rPr>
          <w:i/>
          <w:iCs/>
        </w:rPr>
        <w:t>ya</w:t>
      </w:r>
      <w:r>
        <w:t xml:space="preserve"> en el sentido de persona (cuerpo y mente) o personalidad o forma individual. Ver </w:t>
      </w:r>
      <w:r w:rsidR="00FD1A77">
        <w:t>referencias</w:t>
      </w:r>
      <w:r w:rsidR="00FD1A77" w:rsidRPr="00011549">
        <w:rPr>
          <w:i/>
          <w:iCs/>
        </w:rPr>
        <w:t xml:space="preserve"> </w:t>
      </w:r>
      <w:r w:rsidR="00FD1A77" w:rsidRPr="00FD1A77">
        <w:t>del</w:t>
      </w:r>
      <w:r w:rsidR="00FD1A77">
        <w:rPr>
          <w:i/>
          <w:iCs/>
        </w:rPr>
        <w:t xml:space="preserve"> </w:t>
      </w:r>
      <w:proofErr w:type="spellStart"/>
      <w:r w:rsidRPr="00011549">
        <w:rPr>
          <w:i/>
          <w:iCs/>
        </w:rPr>
        <w:t>Piṭaka</w:t>
      </w:r>
      <w:proofErr w:type="spellEnd"/>
      <w:r>
        <w:t xml:space="preserve"> en </w:t>
      </w:r>
      <w:r w:rsidR="00310A07">
        <w:t xml:space="preserve">el </w:t>
      </w:r>
      <w:r>
        <w:t xml:space="preserve">PED y este capítulo </w:t>
      </w:r>
      <w:r w:rsidR="00D02DD8">
        <w:t xml:space="preserve">§35 </w:t>
      </w:r>
      <w:r>
        <w:t>y XI.54.</w:t>
      </w:r>
    </w:p>
    <w:p w14:paraId="295A2CF4" w14:textId="4FD49704" w:rsidR="00050C53" w:rsidRDefault="00050C53" w:rsidP="00050C53">
      <w:pPr>
        <w:pStyle w:val="PiedepginaLegal"/>
        <w:tabs>
          <w:tab w:val="clear" w:pos="6804"/>
        </w:tabs>
        <w:ind w:right="901"/>
      </w:pPr>
      <w:r>
        <w:tab/>
      </w:r>
      <w:r>
        <w:tab/>
        <w:t>“</w:t>
      </w:r>
      <w:r w:rsidRPr="00011549">
        <w:rPr>
          <w:i/>
          <w:iCs/>
        </w:rPr>
        <w:t xml:space="preserve">'Cuando la </w:t>
      </w:r>
      <w:r w:rsidR="00305E12">
        <w:rPr>
          <w:i/>
          <w:iCs/>
        </w:rPr>
        <w:t>consciencia</w:t>
      </w:r>
      <w:r w:rsidRPr="00011549">
        <w:rPr>
          <w:i/>
          <w:iCs/>
        </w:rPr>
        <w:t xml:space="preserve"> se disuelve</w:t>
      </w:r>
      <w:r>
        <w:t xml:space="preserve">, el mundo </w:t>
      </w:r>
      <w:r w:rsidR="00957CD7">
        <w:t>se</w:t>
      </w:r>
      <w:r>
        <w:t xml:space="preserve"> </w:t>
      </w:r>
      <w:proofErr w:type="spellStart"/>
      <w:r>
        <w:t>muer</w:t>
      </w:r>
      <w:r w:rsidR="00957CD7">
        <w:t>r</w:t>
      </w:r>
      <w:proofErr w:type="spellEnd"/>
      <w:r>
        <w:t>”: así como en el caso de la muerte-con</w:t>
      </w:r>
      <w:r w:rsidR="00957CD7">
        <w:t>s</w:t>
      </w:r>
      <w:r>
        <w:t xml:space="preserve">ciencia, este mundo también se llama 'muerto' en el sentido más </w:t>
      </w:r>
      <w:r w:rsidR="00957CD7">
        <w:t>elevado</w:t>
      </w:r>
      <w:r>
        <w:t xml:space="preserve"> (último) con la llegada de cualquier con</w:t>
      </w:r>
      <w:r w:rsidR="00957CD7">
        <w:t>s</w:t>
      </w:r>
      <w:r>
        <w:t>ciencia a su disolución, ya que su cesación no tiene vinculación con el renacimiento (es '</w:t>
      </w:r>
      <w:r w:rsidR="00D8425A">
        <w:t xml:space="preserve">la </w:t>
      </w:r>
      <w:r>
        <w:t xml:space="preserve">cesación para nunca volver'). Sin embargo, aunque esto es así, </w:t>
      </w:r>
      <w:r w:rsidRPr="00011549">
        <w:rPr>
          <w:i/>
          <w:iCs/>
        </w:rPr>
        <w:t>'el sentido más elevado que permitirá este concepto</w:t>
      </w:r>
      <w:r>
        <w:t xml:space="preserve"> (</w:t>
      </w:r>
      <w:proofErr w:type="spellStart"/>
      <w:r w:rsidRPr="00011549">
        <w:rPr>
          <w:i/>
          <w:iCs/>
        </w:rPr>
        <w:t>paññatti</w:t>
      </w:r>
      <w:proofErr w:type="spellEnd"/>
      <w:r>
        <w:t xml:space="preserve"> </w:t>
      </w:r>
      <w:proofErr w:type="spellStart"/>
      <w:r w:rsidRPr="00011549">
        <w:rPr>
          <w:i/>
          <w:iCs/>
        </w:rPr>
        <w:t>paramatthiyā</w:t>
      </w:r>
      <w:proofErr w:type="spellEnd"/>
      <w:r>
        <w:t>)'—el sentido último permitirá este concepto de continuidad, que es a lo que se refiere la expresión de uso común '</w:t>
      </w:r>
      <w:proofErr w:type="spellStart"/>
      <w:r>
        <w:t>Tissa</w:t>
      </w:r>
      <w:proofErr w:type="spellEnd"/>
      <w:r>
        <w:t xml:space="preserve"> vive, </w:t>
      </w:r>
      <w:proofErr w:type="spellStart"/>
      <w:r>
        <w:t>Phussa</w:t>
      </w:r>
      <w:proofErr w:type="spellEnd"/>
      <w:r>
        <w:t xml:space="preserve"> vive', y que se basa en </w:t>
      </w:r>
      <w:r w:rsidR="00305E12">
        <w:t>consciencia</w:t>
      </w:r>
      <w:r>
        <w:t>s [momentáneamente] que existen junto con un soporte físico; esto pertenece al sentido último aquí, ya que, como dicen, ‘No es el nombre y el apellido lo que vive.’” (</w:t>
      </w:r>
      <w:proofErr w:type="spellStart"/>
      <w:r>
        <w:t>Vism-mhþ</w:t>
      </w:r>
      <w:proofErr w:type="spellEnd"/>
      <w:r>
        <w:t xml:space="preserve"> 242, 801)</w:t>
      </w:r>
    </w:p>
    <w:p w14:paraId="037B5613" w14:textId="56A1175D" w:rsidR="00050C53" w:rsidRDefault="00050C53" w:rsidP="00050C53">
      <w:pPr>
        <w:pStyle w:val="PiedepginaLegal"/>
        <w:tabs>
          <w:tab w:val="clear" w:pos="6804"/>
        </w:tabs>
        <w:ind w:right="901"/>
      </w:pPr>
      <w:r>
        <w:tab/>
      </w:r>
      <w:r>
        <w:tab/>
        <w:t xml:space="preserve">Se puede decir algo sobre la palabra </w:t>
      </w:r>
      <w:proofErr w:type="spellStart"/>
      <w:r w:rsidRPr="00DC7EA7">
        <w:rPr>
          <w:i/>
          <w:iCs/>
        </w:rPr>
        <w:t>paññatti</w:t>
      </w:r>
      <w:proofErr w:type="spellEnd"/>
      <w:r>
        <w:t xml:space="preserve"> aquí. Veinticuatro tipos se tratan en el comentario al </w:t>
      </w:r>
      <w:proofErr w:type="spellStart"/>
      <w:r w:rsidRPr="00011549">
        <w:rPr>
          <w:i/>
          <w:iCs/>
        </w:rPr>
        <w:t>Puggalapaññatti</w:t>
      </w:r>
      <w:proofErr w:type="spellEnd"/>
      <w:r>
        <w:t xml:space="preserve">. El Programa </w:t>
      </w:r>
      <w:proofErr w:type="spellStart"/>
      <w:r w:rsidRPr="00011549">
        <w:rPr>
          <w:i/>
          <w:iCs/>
        </w:rPr>
        <w:t>Puggalapaññatti</w:t>
      </w:r>
      <w:proofErr w:type="spellEnd"/>
      <w:r>
        <w:t xml:space="preserve"> (</w:t>
      </w:r>
      <w:proofErr w:type="spellStart"/>
      <w:r w:rsidRPr="00DC7EA7">
        <w:rPr>
          <w:i/>
          <w:iCs/>
        </w:rPr>
        <w:t>mātikā</w:t>
      </w:r>
      <w:proofErr w:type="spellEnd"/>
      <w:r>
        <w:t xml:space="preserve">) da los siguientes seis </w:t>
      </w:r>
      <w:proofErr w:type="spellStart"/>
      <w:r w:rsidRPr="00011549">
        <w:rPr>
          <w:i/>
          <w:iCs/>
        </w:rPr>
        <w:t>paññatti</w:t>
      </w:r>
      <w:proofErr w:type="spellEnd"/>
      <w:r>
        <w:t xml:space="preserve"> (aquí </w:t>
      </w:r>
      <w:r w:rsidR="0065512E">
        <w:t xml:space="preserve">un </w:t>
      </w:r>
      <w:r>
        <w:t>dar a conocer, una exposición): de agregados, bases, elementos, verdades, facultades y personas. (</w:t>
      </w:r>
      <w:proofErr w:type="spellStart"/>
      <w:r>
        <w:t>Pug</w:t>
      </w:r>
      <w:proofErr w:type="spellEnd"/>
      <w:r>
        <w:t xml:space="preserve"> 1) El comentario explica la palabra en este sentido como </w:t>
      </w:r>
      <w:proofErr w:type="spellStart"/>
      <w:r w:rsidR="00057BF4" w:rsidRPr="00057BF4">
        <w:rPr>
          <w:i/>
          <w:iCs/>
        </w:rPr>
        <w:t>paññā</w:t>
      </w:r>
      <w:r w:rsidRPr="00011549">
        <w:rPr>
          <w:i/>
          <w:iCs/>
        </w:rPr>
        <w:t>pana</w:t>
      </w:r>
      <w:proofErr w:type="spellEnd"/>
      <w:r>
        <w:t xml:space="preserve"> (dar a conocer) y </w:t>
      </w:r>
      <w:proofErr w:type="spellStart"/>
      <w:r w:rsidRPr="00011549">
        <w:rPr>
          <w:i/>
          <w:iCs/>
        </w:rPr>
        <w:t>ṭhapana</w:t>
      </w:r>
      <w:proofErr w:type="spellEnd"/>
      <w:r>
        <w:t xml:space="preserve"> (colocar), citando “Él anuncia, enseña, declara (</w:t>
      </w:r>
      <w:proofErr w:type="spellStart"/>
      <w:r w:rsidR="00057BF4" w:rsidRPr="00057BF4">
        <w:rPr>
          <w:i/>
          <w:iCs/>
        </w:rPr>
        <w:t>paññā</w:t>
      </w:r>
      <w:r w:rsidRPr="00011549">
        <w:rPr>
          <w:i/>
          <w:iCs/>
        </w:rPr>
        <w:t>peti</w:t>
      </w:r>
      <w:proofErr w:type="spellEnd"/>
      <w:r>
        <w:t>), establece” (cf. M III 248), y también “un cama y silla bien equipadas (</w:t>
      </w:r>
      <w:proofErr w:type="spellStart"/>
      <w:r w:rsidRPr="00011549">
        <w:rPr>
          <w:i/>
          <w:iCs/>
        </w:rPr>
        <w:t>supaññatta</w:t>
      </w:r>
      <w:proofErr w:type="spellEnd"/>
      <w:r>
        <w:t>)” (?). Continúa: “El dar a conocer un nombre (</w:t>
      </w:r>
      <w:proofErr w:type="spellStart"/>
      <w:r w:rsidR="00057BF4" w:rsidRPr="00057BF4">
        <w:rPr>
          <w:i/>
          <w:iCs/>
        </w:rPr>
        <w:t>nāma</w:t>
      </w:r>
      <w:r>
        <w:t>-</w:t>
      </w:r>
      <w:r w:rsidRPr="00011549">
        <w:rPr>
          <w:i/>
          <w:iCs/>
        </w:rPr>
        <w:t>paññatti</w:t>
      </w:r>
      <w:proofErr w:type="spellEnd"/>
      <w:r>
        <w:t xml:space="preserve">) muestra tales y tales </w:t>
      </w:r>
      <w:r w:rsidR="00057BF4" w:rsidRPr="00057BF4">
        <w:rPr>
          <w:i/>
        </w:rPr>
        <w:t>Dhamma</w:t>
      </w:r>
      <w:r>
        <w:t>s y los ubica en tales y tales compartimentos, mientras que el dar a conocer los agregados (</w:t>
      </w:r>
      <w:proofErr w:type="spellStart"/>
      <w:r w:rsidRPr="00011549">
        <w:rPr>
          <w:i/>
          <w:iCs/>
        </w:rPr>
        <w:t>khandha-paññatti</w:t>
      </w:r>
      <w:proofErr w:type="spellEnd"/>
      <w:r>
        <w:t>) y el resto muestra en resumen la forma individual de los que dan a conocer (</w:t>
      </w:r>
      <w:proofErr w:type="spellStart"/>
      <w:r w:rsidRPr="00011549">
        <w:rPr>
          <w:i/>
          <w:iCs/>
        </w:rPr>
        <w:t>paññatti</w:t>
      </w:r>
      <w:proofErr w:type="spellEnd"/>
      <w:r>
        <w:t>).”</w:t>
      </w:r>
    </w:p>
    <w:p w14:paraId="2DA1CAAE" w14:textId="13930B5F" w:rsidR="00050C53" w:rsidRDefault="00050C53" w:rsidP="00050C53">
      <w:pPr>
        <w:pStyle w:val="PiedepginaLegal"/>
        <w:tabs>
          <w:tab w:val="clear" w:pos="6804"/>
        </w:tabs>
        <w:ind w:right="901"/>
      </w:pPr>
      <w:r>
        <w:tab/>
      </w:r>
      <w:r>
        <w:tab/>
        <w:t xml:space="preserve">Luego </w:t>
      </w:r>
      <w:r w:rsidR="00606671">
        <w:t xml:space="preserve">se </w:t>
      </w:r>
      <w:r>
        <w:t>da</w:t>
      </w:r>
      <w:r w:rsidR="00606671">
        <w:t>n</w:t>
      </w:r>
      <w:r>
        <w:t xml:space="preserve"> seis clases de </w:t>
      </w:r>
      <w:proofErr w:type="spellStart"/>
      <w:r w:rsidRPr="00011549">
        <w:rPr>
          <w:i/>
          <w:iCs/>
        </w:rPr>
        <w:t>paññatti</w:t>
      </w:r>
      <w:proofErr w:type="spellEnd"/>
      <w:r>
        <w:t xml:space="preserve"> “según el método de</w:t>
      </w:r>
      <w:r w:rsidR="00606671">
        <w:t>l</w:t>
      </w:r>
      <w:r>
        <w:t xml:space="preserve"> comentario pero no en los textos”: (1) </w:t>
      </w:r>
      <w:r w:rsidRPr="00011549">
        <w:rPr>
          <w:i/>
          <w:iCs/>
        </w:rPr>
        <w:t>Concepto de lo existente</w:t>
      </w:r>
      <w:r>
        <w:t xml:space="preserve"> (</w:t>
      </w:r>
      <w:proofErr w:type="spellStart"/>
      <w:r w:rsidRPr="00011549">
        <w:rPr>
          <w:i/>
          <w:iCs/>
        </w:rPr>
        <w:t>vijjamāna-paññatti</w:t>
      </w:r>
      <w:proofErr w:type="spellEnd"/>
      <w:r>
        <w:t xml:space="preserve">), que es la conceptualización de (dar a conocer) un </w:t>
      </w:r>
      <w:r w:rsidR="00057BF4" w:rsidRPr="00057BF4">
        <w:rPr>
          <w:i/>
        </w:rPr>
        <w:t>Dhamma</w:t>
      </w:r>
      <w:r>
        <w:t xml:space="preserve"> que es existente, real, </w:t>
      </w:r>
      <w:r w:rsidR="000F3D7E">
        <w:t>devenido</w:t>
      </w:r>
      <w:r>
        <w:t xml:space="preserve">, en el sentido </w:t>
      </w:r>
      <w:r w:rsidR="000F3D7E">
        <w:t xml:space="preserve">de </w:t>
      </w:r>
      <w:r>
        <w:t xml:space="preserve">verdadero y último (por ejemplo, agregados, etc.). (2) </w:t>
      </w:r>
      <w:r w:rsidRPr="00011549">
        <w:rPr>
          <w:i/>
          <w:iCs/>
        </w:rPr>
        <w:t>Concepto de lo inexistente</w:t>
      </w:r>
      <w:r>
        <w:t xml:space="preserve">, que es, por ejemplo, la conceptualización de “femenino”, “masculino”, “personas”, etc., que son inexistentes bajo ese estándar y sólo se establecen por medio del </w:t>
      </w:r>
      <w:r w:rsidR="00D35859">
        <w:t xml:space="preserve">lenguaje </w:t>
      </w:r>
      <w:r>
        <w:t xml:space="preserve">corriente en el mundo; de manera similar, "tales imposibilidades como los conceptos de una quinta verdad o el Átomo, la Esencia Primordial, el Alma del Mundo y similares de los otros sectarios". (3) </w:t>
      </w:r>
      <w:r w:rsidRPr="00011549">
        <w:rPr>
          <w:i/>
          <w:iCs/>
        </w:rPr>
        <w:t>Concepto de lo inexistente basado en lo existente</w:t>
      </w:r>
      <w:r>
        <w:t>, p. la expresión, "</w:t>
      </w:r>
      <w:r w:rsidR="00E20EFC">
        <w:t>Alguien</w:t>
      </w:r>
      <w:r>
        <w:t xml:space="preserve"> con las tres visiones claras", donde la "persona" ("</w:t>
      </w:r>
      <w:r w:rsidR="004D0785">
        <w:t>alguien</w:t>
      </w:r>
      <w:r>
        <w:t xml:space="preserve">") no existe y las "visiones claras" existen. (4) </w:t>
      </w:r>
      <w:r w:rsidRPr="00011549">
        <w:rPr>
          <w:i/>
          <w:iCs/>
        </w:rPr>
        <w:t>Concepto de lo existente basado en lo inexistente</w:t>
      </w:r>
      <w:r>
        <w:t xml:space="preserve">, p. la “forma femenina”, siendo la “forma visible” (= base de datos visible) existente y la “femenina” inexistente. (5) </w:t>
      </w:r>
      <w:r w:rsidRPr="00011549">
        <w:rPr>
          <w:i/>
          <w:iCs/>
        </w:rPr>
        <w:t>Concepto de lo existente basado en lo existente</w:t>
      </w:r>
      <w:r>
        <w:t xml:space="preserve">, p. “contacto visual”, existiendo tanto </w:t>
      </w:r>
      <w:r w:rsidR="00905B15">
        <w:t xml:space="preserve">el </w:t>
      </w:r>
      <w:r>
        <w:t xml:space="preserve">“ojo” como </w:t>
      </w:r>
      <w:r w:rsidR="00905B15">
        <w:t xml:space="preserve">el </w:t>
      </w:r>
      <w:r>
        <w:t xml:space="preserve">“contacto”. (6) </w:t>
      </w:r>
      <w:r w:rsidRPr="00011549">
        <w:rPr>
          <w:i/>
          <w:iCs/>
        </w:rPr>
        <w:t>Concepto de lo inexistente basado en lo inexistente</w:t>
      </w:r>
      <w:r>
        <w:t>, p. "hijo del banquero", siendo ambos inexistentes.</w:t>
      </w:r>
    </w:p>
    <w:p w14:paraId="779BC85F" w14:textId="61AC1F4F" w:rsidR="00050C53" w:rsidRDefault="00050C53" w:rsidP="00050C53">
      <w:pPr>
        <w:pStyle w:val="PiedepginaLegal"/>
        <w:tabs>
          <w:tab w:val="clear" w:pos="6804"/>
        </w:tabs>
        <w:ind w:right="901"/>
      </w:pPr>
      <w:r>
        <w:tab/>
      </w:r>
      <w:r>
        <w:tab/>
        <w:t xml:space="preserve">Nuevamente, se dan dos conjuntos más de </w:t>
      </w:r>
      <w:r w:rsidR="00232EA5">
        <w:t>6</w:t>
      </w:r>
      <w:r>
        <w:t xml:space="preserve"> como "según los Maestros, pero no en los Comentarios". El primero es: (1) </w:t>
      </w:r>
      <w:r w:rsidRPr="00011549">
        <w:rPr>
          <w:i/>
          <w:iCs/>
        </w:rPr>
        <w:t>Concepto derivado</w:t>
      </w:r>
      <w:r>
        <w:t xml:space="preserve"> (</w:t>
      </w:r>
      <w:proofErr w:type="spellStart"/>
      <w:r w:rsidRPr="00011549">
        <w:rPr>
          <w:i/>
          <w:iCs/>
        </w:rPr>
        <w:t>upādā-paññatti</w:t>
      </w:r>
      <w:proofErr w:type="spellEnd"/>
      <w:r>
        <w:t xml:space="preserve">); esto, por ejemplo, es un "ser", que es una convención derivada de los agregados de </w:t>
      </w:r>
      <w:r w:rsidR="0099118B">
        <w:t xml:space="preserve">la </w:t>
      </w:r>
      <w:r>
        <w:t xml:space="preserve">materialidad, </w:t>
      </w:r>
      <w:r w:rsidR="0099118B">
        <w:t xml:space="preserve">la </w:t>
      </w:r>
      <w:r w:rsidR="00905B15">
        <w:t>sensación</w:t>
      </w:r>
      <w:r>
        <w:t>, etc., aunque no ten</w:t>
      </w:r>
      <w:r w:rsidR="00905B15">
        <w:t>ga</w:t>
      </w:r>
      <w:r>
        <w:t xml:space="preserve"> una esencia individual propia aprehensible en el verdadero </w:t>
      </w:r>
      <w:r w:rsidR="0099118B">
        <w:t xml:space="preserve">y último </w:t>
      </w:r>
      <w:r>
        <w:t xml:space="preserve">sentido, como la materialidad, digamos, tiene en su identidad propia y su alteridad desde </w:t>
      </w:r>
      <w:r w:rsidR="00EA2CB8">
        <w:t>la sensación</w:t>
      </w:r>
      <w:r>
        <w:t xml:space="preserve">, etc.; o una “casa” o un “puño” o un “horno” aparte de sus componentes, o un “cántaro” o una “prenda”, que se derivan todos de esos mismos agregados; o </w:t>
      </w:r>
      <w:r w:rsidR="00091BB6">
        <w:t xml:space="preserve">el </w:t>
      </w:r>
      <w:r>
        <w:t xml:space="preserve">"tiempo" o </w:t>
      </w:r>
      <w:r w:rsidR="00091BB6">
        <w:t xml:space="preserve">la </w:t>
      </w:r>
      <w:r>
        <w:t xml:space="preserve">"dirección", que se derivan de las revoluciones de la </w:t>
      </w:r>
      <w:r w:rsidR="00EA2CB8">
        <w:t xml:space="preserve">Luna </w:t>
      </w:r>
      <w:r>
        <w:t xml:space="preserve">y el </w:t>
      </w:r>
      <w:r w:rsidR="00EA2CB8">
        <w:t>Sol</w:t>
      </w:r>
      <w:r>
        <w:t xml:space="preserve">; o el “signo de aprendizaje” o “signo contraparte” fundado en un aspecto u otro, que </w:t>
      </w:r>
      <w:r w:rsidR="00091BB6">
        <w:t>representan</w:t>
      </w:r>
      <w:r>
        <w:t xml:space="preserve"> una convención derivada de algún signo real como beneficio del desarrollo meditativo: estos son conceptos derivados, y esta especie es un “concepto” (</w:t>
      </w:r>
      <w:proofErr w:type="spellStart"/>
      <w:r w:rsidRPr="00011549">
        <w:rPr>
          <w:i/>
          <w:iCs/>
        </w:rPr>
        <w:t>paññatti</w:t>
      </w:r>
      <w:proofErr w:type="spellEnd"/>
      <w:r>
        <w:t>) en el sentido de “capacidad de</w:t>
      </w:r>
      <w:r w:rsidRPr="008C0E19">
        <w:t xml:space="preserve"> </w:t>
      </w:r>
      <w:r w:rsidR="00091BB6">
        <w:t>estar establecido”</w:t>
      </w:r>
    </w:p>
    <w:p w14:paraId="57367911" w14:textId="77777777" w:rsidR="00050C53" w:rsidRDefault="00050C53">
      <w:pPr>
        <w:tabs>
          <w:tab w:val="clear" w:pos="425"/>
        </w:tabs>
        <w:spacing w:after="160"/>
      </w:pPr>
      <w:r>
        <w:br w:type="page"/>
      </w:r>
    </w:p>
    <w:p w14:paraId="298421F7" w14:textId="77777777" w:rsidR="00CF1A32" w:rsidRDefault="00CF1A32" w:rsidP="00050C53"/>
    <w:p w14:paraId="1A0979FF" w14:textId="105CA199" w:rsidR="00CF1A32" w:rsidRDefault="00CF1A32" w:rsidP="00CF1A32">
      <w:pPr>
        <w:pStyle w:val="NormalConSangria"/>
      </w:pPr>
      <w:r>
        <w:t xml:space="preserve">Así debe </w:t>
      </w:r>
      <w:r w:rsidR="004B69F9">
        <w:t>evocarse</w:t>
      </w:r>
      <w:r>
        <w:t xml:space="preserve"> la muerte en cuanto a la brevedad del momento.</w:t>
      </w:r>
    </w:p>
    <w:p w14:paraId="7899F0A4" w14:textId="77777777" w:rsidR="00CF1A32" w:rsidRDefault="00CF1A32" w:rsidP="00CF1A32">
      <w:pPr>
        <w:jc w:val="center"/>
      </w:pPr>
      <w:r>
        <w:t>[</w:t>
      </w:r>
      <w:r w:rsidRPr="00CF1A32">
        <w:rPr>
          <w:i/>
          <w:iCs/>
        </w:rPr>
        <w:t>Conclusión</w:t>
      </w:r>
      <w:r>
        <w:t>]</w:t>
      </w:r>
    </w:p>
    <w:p w14:paraId="44B1CEF2" w14:textId="666D36B0" w:rsidR="00CF1A32" w:rsidRDefault="00CF1A32" w:rsidP="00CF1A32">
      <w:r>
        <w:t xml:space="preserve">40. </w:t>
      </w:r>
      <w:r>
        <w:tab/>
        <w:t xml:space="preserve">Así, mientras </w:t>
      </w:r>
      <w:r w:rsidR="007D6E43">
        <w:t xml:space="preserve">él </w:t>
      </w:r>
      <w:r>
        <w:t>ha</w:t>
      </w:r>
      <w:r w:rsidR="007D6E43">
        <w:t>ga</w:t>
      </w:r>
      <w:r>
        <w:t xml:space="preserve"> su </w:t>
      </w:r>
      <w:r w:rsidR="007D6E43">
        <w:t xml:space="preserve">evocación </w:t>
      </w:r>
      <w:r>
        <w:t xml:space="preserve">por medio de una u otra de estas ocho </w:t>
      </w:r>
      <w:r w:rsidR="007D6E43">
        <w:t>formas</w:t>
      </w:r>
      <w:r>
        <w:t>, su con</w:t>
      </w:r>
      <w:r w:rsidR="007D6E43">
        <w:t>s</w:t>
      </w:r>
      <w:r>
        <w:t>ciencia adquir</w:t>
      </w:r>
      <w:r w:rsidR="007D6E43">
        <w:t>irá</w:t>
      </w:r>
      <w:r>
        <w:t xml:space="preserve"> el </w:t>
      </w:r>
      <w:r w:rsidR="007D6E43">
        <w:t xml:space="preserve">soporte </w:t>
      </w:r>
      <w:r>
        <w:t xml:space="preserve">de la repetición debido a la atención </w:t>
      </w:r>
      <w:r w:rsidR="003C599B">
        <w:t>recurrente</w:t>
      </w:r>
      <w:r>
        <w:t>, la atención plena se establece</w:t>
      </w:r>
      <w:r w:rsidR="00691158">
        <w:t>rá</w:t>
      </w:r>
      <w:r>
        <w:t xml:space="preserve"> </w:t>
      </w:r>
      <w:r w:rsidR="001B3306">
        <w:t>sobre</w:t>
      </w:r>
      <w:r>
        <w:t xml:space="preserve"> la muerte como su objeto, los obstáculos s</w:t>
      </w:r>
      <w:r w:rsidR="00691158">
        <w:t>erá</w:t>
      </w:r>
      <w:r>
        <w:t xml:space="preserve">n suprimidos y </w:t>
      </w:r>
      <w:r w:rsidR="00011549">
        <w:t>l</w:t>
      </w:r>
      <w:r>
        <w:t xml:space="preserve">os factores </w:t>
      </w:r>
      <w:proofErr w:type="spellStart"/>
      <w:r w:rsidR="00057BF4" w:rsidRPr="00057BF4">
        <w:rPr>
          <w:i/>
          <w:iCs/>
        </w:rPr>
        <w:t>jhāna</w:t>
      </w:r>
      <w:proofErr w:type="spellEnd"/>
      <w:r>
        <w:t xml:space="preserve"> ha</w:t>
      </w:r>
      <w:r w:rsidR="00691158">
        <w:t>rá</w:t>
      </w:r>
      <w:r>
        <w:t>n su aparición. Pero como el objeto se enuncia</w:t>
      </w:r>
      <w:r w:rsidR="001B3306">
        <w:t>rá</w:t>
      </w:r>
      <w:r>
        <w:t xml:space="preserve"> con esencias individuales,</w:t>
      </w:r>
      <w:r w:rsidRPr="00772D40">
        <w:rPr>
          <w:vertAlign w:val="superscript"/>
        </w:rPr>
        <w:t>1</w:t>
      </w:r>
      <w:r w:rsidR="00772D40" w:rsidRPr="00772D40">
        <w:rPr>
          <w:vertAlign w:val="superscript"/>
        </w:rPr>
        <w:t>2</w:t>
      </w:r>
      <w:r>
        <w:t xml:space="preserve"> y como desperta</w:t>
      </w:r>
      <w:r w:rsidR="001B3306">
        <w:t>rá</w:t>
      </w:r>
      <w:r>
        <w:t xml:space="preserve"> un sentido de urgencia, </w:t>
      </w:r>
      <w:r w:rsidR="009E5730">
        <w:t>e</w:t>
      </w:r>
      <w:r>
        <w:t xml:space="preserve">l </w:t>
      </w:r>
      <w:proofErr w:type="spellStart"/>
      <w:r w:rsidR="00057BF4" w:rsidRPr="00057BF4">
        <w:rPr>
          <w:i/>
          <w:iCs/>
        </w:rPr>
        <w:t>jhāna</w:t>
      </w:r>
      <w:proofErr w:type="spellEnd"/>
      <w:r>
        <w:t xml:space="preserve"> no llega</w:t>
      </w:r>
      <w:r w:rsidR="009E5730">
        <w:t>rá</w:t>
      </w:r>
      <w:r>
        <w:t xml:space="preserve"> a la absorción y </w:t>
      </w:r>
      <w:r w:rsidR="009E5730">
        <w:t>será</w:t>
      </w:r>
      <w:r>
        <w:t xml:space="preserve"> sólo </w:t>
      </w:r>
      <w:r w:rsidR="009E5730">
        <w:t xml:space="preserve">de </w:t>
      </w:r>
      <w:r>
        <w:t>acceso. [239] Ahora</w:t>
      </w:r>
      <w:r w:rsidR="007F41D6">
        <w:t xml:space="preserve"> bien</w:t>
      </w:r>
      <w:r>
        <w:t xml:space="preserve">, con un desarrollo especial, el </w:t>
      </w:r>
      <w:proofErr w:type="spellStart"/>
      <w:r w:rsidR="00057BF4" w:rsidRPr="00057BF4">
        <w:rPr>
          <w:i/>
          <w:iCs/>
        </w:rPr>
        <w:t>jhāna</w:t>
      </w:r>
      <w:proofErr w:type="spellEnd"/>
      <w:r w:rsidR="00011549">
        <w:t xml:space="preserve"> </w:t>
      </w:r>
      <w:r>
        <w:t xml:space="preserve">supramundano y el segundo y el cuarto </w:t>
      </w:r>
      <w:proofErr w:type="spellStart"/>
      <w:r w:rsidR="00057BF4" w:rsidRPr="00057BF4">
        <w:rPr>
          <w:i/>
          <w:iCs/>
        </w:rPr>
        <w:t>jhāna</w:t>
      </w:r>
      <w:proofErr w:type="spellEnd"/>
      <w:r>
        <w:t xml:space="preserve"> inmaterial alcanza</w:t>
      </w:r>
      <w:r w:rsidR="00E17C0A">
        <w:t>rá</w:t>
      </w:r>
      <w:r>
        <w:t xml:space="preserve">n la absorción incluso con respecto a los estados con esencias individuales. </w:t>
      </w:r>
      <w:r w:rsidR="001B3306">
        <w:t xml:space="preserve">Ya </w:t>
      </w:r>
      <w:r>
        <w:t>que lo supramundano alcanza</w:t>
      </w:r>
      <w:r w:rsidR="00167E68">
        <w:t>rá</w:t>
      </w:r>
      <w:r>
        <w:t xml:space="preserve"> la absorción por medio d</w:t>
      </w:r>
      <w:r w:rsidR="00167E68">
        <w:t>el desarrollo progresivo de</w:t>
      </w:r>
    </w:p>
    <w:p w14:paraId="745CEE0E" w14:textId="77777777" w:rsidR="00CF1A32" w:rsidRDefault="00CF1A32" w:rsidP="00CF1A32"/>
    <w:p w14:paraId="52AF6FE5" w14:textId="77777777" w:rsidR="00CF1A32" w:rsidRDefault="00CF1A32" w:rsidP="00CF1A32">
      <w:pPr>
        <w:pStyle w:val="Piedepgina"/>
        <w:rPr>
          <w:u w:val="single"/>
        </w:rPr>
      </w:pPr>
      <w:r>
        <w:rPr>
          <w:u w:val="single"/>
        </w:rPr>
        <w:t xml:space="preserve">                                                                                                                                                                          .</w:t>
      </w:r>
    </w:p>
    <w:p w14:paraId="0D05F78F" w14:textId="77777777" w:rsidR="00CF1A32" w:rsidRDefault="00CF1A32" w:rsidP="00CF1A32">
      <w:pPr>
        <w:pStyle w:val="PiedepginaLegal"/>
      </w:pPr>
      <w:r>
        <w:t xml:space="preserve">… </w:t>
      </w:r>
    </w:p>
    <w:p w14:paraId="37DCFCDF" w14:textId="68BCEC4E" w:rsidR="00CF1A32" w:rsidRDefault="00CF1A32" w:rsidP="00CF643C">
      <w:pPr>
        <w:pStyle w:val="PiedepginaLegal"/>
        <w:tabs>
          <w:tab w:val="clear" w:pos="6804"/>
        </w:tabs>
        <w:ind w:right="476"/>
      </w:pPr>
      <w:r>
        <w:tab/>
        <w:t>(</w:t>
      </w:r>
      <w:proofErr w:type="spellStart"/>
      <w:r w:rsidR="00057BF4" w:rsidRPr="00057BF4">
        <w:rPr>
          <w:i/>
          <w:iCs/>
        </w:rPr>
        <w:t>paññā</w:t>
      </w:r>
      <w:r w:rsidRPr="00011549">
        <w:rPr>
          <w:i/>
          <w:iCs/>
        </w:rPr>
        <w:t>petabba</w:t>
      </w:r>
      <w:proofErr w:type="spellEnd"/>
      <w:r>
        <w:t xml:space="preserve"> = habilidad para ser conceptualizado), pero no en el sentido de “dar a conocer” (</w:t>
      </w:r>
      <w:proofErr w:type="spellStart"/>
      <w:r w:rsidR="00057BF4" w:rsidRPr="00057BF4">
        <w:rPr>
          <w:i/>
          <w:iCs/>
        </w:rPr>
        <w:t>paññā</w:t>
      </w:r>
      <w:r w:rsidRPr="00011549">
        <w:rPr>
          <w:i/>
          <w:iCs/>
        </w:rPr>
        <w:t>pana</w:t>
      </w:r>
      <w:proofErr w:type="spellEnd"/>
      <w:r>
        <w:t xml:space="preserve">). Bajo el último </w:t>
      </w:r>
      <w:r w:rsidR="00375B92">
        <w:t>título</w:t>
      </w:r>
      <w:r>
        <w:t xml:space="preserve"> esto sería un “concepto de lo inexistente”. (2) </w:t>
      </w:r>
      <w:r w:rsidRPr="00A0757D">
        <w:rPr>
          <w:i/>
          <w:iCs/>
        </w:rPr>
        <w:t>Concepto aposicional</w:t>
      </w:r>
      <w:r>
        <w:t xml:space="preserve"> (</w:t>
      </w:r>
      <w:r w:rsidRPr="00011549">
        <w:rPr>
          <w:i/>
          <w:iCs/>
        </w:rPr>
        <w:t>upa-</w:t>
      </w:r>
      <w:proofErr w:type="spellStart"/>
      <w:r w:rsidRPr="00011549">
        <w:rPr>
          <w:i/>
          <w:iCs/>
        </w:rPr>
        <w:t>nidhā</w:t>
      </w:r>
      <w:proofErr w:type="spellEnd"/>
      <w:r>
        <w:t xml:space="preserve">-p.): se enumeran muchas variedades, </w:t>
      </w:r>
      <w:r w:rsidR="00F502E0">
        <w:t>es decir</w:t>
      </w:r>
      <w:r>
        <w:t xml:space="preserve">, aposición de referencia ("segundo" frente a "primer", "tercer" frente a "segundo", "largo" frente a "corto ”); aposición de lo que está en la mano (“paraguas en mano”, “cuchillo en mano”); aposición de asociación ("portador de aretes", "portador de moño", "portador de </w:t>
      </w:r>
      <w:r w:rsidR="003F50C4">
        <w:t>coronas</w:t>
      </w:r>
      <w:r>
        <w:t xml:space="preserve">"); aposición de contenidos ("vagón de maíz", "olla de </w:t>
      </w:r>
      <w:proofErr w:type="spellStart"/>
      <w:r w:rsidRPr="00011549">
        <w:rPr>
          <w:i/>
          <w:iCs/>
        </w:rPr>
        <w:t>ghee</w:t>
      </w:r>
      <w:proofErr w:type="spellEnd"/>
      <w:r>
        <w:t xml:space="preserve">"); aposición de proximidad ("Cueva </w:t>
      </w:r>
      <w:proofErr w:type="spellStart"/>
      <w:r>
        <w:t>Indasālā</w:t>
      </w:r>
      <w:proofErr w:type="spellEnd"/>
      <w:r>
        <w:t xml:space="preserve">", "Cueva </w:t>
      </w:r>
      <w:proofErr w:type="spellStart"/>
      <w:r>
        <w:t>Piyaṅgu</w:t>
      </w:r>
      <w:proofErr w:type="spellEnd"/>
      <w:r>
        <w:t>"); aposición de comparación (“color dorado”, “con paso de toro”); aposición de mayoría (“</w:t>
      </w:r>
      <w:r w:rsidR="006968A0">
        <w:t xml:space="preserve">Aldea </w:t>
      </w:r>
      <w:proofErr w:type="spellStart"/>
      <w:r w:rsidRPr="00011549">
        <w:rPr>
          <w:i/>
          <w:iCs/>
        </w:rPr>
        <w:t>Padumassara-brahm</w:t>
      </w:r>
      <w:r>
        <w:t>an</w:t>
      </w:r>
      <w:proofErr w:type="spellEnd"/>
      <w:r>
        <w:t>”); aposición de distinción (“anillo de diamantes”); y así. (3) Concepto colectivo (</w:t>
      </w:r>
      <w:proofErr w:type="spellStart"/>
      <w:r w:rsidRPr="00011549">
        <w:rPr>
          <w:i/>
          <w:iCs/>
        </w:rPr>
        <w:t>samodhāna</w:t>
      </w:r>
      <w:proofErr w:type="spellEnd"/>
      <w:r>
        <w:t>-p.), p. ej., “ocho patas”, “montón de riquezas”. (4) Concepto aditivo (</w:t>
      </w:r>
      <w:proofErr w:type="spellStart"/>
      <w:r w:rsidRPr="00011549">
        <w:rPr>
          <w:i/>
          <w:iCs/>
        </w:rPr>
        <w:t>upanikkhittap</w:t>
      </w:r>
      <w:proofErr w:type="spellEnd"/>
      <w:r>
        <w:t>.), ej. "uno dos tres." (5) Concepto verosímil (</w:t>
      </w:r>
      <w:proofErr w:type="spellStart"/>
      <w:r w:rsidRPr="00011549">
        <w:rPr>
          <w:i/>
          <w:iCs/>
        </w:rPr>
        <w:t>tajjā</w:t>
      </w:r>
      <w:proofErr w:type="spellEnd"/>
      <w:r>
        <w:t xml:space="preserve">-p.): se refiere a la esencia individual de un </w:t>
      </w:r>
      <w:r w:rsidR="00057BF4" w:rsidRPr="00057BF4">
        <w:rPr>
          <w:i/>
        </w:rPr>
        <w:t>Dhamma</w:t>
      </w:r>
      <w:r>
        <w:t xml:space="preserve"> dado, p. “tierra”, “fuego”, “dureza”, “calor”. (6) Concepto de continuidad (</w:t>
      </w:r>
      <w:proofErr w:type="spellStart"/>
      <w:r w:rsidRPr="00011549">
        <w:rPr>
          <w:i/>
          <w:iCs/>
        </w:rPr>
        <w:t>santati</w:t>
      </w:r>
      <w:proofErr w:type="spellEnd"/>
      <w:r>
        <w:t>-p.): se refiere a la duración de la continuidad de la vida, p. “octogenario”, “nonagenario”.</w:t>
      </w:r>
    </w:p>
    <w:p w14:paraId="33DDB6B4" w14:textId="1AE10A04" w:rsidR="00CF1A32" w:rsidRDefault="00CF1A32" w:rsidP="00CF643C">
      <w:pPr>
        <w:pStyle w:val="PiedepginaLegal"/>
        <w:tabs>
          <w:tab w:val="clear" w:pos="6804"/>
        </w:tabs>
        <w:ind w:right="476"/>
      </w:pPr>
      <w:r>
        <w:tab/>
      </w:r>
      <w:r>
        <w:tab/>
        <w:t xml:space="preserve">En el segundo conjunto </w:t>
      </w:r>
      <w:r w:rsidR="009476DC">
        <w:t>existe</w:t>
      </w:r>
      <w:r>
        <w:t xml:space="preserve">: (i) </w:t>
      </w:r>
      <w:r w:rsidR="009476DC">
        <w:t xml:space="preserve">el </w:t>
      </w:r>
      <w:r w:rsidRPr="00011549">
        <w:rPr>
          <w:i/>
          <w:iCs/>
        </w:rPr>
        <w:t>Concepto según</w:t>
      </w:r>
      <w:r w:rsidR="009476DC">
        <w:rPr>
          <w:i/>
          <w:iCs/>
        </w:rPr>
        <w:t xml:space="preserve"> la</w:t>
      </w:r>
      <w:r w:rsidRPr="00011549">
        <w:rPr>
          <w:i/>
          <w:iCs/>
        </w:rPr>
        <w:t xml:space="preserve"> función</w:t>
      </w:r>
      <w:r>
        <w:t xml:space="preserve"> (</w:t>
      </w:r>
      <w:proofErr w:type="spellStart"/>
      <w:r w:rsidRPr="00011549">
        <w:rPr>
          <w:i/>
          <w:iCs/>
        </w:rPr>
        <w:t>kicca</w:t>
      </w:r>
      <w:proofErr w:type="spellEnd"/>
      <w:r>
        <w:t xml:space="preserve">-p.), p. “predicador”, “expositor del </w:t>
      </w:r>
      <w:r w:rsidR="00057BF4" w:rsidRPr="00057BF4">
        <w:rPr>
          <w:i/>
        </w:rPr>
        <w:t>Dhamma</w:t>
      </w:r>
      <w:r>
        <w:t>”. (</w:t>
      </w:r>
      <w:proofErr w:type="spellStart"/>
      <w:r>
        <w:t>ii</w:t>
      </w:r>
      <w:proofErr w:type="spellEnd"/>
      <w:r>
        <w:t xml:space="preserve">) </w:t>
      </w:r>
      <w:r w:rsidR="009476DC">
        <w:t xml:space="preserve">el </w:t>
      </w:r>
      <w:r w:rsidRPr="00011549">
        <w:rPr>
          <w:i/>
          <w:iCs/>
        </w:rPr>
        <w:t>Concepto según la forma</w:t>
      </w:r>
      <w:r>
        <w:t xml:space="preserve"> (</w:t>
      </w:r>
      <w:proofErr w:type="spellStart"/>
      <w:r w:rsidRPr="00011549">
        <w:rPr>
          <w:i/>
          <w:iCs/>
        </w:rPr>
        <w:t>saṇṭhāna</w:t>
      </w:r>
      <w:proofErr w:type="spellEnd"/>
      <w:r>
        <w:t>-p.), p. "delgado", "fuerte", "redondo", "cuadrado". (</w:t>
      </w:r>
      <w:proofErr w:type="spellStart"/>
      <w:r>
        <w:t>iii</w:t>
      </w:r>
      <w:proofErr w:type="spellEnd"/>
      <w:r>
        <w:t xml:space="preserve">) </w:t>
      </w:r>
      <w:r w:rsidR="009476DC">
        <w:t xml:space="preserve">el </w:t>
      </w:r>
      <w:r w:rsidRPr="00011549">
        <w:rPr>
          <w:i/>
          <w:iCs/>
        </w:rPr>
        <w:t>Concepto según el género</w:t>
      </w:r>
      <w:r>
        <w:t xml:space="preserve"> (</w:t>
      </w:r>
      <w:proofErr w:type="spellStart"/>
      <w:r w:rsidRPr="00011549">
        <w:rPr>
          <w:i/>
          <w:iCs/>
        </w:rPr>
        <w:t>liṅga</w:t>
      </w:r>
      <w:proofErr w:type="spellEnd"/>
      <w:r>
        <w:t>-p.), p. "Mujer hombre." (</w:t>
      </w:r>
      <w:proofErr w:type="spellStart"/>
      <w:r>
        <w:t>iv</w:t>
      </w:r>
      <w:proofErr w:type="spellEnd"/>
      <w:r>
        <w:t xml:space="preserve">) </w:t>
      </w:r>
      <w:r w:rsidR="009476DC">
        <w:t xml:space="preserve">el </w:t>
      </w:r>
      <w:r w:rsidRPr="00011549">
        <w:rPr>
          <w:i/>
          <w:iCs/>
        </w:rPr>
        <w:t>Concepto según la ubicación</w:t>
      </w:r>
      <w:r>
        <w:t xml:space="preserve"> (</w:t>
      </w:r>
      <w:proofErr w:type="spellStart"/>
      <w:r w:rsidRPr="00011549">
        <w:rPr>
          <w:i/>
          <w:iCs/>
        </w:rPr>
        <w:t>bhūmi</w:t>
      </w:r>
      <w:proofErr w:type="spellEnd"/>
      <w:r>
        <w:t>-p.), p. “de la esfera de los sentidos”, “</w:t>
      </w:r>
      <w:proofErr w:type="spellStart"/>
      <w:r>
        <w:t>Kosalan</w:t>
      </w:r>
      <w:proofErr w:type="spellEnd"/>
      <w:r>
        <w:t xml:space="preserve">”. (v) </w:t>
      </w:r>
      <w:r w:rsidR="009476DC">
        <w:t xml:space="preserve">el </w:t>
      </w:r>
      <w:r w:rsidRPr="00011549">
        <w:rPr>
          <w:i/>
          <w:iCs/>
        </w:rPr>
        <w:t>Concepto como nombre propio</w:t>
      </w:r>
      <w:r>
        <w:t xml:space="preserve"> (</w:t>
      </w:r>
      <w:proofErr w:type="spellStart"/>
      <w:r w:rsidRPr="00011549">
        <w:rPr>
          <w:i/>
          <w:iCs/>
        </w:rPr>
        <w:t>paccatta</w:t>
      </w:r>
      <w:proofErr w:type="spellEnd"/>
      <w:r>
        <w:t>-p.), ej. “</w:t>
      </w:r>
      <w:proofErr w:type="spellStart"/>
      <w:r w:rsidRPr="00011549">
        <w:rPr>
          <w:i/>
          <w:iCs/>
        </w:rPr>
        <w:t>Tissa</w:t>
      </w:r>
      <w:proofErr w:type="spellEnd"/>
      <w:r>
        <w:t>”, “</w:t>
      </w:r>
      <w:proofErr w:type="spellStart"/>
      <w:r w:rsidRPr="00011549">
        <w:rPr>
          <w:i/>
          <w:iCs/>
        </w:rPr>
        <w:t>Nāga</w:t>
      </w:r>
      <w:proofErr w:type="spellEnd"/>
      <w:r>
        <w:t>”, “</w:t>
      </w:r>
      <w:proofErr w:type="spellStart"/>
      <w:r w:rsidRPr="00011549">
        <w:rPr>
          <w:i/>
          <w:iCs/>
        </w:rPr>
        <w:t>Sumana</w:t>
      </w:r>
      <w:proofErr w:type="spellEnd"/>
      <w:r>
        <w:t>”, que da</w:t>
      </w:r>
      <w:r w:rsidR="00FA425E">
        <w:t>n</w:t>
      </w:r>
      <w:r>
        <w:t xml:space="preserve"> a conocer (apelaciones) por mera creación de nombres. (vi) </w:t>
      </w:r>
      <w:r w:rsidR="00FA425E">
        <w:t xml:space="preserve">el </w:t>
      </w:r>
      <w:r w:rsidRPr="00FA425E">
        <w:rPr>
          <w:i/>
          <w:iCs/>
        </w:rPr>
        <w:t>Concepto de lo informe</w:t>
      </w:r>
      <w:r>
        <w:t xml:space="preserve"> (</w:t>
      </w:r>
      <w:proofErr w:type="spellStart"/>
      <w:r w:rsidRPr="00011549">
        <w:rPr>
          <w:i/>
          <w:iCs/>
        </w:rPr>
        <w:t>asaṅkhata-paññatti</w:t>
      </w:r>
      <w:proofErr w:type="spellEnd"/>
      <w:r>
        <w:t>), p. “cesación”, “</w:t>
      </w:r>
      <w:r w:rsidRPr="00011549">
        <w:rPr>
          <w:i/>
          <w:iCs/>
        </w:rPr>
        <w:t>Nibbāna</w:t>
      </w:r>
      <w:r>
        <w:t xml:space="preserve">”, etc., que dan a conocer el </w:t>
      </w:r>
      <w:r w:rsidR="00057BF4" w:rsidRPr="00057BF4">
        <w:rPr>
          <w:i/>
        </w:rPr>
        <w:t>Dhamma</w:t>
      </w:r>
      <w:r>
        <w:t xml:space="preserve"> no formado, un concepto existente. (Del comentario </w:t>
      </w:r>
      <w:proofErr w:type="spellStart"/>
      <w:r w:rsidRPr="00011549">
        <w:rPr>
          <w:i/>
          <w:iCs/>
        </w:rPr>
        <w:t>Puggalapaññatti</w:t>
      </w:r>
      <w:proofErr w:type="spellEnd"/>
      <w:r>
        <w:t xml:space="preserve">, condensado; véase también </w:t>
      </w:r>
      <w:proofErr w:type="spellStart"/>
      <w:r>
        <w:t>Dhs</w:t>
      </w:r>
      <w:proofErr w:type="spellEnd"/>
      <w:r>
        <w:t>-a 390f.)</w:t>
      </w:r>
    </w:p>
    <w:p w14:paraId="5BB6DA00" w14:textId="6B124481" w:rsidR="00CF1A32" w:rsidRDefault="00CF1A32" w:rsidP="00CF643C">
      <w:pPr>
        <w:pStyle w:val="PiedepginaLegal"/>
        <w:tabs>
          <w:tab w:val="clear" w:pos="6804"/>
        </w:tabs>
        <w:ind w:right="476"/>
      </w:pPr>
      <w:r>
        <w:tab/>
      </w:r>
      <w:r>
        <w:tab/>
        <w:t xml:space="preserve">Todo esto muestra que la palabra </w:t>
      </w:r>
      <w:proofErr w:type="spellStart"/>
      <w:r w:rsidRPr="00011549">
        <w:rPr>
          <w:i/>
          <w:iCs/>
        </w:rPr>
        <w:t>paññatti</w:t>
      </w:r>
      <w:proofErr w:type="spellEnd"/>
      <w:r>
        <w:t xml:space="preserve"> lleva los significados de denominación o concepto o ambos juntos, y que ninguna palabra en inglés </w:t>
      </w:r>
      <w:r w:rsidR="00264483" w:rsidRPr="00264483">
        <w:t>[</w:t>
      </w:r>
      <w:r w:rsidR="00264483">
        <w:t>aquí, en español</w:t>
      </w:r>
      <w:r w:rsidR="00264483" w:rsidRPr="00264483">
        <w:t>]</w:t>
      </w:r>
      <w:r w:rsidR="00264483">
        <w:t xml:space="preserve"> </w:t>
      </w:r>
      <w:r>
        <w:t>corresponde exactamente.</w:t>
      </w:r>
    </w:p>
    <w:p w14:paraId="0A81AA73" w14:textId="57A4621E" w:rsidR="00CF1A32" w:rsidRDefault="00CF1A32" w:rsidP="00CF643C">
      <w:pPr>
        <w:pStyle w:val="PiedepginaLegal"/>
        <w:tabs>
          <w:tab w:val="clear" w:pos="6804"/>
        </w:tabs>
        <w:ind w:right="476"/>
      </w:pPr>
      <w:r>
        <w:t xml:space="preserve">12. </w:t>
      </w:r>
      <w:r>
        <w:tab/>
        <w:t xml:space="preserve">“‘Pero dado que el objeto se enuncia con esencias individuales’: la ruptura de los estados con esencias individuales, su destrucción, su </w:t>
      </w:r>
      <w:r w:rsidR="005766D8">
        <w:t>desaparición</w:t>
      </w:r>
      <w:r>
        <w:t>, todo e</w:t>
      </w:r>
      <w:r w:rsidR="00191DDF">
        <w:t>ll</w:t>
      </w:r>
      <w:r>
        <w:t xml:space="preserve">o tiene que ver solo con </w:t>
      </w:r>
      <w:r w:rsidR="00425364">
        <w:t xml:space="preserve">los </w:t>
      </w:r>
      <w:r>
        <w:t xml:space="preserve">estados con esencias individuales. Por lo tanto, el </w:t>
      </w:r>
      <w:r w:rsidR="005766D8" w:rsidRPr="005766D8">
        <w:rPr>
          <w:i/>
          <w:iCs/>
        </w:rPr>
        <w:t>Bhagavā</w:t>
      </w:r>
      <w:r w:rsidR="005766D8">
        <w:t xml:space="preserve"> </w:t>
      </w:r>
      <w:r>
        <w:t>dijo: '</w:t>
      </w:r>
      <w:proofErr w:type="spellStart"/>
      <w:r w:rsidR="00057BF4" w:rsidRPr="00057BF4">
        <w:rPr>
          <w:i/>
        </w:rPr>
        <w:t>Bhikkhu</w:t>
      </w:r>
      <w:r>
        <w:t>s</w:t>
      </w:r>
      <w:proofErr w:type="spellEnd"/>
      <w:r>
        <w:t xml:space="preserve">, el envejecimiento y la muerte son impermanentes, formados, surgidos de manera dependiente' (S II 26). … Si no </w:t>
      </w:r>
      <w:r w:rsidR="005766D8">
        <w:t xml:space="preserve">se </w:t>
      </w:r>
      <w:r>
        <w:t>puede alcanzar la absorción debido a [</w:t>
      </w:r>
      <w:r w:rsidR="00611A4E">
        <w:t xml:space="preserve">que </w:t>
      </w:r>
      <w:r w:rsidR="00191DDF">
        <w:t>es</w:t>
      </w:r>
      <w:r w:rsidR="0005282E">
        <w:t xml:space="preserve"> su objeto</w:t>
      </w:r>
      <w:r>
        <w:t xml:space="preserve">] </w:t>
      </w:r>
      <w:r w:rsidR="00B33AB9">
        <w:t xml:space="preserve">los </w:t>
      </w:r>
      <w:r>
        <w:t>estados con esencias individuales, entonces, ¿qué pasa</w:t>
      </w:r>
      <w:r w:rsidR="00191DDF">
        <w:t>ría</w:t>
      </w:r>
      <w:r>
        <w:t xml:space="preserve"> con las </w:t>
      </w:r>
      <w:proofErr w:type="spellStart"/>
      <w:r w:rsidR="00057BF4" w:rsidRPr="00057BF4">
        <w:rPr>
          <w:i/>
          <w:iCs/>
        </w:rPr>
        <w:t>jhāna</w:t>
      </w:r>
      <w:r w:rsidRPr="00011549">
        <w:rPr>
          <w:i/>
          <w:iCs/>
        </w:rPr>
        <w:t>s</w:t>
      </w:r>
      <w:proofErr w:type="spellEnd"/>
      <w:r>
        <w:t xml:space="preserve"> supramundan</w:t>
      </w:r>
      <w:r w:rsidR="00191DDF">
        <w:t>o</w:t>
      </w:r>
      <w:r>
        <w:t>s y algun</w:t>
      </w:r>
      <w:r w:rsidR="00191DDF">
        <w:t>o</w:t>
      </w:r>
      <w:r>
        <w:t>s de l</w:t>
      </w:r>
      <w:r w:rsidR="00191DDF">
        <w:t>o</w:t>
      </w:r>
      <w:r>
        <w:t xml:space="preserve">s </w:t>
      </w:r>
      <w:proofErr w:type="spellStart"/>
      <w:r w:rsidR="00057BF4" w:rsidRPr="00057BF4">
        <w:rPr>
          <w:i/>
          <w:iCs/>
        </w:rPr>
        <w:t>jhāna</w:t>
      </w:r>
      <w:r w:rsidRPr="00011549">
        <w:rPr>
          <w:i/>
          <w:iCs/>
        </w:rPr>
        <w:t>s</w:t>
      </w:r>
      <w:proofErr w:type="spellEnd"/>
      <w:r>
        <w:t xml:space="preserve"> inmateriales? </w:t>
      </w:r>
      <w:r w:rsidRPr="001C4B44">
        <w:rPr>
          <w:color w:val="1F3864" w:themeColor="accent1" w:themeShade="80"/>
        </w:rPr>
        <w:t xml:space="preserve">Fue para responder a esto que </w:t>
      </w:r>
      <w:r w:rsidR="009D774F" w:rsidRPr="001C4B44">
        <w:rPr>
          <w:color w:val="1F3864" w:themeColor="accent1" w:themeShade="80"/>
        </w:rPr>
        <w:t xml:space="preserve">él </w:t>
      </w:r>
      <w:r w:rsidRPr="001C4B44">
        <w:rPr>
          <w:color w:val="1F3864" w:themeColor="accent1" w:themeShade="80"/>
        </w:rPr>
        <w:t xml:space="preserve">dijo ‘ahora con especial desarrollo el </w:t>
      </w:r>
      <w:proofErr w:type="spellStart"/>
      <w:r w:rsidR="00057BF4" w:rsidRPr="001C4B44">
        <w:rPr>
          <w:i/>
          <w:iCs/>
          <w:color w:val="1F3864" w:themeColor="accent1" w:themeShade="80"/>
        </w:rPr>
        <w:t>jhāna</w:t>
      </w:r>
      <w:proofErr w:type="spellEnd"/>
      <w:r w:rsidRPr="001C4B44">
        <w:rPr>
          <w:color w:val="1F3864" w:themeColor="accent1" w:themeShade="80"/>
        </w:rPr>
        <w:t xml:space="preserve"> supramundano’ y así sucesivamente</w:t>
      </w:r>
      <w:r>
        <w:t>” (</w:t>
      </w:r>
      <w:proofErr w:type="spellStart"/>
      <w:r>
        <w:t>Vism-mhṭ</w:t>
      </w:r>
      <w:proofErr w:type="spellEnd"/>
      <w:r>
        <w:t xml:space="preserve"> 243). </w:t>
      </w:r>
      <w:r w:rsidR="009D774F">
        <w:t xml:space="preserve">El </w:t>
      </w:r>
      <w:proofErr w:type="spellStart"/>
      <w:r w:rsidR="00057BF4" w:rsidRPr="00057BF4">
        <w:rPr>
          <w:i/>
          <w:iCs/>
        </w:rPr>
        <w:t>Kasiṇa</w:t>
      </w:r>
      <w:proofErr w:type="spellEnd"/>
      <w:r>
        <w:t xml:space="preserve"> </w:t>
      </w:r>
      <w:proofErr w:type="spellStart"/>
      <w:r w:rsidR="00057BF4" w:rsidRPr="00057BF4">
        <w:rPr>
          <w:i/>
          <w:iCs/>
        </w:rPr>
        <w:t>jhāna</w:t>
      </w:r>
      <w:proofErr w:type="spellEnd"/>
      <w:r>
        <w:t>, por ejemplo, tiene un concepto (</w:t>
      </w:r>
      <w:proofErr w:type="spellStart"/>
      <w:r w:rsidRPr="00011549">
        <w:rPr>
          <w:i/>
          <w:iCs/>
        </w:rPr>
        <w:t>paññatti</w:t>
      </w:r>
      <w:proofErr w:type="spellEnd"/>
      <w:r>
        <w:t xml:space="preserve">) como su objeto (IV.29) y un concepto es un </w:t>
      </w:r>
      <w:r w:rsidR="00057BF4" w:rsidRPr="00057BF4">
        <w:rPr>
          <w:i/>
        </w:rPr>
        <w:t>Dhamma</w:t>
      </w:r>
      <w:r>
        <w:t xml:space="preserve"> sin esencia individual (</w:t>
      </w:r>
      <w:proofErr w:type="spellStart"/>
      <w:r w:rsidRPr="00011549">
        <w:rPr>
          <w:i/>
          <w:iCs/>
        </w:rPr>
        <w:t>asabhāva</w:t>
      </w:r>
      <w:proofErr w:type="spellEnd"/>
      <w:r>
        <w:t>-</w:t>
      </w:r>
      <w:r w:rsidR="00057BF4" w:rsidRPr="00057BF4">
        <w:rPr>
          <w:i/>
          <w:iCs/>
        </w:rPr>
        <w:t>Dhamma</w:t>
      </w:r>
      <w:r>
        <w:t>).</w:t>
      </w:r>
    </w:p>
    <w:p w14:paraId="14ADFA67" w14:textId="77777777" w:rsidR="00263D4B" w:rsidRDefault="00263D4B">
      <w:pPr>
        <w:tabs>
          <w:tab w:val="clear" w:pos="425"/>
        </w:tabs>
        <w:spacing w:after="160"/>
      </w:pPr>
      <w:r>
        <w:br w:type="page"/>
      </w:r>
    </w:p>
    <w:p w14:paraId="57428AFC" w14:textId="77777777" w:rsidR="00263D4B" w:rsidRDefault="00263D4B" w:rsidP="00CF1A32"/>
    <w:p w14:paraId="16457E7E" w14:textId="3B6662E8" w:rsidR="00263D4B" w:rsidRDefault="00263D4B" w:rsidP="00263D4B">
      <w:r>
        <w:t>la purificación y l</w:t>
      </w:r>
      <w:r w:rsidR="00167E68">
        <w:t>o</w:t>
      </w:r>
      <w:r>
        <w:t xml:space="preserve">s </w:t>
      </w:r>
      <w:proofErr w:type="spellStart"/>
      <w:r w:rsidR="00057BF4" w:rsidRPr="00057BF4">
        <w:rPr>
          <w:i/>
          <w:iCs/>
        </w:rPr>
        <w:t>jhāna</w:t>
      </w:r>
      <w:r w:rsidRPr="00011549">
        <w:rPr>
          <w:i/>
          <w:iCs/>
        </w:rPr>
        <w:t>s</w:t>
      </w:r>
      <w:proofErr w:type="spellEnd"/>
      <w:r>
        <w:t xml:space="preserve"> inmateriales lo ha</w:t>
      </w:r>
      <w:r w:rsidR="00167E68">
        <w:t>rá</w:t>
      </w:r>
      <w:r>
        <w:t xml:space="preserve">n por medio de un desarrollo que </w:t>
      </w:r>
      <w:proofErr w:type="gramStart"/>
      <w:r>
        <w:t>consist</w:t>
      </w:r>
      <w:r w:rsidR="00167E68">
        <w:t>irá</w:t>
      </w:r>
      <w:r>
        <w:t xml:space="preserve"> </w:t>
      </w:r>
      <w:r w:rsidR="001B3306">
        <w:t>de</w:t>
      </w:r>
      <w:proofErr w:type="gramEnd"/>
      <w:r>
        <w:t xml:space="preserve"> la superación del objeto (ver Cap. X)</w:t>
      </w:r>
      <w:r w:rsidR="001B3306">
        <w:t>,</w:t>
      </w:r>
      <w:r>
        <w:t xml:space="preserve"> ya que allí [en es</w:t>
      </w:r>
      <w:r w:rsidR="001B3306">
        <w:t>o</w:t>
      </w:r>
      <w:r>
        <w:t xml:space="preserve">s dos </w:t>
      </w:r>
      <w:proofErr w:type="spellStart"/>
      <w:r w:rsidR="00057BF4" w:rsidRPr="00057BF4">
        <w:rPr>
          <w:i/>
          <w:iCs/>
        </w:rPr>
        <w:t>jhāna</w:t>
      </w:r>
      <w:r w:rsidRPr="00011549">
        <w:rPr>
          <w:i/>
          <w:iCs/>
        </w:rPr>
        <w:t>s</w:t>
      </w:r>
      <w:proofErr w:type="spellEnd"/>
      <w:r>
        <w:t xml:space="preserve"> inmateriales] ha</w:t>
      </w:r>
      <w:r w:rsidR="00255E51">
        <w:t>brá</w:t>
      </w:r>
      <w:r>
        <w:t xml:space="preserve"> </w:t>
      </w:r>
      <w:r w:rsidR="00312812">
        <w:t>simple</w:t>
      </w:r>
      <w:r>
        <w:t>mente la superación del objeto de</w:t>
      </w:r>
      <w:r w:rsidR="00255E51">
        <w:t>l</w:t>
      </w:r>
      <w:r>
        <w:t xml:space="preserve"> </w:t>
      </w:r>
      <w:proofErr w:type="spellStart"/>
      <w:r w:rsidR="00057BF4" w:rsidRPr="00057BF4">
        <w:rPr>
          <w:i/>
          <w:iCs/>
        </w:rPr>
        <w:t>jhāna</w:t>
      </w:r>
      <w:proofErr w:type="spellEnd"/>
      <w:r>
        <w:t xml:space="preserve"> que ya hab</w:t>
      </w:r>
      <w:r w:rsidR="00255E51">
        <w:t>r</w:t>
      </w:r>
      <w:r>
        <w:t>ía alcanz</w:t>
      </w:r>
      <w:r w:rsidR="00255E51">
        <w:t>ado</w:t>
      </w:r>
      <w:r>
        <w:t xml:space="preserve"> la absorción. Pero aquí [en la </w:t>
      </w:r>
      <w:r w:rsidR="00305E12">
        <w:t>consciencia</w:t>
      </w:r>
      <w:r>
        <w:t xml:space="preserve"> mundana </w:t>
      </w:r>
      <w:r w:rsidR="00312812">
        <w:t xml:space="preserve">sobre </w:t>
      </w:r>
      <w:r>
        <w:t>la muerte] no ha</w:t>
      </w:r>
      <w:r w:rsidR="00312812">
        <w:t>brá</w:t>
      </w:r>
      <w:r>
        <w:t xml:space="preserve"> </w:t>
      </w:r>
      <w:r w:rsidR="00E24713">
        <w:t>ninguna absorción</w:t>
      </w:r>
      <w:r>
        <w:t xml:space="preserve">, así que el </w:t>
      </w:r>
      <w:proofErr w:type="spellStart"/>
      <w:r w:rsidR="00057BF4" w:rsidRPr="00057BF4">
        <w:rPr>
          <w:i/>
          <w:iCs/>
        </w:rPr>
        <w:t>jhāna</w:t>
      </w:r>
      <w:proofErr w:type="spellEnd"/>
      <w:r>
        <w:t xml:space="preserve"> solo alcanza</w:t>
      </w:r>
      <w:r w:rsidR="002C01F0">
        <w:t>rá</w:t>
      </w:r>
      <w:r>
        <w:t xml:space="preserve"> el acceso. Y ese acceso también se conoce</w:t>
      </w:r>
      <w:r w:rsidR="002C01F0">
        <w:t>rá</w:t>
      </w:r>
      <w:r>
        <w:t xml:space="preserve"> como "atención plena </w:t>
      </w:r>
      <w:r w:rsidR="002C01F0">
        <w:t>sobre</w:t>
      </w:r>
      <w:r>
        <w:t xml:space="preserve"> la muerte", ya que surg</w:t>
      </w:r>
      <w:r w:rsidR="002C01F0">
        <w:t>irá</w:t>
      </w:r>
      <w:r>
        <w:t xml:space="preserve"> a través de </w:t>
      </w:r>
      <w:r w:rsidR="009C71BE">
        <w:t>estos</w:t>
      </w:r>
      <w:r>
        <w:t xml:space="preserve"> medios.</w:t>
      </w:r>
    </w:p>
    <w:p w14:paraId="03125F26" w14:textId="1A85F1AA" w:rsidR="00263D4B" w:rsidRDefault="00263D4B" w:rsidP="00263D4B">
      <w:r>
        <w:t xml:space="preserve">41. </w:t>
      </w:r>
      <w:r>
        <w:tab/>
        <w:t xml:space="preserve">Un </w:t>
      </w:r>
      <w:proofErr w:type="spellStart"/>
      <w:r w:rsidR="00057BF4" w:rsidRPr="00057BF4">
        <w:rPr>
          <w:i/>
          <w:iCs/>
        </w:rPr>
        <w:t>bhikkhu</w:t>
      </w:r>
      <w:proofErr w:type="spellEnd"/>
      <w:r>
        <w:t xml:space="preserve"> dedicado a la atención plena </w:t>
      </w:r>
      <w:r w:rsidR="00DE248D">
        <w:t xml:space="preserve">sobre </w:t>
      </w:r>
      <w:r>
        <w:t xml:space="preserve">la muerte </w:t>
      </w:r>
      <w:r w:rsidR="00DE248D">
        <w:t>será</w:t>
      </w:r>
      <w:r>
        <w:t xml:space="preserve"> constantemente diligente. Adquir</w:t>
      </w:r>
      <w:r w:rsidR="00E24713">
        <w:t>irá</w:t>
      </w:r>
      <w:r>
        <w:t xml:space="preserve"> la percepción del desencanto </w:t>
      </w:r>
      <w:r w:rsidR="00DE248D">
        <w:t>hacia</w:t>
      </w:r>
      <w:r>
        <w:t xml:space="preserve"> todo tipo de devenir (existencia). Conquista</w:t>
      </w:r>
      <w:r w:rsidR="00DE248D">
        <w:t>rá</w:t>
      </w:r>
      <w:r>
        <w:t xml:space="preserve"> el apego </w:t>
      </w:r>
      <w:r w:rsidR="00DE248D">
        <w:t>hacia</w:t>
      </w:r>
      <w:r>
        <w:t xml:space="preserve"> la vida. Él condena</w:t>
      </w:r>
      <w:r w:rsidR="00DE248D">
        <w:t>rá</w:t>
      </w:r>
      <w:r>
        <w:t xml:space="preserve"> el mal. Evita</w:t>
      </w:r>
      <w:r w:rsidR="006F725C">
        <w:t>rá</w:t>
      </w:r>
      <w:r>
        <w:t xml:space="preserve"> mucho almacenar. No </w:t>
      </w:r>
      <w:r w:rsidR="006F725C">
        <w:t xml:space="preserve">poseerá las </w:t>
      </w:r>
      <w:r>
        <w:t>mancha</w:t>
      </w:r>
      <w:r w:rsidR="006F725C">
        <w:t>s</w:t>
      </w:r>
      <w:r>
        <w:t xml:space="preserve"> de </w:t>
      </w:r>
      <w:r w:rsidR="006F725C">
        <w:t xml:space="preserve">la </w:t>
      </w:r>
      <w:r>
        <w:t>avaricia sobre los requisitos. Crece</w:t>
      </w:r>
      <w:r w:rsidR="006F725C">
        <w:t>rá</w:t>
      </w:r>
      <w:r>
        <w:t xml:space="preserve"> en él la </w:t>
      </w:r>
      <w:r w:rsidR="003F312B">
        <w:t xml:space="preserve">apreciación </w:t>
      </w:r>
      <w:r>
        <w:t>de la impermanencia, seguida de la cual aparece</w:t>
      </w:r>
      <w:r w:rsidR="006F725C">
        <w:t>rá</w:t>
      </w:r>
      <w:r>
        <w:t xml:space="preserve"> </w:t>
      </w:r>
      <w:r w:rsidR="003F312B">
        <w:t xml:space="preserve">la apreciación de la insatisfactoriedad </w:t>
      </w:r>
      <w:r>
        <w:t>y del no-</w:t>
      </w:r>
      <w:r w:rsidR="003F312B">
        <w:t>alma</w:t>
      </w:r>
      <w:r>
        <w:t xml:space="preserve">. </w:t>
      </w:r>
      <w:r w:rsidR="009C6E89">
        <w:t xml:space="preserve">No obstante, </w:t>
      </w:r>
      <w:r>
        <w:t xml:space="preserve">mientras que </w:t>
      </w:r>
      <w:r w:rsidR="009C6E89">
        <w:t xml:space="preserve">por un lado </w:t>
      </w:r>
      <w:r>
        <w:t xml:space="preserve">los seres </w:t>
      </w:r>
      <w:r w:rsidR="00784326">
        <w:t xml:space="preserve">que </w:t>
      </w:r>
      <w:r>
        <w:t>no ha</w:t>
      </w:r>
      <w:r w:rsidR="002411B5">
        <w:t>ya</w:t>
      </w:r>
      <w:r>
        <w:t xml:space="preserve">n desarrollado la atención plena </w:t>
      </w:r>
      <w:r w:rsidR="00A303D5">
        <w:t>sobre</w:t>
      </w:r>
      <w:r>
        <w:t xml:space="preserve"> la muerte ca</w:t>
      </w:r>
      <w:r w:rsidR="009C6E89">
        <w:t>e</w:t>
      </w:r>
      <w:r w:rsidR="002411B5">
        <w:t>rá</w:t>
      </w:r>
      <w:r w:rsidR="009C6E89">
        <w:t>n</w:t>
      </w:r>
      <w:r>
        <w:t xml:space="preserve"> víctimas del miedo, el horror y la confusión en el momento de la muerte, como si de repente fueran apresados ​​por bestias salvajes, espíritus, serpientes, ladrones o asesinos, </w:t>
      </w:r>
      <w:r w:rsidR="00784326">
        <w:t xml:space="preserve">por </w:t>
      </w:r>
      <w:r w:rsidR="009C6E89">
        <w:t xml:space="preserve">otro </w:t>
      </w:r>
      <w:r w:rsidR="00784326">
        <w:t>lado</w:t>
      </w:r>
      <w:r w:rsidR="009C6E89">
        <w:t>,</w:t>
      </w:r>
      <w:r w:rsidR="00784326">
        <w:t xml:space="preserve"> </w:t>
      </w:r>
      <w:r>
        <w:t>él m</w:t>
      </w:r>
      <w:r w:rsidR="009C6E89">
        <w:t>o</w:t>
      </w:r>
      <w:r>
        <w:t>r</w:t>
      </w:r>
      <w:r w:rsidR="009C6E89">
        <w:t>irá</w:t>
      </w:r>
      <w:r>
        <w:t xml:space="preserve"> sin </w:t>
      </w:r>
      <w:r w:rsidR="00784326">
        <w:t xml:space="preserve">ilusiones </w:t>
      </w:r>
      <w:r>
        <w:t>y sin miedo</w:t>
      </w:r>
      <w:r w:rsidR="00AA3980">
        <w:t>s</w:t>
      </w:r>
      <w:r>
        <w:t xml:space="preserve">, sin caer en </w:t>
      </w:r>
      <w:r w:rsidR="00784326">
        <w:t xml:space="preserve">ningún </w:t>
      </w:r>
      <w:r>
        <w:t>estado de ese tipo. Y si no alcanza</w:t>
      </w:r>
      <w:r w:rsidR="009C6E89">
        <w:t>ra</w:t>
      </w:r>
      <w:r>
        <w:t xml:space="preserve"> la inmortalidad aquí y ahora, al menos se dirig</w:t>
      </w:r>
      <w:r w:rsidR="00251C4F">
        <w:t>irá</w:t>
      </w:r>
      <w:r>
        <w:t xml:space="preserve"> </w:t>
      </w:r>
      <w:r w:rsidR="00251C4F">
        <w:t xml:space="preserve">hacia </w:t>
      </w:r>
      <w:r>
        <w:t xml:space="preserve">un destino feliz </w:t>
      </w:r>
      <w:r w:rsidR="00251C4F">
        <w:t>al momento de su muerte</w:t>
      </w:r>
      <w:r>
        <w:t>.</w:t>
      </w:r>
    </w:p>
    <w:p w14:paraId="72D8F132" w14:textId="5065C899" w:rsidR="00263D4B" w:rsidRPr="0079789E" w:rsidRDefault="00263D4B" w:rsidP="00263D4B">
      <w:pPr>
        <w:pStyle w:val="VersoIngls01Sangria"/>
        <w:rPr>
          <w:sz w:val="16"/>
          <w:szCs w:val="20"/>
        </w:rPr>
      </w:pPr>
      <w:r w:rsidRPr="0079789E">
        <w:rPr>
          <w:sz w:val="16"/>
          <w:szCs w:val="20"/>
        </w:rPr>
        <w:t xml:space="preserve">Ahora bien, cuando un hombre </w:t>
      </w:r>
      <w:r w:rsidR="009C6E89" w:rsidRPr="0079789E">
        <w:rPr>
          <w:sz w:val="16"/>
          <w:szCs w:val="20"/>
        </w:rPr>
        <w:t>sea</w:t>
      </w:r>
      <w:r w:rsidRPr="0079789E">
        <w:rPr>
          <w:sz w:val="16"/>
          <w:szCs w:val="20"/>
        </w:rPr>
        <w:t xml:space="preserve"> verdaderamente sabio,</w:t>
      </w:r>
    </w:p>
    <w:p w14:paraId="07A9F472" w14:textId="77777777" w:rsidR="00263D4B" w:rsidRPr="0079789E" w:rsidRDefault="00263D4B" w:rsidP="00263D4B">
      <w:pPr>
        <w:pStyle w:val="VersoIngls01Sangria"/>
        <w:rPr>
          <w:sz w:val="16"/>
          <w:szCs w:val="20"/>
        </w:rPr>
      </w:pPr>
      <w:r w:rsidRPr="0079789E">
        <w:rPr>
          <w:sz w:val="16"/>
          <w:szCs w:val="20"/>
        </w:rPr>
        <w:t>Su tarea constante seguramente será</w:t>
      </w:r>
    </w:p>
    <w:p w14:paraId="1E136566" w14:textId="2E435562" w:rsidR="00263D4B" w:rsidRPr="0079789E" w:rsidRDefault="00263D4B" w:rsidP="00263D4B">
      <w:pPr>
        <w:pStyle w:val="VersoIngls01Sangria"/>
        <w:rPr>
          <w:sz w:val="16"/>
          <w:szCs w:val="20"/>
        </w:rPr>
      </w:pPr>
      <w:r w:rsidRPr="0079789E">
        <w:rPr>
          <w:sz w:val="16"/>
          <w:szCs w:val="20"/>
        </w:rPr>
        <w:t>Est</w:t>
      </w:r>
      <w:r w:rsidR="0012385A" w:rsidRPr="0079789E">
        <w:rPr>
          <w:sz w:val="16"/>
          <w:szCs w:val="20"/>
        </w:rPr>
        <w:t>a</w:t>
      </w:r>
      <w:r w:rsidRPr="0079789E">
        <w:rPr>
          <w:sz w:val="16"/>
          <w:szCs w:val="20"/>
        </w:rPr>
        <w:t xml:space="preserve"> </w:t>
      </w:r>
      <w:r w:rsidR="0012385A" w:rsidRPr="0079789E">
        <w:rPr>
          <w:sz w:val="16"/>
          <w:szCs w:val="20"/>
        </w:rPr>
        <w:t xml:space="preserve">evocación sobre </w:t>
      </w:r>
      <w:r w:rsidRPr="0079789E">
        <w:rPr>
          <w:sz w:val="16"/>
          <w:szCs w:val="20"/>
        </w:rPr>
        <w:t>la muerte</w:t>
      </w:r>
    </w:p>
    <w:p w14:paraId="6925C56E" w14:textId="1DC2AC3F" w:rsidR="00263D4B" w:rsidRPr="0079789E" w:rsidRDefault="0012385A" w:rsidP="00263D4B">
      <w:pPr>
        <w:pStyle w:val="VersoIngls01Sangria"/>
        <w:spacing w:after="100"/>
        <w:ind w:left="1418"/>
        <w:rPr>
          <w:sz w:val="16"/>
          <w:szCs w:val="20"/>
        </w:rPr>
      </w:pPr>
      <w:r w:rsidRPr="0079789E">
        <w:rPr>
          <w:sz w:val="16"/>
          <w:szCs w:val="20"/>
        </w:rPr>
        <w:t>Y será b</w:t>
      </w:r>
      <w:r w:rsidR="00263D4B" w:rsidRPr="0079789E">
        <w:rPr>
          <w:sz w:val="16"/>
          <w:szCs w:val="20"/>
        </w:rPr>
        <w:t>endecido con tan poderosa potencia.</w:t>
      </w:r>
    </w:p>
    <w:p w14:paraId="691402D2" w14:textId="4CFB325F" w:rsidR="00263D4B" w:rsidRDefault="0012385A" w:rsidP="00263D4B">
      <w:pPr>
        <w:pStyle w:val="NormalConSangria"/>
      </w:pPr>
      <w:r>
        <w:t>É</w:t>
      </w:r>
      <w:r w:rsidR="00263D4B">
        <w:t xml:space="preserve">sta es la sección que </w:t>
      </w:r>
      <w:r w:rsidR="0079789E">
        <w:t>desarrolla</w:t>
      </w:r>
      <w:r w:rsidR="00263D4B">
        <w:t xml:space="preserve"> </w:t>
      </w:r>
      <w:r>
        <w:t>la evocación sobre</w:t>
      </w:r>
      <w:r w:rsidR="00263D4B">
        <w:t xml:space="preserve"> la muerte en </w:t>
      </w:r>
      <w:r>
        <w:t>una</w:t>
      </w:r>
      <w:r w:rsidR="00263D4B">
        <w:t xml:space="preserve"> explicación detallada.</w:t>
      </w:r>
    </w:p>
    <w:p w14:paraId="3FBD27C7" w14:textId="0E0815BF" w:rsidR="00263D4B" w:rsidRDefault="00263D4B" w:rsidP="00263D4B">
      <w:pPr>
        <w:pStyle w:val="Ttulo3"/>
        <w:ind w:left="708"/>
      </w:pPr>
      <w:r>
        <w:t xml:space="preserve">[(8) </w:t>
      </w:r>
      <w:r w:rsidR="009A4592">
        <w:t>Atención</w:t>
      </w:r>
      <w:r>
        <w:t xml:space="preserve"> </w:t>
      </w:r>
      <w:r w:rsidR="009C6E89">
        <w:t>Orientada</w:t>
      </w:r>
      <w:r>
        <w:t xml:space="preserve"> </w:t>
      </w:r>
      <w:r w:rsidR="009C6E89">
        <w:t xml:space="preserve">Hacia </w:t>
      </w:r>
      <w:r>
        <w:t>El Cuerpo]</w:t>
      </w:r>
    </w:p>
    <w:p w14:paraId="56ABCFF0" w14:textId="630AC064" w:rsidR="00263D4B" w:rsidRDefault="00263D4B" w:rsidP="00263D4B">
      <w:r>
        <w:t xml:space="preserve">42. </w:t>
      </w:r>
      <w:r>
        <w:tab/>
        <w:t xml:space="preserve">Ahora viene la descripción del desarrollo de la atención plena </w:t>
      </w:r>
      <w:r w:rsidR="009C6E89">
        <w:t xml:space="preserve">orientada hacia </w:t>
      </w:r>
      <w:r>
        <w:t xml:space="preserve">el cuerpo como </w:t>
      </w:r>
      <w:r w:rsidR="009C6E89">
        <w:t xml:space="preserve">objeto </w:t>
      </w:r>
      <w:r>
        <w:t xml:space="preserve">de meditación, que nunca </w:t>
      </w:r>
      <w:r w:rsidR="009C6E89">
        <w:t>se</w:t>
      </w:r>
      <w:r w:rsidR="00AC3237">
        <w:t>ría</w:t>
      </w:r>
      <w:r w:rsidR="009C6E89">
        <w:t xml:space="preserve"> declara</w:t>
      </w:r>
      <w:r w:rsidR="00AC3237">
        <w:t>da</w:t>
      </w:r>
      <w:r>
        <w:t xml:space="preserve"> </w:t>
      </w:r>
      <w:r w:rsidR="00AC3237">
        <w:t xml:space="preserve">a no ser que </w:t>
      </w:r>
      <w:r>
        <w:t>surgi</w:t>
      </w:r>
      <w:r w:rsidR="00AC3237">
        <w:t>era</w:t>
      </w:r>
      <w:r>
        <w:t xml:space="preserve"> un Iluminado, y </w:t>
      </w:r>
      <w:r w:rsidR="00545750">
        <w:t>se enc</w:t>
      </w:r>
      <w:r w:rsidR="00EA5A61">
        <w:t>o</w:t>
      </w:r>
      <w:r w:rsidR="00545750">
        <w:t>ntra</w:t>
      </w:r>
      <w:r w:rsidR="00EA5A61">
        <w:t>ría</w:t>
      </w:r>
      <w:r w:rsidR="00545750">
        <w:t xml:space="preserve"> </w:t>
      </w:r>
      <w:r>
        <w:t>fuera del ámbito de cualquier sectario. Ha sido recomendad</w:t>
      </w:r>
      <w:r w:rsidR="00545750">
        <w:t>a</w:t>
      </w:r>
      <w:r>
        <w:t xml:space="preserve"> por </w:t>
      </w:r>
      <w:r w:rsidR="00545750">
        <w:t xml:space="preserve">el </w:t>
      </w:r>
      <w:r w:rsidR="00545750" w:rsidRPr="00545750">
        <w:rPr>
          <w:i/>
          <w:iCs/>
        </w:rPr>
        <w:t>Bhagavā</w:t>
      </w:r>
      <w:r w:rsidR="00545750">
        <w:t xml:space="preserve"> </w:t>
      </w:r>
      <w:r>
        <w:t xml:space="preserve">de varias maneras </w:t>
      </w:r>
      <w:r w:rsidR="00545750">
        <w:t xml:space="preserve">y </w:t>
      </w:r>
      <w:r>
        <w:t xml:space="preserve">en diferentes </w:t>
      </w:r>
      <w:r w:rsidRPr="00545750">
        <w:rPr>
          <w:i/>
          <w:iCs/>
        </w:rPr>
        <w:t>suttas</w:t>
      </w:r>
      <w:r>
        <w:t xml:space="preserve"> así: “</w:t>
      </w:r>
      <w:proofErr w:type="spellStart"/>
      <w:r w:rsidR="00057BF4" w:rsidRPr="00057BF4">
        <w:rPr>
          <w:i/>
          <w:iCs/>
        </w:rPr>
        <w:t>Bhikkhu</w:t>
      </w:r>
      <w:r w:rsidRPr="008F1371">
        <w:rPr>
          <w:i/>
          <w:iCs/>
        </w:rPr>
        <w:t>s</w:t>
      </w:r>
      <w:proofErr w:type="spellEnd"/>
      <w:r>
        <w:t>, cuando una cosa se desarroll</w:t>
      </w:r>
      <w:r w:rsidR="00545750">
        <w:t>e</w:t>
      </w:r>
      <w:r>
        <w:t xml:space="preserve"> y se practi</w:t>
      </w:r>
      <w:r w:rsidR="00545750">
        <w:t>que</w:t>
      </w:r>
      <w:r>
        <w:t xml:space="preserve"> repetidamente, conduc</w:t>
      </w:r>
      <w:r w:rsidR="00545750">
        <w:t>irá</w:t>
      </w:r>
      <w:r>
        <w:t xml:space="preserve"> </w:t>
      </w:r>
      <w:r w:rsidR="00545750">
        <w:t>hacia</w:t>
      </w:r>
      <w:r>
        <w:t xml:space="preserve"> un sentido supremo de urgencia, </w:t>
      </w:r>
      <w:r w:rsidR="00545750">
        <w:t xml:space="preserve">hacia </w:t>
      </w:r>
      <w:r>
        <w:t xml:space="preserve">un beneficio supremo, </w:t>
      </w:r>
      <w:r w:rsidR="00545750">
        <w:t xml:space="preserve">hacia </w:t>
      </w:r>
      <w:r>
        <w:t xml:space="preserve">la cesación suprema de la esclavitud, </w:t>
      </w:r>
      <w:r w:rsidR="00545750">
        <w:t xml:space="preserve">hacia </w:t>
      </w:r>
      <w:r>
        <w:t xml:space="preserve">la atención suprema y </w:t>
      </w:r>
      <w:r w:rsidR="00545750">
        <w:t xml:space="preserve">la </w:t>
      </w:r>
      <w:r w:rsidR="00305E12">
        <w:t>consciencia</w:t>
      </w:r>
      <w:r w:rsidR="00545750" w:rsidRPr="00545750">
        <w:t xml:space="preserve"> </w:t>
      </w:r>
      <w:r w:rsidR="00545750">
        <w:t>plena</w:t>
      </w:r>
      <w:r>
        <w:t xml:space="preserve">, </w:t>
      </w:r>
      <w:r w:rsidR="00545750">
        <w:t>hacia</w:t>
      </w:r>
      <w:r>
        <w:t xml:space="preserve"> la adquisición de</w:t>
      </w:r>
      <w:r w:rsidR="00545750">
        <w:t>l</w:t>
      </w:r>
      <w:r>
        <w:t xml:space="preserve"> conocimiento y </w:t>
      </w:r>
      <w:r w:rsidR="00545750">
        <w:t xml:space="preserve">la </w:t>
      </w:r>
      <w:r>
        <w:t xml:space="preserve">visión, </w:t>
      </w:r>
      <w:r w:rsidR="00BA23CA">
        <w:t>hacia</w:t>
      </w:r>
      <w:r>
        <w:t xml:space="preserve"> una vida feliz aquí y ahora, </w:t>
      </w:r>
      <w:r w:rsidR="00BA23CA">
        <w:t>hacia</w:t>
      </w:r>
      <w:r>
        <w:t xml:space="preserve"> la </w:t>
      </w:r>
      <w:r w:rsidR="00BA23CA">
        <w:t>consumación</w:t>
      </w:r>
      <w:r>
        <w:t xml:space="preserve"> del fruto de la visión clara y la liberación. ¿</w:t>
      </w:r>
      <w:r w:rsidR="00CB3286">
        <w:t>Qué</w:t>
      </w:r>
      <w:r>
        <w:t xml:space="preserve"> cosa? </w:t>
      </w:r>
      <w:r w:rsidR="00B2446C">
        <w:t xml:space="preserve">Se trata de </w:t>
      </w:r>
      <w:r>
        <w:t xml:space="preserve">la atención plena </w:t>
      </w:r>
      <w:r w:rsidR="00B2446C">
        <w:t xml:space="preserve">orientada hacia </w:t>
      </w:r>
      <w:r>
        <w:t>el cuerpo” (A I 43). Y así: “</w:t>
      </w:r>
      <w:proofErr w:type="spellStart"/>
      <w:r w:rsidR="00057BF4" w:rsidRPr="00057BF4">
        <w:rPr>
          <w:i/>
          <w:iCs/>
        </w:rPr>
        <w:t>Bhikkhu</w:t>
      </w:r>
      <w:r w:rsidRPr="008F1371">
        <w:rPr>
          <w:i/>
          <w:iCs/>
        </w:rPr>
        <w:t>s</w:t>
      </w:r>
      <w:proofErr w:type="spellEnd"/>
      <w:r>
        <w:t xml:space="preserve">, </w:t>
      </w:r>
      <w:r w:rsidR="00D84A08">
        <w:t xml:space="preserve">aquellos que </w:t>
      </w:r>
      <w:r>
        <w:t>sabore</w:t>
      </w:r>
      <w:r w:rsidR="00D84A08">
        <w:t>e</w:t>
      </w:r>
      <w:r>
        <w:t>n lo inmortal saborea</w:t>
      </w:r>
      <w:r w:rsidR="00D84A08">
        <w:t>rá</w:t>
      </w:r>
      <w:r>
        <w:t xml:space="preserve">n la atención plena </w:t>
      </w:r>
      <w:r w:rsidR="00BF12E8">
        <w:t xml:space="preserve">orientada hacia </w:t>
      </w:r>
      <w:r>
        <w:t xml:space="preserve">el cuerpo; </w:t>
      </w:r>
      <w:r w:rsidR="00BF12E8">
        <w:t xml:space="preserve">aquellos que </w:t>
      </w:r>
      <w:r>
        <w:t>no sabore</w:t>
      </w:r>
      <w:r w:rsidR="00BF12E8">
        <w:t>e</w:t>
      </w:r>
      <w:r>
        <w:t>n lo inmortal no saborea</w:t>
      </w:r>
      <w:r w:rsidR="00BF12E8">
        <w:t>rá</w:t>
      </w:r>
      <w:r>
        <w:t xml:space="preserve">n la atención plena </w:t>
      </w:r>
      <w:r w:rsidR="00BF12E8">
        <w:t xml:space="preserve">orientada hacia </w:t>
      </w:r>
      <w:r>
        <w:t>el cuerpo.</w:t>
      </w:r>
      <w:r w:rsidRPr="00772D40">
        <w:rPr>
          <w:vertAlign w:val="superscript"/>
        </w:rPr>
        <w:t>13</w:t>
      </w:r>
      <w:r>
        <w:t xml:space="preserve"> [240] Ha</w:t>
      </w:r>
      <w:r w:rsidR="008F1A3F">
        <w:t>brán</w:t>
      </w:r>
      <w:r>
        <w:t xml:space="preserve"> saboreado lo inmortal quienes ha</w:t>
      </w:r>
      <w:r w:rsidR="008F1A3F">
        <w:t>ya</w:t>
      </w:r>
      <w:r>
        <w:t xml:space="preserve">n saboreado la atención plena </w:t>
      </w:r>
      <w:r w:rsidR="008F1A3F">
        <w:t xml:space="preserve">orientada hacia </w:t>
      </w:r>
      <w:r>
        <w:t xml:space="preserve">el cuerpo; </w:t>
      </w:r>
      <w:r w:rsidR="00910423">
        <w:t>a</w:t>
      </w:r>
      <w:r w:rsidR="00DA6109">
        <w:t>quellos</w:t>
      </w:r>
      <w:r w:rsidR="006913A8">
        <w:t xml:space="preserve"> </w:t>
      </w:r>
      <w:r w:rsidR="00D446DF">
        <w:t xml:space="preserve">que </w:t>
      </w:r>
      <w:r>
        <w:t xml:space="preserve">no </w:t>
      </w:r>
      <w:r w:rsidR="00DA6109">
        <w:t xml:space="preserve">hayan </w:t>
      </w:r>
      <w:r>
        <w:t xml:space="preserve">saboreado… </w:t>
      </w:r>
      <w:r w:rsidR="00D446DF">
        <w:t xml:space="preserve">Aquello </w:t>
      </w:r>
      <w:r w:rsidR="008F1A3F">
        <w:t xml:space="preserve">que </w:t>
      </w:r>
      <w:r>
        <w:t>ha</w:t>
      </w:r>
      <w:r w:rsidR="008F1A3F">
        <w:t>ya</w:t>
      </w:r>
      <w:r>
        <w:t xml:space="preserve">n descuidado… </w:t>
      </w:r>
      <w:r w:rsidR="00871C3B">
        <w:t xml:space="preserve">aquellos </w:t>
      </w:r>
      <w:r>
        <w:t>no ha</w:t>
      </w:r>
      <w:r w:rsidR="00B47247">
        <w:t>ya</w:t>
      </w:r>
      <w:r>
        <w:t xml:space="preserve">n descuidado… </w:t>
      </w:r>
      <w:r w:rsidR="00871C3B">
        <w:t xml:space="preserve">Aquello </w:t>
      </w:r>
      <w:r w:rsidR="001B47B9">
        <w:t xml:space="preserve">que </w:t>
      </w:r>
      <w:r w:rsidR="00922B26">
        <w:t xml:space="preserve">no </w:t>
      </w:r>
      <w:r>
        <w:t>ha</w:t>
      </w:r>
      <w:r w:rsidR="00D2505E">
        <w:t>ya</w:t>
      </w:r>
      <w:r>
        <w:t xml:space="preserve">n </w:t>
      </w:r>
      <w:r w:rsidR="00922B26">
        <w:t>encontrado</w:t>
      </w:r>
      <w:r>
        <w:t xml:space="preserve">… </w:t>
      </w:r>
      <w:r w:rsidR="00922B26">
        <w:t xml:space="preserve">aquellos que </w:t>
      </w:r>
      <w:r w:rsidR="007724FB">
        <w:t>h</w:t>
      </w:r>
      <w:r w:rsidR="00922B26">
        <w:t>aya</w:t>
      </w:r>
      <w:r w:rsidR="00097EB6">
        <w:t xml:space="preserve">n </w:t>
      </w:r>
      <w:r>
        <w:t xml:space="preserve">encontrado lo inmortal </w:t>
      </w:r>
      <w:r w:rsidR="00922B26">
        <w:t xml:space="preserve">serán aquellos </w:t>
      </w:r>
      <w:r>
        <w:t>que ha</w:t>
      </w:r>
      <w:r w:rsidR="00097EB6">
        <w:t>yan</w:t>
      </w:r>
      <w:r>
        <w:t xml:space="preserve"> encontrado la atención plena </w:t>
      </w:r>
      <w:r w:rsidR="00097EB6">
        <w:t xml:space="preserve">orientada hacia </w:t>
      </w:r>
      <w:r>
        <w:t xml:space="preserve">el cuerpo” (A I 45). Y </w:t>
      </w:r>
      <w:r w:rsidR="00097EB6">
        <w:t xml:space="preserve">esto </w:t>
      </w:r>
      <w:r>
        <w:t xml:space="preserve">ha sido descrito en catorce secciones en el pasaje que comienza, “¿Y </w:t>
      </w:r>
      <w:r w:rsidR="001F16DB">
        <w:t>cómo</w:t>
      </w:r>
      <w:r>
        <w:t xml:space="preserve">, </w:t>
      </w:r>
      <w:proofErr w:type="spellStart"/>
      <w:r w:rsidR="00057BF4" w:rsidRPr="00057BF4">
        <w:rPr>
          <w:i/>
          <w:iCs/>
        </w:rPr>
        <w:t>bhikkhu</w:t>
      </w:r>
      <w:r w:rsidRPr="008F1371">
        <w:rPr>
          <w:i/>
          <w:iCs/>
        </w:rPr>
        <w:t>s</w:t>
      </w:r>
      <w:proofErr w:type="spellEnd"/>
      <w:r>
        <w:t xml:space="preserve">, repetidamente practicada la atención plena </w:t>
      </w:r>
      <w:r w:rsidR="001F16DB">
        <w:t xml:space="preserve">orientada hacia </w:t>
      </w:r>
      <w:r>
        <w:t xml:space="preserve">el cuerpo </w:t>
      </w:r>
      <w:r w:rsidR="0041105C">
        <w:t>brinda</w:t>
      </w:r>
      <w:r>
        <w:t xml:space="preserve"> gran fruto, gran beneficio? Aquí, </w:t>
      </w:r>
    </w:p>
    <w:p w14:paraId="650CD79E" w14:textId="77777777" w:rsidR="00263D4B" w:rsidRDefault="00263D4B" w:rsidP="00263D4B">
      <w:pPr>
        <w:pStyle w:val="Piedepgina"/>
        <w:rPr>
          <w:u w:val="single"/>
        </w:rPr>
      </w:pPr>
      <w:r>
        <w:rPr>
          <w:u w:val="single"/>
        </w:rPr>
        <w:t xml:space="preserve">                                                                                                                                                                          .</w:t>
      </w:r>
    </w:p>
    <w:p w14:paraId="546EFD5B" w14:textId="77777777" w:rsidR="00263D4B" w:rsidRDefault="00263D4B" w:rsidP="00263D4B">
      <w:pPr>
        <w:pStyle w:val="PiedepginaLegal"/>
      </w:pPr>
      <w:r>
        <w:t xml:space="preserve">13. </w:t>
      </w:r>
      <w:r>
        <w:tab/>
        <w:t xml:space="preserve">En el texto </w:t>
      </w:r>
      <w:proofErr w:type="spellStart"/>
      <w:r w:rsidRPr="008F1371">
        <w:rPr>
          <w:i/>
          <w:iCs/>
        </w:rPr>
        <w:t>Aṅguttara</w:t>
      </w:r>
      <w:proofErr w:type="spellEnd"/>
      <w:r>
        <w:t>, las cláusulas negativas y positivas están en orden opuesto.</w:t>
      </w:r>
    </w:p>
    <w:p w14:paraId="737C32B3" w14:textId="77777777" w:rsidR="00263D4B" w:rsidRDefault="00263D4B">
      <w:pPr>
        <w:tabs>
          <w:tab w:val="clear" w:pos="425"/>
        </w:tabs>
        <w:spacing w:after="160"/>
      </w:pPr>
      <w:r>
        <w:br w:type="page"/>
      </w:r>
    </w:p>
    <w:p w14:paraId="474D0BF6" w14:textId="77777777" w:rsidR="005408ED" w:rsidRDefault="005408ED" w:rsidP="005408ED"/>
    <w:p w14:paraId="1164682B" w14:textId="293973A2" w:rsidR="005408ED" w:rsidRDefault="0041105C" w:rsidP="005408ED">
      <w:proofErr w:type="spellStart"/>
      <w:r w:rsidRPr="00057BF4">
        <w:rPr>
          <w:i/>
          <w:iCs/>
        </w:rPr>
        <w:t>bhikkhu</w:t>
      </w:r>
      <w:r w:rsidRPr="008F1371">
        <w:rPr>
          <w:i/>
          <w:iCs/>
        </w:rPr>
        <w:t>s</w:t>
      </w:r>
      <w:proofErr w:type="spellEnd"/>
      <w:r>
        <w:t xml:space="preserve">, un </w:t>
      </w:r>
      <w:proofErr w:type="spellStart"/>
      <w:r w:rsidRPr="00057BF4">
        <w:rPr>
          <w:i/>
          <w:iCs/>
        </w:rPr>
        <w:t>bhikkhu</w:t>
      </w:r>
      <w:proofErr w:type="spellEnd"/>
      <w:r>
        <w:t>, retira</w:t>
      </w:r>
      <w:r w:rsidR="005408ED">
        <w:t xml:space="preserve">do </w:t>
      </w:r>
      <w:r>
        <w:t>en el</w:t>
      </w:r>
      <w:r w:rsidR="005408ED">
        <w:t xml:space="preserve"> bosque…” (M III 89), es decir, </w:t>
      </w:r>
      <w:r w:rsidR="00D75F57">
        <w:t xml:space="preserve">deberá tomarse </w:t>
      </w:r>
      <w:r w:rsidR="005408ED">
        <w:t>la secci</w:t>
      </w:r>
      <w:r w:rsidR="00580AE8">
        <w:t>ó</w:t>
      </w:r>
      <w:r w:rsidR="005408ED">
        <w:t xml:space="preserve">n sobre la respiración, sobre las posturas, sobre las cuatro clases de </w:t>
      </w:r>
      <w:r w:rsidR="00580AE8">
        <w:t xml:space="preserve">atención </w:t>
      </w:r>
      <w:r w:rsidR="005408ED">
        <w:t xml:space="preserve">plena, sobre la atención dirigida </w:t>
      </w:r>
      <w:r w:rsidR="00580AE8">
        <w:t>haci</w:t>
      </w:r>
      <w:r w:rsidR="005408ED">
        <w:t xml:space="preserve">a lo repulsivo, sobre la atención dirigida </w:t>
      </w:r>
      <w:r w:rsidR="00922B26">
        <w:t>haci</w:t>
      </w:r>
      <w:r w:rsidR="005408ED">
        <w:t xml:space="preserve">a los elementos y sobre </w:t>
      </w:r>
      <w:r w:rsidR="00580AE8">
        <w:t xml:space="preserve">las nueve contemplaciones </w:t>
      </w:r>
      <w:r w:rsidR="00ED2019">
        <w:t xml:space="preserve">de </w:t>
      </w:r>
      <w:r w:rsidR="00580AE8">
        <w:t xml:space="preserve">los </w:t>
      </w:r>
      <w:r w:rsidR="00ED2019">
        <w:t>osarios</w:t>
      </w:r>
      <w:r w:rsidR="005408ED">
        <w:t>.</w:t>
      </w:r>
    </w:p>
    <w:p w14:paraId="53FCF723" w14:textId="2038FF13" w:rsidR="005408ED" w:rsidRDefault="005408ED" w:rsidP="005408ED">
      <w:r>
        <w:t xml:space="preserve">43. </w:t>
      </w:r>
      <w:r>
        <w:tab/>
        <w:t xml:space="preserve">Aquí, las </w:t>
      </w:r>
      <w:r w:rsidR="00E37EC5">
        <w:t>3</w:t>
      </w:r>
      <w:r>
        <w:t xml:space="preserve">, es decir, las secciones sobre las posturas, sobre los </w:t>
      </w:r>
      <w:r w:rsidR="00C660A5">
        <w:t>4</w:t>
      </w:r>
      <w:r>
        <w:t xml:space="preserve"> tipos de </w:t>
      </w:r>
      <w:r w:rsidR="00552F3C">
        <w:t>atención</w:t>
      </w:r>
      <w:r>
        <w:t xml:space="preserve"> plena (ver M-a I 253f.), y la atención dirigida </w:t>
      </w:r>
      <w:r w:rsidR="00552F3C">
        <w:t>hacia</w:t>
      </w:r>
      <w:r>
        <w:t xml:space="preserve"> los elementos, </w:t>
      </w:r>
      <w:r w:rsidR="00C660A5">
        <w:t>se darán tal</w:t>
      </w:r>
      <w:r w:rsidR="00E60322">
        <w:t xml:space="preserve"> </w:t>
      </w:r>
      <w:r>
        <w:t xml:space="preserve">como se </w:t>
      </w:r>
      <w:r w:rsidR="00E60322">
        <w:t>menciona</w:t>
      </w:r>
      <w:r>
        <w:t xml:space="preserve"> </w:t>
      </w:r>
      <w:r w:rsidR="00F2698B">
        <w:t xml:space="preserve">y se </w:t>
      </w:r>
      <w:r>
        <w:t xml:space="preserve">trata </w:t>
      </w:r>
      <w:r w:rsidR="00C823C4">
        <w:t xml:space="preserve">a </w:t>
      </w:r>
      <w:r w:rsidR="006B03FA">
        <w:t xml:space="preserve">la </w:t>
      </w:r>
      <w:r w:rsidR="00A939B5" w:rsidRPr="00527EA6">
        <w:t>sabid</w:t>
      </w:r>
      <w:r w:rsidR="00A939B5">
        <w:t xml:space="preserve">uría–revelativa </w:t>
      </w:r>
      <w:r w:rsidR="00F2698B">
        <w:t xml:space="preserve">[en ese </w:t>
      </w:r>
      <w:proofErr w:type="spellStart"/>
      <w:r w:rsidR="00F2698B" w:rsidRPr="008F1371">
        <w:rPr>
          <w:i/>
          <w:iCs/>
        </w:rPr>
        <w:t>sutta</w:t>
      </w:r>
      <w:proofErr w:type="spellEnd"/>
      <w:r w:rsidR="00F2698B">
        <w:t>]</w:t>
      </w:r>
      <w:r>
        <w:t>. Luego, la secci</w:t>
      </w:r>
      <w:r w:rsidR="00F2698B">
        <w:t>ó</w:t>
      </w:r>
      <w:r>
        <w:t xml:space="preserve">n sobre las </w:t>
      </w:r>
      <w:r w:rsidR="00687C37">
        <w:t xml:space="preserve">9 </w:t>
      </w:r>
      <w:r>
        <w:t xml:space="preserve">contemplaciones </w:t>
      </w:r>
      <w:r w:rsidR="00687C37">
        <w:t>d</w:t>
      </w:r>
      <w:r w:rsidR="00F2698B">
        <w:t xml:space="preserve">e </w:t>
      </w:r>
      <w:r>
        <w:t>cementerio</w:t>
      </w:r>
      <w:r w:rsidR="00217BF8">
        <w:t>s</w:t>
      </w:r>
      <w:r>
        <w:t xml:space="preserve">, como se establece allí, trata </w:t>
      </w:r>
      <w:r w:rsidR="006B03FA">
        <w:t xml:space="preserve">sobre </w:t>
      </w:r>
      <w:r>
        <w:t xml:space="preserve">esa fase particular del conocimiento interior llamada contemplación del peligro. Y cualquier desarrollo de concentración </w:t>
      </w:r>
      <w:r w:rsidR="00A55AF6">
        <w:t>sobre</w:t>
      </w:r>
      <w:r>
        <w:t xml:space="preserve"> l</w:t>
      </w:r>
      <w:r w:rsidR="00A55AF6">
        <w:t>o</w:t>
      </w:r>
      <w:r>
        <w:t xml:space="preserve"> hinchado, etc., que pudiera estar implícito allí ya ha sido explicado en la Descripción </w:t>
      </w:r>
      <w:r w:rsidR="006469DD">
        <w:t>Sobre</w:t>
      </w:r>
      <w:r>
        <w:t xml:space="preserve"> la </w:t>
      </w:r>
      <w:r w:rsidR="006469DD">
        <w:t>Repugnancia</w:t>
      </w:r>
      <w:r w:rsidR="00BE2307">
        <w:t xml:space="preserve"> </w:t>
      </w:r>
      <w:r>
        <w:t>(Cap. VI). Así que sólo ha</w:t>
      </w:r>
      <w:r w:rsidR="006469DD">
        <w:t>brá</w:t>
      </w:r>
      <w:r>
        <w:t xml:space="preserve"> dos</w:t>
      </w:r>
      <w:r w:rsidR="006469DD">
        <w:t xml:space="preserve"> </w:t>
      </w:r>
      <w:r>
        <w:t>secciones</w:t>
      </w:r>
      <w:r w:rsidR="006469DD">
        <w:t xml:space="preserve">, es decir, </w:t>
      </w:r>
      <w:r>
        <w:t xml:space="preserve">sobre la respiración y sobre cómo dirigir la atención </w:t>
      </w:r>
      <w:r w:rsidR="00BE2307">
        <w:t>hacia</w:t>
      </w:r>
      <w:r>
        <w:t xml:space="preserve"> la </w:t>
      </w:r>
      <w:r w:rsidR="00BE2307">
        <w:t>repugnancia</w:t>
      </w:r>
      <w:r>
        <w:t xml:space="preserve">, que, como se afirma allí, tratan </w:t>
      </w:r>
      <w:r w:rsidR="00BE2307">
        <w:t>sobre</w:t>
      </w:r>
      <w:r>
        <w:t xml:space="preserve"> la concentración. De estos dos, la sección sobre la respiración </w:t>
      </w:r>
      <w:r w:rsidR="00BE2307">
        <w:t xml:space="preserve">será </w:t>
      </w:r>
      <w:r w:rsidR="009A7058">
        <w:t xml:space="preserve">sobre </w:t>
      </w:r>
      <w:r>
        <w:t xml:space="preserve">un </w:t>
      </w:r>
      <w:r w:rsidR="00BE2307">
        <w:t xml:space="preserve">objeto </w:t>
      </w:r>
      <w:r>
        <w:t xml:space="preserve">de meditación </w:t>
      </w:r>
      <w:r w:rsidR="00BE2307">
        <w:t>independiente</w:t>
      </w:r>
      <w:r>
        <w:t xml:space="preserve">, </w:t>
      </w:r>
      <w:r w:rsidR="00BE2307">
        <w:t>es decir</w:t>
      </w:r>
      <w:r>
        <w:t xml:space="preserve">, </w:t>
      </w:r>
      <w:r w:rsidR="009A7058">
        <w:t xml:space="preserve">sobre </w:t>
      </w:r>
      <w:r>
        <w:t xml:space="preserve">la atención plena </w:t>
      </w:r>
      <w:r w:rsidR="009A0964">
        <w:t>en</w:t>
      </w:r>
      <w:r w:rsidR="00BE2307">
        <w:t xml:space="preserve"> </w:t>
      </w:r>
      <w:r>
        <w:t>la respiración.</w:t>
      </w:r>
    </w:p>
    <w:p w14:paraId="2AA1D86D" w14:textId="77777777" w:rsidR="005408ED" w:rsidRDefault="005408ED" w:rsidP="008F1371">
      <w:pPr>
        <w:jc w:val="center"/>
      </w:pPr>
      <w:r>
        <w:t>[</w:t>
      </w:r>
      <w:r w:rsidRPr="008F1371">
        <w:rPr>
          <w:i/>
          <w:iCs/>
        </w:rPr>
        <w:t>Texto</w:t>
      </w:r>
      <w:r>
        <w:t>]</w:t>
      </w:r>
    </w:p>
    <w:p w14:paraId="1DF897DB" w14:textId="2CAE5F4D" w:rsidR="005408ED" w:rsidRDefault="005408ED" w:rsidP="005408ED">
      <w:r>
        <w:t xml:space="preserve">44. </w:t>
      </w:r>
      <w:r>
        <w:tab/>
        <w:t xml:space="preserve">Lo que aquí se entiende como atención plena </w:t>
      </w:r>
      <w:r w:rsidR="00BE2307">
        <w:t xml:space="preserve">orientada hacia </w:t>
      </w:r>
      <w:r>
        <w:t xml:space="preserve">el cuerpo </w:t>
      </w:r>
      <w:proofErr w:type="gramStart"/>
      <w:r w:rsidR="00BE2307">
        <w:t>consisten de</w:t>
      </w:r>
      <w:proofErr w:type="gramEnd"/>
      <w:r>
        <w:t xml:space="preserve"> treinta y dos </w:t>
      </w:r>
      <w:r w:rsidR="00952DEF">
        <w:t>partes</w:t>
      </w:r>
      <w:r>
        <w:t xml:space="preserve">. Este </w:t>
      </w:r>
      <w:r w:rsidR="00BE2307">
        <w:t xml:space="preserve">objeto </w:t>
      </w:r>
      <w:r>
        <w:t xml:space="preserve">de meditación se </w:t>
      </w:r>
      <w:r w:rsidR="00C9680C">
        <w:t>expone</w:t>
      </w:r>
      <w:r>
        <w:t xml:space="preserve"> como la </w:t>
      </w:r>
      <w:r w:rsidR="00C9680C">
        <w:t xml:space="preserve">orientación </w:t>
      </w:r>
      <w:r>
        <w:t xml:space="preserve">de la atención </w:t>
      </w:r>
      <w:r w:rsidR="00C9680C">
        <w:t>hacia</w:t>
      </w:r>
      <w:r>
        <w:t xml:space="preserve"> la repulsión así: “</w:t>
      </w:r>
      <w:r w:rsidR="00952DEF">
        <w:rPr>
          <w:i/>
          <w:iCs/>
        </w:rPr>
        <w:t>Nuevamente</w:t>
      </w:r>
      <w:r w:rsidRPr="00FB6F2F">
        <w:rPr>
          <w:i/>
          <w:iCs/>
        </w:rPr>
        <w:t xml:space="preserve">, </w:t>
      </w:r>
      <w:proofErr w:type="spellStart"/>
      <w:r w:rsidR="00057BF4" w:rsidRPr="00FB6F2F">
        <w:rPr>
          <w:i/>
          <w:iCs/>
        </w:rPr>
        <w:t>bhikkhu</w:t>
      </w:r>
      <w:r w:rsidRPr="00FB6F2F">
        <w:rPr>
          <w:i/>
          <w:iCs/>
        </w:rPr>
        <w:t>s</w:t>
      </w:r>
      <w:proofErr w:type="spellEnd"/>
      <w:r w:rsidRPr="00FB6F2F">
        <w:rPr>
          <w:i/>
          <w:iCs/>
        </w:rPr>
        <w:t xml:space="preserve">, un </w:t>
      </w:r>
      <w:proofErr w:type="spellStart"/>
      <w:r w:rsidR="00057BF4" w:rsidRPr="00FB6F2F">
        <w:rPr>
          <w:i/>
          <w:iCs/>
        </w:rPr>
        <w:t>bhikkhu</w:t>
      </w:r>
      <w:proofErr w:type="spellEnd"/>
      <w:r w:rsidRPr="00FB6F2F">
        <w:rPr>
          <w:i/>
          <w:iCs/>
        </w:rPr>
        <w:t xml:space="preserve"> </w:t>
      </w:r>
      <w:r w:rsidR="004F5411">
        <w:rPr>
          <w:i/>
          <w:iCs/>
        </w:rPr>
        <w:t xml:space="preserve">examina </w:t>
      </w:r>
      <w:r w:rsidRPr="00FB6F2F">
        <w:rPr>
          <w:i/>
          <w:iCs/>
        </w:rPr>
        <w:t xml:space="preserve">este cuerpo, desde las plantas de los pies </w:t>
      </w:r>
      <w:r w:rsidR="009A0964" w:rsidRPr="00FB6F2F">
        <w:rPr>
          <w:i/>
          <w:iCs/>
        </w:rPr>
        <w:t xml:space="preserve">hacia arriba </w:t>
      </w:r>
      <w:r w:rsidRPr="00FB6F2F">
        <w:rPr>
          <w:i/>
          <w:iCs/>
        </w:rPr>
        <w:t>y desde la parte superior del cabello y contenido en la piel</w:t>
      </w:r>
      <w:r w:rsidR="009A0964" w:rsidRPr="009A0964">
        <w:rPr>
          <w:i/>
          <w:iCs/>
        </w:rPr>
        <w:t xml:space="preserve"> </w:t>
      </w:r>
      <w:r w:rsidR="009A0964" w:rsidRPr="00FB6F2F">
        <w:rPr>
          <w:i/>
          <w:iCs/>
        </w:rPr>
        <w:t>hacia abajo</w:t>
      </w:r>
      <w:r w:rsidRPr="00FB6F2F">
        <w:rPr>
          <w:i/>
          <w:iCs/>
        </w:rPr>
        <w:t>, como lleno de much</w:t>
      </w:r>
      <w:r w:rsidR="00FB6F2F">
        <w:rPr>
          <w:i/>
          <w:iCs/>
        </w:rPr>
        <w:t>a</w:t>
      </w:r>
      <w:r w:rsidRPr="00FB6F2F">
        <w:rPr>
          <w:i/>
          <w:iCs/>
        </w:rPr>
        <w:t xml:space="preserve">s clases de inmundicias así: En este cuerpo </w:t>
      </w:r>
      <w:r w:rsidR="001100FF" w:rsidRPr="00FB6F2F">
        <w:rPr>
          <w:i/>
          <w:iCs/>
        </w:rPr>
        <w:t xml:space="preserve">existen los cabellos </w:t>
      </w:r>
      <w:r w:rsidR="0081323C">
        <w:rPr>
          <w:i/>
          <w:iCs/>
        </w:rPr>
        <w:t>de</w:t>
      </w:r>
      <w:r w:rsidR="001100FF" w:rsidRPr="00FB6F2F">
        <w:rPr>
          <w:i/>
          <w:iCs/>
        </w:rPr>
        <w:t xml:space="preserve"> </w:t>
      </w:r>
      <w:r w:rsidRPr="00FB6F2F">
        <w:rPr>
          <w:i/>
          <w:iCs/>
        </w:rPr>
        <w:t xml:space="preserve">la cabeza, </w:t>
      </w:r>
      <w:r w:rsidR="001100FF" w:rsidRPr="00FB6F2F">
        <w:rPr>
          <w:i/>
          <w:iCs/>
        </w:rPr>
        <w:t xml:space="preserve">vellos en </w:t>
      </w:r>
      <w:r w:rsidRPr="00FB6F2F">
        <w:rPr>
          <w:i/>
          <w:iCs/>
        </w:rPr>
        <w:t>el cuerpo, uñas, dientes, piel, carne, tendones, huesos, médula ósea, riñ</w:t>
      </w:r>
      <w:r w:rsidR="001100FF" w:rsidRPr="00FB6F2F">
        <w:rPr>
          <w:i/>
          <w:iCs/>
        </w:rPr>
        <w:t>o</w:t>
      </w:r>
      <w:r w:rsidRPr="00FB6F2F">
        <w:rPr>
          <w:i/>
          <w:iCs/>
        </w:rPr>
        <w:t>n</w:t>
      </w:r>
      <w:r w:rsidR="001100FF" w:rsidRPr="00FB6F2F">
        <w:rPr>
          <w:i/>
          <w:iCs/>
        </w:rPr>
        <w:t>es</w:t>
      </w:r>
      <w:r w:rsidRPr="00FB6F2F">
        <w:rPr>
          <w:i/>
          <w:iCs/>
        </w:rPr>
        <w:t xml:space="preserve">, corazón, hígado, estómago, bazo, pulmones, intestinos, entrañas, garganta, estiércol , bilis, flema, pus, sangre, sudor, grasa, lágrimas, </w:t>
      </w:r>
      <w:r w:rsidR="00717A77" w:rsidRPr="00FB6F2F">
        <w:rPr>
          <w:i/>
          <w:iCs/>
        </w:rPr>
        <w:t>resina</w:t>
      </w:r>
      <w:r w:rsidRPr="00FB6F2F">
        <w:rPr>
          <w:i/>
          <w:iCs/>
        </w:rPr>
        <w:t>, saliva, mocos, aceite de las articulaciones y orina</w:t>
      </w:r>
      <w:r>
        <w:t xml:space="preserve">” (M III 90), estando el cerebro incluido en la médula ósea en esta versión [con un total de sólo </w:t>
      </w:r>
      <w:r w:rsidR="00CB47A2">
        <w:t>31</w:t>
      </w:r>
      <w:r>
        <w:t xml:space="preserve"> aspectos].</w:t>
      </w:r>
    </w:p>
    <w:p w14:paraId="64E66042" w14:textId="62FB196D" w:rsidR="005408ED" w:rsidRDefault="005408ED" w:rsidP="005408ED">
      <w:r>
        <w:t xml:space="preserve">45. </w:t>
      </w:r>
      <w:r>
        <w:tab/>
        <w:t xml:space="preserve">Aquí está la descripción </w:t>
      </w:r>
      <w:r w:rsidR="000117D9">
        <w:t xml:space="preserve">sobre </w:t>
      </w:r>
      <w:r>
        <w:t xml:space="preserve">el desarrollo introducido </w:t>
      </w:r>
      <w:r w:rsidR="00D86FB4">
        <w:t>por un comentario en</w:t>
      </w:r>
      <w:r>
        <w:t xml:space="preserve"> el texto.</w:t>
      </w:r>
    </w:p>
    <w:p w14:paraId="7507AA8D" w14:textId="7392FEE6" w:rsidR="005408ED" w:rsidRDefault="005408ED" w:rsidP="005408ED">
      <w:pPr>
        <w:jc w:val="center"/>
      </w:pPr>
      <w:r>
        <w:t>[</w:t>
      </w:r>
      <w:r w:rsidRPr="005408ED">
        <w:rPr>
          <w:i/>
          <w:iCs/>
        </w:rPr>
        <w:t>Comentario de Palabras</w:t>
      </w:r>
      <w:r>
        <w:t>]</w:t>
      </w:r>
    </w:p>
    <w:p w14:paraId="4226D69D" w14:textId="3647CF16" w:rsidR="005408ED" w:rsidRDefault="005408ED" w:rsidP="005408ED">
      <w:r w:rsidRPr="008F1371">
        <w:rPr>
          <w:i/>
          <w:iCs/>
        </w:rPr>
        <w:t>Este cuerpo</w:t>
      </w:r>
      <w:r>
        <w:t xml:space="preserve">: este cuerpo inmundo construido a partir de los cuatro elementos primarios. </w:t>
      </w:r>
      <w:r w:rsidR="00967828" w:rsidRPr="00861C6B">
        <w:rPr>
          <w:i/>
          <w:iCs/>
        </w:rPr>
        <w:t xml:space="preserve">Desde la planta de los pies hacia </w:t>
      </w:r>
      <w:r w:rsidR="000117D9" w:rsidRPr="00861C6B">
        <w:rPr>
          <w:i/>
          <w:iCs/>
        </w:rPr>
        <w:t>a</w:t>
      </w:r>
      <w:r w:rsidRPr="00861C6B">
        <w:rPr>
          <w:i/>
          <w:iCs/>
        </w:rPr>
        <w:t>rriba</w:t>
      </w:r>
      <w:r>
        <w:t xml:space="preserve">: desde la planta de los pies hacia </w:t>
      </w:r>
      <w:r w:rsidR="00861C6B">
        <w:t>la cima de la cabeza</w:t>
      </w:r>
      <w:r>
        <w:t xml:space="preserve">. </w:t>
      </w:r>
      <w:r w:rsidR="00861C6B" w:rsidRPr="00590DAD">
        <w:rPr>
          <w:i/>
          <w:iCs/>
        </w:rPr>
        <w:t xml:space="preserve">Desde </w:t>
      </w:r>
      <w:r w:rsidRPr="00590DAD">
        <w:rPr>
          <w:i/>
          <w:iCs/>
        </w:rPr>
        <w:t>la parte superior del cabello</w:t>
      </w:r>
      <w:r w:rsidR="00861C6B" w:rsidRPr="00861C6B">
        <w:t xml:space="preserve"> </w:t>
      </w:r>
      <w:r w:rsidR="00861C6B" w:rsidRPr="00861C6B">
        <w:rPr>
          <w:i/>
          <w:iCs/>
        </w:rPr>
        <w:t>hacia</w:t>
      </w:r>
      <w:r w:rsidR="00861C6B" w:rsidRPr="00590DAD">
        <w:rPr>
          <w:i/>
          <w:iCs/>
        </w:rPr>
        <w:t xml:space="preserve"> abajo</w:t>
      </w:r>
      <w:r>
        <w:t xml:space="preserve">: desde la </w:t>
      </w:r>
      <w:r w:rsidR="00861C6B">
        <w:t>cima</w:t>
      </w:r>
      <w:r>
        <w:t xml:space="preserve"> del cabello </w:t>
      </w:r>
      <w:r w:rsidR="007C16B7">
        <w:t xml:space="preserve">de la cabeza </w:t>
      </w:r>
      <w:r>
        <w:t xml:space="preserve">hacia abajo. </w:t>
      </w:r>
      <w:r w:rsidRPr="00590DAD">
        <w:rPr>
          <w:i/>
          <w:iCs/>
        </w:rPr>
        <w:t>Contenido en la piel</w:t>
      </w:r>
      <w:r>
        <w:t xml:space="preserve">: terminado alrededor de la piel. </w:t>
      </w:r>
      <w:r w:rsidR="007C16B7">
        <w:rPr>
          <w:i/>
          <w:iCs/>
        </w:rPr>
        <w:t>Él lo r</w:t>
      </w:r>
      <w:r w:rsidRPr="00590DAD">
        <w:rPr>
          <w:i/>
          <w:iCs/>
        </w:rPr>
        <w:t>epasa … como lleno de muchas clases de inmundicias</w:t>
      </w:r>
      <w:r>
        <w:t xml:space="preserve">: [241] él </w:t>
      </w:r>
      <w:r w:rsidR="00382555">
        <w:t>aprecia</w:t>
      </w:r>
      <w:r>
        <w:t xml:space="preserve"> que este cuerpo está lleno de varias clases de inmundicias comenzando con los </w:t>
      </w:r>
      <w:r w:rsidR="006F0A26">
        <w:t>cabellos</w:t>
      </w:r>
      <w:r>
        <w:t xml:space="preserve"> de la cabeza. ¿Cómo? “En este cuerpo </w:t>
      </w:r>
      <w:r w:rsidR="006F0A26">
        <w:t>existen los cabellos</w:t>
      </w:r>
      <w:r>
        <w:t xml:space="preserve"> en la cabeza</w:t>
      </w:r>
      <w:r w:rsidR="001D0C2A">
        <w:t xml:space="preserve">, </w:t>
      </w:r>
      <w:r>
        <w:t>… orina”.</w:t>
      </w:r>
    </w:p>
    <w:p w14:paraId="67041462" w14:textId="159CC3D8" w:rsidR="005408ED" w:rsidRDefault="005408ED" w:rsidP="005408ED">
      <w:r>
        <w:t>46. ​​</w:t>
      </w:r>
      <w:r>
        <w:tab/>
        <w:t xml:space="preserve">Aquí </w:t>
      </w:r>
      <w:r w:rsidR="00560F95">
        <w:rPr>
          <w:i/>
          <w:iCs/>
        </w:rPr>
        <w:t>existen</w:t>
      </w:r>
      <w:r>
        <w:t xml:space="preserve"> </w:t>
      </w:r>
      <w:r w:rsidR="006F0A26">
        <w:t>significa</w:t>
      </w:r>
      <w:r>
        <w:t xml:space="preserve">, allí se encuentran. </w:t>
      </w:r>
      <w:r w:rsidRPr="00094B50">
        <w:rPr>
          <w:i/>
          <w:iCs/>
        </w:rPr>
        <w:t>En est</w:t>
      </w:r>
      <w:r w:rsidR="00094B50" w:rsidRPr="00094B50">
        <w:rPr>
          <w:i/>
          <w:iCs/>
        </w:rPr>
        <w:t>e</w:t>
      </w:r>
      <w:r>
        <w:t xml:space="preserve">: en </w:t>
      </w:r>
      <w:r w:rsidR="00A70287">
        <w:t>é</w:t>
      </w:r>
      <w:r>
        <w:t>st</w:t>
      </w:r>
      <w:r w:rsidR="00094B50">
        <w:t>e</w:t>
      </w:r>
      <w:r>
        <w:t xml:space="preserve"> expresa</w:t>
      </w:r>
      <w:r w:rsidR="00A70287">
        <w:t>do</w:t>
      </w:r>
      <w:r>
        <w:t xml:space="preserve"> así: “desde la planta de los pies </w:t>
      </w:r>
      <w:r w:rsidR="003F136D">
        <w:t xml:space="preserve">hacia arriba </w:t>
      </w:r>
      <w:r>
        <w:t xml:space="preserve">y </w:t>
      </w:r>
      <w:r w:rsidR="003F136D">
        <w:t xml:space="preserve">desde la coronilla </w:t>
      </w:r>
      <w:r w:rsidR="000C3161">
        <w:t xml:space="preserve">hacia </w:t>
      </w:r>
      <w:r>
        <w:t>abajo y contenida en la piel, como llen</w:t>
      </w:r>
      <w:r w:rsidR="000C3161">
        <w:t>o</w:t>
      </w:r>
      <w:r>
        <w:t xml:space="preserve"> de muchas clases de inmundicias”. </w:t>
      </w:r>
      <w:r w:rsidRPr="000C3161">
        <w:rPr>
          <w:i/>
          <w:iCs/>
        </w:rPr>
        <w:t>Cuerpo</w:t>
      </w:r>
      <w:r>
        <w:t xml:space="preserve">: </w:t>
      </w:r>
      <w:r w:rsidR="00A70287">
        <w:t xml:space="preserve">en </w:t>
      </w:r>
      <w:r w:rsidR="003A5232">
        <w:t>e</w:t>
      </w:r>
      <w:r>
        <w:t xml:space="preserve">l </w:t>
      </w:r>
      <w:r w:rsidR="003A5232">
        <w:t>marco del cuerpo</w:t>
      </w:r>
      <w:r>
        <w:t xml:space="preserve">; </w:t>
      </w:r>
      <w:r w:rsidR="00F27A80">
        <w:t xml:space="preserve">ya </w:t>
      </w:r>
      <w:r>
        <w:t xml:space="preserve">que </w:t>
      </w:r>
      <w:r w:rsidR="00F27A80">
        <w:t>será a</w:t>
      </w:r>
      <w:r>
        <w:t xml:space="preserve">l </w:t>
      </w:r>
      <w:r w:rsidR="00F27A80">
        <w:t xml:space="preserve">marco del cuerpo a </w:t>
      </w:r>
      <w:r>
        <w:t xml:space="preserve">lo que se </w:t>
      </w:r>
      <w:r w:rsidR="00F27A80">
        <w:t xml:space="preserve">le </w:t>
      </w:r>
      <w:r>
        <w:t>llama</w:t>
      </w:r>
      <w:r w:rsidR="00F27A80">
        <w:t>rá</w:t>
      </w:r>
      <w:r>
        <w:t xml:space="preserve"> “cuerpo” (</w:t>
      </w:r>
      <w:proofErr w:type="spellStart"/>
      <w:r w:rsidRPr="008F1371">
        <w:rPr>
          <w:i/>
          <w:iCs/>
        </w:rPr>
        <w:t>kāya</w:t>
      </w:r>
      <w:proofErr w:type="spellEnd"/>
      <w:r>
        <w:t xml:space="preserve">) porque es un conglomerado de </w:t>
      </w:r>
      <w:r w:rsidR="00F27A80">
        <w:t>repugnancia</w:t>
      </w:r>
      <w:r>
        <w:t>, porque cosas tan viles (</w:t>
      </w:r>
      <w:proofErr w:type="spellStart"/>
      <w:r w:rsidRPr="008F1371">
        <w:rPr>
          <w:i/>
          <w:iCs/>
        </w:rPr>
        <w:t>kucchita</w:t>
      </w:r>
      <w:proofErr w:type="spellEnd"/>
      <w:r>
        <w:t xml:space="preserve">) como los </w:t>
      </w:r>
      <w:r w:rsidR="00443D62">
        <w:t>cabellos</w:t>
      </w:r>
      <w:r>
        <w:t xml:space="preserve"> de la cabeza, etc., y las cien enfermedades que comienzan con la enfermedad de los ojos, tienen como su origen </w:t>
      </w:r>
      <w:r w:rsidR="00443D62">
        <w:t>(</w:t>
      </w:r>
      <w:proofErr w:type="spellStart"/>
      <w:r w:rsidR="00443D62" w:rsidRPr="00443D62">
        <w:rPr>
          <w:i/>
          <w:iCs/>
        </w:rPr>
        <w:t>āya</w:t>
      </w:r>
      <w:proofErr w:type="spellEnd"/>
      <w:r w:rsidR="00443D62">
        <w:t xml:space="preserve">) </w:t>
      </w:r>
      <w:r w:rsidR="009A25FE">
        <w:t>a</w:t>
      </w:r>
      <w:r w:rsidR="00443D62">
        <w:t xml:space="preserve"> este cuerpo</w:t>
      </w:r>
      <w:r>
        <w:t>.</w:t>
      </w:r>
    </w:p>
    <w:p w14:paraId="39990753" w14:textId="3C88AB6F" w:rsidR="005408ED" w:rsidRDefault="00307CA9" w:rsidP="00941FB3">
      <w:pPr>
        <w:pStyle w:val="NormalConSangria"/>
      </w:pPr>
      <w:r>
        <w:rPr>
          <w:i/>
          <w:iCs/>
        </w:rPr>
        <w:t>Cabellos</w:t>
      </w:r>
      <w:r w:rsidR="005408ED" w:rsidRPr="00307CA9">
        <w:rPr>
          <w:i/>
          <w:iCs/>
        </w:rPr>
        <w:t xml:space="preserve"> de la cabeza</w:t>
      </w:r>
      <w:r w:rsidR="005408ED">
        <w:t xml:space="preserve">, </w:t>
      </w:r>
      <w:r w:rsidR="009A25FE" w:rsidRPr="009A25FE">
        <w:rPr>
          <w:i/>
          <w:iCs/>
        </w:rPr>
        <w:t xml:space="preserve">vellos </w:t>
      </w:r>
      <w:r w:rsidR="005408ED" w:rsidRPr="009A25FE">
        <w:rPr>
          <w:i/>
          <w:iCs/>
        </w:rPr>
        <w:t>del cuerpo</w:t>
      </w:r>
      <w:r w:rsidR="005408ED">
        <w:t xml:space="preserve">: estas cosas que comienzan con los </w:t>
      </w:r>
      <w:r w:rsidR="00443D62">
        <w:t>cabellos</w:t>
      </w:r>
      <w:r w:rsidR="005408ED">
        <w:t xml:space="preserve"> de la cabeza son los treinta y dos aspectos. La construcción aquí debe entenderse de esta manera: en este cuerpo </w:t>
      </w:r>
      <w:r w:rsidR="00941FB3">
        <w:t>se encuentran los cabellos</w:t>
      </w:r>
      <w:r w:rsidR="005408ED">
        <w:t xml:space="preserve"> </w:t>
      </w:r>
      <w:r w:rsidR="005F5E33">
        <w:t>de</w:t>
      </w:r>
      <w:r w:rsidR="005408ED">
        <w:t xml:space="preserve"> la cabeza, en este cuerpo </w:t>
      </w:r>
      <w:r w:rsidR="00941FB3">
        <w:t xml:space="preserve">se encuentran </w:t>
      </w:r>
      <w:r w:rsidR="005F5E33">
        <w:t xml:space="preserve">los </w:t>
      </w:r>
      <w:r w:rsidR="00941FB3">
        <w:t xml:space="preserve">vellos </w:t>
      </w:r>
      <w:r w:rsidR="005408ED">
        <w:t>en el cuerpo.</w:t>
      </w:r>
      <w:r w:rsidR="005408ED">
        <w:br w:type="page"/>
      </w:r>
    </w:p>
    <w:p w14:paraId="722F9901" w14:textId="5CD1438E" w:rsidR="00274370" w:rsidRDefault="00274370" w:rsidP="00274370">
      <w:r>
        <w:lastRenderedPageBreak/>
        <w:t xml:space="preserve">47. </w:t>
      </w:r>
      <w:r>
        <w:tab/>
        <w:t xml:space="preserve">Nadie que busque a lo largo de todo este </w:t>
      </w:r>
      <w:r w:rsidR="006831DC">
        <w:t>cuerpo</w:t>
      </w:r>
      <w:r>
        <w:t xml:space="preserve"> de una braza de largo, comenzando desde las plantas de los pies</w:t>
      </w:r>
      <w:r w:rsidR="006831DC" w:rsidRPr="006831DC">
        <w:t xml:space="preserve"> </w:t>
      </w:r>
      <w:r w:rsidR="006831DC">
        <w:t>hacia arriba</w:t>
      </w:r>
      <w:r>
        <w:t xml:space="preserve">, comenzando desde la parte superior de la cabeza </w:t>
      </w:r>
      <w:r w:rsidR="006831DC">
        <w:t xml:space="preserve">hacia abajo </w:t>
      </w:r>
      <w:r>
        <w:t xml:space="preserve">y comenzando desde la piel </w:t>
      </w:r>
      <w:r w:rsidR="00EF4A66">
        <w:t>perimetral hacia dentro</w:t>
      </w:r>
      <w:r>
        <w:t>, enc</w:t>
      </w:r>
      <w:r w:rsidR="006831DC">
        <w:t>o</w:t>
      </w:r>
      <w:r>
        <w:t>ntra</w:t>
      </w:r>
      <w:r w:rsidR="006831DC">
        <w:t>rá</w:t>
      </w:r>
      <w:r>
        <w:t xml:space="preserve"> jamás </w:t>
      </w:r>
      <w:r w:rsidR="006831DC">
        <w:t xml:space="preserve">ni en </w:t>
      </w:r>
      <w:r>
        <w:t>el más diminuto átomo</w:t>
      </w:r>
      <w:r w:rsidR="006831DC">
        <w:t>,</w:t>
      </w:r>
      <w:r>
        <w:t xml:space="preserve"> </w:t>
      </w:r>
      <w:r w:rsidR="006831DC">
        <w:t xml:space="preserve">algo </w:t>
      </w:r>
      <w:r>
        <w:t xml:space="preserve">hermoso en él, como </w:t>
      </w:r>
      <w:r w:rsidR="006831DC">
        <w:t xml:space="preserve">si fuese </w:t>
      </w:r>
      <w:r>
        <w:t xml:space="preserve">una perla, una gema, </w:t>
      </w:r>
      <w:r w:rsidR="006831DC">
        <w:t xml:space="preserve">un </w:t>
      </w:r>
      <w:r>
        <w:t xml:space="preserve">berilo, </w:t>
      </w:r>
      <w:r w:rsidR="006831DC">
        <w:t xml:space="preserve">unos </w:t>
      </w:r>
      <w:r>
        <w:t xml:space="preserve">áloes, </w:t>
      </w:r>
      <w:r w:rsidRPr="005B7CE2">
        <w:rPr>
          <w:vertAlign w:val="superscript"/>
        </w:rPr>
        <w:t>14</w:t>
      </w:r>
      <w:r>
        <w:t xml:space="preserve"> o </w:t>
      </w:r>
      <w:r w:rsidR="006831DC">
        <w:t xml:space="preserve">como el </w:t>
      </w:r>
      <w:r>
        <w:t xml:space="preserve">azafrán, </w:t>
      </w:r>
      <w:r w:rsidR="006831DC">
        <w:t xml:space="preserve">el </w:t>
      </w:r>
      <w:r>
        <w:t xml:space="preserve">alcanfor, </w:t>
      </w:r>
      <w:r w:rsidR="006831DC">
        <w:t xml:space="preserve">los </w:t>
      </w:r>
      <w:r>
        <w:t>talco</w:t>
      </w:r>
      <w:r w:rsidR="006831DC">
        <w:t>s</w:t>
      </w:r>
      <w:r>
        <w:t>; por el contrario, no enc</w:t>
      </w:r>
      <w:r w:rsidR="006831DC">
        <w:t>o</w:t>
      </w:r>
      <w:r>
        <w:t>ntra</w:t>
      </w:r>
      <w:r w:rsidR="006831DC">
        <w:t>rá</w:t>
      </w:r>
      <w:r>
        <w:t xml:space="preserve"> nada más que los diversos tipos de inmundicias muy malolientes, ofensiv</w:t>
      </w:r>
      <w:r w:rsidR="009A2C74">
        <w:t>o</w:t>
      </w:r>
      <w:r>
        <w:t xml:space="preserve">s y de aspecto monótono que consisten </w:t>
      </w:r>
      <w:r w:rsidR="009A2C74">
        <w:t xml:space="preserve">de </w:t>
      </w:r>
      <w:r w:rsidR="001E389A">
        <w:t xml:space="preserve">los </w:t>
      </w:r>
      <w:r w:rsidR="009A2C74">
        <w:t xml:space="preserve">cabellos </w:t>
      </w:r>
      <w:r w:rsidR="001E389A">
        <w:t xml:space="preserve">de </w:t>
      </w:r>
      <w:r>
        <w:t xml:space="preserve">la cabeza, </w:t>
      </w:r>
      <w:r w:rsidR="001E389A">
        <w:t xml:space="preserve">los </w:t>
      </w:r>
      <w:r w:rsidR="009A2C74">
        <w:t>vello</w:t>
      </w:r>
      <w:r w:rsidR="001E389A">
        <w:t>s</w:t>
      </w:r>
      <w:r w:rsidR="009A2C74">
        <w:t xml:space="preserve"> en </w:t>
      </w:r>
      <w:r>
        <w:t xml:space="preserve">el cuerpo y el resto. Por eso se dice: “En este cuerpo </w:t>
      </w:r>
      <w:r w:rsidR="009A2C74">
        <w:t xml:space="preserve">se encuentran </w:t>
      </w:r>
      <w:r w:rsidR="006207AB">
        <w:t xml:space="preserve">los </w:t>
      </w:r>
      <w:r w:rsidR="009A2C74">
        <w:t xml:space="preserve">cabellos en </w:t>
      </w:r>
      <w:r>
        <w:t xml:space="preserve">la cabeza, </w:t>
      </w:r>
      <w:r w:rsidR="006207AB">
        <w:t xml:space="preserve">los </w:t>
      </w:r>
      <w:r w:rsidR="00C2736E">
        <w:t xml:space="preserve">vellos </w:t>
      </w:r>
      <w:r>
        <w:t>en el cuerpo</w:t>
      </w:r>
      <w:r w:rsidR="006207AB">
        <w:t xml:space="preserve">, </w:t>
      </w:r>
      <w:r>
        <w:t xml:space="preserve">… </w:t>
      </w:r>
      <w:r w:rsidR="006207AB">
        <w:t xml:space="preserve">y la </w:t>
      </w:r>
      <w:r>
        <w:t>orina”.</w:t>
      </w:r>
    </w:p>
    <w:p w14:paraId="270DAE3B" w14:textId="216C8FB1" w:rsidR="00274370" w:rsidRDefault="006207AB" w:rsidP="00C2736E">
      <w:pPr>
        <w:pStyle w:val="NumeracinconSangra"/>
      </w:pPr>
      <w:r>
        <w:t>É</w:t>
      </w:r>
      <w:r w:rsidR="00274370">
        <w:t>ste es el comentario sobre la construcción de palabras aquí.</w:t>
      </w:r>
    </w:p>
    <w:p w14:paraId="69C5897D" w14:textId="77777777" w:rsidR="007C5E38" w:rsidRDefault="007C5E38" w:rsidP="00C2736E">
      <w:pPr>
        <w:pStyle w:val="NumeracinconSangra"/>
      </w:pPr>
    </w:p>
    <w:p w14:paraId="52E1D271" w14:textId="77777777" w:rsidR="00274370" w:rsidRDefault="00274370" w:rsidP="00274370">
      <w:pPr>
        <w:jc w:val="center"/>
      </w:pPr>
      <w:r>
        <w:t>[</w:t>
      </w:r>
      <w:r w:rsidRPr="00307CA9">
        <w:rPr>
          <w:i/>
          <w:iCs/>
        </w:rPr>
        <w:t>Desarrollo</w:t>
      </w:r>
      <w:r>
        <w:t>]</w:t>
      </w:r>
    </w:p>
    <w:p w14:paraId="3C531E0E" w14:textId="5A386CFB" w:rsidR="00274370" w:rsidRDefault="00274370" w:rsidP="00274370">
      <w:r>
        <w:t xml:space="preserve">48. </w:t>
      </w:r>
      <w:r>
        <w:tab/>
        <w:t>Ahora</w:t>
      </w:r>
      <w:r w:rsidR="00C2736E">
        <w:t xml:space="preserve"> bien</w:t>
      </w:r>
      <w:r>
        <w:t>, un miembro de clan que, como principiante, quier</w:t>
      </w:r>
      <w:r w:rsidR="007C25D1">
        <w:t>a</w:t>
      </w:r>
      <w:r>
        <w:t xml:space="preserve"> desarrollar este </w:t>
      </w:r>
      <w:r w:rsidR="007C25D1">
        <w:t xml:space="preserve">objeto </w:t>
      </w:r>
      <w:r>
        <w:t>de meditación debe acudir a</w:t>
      </w:r>
      <w:r w:rsidR="007C25D1">
        <w:t>nte</w:t>
      </w:r>
      <w:r>
        <w:t xml:space="preserve"> un buen amigo del tipo ya descrito (III.61–73) y aprender</w:t>
      </w:r>
      <w:r w:rsidR="00DD1C78">
        <w:t xml:space="preserve"> dicho objeto de él</w:t>
      </w:r>
      <w:r>
        <w:t>. Y el maestro que se lo exponga debe</w:t>
      </w:r>
      <w:r w:rsidR="00DD1C78">
        <w:t>rá</w:t>
      </w:r>
      <w:r>
        <w:t xml:space="preserve"> decirle la</w:t>
      </w:r>
      <w:r w:rsidR="00167663">
        <w:t>s</w:t>
      </w:r>
      <w:r>
        <w:t xml:space="preserve"> </w:t>
      </w:r>
      <w:r w:rsidR="00167663">
        <w:t>siete</w:t>
      </w:r>
      <w:r>
        <w:t xml:space="preserve"> </w:t>
      </w:r>
      <w:r w:rsidR="00167663">
        <w:t xml:space="preserve">habilidades </w:t>
      </w:r>
      <w:r w:rsidR="00DD1C78">
        <w:t>necesaria</w:t>
      </w:r>
      <w:r w:rsidR="00167663">
        <w:t>s</w:t>
      </w:r>
      <w:r w:rsidR="00DD1C78">
        <w:t xml:space="preserve"> </w:t>
      </w:r>
      <w:r>
        <w:t xml:space="preserve">para </w:t>
      </w:r>
      <w:r w:rsidR="00DD1C78">
        <w:t xml:space="preserve">el </w:t>
      </w:r>
      <w:r>
        <w:t>aprend</w:t>
      </w:r>
      <w:r w:rsidR="00DD1C78">
        <w:t>izaje</w:t>
      </w:r>
      <w:r>
        <w:t xml:space="preserve"> y la</w:t>
      </w:r>
      <w:r w:rsidR="00EB631C">
        <w:t>s diez</w:t>
      </w:r>
      <w:r>
        <w:t xml:space="preserve"> habilidad</w:t>
      </w:r>
      <w:r w:rsidR="00EB631C">
        <w:t>es</w:t>
      </w:r>
      <w:r>
        <w:t xml:space="preserve"> para prestar atención.</w:t>
      </w:r>
    </w:p>
    <w:p w14:paraId="5BB4D33B" w14:textId="5CEAB6F4" w:rsidR="00274370" w:rsidRDefault="00274370" w:rsidP="00274370">
      <w:pPr>
        <w:jc w:val="center"/>
      </w:pPr>
      <w:r>
        <w:t>[</w:t>
      </w:r>
      <w:r w:rsidRPr="00274370">
        <w:rPr>
          <w:i/>
          <w:iCs/>
        </w:rPr>
        <w:t>La</w:t>
      </w:r>
      <w:r w:rsidR="00EB631C">
        <w:rPr>
          <w:i/>
          <w:iCs/>
        </w:rPr>
        <w:t>s</w:t>
      </w:r>
      <w:r w:rsidRPr="00274370">
        <w:rPr>
          <w:i/>
          <w:iCs/>
        </w:rPr>
        <w:t xml:space="preserve"> </w:t>
      </w:r>
      <w:r w:rsidR="00C72EE6">
        <w:rPr>
          <w:i/>
          <w:iCs/>
        </w:rPr>
        <w:t>7</w:t>
      </w:r>
      <w:r w:rsidR="00EB631C">
        <w:rPr>
          <w:i/>
          <w:iCs/>
        </w:rPr>
        <w:t xml:space="preserve"> </w:t>
      </w:r>
      <w:r w:rsidRPr="00274370">
        <w:rPr>
          <w:i/>
          <w:iCs/>
        </w:rPr>
        <w:t>Habilidad</w:t>
      </w:r>
      <w:r w:rsidR="00EB631C">
        <w:rPr>
          <w:i/>
          <w:iCs/>
        </w:rPr>
        <w:t>es</w:t>
      </w:r>
      <w:r w:rsidRPr="00274370">
        <w:rPr>
          <w:i/>
          <w:iCs/>
        </w:rPr>
        <w:t xml:space="preserve"> </w:t>
      </w:r>
      <w:r w:rsidR="00EB631C">
        <w:rPr>
          <w:i/>
          <w:iCs/>
        </w:rPr>
        <w:t xml:space="preserve">para </w:t>
      </w:r>
      <w:r w:rsidRPr="00274370">
        <w:rPr>
          <w:i/>
          <w:iCs/>
        </w:rPr>
        <w:t>el Aprendizaje</w:t>
      </w:r>
      <w:r>
        <w:t>]</w:t>
      </w:r>
    </w:p>
    <w:p w14:paraId="43185799" w14:textId="59AAB507" w:rsidR="00274370" w:rsidRDefault="00274370" w:rsidP="00274370">
      <w:r>
        <w:t xml:space="preserve">En este </w:t>
      </w:r>
      <w:r w:rsidR="00D668AB">
        <w:t>texto</w:t>
      </w:r>
      <w:r>
        <w:t>, l</w:t>
      </w:r>
      <w:r w:rsidR="00D668AB">
        <w:t>as</w:t>
      </w:r>
      <w:r>
        <w:t xml:space="preserve"> </w:t>
      </w:r>
      <w:r w:rsidR="00D668AB">
        <w:t xml:space="preserve">siete </w:t>
      </w:r>
      <w:r>
        <w:t>habilidad</w:t>
      </w:r>
      <w:r w:rsidR="00D668AB">
        <w:t>es</w:t>
      </w:r>
      <w:r>
        <w:t xml:space="preserve"> </w:t>
      </w:r>
      <w:r w:rsidR="00D668AB">
        <w:t xml:space="preserve">para </w:t>
      </w:r>
      <w:r>
        <w:t>el aprendizaje debe</w:t>
      </w:r>
      <w:r w:rsidR="00D668AB">
        <w:t>n</w:t>
      </w:r>
      <w:r>
        <w:t xml:space="preserve"> expresarse así: </w:t>
      </w:r>
      <w:r w:rsidR="00A07868">
        <w:t xml:space="preserve">(1) como recitación verbal, (2) como recitación mental, (3) en cuanto al color, (4) en cuanto a la forma, (5) en cuanto a la dirección, (6) en cuanto a </w:t>
      </w:r>
      <w:r w:rsidR="008B1DBA">
        <w:t xml:space="preserve">la </w:t>
      </w:r>
      <w:r w:rsidR="00A07868">
        <w:t xml:space="preserve">ubicación </w:t>
      </w:r>
      <w:r w:rsidR="00B40A6D">
        <w:t xml:space="preserve">y </w:t>
      </w:r>
      <w:r w:rsidR="00A07868">
        <w:t xml:space="preserve">(7) en cuanto a </w:t>
      </w:r>
      <w:r w:rsidR="00327F1C">
        <w:t xml:space="preserve">la </w:t>
      </w:r>
      <w:r w:rsidR="00A07868">
        <w:t>delimitación</w:t>
      </w:r>
      <w:r>
        <w:t>.</w:t>
      </w:r>
    </w:p>
    <w:p w14:paraId="17E56845" w14:textId="5A823A41" w:rsidR="00274370" w:rsidRDefault="00274370" w:rsidP="00274370">
      <w:r>
        <w:t xml:space="preserve">49. </w:t>
      </w:r>
      <w:r>
        <w:tab/>
        <w:t xml:space="preserve">1. Este </w:t>
      </w:r>
      <w:r w:rsidR="00E758B0">
        <w:t>objeto</w:t>
      </w:r>
      <w:r>
        <w:t xml:space="preserve"> de meditación consiste en prestar atención a la repulsión. Incluso si uno </w:t>
      </w:r>
      <w:r w:rsidR="00E758B0">
        <w:t>fuese</w:t>
      </w:r>
      <w:r>
        <w:t xml:space="preserve"> maestro del </w:t>
      </w:r>
      <w:r w:rsidRPr="00307CA9">
        <w:rPr>
          <w:i/>
          <w:iCs/>
        </w:rPr>
        <w:t>Tipiṭaka</w:t>
      </w:r>
      <w:r>
        <w:t>, la recitación verbal aún debe</w:t>
      </w:r>
      <w:r w:rsidR="00262672">
        <w:t>rá</w:t>
      </w:r>
      <w:r>
        <w:t xml:space="preserve"> hacerse en el momento de prestarle atención por primera vez. Porque el </w:t>
      </w:r>
      <w:r w:rsidR="00E758B0">
        <w:t xml:space="preserve">objeto </w:t>
      </w:r>
      <w:r>
        <w:t xml:space="preserve">de la meditación solo se </w:t>
      </w:r>
      <w:r w:rsidR="00E758B0">
        <w:t>volverá</w:t>
      </w:r>
      <w:r>
        <w:t xml:space="preserve"> evidente para algunos a través de la recitación, como les sucedió a los dos </w:t>
      </w:r>
      <w:r w:rsidR="00BD472C">
        <w:t>Venerables</w:t>
      </w:r>
      <w:r>
        <w:t xml:space="preserve"> que aprendieron el </w:t>
      </w:r>
      <w:r w:rsidR="00BD472C">
        <w:t xml:space="preserve">objeto </w:t>
      </w:r>
      <w:r>
        <w:t xml:space="preserve">de la meditación del </w:t>
      </w:r>
      <w:r w:rsidR="00307CA9">
        <w:t xml:space="preserve">Venerable </w:t>
      </w:r>
      <w:r>
        <w:t xml:space="preserve">Mahā </w:t>
      </w:r>
      <w:r w:rsidR="00057BF4" w:rsidRPr="00BD472C">
        <w:rPr>
          <w:iCs/>
        </w:rPr>
        <w:t>Deva</w:t>
      </w:r>
      <w:r>
        <w:t xml:space="preserve"> de</w:t>
      </w:r>
      <w:r w:rsidR="00307CA9">
        <w:t xml:space="preserve">l País de la Colina </w:t>
      </w:r>
      <w:r>
        <w:t>(</w:t>
      </w:r>
      <w:proofErr w:type="gramStart"/>
      <w:r>
        <w:t>Malaya</w:t>
      </w:r>
      <w:proofErr w:type="gramEnd"/>
      <w:r>
        <w:t xml:space="preserve">). Al ser preguntado por el </w:t>
      </w:r>
      <w:r w:rsidR="00BD472C">
        <w:t xml:space="preserve">objeto </w:t>
      </w:r>
      <w:r>
        <w:t>de la meditación, parec</w:t>
      </w:r>
      <w:r w:rsidR="00BD472C">
        <w:t>iera</w:t>
      </w:r>
      <w:r>
        <w:t xml:space="preserve"> que el </w:t>
      </w:r>
      <w:r w:rsidR="00BD472C">
        <w:t xml:space="preserve">Venerable </w:t>
      </w:r>
      <w:r>
        <w:t xml:space="preserve">[242] </w:t>
      </w:r>
      <w:r w:rsidR="00BD472C">
        <w:t>citó</w:t>
      </w:r>
      <w:r>
        <w:t xml:space="preserve"> el texto de los treinta y dos aspectos, diciendo: “Ha</w:t>
      </w:r>
      <w:r w:rsidR="00BD472C">
        <w:t>ga</w:t>
      </w:r>
      <w:r>
        <w:t xml:space="preserve"> sólo esta recitación durante cuatro meses”. Aunque </w:t>
      </w:r>
      <w:r w:rsidR="008B0D4F">
        <w:t xml:space="preserve">el texto se refiriese </w:t>
      </w:r>
      <w:r>
        <w:t xml:space="preserve">respectivamente </w:t>
      </w:r>
      <w:r w:rsidR="008B0D4F">
        <w:t xml:space="preserve">a </w:t>
      </w:r>
      <w:r>
        <w:t xml:space="preserve">dos y tres </w:t>
      </w:r>
      <w:proofErr w:type="spellStart"/>
      <w:r w:rsidRPr="00307CA9">
        <w:rPr>
          <w:i/>
          <w:iCs/>
        </w:rPr>
        <w:t>Piṭakas</w:t>
      </w:r>
      <w:proofErr w:type="spellEnd"/>
      <w:r>
        <w:t xml:space="preserve">, fue solo al final de </w:t>
      </w:r>
      <w:r w:rsidR="008B0D4F">
        <w:t xml:space="preserve">los </w:t>
      </w:r>
      <w:r>
        <w:t xml:space="preserve">cuatro meses de recitación del </w:t>
      </w:r>
      <w:r w:rsidR="006E270F">
        <w:t xml:space="preserve">objeto </w:t>
      </w:r>
      <w:r>
        <w:t xml:space="preserve">de meditación que se sintieron </w:t>
      </w:r>
      <w:r w:rsidR="006E270F">
        <w:t>como</w:t>
      </w:r>
      <w:r>
        <w:t xml:space="preserve"> personas que </w:t>
      </w:r>
      <w:r w:rsidR="006E270F">
        <w:t xml:space="preserve">habían </w:t>
      </w:r>
      <w:r>
        <w:t>entra</w:t>
      </w:r>
      <w:r w:rsidR="006E270F">
        <w:t>do</w:t>
      </w:r>
      <w:r>
        <w:t xml:space="preserve"> </w:t>
      </w:r>
      <w:r w:rsidR="006E270F">
        <w:t>a</w:t>
      </w:r>
      <w:r>
        <w:t xml:space="preserve"> la corriente, con </w:t>
      </w:r>
      <w:r w:rsidR="006E270F">
        <w:t xml:space="preserve">una </w:t>
      </w:r>
      <w:r>
        <w:t xml:space="preserve">aprehensión correcta del texto. </w:t>
      </w:r>
      <w:r w:rsidR="00637867">
        <w:t>Por lo tanto</w:t>
      </w:r>
      <w:r>
        <w:t xml:space="preserve">, el maestro que </w:t>
      </w:r>
      <w:r w:rsidR="006E270F">
        <w:t>expuso</w:t>
      </w:r>
      <w:r>
        <w:t xml:space="preserve"> el </w:t>
      </w:r>
      <w:r w:rsidR="006E270F">
        <w:t xml:space="preserve">objeto </w:t>
      </w:r>
      <w:r>
        <w:t>de meditación deb</w:t>
      </w:r>
      <w:r w:rsidR="006E270F">
        <w:t>ió</w:t>
      </w:r>
      <w:r>
        <w:t xml:space="preserve"> decirle </w:t>
      </w:r>
      <w:r w:rsidR="006E270F">
        <w:t xml:space="preserve">a su discípulo </w:t>
      </w:r>
      <w:r>
        <w:t>que primero haga la recitación verbalmente.</w:t>
      </w:r>
    </w:p>
    <w:p w14:paraId="56DDD0D1" w14:textId="7C516FE7" w:rsidR="00274370" w:rsidRDefault="00274370" w:rsidP="00274370">
      <w:r>
        <w:t xml:space="preserve">50. </w:t>
      </w:r>
      <w:r>
        <w:tab/>
        <w:t>Ahora</w:t>
      </w:r>
      <w:r w:rsidR="006E270F">
        <w:t xml:space="preserve"> bien</w:t>
      </w:r>
      <w:r>
        <w:t xml:space="preserve">, cuando </w:t>
      </w:r>
      <w:r w:rsidR="004D02CE">
        <w:t xml:space="preserve">se </w:t>
      </w:r>
      <w:r>
        <w:t>ha</w:t>
      </w:r>
      <w:r w:rsidR="004D02CE">
        <w:t>ga</w:t>
      </w:r>
      <w:r>
        <w:t xml:space="preserve"> la recitación, debe</w:t>
      </w:r>
      <w:r w:rsidR="004D02CE">
        <w:t>rá</w:t>
      </w:r>
      <w:r>
        <w:t xml:space="preserve"> dividirla en “</w:t>
      </w:r>
      <w:r w:rsidR="004D02CE">
        <w:t xml:space="preserve">la </w:t>
      </w:r>
      <w:proofErr w:type="spellStart"/>
      <w:r w:rsidR="00751A63">
        <w:t>pentada</w:t>
      </w:r>
      <w:proofErr w:type="spellEnd"/>
      <w:r w:rsidR="00751A63">
        <w:t xml:space="preserve"> </w:t>
      </w:r>
      <w:r w:rsidR="004D02CE">
        <w:t>piel</w:t>
      </w:r>
      <w:r>
        <w:t>”, etc., y hacerlo hacia adelante y hacia atrás. Después de decir “</w:t>
      </w:r>
      <w:r w:rsidR="004D02CE">
        <w:t>Cabellos</w:t>
      </w:r>
      <w:r>
        <w:t xml:space="preserve"> de la cabeza, </w:t>
      </w:r>
      <w:r w:rsidR="004D02CE">
        <w:t xml:space="preserve">vellos </w:t>
      </w:r>
      <w:r>
        <w:t>del cuerpo, uñas, dientes, piel”, debe</w:t>
      </w:r>
      <w:r w:rsidR="0021153E">
        <w:t>rá</w:t>
      </w:r>
      <w:r>
        <w:t xml:space="preserve"> repetirlo al revés: “Piel, dientes, uñas, </w:t>
      </w:r>
      <w:r w:rsidR="004D02CE">
        <w:t xml:space="preserve">vellos </w:t>
      </w:r>
      <w:r>
        <w:t xml:space="preserve">del cuerpo, </w:t>
      </w:r>
      <w:r w:rsidR="004D02CE">
        <w:t xml:space="preserve">cabellos </w:t>
      </w:r>
      <w:r>
        <w:t>de la cabeza”.</w:t>
      </w:r>
    </w:p>
    <w:p w14:paraId="16A0D325" w14:textId="0C4F9379" w:rsidR="00274370" w:rsidRDefault="00274370" w:rsidP="00274370">
      <w:r>
        <w:t xml:space="preserve">51. </w:t>
      </w:r>
      <w:r>
        <w:tab/>
        <w:t>A continuación, con l</w:t>
      </w:r>
      <w:r w:rsidR="00441F24">
        <w:t>a</w:t>
      </w:r>
      <w:r>
        <w:t xml:space="preserve"> “</w:t>
      </w:r>
      <w:proofErr w:type="spellStart"/>
      <w:r w:rsidR="00751A63">
        <w:t>pentada</w:t>
      </w:r>
      <w:proofErr w:type="spellEnd"/>
      <w:r w:rsidR="00751A63">
        <w:t xml:space="preserve"> </w:t>
      </w:r>
      <w:r>
        <w:t>riñón”, después de decir “Carne, tendones, huesos, tuétano, riñón”, debe</w:t>
      </w:r>
      <w:r w:rsidR="00B43BEA">
        <w:t>rá</w:t>
      </w:r>
      <w:r>
        <w:t xml:space="preserve"> repetir</w:t>
      </w:r>
      <w:r w:rsidR="00441F24">
        <w:t xml:space="preserve"> todo</w:t>
      </w:r>
      <w:r>
        <w:t xml:space="preserve"> al revés, “</w:t>
      </w:r>
      <w:proofErr w:type="spellStart"/>
      <w:r>
        <w:t>Riñon</w:t>
      </w:r>
      <w:proofErr w:type="spellEnd"/>
      <w:r>
        <w:t xml:space="preserve">, tuétano, huesos, tendones, carne; piel, dientes, uñas, </w:t>
      </w:r>
      <w:r w:rsidR="00441F24">
        <w:t xml:space="preserve">vellos </w:t>
      </w:r>
      <w:r>
        <w:t xml:space="preserve">del cuerpo, </w:t>
      </w:r>
      <w:r w:rsidR="00441F24">
        <w:t xml:space="preserve">cabellos </w:t>
      </w:r>
      <w:r>
        <w:t>de la cabeza”.</w:t>
      </w:r>
    </w:p>
    <w:p w14:paraId="32D0F787" w14:textId="303C7109" w:rsidR="00274370" w:rsidRDefault="00274370" w:rsidP="00274370">
      <w:r>
        <w:t xml:space="preserve">52. </w:t>
      </w:r>
      <w:r>
        <w:tab/>
        <w:t>Luego, con l</w:t>
      </w:r>
      <w:r w:rsidR="00441F24">
        <w:t>a</w:t>
      </w:r>
      <w:r>
        <w:t xml:space="preserve"> “</w:t>
      </w:r>
      <w:proofErr w:type="spellStart"/>
      <w:r w:rsidR="00751A63">
        <w:t>pentada</w:t>
      </w:r>
      <w:proofErr w:type="spellEnd"/>
      <w:r w:rsidR="00751A63">
        <w:t xml:space="preserve"> </w:t>
      </w:r>
      <w:r>
        <w:t>pulmones”, después de decir “Corazón, hígado, estómago, bazo, pulmones”, debe</w:t>
      </w:r>
      <w:r w:rsidR="00441F24">
        <w:t>rá</w:t>
      </w:r>
      <w:r>
        <w:t xml:space="preserve"> repetir</w:t>
      </w:r>
      <w:r w:rsidR="00441F24">
        <w:t xml:space="preserve"> todo</w:t>
      </w:r>
      <w:r>
        <w:t xml:space="preserve"> al revés</w:t>
      </w:r>
      <w:r w:rsidR="00441F24">
        <w:t xml:space="preserve"> así:</w:t>
      </w:r>
      <w:r>
        <w:t xml:space="preserve"> “Pulmones, bazo, estómago, hígado, corazón; riñón, médula ósea, huesos, tendones, carne; piel, dientes, uñas, </w:t>
      </w:r>
      <w:r w:rsidR="000125E9">
        <w:t>vellos</w:t>
      </w:r>
      <w:r>
        <w:t xml:space="preserve"> del cuerpo, </w:t>
      </w:r>
      <w:r w:rsidR="000125E9">
        <w:t xml:space="preserve">cabellos </w:t>
      </w:r>
      <w:r>
        <w:t>de la cabeza”.</w:t>
      </w:r>
    </w:p>
    <w:p w14:paraId="203540B7" w14:textId="77777777" w:rsidR="00274370" w:rsidRDefault="00274370" w:rsidP="00274370">
      <w:pPr>
        <w:pStyle w:val="Piedepgina"/>
        <w:rPr>
          <w:u w:val="single"/>
        </w:rPr>
      </w:pPr>
      <w:r>
        <w:rPr>
          <w:u w:val="single"/>
        </w:rPr>
        <w:t xml:space="preserve">                                                                                                                                                                          .</w:t>
      </w:r>
    </w:p>
    <w:p w14:paraId="468F5362" w14:textId="0EE2C71F" w:rsidR="00274370" w:rsidRDefault="00274370" w:rsidP="00274370">
      <w:pPr>
        <w:pStyle w:val="PiedepginaLegal"/>
      </w:pPr>
      <w:r>
        <w:t xml:space="preserve">14. </w:t>
      </w:r>
      <w:r>
        <w:tab/>
      </w:r>
      <w:proofErr w:type="spellStart"/>
      <w:r w:rsidRPr="00307CA9">
        <w:rPr>
          <w:i/>
          <w:iCs/>
        </w:rPr>
        <w:t>Agaru</w:t>
      </w:r>
      <w:proofErr w:type="spellEnd"/>
      <w:r>
        <w:t xml:space="preserve">— “áloes”: no se </w:t>
      </w:r>
      <w:r w:rsidR="00AE743B">
        <w:t>transcribe</w:t>
      </w:r>
      <w:r>
        <w:t xml:space="preserve"> así en </w:t>
      </w:r>
      <w:r w:rsidR="009F3EBA">
        <w:t xml:space="preserve">el </w:t>
      </w:r>
      <w:r>
        <w:t xml:space="preserve">PED; </w:t>
      </w:r>
      <w:r w:rsidR="009F3EBA">
        <w:t>no obstante, ver</w:t>
      </w:r>
      <w:r>
        <w:t xml:space="preserve"> </w:t>
      </w:r>
      <w:proofErr w:type="spellStart"/>
      <w:r w:rsidRPr="00307CA9">
        <w:rPr>
          <w:i/>
          <w:iCs/>
        </w:rPr>
        <w:t>agal</w:t>
      </w:r>
      <w:r w:rsidR="00EC741F">
        <w:rPr>
          <w:i/>
          <w:iCs/>
        </w:rPr>
        <w:t>u</w:t>
      </w:r>
      <w:proofErr w:type="spellEnd"/>
      <w:r>
        <w:t>.</w:t>
      </w:r>
    </w:p>
    <w:p w14:paraId="2E1B7289" w14:textId="77777777" w:rsidR="00274370" w:rsidRDefault="00274370">
      <w:pPr>
        <w:tabs>
          <w:tab w:val="clear" w:pos="425"/>
        </w:tabs>
        <w:spacing w:after="160"/>
        <w:rPr>
          <w:color w:val="000000" w:themeColor="text1"/>
          <w:spacing w:val="10"/>
          <w:sz w:val="14"/>
        </w:rPr>
      </w:pPr>
      <w:r>
        <w:br w:type="page"/>
      </w:r>
    </w:p>
    <w:p w14:paraId="3B4F485E" w14:textId="4D557F50" w:rsidR="00AA78CC" w:rsidRDefault="00AA78CC" w:rsidP="00AA78CC">
      <w:r>
        <w:lastRenderedPageBreak/>
        <w:t xml:space="preserve">53. </w:t>
      </w:r>
      <w:r>
        <w:tab/>
        <w:t xml:space="preserve">Luego, con </w:t>
      </w:r>
      <w:r w:rsidR="007E2BF6">
        <w:t>el</w:t>
      </w:r>
      <w:r>
        <w:t xml:space="preserve"> “</w:t>
      </w:r>
      <w:r w:rsidR="007E2BF6">
        <w:t xml:space="preserve">quíntuplo </w:t>
      </w:r>
      <w:r>
        <w:t>cerebro”, después de decir “</w:t>
      </w:r>
      <w:r w:rsidR="00754B7C">
        <w:t>Intestinos</w:t>
      </w:r>
      <w:r>
        <w:t>, entrañas, garganta, estiércol, cerebro”, debe</w:t>
      </w:r>
      <w:r w:rsidR="00754B7C">
        <w:t>rá</w:t>
      </w:r>
      <w:r>
        <w:t xml:space="preserve"> repetir </w:t>
      </w:r>
      <w:r w:rsidR="00754B7C">
        <w:t xml:space="preserve">todo </w:t>
      </w:r>
      <w:r>
        <w:t xml:space="preserve">al revés, “Cerebro, estiércol, garganta, entrañas, </w:t>
      </w:r>
      <w:r w:rsidR="00754B7C">
        <w:t>intestinos</w:t>
      </w:r>
      <w:r>
        <w:t>; pulmones, bazo, estómago, hígado, corazón; riñón, médula ósea, huesos, tendones, carne; piel, dientes, uñas, pelos del cuerpo, pelos de la cabeza”.</w:t>
      </w:r>
    </w:p>
    <w:p w14:paraId="6B981FDA" w14:textId="39CC6F48" w:rsidR="00AA78CC" w:rsidRDefault="00AA78CC" w:rsidP="00AA78CC">
      <w:r>
        <w:t xml:space="preserve">54. </w:t>
      </w:r>
      <w:r>
        <w:tab/>
        <w:t xml:space="preserve">Luego, con </w:t>
      </w:r>
      <w:r w:rsidR="00DE131B">
        <w:t>e</w:t>
      </w:r>
      <w:r>
        <w:t>l “</w:t>
      </w:r>
      <w:proofErr w:type="gramStart"/>
      <w:r w:rsidR="00754B7C">
        <w:t>s</w:t>
      </w:r>
      <w:r w:rsidR="00DE131B">
        <w:t>é</w:t>
      </w:r>
      <w:r w:rsidR="00754B7C">
        <w:t>xt</w:t>
      </w:r>
      <w:r w:rsidR="00DE131B">
        <w:t>uplo</w:t>
      </w:r>
      <w:r w:rsidR="00754B7C">
        <w:t xml:space="preserve"> </w:t>
      </w:r>
      <w:r>
        <w:t>grasa</w:t>
      </w:r>
      <w:proofErr w:type="gramEnd"/>
      <w:r>
        <w:t xml:space="preserve">”, después de decir “bilis, flema, pus, sangre, sudor, grasa”, </w:t>
      </w:r>
      <w:r w:rsidR="00A73ACC">
        <w:t xml:space="preserve">deberá repetir todo </w:t>
      </w:r>
      <w:r>
        <w:t xml:space="preserve">al revés, “grasa, sudor, sangre, pus, flema, bilis; cerebro, estiércol, garganta, entrañas, intestinos; pulmones, bazo, estómago, hígado, corazón; riñón, médula ósea, huesos, tendones, carne; piel, dientes, uñas, </w:t>
      </w:r>
      <w:r w:rsidR="00A73ACC">
        <w:t>vellos</w:t>
      </w:r>
      <w:r>
        <w:t xml:space="preserve"> del cuerpo, </w:t>
      </w:r>
      <w:r w:rsidR="00A73ACC">
        <w:t xml:space="preserve">cabellos </w:t>
      </w:r>
      <w:r>
        <w:t>de la cabeza”.</w:t>
      </w:r>
    </w:p>
    <w:p w14:paraId="460AE901" w14:textId="6AE5CC9F" w:rsidR="00AA78CC" w:rsidRDefault="00AA78CC" w:rsidP="00AA78CC">
      <w:r>
        <w:t xml:space="preserve">55. </w:t>
      </w:r>
      <w:r>
        <w:tab/>
        <w:t>A continuación, con la “</w:t>
      </w:r>
      <w:proofErr w:type="spellStart"/>
      <w:r w:rsidR="00A73ACC">
        <w:t>sextada</w:t>
      </w:r>
      <w:proofErr w:type="spellEnd"/>
      <w:r w:rsidR="00A73ACC">
        <w:t xml:space="preserve"> </w:t>
      </w:r>
      <w:r>
        <w:t xml:space="preserve">orina”, después de decir “Lágrimas, grasa, saliva, mocos, aceite de las articulaciones, orina”, </w:t>
      </w:r>
      <w:r w:rsidR="00A73ACC">
        <w:t xml:space="preserve">deberá repetir todo </w:t>
      </w:r>
      <w:r>
        <w:t xml:space="preserve">al revés, “Orina, aceite de las articulaciones, mocos, saliva, grasa, lágrimas; grasa, sudor, sangre, pus, flema, bilis; cerebro, estiércol, garganta, entrañas, intestinos; pulmones, bazo, estómago, hígado, corazón; riñón, médula ósea, huesos, tendones, carne; piel, dientes, uñas, </w:t>
      </w:r>
      <w:r w:rsidR="004541E0">
        <w:t>vellos</w:t>
      </w:r>
      <w:r>
        <w:t xml:space="preserve"> del cuerpo, </w:t>
      </w:r>
      <w:r w:rsidR="004541E0">
        <w:t xml:space="preserve">cabellos </w:t>
      </w:r>
      <w:r>
        <w:t>de la cabeza”. [243]</w:t>
      </w:r>
    </w:p>
    <w:p w14:paraId="2B999A1D" w14:textId="39598DE7" w:rsidR="00AA78CC" w:rsidRDefault="00AA78CC" w:rsidP="00AA78CC">
      <w:r>
        <w:t xml:space="preserve">56. </w:t>
      </w:r>
      <w:r>
        <w:tab/>
        <w:t>La recitación debe</w:t>
      </w:r>
      <w:r w:rsidR="009F3EBA">
        <w:t>rá</w:t>
      </w:r>
      <w:r>
        <w:t xml:space="preserve"> hacerse verbalmente de esta manera cien veces, mil veces, inclus</w:t>
      </w:r>
      <w:r w:rsidR="004541E0">
        <w:t>ive</w:t>
      </w:r>
      <w:r>
        <w:t xml:space="preserve"> cien mil veces. Porque </w:t>
      </w:r>
      <w:r w:rsidR="004541E0">
        <w:t>será</w:t>
      </w:r>
      <w:r>
        <w:t xml:space="preserve"> a través de la recitación verbal que el </w:t>
      </w:r>
      <w:r w:rsidR="004541E0">
        <w:t xml:space="preserve">objeto </w:t>
      </w:r>
      <w:r>
        <w:t>de la meditación se v</w:t>
      </w:r>
      <w:r w:rsidR="004541E0">
        <w:t>o</w:t>
      </w:r>
      <w:r>
        <w:t>lve</w:t>
      </w:r>
      <w:r w:rsidR="004541E0">
        <w:t>rá</w:t>
      </w:r>
      <w:r>
        <w:t xml:space="preserve"> familiar, y siendo así impedi</w:t>
      </w:r>
      <w:r w:rsidR="004541E0">
        <w:t>rá</w:t>
      </w:r>
      <w:r>
        <w:t xml:space="preserve"> </w:t>
      </w:r>
      <w:r w:rsidR="004541E0">
        <w:t xml:space="preserve">a </w:t>
      </w:r>
      <w:r>
        <w:t xml:space="preserve">la mente de </w:t>
      </w:r>
      <w:r w:rsidR="001E1B0F">
        <w:t xml:space="preserve">que </w:t>
      </w:r>
      <w:r>
        <w:t>corr</w:t>
      </w:r>
      <w:r w:rsidR="001E1B0F">
        <w:t>a</w:t>
      </w:r>
      <w:r>
        <w:t xml:space="preserve"> </w:t>
      </w:r>
      <w:r w:rsidR="004541E0">
        <w:t xml:space="preserve">de </w:t>
      </w:r>
      <w:r>
        <w:t xml:space="preserve">aquí </w:t>
      </w:r>
      <w:r w:rsidR="001E1B0F">
        <w:t xml:space="preserve">para </w:t>
      </w:r>
      <w:r>
        <w:t xml:space="preserve">allá, las partes se </w:t>
      </w:r>
      <w:r w:rsidR="004541E0">
        <w:t xml:space="preserve">volverán </w:t>
      </w:r>
      <w:r>
        <w:t>evidentes y los dedos de</w:t>
      </w:r>
      <w:r w:rsidR="002D40F7">
        <w:t>l</w:t>
      </w:r>
      <w:r>
        <w:t xml:space="preserve"> par de </w:t>
      </w:r>
      <w:r w:rsidR="002D40F7">
        <w:t xml:space="preserve">las </w:t>
      </w:r>
      <w:r>
        <w:t>manos entrelazadas,</w:t>
      </w:r>
      <w:r w:rsidRPr="00C87877">
        <w:rPr>
          <w:vertAlign w:val="superscript"/>
        </w:rPr>
        <w:t>15</w:t>
      </w:r>
      <w:r>
        <w:t xml:space="preserve"> </w:t>
      </w:r>
      <w:r w:rsidR="002D40F7">
        <w:t>parecerán a</w:t>
      </w:r>
      <w:r>
        <w:t xml:space="preserve"> una fila de postes de una cerca.</w:t>
      </w:r>
    </w:p>
    <w:p w14:paraId="3EBA20B4" w14:textId="747C56AA" w:rsidR="00AA78CC" w:rsidRDefault="00AA78CC" w:rsidP="00AA78CC">
      <w:r>
        <w:t xml:space="preserve">57. </w:t>
      </w:r>
      <w:r>
        <w:tab/>
        <w:t xml:space="preserve">2. La </w:t>
      </w:r>
      <w:r w:rsidRPr="00EC741F">
        <w:rPr>
          <w:i/>
          <w:iCs/>
        </w:rPr>
        <w:t>recitación mental</w:t>
      </w:r>
      <w:r>
        <w:t xml:space="preserve"> </w:t>
      </w:r>
      <w:r w:rsidR="002D40F7">
        <w:t xml:space="preserve">deberá </w:t>
      </w:r>
      <w:r>
        <w:t>hacerse tal como se ha</w:t>
      </w:r>
      <w:r w:rsidR="002D40F7">
        <w:t>ga</w:t>
      </w:r>
      <w:r>
        <w:t xml:space="preserve"> verbalmente. Porque la recitación verbal </w:t>
      </w:r>
      <w:r w:rsidR="002D40F7">
        <w:t xml:space="preserve">será </w:t>
      </w:r>
      <w:r>
        <w:t xml:space="preserve">una condición para la recitación mental, y la recitación mental </w:t>
      </w:r>
      <w:r w:rsidR="002D40F7">
        <w:t xml:space="preserve">será </w:t>
      </w:r>
      <w:r>
        <w:t>una condición para la penetración e</w:t>
      </w:r>
      <w:r w:rsidR="002D40F7">
        <w:t>n</w:t>
      </w:r>
      <w:r>
        <w:t xml:space="preserve"> la característica de la </w:t>
      </w:r>
      <w:r w:rsidR="008D7A61">
        <w:t>repugnancia</w:t>
      </w:r>
      <w:r>
        <w:t>.</w:t>
      </w:r>
      <w:r w:rsidRPr="00C87877">
        <w:rPr>
          <w:vertAlign w:val="superscript"/>
        </w:rPr>
        <w:t>16</w:t>
      </w:r>
    </w:p>
    <w:p w14:paraId="05856EE3" w14:textId="4E26EC63" w:rsidR="00AA78CC" w:rsidRDefault="00AA78CC" w:rsidP="00AA78CC">
      <w:r>
        <w:t>58.</w:t>
      </w:r>
      <w:r>
        <w:tab/>
        <w:t xml:space="preserve">3. </w:t>
      </w:r>
      <w:r w:rsidRPr="00EC741F">
        <w:rPr>
          <w:i/>
          <w:iCs/>
        </w:rPr>
        <w:t>En cuanto al color</w:t>
      </w:r>
      <w:r>
        <w:t xml:space="preserve">: </w:t>
      </w:r>
      <w:r w:rsidR="002D40F7">
        <w:t xml:space="preserve">deberá </w:t>
      </w:r>
      <w:r>
        <w:t xml:space="preserve">definirse el color de los </w:t>
      </w:r>
      <w:r w:rsidR="009A7159">
        <w:t>cabellos</w:t>
      </w:r>
      <w:r>
        <w:t xml:space="preserve"> de la cabeza, etc.</w:t>
      </w:r>
    </w:p>
    <w:p w14:paraId="6AFBB79B" w14:textId="6CDB7AFE" w:rsidR="00AA78CC" w:rsidRDefault="00AA78CC" w:rsidP="00AA78CC">
      <w:r>
        <w:t xml:space="preserve"> </w:t>
      </w:r>
      <w:r>
        <w:tab/>
        <w:t xml:space="preserve">4. </w:t>
      </w:r>
      <w:r w:rsidRPr="00EC741F">
        <w:rPr>
          <w:i/>
          <w:iCs/>
        </w:rPr>
        <w:t>En cuanto a la forma</w:t>
      </w:r>
      <w:r>
        <w:t xml:space="preserve">: también se </w:t>
      </w:r>
      <w:r w:rsidR="002D40F7">
        <w:t xml:space="preserve">deberá </w:t>
      </w:r>
      <w:r>
        <w:t>definir su forma.</w:t>
      </w:r>
    </w:p>
    <w:p w14:paraId="55BF978A" w14:textId="1092CD4E" w:rsidR="00AA78CC" w:rsidRDefault="00AA78CC" w:rsidP="00AA78CC">
      <w:r>
        <w:t xml:space="preserve">    </w:t>
      </w:r>
      <w:r>
        <w:tab/>
        <w:t xml:space="preserve">5. </w:t>
      </w:r>
      <w:r w:rsidRPr="00EC741F">
        <w:rPr>
          <w:i/>
          <w:iCs/>
        </w:rPr>
        <w:t>En cuanto a la dirección</w:t>
      </w:r>
      <w:r>
        <w:t xml:space="preserve">: en este cuerpo, desde el ombligo </w:t>
      </w:r>
      <w:r w:rsidR="002D40F7">
        <w:t xml:space="preserve">hacia arriba será </w:t>
      </w:r>
      <w:r>
        <w:t xml:space="preserve">la </w:t>
      </w:r>
      <w:r w:rsidRPr="003E1667">
        <w:rPr>
          <w:i/>
          <w:iCs/>
        </w:rPr>
        <w:t>dirección hacia arriba</w:t>
      </w:r>
      <w:r>
        <w:t xml:space="preserve">, y desde él </w:t>
      </w:r>
      <w:r w:rsidR="002D40F7">
        <w:t xml:space="preserve">hacia abajo será </w:t>
      </w:r>
      <w:r>
        <w:t xml:space="preserve">la </w:t>
      </w:r>
      <w:r w:rsidRPr="003E1667">
        <w:rPr>
          <w:i/>
          <w:iCs/>
        </w:rPr>
        <w:t>dirección hacia abajo</w:t>
      </w:r>
      <w:r>
        <w:t xml:space="preserve">. Entonces, la dirección </w:t>
      </w:r>
      <w:r w:rsidR="002D40F7">
        <w:t xml:space="preserve">deberá </w:t>
      </w:r>
      <w:r>
        <w:t>definirse así: "Esta parte está en esta dirección".</w:t>
      </w:r>
    </w:p>
    <w:p w14:paraId="32256811" w14:textId="5A65E404" w:rsidR="00AA78CC" w:rsidRDefault="00AA78CC" w:rsidP="00AA78CC">
      <w:r>
        <w:tab/>
        <w:t xml:space="preserve">6. </w:t>
      </w:r>
      <w:r w:rsidRPr="00EC741F">
        <w:rPr>
          <w:i/>
          <w:iCs/>
        </w:rPr>
        <w:t>En cuanto a la ubicación</w:t>
      </w:r>
      <w:r>
        <w:t xml:space="preserve">: la ubicación de tal o cual parte </w:t>
      </w:r>
      <w:r w:rsidR="0030549F">
        <w:t xml:space="preserve">deberá </w:t>
      </w:r>
      <w:r>
        <w:t xml:space="preserve">definirse así: “Esta parte </w:t>
      </w:r>
      <w:r w:rsidR="0030549F">
        <w:t>está</w:t>
      </w:r>
      <w:r>
        <w:t xml:space="preserve"> establec</w:t>
      </w:r>
      <w:r w:rsidR="0030549F">
        <w:t>ida</w:t>
      </w:r>
      <w:r>
        <w:t xml:space="preserve"> en esta ubicación”.</w:t>
      </w:r>
    </w:p>
    <w:p w14:paraId="60163355" w14:textId="19298CC0" w:rsidR="00AA78CC" w:rsidRDefault="00AA78CC" w:rsidP="00AA78CC">
      <w:r>
        <w:t xml:space="preserve">59. </w:t>
      </w:r>
      <w:r>
        <w:tab/>
        <w:t xml:space="preserve">7. </w:t>
      </w:r>
      <w:r w:rsidRPr="00EC741F">
        <w:rPr>
          <w:i/>
          <w:iCs/>
        </w:rPr>
        <w:t>En cuanto a la delimitación</w:t>
      </w:r>
      <w:r>
        <w:t xml:space="preserve">: </w:t>
      </w:r>
      <w:r w:rsidR="0030549F">
        <w:t xml:space="preserve">habrá </w:t>
      </w:r>
      <w:r>
        <w:t xml:space="preserve">dos clases de delimitación, </w:t>
      </w:r>
      <w:r w:rsidR="0030549F">
        <w:t>es decir</w:t>
      </w:r>
      <w:r>
        <w:t xml:space="preserve">, </w:t>
      </w:r>
      <w:r w:rsidR="0030549F">
        <w:t xml:space="preserve">la </w:t>
      </w:r>
      <w:r>
        <w:t xml:space="preserve">delimitación de lo similar y </w:t>
      </w:r>
      <w:r w:rsidR="0030549F">
        <w:t xml:space="preserve">la </w:t>
      </w:r>
      <w:r>
        <w:t xml:space="preserve">delimitación de lo </w:t>
      </w:r>
      <w:r w:rsidR="00F916A8">
        <w:t>disimilar</w:t>
      </w:r>
      <w:r>
        <w:t xml:space="preserve">. Aquí, la delimitación de lo similar </w:t>
      </w:r>
      <w:r w:rsidR="0030549F">
        <w:t xml:space="preserve">deberá </w:t>
      </w:r>
      <w:r>
        <w:t xml:space="preserve">entenderse así: “Esta parte está delimitada </w:t>
      </w:r>
      <w:r w:rsidR="0030549F">
        <w:t xml:space="preserve">hacia </w:t>
      </w:r>
      <w:r>
        <w:t xml:space="preserve">arriba y </w:t>
      </w:r>
      <w:r w:rsidR="0030549F">
        <w:t xml:space="preserve">hacia </w:t>
      </w:r>
      <w:r>
        <w:t xml:space="preserve">abajo y alrededor por esto”. La delimitación de lo </w:t>
      </w:r>
      <w:r w:rsidR="00F916A8">
        <w:t xml:space="preserve">disimilar </w:t>
      </w:r>
      <w:r w:rsidR="0030549F">
        <w:t xml:space="preserve">deberá </w:t>
      </w:r>
      <w:r>
        <w:t>entenderse como no entremezclad</w:t>
      </w:r>
      <w:r w:rsidR="0030549F">
        <w:t>a</w:t>
      </w:r>
      <w:r>
        <w:t xml:space="preserve"> de esta manera: "Los </w:t>
      </w:r>
      <w:r w:rsidR="0030549F">
        <w:t>cabellos</w:t>
      </w:r>
      <w:r>
        <w:t xml:space="preserve"> de la cabeza no son </w:t>
      </w:r>
      <w:r w:rsidR="0030549F">
        <w:t xml:space="preserve">los vellos </w:t>
      </w:r>
      <w:r>
        <w:t xml:space="preserve">del cuerpo, y los </w:t>
      </w:r>
      <w:r w:rsidR="0030549F">
        <w:t xml:space="preserve">vellos </w:t>
      </w:r>
      <w:r>
        <w:t xml:space="preserve">del cuerpo no son </w:t>
      </w:r>
      <w:r w:rsidR="000C243E">
        <w:t xml:space="preserve">los cabellos </w:t>
      </w:r>
      <w:r>
        <w:t>de la cabeza".</w:t>
      </w:r>
    </w:p>
    <w:p w14:paraId="4EBC37F1" w14:textId="5FF1F10B" w:rsidR="00AA78CC" w:rsidRDefault="00AA78CC" w:rsidP="00AA78CC">
      <w:r>
        <w:t xml:space="preserve">60. </w:t>
      </w:r>
      <w:r>
        <w:tab/>
        <w:t xml:space="preserve">Cuando el maestro </w:t>
      </w:r>
      <w:r w:rsidR="000C243E">
        <w:t>exponga</w:t>
      </w:r>
      <w:r>
        <w:t xml:space="preserve"> la habilidad de</w:t>
      </w:r>
      <w:r w:rsidR="000C243E">
        <w:t>l</w:t>
      </w:r>
      <w:r>
        <w:t xml:space="preserve"> aprend</w:t>
      </w:r>
      <w:r w:rsidR="000C243E">
        <w:t>izaje</w:t>
      </w:r>
      <w:r>
        <w:t xml:space="preserve"> de siete maneras, </w:t>
      </w:r>
      <w:r w:rsidR="000C243E">
        <w:t xml:space="preserve">deberá </w:t>
      </w:r>
      <w:r>
        <w:t xml:space="preserve">hacerlo sabiendo que en ciertos </w:t>
      </w:r>
      <w:r w:rsidRPr="000C243E">
        <w:rPr>
          <w:i/>
          <w:iCs/>
        </w:rPr>
        <w:t>suttas</w:t>
      </w:r>
      <w:r>
        <w:t xml:space="preserve"> este </w:t>
      </w:r>
      <w:r w:rsidR="000C243E">
        <w:t xml:space="preserve">objeto </w:t>
      </w:r>
      <w:r>
        <w:t xml:space="preserve">de meditación se expone desde el punto de vista de la repulsión y en ciertos </w:t>
      </w:r>
      <w:r w:rsidRPr="000C243E">
        <w:rPr>
          <w:i/>
          <w:iCs/>
        </w:rPr>
        <w:t>suttas</w:t>
      </w:r>
      <w:r>
        <w:t xml:space="preserve"> desde el punto de vista de los elementos. </w:t>
      </w:r>
      <w:r w:rsidR="000C243E">
        <w:t xml:space="preserve">Ya </w:t>
      </w:r>
      <w:r>
        <w:t xml:space="preserve">que en el </w:t>
      </w:r>
      <w:r w:rsidRPr="000C243E">
        <w:rPr>
          <w:i/>
          <w:iCs/>
        </w:rPr>
        <w:t xml:space="preserve">Mahā Satipaṭṭhāna Sutta </w:t>
      </w:r>
      <w:r>
        <w:t xml:space="preserve">(DN 22) se expone solo como repulsión. En el </w:t>
      </w:r>
      <w:r w:rsidRPr="00EC741F">
        <w:rPr>
          <w:i/>
          <w:iCs/>
        </w:rPr>
        <w:t>Mahā</w:t>
      </w:r>
      <w:r>
        <w:t xml:space="preserve"> </w:t>
      </w:r>
      <w:proofErr w:type="spellStart"/>
      <w:r w:rsidRPr="00EC741F">
        <w:rPr>
          <w:i/>
          <w:iCs/>
        </w:rPr>
        <w:t>Hatthipadopama</w:t>
      </w:r>
      <w:proofErr w:type="spellEnd"/>
      <w:r>
        <w:t xml:space="preserve"> </w:t>
      </w:r>
      <w:r w:rsidRPr="0070430C">
        <w:rPr>
          <w:i/>
          <w:iCs/>
        </w:rPr>
        <w:t>Sutta</w:t>
      </w:r>
      <w:r>
        <w:t xml:space="preserve"> (MN 28), en el </w:t>
      </w:r>
      <w:r w:rsidRPr="00EC741F">
        <w:rPr>
          <w:i/>
          <w:iCs/>
        </w:rPr>
        <w:t xml:space="preserve">Mahā </w:t>
      </w:r>
      <w:proofErr w:type="spellStart"/>
      <w:r w:rsidRPr="00EC741F">
        <w:rPr>
          <w:i/>
          <w:iCs/>
        </w:rPr>
        <w:t>Rāhulovāda</w:t>
      </w:r>
      <w:proofErr w:type="spellEnd"/>
      <w:r w:rsidRPr="00EC741F">
        <w:rPr>
          <w:i/>
          <w:iCs/>
        </w:rPr>
        <w:t xml:space="preserve"> Sutta</w:t>
      </w:r>
      <w:r>
        <w:t xml:space="preserve"> (MN 62), y en el</w:t>
      </w:r>
      <w:r w:rsidR="0070430C" w:rsidRPr="0070430C">
        <w:rPr>
          <w:i/>
          <w:iCs/>
        </w:rPr>
        <w:t xml:space="preserve"> </w:t>
      </w:r>
      <w:proofErr w:type="spellStart"/>
      <w:r w:rsidR="0070430C" w:rsidRPr="00EC741F">
        <w:rPr>
          <w:i/>
          <w:iCs/>
        </w:rPr>
        <w:t>Dhātuvibhaṅga</w:t>
      </w:r>
      <w:proofErr w:type="spellEnd"/>
      <w:r w:rsidR="0070430C">
        <w:t xml:space="preserve"> (MN 140, también </w:t>
      </w:r>
      <w:proofErr w:type="spellStart"/>
      <w:r w:rsidR="0070430C">
        <w:t>Vibh</w:t>
      </w:r>
      <w:proofErr w:type="spellEnd"/>
      <w:r w:rsidR="0070430C">
        <w:t xml:space="preserve"> 82),</w:t>
      </w:r>
    </w:p>
    <w:p w14:paraId="4BA057CE" w14:textId="77777777" w:rsidR="00AA78CC" w:rsidRDefault="00AA78CC" w:rsidP="00AA78CC">
      <w:pPr>
        <w:pStyle w:val="Piedepgina"/>
        <w:rPr>
          <w:u w:val="single"/>
        </w:rPr>
      </w:pPr>
      <w:r>
        <w:rPr>
          <w:u w:val="single"/>
        </w:rPr>
        <w:t xml:space="preserve">                                                                                                                                                                          .</w:t>
      </w:r>
    </w:p>
    <w:p w14:paraId="12058014" w14:textId="61839CEB" w:rsidR="00AA78CC" w:rsidRDefault="00AA78CC" w:rsidP="00AA78CC">
      <w:pPr>
        <w:pStyle w:val="PiedepginaLegal"/>
      </w:pPr>
      <w:r>
        <w:t xml:space="preserve">15. </w:t>
      </w:r>
      <w:r>
        <w:tab/>
      </w:r>
      <w:proofErr w:type="spellStart"/>
      <w:r w:rsidRPr="00EC741F">
        <w:rPr>
          <w:i/>
          <w:iCs/>
        </w:rPr>
        <w:t>Hatthasaṅkhalikā</w:t>
      </w:r>
      <w:proofErr w:type="spellEnd"/>
      <w:r>
        <w:t xml:space="preserve">— “los dedos de </w:t>
      </w:r>
      <w:r w:rsidR="007D269C">
        <w:t xml:space="preserve">las dos </w:t>
      </w:r>
      <w:r>
        <w:t>manos entrelazadas”, “una fila de dedos (</w:t>
      </w:r>
      <w:proofErr w:type="spellStart"/>
      <w:r w:rsidRPr="00EC741F">
        <w:rPr>
          <w:i/>
          <w:iCs/>
        </w:rPr>
        <w:t>aṅgulìpanti</w:t>
      </w:r>
      <w:proofErr w:type="spellEnd"/>
      <w:r>
        <w:t>) (</w:t>
      </w:r>
      <w:proofErr w:type="spellStart"/>
      <w:r>
        <w:t>Vism-mhṭ</w:t>
      </w:r>
      <w:proofErr w:type="spellEnd"/>
      <w:r>
        <w:t xml:space="preserve"> 246).</w:t>
      </w:r>
    </w:p>
    <w:p w14:paraId="06CD98BE" w14:textId="6F8DD5E3" w:rsidR="00EF1315" w:rsidRDefault="00AA78CC" w:rsidP="0070430C">
      <w:pPr>
        <w:pStyle w:val="PiedepginaLegal"/>
      </w:pPr>
      <w:r>
        <w:t xml:space="preserve">16. </w:t>
      </w:r>
      <w:r>
        <w:tab/>
        <w:t>“Para la penetración e</w:t>
      </w:r>
      <w:r w:rsidR="007D269C">
        <w:t>n</w:t>
      </w:r>
      <w:r>
        <w:t xml:space="preserve"> la característica de la </w:t>
      </w:r>
      <w:r w:rsidR="008D7A61">
        <w:t>repugnancia</w:t>
      </w:r>
      <w:r>
        <w:t xml:space="preserve">, para la observación de la </w:t>
      </w:r>
      <w:r w:rsidR="008D7A61">
        <w:t xml:space="preserve">repugnancia </w:t>
      </w:r>
      <w:r>
        <w:t>como esencia individual” (</w:t>
      </w:r>
      <w:proofErr w:type="spellStart"/>
      <w:r>
        <w:t>Vism-mhṭ</w:t>
      </w:r>
      <w:proofErr w:type="spellEnd"/>
      <w:r>
        <w:t xml:space="preserve"> 246).</w:t>
      </w:r>
      <w:r w:rsidR="00EF1315">
        <w:br w:type="page"/>
      </w:r>
    </w:p>
    <w:p w14:paraId="00535627" w14:textId="7712228A" w:rsidR="00EF1315" w:rsidRDefault="00F47A40" w:rsidP="00EF1315">
      <w:r>
        <w:lastRenderedPageBreak/>
        <w:t xml:space="preserve">las partes del cuerpo </w:t>
      </w:r>
      <w:r w:rsidR="00EF1315">
        <w:t>se expone</w:t>
      </w:r>
      <w:r>
        <w:t>n</w:t>
      </w:r>
      <w:r w:rsidR="00EF1315">
        <w:t xml:space="preserve"> como elementos. En el </w:t>
      </w:r>
      <w:proofErr w:type="spellStart"/>
      <w:r w:rsidR="00EF1315" w:rsidRPr="00EC741F">
        <w:rPr>
          <w:i/>
          <w:iCs/>
        </w:rPr>
        <w:t>Kāyagatāsati</w:t>
      </w:r>
      <w:proofErr w:type="spellEnd"/>
      <w:r w:rsidR="00EF1315" w:rsidRPr="00EC741F">
        <w:rPr>
          <w:i/>
          <w:iCs/>
        </w:rPr>
        <w:t xml:space="preserve"> Sutta</w:t>
      </w:r>
      <w:r w:rsidR="00EF1315">
        <w:t xml:space="preserve"> (MN 119), sin embargo, se exponen </w:t>
      </w:r>
      <w:r w:rsidR="0047539D">
        <w:t>4</w:t>
      </w:r>
      <w:r w:rsidR="00EF1315">
        <w:t xml:space="preserve"> </w:t>
      </w:r>
      <w:proofErr w:type="spellStart"/>
      <w:r w:rsidR="00057BF4" w:rsidRPr="00057BF4">
        <w:rPr>
          <w:i/>
          <w:iCs/>
        </w:rPr>
        <w:t>jhāna</w:t>
      </w:r>
      <w:r w:rsidR="00EF1315" w:rsidRPr="00EC741F">
        <w:rPr>
          <w:i/>
          <w:iCs/>
        </w:rPr>
        <w:t>s</w:t>
      </w:r>
      <w:proofErr w:type="spellEnd"/>
      <w:r w:rsidR="00EF1315">
        <w:t xml:space="preserve"> con referencia a alguien </w:t>
      </w:r>
      <w:r w:rsidR="00280A93">
        <w:t>en</w:t>
      </w:r>
      <w:r w:rsidR="00EF1315">
        <w:t xml:space="preserve"> quien se le ha</w:t>
      </w:r>
      <w:r w:rsidR="00280A93">
        <w:t>ya</w:t>
      </w:r>
      <w:r w:rsidR="00EF1315">
        <w:t xml:space="preserve"> aparecido como un color [</w:t>
      </w:r>
      <w:proofErr w:type="spellStart"/>
      <w:r w:rsidR="00057BF4" w:rsidRPr="00057BF4">
        <w:rPr>
          <w:i/>
          <w:iCs/>
        </w:rPr>
        <w:t>kasiṇa</w:t>
      </w:r>
      <w:proofErr w:type="spellEnd"/>
      <w:r w:rsidR="00EF1315">
        <w:t xml:space="preserve">] (ver III.107). Aquí, </w:t>
      </w:r>
      <w:r w:rsidR="00280A93">
        <w:t xml:space="preserve">lo </w:t>
      </w:r>
      <w:r w:rsidR="00EF1315">
        <w:t>que se expon</w:t>
      </w:r>
      <w:r w:rsidR="0075220D">
        <w:t>drá</w:t>
      </w:r>
      <w:r w:rsidR="00EF1315">
        <w:t xml:space="preserve"> como </w:t>
      </w:r>
      <w:r w:rsidR="001909F7">
        <w:t>repulsión</w:t>
      </w:r>
      <w:r w:rsidR="001909F7" w:rsidRPr="00280A93">
        <w:t xml:space="preserve"> </w:t>
      </w:r>
      <w:r w:rsidR="001E69D1">
        <w:t xml:space="preserve">será los elementos y el </w:t>
      </w:r>
      <w:r w:rsidR="00733FA3">
        <w:t xml:space="preserve">objeto de meditación de </w:t>
      </w:r>
      <w:r w:rsidR="001E69D1">
        <w:t xml:space="preserve">la </w:t>
      </w:r>
      <w:r w:rsidR="00733FA3">
        <w:t xml:space="preserve">serenidad </w:t>
      </w:r>
      <w:r w:rsidR="001E69D1">
        <w:t xml:space="preserve">los cuales </w:t>
      </w:r>
      <w:r w:rsidR="0075220D">
        <w:t xml:space="preserve">corresponden a los </w:t>
      </w:r>
      <w:r w:rsidR="00280A93">
        <w:t>objeto</w:t>
      </w:r>
      <w:r w:rsidR="00904DA0">
        <w:t>s</w:t>
      </w:r>
      <w:r w:rsidR="00280A93">
        <w:t xml:space="preserve"> de meditación de </w:t>
      </w:r>
      <w:r w:rsidR="000B6938">
        <w:t xml:space="preserve">la </w:t>
      </w:r>
      <w:r w:rsidR="00734384" w:rsidRPr="00527EA6">
        <w:t>sabid</w:t>
      </w:r>
      <w:r w:rsidR="00734384">
        <w:t>uría–revelativa</w:t>
      </w:r>
      <w:r w:rsidR="00EF1315">
        <w:t xml:space="preserve">. En consecuencia, </w:t>
      </w:r>
      <w:r w:rsidR="00280A93">
        <w:t xml:space="preserve">será </w:t>
      </w:r>
      <w:r w:rsidR="00EF1315">
        <w:t xml:space="preserve">sólo el </w:t>
      </w:r>
      <w:r w:rsidR="00D320B0">
        <w:t xml:space="preserve">objeto </w:t>
      </w:r>
      <w:r w:rsidR="00EF1315">
        <w:t xml:space="preserve">de la meditación de la serenidad lo que </w:t>
      </w:r>
      <w:r w:rsidR="00280A93">
        <w:t>sea</w:t>
      </w:r>
      <w:r w:rsidR="00EF1315">
        <w:t xml:space="preserve"> relevante aquí</w:t>
      </w:r>
      <w:r w:rsidR="00D320B0">
        <w:t>.</w:t>
      </w:r>
      <w:r w:rsidR="000B6938" w:rsidRPr="00D320B0">
        <w:rPr>
          <w:vertAlign w:val="superscript"/>
        </w:rPr>
        <w:t>4</w:t>
      </w:r>
    </w:p>
    <w:p w14:paraId="181CD602" w14:textId="18C6DF6F" w:rsidR="00EF1315" w:rsidRDefault="00EF1315" w:rsidP="00EF1315">
      <w:pPr>
        <w:jc w:val="center"/>
      </w:pPr>
      <w:r>
        <w:t>[</w:t>
      </w:r>
      <w:r w:rsidRPr="00EC741F">
        <w:rPr>
          <w:i/>
          <w:iCs/>
        </w:rPr>
        <w:t xml:space="preserve">La </w:t>
      </w:r>
      <w:r w:rsidR="00C72EE6">
        <w:rPr>
          <w:i/>
          <w:iCs/>
        </w:rPr>
        <w:t>10</w:t>
      </w:r>
      <w:r w:rsidRPr="00EC741F">
        <w:rPr>
          <w:i/>
          <w:iCs/>
        </w:rPr>
        <w:t xml:space="preserve"> Habilidades para </w:t>
      </w:r>
      <w:r w:rsidR="00A101A5">
        <w:rPr>
          <w:i/>
          <w:iCs/>
        </w:rPr>
        <w:t>Activar</w:t>
      </w:r>
      <w:r w:rsidRPr="00EC741F">
        <w:rPr>
          <w:i/>
          <w:iCs/>
        </w:rPr>
        <w:t xml:space="preserve"> Atención</w:t>
      </w:r>
      <w:r>
        <w:t>]</w:t>
      </w:r>
    </w:p>
    <w:p w14:paraId="254ADB47" w14:textId="0F405321" w:rsidR="00EF1315" w:rsidRDefault="00EF1315" w:rsidP="00EF1315">
      <w:r>
        <w:t xml:space="preserve">61. </w:t>
      </w:r>
      <w:r>
        <w:tab/>
        <w:t xml:space="preserve">Habiendo </w:t>
      </w:r>
      <w:r w:rsidR="00F73FBA">
        <w:t>enunciado</w:t>
      </w:r>
      <w:r>
        <w:t xml:space="preserve"> así la</w:t>
      </w:r>
      <w:r w:rsidR="00F73FBA">
        <w:t>s</w:t>
      </w:r>
      <w:r>
        <w:t xml:space="preserve"> </w:t>
      </w:r>
      <w:r w:rsidR="00C72EE6">
        <w:t>7</w:t>
      </w:r>
      <w:r w:rsidR="00F73FBA">
        <w:t xml:space="preserve"> </w:t>
      </w:r>
      <w:r>
        <w:t>habilidad</w:t>
      </w:r>
      <w:r w:rsidR="00F73FBA">
        <w:t>es</w:t>
      </w:r>
      <w:r>
        <w:t xml:space="preserve"> </w:t>
      </w:r>
      <w:r w:rsidR="00F73FBA">
        <w:t xml:space="preserve">para </w:t>
      </w:r>
      <w:r>
        <w:t>el aprendizaje, debe</w:t>
      </w:r>
      <w:r w:rsidR="004B6944">
        <w:t>rá</w:t>
      </w:r>
      <w:r>
        <w:t xml:space="preserve"> </w:t>
      </w:r>
      <w:r w:rsidR="002405DA">
        <w:t xml:space="preserve">hacerse lo mismo con </w:t>
      </w:r>
      <w:r>
        <w:t>la</w:t>
      </w:r>
      <w:r w:rsidR="002405DA">
        <w:t xml:space="preserve">s </w:t>
      </w:r>
      <w:r w:rsidR="00C72EE6">
        <w:t xml:space="preserve">10 </w:t>
      </w:r>
      <w:r>
        <w:t>habilidad</w:t>
      </w:r>
      <w:r w:rsidR="002405DA">
        <w:t>es</w:t>
      </w:r>
      <w:r>
        <w:t xml:space="preserve"> </w:t>
      </w:r>
      <w:r w:rsidR="002405DA">
        <w:t xml:space="preserve">para </w:t>
      </w:r>
      <w:r w:rsidR="00A101A5">
        <w:t>activar</w:t>
      </w:r>
      <w:r>
        <w:t xml:space="preserve"> </w:t>
      </w:r>
      <w:r w:rsidR="00A101A5">
        <w:t xml:space="preserve">la </w:t>
      </w:r>
      <w:r>
        <w:t xml:space="preserve">atención de la siguiente manera: (1) en cuanto a seguir </w:t>
      </w:r>
      <w:r w:rsidR="00364153">
        <w:t>e</w:t>
      </w:r>
      <w:r>
        <w:t xml:space="preserve">l orden, (2) </w:t>
      </w:r>
      <w:r w:rsidR="004B6944">
        <w:t xml:space="preserve">en cuanto </w:t>
      </w:r>
      <w:r>
        <w:t xml:space="preserve">no </w:t>
      </w:r>
      <w:r w:rsidR="00196EAC">
        <w:t xml:space="preserve">hacerlo </w:t>
      </w:r>
      <w:r>
        <w:t>demasiado rápid</w:t>
      </w:r>
      <w:r w:rsidR="00911DE7">
        <w:t>amente</w:t>
      </w:r>
      <w:r>
        <w:t xml:space="preserve">, (3) no </w:t>
      </w:r>
      <w:r w:rsidR="00196EAC">
        <w:t xml:space="preserve">hacerlo </w:t>
      </w:r>
      <w:r>
        <w:t>demasiado lent</w:t>
      </w:r>
      <w:r w:rsidR="00911DE7">
        <w:t>amente</w:t>
      </w:r>
      <w:r>
        <w:t xml:space="preserve"> (4) en cuanto a evitar la distracción, (5) en cuanto a </w:t>
      </w:r>
      <w:r w:rsidR="00911DE7">
        <w:t xml:space="preserve">la </w:t>
      </w:r>
      <w:r>
        <w:t>supera</w:t>
      </w:r>
      <w:r w:rsidR="00911DE7">
        <w:t>ción</w:t>
      </w:r>
      <w:r>
        <w:t xml:space="preserve"> </w:t>
      </w:r>
      <w:r w:rsidR="00911DE7">
        <w:t>d</w:t>
      </w:r>
      <w:r>
        <w:t>el concepto, (6) en cuanto a la sucesiva</w:t>
      </w:r>
      <w:r w:rsidR="00621C2A" w:rsidRPr="00621C2A">
        <w:t xml:space="preserve"> </w:t>
      </w:r>
      <w:r w:rsidR="00621C2A">
        <w:t>partida</w:t>
      </w:r>
      <w:r>
        <w:t xml:space="preserve">, (7) en cuanto a la absorción, (8)–(10) en cuanto a los tres </w:t>
      </w:r>
      <w:proofErr w:type="spellStart"/>
      <w:r w:rsidRPr="00EF1315">
        <w:rPr>
          <w:i/>
          <w:iCs/>
        </w:rPr>
        <w:t>suttantas</w:t>
      </w:r>
      <w:proofErr w:type="spellEnd"/>
      <w:r>
        <w:t>.</w:t>
      </w:r>
    </w:p>
    <w:p w14:paraId="43CAFEC0" w14:textId="6A1B3CDA" w:rsidR="00EF1315" w:rsidRDefault="00EF1315" w:rsidP="00EF1315">
      <w:r>
        <w:t xml:space="preserve">62. </w:t>
      </w:r>
      <w:r>
        <w:tab/>
        <w:t xml:space="preserve">1. </w:t>
      </w:r>
      <w:r w:rsidRPr="00EC741F">
        <w:rPr>
          <w:i/>
          <w:iCs/>
        </w:rPr>
        <w:t xml:space="preserve">En </w:t>
      </w:r>
      <w:r w:rsidR="0043450D">
        <w:rPr>
          <w:i/>
          <w:iCs/>
        </w:rPr>
        <w:t>cuanto</w:t>
      </w:r>
      <w:r w:rsidRPr="00EC741F">
        <w:rPr>
          <w:i/>
          <w:iCs/>
        </w:rPr>
        <w:t xml:space="preserve"> al seguimiento del orden</w:t>
      </w:r>
      <w:r>
        <w:t>: desde el momento de comenzar la recitación [244] se debe</w:t>
      </w:r>
      <w:r w:rsidR="00CC2FE5">
        <w:t>rá</w:t>
      </w:r>
      <w:r>
        <w:t xml:space="preserve"> prestar atención siguiendo el orden </w:t>
      </w:r>
      <w:r w:rsidR="00A905EC">
        <w:t>secuencial</w:t>
      </w:r>
      <w:r>
        <w:t xml:space="preserve"> sin saltear</w:t>
      </w:r>
      <w:r w:rsidR="00364153">
        <w:t xml:space="preserve">se </w:t>
      </w:r>
      <w:r w:rsidR="00942861">
        <w:t>algún ítem</w:t>
      </w:r>
      <w:r>
        <w:t xml:space="preserve">. </w:t>
      </w:r>
      <w:r w:rsidR="00942861">
        <w:t>Ya que,</w:t>
      </w:r>
      <w:r>
        <w:t xml:space="preserve"> así como </w:t>
      </w:r>
      <w:r w:rsidR="007D2119">
        <w:t xml:space="preserve">al </w:t>
      </w:r>
      <w:r>
        <w:t>sub</w:t>
      </w:r>
      <w:r w:rsidR="007D2119">
        <w:t>ir</w:t>
      </w:r>
      <w:r>
        <w:t xml:space="preserve"> una escalera de treinta y dos peldaños </w:t>
      </w:r>
      <w:r w:rsidR="00F33BBA">
        <w:t xml:space="preserve">se debe </w:t>
      </w:r>
      <w:r w:rsidR="0043450D">
        <w:t>pisa</w:t>
      </w:r>
      <w:r w:rsidR="00F33BBA">
        <w:t>r</w:t>
      </w:r>
      <w:r>
        <w:t xml:space="preserve"> cada </w:t>
      </w:r>
      <w:r w:rsidR="007D2119">
        <w:t>uno de ellos</w:t>
      </w:r>
      <w:r>
        <w:t xml:space="preserve">, </w:t>
      </w:r>
      <w:r w:rsidR="00F50290">
        <w:t xml:space="preserve">si es </w:t>
      </w:r>
      <w:r w:rsidR="0043450D">
        <w:t xml:space="preserve">por medio </w:t>
      </w:r>
      <w:r w:rsidR="007D2119">
        <w:t xml:space="preserve">de alguien que no tenga habilidad sobre </w:t>
      </w:r>
      <w:r>
        <w:t xml:space="preserve">su cuerpo </w:t>
      </w:r>
      <w:r w:rsidR="00F50290">
        <w:t xml:space="preserve">éste </w:t>
      </w:r>
      <w:r>
        <w:t>se agota</w:t>
      </w:r>
      <w:r w:rsidR="007D2119">
        <w:t>r</w:t>
      </w:r>
      <w:r w:rsidR="00F50290">
        <w:t>á</w:t>
      </w:r>
      <w:r>
        <w:t xml:space="preserve"> y cae</w:t>
      </w:r>
      <w:r w:rsidR="007D2119">
        <w:t>r</w:t>
      </w:r>
      <w:r w:rsidR="00F50290">
        <w:t>á</w:t>
      </w:r>
      <w:r>
        <w:t xml:space="preserve"> sin completar la subida, así también, el que prest</w:t>
      </w:r>
      <w:r w:rsidR="007D2119">
        <w:t>e</w:t>
      </w:r>
      <w:r>
        <w:t xml:space="preserve"> atención salt</w:t>
      </w:r>
      <w:r w:rsidR="007D2119">
        <w:t>á</w:t>
      </w:r>
      <w:r>
        <w:t>ndo</w:t>
      </w:r>
      <w:r w:rsidR="007D2119">
        <w:t>se</w:t>
      </w:r>
      <w:r>
        <w:t xml:space="preserve"> </w:t>
      </w:r>
      <w:r w:rsidR="007D2119">
        <w:t>algunos ítems</w:t>
      </w:r>
      <w:r>
        <w:t xml:space="preserve"> agota</w:t>
      </w:r>
      <w:r w:rsidR="007D2119">
        <w:t>r</w:t>
      </w:r>
      <w:r w:rsidR="00DD633B">
        <w:t>á</w:t>
      </w:r>
      <w:r>
        <w:t xml:space="preserve"> su mente y no completa</w:t>
      </w:r>
      <w:r w:rsidR="00933DB4">
        <w:t>r</w:t>
      </w:r>
      <w:r w:rsidR="00830563">
        <w:t>á</w:t>
      </w:r>
      <w:r>
        <w:t xml:space="preserve"> el desarrollo ya que no logra</w:t>
      </w:r>
      <w:r w:rsidR="00933DB4">
        <w:t>r</w:t>
      </w:r>
      <w:r w:rsidR="00830563">
        <w:t>á</w:t>
      </w:r>
      <w:r>
        <w:t xml:space="preserve"> obtener la satisfacción que debería obtenerse con un desarrollo exitoso.</w:t>
      </w:r>
    </w:p>
    <w:p w14:paraId="5D9BF480" w14:textId="7B6963BE" w:rsidR="00EF1315" w:rsidRDefault="00EF1315" w:rsidP="00EF1315">
      <w:r>
        <w:t xml:space="preserve">63. </w:t>
      </w:r>
      <w:r>
        <w:tab/>
        <w:t xml:space="preserve">2. También cuando </w:t>
      </w:r>
      <w:r w:rsidR="00933DB4">
        <w:t>s</w:t>
      </w:r>
      <w:r>
        <w:t xml:space="preserve">e preste atención siguiendo el orden </w:t>
      </w:r>
      <w:r w:rsidR="00A905EC">
        <w:t>secuencial</w:t>
      </w:r>
      <w:r>
        <w:t xml:space="preserve">, </w:t>
      </w:r>
      <w:r w:rsidRPr="00933DB4">
        <w:rPr>
          <w:i/>
          <w:iCs/>
        </w:rPr>
        <w:t>no debe</w:t>
      </w:r>
      <w:r w:rsidR="00DD633B">
        <w:rPr>
          <w:i/>
          <w:iCs/>
        </w:rPr>
        <w:t>rá</w:t>
      </w:r>
      <w:r w:rsidRPr="00933DB4">
        <w:rPr>
          <w:i/>
          <w:iCs/>
        </w:rPr>
        <w:t xml:space="preserve"> hacerlo demasiado rápid</w:t>
      </w:r>
      <w:r w:rsidR="00933DB4">
        <w:rPr>
          <w:i/>
          <w:iCs/>
        </w:rPr>
        <w:t>amente</w:t>
      </w:r>
      <w:r>
        <w:t xml:space="preserve">. </w:t>
      </w:r>
      <w:r w:rsidR="00A905EC">
        <w:t>Ya que,</w:t>
      </w:r>
      <w:r>
        <w:t xml:space="preserve"> así como un hombre </w:t>
      </w:r>
      <w:r w:rsidR="005D03BE">
        <w:t xml:space="preserve">al </w:t>
      </w:r>
      <w:r>
        <w:t>emprende</w:t>
      </w:r>
      <w:r w:rsidR="005D03BE">
        <w:t>r</w:t>
      </w:r>
      <w:r>
        <w:t xml:space="preserve"> un viaje de tres leguas, aunque haya hecho el viaje de ida y vuelta cien veces rápidamente</w:t>
      </w:r>
      <w:r w:rsidR="00ED55E3">
        <w:t>,</w:t>
      </w:r>
      <w:r>
        <w:t xml:space="preserve"> sin tomar nota de los desvíos que debe</w:t>
      </w:r>
      <w:r w:rsidR="005D03BE">
        <w:t>ría</w:t>
      </w:r>
      <w:r>
        <w:t xml:space="preserve"> tomar y evitar, aunque pueda </w:t>
      </w:r>
      <w:r w:rsidR="005D03BE">
        <w:t xml:space="preserve">ser capaz de </w:t>
      </w:r>
      <w:r>
        <w:t xml:space="preserve">terminar su viaje, </w:t>
      </w:r>
      <w:proofErr w:type="spellStart"/>
      <w:r w:rsidR="005D03BE">
        <w:t>aún</w:t>
      </w:r>
      <w:proofErr w:type="spellEnd"/>
      <w:r w:rsidR="005D03BE">
        <w:t xml:space="preserve"> así tendrá </w:t>
      </w:r>
      <w:r>
        <w:t xml:space="preserve">que </w:t>
      </w:r>
      <w:r w:rsidR="005D03BE">
        <w:t xml:space="preserve">replantearse </w:t>
      </w:r>
      <w:r>
        <w:t xml:space="preserve">cómo llegar </w:t>
      </w:r>
      <w:r w:rsidR="005D03BE">
        <w:t>hasta su destino</w:t>
      </w:r>
      <w:r w:rsidR="00304596">
        <w:t xml:space="preserve"> cada vez que lo haga</w:t>
      </w:r>
      <w:r>
        <w:t>, así también, cuando el meditador prest</w:t>
      </w:r>
      <w:r w:rsidR="005D03BE">
        <w:t>e</w:t>
      </w:r>
      <w:r>
        <w:t xml:space="preserve"> su atención al </w:t>
      </w:r>
      <w:r w:rsidR="005D03BE">
        <w:t xml:space="preserve">objeto </w:t>
      </w:r>
      <w:r>
        <w:t>de meditación demasiado rápid</w:t>
      </w:r>
      <w:r w:rsidR="005D03BE">
        <w:t>amente</w:t>
      </w:r>
      <w:r>
        <w:t>, aunque pued</w:t>
      </w:r>
      <w:r w:rsidR="005D03BE">
        <w:t>a</w:t>
      </w:r>
      <w:r>
        <w:t xml:space="preserve"> llegar al final del </w:t>
      </w:r>
      <w:r w:rsidR="005D03BE">
        <w:t xml:space="preserve">objeto </w:t>
      </w:r>
      <w:r>
        <w:t xml:space="preserve">de meditación, todavía no </w:t>
      </w:r>
      <w:r w:rsidR="00F50290">
        <w:t xml:space="preserve">desarrollará nada </w:t>
      </w:r>
      <w:r>
        <w:t>claro ni produc</w:t>
      </w:r>
      <w:r w:rsidR="005D03BE">
        <w:t>irá</w:t>
      </w:r>
      <w:r>
        <w:t xml:space="preserve"> ninguna distinción. Por lo tanto, no debe</w:t>
      </w:r>
      <w:r w:rsidR="00DD633B">
        <w:t>rá</w:t>
      </w:r>
      <w:r>
        <w:t xml:space="preserve"> prestarle atención</w:t>
      </w:r>
      <w:r w:rsidR="00F50290">
        <w:t xml:space="preserve"> haciéndolo </w:t>
      </w:r>
      <w:r>
        <w:t>demasiado rápid</w:t>
      </w:r>
      <w:r w:rsidR="005D03BE">
        <w:t>amente</w:t>
      </w:r>
      <w:r>
        <w:t>.</w:t>
      </w:r>
    </w:p>
    <w:p w14:paraId="42FFA9CB" w14:textId="4B9BEC66" w:rsidR="00EF1315" w:rsidRDefault="00EF1315" w:rsidP="00EF1315">
      <w:r>
        <w:t xml:space="preserve">64. </w:t>
      </w:r>
      <w:r>
        <w:tab/>
        <w:t xml:space="preserve">3. Y </w:t>
      </w:r>
      <w:r w:rsidR="006643C9">
        <w:t xml:space="preserve">así </w:t>
      </w:r>
      <w:r>
        <w:t>como "no demasiado rápid</w:t>
      </w:r>
      <w:r w:rsidR="006643C9">
        <w:t>amente</w:t>
      </w:r>
      <w:r>
        <w:t xml:space="preserve">", tampoco </w:t>
      </w:r>
      <w:r w:rsidRPr="00853603">
        <w:rPr>
          <w:i/>
          <w:iCs/>
        </w:rPr>
        <w:t>demasiado lent</w:t>
      </w:r>
      <w:r w:rsidR="006643C9">
        <w:rPr>
          <w:i/>
          <w:iCs/>
        </w:rPr>
        <w:t>amente</w:t>
      </w:r>
      <w:r>
        <w:t xml:space="preserve">. </w:t>
      </w:r>
      <w:r w:rsidR="006643C9">
        <w:t xml:space="preserve">Ya </w:t>
      </w:r>
      <w:r>
        <w:t>que</w:t>
      </w:r>
      <w:r w:rsidR="005B2BE2">
        <w:t>,</w:t>
      </w:r>
      <w:r>
        <w:t xml:space="preserve"> así como el hombre que quier</w:t>
      </w:r>
      <w:r w:rsidR="006643C9">
        <w:t>a</w:t>
      </w:r>
      <w:r>
        <w:t xml:space="preserve"> hacer en un día un </w:t>
      </w:r>
      <w:r w:rsidR="006643C9">
        <w:t>recorrido</w:t>
      </w:r>
      <w:r>
        <w:t xml:space="preserve"> de tres leguas</w:t>
      </w:r>
      <w:r w:rsidR="006643C9">
        <w:t xml:space="preserve"> en un viaje</w:t>
      </w:r>
      <w:r>
        <w:t xml:space="preserve">, si se </w:t>
      </w:r>
      <w:r w:rsidR="005B2BE2">
        <w:t xml:space="preserve">detuviese </w:t>
      </w:r>
      <w:r>
        <w:t xml:space="preserve">en el camino entre </w:t>
      </w:r>
      <w:r w:rsidR="005B2BE2">
        <w:t xml:space="preserve">los </w:t>
      </w:r>
      <w:r>
        <w:t xml:space="preserve">árboles, peñascos, </w:t>
      </w:r>
      <w:r w:rsidR="005B2BE2">
        <w:t>fuentes</w:t>
      </w:r>
      <w:r>
        <w:t>, etc., no acaba</w:t>
      </w:r>
      <w:r w:rsidR="005B2BE2">
        <w:t>r</w:t>
      </w:r>
      <w:r w:rsidR="00CF61E5">
        <w:t>ía</w:t>
      </w:r>
      <w:r>
        <w:t xml:space="preserve"> el camino en un día y necesita</w:t>
      </w:r>
      <w:r w:rsidR="005B2BE2">
        <w:t>ría</w:t>
      </w:r>
      <w:r>
        <w:t xml:space="preserve"> dos o tres para completarlo</w:t>
      </w:r>
      <w:r w:rsidR="005B2BE2">
        <w:t xml:space="preserve">, así </w:t>
      </w:r>
      <w:r>
        <w:t>también, si el meditador presta</w:t>
      </w:r>
      <w:r w:rsidR="005B2BE2">
        <w:t>se</w:t>
      </w:r>
      <w:r>
        <w:t xml:space="preserve"> su atención al </w:t>
      </w:r>
      <w:r w:rsidR="005B2BE2">
        <w:t xml:space="preserve">objeto </w:t>
      </w:r>
      <w:r>
        <w:t>de meditación con demasiada lentitud, no llega</w:t>
      </w:r>
      <w:r w:rsidR="005B2BE2">
        <w:t>r</w:t>
      </w:r>
      <w:r w:rsidR="00B75A5C">
        <w:t>á</w:t>
      </w:r>
      <w:r>
        <w:t xml:space="preserve"> al final y no se convert</w:t>
      </w:r>
      <w:r w:rsidR="005B2BE2">
        <w:t>ir</w:t>
      </w:r>
      <w:r w:rsidR="00CF61E5">
        <w:t>á</w:t>
      </w:r>
      <w:r>
        <w:t xml:space="preserve"> en una condición para la distinción.</w:t>
      </w:r>
    </w:p>
    <w:p w14:paraId="65219BAC" w14:textId="11FCD0C5" w:rsidR="00EF1315" w:rsidRDefault="00EF1315" w:rsidP="00EF1315">
      <w:r>
        <w:t xml:space="preserve">65. </w:t>
      </w:r>
      <w:r>
        <w:tab/>
        <w:t xml:space="preserve">4. </w:t>
      </w:r>
      <w:r w:rsidRPr="00853603">
        <w:rPr>
          <w:i/>
          <w:iCs/>
        </w:rPr>
        <w:t>En cuanto a evitar la distracción</w:t>
      </w:r>
      <w:r>
        <w:t>: debe</w:t>
      </w:r>
      <w:r w:rsidR="005D6627">
        <w:t>rá</w:t>
      </w:r>
      <w:r>
        <w:t xml:space="preserve"> evitar la tentación de abandonar el </w:t>
      </w:r>
      <w:r w:rsidR="005D6627">
        <w:t xml:space="preserve">objeto </w:t>
      </w:r>
      <w:r>
        <w:t xml:space="preserve">de meditación y permitir que su mente se distraiga entre </w:t>
      </w:r>
      <w:r w:rsidR="005D6627">
        <w:t>un</w:t>
      </w:r>
      <w:r>
        <w:t xml:space="preserve">a variedad de objetos externos. Porque si no, al igual que un hombre </w:t>
      </w:r>
      <w:r w:rsidR="005D6627">
        <w:t xml:space="preserve">al </w:t>
      </w:r>
      <w:r>
        <w:t>entra</w:t>
      </w:r>
      <w:r w:rsidR="005D6627">
        <w:t>r</w:t>
      </w:r>
      <w:r>
        <w:t xml:space="preserve"> </w:t>
      </w:r>
      <w:r w:rsidR="00CA7494">
        <w:t>a</w:t>
      </w:r>
      <w:r>
        <w:t xml:space="preserve"> un acantilado de un pie de ancho, si mira</w:t>
      </w:r>
      <w:r w:rsidR="00CA7494">
        <w:t>r</w:t>
      </w:r>
      <w:r>
        <w:t xml:space="preserve"> a su alrededor </w:t>
      </w:r>
      <w:r w:rsidR="00CA7494">
        <w:t xml:space="preserve">y </w:t>
      </w:r>
      <w:r>
        <w:t xml:space="preserve">sin mirar sus pasos, </w:t>
      </w:r>
      <w:r w:rsidR="00CA7494">
        <w:t xml:space="preserve">podría </w:t>
      </w:r>
      <w:r>
        <w:t xml:space="preserve">perder el equilibrio y caer por el acantilado, que </w:t>
      </w:r>
      <w:r w:rsidR="00CA7494">
        <w:t xml:space="preserve">podría ser </w:t>
      </w:r>
      <w:r>
        <w:t>quizás tan alto como cien hombres, así también, cuando hay</w:t>
      </w:r>
      <w:r w:rsidR="00CA7494">
        <w:t>a</w:t>
      </w:r>
      <w:r>
        <w:t xml:space="preserve"> distracción externa, el </w:t>
      </w:r>
      <w:r w:rsidR="00CA7494">
        <w:t xml:space="preserve">objeto </w:t>
      </w:r>
      <w:r>
        <w:t>de meditación se descuida</w:t>
      </w:r>
      <w:r w:rsidR="00CA7494">
        <w:t>rá</w:t>
      </w:r>
      <w:r>
        <w:t xml:space="preserve"> y se deteriora</w:t>
      </w:r>
      <w:r w:rsidR="00CA7494">
        <w:t>rá</w:t>
      </w:r>
      <w:r>
        <w:t xml:space="preserve">. Por lo tanto, </w:t>
      </w:r>
      <w:r w:rsidR="000B2E9C">
        <w:t xml:space="preserve">él </w:t>
      </w:r>
      <w:r>
        <w:t>debe</w:t>
      </w:r>
      <w:r w:rsidR="00CA7494">
        <w:t>r</w:t>
      </w:r>
      <w:r w:rsidR="000B2E9C">
        <w:t>á</w:t>
      </w:r>
      <w:r>
        <w:t xml:space="preserve"> prestar atención </w:t>
      </w:r>
      <w:r w:rsidR="00A373EA">
        <w:t xml:space="preserve">a su objeto </w:t>
      </w:r>
      <w:r>
        <w:t>evita</w:t>
      </w:r>
      <w:r w:rsidR="00CE06EA">
        <w:t>ndo</w:t>
      </w:r>
      <w:r>
        <w:t xml:space="preserve"> distracciones.</w:t>
      </w:r>
    </w:p>
    <w:p w14:paraId="2562D9F4" w14:textId="14F683E5" w:rsidR="000A22FD" w:rsidRDefault="00EF1315" w:rsidP="00CE06EA">
      <w:r>
        <w:t xml:space="preserve">66. </w:t>
      </w:r>
      <w:r>
        <w:tab/>
        <w:t xml:space="preserve">5. </w:t>
      </w:r>
      <w:r w:rsidRPr="00853603">
        <w:rPr>
          <w:i/>
          <w:iCs/>
        </w:rPr>
        <w:t>En cuanto a la superación</w:t>
      </w:r>
      <w:r>
        <w:t xml:space="preserve"> </w:t>
      </w:r>
      <w:r w:rsidRPr="00AA63F2">
        <w:rPr>
          <w:i/>
          <w:iCs/>
        </w:rPr>
        <w:t>del concepto</w:t>
      </w:r>
      <w:r>
        <w:t>: est</w:t>
      </w:r>
      <w:r w:rsidR="00EB7541">
        <w:t>os</w:t>
      </w:r>
      <w:r>
        <w:t xml:space="preserve"> [nombre</w:t>
      </w:r>
      <w:r w:rsidR="00EB7541">
        <w:t>s</w:t>
      </w:r>
      <w:r>
        <w:t>-] concepto</w:t>
      </w:r>
      <w:r w:rsidR="00EB7541">
        <w:t>s</w:t>
      </w:r>
      <w:r>
        <w:t xml:space="preserve"> que comienza</w:t>
      </w:r>
      <w:r w:rsidR="00EB7541">
        <w:t>n</w:t>
      </w:r>
      <w:r>
        <w:t xml:space="preserve"> con “</w:t>
      </w:r>
      <w:r w:rsidR="00AA63F2">
        <w:t>cabellos</w:t>
      </w:r>
      <w:r>
        <w:t xml:space="preserve"> de la cabeza, </w:t>
      </w:r>
      <w:r w:rsidR="00AA63F2">
        <w:t xml:space="preserve">vellos </w:t>
      </w:r>
      <w:r>
        <w:t>del cuerpo” debe</w:t>
      </w:r>
      <w:r w:rsidR="00AA63F2">
        <w:t>rá</w:t>
      </w:r>
      <w:r w:rsidR="00EB7541">
        <w:t>n</w:t>
      </w:r>
      <w:r>
        <w:t xml:space="preserve"> ser superado</w:t>
      </w:r>
      <w:r w:rsidR="00EB7541">
        <w:t>s</w:t>
      </w:r>
      <w:r>
        <w:t xml:space="preserve"> y </w:t>
      </w:r>
      <w:r w:rsidR="00690A7F">
        <w:t xml:space="preserve">deberá </w:t>
      </w:r>
      <w:r w:rsidR="009978BA">
        <w:t xml:space="preserve">establecerse la </w:t>
      </w:r>
      <w:r>
        <w:t>con</w:t>
      </w:r>
      <w:r w:rsidR="00296EBA">
        <w:t>s</w:t>
      </w:r>
      <w:r>
        <w:t xml:space="preserve">ciencia en </w:t>
      </w:r>
      <w:r w:rsidR="009978BA">
        <w:t>su</w:t>
      </w:r>
      <w:r>
        <w:t xml:space="preserve"> aspecto “</w:t>
      </w:r>
      <w:r w:rsidR="00296EBA">
        <w:t>repu</w:t>
      </w:r>
      <w:r w:rsidR="009978BA">
        <w:t>lsivo</w:t>
      </w:r>
      <w:r>
        <w:t xml:space="preserve">”. </w:t>
      </w:r>
      <w:r w:rsidR="009978BA">
        <w:t>Ya que,</w:t>
      </w:r>
      <w:r>
        <w:t xml:space="preserve"> así como los hombres </w:t>
      </w:r>
      <w:r w:rsidR="00820449">
        <w:t xml:space="preserve">al encontrar </w:t>
      </w:r>
      <w:r>
        <w:t>un pozo de agua en un bosque en tiempo de sequía,</w:t>
      </w:r>
      <w:r w:rsidRPr="008C0E19">
        <w:t xml:space="preserve"> </w:t>
      </w:r>
      <w:r w:rsidR="00820449">
        <w:t>colgaría</w:t>
      </w:r>
      <w:r w:rsidR="00674EA3">
        <w:t>n</w:t>
      </w:r>
      <w:r w:rsidR="00820449">
        <w:t xml:space="preserve"> allí algún tipo de señal, como una hoja de palma, para que</w:t>
      </w:r>
      <w:r w:rsidR="000A22FD">
        <w:br w:type="page"/>
      </w:r>
    </w:p>
    <w:p w14:paraId="4737E472" w14:textId="77777777" w:rsidR="003F014A" w:rsidRDefault="003F014A" w:rsidP="00EF1315"/>
    <w:p w14:paraId="616E09DF" w14:textId="16B07083" w:rsidR="003F014A" w:rsidRDefault="003F014A" w:rsidP="003F014A">
      <w:r>
        <w:t xml:space="preserve">​​la gente </w:t>
      </w:r>
      <w:r w:rsidR="00820449">
        <w:t>llegase</w:t>
      </w:r>
      <w:r>
        <w:t xml:space="preserve"> </w:t>
      </w:r>
      <w:r w:rsidR="00175DCB">
        <w:t>y pued</w:t>
      </w:r>
      <w:r>
        <w:t xml:space="preserve">a bañarse y beber </w:t>
      </w:r>
      <w:r w:rsidR="00175DCB">
        <w:t xml:space="preserve">agua </w:t>
      </w:r>
      <w:r>
        <w:t>guiad</w:t>
      </w:r>
      <w:r w:rsidR="00175DCB">
        <w:t>os</w:t>
      </w:r>
      <w:r>
        <w:t xml:space="preserve"> por la señal, [245] pero cuando el camino se ha</w:t>
      </w:r>
      <w:r w:rsidR="00175DCB">
        <w:t>ya</w:t>
      </w:r>
      <w:r>
        <w:t xml:space="preserve"> vuelto llano con su tráfico continuo, ya no ha</w:t>
      </w:r>
      <w:r w:rsidR="00674EA3">
        <w:t>brá</w:t>
      </w:r>
      <w:r>
        <w:t xml:space="preserve"> necesidad de la señal y </w:t>
      </w:r>
      <w:r w:rsidR="00690A7F">
        <w:t xml:space="preserve">la gente fuese </w:t>
      </w:r>
      <w:r>
        <w:t xml:space="preserve">a bañarse y beber </w:t>
      </w:r>
      <w:r w:rsidR="00175DCB">
        <w:t xml:space="preserve">agua </w:t>
      </w:r>
      <w:r w:rsidR="00674EA3">
        <w:t xml:space="preserve">cuando </w:t>
      </w:r>
      <w:r>
        <w:t>lo deseen, así también, cuando la repulsión se vuelv</w:t>
      </w:r>
      <w:r w:rsidR="00175DCB">
        <w:t>a</w:t>
      </w:r>
      <w:r>
        <w:t xml:space="preserve"> evidente </w:t>
      </w:r>
      <w:r w:rsidR="00175DCB">
        <w:t xml:space="preserve">en </w:t>
      </w:r>
      <w:r>
        <w:t>él mientras prest</w:t>
      </w:r>
      <w:r w:rsidR="00175DCB">
        <w:t>e</w:t>
      </w:r>
      <w:r>
        <w:t xml:space="preserve"> su atención al </w:t>
      </w:r>
      <w:r w:rsidR="002327F8">
        <w:t xml:space="preserve">objeto </w:t>
      </w:r>
      <w:r>
        <w:t xml:space="preserve">de meditación a través del [nombre-] </w:t>
      </w:r>
      <w:r w:rsidR="002327F8">
        <w:t xml:space="preserve">concepto </w:t>
      </w:r>
      <w:r>
        <w:t>"</w:t>
      </w:r>
      <w:r w:rsidR="002327F8">
        <w:t>cabellos</w:t>
      </w:r>
      <w:r>
        <w:t xml:space="preserve"> de la cabeza, </w:t>
      </w:r>
      <w:r w:rsidR="002327F8">
        <w:t xml:space="preserve">vellos </w:t>
      </w:r>
      <w:r>
        <w:t>del cuerpo", debe</w:t>
      </w:r>
      <w:r w:rsidR="00BF1ED1">
        <w:t>rá</w:t>
      </w:r>
      <w:r>
        <w:t xml:space="preserve"> superar </w:t>
      </w:r>
      <w:r w:rsidR="00BF1ED1">
        <w:t xml:space="preserve">los </w:t>
      </w:r>
      <w:r>
        <w:t>concepto</w:t>
      </w:r>
      <w:r w:rsidR="00BF1ED1">
        <w:t>s</w:t>
      </w:r>
      <w:r>
        <w:t xml:space="preserve"> "</w:t>
      </w:r>
      <w:r w:rsidR="00BF1ED1">
        <w:t xml:space="preserve">cabellos </w:t>
      </w:r>
      <w:r>
        <w:t xml:space="preserve">de la cabeza, </w:t>
      </w:r>
      <w:r w:rsidR="00BF1ED1">
        <w:t xml:space="preserve">vellos </w:t>
      </w:r>
      <w:r>
        <w:t>del cuerpo" y establecer la con</w:t>
      </w:r>
      <w:r w:rsidR="00BF1ED1">
        <w:t>s</w:t>
      </w:r>
      <w:r>
        <w:t xml:space="preserve">ciencia solo </w:t>
      </w:r>
      <w:r w:rsidR="00C853B9">
        <w:t>sobre</w:t>
      </w:r>
      <w:r>
        <w:t xml:space="preserve"> la repulsión real.</w:t>
      </w:r>
    </w:p>
    <w:p w14:paraId="557DA127" w14:textId="35118D17" w:rsidR="003F014A" w:rsidRDefault="003F014A" w:rsidP="003F014A">
      <w:r>
        <w:t xml:space="preserve">67. </w:t>
      </w:r>
      <w:r>
        <w:tab/>
        <w:t xml:space="preserve">6. </w:t>
      </w:r>
      <w:r w:rsidRPr="00E934C9">
        <w:rPr>
          <w:i/>
          <w:iCs/>
        </w:rPr>
        <w:t xml:space="preserve">En cuanto a la </w:t>
      </w:r>
      <w:r w:rsidR="005D258A">
        <w:rPr>
          <w:i/>
          <w:iCs/>
        </w:rPr>
        <w:t>partida</w:t>
      </w:r>
      <w:r w:rsidRPr="00E934C9">
        <w:rPr>
          <w:i/>
          <w:iCs/>
        </w:rPr>
        <w:t xml:space="preserve"> sucesiva</w:t>
      </w:r>
      <w:r>
        <w:t>: al prestar su atención, eventualmente debe</w:t>
      </w:r>
      <w:r w:rsidR="005B12F2">
        <w:t>rá</w:t>
      </w:r>
      <w:r>
        <w:t xml:space="preserve"> dejar </w:t>
      </w:r>
      <w:r w:rsidR="005B12F2">
        <w:t>a</w:t>
      </w:r>
      <w:r>
        <w:t>fuera cualquier [parte] que no se le aparezca. Porque cuando un principiante prest</w:t>
      </w:r>
      <w:r w:rsidR="005B12F2">
        <w:t>e</w:t>
      </w:r>
      <w:r>
        <w:t xml:space="preserve"> su atención a los </w:t>
      </w:r>
      <w:r w:rsidR="005B12F2">
        <w:t xml:space="preserve">cabellos </w:t>
      </w:r>
      <w:r>
        <w:t>de la cabeza, su atención contin</w:t>
      </w:r>
      <w:r w:rsidR="00F069C9">
        <w:t>u</w:t>
      </w:r>
      <w:r>
        <w:t>a</w:t>
      </w:r>
      <w:r w:rsidR="00F069C9">
        <w:t>rá</w:t>
      </w:r>
      <w:r>
        <w:t xml:space="preserve"> hasta que lleg</w:t>
      </w:r>
      <w:r w:rsidR="00690A7F">
        <w:t>ue</w:t>
      </w:r>
      <w:r>
        <w:t xml:space="preserve"> a la última parte</w:t>
      </w:r>
      <w:r w:rsidR="00F069C9">
        <w:t xml:space="preserve"> del cuerpo</w:t>
      </w:r>
      <w:r>
        <w:t xml:space="preserve">, es decir, </w:t>
      </w:r>
      <w:r w:rsidR="00A3428D">
        <w:t xml:space="preserve">hasta </w:t>
      </w:r>
      <w:r>
        <w:t>la orina y se deten</w:t>
      </w:r>
      <w:r w:rsidR="00F069C9">
        <w:t>drá</w:t>
      </w:r>
      <w:r>
        <w:t xml:space="preserve"> allí; y cuando prest</w:t>
      </w:r>
      <w:r w:rsidR="00F069C9">
        <w:t>e</w:t>
      </w:r>
      <w:r>
        <w:t xml:space="preserve"> su atención a la orina, su atención contin</w:t>
      </w:r>
      <w:r w:rsidR="00F069C9">
        <w:t>u</w:t>
      </w:r>
      <w:r>
        <w:t>a</w:t>
      </w:r>
      <w:r w:rsidR="00F069C9">
        <w:t>rá</w:t>
      </w:r>
      <w:r>
        <w:t xml:space="preserve"> hasta que lleg</w:t>
      </w:r>
      <w:r w:rsidR="00F069C9">
        <w:t>ue</w:t>
      </w:r>
      <w:r>
        <w:t xml:space="preserve"> de nuevo a la primera parte, es decir, </w:t>
      </w:r>
      <w:r w:rsidR="00F069C9">
        <w:t xml:space="preserve">hasta </w:t>
      </w:r>
      <w:r>
        <w:t xml:space="preserve">los </w:t>
      </w:r>
      <w:r w:rsidR="00F069C9">
        <w:t xml:space="preserve">cabellos </w:t>
      </w:r>
      <w:r>
        <w:t>de la cabeza, y se deten</w:t>
      </w:r>
      <w:r w:rsidR="00F069C9">
        <w:t>drá</w:t>
      </w:r>
      <w:r>
        <w:t xml:space="preserve"> allí. Como persist</w:t>
      </w:r>
      <w:r w:rsidR="00317BF2">
        <w:t>a</w:t>
      </w:r>
      <w:r>
        <w:t xml:space="preserve"> en prestar su atención </w:t>
      </w:r>
      <w:r w:rsidR="00A6325F">
        <w:t>así</w:t>
      </w:r>
      <w:r>
        <w:t>, algunas partes se le aparece</w:t>
      </w:r>
      <w:r w:rsidR="00317BF2">
        <w:t>rá</w:t>
      </w:r>
      <w:r>
        <w:t xml:space="preserve">n y otras no. </w:t>
      </w:r>
      <w:r w:rsidR="00690A7F">
        <w:t>Entonces</w:t>
      </w:r>
      <w:r>
        <w:t xml:space="preserve"> debe</w:t>
      </w:r>
      <w:r w:rsidR="00317BF2">
        <w:t>rá</w:t>
      </w:r>
      <w:r>
        <w:t xml:space="preserve"> trabajar en los que ha</w:t>
      </w:r>
      <w:r w:rsidR="00317BF2">
        <w:t>ya</w:t>
      </w:r>
      <w:r>
        <w:t xml:space="preserve"> aparecido hasta que uno de cada dos aparezca más claro. Debe</w:t>
      </w:r>
      <w:r w:rsidR="00A6325F">
        <w:t>rá</w:t>
      </w:r>
      <w:r>
        <w:t xml:space="preserve"> despertar la absorción prestando atención una y otra vez a</w:t>
      </w:r>
      <w:r w:rsidR="00A6325F">
        <w:t xml:space="preserve"> </w:t>
      </w:r>
      <w:r>
        <w:t>l</w:t>
      </w:r>
      <w:r w:rsidR="00A6325F">
        <w:t>o</w:t>
      </w:r>
      <w:r>
        <w:t xml:space="preserve"> que </w:t>
      </w:r>
      <w:r w:rsidR="000575E3">
        <w:t xml:space="preserve">ya </w:t>
      </w:r>
      <w:r>
        <w:t>ha</w:t>
      </w:r>
      <w:r w:rsidR="00A6325F">
        <w:t>ya</w:t>
      </w:r>
      <w:r>
        <w:t xml:space="preserve"> aparecido.</w:t>
      </w:r>
    </w:p>
    <w:p w14:paraId="4F9C39A5" w14:textId="445AFC18" w:rsidR="003F014A" w:rsidRDefault="003F014A" w:rsidP="003F014A">
      <w:r>
        <w:t xml:space="preserve">68. </w:t>
      </w:r>
      <w:r>
        <w:tab/>
      </w:r>
      <w:r w:rsidR="00BD7F21">
        <w:t xml:space="preserve">Aquí </w:t>
      </w:r>
      <w:r>
        <w:t>un símil. Supongamos que un cazador quisiera atrapar a un mono que viv</w:t>
      </w:r>
      <w:r w:rsidR="00BD7F21">
        <w:t>iese</w:t>
      </w:r>
      <w:r>
        <w:t xml:space="preserve"> en un bosque de treinta y dos palmeras, y le dispar</w:t>
      </w:r>
      <w:r w:rsidR="00BD7F21">
        <w:t>ase</w:t>
      </w:r>
      <w:r>
        <w:t xml:space="preserve"> una flecha a través de una hoja de palma que </w:t>
      </w:r>
      <w:r w:rsidR="00BD7F21">
        <w:t>estuviera</w:t>
      </w:r>
      <w:r>
        <w:t xml:space="preserve"> al principio y di</w:t>
      </w:r>
      <w:r w:rsidR="00373FA2">
        <w:t>era</w:t>
      </w:r>
      <w:r>
        <w:t xml:space="preserve"> un grito; luego </w:t>
      </w:r>
      <w:r w:rsidR="00373FA2">
        <w:t xml:space="preserve">que </w:t>
      </w:r>
      <w:r>
        <w:t>el mono fue</w:t>
      </w:r>
      <w:r w:rsidR="00373FA2">
        <w:t>ra</w:t>
      </w:r>
      <w:r>
        <w:t xml:space="preserve"> saltando sucesivamente de palma en palma hasta llegar a la última palma; y cuando el cazador fue</w:t>
      </w:r>
      <w:r w:rsidR="00373FA2">
        <w:t>ra</w:t>
      </w:r>
      <w:r>
        <w:t xml:space="preserve"> </w:t>
      </w:r>
      <w:r w:rsidR="001E532E">
        <w:t xml:space="preserve">también </w:t>
      </w:r>
      <w:r>
        <w:t>allí e hi</w:t>
      </w:r>
      <w:r w:rsidR="00373FA2">
        <w:t>ciera</w:t>
      </w:r>
      <w:r>
        <w:t xml:space="preserve"> lo </w:t>
      </w:r>
      <w:r w:rsidR="001E532E">
        <w:t>mismo</w:t>
      </w:r>
      <w:r>
        <w:t>, volvi</w:t>
      </w:r>
      <w:r w:rsidR="00373FA2">
        <w:t>ese</w:t>
      </w:r>
      <w:r>
        <w:t xml:space="preserve"> de la misma manera a la primera palma; y siendo seguido así una y otra vez, después de saltar de cada lugar donde se di</w:t>
      </w:r>
      <w:r w:rsidR="00373FA2">
        <w:t>ese</w:t>
      </w:r>
      <w:r>
        <w:t xml:space="preserve"> un grito, finalmente salt</w:t>
      </w:r>
      <w:r w:rsidR="00373FA2">
        <w:t>ase</w:t>
      </w:r>
      <w:r>
        <w:t xml:space="preserve"> sobre una palma, y ​​agarrando firmemente la punta de la hoja del brote de la palma en el medio, no salt</w:t>
      </w:r>
      <w:r w:rsidR="00373FA2">
        <w:t>ase</w:t>
      </w:r>
      <w:r>
        <w:t xml:space="preserve"> más inclus</w:t>
      </w:r>
      <w:r w:rsidR="001E532E">
        <w:t>ive</w:t>
      </w:r>
      <w:r>
        <w:t xml:space="preserve"> cuando se </w:t>
      </w:r>
      <w:r w:rsidR="000575E3">
        <w:t xml:space="preserve">le </w:t>
      </w:r>
      <w:r>
        <w:t>dispar</w:t>
      </w:r>
      <w:r w:rsidR="002B4B5D">
        <w:t>ase –</w:t>
      </w:r>
      <w:r>
        <w:t xml:space="preserve"> </w:t>
      </w:r>
      <w:r w:rsidR="002B4B5D">
        <w:t>así mismo es</w:t>
      </w:r>
      <w:r>
        <w:t xml:space="preserve"> con esto.</w:t>
      </w:r>
    </w:p>
    <w:p w14:paraId="375C5F09" w14:textId="3ADF0762" w:rsidR="003F014A" w:rsidRDefault="003F014A" w:rsidP="003F014A">
      <w:r>
        <w:t xml:space="preserve">69. </w:t>
      </w:r>
      <w:r>
        <w:tab/>
        <w:t xml:space="preserve">La aplicación del símil es ésta. Las </w:t>
      </w:r>
      <w:r w:rsidR="00222C40">
        <w:t>32</w:t>
      </w:r>
      <w:r>
        <w:t xml:space="preserve"> partes del cuerpo son como </w:t>
      </w:r>
      <w:r w:rsidR="009A6E03">
        <w:t xml:space="preserve">32 </w:t>
      </w:r>
      <w:r>
        <w:t xml:space="preserve">palmeras en el bosque. El mono es como la mente. El meditador es como el cazador. El alcance de la mente del meditador en el cuerpo con sus </w:t>
      </w:r>
      <w:r w:rsidR="009A6E03">
        <w:t xml:space="preserve">32 </w:t>
      </w:r>
      <w:r>
        <w:t xml:space="preserve">partes como objeto es como el del mono que habita el palmeral de </w:t>
      </w:r>
      <w:r w:rsidR="009A6E03">
        <w:t xml:space="preserve">32 </w:t>
      </w:r>
      <w:r>
        <w:t>palmeras. El asentamiento de la mente del meditador en la última parte después de ir sucesivamente de una parte a otra cuando comenz</w:t>
      </w:r>
      <w:r w:rsidR="00A322A9">
        <w:t>ara</w:t>
      </w:r>
      <w:r>
        <w:t xml:space="preserve"> prestando su atención a los </w:t>
      </w:r>
      <w:r w:rsidR="00A322A9">
        <w:t>cabellos</w:t>
      </w:r>
      <w:r>
        <w:t xml:space="preserve"> de la cabeza</w:t>
      </w:r>
      <w:r w:rsidR="005845B3">
        <w:t>,</w:t>
      </w:r>
      <w:r>
        <w:t xml:space="preserve"> es como el salto del mono de palma en palma</w:t>
      </w:r>
      <w:r w:rsidR="00A322A9">
        <w:t xml:space="preserve"> </w:t>
      </w:r>
      <w:r>
        <w:t xml:space="preserve">yendo </w:t>
      </w:r>
      <w:r w:rsidR="00A322A9">
        <w:t>hasta</w:t>
      </w:r>
      <w:r>
        <w:t xml:space="preserve"> la última palma, [246] </w:t>
      </w:r>
      <w:r w:rsidR="000C1810">
        <w:t>donde</w:t>
      </w:r>
      <w:r>
        <w:t xml:space="preserve"> el cazador dispar</w:t>
      </w:r>
      <w:r w:rsidR="00A322A9">
        <w:t>a</w:t>
      </w:r>
      <w:r>
        <w:t xml:space="preserve"> una flecha a través de la hoja de palma donde estaba y d</w:t>
      </w:r>
      <w:r w:rsidR="001768A0">
        <w:t>iera</w:t>
      </w:r>
      <w:r>
        <w:t xml:space="preserve"> un grito. Así mismo </w:t>
      </w:r>
      <w:r w:rsidR="00A322A9">
        <w:t>de</w:t>
      </w:r>
      <w:r>
        <w:t xml:space="preserve"> regreso al </w:t>
      </w:r>
      <w:r w:rsidR="00A322A9">
        <w:t>inicio</w:t>
      </w:r>
      <w:r>
        <w:t>. El hecho de que haga el trabajo preliminar sobre las partes que ha</w:t>
      </w:r>
      <w:r w:rsidR="00A322A9">
        <w:t>ya</w:t>
      </w:r>
      <w:r>
        <w:t>n aparecido, dejando atrás las que no apare</w:t>
      </w:r>
      <w:r w:rsidR="00C6770D">
        <w:t>zcan</w:t>
      </w:r>
      <w:r>
        <w:t>, mientras les prest</w:t>
      </w:r>
      <w:r w:rsidR="001B72C9">
        <w:t>e</w:t>
      </w:r>
      <w:r>
        <w:t xml:space="preserve"> atención una y otra vez, </w:t>
      </w:r>
      <w:r w:rsidR="000525F7">
        <w:t xml:space="preserve">mientras </w:t>
      </w:r>
      <w:r>
        <w:t>algunas se le apare</w:t>
      </w:r>
      <w:r w:rsidR="000525F7">
        <w:t>zca</w:t>
      </w:r>
      <w:r>
        <w:t xml:space="preserve">n y otras no, es como el mono </w:t>
      </w:r>
      <w:r w:rsidR="000525F7">
        <w:t xml:space="preserve">al ser </w:t>
      </w:r>
      <w:r>
        <w:t xml:space="preserve">seguido y </w:t>
      </w:r>
      <w:r w:rsidR="000525F7">
        <w:t xml:space="preserve">al </w:t>
      </w:r>
      <w:r>
        <w:t>saltar de cada lugar donde se d</w:t>
      </w:r>
      <w:r w:rsidR="000525F7">
        <w:t>iera</w:t>
      </w:r>
      <w:r>
        <w:t xml:space="preserve"> </w:t>
      </w:r>
      <w:r w:rsidR="00ED01E7">
        <w:t>el</w:t>
      </w:r>
      <w:r>
        <w:t xml:space="preserve"> grito. La atención </w:t>
      </w:r>
      <w:r w:rsidR="009700F6">
        <w:t xml:space="preserve">prestada y </w:t>
      </w:r>
      <w:r>
        <w:t>repetida del meditador a la parte que al final apare</w:t>
      </w:r>
      <w:r w:rsidR="00ED01E7">
        <w:t>zca</w:t>
      </w:r>
      <w:r>
        <w:t xml:space="preserve"> más claramente de cualquiera de las dos que se le ha</w:t>
      </w:r>
      <w:r w:rsidR="009700F6">
        <w:t>ya</w:t>
      </w:r>
      <w:r>
        <w:t xml:space="preserve">n aparecido y </w:t>
      </w:r>
      <w:r w:rsidR="009700F6">
        <w:t xml:space="preserve">que </w:t>
      </w:r>
      <w:r>
        <w:t>finalmente alcan</w:t>
      </w:r>
      <w:r w:rsidR="000C1810">
        <w:t>ce</w:t>
      </w:r>
      <w:r>
        <w:t xml:space="preserve"> la absorción, es como el mono </w:t>
      </w:r>
      <w:r w:rsidR="0002353C">
        <w:t xml:space="preserve">que </w:t>
      </w:r>
      <w:r>
        <w:t xml:space="preserve">finalmente se </w:t>
      </w:r>
      <w:r w:rsidR="0002353C">
        <w:t xml:space="preserve">detiene </w:t>
      </w:r>
      <w:r>
        <w:t xml:space="preserve">en una palma, agarrando firmemente la espiga de la hoja del brote de la palma </w:t>
      </w:r>
      <w:r w:rsidR="00ED01E7">
        <w:t>por</w:t>
      </w:r>
      <w:r>
        <w:t xml:space="preserve"> el medio. y </w:t>
      </w:r>
      <w:r w:rsidR="0002353C">
        <w:t xml:space="preserve">que </w:t>
      </w:r>
      <w:r>
        <w:t>no saltar</w:t>
      </w:r>
      <w:r w:rsidR="0002353C">
        <w:t>a</w:t>
      </w:r>
      <w:r>
        <w:t xml:space="preserve"> inclus</w:t>
      </w:r>
      <w:r w:rsidR="0002353C">
        <w:t>ive</w:t>
      </w:r>
      <w:r>
        <w:t xml:space="preserve"> cuando </w:t>
      </w:r>
      <w:r w:rsidR="0002353C">
        <w:t xml:space="preserve">se </w:t>
      </w:r>
      <w:r>
        <w:t>le dispara</w:t>
      </w:r>
      <w:r w:rsidR="0002353C">
        <w:t>se</w:t>
      </w:r>
      <w:r>
        <w:t>.</w:t>
      </w:r>
    </w:p>
    <w:p w14:paraId="724A360E" w14:textId="2231F36F" w:rsidR="003F014A" w:rsidRDefault="003F014A" w:rsidP="003F014A">
      <w:r>
        <w:t xml:space="preserve">70. </w:t>
      </w:r>
      <w:r>
        <w:tab/>
      </w:r>
      <w:r w:rsidR="00ED01E7">
        <w:t>Existe</w:t>
      </w:r>
      <w:r>
        <w:t xml:space="preserve"> </w:t>
      </w:r>
      <w:r w:rsidR="00ED01E7">
        <w:t xml:space="preserve">también </w:t>
      </w:r>
      <w:r>
        <w:t xml:space="preserve">otro símil. Supongamos que un </w:t>
      </w:r>
      <w:proofErr w:type="spellStart"/>
      <w:r w:rsidR="00057BF4" w:rsidRPr="00057BF4">
        <w:rPr>
          <w:i/>
          <w:iCs/>
        </w:rPr>
        <w:t>bhikkhu</w:t>
      </w:r>
      <w:proofErr w:type="spellEnd"/>
      <w:r>
        <w:t xml:space="preserve"> comedor de </w:t>
      </w:r>
      <w:r w:rsidR="00ED01E7">
        <w:t>ofrendas</w:t>
      </w:r>
      <w:r>
        <w:t xml:space="preserve"> fue</w:t>
      </w:r>
      <w:r w:rsidR="00ED01E7">
        <w:t>ra</w:t>
      </w:r>
      <w:r>
        <w:t xml:space="preserve"> a vivir cerca de una aldea de treinta y dos familias, y </w:t>
      </w:r>
      <w:r w:rsidR="00053366">
        <w:t xml:space="preserve">que </w:t>
      </w:r>
      <w:r>
        <w:t>cuando recib</w:t>
      </w:r>
      <w:r w:rsidR="00053366">
        <w:t>iese</w:t>
      </w:r>
      <w:r>
        <w:t xml:space="preserve"> dos lotes de </w:t>
      </w:r>
      <w:r w:rsidR="00ED01E7">
        <w:t xml:space="preserve">ofrendas </w:t>
      </w:r>
      <w:r>
        <w:t>en la primera casa, dej</w:t>
      </w:r>
      <w:r w:rsidR="00053366">
        <w:t>ase</w:t>
      </w:r>
      <w:r>
        <w:t xml:space="preserve"> </w:t>
      </w:r>
      <w:r w:rsidR="000C1810">
        <w:t>la</w:t>
      </w:r>
      <w:r>
        <w:t xml:space="preserve"> casa </w:t>
      </w:r>
      <w:r w:rsidR="00E761B7">
        <w:t>siguiente</w:t>
      </w:r>
      <w:r>
        <w:t>, y al día siguiente, cuando recibi</w:t>
      </w:r>
      <w:r w:rsidR="00E761B7">
        <w:t>ese</w:t>
      </w:r>
      <w:r>
        <w:t xml:space="preserve"> tres </w:t>
      </w:r>
      <w:r w:rsidR="000C1810">
        <w:t>l</w:t>
      </w:r>
      <w:r w:rsidR="00E761B7">
        <w:t>otes</w:t>
      </w:r>
      <w:r>
        <w:t xml:space="preserve"> </w:t>
      </w:r>
      <w:r w:rsidR="00E761B7">
        <w:t>de</w:t>
      </w:r>
      <w:r>
        <w:t xml:space="preserve"> </w:t>
      </w:r>
    </w:p>
    <w:p w14:paraId="7AD4616D" w14:textId="77777777" w:rsidR="003F014A" w:rsidRDefault="003F014A">
      <w:pPr>
        <w:tabs>
          <w:tab w:val="clear" w:pos="425"/>
        </w:tabs>
        <w:spacing w:after="160"/>
      </w:pPr>
      <w:r>
        <w:br w:type="page"/>
      </w:r>
    </w:p>
    <w:p w14:paraId="69AC415B" w14:textId="52F05F97" w:rsidR="003F014A" w:rsidRDefault="00C534FD" w:rsidP="003F014A">
      <w:r>
        <w:lastRenderedPageBreak/>
        <w:br/>
      </w:r>
    </w:p>
    <w:p w14:paraId="583125B7" w14:textId="454A7E18" w:rsidR="00C534FD" w:rsidRDefault="00E761B7" w:rsidP="00C534FD">
      <w:r>
        <w:t>ofrendas en la primera casa</w:t>
      </w:r>
      <w:r w:rsidR="000C1810">
        <w:t>,</w:t>
      </w:r>
      <w:r>
        <w:t xml:space="preserve"> dej</w:t>
      </w:r>
      <w:r w:rsidR="0034556E">
        <w:t>ase las</w:t>
      </w:r>
      <w:r>
        <w:t xml:space="preserve"> </w:t>
      </w:r>
      <w:r w:rsidR="00C534FD">
        <w:t xml:space="preserve">dos casas </w:t>
      </w:r>
      <w:r w:rsidR="0034556E">
        <w:t>siguientes</w:t>
      </w:r>
      <w:r w:rsidR="00C534FD">
        <w:t xml:space="preserve">, y </w:t>
      </w:r>
      <w:r w:rsidR="000C1810">
        <w:t xml:space="preserve">que </w:t>
      </w:r>
      <w:r w:rsidR="00C534FD">
        <w:t xml:space="preserve">al tercer día </w:t>
      </w:r>
      <w:r w:rsidR="0034556E">
        <w:t xml:space="preserve">al </w:t>
      </w:r>
      <w:r w:rsidR="00C534FD">
        <w:t>llen</w:t>
      </w:r>
      <w:r w:rsidR="0034556E">
        <w:t>ar</w:t>
      </w:r>
      <w:r w:rsidR="00C534FD">
        <w:t xml:space="preserve"> su cuenco en la primera casa, </w:t>
      </w:r>
      <w:r w:rsidR="000C1810">
        <w:t xml:space="preserve">se </w:t>
      </w:r>
      <w:r w:rsidR="00927ADF">
        <w:t xml:space="preserve">dirigirse </w:t>
      </w:r>
      <w:r w:rsidR="000C1810">
        <w:t xml:space="preserve">luego </w:t>
      </w:r>
      <w:r w:rsidR="00C534FD">
        <w:t xml:space="preserve">a la sala </w:t>
      </w:r>
      <w:r w:rsidR="0034556E">
        <w:t xml:space="preserve">comedor </w:t>
      </w:r>
      <w:r w:rsidR="00C534FD">
        <w:t>y comi</w:t>
      </w:r>
      <w:r w:rsidR="0034556E">
        <w:t>ese</w:t>
      </w:r>
      <w:r w:rsidR="00C534FD">
        <w:t xml:space="preserve">; así </w:t>
      </w:r>
      <w:r w:rsidR="0034556E">
        <w:t xml:space="preserve">mismo </w:t>
      </w:r>
      <w:r w:rsidR="00C534FD">
        <w:t>es con esto.</w:t>
      </w:r>
    </w:p>
    <w:p w14:paraId="7080B7FE" w14:textId="750E0CE4" w:rsidR="00C534FD" w:rsidRDefault="00C534FD" w:rsidP="00C534FD">
      <w:r>
        <w:t xml:space="preserve">71. </w:t>
      </w:r>
      <w:r>
        <w:tab/>
        <w:t>L</w:t>
      </w:r>
      <w:r w:rsidR="007D56C0">
        <w:t>a</w:t>
      </w:r>
      <w:r>
        <w:t xml:space="preserve">s treinta y dos </w:t>
      </w:r>
      <w:r w:rsidR="007D56C0">
        <w:t>partes del cuerpo</w:t>
      </w:r>
      <w:r>
        <w:t xml:space="preserve"> son como </w:t>
      </w:r>
      <w:r w:rsidR="00C03F46">
        <w:t>un</w:t>
      </w:r>
      <w:r>
        <w:t xml:space="preserve"> pueblo con las treinta y dos familias. El meditador es como el que come </w:t>
      </w:r>
      <w:r w:rsidR="00927ADF">
        <w:t>ofrendas</w:t>
      </w:r>
      <w:r>
        <w:t xml:space="preserve">. El trabajo preliminar del meditador es como el </w:t>
      </w:r>
      <w:r w:rsidR="007A0B23">
        <w:t xml:space="preserve">ir del </w:t>
      </w:r>
      <w:r>
        <w:t xml:space="preserve">comedor de </w:t>
      </w:r>
      <w:r w:rsidR="00927ADF">
        <w:t>ofrenda</w:t>
      </w:r>
      <w:r w:rsidR="007D56C0">
        <w:t>s</w:t>
      </w:r>
      <w:r>
        <w:t xml:space="preserve"> </w:t>
      </w:r>
      <w:r w:rsidR="00F65783">
        <w:t>a</w:t>
      </w:r>
      <w:r>
        <w:t xml:space="preserve"> vivir cerca del pueblo. </w:t>
      </w:r>
      <w:r w:rsidR="00AE7DE5">
        <w:t xml:space="preserve">La continua </w:t>
      </w:r>
      <w:r w:rsidR="00F91F39">
        <w:t>atención de</w:t>
      </w:r>
      <w:r>
        <w:t>l meditador después de omitir las partes que no apare</w:t>
      </w:r>
      <w:r w:rsidR="00F91F39">
        <w:t>zca</w:t>
      </w:r>
      <w:r>
        <w:t>n y hace</w:t>
      </w:r>
      <w:r w:rsidR="00F91F39">
        <w:t>r</w:t>
      </w:r>
      <w:r>
        <w:t xml:space="preserve"> su trabajo preliminar en el par de partes que sí apare</w:t>
      </w:r>
      <w:r w:rsidR="00F91F39">
        <w:t>zcan</w:t>
      </w:r>
      <w:r>
        <w:t xml:space="preserve">, </w:t>
      </w:r>
      <w:r w:rsidR="00F91F39">
        <w:t xml:space="preserve">será </w:t>
      </w:r>
      <w:r>
        <w:t xml:space="preserve">como </w:t>
      </w:r>
      <w:r w:rsidR="00F320A0">
        <w:t xml:space="preserve">si </w:t>
      </w:r>
      <w:r>
        <w:t xml:space="preserve">el comedor de </w:t>
      </w:r>
      <w:r w:rsidR="00F91F39">
        <w:t xml:space="preserve">ofrendas </w:t>
      </w:r>
      <w:r>
        <w:t>recib</w:t>
      </w:r>
      <w:r w:rsidR="00F91F39">
        <w:t>i</w:t>
      </w:r>
      <w:r w:rsidR="000C1810">
        <w:t>endo</w:t>
      </w:r>
      <w:r>
        <w:t xml:space="preserve"> dos lotes de </w:t>
      </w:r>
      <w:r w:rsidR="00F91F39">
        <w:t xml:space="preserve">ofrendas </w:t>
      </w:r>
      <w:r>
        <w:t>en la primera casa y deja</w:t>
      </w:r>
      <w:r w:rsidR="00F320A0">
        <w:t>se</w:t>
      </w:r>
      <w:r>
        <w:t xml:space="preserve"> fuera </w:t>
      </w:r>
      <w:r w:rsidR="00934C18">
        <w:t xml:space="preserve">la </w:t>
      </w:r>
      <w:r>
        <w:t xml:space="preserve">casa </w:t>
      </w:r>
      <w:r w:rsidR="00934C18">
        <w:t>siguiente</w:t>
      </w:r>
      <w:r>
        <w:t xml:space="preserve">, y como </w:t>
      </w:r>
      <w:r w:rsidR="00934C18">
        <w:t xml:space="preserve">el </w:t>
      </w:r>
      <w:r>
        <w:t xml:space="preserve">día siguiente </w:t>
      </w:r>
      <w:r w:rsidR="000E2B42">
        <w:t>donde recib</w:t>
      </w:r>
      <w:r w:rsidR="000C1810">
        <w:t>iese</w:t>
      </w:r>
      <w:r>
        <w:t xml:space="preserve"> tres </w:t>
      </w:r>
      <w:r w:rsidR="000E2B42">
        <w:t xml:space="preserve">lotes de ofrendas </w:t>
      </w:r>
      <w:r>
        <w:t>en la primera casa y deja</w:t>
      </w:r>
      <w:r w:rsidR="00F320A0">
        <w:t>se</w:t>
      </w:r>
      <w:r>
        <w:t xml:space="preserve"> fuera </w:t>
      </w:r>
      <w:r w:rsidR="003F7E73">
        <w:t xml:space="preserve">las </w:t>
      </w:r>
      <w:r>
        <w:t xml:space="preserve">dos casas </w:t>
      </w:r>
      <w:r w:rsidR="003F7E73">
        <w:t>siguientes</w:t>
      </w:r>
      <w:r>
        <w:t>. El despertar de la absorción al prestar atención una y otra vez a lo que ha</w:t>
      </w:r>
      <w:r w:rsidR="003F7E73">
        <w:t>ya</w:t>
      </w:r>
      <w:r>
        <w:t xml:space="preserve"> aparecido más claramente de los dos </w:t>
      </w:r>
      <w:r w:rsidR="007D56C0">
        <w:t>será</w:t>
      </w:r>
      <w:r>
        <w:t xml:space="preserve"> como el comedor de </w:t>
      </w:r>
      <w:r w:rsidR="003F7E73">
        <w:t>ofrendas</w:t>
      </w:r>
      <w:r>
        <w:t xml:space="preserve"> que llena</w:t>
      </w:r>
      <w:r w:rsidR="00472E40">
        <w:t>se</w:t>
      </w:r>
      <w:r>
        <w:t xml:space="preserve"> su cuenco en la primera casa </w:t>
      </w:r>
      <w:r w:rsidR="007D56C0">
        <w:t>a</w:t>
      </w:r>
      <w:r>
        <w:t xml:space="preserve">l tercer día y luego </w:t>
      </w:r>
      <w:r w:rsidR="007D56C0">
        <w:t xml:space="preserve">se fuera </w:t>
      </w:r>
      <w:r>
        <w:t xml:space="preserve">a la sala </w:t>
      </w:r>
      <w:r w:rsidR="007D56C0">
        <w:t xml:space="preserve">comedor </w:t>
      </w:r>
      <w:r>
        <w:t>y com</w:t>
      </w:r>
      <w:r w:rsidR="007D56C0">
        <w:t>iese</w:t>
      </w:r>
      <w:r>
        <w:t>.</w:t>
      </w:r>
    </w:p>
    <w:p w14:paraId="151F754D" w14:textId="437BFDA8" w:rsidR="00C534FD" w:rsidRDefault="00C534FD" w:rsidP="00C534FD">
      <w:r>
        <w:t xml:space="preserve">72. </w:t>
      </w:r>
      <w:r>
        <w:tab/>
        <w:t xml:space="preserve">7. </w:t>
      </w:r>
      <w:r w:rsidRPr="00472E40">
        <w:rPr>
          <w:i/>
          <w:iCs/>
        </w:rPr>
        <w:t>En cuanto a la absorción:</w:t>
      </w:r>
      <w:r>
        <w:t xml:space="preserve"> en cuanto a la absorción parte por parte. La intención aquí es </w:t>
      </w:r>
      <w:r w:rsidR="00472E40">
        <w:t>é</w:t>
      </w:r>
      <w:r>
        <w:t>sta: debe entenderse que la absorción se produc</w:t>
      </w:r>
      <w:r w:rsidR="00472E40">
        <w:t>irá</w:t>
      </w:r>
      <w:r>
        <w:t xml:space="preserve"> en cada una de las partes.</w:t>
      </w:r>
    </w:p>
    <w:p w14:paraId="72E3BF58" w14:textId="0BF640D6" w:rsidR="00C534FD" w:rsidRDefault="00C534FD" w:rsidP="00C534FD">
      <w:r>
        <w:t xml:space="preserve">73. </w:t>
      </w:r>
      <w:r>
        <w:tab/>
        <w:t xml:space="preserve">8–10. En cuanto a los tres </w:t>
      </w:r>
      <w:proofErr w:type="spellStart"/>
      <w:r w:rsidRPr="00505932">
        <w:rPr>
          <w:i/>
          <w:iCs/>
        </w:rPr>
        <w:t>suttantas</w:t>
      </w:r>
      <w:proofErr w:type="spellEnd"/>
      <w:r>
        <w:t xml:space="preserve">: la intención aquí es </w:t>
      </w:r>
      <w:r w:rsidR="00DF1931">
        <w:t>é</w:t>
      </w:r>
      <w:r>
        <w:t>sta: debe</w:t>
      </w:r>
      <w:r w:rsidR="00DF1931">
        <w:t>rá</w:t>
      </w:r>
      <w:r>
        <w:t xml:space="preserve"> entenderse que los tres </w:t>
      </w:r>
      <w:proofErr w:type="spellStart"/>
      <w:r w:rsidRPr="00505932">
        <w:rPr>
          <w:i/>
          <w:iCs/>
        </w:rPr>
        <w:t>suttantas</w:t>
      </w:r>
      <w:proofErr w:type="spellEnd"/>
      <w:r>
        <w:t xml:space="preserve">, </w:t>
      </w:r>
      <w:r w:rsidR="00DF1931">
        <w:t>es decir</w:t>
      </w:r>
      <w:r>
        <w:t xml:space="preserve">, aquellos sobre la </w:t>
      </w:r>
      <w:r w:rsidR="00305E12">
        <w:t>consciencia</w:t>
      </w:r>
      <w:r>
        <w:t xml:space="preserve"> superior,</w:t>
      </w:r>
      <w:r w:rsidRPr="000B3CE0">
        <w:rPr>
          <w:vertAlign w:val="superscript"/>
        </w:rPr>
        <w:t>17</w:t>
      </w:r>
      <w:r>
        <w:t xml:space="preserve"> sobre la frialdad y sobre la habilidad en los factores de </w:t>
      </w:r>
      <w:r w:rsidR="00DF1931">
        <w:t xml:space="preserve">la </w:t>
      </w:r>
      <w:r>
        <w:t>iluminación, tienen como propósito vincular la energía con la concentración.</w:t>
      </w:r>
    </w:p>
    <w:p w14:paraId="263091E6" w14:textId="344654FB" w:rsidR="00C534FD" w:rsidRDefault="00C534FD" w:rsidP="00C534FD">
      <w:r>
        <w:t xml:space="preserve">74. </w:t>
      </w:r>
      <w:r>
        <w:tab/>
        <w:t xml:space="preserve">8. Aquí, debe entenderse que este </w:t>
      </w:r>
      <w:proofErr w:type="spellStart"/>
      <w:r w:rsidRPr="00505932">
        <w:rPr>
          <w:i/>
          <w:iCs/>
        </w:rPr>
        <w:t>sutta</w:t>
      </w:r>
      <w:proofErr w:type="spellEnd"/>
      <w:r>
        <w:t xml:space="preserve"> trata </w:t>
      </w:r>
      <w:r w:rsidR="00FE5E0C">
        <w:t>sobre</w:t>
      </w:r>
      <w:r>
        <w:t xml:space="preserve"> la con</w:t>
      </w:r>
      <w:r w:rsidR="00FE5E0C">
        <w:t>s</w:t>
      </w:r>
      <w:r>
        <w:t>ciencia superior: “</w:t>
      </w:r>
      <w:proofErr w:type="spellStart"/>
      <w:r w:rsidR="00057BF4" w:rsidRPr="00057BF4">
        <w:rPr>
          <w:i/>
          <w:iCs/>
        </w:rPr>
        <w:t>Bhikkhu</w:t>
      </w:r>
      <w:r w:rsidRPr="00505932">
        <w:rPr>
          <w:i/>
          <w:iCs/>
        </w:rPr>
        <w:t>s</w:t>
      </w:r>
      <w:proofErr w:type="spellEnd"/>
      <w:r>
        <w:t xml:space="preserve">, hay tres signos a los que un </w:t>
      </w:r>
      <w:proofErr w:type="spellStart"/>
      <w:r w:rsidR="00057BF4" w:rsidRPr="00057BF4">
        <w:rPr>
          <w:i/>
          <w:iCs/>
        </w:rPr>
        <w:t>bhikkhu</w:t>
      </w:r>
      <w:proofErr w:type="spellEnd"/>
      <w:r>
        <w:t xml:space="preserve"> debe prestar atención de vez en cuando con la intención de </w:t>
      </w:r>
      <w:r w:rsidR="00FE5E0C">
        <w:t>desarrollar</w:t>
      </w:r>
      <w:r>
        <w:t xml:space="preserve"> una </w:t>
      </w:r>
      <w:r w:rsidR="00305E12">
        <w:t>consciencia</w:t>
      </w:r>
      <w:r>
        <w:t xml:space="preserve"> superior. El signo de </w:t>
      </w:r>
      <w:r w:rsidR="00FE5E0C">
        <w:t xml:space="preserve">la </w:t>
      </w:r>
      <w:r>
        <w:t>concentración debe</w:t>
      </w:r>
      <w:r w:rsidR="00FE5E0C">
        <w:t>rá</w:t>
      </w:r>
      <w:r>
        <w:t xml:space="preserve"> recibir atención de vez en cuando, el signo de</w:t>
      </w:r>
      <w:r w:rsidR="00FE5E0C">
        <w:t>l</w:t>
      </w:r>
      <w:r>
        <w:t xml:space="preserve"> esfuerzo debe</w:t>
      </w:r>
      <w:r w:rsidR="00FE5E0C">
        <w:t>rá</w:t>
      </w:r>
      <w:r>
        <w:t xml:space="preserve"> recibir atención de vez en cuando, el signo de </w:t>
      </w:r>
      <w:r w:rsidR="00FE5E0C">
        <w:t xml:space="preserve">la </w:t>
      </w:r>
      <w:r>
        <w:t>ecuanimidad debe</w:t>
      </w:r>
      <w:r w:rsidR="00FE5E0C">
        <w:t>rá</w:t>
      </w:r>
      <w:r>
        <w:t xml:space="preserve"> recibir atención de vez en cuando. [247] Si un </w:t>
      </w:r>
      <w:proofErr w:type="spellStart"/>
      <w:r w:rsidR="00057BF4" w:rsidRPr="00057BF4">
        <w:rPr>
          <w:i/>
          <w:iCs/>
        </w:rPr>
        <w:t>bhikkhu</w:t>
      </w:r>
      <w:proofErr w:type="spellEnd"/>
      <w:r>
        <w:t xml:space="preserve"> interesado en una con</w:t>
      </w:r>
      <w:r w:rsidR="00FE5E0C">
        <w:t>s</w:t>
      </w:r>
      <w:r>
        <w:t>ciencia superior presta</w:t>
      </w:r>
      <w:r w:rsidR="00FE5E0C">
        <w:t>se</w:t>
      </w:r>
      <w:r>
        <w:t xml:space="preserve"> atención solo al signo de </w:t>
      </w:r>
      <w:r w:rsidR="00FE5E0C">
        <w:t xml:space="preserve">la </w:t>
      </w:r>
      <w:r>
        <w:t>concentración, entonces su con</w:t>
      </w:r>
      <w:r w:rsidR="00FE5E0C">
        <w:t>s</w:t>
      </w:r>
      <w:r>
        <w:t xml:space="preserve">ciencia </w:t>
      </w:r>
      <w:r w:rsidR="00FE5E0C">
        <w:t xml:space="preserve">podría </w:t>
      </w:r>
      <w:r>
        <w:t>conducir</w:t>
      </w:r>
      <w:r w:rsidR="00FE5E0C">
        <w:t>lo</w:t>
      </w:r>
      <w:r>
        <w:t xml:space="preserve"> </w:t>
      </w:r>
      <w:r w:rsidR="00F92ECE">
        <w:t>hacia el letargo</w:t>
      </w:r>
      <w:r>
        <w:t xml:space="preserve">. Si un </w:t>
      </w:r>
      <w:proofErr w:type="spellStart"/>
      <w:r w:rsidR="00057BF4" w:rsidRPr="00057BF4">
        <w:rPr>
          <w:i/>
          <w:iCs/>
        </w:rPr>
        <w:t>bhikkhu</w:t>
      </w:r>
      <w:proofErr w:type="spellEnd"/>
      <w:r>
        <w:t xml:space="preserve"> interesado en una </w:t>
      </w:r>
      <w:r w:rsidR="00305E12">
        <w:t>consciencia</w:t>
      </w:r>
      <w:r>
        <w:t xml:space="preserve"> superior presta</w:t>
      </w:r>
      <w:r w:rsidR="008B73AC">
        <w:t>se</w:t>
      </w:r>
      <w:r>
        <w:t xml:space="preserve"> atención solo </w:t>
      </w:r>
      <w:r w:rsidR="008B73AC">
        <w:t xml:space="preserve">al signo </w:t>
      </w:r>
      <w:r>
        <w:t>de</w:t>
      </w:r>
      <w:r w:rsidR="008B73AC">
        <w:t>l</w:t>
      </w:r>
      <w:r>
        <w:t xml:space="preserve"> esfuerzo, entonces su con</w:t>
      </w:r>
      <w:r w:rsidR="008B73AC">
        <w:t>s</w:t>
      </w:r>
      <w:r>
        <w:t xml:space="preserve">ciencia </w:t>
      </w:r>
      <w:r w:rsidR="008B73AC">
        <w:t>podría</w:t>
      </w:r>
      <w:r>
        <w:t xml:space="preserve"> conducir</w:t>
      </w:r>
      <w:r w:rsidR="008B73AC">
        <w:t>lo</w:t>
      </w:r>
      <w:r>
        <w:t xml:space="preserve"> a la agitación. Si un </w:t>
      </w:r>
      <w:proofErr w:type="spellStart"/>
      <w:r w:rsidR="00057BF4" w:rsidRPr="00057BF4">
        <w:rPr>
          <w:i/>
          <w:iCs/>
        </w:rPr>
        <w:t>bhikkhu</w:t>
      </w:r>
      <w:proofErr w:type="spellEnd"/>
      <w:r>
        <w:t xml:space="preserve"> que intenta</w:t>
      </w:r>
      <w:r w:rsidR="008B73AC">
        <w:t>se</w:t>
      </w:r>
      <w:r>
        <w:t xml:space="preserve"> alcanzar una con</w:t>
      </w:r>
      <w:r w:rsidR="00E91505">
        <w:t>s</w:t>
      </w:r>
      <w:r>
        <w:t>ciencia superior presta</w:t>
      </w:r>
      <w:r w:rsidR="008B73AC">
        <w:t>se</w:t>
      </w:r>
      <w:r>
        <w:t xml:space="preserve"> atención únicamente al signo de la ecuanimidad, es posible que su con</w:t>
      </w:r>
      <w:r w:rsidR="00E91505">
        <w:t>s</w:t>
      </w:r>
      <w:r>
        <w:t xml:space="preserve">ciencia no se concentre correctamente </w:t>
      </w:r>
      <w:r w:rsidR="00AC01D3">
        <w:t>hacia</w:t>
      </w:r>
      <w:r>
        <w:t xml:space="preserve"> la destrucción de l</w:t>
      </w:r>
      <w:r w:rsidR="00AC01D3">
        <w:t>a</w:t>
      </w:r>
      <w:r>
        <w:t xml:space="preserve">s </w:t>
      </w:r>
      <w:r w:rsidR="00AC01D3">
        <w:t>corrupciones</w:t>
      </w:r>
      <w:r>
        <w:t xml:space="preserve">. </w:t>
      </w:r>
      <w:r w:rsidR="00AC01D3">
        <w:t xml:space="preserve">No obstante, </w:t>
      </w:r>
      <w:proofErr w:type="spellStart"/>
      <w:r w:rsidR="00057BF4" w:rsidRPr="00057BF4">
        <w:rPr>
          <w:i/>
          <w:iCs/>
        </w:rPr>
        <w:t>bhikkhu</w:t>
      </w:r>
      <w:r w:rsidRPr="00505932">
        <w:rPr>
          <w:i/>
          <w:iCs/>
        </w:rPr>
        <w:t>s</w:t>
      </w:r>
      <w:proofErr w:type="spellEnd"/>
      <w:r>
        <w:t xml:space="preserve">, cuando un </w:t>
      </w:r>
      <w:proofErr w:type="spellStart"/>
      <w:r w:rsidR="00057BF4" w:rsidRPr="00057BF4">
        <w:rPr>
          <w:i/>
          <w:iCs/>
        </w:rPr>
        <w:t>bhikkhu</w:t>
      </w:r>
      <w:proofErr w:type="spellEnd"/>
      <w:r>
        <w:t xml:space="preserve"> interesado en una </w:t>
      </w:r>
      <w:r w:rsidR="00305E12">
        <w:t>consciencia</w:t>
      </w:r>
      <w:r>
        <w:t xml:space="preserve"> superior prest</w:t>
      </w:r>
      <w:r w:rsidR="00AC01D3">
        <w:t>e</w:t>
      </w:r>
      <w:r>
        <w:t xml:space="preserve"> atención de vez en cuando al signo de </w:t>
      </w:r>
      <w:r w:rsidR="00AC01D3">
        <w:t xml:space="preserve">la </w:t>
      </w:r>
      <w:r>
        <w:t>concentración... al signo de</w:t>
      </w:r>
      <w:r w:rsidR="00AC01D3">
        <w:t>l</w:t>
      </w:r>
      <w:r>
        <w:t xml:space="preserve"> esfuerzo... al signo de ecuanimidad, entonces su con</w:t>
      </w:r>
      <w:r w:rsidR="00AC01D3">
        <w:t>s</w:t>
      </w:r>
      <w:r>
        <w:t xml:space="preserve">ciencia se </w:t>
      </w:r>
      <w:r w:rsidR="00AC01D3">
        <w:t>hará</w:t>
      </w:r>
      <w:r>
        <w:t xml:space="preserve"> maleable, manejable y brillante, no </w:t>
      </w:r>
      <w:r w:rsidR="00AC01D3">
        <w:t xml:space="preserve">será </w:t>
      </w:r>
      <w:r>
        <w:t>frágil y se concentra</w:t>
      </w:r>
      <w:r w:rsidR="00AC01D3">
        <w:t>rá</w:t>
      </w:r>
      <w:r>
        <w:t xml:space="preserve"> correctamente </w:t>
      </w:r>
      <w:r w:rsidR="00AC01D3">
        <w:t>hacia</w:t>
      </w:r>
      <w:r>
        <w:t xml:space="preserve"> la destrucción de l</w:t>
      </w:r>
      <w:r w:rsidR="00AC01D3">
        <w:t>a</w:t>
      </w:r>
      <w:r>
        <w:t xml:space="preserve">s </w:t>
      </w:r>
      <w:r w:rsidR="00AC01D3">
        <w:t>corrupciones</w:t>
      </w:r>
      <w:r>
        <w:t>.</w:t>
      </w:r>
    </w:p>
    <w:p w14:paraId="3059F302" w14:textId="297F80D8" w:rsidR="00C534FD" w:rsidRDefault="00C534FD" w:rsidP="00C534FD">
      <w:r>
        <w:t xml:space="preserve">75. </w:t>
      </w:r>
      <w:r>
        <w:tab/>
        <w:t>“</w:t>
      </w:r>
      <w:proofErr w:type="spellStart"/>
      <w:r w:rsidR="00057BF4" w:rsidRPr="00057BF4">
        <w:rPr>
          <w:i/>
          <w:iCs/>
        </w:rPr>
        <w:t>Bhikkhu</w:t>
      </w:r>
      <w:r w:rsidRPr="00505932">
        <w:rPr>
          <w:i/>
          <w:iCs/>
        </w:rPr>
        <w:t>s</w:t>
      </w:r>
      <w:proofErr w:type="spellEnd"/>
      <w:r>
        <w:t xml:space="preserve">, tal como un hábil </w:t>
      </w:r>
      <w:r w:rsidR="00AC01D3">
        <w:t xml:space="preserve">orfebre </w:t>
      </w:r>
      <w:r>
        <w:t>o un aprendiz de orfebre prepara</w:t>
      </w:r>
      <w:r w:rsidR="00AC01D3">
        <w:t>se</w:t>
      </w:r>
      <w:r>
        <w:t xml:space="preserve"> su horno y lo cal</w:t>
      </w:r>
      <w:r w:rsidR="005C24CE">
        <w:t>e</w:t>
      </w:r>
      <w:r>
        <w:t>nta</w:t>
      </w:r>
      <w:r w:rsidR="00AC01D3">
        <w:t>se</w:t>
      </w:r>
      <w:r>
        <w:t xml:space="preserve"> </w:t>
      </w:r>
      <w:r w:rsidR="005C24CE">
        <w:t>para</w:t>
      </w:r>
      <w:r>
        <w:t xml:space="preserve"> </w:t>
      </w:r>
      <w:r w:rsidR="005C24CE">
        <w:t xml:space="preserve">introducir </w:t>
      </w:r>
      <w:r>
        <w:t xml:space="preserve">oro crudo con </w:t>
      </w:r>
      <w:r w:rsidR="005C24CE">
        <w:t xml:space="preserve">sus </w:t>
      </w:r>
      <w:r>
        <w:t>tenazas; y sopla</w:t>
      </w:r>
      <w:r w:rsidR="005C24CE">
        <w:t>se</w:t>
      </w:r>
      <w:r>
        <w:t xml:space="preserve"> sobre él de vez en cuando, roc</w:t>
      </w:r>
      <w:r w:rsidR="005C24CE">
        <w:t>i</w:t>
      </w:r>
      <w:r>
        <w:t>a</w:t>
      </w:r>
      <w:r w:rsidR="005C24CE">
        <w:t>se</w:t>
      </w:r>
      <w:r>
        <w:t xml:space="preserve"> agua sobre él de vez en cuando, y lo mira</w:t>
      </w:r>
      <w:r w:rsidR="005C24CE">
        <w:t>se</w:t>
      </w:r>
      <w:r>
        <w:t xml:space="preserve"> de vez en cuando; y</w:t>
      </w:r>
      <w:r w:rsidR="000D229A">
        <w:t>a que</w:t>
      </w:r>
      <w:r>
        <w:t xml:space="preserve"> si el orfebre o el aprendiz de orfebre solo soplara sobre el oro bruto, se quemaría y si solo rociase agua sobre él, se enfriaría y si solo lo mira</w:t>
      </w:r>
      <w:r w:rsidR="005C24CE">
        <w:t>se</w:t>
      </w:r>
      <w:r>
        <w:t xml:space="preserve">, no se refinaría debidamente; </w:t>
      </w:r>
      <w:r w:rsidR="000D229A">
        <w:t>no obstante</w:t>
      </w:r>
      <w:r>
        <w:t>, cuando el orfebre o el aprendiz de orfebre sopla</w:t>
      </w:r>
      <w:r w:rsidR="000D229A">
        <w:t>se</w:t>
      </w:r>
      <w:r>
        <w:t xml:space="preserve"> sobre el oro bruto</w:t>
      </w:r>
      <w:r w:rsidR="000D229A" w:rsidRPr="000D229A">
        <w:t xml:space="preserve"> </w:t>
      </w:r>
      <w:r w:rsidR="000D229A">
        <w:t>de vez en cuando, rociase agua sobre él</w:t>
      </w:r>
    </w:p>
    <w:p w14:paraId="05CC4E06" w14:textId="1D9B6B56" w:rsidR="00C534FD" w:rsidRPr="00C534FD" w:rsidRDefault="00C534FD" w:rsidP="00C534FD">
      <w:pPr>
        <w:pStyle w:val="PiedepginaLegal"/>
        <w:rPr>
          <w:u w:val="single"/>
        </w:rPr>
      </w:pPr>
      <w:r w:rsidRPr="00C534FD">
        <w:rPr>
          <w:u w:val="single"/>
        </w:rPr>
        <w:tab/>
      </w:r>
      <w:r w:rsidRPr="00C534FD">
        <w:rPr>
          <w:u w:val="single"/>
        </w:rPr>
        <w:tab/>
      </w:r>
      <w:r w:rsidRPr="00C534FD">
        <w:rPr>
          <w:u w:val="single"/>
        </w:rPr>
        <w:tab/>
      </w:r>
      <w:r w:rsidRPr="00C534FD">
        <w:rPr>
          <w:u w:val="single"/>
        </w:rPr>
        <w:tab/>
        <w:t>.</w:t>
      </w:r>
    </w:p>
    <w:p w14:paraId="6092F5E3" w14:textId="50C05194" w:rsidR="00C534FD" w:rsidRDefault="00C534FD" w:rsidP="00C534FD">
      <w:pPr>
        <w:pStyle w:val="PiedepginaLegal"/>
      </w:pPr>
      <w:r>
        <w:t xml:space="preserve"> 17. </w:t>
      </w:r>
      <w:r>
        <w:tab/>
        <w:t>“La con</w:t>
      </w:r>
      <w:r w:rsidR="00E664BB">
        <w:t>s</w:t>
      </w:r>
      <w:r>
        <w:t xml:space="preserve">ciencia superior” es un término </w:t>
      </w:r>
      <w:r w:rsidR="00B31755">
        <w:t xml:space="preserve">también </w:t>
      </w:r>
      <w:r>
        <w:t xml:space="preserve">para </w:t>
      </w:r>
      <w:r w:rsidR="00B31755">
        <w:t xml:space="preserve">los </w:t>
      </w:r>
      <w:proofErr w:type="spellStart"/>
      <w:r w:rsidR="00057BF4" w:rsidRPr="00057BF4">
        <w:rPr>
          <w:i/>
          <w:iCs/>
        </w:rPr>
        <w:t>jhāna</w:t>
      </w:r>
      <w:proofErr w:type="spellEnd"/>
      <w:r>
        <w:t>.</w:t>
      </w:r>
    </w:p>
    <w:p w14:paraId="69D59272" w14:textId="77777777" w:rsidR="00C534FD" w:rsidRDefault="00C534FD" w:rsidP="00C534FD"/>
    <w:p w14:paraId="1CD282CB" w14:textId="77777777" w:rsidR="00C534FD" w:rsidRDefault="00C534FD">
      <w:pPr>
        <w:tabs>
          <w:tab w:val="clear" w:pos="425"/>
        </w:tabs>
        <w:spacing w:after="160"/>
      </w:pPr>
      <w:r>
        <w:br w:type="page"/>
      </w:r>
    </w:p>
    <w:p w14:paraId="4C1FA2FA" w14:textId="77777777" w:rsidR="00360401" w:rsidRDefault="00360401" w:rsidP="00C534FD"/>
    <w:p w14:paraId="7BD47733" w14:textId="3FAE7A6F" w:rsidR="00360401" w:rsidRDefault="00360401" w:rsidP="00360401">
      <w:r>
        <w:t>de vez en cuando, y lo mira</w:t>
      </w:r>
      <w:r w:rsidR="000D229A">
        <w:t>se</w:t>
      </w:r>
      <w:r>
        <w:t xml:space="preserve"> de vez en cuando, </w:t>
      </w:r>
      <w:r w:rsidR="000D229A">
        <w:t xml:space="preserve">solo </w:t>
      </w:r>
      <w:r>
        <w:t xml:space="preserve">entonces </w:t>
      </w:r>
      <w:r w:rsidR="00F66877">
        <w:t xml:space="preserve">se </w:t>
      </w:r>
      <w:r w:rsidR="000D229A">
        <w:t>volver</w:t>
      </w:r>
      <w:r w:rsidR="00F66877">
        <w:t>á</w:t>
      </w:r>
      <w:r w:rsidR="000D229A">
        <w:t xml:space="preserve"> </w:t>
      </w:r>
      <w:r>
        <w:t xml:space="preserve">maleable, manejable y brillante, no quebradizo, </w:t>
      </w:r>
      <w:r w:rsidR="00F66877">
        <w:t xml:space="preserve">para </w:t>
      </w:r>
      <w:r>
        <w:t>somet</w:t>
      </w:r>
      <w:r w:rsidR="000D229A">
        <w:t>e</w:t>
      </w:r>
      <w:r w:rsidR="00F66877">
        <w:t>r</w:t>
      </w:r>
      <w:r w:rsidR="000D229A">
        <w:t>se</w:t>
      </w:r>
      <w:r>
        <w:t xml:space="preserve"> correctamente a ser trabajado; sea ​​cual sea el tipo de adorno en el que </w:t>
      </w:r>
      <w:r w:rsidR="000D229A">
        <w:t xml:space="preserve">se </w:t>
      </w:r>
      <w:r>
        <w:t xml:space="preserve">quiera trabajar, ya sea </w:t>
      </w:r>
      <w:r w:rsidR="000D229A">
        <w:t xml:space="preserve">en </w:t>
      </w:r>
      <w:r>
        <w:t>una cadena</w:t>
      </w:r>
      <w:r w:rsidR="000D229A">
        <w:t>,</w:t>
      </w:r>
      <w:r>
        <w:t xml:space="preserve"> un anillo</w:t>
      </w:r>
      <w:r w:rsidR="000D229A">
        <w:t>,</w:t>
      </w:r>
      <w:r>
        <w:t xml:space="preserve"> un collar</w:t>
      </w:r>
      <w:r w:rsidR="000D229A">
        <w:t>,</w:t>
      </w:r>
      <w:r>
        <w:t xml:space="preserve"> un filete de oro, cumpl</w:t>
      </w:r>
      <w:r w:rsidR="00F66877">
        <w:t>iendo</w:t>
      </w:r>
      <w:r>
        <w:t xml:space="preserve"> </w:t>
      </w:r>
      <w:r w:rsidR="001D367A">
        <w:t xml:space="preserve">así </w:t>
      </w:r>
      <w:r>
        <w:t>su propósito.</w:t>
      </w:r>
    </w:p>
    <w:p w14:paraId="20EDD910" w14:textId="74CAFCB4" w:rsidR="00360401" w:rsidRDefault="00360401" w:rsidP="00360401">
      <w:r>
        <w:t xml:space="preserve">76. </w:t>
      </w:r>
      <w:r>
        <w:tab/>
        <w:t xml:space="preserve">“Así también, </w:t>
      </w:r>
      <w:proofErr w:type="spellStart"/>
      <w:r w:rsidR="00057BF4" w:rsidRPr="00057BF4">
        <w:rPr>
          <w:i/>
          <w:iCs/>
        </w:rPr>
        <w:t>bhikkhu</w:t>
      </w:r>
      <w:r w:rsidRPr="00505932">
        <w:rPr>
          <w:i/>
          <w:iCs/>
        </w:rPr>
        <w:t>s</w:t>
      </w:r>
      <w:proofErr w:type="spellEnd"/>
      <w:r>
        <w:t xml:space="preserve">, hay tres </w:t>
      </w:r>
      <w:r w:rsidR="00F66877">
        <w:t>si</w:t>
      </w:r>
      <w:r w:rsidR="00FC4E59">
        <w:t>gnos</w:t>
      </w:r>
      <w:r>
        <w:t xml:space="preserve"> a l</w:t>
      </w:r>
      <w:r w:rsidR="00FC4E59">
        <w:t>o</w:t>
      </w:r>
      <w:r>
        <w:t xml:space="preserve">s que un </w:t>
      </w:r>
      <w:proofErr w:type="spellStart"/>
      <w:r w:rsidR="00057BF4" w:rsidRPr="00057BF4">
        <w:rPr>
          <w:i/>
          <w:iCs/>
        </w:rPr>
        <w:t>bhikkhu</w:t>
      </w:r>
      <w:proofErr w:type="spellEnd"/>
      <w:r>
        <w:t xml:space="preserve"> debe prestar atención de vez en cuando con la intención de lograr una con</w:t>
      </w:r>
      <w:r w:rsidR="00FC4E59">
        <w:t>s</w:t>
      </w:r>
      <w:r>
        <w:t xml:space="preserve">ciencia superior... </w:t>
      </w:r>
      <w:r w:rsidR="00FC4E59">
        <w:t>de</w:t>
      </w:r>
      <w:r>
        <w:t xml:space="preserve"> concentra</w:t>
      </w:r>
      <w:r w:rsidR="00FC4E59">
        <w:t>rse</w:t>
      </w:r>
      <w:r>
        <w:t xml:space="preserve"> correctamente </w:t>
      </w:r>
      <w:r w:rsidR="00FC4E59">
        <w:t xml:space="preserve">hacia </w:t>
      </w:r>
      <w:r>
        <w:t>la destrucción de l</w:t>
      </w:r>
      <w:r w:rsidR="00FC4E59">
        <w:t>a</w:t>
      </w:r>
      <w:r>
        <w:t xml:space="preserve">s </w:t>
      </w:r>
      <w:r w:rsidR="00FC4E59">
        <w:t>corrupciones</w:t>
      </w:r>
      <w:r>
        <w:t xml:space="preserve">. [248] </w:t>
      </w:r>
      <w:r w:rsidR="00206E02">
        <w:t xml:space="preserve">Él </w:t>
      </w:r>
      <w:r w:rsidR="00157323">
        <w:t xml:space="preserve">alcanzará </w:t>
      </w:r>
      <w:r w:rsidR="00597908">
        <w:t xml:space="preserve">así </w:t>
      </w:r>
      <w:r>
        <w:t xml:space="preserve">la capacidad de ser testigo, a través de la </w:t>
      </w:r>
      <w:r w:rsidR="00DD5280">
        <w:t xml:space="preserve">consumación mediante el </w:t>
      </w:r>
      <w:r>
        <w:t xml:space="preserve">conocimiento directo, de cualquier estado realizable </w:t>
      </w:r>
      <w:r w:rsidR="00DD5280">
        <w:t>mediante el</w:t>
      </w:r>
      <w:r>
        <w:t xml:space="preserve"> conocimiento directo </w:t>
      </w:r>
      <w:r w:rsidR="00DD5280">
        <w:t>hacia lo</w:t>
      </w:r>
      <w:r>
        <w:t xml:space="preserve"> cual inclin</w:t>
      </w:r>
      <w:r w:rsidR="00DD5280">
        <w:t>e</w:t>
      </w:r>
      <w:r>
        <w:t xml:space="preserve"> su mente, siempre que haya ocasión” (A I 256-58).</w:t>
      </w:r>
      <w:r w:rsidRPr="000B3CE0">
        <w:rPr>
          <w:vertAlign w:val="superscript"/>
        </w:rPr>
        <w:t>18</w:t>
      </w:r>
    </w:p>
    <w:p w14:paraId="5FAD0644" w14:textId="209F4340" w:rsidR="00360401" w:rsidRDefault="00360401" w:rsidP="00360401">
      <w:r>
        <w:t xml:space="preserve">77. </w:t>
      </w:r>
      <w:r>
        <w:tab/>
        <w:t xml:space="preserve">9. Este </w:t>
      </w:r>
      <w:proofErr w:type="spellStart"/>
      <w:r w:rsidRPr="00505932">
        <w:rPr>
          <w:i/>
          <w:iCs/>
        </w:rPr>
        <w:t>sutta</w:t>
      </w:r>
      <w:proofErr w:type="spellEnd"/>
      <w:r>
        <w:t xml:space="preserve"> trata sobre </w:t>
      </w:r>
      <w:r w:rsidR="00597908">
        <w:t xml:space="preserve">el </w:t>
      </w:r>
      <w:r w:rsidR="00597908" w:rsidRPr="00CF3E70">
        <w:rPr>
          <w:color w:val="833C0B" w:themeColor="accent2" w:themeShade="80"/>
          <w:u w:color="000000"/>
        </w:rPr>
        <w:t>arrobamiento</w:t>
      </w:r>
      <w:r>
        <w:t>: “</w:t>
      </w:r>
      <w:proofErr w:type="spellStart"/>
      <w:r w:rsidR="00057BF4" w:rsidRPr="00057BF4">
        <w:rPr>
          <w:i/>
          <w:iCs/>
        </w:rPr>
        <w:t>Bhikkhu</w:t>
      </w:r>
      <w:r w:rsidRPr="00505932">
        <w:rPr>
          <w:i/>
          <w:iCs/>
        </w:rPr>
        <w:t>s</w:t>
      </w:r>
      <w:proofErr w:type="spellEnd"/>
      <w:r>
        <w:t xml:space="preserve">, cuando un </w:t>
      </w:r>
      <w:proofErr w:type="spellStart"/>
      <w:r w:rsidR="00057BF4" w:rsidRPr="00057BF4">
        <w:rPr>
          <w:i/>
          <w:iCs/>
        </w:rPr>
        <w:t>bhikkhu</w:t>
      </w:r>
      <w:proofErr w:type="spellEnd"/>
      <w:r>
        <w:t xml:space="preserve"> pose</w:t>
      </w:r>
      <w:r w:rsidR="00D1779D">
        <w:t>a</w:t>
      </w:r>
      <w:r>
        <w:t xml:space="preserve"> seis cosas, </w:t>
      </w:r>
      <w:r w:rsidR="00D1779D">
        <w:t>será</w:t>
      </w:r>
      <w:r>
        <w:t xml:space="preserve"> capaz de </w:t>
      </w:r>
      <w:r w:rsidR="00D1779D">
        <w:t xml:space="preserve">consumar </w:t>
      </w:r>
      <w:r w:rsidR="00597908">
        <w:t>el</w:t>
      </w:r>
      <w:r>
        <w:t xml:space="preserve"> suprema </w:t>
      </w:r>
      <w:r w:rsidR="00597908">
        <w:t>arrobamiento</w:t>
      </w:r>
      <w:r>
        <w:t>. ¿</w:t>
      </w:r>
      <w:r w:rsidR="002F2248">
        <w:t>Cuáles</w:t>
      </w:r>
      <w:r>
        <w:t xml:space="preserve"> seis? Aquí, </w:t>
      </w:r>
      <w:proofErr w:type="spellStart"/>
      <w:r w:rsidR="00ED1E8C" w:rsidRPr="00ED1E8C">
        <w:rPr>
          <w:i/>
          <w:iCs/>
        </w:rPr>
        <w:t>bhikkhus</w:t>
      </w:r>
      <w:proofErr w:type="spellEnd"/>
      <w:r>
        <w:t>, cuando la con</w:t>
      </w:r>
      <w:r w:rsidR="00ED1E8C">
        <w:t>s</w:t>
      </w:r>
      <w:r>
        <w:t>ciencia deb</w:t>
      </w:r>
      <w:r w:rsidR="00C01A79">
        <w:t>a</w:t>
      </w:r>
      <w:r>
        <w:t xml:space="preserve"> ser restringida, él la restring</w:t>
      </w:r>
      <w:r w:rsidR="00C01A79">
        <w:t>irá</w:t>
      </w:r>
      <w:r>
        <w:t>; cuando se deb</w:t>
      </w:r>
      <w:r w:rsidR="00011F6A">
        <w:t>a</w:t>
      </w:r>
      <w:r>
        <w:t xml:space="preserve"> ejercer la con</w:t>
      </w:r>
      <w:r w:rsidR="00ED1E8C">
        <w:t>s</w:t>
      </w:r>
      <w:r>
        <w:t>ciencia, la ejerce</w:t>
      </w:r>
      <w:r w:rsidR="00011F6A">
        <w:t>rá</w:t>
      </w:r>
      <w:r>
        <w:t>; cuando se deb</w:t>
      </w:r>
      <w:r w:rsidR="00011F6A">
        <w:t>a</w:t>
      </w:r>
      <w:r>
        <w:t xml:space="preserve"> estimular la </w:t>
      </w:r>
      <w:r w:rsidR="00305E12">
        <w:t>consciencia</w:t>
      </w:r>
      <w:r>
        <w:t>, él la estimula</w:t>
      </w:r>
      <w:r w:rsidR="00011F6A">
        <w:t>rá</w:t>
      </w:r>
      <w:r>
        <w:t>; cuando la con</w:t>
      </w:r>
      <w:r w:rsidR="00011F6A">
        <w:t>s</w:t>
      </w:r>
      <w:r>
        <w:t>ciencia deb</w:t>
      </w:r>
      <w:r w:rsidR="00011F6A">
        <w:t>a</w:t>
      </w:r>
      <w:r>
        <w:t xml:space="preserve"> </w:t>
      </w:r>
      <w:r w:rsidR="00D071C0">
        <w:t>observarse</w:t>
      </w:r>
      <w:r>
        <w:t xml:space="preserve"> con ecuanimidad, él la </w:t>
      </w:r>
      <w:r w:rsidR="00D071C0">
        <w:t>observa</w:t>
      </w:r>
      <w:r w:rsidR="00011F6A">
        <w:t>rá</w:t>
      </w:r>
      <w:r>
        <w:t xml:space="preserve"> con ecuanimidad. </w:t>
      </w:r>
      <w:r w:rsidR="007A492E">
        <w:t>Y también c</w:t>
      </w:r>
      <w:r w:rsidR="00B10EE6">
        <w:t>uando él e</w:t>
      </w:r>
      <w:r>
        <w:t>st</w:t>
      </w:r>
      <w:r w:rsidR="00B10EE6">
        <w:t>é</w:t>
      </w:r>
      <w:r>
        <w:t xml:space="preserve"> decidido </w:t>
      </w:r>
      <w:r w:rsidR="00624AE3">
        <w:t>en</w:t>
      </w:r>
      <w:r>
        <w:t xml:space="preserve"> alcanzar el estado </w:t>
      </w:r>
      <w:r w:rsidR="00C5727B">
        <w:t xml:space="preserve">superior </w:t>
      </w:r>
      <w:r>
        <w:t xml:space="preserve">a </w:t>
      </w:r>
      <w:r w:rsidR="00624AE3">
        <w:t>ser consumado</w:t>
      </w:r>
      <w:r w:rsidR="007A492E">
        <w:t xml:space="preserve"> y</w:t>
      </w:r>
      <w:r>
        <w:t xml:space="preserve"> </w:t>
      </w:r>
      <w:r w:rsidR="00463595">
        <w:t>se compla</w:t>
      </w:r>
      <w:r w:rsidR="007A492E">
        <w:t>zca</w:t>
      </w:r>
      <w:r w:rsidR="00463595">
        <w:t xml:space="preserve"> en</w:t>
      </w:r>
      <w:r>
        <w:t xml:space="preserve"> e</w:t>
      </w:r>
      <w:r w:rsidR="00C5727B">
        <w:t>l</w:t>
      </w:r>
      <w:r>
        <w:t xml:space="preserve"> </w:t>
      </w:r>
      <w:r w:rsidRPr="00505932">
        <w:rPr>
          <w:i/>
          <w:iCs/>
        </w:rPr>
        <w:t>Nibbāna</w:t>
      </w:r>
      <w:r>
        <w:t xml:space="preserve">. Al poseer estas seis cosas, un </w:t>
      </w:r>
      <w:proofErr w:type="spellStart"/>
      <w:r w:rsidR="00057BF4" w:rsidRPr="00057BF4">
        <w:rPr>
          <w:i/>
          <w:iCs/>
        </w:rPr>
        <w:t>bhikkhu</w:t>
      </w:r>
      <w:proofErr w:type="spellEnd"/>
      <w:r>
        <w:t xml:space="preserve"> </w:t>
      </w:r>
      <w:r w:rsidR="00C5727B">
        <w:t xml:space="preserve">podrá </w:t>
      </w:r>
      <w:r w:rsidR="00086CE5">
        <w:t>consumar</w:t>
      </w:r>
      <w:r>
        <w:t xml:space="preserve"> la frescura suprema” (A III 435).</w:t>
      </w:r>
    </w:p>
    <w:p w14:paraId="0BD6352D" w14:textId="0A4956AD" w:rsidR="00360401" w:rsidRDefault="00360401" w:rsidP="00360401">
      <w:r>
        <w:t xml:space="preserve">78. </w:t>
      </w:r>
      <w:r>
        <w:tab/>
        <w:t>10. La habilidad en los factores de iluminación ya se ha tratado en la explicación de la habilidad en la absorción (IV.51, 57) en el pasaje que comienza, “</w:t>
      </w:r>
      <w:proofErr w:type="spellStart"/>
      <w:r w:rsidR="00057BF4" w:rsidRPr="00057BF4">
        <w:rPr>
          <w:i/>
          <w:iCs/>
        </w:rPr>
        <w:t>Bhikkhu</w:t>
      </w:r>
      <w:r w:rsidRPr="00505932">
        <w:rPr>
          <w:i/>
          <w:iCs/>
        </w:rPr>
        <w:t>s</w:t>
      </w:r>
      <w:proofErr w:type="spellEnd"/>
      <w:r>
        <w:t>, cuando la mente est</w:t>
      </w:r>
      <w:r w:rsidR="008E4A23">
        <w:t>é</w:t>
      </w:r>
      <w:r>
        <w:t xml:space="preserve"> </w:t>
      </w:r>
      <w:r w:rsidR="008E4A23">
        <w:t>perezosa</w:t>
      </w:r>
      <w:r>
        <w:t xml:space="preserve">, ese no </w:t>
      </w:r>
      <w:r w:rsidR="00217145">
        <w:t>será</w:t>
      </w:r>
      <w:r>
        <w:t xml:space="preserve"> el momento para desarrollar </w:t>
      </w:r>
      <w:r w:rsidR="00217145">
        <w:t xml:space="preserve">el factor iluminación </w:t>
      </w:r>
      <w:r>
        <w:t>la tranquilidad …” (S V 113).</w:t>
      </w:r>
    </w:p>
    <w:p w14:paraId="33C2A3FD" w14:textId="71F3F4BA" w:rsidR="00360401" w:rsidRDefault="00360401" w:rsidP="00360401">
      <w:r>
        <w:t xml:space="preserve">79. </w:t>
      </w:r>
      <w:r>
        <w:tab/>
        <w:t>Entonces, el meditador debe</w:t>
      </w:r>
      <w:r w:rsidR="00217145">
        <w:t>rá</w:t>
      </w:r>
      <w:r>
        <w:t xml:space="preserve"> asegurarse de que ha</w:t>
      </w:r>
      <w:r w:rsidR="00217145">
        <w:t>ya</w:t>
      </w:r>
      <w:r>
        <w:t xml:space="preserve"> comprendido esta</w:t>
      </w:r>
      <w:r w:rsidR="00217145">
        <w:t>s</w:t>
      </w:r>
      <w:r>
        <w:t xml:space="preserve"> </w:t>
      </w:r>
      <w:r w:rsidR="00217145">
        <w:t xml:space="preserve">7 </w:t>
      </w:r>
      <w:r>
        <w:t>habilidad</w:t>
      </w:r>
      <w:r w:rsidR="00217145">
        <w:t>es</w:t>
      </w:r>
      <w:r>
        <w:t xml:space="preserve"> de</w:t>
      </w:r>
      <w:r w:rsidR="006007A4">
        <w:t>l</w:t>
      </w:r>
      <w:r>
        <w:t xml:space="preserve"> aprend</w:t>
      </w:r>
      <w:r w:rsidR="006007A4">
        <w:t>izaje</w:t>
      </w:r>
      <w:r>
        <w:t xml:space="preserve"> </w:t>
      </w:r>
      <w:r w:rsidR="006007A4">
        <w:t xml:space="preserve">correctamente </w:t>
      </w:r>
      <w:r>
        <w:t xml:space="preserve">y </w:t>
      </w:r>
      <w:r w:rsidR="006007A4">
        <w:t xml:space="preserve">de </w:t>
      </w:r>
      <w:r>
        <w:t>ha</w:t>
      </w:r>
      <w:r w:rsidR="006007A4">
        <w:t>ber</w:t>
      </w:r>
      <w:r>
        <w:t xml:space="preserve"> definido correctamente esta</w:t>
      </w:r>
      <w:r w:rsidR="006007A4">
        <w:t>s</w:t>
      </w:r>
      <w:r>
        <w:t xml:space="preserve"> </w:t>
      </w:r>
      <w:r w:rsidR="006007A4">
        <w:t xml:space="preserve">10 </w:t>
      </w:r>
      <w:r>
        <w:t>habilidad</w:t>
      </w:r>
      <w:r w:rsidR="006007A4">
        <w:t>es</w:t>
      </w:r>
      <w:r>
        <w:t xml:space="preserve"> </w:t>
      </w:r>
      <w:r w:rsidR="001F7226">
        <w:t xml:space="preserve">para </w:t>
      </w:r>
      <w:r>
        <w:t xml:space="preserve">prestar atención, aprendiendo así el </w:t>
      </w:r>
      <w:r w:rsidR="001F7226">
        <w:t xml:space="preserve">objeto </w:t>
      </w:r>
      <w:r>
        <w:t>de meditación adecuadamente con ambos tipos de habilidad.</w:t>
      </w:r>
    </w:p>
    <w:p w14:paraId="4D19F3EE" w14:textId="23042E1A" w:rsidR="00360401" w:rsidRDefault="00360401" w:rsidP="00505932">
      <w:pPr>
        <w:jc w:val="center"/>
      </w:pPr>
      <w:r>
        <w:t>[</w:t>
      </w:r>
      <w:r w:rsidRPr="00505932">
        <w:rPr>
          <w:i/>
          <w:iCs/>
        </w:rPr>
        <w:t xml:space="preserve">Inicio de la </w:t>
      </w:r>
      <w:r w:rsidR="00505932" w:rsidRPr="00505932">
        <w:rPr>
          <w:i/>
          <w:iCs/>
        </w:rPr>
        <w:t>Práctica</w:t>
      </w:r>
      <w:r>
        <w:t>]</w:t>
      </w:r>
    </w:p>
    <w:p w14:paraId="77AFD530" w14:textId="18B07F11" w:rsidR="00360401" w:rsidRDefault="00360401" w:rsidP="00360401">
      <w:r>
        <w:t xml:space="preserve">80. </w:t>
      </w:r>
      <w:r>
        <w:tab/>
        <w:t xml:space="preserve">Si </w:t>
      </w:r>
      <w:r w:rsidR="003871A0">
        <w:t>fue</w:t>
      </w:r>
      <w:r w:rsidR="00454C06">
        <w:t>ra</w:t>
      </w:r>
      <w:r>
        <w:t xml:space="preserve"> conv</w:t>
      </w:r>
      <w:r w:rsidR="00454C06">
        <w:t>en</w:t>
      </w:r>
      <w:r>
        <w:t>ien</w:t>
      </w:r>
      <w:r w:rsidR="00454C06">
        <w:t>te</w:t>
      </w:r>
      <w:r>
        <w:t xml:space="preserve"> vivir en el mismo monasterio que el maestro, entonces no </w:t>
      </w:r>
      <w:r w:rsidR="00190F08">
        <w:t xml:space="preserve">se </w:t>
      </w:r>
      <w:r w:rsidR="00454C06">
        <w:t>requerirá</w:t>
      </w:r>
      <w:r>
        <w:t xml:space="preserve"> que se lo expliquen </w:t>
      </w:r>
      <w:r w:rsidR="00FD20CB">
        <w:t xml:space="preserve">así </w:t>
      </w:r>
      <w:r>
        <w:t xml:space="preserve">en detalle [para empezar], </w:t>
      </w:r>
      <w:r w:rsidR="00BA0777">
        <w:t xml:space="preserve">no obstante, </w:t>
      </w:r>
      <w:r>
        <w:t>a medida que se apli</w:t>
      </w:r>
      <w:r w:rsidR="00BA0777">
        <w:t>que</w:t>
      </w:r>
      <w:r>
        <w:t xml:space="preserve"> </w:t>
      </w:r>
      <w:r w:rsidR="00FD20CB">
        <w:t>en e</w:t>
      </w:r>
      <w:r>
        <w:t xml:space="preserve">l </w:t>
      </w:r>
      <w:r w:rsidR="00BA0777">
        <w:t xml:space="preserve">objeto </w:t>
      </w:r>
      <w:r>
        <w:t>de meditación después de haber</w:t>
      </w:r>
      <w:r w:rsidR="00851F33">
        <w:t>lo</w:t>
      </w:r>
      <w:r>
        <w:t xml:space="preserve"> asegurado</w:t>
      </w:r>
      <w:r w:rsidR="00FD20CB">
        <w:t>,</w:t>
      </w:r>
      <w:r>
        <w:t xml:space="preserve"> </w:t>
      </w:r>
      <w:r w:rsidR="00851F33">
        <w:t>él podrá</w:t>
      </w:r>
      <w:r>
        <w:t xml:space="preserve"> </w:t>
      </w:r>
      <w:r w:rsidR="00851F33">
        <w:t xml:space="preserve">disponer de </w:t>
      </w:r>
      <w:r>
        <w:t>cada etapa sucesiva explicada a medida que alcan</w:t>
      </w:r>
      <w:r w:rsidR="00F505F4">
        <w:t>ce</w:t>
      </w:r>
      <w:r>
        <w:t xml:space="preserve"> cada distinción.</w:t>
      </w:r>
    </w:p>
    <w:p w14:paraId="2F928993" w14:textId="0A54EFF3" w:rsidR="00360401" w:rsidRDefault="00360401" w:rsidP="00360401">
      <w:pPr>
        <w:pStyle w:val="NormalConSangria"/>
      </w:pPr>
      <w:r>
        <w:t xml:space="preserve">Sin embargo, quien quiera vivir en otro lugar, </w:t>
      </w:r>
      <w:r w:rsidR="00F505F4">
        <w:t xml:space="preserve">se le </w:t>
      </w:r>
      <w:r>
        <w:t>debe explic</w:t>
      </w:r>
      <w:r w:rsidR="00F505F4">
        <w:t>a</w:t>
      </w:r>
      <w:r>
        <w:t xml:space="preserve">r en detalle </w:t>
      </w:r>
      <w:r w:rsidR="00FD20CB">
        <w:t xml:space="preserve">y </w:t>
      </w:r>
      <w:r>
        <w:t xml:space="preserve">de la manera ya </w:t>
      </w:r>
      <w:r w:rsidR="00F505F4">
        <w:t>mostrada</w:t>
      </w:r>
      <w:r>
        <w:t xml:space="preserve">, </w:t>
      </w:r>
      <w:r w:rsidR="00A75F51">
        <w:t>una y otra vez</w:t>
      </w:r>
      <w:r>
        <w:t xml:space="preserve">, solucionando todas las dificultades. </w:t>
      </w:r>
      <w:r w:rsidR="00A75F51">
        <w:t>Él d</w:t>
      </w:r>
      <w:r>
        <w:t>ebe</w:t>
      </w:r>
      <w:r w:rsidR="00586534">
        <w:t>rá</w:t>
      </w:r>
      <w:r>
        <w:t xml:space="preserve"> </w:t>
      </w:r>
      <w:r w:rsidR="00586534">
        <w:t xml:space="preserve">abandonar </w:t>
      </w:r>
      <w:r>
        <w:t xml:space="preserve">un tipo inadecuado </w:t>
      </w:r>
      <w:r w:rsidR="00586534">
        <w:t xml:space="preserve">de vivienda tal </w:t>
      </w:r>
      <w:r>
        <w:t xml:space="preserve">como se describe en la Descripción del </w:t>
      </w:r>
      <w:proofErr w:type="spellStart"/>
      <w:r w:rsidR="00057BF4" w:rsidRPr="00057BF4">
        <w:rPr>
          <w:i/>
          <w:iCs/>
        </w:rPr>
        <w:t>Kasiṇa</w:t>
      </w:r>
      <w:proofErr w:type="spellEnd"/>
      <w:r w:rsidR="00586534" w:rsidRPr="00586534">
        <w:t xml:space="preserve"> </w:t>
      </w:r>
      <w:r w:rsidR="00586534">
        <w:t>Tierra</w:t>
      </w:r>
      <w:r>
        <w:t xml:space="preserve">, </w:t>
      </w:r>
      <w:r w:rsidR="00586534">
        <w:t>y dirigirse</w:t>
      </w:r>
      <w:r>
        <w:t xml:space="preserve"> </w:t>
      </w:r>
      <w:r w:rsidR="00EF18F8">
        <w:t xml:space="preserve">hacia </w:t>
      </w:r>
      <w:r>
        <w:t>una adecuada. Luego debe</w:t>
      </w:r>
      <w:r w:rsidR="00EF18F8">
        <w:t>rá</w:t>
      </w:r>
      <w:r>
        <w:t xml:space="preserve"> eliminar los impedimentos menores (IV.20) y emprender el trabajo preliminar para </w:t>
      </w:r>
      <w:r w:rsidR="00EF18F8">
        <w:t xml:space="preserve">así poder </w:t>
      </w:r>
      <w:r>
        <w:t>prestar atención a la repulsión.</w:t>
      </w:r>
    </w:p>
    <w:p w14:paraId="7D5F93A0" w14:textId="77777777" w:rsidR="00360401" w:rsidRPr="00C534FD" w:rsidRDefault="00360401" w:rsidP="00360401">
      <w:pPr>
        <w:pStyle w:val="PiedepginaLegal"/>
        <w:rPr>
          <w:u w:val="single"/>
        </w:rPr>
      </w:pPr>
      <w:r w:rsidRPr="00C534FD">
        <w:rPr>
          <w:u w:val="single"/>
        </w:rPr>
        <w:tab/>
      </w:r>
      <w:r w:rsidRPr="00C534FD">
        <w:rPr>
          <w:u w:val="single"/>
        </w:rPr>
        <w:tab/>
      </w:r>
      <w:r w:rsidRPr="00C534FD">
        <w:rPr>
          <w:u w:val="single"/>
        </w:rPr>
        <w:tab/>
      </w:r>
      <w:r w:rsidRPr="00C534FD">
        <w:rPr>
          <w:u w:val="single"/>
        </w:rPr>
        <w:tab/>
        <w:t>.</w:t>
      </w:r>
    </w:p>
    <w:p w14:paraId="54BC44AA" w14:textId="77F55F96" w:rsidR="00360401" w:rsidRDefault="00360401" w:rsidP="00360401">
      <w:pPr>
        <w:pStyle w:val="PiedepginaLegal"/>
      </w:pPr>
      <w:r>
        <w:t xml:space="preserve">18. </w:t>
      </w:r>
      <w:r>
        <w:tab/>
      </w:r>
      <w:r w:rsidR="00627232">
        <w:t xml:space="preserve">El </w:t>
      </w:r>
      <w:proofErr w:type="spellStart"/>
      <w:r>
        <w:t>Vism-mhṭ</w:t>
      </w:r>
      <w:proofErr w:type="spellEnd"/>
      <w:r>
        <w:t xml:space="preserve"> </w:t>
      </w:r>
      <w:r w:rsidR="00627232">
        <w:t xml:space="preserve">lo </w:t>
      </w:r>
      <w:r>
        <w:t xml:space="preserve">explica </w:t>
      </w:r>
      <w:r w:rsidR="00627232">
        <w:t xml:space="preserve">como </w:t>
      </w:r>
      <w:r>
        <w:t>“</w:t>
      </w:r>
      <w:proofErr w:type="spellStart"/>
      <w:r w:rsidRPr="00505932">
        <w:rPr>
          <w:i/>
          <w:iCs/>
        </w:rPr>
        <w:t>sati</w:t>
      </w:r>
      <w:proofErr w:type="spellEnd"/>
      <w:r w:rsidRPr="00505932">
        <w:rPr>
          <w:i/>
          <w:iCs/>
        </w:rPr>
        <w:t xml:space="preserve"> </w:t>
      </w:r>
      <w:proofErr w:type="spellStart"/>
      <w:r w:rsidRPr="00505932">
        <w:rPr>
          <w:i/>
          <w:iCs/>
        </w:rPr>
        <w:t>sati</w:t>
      </w:r>
      <w:proofErr w:type="spellEnd"/>
      <w:r w:rsidRPr="00505932">
        <w:rPr>
          <w:i/>
          <w:iCs/>
        </w:rPr>
        <w:t xml:space="preserve"> </w:t>
      </w:r>
      <w:proofErr w:type="spellStart"/>
      <w:r w:rsidRPr="00505932">
        <w:rPr>
          <w:i/>
          <w:iCs/>
        </w:rPr>
        <w:t>āyatane</w:t>
      </w:r>
      <w:proofErr w:type="spellEnd"/>
      <w:r>
        <w:t>” (</w:t>
      </w:r>
      <w:r w:rsidR="00A5713C">
        <w:t>reproducido</w:t>
      </w:r>
      <w:r>
        <w:t xml:space="preserve"> aquí </w:t>
      </w:r>
      <w:r w:rsidR="00A5713C">
        <w:t xml:space="preserve">como </w:t>
      </w:r>
      <w:r>
        <w:t xml:space="preserve">“siempre que haya ocasión” </w:t>
      </w:r>
      <w:r w:rsidR="00627232">
        <w:t>con</w:t>
      </w:r>
      <w:r w:rsidR="00A5713C">
        <w:t xml:space="preserve"> </w:t>
      </w:r>
      <w:r>
        <w:t>“</w:t>
      </w:r>
      <w:proofErr w:type="spellStart"/>
      <w:r w:rsidRPr="00505932">
        <w:rPr>
          <w:i/>
          <w:iCs/>
        </w:rPr>
        <w:t>tasmiṃ</w:t>
      </w:r>
      <w:proofErr w:type="spellEnd"/>
      <w:r w:rsidRPr="00505932">
        <w:rPr>
          <w:i/>
          <w:iCs/>
        </w:rPr>
        <w:t xml:space="preserve"> </w:t>
      </w:r>
      <w:proofErr w:type="spellStart"/>
      <w:r w:rsidRPr="00505932">
        <w:rPr>
          <w:i/>
          <w:iCs/>
        </w:rPr>
        <w:t>tasmiṃ</w:t>
      </w:r>
      <w:proofErr w:type="spellEnd"/>
      <w:r w:rsidRPr="00505932">
        <w:rPr>
          <w:i/>
          <w:iCs/>
        </w:rPr>
        <w:t xml:space="preserve"> </w:t>
      </w:r>
      <w:proofErr w:type="spellStart"/>
      <w:r w:rsidRPr="00505932">
        <w:rPr>
          <w:i/>
          <w:iCs/>
        </w:rPr>
        <w:t>pubbahetu-ādi-kāraṇe</w:t>
      </w:r>
      <w:proofErr w:type="spellEnd"/>
      <w:r w:rsidRPr="00505932">
        <w:rPr>
          <w:i/>
          <w:iCs/>
        </w:rPr>
        <w:t xml:space="preserve"> </w:t>
      </w:r>
      <w:proofErr w:type="spellStart"/>
      <w:r w:rsidRPr="00505932">
        <w:rPr>
          <w:i/>
          <w:iCs/>
        </w:rPr>
        <w:t>sati</w:t>
      </w:r>
      <w:proofErr w:type="spellEnd"/>
      <w:r>
        <w:t>” (“cuando hay</w:t>
      </w:r>
      <w:r w:rsidR="00A5713C">
        <w:t>a</w:t>
      </w:r>
      <w:r>
        <w:t xml:space="preserve"> tal o cual razón que consist</w:t>
      </w:r>
      <w:r w:rsidR="00A5713C">
        <w:t>a</w:t>
      </w:r>
      <w:r>
        <w:t xml:space="preserve"> </w:t>
      </w:r>
      <w:r w:rsidR="00A5713C">
        <w:t>de</w:t>
      </w:r>
      <w:r>
        <w:t xml:space="preserve"> una causa </w:t>
      </w:r>
      <w:r w:rsidR="00627232">
        <w:t>previa</w:t>
      </w:r>
      <w:r>
        <w:t>, etc.”)</w:t>
      </w:r>
      <w:proofErr w:type="gramStart"/>
      <w:r>
        <w:t xml:space="preserve">. </w:t>
      </w:r>
      <w:r w:rsidRPr="00DD5628">
        <w:rPr>
          <w:lang w:val="en-US"/>
        </w:rPr>
        <w:t>)</w:t>
      </w:r>
      <w:proofErr w:type="gramEnd"/>
      <w:r w:rsidRPr="00DD5628">
        <w:rPr>
          <w:lang w:val="en-US"/>
        </w:rPr>
        <w:t>; M-a IV 146 dice: "</w:t>
      </w:r>
      <w:r w:rsidRPr="00DD5628">
        <w:rPr>
          <w:i/>
          <w:iCs/>
          <w:lang w:val="en-US"/>
        </w:rPr>
        <w:t xml:space="preserve">Sati </w:t>
      </w:r>
      <w:proofErr w:type="spellStart"/>
      <w:r w:rsidRPr="00DD5628">
        <w:rPr>
          <w:i/>
          <w:iCs/>
          <w:lang w:val="en-US"/>
        </w:rPr>
        <w:t>sati</w:t>
      </w:r>
      <w:proofErr w:type="spellEnd"/>
      <w:r w:rsidRPr="00DD5628">
        <w:rPr>
          <w:i/>
          <w:iCs/>
          <w:lang w:val="en-US"/>
        </w:rPr>
        <w:t xml:space="preserve"> </w:t>
      </w:r>
      <w:proofErr w:type="spellStart"/>
      <w:r w:rsidRPr="00DD5628">
        <w:rPr>
          <w:i/>
          <w:iCs/>
          <w:lang w:val="en-US"/>
        </w:rPr>
        <w:t>kāraṇe</w:t>
      </w:r>
      <w:proofErr w:type="spellEnd"/>
      <w:r w:rsidRPr="00DD5628">
        <w:rPr>
          <w:i/>
          <w:iCs/>
          <w:lang w:val="en-US"/>
        </w:rPr>
        <w:t xml:space="preserve">. </w:t>
      </w:r>
      <w:r w:rsidRPr="00A907F3">
        <w:rPr>
          <w:i/>
          <w:iCs/>
          <w:lang w:val="en-US"/>
        </w:rPr>
        <w:t>Kim pan'</w:t>
      </w:r>
      <w:r w:rsidRPr="00A907F3">
        <w:rPr>
          <w:lang w:val="en-US"/>
        </w:rPr>
        <w:t xml:space="preserve"> </w:t>
      </w:r>
      <w:proofErr w:type="spellStart"/>
      <w:r w:rsidRPr="00A907F3">
        <w:rPr>
          <w:i/>
          <w:iCs/>
          <w:lang w:val="en-US"/>
        </w:rPr>
        <w:t>ettha</w:t>
      </w:r>
      <w:proofErr w:type="spellEnd"/>
      <w:r w:rsidRPr="00A907F3">
        <w:rPr>
          <w:i/>
          <w:iCs/>
          <w:lang w:val="en-US"/>
        </w:rPr>
        <w:t xml:space="preserve"> </w:t>
      </w:r>
      <w:proofErr w:type="spellStart"/>
      <w:r w:rsidRPr="00A907F3">
        <w:rPr>
          <w:i/>
          <w:iCs/>
          <w:lang w:val="en-US"/>
        </w:rPr>
        <w:t>kāraṇan'ti</w:t>
      </w:r>
      <w:proofErr w:type="spellEnd"/>
      <w:r w:rsidRPr="00A907F3">
        <w:rPr>
          <w:i/>
          <w:iCs/>
          <w:lang w:val="en-US"/>
        </w:rPr>
        <w:t xml:space="preserve">. </w:t>
      </w:r>
      <w:proofErr w:type="spellStart"/>
      <w:r w:rsidRPr="00505932">
        <w:rPr>
          <w:i/>
          <w:iCs/>
        </w:rPr>
        <w:t>Abhiññā</w:t>
      </w:r>
      <w:proofErr w:type="spellEnd"/>
      <w:r w:rsidRPr="00505932">
        <w:rPr>
          <w:i/>
          <w:iCs/>
        </w:rPr>
        <w:t xml:space="preserve">' va </w:t>
      </w:r>
      <w:proofErr w:type="spellStart"/>
      <w:r w:rsidRPr="00505932">
        <w:rPr>
          <w:i/>
          <w:iCs/>
        </w:rPr>
        <w:t>kāraṇaṃ</w:t>
      </w:r>
      <w:proofErr w:type="spellEnd"/>
      <w:r>
        <w:t xml:space="preserve"> ('Siempre que hay</w:t>
      </w:r>
      <w:r w:rsidR="00A5713C">
        <w:t>a</w:t>
      </w:r>
      <w:r>
        <w:t xml:space="preserve"> una razón. Pero ¿cuál es la razón aquí? El conocimiento directo mismo es la razón').”</w:t>
      </w:r>
    </w:p>
    <w:p w14:paraId="6D7D63BC" w14:textId="77777777" w:rsidR="0013626A" w:rsidRDefault="0013626A">
      <w:pPr>
        <w:tabs>
          <w:tab w:val="clear" w:pos="425"/>
        </w:tabs>
        <w:spacing w:after="160"/>
      </w:pPr>
      <w:r>
        <w:br w:type="page"/>
      </w:r>
    </w:p>
    <w:p w14:paraId="4C125CF8" w14:textId="7A763DD9" w:rsidR="0013626A" w:rsidRDefault="0013626A" w:rsidP="0013626A">
      <w:pPr>
        <w:jc w:val="center"/>
      </w:pPr>
      <w:r>
        <w:lastRenderedPageBreak/>
        <w:t>[</w:t>
      </w:r>
      <w:r w:rsidRPr="0013626A">
        <w:rPr>
          <w:i/>
          <w:iCs/>
        </w:rPr>
        <w:t>Los Treinta y Dos Aspectos en Detalle</w:t>
      </w:r>
      <w:r>
        <w:t>]</w:t>
      </w:r>
    </w:p>
    <w:p w14:paraId="77856B49" w14:textId="7ECF2B2D" w:rsidR="0013626A" w:rsidRDefault="0013626A" w:rsidP="0013626A">
      <w:r>
        <w:t xml:space="preserve">81. </w:t>
      </w:r>
      <w:r>
        <w:tab/>
        <w:t xml:space="preserve">Cuando </w:t>
      </w:r>
      <w:r w:rsidR="00EC76A5">
        <w:t>emprenda</w:t>
      </w:r>
      <w:r>
        <w:t xml:space="preserve"> ello, primero debe</w:t>
      </w:r>
      <w:r w:rsidR="00EC76A5">
        <w:t>rá</w:t>
      </w:r>
      <w:r>
        <w:t xml:space="preserve"> </w:t>
      </w:r>
      <w:r w:rsidR="00EC76A5">
        <w:t xml:space="preserve">aprehender </w:t>
      </w:r>
      <w:r>
        <w:t>el signo de</w:t>
      </w:r>
      <w:r w:rsidR="00EC76A5">
        <w:t>l</w:t>
      </w:r>
      <w:r>
        <w:t xml:space="preserve"> aprendizaje en los </w:t>
      </w:r>
      <w:r w:rsidR="00EC76A5">
        <w:t xml:space="preserve">cabellos </w:t>
      </w:r>
      <w:r>
        <w:t>de la cabeza. ¿Cómo? Primero se debe</w:t>
      </w:r>
      <w:r w:rsidR="00EC76A5">
        <w:t>rá</w:t>
      </w:r>
      <w:r>
        <w:t xml:space="preserve"> definir el color arrancando uno o dos </w:t>
      </w:r>
      <w:r w:rsidR="00EC76A5">
        <w:t xml:space="preserve">cabellos </w:t>
      </w:r>
      <w:r>
        <w:t>de la cabeza y coloc</w:t>
      </w:r>
      <w:r w:rsidR="00EC76A5">
        <w:t>ar</w:t>
      </w:r>
      <w:r>
        <w:t xml:space="preserve">los en la palma de la mano. [249] También </w:t>
      </w:r>
      <w:r w:rsidR="00EC76A5">
        <w:t xml:space="preserve">podrá </w:t>
      </w:r>
      <w:r>
        <w:t>mirarlos en el lugar de</w:t>
      </w:r>
      <w:r w:rsidR="00236067">
        <w:t>l</w:t>
      </w:r>
      <w:r>
        <w:t xml:space="preserve"> corte de </w:t>
      </w:r>
      <w:r w:rsidR="00236067">
        <w:t>cabello</w:t>
      </w:r>
      <w:r>
        <w:t xml:space="preserve">, o en un cuenco de agua o </w:t>
      </w:r>
      <w:r w:rsidR="00236067">
        <w:t xml:space="preserve">un atole </w:t>
      </w:r>
      <w:r>
        <w:t>de arroz. Si los que ve</w:t>
      </w:r>
      <w:r w:rsidR="00236067">
        <w:t>a</w:t>
      </w:r>
      <w:r>
        <w:t xml:space="preserve"> son negros cuando los ve</w:t>
      </w:r>
      <w:r w:rsidR="00236067">
        <w:t>a</w:t>
      </w:r>
      <w:r>
        <w:t>, debe</w:t>
      </w:r>
      <w:r w:rsidR="00B83395">
        <w:t>rá</w:t>
      </w:r>
      <w:r>
        <w:t xml:space="preserve"> recordarlos como "negros"; si es blanco, como “blanco”; si se mezclan, deben recordarse de acuerdo con los más predominantes. Y como en el caso de los </w:t>
      </w:r>
      <w:r w:rsidR="00236067">
        <w:t xml:space="preserve">cabellos </w:t>
      </w:r>
      <w:r>
        <w:t>de la cabeza, también el signo debe</w:t>
      </w:r>
      <w:r w:rsidR="00236067">
        <w:t>rá</w:t>
      </w:r>
      <w:r>
        <w:t xml:space="preserve"> ser aprehendido visualmente con toda la “</w:t>
      </w:r>
      <w:proofErr w:type="spellStart"/>
      <w:r w:rsidR="00236067">
        <w:t>pentada</w:t>
      </w:r>
      <w:proofErr w:type="spellEnd"/>
      <w:r w:rsidR="00236067">
        <w:t xml:space="preserve"> </w:t>
      </w:r>
      <w:r>
        <w:t>piel”.</w:t>
      </w:r>
    </w:p>
    <w:p w14:paraId="5471BD83" w14:textId="1CB2744C" w:rsidR="0013626A" w:rsidRDefault="0013626A" w:rsidP="0013626A">
      <w:r>
        <w:t xml:space="preserve">82. </w:t>
      </w:r>
      <w:r>
        <w:tab/>
        <w:t>Habiendo aprehendido así el signo y (a) definido todas las demás partes del cuerpo por color, forma, dirección, ubicación y delimitación (§58), deber</w:t>
      </w:r>
      <w:r w:rsidR="00B83395">
        <w:t>á</w:t>
      </w:r>
      <w:r>
        <w:t xml:space="preserve"> entonces (b) definir la </w:t>
      </w:r>
      <w:r w:rsidRPr="005171F5">
        <w:rPr>
          <w:i/>
          <w:iCs/>
        </w:rPr>
        <w:t>repulsi</w:t>
      </w:r>
      <w:r w:rsidR="005171F5" w:rsidRPr="005171F5">
        <w:rPr>
          <w:i/>
          <w:iCs/>
        </w:rPr>
        <w:t>vidad</w:t>
      </w:r>
      <w:r>
        <w:t xml:space="preserve"> de cinco maneras, es decir, por </w:t>
      </w:r>
      <w:r w:rsidR="00236067">
        <w:t xml:space="preserve">el </w:t>
      </w:r>
      <w:r>
        <w:t xml:space="preserve">color, </w:t>
      </w:r>
      <w:r w:rsidR="00236067">
        <w:t xml:space="preserve">la </w:t>
      </w:r>
      <w:r>
        <w:t xml:space="preserve">forma, </w:t>
      </w:r>
      <w:r w:rsidR="00236067">
        <w:t xml:space="preserve">el </w:t>
      </w:r>
      <w:r>
        <w:t xml:space="preserve">olor, </w:t>
      </w:r>
      <w:r w:rsidR="00236067">
        <w:t>el entorno</w:t>
      </w:r>
      <w:r>
        <w:t xml:space="preserve"> y </w:t>
      </w:r>
      <w:r w:rsidR="00236067">
        <w:t xml:space="preserve">la </w:t>
      </w:r>
      <w:r>
        <w:t>ubicación.</w:t>
      </w:r>
    </w:p>
    <w:p w14:paraId="2A803D4F" w14:textId="525A78CD" w:rsidR="0013626A" w:rsidRDefault="0013626A" w:rsidP="0013626A">
      <w:r>
        <w:t xml:space="preserve">83. </w:t>
      </w:r>
      <w:r>
        <w:tab/>
      </w:r>
      <w:r w:rsidR="000E5C5D">
        <w:t>A continuación se expone</w:t>
      </w:r>
      <w:r>
        <w:t xml:space="preserve"> la explicación de todas las partes </w:t>
      </w:r>
      <w:r w:rsidR="004B1B37">
        <w:t>del cuerpo</w:t>
      </w:r>
      <w:r>
        <w:t xml:space="preserve"> en orden </w:t>
      </w:r>
      <w:r w:rsidR="000E5C5D">
        <w:t>secuencial</w:t>
      </w:r>
      <w:r>
        <w:t>.</w:t>
      </w:r>
    </w:p>
    <w:p w14:paraId="14BCB6B3" w14:textId="60757AD7" w:rsidR="0013626A" w:rsidRDefault="0013626A" w:rsidP="0013626A">
      <w:pPr>
        <w:jc w:val="center"/>
      </w:pPr>
      <w:r>
        <w:t>[</w:t>
      </w:r>
      <w:r w:rsidR="000E5C5D">
        <w:rPr>
          <w:i/>
          <w:iCs/>
        </w:rPr>
        <w:t>Cabellos</w:t>
      </w:r>
      <w:r w:rsidRPr="0013626A">
        <w:rPr>
          <w:i/>
          <w:iCs/>
        </w:rPr>
        <w:t xml:space="preserve"> </w:t>
      </w:r>
      <w:r w:rsidR="000E5C5D">
        <w:rPr>
          <w:i/>
          <w:iCs/>
        </w:rPr>
        <w:t>de</w:t>
      </w:r>
      <w:r w:rsidRPr="0013626A">
        <w:rPr>
          <w:i/>
          <w:iCs/>
        </w:rPr>
        <w:t xml:space="preserve"> la Cabeza</w:t>
      </w:r>
      <w:r>
        <w:t>]</w:t>
      </w:r>
    </w:p>
    <w:p w14:paraId="26B9B0F1" w14:textId="0D9596D1" w:rsidR="0013626A" w:rsidRDefault="0013626A" w:rsidP="00ED07AB">
      <w:pPr>
        <w:pStyle w:val="NormalConSangria"/>
      </w:pPr>
      <w:r>
        <w:t xml:space="preserve">(a) En primer lugar, los </w:t>
      </w:r>
      <w:r w:rsidR="009C741E" w:rsidRPr="009C741E">
        <w:t xml:space="preserve">cabellos </w:t>
      </w:r>
      <w:r>
        <w:t xml:space="preserve">de la cabeza son negros en su color normal, </w:t>
      </w:r>
      <w:r w:rsidR="009C741E">
        <w:t>d</w:t>
      </w:r>
      <w:r>
        <w:t xml:space="preserve">el color de las semillas frescas de </w:t>
      </w:r>
      <w:r w:rsidRPr="00505932">
        <w:rPr>
          <w:i/>
          <w:iCs/>
        </w:rPr>
        <w:t>ariṭṭhaka</w:t>
      </w:r>
      <w:r>
        <w:t>.</w:t>
      </w:r>
      <w:r w:rsidRPr="00505932">
        <w:rPr>
          <w:vertAlign w:val="superscript"/>
        </w:rPr>
        <w:t>19</w:t>
      </w:r>
      <w:r>
        <w:t xml:space="preserve"> En cuanto a la </w:t>
      </w:r>
      <w:r w:rsidRPr="00C7461D">
        <w:rPr>
          <w:i/>
          <w:iCs/>
        </w:rPr>
        <w:t>forma</w:t>
      </w:r>
      <w:r>
        <w:t xml:space="preserve">, tienen la forma de </w:t>
      </w:r>
      <w:r w:rsidR="00236067">
        <w:t xml:space="preserve">las </w:t>
      </w:r>
      <w:r>
        <w:t>varillas de medir</w:t>
      </w:r>
      <w:r w:rsidR="00236067">
        <w:t>,</w:t>
      </w:r>
      <w:r>
        <w:t xml:space="preserve"> largas y redondas.</w:t>
      </w:r>
      <w:r w:rsidRPr="006B038C">
        <w:rPr>
          <w:vertAlign w:val="superscript"/>
        </w:rPr>
        <w:t>20</w:t>
      </w:r>
      <w:r>
        <w:t xml:space="preserve"> En cuanto a la </w:t>
      </w:r>
      <w:r w:rsidRPr="00C7461D">
        <w:rPr>
          <w:i/>
          <w:iCs/>
        </w:rPr>
        <w:t>dirección</w:t>
      </w:r>
      <w:r>
        <w:t xml:space="preserve">, se encuentran en la dirección superior. En cuanto a la </w:t>
      </w:r>
      <w:r w:rsidRPr="00C7461D">
        <w:rPr>
          <w:i/>
          <w:iCs/>
        </w:rPr>
        <w:t>ubicación</w:t>
      </w:r>
      <w:r>
        <w:t xml:space="preserve">, su ubicación </w:t>
      </w:r>
      <w:r w:rsidR="003B7DA8">
        <w:t xml:space="preserve">se encuentra en </w:t>
      </w:r>
      <w:r>
        <w:t xml:space="preserve">la piel interior </w:t>
      </w:r>
      <w:r w:rsidR="003B7DA8">
        <w:t xml:space="preserve">y </w:t>
      </w:r>
      <w:r>
        <w:t xml:space="preserve">húmeda que envuelve el cráneo; está limitada </w:t>
      </w:r>
      <w:r w:rsidR="003B7DA8">
        <w:t>en</w:t>
      </w:r>
      <w:r>
        <w:t xml:space="preserve"> ambos lados por las raíces de las orejas, por delante por la frente y por detrás por la nuca.</w:t>
      </w:r>
      <w:r w:rsidRPr="000B3CE0">
        <w:rPr>
          <w:vertAlign w:val="superscript"/>
        </w:rPr>
        <w:t>21</w:t>
      </w:r>
      <w:r>
        <w:t xml:space="preserve"> En cuanto a la </w:t>
      </w:r>
      <w:r w:rsidRPr="00C7461D">
        <w:rPr>
          <w:i/>
          <w:iCs/>
        </w:rPr>
        <w:t>delimitación</w:t>
      </w:r>
      <w:r>
        <w:t xml:space="preserve">, están </w:t>
      </w:r>
      <w:r w:rsidR="009751A2" w:rsidRPr="009751A2">
        <w:t>limitad</w:t>
      </w:r>
      <w:r w:rsidR="009751A2">
        <w:t>o</w:t>
      </w:r>
      <w:r w:rsidR="009751A2" w:rsidRPr="009751A2">
        <w:t xml:space="preserve">s </w:t>
      </w:r>
      <w:r w:rsidR="009751A2">
        <w:t>hacia</w:t>
      </w:r>
      <w:r w:rsidR="009751A2" w:rsidRPr="009751A2">
        <w:t xml:space="preserve"> </w:t>
      </w:r>
      <w:r w:rsidR="002B3E14">
        <w:t>el interior</w:t>
      </w:r>
      <w:r>
        <w:t xml:space="preserve"> por la superficie de sus propias raíces, </w:t>
      </w:r>
      <w:r w:rsidR="00C21FE4" w:rsidRPr="00C21FE4">
        <w:t xml:space="preserve">que se fijan penetrando </w:t>
      </w:r>
      <w:r w:rsidR="009751A2" w:rsidRPr="009751A2">
        <w:t xml:space="preserve">la </w:t>
      </w:r>
      <w:r w:rsidR="005D17DC">
        <w:t xml:space="preserve">longitud </w:t>
      </w:r>
      <w:r w:rsidR="009751A2" w:rsidRPr="009751A2">
        <w:t>de la punta</w:t>
      </w:r>
      <w:r w:rsidR="00C21FE4" w:rsidRPr="00C21FE4">
        <w:t xml:space="preserve"> de un </w:t>
      </w:r>
      <w:r w:rsidR="009751A2" w:rsidRPr="009751A2">
        <w:t xml:space="preserve">grano de arroz en la </w:t>
      </w:r>
      <w:r w:rsidR="00C21FE4" w:rsidRPr="009751A2">
        <w:t xml:space="preserve">piel </w:t>
      </w:r>
      <w:r w:rsidR="009751A2" w:rsidRPr="009751A2">
        <w:t>interior</w:t>
      </w:r>
      <w:r w:rsidR="00C21FE4" w:rsidRPr="009751A2">
        <w:t xml:space="preserve"> que envuelve </w:t>
      </w:r>
      <w:r w:rsidR="009751A2" w:rsidRPr="009751A2">
        <w:t>la cabeza. Están limitados</w:t>
      </w:r>
      <w:r w:rsidR="00C21FE4" w:rsidRPr="009751A2">
        <w:t xml:space="preserve"> </w:t>
      </w:r>
      <w:r w:rsidR="00B774F4">
        <w:t xml:space="preserve">hacia </w:t>
      </w:r>
      <w:r w:rsidR="00C21FE4" w:rsidRPr="009751A2">
        <w:t xml:space="preserve">arriba por el espacio, y alrededor </w:t>
      </w:r>
      <w:r w:rsidR="005D17DC">
        <w:t xml:space="preserve">por </w:t>
      </w:r>
      <w:r w:rsidR="000D1DEF">
        <w:t xml:space="preserve">cada </w:t>
      </w:r>
      <w:r w:rsidR="00C21FE4" w:rsidRPr="009751A2">
        <w:t xml:space="preserve">uno </w:t>
      </w:r>
      <w:r w:rsidR="005D17DC">
        <w:t>de ellos</w:t>
      </w:r>
      <w:r w:rsidR="009751A2" w:rsidRPr="009751A2">
        <w:t>.</w:t>
      </w:r>
      <w:r>
        <w:t xml:space="preserve"> No hay dos cabellos </w:t>
      </w:r>
      <w:r w:rsidR="0058315E">
        <w:t xml:space="preserve">que se encuentren </w:t>
      </w:r>
      <w:r>
        <w:t xml:space="preserve">juntos. Esta es su delimitación por lo similar. Los </w:t>
      </w:r>
      <w:r w:rsidR="0058315E">
        <w:t>cabellos</w:t>
      </w:r>
      <w:r>
        <w:t xml:space="preserve"> de la cabeza no son </w:t>
      </w:r>
      <w:r w:rsidR="00C8176E">
        <w:t xml:space="preserve">los vellos </w:t>
      </w:r>
      <w:r>
        <w:t xml:space="preserve">del cuerpo, y los </w:t>
      </w:r>
      <w:r w:rsidR="00C8176E">
        <w:t xml:space="preserve">vellos </w:t>
      </w:r>
      <w:r>
        <w:t xml:space="preserve">del cuerpo no son </w:t>
      </w:r>
      <w:r w:rsidR="00C8176E">
        <w:t>los cabellos</w:t>
      </w:r>
      <w:r>
        <w:t xml:space="preserve"> de la cabeza; al no estar tampoco entremezclados con las treinta y una partes restantes, los </w:t>
      </w:r>
      <w:r w:rsidR="00C8176E">
        <w:t xml:space="preserve">cabellos </w:t>
      </w:r>
      <w:r>
        <w:t xml:space="preserve">de la cabeza </w:t>
      </w:r>
      <w:r w:rsidR="00075157">
        <w:t>pueden considerarse</w:t>
      </w:r>
      <w:r>
        <w:t xml:space="preserve"> una parte </w:t>
      </w:r>
      <w:r w:rsidR="00C8176E">
        <w:t>independiente</w:t>
      </w:r>
      <w:r>
        <w:t xml:space="preserve">. </w:t>
      </w:r>
      <w:r w:rsidR="00075157">
        <w:t>É</w:t>
      </w:r>
      <w:r>
        <w:t xml:space="preserve">sta es su delimitación por lo </w:t>
      </w:r>
      <w:r w:rsidR="00075157">
        <w:t>disimilar</w:t>
      </w:r>
      <w:r>
        <w:t xml:space="preserve">. Tal es la definición de los </w:t>
      </w:r>
      <w:r w:rsidR="0006765C">
        <w:t xml:space="preserve">cabellos </w:t>
      </w:r>
      <w:r>
        <w:t>de la cabeza en cuanto al color, etc.</w:t>
      </w:r>
    </w:p>
    <w:p w14:paraId="3CC5E511" w14:textId="5DA112A4" w:rsidR="0013626A" w:rsidRDefault="0013626A" w:rsidP="0013626A">
      <w:r>
        <w:t xml:space="preserve">84. </w:t>
      </w:r>
      <w:r w:rsidR="00ED07AB">
        <w:tab/>
      </w:r>
      <w:r>
        <w:t xml:space="preserve">(b) Su definición </w:t>
      </w:r>
      <w:r w:rsidRPr="00505932">
        <w:rPr>
          <w:i/>
          <w:iCs/>
        </w:rPr>
        <w:t xml:space="preserve">en cuanto a </w:t>
      </w:r>
      <w:r w:rsidR="0006765C">
        <w:rPr>
          <w:i/>
          <w:iCs/>
        </w:rPr>
        <w:t xml:space="preserve">la </w:t>
      </w:r>
      <w:r w:rsidRPr="00505932">
        <w:rPr>
          <w:i/>
          <w:iCs/>
        </w:rPr>
        <w:t>repulsi</w:t>
      </w:r>
      <w:r w:rsidR="005E7987">
        <w:rPr>
          <w:i/>
          <w:iCs/>
        </w:rPr>
        <w:t>vidad</w:t>
      </w:r>
      <w:r>
        <w:t xml:space="preserve"> en las cinco formas, es decir, por color, etc., es como sigue. Los </w:t>
      </w:r>
      <w:r w:rsidR="00297069">
        <w:t xml:space="preserve">cabellos </w:t>
      </w:r>
      <w:r>
        <w:t xml:space="preserve">de la cabeza son repulsivos tanto en color como en forma, olor, </w:t>
      </w:r>
      <w:r w:rsidR="00297069">
        <w:t>entorno</w:t>
      </w:r>
      <w:r>
        <w:t xml:space="preserve"> y ubicación.</w:t>
      </w:r>
    </w:p>
    <w:p w14:paraId="0EF19D03" w14:textId="7D61D3A0" w:rsidR="0013626A" w:rsidRDefault="0013626A" w:rsidP="0013626A">
      <w:r>
        <w:t xml:space="preserve">85. </w:t>
      </w:r>
      <w:r w:rsidR="00ED07AB">
        <w:tab/>
      </w:r>
      <w:r w:rsidR="005E7987">
        <w:t xml:space="preserve">Debido a </w:t>
      </w:r>
      <w:r>
        <w:t xml:space="preserve">que al ver el color del </w:t>
      </w:r>
      <w:r w:rsidR="00297069">
        <w:t xml:space="preserve">cabello </w:t>
      </w:r>
      <w:r>
        <w:t xml:space="preserve">de la cabeza en un plato de apetitosas gachas de arroz o arroz cocido, la gente se disgusta y dice: “Esto tiene </w:t>
      </w:r>
      <w:r w:rsidR="00297069">
        <w:t xml:space="preserve">un </w:t>
      </w:r>
      <w:r>
        <w:t xml:space="preserve">pelo. </w:t>
      </w:r>
      <w:r w:rsidR="00602331">
        <w:t>Llév</w:t>
      </w:r>
      <w:r w:rsidR="00297069">
        <w:t>es</w:t>
      </w:r>
      <w:r w:rsidR="00602331">
        <w:t>elo</w:t>
      </w:r>
      <w:r>
        <w:t xml:space="preserve">." Así </w:t>
      </w:r>
      <w:r w:rsidR="00886CF8">
        <w:t>es cómo</w:t>
      </w:r>
      <w:r>
        <w:t xml:space="preserve"> </w:t>
      </w:r>
      <w:r w:rsidR="00504418">
        <w:t>es</w:t>
      </w:r>
      <w:r>
        <w:t xml:space="preserve"> </w:t>
      </w:r>
      <w:r w:rsidR="005E7987">
        <w:t>por</w:t>
      </w:r>
      <w:r>
        <w:t xml:space="preserve"> </w:t>
      </w:r>
      <w:r w:rsidRPr="007A4D90">
        <w:rPr>
          <w:i/>
          <w:iCs/>
        </w:rPr>
        <w:t>color</w:t>
      </w:r>
      <w:r>
        <w:t xml:space="preserve"> repulsivo. Además, cuando la gente </w:t>
      </w:r>
      <w:r w:rsidR="00504418">
        <w:t>se encuentra</w:t>
      </w:r>
      <w:r>
        <w:t xml:space="preserve"> comiendo por la noche, también les disgusta</w:t>
      </w:r>
      <w:r w:rsidR="007A4D90">
        <w:t>ría</w:t>
      </w:r>
      <w:r>
        <w:t xml:space="preserve"> la mera sensación de una fibra de corteza de </w:t>
      </w:r>
      <w:proofErr w:type="spellStart"/>
      <w:r w:rsidRPr="00505932">
        <w:rPr>
          <w:i/>
          <w:iCs/>
        </w:rPr>
        <w:t>akka</w:t>
      </w:r>
      <w:proofErr w:type="spellEnd"/>
      <w:r>
        <w:t xml:space="preserve"> o corteza de </w:t>
      </w:r>
      <w:proofErr w:type="spellStart"/>
      <w:r w:rsidRPr="00505932">
        <w:rPr>
          <w:i/>
          <w:iCs/>
        </w:rPr>
        <w:t>makaci</w:t>
      </w:r>
      <w:proofErr w:type="spellEnd"/>
      <w:r>
        <w:t xml:space="preserve"> en forma de cabello. Entonces </w:t>
      </w:r>
      <w:r w:rsidR="007A4D90">
        <w:t xml:space="preserve">el cabello </w:t>
      </w:r>
      <w:r w:rsidR="007C6E8C">
        <w:t>también posee</w:t>
      </w:r>
      <w:r>
        <w:t xml:space="preserve"> una </w:t>
      </w:r>
      <w:r w:rsidRPr="007A4D90">
        <w:rPr>
          <w:i/>
          <w:iCs/>
        </w:rPr>
        <w:t>forma</w:t>
      </w:r>
      <w:r>
        <w:t xml:space="preserve"> repulsiva.</w:t>
      </w:r>
    </w:p>
    <w:p w14:paraId="66213BC7" w14:textId="4B1572B2" w:rsidR="0013626A" w:rsidRDefault="0013626A" w:rsidP="0013626A">
      <w:r>
        <w:t xml:space="preserve">86. </w:t>
      </w:r>
      <w:r w:rsidR="00ED07AB">
        <w:tab/>
      </w:r>
      <w:r>
        <w:t xml:space="preserve">Y el </w:t>
      </w:r>
      <w:r w:rsidRPr="00602331">
        <w:rPr>
          <w:i/>
          <w:iCs/>
        </w:rPr>
        <w:t>olor</w:t>
      </w:r>
      <w:r>
        <w:t xml:space="preserve"> de los </w:t>
      </w:r>
      <w:r w:rsidR="007C6E8C">
        <w:t xml:space="preserve">cabellos </w:t>
      </w:r>
      <w:r>
        <w:t xml:space="preserve">de la cabeza, a menos que estén untados con aceite, perfumados con flores, etc., </w:t>
      </w:r>
      <w:r w:rsidR="002F1E99">
        <w:t>será</w:t>
      </w:r>
      <w:r>
        <w:t xml:space="preserve"> muy ofensivo. Y </w:t>
      </w:r>
      <w:r w:rsidR="002F1E99">
        <w:t>será</w:t>
      </w:r>
      <w:r>
        <w:t xml:space="preserve"> aún peor cuando se ech</w:t>
      </w:r>
      <w:r w:rsidR="002F1E99">
        <w:t>e</w:t>
      </w:r>
      <w:r>
        <w:t xml:space="preserve">n al fuego. [250] Incluso si los </w:t>
      </w:r>
    </w:p>
    <w:p w14:paraId="3F05F4FD" w14:textId="77777777" w:rsidR="0013626A" w:rsidRDefault="0013626A" w:rsidP="0013626A">
      <w:pPr>
        <w:pStyle w:val="PiedepginaLegal"/>
        <w:rPr>
          <w:u w:val="single"/>
        </w:rPr>
      </w:pPr>
      <w:r>
        <w:rPr>
          <w:u w:val="single"/>
        </w:rPr>
        <w:tab/>
      </w:r>
      <w:r>
        <w:rPr>
          <w:u w:val="single"/>
        </w:rPr>
        <w:tab/>
      </w:r>
      <w:r>
        <w:rPr>
          <w:u w:val="single"/>
        </w:rPr>
        <w:tab/>
      </w:r>
      <w:r>
        <w:rPr>
          <w:u w:val="single"/>
        </w:rPr>
        <w:tab/>
        <w:t>.</w:t>
      </w:r>
    </w:p>
    <w:p w14:paraId="0F055EE7" w14:textId="6A0DD4A3" w:rsidR="0013626A" w:rsidRDefault="0013626A" w:rsidP="00A21FB5">
      <w:pPr>
        <w:pStyle w:val="PiedepginaLegal"/>
        <w:spacing w:after="20"/>
      </w:pPr>
      <w:r>
        <w:t xml:space="preserve">19. </w:t>
      </w:r>
      <w:r>
        <w:tab/>
      </w:r>
      <w:proofErr w:type="spellStart"/>
      <w:r w:rsidRPr="00602331">
        <w:rPr>
          <w:i/>
          <w:iCs/>
        </w:rPr>
        <w:t>Ariṭṭhaka</w:t>
      </w:r>
      <w:proofErr w:type="spellEnd"/>
      <w:r>
        <w:t xml:space="preserve"> como planta no </w:t>
      </w:r>
      <w:r w:rsidR="0052688B">
        <w:t>se encuentra</w:t>
      </w:r>
      <w:r>
        <w:t xml:space="preserve"> en </w:t>
      </w:r>
      <w:r w:rsidR="0052688B">
        <w:t xml:space="preserve">el </w:t>
      </w:r>
      <w:r>
        <w:t>PED; véase CPD—</w:t>
      </w:r>
      <w:proofErr w:type="spellStart"/>
      <w:r w:rsidRPr="00602331">
        <w:rPr>
          <w:i/>
          <w:iCs/>
        </w:rPr>
        <w:t>Sinh</w:t>
      </w:r>
      <w:proofErr w:type="spellEnd"/>
      <w:r w:rsidRPr="00602331">
        <w:rPr>
          <w:i/>
          <w:iCs/>
        </w:rPr>
        <w:t xml:space="preserve"> </w:t>
      </w:r>
      <w:proofErr w:type="spellStart"/>
      <w:r w:rsidRPr="00602331">
        <w:rPr>
          <w:i/>
          <w:iCs/>
        </w:rPr>
        <w:t>penela</w:t>
      </w:r>
      <w:proofErr w:type="spellEnd"/>
      <w:r w:rsidRPr="00602331">
        <w:rPr>
          <w:i/>
          <w:iCs/>
        </w:rPr>
        <w:t xml:space="preserve"> </w:t>
      </w:r>
      <w:proofErr w:type="spellStart"/>
      <w:r w:rsidRPr="00602331">
        <w:rPr>
          <w:i/>
          <w:iCs/>
        </w:rPr>
        <w:t>uṭa</w:t>
      </w:r>
      <w:proofErr w:type="spellEnd"/>
      <w:r>
        <w:t>.</w:t>
      </w:r>
    </w:p>
    <w:p w14:paraId="5C16827B" w14:textId="62EF8A8B" w:rsidR="0013626A" w:rsidRDefault="0013626A" w:rsidP="00A21FB5">
      <w:pPr>
        <w:pStyle w:val="PiedepginaLegal"/>
        <w:spacing w:after="20"/>
      </w:pPr>
      <w:r>
        <w:t xml:space="preserve">20. </w:t>
      </w:r>
      <w:r>
        <w:tab/>
      </w:r>
      <w:r w:rsidR="006B038C">
        <w:t xml:space="preserve">Existen </w:t>
      </w:r>
      <w:r>
        <w:t>varias lecturas</w:t>
      </w:r>
      <w:r w:rsidR="0015225A">
        <w:t xml:space="preserve"> al respecto</w:t>
      </w:r>
      <w:r>
        <w:t>.</w:t>
      </w:r>
    </w:p>
    <w:p w14:paraId="2877BC6E" w14:textId="449B4EB9" w:rsidR="00ED07AB" w:rsidRDefault="0013626A" w:rsidP="00A21FB5">
      <w:pPr>
        <w:pStyle w:val="PiedepginaLegal"/>
        <w:spacing w:after="20"/>
      </w:pPr>
      <w:r>
        <w:t xml:space="preserve">21. </w:t>
      </w:r>
      <w:r>
        <w:tab/>
        <w:t>“</w:t>
      </w:r>
      <w:proofErr w:type="spellStart"/>
      <w:r w:rsidRPr="00602331">
        <w:rPr>
          <w:i/>
          <w:iCs/>
        </w:rPr>
        <w:t>Galavāṭaka</w:t>
      </w:r>
      <w:proofErr w:type="spellEnd"/>
      <w:r>
        <w:t xml:space="preserve">”, traducido aquí por “nuca”, como exige el contexto. Pero en otros lugares (por ejemplo, IV.47, VIII.110) parece indicarse </w:t>
      </w:r>
      <w:r w:rsidR="001700E2">
        <w:t xml:space="preserve">como </w:t>
      </w:r>
      <w:r>
        <w:t>"base del cuello", es decir, donde el cuello se ajusta al cuerpo, o "garganta".</w:t>
      </w:r>
      <w:r w:rsidR="00ED07AB">
        <w:br w:type="page"/>
      </w:r>
    </w:p>
    <w:p w14:paraId="04D90737" w14:textId="3253E0E0" w:rsidR="00A6099B" w:rsidRDefault="00A21FB5" w:rsidP="00A6099B">
      <w:r>
        <w:lastRenderedPageBreak/>
        <w:t xml:space="preserve">cabellos de la cabeza no </w:t>
      </w:r>
      <w:r w:rsidR="002F1E99">
        <w:t>fuesen</w:t>
      </w:r>
      <w:r>
        <w:t xml:space="preserve"> directamente repulsivos </w:t>
      </w:r>
      <w:r w:rsidR="00E01F7A">
        <w:t xml:space="preserve">por </w:t>
      </w:r>
      <w:r>
        <w:t xml:space="preserve">color y forma, su </w:t>
      </w:r>
      <w:r w:rsidRPr="002F1E99">
        <w:rPr>
          <w:i/>
          <w:iCs/>
        </w:rPr>
        <w:t>olor</w:t>
      </w:r>
      <w:r>
        <w:t xml:space="preserve"> es directamente repulsivo. como </w:t>
      </w:r>
      <w:r w:rsidR="00A6099B">
        <w:t>el excremento de</w:t>
      </w:r>
      <w:r w:rsidR="002F1E99">
        <w:t xml:space="preserve"> un</w:t>
      </w:r>
      <w:r w:rsidR="00A6099B">
        <w:t xml:space="preserve"> bebé, en cuanto a su color, es del color de la cúrcuma y, en cuanto a su forma, tiene la forma de un trozo de raíz de cúrcuma, y ​​tal como el cadáver hinchado de un perro negro tirado en un montón de basura, en cuanto a su color, es del color de una fruta de palmira madura y, en cuanto a su </w:t>
      </w:r>
      <w:r w:rsidR="00A6099B" w:rsidRPr="002F1E99">
        <w:rPr>
          <w:i/>
          <w:iCs/>
        </w:rPr>
        <w:t>forma</w:t>
      </w:r>
      <w:r w:rsidR="00A6099B">
        <w:t xml:space="preserve">, es </w:t>
      </w:r>
      <w:r w:rsidR="005D1CFF">
        <w:t xml:space="preserve">de </w:t>
      </w:r>
      <w:r w:rsidR="00A6099B">
        <w:t xml:space="preserve">la forma de un tambor [en </w:t>
      </w:r>
      <w:r w:rsidR="00A6099B" w:rsidRPr="005D1CFF">
        <w:rPr>
          <w:i/>
          <w:iCs/>
        </w:rPr>
        <w:t>forma</w:t>
      </w:r>
      <w:r w:rsidR="00A6099B">
        <w:t xml:space="preserve"> de mandolina] que se deja boca abajo, y sus colmillos son como </w:t>
      </w:r>
      <w:r w:rsidR="00781BB2">
        <w:t xml:space="preserve">los </w:t>
      </w:r>
      <w:r w:rsidR="00A6099B">
        <w:t xml:space="preserve">capullos de jazmín, y así incluso si ambos no </w:t>
      </w:r>
      <w:r w:rsidR="005D1CFF">
        <w:t>fueran</w:t>
      </w:r>
      <w:r w:rsidR="00A6099B">
        <w:t xml:space="preserve"> directamente repulsivos en </w:t>
      </w:r>
      <w:r w:rsidR="00A6099B" w:rsidRPr="005D1CFF">
        <w:rPr>
          <w:i/>
          <w:iCs/>
        </w:rPr>
        <w:t>color</w:t>
      </w:r>
      <w:r w:rsidR="00A6099B">
        <w:t xml:space="preserve"> y </w:t>
      </w:r>
      <w:r w:rsidR="00A6099B" w:rsidRPr="005D1CFF">
        <w:rPr>
          <w:i/>
          <w:iCs/>
        </w:rPr>
        <w:t>forma</w:t>
      </w:r>
      <w:r w:rsidR="00A6099B">
        <w:t xml:space="preserve">, su </w:t>
      </w:r>
      <w:r w:rsidR="00A6099B" w:rsidRPr="005D1CFF">
        <w:rPr>
          <w:i/>
          <w:iCs/>
        </w:rPr>
        <w:t>olor</w:t>
      </w:r>
      <w:r w:rsidR="00A6099B">
        <w:t xml:space="preserve"> es directamente repulsivo, así también, incluso si los </w:t>
      </w:r>
      <w:r w:rsidR="005D1CFF">
        <w:t xml:space="preserve">cabellos </w:t>
      </w:r>
      <w:r w:rsidR="00A6099B">
        <w:t xml:space="preserve">de la cabeza no </w:t>
      </w:r>
      <w:r w:rsidR="005D1CFF">
        <w:t>fueran</w:t>
      </w:r>
      <w:r w:rsidR="00A6099B">
        <w:t xml:space="preserve"> directamente repulsivos en </w:t>
      </w:r>
      <w:r w:rsidR="00A6099B" w:rsidRPr="005D1CFF">
        <w:rPr>
          <w:i/>
          <w:iCs/>
        </w:rPr>
        <w:t>color</w:t>
      </w:r>
      <w:r w:rsidR="00A6099B">
        <w:t xml:space="preserve"> y </w:t>
      </w:r>
      <w:r w:rsidR="00A6099B" w:rsidRPr="005D1CFF">
        <w:rPr>
          <w:i/>
          <w:iCs/>
        </w:rPr>
        <w:t>forma</w:t>
      </w:r>
      <w:r w:rsidR="00A6099B">
        <w:t xml:space="preserve">, su </w:t>
      </w:r>
      <w:r w:rsidR="00A6099B" w:rsidRPr="005D1CFF">
        <w:rPr>
          <w:i/>
          <w:iCs/>
        </w:rPr>
        <w:t>olor</w:t>
      </w:r>
      <w:r w:rsidR="00A6099B">
        <w:t xml:space="preserve"> </w:t>
      </w:r>
      <w:r w:rsidR="00781BB2">
        <w:t xml:space="preserve">es </w:t>
      </w:r>
      <w:r w:rsidR="00A6099B">
        <w:t>directamente repulsivo.</w:t>
      </w:r>
    </w:p>
    <w:p w14:paraId="14F66BD3" w14:textId="4F536D4F" w:rsidR="00A6099B" w:rsidRDefault="00A6099B" w:rsidP="00A6099B">
      <w:r>
        <w:t xml:space="preserve">87. </w:t>
      </w:r>
      <w:r>
        <w:tab/>
      </w:r>
      <w:r w:rsidR="00EF5D55">
        <w:t xml:space="preserve">No obstante, </w:t>
      </w:r>
      <w:r>
        <w:t xml:space="preserve">así como las hierbas que crecen en las aguas residuales de la aldea en un lugar inmundo son repugnantes para la gente civilizada e inutilizables, así también los </w:t>
      </w:r>
      <w:r w:rsidR="00EF5D55">
        <w:t xml:space="preserve">cabellos </w:t>
      </w:r>
      <w:r>
        <w:t>de la cabeza</w:t>
      </w:r>
      <w:r w:rsidR="00417FFB">
        <w:t xml:space="preserve"> serán </w:t>
      </w:r>
      <w:r>
        <w:t xml:space="preserve">repugnantes ya que </w:t>
      </w:r>
      <w:r w:rsidR="0081750A">
        <w:t>terminan y siguen creciendo</w:t>
      </w:r>
      <w:r>
        <w:t xml:space="preserve"> en </w:t>
      </w:r>
      <w:r w:rsidR="0081750A">
        <w:t xml:space="preserve">las </w:t>
      </w:r>
      <w:r>
        <w:t>aguas residuales de</w:t>
      </w:r>
      <w:r w:rsidR="009878DD">
        <w:t>l</w:t>
      </w:r>
      <w:r>
        <w:t xml:space="preserve"> pus, </w:t>
      </w:r>
      <w:r w:rsidR="0081750A">
        <w:t xml:space="preserve">la </w:t>
      </w:r>
      <w:r>
        <w:t xml:space="preserve">sangre, </w:t>
      </w:r>
      <w:r w:rsidR="0081750A">
        <w:t xml:space="preserve">la </w:t>
      </w:r>
      <w:r>
        <w:t xml:space="preserve">orina, </w:t>
      </w:r>
      <w:r w:rsidR="0081750A">
        <w:t xml:space="preserve">el </w:t>
      </w:r>
      <w:r>
        <w:t xml:space="preserve">estiércol, </w:t>
      </w:r>
      <w:r w:rsidR="0081750A">
        <w:t xml:space="preserve">la </w:t>
      </w:r>
      <w:r>
        <w:t xml:space="preserve">bilis, </w:t>
      </w:r>
      <w:r w:rsidR="0081750A">
        <w:t xml:space="preserve">la </w:t>
      </w:r>
      <w:r>
        <w:t xml:space="preserve">flema y similares. Este es el aspecto repulsivo del </w:t>
      </w:r>
      <w:r w:rsidR="00EF5D55">
        <w:rPr>
          <w:i/>
          <w:iCs/>
        </w:rPr>
        <w:t>entorno</w:t>
      </w:r>
      <w:r>
        <w:t>.</w:t>
      </w:r>
    </w:p>
    <w:p w14:paraId="4C9342E3" w14:textId="1DFF4D63" w:rsidR="00A6099B" w:rsidRDefault="00A6099B" w:rsidP="00A6099B">
      <w:r>
        <w:t xml:space="preserve">88. </w:t>
      </w:r>
      <w:r>
        <w:tab/>
        <w:t xml:space="preserve">Y estos </w:t>
      </w:r>
      <w:r w:rsidR="005353B3">
        <w:t xml:space="preserve">cabellos </w:t>
      </w:r>
      <w:r>
        <w:t xml:space="preserve">de la cabeza crecen en el </w:t>
      </w:r>
      <w:r w:rsidR="00BF0D61">
        <w:t xml:space="preserve">cúmulo </w:t>
      </w:r>
      <w:r>
        <w:t>de las [otras] treinta y una partes como lo hacen los hongos en un estercolero. Y debido al lugar sucio en el que crecen, son tan poco apetecibles como las verduras que crece</w:t>
      </w:r>
      <w:r w:rsidR="00BB7429">
        <w:t>ría</w:t>
      </w:r>
      <w:r>
        <w:t xml:space="preserve">n en un osario, en un basurero, etc., como los lotos o los nenúfares que crecen en los desagües, etc. Este es el aspecto repulsivo de su </w:t>
      </w:r>
      <w:r w:rsidRPr="00F96DEC">
        <w:rPr>
          <w:i/>
          <w:iCs/>
        </w:rPr>
        <w:t>ubicación</w:t>
      </w:r>
      <w:r>
        <w:t>.</w:t>
      </w:r>
    </w:p>
    <w:p w14:paraId="4879D202" w14:textId="2CA3C4EC" w:rsidR="00A6099B" w:rsidRDefault="00A6099B" w:rsidP="00A6099B">
      <w:r>
        <w:t xml:space="preserve">89. </w:t>
      </w:r>
      <w:r>
        <w:tab/>
        <w:t xml:space="preserve">Y como en el caso de los </w:t>
      </w:r>
      <w:r w:rsidR="00BF0D61">
        <w:t xml:space="preserve">cabellos </w:t>
      </w:r>
      <w:r>
        <w:t>de la cabeza, también la repulsión de todas las partes debe definirse (b) de las mismas cinco maneras</w:t>
      </w:r>
      <w:r w:rsidR="00BF0D61">
        <w:t>,</w:t>
      </w:r>
      <w:r>
        <w:t xml:space="preserve"> </w:t>
      </w:r>
      <w:r w:rsidR="008E50FB">
        <w:t>mediante</w:t>
      </w:r>
      <w:r>
        <w:t xml:space="preserve"> </w:t>
      </w:r>
      <w:r w:rsidR="00BF0D61">
        <w:t xml:space="preserve">el </w:t>
      </w:r>
      <w:r>
        <w:t xml:space="preserve">color, </w:t>
      </w:r>
      <w:r w:rsidR="008E50FB">
        <w:t xml:space="preserve">la </w:t>
      </w:r>
      <w:r>
        <w:t xml:space="preserve">forma, </w:t>
      </w:r>
      <w:r w:rsidR="008E50FB">
        <w:t xml:space="preserve">el </w:t>
      </w:r>
      <w:r>
        <w:t xml:space="preserve">olor, </w:t>
      </w:r>
      <w:r w:rsidR="00BF0D61">
        <w:t xml:space="preserve">el entorno </w:t>
      </w:r>
      <w:r>
        <w:t xml:space="preserve">y ubicación. Todos, sin embargo, deben definirse individualmente (a) por </w:t>
      </w:r>
      <w:r w:rsidR="00BF0D61">
        <w:t xml:space="preserve">su </w:t>
      </w:r>
      <w:r>
        <w:t xml:space="preserve">color, forma, dirección, </w:t>
      </w:r>
      <w:r w:rsidR="008E50FB">
        <w:t xml:space="preserve">ubicación </w:t>
      </w:r>
      <w:r>
        <w:t>y delimitación, de la siguiente manera.</w:t>
      </w:r>
    </w:p>
    <w:p w14:paraId="047A84E0" w14:textId="4366DC87" w:rsidR="00A6099B" w:rsidRDefault="00A6099B" w:rsidP="00AC6885">
      <w:pPr>
        <w:jc w:val="center"/>
      </w:pPr>
      <w:r>
        <w:t>[</w:t>
      </w:r>
      <w:r w:rsidR="00410164">
        <w:t>V</w:t>
      </w:r>
      <w:r w:rsidR="00CB56F1">
        <w:rPr>
          <w:i/>
          <w:iCs/>
        </w:rPr>
        <w:t>ellos</w:t>
      </w:r>
      <w:r w:rsidRPr="00AC6885">
        <w:rPr>
          <w:i/>
          <w:iCs/>
        </w:rPr>
        <w:t xml:space="preserve"> corporales</w:t>
      </w:r>
      <w:r>
        <w:t>]</w:t>
      </w:r>
    </w:p>
    <w:p w14:paraId="6B48394C" w14:textId="102ED633" w:rsidR="00A6099B" w:rsidRDefault="00A6099B" w:rsidP="00A6099B">
      <w:r>
        <w:t xml:space="preserve">90. </w:t>
      </w:r>
      <w:r>
        <w:tab/>
        <w:t xml:space="preserve">Aquí, en primer lugar, en cuanto al </w:t>
      </w:r>
      <w:r w:rsidRPr="00410164">
        <w:rPr>
          <w:i/>
          <w:iCs/>
        </w:rPr>
        <w:t>color</w:t>
      </w:r>
      <w:r>
        <w:t xml:space="preserve"> natural, los </w:t>
      </w:r>
      <w:r w:rsidR="00C967D7">
        <w:t xml:space="preserve">vellos, del cuerpo, </w:t>
      </w:r>
      <w:r>
        <w:t xml:space="preserve">no son negros puros como los </w:t>
      </w:r>
      <w:r w:rsidR="00C967D7">
        <w:t xml:space="preserve">cabellos </w:t>
      </w:r>
      <w:r>
        <w:t xml:space="preserve">de la cabeza, sino </w:t>
      </w:r>
      <w:r w:rsidR="00C967D7">
        <w:t xml:space="preserve">de color </w:t>
      </w:r>
      <w:r>
        <w:t xml:space="preserve">marrón negruzco. En cuanto a la </w:t>
      </w:r>
      <w:r w:rsidRPr="00BA452C">
        <w:rPr>
          <w:i/>
          <w:iCs/>
        </w:rPr>
        <w:t>forma</w:t>
      </w:r>
      <w:r>
        <w:t xml:space="preserve">, tienen la forma de </w:t>
      </w:r>
      <w:r w:rsidR="00C967D7">
        <w:t xml:space="preserve">las </w:t>
      </w:r>
      <w:r>
        <w:t xml:space="preserve">raíces de </w:t>
      </w:r>
      <w:r w:rsidR="00BA452C">
        <w:t xml:space="preserve">la </w:t>
      </w:r>
      <w:r>
        <w:t xml:space="preserve">palma con las puntas dobladas hacia abajo. En cuanto a la </w:t>
      </w:r>
      <w:r w:rsidRPr="00BA452C">
        <w:rPr>
          <w:i/>
          <w:iCs/>
        </w:rPr>
        <w:t>dirección</w:t>
      </w:r>
      <w:r>
        <w:t xml:space="preserve">, se encuentran en las dos </w:t>
      </w:r>
      <w:r w:rsidRPr="00BA452C">
        <w:t>direcciones</w:t>
      </w:r>
      <w:r>
        <w:t xml:space="preserve">. En cuanto a la </w:t>
      </w:r>
      <w:r w:rsidRPr="00BA452C">
        <w:rPr>
          <w:i/>
          <w:iCs/>
        </w:rPr>
        <w:t>ubicación</w:t>
      </w:r>
      <w:r>
        <w:t xml:space="preserve">, a excepción de los lugares donde se establecen los </w:t>
      </w:r>
      <w:r w:rsidR="00BA452C">
        <w:t xml:space="preserve">cabellos </w:t>
      </w:r>
      <w:r>
        <w:t xml:space="preserve">de la cabeza, y las palmas de las manos y de los pies, crecen en la mayor parte del resto de la piel interna que envuelve el cuerpo. En cuanto a la </w:t>
      </w:r>
      <w:r w:rsidRPr="00AC6885">
        <w:rPr>
          <w:i/>
          <w:iCs/>
        </w:rPr>
        <w:t>delimitación</w:t>
      </w:r>
      <w:r>
        <w:t xml:space="preserve">, están </w:t>
      </w:r>
      <w:r w:rsidR="00C7679B">
        <w:t>de</w:t>
      </w:r>
      <w:r>
        <w:t>limitad</w:t>
      </w:r>
      <w:r w:rsidR="00C7679B">
        <w:t>o</w:t>
      </w:r>
      <w:r>
        <w:t xml:space="preserve">s </w:t>
      </w:r>
      <w:r w:rsidR="00A43870">
        <w:t>hacia el interior</w:t>
      </w:r>
      <w:r>
        <w:t xml:space="preserve"> por la superficie de sus propias raíces, que se fijan penetrando la medida de un </w:t>
      </w:r>
      <w:r w:rsidRPr="00AC6885">
        <w:rPr>
          <w:i/>
          <w:iCs/>
        </w:rPr>
        <w:t>likhā</w:t>
      </w:r>
      <w:r w:rsidRPr="00AC6885">
        <w:rPr>
          <w:vertAlign w:val="superscript"/>
        </w:rPr>
        <w:t>22</w:t>
      </w:r>
      <w:r>
        <w:t xml:space="preserve"> </w:t>
      </w:r>
      <w:r w:rsidRPr="00915856">
        <w:rPr>
          <w:i/>
          <w:iCs/>
        </w:rPr>
        <w:t xml:space="preserve">en la piel interna que envuelve el cuerpo, </w:t>
      </w:r>
      <w:r w:rsidR="00A43870">
        <w:rPr>
          <w:i/>
          <w:iCs/>
        </w:rPr>
        <w:t>hacia</w:t>
      </w:r>
      <w:r w:rsidRPr="00915856">
        <w:rPr>
          <w:i/>
          <w:iCs/>
        </w:rPr>
        <w:t xml:space="preserve"> arriba por el espacio, y alrededor </w:t>
      </w:r>
      <w:r w:rsidR="00C20B03">
        <w:rPr>
          <w:i/>
          <w:iCs/>
        </w:rPr>
        <w:t>por cada uno de ellos</w:t>
      </w:r>
      <w:r>
        <w:t xml:space="preserve">. No </w:t>
      </w:r>
      <w:r w:rsidR="00AA15D7">
        <w:t>existen</w:t>
      </w:r>
      <w:r>
        <w:t xml:space="preserve"> dos vellos corporales juntos. </w:t>
      </w:r>
      <w:r w:rsidR="00C20B03">
        <w:t>É</w:t>
      </w:r>
      <w:r>
        <w:t xml:space="preserve">sta es la </w:t>
      </w:r>
      <w:r w:rsidRPr="00AA15D7">
        <w:rPr>
          <w:i/>
          <w:iCs/>
        </w:rPr>
        <w:t>delimitación</w:t>
      </w:r>
      <w:r>
        <w:t xml:space="preserve"> por lo similar. Pero su delimitación por lo </w:t>
      </w:r>
      <w:r w:rsidR="00C20B03">
        <w:t>disimilar</w:t>
      </w:r>
      <w:r>
        <w:t xml:space="preserve"> es como la de los </w:t>
      </w:r>
      <w:r w:rsidR="00AA15D7">
        <w:t xml:space="preserve">cabellos </w:t>
      </w:r>
      <w:r>
        <w:t>de la cabeza. [Nota: Estas dos últimas oraciones se repiten palabra por palabra al final de la descripción de cada parte. No están traducidos en las treinta partes restantes].</w:t>
      </w:r>
    </w:p>
    <w:p w14:paraId="4CCB1417" w14:textId="580806FB" w:rsidR="00A6099B" w:rsidRDefault="00A6099B" w:rsidP="00915856">
      <w:pPr>
        <w:jc w:val="center"/>
      </w:pPr>
      <w:r>
        <w:t>[</w:t>
      </w:r>
      <w:r w:rsidR="00AA15D7">
        <w:rPr>
          <w:i/>
          <w:iCs/>
        </w:rPr>
        <w:t>Uñas</w:t>
      </w:r>
      <w:r>
        <w:t>]</w:t>
      </w:r>
    </w:p>
    <w:p w14:paraId="25CE9D62" w14:textId="3B8E1DD6" w:rsidR="00A6099B" w:rsidRDefault="00A6099B" w:rsidP="00A6099B">
      <w:r>
        <w:t xml:space="preserve">91. </w:t>
      </w:r>
      <w:r>
        <w:tab/>
      </w:r>
      <w:r w:rsidR="00AA15D7">
        <w:t xml:space="preserve">Las </w:t>
      </w:r>
      <w:r>
        <w:t>“</w:t>
      </w:r>
      <w:r w:rsidR="00AA15D7">
        <w:t>uñas</w:t>
      </w:r>
      <w:r>
        <w:t xml:space="preserve">” </w:t>
      </w:r>
      <w:r w:rsidR="00985061">
        <w:t>será</w:t>
      </w:r>
      <w:r>
        <w:t xml:space="preserve"> el nombre de las veinte placas de </w:t>
      </w:r>
      <w:r w:rsidR="00985061">
        <w:t>las uñas</w:t>
      </w:r>
      <w:r>
        <w:t>. Son tod</w:t>
      </w:r>
      <w:r w:rsidR="00985061">
        <w:t>a</w:t>
      </w:r>
      <w:r>
        <w:t>s blanc</w:t>
      </w:r>
      <w:r w:rsidR="00985061">
        <w:t>a</w:t>
      </w:r>
      <w:r>
        <w:t xml:space="preserve">s en cuanto al </w:t>
      </w:r>
      <w:r w:rsidRPr="00915856">
        <w:rPr>
          <w:i/>
          <w:iCs/>
        </w:rPr>
        <w:t>color</w:t>
      </w:r>
      <w:r>
        <w:t xml:space="preserve">. En cuanto a la forma, tienen la de </w:t>
      </w:r>
      <w:r w:rsidR="00985061">
        <w:t xml:space="preserve">las </w:t>
      </w:r>
      <w:r>
        <w:t xml:space="preserve">escamas de pescado. En cuanto a la </w:t>
      </w:r>
      <w:r w:rsidRPr="00915856">
        <w:rPr>
          <w:i/>
          <w:iCs/>
        </w:rPr>
        <w:t>dirección</w:t>
      </w:r>
      <w:r>
        <w:t xml:space="preserve">: las uñas de los pies están en la dirección inferior; las uñas </w:t>
      </w:r>
      <w:r w:rsidR="00037322">
        <w:t xml:space="preserve">de las manos </w:t>
      </w:r>
      <w:r>
        <w:t xml:space="preserve">están en la dirección superior. [251] Así crecen en las dos direcciones. En cuanto a la </w:t>
      </w:r>
      <w:r w:rsidRPr="00915856">
        <w:rPr>
          <w:i/>
          <w:iCs/>
        </w:rPr>
        <w:t>ubicación</w:t>
      </w:r>
      <w:r>
        <w:t xml:space="preserve">, se fijan en las puntas del dorso de los dedos de </w:t>
      </w:r>
      <w:r w:rsidR="00A42425">
        <w:t xml:space="preserve">las </w:t>
      </w:r>
      <w:r>
        <w:t xml:space="preserve">manos y </w:t>
      </w:r>
      <w:r w:rsidR="00A42425">
        <w:t xml:space="preserve">de los </w:t>
      </w:r>
      <w:r>
        <w:t xml:space="preserve">pies. En cuanto a la </w:t>
      </w:r>
      <w:r w:rsidRPr="00915856">
        <w:rPr>
          <w:i/>
          <w:iCs/>
        </w:rPr>
        <w:t>delimitación</w:t>
      </w:r>
      <w:r>
        <w:t>,</w:t>
      </w:r>
      <w:r w:rsidR="00DB1127" w:rsidRPr="00DB1127">
        <w:t xml:space="preserve"> </w:t>
      </w:r>
      <w:r w:rsidR="00DB1127">
        <w:t>están delimitados en</w:t>
      </w:r>
    </w:p>
    <w:p w14:paraId="5AC0A998" w14:textId="77777777" w:rsidR="00A6099B" w:rsidRDefault="00A6099B" w:rsidP="00A6099B">
      <w:pPr>
        <w:pStyle w:val="PiedepginaLegal"/>
        <w:rPr>
          <w:u w:val="single"/>
        </w:rPr>
      </w:pPr>
      <w:r>
        <w:rPr>
          <w:u w:val="single"/>
        </w:rPr>
        <w:tab/>
      </w:r>
      <w:r>
        <w:rPr>
          <w:u w:val="single"/>
        </w:rPr>
        <w:tab/>
      </w:r>
      <w:r>
        <w:rPr>
          <w:u w:val="single"/>
        </w:rPr>
        <w:tab/>
      </w:r>
      <w:r>
        <w:rPr>
          <w:u w:val="single"/>
        </w:rPr>
        <w:tab/>
        <w:t>.</w:t>
      </w:r>
    </w:p>
    <w:p w14:paraId="2EEEFCFC" w14:textId="63FA8E7A" w:rsidR="00A6099B" w:rsidRDefault="00A6099B" w:rsidP="00A42425">
      <w:pPr>
        <w:pStyle w:val="PiedepginaLegal"/>
      </w:pPr>
      <w:r>
        <w:t xml:space="preserve">22. </w:t>
      </w:r>
      <w:r>
        <w:tab/>
        <w:t>Una medida de longitud, tanto como una "cabeza de piojo".</w:t>
      </w:r>
      <w:r>
        <w:br w:type="page"/>
      </w:r>
    </w:p>
    <w:p w14:paraId="4954FC7D" w14:textId="77777777" w:rsidR="00A6099B" w:rsidRDefault="00A6099B" w:rsidP="00A6099B"/>
    <w:p w14:paraId="5D18C37E" w14:textId="00F4812A" w:rsidR="00793763" w:rsidRDefault="00793763" w:rsidP="00793763">
      <w:r>
        <w:t xml:space="preserve">las dos direcciones por la carne de los extremos de los dedos de las manos y de los pies, y </w:t>
      </w:r>
      <w:r w:rsidR="001B745D">
        <w:t>hacia</w:t>
      </w:r>
      <w:r>
        <w:t xml:space="preserve"> el interior por la carne del dorso de los dedos de las manos y de los pies, y </w:t>
      </w:r>
      <w:r w:rsidR="0097059B">
        <w:t>externamente</w:t>
      </w:r>
      <w:r>
        <w:t xml:space="preserve"> y </w:t>
      </w:r>
      <w:r w:rsidR="0097059B">
        <w:t xml:space="preserve">al final </w:t>
      </w:r>
      <w:r>
        <w:t xml:space="preserve">por el espacio, y alrededor </w:t>
      </w:r>
      <w:r w:rsidR="0097059B">
        <w:t xml:space="preserve">cada </w:t>
      </w:r>
      <w:r>
        <w:t xml:space="preserve">uno </w:t>
      </w:r>
      <w:r w:rsidR="00DB1127">
        <w:t>de ellos</w:t>
      </w:r>
      <w:r>
        <w:t xml:space="preserve">. No </w:t>
      </w:r>
      <w:r w:rsidR="00A42425">
        <w:t>existen</w:t>
      </w:r>
      <w:r>
        <w:t xml:space="preserve"> dos </w:t>
      </w:r>
      <w:r w:rsidR="00A42425">
        <w:t xml:space="preserve">uñas </w:t>
      </w:r>
      <w:r w:rsidR="00A3708C">
        <w:t xml:space="preserve">que se encuentren </w:t>
      </w:r>
      <w:r>
        <w:t>junt</w:t>
      </w:r>
      <w:r w:rsidR="00A42425">
        <w:t>a</w:t>
      </w:r>
      <w:r>
        <w:t>s…</w:t>
      </w:r>
    </w:p>
    <w:p w14:paraId="1A109DDB" w14:textId="77777777" w:rsidR="00793763" w:rsidRDefault="00793763" w:rsidP="00793763">
      <w:pPr>
        <w:jc w:val="center"/>
      </w:pPr>
      <w:r>
        <w:t>[</w:t>
      </w:r>
      <w:r w:rsidRPr="00793763">
        <w:rPr>
          <w:i/>
          <w:iCs/>
        </w:rPr>
        <w:t>Dientes</w:t>
      </w:r>
      <w:r>
        <w:t>]</w:t>
      </w:r>
    </w:p>
    <w:p w14:paraId="0A848F50" w14:textId="05C0016A" w:rsidR="00793763" w:rsidRDefault="00793763" w:rsidP="00793763">
      <w:r>
        <w:t xml:space="preserve">92. </w:t>
      </w:r>
      <w:r>
        <w:tab/>
      </w:r>
      <w:r w:rsidR="00C62F25">
        <w:t xml:space="preserve">Se pueden encontrar </w:t>
      </w:r>
      <w:r>
        <w:t xml:space="preserve">treinta y dos huesos de dientes en </w:t>
      </w:r>
      <w:r w:rsidR="0097059B">
        <w:t>aquel</w:t>
      </w:r>
      <w:r>
        <w:t xml:space="preserve"> cuyos dientes </w:t>
      </w:r>
      <w:r w:rsidR="00C62F25">
        <w:t xml:space="preserve">estén </w:t>
      </w:r>
      <w:r>
        <w:t xml:space="preserve">completos. Son de </w:t>
      </w:r>
      <w:r w:rsidRPr="00CA0B91">
        <w:rPr>
          <w:i/>
          <w:iCs/>
        </w:rPr>
        <w:t>color</w:t>
      </w:r>
      <w:r>
        <w:t xml:space="preserve"> blanco. En cuanto a la </w:t>
      </w:r>
      <w:r w:rsidRPr="008C1509">
        <w:rPr>
          <w:i/>
          <w:iCs/>
        </w:rPr>
        <w:t>forma</w:t>
      </w:r>
      <w:r>
        <w:t xml:space="preserve">, son de varias formas; porque primero en la fila inferior, los cuatro dientes del medio tienen la forma de semillas de calabaza colocadas en fila en un trozo de arcilla; cada </w:t>
      </w:r>
      <w:r w:rsidR="00703064">
        <w:t>uno</w:t>
      </w:r>
      <w:r>
        <w:t xml:space="preserve"> de ellos tiene una raíz </w:t>
      </w:r>
      <w:r w:rsidR="00703064">
        <w:t>con</w:t>
      </w:r>
      <w:r>
        <w:t xml:space="preserve"> una punta y tiene</w:t>
      </w:r>
      <w:r w:rsidR="00703064">
        <w:t>n</w:t>
      </w:r>
      <w:r>
        <w:t xml:space="preserve"> forma de</w:t>
      </w:r>
      <w:r w:rsidR="00703064">
        <w:t>l</w:t>
      </w:r>
      <w:r>
        <w:t xml:space="preserve"> capullo de</w:t>
      </w:r>
      <w:r w:rsidR="00703064">
        <w:t>l</w:t>
      </w:r>
      <w:r>
        <w:t xml:space="preserve"> jazmín; después de e</w:t>
      </w:r>
      <w:r w:rsidR="00C62F25">
        <w:t>ll</w:t>
      </w:r>
      <w:r>
        <w:t>o</w:t>
      </w:r>
      <w:r w:rsidR="00C62F25">
        <w:t>s</w:t>
      </w:r>
      <w:r>
        <w:t xml:space="preserve"> </w:t>
      </w:r>
      <w:r w:rsidR="00C62F25">
        <w:t xml:space="preserve">cada uno </w:t>
      </w:r>
      <w:r>
        <w:t xml:space="preserve">tiene dos raíces </w:t>
      </w:r>
      <w:r w:rsidR="00703064">
        <w:t>con</w:t>
      </w:r>
      <w:r>
        <w:t xml:space="preserve"> dos puntas y tiene la forma de</w:t>
      </w:r>
      <w:r w:rsidR="00C62F25">
        <w:t>l</w:t>
      </w:r>
      <w:r>
        <w:t xml:space="preserve"> puntal de </w:t>
      </w:r>
      <w:r w:rsidR="00C62F25">
        <w:t xml:space="preserve">una </w:t>
      </w:r>
      <w:r>
        <w:t>carro</w:t>
      </w:r>
      <w:r w:rsidR="00C62F25">
        <w:t>za</w:t>
      </w:r>
      <w:r>
        <w:t xml:space="preserve">; luego dos de cada lado </w:t>
      </w:r>
      <w:r w:rsidR="004B3770">
        <w:t xml:space="preserve">poseen </w:t>
      </w:r>
      <w:r>
        <w:t xml:space="preserve">tres raíces </w:t>
      </w:r>
      <w:r w:rsidR="00703064">
        <w:t>con</w:t>
      </w:r>
      <w:r>
        <w:t xml:space="preserve"> tres puntas, luego dos de cada lado con cuatro raíces </w:t>
      </w:r>
      <w:r w:rsidR="00DB7EF3">
        <w:t>con</w:t>
      </w:r>
      <w:r>
        <w:t xml:space="preserve"> cuatro puntas. Así mismo en la fila superior. En cuanto a la </w:t>
      </w:r>
      <w:r w:rsidRPr="00DD5827">
        <w:rPr>
          <w:i/>
          <w:iCs/>
        </w:rPr>
        <w:t>dirección</w:t>
      </w:r>
      <w:r>
        <w:t xml:space="preserve">, se encuentran en la dirección superior. En cuanto a la </w:t>
      </w:r>
      <w:r w:rsidRPr="00DD5827">
        <w:rPr>
          <w:i/>
          <w:iCs/>
        </w:rPr>
        <w:t>ubicación</w:t>
      </w:r>
      <w:r>
        <w:t xml:space="preserve">, se fijan en las mandíbulas. En cuanto a la </w:t>
      </w:r>
      <w:r w:rsidRPr="00DD5827">
        <w:rPr>
          <w:i/>
          <w:iCs/>
        </w:rPr>
        <w:t>delimitación</w:t>
      </w:r>
      <w:r>
        <w:t xml:space="preserve">, están limitados por la superficie de sus propias raíces que se fijan en los maxilares; ellos están limitados </w:t>
      </w:r>
      <w:r w:rsidR="00A128D2">
        <w:t xml:space="preserve">hacia </w:t>
      </w:r>
      <w:r>
        <w:t xml:space="preserve">arriba por el espacio, y todo alrededor </w:t>
      </w:r>
      <w:r w:rsidR="00DB7EF3">
        <w:t xml:space="preserve">por </w:t>
      </w:r>
      <w:r w:rsidR="00BC7FAE">
        <w:t xml:space="preserve">cada </w:t>
      </w:r>
      <w:r>
        <w:t xml:space="preserve">uno </w:t>
      </w:r>
      <w:r w:rsidR="00DB7EF3">
        <w:t>de ellos</w:t>
      </w:r>
      <w:r>
        <w:t xml:space="preserve">. No </w:t>
      </w:r>
      <w:r w:rsidR="00BC7FAE">
        <w:t xml:space="preserve">existen </w:t>
      </w:r>
      <w:r>
        <w:t>dos dientes juntos...</w:t>
      </w:r>
    </w:p>
    <w:p w14:paraId="1A7A9EBF" w14:textId="77777777" w:rsidR="00793763" w:rsidRDefault="00793763" w:rsidP="00793763">
      <w:pPr>
        <w:jc w:val="center"/>
      </w:pPr>
      <w:r>
        <w:t>[</w:t>
      </w:r>
      <w:r w:rsidRPr="00793763">
        <w:rPr>
          <w:i/>
          <w:iCs/>
        </w:rPr>
        <w:t>Piel (Taca)</w:t>
      </w:r>
      <w:r>
        <w:t>]</w:t>
      </w:r>
    </w:p>
    <w:p w14:paraId="6D28BF14" w14:textId="19C36C9D" w:rsidR="00793763" w:rsidRDefault="00793763" w:rsidP="00793763">
      <w:r>
        <w:t xml:space="preserve">93. </w:t>
      </w:r>
      <w:r>
        <w:tab/>
        <w:t xml:space="preserve">La piel interior envuelve todo el cuerpo. </w:t>
      </w:r>
      <w:r w:rsidR="0089601D">
        <w:t xml:space="preserve">Hacia </w:t>
      </w:r>
      <w:r>
        <w:t xml:space="preserve">fuera está lo que se </w:t>
      </w:r>
      <w:r w:rsidR="00DB7EF3">
        <w:t xml:space="preserve">conoce como </w:t>
      </w:r>
      <w:r>
        <w:t>la cutícula exter</w:t>
      </w:r>
      <w:r w:rsidR="008E61FA">
        <w:t>na</w:t>
      </w:r>
      <w:r>
        <w:t xml:space="preserve">, que es de color negro, marrón o amarillo, y cuando todo el cuerpo se comprime, se reduce a la cantidad de una semilla de azufaifo. Pero en cuanto al </w:t>
      </w:r>
      <w:r w:rsidRPr="00863D0D">
        <w:rPr>
          <w:i/>
          <w:iCs/>
        </w:rPr>
        <w:t>color</w:t>
      </w:r>
      <w:r>
        <w:t>, la piel misma es blanca; y su blancura se hace evidente cuando la cutícula exterior se destruye por contacto con la llama de un fuego o el impacto de un golpe, etc.</w:t>
      </w:r>
    </w:p>
    <w:p w14:paraId="4F375D39" w14:textId="7AE3DDE3" w:rsidR="00793763" w:rsidRPr="005060BD" w:rsidRDefault="00793763" w:rsidP="00793763">
      <w:pPr>
        <w:rPr>
          <w:color w:val="1F3864" w:themeColor="accent1" w:themeShade="80"/>
        </w:rPr>
      </w:pPr>
      <w:r>
        <w:t xml:space="preserve">94. </w:t>
      </w:r>
      <w:r>
        <w:tab/>
      </w:r>
      <w:r w:rsidRPr="005060BD">
        <w:rPr>
          <w:color w:val="1F3864" w:themeColor="accent1" w:themeShade="80"/>
        </w:rPr>
        <w:t xml:space="preserve">En cuanto a la </w:t>
      </w:r>
      <w:r w:rsidRPr="005060BD">
        <w:rPr>
          <w:i/>
          <w:iCs/>
          <w:color w:val="1F3864" w:themeColor="accent1" w:themeShade="80"/>
        </w:rPr>
        <w:t>forma</w:t>
      </w:r>
      <w:r w:rsidRPr="005060BD">
        <w:rPr>
          <w:color w:val="1F3864" w:themeColor="accent1" w:themeShade="80"/>
        </w:rPr>
        <w:t xml:space="preserve">, </w:t>
      </w:r>
      <w:r w:rsidR="004D383F" w:rsidRPr="005060BD">
        <w:rPr>
          <w:color w:val="1F3864" w:themeColor="accent1" w:themeShade="80"/>
        </w:rPr>
        <w:t xml:space="preserve">adopta </w:t>
      </w:r>
      <w:r w:rsidRPr="005060BD">
        <w:rPr>
          <w:color w:val="1F3864" w:themeColor="accent1" w:themeShade="80"/>
        </w:rPr>
        <w:t xml:space="preserve">la forma del </w:t>
      </w:r>
      <w:r w:rsidR="0058508A" w:rsidRPr="005060BD">
        <w:rPr>
          <w:color w:val="1F3864" w:themeColor="accent1" w:themeShade="80"/>
        </w:rPr>
        <w:t>cuerpo,</w:t>
      </w:r>
      <w:r w:rsidRPr="005060BD">
        <w:rPr>
          <w:color w:val="1F3864" w:themeColor="accent1" w:themeShade="80"/>
        </w:rPr>
        <w:t xml:space="preserve"> en </w:t>
      </w:r>
      <w:r w:rsidR="00D50E6B" w:rsidRPr="005060BD">
        <w:rPr>
          <w:color w:val="1F3864" w:themeColor="accent1" w:themeShade="80"/>
        </w:rPr>
        <w:t>resumen</w:t>
      </w:r>
      <w:r w:rsidRPr="005060BD">
        <w:rPr>
          <w:color w:val="1F3864" w:themeColor="accent1" w:themeShade="80"/>
        </w:rPr>
        <w:t>. Pero en detalle, la piel de los dedos de los pies tiene la forma de capullos de gusanos de seda; la piel de la parte posterior del pie tiene la forma de zapatos; la piel de</w:t>
      </w:r>
      <w:r w:rsidR="00DD2A9B" w:rsidRPr="005060BD">
        <w:rPr>
          <w:color w:val="1F3864" w:themeColor="accent1" w:themeShade="80"/>
        </w:rPr>
        <w:t xml:space="preserve"> </w:t>
      </w:r>
      <w:r w:rsidRPr="005060BD">
        <w:rPr>
          <w:color w:val="1F3864" w:themeColor="accent1" w:themeShade="80"/>
        </w:rPr>
        <w:t>l</w:t>
      </w:r>
      <w:r w:rsidR="00DD2A9B" w:rsidRPr="005060BD">
        <w:rPr>
          <w:color w:val="1F3864" w:themeColor="accent1" w:themeShade="80"/>
        </w:rPr>
        <w:t>a</w:t>
      </w:r>
      <w:r w:rsidRPr="005060BD">
        <w:rPr>
          <w:color w:val="1F3864" w:themeColor="accent1" w:themeShade="80"/>
        </w:rPr>
        <w:t xml:space="preserve"> </w:t>
      </w:r>
      <w:r w:rsidR="00282A39" w:rsidRPr="005060BD">
        <w:rPr>
          <w:color w:val="1F3864" w:themeColor="accent1" w:themeShade="80"/>
        </w:rPr>
        <w:t>pantorrill</w:t>
      </w:r>
      <w:r w:rsidR="00E678D8" w:rsidRPr="005060BD">
        <w:rPr>
          <w:color w:val="1F3864" w:themeColor="accent1" w:themeShade="80"/>
        </w:rPr>
        <w:t>a</w:t>
      </w:r>
      <w:r w:rsidRPr="005060BD">
        <w:rPr>
          <w:color w:val="1F3864" w:themeColor="accent1" w:themeShade="80"/>
        </w:rPr>
        <w:t xml:space="preserve"> tiene la forma de una hoja de palma que envuelve </w:t>
      </w:r>
      <w:r w:rsidR="005B7AA8" w:rsidRPr="005060BD">
        <w:rPr>
          <w:color w:val="1F3864" w:themeColor="accent1" w:themeShade="80"/>
        </w:rPr>
        <w:t xml:space="preserve">el </w:t>
      </w:r>
      <w:r w:rsidRPr="005060BD">
        <w:rPr>
          <w:color w:val="1F3864" w:themeColor="accent1" w:themeShade="80"/>
        </w:rPr>
        <w:t xml:space="preserve">arroz cocido; la piel de los muslos tiene la forma de un largo saco lleno de arroz; la piel de las nalgas tiene la forma de un colador de tela lleno de agua; la piel de la espalda tiene forma de cuero estirado sobre un tablón; la piel del vientre tiene la forma de la piel estirada sobre el cuerpo de un laúd; la piel del pecho es más o menos cuadrada; la piel de ambos brazos tiene la forma </w:t>
      </w:r>
      <w:proofErr w:type="spellStart"/>
      <w:r w:rsidRPr="005060BD">
        <w:rPr>
          <w:color w:val="1F3864" w:themeColor="accent1" w:themeShade="80"/>
        </w:rPr>
        <w:t xml:space="preserve">de </w:t>
      </w:r>
      <w:r w:rsidR="00E049C3" w:rsidRPr="005060BD">
        <w:rPr>
          <w:color w:val="1F3864" w:themeColor="accent1" w:themeShade="80"/>
        </w:rPr>
        <w:t>el</w:t>
      </w:r>
      <w:proofErr w:type="spellEnd"/>
      <w:r w:rsidR="00E049C3" w:rsidRPr="005060BD">
        <w:rPr>
          <w:color w:val="1F3864" w:themeColor="accent1" w:themeShade="80"/>
        </w:rPr>
        <w:t xml:space="preserve"> </w:t>
      </w:r>
      <w:proofErr w:type="spellStart"/>
      <w:r w:rsidR="00E049C3" w:rsidRPr="005060BD">
        <w:rPr>
          <w:color w:val="1F3864" w:themeColor="accent1" w:themeShade="80"/>
        </w:rPr>
        <w:t>cuelo</w:t>
      </w:r>
      <w:proofErr w:type="spellEnd"/>
      <w:r w:rsidRPr="005060BD">
        <w:rPr>
          <w:color w:val="1F3864" w:themeColor="accent1" w:themeShade="80"/>
        </w:rPr>
        <w:t xml:space="preserve"> estirad</w:t>
      </w:r>
      <w:r w:rsidR="00E049C3" w:rsidRPr="005060BD">
        <w:rPr>
          <w:color w:val="1F3864" w:themeColor="accent1" w:themeShade="80"/>
        </w:rPr>
        <w:t>o</w:t>
      </w:r>
      <w:r w:rsidRPr="005060BD">
        <w:rPr>
          <w:color w:val="1F3864" w:themeColor="accent1" w:themeShade="80"/>
        </w:rPr>
        <w:t xml:space="preserve"> sobre un carcaj; la piel del dorso de las manos tiene la forma de una caja de navajas de afeitar, o la forma de un estuche de peine; la piel de los dedos tiene forma de </w:t>
      </w:r>
      <w:r w:rsidR="000878ED" w:rsidRPr="005060BD">
        <w:rPr>
          <w:color w:val="1F3864" w:themeColor="accent1" w:themeShade="80"/>
        </w:rPr>
        <w:t xml:space="preserve">una </w:t>
      </w:r>
      <w:r w:rsidRPr="005060BD">
        <w:rPr>
          <w:color w:val="1F3864" w:themeColor="accent1" w:themeShade="80"/>
        </w:rPr>
        <w:t xml:space="preserve">caja de llaves; la piel del cuello tiene forma de </w:t>
      </w:r>
      <w:r w:rsidR="000878ED" w:rsidRPr="005060BD">
        <w:rPr>
          <w:color w:val="1F3864" w:themeColor="accent1" w:themeShade="80"/>
        </w:rPr>
        <w:t xml:space="preserve">un </w:t>
      </w:r>
      <w:r w:rsidRPr="005060BD">
        <w:rPr>
          <w:color w:val="1F3864" w:themeColor="accent1" w:themeShade="80"/>
        </w:rPr>
        <w:t xml:space="preserve">collar para la garganta; la piel de la cara [252] tiene la forma de un nido de insectos lleno de agujeros; la piel de la cabeza tiene la forma de </w:t>
      </w:r>
      <w:r w:rsidR="00417CB8" w:rsidRPr="005060BD">
        <w:rPr>
          <w:color w:val="1F3864" w:themeColor="accent1" w:themeShade="80"/>
        </w:rPr>
        <w:t>la</w:t>
      </w:r>
      <w:r w:rsidRPr="005060BD">
        <w:rPr>
          <w:color w:val="1F3864" w:themeColor="accent1" w:themeShade="80"/>
        </w:rPr>
        <w:t xml:space="preserve"> bo</w:t>
      </w:r>
      <w:r w:rsidR="0034187D" w:rsidRPr="005060BD">
        <w:rPr>
          <w:color w:val="1F3864" w:themeColor="accent1" w:themeShade="80"/>
        </w:rPr>
        <w:t>l</w:t>
      </w:r>
      <w:r w:rsidRPr="005060BD">
        <w:rPr>
          <w:color w:val="1F3864" w:themeColor="accent1" w:themeShade="80"/>
        </w:rPr>
        <w:t>sa</w:t>
      </w:r>
      <w:r w:rsidR="00417CB8" w:rsidRPr="005060BD">
        <w:rPr>
          <w:color w:val="1F3864" w:themeColor="accent1" w:themeShade="80"/>
        </w:rPr>
        <w:t xml:space="preserve"> </w:t>
      </w:r>
      <w:r w:rsidR="005060BD" w:rsidRPr="005060BD">
        <w:rPr>
          <w:color w:val="1F3864" w:themeColor="accent1" w:themeShade="80"/>
        </w:rPr>
        <w:t xml:space="preserve">de </w:t>
      </w:r>
      <w:r w:rsidR="00417CB8" w:rsidRPr="005060BD">
        <w:rPr>
          <w:color w:val="1F3864" w:themeColor="accent1" w:themeShade="80"/>
        </w:rPr>
        <w:t>un cuenco</w:t>
      </w:r>
      <w:r w:rsidRPr="005060BD">
        <w:rPr>
          <w:color w:val="1F3864" w:themeColor="accent1" w:themeShade="80"/>
        </w:rPr>
        <w:t>.</w:t>
      </w:r>
    </w:p>
    <w:p w14:paraId="5EB9D75D" w14:textId="5BE3DDDF" w:rsidR="00793763" w:rsidRDefault="00793763" w:rsidP="00793763">
      <w:r>
        <w:t xml:space="preserve">95. </w:t>
      </w:r>
      <w:r>
        <w:tab/>
        <w:t>El meditador que est</w:t>
      </w:r>
      <w:r w:rsidR="00417CB8">
        <w:t>é</w:t>
      </w:r>
      <w:r>
        <w:t xml:space="preserve"> discerniendo </w:t>
      </w:r>
      <w:r w:rsidR="00417CB8">
        <w:t xml:space="preserve">sobre </w:t>
      </w:r>
      <w:r>
        <w:t xml:space="preserve">la piel debe primero definir la piel interna que cubre la cara, trabajando su conocimiento sobre la cara comenzando con el labio superior. A continuación, la piel interna del hueso frontal. A continuación, debe definir la piel interna de la cabeza, separando, por así decirlo, la conexión de la piel interna con el hueso insertando su conocimiento entre el hueso del cráneo y la piel interna de la cabeza, como lo haría con su mano </w:t>
      </w:r>
      <w:r w:rsidR="00E4462E">
        <w:t>al meterl</w:t>
      </w:r>
      <w:r w:rsidR="00921629">
        <w:t>a</w:t>
      </w:r>
      <w:r w:rsidR="00E4462E">
        <w:t xml:space="preserve"> </w:t>
      </w:r>
      <w:r w:rsidR="00921629">
        <w:t>entre</w:t>
      </w:r>
      <w:r w:rsidR="00E4462E">
        <w:t xml:space="preserve"> la bolsa </w:t>
      </w:r>
      <w:r>
        <w:t xml:space="preserve">y el cuenco. A continuación, la piel interior de los hombros. A continuación, la piel interna del brazo derecho hacia adelante y hacia atrás; y luego de la </w:t>
      </w:r>
      <w:r w:rsidR="00035209">
        <w:t>misma manera la piel interna del brazo izquierdo. Luego, después de definir la piel interna de la espalda, deberá definir la piel interna de la pierna derecha hacia adelante y hacia atrás; luego la</w:t>
      </w:r>
    </w:p>
    <w:p w14:paraId="6E6E10D9" w14:textId="77777777" w:rsidR="00793763" w:rsidRDefault="00793763">
      <w:pPr>
        <w:tabs>
          <w:tab w:val="clear" w:pos="425"/>
        </w:tabs>
        <w:spacing w:after="160"/>
      </w:pPr>
      <w:r>
        <w:br w:type="page"/>
      </w:r>
    </w:p>
    <w:p w14:paraId="04BC1CC1" w14:textId="4DBCB7CC" w:rsidR="006C27FE" w:rsidRDefault="006C27FE" w:rsidP="006C27FE">
      <w:r>
        <w:lastRenderedPageBreak/>
        <w:t>piel interna de la pierna izquierda de la misma manera. A continuación, se debe</w:t>
      </w:r>
      <w:r w:rsidR="0099217A">
        <w:t>r</w:t>
      </w:r>
      <w:r w:rsidR="002D3FB7">
        <w:t>á</w:t>
      </w:r>
      <w:r>
        <w:t xml:space="preserve"> definir sucesivamente la piel interna de la ingle, la barriga, el </w:t>
      </w:r>
      <w:r w:rsidR="002D3FB7">
        <w:t xml:space="preserve">pecho </w:t>
      </w:r>
      <w:r>
        <w:t>y el cuello. Luego, después de haber definido la piel interna de la mandíbula inferior seguida de la del cuello, debe terminar al llegar al labio inferior. Cuando lo disciern</w:t>
      </w:r>
      <w:r w:rsidR="0025141B">
        <w:t>a</w:t>
      </w:r>
      <w:r>
        <w:t xml:space="preserve"> </w:t>
      </w:r>
      <w:r w:rsidR="00E5322E">
        <w:t>de forma burda</w:t>
      </w:r>
      <w:r>
        <w:t xml:space="preserve"> de esta manera, </w:t>
      </w:r>
      <w:r w:rsidR="00E5322E">
        <w:t xml:space="preserve">también </w:t>
      </w:r>
      <w:r>
        <w:t>se v</w:t>
      </w:r>
      <w:r w:rsidR="00E5322E">
        <w:t>o</w:t>
      </w:r>
      <w:r>
        <w:t>lve</w:t>
      </w:r>
      <w:r w:rsidR="00E5322E">
        <w:t>rá</w:t>
      </w:r>
      <w:r>
        <w:t xml:space="preserve"> evidente para él más sutilmente.</w:t>
      </w:r>
    </w:p>
    <w:p w14:paraId="3FA7C90B" w14:textId="2E54A9F9" w:rsidR="006C27FE" w:rsidRDefault="006C27FE" w:rsidP="006C27FE">
      <w:r>
        <w:t xml:space="preserve">96. </w:t>
      </w:r>
      <w:r>
        <w:tab/>
        <w:t xml:space="preserve">En cuanto a la dirección, se encuentra en ambas direcciones. En cuanto a la </w:t>
      </w:r>
      <w:r w:rsidRPr="00863D0D">
        <w:rPr>
          <w:i/>
          <w:iCs/>
        </w:rPr>
        <w:t>ubicación</w:t>
      </w:r>
      <w:r>
        <w:t xml:space="preserve">, cubre todo el cuerpo. En cuanto a la </w:t>
      </w:r>
      <w:r w:rsidRPr="00863D0D">
        <w:rPr>
          <w:i/>
          <w:iCs/>
        </w:rPr>
        <w:t>delimitación</w:t>
      </w:r>
      <w:r>
        <w:t xml:space="preserve">, está </w:t>
      </w:r>
      <w:r w:rsidR="00E5322E">
        <w:t>de</w:t>
      </w:r>
      <w:r>
        <w:t xml:space="preserve">limitada </w:t>
      </w:r>
      <w:r w:rsidR="00D864CF">
        <w:t>hacia el interior</w:t>
      </w:r>
      <w:r>
        <w:t xml:space="preserve"> por su superficie fija, y </w:t>
      </w:r>
      <w:r w:rsidR="005348A9">
        <w:t xml:space="preserve">hacia el exterior </w:t>
      </w:r>
      <w:r>
        <w:t>por el espacio…</w:t>
      </w:r>
    </w:p>
    <w:p w14:paraId="22D875ED" w14:textId="77777777" w:rsidR="006C27FE" w:rsidRDefault="006C27FE" w:rsidP="006C27FE">
      <w:pPr>
        <w:jc w:val="center"/>
      </w:pPr>
      <w:r>
        <w:t>[</w:t>
      </w:r>
      <w:r w:rsidRPr="006C27FE">
        <w:rPr>
          <w:i/>
          <w:iCs/>
        </w:rPr>
        <w:t>Carne</w:t>
      </w:r>
      <w:r>
        <w:t>]</w:t>
      </w:r>
    </w:p>
    <w:p w14:paraId="6530D126" w14:textId="5D3F48C0" w:rsidR="006C27FE" w:rsidRDefault="006C27FE" w:rsidP="006C27FE">
      <w:r>
        <w:t xml:space="preserve">97. </w:t>
      </w:r>
      <w:r>
        <w:tab/>
      </w:r>
      <w:r w:rsidR="00E45AF5">
        <w:t>Existen</w:t>
      </w:r>
      <w:r>
        <w:t xml:space="preserve"> novecient</w:t>
      </w:r>
      <w:r w:rsidR="00E45AF5">
        <w:t>a</w:t>
      </w:r>
      <w:r>
        <w:t xml:space="preserve">s </w:t>
      </w:r>
      <w:r w:rsidR="00E45AF5">
        <w:t xml:space="preserve">partes hechas </w:t>
      </w:r>
      <w:r>
        <w:t xml:space="preserve">de carne. En cuanto al </w:t>
      </w:r>
      <w:r w:rsidRPr="00863D0D">
        <w:rPr>
          <w:i/>
          <w:iCs/>
        </w:rPr>
        <w:t>color</w:t>
      </w:r>
      <w:r>
        <w:t xml:space="preserve">, todo </w:t>
      </w:r>
      <w:r w:rsidR="00CF61BE">
        <w:t xml:space="preserve">es </w:t>
      </w:r>
      <w:r>
        <w:t xml:space="preserve">rojo, como las </w:t>
      </w:r>
      <w:r w:rsidR="00CF61BE">
        <w:t xml:space="preserve">de las </w:t>
      </w:r>
      <w:r>
        <w:t xml:space="preserve">flores de </w:t>
      </w:r>
      <w:proofErr w:type="spellStart"/>
      <w:r w:rsidRPr="00CF61BE">
        <w:rPr>
          <w:i/>
          <w:iCs/>
        </w:rPr>
        <w:t>kiṃsuka</w:t>
      </w:r>
      <w:proofErr w:type="spellEnd"/>
      <w:r>
        <w:t xml:space="preserve">. En cuanto a la </w:t>
      </w:r>
      <w:r w:rsidRPr="00863D0D">
        <w:rPr>
          <w:i/>
          <w:iCs/>
        </w:rPr>
        <w:t>forma</w:t>
      </w:r>
      <w:r>
        <w:t>, la carne de l</w:t>
      </w:r>
      <w:r w:rsidR="00CF61BE">
        <w:t>a</w:t>
      </w:r>
      <w:r>
        <w:t xml:space="preserve">s </w:t>
      </w:r>
      <w:r w:rsidR="00CF61BE">
        <w:t xml:space="preserve">pantorrillas </w:t>
      </w:r>
      <w:r>
        <w:t>tiene la forma de una bolsa de hoja de palma</w:t>
      </w:r>
      <w:r w:rsidR="005348A9" w:rsidRPr="005348A9">
        <w:t xml:space="preserve"> </w:t>
      </w:r>
      <w:r w:rsidR="008162C8">
        <w:t xml:space="preserve">que contiene </w:t>
      </w:r>
      <w:r w:rsidR="005348A9">
        <w:t>arroz cocido</w:t>
      </w:r>
      <w:r>
        <w:t>. La carne de los muslos tiene la forma de un rodillo.</w:t>
      </w:r>
      <w:r w:rsidRPr="000B3CE0">
        <w:rPr>
          <w:vertAlign w:val="superscript"/>
        </w:rPr>
        <w:t>23</w:t>
      </w:r>
      <w:r>
        <w:t xml:space="preserve"> La carne de las nalgas tiene la forma del extremo de un horno. La carne de la espalda tiene la forma de una losa de palma</w:t>
      </w:r>
      <w:r w:rsidR="008162C8" w:rsidRPr="008162C8">
        <w:t xml:space="preserve"> </w:t>
      </w:r>
      <w:r w:rsidR="008162C8">
        <w:t>de azúcar</w:t>
      </w:r>
      <w:r>
        <w:t>. La carne entre cada dos costillas tiene la forma de un mortero de arcilla exprimido en una abertura aplanada. La carne del pecho tiene la forma de un trozo de arcilla convertido en una bola y arrojado hacia abajo. La carne de los dos brazos superiores tiene la forma de una gran rata de piel y doble e</w:t>
      </w:r>
      <w:r w:rsidR="00AE29B7">
        <w:t>n</w:t>
      </w:r>
      <w:r>
        <w:t xml:space="preserve"> tamaño. Cuando </w:t>
      </w:r>
      <w:r w:rsidR="00AE29B7">
        <w:t>se</w:t>
      </w:r>
      <w:r>
        <w:t xml:space="preserve"> disciern</w:t>
      </w:r>
      <w:r w:rsidR="00AE29B7">
        <w:t>a</w:t>
      </w:r>
      <w:r>
        <w:t xml:space="preserve"> </w:t>
      </w:r>
      <w:r w:rsidR="00AE29B7">
        <w:t>así, burdamente</w:t>
      </w:r>
      <w:r>
        <w:t xml:space="preserve">, también se </w:t>
      </w:r>
      <w:r w:rsidR="00AE29B7">
        <w:t>hará</w:t>
      </w:r>
      <w:r>
        <w:t xml:space="preserve"> </w:t>
      </w:r>
      <w:r w:rsidR="00AE29B7">
        <w:t xml:space="preserve">evidentemente </w:t>
      </w:r>
      <w:r>
        <w:t>sutil para él.</w:t>
      </w:r>
    </w:p>
    <w:p w14:paraId="1CD486A8" w14:textId="40DCC33E" w:rsidR="006C27FE" w:rsidRDefault="006C27FE" w:rsidP="006C27FE">
      <w:r>
        <w:t xml:space="preserve">98. </w:t>
      </w:r>
      <w:r>
        <w:tab/>
        <w:t xml:space="preserve">En cuanto a la </w:t>
      </w:r>
      <w:r w:rsidRPr="00E90DC0">
        <w:rPr>
          <w:i/>
          <w:iCs/>
        </w:rPr>
        <w:t>dirección</w:t>
      </w:r>
      <w:r>
        <w:t xml:space="preserve">, se encuentra en ambas direcciones. En cuanto a la </w:t>
      </w:r>
      <w:r w:rsidRPr="00E90DC0">
        <w:rPr>
          <w:i/>
          <w:iCs/>
        </w:rPr>
        <w:t>ubicación</w:t>
      </w:r>
      <w:r>
        <w:t xml:space="preserve">, está pegada sobre los </w:t>
      </w:r>
      <w:r w:rsidR="00225037">
        <w:t xml:space="preserve">más de </w:t>
      </w:r>
      <w:r>
        <w:t xml:space="preserve">trescientos huesos. [253] En cuanto a la </w:t>
      </w:r>
      <w:r w:rsidRPr="00E90DC0">
        <w:rPr>
          <w:i/>
          <w:iCs/>
        </w:rPr>
        <w:t>delimitación</w:t>
      </w:r>
      <w:r>
        <w:t xml:space="preserve">, está delimitada </w:t>
      </w:r>
      <w:r w:rsidR="00B86E39">
        <w:t>hacia el interior</w:t>
      </w:r>
      <w:r>
        <w:t xml:space="preserve"> por su superficie, que está fijada </w:t>
      </w:r>
      <w:r w:rsidR="00446F74">
        <w:t>sobre</w:t>
      </w:r>
      <w:r>
        <w:t xml:space="preserve"> la colección de huesos, y </w:t>
      </w:r>
      <w:r w:rsidR="00446F74">
        <w:t xml:space="preserve">hacia </w:t>
      </w:r>
      <w:r w:rsidR="00B86E39">
        <w:t xml:space="preserve">el exterior </w:t>
      </w:r>
      <w:r>
        <w:t xml:space="preserve">por la piel, y alrededor de cada uno por cada uno </w:t>
      </w:r>
      <w:r w:rsidR="00B86E39">
        <w:t xml:space="preserve">por </w:t>
      </w:r>
      <w:r>
        <w:t>los otros pedazos</w:t>
      </w:r>
      <w:r w:rsidR="00446F74">
        <w:t xml:space="preserve"> de carne</w:t>
      </w:r>
      <w:r>
        <w:t>...</w:t>
      </w:r>
    </w:p>
    <w:p w14:paraId="203EAB6E" w14:textId="51A009B0" w:rsidR="006C27FE" w:rsidRDefault="006C27FE" w:rsidP="006C27FE">
      <w:pPr>
        <w:jc w:val="center"/>
      </w:pPr>
      <w:r>
        <w:t>[</w:t>
      </w:r>
      <w:r w:rsidR="009767A8">
        <w:rPr>
          <w:i/>
          <w:iCs/>
        </w:rPr>
        <w:t>Tendones</w:t>
      </w:r>
      <w:r>
        <w:t>]</w:t>
      </w:r>
    </w:p>
    <w:p w14:paraId="1F4370FB" w14:textId="46713BE5" w:rsidR="006C27FE" w:rsidRDefault="006C27FE" w:rsidP="006C27FE">
      <w:r>
        <w:t xml:space="preserve">99. </w:t>
      </w:r>
      <w:r>
        <w:tab/>
      </w:r>
      <w:r w:rsidR="00B86E39">
        <w:t>Existen</w:t>
      </w:r>
      <w:r>
        <w:t xml:space="preserve"> novecientos tendones</w:t>
      </w:r>
      <w:r w:rsidR="00B86E39">
        <w:t xml:space="preserve"> en el cuerpo</w:t>
      </w:r>
      <w:r>
        <w:t xml:space="preserve">. En cuanto al </w:t>
      </w:r>
      <w:r w:rsidRPr="00E90DC0">
        <w:rPr>
          <w:i/>
          <w:iCs/>
        </w:rPr>
        <w:t>color</w:t>
      </w:r>
      <w:r>
        <w:t xml:space="preserve">, todos los tendones son blancos. En cuanto a la forma, tienen varias formas. </w:t>
      </w:r>
      <w:r w:rsidR="00FB7A67">
        <w:t xml:space="preserve">Ya </w:t>
      </w:r>
      <w:r>
        <w:t xml:space="preserve">que cinco de los grandes tendones que unen </w:t>
      </w:r>
      <w:r w:rsidR="00C11174">
        <w:t>a</w:t>
      </w:r>
      <w:r>
        <w:t xml:space="preserve">l cuerpo parten de la parte superior del cuello y descienden por la parte delantera, y otros cinco por la espalda, y luego cinco por la derecha y cinco por la izquierda. Y de los que atan la mano derecha, cinco descienden por el frente de la mano y cinco por el dorso; asimismo los que atan la mano izquierda. Y de los que </w:t>
      </w:r>
      <w:r w:rsidR="00DA2E2C">
        <w:t xml:space="preserve">cubren </w:t>
      </w:r>
      <w:r>
        <w:t xml:space="preserve">el pie derecho, cinco descienden por delante y cinco por detrás; asimismo los que </w:t>
      </w:r>
      <w:r w:rsidR="00DA2E2C">
        <w:t xml:space="preserve">cubren </w:t>
      </w:r>
      <w:r>
        <w:t xml:space="preserve">el pie izquierdo. Así que </w:t>
      </w:r>
      <w:r w:rsidR="00D15024">
        <w:t>existe</w:t>
      </w:r>
      <w:r>
        <w:t xml:space="preserve"> sesenta grandes tendones llamados “soportes del cuerpo” que descienden desde el cuello y </w:t>
      </w:r>
      <w:r w:rsidR="00DA2E2C">
        <w:t xml:space="preserve">se </w:t>
      </w:r>
      <w:r>
        <w:t>unen el cuerpo; y también se les llama “tendones”. Todos tienen la forma de</w:t>
      </w:r>
      <w:r w:rsidR="00285605">
        <w:t>l</w:t>
      </w:r>
      <w:r>
        <w:t xml:space="preserve"> brote de </w:t>
      </w:r>
      <w:r w:rsidRPr="00DA2E2C">
        <w:rPr>
          <w:i/>
          <w:iCs/>
        </w:rPr>
        <w:t>ñame</w:t>
      </w:r>
      <w:r>
        <w:t>. Pero hay otras esparcidas por varias partes del cuerpo, que son más fin</w:t>
      </w:r>
      <w:r w:rsidR="00377AC1">
        <w:t>o</w:t>
      </w:r>
      <w:r>
        <w:t>s que l</w:t>
      </w:r>
      <w:r w:rsidR="00377AC1">
        <w:t>o</w:t>
      </w:r>
      <w:r>
        <w:t>s últim</w:t>
      </w:r>
      <w:r w:rsidR="00377AC1">
        <w:t>o</w:t>
      </w:r>
      <w:r>
        <w:t xml:space="preserve">s. Tienen la forma de cuerdas y </w:t>
      </w:r>
      <w:r w:rsidR="00FD1485">
        <w:t>filamentos</w:t>
      </w:r>
      <w:r>
        <w:t>. Hay otr</w:t>
      </w:r>
      <w:r w:rsidR="00FD1485">
        <w:t>o</w:t>
      </w:r>
      <w:r>
        <w:t>s aún más fin</w:t>
      </w:r>
      <w:r w:rsidR="00FD1485">
        <w:t>o</w:t>
      </w:r>
      <w:r>
        <w:t xml:space="preserve">s, con forma de enredaderas. Otros aún más finos tienen la forma de grandes cuerdas de laúd. Sin embargo, otros tienen la forma de </w:t>
      </w:r>
      <w:r w:rsidR="005B749A">
        <w:t>un filamento</w:t>
      </w:r>
      <w:r>
        <w:t xml:space="preserve"> grueso. Los tendones en el dorso de las manos y los pies tienen la forma de una garra de pájaro. Los tendones de la cabeza tienen la forma de redes </w:t>
      </w:r>
      <w:r w:rsidR="005B749A">
        <w:t>en</w:t>
      </w:r>
      <w:r>
        <w:t xml:space="preserve"> la cabeza de los niños. Los tendones en la espalda </w:t>
      </w:r>
      <w:r w:rsidR="00035209">
        <w:t>tienen la forma de una red mojada extendida al Sol. El resto de los tendones, siguiendo las</w:t>
      </w:r>
    </w:p>
    <w:p w14:paraId="28A2ACAB" w14:textId="77777777" w:rsidR="006C27FE" w:rsidRDefault="006C27FE" w:rsidP="006C27FE">
      <w:pPr>
        <w:pStyle w:val="PiedepginaLegal"/>
        <w:rPr>
          <w:u w:val="single"/>
        </w:rPr>
      </w:pPr>
      <w:r>
        <w:rPr>
          <w:u w:val="single"/>
        </w:rPr>
        <w:tab/>
      </w:r>
      <w:r>
        <w:rPr>
          <w:u w:val="single"/>
        </w:rPr>
        <w:tab/>
      </w:r>
      <w:r>
        <w:rPr>
          <w:u w:val="single"/>
        </w:rPr>
        <w:tab/>
      </w:r>
      <w:r>
        <w:rPr>
          <w:u w:val="single"/>
        </w:rPr>
        <w:tab/>
        <w:t>.</w:t>
      </w:r>
    </w:p>
    <w:p w14:paraId="1DF2B999" w14:textId="37D381F7" w:rsidR="006C27FE" w:rsidRDefault="006C27FE" w:rsidP="006C27FE">
      <w:pPr>
        <w:pStyle w:val="PiedepginaLegal"/>
      </w:pPr>
      <w:r>
        <w:t xml:space="preserve">23. </w:t>
      </w:r>
      <w:r>
        <w:tab/>
      </w:r>
      <w:proofErr w:type="spellStart"/>
      <w:r w:rsidRPr="00E90DC0">
        <w:rPr>
          <w:i/>
          <w:iCs/>
        </w:rPr>
        <w:t>Nisadapota</w:t>
      </w:r>
      <w:proofErr w:type="spellEnd"/>
      <w:r>
        <w:t xml:space="preserve">— “rodillo de amasar”: (= </w:t>
      </w:r>
      <w:proofErr w:type="spellStart"/>
      <w:r w:rsidRPr="00E90DC0">
        <w:rPr>
          <w:i/>
          <w:iCs/>
        </w:rPr>
        <w:t>silā-puttak</w:t>
      </w:r>
      <w:r>
        <w:t>a</w:t>
      </w:r>
      <w:proofErr w:type="spellEnd"/>
      <w:r>
        <w:t>—</w:t>
      </w:r>
      <w:proofErr w:type="spellStart"/>
      <w:r>
        <w:t>Vism-mhṭ</w:t>
      </w:r>
      <w:proofErr w:type="spellEnd"/>
      <w:r>
        <w:t xml:space="preserve"> 250) Lo que se quiere decir es probablemente el rodillo de piedra, más grueso en el medio que en los extremos, con el que normalmente se enrollan </w:t>
      </w:r>
      <w:r w:rsidR="00585372">
        <w:t xml:space="preserve">en la actualidad </w:t>
      </w:r>
      <w:r>
        <w:t xml:space="preserve">las especias de curry, etc. </w:t>
      </w:r>
      <w:r w:rsidR="00585372">
        <w:t xml:space="preserve">a </w:t>
      </w:r>
      <w:r>
        <w:t xml:space="preserve">mano en una pequeña </w:t>
      </w:r>
      <w:proofErr w:type="gramStart"/>
      <w:r>
        <w:t>losa de piedra</w:t>
      </w:r>
      <w:proofErr w:type="gramEnd"/>
      <w:r w:rsidR="00585372">
        <w:t>,</w:t>
      </w:r>
      <w:r>
        <w:t xml:space="preserve"> en Sri Lanka.</w:t>
      </w:r>
      <w:r>
        <w:br w:type="page"/>
      </w:r>
    </w:p>
    <w:p w14:paraId="24F4EA9C" w14:textId="1A5EEB2F" w:rsidR="00FA4218" w:rsidRDefault="00FA4218" w:rsidP="00FA4218">
      <w:r>
        <w:lastRenderedPageBreak/>
        <w:t>distintas extremidades, tienen la forma de una chaqueta de red ceñida al cuerpo.</w:t>
      </w:r>
    </w:p>
    <w:p w14:paraId="62D92342" w14:textId="737455C2" w:rsidR="00FA4218" w:rsidRDefault="00FA4218" w:rsidP="00FA4218">
      <w:r>
        <w:t xml:space="preserve">100. </w:t>
      </w:r>
      <w:r>
        <w:tab/>
        <w:t xml:space="preserve">En cuanto a la </w:t>
      </w:r>
      <w:r w:rsidRPr="00E90DC0">
        <w:rPr>
          <w:i/>
          <w:iCs/>
        </w:rPr>
        <w:t>dirección</w:t>
      </w:r>
      <w:r>
        <w:t xml:space="preserve">, </w:t>
      </w:r>
      <w:r w:rsidR="009C0BDA">
        <w:t>se encuentran</w:t>
      </w:r>
      <w:r>
        <w:t xml:space="preserve"> en las dos direcciones. En cuanto a la ubicación, se encuentran uniendo los huesos de todo el cuerpo. En cuanto a la </w:t>
      </w:r>
      <w:r w:rsidRPr="00E90DC0">
        <w:rPr>
          <w:i/>
          <w:iCs/>
        </w:rPr>
        <w:t>delimitación</w:t>
      </w:r>
      <w:r>
        <w:t>, están limitad</w:t>
      </w:r>
      <w:r w:rsidR="005B1C13">
        <w:t>o</w:t>
      </w:r>
      <w:r>
        <w:t xml:space="preserve">s </w:t>
      </w:r>
      <w:r w:rsidR="005B1C13">
        <w:t>hacia</w:t>
      </w:r>
      <w:r>
        <w:t xml:space="preserve"> </w:t>
      </w:r>
      <w:r w:rsidR="005B1C13">
        <w:t>el interior</w:t>
      </w:r>
      <w:r>
        <w:t xml:space="preserve"> por su superficie, fijada a los trescientos huesos, y </w:t>
      </w:r>
      <w:r w:rsidR="008C4127">
        <w:t xml:space="preserve">externamente </w:t>
      </w:r>
      <w:r w:rsidR="00CF2729">
        <w:t xml:space="preserve">por </w:t>
      </w:r>
      <w:r>
        <w:t xml:space="preserve">las partes </w:t>
      </w:r>
      <w:r w:rsidR="008C4127">
        <w:t xml:space="preserve">que </w:t>
      </w:r>
      <w:r>
        <w:t xml:space="preserve">están en contacto con la carne y la piel interna, y alrededor unas </w:t>
      </w:r>
      <w:r w:rsidR="006931FE">
        <w:t xml:space="preserve">por </w:t>
      </w:r>
      <w:r>
        <w:t>otras…</w:t>
      </w:r>
    </w:p>
    <w:p w14:paraId="3F2A8AD8" w14:textId="77777777" w:rsidR="00FA4218" w:rsidRDefault="00FA4218" w:rsidP="00FA4218">
      <w:pPr>
        <w:jc w:val="center"/>
      </w:pPr>
      <w:r>
        <w:t>[</w:t>
      </w:r>
      <w:r w:rsidRPr="00FA4218">
        <w:rPr>
          <w:i/>
          <w:iCs/>
        </w:rPr>
        <w:t>Huesos</w:t>
      </w:r>
      <w:r>
        <w:t>]</w:t>
      </w:r>
    </w:p>
    <w:p w14:paraId="5E1D6193" w14:textId="030EA7A8" w:rsidR="00FA4218" w:rsidRDefault="00FA4218" w:rsidP="00FA4218">
      <w:r>
        <w:t xml:space="preserve">101. </w:t>
      </w:r>
      <w:r>
        <w:tab/>
        <w:t xml:space="preserve">Exceptuando los treinta y dos dientes, estos consisten </w:t>
      </w:r>
      <w:r w:rsidR="00D876E5">
        <w:t>de</w:t>
      </w:r>
      <w:r>
        <w:t xml:space="preserve"> los restantes sesenta y cuatro huesos de la mano, sesenta y cuatro huesos del pie, sesenta y cuatro huesos blandos dependientes de la carne, dos huesos del talón; luego en cada pierna dos huesos del tobillo, dos huesos de la espinilla, un hueso de la rodilla y un hueso del muslo; luego dos huesos de la cadera, dieciocho huesos de la columna vertebral, [254] veinticuatro huesos de las costillas, catorce huesos del pecho, un hueso del corazón (esternón), dos clavículas, dos huesos del omóplato,</w:t>
      </w:r>
      <w:r w:rsidRPr="004F173E">
        <w:rPr>
          <w:vertAlign w:val="superscript"/>
        </w:rPr>
        <w:t>24</w:t>
      </w:r>
      <w:r>
        <w:t xml:space="preserve"> dos huesos de la parte superior del brazo, dos pares de huesos del antebrazo, dos huesos del cuello, dos huesos de la mandíbula, un hueso de la nariz, dos huesos del ojo, dos huesos del oído, un hueso frontal, un hueso occipital, nueve huesos </w:t>
      </w:r>
      <w:proofErr w:type="spellStart"/>
      <w:r>
        <w:t>sincipitales</w:t>
      </w:r>
      <w:proofErr w:type="spellEnd"/>
      <w:r>
        <w:t xml:space="preserve">. Así que hay exactamente trescientos huesos. En cuanto al </w:t>
      </w:r>
      <w:r w:rsidRPr="00E90DC0">
        <w:rPr>
          <w:i/>
          <w:iCs/>
        </w:rPr>
        <w:t>color</w:t>
      </w:r>
      <w:r>
        <w:t xml:space="preserve">, son todos blancos. En cuanto a la </w:t>
      </w:r>
      <w:r w:rsidRPr="00E90DC0">
        <w:rPr>
          <w:i/>
          <w:iCs/>
        </w:rPr>
        <w:t>forma</w:t>
      </w:r>
      <w:r>
        <w:t>, son de varias formas.</w:t>
      </w:r>
    </w:p>
    <w:p w14:paraId="5FC725FD" w14:textId="77777777" w:rsidR="00980307" w:rsidRDefault="00FA4218" w:rsidP="00FA4218">
      <w:r>
        <w:t xml:space="preserve">102. </w:t>
      </w:r>
      <w:r>
        <w:tab/>
        <w:t xml:space="preserve">Aquí, los huesos de los extremos de los dedos de los pies tienen la forma de semillas de </w:t>
      </w:r>
      <w:r w:rsidR="00E90DC0">
        <w:br/>
      </w:r>
      <w:proofErr w:type="spellStart"/>
      <w:r w:rsidRPr="00E90DC0">
        <w:rPr>
          <w:i/>
          <w:iCs/>
        </w:rPr>
        <w:t>kataka</w:t>
      </w:r>
      <w:proofErr w:type="spellEnd"/>
      <w:r>
        <w:t xml:space="preserve">. Los que están al lado de ellos en las secciones centrales tienen la forma de semillas de </w:t>
      </w:r>
      <w:r w:rsidRPr="00835ACA">
        <w:rPr>
          <w:i/>
          <w:iCs/>
        </w:rPr>
        <w:t>jaca</w:t>
      </w:r>
      <w:r>
        <w:t xml:space="preserve">. Los huesos de las secciones de la base tienen la forma de pequeños tambores. Los huesos de la parte posterior del pie tienen la forma de un </w:t>
      </w:r>
      <w:r w:rsidR="006D7C43">
        <w:t>grupo</w:t>
      </w:r>
    </w:p>
    <w:p w14:paraId="28352DD4" w14:textId="521A8E05" w:rsidR="00FA4218" w:rsidRDefault="00FA4218" w:rsidP="00FA4218">
      <w:r>
        <w:t xml:space="preserve"> de hilos magullados. El hueso del talón tiene la forma de la semilla de una fruta de palmira </w:t>
      </w:r>
      <w:r w:rsidR="00C76450">
        <w:t xml:space="preserve">y es </w:t>
      </w:r>
      <w:r>
        <w:t>de un solo hueso.</w:t>
      </w:r>
    </w:p>
    <w:p w14:paraId="1B2BE74C" w14:textId="3F830825" w:rsidR="00FA4218" w:rsidRDefault="00FA4218" w:rsidP="00FA4218">
      <w:r>
        <w:t xml:space="preserve">103. </w:t>
      </w:r>
      <w:r>
        <w:tab/>
        <w:t xml:space="preserve">Los huesos del tobillo tienen la forma de [dos] pelotas </w:t>
      </w:r>
      <w:r w:rsidR="00B31054">
        <w:t xml:space="preserve">deportivas </w:t>
      </w:r>
      <w:r>
        <w:t xml:space="preserve">unidas. Los huesos de la espinilla, en el lugar donde descansan sobre los huesos del tobillo, tienen la forma de un brote de </w:t>
      </w:r>
      <w:r w:rsidRPr="00E90DC0">
        <w:rPr>
          <w:i/>
          <w:iCs/>
        </w:rPr>
        <w:t>sindi</w:t>
      </w:r>
      <w:r>
        <w:t xml:space="preserve"> sin quitar la piel. El pequeño hueso de la espinilla tiene la forma de un palo de arco [de juguete]. El grande tiene la forma de la espalda de una serpiente arrugada. El hueso de la rodilla tiene la forma de un bulto de espuma derretida por un lado. Aquí, el lugar donde descansa el hueso de la espinilla tiene la forma de un cuerno de vaca romo. El hueso del muslo tiene la forma de un mango mal cortado</w:t>
      </w:r>
      <w:r w:rsidRPr="000B3CE0">
        <w:rPr>
          <w:vertAlign w:val="superscript"/>
        </w:rPr>
        <w:t>25</w:t>
      </w:r>
      <w:r>
        <w:t xml:space="preserve"> p</w:t>
      </w:r>
      <w:r w:rsidR="00A80011">
        <w:t>or</w:t>
      </w:r>
      <w:r>
        <w:t xml:space="preserve"> un hacha o </w:t>
      </w:r>
      <w:r w:rsidR="00A80011">
        <w:t>machete</w:t>
      </w:r>
      <w:r>
        <w:t xml:space="preserve">. El lugar donde </w:t>
      </w:r>
      <w:r w:rsidR="00CA7685">
        <w:t xml:space="preserve">éste se </w:t>
      </w:r>
      <w:r>
        <w:t xml:space="preserve">encaja </w:t>
      </w:r>
      <w:r w:rsidR="00CA7685">
        <w:t>a</w:t>
      </w:r>
      <w:r>
        <w:t xml:space="preserve">l hueso de la cadera tiene la forma de una pelota </w:t>
      </w:r>
      <w:r w:rsidR="000A24EC">
        <w:t>deportiva</w:t>
      </w:r>
      <w:r>
        <w:t xml:space="preserve">. El lugar </w:t>
      </w:r>
      <w:r w:rsidR="005D0B02">
        <w:t>d</w:t>
      </w:r>
      <w:r w:rsidR="00C2641F">
        <w:t xml:space="preserve">el hueso </w:t>
      </w:r>
      <w:r w:rsidR="00B5011E">
        <w:t xml:space="preserve">de la cadera </w:t>
      </w:r>
      <w:r w:rsidR="007A7C80">
        <w:t xml:space="preserve">donde éste se coloca </w:t>
      </w:r>
      <w:r>
        <w:t xml:space="preserve">tiene la forma de una gran fruta </w:t>
      </w:r>
      <w:proofErr w:type="spellStart"/>
      <w:r w:rsidRPr="00E90DC0">
        <w:rPr>
          <w:i/>
          <w:iCs/>
        </w:rPr>
        <w:t>punnāga</w:t>
      </w:r>
      <w:proofErr w:type="spellEnd"/>
      <w:r>
        <w:t xml:space="preserve"> con el extremo cortado.</w:t>
      </w:r>
    </w:p>
    <w:p w14:paraId="7E551ACF" w14:textId="2DF218CD" w:rsidR="00FA4218" w:rsidRDefault="00FA4218" w:rsidP="00FA4218">
      <w:r>
        <w:t xml:space="preserve">104. </w:t>
      </w:r>
      <w:r>
        <w:tab/>
        <w:t>Los dos huesos de la cadera, cuando se unen, tienen la forma del anillo de sujeción del martillo de un herrero. El hueso de la nalga en el extremo de ellos tiene la forma de una capucha de serpiente invertida. Está perforado en siete u ocho lugares. Los huesos de la columna vertebral tienen internamente la forma de tubos de láminas de plomo colocados uno encima del otro; externamente tienen la forma de un collar de cuentas. Tienen dos o tres filas de proyecciones una al lado de la otra como los dientes de una sierra.</w:t>
      </w:r>
    </w:p>
    <w:p w14:paraId="2B78367B" w14:textId="77777777" w:rsidR="00FA4218" w:rsidRDefault="00FA4218" w:rsidP="00FA4218">
      <w:pPr>
        <w:pStyle w:val="PiedepginaLegal"/>
        <w:rPr>
          <w:u w:val="single"/>
        </w:rPr>
      </w:pPr>
      <w:r>
        <w:rPr>
          <w:u w:val="single"/>
        </w:rPr>
        <w:tab/>
      </w:r>
      <w:r>
        <w:rPr>
          <w:u w:val="single"/>
        </w:rPr>
        <w:tab/>
      </w:r>
      <w:r>
        <w:rPr>
          <w:u w:val="single"/>
        </w:rPr>
        <w:tab/>
      </w:r>
      <w:r>
        <w:rPr>
          <w:u w:val="single"/>
        </w:rPr>
        <w:tab/>
        <w:t>.</w:t>
      </w:r>
    </w:p>
    <w:p w14:paraId="6C4BEE10" w14:textId="1EDFADD3" w:rsidR="00FA4218" w:rsidRDefault="00FA4218" w:rsidP="00FA4218">
      <w:pPr>
        <w:pStyle w:val="PiedepginaLegal"/>
      </w:pPr>
      <w:r>
        <w:t xml:space="preserve"> 24. </w:t>
      </w:r>
      <w:proofErr w:type="spellStart"/>
      <w:r w:rsidRPr="00E90DC0">
        <w:rPr>
          <w:i/>
          <w:iCs/>
        </w:rPr>
        <w:t>Koṭṭha</w:t>
      </w:r>
      <w:r w:rsidR="00E90DC0">
        <w:rPr>
          <w:i/>
          <w:iCs/>
        </w:rPr>
        <w:t>ṭṭ</w:t>
      </w:r>
      <w:r w:rsidRPr="00E90DC0">
        <w:rPr>
          <w:i/>
          <w:iCs/>
        </w:rPr>
        <w:t>hīni</w:t>
      </w:r>
      <w:proofErr w:type="spellEnd"/>
      <w:r>
        <w:t xml:space="preserve">—“huesos del omóplato”: para </w:t>
      </w:r>
      <w:proofErr w:type="spellStart"/>
      <w:r w:rsidRPr="00E90DC0">
        <w:rPr>
          <w:i/>
          <w:iCs/>
        </w:rPr>
        <w:t>koṭṭha</w:t>
      </w:r>
      <w:proofErr w:type="spellEnd"/>
      <w:r>
        <w:t xml:space="preserve"> (= plano) cf. </w:t>
      </w:r>
      <w:proofErr w:type="spellStart"/>
      <w:r w:rsidRPr="00E90DC0">
        <w:rPr>
          <w:i/>
          <w:iCs/>
        </w:rPr>
        <w:t>koṭṭhalika</w:t>
      </w:r>
      <w:proofErr w:type="spellEnd"/>
      <w:r>
        <w:t xml:space="preserve"> §97; el significado lo exige el contexto, de lo contrario no se haría mención </w:t>
      </w:r>
      <w:proofErr w:type="gramStart"/>
      <w:r w:rsidR="004F173E">
        <w:t>a</w:t>
      </w:r>
      <w:proofErr w:type="gramEnd"/>
      <w:r>
        <w:t xml:space="preserve"> estos dos huesos, </w:t>
      </w:r>
      <w:r w:rsidR="003808A0">
        <w:t>además</w:t>
      </w:r>
      <w:r>
        <w:t xml:space="preserve"> la descripción encaja. </w:t>
      </w:r>
      <w:r w:rsidR="00F949D8">
        <w:t xml:space="preserve">El </w:t>
      </w:r>
      <w:r>
        <w:t xml:space="preserve">PED bajo esta ref. </w:t>
      </w:r>
      <w:r w:rsidR="00A44576">
        <w:t>lo transcribe como</w:t>
      </w:r>
      <w:r>
        <w:t xml:space="preserve"> “hueso del estómago” (?). ¿Se debe leer a-</w:t>
      </w:r>
      <w:proofErr w:type="spellStart"/>
      <w:r w:rsidRPr="00E90DC0">
        <w:rPr>
          <w:i/>
          <w:iCs/>
        </w:rPr>
        <w:t>tikhiṇa</w:t>
      </w:r>
      <w:proofErr w:type="spellEnd"/>
      <w:r>
        <w:t xml:space="preserve"> (contundente) o </w:t>
      </w:r>
      <w:proofErr w:type="spellStart"/>
      <w:r w:rsidRPr="00E90DC0">
        <w:rPr>
          <w:i/>
          <w:iCs/>
        </w:rPr>
        <w:t>ati-khiṇa</w:t>
      </w:r>
      <w:proofErr w:type="spellEnd"/>
      <w:r>
        <w:t xml:space="preserve"> (muy agudo)?</w:t>
      </w:r>
    </w:p>
    <w:p w14:paraId="7D0CE56D" w14:textId="404E7D3E" w:rsidR="00FA4218" w:rsidRDefault="00FA4218" w:rsidP="00FA4218">
      <w:pPr>
        <w:pStyle w:val="PiedepginaLegal"/>
      </w:pPr>
      <w:r>
        <w:t xml:space="preserve"> 25.</w:t>
      </w:r>
      <w:r w:rsidR="00F949D8">
        <w:tab/>
      </w:r>
      <w:proofErr w:type="spellStart"/>
      <w:r w:rsidRPr="00E90DC0">
        <w:rPr>
          <w:i/>
          <w:iCs/>
        </w:rPr>
        <w:t>Duttacchita</w:t>
      </w:r>
      <w:proofErr w:type="spellEnd"/>
      <w:r>
        <w:t>—“mal pelado”: ​​</w:t>
      </w:r>
      <w:proofErr w:type="spellStart"/>
      <w:r w:rsidRPr="00E90DC0">
        <w:rPr>
          <w:i/>
          <w:iCs/>
        </w:rPr>
        <w:t>tacchita</w:t>
      </w:r>
      <w:proofErr w:type="spellEnd"/>
      <w:r>
        <w:t xml:space="preserve">, págs. de </w:t>
      </w:r>
      <w:proofErr w:type="spellStart"/>
      <w:r w:rsidRPr="00E90DC0">
        <w:rPr>
          <w:i/>
          <w:iCs/>
        </w:rPr>
        <w:t>tacchati</w:t>
      </w:r>
      <w:proofErr w:type="spellEnd"/>
      <w:r>
        <w:t xml:space="preserve"> para pelar (por ejemplo, con una azuela); no en PED; véase MI 31.124; III 166.</w:t>
      </w:r>
      <w:r>
        <w:br w:type="page"/>
      </w:r>
    </w:p>
    <w:p w14:paraId="5BE69AF0" w14:textId="0D969D27" w:rsidR="006930F6" w:rsidRDefault="006930F6" w:rsidP="006930F6">
      <w:r>
        <w:lastRenderedPageBreak/>
        <w:t xml:space="preserve">105. </w:t>
      </w:r>
      <w:r w:rsidR="000238B8">
        <w:tab/>
      </w:r>
      <w:r>
        <w:t xml:space="preserve">De las </w:t>
      </w:r>
      <w:r w:rsidR="00695497">
        <w:t>24</w:t>
      </w:r>
      <w:r>
        <w:t xml:space="preserve"> costillas, las incompletas tienen forma de sables incompletos, [255] y las completas tienen forma de sables completos; todos juntos son como las alas extendidas de un gallo blanco. Los catorce huesos del pecho tienen la forma de un viejo armazón de </w:t>
      </w:r>
      <w:r w:rsidR="00756532">
        <w:t xml:space="preserve">una </w:t>
      </w:r>
      <w:r>
        <w:t>carro</w:t>
      </w:r>
      <w:r w:rsidR="00756532">
        <w:t>za</w:t>
      </w:r>
      <w:r>
        <w:t>.</w:t>
      </w:r>
      <w:r w:rsidRPr="000B3CE0">
        <w:rPr>
          <w:vertAlign w:val="superscript"/>
        </w:rPr>
        <w:t>26</w:t>
      </w:r>
      <w:r>
        <w:t xml:space="preserve"> El hueso del corazón (esternón) tiene la forma del cuenco de una cuchara. Las clavículas tienen la forma de pequeños mangos de cuchillos de metal. Los huesos del omóplato tienen la forma de una azada cingalesa </w:t>
      </w:r>
      <w:r w:rsidR="00022F94">
        <w:t>y desgastada</w:t>
      </w:r>
      <w:r>
        <w:t xml:space="preserve"> por un lado.</w:t>
      </w:r>
    </w:p>
    <w:p w14:paraId="38D2CD11" w14:textId="1D74FE9F" w:rsidR="006930F6" w:rsidRDefault="006930F6" w:rsidP="006930F6">
      <w:r>
        <w:t xml:space="preserve">106. </w:t>
      </w:r>
      <w:r w:rsidR="000238B8">
        <w:tab/>
      </w:r>
      <w:r>
        <w:t xml:space="preserve">Los huesos de la parte superior del brazo tienen la forma de asas de espejo. Los huesos del antebrazo tienen la forma de los troncos de una palma gemela. Los huesos de la muñeca tienen la forma de tubos de láminas de plomo pegados. Los huesos del dorso de la mano tienen la forma de un manojo de ñame magullado. En cuanto a los dedos, los huesos de las secciones de la base tienen forma de pequeños tambores; las de las secciones medias tienen la forma de semillas de jaca inmaduras; los de las secciones finales tienen la forma de semillas de </w:t>
      </w:r>
      <w:proofErr w:type="spellStart"/>
      <w:r w:rsidRPr="00E90DC0">
        <w:rPr>
          <w:i/>
          <w:iCs/>
        </w:rPr>
        <w:t>kataka</w:t>
      </w:r>
      <w:proofErr w:type="spellEnd"/>
      <w:r>
        <w:t>.</w:t>
      </w:r>
    </w:p>
    <w:p w14:paraId="0A11E3E4" w14:textId="0DE00E93" w:rsidR="006930F6" w:rsidRDefault="006930F6" w:rsidP="006930F6">
      <w:r>
        <w:t xml:space="preserve">107. </w:t>
      </w:r>
      <w:r w:rsidR="000238B8">
        <w:tab/>
      </w:r>
      <w:r>
        <w:t>Los siete huesos del cuello tienen la forma de anillos de tallo de bambú ensartados uno tras otro en un palo. La mandíbula inferior tiene la forma de un anillo de sujeción de</w:t>
      </w:r>
      <w:r w:rsidR="005B3F63">
        <w:t>l</w:t>
      </w:r>
      <w:r>
        <w:t xml:space="preserve"> martillo de hierro de </w:t>
      </w:r>
      <w:r w:rsidR="005B3F63">
        <w:t xml:space="preserve">un </w:t>
      </w:r>
      <w:r>
        <w:t xml:space="preserve">herrero. El superior tiene la forma de un cuchillo para raspar la cáscara de las cañas de azúcar. Los huesos de las cuencas de los ojos y las fosas nasales tienen la forma de semillas jóvenes de palmira sin los granos. El hueso frontal tiene la forma de un cuenco invertido hecho de una </w:t>
      </w:r>
      <w:r w:rsidR="00D669AD">
        <w:t>caracola</w:t>
      </w:r>
      <w:r>
        <w:t xml:space="preserve">. Los huesos de los orificios de las orejas tienen la forma de las cajas de </w:t>
      </w:r>
      <w:r w:rsidR="00D669AD">
        <w:t xml:space="preserve">las </w:t>
      </w:r>
      <w:r>
        <w:t>navajas de afeitar de los barberos. El hueso en el lugar donde se ata una tela alrededor de la cabeza por encima del hueso frontal y los orificios de las orejas tiene la forma de un trozo de hojuela de caramelo enrollado.</w:t>
      </w:r>
      <w:r w:rsidRPr="000B3CE0">
        <w:rPr>
          <w:vertAlign w:val="superscript"/>
        </w:rPr>
        <w:t>27</w:t>
      </w:r>
      <w:r>
        <w:t xml:space="preserve"> El hueso occipital tiene la forma de un coco torcido con un agujero corta</w:t>
      </w:r>
      <w:r w:rsidR="00F338EC">
        <w:t>do</w:t>
      </w:r>
      <w:r>
        <w:t xml:space="preserve"> al final. Los huesos </w:t>
      </w:r>
      <w:proofErr w:type="spellStart"/>
      <w:r>
        <w:t>sincipitales</w:t>
      </w:r>
      <w:proofErr w:type="spellEnd"/>
      <w:r>
        <w:t xml:space="preserve"> tienen la forma de un plato hecho de una calabaza vieja unida con puntos.</w:t>
      </w:r>
    </w:p>
    <w:p w14:paraId="6B6045B7" w14:textId="6D767BC8" w:rsidR="006930F6" w:rsidRDefault="006930F6" w:rsidP="006930F6">
      <w:r>
        <w:t xml:space="preserve">108. </w:t>
      </w:r>
      <w:r w:rsidR="000238B8">
        <w:tab/>
      </w:r>
      <w:r>
        <w:t xml:space="preserve">En cuanto a la </w:t>
      </w:r>
      <w:r w:rsidRPr="00EE0342">
        <w:rPr>
          <w:i/>
          <w:iCs/>
        </w:rPr>
        <w:t>dirección</w:t>
      </w:r>
      <w:r>
        <w:t xml:space="preserve">, se encuentran en ambas direcciones. En cuanto a la </w:t>
      </w:r>
      <w:r w:rsidRPr="00EE0342">
        <w:rPr>
          <w:i/>
          <w:iCs/>
        </w:rPr>
        <w:t>ubicación</w:t>
      </w:r>
      <w:r>
        <w:t xml:space="preserve">, se encuentran indistintamente en todo el cuerpo. Pero aquí en particular, los huesos de la cabeza descansan sobre los huesos del cuello, los huesos del cuello sobre los huesos de la columna, los huesos de la columna sobre los huesos de la cadera, los huesos de la cadera sobre los huesos del muslo, los huesos del muslo sobre los huesos de la rodilla, los huesos de la rodilla sobre los huesos de la espinilla, los huesos de la espinilla sobre los huesos del tobillo, los huesos del tobillo sobre los huesos de la parte posterior del pie. En cuanto a la </w:t>
      </w:r>
      <w:r w:rsidRPr="00CB0ED9">
        <w:rPr>
          <w:i/>
          <w:iCs/>
        </w:rPr>
        <w:t>delimitación</w:t>
      </w:r>
      <w:r>
        <w:t xml:space="preserve">, están limitadas </w:t>
      </w:r>
      <w:r w:rsidR="00F90AE8">
        <w:t xml:space="preserve">hacia </w:t>
      </w:r>
      <w:r>
        <w:t xml:space="preserve">dentro por la médula ósea, </w:t>
      </w:r>
      <w:r w:rsidR="00F90AE8">
        <w:t>hacia</w:t>
      </w:r>
      <w:r>
        <w:t xml:space="preserve"> </w:t>
      </w:r>
      <w:r w:rsidR="008E3EB8">
        <w:t>afuera</w:t>
      </w:r>
      <w:r>
        <w:t xml:space="preserve"> por la carne, </w:t>
      </w:r>
      <w:r w:rsidR="007C5247">
        <w:t>en</w:t>
      </w:r>
      <w:r>
        <w:t xml:space="preserve"> los extremos y </w:t>
      </w:r>
      <w:r w:rsidR="007C5247">
        <w:t>en</w:t>
      </w:r>
      <w:r>
        <w:t xml:space="preserve"> las raíces </w:t>
      </w:r>
      <w:r w:rsidR="007C5247">
        <w:t xml:space="preserve">por ellos </w:t>
      </w:r>
      <w:r>
        <w:t>entre sí…</w:t>
      </w:r>
    </w:p>
    <w:p w14:paraId="675F7DE8" w14:textId="605189A6" w:rsidR="006930F6" w:rsidRDefault="006930F6" w:rsidP="000238B8">
      <w:pPr>
        <w:jc w:val="center"/>
      </w:pPr>
      <w:r>
        <w:t>[</w:t>
      </w:r>
      <w:r w:rsidRPr="000238B8">
        <w:rPr>
          <w:i/>
          <w:iCs/>
        </w:rPr>
        <w:t xml:space="preserve">Médula </w:t>
      </w:r>
      <w:r w:rsidR="000238B8" w:rsidRPr="000238B8">
        <w:rPr>
          <w:i/>
          <w:iCs/>
        </w:rPr>
        <w:t>Ósea</w:t>
      </w:r>
      <w:r>
        <w:t>]</w:t>
      </w:r>
    </w:p>
    <w:p w14:paraId="41936005" w14:textId="77777777" w:rsidR="004E3949" w:rsidRDefault="006930F6" w:rsidP="004E3949">
      <w:r>
        <w:t xml:space="preserve">109. </w:t>
      </w:r>
      <w:r w:rsidR="000238B8">
        <w:tab/>
      </w:r>
      <w:r w:rsidR="007C5247">
        <w:t>É</w:t>
      </w:r>
      <w:r>
        <w:t xml:space="preserve">sta es la médula dentro de los diversos huesos. En cuanto al </w:t>
      </w:r>
      <w:r w:rsidRPr="00EE0342">
        <w:rPr>
          <w:i/>
          <w:iCs/>
        </w:rPr>
        <w:t>color</w:t>
      </w:r>
      <w:r>
        <w:t xml:space="preserve">, es blanco. En cuanto a la </w:t>
      </w:r>
      <w:r w:rsidRPr="00CB0ED9">
        <w:rPr>
          <w:i/>
          <w:iCs/>
        </w:rPr>
        <w:t>forma</w:t>
      </w:r>
      <w:r>
        <w:t xml:space="preserve">, [256] dentro de cada hueso grande </w:t>
      </w:r>
      <w:r w:rsidR="001D06AC">
        <w:t xml:space="preserve">tiene </w:t>
      </w:r>
      <w:r>
        <w:t>la forma de un gran brote de caña humedecid</w:t>
      </w:r>
      <w:r w:rsidR="004010A1">
        <w:t>a</w:t>
      </w:r>
      <w:r>
        <w:t xml:space="preserve"> e insertad</w:t>
      </w:r>
      <w:r w:rsidR="00833539">
        <w:t>o</w:t>
      </w:r>
      <w:r>
        <w:t xml:space="preserve"> en un tubo de bambú. </w:t>
      </w:r>
      <w:r w:rsidR="0053162F">
        <w:t xml:space="preserve">Dentro </w:t>
      </w:r>
      <w:r>
        <w:t>de cada pequeño hueso tiene la forma de un delgado brote de caña humedecid</w:t>
      </w:r>
      <w:r w:rsidR="00833539">
        <w:t>a</w:t>
      </w:r>
      <w:r>
        <w:t xml:space="preserve"> e insertado en una sección de </w:t>
      </w:r>
      <w:r w:rsidR="00D9548F">
        <w:t>caña</w:t>
      </w:r>
      <w:r>
        <w:t xml:space="preserve"> de bambú. En cuanto a la </w:t>
      </w:r>
      <w:r w:rsidRPr="006C2ADE">
        <w:rPr>
          <w:i/>
          <w:iCs/>
        </w:rPr>
        <w:t>dirección</w:t>
      </w:r>
      <w:r>
        <w:t xml:space="preserve">, se encuentra en ambas direcciones. En cuanto a la </w:t>
      </w:r>
      <w:r w:rsidRPr="006C2ADE">
        <w:rPr>
          <w:i/>
          <w:iCs/>
        </w:rPr>
        <w:t>ubicación</w:t>
      </w:r>
      <w:r>
        <w:t xml:space="preserve">, se encuentra dentro de los huesos. En cuanto a la </w:t>
      </w:r>
      <w:r w:rsidRPr="006C2ADE">
        <w:rPr>
          <w:i/>
          <w:iCs/>
        </w:rPr>
        <w:t>delimitación</w:t>
      </w:r>
      <w:r>
        <w:t xml:space="preserve">, está delimitada por la superficie interna de los </w:t>
      </w:r>
      <w:r w:rsidR="004E3949">
        <w:t>huesos…</w:t>
      </w:r>
    </w:p>
    <w:p w14:paraId="71C442FC" w14:textId="77777777" w:rsidR="006930F6" w:rsidRDefault="006930F6" w:rsidP="006930F6">
      <w:pPr>
        <w:pStyle w:val="PiedepginaLegal"/>
        <w:rPr>
          <w:u w:val="single"/>
        </w:rPr>
      </w:pPr>
      <w:r>
        <w:rPr>
          <w:u w:val="single"/>
        </w:rPr>
        <w:tab/>
      </w:r>
      <w:r>
        <w:rPr>
          <w:u w:val="single"/>
        </w:rPr>
        <w:tab/>
      </w:r>
      <w:r>
        <w:rPr>
          <w:u w:val="single"/>
        </w:rPr>
        <w:tab/>
      </w:r>
      <w:r>
        <w:rPr>
          <w:u w:val="single"/>
        </w:rPr>
        <w:tab/>
        <w:t>.</w:t>
      </w:r>
    </w:p>
    <w:p w14:paraId="26EA2C69" w14:textId="2BEE80DD" w:rsidR="006930F6" w:rsidRDefault="006930F6" w:rsidP="006930F6">
      <w:pPr>
        <w:pStyle w:val="PiedepginaLegal"/>
      </w:pPr>
      <w:r>
        <w:t xml:space="preserve">26. </w:t>
      </w:r>
      <w:r>
        <w:tab/>
      </w:r>
      <w:proofErr w:type="spellStart"/>
      <w:r w:rsidRPr="006C2ADE">
        <w:rPr>
          <w:i/>
          <w:iCs/>
        </w:rPr>
        <w:t>Pañjara</w:t>
      </w:r>
      <w:proofErr w:type="spellEnd"/>
      <w:r>
        <w:t xml:space="preserve">—“marco”: no exactamente en este sentido en </w:t>
      </w:r>
      <w:r w:rsidR="00A44576">
        <w:t xml:space="preserve">el </w:t>
      </w:r>
      <w:r>
        <w:t>PED.</w:t>
      </w:r>
    </w:p>
    <w:p w14:paraId="41D57055" w14:textId="7BAEDE24" w:rsidR="000238B8" w:rsidRDefault="006930F6" w:rsidP="000B3CE0">
      <w:pPr>
        <w:pStyle w:val="PiedepginaLegal"/>
      </w:pPr>
      <w:r>
        <w:t xml:space="preserve">27. </w:t>
      </w:r>
      <w:r>
        <w:tab/>
      </w:r>
      <w:proofErr w:type="spellStart"/>
      <w:r w:rsidRPr="000238B8">
        <w:rPr>
          <w:i/>
          <w:iCs/>
        </w:rPr>
        <w:t>Saṅkuṭitaghaṭapuṇṇapaṭalakhaṇḍa</w:t>
      </w:r>
      <w:proofErr w:type="spellEnd"/>
      <w:r>
        <w:t xml:space="preserve">—“un trozo de hojuelas de caramelo enrollado”. La traducción al cingalés sugiere las siguientes lecturas y resolución: </w:t>
      </w:r>
      <w:proofErr w:type="spellStart"/>
      <w:r w:rsidRPr="006C2ADE">
        <w:rPr>
          <w:i/>
          <w:iCs/>
        </w:rPr>
        <w:t>sa</w:t>
      </w:r>
      <w:r w:rsidR="006C2ADE" w:rsidRPr="006C2ADE">
        <w:rPr>
          <w:i/>
          <w:iCs/>
        </w:rPr>
        <w:t>ṇ</w:t>
      </w:r>
      <w:r w:rsidRPr="006C2ADE">
        <w:rPr>
          <w:i/>
          <w:iCs/>
        </w:rPr>
        <w:t>kuthita</w:t>
      </w:r>
      <w:proofErr w:type="spellEnd"/>
      <w:r>
        <w:t xml:space="preserve"> (espesado o hervido (?), en lugar de </w:t>
      </w:r>
      <w:proofErr w:type="spellStart"/>
      <w:r w:rsidRPr="006C2ADE">
        <w:rPr>
          <w:i/>
          <w:iCs/>
        </w:rPr>
        <w:t>saṇkuṭita</w:t>
      </w:r>
      <w:proofErr w:type="spellEnd"/>
      <w:r>
        <w:t xml:space="preserve">, enrollado); </w:t>
      </w:r>
      <w:proofErr w:type="spellStart"/>
      <w:r w:rsidRPr="006C2ADE">
        <w:rPr>
          <w:i/>
          <w:iCs/>
        </w:rPr>
        <w:t>ghata-puṇṇa</w:t>
      </w:r>
      <w:proofErr w:type="spellEnd"/>
      <w:r>
        <w:t xml:space="preserve"> ([¿caramelo?] “lleno de </w:t>
      </w:r>
      <w:proofErr w:type="spellStart"/>
      <w:r w:rsidRPr="006C2ADE">
        <w:rPr>
          <w:i/>
          <w:iCs/>
        </w:rPr>
        <w:t>ghee</w:t>
      </w:r>
      <w:proofErr w:type="spellEnd"/>
      <w:r>
        <w:t xml:space="preserve">”); </w:t>
      </w:r>
      <w:proofErr w:type="spellStart"/>
      <w:r w:rsidRPr="006C2ADE">
        <w:rPr>
          <w:i/>
          <w:iCs/>
        </w:rPr>
        <w:t>paṭala</w:t>
      </w:r>
      <w:proofErr w:type="spellEnd"/>
      <w:r>
        <w:t xml:space="preserve"> (escamas o losa); </w:t>
      </w:r>
      <w:proofErr w:type="spellStart"/>
      <w:r w:rsidRPr="006C2ADE">
        <w:rPr>
          <w:i/>
          <w:iCs/>
        </w:rPr>
        <w:t>khaṇḍa</w:t>
      </w:r>
      <w:proofErr w:type="spellEnd"/>
      <w:r>
        <w:t xml:space="preserve"> (pieza).</w:t>
      </w:r>
      <w:r w:rsidR="000238B8">
        <w:br w:type="page"/>
      </w:r>
    </w:p>
    <w:p w14:paraId="0B674727" w14:textId="77777777" w:rsidR="004E3949" w:rsidRDefault="004E3949" w:rsidP="004E3949"/>
    <w:p w14:paraId="063B8E69" w14:textId="1A7EBEB8" w:rsidR="00EA53DC" w:rsidRDefault="00EA53DC" w:rsidP="00EA53DC">
      <w:pPr>
        <w:jc w:val="center"/>
      </w:pPr>
      <w:r>
        <w:t>[</w:t>
      </w:r>
      <w:r w:rsidRPr="00EA53DC">
        <w:rPr>
          <w:i/>
          <w:iCs/>
        </w:rPr>
        <w:t>Riñón</w:t>
      </w:r>
      <w:r>
        <w:t>]</w:t>
      </w:r>
    </w:p>
    <w:p w14:paraId="35D2F73C" w14:textId="5B39AFEC" w:rsidR="00EA53DC" w:rsidRPr="00F85229" w:rsidRDefault="00EA53DC" w:rsidP="00EA53DC">
      <w:r w:rsidRPr="00F85229">
        <w:t xml:space="preserve">110. </w:t>
      </w:r>
      <w:r w:rsidRPr="00F85229">
        <w:tab/>
        <w:t xml:space="preserve">Son dos trozos de carne con una sola ligadura. En cuanto al </w:t>
      </w:r>
      <w:r w:rsidRPr="00F85229">
        <w:rPr>
          <w:i/>
          <w:iCs/>
        </w:rPr>
        <w:t>color</w:t>
      </w:r>
      <w:r w:rsidRPr="00F85229">
        <w:t xml:space="preserve">, es rojo opaco, </w:t>
      </w:r>
      <w:r w:rsidR="006153A1" w:rsidRPr="00F85229">
        <w:t>d</w:t>
      </w:r>
      <w:r w:rsidRPr="00F85229">
        <w:t xml:space="preserve">el color de las semillas del </w:t>
      </w:r>
      <w:proofErr w:type="spellStart"/>
      <w:r w:rsidRPr="00F85229">
        <w:rPr>
          <w:i/>
          <w:iCs/>
        </w:rPr>
        <w:t>pālibhaddaka</w:t>
      </w:r>
      <w:proofErr w:type="spellEnd"/>
      <w:r w:rsidRPr="00F85229">
        <w:t xml:space="preserve"> (árbol de coral). En cuanto a la </w:t>
      </w:r>
      <w:r w:rsidRPr="00F85229">
        <w:rPr>
          <w:i/>
          <w:iCs/>
        </w:rPr>
        <w:t>forma</w:t>
      </w:r>
      <w:r w:rsidRPr="00F85229">
        <w:t xml:space="preserve">, </w:t>
      </w:r>
      <w:r w:rsidR="006153A1" w:rsidRPr="00F85229">
        <w:t>tiene</w:t>
      </w:r>
      <w:r w:rsidRPr="00F85229">
        <w:t xml:space="preserve"> la forma de un par de pelotas </w:t>
      </w:r>
      <w:r w:rsidR="006153A1" w:rsidRPr="00F85229">
        <w:t xml:space="preserve">deportivas </w:t>
      </w:r>
      <w:r w:rsidRPr="00F85229">
        <w:t xml:space="preserve">para niños; o tiene la forma de un par de frutos de mango unidos a un solo tallo. En cuanto a la </w:t>
      </w:r>
      <w:r w:rsidRPr="00F85229">
        <w:rPr>
          <w:i/>
          <w:iCs/>
        </w:rPr>
        <w:t>dirección</w:t>
      </w:r>
      <w:r w:rsidRPr="00F85229">
        <w:t xml:space="preserve">, se encuentra en la dirección superior. En cuanto a su </w:t>
      </w:r>
      <w:r w:rsidRPr="00F85229">
        <w:rPr>
          <w:i/>
          <w:iCs/>
        </w:rPr>
        <w:t>ubicación</w:t>
      </w:r>
      <w:r w:rsidRPr="00F85229">
        <w:t xml:space="preserve">, se encuentra a ambos lados de la carne del corazón, sujeta por un fuerte tendón que parte de una raíz desde la base del cuello y se divide en dos después de recorrer un corto trecho. En cuanto a la </w:t>
      </w:r>
      <w:r w:rsidRPr="00F85229">
        <w:rPr>
          <w:i/>
          <w:iCs/>
        </w:rPr>
        <w:t>delimitación</w:t>
      </w:r>
      <w:r w:rsidRPr="00F85229">
        <w:t xml:space="preserve">, el riñón está delimitado por lo que </w:t>
      </w:r>
      <w:r w:rsidR="00022F94" w:rsidRPr="00F85229">
        <w:t>corresponda a</w:t>
      </w:r>
      <w:r w:rsidRPr="00F85229">
        <w:t>l riñón…</w:t>
      </w:r>
    </w:p>
    <w:p w14:paraId="79638F43" w14:textId="77777777" w:rsidR="00EA53DC" w:rsidRDefault="00EA53DC" w:rsidP="00EA53DC">
      <w:pPr>
        <w:jc w:val="center"/>
      </w:pPr>
      <w:r>
        <w:t>[</w:t>
      </w:r>
      <w:r w:rsidRPr="00EA53DC">
        <w:rPr>
          <w:i/>
          <w:iCs/>
        </w:rPr>
        <w:t>Corazón</w:t>
      </w:r>
      <w:r>
        <w:t>]</w:t>
      </w:r>
    </w:p>
    <w:p w14:paraId="7B7BEEB4" w14:textId="1CF42FC7" w:rsidR="00EA53DC" w:rsidRDefault="00EA53DC" w:rsidP="00EA53DC">
      <w:r>
        <w:t xml:space="preserve">111. </w:t>
      </w:r>
      <w:r>
        <w:tab/>
        <w:t xml:space="preserve">Esta es la carne del corazón. En cuanto al </w:t>
      </w:r>
      <w:r w:rsidRPr="002E5588">
        <w:rPr>
          <w:i/>
          <w:iCs/>
        </w:rPr>
        <w:t>color</w:t>
      </w:r>
      <w:r>
        <w:t xml:space="preserve">, es </w:t>
      </w:r>
      <w:r w:rsidR="00FF645C">
        <w:t>d</w:t>
      </w:r>
      <w:r>
        <w:t xml:space="preserve">el color de la parte posterior de un pétalo de loto rojo. En cuanto a la forma, es la </w:t>
      </w:r>
      <w:r w:rsidRPr="002E5588">
        <w:rPr>
          <w:i/>
          <w:iCs/>
        </w:rPr>
        <w:t>forma</w:t>
      </w:r>
      <w:r>
        <w:t xml:space="preserve"> de un capullo de loto con los pétalos exteriores quitados y al revés; es suave por fuera, y por dentro es como el interior de un </w:t>
      </w:r>
      <w:proofErr w:type="spellStart"/>
      <w:r w:rsidRPr="007B5ACE">
        <w:rPr>
          <w:i/>
          <w:iCs/>
        </w:rPr>
        <w:t>kosātakī</w:t>
      </w:r>
      <w:proofErr w:type="spellEnd"/>
      <w:r>
        <w:t xml:space="preserve"> (calabaza de </w:t>
      </w:r>
      <w:proofErr w:type="spellStart"/>
      <w:r>
        <w:t>lufa</w:t>
      </w:r>
      <w:proofErr w:type="spellEnd"/>
      <w:r>
        <w:t xml:space="preserve">). En aquellos que poseen entendimiento, está un poco expandido; en los que no </w:t>
      </w:r>
      <w:r w:rsidR="00FF645C">
        <w:t xml:space="preserve">poseen </w:t>
      </w:r>
      <w:r>
        <w:t>entend</w:t>
      </w:r>
      <w:r w:rsidR="003A49DD">
        <w:t>imiento</w:t>
      </w:r>
      <w:r>
        <w:t xml:space="preserve"> todavía es sólo un capullo. En su interior hay un hueco del tamaño de un lecho de semilla de </w:t>
      </w:r>
      <w:proofErr w:type="spellStart"/>
      <w:r w:rsidRPr="002E5588">
        <w:rPr>
          <w:i/>
          <w:iCs/>
        </w:rPr>
        <w:t>punnāga</w:t>
      </w:r>
      <w:proofErr w:type="spellEnd"/>
      <w:r>
        <w:t xml:space="preserve"> donde se guarda media medida de </w:t>
      </w:r>
      <w:r w:rsidR="00C73F98">
        <w:t xml:space="preserve">un </w:t>
      </w:r>
      <w:proofErr w:type="spellStart"/>
      <w:r w:rsidR="00C73F98" w:rsidRPr="002E5588">
        <w:rPr>
          <w:i/>
          <w:iCs/>
        </w:rPr>
        <w:t>pasata</w:t>
      </w:r>
      <w:proofErr w:type="spellEnd"/>
      <w:r w:rsidR="00C73F98">
        <w:t xml:space="preserve"> de </w:t>
      </w:r>
      <w:r>
        <w:t>sangre, con la cual como soporte se produce el elemento ment</w:t>
      </w:r>
      <w:r w:rsidR="00A90833">
        <w:t>al</w:t>
      </w:r>
      <w:r>
        <w:t xml:space="preserve"> y </w:t>
      </w:r>
      <w:r w:rsidR="00C73F98">
        <w:t xml:space="preserve">ocurre </w:t>
      </w:r>
      <w:r>
        <w:t xml:space="preserve">el elemento </w:t>
      </w:r>
      <w:r w:rsidR="00A90833">
        <w:t xml:space="preserve">de la </w:t>
      </w:r>
      <w:r>
        <w:t>consciencia</w:t>
      </w:r>
      <w:r w:rsidR="00A90833">
        <w:t xml:space="preserve"> mental</w:t>
      </w:r>
      <w:r>
        <w:t>.</w:t>
      </w:r>
    </w:p>
    <w:p w14:paraId="5C8168D9" w14:textId="3810F95F" w:rsidR="00EA53DC" w:rsidRDefault="00EA53DC" w:rsidP="00EA53DC">
      <w:r>
        <w:t xml:space="preserve">112. </w:t>
      </w:r>
      <w:r>
        <w:tab/>
        <w:t xml:space="preserve">Que en </w:t>
      </w:r>
      <w:r w:rsidR="00906526">
        <w:t>alguien</w:t>
      </w:r>
      <w:r>
        <w:t xml:space="preserve"> de temperamento codicioso </w:t>
      </w:r>
      <w:r w:rsidR="00906526">
        <w:t xml:space="preserve">será </w:t>
      </w:r>
      <w:r>
        <w:t xml:space="preserve">rojo; que en </w:t>
      </w:r>
      <w:r w:rsidR="00906526">
        <w:t xml:space="preserve">alguien </w:t>
      </w:r>
      <w:r>
        <w:t xml:space="preserve">de temperamento </w:t>
      </w:r>
      <w:r w:rsidR="00906526">
        <w:t xml:space="preserve">iracundo </w:t>
      </w:r>
      <w:r w:rsidR="00147D8E">
        <w:t>será</w:t>
      </w:r>
      <w:r>
        <w:t xml:space="preserve"> negro; que en </w:t>
      </w:r>
      <w:r w:rsidR="00147D8E">
        <w:t xml:space="preserve">alguien </w:t>
      </w:r>
      <w:r>
        <w:t xml:space="preserve">de temperamento </w:t>
      </w:r>
      <w:r w:rsidR="00147D8E">
        <w:t>ilusivo</w:t>
      </w:r>
      <w:r>
        <w:t xml:space="preserve"> </w:t>
      </w:r>
      <w:r w:rsidR="00147D8E">
        <w:t xml:space="preserve">será </w:t>
      </w:r>
      <w:r>
        <w:t xml:space="preserve">como el agua en la que se ha lavado la carne; que en </w:t>
      </w:r>
      <w:r w:rsidR="00147D8E">
        <w:t xml:space="preserve">alguien </w:t>
      </w:r>
      <w:r>
        <w:t xml:space="preserve">de temperamento especulativo </w:t>
      </w:r>
      <w:r w:rsidR="00147D8E">
        <w:t xml:space="preserve">será </w:t>
      </w:r>
      <w:r>
        <w:t xml:space="preserve">como </w:t>
      </w:r>
      <w:r w:rsidR="00147D8E">
        <w:t xml:space="preserve">una </w:t>
      </w:r>
      <w:r>
        <w:t xml:space="preserve">sopa de lentejas en color; que en </w:t>
      </w:r>
      <w:r w:rsidR="00147D8E">
        <w:t xml:space="preserve">alguien </w:t>
      </w:r>
      <w:r>
        <w:t xml:space="preserve">de temperamento fiel </w:t>
      </w:r>
      <w:r w:rsidR="00980BF8">
        <w:t>será d</w:t>
      </w:r>
      <w:r>
        <w:t xml:space="preserve">el color de las flores </w:t>
      </w:r>
      <w:proofErr w:type="spellStart"/>
      <w:r w:rsidRPr="002E5588">
        <w:rPr>
          <w:i/>
          <w:iCs/>
        </w:rPr>
        <w:t>kanikāra</w:t>
      </w:r>
      <w:proofErr w:type="spellEnd"/>
      <w:r>
        <w:t xml:space="preserve"> [amarillas]; que en </w:t>
      </w:r>
      <w:r w:rsidR="00980BF8">
        <w:t xml:space="preserve">alguien </w:t>
      </w:r>
      <w:r>
        <w:t xml:space="preserve">de temperamento </w:t>
      </w:r>
      <w:r w:rsidR="00980BF8">
        <w:t>analítico</w:t>
      </w:r>
      <w:r>
        <w:t xml:space="preserve"> </w:t>
      </w:r>
      <w:r w:rsidR="00980BF8">
        <w:t>será</w:t>
      </w:r>
      <w:r>
        <w:t xml:space="preserve"> límpido, claro, imperturbable, brillante, puro, como una gema lavada de agua pura, y parece</w:t>
      </w:r>
      <w:r w:rsidR="00980BF8">
        <w:t>rá</w:t>
      </w:r>
      <w:r>
        <w:t xml:space="preserve"> brillar.</w:t>
      </w:r>
    </w:p>
    <w:p w14:paraId="6BA0379A" w14:textId="4C59BA1E" w:rsidR="00EA53DC" w:rsidRDefault="00EA53DC" w:rsidP="00EA53DC">
      <w:r>
        <w:t xml:space="preserve">113. </w:t>
      </w:r>
      <w:r>
        <w:tab/>
        <w:t xml:space="preserve">En cuanto a la </w:t>
      </w:r>
      <w:r w:rsidRPr="002E5588">
        <w:rPr>
          <w:i/>
          <w:iCs/>
        </w:rPr>
        <w:t>dirección</w:t>
      </w:r>
      <w:r>
        <w:t xml:space="preserve">, se encuentra en la dirección superior. En cuanto a la </w:t>
      </w:r>
      <w:r w:rsidRPr="002E5588">
        <w:rPr>
          <w:i/>
          <w:iCs/>
        </w:rPr>
        <w:t>ubicación</w:t>
      </w:r>
      <w:r>
        <w:t xml:space="preserve">, se encuentra en el medio entre los dos senos, dentro del cuerpo. En cuanto a la </w:t>
      </w:r>
      <w:r w:rsidRPr="00B4618E">
        <w:rPr>
          <w:i/>
          <w:iCs/>
        </w:rPr>
        <w:t>delimitación</w:t>
      </w:r>
      <w:r>
        <w:t xml:space="preserve">, está limitada por lo que </w:t>
      </w:r>
      <w:r w:rsidR="00022F94">
        <w:t xml:space="preserve">corresponda </w:t>
      </w:r>
      <w:r>
        <w:t>al corazón... [257]</w:t>
      </w:r>
    </w:p>
    <w:p w14:paraId="7C8208ED" w14:textId="77777777" w:rsidR="00EA53DC" w:rsidRDefault="00EA53DC" w:rsidP="00EA53DC">
      <w:pPr>
        <w:jc w:val="center"/>
      </w:pPr>
      <w:r>
        <w:t>[</w:t>
      </w:r>
      <w:r w:rsidRPr="00EA53DC">
        <w:rPr>
          <w:i/>
          <w:iCs/>
        </w:rPr>
        <w:t>Hígado</w:t>
      </w:r>
      <w:r>
        <w:t>]</w:t>
      </w:r>
    </w:p>
    <w:p w14:paraId="239D6136" w14:textId="1763C7C1" w:rsidR="00EA53DC" w:rsidRDefault="00EA53DC" w:rsidP="00EA53DC">
      <w:r>
        <w:t xml:space="preserve">114. </w:t>
      </w:r>
      <w:r>
        <w:tab/>
      </w:r>
      <w:r w:rsidR="00BC3844">
        <w:t>É</w:t>
      </w:r>
      <w:r>
        <w:t>st</w:t>
      </w:r>
      <w:r w:rsidR="00BC3844">
        <w:t>e</w:t>
      </w:r>
      <w:r>
        <w:t xml:space="preserve"> es un </w:t>
      </w:r>
      <w:r w:rsidR="00BC3844">
        <w:t xml:space="preserve">bloque </w:t>
      </w:r>
      <w:r>
        <w:t>gemel</w:t>
      </w:r>
      <w:r w:rsidR="00BC3844">
        <w:t>o</w:t>
      </w:r>
      <w:r>
        <w:t xml:space="preserve"> de carne. En cuanto al </w:t>
      </w:r>
      <w:r w:rsidRPr="00B4618E">
        <w:rPr>
          <w:i/>
          <w:iCs/>
        </w:rPr>
        <w:t>color</w:t>
      </w:r>
      <w:r>
        <w:t xml:space="preserve">, es de un tono marrón rojizo, el color del dorso no demasiado rojo de los pétalos de los nenúfares blancos. En cuanto a la </w:t>
      </w:r>
      <w:r w:rsidRPr="00B4618E">
        <w:rPr>
          <w:i/>
          <w:iCs/>
        </w:rPr>
        <w:t>forma</w:t>
      </w:r>
      <w:r>
        <w:t xml:space="preserve">, con su raíz única y extremos gemelos, tiene la forma de una hoja de </w:t>
      </w:r>
      <w:proofErr w:type="spellStart"/>
      <w:r w:rsidRPr="00B4618E">
        <w:rPr>
          <w:i/>
          <w:iCs/>
        </w:rPr>
        <w:t>koviḷāra</w:t>
      </w:r>
      <w:proofErr w:type="spellEnd"/>
      <w:r>
        <w:t xml:space="preserve">. En las personas perezosas es único y grande; en los que tienen entendimiento hay dos o tres pequeños. En cuanto a la </w:t>
      </w:r>
      <w:r w:rsidRPr="00B4618E">
        <w:rPr>
          <w:i/>
          <w:iCs/>
        </w:rPr>
        <w:t>dirección</w:t>
      </w:r>
      <w:r>
        <w:t xml:space="preserve">, se encuentra en la dirección superior. En cuanto a su </w:t>
      </w:r>
      <w:r w:rsidRPr="00B4618E">
        <w:rPr>
          <w:i/>
          <w:iCs/>
        </w:rPr>
        <w:t>ubicación</w:t>
      </w:r>
      <w:r>
        <w:t xml:space="preserve">, se encuentra en el lado derecho, dentro de los dos senos. En cuanto a la </w:t>
      </w:r>
      <w:r w:rsidRPr="00B4618E">
        <w:rPr>
          <w:i/>
          <w:iCs/>
        </w:rPr>
        <w:t>delimitación</w:t>
      </w:r>
      <w:r>
        <w:t>, está acotada por lo que correspond</w:t>
      </w:r>
      <w:r w:rsidR="00022F94">
        <w:t>a</w:t>
      </w:r>
      <w:r>
        <w:t xml:space="preserve"> al hígado…</w:t>
      </w:r>
    </w:p>
    <w:p w14:paraId="67A72ADC" w14:textId="523361BC" w:rsidR="00EA53DC" w:rsidRDefault="00EA53DC" w:rsidP="00EA53DC">
      <w:pPr>
        <w:jc w:val="center"/>
      </w:pPr>
      <w:r>
        <w:t>[</w:t>
      </w:r>
      <w:r w:rsidRPr="00EA53DC">
        <w:rPr>
          <w:i/>
          <w:iCs/>
        </w:rPr>
        <w:t>Dia</w:t>
      </w:r>
      <w:r w:rsidR="00C0407F">
        <w:rPr>
          <w:i/>
          <w:iCs/>
        </w:rPr>
        <w:t>fra</w:t>
      </w:r>
      <w:r w:rsidRPr="00EA53DC">
        <w:rPr>
          <w:i/>
          <w:iCs/>
        </w:rPr>
        <w:t>gma</w:t>
      </w:r>
      <w:r>
        <w:t>]</w:t>
      </w:r>
      <w:r w:rsidRPr="00EA53DC">
        <w:rPr>
          <w:vertAlign w:val="superscript"/>
        </w:rPr>
        <w:t>28</w:t>
      </w:r>
    </w:p>
    <w:p w14:paraId="13241663" w14:textId="3E72B183" w:rsidR="00EA53DC" w:rsidRDefault="00EA53DC" w:rsidP="00EA53DC">
      <w:r>
        <w:t xml:space="preserve">115. </w:t>
      </w:r>
      <w:r>
        <w:tab/>
      </w:r>
      <w:r w:rsidR="006568D7">
        <w:t>É</w:t>
      </w:r>
      <w:r>
        <w:t xml:space="preserve">sta es la cubierta de la carne, que es de dos clases, </w:t>
      </w:r>
      <w:r w:rsidR="006568D7">
        <w:t>es decir</w:t>
      </w:r>
      <w:r>
        <w:t xml:space="preserve">, la oculta y la descubierta. En cuanto al color, ambos tipos son blancos, </w:t>
      </w:r>
      <w:r w:rsidR="006568D7">
        <w:t>d</w:t>
      </w:r>
      <w:r>
        <w:t xml:space="preserve">el color de los </w:t>
      </w:r>
      <w:r w:rsidR="00161B98">
        <w:t>harapos</w:t>
      </w:r>
      <w:r>
        <w:t xml:space="preserve"> de </w:t>
      </w:r>
      <w:proofErr w:type="spellStart"/>
      <w:r w:rsidRPr="00C0407F">
        <w:rPr>
          <w:i/>
          <w:iCs/>
        </w:rPr>
        <w:t>dukūla</w:t>
      </w:r>
      <w:proofErr w:type="spellEnd"/>
      <w:r>
        <w:t xml:space="preserve"> (muselina). En cuanto a la </w:t>
      </w:r>
      <w:r w:rsidRPr="00C0407F">
        <w:rPr>
          <w:i/>
          <w:iCs/>
        </w:rPr>
        <w:t>forma</w:t>
      </w:r>
      <w:r>
        <w:t xml:space="preserve">, es la forma de su ubicación. En cuanto a la </w:t>
      </w:r>
      <w:r w:rsidRPr="00C0407F">
        <w:rPr>
          <w:i/>
          <w:iCs/>
        </w:rPr>
        <w:t>dirección</w:t>
      </w:r>
      <w:r>
        <w:t xml:space="preserve">, el diafragma oculto se </w:t>
      </w:r>
    </w:p>
    <w:p w14:paraId="5D169E62" w14:textId="77777777" w:rsidR="00EA53DC" w:rsidRDefault="00EA53DC" w:rsidP="00EA53DC">
      <w:pPr>
        <w:pStyle w:val="PiedepginaLegal"/>
        <w:rPr>
          <w:u w:val="single"/>
        </w:rPr>
      </w:pPr>
      <w:r>
        <w:rPr>
          <w:u w:val="single"/>
        </w:rPr>
        <w:tab/>
      </w:r>
      <w:r>
        <w:rPr>
          <w:u w:val="single"/>
        </w:rPr>
        <w:tab/>
      </w:r>
      <w:r>
        <w:rPr>
          <w:u w:val="single"/>
        </w:rPr>
        <w:tab/>
      </w:r>
      <w:r>
        <w:rPr>
          <w:u w:val="single"/>
        </w:rPr>
        <w:tab/>
        <w:t>.</w:t>
      </w:r>
    </w:p>
    <w:p w14:paraId="15770682" w14:textId="44DE4077" w:rsidR="00EA53DC" w:rsidRDefault="00EA53DC" w:rsidP="00EA53DC">
      <w:pPr>
        <w:pStyle w:val="PiedepginaLegal"/>
      </w:pPr>
      <w:r>
        <w:t xml:space="preserve">28. </w:t>
      </w:r>
      <w:r>
        <w:tab/>
      </w:r>
      <w:proofErr w:type="spellStart"/>
      <w:r w:rsidRPr="00C0407F">
        <w:rPr>
          <w:i/>
          <w:iCs/>
        </w:rPr>
        <w:t>Kilomaka</w:t>
      </w:r>
      <w:proofErr w:type="spellEnd"/>
      <w:r>
        <w:t xml:space="preserve"> — “diafragma”: la traducción obviamente es bastante inadecuada para lo que se describe aquí, pero no hay una palabra inglesa apropiada</w:t>
      </w:r>
      <w:r w:rsidR="00B6623A">
        <w:t xml:space="preserve"> [menos en español]</w:t>
      </w:r>
      <w:r>
        <w:t>.</w:t>
      </w:r>
    </w:p>
    <w:p w14:paraId="729F1F44" w14:textId="77777777" w:rsidR="00EA53DC" w:rsidRDefault="00EA53DC">
      <w:pPr>
        <w:tabs>
          <w:tab w:val="clear" w:pos="425"/>
        </w:tabs>
        <w:spacing w:after="160"/>
        <w:rPr>
          <w:color w:val="000000" w:themeColor="text1"/>
          <w:spacing w:val="10"/>
          <w:sz w:val="14"/>
        </w:rPr>
      </w:pPr>
      <w:r>
        <w:br w:type="page"/>
      </w:r>
    </w:p>
    <w:p w14:paraId="6D6B5FF1" w14:textId="77777777" w:rsidR="00036983" w:rsidRDefault="00036983" w:rsidP="00EA53DC"/>
    <w:p w14:paraId="78946674" w14:textId="5F85F603" w:rsidR="00036983" w:rsidRDefault="00C20799" w:rsidP="00036983">
      <w:r>
        <w:t>encuentra en la parte superior</w:t>
      </w:r>
      <w:r w:rsidR="00036983">
        <w:t xml:space="preserve">, la otra en ambas direcciones. En cuanto a la </w:t>
      </w:r>
      <w:r w:rsidR="00036983" w:rsidRPr="00C0407F">
        <w:rPr>
          <w:i/>
          <w:iCs/>
        </w:rPr>
        <w:t>ubicación</w:t>
      </w:r>
      <w:r w:rsidR="00036983">
        <w:t xml:space="preserve">, el diafragma oculto se encuentra ocultando el corazón y el riñón; lo descubierto se encuentra cubriendo la carne bajo la piel interior por todo el cuerpo. En cuanto a la </w:t>
      </w:r>
      <w:r w:rsidR="00036983" w:rsidRPr="00F36FCE">
        <w:rPr>
          <w:i/>
          <w:iCs/>
        </w:rPr>
        <w:t>delimitación</w:t>
      </w:r>
      <w:r w:rsidR="00036983">
        <w:t xml:space="preserve">, está limitada por abajo por la carne, por arriba por la piel interna, y alrededor por lo que </w:t>
      </w:r>
      <w:r w:rsidR="00022F94">
        <w:t xml:space="preserve">corresponda </w:t>
      </w:r>
      <w:r w:rsidR="00036983">
        <w:t>al diafragma…</w:t>
      </w:r>
    </w:p>
    <w:p w14:paraId="702B6267" w14:textId="77777777" w:rsidR="00036983" w:rsidRDefault="00036983" w:rsidP="00036983">
      <w:pPr>
        <w:jc w:val="center"/>
      </w:pPr>
      <w:r>
        <w:t>[</w:t>
      </w:r>
      <w:r w:rsidRPr="00036983">
        <w:rPr>
          <w:i/>
          <w:iCs/>
        </w:rPr>
        <w:t>Bazo</w:t>
      </w:r>
      <w:r>
        <w:t>]</w:t>
      </w:r>
    </w:p>
    <w:p w14:paraId="4B6B09C5" w14:textId="20C207ED" w:rsidR="00036983" w:rsidRDefault="00036983" w:rsidP="00036983">
      <w:r>
        <w:t xml:space="preserve">116. </w:t>
      </w:r>
      <w:r>
        <w:tab/>
      </w:r>
      <w:r w:rsidR="00EE1E96">
        <w:t>É</w:t>
      </w:r>
      <w:r>
        <w:t xml:space="preserve">sta es la carne de la “lengua” del vientre. En cuanto al </w:t>
      </w:r>
      <w:r w:rsidRPr="00F36FCE">
        <w:rPr>
          <w:i/>
          <w:iCs/>
        </w:rPr>
        <w:t>color</w:t>
      </w:r>
      <w:r>
        <w:t xml:space="preserve">, es azul, </w:t>
      </w:r>
      <w:r w:rsidR="00132C5B">
        <w:t>d</w:t>
      </w:r>
      <w:r>
        <w:t xml:space="preserve">el color de las flores </w:t>
      </w:r>
      <w:proofErr w:type="spellStart"/>
      <w:r w:rsidRPr="00F36FCE">
        <w:rPr>
          <w:i/>
          <w:iCs/>
        </w:rPr>
        <w:t>nigguṇḍi</w:t>
      </w:r>
      <w:proofErr w:type="spellEnd"/>
      <w:r>
        <w:t xml:space="preserve">. En cuanto a la forma, tiene siete dedos de tamaño, sin accesorios, y la forma de una lengua de ternera negra. En cuanto a la </w:t>
      </w:r>
      <w:r w:rsidRPr="00F36FCE">
        <w:rPr>
          <w:i/>
          <w:iCs/>
        </w:rPr>
        <w:t>dirección</w:t>
      </w:r>
      <w:r>
        <w:t xml:space="preserve">, se encuentra en la dirección superior. En cuanto a la </w:t>
      </w:r>
      <w:r w:rsidRPr="00F36FCE">
        <w:rPr>
          <w:i/>
          <w:iCs/>
        </w:rPr>
        <w:t>ubicación</w:t>
      </w:r>
      <w:r>
        <w:t xml:space="preserve">, se encuentra cerca de la parte superior del vientre a la izquierda del corazón. Cuando </w:t>
      </w:r>
      <w:r w:rsidR="002665C7">
        <w:t>llega a ser</w:t>
      </w:r>
      <w:r>
        <w:t xml:space="preserve"> herida se acaba con la vida de un ser. En cuanto a la </w:t>
      </w:r>
      <w:r w:rsidRPr="00F36FCE">
        <w:rPr>
          <w:i/>
          <w:iCs/>
        </w:rPr>
        <w:t>delimitación</w:t>
      </w:r>
      <w:r>
        <w:t xml:space="preserve">, está limitada por lo que </w:t>
      </w:r>
      <w:r w:rsidR="00022F94">
        <w:t xml:space="preserve">corresponda </w:t>
      </w:r>
      <w:r>
        <w:t>al bazo...</w:t>
      </w:r>
    </w:p>
    <w:p w14:paraId="6462AA3F" w14:textId="77777777" w:rsidR="00036983" w:rsidRDefault="00036983" w:rsidP="00036983">
      <w:pPr>
        <w:jc w:val="center"/>
      </w:pPr>
      <w:r>
        <w:t>[</w:t>
      </w:r>
      <w:r w:rsidRPr="00036983">
        <w:rPr>
          <w:i/>
          <w:iCs/>
        </w:rPr>
        <w:t>Pulmones</w:t>
      </w:r>
      <w:r>
        <w:t>]</w:t>
      </w:r>
    </w:p>
    <w:p w14:paraId="382A315E" w14:textId="5A1D67C7" w:rsidR="00036983" w:rsidRDefault="00036983" w:rsidP="00036983">
      <w:r>
        <w:t xml:space="preserve">117. </w:t>
      </w:r>
      <w:r>
        <w:tab/>
        <w:t xml:space="preserve">La carne de los pulmones se divide en dos o tres trozos de carne. En cuanto al color, es rojo, </w:t>
      </w:r>
      <w:r w:rsidR="002665C7">
        <w:t>d</w:t>
      </w:r>
      <w:r>
        <w:t xml:space="preserve">el color de los frutos del higo </w:t>
      </w:r>
      <w:proofErr w:type="spellStart"/>
      <w:r w:rsidRPr="00F36FCE">
        <w:rPr>
          <w:i/>
          <w:iCs/>
        </w:rPr>
        <w:t>udumbara</w:t>
      </w:r>
      <w:proofErr w:type="spellEnd"/>
      <w:r>
        <w:t xml:space="preserve"> no muy maduros. En cuanto a la </w:t>
      </w:r>
      <w:r w:rsidRPr="00F36FCE">
        <w:rPr>
          <w:i/>
          <w:iCs/>
        </w:rPr>
        <w:t>forma</w:t>
      </w:r>
      <w:r>
        <w:t xml:space="preserve">, es </w:t>
      </w:r>
      <w:r w:rsidR="002665C7">
        <w:t xml:space="preserve">de </w:t>
      </w:r>
      <w:r>
        <w:t>la forma de una rebanada gruesa de pastel cortad</w:t>
      </w:r>
      <w:r w:rsidR="002665C7">
        <w:t>o</w:t>
      </w:r>
      <w:r>
        <w:t xml:space="preserve"> de manera desigual. Por dentro, es insípido y carece de esencia nutritiva, como un trozo de paja masticada, porque es afectado por el calor del [elemento] fuego nacido del </w:t>
      </w:r>
      <w:proofErr w:type="spellStart"/>
      <w:r w:rsidR="00057BF4" w:rsidRPr="00057BF4">
        <w:rPr>
          <w:i/>
          <w:iCs/>
        </w:rPr>
        <w:t>kamma</w:t>
      </w:r>
      <w:proofErr w:type="spellEnd"/>
      <w:r>
        <w:t xml:space="preserve"> que brota cuando hay necesidad de comer y beber. En cuanto a la </w:t>
      </w:r>
      <w:r w:rsidRPr="00F36FCE">
        <w:rPr>
          <w:i/>
          <w:iCs/>
        </w:rPr>
        <w:t>dirección</w:t>
      </w:r>
      <w:r>
        <w:t xml:space="preserve">, se encuentra en la dirección superior. En cuanto a su </w:t>
      </w:r>
      <w:r w:rsidRPr="00F36FCE">
        <w:rPr>
          <w:i/>
          <w:iCs/>
        </w:rPr>
        <w:t>ubicación</w:t>
      </w:r>
      <w:r>
        <w:t xml:space="preserve">, se encuentra dentro del cuerpo entre los dos senos, colgando sobre el corazón [258] y el hígado y ocultándolos. En cuanto a la </w:t>
      </w:r>
      <w:r w:rsidRPr="00F36FCE">
        <w:rPr>
          <w:i/>
          <w:iCs/>
        </w:rPr>
        <w:t>delimitación</w:t>
      </w:r>
      <w:r>
        <w:t xml:space="preserve">, está </w:t>
      </w:r>
      <w:r w:rsidR="003F74E0">
        <w:t>de</w:t>
      </w:r>
      <w:r>
        <w:t>limitada por lo que correspond</w:t>
      </w:r>
      <w:r w:rsidR="00022F94">
        <w:t>a</w:t>
      </w:r>
      <w:r>
        <w:t xml:space="preserve"> a los pulmones…</w:t>
      </w:r>
    </w:p>
    <w:p w14:paraId="45B4AE00" w14:textId="77777777" w:rsidR="00036983" w:rsidRDefault="00036983" w:rsidP="00036983">
      <w:pPr>
        <w:jc w:val="center"/>
      </w:pPr>
      <w:r>
        <w:t>[</w:t>
      </w:r>
      <w:r w:rsidRPr="00036983">
        <w:rPr>
          <w:i/>
          <w:iCs/>
        </w:rPr>
        <w:t>Intestino</w:t>
      </w:r>
      <w:r>
        <w:t>]</w:t>
      </w:r>
    </w:p>
    <w:p w14:paraId="3F842173" w14:textId="76938B8C" w:rsidR="00036983" w:rsidRDefault="00036983" w:rsidP="00036983">
      <w:r>
        <w:t xml:space="preserve">118. </w:t>
      </w:r>
      <w:r>
        <w:tab/>
        <w:t>Este es el tubo intestinal; tiene lazos</w:t>
      </w:r>
      <w:r w:rsidRPr="000B3CE0">
        <w:rPr>
          <w:vertAlign w:val="superscript"/>
        </w:rPr>
        <w:t>29</w:t>
      </w:r>
      <w:r>
        <w:t xml:space="preserve"> en veintiún lugares, y en el hombre tiene treinta y dos manos de largo, y en la mujer, veintiocho manos. En cuanto al </w:t>
      </w:r>
      <w:r w:rsidRPr="008F1435">
        <w:rPr>
          <w:i/>
          <w:iCs/>
        </w:rPr>
        <w:t>color</w:t>
      </w:r>
      <w:r>
        <w:t xml:space="preserve">, es blanco, </w:t>
      </w:r>
      <w:r w:rsidR="00194E58">
        <w:t xml:space="preserve">del </w:t>
      </w:r>
      <w:r>
        <w:t xml:space="preserve">color de </w:t>
      </w:r>
      <w:r w:rsidR="00194E58">
        <w:t xml:space="preserve">la </w:t>
      </w:r>
      <w:r>
        <w:t>cal mezclad</w:t>
      </w:r>
      <w:r w:rsidR="00194E58">
        <w:t>a</w:t>
      </w:r>
      <w:r>
        <w:t xml:space="preserve"> con arena. En cuanto a la </w:t>
      </w:r>
      <w:r w:rsidRPr="008F1435">
        <w:rPr>
          <w:i/>
          <w:iCs/>
        </w:rPr>
        <w:t>forma</w:t>
      </w:r>
      <w:r>
        <w:t xml:space="preserve">, es la forma de una serpiente decapitada enrollada y puesta en un comedero de sangre. En cuanto a la </w:t>
      </w:r>
      <w:r w:rsidRPr="008F1435">
        <w:rPr>
          <w:i/>
          <w:iCs/>
        </w:rPr>
        <w:t>dirección</w:t>
      </w:r>
      <w:r>
        <w:t xml:space="preserve">, se encuentra en las dos direcciones. En cuanto a su </w:t>
      </w:r>
      <w:r w:rsidRPr="008F1435">
        <w:rPr>
          <w:i/>
          <w:iCs/>
        </w:rPr>
        <w:t>ubicación</w:t>
      </w:r>
      <w:r>
        <w:t>, se fija arriba en el esófago y debajo en el conducto de excrementos (</w:t>
      </w:r>
      <w:r w:rsidR="00B456BD">
        <w:t xml:space="preserve">del </w:t>
      </w:r>
      <w:r>
        <w:t xml:space="preserve">recto), por lo que se encuentra en el interior del cuerpo entre los límites del esófago y el conducto de excrementos. En cuanto a la </w:t>
      </w:r>
      <w:r w:rsidRPr="008F1435">
        <w:rPr>
          <w:i/>
          <w:iCs/>
        </w:rPr>
        <w:t>delimitación</w:t>
      </w:r>
      <w:r>
        <w:t xml:space="preserve">, está acotada por lo </w:t>
      </w:r>
      <w:r w:rsidR="00022F94">
        <w:t xml:space="preserve">que corresponda </w:t>
      </w:r>
      <w:r>
        <w:t>al intestino...</w:t>
      </w:r>
    </w:p>
    <w:p w14:paraId="4B03FE63" w14:textId="77777777" w:rsidR="00036983" w:rsidRDefault="00036983" w:rsidP="00036983">
      <w:pPr>
        <w:jc w:val="center"/>
      </w:pPr>
      <w:r>
        <w:t>[</w:t>
      </w:r>
      <w:r w:rsidRPr="00036983">
        <w:rPr>
          <w:i/>
          <w:iCs/>
        </w:rPr>
        <w:t>Entrañas (Mesenterio</w:t>
      </w:r>
      <w:r>
        <w:t>)]</w:t>
      </w:r>
    </w:p>
    <w:p w14:paraId="69642273" w14:textId="75F8AE13" w:rsidR="00036983" w:rsidRDefault="00036983" w:rsidP="00036983">
      <w:r>
        <w:t xml:space="preserve">119. </w:t>
      </w:r>
      <w:r>
        <w:tab/>
        <w:t xml:space="preserve">Esta es la sujeción en los lugares donde se enrolla el intestino. En cuanto al </w:t>
      </w:r>
      <w:r w:rsidRPr="008F1435">
        <w:rPr>
          <w:i/>
          <w:iCs/>
        </w:rPr>
        <w:t>color</w:t>
      </w:r>
      <w:r>
        <w:t xml:space="preserve">, es blanco, </w:t>
      </w:r>
      <w:r w:rsidR="00B456BD">
        <w:t>d</w:t>
      </w:r>
      <w:r>
        <w:t xml:space="preserve">el color de las raíces </w:t>
      </w:r>
      <w:r w:rsidRPr="008F1435">
        <w:rPr>
          <w:i/>
          <w:iCs/>
        </w:rPr>
        <w:t>dakasītalika</w:t>
      </w:r>
      <w:r w:rsidRPr="008F1435">
        <w:rPr>
          <w:vertAlign w:val="superscript"/>
        </w:rPr>
        <w:t>30</w:t>
      </w:r>
      <w:r>
        <w:t xml:space="preserve"> (</w:t>
      </w:r>
      <w:r w:rsidRPr="008F1435">
        <w:rPr>
          <w:i/>
          <w:iCs/>
        </w:rPr>
        <w:t>nenúfar blanco comestible</w:t>
      </w:r>
      <w:r>
        <w:t xml:space="preserve">). En cuanto a la </w:t>
      </w:r>
      <w:r w:rsidRPr="008F1435">
        <w:rPr>
          <w:i/>
          <w:iCs/>
        </w:rPr>
        <w:t>forma</w:t>
      </w:r>
      <w:r>
        <w:t xml:space="preserve">, también es </w:t>
      </w:r>
      <w:r w:rsidR="00726840">
        <w:t xml:space="preserve">de </w:t>
      </w:r>
      <w:r>
        <w:t xml:space="preserve">la forma de esas raíces. En cuanto a la dirección, se encuentra en las dos direcciones. En cuanto a la </w:t>
      </w:r>
      <w:r w:rsidRPr="008F1435">
        <w:rPr>
          <w:i/>
          <w:iCs/>
        </w:rPr>
        <w:t>ubicación</w:t>
      </w:r>
      <w:r>
        <w:t>, se encuentra dentro de las veintiuna vueltas del intestino, como las cuerdas que se encuentran dentro de los anillos de cuerda para</w:t>
      </w:r>
    </w:p>
    <w:p w14:paraId="7640AB8E" w14:textId="77777777" w:rsidR="00036983" w:rsidRDefault="00036983" w:rsidP="00036983">
      <w:pPr>
        <w:pStyle w:val="PiedepginaLegal"/>
        <w:rPr>
          <w:u w:val="single"/>
        </w:rPr>
      </w:pPr>
      <w:r>
        <w:rPr>
          <w:u w:val="single"/>
        </w:rPr>
        <w:tab/>
      </w:r>
      <w:r>
        <w:rPr>
          <w:u w:val="single"/>
        </w:rPr>
        <w:tab/>
      </w:r>
      <w:r>
        <w:rPr>
          <w:u w:val="single"/>
        </w:rPr>
        <w:tab/>
      </w:r>
      <w:r>
        <w:rPr>
          <w:u w:val="single"/>
        </w:rPr>
        <w:tab/>
        <w:t>.</w:t>
      </w:r>
    </w:p>
    <w:p w14:paraId="7744CDEE" w14:textId="3AADDEC7" w:rsidR="00036983" w:rsidRDefault="00036983" w:rsidP="00036983">
      <w:pPr>
        <w:pStyle w:val="PiedepginaLegal"/>
      </w:pPr>
      <w:r>
        <w:t xml:space="preserve">29. </w:t>
      </w:r>
      <w:r>
        <w:tab/>
      </w:r>
      <w:proofErr w:type="spellStart"/>
      <w:r w:rsidRPr="00DE3738">
        <w:rPr>
          <w:i/>
          <w:iCs/>
        </w:rPr>
        <w:t>Obhagga</w:t>
      </w:r>
      <w:proofErr w:type="spellEnd"/>
      <w:r>
        <w:t xml:space="preserve">—“en bucle”: no </w:t>
      </w:r>
      <w:r w:rsidR="00DE3738">
        <w:t>se encuentran en</w:t>
      </w:r>
      <w:r>
        <w:t xml:space="preserve"> este sentido en </w:t>
      </w:r>
      <w:r w:rsidR="00DE3738">
        <w:t xml:space="preserve">el </w:t>
      </w:r>
      <w:r>
        <w:t xml:space="preserve">PED; ver </w:t>
      </w:r>
      <w:proofErr w:type="spellStart"/>
      <w:r w:rsidRPr="00DE3738">
        <w:rPr>
          <w:i/>
          <w:iCs/>
        </w:rPr>
        <w:t>obhañjati</w:t>
      </w:r>
      <w:proofErr w:type="spellEnd"/>
      <w:r>
        <w:t xml:space="preserve"> (XI.64 y PED).</w:t>
      </w:r>
    </w:p>
    <w:p w14:paraId="5220DAA3" w14:textId="72425F3E" w:rsidR="00036983" w:rsidRDefault="00036983" w:rsidP="00036983">
      <w:pPr>
        <w:pStyle w:val="PiedepginaLegal"/>
      </w:pPr>
      <w:r>
        <w:t xml:space="preserve">30. </w:t>
      </w:r>
      <w:r>
        <w:tab/>
      </w:r>
      <w:proofErr w:type="spellStart"/>
      <w:r w:rsidRPr="00DE3738">
        <w:rPr>
          <w:i/>
          <w:iCs/>
        </w:rPr>
        <w:t>Dakasītalika</w:t>
      </w:r>
      <w:proofErr w:type="spellEnd"/>
      <w:r>
        <w:t xml:space="preserve">: no </w:t>
      </w:r>
      <w:r w:rsidR="00DE3738">
        <w:t xml:space="preserve">encontrado en el </w:t>
      </w:r>
      <w:r>
        <w:t xml:space="preserve">PED; traducido en cingalés </w:t>
      </w:r>
      <w:r w:rsidR="00BD5B37">
        <w:t>mediante</w:t>
      </w:r>
      <w:r>
        <w:t xml:space="preserve"> </w:t>
      </w:r>
      <w:proofErr w:type="spellStart"/>
      <w:r w:rsidRPr="00BD5B37">
        <w:rPr>
          <w:i/>
          <w:iCs/>
        </w:rPr>
        <w:t>helmaeli</w:t>
      </w:r>
      <w:proofErr w:type="spellEnd"/>
      <w:r>
        <w:t xml:space="preserve"> (lirio de agua comestible blanco).</w:t>
      </w:r>
    </w:p>
    <w:p w14:paraId="462B1DD9" w14:textId="77777777" w:rsidR="00036983" w:rsidRDefault="00036983">
      <w:pPr>
        <w:tabs>
          <w:tab w:val="clear" w:pos="425"/>
        </w:tabs>
        <w:spacing w:after="160"/>
      </w:pPr>
      <w:r>
        <w:br w:type="page"/>
      </w:r>
    </w:p>
    <w:p w14:paraId="45BEA452" w14:textId="77777777" w:rsidR="00036983" w:rsidRDefault="00036983" w:rsidP="00036983"/>
    <w:p w14:paraId="5A2C476B" w14:textId="5D33303F" w:rsidR="00A47F9C" w:rsidRDefault="00A47F9C" w:rsidP="00A47F9C">
      <w:r>
        <w:t>limpia</w:t>
      </w:r>
      <w:r w:rsidR="00726840">
        <w:t>r</w:t>
      </w:r>
      <w:r>
        <w:t xml:space="preserve"> los pies, cosiéndolos juntos, y sujeta las espirales del intestino para que no se deslicen hacia abajo en aquellos que trabajan con azadones, hachas, etc., como las cuerdas de marionetas hacen con las extremidades de madera de las marionetas en el momento e</w:t>
      </w:r>
      <w:r w:rsidR="0083722B">
        <w:t>n</w:t>
      </w:r>
      <w:r>
        <w:t xml:space="preserve"> </w:t>
      </w:r>
      <w:r w:rsidR="00695C43">
        <w:t xml:space="preserve">que </w:t>
      </w:r>
      <w:r>
        <w:t>la marioneta est</w:t>
      </w:r>
      <w:r w:rsidR="00695C43">
        <w:t>é</w:t>
      </w:r>
      <w:r>
        <w:t xml:space="preserve"> siendo arrastrada. En cuanto a la </w:t>
      </w:r>
      <w:r w:rsidRPr="008F1435">
        <w:rPr>
          <w:i/>
          <w:iCs/>
        </w:rPr>
        <w:t>delimitación</w:t>
      </w:r>
      <w:r>
        <w:t xml:space="preserve">, está limitada por lo que </w:t>
      </w:r>
      <w:r w:rsidR="00022F94">
        <w:t xml:space="preserve">corresponda </w:t>
      </w:r>
      <w:r>
        <w:t>a las entrañas...</w:t>
      </w:r>
    </w:p>
    <w:p w14:paraId="6FBCAB29" w14:textId="1C02DB3D" w:rsidR="00A47F9C" w:rsidRDefault="00A47F9C" w:rsidP="00A47F9C">
      <w:pPr>
        <w:jc w:val="center"/>
      </w:pPr>
      <w:r>
        <w:t>[</w:t>
      </w:r>
      <w:r w:rsidR="00701A81">
        <w:rPr>
          <w:i/>
          <w:iCs/>
        </w:rPr>
        <w:t>Estómago</w:t>
      </w:r>
      <w:r>
        <w:t>]</w:t>
      </w:r>
    </w:p>
    <w:p w14:paraId="33FF3530" w14:textId="5D3F71D2" w:rsidR="00A47F9C" w:rsidRDefault="00A47F9C" w:rsidP="00A47F9C">
      <w:r>
        <w:t xml:space="preserve">120. </w:t>
      </w:r>
      <w:r>
        <w:tab/>
        <w:t>Esto es lo que se ha</w:t>
      </w:r>
      <w:r w:rsidR="00B76F0E">
        <w:t>ya</w:t>
      </w:r>
      <w:r>
        <w:t xml:space="preserve"> comido, bebido, masticado y probado, y está presente en el estómago. En cuanto al color, es el color de la comida tragada. En cuanto a la </w:t>
      </w:r>
      <w:r w:rsidRPr="008F1435">
        <w:rPr>
          <w:i/>
          <w:iCs/>
        </w:rPr>
        <w:t>forma</w:t>
      </w:r>
      <w:r>
        <w:t xml:space="preserve">, es la forma de arroz atado sin apretar en un colador de tela. En cuanto a la </w:t>
      </w:r>
      <w:r w:rsidRPr="008F1435">
        <w:rPr>
          <w:i/>
          <w:iCs/>
        </w:rPr>
        <w:t>dirección</w:t>
      </w:r>
      <w:r>
        <w:t xml:space="preserve">, es en la dirección superior. En cuanto a la </w:t>
      </w:r>
      <w:r w:rsidRPr="008F1435">
        <w:rPr>
          <w:i/>
          <w:iCs/>
        </w:rPr>
        <w:t>ubicación</w:t>
      </w:r>
      <w:r>
        <w:t>, es en el estómago.</w:t>
      </w:r>
    </w:p>
    <w:p w14:paraId="60A83E7D" w14:textId="7DA2368F" w:rsidR="00A47F9C" w:rsidRDefault="00A47F9C" w:rsidP="00A47F9C">
      <w:r>
        <w:t xml:space="preserve">121. </w:t>
      </w:r>
      <w:r>
        <w:tab/>
      </w:r>
      <w:r w:rsidR="003D7DBF">
        <w:t>A l</w:t>
      </w:r>
      <w:r>
        <w:t xml:space="preserve">o que se </w:t>
      </w:r>
      <w:r w:rsidR="003D7DBF">
        <w:t xml:space="preserve">le </w:t>
      </w:r>
      <w:r>
        <w:t xml:space="preserve">llama “estómago” es una parte de la membrana intestinal, que es como la hinchazón de aire que se produce en medio de un trozo de tela mojada cuando </w:t>
      </w:r>
      <w:r w:rsidR="00DE3C71">
        <w:t xml:space="preserve">se </w:t>
      </w:r>
      <w:r>
        <w:t>retuerce y se escurre los dos extremos. Es suave por fuera. Por dentro es como un globo de tela</w:t>
      </w:r>
      <w:r w:rsidRPr="004B2897">
        <w:rPr>
          <w:vertAlign w:val="superscript"/>
        </w:rPr>
        <w:t>31</w:t>
      </w:r>
      <w:r>
        <w:t xml:space="preserve"> manchado de envoltorio de desperdicios de carne; o puede decirse que es como el interior de la piel </w:t>
      </w:r>
      <w:r w:rsidR="00383B7D">
        <w:t xml:space="preserve">podrida </w:t>
      </w:r>
      <w:r>
        <w:t xml:space="preserve">de una jaca. Es el lugar donde habitan los gusanos hirviendo en marañas: </w:t>
      </w:r>
      <w:r w:rsidR="00CB16E3">
        <w:t xml:space="preserve">ahí habitan </w:t>
      </w:r>
      <w:r>
        <w:t>las treinta y dos familias de gusanos, tales como gusanos redondos, gusanos que producen furúnculos, gusanos "astilla de palma", gusanos de boca de aguja, tenias, gusanos de hilo y el resto.</w:t>
      </w:r>
      <w:r w:rsidRPr="00A35882">
        <w:rPr>
          <w:vertAlign w:val="superscript"/>
        </w:rPr>
        <w:t>32</w:t>
      </w:r>
      <w:r>
        <w:t xml:space="preserve"> Cuando no hay comida ni bebida, [259] etc., presentes, saltan chillando y se abalanzan sobre la carne del corazón; y cuando tragan comida y bebida, etc., esperan con la boca levantada y se apresuran a arrebatar los dos o tres primeros bultos tragados. </w:t>
      </w:r>
      <w:r w:rsidR="00EB6984">
        <w:t>É</w:t>
      </w:r>
      <w:r>
        <w:t>s</w:t>
      </w:r>
      <w:r w:rsidR="00EB6984">
        <w:t>ta</w:t>
      </w:r>
      <w:r>
        <w:t xml:space="preserve"> </w:t>
      </w:r>
      <w:r w:rsidR="00EB6984">
        <w:t xml:space="preserve">es </w:t>
      </w:r>
      <w:r>
        <w:t xml:space="preserve">la casa de maternidad, el retrete, el hospital y el osario de estos gusanos. </w:t>
      </w:r>
      <w:r w:rsidR="00EB6984">
        <w:t>Similarmente a</w:t>
      </w:r>
      <w:r w:rsidR="00595215">
        <w:t xml:space="preserve"> cuando </w:t>
      </w:r>
      <w:r>
        <w:t>ha</w:t>
      </w:r>
      <w:r w:rsidR="00F80171">
        <w:t>ya</w:t>
      </w:r>
      <w:r>
        <w:t xml:space="preserve"> llovido mucho </w:t>
      </w:r>
      <w:r w:rsidR="005A23CB">
        <w:t>después de un</w:t>
      </w:r>
      <w:r>
        <w:t xml:space="preserve"> tiempo de sequía y lo que ha</w:t>
      </w:r>
      <w:r w:rsidR="00F80171">
        <w:t>ya</w:t>
      </w:r>
      <w:r>
        <w:t xml:space="preserve"> sido arrastrado por el agua </w:t>
      </w:r>
      <w:r w:rsidR="005A23CB">
        <w:t>hasta e</w:t>
      </w:r>
      <w:r>
        <w:t xml:space="preserve">l pozo negro </w:t>
      </w:r>
      <w:r w:rsidR="00F06568">
        <w:t xml:space="preserve">ubicado en </w:t>
      </w:r>
      <w:r>
        <w:t xml:space="preserve">la </w:t>
      </w:r>
      <w:r w:rsidR="00F06568">
        <w:t xml:space="preserve">entrada </w:t>
      </w:r>
      <w:r>
        <w:t xml:space="preserve">de una aldea marginada, las diversas clases de </w:t>
      </w:r>
      <w:r w:rsidR="00D81C4E">
        <w:t>inmundicias</w:t>
      </w:r>
      <w:r w:rsidRPr="00B70D31">
        <w:rPr>
          <w:vertAlign w:val="superscript"/>
        </w:rPr>
        <w:t>33</w:t>
      </w:r>
      <w:r>
        <w:t xml:space="preserve"> como </w:t>
      </w:r>
      <w:r w:rsidR="00D81C4E">
        <w:t xml:space="preserve">la </w:t>
      </w:r>
      <w:r>
        <w:t xml:space="preserve">orina, </w:t>
      </w:r>
      <w:r w:rsidR="00D81C4E">
        <w:t xml:space="preserve">los </w:t>
      </w:r>
      <w:r>
        <w:t xml:space="preserve">excrementos, </w:t>
      </w:r>
      <w:r w:rsidR="00D81C4E">
        <w:t xml:space="preserve">los </w:t>
      </w:r>
      <w:r>
        <w:t>pedazos de cuero</w:t>
      </w:r>
      <w:r w:rsidR="00D81C4E">
        <w:t>,</w:t>
      </w:r>
      <w:r>
        <w:t xml:space="preserve"> huesos y tendones, así como </w:t>
      </w:r>
      <w:r w:rsidR="00D81C4E">
        <w:t xml:space="preserve">la </w:t>
      </w:r>
      <w:r>
        <w:t>saliva, mocos, sangre, etc.— se mezcla</w:t>
      </w:r>
      <w:r w:rsidR="00D81C4E">
        <w:t>n</w:t>
      </w:r>
      <w:r>
        <w:t xml:space="preserve"> con el lodo y el agua allí acumulada; y después de dos o tres días aparecen las familias de gusanos y </w:t>
      </w:r>
      <w:r w:rsidR="00701A81">
        <w:t xml:space="preserve">se </w:t>
      </w:r>
      <w:r>
        <w:t xml:space="preserve">fermenta, calentada por la energía del </w:t>
      </w:r>
      <w:r w:rsidR="001406AE">
        <w:t>Sol</w:t>
      </w:r>
      <w:r>
        <w:t xml:space="preserve">, espumeando y burbujeando en la parte superior, de color completamente negro, y tan terriblemente apestoso y repugnante que uno apenas </w:t>
      </w:r>
      <w:r w:rsidR="00701A81">
        <w:t xml:space="preserve">podría </w:t>
      </w:r>
      <w:r>
        <w:t>acercarse o mirarlo, mucho menos olerlo o saborearlo, así también, el estómago es</w:t>
      </w:r>
      <w:r w:rsidR="00F80171">
        <w:t xml:space="preserve"> en</w:t>
      </w:r>
      <w:r>
        <w:t xml:space="preserve"> donde cae el surtido de </w:t>
      </w:r>
      <w:r w:rsidR="00F80171">
        <w:t xml:space="preserve">la </w:t>
      </w:r>
      <w:r>
        <w:t xml:space="preserve">comida, bebida, etc. después de ser </w:t>
      </w:r>
      <w:r w:rsidR="00D65D39">
        <w:t xml:space="preserve">impulsado </w:t>
      </w:r>
      <w:r>
        <w:t>por la lengua y clavado</w:t>
      </w:r>
    </w:p>
    <w:p w14:paraId="31722943" w14:textId="77777777" w:rsidR="00A47F9C" w:rsidRDefault="00A47F9C" w:rsidP="00A47F9C"/>
    <w:p w14:paraId="27D0878E" w14:textId="77777777" w:rsidR="00A47F9C" w:rsidRDefault="00A47F9C" w:rsidP="00A47F9C">
      <w:pPr>
        <w:pStyle w:val="PiedepginaLegal"/>
        <w:rPr>
          <w:u w:val="single"/>
        </w:rPr>
      </w:pPr>
      <w:r>
        <w:rPr>
          <w:u w:val="single"/>
        </w:rPr>
        <w:tab/>
      </w:r>
      <w:r>
        <w:rPr>
          <w:u w:val="single"/>
        </w:rPr>
        <w:tab/>
      </w:r>
      <w:r>
        <w:rPr>
          <w:u w:val="single"/>
        </w:rPr>
        <w:tab/>
      </w:r>
      <w:r>
        <w:rPr>
          <w:u w:val="single"/>
        </w:rPr>
        <w:tab/>
        <w:t>.</w:t>
      </w:r>
    </w:p>
    <w:p w14:paraId="08B98BAE" w14:textId="61E0ACA4" w:rsidR="00A47F9C" w:rsidRDefault="00A47F9C" w:rsidP="00A47F9C">
      <w:pPr>
        <w:pStyle w:val="PiedepginaLegal"/>
      </w:pPr>
      <w:r>
        <w:t xml:space="preserve">31. </w:t>
      </w:r>
      <w:r>
        <w:tab/>
      </w:r>
      <w:proofErr w:type="spellStart"/>
      <w:r w:rsidRPr="00195A20">
        <w:rPr>
          <w:i/>
          <w:iCs/>
        </w:rPr>
        <w:t>Maṃsaka-sambu</w:t>
      </w:r>
      <w:r w:rsidR="00AD6B1D" w:rsidRPr="00AD6B1D">
        <w:rPr>
          <w:i/>
          <w:iCs/>
        </w:rPr>
        <w:t>Pāḷi</w:t>
      </w:r>
      <w:r w:rsidRPr="00195A20">
        <w:rPr>
          <w:i/>
          <w:iCs/>
        </w:rPr>
        <w:t>-veṭhana-kiliṭṭha-pāvāra-pupphaka-sadisa</w:t>
      </w:r>
      <w:proofErr w:type="spellEnd"/>
      <w:r w:rsidRPr="00195A20">
        <w:rPr>
          <w:i/>
          <w:iCs/>
        </w:rPr>
        <w:t>:</w:t>
      </w:r>
      <w:r>
        <w:t xml:space="preserve"> esto se traduce al cingalés </w:t>
      </w:r>
      <w:r w:rsidR="00FC21B2">
        <w:t>mediante</w:t>
      </w:r>
      <w:r>
        <w:t xml:space="preserve"> </w:t>
      </w:r>
      <w:proofErr w:type="spellStart"/>
      <w:r w:rsidRPr="00195A20">
        <w:rPr>
          <w:i/>
          <w:iCs/>
        </w:rPr>
        <w:t>kuṇu</w:t>
      </w:r>
      <w:proofErr w:type="spellEnd"/>
      <w:r>
        <w:t xml:space="preserve"> </w:t>
      </w:r>
      <w:proofErr w:type="spellStart"/>
      <w:r>
        <w:t>mas</w:t>
      </w:r>
      <w:proofErr w:type="spellEnd"/>
      <w:r>
        <w:t xml:space="preserve"> </w:t>
      </w:r>
      <w:proofErr w:type="spellStart"/>
      <w:r w:rsidRPr="00195A20">
        <w:rPr>
          <w:i/>
          <w:iCs/>
        </w:rPr>
        <w:t>kasaḷa</w:t>
      </w:r>
      <w:proofErr w:type="spellEnd"/>
      <w:r w:rsidRPr="00195A20">
        <w:rPr>
          <w:i/>
          <w:iCs/>
        </w:rPr>
        <w:t xml:space="preserve"> </w:t>
      </w:r>
      <w:proofErr w:type="spellStart"/>
      <w:r w:rsidRPr="00195A20">
        <w:rPr>
          <w:i/>
          <w:iCs/>
        </w:rPr>
        <w:t>velu</w:t>
      </w:r>
      <w:proofErr w:type="spellEnd"/>
      <w:r w:rsidRPr="00195A20">
        <w:rPr>
          <w:i/>
          <w:iCs/>
        </w:rPr>
        <w:t xml:space="preserve"> </w:t>
      </w:r>
      <w:proofErr w:type="spellStart"/>
      <w:r w:rsidRPr="00195A20">
        <w:rPr>
          <w:i/>
          <w:iCs/>
        </w:rPr>
        <w:t>porõnā</w:t>
      </w:r>
      <w:proofErr w:type="spellEnd"/>
      <w:r w:rsidRPr="00195A20">
        <w:rPr>
          <w:i/>
          <w:iCs/>
        </w:rPr>
        <w:t xml:space="preserve"> </w:t>
      </w:r>
      <w:proofErr w:type="spellStart"/>
      <w:r w:rsidRPr="00195A20">
        <w:rPr>
          <w:i/>
          <w:iCs/>
        </w:rPr>
        <w:t>kaḍek</w:t>
      </w:r>
      <w:proofErr w:type="spellEnd"/>
      <w:r w:rsidRPr="00195A20">
        <w:rPr>
          <w:i/>
          <w:iCs/>
        </w:rPr>
        <w:t xml:space="preserve"> </w:t>
      </w:r>
      <w:proofErr w:type="spellStart"/>
      <w:r w:rsidRPr="00195A20">
        <w:rPr>
          <w:i/>
          <w:iCs/>
        </w:rPr>
        <w:t>pup</w:t>
      </w:r>
      <w:proofErr w:type="spellEnd"/>
      <w:r>
        <w:t xml:space="preserve"> (“un trozo de tela inflado (o bolsa) que ha envuelto restos de carne podrida”). En </w:t>
      </w:r>
      <w:r w:rsidR="00FC21B2">
        <w:t xml:space="preserve">el </w:t>
      </w:r>
      <w:r>
        <w:t xml:space="preserve">PED </w:t>
      </w:r>
      <w:proofErr w:type="spellStart"/>
      <w:r w:rsidRPr="00195A20">
        <w:rPr>
          <w:i/>
          <w:iCs/>
        </w:rPr>
        <w:t>pāvāra</w:t>
      </w:r>
      <w:proofErr w:type="spellEnd"/>
      <w:r>
        <w:t xml:space="preserve"> se da como “capa, manto” y (esta ref.) como “el árbol de mango”; pero no parece haber autoridad para la traducción “árbol de mango”, que no tiene nada que ver con este contexto. </w:t>
      </w:r>
      <w:proofErr w:type="spellStart"/>
      <w:r w:rsidRPr="00195A20">
        <w:rPr>
          <w:i/>
          <w:iCs/>
        </w:rPr>
        <w:t>Pupphaka</w:t>
      </w:r>
      <w:proofErr w:type="spellEnd"/>
      <w:r>
        <w:t xml:space="preserve"> (globo) no está en </w:t>
      </w:r>
      <w:r w:rsidR="00FC21B2">
        <w:t xml:space="preserve">el </w:t>
      </w:r>
      <w:r>
        <w:t xml:space="preserve">PED (cf. la ortografía birmana común de </w:t>
      </w:r>
      <w:proofErr w:type="spellStart"/>
      <w:r w:rsidRPr="00195A20">
        <w:rPr>
          <w:i/>
          <w:iCs/>
        </w:rPr>
        <w:t>bubbuḷa</w:t>
      </w:r>
      <w:proofErr w:type="spellEnd"/>
      <w:r>
        <w:t xml:space="preserve"> (burbuja) como </w:t>
      </w:r>
      <w:proofErr w:type="spellStart"/>
      <w:r w:rsidRPr="00195A20">
        <w:rPr>
          <w:i/>
          <w:iCs/>
        </w:rPr>
        <w:t>pupphuḷa</w:t>
      </w:r>
      <w:proofErr w:type="spellEnd"/>
      <w:r>
        <w:t>).</w:t>
      </w:r>
    </w:p>
    <w:p w14:paraId="513059C4" w14:textId="1576BB70" w:rsidR="00A47F9C" w:rsidRDefault="00A47F9C" w:rsidP="00A47F9C">
      <w:pPr>
        <w:pStyle w:val="PiedepginaLegal"/>
      </w:pPr>
      <w:r>
        <w:t xml:space="preserve">32. </w:t>
      </w:r>
      <w:r>
        <w:tab/>
        <w:t xml:space="preserve">Sería un error tomar las representaciones de los nombres de estos gusanos demasiado literalmente. </w:t>
      </w:r>
      <w:proofErr w:type="spellStart"/>
      <w:r w:rsidRPr="00195A20">
        <w:rPr>
          <w:i/>
          <w:iCs/>
        </w:rPr>
        <w:t>Gaṇḍuppada</w:t>
      </w:r>
      <w:proofErr w:type="spellEnd"/>
      <w:r>
        <w:t xml:space="preserve"> (¿gusano productor de furúnculo</w:t>
      </w:r>
      <w:r w:rsidR="00A6299E">
        <w:t>s</w:t>
      </w:r>
      <w:r>
        <w:t xml:space="preserve">?) aparece solo como "gusano de tierra" en </w:t>
      </w:r>
      <w:r w:rsidR="00A6299E">
        <w:t xml:space="preserve">el </w:t>
      </w:r>
      <w:r>
        <w:t>PED, lo cual no funcionar</w:t>
      </w:r>
      <w:r w:rsidR="00677CAE">
        <w:t>ía</w:t>
      </w:r>
      <w:r>
        <w:t xml:space="preserve"> aquí. La lectura más generalmente aceptada parec</w:t>
      </w:r>
      <w:r w:rsidR="00677CAE">
        <w:t>iera</w:t>
      </w:r>
      <w:r>
        <w:t xml:space="preserve"> </w:t>
      </w:r>
      <w:r w:rsidR="004B2897">
        <w:t>adoptar</w:t>
      </w:r>
      <w:r>
        <w:t xml:space="preserve"> </w:t>
      </w:r>
      <w:proofErr w:type="spellStart"/>
      <w:r w:rsidRPr="00195A20">
        <w:rPr>
          <w:i/>
          <w:iCs/>
        </w:rPr>
        <w:t>paṭatantuka</w:t>
      </w:r>
      <w:proofErr w:type="spellEnd"/>
      <w:r>
        <w:t xml:space="preserve"> y </w:t>
      </w:r>
      <w:proofErr w:type="spellStart"/>
      <w:r w:rsidRPr="00195A20">
        <w:rPr>
          <w:i/>
          <w:iCs/>
        </w:rPr>
        <w:t>suttaka</w:t>
      </w:r>
      <w:proofErr w:type="spellEnd"/>
      <w:r>
        <w:t xml:space="preserve"> (</w:t>
      </w:r>
      <w:proofErr w:type="spellStart"/>
      <w:r>
        <w:t>tenia</w:t>
      </w:r>
      <w:proofErr w:type="spellEnd"/>
      <w:r>
        <w:t xml:space="preserve"> y oxiuro) como dos tipos en lugar de </w:t>
      </w:r>
      <w:proofErr w:type="spellStart"/>
      <w:r w:rsidRPr="00195A20">
        <w:rPr>
          <w:i/>
          <w:iCs/>
        </w:rPr>
        <w:t>paṭatantusuttaka</w:t>
      </w:r>
      <w:proofErr w:type="spellEnd"/>
      <w:r>
        <w:t xml:space="preserve">; ninguno </w:t>
      </w:r>
      <w:r w:rsidR="004B2897">
        <w:t xml:space="preserve">se encuentra </w:t>
      </w:r>
      <w:r>
        <w:t xml:space="preserve">en </w:t>
      </w:r>
      <w:r w:rsidR="004B2897">
        <w:t xml:space="preserve">el </w:t>
      </w:r>
      <w:r>
        <w:t>PED.</w:t>
      </w:r>
    </w:p>
    <w:p w14:paraId="668C423B" w14:textId="357F5E4F" w:rsidR="00A47F9C" w:rsidRDefault="00A47F9C" w:rsidP="00A47F9C">
      <w:pPr>
        <w:pStyle w:val="PiedepginaLegal"/>
      </w:pPr>
      <w:r>
        <w:t xml:space="preserve">33. </w:t>
      </w:r>
      <w:r>
        <w:tab/>
      </w:r>
      <w:proofErr w:type="spellStart"/>
      <w:r w:rsidRPr="00195A20">
        <w:rPr>
          <w:i/>
          <w:iCs/>
        </w:rPr>
        <w:t>Kuṇapa</w:t>
      </w:r>
      <w:proofErr w:type="spellEnd"/>
      <w:r>
        <w:t>—“</w:t>
      </w:r>
      <w:r w:rsidR="00EC046F">
        <w:t>inmundicia</w:t>
      </w:r>
      <w:r>
        <w:t xml:space="preserve">”; </w:t>
      </w:r>
      <w:r w:rsidR="004B2897">
        <w:t xml:space="preserve">el </w:t>
      </w:r>
      <w:r>
        <w:t xml:space="preserve">PED solo da el significado de "cadáver", que no se ajusta al significado ni aquí ni, por ejemplo, en </w:t>
      </w:r>
      <w:r w:rsidR="004B2897">
        <w:t xml:space="preserve">el </w:t>
      </w:r>
      <w:r>
        <w:t>XI.21, donde el sentido de cadáver es inapropiado.</w:t>
      </w:r>
    </w:p>
    <w:p w14:paraId="3517EC21" w14:textId="77777777" w:rsidR="00DC54ED" w:rsidRDefault="00DC54ED">
      <w:pPr>
        <w:tabs>
          <w:tab w:val="clear" w:pos="425"/>
        </w:tabs>
        <w:spacing w:after="160"/>
      </w:pPr>
      <w:r>
        <w:br w:type="page"/>
      </w:r>
    </w:p>
    <w:p w14:paraId="041C39AC" w14:textId="7CF3D831" w:rsidR="00DC54ED" w:rsidRDefault="00F80171" w:rsidP="00DC54ED">
      <w:r>
        <w:lastRenderedPageBreak/>
        <w:t>con</w:t>
      </w:r>
      <w:r w:rsidR="00DC54ED">
        <w:t xml:space="preserve">juntamente con </w:t>
      </w:r>
      <w:r>
        <w:t xml:space="preserve">la </w:t>
      </w:r>
      <w:r w:rsidR="00D65D39">
        <w:t>flema</w:t>
      </w:r>
      <w:r w:rsidR="00DC54ED">
        <w:t xml:space="preserve"> y </w:t>
      </w:r>
      <w:r>
        <w:t xml:space="preserve">la </w:t>
      </w:r>
      <w:r w:rsidR="00DC54ED">
        <w:t xml:space="preserve">saliva, perdiendo en ese momento sus virtudes de color, olor, sabor, etc., y tomando el aspecto de </w:t>
      </w:r>
      <w:r w:rsidR="00D65D39">
        <w:t xml:space="preserve">una </w:t>
      </w:r>
      <w:r w:rsidR="00DC54ED">
        <w:t>pasta de tejedor y vómito de perro, para empaparse luego en la bilis</w:t>
      </w:r>
      <w:r w:rsidR="00D65D39">
        <w:t>,</w:t>
      </w:r>
      <w:r w:rsidR="00DC54ED">
        <w:t xml:space="preserve"> </w:t>
      </w:r>
      <w:r w:rsidR="00D65D39">
        <w:t xml:space="preserve">la </w:t>
      </w:r>
      <w:r w:rsidR="00DC54ED">
        <w:t xml:space="preserve">flema y </w:t>
      </w:r>
      <w:r w:rsidR="00D65D39">
        <w:t xml:space="preserve">el </w:t>
      </w:r>
      <w:r w:rsidR="00DC54ED">
        <w:t>viento que se ha</w:t>
      </w:r>
      <w:r w:rsidR="00D65D39">
        <w:t>ya</w:t>
      </w:r>
      <w:r w:rsidR="00DC54ED">
        <w:t xml:space="preserve"> acumulado allí, donde </w:t>
      </w:r>
      <w:r w:rsidR="00D65D39">
        <w:t xml:space="preserve">se </w:t>
      </w:r>
      <w:r w:rsidR="00DC54ED">
        <w:t>fermenta con la energía del calor del fuego del estómago, hierve con las familias de gusanos, haciendo espuma y burbujeando en la parte superior, hasta que se convierte en un estiércol nauseabundo y completamente apestoso, inclus</w:t>
      </w:r>
      <w:r w:rsidR="00C6364E">
        <w:t>ive</w:t>
      </w:r>
      <w:r w:rsidR="00DC54ED">
        <w:t xml:space="preserve"> escuchar hablar de eso quita el apetito por la comida, beb</w:t>
      </w:r>
      <w:r w:rsidR="00C6364E">
        <w:t>ida</w:t>
      </w:r>
      <w:r w:rsidR="00DC54ED">
        <w:t xml:space="preserve">, etc., y mucho menos verlo con el ojo del entendimiento. Y cuando la comida, la bebida, </w:t>
      </w:r>
      <w:proofErr w:type="gramStart"/>
      <w:r w:rsidR="00DC54ED">
        <w:t>etc.,</w:t>
      </w:r>
      <w:proofErr w:type="gramEnd"/>
      <w:r w:rsidR="00DC54ED">
        <w:t xml:space="preserve"> caen en él, se dividen en cinco partes: los gusanos comen una parte, el fuego del estómago quema otra parte, otra parte se convierte en orina, otra parte se convierte en excremento y una parte es convertido en alimento y sustent</w:t>
      </w:r>
      <w:r w:rsidR="00746FE0">
        <w:t>o de</w:t>
      </w:r>
      <w:r w:rsidR="00DC54ED">
        <w:t xml:space="preserve"> la sangre, la carne, etc.</w:t>
      </w:r>
    </w:p>
    <w:p w14:paraId="49DD2F09" w14:textId="1620E937" w:rsidR="00DC54ED" w:rsidRDefault="00DC54ED" w:rsidP="00DC54ED">
      <w:r>
        <w:t xml:space="preserve">122. </w:t>
      </w:r>
      <w:r>
        <w:tab/>
        <w:t xml:space="preserve">En cuanto a la </w:t>
      </w:r>
      <w:r w:rsidRPr="00195A20">
        <w:rPr>
          <w:i/>
          <w:iCs/>
        </w:rPr>
        <w:t>delimitación</w:t>
      </w:r>
      <w:r>
        <w:t xml:space="preserve">, está limitada por el revestimiento del estómago y por lo que </w:t>
      </w:r>
      <w:r w:rsidR="00022F94">
        <w:t xml:space="preserve">corresponda </w:t>
      </w:r>
      <w:r>
        <w:t>al</w:t>
      </w:r>
      <w:r w:rsidR="00746FE0">
        <w:t xml:space="preserve"> </w:t>
      </w:r>
      <w:r w:rsidR="005A1ABF">
        <w:t>estómago</w:t>
      </w:r>
      <w:r>
        <w:t>…</w:t>
      </w:r>
    </w:p>
    <w:p w14:paraId="456244E9" w14:textId="01522D21" w:rsidR="00DC54ED" w:rsidRDefault="00DC54ED" w:rsidP="00DC54ED">
      <w:pPr>
        <w:jc w:val="center"/>
      </w:pPr>
      <w:r>
        <w:t>[</w:t>
      </w:r>
      <w:r w:rsidR="00E5008E">
        <w:rPr>
          <w:i/>
          <w:iCs/>
        </w:rPr>
        <w:t>Excrementos</w:t>
      </w:r>
      <w:r>
        <w:t>]</w:t>
      </w:r>
    </w:p>
    <w:p w14:paraId="65FA73E9" w14:textId="1EC96547" w:rsidR="00DC54ED" w:rsidRDefault="00DC54ED" w:rsidP="00DC54ED">
      <w:r>
        <w:t xml:space="preserve">123. </w:t>
      </w:r>
      <w:r>
        <w:tab/>
      </w:r>
      <w:r w:rsidR="0016335F">
        <w:t>Se refiere a aquello que s</w:t>
      </w:r>
      <w:r w:rsidR="00AA6DEE">
        <w:t>ea</w:t>
      </w:r>
      <w:r w:rsidR="0016335F">
        <w:t xml:space="preserve"> evacuado por el recto</w:t>
      </w:r>
      <w:r>
        <w:t xml:space="preserve">. En cuanto al </w:t>
      </w:r>
      <w:r w:rsidRPr="00195A20">
        <w:rPr>
          <w:i/>
          <w:iCs/>
        </w:rPr>
        <w:t>color</w:t>
      </w:r>
      <w:r>
        <w:t xml:space="preserve">, es principalmente </w:t>
      </w:r>
      <w:r w:rsidR="005D1B22">
        <w:t>d</w:t>
      </w:r>
      <w:r>
        <w:t xml:space="preserve">el color de los alimentos ingeridos. En cuanto a la </w:t>
      </w:r>
      <w:r w:rsidRPr="00195A20">
        <w:rPr>
          <w:i/>
          <w:iCs/>
        </w:rPr>
        <w:t>forma</w:t>
      </w:r>
      <w:r>
        <w:t xml:space="preserve">, </w:t>
      </w:r>
      <w:r w:rsidR="005D1B22">
        <w:t>posee</w:t>
      </w:r>
      <w:r>
        <w:t xml:space="preserve"> la forma de su ubicación. En cuanto a la </w:t>
      </w:r>
      <w:r w:rsidRPr="00195A20">
        <w:rPr>
          <w:i/>
          <w:iCs/>
        </w:rPr>
        <w:t>dirección</w:t>
      </w:r>
      <w:r>
        <w:t>, es</w:t>
      </w:r>
      <w:r w:rsidR="005D1B22">
        <w:t>tá</w:t>
      </w:r>
      <w:r>
        <w:t xml:space="preserve"> en la dirección inferior. En cuanto a su </w:t>
      </w:r>
      <w:r w:rsidRPr="00195A20">
        <w:rPr>
          <w:i/>
          <w:iCs/>
        </w:rPr>
        <w:t>ubicación</w:t>
      </w:r>
      <w:r>
        <w:t>, se encuentra en el receptáculo de alimentos digeridos (</w:t>
      </w:r>
      <w:r w:rsidR="00381AFB">
        <w:t xml:space="preserve">en el </w:t>
      </w:r>
      <w:r>
        <w:t>recto).</w:t>
      </w:r>
    </w:p>
    <w:p w14:paraId="543DA69B" w14:textId="7F914667" w:rsidR="00DC54ED" w:rsidRDefault="00DC54ED" w:rsidP="00DC54ED">
      <w:r>
        <w:t xml:space="preserve">124. </w:t>
      </w:r>
      <w:r>
        <w:tab/>
        <w:t xml:space="preserve">El receptáculo para la comida digerida es la parte más baja al final del intestino, entre el ombligo y la raíz de la columna vertebral. [260] Mide ocho dedos de altura y se asemeja a un tubo de bambú. </w:t>
      </w:r>
      <w:r w:rsidR="0065044C">
        <w:t>A igual que</w:t>
      </w:r>
      <w:r>
        <w:t xml:space="preserve"> el agua de lluvia cae en un nivel superior, corre hacia abajo para llenar un nivel inferior y permanece allí, así también, el receptáculo para alimentos digeridos </w:t>
      </w:r>
      <w:r w:rsidR="0065044C">
        <w:t xml:space="preserve">se encuentra </w:t>
      </w:r>
      <w:r>
        <w:t xml:space="preserve">donde cualquier alimento, bebida, etc., que haya caído </w:t>
      </w:r>
      <w:r w:rsidR="0065044C">
        <w:t>a</w:t>
      </w:r>
      <w:r>
        <w:t>l receptáculo para alimentos no digeridos, ha</w:t>
      </w:r>
      <w:r w:rsidR="0065044C">
        <w:t>ya</w:t>
      </w:r>
      <w:r>
        <w:t xml:space="preserve">n sido continuamente cocinados y hervidos a fuego lento por el fuego del estómago, y se han vuelto tan suaves como si se hubieran molido </w:t>
      </w:r>
      <w:r w:rsidR="0065044C">
        <w:t xml:space="preserve">por </w:t>
      </w:r>
      <w:r>
        <w:t>una piedra, bajan a través de las cavidades de los intestinos, y s</w:t>
      </w:r>
      <w:r w:rsidR="0065044C">
        <w:t>on</w:t>
      </w:r>
      <w:r>
        <w:t xml:space="preserve"> presiona</w:t>
      </w:r>
      <w:r w:rsidR="0065044C">
        <w:t>dos</w:t>
      </w:r>
      <w:r>
        <w:t xml:space="preserve"> allí hasta que se golpean como arcilla marrón empujada en un porro de bambú, y ahí se queda</w:t>
      </w:r>
      <w:r w:rsidR="0065044C">
        <w:t>n</w:t>
      </w:r>
      <w:r>
        <w:t>.</w:t>
      </w:r>
    </w:p>
    <w:p w14:paraId="5C2D76E7" w14:textId="68AA9DC6" w:rsidR="00DC54ED" w:rsidRDefault="00DC54ED" w:rsidP="00DC54ED">
      <w:r>
        <w:t xml:space="preserve">125. </w:t>
      </w:r>
      <w:r>
        <w:tab/>
        <w:t xml:space="preserve">En cuanto a la </w:t>
      </w:r>
      <w:r w:rsidRPr="00CA0D63">
        <w:rPr>
          <w:i/>
          <w:iCs/>
        </w:rPr>
        <w:t>delimitación</w:t>
      </w:r>
      <w:r>
        <w:t xml:space="preserve">, está limitado por el receptáculo de alimentos digeridos y por lo </w:t>
      </w:r>
      <w:r w:rsidR="00022F94">
        <w:t xml:space="preserve">que corresponda </w:t>
      </w:r>
      <w:r>
        <w:t>a los excrementos...</w:t>
      </w:r>
    </w:p>
    <w:p w14:paraId="573759A7" w14:textId="77777777" w:rsidR="00DC54ED" w:rsidRDefault="00DC54ED" w:rsidP="00DC54ED">
      <w:pPr>
        <w:jc w:val="center"/>
      </w:pPr>
      <w:r>
        <w:t>[</w:t>
      </w:r>
      <w:r w:rsidRPr="00DC54ED">
        <w:rPr>
          <w:i/>
          <w:iCs/>
        </w:rPr>
        <w:t>Cerebro</w:t>
      </w:r>
      <w:r>
        <w:t>]</w:t>
      </w:r>
    </w:p>
    <w:p w14:paraId="01773E6D" w14:textId="6B50E724" w:rsidR="00DC54ED" w:rsidRDefault="00DC54ED" w:rsidP="00DC54ED">
      <w:r>
        <w:t xml:space="preserve">126. </w:t>
      </w:r>
      <w:r>
        <w:tab/>
      </w:r>
      <w:r w:rsidR="00E06A7E">
        <w:t>É</w:t>
      </w:r>
      <w:r>
        <w:t>st</w:t>
      </w:r>
      <w:r w:rsidR="00E06A7E">
        <w:t>e</w:t>
      </w:r>
      <w:r>
        <w:t xml:space="preserve"> </w:t>
      </w:r>
      <w:r w:rsidR="00E06A7E">
        <w:t xml:space="preserve">está constituido por </w:t>
      </w:r>
      <w:r w:rsidR="00B44C05">
        <w:t>porciones</w:t>
      </w:r>
      <w:r>
        <w:t xml:space="preserve"> de </w:t>
      </w:r>
      <w:r w:rsidR="00E06A7E">
        <w:t xml:space="preserve">la </w:t>
      </w:r>
      <w:r>
        <w:t xml:space="preserve">médula que se encuentran dentro del cráneo. En cuanto al </w:t>
      </w:r>
      <w:r w:rsidRPr="006B696D">
        <w:rPr>
          <w:i/>
          <w:iCs/>
        </w:rPr>
        <w:t>color</w:t>
      </w:r>
      <w:r>
        <w:t xml:space="preserve">, es blanco, </w:t>
      </w:r>
      <w:r w:rsidR="00CA0D63">
        <w:t>d</w:t>
      </w:r>
      <w:r>
        <w:t xml:space="preserve">el color de la carne de una seta venenosa; también se puede decir que es </w:t>
      </w:r>
      <w:r w:rsidR="00CA0D63">
        <w:t>d</w:t>
      </w:r>
      <w:r>
        <w:t>el color de la leche volteada que aún no se ha</w:t>
      </w:r>
      <w:r w:rsidR="00D73E26">
        <w:t>ya</w:t>
      </w:r>
      <w:r>
        <w:t xml:space="preserve"> convertido en cuajada. En cuanto a la </w:t>
      </w:r>
      <w:r w:rsidRPr="006B696D">
        <w:rPr>
          <w:i/>
          <w:iCs/>
        </w:rPr>
        <w:t>forma</w:t>
      </w:r>
      <w:r>
        <w:t xml:space="preserve">, </w:t>
      </w:r>
      <w:r w:rsidR="00D73E26">
        <w:t xml:space="preserve">posee </w:t>
      </w:r>
      <w:r>
        <w:t xml:space="preserve">la forma de su ubicación. En cuanto a la </w:t>
      </w:r>
      <w:r w:rsidRPr="006B696D">
        <w:rPr>
          <w:i/>
          <w:iCs/>
        </w:rPr>
        <w:t>dirección</w:t>
      </w:r>
      <w:r>
        <w:t xml:space="preserve">, pertenece a la dirección superior. En cuanto a la </w:t>
      </w:r>
      <w:r w:rsidRPr="006B696D">
        <w:rPr>
          <w:i/>
          <w:iCs/>
        </w:rPr>
        <w:t>ubicación</w:t>
      </w:r>
      <w:r>
        <w:t>, se encuentra dentro del cráneo, como cuatro trozos de masa unidos correspond</w:t>
      </w:r>
      <w:r w:rsidR="003912F7">
        <w:t xml:space="preserve">ientes a </w:t>
      </w:r>
      <w:r>
        <w:t xml:space="preserve">las cuatro secciones suturadas [del cráneo]. En cuanto a la </w:t>
      </w:r>
      <w:r w:rsidRPr="006B696D">
        <w:rPr>
          <w:i/>
          <w:iCs/>
        </w:rPr>
        <w:t>delimitación</w:t>
      </w:r>
      <w:r>
        <w:t xml:space="preserve">, está limitado por la superficie interna del cráneo y por lo que </w:t>
      </w:r>
      <w:r w:rsidR="00022F94">
        <w:t xml:space="preserve">corresponda </w:t>
      </w:r>
      <w:r>
        <w:t>al cerebro...</w:t>
      </w:r>
    </w:p>
    <w:p w14:paraId="56A29E82" w14:textId="77777777" w:rsidR="00DC54ED" w:rsidRDefault="00DC54ED" w:rsidP="00DC54ED">
      <w:pPr>
        <w:jc w:val="center"/>
      </w:pPr>
      <w:r>
        <w:t>[</w:t>
      </w:r>
      <w:r w:rsidRPr="00DC54ED">
        <w:rPr>
          <w:i/>
          <w:iCs/>
        </w:rPr>
        <w:t>Bilis</w:t>
      </w:r>
      <w:r>
        <w:t>]</w:t>
      </w:r>
    </w:p>
    <w:p w14:paraId="26C9FAFC" w14:textId="786BF843" w:rsidR="001E0AD6" w:rsidRDefault="00DC54ED" w:rsidP="001E0AD6">
      <w:r>
        <w:t xml:space="preserve">127. </w:t>
      </w:r>
      <w:r>
        <w:tab/>
        <w:t xml:space="preserve">Hay dos clases de bilis: la bilis local y la bilis libre. En cuanto al </w:t>
      </w:r>
      <w:r w:rsidRPr="006B696D">
        <w:rPr>
          <w:i/>
          <w:iCs/>
        </w:rPr>
        <w:t>color</w:t>
      </w:r>
      <w:r>
        <w:t xml:space="preserve">, la bilis local es del color del aceite </w:t>
      </w:r>
      <w:r w:rsidR="003912F7">
        <w:t>espeso de</w:t>
      </w:r>
      <w:r w:rsidR="003912F7" w:rsidRPr="006B696D">
        <w:rPr>
          <w:i/>
          <w:iCs/>
        </w:rPr>
        <w:t xml:space="preserve"> </w:t>
      </w:r>
      <w:proofErr w:type="spellStart"/>
      <w:r w:rsidRPr="006B696D">
        <w:rPr>
          <w:i/>
          <w:iCs/>
        </w:rPr>
        <w:t>madhuka</w:t>
      </w:r>
      <w:proofErr w:type="spellEnd"/>
      <w:r>
        <w:t xml:space="preserve">; la bilis libre es del color de las flores marchitas de </w:t>
      </w:r>
      <w:proofErr w:type="spellStart"/>
      <w:r w:rsidRPr="006B696D">
        <w:rPr>
          <w:i/>
          <w:iCs/>
        </w:rPr>
        <w:t>ākulī</w:t>
      </w:r>
      <w:proofErr w:type="spellEnd"/>
      <w:r>
        <w:t xml:space="preserve">. En cuanto a la </w:t>
      </w:r>
      <w:r w:rsidRPr="006B696D">
        <w:rPr>
          <w:i/>
          <w:iCs/>
        </w:rPr>
        <w:t>forma</w:t>
      </w:r>
      <w:r>
        <w:t xml:space="preserve">, ambos </w:t>
      </w:r>
      <w:r w:rsidR="003912F7">
        <w:t>adoptan</w:t>
      </w:r>
      <w:r>
        <w:t xml:space="preserve"> la forma de su ubicación. En cuanto a la </w:t>
      </w:r>
      <w:r w:rsidRPr="006B696D">
        <w:rPr>
          <w:i/>
          <w:iCs/>
        </w:rPr>
        <w:t>dirección</w:t>
      </w:r>
      <w:r>
        <w:t xml:space="preserve">, la bilis local pertenece a la dirección superior; el otro pertenece a ambas direcciones. En cuanto a la </w:t>
      </w:r>
      <w:r w:rsidRPr="006B696D">
        <w:rPr>
          <w:i/>
          <w:iCs/>
        </w:rPr>
        <w:t>ubicación</w:t>
      </w:r>
      <w:r>
        <w:t xml:space="preserve">, la bilis libre se esparce, como una gota de aceite en el agua, por todo el cuerpo a excepción de las partes descarnadas de los </w:t>
      </w:r>
      <w:r w:rsidR="003912F7">
        <w:t>cabellos</w:t>
      </w:r>
      <w:r>
        <w:t xml:space="preserve"> de la cabeza, </w:t>
      </w:r>
      <w:r w:rsidR="003912F7">
        <w:t>los vellos del</w:t>
      </w:r>
      <w:r>
        <w:t xml:space="preserve"> cuerpo</w:t>
      </w:r>
      <w:r w:rsidR="003912F7">
        <w:t>, los dientes,</w:t>
      </w:r>
      <w:r w:rsidR="001E0AD6">
        <w:br w:type="page"/>
      </w:r>
    </w:p>
    <w:p w14:paraId="64BEF83D" w14:textId="673DF1FC" w:rsidR="001E0AD6" w:rsidRDefault="001E0AD6" w:rsidP="00DC54ED"/>
    <w:p w14:paraId="195F14FD" w14:textId="4E794A4E" w:rsidR="001E0AD6" w:rsidRDefault="001E0AD6" w:rsidP="001E0AD6">
      <w:r>
        <w:t>uñas y la piel dura y seca. Cuando se altera, los ojos se vuelven amarillos y tiemblan, y hay escalofríos y picazón</w:t>
      </w:r>
      <w:r w:rsidRPr="006C2CB3">
        <w:rPr>
          <w:vertAlign w:val="superscript"/>
        </w:rPr>
        <w:t>34</w:t>
      </w:r>
      <w:r>
        <w:t xml:space="preserve"> en el cuerpo. La bilis local está situada cerca de la carne del hígado entre el corazón y los pulmones. Se encuentra en el </w:t>
      </w:r>
      <w:r w:rsidR="00D57E89">
        <w:t>depósito</w:t>
      </w:r>
      <w:r>
        <w:t xml:space="preserve"> de la bilis (vesícula biliar), que es como una gran pep</w:t>
      </w:r>
      <w:r w:rsidR="00D57E89">
        <w:t>a</w:t>
      </w:r>
      <w:r>
        <w:t xml:space="preserve"> de calabaza </w:t>
      </w:r>
      <w:proofErr w:type="spellStart"/>
      <w:r w:rsidRPr="00D57E89">
        <w:rPr>
          <w:i/>
          <w:iCs/>
        </w:rPr>
        <w:t>kosātakī</w:t>
      </w:r>
      <w:proofErr w:type="spellEnd"/>
      <w:r>
        <w:t xml:space="preserve"> (</w:t>
      </w:r>
      <w:proofErr w:type="spellStart"/>
      <w:r>
        <w:t>lufa</w:t>
      </w:r>
      <w:proofErr w:type="spellEnd"/>
      <w:r>
        <w:t xml:space="preserve">). Cuando se perturba, los seres enloquecen y </w:t>
      </w:r>
      <w:r w:rsidR="0050351D">
        <w:t>se vuelven dementes</w:t>
      </w:r>
      <w:r>
        <w:t>, se despojan de la con</w:t>
      </w:r>
      <w:r w:rsidR="00561240">
        <w:t>s</w:t>
      </w:r>
      <w:r>
        <w:t xml:space="preserve">ciencia y de la vergüenza y hacen lo indescifrable, hablan lo indecible y piensan lo impensable. En cuanto a la </w:t>
      </w:r>
      <w:r w:rsidRPr="006B696D">
        <w:rPr>
          <w:i/>
          <w:iCs/>
        </w:rPr>
        <w:t>delimitación</w:t>
      </w:r>
      <w:r>
        <w:t xml:space="preserve">, está limitada por lo que </w:t>
      </w:r>
      <w:r w:rsidR="00022F94">
        <w:t xml:space="preserve">corresponda </w:t>
      </w:r>
      <w:r>
        <w:t>a la bilis... [261]</w:t>
      </w:r>
    </w:p>
    <w:p w14:paraId="6FB4ED39" w14:textId="77777777" w:rsidR="001E0AD6" w:rsidRDefault="001E0AD6" w:rsidP="001E0AD6">
      <w:pPr>
        <w:jc w:val="center"/>
      </w:pPr>
      <w:r>
        <w:t>[</w:t>
      </w:r>
      <w:r w:rsidRPr="001E0AD6">
        <w:rPr>
          <w:i/>
          <w:iCs/>
        </w:rPr>
        <w:t>Flema</w:t>
      </w:r>
      <w:r>
        <w:t>]</w:t>
      </w:r>
    </w:p>
    <w:p w14:paraId="0AFD9035" w14:textId="13C5E141" w:rsidR="001E0AD6" w:rsidRDefault="001E0AD6" w:rsidP="001E0AD6">
      <w:r>
        <w:t xml:space="preserve">128. </w:t>
      </w:r>
      <w:r>
        <w:tab/>
        <w:t xml:space="preserve">La flema está dentro del cuerpo y </w:t>
      </w:r>
      <w:r w:rsidR="003D3168">
        <w:t xml:space="preserve">alcanza </w:t>
      </w:r>
      <w:r w:rsidR="001A2C9B">
        <w:t xml:space="preserve">el </w:t>
      </w:r>
      <w:r w:rsidR="003D3168">
        <w:t>volumen</w:t>
      </w:r>
      <w:r>
        <w:t xml:space="preserve"> </w:t>
      </w:r>
      <w:r w:rsidR="001A2C9B">
        <w:t xml:space="preserve">de </w:t>
      </w:r>
      <w:r>
        <w:t xml:space="preserve">un cuenco lleno. En cuanto al </w:t>
      </w:r>
      <w:r w:rsidRPr="006B696D">
        <w:rPr>
          <w:i/>
          <w:iCs/>
        </w:rPr>
        <w:t>color</w:t>
      </w:r>
      <w:r>
        <w:t xml:space="preserve">, es blanco, el color del jugo de las hojas de </w:t>
      </w:r>
      <w:proofErr w:type="spellStart"/>
      <w:r w:rsidRPr="006B696D">
        <w:rPr>
          <w:i/>
          <w:iCs/>
        </w:rPr>
        <w:t>nāgabalā</w:t>
      </w:r>
      <w:proofErr w:type="spellEnd"/>
      <w:r>
        <w:t xml:space="preserve">. En cuanto a la </w:t>
      </w:r>
      <w:r w:rsidRPr="006B696D">
        <w:rPr>
          <w:i/>
          <w:iCs/>
        </w:rPr>
        <w:t>forma</w:t>
      </w:r>
      <w:r>
        <w:t xml:space="preserve">, </w:t>
      </w:r>
      <w:r w:rsidR="001A2C9B">
        <w:t xml:space="preserve">tendrá </w:t>
      </w:r>
      <w:r>
        <w:t xml:space="preserve">la forma de su ubicación. En cuanto a la </w:t>
      </w:r>
      <w:r w:rsidRPr="006B696D">
        <w:rPr>
          <w:i/>
          <w:iCs/>
        </w:rPr>
        <w:t>dirección</w:t>
      </w:r>
      <w:r>
        <w:t xml:space="preserve">, pertenece a la dirección superior. En cuanto a la </w:t>
      </w:r>
      <w:r w:rsidRPr="006B696D">
        <w:rPr>
          <w:i/>
          <w:iCs/>
        </w:rPr>
        <w:t>ubicación</w:t>
      </w:r>
      <w:r>
        <w:t>, se encuentra en la superficie del estómago. Así como la lenteja de agua y la espuma verde en la superficie del agua se dividen cuando se deja caer un palo o un fragmento de cerámica en el agua y luego se vuelven a juntar, así también, en el momento de comer y beber, etc., cuando la comida, la bebida, etc., ca</w:t>
      </w:r>
      <w:r w:rsidR="00CE00FF">
        <w:t>igan</w:t>
      </w:r>
      <w:r>
        <w:t xml:space="preserve"> </w:t>
      </w:r>
      <w:r w:rsidR="00C05863">
        <w:t>a</w:t>
      </w:r>
      <w:r>
        <w:t xml:space="preserve">l estómago, la flema se divide y luego se vuelve a juntar. Y si se debilita, el estómago se vuelve completamente repugnante con un olor a estiércol, como un forúnculo maduro o un huevo de gallina podrido, </w:t>
      </w:r>
      <w:r w:rsidR="00CB66BB">
        <w:t xml:space="preserve">originando </w:t>
      </w:r>
      <w:r>
        <w:t xml:space="preserve">eructos y </w:t>
      </w:r>
      <w:r w:rsidR="00C17ACD">
        <w:t xml:space="preserve">hace que </w:t>
      </w:r>
      <w:r>
        <w:t>la boca huel</w:t>
      </w:r>
      <w:r w:rsidR="00C17ACD">
        <w:t>a</w:t>
      </w:r>
      <w:r>
        <w:t xml:space="preserve"> </w:t>
      </w:r>
      <w:r w:rsidR="00C17ACD">
        <w:t>a</w:t>
      </w:r>
      <w:r>
        <w:t xml:space="preserve"> un hedor como estiércol podrido que sube </w:t>
      </w:r>
      <w:r w:rsidR="00C17ACD">
        <w:t>por e</w:t>
      </w:r>
      <w:r>
        <w:t xml:space="preserve">l estómago, de modo que </w:t>
      </w:r>
      <w:r w:rsidR="00AA1548">
        <w:t>a</w:t>
      </w:r>
      <w:r>
        <w:t xml:space="preserve">l hombre </w:t>
      </w:r>
      <w:r w:rsidR="00AA1548">
        <w:t>se</w:t>
      </w:r>
      <w:r>
        <w:t xml:space="preserve"> le di</w:t>
      </w:r>
      <w:r w:rsidR="00C17ACD">
        <w:t>ce</w:t>
      </w:r>
      <w:r>
        <w:t xml:space="preserve"> "Vete, tu aliento huele mal". Pero cuando crece en abundancia retiene el hedor de </w:t>
      </w:r>
      <w:r w:rsidR="004B2425">
        <w:t>los desperdicios</w:t>
      </w:r>
      <w:r>
        <w:t xml:space="preserve"> debajo de la superficie del estómago, actuando como la tapa de madera de un retrete. En cuanto a la </w:t>
      </w:r>
      <w:r w:rsidRPr="006B696D">
        <w:rPr>
          <w:i/>
          <w:iCs/>
        </w:rPr>
        <w:t>delimitación</w:t>
      </w:r>
      <w:r>
        <w:t>, está limitad</w:t>
      </w:r>
      <w:r w:rsidR="004B2425">
        <w:t>o</w:t>
      </w:r>
      <w:r>
        <w:t xml:space="preserve"> por lo que </w:t>
      </w:r>
      <w:r w:rsidR="00022F94">
        <w:t xml:space="preserve">corresponda </w:t>
      </w:r>
      <w:r>
        <w:t>a la flema…</w:t>
      </w:r>
    </w:p>
    <w:p w14:paraId="3C91F554" w14:textId="77777777" w:rsidR="001E0AD6" w:rsidRDefault="001E0AD6" w:rsidP="001E0AD6">
      <w:pPr>
        <w:jc w:val="center"/>
      </w:pPr>
      <w:r>
        <w:t>[</w:t>
      </w:r>
      <w:r w:rsidRPr="001E0AD6">
        <w:rPr>
          <w:i/>
          <w:iCs/>
        </w:rPr>
        <w:t>Pus</w:t>
      </w:r>
      <w:r>
        <w:t>]</w:t>
      </w:r>
    </w:p>
    <w:p w14:paraId="467D7A92" w14:textId="74260F8F" w:rsidR="001E0AD6" w:rsidRDefault="001E0AD6" w:rsidP="001E0AD6">
      <w:r>
        <w:t xml:space="preserve">129. </w:t>
      </w:r>
      <w:r>
        <w:tab/>
        <w:t xml:space="preserve">La sangre en descomposición produce pus. En cuanto al </w:t>
      </w:r>
      <w:r w:rsidRPr="006B696D">
        <w:rPr>
          <w:i/>
          <w:iCs/>
        </w:rPr>
        <w:t>color</w:t>
      </w:r>
      <w:r>
        <w:t xml:space="preserve">, es </w:t>
      </w:r>
      <w:r w:rsidR="00C17ACD">
        <w:t>d</w:t>
      </w:r>
      <w:r>
        <w:t xml:space="preserve">el color de las hojas blanqueadas; pero en un cadáver tiene el color de unas gachas espesas y rancias. En cuanto a la </w:t>
      </w:r>
      <w:r w:rsidRPr="006B696D">
        <w:rPr>
          <w:i/>
          <w:iCs/>
        </w:rPr>
        <w:t>forma</w:t>
      </w:r>
      <w:r>
        <w:t xml:space="preserve">, es la forma de su ubicación. En cuanto a la </w:t>
      </w:r>
      <w:r w:rsidRPr="006B696D">
        <w:rPr>
          <w:i/>
          <w:iCs/>
        </w:rPr>
        <w:t>dirección</w:t>
      </w:r>
      <w:r>
        <w:t xml:space="preserve">, pertenece a ambas direcciones. Sin embargo, en cuanto a la </w:t>
      </w:r>
      <w:r w:rsidRPr="00AF38DA">
        <w:rPr>
          <w:i/>
          <w:iCs/>
        </w:rPr>
        <w:t>ubicación</w:t>
      </w:r>
      <w:r>
        <w:t>, no hay una ubicación fija para el pus donde se pueda encontrar almacenado. Dondequiera que la sangre se estan</w:t>
      </w:r>
      <w:r w:rsidR="00B81185">
        <w:t>que</w:t>
      </w:r>
      <w:r>
        <w:t xml:space="preserve"> y se ech</w:t>
      </w:r>
      <w:r w:rsidR="00B81185">
        <w:t>e</w:t>
      </w:r>
      <w:r>
        <w:t xml:space="preserve"> a perder en alguna parte del cuerpo dañada por heridas con muñones y espinas, por quemaduras </w:t>
      </w:r>
      <w:r w:rsidR="00C17ACD">
        <w:t>de</w:t>
      </w:r>
      <w:r>
        <w:t xml:space="preserve"> fuego, etc., o donde apare</w:t>
      </w:r>
      <w:r w:rsidR="00B81185">
        <w:t>zca</w:t>
      </w:r>
      <w:r>
        <w:t xml:space="preserve">n forúnculos, </w:t>
      </w:r>
      <w:r w:rsidR="00B00085">
        <w:t>granos</w:t>
      </w:r>
      <w:r>
        <w:t xml:space="preserve">, etc., allí se </w:t>
      </w:r>
      <w:r w:rsidR="00B00085">
        <w:t xml:space="preserve">podrá </w:t>
      </w:r>
      <w:r>
        <w:t xml:space="preserve">encontrar. En cuanto a la </w:t>
      </w:r>
      <w:r w:rsidRPr="006B696D">
        <w:rPr>
          <w:i/>
          <w:iCs/>
        </w:rPr>
        <w:t>delimitación</w:t>
      </w:r>
      <w:r>
        <w:t xml:space="preserve">, está limitada por lo que </w:t>
      </w:r>
      <w:r w:rsidR="00022F94">
        <w:t xml:space="preserve">corresponda </w:t>
      </w:r>
      <w:r>
        <w:t>al pus...</w:t>
      </w:r>
    </w:p>
    <w:p w14:paraId="56D411D3" w14:textId="77777777" w:rsidR="001E0AD6" w:rsidRDefault="001E0AD6" w:rsidP="001E0AD6">
      <w:pPr>
        <w:jc w:val="center"/>
      </w:pPr>
      <w:r>
        <w:t>[</w:t>
      </w:r>
      <w:r w:rsidRPr="001E0AD6">
        <w:rPr>
          <w:i/>
          <w:iCs/>
        </w:rPr>
        <w:t>Sangre</w:t>
      </w:r>
      <w:r>
        <w:t>]</w:t>
      </w:r>
    </w:p>
    <w:p w14:paraId="7EDB1350" w14:textId="3745346A" w:rsidR="001E0AD6" w:rsidRDefault="001E0AD6" w:rsidP="001E0AD6">
      <w:r>
        <w:t xml:space="preserve">130. </w:t>
      </w:r>
      <w:r>
        <w:tab/>
      </w:r>
      <w:r w:rsidR="00A70CC8">
        <w:t>Existen</w:t>
      </w:r>
      <w:r>
        <w:t xml:space="preserve"> dos tipos de sangre: </w:t>
      </w:r>
      <w:r w:rsidR="00B00085">
        <w:t xml:space="preserve">la </w:t>
      </w:r>
      <w:r>
        <w:t xml:space="preserve">sangre almacenada y </w:t>
      </w:r>
      <w:r w:rsidR="00B00085">
        <w:t xml:space="preserve">la </w:t>
      </w:r>
      <w:r>
        <w:t xml:space="preserve">sangre móvil. Aquí, en cuanto al </w:t>
      </w:r>
      <w:r w:rsidRPr="00AF38DA">
        <w:rPr>
          <w:i/>
          <w:iCs/>
        </w:rPr>
        <w:t>color</w:t>
      </w:r>
      <w:r>
        <w:t xml:space="preserve">, la sangre almacenada es </w:t>
      </w:r>
      <w:r w:rsidR="00C17ACD">
        <w:t>d</w:t>
      </w:r>
      <w:r>
        <w:t xml:space="preserve">el color de la solución </w:t>
      </w:r>
      <w:r w:rsidR="00AA2DBC">
        <w:t xml:space="preserve">de la </w:t>
      </w:r>
      <w:r>
        <w:t xml:space="preserve">laca cocida y espesa; </w:t>
      </w:r>
      <w:r w:rsidR="00C17ACD">
        <w:t xml:space="preserve">la </w:t>
      </w:r>
      <w:r>
        <w:t xml:space="preserve">sangre móvil es </w:t>
      </w:r>
      <w:r w:rsidR="00C17ACD">
        <w:t>d</w:t>
      </w:r>
      <w:r>
        <w:t xml:space="preserve">el color de la solución de laca clara. En cuanto a la </w:t>
      </w:r>
      <w:r w:rsidRPr="00AF38DA">
        <w:rPr>
          <w:i/>
          <w:iCs/>
        </w:rPr>
        <w:t>forma</w:t>
      </w:r>
      <w:r>
        <w:t xml:space="preserve">, ambos </w:t>
      </w:r>
      <w:r w:rsidR="00B00085">
        <w:t xml:space="preserve">adoptan </w:t>
      </w:r>
      <w:r>
        <w:t xml:space="preserve">la forma de sus ubicaciones. En cuanto a la </w:t>
      </w:r>
      <w:r w:rsidRPr="00AF38DA">
        <w:rPr>
          <w:i/>
          <w:iCs/>
        </w:rPr>
        <w:t>dirección</w:t>
      </w:r>
      <w:r>
        <w:t xml:space="preserve">, la sangre almacenada pertenece a la dirección superior; el otro pertenece a ambas direcciones. En cuanto a la </w:t>
      </w:r>
      <w:r w:rsidRPr="00AF38DA">
        <w:rPr>
          <w:i/>
          <w:iCs/>
        </w:rPr>
        <w:t>ubicación</w:t>
      </w:r>
      <w:r>
        <w:t xml:space="preserve">, a excepción de las partes descarnadas de los </w:t>
      </w:r>
      <w:r w:rsidR="00D123DB">
        <w:t>cabellos</w:t>
      </w:r>
      <w:r>
        <w:t xml:space="preserve"> de la cabeza, </w:t>
      </w:r>
      <w:r w:rsidR="00D123DB">
        <w:t xml:space="preserve">los </w:t>
      </w:r>
      <w:r w:rsidR="00B00085">
        <w:t xml:space="preserve">vellos </w:t>
      </w:r>
      <w:r>
        <w:t xml:space="preserve">del cuerpo, </w:t>
      </w:r>
      <w:r w:rsidR="00D123DB">
        <w:t xml:space="preserve">los </w:t>
      </w:r>
      <w:r>
        <w:t xml:space="preserve">dientes, </w:t>
      </w:r>
      <w:r w:rsidR="00D123DB">
        <w:t xml:space="preserve">la </w:t>
      </w:r>
      <w:r>
        <w:t xml:space="preserve">uñas y </w:t>
      </w:r>
      <w:r w:rsidR="00AA2DBC">
        <w:t xml:space="preserve">la </w:t>
      </w:r>
      <w:r w:rsidR="00D123DB">
        <w:t xml:space="preserve">piel seca, la sangre </w:t>
      </w:r>
    </w:p>
    <w:p w14:paraId="0B46FB5A" w14:textId="77777777" w:rsidR="001E0AD6" w:rsidRDefault="001E0AD6" w:rsidP="001E0AD6">
      <w:pPr>
        <w:pStyle w:val="PiedepginaLegal"/>
        <w:rPr>
          <w:u w:val="single"/>
        </w:rPr>
      </w:pPr>
      <w:r>
        <w:rPr>
          <w:u w:val="single"/>
        </w:rPr>
        <w:tab/>
      </w:r>
      <w:r>
        <w:rPr>
          <w:u w:val="single"/>
        </w:rPr>
        <w:tab/>
      </w:r>
      <w:r>
        <w:rPr>
          <w:u w:val="single"/>
        </w:rPr>
        <w:tab/>
      </w:r>
      <w:r>
        <w:rPr>
          <w:u w:val="single"/>
        </w:rPr>
        <w:tab/>
        <w:t>.</w:t>
      </w:r>
    </w:p>
    <w:p w14:paraId="02C857D4" w14:textId="27567ED1" w:rsidR="001E0AD6" w:rsidRDefault="001E0AD6" w:rsidP="001E0AD6">
      <w:pPr>
        <w:pStyle w:val="PiedepginaLegal"/>
      </w:pPr>
      <w:r>
        <w:t xml:space="preserve">34. </w:t>
      </w:r>
      <w:r>
        <w:tab/>
      </w:r>
      <w:proofErr w:type="spellStart"/>
      <w:r w:rsidRPr="00AF38DA">
        <w:rPr>
          <w:i/>
          <w:iCs/>
        </w:rPr>
        <w:t>Kaṇḍūyati</w:t>
      </w:r>
      <w:proofErr w:type="spellEnd"/>
      <w:r>
        <w:t xml:space="preserve">—“picar”: el verbo no está en </w:t>
      </w:r>
      <w:r w:rsidR="006C2CB3">
        <w:t xml:space="preserve">el </w:t>
      </w:r>
      <w:r>
        <w:t xml:space="preserve">PED; véase </w:t>
      </w:r>
      <w:proofErr w:type="spellStart"/>
      <w:r w:rsidRPr="00AF38DA">
        <w:rPr>
          <w:i/>
          <w:iCs/>
        </w:rPr>
        <w:t>kaṇḍu</w:t>
      </w:r>
      <w:proofErr w:type="spellEnd"/>
      <w:r>
        <w:t>.</w:t>
      </w:r>
    </w:p>
    <w:p w14:paraId="3E2047E0" w14:textId="77777777" w:rsidR="001E0AD6" w:rsidRDefault="001E0AD6">
      <w:pPr>
        <w:tabs>
          <w:tab w:val="clear" w:pos="425"/>
        </w:tabs>
        <w:spacing w:after="160"/>
      </w:pPr>
      <w:r>
        <w:br w:type="page"/>
      </w:r>
    </w:p>
    <w:p w14:paraId="35DB831F" w14:textId="05C824B2" w:rsidR="00EF6F86" w:rsidRDefault="00AA2DBC" w:rsidP="00EF6F86">
      <w:r>
        <w:lastRenderedPageBreak/>
        <w:t xml:space="preserve">móvil </w:t>
      </w:r>
      <w:r w:rsidR="00C17ACD">
        <w:t>impregna</w:t>
      </w:r>
      <w:r>
        <w:t>rá</w:t>
      </w:r>
      <w:r w:rsidR="00C17ACD">
        <w:t xml:space="preserve"> </w:t>
      </w:r>
      <w:r w:rsidR="00EF6F86">
        <w:t xml:space="preserve">todo </w:t>
      </w:r>
      <w:r w:rsidR="00926D46">
        <w:t>lo adherido a</w:t>
      </w:r>
      <w:r w:rsidR="00EF6F86">
        <w:t>l cuerpo (</w:t>
      </w:r>
      <w:proofErr w:type="spellStart"/>
      <w:r w:rsidR="00EF6F86" w:rsidRPr="00AF38DA">
        <w:rPr>
          <w:i/>
          <w:iCs/>
        </w:rPr>
        <w:t>kámmicamente</w:t>
      </w:r>
      <w:proofErr w:type="spellEnd"/>
      <w:r w:rsidR="00926D46" w:rsidRPr="00926D46">
        <w:t xml:space="preserve"> </w:t>
      </w:r>
      <w:r w:rsidR="00926D46">
        <w:t>adquirido</w:t>
      </w:r>
      <w:r w:rsidR="00EF6F86">
        <w:t>)</w:t>
      </w:r>
      <w:r w:rsidR="005072B1">
        <w:rPr>
          <w:vertAlign w:val="superscript"/>
        </w:rPr>
        <w:t>35</w:t>
      </w:r>
      <w:r w:rsidR="00EF6F86">
        <w:t xml:space="preserve"> siguiendo la red de </w:t>
      </w:r>
      <w:r>
        <w:t xml:space="preserve">las </w:t>
      </w:r>
      <w:r w:rsidR="00EF6F86">
        <w:t>venas. La sangre almacenada llena la parte inferior del sitio del hígado [262]</w:t>
      </w:r>
      <w:r w:rsidR="00AF38DA">
        <w:t xml:space="preserve"> </w:t>
      </w:r>
      <w:r w:rsidR="00EF6F86">
        <w:t xml:space="preserve">en la medida de un cuenco lleno, y </w:t>
      </w:r>
      <w:r w:rsidR="00F44ACB">
        <w:t xml:space="preserve">la transmite </w:t>
      </w:r>
      <w:r w:rsidR="00EF6F86">
        <w:t xml:space="preserve">poco a poco sobre el corazón, </w:t>
      </w:r>
      <w:r w:rsidR="00F44ACB">
        <w:t xml:space="preserve">los </w:t>
      </w:r>
      <w:r w:rsidR="00EF6F86">
        <w:t xml:space="preserve">riñones y </w:t>
      </w:r>
      <w:r w:rsidR="00F44ACB">
        <w:t xml:space="preserve">los </w:t>
      </w:r>
      <w:r w:rsidR="00EF6F86">
        <w:t xml:space="preserve">pulmones, mantiene húmedos los riñones, el corazón, el hígado y los pulmones. </w:t>
      </w:r>
      <w:r w:rsidR="00B0004B">
        <w:t xml:space="preserve">Ya </w:t>
      </w:r>
      <w:r w:rsidR="00EF6F86">
        <w:t xml:space="preserve">que </w:t>
      </w:r>
      <w:r w:rsidR="003A3334">
        <w:t>es</w:t>
      </w:r>
      <w:r w:rsidR="00B0004B">
        <w:t xml:space="preserve"> </w:t>
      </w:r>
      <w:r w:rsidR="00EF6F86">
        <w:t>cuando no logr</w:t>
      </w:r>
      <w:r w:rsidR="003A3334">
        <w:t>a</w:t>
      </w:r>
      <w:r w:rsidR="00EF6F86">
        <w:t xml:space="preserve"> humedecer </w:t>
      </w:r>
      <w:r w:rsidR="00B0004B">
        <w:t>a</w:t>
      </w:r>
      <w:r w:rsidR="00EF6F86">
        <w:t xml:space="preserve">l riñón, </w:t>
      </w:r>
      <w:r w:rsidR="00B0004B">
        <w:t>a</w:t>
      </w:r>
      <w:r w:rsidR="00EF6F86">
        <w:t xml:space="preserve">l corazón, etc., </w:t>
      </w:r>
      <w:r w:rsidR="00B1138C">
        <w:t xml:space="preserve">es cuando </w:t>
      </w:r>
      <w:r w:rsidR="00EF6F86">
        <w:t xml:space="preserve">los seres se vuelven sedientos. En cuanto a la </w:t>
      </w:r>
      <w:r w:rsidR="00EF6F86" w:rsidRPr="00AF38DA">
        <w:rPr>
          <w:i/>
          <w:iCs/>
        </w:rPr>
        <w:t>delimitación</w:t>
      </w:r>
      <w:r w:rsidR="00EF6F86">
        <w:t xml:space="preserve">, está </w:t>
      </w:r>
      <w:r w:rsidR="00C17ACD">
        <w:t>de</w:t>
      </w:r>
      <w:r w:rsidR="00EF6F86">
        <w:t xml:space="preserve">limitada por lo que </w:t>
      </w:r>
      <w:r w:rsidR="00022F94">
        <w:t xml:space="preserve">corresponda </w:t>
      </w:r>
      <w:r w:rsidR="00EF6F86">
        <w:t>a la sangre...</w:t>
      </w:r>
    </w:p>
    <w:p w14:paraId="41420ADD" w14:textId="77777777" w:rsidR="00EF6F86" w:rsidRDefault="00EF6F86" w:rsidP="00EF6F86">
      <w:pPr>
        <w:jc w:val="center"/>
      </w:pPr>
      <w:r>
        <w:t>[Sudor]</w:t>
      </w:r>
    </w:p>
    <w:p w14:paraId="1DA78885" w14:textId="4DF79DA5" w:rsidR="00EF6F86" w:rsidRDefault="00EF6F86" w:rsidP="00EF6F86">
      <w:r>
        <w:t xml:space="preserve">131. </w:t>
      </w:r>
      <w:r w:rsidR="00DA7B6E">
        <w:tab/>
      </w:r>
      <w:r w:rsidR="003A3334">
        <w:t>É</w:t>
      </w:r>
      <w:r>
        <w:t xml:space="preserve">ste es el elemento agua que gotea </w:t>
      </w:r>
      <w:r w:rsidR="0002759F">
        <w:t xml:space="preserve">a través de </w:t>
      </w:r>
      <w:r>
        <w:t xml:space="preserve">los poros de los vellos del cuerpo, y así sucesivamente. En cuanto al </w:t>
      </w:r>
      <w:r w:rsidRPr="00DA7B6E">
        <w:rPr>
          <w:i/>
          <w:iCs/>
        </w:rPr>
        <w:t>color</w:t>
      </w:r>
      <w:r>
        <w:t xml:space="preserve">, es el color del aceite de sésamo claro. En cuanto a la </w:t>
      </w:r>
      <w:r w:rsidRPr="00DA7B6E">
        <w:rPr>
          <w:i/>
          <w:iCs/>
        </w:rPr>
        <w:t>forma</w:t>
      </w:r>
      <w:r>
        <w:t xml:space="preserve">, </w:t>
      </w:r>
      <w:r w:rsidR="0002759F">
        <w:t xml:space="preserve">adoptará </w:t>
      </w:r>
      <w:r>
        <w:t xml:space="preserve">la forma de su ubicación. En cuanto a la </w:t>
      </w:r>
      <w:r w:rsidRPr="00DA7B6E">
        <w:rPr>
          <w:i/>
          <w:iCs/>
        </w:rPr>
        <w:t>dirección</w:t>
      </w:r>
      <w:r>
        <w:t xml:space="preserve">, pertenece a ambas direcciones. En cuanto a la </w:t>
      </w:r>
      <w:r w:rsidRPr="00DA7B6E">
        <w:rPr>
          <w:i/>
          <w:iCs/>
        </w:rPr>
        <w:t>ubicación</w:t>
      </w:r>
      <w:r>
        <w:t xml:space="preserve">, no </w:t>
      </w:r>
      <w:r w:rsidR="0002759F">
        <w:t xml:space="preserve">existe </w:t>
      </w:r>
      <w:r>
        <w:t xml:space="preserve">una ubicación fija para el sudor donde siempre se pueda encontrar como la sangre. Pero si el cuerpo es calentado por el calor de un fuego, por el calor del </w:t>
      </w:r>
      <w:r w:rsidR="00160CE5">
        <w:t>Sol</w:t>
      </w:r>
      <w:r>
        <w:t>, por un cambio de temperatura, etc., entonces gotea</w:t>
      </w:r>
      <w:r w:rsidR="00160CE5">
        <w:t>rá</w:t>
      </w:r>
      <w:r>
        <w:t xml:space="preserve"> </w:t>
      </w:r>
      <w:r w:rsidR="00160CE5">
        <w:t xml:space="preserve">por </w:t>
      </w:r>
      <w:r>
        <w:t xml:space="preserve">todos los orificios de los poros de los </w:t>
      </w:r>
      <w:r w:rsidR="00160CE5">
        <w:t xml:space="preserve">cabellos </w:t>
      </w:r>
      <w:r>
        <w:t xml:space="preserve">de la cabeza y del cuerpo, como lo hace el agua de un manojo de tallos de capullos de lirio cortados de manera desigual y </w:t>
      </w:r>
      <w:r w:rsidR="00160CE5">
        <w:t xml:space="preserve">los </w:t>
      </w:r>
      <w:r>
        <w:t xml:space="preserve">tallos de loto arrancados del agua. Por lo tanto, también debe entenderse que su forma corresponde a las aberturas de los poros de los </w:t>
      </w:r>
      <w:r w:rsidR="00160CE5">
        <w:t xml:space="preserve">cabellos </w:t>
      </w:r>
      <w:r>
        <w:t>de la cabeza y del cuerpo. Y el meditador que disciern</w:t>
      </w:r>
      <w:r w:rsidR="00160CE5">
        <w:t>a</w:t>
      </w:r>
      <w:r>
        <w:t xml:space="preserve"> </w:t>
      </w:r>
      <w:r w:rsidR="00160CE5">
        <w:t xml:space="preserve">sobre </w:t>
      </w:r>
      <w:r>
        <w:t>el sudor sólo debe</w:t>
      </w:r>
      <w:r w:rsidR="00160CE5">
        <w:t>rá</w:t>
      </w:r>
      <w:r>
        <w:t xml:space="preserve"> prestar atención a él, ya que se encuentra llenando las aberturas de los poros de los </w:t>
      </w:r>
      <w:r w:rsidR="00160CE5">
        <w:t xml:space="preserve">cabellos </w:t>
      </w:r>
      <w:r>
        <w:t xml:space="preserve">de la cabeza y del cuerpo. En cuanto a la </w:t>
      </w:r>
      <w:r w:rsidRPr="00DA7B6E">
        <w:rPr>
          <w:i/>
          <w:iCs/>
        </w:rPr>
        <w:t>delimitación</w:t>
      </w:r>
      <w:r>
        <w:t xml:space="preserve">, está limitada por lo que </w:t>
      </w:r>
      <w:r w:rsidR="00022F94">
        <w:t xml:space="preserve">corresponda </w:t>
      </w:r>
      <w:r>
        <w:t>al sudor…</w:t>
      </w:r>
    </w:p>
    <w:p w14:paraId="3F2D0DB0" w14:textId="38CBD303" w:rsidR="00EF6F86" w:rsidRDefault="00EF6F86" w:rsidP="00EF6F86">
      <w:pPr>
        <w:jc w:val="center"/>
      </w:pPr>
      <w:r>
        <w:t>[</w:t>
      </w:r>
      <w:r w:rsidR="00272127" w:rsidRPr="00272127">
        <w:rPr>
          <w:i/>
          <w:iCs/>
        </w:rPr>
        <w:t>Grasa</w:t>
      </w:r>
      <w:r>
        <w:t>]</w:t>
      </w:r>
    </w:p>
    <w:p w14:paraId="3E72FBB2" w14:textId="57285CEE" w:rsidR="00EF6F86" w:rsidRDefault="00EF6F86" w:rsidP="00EF6F86">
      <w:r>
        <w:t xml:space="preserve">132. </w:t>
      </w:r>
      <w:r w:rsidR="00DA7B6E">
        <w:tab/>
      </w:r>
      <w:r>
        <w:t xml:space="preserve">Este es un ungüento espeso. En cuanto al </w:t>
      </w:r>
      <w:r w:rsidRPr="00905ADF">
        <w:rPr>
          <w:i/>
          <w:iCs/>
        </w:rPr>
        <w:t>color</w:t>
      </w:r>
      <w:r>
        <w:t xml:space="preserve">, es </w:t>
      </w:r>
      <w:r w:rsidR="00E3503B">
        <w:t>d</w:t>
      </w:r>
      <w:r>
        <w:t xml:space="preserve">el color de la cúrcuma en rodajas. En cuanto a la </w:t>
      </w:r>
      <w:r w:rsidRPr="00905ADF">
        <w:rPr>
          <w:i/>
          <w:iCs/>
        </w:rPr>
        <w:t>forma</w:t>
      </w:r>
      <w:r>
        <w:t>, en primer lugar</w:t>
      </w:r>
      <w:r w:rsidR="00E3503B">
        <w:t>,</w:t>
      </w:r>
      <w:r>
        <w:t xml:space="preserve"> en el cuerpo de un hombre corpulento </w:t>
      </w:r>
      <w:r w:rsidR="00E3503B">
        <w:t>posee</w:t>
      </w:r>
      <w:r>
        <w:t xml:space="preserve"> la forma de trapos de </w:t>
      </w:r>
      <w:proofErr w:type="spellStart"/>
      <w:r w:rsidRPr="00905ADF">
        <w:rPr>
          <w:i/>
          <w:iCs/>
        </w:rPr>
        <w:t>duk</w:t>
      </w:r>
      <w:r w:rsidR="00905ADF" w:rsidRPr="00905ADF">
        <w:rPr>
          <w:i/>
          <w:iCs/>
        </w:rPr>
        <w:t>ū</w:t>
      </w:r>
      <w:r w:rsidRPr="00905ADF">
        <w:rPr>
          <w:i/>
          <w:iCs/>
        </w:rPr>
        <w:t>la</w:t>
      </w:r>
      <w:proofErr w:type="spellEnd"/>
      <w:r>
        <w:t xml:space="preserve"> (muselina) de color cúrcuma colocados entre la piel interna y la carne. En el cuerpo de un hombre delgado, tiene la forma de trapos de </w:t>
      </w:r>
      <w:proofErr w:type="spellStart"/>
      <w:r w:rsidR="00905ADF" w:rsidRPr="00905ADF">
        <w:rPr>
          <w:i/>
          <w:iCs/>
        </w:rPr>
        <w:t>dukūla</w:t>
      </w:r>
      <w:proofErr w:type="spellEnd"/>
      <w:r w:rsidR="00905ADF">
        <w:t xml:space="preserve"> </w:t>
      </w:r>
      <w:r>
        <w:t xml:space="preserve">(muselina) de color cúrcuma colocados en dos o tres espesores sobre la carne de la pierna, la carne del muslo, la carne de la espalda cerca de la columna vertebral y la carne que cubre el vientre. En cuanto a la </w:t>
      </w:r>
      <w:r w:rsidRPr="00905ADF">
        <w:rPr>
          <w:i/>
          <w:iCs/>
        </w:rPr>
        <w:t>dirección</w:t>
      </w:r>
      <w:r>
        <w:t xml:space="preserve">, pertenece a ambas direcciones. En cuanto a la </w:t>
      </w:r>
      <w:r w:rsidRPr="00905ADF">
        <w:rPr>
          <w:i/>
          <w:iCs/>
        </w:rPr>
        <w:t>ubicación</w:t>
      </w:r>
      <w:r>
        <w:t>, impregna</w:t>
      </w:r>
      <w:r w:rsidR="008555DE">
        <w:t>rá</w:t>
      </w:r>
      <w:r>
        <w:t xml:space="preserve"> todo el cuerpo de un hombre robusto; se encuentra en la carne de la pierna de un hombre flaco, y así sucesivamente. Y aunque se describió anteriormente como “ungüento”, aún no se usa como aceite </w:t>
      </w:r>
      <w:r w:rsidR="0094305A">
        <w:t>sobre</w:t>
      </w:r>
      <w:r>
        <w:t xml:space="preserve"> la cabeza ni como aceite para la nariz, etc., debido a su total repugnancia. En cuanto a la </w:t>
      </w:r>
      <w:r w:rsidRPr="00905ADF">
        <w:rPr>
          <w:i/>
          <w:iCs/>
        </w:rPr>
        <w:t>delimitación</w:t>
      </w:r>
      <w:r>
        <w:t xml:space="preserve">, está </w:t>
      </w:r>
      <w:r w:rsidR="005C2586">
        <w:t>de</w:t>
      </w:r>
      <w:r>
        <w:t xml:space="preserve">limitada </w:t>
      </w:r>
      <w:r w:rsidR="005C2586">
        <w:t xml:space="preserve">internamente </w:t>
      </w:r>
      <w:r>
        <w:t xml:space="preserve">por la carne, </w:t>
      </w:r>
      <w:r w:rsidR="005C2586">
        <w:t xml:space="preserve">hacia la superficie </w:t>
      </w:r>
      <w:r>
        <w:t xml:space="preserve">por la piel interior, y </w:t>
      </w:r>
      <w:r w:rsidR="00DE4691">
        <w:t xml:space="preserve">hacia </w:t>
      </w:r>
      <w:r>
        <w:t xml:space="preserve">todo alrededor </w:t>
      </w:r>
      <w:r w:rsidR="00DE4691">
        <w:t>por</w:t>
      </w:r>
      <w:r w:rsidR="00CF57E2">
        <w:t xml:space="preserve"> </w:t>
      </w:r>
      <w:r>
        <w:t xml:space="preserve">lo que </w:t>
      </w:r>
      <w:r w:rsidR="00022F94">
        <w:t xml:space="preserve">corresponda </w:t>
      </w:r>
      <w:r>
        <w:t>a la grasa...</w:t>
      </w:r>
    </w:p>
    <w:p w14:paraId="5C2E9E93" w14:textId="77777777" w:rsidR="00EF6F86" w:rsidRDefault="00EF6F86" w:rsidP="00EF6F86">
      <w:pPr>
        <w:jc w:val="center"/>
      </w:pPr>
      <w:r>
        <w:t>[Lágrimas]</w:t>
      </w:r>
    </w:p>
    <w:p w14:paraId="03864F1D" w14:textId="4281F685" w:rsidR="00EF6F86" w:rsidRDefault="00EF6F86" w:rsidP="00EF6F86">
      <w:r>
        <w:t xml:space="preserve">133. </w:t>
      </w:r>
      <w:r w:rsidR="00DE4691">
        <w:tab/>
      </w:r>
      <w:r>
        <w:t xml:space="preserve">Estos son el elemento agua que gotea </w:t>
      </w:r>
      <w:r w:rsidR="00CF57E2">
        <w:t xml:space="preserve">por </w:t>
      </w:r>
      <w:r>
        <w:t xml:space="preserve">el ojo. En cuanto al </w:t>
      </w:r>
      <w:r w:rsidRPr="00905ADF">
        <w:rPr>
          <w:i/>
          <w:iCs/>
        </w:rPr>
        <w:t>color</w:t>
      </w:r>
      <w:r>
        <w:t xml:space="preserve">, son del color del aceite de sésamo claro. En cuanto a la </w:t>
      </w:r>
      <w:r w:rsidRPr="00905ADF">
        <w:rPr>
          <w:i/>
          <w:iCs/>
        </w:rPr>
        <w:t>forma</w:t>
      </w:r>
      <w:r>
        <w:t xml:space="preserve">, </w:t>
      </w:r>
      <w:r w:rsidR="00CF57E2">
        <w:t xml:space="preserve">adoptan </w:t>
      </w:r>
      <w:r>
        <w:t xml:space="preserve">la forma de su ubicación. [263] En cuanto a la </w:t>
      </w:r>
      <w:r w:rsidRPr="00905ADF">
        <w:rPr>
          <w:i/>
          <w:iCs/>
        </w:rPr>
        <w:t>dirección</w:t>
      </w:r>
      <w:r>
        <w:t xml:space="preserve">, pertenecen a la dirección superior. En cuanto a su </w:t>
      </w:r>
      <w:r w:rsidRPr="00905ADF">
        <w:rPr>
          <w:i/>
          <w:iCs/>
        </w:rPr>
        <w:t>ubicación</w:t>
      </w:r>
      <w:r>
        <w:t xml:space="preserve">, se encuentran en las cuencas de los ojos. Pero no se almacenan en las cuencas de los ojos todo el tiempo, </w:t>
      </w:r>
      <w:r w:rsidR="007E45F1">
        <w:t>como</w:t>
      </w:r>
      <w:r>
        <w:t xml:space="preserve"> la bilis </w:t>
      </w:r>
      <w:r w:rsidR="007E45F1">
        <w:t xml:space="preserve">que </w:t>
      </w:r>
      <w:r>
        <w:t xml:space="preserve">está en el recipiente de la bilis. Pero cuando los seres sienten alegría y se ríen a carcajadas, o sienten pena y lloran y se lamentan, o comen determinados tipos de alimentos inadecuados, o cuando sus ojos se ven afectados por el humo, el polvo, la suciedad, etc., entonces originados por la alegría, la pena, comida o temperatura incorrectas, llenan las cuencas de los ojos </w:t>
      </w:r>
      <w:r w:rsidR="004C5739">
        <w:t>y</w:t>
      </w:r>
      <w:r>
        <w:t xml:space="preserve"> se escurren. </w:t>
      </w:r>
    </w:p>
    <w:p w14:paraId="5295B99E" w14:textId="6CA82E52" w:rsidR="00EF6F86" w:rsidRPr="00EF6F86" w:rsidRDefault="00EF6F86" w:rsidP="00EF6F86">
      <w:pPr>
        <w:pStyle w:val="PiedepginaLegal"/>
        <w:rPr>
          <w:u w:val="single"/>
        </w:rPr>
      </w:pPr>
      <w:r w:rsidRPr="00EF6F86">
        <w:rPr>
          <w:u w:val="single"/>
        </w:rPr>
        <w:t xml:space="preserve">                         </w:t>
      </w:r>
      <w:r w:rsidR="00790E9B">
        <w:rPr>
          <w:u w:val="single"/>
        </w:rPr>
        <w:t xml:space="preserve">          </w:t>
      </w:r>
      <w:r w:rsidRPr="00EF6F86">
        <w:rPr>
          <w:u w:val="single"/>
        </w:rPr>
        <w:t xml:space="preserve">                                                                .</w:t>
      </w:r>
    </w:p>
    <w:p w14:paraId="1D6D9252" w14:textId="22587577" w:rsidR="00EF6F86" w:rsidRDefault="00EF6F86" w:rsidP="00EF6F86">
      <w:pPr>
        <w:pStyle w:val="PiedepginaLegal"/>
      </w:pPr>
      <w:r>
        <w:t>35.</w:t>
      </w:r>
      <w:r>
        <w:tab/>
      </w:r>
      <w:proofErr w:type="spellStart"/>
      <w:r w:rsidRPr="00905ADF">
        <w:rPr>
          <w:i/>
          <w:iCs/>
        </w:rPr>
        <w:t>Upādiṇṇa</w:t>
      </w:r>
      <w:proofErr w:type="spellEnd"/>
      <w:r>
        <w:t>—“</w:t>
      </w:r>
      <w:r w:rsidR="00790E9B">
        <w:t>pegado</w:t>
      </w:r>
      <w:r>
        <w:t xml:space="preserve"> a”: véase cap. XIV, nota 23.</w:t>
      </w:r>
    </w:p>
    <w:p w14:paraId="5C4C63C5" w14:textId="77777777" w:rsidR="00A147D3" w:rsidRDefault="00A147D3" w:rsidP="00A147D3"/>
    <w:p w14:paraId="57AECE24" w14:textId="784FD09A" w:rsidR="00A147D3" w:rsidRDefault="004C5739" w:rsidP="00A147D3">
      <w:r>
        <w:lastRenderedPageBreak/>
        <w:t xml:space="preserve">Y el </w:t>
      </w:r>
      <w:r w:rsidR="00E32F71">
        <w:t>meditador que disciern</w:t>
      </w:r>
      <w:r>
        <w:t>a</w:t>
      </w:r>
      <w:r w:rsidR="00E32F71">
        <w:t xml:space="preserve"> </w:t>
      </w:r>
      <w:r>
        <w:t xml:space="preserve">sobre </w:t>
      </w:r>
      <w:r w:rsidR="00E32F71">
        <w:t xml:space="preserve">las lágrimas debe discernirlas sólo </w:t>
      </w:r>
      <w:r>
        <w:t xml:space="preserve">tal </w:t>
      </w:r>
      <w:r w:rsidR="00E32F71">
        <w:t>como son</w:t>
      </w:r>
      <w:r>
        <w:t>,</w:t>
      </w:r>
      <w:r w:rsidR="00E32F71">
        <w:t xml:space="preserve"> </w:t>
      </w:r>
      <w:r w:rsidR="00A147D3">
        <w:t xml:space="preserve">que se encuentra llenando las cuencas de los ojos. En cuanto a la </w:t>
      </w:r>
      <w:r w:rsidR="00A147D3" w:rsidRPr="00905ADF">
        <w:rPr>
          <w:i/>
          <w:iCs/>
        </w:rPr>
        <w:t>delimitación</w:t>
      </w:r>
      <w:r w:rsidR="00A147D3">
        <w:t xml:space="preserve">, están </w:t>
      </w:r>
      <w:r>
        <w:t>de</w:t>
      </w:r>
      <w:r w:rsidR="00A147D3">
        <w:t xml:space="preserve">limitados por lo que </w:t>
      </w:r>
      <w:r w:rsidR="00022F94">
        <w:t xml:space="preserve">corresponda </w:t>
      </w:r>
      <w:r w:rsidR="00A147D3">
        <w:t>a las lágrimas...</w:t>
      </w:r>
    </w:p>
    <w:p w14:paraId="682718D0" w14:textId="15BAF285" w:rsidR="00A147D3" w:rsidRDefault="00A147D3" w:rsidP="00A147D3">
      <w:pPr>
        <w:jc w:val="center"/>
      </w:pPr>
      <w:r>
        <w:t>[</w:t>
      </w:r>
      <w:r w:rsidR="004C5739">
        <w:rPr>
          <w:i/>
          <w:iCs/>
        </w:rPr>
        <w:t>Resina</w:t>
      </w:r>
      <w:r>
        <w:t>]</w:t>
      </w:r>
    </w:p>
    <w:p w14:paraId="3EEFC652" w14:textId="4AE2EB56" w:rsidR="00A147D3" w:rsidRDefault="00A147D3" w:rsidP="00A147D3">
      <w:r>
        <w:t xml:space="preserve">134. </w:t>
      </w:r>
      <w:r>
        <w:tab/>
        <w:t xml:space="preserve">Este es un ungüento derretido. En cuanto al </w:t>
      </w:r>
      <w:r w:rsidRPr="006A19A5">
        <w:rPr>
          <w:i/>
          <w:iCs/>
        </w:rPr>
        <w:t>color</w:t>
      </w:r>
      <w:r>
        <w:t xml:space="preserve">, es el color del aceite de coco. También se puede decir que es del color del aceite rociado sobre las gachas. En cuanto a la </w:t>
      </w:r>
      <w:r w:rsidRPr="006A19A5">
        <w:t>forma</w:t>
      </w:r>
      <w:r>
        <w:t xml:space="preserve">, es una película con la forma de una gota de ungüento esparcida sobre agua tranquila en el momento del baño. En cuanto a la </w:t>
      </w:r>
      <w:r w:rsidRPr="006A19A5">
        <w:rPr>
          <w:i/>
          <w:iCs/>
        </w:rPr>
        <w:t>dirección</w:t>
      </w:r>
      <w:r>
        <w:t xml:space="preserve">, pertenece a ambas direcciones. En cuanto a la </w:t>
      </w:r>
      <w:r w:rsidRPr="006A19A5">
        <w:rPr>
          <w:i/>
          <w:iCs/>
        </w:rPr>
        <w:t>ubicación</w:t>
      </w:r>
      <w:r>
        <w:t>, se encuentra principalmente en las palmas de las manos, dorso de las manos, plantas de los pies, dorso de los pies, punta de la nariz, frente y puntas de los hombros. Y no siempre se encuentra en estado derretido en estos lugares, pero cuando estas partes se calientan con el calor de</w:t>
      </w:r>
      <w:r w:rsidR="00CA193B">
        <w:t>l</w:t>
      </w:r>
      <w:r>
        <w:t xml:space="preserve"> fuego, el calor del </w:t>
      </w:r>
      <w:r w:rsidR="00B2227C">
        <w:t>Sol</w:t>
      </w:r>
      <w:r>
        <w:t xml:space="preserve">, </w:t>
      </w:r>
      <w:r w:rsidR="00B2227C">
        <w:t xml:space="preserve">la </w:t>
      </w:r>
      <w:r>
        <w:t xml:space="preserve">alteración de la temperatura o alteración de los elementos, entonces se esparce aquí y allá en esos lugares. como la película de la gota de ungüento sobre el agua quieta a la hora del baño. En cuanto a la </w:t>
      </w:r>
      <w:r w:rsidRPr="006A19A5">
        <w:rPr>
          <w:i/>
          <w:iCs/>
        </w:rPr>
        <w:t>delimitación</w:t>
      </w:r>
      <w:r>
        <w:t>, está limitada por lo que correspond</w:t>
      </w:r>
      <w:r w:rsidR="00022F94">
        <w:t>a</w:t>
      </w:r>
      <w:r>
        <w:t xml:space="preserve"> a la </w:t>
      </w:r>
      <w:r w:rsidR="00DA1AE4">
        <w:t>resina</w:t>
      </w:r>
      <w:r>
        <w:t>…</w:t>
      </w:r>
    </w:p>
    <w:p w14:paraId="0F97FAB4" w14:textId="77777777" w:rsidR="00A147D3" w:rsidRDefault="00A147D3" w:rsidP="00A147D3">
      <w:pPr>
        <w:jc w:val="center"/>
      </w:pPr>
      <w:r>
        <w:t>[</w:t>
      </w:r>
      <w:r w:rsidRPr="00A147D3">
        <w:rPr>
          <w:i/>
          <w:iCs/>
        </w:rPr>
        <w:t>Saliva</w:t>
      </w:r>
      <w:r>
        <w:t>]</w:t>
      </w:r>
    </w:p>
    <w:p w14:paraId="547986BC" w14:textId="4EDF7C52" w:rsidR="00A147D3" w:rsidRDefault="00A147D3" w:rsidP="00A147D3">
      <w:r>
        <w:t xml:space="preserve">135. </w:t>
      </w:r>
      <w:r>
        <w:tab/>
        <w:t xml:space="preserve">Este es el elemento agua mezclado con espuma dentro de la boca. En cuanto al </w:t>
      </w:r>
      <w:r w:rsidRPr="006A19A5">
        <w:rPr>
          <w:i/>
          <w:iCs/>
        </w:rPr>
        <w:t>color</w:t>
      </w:r>
      <w:r>
        <w:t xml:space="preserve">, es blanco, el color de la espuma. En cuanto a la </w:t>
      </w:r>
      <w:r w:rsidRPr="006A19A5">
        <w:rPr>
          <w:i/>
          <w:iCs/>
        </w:rPr>
        <w:t>forma</w:t>
      </w:r>
      <w:r>
        <w:t xml:space="preserve">, es la forma de su ubicación, o puede llamarse “la forma de la espuma”. En cuanto a la </w:t>
      </w:r>
      <w:r w:rsidRPr="006A19A5">
        <w:rPr>
          <w:i/>
          <w:iCs/>
        </w:rPr>
        <w:t>dirección</w:t>
      </w:r>
      <w:r>
        <w:t xml:space="preserve">, pertenece a la dirección superior. En cuanto a su </w:t>
      </w:r>
      <w:r w:rsidRPr="006A19A5">
        <w:rPr>
          <w:i/>
          <w:iCs/>
        </w:rPr>
        <w:t>ubicación</w:t>
      </w:r>
      <w:r>
        <w:t xml:space="preserve">, se encuentra en la lengua después de haber descendido de las mejillas por ambos lados. Y no siempre se encuentra almacenado allí; pero cuando los seres ven determinados tipos de alimentos, o los recuerdan, o se meten en la boca algo caliente, amargo, picante, salado o agrio, o cuando su corazón se desmaya, o surgen náuseas por algún motivo, entonces aparece la saliva y corre por las mejillas a ambos lados para asentarse sobre la lengua. Es </w:t>
      </w:r>
      <w:r w:rsidR="007D70BB">
        <w:t>de poca viscosidad</w:t>
      </w:r>
      <w:r>
        <w:t xml:space="preserve"> en la punta de la lengua y </w:t>
      </w:r>
      <w:r w:rsidR="007D70BB">
        <w:t xml:space="preserve">de mayo </w:t>
      </w:r>
      <w:r>
        <w:t xml:space="preserve">en la base de la lengua. Es capaz, sin agotarse, de humedecer el arroz descascarillado o el arroz </w:t>
      </w:r>
      <w:r w:rsidR="006C7CDD">
        <w:t>con cáscara</w:t>
      </w:r>
      <w:r>
        <w:t xml:space="preserve"> o cualquier otro masticable que se lleve a la boca, como el agua de un pozo excavado en la arena de un río. [264] En cuanto a la </w:t>
      </w:r>
      <w:r w:rsidRPr="006A19A5">
        <w:rPr>
          <w:i/>
          <w:iCs/>
        </w:rPr>
        <w:t>delimitación</w:t>
      </w:r>
      <w:r>
        <w:t xml:space="preserve">, está </w:t>
      </w:r>
      <w:r w:rsidR="00DA6588">
        <w:t>de</w:t>
      </w:r>
      <w:r>
        <w:t>limitada por lo que correspond</w:t>
      </w:r>
      <w:r w:rsidR="00E85456">
        <w:t>a</w:t>
      </w:r>
      <w:r>
        <w:t xml:space="preserve"> a la saliva...</w:t>
      </w:r>
    </w:p>
    <w:p w14:paraId="5532AEBD" w14:textId="77777777" w:rsidR="00A147D3" w:rsidRDefault="00A147D3" w:rsidP="00A147D3">
      <w:pPr>
        <w:jc w:val="center"/>
      </w:pPr>
      <w:r>
        <w:t>[</w:t>
      </w:r>
      <w:r w:rsidRPr="00A147D3">
        <w:rPr>
          <w:i/>
          <w:iCs/>
        </w:rPr>
        <w:t>Moco</w:t>
      </w:r>
      <w:r>
        <w:t>]</w:t>
      </w:r>
    </w:p>
    <w:p w14:paraId="2AACF10A" w14:textId="2E61CF85" w:rsidR="001E51A8" w:rsidRDefault="00A147D3" w:rsidP="00A147D3">
      <w:r>
        <w:t xml:space="preserve">136. </w:t>
      </w:r>
      <w:r>
        <w:tab/>
      </w:r>
      <w:r w:rsidR="00DA6588">
        <w:t>É</w:t>
      </w:r>
      <w:r>
        <w:t xml:space="preserve">sta es la impureza que sale del cerebro. En cuanto al </w:t>
      </w:r>
      <w:r w:rsidRPr="006A19A5">
        <w:rPr>
          <w:i/>
          <w:iCs/>
        </w:rPr>
        <w:t>color</w:t>
      </w:r>
      <w:r>
        <w:t xml:space="preserve">, es </w:t>
      </w:r>
      <w:r w:rsidR="000A676E">
        <w:t>d</w:t>
      </w:r>
      <w:r>
        <w:t xml:space="preserve">el color de una semilla de palmira joven. En cuanto a la </w:t>
      </w:r>
      <w:r w:rsidRPr="006A19A5">
        <w:rPr>
          <w:i/>
          <w:iCs/>
        </w:rPr>
        <w:t>forma</w:t>
      </w:r>
      <w:r>
        <w:t xml:space="preserve">, </w:t>
      </w:r>
      <w:r w:rsidR="00E85456">
        <w:t>adopta</w:t>
      </w:r>
      <w:r>
        <w:t xml:space="preserve"> la forma de su ubicación. En cuanto a la </w:t>
      </w:r>
      <w:r w:rsidRPr="006A19A5">
        <w:rPr>
          <w:i/>
          <w:iCs/>
        </w:rPr>
        <w:t>dirección</w:t>
      </w:r>
      <w:r>
        <w:t xml:space="preserve">, pertenece a la dirección superior. En cuanto a la </w:t>
      </w:r>
      <w:r w:rsidRPr="006A19A5">
        <w:rPr>
          <w:i/>
          <w:iCs/>
        </w:rPr>
        <w:t>ubicación</w:t>
      </w:r>
      <w:r>
        <w:t>, se encuentra llenando las cavidades nasales. Y no siempre se encuentra almacenado allí; sino más bien, como si un hombre atara cuajada en una hoja de loto, la pinchara con una espina por debajo, y el suero rezumara y goteara, así también, cuando los seres lloran o sufren una perturbación de los elementos producida por una comida o temperatura incorrectas, entonces el cerebro dentro de la cabeza se convierte en flema rancia, y rezuma y baja por una abertura en el paladar, y llena las fosas nasales y se queda allí o gotea. Y el meditador que disciern</w:t>
      </w:r>
      <w:r w:rsidR="003F7150">
        <w:t>a</w:t>
      </w:r>
      <w:r>
        <w:t xml:space="preserve"> </w:t>
      </w:r>
      <w:r w:rsidR="003F7150">
        <w:t xml:space="preserve">sobre </w:t>
      </w:r>
      <w:r>
        <w:t>los mocos debe</w:t>
      </w:r>
      <w:r w:rsidR="003F7150">
        <w:t>rá</w:t>
      </w:r>
      <w:r>
        <w:t xml:space="preserve"> discernirlos solo cuando se encuentr</w:t>
      </w:r>
      <w:r w:rsidR="003F7150">
        <w:t>e</w:t>
      </w:r>
      <w:r>
        <w:t xml:space="preserve"> llenando las cavidades de las fosas nasales. En cuanto a la </w:t>
      </w:r>
      <w:proofErr w:type="spellStart"/>
      <w:r w:rsidRPr="006A19A5">
        <w:rPr>
          <w:i/>
          <w:iCs/>
        </w:rPr>
        <w:t>deimitación</w:t>
      </w:r>
      <w:proofErr w:type="spellEnd"/>
      <w:r>
        <w:t xml:space="preserve">, está </w:t>
      </w:r>
      <w:r w:rsidR="000A676E">
        <w:t>de</w:t>
      </w:r>
      <w:r>
        <w:t>limitada por lo que correspond</w:t>
      </w:r>
      <w:r w:rsidR="003F7150">
        <w:t>a</w:t>
      </w:r>
      <w:r>
        <w:t xml:space="preserve"> a los mocos…</w:t>
      </w:r>
    </w:p>
    <w:p w14:paraId="0F27A2CC" w14:textId="77777777" w:rsidR="001E51A8" w:rsidRDefault="001E51A8">
      <w:pPr>
        <w:tabs>
          <w:tab w:val="clear" w:pos="425"/>
        </w:tabs>
        <w:spacing w:after="160"/>
      </w:pPr>
      <w:r>
        <w:br w:type="page"/>
      </w:r>
    </w:p>
    <w:p w14:paraId="6C8F7223" w14:textId="77777777" w:rsidR="001E51A8" w:rsidRDefault="001E51A8" w:rsidP="00A147D3"/>
    <w:p w14:paraId="065C3A89" w14:textId="77777777" w:rsidR="00110850" w:rsidRDefault="00110850" w:rsidP="00110850">
      <w:pPr>
        <w:jc w:val="center"/>
      </w:pPr>
      <w:r>
        <w:t>[</w:t>
      </w:r>
      <w:r w:rsidRPr="00110850">
        <w:rPr>
          <w:i/>
          <w:iCs/>
        </w:rPr>
        <w:t>Aceite de las Articulaciones</w:t>
      </w:r>
      <w:r>
        <w:t>]</w:t>
      </w:r>
    </w:p>
    <w:p w14:paraId="1B3E4980" w14:textId="6B0B10BD" w:rsidR="00110850" w:rsidRDefault="00110850" w:rsidP="00110850">
      <w:r>
        <w:t xml:space="preserve">137. </w:t>
      </w:r>
      <w:r>
        <w:tab/>
      </w:r>
      <w:r w:rsidR="003F7150">
        <w:t>É</w:t>
      </w:r>
      <w:r>
        <w:t>st</w:t>
      </w:r>
      <w:r w:rsidR="003F7150">
        <w:t>e</w:t>
      </w:r>
      <w:r>
        <w:t xml:space="preserve"> es </w:t>
      </w:r>
      <w:r w:rsidR="00DC6F46">
        <w:t xml:space="preserve">el residuo </w:t>
      </w:r>
      <w:r>
        <w:t>viscos</w:t>
      </w:r>
      <w:r w:rsidR="00DC6F46">
        <w:t>o</w:t>
      </w:r>
      <w:r>
        <w:t xml:space="preserve"> dentro de las articulaciones del cuerpo. En cuanto al </w:t>
      </w:r>
      <w:r w:rsidRPr="006A19A5">
        <w:rPr>
          <w:i/>
          <w:iCs/>
        </w:rPr>
        <w:t>color</w:t>
      </w:r>
      <w:r>
        <w:t xml:space="preserve">, es </w:t>
      </w:r>
      <w:r w:rsidR="00DC6F46">
        <w:t>d</w:t>
      </w:r>
      <w:r>
        <w:t xml:space="preserve">el color de la goma </w:t>
      </w:r>
      <w:proofErr w:type="spellStart"/>
      <w:r w:rsidRPr="006A19A5">
        <w:rPr>
          <w:i/>
          <w:iCs/>
        </w:rPr>
        <w:t>kaṇikāra</w:t>
      </w:r>
      <w:proofErr w:type="spellEnd"/>
      <w:r>
        <w:t xml:space="preserve">. En cuanto a la </w:t>
      </w:r>
      <w:r w:rsidRPr="006A19A5">
        <w:rPr>
          <w:i/>
          <w:iCs/>
        </w:rPr>
        <w:t>forma</w:t>
      </w:r>
      <w:r>
        <w:t xml:space="preserve">, es la forma de su ubicación. En cuanto a la </w:t>
      </w:r>
      <w:r w:rsidRPr="006A19A5">
        <w:rPr>
          <w:i/>
          <w:iCs/>
        </w:rPr>
        <w:t>dirección</w:t>
      </w:r>
      <w:r>
        <w:t xml:space="preserve">, pertenece a ambas direcciones. En cuanto a su </w:t>
      </w:r>
      <w:r w:rsidRPr="006A19A5">
        <w:rPr>
          <w:i/>
          <w:iCs/>
        </w:rPr>
        <w:t>ubicación</w:t>
      </w:r>
      <w:r>
        <w:t>, se encuentra dentro de las ciento ochenta articulaciones, cumpliendo la función de lubricar las articulaciones de los huesos. Si es débil, cuando un hombre se levanta o se sienta, se mueve hacia adelante o hacia atrás, se dobla o se estira, entonces sus huesos crujen, y anda haciendo un ruido como el chasquido de los dedos, y cuando ha</w:t>
      </w:r>
      <w:r w:rsidR="0002739D">
        <w:t>ya</w:t>
      </w:r>
      <w:r>
        <w:t xml:space="preserve"> caminado sólo uno o dos leguas de distancia, su elemento aire se trastorna y le</w:t>
      </w:r>
      <w:r w:rsidR="009126D5">
        <w:t xml:space="preserve"> hace</w:t>
      </w:r>
      <w:r>
        <w:t xml:space="preserve"> d</w:t>
      </w:r>
      <w:r w:rsidR="009126D5">
        <w:t>o</w:t>
      </w:r>
      <w:r>
        <w:t>l</w:t>
      </w:r>
      <w:r w:rsidR="009126D5">
        <w:t>er</w:t>
      </w:r>
      <w:r>
        <w:t xml:space="preserve"> los miembros. Pero si a un hombre le sobra, sus huesos no crujen cuando se levanta, se sienta, etc., e incluso cuando ha</w:t>
      </w:r>
      <w:r w:rsidR="009126D5">
        <w:t>ya</w:t>
      </w:r>
      <w:r>
        <w:t xml:space="preserve"> caminado una gran distancia, su elemento aire no se altera</w:t>
      </w:r>
      <w:r w:rsidR="009126D5">
        <w:t>rá</w:t>
      </w:r>
      <w:r>
        <w:t xml:space="preserve"> y sus miembros no le d</w:t>
      </w:r>
      <w:r w:rsidR="009126D5">
        <w:t>o</w:t>
      </w:r>
      <w:r>
        <w:t>le</w:t>
      </w:r>
      <w:r w:rsidR="009126D5">
        <w:t>rá</w:t>
      </w:r>
      <w:r>
        <w:t xml:space="preserve">n. En cuanto a la </w:t>
      </w:r>
      <w:r w:rsidRPr="006A19A5">
        <w:rPr>
          <w:i/>
          <w:iCs/>
        </w:rPr>
        <w:t>delimitación</w:t>
      </w:r>
      <w:r>
        <w:t>, está limitada por lo que correspond</w:t>
      </w:r>
      <w:r w:rsidR="009126D5">
        <w:t>a</w:t>
      </w:r>
      <w:r>
        <w:t xml:space="preserve"> al aceite de las articulaciones…</w:t>
      </w:r>
    </w:p>
    <w:p w14:paraId="3F968206" w14:textId="77777777" w:rsidR="00110850" w:rsidRDefault="00110850" w:rsidP="00110850">
      <w:pPr>
        <w:jc w:val="center"/>
      </w:pPr>
      <w:r>
        <w:t>[</w:t>
      </w:r>
      <w:r w:rsidRPr="00110850">
        <w:rPr>
          <w:i/>
          <w:iCs/>
        </w:rPr>
        <w:t>Orina</w:t>
      </w:r>
      <w:r>
        <w:t>]</w:t>
      </w:r>
    </w:p>
    <w:p w14:paraId="0C0707CF" w14:textId="665CBE72" w:rsidR="00110850" w:rsidRDefault="00110850" w:rsidP="00110850">
      <w:r>
        <w:t xml:space="preserve">138. </w:t>
      </w:r>
      <w:r>
        <w:tab/>
        <w:t xml:space="preserve">Esta </w:t>
      </w:r>
      <w:r w:rsidR="005A2B0F">
        <w:t>corresponde a</w:t>
      </w:r>
      <w:r>
        <w:t xml:space="preserve"> la solución </w:t>
      </w:r>
      <w:r w:rsidR="005A2B0F">
        <w:t>de la orina</w:t>
      </w:r>
      <w:r>
        <w:t xml:space="preserve">. En cuanto al </w:t>
      </w:r>
      <w:r w:rsidRPr="006A19A5">
        <w:rPr>
          <w:i/>
          <w:iCs/>
        </w:rPr>
        <w:t>color</w:t>
      </w:r>
      <w:r>
        <w:t xml:space="preserve">, es </w:t>
      </w:r>
      <w:r w:rsidR="005A2B0F">
        <w:t>d</w:t>
      </w:r>
      <w:r>
        <w:t xml:space="preserve">el color de la salmuera de frijol. En cuanto a la </w:t>
      </w:r>
      <w:r w:rsidRPr="006A19A5">
        <w:rPr>
          <w:i/>
          <w:iCs/>
        </w:rPr>
        <w:t>forma</w:t>
      </w:r>
      <w:r>
        <w:t xml:space="preserve">, </w:t>
      </w:r>
      <w:r w:rsidR="005A2B0F">
        <w:t>adopta</w:t>
      </w:r>
      <w:r w:rsidR="00A56B9F">
        <w:t>rá</w:t>
      </w:r>
      <w:r w:rsidR="005A2B0F">
        <w:t xml:space="preserve"> </w:t>
      </w:r>
      <w:r>
        <w:t xml:space="preserve">la </w:t>
      </w:r>
      <w:r w:rsidRPr="00293F71">
        <w:rPr>
          <w:i/>
          <w:iCs/>
        </w:rPr>
        <w:t>forma</w:t>
      </w:r>
      <w:r>
        <w:t xml:space="preserve"> del agua dentro de una olla de agua colocada boca abajo. En cuanto a la </w:t>
      </w:r>
      <w:r w:rsidRPr="006A19A5">
        <w:rPr>
          <w:i/>
          <w:iCs/>
        </w:rPr>
        <w:t>dirección</w:t>
      </w:r>
      <w:r>
        <w:t xml:space="preserve">, pertenece a la dirección inferior. En cuanto a su </w:t>
      </w:r>
      <w:r w:rsidRPr="006A19A5">
        <w:rPr>
          <w:i/>
          <w:iCs/>
        </w:rPr>
        <w:t>ubicación</w:t>
      </w:r>
      <w:r>
        <w:t xml:space="preserve">, se encuentra dentro de la vejiga. </w:t>
      </w:r>
      <w:r w:rsidR="00E06909">
        <w:t xml:space="preserve">Ya </w:t>
      </w:r>
      <w:r>
        <w:t xml:space="preserve">que el saco vesical se </w:t>
      </w:r>
      <w:r w:rsidR="00E06909">
        <w:t xml:space="preserve">le </w:t>
      </w:r>
      <w:r>
        <w:t xml:space="preserve">llama vejiga. Así como un recipiente poroso sin boca se </w:t>
      </w:r>
      <w:r w:rsidR="00293F71">
        <w:t>pusiera</w:t>
      </w:r>
      <w:r>
        <w:t xml:space="preserve"> en un pozo negro, [265] entonces la solución del pozo negro entra</w:t>
      </w:r>
      <w:r w:rsidR="00293F71">
        <w:t>ría</w:t>
      </w:r>
      <w:r>
        <w:t xml:space="preserve"> en el recipiente poroso sin boca</w:t>
      </w:r>
      <w:r w:rsidR="00E06909">
        <w:t>,</w:t>
      </w:r>
      <w:r>
        <w:t xml:space="preserve"> aunque no sea evidente ninguna vía de entrada, así también, mientras que la secreción urinaria del cuerpo entra en la vejiga su vía de entrada no es evidente. Su vía de salida, sin embargo, </w:t>
      </w:r>
      <w:r w:rsidR="00E06909">
        <w:t xml:space="preserve">sí </w:t>
      </w:r>
      <w:r>
        <w:t xml:space="preserve">es evidente. Y cuando la vejiga está llena de orina, los seres sienten la necesidad de </w:t>
      </w:r>
      <w:r w:rsidR="00C60161">
        <w:t>miccionar</w:t>
      </w:r>
      <w:r>
        <w:t xml:space="preserve">. En cuanto a la </w:t>
      </w:r>
      <w:r w:rsidRPr="006A19A5">
        <w:rPr>
          <w:i/>
          <w:iCs/>
        </w:rPr>
        <w:t>delimitación</w:t>
      </w:r>
      <w:r>
        <w:t xml:space="preserve">, está delimitada por el interior de la vejiga y por lo que </w:t>
      </w:r>
      <w:r w:rsidR="00C60161">
        <w:t xml:space="preserve">sea </w:t>
      </w:r>
      <w:r>
        <w:t xml:space="preserve">similar a la orina. Esta es la delimitación por lo similar. Pero su </w:t>
      </w:r>
      <w:r w:rsidRPr="006A19A5">
        <w:t>delimitación</w:t>
      </w:r>
      <w:r>
        <w:t xml:space="preserve"> por lo dis</w:t>
      </w:r>
      <w:r w:rsidR="00C60161">
        <w:t>i</w:t>
      </w:r>
      <w:r>
        <w:t>mil</w:t>
      </w:r>
      <w:r w:rsidR="00C60161">
        <w:t>ar</w:t>
      </w:r>
      <w:r>
        <w:t xml:space="preserve"> es como la de los </w:t>
      </w:r>
      <w:r w:rsidR="00532BE8">
        <w:t xml:space="preserve">cabellos </w:t>
      </w:r>
      <w:r>
        <w:t>de la cabeza (ver nota al final de §90).</w:t>
      </w:r>
    </w:p>
    <w:p w14:paraId="04C34BB2" w14:textId="02CE684D" w:rsidR="00110850" w:rsidRDefault="00110850" w:rsidP="00110850">
      <w:pPr>
        <w:jc w:val="center"/>
      </w:pPr>
      <w:r>
        <w:t>[</w:t>
      </w:r>
      <w:r w:rsidRPr="00110850">
        <w:rPr>
          <w:i/>
          <w:iCs/>
        </w:rPr>
        <w:t>El Surgimiento de la Absorción</w:t>
      </w:r>
      <w:r>
        <w:t>]</w:t>
      </w:r>
    </w:p>
    <w:p w14:paraId="533BA7AE" w14:textId="365D63C5" w:rsidR="00110850" w:rsidRDefault="00110850" w:rsidP="00110850">
      <w:r>
        <w:t xml:space="preserve">139. </w:t>
      </w:r>
      <w:r>
        <w:tab/>
        <w:t>Cuando el meditador ha</w:t>
      </w:r>
      <w:r w:rsidR="00160F0A">
        <w:t>ya</w:t>
      </w:r>
      <w:r>
        <w:t xml:space="preserve"> definido </w:t>
      </w:r>
      <w:r w:rsidR="00156853">
        <w:t xml:space="preserve">así </w:t>
      </w:r>
      <w:r>
        <w:t xml:space="preserve">las partes </w:t>
      </w:r>
      <w:r w:rsidR="00156853">
        <w:t xml:space="preserve">del cuerpo </w:t>
      </w:r>
      <w:r>
        <w:t xml:space="preserve">comenzando con los cabellos de la cabeza </w:t>
      </w:r>
      <w:r w:rsidR="00C11D6E">
        <w:t>mediante el</w:t>
      </w:r>
      <w:r>
        <w:t xml:space="preserve"> </w:t>
      </w:r>
      <w:r w:rsidRPr="00F614C0">
        <w:rPr>
          <w:i/>
          <w:iCs/>
        </w:rPr>
        <w:t>color</w:t>
      </w:r>
      <w:r>
        <w:t xml:space="preserve">, </w:t>
      </w:r>
      <w:r w:rsidR="00C11D6E">
        <w:t xml:space="preserve">la </w:t>
      </w:r>
      <w:r w:rsidRPr="00F614C0">
        <w:rPr>
          <w:i/>
          <w:iCs/>
        </w:rPr>
        <w:t>forma</w:t>
      </w:r>
      <w:r>
        <w:t xml:space="preserve">, </w:t>
      </w:r>
      <w:r w:rsidR="00C11D6E">
        <w:t xml:space="preserve">la </w:t>
      </w:r>
      <w:r w:rsidRPr="00F614C0">
        <w:rPr>
          <w:i/>
          <w:iCs/>
        </w:rPr>
        <w:t>dirección</w:t>
      </w:r>
      <w:r>
        <w:t xml:space="preserve">, </w:t>
      </w:r>
      <w:r w:rsidR="00C11D6E">
        <w:t xml:space="preserve">la </w:t>
      </w:r>
      <w:r w:rsidRPr="00F614C0">
        <w:rPr>
          <w:i/>
          <w:iCs/>
        </w:rPr>
        <w:t>ubicación</w:t>
      </w:r>
      <w:r>
        <w:t xml:space="preserve"> y </w:t>
      </w:r>
      <w:r w:rsidR="001F1D07">
        <w:t xml:space="preserve">la </w:t>
      </w:r>
      <w:r w:rsidRPr="00F614C0">
        <w:rPr>
          <w:i/>
          <w:iCs/>
        </w:rPr>
        <w:t>delimitación</w:t>
      </w:r>
      <w:r>
        <w:t xml:space="preserve"> (§58), y él pon</w:t>
      </w:r>
      <w:r w:rsidR="001F1D07">
        <w:t>ga</w:t>
      </w:r>
      <w:r>
        <w:t xml:space="preserve"> su atención en las formas comenzando con “siguiendo el orden, no demasiado rápido” (§61) </w:t>
      </w:r>
      <w:r w:rsidR="00FB14C3">
        <w:t>hacia</w:t>
      </w:r>
      <w:r>
        <w:t xml:space="preserve"> su repulsión en los cinco aspectos de </w:t>
      </w:r>
      <w:r w:rsidRPr="00F614C0">
        <w:rPr>
          <w:i/>
          <w:iCs/>
        </w:rPr>
        <w:t xml:space="preserve">color, forma, olor, </w:t>
      </w:r>
      <w:r w:rsidR="00FB14C3" w:rsidRPr="00F614C0">
        <w:rPr>
          <w:i/>
          <w:iCs/>
        </w:rPr>
        <w:t>entorno</w:t>
      </w:r>
      <w:r w:rsidRPr="00F614C0">
        <w:rPr>
          <w:i/>
          <w:iCs/>
        </w:rPr>
        <w:t xml:space="preserve"> y ubicación</w:t>
      </w:r>
      <w:r>
        <w:t xml:space="preserve"> (§84f.), y finalmente super</w:t>
      </w:r>
      <w:r w:rsidR="00FB14C3">
        <w:t>e</w:t>
      </w:r>
      <w:r>
        <w:t xml:space="preserve"> el concepto (§66). Entonces, así como cuando un hombre con buena vista </w:t>
      </w:r>
      <w:r w:rsidR="00FB14C3">
        <w:t>se enc</w:t>
      </w:r>
      <w:r w:rsidR="007422C2">
        <w:t>o</w:t>
      </w:r>
      <w:r w:rsidR="00FB14C3">
        <w:t>ntra</w:t>
      </w:r>
      <w:r w:rsidR="007422C2">
        <w:t>se</w:t>
      </w:r>
      <w:r w:rsidR="00FB14C3">
        <w:t xml:space="preserve"> </w:t>
      </w:r>
      <w:r>
        <w:t xml:space="preserve">observando una guirnalda de flores de treinta y dos </w:t>
      </w:r>
      <w:proofErr w:type="gramStart"/>
      <w:r>
        <w:t>colores anudadas</w:t>
      </w:r>
      <w:proofErr w:type="gramEnd"/>
      <w:r>
        <w:t xml:space="preserve"> en un solo hilo y todas las flores se le ha</w:t>
      </w:r>
      <w:r w:rsidR="007422C2">
        <w:t>ga</w:t>
      </w:r>
      <w:r>
        <w:t>n evidentes simultáneamente, así también, cuando el meditador observ</w:t>
      </w:r>
      <w:r w:rsidR="007422C2">
        <w:t>e</w:t>
      </w:r>
      <w:r>
        <w:t xml:space="preserve"> este cuerpo así, “</w:t>
      </w:r>
      <w:r w:rsidR="007422C2">
        <w:t>Pueden encontrarse</w:t>
      </w:r>
      <w:r>
        <w:t xml:space="preserve"> en este cuerpo </w:t>
      </w:r>
      <w:r w:rsidR="007422C2">
        <w:t xml:space="preserve">los cabellos </w:t>
      </w:r>
      <w:r>
        <w:t>de la cabeza”, entonces todas estas cosas se v</w:t>
      </w:r>
      <w:r w:rsidR="007422C2">
        <w:t>o</w:t>
      </w:r>
      <w:r>
        <w:t>lve</w:t>
      </w:r>
      <w:r w:rsidR="007422C2">
        <w:t>r</w:t>
      </w:r>
      <w:r w:rsidR="00403158">
        <w:t>á</w:t>
      </w:r>
      <w:r>
        <w:t xml:space="preserve">n evidentes para él, por decirlo, simultáneamente. Por lo tanto, se dijo anteriormente en la explicación </w:t>
      </w:r>
      <w:r w:rsidR="00403158">
        <w:t>sobre</w:t>
      </w:r>
      <w:r>
        <w:t xml:space="preserve"> la habilidad para prestar atención: "</w:t>
      </w:r>
      <w:r w:rsidR="000A6639">
        <w:t xml:space="preserve">Ya </w:t>
      </w:r>
      <w:r>
        <w:t>que cuando un principiante prest</w:t>
      </w:r>
      <w:r w:rsidR="000A6639">
        <w:t>e</w:t>
      </w:r>
      <w:r>
        <w:t xml:space="preserve"> atención a los </w:t>
      </w:r>
      <w:r w:rsidR="000A6639">
        <w:t xml:space="preserve">cabellos </w:t>
      </w:r>
      <w:r>
        <w:t>de la cabeza, su atención contin</w:t>
      </w:r>
      <w:r w:rsidR="006D46EC">
        <w:t>u</w:t>
      </w:r>
      <w:r>
        <w:t>a</w:t>
      </w:r>
      <w:r w:rsidR="006D46EC">
        <w:t>rá</w:t>
      </w:r>
      <w:r>
        <w:t xml:space="preserve"> hasta que lleg</w:t>
      </w:r>
      <w:r w:rsidR="006D46EC">
        <w:t>ue</w:t>
      </w:r>
      <w:r>
        <w:t xml:space="preserve"> a la última parte, es decir, </w:t>
      </w:r>
      <w:r w:rsidR="006D46EC">
        <w:t xml:space="preserve">a </w:t>
      </w:r>
      <w:r>
        <w:t>la orina, y se det</w:t>
      </w:r>
      <w:r w:rsidR="006D46EC">
        <w:t>endrá</w:t>
      </w:r>
      <w:r>
        <w:t xml:space="preserve"> allí" (§67).</w:t>
      </w:r>
    </w:p>
    <w:p w14:paraId="1842F141" w14:textId="699B6D7B" w:rsidR="00110850" w:rsidRDefault="00110850" w:rsidP="00110850">
      <w:r>
        <w:t xml:space="preserve">140. </w:t>
      </w:r>
      <w:r>
        <w:tab/>
        <w:t xml:space="preserve">Si </w:t>
      </w:r>
      <w:r w:rsidR="00744055">
        <w:t xml:space="preserve">él </w:t>
      </w:r>
      <w:r>
        <w:t>también aplica</w:t>
      </w:r>
      <w:r w:rsidR="00744055">
        <w:t>se</w:t>
      </w:r>
      <w:r>
        <w:t xml:space="preserve"> su atención externamente cuando todas las partes se ha</w:t>
      </w:r>
      <w:r w:rsidR="00744055">
        <w:t>ya</w:t>
      </w:r>
      <w:r>
        <w:t xml:space="preserve">n hecho </w:t>
      </w:r>
      <w:r w:rsidR="003C1184">
        <w:t xml:space="preserve">así </w:t>
      </w:r>
      <w:r>
        <w:t>evidentes, entonces los seres humanos, los animales, etc., mientras and</w:t>
      </w:r>
      <w:r w:rsidR="00744055">
        <w:t>e</w:t>
      </w:r>
      <w:r>
        <w:t xml:space="preserve">n, </w:t>
      </w:r>
      <w:r w:rsidR="00E05372">
        <w:t xml:space="preserve">y él los observe </w:t>
      </w:r>
    </w:p>
    <w:p w14:paraId="0FE9797A" w14:textId="77777777" w:rsidR="00110850" w:rsidRDefault="00110850">
      <w:pPr>
        <w:tabs>
          <w:tab w:val="clear" w:pos="425"/>
        </w:tabs>
        <w:spacing w:after="160"/>
      </w:pPr>
      <w:r>
        <w:br w:type="page"/>
      </w:r>
    </w:p>
    <w:p w14:paraId="4315B92B" w14:textId="77777777" w:rsidR="00F614C0" w:rsidRDefault="00F614C0" w:rsidP="00FA4408"/>
    <w:p w14:paraId="35176323" w14:textId="37C95D86" w:rsidR="00FA4408" w:rsidRDefault="00E05372" w:rsidP="00FA4408">
      <w:r>
        <w:t xml:space="preserve">serán despojados </w:t>
      </w:r>
      <w:r w:rsidR="00922FCD">
        <w:t xml:space="preserve">de su aspecto de </w:t>
      </w:r>
      <w:r w:rsidR="00FA4408">
        <w:t>seres y aparece</w:t>
      </w:r>
      <w:r>
        <w:t>rá</w:t>
      </w:r>
      <w:r w:rsidR="00FA4408">
        <w:t xml:space="preserve">n como </w:t>
      </w:r>
      <w:r w:rsidR="00C73C3B">
        <w:t xml:space="preserve">un </w:t>
      </w:r>
      <w:r w:rsidR="00FA4408">
        <w:t xml:space="preserve">simple ensamblaje de </w:t>
      </w:r>
      <w:r w:rsidR="00C73C3B">
        <w:t xml:space="preserve">sus </w:t>
      </w:r>
      <w:r w:rsidR="00FA4408">
        <w:t xml:space="preserve">partes. Y cuando ellos </w:t>
      </w:r>
      <w:r w:rsidR="00C73C3B">
        <w:t>pasen alguna</w:t>
      </w:r>
      <w:r w:rsidR="00FA4408">
        <w:t xml:space="preserve"> bebida, comida, etc., parece</w:t>
      </w:r>
      <w:r w:rsidR="00AD1311">
        <w:t>rá</w:t>
      </w:r>
      <w:r w:rsidR="00FA4408">
        <w:t xml:space="preserve"> como si </w:t>
      </w:r>
      <w:r w:rsidR="00AD1311">
        <w:t xml:space="preserve">estos fueran introducidos </w:t>
      </w:r>
      <w:r w:rsidR="00FA4408">
        <w:t xml:space="preserve">entre el conjunto de </w:t>
      </w:r>
      <w:proofErr w:type="gramStart"/>
      <w:r w:rsidR="00AD1311">
        <w:t xml:space="preserve">su </w:t>
      </w:r>
      <w:r w:rsidR="00FA4408">
        <w:t>partes</w:t>
      </w:r>
      <w:proofErr w:type="gramEnd"/>
      <w:r w:rsidR="00FA4408">
        <w:t>.</w:t>
      </w:r>
    </w:p>
    <w:p w14:paraId="5D42F3E7" w14:textId="60B4352D" w:rsidR="00FA4408" w:rsidRDefault="00FA4408" w:rsidP="00FA4408">
      <w:r>
        <w:t xml:space="preserve">141. </w:t>
      </w:r>
      <w:r>
        <w:tab/>
        <w:t xml:space="preserve">Entonces, a medida que </w:t>
      </w:r>
      <w:r w:rsidR="00AD1311">
        <w:t xml:space="preserve">él </w:t>
      </w:r>
      <w:r>
        <w:t>les d</w:t>
      </w:r>
      <w:r w:rsidR="00AD1311">
        <w:t>é</w:t>
      </w:r>
      <w:r>
        <w:t xml:space="preserve"> su atención una y otra vez como “Repulsivo, repulsivo”, empleando el proceso de “abandono sucesivo”, etc. (§67), finalmente surg</w:t>
      </w:r>
      <w:r w:rsidR="00542676">
        <w:t>irá</w:t>
      </w:r>
      <w:r>
        <w:t xml:space="preserve"> en él la absorción. Aquí, la apariencia de los </w:t>
      </w:r>
      <w:r w:rsidR="00860932">
        <w:t xml:space="preserve">cabellos </w:t>
      </w:r>
      <w:r>
        <w:t>de la cabeza, etc., en cuanto a</w:t>
      </w:r>
      <w:r w:rsidR="00860932">
        <w:t>l</w:t>
      </w:r>
      <w:r>
        <w:t xml:space="preserve"> </w:t>
      </w:r>
      <w:r w:rsidRPr="00B31D55">
        <w:rPr>
          <w:i/>
          <w:iCs/>
        </w:rPr>
        <w:t>color, forma, dirección, ubicación y delimitación</w:t>
      </w:r>
      <w:r>
        <w:t xml:space="preserve"> </w:t>
      </w:r>
      <w:r w:rsidR="00860932">
        <w:t>será</w:t>
      </w:r>
      <w:r>
        <w:t xml:space="preserve"> el signo de</w:t>
      </w:r>
      <w:r w:rsidR="00860932">
        <w:t>l</w:t>
      </w:r>
      <w:r>
        <w:t xml:space="preserve"> aprendizaje; su apariencia como repulsiva en todos los aspectos </w:t>
      </w:r>
      <w:r w:rsidR="00BF444E">
        <w:t>será</w:t>
      </w:r>
      <w:r>
        <w:t xml:space="preserve"> el signo contraparte.</w:t>
      </w:r>
    </w:p>
    <w:p w14:paraId="6C93DBFA" w14:textId="3406892A" w:rsidR="00FA4408" w:rsidRDefault="00FA4408" w:rsidP="00FA4408">
      <w:pPr>
        <w:pStyle w:val="NormalConSangria"/>
      </w:pPr>
      <w:r>
        <w:t>A medida que cultiv</w:t>
      </w:r>
      <w:r w:rsidR="00BF444E">
        <w:t>e</w:t>
      </w:r>
      <w:r>
        <w:t xml:space="preserve"> y desarroll</w:t>
      </w:r>
      <w:r w:rsidR="00BF444E">
        <w:t>e</w:t>
      </w:r>
      <w:r>
        <w:t xml:space="preserve"> ese signo contraparte, surg</w:t>
      </w:r>
      <w:r w:rsidR="00BF444E">
        <w:t>irá</w:t>
      </w:r>
      <w:r>
        <w:t xml:space="preserve"> en él la absorción, pero solo del primer </w:t>
      </w:r>
      <w:proofErr w:type="spellStart"/>
      <w:r w:rsidR="00057BF4" w:rsidRPr="00057BF4">
        <w:rPr>
          <w:i/>
          <w:iCs/>
        </w:rPr>
        <w:t>jhāna</w:t>
      </w:r>
      <w:proofErr w:type="spellEnd"/>
      <w:r>
        <w:t xml:space="preserve">, de la misma manera que se describe en la </w:t>
      </w:r>
      <w:r w:rsidR="00BF444E">
        <w:t xml:space="preserve">repugnancia </w:t>
      </w:r>
      <w:r>
        <w:t xml:space="preserve">como </w:t>
      </w:r>
      <w:r w:rsidR="00BF444E">
        <w:t xml:space="preserve">objeto </w:t>
      </w:r>
      <w:r>
        <w:t>de meditación (VI.64f.). Y surg</w:t>
      </w:r>
      <w:r w:rsidR="00BF444E">
        <w:t>irá</w:t>
      </w:r>
      <w:r>
        <w:t xml:space="preserve"> individualmente en alguien para quien sólo una parte se ha</w:t>
      </w:r>
      <w:r w:rsidR="00BF444E">
        <w:t>ya</w:t>
      </w:r>
      <w:r>
        <w:t xml:space="preserve"> hecho evidente, o que ha</w:t>
      </w:r>
      <w:r w:rsidR="00BF444E">
        <w:t>ya</w:t>
      </w:r>
      <w:r>
        <w:t xml:space="preserve"> alcanzado la absorción en una parte y no ha</w:t>
      </w:r>
      <w:r w:rsidR="00BF444E">
        <w:t>ga</w:t>
      </w:r>
      <w:r>
        <w:t xml:space="preserve"> ningún esfuerzo adicional </w:t>
      </w:r>
      <w:r w:rsidR="007D32D2">
        <w:t xml:space="preserve">en </w:t>
      </w:r>
      <w:r>
        <w:t>otra.</w:t>
      </w:r>
    </w:p>
    <w:p w14:paraId="7F6AF7B5" w14:textId="4E03B003" w:rsidR="00FA4408" w:rsidRDefault="00FA4408" w:rsidP="00FA4408">
      <w:r>
        <w:t xml:space="preserve">142. </w:t>
      </w:r>
      <w:r>
        <w:tab/>
        <w:t xml:space="preserve">Pero varios primeros </w:t>
      </w:r>
      <w:proofErr w:type="spellStart"/>
      <w:r w:rsidR="00057BF4" w:rsidRPr="00057BF4">
        <w:rPr>
          <w:i/>
          <w:iCs/>
        </w:rPr>
        <w:t>jhāna</w:t>
      </w:r>
      <w:r w:rsidRPr="006A19A5">
        <w:rPr>
          <w:i/>
          <w:iCs/>
        </w:rPr>
        <w:t>s</w:t>
      </w:r>
      <w:proofErr w:type="spellEnd"/>
      <w:r>
        <w:t>, de acuerdo con el número de partes, se produc</w:t>
      </w:r>
      <w:r w:rsidR="00195DD0">
        <w:t>irá</w:t>
      </w:r>
      <w:r w:rsidR="00CC3C47">
        <w:t>n</w:t>
      </w:r>
      <w:r>
        <w:t xml:space="preserve"> en alguien para quien varias partes se ha</w:t>
      </w:r>
      <w:r w:rsidR="00CC3C47">
        <w:t>ya</w:t>
      </w:r>
      <w:r>
        <w:t>n vuelto evidentes, o quien ha</w:t>
      </w:r>
      <w:r w:rsidR="00DB1C99">
        <w:t>ya</w:t>
      </w:r>
      <w:r>
        <w:t xml:space="preserve"> alcanzado </w:t>
      </w:r>
      <w:r w:rsidR="00DB1C99">
        <w:t xml:space="preserve">algún </w:t>
      </w:r>
      <w:proofErr w:type="spellStart"/>
      <w:r w:rsidR="00057BF4" w:rsidRPr="00057BF4">
        <w:rPr>
          <w:i/>
          <w:iCs/>
        </w:rPr>
        <w:t>jhāna</w:t>
      </w:r>
      <w:proofErr w:type="spellEnd"/>
      <w:r>
        <w:t xml:space="preserve"> en un</w:t>
      </w:r>
      <w:r w:rsidR="00DB1C99">
        <w:t xml:space="preserve">a parte del cuerpo </w:t>
      </w:r>
      <w:r>
        <w:t>y también se esfuer</w:t>
      </w:r>
      <w:r w:rsidR="00DB1C99">
        <w:t>ce</w:t>
      </w:r>
      <w:r>
        <w:t xml:space="preserve"> más en otro. Como en el caso del </w:t>
      </w:r>
      <w:r w:rsidR="00481EC8">
        <w:t xml:space="preserve">Venerable </w:t>
      </w:r>
      <w:proofErr w:type="spellStart"/>
      <w:r w:rsidRPr="00481EC8">
        <w:t>Mallaka</w:t>
      </w:r>
      <w:proofErr w:type="spellEnd"/>
      <w:r>
        <w:t>. [266]</w:t>
      </w:r>
    </w:p>
    <w:p w14:paraId="45ADDE8E" w14:textId="7620AB77" w:rsidR="00FA4408" w:rsidRDefault="00FA4408" w:rsidP="00FA4408">
      <w:pPr>
        <w:pStyle w:val="NormalConSangria"/>
      </w:pPr>
      <w:r>
        <w:t xml:space="preserve">El </w:t>
      </w:r>
      <w:r w:rsidR="00481EC8">
        <w:t>Venerable</w:t>
      </w:r>
      <w:r>
        <w:t xml:space="preserve">, al parecer, tomó </w:t>
      </w:r>
      <w:r w:rsidR="00EC769A">
        <w:t>de la mano</w:t>
      </w:r>
      <w:r w:rsidR="00EC769A" w:rsidRPr="008517FC">
        <w:rPr>
          <w:vertAlign w:val="superscript"/>
        </w:rPr>
        <w:t>36</w:t>
      </w:r>
      <w:r w:rsidR="00EC769A">
        <w:t xml:space="preserve"> </w:t>
      </w:r>
      <w:r>
        <w:t xml:space="preserve">al </w:t>
      </w:r>
      <w:r w:rsidR="006A19A5">
        <w:t>Venerable</w:t>
      </w:r>
      <w:r>
        <w:t xml:space="preserve"> </w:t>
      </w:r>
      <w:proofErr w:type="spellStart"/>
      <w:r>
        <w:t>Abhaya</w:t>
      </w:r>
      <w:proofErr w:type="spellEnd"/>
      <w:r>
        <w:t xml:space="preserve">, </w:t>
      </w:r>
      <w:r w:rsidR="00481EC8">
        <w:t xml:space="preserve">un </w:t>
      </w:r>
      <w:r>
        <w:t xml:space="preserve">recitador </w:t>
      </w:r>
      <w:r w:rsidR="00481EC8">
        <w:t xml:space="preserve">del </w:t>
      </w:r>
      <w:r w:rsidRPr="004026D4">
        <w:rPr>
          <w:i/>
          <w:iCs/>
        </w:rPr>
        <w:t>Dīgha</w:t>
      </w:r>
      <w:r>
        <w:t xml:space="preserve">, y después de decir: “Amigo </w:t>
      </w:r>
      <w:proofErr w:type="spellStart"/>
      <w:r>
        <w:t>Abhaya</w:t>
      </w:r>
      <w:proofErr w:type="spellEnd"/>
      <w:r>
        <w:t>, primero aprend</w:t>
      </w:r>
      <w:r w:rsidR="00EC769A">
        <w:t>a</w:t>
      </w:r>
      <w:r>
        <w:t xml:space="preserve"> este asunto”, continuó: “El </w:t>
      </w:r>
      <w:r w:rsidR="006A19A5">
        <w:t xml:space="preserve">Venerable </w:t>
      </w:r>
      <w:proofErr w:type="spellStart"/>
      <w:r>
        <w:t>Mallaka</w:t>
      </w:r>
      <w:proofErr w:type="spellEnd"/>
      <w:r>
        <w:t xml:space="preserve"> es un obtentor de </w:t>
      </w:r>
      <w:r w:rsidR="00EC769A">
        <w:t xml:space="preserve">los </w:t>
      </w:r>
      <w:r>
        <w:t xml:space="preserve">treinta y dos </w:t>
      </w:r>
      <w:proofErr w:type="spellStart"/>
      <w:r w:rsidR="00057BF4" w:rsidRPr="00057BF4">
        <w:rPr>
          <w:i/>
          <w:iCs/>
        </w:rPr>
        <w:t>jhāna</w:t>
      </w:r>
      <w:r w:rsidRPr="006A19A5">
        <w:rPr>
          <w:i/>
          <w:iCs/>
        </w:rPr>
        <w:t>s</w:t>
      </w:r>
      <w:proofErr w:type="spellEnd"/>
      <w:r>
        <w:t xml:space="preserve"> en las treinta y dos partes</w:t>
      </w:r>
      <w:r w:rsidR="00EC769A">
        <w:t xml:space="preserve"> del cuerpo</w:t>
      </w:r>
      <w:r>
        <w:t>. Si entra en uno de noche y en otro de día, sig</w:t>
      </w:r>
      <w:r w:rsidR="00EC769A">
        <w:t>a</w:t>
      </w:r>
      <w:r>
        <w:t xml:space="preserve"> entrando en ellos durante más de quince días; pero si entra en uno cada día, seguirá entrando en ellos durante más de un mes”.</w:t>
      </w:r>
    </w:p>
    <w:p w14:paraId="3A3FB48B" w14:textId="50F324F7" w:rsidR="00FA4408" w:rsidRDefault="00FA4408" w:rsidP="00FA4408">
      <w:r>
        <w:t xml:space="preserve">143. </w:t>
      </w:r>
      <w:r>
        <w:tab/>
        <w:t xml:space="preserve">Y aunque esta meditación </w:t>
      </w:r>
      <w:r w:rsidR="00162D63">
        <w:t>tendrá</w:t>
      </w:r>
      <w:r>
        <w:t xml:space="preserve"> éxito de esta manera con el primer </w:t>
      </w:r>
      <w:proofErr w:type="spellStart"/>
      <w:r w:rsidR="00057BF4" w:rsidRPr="00057BF4">
        <w:rPr>
          <w:i/>
          <w:iCs/>
        </w:rPr>
        <w:t>jhāna</w:t>
      </w:r>
      <w:proofErr w:type="spellEnd"/>
      <w:r>
        <w:t xml:space="preserve">, sin embargo se </w:t>
      </w:r>
      <w:r w:rsidR="00162D63">
        <w:t xml:space="preserve">le </w:t>
      </w:r>
      <w:r>
        <w:t>llama</w:t>
      </w:r>
      <w:r w:rsidR="00162D63">
        <w:t>rá</w:t>
      </w:r>
      <w:r>
        <w:t xml:space="preserve"> "atención plena ocupada </w:t>
      </w:r>
      <w:r w:rsidR="00162D63">
        <w:t xml:space="preserve">en </w:t>
      </w:r>
      <w:r>
        <w:t xml:space="preserve">el cuerpo" porque </w:t>
      </w:r>
      <w:r w:rsidR="00162D63">
        <w:t xml:space="preserve">tendrá </w:t>
      </w:r>
      <w:r>
        <w:t xml:space="preserve">éxito a través de la influencia de la atención plena del </w:t>
      </w:r>
      <w:r w:rsidRPr="00986B5F">
        <w:rPr>
          <w:i/>
          <w:iCs/>
        </w:rPr>
        <w:t>color, la forma</w:t>
      </w:r>
      <w:r>
        <w:t>, etc.</w:t>
      </w:r>
    </w:p>
    <w:p w14:paraId="38FE12DC" w14:textId="43E77E89" w:rsidR="00FA4408" w:rsidRDefault="00FA4408" w:rsidP="00FA4408">
      <w:r>
        <w:t xml:space="preserve">144. </w:t>
      </w:r>
      <w:r>
        <w:tab/>
        <w:t xml:space="preserve">Y el </w:t>
      </w:r>
      <w:proofErr w:type="spellStart"/>
      <w:r w:rsidR="00057BF4" w:rsidRPr="00057BF4">
        <w:rPr>
          <w:i/>
          <w:iCs/>
        </w:rPr>
        <w:t>bhikkhu</w:t>
      </w:r>
      <w:proofErr w:type="spellEnd"/>
      <w:r>
        <w:t xml:space="preserve"> que s</w:t>
      </w:r>
      <w:r w:rsidR="0096082C">
        <w:t>ea</w:t>
      </w:r>
      <w:r>
        <w:t xml:space="preserve"> devoto </w:t>
      </w:r>
      <w:r w:rsidR="0096082C">
        <w:t>en</w:t>
      </w:r>
      <w:r>
        <w:t xml:space="preserve"> esta atención plena ocupada </w:t>
      </w:r>
      <w:r w:rsidR="0096082C">
        <w:t>en</w:t>
      </w:r>
      <w:r>
        <w:t xml:space="preserve"> el cuerpo “</w:t>
      </w:r>
      <w:r w:rsidR="0096082C">
        <w:t>será</w:t>
      </w:r>
      <w:r>
        <w:t xml:space="preserve"> un vencedor del </w:t>
      </w:r>
      <w:r w:rsidR="00541742">
        <w:t xml:space="preserve">tedio </w:t>
      </w:r>
      <w:r>
        <w:t xml:space="preserve">y </w:t>
      </w:r>
      <w:r w:rsidR="00541742">
        <w:t>la dicha</w:t>
      </w:r>
      <w:r>
        <w:t xml:space="preserve">, y el </w:t>
      </w:r>
      <w:r w:rsidR="00541742">
        <w:t xml:space="preserve">tedio </w:t>
      </w:r>
      <w:r>
        <w:t>no lo vence</w:t>
      </w:r>
      <w:r w:rsidR="00541742">
        <w:t>rá</w:t>
      </w:r>
      <w:r>
        <w:t xml:space="preserve">; </w:t>
      </w:r>
      <w:r w:rsidR="00541742">
        <w:t>habitará</w:t>
      </w:r>
      <w:r>
        <w:t xml:space="preserve"> trascendiendo el </w:t>
      </w:r>
      <w:r w:rsidR="00541742">
        <w:t xml:space="preserve">tedio </w:t>
      </w:r>
      <w:r>
        <w:t>a medida que sur</w:t>
      </w:r>
      <w:r w:rsidR="00541742">
        <w:t>ja</w:t>
      </w:r>
      <w:r>
        <w:t xml:space="preserve">. </w:t>
      </w:r>
      <w:r w:rsidR="00541742">
        <w:t xml:space="preserve">Será </w:t>
      </w:r>
      <w:r>
        <w:t>un vencedor del miedo y el pavor, y el miedo y el pavor no lo vence</w:t>
      </w:r>
      <w:r w:rsidR="00541742">
        <w:t>rán</w:t>
      </w:r>
      <w:r>
        <w:t xml:space="preserve">; </w:t>
      </w:r>
      <w:r w:rsidR="00541742">
        <w:t xml:space="preserve">habitará </w:t>
      </w:r>
      <w:r>
        <w:t xml:space="preserve">trascendiendo el miedo y el pavor a medida que </w:t>
      </w:r>
      <w:r w:rsidR="00541742">
        <w:t xml:space="preserve">estos </w:t>
      </w:r>
      <w:r>
        <w:t>sur</w:t>
      </w:r>
      <w:r w:rsidR="00541742">
        <w:t>jan</w:t>
      </w:r>
      <w:r>
        <w:t xml:space="preserve">. </w:t>
      </w:r>
      <w:r w:rsidR="00541742">
        <w:t xml:space="preserve">Será </w:t>
      </w:r>
      <w:r>
        <w:t>el que soport</w:t>
      </w:r>
      <w:r w:rsidR="00541742">
        <w:t>e</w:t>
      </w:r>
      <w:r>
        <w:t xml:space="preserve"> el frío y el calor... el que soport</w:t>
      </w:r>
      <w:r w:rsidR="00541742">
        <w:t>e</w:t>
      </w:r>
      <w:r>
        <w:t xml:space="preserve">... </w:t>
      </w:r>
      <w:r w:rsidR="00541742">
        <w:t xml:space="preserve">sensaciones </w:t>
      </w:r>
      <w:r>
        <w:t>corporales surgid</w:t>
      </w:r>
      <w:r w:rsidR="00541742">
        <w:t>a</w:t>
      </w:r>
      <w:r>
        <w:t>s que s</w:t>
      </w:r>
      <w:r w:rsidR="00541742">
        <w:t>ea</w:t>
      </w:r>
      <w:r>
        <w:t>n... amenazantes para la vida” (M III 97); se convert</w:t>
      </w:r>
      <w:r w:rsidR="00541742">
        <w:t>irá</w:t>
      </w:r>
      <w:r>
        <w:t xml:space="preserve"> en un </w:t>
      </w:r>
      <w:r w:rsidR="00541742">
        <w:t xml:space="preserve">consumador </w:t>
      </w:r>
      <w:r>
        <w:t xml:space="preserve">de los cuatro </w:t>
      </w:r>
      <w:proofErr w:type="spellStart"/>
      <w:r w:rsidR="00057BF4" w:rsidRPr="00057BF4">
        <w:rPr>
          <w:i/>
          <w:iCs/>
        </w:rPr>
        <w:t>jhāna</w:t>
      </w:r>
      <w:r w:rsidRPr="006A19A5">
        <w:rPr>
          <w:i/>
          <w:iCs/>
        </w:rPr>
        <w:t>s</w:t>
      </w:r>
      <w:proofErr w:type="spellEnd"/>
      <w:r>
        <w:t xml:space="preserve"> basado en el aspecto del color de los cabellos de la cabeza,</w:t>
      </w:r>
      <w:r w:rsidRPr="00694F92">
        <w:rPr>
          <w:vertAlign w:val="superscript"/>
        </w:rPr>
        <w:t>37</w:t>
      </w:r>
      <w:r>
        <w:t xml:space="preserve"> etc.; y llega</w:t>
      </w:r>
      <w:r w:rsidR="007638F3">
        <w:t>rá</w:t>
      </w:r>
      <w:r>
        <w:t xml:space="preserve"> a penetrar las seis clases de conocimiento directo (ver MN 6).</w:t>
      </w:r>
    </w:p>
    <w:p w14:paraId="06265E03" w14:textId="0210ECE7" w:rsidR="00FA4408" w:rsidRPr="0003713F" w:rsidRDefault="007638F3" w:rsidP="00FA4408">
      <w:pPr>
        <w:pStyle w:val="VersoIngls01Sangria"/>
        <w:rPr>
          <w:sz w:val="16"/>
          <w:szCs w:val="20"/>
        </w:rPr>
      </w:pPr>
      <w:r w:rsidRPr="0003713F">
        <w:rPr>
          <w:sz w:val="16"/>
          <w:szCs w:val="20"/>
        </w:rPr>
        <w:t>Por lo tanto,</w:t>
      </w:r>
      <w:r w:rsidR="00FA4408" w:rsidRPr="0003713F">
        <w:rPr>
          <w:sz w:val="16"/>
          <w:szCs w:val="20"/>
        </w:rPr>
        <w:t xml:space="preserve"> que el hombre, si es sabio,</w:t>
      </w:r>
    </w:p>
    <w:p w14:paraId="08F155A3" w14:textId="70A60CFE" w:rsidR="00FA4408" w:rsidRPr="0003713F" w:rsidRDefault="007638F3" w:rsidP="00FA4408">
      <w:pPr>
        <w:pStyle w:val="VersoIngls01Sangria"/>
        <w:rPr>
          <w:sz w:val="16"/>
          <w:szCs w:val="20"/>
        </w:rPr>
      </w:pPr>
      <w:r w:rsidRPr="0003713F">
        <w:rPr>
          <w:sz w:val="16"/>
          <w:szCs w:val="20"/>
        </w:rPr>
        <w:t>D</w:t>
      </w:r>
      <w:r w:rsidR="00FA4408" w:rsidRPr="0003713F">
        <w:rPr>
          <w:sz w:val="16"/>
          <w:szCs w:val="20"/>
        </w:rPr>
        <w:t>edi</w:t>
      </w:r>
      <w:r w:rsidRPr="0003713F">
        <w:rPr>
          <w:sz w:val="16"/>
          <w:szCs w:val="20"/>
        </w:rPr>
        <w:t>que</w:t>
      </w:r>
      <w:r w:rsidR="00FA4408" w:rsidRPr="0003713F">
        <w:rPr>
          <w:sz w:val="16"/>
          <w:szCs w:val="20"/>
        </w:rPr>
        <w:t xml:space="preserve"> incansablemente sus días</w:t>
      </w:r>
    </w:p>
    <w:p w14:paraId="2D6EF8B3" w14:textId="175820DA" w:rsidR="00FA4408" w:rsidRPr="0003713F" w:rsidRDefault="00FA4408" w:rsidP="00FA4408">
      <w:pPr>
        <w:pStyle w:val="VersoIngls01Sangria"/>
        <w:rPr>
          <w:sz w:val="16"/>
          <w:szCs w:val="20"/>
        </w:rPr>
      </w:pPr>
      <w:r w:rsidRPr="0003713F">
        <w:rPr>
          <w:sz w:val="16"/>
          <w:szCs w:val="20"/>
        </w:rPr>
        <w:t xml:space="preserve">A la atención plena </w:t>
      </w:r>
      <w:r w:rsidR="007638F3" w:rsidRPr="0003713F">
        <w:rPr>
          <w:sz w:val="16"/>
          <w:szCs w:val="20"/>
        </w:rPr>
        <w:t xml:space="preserve">en </w:t>
      </w:r>
      <w:r w:rsidRPr="0003713F">
        <w:rPr>
          <w:sz w:val="16"/>
          <w:szCs w:val="20"/>
        </w:rPr>
        <w:t>el cuerpo que</w:t>
      </w:r>
    </w:p>
    <w:p w14:paraId="1547C47F" w14:textId="5775487A" w:rsidR="00FA4408" w:rsidRPr="0003713F" w:rsidRDefault="00FA4408" w:rsidP="00FA4408">
      <w:pPr>
        <w:pStyle w:val="VersoIngls01Sangria"/>
        <w:spacing w:after="100"/>
        <w:ind w:left="1418"/>
        <w:rPr>
          <w:sz w:val="16"/>
          <w:szCs w:val="20"/>
        </w:rPr>
      </w:pPr>
      <w:r w:rsidRPr="0003713F">
        <w:rPr>
          <w:sz w:val="16"/>
          <w:szCs w:val="20"/>
        </w:rPr>
        <w:t>Lo recompensa</w:t>
      </w:r>
      <w:r w:rsidR="00AF70E3" w:rsidRPr="0003713F">
        <w:rPr>
          <w:sz w:val="16"/>
          <w:szCs w:val="20"/>
        </w:rPr>
        <w:t>rá</w:t>
      </w:r>
      <w:r w:rsidRPr="0003713F">
        <w:rPr>
          <w:sz w:val="16"/>
          <w:szCs w:val="20"/>
        </w:rPr>
        <w:t xml:space="preserve"> de muchas maneras.</w:t>
      </w:r>
    </w:p>
    <w:p w14:paraId="4CB6EBEA" w14:textId="77777777" w:rsidR="00FA4408" w:rsidRDefault="00FA4408" w:rsidP="00FA4408">
      <w:pPr>
        <w:pStyle w:val="PiedepginaLegal"/>
        <w:rPr>
          <w:u w:val="single"/>
        </w:rPr>
      </w:pPr>
      <w:r>
        <w:rPr>
          <w:u w:val="single"/>
        </w:rPr>
        <w:tab/>
      </w:r>
      <w:r>
        <w:rPr>
          <w:u w:val="single"/>
        </w:rPr>
        <w:tab/>
      </w:r>
      <w:r>
        <w:rPr>
          <w:u w:val="single"/>
        </w:rPr>
        <w:tab/>
      </w:r>
      <w:r>
        <w:rPr>
          <w:u w:val="single"/>
        </w:rPr>
        <w:tab/>
        <w:t>.</w:t>
      </w:r>
    </w:p>
    <w:p w14:paraId="6CDDF2EB" w14:textId="0D7D882A" w:rsidR="00FA4408" w:rsidRDefault="00FA4408" w:rsidP="00FA4408">
      <w:pPr>
        <w:pStyle w:val="PiedepginaLegal"/>
      </w:pPr>
      <w:r>
        <w:t xml:space="preserve">36. </w:t>
      </w:r>
      <w:r>
        <w:tab/>
        <w:t xml:space="preserve">A veces se hace referencia a </w:t>
      </w:r>
      <w:r w:rsidR="00B70D4A">
        <w:t>un</w:t>
      </w:r>
      <w:r>
        <w:t>a “</w:t>
      </w:r>
      <w:r w:rsidR="001E12B7">
        <w:t>cuestión</w:t>
      </w:r>
      <w:r w:rsidR="00B70D4A">
        <w:t xml:space="preserve"> </w:t>
      </w:r>
      <w:r>
        <w:t>agarra</w:t>
      </w:r>
      <w:r w:rsidR="00B70D4A">
        <w:t>da</w:t>
      </w:r>
      <w:r>
        <w:t xml:space="preserve"> </w:t>
      </w:r>
      <w:r w:rsidR="00B70D4A">
        <w:t xml:space="preserve">de </w:t>
      </w:r>
      <w:r>
        <w:t>la mano” (</w:t>
      </w:r>
      <w:proofErr w:type="spellStart"/>
      <w:r w:rsidRPr="006A19A5">
        <w:rPr>
          <w:i/>
          <w:iCs/>
        </w:rPr>
        <w:t>hattha-gahaka</w:t>
      </w:r>
      <w:proofErr w:type="spellEnd"/>
      <w:r w:rsidRPr="006A19A5">
        <w:rPr>
          <w:i/>
          <w:iCs/>
        </w:rPr>
        <w:t xml:space="preserve"> </w:t>
      </w:r>
      <w:proofErr w:type="spellStart"/>
      <w:r w:rsidRPr="006A19A5">
        <w:rPr>
          <w:i/>
          <w:iCs/>
        </w:rPr>
        <w:t>pañhā</w:t>
      </w:r>
      <w:proofErr w:type="spellEnd"/>
      <w:r>
        <w:t xml:space="preserve">). Puede </w:t>
      </w:r>
      <w:r w:rsidR="004D36AC">
        <w:t>deberse</w:t>
      </w:r>
      <w:r>
        <w:t xml:space="preserve"> a esto; pero hay otro </w:t>
      </w:r>
      <w:r w:rsidR="009F084F">
        <w:t xml:space="preserve">motivo </w:t>
      </w:r>
      <w:r>
        <w:t xml:space="preserve">mencionado al final del comentario del </w:t>
      </w:r>
      <w:proofErr w:type="spellStart"/>
      <w:r w:rsidRPr="008517FC">
        <w:rPr>
          <w:i/>
          <w:iCs/>
        </w:rPr>
        <w:t>Dhātu-Vibhaṇga</w:t>
      </w:r>
      <w:proofErr w:type="spellEnd"/>
      <w:r>
        <w:t>.</w:t>
      </w:r>
    </w:p>
    <w:p w14:paraId="65DF8752" w14:textId="2F710D7E" w:rsidR="00CE1E7A" w:rsidRDefault="00FA4408" w:rsidP="00FA4408">
      <w:pPr>
        <w:pStyle w:val="PiedepginaLegal"/>
      </w:pPr>
      <w:r>
        <w:t xml:space="preserve">37. </w:t>
      </w:r>
      <w:r>
        <w:tab/>
        <w:t xml:space="preserve">La alusión parece </w:t>
      </w:r>
      <w:r w:rsidR="0050557F">
        <w:t xml:space="preserve">corresponder </w:t>
      </w:r>
      <w:r>
        <w:t xml:space="preserve">a las bases del </w:t>
      </w:r>
      <w:r w:rsidR="008E24D1">
        <w:t>dominio</w:t>
      </w:r>
      <w:r>
        <w:t xml:space="preserve"> (</w:t>
      </w:r>
      <w:proofErr w:type="spellStart"/>
      <w:r w:rsidRPr="006A19A5">
        <w:rPr>
          <w:i/>
          <w:iCs/>
        </w:rPr>
        <w:t>abhibhāyatana</w:t>
      </w:r>
      <w:proofErr w:type="spellEnd"/>
      <w:r>
        <w:t xml:space="preserve">—o mejor, bases para la trascendencia); ver M II l3 y M-a III 257f.; pero </w:t>
      </w:r>
      <w:r w:rsidR="0050557F">
        <w:t xml:space="preserve">también </w:t>
      </w:r>
      <w:r>
        <w:t>ver §60.</w:t>
      </w:r>
    </w:p>
    <w:p w14:paraId="6AE3E550" w14:textId="77777777" w:rsidR="00CE1E7A" w:rsidRDefault="00CE1E7A">
      <w:pPr>
        <w:tabs>
          <w:tab w:val="clear" w:pos="425"/>
        </w:tabs>
        <w:spacing w:after="160"/>
        <w:rPr>
          <w:color w:val="000000" w:themeColor="text1"/>
          <w:spacing w:val="10"/>
          <w:sz w:val="14"/>
        </w:rPr>
      </w:pPr>
      <w:r>
        <w:br w:type="page"/>
      </w:r>
    </w:p>
    <w:p w14:paraId="07846791" w14:textId="77777777" w:rsidR="006F3B94" w:rsidRDefault="006F3B94" w:rsidP="006F3B94">
      <w:pPr>
        <w:pStyle w:val="NormalConSangria"/>
      </w:pPr>
    </w:p>
    <w:p w14:paraId="7DE8C1C6" w14:textId="77777777" w:rsidR="00C32C91" w:rsidRDefault="00C32C91" w:rsidP="006F3B94">
      <w:pPr>
        <w:pStyle w:val="NormalConSangria"/>
      </w:pPr>
    </w:p>
    <w:p w14:paraId="6DDC1C60" w14:textId="15EA3827" w:rsidR="00C028AB" w:rsidRDefault="006F3B94" w:rsidP="006F3B94">
      <w:pPr>
        <w:pStyle w:val="NormalConSangria"/>
      </w:pPr>
      <w:r>
        <w:t>Esta es la sección que trata sobre la atención plena ocupada en el cuerpo en el tratado detallado.</w:t>
      </w:r>
    </w:p>
    <w:p w14:paraId="49A8C596" w14:textId="726BF068" w:rsidR="00CE1E7A" w:rsidRDefault="00CE1E7A" w:rsidP="00CE1E7A">
      <w:pPr>
        <w:pStyle w:val="Ttulo3"/>
        <w:ind w:left="708"/>
      </w:pPr>
      <w:r>
        <w:t xml:space="preserve">[(9) Atención </w:t>
      </w:r>
      <w:r w:rsidR="00AF70E3">
        <w:t>en</w:t>
      </w:r>
      <w:r>
        <w:t xml:space="preserve"> </w:t>
      </w:r>
      <w:r w:rsidR="00AF70E3">
        <w:t xml:space="preserve">La </w:t>
      </w:r>
      <w:r>
        <w:t>Respiración]</w:t>
      </w:r>
    </w:p>
    <w:p w14:paraId="6AB0D84B" w14:textId="31596491" w:rsidR="00CE1E7A" w:rsidRDefault="00CE1E7A" w:rsidP="00CE1E7A">
      <w:r>
        <w:t xml:space="preserve">145. </w:t>
      </w:r>
      <w:r w:rsidR="00C028AB">
        <w:tab/>
      </w:r>
      <w:r>
        <w:t xml:space="preserve">Ahora </w:t>
      </w:r>
      <w:r w:rsidR="00E66E4A">
        <w:t xml:space="preserve">hemos </w:t>
      </w:r>
      <w:r w:rsidR="00AF70E3">
        <w:t>llega</w:t>
      </w:r>
      <w:r w:rsidR="00E66E4A">
        <w:t xml:space="preserve">do </w:t>
      </w:r>
      <w:r w:rsidR="00AF70E3">
        <w:t xml:space="preserve">a </w:t>
      </w:r>
      <w:r>
        <w:t xml:space="preserve">la descripción del desarrollo de la atención plena </w:t>
      </w:r>
      <w:r w:rsidR="00AF70E3">
        <w:t>en</w:t>
      </w:r>
      <w:r>
        <w:t xml:space="preserve"> la respiración como </w:t>
      </w:r>
      <w:r w:rsidR="00AF70E3">
        <w:t xml:space="preserve">objeto </w:t>
      </w:r>
      <w:r>
        <w:t xml:space="preserve">de meditación. Ha sido recomendado por el </w:t>
      </w:r>
      <w:r w:rsidR="0057092B" w:rsidRPr="0057092B">
        <w:rPr>
          <w:i/>
          <w:iCs/>
        </w:rPr>
        <w:t>Bhagavā</w:t>
      </w:r>
      <w:r>
        <w:t xml:space="preserve"> así: “Y, </w:t>
      </w:r>
      <w:proofErr w:type="spellStart"/>
      <w:r w:rsidR="00057BF4" w:rsidRPr="00057BF4">
        <w:rPr>
          <w:i/>
          <w:iCs/>
        </w:rPr>
        <w:t>bhikkhu</w:t>
      </w:r>
      <w:r w:rsidRPr="004026D4">
        <w:rPr>
          <w:i/>
          <w:iCs/>
        </w:rPr>
        <w:t>s</w:t>
      </w:r>
      <w:proofErr w:type="spellEnd"/>
      <w:r>
        <w:t>, esta concentración a través de la atención plena e</w:t>
      </w:r>
      <w:r w:rsidR="0057092B">
        <w:t>n</w:t>
      </w:r>
      <w:r>
        <w:t xml:space="preserve"> la respiración, cuando se desarroll</w:t>
      </w:r>
      <w:r w:rsidR="00E66E4A">
        <w:t>e</w:t>
      </w:r>
      <w:r>
        <w:t xml:space="preserve"> y practi</w:t>
      </w:r>
      <w:r w:rsidR="00E66E4A">
        <w:t>que</w:t>
      </w:r>
      <w:r>
        <w:t xml:space="preserve"> </w:t>
      </w:r>
      <w:r w:rsidR="00E66E4A">
        <w:t>considerablemente</w:t>
      </w:r>
      <w:r>
        <w:t xml:space="preserve">, </w:t>
      </w:r>
      <w:r w:rsidR="00E66E4A">
        <w:t xml:space="preserve">será </w:t>
      </w:r>
      <w:r>
        <w:t xml:space="preserve">a la vez </w:t>
      </w:r>
      <w:r w:rsidR="0057092B">
        <w:t xml:space="preserve">apacible </w:t>
      </w:r>
      <w:r>
        <w:t xml:space="preserve">y sublime, </w:t>
      </w:r>
      <w:r w:rsidR="00E66E4A">
        <w:t xml:space="preserve">será </w:t>
      </w:r>
      <w:r w:rsidR="0057092B">
        <w:t xml:space="preserve">un estado </w:t>
      </w:r>
      <w:r>
        <w:t>dichos</w:t>
      </w:r>
      <w:r w:rsidR="0057092B">
        <w:t>o</w:t>
      </w:r>
      <w:r>
        <w:t xml:space="preserve"> sin adultera</w:t>
      </w:r>
      <w:r w:rsidR="0057092B">
        <w:t>ción</w:t>
      </w:r>
      <w:r>
        <w:t>, y desterra</w:t>
      </w:r>
      <w:r w:rsidR="00E66E4A">
        <w:t>rá</w:t>
      </w:r>
      <w:r>
        <w:t xml:space="preserve"> y aquieta</w:t>
      </w:r>
      <w:r w:rsidR="00E66E4A">
        <w:t>rá</w:t>
      </w:r>
      <w:r>
        <w:t xml:space="preserve"> </w:t>
      </w:r>
      <w:r w:rsidR="00E66E4A">
        <w:t xml:space="preserve">de inmediato </w:t>
      </w:r>
      <w:r>
        <w:t>l</w:t>
      </w:r>
      <w:r w:rsidR="00E66E4A">
        <w:t>os</w:t>
      </w:r>
      <w:r>
        <w:t xml:space="preserve"> pensamientos </w:t>
      </w:r>
      <w:r w:rsidR="00C907ED">
        <w:t xml:space="preserve">negativos e improductivos </w:t>
      </w:r>
      <w:r>
        <w:t>tan pronto como sur</w:t>
      </w:r>
      <w:r w:rsidR="00E66E4A">
        <w:t>ja</w:t>
      </w:r>
      <w:r>
        <w:t xml:space="preserve">n” (S V 321; </w:t>
      </w:r>
      <w:proofErr w:type="spellStart"/>
      <w:r>
        <w:t>Vin</w:t>
      </w:r>
      <w:proofErr w:type="spellEnd"/>
      <w:r>
        <w:t xml:space="preserve"> III 70).</w:t>
      </w:r>
    </w:p>
    <w:p w14:paraId="41FFFF46" w14:textId="77777777" w:rsidR="00C32C91" w:rsidRDefault="00C32C91" w:rsidP="00CE1E7A"/>
    <w:p w14:paraId="1D66960E" w14:textId="77777777" w:rsidR="00CE1E7A" w:rsidRDefault="00CE1E7A" w:rsidP="00CE1E7A">
      <w:pPr>
        <w:jc w:val="center"/>
      </w:pPr>
      <w:r>
        <w:t>[</w:t>
      </w:r>
      <w:r w:rsidRPr="00C028AB">
        <w:rPr>
          <w:i/>
          <w:iCs/>
        </w:rPr>
        <w:t>Texto</w:t>
      </w:r>
      <w:r>
        <w:t>]</w:t>
      </w:r>
    </w:p>
    <w:p w14:paraId="039764A4" w14:textId="49229698" w:rsidR="00CE1E7A" w:rsidRDefault="00E425C6" w:rsidP="00C028AB">
      <w:r>
        <w:t>Ésta h</w:t>
      </w:r>
      <w:r w:rsidR="00CE1E7A">
        <w:t>a sido descrit</w:t>
      </w:r>
      <w:r>
        <w:t>a</w:t>
      </w:r>
      <w:r w:rsidR="00CE1E7A">
        <w:t xml:space="preserve"> por el </w:t>
      </w:r>
      <w:r w:rsidR="00C907ED" w:rsidRPr="0057092B">
        <w:rPr>
          <w:i/>
          <w:iCs/>
        </w:rPr>
        <w:t>Bhagavā</w:t>
      </w:r>
      <w:r w:rsidR="00C907ED">
        <w:t xml:space="preserve"> </w:t>
      </w:r>
      <w:r w:rsidR="00CE1E7A">
        <w:t xml:space="preserve">como </w:t>
      </w:r>
      <w:r w:rsidR="008F5961">
        <w:t>poseedora de</w:t>
      </w:r>
      <w:r w:rsidR="00CE1E7A">
        <w:t xml:space="preserve"> dieciséis bases así: </w:t>
      </w:r>
      <w:r w:rsidR="00CE1E7A" w:rsidRPr="00595BC8">
        <w:rPr>
          <w:i/>
          <w:iCs/>
        </w:rPr>
        <w:t>“</w:t>
      </w:r>
      <w:r w:rsidR="00C028AB" w:rsidRPr="00595BC8">
        <w:rPr>
          <w:i/>
          <w:iCs/>
        </w:rPr>
        <w:t>¿</w:t>
      </w:r>
      <w:r w:rsidR="00CE1E7A" w:rsidRPr="00595BC8">
        <w:rPr>
          <w:i/>
          <w:iCs/>
        </w:rPr>
        <w:t xml:space="preserve">Y </w:t>
      </w:r>
      <w:r w:rsidR="00C028AB" w:rsidRPr="00595BC8">
        <w:rPr>
          <w:i/>
          <w:iCs/>
        </w:rPr>
        <w:t>cómo</w:t>
      </w:r>
      <w:r w:rsidR="00CE1E7A" w:rsidRPr="00595BC8">
        <w:rPr>
          <w:i/>
          <w:iCs/>
        </w:rPr>
        <w:t xml:space="preserve"> desarrollada, </w:t>
      </w:r>
      <w:proofErr w:type="spellStart"/>
      <w:r w:rsidR="00057BF4" w:rsidRPr="00595BC8">
        <w:rPr>
          <w:i/>
          <w:iCs/>
        </w:rPr>
        <w:t>bhikkhu</w:t>
      </w:r>
      <w:r w:rsidR="00CE1E7A" w:rsidRPr="00595BC8">
        <w:rPr>
          <w:i/>
          <w:iCs/>
        </w:rPr>
        <w:t>s</w:t>
      </w:r>
      <w:proofErr w:type="spellEnd"/>
      <w:r w:rsidR="00CE1E7A" w:rsidRPr="00595BC8">
        <w:rPr>
          <w:i/>
          <w:iCs/>
        </w:rPr>
        <w:t xml:space="preserve">, </w:t>
      </w:r>
      <w:r w:rsidR="00943909" w:rsidRPr="00595BC8">
        <w:rPr>
          <w:i/>
          <w:iCs/>
        </w:rPr>
        <w:t xml:space="preserve">cómo </w:t>
      </w:r>
      <w:r w:rsidR="00CE1E7A" w:rsidRPr="00595BC8">
        <w:rPr>
          <w:i/>
          <w:iCs/>
        </w:rPr>
        <w:t xml:space="preserve">practicada </w:t>
      </w:r>
      <w:r w:rsidR="00DC1F27">
        <w:rPr>
          <w:i/>
          <w:iCs/>
        </w:rPr>
        <w:t xml:space="preserve">es </w:t>
      </w:r>
      <w:r w:rsidR="00CE1E7A" w:rsidRPr="00595BC8">
        <w:rPr>
          <w:i/>
          <w:iCs/>
        </w:rPr>
        <w:t xml:space="preserve">la concentración a través de la atención </w:t>
      </w:r>
      <w:r w:rsidR="00943909" w:rsidRPr="00595BC8">
        <w:rPr>
          <w:i/>
          <w:iCs/>
        </w:rPr>
        <w:t xml:space="preserve">en </w:t>
      </w:r>
      <w:r w:rsidR="00CE1E7A" w:rsidRPr="00595BC8">
        <w:rPr>
          <w:i/>
          <w:iCs/>
        </w:rPr>
        <w:t xml:space="preserve">la respiración tanto </w:t>
      </w:r>
      <w:r w:rsidR="00943909" w:rsidRPr="00595BC8">
        <w:rPr>
          <w:i/>
          <w:iCs/>
        </w:rPr>
        <w:t xml:space="preserve">apacible </w:t>
      </w:r>
      <w:r w:rsidR="00CE1E7A" w:rsidRPr="00595BC8">
        <w:rPr>
          <w:i/>
          <w:iCs/>
        </w:rPr>
        <w:t xml:space="preserve">como sublime, </w:t>
      </w:r>
      <w:r w:rsidR="00A47C9E">
        <w:rPr>
          <w:i/>
          <w:iCs/>
        </w:rPr>
        <w:t xml:space="preserve">aquel </w:t>
      </w:r>
      <w:r w:rsidR="00943909" w:rsidRPr="00595BC8">
        <w:rPr>
          <w:i/>
          <w:iCs/>
        </w:rPr>
        <w:t xml:space="preserve">estado </w:t>
      </w:r>
      <w:r w:rsidR="00CE1E7A" w:rsidRPr="00595BC8">
        <w:rPr>
          <w:i/>
          <w:iCs/>
        </w:rPr>
        <w:t>dichos</w:t>
      </w:r>
      <w:r w:rsidR="008E3DAE">
        <w:rPr>
          <w:i/>
          <w:iCs/>
        </w:rPr>
        <w:t xml:space="preserve">o </w:t>
      </w:r>
      <w:r w:rsidR="00CE1E7A" w:rsidRPr="00595BC8">
        <w:rPr>
          <w:i/>
          <w:iCs/>
        </w:rPr>
        <w:t>sin adultera</w:t>
      </w:r>
      <w:r w:rsidR="00943909" w:rsidRPr="00595BC8">
        <w:rPr>
          <w:i/>
          <w:iCs/>
        </w:rPr>
        <w:t>ción</w:t>
      </w:r>
      <w:r w:rsidR="00CE1E7A" w:rsidRPr="00595BC8">
        <w:rPr>
          <w:i/>
          <w:iCs/>
        </w:rPr>
        <w:t xml:space="preserve">, </w:t>
      </w:r>
      <w:r w:rsidR="00DC1F27">
        <w:rPr>
          <w:i/>
          <w:iCs/>
        </w:rPr>
        <w:t xml:space="preserve">que </w:t>
      </w:r>
      <w:r w:rsidR="00CE1E7A" w:rsidRPr="00595BC8">
        <w:rPr>
          <w:i/>
          <w:iCs/>
        </w:rPr>
        <w:t>dest</w:t>
      </w:r>
      <w:r w:rsidR="00943909" w:rsidRPr="00595BC8">
        <w:rPr>
          <w:i/>
          <w:iCs/>
        </w:rPr>
        <w:t>i</w:t>
      </w:r>
      <w:r w:rsidR="00CE1E7A" w:rsidRPr="00595BC8">
        <w:rPr>
          <w:i/>
          <w:iCs/>
        </w:rPr>
        <w:t xml:space="preserve">erra y </w:t>
      </w:r>
      <w:r w:rsidR="00595BC8">
        <w:rPr>
          <w:i/>
          <w:iCs/>
        </w:rPr>
        <w:t>calma</w:t>
      </w:r>
      <w:r w:rsidR="00CE1E7A" w:rsidRPr="00595BC8">
        <w:rPr>
          <w:i/>
          <w:iCs/>
        </w:rPr>
        <w:t xml:space="preserve"> de inmediato los pensamientos </w:t>
      </w:r>
      <w:r w:rsidR="009C1C2A" w:rsidRPr="00595BC8">
        <w:rPr>
          <w:i/>
          <w:iCs/>
        </w:rPr>
        <w:t xml:space="preserve">negativos e </w:t>
      </w:r>
      <w:r w:rsidR="00CE1E7A" w:rsidRPr="00595BC8">
        <w:rPr>
          <w:i/>
          <w:iCs/>
        </w:rPr>
        <w:t>inútiles tan pronto como surjan?</w:t>
      </w:r>
    </w:p>
    <w:p w14:paraId="61FC9AFA" w14:textId="515773E5" w:rsidR="00CE1E7A" w:rsidRDefault="00CE1E7A" w:rsidP="00C028AB">
      <w:pPr>
        <w:pStyle w:val="NormalConSangria"/>
      </w:pPr>
      <w:r>
        <w:t>“</w:t>
      </w:r>
      <w:r w:rsidRPr="008E3DAE">
        <w:rPr>
          <w:i/>
          <w:iCs/>
        </w:rPr>
        <w:t xml:space="preserve">Aquí, </w:t>
      </w:r>
      <w:proofErr w:type="spellStart"/>
      <w:r w:rsidR="00057BF4" w:rsidRPr="008E3DAE">
        <w:rPr>
          <w:i/>
          <w:iCs/>
        </w:rPr>
        <w:t>bhikkhu</w:t>
      </w:r>
      <w:r w:rsidR="003B49A6" w:rsidRPr="008E3DAE">
        <w:rPr>
          <w:i/>
          <w:iCs/>
        </w:rPr>
        <w:t>s</w:t>
      </w:r>
      <w:proofErr w:type="spellEnd"/>
      <w:r w:rsidRPr="008E3DAE">
        <w:rPr>
          <w:i/>
          <w:iCs/>
        </w:rPr>
        <w:t xml:space="preserve">, un </w:t>
      </w:r>
      <w:proofErr w:type="spellStart"/>
      <w:r w:rsidR="00057BF4" w:rsidRPr="008E3DAE">
        <w:rPr>
          <w:i/>
          <w:iCs/>
        </w:rPr>
        <w:t>bhikkhu</w:t>
      </w:r>
      <w:proofErr w:type="spellEnd"/>
      <w:r w:rsidRPr="008E3DAE">
        <w:rPr>
          <w:i/>
          <w:iCs/>
        </w:rPr>
        <w:t>, ido al bosque o</w:t>
      </w:r>
      <w:r w:rsidR="004026D4" w:rsidRPr="008E3DAE">
        <w:rPr>
          <w:i/>
          <w:iCs/>
        </w:rPr>
        <w:t xml:space="preserve"> </w:t>
      </w:r>
      <w:r w:rsidR="008E3DAE">
        <w:rPr>
          <w:i/>
          <w:iCs/>
        </w:rPr>
        <w:t>sobre</w:t>
      </w:r>
      <w:r w:rsidRPr="008E3DAE">
        <w:rPr>
          <w:i/>
          <w:iCs/>
        </w:rPr>
        <w:t xml:space="preserve"> la raíz de un árbol o</w:t>
      </w:r>
      <w:r w:rsidR="004026D4" w:rsidRPr="008E3DAE">
        <w:rPr>
          <w:i/>
          <w:iCs/>
        </w:rPr>
        <w:t xml:space="preserve"> </w:t>
      </w:r>
      <w:r w:rsidRPr="008E3DAE">
        <w:rPr>
          <w:i/>
          <w:iCs/>
        </w:rPr>
        <w:t xml:space="preserve">a un lugar vacío, </w:t>
      </w:r>
      <w:r w:rsidR="008E3DAE">
        <w:rPr>
          <w:i/>
          <w:iCs/>
        </w:rPr>
        <w:t xml:space="preserve">él </w:t>
      </w:r>
      <w:r w:rsidRPr="008E3DAE">
        <w:rPr>
          <w:i/>
          <w:iCs/>
        </w:rPr>
        <w:t xml:space="preserve">se sienta; </w:t>
      </w:r>
      <w:r w:rsidR="006F3B94" w:rsidRPr="008E3DAE">
        <w:rPr>
          <w:i/>
          <w:iCs/>
        </w:rPr>
        <w:t>al haber</w:t>
      </w:r>
      <w:r w:rsidRPr="008E3DAE">
        <w:rPr>
          <w:i/>
          <w:iCs/>
        </w:rPr>
        <w:t xml:space="preserve"> doblado las piernas en forma cruz</w:t>
      </w:r>
      <w:r w:rsidR="003E1689">
        <w:rPr>
          <w:i/>
          <w:iCs/>
        </w:rPr>
        <w:t>ada</w:t>
      </w:r>
      <w:r w:rsidRPr="008E3DAE">
        <w:rPr>
          <w:i/>
          <w:iCs/>
        </w:rPr>
        <w:t xml:space="preserve">, erguido el cuerpo, establecido la atención plena frente a él, [267] </w:t>
      </w:r>
      <w:r w:rsidR="008E3DAE">
        <w:rPr>
          <w:i/>
          <w:iCs/>
        </w:rPr>
        <w:t xml:space="preserve">él </w:t>
      </w:r>
      <w:r w:rsidRPr="008E3DAE">
        <w:rPr>
          <w:i/>
          <w:iCs/>
        </w:rPr>
        <w:t xml:space="preserve">inhala, </w:t>
      </w:r>
      <w:r w:rsidR="00E67AD7" w:rsidRPr="008E3DAE">
        <w:rPr>
          <w:i/>
          <w:iCs/>
        </w:rPr>
        <w:t>siempre consciente</w:t>
      </w:r>
      <w:r w:rsidR="00E67AD7">
        <w:rPr>
          <w:i/>
          <w:iCs/>
        </w:rPr>
        <w:t>,</w:t>
      </w:r>
      <w:r w:rsidR="00E67AD7" w:rsidRPr="008E3DAE">
        <w:rPr>
          <w:i/>
          <w:iCs/>
        </w:rPr>
        <w:t xml:space="preserve"> </w:t>
      </w:r>
      <w:r w:rsidR="00646D89">
        <w:rPr>
          <w:i/>
          <w:iCs/>
        </w:rPr>
        <w:t xml:space="preserve">él </w:t>
      </w:r>
      <w:r w:rsidRPr="008E3DAE">
        <w:rPr>
          <w:i/>
          <w:iCs/>
        </w:rPr>
        <w:t>exhala</w:t>
      </w:r>
      <w:r w:rsidR="00E67AD7" w:rsidRPr="00E67AD7">
        <w:rPr>
          <w:i/>
          <w:iCs/>
        </w:rPr>
        <w:t xml:space="preserve"> </w:t>
      </w:r>
      <w:r w:rsidR="00E67AD7">
        <w:rPr>
          <w:i/>
          <w:iCs/>
        </w:rPr>
        <w:t xml:space="preserve">siempre </w:t>
      </w:r>
      <w:r w:rsidR="00E67AD7" w:rsidRPr="008E3DAE">
        <w:rPr>
          <w:i/>
          <w:iCs/>
        </w:rPr>
        <w:t>consciente</w:t>
      </w:r>
      <w:r w:rsidR="008E3DAE">
        <w:rPr>
          <w:i/>
          <w:iCs/>
        </w:rPr>
        <w:t>”</w:t>
      </w:r>
      <w:r w:rsidRPr="008E3DAE">
        <w:rPr>
          <w:i/>
          <w:iCs/>
        </w:rPr>
        <w:t>.</w:t>
      </w:r>
      <w:r w:rsidR="004026D4">
        <w:t xml:space="preserve"> </w:t>
      </w:r>
    </w:p>
    <w:p w14:paraId="32D259E3" w14:textId="6798A5F1" w:rsidR="00CE1E7A" w:rsidRDefault="00CE1E7A" w:rsidP="00C028AB">
      <w:pPr>
        <w:pStyle w:val="NormalConSangria"/>
      </w:pPr>
      <w:r>
        <w:t xml:space="preserve">"(i) </w:t>
      </w:r>
      <w:r w:rsidR="006F3B94">
        <w:t xml:space="preserve">Al inspirar </w:t>
      </w:r>
      <w:r>
        <w:t xml:space="preserve">largamente, </w:t>
      </w:r>
      <w:r w:rsidR="00E67AD7">
        <w:t>es consciente</w:t>
      </w:r>
      <w:r>
        <w:t xml:space="preserve">: 'Inspiro largamente'; o </w:t>
      </w:r>
      <w:r w:rsidR="006F3B94">
        <w:t xml:space="preserve">al expirar </w:t>
      </w:r>
      <w:r>
        <w:t xml:space="preserve">largamente, </w:t>
      </w:r>
      <w:r w:rsidR="00E67AD7">
        <w:t>es consciente</w:t>
      </w:r>
      <w:r>
        <w:t>: 'Exhalo largamente'. (</w:t>
      </w:r>
      <w:proofErr w:type="spellStart"/>
      <w:r>
        <w:t>ii</w:t>
      </w:r>
      <w:proofErr w:type="spellEnd"/>
      <w:r>
        <w:t xml:space="preserve">) </w:t>
      </w:r>
      <w:r w:rsidR="006F3B94">
        <w:t xml:space="preserve">Al inhalar </w:t>
      </w:r>
      <w:r>
        <w:t xml:space="preserve">cortamente, </w:t>
      </w:r>
      <w:r w:rsidR="00E67AD7">
        <w:t>es consciente</w:t>
      </w:r>
      <w:r>
        <w:t xml:space="preserve">: 'Inhalo cortamente'; o </w:t>
      </w:r>
      <w:r w:rsidR="006F3B94">
        <w:t xml:space="preserve">al exhalar </w:t>
      </w:r>
      <w:r>
        <w:t xml:space="preserve">brevemente, </w:t>
      </w:r>
      <w:r w:rsidR="00E67AD7">
        <w:t>es consciente</w:t>
      </w:r>
      <w:r>
        <w:t>: 'Exhalo brevemente'. (</w:t>
      </w:r>
      <w:proofErr w:type="spellStart"/>
      <w:r>
        <w:t>iii</w:t>
      </w:r>
      <w:proofErr w:type="spellEnd"/>
      <w:r>
        <w:t xml:space="preserve">) Se entrena así: </w:t>
      </w:r>
      <w:r w:rsidR="006F3B94">
        <w:t xml:space="preserve">'Inhalo </w:t>
      </w:r>
      <w:r>
        <w:t xml:space="preserve">experimentando todo el cuerpo'; se entrena así: </w:t>
      </w:r>
      <w:r w:rsidR="006F3B94">
        <w:t xml:space="preserve">'Exhalo </w:t>
      </w:r>
      <w:r>
        <w:t>experimentando todo el cuerpo'. (</w:t>
      </w:r>
      <w:proofErr w:type="spellStart"/>
      <w:r>
        <w:t>iv</w:t>
      </w:r>
      <w:proofErr w:type="spellEnd"/>
      <w:r>
        <w:t xml:space="preserve">) Él </w:t>
      </w:r>
      <w:r w:rsidR="006F3B94">
        <w:t xml:space="preserve">se </w:t>
      </w:r>
      <w:r>
        <w:t xml:space="preserve">entrena así: </w:t>
      </w:r>
      <w:r w:rsidR="006F3B94">
        <w:t xml:space="preserve">'Inhalo </w:t>
      </w:r>
      <w:r>
        <w:t xml:space="preserve">tranquilizando la formación corporal', él </w:t>
      </w:r>
      <w:r w:rsidR="006F3B94">
        <w:t xml:space="preserve">se </w:t>
      </w:r>
      <w:r>
        <w:t xml:space="preserve">entrena así: </w:t>
      </w:r>
      <w:r w:rsidR="006F3B94">
        <w:t xml:space="preserve">'Exhalo </w:t>
      </w:r>
      <w:r>
        <w:t>tranquilizando la formación corporal'.</w:t>
      </w:r>
    </w:p>
    <w:p w14:paraId="4ACF36FA" w14:textId="75AB5657" w:rsidR="00CE1E7A" w:rsidRDefault="00CE1E7A" w:rsidP="00C028AB">
      <w:pPr>
        <w:pStyle w:val="NormalConSangria"/>
      </w:pPr>
      <w:r>
        <w:t xml:space="preserve">"(v) Él </w:t>
      </w:r>
      <w:r w:rsidR="006F3B94">
        <w:t xml:space="preserve">se </w:t>
      </w:r>
      <w:r>
        <w:t xml:space="preserve">entrena así: </w:t>
      </w:r>
      <w:r w:rsidR="006F3B94">
        <w:t xml:space="preserve">'Inhalo </w:t>
      </w:r>
      <w:r>
        <w:t xml:space="preserve">experimentando felicidad'; él </w:t>
      </w:r>
      <w:r w:rsidR="006F3B94">
        <w:t xml:space="preserve">se </w:t>
      </w:r>
      <w:r>
        <w:t xml:space="preserve">entrena así: </w:t>
      </w:r>
      <w:r w:rsidR="006F3B94">
        <w:t xml:space="preserve">'Exhalo </w:t>
      </w:r>
      <w:r>
        <w:t xml:space="preserve">experimentando felicidad'. (vi) Él </w:t>
      </w:r>
      <w:r w:rsidR="006F3B94">
        <w:t xml:space="preserve">se </w:t>
      </w:r>
      <w:r>
        <w:t xml:space="preserve">entrena así: </w:t>
      </w:r>
      <w:r w:rsidR="006F3B94">
        <w:t xml:space="preserve">'Inhalo </w:t>
      </w:r>
      <w:r>
        <w:t xml:space="preserve">experimentando </w:t>
      </w:r>
      <w:r w:rsidR="006F3B94">
        <w:t>dicha</w:t>
      </w:r>
      <w:r>
        <w:t xml:space="preserve">; él </w:t>
      </w:r>
      <w:r w:rsidR="006F3B94">
        <w:t xml:space="preserve">se </w:t>
      </w:r>
      <w:r>
        <w:t>entrena así: 'Exhal</w:t>
      </w:r>
      <w:r w:rsidR="006F3B94">
        <w:t>o</w:t>
      </w:r>
      <w:r>
        <w:t xml:space="preserve"> experimentando dicha'. (</w:t>
      </w:r>
      <w:proofErr w:type="spellStart"/>
      <w:r>
        <w:t>vii</w:t>
      </w:r>
      <w:proofErr w:type="spellEnd"/>
      <w:r>
        <w:t xml:space="preserve">) Él </w:t>
      </w:r>
      <w:r w:rsidR="006F3B94">
        <w:t xml:space="preserve">se </w:t>
      </w:r>
      <w:r>
        <w:t xml:space="preserve">entrena así: </w:t>
      </w:r>
      <w:r w:rsidR="006F3B94">
        <w:t xml:space="preserve">'Inhalo </w:t>
      </w:r>
      <w:r>
        <w:t xml:space="preserve">experimentando la formación mental'; él </w:t>
      </w:r>
      <w:r w:rsidR="006F3B94">
        <w:t xml:space="preserve">se </w:t>
      </w:r>
      <w:r>
        <w:t>entrena así: 'Exhal</w:t>
      </w:r>
      <w:r w:rsidR="006F3B94">
        <w:t>o</w:t>
      </w:r>
      <w:r>
        <w:t xml:space="preserve"> experimentando la formación mental'. (</w:t>
      </w:r>
      <w:proofErr w:type="spellStart"/>
      <w:r>
        <w:t>viii</w:t>
      </w:r>
      <w:proofErr w:type="spellEnd"/>
      <w:r>
        <w:t xml:space="preserve">) Él </w:t>
      </w:r>
      <w:r w:rsidR="006F3B94">
        <w:t xml:space="preserve">se </w:t>
      </w:r>
      <w:r>
        <w:t xml:space="preserve">entrena así: </w:t>
      </w:r>
      <w:r w:rsidR="006F3B94">
        <w:t xml:space="preserve">'Inhalo </w:t>
      </w:r>
      <w:r>
        <w:t xml:space="preserve">tranquilizando la formación mental', él </w:t>
      </w:r>
      <w:r w:rsidR="006F3B94">
        <w:t xml:space="preserve">se </w:t>
      </w:r>
      <w:r>
        <w:t xml:space="preserve">entrena así: </w:t>
      </w:r>
      <w:r w:rsidR="006F3B94">
        <w:t xml:space="preserve">'Exhalo </w:t>
      </w:r>
      <w:r>
        <w:t>tranquilizando la formación mental'.</w:t>
      </w:r>
    </w:p>
    <w:p w14:paraId="27CBCB20" w14:textId="567EA78E" w:rsidR="00C028AB" w:rsidRDefault="00CE1E7A" w:rsidP="00C028AB">
      <w:pPr>
        <w:pStyle w:val="NormalConSangria"/>
      </w:pPr>
      <w:r>
        <w:t>"(</w:t>
      </w:r>
      <w:proofErr w:type="spellStart"/>
      <w:r>
        <w:t>ix</w:t>
      </w:r>
      <w:proofErr w:type="spellEnd"/>
      <w:r>
        <w:t xml:space="preserve">) Él </w:t>
      </w:r>
      <w:r w:rsidR="006F3B94">
        <w:t xml:space="preserve">se </w:t>
      </w:r>
      <w:r>
        <w:t xml:space="preserve">entrena así: </w:t>
      </w:r>
      <w:r w:rsidR="006F3B94">
        <w:t xml:space="preserve">'Inhalo </w:t>
      </w:r>
      <w:r>
        <w:t xml:space="preserve">experimentando la forma de </w:t>
      </w:r>
      <w:r w:rsidR="006F3B94">
        <w:t xml:space="preserve">la </w:t>
      </w:r>
      <w:r>
        <w:t>con</w:t>
      </w:r>
      <w:r w:rsidR="006F3B94">
        <w:t>s</w:t>
      </w:r>
      <w:r>
        <w:t xml:space="preserve">ciencia'; él </w:t>
      </w:r>
      <w:r w:rsidR="006F3B94">
        <w:t xml:space="preserve">se </w:t>
      </w:r>
      <w:r>
        <w:t xml:space="preserve">entrena así: </w:t>
      </w:r>
      <w:r w:rsidR="006F3B94">
        <w:t xml:space="preserve">'Exhalo </w:t>
      </w:r>
      <w:r>
        <w:t xml:space="preserve">experimentando la </w:t>
      </w:r>
      <w:r w:rsidR="006F3B94">
        <w:t xml:space="preserve">forma </w:t>
      </w:r>
      <w:r>
        <w:t>de</w:t>
      </w:r>
      <w:r w:rsidR="006F3B94">
        <w:t xml:space="preserve"> la</w:t>
      </w:r>
      <w:r>
        <w:t xml:space="preserve"> con</w:t>
      </w:r>
      <w:r w:rsidR="006F3B94">
        <w:t>s</w:t>
      </w:r>
      <w:r>
        <w:t xml:space="preserve">ciencia'. (x) Él </w:t>
      </w:r>
      <w:r w:rsidR="006F3B94">
        <w:t xml:space="preserve">se </w:t>
      </w:r>
      <w:r>
        <w:t xml:space="preserve">entrena así: </w:t>
      </w:r>
      <w:r w:rsidR="006F3B94">
        <w:t>'Inhalo con satisfacción en</w:t>
      </w:r>
      <w:r>
        <w:t xml:space="preserve"> la </w:t>
      </w:r>
      <w:r w:rsidR="006F3B94">
        <w:t xml:space="preserve">forma </w:t>
      </w:r>
      <w:r>
        <w:t>de</w:t>
      </w:r>
      <w:r w:rsidR="006F3B94">
        <w:t xml:space="preserve"> la</w:t>
      </w:r>
      <w:r>
        <w:t xml:space="preserve"> con</w:t>
      </w:r>
      <w:r w:rsidR="006F3B94">
        <w:t>s</w:t>
      </w:r>
      <w:r>
        <w:t xml:space="preserve">ciencia'; él </w:t>
      </w:r>
      <w:r w:rsidR="006F3B94">
        <w:t xml:space="preserve">se </w:t>
      </w:r>
      <w:r>
        <w:t xml:space="preserve">entrena así: </w:t>
      </w:r>
      <w:r w:rsidR="006F3B94">
        <w:t xml:space="preserve">'Exhalo con satisfacción en </w:t>
      </w:r>
      <w:r>
        <w:t xml:space="preserve">la </w:t>
      </w:r>
      <w:r w:rsidR="006F3B94">
        <w:t xml:space="preserve">forma </w:t>
      </w:r>
      <w:proofErr w:type="gramStart"/>
      <w:r>
        <w:t>de</w:t>
      </w:r>
      <w:r w:rsidR="006F3B94">
        <w:t xml:space="preserve"> </w:t>
      </w:r>
      <w:r>
        <w:t>]</w:t>
      </w:r>
      <w:r w:rsidR="006F3B94">
        <w:t>a</w:t>
      </w:r>
      <w:proofErr w:type="gramEnd"/>
      <w:r>
        <w:t xml:space="preserve"> con</w:t>
      </w:r>
      <w:r w:rsidR="006F3B94">
        <w:t>s</w:t>
      </w:r>
      <w:r>
        <w:t xml:space="preserve">ciencia'. (xi) Él </w:t>
      </w:r>
      <w:r w:rsidR="006F3B94">
        <w:t xml:space="preserve">se </w:t>
      </w:r>
      <w:r>
        <w:t xml:space="preserve">entrena así: </w:t>
      </w:r>
      <w:r w:rsidR="006F3B94">
        <w:t xml:space="preserve">'Inhalo </w:t>
      </w:r>
      <w:r>
        <w:t xml:space="preserve">concentrado </w:t>
      </w:r>
      <w:r w:rsidR="006F3B94">
        <w:t xml:space="preserve">en </w:t>
      </w:r>
      <w:r>
        <w:t xml:space="preserve">la </w:t>
      </w:r>
      <w:r w:rsidR="006F3B94">
        <w:t xml:space="preserve">forma </w:t>
      </w:r>
      <w:r>
        <w:t>de</w:t>
      </w:r>
      <w:r w:rsidR="006F3B94">
        <w:t xml:space="preserve"> la</w:t>
      </w:r>
      <w:r>
        <w:t xml:space="preserve"> con</w:t>
      </w:r>
      <w:r w:rsidR="006F3B94">
        <w:t>s</w:t>
      </w:r>
      <w:r>
        <w:t xml:space="preserve">ciencia'; él </w:t>
      </w:r>
      <w:r w:rsidR="006F3B94">
        <w:t xml:space="preserve">se </w:t>
      </w:r>
      <w:r>
        <w:t xml:space="preserve">entrena así: </w:t>
      </w:r>
      <w:r w:rsidR="006F3B94">
        <w:t xml:space="preserve">'Exhalo </w:t>
      </w:r>
      <w:r>
        <w:t xml:space="preserve">concentrado </w:t>
      </w:r>
      <w:r w:rsidR="006F3B94">
        <w:t xml:space="preserve">en </w:t>
      </w:r>
      <w:r>
        <w:t>la forma de</w:t>
      </w:r>
      <w:r w:rsidR="006F3B94">
        <w:t xml:space="preserve"> la</w:t>
      </w:r>
      <w:r>
        <w:t xml:space="preserve"> con</w:t>
      </w:r>
      <w:r w:rsidR="006F3B94">
        <w:t>s</w:t>
      </w:r>
      <w:r>
        <w:t>ciencia'. (</w:t>
      </w:r>
      <w:proofErr w:type="spellStart"/>
      <w:r>
        <w:t>xii</w:t>
      </w:r>
      <w:proofErr w:type="spellEnd"/>
      <w:r>
        <w:t xml:space="preserve">) Él entrena así: </w:t>
      </w:r>
      <w:r w:rsidR="006F3B94">
        <w:t xml:space="preserve">'Inhalo </w:t>
      </w:r>
      <w:r>
        <w:t>liberando la forma de</w:t>
      </w:r>
      <w:r w:rsidR="006F3B94">
        <w:t xml:space="preserve"> la</w:t>
      </w:r>
      <w:r>
        <w:t xml:space="preserve"> con</w:t>
      </w:r>
      <w:r w:rsidR="006F3B94">
        <w:t>s</w:t>
      </w:r>
      <w:r>
        <w:t xml:space="preserve">ciencia'; él </w:t>
      </w:r>
      <w:r w:rsidR="006F3B94">
        <w:t xml:space="preserve">se </w:t>
      </w:r>
      <w:r>
        <w:t xml:space="preserve">entrena así: </w:t>
      </w:r>
      <w:r w:rsidR="006F3B94">
        <w:t xml:space="preserve">'Exhalo </w:t>
      </w:r>
      <w:r>
        <w:t xml:space="preserve">liberando la </w:t>
      </w:r>
      <w:r w:rsidR="006F3B94">
        <w:t xml:space="preserve">forma </w:t>
      </w:r>
      <w:r>
        <w:t>de</w:t>
      </w:r>
      <w:r w:rsidR="006F3B94">
        <w:t xml:space="preserve"> la</w:t>
      </w:r>
      <w:r>
        <w:t xml:space="preserve"> con</w:t>
      </w:r>
      <w:r w:rsidR="006F3B94">
        <w:t>s</w:t>
      </w:r>
      <w:r>
        <w:t>ciencia.'</w:t>
      </w:r>
    </w:p>
    <w:p w14:paraId="0B007046" w14:textId="77777777" w:rsidR="000329AE" w:rsidRDefault="000329AE">
      <w:pPr>
        <w:tabs>
          <w:tab w:val="clear" w:pos="425"/>
        </w:tabs>
        <w:spacing w:after="160"/>
      </w:pPr>
      <w:r>
        <w:br w:type="page"/>
      </w:r>
    </w:p>
    <w:p w14:paraId="15FE4BE9" w14:textId="77777777" w:rsidR="000329AE" w:rsidRDefault="000329AE" w:rsidP="000329AE"/>
    <w:p w14:paraId="61BF552E" w14:textId="77777777" w:rsidR="001245E0" w:rsidRDefault="001245E0" w:rsidP="000329AE"/>
    <w:p w14:paraId="326D54A5" w14:textId="7E8DA5DF" w:rsidR="000329AE" w:rsidRDefault="000329AE" w:rsidP="005064E5">
      <w:pPr>
        <w:pStyle w:val="NormalConSangria"/>
      </w:pPr>
      <w:r>
        <w:t>"(</w:t>
      </w:r>
      <w:proofErr w:type="spellStart"/>
      <w:r>
        <w:t>xiii</w:t>
      </w:r>
      <w:proofErr w:type="spellEnd"/>
      <w:r>
        <w:t xml:space="preserve">) Él </w:t>
      </w:r>
      <w:r w:rsidR="006F3B94">
        <w:t xml:space="preserve">se </w:t>
      </w:r>
      <w:r>
        <w:t xml:space="preserve">entrena así: </w:t>
      </w:r>
      <w:r w:rsidR="006F3B94">
        <w:t xml:space="preserve">'Inhalo </w:t>
      </w:r>
      <w:r>
        <w:t xml:space="preserve">contemplando la impermanencia'; él </w:t>
      </w:r>
      <w:r w:rsidR="006F3B94">
        <w:t xml:space="preserve">se </w:t>
      </w:r>
      <w:r>
        <w:t xml:space="preserve">entrena así: </w:t>
      </w:r>
      <w:r w:rsidR="006F3B94">
        <w:t xml:space="preserve">'Exhalo </w:t>
      </w:r>
      <w:r>
        <w:t>contemplando la impermanencia'. (</w:t>
      </w:r>
      <w:proofErr w:type="spellStart"/>
      <w:r>
        <w:t>xiv</w:t>
      </w:r>
      <w:proofErr w:type="spellEnd"/>
      <w:r>
        <w:t xml:space="preserve">) Él </w:t>
      </w:r>
      <w:r w:rsidR="006F3B94">
        <w:t xml:space="preserve">se </w:t>
      </w:r>
      <w:r>
        <w:t xml:space="preserve">entrena así: </w:t>
      </w:r>
      <w:r w:rsidR="006F3B94">
        <w:t xml:space="preserve">'Inhalo </w:t>
      </w:r>
      <w:r>
        <w:t xml:space="preserve">contemplando </w:t>
      </w:r>
      <w:r w:rsidR="006F3B94">
        <w:t>el desvanecimiento</w:t>
      </w:r>
      <w:r>
        <w:t xml:space="preserve">'; él </w:t>
      </w:r>
      <w:r w:rsidR="006F3B94">
        <w:t xml:space="preserve">se </w:t>
      </w:r>
      <w:r>
        <w:t xml:space="preserve">entrena así: </w:t>
      </w:r>
      <w:r w:rsidR="006F3B94">
        <w:t xml:space="preserve">'Exhalo </w:t>
      </w:r>
      <w:r>
        <w:t xml:space="preserve">contemplando </w:t>
      </w:r>
      <w:r w:rsidR="006F3B94">
        <w:t>el desvanecimiento</w:t>
      </w:r>
      <w:r>
        <w:t>' (</w:t>
      </w:r>
      <w:proofErr w:type="spellStart"/>
      <w:r>
        <w:t>xv</w:t>
      </w:r>
      <w:proofErr w:type="spellEnd"/>
      <w:r>
        <w:t xml:space="preserve">) Él </w:t>
      </w:r>
      <w:r w:rsidR="006F3B94">
        <w:t xml:space="preserve">se </w:t>
      </w:r>
      <w:r>
        <w:t xml:space="preserve">entrena así: </w:t>
      </w:r>
      <w:r w:rsidR="006F3B94">
        <w:t xml:space="preserve">'Inhalo </w:t>
      </w:r>
      <w:r>
        <w:t xml:space="preserve">contemplando la cesación'; él </w:t>
      </w:r>
      <w:r w:rsidR="008E7151">
        <w:t xml:space="preserve">se </w:t>
      </w:r>
      <w:r>
        <w:t xml:space="preserve">entrena así: </w:t>
      </w:r>
      <w:r w:rsidR="006F3B94">
        <w:t xml:space="preserve">'Exhalo </w:t>
      </w:r>
      <w:r>
        <w:t>contemplando la cesación'. (</w:t>
      </w:r>
      <w:proofErr w:type="spellStart"/>
      <w:r>
        <w:t>xvi</w:t>
      </w:r>
      <w:proofErr w:type="spellEnd"/>
      <w:r>
        <w:t xml:space="preserve">) Él </w:t>
      </w:r>
      <w:r w:rsidR="008E7151">
        <w:t xml:space="preserve">se </w:t>
      </w:r>
      <w:r>
        <w:t xml:space="preserve">entrena así: </w:t>
      </w:r>
      <w:r w:rsidR="006F3B94">
        <w:t xml:space="preserve">'Inhalo </w:t>
      </w:r>
      <w:r>
        <w:t>contemplando</w:t>
      </w:r>
      <w:r w:rsidR="006F3B94">
        <w:t xml:space="preserve"> el abandono</w:t>
      </w:r>
      <w:r>
        <w:t xml:space="preserve">'; </w:t>
      </w:r>
      <w:r w:rsidR="00A06C66">
        <w:t xml:space="preserve">él se </w:t>
      </w:r>
      <w:r>
        <w:t xml:space="preserve">entrena así: 'Debo exhalar contemplando </w:t>
      </w:r>
      <w:r w:rsidR="006F3B94">
        <w:t>el abandono</w:t>
      </w:r>
      <w:r>
        <w:t>' (S V 321-22).</w:t>
      </w:r>
    </w:p>
    <w:p w14:paraId="27550905" w14:textId="6194332E" w:rsidR="000329AE" w:rsidRDefault="000329AE" w:rsidP="000329AE">
      <w:r>
        <w:t xml:space="preserve">146. </w:t>
      </w:r>
      <w:r w:rsidR="005064E5">
        <w:tab/>
      </w:r>
      <w:r>
        <w:t xml:space="preserve">La descripción del desarrollo es completa en todo aspecto, sin embargo, sólo si se da en el momento oportuno después de un comentario sobre el texto. Así </w:t>
      </w:r>
      <w:r w:rsidR="006F3B94">
        <w:t xml:space="preserve">que </w:t>
      </w:r>
      <w:r w:rsidR="00FA63D5">
        <w:t xml:space="preserve">aquí </w:t>
      </w:r>
      <w:r>
        <w:t>se da</w:t>
      </w:r>
      <w:r w:rsidR="006F3B94">
        <w:t>rá</w:t>
      </w:r>
      <w:r>
        <w:t xml:space="preserve"> (§186) introducido por un comentario sobre la primera parte del texto.</w:t>
      </w:r>
    </w:p>
    <w:p w14:paraId="1F024497" w14:textId="77777777" w:rsidR="00FA63D5" w:rsidRDefault="00FA63D5" w:rsidP="000329AE"/>
    <w:p w14:paraId="0447DECF" w14:textId="30368700" w:rsidR="000329AE" w:rsidRDefault="000329AE" w:rsidP="005064E5">
      <w:pPr>
        <w:jc w:val="center"/>
      </w:pPr>
      <w:r>
        <w:t>[</w:t>
      </w:r>
      <w:r w:rsidRPr="005064E5">
        <w:rPr>
          <w:i/>
          <w:iCs/>
        </w:rPr>
        <w:t xml:space="preserve">Comentario </w:t>
      </w:r>
      <w:r w:rsidR="003B7C38">
        <w:rPr>
          <w:i/>
          <w:iCs/>
        </w:rPr>
        <w:t>p</w:t>
      </w:r>
      <w:r w:rsidR="005064E5" w:rsidRPr="005064E5">
        <w:rPr>
          <w:i/>
          <w:iCs/>
        </w:rPr>
        <w:t>alabra</w:t>
      </w:r>
      <w:r w:rsidR="003B7C38">
        <w:rPr>
          <w:i/>
          <w:iCs/>
        </w:rPr>
        <w:t xml:space="preserve"> por palabra</w:t>
      </w:r>
      <w:r>
        <w:t>]</w:t>
      </w:r>
    </w:p>
    <w:p w14:paraId="543B6472" w14:textId="5917B7D3" w:rsidR="000329AE" w:rsidRDefault="000329AE" w:rsidP="000329AE">
      <w:r w:rsidRPr="003B49A6">
        <w:rPr>
          <w:i/>
          <w:iCs/>
        </w:rPr>
        <w:t xml:space="preserve">Y </w:t>
      </w:r>
      <w:r w:rsidR="006F3B94">
        <w:rPr>
          <w:i/>
          <w:iCs/>
        </w:rPr>
        <w:t xml:space="preserve">cómo </w:t>
      </w:r>
      <w:r w:rsidRPr="003B49A6">
        <w:rPr>
          <w:i/>
          <w:iCs/>
        </w:rPr>
        <w:t>desarrollad</w:t>
      </w:r>
      <w:r w:rsidR="006F3B94">
        <w:rPr>
          <w:i/>
          <w:iCs/>
        </w:rPr>
        <w:t>a</w:t>
      </w:r>
      <w:r w:rsidRPr="003B49A6">
        <w:rPr>
          <w:i/>
          <w:iCs/>
        </w:rPr>
        <w:t xml:space="preserve">, monjes, </w:t>
      </w:r>
      <w:r w:rsidR="006F3B94">
        <w:rPr>
          <w:i/>
          <w:iCs/>
        </w:rPr>
        <w:t>cómo</w:t>
      </w:r>
      <w:r w:rsidRPr="003B49A6">
        <w:rPr>
          <w:i/>
          <w:iCs/>
        </w:rPr>
        <w:t xml:space="preserve"> practica</w:t>
      </w:r>
      <w:r w:rsidR="006F3B94">
        <w:rPr>
          <w:i/>
          <w:iCs/>
        </w:rPr>
        <w:t>da</w:t>
      </w:r>
      <w:r w:rsidRPr="003B49A6">
        <w:rPr>
          <w:i/>
          <w:iCs/>
        </w:rPr>
        <w:t xml:space="preserve">, es la concentración a través de la atención plena </w:t>
      </w:r>
      <w:r w:rsidR="006F3B94">
        <w:rPr>
          <w:i/>
          <w:iCs/>
        </w:rPr>
        <w:t>en</w:t>
      </w:r>
      <w:r w:rsidRPr="003B49A6">
        <w:rPr>
          <w:i/>
          <w:iCs/>
        </w:rPr>
        <w:t xml:space="preserve"> la respiración: </w:t>
      </w:r>
      <w:r w:rsidRPr="006F3B94">
        <w:t>aquí</w:t>
      </w:r>
      <w:r>
        <w:t xml:space="preserve">, en primer lugar, </w:t>
      </w:r>
      <w:r w:rsidRPr="006F3B94">
        <w:rPr>
          <w:i/>
          <w:iCs/>
        </w:rPr>
        <w:t>cómo</w:t>
      </w:r>
      <w:r>
        <w:t xml:space="preserve"> es una pregunta que muestra el deseo de explicar en detalle el desarrollo de la concentración a través de la atención plena e</w:t>
      </w:r>
      <w:r w:rsidR="006F3B94">
        <w:t>n</w:t>
      </w:r>
      <w:r>
        <w:t xml:space="preserve"> la respiración en sus diversas formas</w:t>
      </w:r>
      <w:r w:rsidR="006F3B94">
        <w:t>.</w:t>
      </w:r>
      <w:r>
        <w:t xml:space="preserve"> </w:t>
      </w:r>
      <w:r w:rsidRPr="003B49A6">
        <w:rPr>
          <w:i/>
          <w:iCs/>
        </w:rPr>
        <w:t>Desarrollada</w:t>
      </w:r>
      <w:r>
        <w:t xml:space="preserve">, </w:t>
      </w:r>
      <w:proofErr w:type="spellStart"/>
      <w:r w:rsidR="00057BF4" w:rsidRPr="00057BF4">
        <w:rPr>
          <w:i/>
          <w:iCs/>
        </w:rPr>
        <w:t>bhikkhu</w:t>
      </w:r>
      <w:r w:rsidRPr="003B49A6">
        <w:rPr>
          <w:i/>
          <w:iCs/>
        </w:rPr>
        <w:t>s</w:t>
      </w:r>
      <w:proofErr w:type="spellEnd"/>
      <w:r>
        <w:t xml:space="preserve">, ... </w:t>
      </w:r>
      <w:r w:rsidRPr="003B49A6">
        <w:rPr>
          <w:i/>
          <w:iCs/>
        </w:rPr>
        <w:t>es la concentración a través de la atención plena e</w:t>
      </w:r>
      <w:r w:rsidR="006F3B94">
        <w:rPr>
          <w:i/>
          <w:iCs/>
        </w:rPr>
        <w:t>n</w:t>
      </w:r>
      <w:r w:rsidRPr="003B49A6">
        <w:rPr>
          <w:i/>
          <w:iCs/>
        </w:rPr>
        <w:t xml:space="preserve"> la respiración</w:t>
      </w:r>
      <w:r>
        <w:t xml:space="preserve">: esto muestra lo que se pregunta </w:t>
      </w:r>
      <w:r w:rsidR="00B74980">
        <w:t xml:space="preserve">con </w:t>
      </w:r>
      <w:r>
        <w:t xml:space="preserve">el deseo </w:t>
      </w:r>
      <w:r w:rsidR="00B74980">
        <w:t xml:space="preserve">por </w:t>
      </w:r>
      <w:r w:rsidR="00DC1F27">
        <w:t xml:space="preserve">una </w:t>
      </w:r>
      <w:r>
        <w:t>explica</w:t>
      </w:r>
      <w:r w:rsidR="00DC1F27">
        <w:t>ción</w:t>
      </w:r>
      <w:r>
        <w:t xml:space="preserve"> en sus diversas formas. </w:t>
      </w:r>
      <w:r w:rsidR="006F3B94">
        <w:rPr>
          <w:i/>
          <w:iCs/>
        </w:rPr>
        <w:t>Cómo</w:t>
      </w:r>
      <w:r w:rsidRPr="003B49A6">
        <w:rPr>
          <w:i/>
          <w:iCs/>
        </w:rPr>
        <w:t xml:space="preserve"> practica</w:t>
      </w:r>
      <w:r w:rsidR="006F3B94">
        <w:rPr>
          <w:i/>
          <w:iCs/>
        </w:rPr>
        <w:t>da</w:t>
      </w:r>
      <w:r w:rsidRPr="003B49A6">
        <w:rPr>
          <w:i/>
          <w:iCs/>
        </w:rPr>
        <w:t>… tan pronto como sur</w:t>
      </w:r>
      <w:r w:rsidR="006F3B94">
        <w:rPr>
          <w:i/>
          <w:iCs/>
        </w:rPr>
        <w:t>jan</w:t>
      </w:r>
      <w:r>
        <w:t>?: aquí también se aplica la misma explicación.</w:t>
      </w:r>
    </w:p>
    <w:p w14:paraId="05893A91" w14:textId="385517FA" w:rsidR="000329AE" w:rsidRDefault="000329AE" w:rsidP="000329AE">
      <w:r>
        <w:t xml:space="preserve">147. </w:t>
      </w:r>
      <w:r w:rsidR="005064E5">
        <w:tab/>
      </w:r>
      <w:r>
        <w:t xml:space="preserve">Aquí, </w:t>
      </w:r>
      <w:r w:rsidRPr="003B49A6">
        <w:rPr>
          <w:i/>
          <w:iCs/>
        </w:rPr>
        <w:t>desarrollad</w:t>
      </w:r>
      <w:r w:rsidR="00595BC8">
        <w:rPr>
          <w:i/>
          <w:iCs/>
        </w:rPr>
        <w:t>a</w:t>
      </w:r>
      <w:r>
        <w:t xml:space="preserve"> significa despertad</w:t>
      </w:r>
      <w:r w:rsidR="00595BC8">
        <w:t>a</w:t>
      </w:r>
      <w:r>
        <w:t xml:space="preserve"> o </w:t>
      </w:r>
      <w:r w:rsidR="00756BC6">
        <w:t>incrementada</w:t>
      </w:r>
      <w:r>
        <w:t xml:space="preserve">, </w:t>
      </w:r>
      <w:r w:rsidRPr="005B4B22">
        <w:rPr>
          <w:i/>
          <w:iCs/>
        </w:rPr>
        <w:t>la concentración a través de la atención plena e</w:t>
      </w:r>
      <w:r w:rsidR="00595BC8">
        <w:rPr>
          <w:i/>
          <w:iCs/>
        </w:rPr>
        <w:t>n</w:t>
      </w:r>
      <w:r w:rsidRPr="005B4B22">
        <w:rPr>
          <w:i/>
          <w:iCs/>
        </w:rPr>
        <w:t xml:space="preserve"> la respiración</w:t>
      </w:r>
      <w:r>
        <w:t xml:space="preserve"> (literalmente, “concentración </w:t>
      </w:r>
      <w:r w:rsidR="00756BC6">
        <w:t>de</w:t>
      </w:r>
      <w:r>
        <w:t xml:space="preserve"> la atención plena </w:t>
      </w:r>
      <w:r w:rsidR="00756BC6">
        <w:t>en</w:t>
      </w:r>
      <w:r>
        <w:t xml:space="preserve"> la respiración”) es </w:t>
      </w:r>
      <w:r w:rsidR="00195EDD">
        <w:t xml:space="preserve">una </w:t>
      </w:r>
      <w:r>
        <w:t xml:space="preserve">concentración asociada con la atención plena que discierne </w:t>
      </w:r>
      <w:r w:rsidR="00595BC8">
        <w:t xml:space="preserve">sobre </w:t>
      </w:r>
      <w:r>
        <w:t xml:space="preserve">la respiración, o es </w:t>
      </w:r>
      <w:r w:rsidR="00195EDD">
        <w:t xml:space="preserve">una </w:t>
      </w:r>
      <w:r>
        <w:t xml:space="preserve">concentración </w:t>
      </w:r>
      <w:r w:rsidR="00595BC8">
        <w:t>a través de</w:t>
      </w:r>
      <w:r>
        <w:t xml:space="preserve"> la atención plena e</w:t>
      </w:r>
      <w:r w:rsidR="00595BC8">
        <w:t>n</w:t>
      </w:r>
      <w:r>
        <w:t xml:space="preserve"> la respiración. </w:t>
      </w:r>
      <w:r w:rsidRPr="005B4B22">
        <w:rPr>
          <w:i/>
          <w:iCs/>
        </w:rPr>
        <w:t>Practicad</w:t>
      </w:r>
      <w:r w:rsidR="00595BC8">
        <w:rPr>
          <w:i/>
          <w:iCs/>
        </w:rPr>
        <w:t>a</w:t>
      </w:r>
      <w:r w:rsidRPr="005B4B22">
        <w:rPr>
          <w:i/>
          <w:iCs/>
        </w:rPr>
        <w:t xml:space="preserve"> </w:t>
      </w:r>
      <w:r w:rsidR="00195EDD">
        <w:rPr>
          <w:i/>
          <w:iCs/>
        </w:rPr>
        <w:t>considerablemente</w:t>
      </w:r>
      <w:r>
        <w:t>: practicad</w:t>
      </w:r>
      <w:r w:rsidR="00195EDD">
        <w:t>a</w:t>
      </w:r>
      <w:r>
        <w:t xml:space="preserve"> una y otra vez.</w:t>
      </w:r>
    </w:p>
    <w:p w14:paraId="7C987549" w14:textId="3A2413F5" w:rsidR="000329AE" w:rsidRDefault="000329AE" w:rsidP="000329AE">
      <w:r>
        <w:t xml:space="preserve">148. </w:t>
      </w:r>
      <w:r w:rsidR="005064E5">
        <w:tab/>
      </w:r>
      <w:r w:rsidR="001974AA">
        <w:rPr>
          <w:i/>
          <w:iCs/>
        </w:rPr>
        <w:t>Tanto</w:t>
      </w:r>
      <w:r w:rsidRPr="005B4B22">
        <w:rPr>
          <w:i/>
          <w:iCs/>
        </w:rPr>
        <w:t xml:space="preserve"> </w:t>
      </w:r>
      <w:r w:rsidR="00595BC8">
        <w:rPr>
          <w:i/>
          <w:iCs/>
        </w:rPr>
        <w:t>apacible</w:t>
      </w:r>
      <w:r w:rsidRPr="005B4B22">
        <w:rPr>
          <w:i/>
          <w:iCs/>
        </w:rPr>
        <w:t xml:space="preserve"> </w:t>
      </w:r>
      <w:r w:rsidR="001974AA">
        <w:rPr>
          <w:i/>
          <w:iCs/>
        </w:rPr>
        <w:t>como</w:t>
      </w:r>
      <w:r w:rsidRPr="005B4B22">
        <w:rPr>
          <w:i/>
          <w:iCs/>
        </w:rPr>
        <w:t xml:space="preserve"> sublime</w:t>
      </w:r>
      <w:r>
        <w:t xml:space="preserve"> (</w:t>
      </w:r>
      <w:r w:rsidRPr="005B4B22">
        <w:rPr>
          <w:i/>
          <w:iCs/>
        </w:rPr>
        <w:t xml:space="preserve">santo c’ </w:t>
      </w:r>
      <w:proofErr w:type="spellStart"/>
      <w:r w:rsidRPr="005B4B22">
        <w:rPr>
          <w:i/>
          <w:iCs/>
        </w:rPr>
        <w:t>eva</w:t>
      </w:r>
      <w:proofErr w:type="spellEnd"/>
      <w:r w:rsidRPr="005B4B22">
        <w:rPr>
          <w:i/>
          <w:iCs/>
        </w:rPr>
        <w:t xml:space="preserve"> </w:t>
      </w:r>
      <w:proofErr w:type="spellStart"/>
      <w:r w:rsidRPr="005B4B22">
        <w:rPr>
          <w:i/>
          <w:iCs/>
        </w:rPr>
        <w:t>paṇīto</w:t>
      </w:r>
      <w:proofErr w:type="spellEnd"/>
      <w:r w:rsidRPr="005B4B22">
        <w:rPr>
          <w:i/>
          <w:iCs/>
        </w:rPr>
        <w:t xml:space="preserve"> ca</w:t>
      </w:r>
      <w:r>
        <w:t xml:space="preserve">): es </w:t>
      </w:r>
      <w:r w:rsidR="00595BC8" w:rsidRPr="00595BC8">
        <w:t xml:space="preserve">apacible </w:t>
      </w:r>
      <w:r>
        <w:t>en ambos sentidos y sublime en ambos sentidos; las dos palabras deben entenderse cada una como gobernadas por la palabra "ambos" (</w:t>
      </w:r>
      <w:proofErr w:type="spellStart"/>
      <w:r w:rsidRPr="005B4B22">
        <w:rPr>
          <w:i/>
          <w:iCs/>
        </w:rPr>
        <w:t>eva</w:t>
      </w:r>
      <w:proofErr w:type="spellEnd"/>
      <w:r>
        <w:t xml:space="preserve">). ¿Qué significa? A diferencia de la </w:t>
      </w:r>
      <w:r w:rsidR="00595BC8">
        <w:t>repugnancia</w:t>
      </w:r>
      <w:r>
        <w:t xml:space="preserve">, que como </w:t>
      </w:r>
      <w:r w:rsidR="00595BC8">
        <w:t>objeto</w:t>
      </w:r>
      <w:r>
        <w:t xml:space="preserve"> de meditación es apacible y sublime sólo por la penetración, pero </w:t>
      </w:r>
      <w:r w:rsidR="00595BC8">
        <w:t xml:space="preserve">que </w:t>
      </w:r>
      <w:r>
        <w:t>no es ni (</w:t>
      </w:r>
      <w:proofErr w:type="spellStart"/>
      <w:r w:rsidRPr="005B4B22">
        <w:rPr>
          <w:i/>
          <w:iCs/>
        </w:rPr>
        <w:t>n'eva</w:t>
      </w:r>
      <w:proofErr w:type="spellEnd"/>
      <w:r>
        <w:t>) apacible ni sublime en su objeto</w:t>
      </w:r>
      <w:r w:rsidR="00595BC8">
        <w:t>,</w:t>
      </w:r>
      <w:r>
        <w:t xml:space="preserve"> ya que su objeto en la etapa de aprendizaje es </w:t>
      </w:r>
      <w:r w:rsidR="00595BC8">
        <w:t>denso</w:t>
      </w:r>
      <w:r>
        <w:t>, y después de e</w:t>
      </w:r>
      <w:r w:rsidR="00595BC8">
        <w:t>llo</w:t>
      </w:r>
      <w:r>
        <w:t xml:space="preserve"> su objeto es repulsi</w:t>
      </w:r>
      <w:r w:rsidR="00595BC8">
        <w:t>vo:</w:t>
      </w:r>
      <w:r>
        <w:t xml:space="preserve"> a diferencia de e</w:t>
      </w:r>
      <w:r w:rsidR="00595BC8">
        <w:t>ll</w:t>
      </w:r>
      <w:r>
        <w:t>o, est</w:t>
      </w:r>
      <w:r w:rsidR="00595BC8">
        <w:t>e objeto de meditación</w:t>
      </w:r>
      <w:r>
        <w:t xml:space="preserve"> no es en modo alguno intranquilo o </w:t>
      </w:r>
      <w:r w:rsidR="001974AA">
        <w:br/>
        <w:t>no-</w:t>
      </w:r>
      <w:r>
        <w:t xml:space="preserve">sublime, sino, </w:t>
      </w:r>
      <w:r w:rsidR="00595BC8">
        <w:t xml:space="preserve">y </w:t>
      </w:r>
      <w:r>
        <w:t xml:space="preserve">por el contrario, es </w:t>
      </w:r>
      <w:r w:rsidR="00595BC8">
        <w:t>apacible</w:t>
      </w:r>
      <w:r>
        <w:t xml:space="preserve">, sosegado y quieto, tanto por la paz de su objeto como por la paz de uno de sus factores llamado penetración. Y es sublime, algo de lo que uno no </w:t>
      </w:r>
      <w:r w:rsidR="001974AA">
        <w:t>podrá</w:t>
      </w:r>
      <w:r>
        <w:t xml:space="preserve"> tener suficiente, tanto por la sublimidad de su objeto como por [268] la sublimidad del factor antedicho. De ahí que se le llame “</w:t>
      </w:r>
      <w:r w:rsidRPr="001974AA">
        <w:rPr>
          <w:i/>
          <w:iCs/>
        </w:rPr>
        <w:t xml:space="preserve">tanto </w:t>
      </w:r>
      <w:r w:rsidR="00595BC8" w:rsidRPr="001974AA">
        <w:rPr>
          <w:i/>
          <w:iCs/>
        </w:rPr>
        <w:t xml:space="preserve">apacible </w:t>
      </w:r>
      <w:r w:rsidRPr="001974AA">
        <w:rPr>
          <w:i/>
          <w:iCs/>
        </w:rPr>
        <w:t>como sublime</w:t>
      </w:r>
      <w:r>
        <w:t>”.</w:t>
      </w:r>
    </w:p>
    <w:p w14:paraId="7FD85C97" w14:textId="437CC733" w:rsidR="000329AE" w:rsidRDefault="000329AE" w:rsidP="000329AE">
      <w:r>
        <w:t xml:space="preserve">149. </w:t>
      </w:r>
      <w:r w:rsidR="005064E5">
        <w:tab/>
      </w:r>
      <w:r w:rsidR="001974AA">
        <w:rPr>
          <w:i/>
          <w:iCs/>
        </w:rPr>
        <w:t>Aquel</w:t>
      </w:r>
      <w:r w:rsidRPr="001B01C9">
        <w:rPr>
          <w:i/>
          <w:iCs/>
        </w:rPr>
        <w:t xml:space="preserve"> </w:t>
      </w:r>
      <w:r w:rsidR="00595BC8">
        <w:rPr>
          <w:i/>
          <w:iCs/>
        </w:rPr>
        <w:t>estado</w:t>
      </w:r>
      <w:r w:rsidRPr="001B01C9">
        <w:rPr>
          <w:i/>
          <w:iCs/>
        </w:rPr>
        <w:t xml:space="preserve"> </w:t>
      </w:r>
      <w:r w:rsidR="00595BC8" w:rsidRPr="00595BC8">
        <w:rPr>
          <w:i/>
          <w:iCs/>
        </w:rPr>
        <w:t xml:space="preserve">dichoso </w:t>
      </w:r>
      <w:r w:rsidRPr="001B01C9">
        <w:rPr>
          <w:i/>
          <w:iCs/>
        </w:rPr>
        <w:t>sin adultera</w:t>
      </w:r>
      <w:r w:rsidR="00595BC8">
        <w:rPr>
          <w:i/>
          <w:iCs/>
        </w:rPr>
        <w:t>ción</w:t>
      </w:r>
      <w:r>
        <w:t xml:space="preserve">: no </w:t>
      </w:r>
      <w:r w:rsidR="00595BC8">
        <w:t xml:space="preserve">posee </w:t>
      </w:r>
      <w:r>
        <w:t xml:space="preserve">adulteración, por lo </w:t>
      </w:r>
      <w:r w:rsidR="001B01C9">
        <w:t>tanto,</w:t>
      </w:r>
      <w:r>
        <w:t xml:space="preserve"> es </w:t>
      </w:r>
      <w:r w:rsidRPr="00595BC8">
        <w:rPr>
          <w:i/>
          <w:iCs/>
        </w:rPr>
        <w:t>sin adultera</w:t>
      </w:r>
      <w:r w:rsidR="00595BC8" w:rsidRPr="00595BC8">
        <w:rPr>
          <w:i/>
          <w:iCs/>
        </w:rPr>
        <w:t>ción</w:t>
      </w:r>
      <w:r>
        <w:t xml:space="preserve">; </w:t>
      </w:r>
      <w:r w:rsidR="00595BC8">
        <w:t>no posee aleación</w:t>
      </w:r>
      <w:r>
        <w:t xml:space="preserve">, mezcla, </w:t>
      </w:r>
      <w:r w:rsidR="00595BC8">
        <w:t xml:space="preserve">es </w:t>
      </w:r>
      <w:r>
        <w:t xml:space="preserve">particular, especial. Aquí no se trata de alcanzar la paz mediante un trabajo preliminar [como con los </w:t>
      </w:r>
      <w:proofErr w:type="spellStart"/>
      <w:r w:rsidR="00057BF4" w:rsidRPr="00057BF4">
        <w:rPr>
          <w:i/>
          <w:iCs/>
        </w:rPr>
        <w:t>kasiṇa</w:t>
      </w:r>
      <w:r w:rsidRPr="001B01C9">
        <w:rPr>
          <w:i/>
          <w:iCs/>
        </w:rPr>
        <w:t>s</w:t>
      </w:r>
      <w:proofErr w:type="spellEnd"/>
      <w:r>
        <w:t xml:space="preserve">] o mediante el acceso [como con la </w:t>
      </w:r>
      <w:r w:rsidR="00595BC8">
        <w:t>repugnancia</w:t>
      </w:r>
      <w:r>
        <w:t xml:space="preserve">, por ejemplo]. Es </w:t>
      </w:r>
      <w:r w:rsidR="00595BC8">
        <w:t xml:space="preserve">también apacible </w:t>
      </w:r>
      <w:r>
        <w:t>y sublime en su propia esencia individual desde la primera atención que se le prest</w:t>
      </w:r>
      <w:r w:rsidR="00595BC8">
        <w:t>e</w:t>
      </w:r>
      <w:r>
        <w:t>. Pero algunos</w:t>
      </w:r>
      <w:r w:rsidRPr="00694F92">
        <w:rPr>
          <w:vertAlign w:val="superscript"/>
        </w:rPr>
        <w:t>38</w:t>
      </w:r>
      <w:r>
        <w:t xml:space="preserve"> dicen que es “sin adultera</w:t>
      </w:r>
      <w:r w:rsidR="00595BC8">
        <w:t>ción</w:t>
      </w:r>
      <w:r>
        <w:t xml:space="preserve">” porque no está aleado, </w:t>
      </w:r>
    </w:p>
    <w:p w14:paraId="68B2354B" w14:textId="77777777" w:rsidR="000329AE" w:rsidRDefault="000329AE" w:rsidP="000329AE">
      <w:pPr>
        <w:pStyle w:val="PiedepginaLegal"/>
        <w:rPr>
          <w:u w:val="single"/>
        </w:rPr>
      </w:pPr>
      <w:r>
        <w:rPr>
          <w:u w:val="single"/>
        </w:rPr>
        <w:tab/>
      </w:r>
      <w:r>
        <w:rPr>
          <w:u w:val="single"/>
        </w:rPr>
        <w:tab/>
      </w:r>
      <w:r>
        <w:rPr>
          <w:u w:val="single"/>
        </w:rPr>
        <w:tab/>
      </w:r>
      <w:r>
        <w:rPr>
          <w:u w:val="single"/>
        </w:rPr>
        <w:tab/>
        <w:t>.</w:t>
      </w:r>
    </w:p>
    <w:p w14:paraId="0F595958" w14:textId="7B406C5F" w:rsidR="005064E5" w:rsidRDefault="000329AE" w:rsidP="000329AE">
      <w:pPr>
        <w:pStyle w:val="PiedepginaLegal"/>
      </w:pPr>
      <w:r>
        <w:t xml:space="preserve">38. </w:t>
      </w:r>
      <w:r>
        <w:tab/>
        <w:t xml:space="preserve">“‘Algunos’ se dice con referencia a los internos del monasterio de </w:t>
      </w:r>
      <w:proofErr w:type="spellStart"/>
      <w:r>
        <w:t>Uttara</w:t>
      </w:r>
      <w:proofErr w:type="spellEnd"/>
      <w:r>
        <w:t xml:space="preserve"> (Norte) [en </w:t>
      </w:r>
      <w:r w:rsidR="001B01C9">
        <w:br/>
      </w:r>
      <w:proofErr w:type="spellStart"/>
      <w:r w:rsidRPr="001B01C9">
        <w:rPr>
          <w:i/>
          <w:iCs/>
        </w:rPr>
        <w:t>Anurādhapura</w:t>
      </w:r>
      <w:proofErr w:type="spellEnd"/>
      <w:r>
        <w:t>]” (</w:t>
      </w:r>
      <w:proofErr w:type="spellStart"/>
      <w:r>
        <w:t>Vism-mhī</w:t>
      </w:r>
      <w:proofErr w:type="spellEnd"/>
      <w:r>
        <w:t xml:space="preserve"> 256).</w:t>
      </w:r>
    </w:p>
    <w:p w14:paraId="3774CF2E" w14:textId="77777777" w:rsidR="005064E5" w:rsidRDefault="005064E5">
      <w:pPr>
        <w:tabs>
          <w:tab w:val="clear" w:pos="425"/>
        </w:tabs>
        <w:spacing w:after="160"/>
        <w:rPr>
          <w:color w:val="000000" w:themeColor="text1"/>
          <w:spacing w:val="10"/>
          <w:sz w:val="14"/>
        </w:rPr>
      </w:pPr>
      <w:r>
        <w:br w:type="page"/>
      </w:r>
    </w:p>
    <w:p w14:paraId="3A646DF7" w14:textId="52145626" w:rsidR="003C59B8" w:rsidRDefault="003C59B8" w:rsidP="003C59B8"/>
    <w:p w14:paraId="48FF714D" w14:textId="617F14AB" w:rsidR="003C59B8" w:rsidRDefault="00595BC8" w:rsidP="003C59B8">
      <w:r>
        <w:t xml:space="preserve">y también poseído </w:t>
      </w:r>
      <w:r w:rsidR="003C59B8">
        <w:t>de</w:t>
      </w:r>
      <w:r>
        <w:t>l</w:t>
      </w:r>
      <w:r w:rsidR="003C59B8">
        <w:t xml:space="preserve"> valor nutri</w:t>
      </w:r>
      <w:r>
        <w:t>ente</w:t>
      </w:r>
      <w:r w:rsidR="003C59B8">
        <w:t xml:space="preserve"> y </w:t>
      </w:r>
      <w:r w:rsidR="00E03D59">
        <w:t xml:space="preserve">el </w:t>
      </w:r>
      <w:r w:rsidR="003C59B8">
        <w:t>dulce en su esencia individual. Por lo tanto, debe entenderse como "sin adultera</w:t>
      </w:r>
      <w:r>
        <w:t>ción</w:t>
      </w:r>
      <w:r w:rsidR="003C59B8">
        <w:t>" y un "</w:t>
      </w:r>
      <w:r>
        <w:t xml:space="preserve">estado </w:t>
      </w:r>
      <w:r w:rsidR="003C59B8">
        <w:t>dichos</w:t>
      </w:r>
      <w:r>
        <w:t>o</w:t>
      </w:r>
      <w:r w:rsidR="003C59B8">
        <w:t xml:space="preserve">", ya que conduce a la </w:t>
      </w:r>
      <w:r>
        <w:t>consumación</w:t>
      </w:r>
      <w:r w:rsidR="003C59B8">
        <w:t xml:space="preserve"> de la dicha corporal y mental </w:t>
      </w:r>
      <w:r>
        <w:t xml:space="preserve">en </w:t>
      </w:r>
      <w:r w:rsidR="003C59B8">
        <w:t>cada momento de absorción.</w:t>
      </w:r>
    </w:p>
    <w:p w14:paraId="0AAA80B3" w14:textId="1E5C6934" w:rsidR="003C59B8" w:rsidRDefault="003C59B8" w:rsidP="003C59B8">
      <w:r>
        <w:t xml:space="preserve">150. </w:t>
      </w:r>
      <w:r>
        <w:tab/>
      </w:r>
      <w:r w:rsidRPr="00595BC8">
        <w:rPr>
          <w:i/>
          <w:iCs/>
        </w:rPr>
        <w:t>Tan pronto como surjan</w:t>
      </w:r>
      <w:r>
        <w:t xml:space="preserve">: siempre que no se supriman. </w:t>
      </w:r>
      <w:r w:rsidR="00595BC8">
        <w:rPr>
          <w:i/>
          <w:iCs/>
        </w:rPr>
        <w:t>Negativo</w:t>
      </w:r>
      <w:r>
        <w:t xml:space="preserve">: malo. </w:t>
      </w:r>
      <w:r w:rsidRPr="008A1DB5">
        <w:rPr>
          <w:i/>
          <w:iCs/>
        </w:rPr>
        <w:t>Pensamientos inútiles</w:t>
      </w:r>
      <w:r>
        <w:t xml:space="preserve"> (</w:t>
      </w:r>
      <w:proofErr w:type="spellStart"/>
      <w:r w:rsidRPr="001B01C9">
        <w:rPr>
          <w:i/>
          <w:iCs/>
        </w:rPr>
        <w:t>akusala</w:t>
      </w:r>
      <w:proofErr w:type="spellEnd"/>
      <w:r>
        <w:t xml:space="preserve">): pensamientos producidos por </w:t>
      </w:r>
      <w:r w:rsidR="00595BC8">
        <w:t xml:space="preserve">la </w:t>
      </w:r>
      <w:r>
        <w:t>torpeza (</w:t>
      </w:r>
      <w:proofErr w:type="spellStart"/>
      <w:r w:rsidRPr="008A1DB5">
        <w:rPr>
          <w:i/>
          <w:iCs/>
        </w:rPr>
        <w:t>akosalla</w:t>
      </w:r>
      <w:proofErr w:type="spellEnd"/>
      <w:r>
        <w:t xml:space="preserve">). </w:t>
      </w:r>
      <w:r w:rsidRPr="008A1DB5">
        <w:rPr>
          <w:i/>
          <w:iCs/>
        </w:rPr>
        <w:t xml:space="preserve">Destierra </w:t>
      </w:r>
      <w:r w:rsidR="00613E11">
        <w:rPr>
          <w:i/>
          <w:iCs/>
        </w:rPr>
        <w:t>de inmediato</w:t>
      </w:r>
      <w:r>
        <w:t xml:space="preserve">: destierra, suprime, en ese mismo momento. </w:t>
      </w:r>
      <w:r w:rsidRPr="008A1DB5">
        <w:rPr>
          <w:i/>
          <w:iCs/>
        </w:rPr>
        <w:t>Calma</w:t>
      </w:r>
      <w:r>
        <w:t xml:space="preserve"> (</w:t>
      </w:r>
      <w:proofErr w:type="spellStart"/>
      <w:r w:rsidRPr="008A1DB5">
        <w:rPr>
          <w:i/>
          <w:iCs/>
        </w:rPr>
        <w:t>vūpasameti</w:t>
      </w:r>
      <w:proofErr w:type="spellEnd"/>
      <w:r>
        <w:t>): calma completamente (</w:t>
      </w:r>
      <w:proofErr w:type="spellStart"/>
      <w:r w:rsidRPr="008A1DB5">
        <w:rPr>
          <w:i/>
          <w:iCs/>
        </w:rPr>
        <w:t>suṭṭhu</w:t>
      </w:r>
      <w:proofErr w:type="spellEnd"/>
      <w:r w:rsidRPr="008A1DB5">
        <w:rPr>
          <w:i/>
          <w:iCs/>
        </w:rPr>
        <w:t xml:space="preserve"> </w:t>
      </w:r>
      <w:proofErr w:type="spellStart"/>
      <w:r w:rsidRPr="008A1DB5">
        <w:rPr>
          <w:i/>
          <w:iCs/>
        </w:rPr>
        <w:t>upasameti</w:t>
      </w:r>
      <w:proofErr w:type="spellEnd"/>
      <w:r>
        <w:t>); o bien, cuando finalmente se llev</w:t>
      </w:r>
      <w:r w:rsidR="00B2142C">
        <w:t>e</w:t>
      </w:r>
      <w:r>
        <w:t xml:space="preserve"> a cabo </w:t>
      </w:r>
      <w:r w:rsidR="00595BC8">
        <w:t>a través d</w:t>
      </w:r>
      <w:r>
        <w:t>el noble</w:t>
      </w:r>
      <w:r w:rsidR="00595BC8">
        <w:t xml:space="preserve"> sendero</w:t>
      </w:r>
      <w:r>
        <w:t xml:space="preserve">, se </w:t>
      </w:r>
      <w:r w:rsidR="00595BC8">
        <w:t>trunca</w:t>
      </w:r>
      <w:r>
        <w:t>, debido a que participa de la penetración; lo que se quiere decir</w:t>
      </w:r>
      <w:r w:rsidR="00595BC8">
        <w:t xml:space="preserve"> es que tranquiliza</w:t>
      </w:r>
      <w:r>
        <w:t>.</w:t>
      </w:r>
    </w:p>
    <w:p w14:paraId="4A1811D1" w14:textId="354243A4" w:rsidR="003C59B8" w:rsidRDefault="003C59B8" w:rsidP="003C59B8">
      <w:r>
        <w:t xml:space="preserve">151. </w:t>
      </w:r>
      <w:r>
        <w:tab/>
        <w:t xml:space="preserve">En resumen, sin embargo, el significado aquí es </w:t>
      </w:r>
      <w:r w:rsidR="00B2142C">
        <w:t>é</w:t>
      </w:r>
      <w:r>
        <w:t>ste: “</w:t>
      </w:r>
      <w:proofErr w:type="spellStart"/>
      <w:r w:rsidR="00057BF4" w:rsidRPr="00057BF4">
        <w:rPr>
          <w:i/>
          <w:iCs/>
        </w:rPr>
        <w:t>Bhikkhu</w:t>
      </w:r>
      <w:r w:rsidRPr="008A1DB5">
        <w:rPr>
          <w:i/>
          <w:iCs/>
        </w:rPr>
        <w:t>s</w:t>
      </w:r>
      <w:proofErr w:type="spellEnd"/>
      <w:r>
        <w:t xml:space="preserve">, de qué </w:t>
      </w:r>
      <w:r w:rsidR="00595BC8">
        <w:t>forma</w:t>
      </w:r>
      <w:r>
        <w:t xml:space="preserve">, de qué manera, </w:t>
      </w:r>
      <w:r w:rsidR="00595BC8">
        <w:t xml:space="preserve">mediante </w:t>
      </w:r>
      <w:r>
        <w:t xml:space="preserve">qué sistema, se desarrolla la concentración a través de la atención plena </w:t>
      </w:r>
      <w:r w:rsidR="00595BC8">
        <w:t>en</w:t>
      </w:r>
      <w:r>
        <w:t xml:space="preserve"> la respiración, de qué manera </w:t>
      </w:r>
      <w:r w:rsidR="0094354A">
        <w:t>es practicada</w:t>
      </w:r>
      <w:r>
        <w:t xml:space="preserve"> tanto, que es a la vez </w:t>
      </w:r>
      <w:r w:rsidR="00595BC8">
        <w:t>apacible</w:t>
      </w:r>
      <w:r>
        <w:t>… tan pronto como surjan?</w:t>
      </w:r>
    </w:p>
    <w:p w14:paraId="18706102" w14:textId="1F8295F7" w:rsidR="003C59B8" w:rsidRDefault="00AA1143" w:rsidP="003C59B8">
      <w:r>
        <w:t xml:space="preserve">152. </w:t>
      </w:r>
      <w:r>
        <w:tab/>
      </w:r>
      <w:r w:rsidR="003C59B8">
        <w:t xml:space="preserve">Ahora dijo, “Aquí, </w:t>
      </w:r>
      <w:proofErr w:type="spellStart"/>
      <w:r w:rsidR="00057BF4" w:rsidRPr="00057BF4">
        <w:rPr>
          <w:i/>
        </w:rPr>
        <w:t>bhikkhu</w:t>
      </w:r>
      <w:r w:rsidR="003C59B8">
        <w:t>s</w:t>
      </w:r>
      <w:proofErr w:type="spellEnd"/>
      <w:r w:rsidR="003C59B8">
        <w:t>”, etc., dando el significado de eso en detalle.</w:t>
      </w:r>
    </w:p>
    <w:p w14:paraId="2A465AA7" w14:textId="118AB9F5" w:rsidR="003C59B8" w:rsidRDefault="00AA1143" w:rsidP="00AA1143">
      <w:pPr>
        <w:pStyle w:val="NormalConSangria"/>
      </w:pPr>
      <w:proofErr w:type="spellStart"/>
      <w:r>
        <w:t>All</w:t>
      </w:r>
      <w:proofErr w:type="spellEnd"/>
      <w:r>
        <w:t xml:space="preserve"> respecto</w:t>
      </w:r>
      <w:r w:rsidR="003C59B8">
        <w:t xml:space="preserve">, </w:t>
      </w:r>
      <w:r w:rsidR="00595BC8">
        <w:t>“</w:t>
      </w:r>
      <w:r w:rsidR="003C59B8" w:rsidRPr="008A1DB5">
        <w:rPr>
          <w:i/>
          <w:iCs/>
        </w:rPr>
        <w:t>aquí</w:t>
      </w:r>
      <w:r w:rsidR="003C59B8">
        <w:t xml:space="preserve">, </w:t>
      </w:r>
      <w:proofErr w:type="spellStart"/>
      <w:r w:rsidR="00057BF4" w:rsidRPr="00057BF4">
        <w:rPr>
          <w:i/>
          <w:iCs/>
        </w:rPr>
        <w:t>bhikkhu</w:t>
      </w:r>
      <w:r w:rsidR="003C59B8" w:rsidRPr="008A1DB5">
        <w:rPr>
          <w:i/>
          <w:iCs/>
        </w:rPr>
        <w:t>s</w:t>
      </w:r>
      <w:proofErr w:type="spellEnd"/>
      <w:r w:rsidR="003C59B8">
        <w:t xml:space="preserve">, </w:t>
      </w:r>
      <w:r w:rsidR="003C59B8" w:rsidRPr="00595BC8">
        <w:rPr>
          <w:i/>
          <w:iCs/>
        </w:rPr>
        <w:t xml:space="preserve">un </w:t>
      </w:r>
      <w:proofErr w:type="spellStart"/>
      <w:r w:rsidR="00057BF4" w:rsidRPr="00595BC8">
        <w:rPr>
          <w:i/>
          <w:iCs/>
        </w:rPr>
        <w:t>bhikkhu</w:t>
      </w:r>
      <w:proofErr w:type="spellEnd"/>
      <w:r w:rsidR="00595BC8">
        <w:t>”</w:t>
      </w:r>
      <w:r w:rsidR="003C59B8">
        <w:t xml:space="preserve"> significa: </w:t>
      </w:r>
      <w:proofErr w:type="spellStart"/>
      <w:r w:rsidR="00057BF4" w:rsidRPr="00057BF4">
        <w:rPr>
          <w:i/>
          <w:iCs/>
        </w:rPr>
        <w:t>bhikkhu</w:t>
      </w:r>
      <w:r w:rsidR="003C59B8" w:rsidRPr="008A1DB5">
        <w:rPr>
          <w:i/>
          <w:iCs/>
        </w:rPr>
        <w:t>s</w:t>
      </w:r>
      <w:proofErr w:type="spellEnd"/>
      <w:r w:rsidR="003C59B8">
        <w:t xml:space="preserve">, en esta dispensación un </w:t>
      </w:r>
      <w:proofErr w:type="spellStart"/>
      <w:r w:rsidR="00057BF4" w:rsidRPr="00057BF4">
        <w:rPr>
          <w:i/>
          <w:iCs/>
        </w:rPr>
        <w:t>bhikkhu</w:t>
      </w:r>
      <w:proofErr w:type="spellEnd"/>
      <w:r w:rsidR="003C59B8">
        <w:t xml:space="preserve">. Porque </w:t>
      </w:r>
      <w:r w:rsidR="00F622D9">
        <w:t xml:space="preserve">la </w:t>
      </w:r>
      <w:r w:rsidR="003C59B8">
        <w:t xml:space="preserve">palabra </w:t>
      </w:r>
      <w:r w:rsidR="003C59B8" w:rsidRPr="00F622D9">
        <w:rPr>
          <w:i/>
          <w:iCs/>
        </w:rPr>
        <w:t>aquí</w:t>
      </w:r>
      <w:r w:rsidR="003C59B8">
        <w:t xml:space="preserve"> significa la dispensación [de</w:t>
      </w:r>
      <w:r w:rsidR="00595BC8">
        <w:t>l</w:t>
      </w:r>
      <w:r w:rsidR="003C59B8">
        <w:t xml:space="preserve"> </w:t>
      </w:r>
      <w:r w:rsidR="00057BF4" w:rsidRPr="00057BF4">
        <w:rPr>
          <w:i/>
        </w:rPr>
        <w:t>Buddha</w:t>
      </w:r>
      <w:r w:rsidR="003C59B8">
        <w:t>] como requisito previo para que una persona produzca concentración a través de la atención plena e</w:t>
      </w:r>
      <w:r w:rsidR="00595BC8">
        <w:t>n</w:t>
      </w:r>
      <w:r w:rsidR="003C59B8">
        <w:t xml:space="preserve"> la respiración en todas sus modalidades,</w:t>
      </w:r>
      <w:r w:rsidR="003C59B8" w:rsidRPr="00694F92">
        <w:rPr>
          <w:vertAlign w:val="superscript"/>
        </w:rPr>
        <w:t>39</w:t>
      </w:r>
      <w:r w:rsidR="003C59B8">
        <w:t xml:space="preserve"> y niega que tal estado exista en cualquier otra dispensación. Porque esto se dice: “</w:t>
      </w:r>
      <w:proofErr w:type="spellStart"/>
      <w:r w:rsidR="00057BF4" w:rsidRPr="00057BF4">
        <w:rPr>
          <w:i/>
          <w:iCs/>
        </w:rPr>
        <w:t>Bhikkhu</w:t>
      </w:r>
      <w:r w:rsidR="003C59B8" w:rsidRPr="008A1DB5">
        <w:rPr>
          <w:i/>
          <w:iCs/>
        </w:rPr>
        <w:t>s</w:t>
      </w:r>
      <w:proofErr w:type="spellEnd"/>
      <w:r w:rsidR="003C59B8">
        <w:t xml:space="preserve">, sólo aquí </w:t>
      </w:r>
      <w:r w:rsidR="00595BC8">
        <w:t>existe</w:t>
      </w:r>
      <w:r w:rsidR="003C59B8">
        <w:t xml:space="preserve"> un </w:t>
      </w:r>
      <w:r w:rsidR="00595BC8">
        <w:t xml:space="preserve">primer </w:t>
      </w:r>
      <w:r w:rsidR="003C59B8">
        <w:t xml:space="preserve">asceta, aquí un segundo asceta, aquí un tercer asceta, aquí un cuarto asceta; otras dispensaciones </w:t>
      </w:r>
      <w:r w:rsidR="003F1F5F">
        <w:t xml:space="preserve">carecen </w:t>
      </w:r>
      <w:r w:rsidR="003C59B8">
        <w:t xml:space="preserve">de </w:t>
      </w:r>
      <w:r w:rsidR="00595BC8">
        <w:t xml:space="preserve">estos </w:t>
      </w:r>
      <w:r w:rsidR="003F1F5F">
        <w:t xml:space="preserve">tipos de </w:t>
      </w:r>
      <w:r w:rsidR="003C59B8">
        <w:t>ascetas” (M I 63; A II 238).</w:t>
      </w:r>
      <w:r w:rsidR="003C59B8" w:rsidRPr="00694F92">
        <w:rPr>
          <w:vertAlign w:val="superscript"/>
        </w:rPr>
        <w:t>40</w:t>
      </w:r>
      <w:r w:rsidR="003C59B8">
        <w:t xml:space="preserve"> Por eso se dijo anteriormente “en esta dispensación un </w:t>
      </w:r>
      <w:proofErr w:type="spellStart"/>
      <w:r w:rsidR="00057BF4" w:rsidRPr="00057BF4">
        <w:rPr>
          <w:i/>
          <w:iCs/>
        </w:rPr>
        <w:t>bhikkhu</w:t>
      </w:r>
      <w:proofErr w:type="spellEnd"/>
      <w:r w:rsidR="003C59B8">
        <w:t>”.</w:t>
      </w:r>
    </w:p>
    <w:p w14:paraId="681072BC" w14:textId="6E104703" w:rsidR="003C59B8" w:rsidRDefault="003C59B8" w:rsidP="003C59B8">
      <w:r>
        <w:t xml:space="preserve">153. </w:t>
      </w:r>
      <w:r>
        <w:tab/>
      </w:r>
      <w:r w:rsidRPr="008A1DB5">
        <w:rPr>
          <w:i/>
          <w:iCs/>
        </w:rPr>
        <w:t>Ido al bosque... o</w:t>
      </w:r>
      <w:r w:rsidR="008A1DB5" w:rsidRPr="008A1DB5">
        <w:rPr>
          <w:i/>
          <w:iCs/>
        </w:rPr>
        <w:t xml:space="preserve"> </w:t>
      </w:r>
      <w:r w:rsidRPr="008A1DB5">
        <w:rPr>
          <w:i/>
          <w:iCs/>
        </w:rPr>
        <w:t>a un lugar vacío</w:t>
      </w:r>
      <w:r>
        <w:t xml:space="preserve">: esto significa que ha encontrado un </w:t>
      </w:r>
      <w:r w:rsidR="00595BC8">
        <w:t>lugar</w:t>
      </w:r>
      <w:r>
        <w:t xml:space="preserve"> </w:t>
      </w:r>
      <w:r w:rsidR="00595BC8">
        <w:t xml:space="preserve">para vivir favorable </w:t>
      </w:r>
      <w:r w:rsidR="004219A6">
        <w:t>para e</w:t>
      </w:r>
      <w:r>
        <w:t>l desarrollo de la concentración a través de la atención plena e</w:t>
      </w:r>
      <w:r w:rsidR="00595BC8">
        <w:t>n</w:t>
      </w:r>
      <w:r>
        <w:t xml:space="preserve"> la respiración. </w:t>
      </w:r>
      <w:r w:rsidR="00595BC8">
        <w:t xml:space="preserve">Ya </w:t>
      </w:r>
      <w:r>
        <w:t>que la mente de</w:t>
      </w:r>
      <w:r w:rsidR="00595BC8">
        <w:t xml:space="preserve">l </w:t>
      </w:r>
      <w:proofErr w:type="spellStart"/>
      <w:r w:rsidR="00057BF4" w:rsidRPr="00057BF4">
        <w:rPr>
          <w:i/>
          <w:iCs/>
        </w:rPr>
        <w:t>bhikkhu</w:t>
      </w:r>
      <w:proofErr w:type="spellEnd"/>
      <w:r>
        <w:t xml:space="preserve"> </w:t>
      </w:r>
      <w:r w:rsidR="00595BC8">
        <w:t>que</w:t>
      </w:r>
      <w:r>
        <w:t xml:space="preserve"> </w:t>
      </w:r>
      <w:r w:rsidR="00556CD9">
        <w:t xml:space="preserve">se </w:t>
      </w:r>
      <w:r>
        <w:t>ha</w:t>
      </w:r>
      <w:r w:rsidR="00595BC8">
        <w:t>ya</w:t>
      </w:r>
      <w:r>
        <w:t xml:space="preserve"> disipado durante mucho tiempo </w:t>
      </w:r>
      <w:r w:rsidR="00556CD9">
        <w:t xml:space="preserve">entre </w:t>
      </w:r>
      <w:r w:rsidR="00595BC8">
        <w:t>objetos</w:t>
      </w:r>
      <w:r>
        <w:t xml:space="preserve"> visibles, etc., como su objeto, y no quier</w:t>
      </w:r>
      <w:r w:rsidR="00595BC8">
        <w:t>a</w:t>
      </w:r>
      <w:r>
        <w:t xml:space="preserve"> </w:t>
      </w:r>
      <w:r w:rsidR="00595BC8">
        <w:t xml:space="preserve">aplicar </w:t>
      </w:r>
      <w:r>
        <w:t>el objeto de concentración a través de la atención plena e</w:t>
      </w:r>
      <w:r w:rsidR="00595BC8">
        <w:t>n</w:t>
      </w:r>
      <w:r>
        <w:t xml:space="preserve"> la respiración</w:t>
      </w:r>
      <w:r w:rsidR="00556CD9">
        <w:t>,</w:t>
      </w:r>
      <w:r>
        <w:t xml:space="preserve"> se sal</w:t>
      </w:r>
      <w:r w:rsidR="00595BC8">
        <w:t>drá</w:t>
      </w:r>
      <w:r>
        <w:t xml:space="preserve"> de la vía como un</w:t>
      </w:r>
      <w:r w:rsidR="00595BC8">
        <w:t>a</w:t>
      </w:r>
      <w:r>
        <w:t xml:space="preserve"> carro</w:t>
      </w:r>
      <w:r w:rsidR="00595BC8">
        <w:t>za</w:t>
      </w:r>
      <w:r>
        <w:t xml:space="preserve"> enganchad</w:t>
      </w:r>
      <w:r w:rsidR="00595BC8">
        <w:t>a</w:t>
      </w:r>
      <w:r>
        <w:t xml:space="preserve"> a un buey salvaje.</w:t>
      </w:r>
      <w:r w:rsidRPr="00694F92">
        <w:rPr>
          <w:vertAlign w:val="superscript"/>
        </w:rPr>
        <w:t>41</w:t>
      </w:r>
      <w:r>
        <w:t xml:space="preserve"> Ahora</w:t>
      </w:r>
      <w:r w:rsidR="00595BC8">
        <w:t xml:space="preserve"> bien</w:t>
      </w:r>
      <w:r>
        <w:t xml:space="preserve">, supongamos que un vaquero [269] quisiera domar un ternero salvaje que </w:t>
      </w:r>
      <w:r w:rsidR="00595BC8">
        <w:t>haya</w:t>
      </w:r>
      <w:r>
        <w:t xml:space="preserve"> sido criado con leche de vaca salvaje, </w:t>
      </w:r>
      <w:r w:rsidR="00595BC8">
        <w:t xml:space="preserve">y </w:t>
      </w:r>
      <w:r>
        <w:t xml:space="preserve">se lo </w:t>
      </w:r>
      <w:r w:rsidR="004864B9">
        <w:t xml:space="preserve">sustrajera </w:t>
      </w:r>
      <w:r>
        <w:t xml:space="preserve">a </w:t>
      </w:r>
      <w:r w:rsidR="004864B9">
        <w:t>un</w:t>
      </w:r>
      <w:r>
        <w:t xml:space="preserve">a vaca y </w:t>
      </w:r>
      <w:r w:rsidR="00595BC8">
        <w:t xml:space="preserve">se </w:t>
      </w:r>
      <w:r>
        <w:t>l</w:t>
      </w:r>
      <w:r w:rsidR="00595BC8">
        <w:t>e</w:t>
      </w:r>
      <w:r>
        <w:t xml:space="preserve"> atara </w:t>
      </w:r>
      <w:r w:rsidR="004864B9">
        <w:t xml:space="preserve">en un lugar </w:t>
      </w:r>
      <w:r>
        <w:t>aparte con una cuerda a un fuerte poste excavado en el suelo; entonces el ternero podr</w:t>
      </w:r>
      <w:r w:rsidR="004864B9">
        <w:t>á</w:t>
      </w:r>
      <w:r>
        <w:t xml:space="preserve"> correr de un lado a otro, pero al no poder escapar, eventualmente se sentar</w:t>
      </w:r>
      <w:r w:rsidR="004864B9">
        <w:t>á</w:t>
      </w:r>
      <w:r>
        <w:t xml:space="preserve"> o se acostar</w:t>
      </w:r>
      <w:r w:rsidR="004864B9">
        <w:t>á</w:t>
      </w:r>
      <w:r>
        <w:t xml:space="preserve"> junto al poste. Así también, cuando un </w:t>
      </w:r>
      <w:proofErr w:type="spellStart"/>
      <w:r w:rsidR="00057BF4" w:rsidRPr="00057BF4">
        <w:rPr>
          <w:i/>
          <w:iCs/>
        </w:rPr>
        <w:t>bhikkhu</w:t>
      </w:r>
      <w:proofErr w:type="spellEnd"/>
      <w:r>
        <w:t xml:space="preserve"> quier</w:t>
      </w:r>
      <w:r w:rsidR="00595BC8">
        <w:t>a</w:t>
      </w:r>
      <w:r>
        <w:t xml:space="preserve"> domar su propia mente, que ha</w:t>
      </w:r>
      <w:r w:rsidR="00595BC8">
        <w:t>ya</w:t>
      </w:r>
      <w:r>
        <w:t xml:space="preserve"> sido echada a perder durante mucho tiempo por haber sido criad</w:t>
      </w:r>
      <w:r w:rsidR="00595BC8">
        <w:t>o</w:t>
      </w:r>
      <w:r>
        <w:t xml:space="preserve"> en</w:t>
      </w:r>
      <w:r w:rsidR="00595BC8">
        <w:t>tre</w:t>
      </w:r>
      <w:r>
        <w:t xml:space="preserve"> </w:t>
      </w:r>
      <w:r w:rsidR="00595BC8">
        <w:t xml:space="preserve">objetos </w:t>
      </w:r>
      <w:r>
        <w:t>visibles, etc., como objeto para su alimento y bebida, debe</w:t>
      </w:r>
      <w:r w:rsidR="00595BC8">
        <w:t>rá</w:t>
      </w:r>
      <w:r>
        <w:t xml:space="preserve"> alejarla de los </w:t>
      </w:r>
      <w:r w:rsidR="00595BC8">
        <w:t xml:space="preserve">objetos </w:t>
      </w:r>
      <w:r>
        <w:t xml:space="preserve">visibles, etc., como objeto y </w:t>
      </w:r>
      <w:r w:rsidR="00595BC8">
        <w:t>conducirse hacia e</w:t>
      </w:r>
      <w:r>
        <w:t xml:space="preserve">l bosque o </w:t>
      </w:r>
      <w:r w:rsidR="00595BC8">
        <w:t>hacia</w:t>
      </w:r>
      <w:r>
        <w:t xml:space="preserve"> la raíz de un árbol o </w:t>
      </w:r>
      <w:r w:rsidR="00595BC8">
        <w:t>hacia</w:t>
      </w:r>
      <w:r>
        <w:t xml:space="preserve"> un lugar vacío y </w:t>
      </w:r>
      <w:r w:rsidR="00595BC8">
        <w:t>a</w:t>
      </w:r>
      <w:r>
        <w:t>t</w:t>
      </w:r>
      <w:r w:rsidR="00595BC8">
        <w:t>arse</w:t>
      </w:r>
      <w:r>
        <w:t xml:space="preserve"> allí al poste de </w:t>
      </w:r>
      <w:r w:rsidR="00595BC8">
        <w:t xml:space="preserve">la </w:t>
      </w:r>
      <w:r>
        <w:t>inhalaci</w:t>
      </w:r>
      <w:r w:rsidR="00595BC8">
        <w:t>ó</w:t>
      </w:r>
      <w:r>
        <w:t>n y exhalaci</w:t>
      </w:r>
      <w:r w:rsidR="00595BC8">
        <w:t>ó</w:t>
      </w:r>
      <w:r>
        <w:t xml:space="preserve">n con la </w:t>
      </w:r>
    </w:p>
    <w:p w14:paraId="5276E0A6" w14:textId="77777777" w:rsidR="00D22D3F" w:rsidRDefault="00D22D3F" w:rsidP="003C59B8"/>
    <w:p w14:paraId="2DE3D2D5" w14:textId="77777777" w:rsidR="003C59B8" w:rsidRDefault="003C59B8" w:rsidP="003C59B8">
      <w:pPr>
        <w:pStyle w:val="PiedepginaLegal"/>
        <w:rPr>
          <w:u w:val="single"/>
        </w:rPr>
      </w:pPr>
      <w:r>
        <w:rPr>
          <w:u w:val="single"/>
        </w:rPr>
        <w:tab/>
      </w:r>
      <w:r>
        <w:rPr>
          <w:u w:val="single"/>
        </w:rPr>
        <w:tab/>
      </w:r>
      <w:r>
        <w:rPr>
          <w:u w:val="single"/>
        </w:rPr>
        <w:tab/>
      </w:r>
      <w:r>
        <w:rPr>
          <w:u w:val="single"/>
        </w:rPr>
        <w:tab/>
        <w:t>.</w:t>
      </w:r>
    </w:p>
    <w:p w14:paraId="33B6D22B" w14:textId="495C4341" w:rsidR="003C59B8" w:rsidRDefault="003C59B8" w:rsidP="003C59B8">
      <w:pPr>
        <w:pStyle w:val="PiedepginaLegal"/>
      </w:pPr>
      <w:r>
        <w:t xml:space="preserve">39. </w:t>
      </w:r>
      <w:r>
        <w:tab/>
        <w:t xml:space="preserve">“Las palabras ‘en todos sus aspectos’ se refieren a las dieciséis bases; </w:t>
      </w:r>
      <w:r w:rsidR="00A33058">
        <w:t xml:space="preserve">ya </w:t>
      </w:r>
      <w:r>
        <w:t>que ést</w:t>
      </w:r>
      <w:r w:rsidR="00A33058">
        <w:t>a</w:t>
      </w:r>
      <w:r>
        <w:t xml:space="preserve">s sólo se encuentran en total en esta dispensación. Cuando los </w:t>
      </w:r>
      <w:r w:rsidR="000916C7">
        <w:t>practicantes ajenos a la dispensación</w:t>
      </w:r>
      <w:r>
        <w:t xml:space="preserve"> conocen la atención plena e</w:t>
      </w:r>
      <w:r w:rsidR="000916C7">
        <w:t>n</w:t>
      </w:r>
      <w:r>
        <w:t xml:space="preserve"> la respiración, solo conocen los primeros cuatro modos” (</w:t>
      </w:r>
      <w:proofErr w:type="spellStart"/>
      <w:r>
        <w:t>Vism-mhṭ</w:t>
      </w:r>
      <w:proofErr w:type="spellEnd"/>
      <w:r>
        <w:t xml:space="preserve"> 257).</w:t>
      </w:r>
    </w:p>
    <w:p w14:paraId="07A98461" w14:textId="7C595276" w:rsidR="003C59B8" w:rsidRDefault="003C59B8" w:rsidP="003C59B8">
      <w:pPr>
        <w:pStyle w:val="PiedepginaLegal"/>
      </w:pPr>
      <w:r>
        <w:t xml:space="preserve">40. </w:t>
      </w:r>
      <w:r>
        <w:tab/>
        <w:t xml:space="preserve">“‘El asceta’ es quien entra en la corriente, el ‘segundo asceta’ es el </w:t>
      </w:r>
      <w:r w:rsidR="000916C7">
        <w:t xml:space="preserve">retornante </w:t>
      </w:r>
      <w:r w:rsidR="00046577">
        <w:t xml:space="preserve">por única </w:t>
      </w:r>
      <w:r>
        <w:t xml:space="preserve">una vez, el ‘tercer asceta’ es el no </w:t>
      </w:r>
      <w:r w:rsidR="00046577">
        <w:t>retornante</w:t>
      </w:r>
      <w:r>
        <w:t xml:space="preserve">, el ‘cuarto asceta’ es </w:t>
      </w:r>
      <w:r w:rsidR="00046577">
        <w:t>el</w:t>
      </w:r>
      <w:r>
        <w:t xml:space="preserve"> </w:t>
      </w:r>
      <w:r w:rsidR="00057BF4" w:rsidRPr="00057BF4">
        <w:rPr>
          <w:i/>
        </w:rPr>
        <w:t>Arahant</w:t>
      </w:r>
      <w:r>
        <w:t>” (M-a II 4).</w:t>
      </w:r>
    </w:p>
    <w:p w14:paraId="4ABA7CE8" w14:textId="5DF6E6F9" w:rsidR="007834FE" w:rsidRDefault="003C59B8" w:rsidP="003C59B8">
      <w:pPr>
        <w:pStyle w:val="PiedepginaLegal"/>
      </w:pPr>
      <w:r>
        <w:t xml:space="preserve">41. </w:t>
      </w:r>
      <w:r>
        <w:tab/>
      </w:r>
      <w:proofErr w:type="spellStart"/>
      <w:r w:rsidRPr="00CA0643">
        <w:rPr>
          <w:i/>
          <w:iCs/>
        </w:rPr>
        <w:t>Kūṭa</w:t>
      </w:r>
      <w:proofErr w:type="spellEnd"/>
      <w:r>
        <w:t xml:space="preserve">—“salvaje”: </w:t>
      </w:r>
      <w:r w:rsidR="00046577">
        <w:t xml:space="preserve">el </w:t>
      </w:r>
      <w:r>
        <w:t xml:space="preserve">PED </w:t>
      </w:r>
      <w:r w:rsidR="00046577">
        <w:t xml:space="preserve">da </w:t>
      </w:r>
      <w:r>
        <w:t>esta ref. "inútil", que pierde el punto. Cf. M-a II 82; IV 198.</w:t>
      </w:r>
    </w:p>
    <w:p w14:paraId="2621052D" w14:textId="77777777" w:rsidR="007834FE" w:rsidRDefault="007834FE">
      <w:pPr>
        <w:tabs>
          <w:tab w:val="clear" w:pos="425"/>
        </w:tabs>
        <w:spacing w:after="160"/>
      </w:pPr>
      <w:r>
        <w:br w:type="page"/>
      </w:r>
    </w:p>
    <w:p w14:paraId="396B9616" w14:textId="77777777" w:rsidR="00724FEC" w:rsidRDefault="00724FEC" w:rsidP="007834FE"/>
    <w:p w14:paraId="399B0754" w14:textId="35952F5A" w:rsidR="00724FEC" w:rsidRDefault="00D22D3F" w:rsidP="00724FEC">
      <w:r>
        <w:t xml:space="preserve">cuerda de la atención </w:t>
      </w:r>
      <w:r w:rsidR="00595BC8">
        <w:t xml:space="preserve">plena. Y así su </w:t>
      </w:r>
      <w:r w:rsidR="00724FEC">
        <w:t xml:space="preserve">mente </w:t>
      </w:r>
      <w:r w:rsidR="00595BC8">
        <w:t>podrá</w:t>
      </w:r>
      <w:r w:rsidR="00724FEC">
        <w:t xml:space="preserve"> ir y venir </w:t>
      </w:r>
      <w:r w:rsidR="00595BC8">
        <w:t>hasta que no</w:t>
      </w:r>
      <w:r w:rsidR="00724FEC">
        <w:t xml:space="preserve"> </w:t>
      </w:r>
      <w:r w:rsidR="00595BC8">
        <w:t>hay</w:t>
      </w:r>
      <w:r w:rsidR="00724FEC">
        <w:t>a objetos a los que antes estaba acostumbrada</w:t>
      </w:r>
      <w:r w:rsidR="00595BC8">
        <w:t xml:space="preserve"> prestar atención</w:t>
      </w:r>
      <w:r w:rsidR="00724FEC">
        <w:t>, pero al ser incapaz de romper la cuerda de la atención plena y escapar, se senta</w:t>
      </w:r>
      <w:r w:rsidR="00595BC8">
        <w:t>rá</w:t>
      </w:r>
      <w:r w:rsidR="00724FEC">
        <w:t xml:space="preserve">, se </w:t>
      </w:r>
      <w:r w:rsidR="00595BC8">
        <w:t>recostará</w:t>
      </w:r>
      <w:r w:rsidR="00724FEC">
        <w:t xml:space="preserve">, junto a ese objeto bajo la influencia del acceso y la absorción. De ahí que los </w:t>
      </w:r>
      <w:r w:rsidR="00595BC8">
        <w:t xml:space="preserve">Venerables </w:t>
      </w:r>
      <w:r w:rsidR="00724FEC">
        <w:t>dijeran:</w:t>
      </w:r>
    </w:p>
    <w:p w14:paraId="0B75009A" w14:textId="41D313A0" w:rsidR="00724FEC" w:rsidRPr="008E4E0E" w:rsidRDefault="00724FEC" w:rsidP="00CA0643">
      <w:pPr>
        <w:pStyle w:val="VersoIngls01Sangria"/>
        <w:ind w:left="0"/>
        <w:rPr>
          <w:sz w:val="16"/>
          <w:szCs w:val="20"/>
        </w:rPr>
      </w:pPr>
      <w:r>
        <w:t xml:space="preserve">154. </w:t>
      </w:r>
      <w:r w:rsidR="00CA0643">
        <w:tab/>
      </w:r>
      <w:r w:rsidR="00CA0643">
        <w:tab/>
      </w:r>
      <w:r w:rsidR="00CA0643">
        <w:tab/>
      </w:r>
      <w:r>
        <w:t>“</w:t>
      </w:r>
      <w:r w:rsidRPr="008E4E0E">
        <w:rPr>
          <w:sz w:val="16"/>
          <w:szCs w:val="20"/>
        </w:rPr>
        <w:t>Así como un hombre que dom</w:t>
      </w:r>
      <w:r w:rsidR="00982EDC" w:rsidRPr="008E4E0E">
        <w:rPr>
          <w:sz w:val="16"/>
          <w:szCs w:val="20"/>
        </w:rPr>
        <w:t>e</w:t>
      </w:r>
      <w:r w:rsidRPr="008E4E0E">
        <w:rPr>
          <w:sz w:val="16"/>
          <w:szCs w:val="20"/>
        </w:rPr>
        <w:t xml:space="preserve"> </w:t>
      </w:r>
      <w:r w:rsidR="00982EDC" w:rsidRPr="008E4E0E">
        <w:rPr>
          <w:sz w:val="16"/>
          <w:szCs w:val="20"/>
        </w:rPr>
        <w:t xml:space="preserve">a </w:t>
      </w:r>
      <w:r w:rsidRPr="008E4E0E">
        <w:rPr>
          <w:sz w:val="16"/>
          <w:szCs w:val="20"/>
        </w:rPr>
        <w:t>un becerro</w:t>
      </w:r>
    </w:p>
    <w:p w14:paraId="22A4DAAE" w14:textId="1D35A378" w:rsidR="00724FEC" w:rsidRPr="008E4E0E" w:rsidRDefault="00724FEC" w:rsidP="00CA0643">
      <w:pPr>
        <w:pStyle w:val="VersoIngls01Sangria"/>
        <w:rPr>
          <w:sz w:val="16"/>
          <w:szCs w:val="20"/>
        </w:rPr>
      </w:pPr>
      <w:r w:rsidRPr="008E4E0E">
        <w:rPr>
          <w:sz w:val="16"/>
          <w:szCs w:val="20"/>
        </w:rPr>
        <w:t xml:space="preserve">Lo ataría a un </w:t>
      </w:r>
      <w:r w:rsidR="00595BC8" w:rsidRPr="008E4E0E">
        <w:rPr>
          <w:sz w:val="16"/>
          <w:szCs w:val="20"/>
        </w:rPr>
        <w:t>poste</w:t>
      </w:r>
      <w:r w:rsidRPr="008E4E0E">
        <w:rPr>
          <w:sz w:val="16"/>
          <w:szCs w:val="20"/>
        </w:rPr>
        <w:t xml:space="preserve">, así </w:t>
      </w:r>
      <w:r w:rsidR="00982EDC" w:rsidRPr="008E4E0E">
        <w:rPr>
          <w:sz w:val="16"/>
          <w:szCs w:val="20"/>
        </w:rPr>
        <w:t xml:space="preserve">y </w:t>
      </w:r>
      <w:r w:rsidRPr="008E4E0E">
        <w:rPr>
          <w:sz w:val="16"/>
          <w:szCs w:val="20"/>
        </w:rPr>
        <w:t>aquí</w:t>
      </w:r>
    </w:p>
    <w:p w14:paraId="29660AAC" w14:textId="401EDA54" w:rsidR="00724FEC" w:rsidRPr="008E4E0E" w:rsidRDefault="00595BC8" w:rsidP="00CA0643">
      <w:pPr>
        <w:pStyle w:val="VersoIngls01Sangria"/>
        <w:rPr>
          <w:sz w:val="16"/>
          <w:szCs w:val="20"/>
        </w:rPr>
      </w:pPr>
      <w:r w:rsidRPr="008E4E0E">
        <w:rPr>
          <w:sz w:val="16"/>
          <w:szCs w:val="20"/>
        </w:rPr>
        <w:t xml:space="preserve">Debería </w:t>
      </w:r>
      <w:r w:rsidR="00074739">
        <w:rPr>
          <w:sz w:val="16"/>
          <w:szCs w:val="20"/>
        </w:rPr>
        <w:t>vuestra</w:t>
      </w:r>
      <w:r w:rsidR="00724FEC" w:rsidRPr="008E4E0E">
        <w:rPr>
          <w:sz w:val="16"/>
          <w:szCs w:val="20"/>
        </w:rPr>
        <w:t xml:space="preserve"> propia mente</w:t>
      </w:r>
      <w:r w:rsidR="00074739">
        <w:rPr>
          <w:sz w:val="16"/>
          <w:szCs w:val="20"/>
        </w:rPr>
        <w:t>,</w:t>
      </w:r>
      <w:r w:rsidR="00724FEC" w:rsidRPr="008E4E0E">
        <w:rPr>
          <w:sz w:val="16"/>
          <w:szCs w:val="20"/>
        </w:rPr>
        <w:t xml:space="preserve"> </w:t>
      </w:r>
      <w:r w:rsidRPr="008E4E0E">
        <w:rPr>
          <w:sz w:val="16"/>
          <w:szCs w:val="20"/>
        </w:rPr>
        <w:t xml:space="preserve">a través de </w:t>
      </w:r>
      <w:r w:rsidR="00724FEC" w:rsidRPr="008E4E0E">
        <w:rPr>
          <w:sz w:val="16"/>
          <w:szCs w:val="20"/>
        </w:rPr>
        <w:t>la atención plena</w:t>
      </w:r>
      <w:r w:rsidR="00074739">
        <w:rPr>
          <w:sz w:val="16"/>
          <w:szCs w:val="20"/>
        </w:rPr>
        <w:t>,</w:t>
      </w:r>
    </w:p>
    <w:p w14:paraId="4AB42A92" w14:textId="614400F6" w:rsidR="00724FEC" w:rsidRPr="008E4E0E" w:rsidRDefault="00724FEC" w:rsidP="00CA0643">
      <w:pPr>
        <w:pStyle w:val="VersoIngls01Sangria"/>
        <w:spacing w:after="100"/>
        <w:ind w:left="1418"/>
        <w:rPr>
          <w:sz w:val="16"/>
          <w:szCs w:val="20"/>
        </w:rPr>
      </w:pPr>
      <w:r w:rsidRPr="008E4E0E">
        <w:rPr>
          <w:sz w:val="16"/>
          <w:szCs w:val="20"/>
        </w:rPr>
        <w:t xml:space="preserve">Estar firmemente </w:t>
      </w:r>
      <w:r w:rsidR="00595BC8" w:rsidRPr="008E4E0E">
        <w:rPr>
          <w:sz w:val="16"/>
          <w:szCs w:val="20"/>
        </w:rPr>
        <w:t>atada a</w:t>
      </w:r>
      <w:r w:rsidRPr="008E4E0E">
        <w:rPr>
          <w:sz w:val="16"/>
          <w:szCs w:val="20"/>
        </w:rPr>
        <w:t>l objeto</w:t>
      </w:r>
      <w:r w:rsidR="00595BC8" w:rsidRPr="008E4E0E">
        <w:rPr>
          <w:sz w:val="16"/>
          <w:szCs w:val="20"/>
        </w:rPr>
        <w:t xml:space="preserve"> de meditación</w:t>
      </w:r>
      <w:r w:rsidRPr="008E4E0E">
        <w:rPr>
          <w:sz w:val="16"/>
          <w:szCs w:val="20"/>
        </w:rPr>
        <w:t>.”</w:t>
      </w:r>
    </w:p>
    <w:p w14:paraId="7CD204D1" w14:textId="656707DA" w:rsidR="00724FEC" w:rsidRDefault="00724FEC" w:rsidP="00CA0643">
      <w:pPr>
        <w:pStyle w:val="NormalConSangria"/>
      </w:pPr>
      <w:r>
        <w:t xml:space="preserve">Así es como un </w:t>
      </w:r>
      <w:r w:rsidR="009E68A7">
        <w:t>estado</w:t>
      </w:r>
      <w:r>
        <w:t xml:space="preserve"> s</w:t>
      </w:r>
      <w:r w:rsidR="009E68A7">
        <w:t>erá</w:t>
      </w:r>
      <w:r>
        <w:t xml:space="preserve"> favorable </w:t>
      </w:r>
      <w:r w:rsidR="009E68A7">
        <w:t>par</w:t>
      </w:r>
      <w:r>
        <w:t>a su desarrollo. Por lo tanto, se dijo anteriormente: "Esto significa que ha</w:t>
      </w:r>
      <w:r w:rsidR="001508EF">
        <w:t>brá</w:t>
      </w:r>
      <w:r>
        <w:t xml:space="preserve"> encontrado un </w:t>
      </w:r>
      <w:r w:rsidR="001508EF">
        <w:t xml:space="preserve">estado </w:t>
      </w:r>
      <w:r>
        <w:t>favorable para el desarrollo de la concentración a través de la atención plena e</w:t>
      </w:r>
      <w:r w:rsidR="001508EF">
        <w:t>n</w:t>
      </w:r>
      <w:r>
        <w:t xml:space="preserve"> la respiración".</w:t>
      </w:r>
    </w:p>
    <w:p w14:paraId="200FC7B4" w14:textId="79BA2AA9" w:rsidR="00724FEC" w:rsidRDefault="00724FEC" w:rsidP="00724FEC">
      <w:r>
        <w:t xml:space="preserve">155. </w:t>
      </w:r>
      <w:r w:rsidR="00CA0643">
        <w:tab/>
      </w:r>
      <w:r>
        <w:t>O, alternativamente, esta atención plena e</w:t>
      </w:r>
      <w:r w:rsidR="004E0EBE">
        <w:t>n</w:t>
      </w:r>
      <w:r>
        <w:t xml:space="preserve"> la respiración como </w:t>
      </w:r>
      <w:r w:rsidR="004E0EBE">
        <w:t xml:space="preserve">objeto </w:t>
      </w:r>
      <w:r>
        <w:t xml:space="preserve">de meditación, que es el principal </w:t>
      </w:r>
      <w:r w:rsidR="00074739">
        <w:t xml:space="preserve">objeto </w:t>
      </w:r>
      <w:r>
        <w:t xml:space="preserve">entre los diversos </w:t>
      </w:r>
      <w:r w:rsidR="004E0EBE">
        <w:t xml:space="preserve">objetos </w:t>
      </w:r>
      <w:r>
        <w:t xml:space="preserve">de meditación de todos los </w:t>
      </w:r>
      <w:r w:rsidR="00057BF4" w:rsidRPr="00057BF4">
        <w:rPr>
          <w:i/>
        </w:rPr>
        <w:t>Buddha</w:t>
      </w:r>
      <w:r>
        <w:t xml:space="preserve">s, [algunos] </w:t>
      </w:r>
      <w:proofErr w:type="spellStart"/>
      <w:r w:rsidR="004E0EBE" w:rsidRPr="00CA0643">
        <w:rPr>
          <w:i/>
          <w:iCs/>
        </w:rPr>
        <w:t>Pacceka</w:t>
      </w:r>
      <w:r w:rsidR="004E0EBE" w:rsidRPr="00057BF4">
        <w:rPr>
          <w:i/>
          <w:iCs/>
        </w:rPr>
        <w:t>buddha</w:t>
      </w:r>
      <w:r w:rsidR="004E0EBE" w:rsidRPr="00CA0643">
        <w:rPr>
          <w:i/>
          <w:iCs/>
        </w:rPr>
        <w:t>s</w:t>
      </w:r>
      <w:proofErr w:type="spellEnd"/>
      <w:r w:rsidR="004E0EBE">
        <w:t xml:space="preserve"> </w:t>
      </w:r>
      <w:r>
        <w:t>y [algunos] discípulos de</w:t>
      </w:r>
      <w:r w:rsidR="004E0EBE">
        <w:t>l</w:t>
      </w:r>
      <w:r>
        <w:t xml:space="preserve"> </w:t>
      </w:r>
      <w:r w:rsidR="00057BF4" w:rsidRPr="00057BF4">
        <w:rPr>
          <w:i/>
        </w:rPr>
        <w:t>Buddha</w:t>
      </w:r>
      <w:r w:rsidR="004E0EBE">
        <w:rPr>
          <w:i/>
        </w:rPr>
        <w:t>,</w:t>
      </w:r>
      <w:r>
        <w:t xml:space="preserve"> como base para alcanzar la distinción y permanecer en la </w:t>
      </w:r>
      <w:r w:rsidR="004E0EBE">
        <w:t>dicha</w:t>
      </w:r>
      <w:r>
        <w:t xml:space="preserve"> aquí y ahora. —</w:t>
      </w:r>
      <w:r w:rsidR="001E1CA2">
        <w:t xml:space="preserve"> </w:t>
      </w:r>
      <w:r>
        <w:t>no es fácil desarrollar</w:t>
      </w:r>
      <w:r w:rsidR="004E0EBE">
        <w:t>la</w:t>
      </w:r>
      <w:r>
        <w:t xml:space="preserve"> sin </w:t>
      </w:r>
      <w:r w:rsidR="001E1CA2">
        <w:t>apartarse</w:t>
      </w:r>
      <w:r>
        <w:t xml:space="preserve"> de</w:t>
      </w:r>
      <w:r w:rsidR="001E1CA2">
        <w:t xml:space="preserve"> </w:t>
      </w:r>
      <w:r>
        <w:t>l</w:t>
      </w:r>
      <w:r w:rsidR="001E1CA2">
        <w:t>as</w:t>
      </w:r>
      <w:r>
        <w:t xml:space="preserve"> </w:t>
      </w:r>
      <w:r w:rsidR="001E1CA2">
        <w:t>cercanías</w:t>
      </w:r>
      <w:r>
        <w:t xml:space="preserve"> de las aldeas, que resuenan con los ruidos de </w:t>
      </w:r>
      <w:r w:rsidR="001E1CA2">
        <w:t xml:space="preserve">las </w:t>
      </w:r>
      <w:r>
        <w:t xml:space="preserve">mujeres, </w:t>
      </w:r>
      <w:r w:rsidR="001E1CA2">
        <w:t xml:space="preserve">los </w:t>
      </w:r>
      <w:r>
        <w:t xml:space="preserve">hombres, </w:t>
      </w:r>
      <w:r w:rsidR="001E1CA2">
        <w:t xml:space="preserve">los </w:t>
      </w:r>
      <w:r>
        <w:t xml:space="preserve">elefantes, </w:t>
      </w:r>
      <w:r w:rsidR="001E1CA2">
        <w:t xml:space="preserve">los </w:t>
      </w:r>
      <w:r>
        <w:t xml:space="preserve">caballos, etc., siendo el ruido una espina para </w:t>
      </w:r>
      <w:r w:rsidR="001E1CA2">
        <w:t xml:space="preserve">el </w:t>
      </w:r>
      <w:proofErr w:type="spellStart"/>
      <w:r w:rsidR="00057BF4" w:rsidRPr="00057BF4">
        <w:rPr>
          <w:i/>
          <w:iCs/>
        </w:rPr>
        <w:t>jhāna</w:t>
      </w:r>
      <w:proofErr w:type="spellEnd"/>
      <w:r>
        <w:t xml:space="preserve"> (ver A V 135), mientras que en el bosque </w:t>
      </w:r>
      <w:r w:rsidR="00DB3E69">
        <w:t xml:space="preserve">y </w:t>
      </w:r>
      <w:r w:rsidR="001E1CA2">
        <w:t>distanciado</w:t>
      </w:r>
      <w:r>
        <w:t xml:space="preserve"> de </w:t>
      </w:r>
      <w:r w:rsidR="001E1CA2">
        <w:t xml:space="preserve">las </w:t>
      </w:r>
      <w:r>
        <w:t>aldea</w:t>
      </w:r>
      <w:r w:rsidR="001E1CA2">
        <w:t>s</w:t>
      </w:r>
      <w:r>
        <w:t xml:space="preserve"> un meditador </w:t>
      </w:r>
      <w:r w:rsidR="002C2C52">
        <w:t>podrá</w:t>
      </w:r>
      <w:r>
        <w:t xml:space="preserve"> tranquilamente comenzar a discernir </w:t>
      </w:r>
      <w:r w:rsidR="001E1CA2">
        <w:t xml:space="preserve">sobre este objeto </w:t>
      </w:r>
      <w:r>
        <w:t xml:space="preserve">de meditación y lograr el cuarto </w:t>
      </w:r>
      <w:proofErr w:type="spellStart"/>
      <w:r w:rsidR="00057BF4" w:rsidRPr="00057BF4">
        <w:rPr>
          <w:i/>
          <w:iCs/>
        </w:rPr>
        <w:t>jhāna</w:t>
      </w:r>
      <w:proofErr w:type="spellEnd"/>
      <w:r>
        <w:t xml:space="preserve"> </w:t>
      </w:r>
      <w:r w:rsidR="00DB3E69">
        <w:t>sobre</w:t>
      </w:r>
      <w:r>
        <w:t xml:space="preserve"> la atención plena e</w:t>
      </w:r>
      <w:r w:rsidR="00DB3E69">
        <w:t>n</w:t>
      </w:r>
      <w:r>
        <w:t xml:space="preserve"> la respiración; y luego, al hacer de ese mismo </w:t>
      </w:r>
      <w:proofErr w:type="spellStart"/>
      <w:r w:rsidR="00057BF4" w:rsidRPr="00057BF4">
        <w:rPr>
          <w:i/>
          <w:iCs/>
        </w:rPr>
        <w:t>jhāna</w:t>
      </w:r>
      <w:proofErr w:type="spellEnd"/>
      <w:r>
        <w:t xml:space="preserve"> la base para </w:t>
      </w:r>
      <w:r w:rsidR="00787040">
        <w:t xml:space="preserve">su </w:t>
      </w:r>
      <w:r>
        <w:t xml:space="preserve">comprensión </w:t>
      </w:r>
      <w:r w:rsidR="00787040">
        <w:t>sobre</w:t>
      </w:r>
      <w:r>
        <w:t xml:space="preserve"> las formaciones [con </w:t>
      </w:r>
      <w:r w:rsidR="00787040">
        <w:t>sabiduría</w:t>
      </w:r>
      <w:r>
        <w:t xml:space="preserve">] (XX.2f.), </w:t>
      </w:r>
      <w:r w:rsidR="00787040">
        <w:t xml:space="preserve">podrá </w:t>
      </w:r>
      <w:r>
        <w:t xml:space="preserve">alcanzar el estado de </w:t>
      </w:r>
      <w:r w:rsidR="00057BF4" w:rsidRPr="00057BF4">
        <w:rPr>
          <w:i/>
        </w:rPr>
        <w:t>Arahant</w:t>
      </w:r>
      <w:r>
        <w:t xml:space="preserve">, el fruto más elevado. Por eso el </w:t>
      </w:r>
      <w:r w:rsidR="00FA6DA4" w:rsidRPr="00FA6DA4">
        <w:rPr>
          <w:i/>
          <w:iCs/>
        </w:rPr>
        <w:t>Bhagavā</w:t>
      </w:r>
      <w:r>
        <w:t xml:space="preserve"> dijo “</w:t>
      </w:r>
      <w:r w:rsidR="00FA6DA4">
        <w:t>ido</w:t>
      </w:r>
      <w:r>
        <w:t xml:space="preserve"> al bosque”, etc., al señalar un </w:t>
      </w:r>
      <w:r w:rsidR="00982EDC">
        <w:t>estado</w:t>
      </w:r>
      <w:r>
        <w:t xml:space="preserve"> favorable.</w:t>
      </w:r>
    </w:p>
    <w:p w14:paraId="186D0EF2" w14:textId="73CC8D80" w:rsidR="00724FEC" w:rsidRDefault="00724FEC" w:rsidP="00724FEC">
      <w:r>
        <w:t xml:space="preserve">156. </w:t>
      </w:r>
      <w:r w:rsidR="00CA0643">
        <w:tab/>
      </w:r>
      <w:r w:rsidR="007B2C29">
        <w:t>E</w:t>
      </w:r>
      <w:r>
        <w:t xml:space="preserve">l </w:t>
      </w:r>
      <w:r w:rsidR="00982EDC">
        <w:rPr>
          <w:i/>
          <w:iCs/>
        </w:rPr>
        <w:t>Bhagavā</w:t>
      </w:r>
      <w:r w:rsidR="00982EDC">
        <w:t xml:space="preserve"> </w:t>
      </w:r>
      <w:r>
        <w:t xml:space="preserve">es </w:t>
      </w:r>
      <w:r w:rsidR="005F0497">
        <w:t xml:space="preserve">considerado </w:t>
      </w:r>
      <w:r>
        <w:t xml:space="preserve">como un maestro en el arte de la construcción </w:t>
      </w:r>
      <w:r w:rsidR="00BF2A11">
        <w:t xml:space="preserve">de </w:t>
      </w:r>
      <w:r w:rsidR="007B2C29">
        <w:t xml:space="preserve">ciudades </w:t>
      </w:r>
      <w:r>
        <w:t xml:space="preserve">(cf. D I 9, 12; II 87). [270] A medida que el maestro en el arte de la construcción de </w:t>
      </w:r>
      <w:r w:rsidR="00180918">
        <w:t>ciudades</w:t>
      </w:r>
      <w:r>
        <w:t xml:space="preserve"> inspeccion</w:t>
      </w:r>
      <w:r w:rsidR="00180918">
        <w:t>e</w:t>
      </w:r>
      <w:r>
        <w:t xml:space="preserve"> el </w:t>
      </w:r>
      <w:r w:rsidR="005F0497">
        <w:t>lugar</w:t>
      </w:r>
      <w:r>
        <w:t xml:space="preserve"> propuesto para una ciudad, lo examina</w:t>
      </w:r>
      <w:r w:rsidR="00180918">
        <w:t>rá</w:t>
      </w:r>
      <w:r>
        <w:t xml:space="preserve"> minuciosamente </w:t>
      </w:r>
      <w:r w:rsidR="005F0497">
        <w:t>para</w:t>
      </w:r>
      <w:r>
        <w:t xml:space="preserve"> luego da</w:t>
      </w:r>
      <w:r w:rsidR="005F0497">
        <w:t>r</w:t>
      </w:r>
      <w:r>
        <w:t xml:space="preserve"> sus instrucciones, "Construya</w:t>
      </w:r>
      <w:r w:rsidR="005F0497">
        <w:t>n</w:t>
      </w:r>
      <w:r>
        <w:t xml:space="preserve"> la ciudad aquí", y cuando la ciudad est</w:t>
      </w:r>
      <w:r w:rsidR="005F0497">
        <w:t>é</w:t>
      </w:r>
      <w:r>
        <w:t xml:space="preserve"> terminada de manera segura, recib</w:t>
      </w:r>
      <w:r w:rsidR="005F0497">
        <w:t>irá</w:t>
      </w:r>
      <w:r>
        <w:t xml:space="preserve"> gran honor de la familia real</w:t>
      </w:r>
      <w:r w:rsidR="000A25A5">
        <w:t>;</w:t>
      </w:r>
      <w:r>
        <w:t xml:space="preserve"> </w:t>
      </w:r>
      <w:r w:rsidR="005F0497">
        <w:t>así mismo</w:t>
      </w:r>
      <w:r>
        <w:t xml:space="preserve"> el </w:t>
      </w:r>
      <w:r w:rsidR="005F0497">
        <w:rPr>
          <w:i/>
          <w:iCs/>
        </w:rPr>
        <w:t>Bhagavā</w:t>
      </w:r>
      <w:r w:rsidR="005F0497">
        <w:t xml:space="preserve"> </w:t>
      </w:r>
      <w:r>
        <w:t>examina</w:t>
      </w:r>
      <w:r w:rsidR="006A3A4C">
        <w:t>rá</w:t>
      </w:r>
      <w:r>
        <w:t xml:space="preserve"> un </w:t>
      </w:r>
      <w:r w:rsidR="006A3A4C">
        <w:t>lugar</w:t>
      </w:r>
      <w:r>
        <w:t xml:space="preserve"> en cuanto a su idoneidad para </w:t>
      </w:r>
      <w:r w:rsidR="000A25A5">
        <w:t>un</w:t>
      </w:r>
      <w:r>
        <w:t xml:space="preserve"> meditador</w:t>
      </w:r>
      <w:r w:rsidR="000A25A5">
        <w:t xml:space="preserve"> en particular</w:t>
      </w:r>
      <w:r>
        <w:t xml:space="preserve">, y él </w:t>
      </w:r>
      <w:r w:rsidR="00F61F9A">
        <w:t>lo instru</w:t>
      </w:r>
      <w:r w:rsidR="006A3A4C">
        <w:t>irá</w:t>
      </w:r>
      <w:r w:rsidR="00F61F9A">
        <w:t xml:space="preserve"> así</w:t>
      </w:r>
      <w:r>
        <w:t>, "Dedí</w:t>
      </w:r>
      <w:r w:rsidR="00F61F9A">
        <w:t>quese</w:t>
      </w:r>
      <w:r>
        <w:t xml:space="preserve"> a</w:t>
      </w:r>
      <w:r w:rsidR="00F61F9A">
        <w:t xml:space="preserve"> este</w:t>
      </w:r>
      <w:r>
        <w:t xml:space="preserve"> </w:t>
      </w:r>
      <w:r w:rsidR="00F61F9A">
        <w:t xml:space="preserve">objeto </w:t>
      </w:r>
      <w:r>
        <w:t>de meditación aquí", y más tarde, cuando el meditador se ha</w:t>
      </w:r>
      <w:r w:rsidR="00F61F9A">
        <w:t>ya</w:t>
      </w:r>
      <w:r>
        <w:t xml:space="preserve"> dedicado a</w:t>
      </w:r>
      <w:r w:rsidR="00F61F9A">
        <w:t xml:space="preserve"> su</w:t>
      </w:r>
      <w:r>
        <w:t xml:space="preserve"> </w:t>
      </w:r>
      <w:r w:rsidR="00F61F9A">
        <w:t xml:space="preserve">objeto </w:t>
      </w:r>
      <w:r>
        <w:t>de meditación y ha</w:t>
      </w:r>
      <w:r w:rsidR="00F61F9A">
        <w:t>ya</w:t>
      </w:r>
      <w:r>
        <w:t xml:space="preserve"> alcanzado </w:t>
      </w:r>
      <w:r w:rsidR="000A25A5">
        <w:t xml:space="preserve">el estado de </w:t>
      </w:r>
      <w:r w:rsidR="00057BF4" w:rsidRPr="00057BF4">
        <w:rPr>
          <w:i/>
        </w:rPr>
        <w:t>Arahant</w:t>
      </w:r>
      <w:r>
        <w:t xml:space="preserve"> </w:t>
      </w:r>
      <w:r w:rsidR="00F61F9A">
        <w:t xml:space="preserve">y </w:t>
      </w:r>
      <w:r>
        <w:t>di</w:t>
      </w:r>
      <w:r w:rsidR="00F61F9A">
        <w:t>ga</w:t>
      </w:r>
      <w:r>
        <w:t xml:space="preserve">: "El </w:t>
      </w:r>
      <w:r w:rsidR="00F61F9A">
        <w:rPr>
          <w:i/>
          <w:iCs/>
        </w:rPr>
        <w:t>Bhagavā</w:t>
      </w:r>
      <w:r w:rsidR="00F61F9A">
        <w:t xml:space="preserve"> </w:t>
      </w:r>
      <w:r>
        <w:t xml:space="preserve">está completamente iluminado", </w:t>
      </w:r>
      <w:r w:rsidR="00310E33">
        <w:t xml:space="preserve">entonces </w:t>
      </w:r>
      <w:r>
        <w:t xml:space="preserve">el </w:t>
      </w:r>
      <w:r w:rsidR="00F61F9A">
        <w:rPr>
          <w:i/>
          <w:iCs/>
        </w:rPr>
        <w:t>Bhagavā</w:t>
      </w:r>
      <w:r w:rsidR="00F61F9A">
        <w:t xml:space="preserve"> </w:t>
      </w:r>
      <w:r>
        <w:t>recib</w:t>
      </w:r>
      <w:r w:rsidR="00F61F9A">
        <w:t>irá</w:t>
      </w:r>
      <w:r>
        <w:t xml:space="preserve"> gran honor</w:t>
      </w:r>
      <w:r w:rsidR="00310E33">
        <w:t xml:space="preserve"> por parte de él</w:t>
      </w:r>
      <w:r>
        <w:t>.</w:t>
      </w:r>
    </w:p>
    <w:p w14:paraId="2AE3297D" w14:textId="1BC8DDDF" w:rsidR="00724FEC" w:rsidRDefault="00724FEC" w:rsidP="00724FEC">
      <w:r>
        <w:t xml:space="preserve">157. </w:t>
      </w:r>
      <w:r w:rsidR="00CA0643">
        <w:tab/>
      </w:r>
      <w:r>
        <w:t xml:space="preserve">Y este </w:t>
      </w:r>
      <w:proofErr w:type="spellStart"/>
      <w:r w:rsidR="00057BF4" w:rsidRPr="00057BF4">
        <w:rPr>
          <w:i/>
          <w:iCs/>
        </w:rPr>
        <w:t>bhikkhu</w:t>
      </w:r>
      <w:proofErr w:type="spellEnd"/>
      <w:r>
        <w:t xml:space="preserve"> </w:t>
      </w:r>
      <w:r w:rsidR="001F67EA">
        <w:t>será</w:t>
      </w:r>
      <w:r>
        <w:t xml:space="preserve"> comparado con un leopardo. Porque así como un gran </w:t>
      </w:r>
      <w:r w:rsidR="001F67EA">
        <w:t xml:space="preserve">Rey </w:t>
      </w:r>
      <w:r>
        <w:t>leopardo acecha en un desierto de hierba</w:t>
      </w:r>
      <w:r w:rsidR="001F67EA">
        <w:t>s</w:t>
      </w:r>
      <w:r>
        <w:t xml:space="preserve"> o en un desierto de jungla</w:t>
      </w:r>
      <w:r w:rsidR="001F67EA">
        <w:t>s</w:t>
      </w:r>
      <w:r>
        <w:t xml:space="preserve"> o en un desierto de rocas en el bosque y se apodera de las bestias salvajes, </w:t>
      </w:r>
      <w:r w:rsidR="001F67EA">
        <w:t>d</w:t>
      </w:r>
      <w:r>
        <w:t xml:space="preserve">el búfalo salvaje, </w:t>
      </w:r>
      <w:r w:rsidR="001F67EA">
        <w:t>d</w:t>
      </w:r>
      <w:r>
        <w:t xml:space="preserve">el buey salvaje, </w:t>
      </w:r>
      <w:r w:rsidR="001F67EA">
        <w:t>d</w:t>
      </w:r>
      <w:r>
        <w:t xml:space="preserve">el jabalí, etc., así también, el </w:t>
      </w:r>
      <w:proofErr w:type="spellStart"/>
      <w:r w:rsidR="00057BF4" w:rsidRPr="00057BF4">
        <w:rPr>
          <w:i/>
          <w:iCs/>
        </w:rPr>
        <w:t>bhikkhu</w:t>
      </w:r>
      <w:proofErr w:type="spellEnd"/>
      <w:r>
        <w:t xml:space="preserve"> que se dedi</w:t>
      </w:r>
      <w:r w:rsidR="001F67EA">
        <w:t>que</w:t>
      </w:r>
      <w:r>
        <w:t xml:space="preserve"> a sí mismo</w:t>
      </w:r>
      <w:r w:rsidR="001F67EA">
        <w:t xml:space="preserve"> a su</w:t>
      </w:r>
      <w:r>
        <w:t xml:space="preserve"> </w:t>
      </w:r>
      <w:r w:rsidR="001F67EA">
        <w:t xml:space="preserve">objeto </w:t>
      </w:r>
      <w:r>
        <w:t>de la meditación en el bosque, etc., debe</w:t>
      </w:r>
      <w:r w:rsidR="001F67EA">
        <w:t>rá</w:t>
      </w:r>
      <w:r>
        <w:t xml:space="preserve"> entender</w:t>
      </w:r>
      <w:r w:rsidR="00684446">
        <w:t>se</w:t>
      </w:r>
      <w:r>
        <w:t xml:space="preserve"> </w:t>
      </w:r>
      <w:r w:rsidR="00684446">
        <w:t>que</w:t>
      </w:r>
      <w:r>
        <w:t xml:space="preserve"> </w:t>
      </w:r>
      <w:r w:rsidR="006A5A0A">
        <w:t>consumar</w:t>
      </w:r>
      <w:r w:rsidR="00684446">
        <w:t>á</w:t>
      </w:r>
      <w:r>
        <w:t xml:space="preserve"> sucesivamente los </w:t>
      </w:r>
      <w:r w:rsidR="00874803">
        <w:t>sendero</w:t>
      </w:r>
      <w:r w:rsidR="006A5A0A">
        <w:t>s</w:t>
      </w:r>
      <w:r w:rsidR="00874803">
        <w:t xml:space="preserve"> </w:t>
      </w:r>
      <w:r>
        <w:t>de la entrada</w:t>
      </w:r>
      <w:r w:rsidR="001E1467">
        <w:t>-</w:t>
      </w:r>
      <w:r>
        <w:t>a</w:t>
      </w:r>
      <w:r w:rsidR="001E1467">
        <w:t>-</w:t>
      </w:r>
      <w:r>
        <w:t>la</w:t>
      </w:r>
      <w:r w:rsidR="001E1467">
        <w:t>-</w:t>
      </w:r>
      <w:r>
        <w:t>corriente, el retorno</w:t>
      </w:r>
      <w:r w:rsidR="001E1467">
        <w:t>-</w:t>
      </w:r>
      <w:r>
        <w:t>único, el no</w:t>
      </w:r>
      <w:r w:rsidR="001E1467">
        <w:t>-</w:t>
      </w:r>
      <w:r>
        <w:t xml:space="preserve">retorno y el estado de </w:t>
      </w:r>
      <w:r w:rsidR="00057BF4" w:rsidRPr="00057BF4">
        <w:rPr>
          <w:i/>
          <w:iCs/>
        </w:rPr>
        <w:t>Arahant</w:t>
      </w:r>
      <w:r>
        <w:t xml:space="preserve">; y </w:t>
      </w:r>
      <w:r w:rsidR="00684446">
        <w:t xml:space="preserve">también </w:t>
      </w:r>
      <w:r>
        <w:t xml:space="preserve">las nobles fruiciones. De ahí que los </w:t>
      </w:r>
      <w:r w:rsidR="001E1467">
        <w:t>Venerable</w:t>
      </w:r>
      <w:r w:rsidR="00895187">
        <w:t>s</w:t>
      </w:r>
      <w:r>
        <w:t xml:space="preserve"> dijeran:</w:t>
      </w:r>
    </w:p>
    <w:p w14:paraId="67BB7680" w14:textId="06BC6915" w:rsidR="00724FEC" w:rsidRPr="002C10C6" w:rsidRDefault="00724FEC" w:rsidP="00724FEC">
      <w:pPr>
        <w:pStyle w:val="VersoIngls01Sangria"/>
        <w:ind w:left="708"/>
        <w:rPr>
          <w:sz w:val="16"/>
          <w:szCs w:val="20"/>
        </w:rPr>
      </w:pPr>
      <w:r w:rsidRPr="002C10C6">
        <w:rPr>
          <w:sz w:val="16"/>
          <w:szCs w:val="20"/>
        </w:rPr>
        <w:t>“</w:t>
      </w:r>
      <w:r w:rsidR="00895187">
        <w:rPr>
          <w:sz w:val="16"/>
          <w:szCs w:val="20"/>
        </w:rPr>
        <w:t>Así</w:t>
      </w:r>
      <w:r w:rsidRPr="002C10C6">
        <w:rPr>
          <w:sz w:val="16"/>
          <w:szCs w:val="20"/>
        </w:rPr>
        <w:t xml:space="preserve"> como el leopardo al acechar [en el bosque] se apodera de las bestias</w:t>
      </w:r>
    </w:p>
    <w:p w14:paraId="1DBE0164" w14:textId="6FCFE655" w:rsidR="00724FEC" w:rsidRPr="002C10C6" w:rsidRDefault="00724FEC" w:rsidP="00724FEC">
      <w:pPr>
        <w:pStyle w:val="VersoIngls01Sangria"/>
        <w:ind w:left="708"/>
        <w:rPr>
          <w:sz w:val="16"/>
          <w:szCs w:val="20"/>
        </w:rPr>
      </w:pPr>
      <w:r w:rsidRPr="002C10C6">
        <w:rPr>
          <w:sz w:val="16"/>
          <w:szCs w:val="20"/>
        </w:rPr>
        <w:t xml:space="preserve">Así también lo hará el hijo de este </w:t>
      </w:r>
      <w:r w:rsidR="00057BF4" w:rsidRPr="00057BF4">
        <w:rPr>
          <w:i/>
          <w:sz w:val="16"/>
          <w:szCs w:val="20"/>
        </w:rPr>
        <w:t>Buddha</w:t>
      </w:r>
      <w:r w:rsidRPr="002C10C6">
        <w:rPr>
          <w:sz w:val="16"/>
          <w:szCs w:val="20"/>
        </w:rPr>
        <w:t>, dotad</w:t>
      </w:r>
      <w:r w:rsidR="00B50F9D">
        <w:rPr>
          <w:sz w:val="16"/>
          <w:szCs w:val="20"/>
        </w:rPr>
        <w:t>o de sabiduría</w:t>
      </w:r>
      <w:r w:rsidRPr="002C10C6">
        <w:rPr>
          <w:sz w:val="16"/>
          <w:szCs w:val="20"/>
        </w:rPr>
        <w:t>, vigoroso,</w:t>
      </w:r>
    </w:p>
    <w:p w14:paraId="1D5A5563" w14:textId="316FFC10" w:rsidR="002C10C6" w:rsidRDefault="00A20087" w:rsidP="00724FEC">
      <w:pPr>
        <w:pStyle w:val="VersoIngls01Sangria"/>
        <w:ind w:left="708"/>
        <w:rPr>
          <w:sz w:val="16"/>
          <w:szCs w:val="20"/>
        </w:rPr>
      </w:pPr>
      <w:r>
        <w:rPr>
          <w:sz w:val="16"/>
          <w:szCs w:val="20"/>
        </w:rPr>
        <w:t>Retirado</w:t>
      </w:r>
      <w:r w:rsidR="00724FEC" w:rsidRPr="002C10C6">
        <w:rPr>
          <w:sz w:val="16"/>
          <w:szCs w:val="20"/>
        </w:rPr>
        <w:t xml:space="preserve"> </w:t>
      </w:r>
      <w:r w:rsidR="00B50F9D">
        <w:rPr>
          <w:sz w:val="16"/>
          <w:szCs w:val="20"/>
        </w:rPr>
        <w:t>en e</w:t>
      </w:r>
      <w:r w:rsidR="00724FEC" w:rsidRPr="002C10C6">
        <w:rPr>
          <w:sz w:val="16"/>
          <w:szCs w:val="20"/>
        </w:rPr>
        <w:t xml:space="preserve">l bosque, </w:t>
      </w:r>
      <w:r w:rsidR="00B50F9D">
        <w:rPr>
          <w:sz w:val="16"/>
          <w:szCs w:val="20"/>
        </w:rPr>
        <w:t xml:space="preserve">consumando </w:t>
      </w:r>
      <w:r w:rsidR="00724FEC" w:rsidRPr="002C10C6">
        <w:rPr>
          <w:sz w:val="16"/>
          <w:szCs w:val="20"/>
        </w:rPr>
        <w:t xml:space="preserve">el fruto más </w:t>
      </w:r>
      <w:r w:rsidR="00B50F9D">
        <w:rPr>
          <w:sz w:val="16"/>
          <w:szCs w:val="20"/>
        </w:rPr>
        <w:t xml:space="preserve">excelso </w:t>
      </w:r>
      <w:r w:rsidR="00724FEC" w:rsidRPr="002C10C6">
        <w:rPr>
          <w:sz w:val="16"/>
          <w:szCs w:val="20"/>
        </w:rPr>
        <w:t>de todos” (Mil 369).</w:t>
      </w:r>
    </w:p>
    <w:p w14:paraId="33EE2E08" w14:textId="77777777" w:rsidR="002C10C6" w:rsidRDefault="002C10C6">
      <w:pPr>
        <w:tabs>
          <w:tab w:val="clear" w:pos="425"/>
        </w:tabs>
        <w:spacing w:after="160"/>
        <w:rPr>
          <w:sz w:val="16"/>
          <w:szCs w:val="20"/>
        </w:rPr>
      </w:pPr>
      <w:r>
        <w:rPr>
          <w:sz w:val="16"/>
          <w:szCs w:val="20"/>
        </w:rPr>
        <w:br w:type="page"/>
      </w:r>
    </w:p>
    <w:p w14:paraId="0C40CF6B" w14:textId="02CC19B1" w:rsidR="00714B77" w:rsidRDefault="00714B77" w:rsidP="002C10C6"/>
    <w:p w14:paraId="1723D350" w14:textId="77777777" w:rsidR="00E4399D" w:rsidRDefault="00E4399D" w:rsidP="002C10C6"/>
    <w:p w14:paraId="05AC7942" w14:textId="0E79DB99" w:rsidR="00714B77" w:rsidRDefault="00714B77" w:rsidP="00714B77">
      <w:pPr>
        <w:pStyle w:val="NormalConSangria"/>
      </w:pPr>
      <w:r>
        <w:t xml:space="preserve">Así </w:t>
      </w:r>
      <w:r w:rsidR="00915AB7">
        <w:t>era cómo</w:t>
      </w:r>
      <w:r>
        <w:t xml:space="preserve"> el </w:t>
      </w:r>
      <w:r w:rsidR="00915AB7">
        <w:rPr>
          <w:i/>
          <w:iCs/>
        </w:rPr>
        <w:t>Bhagavā</w:t>
      </w:r>
      <w:r w:rsidR="00915AB7">
        <w:t xml:space="preserve"> solía decir </w:t>
      </w:r>
      <w:r>
        <w:t>“</w:t>
      </w:r>
      <w:r w:rsidR="00915AB7">
        <w:t>ido</w:t>
      </w:r>
      <w:r>
        <w:t xml:space="preserve"> al bosque”, etc., para </w:t>
      </w:r>
      <w:r w:rsidR="00D26FAA">
        <w:t xml:space="preserve">exponer </w:t>
      </w:r>
      <w:r>
        <w:t>un</w:t>
      </w:r>
      <w:r w:rsidR="00D26FAA">
        <w:t>a</w:t>
      </w:r>
      <w:r>
        <w:t xml:space="preserve"> </w:t>
      </w:r>
      <w:r w:rsidR="00D26FAA">
        <w:t xml:space="preserve">residencia </w:t>
      </w:r>
      <w:r>
        <w:t>en el bosque como un lugar que probablemente aceleraría su avance.</w:t>
      </w:r>
    </w:p>
    <w:p w14:paraId="44B47EAA" w14:textId="3110B6E3" w:rsidR="00714B77" w:rsidRDefault="00714B77" w:rsidP="00714B77">
      <w:r>
        <w:t xml:space="preserve">158. </w:t>
      </w:r>
      <w:r>
        <w:tab/>
        <w:t xml:space="preserve">Aquí, </w:t>
      </w:r>
      <w:r w:rsidRPr="00CA0643">
        <w:rPr>
          <w:i/>
          <w:iCs/>
        </w:rPr>
        <w:t>ido al bosque</w:t>
      </w:r>
      <w:r>
        <w:t xml:space="preserve"> es ido a cualquier tipo de bosque que pose</w:t>
      </w:r>
      <w:r w:rsidR="00D26FAA">
        <w:t>a</w:t>
      </w:r>
      <w:r>
        <w:t xml:space="preserve"> la dicha de la reclusión entre los tipos de bosques caracterizados así: "Habiendo ido más allá del puesto fronterizo, todo e</w:t>
      </w:r>
      <w:r w:rsidR="00D26FAA">
        <w:t>ll</w:t>
      </w:r>
      <w:r>
        <w:t>o es bosque" (</w:t>
      </w:r>
      <w:proofErr w:type="spellStart"/>
      <w:r w:rsidRPr="00CA0643">
        <w:rPr>
          <w:i/>
          <w:iCs/>
        </w:rPr>
        <w:t>Paṭis</w:t>
      </w:r>
      <w:proofErr w:type="spellEnd"/>
      <w:r>
        <w:t xml:space="preserve"> I 176; </w:t>
      </w:r>
      <w:proofErr w:type="spellStart"/>
      <w:r>
        <w:t>Vibh</w:t>
      </w:r>
      <w:proofErr w:type="spellEnd"/>
      <w:r>
        <w:t xml:space="preserve"> 251), y “Una </w:t>
      </w:r>
      <w:r w:rsidR="00D26FAA">
        <w:t>residencia</w:t>
      </w:r>
      <w:r>
        <w:t xml:space="preserve"> en el bosque est</w:t>
      </w:r>
      <w:r w:rsidR="00DE1903">
        <w:t>ar</w:t>
      </w:r>
      <w:r>
        <w:t xml:space="preserve">á a </w:t>
      </w:r>
      <w:r w:rsidR="005F0595">
        <w:t xml:space="preserve">una distancia de </w:t>
      </w:r>
      <w:r>
        <w:t>quinient</w:t>
      </w:r>
      <w:r w:rsidR="005F0595">
        <w:t>o</w:t>
      </w:r>
      <w:r>
        <w:t>s arco</w:t>
      </w:r>
      <w:r w:rsidR="005F0595">
        <w:t>s de longitud</w:t>
      </w:r>
      <w:r>
        <w:t>” (</w:t>
      </w:r>
      <w:proofErr w:type="spellStart"/>
      <w:r>
        <w:t>Vin</w:t>
      </w:r>
      <w:proofErr w:type="spellEnd"/>
      <w:r>
        <w:t xml:space="preserve"> IV 183). </w:t>
      </w:r>
      <w:r w:rsidR="005F0595" w:rsidRPr="00702377">
        <w:rPr>
          <w:i/>
          <w:iCs/>
        </w:rPr>
        <w:t>Sobre</w:t>
      </w:r>
      <w:r w:rsidRPr="00702377">
        <w:rPr>
          <w:i/>
          <w:iCs/>
        </w:rPr>
        <w:t xml:space="preserve"> la raíz de un árbol</w:t>
      </w:r>
      <w:r>
        <w:t xml:space="preserve">: ido a la vecindad de un árbol. </w:t>
      </w:r>
      <w:r w:rsidRPr="00CA0643">
        <w:rPr>
          <w:i/>
          <w:iCs/>
        </w:rPr>
        <w:t>A un lugar vacío</w:t>
      </w:r>
      <w:r>
        <w:t xml:space="preserve">: ido a un espacio aislado y vacío. Y aquí se </w:t>
      </w:r>
      <w:r w:rsidR="00214FE5">
        <w:t>podrá</w:t>
      </w:r>
      <w:r>
        <w:t xml:space="preserve"> decir que </w:t>
      </w:r>
      <w:r w:rsidR="00214FE5">
        <w:t xml:space="preserve">él </w:t>
      </w:r>
      <w:r>
        <w:t>ha</w:t>
      </w:r>
      <w:r w:rsidR="008363B2">
        <w:t>brá</w:t>
      </w:r>
      <w:r>
        <w:t xml:space="preserve"> ido a un “lugar vacío” si ha ido a cualquiera de </w:t>
      </w:r>
      <w:r w:rsidR="00A740C8">
        <w:t xml:space="preserve">estos 7 </w:t>
      </w:r>
      <w:r>
        <w:t xml:space="preserve">tipos restantes de </w:t>
      </w:r>
      <w:r w:rsidR="003F0AAA">
        <w:t>residencia</w:t>
      </w:r>
      <w:r>
        <w:t xml:space="preserve"> (lugar de descanso).</w:t>
      </w:r>
      <w:r w:rsidRPr="00694F92">
        <w:rPr>
          <w:vertAlign w:val="superscript"/>
        </w:rPr>
        <w:t>42</w:t>
      </w:r>
      <w:r>
        <w:t xml:space="preserve"> [271]</w:t>
      </w:r>
    </w:p>
    <w:p w14:paraId="5B6C279B" w14:textId="5D41D44C" w:rsidR="00714B77" w:rsidRDefault="00714B77" w:rsidP="00714B77">
      <w:r>
        <w:t xml:space="preserve">159. </w:t>
      </w:r>
      <w:r>
        <w:tab/>
        <w:t xml:space="preserve">Habiendo indicado así una </w:t>
      </w:r>
      <w:r w:rsidR="008363B2">
        <w:t xml:space="preserve">residencia </w:t>
      </w:r>
      <w:r>
        <w:t xml:space="preserve">adecuada </w:t>
      </w:r>
      <w:r w:rsidR="00B06F70">
        <w:t>para</w:t>
      </w:r>
      <w:r>
        <w:t xml:space="preserve"> las </w:t>
      </w:r>
      <w:r w:rsidR="00BB13D6">
        <w:t>3</w:t>
      </w:r>
      <w:r>
        <w:t xml:space="preserve"> estaciones, adecuada </w:t>
      </w:r>
      <w:r w:rsidR="00B06F70">
        <w:t>para e</w:t>
      </w:r>
      <w:r>
        <w:t>l humor y temperamento</w:t>
      </w:r>
      <w:r w:rsidR="00955A3B">
        <w:t xml:space="preserve"> del meditador</w:t>
      </w:r>
      <w:r>
        <w:t>,</w:t>
      </w:r>
      <w:r w:rsidRPr="00694F92">
        <w:rPr>
          <w:vertAlign w:val="superscript"/>
        </w:rPr>
        <w:t>43</w:t>
      </w:r>
      <w:r>
        <w:t xml:space="preserve"> y favorable </w:t>
      </w:r>
      <w:r w:rsidR="008363B2">
        <w:t>para e</w:t>
      </w:r>
      <w:r>
        <w:t>l desarrollo de la atención e</w:t>
      </w:r>
      <w:r w:rsidR="008363B2">
        <w:t>n</w:t>
      </w:r>
      <w:r>
        <w:t xml:space="preserve"> la respiración, entonces </w:t>
      </w:r>
      <w:r w:rsidR="006D66CB">
        <w:t xml:space="preserve">él </w:t>
      </w:r>
      <w:r>
        <w:t xml:space="preserve">dijo </w:t>
      </w:r>
      <w:r w:rsidR="00C049D1" w:rsidRPr="00C049D1">
        <w:rPr>
          <w:i/>
          <w:iCs/>
        </w:rPr>
        <w:t>él se sienta</w:t>
      </w:r>
      <w:r>
        <w:t xml:space="preserve">, etc., indicando una postura que </w:t>
      </w:r>
      <w:r w:rsidR="00955A3B">
        <w:t>sea</w:t>
      </w:r>
      <w:r>
        <w:t xml:space="preserve"> </w:t>
      </w:r>
      <w:r w:rsidR="00C049D1">
        <w:t>apacible</w:t>
      </w:r>
      <w:r>
        <w:t xml:space="preserve"> y </w:t>
      </w:r>
      <w:r w:rsidR="00955A3B">
        <w:t xml:space="preserve">que </w:t>
      </w:r>
      <w:r>
        <w:t>tiend</w:t>
      </w:r>
      <w:r w:rsidR="00955A3B">
        <w:t>a</w:t>
      </w:r>
      <w:r>
        <w:t xml:space="preserve"> ni a la ociosidad ni a la agitación. Luego </w:t>
      </w:r>
      <w:proofErr w:type="spellStart"/>
      <w:r w:rsidR="00C049D1">
        <w:t>el</w:t>
      </w:r>
      <w:proofErr w:type="spellEnd"/>
      <w:r w:rsidR="00C049D1">
        <w:t xml:space="preserve"> </w:t>
      </w:r>
      <w:r>
        <w:t xml:space="preserve">dijo </w:t>
      </w:r>
      <w:r w:rsidR="00882E47" w:rsidRPr="00882E47">
        <w:rPr>
          <w:i/>
          <w:iCs/>
        </w:rPr>
        <w:t xml:space="preserve">al </w:t>
      </w:r>
      <w:r w:rsidRPr="00882E47">
        <w:rPr>
          <w:i/>
          <w:iCs/>
        </w:rPr>
        <w:t xml:space="preserve">haber </w:t>
      </w:r>
      <w:r w:rsidR="00882E47" w:rsidRPr="00882E47">
        <w:rPr>
          <w:i/>
          <w:iCs/>
        </w:rPr>
        <w:t xml:space="preserve">doblado </w:t>
      </w:r>
      <w:r w:rsidRPr="00882E47">
        <w:rPr>
          <w:i/>
          <w:iCs/>
        </w:rPr>
        <w:t>las piernas</w:t>
      </w:r>
      <w:r>
        <w:t xml:space="preserve">, etc., para </w:t>
      </w:r>
      <w:r w:rsidR="00BD77EC">
        <w:t xml:space="preserve">aludir </w:t>
      </w:r>
      <w:r w:rsidR="00182FBB">
        <w:t xml:space="preserve">a la </w:t>
      </w:r>
      <w:r>
        <w:t xml:space="preserve">firmeza </w:t>
      </w:r>
      <w:r w:rsidR="00182FBB">
        <w:t xml:space="preserve">de </w:t>
      </w:r>
      <w:r>
        <w:t xml:space="preserve">la posición sentada, </w:t>
      </w:r>
      <w:r w:rsidR="00BD77EC">
        <w:t xml:space="preserve">para una </w:t>
      </w:r>
      <w:r>
        <w:t>fácil ocurrencia de la inhalaci</w:t>
      </w:r>
      <w:r w:rsidR="00182FBB">
        <w:t>ó</w:t>
      </w:r>
      <w:r>
        <w:t>n y exhalaci</w:t>
      </w:r>
      <w:r w:rsidR="00182FBB">
        <w:t>ó</w:t>
      </w:r>
      <w:r>
        <w:t xml:space="preserve">n, y los medios para discernir </w:t>
      </w:r>
      <w:r w:rsidR="00BD77EC">
        <w:t xml:space="preserve">sobre </w:t>
      </w:r>
      <w:r>
        <w:t>el objeto.</w:t>
      </w:r>
    </w:p>
    <w:p w14:paraId="5F385C11" w14:textId="54954526" w:rsidR="00714B77" w:rsidRDefault="00714B77" w:rsidP="00714B77">
      <w:r>
        <w:t xml:space="preserve">160. </w:t>
      </w:r>
      <w:r>
        <w:tab/>
        <w:t xml:space="preserve">Aquí, </w:t>
      </w:r>
      <w:r w:rsidR="000365FC">
        <w:rPr>
          <w:i/>
          <w:iCs/>
        </w:rPr>
        <w:t>cruzada</w:t>
      </w:r>
      <w:r>
        <w:t xml:space="preserve"> </w:t>
      </w:r>
      <w:r w:rsidR="003E1689">
        <w:t>corresponde a</w:t>
      </w:r>
      <w:r>
        <w:t xml:space="preserve"> la </w:t>
      </w:r>
      <w:r w:rsidR="003E1689">
        <w:t xml:space="preserve">postura </w:t>
      </w:r>
      <w:r>
        <w:t xml:space="preserve">sentada con los muslos completamente bloqueados. </w:t>
      </w:r>
      <w:r w:rsidR="003E1689" w:rsidRPr="003E1689">
        <w:rPr>
          <w:i/>
          <w:iCs/>
        </w:rPr>
        <w:t>Doblado</w:t>
      </w:r>
      <w:r>
        <w:t xml:space="preserve">: </w:t>
      </w:r>
      <w:r w:rsidR="000147AE">
        <w:t>bloqueado</w:t>
      </w:r>
      <w:r>
        <w:t xml:space="preserve">. </w:t>
      </w:r>
      <w:r w:rsidR="000147AE" w:rsidRPr="000147AE">
        <w:rPr>
          <w:i/>
          <w:iCs/>
        </w:rPr>
        <w:t xml:space="preserve">Erguido el </w:t>
      </w:r>
      <w:r w:rsidRPr="000147AE">
        <w:rPr>
          <w:i/>
          <w:iCs/>
        </w:rPr>
        <w:t>cuerpo</w:t>
      </w:r>
      <w:r>
        <w:t xml:space="preserve">: haber colocado la parte superior del cuerpo erguida con las </w:t>
      </w:r>
      <w:r w:rsidR="00DB6F56">
        <w:t>18</w:t>
      </w:r>
      <w:r>
        <w:t xml:space="preserve"> vértebras apoyadas una al lado de la otra. Porque cuando est</w:t>
      </w:r>
      <w:r w:rsidR="00CC515B">
        <w:t>é</w:t>
      </w:r>
      <w:r>
        <w:t xml:space="preserve"> sentado así, su piel, carne y tendones no est</w:t>
      </w:r>
      <w:r w:rsidR="00CC515B">
        <w:t>ar</w:t>
      </w:r>
      <w:r>
        <w:t>án torcidos, y así no surg</w:t>
      </w:r>
      <w:r w:rsidR="00CC515B">
        <w:t>irá</w:t>
      </w:r>
      <w:r>
        <w:t xml:space="preserve"> l</w:t>
      </w:r>
      <w:r w:rsidR="00CC515B">
        <w:t>a</w:t>
      </w:r>
      <w:r>
        <w:t xml:space="preserve">s </w:t>
      </w:r>
      <w:r w:rsidR="00CC515B">
        <w:t xml:space="preserve">sensaciones </w:t>
      </w:r>
      <w:r>
        <w:t>que surgirían momento a momento si estuvieran torcidos. Siendo así, su mente se unifica</w:t>
      </w:r>
      <w:r w:rsidR="00CC515B">
        <w:t>rá</w:t>
      </w:r>
      <w:r>
        <w:t xml:space="preserve">, y el </w:t>
      </w:r>
      <w:r w:rsidR="00CC515B">
        <w:t xml:space="preserve">objeto </w:t>
      </w:r>
      <w:r>
        <w:t xml:space="preserve">de meditación, en lugar de </w:t>
      </w:r>
      <w:r w:rsidR="00B138EF">
        <w:t>colapsar</w:t>
      </w:r>
      <w:r>
        <w:t>, crecer</w:t>
      </w:r>
      <w:r w:rsidR="00CC515B">
        <w:t>á</w:t>
      </w:r>
      <w:r>
        <w:t xml:space="preserve"> y </w:t>
      </w:r>
      <w:r w:rsidR="00CC515B">
        <w:t>se incrementará</w:t>
      </w:r>
      <w:r>
        <w:t>.</w:t>
      </w:r>
    </w:p>
    <w:p w14:paraId="18BD5946" w14:textId="4A25CEB1" w:rsidR="00273398" w:rsidRDefault="00714B77" w:rsidP="00273398">
      <w:r>
        <w:t xml:space="preserve">161. </w:t>
      </w:r>
      <w:r>
        <w:tab/>
      </w:r>
      <w:r w:rsidRPr="000B3CE0">
        <w:rPr>
          <w:i/>
          <w:iCs/>
        </w:rPr>
        <w:t>Atención plena frente a él</w:t>
      </w:r>
      <w:r>
        <w:t xml:space="preserve"> (</w:t>
      </w:r>
      <w:proofErr w:type="spellStart"/>
      <w:r w:rsidRPr="000B3CE0">
        <w:rPr>
          <w:i/>
          <w:iCs/>
        </w:rPr>
        <w:t>parimukhaṃ</w:t>
      </w:r>
      <w:proofErr w:type="spellEnd"/>
      <w:r w:rsidRPr="000B3CE0">
        <w:rPr>
          <w:i/>
          <w:iCs/>
        </w:rPr>
        <w:t xml:space="preserve"> </w:t>
      </w:r>
      <w:proofErr w:type="spellStart"/>
      <w:r w:rsidRPr="000B3CE0">
        <w:rPr>
          <w:i/>
          <w:iCs/>
        </w:rPr>
        <w:t>satiṃ</w:t>
      </w:r>
      <w:proofErr w:type="spellEnd"/>
      <w:r w:rsidRPr="000B3CE0">
        <w:rPr>
          <w:i/>
          <w:iCs/>
        </w:rPr>
        <w:t xml:space="preserve"> </w:t>
      </w:r>
      <w:proofErr w:type="spellStart"/>
      <w:r w:rsidRPr="000B3CE0">
        <w:rPr>
          <w:i/>
          <w:iCs/>
        </w:rPr>
        <w:t>upaṭṭhapetvā</w:t>
      </w:r>
      <w:proofErr w:type="spellEnd"/>
      <w:r>
        <w:t>) = colocado (</w:t>
      </w:r>
      <w:proofErr w:type="spellStart"/>
      <w:r w:rsidRPr="000B3CE0">
        <w:rPr>
          <w:i/>
          <w:iCs/>
        </w:rPr>
        <w:t>ṭhapayitvā</w:t>
      </w:r>
      <w:proofErr w:type="spellEnd"/>
      <w:r>
        <w:t>) atención plena (</w:t>
      </w:r>
      <w:proofErr w:type="spellStart"/>
      <w:r w:rsidRPr="000B3CE0">
        <w:rPr>
          <w:i/>
          <w:iCs/>
        </w:rPr>
        <w:t>satiṃ</w:t>
      </w:r>
      <w:proofErr w:type="spellEnd"/>
      <w:r>
        <w:t xml:space="preserve">) frente a </w:t>
      </w:r>
      <w:r w:rsidR="004A51D6">
        <w:t xml:space="preserve">su </w:t>
      </w:r>
      <w:r w:rsidR="00F62379">
        <w:t xml:space="preserve">objeto </w:t>
      </w:r>
      <w:r>
        <w:t>de meditación (</w:t>
      </w:r>
      <w:proofErr w:type="spellStart"/>
      <w:r w:rsidR="00057BF4" w:rsidRPr="00057BF4">
        <w:rPr>
          <w:i/>
          <w:iCs/>
        </w:rPr>
        <w:t>kamma</w:t>
      </w:r>
      <w:r w:rsidRPr="000B3CE0">
        <w:rPr>
          <w:i/>
          <w:iCs/>
        </w:rPr>
        <w:t>ṭṭhānābhimukhaṃ</w:t>
      </w:r>
      <w:proofErr w:type="spellEnd"/>
      <w:r>
        <w:t xml:space="preserve">). O alternativamente, el significado también puede tratarse aquí de acuerdo con el método de explicación dado en </w:t>
      </w:r>
      <w:r w:rsidR="00DD159A">
        <w:t xml:space="preserve">el </w:t>
      </w:r>
      <w:proofErr w:type="spellStart"/>
      <w:r w:rsidRPr="000B3CE0">
        <w:rPr>
          <w:i/>
          <w:iCs/>
        </w:rPr>
        <w:t>Paṭisambhidā</w:t>
      </w:r>
      <w:proofErr w:type="spellEnd"/>
      <w:r>
        <w:t xml:space="preserve">, que es </w:t>
      </w:r>
      <w:r w:rsidR="00F62379">
        <w:t>é</w:t>
      </w:r>
      <w:r>
        <w:t xml:space="preserve">ste: </w:t>
      </w:r>
      <w:proofErr w:type="spellStart"/>
      <w:r w:rsidRPr="000B3CE0">
        <w:rPr>
          <w:i/>
          <w:iCs/>
        </w:rPr>
        <w:t>Pari</w:t>
      </w:r>
      <w:proofErr w:type="spellEnd"/>
      <w:r>
        <w:t xml:space="preserve"> tiene el sentido de control (</w:t>
      </w:r>
      <w:proofErr w:type="spellStart"/>
      <w:r w:rsidRPr="000B3CE0">
        <w:rPr>
          <w:i/>
          <w:iCs/>
        </w:rPr>
        <w:t>pariggaha</w:t>
      </w:r>
      <w:proofErr w:type="spellEnd"/>
      <w:r>
        <w:t xml:space="preserve">), </w:t>
      </w:r>
      <w:proofErr w:type="spellStart"/>
      <w:r w:rsidRPr="000B3CE0">
        <w:rPr>
          <w:i/>
          <w:iCs/>
        </w:rPr>
        <w:t>mukhaṃ</w:t>
      </w:r>
      <w:proofErr w:type="spellEnd"/>
      <w:r>
        <w:t xml:space="preserve"> (</w:t>
      </w:r>
      <w:proofErr w:type="spellStart"/>
      <w:r>
        <w:t>lit.</w:t>
      </w:r>
      <w:proofErr w:type="spellEnd"/>
      <w:r>
        <w:t xml:space="preserve"> boca) tiene el sentido de </w:t>
      </w:r>
      <w:r w:rsidR="00C62FB4">
        <w:t>vertedor</w:t>
      </w:r>
      <w:r>
        <w:t xml:space="preserve"> (</w:t>
      </w:r>
      <w:proofErr w:type="spellStart"/>
      <w:r w:rsidRPr="000B3CE0">
        <w:rPr>
          <w:i/>
          <w:iCs/>
        </w:rPr>
        <w:t>niyyāna</w:t>
      </w:r>
      <w:proofErr w:type="spellEnd"/>
      <w:r>
        <w:t xml:space="preserve">), </w:t>
      </w:r>
      <w:proofErr w:type="spellStart"/>
      <w:r w:rsidRPr="004B68E4">
        <w:rPr>
          <w:i/>
          <w:iCs/>
        </w:rPr>
        <w:t>sati</w:t>
      </w:r>
      <w:proofErr w:type="spellEnd"/>
      <w:r>
        <w:t xml:space="preserve"> tiene el sentido de establecimiento (</w:t>
      </w:r>
      <w:proofErr w:type="spellStart"/>
      <w:r w:rsidRPr="000B3CE0">
        <w:rPr>
          <w:i/>
          <w:iCs/>
        </w:rPr>
        <w:t>upaṭṭhāna</w:t>
      </w:r>
      <w:proofErr w:type="spellEnd"/>
      <w:r>
        <w:t xml:space="preserve">); por eso se dice </w:t>
      </w:r>
      <w:proofErr w:type="spellStart"/>
      <w:r w:rsidRPr="000B3CE0">
        <w:rPr>
          <w:i/>
          <w:iCs/>
        </w:rPr>
        <w:t>parimukhaṃ</w:t>
      </w:r>
      <w:proofErr w:type="spellEnd"/>
      <w:r w:rsidRPr="000B3CE0">
        <w:rPr>
          <w:i/>
          <w:iCs/>
        </w:rPr>
        <w:t xml:space="preserve"> </w:t>
      </w:r>
      <w:proofErr w:type="spellStart"/>
      <w:r w:rsidRPr="000B3CE0">
        <w:rPr>
          <w:i/>
          <w:iCs/>
        </w:rPr>
        <w:t>satiṃ</w:t>
      </w:r>
      <w:proofErr w:type="spellEnd"/>
      <w:r>
        <w:t xml:space="preserve"> (‘atención plena como un </w:t>
      </w:r>
      <w:r w:rsidR="00C62FB4">
        <w:t>vertedor</w:t>
      </w:r>
      <w:r>
        <w:t xml:space="preserve"> controlad</w:t>
      </w:r>
      <w:r w:rsidR="00C62FB4">
        <w:t>o</w:t>
      </w:r>
      <w:r>
        <w:t>’)” (</w:t>
      </w:r>
      <w:proofErr w:type="spellStart"/>
      <w:r w:rsidRPr="000B3CE0">
        <w:rPr>
          <w:i/>
          <w:iCs/>
        </w:rPr>
        <w:t>Paṭis</w:t>
      </w:r>
      <w:proofErr w:type="spellEnd"/>
      <w:r>
        <w:t xml:space="preserve"> I 176). El significado </w:t>
      </w:r>
      <w:r w:rsidR="003F7780">
        <w:t>al respecto es</w:t>
      </w:r>
      <w:r w:rsidR="0003244C" w:rsidRPr="0003244C">
        <w:t xml:space="preserve"> </w:t>
      </w:r>
      <w:r w:rsidR="0003244C">
        <w:t xml:space="preserve">en resumen: </w:t>
      </w:r>
      <w:r w:rsidR="0021204B">
        <w:t xml:space="preserve">habiendo </w:t>
      </w:r>
      <w:r w:rsidR="00C122A3">
        <w:t xml:space="preserve">hecho </w:t>
      </w:r>
      <w:r w:rsidR="0021204B">
        <w:t>de</w:t>
      </w:r>
      <w:r w:rsidR="0003244C">
        <w:t xml:space="preserve"> la atención </w:t>
      </w:r>
      <w:r w:rsidR="00273398">
        <w:t xml:space="preserve">plena </w:t>
      </w:r>
      <w:r w:rsidR="0003244C">
        <w:t xml:space="preserve">la salida </w:t>
      </w:r>
      <w:r w:rsidR="00EA0C4B">
        <w:t xml:space="preserve">controlada </w:t>
      </w:r>
      <w:r w:rsidR="0003244C">
        <w:t>(</w:t>
      </w:r>
      <w:r w:rsidR="00890118">
        <w:t>en</w:t>
      </w:r>
      <w:r w:rsidR="0003244C">
        <w:t xml:space="preserve"> oposición </w:t>
      </w:r>
      <w:r w:rsidR="00E07834">
        <w:t>al</w:t>
      </w:r>
      <w:r w:rsidR="00273398">
        <w:t xml:space="preserve"> olvido).</w:t>
      </w:r>
      <w:r w:rsidR="00273398" w:rsidRPr="00FF59E1">
        <w:rPr>
          <w:vertAlign w:val="superscript"/>
        </w:rPr>
        <w:t>44</w:t>
      </w:r>
    </w:p>
    <w:p w14:paraId="33168A1A" w14:textId="66F41F30" w:rsidR="00273398" w:rsidRDefault="00273398" w:rsidP="00273398">
      <w:r>
        <w:t xml:space="preserve">162. </w:t>
      </w:r>
      <w:r>
        <w:tab/>
      </w:r>
      <w:r w:rsidR="00D577AC" w:rsidRPr="00D577AC">
        <w:rPr>
          <w:i/>
          <w:iCs/>
        </w:rPr>
        <w:t>Él</w:t>
      </w:r>
      <w:r w:rsidR="00D577AC">
        <w:t xml:space="preserve"> </w:t>
      </w:r>
      <w:r w:rsidR="00D577AC" w:rsidRPr="00B56606">
        <w:rPr>
          <w:i/>
          <w:iCs/>
        </w:rPr>
        <w:t>inhala</w:t>
      </w:r>
      <w:r w:rsidR="00D577AC">
        <w:rPr>
          <w:i/>
          <w:iCs/>
        </w:rPr>
        <w:t>,</w:t>
      </w:r>
      <w:r w:rsidR="00D577AC" w:rsidRPr="00B56606">
        <w:rPr>
          <w:i/>
          <w:iCs/>
        </w:rPr>
        <w:t xml:space="preserve"> </w:t>
      </w:r>
      <w:r w:rsidR="00D577AC">
        <w:rPr>
          <w:i/>
          <w:iCs/>
        </w:rPr>
        <w:t>s</w:t>
      </w:r>
      <w:r w:rsidR="00B56606" w:rsidRPr="00B56606">
        <w:rPr>
          <w:i/>
          <w:iCs/>
        </w:rPr>
        <w:t>iempre consciente</w:t>
      </w:r>
      <w:r w:rsidRPr="00B56606">
        <w:rPr>
          <w:i/>
          <w:iCs/>
        </w:rPr>
        <w:t xml:space="preserve">, </w:t>
      </w:r>
      <w:r w:rsidR="00D577AC">
        <w:rPr>
          <w:i/>
          <w:iCs/>
        </w:rPr>
        <w:t xml:space="preserve">él </w:t>
      </w:r>
      <w:r w:rsidR="00D577AC" w:rsidRPr="00B56606">
        <w:rPr>
          <w:i/>
          <w:iCs/>
        </w:rPr>
        <w:t>exhala</w:t>
      </w:r>
      <w:r w:rsidR="00D577AC">
        <w:rPr>
          <w:i/>
          <w:iCs/>
        </w:rPr>
        <w:t>,</w:t>
      </w:r>
      <w:r w:rsidR="00D577AC" w:rsidRPr="00B56606">
        <w:rPr>
          <w:i/>
          <w:iCs/>
        </w:rPr>
        <w:t xml:space="preserve"> </w:t>
      </w:r>
      <w:r w:rsidR="00B56606" w:rsidRPr="00B56606">
        <w:rPr>
          <w:i/>
          <w:iCs/>
        </w:rPr>
        <w:t>siempre consciente</w:t>
      </w:r>
      <w:r>
        <w:t xml:space="preserve">: habiéndose sentado así, habiendo establecido así la atención, el </w:t>
      </w:r>
      <w:proofErr w:type="spellStart"/>
      <w:r w:rsidRPr="00057BF4">
        <w:rPr>
          <w:i/>
          <w:iCs/>
        </w:rPr>
        <w:t>bhikkhu</w:t>
      </w:r>
      <w:proofErr w:type="spellEnd"/>
      <w:r>
        <w:t xml:space="preserve"> no abandona esa atención; siempre consciente inhala, </w:t>
      </w:r>
      <w:r w:rsidR="000906AE">
        <w:t xml:space="preserve">siempre </w:t>
      </w:r>
      <w:r>
        <w:t>consciente exhala; es un trabajador consciente, eso es lo que se quiere decir.</w:t>
      </w:r>
    </w:p>
    <w:p w14:paraId="065885CF" w14:textId="1AE29DF1" w:rsidR="00714B77" w:rsidRDefault="00714B77" w:rsidP="00714B77">
      <w:pPr>
        <w:pStyle w:val="PiedepginaLegal"/>
        <w:rPr>
          <w:u w:val="single"/>
        </w:rPr>
      </w:pPr>
      <w:r>
        <w:rPr>
          <w:u w:val="single"/>
        </w:rPr>
        <w:tab/>
      </w:r>
      <w:r>
        <w:rPr>
          <w:u w:val="single"/>
        </w:rPr>
        <w:tab/>
      </w:r>
      <w:r>
        <w:rPr>
          <w:u w:val="single"/>
        </w:rPr>
        <w:tab/>
        <w:t xml:space="preserve">                                                                                                             .</w:t>
      </w:r>
    </w:p>
    <w:p w14:paraId="70FF159C" w14:textId="7FD23473" w:rsidR="00714B77" w:rsidRDefault="00714B77" w:rsidP="002B0D53">
      <w:pPr>
        <w:pStyle w:val="PiedepginaLegal"/>
        <w:tabs>
          <w:tab w:val="clear" w:pos="6804"/>
        </w:tabs>
        <w:ind w:right="476"/>
      </w:pPr>
      <w:r>
        <w:t xml:space="preserve">42. </w:t>
      </w:r>
      <w:r>
        <w:tab/>
        <w:t xml:space="preserve">Los nueve tipos de </w:t>
      </w:r>
      <w:r w:rsidR="001C27E0">
        <w:t>vivienda</w:t>
      </w:r>
      <w:r>
        <w:t xml:space="preserve"> (lugar de descanso) son el bosque y la raíz de un árbol ya mencionado, y una roca, </w:t>
      </w:r>
      <w:r w:rsidR="001C27E0">
        <w:t>la</w:t>
      </w:r>
      <w:r>
        <w:t xml:space="preserve"> hendidura de </w:t>
      </w:r>
      <w:r w:rsidR="001C27E0">
        <w:t xml:space="preserve">una </w:t>
      </w:r>
      <w:r>
        <w:t xml:space="preserve">colina, una cueva </w:t>
      </w:r>
      <w:r w:rsidR="001C27E0">
        <w:t xml:space="preserve">en la </w:t>
      </w:r>
      <w:r>
        <w:t xml:space="preserve">montaña, un osario, un matorral </w:t>
      </w:r>
      <w:r w:rsidR="001C27E0">
        <w:t xml:space="preserve">en la </w:t>
      </w:r>
      <w:r>
        <w:t>selva, un espacio abierto, un montón de paja (M I 181).</w:t>
      </w:r>
    </w:p>
    <w:p w14:paraId="6BDB88FC" w14:textId="523F9751" w:rsidR="00714B77" w:rsidRDefault="00714B77" w:rsidP="002B0D53">
      <w:pPr>
        <w:pStyle w:val="PiedepginaLegal"/>
        <w:tabs>
          <w:tab w:val="clear" w:pos="6804"/>
        </w:tabs>
        <w:ind w:right="476"/>
      </w:pPr>
      <w:r>
        <w:t xml:space="preserve">43. </w:t>
      </w:r>
      <w:r>
        <w:tab/>
        <w:t xml:space="preserve">“En la estación cálida el bosque es propicio, en la estación fría la raíz de un árbol, en la estación lluviosa un lugar vacío. Para uno de humor flemático, flemático por naturaleza, el bosque es propicio, para uno de humor bilioso la raíz de un árbol, para uno de humor ventoso un lugar vacío. Para uno de temperamento </w:t>
      </w:r>
      <w:r w:rsidR="0007202B">
        <w:t>ilusivo</w:t>
      </w:r>
      <w:r>
        <w:t xml:space="preserve">, el bosque, para uno de temperamento </w:t>
      </w:r>
      <w:r w:rsidR="0007202B">
        <w:t>iracundo</w:t>
      </w:r>
      <w:r>
        <w:t>, la raíz de un árbol, para uno de temperamento codicioso, un lugar vacío” (</w:t>
      </w:r>
      <w:proofErr w:type="spellStart"/>
      <w:r>
        <w:t>Vism-mhṭ</w:t>
      </w:r>
      <w:proofErr w:type="spellEnd"/>
      <w:r>
        <w:t xml:space="preserve"> 258).</w:t>
      </w:r>
    </w:p>
    <w:p w14:paraId="01CB0CAC" w14:textId="6C9CE91F" w:rsidR="00273398" w:rsidRDefault="00273398" w:rsidP="00273398">
      <w:pPr>
        <w:pStyle w:val="PiedepginaLegal"/>
      </w:pPr>
      <w:r>
        <w:t xml:space="preserve">44. </w:t>
      </w:r>
      <w:r>
        <w:tab/>
        <w:t>La amplificación es de</w:t>
      </w:r>
      <w:r w:rsidR="0007202B">
        <w:t>l</w:t>
      </w:r>
      <w:r>
        <w:t xml:space="preserve"> </w:t>
      </w:r>
      <w:proofErr w:type="spellStart"/>
      <w:r>
        <w:t>Vism-mhṭ</w:t>
      </w:r>
      <w:proofErr w:type="spellEnd"/>
      <w:r>
        <w:t xml:space="preserve"> 258.</w:t>
      </w:r>
    </w:p>
    <w:p w14:paraId="0F0BAD81" w14:textId="77777777" w:rsidR="00714B77" w:rsidRDefault="00714B77">
      <w:pPr>
        <w:tabs>
          <w:tab w:val="clear" w:pos="425"/>
        </w:tabs>
        <w:spacing w:after="160"/>
      </w:pPr>
      <w:r>
        <w:br w:type="page"/>
      </w:r>
    </w:p>
    <w:p w14:paraId="53BC790E" w14:textId="77777777" w:rsidR="0003244C" w:rsidRDefault="0003244C" w:rsidP="00393516"/>
    <w:p w14:paraId="0BC43C86" w14:textId="697D00C0" w:rsidR="00E70AFF" w:rsidRDefault="00E70AFF" w:rsidP="003A01E4">
      <w:pPr>
        <w:jc w:val="center"/>
      </w:pPr>
      <w:r>
        <w:t>[</w:t>
      </w:r>
      <w:r w:rsidRPr="003A01E4">
        <w:rPr>
          <w:i/>
          <w:iCs/>
        </w:rPr>
        <w:t xml:space="preserve">Continuación del </w:t>
      </w:r>
      <w:r w:rsidR="003A01E4" w:rsidRPr="003A01E4">
        <w:rPr>
          <w:i/>
          <w:iCs/>
        </w:rPr>
        <w:t xml:space="preserve">Comentario </w:t>
      </w:r>
      <w:r w:rsidR="003B7C38">
        <w:rPr>
          <w:i/>
          <w:iCs/>
        </w:rPr>
        <w:t>palabra por palabra</w:t>
      </w:r>
      <w:r w:rsidRPr="003A01E4">
        <w:rPr>
          <w:i/>
          <w:iCs/>
        </w:rPr>
        <w:t xml:space="preserve">—Primera </w:t>
      </w:r>
      <w:r w:rsidR="0042438D" w:rsidRPr="003A01E4">
        <w:rPr>
          <w:i/>
          <w:iCs/>
        </w:rPr>
        <w:t>Tétrada</w:t>
      </w:r>
      <w:r>
        <w:t>]</w:t>
      </w:r>
    </w:p>
    <w:p w14:paraId="025298BB" w14:textId="2EC39B1C" w:rsidR="00E70AFF" w:rsidRDefault="00E70AFF" w:rsidP="00E70AFF">
      <w:r>
        <w:t xml:space="preserve">163. </w:t>
      </w:r>
      <w:r w:rsidR="0042438D">
        <w:tab/>
      </w:r>
      <w:r>
        <w:t xml:space="preserve">(i) </w:t>
      </w:r>
      <w:r w:rsidRPr="000B3CE0">
        <w:rPr>
          <w:i/>
          <w:iCs/>
        </w:rPr>
        <w:t xml:space="preserve">Ahora, </w:t>
      </w:r>
      <w:r w:rsidR="006761D3">
        <w:rPr>
          <w:i/>
          <w:iCs/>
        </w:rPr>
        <w:t>al</w:t>
      </w:r>
      <w:r w:rsidRPr="000B3CE0">
        <w:rPr>
          <w:i/>
          <w:iCs/>
        </w:rPr>
        <w:t xml:space="preserve"> inhalar largamente</w:t>
      </w:r>
      <w:r>
        <w:t xml:space="preserve">, etc., </w:t>
      </w:r>
      <w:r w:rsidR="006761D3">
        <w:t xml:space="preserve">se dice así </w:t>
      </w:r>
      <w:r w:rsidR="00B66150">
        <w:t>con el objeto de</w:t>
      </w:r>
      <w:r>
        <w:t xml:space="preserve"> mostrar las diferentes formas en </w:t>
      </w:r>
      <w:r w:rsidR="00C90645">
        <w:t xml:space="preserve">la </w:t>
      </w:r>
      <w:r>
        <w:t xml:space="preserve">que </w:t>
      </w:r>
      <w:r w:rsidR="005533B3">
        <w:t xml:space="preserve">él puede ser </w:t>
      </w:r>
      <w:r>
        <w:t xml:space="preserve">un </w:t>
      </w:r>
      <w:r w:rsidR="00B66150">
        <w:t xml:space="preserve">practicante </w:t>
      </w:r>
      <w:r>
        <w:t xml:space="preserve">consciente. </w:t>
      </w:r>
      <w:r w:rsidR="00C90645">
        <w:t xml:space="preserve">Ya </w:t>
      </w:r>
      <w:r>
        <w:t xml:space="preserve">que en el </w:t>
      </w:r>
      <w:proofErr w:type="spellStart"/>
      <w:r w:rsidRPr="000B3CE0">
        <w:rPr>
          <w:i/>
          <w:iCs/>
        </w:rPr>
        <w:t>Paṭisambhidā</w:t>
      </w:r>
      <w:proofErr w:type="spellEnd"/>
      <w:r>
        <w:t xml:space="preserve">, en la exposición de la cláusula, </w:t>
      </w:r>
      <w:r w:rsidR="000F3A05">
        <w:t xml:space="preserve">dice </w:t>
      </w:r>
      <w:r>
        <w:t xml:space="preserve">“Siempre consciente él inhala, </w:t>
      </w:r>
      <w:r w:rsidR="000F3A05">
        <w:t xml:space="preserve">siempre </w:t>
      </w:r>
      <w:r>
        <w:t xml:space="preserve">consciente él exhala”, se dice: “Él es un </w:t>
      </w:r>
      <w:r w:rsidR="008B78D5">
        <w:t>practicante</w:t>
      </w:r>
      <w:r>
        <w:t xml:space="preserve"> consciente de treinta y dos maneras: (1) cuando conoce la unificación de la mente y la no distracción por medio de una inhalación larga, la atención plena se establece en él; debido a esa atención y ese conocimiento es un </w:t>
      </w:r>
      <w:r w:rsidR="00CF7648">
        <w:t xml:space="preserve">practicante </w:t>
      </w:r>
      <w:r>
        <w:t>consciente. (2) Cuando conoce la unificación de la mente y la no distracción por medio de una exhalación larga… (31) por medio de la respiración contemplando la renuncia</w:t>
      </w:r>
      <w:r w:rsidR="000F3A05">
        <w:t>ción</w:t>
      </w:r>
      <w:r>
        <w:t>… (32) Cuando conoce la unificación de la mente y la no distracción por medio de la respiración al contemplar la renuncia</w:t>
      </w:r>
      <w:r w:rsidR="00045652">
        <w:t>ción</w:t>
      </w:r>
      <w:r>
        <w:t>, la atención plena se establece en él; debido a esa atención plena y ese conocimiento es un trabajador consciente” (</w:t>
      </w:r>
      <w:proofErr w:type="spellStart"/>
      <w:r w:rsidRPr="000B3CE0">
        <w:rPr>
          <w:i/>
          <w:iCs/>
        </w:rPr>
        <w:t>Paṭis</w:t>
      </w:r>
      <w:proofErr w:type="spellEnd"/>
      <w:r>
        <w:t xml:space="preserve"> I 176).</w:t>
      </w:r>
    </w:p>
    <w:p w14:paraId="35B9EC51" w14:textId="47BA6EEE" w:rsidR="00E70AFF" w:rsidRDefault="00E70AFF" w:rsidP="00E70AFF">
      <w:r>
        <w:t xml:space="preserve">164. </w:t>
      </w:r>
      <w:r w:rsidR="0042438D">
        <w:tab/>
      </w:r>
      <w:r>
        <w:t xml:space="preserve">Aquí, </w:t>
      </w:r>
      <w:r w:rsidRPr="000B3CE0">
        <w:rPr>
          <w:i/>
          <w:iCs/>
        </w:rPr>
        <w:t>la inspiración larga</w:t>
      </w:r>
      <w:r>
        <w:t xml:space="preserve"> (</w:t>
      </w:r>
      <w:proofErr w:type="spellStart"/>
      <w:r w:rsidRPr="000B3CE0">
        <w:rPr>
          <w:i/>
          <w:iCs/>
        </w:rPr>
        <w:t>assasanto</w:t>
      </w:r>
      <w:proofErr w:type="spellEnd"/>
      <w:r>
        <w:t>) produc</w:t>
      </w:r>
      <w:r w:rsidR="00D900AD">
        <w:t>irá</w:t>
      </w:r>
      <w:r>
        <w:t xml:space="preserve"> una </w:t>
      </w:r>
      <w:r w:rsidR="00D900AD">
        <w:t>inhalación</w:t>
      </w:r>
      <w:r>
        <w:t xml:space="preserve"> larga. [272] “</w:t>
      </w:r>
      <w:proofErr w:type="spellStart"/>
      <w:r w:rsidRPr="000B3CE0">
        <w:rPr>
          <w:i/>
          <w:iCs/>
        </w:rPr>
        <w:t>Assāsa</w:t>
      </w:r>
      <w:proofErr w:type="spellEnd"/>
      <w:r>
        <w:t xml:space="preserve"> es el </w:t>
      </w:r>
      <w:r w:rsidR="00D900AD">
        <w:t>aire</w:t>
      </w:r>
      <w:r>
        <w:t xml:space="preserve"> que sale; </w:t>
      </w:r>
      <w:proofErr w:type="spellStart"/>
      <w:r w:rsidRPr="000B3CE0">
        <w:rPr>
          <w:i/>
          <w:iCs/>
        </w:rPr>
        <w:t>passāsa</w:t>
      </w:r>
      <w:proofErr w:type="spellEnd"/>
      <w:r>
        <w:t xml:space="preserve"> es el </w:t>
      </w:r>
      <w:r w:rsidR="00D900AD">
        <w:t xml:space="preserve">aire </w:t>
      </w:r>
      <w:r>
        <w:t xml:space="preserve">que entra”, se dice en el </w:t>
      </w:r>
      <w:r w:rsidRPr="000B3CE0">
        <w:rPr>
          <w:i/>
          <w:iCs/>
        </w:rPr>
        <w:t xml:space="preserve">Comentario </w:t>
      </w:r>
      <w:proofErr w:type="spellStart"/>
      <w:r w:rsidRPr="000B3CE0">
        <w:rPr>
          <w:i/>
          <w:iCs/>
        </w:rPr>
        <w:t>Vinaya</w:t>
      </w:r>
      <w:proofErr w:type="spellEnd"/>
      <w:r>
        <w:t xml:space="preserve">. </w:t>
      </w:r>
      <w:r w:rsidR="00D900AD">
        <w:t xml:space="preserve">No obstante, </w:t>
      </w:r>
      <w:r>
        <w:t xml:space="preserve">en los </w:t>
      </w:r>
      <w:r w:rsidRPr="00E84062">
        <w:rPr>
          <w:i/>
          <w:iCs/>
        </w:rPr>
        <w:t>Comentarios</w:t>
      </w:r>
      <w:r>
        <w:t xml:space="preserve"> </w:t>
      </w:r>
      <w:proofErr w:type="spellStart"/>
      <w:r w:rsidRPr="000B3CE0">
        <w:rPr>
          <w:i/>
          <w:iCs/>
        </w:rPr>
        <w:t>Suttanta</w:t>
      </w:r>
      <w:proofErr w:type="spellEnd"/>
      <w:r>
        <w:t xml:space="preserve"> se da en el sentido opuesto. </w:t>
      </w:r>
      <w:r w:rsidR="00E5065F">
        <w:t>Al respecto</w:t>
      </w:r>
      <w:r>
        <w:t xml:space="preserve">, cuando cualquier </w:t>
      </w:r>
      <w:r w:rsidR="00D900AD">
        <w:t>bebé</w:t>
      </w:r>
      <w:r>
        <w:t xml:space="preserve"> sale del vientre de la madre, primero sale el </w:t>
      </w:r>
      <w:r w:rsidR="0097027B">
        <w:t>aire interno</w:t>
      </w:r>
      <w:r>
        <w:t xml:space="preserve"> y luego entra el </w:t>
      </w:r>
      <w:r w:rsidR="0097027B">
        <w:t xml:space="preserve">aire externo </w:t>
      </w:r>
      <w:r>
        <w:t xml:space="preserve">con un polvo fino, </w:t>
      </w:r>
      <w:r w:rsidR="004D1FE5">
        <w:t xml:space="preserve">que </w:t>
      </w:r>
      <w:r>
        <w:t xml:space="preserve">golpea el paladar y se apaga con el estornudo del niño. Así es, en primer lugar, cómo deben entenderse </w:t>
      </w:r>
      <w:proofErr w:type="spellStart"/>
      <w:r w:rsidRPr="000B3CE0">
        <w:rPr>
          <w:i/>
          <w:iCs/>
        </w:rPr>
        <w:t>assāsa</w:t>
      </w:r>
      <w:proofErr w:type="spellEnd"/>
      <w:r>
        <w:t xml:space="preserve"> y </w:t>
      </w:r>
      <w:proofErr w:type="spellStart"/>
      <w:r w:rsidRPr="000B3CE0">
        <w:rPr>
          <w:i/>
          <w:iCs/>
        </w:rPr>
        <w:t>passāsa</w:t>
      </w:r>
      <w:proofErr w:type="spellEnd"/>
      <w:r>
        <w:t>.</w:t>
      </w:r>
    </w:p>
    <w:p w14:paraId="38ABA39D" w14:textId="5C40CD82" w:rsidR="00E70AFF" w:rsidRDefault="00E70AFF" w:rsidP="00E70AFF">
      <w:r>
        <w:t xml:space="preserve">165. </w:t>
      </w:r>
      <w:r w:rsidR="0042438D">
        <w:tab/>
      </w:r>
      <w:r w:rsidR="000E5928">
        <w:t xml:space="preserve">No obstante, </w:t>
      </w:r>
      <w:r>
        <w:t xml:space="preserve">su </w:t>
      </w:r>
      <w:r w:rsidR="00D10476">
        <w:t>larga</w:t>
      </w:r>
      <w:r w:rsidR="002F5D4C">
        <w:t xml:space="preserve"> y </w:t>
      </w:r>
      <w:r>
        <w:t xml:space="preserve">su </w:t>
      </w:r>
      <w:r w:rsidR="00D10476">
        <w:t xml:space="preserve">corta </w:t>
      </w:r>
      <w:r w:rsidR="007071DF">
        <w:t xml:space="preserve">duración </w:t>
      </w:r>
      <w:r>
        <w:t>debe</w:t>
      </w:r>
      <w:r w:rsidR="00FA5866">
        <w:t>rán</w:t>
      </w:r>
      <w:r>
        <w:t xml:space="preserve"> entenderse </w:t>
      </w:r>
      <w:r w:rsidR="00FA5866">
        <w:t>mediante</w:t>
      </w:r>
      <w:r w:rsidR="00AC4E0B">
        <w:t xml:space="preserve"> la longitud </w:t>
      </w:r>
      <w:r>
        <w:t>(</w:t>
      </w:r>
      <w:proofErr w:type="spellStart"/>
      <w:r w:rsidRPr="000B3CE0">
        <w:rPr>
          <w:i/>
          <w:iCs/>
        </w:rPr>
        <w:t>addhāna</w:t>
      </w:r>
      <w:proofErr w:type="spellEnd"/>
      <w:r>
        <w:t xml:space="preserve">). Porque así como </w:t>
      </w:r>
      <w:r w:rsidR="007071DF">
        <w:t>a</w:t>
      </w:r>
      <w:r>
        <w:t xml:space="preserve">l agua o </w:t>
      </w:r>
      <w:r w:rsidR="007071DF">
        <w:t xml:space="preserve">a </w:t>
      </w:r>
      <w:r>
        <w:t>la arena que ocup</w:t>
      </w:r>
      <w:r w:rsidR="007071DF">
        <w:t>e</w:t>
      </w:r>
      <w:r>
        <w:t xml:space="preserve"> una extensión de espacio se </w:t>
      </w:r>
      <w:r w:rsidR="007071DF">
        <w:t xml:space="preserve">le </w:t>
      </w:r>
      <w:r>
        <w:t xml:space="preserve">llama "agua </w:t>
      </w:r>
      <w:r w:rsidR="007071DF">
        <w:t>extensa</w:t>
      </w:r>
      <w:r>
        <w:t xml:space="preserve">", "arena </w:t>
      </w:r>
      <w:r w:rsidR="007071DF">
        <w:t>extensa</w:t>
      </w:r>
      <w:r>
        <w:t xml:space="preserve">", "agua </w:t>
      </w:r>
      <w:r w:rsidR="00193088">
        <w:t>pequeña</w:t>
      </w:r>
      <w:r>
        <w:t xml:space="preserve">", "arena </w:t>
      </w:r>
      <w:r w:rsidR="00193088">
        <w:t>pequeña</w:t>
      </w:r>
      <w:r>
        <w:t xml:space="preserve">", así </w:t>
      </w:r>
      <w:r w:rsidR="001A1280">
        <w:t xml:space="preserve">también, </w:t>
      </w:r>
      <w:r>
        <w:t>en el caso de los cuerpos de elefantes y serpientes, las inhalaciones y exhalaciones consideradas como partículas</w:t>
      </w:r>
      <w:r w:rsidRPr="00AD302F">
        <w:rPr>
          <w:vertAlign w:val="superscript"/>
        </w:rPr>
        <w:t>45</w:t>
      </w:r>
      <w:r>
        <w:t xml:space="preserve"> llenan lentamente la larga</w:t>
      </w:r>
      <w:r w:rsidR="004E7FFE" w:rsidRPr="004E7FFE">
        <w:t xml:space="preserve"> </w:t>
      </w:r>
      <w:r w:rsidR="004E7FFE">
        <w:t>extensión</w:t>
      </w:r>
      <w:r w:rsidR="004F1965">
        <w:t xml:space="preserve"> de sus organismos</w:t>
      </w:r>
      <w:r>
        <w:t xml:space="preserve">, en otras palabras, </w:t>
      </w:r>
      <w:r w:rsidR="004F1965">
        <w:t xml:space="preserve">de </w:t>
      </w:r>
      <w:r>
        <w:t xml:space="preserve">sus </w:t>
      </w:r>
      <w:r w:rsidR="00193088">
        <w:t>cuerpo</w:t>
      </w:r>
      <w:r w:rsidR="004E7FFE">
        <w:t>s</w:t>
      </w:r>
      <w:r>
        <w:t>, y vuelven a salir lentamente. Por eso se les llama “larg</w:t>
      </w:r>
      <w:r w:rsidR="004F1965">
        <w:t>a</w:t>
      </w:r>
      <w:r>
        <w:t xml:space="preserve">s”. </w:t>
      </w:r>
      <w:r w:rsidR="00437617">
        <w:t xml:space="preserve">El aire </w:t>
      </w:r>
      <w:r w:rsidR="00AE68CB">
        <w:t>l</w:t>
      </w:r>
      <w:r>
        <w:t>lena</w:t>
      </w:r>
      <w:r w:rsidR="00437617">
        <w:t>rá</w:t>
      </w:r>
      <w:r>
        <w:t xml:space="preserve"> rápidamente una pequeña extensión, </w:t>
      </w:r>
      <w:r w:rsidR="00437617">
        <w:t>por ejemplo</w:t>
      </w:r>
      <w:r>
        <w:t xml:space="preserve">, </w:t>
      </w:r>
      <w:r w:rsidR="00437617">
        <w:t xml:space="preserve">en el caso del </w:t>
      </w:r>
      <w:r w:rsidR="001A1280">
        <w:t xml:space="preserve">cuerpo </w:t>
      </w:r>
      <w:r>
        <w:t xml:space="preserve">de un perro, </w:t>
      </w:r>
      <w:r w:rsidR="00AE68CB">
        <w:t xml:space="preserve">de </w:t>
      </w:r>
      <w:r>
        <w:t xml:space="preserve">una liebre, etc., y </w:t>
      </w:r>
      <w:r w:rsidR="00437617">
        <w:t xml:space="preserve">volverá </w:t>
      </w:r>
      <w:r>
        <w:t>a salir rápidamente. Por eso se les llama “cort</w:t>
      </w:r>
      <w:r w:rsidR="00437617">
        <w:t>a</w:t>
      </w:r>
      <w:r>
        <w:t>s”.</w:t>
      </w:r>
    </w:p>
    <w:p w14:paraId="2BB093C1" w14:textId="4CDA6D07" w:rsidR="00E70AFF" w:rsidRDefault="00E70AFF" w:rsidP="00E70AFF">
      <w:r>
        <w:t xml:space="preserve">166. </w:t>
      </w:r>
      <w:r w:rsidR="0042438D">
        <w:tab/>
      </w:r>
      <w:r>
        <w:t xml:space="preserve">Y en el caso de los seres humanos, unos inspiran y exhalan largamente, </w:t>
      </w:r>
      <w:r w:rsidR="00500FEF">
        <w:t xml:space="preserve">durante </w:t>
      </w:r>
      <w:r w:rsidR="00962D32">
        <w:t>un</w:t>
      </w:r>
      <w:r>
        <w:t xml:space="preserve">a duración de tiempo </w:t>
      </w:r>
      <w:r w:rsidR="00500FEF">
        <w:t xml:space="preserve">tal </w:t>
      </w:r>
      <w:r>
        <w:t xml:space="preserve">como lo hacen los elefantes, </w:t>
      </w:r>
      <w:r w:rsidR="00500FEF">
        <w:t xml:space="preserve">las </w:t>
      </w:r>
      <w:r>
        <w:t>serpientes, etc., mientras que otros inspiran y exhalan de forma</w:t>
      </w:r>
      <w:r w:rsidR="00EF5FD7">
        <w:t xml:space="preserve"> corta</w:t>
      </w:r>
      <w:r>
        <w:t xml:space="preserve">, </w:t>
      </w:r>
      <w:r w:rsidR="00962D32">
        <w:t xml:space="preserve">tal </w:t>
      </w:r>
      <w:r>
        <w:t xml:space="preserve">como </w:t>
      </w:r>
      <w:r w:rsidR="00EF5FD7">
        <w:t xml:space="preserve">lo hacen los </w:t>
      </w:r>
      <w:r>
        <w:t xml:space="preserve">perros, </w:t>
      </w:r>
      <w:r w:rsidR="00EF5FD7">
        <w:t xml:space="preserve">las </w:t>
      </w:r>
      <w:r>
        <w:t xml:space="preserve">liebres, etc. De estos, por lo tanto, las respiraciones que </w:t>
      </w:r>
      <w:r w:rsidR="00EF5FD7">
        <w:t>ocurran</w:t>
      </w:r>
      <w:r>
        <w:t xml:space="preserve"> sobre una gran extensión al entrar y salir deben entenderse como </w:t>
      </w:r>
      <w:r w:rsidRPr="00C834CF">
        <w:rPr>
          <w:i/>
          <w:iCs/>
        </w:rPr>
        <w:t>largas</w:t>
      </w:r>
      <w:r>
        <w:t xml:space="preserve"> en el tiempo; y </w:t>
      </w:r>
      <w:r w:rsidR="00C834CF">
        <w:t xml:space="preserve">las </w:t>
      </w:r>
      <w:r>
        <w:t>que recorr</w:t>
      </w:r>
      <w:r w:rsidR="00C834CF">
        <w:t>a</w:t>
      </w:r>
      <w:r>
        <w:t xml:space="preserve">n una pequeña extensión entrando y saliendo, como </w:t>
      </w:r>
      <w:r w:rsidR="00C834CF" w:rsidRPr="00C834CF">
        <w:rPr>
          <w:i/>
          <w:iCs/>
        </w:rPr>
        <w:t>cortas</w:t>
      </w:r>
      <w:r w:rsidR="00C834CF">
        <w:t xml:space="preserve"> </w:t>
      </w:r>
      <w:r>
        <w:t>en el tiempo.</w:t>
      </w:r>
    </w:p>
    <w:p w14:paraId="30212529" w14:textId="05A09688" w:rsidR="00E70AFF" w:rsidRDefault="00E70AFF" w:rsidP="00E70AFF">
      <w:r>
        <w:t xml:space="preserve">167. </w:t>
      </w:r>
      <w:r w:rsidR="0042438D">
        <w:tab/>
      </w:r>
      <w:r>
        <w:t>Ahora</w:t>
      </w:r>
      <w:r w:rsidR="00C834CF">
        <w:t xml:space="preserve"> bien</w:t>
      </w:r>
      <w:r>
        <w:t xml:space="preserve">, este </w:t>
      </w:r>
      <w:proofErr w:type="spellStart"/>
      <w:r w:rsidR="00057BF4" w:rsidRPr="00057BF4">
        <w:rPr>
          <w:i/>
          <w:iCs/>
        </w:rPr>
        <w:t>bhikkhu</w:t>
      </w:r>
      <w:proofErr w:type="spellEnd"/>
      <w:r>
        <w:t xml:space="preserve"> sab</w:t>
      </w:r>
      <w:r w:rsidR="00C834CF">
        <w:t>rá</w:t>
      </w:r>
      <w:r>
        <w:t xml:space="preserve"> </w:t>
      </w:r>
      <w:r w:rsidR="00C81D55">
        <w:t xml:space="preserve">que </w:t>
      </w:r>
      <w:r>
        <w:t>“inhalo, exhalo, larg</w:t>
      </w:r>
      <w:r w:rsidR="00C834CF">
        <w:t>amente</w:t>
      </w:r>
      <w:r>
        <w:t>” mientras inhal</w:t>
      </w:r>
      <w:r w:rsidR="00C81D55">
        <w:t>e</w:t>
      </w:r>
      <w:r>
        <w:t xml:space="preserve"> y exhal</w:t>
      </w:r>
      <w:r w:rsidR="00C81D55">
        <w:t>e</w:t>
      </w:r>
      <w:r>
        <w:t xml:space="preserve"> largamente de nueve maneras. Y el desarrollo del fundamento de la atención plena consiste</w:t>
      </w:r>
      <w:r w:rsidR="001A3294">
        <w:t>nte</w:t>
      </w:r>
      <w:r>
        <w:t xml:space="preserve"> </w:t>
      </w:r>
      <w:r w:rsidR="001A3294">
        <w:t>de</w:t>
      </w:r>
      <w:r>
        <w:t xml:space="preserve"> la contemplación del cuerpo debe entenderse perfeccionado en un aspecto en aquel que cono</w:t>
      </w:r>
      <w:r w:rsidR="000F79AD">
        <w:t>zca</w:t>
      </w:r>
      <w:r>
        <w:t xml:space="preserve"> así, según se dice en el </w:t>
      </w:r>
      <w:proofErr w:type="spellStart"/>
      <w:r w:rsidRPr="000B3CE0">
        <w:rPr>
          <w:i/>
          <w:iCs/>
        </w:rPr>
        <w:t>Paṭisambhidā</w:t>
      </w:r>
      <w:proofErr w:type="spellEnd"/>
      <w:r>
        <w:t>:</w:t>
      </w:r>
    </w:p>
    <w:p w14:paraId="52191164" w14:textId="2FA51959" w:rsidR="003A01E4" w:rsidRDefault="003A01E4" w:rsidP="003A01E4">
      <w:pPr>
        <w:pStyle w:val="Piedepgina"/>
        <w:rPr>
          <w:u w:val="single"/>
        </w:rPr>
      </w:pPr>
      <w:r>
        <w:rPr>
          <w:u w:val="single"/>
        </w:rPr>
        <w:t xml:space="preserve">                                                                                                                                                                         .</w:t>
      </w:r>
    </w:p>
    <w:p w14:paraId="3B5FFACB" w14:textId="6AB0022D" w:rsidR="0042438D" w:rsidRDefault="00E70AFF" w:rsidP="003A01E4">
      <w:pPr>
        <w:pStyle w:val="PiedepginaLegal"/>
      </w:pPr>
      <w:r>
        <w:t xml:space="preserve">45. </w:t>
      </w:r>
      <w:r w:rsidR="003A01E4">
        <w:tab/>
      </w:r>
      <w:r>
        <w:t>“‘Considerados como partículas’: como un número de grupos (</w:t>
      </w:r>
      <w:proofErr w:type="spellStart"/>
      <w:r w:rsidRPr="000B3CE0">
        <w:rPr>
          <w:i/>
          <w:iCs/>
        </w:rPr>
        <w:t>kalāpa</w:t>
      </w:r>
      <w:proofErr w:type="spellEnd"/>
      <w:r>
        <w:t>)” (</w:t>
      </w:r>
      <w:proofErr w:type="spellStart"/>
      <w:r>
        <w:t>Vism-mhṭ</w:t>
      </w:r>
      <w:proofErr w:type="spellEnd"/>
      <w:r>
        <w:t xml:space="preserve"> 259). Esta concepción de la ocurrencia de </w:t>
      </w:r>
      <w:r w:rsidR="00B2571E">
        <w:t xml:space="preserve">las </w:t>
      </w:r>
      <w:r>
        <w:t>respiraciones se basa en la teoría del movimiento como “</w:t>
      </w:r>
      <w:r w:rsidR="00B2571E">
        <w:t>surgimientos</w:t>
      </w:r>
      <w:r>
        <w:t xml:space="preserve"> sucesiv</w:t>
      </w:r>
      <w:r w:rsidR="00AD302F">
        <w:t>o</w:t>
      </w:r>
      <w:r>
        <w:t>s en lugares adyacentes” (</w:t>
      </w:r>
      <w:proofErr w:type="spellStart"/>
      <w:r w:rsidRPr="000B3CE0">
        <w:rPr>
          <w:i/>
          <w:iCs/>
        </w:rPr>
        <w:t>desantaruppatti</w:t>
      </w:r>
      <w:proofErr w:type="spellEnd"/>
      <w:r>
        <w:t>); véase la nota 54 a continuación. Para “grupos” ver XX.2f.</w:t>
      </w:r>
    </w:p>
    <w:p w14:paraId="7876571A" w14:textId="77777777" w:rsidR="0042438D" w:rsidRDefault="0042438D">
      <w:pPr>
        <w:tabs>
          <w:tab w:val="clear" w:pos="425"/>
        </w:tabs>
        <w:spacing w:after="160"/>
        <w:rPr>
          <w:color w:val="000000" w:themeColor="text1"/>
          <w:spacing w:val="10"/>
          <w:sz w:val="14"/>
        </w:rPr>
      </w:pPr>
      <w:r>
        <w:br w:type="page"/>
      </w:r>
    </w:p>
    <w:p w14:paraId="095723D9" w14:textId="6A2C1FEC" w:rsidR="00714B77" w:rsidRDefault="001B7B5E" w:rsidP="0042438D">
      <w:r>
        <w:lastRenderedPageBreak/>
        <w:br/>
      </w:r>
    </w:p>
    <w:p w14:paraId="7250514F" w14:textId="15FF0CBB" w:rsidR="001B7B5E" w:rsidRDefault="001B7B5E" w:rsidP="001B7B5E">
      <w:r>
        <w:t>168.</w:t>
      </w:r>
      <w:r>
        <w:tab/>
        <w:t xml:space="preserve"> “¿Cómo</w:t>
      </w:r>
      <w:r w:rsidR="00B266F9" w:rsidRPr="00B266F9">
        <w:t xml:space="preserve"> </w:t>
      </w:r>
      <w:r w:rsidR="00B266F9">
        <w:t xml:space="preserve">sabe </w:t>
      </w:r>
      <w:r w:rsidR="002E4CE0">
        <w:t xml:space="preserve">él </w:t>
      </w:r>
      <w:r w:rsidR="00376C52">
        <w:t>cuando</w:t>
      </w:r>
      <w:r>
        <w:t xml:space="preserve"> </w:t>
      </w:r>
      <w:r w:rsidR="00864A14">
        <w:t>inhala</w:t>
      </w:r>
      <w:r>
        <w:t xml:space="preserve"> largamente: 'Inhalo largamente', </w:t>
      </w:r>
      <w:r w:rsidR="00885DBF">
        <w:t xml:space="preserve">y </w:t>
      </w:r>
      <w:r w:rsidR="00864A14">
        <w:t xml:space="preserve">cuando </w:t>
      </w:r>
      <w:r>
        <w:t>exhal</w:t>
      </w:r>
      <w:r w:rsidR="00885DBF">
        <w:t>a</w:t>
      </w:r>
      <w:r>
        <w:t xml:space="preserve"> largamente: 'Exhalo largamente?'. </w:t>
      </w:r>
      <w:r w:rsidR="000878FD" w:rsidRPr="000878FD">
        <w:t xml:space="preserve">(1) </w:t>
      </w:r>
      <w:r w:rsidR="00286AAD">
        <w:t>Él i</w:t>
      </w:r>
      <w:r w:rsidR="000878FD" w:rsidRPr="000878FD">
        <w:t>nhala</w:t>
      </w:r>
      <w:r w:rsidR="00DA1014">
        <w:t>rá</w:t>
      </w:r>
      <w:r w:rsidR="000878FD" w:rsidRPr="000878FD">
        <w:t xml:space="preserve"> una inhalación larga </w:t>
      </w:r>
      <w:r w:rsidR="002B6A85">
        <w:t>computada</w:t>
      </w:r>
      <w:r w:rsidR="002B6A85" w:rsidRPr="000878FD">
        <w:t xml:space="preserve"> </w:t>
      </w:r>
      <w:r w:rsidR="000878FD" w:rsidRPr="000878FD">
        <w:t xml:space="preserve">como </w:t>
      </w:r>
      <w:r w:rsidR="00B85176">
        <w:t xml:space="preserve">de </w:t>
      </w:r>
      <w:r w:rsidR="00EE50BE">
        <w:t xml:space="preserve">una </w:t>
      </w:r>
      <w:r w:rsidR="00417E2E">
        <w:t>longitud larga</w:t>
      </w:r>
      <w:r w:rsidR="000878FD" w:rsidRPr="000878FD">
        <w:t xml:space="preserve">. </w:t>
      </w:r>
      <w:r>
        <w:t xml:space="preserve">(2) </w:t>
      </w:r>
      <w:r w:rsidR="00885DBF">
        <w:t>Él e</w:t>
      </w:r>
      <w:r>
        <w:t>xhala</w:t>
      </w:r>
      <w:r w:rsidR="00DA1014">
        <w:t>rá</w:t>
      </w:r>
      <w:r>
        <w:t xml:space="preserve"> una exhalación </w:t>
      </w:r>
      <w:r w:rsidR="00864A14">
        <w:t xml:space="preserve">larga </w:t>
      </w:r>
      <w:r w:rsidR="002B6A85">
        <w:t>computada</w:t>
      </w:r>
      <w:r w:rsidR="0019423D" w:rsidRPr="000878FD">
        <w:t xml:space="preserve"> </w:t>
      </w:r>
      <w:r>
        <w:t xml:space="preserve">como </w:t>
      </w:r>
      <w:r w:rsidR="00B85176">
        <w:t xml:space="preserve">de </w:t>
      </w:r>
      <w:r w:rsidR="00EE50BE">
        <w:t xml:space="preserve">una </w:t>
      </w:r>
      <w:r w:rsidR="00847335">
        <w:t xml:space="preserve">longitud </w:t>
      </w:r>
      <w:r w:rsidR="002B6A85">
        <w:t>larga</w:t>
      </w:r>
      <w:r>
        <w:t xml:space="preserve">. (3) </w:t>
      </w:r>
      <w:r w:rsidR="00C93937">
        <w:t>Él i</w:t>
      </w:r>
      <w:r>
        <w:t>nhala</w:t>
      </w:r>
      <w:r w:rsidR="00DA1014">
        <w:t>rá</w:t>
      </w:r>
      <w:r>
        <w:t xml:space="preserve"> y exhala</w:t>
      </w:r>
      <w:r w:rsidR="00DA1014">
        <w:t>rá</w:t>
      </w:r>
      <w:r>
        <w:t xml:space="preserve"> inhalaciones y exhalaciones </w:t>
      </w:r>
      <w:r w:rsidR="00AE75DC">
        <w:t xml:space="preserve">largas </w:t>
      </w:r>
      <w:r w:rsidR="002B6A85">
        <w:t xml:space="preserve">computadas </w:t>
      </w:r>
      <w:r>
        <w:t xml:space="preserve">como </w:t>
      </w:r>
      <w:r w:rsidR="00B85176">
        <w:t xml:space="preserve">de </w:t>
      </w:r>
      <w:r w:rsidR="00EE50BE">
        <w:t>una</w:t>
      </w:r>
      <w:r w:rsidR="002B6A85">
        <w:t>s</w:t>
      </w:r>
      <w:r w:rsidR="00EE50BE">
        <w:t xml:space="preserve"> </w:t>
      </w:r>
      <w:r w:rsidR="002B6A85">
        <w:t>longitudes largas</w:t>
      </w:r>
      <w:r>
        <w:t>. A medida que inhal</w:t>
      </w:r>
      <w:r w:rsidR="00DA1014">
        <w:t>e</w:t>
      </w:r>
      <w:r>
        <w:t xml:space="preserve"> y exhal</w:t>
      </w:r>
      <w:r w:rsidR="00DA1014">
        <w:t>e</w:t>
      </w:r>
      <w:r>
        <w:t xml:space="preserve"> inhalaciones y exhalaciones largas </w:t>
      </w:r>
      <w:r w:rsidR="002B6A85">
        <w:t xml:space="preserve">computadas </w:t>
      </w:r>
      <w:r>
        <w:t xml:space="preserve">como </w:t>
      </w:r>
      <w:r w:rsidR="00B85176">
        <w:t xml:space="preserve">de </w:t>
      </w:r>
      <w:r w:rsidR="00C06176">
        <w:t>una</w:t>
      </w:r>
      <w:r w:rsidR="002B6A85">
        <w:t>s</w:t>
      </w:r>
      <w:r w:rsidR="00C06176">
        <w:t xml:space="preserve"> </w:t>
      </w:r>
      <w:r w:rsidR="002B6A85">
        <w:t>longitudes largas</w:t>
      </w:r>
      <w:r>
        <w:t>, surg</w:t>
      </w:r>
      <w:r w:rsidR="00DA1014">
        <w:t>irá</w:t>
      </w:r>
      <w:r>
        <w:t xml:space="preserve"> el celo.</w:t>
      </w:r>
      <w:r w:rsidR="00986444">
        <w:rPr>
          <w:vertAlign w:val="superscript"/>
        </w:rPr>
        <w:t>46</w:t>
      </w:r>
      <w:r>
        <w:t xml:space="preserve"> (4) A través del celo, él </w:t>
      </w:r>
      <w:r w:rsidR="006F2CC4">
        <w:t>inhala</w:t>
      </w:r>
      <w:r w:rsidR="00DA1014">
        <w:t>rá</w:t>
      </w:r>
      <w:r>
        <w:t xml:space="preserve"> una inhalación larga más sutil de lo que antes se </w:t>
      </w:r>
      <w:r w:rsidR="002B6A85">
        <w:t xml:space="preserve">computaba </w:t>
      </w:r>
      <w:r>
        <w:t xml:space="preserve">como </w:t>
      </w:r>
      <w:r w:rsidR="00B85176">
        <w:t xml:space="preserve">de </w:t>
      </w:r>
      <w:r>
        <w:t xml:space="preserve">una </w:t>
      </w:r>
      <w:r w:rsidR="002B6A85">
        <w:t>longitud larga</w:t>
      </w:r>
      <w:r>
        <w:t xml:space="preserve">. (5) A través del celo </w:t>
      </w:r>
      <w:r w:rsidR="0019423D">
        <w:t xml:space="preserve">él </w:t>
      </w:r>
      <w:r>
        <w:t>exhala</w:t>
      </w:r>
      <w:r w:rsidR="00DA1014">
        <w:t>rá</w:t>
      </w:r>
      <w:r>
        <w:t xml:space="preserve"> una exhalación </w:t>
      </w:r>
      <w:r w:rsidR="0019423D">
        <w:t xml:space="preserve">larga </w:t>
      </w:r>
      <w:r>
        <w:t xml:space="preserve">más sutil de lo que antes se </w:t>
      </w:r>
      <w:r w:rsidR="002B6A85">
        <w:t xml:space="preserve">computaba </w:t>
      </w:r>
      <w:r>
        <w:t xml:space="preserve">como </w:t>
      </w:r>
      <w:r w:rsidR="00B85176">
        <w:t xml:space="preserve">de </w:t>
      </w:r>
      <w:r>
        <w:t xml:space="preserve">una </w:t>
      </w:r>
      <w:r w:rsidR="002B6A85">
        <w:t>longitud larga</w:t>
      </w:r>
      <w:r>
        <w:t>. (6) A través del celo él inhala</w:t>
      </w:r>
      <w:r w:rsidR="00DA1014">
        <w:t>rá</w:t>
      </w:r>
      <w:r>
        <w:t xml:space="preserve"> y exhala</w:t>
      </w:r>
      <w:r w:rsidR="00DA1014">
        <w:t>rá</w:t>
      </w:r>
      <w:r>
        <w:t xml:space="preserve"> inhalaciones y exhalaciones </w:t>
      </w:r>
      <w:r w:rsidR="0019423D">
        <w:t xml:space="preserve">largas </w:t>
      </w:r>
      <w:r>
        <w:t xml:space="preserve">más sutiles de lo que antes se </w:t>
      </w:r>
      <w:r w:rsidR="002B6A85">
        <w:t xml:space="preserve">computaban </w:t>
      </w:r>
      <w:r>
        <w:t xml:space="preserve">como </w:t>
      </w:r>
      <w:r w:rsidR="00B85176">
        <w:t xml:space="preserve">de </w:t>
      </w:r>
      <w:r>
        <w:t>una</w:t>
      </w:r>
      <w:r w:rsidR="002B6A85">
        <w:t>s</w:t>
      </w:r>
      <w:r>
        <w:t xml:space="preserve"> </w:t>
      </w:r>
      <w:r w:rsidR="002B6A85">
        <w:t>longitudes largas</w:t>
      </w:r>
      <w:r>
        <w:t xml:space="preserve">. A medida que, a través del celo, </w:t>
      </w:r>
      <w:r w:rsidR="00DA1014">
        <w:t xml:space="preserve">él </w:t>
      </w:r>
      <w:r>
        <w:t>inhal</w:t>
      </w:r>
      <w:r w:rsidR="00B85176">
        <w:t>e</w:t>
      </w:r>
      <w:r>
        <w:t xml:space="preserve"> y exhal</w:t>
      </w:r>
      <w:r w:rsidR="00B85176">
        <w:t>e</w:t>
      </w:r>
      <w:r>
        <w:t xml:space="preserve"> inhalaciones y exhalaciones </w:t>
      </w:r>
      <w:r w:rsidR="0019423D">
        <w:t xml:space="preserve">largas </w:t>
      </w:r>
      <w:r>
        <w:t xml:space="preserve">más sutiles de lo que antes se </w:t>
      </w:r>
      <w:r w:rsidR="002B6A85">
        <w:t xml:space="preserve">computaban </w:t>
      </w:r>
      <w:r>
        <w:t xml:space="preserve">como </w:t>
      </w:r>
      <w:r w:rsidR="00B85176">
        <w:t xml:space="preserve">de </w:t>
      </w:r>
      <w:r>
        <w:t>una</w:t>
      </w:r>
      <w:r w:rsidR="002B6A85">
        <w:t>s</w:t>
      </w:r>
      <w:r>
        <w:t xml:space="preserve"> </w:t>
      </w:r>
      <w:r w:rsidR="002B6A85">
        <w:t>longitudes largas</w:t>
      </w:r>
      <w:r>
        <w:t>, surg</w:t>
      </w:r>
      <w:r w:rsidR="00B85176">
        <w:t>irá</w:t>
      </w:r>
      <w:r>
        <w:t xml:space="preserve"> la alegría. [273] (7) A través de la alegría </w:t>
      </w:r>
      <w:r w:rsidR="0019423D">
        <w:t xml:space="preserve">él </w:t>
      </w:r>
      <w:r w:rsidR="00F16334">
        <w:t>inhala</w:t>
      </w:r>
      <w:r w:rsidR="00B85176">
        <w:t>rá</w:t>
      </w:r>
      <w:r>
        <w:t xml:space="preserve"> una inhalación larga más sutil de lo que antes se </w:t>
      </w:r>
      <w:r w:rsidR="002B6A85">
        <w:t xml:space="preserve">computaba </w:t>
      </w:r>
      <w:r>
        <w:t xml:space="preserve">como </w:t>
      </w:r>
      <w:r w:rsidR="00B85176">
        <w:t xml:space="preserve">de </w:t>
      </w:r>
      <w:r>
        <w:t xml:space="preserve">una </w:t>
      </w:r>
      <w:r w:rsidR="002B6A85">
        <w:t>longitud larga</w:t>
      </w:r>
      <w:r>
        <w:t xml:space="preserve">. (8) A través de la alegría </w:t>
      </w:r>
      <w:r w:rsidR="0019423D">
        <w:t xml:space="preserve">él </w:t>
      </w:r>
      <w:r>
        <w:t>exhala</w:t>
      </w:r>
      <w:r w:rsidR="00B85176">
        <w:t>rá</w:t>
      </w:r>
      <w:r>
        <w:t xml:space="preserve"> una exhalación </w:t>
      </w:r>
      <w:r w:rsidR="000D5584">
        <w:t xml:space="preserve">larga </w:t>
      </w:r>
      <w:r>
        <w:t xml:space="preserve">más sutil </w:t>
      </w:r>
      <w:r w:rsidR="000D5584">
        <w:t xml:space="preserve">de lo </w:t>
      </w:r>
      <w:r>
        <w:t xml:space="preserve">que antes </w:t>
      </w:r>
      <w:r w:rsidR="000D5584">
        <w:t xml:space="preserve">se </w:t>
      </w:r>
      <w:r w:rsidR="002B6A85">
        <w:t xml:space="preserve">computaba </w:t>
      </w:r>
      <w:r>
        <w:t xml:space="preserve">como </w:t>
      </w:r>
      <w:r w:rsidR="00B85176">
        <w:t xml:space="preserve">de </w:t>
      </w:r>
      <w:r>
        <w:t xml:space="preserve">una </w:t>
      </w:r>
      <w:r w:rsidR="002B6A85">
        <w:t>longitud larga</w:t>
      </w:r>
      <w:r>
        <w:t>. (9) A través de la alegría, él inhala</w:t>
      </w:r>
      <w:r w:rsidR="00B85176">
        <w:t>rá</w:t>
      </w:r>
      <w:r>
        <w:t xml:space="preserve"> y exhala</w:t>
      </w:r>
      <w:r w:rsidR="00B85176">
        <w:t>rá</w:t>
      </w:r>
      <w:r>
        <w:t xml:space="preserve"> inhalaciones y exhalaciones </w:t>
      </w:r>
      <w:r w:rsidR="0019423D">
        <w:t xml:space="preserve">largas </w:t>
      </w:r>
      <w:r>
        <w:t xml:space="preserve">más sutiles de lo que antes se </w:t>
      </w:r>
      <w:r w:rsidR="002B6A85">
        <w:t xml:space="preserve">computaban </w:t>
      </w:r>
      <w:r>
        <w:t xml:space="preserve">como </w:t>
      </w:r>
      <w:r w:rsidR="00B85176">
        <w:t xml:space="preserve">de </w:t>
      </w:r>
      <w:r>
        <w:t>una</w:t>
      </w:r>
      <w:r w:rsidR="002B6A85">
        <w:t>s</w:t>
      </w:r>
      <w:r>
        <w:t xml:space="preserve"> </w:t>
      </w:r>
      <w:r w:rsidR="002B6A85">
        <w:t>longitudes largas</w:t>
      </w:r>
      <w:r>
        <w:t xml:space="preserve">. A medida que, a través de la alegría, </w:t>
      </w:r>
      <w:r w:rsidR="0019423D">
        <w:t xml:space="preserve">él </w:t>
      </w:r>
      <w:r>
        <w:t>inhal</w:t>
      </w:r>
      <w:r w:rsidR="0006325C">
        <w:t>e</w:t>
      </w:r>
      <w:r>
        <w:t xml:space="preserve"> y exhal</w:t>
      </w:r>
      <w:r w:rsidR="0006325C">
        <w:t>e</w:t>
      </w:r>
      <w:r>
        <w:t xml:space="preserve"> largas inhalaciones y exhalaciones más sutiles de lo que antes se </w:t>
      </w:r>
      <w:r w:rsidR="002B6A85">
        <w:t xml:space="preserve">computaban </w:t>
      </w:r>
      <w:r>
        <w:t xml:space="preserve">como </w:t>
      </w:r>
      <w:r w:rsidR="00DA1014">
        <w:t xml:space="preserve">de </w:t>
      </w:r>
      <w:r>
        <w:t>una</w:t>
      </w:r>
      <w:r w:rsidR="002B6A85">
        <w:t>s</w:t>
      </w:r>
      <w:r>
        <w:t xml:space="preserve"> </w:t>
      </w:r>
      <w:r w:rsidR="002B6A85">
        <w:t>longitudes largas</w:t>
      </w:r>
      <w:r>
        <w:t>, su mente se aparta</w:t>
      </w:r>
      <w:r w:rsidR="00D25450">
        <w:t>rá</w:t>
      </w:r>
      <w:r>
        <w:t xml:space="preserve"> de las inhalaciones y exhalaciones </w:t>
      </w:r>
      <w:r w:rsidR="0019423D">
        <w:t xml:space="preserve">largas </w:t>
      </w:r>
      <w:r>
        <w:t>y se establece</w:t>
      </w:r>
      <w:r w:rsidR="00D25450">
        <w:t>rá</w:t>
      </w:r>
      <w:r>
        <w:t xml:space="preserve"> la ecuanimidad.</w:t>
      </w:r>
    </w:p>
    <w:p w14:paraId="0E4C2C87" w14:textId="4053E169" w:rsidR="001B7B5E" w:rsidRDefault="001B7B5E" w:rsidP="001B7B5E">
      <w:pPr>
        <w:pStyle w:val="NormalConSangria"/>
      </w:pPr>
      <w:r>
        <w:t xml:space="preserve">“Las inhalaciones y exhalaciones largas en estas nueve formas </w:t>
      </w:r>
      <w:r w:rsidR="009D5D94">
        <w:t>conforman</w:t>
      </w:r>
      <w:r>
        <w:t xml:space="preserve"> un </w:t>
      </w:r>
      <w:r w:rsidR="004873D1">
        <w:t>cuerpo</w:t>
      </w:r>
      <w:r>
        <w:t>. El establecimiento (fundamento)</w:t>
      </w:r>
      <w:r w:rsidR="00100AAF">
        <w:rPr>
          <w:vertAlign w:val="superscript"/>
        </w:rPr>
        <w:t>47</w:t>
      </w:r>
      <w:r>
        <w:t xml:space="preserve"> es la atención plena. La contemplación es </w:t>
      </w:r>
      <w:r w:rsidR="00BC6BA6">
        <w:t xml:space="preserve">el </w:t>
      </w:r>
      <w:r>
        <w:t>conocimiento.</w:t>
      </w:r>
    </w:p>
    <w:p w14:paraId="1B54EF04" w14:textId="77777777" w:rsidR="001B7B5E" w:rsidRDefault="001B7B5E" w:rsidP="001B7B5E">
      <w:pPr>
        <w:pStyle w:val="PiedepginaLegal"/>
      </w:pPr>
    </w:p>
    <w:p w14:paraId="7A9AA895" w14:textId="77777777" w:rsidR="001B7B5E" w:rsidRDefault="001B7B5E" w:rsidP="001B7B5E">
      <w:pPr>
        <w:pStyle w:val="Piedepgina"/>
        <w:rPr>
          <w:u w:val="single"/>
        </w:rPr>
      </w:pPr>
      <w:r>
        <w:rPr>
          <w:u w:val="single"/>
        </w:rPr>
        <w:t xml:space="preserve">                                                                                                                                                                         .</w:t>
      </w:r>
    </w:p>
    <w:p w14:paraId="6760B1BD" w14:textId="08C154D2" w:rsidR="001B7B5E" w:rsidRDefault="001B7B5E" w:rsidP="00BC6BA6">
      <w:pPr>
        <w:pStyle w:val="PiedepginaLegal"/>
        <w:tabs>
          <w:tab w:val="clear" w:pos="6804"/>
        </w:tabs>
        <w:ind w:right="476"/>
      </w:pPr>
      <w:r w:rsidRPr="006A751F">
        <w:t>46</w:t>
      </w:r>
      <w:r>
        <w:t xml:space="preserve">. </w:t>
      </w:r>
      <w:r>
        <w:tab/>
        <w:t xml:space="preserve">​​“‘Surge el celo’: el celo adicional, que es provechoso y tiene la característica del deseo de actuar, surge debido a la satisfacción obtenida cuando la meditación ha traído una mejora progresiva. ‘Más sutil que antes’: más sutil que el celo </w:t>
      </w:r>
      <w:r w:rsidR="00482457">
        <w:t xml:space="preserve">surgido antes </w:t>
      </w:r>
      <w:r>
        <w:t>ya descrito; porque las respiraciones ocurr</w:t>
      </w:r>
      <w:r w:rsidR="00482457">
        <w:t>irá</w:t>
      </w:r>
      <w:r>
        <w:t>n más sutilmente debido a la influencia de la meditación para calmar la angustia y la perturbación del cuerpo. 'Surg</w:t>
      </w:r>
      <w:r w:rsidR="00482457">
        <w:t>irá</w:t>
      </w:r>
      <w:r>
        <w:t xml:space="preserve"> la alegría': surg</w:t>
      </w:r>
      <w:r w:rsidR="00482457">
        <w:t>irá</w:t>
      </w:r>
      <w:r>
        <w:t xml:space="preserve"> una nueva felicidad de las clasificadas como menores, etc., que es la alegría que acompaña a la con</w:t>
      </w:r>
      <w:r w:rsidR="00482457">
        <w:t>s</w:t>
      </w:r>
      <w:r>
        <w:t xml:space="preserve">ciencia ocupada en la meditación y se debe al hecho de que la paz del objeto aumenta con la sutileza creciente de las respiraciones. y al hecho de que el </w:t>
      </w:r>
      <w:r w:rsidR="00482457">
        <w:t xml:space="preserve">objeto </w:t>
      </w:r>
      <w:r>
        <w:t>de meditación sig</w:t>
      </w:r>
      <w:r w:rsidR="00482457">
        <w:t>a</w:t>
      </w:r>
      <w:r>
        <w:t xml:space="preserve"> su curso. ‘La mente se aparta</w:t>
      </w:r>
      <w:r w:rsidR="00941DDA">
        <w:t>rá</w:t>
      </w:r>
      <w:r>
        <w:t>’: la mente se aparta</w:t>
      </w:r>
      <w:r w:rsidR="00941DDA">
        <w:t>rá</w:t>
      </w:r>
      <w:r>
        <w:t xml:space="preserve"> de las respiraciones, que ha</w:t>
      </w:r>
      <w:r w:rsidR="00941DDA">
        <w:t>ya</w:t>
      </w:r>
      <w:r>
        <w:t>n llegado al punto en el que su manifestación necesita</w:t>
      </w:r>
      <w:r w:rsidR="00941DDA">
        <w:t>rá</w:t>
      </w:r>
      <w:r>
        <w:t xml:space="preserve"> ser investigada (ver §177) debido a su sutileza gradualmente creciente. Pero algunos dicen (ver </w:t>
      </w:r>
      <w:proofErr w:type="spellStart"/>
      <w:r w:rsidRPr="000B3CE0">
        <w:rPr>
          <w:i/>
          <w:iCs/>
        </w:rPr>
        <w:t>Paṭis</w:t>
      </w:r>
      <w:proofErr w:type="spellEnd"/>
      <w:r>
        <w:t>-a Ce, p. 351): ‘</w:t>
      </w:r>
      <w:r w:rsidR="00941DDA">
        <w:t xml:space="preserve">Será </w:t>
      </w:r>
      <w:r>
        <w:t>cuando la inhalaci</w:t>
      </w:r>
      <w:r w:rsidR="00941DDA">
        <w:t>ó</w:t>
      </w:r>
      <w:r>
        <w:t>n y exhalaci</w:t>
      </w:r>
      <w:r w:rsidR="00941DDA">
        <w:t>ón</w:t>
      </w:r>
      <w:r>
        <w:t xml:space="preserve"> ha</w:t>
      </w:r>
      <w:r w:rsidR="00941DDA">
        <w:t>ya</w:t>
      </w:r>
      <w:r>
        <w:t xml:space="preserve">n alcanzado un estado más sutil debido a la influencia de la meditación y </w:t>
      </w:r>
      <w:r w:rsidR="00482457">
        <w:t>a</w:t>
      </w:r>
      <w:r>
        <w:t>l signo contraparte; porque cuando e</w:t>
      </w:r>
      <w:r w:rsidR="00482457">
        <w:t>ll</w:t>
      </w:r>
      <w:r>
        <w:t>o ha</w:t>
      </w:r>
      <w:r w:rsidR="00482457">
        <w:t>ya</w:t>
      </w:r>
      <w:r>
        <w:t xml:space="preserve"> surgido, la mente se aparta</w:t>
      </w:r>
      <w:r w:rsidR="00482457">
        <w:t>rá</w:t>
      </w:r>
      <w:r>
        <w:t xml:space="preserve"> de las respiraciones normales.' 'Se establece</w:t>
      </w:r>
      <w:r w:rsidR="00482457">
        <w:t>rá</w:t>
      </w:r>
      <w:r>
        <w:t xml:space="preserve"> la ecuanimidad': cuando la concentración, clasificada como acceso y absorción, ha</w:t>
      </w:r>
      <w:r w:rsidR="00482457">
        <w:t>ya</w:t>
      </w:r>
      <w:r>
        <w:t xml:space="preserve"> surgido en ese signo equivalente, entonces, dado que no ha</w:t>
      </w:r>
      <w:r w:rsidR="00482457">
        <w:t>brá</w:t>
      </w:r>
      <w:r>
        <w:t xml:space="preserve"> necesidad de más interés para lograr </w:t>
      </w:r>
      <w:r w:rsidR="00482457">
        <w:t xml:space="preserve">el </w:t>
      </w:r>
      <w:proofErr w:type="spellStart"/>
      <w:r w:rsidR="00057BF4" w:rsidRPr="00057BF4">
        <w:rPr>
          <w:i/>
          <w:iCs/>
        </w:rPr>
        <w:t>jhāna</w:t>
      </w:r>
      <w:proofErr w:type="spellEnd"/>
      <w:r>
        <w:t>, se produc</w:t>
      </w:r>
      <w:r w:rsidR="00F2743E">
        <w:t>irá</w:t>
      </w:r>
      <w:r>
        <w:t xml:space="preserve"> la observación (ecuanimidad), </w:t>
      </w:r>
      <w:r w:rsidR="00015EEA">
        <w:t xml:space="preserve">lo cual </w:t>
      </w:r>
      <w:r w:rsidR="006D681D">
        <w:t>corre</w:t>
      </w:r>
      <w:r w:rsidR="0085079E">
        <w:t>s</w:t>
      </w:r>
      <w:r w:rsidR="006D681D">
        <w:t xml:space="preserve">ponde </w:t>
      </w:r>
      <w:r w:rsidR="0085079E">
        <w:t>a la</w:t>
      </w:r>
      <w:r w:rsidR="00015EEA">
        <w:t xml:space="preserve"> </w:t>
      </w:r>
      <w:r>
        <w:t>neutralidad específica” (</w:t>
      </w:r>
      <w:proofErr w:type="spellStart"/>
      <w:r>
        <w:t>Vism-mhṭ</w:t>
      </w:r>
      <w:proofErr w:type="spellEnd"/>
      <w:r>
        <w:t xml:space="preserve"> 260).</w:t>
      </w:r>
    </w:p>
    <w:p w14:paraId="6733E4D3" w14:textId="277F8017" w:rsidR="001B7B5E" w:rsidRDefault="001B7B5E" w:rsidP="00BC6BA6">
      <w:pPr>
        <w:pStyle w:val="PiedepginaLegal"/>
        <w:tabs>
          <w:tab w:val="clear" w:pos="6804"/>
        </w:tabs>
        <w:ind w:right="476"/>
      </w:pPr>
      <w:r>
        <w:t>47.</w:t>
      </w:r>
      <w:r>
        <w:tab/>
        <w:t xml:space="preserve"> “‘En estas nueve formas’: e</w:t>
      </w:r>
      <w:r w:rsidR="0085079E">
        <w:t>ll</w:t>
      </w:r>
      <w:r>
        <w:t>o ocurr</w:t>
      </w:r>
      <w:r w:rsidR="0085079E">
        <w:t>irá</w:t>
      </w:r>
      <w:r>
        <w:t xml:space="preserve"> en las nueve formas recién descritas. </w:t>
      </w:r>
      <w:r w:rsidR="0085079E">
        <w:t xml:space="preserve">‘La inhalación y exhalación </w:t>
      </w:r>
      <w:r>
        <w:t xml:space="preserve">largas son un cuerpo': </w:t>
      </w:r>
      <w:r w:rsidR="008A664F">
        <w:t>la inhalación y exhalación</w:t>
      </w:r>
      <w:r>
        <w:t xml:space="preserve">, que existen como partículas aunque </w:t>
      </w:r>
      <w:r w:rsidR="008A664F">
        <w:t xml:space="preserve">tengan </w:t>
      </w:r>
      <w:r>
        <w:t xml:space="preserve">el aspecto de longitud, constituyen un 'cuerpo' en el sentido de una masa. Y aquí </w:t>
      </w:r>
      <w:r w:rsidR="00AA4F24">
        <w:t>a</w:t>
      </w:r>
      <w:r>
        <w:t>l signo que sur</w:t>
      </w:r>
      <w:r w:rsidR="008A664F">
        <w:t>ja</w:t>
      </w:r>
      <w:r>
        <w:t xml:space="preserve"> con las respiraciones como su </w:t>
      </w:r>
      <w:r w:rsidR="008A664F">
        <w:t xml:space="preserve">soporte </w:t>
      </w:r>
      <w:r>
        <w:t xml:space="preserve">también se </w:t>
      </w:r>
      <w:r w:rsidR="008A664F">
        <w:t xml:space="preserve">les </w:t>
      </w:r>
      <w:r>
        <w:t>llama</w:t>
      </w:r>
      <w:r w:rsidR="008A664F">
        <w:t>rá</w:t>
      </w:r>
      <w:r>
        <w:t xml:space="preserve"> 'inhalación y exhalación' (cf. p. ej. §206) 'El establecimiento (fundamento) </w:t>
      </w:r>
      <w:r w:rsidR="008A664F">
        <w:t xml:space="preserve">será la </w:t>
      </w:r>
      <w:r>
        <w:t xml:space="preserve">atención plena': </w:t>
      </w:r>
      <w:r w:rsidR="008A664F">
        <w:t xml:space="preserve">a </w:t>
      </w:r>
      <w:r>
        <w:t xml:space="preserve">la atención plena se </w:t>
      </w:r>
      <w:r w:rsidR="00AA4F24">
        <w:t xml:space="preserve">le </w:t>
      </w:r>
      <w:r>
        <w:t>llama</w:t>
      </w:r>
      <w:r w:rsidR="008A664F">
        <w:t>rá</w:t>
      </w:r>
      <w:r>
        <w:t xml:space="preserve"> 'establecimiento (fundamento) —(</w:t>
      </w:r>
      <w:proofErr w:type="spellStart"/>
      <w:r w:rsidRPr="000B3CE0">
        <w:rPr>
          <w:i/>
          <w:iCs/>
        </w:rPr>
        <w:t>upa</w:t>
      </w:r>
      <w:r w:rsidR="000B3CE0" w:rsidRPr="000B3CE0">
        <w:rPr>
          <w:i/>
          <w:iCs/>
        </w:rPr>
        <w:t>ṭṭ</w:t>
      </w:r>
      <w:r w:rsidRPr="000B3CE0">
        <w:rPr>
          <w:i/>
          <w:iCs/>
        </w:rPr>
        <w:t>hāna</w:t>
      </w:r>
      <w:proofErr w:type="spellEnd"/>
      <w:r>
        <w:t>)' ya que se acerca</w:t>
      </w:r>
      <w:r w:rsidR="00630DCA">
        <w:t>rá</w:t>
      </w:r>
      <w:r>
        <w:t xml:space="preserve"> (</w:t>
      </w:r>
      <w:proofErr w:type="spellStart"/>
      <w:r w:rsidRPr="000B3CE0">
        <w:rPr>
          <w:i/>
          <w:iCs/>
        </w:rPr>
        <w:t>upagantvā</w:t>
      </w:r>
      <w:proofErr w:type="spellEnd"/>
      <w:r>
        <w:t>) al objeto y permanece</w:t>
      </w:r>
      <w:r w:rsidR="00630DCA">
        <w:t>rá</w:t>
      </w:r>
      <w:r>
        <w:t xml:space="preserve"> (</w:t>
      </w:r>
      <w:proofErr w:type="spellStart"/>
      <w:r w:rsidRPr="000B3CE0">
        <w:rPr>
          <w:i/>
          <w:iCs/>
        </w:rPr>
        <w:t>tiṭṭhati</w:t>
      </w:r>
      <w:proofErr w:type="spellEnd"/>
      <w:r>
        <w:t xml:space="preserve">) allí. ‘La contemplación </w:t>
      </w:r>
      <w:r w:rsidR="00630DCA">
        <w:t xml:space="preserve">será </w:t>
      </w:r>
      <w:r w:rsidR="00AA4F24">
        <w:t xml:space="preserve">el </w:t>
      </w:r>
    </w:p>
    <w:p w14:paraId="0F8F620F" w14:textId="77777777" w:rsidR="001B7B5E" w:rsidRDefault="001B7B5E">
      <w:pPr>
        <w:tabs>
          <w:tab w:val="clear" w:pos="425"/>
        </w:tabs>
        <w:spacing w:after="160"/>
        <w:rPr>
          <w:color w:val="000000" w:themeColor="text1"/>
          <w:spacing w:val="10"/>
          <w:sz w:val="14"/>
        </w:rPr>
      </w:pPr>
      <w:r>
        <w:br w:type="page"/>
      </w:r>
    </w:p>
    <w:p w14:paraId="01D61BB6" w14:textId="4AB45274" w:rsidR="0042438D" w:rsidRDefault="0042438D" w:rsidP="001B7B5E"/>
    <w:p w14:paraId="4B45BF8F" w14:textId="0681C21B" w:rsidR="00DD0941" w:rsidRDefault="00DD0941" w:rsidP="00DD0941">
      <w:r>
        <w:t xml:space="preserve">El </w:t>
      </w:r>
      <w:r w:rsidR="004873D1">
        <w:t xml:space="preserve">cuerpo’ </w:t>
      </w:r>
      <w:r>
        <w:t xml:space="preserve">es el establecimiento (fundamento), pero no es la atención plena. La atención plena es tanto el establecimiento (la base) como la atención plena. Por medio de esa atención plena y ese conocimiento </w:t>
      </w:r>
      <w:r w:rsidR="00325B71">
        <w:t xml:space="preserve">se </w:t>
      </w:r>
      <w:r>
        <w:t xml:space="preserve">contempla ese </w:t>
      </w:r>
      <w:r w:rsidR="004873D1">
        <w:t>cuerpo</w:t>
      </w:r>
      <w:r>
        <w:t xml:space="preserve">. Por eso </w:t>
      </w:r>
      <w:r w:rsidR="00CD5A4D">
        <w:t xml:space="preserve">que </w:t>
      </w:r>
      <w:r>
        <w:t xml:space="preserve">se dice </w:t>
      </w:r>
      <w:r w:rsidR="00CD5A4D">
        <w:t xml:space="preserve">de él como </w:t>
      </w:r>
      <w:r>
        <w:t>‘</w:t>
      </w:r>
      <w:r w:rsidR="00CD5A4D">
        <w:t xml:space="preserve">el </w:t>
      </w:r>
      <w:r>
        <w:t>desarrollo del fundamento (establecimiento) de la atención plena consiste</w:t>
      </w:r>
      <w:r w:rsidR="00765F1B">
        <w:t>nte</w:t>
      </w:r>
      <w:r>
        <w:t xml:space="preserve"> </w:t>
      </w:r>
      <w:r w:rsidR="00765F1B">
        <w:t>de</w:t>
      </w:r>
      <w:r>
        <w:t xml:space="preserve"> la contemplación del cuerpo como cuerpo’ (ver D II 290)” (</w:t>
      </w:r>
      <w:proofErr w:type="spellStart"/>
      <w:r w:rsidRPr="000B3CE0">
        <w:rPr>
          <w:i/>
          <w:iCs/>
        </w:rPr>
        <w:t>Paṭis</w:t>
      </w:r>
      <w:proofErr w:type="spellEnd"/>
      <w:r>
        <w:t xml:space="preserve"> I 177).</w:t>
      </w:r>
    </w:p>
    <w:p w14:paraId="4DD2A47E" w14:textId="30EA3107" w:rsidR="00DD0941" w:rsidRDefault="00DD0941" w:rsidP="00DD0941">
      <w:r>
        <w:t xml:space="preserve">169. </w:t>
      </w:r>
      <w:r w:rsidR="00325B71">
        <w:tab/>
      </w:r>
      <w:r>
        <w:t>(</w:t>
      </w:r>
      <w:proofErr w:type="spellStart"/>
      <w:r>
        <w:t>ii</w:t>
      </w:r>
      <w:proofErr w:type="spellEnd"/>
      <w:r>
        <w:t xml:space="preserve">) El mismo método de explicación se aplica también en el caso de respiraciones cortas. Pero existe esta diferencia. Mientras que en el primer caso se dice “una inhalación larga </w:t>
      </w:r>
      <w:r w:rsidR="002F70CF">
        <w:t xml:space="preserve">computada </w:t>
      </w:r>
      <w:r>
        <w:t xml:space="preserve">como una </w:t>
      </w:r>
      <w:r w:rsidR="002F70CF">
        <w:t>longitud larga</w:t>
      </w:r>
      <w:r>
        <w:t xml:space="preserve">”, aquí </w:t>
      </w:r>
      <w:r w:rsidR="00791A42">
        <w:t xml:space="preserve">se dirá </w:t>
      </w:r>
      <w:r>
        <w:t xml:space="preserve">“una inhalación corta </w:t>
      </w:r>
      <w:r w:rsidR="002F70CF">
        <w:t xml:space="preserve">computada </w:t>
      </w:r>
      <w:r>
        <w:t xml:space="preserve">como </w:t>
      </w:r>
      <w:r w:rsidR="002F70CF" w:rsidRPr="002F70CF">
        <w:t>una longitud corta</w:t>
      </w:r>
      <w:r w:rsidR="00230AC1">
        <w:t xml:space="preserve"> [de duración]” (</w:t>
      </w:r>
      <w:proofErr w:type="spellStart"/>
      <w:r w:rsidR="00230AC1" w:rsidRPr="000B3CE0">
        <w:rPr>
          <w:i/>
          <w:iCs/>
        </w:rPr>
        <w:t>Paṭis</w:t>
      </w:r>
      <w:proofErr w:type="spellEnd"/>
      <w:r w:rsidR="00230AC1">
        <w:t xml:space="preserve"> I 182).</w:t>
      </w:r>
    </w:p>
    <w:p w14:paraId="4044F9BA" w14:textId="77777777" w:rsidR="00DD0941" w:rsidRDefault="00DD0941" w:rsidP="00DD0941">
      <w:pPr>
        <w:pStyle w:val="Piedepgina"/>
        <w:rPr>
          <w:u w:val="single"/>
        </w:rPr>
      </w:pPr>
      <w:r>
        <w:rPr>
          <w:u w:val="single"/>
        </w:rPr>
        <w:t xml:space="preserve">                                                                                                                                                                         .</w:t>
      </w:r>
    </w:p>
    <w:p w14:paraId="4EE2BFB0" w14:textId="77777777" w:rsidR="00DD0941" w:rsidRDefault="00DD0941" w:rsidP="00DD0941">
      <w:pPr>
        <w:pStyle w:val="PiedepginaLegal"/>
      </w:pPr>
      <w:r>
        <w:t xml:space="preserve">… </w:t>
      </w:r>
    </w:p>
    <w:p w14:paraId="27EF08A9" w14:textId="2B8A9B73" w:rsidR="00DD0941" w:rsidRDefault="00DD0941" w:rsidP="00D25450">
      <w:pPr>
        <w:pStyle w:val="PiedepginaLegal"/>
        <w:tabs>
          <w:tab w:val="clear" w:pos="6804"/>
        </w:tabs>
        <w:ind w:right="476"/>
      </w:pPr>
      <w:r>
        <w:tab/>
      </w:r>
      <w:r w:rsidR="00AA4F24">
        <w:t xml:space="preserve">conocimiento’: la </w:t>
      </w:r>
      <w:r w:rsidR="00630DCA">
        <w:t xml:space="preserve">contemplación </w:t>
      </w:r>
      <w:r>
        <w:t xml:space="preserve">del signo por medio de la serenidad, y la contemplación de la mentalidad-materialidad definiendo con </w:t>
      </w:r>
      <w:r w:rsidR="00630DCA">
        <w:t>sabiduría la inhalación</w:t>
      </w:r>
      <w:r w:rsidR="006A71B8">
        <w:t>,</w:t>
      </w:r>
      <w:r w:rsidR="00630DCA">
        <w:t xml:space="preserve"> exhalación </w:t>
      </w:r>
      <w:r>
        <w:t>y el cuerpo, que es su soporte, como materialidad, y la con</w:t>
      </w:r>
      <w:r w:rsidR="00630DCA">
        <w:t>s</w:t>
      </w:r>
      <w:r>
        <w:t>ciencia y los estados asociados con ella como l</w:t>
      </w:r>
      <w:r w:rsidR="00630DCA">
        <w:t>o</w:t>
      </w:r>
      <w:r>
        <w:t xml:space="preserve"> inmaterial (mentalidad), </w:t>
      </w:r>
      <w:r w:rsidR="00AA4F24">
        <w:t>serán</w:t>
      </w:r>
      <w:r>
        <w:t xml:space="preserve"> el conocimiento, en otras palabras, la con</w:t>
      </w:r>
      <w:r w:rsidR="00630DCA">
        <w:t>s</w:t>
      </w:r>
      <w:r>
        <w:t>ciencia de lo que est</w:t>
      </w:r>
      <w:r w:rsidR="00762504">
        <w:t>é</w:t>
      </w:r>
      <w:r>
        <w:t xml:space="preserve"> realmente allí (</w:t>
      </w:r>
      <w:r w:rsidR="00630DCA">
        <w:t xml:space="preserve">que </w:t>
      </w:r>
      <w:r>
        <w:t>se ha</w:t>
      </w:r>
      <w:r w:rsidR="00762504">
        <w:t>ya</w:t>
      </w:r>
      <w:r>
        <w:t xml:space="preserve"> convertido en </w:t>
      </w:r>
      <w:r w:rsidR="00630DCA">
        <w:t xml:space="preserve">la </w:t>
      </w:r>
      <w:r>
        <w:t xml:space="preserve">realidad). 'El cuerpo es el establecimiento (fundamento)': existe ese cuerpo, y la atención se acerca a él haciéndolo su objeto y </w:t>
      </w:r>
      <w:r w:rsidR="00720519">
        <w:t>habita</w:t>
      </w:r>
      <w:r>
        <w:t xml:space="preserve"> allí, por lo que se </w:t>
      </w:r>
      <w:r w:rsidR="00E0413B">
        <w:t xml:space="preserve">le </w:t>
      </w:r>
      <w:r>
        <w:t>llama</w:t>
      </w:r>
      <w:r w:rsidR="00E0413B">
        <w:t>rá</w:t>
      </w:r>
      <w:r>
        <w:t xml:space="preserve"> 'establecimiento'. Y las palabras 'el cuerpo es el establecimiento' </w:t>
      </w:r>
      <w:r w:rsidR="00720519">
        <w:t xml:space="preserve">también </w:t>
      </w:r>
      <w:r>
        <w:t>incluyen el otro tipo de cuerpo (</w:t>
      </w:r>
      <w:r w:rsidR="00E0413B">
        <w:t xml:space="preserve">el </w:t>
      </w:r>
      <w:r>
        <w:t>mental), ya que aquí también se necesita</w:t>
      </w:r>
      <w:r w:rsidR="00E0413B">
        <w:t>rá</w:t>
      </w:r>
      <w:r>
        <w:t xml:space="preserve"> la comprensión antes mencionada por medio de la </w:t>
      </w:r>
      <w:r w:rsidR="006A183F" w:rsidRPr="00527EA6">
        <w:t>sabid</w:t>
      </w:r>
      <w:r w:rsidR="006A183F">
        <w:t>uría–revelativa</w:t>
      </w:r>
      <w:r>
        <w:t xml:space="preserve">. 'Pero no es la atención plena': </w:t>
      </w:r>
      <w:r w:rsidR="00720519">
        <w:t xml:space="preserve">a </w:t>
      </w:r>
      <w:r>
        <w:t xml:space="preserve">ese cuerpo no se </w:t>
      </w:r>
      <w:r w:rsidR="00720519">
        <w:t xml:space="preserve">le </w:t>
      </w:r>
      <w:r>
        <w:t xml:space="preserve">llama 'atención plena' [aunque se </w:t>
      </w:r>
      <w:r w:rsidR="005C714C">
        <w:t xml:space="preserve">le </w:t>
      </w:r>
      <w:r>
        <w:t>llam</w:t>
      </w:r>
      <w:r w:rsidR="005C714C">
        <w:t>e</w:t>
      </w:r>
      <w:r>
        <w:t xml:space="preserve"> 'el establecimiento']. ‘La atención plena es tanto el establecimiento (</w:t>
      </w:r>
      <w:r w:rsidR="00140E8B">
        <w:t xml:space="preserve">el </w:t>
      </w:r>
      <w:r>
        <w:t>fundamento) como la atención plena’, siendo así tanto en el sentido de recordar (</w:t>
      </w:r>
      <w:proofErr w:type="spellStart"/>
      <w:r w:rsidRPr="000B3CE0">
        <w:rPr>
          <w:i/>
          <w:iCs/>
        </w:rPr>
        <w:t>sarana</w:t>
      </w:r>
      <w:proofErr w:type="spellEnd"/>
      <w:r>
        <w:t>) como en el de establecer (</w:t>
      </w:r>
      <w:proofErr w:type="spellStart"/>
      <w:r w:rsidRPr="000B3CE0">
        <w:rPr>
          <w:i/>
          <w:iCs/>
        </w:rPr>
        <w:t>upatiṭṭhana</w:t>
      </w:r>
      <w:proofErr w:type="spellEnd"/>
      <w:r>
        <w:t>). ‘Por medio de esa atención plena’: por medio de esa atención plena ya mencionada. ‘Y ese conocimiento’: y el conocimiento ya mencionado. 'Ese cuerpo': ese cuerpo de inhalación y exhalación y ese cuerpo material que es su soporte. ‘Él contempla (</w:t>
      </w:r>
      <w:proofErr w:type="spellStart"/>
      <w:r w:rsidRPr="000B3CE0">
        <w:rPr>
          <w:i/>
          <w:iCs/>
        </w:rPr>
        <w:t>anupassati</w:t>
      </w:r>
      <w:proofErr w:type="spellEnd"/>
      <w:r>
        <w:t xml:space="preserve">)’: </w:t>
      </w:r>
      <w:r w:rsidR="00950624">
        <w:t>se mantiene recurrentemente observando</w:t>
      </w:r>
      <w:r>
        <w:t xml:space="preserve"> (</w:t>
      </w:r>
      <w:proofErr w:type="spellStart"/>
      <w:r w:rsidRPr="000B3CE0">
        <w:rPr>
          <w:i/>
          <w:iCs/>
        </w:rPr>
        <w:t>anu</w:t>
      </w:r>
      <w:proofErr w:type="spellEnd"/>
      <w:r w:rsidRPr="000B3CE0">
        <w:rPr>
          <w:i/>
          <w:iCs/>
        </w:rPr>
        <w:t xml:space="preserve"> </w:t>
      </w:r>
      <w:proofErr w:type="spellStart"/>
      <w:r w:rsidRPr="000B3CE0">
        <w:rPr>
          <w:i/>
          <w:iCs/>
        </w:rPr>
        <w:t>anu</w:t>
      </w:r>
      <w:proofErr w:type="spellEnd"/>
      <w:r w:rsidRPr="000B3CE0">
        <w:rPr>
          <w:i/>
          <w:iCs/>
        </w:rPr>
        <w:t xml:space="preserve"> </w:t>
      </w:r>
      <w:proofErr w:type="spellStart"/>
      <w:r w:rsidRPr="000B3CE0">
        <w:rPr>
          <w:i/>
          <w:iCs/>
        </w:rPr>
        <w:t>passati</w:t>
      </w:r>
      <w:proofErr w:type="spellEnd"/>
      <w:r>
        <w:t xml:space="preserve">) con conocimiento </w:t>
      </w:r>
      <w:proofErr w:type="spellStart"/>
      <w:r w:rsidR="00057BF4" w:rsidRPr="00057BF4">
        <w:rPr>
          <w:i/>
          <w:iCs/>
        </w:rPr>
        <w:t>jhāna</w:t>
      </w:r>
      <w:proofErr w:type="spellEnd"/>
      <w:r>
        <w:t xml:space="preserve"> y con conocimiento profundo. 'Por eso se dice 'Desarrollo del fundamento (establecimiento) de la atención plena consiste</w:t>
      </w:r>
      <w:r w:rsidR="00432F55">
        <w:t>nte</w:t>
      </w:r>
      <w:r>
        <w:t xml:space="preserve"> </w:t>
      </w:r>
      <w:r w:rsidR="00432F55">
        <w:t>de</w:t>
      </w:r>
      <w:r>
        <w:t xml:space="preserve"> la contemplación del cuerpo como cuerpo': en virtud de esa contemplación se dice que es </w:t>
      </w:r>
      <w:r w:rsidR="00432F55">
        <w:t xml:space="preserve">el </w:t>
      </w:r>
      <w:r>
        <w:t>desarrollo del fundamento (establecimiento) de la atención plena consiste</w:t>
      </w:r>
      <w:r w:rsidR="00432F55">
        <w:t>nte</w:t>
      </w:r>
      <w:r>
        <w:t xml:space="preserve"> </w:t>
      </w:r>
      <w:r w:rsidR="00432F55">
        <w:t>de</w:t>
      </w:r>
      <w:r>
        <w:t xml:space="preserve"> la contemplación del cuerpo como un cuerpo del tipo ya </w:t>
      </w:r>
      <w:r w:rsidR="00CB7EAA">
        <w:t>descrito</w:t>
      </w:r>
      <w:r>
        <w:t xml:space="preserve">. Lo que se quiere decir es esto: la contemplación del cuerpo como un cuerpo de inhalación y exhalación </w:t>
      </w:r>
      <w:r w:rsidR="00432F55">
        <w:t xml:space="preserve">tal </w:t>
      </w:r>
      <w:r>
        <w:t xml:space="preserve">como se dijo y del cuerpo físico que es su soporte [material], que no es la contemplación de la permanencia, etc., en un cuerpo cuya esencia individual es impermanente, etc., como la contemplación de un espejismo sin agua como agua, pero que es más bien la contemplación de su esencia como impermanente, dolorosa, ajena y </w:t>
      </w:r>
      <w:r w:rsidR="00375DFE">
        <w:t>repugnante</w:t>
      </w:r>
      <w:r>
        <w:t xml:space="preserve">, según sea apropiado, o alternativamente, que es la contemplación de él como un mero cuerpo solamente, al no contemplarlo como si contuviera algo que pudiera ser aprehendido como </w:t>
      </w:r>
      <w:r w:rsidR="00375DFE">
        <w:t xml:space="preserve">un </w:t>
      </w:r>
      <w:r>
        <w:t xml:space="preserve">'yo' o </w:t>
      </w:r>
      <w:r w:rsidR="00375DFE">
        <w:t xml:space="preserve">un </w:t>
      </w:r>
      <w:r>
        <w:t xml:space="preserve">​​'mío' o </w:t>
      </w:r>
      <w:r w:rsidR="00375DFE">
        <w:t xml:space="preserve">una </w:t>
      </w:r>
      <w:r>
        <w:t xml:space="preserve">'mujer' u 'hombre', todo esto </w:t>
      </w:r>
      <w:r w:rsidR="00375DFE">
        <w:t xml:space="preserve">corresponde a la </w:t>
      </w:r>
      <w:r>
        <w:t xml:space="preserve"> 'contemplación del cuerpo'</w:t>
      </w:r>
      <w:r w:rsidR="00F677CF">
        <w:t>,</w:t>
      </w:r>
      <w:r>
        <w:t xml:space="preserve"> con esa contemplación del cuerpo, cuya atención plena es en sí misma el establecimiento, es el 'establecimiento'. El desarrollo, el </w:t>
      </w:r>
      <w:r w:rsidR="00375DFE">
        <w:t>incremento</w:t>
      </w:r>
      <w:r>
        <w:t xml:space="preserve">, de eso </w:t>
      </w:r>
      <w:r w:rsidR="00017CD9">
        <w:t>se trata</w:t>
      </w:r>
      <w:r>
        <w:t xml:space="preserve"> el 'desarrollo del fundamento (establecimiento) de la atención plena consiste</w:t>
      </w:r>
      <w:r w:rsidR="00017CD9">
        <w:t>nte</w:t>
      </w:r>
      <w:r>
        <w:t xml:space="preserve"> </w:t>
      </w:r>
      <w:r w:rsidR="00017CD9">
        <w:t>de</w:t>
      </w:r>
      <w:r>
        <w:t xml:space="preserve"> la contemplación del cuerpo'”. </w:t>
      </w:r>
      <w:proofErr w:type="spellStart"/>
      <w:r>
        <w:t>Vism-mhṭ</w:t>
      </w:r>
      <w:proofErr w:type="spellEnd"/>
      <w:r>
        <w:t xml:space="preserve"> 261)</w:t>
      </w:r>
    </w:p>
    <w:p w14:paraId="3DBB7261" w14:textId="14BC8ABB" w:rsidR="00DD0941" w:rsidRDefault="00DD0941" w:rsidP="00D25450">
      <w:pPr>
        <w:pStyle w:val="PiedepginaLegal"/>
        <w:tabs>
          <w:tab w:val="clear" w:pos="6804"/>
        </w:tabs>
        <w:ind w:right="476"/>
      </w:pPr>
      <w:r>
        <w:tab/>
      </w:r>
      <w:r>
        <w:tab/>
        <w:t xml:space="preserve">El </w:t>
      </w:r>
      <w:proofErr w:type="spellStart"/>
      <w:r w:rsidRPr="000B3CE0">
        <w:rPr>
          <w:i/>
          <w:iCs/>
        </w:rPr>
        <w:t>Paṭisambhidā</w:t>
      </w:r>
      <w:proofErr w:type="spellEnd"/>
      <w:r>
        <w:t xml:space="preserve"> deriva el compuesto </w:t>
      </w:r>
      <w:proofErr w:type="spellStart"/>
      <w:r w:rsidR="000B3CE0" w:rsidRPr="000B3CE0">
        <w:rPr>
          <w:i/>
          <w:iCs/>
        </w:rPr>
        <w:t>satipaṭṭhāna</w:t>
      </w:r>
      <w:proofErr w:type="spellEnd"/>
      <w:r w:rsidR="000B3CE0">
        <w:t xml:space="preserve"> </w:t>
      </w:r>
      <w:r>
        <w:t xml:space="preserve">de </w:t>
      </w:r>
      <w:proofErr w:type="spellStart"/>
      <w:r w:rsidRPr="000B3CE0">
        <w:rPr>
          <w:i/>
          <w:iCs/>
        </w:rPr>
        <w:t>sati</w:t>
      </w:r>
      <w:proofErr w:type="spellEnd"/>
      <w:r>
        <w:t xml:space="preserve"> (atención plena) y </w:t>
      </w:r>
      <w:proofErr w:type="spellStart"/>
      <w:r w:rsidRPr="000B3CE0">
        <w:rPr>
          <w:i/>
          <w:iCs/>
        </w:rPr>
        <w:t>upaṭṭhāna</w:t>
      </w:r>
      <w:proofErr w:type="spellEnd"/>
      <w:r>
        <w:t xml:space="preserve"> (establecimiento—</w:t>
      </w:r>
      <w:proofErr w:type="spellStart"/>
      <w:r w:rsidRPr="00017CD9">
        <w:rPr>
          <w:i/>
          <w:iCs/>
        </w:rPr>
        <w:t>Paṭis</w:t>
      </w:r>
      <w:proofErr w:type="spellEnd"/>
      <w:r>
        <w:t xml:space="preserve"> I 182), pero en los Comentarios se prefiere la resolución </w:t>
      </w:r>
      <w:r w:rsidR="00482038">
        <w:t>de</w:t>
      </w:r>
      <w:r>
        <w:t xml:space="preserve"> </w:t>
      </w:r>
      <w:proofErr w:type="spellStart"/>
      <w:r w:rsidRPr="000B3CE0">
        <w:rPr>
          <w:i/>
          <w:iCs/>
        </w:rPr>
        <w:t>sati</w:t>
      </w:r>
      <w:proofErr w:type="spellEnd"/>
      <w:r>
        <w:t xml:space="preserve"> y </w:t>
      </w:r>
      <w:proofErr w:type="spellStart"/>
      <w:r w:rsidRPr="000B3CE0">
        <w:rPr>
          <w:i/>
          <w:iCs/>
        </w:rPr>
        <w:t>paṭṭhāna</w:t>
      </w:r>
      <w:proofErr w:type="spellEnd"/>
      <w:r>
        <w:t xml:space="preserve"> (</w:t>
      </w:r>
      <w:r w:rsidRPr="000B3CE0">
        <w:rPr>
          <w:i/>
          <w:iCs/>
        </w:rPr>
        <w:t>fundamento</w:t>
      </w:r>
      <w:r>
        <w:t xml:space="preserve">). (M-a I 237-38) En el </w:t>
      </w:r>
      <w:r w:rsidRPr="00AA4F24">
        <w:rPr>
          <w:i/>
          <w:iCs/>
        </w:rPr>
        <w:t>Sutta</w:t>
      </w:r>
      <w:r>
        <w:t xml:space="preserve"> 118 del </w:t>
      </w:r>
      <w:proofErr w:type="spellStart"/>
      <w:r w:rsidRPr="000B3CE0">
        <w:rPr>
          <w:i/>
          <w:iCs/>
        </w:rPr>
        <w:t>Majjhima</w:t>
      </w:r>
      <w:proofErr w:type="spellEnd"/>
      <w:r>
        <w:t xml:space="preserve"> </w:t>
      </w:r>
      <w:r w:rsidRPr="000B3CE0">
        <w:rPr>
          <w:i/>
          <w:iCs/>
        </w:rPr>
        <w:t>Nikāya</w:t>
      </w:r>
      <w:r>
        <w:t xml:space="preserve">, la primera tétrada se denomina desarrollo del primer fundamento de la atención plena, o contemplación del cuerpo. (MN 10; DN 22) El objeto del pasaje </w:t>
      </w:r>
      <w:proofErr w:type="spellStart"/>
      <w:r w:rsidRPr="000B3CE0">
        <w:rPr>
          <w:i/>
          <w:iCs/>
        </w:rPr>
        <w:t>Paṭisambhidā</w:t>
      </w:r>
      <w:proofErr w:type="spellEnd"/>
      <w:r>
        <w:t xml:space="preserve"> citado es demostrar esto.</w:t>
      </w:r>
    </w:p>
    <w:p w14:paraId="30D47D80" w14:textId="62DF5637" w:rsidR="00EE0C8C" w:rsidRDefault="00EE0C8C">
      <w:pPr>
        <w:tabs>
          <w:tab w:val="clear" w:pos="425"/>
        </w:tabs>
        <w:spacing w:after="160"/>
        <w:rPr>
          <w:color w:val="000000" w:themeColor="text1"/>
          <w:spacing w:val="10"/>
          <w:sz w:val="14"/>
        </w:rPr>
      </w:pPr>
      <w:r>
        <w:br w:type="page"/>
      </w:r>
    </w:p>
    <w:p w14:paraId="2CFB5718" w14:textId="77777777" w:rsidR="00EE0C8C" w:rsidRDefault="00EE0C8C" w:rsidP="00CC085F"/>
    <w:p w14:paraId="30E37937" w14:textId="5F102833" w:rsidR="00CC085F" w:rsidRDefault="00CC085F" w:rsidP="00CC085F">
      <w:r>
        <w:t>Por lo tanto, debe interpretarse como "</w:t>
      </w:r>
      <w:r w:rsidR="0073674A">
        <w:t>corta</w:t>
      </w:r>
      <w:r>
        <w:t>" en cuanto a la frase "Por eso se dice 'desarrollo del fundamento (establecimiento) de la atención plena consiste</w:t>
      </w:r>
      <w:r w:rsidR="00941F8F">
        <w:t>nte</w:t>
      </w:r>
      <w:r>
        <w:t xml:space="preserve"> </w:t>
      </w:r>
      <w:r w:rsidR="00941F8F">
        <w:t>de</w:t>
      </w:r>
      <w:r>
        <w:t xml:space="preserve"> la contemplación del cuerpo como cuerpo'" (</w:t>
      </w:r>
      <w:proofErr w:type="spellStart"/>
      <w:r w:rsidRPr="000B3CE0">
        <w:rPr>
          <w:i/>
          <w:iCs/>
        </w:rPr>
        <w:t>Paṭis</w:t>
      </w:r>
      <w:proofErr w:type="spellEnd"/>
      <w:r>
        <w:t xml:space="preserve"> I 183).</w:t>
      </w:r>
    </w:p>
    <w:p w14:paraId="21AE0554" w14:textId="3FC55B85" w:rsidR="00CC085F" w:rsidRDefault="00CC085F" w:rsidP="00CC085F">
      <w:r>
        <w:t xml:space="preserve">170. </w:t>
      </w:r>
      <w:r>
        <w:tab/>
        <w:t xml:space="preserve">Entonces, debe entenderse que es cuando este </w:t>
      </w:r>
      <w:proofErr w:type="spellStart"/>
      <w:r w:rsidR="00057BF4" w:rsidRPr="00057BF4">
        <w:rPr>
          <w:i/>
          <w:iCs/>
        </w:rPr>
        <w:t>bhikkhu</w:t>
      </w:r>
      <w:proofErr w:type="spellEnd"/>
      <w:r>
        <w:t xml:space="preserve"> cono</w:t>
      </w:r>
      <w:r w:rsidR="00FF34D0">
        <w:t>zca</w:t>
      </w:r>
      <w:r>
        <w:t xml:space="preserve"> la inhalaci</w:t>
      </w:r>
      <w:r w:rsidR="006E00B8">
        <w:t>ó</w:t>
      </w:r>
      <w:r>
        <w:t>n y exhalaci</w:t>
      </w:r>
      <w:r w:rsidR="006E00B8">
        <w:t>ó</w:t>
      </w:r>
      <w:r>
        <w:t xml:space="preserve">n de estas nueve formas como “una </w:t>
      </w:r>
      <w:r w:rsidR="00FF34D0">
        <w:t xml:space="preserve">longitud larga </w:t>
      </w:r>
      <w:r>
        <w:t>[</w:t>
      </w:r>
      <w:r w:rsidR="006E00B8">
        <w:t>en duración</w:t>
      </w:r>
      <w:r>
        <w:t xml:space="preserve">]” y como “una </w:t>
      </w:r>
      <w:r w:rsidR="00FF34D0">
        <w:t>longitud corta [</w:t>
      </w:r>
      <w:r w:rsidR="006E00B8">
        <w:t>en</w:t>
      </w:r>
      <w:r w:rsidR="00FF34D0">
        <w:t xml:space="preserve"> duración]</w:t>
      </w:r>
      <w:r>
        <w:t xml:space="preserve">” </w:t>
      </w:r>
      <w:r w:rsidR="00D951A9">
        <w:t xml:space="preserve">cuando </w:t>
      </w:r>
      <w:proofErr w:type="spellStart"/>
      <w:r w:rsidR="00D951A9">
        <w:t>el</w:t>
      </w:r>
      <w:proofErr w:type="spellEnd"/>
      <w:r w:rsidR="00D951A9">
        <w:t xml:space="preserve"> diga </w:t>
      </w:r>
      <w:r>
        <w:t xml:space="preserve">“inhalando </w:t>
      </w:r>
      <w:r w:rsidR="00A53A41">
        <w:t>largamente</w:t>
      </w:r>
      <w:r>
        <w:t xml:space="preserve">, él </w:t>
      </w:r>
      <w:r w:rsidR="00A53A41">
        <w:t xml:space="preserve">es consciente </w:t>
      </w:r>
      <w:r>
        <w:t xml:space="preserve">'Inhalo largamente'; ... exhalando brevemente, </w:t>
      </w:r>
      <w:r w:rsidR="00FF34D0">
        <w:t xml:space="preserve">él </w:t>
      </w:r>
      <w:r w:rsidR="00A53A41">
        <w:t xml:space="preserve">es consciente </w:t>
      </w:r>
      <w:r>
        <w:t>'Exhalo brevemente'</w:t>
      </w:r>
      <w:r w:rsidR="006A3EAB">
        <w:t>”</w:t>
      </w:r>
      <w:r>
        <w:t xml:space="preserve">. Y cuando él </w:t>
      </w:r>
      <w:r w:rsidR="00486733">
        <w:t xml:space="preserve">sea consciente </w:t>
      </w:r>
      <w:r>
        <w:t>así:</w:t>
      </w:r>
    </w:p>
    <w:p w14:paraId="2C0F32E5" w14:textId="77777777" w:rsidR="00CC085F" w:rsidRDefault="00CC085F" w:rsidP="00CC085F">
      <w:pPr>
        <w:pStyle w:val="VersoIngls01Sangria"/>
      </w:pPr>
      <w:r>
        <w:t>“El tipo largo y el corto también,</w:t>
      </w:r>
    </w:p>
    <w:p w14:paraId="5E204AB0" w14:textId="77777777" w:rsidR="00CC085F" w:rsidRDefault="00CC085F" w:rsidP="00CC085F">
      <w:pPr>
        <w:pStyle w:val="VersoIngls01Sangria"/>
      </w:pPr>
      <w:r>
        <w:t>La inhalación y la exhalación también,</w:t>
      </w:r>
    </w:p>
    <w:p w14:paraId="17DE376E" w14:textId="247048AA" w:rsidR="00CC085F" w:rsidRDefault="00CC085F" w:rsidP="00CC085F">
      <w:pPr>
        <w:pStyle w:val="VersoIngls01Sangria"/>
      </w:pPr>
      <w:r>
        <w:t xml:space="preserve">Tales son, pues, las cuatro clases </w:t>
      </w:r>
      <w:r w:rsidR="00486733">
        <w:t>ocurrentes</w:t>
      </w:r>
      <w:r w:rsidR="0070539D" w:rsidRPr="0070539D">
        <w:t xml:space="preserve"> </w:t>
      </w:r>
      <w:r w:rsidR="0070539D">
        <w:t>aquí</w:t>
      </w:r>
    </w:p>
    <w:p w14:paraId="4301233E" w14:textId="6E14DD0B" w:rsidR="00CC085F" w:rsidRDefault="00CC085F" w:rsidP="00CC085F">
      <w:pPr>
        <w:pStyle w:val="VersoIngls01Sangria"/>
        <w:spacing w:after="100"/>
        <w:ind w:left="1418"/>
      </w:pPr>
      <w:r>
        <w:t xml:space="preserve">En la punta de la nariz del </w:t>
      </w:r>
      <w:proofErr w:type="spellStart"/>
      <w:r w:rsidR="00057BF4" w:rsidRPr="00057BF4">
        <w:rPr>
          <w:i/>
          <w:iCs/>
        </w:rPr>
        <w:t>bhikkhu</w:t>
      </w:r>
      <w:proofErr w:type="spellEnd"/>
      <w:r>
        <w:t>”.</w:t>
      </w:r>
    </w:p>
    <w:p w14:paraId="1DB1E8C7" w14:textId="7E4124FD" w:rsidR="00CC085F" w:rsidRDefault="00CC085F" w:rsidP="00CC085F">
      <w:r>
        <w:t xml:space="preserve">171. </w:t>
      </w:r>
      <w:r>
        <w:tab/>
        <w:t>(</w:t>
      </w:r>
      <w:proofErr w:type="spellStart"/>
      <w:r>
        <w:t>iii</w:t>
      </w:r>
      <w:proofErr w:type="spellEnd"/>
      <w:r>
        <w:t xml:space="preserve">) </w:t>
      </w:r>
      <w:r w:rsidRPr="000B3CE0">
        <w:rPr>
          <w:i/>
          <w:iCs/>
        </w:rPr>
        <w:t xml:space="preserve">Él </w:t>
      </w:r>
      <w:r w:rsidR="00151469">
        <w:rPr>
          <w:i/>
          <w:iCs/>
        </w:rPr>
        <w:t xml:space="preserve">se </w:t>
      </w:r>
      <w:r w:rsidRPr="000B3CE0">
        <w:rPr>
          <w:i/>
          <w:iCs/>
        </w:rPr>
        <w:t>entrena así: “Debo inhalar… Debo exhalar experimentando todo el cuerpo</w:t>
      </w:r>
      <w:r>
        <w:t xml:space="preserve">”: él </w:t>
      </w:r>
      <w:r w:rsidR="00040D5C">
        <w:t xml:space="preserve">se </w:t>
      </w:r>
      <w:r>
        <w:t xml:space="preserve">entrena así: “Debo inhalar </w:t>
      </w:r>
      <w:r w:rsidR="003A33F9">
        <w:t>consciente</w:t>
      </w:r>
      <w:r>
        <w:t xml:space="preserve">, </w:t>
      </w:r>
      <w:r w:rsidR="00E241F1">
        <w:t>identificando</w:t>
      </w:r>
      <w:r>
        <w:t>, el principio, el medio y el final</w:t>
      </w:r>
      <w:r w:rsidRPr="0027770F">
        <w:rPr>
          <w:vertAlign w:val="superscript"/>
        </w:rPr>
        <w:t>48</w:t>
      </w:r>
      <w:r>
        <w:t xml:space="preserve"> de la totalidad </w:t>
      </w:r>
      <w:r w:rsidR="00195319">
        <w:t>de</w:t>
      </w:r>
      <w:r>
        <w:t xml:space="preserve"> </w:t>
      </w:r>
      <w:r w:rsidR="00E241F1">
        <w:t xml:space="preserve">la </w:t>
      </w:r>
      <w:r w:rsidR="00195319">
        <w:t>inhalación</w:t>
      </w:r>
      <w:r w:rsidR="00E241F1">
        <w:t xml:space="preserve"> </w:t>
      </w:r>
      <w:r w:rsidR="00040D5C">
        <w:t>d</w:t>
      </w:r>
      <w:r w:rsidR="00E241F1">
        <w:t>el</w:t>
      </w:r>
      <w:r>
        <w:t xml:space="preserve"> cuerpo. Exhalaré </w:t>
      </w:r>
      <w:r w:rsidR="00D033F3">
        <w:t>siendo consciente</w:t>
      </w:r>
      <w:r>
        <w:t xml:space="preserve">, </w:t>
      </w:r>
      <w:r w:rsidR="00E241F1">
        <w:t>identificando</w:t>
      </w:r>
      <w:r>
        <w:t xml:space="preserve">, el principio, el medio y el final de </w:t>
      </w:r>
      <w:r w:rsidR="00195319">
        <w:t xml:space="preserve">la totalidad </w:t>
      </w:r>
      <w:r w:rsidR="00D033F3">
        <w:t xml:space="preserve">de la </w:t>
      </w:r>
      <w:r>
        <w:t>exhalación</w:t>
      </w:r>
      <w:r w:rsidR="00195319" w:rsidRPr="00195319">
        <w:t xml:space="preserve"> </w:t>
      </w:r>
      <w:r w:rsidR="00040D5C">
        <w:t>d</w:t>
      </w:r>
      <w:r w:rsidR="00195319">
        <w:t>el cuerpo</w:t>
      </w:r>
      <w:r>
        <w:t xml:space="preserve">”. </w:t>
      </w:r>
      <w:r w:rsidR="00040D5C">
        <w:t>Conociéndolos</w:t>
      </w:r>
      <w:r>
        <w:t xml:space="preserve">, </w:t>
      </w:r>
      <w:r w:rsidR="00F23CE4">
        <w:t>identificándolos</w:t>
      </w:r>
      <w:r>
        <w:t xml:space="preserve">, de esta manera </w:t>
      </w:r>
      <w:r w:rsidR="00F23CE4">
        <w:t xml:space="preserve">inhala </w:t>
      </w:r>
      <w:r>
        <w:t>y exhala con la con</w:t>
      </w:r>
      <w:r w:rsidR="00F23CE4">
        <w:t>s</w:t>
      </w:r>
      <w:r>
        <w:t xml:space="preserve">ciencia asociada al conocimiento. Es por eso </w:t>
      </w:r>
      <w:proofErr w:type="gramStart"/>
      <w:r>
        <w:t>que</w:t>
      </w:r>
      <w:proofErr w:type="gramEnd"/>
      <w:r>
        <w:t xml:space="preserve"> se dice, “Él </w:t>
      </w:r>
      <w:r w:rsidR="00401613">
        <w:t xml:space="preserve">se </w:t>
      </w:r>
      <w:r>
        <w:t>entrena así: 'Debo inhalar... debo exhalar...'”</w:t>
      </w:r>
    </w:p>
    <w:p w14:paraId="4D3BD94F" w14:textId="46B16408" w:rsidR="00CC085F" w:rsidRDefault="00CC085F" w:rsidP="00CC085F">
      <w:r>
        <w:t xml:space="preserve">172. </w:t>
      </w:r>
      <w:r>
        <w:tab/>
        <w:t xml:space="preserve">Para un </w:t>
      </w:r>
      <w:r w:rsidR="001E0370">
        <w:t xml:space="preserve">tipo de </w:t>
      </w:r>
      <w:proofErr w:type="spellStart"/>
      <w:r w:rsidR="00057BF4" w:rsidRPr="00057BF4">
        <w:rPr>
          <w:i/>
          <w:iCs/>
        </w:rPr>
        <w:t>bhikkhu</w:t>
      </w:r>
      <w:proofErr w:type="spellEnd"/>
      <w:r>
        <w:t xml:space="preserve">, el comienzo </w:t>
      </w:r>
      <w:r w:rsidR="00DE47CC">
        <w:t xml:space="preserve">de </w:t>
      </w:r>
      <w:r>
        <w:t>l</w:t>
      </w:r>
      <w:r w:rsidR="002F21AD">
        <w:t>a</w:t>
      </w:r>
      <w:r>
        <w:t xml:space="preserve"> inhalación </w:t>
      </w:r>
      <w:r w:rsidR="002F21AD">
        <w:t xml:space="preserve">del cuerpo </w:t>
      </w:r>
      <w:r>
        <w:t xml:space="preserve">o de </w:t>
      </w:r>
      <w:r w:rsidR="00C92020">
        <w:t xml:space="preserve">la </w:t>
      </w:r>
      <w:r>
        <w:t>exhalación</w:t>
      </w:r>
      <w:r w:rsidR="00401613" w:rsidRPr="00401613">
        <w:t xml:space="preserve"> </w:t>
      </w:r>
      <w:r w:rsidR="00401613">
        <w:t>del cuerpo</w:t>
      </w:r>
      <w:r>
        <w:t xml:space="preserve">, distribuidos </w:t>
      </w:r>
      <w:r w:rsidR="002F21AD">
        <w:t>por</w:t>
      </w:r>
      <w:r>
        <w:t xml:space="preserve"> part</w:t>
      </w:r>
      <w:r w:rsidR="002F21AD">
        <w:t>e</w:t>
      </w:r>
      <w:r>
        <w:t xml:space="preserve">s, [es decir, considerados como </w:t>
      </w:r>
      <w:r w:rsidR="00C92020">
        <w:t>una secuencia</w:t>
      </w:r>
      <w:r>
        <w:t xml:space="preserve"> sucesiva (ver nota 45)] es claro, pero no el medio o el final; solo es capaz de discernir </w:t>
      </w:r>
      <w:r w:rsidR="00593477">
        <w:t xml:space="preserve">la parte inicial </w:t>
      </w:r>
      <w:r>
        <w:t xml:space="preserve">y tiene dificultad con el medio y el final. Para otro, </w:t>
      </w:r>
      <w:r w:rsidR="00DE47CC">
        <w:t xml:space="preserve">la parte intermedia </w:t>
      </w:r>
      <w:r>
        <w:t>es clar</w:t>
      </w:r>
      <w:r w:rsidR="00DE47CC">
        <w:t>a</w:t>
      </w:r>
      <w:r>
        <w:t xml:space="preserve">, </w:t>
      </w:r>
      <w:r w:rsidR="00593477">
        <w:t xml:space="preserve">pero </w:t>
      </w:r>
      <w:r>
        <w:t xml:space="preserve">no </w:t>
      </w:r>
      <w:r w:rsidR="00593477">
        <w:t xml:space="preserve">la inicial </w:t>
      </w:r>
      <w:r>
        <w:t xml:space="preserve">ni el final; solo es capaz de discernir </w:t>
      </w:r>
      <w:r w:rsidR="00593477">
        <w:t>sobre la parte intermedia pero</w:t>
      </w:r>
      <w:r>
        <w:t xml:space="preserve"> tiene dificultad con </w:t>
      </w:r>
      <w:r w:rsidR="00593477">
        <w:t xml:space="preserve">la inicial </w:t>
      </w:r>
      <w:r>
        <w:t xml:space="preserve">y el final. Para otro </w:t>
      </w:r>
      <w:r w:rsidR="00593477">
        <w:t>la parte final</w:t>
      </w:r>
      <w:r>
        <w:t xml:space="preserve"> es </w:t>
      </w:r>
      <w:r w:rsidR="00593477">
        <w:t xml:space="preserve">la </w:t>
      </w:r>
      <w:r>
        <w:t>clar</w:t>
      </w:r>
      <w:r w:rsidR="00593477">
        <w:t>a</w:t>
      </w:r>
      <w:r>
        <w:t xml:space="preserve">, no </w:t>
      </w:r>
      <w:r w:rsidR="00593477">
        <w:t xml:space="preserve">la inicial </w:t>
      </w:r>
      <w:r>
        <w:t xml:space="preserve">ni </w:t>
      </w:r>
      <w:r w:rsidR="00593477">
        <w:t>la intermedia</w:t>
      </w:r>
      <w:r>
        <w:t xml:space="preserve">; </w:t>
      </w:r>
      <w:r w:rsidR="008E6289">
        <w:t xml:space="preserve">otro </w:t>
      </w:r>
      <w:r>
        <w:t xml:space="preserve">sólo </w:t>
      </w:r>
      <w:r w:rsidR="008E6289">
        <w:t xml:space="preserve">será </w:t>
      </w:r>
      <w:r>
        <w:t xml:space="preserve">capaz de discernir </w:t>
      </w:r>
      <w:r w:rsidR="008E6289">
        <w:t xml:space="preserve">sobre la parte </w:t>
      </w:r>
      <w:r>
        <w:t xml:space="preserve">final [274] y </w:t>
      </w:r>
      <w:r w:rsidR="008E6289">
        <w:t xml:space="preserve">tendrá </w:t>
      </w:r>
      <w:r>
        <w:t xml:space="preserve">dificultad con </w:t>
      </w:r>
      <w:r w:rsidR="008E6289">
        <w:t xml:space="preserve">la inicial </w:t>
      </w:r>
      <w:r>
        <w:t xml:space="preserve">y </w:t>
      </w:r>
      <w:r w:rsidR="008E6289">
        <w:t>la intermedia</w:t>
      </w:r>
      <w:r>
        <w:t>. Para otro, todas las etapas s</w:t>
      </w:r>
      <w:r w:rsidR="008E6289">
        <w:t>erá</w:t>
      </w:r>
      <w:r>
        <w:t xml:space="preserve">n claras; </w:t>
      </w:r>
      <w:r w:rsidR="008E6289">
        <w:t xml:space="preserve">será </w:t>
      </w:r>
      <w:r>
        <w:t>capaz de discernirl</w:t>
      </w:r>
      <w:r w:rsidR="008E6289">
        <w:t>a</w:t>
      </w:r>
      <w:r>
        <w:t>s tod</w:t>
      </w:r>
      <w:r w:rsidR="008E6289">
        <w:t>a</w:t>
      </w:r>
      <w:r>
        <w:t xml:space="preserve">s y no </w:t>
      </w:r>
      <w:r w:rsidR="008E6289">
        <w:t xml:space="preserve">tendrá </w:t>
      </w:r>
      <w:r>
        <w:t>dificultad con ningun</w:t>
      </w:r>
      <w:r w:rsidR="008E6289">
        <w:t>a</w:t>
      </w:r>
      <w:r>
        <w:t xml:space="preserve"> de ellos. </w:t>
      </w:r>
      <w:r w:rsidR="00F32A78">
        <w:t xml:space="preserve">Cabe señalar </w:t>
      </w:r>
      <w:r>
        <w:t>que uno debe</w:t>
      </w:r>
      <w:r w:rsidR="00F32A78">
        <w:t>ría</w:t>
      </w:r>
      <w:r>
        <w:t xml:space="preserve"> ser como el </w:t>
      </w:r>
      <w:proofErr w:type="spellStart"/>
      <w:r w:rsidR="00057BF4" w:rsidRPr="00057BF4">
        <w:rPr>
          <w:i/>
          <w:iCs/>
        </w:rPr>
        <w:t>bhikkhu</w:t>
      </w:r>
      <w:proofErr w:type="spellEnd"/>
      <w:r>
        <w:t xml:space="preserve"> mencionado en último lugar, </w:t>
      </w:r>
      <w:r w:rsidR="00F32A78">
        <w:t>de quien se dice</w:t>
      </w:r>
      <w:r>
        <w:t xml:space="preserve">: “Él </w:t>
      </w:r>
      <w:r w:rsidR="00F32A78">
        <w:t xml:space="preserve">se </w:t>
      </w:r>
      <w:r>
        <w:t>entrena así: ‘Debo inhalar… debo exhalar experimentando todo el cuerpo’”.</w:t>
      </w:r>
    </w:p>
    <w:p w14:paraId="0C0C7C53" w14:textId="4F437690" w:rsidR="00CC085F" w:rsidRDefault="00CC085F" w:rsidP="00CC085F">
      <w:r>
        <w:t xml:space="preserve">173. </w:t>
      </w:r>
      <w:r>
        <w:tab/>
        <w:t>Aquí</w:t>
      </w:r>
      <w:r w:rsidR="000B3CE0">
        <w:t xml:space="preserve"> </w:t>
      </w:r>
      <w:r w:rsidR="000B3CE0" w:rsidRPr="000B3CE0">
        <w:rPr>
          <w:i/>
          <w:iCs/>
        </w:rPr>
        <w:t>él</w:t>
      </w:r>
      <w:r w:rsidRPr="000B3CE0">
        <w:rPr>
          <w:i/>
          <w:iCs/>
        </w:rPr>
        <w:t xml:space="preserve"> se entrena</w:t>
      </w:r>
      <w:r>
        <w:t xml:space="preserve">: se esfuerza, </w:t>
      </w:r>
      <w:r w:rsidR="00ED31B9">
        <w:t>trabaja</w:t>
      </w:r>
      <w:r>
        <w:t xml:space="preserve"> de esta manera. O bien, la restricción aquí en alguien como este </w:t>
      </w:r>
      <w:r w:rsidR="00BD2C72">
        <w:t xml:space="preserve">meditador </w:t>
      </w:r>
      <w:r>
        <w:t xml:space="preserve">es el entrenamiento </w:t>
      </w:r>
      <w:r w:rsidR="00BD2C72">
        <w:t xml:space="preserve">de </w:t>
      </w:r>
      <w:r>
        <w:t xml:space="preserve">la virtud, su </w:t>
      </w:r>
      <w:r w:rsidR="00305E12">
        <w:t>consciencia</w:t>
      </w:r>
      <w:r>
        <w:t xml:space="preserve"> se está entrenando en la </w:t>
      </w:r>
      <w:r w:rsidR="00305E12">
        <w:t>consciencia</w:t>
      </w:r>
      <w:r>
        <w:t xml:space="preserve"> superior y su </w:t>
      </w:r>
      <w:r w:rsidR="00E03B86">
        <w:t>entendimiento</w:t>
      </w:r>
      <w:r w:rsidR="00BD2C72">
        <w:t xml:space="preserve"> </w:t>
      </w:r>
      <w:r>
        <w:t xml:space="preserve">se está entrenando en </w:t>
      </w:r>
      <w:r w:rsidR="0020302B">
        <w:t xml:space="preserve">un elevado entendimiento </w:t>
      </w:r>
      <w:r>
        <w:t xml:space="preserve">(ver </w:t>
      </w:r>
      <w:proofErr w:type="spellStart"/>
      <w:r w:rsidRPr="000B3CE0">
        <w:rPr>
          <w:i/>
          <w:iCs/>
        </w:rPr>
        <w:t>Paṭis</w:t>
      </w:r>
      <w:proofErr w:type="spellEnd"/>
      <w:r>
        <w:t xml:space="preserve"> I 184). Entonces él </w:t>
      </w:r>
      <w:r w:rsidR="00BD2C72">
        <w:t xml:space="preserve">se </w:t>
      </w:r>
      <w:r>
        <w:t xml:space="preserve">entrena, repite, desarrolla, practica repetidamente, estos tres tipos de entrenamiento, </w:t>
      </w:r>
      <w:r w:rsidR="0093360D">
        <w:t xml:space="preserve">a través de este </w:t>
      </w:r>
      <w:r>
        <w:t xml:space="preserve">objeto, por medio de esa </w:t>
      </w:r>
      <w:r w:rsidR="0093360D">
        <w:t>consciencia</w:t>
      </w:r>
      <w:r>
        <w:t xml:space="preserve">, por medio de esa atención. Así es como el significado </w:t>
      </w:r>
      <w:r w:rsidR="0093360D">
        <w:t xml:space="preserve">aquí </w:t>
      </w:r>
      <w:r>
        <w:t>debe ser considerado.</w:t>
      </w:r>
    </w:p>
    <w:p w14:paraId="2F63D93A" w14:textId="77777777" w:rsidR="00CC085F" w:rsidRDefault="00CC085F" w:rsidP="00CC085F"/>
    <w:p w14:paraId="5367D54A" w14:textId="77777777" w:rsidR="00CC085F" w:rsidRDefault="00CC085F" w:rsidP="00CC085F">
      <w:pPr>
        <w:pStyle w:val="Piedepgina"/>
        <w:rPr>
          <w:u w:val="single"/>
        </w:rPr>
      </w:pPr>
      <w:r>
        <w:rPr>
          <w:u w:val="single"/>
        </w:rPr>
        <w:t xml:space="preserve">                                                                                                                                                                         .</w:t>
      </w:r>
    </w:p>
    <w:p w14:paraId="139CADE7" w14:textId="2034268C" w:rsidR="00CC085F" w:rsidRDefault="00CC085F" w:rsidP="0093360D">
      <w:pPr>
        <w:pStyle w:val="PiedepginaLegal"/>
        <w:tabs>
          <w:tab w:val="clear" w:pos="6804"/>
        </w:tabs>
        <w:ind w:right="334"/>
      </w:pPr>
      <w:r>
        <w:t xml:space="preserve">48. </w:t>
      </w:r>
      <w:r>
        <w:tab/>
        <w:t xml:space="preserve">El principio, el medio y el final se describen en §197, y la forma en que deben tratarse se da en §199–201. Lo que se quiere decir es que el meditador debe saber cuáles son </w:t>
      </w:r>
      <w:r w:rsidR="00832DF1">
        <w:t xml:space="preserve">cada una </w:t>
      </w:r>
      <w:r>
        <w:t xml:space="preserve">y ser consciente de ellas sin que su atención </w:t>
      </w:r>
      <w:r w:rsidR="00CB0506">
        <w:t xml:space="preserve">abandone </w:t>
      </w:r>
      <w:r>
        <w:t xml:space="preserve">la punta de la nariz </w:t>
      </w:r>
      <w:r w:rsidR="00CB0506">
        <w:t>y</w:t>
      </w:r>
      <w:r>
        <w:t xml:space="preserve"> seguir las respiraciones dentro o fuera del cuerpo, especulando sobre lo que suced</w:t>
      </w:r>
      <w:r w:rsidR="00CB0506">
        <w:t>a</w:t>
      </w:r>
      <w:r>
        <w:t xml:space="preserve"> </w:t>
      </w:r>
      <w:r w:rsidR="00CC7E74">
        <w:t>al respecto</w:t>
      </w:r>
      <w:r>
        <w:t>.</w:t>
      </w:r>
    </w:p>
    <w:p w14:paraId="35D744AE" w14:textId="4E0BF26C" w:rsidR="002730AC" w:rsidRPr="002C10C6" w:rsidRDefault="002730AC" w:rsidP="00714B77">
      <w:r w:rsidRPr="002C10C6">
        <w:br w:type="page"/>
      </w:r>
    </w:p>
    <w:p w14:paraId="735D3897" w14:textId="77777777" w:rsidR="004519D9" w:rsidRDefault="004519D9" w:rsidP="00DC54ED"/>
    <w:p w14:paraId="7A24E6E4" w14:textId="27538198" w:rsidR="00F9114A" w:rsidRDefault="00F9114A" w:rsidP="00F9114A">
      <w:r>
        <w:t xml:space="preserve">174. </w:t>
      </w:r>
      <w:r w:rsidR="00835C9B">
        <w:tab/>
      </w:r>
      <w:r>
        <w:t>Aquí, en la primera parte del sistema (</w:t>
      </w:r>
      <w:r w:rsidR="0093360D">
        <w:t>N0</w:t>
      </w:r>
      <w:r>
        <w:t xml:space="preserve">. i y </w:t>
      </w:r>
      <w:proofErr w:type="spellStart"/>
      <w:r>
        <w:t>ii</w:t>
      </w:r>
      <w:proofErr w:type="spellEnd"/>
      <w:r>
        <w:t>)</w:t>
      </w:r>
      <w:r w:rsidRPr="004A2807">
        <w:rPr>
          <w:vertAlign w:val="superscript"/>
        </w:rPr>
        <w:t>49</w:t>
      </w:r>
      <w:r>
        <w:t xml:space="preserve"> </w:t>
      </w:r>
      <w:r w:rsidR="00FD627E">
        <w:t xml:space="preserve">él </w:t>
      </w:r>
      <w:r>
        <w:t>sólo debe</w:t>
      </w:r>
      <w:r w:rsidR="00FD627E">
        <w:t>rá</w:t>
      </w:r>
      <w:r>
        <w:t xml:space="preserve"> inhalar y exhalar y no hacer nada más, y es solo después que debe dedicarse a despertar el conocimiento, </w:t>
      </w:r>
      <w:r w:rsidR="0093360D">
        <w:t>etc</w:t>
      </w:r>
      <w:r>
        <w:t xml:space="preserve">. En consecuencia, el tiempo presente se usa aquí en el texto, "Él </w:t>
      </w:r>
      <w:r w:rsidR="002E6DB1">
        <w:t>es consciente</w:t>
      </w:r>
      <w:r>
        <w:t xml:space="preserve">: 'Inspiro'... él </w:t>
      </w:r>
      <w:r w:rsidR="002E6DB1">
        <w:t>es consciente</w:t>
      </w:r>
      <w:r>
        <w:t>: 'Expiro'". Pero el tiempo futuro en el pasaje que comienza con "</w:t>
      </w:r>
      <w:r w:rsidR="00FD627E">
        <w:t>Inhalaré</w:t>
      </w:r>
      <w:r>
        <w:t xml:space="preserve"> experimentando todo el cuerpo" debe entenderse como </w:t>
      </w:r>
      <w:r w:rsidR="00FD627E">
        <w:t>que esto es utiliza</w:t>
      </w:r>
      <w:r>
        <w:t xml:space="preserve">do para </w:t>
      </w:r>
      <w:r w:rsidR="00FD627E">
        <w:t>exponer</w:t>
      </w:r>
      <w:r>
        <w:t xml:space="preserve"> que el aspecto de despertar el conocimiento, etc., ha de ser asumido a partir de ahí.</w:t>
      </w:r>
    </w:p>
    <w:p w14:paraId="74BAB655" w14:textId="4AA4423B" w:rsidR="00F9114A" w:rsidRDefault="00F9114A" w:rsidP="00F9114A">
      <w:r>
        <w:t xml:space="preserve">175. </w:t>
      </w:r>
      <w:r w:rsidR="00835C9B">
        <w:tab/>
      </w:r>
      <w:r>
        <w:t>(</w:t>
      </w:r>
      <w:proofErr w:type="spellStart"/>
      <w:r>
        <w:t>iv</w:t>
      </w:r>
      <w:proofErr w:type="spellEnd"/>
      <w:r>
        <w:t xml:space="preserve">) Él </w:t>
      </w:r>
      <w:r w:rsidR="00FD627E">
        <w:t xml:space="preserve">se </w:t>
      </w:r>
      <w:r>
        <w:t xml:space="preserve">entrena así: “Debo inhalar… debo exhalar tranquilizando la formación corporal”; </w:t>
      </w:r>
      <w:r w:rsidR="00EE5048">
        <w:t xml:space="preserve">él </w:t>
      </w:r>
      <w:r w:rsidR="00FD627E">
        <w:t xml:space="preserve">se </w:t>
      </w:r>
      <w:r>
        <w:t>entrena así: “</w:t>
      </w:r>
      <w:r w:rsidR="00FD627E">
        <w:t>Inhalaré</w:t>
      </w:r>
      <w:r>
        <w:t xml:space="preserve">, exhalaré tranquilizando, tranquilizando completamente, deteniendo, aquietando, la formación corporal </w:t>
      </w:r>
      <w:r w:rsidR="006D772A">
        <w:t>denso</w:t>
      </w:r>
      <w:r>
        <w:t>”.</w:t>
      </w:r>
      <w:r w:rsidRPr="004A2807">
        <w:rPr>
          <w:vertAlign w:val="superscript"/>
        </w:rPr>
        <w:t>50</w:t>
      </w:r>
    </w:p>
    <w:p w14:paraId="39F1BE4F" w14:textId="7C1C2275" w:rsidR="00F9114A" w:rsidRDefault="00F9114A" w:rsidP="00F9114A">
      <w:r>
        <w:t xml:space="preserve">176. </w:t>
      </w:r>
      <w:r w:rsidR="00835C9B">
        <w:tab/>
      </w:r>
      <w:r>
        <w:t>Y aquí debe entenderse tanto el estado denso y sutil como también l</w:t>
      </w:r>
      <w:r w:rsidR="005F74CF">
        <w:t>a</w:t>
      </w:r>
      <w:r>
        <w:t xml:space="preserve"> tranquiliza</w:t>
      </w:r>
      <w:r w:rsidR="005F74CF">
        <w:t>ción</w:t>
      </w:r>
      <w:r>
        <w:t xml:space="preserve"> [progresiv</w:t>
      </w:r>
      <w:r w:rsidR="001B276A">
        <w:t>amente</w:t>
      </w:r>
      <w:r>
        <w:t xml:space="preserve">]. </w:t>
      </w:r>
      <w:r w:rsidR="005F74CF">
        <w:t xml:space="preserve">Ya </w:t>
      </w:r>
      <w:r>
        <w:t xml:space="preserve">que previamente, en el momento en que el </w:t>
      </w:r>
      <w:proofErr w:type="spellStart"/>
      <w:r w:rsidR="00057BF4" w:rsidRPr="00057BF4">
        <w:rPr>
          <w:i/>
          <w:iCs/>
        </w:rPr>
        <w:t>bhikkhu</w:t>
      </w:r>
      <w:proofErr w:type="spellEnd"/>
      <w:r>
        <w:t xml:space="preserve"> aún no ha</w:t>
      </w:r>
      <w:r w:rsidR="005F74CF">
        <w:t>ya</w:t>
      </w:r>
      <w:r>
        <w:t xml:space="preserve"> discernido </w:t>
      </w:r>
      <w:r w:rsidR="005F74CF">
        <w:t xml:space="preserve">en </w:t>
      </w:r>
      <w:r>
        <w:t xml:space="preserve">el </w:t>
      </w:r>
      <w:r w:rsidR="005F74CF">
        <w:t xml:space="preserve">objeto </w:t>
      </w:r>
      <w:r>
        <w:t>de meditación, su cuerpo y su mente est</w:t>
      </w:r>
      <w:r w:rsidR="005F74CF">
        <w:t>ar</w:t>
      </w:r>
      <w:r>
        <w:t xml:space="preserve">án perturbados y por lo </w:t>
      </w:r>
      <w:r w:rsidR="006D772A">
        <w:t xml:space="preserve">cual </w:t>
      </w:r>
      <w:r w:rsidR="005F74CF">
        <w:t xml:space="preserve">serán </w:t>
      </w:r>
      <w:r w:rsidR="006D772A">
        <w:t>densos</w:t>
      </w:r>
      <w:r>
        <w:t xml:space="preserve">. </w:t>
      </w:r>
      <w:r w:rsidR="009534C1">
        <w:t>Mientras</w:t>
      </w:r>
      <w:r>
        <w:t xml:space="preserve"> la </w:t>
      </w:r>
      <w:r w:rsidR="000A7489">
        <w:t>densidad</w:t>
      </w:r>
      <w:r w:rsidR="00453AEE">
        <w:t xml:space="preserve"> </w:t>
      </w:r>
      <w:r>
        <w:t>del cuerpo y la mente aún no ha</w:t>
      </w:r>
      <w:r w:rsidR="00453AEE">
        <w:t>yan</w:t>
      </w:r>
      <w:r>
        <w:t xml:space="preserve"> disminuido, la inhalaci</w:t>
      </w:r>
      <w:r w:rsidR="000A7489">
        <w:t>ó</w:t>
      </w:r>
      <w:r>
        <w:t>n y exhalaci</w:t>
      </w:r>
      <w:r w:rsidR="000A7489">
        <w:t>ó</w:t>
      </w:r>
      <w:r>
        <w:t xml:space="preserve">n </w:t>
      </w:r>
      <w:r w:rsidR="000A7489">
        <w:t xml:space="preserve">serán </w:t>
      </w:r>
      <w:r w:rsidR="009534C1">
        <w:t>burdas</w:t>
      </w:r>
      <w:r>
        <w:t xml:space="preserve">. Se </w:t>
      </w:r>
      <w:r w:rsidR="009534C1">
        <w:t>volverán</w:t>
      </w:r>
      <w:r>
        <w:t xml:space="preserve"> más fuertes; sus fosas nasales se </w:t>
      </w:r>
      <w:r w:rsidR="009534C1">
        <w:t xml:space="preserve">volverán </w:t>
      </w:r>
      <w:r>
        <w:t xml:space="preserve">inadecuadas y </w:t>
      </w:r>
      <w:r w:rsidR="009534C1">
        <w:t>seguirá</w:t>
      </w:r>
      <w:r>
        <w:t xml:space="preserve"> inhalando y exhalando por la boca. </w:t>
      </w:r>
      <w:r w:rsidR="009534C1">
        <w:t xml:space="preserve">No obstante, </w:t>
      </w:r>
      <w:r>
        <w:t xml:space="preserve">se </w:t>
      </w:r>
      <w:r w:rsidR="009534C1">
        <w:t xml:space="preserve">volverán </w:t>
      </w:r>
      <w:r>
        <w:t>silencios</w:t>
      </w:r>
      <w:r w:rsidR="004B1120">
        <w:t>a</w:t>
      </w:r>
      <w:r>
        <w:t>s y quiet</w:t>
      </w:r>
      <w:r w:rsidR="004B1120">
        <w:t>a</w:t>
      </w:r>
      <w:r>
        <w:t>s cuando su cuerpo y su mente ha</w:t>
      </w:r>
      <w:r w:rsidR="004B1120">
        <w:t>ya</w:t>
      </w:r>
      <w:r>
        <w:t>n sido discernidos. Cuando est</w:t>
      </w:r>
      <w:r w:rsidR="004B1120">
        <w:t>é</w:t>
      </w:r>
      <w:r>
        <w:t xml:space="preserve">n quietos, la </w:t>
      </w:r>
      <w:r w:rsidR="00EF3AF0">
        <w:t xml:space="preserve">inhalación </w:t>
      </w:r>
      <w:r>
        <w:t xml:space="preserve">y </w:t>
      </w:r>
      <w:r w:rsidR="00EF3AF0">
        <w:t xml:space="preserve">exhalación </w:t>
      </w:r>
      <w:r>
        <w:t>ocurr</w:t>
      </w:r>
      <w:r w:rsidR="004B1120">
        <w:t>irá</w:t>
      </w:r>
      <w:r>
        <w:t xml:space="preserve">n tan sutilmente que </w:t>
      </w:r>
      <w:r w:rsidR="004B1120">
        <w:t>se tendrá</w:t>
      </w:r>
      <w:r>
        <w:t xml:space="preserve"> que </w:t>
      </w:r>
      <w:r w:rsidR="004B1120">
        <w:t xml:space="preserve">inspeccionar </w:t>
      </w:r>
      <w:r>
        <w:t>si existen o no.</w:t>
      </w:r>
    </w:p>
    <w:p w14:paraId="0A1EB80A" w14:textId="712CC03E" w:rsidR="00F9114A" w:rsidRDefault="00F9114A" w:rsidP="00F9114A">
      <w:r>
        <w:t xml:space="preserve">177. </w:t>
      </w:r>
      <w:r w:rsidR="00835C9B">
        <w:tab/>
      </w:r>
      <w:r>
        <w:t>Supongamos que un hombre se qued</w:t>
      </w:r>
      <w:r w:rsidR="004B1120">
        <w:t>e</w:t>
      </w:r>
      <w:r>
        <w:t xml:space="preserve"> quieto después de correr, o descender de una colina, o dejar una gran carga sobre su cabeza, entonces su</w:t>
      </w:r>
      <w:r w:rsidR="00A56499">
        <w:t>s</w:t>
      </w:r>
      <w:r>
        <w:t xml:space="preserve"> inhalaciones y exhalaciones </w:t>
      </w:r>
      <w:r w:rsidR="004B1120">
        <w:t>será</w:t>
      </w:r>
      <w:r>
        <w:t xml:space="preserve"> </w:t>
      </w:r>
      <w:r w:rsidR="004B1120">
        <w:t>burdas</w:t>
      </w:r>
      <w:r>
        <w:t xml:space="preserve">, sus fosas nasales se </w:t>
      </w:r>
      <w:r w:rsidR="004B1120">
        <w:t>volverán</w:t>
      </w:r>
      <w:r>
        <w:t xml:space="preserve"> inadecuadas y contin</w:t>
      </w:r>
      <w:r w:rsidR="004B1120">
        <w:t>u</w:t>
      </w:r>
      <w:r>
        <w:t>a</w:t>
      </w:r>
      <w:r w:rsidR="004B1120">
        <w:t>rá</w:t>
      </w:r>
      <w:r>
        <w:t xml:space="preserve"> inhalando y exhalando por la boca. </w:t>
      </w:r>
      <w:r w:rsidR="00A156A6">
        <w:t xml:space="preserve">No obstante, </w:t>
      </w:r>
      <w:r>
        <w:t>cuando se ha</w:t>
      </w:r>
      <w:r w:rsidR="004B1120">
        <w:t>ya</w:t>
      </w:r>
      <w:r>
        <w:t xml:space="preserve"> librado de su fatiga y se ha</w:t>
      </w:r>
      <w:r w:rsidR="00A156A6">
        <w:t>ya</w:t>
      </w:r>
      <w:r>
        <w:t xml:space="preserve"> bañado</w:t>
      </w:r>
      <w:r w:rsidR="00A156A6">
        <w:t>,</w:t>
      </w:r>
      <w:r>
        <w:t xml:space="preserve"> bebido [275] y se ha</w:t>
      </w:r>
      <w:r w:rsidR="00A156A6">
        <w:t>ya</w:t>
      </w:r>
      <w:r>
        <w:t xml:space="preserve"> puesto un paño húmedo sobre el corazón, y est</w:t>
      </w:r>
      <w:r w:rsidR="00A156A6">
        <w:t>é</w:t>
      </w:r>
      <w:r>
        <w:t xml:space="preserve"> </w:t>
      </w:r>
      <w:r w:rsidR="00A156A6">
        <w:t>re</w:t>
      </w:r>
      <w:r>
        <w:t xml:space="preserve">costado </w:t>
      </w:r>
      <w:r w:rsidR="00A156A6">
        <w:t>en</w:t>
      </w:r>
      <w:r>
        <w:t xml:space="preserve"> la sombra fresca, entonces su </w:t>
      </w:r>
      <w:r w:rsidR="00030175">
        <w:t xml:space="preserve">inhalación </w:t>
      </w:r>
      <w:proofErr w:type="spellStart"/>
      <w:r>
        <w:t>y</w:t>
      </w:r>
      <w:proofErr w:type="spellEnd"/>
      <w:r>
        <w:t xml:space="preserve"> </w:t>
      </w:r>
      <w:r w:rsidR="00030175">
        <w:t xml:space="preserve">inhalación </w:t>
      </w:r>
      <w:r>
        <w:t>finalmente ocurr</w:t>
      </w:r>
      <w:r w:rsidR="00A156A6">
        <w:t>irá</w:t>
      </w:r>
      <w:r>
        <w:t xml:space="preserve">n tan sutilmente que </w:t>
      </w:r>
      <w:r w:rsidR="00A156A6">
        <w:t>tendrá</w:t>
      </w:r>
      <w:r>
        <w:t xml:space="preserve"> </w:t>
      </w:r>
      <w:r w:rsidR="00030175">
        <w:t xml:space="preserve">que </w:t>
      </w:r>
      <w:r w:rsidR="00A156A6">
        <w:t xml:space="preserve">inspeccionar </w:t>
      </w:r>
      <w:r>
        <w:t xml:space="preserve">si existen o no; así también, previamente, en el momento en que el </w:t>
      </w:r>
      <w:proofErr w:type="spellStart"/>
      <w:r w:rsidR="00057BF4" w:rsidRPr="00057BF4">
        <w:rPr>
          <w:i/>
          <w:iCs/>
        </w:rPr>
        <w:t>bhikkhu</w:t>
      </w:r>
      <w:proofErr w:type="spellEnd"/>
      <w:r>
        <w:t xml:space="preserve"> aún no ha</w:t>
      </w:r>
      <w:r w:rsidR="00A156A6">
        <w:t>ya</w:t>
      </w:r>
      <w:r>
        <w:t xml:space="preserve"> discernido, … </w:t>
      </w:r>
      <w:r w:rsidR="00A156A6">
        <w:t>tendrá</w:t>
      </w:r>
      <w:r>
        <w:t xml:space="preserve"> que </w:t>
      </w:r>
      <w:r w:rsidR="00A156A6">
        <w:t xml:space="preserve">inspeccionarlas para ver </w:t>
      </w:r>
      <w:r>
        <w:t>si existen o no.</w:t>
      </w:r>
    </w:p>
    <w:p w14:paraId="57871B38" w14:textId="2331DAEC" w:rsidR="00F9114A" w:rsidRDefault="00F9114A" w:rsidP="00F9114A">
      <w:r>
        <w:t xml:space="preserve">178. </w:t>
      </w:r>
      <w:r w:rsidR="00835C9B">
        <w:tab/>
      </w:r>
      <w:r>
        <w:t xml:space="preserve">¿Por qué? Porque </w:t>
      </w:r>
      <w:r w:rsidR="00A156A6">
        <w:t>previamente</w:t>
      </w:r>
      <w:r>
        <w:t xml:space="preserve">, en el momento en que todavía no </w:t>
      </w:r>
      <w:r w:rsidR="00490AC9">
        <w:t xml:space="preserve">lo </w:t>
      </w:r>
      <w:r w:rsidR="00246A39">
        <w:t>haya</w:t>
      </w:r>
      <w:r>
        <w:t xml:space="preserve"> discernido, no </w:t>
      </w:r>
      <w:r w:rsidR="00246A39">
        <w:t xml:space="preserve">habrá </w:t>
      </w:r>
      <w:r>
        <w:t xml:space="preserve">preocupación en él, ni reacción, ni atención, ni </w:t>
      </w:r>
      <w:r w:rsidR="00824540">
        <w:t>inspección</w:t>
      </w:r>
      <w:r>
        <w:t xml:space="preserve">, en el sentido de que “estoy progresivamente tranquilizando cada formación corporal más burda”. Pero cuando </w:t>
      </w:r>
      <w:r w:rsidR="00AE5C28">
        <w:t xml:space="preserve">lo </w:t>
      </w:r>
      <w:r>
        <w:t>ha</w:t>
      </w:r>
      <w:r w:rsidR="00824540">
        <w:t>ya</w:t>
      </w:r>
      <w:r>
        <w:t xml:space="preserve"> discernido, </w:t>
      </w:r>
      <w:r w:rsidR="008327E3">
        <w:t xml:space="preserve">se manifestará </w:t>
      </w:r>
      <w:r w:rsidR="00AE5C28">
        <w:t>todo ello</w:t>
      </w:r>
      <w:r>
        <w:t>. Así que su formación corporal en el momento en que ha</w:t>
      </w:r>
      <w:r w:rsidR="00BC3D70">
        <w:t>ya</w:t>
      </w:r>
      <w:r>
        <w:t xml:space="preserve"> </w:t>
      </w:r>
    </w:p>
    <w:p w14:paraId="287C8AC9" w14:textId="77777777" w:rsidR="00835C9B" w:rsidRDefault="00835C9B" w:rsidP="00835C9B">
      <w:pPr>
        <w:pStyle w:val="Piedepgina"/>
        <w:rPr>
          <w:u w:val="single"/>
        </w:rPr>
      </w:pPr>
      <w:r>
        <w:t> </w:t>
      </w:r>
      <w:r>
        <w:rPr>
          <w:u w:val="single"/>
        </w:rPr>
        <w:t xml:space="preserve">                                                                                                                                                                          .</w:t>
      </w:r>
    </w:p>
    <w:p w14:paraId="3516E05A" w14:textId="2B9D4215" w:rsidR="00F9114A" w:rsidRDefault="00F9114A" w:rsidP="00835C9B">
      <w:pPr>
        <w:pStyle w:val="PiedepginaLegal"/>
      </w:pPr>
      <w:r>
        <w:t xml:space="preserve">49. </w:t>
      </w:r>
      <w:r w:rsidR="00835C9B">
        <w:tab/>
      </w:r>
      <w:r>
        <w:t>“‘En la primera parte del sistema’: en la primera parte del sistema de desarrollo; en las dos primeras bases, es lo que se pretende</w:t>
      </w:r>
      <w:r w:rsidR="00CC7E74">
        <w:t xml:space="preserve"> decir</w:t>
      </w:r>
      <w:r>
        <w:t>. Por supuesto, debe admitirse que aquí también tiene lugar el despertar del conocimiento debido a la presencia de la con</w:t>
      </w:r>
      <w:r w:rsidR="00DD5628">
        <w:t>s</w:t>
      </w:r>
      <w:r>
        <w:t xml:space="preserve">ciencia de la longitud y la brevedad de las respiraciones tal como en realidad </w:t>
      </w:r>
      <w:r w:rsidR="00DD5628">
        <w:t xml:space="preserve">son </w:t>
      </w:r>
      <w:r>
        <w:t>(como en realidad llegan a ser); y no es difícil hacer eso, porque es simplemente tenerlos en cuenta a medida que ocurr</w:t>
      </w:r>
      <w:r w:rsidR="00FB7C5F">
        <w:t>a</w:t>
      </w:r>
      <w:r>
        <w:t xml:space="preserve">n. Es por eso </w:t>
      </w:r>
      <w:proofErr w:type="gramStart"/>
      <w:r>
        <w:t>que</w:t>
      </w:r>
      <w:proofErr w:type="gramEnd"/>
      <w:r>
        <w:t xml:space="preserve"> </w:t>
      </w:r>
      <w:r w:rsidR="00DD5628">
        <w:t xml:space="preserve">aquí </w:t>
      </w:r>
      <w:r>
        <w:t xml:space="preserve">se </w:t>
      </w:r>
      <w:r w:rsidR="00321140">
        <w:t>plantea</w:t>
      </w:r>
      <w:r>
        <w:t xml:space="preserve"> en tiempo presente. Pero lo que sig</w:t>
      </w:r>
      <w:r w:rsidR="00321140">
        <w:t>a</w:t>
      </w:r>
      <w:r>
        <w:t xml:space="preserve"> </w:t>
      </w:r>
      <w:r w:rsidR="00FB7C5F">
        <w:t xml:space="preserve">será </w:t>
      </w:r>
      <w:r>
        <w:t>tan duro para un hombre como caminar sobre el filo de una navaja; por eso se usa el tiempo futuro para las etapas subsiguientes a fin de indicar la necesidad de un esfuerzo previo excepcional” (</w:t>
      </w:r>
      <w:proofErr w:type="spellStart"/>
      <w:r>
        <w:t>Vism-mhṭ</w:t>
      </w:r>
      <w:proofErr w:type="spellEnd"/>
      <w:r>
        <w:t xml:space="preserve"> 263).</w:t>
      </w:r>
    </w:p>
    <w:p w14:paraId="6A46086D" w14:textId="5A9F4AB4" w:rsidR="00DF7BE2" w:rsidRDefault="00F9114A" w:rsidP="00835C9B">
      <w:pPr>
        <w:pStyle w:val="PiedepginaLegal"/>
      </w:pPr>
      <w:r>
        <w:t xml:space="preserve">50. </w:t>
      </w:r>
      <w:r w:rsidR="00835C9B">
        <w:tab/>
      </w:r>
      <w:r>
        <w:t xml:space="preserve">“‘Formación corporal’: la inhalación y la exhalación (ver M I 301). </w:t>
      </w:r>
      <w:r w:rsidR="00092771">
        <w:t>Porque,</w:t>
      </w:r>
      <w:r>
        <w:t xml:space="preserve"> aunque se origin</w:t>
      </w:r>
      <w:r w:rsidR="00092771">
        <w:t>e</w:t>
      </w:r>
      <w:r>
        <w:t xml:space="preserve"> en la con</w:t>
      </w:r>
      <w:r w:rsidR="00092771">
        <w:t>s</w:t>
      </w:r>
      <w:r>
        <w:t xml:space="preserve">ciencia, se le llama ‘formación corporal’ ya que su existencia está ligada al cuerpo </w:t>
      </w:r>
      <w:r w:rsidR="00321140">
        <w:t>surgido</w:t>
      </w:r>
      <w:r>
        <w:t xml:space="preserve"> del </w:t>
      </w:r>
      <w:proofErr w:type="spellStart"/>
      <w:r w:rsidR="00057BF4" w:rsidRPr="00057BF4">
        <w:rPr>
          <w:i/>
          <w:iCs/>
        </w:rPr>
        <w:t>kamma</w:t>
      </w:r>
      <w:proofErr w:type="spellEnd"/>
      <w:r>
        <w:t xml:space="preserve"> y se forma con e</w:t>
      </w:r>
      <w:r w:rsidR="00321140">
        <w:t>ll</w:t>
      </w:r>
      <w:r>
        <w:t>o como medio” (</w:t>
      </w:r>
      <w:proofErr w:type="spellStart"/>
      <w:r>
        <w:t>Vism-mhṭ</w:t>
      </w:r>
      <w:proofErr w:type="spellEnd"/>
      <w:r>
        <w:t xml:space="preserve"> 263).</w:t>
      </w:r>
    </w:p>
    <w:p w14:paraId="5513D06B" w14:textId="77777777" w:rsidR="00DC54ED" w:rsidRPr="008C0E19" w:rsidRDefault="00DC54ED" w:rsidP="00DC54ED"/>
    <w:p w14:paraId="3E98739F" w14:textId="77777777" w:rsidR="00835C9B" w:rsidRDefault="00835C9B">
      <w:pPr>
        <w:tabs>
          <w:tab w:val="clear" w:pos="425"/>
        </w:tabs>
        <w:spacing w:after="160"/>
      </w:pPr>
      <w:r>
        <w:br w:type="page"/>
      </w:r>
    </w:p>
    <w:p w14:paraId="41942AB5" w14:textId="4AA84C34" w:rsidR="003E772E" w:rsidRPr="00B80407" w:rsidRDefault="008327E3" w:rsidP="003E772E">
      <w:pPr>
        <w:tabs>
          <w:tab w:val="clear" w:pos="425"/>
        </w:tabs>
        <w:spacing w:after="160"/>
        <w:rPr>
          <w:sz w:val="16"/>
          <w:szCs w:val="20"/>
        </w:rPr>
      </w:pPr>
      <w:r>
        <w:lastRenderedPageBreak/>
        <w:t xml:space="preserve">discernido </w:t>
      </w:r>
      <w:r w:rsidR="00BC3D70">
        <w:t xml:space="preserve">será sutil en comparación con la del momento </w:t>
      </w:r>
      <w:r w:rsidR="003E772E">
        <w:t xml:space="preserve">cuando no </w:t>
      </w:r>
      <w:r w:rsidR="00A125E4">
        <w:t>lo haya hecho</w:t>
      </w:r>
      <w:r w:rsidR="003E772E">
        <w:t xml:space="preserve">. De ahí que los </w:t>
      </w:r>
      <w:r w:rsidR="00A125E4">
        <w:t xml:space="preserve">Venerables </w:t>
      </w:r>
      <w:r w:rsidR="003E772E">
        <w:t>dijeran:</w:t>
      </w:r>
    </w:p>
    <w:p w14:paraId="6C37305A" w14:textId="06A4039B" w:rsidR="003E772E" w:rsidRPr="00B80407" w:rsidRDefault="003E772E" w:rsidP="003E772E">
      <w:pPr>
        <w:pStyle w:val="VersoIngls01Sangria"/>
        <w:rPr>
          <w:sz w:val="16"/>
          <w:szCs w:val="20"/>
        </w:rPr>
      </w:pPr>
      <w:r w:rsidRPr="00B80407">
        <w:rPr>
          <w:sz w:val="16"/>
          <w:szCs w:val="20"/>
        </w:rPr>
        <w:t>“</w:t>
      </w:r>
      <w:r w:rsidR="009E765C">
        <w:rPr>
          <w:sz w:val="16"/>
          <w:szCs w:val="20"/>
        </w:rPr>
        <w:t>Cuando l</w:t>
      </w:r>
      <w:r w:rsidRPr="00B80407">
        <w:rPr>
          <w:sz w:val="16"/>
          <w:szCs w:val="20"/>
        </w:rPr>
        <w:t>a mente y el cuerpo est</w:t>
      </w:r>
      <w:r w:rsidR="009E765C">
        <w:rPr>
          <w:sz w:val="16"/>
          <w:szCs w:val="20"/>
        </w:rPr>
        <w:t>é</w:t>
      </w:r>
      <w:r w:rsidRPr="00B80407">
        <w:rPr>
          <w:sz w:val="16"/>
          <w:szCs w:val="20"/>
        </w:rPr>
        <w:t>n perturbados,</w:t>
      </w:r>
    </w:p>
    <w:p w14:paraId="1C46DB4B" w14:textId="2EC4F9F7" w:rsidR="003E772E" w:rsidRPr="00B80407" w:rsidRDefault="009E765C" w:rsidP="003E772E">
      <w:pPr>
        <w:pStyle w:val="VersoIngls01Sangria"/>
        <w:rPr>
          <w:sz w:val="16"/>
          <w:szCs w:val="20"/>
        </w:rPr>
      </w:pPr>
      <w:r>
        <w:rPr>
          <w:sz w:val="16"/>
          <w:szCs w:val="20"/>
        </w:rPr>
        <w:t xml:space="preserve">Entonces </w:t>
      </w:r>
      <w:r w:rsidR="003E772E" w:rsidRPr="00B80407">
        <w:rPr>
          <w:sz w:val="16"/>
          <w:szCs w:val="20"/>
        </w:rPr>
        <w:t xml:space="preserve">en exceso </w:t>
      </w:r>
      <w:r w:rsidR="00A125E4" w:rsidRPr="00B80407">
        <w:rPr>
          <w:sz w:val="16"/>
          <w:szCs w:val="20"/>
        </w:rPr>
        <w:t>ocurr</w:t>
      </w:r>
      <w:r>
        <w:rPr>
          <w:sz w:val="16"/>
          <w:szCs w:val="20"/>
        </w:rPr>
        <w:t>irá</w:t>
      </w:r>
      <w:r w:rsidR="00A125E4" w:rsidRPr="00B80407">
        <w:rPr>
          <w:sz w:val="16"/>
          <w:szCs w:val="20"/>
        </w:rPr>
        <w:t>n</w:t>
      </w:r>
      <w:r w:rsidR="003E772E" w:rsidRPr="00B80407">
        <w:rPr>
          <w:sz w:val="16"/>
          <w:szCs w:val="20"/>
        </w:rPr>
        <w:t>;</w:t>
      </w:r>
    </w:p>
    <w:p w14:paraId="6557839E" w14:textId="4BCA3C65" w:rsidR="003E772E" w:rsidRPr="00B80407" w:rsidRDefault="003E772E" w:rsidP="003E772E">
      <w:pPr>
        <w:pStyle w:val="VersoIngls01Sangria"/>
        <w:rPr>
          <w:sz w:val="16"/>
          <w:szCs w:val="20"/>
        </w:rPr>
      </w:pPr>
      <w:r w:rsidRPr="00B80407">
        <w:rPr>
          <w:sz w:val="16"/>
          <w:szCs w:val="20"/>
        </w:rPr>
        <w:t>Pero cuando el cuerpo est</w:t>
      </w:r>
      <w:r w:rsidR="009E765C">
        <w:rPr>
          <w:sz w:val="16"/>
          <w:szCs w:val="20"/>
        </w:rPr>
        <w:t>é</w:t>
      </w:r>
      <w:r w:rsidRPr="00B80407">
        <w:rPr>
          <w:sz w:val="16"/>
          <w:szCs w:val="20"/>
        </w:rPr>
        <w:t xml:space="preserve"> tranquilo,</w:t>
      </w:r>
    </w:p>
    <w:p w14:paraId="69612727" w14:textId="69BC5E0D" w:rsidR="003E772E" w:rsidRPr="00B80407" w:rsidRDefault="003E772E" w:rsidP="003E772E">
      <w:pPr>
        <w:pStyle w:val="VersoIngls01Sangria"/>
        <w:spacing w:after="100"/>
        <w:ind w:left="1418"/>
        <w:rPr>
          <w:sz w:val="16"/>
          <w:szCs w:val="20"/>
        </w:rPr>
      </w:pPr>
      <w:r w:rsidRPr="00B80407">
        <w:rPr>
          <w:sz w:val="16"/>
          <w:szCs w:val="20"/>
        </w:rPr>
        <w:t>Entonces con sutileza</w:t>
      </w:r>
      <w:r w:rsidR="009E765C">
        <w:rPr>
          <w:sz w:val="16"/>
          <w:szCs w:val="20"/>
        </w:rPr>
        <w:t xml:space="preserve"> ocurrirán</w:t>
      </w:r>
      <w:r w:rsidRPr="00B80407">
        <w:rPr>
          <w:sz w:val="16"/>
          <w:szCs w:val="20"/>
        </w:rPr>
        <w:t>”.</w:t>
      </w:r>
    </w:p>
    <w:p w14:paraId="4F27EC71" w14:textId="68DE37D3" w:rsidR="003E772E" w:rsidRDefault="003E772E" w:rsidP="003E772E">
      <w:r>
        <w:t xml:space="preserve">179. </w:t>
      </w:r>
      <w:r>
        <w:tab/>
        <w:t xml:space="preserve">Al discernir </w:t>
      </w:r>
      <w:r w:rsidR="00A43774">
        <w:t xml:space="preserve">sobre </w:t>
      </w:r>
      <w:r>
        <w:t xml:space="preserve">el </w:t>
      </w:r>
      <w:r w:rsidR="00A30485">
        <w:t>objeto</w:t>
      </w:r>
      <w:r>
        <w:t xml:space="preserve"> de meditación, la formación</w:t>
      </w:r>
      <w:r w:rsidR="00371047">
        <w:t>,</w:t>
      </w:r>
      <w:r>
        <w:t xml:space="preserve"> </w:t>
      </w:r>
      <w:r w:rsidR="00A43774">
        <w:t xml:space="preserve">que </w:t>
      </w:r>
      <w:r>
        <w:t xml:space="preserve">es burda, y es sutil </w:t>
      </w:r>
      <w:r w:rsidR="002A53C1">
        <w:t>por</w:t>
      </w:r>
      <w:r>
        <w:t xml:space="preserve"> comparación </w:t>
      </w:r>
      <w:r w:rsidR="00371047">
        <w:t>con</w:t>
      </w:r>
      <w:r>
        <w:t xml:space="preserve"> el </w:t>
      </w:r>
      <w:r w:rsidR="002B2DCB">
        <w:t xml:space="preserve">acceso al </w:t>
      </w:r>
      <w:r>
        <w:t xml:space="preserve">primer </w:t>
      </w:r>
      <w:proofErr w:type="spellStart"/>
      <w:r w:rsidR="00057BF4" w:rsidRPr="00057BF4">
        <w:rPr>
          <w:i/>
          <w:iCs/>
        </w:rPr>
        <w:t>jhāna</w:t>
      </w:r>
      <w:proofErr w:type="spellEnd"/>
      <w:r>
        <w:t xml:space="preserve">; también </w:t>
      </w:r>
      <w:r w:rsidR="00574D10">
        <w:t xml:space="preserve">ello </w:t>
      </w:r>
      <w:r w:rsidR="002A53C1">
        <w:t>será</w:t>
      </w:r>
      <w:r>
        <w:t xml:space="preserve"> denso, y sutil n comparación </w:t>
      </w:r>
      <w:r w:rsidR="00BC59A1">
        <w:t>con</w:t>
      </w:r>
      <w:r>
        <w:t xml:space="preserve"> el primer </w:t>
      </w:r>
      <w:proofErr w:type="spellStart"/>
      <w:r w:rsidR="00057BF4" w:rsidRPr="00057BF4">
        <w:rPr>
          <w:i/>
          <w:iCs/>
        </w:rPr>
        <w:t>jhāna</w:t>
      </w:r>
      <w:proofErr w:type="spellEnd"/>
      <w:r>
        <w:t xml:space="preserve">; el </w:t>
      </w:r>
      <w:r w:rsidR="00E23ED1">
        <w:t xml:space="preserve">acceso al primer </w:t>
      </w:r>
      <w:proofErr w:type="spellStart"/>
      <w:r w:rsidR="00057BF4" w:rsidRPr="00057BF4">
        <w:rPr>
          <w:i/>
          <w:iCs/>
        </w:rPr>
        <w:t>jhāna</w:t>
      </w:r>
      <w:proofErr w:type="spellEnd"/>
      <w:r>
        <w:t xml:space="preserve"> y </w:t>
      </w:r>
      <w:r w:rsidR="00E23ED1">
        <w:t>a</w:t>
      </w:r>
      <w:r>
        <w:t xml:space="preserve">l segundo </w:t>
      </w:r>
      <w:proofErr w:type="spellStart"/>
      <w:r w:rsidR="00057BF4" w:rsidRPr="00057BF4">
        <w:rPr>
          <w:i/>
          <w:iCs/>
        </w:rPr>
        <w:t>jhāna</w:t>
      </w:r>
      <w:proofErr w:type="spellEnd"/>
      <w:r>
        <w:t xml:space="preserve"> </w:t>
      </w:r>
      <w:r w:rsidR="00C60A40">
        <w:t>será</w:t>
      </w:r>
      <w:r>
        <w:t xml:space="preserve"> </w:t>
      </w:r>
      <w:r w:rsidR="004456F9">
        <w:t xml:space="preserve">más </w:t>
      </w:r>
      <w:r>
        <w:t xml:space="preserve">denso, y en el segundo </w:t>
      </w:r>
      <w:proofErr w:type="spellStart"/>
      <w:r w:rsidR="00057BF4" w:rsidRPr="00057BF4">
        <w:rPr>
          <w:i/>
          <w:iCs/>
        </w:rPr>
        <w:t>jhāna</w:t>
      </w:r>
      <w:proofErr w:type="spellEnd"/>
      <w:r>
        <w:t xml:space="preserve"> </w:t>
      </w:r>
      <w:r w:rsidR="004456F9">
        <w:t xml:space="preserve">más </w:t>
      </w:r>
      <w:r>
        <w:t xml:space="preserve">sutil; </w:t>
      </w:r>
      <w:r w:rsidR="00E23ED1">
        <w:t xml:space="preserve">el acceso </w:t>
      </w:r>
      <w:r w:rsidR="00E64D52">
        <w:t>a</w:t>
      </w:r>
      <w:r>
        <w:t xml:space="preserve">l segundo </w:t>
      </w:r>
      <w:proofErr w:type="spellStart"/>
      <w:r w:rsidR="00057BF4" w:rsidRPr="00057BF4">
        <w:rPr>
          <w:i/>
        </w:rPr>
        <w:t>jhāna</w:t>
      </w:r>
      <w:proofErr w:type="spellEnd"/>
      <w:r>
        <w:t xml:space="preserve"> y </w:t>
      </w:r>
      <w:r w:rsidR="00E64D52">
        <w:t>a</w:t>
      </w:r>
      <w:r>
        <w:t xml:space="preserve">l tercer </w:t>
      </w:r>
      <w:proofErr w:type="spellStart"/>
      <w:r w:rsidR="00057BF4" w:rsidRPr="00057BF4">
        <w:rPr>
          <w:i/>
        </w:rPr>
        <w:t>jhāna</w:t>
      </w:r>
      <w:proofErr w:type="spellEnd"/>
      <w:r>
        <w:t xml:space="preserve"> </w:t>
      </w:r>
      <w:r w:rsidR="00E64D52">
        <w:t>será</w:t>
      </w:r>
      <w:r>
        <w:t xml:space="preserve"> </w:t>
      </w:r>
      <w:r w:rsidR="004456F9">
        <w:t xml:space="preserve">más </w:t>
      </w:r>
      <w:r>
        <w:t xml:space="preserve">denso, y el tercer </w:t>
      </w:r>
      <w:proofErr w:type="spellStart"/>
      <w:r w:rsidR="00057BF4" w:rsidRPr="00057BF4">
        <w:rPr>
          <w:i/>
          <w:iCs/>
        </w:rPr>
        <w:t>jhāna</w:t>
      </w:r>
      <w:proofErr w:type="spellEnd"/>
      <w:r>
        <w:t xml:space="preserve"> </w:t>
      </w:r>
      <w:r w:rsidR="004456F9">
        <w:t xml:space="preserve">más </w:t>
      </w:r>
      <w:r>
        <w:t xml:space="preserve">sutil; </w:t>
      </w:r>
      <w:r w:rsidR="00E64D52">
        <w:t>el acceso a</w:t>
      </w:r>
      <w:r>
        <w:t xml:space="preserve">l tercer </w:t>
      </w:r>
      <w:proofErr w:type="spellStart"/>
      <w:r w:rsidR="00057BF4" w:rsidRPr="00057BF4">
        <w:rPr>
          <w:i/>
          <w:iCs/>
        </w:rPr>
        <w:t>jhāna</w:t>
      </w:r>
      <w:proofErr w:type="spellEnd"/>
      <w:r>
        <w:t xml:space="preserve"> y el cuarto </w:t>
      </w:r>
      <w:proofErr w:type="spellStart"/>
      <w:r w:rsidR="00057BF4" w:rsidRPr="00057BF4">
        <w:rPr>
          <w:i/>
          <w:iCs/>
        </w:rPr>
        <w:t>jhāna</w:t>
      </w:r>
      <w:proofErr w:type="spellEnd"/>
      <w:r>
        <w:t xml:space="preserve"> </w:t>
      </w:r>
      <w:r w:rsidR="003339C6">
        <w:t xml:space="preserve">será </w:t>
      </w:r>
      <w:r w:rsidR="004456F9">
        <w:t xml:space="preserve">más </w:t>
      </w:r>
      <w:r>
        <w:t xml:space="preserve">denso, y el cuarto </w:t>
      </w:r>
      <w:proofErr w:type="spellStart"/>
      <w:r w:rsidR="00057BF4" w:rsidRPr="00057BF4">
        <w:rPr>
          <w:i/>
          <w:iCs/>
        </w:rPr>
        <w:t>jhāna</w:t>
      </w:r>
      <w:proofErr w:type="spellEnd"/>
      <w:r>
        <w:t xml:space="preserve"> </w:t>
      </w:r>
      <w:r w:rsidR="003339C6">
        <w:t xml:space="preserve">será </w:t>
      </w:r>
      <w:r>
        <w:t>tan extremadamente sutil que inclus</w:t>
      </w:r>
      <w:r w:rsidR="003339C6">
        <w:t>ive</w:t>
      </w:r>
      <w:r>
        <w:t xml:space="preserve"> llega</w:t>
      </w:r>
      <w:r w:rsidR="003339C6">
        <w:t>rá</w:t>
      </w:r>
      <w:r>
        <w:t xml:space="preserve"> a la cesación. </w:t>
      </w:r>
      <w:r w:rsidR="003339C6">
        <w:t>É</w:t>
      </w:r>
      <w:r>
        <w:t>sta es la opinión de los recitadores de</w:t>
      </w:r>
      <w:r w:rsidR="003339C6">
        <w:t>l</w:t>
      </w:r>
      <w:r>
        <w:t xml:space="preserve"> </w:t>
      </w:r>
      <w:r w:rsidRPr="00092771">
        <w:rPr>
          <w:i/>
          <w:iCs/>
        </w:rPr>
        <w:t>Dīgha</w:t>
      </w:r>
      <w:r>
        <w:t xml:space="preserve"> y </w:t>
      </w:r>
      <w:proofErr w:type="spellStart"/>
      <w:r w:rsidRPr="00092771">
        <w:rPr>
          <w:i/>
          <w:iCs/>
        </w:rPr>
        <w:t>Saṃyutta</w:t>
      </w:r>
      <w:proofErr w:type="spellEnd"/>
      <w:r>
        <w:t xml:space="preserve">. Pero los recitadores de </w:t>
      </w:r>
      <w:proofErr w:type="spellStart"/>
      <w:r w:rsidRPr="00092771">
        <w:rPr>
          <w:i/>
          <w:iCs/>
        </w:rPr>
        <w:t>Majjhima</w:t>
      </w:r>
      <w:proofErr w:type="spellEnd"/>
      <w:r>
        <w:t xml:space="preserve"> dicen que </w:t>
      </w:r>
      <w:r w:rsidR="004456F9">
        <w:t xml:space="preserve">será </w:t>
      </w:r>
      <w:r>
        <w:t xml:space="preserve">más sutil en cada acceso que en el </w:t>
      </w:r>
      <w:proofErr w:type="spellStart"/>
      <w:r w:rsidR="00057BF4" w:rsidRPr="00057BF4">
        <w:rPr>
          <w:i/>
          <w:iCs/>
        </w:rPr>
        <w:t>jhāna</w:t>
      </w:r>
      <w:proofErr w:type="spellEnd"/>
      <w:r>
        <w:t xml:space="preserve"> </w:t>
      </w:r>
      <w:r w:rsidR="004456F9">
        <w:t>anterior</w:t>
      </w:r>
      <w:r>
        <w:t xml:space="preserve"> también de esta manera: en el primer </w:t>
      </w:r>
      <w:proofErr w:type="spellStart"/>
      <w:r w:rsidR="00057BF4" w:rsidRPr="00057BF4">
        <w:rPr>
          <w:i/>
          <w:iCs/>
        </w:rPr>
        <w:t>jhāna</w:t>
      </w:r>
      <w:proofErr w:type="spellEnd"/>
      <w:r>
        <w:t xml:space="preserve"> </w:t>
      </w:r>
      <w:r w:rsidR="003339C6">
        <w:t>será</w:t>
      </w:r>
      <w:r>
        <w:t xml:space="preserve"> </w:t>
      </w:r>
      <w:r w:rsidR="004456F9">
        <w:t xml:space="preserve">más </w:t>
      </w:r>
      <w:r>
        <w:t xml:space="preserve">denso, y el acceso </w:t>
      </w:r>
      <w:r w:rsidR="003339C6">
        <w:t>a</w:t>
      </w:r>
      <w:r>
        <w:t xml:space="preserve">l segundo </w:t>
      </w:r>
      <w:proofErr w:type="spellStart"/>
      <w:r w:rsidR="00057BF4" w:rsidRPr="00057BF4">
        <w:rPr>
          <w:i/>
          <w:iCs/>
        </w:rPr>
        <w:t>jhāna</w:t>
      </w:r>
      <w:proofErr w:type="spellEnd"/>
      <w:r>
        <w:t xml:space="preserve"> </w:t>
      </w:r>
      <w:r w:rsidR="003339C6">
        <w:t xml:space="preserve">será </w:t>
      </w:r>
      <w:r w:rsidR="004456F9">
        <w:t xml:space="preserve">más </w:t>
      </w:r>
      <w:r>
        <w:t>sutil</w:t>
      </w:r>
      <w:r w:rsidR="00C86BD4">
        <w:t>,</w:t>
      </w:r>
      <w:r>
        <w:t xml:space="preserve"> compara</w:t>
      </w:r>
      <w:r w:rsidR="00C86BD4">
        <w:t>tivamente</w:t>
      </w:r>
      <w:r>
        <w:t>, y así sucesivamente. Es, sin embargo, la opinión de todos que la formación corporal que ocurr</w:t>
      </w:r>
      <w:r w:rsidR="004456F9">
        <w:t>a</w:t>
      </w:r>
      <w:r>
        <w:t xml:space="preserve"> antes del momento del discernimiento se tranquiliza</w:t>
      </w:r>
      <w:r w:rsidR="004456F9">
        <w:t>rá</w:t>
      </w:r>
      <w:r>
        <w:t xml:space="preserve"> en el momento del discernimiento, y la formación corporal en el momento del discernimiento se tranquiliza</w:t>
      </w:r>
      <w:r w:rsidR="004456F9">
        <w:t>rá</w:t>
      </w:r>
      <w:r>
        <w:t xml:space="preserve"> en el primer acceso </w:t>
      </w:r>
      <w:r w:rsidR="003339C6">
        <w:t xml:space="preserve">al </w:t>
      </w:r>
      <w:proofErr w:type="spellStart"/>
      <w:r w:rsidR="00057BF4" w:rsidRPr="00057BF4">
        <w:rPr>
          <w:i/>
          <w:iCs/>
        </w:rPr>
        <w:t>jhāna</w:t>
      </w:r>
      <w:proofErr w:type="spellEnd"/>
      <w:r>
        <w:t>... y la formación corporal que ocurr</w:t>
      </w:r>
      <w:r w:rsidR="004456F9">
        <w:t>a</w:t>
      </w:r>
      <w:r>
        <w:t xml:space="preserve"> en </w:t>
      </w:r>
      <w:r w:rsidR="003339C6">
        <w:t>el acceso a</w:t>
      </w:r>
      <w:r>
        <w:t xml:space="preserve">l cuarto </w:t>
      </w:r>
      <w:proofErr w:type="spellStart"/>
      <w:r w:rsidR="00057BF4" w:rsidRPr="00057BF4">
        <w:rPr>
          <w:i/>
          <w:iCs/>
        </w:rPr>
        <w:t>jhāna</w:t>
      </w:r>
      <w:proofErr w:type="spellEnd"/>
      <w:r>
        <w:t xml:space="preserve"> se tranquiliza</w:t>
      </w:r>
      <w:r w:rsidR="004456F9">
        <w:t>rá</w:t>
      </w:r>
      <w:r>
        <w:t xml:space="preserve"> en el cuarto </w:t>
      </w:r>
      <w:proofErr w:type="spellStart"/>
      <w:r w:rsidR="00057BF4" w:rsidRPr="00057BF4">
        <w:rPr>
          <w:i/>
          <w:iCs/>
        </w:rPr>
        <w:t>jhāna</w:t>
      </w:r>
      <w:proofErr w:type="spellEnd"/>
      <w:r>
        <w:t>. Este es el método de explicación en el caso de la serenidad.</w:t>
      </w:r>
    </w:p>
    <w:p w14:paraId="49A68CC2" w14:textId="4A905AD2" w:rsidR="003E772E" w:rsidRDefault="003E772E" w:rsidP="003E772E">
      <w:r>
        <w:t xml:space="preserve">180. </w:t>
      </w:r>
      <w:r>
        <w:tab/>
      </w:r>
      <w:r w:rsidR="00CB1701">
        <w:t xml:space="preserve">No obstante, </w:t>
      </w:r>
      <w:r>
        <w:t xml:space="preserve">en el caso de la </w:t>
      </w:r>
      <w:r w:rsidR="0005156B" w:rsidRPr="00527EA6">
        <w:t>sabid</w:t>
      </w:r>
      <w:r w:rsidR="0005156B">
        <w:t>uría–revelativa</w:t>
      </w:r>
      <w:r>
        <w:t>, la formación corporal que ocurr</w:t>
      </w:r>
      <w:r w:rsidR="00DB1C6F">
        <w:t>a</w:t>
      </w:r>
      <w:r>
        <w:t xml:space="preserve"> en el momento de </w:t>
      </w:r>
      <w:r w:rsidR="00523AB0">
        <w:t xml:space="preserve">un </w:t>
      </w:r>
      <w:r>
        <w:t>no</w:t>
      </w:r>
      <w:r w:rsidR="00963E3E">
        <w:t>–</w:t>
      </w:r>
      <w:r>
        <w:t>discerni</w:t>
      </w:r>
      <w:r w:rsidR="00DB1C6F">
        <w:t>miento</w:t>
      </w:r>
      <w:r>
        <w:t xml:space="preserve"> </w:t>
      </w:r>
      <w:r w:rsidR="007D73AD">
        <w:t xml:space="preserve">se hará </w:t>
      </w:r>
      <w:r w:rsidR="004456F9">
        <w:t xml:space="preserve">más </w:t>
      </w:r>
      <w:r w:rsidR="007D73AD">
        <w:t>dens</w:t>
      </w:r>
      <w:r w:rsidR="00523AB0">
        <w:t>a</w:t>
      </w:r>
      <w:r>
        <w:t xml:space="preserve">, y en el </w:t>
      </w:r>
      <w:r w:rsidR="00DB1C6F">
        <w:t xml:space="preserve">de </w:t>
      </w:r>
      <w:r>
        <w:t xml:space="preserve">discernimiento de los elementos primarios </w:t>
      </w:r>
      <w:r w:rsidR="003950E4">
        <w:t>se hará</w:t>
      </w:r>
      <w:r w:rsidR="007D73AD">
        <w:t>,</w:t>
      </w:r>
      <w:r w:rsidR="004456F9">
        <w:t xml:space="preserve"> </w:t>
      </w:r>
      <w:r>
        <w:t>en comparación</w:t>
      </w:r>
      <w:r w:rsidR="007D73AD">
        <w:t>,</w:t>
      </w:r>
      <w:r>
        <w:t xml:space="preserve"> </w:t>
      </w:r>
      <w:r w:rsidR="004456F9">
        <w:t xml:space="preserve">más </w:t>
      </w:r>
      <w:r>
        <w:t>sutil; e</w:t>
      </w:r>
      <w:r w:rsidR="007D73AD">
        <w:t>ll</w:t>
      </w:r>
      <w:r>
        <w:t xml:space="preserve">o también </w:t>
      </w:r>
      <w:r w:rsidR="003950E4">
        <w:t xml:space="preserve">se hará </w:t>
      </w:r>
      <w:r w:rsidR="004456F9">
        <w:t xml:space="preserve">más </w:t>
      </w:r>
      <w:r>
        <w:t xml:space="preserve">denso, y al discernir la materialidad derivada </w:t>
      </w:r>
      <w:r w:rsidR="003950E4">
        <w:t xml:space="preserve">se hará </w:t>
      </w:r>
      <w:r w:rsidR="004456F9">
        <w:t xml:space="preserve">más </w:t>
      </w:r>
      <w:r>
        <w:t xml:space="preserve">sutil; eso también </w:t>
      </w:r>
      <w:r w:rsidR="007D73AD">
        <w:t xml:space="preserve">se hará </w:t>
      </w:r>
      <w:r w:rsidR="004456F9">
        <w:t xml:space="preserve">más </w:t>
      </w:r>
      <w:r>
        <w:t xml:space="preserve">denso, y al discernir toda la materialidad </w:t>
      </w:r>
      <w:r w:rsidR="007D73AD">
        <w:t xml:space="preserve">se hará </w:t>
      </w:r>
      <w:r w:rsidR="004456F9">
        <w:t xml:space="preserve">más </w:t>
      </w:r>
      <w:r>
        <w:t xml:space="preserve">sutil; eso también </w:t>
      </w:r>
      <w:r w:rsidR="003950E4">
        <w:t xml:space="preserve">se hará </w:t>
      </w:r>
      <w:r w:rsidR="004456F9">
        <w:t xml:space="preserve">más </w:t>
      </w:r>
      <w:r w:rsidR="007D73AD">
        <w:t>denso</w:t>
      </w:r>
      <w:r>
        <w:t xml:space="preserve">, y al discernir </w:t>
      </w:r>
      <w:r w:rsidR="007D73AD">
        <w:t xml:space="preserve">sobre </w:t>
      </w:r>
      <w:r>
        <w:t>l</w:t>
      </w:r>
      <w:r w:rsidR="007D73AD">
        <w:t>a</w:t>
      </w:r>
      <w:r>
        <w:t xml:space="preserve"> inmaterial</w:t>
      </w:r>
      <w:r w:rsidR="007D73AD">
        <w:t>idad</w:t>
      </w:r>
      <w:r>
        <w:t xml:space="preserve"> </w:t>
      </w:r>
      <w:r w:rsidR="003950E4">
        <w:t xml:space="preserve">se hará </w:t>
      </w:r>
      <w:r w:rsidR="004456F9">
        <w:t xml:space="preserve">más </w:t>
      </w:r>
      <w:r>
        <w:t xml:space="preserve">sutil; eso también </w:t>
      </w:r>
      <w:r w:rsidR="004456F9">
        <w:t>se</w:t>
      </w:r>
      <w:r w:rsidR="007D73AD">
        <w:t xml:space="preserve"> ha</w:t>
      </w:r>
      <w:r w:rsidR="004456F9">
        <w:t xml:space="preserve">rá más </w:t>
      </w:r>
      <w:r w:rsidR="007D73AD">
        <w:t xml:space="preserve">denso </w:t>
      </w:r>
      <w:r>
        <w:t xml:space="preserve">, y al discernir </w:t>
      </w:r>
      <w:r w:rsidR="003950E4">
        <w:t xml:space="preserve">sobre </w:t>
      </w:r>
      <w:r>
        <w:t xml:space="preserve">lo material e inmaterial </w:t>
      </w:r>
      <w:r w:rsidR="003950E4">
        <w:t xml:space="preserve">se hará </w:t>
      </w:r>
      <w:r w:rsidR="00270CFE">
        <w:t xml:space="preserve">más </w:t>
      </w:r>
      <w:r>
        <w:t xml:space="preserve">sutil; eso también </w:t>
      </w:r>
      <w:r w:rsidR="00F918EE">
        <w:t xml:space="preserve">se hará </w:t>
      </w:r>
      <w:r w:rsidR="00270CFE">
        <w:t xml:space="preserve">más </w:t>
      </w:r>
      <w:r>
        <w:t xml:space="preserve">denso, y en condiciones de discernimiento </w:t>
      </w:r>
      <w:r w:rsidR="00F918EE">
        <w:t xml:space="preserve">se hará </w:t>
      </w:r>
      <w:r w:rsidR="00270CFE">
        <w:t xml:space="preserve">más </w:t>
      </w:r>
      <w:r>
        <w:t xml:space="preserve">sutil; eso también </w:t>
      </w:r>
      <w:r w:rsidR="00F918EE">
        <w:t xml:space="preserve">se hará </w:t>
      </w:r>
      <w:r w:rsidR="00270CFE">
        <w:t xml:space="preserve">más </w:t>
      </w:r>
      <w:r>
        <w:t xml:space="preserve">denso, y al </w:t>
      </w:r>
      <w:r w:rsidR="00F918EE">
        <w:t>observar</w:t>
      </w:r>
      <w:r>
        <w:t xml:space="preserve"> la mentalidad-materialidad con sus condiciones </w:t>
      </w:r>
      <w:r w:rsidR="00F918EE">
        <w:t xml:space="preserve">se hará </w:t>
      </w:r>
      <w:r w:rsidR="00270CFE">
        <w:t xml:space="preserve">más </w:t>
      </w:r>
      <w:r>
        <w:t xml:space="preserve">sutil; eso también </w:t>
      </w:r>
      <w:r w:rsidR="00BF6E8E">
        <w:t xml:space="preserve">se hará </w:t>
      </w:r>
      <w:r w:rsidR="00270CFE">
        <w:t xml:space="preserve">más </w:t>
      </w:r>
      <w:r>
        <w:t xml:space="preserve">denso, y en la </w:t>
      </w:r>
      <w:r w:rsidR="00270CFE">
        <w:t>sabiduría</w:t>
      </w:r>
      <w:r>
        <w:t xml:space="preserve"> que </w:t>
      </w:r>
      <w:r w:rsidR="00270CFE">
        <w:t>pose</w:t>
      </w:r>
      <w:r w:rsidR="00BF6E8E">
        <w:t>a</w:t>
      </w:r>
      <w:r w:rsidR="00270CFE">
        <w:t xml:space="preserve"> </w:t>
      </w:r>
      <w:r>
        <w:t xml:space="preserve">las características de la impermanencia, etc. como su objeto, </w:t>
      </w:r>
      <w:r w:rsidR="00BF6E8E">
        <w:t xml:space="preserve">se hará </w:t>
      </w:r>
      <w:r w:rsidR="00270CFE">
        <w:t xml:space="preserve">más </w:t>
      </w:r>
      <w:r>
        <w:t xml:space="preserve">sutil; eso también </w:t>
      </w:r>
      <w:r w:rsidR="00BF6E8E">
        <w:t xml:space="preserve">se hará </w:t>
      </w:r>
      <w:r w:rsidR="00270CFE">
        <w:t xml:space="preserve">más denso </w:t>
      </w:r>
      <w:r>
        <w:t xml:space="preserve">en la </w:t>
      </w:r>
      <w:r w:rsidR="00270CFE">
        <w:t>sabiduría</w:t>
      </w:r>
      <w:r>
        <w:t xml:space="preserve"> débil, mientras que en la </w:t>
      </w:r>
      <w:r w:rsidR="00270CFE">
        <w:t xml:space="preserve">sabiduría </w:t>
      </w:r>
      <w:r>
        <w:t xml:space="preserve">fuerte </w:t>
      </w:r>
      <w:r w:rsidR="00BF6E8E">
        <w:t xml:space="preserve">se hará </w:t>
      </w:r>
      <w:r w:rsidR="00270CFE">
        <w:t xml:space="preserve">más </w:t>
      </w:r>
      <w:r>
        <w:t>sutil.</w:t>
      </w:r>
    </w:p>
    <w:p w14:paraId="1572C2EC" w14:textId="0FC0F6E4" w:rsidR="003E772E" w:rsidRDefault="003E772E" w:rsidP="003E772E">
      <w:pPr>
        <w:pStyle w:val="NormalConSangria"/>
      </w:pPr>
      <w:r>
        <w:t>Aquí, l</w:t>
      </w:r>
      <w:r w:rsidR="00270CFE">
        <w:t>a</w:t>
      </w:r>
      <w:r>
        <w:t xml:space="preserve"> tranquiliza</w:t>
      </w:r>
      <w:r w:rsidR="00270CFE">
        <w:t>ción</w:t>
      </w:r>
      <w:r>
        <w:t xml:space="preserve"> debe</w:t>
      </w:r>
      <w:r w:rsidR="00270CFE">
        <w:t>rá</w:t>
      </w:r>
      <w:r>
        <w:t xml:space="preserve"> entenderse como la tranquili</w:t>
      </w:r>
      <w:r w:rsidR="00270CFE">
        <w:t>zación</w:t>
      </w:r>
      <w:r>
        <w:t xml:space="preserve"> relativa de lo posterior en comparación con lo anterior. Así debe</w:t>
      </w:r>
      <w:r w:rsidR="00270CFE">
        <w:t>rá</w:t>
      </w:r>
      <w:r>
        <w:t xml:space="preserve"> entenderse aquí el estado denso y sutil, y l</w:t>
      </w:r>
      <w:r w:rsidR="00270CFE">
        <w:t>a</w:t>
      </w:r>
      <w:r>
        <w:t xml:space="preserve"> tranquiliza</w:t>
      </w:r>
      <w:r w:rsidR="00270CFE">
        <w:t>ción</w:t>
      </w:r>
      <w:r>
        <w:t xml:space="preserve"> progresiv</w:t>
      </w:r>
      <w:r w:rsidR="00270CFE">
        <w:t>a</w:t>
      </w:r>
      <w:r>
        <w:t>. [276]</w:t>
      </w:r>
    </w:p>
    <w:p w14:paraId="6EACA668" w14:textId="7F310DED" w:rsidR="003E772E" w:rsidRDefault="003E772E" w:rsidP="003E772E">
      <w:r>
        <w:t xml:space="preserve">181. </w:t>
      </w:r>
      <w:r>
        <w:tab/>
        <w:t>Pero el significado de esto se da</w:t>
      </w:r>
      <w:r w:rsidR="00270CFE">
        <w:t>rá</w:t>
      </w:r>
      <w:r>
        <w:t xml:space="preserve"> en el </w:t>
      </w:r>
      <w:proofErr w:type="spellStart"/>
      <w:r w:rsidRPr="00092771">
        <w:rPr>
          <w:i/>
          <w:iCs/>
        </w:rPr>
        <w:t>Paṭisambhidā</w:t>
      </w:r>
      <w:proofErr w:type="spellEnd"/>
      <w:r>
        <w:t xml:space="preserve"> junto con la objeción y aclaración así:</w:t>
      </w:r>
    </w:p>
    <w:p w14:paraId="7078D957" w14:textId="386700C9" w:rsidR="003E772E" w:rsidRDefault="003E772E" w:rsidP="003E772E">
      <w:pPr>
        <w:pStyle w:val="NormalConSangria"/>
      </w:pPr>
      <w:r>
        <w:t xml:space="preserve">“¿Cómo es que él </w:t>
      </w:r>
      <w:r w:rsidR="00BF6E8E">
        <w:t xml:space="preserve">así </w:t>
      </w:r>
      <w:r w:rsidR="00270CFE">
        <w:t xml:space="preserve">se </w:t>
      </w:r>
      <w:r>
        <w:t xml:space="preserve">entrena: ‘Debo inhalar… debo exhalar tranquilizando la formación corporal? ¿Qué son las formaciones corporales? Las inhalaciones largas... las exhalaciones experimentando todo el </w:t>
      </w:r>
      <w:proofErr w:type="gramStart"/>
      <w:r>
        <w:t>cuerpo pertenec</w:t>
      </w:r>
      <w:r w:rsidR="00AF481E">
        <w:t>i</w:t>
      </w:r>
      <w:r>
        <w:t>en</w:t>
      </w:r>
      <w:r w:rsidR="00AF481E">
        <w:t>tes</w:t>
      </w:r>
      <w:proofErr w:type="gramEnd"/>
      <w:r>
        <w:t xml:space="preserve"> al cuerpo; estas cosas, al estar ligadas al cuerpo, </w:t>
      </w:r>
      <w:r w:rsidR="00AF481E">
        <w:t xml:space="preserve">representan las </w:t>
      </w:r>
      <w:r>
        <w:t>formaciones corporales;’ se entrena en tranquilizar, detener, aquietar, esas formaciones corporales.</w:t>
      </w:r>
    </w:p>
    <w:p w14:paraId="1D653191" w14:textId="1F1E2A13" w:rsidR="0041280F" w:rsidRDefault="003E772E" w:rsidP="0041280F">
      <w:pPr>
        <w:pStyle w:val="NormalConSangria"/>
      </w:pPr>
      <w:r>
        <w:t>“Cuando hay</w:t>
      </w:r>
      <w:r w:rsidR="00AF481E">
        <w:t>a</w:t>
      </w:r>
      <w:r>
        <w:t xml:space="preserve"> tales formaciones corporales </w:t>
      </w:r>
      <w:r w:rsidR="00F67F96">
        <w:t xml:space="preserve">como </w:t>
      </w:r>
      <w:r w:rsidR="002E6C27">
        <w:t xml:space="preserve">que haga que </w:t>
      </w:r>
      <w:r w:rsidR="00F67F96">
        <w:t xml:space="preserve">el cuerpo </w:t>
      </w:r>
      <w:r>
        <w:t xml:space="preserve">se </w:t>
      </w:r>
      <w:r w:rsidR="003945D5">
        <w:t>incline</w:t>
      </w:r>
      <w:r>
        <w:t xml:space="preserve"> hacia atrás, hacia los </w:t>
      </w:r>
      <w:r w:rsidR="00F67F96">
        <w:t>costados,</w:t>
      </w:r>
      <w:r>
        <w:t xml:space="preserve"> en todas las direcciones y hacia adelante, y </w:t>
      </w:r>
      <w:r w:rsidR="003604EA">
        <w:t xml:space="preserve">que haya </w:t>
      </w:r>
      <w:r>
        <w:t>perturbación, vacilación, movimiento y sacudida</w:t>
      </w:r>
      <w:r w:rsidR="003604EA">
        <w:t>s</w:t>
      </w:r>
      <w:r>
        <w:t xml:space="preserve"> del cuerpo, él </w:t>
      </w:r>
      <w:r w:rsidR="003945D5">
        <w:t xml:space="preserve">se </w:t>
      </w:r>
      <w:r>
        <w:t>entrena</w:t>
      </w:r>
      <w:r w:rsidR="003604EA">
        <w:t>rá</w:t>
      </w:r>
      <w:r>
        <w:t xml:space="preserve"> así: 'Debo inhalar tranquilizando </w:t>
      </w:r>
      <w:r w:rsidR="0041280F">
        <w:br w:type="page"/>
      </w:r>
    </w:p>
    <w:p w14:paraId="28371123" w14:textId="77777777" w:rsidR="0041280F" w:rsidRDefault="0041280F" w:rsidP="0041280F"/>
    <w:p w14:paraId="6183EB3F" w14:textId="3A956FA5" w:rsidR="00B85909" w:rsidRDefault="003E772E" w:rsidP="0041280F">
      <w:r>
        <w:t xml:space="preserve">la formación corporal'; él </w:t>
      </w:r>
      <w:r w:rsidR="003945D5">
        <w:t xml:space="preserve">se </w:t>
      </w:r>
      <w:r>
        <w:t>entrena</w:t>
      </w:r>
      <w:r w:rsidR="003604EA">
        <w:t>rá</w:t>
      </w:r>
      <w:r>
        <w:t xml:space="preserve"> así: 'Debo exhalar tranquilizando la formación corporal'. </w:t>
      </w:r>
      <w:r w:rsidR="003604EA">
        <w:t xml:space="preserve">Cuando haya </w:t>
      </w:r>
      <w:r w:rsidR="00F67F96">
        <w:t xml:space="preserve">tales formaciones </w:t>
      </w:r>
      <w:r w:rsidR="003945D5">
        <w:t xml:space="preserve">corporales </w:t>
      </w:r>
      <w:r w:rsidR="003604EA">
        <w:t>en</w:t>
      </w:r>
      <w:r w:rsidR="00B85909">
        <w:t xml:space="preserve"> l</w:t>
      </w:r>
      <w:r w:rsidR="003945D5">
        <w:t>as</w:t>
      </w:r>
      <w:r w:rsidR="00B85909">
        <w:t xml:space="preserve"> que no hay</w:t>
      </w:r>
      <w:r w:rsidR="003945D5">
        <w:t>a</w:t>
      </w:r>
      <w:r w:rsidR="00B85909">
        <w:t xml:space="preserve"> </w:t>
      </w:r>
      <w:r w:rsidR="003945D5">
        <w:t>inclinación</w:t>
      </w:r>
      <w:r w:rsidR="00B85909">
        <w:t xml:space="preserve"> </w:t>
      </w:r>
      <w:r w:rsidR="003D30DB">
        <w:t xml:space="preserve">física </w:t>
      </w:r>
      <w:r w:rsidR="00B85909">
        <w:t xml:space="preserve">hacia atrás, hacia los </w:t>
      </w:r>
      <w:r w:rsidR="003604EA">
        <w:t>costados,</w:t>
      </w:r>
      <w:r w:rsidR="003945D5">
        <w:t xml:space="preserve"> </w:t>
      </w:r>
      <w:r w:rsidR="003D30DB">
        <w:t xml:space="preserve">hacia </w:t>
      </w:r>
      <w:r w:rsidR="00B85909">
        <w:t>todas las direcciones, y hacia adelante, y no hay</w:t>
      </w:r>
      <w:r w:rsidR="003945D5">
        <w:t>a</w:t>
      </w:r>
      <w:r w:rsidR="00B85909">
        <w:t xml:space="preserve"> perturbación, vacilación, movimiento y sacudida del cuerpo, en silencio, sutilmente, él </w:t>
      </w:r>
      <w:r w:rsidR="003945D5">
        <w:t xml:space="preserve">se </w:t>
      </w:r>
      <w:r w:rsidR="00B85909">
        <w:t>entrena</w:t>
      </w:r>
      <w:r w:rsidR="003604EA">
        <w:t>rá</w:t>
      </w:r>
      <w:r w:rsidR="00B85909">
        <w:t xml:space="preserve"> así: </w:t>
      </w:r>
      <w:r w:rsidR="0067003D">
        <w:t xml:space="preserve">'Inhalaré </w:t>
      </w:r>
      <w:r w:rsidR="00B85909">
        <w:t xml:space="preserve">tranquilizando la formación corporal'; él </w:t>
      </w:r>
      <w:r w:rsidR="003945D5">
        <w:t xml:space="preserve">se </w:t>
      </w:r>
      <w:r w:rsidR="00B85909">
        <w:t>entrena</w:t>
      </w:r>
      <w:r w:rsidR="00A541E1">
        <w:t>rá</w:t>
      </w:r>
      <w:r w:rsidR="00B85909">
        <w:t xml:space="preserve"> así: 'Exhalaré tranquilizando la formación corporal.'</w:t>
      </w:r>
    </w:p>
    <w:p w14:paraId="1CE4B797" w14:textId="10B9FACD" w:rsidR="00B85909" w:rsidRDefault="00B85909" w:rsidP="00B85909">
      <w:r>
        <w:t xml:space="preserve">182. </w:t>
      </w:r>
      <w:r>
        <w:tab/>
        <w:t xml:space="preserve">“[Objeción:] Entonces, él </w:t>
      </w:r>
      <w:r w:rsidR="00D25450">
        <w:t xml:space="preserve">se </w:t>
      </w:r>
      <w:r>
        <w:t>entrena</w:t>
      </w:r>
      <w:r w:rsidR="00D25450">
        <w:t>rá</w:t>
      </w:r>
      <w:r>
        <w:t xml:space="preserve"> así: </w:t>
      </w:r>
      <w:r w:rsidR="00D25450">
        <w:t xml:space="preserve">'Inhalaré </w:t>
      </w:r>
      <w:r>
        <w:t xml:space="preserve">tranquilizando la formación corporal', él </w:t>
      </w:r>
      <w:r w:rsidR="00D25450">
        <w:t xml:space="preserve">se </w:t>
      </w:r>
      <w:r>
        <w:t>entrena</w:t>
      </w:r>
      <w:r w:rsidR="00D25450">
        <w:t>rá</w:t>
      </w:r>
      <w:r>
        <w:t xml:space="preserve"> así: </w:t>
      </w:r>
      <w:r w:rsidR="00D25450">
        <w:t xml:space="preserve">'Exhalaré </w:t>
      </w:r>
      <w:r>
        <w:t xml:space="preserve">tranquilizando la formación corporal': </w:t>
      </w:r>
      <w:r w:rsidR="001E1F31">
        <w:t xml:space="preserve">al ser </w:t>
      </w:r>
      <w:r>
        <w:t xml:space="preserve">así, no </w:t>
      </w:r>
      <w:r w:rsidR="003A1EBF">
        <w:t>se generará</w:t>
      </w:r>
      <w:r>
        <w:t xml:space="preserve"> </w:t>
      </w:r>
      <w:r w:rsidR="003A1EBF">
        <w:t xml:space="preserve">la </w:t>
      </w:r>
      <w:r>
        <w:t xml:space="preserve">producción de </w:t>
      </w:r>
      <w:r w:rsidR="003A1EBF">
        <w:t xml:space="preserve">la </w:t>
      </w:r>
      <w:r>
        <w:t>con</w:t>
      </w:r>
      <w:r w:rsidR="003A1EBF">
        <w:t>s</w:t>
      </w:r>
      <w:r>
        <w:t xml:space="preserve">ciencia del </w:t>
      </w:r>
      <w:r w:rsidR="001E1F31">
        <w:t>aire</w:t>
      </w:r>
      <w:r>
        <w:t>, y no ha</w:t>
      </w:r>
      <w:r w:rsidR="001E1F31">
        <w:t>brá</w:t>
      </w:r>
      <w:r>
        <w:t xml:space="preserve"> producción de inhalaciones y exhalaciones, y no ha</w:t>
      </w:r>
      <w:r w:rsidR="001E1F31">
        <w:t>brá</w:t>
      </w:r>
      <w:r>
        <w:t xml:space="preserve"> producción de </w:t>
      </w:r>
      <w:r w:rsidR="00191AB8">
        <w:t xml:space="preserve">la </w:t>
      </w:r>
      <w:r>
        <w:t>atención en la respiración, y no ha</w:t>
      </w:r>
      <w:r w:rsidR="00191AB8">
        <w:t>brá</w:t>
      </w:r>
      <w:r>
        <w:t xml:space="preserve"> producción de </w:t>
      </w:r>
      <w:r w:rsidR="00191AB8">
        <w:t xml:space="preserve">la </w:t>
      </w:r>
      <w:r>
        <w:t>concentración a través de la atención en la respiración, y en consecuencia el sabio ni entra</w:t>
      </w:r>
      <w:r w:rsidR="00191AB8">
        <w:t>rá</w:t>
      </w:r>
      <w:r>
        <w:t xml:space="preserve"> ni sal</w:t>
      </w:r>
      <w:r w:rsidR="00191AB8">
        <w:t>drá</w:t>
      </w:r>
      <w:r>
        <w:t xml:space="preserve"> de es</w:t>
      </w:r>
      <w:r w:rsidR="0063641B">
        <w:t>a</w:t>
      </w:r>
      <w:r>
        <w:t xml:space="preserve"> </w:t>
      </w:r>
      <w:r w:rsidR="00191AB8">
        <w:t>consumación</w:t>
      </w:r>
      <w:r>
        <w:t>.</w:t>
      </w:r>
    </w:p>
    <w:p w14:paraId="0D63DE52" w14:textId="2CB3CAF2" w:rsidR="00B85909" w:rsidRDefault="00B85909" w:rsidP="00B85909">
      <w:r>
        <w:t xml:space="preserve">183. </w:t>
      </w:r>
      <w:r>
        <w:tab/>
        <w:t xml:space="preserve">“[Aclaración:] Entonces, él </w:t>
      </w:r>
      <w:r w:rsidR="00191AB8">
        <w:t xml:space="preserve">se </w:t>
      </w:r>
      <w:r>
        <w:t>entrena</w:t>
      </w:r>
      <w:r w:rsidR="00191AB8">
        <w:t>rá</w:t>
      </w:r>
      <w:r>
        <w:t xml:space="preserve"> así: </w:t>
      </w:r>
      <w:r w:rsidR="00191AB8">
        <w:t xml:space="preserve">'Inhalaré </w:t>
      </w:r>
      <w:r>
        <w:t xml:space="preserve">tranquilizando la formación corporal', él </w:t>
      </w:r>
      <w:r w:rsidR="00191AB8">
        <w:t xml:space="preserve">se </w:t>
      </w:r>
      <w:r>
        <w:t>entrena</w:t>
      </w:r>
      <w:r w:rsidR="00191AB8">
        <w:t>rá</w:t>
      </w:r>
      <w:r>
        <w:t xml:space="preserve"> así: </w:t>
      </w:r>
      <w:r w:rsidR="00191AB8">
        <w:t xml:space="preserve">'Exhalaré </w:t>
      </w:r>
      <w:r>
        <w:t xml:space="preserve">tranquilizando la formación corporal': siendo así, </w:t>
      </w:r>
      <w:r w:rsidR="0051568F">
        <w:t>se generará la</w:t>
      </w:r>
      <w:r>
        <w:t xml:space="preserve"> producción de </w:t>
      </w:r>
      <w:r w:rsidR="0051568F">
        <w:t xml:space="preserve">la </w:t>
      </w:r>
      <w:r>
        <w:t>con</w:t>
      </w:r>
      <w:r w:rsidR="0051568F">
        <w:t>s</w:t>
      </w:r>
      <w:r>
        <w:t>ciencia de</w:t>
      </w:r>
      <w:r w:rsidR="00FE08C2">
        <w:t>l</w:t>
      </w:r>
      <w:r>
        <w:t xml:space="preserve"> </w:t>
      </w:r>
      <w:r w:rsidR="0051568F">
        <w:t>aire</w:t>
      </w:r>
      <w:r>
        <w:t xml:space="preserve">, y </w:t>
      </w:r>
      <w:r w:rsidR="0051568F">
        <w:t xml:space="preserve">habrá </w:t>
      </w:r>
      <w:r>
        <w:t xml:space="preserve">producción de inhalaciones y exhalaciones, y </w:t>
      </w:r>
      <w:r w:rsidR="0051568F">
        <w:t xml:space="preserve">habrá </w:t>
      </w:r>
      <w:r>
        <w:t xml:space="preserve">producción de </w:t>
      </w:r>
      <w:r w:rsidR="0051568F">
        <w:t xml:space="preserve">la </w:t>
      </w:r>
      <w:r>
        <w:t xml:space="preserve">atención en la respiración, y </w:t>
      </w:r>
      <w:r w:rsidR="0051568F">
        <w:t xml:space="preserve">habrá </w:t>
      </w:r>
      <w:r>
        <w:t xml:space="preserve">producción de </w:t>
      </w:r>
      <w:r w:rsidR="0051568F">
        <w:t xml:space="preserve">la </w:t>
      </w:r>
      <w:r>
        <w:t>concentración a través de la atención en la respiración, y en consecuencia, los sabios entra</w:t>
      </w:r>
      <w:r w:rsidR="0051568F">
        <w:t>rá</w:t>
      </w:r>
      <w:r>
        <w:t>n y emerge</w:t>
      </w:r>
      <w:r w:rsidR="0051568F">
        <w:t>rá</w:t>
      </w:r>
      <w:r>
        <w:t>n de es</w:t>
      </w:r>
      <w:r w:rsidR="0051568F">
        <w:t>a</w:t>
      </w:r>
      <w:r>
        <w:t xml:space="preserve"> </w:t>
      </w:r>
      <w:r w:rsidR="0051568F">
        <w:t>consumación</w:t>
      </w:r>
      <w:r>
        <w:t>.</w:t>
      </w:r>
    </w:p>
    <w:p w14:paraId="4B54A7AF" w14:textId="0B12BC84" w:rsidR="00B85909" w:rsidRDefault="00B85909" w:rsidP="00B85909">
      <w:r>
        <w:t xml:space="preserve">184. </w:t>
      </w:r>
      <w:r>
        <w:tab/>
        <w:t xml:space="preserve">“¿Cómo? </w:t>
      </w:r>
      <w:r w:rsidR="002F7E69">
        <w:t>De igual forma que al hacer sonar</w:t>
      </w:r>
      <w:r>
        <w:t xml:space="preserve"> un gong. Al principio se produc</w:t>
      </w:r>
      <w:r w:rsidR="002F7E69">
        <w:t>irá</w:t>
      </w:r>
      <w:r>
        <w:t xml:space="preserve">n sonidos </w:t>
      </w:r>
      <w:r w:rsidR="002F7E69">
        <w:t xml:space="preserve">densos </w:t>
      </w:r>
      <w:r>
        <w:t>y la con</w:t>
      </w:r>
      <w:r w:rsidR="002F7E69">
        <w:t>s</w:t>
      </w:r>
      <w:r>
        <w:t>ciencia ocurr</w:t>
      </w:r>
      <w:r w:rsidR="002F7E69">
        <w:t>irá</w:t>
      </w:r>
      <w:r>
        <w:t xml:space="preserve"> porque el signo de los sonidos </w:t>
      </w:r>
      <w:r w:rsidR="002F7E69">
        <w:t xml:space="preserve">densos </w:t>
      </w:r>
      <w:r>
        <w:t>se aprehende</w:t>
      </w:r>
      <w:r w:rsidR="002F7E69">
        <w:t>rá</w:t>
      </w:r>
      <w:r>
        <w:t xml:space="preserve"> bien, se atende</w:t>
      </w:r>
      <w:r w:rsidR="00BA6811">
        <w:t>rá</w:t>
      </w:r>
      <w:r>
        <w:t xml:space="preserve"> bien, se observa</w:t>
      </w:r>
      <w:r w:rsidR="00BA6811">
        <w:t>rá</w:t>
      </w:r>
      <w:r>
        <w:t xml:space="preserve"> bien; y cuando los sonidos </w:t>
      </w:r>
      <w:r w:rsidR="00BA6811">
        <w:t xml:space="preserve">densos </w:t>
      </w:r>
      <w:r>
        <w:t>ha</w:t>
      </w:r>
      <w:r w:rsidR="00BA6811">
        <w:t>ya</w:t>
      </w:r>
      <w:r>
        <w:t>n cesado, luego ocurr</w:t>
      </w:r>
      <w:r w:rsidR="00BA6811">
        <w:t>irá</w:t>
      </w:r>
      <w:r>
        <w:t>n los sonidos débiles y ocurr</w:t>
      </w:r>
      <w:r w:rsidR="00BA6811">
        <w:t>irá</w:t>
      </w:r>
      <w:r>
        <w:t xml:space="preserve"> la con</w:t>
      </w:r>
      <w:r w:rsidR="00BA6811">
        <w:t>s</w:t>
      </w:r>
      <w:r>
        <w:t xml:space="preserve">ciencia porque el signo de los sonidos débiles </w:t>
      </w:r>
      <w:r w:rsidR="00BA6811">
        <w:t>será</w:t>
      </w:r>
      <w:r w:rsidR="004F35F4">
        <w:t>n</w:t>
      </w:r>
      <w:r w:rsidR="00BA6811">
        <w:t xml:space="preserve"> </w:t>
      </w:r>
      <w:r>
        <w:t>bien aprehendido</w:t>
      </w:r>
      <w:r w:rsidR="00BA6811">
        <w:t>s</w:t>
      </w:r>
      <w:r>
        <w:t>, bien atendido</w:t>
      </w:r>
      <w:r w:rsidR="00BA6811">
        <w:t>s</w:t>
      </w:r>
      <w:r>
        <w:t>, bien observado</w:t>
      </w:r>
      <w:r w:rsidR="00BA6811">
        <w:t>s</w:t>
      </w:r>
      <w:r>
        <w:t>; y cuando los sonidos débiles ha</w:t>
      </w:r>
      <w:r w:rsidR="00BA6811">
        <w:t>ya</w:t>
      </w:r>
      <w:r>
        <w:t>n cesado, [277] después se produc</w:t>
      </w:r>
      <w:r w:rsidR="00732D0B">
        <w:t>irá</w:t>
      </w:r>
      <w:r>
        <w:t xml:space="preserve"> la con</w:t>
      </w:r>
      <w:r w:rsidR="00732D0B">
        <w:t>s</w:t>
      </w:r>
      <w:r>
        <w:t xml:space="preserve">ciencia porque </w:t>
      </w:r>
      <w:r w:rsidR="002B35EC">
        <w:t>tendrá</w:t>
      </w:r>
      <w:r>
        <w:t xml:space="preserve"> el signo de los sonidos débiles como su objeto</w:t>
      </w:r>
      <w:r w:rsidRPr="00DB065F">
        <w:rPr>
          <w:vertAlign w:val="superscript"/>
        </w:rPr>
        <w:t>51</w:t>
      </w:r>
      <w:r>
        <w:t xml:space="preserve"> —así también, al principio se produc</w:t>
      </w:r>
      <w:r w:rsidR="00732D0B">
        <w:t>irá</w:t>
      </w:r>
      <w:r>
        <w:t xml:space="preserve">n inhalaciones y exhalaciones </w:t>
      </w:r>
      <w:r w:rsidR="00732D0B">
        <w:t xml:space="preserve">densas </w:t>
      </w:r>
      <w:r>
        <w:t>y la con</w:t>
      </w:r>
      <w:r w:rsidR="00732D0B">
        <w:t>s</w:t>
      </w:r>
      <w:r>
        <w:t>ciencia no se distrae</w:t>
      </w:r>
      <w:r w:rsidR="00732D0B">
        <w:t>rá</w:t>
      </w:r>
      <w:r>
        <w:t xml:space="preserve"> </w:t>
      </w:r>
      <w:r w:rsidR="00732D0B">
        <w:t xml:space="preserve">ya </w:t>
      </w:r>
      <w:r>
        <w:t xml:space="preserve">que el signo de las inhalaciones y exhalaciones </w:t>
      </w:r>
      <w:r w:rsidR="00732D0B">
        <w:t>densas será</w:t>
      </w:r>
      <w:r>
        <w:t xml:space="preserve"> bien aprehend</w:t>
      </w:r>
      <w:r w:rsidR="001729B2">
        <w:t>o</w:t>
      </w:r>
      <w:r>
        <w:t>, bien atendid</w:t>
      </w:r>
      <w:r w:rsidR="001729B2">
        <w:t>o</w:t>
      </w:r>
      <w:r>
        <w:t xml:space="preserve">, bien observado; y cuando las inhalaciones y exhalaciones </w:t>
      </w:r>
      <w:r w:rsidR="001729B2">
        <w:t xml:space="preserve">densas </w:t>
      </w:r>
      <w:r>
        <w:t>ha</w:t>
      </w:r>
      <w:r w:rsidR="001729B2">
        <w:t>ya</w:t>
      </w:r>
      <w:r>
        <w:t>n cesado, luego ocurr</w:t>
      </w:r>
      <w:r w:rsidR="001729B2">
        <w:t>irá</w:t>
      </w:r>
      <w:r>
        <w:t>n inhalaciones y exhalaciones débiles y la con</w:t>
      </w:r>
      <w:r w:rsidR="001729B2">
        <w:t>s</w:t>
      </w:r>
      <w:r>
        <w:t>ciencia no se distrae</w:t>
      </w:r>
      <w:r w:rsidR="001729B2">
        <w:t>rá</w:t>
      </w:r>
      <w:r>
        <w:t xml:space="preserve"> porque el signo de las inhalaciones y exhalaciones débiles </w:t>
      </w:r>
      <w:r w:rsidR="001729B2">
        <w:t xml:space="preserve">será </w:t>
      </w:r>
      <w:r>
        <w:t>bien percibido, bien atendido, bien observado; y cuando ha</w:t>
      </w:r>
      <w:r w:rsidR="001729B2">
        <w:t>ya</w:t>
      </w:r>
      <w:r>
        <w:t>n cesado las inhalaciones y exhalaciones</w:t>
      </w:r>
      <w:r w:rsidR="001729B2" w:rsidRPr="001729B2">
        <w:t xml:space="preserve"> </w:t>
      </w:r>
      <w:r w:rsidR="001729B2">
        <w:t>débiles</w:t>
      </w:r>
      <w:r>
        <w:t>, entonces la con</w:t>
      </w:r>
      <w:r w:rsidR="001729B2">
        <w:t>s</w:t>
      </w:r>
      <w:r>
        <w:t>ciencia no se distrae</w:t>
      </w:r>
      <w:r w:rsidR="001729B2">
        <w:t>rá</w:t>
      </w:r>
      <w:r>
        <w:t xml:space="preserve"> porque </w:t>
      </w:r>
      <w:r w:rsidR="00FE08C2">
        <w:t xml:space="preserve">tendrá </w:t>
      </w:r>
      <w:r>
        <w:t xml:space="preserve">como objeto </w:t>
      </w:r>
      <w:r w:rsidR="00FE08C2">
        <w:t>a</w:t>
      </w:r>
      <w:r>
        <w:t>l signo de las inhalaciones y exhalaciones</w:t>
      </w:r>
      <w:r w:rsidR="00FE08C2" w:rsidRPr="00FE08C2">
        <w:t xml:space="preserve"> </w:t>
      </w:r>
      <w:r w:rsidR="00FE08C2">
        <w:t>débiles</w:t>
      </w:r>
      <w:r>
        <w:t>.</w:t>
      </w:r>
    </w:p>
    <w:p w14:paraId="09B1D1C0" w14:textId="25CAF970" w:rsidR="00B85909" w:rsidRDefault="00B85909" w:rsidP="00B85909">
      <w:pPr>
        <w:pStyle w:val="NormalConSangria"/>
      </w:pPr>
      <w:r>
        <w:t xml:space="preserve">“Siendo así, </w:t>
      </w:r>
      <w:r w:rsidR="00DB4473">
        <w:t>se generará la</w:t>
      </w:r>
      <w:r>
        <w:t xml:space="preserve"> producción de </w:t>
      </w:r>
      <w:r w:rsidR="00DB4473">
        <w:t xml:space="preserve">la </w:t>
      </w:r>
      <w:r>
        <w:t>con</w:t>
      </w:r>
      <w:r w:rsidR="00DB4473">
        <w:t>s</w:t>
      </w:r>
      <w:r>
        <w:t xml:space="preserve">ciencia del </w:t>
      </w:r>
      <w:r w:rsidR="00DB4473">
        <w:t>aire</w:t>
      </w:r>
      <w:r>
        <w:t xml:space="preserve">, y </w:t>
      </w:r>
      <w:r w:rsidR="00DB4473">
        <w:t xml:space="preserve">se generará la </w:t>
      </w:r>
      <w:r>
        <w:t xml:space="preserve">producción de </w:t>
      </w:r>
      <w:r w:rsidR="00DB4473">
        <w:t xml:space="preserve">las </w:t>
      </w:r>
      <w:r>
        <w:t xml:space="preserve">inhalaciones y exhalaciones, y </w:t>
      </w:r>
      <w:r w:rsidR="00DB4473">
        <w:t xml:space="preserve">se generará la </w:t>
      </w:r>
      <w:r>
        <w:t xml:space="preserve">producción de </w:t>
      </w:r>
      <w:r w:rsidR="00DB4473">
        <w:t xml:space="preserve">la </w:t>
      </w:r>
      <w:r>
        <w:t xml:space="preserve">atención </w:t>
      </w:r>
      <w:r w:rsidR="00DB4473">
        <w:t>en</w:t>
      </w:r>
      <w:r>
        <w:t xml:space="preserve"> la respiración, y </w:t>
      </w:r>
      <w:r w:rsidR="00DB4473">
        <w:t xml:space="preserve">se generará la </w:t>
      </w:r>
      <w:r>
        <w:t xml:space="preserve">producción de </w:t>
      </w:r>
      <w:r w:rsidR="00DB4473">
        <w:t xml:space="preserve">la </w:t>
      </w:r>
      <w:r>
        <w:t xml:space="preserve">concentración a través de la atención </w:t>
      </w:r>
      <w:r w:rsidR="00DB4473">
        <w:t>en</w:t>
      </w:r>
      <w:r>
        <w:t xml:space="preserve"> la respiración, y en consecuencia el sabio entrar</w:t>
      </w:r>
      <w:r w:rsidR="00D849CC">
        <w:t>á</w:t>
      </w:r>
      <w:r>
        <w:t xml:space="preserve"> y </w:t>
      </w:r>
      <w:r w:rsidR="00D849CC">
        <w:t xml:space="preserve">emergerá </w:t>
      </w:r>
      <w:r>
        <w:t>de es</w:t>
      </w:r>
      <w:r w:rsidR="00D849CC">
        <w:t>a</w:t>
      </w:r>
      <w:r>
        <w:t xml:space="preserve"> </w:t>
      </w:r>
      <w:r w:rsidR="00011D4E">
        <w:t>consumación</w:t>
      </w:r>
      <w:r>
        <w:t>.</w:t>
      </w:r>
    </w:p>
    <w:p w14:paraId="3EDF6336" w14:textId="77777777" w:rsidR="00B85909" w:rsidRDefault="00B85909" w:rsidP="00B85909">
      <w:pPr>
        <w:pStyle w:val="NormalConSangria"/>
      </w:pPr>
    </w:p>
    <w:p w14:paraId="7A1E213A" w14:textId="515B1DD5" w:rsidR="00B85909" w:rsidRDefault="00B85909" w:rsidP="00B85909">
      <w:pPr>
        <w:pStyle w:val="Piedepgina"/>
        <w:rPr>
          <w:u w:val="single"/>
        </w:rPr>
      </w:pPr>
      <w:r>
        <w:rPr>
          <w:u w:val="single"/>
        </w:rPr>
        <w:t xml:space="preserve">                                                                                                                                                                          .</w:t>
      </w:r>
    </w:p>
    <w:p w14:paraId="450238E9" w14:textId="3B667A82" w:rsidR="00E84876" w:rsidRDefault="00B85909" w:rsidP="00F759A1">
      <w:pPr>
        <w:pStyle w:val="PiedepginaLegal"/>
        <w:tabs>
          <w:tab w:val="clear" w:pos="6804"/>
        </w:tabs>
        <w:ind w:right="334"/>
      </w:pPr>
      <w:r>
        <w:t xml:space="preserve">51. </w:t>
      </w:r>
      <w:r>
        <w:tab/>
        <w:t>“El sonido débil en sí mismo como un signo es el 'signo de los sonidos débiles'; tiene e</w:t>
      </w:r>
      <w:r w:rsidR="00E93CFC">
        <w:t>ll</w:t>
      </w:r>
      <w:r>
        <w:t>o como su objeto. ¿Qué significa</w:t>
      </w:r>
      <w:r w:rsidR="00CD5815">
        <w:t xml:space="preserve"> esto</w:t>
      </w:r>
      <w:r>
        <w:t xml:space="preserve">? Por supuesto, los sonidos </w:t>
      </w:r>
      <w:r w:rsidR="00CD5815">
        <w:t xml:space="preserve">débiles </w:t>
      </w:r>
      <w:r>
        <w:t>también ha</w:t>
      </w:r>
      <w:r w:rsidR="00E93CFC">
        <w:t>brá</w:t>
      </w:r>
      <w:r>
        <w:t>n cesado entonces; pero el signo de los sonidos ha</w:t>
      </w:r>
      <w:r w:rsidR="00231ECD">
        <w:t>brá</w:t>
      </w:r>
      <w:r>
        <w:t xml:space="preserve"> sido bien aprehendido y así la con</w:t>
      </w:r>
      <w:r w:rsidR="00DB065F">
        <w:t>s</w:t>
      </w:r>
      <w:r>
        <w:t>ciencia se produc</w:t>
      </w:r>
      <w:r w:rsidR="00DB065F">
        <w:t>irá</w:t>
      </w:r>
      <w:r>
        <w:t xml:space="preserve"> con el signo de los sonidos más débiles como su objeto. Ya que desde el principio determina</w:t>
      </w:r>
      <w:r w:rsidR="00231ECD">
        <w:t>rán</w:t>
      </w:r>
      <w:r>
        <w:t xml:space="preserve"> con la con</w:t>
      </w:r>
      <w:r w:rsidR="00DB065F">
        <w:t>s</w:t>
      </w:r>
      <w:r>
        <w:t>ciencia sin distracciones el signo de cada sonido cuando ces</w:t>
      </w:r>
      <w:r w:rsidR="00231ECD">
        <w:t>e</w:t>
      </w:r>
      <w:r>
        <w:t>, finalmente su con</w:t>
      </w:r>
      <w:r w:rsidR="00231ECD">
        <w:t>s</w:t>
      </w:r>
      <w:r>
        <w:t>ciencia se produc</w:t>
      </w:r>
      <w:r w:rsidR="00231ECD">
        <w:t>irá</w:t>
      </w:r>
      <w:r>
        <w:t xml:space="preserve"> al final con el signo de los sonidos </w:t>
      </w:r>
      <w:proofErr w:type="spellStart"/>
      <w:r>
        <w:t>ultrasutiles</w:t>
      </w:r>
      <w:proofErr w:type="spellEnd"/>
      <w:r>
        <w:t xml:space="preserve"> también como su objeto” (</w:t>
      </w:r>
      <w:proofErr w:type="spellStart"/>
      <w:r>
        <w:t>Vism-mhṭ</w:t>
      </w:r>
      <w:proofErr w:type="spellEnd"/>
      <w:r>
        <w:t xml:space="preserve"> 266).</w:t>
      </w:r>
    </w:p>
    <w:p w14:paraId="70087431" w14:textId="77777777" w:rsidR="00E84876" w:rsidRDefault="00E84876">
      <w:pPr>
        <w:tabs>
          <w:tab w:val="clear" w:pos="425"/>
        </w:tabs>
        <w:spacing w:after="160"/>
      </w:pPr>
      <w:r>
        <w:br w:type="page"/>
      </w:r>
    </w:p>
    <w:p w14:paraId="29EF9D45" w14:textId="06E4CF17" w:rsidR="006217B2" w:rsidRDefault="006217B2" w:rsidP="00E84876"/>
    <w:p w14:paraId="028C8F8F" w14:textId="5CF33C5C" w:rsidR="006217B2" w:rsidRDefault="006217B2" w:rsidP="006217B2">
      <w:r>
        <w:t xml:space="preserve">185. </w:t>
      </w:r>
      <w:r w:rsidR="00023A31">
        <w:tab/>
      </w:r>
      <w:r>
        <w:t xml:space="preserve">“Las </w:t>
      </w:r>
      <w:r w:rsidR="00F759A1">
        <w:t xml:space="preserve">inhalación </w:t>
      </w:r>
      <w:r>
        <w:t xml:space="preserve">y </w:t>
      </w:r>
      <w:r w:rsidR="00F759A1">
        <w:t xml:space="preserve">exhalación </w:t>
      </w:r>
      <w:r>
        <w:t>que tranquili</w:t>
      </w:r>
      <w:r w:rsidR="00F759A1">
        <w:t>ce</w:t>
      </w:r>
      <w:r>
        <w:t xml:space="preserve">n la formación corporal son un cuerpo. El establecimiento (fundamento) es la atención plena. La contemplación es conocimiento. El cuerpo es el establecimiento (fundamento), pero no es la atención plena. La atención plena es tanto el establecimiento (la base) como la atención plena. Por medio de esa atención plena y ese conocimiento </w:t>
      </w:r>
      <w:r w:rsidR="00872E6F">
        <w:t xml:space="preserve">se </w:t>
      </w:r>
      <w:r>
        <w:t>contempla ese cuerpo. Por eso se dice ‘desarrollo del fundamento (establecimiento) de la atención plena consiste</w:t>
      </w:r>
      <w:r w:rsidR="00F759A1">
        <w:t>nte</w:t>
      </w:r>
      <w:r>
        <w:t xml:space="preserve"> </w:t>
      </w:r>
      <w:r w:rsidR="00F759A1">
        <w:t>de</w:t>
      </w:r>
      <w:r>
        <w:t xml:space="preserve"> la contemplación del cuerpo como cuerpo’” (</w:t>
      </w:r>
      <w:proofErr w:type="spellStart"/>
      <w:r w:rsidRPr="00092771">
        <w:rPr>
          <w:i/>
          <w:iCs/>
        </w:rPr>
        <w:t>Pa</w:t>
      </w:r>
      <w:r w:rsidR="00092771" w:rsidRPr="00092771">
        <w:rPr>
          <w:i/>
          <w:iCs/>
        </w:rPr>
        <w:t>ṭ</w:t>
      </w:r>
      <w:r w:rsidRPr="00092771">
        <w:rPr>
          <w:i/>
          <w:iCs/>
        </w:rPr>
        <w:t>is</w:t>
      </w:r>
      <w:proofErr w:type="spellEnd"/>
      <w:r>
        <w:t xml:space="preserve"> I 184-186).</w:t>
      </w:r>
    </w:p>
    <w:p w14:paraId="656C1758" w14:textId="51A4B8B5" w:rsidR="006217B2" w:rsidRDefault="006217B2" w:rsidP="00023A31">
      <w:pPr>
        <w:pStyle w:val="NormalConSangria"/>
      </w:pPr>
      <w:r>
        <w:t xml:space="preserve">Este, en primer lugar, es el comentario verbal consecutivo aquí sobre la primera tétrada, que trata </w:t>
      </w:r>
      <w:r w:rsidR="00872E6F">
        <w:t>sobre</w:t>
      </w:r>
      <w:r>
        <w:t xml:space="preserve"> la contemplación del cuerpo.</w:t>
      </w:r>
    </w:p>
    <w:p w14:paraId="51218932" w14:textId="77777777" w:rsidR="00C41ED2" w:rsidRDefault="00C41ED2" w:rsidP="00023A31">
      <w:pPr>
        <w:pStyle w:val="NormalConSangria"/>
      </w:pPr>
    </w:p>
    <w:p w14:paraId="7EC8863A" w14:textId="4484BE1A" w:rsidR="006217B2" w:rsidRDefault="006217B2" w:rsidP="00023A31">
      <w:pPr>
        <w:jc w:val="center"/>
      </w:pPr>
      <w:r>
        <w:t>[</w:t>
      </w:r>
      <w:r w:rsidRPr="00023A31">
        <w:rPr>
          <w:i/>
          <w:iCs/>
        </w:rPr>
        <w:t xml:space="preserve">Método de </w:t>
      </w:r>
      <w:r w:rsidR="00023A31" w:rsidRPr="00023A31">
        <w:rPr>
          <w:i/>
          <w:iCs/>
        </w:rPr>
        <w:t>Desarrollo</w:t>
      </w:r>
      <w:r>
        <w:t>]</w:t>
      </w:r>
    </w:p>
    <w:p w14:paraId="6DD24831" w14:textId="50BF876E" w:rsidR="006217B2" w:rsidRDefault="006217B2" w:rsidP="006217B2">
      <w:r>
        <w:t xml:space="preserve">186. </w:t>
      </w:r>
      <w:r w:rsidR="0031291A">
        <w:tab/>
      </w:r>
      <w:r>
        <w:t>La primera tétrada se presenta</w:t>
      </w:r>
      <w:r w:rsidR="0031291A">
        <w:t>rá</w:t>
      </w:r>
      <w:r>
        <w:t xml:space="preserve"> como un </w:t>
      </w:r>
      <w:r w:rsidR="0031291A">
        <w:t>objeto</w:t>
      </w:r>
      <w:r>
        <w:t xml:space="preserve"> de meditación para un principiante;</w:t>
      </w:r>
      <w:r w:rsidRPr="003E3C9B">
        <w:rPr>
          <w:vertAlign w:val="superscript"/>
        </w:rPr>
        <w:t xml:space="preserve">52 </w:t>
      </w:r>
      <w:r>
        <w:t xml:space="preserve">pero </w:t>
      </w:r>
      <w:r w:rsidR="00656212">
        <w:t>las otras tres tétradas se presentarán</w:t>
      </w:r>
      <w:r w:rsidR="00CC0B54">
        <w:t>,</w:t>
      </w:r>
      <w:r w:rsidR="00656212">
        <w:t xml:space="preserve"> respectivamente</w:t>
      </w:r>
      <w:r w:rsidR="00CC0B54">
        <w:t>,</w:t>
      </w:r>
      <w:r w:rsidR="00656212">
        <w:t xml:space="preserve"> </w:t>
      </w:r>
      <w:r>
        <w:t>como la contemplaci</w:t>
      </w:r>
      <w:r w:rsidR="00F77918">
        <w:t>ó</w:t>
      </w:r>
      <w:r>
        <w:t>n de</w:t>
      </w:r>
      <w:r w:rsidR="0031291A">
        <w:t xml:space="preserve"> </w:t>
      </w:r>
      <w:r>
        <w:t>l</w:t>
      </w:r>
      <w:r w:rsidR="0031291A">
        <w:t>a</w:t>
      </w:r>
      <w:r>
        <w:t xml:space="preserve"> </w:t>
      </w:r>
      <w:r w:rsidR="0031291A">
        <w:t>sensación</w:t>
      </w:r>
      <w:r>
        <w:t xml:space="preserve">, de la </w:t>
      </w:r>
      <w:r w:rsidR="00E02EA4">
        <w:t>mente</w:t>
      </w:r>
      <w:r>
        <w:t xml:space="preserve"> y de los objetos mentales</w:t>
      </w:r>
      <w:r w:rsidR="00917DEB" w:rsidRPr="00917DEB">
        <w:t xml:space="preserve"> </w:t>
      </w:r>
      <w:r w:rsidR="00917DEB">
        <w:t xml:space="preserve">para alguien que ya haya consumado los </w:t>
      </w:r>
      <w:proofErr w:type="spellStart"/>
      <w:r w:rsidR="00917DEB" w:rsidRPr="00656212">
        <w:rPr>
          <w:i/>
          <w:iCs/>
        </w:rPr>
        <w:t>jhānas</w:t>
      </w:r>
      <w:proofErr w:type="spellEnd"/>
      <w:r>
        <w:t xml:space="preserve">, Entonces, si un miembro de clan que </w:t>
      </w:r>
      <w:r w:rsidR="00FF464C">
        <w:t>sea</w:t>
      </w:r>
      <w:r>
        <w:t xml:space="preserve"> principiante </w:t>
      </w:r>
      <w:r w:rsidR="00910F72">
        <w:t>quisiera</w:t>
      </w:r>
      <w:r>
        <w:t xml:space="preserve"> desarrollar este </w:t>
      </w:r>
      <w:r w:rsidR="00FF464C">
        <w:t xml:space="preserve">objeto </w:t>
      </w:r>
      <w:r>
        <w:t xml:space="preserve">de meditación, y a través de la </w:t>
      </w:r>
      <w:r w:rsidR="00F55D0F">
        <w:t>sabiduría</w:t>
      </w:r>
      <w:r>
        <w:t xml:space="preserve"> basada en el cuarto </w:t>
      </w:r>
      <w:proofErr w:type="spellStart"/>
      <w:r w:rsidR="00057BF4" w:rsidRPr="00910F72">
        <w:rPr>
          <w:i/>
          <w:iCs/>
        </w:rPr>
        <w:t>jhāna</w:t>
      </w:r>
      <w:proofErr w:type="spellEnd"/>
      <w:r>
        <w:t xml:space="preserve"> producid</w:t>
      </w:r>
      <w:r w:rsidR="002B5768">
        <w:t>a</w:t>
      </w:r>
      <w:r>
        <w:t xml:space="preserve"> en la respiración, para alcanzar el estado de </w:t>
      </w:r>
      <w:r w:rsidR="00057BF4" w:rsidRPr="00A75A4F">
        <w:rPr>
          <w:i/>
          <w:iCs/>
        </w:rPr>
        <w:t>Arahant</w:t>
      </w:r>
      <w:r>
        <w:t xml:space="preserve"> junto con las discriminaciones, primero debe</w:t>
      </w:r>
      <w:r w:rsidR="00910F72">
        <w:t>rá</w:t>
      </w:r>
      <w:r>
        <w:t xml:space="preserve"> hacer todo el trabajo relacionado con la purificación de la virtud, etc., en la forma ya descrita, después de lo cual debe</w:t>
      </w:r>
      <w:r w:rsidR="00910F72">
        <w:t>rá</w:t>
      </w:r>
      <w:r>
        <w:t xml:space="preserve"> aprender el </w:t>
      </w:r>
      <w:r w:rsidR="00845179">
        <w:t xml:space="preserve">objeto </w:t>
      </w:r>
      <w:r>
        <w:t xml:space="preserve">de meditación en cinco etapas </w:t>
      </w:r>
      <w:r w:rsidR="00910F72">
        <w:t xml:space="preserve">por medio de </w:t>
      </w:r>
      <w:r>
        <w:t>un maestro del tipo ya descrito.</w:t>
      </w:r>
    </w:p>
    <w:p w14:paraId="37287A02" w14:textId="0810F493" w:rsidR="006217B2" w:rsidRDefault="006217B2" w:rsidP="006217B2">
      <w:r>
        <w:t xml:space="preserve">187. </w:t>
      </w:r>
      <w:r w:rsidR="00023A31">
        <w:tab/>
      </w:r>
      <w:r>
        <w:t xml:space="preserve">Aquí </w:t>
      </w:r>
      <w:r w:rsidR="00A75A4F">
        <w:t>se exponen</w:t>
      </w:r>
      <w:r>
        <w:t xml:space="preserve"> las cinco etapas: aprendizaje, cuestionamiento, establecimiento, absorción, característica.</w:t>
      </w:r>
    </w:p>
    <w:p w14:paraId="26DD8275" w14:textId="16641BF4" w:rsidR="006217B2" w:rsidRDefault="006217B2" w:rsidP="00023A31">
      <w:pPr>
        <w:pStyle w:val="NormalConSangria"/>
      </w:pPr>
      <w:r>
        <w:t xml:space="preserve">Aquí, </w:t>
      </w:r>
      <w:r w:rsidR="007926F8">
        <w:t xml:space="preserve">el </w:t>
      </w:r>
      <w:r w:rsidRPr="00092771">
        <w:rPr>
          <w:i/>
          <w:iCs/>
        </w:rPr>
        <w:t>aprend</w:t>
      </w:r>
      <w:r w:rsidR="007926F8">
        <w:rPr>
          <w:i/>
          <w:iCs/>
        </w:rPr>
        <w:t>izaje</w:t>
      </w:r>
      <w:r>
        <w:t xml:space="preserve"> </w:t>
      </w:r>
      <w:r w:rsidR="0018767D">
        <w:t xml:space="preserve">significa </w:t>
      </w:r>
      <w:r>
        <w:t xml:space="preserve">aprender el </w:t>
      </w:r>
      <w:r w:rsidR="0018767D">
        <w:t xml:space="preserve">objeto </w:t>
      </w:r>
      <w:r>
        <w:t xml:space="preserve">de meditación. </w:t>
      </w:r>
      <w:r w:rsidR="006E34F9">
        <w:t xml:space="preserve">El </w:t>
      </w:r>
      <w:r w:rsidR="006E34F9">
        <w:rPr>
          <w:i/>
          <w:iCs/>
        </w:rPr>
        <w:t>c</w:t>
      </w:r>
      <w:r w:rsidRPr="00092771">
        <w:rPr>
          <w:i/>
          <w:iCs/>
        </w:rPr>
        <w:t>uestiona</w:t>
      </w:r>
      <w:r w:rsidR="006E34F9">
        <w:rPr>
          <w:i/>
          <w:iCs/>
        </w:rPr>
        <w:t>miento</w:t>
      </w:r>
      <w:r>
        <w:t xml:space="preserve"> </w:t>
      </w:r>
      <w:r w:rsidR="006E34F9">
        <w:t xml:space="preserve">significa hacer </w:t>
      </w:r>
      <w:r w:rsidR="0018767D">
        <w:t>pregunta</w:t>
      </w:r>
      <w:r w:rsidR="006E34F9">
        <w:t>s</w:t>
      </w:r>
      <w:r>
        <w:t xml:space="preserve"> sobre el </w:t>
      </w:r>
      <w:r w:rsidR="0018767D">
        <w:t xml:space="preserve">objeto </w:t>
      </w:r>
      <w:r>
        <w:t xml:space="preserve">de meditación. </w:t>
      </w:r>
      <w:r w:rsidRPr="00092771">
        <w:rPr>
          <w:i/>
          <w:iCs/>
        </w:rPr>
        <w:t>E</w:t>
      </w:r>
      <w:r w:rsidR="006E34F9">
        <w:rPr>
          <w:i/>
          <w:iCs/>
        </w:rPr>
        <w:t>l e</w:t>
      </w:r>
      <w:r w:rsidRPr="00092771">
        <w:rPr>
          <w:i/>
          <w:iCs/>
        </w:rPr>
        <w:t>stablec</w:t>
      </w:r>
      <w:r w:rsidR="006E34F9">
        <w:rPr>
          <w:i/>
          <w:iCs/>
        </w:rPr>
        <w:t>imiento</w:t>
      </w:r>
      <w:r>
        <w:t xml:space="preserve"> </w:t>
      </w:r>
      <w:r w:rsidR="006E34F9">
        <w:t xml:space="preserve">significa </w:t>
      </w:r>
      <w:r>
        <w:t xml:space="preserve">establecer el </w:t>
      </w:r>
      <w:r w:rsidR="0018767D">
        <w:t xml:space="preserve">objeto </w:t>
      </w:r>
      <w:r>
        <w:t xml:space="preserve">de meditación. La </w:t>
      </w:r>
      <w:r w:rsidRPr="00092771">
        <w:rPr>
          <w:i/>
          <w:iCs/>
        </w:rPr>
        <w:t>absorción</w:t>
      </w:r>
      <w:r>
        <w:t xml:space="preserve"> [278] </w:t>
      </w:r>
      <w:r w:rsidR="006E34F9">
        <w:t xml:space="preserve">significa </w:t>
      </w:r>
      <w:r>
        <w:t xml:space="preserve">la absorción </w:t>
      </w:r>
      <w:r w:rsidR="006E34F9">
        <w:t xml:space="preserve">en </w:t>
      </w:r>
      <w:r>
        <w:t xml:space="preserve">el </w:t>
      </w:r>
      <w:r w:rsidR="0018767D">
        <w:t xml:space="preserve">objeto </w:t>
      </w:r>
      <w:r>
        <w:t xml:space="preserve">de meditación. </w:t>
      </w:r>
      <w:r w:rsidR="0018767D">
        <w:t xml:space="preserve">La </w:t>
      </w:r>
      <w:r w:rsidR="0018767D" w:rsidRPr="00092771">
        <w:rPr>
          <w:i/>
          <w:iCs/>
        </w:rPr>
        <w:t>característica</w:t>
      </w:r>
      <w:r w:rsidR="0018767D">
        <w:t xml:space="preserve"> </w:t>
      </w:r>
      <w:r w:rsidR="00A71C96">
        <w:t xml:space="preserve">se refiere a </w:t>
      </w:r>
      <w:r>
        <w:t xml:space="preserve">la característica del </w:t>
      </w:r>
      <w:r w:rsidR="0018767D">
        <w:t xml:space="preserve">objeto </w:t>
      </w:r>
      <w:r>
        <w:t xml:space="preserve">de meditación; lo que se quiere decir es que </w:t>
      </w:r>
      <w:r w:rsidR="0018767D">
        <w:t>se trata de</w:t>
      </w:r>
      <w:r>
        <w:t xml:space="preserve"> la </w:t>
      </w:r>
      <w:r w:rsidR="0018767D">
        <w:t>constatación</w:t>
      </w:r>
      <w:r>
        <w:t xml:space="preserve"> de la esencia individual del </w:t>
      </w:r>
      <w:r w:rsidR="0018767D">
        <w:t xml:space="preserve">objeto </w:t>
      </w:r>
      <w:r>
        <w:t xml:space="preserve">de meditación así: "Este </w:t>
      </w:r>
      <w:r w:rsidR="0018767D">
        <w:t xml:space="preserve">objeto </w:t>
      </w:r>
      <w:r>
        <w:t>de meditación tiene tal característica".</w:t>
      </w:r>
    </w:p>
    <w:p w14:paraId="1AE29347" w14:textId="154EBF1D" w:rsidR="006217B2" w:rsidRDefault="006217B2" w:rsidP="006217B2">
      <w:r>
        <w:t xml:space="preserve">188. </w:t>
      </w:r>
      <w:r w:rsidR="00023A31">
        <w:tab/>
      </w:r>
      <w:r>
        <w:t xml:space="preserve">Al aprender </w:t>
      </w:r>
      <w:r w:rsidR="00323794">
        <w:t xml:space="preserve">así </w:t>
      </w:r>
      <w:r>
        <w:t xml:space="preserve">el </w:t>
      </w:r>
      <w:r w:rsidR="0018767D">
        <w:t xml:space="preserve">objeto </w:t>
      </w:r>
      <w:r>
        <w:t xml:space="preserve">de meditación en cinco etapas, </w:t>
      </w:r>
      <w:r w:rsidR="0018767D">
        <w:t xml:space="preserve">él </w:t>
      </w:r>
      <w:r>
        <w:t xml:space="preserve">no se </w:t>
      </w:r>
      <w:r w:rsidR="0018767D">
        <w:t xml:space="preserve">agotará </w:t>
      </w:r>
      <w:r>
        <w:t>ni preocupa</w:t>
      </w:r>
      <w:r w:rsidR="0018767D">
        <w:t>rá</w:t>
      </w:r>
      <w:r>
        <w:t xml:space="preserve"> al maestro. Entonces, al dar</w:t>
      </w:r>
      <w:r w:rsidR="00A82CBE">
        <w:t>se</w:t>
      </w:r>
      <w:r>
        <w:t xml:space="preserve"> este </w:t>
      </w:r>
      <w:r w:rsidR="0018767D">
        <w:t xml:space="preserve">objeto </w:t>
      </w:r>
      <w:r>
        <w:t>de meditación consiste</w:t>
      </w:r>
      <w:r w:rsidR="00A82CBE">
        <w:t>nte</w:t>
      </w:r>
      <w:r>
        <w:t xml:space="preserve"> </w:t>
      </w:r>
      <w:r w:rsidR="0018767D">
        <w:t>de</w:t>
      </w:r>
      <w:r>
        <w:t xml:space="preserve"> la atención plena e</w:t>
      </w:r>
      <w:r w:rsidR="0018767D">
        <w:t>n</w:t>
      </w:r>
      <w:r>
        <w:t xml:space="preserve"> la respiración, </w:t>
      </w:r>
      <w:r w:rsidR="00616F33">
        <w:t xml:space="preserve">él </w:t>
      </w:r>
      <w:r w:rsidR="0018767D">
        <w:t>podrá</w:t>
      </w:r>
      <w:r>
        <w:t xml:space="preserve"> vivir con el maestro o en otro lugar</w:t>
      </w:r>
      <w:r w:rsidR="00A82CBE">
        <w:t>,</w:t>
      </w:r>
      <w:r>
        <w:t xml:space="preserve"> en una </w:t>
      </w:r>
      <w:r w:rsidR="0018767D">
        <w:t>residencia</w:t>
      </w:r>
      <w:r>
        <w:t xml:space="preserve"> del tipo ya descrit</w:t>
      </w:r>
      <w:r w:rsidR="00A82CBE">
        <w:t>a</w:t>
      </w:r>
      <w:r>
        <w:t xml:space="preserve">, aprendiendo el </w:t>
      </w:r>
      <w:r w:rsidR="0018767D">
        <w:t xml:space="preserve">objeto </w:t>
      </w:r>
      <w:r>
        <w:t xml:space="preserve">de meditación en las cinco etapas, así, </w:t>
      </w:r>
      <w:r w:rsidR="0018767D">
        <w:t xml:space="preserve">procurando un poco de reflexión alguna </w:t>
      </w:r>
      <w:r>
        <w:t xml:space="preserve">vez y </w:t>
      </w:r>
      <w:r w:rsidR="0018767D">
        <w:t>recitarlo extensamente</w:t>
      </w:r>
      <w:r>
        <w:t xml:space="preserve">. </w:t>
      </w:r>
      <w:r w:rsidR="001648C5">
        <w:t>Él d</w:t>
      </w:r>
      <w:r>
        <w:t>ebe</w:t>
      </w:r>
      <w:r w:rsidR="001648C5">
        <w:t>rá</w:t>
      </w:r>
      <w:r>
        <w:t xml:space="preserve"> </w:t>
      </w:r>
      <w:r w:rsidR="0018767D">
        <w:t>destruir</w:t>
      </w:r>
      <w:r>
        <w:t xml:space="preserve"> los impedimentos menores. </w:t>
      </w:r>
      <w:r w:rsidR="0018767D">
        <w:t>Debe</w:t>
      </w:r>
      <w:r w:rsidR="001648C5">
        <w:t>rá</w:t>
      </w:r>
      <w:r w:rsidR="0018767D">
        <w:t xml:space="preserve"> sentarse cómodamente después </w:t>
      </w:r>
      <w:r>
        <w:t xml:space="preserve">de terminar el trabajo </w:t>
      </w:r>
      <w:r w:rsidR="0018767D">
        <w:t>vinculado</w:t>
      </w:r>
      <w:r>
        <w:t xml:space="preserve"> con la comida y de</w:t>
      </w:r>
      <w:r w:rsidR="00450B29">
        <w:t>spués de</w:t>
      </w:r>
      <w:r>
        <w:t xml:space="preserve"> deshacerse de cualquier </w:t>
      </w:r>
      <w:r w:rsidR="0018767D">
        <w:t xml:space="preserve">amodorramiento </w:t>
      </w:r>
      <w:r>
        <w:t xml:space="preserve">debido </w:t>
      </w:r>
      <w:r w:rsidR="00450B29">
        <w:t xml:space="preserve">a </w:t>
      </w:r>
      <w:r w:rsidR="0018767D">
        <w:t>ella</w:t>
      </w:r>
      <w:r>
        <w:t>. Luego, asegurándose de no estar confundido ni siquiera con una sola palabra de lo que ha</w:t>
      </w:r>
      <w:r w:rsidR="00450B29">
        <w:t>ya</w:t>
      </w:r>
      <w:r>
        <w:t xml:space="preserve"> aprendido del maestro, debe</w:t>
      </w:r>
      <w:r w:rsidR="0018767D">
        <w:t>rá</w:t>
      </w:r>
      <w:r>
        <w:t xml:space="preserve"> animar su mente </w:t>
      </w:r>
      <w:r w:rsidR="0018767D">
        <w:t xml:space="preserve">evocando </w:t>
      </w:r>
      <w:r>
        <w:t xml:space="preserve">las cualidades especiales de las Tres </w:t>
      </w:r>
      <w:r w:rsidR="0018767D">
        <w:t>Gemas</w:t>
      </w:r>
      <w:r>
        <w:t>.</w:t>
      </w:r>
    </w:p>
    <w:p w14:paraId="76F98161" w14:textId="77777777" w:rsidR="006217B2" w:rsidRDefault="006217B2" w:rsidP="006217B2">
      <w:pPr>
        <w:pStyle w:val="Piedepgina"/>
        <w:rPr>
          <w:u w:val="single"/>
        </w:rPr>
      </w:pPr>
      <w:r>
        <w:rPr>
          <w:u w:val="single"/>
        </w:rPr>
        <w:t xml:space="preserve">                                                                                                                                                                          .</w:t>
      </w:r>
    </w:p>
    <w:p w14:paraId="7D88D274" w14:textId="7EF13756" w:rsidR="00023A31" w:rsidRDefault="006217B2" w:rsidP="00450B29">
      <w:pPr>
        <w:pStyle w:val="PiedepginaLegal"/>
        <w:tabs>
          <w:tab w:val="clear" w:pos="6804"/>
        </w:tabs>
        <w:ind w:right="476"/>
      </w:pPr>
      <w:r>
        <w:t xml:space="preserve">52. </w:t>
      </w:r>
      <w:r w:rsidR="00023A31">
        <w:tab/>
      </w:r>
      <w:r>
        <w:t xml:space="preserve">“Como </w:t>
      </w:r>
      <w:r w:rsidR="0016054E">
        <w:t>objeto</w:t>
      </w:r>
      <w:r>
        <w:t xml:space="preserve"> de meditación para un principiante” se dice con referencia al </w:t>
      </w:r>
      <w:r w:rsidR="0016054E">
        <w:t xml:space="preserve">objeto </w:t>
      </w:r>
      <w:r>
        <w:t xml:space="preserve">de meditación de la serenidad (es decir, </w:t>
      </w:r>
      <w:r w:rsidR="009A44CB">
        <w:t xml:space="preserve">al </w:t>
      </w:r>
      <w:proofErr w:type="spellStart"/>
      <w:r w:rsidR="00057BF4" w:rsidRPr="00057BF4">
        <w:rPr>
          <w:i/>
          <w:iCs/>
        </w:rPr>
        <w:t>jhāna</w:t>
      </w:r>
      <w:proofErr w:type="spellEnd"/>
      <w:r>
        <w:t xml:space="preserve">); </w:t>
      </w:r>
      <w:r w:rsidR="009A44CB">
        <w:t>no obstante,</w:t>
      </w:r>
      <w:r>
        <w:t xml:space="preserve"> el </w:t>
      </w:r>
      <w:r w:rsidR="0016054E">
        <w:t xml:space="preserve">objeto </w:t>
      </w:r>
      <w:r>
        <w:t xml:space="preserve">de la meditación de </w:t>
      </w:r>
      <w:r w:rsidR="004528AE">
        <w:t>la sabiduría</w:t>
      </w:r>
      <w:r>
        <w:t xml:space="preserve"> </w:t>
      </w:r>
      <w:r w:rsidR="009A44CB">
        <w:t xml:space="preserve">también </w:t>
      </w:r>
      <w:r>
        <w:t>se aplica a las otras tétradas” (</w:t>
      </w:r>
      <w:proofErr w:type="spellStart"/>
      <w:r>
        <w:t>Vism-mhṭ</w:t>
      </w:r>
      <w:proofErr w:type="spellEnd"/>
      <w:r>
        <w:t xml:space="preserve"> 266).</w:t>
      </w:r>
    </w:p>
    <w:p w14:paraId="40440E8D" w14:textId="77777777" w:rsidR="00906D5E" w:rsidRDefault="00906D5E" w:rsidP="00906D5E"/>
    <w:p w14:paraId="285FD99F" w14:textId="77777777" w:rsidR="00906D5E" w:rsidRDefault="00906D5E">
      <w:pPr>
        <w:tabs>
          <w:tab w:val="clear" w:pos="425"/>
        </w:tabs>
        <w:spacing w:after="160"/>
      </w:pPr>
      <w:r>
        <w:br w:type="page"/>
      </w:r>
    </w:p>
    <w:p w14:paraId="072557C3" w14:textId="2D66A156" w:rsidR="00906D5E" w:rsidRDefault="00906D5E" w:rsidP="00906D5E"/>
    <w:p w14:paraId="184E9322" w14:textId="7D079FB5" w:rsidR="00427496" w:rsidRDefault="00427496" w:rsidP="00427496">
      <w:r>
        <w:t xml:space="preserve">189. </w:t>
      </w:r>
      <w:r>
        <w:tab/>
      </w:r>
      <w:r w:rsidR="008D57BA">
        <w:t>A continuación</w:t>
      </w:r>
      <w:r>
        <w:t xml:space="preserve"> las etapas </w:t>
      </w:r>
      <w:r w:rsidR="008D57BA">
        <w:t xml:space="preserve">necesarias al </w:t>
      </w:r>
      <w:r>
        <w:t xml:space="preserve">prestar atención: (1) </w:t>
      </w:r>
      <w:r w:rsidR="0003022A">
        <w:t xml:space="preserve">del </w:t>
      </w:r>
      <w:r>
        <w:t>cont</w:t>
      </w:r>
      <w:r w:rsidR="0018767D">
        <w:t>eo</w:t>
      </w:r>
      <w:r>
        <w:t xml:space="preserve">, (2) </w:t>
      </w:r>
      <w:r w:rsidR="0003022A">
        <w:t xml:space="preserve">de la </w:t>
      </w:r>
      <w:r>
        <w:t>cone</w:t>
      </w:r>
      <w:r w:rsidR="0018767D">
        <w:t>xión</w:t>
      </w:r>
      <w:r>
        <w:t xml:space="preserve">, (3) </w:t>
      </w:r>
      <w:r w:rsidR="0003022A">
        <w:t xml:space="preserve">del </w:t>
      </w:r>
      <w:r w:rsidR="0018767D">
        <w:t>contacto</w:t>
      </w:r>
      <w:r>
        <w:t xml:space="preserve">, (4) </w:t>
      </w:r>
      <w:r w:rsidR="0003022A">
        <w:t xml:space="preserve">de la </w:t>
      </w:r>
      <w:r>
        <w:t>fija</w:t>
      </w:r>
      <w:r w:rsidR="0018767D">
        <w:t>ción</w:t>
      </w:r>
      <w:r>
        <w:t xml:space="preserve">, (5) </w:t>
      </w:r>
      <w:r w:rsidR="0003022A">
        <w:t xml:space="preserve">de la </w:t>
      </w:r>
      <w:r>
        <w:t>observa</w:t>
      </w:r>
      <w:r w:rsidR="0018767D">
        <w:t>ción</w:t>
      </w:r>
      <w:r>
        <w:t xml:space="preserve">, (6) </w:t>
      </w:r>
      <w:r w:rsidR="0003022A">
        <w:t xml:space="preserve">del </w:t>
      </w:r>
      <w:r w:rsidR="0018767D">
        <w:t>distanciamiento</w:t>
      </w:r>
      <w:r>
        <w:t xml:space="preserve">, (7) </w:t>
      </w:r>
      <w:r w:rsidR="0003022A">
        <w:t xml:space="preserve">de la </w:t>
      </w:r>
      <w:r>
        <w:t>purifica</w:t>
      </w:r>
      <w:r w:rsidR="0018767D">
        <w:t>ción</w:t>
      </w:r>
      <w:r>
        <w:t xml:space="preserve"> y (8) </w:t>
      </w:r>
      <w:r w:rsidR="0003022A">
        <w:t xml:space="preserve">de </w:t>
      </w:r>
      <w:r w:rsidR="0018767D">
        <w:t>la retrospección</w:t>
      </w:r>
      <w:r>
        <w:t xml:space="preserve"> </w:t>
      </w:r>
      <w:r w:rsidR="0018767D">
        <w:t xml:space="preserve">sobre </w:t>
      </w:r>
      <w:r>
        <w:t>estos.</w:t>
      </w:r>
    </w:p>
    <w:p w14:paraId="196F336E" w14:textId="2ADF1FE8" w:rsidR="00427496" w:rsidRDefault="00427496" w:rsidP="00633D52">
      <w:pPr>
        <w:pStyle w:val="NormalConSangria"/>
      </w:pPr>
      <w:r>
        <w:t xml:space="preserve">Aquí, </w:t>
      </w:r>
      <w:r w:rsidR="0018767D">
        <w:t>l</w:t>
      </w:r>
      <w:r w:rsidR="00D87A8F">
        <w:t>a eta</w:t>
      </w:r>
      <w:r w:rsidR="00BA198C">
        <w:t>pa</w:t>
      </w:r>
      <w:r w:rsidR="00D87A8F">
        <w:t xml:space="preserve"> del</w:t>
      </w:r>
      <w:r w:rsidR="0018767D">
        <w:t xml:space="preserve"> </w:t>
      </w:r>
      <w:r w:rsidRPr="00633D52">
        <w:rPr>
          <w:i/>
          <w:iCs/>
        </w:rPr>
        <w:t>cont</w:t>
      </w:r>
      <w:r w:rsidR="0018767D">
        <w:rPr>
          <w:i/>
          <w:iCs/>
        </w:rPr>
        <w:t>eo</w:t>
      </w:r>
      <w:r>
        <w:t xml:space="preserve"> </w:t>
      </w:r>
      <w:r w:rsidR="00BA198C">
        <w:t xml:space="preserve">consiste en </w:t>
      </w:r>
      <w:r>
        <w:t xml:space="preserve">solo contar, </w:t>
      </w:r>
      <w:r w:rsidR="0018767D">
        <w:t xml:space="preserve">la </w:t>
      </w:r>
      <w:r w:rsidR="00BA198C">
        <w:t xml:space="preserve">de la </w:t>
      </w:r>
      <w:r w:rsidRPr="00633D52">
        <w:rPr>
          <w:i/>
          <w:iCs/>
        </w:rPr>
        <w:t>conexión</w:t>
      </w:r>
      <w:r>
        <w:t xml:space="preserve"> </w:t>
      </w:r>
      <w:r w:rsidR="0018767D">
        <w:t xml:space="preserve">significa </w:t>
      </w:r>
      <w:r>
        <w:t xml:space="preserve">continuar, </w:t>
      </w:r>
      <w:r w:rsidR="00BA198C">
        <w:t>la de</w:t>
      </w:r>
      <w:r w:rsidR="0018767D">
        <w:t xml:space="preserve">l </w:t>
      </w:r>
      <w:r w:rsidR="00633D52">
        <w:rPr>
          <w:i/>
          <w:iCs/>
        </w:rPr>
        <w:t>contacto</w:t>
      </w:r>
      <w:r>
        <w:t xml:space="preserve"> es el lugar </w:t>
      </w:r>
      <w:r w:rsidR="0018767D">
        <w:t>de contacto de</w:t>
      </w:r>
      <w:r>
        <w:t xml:space="preserve"> la respiraci</w:t>
      </w:r>
      <w:r w:rsidR="0018767D">
        <w:t>ó</w:t>
      </w:r>
      <w:r>
        <w:t xml:space="preserve">n, </w:t>
      </w:r>
      <w:r w:rsidR="00BE2239">
        <w:t xml:space="preserve">de la </w:t>
      </w:r>
      <w:r w:rsidRPr="00633D52">
        <w:rPr>
          <w:i/>
          <w:iCs/>
        </w:rPr>
        <w:t>fija</w:t>
      </w:r>
      <w:r w:rsidR="0018767D">
        <w:rPr>
          <w:i/>
          <w:iCs/>
        </w:rPr>
        <w:t>ción</w:t>
      </w:r>
      <w:r>
        <w:t xml:space="preserve"> </w:t>
      </w:r>
      <w:r w:rsidR="0018767D">
        <w:t>se refiere a la</w:t>
      </w:r>
      <w:r>
        <w:t xml:space="preserve"> absorción, </w:t>
      </w:r>
      <w:r w:rsidR="00BE2239">
        <w:t xml:space="preserve">la de </w:t>
      </w:r>
      <w:r w:rsidR="0018767D">
        <w:t xml:space="preserve">la </w:t>
      </w:r>
      <w:r w:rsidRPr="00633D52">
        <w:rPr>
          <w:i/>
          <w:iCs/>
        </w:rPr>
        <w:t>observa</w:t>
      </w:r>
      <w:r w:rsidR="0018767D">
        <w:rPr>
          <w:i/>
          <w:iCs/>
        </w:rPr>
        <w:t>ción</w:t>
      </w:r>
      <w:r>
        <w:t xml:space="preserve"> </w:t>
      </w:r>
      <w:r w:rsidR="0018767D">
        <w:t xml:space="preserve">significa la </w:t>
      </w:r>
      <w:r>
        <w:t xml:space="preserve">introspección, </w:t>
      </w:r>
      <w:r w:rsidR="00A2160F">
        <w:t>la d</w:t>
      </w:r>
      <w:r w:rsidR="0018767D">
        <w:t xml:space="preserve">el </w:t>
      </w:r>
      <w:r w:rsidR="0018767D">
        <w:rPr>
          <w:i/>
          <w:iCs/>
        </w:rPr>
        <w:t xml:space="preserve">distanciamiento </w:t>
      </w:r>
      <w:r w:rsidR="00A2160F">
        <w:t>se refiere a</w:t>
      </w:r>
      <w:r>
        <w:t xml:space="preserve">l </w:t>
      </w:r>
      <w:r w:rsidR="0018767D">
        <w:t>sendero</w:t>
      </w:r>
      <w:r>
        <w:t xml:space="preserve">, </w:t>
      </w:r>
      <w:r w:rsidR="00A2160F">
        <w:t xml:space="preserve">la de </w:t>
      </w:r>
      <w:r>
        <w:t xml:space="preserve">la </w:t>
      </w:r>
      <w:r w:rsidRPr="00633D52">
        <w:rPr>
          <w:i/>
          <w:iCs/>
        </w:rPr>
        <w:t>purificación</w:t>
      </w:r>
      <w:r>
        <w:t xml:space="preserve"> </w:t>
      </w:r>
      <w:r w:rsidR="00A2160F">
        <w:t xml:space="preserve">se refiere a </w:t>
      </w:r>
      <w:r w:rsidR="0018767D">
        <w:t xml:space="preserve">la </w:t>
      </w:r>
      <w:r>
        <w:t xml:space="preserve">fruición, </w:t>
      </w:r>
      <w:r w:rsidR="00A2160F">
        <w:t xml:space="preserve">la de </w:t>
      </w:r>
      <w:r w:rsidR="0018767D">
        <w:t>la retrospección significa hacer una inspección retrospectiva de lo desarrollado</w:t>
      </w:r>
      <w:r>
        <w:t>.</w:t>
      </w:r>
    </w:p>
    <w:p w14:paraId="5A14BFA7" w14:textId="394625B5" w:rsidR="00427496" w:rsidRDefault="00427496" w:rsidP="00427496">
      <w:r>
        <w:t xml:space="preserve">190. </w:t>
      </w:r>
      <w:r>
        <w:tab/>
      </w:r>
      <w:r w:rsidRPr="00666B11">
        <w:rPr>
          <w:i/>
          <w:iCs/>
        </w:rPr>
        <w:t>1</w:t>
      </w:r>
      <w:r>
        <w:t xml:space="preserve">. Aquí, </w:t>
      </w:r>
      <w:r w:rsidR="0018767D">
        <w:t>el</w:t>
      </w:r>
      <w:r>
        <w:t xml:space="preserve"> miembro de clan que s</w:t>
      </w:r>
      <w:r w:rsidR="0018767D">
        <w:t>ea</w:t>
      </w:r>
      <w:r>
        <w:t xml:space="preserve"> principiante</w:t>
      </w:r>
      <w:r w:rsidR="00477F0C">
        <w:t>,</w:t>
      </w:r>
      <w:r>
        <w:t xml:space="preserve"> primero</w:t>
      </w:r>
      <w:r w:rsidR="00477F0C">
        <w:t>,</w:t>
      </w:r>
      <w:r>
        <w:t xml:space="preserve"> debe</w:t>
      </w:r>
      <w:r w:rsidR="00477F0C">
        <w:t>rá</w:t>
      </w:r>
      <w:r>
        <w:t xml:space="preserve"> prestar atención a este </w:t>
      </w:r>
      <w:r w:rsidR="0018767D">
        <w:t xml:space="preserve">objeto </w:t>
      </w:r>
      <w:r>
        <w:t>de meditación contando. Y al contar, no debe</w:t>
      </w:r>
      <w:r w:rsidR="00F4294D">
        <w:t>rá</w:t>
      </w:r>
      <w:r>
        <w:t xml:space="preserve"> detenerse antes de cinco </w:t>
      </w:r>
      <w:r w:rsidR="00F4294D">
        <w:t>respiraciones ni</w:t>
      </w:r>
      <w:r>
        <w:t xml:space="preserve"> ir más allá de diez o hacer cualquier ruptura en la serie. Al detenerse antes de las cinco, sus pensamientos se excita</w:t>
      </w:r>
      <w:r w:rsidR="0018767D">
        <w:t>rá</w:t>
      </w:r>
      <w:r>
        <w:t xml:space="preserve">n en el espacio reducido, como una manada de ganado encerrada en un corral estrecho. Al ir más allá de diez, sus pensamientos </w:t>
      </w:r>
      <w:r w:rsidR="00580F48">
        <w:t xml:space="preserve">adoptarán la </w:t>
      </w:r>
      <w:r w:rsidR="0036750F">
        <w:t xml:space="preserve">consciencia </w:t>
      </w:r>
      <w:proofErr w:type="spellStart"/>
      <w:r w:rsidR="0036750F">
        <w:t>de</w:t>
      </w:r>
      <w:r w:rsidR="00580F48">
        <w:t xml:space="preserve"> </w:t>
      </w:r>
      <w:r>
        <w:t>el</w:t>
      </w:r>
      <w:proofErr w:type="spellEnd"/>
      <w:r>
        <w:t xml:space="preserve"> número en lugar de las respiraciones como </w:t>
      </w:r>
      <w:r w:rsidR="0018767D">
        <w:t>soporte</w:t>
      </w:r>
      <w:r>
        <w:t>. Al hacer una pausa en la serie, se pregunta</w:t>
      </w:r>
      <w:r w:rsidR="0018767D">
        <w:t>rá</w:t>
      </w:r>
      <w:r>
        <w:t xml:space="preserve"> si el </w:t>
      </w:r>
      <w:r w:rsidR="0018767D">
        <w:t xml:space="preserve">objeto </w:t>
      </w:r>
      <w:r>
        <w:t xml:space="preserve">de meditación </w:t>
      </w:r>
      <w:r w:rsidR="00F4130F">
        <w:t xml:space="preserve">se </w:t>
      </w:r>
      <w:r>
        <w:t xml:space="preserve">ha </w:t>
      </w:r>
      <w:r w:rsidR="00F4130F">
        <w:t xml:space="preserve">desarrollado </w:t>
      </w:r>
      <w:r>
        <w:t xml:space="preserve">o no. </w:t>
      </w:r>
      <w:r w:rsidR="00246069">
        <w:t xml:space="preserve">Por lo tanto, </w:t>
      </w:r>
      <w:r>
        <w:t>deber</w:t>
      </w:r>
      <w:r w:rsidR="0018767D">
        <w:t>á</w:t>
      </w:r>
      <w:r>
        <w:t xml:space="preserve"> </w:t>
      </w:r>
      <w:r w:rsidR="00246069">
        <w:t xml:space="preserve">realizar el </w:t>
      </w:r>
      <w:r>
        <w:t>cont</w:t>
      </w:r>
      <w:r w:rsidR="00246069">
        <w:t>eo</w:t>
      </w:r>
      <w:r>
        <w:t xml:space="preserve"> sin </w:t>
      </w:r>
      <w:r w:rsidR="0018767D">
        <w:t>cometer estos errores</w:t>
      </w:r>
      <w:r>
        <w:t>.</w:t>
      </w:r>
    </w:p>
    <w:p w14:paraId="69094873" w14:textId="12740066" w:rsidR="00427496" w:rsidRDefault="00427496" w:rsidP="00427496">
      <w:r>
        <w:t xml:space="preserve">191. </w:t>
      </w:r>
      <w:r>
        <w:tab/>
        <w:t>Al contar, primero debe hacerlo lentamente</w:t>
      </w:r>
      <w:r w:rsidR="00246069">
        <w:t>,</w:t>
      </w:r>
      <w:r>
        <w:t xml:space="preserve"> es decir, </w:t>
      </w:r>
      <w:r w:rsidR="00690A42">
        <w:t>con parsimonia</w:t>
      </w:r>
      <w:r w:rsidR="00246069">
        <w:t>,</w:t>
      </w:r>
      <w:r>
        <w:t xml:space="preserve"> como lo ha</w:t>
      </w:r>
      <w:r w:rsidR="0018767D">
        <w:t>ría</w:t>
      </w:r>
      <w:r>
        <w:t xml:space="preserve"> un </w:t>
      </w:r>
      <w:r w:rsidR="0018767D">
        <w:t xml:space="preserve">contador </w:t>
      </w:r>
      <w:r>
        <w:t xml:space="preserve">de granos. </w:t>
      </w:r>
      <w:r w:rsidR="0018767D">
        <w:t xml:space="preserve">Ya </w:t>
      </w:r>
      <w:r>
        <w:t xml:space="preserve">que un </w:t>
      </w:r>
      <w:r w:rsidR="0018767D">
        <w:t xml:space="preserve">contador </w:t>
      </w:r>
      <w:r>
        <w:t>de granos, habiendo llenado su medida, di</w:t>
      </w:r>
      <w:r w:rsidR="0018767D">
        <w:t>rá</w:t>
      </w:r>
      <w:r>
        <w:t xml:space="preserve"> "Uno", y la vac</w:t>
      </w:r>
      <w:r w:rsidR="0018767D">
        <w:t>iará</w:t>
      </w:r>
      <w:r>
        <w:t>, y luego, volviéndola a llenar, contin</w:t>
      </w:r>
      <w:r w:rsidR="0018767D">
        <w:t>uará</w:t>
      </w:r>
      <w:r>
        <w:t xml:space="preserve"> diciendo ""Uno, uno" mientras retir</w:t>
      </w:r>
      <w:r w:rsidR="0018767D">
        <w:t>e</w:t>
      </w:r>
      <w:r>
        <w:t xml:space="preserve"> cualquier basura que pueda haber notado. Y lo mismo </w:t>
      </w:r>
      <w:r w:rsidR="00690A42">
        <w:t xml:space="preserve">será </w:t>
      </w:r>
      <w:r>
        <w:t xml:space="preserve">con “Dos, dos” y así sucesivamente. Entonces, tomando la inhalación o la exhalación, lo que </w:t>
      </w:r>
      <w:r w:rsidR="00690A42">
        <w:t>surja</w:t>
      </w:r>
      <w:r>
        <w:t xml:space="preserve"> más claramente, debe</w:t>
      </w:r>
      <w:r w:rsidR="00690A42">
        <w:t>rá</w:t>
      </w:r>
      <w:r>
        <w:t xml:space="preserve"> comenzar con "Uno, uno" [279] y contar hasta "Diez, diez", </w:t>
      </w:r>
      <w:r w:rsidR="0018767D">
        <w:t xml:space="preserve">registrando </w:t>
      </w:r>
      <w:r>
        <w:t xml:space="preserve">cada </w:t>
      </w:r>
      <w:r w:rsidR="000D59D8">
        <w:t>respiración</w:t>
      </w:r>
      <w:r>
        <w:t xml:space="preserve"> a medida que ocurr</w:t>
      </w:r>
      <w:r w:rsidR="0018767D">
        <w:t>a</w:t>
      </w:r>
      <w:r>
        <w:t>.</w:t>
      </w:r>
    </w:p>
    <w:p w14:paraId="242D5B5D" w14:textId="581EA07A" w:rsidR="00427496" w:rsidRDefault="00427496" w:rsidP="00427496">
      <w:r>
        <w:t xml:space="preserve">192. </w:t>
      </w:r>
      <w:r>
        <w:tab/>
        <w:t>Mientras ha</w:t>
      </w:r>
      <w:r w:rsidR="0018767D">
        <w:t>ga</w:t>
      </w:r>
      <w:r>
        <w:t xml:space="preserve"> </w:t>
      </w:r>
      <w:r w:rsidR="0018767D">
        <w:t>el</w:t>
      </w:r>
      <w:r>
        <w:t xml:space="preserve"> </w:t>
      </w:r>
      <w:r w:rsidR="0018767D">
        <w:t>conteo así</w:t>
      </w:r>
      <w:r>
        <w:t xml:space="preserve">, la </w:t>
      </w:r>
      <w:r w:rsidR="000D59D8">
        <w:t>inhalación</w:t>
      </w:r>
      <w:r>
        <w:t xml:space="preserve"> y </w:t>
      </w:r>
      <w:r w:rsidR="000D59D8">
        <w:t>exhalación</w:t>
      </w:r>
      <w:r>
        <w:t xml:space="preserve"> se </w:t>
      </w:r>
      <w:r w:rsidR="00702E3C">
        <w:t>harán</w:t>
      </w:r>
      <w:r w:rsidR="0018767D">
        <w:t xml:space="preserve"> </w:t>
      </w:r>
      <w:r>
        <w:t xml:space="preserve">evidentes para él a medida que </w:t>
      </w:r>
      <w:r w:rsidR="00721C70">
        <w:t xml:space="preserve">éstas </w:t>
      </w:r>
      <w:r>
        <w:t>entr</w:t>
      </w:r>
      <w:r w:rsidR="0018767D">
        <w:t>e</w:t>
      </w:r>
      <w:r>
        <w:t>n y sal</w:t>
      </w:r>
      <w:r w:rsidR="0018767D">
        <w:t>ga</w:t>
      </w:r>
      <w:r>
        <w:t xml:space="preserve">n. Entonces </w:t>
      </w:r>
      <w:r w:rsidR="0018767D">
        <w:t>podrá</w:t>
      </w:r>
      <w:r>
        <w:t xml:space="preserve"> dejar de contar lentamente (</w:t>
      </w:r>
      <w:r w:rsidR="00721C70">
        <w:t>con parsimonia</w:t>
      </w:r>
      <w:r>
        <w:t xml:space="preserve">), como un </w:t>
      </w:r>
      <w:r w:rsidR="0018767D">
        <w:t xml:space="preserve">contador </w:t>
      </w:r>
      <w:r>
        <w:t xml:space="preserve">de granos, y </w:t>
      </w:r>
      <w:r w:rsidR="0018767D">
        <w:t xml:space="preserve">podrá </w:t>
      </w:r>
      <w:r>
        <w:t>contar rápidamente</w:t>
      </w:r>
      <w:r w:rsidR="00721C70">
        <w:t>,</w:t>
      </w:r>
      <w:r>
        <w:t xml:space="preserve"> es decir, </w:t>
      </w:r>
      <w:r w:rsidR="0018767D">
        <w:t>prontamente</w:t>
      </w:r>
      <w:r w:rsidR="00721C70">
        <w:t>,</w:t>
      </w:r>
      <w:r>
        <w:t xml:space="preserve"> como lo ha</w:t>
      </w:r>
      <w:r w:rsidR="0018767D">
        <w:t>ría</w:t>
      </w:r>
      <w:r>
        <w:t xml:space="preserve"> un pastor de vacas. </w:t>
      </w:r>
      <w:r w:rsidR="0018767D">
        <w:t>Ya que</w:t>
      </w:r>
      <w:r>
        <w:t xml:space="preserve"> un vaquero habilidoso se mete </w:t>
      </w:r>
      <w:r w:rsidR="0018767D">
        <w:t xml:space="preserve">unos </w:t>
      </w:r>
      <w:r>
        <w:t xml:space="preserve">guijarros en el bolsillo y va al redil por la mañana, látigo en mano; sentado en la barra de la puerta, empujando a las vacas </w:t>
      </w:r>
      <w:r w:rsidR="00721C70">
        <w:t>por</w:t>
      </w:r>
      <w:r>
        <w:t xml:space="preserve"> la espalda, cuenta cada una cuando llega a la puerta, dic</w:t>
      </w:r>
      <w:r w:rsidR="0018767D">
        <w:t>iendo</w:t>
      </w:r>
      <w:r>
        <w:t xml:space="preserve"> "Uno, dos", tirando un guijarro por cada una. Y las vacas del rebaño, que ha</w:t>
      </w:r>
      <w:r w:rsidR="0018767D">
        <w:t>ya</w:t>
      </w:r>
      <w:r>
        <w:t xml:space="preserve">n pasado las tres </w:t>
      </w:r>
      <w:r w:rsidR="00C362E0">
        <w:t xml:space="preserve">vigilias </w:t>
      </w:r>
      <w:r>
        <w:t>de la noche incómodas en el espacio reducido, sal</w:t>
      </w:r>
      <w:r w:rsidR="0018767D">
        <w:t>drá</w:t>
      </w:r>
      <w:r>
        <w:t>n rápidamente en grupos, empujándose unas a otras mientras escap</w:t>
      </w:r>
      <w:r w:rsidR="0018767D">
        <w:t>e</w:t>
      </w:r>
      <w:r>
        <w:t xml:space="preserve">n. Así </w:t>
      </w:r>
      <w:r w:rsidR="00C362E0">
        <w:t xml:space="preserve">se </w:t>
      </w:r>
      <w:r w:rsidR="0018767D">
        <w:t>contará</w:t>
      </w:r>
      <w:r>
        <w:t xml:space="preserve"> rápidamente (</w:t>
      </w:r>
      <w:r w:rsidR="0018767D">
        <w:t>prontamente</w:t>
      </w:r>
      <w:r>
        <w:t xml:space="preserve">) “Tres, cuatro, cinco” y así hasta diez. De esta manera, la </w:t>
      </w:r>
      <w:r w:rsidR="004909DD">
        <w:t xml:space="preserve">inhalación </w:t>
      </w:r>
      <w:r>
        <w:t xml:space="preserve">y </w:t>
      </w:r>
      <w:r w:rsidR="004909DD">
        <w:t>exhalación</w:t>
      </w:r>
      <w:r>
        <w:t xml:space="preserve">, que ya se </w:t>
      </w:r>
      <w:r w:rsidR="0018767D">
        <w:t>hubiesen</w:t>
      </w:r>
      <w:r>
        <w:t xml:space="preserve"> hecho evidentes mientras las contaba de la manera anterior, ahora </w:t>
      </w:r>
      <w:r w:rsidR="0018767D">
        <w:t xml:space="preserve">proseguirán </w:t>
      </w:r>
      <w:r w:rsidR="00513FDA">
        <w:t>manifestándose</w:t>
      </w:r>
      <w:r>
        <w:t xml:space="preserve"> rápidamente.</w:t>
      </w:r>
    </w:p>
    <w:p w14:paraId="7B16D4BA" w14:textId="7A0D3CE8" w:rsidR="00427496" w:rsidRDefault="00427496" w:rsidP="00427496">
      <w:r>
        <w:t xml:space="preserve">193. </w:t>
      </w:r>
      <w:r>
        <w:tab/>
        <w:t xml:space="preserve">Entonces, sabiendo que </w:t>
      </w:r>
      <w:r w:rsidR="0018767D">
        <w:t xml:space="preserve">se </w:t>
      </w:r>
      <w:r w:rsidR="00513FDA">
        <w:t>manifiestan</w:t>
      </w:r>
      <w:r w:rsidR="0018767D">
        <w:t xml:space="preserve"> </w:t>
      </w:r>
      <w:r>
        <w:t xml:space="preserve">rápidamente, sin </w:t>
      </w:r>
      <w:r w:rsidR="0018767D">
        <w:t xml:space="preserve">percibirlas </w:t>
      </w:r>
      <w:r>
        <w:t xml:space="preserve">ni dentro ni fuera del cuerpo, </w:t>
      </w:r>
      <w:r w:rsidR="0018767D">
        <w:t xml:space="preserve">sino percibiéndolas </w:t>
      </w:r>
      <w:r>
        <w:t>justo cuando lleg</w:t>
      </w:r>
      <w:r w:rsidR="00513FDA">
        <w:t>ue</w:t>
      </w:r>
      <w:r>
        <w:t xml:space="preserve">n </w:t>
      </w:r>
      <w:r w:rsidR="00513FDA">
        <w:t xml:space="preserve">hasta </w:t>
      </w:r>
      <w:r>
        <w:t>la</w:t>
      </w:r>
      <w:r w:rsidR="00513FDA">
        <w:t>s</w:t>
      </w:r>
      <w:r>
        <w:t xml:space="preserve"> puerta</w:t>
      </w:r>
      <w:r w:rsidR="00513FDA">
        <w:t>s</w:t>
      </w:r>
      <w:r>
        <w:t xml:space="preserve"> de la</w:t>
      </w:r>
      <w:r w:rsidR="00513FDA">
        <w:t>s</w:t>
      </w:r>
      <w:r>
        <w:t xml:space="preserve"> fosa</w:t>
      </w:r>
      <w:r w:rsidR="00513FDA">
        <w:t>s</w:t>
      </w:r>
      <w:r>
        <w:t xml:space="preserve"> nasal</w:t>
      </w:r>
      <w:r w:rsidR="00513FDA">
        <w:t>es</w:t>
      </w:r>
      <w:r>
        <w:t xml:space="preserve">, </w:t>
      </w:r>
      <w:r w:rsidR="00513FDA">
        <w:t xml:space="preserve">él </w:t>
      </w:r>
      <w:r w:rsidR="0018767D">
        <w:t xml:space="preserve">podrá </w:t>
      </w:r>
      <w:r>
        <w:t xml:space="preserve">hacer su </w:t>
      </w:r>
      <w:r w:rsidR="0018767D">
        <w:t xml:space="preserve">conteo </w:t>
      </w:r>
      <w:r>
        <w:t>rápidamente (</w:t>
      </w:r>
      <w:r w:rsidR="0018767D">
        <w:t>prontamente</w:t>
      </w:r>
      <w:r>
        <w:t>): “Uno, dos tres cuatro cinco; uno dos tres cuatro cinco seis siete ocho nueve diez"</w:t>
      </w:r>
      <w:r w:rsidR="0018767D">
        <w:t>.</w:t>
      </w:r>
      <w:r>
        <w:t xml:space="preserve"> Mientras el </w:t>
      </w:r>
      <w:r w:rsidR="0018767D">
        <w:t xml:space="preserve">objeto </w:t>
      </w:r>
      <w:r>
        <w:t>de meditación esté relacionado con el cont</w:t>
      </w:r>
      <w:r w:rsidR="0018767D">
        <w:t>eo</w:t>
      </w:r>
      <w:r>
        <w:t xml:space="preserve">, </w:t>
      </w:r>
      <w:r w:rsidR="0018767D">
        <w:t xml:space="preserve">será </w:t>
      </w:r>
      <w:r>
        <w:t>con la ayuda de ese mismo cont</w:t>
      </w:r>
      <w:r w:rsidR="0018767D">
        <w:t>eo</w:t>
      </w:r>
      <w:r>
        <w:t xml:space="preserve"> que la mente se unifica</w:t>
      </w:r>
      <w:r w:rsidR="0018767D">
        <w:t>rá</w:t>
      </w:r>
      <w:r>
        <w:t>, tal como un bote en una corriente rápida se estabiliza</w:t>
      </w:r>
      <w:r w:rsidR="00D622BB">
        <w:t>ría</w:t>
      </w:r>
      <w:r>
        <w:t xml:space="preserve"> con la ayuda de un timón.</w:t>
      </w:r>
    </w:p>
    <w:p w14:paraId="1B0C43F9" w14:textId="745F2DA9" w:rsidR="00427496" w:rsidRDefault="00427496" w:rsidP="00246069">
      <w:r>
        <w:t xml:space="preserve">194. </w:t>
      </w:r>
      <w:r>
        <w:tab/>
        <w:t>Cuando cuent</w:t>
      </w:r>
      <w:r w:rsidR="0018767D">
        <w:t>e</w:t>
      </w:r>
      <w:r>
        <w:t xml:space="preserve"> rápidamente, el </w:t>
      </w:r>
      <w:r w:rsidR="0018767D">
        <w:t xml:space="preserve">objeto </w:t>
      </w:r>
      <w:r>
        <w:t xml:space="preserve">de meditación se </w:t>
      </w:r>
      <w:r w:rsidR="0018767D">
        <w:t xml:space="preserve">hará </w:t>
      </w:r>
      <w:r>
        <w:t xml:space="preserve">evidente como un proceso ininterrumpido. Luego, sabiendo que está procediendo ininterrumpidamente, </w:t>
      </w:r>
      <w:r w:rsidR="0018767D">
        <w:t xml:space="preserve">podrá </w:t>
      </w:r>
      <w:r>
        <w:t>contar rápidamente (</w:t>
      </w:r>
      <w:r w:rsidR="0018767D">
        <w:t>prontamente</w:t>
      </w:r>
      <w:r>
        <w:t xml:space="preserve">) de la manera que acabamos de describir, sin discernir </w:t>
      </w:r>
      <w:r w:rsidR="0018767D">
        <w:t xml:space="preserve">en </w:t>
      </w:r>
      <w:r>
        <w:t xml:space="preserve">el </w:t>
      </w:r>
      <w:r w:rsidR="0018767D">
        <w:t xml:space="preserve">aire </w:t>
      </w:r>
      <w:r w:rsidR="00D622BB">
        <w:t>interno o externo d</w:t>
      </w:r>
      <w:r>
        <w:t xml:space="preserve">el cuerpo. Porque al traer </w:t>
      </w:r>
      <w:r w:rsidR="0018767D">
        <w:t>la</w:t>
      </w:r>
      <w:r>
        <w:t xml:space="preserve"> con</w:t>
      </w:r>
      <w:r w:rsidR="0018767D">
        <w:t>s</w:t>
      </w:r>
      <w:r>
        <w:t xml:space="preserve">ciencia </w:t>
      </w:r>
      <w:r w:rsidR="0018767D">
        <w:t>internamente</w:t>
      </w:r>
      <w:r>
        <w:t xml:space="preserve"> junto con el </w:t>
      </w:r>
      <w:r w:rsidR="0018767D">
        <w:t>aire</w:t>
      </w:r>
      <w:r>
        <w:t xml:space="preserve"> </w:t>
      </w:r>
      <w:r>
        <w:br w:type="page"/>
      </w:r>
    </w:p>
    <w:p w14:paraId="325BCA2A" w14:textId="294C9641" w:rsidR="00D02DC0" w:rsidRDefault="00D02DC0" w:rsidP="00427496"/>
    <w:p w14:paraId="15D32AE4" w14:textId="377E4610" w:rsidR="00D02DC0" w:rsidRDefault="0018767D" w:rsidP="00D02DC0">
      <w:r>
        <w:t xml:space="preserve">entrante, parecerá como si </w:t>
      </w:r>
      <w:r w:rsidR="00D02DC0">
        <w:t>fue</w:t>
      </w:r>
      <w:r>
        <w:t>se</w:t>
      </w:r>
      <w:r w:rsidR="00D02DC0">
        <w:t xml:space="preserve"> azotado por el viento en el interior o </w:t>
      </w:r>
      <w:r w:rsidR="00D72FA1">
        <w:t xml:space="preserve">como si estuviese </w:t>
      </w:r>
      <w:r w:rsidR="00D02DC0">
        <w:t>lleno de grasa.</w:t>
      </w:r>
      <w:r w:rsidR="00D02DC0" w:rsidRPr="004A2807">
        <w:rPr>
          <w:vertAlign w:val="superscript"/>
        </w:rPr>
        <w:t>53</w:t>
      </w:r>
      <w:r w:rsidR="00D02DC0">
        <w:t xml:space="preserve"> Al llevar su con</w:t>
      </w:r>
      <w:r w:rsidR="004256D3">
        <w:t>s</w:t>
      </w:r>
      <w:r w:rsidR="00D02DC0">
        <w:t>ciencia al exterior junto con la exhalación, se distrae</w:t>
      </w:r>
      <w:r>
        <w:t>rá</w:t>
      </w:r>
      <w:r w:rsidR="00D02DC0">
        <w:t xml:space="preserve"> con la multiplicidad de objetos exter</w:t>
      </w:r>
      <w:r>
        <w:t>nos</w:t>
      </w:r>
      <w:r w:rsidR="00D02DC0">
        <w:t xml:space="preserve">. Sin embargo, su desarrollo </w:t>
      </w:r>
      <w:r>
        <w:t xml:space="preserve">será </w:t>
      </w:r>
      <w:r w:rsidR="00D02DC0">
        <w:t>exitoso cuando fij</w:t>
      </w:r>
      <w:r>
        <w:t>e</w:t>
      </w:r>
      <w:r w:rsidR="00D02DC0">
        <w:t xml:space="preserve"> su atención en el lugar </w:t>
      </w:r>
      <w:r>
        <w:t xml:space="preserve">de contacto de </w:t>
      </w:r>
      <w:r w:rsidR="00D02DC0">
        <w:t>la respiraci</w:t>
      </w:r>
      <w:r w:rsidR="000A2FF2">
        <w:t>ó</w:t>
      </w:r>
      <w:r w:rsidR="00D02DC0">
        <w:t xml:space="preserve">n. Es por eso </w:t>
      </w:r>
      <w:proofErr w:type="gramStart"/>
      <w:r w:rsidR="00D02DC0">
        <w:t>que</w:t>
      </w:r>
      <w:proofErr w:type="gramEnd"/>
      <w:r w:rsidR="00D02DC0">
        <w:t xml:space="preserve"> se dijo arriba: “Él </w:t>
      </w:r>
      <w:r>
        <w:t xml:space="preserve">podrá </w:t>
      </w:r>
      <w:r w:rsidR="00D02DC0">
        <w:t>contar rápidamente (</w:t>
      </w:r>
      <w:r>
        <w:t>prontamente</w:t>
      </w:r>
      <w:r w:rsidR="00D02DC0">
        <w:t xml:space="preserve">) en la forma que acabamos de describir, sin discernir </w:t>
      </w:r>
      <w:r>
        <w:t xml:space="preserve">en </w:t>
      </w:r>
      <w:r w:rsidR="00D02DC0">
        <w:t xml:space="preserve">el </w:t>
      </w:r>
      <w:r>
        <w:t xml:space="preserve">aire </w:t>
      </w:r>
      <w:r w:rsidR="00D02DC0">
        <w:t xml:space="preserve">ni </w:t>
      </w:r>
      <w:r>
        <w:t xml:space="preserve">interna </w:t>
      </w:r>
      <w:r w:rsidR="00D02DC0">
        <w:t xml:space="preserve">ni </w:t>
      </w:r>
      <w:r>
        <w:t>externamente</w:t>
      </w:r>
      <w:r w:rsidR="00BF0A92">
        <w:t xml:space="preserve"> al cuerpo</w:t>
      </w:r>
      <w:r w:rsidR="00D02DC0">
        <w:t>”.</w:t>
      </w:r>
    </w:p>
    <w:p w14:paraId="61213CDA" w14:textId="2C072D48" w:rsidR="00D02DC0" w:rsidRDefault="00D02DC0" w:rsidP="00D02DC0">
      <w:r>
        <w:t xml:space="preserve">195. </w:t>
      </w:r>
      <w:r>
        <w:tab/>
        <w:t>Pero ¿cuánto tiempo debe</w:t>
      </w:r>
      <w:r w:rsidR="008548F5">
        <w:t>rá</w:t>
      </w:r>
      <w:r>
        <w:t xml:space="preserve"> seguir contando? Hasta que, sin contar, [280] la atención permane</w:t>
      </w:r>
      <w:r w:rsidR="0018767D">
        <w:t>zca</w:t>
      </w:r>
      <w:r>
        <w:t xml:space="preserve"> </w:t>
      </w:r>
      <w:r w:rsidR="008548F5">
        <w:t xml:space="preserve">establecida </w:t>
      </w:r>
      <w:r>
        <w:t xml:space="preserve">en la </w:t>
      </w:r>
      <w:r w:rsidR="008548F5">
        <w:t xml:space="preserve">inhalación </w:t>
      </w:r>
      <w:r>
        <w:t xml:space="preserve">y </w:t>
      </w:r>
      <w:r w:rsidR="008548F5">
        <w:t xml:space="preserve">exhalación, </w:t>
      </w:r>
      <w:r>
        <w:t xml:space="preserve">como su objeto. Porque contar </w:t>
      </w:r>
      <w:r w:rsidR="008548F5">
        <w:t xml:space="preserve">será </w:t>
      </w:r>
      <w:r>
        <w:t>simplemente un dispositivo para establecer la atención en la inhalaci</w:t>
      </w:r>
      <w:r w:rsidR="0018767D">
        <w:t>ó</w:t>
      </w:r>
      <w:r>
        <w:t>n y exhalaci</w:t>
      </w:r>
      <w:r w:rsidR="0018767D">
        <w:t>ó</w:t>
      </w:r>
      <w:r>
        <w:t xml:space="preserve">n como objeto al cortar la disipación externa de </w:t>
      </w:r>
      <w:r w:rsidR="0018767D">
        <w:t>la aplicación mental</w:t>
      </w:r>
      <w:r>
        <w:t>.</w:t>
      </w:r>
    </w:p>
    <w:p w14:paraId="532850BC" w14:textId="54802009" w:rsidR="00D02DC0" w:rsidRDefault="00D02DC0" w:rsidP="00D02DC0">
      <w:r>
        <w:t xml:space="preserve">196. </w:t>
      </w:r>
      <w:r>
        <w:tab/>
      </w:r>
      <w:r w:rsidRPr="008548F5">
        <w:rPr>
          <w:i/>
          <w:iCs/>
        </w:rPr>
        <w:t>2</w:t>
      </w:r>
      <w:r>
        <w:t xml:space="preserve">. Habiendo prestado atención </w:t>
      </w:r>
      <w:r w:rsidR="0018767D">
        <w:t xml:space="preserve">así a la respiración </w:t>
      </w:r>
      <w:r>
        <w:t>contando, ahora debe</w:t>
      </w:r>
      <w:r w:rsidR="0018767D">
        <w:t>rá</w:t>
      </w:r>
      <w:r>
        <w:t xml:space="preserve"> hacerlo por</w:t>
      </w:r>
      <w:r w:rsidR="0018767D">
        <w:t xml:space="preserve"> medio de la</w:t>
      </w:r>
      <w:r>
        <w:t xml:space="preserve"> </w:t>
      </w:r>
      <w:r w:rsidRPr="0018767D">
        <w:rPr>
          <w:i/>
          <w:iCs/>
        </w:rPr>
        <w:t>conexión</w:t>
      </w:r>
      <w:r>
        <w:t xml:space="preserve">. La </w:t>
      </w:r>
      <w:r w:rsidRPr="0018767D">
        <w:rPr>
          <w:i/>
          <w:iCs/>
        </w:rPr>
        <w:t>conexión</w:t>
      </w:r>
      <w:r>
        <w:t xml:space="preserve"> es el seguimiento ininterrumpido de la </w:t>
      </w:r>
      <w:r w:rsidR="008548F5">
        <w:t xml:space="preserve">inhalación </w:t>
      </w:r>
      <w:r>
        <w:t xml:space="preserve">y </w:t>
      </w:r>
      <w:r w:rsidR="008548F5">
        <w:t xml:space="preserve">exhalación mediante </w:t>
      </w:r>
      <w:r>
        <w:t>atención plena después de que se ha</w:t>
      </w:r>
      <w:r w:rsidR="0018767D">
        <w:t>ya</w:t>
      </w:r>
      <w:r>
        <w:t xml:space="preserve"> dejado de contar. Y eso no </w:t>
      </w:r>
      <w:r w:rsidR="0018767D">
        <w:t>significa</w:t>
      </w:r>
      <w:r w:rsidR="0011250A">
        <w:t>rá</w:t>
      </w:r>
      <w:r>
        <w:t xml:space="preserve"> seguir el </w:t>
      </w:r>
      <w:r w:rsidR="0011250A">
        <w:t xml:space="preserve">rastro del </w:t>
      </w:r>
      <w:r>
        <w:t>principio, el medio y el final.</w:t>
      </w:r>
      <w:r w:rsidRPr="004A2807">
        <w:rPr>
          <w:vertAlign w:val="superscript"/>
        </w:rPr>
        <w:t>54</w:t>
      </w:r>
    </w:p>
    <w:p w14:paraId="4CAE1875" w14:textId="3A868FD6" w:rsidR="00D02DC0" w:rsidRDefault="00D02DC0" w:rsidP="00D02DC0">
      <w:r>
        <w:t xml:space="preserve">197. </w:t>
      </w:r>
      <w:r>
        <w:tab/>
        <w:t xml:space="preserve">El ombligo es el comienzo del </w:t>
      </w:r>
      <w:r w:rsidR="0018767D">
        <w:t>aire</w:t>
      </w:r>
      <w:r>
        <w:t xml:space="preserve"> que sale, el </w:t>
      </w:r>
      <w:r w:rsidR="009B51E8">
        <w:t xml:space="preserve">pecho </w:t>
      </w:r>
      <w:r>
        <w:t xml:space="preserve">es </w:t>
      </w:r>
      <w:r w:rsidR="0018767D">
        <w:t xml:space="preserve">el </w:t>
      </w:r>
      <w:r>
        <w:t xml:space="preserve">medio y la punta de la nariz es su final. La punta de la nariz es el comienzo del </w:t>
      </w:r>
      <w:r w:rsidR="009B51E8">
        <w:t>aire</w:t>
      </w:r>
      <w:r w:rsidR="0018767D">
        <w:t xml:space="preserve"> </w:t>
      </w:r>
      <w:r>
        <w:t xml:space="preserve">que entra, el </w:t>
      </w:r>
      <w:r w:rsidR="009B51E8">
        <w:t xml:space="preserve">pecho </w:t>
      </w:r>
      <w:r>
        <w:t xml:space="preserve">su medio y el ombligo su final. Y si </w:t>
      </w:r>
      <w:r w:rsidR="0018767D">
        <w:t>continúa</w:t>
      </w:r>
      <w:r>
        <w:t xml:space="preserve"> </w:t>
      </w:r>
      <w:r w:rsidR="0018767D">
        <w:t xml:space="preserve">haciéndolo, </w:t>
      </w:r>
      <w:r>
        <w:t>después de e</w:t>
      </w:r>
      <w:r w:rsidR="0018767D">
        <w:t>ll</w:t>
      </w:r>
      <w:r>
        <w:t>o, su mente se distrae</w:t>
      </w:r>
      <w:r w:rsidR="0018767D">
        <w:t>rá</w:t>
      </w:r>
      <w:r>
        <w:t xml:space="preserve"> con inquietud y perturbación según </w:t>
      </w:r>
      <w:r w:rsidR="0018767D">
        <w:t>lo indican los registros</w:t>
      </w:r>
      <w:r>
        <w:t xml:space="preserve">: “Cuando </w:t>
      </w:r>
      <w:r w:rsidR="007A5F3C">
        <w:t xml:space="preserve">el aire </w:t>
      </w:r>
      <w:r>
        <w:t>entr</w:t>
      </w:r>
      <w:r w:rsidR="007A5F3C">
        <w:t>e</w:t>
      </w:r>
      <w:r>
        <w:t xml:space="preserve"> con atención después del principio, </w:t>
      </w:r>
      <w:r w:rsidR="0018767D">
        <w:t xml:space="preserve">el </w:t>
      </w:r>
      <w:r>
        <w:t xml:space="preserve">medio y </w:t>
      </w:r>
      <w:r w:rsidR="0018767D">
        <w:t xml:space="preserve">el </w:t>
      </w:r>
      <w:r>
        <w:t xml:space="preserve">final de la inhalación, su mente </w:t>
      </w:r>
      <w:r w:rsidR="0018767D">
        <w:t xml:space="preserve">estará </w:t>
      </w:r>
      <w:r>
        <w:t>distraída internamente, tanto su cuerpo como su mente est</w:t>
      </w:r>
      <w:r w:rsidR="0018767D">
        <w:t>ar</w:t>
      </w:r>
      <w:r>
        <w:t>á</w:t>
      </w:r>
      <w:r w:rsidR="0018767D">
        <w:t>n</w:t>
      </w:r>
      <w:r>
        <w:t xml:space="preserve"> inquiet</w:t>
      </w:r>
      <w:r w:rsidR="0018767D">
        <w:t>os</w:t>
      </w:r>
      <w:r>
        <w:t>, perturbad</w:t>
      </w:r>
      <w:r w:rsidR="0018767D">
        <w:t>os</w:t>
      </w:r>
      <w:r>
        <w:t xml:space="preserve"> y </w:t>
      </w:r>
      <w:r w:rsidR="0018767D">
        <w:t>agitados</w:t>
      </w:r>
      <w:r>
        <w:t xml:space="preserve">. Cuando </w:t>
      </w:r>
      <w:r w:rsidR="007A5F3C">
        <w:t xml:space="preserve">el aire </w:t>
      </w:r>
      <w:r>
        <w:t>sal</w:t>
      </w:r>
      <w:r w:rsidR="0018767D">
        <w:t>ga</w:t>
      </w:r>
      <w:r>
        <w:t xml:space="preserve"> con atención plena después del principio, </w:t>
      </w:r>
      <w:r w:rsidR="0018767D">
        <w:t xml:space="preserve">el </w:t>
      </w:r>
      <w:r>
        <w:t xml:space="preserve">medio y </w:t>
      </w:r>
      <w:r w:rsidR="0018767D">
        <w:t xml:space="preserve">el </w:t>
      </w:r>
      <w:r>
        <w:t>final de la exhalación, estando su mente distraída externamente, tanto su cuerpo como su mente est</w:t>
      </w:r>
      <w:r w:rsidR="0018767D">
        <w:t>ar</w:t>
      </w:r>
      <w:r>
        <w:t xml:space="preserve">án inquietos, perturbados y </w:t>
      </w:r>
      <w:r w:rsidR="0018767D">
        <w:t>agitados</w:t>
      </w:r>
      <w:r>
        <w:t>” (</w:t>
      </w:r>
      <w:proofErr w:type="spellStart"/>
      <w:r w:rsidRPr="00CE36FE">
        <w:rPr>
          <w:i/>
          <w:iCs/>
        </w:rPr>
        <w:t>Paṭis</w:t>
      </w:r>
      <w:proofErr w:type="spellEnd"/>
      <w:r>
        <w:t xml:space="preserve"> I 165).</w:t>
      </w:r>
    </w:p>
    <w:p w14:paraId="4DED2A61" w14:textId="7F82BC66" w:rsidR="00D02DC0" w:rsidRDefault="00D02DC0" w:rsidP="00D02DC0">
      <w:pPr>
        <w:pStyle w:val="NormalConSangria"/>
      </w:pPr>
      <w:r w:rsidRPr="002A30D5">
        <w:rPr>
          <w:i/>
          <w:iCs/>
        </w:rPr>
        <w:t>3–4</w:t>
      </w:r>
      <w:r>
        <w:t>. Así que cuando prest</w:t>
      </w:r>
      <w:r w:rsidR="0018767D">
        <w:t>e</w:t>
      </w:r>
      <w:r>
        <w:t xml:space="preserve"> atención </w:t>
      </w:r>
      <w:r w:rsidR="00A32BBC">
        <w:t>mediante la</w:t>
      </w:r>
      <w:r>
        <w:t xml:space="preserve"> conexión, no debe</w:t>
      </w:r>
      <w:r w:rsidR="0018767D">
        <w:t>rá</w:t>
      </w:r>
      <w:r>
        <w:t xml:space="preserve"> hacerlo por el principio, el medio y el final, sino más bien </w:t>
      </w:r>
      <w:r w:rsidR="00CE36FE">
        <w:t xml:space="preserve">mediante el </w:t>
      </w:r>
      <w:r w:rsidR="00CE36FE" w:rsidRPr="00CE36FE">
        <w:rPr>
          <w:i/>
          <w:iCs/>
        </w:rPr>
        <w:t>contacto</w:t>
      </w:r>
      <w:r w:rsidR="00CE36FE">
        <w:t xml:space="preserve"> y la </w:t>
      </w:r>
      <w:r w:rsidR="00CE36FE" w:rsidRPr="00CE36FE">
        <w:rPr>
          <w:i/>
          <w:iCs/>
        </w:rPr>
        <w:t>fijación</w:t>
      </w:r>
      <w:r>
        <w:t>.</w:t>
      </w:r>
    </w:p>
    <w:p w14:paraId="1E7F97F8" w14:textId="76924D3C" w:rsidR="00D02DC0" w:rsidRDefault="00D02DC0" w:rsidP="00D02DC0">
      <w:r>
        <w:t xml:space="preserve">198. </w:t>
      </w:r>
      <w:r>
        <w:tab/>
        <w:t>No ha</w:t>
      </w:r>
      <w:r w:rsidR="00643DF6">
        <w:t>brá</w:t>
      </w:r>
      <w:r>
        <w:t xml:space="preserve"> que prestarle atención al </w:t>
      </w:r>
      <w:r w:rsidR="0018767D" w:rsidRPr="00000200">
        <w:rPr>
          <w:i/>
          <w:iCs/>
        </w:rPr>
        <w:t>contacto</w:t>
      </w:r>
      <w:r>
        <w:t xml:space="preserve"> </w:t>
      </w:r>
      <w:r w:rsidR="0018767D">
        <w:t xml:space="preserve">independientemente </w:t>
      </w:r>
      <w:r>
        <w:t xml:space="preserve">de la </w:t>
      </w:r>
      <w:r w:rsidRPr="00000200">
        <w:rPr>
          <w:i/>
          <w:iCs/>
        </w:rPr>
        <w:t>fijación</w:t>
      </w:r>
      <w:r>
        <w:t xml:space="preserve"> </w:t>
      </w:r>
      <w:r w:rsidR="0018767D">
        <w:t xml:space="preserve">tal </w:t>
      </w:r>
      <w:r>
        <w:t xml:space="preserve">como </w:t>
      </w:r>
      <w:r w:rsidR="0018767D">
        <w:t xml:space="preserve">se da en el </w:t>
      </w:r>
      <w:r w:rsidR="0018767D" w:rsidRPr="00000200">
        <w:rPr>
          <w:i/>
          <w:iCs/>
        </w:rPr>
        <w:t>conteo</w:t>
      </w:r>
      <w:r>
        <w:t xml:space="preserve"> </w:t>
      </w:r>
      <w:r w:rsidR="0018767D">
        <w:t xml:space="preserve">independientemente </w:t>
      </w:r>
      <w:r>
        <w:t xml:space="preserve">de la </w:t>
      </w:r>
      <w:r w:rsidRPr="00000200">
        <w:rPr>
          <w:i/>
          <w:iCs/>
        </w:rPr>
        <w:t>conexión</w:t>
      </w:r>
      <w:r>
        <w:t xml:space="preserve">. </w:t>
      </w:r>
      <w:r w:rsidR="0018767D">
        <w:t xml:space="preserve">No obstante, </w:t>
      </w:r>
      <w:r>
        <w:t xml:space="preserve">cuando </w:t>
      </w:r>
      <w:r w:rsidR="0018767D">
        <w:t xml:space="preserve">se </w:t>
      </w:r>
      <w:r>
        <w:t>est</w:t>
      </w:r>
      <w:r w:rsidR="0018767D">
        <w:t>é</w:t>
      </w:r>
      <w:r>
        <w:t xml:space="preserve"> </w:t>
      </w:r>
      <w:r w:rsidRPr="00262639">
        <w:rPr>
          <w:i/>
          <w:iCs/>
        </w:rPr>
        <w:t>contando</w:t>
      </w:r>
      <w:r>
        <w:t xml:space="preserve"> las respiraciones en el lugar </w:t>
      </w:r>
      <w:r w:rsidR="0018767D">
        <w:t xml:space="preserve">del </w:t>
      </w:r>
      <w:r w:rsidR="0018767D" w:rsidRPr="00262639">
        <w:rPr>
          <w:i/>
          <w:iCs/>
        </w:rPr>
        <w:t>contacto</w:t>
      </w:r>
      <w:r w:rsidR="0018767D">
        <w:t xml:space="preserve"> de </w:t>
      </w:r>
      <w:r>
        <w:t>cada una, les presta</w:t>
      </w:r>
      <w:r w:rsidR="00D9427C">
        <w:t>rá</w:t>
      </w:r>
      <w:r>
        <w:t xml:space="preserve"> atención </w:t>
      </w:r>
      <w:r w:rsidR="0018767D">
        <w:t xml:space="preserve">mediante el </w:t>
      </w:r>
      <w:r w:rsidRPr="00262639">
        <w:rPr>
          <w:i/>
          <w:iCs/>
        </w:rPr>
        <w:t>cont</w:t>
      </w:r>
      <w:r w:rsidR="0018767D" w:rsidRPr="00262639">
        <w:rPr>
          <w:i/>
          <w:iCs/>
        </w:rPr>
        <w:t>eo</w:t>
      </w:r>
      <w:r>
        <w:t xml:space="preserve"> y </w:t>
      </w:r>
      <w:r w:rsidR="0018767D">
        <w:t xml:space="preserve">el </w:t>
      </w:r>
      <w:r w:rsidR="0018767D" w:rsidRPr="00000200">
        <w:rPr>
          <w:i/>
          <w:iCs/>
        </w:rPr>
        <w:t>contacto</w:t>
      </w:r>
      <w:r w:rsidR="00F6228A">
        <w:rPr>
          <w:i/>
          <w:iCs/>
        </w:rPr>
        <w:t>.</w:t>
      </w:r>
      <w:r w:rsidR="0018767D">
        <w:t xml:space="preserve"> </w:t>
      </w:r>
      <w:r w:rsidR="00F6228A">
        <w:t>C</w:t>
      </w:r>
      <w:r>
        <w:t>uando se ha</w:t>
      </w:r>
      <w:r w:rsidR="0018767D">
        <w:t>ya</w:t>
      </w:r>
      <w:r>
        <w:t xml:space="preserve"> </w:t>
      </w:r>
      <w:r w:rsidR="00F6228A">
        <w:t>dejado el</w:t>
      </w:r>
      <w:r w:rsidR="0018767D" w:rsidRPr="0018767D">
        <w:t xml:space="preserve"> </w:t>
      </w:r>
      <w:r w:rsidR="00F6228A" w:rsidRPr="00867585">
        <w:rPr>
          <w:i/>
          <w:iCs/>
        </w:rPr>
        <w:t>conteo</w:t>
      </w:r>
      <w:r w:rsidR="00F6228A">
        <w:t xml:space="preserve"> </w:t>
      </w:r>
      <w:r w:rsidR="0018767D">
        <w:t xml:space="preserve">y </w:t>
      </w:r>
      <w:r w:rsidR="00E033D9">
        <w:t xml:space="preserve">las </w:t>
      </w:r>
      <w:r w:rsidR="0018767D" w:rsidRPr="00867585">
        <w:rPr>
          <w:i/>
          <w:iCs/>
        </w:rPr>
        <w:t>conect</w:t>
      </w:r>
      <w:r w:rsidR="00E033D9" w:rsidRPr="00867585">
        <w:rPr>
          <w:i/>
          <w:iCs/>
        </w:rPr>
        <w:t>e</w:t>
      </w:r>
      <w:r w:rsidR="00E033D9">
        <w:t xml:space="preserve"> por medio de la atención plena</w:t>
      </w:r>
    </w:p>
    <w:p w14:paraId="4CFB69FD" w14:textId="77777777" w:rsidR="00D02DC0" w:rsidRDefault="00D02DC0" w:rsidP="00D02DC0">
      <w:pPr>
        <w:pStyle w:val="Piedepgina"/>
        <w:rPr>
          <w:u w:val="single"/>
        </w:rPr>
      </w:pPr>
      <w:r>
        <w:rPr>
          <w:u w:val="single"/>
        </w:rPr>
        <w:t xml:space="preserve">                                                                                                                                                                          .</w:t>
      </w:r>
    </w:p>
    <w:p w14:paraId="30B68AB6" w14:textId="03E83AA7" w:rsidR="00D02DC0" w:rsidRDefault="00D02DC0" w:rsidP="0011250A">
      <w:pPr>
        <w:pStyle w:val="PiedepginaLegal"/>
        <w:tabs>
          <w:tab w:val="clear" w:pos="6804"/>
        </w:tabs>
        <w:ind w:right="192"/>
      </w:pPr>
      <w:r>
        <w:t xml:space="preserve">53. </w:t>
      </w:r>
      <w:r>
        <w:tab/>
        <w:t>“‘Azotado por el viento’: si presta mucha atención al viento que ha</w:t>
      </w:r>
      <w:r w:rsidR="0018767D">
        <w:t>ya</w:t>
      </w:r>
      <w:r>
        <w:t xml:space="preserve"> entrado, ese lugar le parece</w:t>
      </w:r>
      <w:r w:rsidR="0018767D">
        <w:t>rá</w:t>
      </w:r>
      <w:r>
        <w:t xml:space="preserve"> como si fue</w:t>
      </w:r>
      <w:r w:rsidR="00436377">
        <w:t>se</w:t>
      </w:r>
      <w:r>
        <w:t xml:space="preserve"> azotado por el viento, como si estuviera lleno de grasa” (</w:t>
      </w:r>
      <w:proofErr w:type="spellStart"/>
      <w:r>
        <w:t>Vismmhṭ</w:t>
      </w:r>
      <w:proofErr w:type="spellEnd"/>
      <w:r>
        <w:t xml:space="preserve"> 268). No se da más explicación.</w:t>
      </w:r>
    </w:p>
    <w:p w14:paraId="506DE12D" w14:textId="6378E6C5" w:rsidR="00D02DC0" w:rsidRDefault="00D02DC0" w:rsidP="00262639">
      <w:pPr>
        <w:pStyle w:val="PiedepginaLegal"/>
        <w:tabs>
          <w:tab w:val="clear" w:pos="6804"/>
        </w:tabs>
        <w:ind w:right="50"/>
      </w:pPr>
      <w:r>
        <w:t>54.</w:t>
      </w:r>
      <w:r>
        <w:tab/>
        <w:t xml:space="preserve"> “'Seguir (</w:t>
      </w:r>
      <w:proofErr w:type="spellStart"/>
      <w:r w:rsidRPr="00CE36FE">
        <w:rPr>
          <w:i/>
          <w:iCs/>
        </w:rPr>
        <w:t>anugamana</w:t>
      </w:r>
      <w:proofErr w:type="spellEnd"/>
      <w:r>
        <w:t xml:space="preserve">)' </w:t>
      </w:r>
      <w:r w:rsidR="00DD6A7C">
        <w:t xml:space="preserve">que </w:t>
      </w:r>
      <w:r>
        <w:t>est</w:t>
      </w:r>
      <w:r w:rsidR="00DD6A7C">
        <w:t>é</w:t>
      </w:r>
      <w:r>
        <w:t xml:space="preserve"> ocurriendo junto con (</w:t>
      </w:r>
      <w:proofErr w:type="spellStart"/>
      <w:r w:rsidRPr="00CE36FE">
        <w:rPr>
          <w:i/>
          <w:iCs/>
        </w:rPr>
        <w:t>anu</w:t>
      </w:r>
      <w:proofErr w:type="spellEnd"/>
      <w:r w:rsidRPr="00CE36FE">
        <w:rPr>
          <w:i/>
          <w:iCs/>
        </w:rPr>
        <w:t xml:space="preserve"> </w:t>
      </w:r>
      <w:proofErr w:type="spellStart"/>
      <w:r w:rsidRPr="00CE36FE">
        <w:rPr>
          <w:i/>
          <w:iCs/>
        </w:rPr>
        <w:t>anu</w:t>
      </w:r>
      <w:proofErr w:type="spellEnd"/>
      <w:r w:rsidRPr="00CE36FE">
        <w:rPr>
          <w:i/>
          <w:iCs/>
        </w:rPr>
        <w:t xml:space="preserve"> </w:t>
      </w:r>
      <w:proofErr w:type="spellStart"/>
      <w:r w:rsidRPr="00CE36FE">
        <w:rPr>
          <w:i/>
          <w:iCs/>
        </w:rPr>
        <w:t>pavattana</w:t>
      </w:r>
      <w:proofErr w:type="spellEnd"/>
      <w:r>
        <w:t>), ir tras (</w:t>
      </w:r>
      <w:proofErr w:type="spellStart"/>
      <w:r w:rsidRPr="00CE36FE">
        <w:rPr>
          <w:i/>
          <w:iCs/>
        </w:rPr>
        <w:t>anugacchana</w:t>
      </w:r>
      <w:proofErr w:type="spellEnd"/>
      <w:r>
        <w:t>), por medio de la atención plena al hacer que la respira</w:t>
      </w:r>
      <w:r w:rsidR="00DD6A7C">
        <w:t>ción</w:t>
      </w:r>
      <w:r>
        <w:t xml:space="preserve"> sea el objeto a medida que ocurr</w:t>
      </w:r>
      <w:r w:rsidR="00A63707">
        <w:t>a</w:t>
      </w:r>
      <w:r>
        <w:t xml:space="preserve">. Por lo tanto, </w:t>
      </w:r>
      <w:r w:rsidR="00A63707">
        <w:t xml:space="preserve">él </w:t>
      </w:r>
      <w:r>
        <w:t xml:space="preserve">dijo: 'Y eso no </w:t>
      </w:r>
      <w:r w:rsidR="00A63707">
        <w:t>significa</w:t>
      </w:r>
      <w:r>
        <w:t xml:space="preserve"> </w:t>
      </w:r>
      <w:r w:rsidR="00DD6A7C">
        <w:t>seguir</w:t>
      </w:r>
      <w:r>
        <w:t xml:space="preserve"> el principio, el medio y el final.” “El ombligo es el principio” debido a que primero </w:t>
      </w:r>
      <w:r w:rsidR="00E3432B">
        <w:t xml:space="preserve">se da el surgimiento </w:t>
      </w:r>
      <w:r>
        <w:t>allí. Porque la noción de un comienzo (</w:t>
      </w:r>
      <w:proofErr w:type="spellStart"/>
      <w:r w:rsidRPr="00CE36FE">
        <w:rPr>
          <w:i/>
          <w:iCs/>
        </w:rPr>
        <w:t>ādi</w:t>
      </w:r>
      <w:proofErr w:type="spellEnd"/>
      <w:r w:rsidRPr="00CE36FE">
        <w:rPr>
          <w:i/>
          <w:iCs/>
        </w:rPr>
        <w:t xml:space="preserve"> </w:t>
      </w:r>
      <w:proofErr w:type="spellStart"/>
      <w:r w:rsidRPr="00CE36FE">
        <w:rPr>
          <w:i/>
          <w:iCs/>
        </w:rPr>
        <w:t>cintā</w:t>
      </w:r>
      <w:proofErr w:type="spellEnd"/>
      <w:r>
        <w:t xml:space="preserve">) </w:t>
      </w:r>
      <w:r w:rsidR="00E46A65">
        <w:t xml:space="preserve">se encuentra </w:t>
      </w:r>
      <w:r>
        <w:t xml:space="preserve">aquí en el sentido de surgir primero, no en el sentido de surgir simplemente [una sola vez]. </w:t>
      </w:r>
      <w:r w:rsidR="00541857">
        <w:t xml:space="preserve">Ya </w:t>
      </w:r>
      <w:r>
        <w:t>que</w:t>
      </w:r>
      <w:r w:rsidR="00541857">
        <w:t>,</w:t>
      </w:r>
      <w:r>
        <w:t xml:space="preserve"> en realidad</w:t>
      </w:r>
      <w:r w:rsidR="00541857">
        <w:t>,</w:t>
      </w:r>
      <w:r>
        <w:t xml:space="preserve"> continúan surgiendo a lo largo de toda la longitud</w:t>
      </w:r>
      <w:r w:rsidR="00B9535C">
        <w:t>,</w:t>
      </w:r>
      <w:r>
        <w:t xml:space="preserve"> desde el ombligo hasta la punta de la nariz; y dondequiera que surjan, allí en ese mismo lugar se disuelven, porque no ha</w:t>
      </w:r>
      <w:r w:rsidR="00541857">
        <w:t>brá</w:t>
      </w:r>
      <w:r>
        <w:t xml:space="preserve"> marcha (movimiento) de </w:t>
      </w:r>
      <w:r w:rsidR="00935D67" w:rsidRPr="00057BF4">
        <w:rPr>
          <w:i/>
        </w:rPr>
        <w:t>dhamma</w:t>
      </w:r>
      <w:r w:rsidR="00935D67">
        <w:t>s</w:t>
      </w:r>
      <w:r>
        <w:t>. El término ordinario 'movimiento' (</w:t>
      </w:r>
      <w:proofErr w:type="spellStart"/>
      <w:r w:rsidRPr="00CE36FE">
        <w:rPr>
          <w:i/>
          <w:iCs/>
        </w:rPr>
        <w:t>gatisamaññā</w:t>
      </w:r>
      <w:proofErr w:type="spellEnd"/>
      <w:r>
        <w:t>) se refiere a los sucesivos surgimientos en lugares adyacentes (</w:t>
      </w:r>
      <w:proofErr w:type="spellStart"/>
      <w:r w:rsidRPr="00CE36FE">
        <w:rPr>
          <w:i/>
          <w:iCs/>
        </w:rPr>
        <w:t>desantaruppatti</w:t>
      </w:r>
      <w:proofErr w:type="spellEnd"/>
      <w:r>
        <w:t xml:space="preserve">) según las condiciones. ‘El corazón es el medio’: cerca del corazón, justo </w:t>
      </w:r>
      <w:r w:rsidR="006C5F6F">
        <w:t xml:space="preserve">encima </w:t>
      </w:r>
      <w:r>
        <w:t xml:space="preserve">es el medio. 'La punta de la nariz es el final': el lugar donde están las fosas nasales es el final; </w:t>
      </w:r>
      <w:r w:rsidR="006C5F6F">
        <w:t>é</w:t>
      </w:r>
      <w:r>
        <w:t>se es el límite de la aplicación del término ordinario 'inhalaci</w:t>
      </w:r>
      <w:r w:rsidR="00E2344D">
        <w:t>ó</w:t>
      </w:r>
      <w:r>
        <w:t>n y exhala</w:t>
      </w:r>
      <w:r w:rsidR="00E2344D">
        <w:t>ción</w:t>
      </w:r>
      <w:r>
        <w:t xml:space="preserve">', pues es en consecuencia que se les </w:t>
      </w:r>
      <w:r w:rsidR="00972705">
        <w:t>denomina</w:t>
      </w:r>
      <w:r>
        <w:t xml:space="preserve"> 'originadas en la con</w:t>
      </w:r>
      <w:r w:rsidR="00E2344D">
        <w:t>s</w:t>
      </w:r>
      <w:r>
        <w:t xml:space="preserve">ciencia', no habiendo producción externa de lo que </w:t>
      </w:r>
      <w:r w:rsidR="00E2344D">
        <w:t>sea</w:t>
      </w:r>
      <w:r>
        <w:t xml:space="preserve"> originado en la con</w:t>
      </w:r>
      <w:r w:rsidR="00E2344D">
        <w:t>s</w:t>
      </w:r>
      <w:r>
        <w:t>ciencia” (</w:t>
      </w:r>
      <w:proofErr w:type="spellStart"/>
      <w:r w:rsidRPr="00CE36FE">
        <w:t>Vism</w:t>
      </w:r>
      <w:r>
        <w:t>-mhṭ</w:t>
      </w:r>
      <w:proofErr w:type="spellEnd"/>
      <w:r>
        <w:t xml:space="preserve"> 268).</w:t>
      </w:r>
    </w:p>
    <w:p w14:paraId="4E3D9423" w14:textId="77777777" w:rsidR="00D02DC0" w:rsidRDefault="00D02DC0">
      <w:pPr>
        <w:tabs>
          <w:tab w:val="clear" w:pos="425"/>
        </w:tabs>
        <w:spacing w:after="160"/>
      </w:pPr>
      <w:r>
        <w:br w:type="page"/>
      </w:r>
    </w:p>
    <w:p w14:paraId="436D8418" w14:textId="0F640507" w:rsidR="00816DB0" w:rsidRDefault="004A2807" w:rsidP="00816DB0">
      <w:r>
        <w:lastRenderedPageBreak/>
        <w:br/>
      </w:r>
      <w:r w:rsidR="00816DB0">
        <w:t xml:space="preserve">en ese mismo lugar y </w:t>
      </w:r>
      <w:r w:rsidR="00816DB0" w:rsidRPr="00867585">
        <w:rPr>
          <w:i/>
          <w:iCs/>
        </w:rPr>
        <w:t>fij</w:t>
      </w:r>
      <w:r w:rsidR="00867585" w:rsidRPr="00867585">
        <w:rPr>
          <w:i/>
          <w:iCs/>
        </w:rPr>
        <w:t>e</w:t>
      </w:r>
      <w:r w:rsidR="00816DB0">
        <w:t xml:space="preserve"> la con</w:t>
      </w:r>
      <w:r w:rsidR="0018767D">
        <w:t>s</w:t>
      </w:r>
      <w:r w:rsidR="00816DB0">
        <w:t>ciencia por medio de la absorción, entonces se di</w:t>
      </w:r>
      <w:r w:rsidR="00867585">
        <w:t>rá</w:t>
      </w:r>
      <w:r w:rsidR="00816DB0">
        <w:t xml:space="preserve"> que les est</w:t>
      </w:r>
      <w:r w:rsidR="0018767D">
        <w:t>ar</w:t>
      </w:r>
      <w:r w:rsidR="00816DB0">
        <w:t xml:space="preserve">á prestando atención por medio de la </w:t>
      </w:r>
      <w:r w:rsidR="00816DB0" w:rsidRPr="00000200">
        <w:rPr>
          <w:i/>
          <w:iCs/>
        </w:rPr>
        <w:t>conexión</w:t>
      </w:r>
      <w:r w:rsidR="00816DB0">
        <w:t xml:space="preserve">, </w:t>
      </w:r>
      <w:r w:rsidR="0018767D">
        <w:t xml:space="preserve">el </w:t>
      </w:r>
      <w:r w:rsidR="0018767D" w:rsidRPr="00000200">
        <w:rPr>
          <w:i/>
          <w:iCs/>
        </w:rPr>
        <w:t>contacto</w:t>
      </w:r>
      <w:r w:rsidR="00816DB0">
        <w:t xml:space="preserve"> y </w:t>
      </w:r>
      <w:r w:rsidR="0018767D">
        <w:t xml:space="preserve">la </w:t>
      </w:r>
      <w:r w:rsidR="0018767D" w:rsidRPr="00000200">
        <w:rPr>
          <w:i/>
          <w:iCs/>
        </w:rPr>
        <w:t>fijación</w:t>
      </w:r>
      <w:r w:rsidR="00816DB0">
        <w:t xml:space="preserve">. Y el significado de esto </w:t>
      </w:r>
      <w:r w:rsidR="0018767D">
        <w:t xml:space="preserve">podrá </w:t>
      </w:r>
      <w:r w:rsidR="00816DB0">
        <w:t xml:space="preserve">entenderse a través de los símiles del hombre que no </w:t>
      </w:r>
      <w:r w:rsidR="00867585">
        <w:t>podía</w:t>
      </w:r>
      <w:r w:rsidR="00816DB0">
        <w:t xml:space="preserve"> caminar y </w:t>
      </w:r>
      <w:r w:rsidR="00867585">
        <w:t>d</w:t>
      </w:r>
      <w:r w:rsidR="00816DB0">
        <w:t>el portero</w:t>
      </w:r>
      <w:r w:rsidR="0018767D">
        <w:t>,</w:t>
      </w:r>
      <w:r w:rsidR="00816DB0">
        <w:t xml:space="preserve"> </w:t>
      </w:r>
      <w:r w:rsidR="0018767D">
        <w:t xml:space="preserve">el cual </w:t>
      </w:r>
      <w:r w:rsidR="00816DB0">
        <w:t xml:space="preserve">se dan en los comentarios, y a través del símil de la sierra que se da en el </w:t>
      </w:r>
      <w:proofErr w:type="spellStart"/>
      <w:r w:rsidR="00816DB0" w:rsidRPr="00CE36FE">
        <w:rPr>
          <w:i/>
          <w:iCs/>
        </w:rPr>
        <w:t>Paṭisambhidā</w:t>
      </w:r>
      <w:proofErr w:type="spellEnd"/>
      <w:r w:rsidR="00816DB0">
        <w:t>.</w:t>
      </w:r>
    </w:p>
    <w:p w14:paraId="5B7170E6" w14:textId="7A9BFFB7" w:rsidR="00816DB0" w:rsidRDefault="00816DB0" w:rsidP="00816DB0">
      <w:r>
        <w:t xml:space="preserve">199. </w:t>
      </w:r>
      <w:r>
        <w:tab/>
        <w:t xml:space="preserve">Aquí está el símil del hombre que no </w:t>
      </w:r>
      <w:r w:rsidR="004817DD">
        <w:t xml:space="preserve">podía </w:t>
      </w:r>
      <w:r>
        <w:t>caminar: Así como un hombre que no puede caminar, que está meciendo un columpio para la diversión de sus hijos y su madre, se sienta al pie del poste del columpio y ve ambos extremos y el medio de la tabla de columpio</w:t>
      </w:r>
      <w:r w:rsidR="00A7236B">
        <w:t>,</w:t>
      </w:r>
      <w:r>
        <w:t xml:space="preserve"> yendo y viniendo sucesivamente, [281] pero no se mueve de su lugar para ver ambos extremos y el centro, así también, cuando un </w:t>
      </w:r>
      <w:proofErr w:type="spellStart"/>
      <w:r w:rsidR="00057BF4" w:rsidRPr="00057BF4">
        <w:rPr>
          <w:i/>
          <w:iCs/>
        </w:rPr>
        <w:t>bhikkhu</w:t>
      </w:r>
      <w:proofErr w:type="spellEnd"/>
      <w:r>
        <w:t xml:space="preserve"> se coloca con atención plena, por así decirlo, al pie del poste para anclar </w:t>
      </w:r>
      <w:r w:rsidR="0018767D">
        <w:t>la atención</w:t>
      </w:r>
      <w:r>
        <w:t xml:space="preserve"> y balancear el balanceo de la </w:t>
      </w:r>
      <w:r w:rsidR="00984ADB">
        <w:t xml:space="preserve">inhalación </w:t>
      </w:r>
      <w:r>
        <w:t xml:space="preserve">y </w:t>
      </w:r>
      <w:r w:rsidR="00984ADB">
        <w:t>exhalación</w:t>
      </w:r>
      <w:r>
        <w:t xml:space="preserve">; se sienta con atención en el signo en ese mismo lugar y sigue con atención el principio, </w:t>
      </w:r>
      <w:r w:rsidR="00984ADB">
        <w:t>el medio</w:t>
      </w:r>
      <w:r>
        <w:t xml:space="preserve"> y el final de las </w:t>
      </w:r>
      <w:r w:rsidR="00B17A76">
        <w:t xml:space="preserve">inhalación </w:t>
      </w:r>
      <w:r>
        <w:t xml:space="preserve">y </w:t>
      </w:r>
      <w:r w:rsidR="00B17A76">
        <w:t xml:space="preserve">exhalación </w:t>
      </w:r>
      <w:r>
        <w:t xml:space="preserve">en el lugar </w:t>
      </w:r>
      <w:r w:rsidR="0018767D">
        <w:t>de contacto</w:t>
      </w:r>
      <w:r>
        <w:t xml:space="preserve"> </w:t>
      </w:r>
      <w:r w:rsidR="000D460A">
        <w:t>de</w:t>
      </w:r>
      <w:r>
        <w:t xml:space="preserve"> ellas a medida que </w:t>
      </w:r>
      <w:r w:rsidR="000D460A">
        <w:t>entren</w:t>
      </w:r>
      <w:r>
        <w:t xml:space="preserve"> y </w:t>
      </w:r>
      <w:r w:rsidR="000D460A">
        <w:t>salgan</w:t>
      </w:r>
      <w:r>
        <w:t xml:space="preserve">; manteniendo su mente fija </w:t>
      </w:r>
      <w:r w:rsidR="000D460A">
        <w:t>en ello</w:t>
      </w:r>
      <w:r>
        <w:t>, entonces los ve</w:t>
      </w:r>
      <w:r w:rsidR="000D460A">
        <w:t>rá</w:t>
      </w:r>
      <w:r>
        <w:t xml:space="preserve"> sin moverse de su lugar para verlos</w:t>
      </w:r>
      <w:r w:rsidR="0018767D">
        <w:t xml:space="preserve"> mejor</w:t>
      </w:r>
      <w:r>
        <w:t xml:space="preserve">. </w:t>
      </w:r>
      <w:r w:rsidR="0018767D">
        <w:t>É</w:t>
      </w:r>
      <w:r>
        <w:t xml:space="preserve">ste es el símil del hombre que no </w:t>
      </w:r>
      <w:r w:rsidR="000D460A">
        <w:t xml:space="preserve">podía </w:t>
      </w:r>
      <w:r>
        <w:t>caminar.</w:t>
      </w:r>
    </w:p>
    <w:p w14:paraId="2A04FBC7" w14:textId="45225CAF" w:rsidR="00816DB0" w:rsidRDefault="00816DB0" w:rsidP="00816DB0">
      <w:r>
        <w:t xml:space="preserve">200. </w:t>
      </w:r>
      <w:r>
        <w:tab/>
        <w:t xml:space="preserve">Este es el símil del portero: Así como un portero no examina a la gente dentro y fuera de la ciudad, preguntando: “¿Quién es </w:t>
      </w:r>
      <w:r w:rsidR="0018767D">
        <w:t>usted</w:t>
      </w:r>
      <w:r>
        <w:t xml:space="preserve">? ¿De dónde viene? ¿A dónde va? ¿Qué tiene en la mano?”, porque </w:t>
      </w:r>
      <w:r w:rsidR="0018767D">
        <w:t xml:space="preserve">los asuntos de esas </w:t>
      </w:r>
      <w:r>
        <w:t xml:space="preserve">personas no son de su incumbencia, </w:t>
      </w:r>
      <w:r w:rsidR="0018767D">
        <w:t xml:space="preserve">y sólo </w:t>
      </w:r>
      <w:r>
        <w:t xml:space="preserve">examina a cada hombre cuando </w:t>
      </w:r>
      <w:r w:rsidR="0018767D">
        <w:t>pas</w:t>
      </w:r>
      <w:r w:rsidR="00E031D1">
        <w:t>e</w:t>
      </w:r>
      <w:r w:rsidR="0018767D">
        <w:t xml:space="preserve"> por </w:t>
      </w:r>
      <w:r>
        <w:t>la puerta, así también, las respiraciones entrantes que ha</w:t>
      </w:r>
      <w:r w:rsidR="0018767D">
        <w:t>ya</w:t>
      </w:r>
      <w:r>
        <w:t xml:space="preserve">n </w:t>
      </w:r>
      <w:r w:rsidR="0018767D">
        <w:t xml:space="preserve">entrado </w:t>
      </w:r>
      <w:r>
        <w:t xml:space="preserve">y las respiraciones salientes que </w:t>
      </w:r>
      <w:r w:rsidR="0018767D">
        <w:t xml:space="preserve">hayan salido </w:t>
      </w:r>
      <w:r>
        <w:t xml:space="preserve">no </w:t>
      </w:r>
      <w:r w:rsidR="0018767D">
        <w:t xml:space="preserve">obedecen a </w:t>
      </w:r>
      <w:r>
        <w:t xml:space="preserve">la ocupación de este </w:t>
      </w:r>
      <w:proofErr w:type="spellStart"/>
      <w:r w:rsidR="00057BF4" w:rsidRPr="00057BF4">
        <w:rPr>
          <w:i/>
          <w:iCs/>
        </w:rPr>
        <w:t>bhikkhu</w:t>
      </w:r>
      <w:proofErr w:type="spellEnd"/>
      <w:r>
        <w:t xml:space="preserve">, </w:t>
      </w:r>
      <w:r w:rsidR="0018767D">
        <w:t xml:space="preserve">sino la respiración que </w:t>
      </w:r>
      <w:r>
        <w:t>cada vez lleg</w:t>
      </w:r>
      <w:r w:rsidR="0018767D">
        <w:t>ue</w:t>
      </w:r>
      <w:r>
        <w:t xml:space="preserve"> a la puerta de la</w:t>
      </w:r>
      <w:r w:rsidR="0018767D">
        <w:t>s</w:t>
      </w:r>
      <w:r>
        <w:t xml:space="preserve"> fosa</w:t>
      </w:r>
      <w:r w:rsidR="0018767D">
        <w:t>s</w:t>
      </w:r>
      <w:r>
        <w:t xml:space="preserve"> nasal</w:t>
      </w:r>
      <w:r w:rsidR="0018767D">
        <w:t>es</w:t>
      </w:r>
      <w:r>
        <w:t>.</w:t>
      </w:r>
    </w:p>
    <w:p w14:paraId="1C3BBB11" w14:textId="4867D3F6" w:rsidR="00816DB0" w:rsidRDefault="00816DB0" w:rsidP="00816DB0">
      <w:r>
        <w:t xml:space="preserve">201. </w:t>
      </w:r>
      <w:r>
        <w:tab/>
      </w:r>
      <w:r w:rsidR="0018767D">
        <w:t>A continuación</w:t>
      </w:r>
      <w:r>
        <w:t xml:space="preserve"> el símil de la sierra debe entenderse desde su principio. Por esto se dice:</w:t>
      </w:r>
    </w:p>
    <w:p w14:paraId="3A843060" w14:textId="03467200" w:rsidR="00816DB0" w:rsidRPr="0018767D" w:rsidRDefault="00816DB0" w:rsidP="00816DB0">
      <w:pPr>
        <w:pStyle w:val="VersoIngls01Sangria"/>
        <w:rPr>
          <w:sz w:val="16"/>
          <w:szCs w:val="20"/>
        </w:rPr>
      </w:pPr>
      <w:r w:rsidRPr="0018767D">
        <w:rPr>
          <w:sz w:val="16"/>
          <w:szCs w:val="20"/>
        </w:rPr>
        <w:t>“</w:t>
      </w:r>
      <w:r w:rsidR="0018767D">
        <w:rPr>
          <w:sz w:val="16"/>
          <w:szCs w:val="20"/>
        </w:rPr>
        <w:t>Signo</w:t>
      </w:r>
      <w:r w:rsidRPr="0018767D">
        <w:rPr>
          <w:sz w:val="16"/>
          <w:szCs w:val="20"/>
        </w:rPr>
        <w:t>, inhalación, exhalación, no son objeto</w:t>
      </w:r>
    </w:p>
    <w:p w14:paraId="7C40AB5D" w14:textId="40901A68" w:rsidR="00816DB0" w:rsidRPr="0018767D" w:rsidRDefault="00816DB0" w:rsidP="00816DB0">
      <w:pPr>
        <w:pStyle w:val="VersoIngls01Sangria"/>
        <w:rPr>
          <w:sz w:val="16"/>
          <w:szCs w:val="20"/>
        </w:rPr>
      </w:pPr>
      <w:r w:rsidRPr="0018767D">
        <w:rPr>
          <w:sz w:val="16"/>
          <w:szCs w:val="20"/>
        </w:rPr>
        <w:t>de una sola con</w:t>
      </w:r>
      <w:r w:rsidR="0018767D">
        <w:rPr>
          <w:sz w:val="16"/>
          <w:szCs w:val="20"/>
        </w:rPr>
        <w:t>s</w:t>
      </w:r>
      <w:r w:rsidRPr="0018767D">
        <w:rPr>
          <w:sz w:val="16"/>
          <w:szCs w:val="20"/>
        </w:rPr>
        <w:t>ciencia;</w:t>
      </w:r>
    </w:p>
    <w:p w14:paraId="57FAFC7B" w14:textId="0A68C650" w:rsidR="00816DB0" w:rsidRPr="0018767D" w:rsidRDefault="0018767D" w:rsidP="00816DB0">
      <w:pPr>
        <w:pStyle w:val="VersoIngls01Sangria"/>
        <w:rPr>
          <w:sz w:val="16"/>
          <w:szCs w:val="20"/>
        </w:rPr>
      </w:pPr>
      <w:r>
        <w:rPr>
          <w:sz w:val="16"/>
          <w:szCs w:val="20"/>
        </w:rPr>
        <w:t xml:space="preserve">para alguien </w:t>
      </w:r>
      <w:r w:rsidR="00816DB0" w:rsidRPr="0018767D">
        <w:rPr>
          <w:sz w:val="16"/>
          <w:szCs w:val="20"/>
        </w:rPr>
        <w:t xml:space="preserve">que no </w:t>
      </w:r>
      <w:r w:rsidR="005C4B11">
        <w:rPr>
          <w:sz w:val="16"/>
          <w:szCs w:val="20"/>
        </w:rPr>
        <w:t>conozca</w:t>
      </w:r>
      <w:r>
        <w:rPr>
          <w:sz w:val="16"/>
          <w:szCs w:val="20"/>
        </w:rPr>
        <w:t xml:space="preserve"> </w:t>
      </w:r>
      <w:r w:rsidR="00816DB0" w:rsidRPr="0018767D">
        <w:rPr>
          <w:sz w:val="16"/>
          <w:szCs w:val="20"/>
        </w:rPr>
        <w:t>estas tres cosas</w:t>
      </w:r>
    </w:p>
    <w:p w14:paraId="52B4D186" w14:textId="0B99036F" w:rsidR="00816DB0" w:rsidRPr="0018767D" w:rsidRDefault="00816DB0" w:rsidP="00816DB0">
      <w:pPr>
        <w:pStyle w:val="VersoIngls01Sangria"/>
        <w:spacing w:after="100"/>
        <w:ind w:left="1418"/>
        <w:rPr>
          <w:sz w:val="16"/>
          <w:szCs w:val="20"/>
        </w:rPr>
      </w:pPr>
      <w:r w:rsidRPr="0018767D">
        <w:rPr>
          <w:sz w:val="16"/>
          <w:szCs w:val="20"/>
        </w:rPr>
        <w:t xml:space="preserve">No se </w:t>
      </w:r>
      <w:r w:rsidR="005C4B11">
        <w:rPr>
          <w:sz w:val="16"/>
          <w:szCs w:val="20"/>
        </w:rPr>
        <w:t>producirá el</w:t>
      </w:r>
      <w:r w:rsidR="0018767D">
        <w:rPr>
          <w:sz w:val="16"/>
          <w:szCs w:val="20"/>
        </w:rPr>
        <w:t xml:space="preserve"> </w:t>
      </w:r>
      <w:r w:rsidRPr="0018767D">
        <w:rPr>
          <w:sz w:val="16"/>
          <w:szCs w:val="20"/>
        </w:rPr>
        <w:t>desarrollo.</w:t>
      </w:r>
    </w:p>
    <w:p w14:paraId="7DD6EF85" w14:textId="2A82FCBA" w:rsidR="00816DB0" w:rsidRPr="0018767D" w:rsidRDefault="00816DB0" w:rsidP="00816DB0">
      <w:pPr>
        <w:pStyle w:val="VersoIngls01Sangria"/>
        <w:rPr>
          <w:sz w:val="16"/>
          <w:szCs w:val="20"/>
        </w:rPr>
      </w:pPr>
      <w:r w:rsidRPr="0018767D">
        <w:rPr>
          <w:sz w:val="16"/>
          <w:szCs w:val="20"/>
        </w:rPr>
        <w:t>“</w:t>
      </w:r>
      <w:r w:rsidR="0018767D">
        <w:rPr>
          <w:sz w:val="16"/>
          <w:szCs w:val="20"/>
        </w:rPr>
        <w:t>Signo</w:t>
      </w:r>
      <w:r w:rsidRPr="0018767D">
        <w:rPr>
          <w:sz w:val="16"/>
          <w:szCs w:val="20"/>
        </w:rPr>
        <w:t>, inhalación, exhalación, no son objeto</w:t>
      </w:r>
    </w:p>
    <w:p w14:paraId="39AFCC75" w14:textId="13E89B79" w:rsidR="00816DB0" w:rsidRPr="0018767D" w:rsidRDefault="00816DB0" w:rsidP="00816DB0">
      <w:pPr>
        <w:pStyle w:val="VersoIngls01Sangria"/>
        <w:rPr>
          <w:sz w:val="16"/>
          <w:szCs w:val="20"/>
        </w:rPr>
      </w:pPr>
      <w:r w:rsidRPr="0018767D">
        <w:rPr>
          <w:sz w:val="16"/>
          <w:szCs w:val="20"/>
        </w:rPr>
        <w:t>de una sola con</w:t>
      </w:r>
      <w:r w:rsidR="0018767D">
        <w:rPr>
          <w:sz w:val="16"/>
          <w:szCs w:val="20"/>
        </w:rPr>
        <w:t>s</w:t>
      </w:r>
      <w:r w:rsidRPr="0018767D">
        <w:rPr>
          <w:sz w:val="16"/>
          <w:szCs w:val="20"/>
        </w:rPr>
        <w:t>ciencia;</w:t>
      </w:r>
    </w:p>
    <w:p w14:paraId="28438A2F" w14:textId="34D5F20E" w:rsidR="00816DB0" w:rsidRPr="0018767D" w:rsidRDefault="0018767D" w:rsidP="00816DB0">
      <w:pPr>
        <w:pStyle w:val="VersoIngls01Sangria"/>
        <w:rPr>
          <w:sz w:val="16"/>
          <w:szCs w:val="20"/>
        </w:rPr>
      </w:pPr>
      <w:r>
        <w:rPr>
          <w:sz w:val="16"/>
          <w:szCs w:val="20"/>
        </w:rPr>
        <w:t xml:space="preserve">Para alguien </w:t>
      </w:r>
      <w:r w:rsidR="00816DB0" w:rsidRPr="0018767D">
        <w:rPr>
          <w:sz w:val="16"/>
          <w:szCs w:val="20"/>
        </w:rPr>
        <w:t xml:space="preserve">que </w:t>
      </w:r>
      <w:r w:rsidR="005C4B11">
        <w:rPr>
          <w:sz w:val="16"/>
          <w:szCs w:val="20"/>
        </w:rPr>
        <w:t>conozca</w:t>
      </w:r>
      <w:r w:rsidR="005C4B11" w:rsidRPr="0018767D">
        <w:rPr>
          <w:sz w:val="16"/>
          <w:szCs w:val="20"/>
        </w:rPr>
        <w:t xml:space="preserve"> </w:t>
      </w:r>
      <w:r w:rsidR="00816DB0" w:rsidRPr="0018767D">
        <w:rPr>
          <w:sz w:val="16"/>
          <w:szCs w:val="20"/>
        </w:rPr>
        <w:t>estas tres cosas</w:t>
      </w:r>
    </w:p>
    <w:p w14:paraId="4218F335" w14:textId="048A8B23" w:rsidR="00816DB0" w:rsidRPr="0018767D" w:rsidRDefault="00816DB0" w:rsidP="00816DB0">
      <w:pPr>
        <w:pStyle w:val="VersoIngls01Sangria"/>
        <w:spacing w:after="100"/>
        <w:ind w:left="1418"/>
        <w:rPr>
          <w:sz w:val="16"/>
          <w:szCs w:val="20"/>
        </w:rPr>
      </w:pPr>
      <w:r w:rsidRPr="0018767D">
        <w:rPr>
          <w:sz w:val="16"/>
          <w:szCs w:val="20"/>
        </w:rPr>
        <w:t xml:space="preserve">Se </w:t>
      </w:r>
      <w:r w:rsidR="00CD7214">
        <w:rPr>
          <w:sz w:val="16"/>
          <w:szCs w:val="20"/>
        </w:rPr>
        <w:t xml:space="preserve">producirá el </w:t>
      </w:r>
      <w:r w:rsidRPr="0018767D">
        <w:rPr>
          <w:sz w:val="16"/>
          <w:szCs w:val="20"/>
        </w:rPr>
        <w:t>desarrollo”.</w:t>
      </w:r>
    </w:p>
    <w:p w14:paraId="523712B1" w14:textId="1494984A" w:rsidR="00816DB0" w:rsidRDefault="00816DB0" w:rsidP="00816DB0">
      <w:r>
        <w:t xml:space="preserve">202. </w:t>
      </w:r>
      <w:r>
        <w:tab/>
        <w:t>“¿Cómo es que estas tres cosas no son objeto de una sola con</w:t>
      </w:r>
      <w:r w:rsidR="0018767D">
        <w:t>s</w:t>
      </w:r>
      <w:r>
        <w:t xml:space="preserve">ciencia, que sin embargo no son desconocidas, que </w:t>
      </w:r>
      <w:r w:rsidR="000D272E">
        <w:t xml:space="preserve">por medio de las cuales </w:t>
      </w:r>
      <w:r>
        <w:t>la mente no se distrae, que manifiesta</w:t>
      </w:r>
      <w:r w:rsidR="000D272E">
        <w:t>n</w:t>
      </w:r>
      <w:r>
        <w:t xml:space="preserve"> esfuerzo, realiza</w:t>
      </w:r>
      <w:r w:rsidR="007E3AAB">
        <w:t>n</w:t>
      </w:r>
      <w:r>
        <w:t xml:space="preserve"> una tarea y logra</w:t>
      </w:r>
      <w:r w:rsidR="007E3AAB">
        <w:t>n</w:t>
      </w:r>
      <w:r>
        <w:t xml:space="preserve"> un efecto?</w:t>
      </w:r>
    </w:p>
    <w:p w14:paraId="6D11D089" w14:textId="3E45B1C1" w:rsidR="00816DB0" w:rsidRDefault="00816DB0" w:rsidP="00816DB0">
      <w:pPr>
        <w:pStyle w:val="NormalConSangria"/>
      </w:pPr>
      <w:r>
        <w:t>“Supongamos que hay</w:t>
      </w:r>
      <w:r w:rsidR="0018767D">
        <w:t>a</w:t>
      </w:r>
      <w:r>
        <w:t xml:space="preserve"> un tronco de árbol colocado en un terreno nivelado y un hombre lo cort</w:t>
      </w:r>
      <w:r w:rsidR="0018767D">
        <w:t>e</w:t>
      </w:r>
      <w:r>
        <w:t xml:space="preserve"> con una sierra. La atención del hombre se establece</w:t>
      </w:r>
      <w:r w:rsidR="00354AF9">
        <w:t>rá</w:t>
      </w:r>
      <w:r>
        <w:t xml:space="preserve"> </w:t>
      </w:r>
      <w:r w:rsidR="0018767D">
        <w:t>en</w:t>
      </w:r>
      <w:r>
        <w:t xml:space="preserve"> los dientes de la sierra donde </w:t>
      </w:r>
      <w:r w:rsidR="00006852">
        <w:t>haya</w:t>
      </w:r>
      <w:r w:rsidR="0018767D">
        <w:t xml:space="preserve"> contacto </w:t>
      </w:r>
      <w:r w:rsidR="007A6737">
        <w:t>con</w:t>
      </w:r>
      <w:r w:rsidR="00006852">
        <w:t xml:space="preserve"> </w:t>
      </w:r>
      <w:r>
        <w:t xml:space="preserve">el tronco </w:t>
      </w:r>
      <w:r w:rsidR="007A6737">
        <w:t>d</w:t>
      </w:r>
      <w:r>
        <w:t xml:space="preserve">el árbol, sin prestar atención a los dientes de la sierra </w:t>
      </w:r>
      <w:r w:rsidR="0018767D">
        <w:t xml:space="preserve">que </w:t>
      </w:r>
      <w:r>
        <w:t xml:space="preserve">se </w:t>
      </w:r>
      <w:r w:rsidR="0018767D">
        <w:t xml:space="preserve">aproximen </w:t>
      </w:r>
      <w:r w:rsidR="00006852">
        <w:t>o</w:t>
      </w:r>
      <w:r>
        <w:t xml:space="preserve"> </w:t>
      </w:r>
      <w:r w:rsidR="0018767D">
        <w:t>se alejen</w:t>
      </w:r>
      <w:r>
        <w:t>, aunque no le s</w:t>
      </w:r>
      <w:r w:rsidR="00006852">
        <w:t>ea</w:t>
      </w:r>
      <w:r>
        <w:t>n desconocidos mientras lo ha</w:t>
      </w:r>
      <w:r w:rsidR="0018767D">
        <w:t>ga</w:t>
      </w:r>
      <w:r>
        <w:t>; y manifesta</w:t>
      </w:r>
      <w:r w:rsidR="00006852">
        <w:t>rá</w:t>
      </w:r>
      <w:r>
        <w:t xml:space="preserve"> esfuerzo, lleva</w:t>
      </w:r>
      <w:r w:rsidR="00006852">
        <w:t>rá</w:t>
      </w:r>
      <w:r>
        <w:t xml:space="preserve"> a cabo una tarea y logra</w:t>
      </w:r>
      <w:r w:rsidR="004E1FB0">
        <w:t>rá</w:t>
      </w:r>
      <w:r>
        <w:t xml:space="preserve"> un efecto. Así como el tronco del árbol se coloca en el terreno nivelado, </w:t>
      </w:r>
      <w:r w:rsidR="00963BB9">
        <w:t xml:space="preserve">así </w:t>
      </w:r>
      <w:r>
        <w:t xml:space="preserve">también </w:t>
      </w:r>
      <w:r w:rsidR="004E1FB0">
        <w:t>e</w:t>
      </w:r>
      <w:r>
        <w:t xml:space="preserve">l </w:t>
      </w:r>
      <w:r w:rsidR="0018767D">
        <w:t xml:space="preserve">signo </w:t>
      </w:r>
      <w:r>
        <w:t>para el anclaje de la atención plena.</w:t>
      </w:r>
    </w:p>
    <w:p w14:paraId="663C3F11" w14:textId="77777777" w:rsidR="00816DB0" w:rsidRDefault="00816DB0">
      <w:pPr>
        <w:tabs>
          <w:tab w:val="clear" w:pos="425"/>
        </w:tabs>
        <w:spacing w:after="160"/>
      </w:pPr>
      <w:r>
        <w:br w:type="page"/>
      </w:r>
    </w:p>
    <w:p w14:paraId="7BFE3493" w14:textId="77777777" w:rsidR="00816DB0" w:rsidRDefault="00816DB0" w:rsidP="00816DB0">
      <w:pPr>
        <w:pStyle w:val="NormalConSangria"/>
      </w:pPr>
    </w:p>
    <w:p w14:paraId="598EAF8E" w14:textId="4E51B62D" w:rsidR="00B44126" w:rsidRDefault="00963BB9" w:rsidP="005F29FE">
      <w:r>
        <w:t>Así c</w:t>
      </w:r>
      <w:r w:rsidR="00B44126">
        <w:t xml:space="preserve">omo los dientes de la sierra, así </w:t>
      </w:r>
      <w:r w:rsidR="004931F6">
        <w:t xml:space="preserve">lo </w:t>
      </w:r>
      <w:r w:rsidR="00B44126">
        <w:t>son la inhalaci</w:t>
      </w:r>
      <w:r w:rsidR="004931F6">
        <w:t>ó</w:t>
      </w:r>
      <w:r w:rsidR="00B44126">
        <w:t>n y exhalaci</w:t>
      </w:r>
      <w:r w:rsidR="004931F6">
        <w:t>ó</w:t>
      </w:r>
      <w:r w:rsidR="00B44126">
        <w:t xml:space="preserve">n. </w:t>
      </w:r>
      <w:r w:rsidR="004931F6">
        <w:t>Así c</w:t>
      </w:r>
      <w:r w:rsidR="00B44126">
        <w:t xml:space="preserve">omo la atención del hombre, establecida </w:t>
      </w:r>
      <w:r w:rsidR="004931F6">
        <w:t>sobre</w:t>
      </w:r>
      <w:r w:rsidR="00B44126">
        <w:t xml:space="preserve"> los dientes de la sierra donde </w:t>
      </w:r>
      <w:r w:rsidR="004931F6">
        <w:t xml:space="preserve">haga contacto con </w:t>
      </w:r>
      <w:r w:rsidR="00B44126">
        <w:t xml:space="preserve">el tronco del árbol, sin prestar atención a los dientes de la sierra cuando se </w:t>
      </w:r>
      <w:r w:rsidR="004931F6">
        <w:t>aproximen</w:t>
      </w:r>
      <w:r w:rsidR="00B44126">
        <w:t xml:space="preserve"> </w:t>
      </w:r>
      <w:r w:rsidR="004931F6">
        <w:t>o se alejen</w:t>
      </w:r>
      <w:r w:rsidR="00B44126">
        <w:t>, aunque no le s</w:t>
      </w:r>
      <w:r w:rsidR="00CE25EB">
        <w:t>ea</w:t>
      </w:r>
      <w:r w:rsidR="00B44126">
        <w:t>n desconocidos mientras lo ha</w:t>
      </w:r>
      <w:r w:rsidR="00CE25EB">
        <w:t>ga</w:t>
      </w:r>
      <w:r w:rsidR="00B44126">
        <w:t xml:space="preserve">, y así manifiesta esfuerzo, lleva </w:t>
      </w:r>
      <w:r w:rsidR="00CE25EB">
        <w:t xml:space="preserve">a cabo </w:t>
      </w:r>
      <w:r w:rsidR="00B44126">
        <w:t xml:space="preserve">una tarea y logra un efecto, [282] así también, el </w:t>
      </w:r>
      <w:proofErr w:type="spellStart"/>
      <w:r w:rsidR="00057BF4" w:rsidRPr="00057BF4">
        <w:rPr>
          <w:i/>
          <w:iCs/>
        </w:rPr>
        <w:t>bhikkhu</w:t>
      </w:r>
      <w:proofErr w:type="spellEnd"/>
      <w:r w:rsidR="00B44126">
        <w:t xml:space="preserve"> se sienta, habiendo establecido la atención plena </w:t>
      </w:r>
      <w:r w:rsidR="00CE25EB">
        <w:t xml:space="preserve">sobre </w:t>
      </w:r>
      <w:r w:rsidR="00B44126">
        <w:t xml:space="preserve">la punta de la nariz o </w:t>
      </w:r>
      <w:r w:rsidR="00D73168">
        <w:t>por encima</w:t>
      </w:r>
      <w:r w:rsidR="00B44126">
        <w:t xml:space="preserve"> </w:t>
      </w:r>
      <w:r w:rsidR="00D73168">
        <w:t>d</w:t>
      </w:r>
      <w:r w:rsidR="00B44126">
        <w:t xml:space="preserve">el labio superior, sin prestar atención a la </w:t>
      </w:r>
      <w:r w:rsidR="00735324">
        <w:t>inhalación o</w:t>
      </w:r>
      <w:r w:rsidR="00B44126">
        <w:t xml:space="preserve"> </w:t>
      </w:r>
      <w:r w:rsidR="00735324">
        <w:t xml:space="preserve">exhalación </w:t>
      </w:r>
      <w:r w:rsidR="00B44126">
        <w:t xml:space="preserve">a medida que se </w:t>
      </w:r>
      <w:r w:rsidR="00735324">
        <w:t>aproximen</w:t>
      </w:r>
      <w:r w:rsidR="00B44126">
        <w:t xml:space="preserve"> </w:t>
      </w:r>
      <w:r w:rsidR="00874881">
        <w:t>o se alejen</w:t>
      </w:r>
      <w:r w:rsidR="00B44126">
        <w:t>, aunque no le s</w:t>
      </w:r>
      <w:r w:rsidR="00874881">
        <w:t>ea</w:t>
      </w:r>
      <w:r w:rsidR="00B44126">
        <w:t>n desconocidos cuando lo ha</w:t>
      </w:r>
      <w:r w:rsidR="00874881">
        <w:t>ga</w:t>
      </w:r>
      <w:r w:rsidR="00B44126">
        <w:t>, y manifesta</w:t>
      </w:r>
      <w:r w:rsidR="00874881">
        <w:t>rá</w:t>
      </w:r>
      <w:r w:rsidR="00B44126">
        <w:t xml:space="preserve"> esfuerzo, lleva</w:t>
      </w:r>
      <w:r w:rsidR="00874881">
        <w:t>rá</w:t>
      </w:r>
      <w:r w:rsidR="00B44126">
        <w:t xml:space="preserve"> a cabo una tarea y logra</w:t>
      </w:r>
      <w:r w:rsidR="00874881">
        <w:t>rá</w:t>
      </w:r>
      <w:r w:rsidR="00B44126">
        <w:t xml:space="preserve"> un efecto.</w:t>
      </w:r>
    </w:p>
    <w:p w14:paraId="51F1B686" w14:textId="66A40F40" w:rsidR="00B44126" w:rsidRDefault="00B44126" w:rsidP="005F29FE">
      <w:r>
        <w:t xml:space="preserve">203. </w:t>
      </w:r>
      <w:r w:rsidR="005F29FE">
        <w:tab/>
      </w:r>
      <w:r>
        <w:t>“‘Esfuerzo’: ¿</w:t>
      </w:r>
      <w:r w:rsidR="00C7062B">
        <w:t>cuál</w:t>
      </w:r>
      <w:r>
        <w:t xml:space="preserve"> es el esfuerzo? El cuerpo y la mente de alguien que s</w:t>
      </w:r>
      <w:r w:rsidR="0000728B">
        <w:t>ea</w:t>
      </w:r>
      <w:r>
        <w:t xml:space="preserve"> enérgico se v</w:t>
      </w:r>
      <w:r w:rsidR="00C7062B">
        <w:t>o</w:t>
      </w:r>
      <w:r>
        <w:t>lv</w:t>
      </w:r>
      <w:r w:rsidR="00736C13">
        <w:t>e</w:t>
      </w:r>
      <w:r w:rsidR="00C7062B">
        <w:t>rá</w:t>
      </w:r>
      <w:r>
        <w:t xml:space="preserve"> manejable: </w:t>
      </w:r>
      <w:r w:rsidR="00736C13">
        <w:t>é</w:t>
      </w:r>
      <w:r>
        <w:t xml:space="preserve">se es el esfuerzo. ¿Cuál </w:t>
      </w:r>
      <w:r w:rsidR="00C7062B">
        <w:t xml:space="preserve">será </w:t>
      </w:r>
      <w:r>
        <w:t>la tarea? Las imperfecciones llega</w:t>
      </w:r>
      <w:r w:rsidR="0048542C">
        <w:t>rá</w:t>
      </w:r>
      <w:r>
        <w:t xml:space="preserve">n a ser abandonadas en </w:t>
      </w:r>
      <w:r w:rsidR="0048542C">
        <w:t>aquel</w:t>
      </w:r>
      <w:r>
        <w:t xml:space="preserve"> que s</w:t>
      </w:r>
      <w:r w:rsidR="0048542C">
        <w:t>ea</w:t>
      </w:r>
      <w:r>
        <w:t xml:space="preserve"> enérgico y su </w:t>
      </w:r>
      <w:r w:rsidR="00801A29">
        <w:t>aplicación mental</w:t>
      </w:r>
      <w:r>
        <w:t xml:space="preserve"> se aquieta</w:t>
      </w:r>
      <w:r w:rsidR="0048542C">
        <w:t>rá</w:t>
      </w:r>
      <w:r>
        <w:t xml:space="preserve">: </w:t>
      </w:r>
      <w:r w:rsidR="0048542C">
        <w:t>é</w:t>
      </w:r>
      <w:r>
        <w:t xml:space="preserve">sa es la tarea. ¿Cuál </w:t>
      </w:r>
      <w:r w:rsidR="00801A29">
        <w:t xml:space="preserve">será </w:t>
      </w:r>
      <w:r>
        <w:t>el efecto? Los grilletes llega</w:t>
      </w:r>
      <w:r w:rsidR="0048542C">
        <w:t>rá</w:t>
      </w:r>
      <w:r>
        <w:t>n a ser abandonados en alguien que s</w:t>
      </w:r>
      <w:r w:rsidR="00A36756">
        <w:t>ea</w:t>
      </w:r>
      <w:r>
        <w:t xml:space="preserve"> enérgico y sus tendencias inherentes llega</w:t>
      </w:r>
      <w:r w:rsidR="00A36756">
        <w:t>rá</w:t>
      </w:r>
      <w:r>
        <w:t xml:space="preserve">n a ser eliminadas: </w:t>
      </w:r>
      <w:r w:rsidR="00A36756">
        <w:t>é</w:t>
      </w:r>
      <w:r>
        <w:t>se es el efecto.</w:t>
      </w:r>
    </w:p>
    <w:p w14:paraId="40F407A6" w14:textId="1D2A0BB6" w:rsidR="00B44126" w:rsidRDefault="00B44126" w:rsidP="005F29FE">
      <w:pPr>
        <w:pStyle w:val="NormalConSangria"/>
      </w:pPr>
      <w:r>
        <w:t>“Así que estas tres cosas no son objeto de una sola con</w:t>
      </w:r>
      <w:r w:rsidR="00A36756">
        <w:t>s</w:t>
      </w:r>
      <w:r>
        <w:t>ciencia, y sin embargo no son desconocid</w:t>
      </w:r>
      <w:r w:rsidR="006E6E4C">
        <w:t>a</w:t>
      </w:r>
      <w:r>
        <w:t>s, y la mente no se distrae, y manifiesta esfuerzo, lleva a cabo una tarea y logra un efecto.</w:t>
      </w:r>
    </w:p>
    <w:p w14:paraId="6CD64464" w14:textId="34F5D267" w:rsidR="00B44126" w:rsidRDefault="00B44126" w:rsidP="005F29FE">
      <w:pPr>
        <w:pStyle w:val="VersoIngls01Sangria"/>
      </w:pPr>
      <w:r>
        <w:t>“</w:t>
      </w:r>
      <w:r w:rsidR="00E812A5">
        <w:t>Aquel c</w:t>
      </w:r>
      <w:r>
        <w:t xml:space="preserve">uya atención </w:t>
      </w:r>
      <w:r w:rsidR="00E812A5">
        <w:t>sobre la inhalación</w:t>
      </w:r>
    </w:p>
    <w:p w14:paraId="730AAF67" w14:textId="36C079B7" w:rsidR="00B44126" w:rsidRDefault="002510AC" w:rsidP="005F29FE">
      <w:pPr>
        <w:pStyle w:val="VersoIngls01Sangria"/>
      </w:pPr>
      <w:r>
        <w:t xml:space="preserve">Sea </w:t>
      </w:r>
      <w:r w:rsidR="00B44126">
        <w:t>perfect</w:t>
      </w:r>
      <w:r w:rsidR="004656E5">
        <w:t>a</w:t>
      </w:r>
      <w:r w:rsidR="00B44126">
        <w:t>, bien desarrollad</w:t>
      </w:r>
      <w:r w:rsidR="004656E5">
        <w:t>a</w:t>
      </w:r>
      <w:r w:rsidR="00B44126">
        <w:t>,</w:t>
      </w:r>
    </w:p>
    <w:p w14:paraId="7BF80504" w14:textId="2597C0A1" w:rsidR="00B44126" w:rsidRDefault="00B44126" w:rsidP="005F29FE">
      <w:pPr>
        <w:pStyle w:val="VersoIngls01Sangria"/>
      </w:pPr>
      <w:r>
        <w:t xml:space="preserve">Y gradualmente </w:t>
      </w:r>
      <w:r w:rsidR="004656E5">
        <w:t xml:space="preserve">conducente </w:t>
      </w:r>
      <w:r>
        <w:t>al crecimiento</w:t>
      </w:r>
    </w:p>
    <w:p w14:paraId="74E55B5E" w14:textId="575DDC11" w:rsidR="00B44126" w:rsidRDefault="00B44126" w:rsidP="005F29FE">
      <w:pPr>
        <w:pStyle w:val="VersoIngls01Sangria"/>
      </w:pPr>
      <w:r>
        <w:t xml:space="preserve">Según </w:t>
      </w:r>
      <w:r w:rsidR="004656E5">
        <w:t xml:space="preserve">lo enseñado por </w:t>
      </w:r>
      <w:r>
        <w:t xml:space="preserve">el </w:t>
      </w:r>
      <w:r w:rsidR="00057BF4" w:rsidRPr="00057BF4">
        <w:rPr>
          <w:i/>
        </w:rPr>
        <w:t>Buddha</w:t>
      </w:r>
      <w:r>
        <w:t>,</w:t>
      </w:r>
    </w:p>
    <w:p w14:paraId="1DEF1B2A" w14:textId="4DAB7BEE" w:rsidR="00B44126" w:rsidRDefault="004656E5" w:rsidP="005F29FE">
      <w:pPr>
        <w:pStyle w:val="VersoIngls01Sangria"/>
      </w:pPr>
      <w:r>
        <w:t xml:space="preserve">Será </w:t>
      </w:r>
      <w:r w:rsidR="00B44126">
        <w:t>quien ilumin</w:t>
      </w:r>
      <w:r>
        <w:t>e</w:t>
      </w:r>
      <w:r w:rsidR="00B44126">
        <w:t xml:space="preserve"> </w:t>
      </w:r>
      <w:r w:rsidR="002510AC">
        <w:t>a</w:t>
      </w:r>
      <w:r w:rsidR="00B44126">
        <w:t>l mundo</w:t>
      </w:r>
    </w:p>
    <w:p w14:paraId="78F1D107" w14:textId="2C2A7C70" w:rsidR="00B44126" w:rsidRDefault="00B44126" w:rsidP="005F29FE">
      <w:pPr>
        <w:pStyle w:val="VersoIngls01Sangria"/>
        <w:spacing w:after="100"/>
        <w:ind w:left="1418"/>
      </w:pPr>
      <w:r>
        <w:t xml:space="preserve">Como la </w:t>
      </w:r>
      <w:r w:rsidR="004656E5">
        <w:t xml:space="preserve">Luna </w:t>
      </w:r>
      <w:r>
        <w:t>llena libre de nubes”</w:t>
      </w:r>
      <w:r w:rsidRPr="005F29FE">
        <w:rPr>
          <w:vertAlign w:val="superscript"/>
        </w:rPr>
        <w:t>55</w:t>
      </w:r>
    </w:p>
    <w:p w14:paraId="6FECF147" w14:textId="72117221" w:rsidR="00B44126" w:rsidRDefault="00B44126" w:rsidP="005F29FE">
      <w:pPr>
        <w:pStyle w:val="NormalConSangria"/>
      </w:pPr>
      <w:r>
        <w:t xml:space="preserve">Este es el símil </w:t>
      </w:r>
      <w:r w:rsidR="00B85CF3">
        <w:t>sobre</w:t>
      </w:r>
      <w:r>
        <w:t xml:space="preserve"> la sierra. Pero aquí es precisamente no prestar atención al </w:t>
      </w:r>
      <w:r w:rsidR="001136EE">
        <w:t>aire</w:t>
      </w:r>
      <w:r>
        <w:t xml:space="preserve"> aún por venir y </w:t>
      </w:r>
      <w:r w:rsidR="001136EE">
        <w:t xml:space="preserve">al </w:t>
      </w:r>
      <w:r>
        <w:t xml:space="preserve">ya </w:t>
      </w:r>
      <w:r w:rsidR="00A35B55">
        <w:t>sal</w:t>
      </w:r>
      <w:r>
        <w:t>ido</w:t>
      </w:r>
      <w:r w:rsidRPr="004A2807">
        <w:rPr>
          <w:vertAlign w:val="superscript"/>
        </w:rPr>
        <w:t>56</w:t>
      </w:r>
      <w:r>
        <w:t xml:space="preserve"> lo que debe</w:t>
      </w:r>
      <w:r w:rsidR="00A35B55">
        <w:t>rá</w:t>
      </w:r>
      <w:r>
        <w:t xml:space="preserve"> entenderse como el propósito.</w:t>
      </w:r>
    </w:p>
    <w:p w14:paraId="6FF114D2" w14:textId="39A1EE51" w:rsidR="00B44126" w:rsidRDefault="00B44126" w:rsidP="005F29FE">
      <w:r>
        <w:t xml:space="preserve">204. </w:t>
      </w:r>
      <w:r w:rsidR="005F29FE">
        <w:tab/>
      </w:r>
      <w:r>
        <w:t>Cuando alguien prest</w:t>
      </w:r>
      <w:r w:rsidR="00A35B55">
        <w:t>e</w:t>
      </w:r>
      <w:r>
        <w:t xml:space="preserve"> su atención a este </w:t>
      </w:r>
      <w:r w:rsidR="00A35B55">
        <w:t xml:space="preserve">objeto </w:t>
      </w:r>
      <w:r>
        <w:t>de meditación, a veces no pasa</w:t>
      </w:r>
      <w:r w:rsidR="00A35B55">
        <w:t>rá</w:t>
      </w:r>
      <w:r>
        <w:t xml:space="preserve"> mucho tiempo antes de que surja en él </w:t>
      </w:r>
      <w:r w:rsidR="00A35B55">
        <w:t>el signo</w:t>
      </w:r>
      <w:r>
        <w:t>, y entonces se logra</w:t>
      </w:r>
      <w:r w:rsidR="00A35B55">
        <w:t>rá</w:t>
      </w:r>
      <w:r>
        <w:t xml:space="preserve"> la </w:t>
      </w:r>
      <w:r w:rsidRPr="00DF744B">
        <w:rPr>
          <w:i/>
          <w:iCs/>
        </w:rPr>
        <w:t>fijación</w:t>
      </w:r>
      <w:r>
        <w:t xml:space="preserve">, es decir, la </w:t>
      </w:r>
      <w:r w:rsidRPr="00DF744B">
        <w:rPr>
          <w:i/>
          <w:iCs/>
        </w:rPr>
        <w:t>absorción</w:t>
      </w:r>
      <w:r>
        <w:t xml:space="preserve"> adornada con el resto de los factores </w:t>
      </w:r>
      <w:proofErr w:type="spellStart"/>
      <w:r w:rsidR="00057BF4" w:rsidRPr="00057BF4">
        <w:rPr>
          <w:i/>
          <w:iCs/>
        </w:rPr>
        <w:t>jhān</w:t>
      </w:r>
      <w:r w:rsidR="00A35B55">
        <w:rPr>
          <w:i/>
          <w:iCs/>
        </w:rPr>
        <w:t>icos</w:t>
      </w:r>
      <w:proofErr w:type="spellEnd"/>
      <w:r>
        <w:t>.</w:t>
      </w:r>
    </w:p>
    <w:p w14:paraId="0EB8A903" w14:textId="0C503897" w:rsidR="00B44126" w:rsidRDefault="00B44126" w:rsidP="005F29FE">
      <w:r>
        <w:t xml:space="preserve">205. </w:t>
      </w:r>
      <w:r w:rsidR="005F29FE">
        <w:tab/>
      </w:r>
      <w:r>
        <w:t>Después de que alguien ha</w:t>
      </w:r>
      <w:r w:rsidR="00A35B55">
        <w:t>ya</w:t>
      </w:r>
      <w:r>
        <w:t xml:space="preserve"> puesto su atención </w:t>
      </w:r>
      <w:r w:rsidR="00A35B55">
        <w:t xml:space="preserve">mediante el </w:t>
      </w:r>
      <w:r w:rsidRPr="00FD103A">
        <w:rPr>
          <w:i/>
          <w:iCs/>
        </w:rPr>
        <w:t>cont</w:t>
      </w:r>
      <w:r w:rsidR="00A35B55" w:rsidRPr="00FD103A">
        <w:rPr>
          <w:i/>
          <w:iCs/>
        </w:rPr>
        <w:t>eo</w:t>
      </w:r>
      <w:r>
        <w:t xml:space="preserve">, </w:t>
      </w:r>
      <w:r w:rsidR="00A35B55">
        <w:t>al igual que</w:t>
      </w:r>
      <w:r>
        <w:t xml:space="preserve"> un cuerpo que est</w:t>
      </w:r>
      <w:r w:rsidR="00A35B55">
        <w:t>é</w:t>
      </w:r>
      <w:r>
        <w:t xml:space="preserve"> perturbado se sient</w:t>
      </w:r>
      <w:r w:rsidR="00BF00D9">
        <w:t>e</w:t>
      </w:r>
      <w:r>
        <w:t xml:space="preserve"> </w:t>
      </w:r>
      <w:r w:rsidR="00BF00D9">
        <w:t xml:space="preserve">sobre </w:t>
      </w:r>
      <w:r>
        <w:t xml:space="preserve">una cama o </w:t>
      </w:r>
      <w:r w:rsidR="00BF00D9">
        <w:t xml:space="preserve">una </w:t>
      </w:r>
      <w:r>
        <w:t xml:space="preserve">silla, la cama o </w:t>
      </w:r>
      <w:r w:rsidR="00BF00D9">
        <w:t xml:space="preserve">la </w:t>
      </w:r>
      <w:r>
        <w:t>silla se hund</w:t>
      </w:r>
      <w:r w:rsidR="00BF00D9">
        <w:t>irá</w:t>
      </w:r>
      <w:r>
        <w:t xml:space="preserve"> y cruj</w:t>
      </w:r>
      <w:r w:rsidR="00BF00D9">
        <w:t>irá</w:t>
      </w:r>
      <w:r>
        <w:t xml:space="preserve"> y la cubierta se arruga</w:t>
      </w:r>
      <w:r w:rsidR="00BF00D9">
        <w:t>rá</w:t>
      </w:r>
      <w:r>
        <w:t xml:space="preserve">, </w:t>
      </w:r>
      <w:r w:rsidR="00FE5A1D">
        <w:t xml:space="preserve">y </w:t>
      </w:r>
      <w:r>
        <w:t>cuando un cuerpo que no est</w:t>
      </w:r>
      <w:r w:rsidR="00FE5A1D">
        <w:t>é</w:t>
      </w:r>
      <w:r>
        <w:t xml:space="preserve"> perturbado se sient</w:t>
      </w:r>
      <w:r w:rsidR="00FE5A1D">
        <w:t>e</w:t>
      </w:r>
      <w:r>
        <w:t>, la cama o la silla no se hund</w:t>
      </w:r>
      <w:r w:rsidR="00FE5A1D">
        <w:t>irá</w:t>
      </w:r>
      <w:r>
        <w:t xml:space="preserve"> ni cruj</w:t>
      </w:r>
      <w:r w:rsidR="00FE5A1D">
        <w:t>irá</w:t>
      </w:r>
      <w:r>
        <w:t>, el cobertor no se arruga</w:t>
      </w:r>
      <w:r w:rsidR="00FE5A1D">
        <w:t>rá</w:t>
      </w:r>
      <w:r>
        <w:t xml:space="preserve">, y </w:t>
      </w:r>
      <w:r w:rsidR="00FE5A1D">
        <w:t xml:space="preserve">será </w:t>
      </w:r>
      <w:r>
        <w:t>como si estuviera lleno de algodón, ¿por qué? porque un cuerpo que no est</w:t>
      </w:r>
      <w:r w:rsidR="00FE5A1D">
        <w:t>é</w:t>
      </w:r>
      <w:r>
        <w:t xml:space="preserve"> perturbado </w:t>
      </w:r>
      <w:r w:rsidR="00FE5A1D">
        <w:t xml:space="preserve">será </w:t>
      </w:r>
      <w:r>
        <w:t>ligero, así también, después de haber prestado su atención a</w:t>
      </w:r>
      <w:r w:rsidR="00FE5A1D">
        <w:t>l</w:t>
      </w:r>
      <w:r>
        <w:t xml:space="preserve"> cont</w:t>
      </w:r>
      <w:r w:rsidR="00FE5A1D">
        <w:t>eo</w:t>
      </w:r>
      <w:r>
        <w:t>, cuando la perturbación corporal ha</w:t>
      </w:r>
      <w:r w:rsidR="00FE5A1D">
        <w:t>ya</w:t>
      </w:r>
      <w:r>
        <w:t xml:space="preserve"> sido calmada por el cese gradual de la </w:t>
      </w:r>
      <w:r w:rsidR="00271F28">
        <w:t xml:space="preserve">inhalación </w:t>
      </w:r>
      <w:r>
        <w:t xml:space="preserve">y </w:t>
      </w:r>
      <w:r w:rsidR="00271F28">
        <w:t>exhalación burdas</w:t>
      </w:r>
      <w:r>
        <w:t xml:space="preserve">, entonces tanto el cuerpo como la mente </w:t>
      </w:r>
      <w:r w:rsidR="00271F28">
        <w:t xml:space="preserve">se </w:t>
      </w:r>
      <w:r>
        <w:t>volver</w:t>
      </w:r>
      <w:r w:rsidR="00271F28">
        <w:t>á</w:t>
      </w:r>
      <w:r w:rsidR="003D579B">
        <w:t>n</w:t>
      </w:r>
      <w:r>
        <w:t xml:space="preserve"> ligero</w:t>
      </w:r>
      <w:r w:rsidR="003D579B">
        <w:t>s</w:t>
      </w:r>
      <w:r>
        <w:t xml:space="preserve">: el cuerpo físico </w:t>
      </w:r>
      <w:r w:rsidR="003D579B">
        <w:t xml:space="preserve">será </w:t>
      </w:r>
      <w:r>
        <w:t xml:space="preserve">como si estuviera listo para </w:t>
      </w:r>
      <w:r w:rsidR="003D579B">
        <w:t xml:space="preserve">sustentarse </w:t>
      </w:r>
      <w:r>
        <w:t>en el aire. [283]</w:t>
      </w:r>
    </w:p>
    <w:p w14:paraId="5D38A125" w14:textId="47013D42" w:rsidR="00B44126" w:rsidRDefault="00B44126" w:rsidP="005F29FE">
      <w:r>
        <w:t xml:space="preserve">206. </w:t>
      </w:r>
      <w:r w:rsidR="005F29FE">
        <w:tab/>
      </w:r>
      <w:r>
        <w:t xml:space="preserve">Cuando su </w:t>
      </w:r>
      <w:r w:rsidR="003D579B">
        <w:t xml:space="preserve">inhalación </w:t>
      </w:r>
      <w:r>
        <w:t xml:space="preserve">y </w:t>
      </w:r>
      <w:r w:rsidR="003D579B">
        <w:t xml:space="preserve">exhalación </w:t>
      </w:r>
      <w:r>
        <w:t>burdas ha</w:t>
      </w:r>
      <w:r w:rsidR="003D579B">
        <w:t>ya</w:t>
      </w:r>
      <w:r>
        <w:t>n cesado, su con</w:t>
      </w:r>
      <w:r w:rsidR="003D579B">
        <w:t>s</w:t>
      </w:r>
      <w:r>
        <w:t>ciencia ocurr</w:t>
      </w:r>
      <w:r w:rsidR="003D579B">
        <w:t>irá</w:t>
      </w:r>
      <w:r>
        <w:t xml:space="preserve"> con el signo de la </w:t>
      </w:r>
      <w:r w:rsidR="003D579B">
        <w:t xml:space="preserve">inhalación y exhalación </w:t>
      </w:r>
      <w:r>
        <w:t>sutiles como su objeto. Y cuando e</w:t>
      </w:r>
      <w:r w:rsidR="003D579B">
        <w:t>ll</w:t>
      </w:r>
      <w:r>
        <w:t>o ha</w:t>
      </w:r>
      <w:r w:rsidR="003D579B">
        <w:t>ya</w:t>
      </w:r>
      <w:r>
        <w:t xml:space="preserve"> cesado, contin</w:t>
      </w:r>
      <w:r w:rsidR="003D579B">
        <w:t>u</w:t>
      </w:r>
      <w:r>
        <w:t>a</w:t>
      </w:r>
      <w:r w:rsidR="003D579B">
        <w:t>rá</w:t>
      </w:r>
      <w:r>
        <w:t xml:space="preserve"> ocurriendo con los signos sucesivamente más sutiles como su objeto. ¿Cómo?</w:t>
      </w:r>
    </w:p>
    <w:p w14:paraId="312B4522" w14:textId="77777777" w:rsidR="005F29FE" w:rsidRDefault="005F29FE" w:rsidP="005F29FE">
      <w:pPr>
        <w:pStyle w:val="Piedepgina"/>
        <w:rPr>
          <w:u w:val="single"/>
        </w:rPr>
      </w:pPr>
      <w:r>
        <w:rPr>
          <w:u w:val="single"/>
        </w:rPr>
        <w:t xml:space="preserve">                                                                                                                                                                          .</w:t>
      </w:r>
    </w:p>
    <w:p w14:paraId="4BAA4F3B" w14:textId="6B6E9C5E" w:rsidR="00B44126" w:rsidRDefault="00B44126" w:rsidP="005F29FE">
      <w:pPr>
        <w:pStyle w:val="PiedepginaLegal"/>
      </w:pPr>
      <w:r>
        <w:t xml:space="preserve">55 </w:t>
      </w:r>
      <w:r w:rsidR="005F29FE">
        <w:tab/>
      </w:r>
      <w:proofErr w:type="gramStart"/>
      <w:r w:rsidRPr="00DF744B">
        <w:rPr>
          <w:i/>
          <w:iCs/>
        </w:rPr>
        <w:t>Patis</w:t>
      </w:r>
      <w:proofErr w:type="gramEnd"/>
      <w:r>
        <w:t xml:space="preserve"> I 170–72; última línea </w:t>
      </w:r>
      <w:proofErr w:type="spellStart"/>
      <w:r>
        <w:t>Dhp</w:t>
      </w:r>
      <w:proofErr w:type="spellEnd"/>
      <w:r>
        <w:t xml:space="preserve"> 172; verso completo T</w:t>
      </w:r>
      <w:r w:rsidR="003B7968">
        <w:t>h</w:t>
      </w:r>
      <w:r>
        <w:t xml:space="preserve"> 548.</w:t>
      </w:r>
    </w:p>
    <w:p w14:paraId="385BAAC5" w14:textId="04275CC3" w:rsidR="005F29FE" w:rsidRDefault="00B44126" w:rsidP="005F29FE">
      <w:pPr>
        <w:pStyle w:val="PiedepginaLegal"/>
      </w:pPr>
      <w:r>
        <w:t xml:space="preserve">56. </w:t>
      </w:r>
      <w:r w:rsidR="005F29FE">
        <w:tab/>
      </w:r>
      <w:r>
        <w:t xml:space="preserve">Lectura de </w:t>
      </w:r>
      <w:proofErr w:type="spellStart"/>
      <w:r w:rsidRPr="00DF744B">
        <w:rPr>
          <w:i/>
          <w:iCs/>
        </w:rPr>
        <w:t>āgata</w:t>
      </w:r>
      <w:proofErr w:type="spellEnd"/>
      <w:r w:rsidRPr="00DF744B">
        <w:rPr>
          <w:i/>
          <w:iCs/>
        </w:rPr>
        <w:t>-gata-</w:t>
      </w:r>
      <w:proofErr w:type="spellStart"/>
      <w:r w:rsidRPr="00DF744B">
        <w:rPr>
          <w:i/>
          <w:iCs/>
        </w:rPr>
        <w:t>vasena</w:t>
      </w:r>
      <w:proofErr w:type="spellEnd"/>
      <w:r>
        <w:t xml:space="preserve"> </w:t>
      </w:r>
      <w:r w:rsidR="00355FC7">
        <w:t>en el</w:t>
      </w:r>
      <w:r>
        <w:t xml:space="preserve"> </w:t>
      </w:r>
      <w:proofErr w:type="spellStart"/>
      <w:r>
        <w:t>Vism-mhṭ</w:t>
      </w:r>
      <w:proofErr w:type="spellEnd"/>
      <w:r>
        <w:t xml:space="preserve"> 271.</w:t>
      </w:r>
    </w:p>
    <w:p w14:paraId="44FC933C" w14:textId="77777777" w:rsidR="005F29FE" w:rsidRDefault="005F29FE">
      <w:pPr>
        <w:tabs>
          <w:tab w:val="clear" w:pos="425"/>
        </w:tabs>
        <w:spacing w:after="160"/>
      </w:pPr>
      <w:r>
        <w:br w:type="page"/>
      </w:r>
    </w:p>
    <w:p w14:paraId="5E137B83" w14:textId="2805FBC8" w:rsidR="00134AB3" w:rsidRDefault="00134AB3" w:rsidP="005F29FE"/>
    <w:p w14:paraId="42CA66F5" w14:textId="6BB5F912" w:rsidR="00134AB3" w:rsidRDefault="00134AB3" w:rsidP="00134AB3">
      <w:r>
        <w:t xml:space="preserve">207. </w:t>
      </w:r>
      <w:r w:rsidR="0092708C">
        <w:tab/>
      </w:r>
      <w:r>
        <w:t xml:space="preserve">Supongamos que un hombre </w:t>
      </w:r>
      <w:r w:rsidR="003D579B">
        <w:t>impacte</w:t>
      </w:r>
      <w:r>
        <w:t xml:space="preserve"> una campana de bronce con una gran barra de hierro y de inmediato surg</w:t>
      </w:r>
      <w:r w:rsidR="003D579B">
        <w:t>iese</w:t>
      </w:r>
      <w:r>
        <w:t xml:space="preserve"> un sonido fuerte, su con</w:t>
      </w:r>
      <w:r w:rsidR="003D579B">
        <w:t>s</w:t>
      </w:r>
      <w:r>
        <w:t>ciencia ocurrir</w:t>
      </w:r>
      <w:r w:rsidR="00630A70">
        <w:t>á</w:t>
      </w:r>
      <w:r>
        <w:t xml:space="preserve"> con el sonido </w:t>
      </w:r>
      <w:r w:rsidR="003D579B">
        <w:t xml:space="preserve">denso </w:t>
      </w:r>
      <w:r>
        <w:t xml:space="preserve">como su objeto; luego, cuando el sonido denso </w:t>
      </w:r>
      <w:r w:rsidR="003D579B">
        <w:t xml:space="preserve">haya </w:t>
      </w:r>
      <w:r>
        <w:t>cesado, ocurrir</w:t>
      </w:r>
      <w:r w:rsidR="00630A70">
        <w:t>á</w:t>
      </w:r>
      <w:r>
        <w:t xml:space="preserve"> después </w:t>
      </w:r>
      <w:r w:rsidR="003D579B">
        <w:t xml:space="preserve">el signo </w:t>
      </w:r>
      <w:r>
        <w:t>del sonido sutil como su objeto; y cuando e</w:t>
      </w:r>
      <w:r w:rsidR="00170922">
        <w:t>ll</w:t>
      </w:r>
      <w:r>
        <w:t xml:space="preserve">o </w:t>
      </w:r>
      <w:r w:rsidR="00170922">
        <w:t xml:space="preserve">también </w:t>
      </w:r>
      <w:r w:rsidR="00630A70">
        <w:t>haya</w:t>
      </w:r>
      <w:r>
        <w:t xml:space="preserve"> cesado, continuar</w:t>
      </w:r>
      <w:r w:rsidR="00630A70">
        <w:t>á</w:t>
      </w:r>
      <w:r>
        <w:t xml:space="preserve"> ocurriendo con el signo de los sonidos sucesivamente más sutiles como su objeto. Así es como debe entenderse. Y esto se da en detalle en el pasaje que comienza, “</w:t>
      </w:r>
      <w:r w:rsidR="00290391">
        <w:t xml:space="preserve">Al igual que cuando </w:t>
      </w:r>
      <w:r>
        <w:t xml:space="preserve">se </w:t>
      </w:r>
      <w:r w:rsidR="00290391">
        <w:t xml:space="preserve">impacte </w:t>
      </w:r>
      <w:r>
        <w:t>un gong de metal” (§184).</w:t>
      </w:r>
    </w:p>
    <w:p w14:paraId="69DC910E" w14:textId="6BFE6CA6" w:rsidR="00134AB3" w:rsidRDefault="00134AB3" w:rsidP="00134AB3">
      <w:r>
        <w:t xml:space="preserve">208. </w:t>
      </w:r>
      <w:r w:rsidR="0092708C">
        <w:tab/>
      </w:r>
      <w:r>
        <w:t xml:space="preserve">Porque mientras otros </w:t>
      </w:r>
      <w:r w:rsidR="00290391">
        <w:t xml:space="preserve">objetos </w:t>
      </w:r>
      <w:r>
        <w:t xml:space="preserve">de meditación se vuelven más claros en cada etapa superior, </w:t>
      </w:r>
      <w:r w:rsidR="00170922">
        <w:t>con este objeto de meditación no ocurre</w:t>
      </w:r>
      <w:r w:rsidR="00290391">
        <w:t xml:space="preserve"> ello</w:t>
      </w:r>
      <w:r>
        <w:t xml:space="preserve">: de hecho, a medida que </w:t>
      </w:r>
      <w:r w:rsidR="00170922">
        <w:t xml:space="preserve">él </w:t>
      </w:r>
      <w:r>
        <w:t>va</w:t>
      </w:r>
      <w:r w:rsidR="00170922">
        <w:t>ya</w:t>
      </w:r>
      <w:r>
        <w:t xml:space="preserve"> desarrollándo</w:t>
      </w:r>
      <w:r w:rsidR="00290391">
        <w:t>se</w:t>
      </w:r>
      <w:r>
        <w:t xml:space="preserve">, se </w:t>
      </w:r>
      <w:r w:rsidR="00170922">
        <w:t xml:space="preserve">volverá </w:t>
      </w:r>
      <w:r>
        <w:t>más sutil en cada etapa superior, e inclus</w:t>
      </w:r>
      <w:r w:rsidR="00170922">
        <w:t>ive</w:t>
      </w:r>
      <w:r>
        <w:t xml:space="preserve"> llega</w:t>
      </w:r>
      <w:r w:rsidR="00170922">
        <w:t>rá</w:t>
      </w:r>
      <w:r>
        <w:t xml:space="preserve"> al punto en que se vuelv</w:t>
      </w:r>
      <w:r w:rsidR="00170922">
        <w:t>a</w:t>
      </w:r>
      <w:r>
        <w:t xml:space="preserve"> </w:t>
      </w:r>
      <w:r w:rsidR="003708B9">
        <w:t xml:space="preserve">en lo </w:t>
      </w:r>
      <w:r>
        <w:t>más sutil</w:t>
      </w:r>
      <w:r w:rsidR="003708B9">
        <w:t xml:space="preserve"> </w:t>
      </w:r>
      <w:r>
        <w:t>y no se manifesta</w:t>
      </w:r>
      <w:r w:rsidR="00170922">
        <w:t>rá</w:t>
      </w:r>
      <w:r>
        <w:t>.</w:t>
      </w:r>
    </w:p>
    <w:p w14:paraId="4DB5ADF0" w14:textId="5EC73A34" w:rsidR="00134AB3" w:rsidRDefault="00134AB3" w:rsidP="0092708C">
      <w:pPr>
        <w:pStyle w:val="NormalConSangria"/>
      </w:pPr>
      <w:r>
        <w:t>Sin embargo, cuando se vuelv</w:t>
      </w:r>
      <w:r w:rsidR="003708B9">
        <w:t>a</w:t>
      </w:r>
      <w:r>
        <w:t xml:space="preserve"> </w:t>
      </w:r>
      <w:r w:rsidR="003708B9">
        <w:t xml:space="preserve">así, como </w:t>
      </w:r>
      <w:proofErr w:type="spellStart"/>
      <w:r>
        <w:t>inmanifiesto</w:t>
      </w:r>
      <w:proofErr w:type="spellEnd"/>
      <w:r>
        <w:t xml:space="preserve">, el </w:t>
      </w:r>
      <w:proofErr w:type="spellStart"/>
      <w:r w:rsidR="00057BF4" w:rsidRPr="00057BF4">
        <w:rPr>
          <w:i/>
          <w:iCs/>
        </w:rPr>
        <w:t>bhikkhu</w:t>
      </w:r>
      <w:proofErr w:type="spellEnd"/>
      <w:r>
        <w:t xml:space="preserve"> no debe</w:t>
      </w:r>
      <w:r w:rsidR="00B528E7">
        <w:t>r</w:t>
      </w:r>
      <w:r w:rsidR="00170922">
        <w:t>á</w:t>
      </w:r>
      <w:r>
        <w:t xml:space="preserve"> levantarse de su asiento, sacudir su estera de cuero e irse. ¿</w:t>
      </w:r>
      <w:r w:rsidR="00B528E7">
        <w:t xml:space="preserve">Qué </w:t>
      </w:r>
      <w:r>
        <w:t>debe</w:t>
      </w:r>
      <w:r w:rsidR="00B528E7">
        <w:t>ría</w:t>
      </w:r>
      <w:r>
        <w:t xml:space="preserve"> hacer? No debe</w:t>
      </w:r>
      <w:r w:rsidR="00B528E7">
        <w:t>ría</w:t>
      </w:r>
      <w:r>
        <w:t xml:space="preserve"> levantarse con la idea “¿Le pregunt</w:t>
      </w:r>
      <w:r w:rsidR="00170922">
        <w:t>aré</w:t>
      </w:r>
      <w:r>
        <w:t xml:space="preserve"> al maestro?” o “¿Se ha</w:t>
      </w:r>
      <w:r w:rsidR="00170922">
        <w:t>brá</w:t>
      </w:r>
      <w:r>
        <w:t xml:space="preserve"> perdido mi </w:t>
      </w:r>
      <w:r w:rsidR="00B528E7">
        <w:t xml:space="preserve">objeto </w:t>
      </w:r>
      <w:r>
        <w:t xml:space="preserve">de meditación?”; </w:t>
      </w:r>
      <w:r w:rsidR="00B528E7">
        <w:t xml:space="preserve">ya </w:t>
      </w:r>
      <w:r>
        <w:t>que al marcharse y perturba</w:t>
      </w:r>
      <w:r w:rsidR="00EA0900">
        <w:t>r</w:t>
      </w:r>
      <w:r>
        <w:t xml:space="preserve"> así su postura, </w:t>
      </w:r>
      <w:r w:rsidR="00EA0900">
        <w:t xml:space="preserve">tendrá que comenzar de nuevo con </w:t>
      </w:r>
      <w:r>
        <w:t xml:space="preserve">el </w:t>
      </w:r>
      <w:r w:rsidR="00EA0900">
        <w:t xml:space="preserve">objeto </w:t>
      </w:r>
      <w:r>
        <w:t xml:space="preserve">de la meditación. </w:t>
      </w:r>
      <w:r w:rsidR="00EA0900">
        <w:t xml:space="preserve">Por lo tanto, </w:t>
      </w:r>
      <w:r>
        <w:t>deber</w:t>
      </w:r>
      <w:r w:rsidR="00170922">
        <w:t>á</w:t>
      </w:r>
      <w:r>
        <w:t xml:space="preserve"> </w:t>
      </w:r>
      <w:r w:rsidR="00EA0900">
        <w:t>continuar</w:t>
      </w:r>
      <w:r>
        <w:t xml:space="preserve"> sentado </w:t>
      </w:r>
      <w:r w:rsidR="008B45C2">
        <w:t xml:space="preserve">tal </w:t>
      </w:r>
      <w:r>
        <w:t xml:space="preserve">como </w:t>
      </w:r>
      <w:r w:rsidR="008B45C2">
        <w:t xml:space="preserve">se encontraba </w:t>
      </w:r>
      <w:r>
        <w:t>y temporalmente sustituir el lugar</w:t>
      </w:r>
      <w:r w:rsidR="00170922">
        <w:t>,</w:t>
      </w:r>
      <w:r>
        <w:t xml:space="preserve"> normalmente </w:t>
      </w:r>
      <w:r w:rsidR="008B45C2">
        <w:t xml:space="preserve">el punto de contacto de </w:t>
      </w:r>
      <w:r>
        <w:t>las respiraciones reales</w:t>
      </w:r>
      <w:r w:rsidR="00170922">
        <w:t>,</w:t>
      </w:r>
      <w:r>
        <w:t xml:space="preserve"> como </w:t>
      </w:r>
      <w:r w:rsidR="008B45C2">
        <w:t xml:space="preserve">su </w:t>
      </w:r>
      <w:r>
        <w:t>objeto de contemplación.</w:t>
      </w:r>
      <w:r w:rsidRPr="004A2807">
        <w:rPr>
          <w:vertAlign w:val="superscript"/>
        </w:rPr>
        <w:t>57</w:t>
      </w:r>
    </w:p>
    <w:p w14:paraId="4DDEA096" w14:textId="235B63F2" w:rsidR="00134AB3" w:rsidRDefault="00134AB3" w:rsidP="00134AB3">
      <w:r>
        <w:t xml:space="preserve">209. </w:t>
      </w:r>
      <w:r w:rsidR="0092708C">
        <w:tab/>
      </w:r>
      <w:r>
        <w:t xml:space="preserve">Estos son los medios para hacerlo. El </w:t>
      </w:r>
      <w:proofErr w:type="spellStart"/>
      <w:r w:rsidR="00057BF4" w:rsidRPr="00057BF4">
        <w:rPr>
          <w:i/>
          <w:iCs/>
        </w:rPr>
        <w:t>bhikkhu</w:t>
      </w:r>
      <w:proofErr w:type="spellEnd"/>
      <w:r>
        <w:t xml:space="preserve"> debe reconocer el estado no manifiesto del </w:t>
      </w:r>
      <w:r w:rsidR="008B45C2">
        <w:t xml:space="preserve">objeto </w:t>
      </w:r>
      <w:r>
        <w:t xml:space="preserve">de meditación y considerar así: “¿Dónde </w:t>
      </w:r>
      <w:r w:rsidR="001E4110">
        <w:t>se dan</w:t>
      </w:r>
      <w:r w:rsidR="0077369D">
        <w:t xml:space="preserve"> </w:t>
      </w:r>
      <w:r>
        <w:t xml:space="preserve">esta </w:t>
      </w:r>
      <w:r w:rsidR="0077369D">
        <w:t xml:space="preserve">inhalación </w:t>
      </w:r>
      <w:r>
        <w:t xml:space="preserve">y </w:t>
      </w:r>
      <w:r w:rsidR="0077369D">
        <w:t>exhalación</w:t>
      </w:r>
      <w:r>
        <w:t>? ¿Dónde no</w:t>
      </w:r>
      <w:r w:rsidR="00FE22A3">
        <w:t xml:space="preserve"> </w:t>
      </w:r>
      <w:r w:rsidR="001E4110">
        <w:t>se dan</w:t>
      </w:r>
      <w:r>
        <w:t xml:space="preserve">? ¿En quién </w:t>
      </w:r>
      <w:r w:rsidR="007E7301">
        <w:t>se dan</w:t>
      </w:r>
      <w:r>
        <w:t>? ¿En quién no</w:t>
      </w:r>
      <w:r w:rsidR="007E7301">
        <w:t xml:space="preserve"> se dan</w:t>
      </w:r>
      <w:r>
        <w:t xml:space="preserve">?” Entonces, al considerarlo así, </w:t>
      </w:r>
      <w:r w:rsidR="007E7301">
        <w:t xml:space="preserve">descubrirá </w:t>
      </w:r>
      <w:proofErr w:type="gramStart"/>
      <w:r w:rsidR="007E7301">
        <w:t xml:space="preserve">de </w:t>
      </w:r>
      <w:r>
        <w:t>que</w:t>
      </w:r>
      <w:proofErr w:type="gramEnd"/>
      <w:r>
        <w:t xml:space="preserve"> no </w:t>
      </w:r>
      <w:r w:rsidR="00623D98">
        <w:t xml:space="preserve">se da </w:t>
      </w:r>
      <w:r>
        <w:t xml:space="preserve">en </w:t>
      </w:r>
      <w:r w:rsidR="00623D98">
        <w:t xml:space="preserve">alguien </w:t>
      </w:r>
      <w:r>
        <w:t xml:space="preserve">dentro del vientre de </w:t>
      </w:r>
      <w:r w:rsidR="007E7301">
        <w:t>un</w:t>
      </w:r>
      <w:r>
        <w:t>a madre, ni en los ahogados en el agua, ni tampoco en los seres inconscientes,</w:t>
      </w:r>
      <w:r w:rsidRPr="004A2807">
        <w:rPr>
          <w:vertAlign w:val="superscript"/>
        </w:rPr>
        <w:t>58</w:t>
      </w:r>
      <w:r>
        <w:t xml:space="preserve"> ni en los muertos, ni en los que alcan</w:t>
      </w:r>
      <w:r w:rsidR="0074344A">
        <w:t>cen</w:t>
      </w:r>
      <w:r>
        <w:t xml:space="preserve"> el cuarto </w:t>
      </w:r>
      <w:proofErr w:type="spellStart"/>
      <w:r w:rsidR="00057BF4" w:rsidRPr="00057BF4">
        <w:rPr>
          <w:i/>
          <w:iCs/>
        </w:rPr>
        <w:t>jhāna</w:t>
      </w:r>
      <w:proofErr w:type="spellEnd"/>
      <w:r>
        <w:t xml:space="preserve">, </w:t>
      </w:r>
      <w:r w:rsidR="00A70256">
        <w:t>ni</w:t>
      </w:r>
      <w:r>
        <w:t xml:space="preserve"> en los que na</w:t>
      </w:r>
      <w:r w:rsidR="00A70256">
        <w:t>zcan</w:t>
      </w:r>
      <w:r>
        <w:t xml:space="preserve"> en una existencia material sutil o inmaterial, o en los que </w:t>
      </w:r>
      <w:r w:rsidR="00E9256A">
        <w:t xml:space="preserve">consumen </w:t>
      </w:r>
      <w:r>
        <w:t xml:space="preserve">la cesación [de la percepción y </w:t>
      </w:r>
      <w:r w:rsidR="00A70256">
        <w:t>la sensación</w:t>
      </w:r>
      <w:r>
        <w:t>]. Así</w:t>
      </w:r>
      <w:r w:rsidR="00A70256">
        <w:t>,</w:t>
      </w:r>
      <w:r>
        <w:t xml:space="preserve"> él debería apostrofarse a sí mismo así: “Tú, con toda tu sabiduría, ciertamente no estás dentro del vientre de una madre</w:t>
      </w:r>
      <w:r w:rsidR="00172E19">
        <w:t>,</w:t>
      </w:r>
      <w:r>
        <w:t xml:space="preserve"> </w:t>
      </w:r>
      <w:r w:rsidR="00A70256">
        <w:t>ni</w:t>
      </w:r>
      <w:r>
        <w:t xml:space="preserve"> ahogado en </w:t>
      </w:r>
      <w:r w:rsidR="00A70256">
        <w:t xml:space="preserve">el </w:t>
      </w:r>
      <w:r>
        <w:t>agua</w:t>
      </w:r>
      <w:r w:rsidR="00172E19">
        <w:t>,</w:t>
      </w:r>
      <w:r>
        <w:t xml:space="preserve"> </w:t>
      </w:r>
      <w:r w:rsidR="00A70256">
        <w:t>ni</w:t>
      </w:r>
      <w:r>
        <w:t xml:space="preserve"> en la existencia inconsciente</w:t>
      </w:r>
      <w:r w:rsidR="00172E19">
        <w:t>,</w:t>
      </w:r>
      <w:r>
        <w:t xml:space="preserve"> </w:t>
      </w:r>
      <w:r w:rsidR="00A70256">
        <w:t>ni</w:t>
      </w:r>
      <w:r>
        <w:t xml:space="preserve"> </w:t>
      </w:r>
      <w:r w:rsidR="00172E19">
        <w:t xml:space="preserve">estás </w:t>
      </w:r>
      <w:r>
        <w:t>muerto</w:t>
      </w:r>
      <w:r w:rsidR="00172E19">
        <w:t>,</w:t>
      </w:r>
      <w:r>
        <w:t xml:space="preserve"> </w:t>
      </w:r>
      <w:r w:rsidR="00A70256">
        <w:t>ni</w:t>
      </w:r>
      <w:r>
        <w:t xml:space="preserve"> </w:t>
      </w:r>
      <w:r w:rsidR="00A70256">
        <w:t>consumado en</w:t>
      </w:r>
      <w:r>
        <w:t xml:space="preserve"> el cuarto </w:t>
      </w:r>
      <w:proofErr w:type="spellStart"/>
      <w:r w:rsidR="00057BF4" w:rsidRPr="00057BF4">
        <w:rPr>
          <w:i/>
          <w:iCs/>
        </w:rPr>
        <w:t>jhāna</w:t>
      </w:r>
      <w:proofErr w:type="spellEnd"/>
      <w:r w:rsidR="00172E19">
        <w:rPr>
          <w:i/>
          <w:iCs/>
        </w:rPr>
        <w:t>,</w:t>
      </w:r>
      <w:r>
        <w:t xml:space="preserve"> </w:t>
      </w:r>
      <w:r w:rsidR="00A70256">
        <w:t>ni</w:t>
      </w:r>
      <w:r>
        <w:t xml:space="preserve"> nacido en la existencia material </w:t>
      </w:r>
      <w:r w:rsidR="00A70256">
        <w:t xml:space="preserve">sutil </w:t>
      </w:r>
      <w:r>
        <w:t>o inmaterial</w:t>
      </w:r>
      <w:r w:rsidR="00172E19">
        <w:t>,</w:t>
      </w:r>
      <w:r>
        <w:t xml:space="preserve"> </w:t>
      </w:r>
      <w:r w:rsidR="00A70256">
        <w:t>ni</w:t>
      </w:r>
      <w:r>
        <w:t xml:space="preserve"> </w:t>
      </w:r>
      <w:r w:rsidR="00967527">
        <w:t xml:space="preserve">has consumado la </w:t>
      </w:r>
      <w:r>
        <w:t xml:space="preserve">cesación. Esa </w:t>
      </w:r>
      <w:r w:rsidR="00967527">
        <w:t xml:space="preserve">inhalación y exhalación </w:t>
      </w:r>
      <w:r>
        <w:t xml:space="preserve">realmente existen en ti, solo que no eres capaz de discernirlas porque tu entendimiento </w:t>
      </w:r>
      <w:r w:rsidR="00967527">
        <w:t xml:space="preserve">se encuentra </w:t>
      </w:r>
      <w:r w:rsidR="00EF0882">
        <w:t>torpe</w:t>
      </w:r>
      <w:r>
        <w:t xml:space="preserve">”. Luego, fijando su mente en el lugar </w:t>
      </w:r>
      <w:r w:rsidR="00C574AA">
        <w:t xml:space="preserve">de contacto regular de </w:t>
      </w:r>
      <w:r>
        <w:t xml:space="preserve">la </w:t>
      </w:r>
      <w:r w:rsidR="00061711">
        <w:t>respiración</w:t>
      </w:r>
      <w:r>
        <w:t>, debe</w:t>
      </w:r>
      <w:r w:rsidR="00C574AA">
        <w:t>rá</w:t>
      </w:r>
      <w:r>
        <w:t xml:space="preserve"> pro</w:t>
      </w:r>
      <w:r w:rsidR="00CD56CD">
        <w:t>seguir y</w:t>
      </w:r>
      <w:r>
        <w:t xml:space="preserve"> prestar atención a e</w:t>
      </w:r>
      <w:r w:rsidR="00C574AA">
        <w:t>ll</w:t>
      </w:r>
      <w:r>
        <w:t>o.</w:t>
      </w:r>
    </w:p>
    <w:p w14:paraId="70C37082" w14:textId="7674F528" w:rsidR="00134AB3" w:rsidRDefault="00134AB3" w:rsidP="00134AB3">
      <w:r>
        <w:t xml:space="preserve">210. </w:t>
      </w:r>
      <w:r w:rsidR="0092708C">
        <w:tab/>
      </w:r>
      <w:r>
        <w:t xml:space="preserve">Esta </w:t>
      </w:r>
      <w:r w:rsidR="00C574AA">
        <w:t xml:space="preserve">inhalación y exhalación </w:t>
      </w:r>
      <w:r>
        <w:t>ocurr</w:t>
      </w:r>
      <w:r w:rsidR="00C574AA">
        <w:t>irá</w:t>
      </w:r>
      <w:r>
        <w:t xml:space="preserve">n </w:t>
      </w:r>
      <w:r w:rsidR="00064F44">
        <w:t xml:space="preserve">rozando </w:t>
      </w:r>
      <w:r>
        <w:t xml:space="preserve">la punta de la nariz en un hombre de nariz larga [284] y el labio superior en un hombre de nariz corta. Por lo tanto, </w:t>
      </w:r>
      <w:r w:rsidR="00064F44">
        <w:t xml:space="preserve">se </w:t>
      </w:r>
      <w:r>
        <w:t xml:space="preserve">debe fijar </w:t>
      </w:r>
      <w:r w:rsidR="00064F44">
        <w:t xml:space="preserve">el signo </w:t>
      </w:r>
      <w:r>
        <w:t>de esta manera: "</w:t>
      </w:r>
      <w:r w:rsidR="003D5047">
        <w:t>É</w:t>
      </w:r>
      <w:r>
        <w:t xml:space="preserve">ste es el lugar donde </w:t>
      </w:r>
      <w:r w:rsidR="00064F44">
        <w:t>roza la respiración</w:t>
      </w:r>
      <w:r>
        <w:t xml:space="preserve">". </w:t>
      </w:r>
      <w:r w:rsidR="00C23A34">
        <w:t xml:space="preserve">No obstante, </w:t>
      </w:r>
      <w:r>
        <w:t xml:space="preserve">el </w:t>
      </w:r>
      <w:r w:rsidR="00C23A34" w:rsidRPr="00C23A34">
        <w:rPr>
          <w:i/>
          <w:iCs/>
        </w:rPr>
        <w:t>Bhagavā</w:t>
      </w:r>
      <w:r w:rsidR="00C23A34">
        <w:t xml:space="preserve"> </w:t>
      </w:r>
      <w:r>
        <w:t xml:space="preserve">dijo: </w:t>
      </w:r>
      <w:r w:rsidR="00EC4B9E">
        <w:br/>
      </w:r>
      <w:r>
        <w:t>“</w:t>
      </w:r>
      <w:proofErr w:type="spellStart"/>
      <w:r w:rsidR="00057BF4" w:rsidRPr="00057BF4">
        <w:rPr>
          <w:i/>
          <w:iCs/>
        </w:rPr>
        <w:t>Bhikkhu</w:t>
      </w:r>
      <w:r w:rsidRPr="00DF744B">
        <w:rPr>
          <w:i/>
          <w:iCs/>
        </w:rPr>
        <w:t>s</w:t>
      </w:r>
      <w:proofErr w:type="spellEnd"/>
      <w:r>
        <w:t xml:space="preserve">, no digo </w:t>
      </w:r>
      <w:r w:rsidR="00144142">
        <w:t>que</w:t>
      </w:r>
      <w:r>
        <w:t xml:space="preserve"> </w:t>
      </w:r>
      <w:r w:rsidR="007F368C">
        <w:t xml:space="preserve">practique el desarrollo de la atención plena en la respiración </w:t>
      </w:r>
      <w:r>
        <w:t>alguien que s</w:t>
      </w:r>
      <w:r w:rsidR="00C23A34">
        <w:t>ea</w:t>
      </w:r>
      <w:r>
        <w:t xml:space="preserve"> olvidadizo, que no </w:t>
      </w:r>
      <w:r w:rsidR="00144142">
        <w:t>sea</w:t>
      </w:r>
      <w:r>
        <w:t xml:space="preserve"> completamente consciente</w:t>
      </w:r>
      <w:r w:rsidR="007F368C">
        <w:t>.</w:t>
      </w:r>
      <w:r>
        <w:t>” (M III 84).</w:t>
      </w:r>
    </w:p>
    <w:p w14:paraId="1D0BB9DF" w14:textId="5F945569" w:rsidR="0092708C" w:rsidRDefault="0092708C" w:rsidP="0092708C">
      <w:pPr>
        <w:pStyle w:val="Piedepgina"/>
        <w:rPr>
          <w:u w:val="single"/>
        </w:rPr>
      </w:pPr>
      <w:r>
        <w:rPr>
          <w:u w:val="single"/>
        </w:rPr>
        <w:t xml:space="preserve">                                                                                                                                                                          .</w:t>
      </w:r>
    </w:p>
    <w:p w14:paraId="28918C44" w14:textId="03016BA9" w:rsidR="00134AB3" w:rsidRDefault="00134AB3" w:rsidP="0073407E">
      <w:pPr>
        <w:pStyle w:val="PiedepginaLegal"/>
        <w:tabs>
          <w:tab w:val="clear" w:pos="6804"/>
        </w:tabs>
        <w:ind w:right="334"/>
      </w:pPr>
      <w:r>
        <w:t xml:space="preserve">57. </w:t>
      </w:r>
      <w:r w:rsidR="0092708C">
        <w:tab/>
      </w:r>
      <w:r>
        <w:t>El punto aquí es que si las respiraciones se vuelven temporalmente demasiado débiles para ser observadas, debe</w:t>
      </w:r>
      <w:r w:rsidR="00567643">
        <w:t>rá</w:t>
      </w:r>
      <w:r>
        <w:t xml:space="preserve"> continuar observando la punta de la nariz donde normalmente </w:t>
      </w:r>
      <w:r w:rsidR="00880FC9">
        <w:t>ha</w:t>
      </w:r>
      <w:r w:rsidR="00104EC6">
        <w:t>ya</w:t>
      </w:r>
      <w:r w:rsidR="00880FC9">
        <w:t xml:space="preserve"> contacto</w:t>
      </w:r>
      <w:r>
        <w:t xml:space="preserve"> hasta que se vuelv</w:t>
      </w:r>
      <w:r w:rsidR="00104EC6">
        <w:t>a</w:t>
      </w:r>
      <w:r>
        <w:t>n evidentes nuevamente. Él trae</w:t>
      </w:r>
      <w:r w:rsidR="00104EC6">
        <w:t>rá</w:t>
      </w:r>
      <w:r>
        <w:t xml:space="preserve"> la meditación de vuelta a la mente por el momento, “como el lugar (</w:t>
      </w:r>
      <w:r w:rsidRPr="00DF744B">
        <w:rPr>
          <w:i/>
          <w:iCs/>
        </w:rPr>
        <w:t>desato</w:t>
      </w:r>
      <w:r>
        <w:t xml:space="preserve">)” donde se notaron por última vez, en lugar de “como </w:t>
      </w:r>
      <w:r w:rsidR="00104EC6">
        <w:t>la</w:t>
      </w:r>
      <w:r w:rsidR="00014B5A">
        <w:t>s</w:t>
      </w:r>
      <w:r w:rsidR="00104EC6">
        <w:t xml:space="preserve"> </w:t>
      </w:r>
      <w:r>
        <w:t>respiraciones”, que se han desvanecido temporalmente.</w:t>
      </w:r>
    </w:p>
    <w:p w14:paraId="2941FDA0" w14:textId="26C8C591" w:rsidR="00F721FE" w:rsidRDefault="00134AB3" w:rsidP="00675957">
      <w:pPr>
        <w:pStyle w:val="PiedepginaLegal"/>
        <w:tabs>
          <w:tab w:val="clear" w:pos="6804"/>
        </w:tabs>
        <w:ind w:right="334"/>
      </w:pPr>
      <w:r>
        <w:t xml:space="preserve">58. </w:t>
      </w:r>
      <w:r w:rsidR="0092708C">
        <w:tab/>
      </w:r>
      <w:r>
        <w:t xml:space="preserve">Los nacidos en el mundo de los seres inconscientes en el mundo de la </w:t>
      </w:r>
      <w:r w:rsidR="00DF744B">
        <w:t xml:space="preserve">esfera sutil </w:t>
      </w:r>
      <w:r w:rsidR="00057BF4" w:rsidRPr="00057BF4">
        <w:rPr>
          <w:i/>
          <w:iCs/>
        </w:rPr>
        <w:t>Brahmā</w:t>
      </w:r>
      <w:r>
        <w:t xml:space="preserve"> (D I 28).</w:t>
      </w:r>
    </w:p>
    <w:p w14:paraId="4E800146" w14:textId="77777777" w:rsidR="00F721FE" w:rsidRDefault="00F721FE">
      <w:pPr>
        <w:tabs>
          <w:tab w:val="clear" w:pos="425"/>
        </w:tabs>
        <w:spacing w:after="160"/>
      </w:pPr>
      <w:r>
        <w:br w:type="page"/>
      </w:r>
    </w:p>
    <w:p w14:paraId="40EBC825" w14:textId="4B804610" w:rsidR="00650E50" w:rsidRDefault="00650E50" w:rsidP="00F721FE"/>
    <w:p w14:paraId="1D151B15" w14:textId="2D16CE2C" w:rsidR="00650E50" w:rsidRDefault="00650E50" w:rsidP="00650E50">
      <w:r>
        <w:t xml:space="preserve">211. </w:t>
      </w:r>
      <w:r>
        <w:tab/>
        <w:t xml:space="preserve">Aunque cualquier </w:t>
      </w:r>
      <w:r w:rsidR="0073407E">
        <w:t xml:space="preserve">objeto </w:t>
      </w:r>
      <w:r>
        <w:t xml:space="preserve">de meditación, </w:t>
      </w:r>
      <w:r w:rsidR="00327408">
        <w:t>sin importar el que sea</w:t>
      </w:r>
      <w:r>
        <w:t xml:space="preserve">, sólo </w:t>
      </w:r>
      <w:r w:rsidR="00327408">
        <w:t xml:space="preserve">tendrá </w:t>
      </w:r>
      <w:r>
        <w:t xml:space="preserve">éxito en alguien que </w:t>
      </w:r>
      <w:r w:rsidR="00327408">
        <w:t xml:space="preserve">sea </w:t>
      </w:r>
      <w:r>
        <w:t xml:space="preserve">atento y plenamente consciente, </w:t>
      </w:r>
      <w:r w:rsidR="00616858">
        <w:t>no obstante</w:t>
      </w:r>
      <w:r>
        <w:t xml:space="preserve">, cualquier otro </w:t>
      </w:r>
      <w:r w:rsidR="00EF6ACA">
        <w:t xml:space="preserve">objeto </w:t>
      </w:r>
      <w:r>
        <w:t xml:space="preserve">de meditación que no sea éste se </w:t>
      </w:r>
      <w:r w:rsidR="00EF6ACA">
        <w:t>volverá</w:t>
      </w:r>
      <w:r>
        <w:t xml:space="preserve"> más evidente a medida que </w:t>
      </w:r>
      <w:r w:rsidR="002338CD">
        <w:t xml:space="preserve">se </w:t>
      </w:r>
      <w:r>
        <w:t>le dedi</w:t>
      </w:r>
      <w:r w:rsidR="00EF6ACA">
        <w:t>que</w:t>
      </w:r>
      <w:r>
        <w:t xml:space="preserve"> </w:t>
      </w:r>
      <w:r w:rsidR="00EF6ACA">
        <w:t xml:space="preserve">mayor </w:t>
      </w:r>
      <w:r>
        <w:t xml:space="preserve">atención. </w:t>
      </w:r>
      <w:r w:rsidR="002338CD">
        <w:t>Por otro lado</w:t>
      </w:r>
      <w:r w:rsidR="00EF6ACA">
        <w:t xml:space="preserve">, </w:t>
      </w:r>
      <w:r>
        <w:t xml:space="preserve">esta atención plena </w:t>
      </w:r>
      <w:r w:rsidR="00EF6ACA">
        <w:t>en</w:t>
      </w:r>
      <w:r>
        <w:t xml:space="preserve"> la respiración </w:t>
      </w:r>
      <w:r w:rsidR="00BB34C8">
        <w:t xml:space="preserve">será </w:t>
      </w:r>
      <w:r>
        <w:t xml:space="preserve">difícil de desarrollar, un campo en el que solo las mentes de los </w:t>
      </w:r>
      <w:r w:rsidR="00057BF4" w:rsidRPr="00057BF4">
        <w:rPr>
          <w:i/>
        </w:rPr>
        <w:t>Buddha</w:t>
      </w:r>
      <w:r>
        <w:t xml:space="preserve">s, los </w:t>
      </w:r>
      <w:proofErr w:type="spellStart"/>
      <w:r w:rsidR="001C636A" w:rsidRPr="00DF744B">
        <w:rPr>
          <w:i/>
          <w:iCs/>
        </w:rPr>
        <w:t>Pacceka</w:t>
      </w:r>
      <w:r w:rsidR="001C636A" w:rsidRPr="00057BF4">
        <w:rPr>
          <w:i/>
          <w:iCs/>
        </w:rPr>
        <w:t>buddha</w:t>
      </w:r>
      <w:r w:rsidR="001C636A" w:rsidRPr="00DF744B">
        <w:rPr>
          <w:i/>
          <w:iCs/>
        </w:rPr>
        <w:t>s</w:t>
      </w:r>
      <w:proofErr w:type="spellEnd"/>
      <w:r w:rsidR="001C636A">
        <w:t xml:space="preserve"> </w:t>
      </w:r>
      <w:r>
        <w:t xml:space="preserve">y los hijos de los </w:t>
      </w:r>
      <w:r w:rsidR="00057BF4" w:rsidRPr="00057BF4">
        <w:rPr>
          <w:i/>
        </w:rPr>
        <w:t>Buddha</w:t>
      </w:r>
      <w:r>
        <w:t xml:space="preserve">s </w:t>
      </w:r>
      <w:r w:rsidR="004831F5">
        <w:t>se encuentran como en casa</w:t>
      </w:r>
      <w:r>
        <w:t>. No es un asunto trivial, ni puede ser cultivado por personas triviales. En la medida en que se le prest</w:t>
      </w:r>
      <w:r w:rsidR="007D6027">
        <w:t>e</w:t>
      </w:r>
      <w:r>
        <w:t xml:space="preserve"> atención continua, se v</w:t>
      </w:r>
      <w:r w:rsidR="007D6027">
        <w:t>o</w:t>
      </w:r>
      <w:r>
        <w:t>lve</w:t>
      </w:r>
      <w:r w:rsidR="007D6027">
        <w:t>rá</w:t>
      </w:r>
      <w:r>
        <w:t xml:space="preserve"> más </w:t>
      </w:r>
      <w:r w:rsidR="007D6027">
        <w:t xml:space="preserve">apacible </w:t>
      </w:r>
      <w:r>
        <w:t xml:space="preserve">y sutil. Así que aquí se </w:t>
      </w:r>
      <w:r w:rsidR="00D34090">
        <w:t xml:space="preserve">requiere </w:t>
      </w:r>
      <w:r>
        <w:t xml:space="preserve">una fuerte atención plena y </w:t>
      </w:r>
      <w:r w:rsidR="00BB34C8">
        <w:t xml:space="preserve">un gran </w:t>
      </w:r>
      <w:r w:rsidR="00D34090">
        <w:t>entendimiento</w:t>
      </w:r>
      <w:r>
        <w:t>.</w:t>
      </w:r>
    </w:p>
    <w:p w14:paraId="4DBCC5C7" w14:textId="1B032D62" w:rsidR="00650E50" w:rsidRDefault="00650E50" w:rsidP="00650E50">
      <w:r>
        <w:t xml:space="preserve">212. </w:t>
      </w:r>
      <w:r>
        <w:tab/>
      </w:r>
      <w:r w:rsidR="00D34090">
        <w:t xml:space="preserve">A igual que cuando </w:t>
      </w:r>
      <w:r>
        <w:t>se ha</w:t>
      </w:r>
      <w:r w:rsidR="00B873F7">
        <w:t>ga</w:t>
      </w:r>
      <w:r>
        <w:t xml:space="preserve"> un bordado en un trozo de tela fina se </w:t>
      </w:r>
      <w:r w:rsidR="00D34090">
        <w:t>re</w:t>
      </w:r>
      <w:r w:rsidR="00B873F7">
        <w:t xml:space="preserve">querirá </w:t>
      </w:r>
      <w:r>
        <w:t>una aguja fina y un instrumento aún más fino para perforar el ojo de la aguja, así también, cuando se desarroll</w:t>
      </w:r>
      <w:r w:rsidR="000E13DD">
        <w:t>e</w:t>
      </w:r>
      <w:r>
        <w:t xml:space="preserve"> este </w:t>
      </w:r>
      <w:r w:rsidR="00B873F7">
        <w:t xml:space="preserve">objeto </w:t>
      </w:r>
      <w:r>
        <w:t xml:space="preserve">de meditación, que se asemeja a una tela fina, tanto la atención plena, que es la contraparte de la aguja, y </w:t>
      </w:r>
      <w:r w:rsidR="00B873F7">
        <w:t>el entendimiento</w:t>
      </w:r>
      <w:r>
        <w:t xml:space="preserve"> asociad</w:t>
      </w:r>
      <w:r w:rsidR="00B873F7">
        <w:t>o</w:t>
      </w:r>
      <w:r>
        <w:t xml:space="preserve"> con ell</w:t>
      </w:r>
      <w:r w:rsidR="00B873F7">
        <w:t>o</w:t>
      </w:r>
      <w:r>
        <w:t xml:space="preserve">, que es la contraparte del instrumento para perforar el ojo de la aguja, </w:t>
      </w:r>
      <w:r w:rsidR="00B873F7">
        <w:t xml:space="preserve">requerirán </w:t>
      </w:r>
      <w:r>
        <w:t xml:space="preserve">ser fuertes. Un </w:t>
      </w:r>
      <w:proofErr w:type="spellStart"/>
      <w:r w:rsidR="00057BF4" w:rsidRPr="00057BF4">
        <w:rPr>
          <w:i/>
          <w:iCs/>
        </w:rPr>
        <w:t>bhikkhu</w:t>
      </w:r>
      <w:proofErr w:type="spellEnd"/>
      <w:r>
        <w:t xml:space="preserve"> debe</w:t>
      </w:r>
      <w:r w:rsidR="00FD5480">
        <w:t>rá</w:t>
      </w:r>
      <w:r>
        <w:t xml:space="preserve"> </w:t>
      </w:r>
      <w:r w:rsidR="00FD5480">
        <w:t xml:space="preserve">poseer </w:t>
      </w:r>
      <w:r>
        <w:t xml:space="preserve">la atención y </w:t>
      </w:r>
      <w:r w:rsidR="00B873F7">
        <w:t xml:space="preserve">el entendimiento </w:t>
      </w:r>
      <w:r>
        <w:t>necesari</w:t>
      </w:r>
      <w:r w:rsidR="00B873F7">
        <w:t>o</w:t>
      </w:r>
      <w:r>
        <w:t xml:space="preserve">s y </w:t>
      </w:r>
      <w:r w:rsidR="0014150B">
        <w:t>procurar</w:t>
      </w:r>
      <w:r>
        <w:t xml:space="preserve"> la </w:t>
      </w:r>
      <w:r w:rsidR="00B873F7">
        <w:t xml:space="preserve">inhalación y exhalación </w:t>
      </w:r>
      <w:r>
        <w:t xml:space="preserve">en ningún otro lugar que no sea el lugar que normalmente </w:t>
      </w:r>
      <w:r w:rsidR="00B873F7">
        <w:t>estos rocen</w:t>
      </w:r>
      <w:r w:rsidR="00337D7E">
        <w:t xml:space="preserve"> en la nariz</w:t>
      </w:r>
      <w:r>
        <w:t>.</w:t>
      </w:r>
    </w:p>
    <w:p w14:paraId="5DFC3244" w14:textId="7AD6C31F" w:rsidR="00650E50" w:rsidRDefault="00650E50" w:rsidP="00650E50">
      <w:r>
        <w:t xml:space="preserve">213. </w:t>
      </w:r>
      <w:r>
        <w:tab/>
        <w:t xml:space="preserve">Supongamos que un </w:t>
      </w:r>
      <w:r w:rsidR="00337D7E">
        <w:t>agricultor</w:t>
      </w:r>
      <w:r>
        <w:t>, después de arar un poco, enví</w:t>
      </w:r>
      <w:r w:rsidR="00337D7E">
        <w:t>e</w:t>
      </w:r>
      <w:r>
        <w:t xml:space="preserve"> a sus bueyes a pastar y se sient</w:t>
      </w:r>
      <w:r w:rsidR="00337D7E">
        <w:t>e</w:t>
      </w:r>
      <w:r>
        <w:t xml:space="preserve"> a descansar a la sombra, entonces sus bueyes pronto </w:t>
      </w:r>
      <w:r w:rsidR="005B6B6D">
        <w:t xml:space="preserve">se </w:t>
      </w:r>
      <w:r w:rsidR="00685368">
        <w:t>retira</w:t>
      </w:r>
      <w:r>
        <w:t xml:space="preserve">rán al bosque. Ahora bien, un hábil </w:t>
      </w:r>
      <w:r w:rsidR="00685368">
        <w:t xml:space="preserve">agricultor </w:t>
      </w:r>
      <w:r>
        <w:t>que quier</w:t>
      </w:r>
      <w:r w:rsidR="00685368">
        <w:t>a</w:t>
      </w:r>
      <w:r>
        <w:t xml:space="preserve"> atraparlos y volverlos a </w:t>
      </w:r>
      <w:r w:rsidR="005B6B6D">
        <w:t>re</w:t>
      </w:r>
      <w:r>
        <w:t>unir, no anda</w:t>
      </w:r>
      <w:r w:rsidR="00685368">
        <w:t>rá</w:t>
      </w:r>
      <w:r>
        <w:t xml:space="preserve"> por el bosque siguiendo sus huellas, sino que toma</w:t>
      </w:r>
      <w:r w:rsidR="00685368">
        <w:t>rá</w:t>
      </w:r>
      <w:r>
        <w:t xml:space="preserve"> su cuerda y su aguijón </w:t>
      </w:r>
      <w:r w:rsidR="00685368">
        <w:t xml:space="preserve">e irá </w:t>
      </w:r>
      <w:r>
        <w:t xml:space="preserve">directamente al bebedero donde </w:t>
      </w:r>
      <w:r w:rsidR="00685368">
        <w:t xml:space="preserve">estos </w:t>
      </w:r>
      <w:r w:rsidR="005B6B6D">
        <w:t xml:space="preserve">se </w:t>
      </w:r>
      <w:r>
        <w:t>enc</w:t>
      </w:r>
      <w:r w:rsidR="00685368">
        <w:t>o</w:t>
      </w:r>
      <w:r>
        <w:t>ntra</w:t>
      </w:r>
      <w:r w:rsidR="00685368">
        <w:t>rá</w:t>
      </w:r>
      <w:r>
        <w:t>n y se senta</w:t>
      </w:r>
      <w:r w:rsidR="00685368">
        <w:t>rá</w:t>
      </w:r>
      <w:r>
        <w:t xml:space="preserve"> o </w:t>
      </w:r>
      <w:r w:rsidR="00685368">
        <w:t>re</w:t>
      </w:r>
      <w:r>
        <w:t>c</w:t>
      </w:r>
      <w:r w:rsidR="00685368">
        <w:t>o</w:t>
      </w:r>
      <w:r>
        <w:t>sta</w:t>
      </w:r>
      <w:r w:rsidR="00685368">
        <w:t>rá</w:t>
      </w:r>
      <w:r>
        <w:t xml:space="preserve"> allí. Luego, después de que los bueyes ha</w:t>
      </w:r>
      <w:r w:rsidR="00685368">
        <w:t>ya</w:t>
      </w:r>
      <w:r>
        <w:t xml:space="preserve">n </w:t>
      </w:r>
      <w:r w:rsidR="002247DC">
        <w:t xml:space="preserve">andado </w:t>
      </w:r>
      <w:r>
        <w:t xml:space="preserve">durante </w:t>
      </w:r>
      <w:r w:rsidR="002247DC">
        <w:t xml:space="preserve">cierta </w:t>
      </w:r>
      <w:r>
        <w:t>parte del día, llega</w:t>
      </w:r>
      <w:r w:rsidR="002247DC">
        <w:t>rá</w:t>
      </w:r>
      <w:r>
        <w:t>n al bebedero donde se re</w:t>
      </w:r>
      <w:r w:rsidR="002247DC">
        <w:t>u</w:t>
      </w:r>
      <w:r>
        <w:t>n</w:t>
      </w:r>
      <w:r w:rsidR="002247DC">
        <w:t>irá</w:t>
      </w:r>
      <w:r>
        <w:t>n</w:t>
      </w:r>
      <w:r w:rsidR="005B6B6D">
        <w:t>,</w:t>
      </w:r>
      <w:r>
        <w:t xml:space="preserve"> se baña</w:t>
      </w:r>
      <w:r w:rsidR="002247DC">
        <w:t>rá</w:t>
      </w:r>
      <w:r>
        <w:t>n y bebe</w:t>
      </w:r>
      <w:r w:rsidR="002247DC">
        <w:t>rá</w:t>
      </w:r>
      <w:r>
        <w:t>n y</w:t>
      </w:r>
      <w:r w:rsidR="00C97225">
        <w:t>,</w:t>
      </w:r>
      <w:r>
        <w:t xml:space="preserve"> cuando </w:t>
      </w:r>
      <w:r w:rsidR="00CD7A8C">
        <w:t xml:space="preserve">él </w:t>
      </w:r>
      <w:r>
        <w:t>ve</w:t>
      </w:r>
      <w:r w:rsidR="00CD7A8C">
        <w:t>a</w:t>
      </w:r>
      <w:r>
        <w:t xml:space="preserve"> que </w:t>
      </w:r>
      <w:r w:rsidR="00CD7A8C">
        <w:t xml:space="preserve">estos </w:t>
      </w:r>
      <w:r>
        <w:t>ha</w:t>
      </w:r>
      <w:r w:rsidR="00CD7A8C">
        <w:t>ya</w:t>
      </w:r>
      <w:r>
        <w:t xml:space="preserve">n </w:t>
      </w:r>
      <w:r w:rsidR="005B6B6D">
        <w:t>llegado</w:t>
      </w:r>
      <w:r>
        <w:t xml:space="preserve"> y </w:t>
      </w:r>
      <w:r w:rsidR="00C97225">
        <w:t>reunido</w:t>
      </w:r>
      <w:r w:rsidR="005B6B6D">
        <w:t xml:space="preserve"> </w:t>
      </w:r>
      <w:r w:rsidR="00CD7A8C">
        <w:t>allí</w:t>
      </w:r>
      <w:r>
        <w:t>, los asegura</w:t>
      </w:r>
      <w:r w:rsidR="00CD7A8C">
        <w:t>rá</w:t>
      </w:r>
      <w:r>
        <w:t xml:space="preserve"> con la cuerda, y aguijoneándolos con el aguijón, los </w:t>
      </w:r>
      <w:r w:rsidR="00CD7A8C">
        <w:t xml:space="preserve">conducirá </w:t>
      </w:r>
      <w:r>
        <w:t xml:space="preserve">de </w:t>
      </w:r>
      <w:r w:rsidR="008D1E41">
        <w:t>regreso al trabajo</w:t>
      </w:r>
      <w:r>
        <w:t xml:space="preserve">, </w:t>
      </w:r>
      <w:r w:rsidR="00CD7A8C">
        <w:t xml:space="preserve">entonces </w:t>
      </w:r>
      <w:r>
        <w:t>los unc</w:t>
      </w:r>
      <w:r w:rsidR="00CD7A8C">
        <w:t>irá</w:t>
      </w:r>
      <w:r>
        <w:t xml:space="preserve"> y contin</w:t>
      </w:r>
      <w:r w:rsidR="00CD7A8C">
        <w:t>uará</w:t>
      </w:r>
      <w:r>
        <w:t xml:space="preserve"> </w:t>
      </w:r>
      <w:r w:rsidR="00CD7A8C">
        <w:t xml:space="preserve">el </w:t>
      </w:r>
      <w:r>
        <w:t xml:space="preserve">arado. Así también, </w:t>
      </w:r>
      <w:r w:rsidR="00C97225">
        <w:t>un</w:t>
      </w:r>
      <w:r>
        <w:t xml:space="preserve"> </w:t>
      </w:r>
      <w:proofErr w:type="spellStart"/>
      <w:r w:rsidR="00057BF4" w:rsidRPr="00057BF4">
        <w:rPr>
          <w:i/>
          <w:iCs/>
        </w:rPr>
        <w:t>bhikkhu</w:t>
      </w:r>
      <w:proofErr w:type="spellEnd"/>
      <w:r>
        <w:t xml:space="preserve"> no debe </w:t>
      </w:r>
      <w:r w:rsidR="0043713F">
        <w:t xml:space="preserve">procurar </w:t>
      </w:r>
      <w:r>
        <w:t xml:space="preserve">la </w:t>
      </w:r>
      <w:r w:rsidR="008D1E41">
        <w:t xml:space="preserve">inhalación </w:t>
      </w:r>
      <w:r>
        <w:t xml:space="preserve">y </w:t>
      </w:r>
      <w:r w:rsidR="008D1E41">
        <w:t xml:space="preserve">exhalación </w:t>
      </w:r>
      <w:r>
        <w:t xml:space="preserve">en ningún otro lugar que no sea el lugar </w:t>
      </w:r>
      <w:r w:rsidR="0043713F">
        <w:t xml:space="preserve">regular </w:t>
      </w:r>
      <w:r w:rsidR="008D1E41">
        <w:t xml:space="preserve">del </w:t>
      </w:r>
      <w:r w:rsidR="0043713F">
        <w:t xml:space="preserve">roce </w:t>
      </w:r>
      <w:r w:rsidR="008D1E41">
        <w:t xml:space="preserve">de la respiración </w:t>
      </w:r>
      <w:r w:rsidR="0043713F">
        <w:t>con la nariz</w:t>
      </w:r>
      <w:r>
        <w:t>. Y debe</w:t>
      </w:r>
      <w:r w:rsidR="00602CA5">
        <w:t>rá</w:t>
      </w:r>
      <w:r>
        <w:t xml:space="preserve"> tomar la cuerda de la atención plena y el aguijón del </w:t>
      </w:r>
      <w:r w:rsidR="0043713F">
        <w:t>entendimiento</w:t>
      </w:r>
      <w:r>
        <w:t>, y fija</w:t>
      </w:r>
      <w:r w:rsidR="00802F70">
        <w:t>r</w:t>
      </w:r>
      <w:r>
        <w:t xml:space="preserve"> su mente en el lugar que normalmente </w:t>
      </w:r>
      <w:r w:rsidR="00B73B1E">
        <w:t>se produzca el contacto</w:t>
      </w:r>
      <w:r>
        <w:t>, debe</w:t>
      </w:r>
      <w:r w:rsidR="00B73B1E">
        <w:t>rá</w:t>
      </w:r>
      <w:r>
        <w:t xml:space="preserve"> </w:t>
      </w:r>
      <w:r w:rsidR="00602CA5">
        <w:t>pro</w:t>
      </w:r>
      <w:r>
        <w:t>seguir prestando atención a e</w:t>
      </w:r>
      <w:r w:rsidR="00B73B1E">
        <w:t>ll</w:t>
      </w:r>
      <w:r>
        <w:t xml:space="preserve">o. [285] </w:t>
      </w:r>
      <w:r w:rsidR="000A71A0">
        <w:t>Ya que</w:t>
      </w:r>
      <w:r>
        <w:t xml:space="preserve"> mientras él prest</w:t>
      </w:r>
      <w:r w:rsidR="00B73B1E">
        <w:t>e</w:t>
      </w:r>
      <w:r>
        <w:t xml:space="preserve"> su atención </w:t>
      </w:r>
      <w:r w:rsidR="00B73B1E">
        <w:t>así</w:t>
      </w:r>
      <w:r w:rsidR="00427F69">
        <w:t>,</w:t>
      </w:r>
      <w:r w:rsidR="00B73B1E">
        <w:t xml:space="preserve"> </w:t>
      </w:r>
      <w:r w:rsidR="00602CA5">
        <w:t xml:space="preserve">estos </w:t>
      </w:r>
      <w:r>
        <w:t>reaparece</w:t>
      </w:r>
      <w:r w:rsidR="00B73B1E">
        <w:t>rá</w:t>
      </w:r>
      <w:r>
        <w:t xml:space="preserve">n después de poco tiempo, </w:t>
      </w:r>
      <w:r w:rsidR="00602CA5">
        <w:t xml:space="preserve">tal </w:t>
      </w:r>
      <w:r>
        <w:t>como lo hicieron los bueyes en el bebedero donde se reun</w:t>
      </w:r>
      <w:r w:rsidR="00602CA5">
        <w:t>ieron</w:t>
      </w:r>
      <w:r>
        <w:t xml:space="preserve">. De modo que </w:t>
      </w:r>
      <w:r w:rsidR="00602CA5">
        <w:t xml:space="preserve">podrá </w:t>
      </w:r>
      <w:r>
        <w:t>asegurarlos con la cuerda de la atención plena, unci</w:t>
      </w:r>
      <w:r w:rsidR="007B6123">
        <w:t>rl</w:t>
      </w:r>
      <w:r w:rsidR="00902D39">
        <w:t>os</w:t>
      </w:r>
      <w:r w:rsidR="007B6123">
        <w:t xml:space="preserve"> </w:t>
      </w:r>
      <w:r>
        <w:t>en ese mismo lugar y aguijone</w:t>
      </w:r>
      <w:r w:rsidR="00902D39">
        <w:t>ar</w:t>
      </w:r>
      <w:r>
        <w:t xml:space="preserve">los con el </w:t>
      </w:r>
      <w:r w:rsidR="00902D39">
        <w:t>entendimiento</w:t>
      </w:r>
      <w:r>
        <w:t xml:space="preserve">, </w:t>
      </w:r>
      <w:r w:rsidR="003408D8">
        <w:t>y pro</w:t>
      </w:r>
      <w:r>
        <w:t xml:space="preserve">seguir aplicándose </w:t>
      </w:r>
      <w:r w:rsidR="003408D8">
        <w:t>en e</w:t>
      </w:r>
      <w:r>
        <w:t xml:space="preserve">l </w:t>
      </w:r>
      <w:r w:rsidR="003408D8">
        <w:t xml:space="preserve">objeto </w:t>
      </w:r>
      <w:r>
        <w:t>de meditación.</w:t>
      </w:r>
    </w:p>
    <w:p w14:paraId="2F2145C7" w14:textId="171F983E" w:rsidR="00650E50" w:rsidRDefault="00650E50" w:rsidP="00650E50">
      <w:r>
        <w:t xml:space="preserve">214. </w:t>
      </w:r>
      <w:r>
        <w:tab/>
        <w:t>Cuando lo ha</w:t>
      </w:r>
      <w:r w:rsidR="003408D8">
        <w:t>ga</w:t>
      </w:r>
      <w:r>
        <w:t xml:space="preserve"> así, pronto se le aparece</w:t>
      </w:r>
      <w:r w:rsidR="003408D8">
        <w:t>rá</w:t>
      </w:r>
      <w:r>
        <w:t xml:space="preserve"> el signo</w:t>
      </w:r>
      <w:r w:rsidRPr="004A2807">
        <w:rPr>
          <w:vertAlign w:val="superscript"/>
        </w:rPr>
        <w:t>59</w:t>
      </w:r>
      <w:r>
        <w:t xml:space="preserve">. Pero no </w:t>
      </w:r>
      <w:r w:rsidR="003408D8">
        <w:t>será e</w:t>
      </w:r>
      <w:r>
        <w:t xml:space="preserve">l mismo </w:t>
      </w:r>
      <w:r w:rsidR="003408D8">
        <w:t xml:space="preserve">que </w:t>
      </w:r>
      <w:r>
        <w:t xml:space="preserve">para todos; por el contrario, algunos dicen que cuando aparece </w:t>
      </w:r>
      <w:r w:rsidR="003408D8">
        <w:t xml:space="preserve">este signo </w:t>
      </w:r>
      <w:r>
        <w:t xml:space="preserve">lo hace </w:t>
      </w:r>
      <w:r w:rsidR="003408D8">
        <w:t>en</w:t>
      </w:r>
      <w:r>
        <w:t xml:space="preserve"> ciertas personas produciendo un </w:t>
      </w:r>
      <w:r w:rsidR="003408D8">
        <w:t>con</w:t>
      </w:r>
      <w:r>
        <w:t xml:space="preserve">tacto ligero </w:t>
      </w:r>
      <w:r w:rsidR="003408D8">
        <w:t xml:space="preserve">parecido al </w:t>
      </w:r>
      <w:r>
        <w:t>algodón</w:t>
      </w:r>
      <w:r w:rsidR="003408D8">
        <w:t>, a la</w:t>
      </w:r>
      <w:r>
        <w:t xml:space="preserve"> seda o </w:t>
      </w:r>
      <w:r w:rsidR="003408D8">
        <w:t xml:space="preserve">a </w:t>
      </w:r>
      <w:r>
        <w:t>un calado.</w:t>
      </w:r>
    </w:p>
    <w:p w14:paraId="2A7EAC6D" w14:textId="25091142" w:rsidR="00650E50" w:rsidRDefault="00650E50" w:rsidP="00650E50">
      <w:r>
        <w:t xml:space="preserve">215. </w:t>
      </w:r>
      <w:r>
        <w:tab/>
      </w:r>
      <w:r w:rsidR="006C196A">
        <w:t>No obstante, é</w:t>
      </w:r>
      <w:r>
        <w:t>sta es la exposición que se da en los comentarios: A unos les parece</w:t>
      </w:r>
      <w:r w:rsidR="006C196A">
        <w:t>rá</w:t>
      </w:r>
      <w:r>
        <w:t xml:space="preserve"> una estrella</w:t>
      </w:r>
      <w:r w:rsidR="006C196A">
        <w:t>,</w:t>
      </w:r>
      <w:r>
        <w:t xml:space="preserve"> un racimo de gemas o un racimo de perlas, a otros un</w:t>
      </w:r>
      <w:r w:rsidR="00A93738">
        <w:t>a</w:t>
      </w:r>
      <w:r>
        <w:t xml:space="preserve"> </w:t>
      </w:r>
      <w:r w:rsidR="00A93738">
        <w:t xml:space="preserve">sensación </w:t>
      </w:r>
      <w:r>
        <w:t>ásper</w:t>
      </w:r>
      <w:r w:rsidR="00A93738">
        <w:t>a</w:t>
      </w:r>
      <w:r>
        <w:t xml:space="preserve"> como el de las semillas de seda</w:t>
      </w:r>
      <w:r w:rsidR="00555FE5">
        <w:t xml:space="preserve"> de </w:t>
      </w:r>
      <w:r>
        <w:t xml:space="preserve">algodón o una clavija hecha de duramen, a otros como una larga trenza o </w:t>
      </w:r>
    </w:p>
    <w:p w14:paraId="46D90B99" w14:textId="77777777" w:rsidR="00650E50" w:rsidRDefault="00650E50" w:rsidP="00650E50">
      <w:pPr>
        <w:pStyle w:val="Piedepgina"/>
        <w:rPr>
          <w:u w:val="single"/>
        </w:rPr>
      </w:pPr>
      <w:r>
        <w:t> </w:t>
      </w:r>
      <w:r>
        <w:rPr>
          <w:u w:val="single"/>
        </w:rPr>
        <w:t xml:space="preserve">                                                                                                                                                                          .</w:t>
      </w:r>
    </w:p>
    <w:p w14:paraId="24065713" w14:textId="41B4D6C3" w:rsidR="005175C8" w:rsidRDefault="00650E50" w:rsidP="00650E50">
      <w:pPr>
        <w:pStyle w:val="PiedepginaLegal"/>
      </w:pPr>
      <w:r>
        <w:t xml:space="preserve">59. </w:t>
      </w:r>
      <w:r>
        <w:tab/>
        <w:t>“‘</w:t>
      </w:r>
      <w:r w:rsidR="00014B5A">
        <w:t>El signo</w:t>
      </w:r>
      <w:r>
        <w:t xml:space="preserve">’ es </w:t>
      </w:r>
      <w:proofErr w:type="gramStart"/>
      <w:r>
        <w:t xml:space="preserve">la </w:t>
      </w:r>
      <w:r w:rsidR="00D85243">
        <w:t>signo</w:t>
      </w:r>
      <w:proofErr w:type="gramEnd"/>
      <w:r w:rsidR="00D85243">
        <w:t xml:space="preserve"> </w:t>
      </w:r>
      <w:r>
        <w:t xml:space="preserve">de aprendizaje y </w:t>
      </w:r>
      <w:r w:rsidR="00D85243">
        <w:t xml:space="preserve">el signo </w:t>
      </w:r>
      <w:r>
        <w:t>contraparte, ya que amb</w:t>
      </w:r>
      <w:r w:rsidR="00D85243">
        <w:t>o</w:t>
      </w:r>
      <w:r>
        <w:t xml:space="preserve">s se expresan aquí </w:t>
      </w:r>
      <w:r w:rsidR="00D85243">
        <w:t>con</w:t>
      </w:r>
      <w:r>
        <w:t>junta</w:t>
      </w:r>
      <w:r w:rsidR="00D85243">
        <w:t>mente</w:t>
      </w:r>
      <w:r>
        <w:t xml:space="preserve">. Aquí, los tres símiles que comienzan con </w:t>
      </w:r>
      <w:r w:rsidR="00D85243">
        <w:t xml:space="preserve">el </w:t>
      </w:r>
      <w:r>
        <w:t xml:space="preserve">algodón son propiamente el signo de aprendizaje, el resto son ambos. 'Algunos' </w:t>
      </w:r>
      <w:r w:rsidR="00791E4C">
        <w:t xml:space="preserve">se refieren a </w:t>
      </w:r>
      <w:r>
        <w:t>ciertos maestros. Los símiles que comienzan con el 'racimo de gemas' son propiamente el signo contraparte” (</w:t>
      </w:r>
      <w:proofErr w:type="spellStart"/>
      <w:r>
        <w:t>Vism-mhṭ</w:t>
      </w:r>
      <w:proofErr w:type="spellEnd"/>
      <w:r>
        <w:t xml:space="preserve"> 273).</w:t>
      </w:r>
    </w:p>
    <w:p w14:paraId="3EA0858B" w14:textId="77777777" w:rsidR="005175C8" w:rsidRDefault="005175C8">
      <w:pPr>
        <w:tabs>
          <w:tab w:val="clear" w:pos="425"/>
        </w:tabs>
        <w:spacing w:after="160"/>
      </w:pPr>
      <w:r>
        <w:br w:type="page"/>
      </w:r>
    </w:p>
    <w:p w14:paraId="51651915" w14:textId="18F35BE6" w:rsidR="00F27CA6" w:rsidRDefault="00F27CA6" w:rsidP="005175C8"/>
    <w:p w14:paraId="4B03099A" w14:textId="1AD2CB3A" w:rsidR="00F27CA6" w:rsidRDefault="00555FE5" w:rsidP="00F27CA6">
      <w:r>
        <w:t xml:space="preserve">una </w:t>
      </w:r>
      <w:r w:rsidR="00A93738">
        <w:t xml:space="preserve">corona de flores o un soplo de </w:t>
      </w:r>
      <w:r w:rsidR="00F27CA6">
        <w:t xml:space="preserve">humo, para otros </w:t>
      </w:r>
      <w:r>
        <w:t xml:space="preserve">será </w:t>
      </w:r>
      <w:r w:rsidR="00F27CA6">
        <w:t>como una telaraña extendida o una película de nube</w:t>
      </w:r>
      <w:r w:rsidR="00A93738">
        <w:t>s</w:t>
      </w:r>
      <w:r w:rsidR="00F27CA6">
        <w:t xml:space="preserve"> o una flor de loto o la rueda de un</w:t>
      </w:r>
      <w:r w:rsidR="00A93738">
        <w:t>a</w:t>
      </w:r>
      <w:r w:rsidR="00F27CA6">
        <w:t xml:space="preserve"> carro</w:t>
      </w:r>
      <w:r w:rsidR="00A93738">
        <w:t>za</w:t>
      </w:r>
      <w:r w:rsidR="00F27CA6">
        <w:t xml:space="preserve"> o el disco de la </w:t>
      </w:r>
      <w:r w:rsidR="00A93738">
        <w:t xml:space="preserve">Luna </w:t>
      </w:r>
      <w:r w:rsidR="00F27CA6">
        <w:t xml:space="preserve">o del </w:t>
      </w:r>
      <w:r w:rsidR="00A93738">
        <w:t>Sol</w:t>
      </w:r>
      <w:r w:rsidR="00F27CA6">
        <w:t>.</w:t>
      </w:r>
    </w:p>
    <w:p w14:paraId="4E942380" w14:textId="28E52316" w:rsidR="00F27CA6" w:rsidRDefault="00F27CA6" w:rsidP="00F27CA6">
      <w:r>
        <w:t xml:space="preserve">216. </w:t>
      </w:r>
      <w:r>
        <w:tab/>
        <w:t xml:space="preserve">De hecho, esto se </w:t>
      </w:r>
      <w:r w:rsidR="00A93738">
        <w:t>parece</w:t>
      </w:r>
      <w:r>
        <w:t xml:space="preserve"> a una ocasión en la que varios </w:t>
      </w:r>
      <w:proofErr w:type="spellStart"/>
      <w:r w:rsidR="00057BF4" w:rsidRPr="00057BF4">
        <w:rPr>
          <w:i/>
          <w:iCs/>
        </w:rPr>
        <w:t>bhikkhu</w:t>
      </w:r>
      <w:r w:rsidRPr="00F60ACE">
        <w:rPr>
          <w:i/>
          <w:iCs/>
        </w:rPr>
        <w:t>s</w:t>
      </w:r>
      <w:proofErr w:type="spellEnd"/>
      <w:r>
        <w:t xml:space="preserve"> </w:t>
      </w:r>
      <w:r w:rsidR="00A93738">
        <w:t>se encontraban</w:t>
      </w:r>
      <w:r>
        <w:t xml:space="preserve"> sentados juntos recitando un </w:t>
      </w:r>
      <w:proofErr w:type="spellStart"/>
      <w:r w:rsidRPr="00F60ACE">
        <w:rPr>
          <w:i/>
          <w:iCs/>
        </w:rPr>
        <w:t>suttanta</w:t>
      </w:r>
      <w:proofErr w:type="spellEnd"/>
      <w:r>
        <w:t xml:space="preserve">. Cuando un </w:t>
      </w:r>
      <w:proofErr w:type="spellStart"/>
      <w:r w:rsidR="00057BF4" w:rsidRPr="00057BF4">
        <w:rPr>
          <w:i/>
          <w:iCs/>
        </w:rPr>
        <w:t>bhikkhu</w:t>
      </w:r>
      <w:proofErr w:type="spellEnd"/>
      <w:r>
        <w:t xml:space="preserve"> pregunt</w:t>
      </w:r>
      <w:r w:rsidR="00A93738">
        <w:t>ó</w:t>
      </w:r>
      <w:r>
        <w:t>: “¿</w:t>
      </w:r>
      <w:r w:rsidR="00A93738">
        <w:t xml:space="preserve">Qué le </w:t>
      </w:r>
      <w:r>
        <w:t xml:space="preserve">parece este </w:t>
      </w:r>
      <w:proofErr w:type="spellStart"/>
      <w:r w:rsidRPr="00F60ACE">
        <w:rPr>
          <w:i/>
          <w:iCs/>
        </w:rPr>
        <w:t>sutta</w:t>
      </w:r>
      <w:proofErr w:type="spellEnd"/>
      <w:r>
        <w:t xml:space="preserve">?” </w:t>
      </w:r>
      <w:r w:rsidR="00A93738">
        <w:t xml:space="preserve">y alguien </w:t>
      </w:r>
      <w:r>
        <w:t>di</w:t>
      </w:r>
      <w:r w:rsidR="00A93738">
        <w:t>jo</w:t>
      </w:r>
      <w:r>
        <w:t>: “Me parece como un gran torrente de montaña</w:t>
      </w:r>
      <w:r w:rsidR="00A93738">
        <w:t>s</w:t>
      </w:r>
      <w:r>
        <w:t xml:space="preserve">”, otro “Para mí es como una línea de árboles del bosque”, otro “Para mí es como un árbol frutal que se extiende y da sombra fresca”. </w:t>
      </w:r>
      <w:r w:rsidR="002B3221">
        <w:t xml:space="preserve">El hecho de que </w:t>
      </w:r>
      <w:r>
        <w:t xml:space="preserve">el </w:t>
      </w:r>
      <w:r w:rsidR="002B3221">
        <w:t xml:space="preserve">mismo </w:t>
      </w:r>
      <w:proofErr w:type="spellStart"/>
      <w:r w:rsidRPr="00F60ACE">
        <w:rPr>
          <w:i/>
          <w:iCs/>
        </w:rPr>
        <w:t>sutta</w:t>
      </w:r>
      <w:proofErr w:type="spellEnd"/>
      <w:r>
        <w:t xml:space="preserve"> les pare</w:t>
      </w:r>
      <w:r w:rsidR="002B3221">
        <w:t>zca</w:t>
      </w:r>
      <w:r>
        <w:t xml:space="preserve"> diferente </w:t>
      </w:r>
      <w:r w:rsidR="002B3221">
        <w:t xml:space="preserve">se debe </w:t>
      </w:r>
      <w:r>
        <w:t>a la</w:t>
      </w:r>
      <w:r w:rsidR="00555FE5">
        <w:t>s</w:t>
      </w:r>
      <w:r>
        <w:t xml:space="preserve"> diferencia</w:t>
      </w:r>
      <w:r w:rsidR="00555FE5">
        <w:t>s</w:t>
      </w:r>
      <w:r>
        <w:t xml:space="preserve"> en su</w:t>
      </w:r>
      <w:r w:rsidR="00555FE5">
        <w:t>s</w:t>
      </w:r>
      <w:r>
        <w:t xml:space="preserve"> percepci</w:t>
      </w:r>
      <w:r w:rsidR="00555FE5">
        <w:t>o</w:t>
      </w:r>
      <w:r>
        <w:t>n</w:t>
      </w:r>
      <w:r w:rsidR="00555FE5">
        <w:t>es</w:t>
      </w:r>
      <w:r>
        <w:t xml:space="preserve">. De manera similar, este único </w:t>
      </w:r>
      <w:r w:rsidR="002B3221">
        <w:t xml:space="preserve">objeto </w:t>
      </w:r>
      <w:r>
        <w:t>de meditación aparece</w:t>
      </w:r>
      <w:r w:rsidR="002B3221">
        <w:t>rá</w:t>
      </w:r>
      <w:r>
        <w:t xml:space="preserve"> de manera diferente debido a la</w:t>
      </w:r>
      <w:r w:rsidR="0087122D">
        <w:t>s</w:t>
      </w:r>
      <w:r>
        <w:t xml:space="preserve"> diferencia</w:t>
      </w:r>
      <w:r w:rsidR="0087122D">
        <w:t>s</w:t>
      </w:r>
      <w:r>
        <w:t xml:space="preserve"> </w:t>
      </w:r>
      <w:r w:rsidR="0087122D">
        <w:t xml:space="preserve">de </w:t>
      </w:r>
      <w:r>
        <w:t>la percepción.</w:t>
      </w:r>
      <w:r w:rsidRPr="004A2807">
        <w:rPr>
          <w:vertAlign w:val="superscript"/>
        </w:rPr>
        <w:t>60</w:t>
      </w:r>
      <w:r>
        <w:t xml:space="preserve"> </w:t>
      </w:r>
      <w:r w:rsidR="0087122D">
        <w:t xml:space="preserve">Surge </w:t>
      </w:r>
      <w:r>
        <w:t>de la percepción, su fuente es la percepción, es producido por la percepción. Por lo tanto, debe entenderse que cuando apare</w:t>
      </w:r>
      <w:r w:rsidR="0087122D">
        <w:t>zcan</w:t>
      </w:r>
      <w:r>
        <w:t xml:space="preserve"> diferente</w:t>
      </w:r>
      <w:r w:rsidR="0087122D">
        <w:t>s</w:t>
      </w:r>
      <w:r>
        <w:t xml:space="preserve"> </w:t>
      </w:r>
      <w:r w:rsidR="00555FE5">
        <w:t xml:space="preserve">signos </w:t>
      </w:r>
      <w:r w:rsidR="0087122D">
        <w:t>se debe</w:t>
      </w:r>
      <w:r w:rsidR="00555FE5">
        <w:t>rá</w:t>
      </w:r>
      <w:r w:rsidR="0087122D">
        <w:t xml:space="preserve"> a las </w:t>
      </w:r>
      <w:r>
        <w:t>diferencia</w:t>
      </w:r>
      <w:r w:rsidR="0087122D">
        <w:t>s</w:t>
      </w:r>
      <w:r>
        <w:t xml:space="preserve"> </w:t>
      </w:r>
      <w:r w:rsidR="0087122D">
        <w:t xml:space="preserve">de </w:t>
      </w:r>
      <w:r>
        <w:t>percepci</w:t>
      </w:r>
      <w:r w:rsidR="00555FE5">
        <w:t>o</w:t>
      </w:r>
      <w:r>
        <w:t>n</w:t>
      </w:r>
      <w:r w:rsidR="00555FE5">
        <w:t>es</w:t>
      </w:r>
      <w:r>
        <w:t>.</w:t>
      </w:r>
    </w:p>
    <w:p w14:paraId="2422B513" w14:textId="2773A964" w:rsidR="00F27CA6" w:rsidRDefault="00F27CA6" w:rsidP="00F27CA6">
      <w:r>
        <w:t xml:space="preserve">217. </w:t>
      </w:r>
      <w:r>
        <w:tab/>
        <w:t>Y aquí, la con</w:t>
      </w:r>
      <w:r w:rsidR="0087122D">
        <w:t>s</w:t>
      </w:r>
      <w:r>
        <w:t>ciencia que t</w:t>
      </w:r>
      <w:r w:rsidR="00AF00E1">
        <w:t>e</w:t>
      </w:r>
      <w:r>
        <w:t>n</w:t>
      </w:r>
      <w:r w:rsidR="00AF00E1">
        <w:t>ga a</w:t>
      </w:r>
      <w:r>
        <w:t xml:space="preserve"> la </w:t>
      </w:r>
      <w:r w:rsidR="00AF00E1">
        <w:t xml:space="preserve">inhalación </w:t>
      </w:r>
      <w:r>
        <w:t xml:space="preserve">como objeto </w:t>
      </w:r>
      <w:r w:rsidR="00AF00E1">
        <w:t xml:space="preserve">será </w:t>
      </w:r>
      <w:r>
        <w:t xml:space="preserve">una, la </w:t>
      </w:r>
      <w:r w:rsidR="00305E12">
        <w:t>consciencia</w:t>
      </w:r>
      <w:r>
        <w:t xml:space="preserve"> que </w:t>
      </w:r>
      <w:r w:rsidR="00AF00E1">
        <w:t>tenga</w:t>
      </w:r>
      <w:r>
        <w:t xml:space="preserve"> la </w:t>
      </w:r>
      <w:r w:rsidR="00AF00E1">
        <w:t xml:space="preserve">exhalación </w:t>
      </w:r>
      <w:r>
        <w:t xml:space="preserve">como objeto </w:t>
      </w:r>
      <w:r w:rsidR="00AF00E1">
        <w:t>será</w:t>
      </w:r>
      <w:r>
        <w:t xml:space="preserve"> otra, y la con</w:t>
      </w:r>
      <w:r w:rsidR="00555FE5">
        <w:t>s</w:t>
      </w:r>
      <w:r>
        <w:t xml:space="preserve">ciencia que </w:t>
      </w:r>
      <w:r w:rsidR="00AF00E1">
        <w:t xml:space="preserve">tenga </w:t>
      </w:r>
      <w:r>
        <w:t xml:space="preserve">el signo como objeto </w:t>
      </w:r>
      <w:r w:rsidR="00AF00E1">
        <w:t xml:space="preserve">será </w:t>
      </w:r>
      <w:r>
        <w:t xml:space="preserve">otra. </w:t>
      </w:r>
      <w:r w:rsidR="00AF00E1">
        <w:t xml:space="preserve">Ya </w:t>
      </w:r>
      <w:r>
        <w:t xml:space="preserve">que el </w:t>
      </w:r>
      <w:r w:rsidR="00AF00E1">
        <w:t>objeto</w:t>
      </w:r>
      <w:r>
        <w:t xml:space="preserve"> de meditación no alcanza</w:t>
      </w:r>
      <w:r w:rsidR="00AF00E1">
        <w:t>rá</w:t>
      </w:r>
      <w:r>
        <w:t xml:space="preserve"> ni la absorción ni siquiera el acceso en aquel que no </w:t>
      </w:r>
      <w:r w:rsidR="00AF00E1">
        <w:t xml:space="preserve">posea </w:t>
      </w:r>
      <w:r>
        <w:t xml:space="preserve">estas tres cosas claras. </w:t>
      </w:r>
      <w:r w:rsidR="004C38B5">
        <w:t xml:space="preserve">No obstante, él </w:t>
      </w:r>
      <w:r>
        <w:t>alcanza</w:t>
      </w:r>
      <w:r w:rsidR="004C38B5">
        <w:t>rá</w:t>
      </w:r>
      <w:r>
        <w:t xml:space="preserve"> el acceso y también la absorción </w:t>
      </w:r>
      <w:r w:rsidR="004C38B5">
        <w:t>si posee</w:t>
      </w:r>
      <w:r>
        <w:t xml:space="preserve"> estas tres cosas claras. Por est</w:t>
      </w:r>
      <w:r w:rsidR="0042568D">
        <w:t>a razón</w:t>
      </w:r>
      <w:r>
        <w:t xml:space="preserve"> se dice:</w:t>
      </w:r>
    </w:p>
    <w:p w14:paraId="62896FFE" w14:textId="638F507F" w:rsidR="00F27CA6" w:rsidRPr="00555FE5" w:rsidRDefault="00F27CA6" w:rsidP="00F27CA6">
      <w:pPr>
        <w:pStyle w:val="VersoIngls01Sangria"/>
        <w:rPr>
          <w:sz w:val="16"/>
          <w:szCs w:val="20"/>
        </w:rPr>
      </w:pPr>
      <w:r w:rsidRPr="00555FE5">
        <w:rPr>
          <w:sz w:val="16"/>
          <w:szCs w:val="20"/>
        </w:rPr>
        <w:t>“</w:t>
      </w:r>
      <w:r w:rsidR="0042568D" w:rsidRPr="00555FE5">
        <w:rPr>
          <w:sz w:val="16"/>
          <w:szCs w:val="20"/>
        </w:rPr>
        <w:t>El signo</w:t>
      </w:r>
      <w:r w:rsidRPr="00555FE5">
        <w:rPr>
          <w:sz w:val="16"/>
          <w:szCs w:val="20"/>
        </w:rPr>
        <w:t xml:space="preserve">, </w:t>
      </w:r>
      <w:r w:rsidR="0042568D" w:rsidRPr="00555FE5">
        <w:rPr>
          <w:sz w:val="16"/>
          <w:szCs w:val="20"/>
        </w:rPr>
        <w:t xml:space="preserve">la </w:t>
      </w:r>
      <w:r w:rsidRPr="00555FE5">
        <w:rPr>
          <w:sz w:val="16"/>
          <w:szCs w:val="20"/>
        </w:rPr>
        <w:t>inhalación</w:t>
      </w:r>
      <w:r w:rsidR="00EA18F7" w:rsidRPr="00555FE5">
        <w:rPr>
          <w:sz w:val="16"/>
          <w:szCs w:val="20"/>
        </w:rPr>
        <w:t xml:space="preserve"> y</w:t>
      </w:r>
      <w:r w:rsidRPr="00555FE5">
        <w:rPr>
          <w:sz w:val="16"/>
          <w:szCs w:val="20"/>
        </w:rPr>
        <w:t xml:space="preserve"> </w:t>
      </w:r>
      <w:r w:rsidR="0042568D" w:rsidRPr="00555FE5">
        <w:rPr>
          <w:sz w:val="16"/>
          <w:szCs w:val="20"/>
        </w:rPr>
        <w:t xml:space="preserve">la </w:t>
      </w:r>
      <w:r w:rsidRPr="00555FE5">
        <w:rPr>
          <w:sz w:val="16"/>
          <w:szCs w:val="20"/>
        </w:rPr>
        <w:t>exhalación no son objeto</w:t>
      </w:r>
    </w:p>
    <w:p w14:paraId="4D9A5829" w14:textId="0C0FF1FB" w:rsidR="00F27CA6" w:rsidRPr="00555FE5" w:rsidRDefault="00F27CA6" w:rsidP="00F27CA6">
      <w:pPr>
        <w:pStyle w:val="VersoIngls01Sangria"/>
        <w:rPr>
          <w:sz w:val="16"/>
          <w:szCs w:val="20"/>
        </w:rPr>
      </w:pPr>
      <w:r w:rsidRPr="00555FE5">
        <w:rPr>
          <w:sz w:val="16"/>
          <w:szCs w:val="20"/>
        </w:rPr>
        <w:t>de una sola con</w:t>
      </w:r>
      <w:r w:rsidR="00EA18F7" w:rsidRPr="00555FE5">
        <w:rPr>
          <w:sz w:val="16"/>
          <w:szCs w:val="20"/>
        </w:rPr>
        <w:t>s</w:t>
      </w:r>
      <w:r w:rsidRPr="00555FE5">
        <w:rPr>
          <w:sz w:val="16"/>
          <w:szCs w:val="20"/>
        </w:rPr>
        <w:t>ciencia;</w:t>
      </w:r>
    </w:p>
    <w:p w14:paraId="35350485" w14:textId="56704083" w:rsidR="00F27CA6" w:rsidRPr="00555FE5" w:rsidRDefault="00EA18F7" w:rsidP="00F27CA6">
      <w:pPr>
        <w:pStyle w:val="VersoIngls01Sangria"/>
        <w:rPr>
          <w:sz w:val="16"/>
          <w:szCs w:val="20"/>
        </w:rPr>
      </w:pPr>
      <w:r w:rsidRPr="00555FE5">
        <w:rPr>
          <w:sz w:val="16"/>
          <w:szCs w:val="20"/>
        </w:rPr>
        <w:t>al no conocer</w:t>
      </w:r>
      <w:r w:rsidR="00F27CA6" w:rsidRPr="00555FE5">
        <w:rPr>
          <w:sz w:val="16"/>
          <w:szCs w:val="20"/>
        </w:rPr>
        <w:t xml:space="preserve"> estas tres cosas</w:t>
      </w:r>
    </w:p>
    <w:p w14:paraId="4DFB442C" w14:textId="4E88DF30" w:rsidR="00F27CA6" w:rsidRPr="00555FE5" w:rsidRDefault="00F27CA6" w:rsidP="00F27CA6">
      <w:pPr>
        <w:pStyle w:val="VersoIngls01Sangria"/>
        <w:spacing w:after="100"/>
        <w:ind w:left="1418"/>
        <w:rPr>
          <w:sz w:val="16"/>
          <w:szCs w:val="20"/>
        </w:rPr>
      </w:pPr>
      <w:r w:rsidRPr="00555FE5">
        <w:rPr>
          <w:sz w:val="16"/>
          <w:szCs w:val="20"/>
        </w:rPr>
        <w:t xml:space="preserve">No se </w:t>
      </w:r>
      <w:r w:rsidR="00555FE5">
        <w:rPr>
          <w:sz w:val="16"/>
          <w:szCs w:val="20"/>
        </w:rPr>
        <w:t>logrará ningún</w:t>
      </w:r>
      <w:r w:rsidRPr="00555FE5">
        <w:rPr>
          <w:sz w:val="16"/>
          <w:szCs w:val="20"/>
        </w:rPr>
        <w:t xml:space="preserve"> desarrollo.</w:t>
      </w:r>
    </w:p>
    <w:p w14:paraId="3B732E5E" w14:textId="09B2E81D" w:rsidR="00F27CA6" w:rsidRPr="00555FE5" w:rsidRDefault="003A4F82" w:rsidP="00F27CA6">
      <w:pPr>
        <w:pStyle w:val="VersoIngls01Sangria"/>
        <w:rPr>
          <w:sz w:val="16"/>
          <w:szCs w:val="20"/>
        </w:rPr>
      </w:pPr>
      <w:r w:rsidRPr="00555FE5">
        <w:rPr>
          <w:sz w:val="16"/>
          <w:szCs w:val="20"/>
        </w:rPr>
        <w:t>El signo</w:t>
      </w:r>
      <w:r w:rsidR="00F27CA6" w:rsidRPr="00555FE5">
        <w:rPr>
          <w:sz w:val="16"/>
          <w:szCs w:val="20"/>
        </w:rPr>
        <w:t xml:space="preserve">, </w:t>
      </w:r>
      <w:r w:rsidRPr="00555FE5">
        <w:rPr>
          <w:sz w:val="16"/>
          <w:szCs w:val="20"/>
        </w:rPr>
        <w:t xml:space="preserve">la </w:t>
      </w:r>
      <w:r w:rsidR="00F27CA6" w:rsidRPr="00555FE5">
        <w:rPr>
          <w:sz w:val="16"/>
          <w:szCs w:val="20"/>
        </w:rPr>
        <w:t>inhalación</w:t>
      </w:r>
      <w:r w:rsidRPr="00555FE5">
        <w:rPr>
          <w:sz w:val="16"/>
          <w:szCs w:val="20"/>
        </w:rPr>
        <w:t xml:space="preserve"> y la</w:t>
      </w:r>
      <w:r w:rsidR="00F27CA6" w:rsidRPr="00555FE5">
        <w:rPr>
          <w:sz w:val="16"/>
          <w:szCs w:val="20"/>
        </w:rPr>
        <w:t xml:space="preserve"> exhalación no son objeto</w:t>
      </w:r>
    </w:p>
    <w:p w14:paraId="4CC69295" w14:textId="2F7F5390" w:rsidR="00F27CA6" w:rsidRPr="00555FE5" w:rsidRDefault="00F27CA6" w:rsidP="00F27CA6">
      <w:pPr>
        <w:pStyle w:val="VersoIngls01Sangria"/>
        <w:rPr>
          <w:sz w:val="16"/>
          <w:szCs w:val="20"/>
        </w:rPr>
      </w:pPr>
      <w:r w:rsidRPr="00555FE5">
        <w:rPr>
          <w:sz w:val="16"/>
          <w:szCs w:val="20"/>
        </w:rPr>
        <w:t>de una sola con</w:t>
      </w:r>
      <w:r w:rsidR="003A4F82" w:rsidRPr="00555FE5">
        <w:rPr>
          <w:sz w:val="16"/>
          <w:szCs w:val="20"/>
        </w:rPr>
        <w:t>s</w:t>
      </w:r>
      <w:r w:rsidRPr="00555FE5">
        <w:rPr>
          <w:sz w:val="16"/>
          <w:szCs w:val="20"/>
        </w:rPr>
        <w:t>ciencia;</w:t>
      </w:r>
    </w:p>
    <w:p w14:paraId="78F22E13" w14:textId="0E109303" w:rsidR="00F27CA6" w:rsidRPr="00555FE5" w:rsidRDefault="003A4F82" w:rsidP="00F27CA6">
      <w:pPr>
        <w:pStyle w:val="VersoIngls01Sangria"/>
        <w:rPr>
          <w:sz w:val="16"/>
          <w:szCs w:val="20"/>
        </w:rPr>
      </w:pPr>
      <w:r w:rsidRPr="00555FE5">
        <w:rPr>
          <w:sz w:val="16"/>
          <w:szCs w:val="20"/>
        </w:rPr>
        <w:t xml:space="preserve">Al conocer </w:t>
      </w:r>
      <w:r w:rsidR="00F27CA6" w:rsidRPr="00555FE5">
        <w:rPr>
          <w:sz w:val="16"/>
          <w:szCs w:val="20"/>
        </w:rPr>
        <w:t>estas tres cosas</w:t>
      </w:r>
    </w:p>
    <w:p w14:paraId="7DDE87D5" w14:textId="237F711F" w:rsidR="00F27CA6" w:rsidRPr="00555FE5" w:rsidRDefault="00F27CA6" w:rsidP="00F27CA6">
      <w:pPr>
        <w:pStyle w:val="VersoIngls01Sangria"/>
        <w:spacing w:after="100"/>
        <w:ind w:left="1418"/>
        <w:rPr>
          <w:sz w:val="16"/>
          <w:szCs w:val="20"/>
        </w:rPr>
      </w:pPr>
      <w:r w:rsidRPr="00555FE5">
        <w:rPr>
          <w:sz w:val="16"/>
          <w:szCs w:val="20"/>
        </w:rPr>
        <w:t xml:space="preserve">Se </w:t>
      </w:r>
      <w:r w:rsidR="003A4F82" w:rsidRPr="00555FE5">
        <w:rPr>
          <w:sz w:val="16"/>
          <w:szCs w:val="20"/>
        </w:rPr>
        <w:t xml:space="preserve">podrá </w:t>
      </w:r>
      <w:r w:rsidRPr="00555FE5">
        <w:rPr>
          <w:sz w:val="16"/>
          <w:szCs w:val="20"/>
        </w:rPr>
        <w:t>lograr el desarrollo” (</w:t>
      </w:r>
      <w:proofErr w:type="spellStart"/>
      <w:r w:rsidRPr="00555FE5">
        <w:rPr>
          <w:i/>
          <w:iCs/>
          <w:sz w:val="16"/>
          <w:szCs w:val="20"/>
        </w:rPr>
        <w:t>Paṭis</w:t>
      </w:r>
      <w:proofErr w:type="spellEnd"/>
      <w:r w:rsidRPr="00555FE5">
        <w:rPr>
          <w:sz w:val="16"/>
          <w:szCs w:val="20"/>
        </w:rPr>
        <w:t xml:space="preserve"> I 170). [286]</w:t>
      </w:r>
    </w:p>
    <w:p w14:paraId="5D0DFD2C" w14:textId="37696DCE" w:rsidR="00F27CA6" w:rsidRDefault="00F27CA6" w:rsidP="00F27CA6">
      <w:r>
        <w:t xml:space="preserve">218. </w:t>
      </w:r>
      <w:r>
        <w:tab/>
        <w:t xml:space="preserve">Y cuando </w:t>
      </w:r>
      <w:r w:rsidR="003A4F82">
        <w:t xml:space="preserve">el signo </w:t>
      </w:r>
      <w:r>
        <w:t>ha</w:t>
      </w:r>
      <w:r w:rsidR="003A4F82">
        <w:t>ya</w:t>
      </w:r>
      <w:r>
        <w:t xml:space="preserve"> aparecido </w:t>
      </w:r>
      <w:r w:rsidR="003A4F82">
        <w:t>así</w:t>
      </w:r>
      <w:r>
        <w:t xml:space="preserve">, el </w:t>
      </w:r>
      <w:proofErr w:type="spellStart"/>
      <w:r w:rsidR="00057BF4" w:rsidRPr="00057BF4">
        <w:rPr>
          <w:i/>
          <w:iCs/>
        </w:rPr>
        <w:t>bhikkhu</w:t>
      </w:r>
      <w:proofErr w:type="spellEnd"/>
      <w:r>
        <w:t xml:space="preserve"> debe</w:t>
      </w:r>
      <w:r w:rsidR="003A4F82">
        <w:t>rá</w:t>
      </w:r>
      <w:r>
        <w:t xml:space="preserve"> ir </w:t>
      </w:r>
      <w:r w:rsidR="003A4F82">
        <w:t>a</w:t>
      </w:r>
      <w:r>
        <w:t xml:space="preserve">donde el maestro y decirle, “Venerable </w:t>
      </w:r>
      <w:r w:rsidR="003A4F82">
        <w:t>Señor</w:t>
      </w:r>
      <w:r>
        <w:t xml:space="preserve">, tal y tal cosa me ha aparecido”. </w:t>
      </w:r>
      <w:r w:rsidR="003A4F82">
        <w:t xml:space="preserve">No obstante, </w:t>
      </w:r>
      <w:r>
        <w:t xml:space="preserve">[dicen los recitadores de </w:t>
      </w:r>
      <w:r w:rsidRPr="00F60ACE">
        <w:rPr>
          <w:i/>
          <w:iCs/>
        </w:rPr>
        <w:t>Dīgha</w:t>
      </w:r>
      <w:r>
        <w:t>] el maestro no debe decir ni “</w:t>
      </w:r>
      <w:r w:rsidR="00220094">
        <w:t>É</w:t>
      </w:r>
      <w:r>
        <w:t>ste es el signo” ni “</w:t>
      </w:r>
      <w:r w:rsidR="00220094">
        <w:t>É</w:t>
      </w:r>
      <w:r>
        <w:t>ste no es el signo”; después de decir</w:t>
      </w:r>
      <w:r w:rsidR="00220094">
        <w:t>le</w:t>
      </w:r>
      <w:r>
        <w:t xml:space="preserve"> “Así sucede, amigo”, debe</w:t>
      </w:r>
      <w:r w:rsidR="00555FE5">
        <w:t>rá</w:t>
      </w:r>
      <w:r>
        <w:t xml:space="preserve"> </w:t>
      </w:r>
      <w:r w:rsidR="00555FE5">
        <w:t>añadir</w:t>
      </w:r>
      <w:r>
        <w:t>: “Sig</w:t>
      </w:r>
      <w:r w:rsidR="00864AFE">
        <w:t>a</w:t>
      </w:r>
      <w:r>
        <w:t xml:space="preserve"> </w:t>
      </w:r>
      <w:r w:rsidR="00220094">
        <w:t>presta</w:t>
      </w:r>
      <w:r w:rsidR="00864AFE">
        <w:t xml:space="preserve">ndo </w:t>
      </w:r>
      <w:r>
        <w:t>atención una y otra vez”; porque si le dijera "</w:t>
      </w:r>
      <w:r w:rsidR="00555FE5">
        <w:t>É</w:t>
      </w:r>
      <w:r>
        <w:t>s</w:t>
      </w:r>
      <w:r w:rsidR="00555FE5">
        <w:t>e es</w:t>
      </w:r>
      <w:r>
        <w:t xml:space="preserve"> </w:t>
      </w:r>
      <w:r w:rsidR="00864AFE">
        <w:t>el signo</w:t>
      </w:r>
      <w:r>
        <w:t>", podría volverse complaciente y detenerse en e</w:t>
      </w:r>
      <w:r w:rsidR="00864AFE">
        <w:t>ll</w:t>
      </w:r>
      <w:r>
        <w:t>o (ver M I 193f.), y si le dijera "</w:t>
      </w:r>
      <w:r w:rsidR="00555FE5" w:rsidRPr="00555FE5">
        <w:t xml:space="preserve"> </w:t>
      </w:r>
      <w:r w:rsidR="00555FE5">
        <w:t>Ése n</w:t>
      </w:r>
      <w:r>
        <w:t xml:space="preserve">o es </w:t>
      </w:r>
      <w:r w:rsidR="00864AFE">
        <w:t>el signo</w:t>
      </w:r>
      <w:r>
        <w:t>", podría desanimarse y darse por vencido; por lo que debe</w:t>
      </w:r>
      <w:r w:rsidR="00555FE5">
        <w:t>rá</w:t>
      </w:r>
      <w:r>
        <w:t xml:space="preserve"> alentarlo a que </w:t>
      </w:r>
      <w:r w:rsidR="00864AFE">
        <w:t>pro</w:t>
      </w:r>
      <w:r>
        <w:t xml:space="preserve">siga prestándole atención </w:t>
      </w:r>
      <w:r w:rsidR="009B7C0F">
        <w:t xml:space="preserve">al objeto </w:t>
      </w:r>
      <w:r>
        <w:t>sin decir nada. Así dicen los recitadores de</w:t>
      </w:r>
      <w:r w:rsidR="00864AFE">
        <w:t>l</w:t>
      </w:r>
      <w:r>
        <w:t xml:space="preserve"> </w:t>
      </w:r>
      <w:r w:rsidRPr="004A2807">
        <w:rPr>
          <w:i/>
          <w:iCs/>
        </w:rPr>
        <w:t>Dīgha</w:t>
      </w:r>
      <w:r>
        <w:t xml:space="preserve">, en primer lugar. Pero los recitadores de </w:t>
      </w:r>
      <w:proofErr w:type="spellStart"/>
      <w:r w:rsidRPr="00F60ACE">
        <w:rPr>
          <w:i/>
          <w:iCs/>
        </w:rPr>
        <w:t>Majjhima</w:t>
      </w:r>
      <w:proofErr w:type="spellEnd"/>
      <w:r>
        <w:t xml:space="preserve"> dicen que se le debe decir: “</w:t>
      </w:r>
      <w:r w:rsidR="00864AFE">
        <w:t>É</w:t>
      </w:r>
      <w:r>
        <w:t>s</w:t>
      </w:r>
      <w:r w:rsidR="00864AFE">
        <w:t>e</w:t>
      </w:r>
      <w:r>
        <w:t xml:space="preserve"> es </w:t>
      </w:r>
      <w:r w:rsidR="00864AFE">
        <w:t>el signo</w:t>
      </w:r>
      <w:r>
        <w:t xml:space="preserve">, amigo. Bien hecho. </w:t>
      </w:r>
      <w:r w:rsidR="00864AFE">
        <w:t>Prosiga</w:t>
      </w:r>
      <w:r>
        <w:t xml:space="preserve"> prest</w:t>
      </w:r>
      <w:r w:rsidR="00864AFE">
        <w:t>a</w:t>
      </w:r>
      <w:r>
        <w:t xml:space="preserve">ndo atención </w:t>
      </w:r>
      <w:r w:rsidR="009B7C0F">
        <w:t xml:space="preserve">a su objeto </w:t>
      </w:r>
      <w:r>
        <w:t>una y otra vez”.</w:t>
      </w:r>
      <w:r w:rsidR="00555FE5">
        <w:t xml:space="preserve"> </w:t>
      </w:r>
    </w:p>
    <w:p w14:paraId="7CB6787E" w14:textId="67ABD34D" w:rsidR="00F27CA6" w:rsidRDefault="00F27CA6" w:rsidP="00F27CA6">
      <w:r>
        <w:t xml:space="preserve">219. </w:t>
      </w:r>
      <w:r>
        <w:tab/>
        <w:t xml:space="preserve">Entonces </w:t>
      </w:r>
      <w:r w:rsidR="009B7C0F">
        <w:t xml:space="preserve">él </w:t>
      </w:r>
      <w:r>
        <w:t>debe</w:t>
      </w:r>
      <w:r w:rsidR="009B7C0F">
        <w:t>rá</w:t>
      </w:r>
      <w:r>
        <w:t xml:space="preserve"> fijar su mente en ese mismo signo; y así, de </w:t>
      </w:r>
      <w:r w:rsidR="000E0434">
        <w:t xml:space="preserve">ahí </w:t>
      </w:r>
      <w:r>
        <w:t>en adelante, su desarrollo procede</w:t>
      </w:r>
      <w:r w:rsidR="000E0434">
        <w:t>rá</w:t>
      </w:r>
      <w:r>
        <w:t xml:space="preserve"> por medio de la fijación. Porque los </w:t>
      </w:r>
      <w:r w:rsidR="000E0434">
        <w:t xml:space="preserve">Venerables </w:t>
      </w:r>
      <w:r>
        <w:t>decían esto:</w:t>
      </w:r>
    </w:p>
    <w:p w14:paraId="7F396F1C" w14:textId="47983799" w:rsidR="00F27CA6" w:rsidRPr="00555FE5" w:rsidRDefault="00F27CA6" w:rsidP="00F27CA6">
      <w:pPr>
        <w:pStyle w:val="VersoIngls01Sangria"/>
        <w:rPr>
          <w:sz w:val="16"/>
          <w:szCs w:val="20"/>
        </w:rPr>
      </w:pPr>
      <w:r w:rsidRPr="00555FE5">
        <w:rPr>
          <w:sz w:val="16"/>
          <w:szCs w:val="20"/>
        </w:rPr>
        <w:t xml:space="preserve"> “Fijando su mente en </w:t>
      </w:r>
      <w:r w:rsidR="00BD53AB" w:rsidRPr="00555FE5">
        <w:rPr>
          <w:sz w:val="16"/>
          <w:szCs w:val="20"/>
        </w:rPr>
        <w:t>el signo</w:t>
      </w:r>
    </w:p>
    <w:p w14:paraId="59687065" w14:textId="2D6404E2" w:rsidR="00F27CA6" w:rsidRPr="00555FE5" w:rsidRDefault="00F27CA6" w:rsidP="00F27CA6">
      <w:pPr>
        <w:pStyle w:val="VersoIngls01Sangria"/>
        <w:rPr>
          <w:sz w:val="16"/>
          <w:szCs w:val="20"/>
        </w:rPr>
      </w:pPr>
      <w:r w:rsidRPr="00555FE5">
        <w:rPr>
          <w:sz w:val="16"/>
          <w:szCs w:val="20"/>
        </w:rPr>
        <w:t xml:space="preserve">y </w:t>
      </w:r>
      <w:r w:rsidR="00BD53AB" w:rsidRPr="00555FE5">
        <w:rPr>
          <w:sz w:val="16"/>
          <w:szCs w:val="20"/>
        </w:rPr>
        <w:t>poniendo a un lado</w:t>
      </w:r>
      <w:r w:rsidRPr="00555FE5">
        <w:rPr>
          <w:sz w:val="16"/>
          <w:szCs w:val="20"/>
          <w:vertAlign w:val="superscript"/>
        </w:rPr>
        <w:t>61</w:t>
      </w:r>
      <w:r w:rsidRPr="00555FE5">
        <w:rPr>
          <w:sz w:val="16"/>
          <w:szCs w:val="20"/>
        </w:rPr>
        <w:t xml:space="preserve"> </w:t>
      </w:r>
      <w:r w:rsidR="00555FE5">
        <w:rPr>
          <w:sz w:val="16"/>
          <w:szCs w:val="20"/>
        </w:rPr>
        <w:t xml:space="preserve">los </w:t>
      </w:r>
      <w:r w:rsidRPr="00555FE5">
        <w:rPr>
          <w:sz w:val="16"/>
          <w:szCs w:val="20"/>
        </w:rPr>
        <w:t>aspectos extraños,</w:t>
      </w:r>
    </w:p>
    <w:p w14:paraId="16ACA9D6" w14:textId="77777777" w:rsidR="00F27CA6" w:rsidRPr="00555FE5" w:rsidRDefault="00F27CA6" w:rsidP="00F27CA6">
      <w:pPr>
        <w:pStyle w:val="VersoIngls01Sangria"/>
        <w:rPr>
          <w:sz w:val="16"/>
          <w:szCs w:val="20"/>
        </w:rPr>
      </w:pPr>
      <w:r w:rsidRPr="00555FE5">
        <w:rPr>
          <w:sz w:val="16"/>
          <w:szCs w:val="20"/>
        </w:rPr>
        <w:t>El hombre inteligente ancla su mente</w:t>
      </w:r>
    </w:p>
    <w:p w14:paraId="78FC33BB" w14:textId="14CFA21A" w:rsidR="00F27CA6" w:rsidRPr="00555FE5" w:rsidRDefault="00F27CA6" w:rsidP="00F27CA6">
      <w:pPr>
        <w:pStyle w:val="VersoIngls01Sangria"/>
        <w:rPr>
          <w:sz w:val="16"/>
          <w:szCs w:val="20"/>
        </w:rPr>
      </w:pPr>
      <w:r w:rsidRPr="00555FE5">
        <w:rPr>
          <w:sz w:val="16"/>
          <w:szCs w:val="20"/>
        </w:rPr>
        <w:t xml:space="preserve">Sobre la </w:t>
      </w:r>
      <w:r w:rsidR="00BD53AB" w:rsidRPr="00555FE5">
        <w:rPr>
          <w:sz w:val="16"/>
          <w:szCs w:val="20"/>
        </w:rPr>
        <w:t>inhalación y exhalación</w:t>
      </w:r>
      <w:r w:rsidRPr="00555FE5">
        <w:rPr>
          <w:sz w:val="16"/>
          <w:szCs w:val="20"/>
        </w:rPr>
        <w:t>.”</w:t>
      </w:r>
    </w:p>
    <w:p w14:paraId="7EC5DDDD" w14:textId="0BC22D63" w:rsidR="00F27CA6" w:rsidRDefault="00F27CA6" w:rsidP="00F27CA6">
      <w:pPr>
        <w:pStyle w:val="Piedepgina"/>
        <w:rPr>
          <w:u w:val="single"/>
        </w:rPr>
      </w:pPr>
      <w:r>
        <w:rPr>
          <w:u w:val="single"/>
        </w:rPr>
        <w:t xml:space="preserve">                                                                                                                                                                          .</w:t>
      </w:r>
    </w:p>
    <w:p w14:paraId="4BB39308" w14:textId="7EAEA83B" w:rsidR="00F27CA6" w:rsidRDefault="00F27CA6" w:rsidP="00F27CA6">
      <w:pPr>
        <w:pStyle w:val="PiedepginaLegal"/>
        <w:tabs>
          <w:tab w:val="clear" w:pos="6804"/>
        </w:tabs>
        <w:ind w:right="1043"/>
      </w:pPr>
      <w:r>
        <w:t xml:space="preserve">60. </w:t>
      </w:r>
      <w:r>
        <w:tab/>
        <w:t xml:space="preserve">“‘Debido a la diferencia </w:t>
      </w:r>
      <w:r w:rsidR="00391827">
        <w:t>de</w:t>
      </w:r>
      <w:r>
        <w:t xml:space="preserve"> la percepción’: debido a la diferencia en la manera de percibir ocurri</w:t>
      </w:r>
      <w:r w:rsidR="00DA0DDE">
        <w:t>da</w:t>
      </w:r>
      <w:r>
        <w:t xml:space="preserve"> antes del surgimiento del signo” (</w:t>
      </w:r>
      <w:proofErr w:type="spellStart"/>
      <w:r>
        <w:t>Vism-mhṭ</w:t>
      </w:r>
      <w:proofErr w:type="spellEnd"/>
      <w:r>
        <w:t xml:space="preserve"> 273).</w:t>
      </w:r>
    </w:p>
    <w:p w14:paraId="5392B0AF" w14:textId="761F46C1" w:rsidR="00F27CA6" w:rsidRDefault="00F27CA6" w:rsidP="00F27CA6">
      <w:pPr>
        <w:pStyle w:val="PiedepginaLegal"/>
        <w:tabs>
          <w:tab w:val="clear" w:pos="6804"/>
        </w:tabs>
        <w:ind w:right="1043"/>
      </w:pPr>
      <w:r>
        <w:t xml:space="preserve">61. </w:t>
      </w:r>
      <w:r>
        <w:tab/>
      </w:r>
      <w:proofErr w:type="spellStart"/>
      <w:r w:rsidRPr="00F60ACE">
        <w:rPr>
          <w:i/>
          <w:iCs/>
        </w:rPr>
        <w:t>Vibhāvayaṃ</w:t>
      </w:r>
      <w:proofErr w:type="spellEnd"/>
      <w:r>
        <w:t xml:space="preserve"> puede significar “acabar con” o “explicar”. Cualquiera es aplicable aquí según </w:t>
      </w:r>
      <w:r w:rsidR="008872E2">
        <w:t xml:space="preserve">el </w:t>
      </w:r>
      <w:proofErr w:type="spellStart"/>
      <w:r>
        <w:t>Vism-mhṭ</w:t>
      </w:r>
      <w:proofErr w:type="spellEnd"/>
      <w:r>
        <w:t xml:space="preserve"> 274.</w:t>
      </w:r>
      <w:r>
        <w:br w:type="page"/>
      </w:r>
    </w:p>
    <w:p w14:paraId="51BEFC59" w14:textId="0DA48F94" w:rsidR="00476FF5" w:rsidRDefault="00476FF5" w:rsidP="00476FF5"/>
    <w:p w14:paraId="4F90213F" w14:textId="054A4EB1" w:rsidR="00476FF5" w:rsidRDefault="00476FF5" w:rsidP="00476FF5">
      <w:r>
        <w:t xml:space="preserve">220. </w:t>
      </w:r>
      <w:r>
        <w:tab/>
        <w:t>Así que tan pronto como apare</w:t>
      </w:r>
      <w:r w:rsidR="00BD53AB">
        <w:t>zca</w:t>
      </w:r>
      <w:r>
        <w:t xml:space="preserve"> </w:t>
      </w:r>
      <w:r w:rsidR="00BD53AB">
        <w:t>el signo</w:t>
      </w:r>
      <w:r>
        <w:t xml:space="preserve">, sus obstáculos </w:t>
      </w:r>
      <w:r w:rsidR="00BD53AB">
        <w:t xml:space="preserve">serán </w:t>
      </w:r>
      <w:r>
        <w:t>suprimidos, sus impurezas disminu</w:t>
      </w:r>
      <w:r w:rsidR="00BD53AB">
        <w:t>irá</w:t>
      </w:r>
      <w:r>
        <w:t>n, su atención se establece</w:t>
      </w:r>
      <w:r w:rsidR="00BD53AB">
        <w:t>rá</w:t>
      </w:r>
      <w:r>
        <w:t xml:space="preserve"> y su </w:t>
      </w:r>
      <w:r w:rsidR="00305E12">
        <w:t>consciencia</w:t>
      </w:r>
      <w:r>
        <w:t xml:space="preserve"> se concentra</w:t>
      </w:r>
      <w:r w:rsidR="00BD53AB">
        <w:t>rá</w:t>
      </w:r>
      <w:r>
        <w:t xml:space="preserve"> en la concentración de acceso.</w:t>
      </w:r>
    </w:p>
    <w:p w14:paraId="67585151" w14:textId="2388745A" w:rsidR="00476FF5" w:rsidRDefault="00476FF5" w:rsidP="00476FF5">
      <w:r>
        <w:t xml:space="preserve">221. </w:t>
      </w:r>
      <w:r>
        <w:tab/>
        <w:t xml:space="preserve">Entonces </w:t>
      </w:r>
      <w:r w:rsidR="001E4ACE">
        <w:t xml:space="preserve">él </w:t>
      </w:r>
      <w:r>
        <w:t>no debe</w:t>
      </w:r>
      <w:r w:rsidR="001E4ACE">
        <w:t>rá</w:t>
      </w:r>
      <w:r>
        <w:t xml:space="preserve"> prestar atención al signo en cuanto a su color, ni </w:t>
      </w:r>
      <w:r w:rsidR="00D15620">
        <w:t>examinarlo</w:t>
      </w:r>
      <w:r>
        <w:t xml:space="preserve"> en cuanto a su característica específica. Debe</w:t>
      </w:r>
      <w:r w:rsidR="00D15620">
        <w:t>rá</w:t>
      </w:r>
      <w:r>
        <w:t xml:space="preserve"> </w:t>
      </w:r>
      <w:r w:rsidR="005F310A">
        <w:t>preservarlo</w:t>
      </w:r>
      <w:r>
        <w:t xml:space="preserve"> tan cuidadosamente como la reina principal de un rey </w:t>
      </w:r>
      <w:r w:rsidR="005F310A">
        <w:t xml:space="preserve">preserva </w:t>
      </w:r>
      <w:r>
        <w:t xml:space="preserve">en su vientre </w:t>
      </w:r>
      <w:r w:rsidR="00E65725">
        <w:t xml:space="preserve">al bebé </w:t>
      </w:r>
      <w:r>
        <w:t xml:space="preserve">que se convertirá en un Monarca </w:t>
      </w:r>
      <w:r w:rsidR="00E65725">
        <w:t xml:space="preserve">y </w:t>
      </w:r>
      <w:r>
        <w:t>que ha</w:t>
      </w:r>
      <w:r w:rsidR="00E65725">
        <w:t>rá</w:t>
      </w:r>
      <w:r>
        <w:t xml:space="preserve"> girar la Rueda,</w:t>
      </w:r>
      <w:r w:rsidRPr="004A2807">
        <w:rPr>
          <w:vertAlign w:val="superscript"/>
        </w:rPr>
        <w:t>62</w:t>
      </w:r>
      <w:r>
        <w:t xml:space="preserve"> o como un agricultor </w:t>
      </w:r>
      <w:r w:rsidR="00070763">
        <w:t xml:space="preserve">que </w:t>
      </w:r>
      <w:r>
        <w:t>guard</w:t>
      </w:r>
      <w:r w:rsidR="00070763">
        <w:t>e</w:t>
      </w:r>
      <w:r>
        <w:t xml:space="preserve"> los cultivos maduros; y debe</w:t>
      </w:r>
      <w:r w:rsidR="00070763">
        <w:t>rá</w:t>
      </w:r>
      <w:r>
        <w:t xml:space="preserve"> evitar las siete cosas inadecuadas comenzando con </w:t>
      </w:r>
      <w:r w:rsidR="00070763">
        <w:t xml:space="preserve">una vivienda </w:t>
      </w:r>
      <w:r>
        <w:t xml:space="preserve">inadecuada y cultivar las siete cosas adecuadas. Luego, </w:t>
      </w:r>
      <w:r w:rsidR="005F310A">
        <w:t>preservándolo</w:t>
      </w:r>
      <w:r>
        <w:t xml:space="preserve"> así, debe</w:t>
      </w:r>
      <w:r w:rsidR="005F310A">
        <w:t>rá</w:t>
      </w:r>
      <w:r>
        <w:t xml:space="preserve"> hacerlo crecer y mejorar con atención </w:t>
      </w:r>
      <w:r w:rsidR="000976E9">
        <w:t>persistente</w:t>
      </w:r>
      <w:r>
        <w:t>, y debe</w:t>
      </w:r>
      <w:r w:rsidR="00070763">
        <w:t>rá</w:t>
      </w:r>
      <w:r>
        <w:t xml:space="preserve"> practicar </w:t>
      </w:r>
      <w:r w:rsidR="00070763">
        <w:t xml:space="preserve">las diez </w:t>
      </w:r>
      <w:r>
        <w:t>habilidad</w:t>
      </w:r>
      <w:r w:rsidR="00070763">
        <w:t>es</w:t>
      </w:r>
      <w:r>
        <w:t xml:space="preserve"> en la absorción (IV.42) y lograr </w:t>
      </w:r>
      <w:r w:rsidR="007E436D">
        <w:t xml:space="preserve">homogenizar </w:t>
      </w:r>
      <w:r>
        <w:t>la energía (IV.66).</w:t>
      </w:r>
    </w:p>
    <w:p w14:paraId="42346BB0" w14:textId="7F94F836" w:rsidR="00476FF5" w:rsidRDefault="00476FF5" w:rsidP="00476FF5">
      <w:r>
        <w:t xml:space="preserve">222. </w:t>
      </w:r>
      <w:r>
        <w:tab/>
        <w:t>A medida que se esfuer</w:t>
      </w:r>
      <w:r w:rsidR="007E436D">
        <w:t>ce</w:t>
      </w:r>
      <w:r>
        <w:t xml:space="preserve"> así, logra</w:t>
      </w:r>
      <w:r w:rsidR="007E436D">
        <w:t>rá el cuarto y quinto</w:t>
      </w:r>
      <w:r>
        <w:t xml:space="preserve"> </w:t>
      </w:r>
      <w:proofErr w:type="spellStart"/>
      <w:r w:rsidR="00057BF4" w:rsidRPr="00057BF4">
        <w:rPr>
          <w:i/>
          <w:iCs/>
        </w:rPr>
        <w:t>jhāna</w:t>
      </w:r>
      <w:proofErr w:type="spellEnd"/>
      <w:r>
        <w:t xml:space="preserve"> en ese mismo signo </w:t>
      </w:r>
      <w:r w:rsidR="003C4074">
        <w:t xml:space="preserve">y </w:t>
      </w:r>
      <w:r>
        <w:t xml:space="preserve">de la misma manera que se describe bajo el </w:t>
      </w:r>
      <w:r w:rsidR="007E436D">
        <w:t xml:space="preserve">título del </w:t>
      </w:r>
      <w:proofErr w:type="spellStart"/>
      <w:r w:rsidR="00057BF4" w:rsidRPr="00057BF4">
        <w:rPr>
          <w:i/>
          <w:iCs/>
        </w:rPr>
        <w:t>kasiṇa</w:t>
      </w:r>
      <w:proofErr w:type="spellEnd"/>
      <w:r>
        <w:t xml:space="preserve"> tierra.</w:t>
      </w:r>
    </w:p>
    <w:p w14:paraId="701421EA" w14:textId="27FC6D94" w:rsidR="00476FF5" w:rsidRDefault="00476FF5" w:rsidP="00476FF5">
      <w:pPr>
        <w:pStyle w:val="NormalConSangria"/>
      </w:pPr>
      <w:r w:rsidRPr="003C4074">
        <w:rPr>
          <w:i/>
          <w:iCs/>
        </w:rPr>
        <w:t>5–8.</w:t>
      </w:r>
      <w:r>
        <w:t xml:space="preserve"> (Ver §189) Sin embargo, cuando un </w:t>
      </w:r>
      <w:proofErr w:type="spellStart"/>
      <w:r w:rsidR="00057BF4" w:rsidRPr="00057BF4">
        <w:rPr>
          <w:i/>
          <w:iCs/>
        </w:rPr>
        <w:t>bhikkhu</w:t>
      </w:r>
      <w:proofErr w:type="spellEnd"/>
      <w:r>
        <w:t xml:space="preserve"> ha</w:t>
      </w:r>
      <w:r w:rsidR="007E436D">
        <w:t>ya</w:t>
      </w:r>
      <w:r>
        <w:t xml:space="preserve"> logrado </w:t>
      </w:r>
      <w:r w:rsidR="007E436D">
        <w:t>el cuarto y quinto</w:t>
      </w:r>
      <w:r>
        <w:t xml:space="preserve"> </w:t>
      </w:r>
      <w:proofErr w:type="spellStart"/>
      <w:r w:rsidR="00057BF4" w:rsidRPr="00057BF4">
        <w:rPr>
          <w:i/>
          <w:iCs/>
        </w:rPr>
        <w:t>jhāna</w:t>
      </w:r>
      <w:proofErr w:type="spellEnd"/>
      <w:r>
        <w:t xml:space="preserve"> y quier</w:t>
      </w:r>
      <w:r w:rsidR="007E436D">
        <w:t>a</w:t>
      </w:r>
      <w:r>
        <w:t xml:space="preserve"> alcanzar la pureza desarrollando el </w:t>
      </w:r>
      <w:r w:rsidR="007E436D">
        <w:t xml:space="preserve">objeto </w:t>
      </w:r>
      <w:r>
        <w:t xml:space="preserve">de meditación a través de la observación y </w:t>
      </w:r>
      <w:r w:rsidRPr="00682961">
        <w:rPr>
          <w:i/>
          <w:iCs/>
        </w:rPr>
        <w:t>apartándose</w:t>
      </w:r>
      <w:r>
        <w:t>, debe</w:t>
      </w:r>
      <w:r w:rsidR="007E436D">
        <w:t>rá</w:t>
      </w:r>
      <w:r>
        <w:t xml:space="preserve"> familiarizarse con ese </w:t>
      </w:r>
      <w:proofErr w:type="spellStart"/>
      <w:r w:rsidR="00057BF4" w:rsidRPr="00057BF4">
        <w:rPr>
          <w:i/>
          <w:iCs/>
        </w:rPr>
        <w:t>jhāna</w:t>
      </w:r>
      <w:proofErr w:type="spellEnd"/>
      <w:r>
        <w:t xml:space="preserve"> logrando la maestría en las cinco formas (IV.131), y luego emprender la </w:t>
      </w:r>
      <w:r w:rsidR="00805002">
        <w:t xml:space="preserve">práctica de la </w:t>
      </w:r>
      <w:r w:rsidR="00805002" w:rsidRPr="00527EA6">
        <w:t>sabid</w:t>
      </w:r>
      <w:r w:rsidR="00805002">
        <w:t>uría–revelativa</w:t>
      </w:r>
      <w:r w:rsidR="007E436D">
        <w:t xml:space="preserve"> </w:t>
      </w:r>
      <w:r>
        <w:t xml:space="preserve">definiendo </w:t>
      </w:r>
      <w:r w:rsidR="006208D8">
        <w:t xml:space="preserve">la </w:t>
      </w:r>
      <w:r>
        <w:t>mentalidad-materialidad. ¿Cómo?</w:t>
      </w:r>
    </w:p>
    <w:p w14:paraId="4F660C30" w14:textId="166B3B46" w:rsidR="00476FF5" w:rsidRDefault="00476FF5" w:rsidP="00476FF5">
      <w:r>
        <w:t xml:space="preserve">223. </w:t>
      </w:r>
      <w:r>
        <w:tab/>
        <w:t>Al emerger de</w:t>
      </w:r>
      <w:r w:rsidR="001904B5">
        <w:t xml:space="preserve"> este</w:t>
      </w:r>
      <w:r>
        <w:t xml:space="preserve"> logro, [287] ve</w:t>
      </w:r>
      <w:r w:rsidR="006208D8">
        <w:t>rá</w:t>
      </w:r>
      <w:r>
        <w:t xml:space="preserve"> que la </w:t>
      </w:r>
      <w:r w:rsidR="006208D8">
        <w:t xml:space="preserve">inhalación y exhalación tendrán </w:t>
      </w:r>
      <w:r>
        <w:t xml:space="preserve">como origen el cuerpo físico y la mente; y que así como, cuando se sopla el fuelle de un herrero, el viento se mueve debido a la bolsa y al esfuerzo apropiado del hombre, así también, </w:t>
      </w:r>
      <w:r w:rsidR="00614750">
        <w:t xml:space="preserve">se verá que </w:t>
      </w:r>
      <w:r>
        <w:t xml:space="preserve">la </w:t>
      </w:r>
      <w:r w:rsidR="006208D8">
        <w:t xml:space="preserve">inhalación y exhalación </w:t>
      </w:r>
      <w:r>
        <w:t>se debe</w:t>
      </w:r>
      <w:r w:rsidR="00973077">
        <w:t>rá</w:t>
      </w:r>
      <w:r>
        <w:t>n al cuerpo y la mente.</w:t>
      </w:r>
    </w:p>
    <w:p w14:paraId="18EE62C9" w14:textId="2D56FAA3" w:rsidR="00476FF5" w:rsidRDefault="00476FF5" w:rsidP="00476FF5">
      <w:pPr>
        <w:pStyle w:val="NormalConSangria"/>
      </w:pPr>
      <w:r>
        <w:t>Luego, defin</w:t>
      </w:r>
      <w:r w:rsidR="00614750">
        <w:t>irá</w:t>
      </w:r>
      <w:r>
        <w:t xml:space="preserve"> la </w:t>
      </w:r>
      <w:r w:rsidR="00614750">
        <w:t xml:space="preserve">inhalación, la exhalación </w:t>
      </w:r>
      <w:r>
        <w:t>y el cuerpo como "materialidad", y la con</w:t>
      </w:r>
      <w:r w:rsidR="00614750">
        <w:t>s</w:t>
      </w:r>
      <w:r>
        <w:t>ciencia y los estados asociados con la con</w:t>
      </w:r>
      <w:r w:rsidR="00614750">
        <w:t>s</w:t>
      </w:r>
      <w:r>
        <w:t>ciencia como "mente inmaterial". Esto es en breve (cf. M-a I 249); pero los detalles se explicarán más adelante en la definición de mentalidad-materialidad (XVIII.3f.).</w:t>
      </w:r>
    </w:p>
    <w:p w14:paraId="0C50683A" w14:textId="355AC537" w:rsidR="00476FF5" w:rsidRDefault="00476FF5" w:rsidP="00476FF5">
      <w:r>
        <w:t xml:space="preserve">224. </w:t>
      </w:r>
      <w:r>
        <w:tab/>
        <w:t xml:space="preserve">Habiendo definido así la mentalidad-materialidad, </w:t>
      </w:r>
      <w:r w:rsidR="00991EB0">
        <w:t xml:space="preserve">deberá </w:t>
      </w:r>
      <w:r>
        <w:t>busca</w:t>
      </w:r>
      <w:r w:rsidR="007757CC">
        <w:t>r</w:t>
      </w:r>
      <w:r>
        <w:t xml:space="preserve"> su condición. Con la búsqueda lo enc</w:t>
      </w:r>
      <w:r w:rsidR="00991EB0">
        <w:t>o</w:t>
      </w:r>
      <w:r>
        <w:t>ntra</w:t>
      </w:r>
      <w:r w:rsidR="00991EB0">
        <w:t>rá</w:t>
      </w:r>
      <w:r>
        <w:t>, y así supera</w:t>
      </w:r>
      <w:r w:rsidR="00991EB0">
        <w:t>rá</w:t>
      </w:r>
      <w:r>
        <w:t xml:space="preserve"> sus dudas sobre el modo de ocurrencia de la mentalidad-materialidad en las tres divisiones del tiempo (Cap. XIX).</w:t>
      </w:r>
    </w:p>
    <w:p w14:paraId="03BB3D2F" w14:textId="3F1AFF04" w:rsidR="00476FF5" w:rsidRDefault="00476FF5" w:rsidP="00476FF5">
      <w:pPr>
        <w:pStyle w:val="NormalConSangria"/>
      </w:pPr>
      <w:r>
        <w:t>Superadas sus dudas, atribu</w:t>
      </w:r>
      <w:r w:rsidR="00991EB0">
        <w:t>irá</w:t>
      </w:r>
      <w:r>
        <w:t xml:space="preserve"> las tres características empezando </w:t>
      </w:r>
      <w:r w:rsidR="00991EB0">
        <w:t xml:space="preserve">con </w:t>
      </w:r>
      <w:r>
        <w:t xml:space="preserve">la del sufrimiento </w:t>
      </w:r>
      <w:r w:rsidR="00991EB0">
        <w:t>de</w:t>
      </w:r>
      <w:r>
        <w:t xml:space="preserve"> la mentalidad y la materialidad, comprendiéndolas por grupos (XX.2s.); abandona</w:t>
      </w:r>
      <w:r w:rsidR="0070756A">
        <w:t>ndo</w:t>
      </w:r>
      <w:r>
        <w:t xml:space="preserve"> las diez imperfecciones de la </w:t>
      </w:r>
      <w:r w:rsidR="0070756A">
        <w:t xml:space="preserve">sabiduría </w:t>
      </w:r>
      <w:r>
        <w:t xml:space="preserve">comenzando con la iluminación, que surgen en las primeras etapas de la contemplación del </w:t>
      </w:r>
      <w:r w:rsidR="0070756A">
        <w:t xml:space="preserve">surgimiento </w:t>
      </w:r>
      <w:r>
        <w:t xml:space="preserve">y la </w:t>
      </w:r>
      <w:r w:rsidR="0070756A">
        <w:t xml:space="preserve">desaparición </w:t>
      </w:r>
      <w:r>
        <w:t>(XX.105f.), y defin</w:t>
      </w:r>
      <w:r w:rsidR="002C1D8B">
        <w:t>irá</w:t>
      </w:r>
      <w:r>
        <w:t xml:space="preserve"> como “el </w:t>
      </w:r>
      <w:r w:rsidR="002C1D8B">
        <w:t>sendero</w:t>
      </w:r>
      <w:r>
        <w:t xml:space="preserve">” el conocimiento del </w:t>
      </w:r>
      <w:r w:rsidR="00525763">
        <w:t>sendero</w:t>
      </w:r>
      <w:r>
        <w:t xml:space="preserve"> que </w:t>
      </w:r>
      <w:r w:rsidR="009A2663">
        <w:t>se encuentra</w:t>
      </w:r>
      <w:r>
        <w:t xml:space="preserve"> libre de estas imperfecciones (XX.126f.).</w:t>
      </w:r>
    </w:p>
    <w:p w14:paraId="4126EBD2" w14:textId="2DEEA682" w:rsidR="00476FF5" w:rsidRDefault="00525763" w:rsidP="00476FF5">
      <w:pPr>
        <w:pStyle w:val="NormalConSangria"/>
      </w:pPr>
      <w:r>
        <w:t xml:space="preserve">Él </w:t>
      </w:r>
      <w:r w:rsidR="00547ADF">
        <w:t xml:space="preserve">llegará </w:t>
      </w:r>
      <w:r w:rsidR="00EB4E19">
        <w:t>a</w:t>
      </w:r>
      <w:r w:rsidR="00476FF5">
        <w:t xml:space="preserve"> </w:t>
      </w:r>
      <w:r w:rsidR="00EB4E19">
        <w:t xml:space="preserve">consumar </w:t>
      </w:r>
      <w:r w:rsidR="00476FF5">
        <w:t>la contemplación de la disolución abandonando la atención al surgimiento. Cuando todas las formaciones ha</w:t>
      </w:r>
      <w:r w:rsidR="00980F8A">
        <w:t>ya</w:t>
      </w:r>
      <w:r w:rsidR="00476FF5">
        <w:t xml:space="preserve">n aparecido como terror </w:t>
      </w:r>
      <w:r w:rsidR="00980F8A">
        <w:t xml:space="preserve">a través de </w:t>
      </w:r>
      <w:r w:rsidR="00476FF5">
        <w:t>la contemplación de su incesante disolución, se desapasiona</w:t>
      </w:r>
      <w:r w:rsidR="00980F8A">
        <w:t>rá</w:t>
      </w:r>
      <w:r w:rsidR="00476FF5">
        <w:t xml:space="preserve"> de ellas (Cap. XXI), su codicia </w:t>
      </w:r>
      <w:r w:rsidR="00980F8A">
        <w:t xml:space="preserve">hacia </w:t>
      </w:r>
      <w:r w:rsidR="00476FF5">
        <w:t>ellas se desvanece</w:t>
      </w:r>
      <w:r w:rsidR="00980F8A">
        <w:t>rá</w:t>
      </w:r>
      <w:r w:rsidR="00476FF5">
        <w:t xml:space="preserve"> y se libera</w:t>
      </w:r>
      <w:r w:rsidR="00980F8A">
        <w:t>rá</w:t>
      </w:r>
      <w:r w:rsidR="00476FF5">
        <w:t xml:space="preserve"> </w:t>
      </w:r>
      <w:r w:rsidR="002249AB">
        <w:t xml:space="preserve">también </w:t>
      </w:r>
      <w:r w:rsidR="00476FF5">
        <w:t>de ellas (Cap. XXII).</w:t>
      </w:r>
    </w:p>
    <w:p w14:paraId="4B084103" w14:textId="21E4DEA6" w:rsidR="00476FF5" w:rsidRDefault="00476FF5" w:rsidP="00476FF5">
      <w:pPr>
        <w:pStyle w:val="Piedepgina"/>
        <w:rPr>
          <w:u w:val="single"/>
        </w:rPr>
      </w:pPr>
      <w:r>
        <w:rPr>
          <w:u w:val="single"/>
        </w:rPr>
        <w:t xml:space="preserve">                                                                                                                                                                          .</w:t>
      </w:r>
    </w:p>
    <w:p w14:paraId="24BEC262" w14:textId="545E7D78" w:rsidR="006825F4" w:rsidRDefault="00476FF5" w:rsidP="00476FF5">
      <w:pPr>
        <w:pStyle w:val="PiedepginaLegal"/>
      </w:pPr>
      <w:r>
        <w:t xml:space="preserve">62. </w:t>
      </w:r>
      <w:r>
        <w:tab/>
        <w:t xml:space="preserve">Para el Monarca </w:t>
      </w:r>
      <w:r w:rsidR="00673607">
        <w:t xml:space="preserve">Universal </w:t>
      </w:r>
      <w:r>
        <w:t xml:space="preserve">que </w:t>
      </w:r>
      <w:r w:rsidR="008D5673">
        <w:t xml:space="preserve">hace </w:t>
      </w:r>
      <w:r>
        <w:t>gira</w:t>
      </w:r>
      <w:r w:rsidR="008D5673">
        <w:t>r</w:t>
      </w:r>
      <w:r>
        <w:t xml:space="preserve"> la Rueda (</w:t>
      </w:r>
      <w:proofErr w:type="spellStart"/>
      <w:r w:rsidRPr="00682961">
        <w:rPr>
          <w:i/>
          <w:iCs/>
        </w:rPr>
        <w:t>cakkavattin</w:t>
      </w:r>
      <w:proofErr w:type="spellEnd"/>
      <w:r>
        <w:t>) ver DN 26 y MN 129.</w:t>
      </w:r>
    </w:p>
    <w:p w14:paraId="6EF93CE9" w14:textId="7C7BF700" w:rsidR="00476FF5" w:rsidRDefault="00476FF5">
      <w:pPr>
        <w:tabs>
          <w:tab w:val="clear" w:pos="425"/>
        </w:tabs>
        <w:spacing w:after="160"/>
      </w:pPr>
      <w:r>
        <w:br w:type="page"/>
      </w:r>
    </w:p>
    <w:p w14:paraId="3ABFBBA7" w14:textId="77777777" w:rsidR="00476FF5" w:rsidRDefault="00476FF5" w:rsidP="00476FF5"/>
    <w:p w14:paraId="145660F5" w14:textId="413979F3" w:rsidR="00941326" w:rsidRDefault="00941326" w:rsidP="006A4056">
      <w:pPr>
        <w:pStyle w:val="NormalConSangria"/>
      </w:pPr>
      <w:r>
        <w:t xml:space="preserve">Después de haber </w:t>
      </w:r>
      <w:r w:rsidR="002249AB">
        <w:t>consumado</w:t>
      </w:r>
      <w:r>
        <w:t xml:space="preserve"> así los cuatro nobles </w:t>
      </w:r>
      <w:r w:rsidR="002249AB">
        <w:t>senderos según</w:t>
      </w:r>
      <w:r>
        <w:t xml:space="preserve"> </w:t>
      </w:r>
      <w:r w:rsidR="002249AB">
        <w:t>un</w:t>
      </w:r>
      <w:r>
        <w:t xml:space="preserve">a debida sucesión y haberse establecido en la fruición del estado de </w:t>
      </w:r>
      <w:r w:rsidR="00057BF4" w:rsidRPr="00057BF4">
        <w:rPr>
          <w:i/>
          <w:iCs/>
        </w:rPr>
        <w:t>Arahant</w:t>
      </w:r>
      <w:r>
        <w:t xml:space="preserve">, finalmente </w:t>
      </w:r>
      <w:r w:rsidR="002249AB">
        <w:t xml:space="preserve">consumará </w:t>
      </w:r>
      <w:r>
        <w:t xml:space="preserve">los diecinueve tipos de conocimiento </w:t>
      </w:r>
      <w:r w:rsidR="006879FF">
        <w:t xml:space="preserve">de </w:t>
      </w:r>
      <w:r w:rsidR="00845872">
        <w:t>inspección</w:t>
      </w:r>
      <w:r>
        <w:t xml:space="preserve"> (XXII.19f.), y se</w:t>
      </w:r>
      <w:r w:rsidR="006879FF">
        <w:t>rá</w:t>
      </w:r>
      <w:r>
        <w:t xml:space="preserve"> apto para recibir </w:t>
      </w:r>
      <w:r w:rsidR="00434859">
        <w:t xml:space="preserve">los </w:t>
      </w:r>
      <w:r>
        <w:t>más elevado</w:t>
      </w:r>
      <w:r w:rsidR="00434859">
        <w:t>s</w:t>
      </w:r>
      <w:r>
        <w:t xml:space="preserve"> </w:t>
      </w:r>
      <w:r w:rsidR="00434859">
        <w:t xml:space="preserve">presentes </w:t>
      </w:r>
      <w:r>
        <w:t>del mundo con sus deidades.</w:t>
      </w:r>
    </w:p>
    <w:p w14:paraId="50D248FB" w14:textId="35F197AD" w:rsidR="00941326" w:rsidRDefault="00941326" w:rsidP="00941326">
      <w:r>
        <w:t xml:space="preserve">225. </w:t>
      </w:r>
      <w:r w:rsidR="006A4056">
        <w:tab/>
      </w:r>
      <w:r w:rsidR="00434859">
        <w:t xml:space="preserve">Con </w:t>
      </w:r>
      <w:r>
        <w:t xml:space="preserve">este punto, </w:t>
      </w:r>
      <w:r w:rsidR="00F42642">
        <w:t>culmina</w:t>
      </w:r>
      <w:r w:rsidR="00845872">
        <w:t>rá</w:t>
      </w:r>
      <w:r>
        <w:t xml:space="preserve"> su desarrollo de la concentración a través de la atención plena e</w:t>
      </w:r>
      <w:r w:rsidR="00373516">
        <w:t>n</w:t>
      </w:r>
      <w:r>
        <w:t xml:space="preserve"> la respiración, comenzando con el </w:t>
      </w:r>
      <w:r w:rsidRPr="00666A4C">
        <w:rPr>
          <w:i/>
          <w:iCs/>
        </w:rPr>
        <w:t>conteo</w:t>
      </w:r>
      <w:r>
        <w:t xml:space="preserve"> y terminando con la </w:t>
      </w:r>
      <w:r w:rsidR="008266F5">
        <w:rPr>
          <w:i/>
          <w:iCs/>
        </w:rPr>
        <w:t>retrospección</w:t>
      </w:r>
      <w:r>
        <w:t xml:space="preserve"> (§189).</w:t>
      </w:r>
    </w:p>
    <w:p w14:paraId="2E46A4F1" w14:textId="2C908591" w:rsidR="00941326" w:rsidRDefault="008266F5" w:rsidP="006A4056">
      <w:pPr>
        <w:pStyle w:val="NormalConSangria"/>
      </w:pPr>
      <w:r>
        <w:t>É</w:t>
      </w:r>
      <w:r w:rsidR="00941326">
        <w:t>ste es el comentario sobre la primera tétrada en todos los aspectos.</w:t>
      </w:r>
    </w:p>
    <w:p w14:paraId="3F60C7C5" w14:textId="77777777" w:rsidR="00CF1B8D" w:rsidRDefault="00CF1B8D" w:rsidP="006A4056">
      <w:pPr>
        <w:pStyle w:val="NormalConSangria"/>
      </w:pPr>
    </w:p>
    <w:p w14:paraId="673290A2" w14:textId="7DF77928" w:rsidR="00941326" w:rsidRDefault="00941326" w:rsidP="006A4056">
      <w:pPr>
        <w:jc w:val="center"/>
      </w:pPr>
      <w:r>
        <w:t>[</w:t>
      </w:r>
      <w:r w:rsidRPr="006A4056">
        <w:rPr>
          <w:i/>
          <w:iCs/>
        </w:rPr>
        <w:t xml:space="preserve">Continuación del </w:t>
      </w:r>
      <w:r w:rsidR="006A4056" w:rsidRPr="006A4056">
        <w:rPr>
          <w:i/>
          <w:iCs/>
        </w:rPr>
        <w:t xml:space="preserve">Comentario </w:t>
      </w:r>
      <w:r w:rsidR="008266F5">
        <w:rPr>
          <w:i/>
          <w:iCs/>
        </w:rPr>
        <w:t>Palabra por Palabra</w:t>
      </w:r>
      <w:r w:rsidRPr="006A4056">
        <w:rPr>
          <w:i/>
          <w:iCs/>
        </w:rPr>
        <w:t xml:space="preserve">—Segunda </w:t>
      </w:r>
      <w:r w:rsidR="006A4056" w:rsidRPr="006A4056">
        <w:rPr>
          <w:i/>
          <w:iCs/>
        </w:rPr>
        <w:t>Tétrada</w:t>
      </w:r>
      <w:r>
        <w:t>]</w:t>
      </w:r>
    </w:p>
    <w:p w14:paraId="19E383F3" w14:textId="791359E7" w:rsidR="00941326" w:rsidRDefault="00941326" w:rsidP="00941326">
      <w:r>
        <w:t xml:space="preserve">226. </w:t>
      </w:r>
      <w:r w:rsidR="006A4056">
        <w:tab/>
      </w:r>
      <w:r>
        <w:t xml:space="preserve">Ahora bien, dado que no existe un método </w:t>
      </w:r>
      <w:r w:rsidR="00FF52A6">
        <w:t>independiente</w:t>
      </w:r>
      <w:r>
        <w:t xml:space="preserve"> para desarrollar el </w:t>
      </w:r>
      <w:r w:rsidR="00FF52A6">
        <w:t xml:space="preserve">objeto </w:t>
      </w:r>
      <w:r>
        <w:t xml:space="preserve">de meditación en el caso de las otras tétradas, su significado solo </w:t>
      </w:r>
      <w:r w:rsidR="00FF52A6">
        <w:t>requerirá</w:t>
      </w:r>
      <w:r>
        <w:t xml:space="preserve"> ser entendido de acuerdo con </w:t>
      </w:r>
      <w:r w:rsidR="00C52BAC">
        <w:t>el</w:t>
      </w:r>
      <w:r>
        <w:t xml:space="preserve"> comentario.</w:t>
      </w:r>
    </w:p>
    <w:p w14:paraId="4849C6BC" w14:textId="70A4FEEB" w:rsidR="00941326" w:rsidRDefault="00941326" w:rsidP="006A4056">
      <w:pPr>
        <w:pStyle w:val="NormalConSangria"/>
      </w:pPr>
      <w:r>
        <w:t xml:space="preserve">(v) Él </w:t>
      </w:r>
      <w:r w:rsidR="00A813C7">
        <w:t xml:space="preserve">se </w:t>
      </w:r>
      <w:r>
        <w:t>entrena</w:t>
      </w:r>
      <w:r w:rsidR="00CF1B8D">
        <w:t>rá</w:t>
      </w:r>
      <w:r>
        <w:t xml:space="preserve"> así: “</w:t>
      </w:r>
      <w:r w:rsidR="00A813C7">
        <w:rPr>
          <w:i/>
          <w:iCs/>
        </w:rPr>
        <w:t>Inhalaré</w:t>
      </w:r>
      <w:r w:rsidRPr="00666A4C">
        <w:rPr>
          <w:i/>
          <w:iCs/>
        </w:rPr>
        <w:t>… exhalaré experimentando felicidad</w:t>
      </w:r>
      <w:r>
        <w:t xml:space="preserve">”, es decir, </w:t>
      </w:r>
      <w:r w:rsidR="00771248">
        <w:t xml:space="preserve">teniendo </w:t>
      </w:r>
      <w:r>
        <w:t>conoc</w:t>
      </w:r>
      <w:r w:rsidR="00771248">
        <w:t>imiento</w:t>
      </w:r>
      <w:r>
        <w:t xml:space="preserve"> </w:t>
      </w:r>
      <w:r w:rsidR="00B078A5">
        <w:t xml:space="preserve">sobre </w:t>
      </w:r>
      <w:r>
        <w:t>la felicidad, haciéndola clara. Aquí, la felicidad se experimenta</w:t>
      </w:r>
      <w:r w:rsidR="00B078A5">
        <w:t>rá</w:t>
      </w:r>
      <w:r>
        <w:t xml:space="preserve"> de dos maneras: (a) con el objeto, y (b) </w:t>
      </w:r>
      <w:r w:rsidR="00B82DC7">
        <w:t>con la no-</w:t>
      </w:r>
      <w:r>
        <w:t>confusión.</w:t>
      </w:r>
      <w:r w:rsidRPr="004A2807">
        <w:rPr>
          <w:vertAlign w:val="superscript"/>
        </w:rPr>
        <w:t>63</w:t>
      </w:r>
    </w:p>
    <w:p w14:paraId="515A02BF" w14:textId="3BBCB4B5" w:rsidR="00941326" w:rsidRDefault="00941326" w:rsidP="00941326">
      <w:r>
        <w:t xml:space="preserve">227. </w:t>
      </w:r>
      <w:r w:rsidR="006A4056">
        <w:tab/>
      </w:r>
      <w:r>
        <w:t xml:space="preserve">(a) ¿Cómo se experimenta la felicidad con el objeto? </w:t>
      </w:r>
      <w:r w:rsidR="00EA0023">
        <w:t xml:space="preserve">Él desarrollará </w:t>
      </w:r>
      <w:r>
        <w:t xml:space="preserve">los dos </w:t>
      </w:r>
      <w:proofErr w:type="spellStart"/>
      <w:r w:rsidR="00057BF4" w:rsidRPr="00057BF4">
        <w:rPr>
          <w:i/>
          <w:iCs/>
        </w:rPr>
        <w:t>jhāna</w:t>
      </w:r>
      <w:r w:rsidRPr="00666A4C">
        <w:rPr>
          <w:i/>
          <w:iCs/>
        </w:rPr>
        <w:t>s</w:t>
      </w:r>
      <w:proofErr w:type="spellEnd"/>
      <w:r>
        <w:t xml:space="preserve"> en los que est</w:t>
      </w:r>
      <w:r w:rsidR="00EA0023">
        <w:t>é</w:t>
      </w:r>
      <w:r>
        <w:t xml:space="preserve"> presente la felicidad. En el momento en que realmente ha</w:t>
      </w:r>
      <w:r w:rsidR="00EA0023">
        <w:t>ya</w:t>
      </w:r>
      <w:r>
        <w:t xml:space="preserve"> entrado en ellos, la felicidad se experimenta</w:t>
      </w:r>
      <w:r w:rsidR="00EA0023">
        <w:t>rá</w:t>
      </w:r>
      <w:r>
        <w:t xml:space="preserve"> con el objeto debido a la obtención del </w:t>
      </w:r>
      <w:proofErr w:type="spellStart"/>
      <w:r w:rsidR="00057BF4" w:rsidRPr="00057BF4">
        <w:rPr>
          <w:i/>
          <w:iCs/>
        </w:rPr>
        <w:t>jhāna</w:t>
      </w:r>
      <w:proofErr w:type="spellEnd"/>
      <w:r>
        <w:t>, debido a la experiencia del objeto. (b) ¿Cómo con la no</w:t>
      </w:r>
      <w:r w:rsidR="00B82DC7">
        <w:t>-</w:t>
      </w:r>
      <w:r>
        <w:t xml:space="preserve">confusión? Cuando, después de entrar y emerger de uno de los dos </w:t>
      </w:r>
      <w:proofErr w:type="spellStart"/>
      <w:r w:rsidR="00057BF4" w:rsidRPr="00057BF4">
        <w:rPr>
          <w:i/>
          <w:iCs/>
        </w:rPr>
        <w:t>jhāna</w:t>
      </w:r>
      <w:r w:rsidR="00666A4C" w:rsidRPr="00666A4C">
        <w:rPr>
          <w:i/>
          <w:iCs/>
        </w:rPr>
        <w:t>s</w:t>
      </w:r>
      <w:proofErr w:type="spellEnd"/>
      <w:r w:rsidR="00666A4C">
        <w:t xml:space="preserve"> </w:t>
      </w:r>
      <w:r>
        <w:t>acompañado de felicidad, [288] comprende</w:t>
      </w:r>
      <w:r w:rsidR="00B82DC7">
        <w:t>rá</w:t>
      </w:r>
      <w:r>
        <w:t xml:space="preserve"> con </w:t>
      </w:r>
      <w:r w:rsidR="001B62DF">
        <w:t xml:space="preserve">sabiduría </w:t>
      </w:r>
      <w:r>
        <w:t xml:space="preserve">que la felicidad asociada con el </w:t>
      </w:r>
      <w:proofErr w:type="spellStart"/>
      <w:r w:rsidR="00057BF4" w:rsidRPr="00057BF4">
        <w:rPr>
          <w:i/>
          <w:iCs/>
        </w:rPr>
        <w:t>jhāna</w:t>
      </w:r>
      <w:proofErr w:type="spellEnd"/>
      <w:r w:rsidR="00666A4C">
        <w:t xml:space="preserve"> </w:t>
      </w:r>
      <w:r>
        <w:t>est</w:t>
      </w:r>
      <w:r w:rsidR="00EC4D36">
        <w:t>ar</w:t>
      </w:r>
      <w:r>
        <w:t xml:space="preserve">á sujeta a </w:t>
      </w:r>
      <w:r w:rsidR="001B62DF">
        <w:t xml:space="preserve">la </w:t>
      </w:r>
      <w:r>
        <w:t xml:space="preserve">destrucción y </w:t>
      </w:r>
      <w:r w:rsidR="001B62DF">
        <w:t>desaparición</w:t>
      </w:r>
      <w:r>
        <w:t xml:space="preserve">, entonces, en el momento real de la </w:t>
      </w:r>
      <w:r w:rsidR="00EC4D36" w:rsidRPr="00527EA6">
        <w:t>sabid</w:t>
      </w:r>
      <w:r w:rsidR="00EC4D36">
        <w:t>uría–revelativa</w:t>
      </w:r>
      <w:r>
        <w:t>, se experimenta</w:t>
      </w:r>
      <w:r w:rsidR="001B62DF">
        <w:t>rá</w:t>
      </w:r>
      <w:r>
        <w:t xml:space="preserve"> la felicidad con no</w:t>
      </w:r>
      <w:r w:rsidR="00F54DE6">
        <w:t>-</w:t>
      </w:r>
      <w:r>
        <w:t xml:space="preserve">confusión debido a la penetración </w:t>
      </w:r>
      <w:r w:rsidR="00F54DE6">
        <w:t xml:space="preserve">en </w:t>
      </w:r>
      <w:r>
        <w:t>sus características [</w:t>
      </w:r>
      <w:r w:rsidR="00F54DE6">
        <w:t xml:space="preserve">la </w:t>
      </w:r>
      <w:r>
        <w:t xml:space="preserve">de </w:t>
      </w:r>
      <w:r w:rsidR="00F54DE6">
        <w:t xml:space="preserve">la </w:t>
      </w:r>
      <w:r>
        <w:t xml:space="preserve">impermanencia, </w:t>
      </w:r>
      <w:r w:rsidR="00F910A6">
        <w:t>insatisfactoriedad e insustancialidad</w:t>
      </w:r>
      <w:r>
        <w:t>.].</w:t>
      </w:r>
    </w:p>
    <w:p w14:paraId="05283B2C" w14:textId="48A351F3" w:rsidR="00941326" w:rsidRDefault="00941326" w:rsidP="00941326">
      <w:r>
        <w:t xml:space="preserve">228. </w:t>
      </w:r>
      <w:r w:rsidR="006A4056">
        <w:tab/>
      </w:r>
      <w:r w:rsidR="00F910A6">
        <w:t xml:space="preserve">Ya </w:t>
      </w:r>
      <w:r>
        <w:t xml:space="preserve">que esto se dice en el </w:t>
      </w:r>
      <w:proofErr w:type="spellStart"/>
      <w:r w:rsidRPr="00666A4C">
        <w:rPr>
          <w:i/>
          <w:iCs/>
        </w:rPr>
        <w:t>Paṭisambhidā</w:t>
      </w:r>
      <w:proofErr w:type="spellEnd"/>
      <w:r>
        <w:t>: “Cuando él cono</w:t>
      </w:r>
      <w:r w:rsidR="00864C49">
        <w:t>zca</w:t>
      </w:r>
      <w:r>
        <w:t xml:space="preserve"> la unificación ment</w:t>
      </w:r>
      <w:r w:rsidR="00864C49">
        <w:t>al</w:t>
      </w:r>
      <w:r>
        <w:t xml:space="preserve"> y la no</w:t>
      </w:r>
      <w:r w:rsidR="00864C49">
        <w:t>-</w:t>
      </w:r>
      <w:r>
        <w:t xml:space="preserve">distracción a través de </w:t>
      </w:r>
      <w:r w:rsidR="00864C49">
        <w:t xml:space="preserve">la </w:t>
      </w:r>
      <w:r>
        <w:t>inhalaci</w:t>
      </w:r>
      <w:r w:rsidR="00864C49">
        <w:t>ó</w:t>
      </w:r>
      <w:r>
        <w:t xml:space="preserve">n </w:t>
      </w:r>
      <w:r w:rsidR="00CA7B4F">
        <w:t>larga</w:t>
      </w:r>
      <w:r>
        <w:t>, la atención plena se establece</w:t>
      </w:r>
      <w:r w:rsidR="00864C49">
        <w:t>rá</w:t>
      </w:r>
      <w:r>
        <w:t xml:space="preserve"> en él. Por medio de esa atención plena y ese conocimiento se experimenta</w:t>
      </w:r>
      <w:r w:rsidR="00864C49">
        <w:t>rá</w:t>
      </w:r>
      <w:r>
        <w:t xml:space="preserve"> esa felicidad. Cuando </w:t>
      </w:r>
      <w:r w:rsidR="00864C49">
        <w:t xml:space="preserve">él </w:t>
      </w:r>
      <w:r>
        <w:t>cono</w:t>
      </w:r>
      <w:r w:rsidR="00864C49">
        <w:t>zca</w:t>
      </w:r>
      <w:r>
        <w:t xml:space="preserve"> la unificación </w:t>
      </w:r>
      <w:r w:rsidR="00864C49">
        <w:t xml:space="preserve">mental </w:t>
      </w:r>
      <w:r>
        <w:t>y la no</w:t>
      </w:r>
      <w:r w:rsidR="00864C49">
        <w:t>-</w:t>
      </w:r>
      <w:r>
        <w:t xml:space="preserve">distracción a través de </w:t>
      </w:r>
      <w:r w:rsidR="00864C49">
        <w:t xml:space="preserve">la </w:t>
      </w:r>
      <w:r>
        <w:t>exhalaci</w:t>
      </w:r>
      <w:r w:rsidR="00864C49">
        <w:t>ó</w:t>
      </w:r>
      <w:r>
        <w:t>n</w:t>
      </w:r>
      <w:r w:rsidR="00864C49" w:rsidRPr="00864C49">
        <w:t xml:space="preserve"> </w:t>
      </w:r>
      <w:r w:rsidR="00864C49">
        <w:t>larga</w:t>
      </w:r>
      <w:r>
        <w:t xml:space="preserve">... a través de </w:t>
      </w:r>
      <w:r w:rsidR="002A40D2">
        <w:t>la inhalación corta</w:t>
      </w:r>
      <w:r>
        <w:t xml:space="preserve">... a través de </w:t>
      </w:r>
      <w:r w:rsidR="002A40D2">
        <w:t>exhalación</w:t>
      </w:r>
      <w:r w:rsidR="002A40D2" w:rsidRPr="002A40D2">
        <w:t xml:space="preserve"> </w:t>
      </w:r>
      <w:r w:rsidR="002A40D2">
        <w:t>corta</w:t>
      </w:r>
      <w:r>
        <w:t xml:space="preserve">... a través de </w:t>
      </w:r>
      <w:r w:rsidR="002A40D2">
        <w:t>inhalación</w:t>
      </w:r>
      <w:r>
        <w:t xml:space="preserve">... </w:t>
      </w:r>
      <w:r w:rsidR="002A40D2">
        <w:t xml:space="preserve">exhalación </w:t>
      </w:r>
      <w:r>
        <w:t xml:space="preserve">experimentando todo el cuerpo... a través de </w:t>
      </w:r>
      <w:r w:rsidR="002A40D2">
        <w:t>la inhalación</w:t>
      </w:r>
      <w:r>
        <w:t xml:space="preserve">... </w:t>
      </w:r>
      <w:r w:rsidR="002A40D2">
        <w:t xml:space="preserve">exhalación </w:t>
      </w:r>
      <w:r>
        <w:t>tranquilizan</w:t>
      </w:r>
      <w:r w:rsidR="009A1184">
        <w:t>do</w:t>
      </w:r>
      <w:r>
        <w:t xml:space="preserve"> la formación corporal, la atención </w:t>
      </w:r>
    </w:p>
    <w:p w14:paraId="3C3E622D" w14:textId="554C5F7F" w:rsidR="00664460" w:rsidRDefault="00664460" w:rsidP="00664460">
      <w:pPr>
        <w:pStyle w:val="Piedepgina"/>
        <w:rPr>
          <w:u w:val="single"/>
        </w:rPr>
      </w:pPr>
      <w:r>
        <w:rPr>
          <w:u w:val="single"/>
        </w:rPr>
        <w:t xml:space="preserve">                                                                                                                                                                          .</w:t>
      </w:r>
    </w:p>
    <w:p w14:paraId="490947EB" w14:textId="39440DC7" w:rsidR="00476FF5" w:rsidRDefault="00941326" w:rsidP="009A1184">
      <w:pPr>
        <w:pStyle w:val="PiedepginaLegal"/>
        <w:tabs>
          <w:tab w:val="clear" w:pos="6804"/>
        </w:tabs>
        <w:ind w:right="476"/>
      </w:pPr>
      <w:r>
        <w:t xml:space="preserve">63. </w:t>
      </w:r>
      <w:r w:rsidR="00664460">
        <w:tab/>
      </w:r>
      <w:r>
        <w:t xml:space="preserve">“‘Con el objeto’: bajo el </w:t>
      </w:r>
      <w:r w:rsidR="001A1B2D">
        <w:t>término</w:t>
      </w:r>
      <w:r>
        <w:t xml:space="preserve"> del objeto. La felicidad incluida en el </w:t>
      </w:r>
      <w:proofErr w:type="spellStart"/>
      <w:r w:rsidR="00057BF4" w:rsidRPr="00057BF4">
        <w:rPr>
          <w:i/>
          <w:iCs/>
        </w:rPr>
        <w:t>jhāna</w:t>
      </w:r>
      <w:proofErr w:type="spellEnd"/>
      <w:r>
        <w:t xml:space="preserve"> que </w:t>
      </w:r>
      <w:r w:rsidR="00094824">
        <w:t>posea</w:t>
      </w:r>
      <w:r>
        <w:t xml:space="preserve"> ese objeto se experimenta</w:t>
      </w:r>
      <w:r w:rsidR="007664A6">
        <w:t>rá</w:t>
      </w:r>
      <w:r>
        <w:t xml:space="preserve"> 'debido a la experiencia del objeto'. ¿Qué significa</w:t>
      </w:r>
      <w:r w:rsidR="003F5399">
        <w:t xml:space="preserve"> esto</w:t>
      </w:r>
      <w:r>
        <w:t xml:space="preserve">? </w:t>
      </w:r>
      <w:r w:rsidR="003F5399">
        <w:t>Al igual que</w:t>
      </w:r>
      <w:r>
        <w:t xml:space="preserve"> un hombre </w:t>
      </w:r>
      <w:r w:rsidR="00352EDC">
        <w:t xml:space="preserve">en la búsqueda de </w:t>
      </w:r>
      <w:r>
        <w:t>una serpiente descubr</w:t>
      </w:r>
      <w:r w:rsidR="00462DAF">
        <w:t>iría</w:t>
      </w:r>
      <w:r>
        <w:t xml:space="preserve"> (experimenta</w:t>
      </w:r>
      <w:r w:rsidR="00462DAF">
        <w:t>ría</w:t>
      </w:r>
      <w:r>
        <w:t xml:space="preserve">) su </w:t>
      </w:r>
      <w:r w:rsidR="00352EDC">
        <w:t>hogar</w:t>
      </w:r>
      <w:r>
        <w:t xml:space="preserve">, </w:t>
      </w:r>
      <w:r w:rsidR="007664A6">
        <w:t xml:space="preserve">una vez </w:t>
      </w:r>
      <w:r w:rsidR="00F02D44">
        <w:t>hecho esto</w:t>
      </w:r>
      <w:r w:rsidR="00462DAF">
        <w:t>,</w:t>
      </w:r>
      <w:r w:rsidR="00F02D44">
        <w:t xml:space="preserve"> </w:t>
      </w:r>
      <w:r>
        <w:t>la serpiente est</w:t>
      </w:r>
      <w:r w:rsidR="00F02D44">
        <w:t>ar</w:t>
      </w:r>
      <w:r>
        <w:t>á, por así decirlo, descubierta (experimentada) y atrapada, debido a la facilidad con la que entonces podrá atraparla con encantos y hechizos, así también, cuando se experiment</w:t>
      </w:r>
      <w:r w:rsidR="00F02D44">
        <w:t>e</w:t>
      </w:r>
      <w:r>
        <w:t xml:space="preserve"> (</w:t>
      </w:r>
      <w:r w:rsidR="00F02D44">
        <w:t xml:space="preserve">se </w:t>
      </w:r>
      <w:r>
        <w:t>descubr</w:t>
      </w:r>
      <w:r w:rsidR="00F02D44">
        <w:t>a</w:t>
      </w:r>
      <w:r>
        <w:t xml:space="preserve">) el objeto, que es </w:t>
      </w:r>
      <w:r w:rsidR="00B542C2">
        <w:t xml:space="preserve">un </w:t>
      </w:r>
      <w:r w:rsidR="00F02D44">
        <w:t xml:space="preserve">estado </w:t>
      </w:r>
      <w:r>
        <w:t>de felicidad, entonces también se experimenta</w:t>
      </w:r>
      <w:r w:rsidR="00F02D44">
        <w:t>rá</w:t>
      </w:r>
      <w:r>
        <w:t xml:space="preserve"> (descubr</w:t>
      </w:r>
      <w:r w:rsidR="00F02D44">
        <w:t>irá</w:t>
      </w:r>
      <w:r>
        <w:t>) la felicidad misma, debido a la facilidad con que será aprehendida en su</w:t>
      </w:r>
      <w:r w:rsidR="000D77E8">
        <w:t>s</w:t>
      </w:r>
      <w:r>
        <w:t xml:space="preserve"> </w:t>
      </w:r>
      <w:r w:rsidR="000D77E8">
        <w:t xml:space="preserve">características </w:t>
      </w:r>
      <w:r>
        <w:t>específic</w:t>
      </w:r>
      <w:r w:rsidR="000D77E8">
        <w:t>as</w:t>
      </w:r>
      <w:r>
        <w:t xml:space="preserve"> y generales. ‘Por su penetración </w:t>
      </w:r>
      <w:r w:rsidR="000D77E8">
        <w:t>sobre</w:t>
      </w:r>
      <w:r>
        <w:t xml:space="preserve"> sus características’: </w:t>
      </w:r>
      <w:r w:rsidR="000D77E8">
        <w:t xml:space="preserve">mediante la </w:t>
      </w:r>
      <w:r>
        <w:t>penetración de las características específicas y generales de la felicidad. Porque cuando se experiment</w:t>
      </w:r>
      <w:r w:rsidR="000D77E8">
        <w:t>e</w:t>
      </w:r>
      <w:r>
        <w:t>n las características específicas y generales de cualquier cosa, esa cosa se experimenta</w:t>
      </w:r>
      <w:r w:rsidR="000D77E8">
        <w:t>rá</w:t>
      </w:r>
      <w:r>
        <w:t xml:space="preserve"> de acuerdo con la realidad” (</w:t>
      </w:r>
      <w:proofErr w:type="spellStart"/>
      <w:r>
        <w:t>Vism-mhṭ</w:t>
      </w:r>
      <w:proofErr w:type="spellEnd"/>
      <w:r>
        <w:t xml:space="preserve"> 276).</w:t>
      </w:r>
    </w:p>
    <w:p w14:paraId="7B45868E" w14:textId="77777777" w:rsidR="00476FF5" w:rsidRDefault="00476FF5" w:rsidP="006825F4"/>
    <w:p w14:paraId="7521D27D" w14:textId="0338E9DC" w:rsidR="006A4056" w:rsidRDefault="006A4056">
      <w:pPr>
        <w:tabs>
          <w:tab w:val="clear" w:pos="425"/>
        </w:tabs>
        <w:spacing w:after="160"/>
      </w:pPr>
      <w:r>
        <w:br w:type="page"/>
      </w:r>
    </w:p>
    <w:p w14:paraId="39705558" w14:textId="77777777" w:rsidR="006825F4" w:rsidRDefault="006825F4" w:rsidP="006825F4"/>
    <w:p w14:paraId="6E8D1E88" w14:textId="4ADFBFDE" w:rsidR="00B841BA" w:rsidRDefault="00E516D4" w:rsidP="00B841BA">
      <w:r>
        <w:t xml:space="preserve">se establecerá en </w:t>
      </w:r>
      <w:r w:rsidR="00B841BA">
        <w:t>a él. Por medio de esa atención plena y ese conocimiento se experimenta</w:t>
      </w:r>
      <w:r w:rsidR="009A1184">
        <w:t>rá</w:t>
      </w:r>
      <w:r w:rsidR="00B841BA">
        <w:t xml:space="preserve"> </w:t>
      </w:r>
      <w:r>
        <w:t>tal</w:t>
      </w:r>
      <w:r w:rsidR="00B841BA">
        <w:t xml:space="preserve"> felicidad.</w:t>
      </w:r>
    </w:p>
    <w:p w14:paraId="36D94031" w14:textId="0E6DA4C9" w:rsidR="00B841BA" w:rsidRDefault="00B841BA" w:rsidP="00B841BA">
      <w:pPr>
        <w:pStyle w:val="NormalConSangria"/>
      </w:pPr>
      <w:r>
        <w:t>“Él lo experimenta</w:t>
      </w:r>
      <w:r w:rsidR="009A1184">
        <w:t>rá</w:t>
      </w:r>
      <w:r>
        <w:t xml:space="preserve"> cuando adviert</w:t>
      </w:r>
      <w:r w:rsidR="009A1184">
        <w:t>a</w:t>
      </w:r>
      <w:r>
        <w:t xml:space="preserve">, cuando </w:t>
      </w:r>
      <w:r w:rsidR="00216BF7">
        <w:t>conozca</w:t>
      </w:r>
      <w:r>
        <w:t xml:space="preserve">, </w:t>
      </w:r>
      <w:r w:rsidR="00216BF7">
        <w:t>observe</w:t>
      </w:r>
      <w:r>
        <w:t xml:space="preserve">, </w:t>
      </w:r>
      <w:r w:rsidR="00216BF7">
        <w:t>inspeccione</w:t>
      </w:r>
      <w:r>
        <w:t>, establ</w:t>
      </w:r>
      <w:r w:rsidR="00216BF7">
        <w:t>ezca</w:t>
      </w:r>
      <w:r>
        <w:t xml:space="preserve"> su mente, resuelv</w:t>
      </w:r>
      <w:r w:rsidR="00216BF7">
        <w:t>a</w:t>
      </w:r>
      <w:r>
        <w:t xml:space="preserve"> con fe, ejer</w:t>
      </w:r>
      <w:r w:rsidR="00216BF7">
        <w:t>za</w:t>
      </w:r>
      <w:r>
        <w:t xml:space="preserve"> energía, estable</w:t>
      </w:r>
      <w:r w:rsidR="00216BF7">
        <w:t>zca</w:t>
      </w:r>
      <w:r>
        <w:t xml:space="preserve"> la atención plena, concentr</w:t>
      </w:r>
      <w:r w:rsidR="001902D3">
        <w:t>e</w:t>
      </w:r>
      <w:r>
        <w:t xml:space="preserve"> su mente, </w:t>
      </w:r>
      <w:r w:rsidR="001902D3">
        <w:t xml:space="preserve">entienda </w:t>
      </w:r>
      <w:r>
        <w:t xml:space="preserve">con </w:t>
      </w:r>
      <w:r w:rsidR="001902D3">
        <w:t>entendimiento</w:t>
      </w:r>
      <w:r>
        <w:t xml:space="preserve">, </w:t>
      </w:r>
      <w:r w:rsidR="001902D3">
        <w:t xml:space="preserve">conozca </w:t>
      </w:r>
      <w:r>
        <w:t>directamente lo que deb</w:t>
      </w:r>
      <w:r w:rsidR="00AA7DE8">
        <w:t>a</w:t>
      </w:r>
      <w:r>
        <w:t xml:space="preserve"> </w:t>
      </w:r>
      <w:r w:rsidR="00AA7DE8">
        <w:t>conocer</w:t>
      </w:r>
      <w:r w:rsidR="00B24C3C">
        <w:t>se</w:t>
      </w:r>
      <w:r w:rsidR="00AA7DE8">
        <w:t xml:space="preserve"> </w:t>
      </w:r>
      <w:r>
        <w:t xml:space="preserve">directamente, </w:t>
      </w:r>
      <w:r w:rsidR="00AA7DE8">
        <w:t xml:space="preserve">entienda </w:t>
      </w:r>
      <w:r>
        <w:t>plenamente lo que deb</w:t>
      </w:r>
      <w:r w:rsidR="00B24C3C">
        <w:t>a</w:t>
      </w:r>
      <w:r>
        <w:t xml:space="preserve"> </w:t>
      </w:r>
      <w:r w:rsidR="00AA7DE8">
        <w:t>entender</w:t>
      </w:r>
      <w:r w:rsidR="00B24C3C">
        <w:t>se</w:t>
      </w:r>
      <w:r w:rsidR="00AA7DE8">
        <w:t xml:space="preserve"> </w:t>
      </w:r>
      <w:r>
        <w:t>plenamente, abandon</w:t>
      </w:r>
      <w:r w:rsidR="00AA7DE8">
        <w:t>e</w:t>
      </w:r>
      <w:r>
        <w:t xml:space="preserve"> lo que deb</w:t>
      </w:r>
      <w:r w:rsidR="00AA7DE8">
        <w:t>a</w:t>
      </w:r>
      <w:r>
        <w:t xml:space="preserve"> abandonar</w:t>
      </w:r>
      <w:r w:rsidR="00B24C3C">
        <w:t>se</w:t>
      </w:r>
      <w:r>
        <w:t>, desarroll</w:t>
      </w:r>
      <w:r w:rsidR="00AA7DE8">
        <w:t>e</w:t>
      </w:r>
      <w:r>
        <w:t xml:space="preserve"> lo que deb</w:t>
      </w:r>
      <w:r w:rsidR="00AA7DE8">
        <w:t>a</w:t>
      </w:r>
      <w:r>
        <w:t xml:space="preserve"> desarrollar</w:t>
      </w:r>
      <w:r w:rsidR="00B24C3C">
        <w:t>se</w:t>
      </w:r>
      <w:r>
        <w:t xml:space="preserve">, </w:t>
      </w:r>
      <w:r w:rsidR="00AA7DE8">
        <w:t>consum</w:t>
      </w:r>
      <w:r w:rsidR="004A0592">
        <w:t>e</w:t>
      </w:r>
      <w:r w:rsidR="00AA7DE8">
        <w:t xml:space="preserve"> </w:t>
      </w:r>
      <w:r>
        <w:t>lo que deb</w:t>
      </w:r>
      <w:r w:rsidR="00AA7DE8">
        <w:t>a</w:t>
      </w:r>
      <w:r>
        <w:t xml:space="preserve"> </w:t>
      </w:r>
      <w:r w:rsidR="00AA7DE8">
        <w:t>consumarse</w:t>
      </w:r>
      <w:r>
        <w:t>. Es así c</w:t>
      </w:r>
      <w:r w:rsidR="00B24C3C">
        <w:t>ó</w:t>
      </w:r>
      <w:r>
        <w:t>mo se experimenta</w:t>
      </w:r>
      <w:r w:rsidR="00B24C3C">
        <w:t>rá</w:t>
      </w:r>
      <w:r>
        <w:t xml:space="preserve"> esa felicidad” (</w:t>
      </w:r>
      <w:proofErr w:type="spellStart"/>
      <w:r w:rsidRPr="00666A4C">
        <w:rPr>
          <w:i/>
          <w:iCs/>
        </w:rPr>
        <w:t>Paṭis</w:t>
      </w:r>
      <w:proofErr w:type="spellEnd"/>
      <w:r>
        <w:t xml:space="preserve"> I 187).</w:t>
      </w:r>
    </w:p>
    <w:p w14:paraId="47806A26" w14:textId="781A3AB5" w:rsidR="00B841BA" w:rsidRDefault="00B841BA" w:rsidP="00B841BA">
      <w:r>
        <w:t xml:space="preserve">229. </w:t>
      </w:r>
      <w:r>
        <w:tab/>
        <w:t>(vi–</w:t>
      </w:r>
      <w:proofErr w:type="spellStart"/>
      <w:r>
        <w:t>viii</w:t>
      </w:r>
      <w:proofErr w:type="spellEnd"/>
      <w:r>
        <w:t xml:space="preserve">) Las tres cláusulas restantes deben entenderse de la misma manera en cuanto al significado; pero </w:t>
      </w:r>
      <w:r w:rsidR="00D15930">
        <w:t>con</w:t>
      </w:r>
      <w:r>
        <w:t xml:space="preserve"> esta diferencia. Debe entenderse que la </w:t>
      </w:r>
      <w:r w:rsidRPr="00DD6222">
        <w:rPr>
          <w:i/>
          <w:iCs/>
        </w:rPr>
        <w:t>experiencia</w:t>
      </w:r>
      <w:r>
        <w:t xml:space="preserve"> de la dicha se </w:t>
      </w:r>
      <w:r w:rsidR="00DD6222">
        <w:t>experimenta</w:t>
      </w:r>
      <w:r w:rsidR="00325380">
        <w:t>rá</w:t>
      </w:r>
      <w:r w:rsidR="00DD6222">
        <w:t xml:space="preserve"> </w:t>
      </w:r>
      <w:r>
        <w:t xml:space="preserve">a través de </w:t>
      </w:r>
      <w:r w:rsidR="00325380">
        <w:t xml:space="preserve">los </w:t>
      </w:r>
      <w:r>
        <w:t xml:space="preserve">tres </w:t>
      </w:r>
      <w:proofErr w:type="spellStart"/>
      <w:r w:rsidR="00057BF4" w:rsidRPr="00057BF4">
        <w:rPr>
          <w:i/>
          <w:iCs/>
        </w:rPr>
        <w:t>jhāna</w:t>
      </w:r>
      <w:r w:rsidRPr="00666A4C">
        <w:rPr>
          <w:i/>
          <w:iCs/>
        </w:rPr>
        <w:t>s</w:t>
      </w:r>
      <w:proofErr w:type="spellEnd"/>
      <w:r>
        <w:t xml:space="preserve">, y la de la </w:t>
      </w:r>
      <w:r w:rsidRPr="000D6285">
        <w:rPr>
          <w:i/>
          <w:iCs/>
        </w:rPr>
        <w:t>formación mental</w:t>
      </w:r>
      <w:r>
        <w:t xml:space="preserve"> a través de cua</w:t>
      </w:r>
      <w:r w:rsidR="00325380">
        <w:t>r</w:t>
      </w:r>
      <w:r>
        <w:t xml:space="preserve">to. La formación mental consta de los dos agregados de </w:t>
      </w:r>
      <w:r w:rsidR="000D6285">
        <w:t xml:space="preserve">la sensación </w:t>
      </w:r>
      <w:r>
        <w:t xml:space="preserve">y </w:t>
      </w:r>
      <w:r w:rsidR="000D6285">
        <w:t xml:space="preserve">la </w:t>
      </w:r>
      <w:r>
        <w:t xml:space="preserve">percepción. Y en el caso de la cláusula, </w:t>
      </w:r>
      <w:r w:rsidRPr="00F07CBB">
        <w:rPr>
          <w:i/>
          <w:iCs/>
        </w:rPr>
        <w:t xml:space="preserve">experimentando </w:t>
      </w:r>
      <w:r w:rsidR="00F07CBB" w:rsidRPr="00F07CBB">
        <w:rPr>
          <w:i/>
          <w:iCs/>
        </w:rPr>
        <w:t>dicha</w:t>
      </w:r>
      <w:r>
        <w:t xml:space="preserve">, se dice en el </w:t>
      </w:r>
      <w:proofErr w:type="spellStart"/>
      <w:r w:rsidRPr="00666A4C">
        <w:rPr>
          <w:i/>
          <w:iCs/>
        </w:rPr>
        <w:t>Paṭisambhidā</w:t>
      </w:r>
      <w:proofErr w:type="spellEnd"/>
      <w:r>
        <w:t xml:space="preserve"> </w:t>
      </w:r>
      <w:r w:rsidR="00F07CBB">
        <w:t xml:space="preserve">con el objeto de exponer </w:t>
      </w:r>
      <w:r>
        <w:t xml:space="preserve">el plano de la </w:t>
      </w:r>
      <w:r w:rsidR="00041C7C">
        <w:t xml:space="preserve">sabiduría </w:t>
      </w:r>
      <w:r>
        <w:t>aquí también: “'</w:t>
      </w:r>
      <w:r w:rsidR="00041C7C">
        <w:t>Dicha</w:t>
      </w:r>
      <w:r>
        <w:t xml:space="preserve">': </w:t>
      </w:r>
      <w:r w:rsidR="00041C7C">
        <w:t xml:space="preserve">existen </w:t>
      </w:r>
      <w:r>
        <w:t xml:space="preserve">dos tipos de </w:t>
      </w:r>
      <w:r w:rsidR="00041C7C">
        <w:t>dicha</w:t>
      </w:r>
      <w:r>
        <w:t xml:space="preserve">, la </w:t>
      </w:r>
      <w:r w:rsidR="00041C7C">
        <w:t xml:space="preserve">dicha </w:t>
      </w:r>
      <w:r>
        <w:t xml:space="preserve">corporal y la </w:t>
      </w:r>
      <w:r w:rsidR="00041C7C">
        <w:t xml:space="preserve">dicha </w:t>
      </w:r>
      <w:r>
        <w:t>mental” (</w:t>
      </w:r>
      <w:proofErr w:type="spellStart"/>
      <w:r w:rsidR="00666A4C">
        <w:rPr>
          <w:i/>
          <w:iCs/>
        </w:rPr>
        <w:t>Paṭis</w:t>
      </w:r>
      <w:proofErr w:type="spellEnd"/>
      <w:r w:rsidR="00666A4C">
        <w:t xml:space="preserve"> </w:t>
      </w:r>
      <w:r>
        <w:t xml:space="preserve">I 188). </w:t>
      </w:r>
      <w:r w:rsidRPr="00041C7C">
        <w:rPr>
          <w:i/>
          <w:iCs/>
        </w:rPr>
        <w:t>Tranquiliza</w:t>
      </w:r>
      <w:r w:rsidR="00041C7C" w:rsidRPr="00041C7C">
        <w:rPr>
          <w:i/>
          <w:iCs/>
        </w:rPr>
        <w:t>ndo</w:t>
      </w:r>
      <w:r w:rsidRPr="00041C7C">
        <w:rPr>
          <w:i/>
          <w:iCs/>
        </w:rPr>
        <w:t xml:space="preserve"> la formación mental</w:t>
      </w:r>
      <w:r>
        <w:t>: tranquiliza</w:t>
      </w:r>
      <w:r w:rsidR="00041C7C">
        <w:t>ndo</w:t>
      </w:r>
      <w:r>
        <w:t xml:space="preserve"> la formación mental burda; deten</w:t>
      </w:r>
      <w:r w:rsidR="00C40DC0">
        <w:t>iéndo</w:t>
      </w:r>
      <w:r>
        <w:t>l</w:t>
      </w:r>
      <w:r w:rsidR="00C40DC0">
        <w:t>a</w:t>
      </w:r>
      <w:r>
        <w:t xml:space="preserve">, es el significado. Y esto debe entenderse en detalle de la misma manera </w:t>
      </w:r>
      <w:r w:rsidR="0025105B">
        <w:t xml:space="preserve">cómo </w:t>
      </w:r>
      <w:r>
        <w:t>se da bajo la formación corporal (ver §§176-85).</w:t>
      </w:r>
    </w:p>
    <w:p w14:paraId="2474FF2F" w14:textId="56E605EC" w:rsidR="00B841BA" w:rsidRDefault="00B841BA" w:rsidP="00B841BA">
      <w:r>
        <w:t xml:space="preserve">230. </w:t>
      </w:r>
      <w:r>
        <w:tab/>
        <w:t xml:space="preserve">Aquí, además, en la cláusula de “felicidad” </w:t>
      </w:r>
      <w:r w:rsidR="0025105B">
        <w:t>la sensación</w:t>
      </w:r>
      <w:r>
        <w:t xml:space="preserve"> que en realidad se contempla en esta tétrada se establece bajo el título de “felicidad”</w:t>
      </w:r>
      <w:r w:rsidR="00480B5B">
        <w:t>,</w:t>
      </w:r>
      <w:r>
        <w:t xml:space="preserve"> que es una formación</w:t>
      </w:r>
      <w:r w:rsidR="00480B5B">
        <w:t>,</w:t>
      </w:r>
      <w:r>
        <w:t xml:space="preserve"> pero en la cláusula de “</w:t>
      </w:r>
      <w:r w:rsidR="00C6093B">
        <w:t>dicha</w:t>
      </w:r>
      <w:r>
        <w:t xml:space="preserve">” </w:t>
      </w:r>
      <w:r w:rsidR="00AA041D">
        <w:t>la sensación</w:t>
      </w:r>
      <w:r>
        <w:t xml:space="preserve"> se establece en su forma propia. En las dos cláusulas de "formación mental", </w:t>
      </w:r>
      <w:r w:rsidR="00230492">
        <w:t xml:space="preserve">la sensación </w:t>
      </w:r>
      <w:r>
        <w:t>está necesariamente asociad</w:t>
      </w:r>
      <w:r w:rsidR="00230492">
        <w:t>a</w:t>
      </w:r>
      <w:r>
        <w:t xml:space="preserve"> con la percepción debido a las palabras: "La percepción y </w:t>
      </w:r>
      <w:r w:rsidR="00230492">
        <w:t xml:space="preserve">la sensación </w:t>
      </w:r>
      <w:r>
        <w:t xml:space="preserve">pertenecen a la mente, estas cosas ligadas a la mente </w:t>
      </w:r>
      <w:r w:rsidR="00480B5B">
        <w:t>corresponden a</w:t>
      </w:r>
      <w:r>
        <w:t xml:space="preserve"> </w:t>
      </w:r>
      <w:r w:rsidR="00341A96">
        <w:t xml:space="preserve">las </w:t>
      </w:r>
      <w:r>
        <w:t>formaciones mentales" (</w:t>
      </w:r>
      <w:proofErr w:type="spellStart"/>
      <w:r w:rsidRPr="00666A4C">
        <w:rPr>
          <w:i/>
          <w:iCs/>
        </w:rPr>
        <w:t>Paṭis</w:t>
      </w:r>
      <w:proofErr w:type="spellEnd"/>
      <w:r>
        <w:t xml:space="preserve"> I 188). [289]</w:t>
      </w:r>
    </w:p>
    <w:p w14:paraId="376E7D93" w14:textId="6E3A1348" w:rsidR="00B841BA" w:rsidRDefault="00B841BA" w:rsidP="00B841BA">
      <w:pPr>
        <w:pStyle w:val="NormalConSangria"/>
      </w:pPr>
      <w:r>
        <w:t xml:space="preserve"> Así </w:t>
      </w:r>
      <w:r w:rsidR="00F56F7E">
        <w:t xml:space="preserve">debe entenderse </w:t>
      </w:r>
      <w:r>
        <w:t xml:space="preserve">esta tétrada </w:t>
      </w:r>
      <w:r w:rsidR="00F56F7E">
        <w:t>al</w:t>
      </w:r>
      <w:r>
        <w:t xml:space="preserve"> tratar con la contemplación de</w:t>
      </w:r>
      <w:r w:rsidR="00F56F7E">
        <w:t xml:space="preserve"> la</w:t>
      </w:r>
      <w:r>
        <w:t xml:space="preserve"> </w:t>
      </w:r>
      <w:r w:rsidR="00F56F7E">
        <w:t>sensación</w:t>
      </w:r>
      <w:r>
        <w:t>.</w:t>
      </w:r>
    </w:p>
    <w:p w14:paraId="6DDD2E97" w14:textId="77777777" w:rsidR="000C630D" w:rsidRDefault="000C630D" w:rsidP="00B841BA">
      <w:pPr>
        <w:pStyle w:val="NormalConSangria"/>
      </w:pPr>
    </w:p>
    <w:p w14:paraId="24D43F87" w14:textId="1ED3F6A8" w:rsidR="00B841BA" w:rsidRDefault="00B841BA" w:rsidP="00B841BA">
      <w:pPr>
        <w:jc w:val="center"/>
      </w:pPr>
      <w:r>
        <w:t>[</w:t>
      </w:r>
      <w:r w:rsidRPr="00B841BA">
        <w:rPr>
          <w:i/>
          <w:iCs/>
        </w:rPr>
        <w:t xml:space="preserve">Continuación del Comentario de </w:t>
      </w:r>
      <w:r w:rsidR="000C630D">
        <w:rPr>
          <w:i/>
          <w:iCs/>
        </w:rPr>
        <w:t>Palabra por Palabra</w:t>
      </w:r>
      <w:r w:rsidRPr="00B841BA">
        <w:rPr>
          <w:i/>
          <w:iCs/>
        </w:rPr>
        <w:t>—Tercera Tétrada</w:t>
      </w:r>
      <w:r>
        <w:t>]</w:t>
      </w:r>
    </w:p>
    <w:p w14:paraId="7D95F0AF" w14:textId="1B0399F7" w:rsidR="00B841BA" w:rsidRDefault="00B841BA" w:rsidP="00B841BA">
      <w:r>
        <w:t xml:space="preserve">231. </w:t>
      </w:r>
      <w:r>
        <w:tab/>
        <w:t>(</w:t>
      </w:r>
      <w:proofErr w:type="spellStart"/>
      <w:r>
        <w:t>ix</w:t>
      </w:r>
      <w:proofErr w:type="spellEnd"/>
      <w:r>
        <w:t xml:space="preserve">) En la tercera tétrada, debe entenderse que la </w:t>
      </w:r>
      <w:r w:rsidRPr="00C007E7">
        <w:rPr>
          <w:i/>
          <w:iCs/>
        </w:rPr>
        <w:t>experiencia</w:t>
      </w:r>
      <w:r>
        <w:t xml:space="preserve"> de la [</w:t>
      </w:r>
      <w:r w:rsidRPr="00C007E7">
        <w:rPr>
          <w:i/>
          <w:iCs/>
        </w:rPr>
        <w:t>forma de</w:t>
      </w:r>
      <w:r w:rsidR="00DA1053">
        <w:rPr>
          <w:i/>
          <w:iCs/>
        </w:rPr>
        <w:t xml:space="preserve"> la</w:t>
      </w:r>
      <w:r>
        <w:t>] con</w:t>
      </w:r>
      <w:r w:rsidR="00C007E7">
        <w:t>s</w:t>
      </w:r>
      <w:r>
        <w:t xml:space="preserve">ciencia </w:t>
      </w:r>
      <w:r w:rsidR="00C007E7">
        <w:t>se da</w:t>
      </w:r>
      <w:r>
        <w:t xml:space="preserve"> a través de </w:t>
      </w:r>
      <w:r w:rsidR="00C007E7">
        <w:t xml:space="preserve">los </w:t>
      </w:r>
      <w:r>
        <w:t xml:space="preserve">cuatro </w:t>
      </w:r>
      <w:proofErr w:type="spellStart"/>
      <w:r w:rsidR="00057BF4" w:rsidRPr="00057BF4">
        <w:rPr>
          <w:i/>
          <w:iCs/>
        </w:rPr>
        <w:t>jhāna</w:t>
      </w:r>
      <w:r w:rsidRPr="00666A4C">
        <w:rPr>
          <w:i/>
          <w:iCs/>
        </w:rPr>
        <w:t>s</w:t>
      </w:r>
      <w:proofErr w:type="spellEnd"/>
      <w:r>
        <w:t>.</w:t>
      </w:r>
    </w:p>
    <w:p w14:paraId="7C3F772F" w14:textId="2493AAFC" w:rsidR="00B841BA" w:rsidRDefault="00B841BA" w:rsidP="00B841BA">
      <w:pPr>
        <w:pStyle w:val="NormalConSangria"/>
      </w:pPr>
      <w:r>
        <w:t xml:space="preserve">(x) </w:t>
      </w:r>
      <w:r w:rsidRPr="00666A4C">
        <w:rPr>
          <w:i/>
          <w:iCs/>
        </w:rPr>
        <w:t xml:space="preserve">Alegrando la </w:t>
      </w:r>
      <w:r w:rsidRPr="00676E56">
        <w:t>[</w:t>
      </w:r>
      <w:r w:rsidR="006A4FDF">
        <w:rPr>
          <w:i/>
          <w:iCs/>
        </w:rPr>
        <w:t>forma</w:t>
      </w:r>
      <w:r w:rsidRPr="00666A4C">
        <w:rPr>
          <w:i/>
          <w:iCs/>
        </w:rPr>
        <w:t xml:space="preserve"> de</w:t>
      </w:r>
      <w:r w:rsidRPr="00676E56">
        <w:t>]</w:t>
      </w:r>
      <w:r w:rsidRPr="00666A4C">
        <w:rPr>
          <w:i/>
          <w:iCs/>
        </w:rPr>
        <w:t xml:space="preserve"> la con</w:t>
      </w:r>
      <w:r w:rsidR="00676E56">
        <w:rPr>
          <w:i/>
          <w:iCs/>
        </w:rPr>
        <w:t>s</w:t>
      </w:r>
      <w:r w:rsidRPr="00666A4C">
        <w:rPr>
          <w:i/>
          <w:iCs/>
        </w:rPr>
        <w:t>ciencia</w:t>
      </w:r>
      <w:r>
        <w:t xml:space="preserve">: él </w:t>
      </w:r>
      <w:r w:rsidR="00676E56">
        <w:t xml:space="preserve">se </w:t>
      </w:r>
      <w:r>
        <w:t xml:space="preserve">entrena así: “Alegrando la mente, inculcando alegría en ella, animándola, regocijándola, inhalaré, exhalaré”. Aquí </w:t>
      </w:r>
      <w:r w:rsidR="00676E56">
        <w:t>exist</w:t>
      </w:r>
      <w:r w:rsidR="006A4FDF">
        <w:t>irá</w:t>
      </w:r>
      <w:r w:rsidR="0097296B">
        <w:t xml:space="preserve"> </w:t>
      </w:r>
      <w:r>
        <w:t>alegría de dos maneras, a través de la concentración y</w:t>
      </w:r>
      <w:r w:rsidR="0097296B">
        <w:t xml:space="preserve"> </w:t>
      </w:r>
      <w:r>
        <w:t xml:space="preserve">a través de la </w:t>
      </w:r>
      <w:r w:rsidR="00AF62FD" w:rsidRPr="00527EA6">
        <w:t>sabid</w:t>
      </w:r>
      <w:r w:rsidR="00AF62FD">
        <w:t>uría–revelativa</w:t>
      </w:r>
      <w:r>
        <w:t>.</w:t>
      </w:r>
    </w:p>
    <w:p w14:paraId="6CE3C8BE" w14:textId="4ADAE721" w:rsidR="00B841BA" w:rsidRDefault="00B841BA" w:rsidP="00B841BA">
      <w:pPr>
        <w:pStyle w:val="NormalConSangria"/>
      </w:pPr>
      <w:r>
        <w:t xml:space="preserve">¿Cómo </w:t>
      </w:r>
      <w:r w:rsidR="0097296B">
        <w:t xml:space="preserve">se da a </w:t>
      </w:r>
      <w:r>
        <w:t xml:space="preserve">través de la concentración? </w:t>
      </w:r>
      <w:r w:rsidR="0097296B">
        <w:t xml:space="preserve">Él </w:t>
      </w:r>
      <w:r w:rsidR="00B552BE">
        <w:t>desarrolla</w:t>
      </w:r>
      <w:r w:rsidR="006A4FDF">
        <w:t>rá</w:t>
      </w:r>
      <w:r>
        <w:t xml:space="preserve"> los dos </w:t>
      </w:r>
      <w:proofErr w:type="spellStart"/>
      <w:r w:rsidR="00057BF4" w:rsidRPr="00057BF4">
        <w:rPr>
          <w:i/>
          <w:iCs/>
        </w:rPr>
        <w:t>jhāna</w:t>
      </w:r>
      <w:r w:rsidRPr="00666A4C">
        <w:rPr>
          <w:i/>
          <w:iCs/>
        </w:rPr>
        <w:t>s</w:t>
      </w:r>
      <w:proofErr w:type="spellEnd"/>
      <w:r>
        <w:t xml:space="preserve"> en los que </w:t>
      </w:r>
      <w:r w:rsidR="00B552BE">
        <w:t xml:space="preserve">la felicidad </w:t>
      </w:r>
      <w:r>
        <w:t>est</w:t>
      </w:r>
      <w:r w:rsidR="00B552BE">
        <w:t>é</w:t>
      </w:r>
      <w:r>
        <w:t xml:space="preserve"> presente. En el momento en que realmente ha</w:t>
      </w:r>
      <w:r w:rsidR="00B552BE">
        <w:t>ya</w:t>
      </w:r>
      <w:r>
        <w:t xml:space="preserve"> entrado en ellos, inspira</w:t>
      </w:r>
      <w:r w:rsidR="00B552BE">
        <w:t>rá</w:t>
      </w:r>
      <w:r>
        <w:t xml:space="preserve"> </w:t>
      </w:r>
      <w:r w:rsidR="00691719">
        <w:t>en</w:t>
      </w:r>
      <w:r>
        <w:t xml:space="preserve"> la mente</w:t>
      </w:r>
      <w:r w:rsidR="00691719" w:rsidRPr="00691719">
        <w:t xml:space="preserve"> </w:t>
      </w:r>
      <w:r w:rsidR="00691719">
        <w:t>alegría</w:t>
      </w:r>
      <w:r>
        <w:t>, infund</w:t>
      </w:r>
      <w:r w:rsidR="00691719">
        <w:t>irá</w:t>
      </w:r>
      <w:r>
        <w:t xml:space="preserve"> alegría en ella, por medio de la felicidad asociada con el </w:t>
      </w:r>
      <w:proofErr w:type="spellStart"/>
      <w:r w:rsidR="00057BF4" w:rsidRPr="00057BF4">
        <w:rPr>
          <w:i/>
          <w:iCs/>
        </w:rPr>
        <w:t>jhāna</w:t>
      </w:r>
      <w:proofErr w:type="spellEnd"/>
      <w:r>
        <w:t xml:space="preserve">. ¿Cómo a través de la </w:t>
      </w:r>
      <w:r w:rsidR="00243067" w:rsidRPr="00527EA6">
        <w:t>sabid</w:t>
      </w:r>
      <w:r w:rsidR="00243067">
        <w:t>uría–revelativa</w:t>
      </w:r>
      <w:r>
        <w:t xml:space="preserve">? Después de entrar y emerger de uno de los dos </w:t>
      </w:r>
      <w:proofErr w:type="spellStart"/>
      <w:r w:rsidR="00057BF4" w:rsidRPr="00057BF4">
        <w:rPr>
          <w:i/>
          <w:iCs/>
        </w:rPr>
        <w:t>jhāna</w:t>
      </w:r>
      <w:r w:rsidRPr="00666A4C">
        <w:rPr>
          <w:i/>
          <w:iCs/>
        </w:rPr>
        <w:t>s</w:t>
      </w:r>
      <w:proofErr w:type="spellEnd"/>
      <w:r>
        <w:t xml:space="preserve"> acompañado de felicidad, comprende</w:t>
      </w:r>
      <w:r w:rsidR="00AE56AB">
        <w:t>rá</w:t>
      </w:r>
      <w:r>
        <w:t xml:space="preserve"> </w:t>
      </w:r>
      <w:r w:rsidR="00243067">
        <w:t>por medio de la</w:t>
      </w:r>
      <w:r>
        <w:t xml:space="preserve"> </w:t>
      </w:r>
      <w:r w:rsidR="00243067" w:rsidRPr="00527EA6">
        <w:t>sabid</w:t>
      </w:r>
      <w:r w:rsidR="00243067">
        <w:t>uría–revelativa</w:t>
      </w:r>
      <w:r w:rsidR="00AE56AB">
        <w:t xml:space="preserve"> </w:t>
      </w:r>
      <w:r>
        <w:t xml:space="preserve">que la felicidad asociada con el </w:t>
      </w:r>
      <w:proofErr w:type="spellStart"/>
      <w:r w:rsidR="00057BF4" w:rsidRPr="00057BF4">
        <w:rPr>
          <w:i/>
          <w:iCs/>
        </w:rPr>
        <w:t>jhāna</w:t>
      </w:r>
      <w:proofErr w:type="spellEnd"/>
      <w:r>
        <w:t xml:space="preserve"> está sujeta a la destrucción y </w:t>
      </w:r>
      <w:r w:rsidR="00AE56AB">
        <w:t xml:space="preserve">a </w:t>
      </w:r>
      <w:r>
        <w:t xml:space="preserve">la </w:t>
      </w:r>
      <w:r w:rsidR="00AE56AB">
        <w:t>desaparición</w:t>
      </w:r>
      <w:r>
        <w:t xml:space="preserve">; así, en el momento real de la </w:t>
      </w:r>
      <w:r w:rsidR="00243067" w:rsidRPr="00527EA6">
        <w:t>sabid</w:t>
      </w:r>
      <w:r w:rsidR="00243067">
        <w:t>uría–revelativa</w:t>
      </w:r>
      <w:r>
        <w:t>, inspira</w:t>
      </w:r>
      <w:r w:rsidR="00B831A3">
        <w:t>rá</w:t>
      </w:r>
      <w:r>
        <w:t xml:space="preserve"> alegría ment</w:t>
      </w:r>
      <w:r w:rsidR="00243067">
        <w:t>al</w:t>
      </w:r>
      <w:r>
        <w:t>, infund</w:t>
      </w:r>
      <w:r w:rsidR="00B831A3">
        <w:t>irá</w:t>
      </w:r>
      <w:r>
        <w:t xml:space="preserve"> alegría en ella, haciendo que la felicidad asociada con el </w:t>
      </w:r>
      <w:proofErr w:type="spellStart"/>
      <w:r w:rsidR="00057BF4" w:rsidRPr="00057BF4">
        <w:rPr>
          <w:i/>
          <w:iCs/>
        </w:rPr>
        <w:t>jhāna</w:t>
      </w:r>
      <w:proofErr w:type="spellEnd"/>
      <w:r>
        <w:t xml:space="preserve"> sea el objeto</w:t>
      </w:r>
      <w:r w:rsidR="00C64D59">
        <w:t>.</w:t>
      </w:r>
      <w:r>
        <w:t xml:space="preserve"> </w:t>
      </w:r>
      <w:r w:rsidR="00C65392">
        <w:t>Es con el</w:t>
      </w:r>
      <w:r w:rsidR="00243067" w:rsidRPr="00243067">
        <w:t xml:space="preserve"> </w:t>
      </w:r>
      <w:r w:rsidR="00243067">
        <w:t>progreso que en este sentido se enuncia las palabras:</w:t>
      </w:r>
    </w:p>
    <w:p w14:paraId="7D411BB3" w14:textId="77777777" w:rsidR="00B841BA" w:rsidRDefault="00B841BA">
      <w:pPr>
        <w:tabs>
          <w:tab w:val="clear" w:pos="425"/>
        </w:tabs>
        <w:spacing w:after="160"/>
      </w:pPr>
      <w:r>
        <w:br w:type="page"/>
      </w:r>
    </w:p>
    <w:p w14:paraId="13F49917" w14:textId="77777777" w:rsidR="008169BA" w:rsidRDefault="008169BA" w:rsidP="00B841BA">
      <w:pPr>
        <w:pStyle w:val="NormalConSangria"/>
      </w:pPr>
    </w:p>
    <w:p w14:paraId="104A554B" w14:textId="161A242D" w:rsidR="008169BA" w:rsidRDefault="008169BA" w:rsidP="008169BA">
      <w:r>
        <w:t xml:space="preserve">“Él </w:t>
      </w:r>
      <w:r w:rsidR="00EB2167">
        <w:t xml:space="preserve">se </w:t>
      </w:r>
      <w:r>
        <w:t>entrena así: ‘</w:t>
      </w:r>
      <w:r w:rsidR="00EB2167">
        <w:t>Inhalaré</w:t>
      </w:r>
      <w:r>
        <w:t>… exhalaré alegrando la [</w:t>
      </w:r>
      <w:r w:rsidR="00913637">
        <w:t>forma</w:t>
      </w:r>
      <w:r>
        <w:t xml:space="preserve"> de</w:t>
      </w:r>
      <w:r w:rsidR="00913637">
        <w:t xml:space="preserve"> la</w:t>
      </w:r>
      <w:r>
        <w:t>] con</w:t>
      </w:r>
      <w:r w:rsidR="00EB2167">
        <w:t>s</w:t>
      </w:r>
      <w:r>
        <w:t>ciencia’”.</w:t>
      </w:r>
    </w:p>
    <w:p w14:paraId="0EB6DE50" w14:textId="00B0ACC1" w:rsidR="008169BA" w:rsidRDefault="008169BA" w:rsidP="008169BA">
      <w:r>
        <w:t xml:space="preserve">232. </w:t>
      </w:r>
      <w:r w:rsidR="00666A4C">
        <w:tab/>
      </w:r>
      <w:r>
        <w:t xml:space="preserve">(xi) </w:t>
      </w:r>
      <w:r w:rsidRPr="00666A4C">
        <w:rPr>
          <w:i/>
          <w:iCs/>
        </w:rPr>
        <w:t>Concentrado</w:t>
      </w:r>
      <w:r>
        <w:t xml:space="preserve"> (</w:t>
      </w:r>
      <w:proofErr w:type="spellStart"/>
      <w:r w:rsidRPr="00666A4C">
        <w:rPr>
          <w:i/>
          <w:iCs/>
        </w:rPr>
        <w:t>samādahaṃ</w:t>
      </w:r>
      <w:proofErr w:type="spellEnd"/>
      <w:r>
        <w:t xml:space="preserve">) </w:t>
      </w:r>
      <w:r w:rsidR="00A75E18">
        <w:t xml:space="preserve">en </w:t>
      </w:r>
      <w:r w:rsidRPr="00666A4C">
        <w:rPr>
          <w:i/>
          <w:iCs/>
        </w:rPr>
        <w:t>la manera de la con</w:t>
      </w:r>
      <w:r w:rsidR="001B1C67">
        <w:rPr>
          <w:i/>
          <w:iCs/>
        </w:rPr>
        <w:t>s</w:t>
      </w:r>
      <w:r w:rsidRPr="00666A4C">
        <w:rPr>
          <w:i/>
          <w:iCs/>
        </w:rPr>
        <w:t>ciencia</w:t>
      </w:r>
      <w:r>
        <w:t>: uniformemente (</w:t>
      </w:r>
      <w:proofErr w:type="spellStart"/>
      <w:r w:rsidRPr="00666A4C">
        <w:rPr>
          <w:i/>
          <w:iCs/>
        </w:rPr>
        <w:t>samaṃ</w:t>
      </w:r>
      <w:proofErr w:type="spellEnd"/>
      <w:r>
        <w:t>) colocando (</w:t>
      </w:r>
      <w:proofErr w:type="spellStart"/>
      <w:r w:rsidRPr="00666A4C">
        <w:rPr>
          <w:i/>
          <w:iCs/>
        </w:rPr>
        <w:t>ādahanto</w:t>
      </w:r>
      <w:proofErr w:type="spellEnd"/>
      <w:r>
        <w:t xml:space="preserve">) la mente, colocándola </w:t>
      </w:r>
      <w:r w:rsidR="003C5F39">
        <w:t xml:space="preserve">uniformemente </w:t>
      </w:r>
      <w:r>
        <w:t xml:space="preserve">en su objeto por medio del primer </w:t>
      </w:r>
      <w:proofErr w:type="spellStart"/>
      <w:r w:rsidR="00057BF4" w:rsidRPr="00057BF4">
        <w:rPr>
          <w:i/>
          <w:iCs/>
        </w:rPr>
        <w:t>jhāna</w:t>
      </w:r>
      <w:proofErr w:type="spellEnd"/>
      <w:r>
        <w:t xml:space="preserve"> y así sucesivamente. O alternativamente, cuando, </w:t>
      </w:r>
      <w:r w:rsidR="003C5F39">
        <w:t>al haber</w:t>
      </w:r>
      <w:r>
        <w:t xml:space="preserve"> entrado en esos </w:t>
      </w:r>
      <w:proofErr w:type="spellStart"/>
      <w:r w:rsidR="00057BF4" w:rsidRPr="00057BF4">
        <w:rPr>
          <w:i/>
          <w:iCs/>
        </w:rPr>
        <w:t>jhāna</w:t>
      </w:r>
      <w:r w:rsidRPr="00666A4C">
        <w:rPr>
          <w:i/>
          <w:iCs/>
        </w:rPr>
        <w:t>s</w:t>
      </w:r>
      <w:proofErr w:type="spellEnd"/>
      <w:r>
        <w:t xml:space="preserve"> y emergido de ellos, comprende</w:t>
      </w:r>
      <w:r w:rsidR="00AD55A5">
        <w:t>rá</w:t>
      </w:r>
      <w:r>
        <w:t xml:space="preserve"> con </w:t>
      </w:r>
      <w:r w:rsidR="00AD55A5">
        <w:t xml:space="preserve">sabiduría </w:t>
      </w:r>
      <w:r>
        <w:t>que la con</w:t>
      </w:r>
      <w:r w:rsidR="00AD55A5">
        <w:t>s</w:t>
      </w:r>
      <w:r>
        <w:t xml:space="preserve">ciencia asociada con el </w:t>
      </w:r>
      <w:proofErr w:type="spellStart"/>
      <w:r w:rsidR="00057BF4" w:rsidRPr="00057BF4">
        <w:rPr>
          <w:i/>
          <w:iCs/>
        </w:rPr>
        <w:t>jhāna</w:t>
      </w:r>
      <w:proofErr w:type="spellEnd"/>
      <w:r>
        <w:t xml:space="preserve"> está sujeta a </w:t>
      </w:r>
      <w:r w:rsidR="009568C6">
        <w:t xml:space="preserve">la </w:t>
      </w:r>
      <w:r>
        <w:t xml:space="preserve">destrucción y </w:t>
      </w:r>
      <w:r w:rsidR="00AD55A5">
        <w:t>la desaparición</w:t>
      </w:r>
      <w:r>
        <w:t xml:space="preserve">, entonces, en el momento real de la </w:t>
      </w:r>
      <w:r w:rsidR="00AD55A5">
        <w:t>sabiduría</w:t>
      </w:r>
      <w:r>
        <w:t>, surg</w:t>
      </w:r>
      <w:r w:rsidR="00AD55A5">
        <w:t>irá</w:t>
      </w:r>
      <w:r>
        <w:t xml:space="preserve"> la unificación </w:t>
      </w:r>
      <w:r w:rsidR="00AD55A5">
        <w:t xml:space="preserve">mental </w:t>
      </w:r>
      <w:r>
        <w:t>momentánea</w:t>
      </w:r>
      <w:r w:rsidRPr="004A2807">
        <w:rPr>
          <w:vertAlign w:val="superscript"/>
        </w:rPr>
        <w:t>64</w:t>
      </w:r>
      <w:r>
        <w:t xml:space="preserve"> a través de la penetración de las características de la impermanencia, etc. Así, las palabras, "Él </w:t>
      </w:r>
      <w:r w:rsidR="00AD55A5">
        <w:t xml:space="preserve">se </w:t>
      </w:r>
      <w:r>
        <w:t>entrena así: '</w:t>
      </w:r>
      <w:r w:rsidR="00AD55A5">
        <w:t>Inhalaré</w:t>
      </w:r>
      <w:r>
        <w:t xml:space="preserve">... exhalaré concentrado </w:t>
      </w:r>
      <w:r w:rsidR="00A75E18">
        <w:t xml:space="preserve">en </w:t>
      </w:r>
      <w:r>
        <w:t xml:space="preserve">la manera de la </w:t>
      </w:r>
      <w:r w:rsidR="00305E12">
        <w:t>consciencia</w:t>
      </w:r>
      <w:r>
        <w:t xml:space="preserve">'", se dicen también </w:t>
      </w:r>
      <w:r w:rsidR="00303038">
        <w:t>en</w:t>
      </w:r>
      <w:r>
        <w:t xml:space="preserve"> alguien que colo</w:t>
      </w:r>
      <w:r w:rsidR="00303038">
        <w:t>que</w:t>
      </w:r>
      <w:r>
        <w:t xml:space="preserve"> la mente uniformemente, la coloca uniformemente en su objeto por medio de la </w:t>
      </w:r>
      <w:r w:rsidR="001D2BFF">
        <w:t xml:space="preserve">unificación </w:t>
      </w:r>
      <w:r>
        <w:t>momentánea de la mente surgida así.</w:t>
      </w:r>
    </w:p>
    <w:p w14:paraId="187B6228" w14:textId="2D13D861" w:rsidR="008169BA" w:rsidRDefault="008169BA" w:rsidP="008169BA">
      <w:r>
        <w:t xml:space="preserve">233. </w:t>
      </w:r>
      <w:r w:rsidR="00666A4C">
        <w:tab/>
      </w:r>
      <w:r>
        <w:t>(</w:t>
      </w:r>
      <w:proofErr w:type="spellStart"/>
      <w:r>
        <w:t>xii</w:t>
      </w:r>
      <w:proofErr w:type="spellEnd"/>
      <w:r>
        <w:t xml:space="preserve">) </w:t>
      </w:r>
      <w:r w:rsidRPr="00666A4C">
        <w:rPr>
          <w:i/>
          <w:iCs/>
        </w:rPr>
        <w:t xml:space="preserve">Liberando la </w:t>
      </w:r>
      <w:r w:rsidRPr="00C42DCA">
        <w:t>[</w:t>
      </w:r>
      <w:r w:rsidR="00B04EA8">
        <w:rPr>
          <w:i/>
          <w:iCs/>
        </w:rPr>
        <w:t>forma</w:t>
      </w:r>
      <w:r w:rsidRPr="00666A4C">
        <w:rPr>
          <w:i/>
          <w:iCs/>
        </w:rPr>
        <w:t xml:space="preserve"> de</w:t>
      </w:r>
      <w:r w:rsidRPr="00C42DCA">
        <w:t>]</w:t>
      </w:r>
      <w:r w:rsidRPr="00666A4C">
        <w:rPr>
          <w:i/>
          <w:iCs/>
        </w:rPr>
        <w:t xml:space="preserve"> </w:t>
      </w:r>
      <w:r w:rsidR="00C42DCA">
        <w:rPr>
          <w:i/>
          <w:iCs/>
        </w:rPr>
        <w:t xml:space="preserve">la </w:t>
      </w:r>
      <w:r w:rsidRPr="00666A4C">
        <w:rPr>
          <w:i/>
          <w:iCs/>
        </w:rPr>
        <w:t>con</w:t>
      </w:r>
      <w:r w:rsidR="00C42DCA">
        <w:rPr>
          <w:i/>
          <w:iCs/>
        </w:rPr>
        <w:t>s</w:t>
      </w:r>
      <w:r w:rsidRPr="00666A4C">
        <w:rPr>
          <w:i/>
          <w:iCs/>
        </w:rPr>
        <w:t>ciencia</w:t>
      </w:r>
      <w:r>
        <w:t>: él inhala</w:t>
      </w:r>
      <w:r w:rsidR="00C42DCA">
        <w:t>rá</w:t>
      </w:r>
      <w:r>
        <w:t xml:space="preserve"> y exhala</w:t>
      </w:r>
      <w:r w:rsidR="00C42DCA">
        <w:t>rá</w:t>
      </w:r>
      <w:r>
        <w:t xml:space="preserve"> liberando, librando, </w:t>
      </w:r>
      <w:r w:rsidR="00A753E6">
        <w:t xml:space="preserve">a </w:t>
      </w:r>
      <w:r>
        <w:t xml:space="preserve">la mente de obstáculos por medio del primer </w:t>
      </w:r>
      <w:proofErr w:type="spellStart"/>
      <w:r w:rsidR="00057BF4" w:rsidRPr="00057BF4">
        <w:rPr>
          <w:i/>
          <w:iCs/>
        </w:rPr>
        <w:t>jhāna</w:t>
      </w:r>
      <w:proofErr w:type="spellEnd"/>
      <w:r>
        <w:t>, de</w:t>
      </w:r>
      <w:r w:rsidR="00A753E6">
        <w:t xml:space="preserve"> </w:t>
      </w:r>
      <w:r>
        <w:t>l</w:t>
      </w:r>
      <w:r w:rsidR="00A753E6">
        <w:t>a</w:t>
      </w:r>
      <w:r>
        <w:t xml:space="preserve"> </w:t>
      </w:r>
      <w:r w:rsidR="00A753E6">
        <w:t xml:space="preserve">aplicación y sustentación mental </w:t>
      </w:r>
      <w:r>
        <w:t xml:space="preserve">por medio del segundo, de la felicidad por medio del tercero, del placer y del dolor por medio del cuarto. O alternativamente, cuando, </w:t>
      </w:r>
      <w:r w:rsidR="009D5FA8">
        <w:t>al haber</w:t>
      </w:r>
      <w:r>
        <w:t xml:space="preserve"> entrado en esos </w:t>
      </w:r>
      <w:proofErr w:type="spellStart"/>
      <w:r w:rsidR="00057BF4" w:rsidRPr="00057BF4">
        <w:rPr>
          <w:i/>
          <w:iCs/>
        </w:rPr>
        <w:t>jhāna</w:t>
      </w:r>
      <w:r w:rsidRPr="00666A4C">
        <w:rPr>
          <w:i/>
          <w:iCs/>
        </w:rPr>
        <w:t>s</w:t>
      </w:r>
      <w:proofErr w:type="spellEnd"/>
      <w:r>
        <w:t xml:space="preserve"> y emergido de ellos, comprend</w:t>
      </w:r>
      <w:r w:rsidR="009D5FA8">
        <w:t>a</w:t>
      </w:r>
      <w:r>
        <w:t xml:space="preserve"> </w:t>
      </w:r>
      <w:r w:rsidR="00850AF3">
        <w:t>por medio de la</w:t>
      </w:r>
      <w:r>
        <w:t xml:space="preserve"> </w:t>
      </w:r>
      <w:r w:rsidR="00850AF3" w:rsidRPr="00527EA6">
        <w:t>sabid</w:t>
      </w:r>
      <w:r w:rsidR="00850AF3">
        <w:t>uría–revelativa</w:t>
      </w:r>
      <w:r w:rsidR="004D724C">
        <w:t xml:space="preserve"> </w:t>
      </w:r>
      <w:r>
        <w:t>que la con</w:t>
      </w:r>
      <w:r w:rsidR="004D724C">
        <w:t>s</w:t>
      </w:r>
      <w:r>
        <w:t xml:space="preserve">ciencia asociada </w:t>
      </w:r>
      <w:r w:rsidR="009D5FA8">
        <w:t>a</w:t>
      </w:r>
      <w:r>
        <w:t xml:space="preserve">l </w:t>
      </w:r>
      <w:proofErr w:type="spellStart"/>
      <w:r w:rsidR="00057BF4" w:rsidRPr="00057BF4">
        <w:rPr>
          <w:i/>
          <w:iCs/>
        </w:rPr>
        <w:t>jhāna</w:t>
      </w:r>
      <w:proofErr w:type="spellEnd"/>
      <w:r>
        <w:t xml:space="preserve"> est</w:t>
      </w:r>
      <w:r w:rsidR="00850AF3">
        <w:t>ar</w:t>
      </w:r>
      <w:r>
        <w:t xml:space="preserve">á sujeta a la destrucción y a la </w:t>
      </w:r>
      <w:r w:rsidR="004D724C">
        <w:t>desaparición</w:t>
      </w:r>
      <w:r>
        <w:t xml:space="preserve">, entonces, en el momento real del discernimiento, </w:t>
      </w:r>
      <w:r w:rsidR="009D5FA8">
        <w:t xml:space="preserve">se </w:t>
      </w:r>
      <w:r w:rsidR="004D724C">
        <w:t>liberará</w:t>
      </w:r>
      <w:r>
        <w:t xml:space="preserve">, </w:t>
      </w:r>
      <w:r w:rsidR="009D5FA8">
        <w:t xml:space="preserve">se </w:t>
      </w:r>
      <w:r w:rsidR="004D724C">
        <w:t xml:space="preserve">librará, a </w:t>
      </w:r>
      <w:r>
        <w:t xml:space="preserve">la mente de la percepción de permanencia por medio de la contemplación de la impermanencia, de la percepción del placer por medio de la contemplación del dolor, de la percepción del </w:t>
      </w:r>
      <w:r w:rsidR="00592D9C">
        <w:t xml:space="preserve">alma </w:t>
      </w:r>
      <w:r>
        <w:t>por medio de la contemplación del no-</w:t>
      </w:r>
      <w:r w:rsidR="00592D9C">
        <w:t>alma</w:t>
      </w:r>
      <w:r>
        <w:t xml:space="preserve">, del </w:t>
      </w:r>
      <w:r w:rsidR="003F0A78">
        <w:t xml:space="preserve">placer </w:t>
      </w:r>
      <w:r>
        <w:t xml:space="preserve">por medio de la contemplación del desapasionamiento, de la codicia por mediante la contemplación del </w:t>
      </w:r>
      <w:r w:rsidRPr="00732DCE">
        <w:rPr>
          <w:i/>
          <w:iCs/>
        </w:rPr>
        <w:t>desvanecimiento</w:t>
      </w:r>
      <w:r>
        <w:t xml:space="preserve">, del </w:t>
      </w:r>
      <w:r w:rsidR="00BE5B55">
        <w:t>surgimiento</w:t>
      </w:r>
      <w:r>
        <w:t xml:space="preserve"> mediante la contemplación de la cesación, de</w:t>
      </w:r>
      <w:r w:rsidR="00902004">
        <w:t xml:space="preserve"> </w:t>
      </w:r>
      <w:r>
        <w:t>l</w:t>
      </w:r>
      <w:r w:rsidR="00902004">
        <w:t>a</w:t>
      </w:r>
      <w:r>
        <w:t xml:space="preserve"> </w:t>
      </w:r>
      <w:r w:rsidR="00902004">
        <w:t>mezquindad</w:t>
      </w:r>
      <w:r w:rsidR="00713F26">
        <w:t xml:space="preserve"> </w:t>
      </w:r>
      <w:r>
        <w:t>mediante la contemplación de la renuncia</w:t>
      </w:r>
      <w:r w:rsidR="00713F26">
        <w:t>ción</w:t>
      </w:r>
      <w:r>
        <w:t xml:space="preserve">. Por lo tanto, se dice: [290] “Él </w:t>
      </w:r>
      <w:r w:rsidR="00713F26">
        <w:t xml:space="preserve">se </w:t>
      </w:r>
      <w:r>
        <w:t>entrena así: ‘</w:t>
      </w:r>
      <w:r w:rsidR="00713F26">
        <w:t>Inhalaré</w:t>
      </w:r>
      <w:r>
        <w:t xml:space="preserve">… exhalaré liberando la </w:t>
      </w:r>
      <w:r w:rsidR="00B04EA8">
        <w:t>forma</w:t>
      </w:r>
      <w:r>
        <w:t xml:space="preserve"> de la </w:t>
      </w:r>
      <w:r w:rsidR="00305E12">
        <w:t>consciencia</w:t>
      </w:r>
      <w:r>
        <w:t>.</w:t>
      </w:r>
      <w:r w:rsidRPr="004A2807">
        <w:rPr>
          <w:vertAlign w:val="superscript"/>
        </w:rPr>
        <w:t>65</w:t>
      </w:r>
      <w:r>
        <w:t xml:space="preserve">’” Así debe entenderse </w:t>
      </w:r>
      <w:r w:rsidR="000A6BB3">
        <w:t xml:space="preserve">esta tétrada </w:t>
      </w:r>
      <w:r>
        <w:t>para tratar con la contemplación ment</w:t>
      </w:r>
      <w:r w:rsidR="000A6BB3">
        <w:t>al</w:t>
      </w:r>
      <w:r>
        <w:t>.</w:t>
      </w:r>
    </w:p>
    <w:p w14:paraId="27333041" w14:textId="77777777" w:rsidR="00B04EA8" w:rsidRDefault="00B04EA8" w:rsidP="008169BA"/>
    <w:p w14:paraId="7CE3537A" w14:textId="26E5427F" w:rsidR="008169BA" w:rsidRDefault="008169BA" w:rsidP="008169BA">
      <w:pPr>
        <w:pStyle w:val="Piedepgina"/>
        <w:rPr>
          <w:u w:val="single"/>
        </w:rPr>
      </w:pPr>
      <w:r>
        <w:rPr>
          <w:u w:val="single"/>
        </w:rPr>
        <w:t xml:space="preserve">                                                                                                                                                                          .</w:t>
      </w:r>
    </w:p>
    <w:p w14:paraId="25277E48" w14:textId="5E7BA2A8" w:rsidR="008169BA" w:rsidRDefault="008169BA" w:rsidP="00595994">
      <w:pPr>
        <w:pStyle w:val="PiedepginaLegal"/>
        <w:tabs>
          <w:tab w:val="clear" w:pos="6804"/>
        </w:tabs>
        <w:ind w:right="476"/>
      </w:pPr>
      <w:r>
        <w:t xml:space="preserve">64. </w:t>
      </w:r>
      <w:r>
        <w:tab/>
        <w:t>“‘Unificación momentánea ment</w:t>
      </w:r>
      <w:r w:rsidR="00104CA4">
        <w:t>al</w:t>
      </w:r>
      <w:r>
        <w:t xml:space="preserve">’: concentración que dura solo un momento. </w:t>
      </w:r>
      <w:r w:rsidR="00876168">
        <w:t>Ya que</w:t>
      </w:r>
      <w:r>
        <w:t xml:space="preserve"> eso también, cuando ocurr</w:t>
      </w:r>
      <w:r w:rsidR="00C84893">
        <w:t>a</w:t>
      </w:r>
      <w:r>
        <w:t xml:space="preserve"> ininterrumpidamente en su objeto en un solo modo y no s</w:t>
      </w:r>
      <w:r w:rsidR="00C84893">
        <w:t>ea</w:t>
      </w:r>
      <w:r>
        <w:t xml:space="preserve"> vencido por la oposición, fija</w:t>
      </w:r>
      <w:r w:rsidR="00C84893">
        <w:t>rá</w:t>
      </w:r>
      <w:r>
        <w:t xml:space="preserve"> la mente inamovible</w:t>
      </w:r>
      <w:r w:rsidR="00876168">
        <w:t>mente</w:t>
      </w:r>
      <w:r>
        <w:t>, como si estuviera en absorción” (</w:t>
      </w:r>
      <w:proofErr w:type="spellStart"/>
      <w:r>
        <w:t>Vism-mhṭ</w:t>
      </w:r>
      <w:proofErr w:type="spellEnd"/>
      <w:r>
        <w:t xml:space="preserve"> 278).</w:t>
      </w:r>
    </w:p>
    <w:p w14:paraId="0375E89F" w14:textId="667D40BF" w:rsidR="008169BA" w:rsidRDefault="008169BA" w:rsidP="00595994">
      <w:pPr>
        <w:pStyle w:val="PiedepginaLegal"/>
        <w:tabs>
          <w:tab w:val="clear" w:pos="6804"/>
        </w:tabs>
        <w:ind w:right="476"/>
      </w:pPr>
      <w:r>
        <w:t xml:space="preserve">65. </w:t>
      </w:r>
      <w:r>
        <w:tab/>
        <w:t xml:space="preserve">“‘Liberar’: apartar, separar, por medio de </w:t>
      </w:r>
      <w:r w:rsidR="005C3EAC">
        <w:t xml:space="preserve">la </w:t>
      </w:r>
      <w:r>
        <w:t xml:space="preserve">liberación consistente </w:t>
      </w:r>
      <w:r w:rsidR="00876168">
        <w:t xml:space="preserve">de la </w:t>
      </w:r>
      <w:r>
        <w:t xml:space="preserve">supresión; abandonar los obstáculos, </w:t>
      </w:r>
      <w:r w:rsidR="005C3EAC">
        <w:t>corresponde a</w:t>
      </w:r>
      <w:r>
        <w:t xml:space="preserve">l sentido. ‘En el momento </w:t>
      </w:r>
      <w:r w:rsidR="002F41AB">
        <w:t>real</w:t>
      </w:r>
      <w:r>
        <w:t xml:space="preserve"> de la percepción’: en el momento de la contemplación de la disolución. Porque la disolución es el extremo más lejano de la impermanencia. De modo que el meditador que est</w:t>
      </w:r>
      <w:r w:rsidR="002F41AB">
        <w:t>é</w:t>
      </w:r>
      <w:r>
        <w:t xml:space="preserve"> contemplando la disolución por su medio ve</w:t>
      </w:r>
      <w:r w:rsidR="002F41AB">
        <w:t>rá</w:t>
      </w:r>
      <w:r>
        <w:t xml:space="preserve"> bajo </w:t>
      </w:r>
      <w:r w:rsidR="002F41AB">
        <w:t>la cabeza</w:t>
      </w:r>
      <w:r>
        <w:t xml:space="preserve"> de </w:t>
      </w:r>
      <w:r w:rsidR="002F41AB">
        <w:t xml:space="preserve">la </w:t>
      </w:r>
      <w:r w:rsidR="00305E12">
        <w:t>consciencia</w:t>
      </w:r>
      <w:r>
        <w:t xml:space="preserve"> todo el campo de </w:t>
      </w:r>
      <w:r w:rsidR="002F41AB">
        <w:t xml:space="preserve">las </w:t>
      </w:r>
      <w:r>
        <w:t>formaciones como impermanentes, no como permanentes; y debido al sufrimiento inherente a lo impermanente y</w:t>
      </w:r>
      <w:r w:rsidR="002F41AB">
        <w:t xml:space="preserve"> </w:t>
      </w:r>
      <w:r>
        <w:t xml:space="preserve">a la ausencia de </w:t>
      </w:r>
      <w:r w:rsidR="002F41AB">
        <w:t>alma</w:t>
      </w:r>
      <w:r>
        <w:t xml:space="preserve"> en lo </w:t>
      </w:r>
      <w:r w:rsidR="00B56D6D">
        <w:t>insatisfactorio</w:t>
      </w:r>
      <w:r>
        <w:t>, ve</w:t>
      </w:r>
      <w:r w:rsidR="00EF24AB">
        <w:t>rá</w:t>
      </w:r>
      <w:r>
        <w:t xml:space="preserve"> todo ese mismo campo de formaciones como </w:t>
      </w:r>
      <w:r w:rsidR="00B56D6D">
        <w:t>insatisfactorias</w:t>
      </w:r>
      <w:r>
        <w:t>, no como placenteras, y como no-</w:t>
      </w:r>
      <w:r w:rsidR="001365A5">
        <w:t>alma</w:t>
      </w:r>
      <w:r>
        <w:t xml:space="preserve">, no como </w:t>
      </w:r>
      <w:r w:rsidR="001365A5">
        <w:t>alma</w:t>
      </w:r>
      <w:r>
        <w:t xml:space="preserve">. Pero como lo que es impermanente, </w:t>
      </w:r>
      <w:r w:rsidR="00B56D6D">
        <w:t xml:space="preserve">insatisfactorio </w:t>
      </w:r>
      <w:r>
        <w:t xml:space="preserve">y no </w:t>
      </w:r>
      <w:r w:rsidR="001365A5">
        <w:t xml:space="preserve">alma </w:t>
      </w:r>
      <w:r>
        <w:t xml:space="preserve">no es algo en lo que </w:t>
      </w:r>
      <w:r w:rsidR="00AE1CC5">
        <w:t xml:space="preserve">haya de qué </w:t>
      </w:r>
      <w:r w:rsidR="001365A5">
        <w:t>complacerse</w:t>
      </w:r>
      <w:r>
        <w:t>, y lo que no</w:t>
      </w:r>
      <w:r w:rsidR="001365A5">
        <w:t xml:space="preserve"> sea</w:t>
      </w:r>
      <w:r>
        <w:t xml:space="preserve"> algo en lo que </w:t>
      </w:r>
      <w:r w:rsidR="00AE1CC5">
        <w:t xml:space="preserve">no haya de qué </w:t>
      </w:r>
      <w:r w:rsidR="001365A5">
        <w:t>complacerse</w:t>
      </w:r>
      <w:r>
        <w:t xml:space="preserve"> no </w:t>
      </w:r>
      <w:r w:rsidR="00341645">
        <w:t>será</w:t>
      </w:r>
      <w:r>
        <w:t xml:space="preserve"> algo por lo que </w:t>
      </w:r>
      <w:r w:rsidR="00341645">
        <w:t xml:space="preserve">se deba </w:t>
      </w:r>
      <w:r>
        <w:t>codici</w:t>
      </w:r>
      <w:r w:rsidR="00AE1CC5">
        <w:t>ar</w:t>
      </w:r>
      <w:r>
        <w:t>, en consecuencia</w:t>
      </w:r>
      <w:r w:rsidR="00AE1CC5">
        <w:t>,</w:t>
      </w:r>
      <w:r>
        <w:t xml:space="preserve"> </w:t>
      </w:r>
      <w:r w:rsidR="00341645">
        <w:t xml:space="preserve">él se </w:t>
      </w:r>
      <w:r>
        <w:t>desapasiona</w:t>
      </w:r>
      <w:r w:rsidR="00341645">
        <w:t>rá</w:t>
      </w:r>
      <w:r>
        <w:t xml:space="preserve"> hacia todo ese campo de formaciones cuando lo </w:t>
      </w:r>
      <w:r w:rsidR="00AE1CC5">
        <w:t xml:space="preserve">observe </w:t>
      </w:r>
      <w:r w:rsidR="00341645">
        <w:t xml:space="preserve">bajo </w:t>
      </w:r>
      <w:r>
        <w:t xml:space="preserve">la luz de la disolución como impermanente, </w:t>
      </w:r>
      <w:r w:rsidR="00AE1CC5">
        <w:t>insatisfactoria</w:t>
      </w:r>
      <w:r>
        <w:t>, no-</w:t>
      </w:r>
      <w:r w:rsidR="00341645">
        <w:t>alma</w:t>
      </w:r>
      <w:r>
        <w:t xml:space="preserve">, no se </w:t>
      </w:r>
      <w:r w:rsidR="00341645">
        <w:t xml:space="preserve">complacerá </w:t>
      </w:r>
      <w:r>
        <w:t>en ell</w:t>
      </w:r>
      <w:r w:rsidR="00341645">
        <w:t>o</w:t>
      </w:r>
      <w:r>
        <w:t xml:space="preserve">, y su codicia </w:t>
      </w:r>
      <w:r w:rsidR="00341645">
        <w:t xml:space="preserve">hacia ello </w:t>
      </w:r>
      <w:r>
        <w:t>se desvanece</w:t>
      </w:r>
      <w:r w:rsidR="00341645">
        <w:t>rá</w:t>
      </w:r>
      <w:r>
        <w:t>, no lo t</w:t>
      </w:r>
      <w:r w:rsidR="00800506">
        <w:t>e</w:t>
      </w:r>
      <w:r>
        <w:t>ñ</w:t>
      </w:r>
      <w:r w:rsidR="00800506">
        <w:t>irá</w:t>
      </w:r>
      <w:r>
        <w:t>. Ahora bien, a medida que se desapasion</w:t>
      </w:r>
      <w:r w:rsidR="00800506">
        <w:t>e</w:t>
      </w:r>
      <w:r>
        <w:t xml:space="preserve"> y su codicia se desvane</w:t>
      </w:r>
      <w:r w:rsidR="00800506">
        <w:t>zca</w:t>
      </w:r>
      <w:r>
        <w:t xml:space="preserve">, </w:t>
      </w:r>
      <w:r w:rsidR="004D5837">
        <w:t xml:space="preserve">será </w:t>
      </w:r>
      <w:r>
        <w:t xml:space="preserve">en primer lugar por </w:t>
      </w:r>
    </w:p>
    <w:p w14:paraId="25D858B2" w14:textId="205BFBB4" w:rsidR="004C5B42" w:rsidRDefault="004C5B42">
      <w:pPr>
        <w:tabs>
          <w:tab w:val="clear" w:pos="425"/>
        </w:tabs>
        <w:spacing w:after="160"/>
      </w:pPr>
      <w:r>
        <w:br w:type="page"/>
      </w:r>
    </w:p>
    <w:p w14:paraId="03D3E9F5" w14:textId="77777777" w:rsidR="008169BA" w:rsidRDefault="008169BA" w:rsidP="004C5B42"/>
    <w:p w14:paraId="0217E8B1" w14:textId="77777777" w:rsidR="00BC2DD5" w:rsidRDefault="00BC2DD5" w:rsidP="004C5B42"/>
    <w:p w14:paraId="087E9A1E" w14:textId="2CF94EDA" w:rsidR="004C5B42" w:rsidRDefault="004C5B42" w:rsidP="00BC2DD5">
      <w:pPr>
        <w:jc w:val="center"/>
      </w:pPr>
      <w:r>
        <w:t>[</w:t>
      </w:r>
      <w:r w:rsidRPr="00BC2DD5">
        <w:rPr>
          <w:i/>
          <w:iCs/>
        </w:rPr>
        <w:t xml:space="preserve">Continuación del </w:t>
      </w:r>
      <w:r w:rsidR="00BC2DD5" w:rsidRPr="00BC2DD5">
        <w:rPr>
          <w:i/>
          <w:iCs/>
        </w:rPr>
        <w:t xml:space="preserve">Comentario </w:t>
      </w:r>
      <w:r w:rsidR="000A6BB3">
        <w:rPr>
          <w:i/>
          <w:iCs/>
        </w:rPr>
        <w:t xml:space="preserve">Palabra por </w:t>
      </w:r>
      <w:r w:rsidR="00B04EA8">
        <w:rPr>
          <w:i/>
          <w:iCs/>
        </w:rPr>
        <w:t>Palabra</w:t>
      </w:r>
      <w:r w:rsidRPr="00BC2DD5">
        <w:rPr>
          <w:i/>
          <w:iCs/>
        </w:rPr>
        <w:t xml:space="preserve">—Cuarta </w:t>
      </w:r>
      <w:r w:rsidR="00BC2DD5" w:rsidRPr="00BC2DD5">
        <w:rPr>
          <w:i/>
          <w:iCs/>
        </w:rPr>
        <w:t>Tétrada</w:t>
      </w:r>
      <w:r>
        <w:t>]</w:t>
      </w:r>
    </w:p>
    <w:p w14:paraId="7BEB257F" w14:textId="49871814" w:rsidR="004C5B42" w:rsidRDefault="004C5B42" w:rsidP="004C5B42">
      <w:r>
        <w:t xml:space="preserve">234. </w:t>
      </w:r>
      <w:r w:rsidR="00BC2DD5">
        <w:tab/>
      </w:r>
      <w:r>
        <w:t>(</w:t>
      </w:r>
      <w:proofErr w:type="spellStart"/>
      <w:r>
        <w:t>xiii</w:t>
      </w:r>
      <w:proofErr w:type="spellEnd"/>
      <w:r>
        <w:t xml:space="preserve">) </w:t>
      </w:r>
      <w:r w:rsidR="00BE3852">
        <w:t xml:space="preserve">No obstante, </w:t>
      </w:r>
      <w:r>
        <w:t xml:space="preserve">en la cuarta tétrada, en cuanto a </w:t>
      </w:r>
      <w:r w:rsidR="008A22C3">
        <w:t xml:space="preserve">la </w:t>
      </w:r>
      <w:r w:rsidRPr="00666A4C">
        <w:rPr>
          <w:i/>
          <w:iCs/>
        </w:rPr>
        <w:t>contempla</w:t>
      </w:r>
      <w:r w:rsidR="008A22C3">
        <w:rPr>
          <w:i/>
          <w:iCs/>
        </w:rPr>
        <w:t>ción de</w:t>
      </w:r>
      <w:r w:rsidRPr="00666A4C">
        <w:rPr>
          <w:i/>
          <w:iCs/>
        </w:rPr>
        <w:t xml:space="preserve"> la impermanencia</w:t>
      </w:r>
      <w:r>
        <w:t>, aquí, debe</w:t>
      </w:r>
      <w:r w:rsidR="00BE3852">
        <w:t>rá</w:t>
      </w:r>
      <w:r>
        <w:t xml:space="preserve"> entenderse </w:t>
      </w:r>
      <w:r w:rsidR="00BE3852">
        <w:t xml:space="preserve">en primer lugar </w:t>
      </w:r>
      <w:r>
        <w:t xml:space="preserve">lo impermanente, </w:t>
      </w:r>
      <w:r w:rsidR="00D145C6">
        <w:t xml:space="preserve">luego </w:t>
      </w:r>
      <w:r>
        <w:t xml:space="preserve">la impermanencia, la contemplación de la impermanencia y </w:t>
      </w:r>
      <w:r w:rsidR="00361548">
        <w:t>quien</w:t>
      </w:r>
      <w:r>
        <w:t xml:space="preserve"> que contempl</w:t>
      </w:r>
      <w:r w:rsidR="00361548">
        <w:t>e</w:t>
      </w:r>
      <w:r>
        <w:t xml:space="preserve"> la impermanencia.</w:t>
      </w:r>
    </w:p>
    <w:p w14:paraId="070A669C" w14:textId="21589858" w:rsidR="004C5B42" w:rsidRDefault="004C5B42" w:rsidP="00BC2DD5">
      <w:pPr>
        <w:pStyle w:val="NormalConSangria"/>
      </w:pPr>
      <w:r>
        <w:t xml:space="preserve">Aquí, los cinco agregados son lo </w:t>
      </w:r>
      <w:r w:rsidRPr="00666A4C">
        <w:rPr>
          <w:i/>
          <w:iCs/>
        </w:rPr>
        <w:t>impermanente</w:t>
      </w:r>
      <w:r>
        <w:t xml:space="preserve">. ¿Por qué? Porque su esencia es </w:t>
      </w:r>
      <w:r w:rsidR="00FC2392">
        <w:t>surgir</w:t>
      </w:r>
      <w:r>
        <w:t xml:space="preserve"> y </w:t>
      </w:r>
      <w:r w:rsidR="00FC2392">
        <w:t>desaparecer o</w:t>
      </w:r>
      <w:r>
        <w:t xml:space="preserve"> cambiar. La </w:t>
      </w:r>
      <w:r w:rsidRPr="00860A03">
        <w:rPr>
          <w:i/>
          <w:iCs/>
        </w:rPr>
        <w:t>impermanencia</w:t>
      </w:r>
      <w:r>
        <w:t xml:space="preserve"> es el </w:t>
      </w:r>
      <w:r w:rsidR="00E2414F">
        <w:t xml:space="preserve">surgimiento </w:t>
      </w:r>
      <w:r>
        <w:t xml:space="preserve">y la </w:t>
      </w:r>
      <w:r w:rsidR="00E2414F">
        <w:t>desaparición o</w:t>
      </w:r>
      <w:r>
        <w:t xml:space="preserve"> el cambio en esos mismos agregados, o es su inexistencia después de haber sido; el significado es</w:t>
      </w:r>
      <w:r w:rsidR="001B6BED">
        <w:t xml:space="preserve"> el siguiente:</w:t>
      </w:r>
      <w:r>
        <w:t xml:space="preserve"> es la ruptura de los agregados producidos a través de su disolución momentánea ya que n</w:t>
      </w:r>
      <w:r w:rsidR="005C7840">
        <w:t>unca</w:t>
      </w:r>
      <w:r>
        <w:t xml:space="preserve"> permanece</w:t>
      </w:r>
      <w:r w:rsidR="001B6BED">
        <w:t>rán</w:t>
      </w:r>
      <w:r>
        <w:t xml:space="preserve"> en </w:t>
      </w:r>
      <w:r w:rsidR="001B6BED">
        <w:t>un</w:t>
      </w:r>
      <w:r>
        <w:t xml:space="preserve"> mismo modo. La </w:t>
      </w:r>
      <w:r w:rsidRPr="00666A4C">
        <w:rPr>
          <w:i/>
          <w:iCs/>
        </w:rPr>
        <w:t>contemplación de la impermanencia</w:t>
      </w:r>
      <w:r>
        <w:t xml:space="preserve"> es la contemplación de la materialidad, etc., como “impermanente” en virtud de esa impermanencia. </w:t>
      </w:r>
      <w:r w:rsidR="00533BFE" w:rsidRPr="00533BFE">
        <w:rPr>
          <w:i/>
          <w:iCs/>
        </w:rPr>
        <w:t>Quien</w:t>
      </w:r>
      <w:r w:rsidRPr="00945488">
        <w:rPr>
          <w:i/>
          <w:iCs/>
        </w:rPr>
        <w:t xml:space="preserve"> contempl</w:t>
      </w:r>
      <w:r w:rsidR="00945488">
        <w:rPr>
          <w:i/>
          <w:iCs/>
        </w:rPr>
        <w:t>e</w:t>
      </w:r>
      <w:r w:rsidRPr="00945488">
        <w:rPr>
          <w:i/>
          <w:iCs/>
        </w:rPr>
        <w:t xml:space="preserve"> la impermanencia</w:t>
      </w:r>
      <w:r>
        <w:t xml:space="preserve"> posee</w:t>
      </w:r>
      <w:r w:rsidR="00945488">
        <w:t>rá</w:t>
      </w:r>
      <w:r>
        <w:t xml:space="preserve"> es</w:t>
      </w:r>
      <w:r w:rsidR="001B6BED">
        <w:t>t</w:t>
      </w:r>
      <w:r>
        <w:t xml:space="preserve">a contemplación. Entonces </w:t>
      </w:r>
      <w:r w:rsidR="00C6607A">
        <w:t xml:space="preserve">será </w:t>
      </w:r>
      <w:r>
        <w:t xml:space="preserve">cuando alguien </w:t>
      </w:r>
      <w:r w:rsidR="000E61A9">
        <w:t>así</w:t>
      </w:r>
      <w:r>
        <w:t xml:space="preserve"> est</w:t>
      </w:r>
      <w:r w:rsidR="000E61A9">
        <w:t>é</w:t>
      </w:r>
      <w:r>
        <w:t xml:space="preserve"> inhalando y exhalando que se </w:t>
      </w:r>
      <w:r w:rsidR="000E61A9">
        <w:t xml:space="preserve">podrá </w:t>
      </w:r>
      <w:r>
        <w:t xml:space="preserve">entender de él: “Él </w:t>
      </w:r>
      <w:r w:rsidR="000E61A9">
        <w:t xml:space="preserve">se </w:t>
      </w:r>
      <w:r>
        <w:t xml:space="preserve">entrena así: </w:t>
      </w:r>
      <w:r w:rsidR="00994BF8">
        <w:t>'Inhalaré</w:t>
      </w:r>
      <w:r>
        <w:t>... exhalar</w:t>
      </w:r>
      <w:r w:rsidR="00994BF8">
        <w:t>é</w:t>
      </w:r>
      <w:r>
        <w:t xml:space="preserve"> contemplando la impermanencia'”</w:t>
      </w:r>
      <w:r w:rsidR="00994BF8">
        <w:t>.</w:t>
      </w:r>
      <w:r w:rsidRPr="004A2807">
        <w:rPr>
          <w:vertAlign w:val="superscript"/>
        </w:rPr>
        <w:t>66</w:t>
      </w:r>
    </w:p>
    <w:p w14:paraId="4AF02B39" w14:textId="77777777" w:rsidR="00533BFE" w:rsidRPr="00533BFE" w:rsidRDefault="00533BFE" w:rsidP="00BC2DD5">
      <w:pPr>
        <w:pStyle w:val="NormalConSangria"/>
      </w:pPr>
    </w:p>
    <w:p w14:paraId="37E2D401" w14:textId="61E58DB2" w:rsidR="00BC2DD5" w:rsidRDefault="00994BF8" w:rsidP="00BC2DD5">
      <w:pPr>
        <w:pStyle w:val="Piedepgina"/>
        <w:rPr>
          <w:u w:val="single"/>
        </w:rPr>
      </w:pPr>
      <w:r>
        <w:rPr>
          <w:u w:val="single"/>
        </w:rPr>
        <w:t xml:space="preserve">        </w:t>
      </w:r>
      <w:r w:rsidR="00BC2DD5">
        <w:rPr>
          <w:u w:val="single"/>
        </w:rPr>
        <w:t xml:space="preserve">                                                                                                                                                                          .</w:t>
      </w:r>
    </w:p>
    <w:p w14:paraId="793961D5" w14:textId="77777777" w:rsidR="00BC2DD5" w:rsidRDefault="004C5B42" w:rsidP="00BC2DD5">
      <w:pPr>
        <w:pStyle w:val="PiedepginaLegal"/>
      </w:pPr>
      <w:r>
        <w:t xml:space="preserve"> …</w:t>
      </w:r>
    </w:p>
    <w:p w14:paraId="22CB8464" w14:textId="3D47F7F2" w:rsidR="004C5B42" w:rsidRDefault="00BC2DD5" w:rsidP="00BC2DD5">
      <w:pPr>
        <w:pStyle w:val="PiedepginaLegal"/>
        <w:tabs>
          <w:tab w:val="clear" w:pos="6804"/>
        </w:tabs>
        <w:ind w:right="476"/>
      </w:pPr>
      <w:r>
        <w:tab/>
      </w:r>
      <w:r w:rsidR="004D5837">
        <w:t xml:space="preserve">medio sólo del </w:t>
      </w:r>
      <w:r w:rsidR="004C5B42">
        <w:t>conocimiento mundano que él ha</w:t>
      </w:r>
      <w:r w:rsidR="004D5837">
        <w:t>rá</w:t>
      </w:r>
      <w:r w:rsidR="004C5B42">
        <w:t xml:space="preserve"> cesar la codicia y no la desperta</w:t>
      </w:r>
      <w:r w:rsidR="004D5837">
        <w:t>rá</w:t>
      </w:r>
      <w:r w:rsidR="004C5B42">
        <w:t>. El significado es que él no provoca</w:t>
      </w:r>
      <w:r w:rsidR="004D5837">
        <w:t>rá</w:t>
      </w:r>
      <w:r w:rsidR="004C5B42">
        <w:t xml:space="preserve"> su surgimiento. O bien, habiéndose desvanecido así su codicia, provoca</w:t>
      </w:r>
      <w:r w:rsidR="004D5837">
        <w:t>rá</w:t>
      </w:r>
      <w:r w:rsidR="004C5B42">
        <w:t xml:space="preserve"> por medio de su propio conocimiento </w:t>
      </w:r>
      <w:r w:rsidR="004D5837">
        <w:t xml:space="preserve">la cesación </w:t>
      </w:r>
      <w:r w:rsidR="004C5B42">
        <w:t xml:space="preserve">del campo invisible de </w:t>
      </w:r>
      <w:r w:rsidR="004D5837">
        <w:t xml:space="preserve">las </w:t>
      </w:r>
      <w:r w:rsidR="004C5B42">
        <w:t>formaciones, así como de</w:t>
      </w:r>
      <w:r w:rsidR="008D0A9D">
        <w:t>l campo</w:t>
      </w:r>
      <w:r w:rsidR="004C5B42">
        <w:t xml:space="preserve"> visible, no lo desperta</w:t>
      </w:r>
      <w:r w:rsidR="005C3A4F">
        <w:t>rá</w:t>
      </w:r>
      <w:r w:rsidR="004C5B42">
        <w:t>; el significado es que sólo provoca</w:t>
      </w:r>
      <w:r w:rsidR="005C3A4F">
        <w:t>rá</w:t>
      </w:r>
      <w:r w:rsidR="004C5B42">
        <w:t xml:space="preserve"> su cesación, no provoca</w:t>
      </w:r>
      <w:r w:rsidR="005C3A4F">
        <w:t>rá</w:t>
      </w:r>
      <w:r w:rsidR="004C5B42">
        <w:t xml:space="preserve"> su surgimiento. Habiendo entrado por este </w:t>
      </w:r>
      <w:r w:rsidR="008B1C12">
        <w:t>sendero</w:t>
      </w:r>
      <w:r w:rsidR="004C5B42">
        <w:t>, renuncia</w:t>
      </w:r>
      <w:r w:rsidR="008B1C12">
        <w:t>rá</w:t>
      </w:r>
      <w:r w:rsidR="004C5B42">
        <w:t>, no se aferra</w:t>
      </w:r>
      <w:r w:rsidR="008B1C12">
        <w:t>rá</w:t>
      </w:r>
      <w:r w:rsidR="004C5B42">
        <w:t>. ¿Qué significa</w:t>
      </w:r>
      <w:r w:rsidR="008B1C12">
        <w:t xml:space="preserve"> esto</w:t>
      </w:r>
      <w:r w:rsidR="004C5B42">
        <w:t xml:space="preserve">? </w:t>
      </w:r>
      <w:r w:rsidR="008B1C12">
        <w:t xml:space="preserve">Que a </w:t>
      </w:r>
      <w:r w:rsidR="004C5B42">
        <w:t xml:space="preserve">esta contemplación de la impermanencia, etc., se </w:t>
      </w:r>
      <w:r w:rsidR="008B1C12">
        <w:t xml:space="preserve">le </w:t>
      </w:r>
      <w:r w:rsidR="0011175A">
        <w:t>denominará</w:t>
      </w:r>
      <w:r w:rsidR="004C5B42">
        <w:t xml:space="preserve"> </w:t>
      </w:r>
      <w:r w:rsidR="00C0100C">
        <w:t>renunciación</w:t>
      </w:r>
      <w:r w:rsidR="004C5B42">
        <w:t xml:space="preserve"> como abandono y </w:t>
      </w:r>
      <w:r w:rsidR="00C0100C">
        <w:t>renunciación</w:t>
      </w:r>
      <w:r w:rsidR="004C5B42">
        <w:t xml:space="preserve"> como entrada porque abandona</w:t>
      </w:r>
      <w:r w:rsidR="008B1C12">
        <w:t>rá</w:t>
      </w:r>
      <w:r w:rsidR="004C5B42">
        <w:t xml:space="preserve"> las corrupciones junto con las formaciones de </w:t>
      </w:r>
      <w:proofErr w:type="spellStart"/>
      <w:r w:rsidR="00057BF4" w:rsidRPr="00057BF4">
        <w:rPr>
          <w:i/>
          <w:iCs/>
        </w:rPr>
        <w:t>kamma</w:t>
      </w:r>
      <w:proofErr w:type="spellEnd"/>
      <w:r w:rsidR="004C5B42">
        <w:t xml:space="preserve"> que produ</w:t>
      </w:r>
      <w:r w:rsidR="00131C7D">
        <w:t>zcan</w:t>
      </w:r>
      <w:r w:rsidR="004C5B42">
        <w:t xml:space="preserve"> </w:t>
      </w:r>
      <w:r w:rsidR="00131C7D">
        <w:t xml:space="preserve">los </w:t>
      </w:r>
      <w:r w:rsidR="004C5B42">
        <w:t xml:space="preserve">agregados y porque, al ver </w:t>
      </w:r>
      <w:r w:rsidR="00071CC3">
        <w:t xml:space="preserve">los defectos </w:t>
      </w:r>
      <w:r w:rsidR="004C5B42">
        <w:t>en lo que se form</w:t>
      </w:r>
      <w:r w:rsidR="00071CC3">
        <w:t>e</w:t>
      </w:r>
      <w:r w:rsidR="004C5B42">
        <w:t xml:space="preserve"> y al inclinarse hacia lo contrario de lo que se form</w:t>
      </w:r>
      <w:r w:rsidR="00071CC3">
        <w:t>e</w:t>
      </w:r>
      <w:r w:rsidR="004C5B42">
        <w:t xml:space="preserve">, </w:t>
      </w:r>
      <w:r w:rsidR="00131C7D">
        <w:t>es decir</w:t>
      </w:r>
      <w:r w:rsidR="004C5B42">
        <w:t xml:space="preserve">, </w:t>
      </w:r>
      <w:r w:rsidR="00071CC3">
        <w:t xml:space="preserve">hacia </w:t>
      </w:r>
      <w:r w:rsidR="00131C7D">
        <w:t xml:space="preserve">el </w:t>
      </w:r>
      <w:r w:rsidR="004C5B42" w:rsidRPr="00945488">
        <w:rPr>
          <w:i/>
          <w:iCs/>
        </w:rPr>
        <w:t>Nibbāna</w:t>
      </w:r>
      <w:r w:rsidR="004C5B42">
        <w:t xml:space="preserve">, </w:t>
      </w:r>
      <w:r w:rsidR="00071CC3">
        <w:t xml:space="preserve">él </w:t>
      </w:r>
      <w:r w:rsidR="004C5B42">
        <w:t>entra</w:t>
      </w:r>
      <w:r w:rsidR="00131C7D">
        <w:t>rá</w:t>
      </w:r>
      <w:r w:rsidR="004C5B42">
        <w:t xml:space="preserve"> en ese </w:t>
      </w:r>
      <w:r w:rsidR="004C5B42" w:rsidRPr="00945488">
        <w:rPr>
          <w:i/>
          <w:iCs/>
        </w:rPr>
        <w:t>Nibbāna</w:t>
      </w:r>
      <w:r w:rsidR="004C5B42">
        <w:t xml:space="preserve">. En consecuencia, el meditador que </w:t>
      </w:r>
      <w:r w:rsidR="00BB15F0">
        <w:t>posea</w:t>
      </w:r>
      <w:r w:rsidR="004C5B42">
        <w:t xml:space="preserve"> es</w:t>
      </w:r>
      <w:r w:rsidR="00BB15F0">
        <w:t>t</w:t>
      </w:r>
      <w:r w:rsidR="004C5B42">
        <w:t>a contemplación abandona</w:t>
      </w:r>
      <w:r w:rsidR="006A09DE">
        <w:t>rá</w:t>
      </w:r>
      <w:r w:rsidR="004C5B42">
        <w:t xml:space="preserve"> las impurezas y entra</w:t>
      </w:r>
      <w:r w:rsidR="006A09DE">
        <w:t>rá</w:t>
      </w:r>
      <w:r w:rsidR="004C5B42">
        <w:t xml:space="preserve"> en </w:t>
      </w:r>
      <w:r w:rsidR="006A09DE">
        <w:t xml:space="preserve">el </w:t>
      </w:r>
      <w:r w:rsidR="004C5B42" w:rsidRPr="006A09DE">
        <w:rPr>
          <w:i/>
          <w:iCs/>
        </w:rPr>
        <w:t>Nibbāna</w:t>
      </w:r>
      <w:r w:rsidR="004C5B42">
        <w:t xml:space="preserve"> de la manera indicada. Aquí, la contemplación de lo que </w:t>
      </w:r>
      <w:r w:rsidR="006A09DE">
        <w:t>sea</w:t>
      </w:r>
      <w:r w:rsidR="004C5B42">
        <w:t xml:space="preserve"> impermanente como solo impermanente </w:t>
      </w:r>
      <w:r w:rsidR="00BB15F0">
        <w:t xml:space="preserve">corresponderá </w:t>
      </w:r>
      <w:r w:rsidR="006A09DE">
        <w:t xml:space="preserve">la </w:t>
      </w:r>
      <w:r w:rsidR="004C5B42">
        <w:t xml:space="preserve">"contemplación de la impermanencia"; este </w:t>
      </w:r>
      <w:r w:rsidR="00E10982">
        <w:t xml:space="preserve">será </w:t>
      </w:r>
      <w:proofErr w:type="gramStart"/>
      <w:r w:rsidR="004C5B42">
        <w:t xml:space="preserve">un </w:t>
      </w:r>
      <w:r w:rsidR="00DE4B0E">
        <w:t>denominación</w:t>
      </w:r>
      <w:proofErr w:type="gramEnd"/>
      <w:r w:rsidR="00DE4B0E">
        <w:t xml:space="preserve"> </w:t>
      </w:r>
      <w:r w:rsidR="004C5B42">
        <w:t xml:space="preserve">para la </w:t>
      </w:r>
      <w:r w:rsidR="006A09DE">
        <w:t xml:space="preserve">sabiduría </w:t>
      </w:r>
      <w:r w:rsidR="004C5B42">
        <w:t>que ocurr</w:t>
      </w:r>
      <w:r w:rsidR="00E10982">
        <w:t>a</w:t>
      </w:r>
      <w:r w:rsidR="004C5B42">
        <w:t xml:space="preserve"> </w:t>
      </w:r>
      <w:r w:rsidR="00DE4B0E">
        <w:t xml:space="preserve">al producir </w:t>
      </w:r>
      <w:r w:rsidR="004C5B42">
        <w:t>formaciones de los tres planos mundanos</w:t>
      </w:r>
      <w:r w:rsidR="00B657A3">
        <w:t>,</w:t>
      </w:r>
      <w:r w:rsidR="004C5B42">
        <w:t xml:space="preserve"> y dejando de lado lo supramundano</w:t>
      </w:r>
      <w:r w:rsidR="00B657A3">
        <w:t>,</w:t>
      </w:r>
      <w:r w:rsidR="004C5B42">
        <w:t xml:space="preserve"> como impermanentes. ‘De la percepción de la permanencia’: de la percepción </w:t>
      </w:r>
      <w:r w:rsidR="003709FA">
        <w:t xml:space="preserve">incorrecta </w:t>
      </w:r>
      <w:r w:rsidR="004C5B42">
        <w:t>que se produce al percibir las cosas formadas como permanentes, eternas; también l</w:t>
      </w:r>
      <w:r w:rsidR="003709FA">
        <w:t>a</w:t>
      </w:r>
      <w:r w:rsidR="004C5B42">
        <w:t>s divers</w:t>
      </w:r>
      <w:r w:rsidR="003709FA">
        <w:t>a</w:t>
      </w:r>
      <w:r w:rsidR="004C5B42">
        <w:t xml:space="preserve">s </w:t>
      </w:r>
      <w:r w:rsidR="003709FA">
        <w:t xml:space="preserve">visiones incorrectas </w:t>
      </w:r>
      <w:r w:rsidR="004C5B42">
        <w:t>debe</w:t>
      </w:r>
      <w:r w:rsidR="00937016">
        <w:t>rá</w:t>
      </w:r>
      <w:r w:rsidR="004C5B42">
        <w:t>n considerarse incluid</w:t>
      </w:r>
      <w:r w:rsidR="003709FA">
        <w:t>a</w:t>
      </w:r>
      <w:r w:rsidR="004C5B42">
        <w:t>s bajo el título de percepción. Asimismo</w:t>
      </w:r>
      <w:r w:rsidR="003709FA">
        <w:t>,</w:t>
      </w:r>
      <w:r w:rsidR="004C5B42">
        <w:t xml:space="preserve"> </w:t>
      </w:r>
      <w:r w:rsidR="003709FA">
        <w:t xml:space="preserve">será </w:t>
      </w:r>
      <w:r w:rsidR="004C5B42">
        <w:t>con la percepción del placer y así</w:t>
      </w:r>
      <w:r w:rsidR="0053761E">
        <w:t>,</w:t>
      </w:r>
      <w:r w:rsidR="004C5B42">
        <w:t xml:space="preserve"> sucesivamente. ‘Por medio de la contemplación del desapasionamiento’: por medio de la contemplación que se d</w:t>
      </w:r>
      <w:r w:rsidR="0053761E">
        <w:t>é</w:t>
      </w:r>
      <w:r w:rsidR="004C5B42">
        <w:t xml:space="preserve"> en el modo del desapasionamiento </w:t>
      </w:r>
      <w:r w:rsidR="0053761E">
        <w:t xml:space="preserve">hacia </w:t>
      </w:r>
      <w:r w:rsidR="004C5B42">
        <w:t xml:space="preserve">las formaciones. ‘Del </w:t>
      </w:r>
      <w:r w:rsidR="00325CDC">
        <w:t>placer’</w:t>
      </w:r>
      <w:r w:rsidR="004C5B42">
        <w:t>: del anhelo acompañado de felicidad. ‘Por medio de la contemplación del desvanecimiento’: por medio de la contemplación que se d</w:t>
      </w:r>
      <w:r w:rsidR="005D104C">
        <w:t>é</w:t>
      </w:r>
      <w:r w:rsidR="004C5B42">
        <w:t xml:space="preserve"> igualmente en el modo de desvanecimiento; por lo tanto, se dice "librar de la codicia". ‘Mediante la contemplación de la cesación’: mediante la sucesiva </w:t>
      </w:r>
      <w:r w:rsidR="00325CDC">
        <w:t>observación</w:t>
      </w:r>
      <w:r w:rsidR="004C5B42">
        <w:t xml:space="preserve"> de la cesación de las formaciones. O contempla</w:t>
      </w:r>
      <w:r w:rsidR="005D104C">
        <w:t>ción de la</w:t>
      </w:r>
      <w:r w:rsidR="004C5B42">
        <w:t xml:space="preserve"> cesación </w:t>
      </w:r>
      <w:r w:rsidR="005D104C">
        <w:t xml:space="preserve">corresponderá a </w:t>
      </w:r>
      <w:r w:rsidR="00325CDC">
        <w:t xml:space="preserve">la </w:t>
      </w:r>
      <w:r w:rsidR="004C5B42">
        <w:t>contemplación tal que las formaciones ces</w:t>
      </w:r>
      <w:r w:rsidR="005D104C">
        <w:t>e</w:t>
      </w:r>
      <w:r w:rsidR="004C5B42">
        <w:t>n solamente y no sur</w:t>
      </w:r>
      <w:r w:rsidR="005D104C">
        <w:t>jan</w:t>
      </w:r>
      <w:r w:rsidR="004C5B42">
        <w:t xml:space="preserve"> con </w:t>
      </w:r>
      <w:r w:rsidR="00325CDC">
        <w:t>un</w:t>
      </w:r>
      <w:r w:rsidR="004C5B42">
        <w:t xml:space="preserve">a renovación futura. Porque este </w:t>
      </w:r>
      <w:r w:rsidR="005D104C">
        <w:t>corresponderá a</w:t>
      </w:r>
      <w:r w:rsidR="004C5B42">
        <w:t xml:space="preserve">l conocimiento del deseo de </w:t>
      </w:r>
      <w:r w:rsidR="00325CDC">
        <w:t xml:space="preserve">la </w:t>
      </w:r>
      <w:r w:rsidR="004C5B42">
        <w:t>liberación fortalecid</w:t>
      </w:r>
      <w:r w:rsidR="00CF6CD7">
        <w:t>a</w:t>
      </w:r>
      <w:r w:rsidR="004C5B42">
        <w:t xml:space="preserve">. Por eso </w:t>
      </w:r>
      <w:r w:rsidR="00CC35CC">
        <w:t xml:space="preserve">él </w:t>
      </w:r>
      <w:r w:rsidR="004C5B42">
        <w:t>dijo, ‘</w:t>
      </w:r>
      <w:r w:rsidR="00CC35CC">
        <w:t xml:space="preserve">la </w:t>
      </w:r>
      <w:r w:rsidR="004C5B42">
        <w:t>libera</w:t>
      </w:r>
      <w:r w:rsidR="00C121A0">
        <w:t>ción</w:t>
      </w:r>
      <w:r w:rsidR="004C5B42">
        <w:t xml:space="preserve"> del despertar’. La contemplación que ocurr</w:t>
      </w:r>
      <w:r w:rsidR="00CC35CC">
        <w:t>a</w:t>
      </w:r>
      <w:r w:rsidR="004C5B42">
        <w:t xml:space="preserve"> en modo de renuncia</w:t>
      </w:r>
      <w:r w:rsidR="00C121A0">
        <w:t>ción</w:t>
      </w:r>
      <w:r w:rsidR="004C5B42">
        <w:t xml:space="preserve"> </w:t>
      </w:r>
      <w:r w:rsidR="00CC35CC">
        <w:t xml:space="preserve">corresponderá a </w:t>
      </w:r>
      <w:r w:rsidR="00C121A0">
        <w:t xml:space="preserve">la </w:t>
      </w:r>
      <w:r w:rsidR="004C5B42">
        <w:t>‘contemplación de la renuncia</w:t>
      </w:r>
      <w:r w:rsidR="008571AF">
        <w:t>ción</w:t>
      </w:r>
      <w:r w:rsidR="004C5B42">
        <w:t xml:space="preserve">’. ‘De aferrarse’: de </w:t>
      </w:r>
      <w:r w:rsidR="00CC35CC">
        <w:t xml:space="preserve">adoptarlo </w:t>
      </w:r>
      <w:r w:rsidR="004C5B42">
        <w:t xml:space="preserve">como permanente, etc.; o el significado también puede considerarse aquí como 'de </w:t>
      </w:r>
      <w:r w:rsidR="008571AF">
        <w:t>aferrarse a</w:t>
      </w:r>
      <w:r w:rsidR="004C5B42">
        <w:t>l vínculo del renacimiento'. (</w:t>
      </w:r>
      <w:proofErr w:type="spellStart"/>
      <w:r w:rsidR="004C5B42">
        <w:t>Vism-mhṭ</w:t>
      </w:r>
      <w:proofErr w:type="spellEnd"/>
      <w:r w:rsidR="004C5B42">
        <w:t xml:space="preserve"> 279) Véanse los Capítulos XX y XXI.</w:t>
      </w:r>
    </w:p>
    <w:p w14:paraId="1CD6D7A0" w14:textId="583F6B1D" w:rsidR="004C5B42" w:rsidRDefault="004C5B42" w:rsidP="00BC2DD5">
      <w:pPr>
        <w:pStyle w:val="PiedepginaLegal"/>
        <w:tabs>
          <w:tab w:val="clear" w:pos="6804"/>
        </w:tabs>
        <w:ind w:right="476"/>
      </w:pPr>
      <w:r>
        <w:t xml:space="preserve">66. </w:t>
      </w:r>
      <w:r w:rsidR="00BC2DD5">
        <w:tab/>
      </w:r>
      <w:r>
        <w:t>“</w:t>
      </w:r>
      <w:r w:rsidR="00BB05BA">
        <w:t>A l</w:t>
      </w:r>
      <w:r>
        <w:t>o que se llam</w:t>
      </w:r>
      <w:r w:rsidR="00BB05BA">
        <w:t>e</w:t>
      </w:r>
      <w:r>
        <w:t xml:space="preserve"> 'permanente' </w:t>
      </w:r>
      <w:r w:rsidR="00BB05BA">
        <w:t xml:space="preserve">será </w:t>
      </w:r>
      <w:r>
        <w:t xml:space="preserve">lo que </w:t>
      </w:r>
      <w:r w:rsidR="00BB05BA">
        <w:t>sea</w:t>
      </w:r>
      <w:r>
        <w:t xml:space="preserve"> duradero, eterno, como </w:t>
      </w:r>
      <w:r w:rsidR="008571AF">
        <w:t xml:space="preserve">el </w:t>
      </w:r>
      <w:r w:rsidRPr="00945488">
        <w:rPr>
          <w:i/>
          <w:iCs/>
        </w:rPr>
        <w:t>Nibbāna</w:t>
      </w:r>
      <w:r>
        <w:t xml:space="preserve">. </w:t>
      </w:r>
      <w:r w:rsidR="00BB05BA">
        <w:t>A l</w:t>
      </w:r>
      <w:r>
        <w:t>o que se llam</w:t>
      </w:r>
      <w:r w:rsidR="00BB05BA">
        <w:t>e</w:t>
      </w:r>
      <w:r>
        <w:t xml:space="preserve"> 'impermanente' </w:t>
      </w:r>
      <w:r w:rsidR="00BB05BA">
        <w:t xml:space="preserve">será </w:t>
      </w:r>
      <w:r>
        <w:t xml:space="preserve">lo que no </w:t>
      </w:r>
      <w:r w:rsidR="00BB05BA">
        <w:t>sea</w:t>
      </w:r>
      <w:r>
        <w:t xml:space="preserve"> permanente, y </w:t>
      </w:r>
      <w:r w:rsidR="008571AF">
        <w:t>se encuentra</w:t>
      </w:r>
      <w:r>
        <w:t xml:space="preserve"> poseído de</w:t>
      </w:r>
      <w:r w:rsidR="008571AF">
        <w:t>l surgir y desaparecer</w:t>
      </w:r>
      <w:r>
        <w:t xml:space="preserve">. Él dijo: 'Los cinco agregados son 'lo impermanente'", lo que significa que </w:t>
      </w:r>
      <w:r w:rsidR="008571AF">
        <w:t>son</w:t>
      </w:r>
      <w:r>
        <w:t xml:space="preserve"> </w:t>
      </w:r>
    </w:p>
    <w:p w14:paraId="2BB17AB4" w14:textId="77777777" w:rsidR="00BC2DD5" w:rsidRDefault="00BC2DD5">
      <w:pPr>
        <w:tabs>
          <w:tab w:val="clear" w:pos="425"/>
        </w:tabs>
        <w:spacing w:after="160"/>
      </w:pPr>
      <w:r>
        <w:br w:type="page"/>
      </w:r>
    </w:p>
    <w:p w14:paraId="35C19BE5" w14:textId="45E9F9AC" w:rsidR="00645F75" w:rsidRDefault="00645F75" w:rsidP="006825F4"/>
    <w:p w14:paraId="3B699844" w14:textId="1073F4D6" w:rsidR="00645F75" w:rsidRDefault="00645F75" w:rsidP="00645F75">
      <w:r>
        <w:t>235. (</w:t>
      </w:r>
      <w:proofErr w:type="spellStart"/>
      <w:r>
        <w:t>xiv</w:t>
      </w:r>
      <w:proofErr w:type="spellEnd"/>
      <w:r>
        <w:t xml:space="preserve">) </w:t>
      </w:r>
      <w:r w:rsidRPr="00945488">
        <w:rPr>
          <w:i/>
          <w:iCs/>
        </w:rPr>
        <w:t>Contempla</w:t>
      </w:r>
      <w:r w:rsidR="002B00DA">
        <w:rPr>
          <w:i/>
          <w:iCs/>
        </w:rPr>
        <w:t>ndo</w:t>
      </w:r>
      <w:r w:rsidRPr="00945488">
        <w:rPr>
          <w:i/>
          <w:iCs/>
        </w:rPr>
        <w:t xml:space="preserve"> </w:t>
      </w:r>
      <w:r w:rsidR="008B0621">
        <w:rPr>
          <w:i/>
          <w:iCs/>
        </w:rPr>
        <w:t>el desvanecimiento</w:t>
      </w:r>
      <w:r>
        <w:t xml:space="preserve">: </w:t>
      </w:r>
      <w:r w:rsidR="000C5675">
        <w:t xml:space="preserve">existen </w:t>
      </w:r>
      <w:r>
        <w:t xml:space="preserve">dos tipos de </w:t>
      </w:r>
      <w:r w:rsidR="000C5675">
        <w:t>desaparición</w:t>
      </w:r>
      <w:r>
        <w:t xml:space="preserve">, es decir, </w:t>
      </w:r>
      <w:r w:rsidR="00E1751C" w:rsidRPr="00E1751C">
        <w:t>la desaparición</w:t>
      </w:r>
      <w:r>
        <w:t xml:space="preserve"> como destrucción y </w:t>
      </w:r>
      <w:r w:rsidR="00E1751C" w:rsidRPr="00E1751C">
        <w:t xml:space="preserve">la desaparición </w:t>
      </w:r>
      <w:r>
        <w:t>absolut</w:t>
      </w:r>
      <w:r w:rsidR="00E1751C">
        <w:t>a</w:t>
      </w:r>
      <w:r>
        <w:t>.</w:t>
      </w:r>
      <w:r w:rsidRPr="004A2807">
        <w:rPr>
          <w:vertAlign w:val="superscript"/>
        </w:rPr>
        <w:t>67</w:t>
      </w:r>
      <w:r>
        <w:t xml:space="preserve"> Aquí, “</w:t>
      </w:r>
      <w:r w:rsidR="00E1751C" w:rsidRPr="00E1751C">
        <w:t xml:space="preserve">la desaparición </w:t>
      </w:r>
      <w:r>
        <w:t>como destrucción” es la disolución momentánea de las formaciones. “</w:t>
      </w:r>
      <w:r w:rsidR="00E1751C" w:rsidRPr="00E1751C">
        <w:t xml:space="preserve">La desaparición </w:t>
      </w:r>
      <w:r w:rsidR="00E1751C">
        <w:t>absolut</w:t>
      </w:r>
      <w:r w:rsidR="00975674">
        <w:t>a</w:t>
      </w:r>
      <w:r>
        <w:t xml:space="preserve">” es </w:t>
      </w:r>
      <w:r w:rsidR="00E1751C">
        <w:t xml:space="preserve">el </w:t>
      </w:r>
      <w:r w:rsidRPr="00945488">
        <w:rPr>
          <w:i/>
          <w:iCs/>
        </w:rPr>
        <w:t>Nibbāna</w:t>
      </w:r>
      <w:r>
        <w:t xml:space="preserve">. La contemplación de </w:t>
      </w:r>
      <w:r w:rsidR="00E1751C" w:rsidRPr="00E1751C">
        <w:t xml:space="preserve">la desaparición </w:t>
      </w:r>
      <w:r w:rsidR="00914A58">
        <w:t>corresponde a la</w:t>
      </w:r>
      <w:r>
        <w:t xml:space="preserve"> </w:t>
      </w:r>
      <w:r w:rsidR="00914A58" w:rsidRPr="00527EA6">
        <w:t>sabid</w:t>
      </w:r>
      <w:r w:rsidR="00914A58">
        <w:t xml:space="preserve">uría–revelativa </w:t>
      </w:r>
      <w:r>
        <w:t xml:space="preserve">y </w:t>
      </w:r>
      <w:r w:rsidR="00914A58">
        <w:t>corresponde a</w:t>
      </w:r>
      <w:r>
        <w:t xml:space="preserve">l </w:t>
      </w:r>
      <w:r w:rsidR="00497DEA">
        <w:t>sendero</w:t>
      </w:r>
      <w:r>
        <w:t>, que ocurr</w:t>
      </w:r>
      <w:r w:rsidR="007C481C">
        <w:t>irá</w:t>
      </w:r>
      <w:r w:rsidR="00497DEA">
        <w:t>n</w:t>
      </w:r>
      <w:r>
        <w:t xml:space="preserve"> como </w:t>
      </w:r>
      <w:r w:rsidR="002224A5">
        <w:t xml:space="preserve">la </w:t>
      </w:r>
      <w:r>
        <w:t xml:space="preserve">visión </w:t>
      </w:r>
      <w:r w:rsidR="002224A5">
        <w:t xml:space="preserve">sobre </w:t>
      </w:r>
      <w:r>
        <w:t>estos dos. Es cuando pose</w:t>
      </w:r>
      <w:r w:rsidR="002224A5">
        <w:t>a</w:t>
      </w:r>
      <w:r>
        <w:t xml:space="preserve"> esta doble contemplación que se </w:t>
      </w:r>
      <w:r w:rsidR="00613609">
        <w:t xml:space="preserve">podrá </w:t>
      </w:r>
      <w:r>
        <w:t>entender de él</w:t>
      </w:r>
      <w:r w:rsidR="00613609">
        <w:t xml:space="preserve"> como</w:t>
      </w:r>
      <w:r>
        <w:t xml:space="preserve">: “Él </w:t>
      </w:r>
      <w:r w:rsidR="00613609">
        <w:t xml:space="preserve">se </w:t>
      </w:r>
      <w:r>
        <w:t>entrena así: '</w:t>
      </w:r>
      <w:r w:rsidR="00613609">
        <w:t>Inhalaré</w:t>
      </w:r>
      <w:r>
        <w:t xml:space="preserve">... exhalaré contemplando </w:t>
      </w:r>
      <w:r w:rsidR="00613609" w:rsidRPr="00613609">
        <w:t>la desaparición</w:t>
      </w:r>
      <w:r>
        <w:t>”.</w:t>
      </w:r>
    </w:p>
    <w:p w14:paraId="5D033700" w14:textId="77777777" w:rsidR="00645F75" w:rsidRDefault="00645F75" w:rsidP="00945488">
      <w:pPr>
        <w:pStyle w:val="NormalConSangria"/>
      </w:pPr>
      <w:r>
        <w:t>(</w:t>
      </w:r>
      <w:proofErr w:type="spellStart"/>
      <w:r>
        <w:t>xv</w:t>
      </w:r>
      <w:proofErr w:type="spellEnd"/>
      <w:r>
        <w:t xml:space="preserve">) El mismo método de explicación se aplica a la cláusula, </w:t>
      </w:r>
      <w:r w:rsidRPr="00273FB7">
        <w:rPr>
          <w:i/>
          <w:iCs/>
        </w:rPr>
        <w:t>contemplando la cesación</w:t>
      </w:r>
      <w:r>
        <w:t>.</w:t>
      </w:r>
    </w:p>
    <w:p w14:paraId="488F3081" w14:textId="53AD831C" w:rsidR="00076BD5" w:rsidRDefault="00645F75" w:rsidP="00076BD5">
      <w:r>
        <w:t xml:space="preserve">236. </w:t>
      </w:r>
      <w:r w:rsidR="00945488">
        <w:tab/>
      </w:r>
      <w:r>
        <w:t>(</w:t>
      </w:r>
      <w:proofErr w:type="spellStart"/>
      <w:r>
        <w:t>xvi</w:t>
      </w:r>
      <w:proofErr w:type="spellEnd"/>
      <w:r>
        <w:t xml:space="preserve">) </w:t>
      </w:r>
      <w:r w:rsidRPr="00945488">
        <w:rPr>
          <w:i/>
          <w:iCs/>
        </w:rPr>
        <w:t>Contempla</w:t>
      </w:r>
      <w:r w:rsidR="00273FB7">
        <w:rPr>
          <w:i/>
          <w:iCs/>
        </w:rPr>
        <w:t>ndo</w:t>
      </w:r>
      <w:r w:rsidRPr="00945488">
        <w:rPr>
          <w:i/>
          <w:iCs/>
        </w:rPr>
        <w:t xml:space="preserve"> el abandono</w:t>
      </w:r>
      <w:r>
        <w:t xml:space="preserve">: el abandono también </w:t>
      </w:r>
      <w:r w:rsidR="00273FB7">
        <w:t xml:space="preserve">será </w:t>
      </w:r>
      <w:r>
        <w:t>de dos tipos, es decir, el abandono como renuncia</w:t>
      </w:r>
      <w:r w:rsidR="00273FB7">
        <w:t>ción</w:t>
      </w:r>
      <w:r>
        <w:t xml:space="preserve"> y el abandono como entrada. La renuncia</w:t>
      </w:r>
      <w:r w:rsidR="007C0AB7">
        <w:t>ción</w:t>
      </w:r>
      <w:r>
        <w:t xml:space="preserve"> misma como una forma de contemplación es “</w:t>
      </w:r>
      <w:r w:rsidR="007C0AB7">
        <w:t xml:space="preserve">la </w:t>
      </w:r>
      <w:r>
        <w:t>contemplación de la renuncia</w:t>
      </w:r>
      <w:r w:rsidR="007C0AB7">
        <w:t>ción</w:t>
      </w:r>
      <w:r>
        <w:t xml:space="preserve">”. Porque </w:t>
      </w:r>
      <w:r w:rsidR="007C0AB7">
        <w:t xml:space="preserve">a </w:t>
      </w:r>
      <w:r>
        <w:t xml:space="preserve">la </w:t>
      </w:r>
      <w:r w:rsidR="009448C0" w:rsidRPr="00527EA6">
        <w:t>sabid</w:t>
      </w:r>
      <w:r w:rsidR="009448C0">
        <w:t>uría–revelativa</w:t>
      </w:r>
      <w:r w:rsidR="007C0AB7">
        <w:t xml:space="preserve"> </w:t>
      </w:r>
      <w:r>
        <w:t xml:space="preserve">se </w:t>
      </w:r>
      <w:r w:rsidR="007C0AB7">
        <w:t xml:space="preserve">le </w:t>
      </w:r>
      <w:r>
        <w:t>denomina</w:t>
      </w:r>
      <w:r w:rsidR="007C0AB7">
        <w:t>rá</w:t>
      </w:r>
      <w:r>
        <w:t xml:space="preserve"> tanto "renuncia</w:t>
      </w:r>
      <w:r w:rsidR="007C0AB7">
        <w:t>ción</w:t>
      </w:r>
      <w:r>
        <w:t xml:space="preserve"> como abandono" como "renuncia</w:t>
      </w:r>
      <w:r w:rsidR="007C0AB7">
        <w:t>ción</w:t>
      </w:r>
      <w:r>
        <w:t xml:space="preserve"> como entrada" ya que primero, a través de la sustitución de cualidades opuestas, </w:t>
      </w:r>
      <w:r w:rsidR="00AC2024">
        <w:t xml:space="preserve">él </w:t>
      </w:r>
      <w:r>
        <w:t>abandona</w:t>
      </w:r>
      <w:r w:rsidR="00AC2024">
        <w:t>rá</w:t>
      </w:r>
      <w:r>
        <w:t xml:space="preserve"> las impurezas con sus formaciones </w:t>
      </w:r>
      <w:proofErr w:type="spellStart"/>
      <w:r w:rsidR="00057BF4" w:rsidRPr="00057BF4">
        <w:rPr>
          <w:i/>
          <w:iCs/>
        </w:rPr>
        <w:t>kamm</w:t>
      </w:r>
      <w:r w:rsidR="002758CB">
        <w:rPr>
          <w:i/>
          <w:iCs/>
        </w:rPr>
        <w:t>icas</w:t>
      </w:r>
      <w:proofErr w:type="spellEnd"/>
      <w:r>
        <w:t xml:space="preserve"> productoras de agregados, y segundo, a través de </w:t>
      </w:r>
      <w:r w:rsidR="00C07D26">
        <w:t xml:space="preserve">apreciar </w:t>
      </w:r>
      <w:r>
        <w:t xml:space="preserve">la miseria de lo formado, </w:t>
      </w:r>
      <w:r w:rsidR="00AC2024">
        <w:t xml:space="preserve">él </w:t>
      </w:r>
      <w:r>
        <w:t>también entra</w:t>
      </w:r>
      <w:r w:rsidR="00AC2024">
        <w:t>rá</w:t>
      </w:r>
      <w:r>
        <w:t xml:space="preserve"> en </w:t>
      </w:r>
      <w:r w:rsidR="00AC2024">
        <w:t xml:space="preserve">el </w:t>
      </w:r>
      <w:r w:rsidRPr="00AC2024">
        <w:rPr>
          <w:i/>
          <w:iCs/>
        </w:rPr>
        <w:t>Nibbāna</w:t>
      </w:r>
      <w:r>
        <w:t xml:space="preserve"> inclinándose hacia </w:t>
      </w:r>
      <w:r w:rsidR="00AC2024">
        <w:t xml:space="preserve">el </w:t>
      </w:r>
      <w:r w:rsidRPr="00AC2024">
        <w:rPr>
          <w:i/>
          <w:iCs/>
        </w:rPr>
        <w:t>Nibbāna</w:t>
      </w:r>
      <w:r>
        <w:t xml:space="preserve">, que es lo opuesto a lo formado (XI.18). También </w:t>
      </w:r>
      <w:r w:rsidR="00B36D80">
        <w:t>a</w:t>
      </w:r>
      <w:r>
        <w:t xml:space="preserve">l </w:t>
      </w:r>
      <w:r w:rsidR="00B36D80">
        <w:t xml:space="preserve">sendero </w:t>
      </w:r>
      <w:r>
        <w:t xml:space="preserve">se </w:t>
      </w:r>
      <w:r w:rsidR="00B36D80">
        <w:t xml:space="preserve">le </w:t>
      </w:r>
      <w:r>
        <w:t>denomina</w:t>
      </w:r>
      <w:r w:rsidR="0036127E">
        <w:t>rá</w:t>
      </w:r>
      <w:r>
        <w:t xml:space="preserve"> tanto “renuncia</w:t>
      </w:r>
      <w:r w:rsidR="00B36D80">
        <w:t>ción</w:t>
      </w:r>
      <w:r>
        <w:t xml:space="preserve"> como abandono” como “renuncia</w:t>
      </w:r>
      <w:r w:rsidR="00B36D80">
        <w:t>ción</w:t>
      </w:r>
      <w:r>
        <w:t xml:space="preserve"> como entrada”, ya que </w:t>
      </w:r>
      <w:r w:rsidR="0036127E">
        <w:t xml:space="preserve">al cortarlas </w:t>
      </w:r>
      <w:r w:rsidR="00B36D80">
        <w:t xml:space="preserve">se </w:t>
      </w:r>
      <w:r>
        <w:t>abandona</w:t>
      </w:r>
      <w:r w:rsidR="00B36D80">
        <w:t>rá</w:t>
      </w:r>
      <w:r w:rsidR="0036127E">
        <w:t>n</w:t>
      </w:r>
      <w:r>
        <w:t xml:space="preserve"> las impurezas con sus formaciones </w:t>
      </w:r>
      <w:proofErr w:type="spellStart"/>
      <w:r w:rsidR="00057BF4" w:rsidRPr="00057BF4">
        <w:rPr>
          <w:i/>
          <w:iCs/>
        </w:rPr>
        <w:t>kamm</w:t>
      </w:r>
      <w:r w:rsidR="00C07D26">
        <w:rPr>
          <w:i/>
          <w:iCs/>
        </w:rPr>
        <w:t>icas</w:t>
      </w:r>
      <w:proofErr w:type="spellEnd"/>
      <w:r>
        <w:t xml:space="preserve"> productoras de agregados, y entra</w:t>
      </w:r>
      <w:r w:rsidR="00267BF8">
        <w:t>rá</w:t>
      </w:r>
      <w:r>
        <w:t xml:space="preserve"> en </w:t>
      </w:r>
      <w:r w:rsidR="00945488">
        <w:t xml:space="preserve">el </w:t>
      </w:r>
      <w:r w:rsidR="00945488">
        <w:rPr>
          <w:i/>
          <w:iCs/>
        </w:rPr>
        <w:t>Nibbāna</w:t>
      </w:r>
      <w:r>
        <w:t xml:space="preserve"> al convertirlo en su objeto. También ambos</w:t>
      </w:r>
      <w:r w:rsidR="00C07D26">
        <w:t xml:space="preserve">, </w:t>
      </w:r>
      <w:r w:rsidR="009448C0" w:rsidRPr="00527EA6">
        <w:t>sabid</w:t>
      </w:r>
      <w:r w:rsidR="009448C0">
        <w:t>uría–revelativa</w:t>
      </w:r>
      <w:r w:rsidR="00267BF8">
        <w:t xml:space="preserve"> </w:t>
      </w:r>
      <w:r>
        <w:t xml:space="preserve">y conocimiento del </w:t>
      </w:r>
      <w:r w:rsidR="00267BF8">
        <w:t>sendero</w:t>
      </w:r>
      <w:r w:rsidR="00C07D26">
        <w:t>,</w:t>
      </w:r>
      <w:r>
        <w:t xml:space="preserve"> s</w:t>
      </w:r>
      <w:r w:rsidR="00267BF8">
        <w:t>erá</w:t>
      </w:r>
      <w:r>
        <w:t>n ​​</w:t>
      </w:r>
      <w:r w:rsidR="009448C0">
        <w:t>denominados</w:t>
      </w:r>
      <w:r>
        <w:t xml:space="preserve"> contemplación (</w:t>
      </w:r>
      <w:proofErr w:type="spellStart"/>
      <w:r w:rsidRPr="00945488">
        <w:rPr>
          <w:i/>
          <w:iCs/>
        </w:rPr>
        <w:t>anupassan</w:t>
      </w:r>
      <w:r w:rsidR="00945488">
        <w:rPr>
          <w:i/>
          <w:iCs/>
        </w:rPr>
        <w:t>ā</w:t>
      </w:r>
      <w:proofErr w:type="spellEnd"/>
      <w:r>
        <w:t xml:space="preserve">) debido a que </w:t>
      </w:r>
      <w:r w:rsidR="00076BD5">
        <w:t>aprecia</w:t>
      </w:r>
      <w:r w:rsidR="00E859D3">
        <w:t>rá</w:t>
      </w:r>
      <w:r w:rsidR="00076BD5">
        <w:t>n recurrente y</w:t>
      </w:r>
      <w:r>
        <w:t xml:space="preserve"> sucesivamente (</w:t>
      </w:r>
      <w:proofErr w:type="spellStart"/>
      <w:r w:rsidRPr="00945488">
        <w:rPr>
          <w:i/>
          <w:iCs/>
        </w:rPr>
        <w:t>anu</w:t>
      </w:r>
      <w:proofErr w:type="spellEnd"/>
      <w:r w:rsidRPr="00945488">
        <w:rPr>
          <w:i/>
          <w:iCs/>
        </w:rPr>
        <w:t xml:space="preserve"> </w:t>
      </w:r>
      <w:proofErr w:type="spellStart"/>
      <w:r w:rsidRPr="00945488">
        <w:rPr>
          <w:i/>
          <w:iCs/>
        </w:rPr>
        <w:t>anu</w:t>
      </w:r>
      <w:proofErr w:type="spellEnd"/>
      <w:r w:rsidRPr="00945488">
        <w:rPr>
          <w:i/>
          <w:iCs/>
        </w:rPr>
        <w:t xml:space="preserve"> </w:t>
      </w:r>
      <w:proofErr w:type="spellStart"/>
      <w:r w:rsidRPr="00945488">
        <w:rPr>
          <w:i/>
          <w:iCs/>
        </w:rPr>
        <w:t>passan</w:t>
      </w:r>
      <w:r w:rsidR="00945488">
        <w:rPr>
          <w:i/>
          <w:iCs/>
        </w:rPr>
        <w:t>ā</w:t>
      </w:r>
      <w:proofErr w:type="spellEnd"/>
      <w:r>
        <w:t xml:space="preserve">) cada tipo de conocimiento </w:t>
      </w:r>
      <w:r w:rsidR="00076BD5" w:rsidRPr="00E24769">
        <w:t>precedente.</w:t>
      </w:r>
      <w:r w:rsidR="00076BD5" w:rsidRPr="00076BD5">
        <w:rPr>
          <w:vertAlign w:val="superscript"/>
        </w:rPr>
        <w:t>68</w:t>
      </w:r>
      <w:r w:rsidR="00076BD5" w:rsidRPr="00E24769">
        <w:t xml:space="preserve"> [291] Es cuando </w:t>
      </w:r>
      <w:r w:rsidR="00076BD5">
        <w:t xml:space="preserve">él </w:t>
      </w:r>
      <w:r w:rsidR="00076BD5" w:rsidRPr="00E24769">
        <w:t>pose</w:t>
      </w:r>
      <w:r w:rsidR="00076BD5">
        <w:t>a</w:t>
      </w:r>
      <w:r w:rsidR="00076BD5" w:rsidRPr="00E24769">
        <w:t xml:space="preserve"> </w:t>
      </w:r>
      <w:r w:rsidR="00076BD5">
        <w:t>esta doble contemplación que se podrá saber de él como</w:t>
      </w:r>
      <w:r w:rsidR="00196F9A">
        <w:t xml:space="preserve"> aquel que</w:t>
      </w:r>
      <w:r w:rsidR="00076BD5">
        <w:t>: “</w:t>
      </w:r>
      <w:r w:rsidR="00196F9A">
        <w:t>…</w:t>
      </w:r>
      <w:r w:rsidR="00E859D3">
        <w:t xml:space="preserve">él </w:t>
      </w:r>
      <w:r w:rsidR="00076BD5">
        <w:t>se entrena así: 'Inhalaré... exhalaré contemplando el abandono'”.</w:t>
      </w:r>
    </w:p>
    <w:p w14:paraId="4BDDB7D9" w14:textId="77777777" w:rsidR="00645F75" w:rsidRDefault="00645F75" w:rsidP="00645F75"/>
    <w:p w14:paraId="79361CBA" w14:textId="77777777" w:rsidR="00F9613E" w:rsidRDefault="00F9613E" w:rsidP="00F9613E">
      <w:pPr>
        <w:pStyle w:val="Piedepgina"/>
        <w:rPr>
          <w:u w:val="single"/>
        </w:rPr>
      </w:pPr>
      <w:r>
        <w:rPr>
          <w:u w:val="single"/>
        </w:rPr>
        <w:t xml:space="preserve">                                                                                                                                                                          .</w:t>
      </w:r>
    </w:p>
    <w:p w14:paraId="6116B332" w14:textId="77777777" w:rsidR="00F9613E" w:rsidRDefault="00645F75" w:rsidP="00F9613E">
      <w:pPr>
        <w:pStyle w:val="PiedepginaLegal"/>
      </w:pPr>
      <w:r>
        <w:t xml:space="preserve">… </w:t>
      </w:r>
    </w:p>
    <w:p w14:paraId="01E2005B" w14:textId="69F6CC5A" w:rsidR="00645F75" w:rsidRDefault="00F9613E" w:rsidP="001E0F73">
      <w:pPr>
        <w:pStyle w:val="PiedepginaLegal"/>
        <w:tabs>
          <w:tab w:val="clear" w:pos="425"/>
          <w:tab w:val="clear" w:pos="6804"/>
        </w:tabs>
        <w:ind w:left="426" w:right="476"/>
      </w:pPr>
      <w:r>
        <w:tab/>
      </w:r>
      <w:r w:rsidR="008571AF" w:rsidRPr="00057BF4">
        <w:rPr>
          <w:i/>
        </w:rPr>
        <w:t>dhamma</w:t>
      </w:r>
      <w:r w:rsidR="008571AF">
        <w:t xml:space="preserve">s formados </w:t>
      </w:r>
      <w:r w:rsidR="00645F75">
        <w:t xml:space="preserve">en cuanto al significado. ¿Por qué? ‘Porque su esencia es </w:t>
      </w:r>
      <w:r w:rsidR="008571AF">
        <w:t>el surgir</w:t>
      </w:r>
      <w:r w:rsidR="00645F75">
        <w:t xml:space="preserve">, </w:t>
      </w:r>
      <w:r w:rsidR="008571AF">
        <w:t xml:space="preserve">desaparecer </w:t>
      </w:r>
      <w:r w:rsidR="00645F75">
        <w:t xml:space="preserve">y </w:t>
      </w:r>
      <w:r w:rsidR="008571AF">
        <w:t xml:space="preserve">el </w:t>
      </w:r>
      <w:r w:rsidR="00645F75">
        <w:t xml:space="preserve">cambio’: el significado es que sus esencias individuales </w:t>
      </w:r>
      <w:r w:rsidR="000C7C69">
        <w:t>poseen un surgir, un desaparecer</w:t>
      </w:r>
      <w:r w:rsidR="00645F75">
        <w:t xml:space="preserve"> y </w:t>
      </w:r>
      <w:r w:rsidR="000C7C69">
        <w:t xml:space="preserve">un </w:t>
      </w:r>
      <w:r w:rsidR="00645F75">
        <w:t xml:space="preserve">cambio. Aquí, el surgimiento de los </w:t>
      </w:r>
      <w:r w:rsidR="00AD3780" w:rsidRPr="00057BF4">
        <w:rPr>
          <w:i/>
        </w:rPr>
        <w:t>dhamma</w:t>
      </w:r>
      <w:r w:rsidR="00AD3780">
        <w:t xml:space="preserve">s </w:t>
      </w:r>
      <w:r w:rsidR="00645F75">
        <w:t xml:space="preserve">formados debido a la causa y la condición, su llegada a la existencia después de la inexistencia, su adquisición de un </w:t>
      </w:r>
      <w:r w:rsidR="00AD3780">
        <w:t>alma</w:t>
      </w:r>
      <w:r w:rsidR="00645F75">
        <w:t xml:space="preserve"> individual (</w:t>
      </w:r>
      <w:proofErr w:type="spellStart"/>
      <w:r w:rsidR="00645F75" w:rsidRPr="00945488">
        <w:rPr>
          <w:i/>
          <w:iCs/>
        </w:rPr>
        <w:t>attal</w:t>
      </w:r>
      <w:r w:rsidR="00945488" w:rsidRPr="00945488">
        <w:rPr>
          <w:i/>
          <w:iCs/>
        </w:rPr>
        <w:t>ā</w:t>
      </w:r>
      <w:r w:rsidR="00645F75" w:rsidRPr="00945488">
        <w:rPr>
          <w:i/>
          <w:iCs/>
        </w:rPr>
        <w:t>bha</w:t>
      </w:r>
      <w:proofErr w:type="spellEnd"/>
      <w:r w:rsidR="00645F75">
        <w:t xml:space="preserve">), es </w:t>
      </w:r>
      <w:r w:rsidR="00AD3780">
        <w:t xml:space="preserve">el </w:t>
      </w:r>
      <w:r w:rsidR="00645F75">
        <w:t>'</w:t>
      </w:r>
      <w:r w:rsidR="00AD3780">
        <w:t>surgir</w:t>
      </w:r>
      <w:r w:rsidR="00645F75">
        <w:t xml:space="preserve">'. Su cesación momentánea cuando surgen es </w:t>
      </w:r>
      <w:r w:rsidR="00B25784">
        <w:t>el ‘</w:t>
      </w:r>
      <w:r w:rsidR="00AD3780">
        <w:t>desaparecer</w:t>
      </w:r>
      <w:r w:rsidR="00645F75">
        <w:t>'.</w:t>
      </w:r>
    </w:p>
    <w:p w14:paraId="56346418" w14:textId="36013396" w:rsidR="00645F75" w:rsidRDefault="00645F75" w:rsidP="001E0F73">
      <w:pPr>
        <w:pStyle w:val="PiedepginaLegal"/>
        <w:tabs>
          <w:tab w:val="clear" w:pos="425"/>
          <w:tab w:val="clear" w:pos="6804"/>
        </w:tabs>
        <w:ind w:left="426" w:right="476"/>
      </w:pPr>
      <w:r>
        <w:t xml:space="preserve">67. </w:t>
      </w:r>
      <w:r w:rsidR="00F9613E">
        <w:tab/>
      </w:r>
      <w:r>
        <w:t xml:space="preserve">“‘Destrucción’ es la desaparición de </w:t>
      </w:r>
      <w:r w:rsidR="00B25784">
        <w:t xml:space="preserve">las </w:t>
      </w:r>
      <w:r>
        <w:t>formaciones; es el acto de</w:t>
      </w:r>
      <w:r w:rsidR="00B25784">
        <w:t>l</w:t>
      </w:r>
      <w:r>
        <w:t xml:space="preserve"> desvanecimiento de esas formaciones, </w:t>
      </w:r>
      <w:r w:rsidR="00440EDB">
        <w:t xml:space="preserve">de </w:t>
      </w:r>
      <w:r>
        <w:t xml:space="preserve">su desintegración, </w:t>
      </w:r>
      <w:r w:rsidR="00440EDB">
        <w:t>ello</w:t>
      </w:r>
      <w:r w:rsidR="00131FFF">
        <w:t xml:space="preserve"> representa el</w:t>
      </w:r>
      <w:r w:rsidR="00440EDB">
        <w:t xml:space="preserve"> </w:t>
      </w:r>
      <w:r>
        <w:t xml:space="preserve">'desvanecimiento'. La destrucción misma como desvanecimiento es </w:t>
      </w:r>
      <w:r w:rsidR="00440EDB">
        <w:t xml:space="preserve">el </w:t>
      </w:r>
      <w:r>
        <w:t xml:space="preserve">'desvanecimiento como destrucción'; </w:t>
      </w:r>
      <w:r w:rsidR="00F03FE2">
        <w:t>é</w:t>
      </w:r>
      <w:r>
        <w:t>st</w:t>
      </w:r>
      <w:r w:rsidR="00F03FE2">
        <w:t>a</w:t>
      </w:r>
      <w:r>
        <w:t xml:space="preserve"> es un</w:t>
      </w:r>
      <w:r w:rsidR="00F03FE2">
        <w:t>a</w:t>
      </w:r>
      <w:r>
        <w:t xml:space="preserve"> ces</w:t>
      </w:r>
      <w:r w:rsidR="00F03FE2">
        <w:t>ación</w:t>
      </w:r>
      <w:r>
        <w:t xml:space="preserve"> momentáne</w:t>
      </w:r>
      <w:r w:rsidR="00F03FE2">
        <w:t>a</w:t>
      </w:r>
      <w:r>
        <w:t>. Las formaciones se desvanece</w:t>
      </w:r>
      <w:r w:rsidR="00F03FE2">
        <w:t>rá</w:t>
      </w:r>
      <w:r>
        <w:t>n absolutamente aquí cuando se ha</w:t>
      </w:r>
      <w:r w:rsidR="00F03FE2">
        <w:t>ya</w:t>
      </w:r>
      <w:r>
        <w:t xml:space="preserve"> alcanzado esto, por lo que </w:t>
      </w:r>
      <w:r w:rsidR="00F03FE2">
        <w:t xml:space="preserve">será </w:t>
      </w:r>
      <w:r>
        <w:t xml:space="preserve">un ‘desvanecimiento absoluto’; </w:t>
      </w:r>
      <w:r w:rsidR="00F03FE2">
        <w:t xml:space="preserve">es decir, el </w:t>
      </w:r>
      <w:r w:rsidRPr="00945488">
        <w:rPr>
          <w:i/>
          <w:iCs/>
        </w:rPr>
        <w:t>Nibb</w:t>
      </w:r>
      <w:r w:rsidR="00945488" w:rsidRPr="00945488">
        <w:rPr>
          <w:i/>
          <w:iCs/>
        </w:rPr>
        <w:t>ā</w:t>
      </w:r>
      <w:r w:rsidRPr="00945488">
        <w:rPr>
          <w:i/>
          <w:iCs/>
        </w:rPr>
        <w:t>na</w:t>
      </w:r>
      <w:r>
        <w:t>” (</w:t>
      </w:r>
      <w:proofErr w:type="spellStart"/>
      <w:r>
        <w:t>Vism-mhþ</w:t>
      </w:r>
      <w:proofErr w:type="spellEnd"/>
      <w:r>
        <w:t xml:space="preserve"> 280).</w:t>
      </w:r>
    </w:p>
    <w:p w14:paraId="7C132608" w14:textId="5C6CBEF2" w:rsidR="00F9613E" w:rsidRDefault="00645F75" w:rsidP="00CC3071">
      <w:pPr>
        <w:pStyle w:val="PiedepginaLegal"/>
        <w:tabs>
          <w:tab w:val="clear" w:pos="425"/>
          <w:tab w:val="clear" w:pos="6804"/>
        </w:tabs>
        <w:ind w:left="426" w:right="476"/>
      </w:pPr>
      <w:r>
        <w:t xml:space="preserve">68. </w:t>
      </w:r>
      <w:r w:rsidR="00F9613E">
        <w:tab/>
      </w:r>
      <w:r>
        <w:t>"El acto de renuncia</w:t>
      </w:r>
      <w:r w:rsidR="00F03FE2">
        <w:t>ción</w:t>
      </w:r>
      <w:r>
        <w:t xml:space="preserve"> como acto de renunciar mediante la sustitución de lo que debería ser abandonado por su cualidad opuesta o cortándolo, </w:t>
      </w:r>
      <w:r w:rsidR="00321781">
        <w:t>será</w:t>
      </w:r>
      <w:r>
        <w:t xml:space="preserve"> </w:t>
      </w:r>
      <w:r w:rsidR="00321781">
        <w:t xml:space="preserve">la </w:t>
      </w:r>
      <w:r>
        <w:t>'renuncia</w:t>
      </w:r>
      <w:r w:rsidR="00321781">
        <w:t>ción</w:t>
      </w:r>
      <w:r>
        <w:t xml:space="preserve"> como </w:t>
      </w:r>
      <w:r w:rsidR="00BC51E7">
        <w:t>abandono</w:t>
      </w:r>
      <w:r>
        <w:t>. Asimismo, el acto de renuncia</w:t>
      </w:r>
      <w:r w:rsidR="00BC51E7">
        <w:t>ción</w:t>
      </w:r>
      <w:r>
        <w:t xml:space="preserve"> de</w:t>
      </w:r>
      <w:r w:rsidR="00321781">
        <w:t xml:space="preserve">l alma </w:t>
      </w:r>
      <w:r>
        <w:t>que tiene lugar en la no formación de</w:t>
      </w:r>
      <w:r w:rsidR="00BC51E7">
        <w:t>l</w:t>
      </w:r>
      <w:r>
        <w:t xml:space="preserve"> </w:t>
      </w:r>
      <w:proofErr w:type="spellStart"/>
      <w:r w:rsidR="00057BF4" w:rsidRPr="00057BF4">
        <w:rPr>
          <w:i/>
          <w:iCs/>
        </w:rPr>
        <w:t>kamma</w:t>
      </w:r>
      <w:proofErr w:type="spellEnd"/>
      <w:r>
        <w:t xml:space="preserve">, que es el abandono de todos los sustratos (circunstancias) del devenir, siendo la entrada en ese </w:t>
      </w:r>
      <w:r w:rsidR="00945488">
        <w:rPr>
          <w:i/>
          <w:iCs/>
        </w:rPr>
        <w:t>Nibbāna</w:t>
      </w:r>
      <w:r>
        <w:t xml:space="preserve"> ya sea por inclinación hacia él [en la </w:t>
      </w:r>
      <w:r w:rsidR="007817D9">
        <w:t>sabiduría</w:t>
      </w:r>
      <w:r>
        <w:t xml:space="preserve">] o por tenerlo como objeto [en el </w:t>
      </w:r>
      <w:r w:rsidR="007817D9">
        <w:t>sendero</w:t>
      </w:r>
      <w:r>
        <w:t xml:space="preserve">] </w:t>
      </w:r>
      <w:r w:rsidR="00A85D54">
        <w:t xml:space="preserve">será </w:t>
      </w:r>
      <w:r w:rsidR="007817D9">
        <w:t xml:space="preserve">la </w:t>
      </w:r>
      <w:r>
        <w:t>'renuncia</w:t>
      </w:r>
      <w:r w:rsidR="007817D9">
        <w:t>ción</w:t>
      </w:r>
      <w:r>
        <w:t xml:space="preserve"> como entra</w:t>
      </w:r>
      <w:r w:rsidR="00321781">
        <w:t>da</w:t>
      </w:r>
      <w:r>
        <w:t xml:space="preserve"> </w:t>
      </w:r>
      <w:r w:rsidR="00321781">
        <w:t>a</w:t>
      </w:r>
      <w:r>
        <w:t>". 'A través de la sustitución de cualidades opuestas': aquí la contemplación de la impermanencia, en primer lugar, renuncia</w:t>
      </w:r>
      <w:r w:rsidR="00A85D54">
        <w:t>rá</w:t>
      </w:r>
      <w:r>
        <w:t xml:space="preserve"> a la percepción de la permanencia al abandonar</w:t>
      </w:r>
      <w:r w:rsidR="009A598B">
        <w:t>la</w:t>
      </w:r>
      <w:r>
        <w:t xml:space="preserve"> a través de la sustitución del opuesto [por ejemplo, sustituyendo la percepción de la impermanencia por la de la permanencia en el caso de todas las cosas formadas] Y el abandono de esta manera </w:t>
      </w:r>
      <w:r w:rsidR="00E85648">
        <w:t xml:space="preserve">será </w:t>
      </w:r>
      <w:r>
        <w:t>la forma de inducir la no ocurrencia.</w:t>
      </w:r>
      <w:r w:rsidR="00945488">
        <w:t xml:space="preserve"> </w:t>
      </w:r>
      <w:r>
        <w:t xml:space="preserve">Para todas las formaciones de </w:t>
      </w:r>
      <w:proofErr w:type="spellStart"/>
      <w:r w:rsidR="00057BF4" w:rsidRPr="00057BF4">
        <w:rPr>
          <w:i/>
          <w:iCs/>
        </w:rPr>
        <w:t>kamma</w:t>
      </w:r>
      <w:proofErr w:type="spellEnd"/>
      <w:r>
        <w:t xml:space="preserve"> que est</w:t>
      </w:r>
      <w:r w:rsidR="00E85648">
        <w:t>é</w:t>
      </w:r>
      <w:r>
        <w:t>n enraizadas en corrupciones debido a la aprehensión (</w:t>
      </w:r>
      <w:r w:rsidR="00E85648">
        <w:t xml:space="preserve">de las </w:t>
      </w:r>
      <w:r>
        <w:t xml:space="preserve">formaciones) como permanentes, y los agregados resultantes del </w:t>
      </w:r>
      <w:proofErr w:type="spellStart"/>
      <w:r w:rsidR="00057BF4" w:rsidRPr="00057BF4">
        <w:rPr>
          <w:i/>
          <w:iCs/>
        </w:rPr>
        <w:t>kamma</w:t>
      </w:r>
      <w:proofErr w:type="spellEnd"/>
      <w:r>
        <w:t xml:space="preserve"> </w:t>
      </w:r>
      <w:r w:rsidR="00311C61">
        <w:t>enraizados en</w:t>
      </w:r>
      <w:r>
        <w:t xml:space="preserve"> ambos que pudieran surgir en el futuro, se </w:t>
      </w:r>
      <w:r w:rsidR="00F9613E">
        <w:br w:type="page"/>
      </w:r>
    </w:p>
    <w:p w14:paraId="5FCEEB2E" w14:textId="362E90C7" w:rsidR="00D77E68" w:rsidRDefault="00D77E68" w:rsidP="00F9613E"/>
    <w:p w14:paraId="47298A61" w14:textId="2D359F7D" w:rsidR="003F0A86" w:rsidRDefault="003F0A86" w:rsidP="003F0A86">
      <w:r>
        <w:t xml:space="preserve">237. </w:t>
      </w:r>
      <w:r w:rsidR="00AD504F">
        <w:tab/>
      </w:r>
      <w:r>
        <w:t xml:space="preserve">Esta tétrada se ocupa únicamente de la </w:t>
      </w:r>
      <w:r w:rsidR="00257EFB">
        <w:t>sabiduría</w:t>
      </w:r>
      <w:r>
        <w:t xml:space="preserve"> pura, mientras que las tres anteriores tratan de la serenidad y la </w:t>
      </w:r>
      <w:r w:rsidR="00257EFB">
        <w:t>sabiduría</w:t>
      </w:r>
      <w:r>
        <w:t>. Así debe</w:t>
      </w:r>
      <w:r w:rsidR="00196F9A">
        <w:t>rá</w:t>
      </w:r>
      <w:r>
        <w:t xml:space="preserve"> entenderse el desarrollo de la atención plena de la respiración con sus dieciséis bases en </w:t>
      </w:r>
      <w:r w:rsidR="00271E6A">
        <w:t xml:space="preserve">sus </w:t>
      </w:r>
      <w:r>
        <w:t>cuatro tétradas.</w:t>
      </w:r>
    </w:p>
    <w:p w14:paraId="2D0E2768" w14:textId="77777777" w:rsidR="00076BD5" w:rsidRDefault="00076BD5" w:rsidP="003F0A86"/>
    <w:p w14:paraId="1FAE848E" w14:textId="77777777" w:rsidR="003F0A86" w:rsidRDefault="003F0A86" w:rsidP="003F0A86">
      <w:pPr>
        <w:jc w:val="center"/>
      </w:pPr>
      <w:r>
        <w:t>[</w:t>
      </w:r>
      <w:r w:rsidRPr="003F0A86">
        <w:rPr>
          <w:i/>
          <w:iCs/>
        </w:rPr>
        <w:t>Conclusión</w:t>
      </w:r>
      <w:r>
        <w:t>]</w:t>
      </w:r>
    </w:p>
    <w:p w14:paraId="052002D9" w14:textId="4A54D0EB" w:rsidR="003F0A86" w:rsidRDefault="003F0A86" w:rsidP="00AD504F">
      <w:pPr>
        <w:pStyle w:val="NormalConSangria"/>
      </w:pPr>
      <w:r>
        <w:t>Esta atención plena e</w:t>
      </w:r>
      <w:r w:rsidR="0011796F">
        <w:t>n</w:t>
      </w:r>
      <w:r>
        <w:t xml:space="preserve"> la respiración con sus dieciséis bases es pues de gran fruto, de gran beneficio.</w:t>
      </w:r>
    </w:p>
    <w:p w14:paraId="3819E858" w14:textId="589805E1" w:rsidR="003F0A86" w:rsidRDefault="003F0A86" w:rsidP="003F0A86">
      <w:r>
        <w:t xml:space="preserve">238. </w:t>
      </w:r>
      <w:r w:rsidR="00AD504F">
        <w:tab/>
      </w:r>
      <w:r>
        <w:t>Su gran beneficio debe</w:t>
      </w:r>
      <w:r w:rsidR="00B05CB0">
        <w:t>rá</w:t>
      </w:r>
      <w:r>
        <w:t xml:space="preserve"> entenderse aquí como </w:t>
      </w:r>
      <w:r w:rsidR="00910CEB">
        <w:t>tranquilidad</w:t>
      </w:r>
      <w:r w:rsidR="00926E55">
        <w:t>,</w:t>
      </w:r>
      <w:r>
        <w:t xml:space="preserve"> tanto por las palabras, “Y, monjes, esta concentración a través de la atención plena </w:t>
      </w:r>
      <w:r w:rsidR="00926E55">
        <w:t xml:space="preserve">en </w:t>
      </w:r>
      <w:r>
        <w:t xml:space="preserve">la respiración, cuando se desarrolla y se practica </w:t>
      </w:r>
      <w:r w:rsidR="00445BE2">
        <w:t>considerablemente</w:t>
      </w:r>
      <w:r>
        <w:t xml:space="preserve">, es a la vez </w:t>
      </w:r>
      <w:r w:rsidR="00445BE2">
        <w:t xml:space="preserve">apacible </w:t>
      </w:r>
      <w:r>
        <w:t xml:space="preserve">y sublime” (S V 321), etc., </w:t>
      </w:r>
      <w:r w:rsidR="00124F24">
        <w:t>como</w:t>
      </w:r>
      <w:r>
        <w:t xml:space="preserve"> por su capacidad </w:t>
      </w:r>
      <w:r w:rsidR="00FA72AB">
        <w:t xml:space="preserve">para </w:t>
      </w:r>
      <w:r w:rsidR="002E04E7">
        <w:t xml:space="preserve">el truncamiento de </w:t>
      </w:r>
      <w:r w:rsidR="00445BE2">
        <w:t>la aplicación mental</w:t>
      </w:r>
      <w:r>
        <w:t xml:space="preserve">; </w:t>
      </w:r>
      <w:r w:rsidR="00FA72AB">
        <w:t xml:space="preserve">ya </w:t>
      </w:r>
      <w:r>
        <w:t xml:space="preserve">que es </w:t>
      </w:r>
      <w:r w:rsidR="00250E3B">
        <w:t xml:space="preserve">un estado </w:t>
      </w:r>
      <w:r>
        <w:t xml:space="preserve">apacible, sublime y </w:t>
      </w:r>
      <w:r w:rsidR="00250E3B">
        <w:t xml:space="preserve">de dicha </w:t>
      </w:r>
      <w:r>
        <w:t>sin adultera</w:t>
      </w:r>
      <w:r w:rsidR="00926E55">
        <w:t>ción</w:t>
      </w:r>
      <w:r>
        <w:t xml:space="preserve"> que corta la </w:t>
      </w:r>
      <w:r w:rsidR="002E04E7">
        <w:t>oscilación</w:t>
      </w:r>
      <w:r>
        <w:t xml:space="preserve"> ment</w:t>
      </w:r>
      <w:r w:rsidR="00926E55">
        <w:t>al</w:t>
      </w:r>
      <w:r>
        <w:t xml:space="preserve"> de un lado a otro </w:t>
      </w:r>
      <w:r w:rsidR="00982A5C">
        <w:t xml:space="preserve">mediante la </w:t>
      </w:r>
      <w:r w:rsidR="00890DE2">
        <w:t xml:space="preserve">aplicación mental </w:t>
      </w:r>
      <w:r>
        <w:t xml:space="preserve">que obstruyen la concentración, y </w:t>
      </w:r>
      <w:r w:rsidR="00982A5C">
        <w:t xml:space="preserve">ya que </w:t>
      </w:r>
      <w:r>
        <w:t>mantiene</w:t>
      </w:r>
      <w:r w:rsidR="00890DE2">
        <w:t>n</w:t>
      </w:r>
      <w:r>
        <w:t xml:space="preserve"> </w:t>
      </w:r>
      <w:r w:rsidR="00982A5C">
        <w:t xml:space="preserve">a </w:t>
      </w:r>
      <w:r>
        <w:t xml:space="preserve">la mente sólo en la </w:t>
      </w:r>
      <w:r w:rsidR="00F7080B">
        <w:t xml:space="preserve">respiración </w:t>
      </w:r>
      <w:r>
        <w:t>como objeto. De ahí que se diga: “Debe desarrollarse la atención plena e</w:t>
      </w:r>
      <w:r w:rsidR="00F7080B">
        <w:t>n</w:t>
      </w:r>
      <w:r>
        <w:t xml:space="preserve"> la respiración para eliminar </w:t>
      </w:r>
      <w:r w:rsidR="00890DE2">
        <w:t>la aplicación mental</w:t>
      </w:r>
      <w:r>
        <w:t>” (A IV 353).</w:t>
      </w:r>
    </w:p>
    <w:p w14:paraId="54F34392" w14:textId="6E1BB158" w:rsidR="003F0A86" w:rsidRDefault="003F0A86" w:rsidP="003F0A86">
      <w:r>
        <w:t xml:space="preserve">239. </w:t>
      </w:r>
      <w:r w:rsidR="00AD504F">
        <w:tab/>
      </w:r>
      <w:r>
        <w:t>También su gran beneficio debe</w:t>
      </w:r>
      <w:r w:rsidR="00F7080B">
        <w:t>rá</w:t>
      </w:r>
      <w:r>
        <w:t xml:space="preserve"> entenderse como </w:t>
      </w:r>
      <w:r w:rsidR="00982A5C">
        <w:t xml:space="preserve">una </w:t>
      </w:r>
      <w:r>
        <w:t xml:space="preserve">condición fundamental para el perfeccionamiento de la visión clara y la liberación; </w:t>
      </w:r>
      <w:r w:rsidR="00890DE2">
        <w:t xml:space="preserve">ya </w:t>
      </w:r>
      <w:r>
        <w:t xml:space="preserve">que esto ha sido dicho por el </w:t>
      </w:r>
      <w:r w:rsidR="00890DE2" w:rsidRPr="00890DE2">
        <w:rPr>
          <w:i/>
          <w:iCs/>
        </w:rPr>
        <w:t>Bhagavā</w:t>
      </w:r>
      <w:r>
        <w:t>: “</w:t>
      </w:r>
      <w:proofErr w:type="spellStart"/>
      <w:r w:rsidR="00057BF4" w:rsidRPr="00057BF4">
        <w:rPr>
          <w:i/>
        </w:rPr>
        <w:t>Bhikkhu</w:t>
      </w:r>
      <w:r>
        <w:t>s</w:t>
      </w:r>
      <w:proofErr w:type="spellEnd"/>
      <w:r>
        <w:t>, la atención plena e</w:t>
      </w:r>
      <w:r w:rsidR="00890DE2">
        <w:t>n</w:t>
      </w:r>
      <w:r>
        <w:t xml:space="preserve"> la respiración, cuando se desarrolla y se practica </w:t>
      </w:r>
      <w:r w:rsidR="00982A5C">
        <w:t>considerablemente</w:t>
      </w:r>
      <w:r>
        <w:t xml:space="preserve">, perfecciona los cuatro fundamentos de la atención plena. Los cuatro fundamentos de la atención plena, cuando se desarrollan y practican </w:t>
      </w:r>
      <w:r w:rsidR="00982A5C">
        <w:t>considerablemente</w:t>
      </w:r>
      <w:r>
        <w:t xml:space="preserve">, perfeccionan los siete factores de iluminación. Los siete factores de </w:t>
      </w:r>
      <w:r w:rsidR="00541CEC">
        <w:t xml:space="preserve">la </w:t>
      </w:r>
      <w:r>
        <w:t xml:space="preserve">iluminación, cuando se desarrollan y practican </w:t>
      </w:r>
      <w:r w:rsidR="00541CEC">
        <w:t>considerablemente</w:t>
      </w:r>
      <w:r>
        <w:t>, perfeccionan la visión clara y la liberación” (M III 82).</w:t>
      </w:r>
    </w:p>
    <w:p w14:paraId="13741C72" w14:textId="7D9C6C49" w:rsidR="003F0A86" w:rsidRDefault="003F0A86" w:rsidP="003F0A86">
      <w:r>
        <w:t xml:space="preserve">240. </w:t>
      </w:r>
      <w:r w:rsidR="00AD504F">
        <w:tab/>
      </w:r>
      <w:r>
        <w:t>Nuevamente, su gran beneficio debe</w:t>
      </w:r>
      <w:r w:rsidR="003524F1">
        <w:t>rá</w:t>
      </w:r>
      <w:r>
        <w:t xml:space="preserve"> entenderse </w:t>
      </w:r>
      <w:r w:rsidR="00BD7495">
        <w:t>como aquel que</w:t>
      </w:r>
      <w:r>
        <w:t xml:space="preserve"> reside en el hecho de que </w:t>
      </w:r>
      <w:r w:rsidR="003E2A52">
        <w:t xml:space="preserve">permite conocer </w:t>
      </w:r>
      <w:r>
        <w:t xml:space="preserve">la </w:t>
      </w:r>
      <w:r w:rsidR="0092162E">
        <w:t xml:space="preserve">inhalación </w:t>
      </w:r>
      <w:r>
        <w:t xml:space="preserve">y </w:t>
      </w:r>
      <w:r w:rsidR="0092162E">
        <w:t xml:space="preserve">exhalación </w:t>
      </w:r>
      <w:r>
        <w:t xml:space="preserve">finales; </w:t>
      </w:r>
      <w:r w:rsidR="003E2A52">
        <w:t xml:space="preserve">ya </w:t>
      </w:r>
      <w:r>
        <w:t xml:space="preserve">que el </w:t>
      </w:r>
      <w:r w:rsidR="0092162E" w:rsidRPr="00890DE2">
        <w:rPr>
          <w:i/>
          <w:iCs/>
        </w:rPr>
        <w:t>Bhagavā</w:t>
      </w:r>
      <w:r w:rsidR="0092162E">
        <w:t xml:space="preserve"> </w:t>
      </w:r>
      <w:r>
        <w:t xml:space="preserve">dice </w:t>
      </w:r>
      <w:r w:rsidR="00003F1F">
        <w:t>lo siguiente</w:t>
      </w:r>
      <w:r>
        <w:t>: “</w:t>
      </w:r>
      <w:proofErr w:type="spellStart"/>
      <w:r>
        <w:t>Rāhula</w:t>
      </w:r>
      <w:proofErr w:type="spellEnd"/>
      <w:r>
        <w:t>, cuando la atención plena e</w:t>
      </w:r>
      <w:r w:rsidR="003524F1">
        <w:t>n</w:t>
      </w:r>
      <w:r>
        <w:t xml:space="preserve"> la respiración se desarroll</w:t>
      </w:r>
      <w:r w:rsidR="003524F1">
        <w:t>e</w:t>
      </w:r>
      <w:r>
        <w:t xml:space="preserve"> de este modo, cuando se practi</w:t>
      </w:r>
      <w:r w:rsidR="003524F1">
        <w:t>que</w:t>
      </w:r>
      <w:r>
        <w:t xml:space="preserve"> </w:t>
      </w:r>
      <w:r w:rsidR="0092162E">
        <w:t>considerablemente</w:t>
      </w:r>
      <w:r>
        <w:t xml:space="preserve">, </w:t>
      </w:r>
      <w:r w:rsidR="00BD7495">
        <w:t xml:space="preserve">la inhalación y exhalación </w:t>
      </w:r>
      <w:r>
        <w:t>finales también se conoce</w:t>
      </w:r>
      <w:r w:rsidR="00003F1F">
        <w:t>rá</w:t>
      </w:r>
      <w:r>
        <w:t>n a medida que ces</w:t>
      </w:r>
      <w:r w:rsidR="00003F1F">
        <w:t>e</w:t>
      </w:r>
      <w:r>
        <w:t>n</w:t>
      </w:r>
      <w:r w:rsidR="00491F18">
        <w:t xml:space="preserve"> y</w:t>
      </w:r>
      <w:r>
        <w:t xml:space="preserve"> no se ignor</w:t>
      </w:r>
      <w:r w:rsidR="003524F1">
        <w:t>e</w:t>
      </w:r>
      <w:r>
        <w:t>n” (M I 425f.).</w:t>
      </w:r>
    </w:p>
    <w:p w14:paraId="6874042C" w14:textId="69C516B0" w:rsidR="003F0A86" w:rsidRDefault="003F0A86" w:rsidP="003F0A86">
      <w:r>
        <w:t xml:space="preserve">241. </w:t>
      </w:r>
      <w:r w:rsidR="00AD504F">
        <w:tab/>
      </w:r>
      <w:r>
        <w:t xml:space="preserve">Aquí, </w:t>
      </w:r>
      <w:r w:rsidR="00491F18">
        <w:t xml:space="preserve">existen </w:t>
      </w:r>
      <w:r>
        <w:t>tres tipos de respiraciones</w:t>
      </w:r>
      <w:r w:rsidR="00491F18">
        <w:t xml:space="preserve"> </w:t>
      </w:r>
      <w:r>
        <w:t xml:space="preserve">finales debido a la cesación, es decir, </w:t>
      </w:r>
      <w:r w:rsidR="00BB233D">
        <w:t xml:space="preserve">como </w:t>
      </w:r>
      <w:r>
        <w:t xml:space="preserve">final </w:t>
      </w:r>
      <w:r w:rsidR="00BB233D">
        <w:t>d</w:t>
      </w:r>
      <w:r>
        <w:t xml:space="preserve">el devenir, final </w:t>
      </w:r>
      <w:r w:rsidR="00BB233D">
        <w:t>del</w:t>
      </w:r>
      <w:r>
        <w:t xml:space="preserve"> </w:t>
      </w:r>
      <w:proofErr w:type="spellStart"/>
      <w:r w:rsidR="00057BF4" w:rsidRPr="00057BF4">
        <w:rPr>
          <w:i/>
          <w:iCs/>
        </w:rPr>
        <w:t>jhāna</w:t>
      </w:r>
      <w:proofErr w:type="spellEnd"/>
      <w:r>
        <w:t xml:space="preserve"> y final </w:t>
      </w:r>
      <w:r w:rsidR="00BB233D">
        <w:t xml:space="preserve">de </w:t>
      </w:r>
      <w:r>
        <w:t xml:space="preserve">la muerte. </w:t>
      </w:r>
      <w:r w:rsidR="00BB233D">
        <w:t xml:space="preserve">Ya </w:t>
      </w:r>
      <w:r>
        <w:t>que, entre los diversos tipos de devenir (existencia</w:t>
      </w:r>
      <w:r w:rsidR="00BB233D">
        <w:t>s</w:t>
      </w:r>
      <w:r>
        <w:t xml:space="preserve">), </w:t>
      </w:r>
      <w:r w:rsidR="00BB233D">
        <w:t xml:space="preserve">la inhalación y exhalación </w:t>
      </w:r>
      <w:r>
        <w:t>ocurr</w:t>
      </w:r>
      <w:r w:rsidR="00EC3089">
        <w:t>irá</w:t>
      </w:r>
      <w:r>
        <w:t xml:space="preserve">n en el devenir de la esfera sensual, no en los tipos de devenir </w:t>
      </w:r>
      <w:r w:rsidR="00EC3089">
        <w:t xml:space="preserve">de la </w:t>
      </w:r>
      <w:r>
        <w:t xml:space="preserve">material </w:t>
      </w:r>
      <w:r w:rsidR="00BB233D">
        <w:t>sutil</w:t>
      </w:r>
      <w:r>
        <w:t xml:space="preserve"> e inmaterial. Es por eso </w:t>
      </w:r>
      <w:proofErr w:type="gramStart"/>
      <w:r>
        <w:t>que</w:t>
      </w:r>
      <w:proofErr w:type="gramEnd"/>
      <w:r>
        <w:t xml:space="preserve"> </w:t>
      </w:r>
      <w:r w:rsidR="00BB233D">
        <w:t xml:space="preserve">existen </w:t>
      </w:r>
      <w:r w:rsidR="009C0904">
        <w:t xml:space="preserve">respiraciones </w:t>
      </w:r>
      <w:r>
        <w:t xml:space="preserve">finales en el </w:t>
      </w:r>
    </w:p>
    <w:p w14:paraId="5B648F80" w14:textId="77777777" w:rsidR="003F0A86" w:rsidRDefault="003F0A86" w:rsidP="003F0A86">
      <w:pPr>
        <w:pStyle w:val="Piedepgina"/>
        <w:rPr>
          <w:u w:val="single"/>
        </w:rPr>
      </w:pPr>
      <w:r>
        <w:rPr>
          <w:u w:val="single"/>
        </w:rPr>
        <w:t xml:space="preserve">                                                                                                                                                                          .</w:t>
      </w:r>
    </w:p>
    <w:p w14:paraId="73B50EF0" w14:textId="77777777" w:rsidR="003F0A86" w:rsidRDefault="003F0A86" w:rsidP="003F0A86">
      <w:r>
        <w:t xml:space="preserve"> …</w:t>
      </w:r>
    </w:p>
    <w:p w14:paraId="3F06358B" w14:textId="772D695C" w:rsidR="00AD504F" w:rsidRDefault="003F0A86" w:rsidP="003F0A86">
      <w:pPr>
        <w:pStyle w:val="PiedepginaLegal"/>
      </w:pPr>
      <w:r>
        <w:tab/>
      </w:r>
      <w:r w:rsidR="00E85648">
        <w:t xml:space="preserve">abandonarán </w:t>
      </w:r>
      <w:r w:rsidR="00CC3071">
        <w:t>provocando su no ocurrencia. Asimismo, en</w:t>
      </w:r>
      <w:r>
        <w:t xml:space="preserve"> el caso de la percepción del dolor, etc. “A través de </w:t>
      </w:r>
      <w:r w:rsidR="001C2089">
        <w:t>apreciar</w:t>
      </w:r>
      <w:r>
        <w:t xml:space="preserve"> la miseria de lo que est</w:t>
      </w:r>
      <w:r w:rsidR="001C2089">
        <w:t>é</w:t>
      </w:r>
      <w:r>
        <w:t xml:space="preserve"> formado”: ​​a través de ver </w:t>
      </w:r>
      <w:r w:rsidR="001C2089">
        <w:t xml:space="preserve">el defecto </w:t>
      </w:r>
      <w:r>
        <w:t xml:space="preserve">de la impermanencia, etc., en el campo formado de </w:t>
      </w:r>
      <w:r w:rsidR="00CC3071">
        <w:t xml:space="preserve">las </w:t>
      </w:r>
      <w:r>
        <w:t xml:space="preserve">formaciones de </w:t>
      </w:r>
      <w:r w:rsidR="00CC3071">
        <w:t xml:space="preserve">los </w:t>
      </w:r>
      <w:r>
        <w:t>tres planos. Es 'lo contrario de lo formado' debido a su permanencia, y así sucesivamente. Cuando las impurezas s</w:t>
      </w:r>
      <w:r w:rsidR="003F26DB">
        <w:t>ea</w:t>
      </w:r>
      <w:r>
        <w:t xml:space="preserve">n abandonadas por el </w:t>
      </w:r>
      <w:r w:rsidR="00947851">
        <w:t>sendero</w:t>
      </w:r>
      <w:r>
        <w:t xml:space="preserve">, entonces </w:t>
      </w:r>
      <w:r w:rsidR="00947851">
        <w:t xml:space="preserve">a </w:t>
      </w:r>
      <w:r>
        <w:t xml:space="preserve">las formaciones </w:t>
      </w:r>
      <w:r w:rsidR="00947851">
        <w:t xml:space="preserve">de </w:t>
      </w:r>
      <w:proofErr w:type="spellStart"/>
      <w:r w:rsidR="00057BF4" w:rsidRPr="00057BF4">
        <w:rPr>
          <w:i/>
          <w:iCs/>
        </w:rPr>
        <w:t>kamma</w:t>
      </w:r>
      <w:proofErr w:type="spellEnd"/>
      <w:r>
        <w:t xml:space="preserve"> se </w:t>
      </w:r>
      <w:r w:rsidR="00947851">
        <w:t xml:space="preserve">les </w:t>
      </w:r>
      <w:r>
        <w:t>denominan 'renunciadas' al producir (</w:t>
      </w:r>
      <w:proofErr w:type="spellStart"/>
      <w:r w:rsidRPr="00311C61">
        <w:rPr>
          <w:i/>
          <w:iCs/>
        </w:rPr>
        <w:t>āpādana</w:t>
      </w:r>
      <w:proofErr w:type="spellEnd"/>
      <w:r>
        <w:t xml:space="preserve">) en ellas la naturaleza de no causar resultado, y los agregados enraizados </w:t>
      </w:r>
      <w:r w:rsidR="00947851">
        <w:t xml:space="preserve">a </w:t>
      </w:r>
      <w:r>
        <w:t xml:space="preserve">ellas se </w:t>
      </w:r>
      <w:r w:rsidR="00947851">
        <w:t xml:space="preserve">les </w:t>
      </w:r>
      <w:r>
        <w:t>denomina</w:t>
      </w:r>
      <w:r w:rsidR="00947851">
        <w:t>rá</w:t>
      </w:r>
      <w:r>
        <w:t xml:space="preserve">n 'renunciados' al ser </w:t>
      </w:r>
      <w:r w:rsidR="00980F3E">
        <w:t>realidades</w:t>
      </w:r>
      <w:r>
        <w:t xml:space="preserve"> apt</w:t>
      </w:r>
      <w:r w:rsidR="00980F3E">
        <w:t>a</w:t>
      </w:r>
      <w:r>
        <w:t xml:space="preserve">s para </w:t>
      </w:r>
      <w:r w:rsidR="0036339B">
        <w:t>el</w:t>
      </w:r>
      <w:r w:rsidR="00FD05E3">
        <w:t xml:space="preserve"> </w:t>
      </w:r>
      <w:r>
        <w:t>no surgi</w:t>
      </w:r>
      <w:r w:rsidR="0036339B">
        <w:t>miento</w:t>
      </w:r>
      <w:r>
        <w:t xml:space="preserve">. Así que el </w:t>
      </w:r>
      <w:r w:rsidR="00FD05E3">
        <w:t xml:space="preserve">sendero </w:t>
      </w:r>
      <w:r>
        <w:t>renuncia</w:t>
      </w:r>
      <w:r w:rsidR="00FD05E3">
        <w:t>rá</w:t>
      </w:r>
      <w:r>
        <w:t xml:space="preserve"> a todo e</w:t>
      </w:r>
      <w:r w:rsidR="00FD05E3">
        <w:t>ll</w:t>
      </w:r>
      <w:r>
        <w:t>o, eso es lo que se quiere decir” (</w:t>
      </w:r>
      <w:proofErr w:type="spellStart"/>
      <w:r>
        <w:t>Vism-mhṭ</w:t>
      </w:r>
      <w:proofErr w:type="spellEnd"/>
      <w:r>
        <w:t xml:space="preserve"> 281). La palabra </w:t>
      </w:r>
      <w:proofErr w:type="spellStart"/>
      <w:r w:rsidRPr="00311C61">
        <w:rPr>
          <w:i/>
          <w:iCs/>
        </w:rPr>
        <w:t>pakkhandana</w:t>
      </w:r>
      <w:proofErr w:type="spellEnd"/>
      <w:r>
        <w:t xml:space="preserve"> (traducida como "entrar en") se usa para definir el acto de fe, y también puede traducirse como "lanzarse hacia" o "saltar".</w:t>
      </w:r>
    </w:p>
    <w:p w14:paraId="1278246D" w14:textId="77777777" w:rsidR="00AD504F" w:rsidRDefault="00AD504F">
      <w:pPr>
        <w:tabs>
          <w:tab w:val="clear" w:pos="425"/>
        </w:tabs>
        <w:spacing w:after="160"/>
        <w:rPr>
          <w:color w:val="000000" w:themeColor="text1"/>
          <w:spacing w:val="10"/>
          <w:sz w:val="14"/>
        </w:rPr>
      </w:pPr>
      <w:r>
        <w:br w:type="page"/>
      </w:r>
    </w:p>
    <w:p w14:paraId="735DCF55" w14:textId="77777777" w:rsidR="009C0904" w:rsidRDefault="009C0904" w:rsidP="00C95054"/>
    <w:p w14:paraId="246B8950" w14:textId="3BA83346" w:rsidR="00C95054" w:rsidRDefault="009C0904" w:rsidP="00C95054">
      <w:r>
        <w:t xml:space="preserve">devenir. En </w:t>
      </w:r>
      <w:r w:rsidR="00E96457">
        <w:t xml:space="preserve">los </w:t>
      </w:r>
      <w:proofErr w:type="spellStart"/>
      <w:r w:rsidR="00E96457" w:rsidRPr="00057BF4">
        <w:rPr>
          <w:i/>
          <w:iCs/>
        </w:rPr>
        <w:t>jhāna</w:t>
      </w:r>
      <w:r w:rsidR="00E96457" w:rsidRPr="00311C61">
        <w:rPr>
          <w:i/>
          <w:iCs/>
        </w:rPr>
        <w:t>s</w:t>
      </w:r>
      <w:proofErr w:type="spellEnd"/>
      <w:r w:rsidR="00E96457">
        <w:t xml:space="preserve"> ocurrirán </w:t>
      </w:r>
      <w:r w:rsidR="00C95054">
        <w:t xml:space="preserve">en los tres primeros pero no en el cuarto. Es por eso </w:t>
      </w:r>
      <w:proofErr w:type="gramStart"/>
      <w:r w:rsidR="00C95054">
        <w:t>que</w:t>
      </w:r>
      <w:proofErr w:type="gramEnd"/>
      <w:r w:rsidR="00C95054">
        <w:t xml:space="preserve"> </w:t>
      </w:r>
      <w:r w:rsidR="00E96457">
        <w:t>existirá</w:t>
      </w:r>
      <w:r w:rsidR="00C95054">
        <w:t xml:space="preserve"> </w:t>
      </w:r>
      <w:r w:rsidR="00A4203D">
        <w:t xml:space="preserve">un </w:t>
      </w:r>
      <w:r w:rsidR="00C95054">
        <w:t>final en</w:t>
      </w:r>
      <w:r w:rsidR="00A4203D">
        <w:t xml:space="preserve"> los</w:t>
      </w:r>
      <w:r w:rsidR="00C95054">
        <w:t xml:space="preserve"> </w:t>
      </w:r>
      <w:proofErr w:type="spellStart"/>
      <w:r w:rsidR="00057BF4" w:rsidRPr="00057BF4">
        <w:rPr>
          <w:i/>
          <w:iCs/>
        </w:rPr>
        <w:t>jhāna</w:t>
      </w:r>
      <w:r w:rsidR="00EB4850">
        <w:rPr>
          <w:i/>
          <w:iCs/>
        </w:rPr>
        <w:t>s</w:t>
      </w:r>
      <w:proofErr w:type="spellEnd"/>
      <w:r w:rsidR="00C95054">
        <w:t>. Aquellos que sur</w:t>
      </w:r>
      <w:r w:rsidR="00A4203D">
        <w:t>jan</w:t>
      </w:r>
      <w:r w:rsidR="00C95054">
        <w:t xml:space="preserve"> junto con la decimosexta con</w:t>
      </w:r>
      <w:r w:rsidR="00E552E9">
        <w:t>s</w:t>
      </w:r>
      <w:r w:rsidR="00C95054">
        <w:t>ciencia que preced</w:t>
      </w:r>
      <w:r w:rsidR="00EB4850">
        <w:t>a</w:t>
      </w:r>
      <w:r w:rsidR="00C95054">
        <w:t xml:space="preserve"> a la con</w:t>
      </w:r>
      <w:r w:rsidR="00E552E9">
        <w:t>s</w:t>
      </w:r>
      <w:r w:rsidR="00C95054">
        <w:t>ciencia de la muerte [292] cesa</w:t>
      </w:r>
      <w:r w:rsidR="00E552E9">
        <w:t>rá</w:t>
      </w:r>
      <w:r w:rsidR="00C95054">
        <w:t>n junto con la con</w:t>
      </w:r>
      <w:r w:rsidR="00E552E9">
        <w:t>s</w:t>
      </w:r>
      <w:r w:rsidR="00C95054">
        <w:t>ciencia de la muerte. Se les llama “</w:t>
      </w:r>
      <w:r w:rsidR="00B46E8E">
        <w:t xml:space="preserve">el </w:t>
      </w:r>
      <w:r w:rsidR="00C95054">
        <w:t xml:space="preserve">final </w:t>
      </w:r>
      <w:r w:rsidR="00E552E9">
        <w:t>de</w:t>
      </w:r>
      <w:r w:rsidR="00C95054">
        <w:t xml:space="preserve"> la muerte”. Son estos últimos los que se entienden aquí como “finales”.</w:t>
      </w:r>
    </w:p>
    <w:p w14:paraId="4C7F8559" w14:textId="2C228D39" w:rsidR="00C95054" w:rsidRDefault="00C95054" w:rsidP="00C95054">
      <w:r>
        <w:t xml:space="preserve">242. </w:t>
      </w:r>
      <w:r>
        <w:tab/>
        <w:t xml:space="preserve">Cuando un </w:t>
      </w:r>
      <w:proofErr w:type="spellStart"/>
      <w:r w:rsidR="00057BF4" w:rsidRPr="00057BF4">
        <w:rPr>
          <w:i/>
          <w:iCs/>
        </w:rPr>
        <w:t>bhikkhu</w:t>
      </w:r>
      <w:proofErr w:type="spellEnd"/>
      <w:r>
        <w:t xml:space="preserve"> se ha</w:t>
      </w:r>
      <w:r w:rsidR="00B46E8E">
        <w:t>ya</w:t>
      </w:r>
      <w:r>
        <w:t xml:space="preserve"> dedicado a este </w:t>
      </w:r>
      <w:r w:rsidR="00B46E8E">
        <w:t xml:space="preserve">objeto </w:t>
      </w:r>
      <w:r>
        <w:t>de meditación, parec</w:t>
      </w:r>
      <w:r w:rsidR="0076600B">
        <w:t>iera</w:t>
      </w:r>
      <w:r>
        <w:t xml:space="preserve">, </w:t>
      </w:r>
      <w:r w:rsidR="00283DC5">
        <w:t xml:space="preserve">que </w:t>
      </w:r>
      <w:r>
        <w:t xml:space="preserve">si </w:t>
      </w:r>
      <w:r w:rsidR="002E6F9E">
        <w:t xml:space="preserve">él </w:t>
      </w:r>
      <w:r>
        <w:t>adv</w:t>
      </w:r>
      <w:r w:rsidR="00B5323B">
        <w:t>i</w:t>
      </w:r>
      <w:r>
        <w:t>rt</w:t>
      </w:r>
      <w:r w:rsidR="00B5323B">
        <w:t>iese</w:t>
      </w:r>
      <w:r>
        <w:t>, en el momento del surgimiento de la decimosexta con</w:t>
      </w:r>
      <w:r w:rsidR="00283DC5">
        <w:t>s</w:t>
      </w:r>
      <w:r>
        <w:t>ciencia antes de la con</w:t>
      </w:r>
      <w:r w:rsidR="00C23427">
        <w:t>s</w:t>
      </w:r>
      <w:r>
        <w:t>ciencia de la muerte,</w:t>
      </w:r>
      <w:r w:rsidR="00C23427">
        <w:t xml:space="preserve"> </w:t>
      </w:r>
      <w:r>
        <w:t xml:space="preserve">su surgimiento, entonces </w:t>
      </w:r>
      <w:r w:rsidR="007F5868">
        <w:t>tal</w:t>
      </w:r>
      <w:r>
        <w:t xml:space="preserve"> surgimiento </w:t>
      </w:r>
      <w:r w:rsidR="002E6F9E">
        <w:t xml:space="preserve">será </w:t>
      </w:r>
      <w:r>
        <w:t xml:space="preserve">evidente </w:t>
      </w:r>
      <w:r w:rsidR="00283DC5">
        <w:t xml:space="preserve">en </w:t>
      </w:r>
      <w:r>
        <w:t xml:space="preserve">él; si </w:t>
      </w:r>
      <w:r w:rsidR="007F5868">
        <w:t xml:space="preserve">él advirtiese </w:t>
      </w:r>
      <w:r>
        <w:t xml:space="preserve">su presencia, entonces su presencia </w:t>
      </w:r>
      <w:r w:rsidR="00C23427">
        <w:t>será</w:t>
      </w:r>
      <w:r>
        <w:t xml:space="preserve"> evidente </w:t>
      </w:r>
      <w:r w:rsidR="00223127">
        <w:t xml:space="preserve">en </w:t>
      </w:r>
      <w:r>
        <w:t xml:space="preserve">él; si </w:t>
      </w:r>
      <w:r w:rsidR="007F5868">
        <w:t xml:space="preserve">él advirtiese </w:t>
      </w:r>
      <w:r>
        <w:t xml:space="preserve">su disolución, entonces su disolución </w:t>
      </w:r>
      <w:r w:rsidR="00C23427">
        <w:t xml:space="preserve">será </w:t>
      </w:r>
      <w:r>
        <w:t xml:space="preserve">evidente </w:t>
      </w:r>
      <w:r w:rsidR="00223127">
        <w:t xml:space="preserve">en </w:t>
      </w:r>
      <w:r>
        <w:t xml:space="preserve">él; y </w:t>
      </w:r>
      <w:r w:rsidR="00C23427">
        <w:t xml:space="preserve">será </w:t>
      </w:r>
      <w:r>
        <w:t>así porque ha</w:t>
      </w:r>
      <w:r w:rsidR="00223127">
        <w:t>brá</w:t>
      </w:r>
      <w:r>
        <w:t xml:space="preserve"> discernido completamente </w:t>
      </w:r>
      <w:r w:rsidR="008E78DC">
        <w:t xml:space="preserve">en </w:t>
      </w:r>
      <w:r w:rsidR="00223127">
        <w:t xml:space="preserve">la inhalación y exhalación </w:t>
      </w:r>
      <w:r>
        <w:t>como objeto.</w:t>
      </w:r>
    </w:p>
    <w:p w14:paraId="532B8584" w14:textId="6A384047" w:rsidR="00C95054" w:rsidRDefault="00C95054" w:rsidP="00C95054">
      <w:r>
        <w:t xml:space="preserve">243. </w:t>
      </w:r>
      <w:r>
        <w:tab/>
        <w:t xml:space="preserve">Cuando un </w:t>
      </w:r>
      <w:proofErr w:type="spellStart"/>
      <w:r w:rsidR="00057BF4" w:rsidRPr="00057BF4">
        <w:rPr>
          <w:i/>
          <w:iCs/>
        </w:rPr>
        <w:t>bhikkhu</w:t>
      </w:r>
      <w:proofErr w:type="spellEnd"/>
      <w:r>
        <w:t xml:space="preserve"> ha</w:t>
      </w:r>
      <w:r w:rsidR="00223127">
        <w:t>ya</w:t>
      </w:r>
      <w:r>
        <w:t xml:space="preserve"> </w:t>
      </w:r>
      <w:r w:rsidR="00223127">
        <w:t xml:space="preserve">consumado </w:t>
      </w:r>
      <w:r>
        <w:t xml:space="preserve">el estado de </w:t>
      </w:r>
      <w:r w:rsidR="00057BF4" w:rsidRPr="00057BF4">
        <w:rPr>
          <w:i/>
        </w:rPr>
        <w:t>Arahant</w:t>
      </w:r>
      <w:r>
        <w:t xml:space="preserve"> al desarrollar algún otro </w:t>
      </w:r>
      <w:r w:rsidR="00223127">
        <w:t xml:space="preserve">objeto </w:t>
      </w:r>
      <w:r>
        <w:t xml:space="preserve">de meditación además de </w:t>
      </w:r>
      <w:r w:rsidR="003119F3">
        <w:t>é</w:t>
      </w:r>
      <w:r>
        <w:t xml:space="preserve">ste, </w:t>
      </w:r>
      <w:r w:rsidR="00F06CFB">
        <w:t xml:space="preserve">él </w:t>
      </w:r>
      <w:r w:rsidR="00223127">
        <w:t>podr</w:t>
      </w:r>
      <w:r w:rsidR="00F06CFB">
        <w:t>ía</w:t>
      </w:r>
      <w:r w:rsidR="00223127">
        <w:t xml:space="preserve"> </w:t>
      </w:r>
      <w:r>
        <w:t xml:space="preserve">definir el término de su vida o no. </w:t>
      </w:r>
      <w:r w:rsidR="003119F3">
        <w:t xml:space="preserve">No obstante, </w:t>
      </w:r>
      <w:r>
        <w:t>cuando ha</w:t>
      </w:r>
      <w:r w:rsidR="003119F3">
        <w:t>ya</w:t>
      </w:r>
      <w:r>
        <w:t xml:space="preserve"> </w:t>
      </w:r>
      <w:r w:rsidR="003119F3">
        <w:t xml:space="preserve">consumado </w:t>
      </w:r>
      <w:r>
        <w:t xml:space="preserve">el estado de </w:t>
      </w:r>
      <w:r w:rsidR="00057BF4" w:rsidRPr="00057BF4">
        <w:rPr>
          <w:i/>
        </w:rPr>
        <w:t>Arahant</w:t>
      </w:r>
      <w:r>
        <w:t xml:space="preserve"> mediante el desarrollo de esta atención plena e</w:t>
      </w:r>
      <w:r w:rsidR="009131B5">
        <w:t>n</w:t>
      </w:r>
      <w:r>
        <w:t xml:space="preserve"> la respiración con sus dieciséis bases, siempre </w:t>
      </w:r>
      <w:r w:rsidR="003119F3">
        <w:t xml:space="preserve">podrá </w:t>
      </w:r>
      <w:r>
        <w:t xml:space="preserve">definir el término de su vida. Él </w:t>
      </w:r>
      <w:r w:rsidR="00E248B9">
        <w:t>conocerá</w:t>
      </w:r>
      <w:r>
        <w:t>: “Mis formaciones vitales continuarán ahora por tanto tiempo y no más”. Automáticamente realiza</w:t>
      </w:r>
      <w:r w:rsidR="00E248B9">
        <w:t>rá</w:t>
      </w:r>
      <w:r>
        <w:t xml:space="preserve"> todas las funciones de atender el cuerpo, vestirse y </w:t>
      </w:r>
      <w:r w:rsidR="00602F51">
        <w:t>envolverse</w:t>
      </w:r>
      <w:r>
        <w:t>, etc., después de lo cual cerra</w:t>
      </w:r>
      <w:r w:rsidR="00602F51">
        <w:t>rá</w:t>
      </w:r>
      <w:r>
        <w:t xml:space="preserve"> los ojos, como el </w:t>
      </w:r>
      <w:r w:rsidR="00602F51">
        <w:t xml:space="preserve">Venerable </w:t>
      </w:r>
      <w:proofErr w:type="spellStart"/>
      <w:r>
        <w:t>Tissa</w:t>
      </w:r>
      <w:proofErr w:type="spellEnd"/>
      <w:r>
        <w:t xml:space="preserve"> que vivía en el Monasterio </w:t>
      </w:r>
      <w:proofErr w:type="spellStart"/>
      <w:r>
        <w:t>Ko</w:t>
      </w:r>
      <w:r w:rsidR="00311C61">
        <w:t>ṭ</w:t>
      </w:r>
      <w:r>
        <w:t>apabbata</w:t>
      </w:r>
      <w:proofErr w:type="spellEnd"/>
      <w:r>
        <w:t xml:space="preserve">, como el </w:t>
      </w:r>
      <w:r w:rsidR="00602F51">
        <w:t xml:space="preserve">Venerable </w:t>
      </w:r>
      <w:r>
        <w:t xml:space="preserve">Mahā </w:t>
      </w:r>
      <w:proofErr w:type="spellStart"/>
      <w:r>
        <w:t>Tissa</w:t>
      </w:r>
      <w:proofErr w:type="spellEnd"/>
      <w:r>
        <w:t xml:space="preserve"> que vivía en el Monasterio Mahā </w:t>
      </w:r>
      <w:proofErr w:type="spellStart"/>
      <w:r>
        <w:t>Karañjiya</w:t>
      </w:r>
      <w:proofErr w:type="spellEnd"/>
      <w:r>
        <w:t xml:space="preserve">, como el </w:t>
      </w:r>
      <w:r w:rsidR="00602F51">
        <w:t xml:space="preserve">Venerable </w:t>
      </w:r>
      <w:proofErr w:type="spellStart"/>
      <w:r>
        <w:t>Tissa</w:t>
      </w:r>
      <w:proofErr w:type="spellEnd"/>
      <w:r>
        <w:t xml:space="preserve">, el comedor de </w:t>
      </w:r>
      <w:r w:rsidR="00602F51">
        <w:t>ofrendas</w:t>
      </w:r>
      <w:r>
        <w:t xml:space="preserve"> en el reino de </w:t>
      </w:r>
      <w:r w:rsidR="00057BF4" w:rsidRPr="00602F51">
        <w:rPr>
          <w:iCs/>
        </w:rPr>
        <w:t>Deva</w:t>
      </w:r>
      <w:r w:rsidRPr="00602F51">
        <w:rPr>
          <w:iCs/>
        </w:rPr>
        <w:t>putta</w:t>
      </w:r>
      <w:r>
        <w:t xml:space="preserve">, como los </w:t>
      </w:r>
      <w:r w:rsidR="00602F51">
        <w:t>Venerables</w:t>
      </w:r>
      <w:r>
        <w:t xml:space="preserve"> que eran hermanos y vivían en el monasterio </w:t>
      </w:r>
      <w:proofErr w:type="spellStart"/>
      <w:r>
        <w:t>Cittalapabbata</w:t>
      </w:r>
      <w:proofErr w:type="spellEnd"/>
      <w:r>
        <w:t>.</w:t>
      </w:r>
    </w:p>
    <w:p w14:paraId="47ADFF28" w14:textId="433FC487" w:rsidR="00C95054" w:rsidRDefault="00C95054" w:rsidP="00C95054">
      <w:r>
        <w:t xml:space="preserve">244. </w:t>
      </w:r>
      <w:r>
        <w:tab/>
        <w:t xml:space="preserve">Aquí hay una historia como ilustración. Después de recitar el </w:t>
      </w:r>
      <w:proofErr w:type="spellStart"/>
      <w:r w:rsidRPr="00311C61">
        <w:rPr>
          <w:i/>
          <w:iCs/>
        </w:rPr>
        <w:t>Pātimokkha</w:t>
      </w:r>
      <w:proofErr w:type="spellEnd"/>
      <w:r>
        <w:t xml:space="preserve">, al parecer, en el día de </w:t>
      </w:r>
      <w:r w:rsidR="00602F51">
        <w:t xml:space="preserve">Luna </w:t>
      </w:r>
      <w:r>
        <w:t xml:space="preserve">llena de </w:t>
      </w:r>
      <w:proofErr w:type="spellStart"/>
      <w:r w:rsidR="00057BF4" w:rsidRPr="00057BF4">
        <w:rPr>
          <w:i/>
          <w:iCs/>
        </w:rPr>
        <w:t>Uposatha</w:t>
      </w:r>
      <w:proofErr w:type="spellEnd"/>
      <w:r>
        <w:t xml:space="preserve">, uno de los dos </w:t>
      </w:r>
      <w:r w:rsidR="00602F51">
        <w:t xml:space="preserve">Venerables </w:t>
      </w:r>
      <w:r>
        <w:t xml:space="preserve">hermanos fue a su propia </w:t>
      </w:r>
      <w:r w:rsidR="00602F51">
        <w:t>residencia</w:t>
      </w:r>
      <w:r>
        <w:t xml:space="preserve"> rodeado por </w:t>
      </w:r>
      <w:r w:rsidR="00602F51">
        <w:t>un</w:t>
      </w:r>
      <w:r>
        <w:t xml:space="preserve">a Comunidad de </w:t>
      </w:r>
      <w:proofErr w:type="spellStart"/>
      <w:r w:rsidR="00057BF4" w:rsidRPr="00057BF4">
        <w:rPr>
          <w:i/>
          <w:iCs/>
        </w:rPr>
        <w:t>Bhikkhu</w:t>
      </w:r>
      <w:r w:rsidRPr="00311C61">
        <w:rPr>
          <w:i/>
          <w:iCs/>
        </w:rPr>
        <w:t>s</w:t>
      </w:r>
      <w:proofErr w:type="spellEnd"/>
      <w:r>
        <w:t xml:space="preserve">. Mientras estaba de pie en el camino mirando la luz de la </w:t>
      </w:r>
      <w:r w:rsidR="00602F51">
        <w:t>Luna</w:t>
      </w:r>
      <w:r>
        <w:t xml:space="preserve">, calculó sus propias formaciones vitales y le dijo a la comunidad de </w:t>
      </w:r>
      <w:proofErr w:type="spellStart"/>
      <w:r w:rsidR="00057BF4" w:rsidRPr="00057BF4">
        <w:rPr>
          <w:i/>
          <w:iCs/>
        </w:rPr>
        <w:t>Bhikkhu</w:t>
      </w:r>
      <w:r w:rsidRPr="00311C61">
        <w:rPr>
          <w:i/>
          <w:iCs/>
        </w:rPr>
        <w:t>s</w:t>
      </w:r>
      <w:proofErr w:type="spellEnd"/>
      <w:r>
        <w:t xml:space="preserve">: "¿De qué manera han visto a los monjes alcanzar el </w:t>
      </w:r>
      <w:r w:rsidRPr="00602F51">
        <w:rPr>
          <w:i/>
          <w:iCs/>
        </w:rPr>
        <w:t>Nibbāna</w:t>
      </w:r>
      <w:r>
        <w:t xml:space="preserve"> hasta ahora?" Algunos respondieron: “Hasta ahora hemos visto alcanzar el </w:t>
      </w:r>
      <w:r w:rsidRPr="00922C7B">
        <w:rPr>
          <w:i/>
          <w:iCs/>
        </w:rPr>
        <w:t>Nibbāna</w:t>
      </w:r>
      <w:r>
        <w:t xml:space="preserve"> sentados en sus asientos”. Otros respondieron: “Los hemos visto sentados con las piernas cruzadas en el aire”. El </w:t>
      </w:r>
      <w:r w:rsidR="00922C7B">
        <w:t xml:space="preserve">Venerable </w:t>
      </w:r>
      <w:r>
        <w:t xml:space="preserve">dijo: “Ahora </w:t>
      </w:r>
      <w:r w:rsidR="00922C7B">
        <w:t>l</w:t>
      </w:r>
      <w:r>
        <w:t>e</w:t>
      </w:r>
      <w:r w:rsidR="00922C7B">
        <w:t>s</w:t>
      </w:r>
      <w:r>
        <w:t xml:space="preserve"> mostraré a </w:t>
      </w:r>
      <w:r w:rsidR="00922C7B">
        <w:t>alguien</w:t>
      </w:r>
      <w:r>
        <w:t xml:space="preserve"> que </w:t>
      </w:r>
      <w:r w:rsidR="00922C7B">
        <w:t xml:space="preserve">consumará el </w:t>
      </w:r>
      <w:r w:rsidRPr="00922C7B">
        <w:rPr>
          <w:i/>
          <w:iCs/>
        </w:rPr>
        <w:t>Nibbāna</w:t>
      </w:r>
      <w:r>
        <w:t xml:space="preserve"> mientras camin</w:t>
      </w:r>
      <w:r w:rsidR="00922C7B">
        <w:t>e</w:t>
      </w:r>
      <w:r>
        <w:t>”. Luego dibujó una línea en el camino, diciendo: “Iré d</w:t>
      </w:r>
      <w:r w:rsidR="00922C7B">
        <w:t xml:space="preserve">el </w:t>
      </w:r>
      <w:r>
        <w:t>extremo de</w:t>
      </w:r>
      <w:r w:rsidR="00922C7B">
        <w:t xml:space="preserve"> este</w:t>
      </w:r>
      <w:r>
        <w:t xml:space="preserve"> </w:t>
      </w:r>
      <w:r w:rsidR="00922C7B">
        <w:t xml:space="preserve">trayecto hasta </w:t>
      </w:r>
      <w:r>
        <w:t xml:space="preserve">al otro extremo y regresaré; cuando alcance esta línea </w:t>
      </w:r>
      <w:r w:rsidR="00922C7B">
        <w:t xml:space="preserve">consumaré </w:t>
      </w:r>
      <w:r>
        <w:t xml:space="preserve">el </w:t>
      </w:r>
      <w:r w:rsidRPr="00922C7B">
        <w:rPr>
          <w:i/>
          <w:iCs/>
        </w:rPr>
        <w:t>Nibbāna</w:t>
      </w:r>
      <w:r>
        <w:t xml:space="preserve">”. Diciendo esto, </w:t>
      </w:r>
      <w:r w:rsidR="00FF5B66">
        <w:t>caminó por</w:t>
      </w:r>
      <w:r>
        <w:t xml:space="preserve"> </w:t>
      </w:r>
      <w:r w:rsidR="00900DF2">
        <w:t xml:space="preserve">el </w:t>
      </w:r>
      <w:r w:rsidR="00FF5B66">
        <w:t xml:space="preserve">trayecto descrito </w:t>
      </w:r>
      <w:r>
        <w:t xml:space="preserve">y </w:t>
      </w:r>
      <w:r w:rsidR="00FF5B66">
        <w:t xml:space="preserve">regresó </w:t>
      </w:r>
      <w:r>
        <w:t xml:space="preserve">hasta el otro extremo. A su regreso </w:t>
      </w:r>
      <w:r w:rsidR="00FF5B66">
        <w:t xml:space="preserve">consumó </w:t>
      </w:r>
      <w:r>
        <w:t xml:space="preserve">el </w:t>
      </w:r>
      <w:r w:rsidRPr="00900DF2">
        <w:rPr>
          <w:i/>
          <w:iCs/>
        </w:rPr>
        <w:t>Nibbāna</w:t>
      </w:r>
      <w:r>
        <w:t xml:space="preserve"> en el mismo momento en que pisó la línea. [293]</w:t>
      </w:r>
    </w:p>
    <w:p w14:paraId="79227213" w14:textId="0A1919E2" w:rsidR="00C95054" w:rsidRPr="00900DF2" w:rsidRDefault="00BD2261" w:rsidP="00C95054">
      <w:pPr>
        <w:pStyle w:val="VersoIngls01Sangria"/>
        <w:rPr>
          <w:sz w:val="16"/>
          <w:szCs w:val="20"/>
        </w:rPr>
      </w:pPr>
      <w:r w:rsidRPr="00900DF2">
        <w:rPr>
          <w:sz w:val="16"/>
          <w:szCs w:val="20"/>
        </w:rPr>
        <w:t>Por tanto,</w:t>
      </w:r>
      <w:r w:rsidR="00C95054" w:rsidRPr="00900DF2">
        <w:rPr>
          <w:sz w:val="16"/>
          <w:szCs w:val="20"/>
        </w:rPr>
        <w:t xml:space="preserve"> que </w:t>
      </w:r>
      <w:r w:rsidR="005B78B7" w:rsidRPr="00900DF2">
        <w:rPr>
          <w:sz w:val="16"/>
          <w:szCs w:val="20"/>
        </w:rPr>
        <w:t>un</w:t>
      </w:r>
      <w:r w:rsidR="00C95054" w:rsidRPr="00900DF2">
        <w:rPr>
          <w:sz w:val="16"/>
          <w:szCs w:val="20"/>
        </w:rPr>
        <w:t xml:space="preserve"> hombre, si es sabio,</w:t>
      </w:r>
    </w:p>
    <w:p w14:paraId="397F4D39" w14:textId="71FA5907" w:rsidR="00C95054" w:rsidRPr="00900DF2" w:rsidRDefault="00D06602" w:rsidP="00C95054">
      <w:pPr>
        <w:pStyle w:val="VersoIngls01Sangria"/>
        <w:rPr>
          <w:sz w:val="16"/>
          <w:szCs w:val="20"/>
        </w:rPr>
      </w:pPr>
      <w:r w:rsidRPr="00900DF2">
        <w:rPr>
          <w:sz w:val="16"/>
          <w:szCs w:val="20"/>
        </w:rPr>
        <w:t>D</w:t>
      </w:r>
      <w:r w:rsidR="00C95054" w:rsidRPr="00900DF2">
        <w:rPr>
          <w:sz w:val="16"/>
          <w:szCs w:val="20"/>
        </w:rPr>
        <w:t>edi</w:t>
      </w:r>
      <w:r w:rsidRPr="00900DF2">
        <w:rPr>
          <w:sz w:val="16"/>
          <w:szCs w:val="20"/>
        </w:rPr>
        <w:t>que</w:t>
      </w:r>
      <w:r w:rsidR="00C95054" w:rsidRPr="00900DF2">
        <w:rPr>
          <w:sz w:val="16"/>
          <w:szCs w:val="20"/>
        </w:rPr>
        <w:t xml:space="preserve"> incansablemente sus días</w:t>
      </w:r>
    </w:p>
    <w:p w14:paraId="63C2432B" w14:textId="28FB2C15" w:rsidR="00C95054" w:rsidRPr="00900DF2" w:rsidRDefault="00C95054" w:rsidP="00C95054">
      <w:pPr>
        <w:pStyle w:val="VersoIngls01Sangria"/>
        <w:rPr>
          <w:sz w:val="16"/>
          <w:szCs w:val="20"/>
        </w:rPr>
      </w:pPr>
      <w:r w:rsidRPr="00900DF2">
        <w:rPr>
          <w:sz w:val="16"/>
          <w:szCs w:val="20"/>
        </w:rPr>
        <w:t xml:space="preserve">A la atención plena </w:t>
      </w:r>
      <w:r w:rsidR="005B78B7" w:rsidRPr="00900DF2">
        <w:rPr>
          <w:sz w:val="16"/>
          <w:szCs w:val="20"/>
        </w:rPr>
        <w:t>en</w:t>
      </w:r>
      <w:r w:rsidRPr="00900DF2">
        <w:rPr>
          <w:sz w:val="16"/>
          <w:szCs w:val="20"/>
        </w:rPr>
        <w:t xml:space="preserve"> la respiración, que</w:t>
      </w:r>
      <w:r w:rsidR="00B74AD1" w:rsidRPr="00900DF2">
        <w:rPr>
          <w:sz w:val="16"/>
          <w:szCs w:val="20"/>
        </w:rPr>
        <w:t xml:space="preserve"> lo</w:t>
      </w:r>
    </w:p>
    <w:p w14:paraId="2E97C30E" w14:textId="04A53883" w:rsidR="00C95054" w:rsidRPr="00900DF2" w:rsidRDefault="00C95054" w:rsidP="00C95054">
      <w:pPr>
        <w:pStyle w:val="VersoIngls01Sangria"/>
        <w:spacing w:after="100"/>
        <w:ind w:left="1418"/>
        <w:rPr>
          <w:sz w:val="16"/>
          <w:szCs w:val="20"/>
        </w:rPr>
      </w:pPr>
      <w:r w:rsidRPr="00900DF2">
        <w:rPr>
          <w:sz w:val="16"/>
          <w:szCs w:val="20"/>
        </w:rPr>
        <w:t>Recomp</w:t>
      </w:r>
      <w:r w:rsidR="00B74AD1" w:rsidRPr="00900DF2">
        <w:rPr>
          <w:sz w:val="16"/>
          <w:szCs w:val="20"/>
        </w:rPr>
        <w:t>e</w:t>
      </w:r>
      <w:r w:rsidRPr="00900DF2">
        <w:rPr>
          <w:sz w:val="16"/>
          <w:szCs w:val="20"/>
        </w:rPr>
        <w:t>ns</w:t>
      </w:r>
      <w:r w:rsidR="00B74AD1" w:rsidRPr="00900DF2">
        <w:rPr>
          <w:sz w:val="16"/>
          <w:szCs w:val="20"/>
        </w:rPr>
        <w:t>ará</w:t>
      </w:r>
      <w:r w:rsidRPr="00900DF2">
        <w:rPr>
          <w:sz w:val="16"/>
          <w:szCs w:val="20"/>
        </w:rPr>
        <w:t xml:space="preserve"> siempre de </w:t>
      </w:r>
      <w:r w:rsidR="00335B37">
        <w:rPr>
          <w:sz w:val="16"/>
          <w:szCs w:val="20"/>
        </w:rPr>
        <w:t>las formas descritas</w:t>
      </w:r>
      <w:r w:rsidRPr="00900DF2">
        <w:rPr>
          <w:sz w:val="16"/>
          <w:szCs w:val="20"/>
        </w:rPr>
        <w:t>.</w:t>
      </w:r>
    </w:p>
    <w:p w14:paraId="0F22C249" w14:textId="3D2D10FF" w:rsidR="00C95054" w:rsidRDefault="00B74AD1" w:rsidP="00C95054">
      <w:pPr>
        <w:pStyle w:val="NormalConSangria"/>
      </w:pPr>
      <w:r>
        <w:t>É</w:t>
      </w:r>
      <w:r w:rsidR="00C95054">
        <w:t>sta es la sección que trata sobre la atención plena e</w:t>
      </w:r>
      <w:r>
        <w:t>n</w:t>
      </w:r>
      <w:r w:rsidR="00C95054">
        <w:t xml:space="preserve"> la respiración en </w:t>
      </w:r>
      <w:r w:rsidR="00AD4C1F">
        <w:t>un</w:t>
      </w:r>
      <w:r w:rsidR="00C95054">
        <w:t>a explicación detallada.</w:t>
      </w:r>
    </w:p>
    <w:p w14:paraId="3FFDE01C" w14:textId="3062A59A" w:rsidR="00C95054" w:rsidRDefault="00C95054" w:rsidP="00C95054">
      <w:pPr>
        <w:pStyle w:val="Ttulo3"/>
        <w:ind w:left="708"/>
      </w:pPr>
      <w:r>
        <w:t xml:space="preserve">[(10) </w:t>
      </w:r>
      <w:r w:rsidR="00AD4C1F">
        <w:t xml:space="preserve">Evocación de </w:t>
      </w:r>
      <w:r w:rsidR="0011796F">
        <w:t xml:space="preserve">la </w:t>
      </w:r>
      <w:r>
        <w:t>Paz]</w:t>
      </w:r>
    </w:p>
    <w:p w14:paraId="0738E63D" w14:textId="54F75311" w:rsidR="00C95054" w:rsidRDefault="00C95054" w:rsidP="00C95054">
      <w:r>
        <w:t xml:space="preserve">245. </w:t>
      </w:r>
      <w:r w:rsidR="003F7F5A">
        <w:tab/>
      </w:r>
      <w:r>
        <w:t xml:space="preserve">Aquel que </w:t>
      </w:r>
      <w:r w:rsidR="006B6BBF">
        <w:t>desee</w:t>
      </w:r>
      <w:r>
        <w:t xml:space="preserve"> desarrollar </w:t>
      </w:r>
      <w:r w:rsidR="00D06602">
        <w:t xml:space="preserve">la evocación </w:t>
      </w:r>
      <w:r>
        <w:t>de la paz mencionado junto a la atención plena e</w:t>
      </w:r>
      <w:r w:rsidR="006B6BBF">
        <w:t>n</w:t>
      </w:r>
      <w:r>
        <w:t xml:space="preserve"> la respiración (III.105) debe</w:t>
      </w:r>
      <w:r w:rsidR="0049250A">
        <w:t>rá</w:t>
      </w:r>
      <w:r>
        <w:t xml:space="preserve"> </w:t>
      </w:r>
      <w:r w:rsidR="0049250A">
        <w:t xml:space="preserve">dirigirse </w:t>
      </w:r>
      <w:r>
        <w:t xml:space="preserve">a un retiro solitario y </w:t>
      </w:r>
      <w:r w:rsidR="006B6BBF">
        <w:t>evocar</w:t>
      </w:r>
      <w:r>
        <w:t xml:space="preserve"> las cualidades especiales de</w:t>
      </w:r>
      <w:r w:rsidR="00875263">
        <w:t>l</w:t>
      </w:r>
      <w:r>
        <w:t xml:space="preserve"> </w:t>
      </w:r>
      <w:r w:rsidRPr="00311C61">
        <w:rPr>
          <w:i/>
          <w:iCs/>
        </w:rPr>
        <w:t>Nibbāna</w:t>
      </w:r>
      <w:r>
        <w:t xml:space="preserve">, en otras palabras, el </w:t>
      </w:r>
      <w:r w:rsidR="00875263">
        <w:t xml:space="preserve">apaciguamiento </w:t>
      </w:r>
      <w:r>
        <w:t>de todo sufrimiento, como sigue:</w:t>
      </w:r>
    </w:p>
    <w:p w14:paraId="781708C5" w14:textId="77777777" w:rsidR="00C95054" w:rsidRDefault="00C95054">
      <w:pPr>
        <w:tabs>
          <w:tab w:val="clear" w:pos="425"/>
        </w:tabs>
        <w:spacing w:after="160"/>
      </w:pPr>
      <w:r>
        <w:br w:type="page"/>
      </w:r>
    </w:p>
    <w:p w14:paraId="5198E3E9" w14:textId="094778DC" w:rsidR="00524600" w:rsidRDefault="00524600" w:rsidP="00C95054"/>
    <w:p w14:paraId="7400AD03" w14:textId="21CA7084" w:rsidR="00524600" w:rsidRDefault="007D20B3" w:rsidP="00524600">
      <w:r>
        <w:tab/>
      </w:r>
      <w:r w:rsidR="00524600">
        <w:t>“</w:t>
      </w:r>
      <w:proofErr w:type="spellStart"/>
      <w:r w:rsidR="00057BF4" w:rsidRPr="00057BF4">
        <w:rPr>
          <w:i/>
          <w:iCs/>
        </w:rPr>
        <w:t>Bhikkhu</w:t>
      </w:r>
      <w:r w:rsidR="00524600" w:rsidRPr="00311C61">
        <w:rPr>
          <w:i/>
          <w:iCs/>
        </w:rPr>
        <w:t>s</w:t>
      </w:r>
      <w:proofErr w:type="spellEnd"/>
      <w:r w:rsidR="00524600">
        <w:t xml:space="preserve">, en </w:t>
      </w:r>
      <w:r w:rsidR="005C1CB8">
        <w:t>cuanto al surgimiento de</w:t>
      </w:r>
      <w:r w:rsidR="00524600">
        <w:t xml:space="preserve"> </w:t>
      </w:r>
      <w:r w:rsidR="009E3724" w:rsidRPr="00057BF4">
        <w:rPr>
          <w:i/>
        </w:rPr>
        <w:t>dhamma</w:t>
      </w:r>
      <w:r w:rsidR="009E3724">
        <w:t>s</w:t>
      </w:r>
      <w:r w:rsidR="00524600">
        <w:t>, ya sean formados o no</w:t>
      </w:r>
      <w:r w:rsidR="00D401B9">
        <w:rPr>
          <w:rFonts w:cs="Cormorant"/>
        </w:rPr>
        <w:t>‒</w:t>
      </w:r>
      <w:r w:rsidR="00524600">
        <w:t xml:space="preserve">formados, el desvanecimiento se </w:t>
      </w:r>
      <w:r w:rsidR="00C21A07">
        <w:t>enunciará</w:t>
      </w:r>
      <w:r w:rsidR="00524600">
        <w:t xml:space="preserve"> como el mejor de ellos, es decir, la desilusión de la vanidad, la eliminación de la sed, la abolición de la </w:t>
      </w:r>
      <w:r w:rsidR="004D29F1">
        <w:t>confiabilidad</w:t>
      </w:r>
      <w:r w:rsidR="00524600">
        <w:t xml:space="preserve">, la terminación del </w:t>
      </w:r>
      <w:r w:rsidR="008E5C5B">
        <w:t>ciclo</w:t>
      </w:r>
      <w:r w:rsidR="00524600">
        <w:t xml:space="preserve">, la destrucción del </w:t>
      </w:r>
      <w:r w:rsidR="00A562FC">
        <w:t>deseo</w:t>
      </w:r>
      <w:r w:rsidR="00524600">
        <w:t xml:space="preserve">, el desvanecimiento, la cesación, </w:t>
      </w:r>
      <w:r w:rsidR="00A562FC">
        <w:t xml:space="preserve">el </w:t>
      </w:r>
      <w:r w:rsidR="00524600" w:rsidRPr="00ED53A4">
        <w:rPr>
          <w:i/>
          <w:iCs/>
        </w:rPr>
        <w:t>Nibbāna</w:t>
      </w:r>
      <w:r w:rsidR="00524600">
        <w:t>” (A II 34).</w:t>
      </w:r>
    </w:p>
    <w:p w14:paraId="58FA35D0" w14:textId="18D4762A" w:rsidR="00524600" w:rsidRDefault="00524600" w:rsidP="00524600">
      <w:r>
        <w:t xml:space="preserve">246. </w:t>
      </w:r>
      <w:r>
        <w:tab/>
      </w:r>
      <w:r w:rsidRPr="00FA15AA">
        <w:rPr>
          <w:color w:val="1F3864" w:themeColor="accent1" w:themeShade="80"/>
        </w:rPr>
        <w:t xml:space="preserve">Aquí </w:t>
      </w:r>
      <w:r w:rsidR="005C1CB8" w:rsidRPr="00FA15AA">
        <w:rPr>
          <w:i/>
          <w:iCs/>
          <w:color w:val="1F3864" w:themeColor="accent1" w:themeShade="80"/>
        </w:rPr>
        <w:t>en cuanto a</w:t>
      </w:r>
      <w:r w:rsidRPr="00FA15AA">
        <w:rPr>
          <w:color w:val="1F3864" w:themeColor="accent1" w:themeShade="80"/>
        </w:rPr>
        <w:t xml:space="preserve"> significa tantos como</w:t>
      </w:r>
      <w:r w:rsidRPr="00FA15AA">
        <w:rPr>
          <w:color w:val="833C0B" w:themeColor="accent2" w:themeShade="80"/>
        </w:rPr>
        <w:t>.</w:t>
      </w:r>
      <w:r>
        <w:t xml:space="preserve"> </w:t>
      </w:r>
      <w:r w:rsidR="00057BF4" w:rsidRPr="00057BF4">
        <w:rPr>
          <w:i/>
          <w:iCs/>
        </w:rPr>
        <w:t>Dhamma</w:t>
      </w:r>
      <w:r w:rsidRPr="00ED53A4">
        <w:rPr>
          <w:i/>
          <w:iCs/>
        </w:rPr>
        <w:t>s</w:t>
      </w:r>
      <w:r>
        <w:t xml:space="preserve"> [significa] esencias individuales.</w:t>
      </w:r>
      <w:r w:rsidRPr="00F9793E">
        <w:rPr>
          <w:vertAlign w:val="superscript"/>
        </w:rPr>
        <w:t>69</w:t>
      </w:r>
      <w:r>
        <w:t xml:space="preserve"> </w:t>
      </w:r>
      <w:r w:rsidRPr="00ED53A4">
        <w:rPr>
          <w:i/>
          <w:iCs/>
        </w:rPr>
        <w:t>Ya sea formado o no</w:t>
      </w:r>
      <w:r w:rsidR="00BF191D">
        <w:rPr>
          <w:i/>
          <w:iCs/>
        </w:rPr>
        <w:t>-</w:t>
      </w:r>
      <w:r w:rsidRPr="00ED53A4">
        <w:rPr>
          <w:i/>
          <w:iCs/>
        </w:rPr>
        <w:t>formado</w:t>
      </w:r>
      <w:r>
        <w:t xml:space="preserve">: ya sea </w:t>
      </w:r>
      <w:r w:rsidR="00F64DC3">
        <w:t>producido</w:t>
      </w:r>
      <w:r>
        <w:t xml:space="preserve"> por condiciones que va</w:t>
      </w:r>
      <w:r w:rsidR="00383F14">
        <w:t>ya</w:t>
      </w:r>
      <w:r>
        <w:t>n</w:t>
      </w:r>
      <w:r w:rsidR="00383F14">
        <w:t xml:space="preserve"> junt</w:t>
      </w:r>
      <w:r w:rsidR="00BF191D">
        <w:t>a</w:t>
      </w:r>
      <w:r w:rsidR="00383F14">
        <w:t>s</w:t>
      </w:r>
    </w:p>
    <w:p w14:paraId="22BC2A5B" w14:textId="77777777" w:rsidR="009E3724" w:rsidRDefault="009E3724" w:rsidP="00524600"/>
    <w:p w14:paraId="32D345CC" w14:textId="60E92B86" w:rsidR="00524600" w:rsidRDefault="00524600" w:rsidP="00524600">
      <w:pPr>
        <w:pStyle w:val="Piedepgina"/>
        <w:rPr>
          <w:u w:val="single"/>
        </w:rPr>
      </w:pPr>
      <w:r>
        <w:rPr>
          <w:u w:val="single"/>
        </w:rPr>
        <w:t xml:space="preserve">                                                                             </w:t>
      </w:r>
      <w:r w:rsidR="00A06310">
        <w:rPr>
          <w:u w:val="single"/>
        </w:rPr>
        <w:t xml:space="preserve">                </w:t>
      </w:r>
      <w:r>
        <w:rPr>
          <w:u w:val="single"/>
        </w:rPr>
        <w:t xml:space="preserve">                                                                                             .</w:t>
      </w:r>
    </w:p>
    <w:p w14:paraId="25219B6F" w14:textId="5DA1E8F8" w:rsidR="00524600" w:rsidRDefault="00524600" w:rsidP="00866367">
      <w:pPr>
        <w:pStyle w:val="PiedepginaLegal"/>
        <w:tabs>
          <w:tab w:val="clear" w:pos="6804"/>
        </w:tabs>
        <w:ind w:right="476"/>
      </w:pPr>
      <w:r>
        <w:t xml:space="preserve">69. </w:t>
      </w:r>
      <w:r>
        <w:tab/>
        <w:t>“En pasajes tales como ‘</w:t>
      </w:r>
      <w:r w:rsidR="00057BF4" w:rsidRPr="00057BF4">
        <w:rPr>
          <w:i/>
        </w:rPr>
        <w:t>Dhamma</w:t>
      </w:r>
      <w:r>
        <w:t>s que son conceptos’ (</w:t>
      </w:r>
      <w:proofErr w:type="spellStart"/>
      <w:r>
        <w:t>Dhs</w:t>
      </w:r>
      <w:proofErr w:type="spellEnd"/>
      <w:r>
        <w:t xml:space="preserve"> p. 1, §1308) incluso una nulidad (</w:t>
      </w:r>
      <w:proofErr w:type="spellStart"/>
      <w:r w:rsidRPr="00ED53A4">
        <w:rPr>
          <w:i/>
          <w:iCs/>
        </w:rPr>
        <w:t>abh</w:t>
      </w:r>
      <w:r w:rsidR="00ED53A4" w:rsidRPr="00ED53A4">
        <w:rPr>
          <w:i/>
          <w:iCs/>
        </w:rPr>
        <w:t>ā</w:t>
      </w:r>
      <w:r w:rsidRPr="00ED53A4">
        <w:rPr>
          <w:i/>
          <w:iCs/>
        </w:rPr>
        <w:t>va</w:t>
      </w:r>
      <w:proofErr w:type="spellEnd"/>
      <w:r>
        <w:t xml:space="preserve">) </w:t>
      </w:r>
      <w:r w:rsidR="00117E9E">
        <w:t xml:space="preserve">será </w:t>
      </w:r>
      <w:r>
        <w:t>llamada ‘</w:t>
      </w:r>
      <w:r w:rsidR="00057BF4" w:rsidRPr="00057BF4">
        <w:rPr>
          <w:i/>
          <w:iCs/>
        </w:rPr>
        <w:t>Dhamma</w:t>
      </w:r>
      <w:r w:rsidRPr="00ED53A4">
        <w:rPr>
          <w:i/>
          <w:iCs/>
        </w:rPr>
        <w:t>’</w:t>
      </w:r>
      <w:r>
        <w:t xml:space="preserve"> que s</w:t>
      </w:r>
      <w:r w:rsidR="00117E9E">
        <w:t>ea</w:t>
      </w:r>
      <w:r>
        <w:t xml:space="preserve"> soportada (</w:t>
      </w:r>
      <w:proofErr w:type="spellStart"/>
      <w:r w:rsidRPr="00ED53A4">
        <w:rPr>
          <w:i/>
          <w:iCs/>
        </w:rPr>
        <w:t>dhārīyati</w:t>
      </w:r>
      <w:proofErr w:type="spellEnd"/>
      <w:r>
        <w:t>) y afirmada (</w:t>
      </w:r>
      <w:proofErr w:type="spellStart"/>
      <w:r w:rsidRPr="00117E9E">
        <w:rPr>
          <w:i/>
          <w:iCs/>
        </w:rPr>
        <w:t>avadhārīyati</w:t>
      </w:r>
      <w:proofErr w:type="spellEnd"/>
      <w:r>
        <w:t xml:space="preserve">) por el conocimiento. Ese tipo de </w:t>
      </w:r>
      <w:r w:rsidR="00057BF4" w:rsidRPr="00057BF4">
        <w:rPr>
          <w:i/>
        </w:rPr>
        <w:t>Dhamma</w:t>
      </w:r>
      <w:r>
        <w:t xml:space="preserve"> está excluido por su dicho, </w:t>
      </w:r>
      <w:r w:rsidRPr="00ED53A4">
        <w:rPr>
          <w:i/>
          <w:iCs/>
        </w:rPr>
        <w:t>'</w:t>
      </w:r>
      <w:r w:rsidR="00057BF4" w:rsidRPr="00057BF4">
        <w:rPr>
          <w:i/>
          <w:iCs/>
        </w:rPr>
        <w:t>Dhamma</w:t>
      </w:r>
      <w:r w:rsidRPr="00ED53A4">
        <w:rPr>
          <w:i/>
          <w:iCs/>
        </w:rPr>
        <w:t>s</w:t>
      </w:r>
      <w:r>
        <w:t xml:space="preserve"> significa</w:t>
      </w:r>
      <w:r w:rsidR="00117E9E">
        <w:t>n</w:t>
      </w:r>
      <w:r>
        <w:t xml:space="preserve"> esencias individuales'. El acto de convertirse (</w:t>
      </w:r>
      <w:proofErr w:type="spellStart"/>
      <w:r w:rsidRPr="00ED53A4">
        <w:rPr>
          <w:i/>
          <w:iCs/>
        </w:rPr>
        <w:t>bhavana</w:t>
      </w:r>
      <w:proofErr w:type="spellEnd"/>
      <w:r>
        <w:t>), que constituye la existencia (</w:t>
      </w:r>
      <w:proofErr w:type="spellStart"/>
      <w:r w:rsidRPr="00ED53A4">
        <w:rPr>
          <w:i/>
          <w:iCs/>
        </w:rPr>
        <w:t>vijjamānatā</w:t>
      </w:r>
      <w:proofErr w:type="spellEnd"/>
      <w:r>
        <w:t xml:space="preserve">) en el sentido último, </w:t>
      </w:r>
      <w:r w:rsidR="00117E9E">
        <w:t>será la</w:t>
      </w:r>
      <w:r>
        <w:t xml:space="preserve"> esencia (</w:t>
      </w:r>
      <w:proofErr w:type="spellStart"/>
      <w:r w:rsidRPr="00ED53A4">
        <w:rPr>
          <w:i/>
          <w:iCs/>
        </w:rPr>
        <w:t>bhāva</w:t>
      </w:r>
      <w:proofErr w:type="spellEnd"/>
      <w:r>
        <w:t>); es con esencia (</w:t>
      </w:r>
      <w:r w:rsidRPr="00ED53A4">
        <w:rPr>
          <w:i/>
          <w:iCs/>
        </w:rPr>
        <w:t>saha</w:t>
      </w:r>
      <w:r>
        <w:t xml:space="preserve"> </w:t>
      </w:r>
      <w:proofErr w:type="spellStart"/>
      <w:r w:rsidRPr="00ED53A4">
        <w:rPr>
          <w:i/>
          <w:iCs/>
        </w:rPr>
        <w:t>bhāvena</w:t>
      </w:r>
      <w:proofErr w:type="spellEnd"/>
      <w:r>
        <w:t xml:space="preserve">), por lo tanto </w:t>
      </w:r>
      <w:r w:rsidR="00117E9E">
        <w:t>será</w:t>
      </w:r>
      <w:r>
        <w:t xml:space="preserve"> una esencia individual (</w:t>
      </w:r>
      <w:proofErr w:type="spellStart"/>
      <w:r w:rsidRPr="00ED53A4">
        <w:rPr>
          <w:i/>
          <w:iCs/>
        </w:rPr>
        <w:t>sabhāva</w:t>
      </w:r>
      <w:proofErr w:type="spellEnd"/>
      <w:r>
        <w:t xml:space="preserve">); el significado es que </w:t>
      </w:r>
      <w:r w:rsidR="00117E9E">
        <w:t xml:space="preserve">será </w:t>
      </w:r>
      <w:r>
        <w:t>posible (</w:t>
      </w:r>
      <w:proofErr w:type="spellStart"/>
      <w:r w:rsidRPr="00ED53A4">
        <w:rPr>
          <w:i/>
          <w:iCs/>
        </w:rPr>
        <w:t>labbhamāna</w:t>
      </w:r>
      <w:r w:rsidR="00057BF4" w:rsidRPr="00057BF4">
        <w:rPr>
          <w:i/>
          <w:iCs/>
        </w:rPr>
        <w:t>rūpa</w:t>
      </w:r>
      <w:proofErr w:type="spellEnd"/>
      <w:r>
        <w:t xml:space="preserve">) en el sentido verdadero, en el sentido último. Pues </w:t>
      </w:r>
      <w:r w:rsidR="00117E9E">
        <w:t xml:space="preserve">a </w:t>
      </w:r>
      <w:r>
        <w:t xml:space="preserve">estos se </w:t>
      </w:r>
      <w:r w:rsidR="00117E9E">
        <w:t xml:space="preserve">le </w:t>
      </w:r>
      <w:r>
        <w:t xml:space="preserve">llaman </w:t>
      </w:r>
      <w:r w:rsidRPr="00ED53A4">
        <w:rPr>
          <w:i/>
          <w:iCs/>
        </w:rPr>
        <w:t>'</w:t>
      </w:r>
      <w:r w:rsidR="00057BF4" w:rsidRPr="00057BF4">
        <w:rPr>
          <w:i/>
          <w:iCs/>
        </w:rPr>
        <w:t>Dhamma</w:t>
      </w:r>
      <w:r w:rsidRPr="00ED53A4">
        <w:rPr>
          <w:i/>
          <w:iCs/>
        </w:rPr>
        <w:t>s</w:t>
      </w:r>
      <w:r>
        <w:t xml:space="preserve"> (portadores)' porque llevan (</w:t>
      </w:r>
      <w:proofErr w:type="spellStart"/>
      <w:r w:rsidRPr="00ED53A4">
        <w:rPr>
          <w:i/>
          <w:iCs/>
        </w:rPr>
        <w:t>dhāraṇa</w:t>
      </w:r>
      <w:proofErr w:type="spellEnd"/>
      <w:r>
        <w:t>) sus propias esencias individuales (</w:t>
      </w:r>
      <w:proofErr w:type="spellStart"/>
      <w:r w:rsidRPr="00ED53A4">
        <w:rPr>
          <w:i/>
          <w:iCs/>
        </w:rPr>
        <w:t>sabhāva</w:t>
      </w:r>
      <w:proofErr w:type="spellEnd"/>
      <w:r>
        <w:t>), y se les llama 'esencias individuales' en el sentido ya explicado” (</w:t>
      </w:r>
      <w:proofErr w:type="spellStart"/>
      <w:r>
        <w:t>Vism-mhþ</w:t>
      </w:r>
      <w:proofErr w:type="spellEnd"/>
      <w:r>
        <w:t xml:space="preserve"> 282; cf. Capítulo VII, n</w:t>
      </w:r>
      <w:r w:rsidR="009E30C8">
        <w:t>.</w:t>
      </w:r>
      <w:r>
        <w:t xml:space="preserve"> 1).</w:t>
      </w:r>
    </w:p>
    <w:p w14:paraId="2910B61F" w14:textId="25B2B6DE" w:rsidR="00524600" w:rsidRDefault="00524600" w:rsidP="00866367">
      <w:pPr>
        <w:pStyle w:val="PiedepginaLegal"/>
        <w:tabs>
          <w:tab w:val="clear" w:pos="6804"/>
        </w:tabs>
        <w:ind w:right="476"/>
      </w:pPr>
      <w:r>
        <w:tab/>
      </w:r>
      <w:r>
        <w:tab/>
        <w:t xml:space="preserve">En los </w:t>
      </w:r>
      <w:proofErr w:type="spellStart"/>
      <w:r w:rsidRPr="00ED53A4">
        <w:rPr>
          <w:i/>
          <w:iCs/>
        </w:rPr>
        <w:t>Piṭakas</w:t>
      </w:r>
      <w:proofErr w:type="spellEnd"/>
      <w:r>
        <w:t xml:space="preserve">, la palabra </w:t>
      </w:r>
      <w:proofErr w:type="spellStart"/>
      <w:r w:rsidRPr="00ED53A4">
        <w:rPr>
          <w:i/>
          <w:iCs/>
        </w:rPr>
        <w:t>sabhāva</w:t>
      </w:r>
      <w:proofErr w:type="spellEnd"/>
      <w:r>
        <w:t xml:space="preserve"> parec</w:t>
      </w:r>
      <w:r w:rsidR="009E30C8">
        <w:t>iera</w:t>
      </w:r>
      <w:r>
        <w:t xml:space="preserve"> aparecer solo una vez (</w:t>
      </w:r>
      <w:proofErr w:type="spellStart"/>
      <w:r w:rsidRPr="00ED53A4">
        <w:rPr>
          <w:i/>
          <w:iCs/>
        </w:rPr>
        <w:t>Paṭis</w:t>
      </w:r>
      <w:proofErr w:type="spellEnd"/>
      <w:r>
        <w:t xml:space="preserve"> II 178). Luego aparece en </w:t>
      </w:r>
      <w:proofErr w:type="spellStart"/>
      <w:r w:rsidRPr="00ED53A4">
        <w:rPr>
          <w:i/>
          <w:iCs/>
        </w:rPr>
        <w:t>Netti</w:t>
      </w:r>
      <w:proofErr w:type="spellEnd"/>
      <w:r>
        <w:t xml:space="preserve"> (p. 79), </w:t>
      </w:r>
      <w:proofErr w:type="spellStart"/>
      <w:r w:rsidRPr="00ED53A4">
        <w:rPr>
          <w:i/>
          <w:iCs/>
        </w:rPr>
        <w:t>Milindapañhā</w:t>
      </w:r>
      <w:proofErr w:type="spellEnd"/>
      <w:r>
        <w:t xml:space="preserve"> (pp. 90, 164, 212, 360). Se usa ampliamente con fines exegéticos en el </w:t>
      </w:r>
      <w:r w:rsidRPr="00ED53A4">
        <w:rPr>
          <w:i/>
          <w:iCs/>
        </w:rPr>
        <w:t>Visuddhimagga</w:t>
      </w:r>
      <w:r w:rsidR="009E30C8">
        <w:rPr>
          <w:i/>
          <w:iCs/>
        </w:rPr>
        <w:t>,</w:t>
      </w:r>
      <w:r>
        <w:t xml:space="preserve"> </w:t>
      </w:r>
      <w:r w:rsidR="009E30C8">
        <w:t xml:space="preserve">en </w:t>
      </w:r>
      <w:r>
        <w:t xml:space="preserve">los comentarios principales y también en los </w:t>
      </w:r>
      <w:r w:rsidRPr="001B5402">
        <w:t>sub</w:t>
      </w:r>
      <w:r w:rsidR="001B5402">
        <w:t>-</w:t>
      </w:r>
      <w:r w:rsidRPr="001B5402">
        <w:t>comentarios</w:t>
      </w:r>
      <w:r>
        <w:t xml:space="preserve">. Como se acaba de mostrar, es </w:t>
      </w:r>
      <w:r w:rsidR="001B5402">
        <w:t>menos amplo</w:t>
      </w:r>
      <w:r>
        <w:t xml:space="preserve"> que </w:t>
      </w:r>
      <w:r w:rsidR="0098049C" w:rsidRPr="00057BF4">
        <w:rPr>
          <w:i/>
        </w:rPr>
        <w:t>dhamma</w:t>
      </w:r>
      <w:r w:rsidR="0098049C">
        <w:t xml:space="preserve"> </w:t>
      </w:r>
      <w:r>
        <w:t xml:space="preserve">(ver también Cap. XXIII. n. 18). A menudo corresponde más o menos a </w:t>
      </w:r>
      <w:proofErr w:type="spellStart"/>
      <w:r w:rsidRPr="00ED53A4">
        <w:rPr>
          <w:i/>
          <w:iCs/>
        </w:rPr>
        <w:t>dhātu</w:t>
      </w:r>
      <w:proofErr w:type="spellEnd"/>
      <w:r>
        <w:t xml:space="preserve"> (elemento; véase, por ejemplo, </w:t>
      </w:r>
      <w:proofErr w:type="spellStart"/>
      <w:r>
        <w:t>Dhs</w:t>
      </w:r>
      <w:proofErr w:type="spellEnd"/>
      <w:r>
        <w:t xml:space="preserve">-a 263) y a </w:t>
      </w:r>
      <w:r w:rsidRPr="00ED53A4">
        <w:rPr>
          <w:i/>
          <w:iCs/>
        </w:rPr>
        <w:t>lakkhaṇa</w:t>
      </w:r>
      <w:r>
        <w:t xml:space="preserve"> (característica; véase más abajo), pero menos al más vago y (en </w:t>
      </w:r>
      <w:r w:rsidR="00AD6B1D" w:rsidRPr="00AD6B1D">
        <w:rPr>
          <w:i/>
        </w:rPr>
        <w:t>Pāḷi</w:t>
      </w:r>
      <w:r>
        <w:t xml:space="preserve">) poco técnico </w:t>
      </w:r>
      <w:proofErr w:type="spellStart"/>
      <w:r w:rsidRPr="00ED53A4">
        <w:rPr>
          <w:i/>
          <w:iCs/>
        </w:rPr>
        <w:t>pakati</w:t>
      </w:r>
      <w:proofErr w:type="spellEnd"/>
      <w:r>
        <w:t xml:space="preserve"> (naturaleza), o a </w:t>
      </w:r>
      <w:r w:rsidRPr="0098049C">
        <w:rPr>
          <w:i/>
          <w:iCs/>
        </w:rPr>
        <w:t>rasa</w:t>
      </w:r>
      <w:r>
        <w:t xml:space="preserve"> (función; véase I.21). El </w:t>
      </w:r>
      <w:proofErr w:type="spellStart"/>
      <w:r w:rsidRPr="00ED53A4">
        <w:rPr>
          <w:i/>
          <w:iCs/>
        </w:rPr>
        <w:t>Atthasālin</w:t>
      </w:r>
      <w:r w:rsidR="00ED53A4">
        <w:rPr>
          <w:i/>
          <w:iCs/>
        </w:rPr>
        <w:t>ī</w:t>
      </w:r>
      <w:proofErr w:type="spellEnd"/>
      <w:r w:rsidR="00ED53A4">
        <w:rPr>
          <w:i/>
          <w:iCs/>
        </w:rPr>
        <w:t xml:space="preserve"> </w:t>
      </w:r>
      <w:r>
        <w:t xml:space="preserve">observa: “Es la esencia individual, o la generalidad, de tales o cuales </w:t>
      </w:r>
      <w:r w:rsidR="00057BF4" w:rsidRPr="00057BF4">
        <w:rPr>
          <w:i/>
        </w:rPr>
        <w:t>Dhamma</w:t>
      </w:r>
      <w:r>
        <w:t xml:space="preserve">s </w:t>
      </w:r>
      <w:r w:rsidR="00CC69C9">
        <w:t xml:space="preserve">a </w:t>
      </w:r>
      <w:r>
        <w:t xml:space="preserve">lo que se </w:t>
      </w:r>
      <w:r w:rsidR="00CC69C9">
        <w:t xml:space="preserve">le </w:t>
      </w:r>
      <w:r>
        <w:t>llama su característica” (</w:t>
      </w:r>
      <w:proofErr w:type="spellStart"/>
      <w:r>
        <w:t>Dhs</w:t>
      </w:r>
      <w:proofErr w:type="spellEnd"/>
      <w:r>
        <w:t xml:space="preserve">-a 63); sobre lo cual el </w:t>
      </w:r>
      <w:proofErr w:type="spellStart"/>
      <w:r w:rsidRPr="00ED53A4">
        <w:rPr>
          <w:i/>
          <w:iCs/>
        </w:rPr>
        <w:t>Mūla</w:t>
      </w:r>
      <w:proofErr w:type="spellEnd"/>
      <w:r w:rsidR="00ED53A4" w:rsidRPr="00ED53A4">
        <w:rPr>
          <w:i/>
          <w:iCs/>
        </w:rPr>
        <w:t xml:space="preserve"> </w:t>
      </w:r>
      <w:proofErr w:type="spellStart"/>
      <w:r w:rsidRPr="00ED53A4">
        <w:rPr>
          <w:i/>
          <w:iCs/>
        </w:rPr>
        <w:t>Ṭīkā</w:t>
      </w:r>
      <w:proofErr w:type="spellEnd"/>
      <w:r>
        <w:t xml:space="preserve"> comenta: “La esencia individual que </w:t>
      </w:r>
      <w:proofErr w:type="gramStart"/>
      <w:r>
        <w:t>consist</w:t>
      </w:r>
      <w:r w:rsidR="003F0C2B">
        <w:t>a</w:t>
      </w:r>
      <w:r>
        <w:t xml:space="preserve"> </w:t>
      </w:r>
      <w:r w:rsidR="003F0C2B">
        <w:t>de</w:t>
      </w:r>
      <w:proofErr w:type="gramEnd"/>
      <w:r>
        <w:t xml:space="preserve">, digamos, </w:t>
      </w:r>
      <w:r w:rsidR="003F0C2B">
        <w:t xml:space="preserve">una </w:t>
      </w:r>
      <w:r>
        <w:t xml:space="preserve">dureza como la de la tierra, o </w:t>
      </w:r>
      <w:r w:rsidR="003F0C2B">
        <w:t xml:space="preserve">un </w:t>
      </w:r>
      <w:r>
        <w:t xml:space="preserve">tacto como la del contacto, no es común a todos los </w:t>
      </w:r>
      <w:r w:rsidR="00057BF4" w:rsidRPr="00057BF4">
        <w:rPr>
          <w:i/>
        </w:rPr>
        <w:t>Dhamma</w:t>
      </w:r>
      <w:r>
        <w:t>s. La generalidad es la esencia individual común a todos</w:t>
      </w:r>
      <w:r w:rsidR="0003473D">
        <w:t>,</w:t>
      </w:r>
      <w:r>
        <w:t xml:space="preserve"> consistente </w:t>
      </w:r>
      <w:r w:rsidR="003F0C2B">
        <w:t>de</w:t>
      </w:r>
      <w:r>
        <w:t xml:space="preserve"> la impermanencia</w:t>
      </w:r>
      <w:r w:rsidR="003F0C2B">
        <w:t xml:space="preserve">, la insatisfactoriedad y </w:t>
      </w:r>
      <w:r w:rsidR="0003473D">
        <w:t>el no-alma,</w:t>
      </w:r>
      <w:r>
        <w:t xml:space="preserve"> también en este contexto (es decir, </w:t>
      </w:r>
      <w:proofErr w:type="spellStart"/>
      <w:r>
        <w:t>Dhs</w:t>
      </w:r>
      <w:proofErr w:type="spellEnd"/>
      <w:r>
        <w:t xml:space="preserve"> §1) la característica de ser </w:t>
      </w:r>
      <w:r w:rsidR="0003473D">
        <w:t>productiva</w:t>
      </w:r>
      <w:r>
        <w:t xml:space="preserve"> puede considerarse general porque es la esencia individual común a todo lo que </w:t>
      </w:r>
      <w:r w:rsidR="005150E1">
        <w:t>sea productivo</w:t>
      </w:r>
      <w:r>
        <w:t>; o, alternativamente, es su esencia individual porque no es común a los tipos de con</w:t>
      </w:r>
      <w:r w:rsidR="005150E1">
        <w:t>s</w:t>
      </w:r>
      <w:r>
        <w:t>ciencia improductivos e indeterminados” (</w:t>
      </w:r>
      <w:proofErr w:type="spellStart"/>
      <w:r>
        <w:t>Dhsa</w:t>
      </w:r>
      <w:proofErr w:type="spellEnd"/>
      <w:r>
        <w:t xml:space="preserve"> 63). La esencia individual de cualquier </w:t>
      </w:r>
      <w:r w:rsidR="005150E1" w:rsidRPr="00057BF4">
        <w:rPr>
          <w:i/>
        </w:rPr>
        <w:t>dhamma</w:t>
      </w:r>
      <w:r w:rsidR="005150E1">
        <w:t xml:space="preserve"> </w:t>
      </w:r>
      <w:r>
        <w:t>formado se manifiesta en los tres instantes de su existencia (</w:t>
      </w:r>
      <w:proofErr w:type="spellStart"/>
      <w:r w:rsidRPr="00ED53A4">
        <w:rPr>
          <w:i/>
          <w:iCs/>
        </w:rPr>
        <w:t>atthitā</w:t>
      </w:r>
      <w:proofErr w:type="spellEnd"/>
      <w:r w:rsidRPr="00ED53A4">
        <w:rPr>
          <w:i/>
          <w:iCs/>
        </w:rPr>
        <w:t xml:space="preserve">, </w:t>
      </w:r>
      <w:proofErr w:type="spellStart"/>
      <w:r w:rsidRPr="00ED53A4">
        <w:rPr>
          <w:i/>
          <w:iCs/>
        </w:rPr>
        <w:t>vijjam</w:t>
      </w:r>
      <w:r w:rsidR="00ED53A4" w:rsidRPr="00ED53A4">
        <w:rPr>
          <w:i/>
          <w:iCs/>
        </w:rPr>
        <w:t>ā</w:t>
      </w:r>
      <w:r w:rsidRPr="00ED53A4">
        <w:rPr>
          <w:i/>
          <w:iCs/>
        </w:rPr>
        <w:t>nat</w:t>
      </w:r>
      <w:r w:rsidR="00ED53A4" w:rsidRPr="00ED53A4">
        <w:rPr>
          <w:i/>
          <w:iCs/>
        </w:rPr>
        <w:t>ā</w:t>
      </w:r>
      <w:proofErr w:type="spellEnd"/>
      <w:r>
        <w:t xml:space="preserve">), </w:t>
      </w:r>
      <w:r w:rsidR="005150E1">
        <w:t>es decir</w:t>
      </w:r>
      <w:r>
        <w:t xml:space="preserve">, </w:t>
      </w:r>
      <w:r w:rsidR="005150E1">
        <w:t xml:space="preserve">durante el </w:t>
      </w:r>
      <w:r>
        <w:t xml:space="preserve">surgimiento, </w:t>
      </w:r>
      <w:r w:rsidR="005150E1">
        <w:t xml:space="preserve">la </w:t>
      </w:r>
      <w:r>
        <w:t xml:space="preserve">presencia (= envejecimiento) y </w:t>
      </w:r>
      <w:r w:rsidR="005150E1">
        <w:t xml:space="preserve">la </w:t>
      </w:r>
      <w:r>
        <w:t xml:space="preserve">disolución. Viene de la nada y no va a ninguna parte (XV.15) y es </w:t>
      </w:r>
      <w:r w:rsidR="005150E1">
        <w:t>conducido</w:t>
      </w:r>
      <w:r>
        <w:t xml:space="preserve"> por la mente. Los </w:t>
      </w:r>
      <w:r w:rsidR="005150E1" w:rsidRPr="00057BF4">
        <w:rPr>
          <w:i/>
          <w:iCs/>
        </w:rPr>
        <w:t>dhamma</w:t>
      </w:r>
      <w:r w:rsidR="005150E1" w:rsidRPr="00ED53A4">
        <w:rPr>
          <w:i/>
          <w:iCs/>
        </w:rPr>
        <w:t>s</w:t>
      </w:r>
      <w:r w:rsidR="005150E1">
        <w:t xml:space="preserve"> </w:t>
      </w:r>
      <w:r>
        <w:t>sin esencia individual (</w:t>
      </w:r>
      <w:proofErr w:type="spellStart"/>
      <w:r w:rsidRPr="00ED53A4">
        <w:rPr>
          <w:i/>
          <w:iCs/>
        </w:rPr>
        <w:t>asabhāva</w:t>
      </w:r>
      <w:proofErr w:type="spellEnd"/>
      <w:r w:rsidR="005150E1">
        <w:rPr>
          <w:i/>
          <w:iCs/>
        </w:rPr>
        <w:t xml:space="preserve"> </w:t>
      </w:r>
      <w:r w:rsidR="005150E1" w:rsidRPr="00057BF4">
        <w:rPr>
          <w:i/>
          <w:iCs/>
        </w:rPr>
        <w:t>dhamma</w:t>
      </w:r>
      <w:r>
        <w:t xml:space="preserve">) incluyen </w:t>
      </w:r>
      <w:r w:rsidR="005150E1">
        <w:t>la consumación</w:t>
      </w:r>
      <w:r>
        <w:t xml:space="preserve"> de la cesación (ver Capítulo XXIII, n. 18) y algunos conceptos</w:t>
      </w:r>
      <w:r w:rsidR="005150E1">
        <w:t xml:space="preserve"> más</w:t>
      </w:r>
      <w:r>
        <w:t>. El espacio y el tiempo pertenecen a los últimos mencionados. Del espacio (</w:t>
      </w:r>
      <w:proofErr w:type="spellStart"/>
      <w:r w:rsidRPr="00ED53A4">
        <w:rPr>
          <w:i/>
          <w:iCs/>
        </w:rPr>
        <w:t>ākāsa</w:t>
      </w:r>
      <w:proofErr w:type="spellEnd"/>
      <w:r>
        <w:t xml:space="preserve">) el </w:t>
      </w:r>
      <w:proofErr w:type="spellStart"/>
      <w:r w:rsidRPr="00ED53A4">
        <w:rPr>
          <w:i/>
          <w:iCs/>
        </w:rPr>
        <w:t>Majjhima</w:t>
      </w:r>
      <w:proofErr w:type="spellEnd"/>
      <w:r>
        <w:t xml:space="preserve"> </w:t>
      </w:r>
      <w:r w:rsidRPr="00ED53A4">
        <w:rPr>
          <w:i/>
          <w:iCs/>
        </w:rPr>
        <w:t xml:space="preserve">Nikāya </w:t>
      </w:r>
      <w:proofErr w:type="spellStart"/>
      <w:r w:rsidRPr="00ED53A4">
        <w:rPr>
          <w:i/>
          <w:iCs/>
        </w:rPr>
        <w:t>Ṭīkā</w:t>
      </w:r>
      <w:proofErr w:type="spellEnd"/>
      <w:r>
        <w:t xml:space="preserve"> dice: “</w:t>
      </w:r>
      <w:r w:rsidR="005150E1">
        <w:t>A</w:t>
      </w:r>
      <w:r>
        <w:t xml:space="preserve">l espacio, que está bastante desprovisto de esencia individual, se </w:t>
      </w:r>
      <w:r w:rsidR="005150E1">
        <w:t xml:space="preserve">le </w:t>
      </w:r>
      <w:r>
        <w:t xml:space="preserve">llama vacío” (comentando </w:t>
      </w:r>
      <w:r w:rsidR="005150E1">
        <w:t>el</w:t>
      </w:r>
      <w:r>
        <w:t xml:space="preserve"> MN 106), mientras que del tiempo (</w:t>
      </w:r>
      <w:proofErr w:type="spellStart"/>
      <w:r w:rsidRPr="00ED53A4">
        <w:rPr>
          <w:i/>
          <w:iCs/>
        </w:rPr>
        <w:t>kāla</w:t>
      </w:r>
      <w:proofErr w:type="spellEnd"/>
      <w:r>
        <w:t xml:space="preserve">) el </w:t>
      </w:r>
      <w:proofErr w:type="spellStart"/>
      <w:r w:rsidRPr="00ED53A4">
        <w:rPr>
          <w:i/>
          <w:iCs/>
        </w:rPr>
        <w:t>Mūla</w:t>
      </w:r>
      <w:proofErr w:type="spellEnd"/>
      <w:r w:rsidRPr="00ED53A4">
        <w:rPr>
          <w:i/>
          <w:iCs/>
        </w:rPr>
        <w:t xml:space="preserve"> </w:t>
      </w:r>
      <w:proofErr w:type="spellStart"/>
      <w:r w:rsidRPr="00ED53A4">
        <w:rPr>
          <w:i/>
          <w:iCs/>
        </w:rPr>
        <w:t>Ṭīkā</w:t>
      </w:r>
      <w:proofErr w:type="spellEnd"/>
      <w:r>
        <w:t xml:space="preserve"> dice: “Aunque el tiempo está determinado por el tipo de con</w:t>
      </w:r>
      <w:r w:rsidR="005150E1">
        <w:t>s</w:t>
      </w:r>
      <w:r>
        <w:t>ciencia [p</w:t>
      </w:r>
      <w:r w:rsidR="00C138E4">
        <w:t>or ejemplo</w:t>
      </w:r>
      <w:r>
        <w:t xml:space="preserve">. </w:t>
      </w:r>
      <w:r w:rsidR="00C138E4">
        <w:t xml:space="preserve">Tal </w:t>
      </w:r>
      <w:r>
        <w:t xml:space="preserve">como se especifica en el primer párrafo del </w:t>
      </w:r>
      <w:proofErr w:type="spellStart"/>
      <w:r w:rsidR="00057BF4" w:rsidRPr="00057BF4">
        <w:rPr>
          <w:i/>
          <w:iCs/>
        </w:rPr>
        <w:t>Dhamma</w:t>
      </w:r>
      <w:r w:rsidRPr="00ED53A4">
        <w:rPr>
          <w:i/>
          <w:iCs/>
        </w:rPr>
        <w:t>sa</w:t>
      </w:r>
      <w:r w:rsidR="00ED53A4" w:rsidRPr="00ED53A4">
        <w:rPr>
          <w:i/>
          <w:iCs/>
        </w:rPr>
        <w:t>ṅ</w:t>
      </w:r>
      <w:r w:rsidRPr="00ED53A4">
        <w:rPr>
          <w:i/>
          <w:iCs/>
        </w:rPr>
        <w:t>ga</w:t>
      </w:r>
      <w:r w:rsidR="00ED53A4">
        <w:rPr>
          <w:i/>
          <w:iCs/>
        </w:rPr>
        <w:t>ṇī</w:t>
      </w:r>
      <w:proofErr w:type="spellEnd"/>
      <w:r>
        <w:t>] y es inexistente (</w:t>
      </w:r>
      <w:proofErr w:type="spellStart"/>
      <w:r w:rsidRPr="00ED53A4">
        <w:rPr>
          <w:i/>
          <w:iCs/>
        </w:rPr>
        <w:t>avijjamāna</w:t>
      </w:r>
      <w:proofErr w:type="spellEnd"/>
      <w:r>
        <w:t xml:space="preserve">) en cuanto a la esencia individual, </w:t>
      </w:r>
      <w:r w:rsidR="005150E1">
        <w:t xml:space="preserve">no obstante, </w:t>
      </w:r>
      <w:r>
        <w:t>como no entidad (</w:t>
      </w:r>
      <w:proofErr w:type="spellStart"/>
      <w:r w:rsidRPr="00ED53A4">
        <w:rPr>
          <w:i/>
          <w:iCs/>
        </w:rPr>
        <w:t>abhāva</w:t>
      </w:r>
      <w:proofErr w:type="spellEnd"/>
      <w:r>
        <w:t>) antes y después del momento en que ocurr</w:t>
      </w:r>
      <w:r w:rsidR="00C138E4">
        <w:t>a</w:t>
      </w:r>
      <w:r>
        <w:t xml:space="preserve">n esos </w:t>
      </w:r>
      <w:r w:rsidR="00C83402" w:rsidRPr="00057BF4">
        <w:rPr>
          <w:i/>
        </w:rPr>
        <w:t>dhamma</w:t>
      </w:r>
      <w:r w:rsidR="00C83402">
        <w:t xml:space="preserve">s </w:t>
      </w:r>
      <w:r>
        <w:t>[</w:t>
      </w:r>
      <w:r w:rsidR="00C83402">
        <w:t>coetáneos</w:t>
      </w:r>
      <w:r>
        <w:t xml:space="preserve"> y </w:t>
      </w:r>
      <w:proofErr w:type="spellStart"/>
      <w:r>
        <w:t>co-presentes</w:t>
      </w:r>
      <w:proofErr w:type="spellEnd"/>
      <w:r>
        <w:t xml:space="preserve">], se </w:t>
      </w:r>
      <w:r w:rsidR="00C83402">
        <w:t xml:space="preserve">le </w:t>
      </w:r>
      <w:r>
        <w:t>llama el '</w:t>
      </w:r>
      <w:r w:rsidR="0070412F">
        <w:t>contenedor’</w:t>
      </w:r>
      <w:r>
        <w:t xml:space="preserve"> (</w:t>
      </w:r>
      <w:proofErr w:type="spellStart"/>
      <w:r w:rsidRPr="00ED53A4">
        <w:rPr>
          <w:i/>
          <w:iCs/>
        </w:rPr>
        <w:t>adhikaraṇa</w:t>
      </w:r>
      <w:proofErr w:type="spellEnd"/>
      <w:r>
        <w:t>)'; se percibe (simboliza) solo como el estado de un receptáculo (</w:t>
      </w:r>
      <w:proofErr w:type="spellStart"/>
      <w:r w:rsidRPr="00ED53A4">
        <w:rPr>
          <w:i/>
          <w:iCs/>
        </w:rPr>
        <w:t>ādhāra-bhāva</w:t>
      </w:r>
      <w:proofErr w:type="spellEnd"/>
      <w:r>
        <w:t>) (</w:t>
      </w:r>
      <w:proofErr w:type="spellStart"/>
      <w:r>
        <w:t>Dhs</w:t>
      </w:r>
      <w:proofErr w:type="spellEnd"/>
      <w:r>
        <w:t xml:space="preserve">-a 62). Del </w:t>
      </w:r>
      <w:r w:rsidRPr="00ED53A4">
        <w:rPr>
          <w:i/>
          <w:iCs/>
        </w:rPr>
        <w:t>Nibbāna</w:t>
      </w:r>
      <w:r>
        <w:t xml:space="preserve"> (para lo cual véase XVI.46ff.), que tiene su propia esencia individual, el </w:t>
      </w:r>
      <w:proofErr w:type="spellStart"/>
      <w:r w:rsidRPr="00ED53A4">
        <w:rPr>
          <w:i/>
          <w:iCs/>
        </w:rPr>
        <w:t>Mūla</w:t>
      </w:r>
      <w:proofErr w:type="spellEnd"/>
      <w:r w:rsidRPr="00ED53A4">
        <w:rPr>
          <w:i/>
          <w:iCs/>
        </w:rPr>
        <w:t xml:space="preserve"> </w:t>
      </w:r>
      <w:proofErr w:type="spellStart"/>
      <w:r w:rsidRPr="00ED53A4">
        <w:rPr>
          <w:i/>
          <w:iCs/>
        </w:rPr>
        <w:t>Ṭīkā</w:t>
      </w:r>
      <w:proofErr w:type="spellEnd"/>
      <w:r>
        <w:t xml:space="preserve"> dice: “</w:t>
      </w:r>
      <w:r w:rsidR="0070412F">
        <w:t xml:space="preserve">El </w:t>
      </w:r>
      <w:r w:rsidRPr="0070412F">
        <w:rPr>
          <w:i/>
          <w:iCs/>
        </w:rPr>
        <w:t>Nibbāna</w:t>
      </w:r>
      <w:r>
        <w:t xml:space="preserve"> no es como otros </w:t>
      </w:r>
      <w:r w:rsidR="0070412F" w:rsidRPr="00057BF4">
        <w:rPr>
          <w:i/>
        </w:rPr>
        <w:t>dhamma</w:t>
      </w:r>
      <w:r w:rsidR="0070412F">
        <w:t>s</w:t>
      </w:r>
      <w:r>
        <w:t>; debido a su extrema profundidad, no puede ser convertido en objeto de con</w:t>
      </w:r>
      <w:r w:rsidR="0070412F">
        <w:t>s</w:t>
      </w:r>
      <w:r>
        <w:t>ciencia (</w:t>
      </w:r>
      <w:proofErr w:type="spellStart"/>
      <w:r w:rsidRPr="0070412F">
        <w:rPr>
          <w:i/>
          <w:iCs/>
        </w:rPr>
        <w:t>ālambituṃ</w:t>
      </w:r>
      <w:proofErr w:type="spellEnd"/>
      <w:r>
        <w:t xml:space="preserve">) por alguien que no lo haya </w:t>
      </w:r>
      <w:r w:rsidR="0070412F">
        <w:t>consumado</w:t>
      </w:r>
      <w:r>
        <w:t xml:space="preserve">. Por eso tiene que ser </w:t>
      </w:r>
      <w:r w:rsidR="0070412F">
        <w:t>consumado</w:t>
      </w:r>
      <w:r>
        <w:t xml:space="preserve"> </w:t>
      </w:r>
      <w:r w:rsidR="0070412F">
        <w:t>mediante</w:t>
      </w:r>
      <w:r w:rsidR="009E3724">
        <w:t xml:space="preserve"> el </w:t>
      </w:r>
      <w:r>
        <w:t>cambio de linaje. Tiene una profundidad que supera cualquier esencia individual perteneciente a los tres períodos de tiempo” (</w:t>
      </w:r>
      <w:proofErr w:type="spellStart"/>
      <w:r>
        <w:t>Vibh</w:t>
      </w:r>
      <w:proofErr w:type="spellEnd"/>
      <w:r>
        <w:t>-a 38).</w:t>
      </w:r>
    </w:p>
    <w:p w14:paraId="643D9361" w14:textId="77777777" w:rsidR="00524600" w:rsidRDefault="00524600">
      <w:pPr>
        <w:tabs>
          <w:tab w:val="clear" w:pos="425"/>
        </w:tabs>
        <w:spacing w:after="160"/>
      </w:pPr>
      <w:r>
        <w:br w:type="page"/>
      </w:r>
    </w:p>
    <w:p w14:paraId="5D9C7B87" w14:textId="0918D11A" w:rsidR="00524600" w:rsidRDefault="00524600" w:rsidP="00524600"/>
    <w:p w14:paraId="334D428F" w14:textId="5188E26F" w:rsidR="008E5768" w:rsidRDefault="002B5721" w:rsidP="008E5768">
      <w:r>
        <w:t>agrupad</w:t>
      </w:r>
      <w:r w:rsidR="00BF191D">
        <w:t>a</w:t>
      </w:r>
      <w:r>
        <w:t>s</w:t>
      </w:r>
      <w:r w:rsidR="008E5768">
        <w:t xml:space="preserve">, o no </w:t>
      </w:r>
      <w:r w:rsidR="008E4271">
        <w:t>producid</w:t>
      </w:r>
      <w:r w:rsidR="00BF191D">
        <w:t>a</w:t>
      </w:r>
      <w:r w:rsidR="008E4271">
        <w:t xml:space="preserve">s </w:t>
      </w:r>
      <w:r w:rsidR="008E5768">
        <w:t>así.</w:t>
      </w:r>
      <w:r w:rsidR="008E5768" w:rsidRPr="00F9793E">
        <w:rPr>
          <w:vertAlign w:val="superscript"/>
        </w:rPr>
        <w:t>70</w:t>
      </w:r>
      <w:r w:rsidR="008E5768">
        <w:t xml:space="preserve"> </w:t>
      </w:r>
      <w:r w:rsidR="008E5768" w:rsidRPr="00C21A07">
        <w:rPr>
          <w:i/>
          <w:iCs/>
        </w:rPr>
        <w:t>Desvanec</w:t>
      </w:r>
      <w:r w:rsidR="00C21A07" w:rsidRPr="00C21A07">
        <w:rPr>
          <w:i/>
          <w:iCs/>
        </w:rPr>
        <w:t>imiento</w:t>
      </w:r>
      <w:r w:rsidR="008E5768" w:rsidRPr="00C21A07">
        <w:rPr>
          <w:i/>
          <w:iCs/>
        </w:rPr>
        <w:t xml:space="preserve"> se </w:t>
      </w:r>
      <w:r w:rsidR="00C21A07" w:rsidRPr="00C21A07">
        <w:rPr>
          <w:i/>
          <w:iCs/>
        </w:rPr>
        <w:t xml:space="preserve">enunciará </w:t>
      </w:r>
      <w:r w:rsidR="008E5768" w:rsidRPr="00C21A07">
        <w:rPr>
          <w:i/>
          <w:iCs/>
        </w:rPr>
        <w:t>como el mejor de ellos:</w:t>
      </w:r>
      <w:r w:rsidR="008E5768">
        <w:t xml:space="preserve"> de estos </w:t>
      </w:r>
      <w:r w:rsidR="00E24296" w:rsidRPr="00057BF4">
        <w:rPr>
          <w:i/>
        </w:rPr>
        <w:t>dhamma</w:t>
      </w:r>
      <w:r w:rsidR="00E24296">
        <w:t xml:space="preserve">s </w:t>
      </w:r>
      <w:r w:rsidR="008E5768">
        <w:t xml:space="preserve">formados y no formados, </w:t>
      </w:r>
      <w:r w:rsidR="00C21A07">
        <w:t>el desvanecimiento</w:t>
      </w:r>
      <w:r w:rsidR="008E5768">
        <w:t xml:space="preserve"> se </w:t>
      </w:r>
      <w:r w:rsidR="00C21A07">
        <w:t xml:space="preserve">enunciará </w:t>
      </w:r>
      <w:r w:rsidR="008E5768">
        <w:t xml:space="preserve">como </w:t>
      </w:r>
      <w:r w:rsidR="00ED26C5">
        <w:t>lo</w:t>
      </w:r>
      <w:r w:rsidR="008E5768">
        <w:t xml:space="preserve"> mejor, se </w:t>
      </w:r>
      <w:r w:rsidR="00ED26C5">
        <w:t xml:space="preserve">designa como </w:t>
      </w:r>
      <w:r w:rsidR="008E5768">
        <w:t>el principal</w:t>
      </w:r>
      <w:r>
        <w:t xml:space="preserve"> </w:t>
      </w:r>
      <w:r w:rsidR="00E24296">
        <w:rPr>
          <w:i/>
          <w:iCs/>
        </w:rPr>
        <w:t>dhamma</w:t>
      </w:r>
      <w:r w:rsidR="008E5768">
        <w:t xml:space="preserve">, el más </w:t>
      </w:r>
      <w:r w:rsidR="00ED26C5">
        <w:t>elevado</w:t>
      </w:r>
      <w:r>
        <w:t xml:space="preserve"> </w:t>
      </w:r>
      <w:r w:rsidR="00E24296">
        <w:rPr>
          <w:i/>
          <w:iCs/>
        </w:rPr>
        <w:t>dhamma</w:t>
      </w:r>
      <w:r w:rsidR="008E5768">
        <w:t>.</w:t>
      </w:r>
    </w:p>
    <w:p w14:paraId="35FF42B0" w14:textId="7A6EA386" w:rsidR="008E5768" w:rsidRDefault="008E5768" w:rsidP="008E5768">
      <w:r>
        <w:t xml:space="preserve">247. </w:t>
      </w:r>
      <w:r w:rsidR="002B5721">
        <w:tab/>
      </w:r>
      <w:r>
        <w:t>Aquí</w:t>
      </w:r>
      <w:r w:rsidR="002B5721">
        <w:t>,</w:t>
      </w:r>
      <w:r>
        <w:t xml:space="preserve"> el </w:t>
      </w:r>
      <w:r w:rsidR="00ED26C5" w:rsidRPr="002B5721">
        <w:rPr>
          <w:i/>
          <w:iCs/>
        </w:rPr>
        <w:t>desvanecimiento</w:t>
      </w:r>
      <w:r w:rsidR="00ED26C5">
        <w:t xml:space="preserve"> </w:t>
      </w:r>
      <w:r>
        <w:t xml:space="preserve">no es la mera ausencia de codicia, sino ese </w:t>
      </w:r>
      <w:r w:rsidR="00A22F8E" w:rsidRPr="00057BF4">
        <w:rPr>
          <w:i/>
        </w:rPr>
        <w:t>dhamma</w:t>
      </w:r>
      <w:r w:rsidR="00A22F8E">
        <w:t xml:space="preserve"> </w:t>
      </w:r>
      <w:r w:rsidR="00571B44">
        <w:t>no-</w:t>
      </w:r>
      <w:r>
        <w:t>form</w:t>
      </w:r>
      <w:r w:rsidR="00571B44">
        <w:t>ado</w:t>
      </w:r>
      <w:r>
        <w:t xml:space="preserve"> que, aunque recib</w:t>
      </w:r>
      <w:r w:rsidR="00864FA4">
        <w:t>a</w:t>
      </w:r>
      <w:r>
        <w:t xml:space="preserve"> los nombres de “desilusión de la vanidad”, etc., en la cláusula, “es decir, la desilusión de la </w:t>
      </w:r>
      <w:r w:rsidR="00864FA4">
        <w:t>vanidad…</w:t>
      </w:r>
      <w:r>
        <w:t xml:space="preserve"> </w:t>
      </w:r>
      <w:r w:rsidR="00A22F8E">
        <w:t xml:space="preserve">el </w:t>
      </w:r>
      <w:r w:rsidR="00ED53A4">
        <w:rPr>
          <w:i/>
          <w:iCs/>
        </w:rPr>
        <w:t>Nibbāna</w:t>
      </w:r>
      <w:r>
        <w:t xml:space="preserve">”, es tratado básicamente como </w:t>
      </w:r>
      <w:r w:rsidR="00EE3CDE" w:rsidRPr="00EE3CDE">
        <w:rPr>
          <w:i/>
          <w:iCs/>
        </w:rPr>
        <w:t>desvanecimiento</w:t>
      </w:r>
      <w:r>
        <w:t>.</w:t>
      </w:r>
      <w:r w:rsidRPr="00F9793E">
        <w:rPr>
          <w:vertAlign w:val="superscript"/>
        </w:rPr>
        <w:t>71</w:t>
      </w:r>
      <w:r>
        <w:t xml:space="preserve"> Se </w:t>
      </w:r>
      <w:r w:rsidR="00EE3CDE">
        <w:t xml:space="preserve">le </w:t>
      </w:r>
      <w:r>
        <w:t xml:space="preserve">llama </w:t>
      </w:r>
      <w:r w:rsidRPr="00EE3CDE">
        <w:rPr>
          <w:i/>
          <w:iCs/>
        </w:rPr>
        <w:t>desilusión de la vanidad</w:t>
      </w:r>
      <w:r>
        <w:t xml:space="preserve"> porque al llegar a ella todo tipo de vanidad (intoxicación), </w:t>
      </w:r>
      <w:r w:rsidR="0061661E">
        <w:t xml:space="preserve">tales </w:t>
      </w:r>
      <w:r>
        <w:t>como la vanidad de la presunción y la vanidad de la masculinidad, se desilusionan, se deshacen, se eliminan.</w:t>
      </w:r>
      <w:r w:rsidRPr="00F9793E">
        <w:rPr>
          <w:vertAlign w:val="superscript"/>
        </w:rPr>
        <w:t>72</w:t>
      </w:r>
      <w:r>
        <w:t xml:space="preserve"> Y se </w:t>
      </w:r>
      <w:r w:rsidR="004577FE">
        <w:t xml:space="preserve">le </w:t>
      </w:r>
      <w:r>
        <w:t xml:space="preserve">llama </w:t>
      </w:r>
      <w:r w:rsidRPr="004577FE">
        <w:rPr>
          <w:i/>
          <w:iCs/>
        </w:rPr>
        <w:t>eliminación de la sed</w:t>
      </w:r>
      <w:r>
        <w:t xml:space="preserve"> porque al llegar a ella se elimina y se apaga toda sed </w:t>
      </w:r>
      <w:r w:rsidR="00344E1B">
        <w:t>hacia</w:t>
      </w:r>
      <w:r>
        <w:t xml:space="preserve"> los </w:t>
      </w:r>
      <w:r w:rsidR="007831DD">
        <w:t>deseos sensoriales</w:t>
      </w:r>
      <w:r>
        <w:t xml:space="preserve">. </w:t>
      </w:r>
      <w:r w:rsidR="00E71279">
        <w:t xml:space="preserve">No obstante, </w:t>
      </w:r>
      <w:r>
        <w:t xml:space="preserve">se </w:t>
      </w:r>
      <w:r w:rsidR="00E71279">
        <w:t xml:space="preserve">le </w:t>
      </w:r>
      <w:r>
        <w:t xml:space="preserve">llama </w:t>
      </w:r>
      <w:r w:rsidRPr="00E71279">
        <w:rPr>
          <w:i/>
          <w:iCs/>
        </w:rPr>
        <w:t xml:space="preserve">abolición de la </w:t>
      </w:r>
      <w:r w:rsidR="00E71279" w:rsidRPr="00E71279">
        <w:rPr>
          <w:i/>
          <w:iCs/>
        </w:rPr>
        <w:t>dependencia</w:t>
      </w:r>
      <w:r w:rsidR="00E71279">
        <w:t xml:space="preserve"> </w:t>
      </w:r>
      <w:r>
        <w:t xml:space="preserve">porque al llegar a ella se suprime la </w:t>
      </w:r>
      <w:r w:rsidR="00E71279">
        <w:t>dependencia</w:t>
      </w:r>
      <w:r>
        <w:t xml:space="preserve"> </w:t>
      </w:r>
      <w:r w:rsidR="00E71279">
        <w:t>de</w:t>
      </w:r>
      <w:r>
        <w:t xml:space="preserve"> las cinco cuerdas del deseo de los sentidos. Se llama </w:t>
      </w:r>
      <w:r w:rsidRPr="00E71279">
        <w:rPr>
          <w:i/>
          <w:iCs/>
        </w:rPr>
        <w:t>terminación de</w:t>
      </w:r>
      <w:r w:rsidR="00E71279" w:rsidRPr="00E71279">
        <w:rPr>
          <w:i/>
          <w:iCs/>
        </w:rPr>
        <w:t>l ciclo</w:t>
      </w:r>
      <w:r>
        <w:t xml:space="preserve"> porque al llegar a ella se termina </w:t>
      </w:r>
      <w:r w:rsidR="00EC6A58">
        <w:t>con el ciclo</w:t>
      </w:r>
      <w:r>
        <w:t xml:space="preserve"> de los tres planos de </w:t>
      </w:r>
      <w:r w:rsidR="00EC6A58">
        <w:t xml:space="preserve">la </w:t>
      </w:r>
      <w:r>
        <w:t xml:space="preserve">existencia. Se </w:t>
      </w:r>
      <w:r w:rsidR="00EC6A58">
        <w:t xml:space="preserve">le </w:t>
      </w:r>
      <w:r>
        <w:t xml:space="preserve">llama </w:t>
      </w:r>
      <w:r w:rsidRPr="00EC6A58">
        <w:rPr>
          <w:i/>
          <w:iCs/>
        </w:rPr>
        <w:t xml:space="preserve">destrucción del </w:t>
      </w:r>
      <w:r w:rsidR="00EC6A58" w:rsidRPr="00EC6A58">
        <w:rPr>
          <w:i/>
          <w:iCs/>
        </w:rPr>
        <w:t>deseo</w:t>
      </w:r>
      <w:r>
        <w:t xml:space="preserve"> porque al llegar a ella </w:t>
      </w:r>
      <w:r w:rsidR="00FA2239">
        <w:t>el deseo</w:t>
      </w:r>
      <w:r>
        <w:t xml:space="preserve"> es</w:t>
      </w:r>
      <w:r w:rsidR="00C4580A" w:rsidRPr="00C4580A">
        <w:t xml:space="preserve"> </w:t>
      </w:r>
      <w:r w:rsidR="00C4580A">
        <w:t xml:space="preserve">completamente destruido, se desvanece y </w:t>
      </w:r>
    </w:p>
    <w:p w14:paraId="1CAE3281" w14:textId="77777777" w:rsidR="008E5768" w:rsidRDefault="008E5768" w:rsidP="008E5768"/>
    <w:p w14:paraId="0CE64481" w14:textId="77777777" w:rsidR="008E5768" w:rsidRDefault="008E5768" w:rsidP="008E5768">
      <w:pPr>
        <w:pStyle w:val="Piedepgina"/>
        <w:rPr>
          <w:u w:val="single"/>
        </w:rPr>
      </w:pPr>
      <w:r>
        <w:rPr>
          <w:u w:val="single"/>
        </w:rPr>
        <w:t xml:space="preserve">                                                                                                                                                                          .</w:t>
      </w:r>
    </w:p>
    <w:p w14:paraId="53A147BE" w14:textId="77777777" w:rsidR="008E5768" w:rsidRDefault="008E5768" w:rsidP="008E5768">
      <w:pPr>
        <w:pStyle w:val="PiedepginaLegal"/>
      </w:pPr>
      <w:r>
        <w:t xml:space="preserve">… </w:t>
      </w:r>
    </w:p>
    <w:p w14:paraId="28A116FB" w14:textId="37D3E395" w:rsidR="008E5768" w:rsidRDefault="008E5768" w:rsidP="00C4580A">
      <w:pPr>
        <w:pStyle w:val="PiedepginaLegal"/>
        <w:tabs>
          <w:tab w:val="clear" w:pos="6804"/>
        </w:tabs>
        <w:ind w:right="476"/>
      </w:pPr>
      <w:r>
        <w:tab/>
      </w:r>
      <w:r w:rsidR="008B787E">
        <w:tab/>
      </w:r>
      <w:proofErr w:type="spellStart"/>
      <w:r w:rsidRPr="00ED53A4">
        <w:rPr>
          <w:i/>
          <w:iCs/>
        </w:rPr>
        <w:t>Sabhāva</w:t>
      </w:r>
      <w:proofErr w:type="spellEnd"/>
      <w:r>
        <w:t xml:space="preserve"> no tiene la vaguedad extrema de su padre </w:t>
      </w:r>
      <w:proofErr w:type="spellStart"/>
      <w:r w:rsidRPr="00ED53A4">
        <w:rPr>
          <w:i/>
          <w:iCs/>
        </w:rPr>
        <w:t>bhāva</w:t>
      </w:r>
      <w:proofErr w:type="spellEnd"/>
      <w:r>
        <w:t xml:space="preserve">, que puede significar cualquier cosa entre “esencia” (ver, por ejemplo, </w:t>
      </w:r>
      <w:proofErr w:type="spellStart"/>
      <w:r>
        <w:t>Dhs</w:t>
      </w:r>
      <w:proofErr w:type="spellEnd"/>
      <w:r>
        <w:t xml:space="preserve">-a 61) y </w:t>
      </w:r>
      <w:r w:rsidR="000069CD">
        <w:t xml:space="preserve">la </w:t>
      </w:r>
      <w:r w:rsidR="00307E9D">
        <w:t>sustantivación</w:t>
      </w:r>
      <w:r>
        <w:t xml:space="preserve">” (por ejemplo, </w:t>
      </w:r>
      <w:proofErr w:type="spellStart"/>
      <w:r w:rsidRPr="00ED53A4">
        <w:rPr>
          <w:i/>
          <w:iCs/>
        </w:rPr>
        <w:t>natthibhāva</w:t>
      </w:r>
      <w:proofErr w:type="spellEnd"/>
      <w:r>
        <w:t xml:space="preserve"> = inexistencia— X.35). Esto puede recordarse cuando </w:t>
      </w:r>
      <w:proofErr w:type="spellStart"/>
      <w:r w:rsidRPr="00ED53A4">
        <w:rPr>
          <w:i/>
          <w:iCs/>
        </w:rPr>
        <w:t>sabhāva</w:t>
      </w:r>
      <w:proofErr w:type="spellEnd"/>
      <w:r>
        <w:t xml:space="preserve"> se defin</w:t>
      </w:r>
      <w:r w:rsidR="00660606">
        <w:t>a</w:t>
      </w:r>
      <w:r>
        <w:t xml:space="preserve"> como arriba así: “Es con esencia (</w:t>
      </w:r>
      <w:proofErr w:type="spellStart"/>
      <w:r w:rsidRPr="00ED53A4">
        <w:rPr>
          <w:i/>
          <w:iCs/>
        </w:rPr>
        <w:t>sahabhāvena</w:t>
      </w:r>
      <w:proofErr w:type="spellEnd"/>
      <w:r>
        <w:t xml:space="preserve">), por lo tanto es </w:t>
      </w:r>
      <w:r w:rsidR="00660606">
        <w:t xml:space="preserve">una </w:t>
      </w:r>
      <w:r>
        <w:t>esencia individual (</w:t>
      </w:r>
      <w:proofErr w:type="spellStart"/>
      <w:r w:rsidRPr="00ED53A4">
        <w:rPr>
          <w:i/>
          <w:iCs/>
        </w:rPr>
        <w:t>sabhāva</w:t>
      </w:r>
      <w:proofErr w:type="spellEnd"/>
      <w:r>
        <w:t>)” (</w:t>
      </w:r>
      <w:proofErr w:type="spellStart"/>
      <w:r>
        <w:t>Vism-mhṭ</w:t>
      </w:r>
      <w:proofErr w:type="spellEnd"/>
      <w:r>
        <w:t xml:space="preserve"> 282), y cuando se defin</w:t>
      </w:r>
      <w:r w:rsidR="00660606">
        <w:t xml:space="preserve">a </w:t>
      </w:r>
      <w:r>
        <w:t xml:space="preserve">de nuevo así: “La propia esencia de un </w:t>
      </w:r>
      <w:r w:rsidR="00660606" w:rsidRPr="00057BF4">
        <w:rPr>
          <w:i/>
        </w:rPr>
        <w:t>dhamma</w:t>
      </w:r>
      <w:r w:rsidR="00660606">
        <w:t xml:space="preserve"> </w:t>
      </w:r>
      <w:r>
        <w:t>o su esencia existente (</w:t>
      </w:r>
      <w:proofErr w:type="spellStart"/>
      <w:r w:rsidRPr="00ED53A4">
        <w:rPr>
          <w:i/>
          <w:iCs/>
        </w:rPr>
        <w:t>sako</w:t>
      </w:r>
      <w:proofErr w:type="spellEnd"/>
      <w:r w:rsidRPr="00ED53A4">
        <w:rPr>
          <w:i/>
          <w:iCs/>
        </w:rPr>
        <w:t xml:space="preserve"> </w:t>
      </w:r>
      <w:proofErr w:type="spellStart"/>
      <w:r w:rsidRPr="00ED53A4">
        <w:rPr>
          <w:i/>
          <w:iCs/>
        </w:rPr>
        <w:t>vā</w:t>
      </w:r>
      <w:proofErr w:type="spellEnd"/>
      <w:r w:rsidRPr="00ED53A4">
        <w:rPr>
          <w:i/>
          <w:iCs/>
        </w:rPr>
        <w:t xml:space="preserve"> </w:t>
      </w:r>
      <w:proofErr w:type="spellStart"/>
      <w:r w:rsidRPr="00ED53A4">
        <w:rPr>
          <w:i/>
          <w:iCs/>
        </w:rPr>
        <w:t>bhāvo</w:t>
      </w:r>
      <w:proofErr w:type="spellEnd"/>
      <w:r w:rsidRPr="00ED53A4">
        <w:rPr>
          <w:i/>
          <w:iCs/>
        </w:rPr>
        <w:t xml:space="preserve"> </w:t>
      </w:r>
      <w:proofErr w:type="spellStart"/>
      <w:r w:rsidRPr="00ED53A4">
        <w:rPr>
          <w:i/>
          <w:iCs/>
        </w:rPr>
        <w:t>samāno</w:t>
      </w:r>
      <w:proofErr w:type="spellEnd"/>
      <w:r w:rsidRPr="00ED53A4">
        <w:rPr>
          <w:i/>
          <w:iCs/>
        </w:rPr>
        <w:t xml:space="preserve"> </w:t>
      </w:r>
      <w:proofErr w:type="spellStart"/>
      <w:r w:rsidRPr="00ED53A4">
        <w:rPr>
          <w:i/>
          <w:iCs/>
        </w:rPr>
        <w:t>vā</w:t>
      </w:r>
      <w:proofErr w:type="spellEnd"/>
      <w:r w:rsidRPr="00ED53A4">
        <w:rPr>
          <w:i/>
          <w:iCs/>
        </w:rPr>
        <w:t xml:space="preserve"> </w:t>
      </w:r>
      <w:proofErr w:type="spellStart"/>
      <w:r w:rsidRPr="00ED53A4">
        <w:rPr>
          <w:i/>
          <w:iCs/>
        </w:rPr>
        <w:t>bhāvo</w:t>
      </w:r>
      <w:proofErr w:type="spellEnd"/>
      <w:r>
        <w:t>) es su esencia individual (</w:t>
      </w:r>
      <w:proofErr w:type="spellStart"/>
      <w:r>
        <w:t>sabhāva</w:t>
      </w:r>
      <w:proofErr w:type="spellEnd"/>
      <w:r>
        <w:t>)” (</w:t>
      </w:r>
      <w:proofErr w:type="spellStart"/>
      <w:r>
        <w:t>Vism-mhþ</w:t>
      </w:r>
      <w:proofErr w:type="spellEnd"/>
      <w:r>
        <w:t xml:space="preserve"> 433). </w:t>
      </w:r>
      <w:proofErr w:type="spellStart"/>
      <w:r w:rsidRPr="00660606">
        <w:rPr>
          <w:i/>
          <w:iCs/>
        </w:rPr>
        <w:t>Sabhāva</w:t>
      </w:r>
      <w:proofErr w:type="spellEnd"/>
      <w:r>
        <w:t xml:space="preserve"> también puede ser la base de una visión errónea, si se considera</w:t>
      </w:r>
      <w:r w:rsidR="003462B8">
        <w:t>se</w:t>
      </w:r>
      <w:r>
        <w:t xml:space="preserve"> como la única causa o condición eficiente de cualquier cosa formada (Cap. XVI, n.23). El equivalente sánscrito, </w:t>
      </w:r>
      <w:proofErr w:type="spellStart"/>
      <w:r w:rsidRPr="00ED53A4">
        <w:rPr>
          <w:i/>
          <w:iCs/>
        </w:rPr>
        <w:t>svabhāva</w:t>
      </w:r>
      <w:proofErr w:type="spellEnd"/>
      <w:r>
        <w:t>, tuvo una gran popularidad y una historia accidentada en las discusiones filosóficas en el continente indio.</w:t>
      </w:r>
    </w:p>
    <w:p w14:paraId="46FB630A" w14:textId="73F036D4" w:rsidR="008E5768" w:rsidRDefault="008E5768" w:rsidP="00C4580A">
      <w:pPr>
        <w:pStyle w:val="PiedepginaLegal"/>
        <w:tabs>
          <w:tab w:val="clear" w:pos="6804"/>
        </w:tabs>
        <w:ind w:right="476"/>
      </w:pPr>
      <w:r>
        <w:tab/>
      </w:r>
      <w:r>
        <w:tab/>
        <w:t xml:space="preserve">Este (a diferencia de la palabra </w:t>
      </w:r>
      <w:r w:rsidR="003462B8" w:rsidRPr="00057BF4">
        <w:rPr>
          <w:i/>
        </w:rPr>
        <w:t>dhamma</w:t>
      </w:r>
      <w:r>
        <w:t xml:space="preserve">, que tiene muchos "referentes") es un ejemplo en el que es de primera importancia apegarse a una traducción. La palabra es puramente exegética; en consecuencia, la vaguedad es indeseable. Se ha elegido “esencia individual” principalmente por razones etimológicas, y la palabra “esencia” (un </w:t>
      </w:r>
      <w:r w:rsidR="001760E7">
        <w:t>patrón</w:t>
      </w:r>
      <w:r>
        <w:t xml:space="preserve"> ciertamente </w:t>
      </w:r>
      <w:r w:rsidR="001760E7">
        <w:t>resbaladizo</w:t>
      </w:r>
      <w:r>
        <w:t>) debe entenderse a partir de los contextos en los que se us</w:t>
      </w:r>
      <w:r w:rsidR="006353A5">
        <w:t>e</w:t>
      </w:r>
      <w:r>
        <w:t xml:space="preserve"> y no prejuzgarse. Estrictamente se refiere aquí al triple momento de</w:t>
      </w:r>
      <w:r w:rsidR="006353A5">
        <w:t>l</w:t>
      </w:r>
      <w:r>
        <w:t xml:space="preserve"> surgimiento, etc., de </w:t>
      </w:r>
      <w:r w:rsidR="006353A5">
        <w:t xml:space="preserve">los </w:t>
      </w:r>
      <w:r w:rsidR="002E26E3" w:rsidRPr="00057BF4">
        <w:rPr>
          <w:i/>
        </w:rPr>
        <w:t>dhamma</w:t>
      </w:r>
      <w:r w:rsidR="002E26E3">
        <w:t xml:space="preserve">s </w:t>
      </w:r>
      <w:r>
        <w:t>formados que pued</w:t>
      </w:r>
      <w:r w:rsidR="00431711">
        <w:t>a</w:t>
      </w:r>
      <w:r>
        <w:t xml:space="preserve">n tener tal “existencia” por derecho propio y ser experimentados como tales; y se refiere a la </w:t>
      </w:r>
      <w:r w:rsidR="006353A5">
        <w:t>consumación</w:t>
      </w:r>
      <w:r>
        <w:t xml:space="preserve"> de</w:t>
      </w:r>
      <w:r w:rsidR="006353A5">
        <w:t>l</w:t>
      </w:r>
      <w:r>
        <w:t xml:space="preserve"> </w:t>
      </w:r>
      <w:r w:rsidRPr="006353A5">
        <w:rPr>
          <w:i/>
          <w:iCs/>
        </w:rPr>
        <w:t>Nibbāna</w:t>
      </w:r>
      <w:r>
        <w:t xml:space="preserve">. Estamos aquí en </w:t>
      </w:r>
      <w:r w:rsidR="006353A5">
        <w:t>un</w:t>
      </w:r>
      <w:r>
        <w:t xml:space="preserve"> territorio </w:t>
      </w:r>
      <w:r w:rsidR="00A106DE">
        <w:t>algo</w:t>
      </w:r>
      <w:r>
        <w:t xml:space="preserve"> mágico de la ontología, un tema que actualmente está experimentando un</w:t>
      </w:r>
      <w:r w:rsidR="00D75398">
        <w:t>a</w:t>
      </w:r>
      <w:r>
        <w:t xml:space="preserve"> de sus </w:t>
      </w:r>
      <w:r w:rsidR="00431711">
        <w:t>transformaciones</w:t>
      </w:r>
      <w:r>
        <w:t xml:space="preserve"> periódic</w:t>
      </w:r>
      <w:r w:rsidR="00431711">
        <w:t>a</w:t>
      </w:r>
      <w:r>
        <w:t>s en Europa, esta vez en manos de los existencialistas. En consecuencia, es importante abordar el tema con una mente abierta.</w:t>
      </w:r>
    </w:p>
    <w:p w14:paraId="351357E4" w14:textId="1262DC04" w:rsidR="008E5768" w:rsidRDefault="008E5768" w:rsidP="00C4580A">
      <w:pPr>
        <w:pStyle w:val="PiedepginaLegal"/>
        <w:tabs>
          <w:tab w:val="clear" w:pos="6804"/>
        </w:tabs>
        <w:ind w:right="476"/>
      </w:pPr>
      <w:r>
        <w:t xml:space="preserve">70. </w:t>
      </w:r>
      <w:r>
        <w:tab/>
        <w:t>“</w:t>
      </w:r>
      <w:r w:rsidR="001954F0">
        <w:t>‘Fabricado’ es generado</w:t>
      </w:r>
      <w:r>
        <w:t xml:space="preserve">. ‘No </w:t>
      </w:r>
      <w:r w:rsidR="001954F0">
        <w:t>fabricado</w:t>
      </w:r>
      <w:r w:rsidR="00A3558D">
        <w:t xml:space="preserve"> así</w:t>
      </w:r>
      <w:r>
        <w:t xml:space="preserve">’ no está </w:t>
      </w:r>
      <w:r w:rsidR="00D75398">
        <w:t xml:space="preserve">producido </w:t>
      </w:r>
      <w:r>
        <w:t>por ninguna condición en absoluto”. (</w:t>
      </w:r>
      <w:proofErr w:type="spellStart"/>
      <w:r>
        <w:t>Vism-mhṭ</w:t>
      </w:r>
      <w:proofErr w:type="spellEnd"/>
      <w:r>
        <w:t xml:space="preserve"> 281)</w:t>
      </w:r>
    </w:p>
    <w:p w14:paraId="421F96D3" w14:textId="6379A2A0" w:rsidR="008E5768" w:rsidRDefault="008E5768" w:rsidP="00C4580A">
      <w:pPr>
        <w:pStyle w:val="PiedepginaLegal"/>
        <w:tabs>
          <w:tab w:val="clear" w:pos="6804"/>
        </w:tabs>
        <w:ind w:right="476"/>
      </w:pPr>
      <w:r>
        <w:t xml:space="preserve">71. </w:t>
      </w:r>
      <w:r>
        <w:tab/>
        <w:t xml:space="preserve">“Ese </w:t>
      </w:r>
      <w:r w:rsidR="00D75398" w:rsidRPr="00057BF4">
        <w:rPr>
          <w:i/>
        </w:rPr>
        <w:t>dhamma</w:t>
      </w:r>
      <w:r w:rsidR="00D75398">
        <w:t xml:space="preserve"> </w:t>
      </w:r>
      <w:r>
        <w:t xml:space="preserve">que posee una esencia individual y tiene la característica de no estar formado debe ser tratado básicamente como 'desapareciendo', ya que es allí donde el </w:t>
      </w:r>
      <w:r w:rsidR="008E42E5" w:rsidRPr="00057BF4">
        <w:rPr>
          <w:i/>
        </w:rPr>
        <w:t>dhamma</w:t>
      </w:r>
      <w:r w:rsidR="008E42E5">
        <w:t xml:space="preserve"> </w:t>
      </w:r>
      <w:r>
        <w:t>de la</w:t>
      </w:r>
      <w:r w:rsidR="008E42E5">
        <w:t>s</w:t>
      </w:r>
      <w:r>
        <w:t xml:space="preserve"> </w:t>
      </w:r>
      <w:r w:rsidR="008E42E5">
        <w:t>impurezas</w:t>
      </w:r>
      <w:r>
        <w:t xml:space="preserve"> se </w:t>
      </w:r>
      <w:r w:rsidR="00285F55">
        <w:t xml:space="preserve">encuentran </w:t>
      </w:r>
      <w:r>
        <w:t>desvanec</w:t>
      </w:r>
      <w:r w:rsidR="00285F55">
        <w:t>iendo</w:t>
      </w:r>
      <w:r>
        <w:t>” (</w:t>
      </w:r>
      <w:proofErr w:type="spellStart"/>
      <w:r>
        <w:t>Vism-mhṭ</w:t>
      </w:r>
      <w:proofErr w:type="spellEnd"/>
      <w:r>
        <w:t xml:space="preserve"> 282).</w:t>
      </w:r>
    </w:p>
    <w:p w14:paraId="75484350" w14:textId="1E42598B" w:rsidR="008E5768" w:rsidRDefault="008E5768" w:rsidP="00C4580A">
      <w:pPr>
        <w:pStyle w:val="PiedepginaLegal"/>
        <w:tabs>
          <w:tab w:val="clear" w:pos="6804"/>
        </w:tabs>
        <w:ind w:right="476"/>
      </w:pPr>
      <w:r>
        <w:t xml:space="preserve">72. </w:t>
      </w:r>
      <w:r>
        <w:tab/>
        <w:t>“Cuando están siendo abandonados por el noble</w:t>
      </w:r>
      <w:r w:rsidR="00A90822" w:rsidRPr="00A90822">
        <w:t xml:space="preserve"> </w:t>
      </w:r>
      <w:r w:rsidR="00A90822">
        <w:t>sendero</w:t>
      </w:r>
      <w:r>
        <w:t>, que ocurre al hacer de</w:t>
      </w:r>
      <w:r w:rsidR="00285F55">
        <w:t>l</w:t>
      </w:r>
      <w:r>
        <w:t xml:space="preserve"> </w:t>
      </w:r>
      <w:r w:rsidRPr="00285F55">
        <w:rPr>
          <w:i/>
          <w:iCs/>
        </w:rPr>
        <w:t>Nibbāna</w:t>
      </w:r>
      <w:r>
        <w:t xml:space="preserve"> su objeto, se dice que son abandonados al </w:t>
      </w:r>
      <w:r w:rsidR="00285F55">
        <w:t>consumar</w:t>
      </w:r>
      <w:r>
        <w:t xml:space="preserve"> ese [</w:t>
      </w:r>
      <w:r w:rsidRPr="00285F55">
        <w:rPr>
          <w:i/>
          <w:iCs/>
        </w:rPr>
        <w:t>Nibbāna</w:t>
      </w:r>
      <w:r>
        <w:t xml:space="preserve">], por lo que </w:t>
      </w:r>
      <w:r w:rsidR="00285F55">
        <w:t xml:space="preserve">él </w:t>
      </w:r>
      <w:r>
        <w:t>dijo: 'Porque al llegar a él</w:t>
      </w:r>
      <w:r w:rsidR="00A90822">
        <w:t>…</w:t>
      </w:r>
      <w:r>
        <w:t xml:space="preserve">', </w:t>
      </w:r>
      <w:r w:rsidR="00265B1D">
        <w:t>etc</w:t>
      </w:r>
      <w:r>
        <w:t>. Aquí, ‘</w:t>
      </w:r>
      <w:r w:rsidR="00A90822">
        <w:t xml:space="preserve">la </w:t>
      </w:r>
      <w:r>
        <w:t xml:space="preserve">vanidad de </w:t>
      </w:r>
      <w:r w:rsidR="00265B1D">
        <w:t xml:space="preserve">la </w:t>
      </w:r>
      <w:r>
        <w:t>presunción (</w:t>
      </w:r>
      <w:proofErr w:type="spellStart"/>
      <w:r w:rsidRPr="00ED53A4">
        <w:rPr>
          <w:i/>
          <w:iCs/>
        </w:rPr>
        <w:t>mānamada</w:t>
      </w:r>
      <w:proofErr w:type="spellEnd"/>
      <w:r>
        <w:t xml:space="preserve">)’ es </w:t>
      </w:r>
      <w:r w:rsidR="00265B1D">
        <w:t xml:space="preserve">la </w:t>
      </w:r>
      <w:r>
        <w:t>presunción (</w:t>
      </w:r>
      <w:r w:rsidRPr="00ED53A4">
        <w:rPr>
          <w:i/>
          <w:iCs/>
        </w:rPr>
        <w:t>māna</w:t>
      </w:r>
      <w:r>
        <w:t>) ocurre</w:t>
      </w:r>
      <w:r w:rsidR="00265B1D">
        <w:t>nte</w:t>
      </w:r>
      <w:r>
        <w:t xml:space="preserve"> al concebir (</w:t>
      </w:r>
      <w:r w:rsidRPr="00ED53A4">
        <w:rPr>
          <w:i/>
          <w:iCs/>
        </w:rPr>
        <w:t>maññanā</w:t>
      </w:r>
      <w:r>
        <w:t xml:space="preserve">) </w:t>
      </w:r>
      <w:r w:rsidR="00A90822">
        <w:t xml:space="preserve">algo como </w:t>
      </w:r>
      <w:r>
        <w:t>‘Yo soy superior’ (</w:t>
      </w:r>
      <w:proofErr w:type="spellStart"/>
      <w:r>
        <w:t>Vibh</w:t>
      </w:r>
      <w:proofErr w:type="spellEnd"/>
      <w:r>
        <w:t xml:space="preserve"> 353). “</w:t>
      </w:r>
      <w:r w:rsidR="00A90822">
        <w:t>La v</w:t>
      </w:r>
      <w:r>
        <w:t xml:space="preserve">anidad de masculinidad” es </w:t>
      </w:r>
      <w:r w:rsidR="00265B1D">
        <w:t xml:space="preserve">la </w:t>
      </w:r>
      <w:r>
        <w:t>vanidad de ser del sexo masculino. Las palabras ‘tales como’ se refieren a la vanidad de nacimiento, y así sucesivamente (</w:t>
      </w:r>
      <w:proofErr w:type="spellStart"/>
      <w:r>
        <w:t>Vibh</w:t>
      </w:r>
      <w:proofErr w:type="spellEnd"/>
      <w:r>
        <w:t xml:space="preserve"> 345)” (</w:t>
      </w:r>
      <w:proofErr w:type="spellStart"/>
      <w:r>
        <w:t>Vism-mhṭ</w:t>
      </w:r>
      <w:proofErr w:type="spellEnd"/>
      <w:r>
        <w:t xml:space="preserve"> 282).</w:t>
      </w:r>
    </w:p>
    <w:p w14:paraId="0FE37EBB" w14:textId="43C5B4A9" w:rsidR="00951135" w:rsidRDefault="00951135">
      <w:pPr>
        <w:tabs>
          <w:tab w:val="clear" w:pos="425"/>
        </w:tabs>
        <w:spacing w:after="160"/>
      </w:pPr>
      <w:r>
        <w:br w:type="page"/>
      </w:r>
    </w:p>
    <w:p w14:paraId="12B0827A" w14:textId="2325C632" w:rsidR="00951135" w:rsidRDefault="00951135" w:rsidP="00951135"/>
    <w:p w14:paraId="4477A6A0" w14:textId="2D883FD8" w:rsidR="00D51619" w:rsidRDefault="00C4580A" w:rsidP="00D51619">
      <w:r>
        <w:t xml:space="preserve">cesa. </w:t>
      </w:r>
      <w:r w:rsidR="00D51619">
        <w:t xml:space="preserve">Se </w:t>
      </w:r>
      <w:r w:rsidR="00FA2239">
        <w:t xml:space="preserve">le </w:t>
      </w:r>
      <w:r w:rsidR="00D51619">
        <w:t xml:space="preserve">llama </w:t>
      </w:r>
      <w:r w:rsidR="00D51619" w:rsidRPr="00ED53A4">
        <w:rPr>
          <w:i/>
          <w:iCs/>
        </w:rPr>
        <w:t>Nibbāna</w:t>
      </w:r>
      <w:r w:rsidR="00D51619">
        <w:t xml:space="preserve"> (extinción) porque se ha </w:t>
      </w:r>
      <w:r w:rsidR="00203468">
        <w:t>apartado</w:t>
      </w:r>
      <w:r w:rsidR="00D51619">
        <w:t xml:space="preserve"> de (</w:t>
      </w:r>
      <w:proofErr w:type="spellStart"/>
      <w:r w:rsidR="00D51619" w:rsidRPr="00ED53A4">
        <w:rPr>
          <w:i/>
          <w:iCs/>
        </w:rPr>
        <w:t>nikkhanta</w:t>
      </w:r>
      <w:proofErr w:type="spellEnd"/>
      <w:r w:rsidR="00D51619">
        <w:t>), ha escapado de (</w:t>
      </w:r>
      <w:proofErr w:type="spellStart"/>
      <w:r w:rsidR="00D51619" w:rsidRPr="00ED53A4">
        <w:rPr>
          <w:i/>
          <w:iCs/>
        </w:rPr>
        <w:t>nissa</w:t>
      </w:r>
      <w:r w:rsidR="00ED53A4">
        <w:rPr>
          <w:i/>
          <w:iCs/>
        </w:rPr>
        <w:t>ṭ</w:t>
      </w:r>
      <w:r w:rsidR="00D51619" w:rsidRPr="00ED53A4">
        <w:rPr>
          <w:i/>
          <w:iCs/>
        </w:rPr>
        <w:t>a</w:t>
      </w:r>
      <w:proofErr w:type="spellEnd"/>
      <w:r w:rsidR="00D51619">
        <w:t xml:space="preserve">), está disociado del </w:t>
      </w:r>
      <w:r w:rsidR="00AC2C31">
        <w:t>deseo</w:t>
      </w:r>
      <w:r w:rsidR="00D51619">
        <w:t xml:space="preserve">, </w:t>
      </w:r>
      <w:r w:rsidR="00EF35A9">
        <w:t>el cual</w:t>
      </w:r>
      <w:r w:rsidR="00D51619">
        <w:t xml:space="preserve"> ha adquirido en el uso común el nombre de “fijación” (</w:t>
      </w:r>
      <w:proofErr w:type="spellStart"/>
      <w:r w:rsidR="00D51619" w:rsidRPr="00ED53A4">
        <w:rPr>
          <w:i/>
          <w:iCs/>
        </w:rPr>
        <w:t>vāna</w:t>
      </w:r>
      <w:proofErr w:type="spellEnd"/>
      <w:r w:rsidR="00D51619">
        <w:t xml:space="preserve">) porque, al asegurar el devenir sucesivo, el </w:t>
      </w:r>
      <w:r w:rsidR="00F70AC7">
        <w:t xml:space="preserve">deseo </w:t>
      </w:r>
      <w:r w:rsidR="00D51619">
        <w:t xml:space="preserve">sirve como una unión, un </w:t>
      </w:r>
      <w:r w:rsidR="00F70AC7">
        <w:t>nexo</w:t>
      </w:r>
      <w:r w:rsidR="00D51619">
        <w:t xml:space="preserve">, un lazo de los cuatro tipos de generación, los cinco destinos, las siete </w:t>
      </w:r>
      <w:r w:rsidR="000874B5">
        <w:t>condiciones</w:t>
      </w:r>
      <w:r w:rsidR="00D51619">
        <w:t xml:space="preserve"> de la con</w:t>
      </w:r>
      <w:r w:rsidR="00F70AC7">
        <w:t>s</w:t>
      </w:r>
      <w:r w:rsidR="00D51619">
        <w:t>ciencia y l</w:t>
      </w:r>
      <w:r w:rsidR="000874B5">
        <w:t>a</w:t>
      </w:r>
      <w:r w:rsidR="00D51619">
        <w:t xml:space="preserve">s nueve </w:t>
      </w:r>
      <w:r w:rsidR="000874B5">
        <w:t xml:space="preserve">condiciones </w:t>
      </w:r>
      <w:r w:rsidR="00D51619">
        <w:t>de los seres.</w:t>
      </w:r>
      <w:r w:rsidR="00D51619" w:rsidRPr="00F9793E">
        <w:rPr>
          <w:vertAlign w:val="superscript"/>
        </w:rPr>
        <w:t>73</w:t>
      </w:r>
      <w:r w:rsidR="00D51619">
        <w:t xml:space="preserve"> [294]</w:t>
      </w:r>
    </w:p>
    <w:p w14:paraId="3D403093" w14:textId="25CCBD43" w:rsidR="00D51619" w:rsidRDefault="00D51619" w:rsidP="00D51619">
      <w:r>
        <w:t xml:space="preserve">248. </w:t>
      </w:r>
      <w:r>
        <w:tab/>
        <w:t xml:space="preserve">Así es como la paz, en otras palabras, </w:t>
      </w:r>
      <w:r w:rsidR="005D4842">
        <w:t xml:space="preserve">el </w:t>
      </w:r>
      <w:r w:rsidRPr="005D4842">
        <w:rPr>
          <w:i/>
          <w:iCs/>
        </w:rPr>
        <w:t>Nibbāna</w:t>
      </w:r>
      <w:r>
        <w:t xml:space="preserve">, debe ser </w:t>
      </w:r>
      <w:r w:rsidR="005D4842">
        <w:t>evocad</w:t>
      </w:r>
      <w:r w:rsidR="00C47D13">
        <w:t>o</w:t>
      </w:r>
      <w:r>
        <w:t xml:space="preserve"> de acuerdo con sus cualidades especiales comenzando con la desilusión de la vanidad. Pero también debe </w:t>
      </w:r>
      <w:r w:rsidR="00B74E0D">
        <w:t>evocarse</w:t>
      </w:r>
      <w:r>
        <w:t xml:space="preserve"> de acuerdo con otras cualidades especiales </w:t>
      </w:r>
      <w:r w:rsidR="00C47D13">
        <w:t>concernientes a</w:t>
      </w:r>
      <w:r>
        <w:t xml:space="preserve"> </w:t>
      </w:r>
      <w:r w:rsidR="00B74E0D">
        <w:t xml:space="preserve">la </w:t>
      </w:r>
      <w:r>
        <w:t xml:space="preserve">paz declaradas por el </w:t>
      </w:r>
      <w:r w:rsidR="00B74E0D" w:rsidRPr="00B74E0D">
        <w:rPr>
          <w:i/>
          <w:iCs/>
        </w:rPr>
        <w:t>Bhagavā</w:t>
      </w:r>
      <w:r w:rsidR="00B74E0D">
        <w:t xml:space="preserve"> </w:t>
      </w:r>
      <w:r>
        <w:t xml:space="preserve">en los </w:t>
      </w:r>
      <w:r w:rsidRPr="00B74E0D">
        <w:rPr>
          <w:i/>
          <w:iCs/>
        </w:rPr>
        <w:t>suttas</w:t>
      </w:r>
      <w:r>
        <w:t xml:space="preserve"> que comienzan con: “</w:t>
      </w:r>
      <w:proofErr w:type="spellStart"/>
      <w:r w:rsidR="00057BF4" w:rsidRPr="00057BF4">
        <w:rPr>
          <w:i/>
          <w:iCs/>
        </w:rPr>
        <w:t>Bhikkhu</w:t>
      </w:r>
      <w:r w:rsidRPr="00ED53A4">
        <w:rPr>
          <w:i/>
          <w:iCs/>
        </w:rPr>
        <w:t>s</w:t>
      </w:r>
      <w:proofErr w:type="spellEnd"/>
      <w:r>
        <w:t xml:space="preserve">, les enseñaré lo </w:t>
      </w:r>
      <w:r w:rsidR="00B74E0D">
        <w:t>no-</w:t>
      </w:r>
      <w:r>
        <w:t>form</w:t>
      </w:r>
      <w:r w:rsidR="00B74E0D">
        <w:t>ado</w:t>
      </w:r>
      <w:r>
        <w:t xml:space="preserve">… la verdad… la otra orilla… lo difícil de ver… lo incorruptible... lo </w:t>
      </w:r>
      <w:r w:rsidR="00B74E0D">
        <w:t>per</w:t>
      </w:r>
      <w:r>
        <w:t>dura</w:t>
      </w:r>
      <w:r w:rsidR="00B74E0D">
        <w:t>ble</w:t>
      </w:r>
      <w:r>
        <w:t>... lo no diversificado... lo inmortal... lo auspicioso... lo seguro... lo maravilloso... lo intacto... l</w:t>
      </w:r>
      <w:r w:rsidR="00487F29">
        <w:t>a</w:t>
      </w:r>
      <w:r>
        <w:t xml:space="preserve"> no</w:t>
      </w:r>
      <w:r w:rsidR="000C50AD">
        <w:t>-</w:t>
      </w:r>
      <w:r>
        <w:t>afli</w:t>
      </w:r>
      <w:r w:rsidR="00487F29">
        <w:t>cción</w:t>
      </w:r>
      <w:r>
        <w:t>... la pureza... la isla... el refugio...”. (SIV 360-72).</w:t>
      </w:r>
      <w:r w:rsidRPr="00F9793E">
        <w:rPr>
          <w:vertAlign w:val="superscript"/>
        </w:rPr>
        <w:t>74</w:t>
      </w:r>
    </w:p>
    <w:p w14:paraId="6294592F" w14:textId="4DFA132E" w:rsidR="00D51619" w:rsidRDefault="00D51619" w:rsidP="00D51619">
      <w:r>
        <w:t xml:space="preserve">249. </w:t>
      </w:r>
      <w:r>
        <w:tab/>
      </w:r>
      <w:r w:rsidR="00DF5CA9">
        <w:t>Como</w:t>
      </w:r>
      <w:r>
        <w:t xml:space="preserve"> él </w:t>
      </w:r>
      <w:r w:rsidR="00772580">
        <w:t>evoca</w:t>
      </w:r>
      <w:r>
        <w:t xml:space="preserve"> </w:t>
      </w:r>
      <w:r w:rsidR="00BA2B4D">
        <w:t xml:space="preserve">así </w:t>
      </w:r>
      <w:r>
        <w:t xml:space="preserve">la paz en sus cualidades especiales </w:t>
      </w:r>
      <w:r w:rsidR="00772580">
        <w:t>como la</w:t>
      </w:r>
      <w:r>
        <w:t xml:space="preserve"> desilusión de vanidad, etc., entonces: “En </w:t>
      </w:r>
      <w:r w:rsidR="00BA2B4D">
        <w:t>tal</w:t>
      </w:r>
      <w:r>
        <w:t xml:space="preserve"> ocasión su mente no est</w:t>
      </w:r>
      <w:r w:rsidR="00BA2B4D">
        <w:t>ar</w:t>
      </w:r>
      <w:r>
        <w:t xml:space="preserve">á obsesionada </w:t>
      </w:r>
      <w:r w:rsidR="00343680">
        <w:t xml:space="preserve">por </w:t>
      </w:r>
      <w:r>
        <w:t xml:space="preserve">la codicia ni obsesionada por el odio ni obsesionada por </w:t>
      </w:r>
      <w:r w:rsidR="00BA2B4D">
        <w:t>la desilusión</w:t>
      </w:r>
      <w:r>
        <w:t xml:space="preserve">; su mente </w:t>
      </w:r>
      <w:r w:rsidR="00BA2B4D">
        <w:t xml:space="preserve">poseerá </w:t>
      </w:r>
      <w:r>
        <w:t xml:space="preserve">rectitud en </w:t>
      </w:r>
      <w:r w:rsidR="00BA2B4D">
        <w:t xml:space="preserve">tal </w:t>
      </w:r>
      <w:r>
        <w:t>ocasión, estando inspirado por la paz” (ver VII.65, etc.). Entonces, cuando ha</w:t>
      </w:r>
      <w:r w:rsidR="002C025C">
        <w:t>ya</w:t>
      </w:r>
      <w:r>
        <w:t xml:space="preserve"> suprimido los obstáculos en la forma ya descrita bajo </w:t>
      </w:r>
      <w:r w:rsidR="002C025C">
        <w:t xml:space="preserve">la evocación </w:t>
      </w:r>
      <w:r>
        <w:t xml:space="preserve">del Iluminado, etc., los factores </w:t>
      </w:r>
      <w:proofErr w:type="spellStart"/>
      <w:r w:rsidR="00057BF4" w:rsidRPr="00057BF4">
        <w:rPr>
          <w:i/>
          <w:iCs/>
        </w:rPr>
        <w:t>jhān</w:t>
      </w:r>
      <w:r w:rsidR="002C025C">
        <w:rPr>
          <w:i/>
          <w:iCs/>
        </w:rPr>
        <w:t>icos</w:t>
      </w:r>
      <w:proofErr w:type="spellEnd"/>
      <w:r>
        <w:t xml:space="preserve"> surg</w:t>
      </w:r>
      <w:r w:rsidR="002C025C">
        <w:t>irá</w:t>
      </w:r>
      <w:r>
        <w:t>n en un solo momento. Pero debido a la profundidad de las cualidades especiales de la paz, o debido a que est</w:t>
      </w:r>
      <w:r w:rsidR="000C73F3">
        <w:t>é</w:t>
      </w:r>
      <w:r>
        <w:t xml:space="preserve"> ocupado en </w:t>
      </w:r>
      <w:r w:rsidR="000C73F3">
        <w:t xml:space="preserve">evocar </w:t>
      </w:r>
      <w:r>
        <w:t xml:space="preserve">cualidades especiales de varios tipos, el </w:t>
      </w:r>
      <w:proofErr w:type="spellStart"/>
      <w:r w:rsidR="00057BF4" w:rsidRPr="00057BF4">
        <w:rPr>
          <w:i/>
          <w:iCs/>
        </w:rPr>
        <w:t>jhāna</w:t>
      </w:r>
      <w:proofErr w:type="spellEnd"/>
      <w:r>
        <w:t xml:space="preserve"> </w:t>
      </w:r>
      <w:r w:rsidR="000C73F3">
        <w:t xml:space="preserve">será </w:t>
      </w:r>
      <w:r>
        <w:t>solo acceso y no alcanza</w:t>
      </w:r>
      <w:r w:rsidR="000C73F3">
        <w:t>rá</w:t>
      </w:r>
      <w:r>
        <w:t xml:space="preserve"> la absorción. Y </w:t>
      </w:r>
      <w:r w:rsidR="000C73F3">
        <w:t xml:space="preserve">a </w:t>
      </w:r>
      <w:r>
        <w:t xml:space="preserve">ese </w:t>
      </w:r>
      <w:proofErr w:type="spellStart"/>
      <w:r w:rsidR="00057BF4" w:rsidRPr="00057BF4">
        <w:rPr>
          <w:i/>
          <w:iCs/>
        </w:rPr>
        <w:t>jhāna</w:t>
      </w:r>
      <w:proofErr w:type="spellEnd"/>
      <w:r>
        <w:t xml:space="preserve"> sí también se </w:t>
      </w:r>
      <w:r w:rsidR="000C73F3">
        <w:t xml:space="preserve">le </w:t>
      </w:r>
      <w:r>
        <w:t>conoce</w:t>
      </w:r>
      <w:r w:rsidR="000C73F3">
        <w:t>rá</w:t>
      </w:r>
      <w:r>
        <w:t xml:space="preserve"> como “</w:t>
      </w:r>
      <w:r w:rsidR="000C73F3">
        <w:t xml:space="preserve">la evocación </w:t>
      </w:r>
      <w:r>
        <w:t>de la paz” porque surg</w:t>
      </w:r>
      <w:r w:rsidR="000C73F3">
        <w:t>irá</w:t>
      </w:r>
      <w:r>
        <w:t xml:space="preserve"> por medio de las cualidades especiales de la paz.</w:t>
      </w:r>
    </w:p>
    <w:p w14:paraId="702E3B7C" w14:textId="5CC4AD2A" w:rsidR="00D51619" w:rsidRDefault="00D51619" w:rsidP="00D51619">
      <w:r>
        <w:t xml:space="preserve">250. </w:t>
      </w:r>
      <w:r>
        <w:tab/>
        <w:t>Y como en el caso de l</w:t>
      </w:r>
      <w:r w:rsidR="000C73F3">
        <w:t>a</w:t>
      </w:r>
      <w:r>
        <w:t xml:space="preserve">s seis </w:t>
      </w:r>
      <w:r w:rsidR="000C73F3">
        <w:t>evocaciones</w:t>
      </w:r>
      <w:r>
        <w:t>, esto también llega</w:t>
      </w:r>
      <w:r w:rsidR="000C73F3">
        <w:t>rá</w:t>
      </w:r>
      <w:r>
        <w:t xml:space="preserve"> a tener éxito sólo en un discípulo noble. </w:t>
      </w:r>
      <w:proofErr w:type="spellStart"/>
      <w:r>
        <w:t>Aún</w:t>
      </w:r>
      <w:proofErr w:type="spellEnd"/>
      <w:r>
        <w:t xml:space="preserve"> así, aunque esto </w:t>
      </w:r>
      <w:r w:rsidR="004D2BAC">
        <w:t>sea</w:t>
      </w:r>
      <w:r>
        <w:t xml:space="preserve"> así, también </w:t>
      </w:r>
      <w:r w:rsidR="004D2BAC">
        <w:t>podrá</w:t>
      </w:r>
      <w:r>
        <w:t xml:space="preserve"> ser </w:t>
      </w:r>
      <w:r w:rsidR="004D2BAC">
        <w:t xml:space="preserve">evocada </w:t>
      </w:r>
      <w:r>
        <w:t>por una persona común que valor</w:t>
      </w:r>
      <w:r w:rsidR="004D2BAC">
        <w:t>e</w:t>
      </w:r>
      <w:r>
        <w:t xml:space="preserve"> la paz. Porque </w:t>
      </w:r>
      <w:r w:rsidR="00414EA4">
        <w:t>inclusive d</w:t>
      </w:r>
      <w:r>
        <w:t xml:space="preserve">e </w:t>
      </w:r>
      <w:r w:rsidR="00D12734">
        <w:t xml:space="preserve">sólo escuchar al respecto </w:t>
      </w:r>
      <w:r>
        <w:t xml:space="preserve">la mente </w:t>
      </w:r>
      <w:r w:rsidR="00414EA4">
        <w:t xml:space="preserve">tendrá </w:t>
      </w:r>
      <w:r>
        <w:t>confianza en la paz.</w:t>
      </w:r>
    </w:p>
    <w:p w14:paraId="38ACF4F7" w14:textId="311AC153" w:rsidR="00D51619" w:rsidRDefault="00D51619" w:rsidP="00D51619">
      <w:r>
        <w:t xml:space="preserve">251. </w:t>
      </w:r>
      <w:r>
        <w:tab/>
        <w:t xml:space="preserve">Un </w:t>
      </w:r>
      <w:proofErr w:type="spellStart"/>
      <w:r w:rsidR="00057BF4" w:rsidRPr="00057BF4">
        <w:rPr>
          <w:i/>
          <w:iCs/>
        </w:rPr>
        <w:t>bhikkhu</w:t>
      </w:r>
      <w:proofErr w:type="spellEnd"/>
      <w:r>
        <w:t xml:space="preserve"> que s</w:t>
      </w:r>
      <w:r w:rsidR="00414EA4">
        <w:t>ea</w:t>
      </w:r>
      <w:r>
        <w:t xml:space="preserve"> devoto de est</w:t>
      </w:r>
      <w:r w:rsidR="00414EA4">
        <w:t>a</w:t>
      </w:r>
      <w:r>
        <w:t xml:space="preserve"> </w:t>
      </w:r>
      <w:r w:rsidR="00414EA4">
        <w:t>evocación</w:t>
      </w:r>
      <w:r>
        <w:t xml:space="preserve"> de </w:t>
      </w:r>
      <w:r w:rsidR="00414EA4">
        <w:t xml:space="preserve">la </w:t>
      </w:r>
      <w:r>
        <w:t xml:space="preserve">paz </w:t>
      </w:r>
      <w:r w:rsidR="00414EA4">
        <w:t>dormirá</w:t>
      </w:r>
      <w:r>
        <w:t xml:space="preserve"> en éxtasis y se desperta</w:t>
      </w:r>
      <w:r w:rsidR="009C2463">
        <w:t>rá</w:t>
      </w:r>
      <w:r>
        <w:t xml:space="preserve"> en éxtasis, sus facultades est</w:t>
      </w:r>
      <w:r w:rsidR="009C2463">
        <w:t>ar</w:t>
      </w:r>
      <w:r>
        <w:t>án en paz, su mente est</w:t>
      </w:r>
      <w:r w:rsidR="009C2463">
        <w:t>ar</w:t>
      </w:r>
      <w:r>
        <w:t>á en paz, ten</w:t>
      </w:r>
      <w:r w:rsidR="009C2463">
        <w:t>drá</w:t>
      </w:r>
      <w:r>
        <w:t xml:space="preserve"> con</w:t>
      </w:r>
      <w:r w:rsidR="009C2463">
        <w:t>s</w:t>
      </w:r>
      <w:r>
        <w:t>ciencia y vergüenza, ten</w:t>
      </w:r>
      <w:r w:rsidR="009C2463">
        <w:t>drá</w:t>
      </w:r>
      <w:r>
        <w:t xml:space="preserve"> confianza, est</w:t>
      </w:r>
      <w:r w:rsidR="009C2463">
        <w:t>ar</w:t>
      </w:r>
      <w:r>
        <w:t xml:space="preserve">á resuelto </w:t>
      </w:r>
      <w:r w:rsidR="009C2463">
        <w:t>de</w:t>
      </w:r>
      <w:r w:rsidR="00D12734">
        <w:t xml:space="preserve"> consumar</w:t>
      </w:r>
      <w:r>
        <w:t xml:space="preserve"> </w:t>
      </w:r>
      <w:r w:rsidR="00F6613D">
        <w:t>un estado</w:t>
      </w:r>
      <w:r>
        <w:t xml:space="preserve"> superior, </w:t>
      </w:r>
      <w:r w:rsidR="00F6613D">
        <w:t xml:space="preserve">será </w:t>
      </w:r>
      <w:r>
        <w:t>respetado y honrado por sus compañeros en la vida de pureza. E inclus</w:t>
      </w:r>
      <w:r w:rsidR="00F6613D">
        <w:t>ive,</w:t>
      </w:r>
      <w:r>
        <w:t xml:space="preserve"> si no penetra</w:t>
      </w:r>
      <w:r w:rsidR="009A6CE5">
        <w:t>se</w:t>
      </w:r>
      <w:r>
        <w:t xml:space="preserve"> más </w:t>
      </w:r>
      <w:r w:rsidR="009A6CE5">
        <w:t>elevadamente</w:t>
      </w:r>
      <w:r>
        <w:t>, al menos se dirig</w:t>
      </w:r>
      <w:r w:rsidR="009A6CE5">
        <w:t>irá</w:t>
      </w:r>
      <w:r>
        <w:t xml:space="preserve"> </w:t>
      </w:r>
      <w:r w:rsidR="00D12734">
        <w:t xml:space="preserve">hacia </w:t>
      </w:r>
      <w:r>
        <w:t>un destino feliz.</w:t>
      </w:r>
    </w:p>
    <w:p w14:paraId="7A2590A8" w14:textId="77777777" w:rsidR="00D51619" w:rsidRDefault="00D51619" w:rsidP="00D51619">
      <w:pPr>
        <w:pStyle w:val="Piedepgina"/>
        <w:rPr>
          <w:u w:val="single"/>
        </w:rPr>
      </w:pPr>
      <w:r>
        <w:rPr>
          <w:u w:val="single"/>
        </w:rPr>
        <w:t xml:space="preserve">                                                                                                                                                                          .</w:t>
      </w:r>
    </w:p>
    <w:p w14:paraId="1D76A14D" w14:textId="6EBD3BD1" w:rsidR="00D51619" w:rsidRDefault="00D51619" w:rsidP="00760DC9">
      <w:pPr>
        <w:pStyle w:val="PiedepginaLegal"/>
        <w:tabs>
          <w:tab w:val="clear" w:pos="6804"/>
        </w:tabs>
        <w:ind w:right="476"/>
      </w:pPr>
      <w:r>
        <w:t xml:space="preserve">73. </w:t>
      </w:r>
      <w:r>
        <w:tab/>
        <w:t xml:space="preserve">La etimología moderna deriva la palabra </w:t>
      </w:r>
      <w:r w:rsidRPr="00760DC9">
        <w:rPr>
          <w:i/>
          <w:iCs/>
        </w:rPr>
        <w:t>Nibbāna</w:t>
      </w:r>
      <w:r>
        <w:t xml:space="preserve"> (</w:t>
      </w:r>
      <w:proofErr w:type="spellStart"/>
      <w:r>
        <w:t>Skr</w:t>
      </w:r>
      <w:proofErr w:type="spellEnd"/>
      <w:r>
        <w:t xml:space="preserve">. </w:t>
      </w:r>
      <w:proofErr w:type="spellStart"/>
      <w:r w:rsidRPr="00ED53A4">
        <w:rPr>
          <w:i/>
          <w:iCs/>
        </w:rPr>
        <w:t>nirvāṇa</w:t>
      </w:r>
      <w:proofErr w:type="spellEnd"/>
      <w:r>
        <w:t xml:space="preserve">) del prefijo negativo </w:t>
      </w:r>
      <w:proofErr w:type="spellStart"/>
      <w:r w:rsidRPr="00ED53A4">
        <w:rPr>
          <w:i/>
          <w:iCs/>
        </w:rPr>
        <w:t>nir</w:t>
      </w:r>
      <w:proofErr w:type="spellEnd"/>
      <w:r>
        <w:t xml:space="preserve"> más la raíz </w:t>
      </w:r>
      <w:proofErr w:type="spellStart"/>
      <w:r w:rsidRPr="00ED53A4">
        <w:rPr>
          <w:i/>
          <w:iCs/>
        </w:rPr>
        <w:t>vā</w:t>
      </w:r>
      <w:proofErr w:type="spellEnd"/>
      <w:r>
        <w:t xml:space="preserve"> (soplar). El significado literal original probablemente era "extinción" de un fuego al dejar de soplarlo con </w:t>
      </w:r>
      <w:r w:rsidR="000874B5">
        <w:t xml:space="preserve">los </w:t>
      </w:r>
      <w:r>
        <w:t>fuelles (</w:t>
      </w:r>
      <w:r w:rsidR="000874B5">
        <w:t>del soplador d</w:t>
      </w:r>
      <w:r>
        <w:t>el fuego de un herrero, por ejemplo). Parece haberse extendido a la extinción del fuego por cualquier medio, por ejemplo, la extinción de la llama de una lámpara (</w:t>
      </w:r>
      <w:proofErr w:type="spellStart"/>
      <w:r w:rsidRPr="00ED53A4">
        <w:rPr>
          <w:i/>
          <w:iCs/>
        </w:rPr>
        <w:t>nibbāyati</w:t>
      </w:r>
      <w:proofErr w:type="spellEnd"/>
      <w:r>
        <w:t xml:space="preserve">—M III 245). </w:t>
      </w:r>
      <w:r w:rsidR="000874B5">
        <w:t>Análogamente</w:t>
      </w:r>
      <w:r>
        <w:t>, se extendió a la extinción del proceso de los cinco agregados a la muerte de</w:t>
      </w:r>
      <w:r w:rsidR="000874B5">
        <w:t xml:space="preserve"> un</w:t>
      </w:r>
      <w:r>
        <w:t xml:space="preserve"> </w:t>
      </w:r>
      <w:r w:rsidR="00057BF4" w:rsidRPr="00057BF4">
        <w:rPr>
          <w:i/>
        </w:rPr>
        <w:t>Arahant</w:t>
      </w:r>
      <w:r>
        <w:t xml:space="preserve"> (ver It 38). </w:t>
      </w:r>
      <w:r w:rsidRPr="00CD5ACE">
        <w:rPr>
          <w:i/>
          <w:iCs/>
        </w:rPr>
        <w:t>Nibbāna</w:t>
      </w:r>
      <w:r>
        <w:t xml:space="preserve"> no es la "extinción de un </w:t>
      </w:r>
      <w:r w:rsidR="000874B5">
        <w:t>alma</w:t>
      </w:r>
      <w:r>
        <w:t xml:space="preserve"> o de un ser vivo </w:t>
      </w:r>
      <w:r w:rsidR="005D4842">
        <w:t>per</w:t>
      </w:r>
      <w:r>
        <w:t>dura</w:t>
      </w:r>
      <w:r w:rsidR="005D4842">
        <w:t>ble</w:t>
      </w:r>
      <w:r>
        <w:t xml:space="preserve">", siendo tal opinión errónea la visión del </w:t>
      </w:r>
      <w:r w:rsidR="000874B5">
        <w:t>nihilismo</w:t>
      </w:r>
      <w:r>
        <w:t xml:space="preserve"> (ver, por ejemplo, M I 140, S III 109).</w:t>
      </w:r>
    </w:p>
    <w:p w14:paraId="321A5143" w14:textId="6CACC59F" w:rsidR="00D51619" w:rsidRDefault="00D51619" w:rsidP="00760DC9">
      <w:pPr>
        <w:pStyle w:val="PiedepginaLegal"/>
        <w:tabs>
          <w:tab w:val="clear" w:pos="6804"/>
        </w:tabs>
        <w:ind w:right="476"/>
      </w:pPr>
      <w:r>
        <w:t xml:space="preserve">74. </w:t>
      </w:r>
      <w:r>
        <w:tab/>
        <w:t xml:space="preserve">Algunos textos añaden </w:t>
      </w:r>
      <w:proofErr w:type="spellStart"/>
      <w:r w:rsidRPr="00ED53A4">
        <w:rPr>
          <w:i/>
          <w:iCs/>
        </w:rPr>
        <w:t>leṇa</w:t>
      </w:r>
      <w:proofErr w:type="spellEnd"/>
      <w:r>
        <w:t xml:space="preserve"> (otra palabra para refugio). Todavía se dan otros en el texto de</w:t>
      </w:r>
      <w:r w:rsidR="000874B5">
        <w:t>l</w:t>
      </w:r>
      <w:r>
        <w:t xml:space="preserve"> </w:t>
      </w:r>
      <w:proofErr w:type="spellStart"/>
      <w:r w:rsidRPr="00ED53A4">
        <w:rPr>
          <w:i/>
          <w:iCs/>
        </w:rPr>
        <w:t>Saṃyutta</w:t>
      </w:r>
      <w:proofErr w:type="spellEnd"/>
      <w:r>
        <w:t>.</w:t>
      </w:r>
    </w:p>
    <w:p w14:paraId="39DB7FE3" w14:textId="77777777" w:rsidR="00D51619" w:rsidRDefault="00D51619">
      <w:pPr>
        <w:tabs>
          <w:tab w:val="clear" w:pos="425"/>
        </w:tabs>
        <w:spacing w:after="160"/>
      </w:pPr>
      <w:r>
        <w:br w:type="page"/>
      </w:r>
    </w:p>
    <w:p w14:paraId="34C4F278" w14:textId="77777777" w:rsidR="00D51619" w:rsidRDefault="00D51619" w:rsidP="00524600"/>
    <w:p w14:paraId="371137D2" w14:textId="38F4DAD5" w:rsidR="0063732A" w:rsidRPr="006E5CBC" w:rsidRDefault="00F55699" w:rsidP="006E5CBC">
      <w:pPr>
        <w:pStyle w:val="VersoIngls01Sangria"/>
        <w:ind w:left="2124"/>
        <w:rPr>
          <w:sz w:val="16"/>
          <w:szCs w:val="20"/>
        </w:rPr>
      </w:pPr>
      <w:r w:rsidRPr="006E5CBC">
        <w:rPr>
          <w:sz w:val="16"/>
          <w:szCs w:val="20"/>
        </w:rPr>
        <w:t xml:space="preserve">Es por </w:t>
      </w:r>
      <w:r w:rsidR="0063732A" w:rsidRPr="006E5CBC">
        <w:rPr>
          <w:sz w:val="16"/>
          <w:szCs w:val="20"/>
        </w:rPr>
        <w:t xml:space="preserve">eso </w:t>
      </w:r>
      <w:proofErr w:type="gramStart"/>
      <w:r w:rsidR="0063732A" w:rsidRPr="006E5CBC">
        <w:rPr>
          <w:sz w:val="16"/>
          <w:szCs w:val="20"/>
        </w:rPr>
        <w:t>que</w:t>
      </w:r>
      <w:proofErr w:type="gramEnd"/>
      <w:r w:rsidR="0063732A" w:rsidRPr="006E5CBC">
        <w:rPr>
          <w:sz w:val="16"/>
          <w:szCs w:val="20"/>
        </w:rPr>
        <w:t xml:space="preserve"> un hombre </w:t>
      </w:r>
      <w:r w:rsidRPr="006E5CBC">
        <w:rPr>
          <w:sz w:val="16"/>
          <w:szCs w:val="20"/>
        </w:rPr>
        <w:t>inteligente</w:t>
      </w:r>
    </w:p>
    <w:p w14:paraId="2A9743D7" w14:textId="7D8F5FCB" w:rsidR="0063732A" w:rsidRPr="006E5CBC" w:rsidRDefault="00F55699" w:rsidP="006E5CBC">
      <w:pPr>
        <w:pStyle w:val="VersoIngls01Sangria"/>
        <w:ind w:left="2124"/>
        <w:rPr>
          <w:sz w:val="16"/>
          <w:szCs w:val="20"/>
        </w:rPr>
      </w:pPr>
      <w:r w:rsidRPr="006E5CBC">
        <w:rPr>
          <w:sz w:val="16"/>
          <w:szCs w:val="20"/>
        </w:rPr>
        <w:t>Dedica</w:t>
      </w:r>
      <w:r w:rsidR="00D12734" w:rsidRPr="006E5CBC">
        <w:rPr>
          <w:sz w:val="16"/>
          <w:szCs w:val="20"/>
        </w:rPr>
        <w:t>rá</w:t>
      </w:r>
      <w:r w:rsidRPr="006E5CBC">
        <w:rPr>
          <w:sz w:val="16"/>
          <w:szCs w:val="20"/>
        </w:rPr>
        <w:t xml:space="preserve"> </w:t>
      </w:r>
      <w:r w:rsidR="0063732A" w:rsidRPr="006E5CBC">
        <w:rPr>
          <w:sz w:val="16"/>
          <w:szCs w:val="20"/>
        </w:rPr>
        <w:t>incansablemente sus días</w:t>
      </w:r>
    </w:p>
    <w:p w14:paraId="0812582A" w14:textId="06BAD9B5" w:rsidR="0063732A" w:rsidRPr="006E5CBC" w:rsidRDefault="00F55699" w:rsidP="006E5CBC">
      <w:pPr>
        <w:pStyle w:val="VersoIngls01Sangria"/>
        <w:ind w:left="2124"/>
        <w:rPr>
          <w:sz w:val="16"/>
          <w:szCs w:val="20"/>
        </w:rPr>
      </w:pPr>
      <w:r w:rsidRPr="006E5CBC">
        <w:rPr>
          <w:sz w:val="16"/>
          <w:szCs w:val="20"/>
        </w:rPr>
        <w:t>En</w:t>
      </w:r>
      <w:r w:rsidR="0063732A" w:rsidRPr="006E5CBC">
        <w:rPr>
          <w:sz w:val="16"/>
          <w:szCs w:val="20"/>
        </w:rPr>
        <w:t xml:space="preserve"> cuidar </w:t>
      </w:r>
      <w:r w:rsidRPr="006E5CBC">
        <w:rPr>
          <w:sz w:val="16"/>
          <w:szCs w:val="20"/>
        </w:rPr>
        <w:t>de esta</w:t>
      </w:r>
      <w:r w:rsidR="0063732A" w:rsidRPr="006E5CBC">
        <w:rPr>
          <w:sz w:val="16"/>
          <w:szCs w:val="20"/>
        </w:rPr>
        <w:t xml:space="preserve"> noble paz, </w:t>
      </w:r>
      <w:r w:rsidR="00D12734" w:rsidRPr="006E5CBC">
        <w:rPr>
          <w:sz w:val="16"/>
          <w:szCs w:val="20"/>
        </w:rPr>
        <w:t xml:space="preserve">la cual </w:t>
      </w:r>
      <w:r w:rsidR="00752A37" w:rsidRPr="006E5CBC">
        <w:rPr>
          <w:sz w:val="16"/>
          <w:szCs w:val="20"/>
        </w:rPr>
        <w:t>podrá</w:t>
      </w:r>
    </w:p>
    <w:p w14:paraId="42CCFA8E" w14:textId="045E2A62" w:rsidR="0063732A" w:rsidRPr="006E5CBC" w:rsidRDefault="0063732A" w:rsidP="006E5CBC">
      <w:pPr>
        <w:pStyle w:val="VersoIngls01Sangria"/>
        <w:spacing w:after="100"/>
        <w:ind w:left="2126"/>
        <w:rPr>
          <w:sz w:val="16"/>
          <w:szCs w:val="20"/>
        </w:rPr>
      </w:pPr>
      <w:r w:rsidRPr="006E5CBC">
        <w:rPr>
          <w:sz w:val="16"/>
          <w:szCs w:val="20"/>
        </w:rPr>
        <w:t>Recomp</w:t>
      </w:r>
      <w:r w:rsidR="00D12734" w:rsidRPr="006E5CBC">
        <w:rPr>
          <w:sz w:val="16"/>
          <w:szCs w:val="20"/>
        </w:rPr>
        <w:t>e</w:t>
      </w:r>
      <w:r w:rsidRPr="006E5CBC">
        <w:rPr>
          <w:sz w:val="16"/>
          <w:szCs w:val="20"/>
        </w:rPr>
        <w:t>ns</w:t>
      </w:r>
      <w:r w:rsidR="00752A37" w:rsidRPr="006E5CBC">
        <w:rPr>
          <w:sz w:val="16"/>
          <w:szCs w:val="20"/>
        </w:rPr>
        <w:t>ar</w:t>
      </w:r>
      <w:r w:rsidRPr="006E5CBC">
        <w:rPr>
          <w:sz w:val="16"/>
          <w:szCs w:val="20"/>
        </w:rPr>
        <w:t>lo de muchas maneras.</w:t>
      </w:r>
    </w:p>
    <w:p w14:paraId="4CB4F55F" w14:textId="4A4C12D7" w:rsidR="0063732A" w:rsidRDefault="00752A37" w:rsidP="0063732A">
      <w:pPr>
        <w:pStyle w:val="NormalConSangria"/>
      </w:pPr>
      <w:r>
        <w:t>É</w:t>
      </w:r>
      <w:r w:rsidR="0063732A">
        <w:t xml:space="preserve">sta es la sección que trata sobre </w:t>
      </w:r>
      <w:r>
        <w:t xml:space="preserve">la evocación </w:t>
      </w:r>
      <w:r w:rsidR="0063732A">
        <w:t xml:space="preserve">de la paz </w:t>
      </w:r>
      <w:r w:rsidR="001376EC">
        <w:t>bajo</w:t>
      </w:r>
      <w:r w:rsidR="0063732A">
        <w:t xml:space="preserve"> </w:t>
      </w:r>
      <w:r>
        <w:t>un</w:t>
      </w:r>
      <w:r w:rsidR="0063732A">
        <w:t>a explicación detallada.</w:t>
      </w:r>
    </w:p>
    <w:p w14:paraId="2491427C" w14:textId="1E25DCBD" w:rsidR="009B1C3E" w:rsidRDefault="000F5AD5" w:rsidP="009B1C3E">
      <w:pPr>
        <w:ind w:left="708" w:right="1043"/>
      </w:pPr>
      <w:r>
        <w:t>Éste ha sido e</w:t>
      </w:r>
      <w:r w:rsidR="0063732A">
        <w:t xml:space="preserve">l octavo capítulo </w:t>
      </w:r>
      <w:r w:rsidR="001376EC">
        <w:t>denominado</w:t>
      </w:r>
      <w:r w:rsidR="0063732A">
        <w:t xml:space="preserve"> “Descripción de l</w:t>
      </w:r>
      <w:r>
        <w:t>a</w:t>
      </w:r>
      <w:r w:rsidR="0063732A">
        <w:t xml:space="preserve">s </w:t>
      </w:r>
      <w:r>
        <w:t xml:space="preserve">Evocaciones </w:t>
      </w:r>
      <w:r w:rsidR="0063732A">
        <w:t xml:space="preserve">como </w:t>
      </w:r>
      <w:r>
        <w:t xml:space="preserve">Objetos </w:t>
      </w:r>
      <w:r w:rsidR="0063732A">
        <w:t xml:space="preserve">de Meditación” </w:t>
      </w:r>
      <w:r w:rsidR="00D515B5">
        <w:t>d</w:t>
      </w:r>
      <w:r w:rsidR="0063732A">
        <w:t xml:space="preserve">el Tratado sobre el Desarrollo de la Concentración </w:t>
      </w:r>
      <w:r w:rsidR="00AF0965">
        <w:t>d</w:t>
      </w:r>
      <w:r w:rsidR="0063732A">
        <w:t xml:space="preserve">el </w:t>
      </w:r>
      <w:r w:rsidR="009B1C3E" w:rsidRPr="009B1C3E">
        <w:rPr>
          <w:i/>
          <w:iCs/>
        </w:rPr>
        <w:t>Sendero</w:t>
      </w:r>
      <w:r w:rsidR="0063732A" w:rsidRPr="009B1C3E">
        <w:rPr>
          <w:i/>
          <w:iCs/>
        </w:rPr>
        <w:t xml:space="preserve"> de Purificación</w:t>
      </w:r>
      <w:r w:rsidR="0063732A">
        <w:t xml:space="preserve"> </w:t>
      </w:r>
      <w:r w:rsidR="00483541">
        <w:t>compuesto para alegría de buenas personas.</w:t>
      </w:r>
    </w:p>
    <w:p w14:paraId="32486408" w14:textId="77777777" w:rsidR="009B1C3E" w:rsidRDefault="009B1C3E" w:rsidP="009B1C3E"/>
    <w:p w14:paraId="0A4C7861" w14:textId="77777777" w:rsidR="009B1C3E" w:rsidRDefault="009B1C3E">
      <w:pPr>
        <w:tabs>
          <w:tab w:val="clear" w:pos="425"/>
        </w:tabs>
        <w:spacing w:after="160"/>
      </w:pPr>
      <w:r>
        <w:br w:type="page"/>
      </w:r>
    </w:p>
    <w:p w14:paraId="423B0080" w14:textId="77777777" w:rsidR="00C75628" w:rsidRDefault="00C75628" w:rsidP="009B1C3E"/>
    <w:p w14:paraId="062CEF6D" w14:textId="77777777" w:rsidR="00C75628" w:rsidRDefault="00C75628" w:rsidP="009B1C3E"/>
    <w:p w14:paraId="1A5EFA12" w14:textId="77777777" w:rsidR="00C75628" w:rsidRDefault="00C75628" w:rsidP="009B1C3E"/>
    <w:p w14:paraId="4374037B" w14:textId="77777777" w:rsidR="00C75628" w:rsidRDefault="00C75628" w:rsidP="009B1C3E"/>
    <w:p w14:paraId="1D4EDAAC" w14:textId="5D4FA62A" w:rsidR="00C75628" w:rsidRDefault="00C75628" w:rsidP="00C75628">
      <w:pPr>
        <w:pStyle w:val="Ttulo2"/>
        <w:jc w:val="center"/>
      </w:pPr>
      <w:r>
        <w:t>Capítulo IX</w:t>
      </w:r>
      <w:r>
        <w:br/>
        <w:t>L</w:t>
      </w:r>
      <w:r w:rsidR="00AC6C78">
        <w:t>o</w:t>
      </w:r>
      <w:r>
        <w:t xml:space="preserve">s </w:t>
      </w:r>
      <w:r w:rsidR="00625616">
        <w:t>Estados</w:t>
      </w:r>
      <w:r>
        <w:t xml:space="preserve"> Divin</w:t>
      </w:r>
      <w:r w:rsidR="00F5111D">
        <w:t>o</w:t>
      </w:r>
      <w:r>
        <w:t>s</w:t>
      </w:r>
    </w:p>
    <w:p w14:paraId="7527BF24" w14:textId="2711796C" w:rsidR="00C75628" w:rsidRDefault="00C75628" w:rsidP="00C75628">
      <w:pPr>
        <w:jc w:val="center"/>
      </w:pPr>
      <w:r>
        <w:br/>
      </w:r>
      <w:r w:rsidRPr="00C75628">
        <w:rPr>
          <w:sz w:val="22"/>
          <w:szCs w:val="28"/>
        </w:rPr>
        <w:t>(</w:t>
      </w:r>
      <w:proofErr w:type="spellStart"/>
      <w:r w:rsidRPr="00C75628">
        <w:rPr>
          <w:i/>
          <w:iCs/>
          <w:sz w:val="22"/>
          <w:szCs w:val="28"/>
        </w:rPr>
        <w:t>Brahmavih</w:t>
      </w:r>
      <w:r>
        <w:rPr>
          <w:i/>
          <w:iCs/>
          <w:sz w:val="22"/>
          <w:szCs w:val="28"/>
        </w:rPr>
        <w:t>ā</w:t>
      </w:r>
      <w:r w:rsidRPr="00C75628">
        <w:rPr>
          <w:i/>
          <w:iCs/>
          <w:sz w:val="22"/>
          <w:szCs w:val="28"/>
        </w:rPr>
        <w:t>ra-niddesa</w:t>
      </w:r>
      <w:proofErr w:type="spellEnd"/>
      <w:r w:rsidRPr="00C75628">
        <w:rPr>
          <w:sz w:val="22"/>
          <w:szCs w:val="28"/>
        </w:rPr>
        <w:t>)</w:t>
      </w:r>
    </w:p>
    <w:p w14:paraId="10DCACEF" w14:textId="7999503E" w:rsidR="00C75628" w:rsidRDefault="00C75628" w:rsidP="00C75628">
      <w:pPr>
        <w:pStyle w:val="Ttulo3"/>
        <w:ind w:left="708"/>
      </w:pPr>
      <w:r>
        <w:t xml:space="preserve">[(1) </w:t>
      </w:r>
      <w:r w:rsidR="00F5111D">
        <w:t>El Amor</w:t>
      </w:r>
      <w:r>
        <w:t>]</w:t>
      </w:r>
    </w:p>
    <w:p w14:paraId="7CE3132E" w14:textId="7D7993F2" w:rsidR="00C75628" w:rsidRDefault="00C75628" w:rsidP="00C75628">
      <w:r>
        <w:t xml:space="preserve">1. </w:t>
      </w:r>
      <w:r>
        <w:tab/>
        <w:t xml:space="preserve">[295] </w:t>
      </w:r>
      <w:r w:rsidR="00AC6C78">
        <w:t xml:space="preserve">Los </w:t>
      </w:r>
      <w:r w:rsidR="009D003B">
        <w:t xml:space="preserve">cuatro </w:t>
      </w:r>
      <w:r w:rsidR="00412EE5">
        <w:t>estados</w:t>
      </w:r>
      <w:r w:rsidR="009D003B">
        <w:t xml:space="preserve"> divinos </w:t>
      </w:r>
      <w:r>
        <w:t>fueron mencionadas junto</w:t>
      </w:r>
      <w:r w:rsidR="0024587A">
        <w:t>s</w:t>
      </w:r>
      <w:r>
        <w:t xml:space="preserve"> a l</w:t>
      </w:r>
      <w:r w:rsidR="00322DEC">
        <w:t>as</w:t>
      </w:r>
      <w:r>
        <w:t xml:space="preserve"> </w:t>
      </w:r>
      <w:r w:rsidR="00322DEC">
        <w:t>evocaciones</w:t>
      </w:r>
      <w:r>
        <w:t xml:space="preserve"> como </w:t>
      </w:r>
      <w:r w:rsidR="00322DEC">
        <w:t xml:space="preserve">objetos </w:t>
      </w:r>
      <w:r>
        <w:t xml:space="preserve">de meditación (III.105). </w:t>
      </w:r>
      <w:r w:rsidR="00322DEC">
        <w:t xml:space="preserve">Estos son </w:t>
      </w:r>
      <w:r w:rsidR="00D105E9">
        <w:t xml:space="preserve">el </w:t>
      </w:r>
      <w:r w:rsidR="00D105E9" w:rsidRPr="00D105E9">
        <w:rPr>
          <w:i/>
          <w:iCs/>
        </w:rPr>
        <w:t>amor–benevolente</w:t>
      </w:r>
      <w:r>
        <w:t xml:space="preserve">, </w:t>
      </w:r>
      <w:r w:rsidR="00322DEC">
        <w:t xml:space="preserve">la </w:t>
      </w:r>
      <w:r w:rsidRPr="00226DEC">
        <w:rPr>
          <w:i/>
          <w:iCs/>
        </w:rPr>
        <w:t>compasión</w:t>
      </w:r>
      <w:r>
        <w:t xml:space="preserve">, </w:t>
      </w:r>
      <w:r w:rsidR="00322DEC">
        <w:t xml:space="preserve">la </w:t>
      </w:r>
      <w:r w:rsidRPr="00226DEC">
        <w:rPr>
          <w:i/>
          <w:iCs/>
        </w:rPr>
        <w:t xml:space="preserve">alegría </w:t>
      </w:r>
      <w:r w:rsidR="00AE41BB" w:rsidRPr="00226DEC">
        <w:rPr>
          <w:i/>
          <w:iCs/>
        </w:rPr>
        <w:t>altruista</w:t>
      </w:r>
      <w:r w:rsidR="00AE41BB">
        <w:t xml:space="preserve"> </w:t>
      </w:r>
      <w:r>
        <w:t xml:space="preserve">y </w:t>
      </w:r>
      <w:r w:rsidR="00322DEC">
        <w:t xml:space="preserve">la </w:t>
      </w:r>
      <w:r w:rsidRPr="00226DEC">
        <w:rPr>
          <w:i/>
          <w:iCs/>
        </w:rPr>
        <w:t>ecuanimidad</w:t>
      </w:r>
      <w:r>
        <w:t xml:space="preserve">. </w:t>
      </w:r>
      <w:r w:rsidR="0049642E">
        <w:t xml:space="preserve">Un </w:t>
      </w:r>
      <w:r>
        <w:t xml:space="preserve">meditador que quiera desarrollar </w:t>
      </w:r>
      <w:r w:rsidR="0049642E">
        <w:t xml:space="preserve">el </w:t>
      </w:r>
      <w:r>
        <w:t xml:space="preserve">primero </w:t>
      </w:r>
      <w:r w:rsidR="0049642E">
        <w:t xml:space="preserve">de estos, </w:t>
      </w:r>
      <w:r w:rsidR="003113E6">
        <w:t>la transmisión d</w:t>
      </w:r>
      <w:r w:rsidR="0082231D">
        <w:t xml:space="preserve">el </w:t>
      </w:r>
      <w:r w:rsidR="0082231D" w:rsidRPr="0082231D">
        <w:rPr>
          <w:i/>
          <w:iCs/>
        </w:rPr>
        <w:t>amor–benevolente</w:t>
      </w:r>
      <w:r>
        <w:t>, si es un principiante, debe</w:t>
      </w:r>
      <w:r w:rsidR="0049642E">
        <w:t>rá</w:t>
      </w:r>
      <w:r>
        <w:t xml:space="preserve"> eliminar los impedimentos y aprender el </w:t>
      </w:r>
      <w:r w:rsidR="001302B8">
        <w:t xml:space="preserve">objeto </w:t>
      </w:r>
      <w:r>
        <w:t xml:space="preserve">de meditación. Luego, cuando haya </w:t>
      </w:r>
      <w:r w:rsidR="00080522">
        <w:t>realizado</w:t>
      </w:r>
      <w:r>
        <w:t xml:space="preserve"> el trabajo relacionado con la comida y se haya librado de cualquier </w:t>
      </w:r>
      <w:r w:rsidR="00CE7AD9">
        <w:t>modorra</w:t>
      </w:r>
      <w:r>
        <w:t xml:space="preserve"> debido a ello, debe</w:t>
      </w:r>
      <w:r w:rsidR="00CE7AD9">
        <w:t>rá</w:t>
      </w:r>
      <w:r>
        <w:t xml:space="preserve"> sentarse cómodamente en un asiento bien preparado en un lugar apartado. Para empezar, deber</w:t>
      </w:r>
      <w:r w:rsidR="00CE7AD9">
        <w:t>á</w:t>
      </w:r>
      <w:r>
        <w:t xml:space="preserve"> </w:t>
      </w:r>
      <w:r w:rsidR="00B669D4">
        <w:t xml:space="preserve">examinar </w:t>
      </w:r>
      <w:r w:rsidR="00CE7AD9">
        <w:t xml:space="preserve">los </w:t>
      </w:r>
      <w:r>
        <w:t>peligro</w:t>
      </w:r>
      <w:r w:rsidR="00CE7AD9">
        <w:t>s</w:t>
      </w:r>
      <w:r>
        <w:t xml:space="preserve"> </w:t>
      </w:r>
      <w:r w:rsidR="00080522">
        <w:t>d</w:t>
      </w:r>
      <w:r>
        <w:t>el odio y la</w:t>
      </w:r>
      <w:r w:rsidR="00CE7AD9">
        <w:t>s</w:t>
      </w:r>
      <w:r>
        <w:t xml:space="preserve"> ventaja</w:t>
      </w:r>
      <w:r w:rsidR="00CE7AD9">
        <w:t>s</w:t>
      </w:r>
      <w:r>
        <w:t xml:space="preserve"> </w:t>
      </w:r>
      <w:r w:rsidR="00080522">
        <w:t>de</w:t>
      </w:r>
      <w:r>
        <w:t xml:space="preserve"> la paciencia.</w:t>
      </w:r>
    </w:p>
    <w:p w14:paraId="2E63BB0E" w14:textId="2FA2A0C9" w:rsidR="00C75628" w:rsidRDefault="00C75628" w:rsidP="00C75628">
      <w:r>
        <w:t xml:space="preserve">2. </w:t>
      </w:r>
      <w:r>
        <w:tab/>
        <w:t xml:space="preserve">¿Por qué? Porque el odio </w:t>
      </w:r>
      <w:r w:rsidR="00DA77BF">
        <w:t xml:space="preserve">tendrá </w:t>
      </w:r>
      <w:r>
        <w:t xml:space="preserve">que ser abandonado y la paciencia </w:t>
      </w:r>
      <w:r w:rsidR="00080522">
        <w:t>desarrollada</w:t>
      </w:r>
      <w:r>
        <w:t xml:space="preserve"> en el desarrollo de este </w:t>
      </w:r>
      <w:r w:rsidR="00DA77BF">
        <w:t xml:space="preserve">objeto </w:t>
      </w:r>
      <w:r>
        <w:t xml:space="preserve">de meditación, y él no </w:t>
      </w:r>
      <w:r w:rsidR="009C3D81">
        <w:t xml:space="preserve">podrá </w:t>
      </w:r>
      <w:r>
        <w:t xml:space="preserve">abandonar peligros </w:t>
      </w:r>
      <w:r w:rsidR="00A67D58">
        <w:t>que no pueda ver</w:t>
      </w:r>
      <w:r>
        <w:t xml:space="preserve"> </w:t>
      </w:r>
      <w:r w:rsidR="00A67D58">
        <w:t>ni</w:t>
      </w:r>
      <w:r>
        <w:t xml:space="preserve"> alcanzar ventajas </w:t>
      </w:r>
      <w:r w:rsidR="00A67D58">
        <w:t>que desconozca</w:t>
      </w:r>
      <w:r>
        <w:t>.</w:t>
      </w:r>
    </w:p>
    <w:p w14:paraId="430BDEEE" w14:textId="434B4A8D" w:rsidR="00C75628" w:rsidRDefault="00C75628" w:rsidP="00C75628">
      <w:pPr>
        <w:pStyle w:val="NormalConSangria"/>
      </w:pPr>
      <w:r>
        <w:t xml:space="preserve">Ahora bien, el peligro del odio debe </w:t>
      </w:r>
      <w:r w:rsidR="00DE6971">
        <w:t xml:space="preserve">analizarse </w:t>
      </w:r>
      <w:proofErr w:type="gramStart"/>
      <w:r>
        <w:t xml:space="preserve">de acuerdo </w:t>
      </w:r>
      <w:r w:rsidR="00E6000A">
        <w:t>a</w:t>
      </w:r>
      <w:proofErr w:type="gramEnd"/>
      <w:r w:rsidR="00E6000A">
        <w:t xml:space="preserve"> </w:t>
      </w:r>
      <w:r w:rsidRPr="00E6000A">
        <w:rPr>
          <w:i/>
          <w:iCs/>
        </w:rPr>
        <w:t>suttas</w:t>
      </w:r>
      <w:r>
        <w:t xml:space="preserve"> como </w:t>
      </w:r>
      <w:r w:rsidR="00DE6971">
        <w:t>é</w:t>
      </w:r>
      <w:r>
        <w:t>ste: “Amigos, cuando un hombre odia, es pres</w:t>
      </w:r>
      <w:r w:rsidR="00DE6971">
        <w:t>o</w:t>
      </w:r>
      <w:r>
        <w:t xml:space="preserve"> del odio y su mente </w:t>
      </w:r>
      <w:r w:rsidR="00DE6971">
        <w:t xml:space="preserve">se </w:t>
      </w:r>
      <w:r>
        <w:t xml:space="preserve">obsesiona </w:t>
      </w:r>
      <w:r w:rsidR="00DE6971">
        <w:t xml:space="preserve">con </w:t>
      </w:r>
      <w:r>
        <w:t xml:space="preserve">el odio, mata seres vivos y…” (A I 216). Y la ventaja de la paciencia debe entenderse </w:t>
      </w:r>
      <w:proofErr w:type="gramStart"/>
      <w:r>
        <w:t xml:space="preserve">de acuerdo </w:t>
      </w:r>
      <w:r w:rsidR="00D97829">
        <w:t>a</w:t>
      </w:r>
      <w:proofErr w:type="gramEnd"/>
      <w:r>
        <w:t xml:space="preserve"> </w:t>
      </w:r>
      <w:r w:rsidRPr="00D97829">
        <w:rPr>
          <w:i/>
          <w:iCs/>
        </w:rPr>
        <w:t>suttas</w:t>
      </w:r>
      <w:r>
        <w:t xml:space="preserve"> como estos:</w:t>
      </w:r>
    </w:p>
    <w:p w14:paraId="397417F1" w14:textId="104BB992" w:rsidR="00C75628" w:rsidRPr="00D11F08" w:rsidRDefault="00C75628" w:rsidP="00C75628">
      <w:pPr>
        <w:pStyle w:val="VersoIngls01Sangria"/>
        <w:rPr>
          <w:sz w:val="16"/>
          <w:szCs w:val="20"/>
        </w:rPr>
      </w:pPr>
      <w:r w:rsidRPr="00D11F08">
        <w:rPr>
          <w:sz w:val="16"/>
          <w:szCs w:val="20"/>
        </w:rPr>
        <w:t xml:space="preserve">“No hay regla más </w:t>
      </w:r>
      <w:r w:rsidR="00D97829" w:rsidRPr="00D11F08">
        <w:rPr>
          <w:sz w:val="16"/>
          <w:szCs w:val="20"/>
        </w:rPr>
        <w:t>elevada</w:t>
      </w:r>
      <w:r w:rsidRPr="00D11F08">
        <w:rPr>
          <w:sz w:val="16"/>
          <w:szCs w:val="20"/>
        </w:rPr>
        <w:t xml:space="preserve">, dicen los </w:t>
      </w:r>
      <w:r w:rsidR="00057BF4" w:rsidRPr="00D11F08">
        <w:rPr>
          <w:i/>
          <w:sz w:val="16"/>
          <w:szCs w:val="20"/>
        </w:rPr>
        <w:t>Buddha</w:t>
      </w:r>
      <w:r w:rsidRPr="00D11F08">
        <w:rPr>
          <w:sz w:val="16"/>
          <w:szCs w:val="20"/>
        </w:rPr>
        <w:t>s, que la paciencia,</w:t>
      </w:r>
    </w:p>
    <w:p w14:paraId="35C75D55" w14:textId="5E1428C9" w:rsidR="00C75628" w:rsidRPr="00D11F08" w:rsidRDefault="00C75628" w:rsidP="00D23C1F">
      <w:pPr>
        <w:pStyle w:val="VersoIngls01Sangria"/>
        <w:spacing w:after="80"/>
        <w:ind w:left="1418"/>
        <w:rPr>
          <w:sz w:val="16"/>
          <w:szCs w:val="20"/>
        </w:rPr>
      </w:pPr>
      <w:r w:rsidRPr="00D11F08">
        <w:rPr>
          <w:sz w:val="16"/>
          <w:szCs w:val="20"/>
        </w:rPr>
        <w:t xml:space="preserve">Y ningún </w:t>
      </w:r>
      <w:r w:rsidRPr="00D11F08">
        <w:rPr>
          <w:i/>
          <w:iCs/>
          <w:sz w:val="16"/>
          <w:szCs w:val="20"/>
        </w:rPr>
        <w:t>Nibbāna</w:t>
      </w:r>
      <w:r w:rsidRPr="00D11F08">
        <w:rPr>
          <w:sz w:val="16"/>
          <w:szCs w:val="20"/>
        </w:rPr>
        <w:t xml:space="preserve"> más </w:t>
      </w:r>
      <w:r w:rsidR="006A4F30" w:rsidRPr="00D11F08">
        <w:rPr>
          <w:sz w:val="16"/>
          <w:szCs w:val="20"/>
        </w:rPr>
        <w:t xml:space="preserve">elevado </w:t>
      </w:r>
      <w:r w:rsidRPr="00D11F08">
        <w:rPr>
          <w:sz w:val="16"/>
          <w:szCs w:val="20"/>
        </w:rPr>
        <w:t xml:space="preserve">que la paciencia” (D II 49; </w:t>
      </w:r>
      <w:proofErr w:type="spellStart"/>
      <w:r w:rsidRPr="00D11F08">
        <w:rPr>
          <w:sz w:val="16"/>
          <w:szCs w:val="20"/>
        </w:rPr>
        <w:t>Dhp</w:t>
      </w:r>
      <w:proofErr w:type="spellEnd"/>
      <w:r w:rsidRPr="00D11F08">
        <w:rPr>
          <w:sz w:val="16"/>
          <w:szCs w:val="20"/>
        </w:rPr>
        <w:t xml:space="preserve"> 184);</w:t>
      </w:r>
    </w:p>
    <w:p w14:paraId="3C54451E" w14:textId="4B18D6C5" w:rsidR="00C75628" w:rsidRPr="00D11F08" w:rsidRDefault="00C75628" w:rsidP="00C75628">
      <w:pPr>
        <w:pStyle w:val="VersoIngls01Sangria"/>
        <w:rPr>
          <w:sz w:val="16"/>
          <w:szCs w:val="20"/>
        </w:rPr>
      </w:pPr>
      <w:r w:rsidRPr="00D11F08">
        <w:rPr>
          <w:sz w:val="16"/>
          <w:szCs w:val="20"/>
        </w:rPr>
        <w:t>“</w:t>
      </w:r>
      <w:r w:rsidR="006A4F30" w:rsidRPr="00D11F08">
        <w:rPr>
          <w:sz w:val="16"/>
          <w:szCs w:val="20"/>
        </w:rPr>
        <w:t xml:space="preserve">La </w:t>
      </w:r>
      <w:r w:rsidRPr="00D11F08">
        <w:rPr>
          <w:sz w:val="16"/>
          <w:szCs w:val="20"/>
        </w:rPr>
        <w:t xml:space="preserve">Paciencia en vigor, en </w:t>
      </w:r>
      <w:r w:rsidR="004B58B5" w:rsidRPr="00D11F08">
        <w:rPr>
          <w:sz w:val="16"/>
          <w:szCs w:val="20"/>
        </w:rPr>
        <w:t xml:space="preserve">un gran </w:t>
      </w:r>
      <w:r w:rsidRPr="00D11F08">
        <w:rPr>
          <w:sz w:val="16"/>
          <w:szCs w:val="20"/>
        </w:rPr>
        <w:t>orden:</w:t>
      </w:r>
    </w:p>
    <w:p w14:paraId="07EC756E" w14:textId="2B0E238B" w:rsidR="00C75628" w:rsidRPr="00D11F08" w:rsidRDefault="00D25BAE" w:rsidP="00D23C1F">
      <w:pPr>
        <w:pStyle w:val="VersoIngls01Sangria"/>
        <w:spacing w:after="80"/>
        <w:ind w:left="1418"/>
        <w:rPr>
          <w:sz w:val="16"/>
          <w:szCs w:val="20"/>
        </w:rPr>
      </w:pPr>
      <w:r w:rsidRPr="00D11F08">
        <w:rPr>
          <w:sz w:val="16"/>
          <w:szCs w:val="20"/>
        </w:rPr>
        <w:t xml:space="preserve">A </w:t>
      </w:r>
      <w:r w:rsidR="00C75628" w:rsidRPr="00D11F08">
        <w:rPr>
          <w:sz w:val="16"/>
          <w:szCs w:val="20"/>
        </w:rPr>
        <w:t xml:space="preserve">quien </w:t>
      </w:r>
      <w:r w:rsidRPr="00D11F08">
        <w:rPr>
          <w:sz w:val="16"/>
          <w:szCs w:val="20"/>
        </w:rPr>
        <w:t xml:space="preserve">la posea </w:t>
      </w:r>
      <w:r w:rsidR="00C75628" w:rsidRPr="00D11F08">
        <w:rPr>
          <w:sz w:val="16"/>
          <w:szCs w:val="20"/>
        </w:rPr>
        <w:t xml:space="preserve">llamo </w:t>
      </w:r>
      <w:proofErr w:type="spellStart"/>
      <w:r w:rsidR="00C75628" w:rsidRPr="00D11F08">
        <w:rPr>
          <w:i/>
          <w:iCs/>
          <w:sz w:val="16"/>
          <w:szCs w:val="20"/>
        </w:rPr>
        <w:t>brahm</w:t>
      </w:r>
      <w:r w:rsidR="006A4F30" w:rsidRPr="00D11F08">
        <w:rPr>
          <w:i/>
          <w:iCs/>
          <w:sz w:val="16"/>
          <w:szCs w:val="20"/>
        </w:rPr>
        <w:t>a</w:t>
      </w:r>
      <w:r w:rsidR="00C75628" w:rsidRPr="00D11F08">
        <w:rPr>
          <w:i/>
          <w:iCs/>
          <w:sz w:val="16"/>
          <w:szCs w:val="20"/>
        </w:rPr>
        <w:t>n</w:t>
      </w:r>
      <w:proofErr w:type="spellEnd"/>
      <w:r w:rsidR="00C75628" w:rsidRPr="00D11F08">
        <w:rPr>
          <w:sz w:val="16"/>
          <w:szCs w:val="20"/>
        </w:rPr>
        <w:t>” (</w:t>
      </w:r>
      <w:proofErr w:type="spellStart"/>
      <w:r w:rsidR="00C75628" w:rsidRPr="00D11F08">
        <w:rPr>
          <w:sz w:val="16"/>
          <w:szCs w:val="20"/>
        </w:rPr>
        <w:t>Dhp</w:t>
      </w:r>
      <w:proofErr w:type="spellEnd"/>
      <w:r w:rsidR="00C75628" w:rsidRPr="00D11F08">
        <w:rPr>
          <w:sz w:val="16"/>
          <w:szCs w:val="20"/>
        </w:rPr>
        <w:t xml:space="preserve"> 399);</w:t>
      </w:r>
    </w:p>
    <w:p w14:paraId="1561B529" w14:textId="405E87BE" w:rsidR="00C75628" w:rsidRPr="00D11F08" w:rsidRDefault="00C75628" w:rsidP="00C75628">
      <w:pPr>
        <w:pStyle w:val="VersoIngls01Sangria"/>
        <w:spacing w:after="100"/>
        <w:ind w:left="1418"/>
        <w:rPr>
          <w:sz w:val="16"/>
          <w:szCs w:val="20"/>
        </w:rPr>
      </w:pPr>
      <w:r w:rsidRPr="00D11F08">
        <w:rPr>
          <w:sz w:val="16"/>
          <w:szCs w:val="20"/>
        </w:rPr>
        <w:t xml:space="preserve">“No existe </w:t>
      </w:r>
      <w:r w:rsidR="00540FDB" w:rsidRPr="00D11F08">
        <w:rPr>
          <w:sz w:val="16"/>
          <w:szCs w:val="20"/>
        </w:rPr>
        <w:t xml:space="preserve">nada </w:t>
      </w:r>
      <w:r w:rsidRPr="00D11F08">
        <w:rPr>
          <w:sz w:val="16"/>
          <w:szCs w:val="20"/>
        </w:rPr>
        <w:t>más grande que la paciencia” (S I 222).</w:t>
      </w:r>
    </w:p>
    <w:p w14:paraId="606FA236" w14:textId="5415FF10" w:rsidR="00C75628" w:rsidRDefault="00C75628" w:rsidP="00C75628">
      <w:r>
        <w:t xml:space="preserve">3. </w:t>
      </w:r>
      <w:r>
        <w:tab/>
        <w:t>Acto seguido, debe</w:t>
      </w:r>
      <w:r w:rsidR="00D11F08">
        <w:t>rá</w:t>
      </w:r>
      <w:r>
        <w:t xml:space="preserve"> </w:t>
      </w:r>
      <w:r w:rsidR="00BE73C1">
        <w:t>emprender</w:t>
      </w:r>
      <w:r>
        <w:t xml:space="preserve"> el desarrollo de</w:t>
      </w:r>
      <w:r w:rsidR="00BE73C1">
        <w:t xml:space="preserve">l </w:t>
      </w:r>
      <w:r w:rsidR="0082231D" w:rsidRPr="0082231D">
        <w:rPr>
          <w:i/>
          <w:iCs/>
        </w:rPr>
        <w:t>amor–benevolente</w:t>
      </w:r>
      <w:r w:rsidR="0082231D">
        <w:t xml:space="preserve"> </w:t>
      </w:r>
      <w:r>
        <w:t xml:space="preserve">con el propósito de apartar </w:t>
      </w:r>
      <w:r w:rsidR="00C10628">
        <w:t xml:space="preserve">a </w:t>
      </w:r>
      <w:r>
        <w:t xml:space="preserve">la mente del odio </w:t>
      </w:r>
      <w:r w:rsidR="00086898">
        <w:t>percibiéndolo</w:t>
      </w:r>
      <w:r>
        <w:t xml:space="preserve"> como un peligro e introducir </w:t>
      </w:r>
      <w:r w:rsidR="00C10628">
        <w:t xml:space="preserve">a </w:t>
      </w:r>
      <w:r>
        <w:t>la paciencia como una ventaja.</w:t>
      </w:r>
    </w:p>
    <w:p w14:paraId="35AED3ED" w14:textId="24F002E5" w:rsidR="00C75628" w:rsidRDefault="00C75628" w:rsidP="00C75628">
      <w:pPr>
        <w:pStyle w:val="NormalConSangria"/>
      </w:pPr>
      <w:r>
        <w:t>Pero cuando comien</w:t>
      </w:r>
      <w:r w:rsidR="00086898">
        <w:t>ce</w:t>
      </w:r>
      <w:r>
        <w:t>, debe</w:t>
      </w:r>
      <w:r w:rsidR="00086898">
        <w:t>rá</w:t>
      </w:r>
      <w:r>
        <w:t xml:space="preserve"> </w:t>
      </w:r>
      <w:r w:rsidR="00D23771">
        <w:t>tener en cuenta</w:t>
      </w:r>
      <w:r>
        <w:t xml:space="preserve"> que</w:t>
      </w:r>
      <w:r w:rsidR="00D23771">
        <w:t>,</w:t>
      </w:r>
      <w:r>
        <w:t xml:space="preserve"> </w:t>
      </w:r>
      <w:r w:rsidR="00D23771">
        <w:t xml:space="preserve">al principio, </w:t>
      </w:r>
      <w:r>
        <w:t xml:space="preserve">algunas personas </w:t>
      </w:r>
      <w:r w:rsidR="002920E1">
        <w:t>corresponderán a</w:t>
      </w:r>
      <w:r>
        <w:t xml:space="preserve"> </w:t>
      </w:r>
      <w:r w:rsidR="002920E1">
        <w:t>un</w:t>
      </w:r>
      <w:r>
        <w:t xml:space="preserve">a clase </w:t>
      </w:r>
      <w:r w:rsidR="00086898">
        <w:t xml:space="preserve">incorrecta </w:t>
      </w:r>
      <w:r>
        <w:t xml:space="preserve">y que </w:t>
      </w:r>
      <w:r w:rsidR="00086898">
        <w:t xml:space="preserve">el </w:t>
      </w:r>
      <w:r w:rsidR="0082231D" w:rsidRPr="0082231D">
        <w:rPr>
          <w:i/>
          <w:iCs/>
        </w:rPr>
        <w:t>amor–benevolente</w:t>
      </w:r>
      <w:r w:rsidR="00086898">
        <w:t xml:space="preserve"> </w:t>
      </w:r>
      <w:r>
        <w:t>debe</w:t>
      </w:r>
      <w:r w:rsidR="002920E1">
        <w:t>rá</w:t>
      </w:r>
      <w:r>
        <w:t xml:space="preserve"> desarrollarse hacia ciertas clases de personas</w:t>
      </w:r>
      <w:r w:rsidR="00386A28">
        <w:t xml:space="preserve"> y</w:t>
      </w:r>
      <w:r>
        <w:t xml:space="preserve"> no hacia otras clases</w:t>
      </w:r>
      <w:r w:rsidR="00503FD6">
        <w:t xml:space="preserve"> de personas</w:t>
      </w:r>
      <w:r w:rsidR="00386A28">
        <w:t>,</w:t>
      </w:r>
      <w:r w:rsidR="00386A28" w:rsidRPr="00386A28">
        <w:t xml:space="preserve"> </w:t>
      </w:r>
      <w:r w:rsidR="00386A28">
        <w:t>al principio</w:t>
      </w:r>
      <w:r>
        <w:t>. [296]</w:t>
      </w:r>
    </w:p>
    <w:p w14:paraId="5C9E5F4A" w14:textId="28CB9598" w:rsidR="00C75628" w:rsidRDefault="00C75628" w:rsidP="00C75628">
      <w:r>
        <w:t xml:space="preserve">4. </w:t>
      </w:r>
      <w:r>
        <w:tab/>
      </w:r>
      <w:r w:rsidR="00503FD6">
        <w:t xml:space="preserve">Ya </w:t>
      </w:r>
      <w:r>
        <w:t xml:space="preserve">que </w:t>
      </w:r>
      <w:r w:rsidR="00503FD6">
        <w:t>e</w:t>
      </w:r>
      <w:r>
        <w:t xml:space="preserve">l </w:t>
      </w:r>
      <w:r w:rsidR="0082231D" w:rsidRPr="0082231D">
        <w:rPr>
          <w:i/>
          <w:iCs/>
        </w:rPr>
        <w:t>amor–benevolente</w:t>
      </w:r>
      <w:r>
        <w:t xml:space="preserve"> no debe</w:t>
      </w:r>
      <w:r w:rsidR="00D9675C">
        <w:t>r</w:t>
      </w:r>
      <w:r w:rsidR="00386A28">
        <w:t>á</w:t>
      </w:r>
      <w:r>
        <w:t xml:space="preserve"> desarrollarse</w:t>
      </w:r>
      <w:r w:rsidR="00D9675C">
        <w:t>,</w:t>
      </w:r>
      <w:r>
        <w:t xml:space="preserve"> al principio</w:t>
      </w:r>
      <w:r w:rsidR="00D9675C">
        <w:t>,</w:t>
      </w:r>
      <w:r>
        <w:t xml:space="preserve"> hacia los siguientes cuatro tipos de personas: una persona antipática, un amigo muy </w:t>
      </w:r>
      <w:r w:rsidR="00D9675C">
        <w:t>estimado</w:t>
      </w:r>
      <w:r>
        <w:t>, una persona neutral y una persona hostil. Tampoco debe</w:t>
      </w:r>
      <w:r w:rsidR="009635CF">
        <w:t>ría</w:t>
      </w:r>
      <w:r>
        <w:t xml:space="preserve"> desarrollarse específicamente (ver §49) hacia el sexo opuesto, o hacia una persona muerta.</w:t>
      </w:r>
    </w:p>
    <w:p w14:paraId="6C9B981E" w14:textId="77777777" w:rsidR="00C75628" w:rsidRDefault="00C75628">
      <w:pPr>
        <w:tabs>
          <w:tab w:val="clear" w:pos="425"/>
        </w:tabs>
        <w:spacing w:after="160"/>
      </w:pPr>
      <w:r>
        <w:br w:type="page"/>
      </w:r>
    </w:p>
    <w:p w14:paraId="1149EA80" w14:textId="422D5750" w:rsidR="00C75628" w:rsidRDefault="00F9793E" w:rsidP="00C75628">
      <w:r>
        <w:lastRenderedPageBreak/>
        <w:br/>
      </w:r>
    </w:p>
    <w:p w14:paraId="583D809C" w14:textId="6B289797" w:rsidR="00F77A3C" w:rsidRDefault="00F77A3C" w:rsidP="00F77A3C">
      <w:r>
        <w:t xml:space="preserve">5. </w:t>
      </w:r>
      <w:r>
        <w:tab/>
        <w:t>¿Cuál es la razón por la cual no debe desarrollarse</w:t>
      </w:r>
      <w:r w:rsidR="00DF1AA4">
        <w:t xml:space="preserve"> </w:t>
      </w:r>
      <w:r w:rsidR="0082231D" w:rsidRPr="0082231D">
        <w:rPr>
          <w:i/>
          <w:iCs/>
        </w:rPr>
        <w:t>amor–benevolente</w:t>
      </w:r>
      <w:r w:rsidR="009635CF">
        <w:t>,</w:t>
      </w:r>
      <w:r>
        <w:t xml:space="preserve"> </w:t>
      </w:r>
      <w:r w:rsidR="009635CF">
        <w:t>al</w:t>
      </w:r>
      <w:r>
        <w:t xml:space="preserve"> principio</w:t>
      </w:r>
      <w:r w:rsidR="009635CF">
        <w:t>,</w:t>
      </w:r>
      <w:r>
        <w:t xml:space="preserve"> hacia una persona antipática y </w:t>
      </w:r>
      <w:r w:rsidR="00DF1AA4">
        <w:t>las restantes</w:t>
      </w:r>
      <w:r>
        <w:t xml:space="preserve">? Poner a una persona antipática en el lugar de una persona querida es </w:t>
      </w:r>
      <w:r w:rsidR="005B1269">
        <w:t>difícil</w:t>
      </w:r>
      <w:r>
        <w:t xml:space="preserve">. Poner a un amigo muy querido en el lugar de una persona neutral es </w:t>
      </w:r>
      <w:r w:rsidR="005B1269">
        <w:t>difícil</w:t>
      </w:r>
      <w:r>
        <w:t>; y si la menor desgracia le suced</w:t>
      </w:r>
      <w:r w:rsidR="005B1269">
        <w:t>iera</w:t>
      </w:r>
      <w:r>
        <w:t xml:space="preserve"> al amigo, </w:t>
      </w:r>
      <w:r w:rsidR="005B1269">
        <w:t xml:space="preserve">uno </w:t>
      </w:r>
      <w:r w:rsidR="00431117">
        <w:t>podría tener</w:t>
      </w:r>
      <w:r w:rsidR="005B1269">
        <w:t xml:space="preserve"> </w:t>
      </w:r>
      <w:r>
        <w:t xml:space="preserve">ganas de llorar. Poner a una persona neutral en el lugar de alguien respetado o querido es </w:t>
      </w:r>
      <w:r w:rsidR="001A25D0">
        <w:t>difícil</w:t>
      </w:r>
      <w:r>
        <w:t>. La ira brota</w:t>
      </w:r>
      <w:r w:rsidR="001A25D0">
        <w:t>rá</w:t>
      </w:r>
      <w:r>
        <w:t xml:space="preserve"> en él si </w:t>
      </w:r>
      <w:r w:rsidR="001A25D0">
        <w:t>a</w:t>
      </w:r>
      <w:r>
        <w:t xml:space="preserve">cuerda </w:t>
      </w:r>
      <w:r w:rsidR="001A25D0">
        <w:t>de</w:t>
      </w:r>
      <w:r>
        <w:t xml:space="preserve"> una persona hostil. Por e</w:t>
      </w:r>
      <w:r w:rsidR="00431117">
        <w:t>ll</w:t>
      </w:r>
      <w:r>
        <w:t xml:space="preserve">o no se debe </w:t>
      </w:r>
      <w:r w:rsidR="005E74F2">
        <w:t xml:space="preserve">transmitir </w:t>
      </w:r>
      <w:r w:rsidR="0082231D" w:rsidRPr="0082231D">
        <w:rPr>
          <w:i/>
          <w:iCs/>
        </w:rPr>
        <w:t>amor–benevolente</w:t>
      </w:r>
      <w:r w:rsidR="001A25D0">
        <w:t>,</w:t>
      </w:r>
      <w:r>
        <w:t xml:space="preserve"> </w:t>
      </w:r>
      <w:r w:rsidR="001A25D0">
        <w:t xml:space="preserve">al </w:t>
      </w:r>
      <w:r>
        <w:t>principio</w:t>
      </w:r>
      <w:r w:rsidR="001A25D0">
        <w:t>,</w:t>
      </w:r>
      <w:r>
        <w:t xml:space="preserve"> hacia una persona antipática y </w:t>
      </w:r>
      <w:r w:rsidR="005E74F2">
        <w:t xml:space="preserve">hacia </w:t>
      </w:r>
      <w:r w:rsidR="001A25D0">
        <w:t>las restantes</w:t>
      </w:r>
      <w:r>
        <w:t>.</w:t>
      </w:r>
    </w:p>
    <w:p w14:paraId="4A7BD449" w14:textId="1EC3238C" w:rsidR="00F77A3C" w:rsidRDefault="00F77A3C" w:rsidP="00F77A3C">
      <w:r>
        <w:t xml:space="preserve">6. </w:t>
      </w:r>
      <w:r>
        <w:tab/>
      </w:r>
      <w:r w:rsidR="009263F7">
        <w:t>Ahora bien</w:t>
      </w:r>
      <w:r>
        <w:t xml:space="preserve">, si </w:t>
      </w:r>
      <w:r w:rsidR="00B97C75">
        <w:t xml:space="preserve">se </w:t>
      </w:r>
      <w:r>
        <w:t>desarrolla</w:t>
      </w:r>
      <w:r w:rsidR="00B97C75">
        <w:t>ra</w:t>
      </w:r>
      <w:r>
        <w:t xml:space="preserve"> </w:t>
      </w:r>
      <w:r w:rsidR="0082231D" w:rsidRPr="0082231D">
        <w:rPr>
          <w:i/>
          <w:iCs/>
        </w:rPr>
        <w:t>amor–benevolente</w:t>
      </w:r>
      <w:r w:rsidR="009263F7">
        <w:t xml:space="preserve"> </w:t>
      </w:r>
      <w:r>
        <w:t xml:space="preserve">específicamente hacia </w:t>
      </w:r>
      <w:r w:rsidR="009263F7">
        <w:t>alguien d</w:t>
      </w:r>
      <w:r>
        <w:t>el sexo opuesto, brota</w:t>
      </w:r>
      <w:r w:rsidR="009263F7">
        <w:t>rá</w:t>
      </w:r>
      <w:r>
        <w:t xml:space="preserve"> en él </w:t>
      </w:r>
      <w:r w:rsidR="005E74F2">
        <w:t>la pasión</w:t>
      </w:r>
      <w:r w:rsidR="00991BDC">
        <w:t>,</w:t>
      </w:r>
      <w:r w:rsidR="00B97C75">
        <w:t xml:space="preserve"> inspirada en esa persona</w:t>
      </w:r>
      <w:r>
        <w:t xml:space="preserve">. Al parecer, el hijo de un amigo le preguntó a un </w:t>
      </w:r>
      <w:r w:rsidR="0004449B">
        <w:t xml:space="preserve">Venerable </w:t>
      </w:r>
      <w:r>
        <w:t>apoy</w:t>
      </w:r>
      <w:r w:rsidR="007D0BF1">
        <w:t>ado</w:t>
      </w:r>
      <w:r>
        <w:t xml:space="preserve"> p</w:t>
      </w:r>
      <w:r w:rsidR="007D0BF1">
        <w:t xml:space="preserve">or </w:t>
      </w:r>
      <w:r w:rsidR="00942CB8">
        <w:t xml:space="preserve">la </w:t>
      </w:r>
      <w:r>
        <w:t>familia</w:t>
      </w:r>
      <w:r w:rsidR="00942CB8">
        <w:t xml:space="preserve"> lo siguiente</w:t>
      </w:r>
      <w:r>
        <w:t xml:space="preserve">: "Venerable </w:t>
      </w:r>
      <w:r w:rsidR="0004449B">
        <w:t>Señor</w:t>
      </w:r>
      <w:r>
        <w:t xml:space="preserve">, ¿hacia quién se debe </w:t>
      </w:r>
      <w:r w:rsidR="00942CB8">
        <w:t xml:space="preserve">transmitir </w:t>
      </w:r>
      <w:r w:rsidR="0004449B">
        <w:t xml:space="preserve">el </w:t>
      </w:r>
      <w:r w:rsidR="0082231D" w:rsidRPr="0082231D">
        <w:rPr>
          <w:i/>
          <w:iCs/>
        </w:rPr>
        <w:t>amor–benevolente</w:t>
      </w:r>
      <w:r>
        <w:t xml:space="preserve">?" El </w:t>
      </w:r>
      <w:r w:rsidR="002C2239">
        <w:t xml:space="preserve">Venerable </w:t>
      </w:r>
      <w:r>
        <w:t>le dijo: “Hacia una persona que se am</w:t>
      </w:r>
      <w:r w:rsidR="002C2239">
        <w:t>e</w:t>
      </w:r>
      <w:r>
        <w:t>”. Amaba a su propia esposa. A través del desarrollo de</w:t>
      </w:r>
      <w:r w:rsidR="002C2239">
        <w:t xml:space="preserve">l </w:t>
      </w:r>
      <w:r w:rsidR="0082231D" w:rsidRPr="0082231D">
        <w:rPr>
          <w:i/>
          <w:iCs/>
        </w:rPr>
        <w:t>amor–benevolente</w:t>
      </w:r>
      <w:r>
        <w:t xml:space="preserve"> hacia ella, estuvo luchando contra la pared toda la noche.</w:t>
      </w:r>
      <w:r w:rsidRPr="00F012E7">
        <w:rPr>
          <w:vertAlign w:val="superscript"/>
        </w:rPr>
        <w:t>1</w:t>
      </w:r>
      <w:r>
        <w:t xml:space="preserve"> Es por eso </w:t>
      </w:r>
      <w:proofErr w:type="gramStart"/>
      <w:r>
        <w:t>que</w:t>
      </w:r>
      <w:proofErr w:type="gramEnd"/>
      <w:r>
        <w:t xml:space="preserve"> no debe desarrollarse específicamente </w:t>
      </w:r>
      <w:r w:rsidR="0082231D" w:rsidRPr="0082231D">
        <w:rPr>
          <w:i/>
          <w:iCs/>
        </w:rPr>
        <w:t>amor–benevolente</w:t>
      </w:r>
      <w:r w:rsidR="002C2239">
        <w:t xml:space="preserve"> </w:t>
      </w:r>
      <w:r>
        <w:t>hacia el sexo opuesto.</w:t>
      </w:r>
    </w:p>
    <w:p w14:paraId="0B8BD8C7" w14:textId="5EAB33A2" w:rsidR="00F77A3C" w:rsidRDefault="00F77A3C" w:rsidP="00F77A3C">
      <w:r>
        <w:t xml:space="preserve">7. </w:t>
      </w:r>
      <w:r>
        <w:tab/>
      </w:r>
      <w:r w:rsidR="00B97C75">
        <w:t>Ahora bien,</w:t>
      </w:r>
      <w:r>
        <w:t xml:space="preserve"> si </w:t>
      </w:r>
      <w:r w:rsidR="00991BDC">
        <w:t>él</w:t>
      </w:r>
      <w:r>
        <w:t xml:space="preserve"> desarrolla</w:t>
      </w:r>
      <w:r w:rsidR="00991BDC">
        <w:t xml:space="preserve">ra </w:t>
      </w:r>
      <w:r w:rsidR="0082231D" w:rsidRPr="0082231D">
        <w:rPr>
          <w:i/>
          <w:iCs/>
        </w:rPr>
        <w:t>amor–benevolente</w:t>
      </w:r>
      <w:r>
        <w:t xml:space="preserve"> hacia una persona muerta, no alcanza</w:t>
      </w:r>
      <w:r w:rsidR="00991BDC">
        <w:t>ría</w:t>
      </w:r>
      <w:r>
        <w:t xml:space="preserve"> ni la absorción ni el acceso. Un joven </w:t>
      </w:r>
      <w:proofErr w:type="spellStart"/>
      <w:r w:rsidR="00057BF4" w:rsidRPr="00057BF4">
        <w:rPr>
          <w:i/>
          <w:iCs/>
        </w:rPr>
        <w:t>bhikkhu</w:t>
      </w:r>
      <w:proofErr w:type="spellEnd"/>
      <w:r>
        <w:t xml:space="preserve">, al parecer, había comenzado a desarrollar </w:t>
      </w:r>
      <w:r w:rsidR="0082231D" w:rsidRPr="0082231D">
        <w:rPr>
          <w:i/>
          <w:iCs/>
        </w:rPr>
        <w:t>amor–benevolente</w:t>
      </w:r>
      <w:r w:rsidR="00991BDC">
        <w:t xml:space="preserve"> </w:t>
      </w:r>
      <w:r>
        <w:t xml:space="preserve">inspirado </w:t>
      </w:r>
      <w:r w:rsidR="00662D22">
        <w:t xml:space="preserve">en </w:t>
      </w:r>
      <w:r>
        <w:t xml:space="preserve">su maestro. Su </w:t>
      </w:r>
      <w:r w:rsidR="0082231D" w:rsidRPr="0082231D">
        <w:rPr>
          <w:i/>
          <w:iCs/>
        </w:rPr>
        <w:t>amor–benevolente</w:t>
      </w:r>
      <w:r w:rsidR="00662D22">
        <w:t xml:space="preserve"> </w:t>
      </w:r>
      <w:r>
        <w:t xml:space="preserve">no </w:t>
      </w:r>
      <w:r w:rsidR="00662D22">
        <w:t xml:space="preserve">se desarrolló </w:t>
      </w:r>
      <w:r>
        <w:t>en absoluto. Fue a</w:t>
      </w:r>
      <w:r w:rsidR="00662D22">
        <w:t>nte</w:t>
      </w:r>
      <w:r>
        <w:t xml:space="preserve"> un </w:t>
      </w:r>
      <w:r w:rsidR="00662D22">
        <w:t xml:space="preserve">Venerable Mayor </w:t>
      </w:r>
      <w:r>
        <w:t xml:space="preserve">y le dijo: “Venerable </w:t>
      </w:r>
      <w:r w:rsidR="00662D22">
        <w:t>Señor</w:t>
      </w:r>
      <w:r>
        <w:t>, estoy muy familiarizado con el logro de</w:t>
      </w:r>
      <w:r w:rsidR="00942CB8">
        <w:t>l</w:t>
      </w:r>
      <w:r>
        <w:t xml:space="preserve"> </w:t>
      </w:r>
      <w:proofErr w:type="spellStart"/>
      <w:r w:rsidR="00057BF4" w:rsidRPr="00057BF4">
        <w:rPr>
          <w:i/>
          <w:iCs/>
        </w:rPr>
        <w:t>jhāna</w:t>
      </w:r>
      <w:proofErr w:type="spellEnd"/>
      <w:r>
        <w:t xml:space="preserve"> a través del </w:t>
      </w:r>
      <w:r w:rsidR="0082231D" w:rsidRPr="0082231D">
        <w:rPr>
          <w:i/>
          <w:iCs/>
        </w:rPr>
        <w:t>amor–benevolente</w:t>
      </w:r>
      <w:r w:rsidR="00662D22">
        <w:t xml:space="preserve"> </w:t>
      </w:r>
      <w:r>
        <w:t xml:space="preserve">y, sin embargo, </w:t>
      </w:r>
      <w:r w:rsidR="00662D22">
        <w:t xml:space="preserve">ahora </w:t>
      </w:r>
      <w:r>
        <w:t xml:space="preserve">no puedo </w:t>
      </w:r>
      <w:r w:rsidR="00942CB8">
        <w:t>transmitirlo</w:t>
      </w:r>
      <w:r>
        <w:t xml:space="preserve">. ¿Cuál es el problema?" El </w:t>
      </w:r>
      <w:r w:rsidR="00662D22">
        <w:t xml:space="preserve">Venerable </w:t>
      </w:r>
      <w:r>
        <w:t xml:space="preserve">dijo: “Busca </w:t>
      </w:r>
      <w:r w:rsidR="00662D22">
        <w:t>el signo</w:t>
      </w:r>
      <w:r w:rsidR="00942CB8">
        <w:t xml:space="preserve"> </w:t>
      </w:r>
      <w:r w:rsidR="00662D22">
        <w:t>d</w:t>
      </w:r>
      <w:r>
        <w:t xml:space="preserve">el objeto de </w:t>
      </w:r>
      <w:r w:rsidR="00662D22">
        <w:t>s</w:t>
      </w:r>
      <w:r>
        <w:t>u meditación</w:t>
      </w:r>
      <w:r w:rsidR="00942CB8">
        <w:t>, amigo</w:t>
      </w:r>
      <w:r>
        <w:t xml:space="preserve">”. Así lo hizo. Al descubrir que su maestro había muerto, procedió a desarrollar </w:t>
      </w:r>
      <w:r w:rsidR="0082231D" w:rsidRPr="0082231D">
        <w:rPr>
          <w:i/>
          <w:iCs/>
        </w:rPr>
        <w:t>amor–benevolente</w:t>
      </w:r>
      <w:r w:rsidR="00D64BCD">
        <w:t xml:space="preserve"> </w:t>
      </w:r>
      <w:r>
        <w:t xml:space="preserve">inspirado </w:t>
      </w:r>
      <w:r w:rsidR="00D64BCD">
        <w:t>en</w:t>
      </w:r>
      <w:r>
        <w:t xml:space="preserve"> otro </w:t>
      </w:r>
      <w:r w:rsidR="00D64BCD">
        <w:t xml:space="preserve">ser </w:t>
      </w:r>
      <w:r>
        <w:t xml:space="preserve">y logró la absorción. Por eso no debe desarrollarse </w:t>
      </w:r>
      <w:r w:rsidR="0082231D" w:rsidRPr="0082231D">
        <w:rPr>
          <w:i/>
          <w:iCs/>
        </w:rPr>
        <w:t>amor–benevolente</w:t>
      </w:r>
      <w:r w:rsidR="00D64BCD">
        <w:t xml:space="preserve"> </w:t>
      </w:r>
      <w:r>
        <w:t>hacia alguien que est</w:t>
      </w:r>
      <w:r w:rsidR="00D64BCD">
        <w:t>e</w:t>
      </w:r>
      <w:r>
        <w:t xml:space="preserve"> muerto</w:t>
      </w:r>
      <w:r w:rsidR="00D64BCD">
        <w:t>, al principio</w:t>
      </w:r>
      <w:r>
        <w:t>.</w:t>
      </w:r>
    </w:p>
    <w:p w14:paraId="0F07FF1F" w14:textId="0331308D" w:rsidR="00F77A3C" w:rsidRDefault="00F77A3C" w:rsidP="00F77A3C">
      <w:r>
        <w:t xml:space="preserve">8. </w:t>
      </w:r>
      <w:r>
        <w:tab/>
        <w:t>Ante</w:t>
      </w:r>
      <w:r w:rsidR="00D64BCD">
        <w:t>s</w:t>
      </w:r>
      <w:r>
        <w:t xml:space="preserve"> </w:t>
      </w:r>
      <w:r w:rsidR="00D64BCD">
        <w:t xml:space="preserve">que </w:t>
      </w:r>
      <w:r>
        <w:t>todo</w:t>
      </w:r>
      <w:r w:rsidR="00D64BCD">
        <w:t>,</w:t>
      </w:r>
      <w:r>
        <w:t xml:space="preserve"> debe desarrollarse </w:t>
      </w:r>
      <w:r w:rsidR="0082231D" w:rsidRPr="0082231D">
        <w:rPr>
          <w:i/>
          <w:iCs/>
        </w:rPr>
        <w:t>amor–benevolente</w:t>
      </w:r>
      <w:r w:rsidR="00D64BCD">
        <w:t xml:space="preserve"> </w:t>
      </w:r>
      <w:r>
        <w:t xml:space="preserve">sólo hacia uno mismo, haciéndolo repetidamente así: “Que </w:t>
      </w:r>
      <w:r w:rsidR="00D64BCD">
        <w:t xml:space="preserve">yo </w:t>
      </w:r>
      <w:r>
        <w:t xml:space="preserve">sea feliz y </w:t>
      </w:r>
      <w:r w:rsidR="00D64BCD">
        <w:t xml:space="preserve">esté </w:t>
      </w:r>
      <w:r>
        <w:t>libre de sufrimiento” o “Que me mantenga libre de enemistad, aflicción y ansiedad y viva feliz”.</w:t>
      </w:r>
    </w:p>
    <w:p w14:paraId="40D2FDE9" w14:textId="23A604C2" w:rsidR="00F77A3C" w:rsidRDefault="00F77A3C" w:rsidP="00F77A3C">
      <w:r>
        <w:t xml:space="preserve">9. </w:t>
      </w:r>
      <w:r>
        <w:tab/>
        <w:t>Si e</w:t>
      </w:r>
      <w:r w:rsidR="00561A82">
        <w:t>ll</w:t>
      </w:r>
      <w:r>
        <w:t xml:space="preserve">o </w:t>
      </w:r>
      <w:r w:rsidR="006C14D0">
        <w:t xml:space="preserve">fuera </w:t>
      </w:r>
      <w:r>
        <w:t>así, ¿no est</w:t>
      </w:r>
      <w:r w:rsidR="006C14D0">
        <w:t>aría acaso</w:t>
      </w:r>
      <w:r>
        <w:t xml:space="preserve"> en conflicto con lo que se dice en los textos? Porque no se menciona ningún desarrollo de ello hacia uno mismo en lo que </w:t>
      </w:r>
      <w:r w:rsidR="00561A82">
        <w:t>respecta</w:t>
      </w:r>
      <w:r>
        <w:t xml:space="preserve"> </w:t>
      </w:r>
      <w:r w:rsidR="00561A82">
        <w:t>a</w:t>
      </w:r>
      <w:r>
        <w:t xml:space="preserve">l </w:t>
      </w:r>
      <w:proofErr w:type="spellStart"/>
      <w:r w:rsidRPr="00C61365">
        <w:rPr>
          <w:i/>
          <w:iCs/>
        </w:rPr>
        <w:t>Vibhaṅga</w:t>
      </w:r>
      <w:proofErr w:type="spellEnd"/>
      <w:r>
        <w:t xml:space="preserve">: “¿Y cómo </w:t>
      </w:r>
      <w:r w:rsidR="006C14D0">
        <w:t xml:space="preserve">habita </w:t>
      </w:r>
      <w:r>
        <w:t xml:space="preserve">un </w:t>
      </w:r>
      <w:proofErr w:type="spellStart"/>
      <w:r w:rsidR="00057BF4" w:rsidRPr="00057BF4">
        <w:rPr>
          <w:i/>
          <w:iCs/>
        </w:rPr>
        <w:t>bhikkhu</w:t>
      </w:r>
      <w:proofErr w:type="spellEnd"/>
      <w:r>
        <w:t xml:space="preserve"> </w:t>
      </w:r>
      <w:r w:rsidR="006C14D0">
        <w:t xml:space="preserve">transmitiendo </w:t>
      </w:r>
      <w:r w:rsidR="0009258F">
        <w:t xml:space="preserve">con su corazón </w:t>
      </w:r>
      <w:r w:rsidR="00A72909" w:rsidRPr="0082231D">
        <w:rPr>
          <w:i/>
          <w:iCs/>
        </w:rPr>
        <w:t>amor–benevolente</w:t>
      </w:r>
      <w:r w:rsidR="0009258F">
        <w:t xml:space="preserve"> hacia </w:t>
      </w:r>
      <w:r>
        <w:t>una dirección</w:t>
      </w:r>
      <w:r w:rsidR="00A63E5C">
        <w:t xml:space="preserve"> profusamente</w:t>
      </w:r>
      <w:r>
        <w:t xml:space="preserve">? Así como sentiría </w:t>
      </w:r>
      <w:r w:rsidR="00A72909" w:rsidRPr="0082231D">
        <w:rPr>
          <w:i/>
          <w:iCs/>
        </w:rPr>
        <w:t>amor–benevolente</w:t>
      </w:r>
      <w:r w:rsidR="004C551F">
        <w:t xml:space="preserve"> </w:t>
      </w:r>
      <w:r>
        <w:t xml:space="preserve">al ver a una persona muy </w:t>
      </w:r>
      <w:r w:rsidR="00A63E5C">
        <w:t>estimada</w:t>
      </w:r>
      <w:r>
        <w:t xml:space="preserve">, así </w:t>
      </w:r>
      <w:r w:rsidR="00A63E5C">
        <w:t xml:space="preserve">transmitirá </w:t>
      </w:r>
      <w:r w:rsidR="00A72909" w:rsidRPr="0082231D">
        <w:rPr>
          <w:i/>
          <w:iCs/>
        </w:rPr>
        <w:t>amor–benevolente</w:t>
      </w:r>
      <w:r w:rsidR="00A63E5C">
        <w:t xml:space="preserve"> haci</w:t>
      </w:r>
      <w:r>
        <w:t>a todos los seres” (</w:t>
      </w:r>
      <w:proofErr w:type="spellStart"/>
      <w:r>
        <w:t>Vibh</w:t>
      </w:r>
      <w:proofErr w:type="spellEnd"/>
      <w:r>
        <w:t xml:space="preserve"> 272); y en lo que </w:t>
      </w:r>
      <w:r w:rsidR="004C551F">
        <w:t>respecta a</w:t>
      </w:r>
      <w:r>
        <w:t xml:space="preserve">l </w:t>
      </w:r>
      <w:proofErr w:type="spellStart"/>
      <w:r w:rsidRPr="00C61365">
        <w:rPr>
          <w:i/>
          <w:iCs/>
        </w:rPr>
        <w:t>Paṭisambhidā</w:t>
      </w:r>
      <w:proofErr w:type="spellEnd"/>
      <w:r>
        <w:t xml:space="preserve">: “¿De qué cinco maneras se practica la liberación de la mente del </w:t>
      </w:r>
      <w:r w:rsidR="00A72909" w:rsidRPr="0082231D">
        <w:rPr>
          <w:i/>
          <w:iCs/>
        </w:rPr>
        <w:t>amor–benevolente</w:t>
      </w:r>
      <w:r>
        <w:t xml:space="preserve"> con una </w:t>
      </w:r>
      <w:r w:rsidR="00BC0282">
        <w:t>transmisión</w:t>
      </w:r>
      <w:r>
        <w:t xml:space="preserve"> no espec</w:t>
      </w:r>
      <w:r w:rsidR="003971AC">
        <w:t>í</w:t>
      </w:r>
      <w:r>
        <w:t>fica? Qu</w:t>
      </w:r>
      <w:r w:rsidR="001602D8">
        <w:t>é</w:t>
      </w:r>
      <w:r>
        <w:t xml:space="preserve"> todos los seres estén libres de enemistad, aflicción y ansiedad y vivan felices. Qu</w:t>
      </w:r>
      <w:r w:rsidR="001602D8">
        <w:t>é</w:t>
      </w:r>
      <w:r>
        <w:t xml:space="preserve"> todas las cosas que respir</w:t>
      </w:r>
      <w:r w:rsidR="001602D8">
        <w:t>e</w:t>
      </w:r>
      <w:r>
        <w:t xml:space="preserve">n [297]... todos los que </w:t>
      </w:r>
      <w:r w:rsidR="00AA1015">
        <w:t xml:space="preserve">hayan </w:t>
      </w:r>
      <w:r>
        <w:t>nac</w:t>
      </w:r>
      <w:r w:rsidR="00AA1015">
        <w:t>ido</w:t>
      </w:r>
      <w:r>
        <w:t xml:space="preserve">... todas las personas... todos los que </w:t>
      </w:r>
      <w:r w:rsidR="00AA1015">
        <w:t xml:space="preserve">posean </w:t>
      </w:r>
      <w:r>
        <w:t xml:space="preserve">personalidad estén libres de enemistad, aflicción y ansiedad y </w:t>
      </w:r>
      <w:r w:rsidR="00AA1015">
        <w:t xml:space="preserve">que </w:t>
      </w:r>
      <w:r>
        <w:t>vivan felices” (</w:t>
      </w:r>
      <w:proofErr w:type="spellStart"/>
      <w:r w:rsidRPr="00C61365">
        <w:rPr>
          <w:i/>
          <w:iCs/>
        </w:rPr>
        <w:t>Paṭis</w:t>
      </w:r>
      <w:proofErr w:type="spellEnd"/>
      <w:r>
        <w:t xml:space="preserve"> II 130); y en lo que </w:t>
      </w:r>
      <w:r w:rsidR="00AA1015">
        <w:t>respecta a</w:t>
      </w:r>
      <w:r>
        <w:t xml:space="preserve">l </w:t>
      </w:r>
      <w:r w:rsidR="00057BF4" w:rsidRPr="00057BF4">
        <w:rPr>
          <w:i/>
        </w:rPr>
        <w:t>Mettā</w:t>
      </w:r>
      <w:r>
        <w:t xml:space="preserve"> </w:t>
      </w:r>
      <w:r w:rsidRPr="00AA1015">
        <w:rPr>
          <w:i/>
          <w:iCs/>
        </w:rPr>
        <w:t>Sutta</w:t>
      </w:r>
      <w:r>
        <w:t>: “</w:t>
      </w:r>
      <w:r w:rsidR="004D5E13" w:rsidRPr="004D5E13">
        <w:t>Qu</w:t>
      </w:r>
      <w:r w:rsidR="004D5E13">
        <w:t>é e</w:t>
      </w:r>
      <w:r>
        <w:t>n alegría y seguridad todos los seres estén alegres de corazón” (Sn 145). [¿</w:t>
      </w:r>
      <w:r w:rsidR="00387C68">
        <w:t>Lo mencionado antes n</w:t>
      </w:r>
      <w:r>
        <w:t>o está en conflicto con esos textos?]</w:t>
      </w:r>
    </w:p>
    <w:p w14:paraId="60EEE002" w14:textId="77777777" w:rsidR="00F77A3C" w:rsidRDefault="00F77A3C" w:rsidP="00F77A3C">
      <w:pPr>
        <w:pStyle w:val="Piedepgina"/>
        <w:rPr>
          <w:u w:val="single"/>
        </w:rPr>
      </w:pPr>
      <w:r>
        <w:rPr>
          <w:u w:val="single"/>
        </w:rPr>
        <w:t xml:space="preserve">                                                                                                                                                                          .</w:t>
      </w:r>
    </w:p>
    <w:p w14:paraId="6B1CA497" w14:textId="5C3D0BB9" w:rsidR="00C61A72" w:rsidRDefault="00F77A3C" w:rsidP="00FB00FB">
      <w:pPr>
        <w:pStyle w:val="PiedepginaLegal"/>
      </w:pPr>
      <w:r>
        <w:t xml:space="preserve">1. </w:t>
      </w:r>
      <w:r>
        <w:tab/>
        <w:t xml:space="preserve">“‘Luchar contra la pared’: habiendo seguido los preceptos de la virtud y </w:t>
      </w:r>
      <w:r w:rsidR="007F6BF6">
        <w:t xml:space="preserve">habiéndose </w:t>
      </w:r>
      <w:r>
        <w:t xml:space="preserve">sentado en un asiento en su habitación con la puerta cerrada, estaba desarrollando </w:t>
      </w:r>
      <w:r w:rsidR="00A04C1D">
        <w:t xml:space="preserve">la transmisión de </w:t>
      </w:r>
      <w:r w:rsidR="00A04C1D" w:rsidRPr="00A04C1D">
        <w:rPr>
          <w:i/>
          <w:iCs/>
        </w:rPr>
        <w:t>amor</w:t>
      </w:r>
      <w:r>
        <w:t xml:space="preserve">. Cegado por la lujuria surgida al amparo de </w:t>
      </w:r>
      <w:r w:rsidR="00A04C1D">
        <w:t xml:space="preserve">tal transmisión de </w:t>
      </w:r>
      <w:r w:rsidR="00A72909" w:rsidRPr="0082231D">
        <w:rPr>
          <w:i/>
          <w:iCs/>
        </w:rPr>
        <w:t>amor–benevolente</w:t>
      </w:r>
      <w:r>
        <w:t xml:space="preserve">, quiso </w:t>
      </w:r>
      <w:r w:rsidR="00A04C1D">
        <w:t>acudi</w:t>
      </w:r>
      <w:r>
        <w:t>r a</w:t>
      </w:r>
      <w:r w:rsidR="00A04C1D">
        <w:t>nte</w:t>
      </w:r>
      <w:r>
        <w:t xml:space="preserve"> su esposa, y sin darse cuenta de la puerta, golpeó la pared en su deseo de salir</w:t>
      </w:r>
      <w:r w:rsidR="00F012E7">
        <w:t xml:space="preserve"> del lugar</w:t>
      </w:r>
      <w:r>
        <w:t>, inclus</w:t>
      </w:r>
      <w:r w:rsidR="00F012E7">
        <w:t>ive</w:t>
      </w:r>
      <w:r>
        <w:t xml:space="preserve"> derribando la pared” (</w:t>
      </w:r>
      <w:proofErr w:type="spellStart"/>
      <w:r>
        <w:t>Vism-mhṭ</w:t>
      </w:r>
      <w:proofErr w:type="spellEnd"/>
      <w:r>
        <w:t xml:space="preserve"> 286).</w:t>
      </w:r>
      <w:r w:rsidR="00C61A72">
        <w:br w:type="page"/>
      </w:r>
    </w:p>
    <w:p w14:paraId="63AC5522" w14:textId="77777777" w:rsidR="00C85821" w:rsidRDefault="00C85821" w:rsidP="00C75628"/>
    <w:p w14:paraId="29F4BA25" w14:textId="67DCA568" w:rsidR="00AE4245" w:rsidRDefault="00AE4245" w:rsidP="00AE4245">
      <w:r>
        <w:t xml:space="preserve">10. </w:t>
      </w:r>
      <w:r>
        <w:tab/>
        <w:t xml:space="preserve">No </w:t>
      </w:r>
      <w:r w:rsidR="00387C68">
        <w:t>est</w:t>
      </w:r>
      <w:r w:rsidR="009A478A">
        <w:t>ar</w:t>
      </w:r>
      <w:r w:rsidR="00387C68">
        <w:t>á</w:t>
      </w:r>
      <w:r>
        <w:t xml:space="preserve"> en conflicto. ¿</w:t>
      </w:r>
      <w:proofErr w:type="spellStart"/>
      <w:r>
        <w:t>Por que</w:t>
      </w:r>
      <w:proofErr w:type="spellEnd"/>
      <w:r>
        <w:t xml:space="preserve"> no? Porque e</w:t>
      </w:r>
      <w:r w:rsidR="00ED2B95">
        <w:t>ll</w:t>
      </w:r>
      <w:r>
        <w:t xml:space="preserve">o se refiere a la absorción. </w:t>
      </w:r>
      <w:r w:rsidR="00ED2B95">
        <w:t xml:space="preserve">No obstante, </w:t>
      </w:r>
      <w:r>
        <w:t>este desarrollo inicial hacia uno mismo se refiere a hacer</w:t>
      </w:r>
      <w:r w:rsidR="00ED2B95">
        <w:t xml:space="preserve"> de</w:t>
      </w:r>
      <w:r>
        <w:t xml:space="preserve"> uno mismo un ejemplo. Porque inclus</w:t>
      </w:r>
      <w:r w:rsidR="00387C68">
        <w:t>ive</w:t>
      </w:r>
      <w:r>
        <w:t xml:space="preserve"> si desarrollara </w:t>
      </w:r>
      <w:r w:rsidR="009D2184">
        <w:rPr>
          <w:i/>
          <w:iCs/>
        </w:rPr>
        <w:t>amor</w:t>
      </w:r>
      <w:r w:rsidR="009D2184">
        <w:t xml:space="preserve"> </w:t>
      </w:r>
      <w:r>
        <w:t>durante cien o mil años de esta manera, "soy feliz" y así sucesivamente, la absorción nunca surgiría. Pero si lo desarrolla</w:t>
      </w:r>
      <w:r w:rsidR="00A80E79">
        <w:t>ra</w:t>
      </w:r>
      <w:r>
        <w:t xml:space="preserve"> de esta manera: “</w:t>
      </w:r>
      <w:r w:rsidR="009D2184">
        <w:t>Soy</w:t>
      </w:r>
      <w:r>
        <w:t xml:space="preserve"> feliz. </w:t>
      </w:r>
      <w:r w:rsidR="009D2184">
        <w:t>Y a</w:t>
      </w:r>
      <w:r>
        <w:t>sí como quiero ser feliz y tem</w:t>
      </w:r>
      <w:r w:rsidR="009D2184">
        <w:t>o</w:t>
      </w:r>
      <w:r>
        <w:t xml:space="preserve"> </w:t>
      </w:r>
      <w:r w:rsidR="009D2184">
        <w:t>d</w:t>
      </w:r>
      <w:r>
        <w:t xml:space="preserve">el dolor, </w:t>
      </w:r>
      <w:r w:rsidR="009D2184">
        <w:t xml:space="preserve">así </w:t>
      </w:r>
      <w:r>
        <w:t xml:space="preserve">como quiero vivir y no morir, así también </w:t>
      </w:r>
      <w:r w:rsidR="009D2184">
        <w:t xml:space="preserve">lo desean </w:t>
      </w:r>
      <w:r>
        <w:t xml:space="preserve">los demás seres”, poniéndose a sí mismo como ejemplo, entonces surge en él el deseo por el bienestar y la felicidad de los demás. Y este método está indicado por </w:t>
      </w:r>
      <w:r w:rsidR="009D2184">
        <w:t>el verso</w:t>
      </w:r>
      <w:r>
        <w:t xml:space="preserve"> del </w:t>
      </w:r>
      <w:r w:rsidR="009D2184" w:rsidRPr="00903A26">
        <w:rPr>
          <w:i/>
          <w:iCs/>
        </w:rPr>
        <w:t>Bhagavā</w:t>
      </w:r>
      <w:r>
        <w:t>:</w:t>
      </w:r>
    </w:p>
    <w:p w14:paraId="2C95DCAF" w14:textId="77777777" w:rsidR="00AE4245" w:rsidRPr="00A80E79" w:rsidRDefault="00AE4245" w:rsidP="00AE4245">
      <w:pPr>
        <w:pStyle w:val="VersoIngls01Sangria"/>
        <w:rPr>
          <w:sz w:val="16"/>
          <w:szCs w:val="20"/>
        </w:rPr>
      </w:pPr>
      <w:r w:rsidRPr="00A80E79">
        <w:rPr>
          <w:sz w:val="16"/>
          <w:szCs w:val="20"/>
        </w:rPr>
        <w:t>Visité todos los barrios con mi mente</w:t>
      </w:r>
    </w:p>
    <w:p w14:paraId="0C3FE4BE" w14:textId="55A47263" w:rsidR="00AE4245" w:rsidRPr="00A80E79" w:rsidRDefault="00AE4245" w:rsidP="00AE4245">
      <w:pPr>
        <w:pStyle w:val="VersoIngls01Sangria"/>
        <w:rPr>
          <w:sz w:val="16"/>
          <w:szCs w:val="20"/>
        </w:rPr>
      </w:pPr>
      <w:r w:rsidRPr="00A80E79">
        <w:rPr>
          <w:sz w:val="16"/>
          <w:szCs w:val="20"/>
        </w:rPr>
        <w:t>N</w:t>
      </w:r>
      <w:r w:rsidR="00903A26" w:rsidRPr="00A80E79">
        <w:rPr>
          <w:sz w:val="16"/>
          <w:szCs w:val="20"/>
        </w:rPr>
        <w:t>o</w:t>
      </w:r>
      <w:r w:rsidRPr="00A80E79">
        <w:rPr>
          <w:sz w:val="16"/>
          <w:szCs w:val="20"/>
        </w:rPr>
        <w:t xml:space="preserve"> encontré a nadie más querido que a mí mismo;</w:t>
      </w:r>
    </w:p>
    <w:p w14:paraId="0A370539" w14:textId="4D6A1DAA" w:rsidR="00AE4245" w:rsidRPr="00A80E79" w:rsidRDefault="00AE4245" w:rsidP="00AE4245">
      <w:pPr>
        <w:pStyle w:val="VersoIngls01Sangria"/>
        <w:rPr>
          <w:sz w:val="16"/>
          <w:szCs w:val="20"/>
        </w:rPr>
      </w:pPr>
      <w:r w:rsidRPr="00A80E79">
        <w:rPr>
          <w:sz w:val="16"/>
          <w:szCs w:val="20"/>
        </w:rPr>
        <w:t xml:space="preserve">El </w:t>
      </w:r>
      <w:r w:rsidR="00903A26" w:rsidRPr="00A80E79">
        <w:rPr>
          <w:sz w:val="16"/>
          <w:szCs w:val="20"/>
        </w:rPr>
        <w:t xml:space="preserve">alma </w:t>
      </w:r>
      <w:r w:rsidRPr="00A80E79">
        <w:rPr>
          <w:sz w:val="16"/>
          <w:szCs w:val="20"/>
        </w:rPr>
        <w:t>es igualmente querid</w:t>
      </w:r>
      <w:r w:rsidR="00903A26" w:rsidRPr="00A80E79">
        <w:rPr>
          <w:sz w:val="16"/>
          <w:szCs w:val="20"/>
        </w:rPr>
        <w:t>a</w:t>
      </w:r>
      <w:r w:rsidRPr="00A80E79">
        <w:rPr>
          <w:sz w:val="16"/>
          <w:szCs w:val="20"/>
        </w:rPr>
        <w:t xml:space="preserve"> p</w:t>
      </w:r>
      <w:r w:rsidR="00903A26" w:rsidRPr="00A80E79">
        <w:rPr>
          <w:sz w:val="16"/>
          <w:szCs w:val="20"/>
        </w:rPr>
        <w:t>or</w:t>
      </w:r>
      <w:r w:rsidRPr="00A80E79">
        <w:rPr>
          <w:sz w:val="16"/>
          <w:szCs w:val="20"/>
        </w:rPr>
        <w:t xml:space="preserve"> todos </w:t>
      </w:r>
      <w:r w:rsidR="00277851" w:rsidRPr="00A80E79">
        <w:rPr>
          <w:sz w:val="16"/>
          <w:szCs w:val="20"/>
        </w:rPr>
        <w:t xml:space="preserve">los </w:t>
      </w:r>
      <w:r w:rsidRPr="00A80E79">
        <w:rPr>
          <w:sz w:val="16"/>
          <w:szCs w:val="20"/>
        </w:rPr>
        <w:t>demás;</w:t>
      </w:r>
    </w:p>
    <w:p w14:paraId="7BD01805" w14:textId="197569DB" w:rsidR="00AE4245" w:rsidRPr="00A80E79" w:rsidRDefault="00AE4245" w:rsidP="00AE4245">
      <w:pPr>
        <w:pStyle w:val="VersoIngls01Sangria"/>
        <w:spacing w:after="100"/>
        <w:ind w:left="1418"/>
        <w:rPr>
          <w:sz w:val="16"/>
          <w:szCs w:val="20"/>
        </w:rPr>
      </w:pPr>
      <w:r w:rsidRPr="00A80E79">
        <w:rPr>
          <w:sz w:val="16"/>
          <w:szCs w:val="20"/>
        </w:rPr>
        <w:t>Quien se am</w:t>
      </w:r>
      <w:r w:rsidR="00277851" w:rsidRPr="00A80E79">
        <w:rPr>
          <w:sz w:val="16"/>
          <w:szCs w:val="20"/>
        </w:rPr>
        <w:t>e</w:t>
      </w:r>
      <w:r w:rsidRPr="00A80E79">
        <w:rPr>
          <w:sz w:val="16"/>
          <w:szCs w:val="20"/>
        </w:rPr>
        <w:t xml:space="preserve"> a sí mismo, nunca dañará a </w:t>
      </w:r>
      <w:r w:rsidR="00BF79F6">
        <w:rPr>
          <w:sz w:val="16"/>
          <w:szCs w:val="20"/>
        </w:rPr>
        <w:t>los demás</w:t>
      </w:r>
      <w:r w:rsidRPr="00A80E79">
        <w:rPr>
          <w:sz w:val="16"/>
          <w:szCs w:val="20"/>
        </w:rPr>
        <w:t xml:space="preserve"> (S I 75; </w:t>
      </w:r>
      <w:proofErr w:type="spellStart"/>
      <w:r w:rsidRPr="00A80E79">
        <w:rPr>
          <w:sz w:val="16"/>
          <w:szCs w:val="20"/>
        </w:rPr>
        <w:t>Ud</w:t>
      </w:r>
      <w:proofErr w:type="spellEnd"/>
      <w:r w:rsidRPr="00A80E79">
        <w:rPr>
          <w:sz w:val="16"/>
          <w:szCs w:val="20"/>
        </w:rPr>
        <w:t xml:space="preserve"> 47).</w:t>
      </w:r>
    </w:p>
    <w:p w14:paraId="7936807C" w14:textId="22FDFDBE" w:rsidR="00AE4245" w:rsidRDefault="00AE4245" w:rsidP="00AE4245">
      <w:r>
        <w:t xml:space="preserve">11. </w:t>
      </w:r>
      <w:r>
        <w:tab/>
        <w:t>Así que</w:t>
      </w:r>
      <w:r w:rsidR="00277851">
        <w:t xml:space="preserve">, al principio, </w:t>
      </w:r>
      <w:r>
        <w:t xml:space="preserve">como ejemplo, </w:t>
      </w:r>
      <w:r w:rsidR="00277851">
        <w:t>él se transmit</w:t>
      </w:r>
      <w:r w:rsidR="00BF79F6">
        <w:t>irá</w:t>
      </w:r>
      <w:r w:rsidR="00277851">
        <w:t xml:space="preserve"> </w:t>
      </w:r>
      <w:r w:rsidR="00277851">
        <w:rPr>
          <w:i/>
          <w:iCs/>
        </w:rPr>
        <w:t xml:space="preserve">amor </w:t>
      </w:r>
      <w:r w:rsidR="00BF79F6">
        <w:t xml:space="preserve">hacia </w:t>
      </w:r>
      <w:r w:rsidR="00277851">
        <w:t>sí mismo</w:t>
      </w:r>
      <w:r>
        <w:t>. Después de e</w:t>
      </w:r>
      <w:r w:rsidR="00277851">
        <w:t>ll</w:t>
      </w:r>
      <w:r>
        <w:t xml:space="preserve">o, para proceder con facilidad, puede </w:t>
      </w:r>
      <w:r w:rsidR="00277851">
        <w:t>evocar</w:t>
      </w:r>
      <w:r>
        <w:t xml:space="preserve"> dones</w:t>
      </w:r>
      <w:r w:rsidR="00546E4B" w:rsidRPr="00546E4B">
        <w:t xml:space="preserve"> </w:t>
      </w:r>
      <w:r w:rsidR="00546E4B">
        <w:t>tales como</w:t>
      </w:r>
      <w:r>
        <w:t>,</w:t>
      </w:r>
      <w:r w:rsidRPr="00FE0D47">
        <w:rPr>
          <w:vertAlign w:val="superscript"/>
        </w:rPr>
        <w:t>2</w:t>
      </w:r>
      <w:r>
        <w:t xml:space="preserve"> palabras amables, etc., que inspiren amor y </w:t>
      </w:r>
      <w:r w:rsidR="00277851">
        <w:t>afecto</w:t>
      </w:r>
      <w:r>
        <w:t xml:space="preserve">, </w:t>
      </w:r>
      <w:r w:rsidR="00BF79F6">
        <w:t xml:space="preserve">como la </w:t>
      </w:r>
      <w:r>
        <w:t xml:space="preserve">virtud, </w:t>
      </w:r>
      <w:r w:rsidR="00546E4B">
        <w:t xml:space="preserve">el </w:t>
      </w:r>
      <w:r>
        <w:t xml:space="preserve">aprendizaje, etc., que inspiren respeto y reverencia encontrados en un maestro o su equivalente o un preceptor o su equivalente, desarrollando </w:t>
      </w:r>
      <w:r w:rsidR="00E44858" w:rsidRPr="0082231D">
        <w:rPr>
          <w:i/>
          <w:iCs/>
        </w:rPr>
        <w:t>amor–benevolente</w:t>
      </w:r>
      <w:r w:rsidR="00277851">
        <w:t xml:space="preserve"> </w:t>
      </w:r>
      <w:r>
        <w:t xml:space="preserve">hacia él </w:t>
      </w:r>
      <w:r w:rsidR="00277851">
        <w:t xml:space="preserve">según el pasaje </w:t>
      </w:r>
      <w:r>
        <w:t>que comienza</w:t>
      </w:r>
      <w:r w:rsidR="00277851">
        <w:t xml:space="preserve"> con</w:t>
      </w:r>
      <w:r>
        <w:t>: "Qu</w:t>
      </w:r>
      <w:r w:rsidR="00464BFD">
        <w:t>é</w:t>
      </w:r>
      <w:r>
        <w:t xml:space="preserve"> este buen hombre sea feliz y </w:t>
      </w:r>
      <w:r w:rsidR="00464BFD">
        <w:t xml:space="preserve">habite </w:t>
      </w:r>
      <w:r>
        <w:t xml:space="preserve">libre de sufrimiento". Con tal persona, por supuesto, </w:t>
      </w:r>
      <w:r w:rsidR="00533313">
        <w:t xml:space="preserve">consumará </w:t>
      </w:r>
      <w:r>
        <w:t>la absorción.</w:t>
      </w:r>
    </w:p>
    <w:p w14:paraId="3AEBFAE0" w14:textId="61AABAAF" w:rsidR="00AE4245" w:rsidRDefault="00AE4245" w:rsidP="00AE4245">
      <w:r>
        <w:t xml:space="preserve">12. </w:t>
      </w:r>
      <w:r>
        <w:tab/>
        <w:t xml:space="preserve">Pero si este </w:t>
      </w:r>
      <w:proofErr w:type="spellStart"/>
      <w:r w:rsidR="00057BF4" w:rsidRPr="00057BF4">
        <w:rPr>
          <w:i/>
          <w:iCs/>
        </w:rPr>
        <w:t>bhikkhu</w:t>
      </w:r>
      <w:proofErr w:type="spellEnd"/>
      <w:r>
        <w:t xml:space="preserve"> no se contenta</w:t>
      </w:r>
      <w:r w:rsidR="00464BFD">
        <w:t>se</w:t>
      </w:r>
      <w:r>
        <w:t xml:space="preserve"> con e</w:t>
      </w:r>
      <w:r w:rsidR="00533313">
        <w:t>ll</w:t>
      </w:r>
      <w:r>
        <w:t>o y qui</w:t>
      </w:r>
      <w:r w:rsidR="00464BFD">
        <w:t>siera</w:t>
      </w:r>
      <w:r>
        <w:t xml:space="preserve"> derribar las barreras, debe</w:t>
      </w:r>
      <w:r w:rsidR="00C73775">
        <w:t>rá</w:t>
      </w:r>
      <w:r>
        <w:t>, después de e</w:t>
      </w:r>
      <w:r w:rsidR="00464BFD">
        <w:t>ll</w:t>
      </w:r>
      <w:r>
        <w:t xml:space="preserve">o, desarrollar </w:t>
      </w:r>
      <w:r w:rsidR="00E44858" w:rsidRPr="0082231D">
        <w:rPr>
          <w:i/>
          <w:iCs/>
        </w:rPr>
        <w:t>amor–benevolente</w:t>
      </w:r>
      <w:r w:rsidR="00533313">
        <w:t xml:space="preserve"> </w:t>
      </w:r>
      <w:r>
        <w:t xml:space="preserve">hacia un amigo muy </w:t>
      </w:r>
      <w:r w:rsidR="00533313">
        <w:t>estimado</w:t>
      </w:r>
      <w:r>
        <w:t xml:space="preserve">, luego hacia una persona neutral como </w:t>
      </w:r>
      <w:r w:rsidR="00C73775">
        <w:t xml:space="preserve">si fuera </w:t>
      </w:r>
      <w:r>
        <w:t xml:space="preserve">un </w:t>
      </w:r>
      <w:r w:rsidR="009F09BC">
        <w:t xml:space="preserve">amigo </w:t>
      </w:r>
      <w:r>
        <w:t xml:space="preserve">muy </w:t>
      </w:r>
      <w:r w:rsidR="009F09BC">
        <w:t>estimado</w:t>
      </w:r>
      <w:r>
        <w:t>, luego hacia una persona hostil como neutral. Y mientras lo ha</w:t>
      </w:r>
      <w:r w:rsidR="009F09BC">
        <w:t>ga</w:t>
      </w:r>
      <w:r>
        <w:t>, debe</w:t>
      </w:r>
      <w:r w:rsidR="009F09BC">
        <w:t>rá</w:t>
      </w:r>
      <w:r>
        <w:t xml:space="preserve"> hacer que su mente sea maleable y manejable en cada instancia antes de pasar a la siguiente.</w:t>
      </w:r>
    </w:p>
    <w:p w14:paraId="0A043786" w14:textId="5BBA249A" w:rsidR="00AE4245" w:rsidRDefault="00AE4245" w:rsidP="00AE4245">
      <w:r>
        <w:t xml:space="preserve">13. </w:t>
      </w:r>
      <w:r>
        <w:tab/>
        <w:t>Pero si no tiene enemigo</w:t>
      </w:r>
      <w:r w:rsidR="00F85E33">
        <w:t>s</w:t>
      </w:r>
      <w:r>
        <w:t xml:space="preserve">, o </w:t>
      </w:r>
      <w:r w:rsidR="00073C90">
        <w:t>sea</w:t>
      </w:r>
      <w:r>
        <w:t xml:space="preserve"> </w:t>
      </w:r>
      <w:r w:rsidR="00D020E1">
        <w:t xml:space="preserve">que es como </w:t>
      </w:r>
      <w:r>
        <w:t>el tipo de un gran hombre que no percib</w:t>
      </w:r>
      <w:r w:rsidR="00073C90">
        <w:t>a</w:t>
      </w:r>
      <w:r>
        <w:t xml:space="preserve"> a otro como enemigo inclus</w:t>
      </w:r>
      <w:r w:rsidR="00B07F2E">
        <w:t>ive</w:t>
      </w:r>
      <w:r>
        <w:t xml:space="preserve"> cuando </w:t>
      </w:r>
      <w:r w:rsidR="00D020E1">
        <w:t>é</w:t>
      </w:r>
      <w:r w:rsidR="00073C90">
        <w:t>ste</w:t>
      </w:r>
      <w:r>
        <w:t xml:space="preserve"> otro le ha</w:t>
      </w:r>
      <w:r w:rsidR="00B07F2E">
        <w:t>ga</w:t>
      </w:r>
      <w:r>
        <w:t xml:space="preserve"> daño, no debe</w:t>
      </w:r>
      <w:r w:rsidR="00F86C99">
        <w:t>rá</w:t>
      </w:r>
      <w:r>
        <w:t xml:space="preserve"> interesarse </w:t>
      </w:r>
      <w:r w:rsidR="00F86C99">
        <w:t>en lo siguiente</w:t>
      </w:r>
      <w:r>
        <w:t>: “Ahora que mi con</w:t>
      </w:r>
      <w:r w:rsidR="00D020E1">
        <w:t>s</w:t>
      </w:r>
      <w:r>
        <w:t xml:space="preserve">ciencia de </w:t>
      </w:r>
      <w:r w:rsidR="00E44858" w:rsidRPr="0082231D">
        <w:rPr>
          <w:i/>
          <w:iCs/>
        </w:rPr>
        <w:t>amor–benevolente</w:t>
      </w:r>
      <w:r w:rsidR="00B07F2E">
        <w:t xml:space="preserve"> </w:t>
      </w:r>
      <w:r>
        <w:t xml:space="preserve">se ha vuelto manejable hacia una persona neutral, la aplicaré </w:t>
      </w:r>
      <w:r w:rsidR="00073C90">
        <w:t>hacia</w:t>
      </w:r>
      <w:r>
        <w:t xml:space="preserve"> una hostil.” [298] Más bien se trata</w:t>
      </w:r>
      <w:r w:rsidR="0015762E">
        <w:t>ba</w:t>
      </w:r>
      <w:r>
        <w:t xml:space="preserve"> de alguien que </w:t>
      </w:r>
      <w:r w:rsidR="00F66159">
        <w:t xml:space="preserve">realmente </w:t>
      </w:r>
      <w:r w:rsidR="0015762E">
        <w:t xml:space="preserve">tuviese </w:t>
      </w:r>
      <w:r>
        <w:t xml:space="preserve">un enemigo </w:t>
      </w:r>
      <w:r w:rsidR="00F66159">
        <w:t>cuando</w:t>
      </w:r>
      <w:r>
        <w:t xml:space="preserve"> se dijo anteriormente que </w:t>
      </w:r>
      <w:r w:rsidR="00F86C99">
        <w:t xml:space="preserve">él </w:t>
      </w:r>
      <w:r>
        <w:t>debe</w:t>
      </w:r>
      <w:r w:rsidR="002B5B69">
        <w:t>ría</w:t>
      </w:r>
      <w:r>
        <w:t xml:space="preserve"> desarrollar </w:t>
      </w:r>
      <w:r w:rsidR="00E44858" w:rsidRPr="0082231D">
        <w:rPr>
          <w:i/>
          <w:iCs/>
        </w:rPr>
        <w:t>amor–benevolente</w:t>
      </w:r>
      <w:r w:rsidR="00F86C99">
        <w:t xml:space="preserve"> </w:t>
      </w:r>
      <w:r>
        <w:t>hacia una persona hostil como neutral.</w:t>
      </w:r>
    </w:p>
    <w:p w14:paraId="5ED2C27B" w14:textId="0FC795D6" w:rsidR="00AE4245" w:rsidRDefault="00AE4245" w:rsidP="00AE4245">
      <w:pPr>
        <w:jc w:val="center"/>
      </w:pPr>
      <w:r>
        <w:t>[</w:t>
      </w:r>
      <w:r w:rsidR="00BF1A2E">
        <w:rPr>
          <w:i/>
          <w:iCs/>
        </w:rPr>
        <w:t xml:space="preserve">Disipación </w:t>
      </w:r>
      <w:r w:rsidRPr="00AE4245">
        <w:rPr>
          <w:i/>
          <w:iCs/>
        </w:rPr>
        <w:t xml:space="preserve">del </w:t>
      </w:r>
      <w:r w:rsidR="00CA4750" w:rsidRPr="00AE4245">
        <w:rPr>
          <w:i/>
          <w:iCs/>
        </w:rPr>
        <w:t>Resentimiento</w:t>
      </w:r>
      <w:r>
        <w:t>]</w:t>
      </w:r>
    </w:p>
    <w:p w14:paraId="567BC85E" w14:textId="62093FA8" w:rsidR="00AE4245" w:rsidRDefault="00AE4245" w:rsidP="00AE4245">
      <w:r>
        <w:t xml:space="preserve">14. </w:t>
      </w:r>
      <w:r>
        <w:tab/>
        <w:t>Si surg</w:t>
      </w:r>
      <w:r w:rsidR="00482FEE">
        <w:t>iese</w:t>
      </w:r>
      <w:r>
        <w:t xml:space="preserve"> resentimiento en él cuando </w:t>
      </w:r>
      <w:r w:rsidR="00625616">
        <w:t>transmitiese</w:t>
      </w:r>
      <w:r>
        <w:t xml:space="preserve"> </w:t>
      </w:r>
      <w:r w:rsidR="00625616">
        <w:t xml:space="preserve">con </w:t>
      </w:r>
      <w:r>
        <w:t xml:space="preserve">su mente </w:t>
      </w:r>
      <w:r w:rsidR="00E44858" w:rsidRPr="0082231D">
        <w:rPr>
          <w:i/>
          <w:iCs/>
        </w:rPr>
        <w:t>amor–benevolente</w:t>
      </w:r>
      <w:r w:rsidR="00515A87">
        <w:t xml:space="preserve"> haci</w:t>
      </w:r>
      <w:r>
        <w:t>a una persona hostil por rec</w:t>
      </w:r>
      <w:r w:rsidR="0075281B">
        <w:t>o</w:t>
      </w:r>
      <w:r>
        <w:t>rd</w:t>
      </w:r>
      <w:r w:rsidR="0075281B">
        <w:t>ar</w:t>
      </w:r>
      <w:r>
        <w:t xml:space="preserve"> los errores cometidos por </w:t>
      </w:r>
      <w:r w:rsidR="00F84C95">
        <w:t>tal</w:t>
      </w:r>
      <w:r>
        <w:t xml:space="preserve"> persona, debe</w:t>
      </w:r>
      <w:r w:rsidR="00515A87">
        <w:t>rá</w:t>
      </w:r>
      <w:r>
        <w:t xml:space="preserve"> deshacerse del resentimiento entrando repetidamente en </w:t>
      </w:r>
      <w:r w:rsidR="00B62D75">
        <w:t xml:space="preserve">el </w:t>
      </w:r>
      <w:r w:rsidR="00E44858" w:rsidRPr="0082231D">
        <w:rPr>
          <w:i/>
          <w:iCs/>
        </w:rPr>
        <w:t>amor–benevolente</w:t>
      </w:r>
      <w:r w:rsidR="00B62D75">
        <w:t xml:space="preserve"> </w:t>
      </w:r>
      <w:r>
        <w:t>[</w:t>
      </w:r>
      <w:proofErr w:type="spellStart"/>
      <w:r w:rsidR="00057BF4" w:rsidRPr="00057BF4">
        <w:rPr>
          <w:i/>
          <w:iCs/>
        </w:rPr>
        <w:t>jhāna</w:t>
      </w:r>
      <w:proofErr w:type="spellEnd"/>
      <w:r>
        <w:t xml:space="preserve">] hacia cualquiera de las personas mencionadas en primer lugar y luego, después de que haya emergido </w:t>
      </w:r>
      <w:r w:rsidR="00B62D75">
        <w:t>progresivamente</w:t>
      </w:r>
      <w:r w:rsidR="00625616">
        <w:t xml:space="preserve"> del estado en cuestión</w:t>
      </w:r>
      <w:r>
        <w:t xml:space="preserve">, </w:t>
      </w:r>
      <w:r w:rsidR="000F0669">
        <w:t xml:space="preserve">podrá transmitir </w:t>
      </w:r>
      <w:r w:rsidR="00E44858" w:rsidRPr="0082231D">
        <w:rPr>
          <w:i/>
          <w:iCs/>
        </w:rPr>
        <w:t>amor–benevolente</w:t>
      </w:r>
      <w:r w:rsidR="000F0669">
        <w:t xml:space="preserve"> </w:t>
      </w:r>
      <w:r>
        <w:t xml:space="preserve">hacia </w:t>
      </w:r>
      <w:r w:rsidR="00625616">
        <w:t>tal p</w:t>
      </w:r>
      <w:r>
        <w:t>ersona.</w:t>
      </w:r>
    </w:p>
    <w:p w14:paraId="65C29643" w14:textId="627E8DE4" w:rsidR="00AE4245" w:rsidRDefault="00AE4245" w:rsidP="00AE4245">
      <w:r>
        <w:t xml:space="preserve">15. </w:t>
      </w:r>
      <w:r w:rsidR="000F0669">
        <w:tab/>
      </w:r>
      <w:r>
        <w:t xml:space="preserve">Pero si </w:t>
      </w:r>
      <w:r w:rsidR="000F0669">
        <w:t xml:space="preserve">este resentimiento </w:t>
      </w:r>
      <w:r>
        <w:t xml:space="preserve">no </w:t>
      </w:r>
      <w:r w:rsidR="000F0669">
        <w:t>cesa</w:t>
      </w:r>
      <w:r w:rsidR="008F78C2">
        <w:t>se</w:t>
      </w:r>
      <w:r w:rsidR="000F0669">
        <w:t xml:space="preserve"> </w:t>
      </w:r>
      <w:r>
        <w:t xml:space="preserve">a pesar de </w:t>
      </w:r>
      <w:r w:rsidR="008F78C2">
        <w:t>estos</w:t>
      </w:r>
      <w:r>
        <w:t xml:space="preserve"> esfuerzos, entonces:</w:t>
      </w:r>
    </w:p>
    <w:p w14:paraId="750B798E" w14:textId="51FEB9F5" w:rsidR="00AE4245" w:rsidRPr="005F142D" w:rsidRDefault="00AE4245" w:rsidP="00CA4750">
      <w:pPr>
        <w:pStyle w:val="VersoIngls01Sangria"/>
        <w:rPr>
          <w:sz w:val="16"/>
          <w:szCs w:val="20"/>
        </w:rPr>
      </w:pPr>
      <w:r w:rsidRPr="005F142D">
        <w:rPr>
          <w:sz w:val="16"/>
          <w:szCs w:val="20"/>
        </w:rPr>
        <w:t>Qu</w:t>
      </w:r>
      <w:r w:rsidR="005F142D">
        <w:rPr>
          <w:sz w:val="16"/>
          <w:szCs w:val="20"/>
        </w:rPr>
        <w:t>é</w:t>
      </w:r>
      <w:r w:rsidRPr="005F142D">
        <w:rPr>
          <w:sz w:val="16"/>
          <w:szCs w:val="20"/>
        </w:rPr>
        <w:t xml:space="preserve"> reflexione </w:t>
      </w:r>
      <w:r w:rsidR="009B6F0A" w:rsidRPr="005F142D">
        <w:rPr>
          <w:sz w:val="16"/>
          <w:szCs w:val="20"/>
        </w:rPr>
        <w:t xml:space="preserve">en </w:t>
      </w:r>
      <w:r w:rsidR="00110C50" w:rsidRPr="005F142D">
        <w:rPr>
          <w:sz w:val="16"/>
          <w:szCs w:val="20"/>
        </w:rPr>
        <w:t>la máxima</w:t>
      </w:r>
    </w:p>
    <w:p w14:paraId="54432808" w14:textId="0E3C643E" w:rsidR="00AE4245" w:rsidRPr="005F142D" w:rsidRDefault="00AE4245" w:rsidP="00CA4750">
      <w:pPr>
        <w:pStyle w:val="VersoIngls01Sangria"/>
        <w:rPr>
          <w:sz w:val="16"/>
          <w:szCs w:val="20"/>
        </w:rPr>
      </w:pPr>
      <w:r w:rsidRPr="005F142D">
        <w:rPr>
          <w:sz w:val="16"/>
          <w:szCs w:val="20"/>
        </w:rPr>
        <w:t>Con otras figuras de ese tipo,</w:t>
      </w:r>
    </w:p>
    <w:p w14:paraId="6CC7ED97" w14:textId="1D357831" w:rsidR="001F4FE0" w:rsidRPr="005F142D" w:rsidRDefault="001F4FE0" w:rsidP="001F4FE0">
      <w:pPr>
        <w:pStyle w:val="VersoIngls01Sangria"/>
        <w:rPr>
          <w:sz w:val="16"/>
          <w:szCs w:val="20"/>
        </w:rPr>
      </w:pPr>
      <w:r w:rsidRPr="005F142D">
        <w:rPr>
          <w:sz w:val="16"/>
          <w:szCs w:val="20"/>
        </w:rPr>
        <w:t xml:space="preserve">Y </w:t>
      </w:r>
      <w:r w:rsidR="00722698" w:rsidRPr="005F142D">
        <w:rPr>
          <w:sz w:val="16"/>
          <w:szCs w:val="20"/>
        </w:rPr>
        <w:t xml:space="preserve">que se esfuerce </w:t>
      </w:r>
      <w:r w:rsidR="00625616" w:rsidRPr="005F142D">
        <w:rPr>
          <w:sz w:val="16"/>
          <w:szCs w:val="20"/>
        </w:rPr>
        <w:t xml:space="preserve">persistentemente, </w:t>
      </w:r>
      <w:r w:rsidR="00722698" w:rsidRPr="005F142D">
        <w:rPr>
          <w:sz w:val="16"/>
          <w:szCs w:val="20"/>
        </w:rPr>
        <w:t>una y otra vez</w:t>
      </w:r>
      <w:r w:rsidRPr="005F142D">
        <w:rPr>
          <w:sz w:val="16"/>
          <w:szCs w:val="20"/>
        </w:rPr>
        <w:t>,</w:t>
      </w:r>
    </w:p>
    <w:p w14:paraId="4CF2B6C3" w14:textId="1BD247B6" w:rsidR="001F4FE0" w:rsidRPr="005F142D" w:rsidRDefault="001F4FE0" w:rsidP="001F4FE0">
      <w:pPr>
        <w:pStyle w:val="VersoIngls01Sangria"/>
        <w:spacing w:after="100"/>
        <w:ind w:left="1418"/>
        <w:rPr>
          <w:sz w:val="16"/>
          <w:szCs w:val="20"/>
        </w:rPr>
      </w:pPr>
      <w:r w:rsidRPr="005F142D">
        <w:rPr>
          <w:sz w:val="16"/>
          <w:szCs w:val="20"/>
        </w:rPr>
        <w:t>Para dejar muy atrás e</w:t>
      </w:r>
      <w:r w:rsidR="00722698" w:rsidRPr="005F142D">
        <w:rPr>
          <w:sz w:val="16"/>
          <w:szCs w:val="20"/>
        </w:rPr>
        <w:t>ste</w:t>
      </w:r>
      <w:r w:rsidRPr="005F142D">
        <w:rPr>
          <w:sz w:val="16"/>
          <w:szCs w:val="20"/>
        </w:rPr>
        <w:t xml:space="preserve"> resentimiento.</w:t>
      </w:r>
    </w:p>
    <w:p w14:paraId="1F48B7AC" w14:textId="71A090AB" w:rsidR="00613486" w:rsidRDefault="00613486" w:rsidP="00613486">
      <w:pPr>
        <w:pStyle w:val="Piedepgina"/>
        <w:rPr>
          <w:u w:val="single"/>
        </w:rPr>
      </w:pPr>
      <w:r>
        <w:rPr>
          <w:u w:val="single"/>
        </w:rPr>
        <w:t xml:space="preserve">                                                                                                                                                                          .</w:t>
      </w:r>
    </w:p>
    <w:p w14:paraId="792E7AB2" w14:textId="3D64A889" w:rsidR="00613486" w:rsidRDefault="00AE4245" w:rsidP="00613486">
      <w:pPr>
        <w:pStyle w:val="PiedepginaLegal"/>
      </w:pPr>
      <w:r>
        <w:t xml:space="preserve">2. </w:t>
      </w:r>
      <w:r w:rsidR="00613486">
        <w:tab/>
      </w:r>
      <w:r>
        <w:t xml:space="preserve">Leer </w:t>
      </w:r>
      <w:proofErr w:type="spellStart"/>
      <w:r w:rsidRPr="00743E65">
        <w:rPr>
          <w:i/>
          <w:iCs/>
        </w:rPr>
        <w:t>dāna-piyavacanādīni</w:t>
      </w:r>
      <w:proofErr w:type="spellEnd"/>
      <w:r>
        <w:t xml:space="preserve"> </w:t>
      </w:r>
      <w:r w:rsidR="008B1902">
        <w:t>mediante</w:t>
      </w:r>
      <w:r>
        <w:t xml:space="preserve"> </w:t>
      </w:r>
      <w:r w:rsidRPr="00664E03">
        <w:rPr>
          <w:i/>
          <w:iCs/>
        </w:rPr>
        <w:t>Ce</w:t>
      </w:r>
      <w:r>
        <w:t xml:space="preserve"> (ver cuatro </w:t>
      </w:r>
      <w:proofErr w:type="spellStart"/>
      <w:r w:rsidRPr="00743E65">
        <w:rPr>
          <w:i/>
          <w:iCs/>
        </w:rPr>
        <w:t>saṅgahavatthūni</w:t>
      </w:r>
      <w:proofErr w:type="spellEnd"/>
      <w:r>
        <w:t>—A II 32).</w:t>
      </w:r>
    </w:p>
    <w:p w14:paraId="55CC721F" w14:textId="77777777" w:rsidR="00613486" w:rsidRDefault="00613486">
      <w:pPr>
        <w:tabs>
          <w:tab w:val="clear" w:pos="425"/>
        </w:tabs>
        <w:spacing w:after="160"/>
        <w:rPr>
          <w:color w:val="000000" w:themeColor="text1"/>
          <w:spacing w:val="10"/>
          <w:sz w:val="14"/>
        </w:rPr>
      </w:pPr>
      <w:r>
        <w:br w:type="page"/>
      </w:r>
    </w:p>
    <w:p w14:paraId="1427192D" w14:textId="77777777" w:rsidR="001F4FE0" w:rsidRDefault="001F4FE0" w:rsidP="00613486"/>
    <w:p w14:paraId="17CEB1B3" w14:textId="17533874" w:rsidR="00DF70D1" w:rsidRDefault="00DF70D1" w:rsidP="00DF70D1">
      <w:pPr>
        <w:pStyle w:val="NormalConSangria"/>
      </w:pPr>
      <w:r>
        <w:t xml:space="preserve">Debe amonestarse a sí mismo de esta manera: “Ahora, que </w:t>
      </w:r>
      <w:r w:rsidR="00D71C9B">
        <w:t>has llegado</w:t>
      </w:r>
      <w:r w:rsidR="00844C53">
        <w:t xml:space="preserve"> a</w:t>
      </w:r>
      <w:r>
        <w:t xml:space="preserve"> enoja</w:t>
      </w:r>
      <w:r w:rsidR="00844C53">
        <w:t>r</w:t>
      </w:r>
      <w:r w:rsidR="00625616">
        <w:t>t</w:t>
      </w:r>
      <w:r w:rsidR="00844C53">
        <w:t>e</w:t>
      </w:r>
      <w:r>
        <w:t xml:space="preserve">, ¿no ha dicho el </w:t>
      </w:r>
      <w:r w:rsidR="003759A6" w:rsidRPr="003759A6">
        <w:rPr>
          <w:i/>
          <w:iCs/>
        </w:rPr>
        <w:t>Bhagavā</w:t>
      </w:r>
      <w:r>
        <w:t xml:space="preserve"> esto: </w:t>
      </w:r>
      <w:r w:rsidRPr="00743E65">
        <w:rPr>
          <w:i/>
          <w:iCs/>
        </w:rPr>
        <w:t>'</w:t>
      </w:r>
      <w:proofErr w:type="spellStart"/>
      <w:r w:rsidR="00057BF4" w:rsidRPr="00057BF4">
        <w:rPr>
          <w:i/>
          <w:iCs/>
        </w:rPr>
        <w:t>Bhikkhu</w:t>
      </w:r>
      <w:r w:rsidRPr="00743E65">
        <w:rPr>
          <w:i/>
          <w:iCs/>
        </w:rPr>
        <w:t>s</w:t>
      </w:r>
      <w:proofErr w:type="spellEnd"/>
      <w:r>
        <w:t>, inclus</w:t>
      </w:r>
      <w:r w:rsidR="00844C53">
        <w:t>ive</w:t>
      </w:r>
      <w:r>
        <w:t xml:space="preserve"> si </w:t>
      </w:r>
      <w:r w:rsidR="00625616">
        <w:t>uno</w:t>
      </w:r>
      <w:r>
        <w:t>s bandidos corta</w:t>
      </w:r>
      <w:r w:rsidR="00410AAA">
        <w:t>ra</w:t>
      </w:r>
      <w:r>
        <w:t xml:space="preserve">n </w:t>
      </w:r>
      <w:r w:rsidR="00494916">
        <w:t xml:space="preserve">a alguien </w:t>
      </w:r>
      <w:r>
        <w:t xml:space="preserve">brutalmente miembro a miembro con una sierra de dos mangos, </w:t>
      </w:r>
      <w:r w:rsidRPr="009A2C00">
        <w:t>aquel que alberg</w:t>
      </w:r>
      <w:r w:rsidR="00825820" w:rsidRPr="009A2C00">
        <w:t>ue</w:t>
      </w:r>
      <w:r w:rsidRPr="009A2C00">
        <w:t xml:space="preserve"> odio en su corazón </w:t>
      </w:r>
      <w:r w:rsidR="00494916">
        <w:t>en virtud de ello</w:t>
      </w:r>
      <w:r w:rsidR="00D030A5" w:rsidRPr="009A2C00">
        <w:t xml:space="preserve"> </w:t>
      </w:r>
      <w:r w:rsidRPr="009A2C00">
        <w:t xml:space="preserve">no </w:t>
      </w:r>
      <w:r w:rsidR="009A2C00" w:rsidRPr="009A2C00">
        <w:t>podr</w:t>
      </w:r>
      <w:r w:rsidR="00D71C9B">
        <w:t>á</w:t>
      </w:r>
      <w:r w:rsidR="009A2C00" w:rsidRPr="009A2C00">
        <w:t xml:space="preserve"> ser</w:t>
      </w:r>
      <w:r w:rsidRPr="009A2C00">
        <w:t xml:space="preserve"> </w:t>
      </w:r>
      <w:r w:rsidR="00494916">
        <w:t xml:space="preserve">alguien </w:t>
      </w:r>
      <w:r w:rsidR="00DD2AC8" w:rsidRPr="009A2C00">
        <w:t xml:space="preserve">que </w:t>
      </w:r>
      <w:r w:rsidR="00410AAA" w:rsidRPr="009A2C00">
        <w:t>se desarroll</w:t>
      </w:r>
      <w:r w:rsidR="00625616">
        <w:t>ase</w:t>
      </w:r>
      <w:r w:rsidR="00410AAA" w:rsidRPr="009A2C00">
        <w:t xml:space="preserve"> en </w:t>
      </w:r>
      <w:r w:rsidRPr="009A2C00">
        <w:t>mi enseñanza?</w:t>
      </w:r>
      <w:r>
        <w:t>'” (M I 129). Y esto:</w:t>
      </w:r>
    </w:p>
    <w:p w14:paraId="6F83F106" w14:textId="2EA1538B" w:rsidR="00DF70D1" w:rsidRPr="005B3900" w:rsidRDefault="008B620A" w:rsidP="00DF70D1">
      <w:pPr>
        <w:pStyle w:val="VersoIngls01Sangria"/>
        <w:rPr>
          <w:sz w:val="16"/>
          <w:szCs w:val="20"/>
        </w:rPr>
      </w:pPr>
      <w:r w:rsidRPr="005B3900">
        <w:rPr>
          <w:sz w:val="16"/>
          <w:szCs w:val="20"/>
        </w:rPr>
        <w:t>“</w:t>
      </w:r>
      <w:r w:rsidR="00464B95" w:rsidRPr="005B3900">
        <w:rPr>
          <w:sz w:val="16"/>
          <w:szCs w:val="20"/>
        </w:rPr>
        <w:t>Retribuir</w:t>
      </w:r>
      <w:r w:rsidR="00B1306E" w:rsidRPr="005B3900">
        <w:rPr>
          <w:sz w:val="16"/>
          <w:szCs w:val="20"/>
        </w:rPr>
        <w:t xml:space="preserve"> </w:t>
      </w:r>
      <w:r w:rsidR="00DF70D1" w:rsidRPr="005B3900">
        <w:rPr>
          <w:sz w:val="16"/>
          <w:szCs w:val="20"/>
        </w:rPr>
        <w:t>a los hombres enojados en especie</w:t>
      </w:r>
      <w:r w:rsidRPr="005B3900">
        <w:rPr>
          <w:sz w:val="16"/>
          <w:szCs w:val="20"/>
        </w:rPr>
        <w:t>s</w:t>
      </w:r>
    </w:p>
    <w:p w14:paraId="33C25A95" w14:textId="78D352E2" w:rsidR="00DF70D1" w:rsidRPr="005B3900" w:rsidRDefault="008153ED" w:rsidP="00DF70D1">
      <w:pPr>
        <w:pStyle w:val="VersoIngls01Sangria"/>
        <w:rPr>
          <w:sz w:val="16"/>
          <w:szCs w:val="20"/>
        </w:rPr>
      </w:pPr>
      <w:r w:rsidRPr="008153ED">
        <w:rPr>
          <w:sz w:val="16"/>
          <w:szCs w:val="20"/>
        </w:rPr>
        <w:t>Primero</w:t>
      </w:r>
      <w:r>
        <w:rPr>
          <w:sz w:val="16"/>
          <w:szCs w:val="20"/>
        </w:rPr>
        <w:t>,</w:t>
      </w:r>
      <w:r w:rsidRPr="005B3900">
        <w:rPr>
          <w:sz w:val="16"/>
          <w:szCs w:val="20"/>
        </w:rPr>
        <w:t xml:space="preserve"> </w:t>
      </w:r>
      <w:r>
        <w:rPr>
          <w:sz w:val="16"/>
          <w:szCs w:val="20"/>
        </w:rPr>
        <w:t>e</w:t>
      </w:r>
      <w:r w:rsidR="00DF70D1" w:rsidRPr="005B3900">
        <w:rPr>
          <w:sz w:val="16"/>
          <w:szCs w:val="20"/>
        </w:rPr>
        <w:t>s peor que estar enojado;</w:t>
      </w:r>
    </w:p>
    <w:p w14:paraId="4219D315" w14:textId="3515BD71" w:rsidR="00DF70D1" w:rsidRPr="005B3900" w:rsidRDefault="00DF70D1" w:rsidP="00DF70D1">
      <w:pPr>
        <w:pStyle w:val="VersoIngls01Sangria"/>
        <w:rPr>
          <w:sz w:val="16"/>
          <w:szCs w:val="20"/>
        </w:rPr>
      </w:pPr>
      <w:r w:rsidRPr="005B3900">
        <w:rPr>
          <w:sz w:val="16"/>
          <w:szCs w:val="20"/>
        </w:rPr>
        <w:t xml:space="preserve">No </w:t>
      </w:r>
      <w:r w:rsidR="00464B95" w:rsidRPr="005B3900">
        <w:rPr>
          <w:sz w:val="16"/>
          <w:szCs w:val="20"/>
        </w:rPr>
        <w:t>retribuyan</w:t>
      </w:r>
      <w:r w:rsidRPr="005B3900">
        <w:rPr>
          <w:sz w:val="16"/>
          <w:szCs w:val="20"/>
        </w:rPr>
        <w:t xml:space="preserve"> a los hombres enojados en especie</w:t>
      </w:r>
      <w:r w:rsidR="00FB0934" w:rsidRPr="005B3900">
        <w:rPr>
          <w:sz w:val="16"/>
          <w:szCs w:val="20"/>
        </w:rPr>
        <w:t>s</w:t>
      </w:r>
    </w:p>
    <w:p w14:paraId="73C39502" w14:textId="50FDBFDA" w:rsidR="00DF70D1" w:rsidRPr="005B3900" w:rsidRDefault="00DF70D1" w:rsidP="00DF70D1">
      <w:pPr>
        <w:pStyle w:val="VersoIngls01Sangria"/>
        <w:spacing w:after="100"/>
        <w:ind w:left="1418"/>
        <w:rPr>
          <w:sz w:val="16"/>
          <w:szCs w:val="20"/>
        </w:rPr>
      </w:pPr>
      <w:r w:rsidRPr="005B3900">
        <w:rPr>
          <w:sz w:val="16"/>
          <w:szCs w:val="20"/>
        </w:rPr>
        <w:t>Y gan</w:t>
      </w:r>
      <w:r w:rsidR="005147DE" w:rsidRPr="005B3900">
        <w:rPr>
          <w:sz w:val="16"/>
          <w:szCs w:val="20"/>
        </w:rPr>
        <w:t>en</w:t>
      </w:r>
      <w:r w:rsidRPr="005B3900">
        <w:rPr>
          <w:sz w:val="16"/>
          <w:szCs w:val="20"/>
        </w:rPr>
        <w:t xml:space="preserve"> una batalla difícil de ganar.</w:t>
      </w:r>
    </w:p>
    <w:p w14:paraId="31385966" w14:textId="7C083106" w:rsidR="00DF70D1" w:rsidRPr="005B3900" w:rsidRDefault="00DF70D1" w:rsidP="00DF70D1">
      <w:pPr>
        <w:pStyle w:val="VersoIngls01Sangria"/>
        <w:rPr>
          <w:sz w:val="16"/>
          <w:szCs w:val="20"/>
        </w:rPr>
      </w:pPr>
      <w:r w:rsidRPr="005B3900">
        <w:rPr>
          <w:sz w:val="16"/>
          <w:szCs w:val="20"/>
        </w:rPr>
        <w:t xml:space="preserve">El bienestar de ambos </w:t>
      </w:r>
      <w:r w:rsidR="005147DE" w:rsidRPr="005B3900">
        <w:rPr>
          <w:sz w:val="16"/>
          <w:szCs w:val="20"/>
        </w:rPr>
        <w:t xml:space="preserve">él </w:t>
      </w:r>
      <w:r w:rsidRPr="005B3900">
        <w:rPr>
          <w:sz w:val="16"/>
          <w:szCs w:val="20"/>
        </w:rPr>
        <w:t>prom</w:t>
      </w:r>
      <w:r w:rsidR="003C0212" w:rsidRPr="005B3900">
        <w:rPr>
          <w:sz w:val="16"/>
          <w:szCs w:val="20"/>
        </w:rPr>
        <w:t>o</w:t>
      </w:r>
      <w:r w:rsidRPr="005B3900">
        <w:rPr>
          <w:sz w:val="16"/>
          <w:szCs w:val="20"/>
        </w:rPr>
        <w:t>ve</w:t>
      </w:r>
      <w:r w:rsidR="003C0212" w:rsidRPr="005B3900">
        <w:rPr>
          <w:sz w:val="16"/>
          <w:szCs w:val="20"/>
        </w:rPr>
        <w:t>rá</w:t>
      </w:r>
      <w:r w:rsidRPr="005B3900">
        <w:rPr>
          <w:sz w:val="16"/>
          <w:szCs w:val="20"/>
        </w:rPr>
        <w:t>,</w:t>
      </w:r>
    </w:p>
    <w:p w14:paraId="59CA78A4" w14:textId="77777777" w:rsidR="00DF70D1" w:rsidRPr="005B3900" w:rsidRDefault="00DF70D1" w:rsidP="00DF70D1">
      <w:pPr>
        <w:pStyle w:val="VersoIngls01Sangria"/>
        <w:rPr>
          <w:sz w:val="16"/>
          <w:szCs w:val="20"/>
        </w:rPr>
      </w:pPr>
      <w:r w:rsidRPr="005B3900">
        <w:rPr>
          <w:sz w:val="16"/>
          <w:szCs w:val="20"/>
        </w:rPr>
        <w:t>La suya y luego la del otro también,</w:t>
      </w:r>
    </w:p>
    <w:p w14:paraId="47831C92" w14:textId="23964708" w:rsidR="00DF70D1" w:rsidRPr="005B3900" w:rsidRDefault="00DF70D1" w:rsidP="00DF70D1">
      <w:pPr>
        <w:pStyle w:val="VersoIngls01Sangria"/>
        <w:rPr>
          <w:sz w:val="16"/>
          <w:szCs w:val="20"/>
        </w:rPr>
      </w:pPr>
      <w:r w:rsidRPr="005B3900">
        <w:rPr>
          <w:sz w:val="16"/>
          <w:szCs w:val="20"/>
        </w:rPr>
        <w:t>Quién cono</w:t>
      </w:r>
      <w:r w:rsidR="000B51C7" w:rsidRPr="005B3900">
        <w:rPr>
          <w:sz w:val="16"/>
          <w:szCs w:val="20"/>
        </w:rPr>
        <w:t>zca</w:t>
      </w:r>
      <w:r w:rsidRPr="005B3900">
        <w:rPr>
          <w:sz w:val="16"/>
          <w:szCs w:val="20"/>
        </w:rPr>
        <w:t xml:space="preserve"> la ira ajena</w:t>
      </w:r>
    </w:p>
    <w:p w14:paraId="0BEBE396" w14:textId="155F0103" w:rsidR="00DF70D1" w:rsidRPr="005B3900" w:rsidRDefault="00DF70D1" w:rsidP="00DF70D1">
      <w:pPr>
        <w:pStyle w:val="VersoIngls01Sangria"/>
        <w:spacing w:after="100"/>
        <w:ind w:left="1418"/>
        <w:rPr>
          <w:sz w:val="16"/>
          <w:szCs w:val="20"/>
        </w:rPr>
      </w:pPr>
      <w:r w:rsidRPr="005B3900">
        <w:rPr>
          <w:sz w:val="16"/>
          <w:szCs w:val="20"/>
        </w:rPr>
        <w:t xml:space="preserve">y </w:t>
      </w:r>
      <w:r w:rsidR="008153ED" w:rsidRPr="005B3900">
        <w:rPr>
          <w:sz w:val="16"/>
          <w:szCs w:val="20"/>
        </w:rPr>
        <w:t xml:space="preserve">conscientemente </w:t>
      </w:r>
      <w:r w:rsidR="000B51C7" w:rsidRPr="005B3900">
        <w:rPr>
          <w:sz w:val="16"/>
          <w:szCs w:val="20"/>
        </w:rPr>
        <w:t xml:space="preserve">se </w:t>
      </w:r>
      <w:r w:rsidRPr="005B3900">
        <w:rPr>
          <w:sz w:val="16"/>
          <w:szCs w:val="20"/>
        </w:rPr>
        <w:t>manten</w:t>
      </w:r>
      <w:r w:rsidR="000B51C7" w:rsidRPr="005B3900">
        <w:rPr>
          <w:sz w:val="16"/>
          <w:szCs w:val="20"/>
        </w:rPr>
        <w:t>ga</w:t>
      </w:r>
      <w:r w:rsidRPr="005B3900">
        <w:rPr>
          <w:sz w:val="16"/>
          <w:szCs w:val="20"/>
        </w:rPr>
        <w:t xml:space="preserve"> en paz” (S I 162).</w:t>
      </w:r>
    </w:p>
    <w:p w14:paraId="73869D19" w14:textId="489FBB62" w:rsidR="00DF70D1" w:rsidRDefault="004C7660" w:rsidP="00DF70D1">
      <w:pPr>
        <w:pStyle w:val="NormalConSangria"/>
      </w:pPr>
      <w:r>
        <w:t>Además</w:t>
      </w:r>
      <w:r w:rsidR="00DF70D1">
        <w:t>: “</w:t>
      </w:r>
      <w:proofErr w:type="spellStart"/>
      <w:r w:rsidR="00057BF4" w:rsidRPr="00057BF4">
        <w:rPr>
          <w:i/>
          <w:iCs/>
        </w:rPr>
        <w:t>Bhikkhu</w:t>
      </w:r>
      <w:r w:rsidR="00DF70D1" w:rsidRPr="00D1758B">
        <w:rPr>
          <w:i/>
          <w:iCs/>
        </w:rPr>
        <w:t>s</w:t>
      </w:r>
      <w:proofErr w:type="spellEnd"/>
      <w:r w:rsidR="00DF70D1">
        <w:t xml:space="preserve">, </w:t>
      </w:r>
      <w:r w:rsidR="000B2151">
        <w:t>existen</w:t>
      </w:r>
      <w:r w:rsidR="00DF70D1">
        <w:t xml:space="preserve"> siete cosas gratificantes y útiles </w:t>
      </w:r>
      <w:r w:rsidR="00F0162E">
        <w:t>para</w:t>
      </w:r>
      <w:r w:rsidR="00DF70D1">
        <w:t xml:space="preserve"> un enemigo </w:t>
      </w:r>
      <w:r>
        <w:t>que</w:t>
      </w:r>
      <w:r w:rsidR="005B190D">
        <w:t xml:space="preserve"> </w:t>
      </w:r>
      <w:r w:rsidR="000E102D">
        <w:t>ocurr</w:t>
      </w:r>
      <w:r>
        <w:t>en</w:t>
      </w:r>
      <w:r w:rsidR="00DF70D1">
        <w:t xml:space="preserve"> </w:t>
      </w:r>
      <w:r>
        <w:t>en</w:t>
      </w:r>
      <w:r w:rsidR="00DF70D1">
        <w:t xml:space="preserve"> alguien que </w:t>
      </w:r>
      <w:r>
        <w:t xml:space="preserve">se encuentre </w:t>
      </w:r>
      <w:r w:rsidR="00DF70D1">
        <w:t>enojado</w:t>
      </w:r>
      <w:r>
        <w:t xml:space="preserve"> con él</w:t>
      </w:r>
      <w:r w:rsidR="00DF70D1">
        <w:t>, ya sea hombre o mujer. ¿</w:t>
      </w:r>
      <w:r w:rsidR="000B2151">
        <w:t xml:space="preserve">Cuáles </w:t>
      </w:r>
      <w:r w:rsidR="00DF70D1">
        <w:t xml:space="preserve">siete? </w:t>
      </w:r>
      <w:r w:rsidR="00DB638F">
        <w:t>Al respecto</w:t>
      </w:r>
      <w:r w:rsidR="00DF70D1">
        <w:t xml:space="preserve">, </w:t>
      </w:r>
      <w:proofErr w:type="spellStart"/>
      <w:r w:rsidR="00057BF4" w:rsidRPr="00057BF4">
        <w:rPr>
          <w:i/>
          <w:iCs/>
        </w:rPr>
        <w:t>bhikkhu</w:t>
      </w:r>
      <w:r w:rsidR="00DF70D1" w:rsidRPr="00D1758B">
        <w:rPr>
          <w:i/>
          <w:iCs/>
        </w:rPr>
        <w:t>s</w:t>
      </w:r>
      <w:proofErr w:type="spellEnd"/>
      <w:r w:rsidR="00DF70D1">
        <w:t>, un enemigo desea</w:t>
      </w:r>
      <w:r w:rsidR="005B190D">
        <w:t>rá</w:t>
      </w:r>
      <w:r w:rsidR="00DF70D1">
        <w:t xml:space="preserve"> </w:t>
      </w:r>
      <w:r w:rsidR="005B190D">
        <w:t>lo siguiente par</w:t>
      </w:r>
      <w:r w:rsidR="00DF70D1">
        <w:t xml:space="preserve">a su enemigo, '¡Que sea feo!' ¿Por qué es eso? Un enemigo no se </w:t>
      </w:r>
      <w:r w:rsidR="005A23EF">
        <w:t>complace</w:t>
      </w:r>
      <w:r w:rsidR="0085682C">
        <w:t>rá</w:t>
      </w:r>
      <w:r w:rsidR="005A23EF">
        <w:t xml:space="preserve"> </w:t>
      </w:r>
      <w:r w:rsidR="00DF70D1">
        <w:t xml:space="preserve">en la belleza de </w:t>
      </w:r>
      <w:r w:rsidR="00DB638F">
        <w:t>su</w:t>
      </w:r>
      <w:r w:rsidR="00DF70D1">
        <w:t xml:space="preserve"> enemigo. Ahora, esta persona enojada </w:t>
      </w:r>
      <w:r w:rsidR="005B190D">
        <w:t xml:space="preserve">será </w:t>
      </w:r>
      <w:r w:rsidR="00DF70D1">
        <w:t>presa de la ira, gobernada por la ira; aunque bien bañad</w:t>
      </w:r>
      <w:r w:rsidR="009E6E6E">
        <w:t>a</w:t>
      </w:r>
      <w:r w:rsidR="00DF70D1">
        <w:t>, bien ungid</w:t>
      </w:r>
      <w:r w:rsidR="009E6E6E">
        <w:t>a</w:t>
      </w:r>
      <w:r w:rsidR="00DF70D1">
        <w:t xml:space="preserve">, con el </w:t>
      </w:r>
      <w:r w:rsidR="009E6E6E">
        <w:t>cabello</w:t>
      </w:r>
      <w:r w:rsidR="00DF70D1">
        <w:t xml:space="preserve"> y la barba recortad</w:t>
      </w:r>
      <w:r w:rsidR="00DB638F">
        <w:t>as</w:t>
      </w:r>
      <w:r w:rsidR="00DF70D1">
        <w:t xml:space="preserve"> y </w:t>
      </w:r>
      <w:r w:rsidR="005B190D">
        <w:t xml:space="preserve">el </w:t>
      </w:r>
      <w:r w:rsidR="00DF70D1">
        <w:t xml:space="preserve">vestido blanco, </w:t>
      </w:r>
      <w:r w:rsidR="005B190D">
        <w:t xml:space="preserve">será </w:t>
      </w:r>
      <w:r w:rsidR="00DF70D1">
        <w:t>fe</w:t>
      </w:r>
      <w:r w:rsidR="00174E54">
        <w:t>a</w:t>
      </w:r>
      <w:r w:rsidR="00DF70D1">
        <w:t xml:space="preserve">, presa de la ira. </w:t>
      </w:r>
      <w:r w:rsidR="00174E54">
        <w:t>É</w:t>
      </w:r>
      <w:r w:rsidR="00DF70D1">
        <w:t xml:space="preserve">sta es la primera cosa gratificante y útil </w:t>
      </w:r>
      <w:r w:rsidR="00C82531">
        <w:t>para</w:t>
      </w:r>
      <w:r w:rsidR="00174E54">
        <w:t xml:space="preserve"> </w:t>
      </w:r>
      <w:r w:rsidR="00DF70D1">
        <w:t xml:space="preserve">un enemigo que </w:t>
      </w:r>
      <w:r w:rsidR="0053769C">
        <w:t>caerá sobre</w:t>
      </w:r>
      <w:r w:rsidR="00DF70D1">
        <w:t xml:space="preserve"> alguien que est</w:t>
      </w:r>
      <w:r w:rsidR="00A52BA4">
        <w:t>é</w:t>
      </w:r>
      <w:r w:rsidR="00DF70D1">
        <w:t xml:space="preserve"> enojado, ya sea hombre o mujer. Además, un enemigo desea</w:t>
      </w:r>
      <w:r w:rsidR="00A52BA4">
        <w:t>rá</w:t>
      </w:r>
      <w:r w:rsidR="00DF70D1">
        <w:t xml:space="preserve"> </w:t>
      </w:r>
      <w:r w:rsidR="00A52BA4">
        <w:t xml:space="preserve">lo siguiente </w:t>
      </w:r>
      <w:r w:rsidR="006C13BC">
        <w:t>de</w:t>
      </w:r>
      <w:r w:rsidR="00DF70D1">
        <w:t xml:space="preserve"> su enemigo: '¡Qu</w:t>
      </w:r>
      <w:r w:rsidR="00E24FD6">
        <w:t>é</w:t>
      </w:r>
      <w:r w:rsidR="00DF70D1">
        <w:t xml:space="preserve"> duerma</w:t>
      </w:r>
      <w:r w:rsidR="00A52BA4">
        <w:t xml:space="preserve"> en dolor</w:t>
      </w:r>
      <w:r w:rsidR="00DF70D1">
        <w:t>!'... '¡Qu</w:t>
      </w:r>
      <w:r w:rsidR="00E24FD6">
        <w:t>é</w:t>
      </w:r>
      <w:r w:rsidR="00DF70D1">
        <w:t xml:space="preserve"> no tenga fortuna!'... '¡Qu</w:t>
      </w:r>
      <w:r w:rsidR="00E24FD6">
        <w:t>é</w:t>
      </w:r>
      <w:r w:rsidR="00DF70D1">
        <w:t xml:space="preserve"> no sea rico!'... '¡Qu</w:t>
      </w:r>
      <w:r w:rsidR="00E24FD6">
        <w:t>é</w:t>
      </w:r>
      <w:r w:rsidR="00DF70D1">
        <w:t xml:space="preserve"> no sea famoso!'... '¡Qu</w:t>
      </w:r>
      <w:r w:rsidR="00E24FD6">
        <w:t>é</w:t>
      </w:r>
      <w:r w:rsidR="00DF70D1">
        <w:t xml:space="preserve"> </w:t>
      </w:r>
      <w:r w:rsidR="00A52BA4">
        <w:t xml:space="preserve">no </w:t>
      </w:r>
      <w:r w:rsidR="00DF70D1">
        <w:t>tenga amigos!' [299] ... '¡</w:t>
      </w:r>
      <w:r w:rsidR="00A52BA4">
        <w:t>Qué n</w:t>
      </w:r>
      <w:r w:rsidR="00DF70D1">
        <w:t xml:space="preserve">o </w:t>
      </w:r>
      <w:r w:rsidR="00A52BA4">
        <w:t xml:space="preserve">se </w:t>
      </w:r>
      <w:r w:rsidR="006C13BC">
        <w:t xml:space="preserve">le </w:t>
      </w:r>
      <w:r w:rsidR="00DF70D1">
        <w:t xml:space="preserve">permita que, al </w:t>
      </w:r>
      <w:r w:rsidR="00A52BA4">
        <w:t>terminar su vida</w:t>
      </w:r>
      <w:r w:rsidR="00DF70D1">
        <w:t>, después de la muerte, reaparezca en un destino feliz en el mundo celestial!'</w:t>
      </w:r>
      <w:r w:rsidR="00DF70D1" w:rsidRPr="00360E87">
        <w:rPr>
          <w:vertAlign w:val="superscript"/>
        </w:rPr>
        <w:t>3</w:t>
      </w:r>
      <w:r w:rsidR="00DF70D1">
        <w:t xml:space="preserve"> ¿Por qué? </w:t>
      </w:r>
      <w:proofErr w:type="spellStart"/>
      <w:r w:rsidR="008E7100">
        <w:t>Por que</w:t>
      </w:r>
      <w:proofErr w:type="spellEnd"/>
      <w:r w:rsidR="008E7100">
        <w:t xml:space="preserve"> u</w:t>
      </w:r>
      <w:r w:rsidR="00DF70D1">
        <w:t xml:space="preserve">n enemigo no se </w:t>
      </w:r>
      <w:r w:rsidR="008E7100">
        <w:t xml:space="preserve">complace con la idea de </w:t>
      </w:r>
      <w:r w:rsidR="00DF70D1">
        <w:t xml:space="preserve">que </w:t>
      </w:r>
      <w:r w:rsidR="006C13BC">
        <w:t>su</w:t>
      </w:r>
      <w:r w:rsidR="00DF70D1">
        <w:t xml:space="preserve"> enemigo </w:t>
      </w:r>
      <w:r w:rsidR="008E7100">
        <w:t>se dirija hacia</w:t>
      </w:r>
      <w:r w:rsidR="00DF70D1">
        <w:t xml:space="preserve"> un destino feliz. Ahora</w:t>
      </w:r>
      <w:r w:rsidR="00CB53A2">
        <w:t xml:space="preserve"> bien</w:t>
      </w:r>
      <w:r w:rsidR="00DF70D1">
        <w:t xml:space="preserve">, esta persona enojada </w:t>
      </w:r>
      <w:r w:rsidR="00CB53A2">
        <w:t xml:space="preserve">será </w:t>
      </w:r>
      <w:r w:rsidR="00DF70D1">
        <w:t xml:space="preserve">presa de </w:t>
      </w:r>
      <w:r w:rsidR="006C13BC">
        <w:t xml:space="preserve">la </w:t>
      </w:r>
      <w:r w:rsidR="00DF70D1">
        <w:t>ira, gobernada por la ira; se comporta</w:t>
      </w:r>
      <w:r w:rsidR="00546915">
        <w:t>rá</w:t>
      </w:r>
      <w:r w:rsidR="00DF70D1">
        <w:t xml:space="preserve"> mal </w:t>
      </w:r>
      <w:r w:rsidR="00546915">
        <w:t>física</w:t>
      </w:r>
      <w:r w:rsidR="00DF70D1">
        <w:t xml:space="preserve">, </w:t>
      </w:r>
      <w:r w:rsidR="00546915">
        <w:t xml:space="preserve">verbal </w:t>
      </w:r>
      <w:r w:rsidR="00DF70D1">
        <w:t>y ment</w:t>
      </w:r>
      <w:r w:rsidR="00546915">
        <w:t>almente</w:t>
      </w:r>
      <w:r w:rsidR="00DF70D1">
        <w:t xml:space="preserve">. Conduciéndose así </w:t>
      </w:r>
      <w:r w:rsidR="00546915">
        <w:t>hacia e</w:t>
      </w:r>
      <w:r w:rsidR="004A44F8">
        <w:t xml:space="preserve">l </w:t>
      </w:r>
      <w:r w:rsidR="00DF70D1">
        <w:t xml:space="preserve">mal </w:t>
      </w:r>
      <w:r w:rsidR="004A44F8">
        <w:t>corporal</w:t>
      </w:r>
      <w:r w:rsidR="00DF70D1">
        <w:t xml:space="preserve">, </w:t>
      </w:r>
      <w:r w:rsidR="004A44F8">
        <w:t>verbal</w:t>
      </w:r>
      <w:r w:rsidR="00DF70D1">
        <w:t xml:space="preserve"> y ment</w:t>
      </w:r>
      <w:r w:rsidR="004A44F8">
        <w:t>al</w:t>
      </w:r>
      <w:r w:rsidR="00DF70D1">
        <w:t xml:space="preserve">, al </w:t>
      </w:r>
      <w:r w:rsidR="004A44F8">
        <w:t>terminar su vida</w:t>
      </w:r>
      <w:r w:rsidR="00DF70D1">
        <w:t>, después de la muerte, reaparece</w:t>
      </w:r>
      <w:r w:rsidR="004A44F8">
        <w:t>rá</w:t>
      </w:r>
      <w:r w:rsidR="00DF70D1">
        <w:t xml:space="preserve"> en un estado de </w:t>
      </w:r>
      <w:r w:rsidR="004A44F8">
        <w:t>perdición</w:t>
      </w:r>
      <w:r w:rsidR="00DF70D1">
        <w:t xml:space="preserve">, en un destino infeliz, </w:t>
      </w:r>
      <w:r w:rsidR="00546915">
        <w:t xml:space="preserve">en su ruina, </w:t>
      </w:r>
      <w:r w:rsidR="00DF70D1">
        <w:t xml:space="preserve">en el infierno, </w:t>
      </w:r>
      <w:r w:rsidR="00FA674F">
        <w:t xml:space="preserve">al ser </w:t>
      </w:r>
      <w:r w:rsidR="00DF70D1">
        <w:t>pres</w:t>
      </w:r>
      <w:r w:rsidR="009E6833">
        <w:t>o</w:t>
      </w:r>
      <w:r w:rsidR="00DF70D1">
        <w:t xml:space="preserve"> de la ira” (A IV 94) </w:t>
      </w:r>
      <w:r w:rsidR="00546915">
        <w:t>Además</w:t>
      </w:r>
      <w:r w:rsidR="00DF70D1">
        <w:t>: “’</w:t>
      </w:r>
      <w:r w:rsidR="00546915">
        <w:t xml:space="preserve">Así </w:t>
      </w:r>
      <w:r w:rsidR="009C1377">
        <w:t xml:space="preserve">como </w:t>
      </w:r>
      <w:r w:rsidR="00546915">
        <w:t>el</w:t>
      </w:r>
      <w:r w:rsidR="00DF70D1">
        <w:t xml:space="preserve"> leño de una pira, quemado </w:t>
      </w:r>
      <w:r w:rsidR="009C1377">
        <w:t>en ambos</w:t>
      </w:r>
      <w:r w:rsidR="00DF70D1">
        <w:t xml:space="preserve"> extremos y ensuciado por la mitad, no </w:t>
      </w:r>
      <w:r w:rsidR="009E6833">
        <w:t>serviría</w:t>
      </w:r>
      <w:r w:rsidR="00DF70D1">
        <w:t xml:space="preserve"> </w:t>
      </w:r>
      <w:r w:rsidR="00464B95">
        <w:t>como</w:t>
      </w:r>
      <w:r w:rsidR="00DF70D1">
        <w:t xml:space="preserve"> madera en el pueblo ni </w:t>
      </w:r>
      <w:r w:rsidR="00464B95">
        <w:t xml:space="preserve">como </w:t>
      </w:r>
      <w:r w:rsidR="00DF70D1">
        <w:t xml:space="preserve">madera en el bosque, </w:t>
      </w:r>
      <w:r w:rsidR="00464B95">
        <w:t xml:space="preserve">afirmo que </w:t>
      </w:r>
      <w:r w:rsidR="00DF70D1">
        <w:t xml:space="preserve">así </w:t>
      </w:r>
      <w:r w:rsidR="00AA6D54">
        <w:t xml:space="preserve">será </w:t>
      </w:r>
      <w:r w:rsidR="00DF70D1">
        <w:t xml:space="preserve">una persona como ésta” (A II 95, 90) “Si </w:t>
      </w:r>
      <w:r w:rsidR="00464B95">
        <w:t xml:space="preserve">se siente </w:t>
      </w:r>
      <w:r w:rsidR="00DF70D1">
        <w:t xml:space="preserve">enojado ahora, será </w:t>
      </w:r>
      <w:r w:rsidR="00464B95">
        <w:t xml:space="preserve">alguien </w:t>
      </w:r>
      <w:r w:rsidR="00DF70D1">
        <w:t xml:space="preserve">que no </w:t>
      </w:r>
      <w:r w:rsidR="00464B95">
        <w:t xml:space="preserve">albergue </w:t>
      </w:r>
      <w:r w:rsidR="00DF70D1">
        <w:t xml:space="preserve">la enseñanza del </w:t>
      </w:r>
      <w:r w:rsidR="00C4512D" w:rsidRPr="00C4512D">
        <w:rPr>
          <w:i/>
          <w:iCs/>
        </w:rPr>
        <w:t>Bhagavā</w:t>
      </w:r>
      <w:r w:rsidR="00DF70D1">
        <w:t xml:space="preserve">; al </w:t>
      </w:r>
      <w:r w:rsidR="00464B95">
        <w:t xml:space="preserve">retribuirle </w:t>
      </w:r>
      <w:r w:rsidR="00DF70D1">
        <w:t>a un hombre enojado en especie</w:t>
      </w:r>
      <w:r w:rsidR="00464B95">
        <w:t>s</w:t>
      </w:r>
      <w:r w:rsidR="00DF70D1">
        <w:t xml:space="preserve">, será peor que el hombre enojado y no ganará </w:t>
      </w:r>
      <w:r w:rsidR="00AA6D54">
        <w:t>un</w:t>
      </w:r>
      <w:r w:rsidR="00DF70D1">
        <w:t xml:space="preserve">a batalla </w:t>
      </w:r>
      <w:r w:rsidR="00464B95">
        <w:t xml:space="preserve">que es </w:t>
      </w:r>
      <w:r w:rsidR="00DF70D1">
        <w:t xml:space="preserve">difícil de ganar; </w:t>
      </w:r>
      <w:r w:rsidR="00C4512D">
        <w:t>s</w:t>
      </w:r>
      <w:r w:rsidR="00DF70D1">
        <w:t>e hará</w:t>
      </w:r>
      <w:r w:rsidR="00C4512D">
        <w:t>n</w:t>
      </w:r>
      <w:r w:rsidR="00DF70D1">
        <w:t xml:space="preserve"> a </w:t>
      </w:r>
      <w:r w:rsidR="00C4512D">
        <w:t>sí</w:t>
      </w:r>
      <w:r w:rsidR="00DF70D1">
        <w:t xml:space="preserve"> mismo</w:t>
      </w:r>
      <w:r w:rsidR="00C4512D">
        <w:t>s</w:t>
      </w:r>
      <w:r w:rsidR="00DF70D1">
        <w:t xml:space="preserve"> las cosas que </w:t>
      </w:r>
      <w:r w:rsidR="00714413">
        <w:t>contribuyan</w:t>
      </w:r>
      <w:r w:rsidR="00DF70D1">
        <w:t xml:space="preserve"> </w:t>
      </w:r>
      <w:r w:rsidR="00714413">
        <w:t xml:space="preserve">con </w:t>
      </w:r>
      <w:r w:rsidR="00873416">
        <w:t>s</w:t>
      </w:r>
      <w:r w:rsidR="00DF70D1">
        <w:t>u enemigo; y será</w:t>
      </w:r>
      <w:r w:rsidR="00873416">
        <w:t>n</w:t>
      </w:r>
      <w:r w:rsidR="00DF70D1">
        <w:t xml:space="preserve"> como </w:t>
      </w:r>
      <w:r w:rsidR="00714413">
        <w:t>el</w:t>
      </w:r>
      <w:r w:rsidR="00DF70D1">
        <w:t xml:space="preserve"> leño </w:t>
      </w:r>
      <w:r w:rsidR="00714413">
        <w:t xml:space="preserve">quemado </w:t>
      </w:r>
      <w:r w:rsidR="00DF70D1">
        <w:t xml:space="preserve">de </w:t>
      </w:r>
      <w:r w:rsidR="00873416">
        <w:t xml:space="preserve">una </w:t>
      </w:r>
      <w:r w:rsidR="00DF70D1">
        <w:t>pira.” (</w:t>
      </w:r>
      <w:r w:rsidR="00DF70D1" w:rsidRPr="00A42FCF">
        <w:rPr>
          <w:i/>
          <w:iCs/>
        </w:rPr>
        <w:t>Fuente no rastreada</w:t>
      </w:r>
      <w:r w:rsidR="00DF70D1">
        <w:t>)</w:t>
      </w:r>
    </w:p>
    <w:p w14:paraId="0E45BD59" w14:textId="1DC93332" w:rsidR="00DF70D1" w:rsidRDefault="00DF70D1" w:rsidP="00DF70D1">
      <w:r>
        <w:t xml:space="preserve">16. </w:t>
      </w:r>
      <w:r>
        <w:tab/>
        <w:t>Si su resentimiento se calma</w:t>
      </w:r>
      <w:r w:rsidR="00D34BBB">
        <w:t>se</w:t>
      </w:r>
      <w:r>
        <w:t xml:space="preserve"> cuando luch</w:t>
      </w:r>
      <w:r w:rsidR="00C45307">
        <w:t>e</w:t>
      </w:r>
      <w:r>
        <w:t xml:space="preserve"> y se esfuer</w:t>
      </w:r>
      <w:r w:rsidR="00C45307">
        <w:t>ce</w:t>
      </w:r>
      <w:r>
        <w:t xml:space="preserve"> </w:t>
      </w:r>
      <w:r w:rsidR="00C45307">
        <w:t>así</w:t>
      </w:r>
      <w:r>
        <w:t>, s</w:t>
      </w:r>
      <w:r w:rsidR="00A60DFC">
        <w:t>erá</w:t>
      </w:r>
      <w:r>
        <w:t xml:space="preserve"> bueno. Si no, entonces debe</w:t>
      </w:r>
      <w:r w:rsidR="00A60DFC">
        <w:t>rá</w:t>
      </w:r>
      <w:r>
        <w:t xml:space="preserve"> eliminar la irritación </w:t>
      </w:r>
      <w:r w:rsidR="00C45307">
        <w:t>evocando</w:t>
      </w:r>
      <w:r>
        <w:t xml:space="preserve"> algún estado controlado y purificado </w:t>
      </w:r>
      <w:r w:rsidR="00736B99">
        <w:t>sobre</w:t>
      </w:r>
      <w:r>
        <w:t xml:space="preserve"> esa persona, </w:t>
      </w:r>
      <w:r w:rsidR="00185828">
        <w:t xml:space="preserve">algo </w:t>
      </w:r>
      <w:r>
        <w:t>que inspir</w:t>
      </w:r>
      <w:r w:rsidR="00C45307">
        <w:t>e</w:t>
      </w:r>
      <w:r>
        <w:t xml:space="preserve"> confianza cuando se </w:t>
      </w:r>
      <w:r w:rsidR="00185828">
        <w:t>evoque</w:t>
      </w:r>
      <w:r>
        <w:t>.</w:t>
      </w:r>
    </w:p>
    <w:p w14:paraId="0EB79826" w14:textId="6208726C" w:rsidR="008B1902" w:rsidRPr="00077311" w:rsidRDefault="00DF70D1" w:rsidP="00DF70D1">
      <w:r w:rsidRPr="00077311">
        <w:t xml:space="preserve">17. </w:t>
      </w:r>
      <w:r w:rsidRPr="00077311">
        <w:tab/>
      </w:r>
      <w:r w:rsidR="00B14204" w:rsidRPr="00077311">
        <w:t>Ya que u</w:t>
      </w:r>
      <w:r w:rsidR="000B514D" w:rsidRPr="00077311">
        <w:t xml:space="preserve">n </w:t>
      </w:r>
      <w:r w:rsidR="00077311">
        <w:t>individuo</w:t>
      </w:r>
      <w:r w:rsidRPr="00077311">
        <w:t xml:space="preserve"> </w:t>
      </w:r>
      <w:r w:rsidR="00C45307" w:rsidRPr="00077311">
        <w:t>podr</w:t>
      </w:r>
      <w:r w:rsidR="00185828" w:rsidRPr="00077311">
        <w:t>ía</w:t>
      </w:r>
      <w:r w:rsidR="00C45307" w:rsidRPr="00077311">
        <w:t xml:space="preserve"> </w:t>
      </w:r>
      <w:r w:rsidRPr="00077311">
        <w:t>ser controlad</w:t>
      </w:r>
      <w:r w:rsidR="009A3915">
        <w:t>o</w:t>
      </w:r>
      <w:r w:rsidRPr="00077311">
        <w:t xml:space="preserve"> en su comportamiento </w:t>
      </w:r>
      <w:r w:rsidR="005D0978">
        <w:t>físico</w:t>
      </w:r>
      <w:r w:rsidRPr="00077311">
        <w:t xml:space="preserve"> </w:t>
      </w:r>
      <w:r w:rsidR="0040335E">
        <w:t>a través de</w:t>
      </w:r>
      <w:r w:rsidR="00926089">
        <w:t xml:space="preserve"> un determinado</w:t>
      </w:r>
      <w:r w:rsidRPr="00077311">
        <w:t xml:space="preserve"> control cumpli</w:t>
      </w:r>
      <w:r w:rsidR="005D0978">
        <w:t>endo</w:t>
      </w:r>
      <w:r w:rsidRPr="00077311">
        <w:t xml:space="preserve"> un extenso curso de deber</w:t>
      </w:r>
      <w:r w:rsidR="00077311" w:rsidRPr="00077311">
        <w:t>es</w:t>
      </w:r>
      <w:r w:rsidRPr="00077311">
        <w:t xml:space="preserve"> </w:t>
      </w:r>
      <w:r w:rsidR="002A00B5" w:rsidRPr="00077311">
        <w:t>evidente</w:t>
      </w:r>
      <w:r w:rsidRPr="00077311">
        <w:t xml:space="preserve"> p</w:t>
      </w:r>
      <w:r w:rsidR="002A00B5" w:rsidRPr="00077311">
        <w:t>a</w:t>
      </w:r>
      <w:r w:rsidRPr="00077311">
        <w:t>r</w:t>
      </w:r>
      <w:r w:rsidR="002A00B5" w:rsidRPr="00077311">
        <w:t>a</w:t>
      </w:r>
      <w:r w:rsidRPr="00077311">
        <w:t xml:space="preserve"> todos, aunque su </w:t>
      </w:r>
    </w:p>
    <w:p w14:paraId="7A19090F" w14:textId="57490CAD" w:rsidR="00DF70D1" w:rsidRDefault="00DF70D1" w:rsidP="00DF70D1">
      <w:pPr>
        <w:pStyle w:val="Piedepgina"/>
        <w:rPr>
          <w:u w:val="single"/>
        </w:rPr>
      </w:pPr>
      <w:r>
        <w:rPr>
          <w:u w:val="single"/>
        </w:rPr>
        <w:t xml:space="preserve">                                                                                                                                                                          .</w:t>
      </w:r>
    </w:p>
    <w:p w14:paraId="219C3C1A" w14:textId="43E03831" w:rsidR="00DF70D1" w:rsidRDefault="00DF70D1" w:rsidP="00DF70D1">
      <w:pPr>
        <w:pStyle w:val="PiedepginaLegal"/>
      </w:pPr>
      <w:r>
        <w:t xml:space="preserve">3. </w:t>
      </w:r>
      <w:r>
        <w:tab/>
        <w:t>El texto de</w:t>
      </w:r>
      <w:r w:rsidR="00C3154D">
        <w:t>l</w:t>
      </w:r>
      <w:r>
        <w:t xml:space="preserve"> </w:t>
      </w:r>
      <w:proofErr w:type="spellStart"/>
      <w:r w:rsidRPr="00D1758B">
        <w:rPr>
          <w:i/>
          <w:iCs/>
        </w:rPr>
        <w:t>Aṅguttara</w:t>
      </w:r>
      <w:proofErr w:type="spellEnd"/>
      <w:r>
        <w:t xml:space="preserve"> dice "</w:t>
      </w:r>
      <w:r w:rsidR="00AB08C4">
        <w:t>Que no pueda</w:t>
      </w:r>
      <w:r>
        <w:t>... reaparecer en un estado de p</w:t>
      </w:r>
      <w:r w:rsidR="008B1902">
        <w:t>e</w:t>
      </w:r>
      <w:r>
        <w:t>rdi</w:t>
      </w:r>
      <w:r w:rsidR="00AB08C4">
        <w:t>ción</w:t>
      </w:r>
      <w:r>
        <w:t xml:space="preserve">" </w:t>
      </w:r>
      <w:r w:rsidR="00AB08C4">
        <w:t>etc</w:t>
      </w:r>
      <w:r>
        <w:t>.</w:t>
      </w:r>
    </w:p>
    <w:p w14:paraId="689E8DCF" w14:textId="77777777" w:rsidR="00DF70D1" w:rsidRDefault="00DF70D1">
      <w:pPr>
        <w:tabs>
          <w:tab w:val="clear" w:pos="425"/>
        </w:tabs>
        <w:spacing w:after="160"/>
        <w:rPr>
          <w:color w:val="000000" w:themeColor="text1"/>
          <w:spacing w:val="10"/>
          <w:sz w:val="14"/>
        </w:rPr>
      </w:pPr>
      <w:r>
        <w:br w:type="page"/>
      </w:r>
    </w:p>
    <w:p w14:paraId="2F7B5D35" w14:textId="17E88B74" w:rsidR="00DF70D1" w:rsidRPr="00077311" w:rsidRDefault="00DF70D1" w:rsidP="00DF70D1"/>
    <w:p w14:paraId="01E74913" w14:textId="0DBB0B5F" w:rsidR="0011377A" w:rsidRPr="00077311" w:rsidRDefault="00926089" w:rsidP="0011377A">
      <w:r w:rsidRPr="00077311">
        <w:t xml:space="preserve">comportamiento </w:t>
      </w:r>
      <w:r w:rsidR="00244B0C" w:rsidRPr="00077311">
        <w:t xml:space="preserve">verbal y </w:t>
      </w:r>
      <w:r w:rsidR="007A2C29" w:rsidRPr="00077311">
        <w:t xml:space="preserve">mental no </w:t>
      </w:r>
      <w:r w:rsidR="00244B0C" w:rsidRPr="00077311">
        <w:t>estén controlados</w:t>
      </w:r>
      <w:r w:rsidR="0011377A" w:rsidRPr="00077311">
        <w:t>. Entonces est</w:t>
      </w:r>
      <w:r>
        <w:t>os dos</w:t>
      </w:r>
      <w:r w:rsidR="0011377A" w:rsidRPr="00077311">
        <w:t xml:space="preserve"> último</w:t>
      </w:r>
      <w:r>
        <w:t>s</w:t>
      </w:r>
      <w:r w:rsidR="0011377A" w:rsidRPr="00077311">
        <w:t xml:space="preserve"> debe</w:t>
      </w:r>
      <w:r w:rsidR="002C011E" w:rsidRPr="00077311">
        <w:t>rá</w:t>
      </w:r>
      <w:r>
        <w:t>n</w:t>
      </w:r>
      <w:r w:rsidR="0011377A" w:rsidRPr="00077311">
        <w:t xml:space="preserve"> ser ignorado y </w:t>
      </w:r>
      <w:r w:rsidR="00244B0C" w:rsidRPr="00077311">
        <w:t>tenerse presente</w:t>
      </w:r>
      <w:r w:rsidR="0011377A" w:rsidRPr="00077311">
        <w:t xml:space="preserve"> el control en su comportamiento </w:t>
      </w:r>
      <w:r>
        <w:t>físico</w:t>
      </w:r>
      <w:r w:rsidR="0011377A" w:rsidRPr="00077311">
        <w:t>.</w:t>
      </w:r>
    </w:p>
    <w:p w14:paraId="20EAFE33" w14:textId="13A49FE7" w:rsidR="0011377A" w:rsidRDefault="0011377A" w:rsidP="0011377A">
      <w:r>
        <w:t xml:space="preserve">18. </w:t>
      </w:r>
      <w:r>
        <w:tab/>
        <w:t xml:space="preserve">Otro </w:t>
      </w:r>
      <w:r w:rsidR="00D75BE9">
        <w:t>podría</w:t>
      </w:r>
      <w:r>
        <w:t xml:space="preserve"> ser controlado en su comportamiento verbal y </w:t>
      </w:r>
      <w:r w:rsidR="002D565B">
        <w:t xml:space="preserve">este control podría </w:t>
      </w:r>
      <w:r w:rsidR="0013323A">
        <w:t>ser</w:t>
      </w:r>
      <w:r w:rsidR="00DC7252">
        <w:t xml:space="preserve"> </w:t>
      </w:r>
      <w:r w:rsidR="002A00B5">
        <w:t>evidente</w:t>
      </w:r>
      <w:r>
        <w:t xml:space="preserve"> p</w:t>
      </w:r>
      <w:r w:rsidR="002A00B5">
        <w:t>a</w:t>
      </w:r>
      <w:r>
        <w:t>r</w:t>
      </w:r>
      <w:r w:rsidR="002A00B5">
        <w:t>a</w:t>
      </w:r>
      <w:r>
        <w:t xml:space="preserve"> todos</w:t>
      </w:r>
      <w:r w:rsidR="002A00B5">
        <w:t xml:space="preserve"> </w:t>
      </w:r>
      <w:r w:rsidR="00D75BE9">
        <w:t>–</w:t>
      </w:r>
      <w:r>
        <w:t xml:space="preserve"> </w:t>
      </w:r>
      <w:r w:rsidR="00DC7252">
        <w:t xml:space="preserve">éste podría </w:t>
      </w:r>
      <w:r>
        <w:t xml:space="preserve">ser naturalmente inteligente </w:t>
      </w:r>
      <w:r w:rsidR="00D74D42">
        <w:t>al</w:t>
      </w:r>
      <w:r>
        <w:t xml:space="preserve"> dar la bienvenida amablemente, fácil de hablar</w:t>
      </w:r>
      <w:r w:rsidR="00DC7252">
        <w:t>le</w:t>
      </w:r>
      <w:r>
        <w:t xml:space="preserve">, simpático, de rostro abierto, deferente en el </w:t>
      </w:r>
      <w:r w:rsidR="00AC40E9">
        <w:t>lenguaje</w:t>
      </w:r>
      <w:r>
        <w:t xml:space="preserve">, y </w:t>
      </w:r>
      <w:r w:rsidR="00AC40E9">
        <w:t>podr</w:t>
      </w:r>
      <w:r w:rsidR="00DC7252">
        <w:t>ía</w:t>
      </w:r>
      <w:r w:rsidR="00AC40E9">
        <w:t xml:space="preserve"> </w:t>
      </w:r>
      <w:r>
        <w:t xml:space="preserve">exponer el </w:t>
      </w:r>
      <w:r w:rsidR="00057BF4" w:rsidRPr="00057BF4">
        <w:rPr>
          <w:i/>
        </w:rPr>
        <w:t>Dhamma</w:t>
      </w:r>
      <w:r>
        <w:t xml:space="preserve"> con una voz dulce y da</w:t>
      </w:r>
      <w:r w:rsidR="00AC40E9">
        <w:t>r</w:t>
      </w:r>
      <w:r>
        <w:t xml:space="preserve"> explicaciones del </w:t>
      </w:r>
      <w:r w:rsidR="00057BF4" w:rsidRPr="00057BF4">
        <w:rPr>
          <w:i/>
        </w:rPr>
        <w:t>Dhamma</w:t>
      </w:r>
      <w:r>
        <w:t xml:space="preserve"> con frases y detalles completos, aunque su comportamiento físico y mental no est</w:t>
      </w:r>
      <w:r w:rsidR="00AC40E9">
        <w:t>é</w:t>
      </w:r>
      <w:r>
        <w:t>n controlados. Entonces est</w:t>
      </w:r>
      <w:r w:rsidR="00371F9D">
        <w:t>o</w:t>
      </w:r>
      <w:r w:rsidR="00D74D42">
        <w:t>s</w:t>
      </w:r>
      <w:r>
        <w:t xml:space="preserve"> </w:t>
      </w:r>
      <w:r w:rsidR="00D74D42">
        <w:t xml:space="preserve">dos </w:t>
      </w:r>
      <w:r>
        <w:t>último</w:t>
      </w:r>
      <w:r w:rsidR="00D74D42">
        <w:t>s</w:t>
      </w:r>
      <w:r>
        <w:t xml:space="preserve"> debe</w:t>
      </w:r>
      <w:r w:rsidR="00636DCA">
        <w:t>rá</w:t>
      </w:r>
      <w:r w:rsidR="00D74D42">
        <w:t>n</w:t>
      </w:r>
      <w:r>
        <w:t xml:space="preserve"> ser ignorado</w:t>
      </w:r>
      <w:r w:rsidR="00D74D42">
        <w:t>s</w:t>
      </w:r>
      <w:r>
        <w:t xml:space="preserve"> y </w:t>
      </w:r>
      <w:r w:rsidR="00371F9D">
        <w:t>tenerse en cuenta</w:t>
      </w:r>
      <w:r>
        <w:t xml:space="preserve"> el control </w:t>
      </w:r>
      <w:r w:rsidR="00371F9D">
        <w:t>que éste posea sobre</w:t>
      </w:r>
      <w:r>
        <w:t xml:space="preserve"> su comportamiento verbal.</w:t>
      </w:r>
    </w:p>
    <w:p w14:paraId="7226A904" w14:textId="27FE3BFC" w:rsidR="0011377A" w:rsidRDefault="0011377A" w:rsidP="0011377A">
      <w:r>
        <w:t xml:space="preserve">19. </w:t>
      </w:r>
      <w:r>
        <w:tab/>
        <w:t xml:space="preserve">Otro </w:t>
      </w:r>
      <w:r w:rsidR="00371F9D">
        <w:t>podría</w:t>
      </w:r>
      <w:r>
        <w:t xml:space="preserve"> ser controlado en su comportamiento mental </w:t>
      </w:r>
      <w:r w:rsidR="00F52B5A">
        <w:t xml:space="preserve">y este control en </w:t>
      </w:r>
      <w:r>
        <w:t xml:space="preserve">la adoración </w:t>
      </w:r>
      <w:r w:rsidR="002A00B5">
        <w:t>de</w:t>
      </w:r>
      <w:r>
        <w:t xml:space="preserve"> santuarios, etc., </w:t>
      </w:r>
      <w:r w:rsidR="00A7139B">
        <w:t xml:space="preserve">ser </w:t>
      </w:r>
      <w:r>
        <w:t xml:space="preserve">evidente para todos. </w:t>
      </w:r>
      <w:r w:rsidR="007C78A6">
        <w:t xml:space="preserve">Ya </w:t>
      </w:r>
      <w:r>
        <w:t xml:space="preserve">que cuando alguien </w:t>
      </w:r>
      <w:r w:rsidR="00F805A5">
        <w:t>ten</w:t>
      </w:r>
      <w:r w:rsidR="00AB1EE1">
        <w:t>ga</w:t>
      </w:r>
      <w:r>
        <w:t xml:space="preserve"> la mente descontrolada </w:t>
      </w:r>
      <w:r w:rsidR="00AC021F">
        <w:t>y rind</w:t>
      </w:r>
      <w:r w:rsidR="00AB1EE1">
        <w:t>a</w:t>
      </w:r>
      <w:r w:rsidR="00AC021F">
        <w:t xml:space="preserve"> </w:t>
      </w:r>
      <w:r w:rsidR="007C78A6">
        <w:t xml:space="preserve">reverencia </w:t>
      </w:r>
      <w:r>
        <w:t>en un santuario o en un Árbol de la Iluminación o a los ancianos, no lo ha</w:t>
      </w:r>
      <w:r w:rsidR="00AC021F">
        <w:t>r</w:t>
      </w:r>
      <w:r w:rsidR="00653282">
        <w:t>á</w:t>
      </w:r>
      <w:r>
        <w:t xml:space="preserve"> con cuidado, [300] y se senta</w:t>
      </w:r>
      <w:r w:rsidR="00AC021F">
        <w:t>rá</w:t>
      </w:r>
      <w:r>
        <w:t xml:space="preserve"> en el pabellón de predicación del </w:t>
      </w:r>
      <w:r w:rsidR="00057BF4" w:rsidRPr="00057BF4">
        <w:rPr>
          <w:i/>
          <w:iCs/>
        </w:rPr>
        <w:t>Dhamma</w:t>
      </w:r>
      <w:r>
        <w:t xml:space="preserve"> con la mente extraviada o asintiendo, mientras que aquel cuya mente est</w:t>
      </w:r>
      <w:r w:rsidR="00AC021F">
        <w:t>é</w:t>
      </w:r>
      <w:r>
        <w:t xml:space="preserve"> controlada </w:t>
      </w:r>
      <w:r w:rsidR="00AC021F">
        <w:t xml:space="preserve">rendirá reverencia </w:t>
      </w:r>
      <w:r>
        <w:t>cuidadosa y deliberadamente, escucha</w:t>
      </w:r>
      <w:r w:rsidR="00AC021F">
        <w:t>rá</w:t>
      </w:r>
      <w:r>
        <w:t xml:space="preserve"> el </w:t>
      </w:r>
      <w:r w:rsidR="00057BF4" w:rsidRPr="00057BF4">
        <w:rPr>
          <w:i/>
          <w:iCs/>
        </w:rPr>
        <w:t>Dhamma</w:t>
      </w:r>
      <w:r>
        <w:t xml:space="preserve"> atentamente, recordándolo y evidenciando </w:t>
      </w:r>
      <w:r w:rsidR="00336ADE">
        <w:t xml:space="preserve">devoción </w:t>
      </w:r>
      <w:r>
        <w:t>ment</w:t>
      </w:r>
      <w:r w:rsidR="00336ADE">
        <w:t>al</w:t>
      </w:r>
      <w:r>
        <w:t xml:space="preserve"> a través de su cuerpo o su </w:t>
      </w:r>
      <w:r w:rsidR="00AC021F">
        <w:t>lenguaje</w:t>
      </w:r>
      <w:r>
        <w:t>. Así</w:t>
      </w:r>
      <w:r w:rsidR="00336ADE">
        <w:t xml:space="preserve"> es cómo </w:t>
      </w:r>
      <w:r>
        <w:t xml:space="preserve">otro </w:t>
      </w:r>
      <w:r w:rsidR="007C2EFD">
        <w:t xml:space="preserve">meditador </w:t>
      </w:r>
      <w:r w:rsidR="00AC021F">
        <w:t xml:space="preserve">podría </w:t>
      </w:r>
      <w:r>
        <w:t xml:space="preserve">ser controlado sólo en su comportamiento mental, aunque su comportamiento </w:t>
      </w:r>
      <w:r w:rsidR="00653282">
        <w:t xml:space="preserve">físico </w:t>
      </w:r>
      <w:r>
        <w:t>y verbal no estén controlados. Entonces est</w:t>
      </w:r>
      <w:r w:rsidR="007C2EFD">
        <w:t>o</w:t>
      </w:r>
      <w:r w:rsidR="00653282">
        <w:t>s</w:t>
      </w:r>
      <w:r>
        <w:t xml:space="preserve"> </w:t>
      </w:r>
      <w:r w:rsidR="00653282">
        <w:t xml:space="preserve">dos </w:t>
      </w:r>
      <w:r>
        <w:t>último</w:t>
      </w:r>
      <w:r w:rsidR="00653282">
        <w:t>s</w:t>
      </w:r>
      <w:r>
        <w:t xml:space="preserve"> debe</w:t>
      </w:r>
      <w:r w:rsidR="007C2EFD">
        <w:t>r</w:t>
      </w:r>
      <w:r w:rsidR="00653282">
        <w:t>án</w:t>
      </w:r>
      <w:r>
        <w:t xml:space="preserve"> ser ignorado</w:t>
      </w:r>
      <w:r w:rsidR="00653282">
        <w:t>s</w:t>
      </w:r>
      <w:r>
        <w:t xml:space="preserve"> y </w:t>
      </w:r>
      <w:r w:rsidR="007C2EFD">
        <w:t>tenerse p</w:t>
      </w:r>
      <w:r w:rsidR="00784E2E">
        <w:t xml:space="preserve">resente </w:t>
      </w:r>
      <w:r>
        <w:t xml:space="preserve">el control </w:t>
      </w:r>
      <w:r w:rsidR="00964228">
        <w:t>sobre</w:t>
      </w:r>
      <w:r>
        <w:t xml:space="preserve"> su </w:t>
      </w:r>
      <w:r w:rsidR="00653282">
        <w:t xml:space="preserve">comportamiento </w:t>
      </w:r>
      <w:r>
        <w:t>mental.</w:t>
      </w:r>
    </w:p>
    <w:p w14:paraId="502F0207" w14:textId="50ADAE48" w:rsidR="0011377A" w:rsidRDefault="0011377A" w:rsidP="0011377A">
      <w:r>
        <w:t xml:space="preserve">20. </w:t>
      </w:r>
      <w:r>
        <w:tab/>
      </w:r>
      <w:r w:rsidR="00964228" w:rsidRPr="00A40242">
        <w:t>No obstante,</w:t>
      </w:r>
      <w:r w:rsidR="00964228">
        <w:rPr>
          <w:b/>
          <w:bCs/>
        </w:rPr>
        <w:t xml:space="preserve"> </w:t>
      </w:r>
      <w:r w:rsidR="00964228">
        <w:t xml:space="preserve">podría </w:t>
      </w:r>
      <w:r>
        <w:t xml:space="preserve">haber otro </w:t>
      </w:r>
      <w:r w:rsidR="00AB1EE1">
        <w:t xml:space="preserve">individuo </w:t>
      </w:r>
      <w:r>
        <w:t>en quien ni siquiera un</w:t>
      </w:r>
      <w:r w:rsidR="00342378">
        <w:t>o</w:t>
      </w:r>
      <w:r>
        <w:t xml:space="preserve"> de est</w:t>
      </w:r>
      <w:r w:rsidR="002D565B">
        <w:t>o</w:t>
      </w:r>
      <w:r>
        <w:t xml:space="preserve">s tres </w:t>
      </w:r>
      <w:r w:rsidR="002D565B">
        <w:t>aspectos</w:t>
      </w:r>
      <w:r>
        <w:t xml:space="preserve"> esté</w:t>
      </w:r>
      <w:r w:rsidR="00AB1EE1">
        <w:t>n</w:t>
      </w:r>
      <w:r>
        <w:t xml:space="preserve"> controlad</w:t>
      </w:r>
      <w:r w:rsidR="00342378">
        <w:t>o</w:t>
      </w:r>
      <w:r w:rsidR="00AB1EE1">
        <w:t>s</w:t>
      </w:r>
      <w:r>
        <w:t xml:space="preserve">. Entonces la compasión </w:t>
      </w:r>
      <w:r w:rsidR="00342378">
        <w:t xml:space="preserve">hacia </w:t>
      </w:r>
      <w:r>
        <w:t>esa persona debe</w:t>
      </w:r>
      <w:r w:rsidR="00AB1EE1">
        <w:t>ría</w:t>
      </w:r>
      <w:r>
        <w:t xml:space="preserve"> despertarse así: “Aunque ahora anda por el mundo humano, después de cierto </w:t>
      </w:r>
      <w:r w:rsidR="004568E1">
        <w:t xml:space="preserve">tiempo </w:t>
      </w:r>
      <w:r>
        <w:t xml:space="preserve">se encontrará en uno de los ocho grandes infiernos o </w:t>
      </w:r>
      <w:r w:rsidR="00342378">
        <w:t xml:space="preserve">en uno de </w:t>
      </w:r>
      <w:r>
        <w:t>los dieciséis infiernos prominentes</w:t>
      </w:r>
      <w:r w:rsidR="00F424EF">
        <w:t>”</w:t>
      </w:r>
      <w:r>
        <w:t>.</w:t>
      </w:r>
      <w:r w:rsidRPr="00A42FCF">
        <w:rPr>
          <w:vertAlign w:val="superscript"/>
        </w:rPr>
        <w:t>4</w:t>
      </w:r>
      <w:r>
        <w:t xml:space="preserve"> </w:t>
      </w:r>
      <w:r w:rsidR="004568E1">
        <w:t xml:space="preserve">Esto se hará así </w:t>
      </w:r>
      <w:r>
        <w:t>que la irritación se calma</w:t>
      </w:r>
      <w:r w:rsidR="00A40242">
        <w:t>rá</w:t>
      </w:r>
      <w:r>
        <w:t xml:space="preserve"> también a través de la compasión. En otro</w:t>
      </w:r>
      <w:r w:rsidR="002C23B6">
        <w:t xml:space="preserve"> ser</w:t>
      </w:r>
      <w:r>
        <w:t xml:space="preserve">, los tres </w:t>
      </w:r>
      <w:r w:rsidR="002C23B6">
        <w:t xml:space="preserve">aspectos </w:t>
      </w:r>
      <w:r w:rsidR="00C27E63">
        <w:t>podrían</w:t>
      </w:r>
      <w:r>
        <w:t xml:space="preserve"> </w:t>
      </w:r>
      <w:r w:rsidR="00C27E63">
        <w:t xml:space="preserve">estar </w:t>
      </w:r>
      <w:r>
        <w:t xml:space="preserve">controlados. Entonces </w:t>
      </w:r>
      <w:r w:rsidR="00C27E63">
        <w:t xml:space="preserve">podrá </w:t>
      </w:r>
      <w:r w:rsidR="00DE5989">
        <w:t xml:space="preserve">evocar </w:t>
      </w:r>
      <w:r>
        <w:t xml:space="preserve">cualquiera de los tres </w:t>
      </w:r>
      <w:r w:rsidR="00DE5989">
        <w:t xml:space="preserve">aspectos conductuales </w:t>
      </w:r>
      <w:r>
        <w:t xml:space="preserve">en esa persona, </w:t>
      </w:r>
      <w:r w:rsidR="00DE5989">
        <w:t xml:space="preserve">el </w:t>
      </w:r>
      <w:r>
        <w:t xml:space="preserve">que </w:t>
      </w:r>
      <w:r w:rsidR="00DE5989">
        <w:t>desee</w:t>
      </w:r>
      <w:r>
        <w:t xml:space="preserve">; </w:t>
      </w:r>
      <w:r w:rsidR="001D5BA5">
        <w:t xml:space="preserve">ya </w:t>
      </w:r>
      <w:r>
        <w:t>que el desarrollo de</w:t>
      </w:r>
      <w:r w:rsidR="001D5BA5">
        <w:t>l</w:t>
      </w:r>
      <w:r>
        <w:t xml:space="preserve"> </w:t>
      </w:r>
      <w:r w:rsidR="00E44858" w:rsidRPr="0082231D">
        <w:rPr>
          <w:i/>
          <w:iCs/>
        </w:rPr>
        <w:t>amor–benevolente</w:t>
      </w:r>
      <w:r w:rsidR="001D5BA5">
        <w:t xml:space="preserve"> </w:t>
      </w:r>
      <w:r>
        <w:t>hacia una persona así s</w:t>
      </w:r>
      <w:r w:rsidR="000908DE">
        <w:t>erá</w:t>
      </w:r>
      <w:r>
        <w:t xml:space="preserve"> fácil</w:t>
      </w:r>
      <w:r w:rsidR="00DE5989">
        <w:t xml:space="preserve"> de transmitir</w:t>
      </w:r>
      <w:r>
        <w:t>.</w:t>
      </w:r>
    </w:p>
    <w:p w14:paraId="366D9EE2" w14:textId="7E0FC35D" w:rsidR="0011377A" w:rsidRDefault="0011377A" w:rsidP="0011377A">
      <w:r>
        <w:t xml:space="preserve">21. </w:t>
      </w:r>
      <w:r>
        <w:tab/>
        <w:t xml:space="preserve">Y para aclarar el significado </w:t>
      </w:r>
      <w:r w:rsidR="00DE5989">
        <w:t>al respecto</w:t>
      </w:r>
      <w:r>
        <w:t xml:space="preserve">, se debe citar completo el siguiente </w:t>
      </w:r>
      <w:proofErr w:type="spellStart"/>
      <w:r w:rsidRPr="000908DE">
        <w:rPr>
          <w:i/>
          <w:iCs/>
        </w:rPr>
        <w:t>sutta</w:t>
      </w:r>
      <w:proofErr w:type="spellEnd"/>
      <w:r>
        <w:t xml:space="preserve"> del Libro de los Cinco: “</w:t>
      </w:r>
      <w:proofErr w:type="spellStart"/>
      <w:r w:rsidR="00057BF4" w:rsidRPr="00057BF4">
        <w:rPr>
          <w:i/>
          <w:iCs/>
        </w:rPr>
        <w:t>Bhikkhu</w:t>
      </w:r>
      <w:r w:rsidRPr="00A42FCF">
        <w:rPr>
          <w:i/>
          <w:iCs/>
        </w:rPr>
        <w:t>s</w:t>
      </w:r>
      <w:proofErr w:type="spellEnd"/>
      <w:r>
        <w:t xml:space="preserve">, hay cinco formas de disipar </w:t>
      </w:r>
      <w:r w:rsidR="009A65CB">
        <w:t>las molestias</w:t>
      </w:r>
      <w:r>
        <w:t xml:space="preserve"> </w:t>
      </w:r>
      <w:r w:rsidR="006F1B89">
        <w:t>que surja</w:t>
      </w:r>
      <w:r w:rsidR="009A65CB">
        <w:t>n</w:t>
      </w:r>
      <w:r w:rsidR="006F1B89">
        <w:t xml:space="preserve"> en un </w:t>
      </w:r>
      <w:proofErr w:type="spellStart"/>
      <w:r w:rsidR="006F1B89" w:rsidRPr="00057BF4">
        <w:rPr>
          <w:i/>
          <w:iCs/>
        </w:rPr>
        <w:t>bhikkhu</w:t>
      </w:r>
      <w:proofErr w:type="spellEnd"/>
      <w:r w:rsidR="006F1B89">
        <w:t xml:space="preserve"> </w:t>
      </w:r>
      <w:r>
        <w:t xml:space="preserve">mediante las cuales </w:t>
      </w:r>
      <w:r w:rsidR="006F1B89">
        <w:t>est</w:t>
      </w:r>
      <w:r w:rsidR="009A65CB">
        <w:t>as</w:t>
      </w:r>
      <w:r w:rsidR="006F1B89">
        <w:t xml:space="preserve"> mism</w:t>
      </w:r>
      <w:r w:rsidR="009A65CB">
        <w:t>as</w:t>
      </w:r>
      <w:r w:rsidR="006F1B89">
        <w:t xml:space="preserve"> </w:t>
      </w:r>
      <w:r w:rsidR="009A65CB">
        <w:t xml:space="preserve">molestias </w:t>
      </w:r>
      <w:r w:rsidR="002D7079">
        <w:t>podrá</w:t>
      </w:r>
      <w:r w:rsidR="009A65CB">
        <w:t>n</w:t>
      </w:r>
      <w:r w:rsidR="002D7079">
        <w:t xml:space="preserve"> </w:t>
      </w:r>
      <w:r>
        <w:t>disiparse por completo” (A III 186–90).</w:t>
      </w:r>
    </w:p>
    <w:p w14:paraId="267523DD" w14:textId="34900A5D" w:rsidR="0011377A" w:rsidRDefault="0011377A" w:rsidP="0011377A">
      <w:r>
        <w:t xml:space="preserve">22. </w:t>
      </w:r>
      <w:r>
        <w:tab/>
        <w:t>Pero si a pesar de sus esfuerzos aún surg</w:t>
      </w:r>
      <w:r w:rsidR="002D7079">
        <w:t>iese</w:t>
      </w:r>
      <w:r>
        <w:t xml:space="preserve"> irritación, entonces debe</w:t>
      </w:r>
      <w:r w:rsidR="002D7079">
        <w:t>rá</w:t>
      </w:r>
      <w:r>
        <w:t xml:space="preserve"> amonestarse a sí mismo de esta manera:</w:t>
      </w:r>
    </w:p>
    <w:p w14:paraId="76ED8E01" w14:textId="6218DE81" w:rsidR="0011377A" w:rsidRPr="009D741D" w:rsidRDefault="0011377A" w:rsidP="0011377A">
      <w:pPr>
        <w:pStyle w:val="VersoIngls01Sangria"/>
        <w:rPr>
          <w:sz w:val="16"/>
          <w:szCs w:val="20"/>
        </w:rPr>
      </w:pPr>
      <w:r w:rsidRPr="009D741D">
        <w:rPr>
          <w:sz w:val="16"/>
          <w:szCs w:val="20"/>
        </w:rPr>
        <w:t xml:space="preserve">Supongamos que un enemigo </w:t>
      </w:r>
      <w:r w:rsidR="00CC3A1E">
        <w:rPr>
          <w:sz w:val="16"/>
          <w:szCs w:val="20"/>
        </w:rPr>
        <w:t>te</w:t>
      </w:r>
      <w:r w:rsidR="002D7079" w:rsidRPr="009D741D">
        <w:rPr>
          <w:sz w:val="16"/>
          <w:szCs w:val="20"/>
        </w:rPr>
        <w:t xml:space="preserve"> </w:t>
      </w:r>
      <w:r w:rsidRPr="009D741D">
        <w:rPr>
          <w:sz w:val="16"/>
          <w:szCs w:val="20"/>
        </w:rPr>
        <w:t>ha</w:t>
      </w:r>
      <w:r w:rsidR="002D7079" w:rsidRPr="009D741D">
        <w:rPr>
          <w:sz w:val="16"/>
          <w:szCs w:val="20"/>
        </w:rPr>
        <w:t>ya</w:t>
      </w:r>
      <w:r w:rsidRPr="009D741D">
        <w:rPr>
          <w:sz w:val="16"/>
          <w:szCs w:val="20"/>
        </w:rPr>
        <w:t xml:space="preserve"> herido</w:t>
      </w:r>
    </w:p>
    <w:p w14:paraId="126DA976" w14:textId="4088EA05" w:rsidR="0011377A" w:rsidRPr="009D741D" w:rsidRDefault="00CF57F5" w:rsidP="0011377A">
      <w:pPr>
        <w:pStyle w:val="VersoIngls01Sangria"/>
        <w:rPr>
          <w:sz w:val="16"/>
          <w:szCs w:val="20"/>
        </w:rPr>
      </w:pPr>
      <w:r w:rsidRPr="009D741D">
        <w:rPr>
          <w:sz w:val="16"/>
          <w:szCs w:val="20"/>
        </w:rPr>
        <w:t xml:space="preserve">Ahora </w:t>
      </w:r>
      <w:r w:rsidR="0011377A" w:rsidRPr="009D741D">
        <w:rPr>
          <w:sz w:val="16"/>
          <w:szCs w:val="20"/>
        </w:rPr>
        <w:t xml:space="preserve">en lo que es </w:t>
      </w:r>
      <w:r w:rsidR="00CC3A1E">
        <w:rPr>
          <w:sz w:val="16"/>
          <w:szCs w:val="20"/>
        </w:rPr>
        <w:t>t</w:t>
      </w:r>
      <w:r w:rsidR="0011377A" w:rsidRPr="009D741D">
        <w:rPr>
          <w:sz w:val="16"/>
          <w:szCs w:val="20"/>
        </w:rPr>
        <w:t>u dominio,</w:t>
      </w:r>
    </w:p>
    <w:p w14:paraId="140AD954" w14:textId="48E91AE5" w:rsidR="0011377A" w:rsidRPr="009D741D" w:rsidRDefault="0011377A" w:rsidP="0011377A">
      <w:pPr>
        <w:pStyle w:val="VersoIngls01Sangria"/>
        <w:rPr>
          <w:sz w:val="16"/>
          <w:szCs w:val="20"/>
        </w:rPr>
      </w:pPr>
      <w:r w:rsidRPr="009D741D">
        <w:rPr>
          <w:sz w:val="16"/>
          <w:szCs w:val="20"/>
        </w:rPr>
        <w:t>¿Por qué intenta</w:t>
      </w:r>
      <w:r w:rsidR="00CC3A1E">
        <w:rPr>
          <w:sz w:val="16"/>
          <w:szCs w:val="20"/>
        </w:rPr>
        <w:t>s</w:t>
      </w:r>
      <w:r w:rsidRPr="009D741D">
        <w:rPr>
          <w:sz w:val="16"/>
          <w:szCs w:val="20"/>
        </w:rPr>
        <w:t xml:space="preserve"> hacer</w:t>
      </w:r>
      <w:r w:rsidR="00CF57F5" w:rsidRPr="009D741D">
        <w:rPr>
          <w:sz w:val="16"/>
          <w:szCs w:val="20"/>
        </w:rPr>
        <w:t>l</w:t>
      </w:r>
      <w:r w:rsidRPr="009D741D">
        <w:rPr>
          <w:sz w:val="16"/>
          <w:szCs w:val="20"/>
        </w:rPr>
        <w:t>e daño también</w:t>
      </w:r>
      <w:r w:rsidR="001858DE" w:rsidRPr="009D741D">
        <w:rPr>
          <w:sz w:val="16"/>
          <w:szCs w:val="20"/>
        </w:rPr>
        <w:t xml:space="preserve"> a</w:t>
      </w:r>
    </w:p>
    <w:p w14:paraId="7F402D99" w14:textId="42BAC714" w:rsidR="0011377A" w:rsidRPr="009D741D" w:rsidRDefault="00CC3A1E" w:rsidP="009001BF">
      <w:pPr>
        <w:pStyle w:val="VersoIngls01Sangria"/>
        <w:spacing w:after="100"/>
        <w:ind w:left="1418"/>
        <w:rPr>
          <w:sz w:val="16"/>
          <w:szCs w:val="20"/>
        </w:rPr>
      </w:pPr>
      <w:r>
        <w:rPr>
          <w:sz w:val="16"/>
          <w:szCs w:val="20"/>
        </w:rPr>
        <w:t>T</w:t>
      </w:r>
      <w:r w:rsidR="0011377A" w:rsidRPr="009D741D">
        <w:rPr>
          <w:sz w:val="16"/>
          <w:szCs w:val="20"/>
        </w:rPr>
        <w:t>u mente</w:t>
      </w:r>
      <w:r w:rsidR="001858DE" w:rsidRPr="009D741D">
        <w:rPr>
          <w:sz w:val="16"/>
          <w:szCs w:val="20"/>
        </w:rPr>
        <w:t>?</w:t>
      </w:r>
      <w:r w:rsidR="0011377A" w:rsidRPr="009D741D">
        <w:rPr>
          <w:sz w:val="16"/>
          <w:szCs w:val="20"/>
        </w:rPr>
        <w:t xml:space="preserve"> </w:t>
      </w:r>
      <w:r w:rsidR="001858DE" w:rsidRPr="009D741D">
        <w:rPr>
          <w:sz w:val="16"/>
          <w:szCs w:val="20"/>
        </w:rPr>
        <w:t>– É</w:t>
      </w:r>
      <w:r w:rsidR="0011377A" w:rsidRPr="009D741D">
        <w:rPr>
          <w:sz w:val="16"/>
          <w:szCs w:val="20"/>
        </w:rPr>
        <w:t>se no es dominio</w:t>
      </w:r>
      <w:r w:rsidR="009D741D">
        <w:rPr>
          <w:sz w:val="16"/>
          <w:szCs w:val="20"/>
        </w:rPr>
        <w:t xml:space="preserve"> de </w:t>
      </w:r>
      <w:r>
        <w:rPr>
          <w:sz w:val="16"/>
          <w:szCs w:val="20"/>
        </w:rPr>
        <w:t>t</w:t>
      </w:r>
      <w:r w:rsidR="009D741D">
        <w:rPr>
          <w:sz w:val="16"/>
          <w:szCs w:val="20"/>
        </w:rPr>
        <w:t>u enemigo</w:t>
      </w:r>
      <w:r w:rsidR="0011377A" w:rsidRPr="009D741D">
        <w:rPr>
          <w:sz w:val="16"/>
          <w:szCs w:val="20"/>
        </w:rPr>
        <w:t>.</w:t>
      </w:r>
    </w:p>
    <w:p w14:paraId="5C224EBA" w14:textId="1CF58EF3" w:rsidR="0011377A" w:rsidRPr="009D741D" w:rsidRDefault="0011377A" w:rsidP="0011377A">
      <w:pPr>
        <w:pStyle w:val="VersoIngls01Sangria"/>
        <w:rPr>
          <w:sz w:val="16"/>
          <w:szCs w:val="20"/>
        </w:rPr>
      </w:pPr>
      <w:r w:rsidRPr="009D741D">
        <w:rPr>
          <w:sz w:val="16"/>
          <w:szCs w:val="20"/>
        </w:rPr>
        <w:t>En</w:t>
      </w:r>
      <w:r w:rsidR="000600F2" w:rsidRPr="009D741D">
        <w:rPr>
          <w:sz w:val="16"/>
          <w:szCs w:val="20"/>
        </w:rPr>
        <w:t>tre</w:t>
      </w:r>
      <w:r w:rsidRPr="009D741D">
        <w:rPr>
          <w:sz w:val="16"/>
          <w:szCs w:val="20"/>
        </w:rPr>
        <w:t xml:space="preserve"> lágrimas dej</w:t>
      </w:r>
      <w:r w:rsidR="00CC3A1E">
        <w:rPr>
          <w:sz w:val="16"/>
          <w:szCs w:val="20"/>
        </w:rPr>
        <w:t>aste</w:t>
      </w:r>
      <w:r w:rsidRPr="009D741D">
        <w:rPr>
          <w:sz w:val="16"/>
          <w:szCs w:val="20"/>
        </w:rPr>
        <w:t xml:space="preserve"> </w:t>
      </w:r>
      <w:r w:rsidR="00584F85" w:rsidRPr="009D741D">
        <w:rPr>
          <w:sz w:val="16"/>
          <w:szCs w:val="20"/>
        </w:rPr>
        <w:t xml:space="preserve">atrás </w:t>
      </w:r>
      <w:r w:rsidRPr="009D741D">
        <w:rPr>
          <w:sz w:val="16"/>
          <w:szCs w:val="20"/>
        </w:rPr>
        <w:t xml:space="preserve">a </w:t>
      </w:r>
      <w:r w:rsidR="00CC3A1E">
        <w:rPr>
          <w:sz w:val="16"/>
          <w:szCs w:val="20"/>
        </w:rPr>
        <w:t>t</w:t>
      </w:r>
      <w:r w:rsidRPr="009D741D">
        <w:rPr>
          <w:sz w:val="16"/>
          <w:szCs w:val="20"/>
        </w:rPr>
        <w:t>u familia.</w:t>
      </w:r>
    </w:p>
    <w:p w14:paraId="2B33110F" w14:textId="3FAC9C61" w:rsidR="0011377A" w:rsidRDefault="00584F85" w:rsidP="0011377A">
      <w:pPr>
        <w:pStyle w:val="VersoIngls01Sangria"/>
        <w:rPr>
          <w:sz w:val="16"/>
          <w:szCs w:val="20"/>
        </w:rPr>
      </w:pPr>
      <w:r w:rsidRPr="009D741D">
        <w:rPr>
          <w:sz w:val="16"/>
          <w:szCs w:val="20"/>
        </w:rPr>
        <w:t>A e</w:t>
      </w:r>
      <w:r w:rsidR="000600F2" w:rsidRPr="009D741D">
        <w:rPr>
          <w:sz w:val="16"/>
          <w:szCs w:val="20"/>
        </w:rPr>
        <w:t xml:space="preserve">llos </w:t>
      </w:r>
      <w:r w:rsidRPr="009D741D">
        <w:rPr>
          <w:sz w:val="16"/>
          <w:szCs w:val="20"/>
        </w:rPr>
        <w:t xml:space="preserve">que </w:t>
      </w:r>
      <w:r w:rsidR="00CC3A1E">
        <w:rPr>
          <w:sz w:val="16"/>
          <w:szCs w:val="20"/>
        </w:rPr>
        <w:t>t</w:t>
      </w:r>
      <w:r w:rsidRPr="009D741D">
        <w:rPr>
          <w:sz w:val="16"/>
          <w:szCs w:val="20"/>
        </w:rPr>
        <w:t xml:space="preserve">e fueron </w:t>
      </w:r>
      <w:r w:rsidR="0011377A" w:rsidRPr="009D741D">
        <w:rPr>
          <w:sz w:val="16"/>
          <w:szCs w:val="20"/>
        </w:rPr>
        <w:t>amables y serviciales también.</w:t>
      </w:r>
    </w:p>
    <w:p w14:paraId="3CA391A9" w14:textId="77777777" w:rsidR="009D741D" w:rsidRPr="009D741D" w:rsidRDefault="009D741D" w:rsidP="0011377A">
      <w:pPr>
        <w:pStyle w:val="VersoIngls01Sangria"/>
        <w:rPr>
          <w:sz w:val="16"/>
          <w:szCs w:val="20"/>
        </w:rPr>
      </w:pPr>
    </w:p>
    <w:p w14:paraId="6D7DCE67" w14:textId="3AB8F966" w:rsidR="0011377A" w:rsidRDefault="0011377A" w:rsidP="0011377A">
      <w:pPr>
        <w:pStyle w:val="Piedepgina"/>
        <w:rPr>
          <w:u w:val="single"/>
        </w:rPr>
      </w:pPr>
      <w:r>
        <w:rPr>
          <w:u w:val="single"/>
        </w:rPr>
        <w:t xml:space="preserve">                                                                                                              </w:t>
      </w:r>
      <w:r w:rsidR="009D741D">
        <w:rPr>
          <w:u w:val="single"/>
        </w:rPr>
        <w:t xml:space="preserve">                               </w:t>
      </w:r>
      <w:r>
        <w:rPr>
          <w:u w:val="single"/>
        </w:rPr>
        <w:t xml:space="preserve">                                                            .</w:t>
      </w:r>
    </w:p>
    <w:p w14:paraId="7C9001CC" w14:textId="1BFC9596" w:rsidR="0011377A" w:rsidRDefault="0011377A" w:rsidP="0011377A">
      <w:pPr>
        <w:pStyle w:val="PiedepginaLegal"/>
      </w:pPr>
      <w:r>
        <w:t xml:space="preserve">4. </w:t>
      </w:r>
      <w:r>
        <w:tab/>
        <w:t xml:space="preserve">“Los ocho grandes infiernos comenzando con el </w:t>
      </w:r>
      <w:proofErr w:type="spellStart"/>
      <w:r w:rsidRPr="00B64EE5">
        <w:rPr>
          <w:i/>
          <w:iCs/>
        </w:rPr>
        <w:t>Sañjīva</w:t>
      </w:r>
      <w:proofErr w:type="spellEnd"/>
      <w:r>
        <w:t xml:space="preserve"> (ver J-a V 266, 270). En cada una de las cuatro puertas del Gran Infierno </w:t>
      </w:r>
      <w:r w:rsidR="006F6512">
        <w:t>Insoportable</w:t>
      </w:r>
      <w:r>
        <w:t xml:space="preserve"> (</w:t>
      </w:r>
      <w:proofErr w:type="spellStart"/>
      <w:r w:rsidRPr="00DD19A4">
        <w:rPr>
          <w:i/>
          <w:iCs/>
        </w:rPr>
        <w:t>Avīci</w:t>
      </w:r>
      <w:proofErr w:type="spellEnd"/>
      <w:r>
        <w:t xml:space="preserve">) hay cuatro que comienzan con el Infierno de </w:t>
      </w:r>
      <w:r w:rsidR="006F6512">
        <w:br/>
      </w:r>
      <w:proofErr w:type="spellStart"/>
      <w:r>
        <w:t>Ember</w:t>
      </w:r>
      <w:proofErr w:type="spellEnd"/>
      <w:r>
        <w:t xml:space="preserve"> (</w:t>
      </w:r>
      <w:proofErr w:type="spellStart"/>
      <w:r w:rsidRPr="00B64EE5">
        <w:rPr>
          <w:i/>
          <w:iCs/>
        </w:rPr>
        <w:t>Kukuḷa</w:t>
      </w:r>
      <w:proofErr w:type="spellEnd"/>
      <w:r>
        <w:t>) (M III 185), que conforman los dieciséis infiernos prominentes” (</w:t>
      </w:r>
      <w:proofErr w:type="spellStart"/>
      <w:r>
        <w:t>Vism-mhṭ</w:t>
      </w:r>
      <w:proofErr w:type="spellEnd"/>
      <w:r>
        <w:t xml:space="preserve"> 291).</w:t>
      </w:r>
    </w:p>
    <w:p w14:paraId="305F04DC" w14:textId="77777777" w:rsidR="0011377A" w:rsidRDefault="0011377A">
      <w:pPr>
        <w:tabs>
          <w:tab w:val="clear" w:pos="425"/>
        </w:tabs>
        <w:spacing w:after="160"/>
      </w:pPr>
      <w:r>
        <w:br w:type="page"/>
      </w:r>
    </w:p>
    <w:p w14:paraId="271FBCD5" w14:textId="77777777" w:rsidR="009001BF" w:rsidRPr="009D741D" w:rsidRDefault="009001BF" w:rsidP="0011377A">
      <w:pPr>
        <w:rPr>
          <w:sz w:val="16"/>
          <w:szCs w:val="20"/>
        </w:rPr>
      </w:pPr>
    </w:p>
    <w:p w14:paraId="023835EC" w14:textId="59DF633D" w:rsidR="006F0C90" w:rsidRPr="009D741D" w:rsidRDefault="006F0C90" w:rsidP="006F0C90">
      <w:pPr>
        <w:pStyle w:val="VersoIngls01Sangria"/>
        <w:rPr>
          <w:sz w:val="16"/>
          <w:szCs w:val="20"/>
        </w:rPr>
      </w:pPr>
      <w:r w:rsidRPr="009D741D">
        <w:rPr>
          <w:sz w:val="16"/>
          <w:szCs w:val="20"/>
        </w:rPr>
        <w:t>Entonces, ¿por qué no deja</w:t>
      </w:r>
      <w:r w:rsidR="00CC3A1E">
        <w:rPr>
          <w:sz w:val="16"/>
          <w:szCs w:val="20"/>
        </w:rPr>
        <w:t>s</w:t>
      </w:r>
      <w:r w:rsidRPr="009D741D">
        <w:rPr>
          <w:sz w:val="16"/>
          <w:szCs w:val="20"/>
        </w:rPr>
        <w:t xml:space="preserve"> </w:t>
      </w:r>
      <w:r w:rsidR="00584F85" w:rsidRPr="009D741D">
        <w:rPr>
          <w:sz w:val="16"/>
          <w:szCs w:val="20"/>
        </w:rPr>
        <w:t xml:space="preserve">atrás también </w:t>
      </w:r>
      <w:r w:rsidRPr="009D741D">
        <w:rPr>
          <w:sz w:val="16"/>
          <w:szCs w:val="20"/>
        </w:rPr>
        <w:t xml:space="preserve">a </w:t>
      </w:r>
      <w:r w:rsidR="00CC3A1E">
        <w:rPr>
          <w:sz w:val="16"/>
          <w:szCs w:val="20"/>
        </w:rPr>
        <w:t>t</w:t>
      </w:r>
      <w:r w:rsidRPr="009D741D">
        <w:rPr>
          <w:sz w:val="16"/>
          <w:szCs w:val="20"/>
        </w:rPr>
        <w:t>u enemigo,</w:t>
      </w:r>
    </w:p>
    <w:p w14:paraId="4179605F" w14:textId="111F9CD2" w:rsidR="006F0C90" w:rsidRPr="009D741D" w:rsidRDefault="000600F2" w:rsidP="006F0C90">
      <w:pPr>
        <w:pStyle w:val="VersoIngls01Sangria"/>
        <w:spacing w:after="100"/>
        <w:ind w:left="1418"/>
        <w:rPr>
          <w:sz w:val="16"/>
          <w:szCs w:val="20"/>
        </w:rPr>
      </w:pPr>
      <w:r w:rsidRPr="009D741D">
        <w:rPr>
          <w:sz w:val="16"/>
          <w:szCs w:val="20"/>
        </w:rPr>
        <w:t>A l</w:t>
      </w:r>
      <w:r w:rsidR="006F0C90" w:rsidRPr="009D741D">
        <w:rPr>
          <w:sz w:val="16"/>
          <w:szCs w:val="20"/>
        </w:rPr>
        <w:t xml:space="preserve">a ira que </w:t>
      </w:r>
      <w:r w:rsidR="00CC3A1E">
        <w:rPr>
          <w:sz w:val="16"/>
          <w:szCs w:val="20"/>
        </w:rPr>
        <w:t>t</w:t>
      </w:r>
      <w:r w:rsidR="006F0C90" w:rsidRPr="009D741D">
        <w:rPr>
          <w:sz w:val="16"/>
          <w:szCs w:val="20"/>
        </w:rPr>
        <w:t>e ha</w:t>
      </w:r>
      <w:r w:rsidR="001C0B01">
        <w:rPr>
          <w:sz w:val="16"/>
          <w:szCs w:val="20"/>
        </w:rPr>
        <w:t>ce</w:t>
      </w:r>
      <w:r w:rsidR="006F0C90" w:rsidRPr="009D741D">
        <w:rPr>
          <w:sz w:val="16"/>
          <w:szCs w:val="20"/>
        </w:rPr>
        <w:t xml:space="preserve"> daño?</w:t>
      </w:r>
    </w:p>
    <w:p w14:paraId="6872FAD9" w14:textId="33A0F6DE" w:rsidR="006F0C90" w:rsidRPr="009D741D" w:rsidRDefault="006F0C90" w:rsidP="006F0C90">
      <w:pPr>
        <w:pStyle w:val="VersoIngls01Sangria"/>
        <w:rPr>
          <w:sz w:val="16"/>
          <w:szCs w:val="20"/>
        </w:rPr>
      </w:pPr>
      <w:r w:rsidRPr="009D741D">
        <w:rPr>
          <w:sz w:val="16"/>
          <w:szCs w:val="20"/>
        </w:rPr>
        <w:t xml:space="preserve">Esta ira que </w:t>
      </w:r>
      <w:r w:rsidR="00CC3A1E">
        <w:rPr>
          <w:sz w:val="16"/>
          <w:szCs w:val="20"/>
        </w:rPr>
        <w:t>t</w:t>
      </w:r>
      <w:r w:rsidR="008B4D07" w:rsidRPr="009D741D">
        <w:rPr>
          <w:sz w:val="16"/>
          <w:szCs w:val="20"/>
        </w:rPr>
        <w:t xml:space="preserve">u persona </w:t>
      </w:r>
      <w:r w:rsidRPr="009D741D">
        <w:rPr>
          <w:sz w:val="16"/>
          <w:szCs w:val="20"/>
        </w:rPr>
        <w:t>entretiene</w:t>
      </w:r>
    </w:p>
    <w:p w14:paraId="1E0E3B9D" w14:textId="77777777" w:rsidR="006F0C90" w:rsidRPr="009D741D" w:rsidRDefault="006F0C90" w:rsidP="006F0C90">
      <w:pPr>
        <w:pStyle w:val="VersoIngls01Sangria"/>
        <w:rPr>
          <w:sz w:val="16"/>
          <w:szCs w:val="20"/>
        </w:rPr>
      </w:pPr>
      <w:r w:rsidRPr="009D741D">
        <w:rPr>
          <w:sz w:val="16"/>
          <w:szCs w:val="20"/>
        </w:rPr>
        <w:t>Está royendo las mismas raíces</w:t>
      </w:r>
    </w:p>
    <w:p w14:paraId="2311B547" w14:textId="412B810F" w:rsidR="006F0C90" w:rsidRPr="009D741D" w:rsidRDefault="006F0C90" w:rsidP="006F0C90">
      <w:pPr>
        <w:pStyle w:val="VersoIngls01Sangria"/>
        <w:rPr>
          <w:sz w:val="16"/>
          <w:szCs w:val="20"/>
        </w:rPr>
      </w:pPr>
      <w:r w:rsidRPr="009D741D">
        <w:rPr>
          <w:sz w:val="16"/>
          <w:szCs w:val="20"/>
        </w:rPr>
        <w:t xml:space="preserve">De todas las virtudes que </w:t>
      </w:r>
      <w:r w:rsidR="008B4D07" w:rsidRPr="009D741D">
        <w:rPr>
          <w:sz w:val="16"/>
          <w:szCs w:val="20"/>
        </w:rPr>
        <w:t>salva</w:t>
      </w:r>
      <w:r w:rsidRPr="009D741D">
        <w:rPr>
          <w:sz w:val="16"/>
          <w:szCs w:val="20"/>
        </w:rPr>
        <w:t>guarda</w:t>
      </w:r>
      <w:r w:rsidR="00CC3A1E">
        <w:rPr>
          <w:sz w:val="16"/>
          <w:szCs w:val="20"/>
        </w:rPr>
        <w:t>s</w:t>
      </w:r>
      <w:r w:rsidRPr="009D741D">
        <w:rPr>
          <w:sz w:val="16"/>
          <w:szCs w:val="20"/>
        </w:rPr>
        <w:t>—</w:t>
      </w:r>
    </w:p>
    <w:p w14:paraId="796423F4" w14:textId="375686CE" w:rsidR="006F0C90" w:rsidRPr="009D741D" w:rsidRDefault="006F0C90" w:rsidP="006F0C90">
      <w:pPr>
        <w:pStyle w:val="VersoIngls01Sangria"/>
        <w:spacing w:after="100"/>
        <w:ind w:left="1418"/>
        <w:rPr>
          <w:sz w:val="16"/>
          <w:szCs w:val="20"/>
        </w:rPr>
      </w:pPr>
      <w:r w:rsidRPr="009D741D">
        <w:rPr>
          <w:sz w:val="16"/>
          <w:szCs w:val="20"/>
        </w:rPr>
        <w:t xml:space="preserve">¿Quién </w:t>
      </w:r>
      <w:r w:rsidR="00D854F4" w:rsidRPr="009D741D">
        <w:rPr>
          <w:sz w:val="16"/>
          <w:szCs w:val="20"/>
        </w:rPr>
        <w:t>podría</w:t>
      </w:r>
      <w:r w:rsidRPr="009D741D">
        <w:rPr>
          <w:sz w:val="16"/>
          <w:szCs w:val="20"/>
        </w:rPr>
        <w:t xml:space="preserve"> </w:t>
      </w:r>
      <w:r w:rsidR="008B4D07" w:rsidRPr="009D741D">
        <w:rPr>
          <w:sz w:val="16"/>
          <w:szCs w:val="20"/>
        </w:rPr>
        <w:t xml:space="preserve">comportarse tan </w:t>
      </w:r>
      <w:r w:rsidRPr="009D741D">
        <w:rPr>
          <w:sz w:val="16"/>
          <w:szCs w:val="20"/>
        </w:rPr>
        <w:t>tont</w:t>
      </w:r>
      <w:r w:rsidR="008B4D07" w:rsidRPr="009D741D">
        <w:rPr>
          <w:sz w:val="16"/>
          <w:szCs w:val="20"/>
        </w:rPr>
        <w:t>amente</w:t>
      </w:r>
      <w:r w:rsidRPr="009D741D">
        <w:rPr>
          <w:sz w:val="16"/>
          <w:szCs w:val="20"/>
        </w:rPr>
        <w:t xml:space="preserve"> como </w:t>
      </w:r>
      <w:r w:rsidR="00CC3A1E">
        <w:rPr>
          <w:sz w:val="16"/>
          <w:szCs w:val="20"/>
        </w:rPr>
        <w:t>lo haces ahora</w:t>
      </w:r>
      <w:r w:rsidRPr="009D741D">
        <w:rPr>
          <w:sz w:val="16"/>
          <w:szCs w:val="20"/>
        </w:rPr>
        <w:t>?</w:t>
      </w:r>
    </w:p>
    <w:p w14:paraId="11C44C91" w14:textId="4AB8E4EA" w:rsidR="006F0C90" w:rsidRPr="009D741D" w:rsidRDefault="006F0C90" w:rsidP="006F0C90">
      <w:pPr>
        <w:pStyle w:val="VersoIngls01Sangria"/>
        <w:rPr>
          <w:sz w:val="16"/>
          <w:szCs w:val="20"/>
        </w:rPr>
      </w:pPr>
      <w:r w:rsidRPr="009D741D">
        <w:rPr>
          <w:sz w:val="16"/>
          <w:szCs w:val="20"/>
        </w:rPr>
        <w:t>Otro</w:t>
      </w:r>
      <w:r w:rsidR="00D854F4" w:rsidRPr="009D741D">
        <w:rPr>
          <w:sz w:val="16"/>
          <w:szCs w:val="20"/>
        </w:rPr>
        <w:t>s</w:t>
      </w:r>
      <w:r w:rsidRPr="009D741D">
        <w:rPr>
          <w:sz w:val="16"/>
          <w:szCs w:val="20"/>
        </w:rPr>
        <w:t xml:space="preserve"> </w:t>
      </w:r>
      <w:r w:rsidR="001C0B01">
        <w:rPr>
          <w:sz w:val="16"/>
          <w:szCs w:val="20"/>
        </w:rPr>
        <w:t>realizarán</w:t>
      </w:r>
      <w:r w:rsidRPr="009D741D">
        <w:rPr>
          <w:sz w:val="16"/>
          <w:szCs w:val="20"/>
        </w:rPr>
        <w:t xml:space="preserve"> </w:t>
      </w:r>
      <w:r w:rsidR="00282200" w:rsidRPr="009D741D">
        <w:rPr>
          <w:sz w:val="16"/>
          <w:szCs w:val="20"/>
        </w:rPr>
        <w:t xml:space="preserve">siempre </w:t>
      </w:r>
      <w:r w:rsidRPr="009D741D">
        <w:rPr>
          <w:sz w:val="16"/>
          <w:szCs w:val="20"/>
        </w:rPr>
        <w:t>actos innobles,</w:t>
      </w:r>
    </w:p>
    <w:p w14:paraId="32BA1325" w14:textId="01EF4D14" w:rsidR="006F0C90" w:rsidRPr="009D741D" w:rsidRDefault="00CC3A1E" w:rsidP="006F0C90">
      <w:pPr>
        <w:pStyle w:val="VersoIngls01Sangria"/>
        <w:rPr>
          <w:sz w:val="16"/>
          <w:szCs w:val="20"/>
        </w:rPr>
      </w:pPr>
      <w:r>
        <w:rPr>
          <w:sz w:val="16"/>
          <w:szCs w:val="20"/>
        </w:rPr>
        <w:t>¿</w:t>
      </w:r>
      <w:r w:rsidR="002269CC" w:rsidRPr="009D741D">
        <w:rPr>
          <w:sz w:val="16"/>
          <w:szCs w:val="20"/>
        </w:rPr>
        <w:t>Ý por e</w:t>
      </w:r>
      <w:r w:rsidR="001C0B01">
        <w:rPr>
          <w:sz w:val="16"/>
          <w:szCs w:val="20"/>
        </w:rPr>
        <w:t>ll</w:t>
      </w:r>
      <w:r w:rsidR="002269CC" w:rsidRPr="009D741D">
        <w:rPr>
          <w:sz w:val="16"/>
          <w:szCs w:val="20"/>
        </w:rPr>
        <w:t xml:space="preserve">o </w:t>
      </w:r>
      <w:r>
        <w:rPr>
          <w:sz w:val="16"/>
          <w:szCs w:val="20"/>
        </w:rPr>
        <w:t>t</w:t>
      </w:r>
      <w:r w:rsidR="002269CC" w:rsidRPr="009D741D">
        <w:rPr>
          <w:sz w:val="16"/>
          <w:szCs w:val="20"/>
        </w:rPr>
        <w:t>e</w:t>
      </w:r>
      <w:r w:rsidR="006F0C90" w:rsidRPr="009D741D">
        <w:rPr>
          <w:sz w:val="16"/>
          <w:szCs w:val="20"/>
        </w:rPr>
        <w:t xml:space="preserve"> enoja</w:t>
      </w:r>
      <w:r w:rsidR="002269CC" w:rsidRPr="009D741D">
        <w:rPr>
          <w:sz w:val="16"/>
          <w:szCs w:val="20"/>
        </w:rPr>
        <w:t>rá</w:t>
      </w:r>
      <w:r>
        <w:rPr>
          <w:sz w:val="16"/>
          <w:szCs w:val="20"/>
        </w:rPr>
        <w:t>s?</w:t>
      </w:r>
      <w:r w:rsidR="006F0C90" w:rsidRPr="009D741D">
        <w:rPr>
          <w:sz w:val="16"/>
          <w:szCs w:val="20"/>
        </w:rPr>
        <w:t xml:space="preserve"> ¿Cómo es eso?</w:t>
      </w:r>
    </w:p>
    <w:p w14:paraId="277D3C53" w14:textId="5479E3F5" w:rsidR="006F0C90" w:rsidRPr="009D741D" w:rsidRDefault="002269CC" w:rsidP="006F0C90">
      <w:pPr>
        <w:pStyle w:val="VersoIngls01Sangria"/>
        <w:rPr>
          <w:sz w:val="16"/>
          <w:szCs w:val="20"/>
        </w:rPr>
      </w:pPr>
      <w:r w:rsidRPr="009D741D">
        <w:rPr>
          <w:sz w:val="16"/>
          <w:szCs w:val="20"/>
        </w:rPr>
        <w:t>¿</w:t>
      </w:r>
      <w:r w:rsidR="006F0C90" w:rsidRPr="009D741D">
        <w:rPr>
          <w:sz w:val="16"/>
          <w:szCs w:val="20"/>
        </w:rPr>
        <w:t>Entonces, quiere copiar también</w:t>
      </w:r>
    </w:p>
    <w:p w14:paraId="0A7FF361" w14:textId="68567B25" w:rsidR="006F0C90" w:rsidRPr="009D741D" w:rsidRDefault="006F0C90" w:rsidP="006F0C90">
      <w:pPr>
        <w:pStyle w:val="VersoIngls01Sangria"/>
        <w:spacing w:after="100"/>
        <w:ind w:left="1418"/>
        <w:rPr>
          <w:sz w:val="16"/>
          <w:szCs w:val="20"/>
        </w:rPr>
      </w:pPr>
      <w:r w:rsidRPr="009D741D">
        <w:rPr>
          <w:sz w:val="16"/>
          <w:szCs w:val="20"/>
        </w:rPr>
        <w:t xml:space="preserve">El tipo de </w:t>
      </w:r>
      <w:r w:rsidR="00E72D20">
        <w:rPr>
          <w:sz w:val="16"/>
          <w:szCs w:val="20"/>
        </w:rPr>
        <w:t xml:space="preserve">acciones </w:t>
      </w:r>
      <w:r w:rsidRPr="009D741D">
        <w:rPr>
          <w:sz w:val="16"/>
          <w:szCs w:val="20"/>
        </w:rPr>
        <w:t xml:space="preserve">que </w:t>
      </w:r>
      <w:r w:rsidR="00B47F36" w:rsidRPr="009D741D">
        <w:rPr>
          <w:sz w:val="16"/>
          <w:szCs w:val="20"/>
        </w:rPr>
        <w:t xml:space="preserve">esos seres </w:t>
      </w:r>
      <w:r w:rsidRPr="009D741D">
        <w:rPr>
          <w:sz w:val="16"/>
          <w:szCs w:val="20"/>
        </w:rPr>
        <w:t>comet</w:t>
      </w:r>
      <w:r w:rsidR="001C0B01">
        <w:rPr>
          <w:sz w:val="16"/>
          <w:szCs w:val="20"/>
        </w:rPr>
        <w:t>e</w:t>
      </w:r>
      <w:r w:rsidR="00B47F36" w:rsidRPr="009D741D">
        <w:rPr>
          <w:sz w:val="16"/>
          <w:szCs w:val="20"/>
        </w:rPr>
        <w:t>n</w:t>
      </w:r>
      <w:r w:rsidRPr="009D741D">
        <w:rPr>
          <w:sz w:val="16"/>
          <w:szCs w:val="20"/>
        </w:rPr>
        <w:t>?</w:t>
      </w:r>
    </w:p>
    <w:p w14:paraId="69A87EB1" w14:textId="129D5536" w:rsidR="006F0C90" w:rsidRPr="009D741D" w:rsidRDefault="006F0C90" w:rsidP="006F0C90">
      <w:pPr>
        <w:pStyle w:val="VersoIngls01Sangria"/>
        <w:rPr>
          <w:sz w:val="16"/>
          <w:szCs w:val="20"/>
        </w:rPr>
      </w:pPr>
      <w:r w:rsidRPr="009D741D">
        <w:rPr>
          <w:sz w:val="16"/>
          <w:szCs w:val="20"/>
        </w:rPr>
        <w:t>Supongamos que otro</w:t>
      </w:r>
      <w:r w:rsidR="00B47F36" w:rsidRPr="009D741D">
        <w:rPr>
          <w:sz w:val="16"/>
          <w:szCs w:val="20"/>
        </w:rPr>
        <w:t xml:space="preserve"> ser</w:t>
      </w:r>
      <w:r w:rsidRPr="009D741D">
        <w:rPr>
          <w:sz w:val="16"/>
          <w:szCs w:val="20"/>
        </w:rPr>
        <w:t>, para fastidiar,</w:t>
      </w:r>
    </w:p>
    <w:p w14:paraId="00113DD2" w14:textId="3BD1C48C" w:rsidR="006F0C90" w:rsidRPr="009D741D" w:rsidRDefault="009C633F" w:rsidP="006F0C90">
      <w:pPr>
        <w:pStyle w:val="VersoIngls01Sangria"/>
        <w:rPr>
          <w:sz w:val="16"/>
          <w:szCs w:val="20"/>
        </w:rPr>
      </w:pPr>
      <w:r w:rsidRPr="009D741D">
        <w:rPr>
          <w:sz w:val="16"/>
          <w:szCs w:val="20"/>
        </w:rPr>
        <w:t>l</w:t>
      </w:r>
      <w:r w:rsidR="006F0C90" w:rsidRPr="009D741D">
        <w:rPr>
          <w:sz w:val="16"/>
          <w:szCs w:val="20"/>
        </w:rPr>
        <w:t>e provo</w:t>
      </w:r>
      <w:r w:rsidRPr="009D741D">
        <w:rPr>
          <w:sz w:val="16"/>
          <w:szCs w:val="20"/>
        </w:rPr>
        <w:t xml:space="preserve">que </w:t>
      </w:r>
      <w:r w:rsidR="006F0C90" w:rsidRPr="009D741D">
        <w:rPr>
          <w:sz w:val="16"/>
          <w:szCs w:val="20"/>
        </w:rPr>
        <w:t>con alg</w:t>
      </w:r>
      <w:r w:rsidR="00D32FB9">
        <w:rPr>
          <w:sz w:val="16"/>
          <w:szCs w:val="20"/>
        </w:rPr>
        <w:t>u</w:t>
      </w:r>
      <w:r w:rsidR="006F0C90" w:rsidRPr="009D741D">
        <w:rPr>
          <w:sz w:val="16"/>
          <w:szCs w:val="20"/>
        </w:rPr>
        <w:t>n</w:t>
      </w:r>
      <w:r w:rsidR="00D32FB9">
        <w:rPr>
          <w:sz w:val="16"/>
          <w:szCs w:val="20"/>
        </w:rPr>
        <w:t>a</w:t>
      </w:r>
      <w:r w:rsidR="006F0C90" w:rsidRPr="009D741D">
        <w:rPr>
          <w:sz w:val="16"/>
          <w:szCs w:val="20"/>
        </w:rPr>
        <w:t xml:space="preserve"> </w:t>
      </w:r>
      <w:r w:rsidR="00D32FB9">
        <w:rPr>
          <w:sz w:val="16"/>
          <w:szCs w:val="20"/>
        </w:rPr>
        <w:t xml:space="preserve">acción </w:t>
      </w:r>
      <w:r w:rsidR="00B47F36" w:rsidRPr="009D741D">
        <w:rPr>
          <w:sz w:val="16"/>
          <w:szCs w:val="20"/>
        </w:rPr>
        <w:t>molest</w:t>
      </w:r>
      <w:r w:rsidR="00D32FB9">
        <w:rPr>
          <w:sz w:val="16"/>
          <w:szCs w:val="20"/>
        </w:rPr>
        <w:t>a</w:t>
      </w:r>
      <w:r w:rsidR="006F0C90" w:rsidRPr="009D741D">
        <w:rPr>
          <w:sz w:val="16"/>
          <w:szCs w:val="20"/>
        </w:rPr>
        <w:t>,</w:t>
      </w:r>
    </w:p>
    <w:p w14:paraId="307D5BE2" w14:textId="77777777" w:rsidR="006F0C90" w:rsidRPr="009D741D" w:rsidRDefault="006F0C90" w:rsidP="006F0C90">
      <w:pPr>
        <w:pStyle w:val="VersoIngls01Sangria"/>
        <w:rPr>
          <w:sz w:val="16"/>
          <w:szCs w:val="20"/>
        </w:rPr>
      </w:pPr>
      <w:r w:rsidRPr="009D741D">
        <w:rPr>
          <w:sz w:val="16"/>
          <w:szCs w:val="20"/>
        </w:rPr>
        <w:t>¿Por qué permitir que brote la ira,</w:t>
      </w:r>
    </w:p>
    <w:p w14:paraId="543AC897" w14:textId="378AC808" w:rsidR="006F0C90" w:rsidRPr="009D741D" w:rsidRDefault="006F0C90" w:rsidP="006F0C90">
      <w:pPr>
        <w:pStyle w:val="VersoIngls01Sangria"/>
        <w:spacing w:after="100"/>
        <w:ind w:left="1418"/>
        <w:rPr>
          <w:sz w:val="16"/>
          <w:szCs w:val="20"/>
        </w:rPr>
      </w:pPr>
      <w:r w:rsidRPr="009D741D">
        <w:rPr>
          <w:sz w:val="16"/>
          <w:szCs w:val="20"/>
        </w:rPr>
        <w:t xml:space="preserve">Y hacer lo que él </w:t>
      </w:r>
      <w:r w:rsidR="00D32FB9">
        <w:rPr>
          <w:sz w:val="16"/>
          <w:szCs w:val="20"/>
        </w:rPr>
        <w:t>aspire</w:t>
      </w:r>
      <w:r w:rsidRPr="009D741D">
        <w:rPr>
          <w:sz w:val="16"/>
          <w:szCs w:val="20"/>
        </w:rPr>
        <w:t xml:space="preserve"> que haga</w:t>
      </w:r>
      <w:r w:rsidR="00E72D20">
        <w:rPr>
          <w:sz w:val="16"/>
          <w:szCs w:val="20"/>
        </w:rPr>
        <w:t>s</w:t>
      </w:r>
      <w:r w:rsidRPr="009D741D">
        <w:rPr>
          <w:sz w:val="16"/>
          <w:szCs w:val="20"/>
        </w:rPr>
        <w:t>?</w:t>
      </w:r>
    </w:p>
    <w:p w14:paraId="6E2E2803" w14:textId="2617A160" w:rsidR="006F0C90" w:rsidRPr="009D741D" w:rsidRDefault="006F0C90" w:rsidP="006F0C90">
      <w:pPr>
        <w:pStyle w:val="VersoIngls01Sangria"/>
        <w:rPr>
          <w:sz w:val="16"/>
          <w:szCs w:val="20"/>
        </w:rPr>
      </w:pPr>
      <w:r w:rsidRPr="009D741D">
        <w:rPr>
          <w:sz w:val="16"/>
          <w:szCs w:val="20"/>
        </w:rPr>
        <w:t xml:space="preserve">Si </w:t>
      </w:r>
      <w:r w:rsidR="00E72D20">
        <w:rPr>
          <w:sz w:val="16"/>
          <w:szCs w:val="20"/>
        </w:rPr>
        <w:t>t</w:t>
      </w:r>
      <w:r w:rsidRPr="009D741D">
        <w:rPr>
          <w:sz w:val="16"/>
          <w:szCs w:val="20"/>
        </w:rPr>
        <w:t>e enoja</w:t>
      </w:r>
      <w:r w:rsidR="00E72D20">
        <w:rPr>
          <w:sz w:val="16"/>
          <w:szCs w:val="20"/>
        </w:rPr>
        <w:t>s</w:t>
      </w:r>
      <w:r w:rsidRPr="009D741D">
        <w:rPr>
          <w:sz w:val="16"/>
          <w:szCs w:val="20"/>
        </w:rPr>
        <w:t>, entonces tal vez</w:t>
      </w:r>
    </w:p>
    <w:p w14:paraId="7BC1EF27" w14:textId="7396B271" w:rsidR="006F0C90" w:rsidRPr="009D741D" w:rsidRDefault="006F0C90" w:rsidP="006F0C90">
      <w:pPr>
        <w:pStyle w:val="VersoIngls01Sangria"/>
        <w:rPr>
          <w:sz w:val="16"/>
          <w:szCs w:val="20"/>
        </w:rPr>
      </w:pPr>
      <w:r w:rsidRPr="009D741D">
        <w:rPr>
          <w:sz w:val="16"/>
          <w:szCs w:val="20"/>
        </w:rPr>
        <w:t xml:space="preserve">Lo </w:t>
      </w:r>
      <w:r w:rsidR="007D220A" w:rsidRPr="009D741D">
        <w:rPr>
          <w:sz w:val="16"/>
          <w:szCs w:val="20"/>
        </w:rPr>
        <w:t>hará</w:t>
      </w:r>
      <w:r w:rsidR="00E72D20">
        <w:rPr>
          <w:sz w:val="16"/>
          <w:szCs w:val="20"/>
        </w:rPr>
        <w:t>s</w:t>
      </w:r>
      <w:r w:rsidR="007D220A" w:rsidRPr="009D741D">
        <w:rPr>
          <w:sz w:val="16"/>
          <w:szCs w:val="20"/>
        </w:rPr>
        <w:t xml:space="preserve"> </w:t>
      </w:r>
      <w:r w:rsidRPr="009D741D">
        <w:rPr>
          <w:sz w:val="16"/>
          <w:szCs w:val="20"/>
        </w:rPr>
        <w:t>sufrir, tal vez no;</w:t>
      </w:r>
    </w:p>
    <w:p w14:paraId="5A0092F1" w14:textId="5A8768B5" w:rsidR="006F0C90" w:rsidRPr="009D741D" w:rsidRDefault="006F0C90" w:rsidP="006F0C90">
      <w:pPr>
        <w:pStyle w:val="VersoIngls01Sangria"/>
        <w:rPr>
          <w:sz w:val="16"/>
          <w:szCs w:val="20"/>
        </w:rPr>
      </w:pPr>
      <w:r w:rsidRPr="009D741D">
        <w:rPr>
          <w:sz w:val="16"/>
          <w:szCs w:val="20"/>
        </w:rPr>
        <w:t xml:space="preserve">Aunque con el dolor que </w:t>
      </w:r>
      <w:r w:rsidR="005A6901" w:rsidRPr="009D741D">
        <w:rPr>
          <w:sz w:val="16"/>
          <w:szCs w:val="20"/>
        </w:rPr>
        <w:t xml:space="preserve">conlleve </w:t>
      </w:r>
      <w:r w:rsidRPr="009D741D">
        <w:rPr>
          <w:sz w:val="16"/>
          <w:szCs w:val="20"/>
        </w:rPr>
        <w:t>la ira</w:t>
      </w:r>
    </w:p>
    <w:p w14:paraId="6312176B" w14:textId="2B8D8967" w:rsidR="006F0C90" w:rsidRPr="009D741D" w:rsidRDefault="006F0C90" w:rsidP="006F0C90">
      <w:pPr>
        <w:pStyle w:val="VersoIngls01Sangria"/>
        <w:spacing w:after="100"/>
        <w:ind w:left="1418"/>
        <w:rPr>
          <w:sz w:val="16"/>
          <w:szCs w:val="20"/>
        </w:rPr>
      </w:pPr>
      <w:r w:rsidRPr="009D741D">
        <w:rPr>
          <w:sz w:val="16"/>
          <w:szCs w:val="20"/>
        </w:rPr>
        <w:t xml:space="preserve">Ciertamente </w:t>
      </w:r>
      <w:r w:rsidR="007D220A" w:rsidRPr="00756F62">
        <w:rPr>
          <w:i/>
          <w:iCs/>
          <w:sz w:val="16"/>
          <w:szCs w:val="20"/>
        </w:rPr>
        <w:t>será</w:t>
      </w:r>
      <w:r w:rsidR="00756F62" w:rsidRPr="00756F62">
        <w:rPr>
          <w:i/>
          <w:iCs/>
          <w:sz w:val="16"/>
          <w:szCs w:val="20"/>
        </w:rPr>
        <w:t>s</w:t>
      </w:r>
      <w:r w:rsidR="007D220A" w:rsidRPr="009D741D">
        <w:rPr>
          <w:sz w:val="16"/>
          <w:szCs w:val="20"/>
        </w:rPr>
        <w:t xml:space="preserve"> </w:t>
      </w:r>
      <w:r w:rsidR="00756F62" w:rsidRPr="009D741D">
        <w:rPr>
          <w:sz w:val="16"/>
          <w:szCs w:val="20"/>
        </w:rPr>
        <w:t xml:space="preserve">entonces </w:t>
      </w:r>
      <w:r w:rsidRPr="009D741D">
        <w:rPr>
          <w:sz w:val="16"/>
          <w:szCs w:val="20"/>
        </w:rPr>
        <w:t>castigad</w:t>
      </w:r>
      <w:r w:rsidR="00EE6B21">
        <w:rPr>
          <w:sz w:val="16"/>
          <w:szCs w:val="20"/>
        </w:rPr>
        <w:t>o</w:t>
      </w:r>
      <w:r w:rsidRPr="009D741D">
        <w:rPr>
          <w:sz w:val="16"/>
          <w:szCs w:val="20"/>
        </w:rPr>
        <w:t>.</w:t>
      </w:r>
    </w:p>
    <w:p w14:paraId="481944FA" w14:textId="77777777" w:rsidR="006F0C90" w:rsidRPr="009D741D" w:rsidRDefault="006F0C90" w:rsidP="006F0C90">
      <w:pPr>
        <w:pStyle w:val="VersoIngls01Sangria"/>
        <w:rPr>
          <w:sz w:val="16"/>
          <w:szCs w:val="20"/>
        </w:rPr>
      </w:pPr>
      <w:r w:rsidRPr="009D741D">
        <w:rPr>
          <w:sz w:val="16"/>
          <w:szCs w:val="20"/>
        </w:rPr>
        <w:t>Si los enemigos cegados por la ira</w:t>
      </w:r>
    </w:p>
    <w:p w14:paraId="0C78143F" w14:textId="736B4B5B" w:rsidR="006F0C90" w:rsidRPr="009D741D" w:rsidRDefault="006F0C90" w:rsidP="006F0C90">
      <w:pPr>
        <w:pStyle w:val="VersoIngls01Sangria"/>
        <w:rPr>
          <w:sz w:val="16"/>
          <w:szCs w:val="20"/>
        </w:rPr>
      </w:pPr>
      <w:r w:rsidRPr="009D741D">
        <w:rPr>
          <w:sz w:val="16"/>
          <w:szCs w:val="20"/>
        </w:rPr>
        <w:t>Emprend</w:t>
      </w:r>
      <w:r w:rsidR="00EE6B21">
        <w:rPr>
          <w:sz w:val="16"/>
          <w:szCs w:val="20"/>
        </w:rPr>
        <w:t>iese</w:t>
      </w:r>
      <w:r w:rsidR="007D220A" w:rsidRPr="009D741D">
        <w:rPr>
          <w:sz w:val="16"/>
          <w:szCs w:val="20"/>
        </w:rPr>
        <w:t>n</w:t>
      </w:r>
      <w:r w:rsidRPr="009D741D">
        <w:rPr>
          <w:sz w:val="16"/>
          <w:szCs w:val="20"/>
        </w:rPr>
        <w:t xml:space="preserve"> el </w:t>
      </w:r>
      <w:r w:rsidR="007D220A" w:rsidRPr="009D741D">
        <w:rPr>
          <w:sz w:val="16"/>
          <w:szCs w:val="20"/>
        </w:rPr>
        <w:t xml:space="preserve">sendero </w:t>
      </w:r>
      <w:r w:rsidRPr="009D741D">
        <w:rPr>
          <w:sz w:val="16"/>
          <w:szCs w:val="20"/>
        </w:rPr>
        <w:t>de la aflicción,</w:t>
      </w:r>
    </w:p>
    <w:p w14:paraId="75AD7E2A" w14:textId="0CF6B68D" w:rsidR="006F0C90" w:rsidRPr="009D741D" w:rsidRDefault="006F0C90" w:rsidP="006F0C90">
      <w:pPr>
        <w:pStyle w:val="VersoIngls01Sangria"/>
        <w:rPr>
          <w:sz w:val="16"/>
          <w:szCs w:val="20"/>
        </w:rPr>
      </w:pPr>
      <w:r w:rsidRPr="009D741D">
        <w:rPr>
          <w:sz w:val="16"/>
          <w:szCs w:val="20"/>
        </w:rPr>
        <w:t>¿</w:t>
      </w:r>
      <w:r w:rsidR="005A6901" w:rsidRPr="009D741D">
        <w:rPr>
          <w:sz w:val="16"/>
          <w:szCs w:val="20"/>
        </w:rPr>
        <w:t xml:space="preserve">También </w:t>
      </w:r>
      <w:r w:rsidR="00756F62">
        <w:rPr>
          <w:sz w:val="16"/>
          <w:szCs w:val="20"/>
        </w:rPr>
        <w:t>t</w:t>
      </w:r>
      <w:r w:rsidRPr="009D741D">
        <w:rPr>
          <w:sz w:val="16"/>
          <w:szCs w:val="20"/>
        </w:rPr>
        <w:t>e enoja</w:t>
      </w:r>
      <w:r w:rsidR="007D220A" w:rsidRPr="009D741D">
        <w:rPr>
          <w:sz w:val="16"/>
          <w:szCs w:val="20"/>
        </w:rPr>
        <w:t>rá</w:t>
      </w:r>
      <w:r w:rsidR="00756F62">
        <w:rPr>
          <w:sz w:val="16"/>
          <w:szCs w:val="20"/>
        </w:rPr>
        <w:t>s</w:t>
      </w:r>
      <w:r w:rsidR="000D6136" w:rsidRPr="009D741D">
        <w:rPr>
          <w:sz w:val="16"/>
          <w:szCs w:val="20"/>
        </w:rPr>
        <w:t xml:space="preserve"> por ello</w:t>
      </w:r>
      <w:r w:rsidRPr="009D741D">
        <w:rPr>
          <w:sz w:val="16"/>
          <w:szCs w:val="20"/>
        </w:rPr>
        <w:t>?</w:t>
      </w:r>
    </w:p>
    <w:p w14:paraId="1BCE03D3" w14:textId="6FC60A26" w:rsidR="006F0C90" w:rsidRPr="009D741D" w:rsidRDefault="006F0C90" w:rsidP="006F0C90">
      <w:pPr>
        <w:pStyle w:val="VersoIngls01Sangria"/>
        <w:spacing w:after="100"/>
        <w:ind w:left="1418"/>
        <w:rPr>
          <w:sz w:val="16"/>
          <w:szCs w:val="20"/>
        </w:rPr>
      </w:pPr>
      <w:r w:rsidRPr="009D741D">
        <w:rPr>
          <w:sz w:val="16"/>
          <w:szCs w:val="20"/>
        </w:rPr>
        <w:t>¿Tiene</w:t>
      </w:r>
      <w:r w:rsidR="00756F62">
        <w:rPr>
          <w:sz w:val="16"/>
          <w:szCs w:val="20"/>
        </w:rPr>
        <w:t>s</w:t>
      </w:r>
      <w:r w:rsidRPr="009D741D">
        <w:rPr>
          <w:sz w:val="16"/>
          <w:szCs w:val="20"/>
        </w:rPr>
        <w:t xml:space="preserve"> la intención de seguir</w:t>
      </w:r>
      <w:r w:rsidR="00E23C79">
        <w:rPr>
          <w:sz w:val="16"/>
          <w:szCs w:val="20"/>
        </w:rPr>
        <w:t>los</w:t>
      </w:r>
      <w:r w:rsidRPr="009D741D">
        <w:rPr>
          <w:sz w:val="16"/>
          <w:szCs w:val="20"/>
        </w:rPr>
        <w:t xml:space="preserve"> de</w:t>
      </w:r>
      <w:r w:rsidR="00FA3294" w:rsidRPr="009D741D">
        <w:rPr>
          <w:sz w:val="16"/>
          <w:szCs w:val="20"/>
        </w:rPr>
        <w:t>sde</w:t>
      </w:r>
      <w:r w:rsidRPr="009D741D">
        <w:rPr>
          <w:sz w:val="16"/>
          <w:szCs w:val="20"/>
        </w:rPr>
        <w:t xml:space="preserve"> </w:t>
      </w:r>
      <w:r w:rsidR="00FA3294" w:rsidRPr="009D741D">
        <w:rPr>
          <w:sz w:val="16"/>
          <w:szCs w:val="20"/>
        </w:rPr>
        <w:t xml:space="preserve">el </w:t>
      </w:r>
      <w:r w:rsidRPr="009D741D">
        <w:rPr>
          <w:sz w:val="16"/>
          <w:szCs w:val="20"/>
        </w:rPr>
        <w:t xml:space="preserve">talón </w:t>
      </w:r>
      <w:r w:rsidR="00E23C79">
        <w:rPr>
          <w:sz w:val="16"/>
          <w:szCs w:val="20"/>
        </w:rPr>
        <w:t>hasta</w:t>
      </w:r>
      <w:r w:rsidRPr="009D741D">
        <w:rPr>
          <w:sz w:val="16"/>
          <w:szCs w:val="20"/>
        </w:rPr>
        <w:t xml:space="preserve"> </w:t>
      </w:r>
      <w:r w:rsidR="00FA3294" w:rsidRPr="009D741D">
        <w:rPr>
          <w:sz w:val="16"/>
          <w:szCs w:val="20"/>
        </w:rPr>
        <w:t>el dedo</w:t>
      </w:r>
      <w:r w:rsidRPr="009D741D">
        <w:rPr>
          <w:sz w:val="16"/>
          <w:szCs w:val="20"/>
        </w:rPr>
        <w:t>?</w:t>
      </w:r>
    </w:p>
    <w:p w14:paraId="49758527" w14:textId="2312BA45" w:rsidR="006F0C90" w:rsidRPr="009D741D" w:rsidRDefault="006F0C90" w:rsidP="006F0C90">
      <w:pPr>
        <w:pStyle w:val="VersoIngls01Sangria"/>
        <w:rPr>
          <w:sz w:val="16"/>
          <w:szCs w:val="20"/>
        </w:rPr>
      </w:pPr>
      <w:r w:rsidRPr="009D741D">
        <w:rPr>
          <w:sz w:val="16"/>
          <w:szCs w:val="20"/>
        </w:rPr>
        <w:t xml:space="preserve">Si </w:t>
      </w:r>
      <w:r w:rsidR="00756F62">
        <w:rPr>
          <w:sz w:val="16"/>
          <w:szCs w:val="20"/>
        </w:rPr>
        <w:t>t</w:t>
      </w:r>
      <w:r w:rsidRPr="009D741D">
        <w:rPr>
          <w:sz w:val="16"/>
          <w:szCs w:val="20"/>
        </w:rPr>
        <w:t>e hace daño un enemigo</w:t>
      </w:r>
    </w:p>
    <w:p w14:paraId="3C81F84B" w14:textId="059BAD5D" w:rsidR="006F0C90" w:rsidRPr="009D741D" w:rsidRDefault="006123F1" w:rsidP="006F0C90">
      <w:pPr>
        <w:pStyle w:val="VersoIngls01Sangria"/>
        <w:rPr>
          <w:sz w:val="16"/>
          <w:szCs w:val="20"/>
        </w:rPr>
      </w:pPr>
      <w:r w:rsidRPr="009D741D">
        <w:rPr>
          <w:sz w:val="16"/>
          <w:szCs w:val="20"/>
        </w:rPr>
        <w:t xml:space="preserve">Debido a </w:t>
      </w:r>
      <w:r w:rsidR="00FA3294" w:rsidRPr="009D741D">
        <w:rPr>
          <w:sz w:val="16"/>
          <w:szCs w:val="20"/>
        </w:rPr>
        <w:t xml:space="preserve">cierta </w:t>
      </w:r>
      <w:r w:rsidR="006F0C90" w:rsidRPr="009D741D">
        <w:rPr>
          <w:sz w:val="16"/>
          <w:szCs w:val="20"/>
        </w:rPr>
        <w:t xml:space="preserve">ira de </w:t>
      </w:r>
      <w:r w:rsidR="00087C7A">
        <w:rPr>
          <w:sz w:val="16"/>
          <w:szCs w:val="20"/>
        </w:rPr>
        <w:t>t</w:t>
      </w:r>
      <w:r w:rsidR="006F0C90" w:rsidRPr="009D741D">
        <w:rPr>
          <w:sz w:val="16"/>
          <w:szCs w:val="20"/>
        </w:rPr>
        <w:t>u parte,</w:t>
      </w:r>
    </w:p>
    <w:p w14:paraId="611F27E4" w14:textId="2E44A1F8" w:rsidR="006F0C90" w:rsidRPr="009D741D" w:rsidRDefault="006F0C90" w:rsidP="006F0C90">
      <w:pPr>
        <w:pStyle w:val="VersoIngls01Sangria"/>
        <w:rPr>
          <w:sz w:val="16"/>
          <w:szCs w:val="20"/>
        </w:rPr>
      </w:pPr>
      <w:r w:rsidRPr="009D741D">
        <w:rPr>
          <w:sz w:val="16"/>
          <w:szCs w:val="20"/>
        </w:rPr>
        <w:t xml:space="preserve">Entonces </w:t>
      </w:r>
      <w:r w:rsidR="00C71FD2" w:rsidRPr="009D741D">
        <w:rPr>
          <w:sz w:val="16"/>
          <w:szCs w:val="20"/>
        </w:rPr>
        <w:t>redu</w:t>
      </w:r>
      <w:r w:rsidR="00087C7A">
        <w:rPr>
          <w:sz w:val="16"/>
          <w:szCs w:val="20"/>
        </w:rPr>
        <w:t>ce</w:t>
      </w:r>
      <w:r w:rsidRPr="009D741D">
        <w:rPr>
          <w:sz w:val="16"/>
          <w:szCs w:val="20"/>
        </w:rPr>
        <w:t xml:space="preserve"> </w:t>
      </w:r>
      <w:r w:rsidR="00087C7A">
        <w:rPr>
          <w:sz w:val="16"/>
          <w:szCs w:val="20"/>
        </w:rPr>
        <w:t>t</w:t>
      </w:r>
      <w:r w:rsidRPr="009D741D">
        <w:rPr>
          <w:sz w:val="16"/>
          <w:szCs w:val="20"/>
        </w:rPr>
        <w:t>u ira,</w:t>
      </w:r>
      <w:r w:rsidR="00D56C75" w:rsidRPr="009D741D">
        <w:rPr>
          <w:sz w:val="16"/>
          <w:szCs w:val="20"/>
        </w:rPr>
        <w:t xml:space="preserve"> </w:t>
      </w:r>
      <w:r w:rsidR="00CC38DB" w:rsidRPr="009D741D">
        <w:rPr>
          <w:sz w:val="16"/>
          <w:szCs w:val="20"/>
        </w:rPr>
        <w:t xml:space="preserve">¿Por qué </w:t>
      </w:r>
    </w:p>
    <w:p w14:paraId="034A3D15" w14:textId="40567CB6" w:rsidR="006F0C90" w:rsidRPr="009D741D" w:rsidRDefault="006F0C90" w:rsidP="006F0C90">
      <w:pPr>
        <w:pStyle w:val="VersoIngls01Sangria"/>
        <w:spacing w:after="100"/>
        <w:ind w:left="1418"/>
        <w:rPr>
          <w:sz w:val="16"/>
          <w:szCs w:val="20"/>
        </w:rPr>
      </w:pPr>
      <w:r w:rsidRPr="009D741D">
        <w:rPr>
          <w:sz w:val="16"/>
          <w:szCs w:val="20"/>
        </w:rPr>
        <w:t>Debería</w:t>
      </w:r>
      <w:r w:rsidR="00087C7A">
        <w:rPr>
          <w:sz w:val="16"/>
          <w:szCs w:val="20"/>
        </w:rPr>
        <w:t>s</w:t>
      </w:r>
      <w:r w:rsidRPr="009D741D">
        <w:rPr>
          <w:sz w:val="16"/>
          <w:szCs w:val="20"/>
        </w:rPr>
        <w:t xml:space="preserve"> ser acosado sin fundamento? [301]</w:t>
      </w:r>
    </w:p>
    <w:p w14:paraId="52160DA5" w14:textId="77777777" w:rsidR="006F0C90" w:rsidRPr="009D741D" w:rsidRDefault="006F0C90" w:rsidP="006F0C90">
      <w:pPr>
        <w:pStyle w:val="VersoIngls01Sangria"/>
        <w:rPr>
          <w:sz w:val="16"/>
          <w:szCs w:val="20"/>
        </w:rPr>
      </w:pPr>
      <w:r w:rsidRPr="009D741D">
        <w:rPr>
          <w:sz w:val="16"/>
          <w:szCs w:val="20"/>
        </w:rPr>
        <w:t>Dado que los estados duran solo un momento</w:t>
      </w:r>
    </w:p>
    <w:p w14:paraId="33164391" w14:textId="35FB240C" w:rsidR="006F0C90" w:rsidRPr="009D741D" w:rsidRDefault="00D56C75" w:rsidP="006F0C90">
      <w:pPr>
        <w:pStyle w:val="VersoIngls01Sangria"/>
        <w:rPr>
          <w:sz w:val="16"/>
          <w:szCs w:val="20"/>
        </w:rPr>
      </w:pPr>
      <w:r w:rsidRPr="009D741D">
        <w:rPr>
          <w:sz w:val="16"/>
          <w:szCs w:val="20"/>
        </w:rPr>
        <w:t>Todos e</w:t>
      </w:r>
      <w:r w:rsidR="006F0C90" w:rsidRPr="009D741D">
        <w:rPr>
          <w:sz w:val="16"/>
          <w:szCs w:val="20"/>
        </w:rPr>
        <w:t>sos agregados, por los cuales se hizo</w:t>
      </w:r>
    </w:p>
    <w:p w14:paraId="782AED3C" w14:textId="5312FB7E" w:rsidR="006F0C90" w:rsidRPr="009D741D" w:rsidRDefault="006F0C90" w:rsidP="006F0C90">
      <w:pPr>
        <w:pStyle w:val="VersoIngls01Sangria"/>
        <w:rPr>
          <w:sz w:val="16"/>
          <w:szCs w:val="20"/>
        </w:rPr>
      </w:pPr>
      <w:r w:rsidRPr="009D741D">
        <w:rPr>
          <w:sz w:val="16"/>
          <w:szCs w:val="20"/>
        </w:rPr>
        <w:t xml:space="preserve">El acto </w:t>
      </w:r>
      <w:r w:rsidR="00D56C75" w:rsidRPr="009D741D">
        <w:rPr>
          <w:sz w:val="16"/>
          <w:szCs w:val="20"/>
        </w:rPr>
        <w:t>de ira</w:t>
      </w:r>
      <w:r w:rsidRPr="009D741D">
        <w:rPr>
          <w:sz w:val="16"/>
          <w:szCs w:val="20"/>
        </w:rPr>
        <w:t>, ha</w:t>
      </w:r>
      <w:r w:rsidR="00D56C75" w:rsidRPr="009D741D">
        <w:rPr>
          <w:sz w:val="16"/>
          <w:szCs w:val="20"/>
        </w:rPr>
        <w:t>n</w:t>
      </w:r>
      <w:r w:rsidRPr="009D741D">
        <w:rPr>
          <w:sz w:val="16"/>
          <w:szCs w:val="20"/>
        </w:rPr>
        <w:t xml:space="preserve"> cesado, así que ahora</w:t>
      </w:r>
    </w:p>
    <w:p w14:paraId="21DC15A7" w14:textId="20609A8D" w:rsidR="006F0C90" w:rsidRPr="009D741D" w:rsidRDefault="006F0C90" w:rsidP="006F0C90">
      <w:pPr>
        <w:pStyle w:val="VersoIngls01Sangria"/>
        <w:spacing w:after="100"/>
        <w:ind w:left="1418"/>
        <w:rPr>
          <w:sz w:val="16"/>
          <w:szCs w:val="20"/>
        </w:rPr>
      </w:pPr>
      <w:r w:rsidRPr="009D741D">
        <w:rPr>
          <w:sz w:val="16"/>
          <w:szCs w:val="20"/>
        </w:rPr>
        <w:t xml:space="preserve">¿Con qué </w:t>
      </w:r>
      <w:r w:rsidR="00FA6159" w:rsidRPr="009D741D">
        <w:rPr>
          <w:sz w:val="16"/>
          <w:szCs w:val="20"/>
        </w:rPr>
        <w:t xml:space="preserve">cabría </w:t>
      </w:r>
      <w:r w:rsidRPr="009D741D">
        <w:rPr>
          <w:sz w:val="16"/>
          <w:szCs w:val="20"/>
        </w:rPr>
        <w:t>est</w:t>
      </w:r>
      <w:r w:rsidR="00FA6159" w:rsidRPr="009D741D">
        <w:rPr>
          <w:sz w:val="16"/>
          <w:szCs w:val="20"/>
        </w:rPr>
        <w:t>ar</w:t>
      </w:r>
      <w:r w:rsidRPr="009D741D">
        <w:rPr>
          <w:sz w:val="16"/>
          <w:szCs w:val="20"/>
        </w:rPr>
        <w:t xml:space="preserve"> enojado?</w:t>
      </w:r>
    </w:p>
    <w:p w14:paraId="13376F14" w14:textId="26A0E828" w:rsidR="006F0C90" w:rsidRPr="009D741D" w:rsidRDefault="00AF321C" w:rsidP="006F0C90">
      <w:pPr>
        <w:pStyle w:val="VersoIngls01Sangria"/>
        <w:rPr>
          <w:sz w:val="16"/>
          <w:szCs w:val="20"/>
        </w:rPr>
      </w:pPr>
      <w:r w:rsidRPr="009D741D">
        <w:rPr>
          <w:sz w:val="16"/>
          <w:szCs w:val="20"/>
        </w:rPr>
        <w:t>¿</w:t>
      </w:r>
      <w:r w:rsidR="006F0C90" w:rsidRPr="009D741D">
        <w:rPr>
          <w:sz w:val="16"/>
          <w:szCs w:val="20"/>
        </w:rPr>
        <w:t xml:space="preserve">A quién </w:t>
      </w:r>
      <w:r w:rsidR="00B05407">
        <w:rPr>
          <w:sz w:val="16"/>
          <w:szCs w:val="20"/>
        </w:rPr>
        <w:t>lastimará</w:t>
      </w:r>
      <w:r w:rsidR="00FA6159" w:rsidRPr="009D741D">
        <w:rPr>
          <w:sz w:val="16"/>
          <w:szCs w:val="20"/>
        </w:rPr>
        <w:t>,</w:t>
      </w:r>
      <w:r w:rsidR="006F0C90" w:rsidRPr="009D741D">
        <w:rPr>
          <w:sz w:val="16"/>
          <w:szCs w:val="20"/>
        </w:rPr>
        <w:t xml:space="preserve"> </w:t>
      </w:r>
      <w:r w:rsidR="007D2557" w:rsidRPr="009D741D">
        <w:rPr>
          <w:sz w:val="16"/>
          <w:szCs w:val="20"/>
        </w:rPr>
        <w:t>aquel que procur</w:t>
      </w:r>
      <w:r w:rsidR="006A6D86">
        <w:rPr>
          <w:sz w:val="16"/>
          <w:szCs w:val="20"/>
        </w:rPr>
        <w:t>e</w:t>
      </w:r>
      <w:r w:rsidR="007D2557" w:rsidRPr="009D741D">
        <w:rPr>
          <w:sz w:val="16"/>
          <w:szCs w:val="20"/>
        </w:rPr>
        <w:t xml:space="preserve"> </w:t>
      </w:r>
      <w:r w:rsidR="006F0C90" w:rsidRPr="009D741D">
        <w:rPr>
          <w:sz w:val="16"/>
          <w:szCs w:val="20"/>
        </w:rPr>
        <w:t>lastimar</w:t>
      </w:r>
    </w:p>
    <w:p w14:paraId="50AD09B6" w14:textId="73799E9E" w:rsidR="006F0C90" w:rsidRPr="009D741D" w:rsidRDefault="007D2557" w:rsidP="006F0C90">
      <w:pPr>
        <w:pStyle w:val="VersoIngls01Sangria"/>
        <w:rPr>
          <w:sz w:val="16"/>
          <w:szCs w:val="20"/>
        </w:rPr>
      </w:pPr>
      <w:r w:rsidRPr="009D741D">
        <w:rPr>
          <w:sz w:val="16"/>
          <w:szCs w:val="20"/>
        </w:rPr>
        <w:t>A</w:t>
      </w:r>
      <w:r w:rsidR="000F4797" w:rsidRPr="009D741D">
        <w:rPr>
          <w:sz w:val="16"/>
          <w:szCs w:val="20"/>
        </w:rPr>
        <w:t xml:space="preserve"> </w:t>
      </w:r>
      <w:r w:rsidR="00051B2E" w:rsidRPr="009D741D">
        <w:rPr>
          <w:sz w:val="16"/>
          <w:szCs w:val="20"/>
        </w:rPr>
        <w:t>o</w:t>
      </w:r>
      <w:r w:rsidR="006F0C90" w:rsidRPr="009D741D">
        <w:rPr>
          <w:sz w:val="16"/>
          <w:szCs w:val="20"/>
        </w:rPr>
        <w:t>tro, en ausencia de</w:t>
      </w:r>
      <w:r w:rsidR="006A6D86">
        <w:rPr>
          <w:sz w:val="16"/>
          <w:szCs w:val="20"/>
        </w:rPr>
        <w:t>l</w:t>
      </w:r>
      <w:r w:rsidR="001B5FCB">
        <w:rPr>
          <w:sz w:val="16"/>
          <w:szCs w:val="20"/>
        </w:rPr>
        <w:t xml:space="preserve"> </w:t>
      </w:r>
      <w:r w:rsidR="008C0104" w:rsidRPr="009D741D">
        <w:rPr>
          <w:sz w:val="16"/>
          <w:szCs w:val="20"/>
        </w:rPr>
        <w:t>presente</w:t>
      </w:r>
      <w:r w:rsidR="00AF321C" w:rsidRPr="009D741D">
        <w:rPr>
          <w:sz w:val="16"/>
          <w:szCs w:val="20"/>
        </w:rPr>
        <w:t>?</w:t>
      </w:r>
    </w:p>
    <w:p w14:paraId="195A74D8" w14:textId="0C93C29D" w:rsidR="006F0C90" w:rsidRPr="009D741D" w:rsidRDefault="009F48A8" w:rsidP="006F0C90">
      <w:pPr>
        <w:pStyle w:val="VersoIngls01Sangria"/>
        <w:rPr>
          <w:sz w:val="16"/>
          <w:szCs w:val="20"/>
        </w:rPr>
      </w:pPr>
      <w:r w:rsidRPr="009D741D">
        <w:rPr>
          <w:sz w:val="16"/>
          <w:szCs w:val="20"/>
        </w:rPr>
        <w:t xml:space="preserve">La </w:t>
      </w:r>
      <w:r w:rsidR="006F0C90" w:rsidRPr="009D741D">
        <w:rPr>
          <w:sz w:val="16"/>
          <w:szCs w:val="20"/>
        </w:rPr>
        <w:t xml:space="preserve">presencia </w:t>
      </w:r>
      <w:r w:rsidRPr="009D741D">
        <w:rPr>
          <w:sz w:val="16"/>
          <w:szCs w:val="20"/>
        </w:rPr>
        <w:t xml:space="preserve">de </w:t>
      </w:r>
      <w:r w:rsidR="00087C7A">
        <w:rPr>
          <w:sz w:val="16"/>
          <w:szCs w:val="20"/>
        </w:rPr>
        <w:t>t</w:t>
      </w:r>
      <w:r w:rsidRPr="009D741D">
        <w:rPr>
          <w:sz w:val="16"/>
          <w:szCs w:val="20"/>
        </w:rPr>
        <w:t xml:space="preserve">u persona se convertirá en </w:t>
      </w:r>
      <w:r w:rsidR="006F0C90" w:rsidRPr="009D741D">
        <w:rPr>
          <w:sz w:val="16"/>
          <w:szCs w:val="20"/>
        </w:rPr>
        <w:t>causa de dolor;</w:t>
      </w:r>
    </w:p>
    <w:p w14:paraId="3E414142" w14:textId="437F0B13" w:rsidR="006F0C90" w:rsidRPr="009D741D" w:rsidRDefault="006F0C90" w:rsidP="001C0B01">
      <w:pPr>
        <w:pStyle w:val="VersoIngls01Sangria"/>
        <w:spacing w:after="240"/>
        <w:ind w:left="1418"/>
        <w:rPr>
          <w:sz w:val="16"/>
          <w:szCs w:val="20"/>
        </w:rPr>
      </w:pPr>
      <w:r w:rsidRPr="009D741D">
        <w:rPr>
          <w:sz w:val="16"/>
          <w:szCs w:val="20"/>
        </w:rPr>
        <w:t>¿Por qué est</w:t>
      </w:r>
      <w:r w:rsidR="009F48A8" w:rsidRPr="009D741D">
        <w:rPr>
          <w:sz w:val="16"/>
          <w:szCs w:val="20"/>
        </w:rPr>
        <w:t>ar</w:t>
      </w:r>
      <w:r w:rsidRPr="009D741D">
        <w:rPr>
          <w:sz w:val="16"/>
          <w:szCs w:val="20"/>
        </w:rPr>
        <w:t xml:space="preserve"> enojado, entonces, con </w:t>
      </w:r>
      <w:r w:rsidRPr="009D741D">
        <w:rPr>
          <w:i/>
          <w:iCs/>
          <w:sz w:val="16"/>
          <w:szCs w:val="20"/>
        </w:rPr>
        <w:t>él</w:t>
      </w:r>
      <w:r w:rsidRPr="009D741D">
        <w:rPr>
          <w:sz w:val="16"/>
          <w:szCs w:val="20"/>
        </w:rPr>
        <w:t>?</w:t>
      </w:r>
    </w:p>
    <w:p w14:paraId="6871630E" w14:textId="5E64CAA6" w:rsidR="006F0C90" w:rsidRDefault="006F0C90" w:rsidP="006F0C90">
      <w:r>
        <w:t xml:space="preserve">23. </w:t>
      </w:r>
      <w:r>
        <w:tab/>
        <w:t>Pero si el resentimiento no se calma</w:t>
      </w:r>
      <w:r w:rsidR="001C0B01">
        <w:t>se</w:t>
      </w:r>
      <w:r>
        <w:t xml:space="preserve"> </w:t>
      </w:r>
      <w:r w:rsidR="006D7D6B">
        <w:t xml:space="preserve">inclusive </w:t>
      </w:r>
      <w:r>
        <w:t xml:space="preserve">cuando </w:t>
      </w:r>
      <w:r w:rsidR="001D421C">
        <w:t xml:space="preserve">uno </w:t>
      </w:r>
      <w:r w:rsidR="001C0B01">
        <w:t xml:space="preserve">se </w:t>
      </w:r>
      <w:r>
        <w:t>reprend</w:t>
      </w:r>
      <w:r w:rsidR="001D421C">
        <w:t>a</w:t>
      </w:r>
      <w:r>
        <w:t xml:space="preserve"> así, entonces debe</w:t>
      </w:r>
      <w:r w:rsidR="006D7D6B">
        <w:t>rá</w:t>
      </w:r>
      <w:r>
        <w:t xml:space="preserve"> revisar el hecho de que él mismo y el otro son dueños de sus </w:t>
      </w:r>
      <w:r w:rsidR="001C0B01">
        <w:t xml:space="preserve">propias </w:t>
      </w:r>
      <w:r>
        <w:t>acciones (</w:t>
      </w:r>
      <w:proofErr w:type="spellStart"/>
      <w:r w:rsidR="00057BF4" w:rsidRPr="00057BF4">
        <w:rPr>
          <w:i/>
          <w:iCs/>
        </w:rPr>
        <w:t>kamma</w:t>
      </w:r>
      <w:proofErr w:type="spellEnd"/>
      <w:r>
        <w:t>).</w:t>
      </w:r>
    </w:p>
    <w:p w14:paraId="0CC1618E" w14:textId="3ABC5D46" w:rsidR="006F0C90" w:rsidRDefault="00087C7A" w:rsidP="006F0C90">
      <w:pPr>
        <w:pStyle w:val="NormalConSangria"/>
      </w:pPr>
      <w:r>
        <w:t>Al respecto</w:t>
      </w:r>
      <w:r w:rsidR="006F0C90">
        <w:t>, primero debe</w:t>
      </w:r>
      <w:r w:rsidR="006D7D6B">
        <w:t>rá</w:t>
      </w:r>
      <w:r w:rsidR="006F0C90">
        <w:t xml:space="preserve"> revisar</w:t>
      </w:r>
      <w:r w:rsidR="001D421C">
        <w:t>se</w:t>
      </w:r>
      <w:r w:rsidR="006F0C90">
        <w:t xml:space="preserve"> esto en sí mismo</w:t>
      </w:r>
      <w:r>
        <w:t>,</w:t>
      </w:r>
      <w:r w:rsidR="006F0C90">
        <w:t xml:space="preserve"> así: “Ahora, ¿cuál es el </w:t>
      </w:r>
      <w:r w:rsidR="00680C89">
        <w:t xml:space="preserve">objeto </w:t>
      </w:r>
      <w:r w:rsidR="006F0C90">
        <w:t>de enoj</w:t>
      </w:r>
      <w:r w:rsidR="00680C89">
        <w:t>arse</w:t>
      </w:r>
      <w:r w:rsidR="006F0C90">
        <w:t xml:space="preserve"> con él? ¿Este </w:t>
      </w:r>
      <w:proofErr w:type="spellStart"/>
      <w:r w:rsidR="00057BF4" w:rsidRPr="00057BF4">
        <w:rPr>
          <w:i/>
          <w:iCs/>
        </w:rPr>
        <w:t>kamma</w:t>
      </w:r>
      <w:proofErr w:type="spellEnd"/>
      <w:r w:rsidR="001D421C">
        <w:t>,</w:t>
      </w:r>
      <w:r w:rsidR="006F0C90">
        <w:t xml:space="preserve"> que tiene como fuente </w:t>
      </w:r>
      <w:r w:rsidR="001D421C">
        <w:t xml:space="preserve">a </w:t>
      </w:r>
      <w:r w:rsidR="006F0C90">
        <w:t>la ira</w:t>
      </w:r>
      <w:r w:rsidR="001D421C">
        <w:t>,</w:t>
      </w:r>
      <w:r w:rsidR="006F0C90">
        <w:t xml:space="preserve"> no </w:t>
      </w:r>
      <w:r>
        <w:t xml:space="preserve">te </w:t>
      </w:r>
      <w:r w:rsidR="006F0C90">
        <w:t xml:space="preserve">conducirá </w:t>
      </w:r>
      <w:r w:rsidR="00680C89">
        <w:t>acaso haci</w:t>
      </w:r>
      <w:r w:rsidR="006F0C90">
        <w:t xml:space="preserve">a </w:t>
      </w:r>
      <w:r>
        <w:t>t</w:t>
      </w:r>
      <w:r w:rsidR="006F0C90">
        <w:t xml:space="preserve">u propio </w:t>
      </w:r>
      <w:r w:rsidR="001D421C">
        <w:t>perjuicio</w:t>
      </w:r>
      <w:r w:rsidR="006F0C90">
        <w:t xml:space="preserve">? </w:t>
      </w:r>
      <w:r w:rsidR="001D421C">
        <w:t xml:space="preserve">Ya </w:t>
      </w:r>
      <w:r w:rsidR="006F0C90">
        <w:t>que e</w:t>
      </w:r>
      <w:r>
        <w:t>re</w:t>
      </w:r>
      <w:r w:rsidR="006F0C90">
        <w:t xml:space="preserve">s el dueño de </w:t>
      </w:r>
      <w:r>
        <w:t>t</w:t>
      </w:r>
      <w:r w:rsidR="006F0C90">
        <w:t xml:space="preserve">us </w:t>
      </w:r>
      <w:r w:rsidR="00680C89">
        <w:t xml:space="preserve">propias </w:t>
      </w:r>
      <w:r w:rsidR="001D421C">
        <w:t>acciones</w:t>
      </w:r>
      <w:r w:rsidR="006F0C90">
        <w:t xml:space="preserve">, heredero de tus </w:t>
      </w:r>
      <w:r w:rsidR="001D421C">
        <w:t>propias acciones</w:t>
      </w:r>
      <w:r w:rsidR="006F0C90">
        <w:t xml:space="preserve">, teniendo </w:t>
      </w:r>
      <w:r w:rsidR="001D421C">
        <w:t xml:space="preserve">a </w:t>
      </w:r>
      <w:r w:rsidR="006F0C90">
        <w:t xml:space="preserve">las </w:t>
      </w:r>
      <w:r w:rsidR="001D421C">
        <w:t xml:space="preserve">acciones </w:t>
      </w:r>
      <w:r w:rsidR="006F0C90">
        <w:t xml:space="preserve">como tu padre, </w:t>
      </w:r>
      <w:r w:rsidR="001D421C">
        <w:t xml:space="preserve">a </w:t>
      </w:r>
      <w:r w:rsidR="006F0C90">
        <w:t xml:space="preserve">las </w:t>
      </w:r>
      <w:r w:rsidR="001D421C">
        <w:t xml:space="preserve">acciones </w:t>
      </w:r>
      <w:r w:rsidR="006F0C90">
        <w:t xml:space="preserve">como tu pariente, </w:t>
      </w:r>
      <w:r w:rsidR="001D421C">
        <w:t xml:space="preserve">a </w:t>
      </w:r>
      <w:r w:rsidR="006F0C90">
        <w:t xml:space="preserve">las </w:t>
      </w:r>
      <w:r w:rsidR="001D421C">
        <w:t xml:space="preserve">acciones </w:t>
      </w:r>
      <w:r w:rsidR="006F0C90">
        <w:t xml:space="preserve">como tu refugio; serás </w:t>
      </w:r>
      <w:r>
        <w:t xml:space="preserve">heredero de cualquier acción que hagas (ver III 186). Y éste no es el tipo de acto </w:t>
      </w:r>
      <w:r w:rsidR="006F0C90">
        <w:br w:type="page"/>
      </w:r>
    </w:p>
    <w:p w14:paraId="3F067004" w14:textId="77777777" w:rsidR="006F0C90" w:rsidRDefault="006F0C90" w:rsidP="006F0C90"/>
    <w:p w14:paraId="428AFDA5" w14:textId="52135123" w:rsidR="00441605" w:rsidRDefault="00441605" w:rsidP="00441605">
      <w:r>
        <w:t xml:space="preserve">que te </w:t>
      </w:r>
      <w:r w:rsidR="00087C7A">
        <w:t>conducirá</w:t>
      </w:r>
      <w:r>
        <w:t xml:space="preserve"> </w:t>
      </w:r>
      <w:r w:rsidR="00087C7A">
        <w:t>haci</w:t>
      </w:r>
      <w:r>
        <w:t xml:space="preserve">a la iluminación total, </w:t>
      </w:r>
      <w:r w:rsidR="00784D20">
        <w:t>haci</w:t>
      </w:r>
      <w:r>
        <w:t xml:space="preserve">a la iluminación no declarada o </w:t>
      </w:r>
      <w:r w:rsidR="00784D20">
        <w:t>hacia e</w:t>
      </w:r>
      <w:r>
        <w:t xml:space="preserve">l grado de discípulo, o </w:t>
      </w:r>
      <w:r w:rsidR="00784D20">
        <w:t>haci</w:t>
      </w:r>
      <w:r>
        <w:t xml:space="preserve">a cualquier posición como la de </w:t>
      </w:r>
      <w:r w:rsidR="001D421C">
        <w:t xml:space="preserve">un </w:t>
      </w:r>
      <w:r w:rsidR="00057BF4" w:rsidRPr="00057BF4">
        <w:rPr>
          <w:i/>
          <w:iCs/>
        </w:rPr>
        <w:t>Brahmā</w:t>
      </w:r>
      <w:r>
        <w:t xml:space="preserve"> o </w:t>
      </w:r>
      <w:r w:rsidRPr="00B64EE5">
        <w:rPr>
          <w:i/>
          <w:iCs/>
        </w:rPr>
        <w:t>Sakka</w:t>
      </w:r>
      <w:r>
        <w:t xml:space="preserve">, o </w:t>
      </w:r>
      <w:r w:rsidR="00784D20">
        <w:t xml:space="preserve">hacia </w:t>
      </w:r>
      <w:r>
        <w:t xml:space="preserve">el trono de un Monarca </w:t>
      </w:r>
      <w:r w:rsidR="00784D20">
        <w:t xml:space="preserve">Universal </w:t>
      </w:r>
      <w:r>
        <w:t>que hace girar la Rueda o un rey regional, etc.; sino más bien</w:t>
      </w:r>
      <w:r w:rsidR="00A16B59">
        <w:t>,</w:t>
      </w:r>
      <w:r>
        <w:t xml:space="preserve"> </w:t>
      </w:r>
      <w:r w:rsidR="00A16B59">
        <w:t>é</w:t>
      </w:r>
      <w:r>
        <w:t xml:space="preserve">ste es el tipo de acción </w:t>
      </w:r>
      <w:r w:rsidR="001D421C">
        <w:t xml:space="preserve">te </w:t>
      </w:r>
      <w:r>
        <w:t xml:space="preserve">conducirá </w:t>
      </w:r>
      <w:r w:rsidR="00A16B59">
        <w:t>hacia e</w:t>
      </w:r>
      <w:r w:rsidR="001D421C">
        <w:t xml:space="preserve">l fracaso </w:t>
      </w:r>
      <w:r>
        <w:t>de la Dispensación, inclus</w:t>
      </w:r>
      <w:r w:rsidR="00A16B59">
        <w:t>ive</w:t>
      </w:r>
      <w:r>
        <w:t xml:space="preserve"> </w:t>
      </w:r>
      <w:r w:rsidR="00A16B59">
        <w:t>hacia e</w:t>
      </w:r>
      <w:r>
        <w:t>l estado de comedores de sobras, etc., y</w:t>
      </w:r>
      <w:r w:rsidR="000A3223">
        <w:t xml:space="preserve"> </w:t>
      </w:r>
      <w:r>
        <w:t xml:space="preserve">a los múltiples sufrimientos </w:t>
      </w:r>
      <w:r w:rsidR="00A16B59">
        <w:t xml:space="preserve">de </w:t>
      </w:r>
      <w:r>
        <w:t xml:space="preserve">los infiernos, etc. Al hacer esto, </w:t>
      </w:r>
      <w:r w:rsidR="00C56A21">
        <w:t xml:space="preserve">serás </w:t>
      </w:r>
      <w:r>
        <w:t>como un hombre que quier</w:t>
      </w:r>
      <w:r w:rsidR="00C56A21">
        <w:t>a</w:t>
      </w:r>
      <w:r>
        <w:t xml:space="preserve"> golpear a otro y tom</w:t>
      </w:r>
      <w:r w:rsidR="00754669">
        <w:t>e</w:t>
      </w:r>
      <w:r>
        <w:t xml:space="preserve"> una brasa encendida </w:t>
      </w:r>
      <w:r w:rsidR="00C56A21">
        <w:t xml:space="preserve">con </w:t>
      </w:r>
      <w:r w:rsidR="00754669">
        <w:t xml:space="preserve">sus </w:t>
      </w:r>
      <w:r w:rsidR="00C56A21">
        <w:t xml:space="preserve">propias manos </w:t>
      </w:r>
      <w:r>
        <w:t xml:space="preserve">o </w:t>
      </w:r>
      <w:r w:rsidR="00754669">
        <w:t xml:space="preserve">tome </w:t>
      </w:r>
      <w:r>
        <w:t>excremento</w:t>
      </w:r>
      <w:r w:rsidR="00754669">
        <w:t>s para hacerlo,</w:t>
      </w:r>
      <w:r>
        <w:t xml:space="preserve"> </w:t>
      </w:r>
      <w:r w:rsidR="00754669">
        <w:t>así que</w:t>
      </w:r>
      <w:r>
        <w:t xml:space="preserve"> </w:t>
      </w:r>
      <w:r w:rsidR="00754669">
        <w:t xml:space="preserve">lo </w:t>
      </w:r>
      <w:r>
        <w:t xml:space="preserve">primero </w:t>
      </w:r>
      <w:r w:rsidR="00754669">
        <w:t xml:space="preserve">que harás será </w:t>
      </w:r>
      <w:r>
        <w:t>quema</w:t>
      </w:r>
      <w:r w:rsidR="00754669">
        <w:t>rte</w:t>
      </w:r>
      <w:r>
        <w:t xml:space="preserve"> </w:t>
      </w:r>
      <w:r w:rsidR="00754669">
        <w:t>o</w:t>
      </w:r>
      <w:r w:rsidR="006528DA">
        <w:t xml:space="preserve"> adquirir un olor pestilente</w:t>
      </w:r>
      <w:r>
        <w:t>”.</w:t>
      </w:r>
    </w:p>
    <w:p w14:paraId="69317B5B" w14:textId="54638A7A" w:rsidR="00441605" w:rsidRDefault="00441605" w:rsidP="00441605">
      <w:r>
        <w:t xml:space="preserve">24. </w:t>
      </w:r>
      <w:r>
        <w:tab/>
        <w:t xml:space="preserve">Habiendo revisado </w:t>
      </w:r>
      <w:r w:rsidR="006528DA">
        <w:t xml:space="preserve">así </w:t>
      </w:r>
      <w:r>
        <w:t>la propiedad de l</w:t>
      </w:r>
      <w:r w:rsidR="00F37365">
        <w:t>a</w:t>
      </w:r>
      <w:r>
        <w:t xml:space="preserve">s </w:t>
      </w:r>
      <w:r w:rsidR="00F37365">
        <w:t>acciones</w:t>
      </w:r>
      <w:r>
        <w:t xml:space="preserve"> en sí mismo, </w:t>
      </w:r>
      <w:r w:rsidR="00F37365">
        <w:t xml:space="preserve">él </w:t>
      </w:r>
      <w:r>
        <w:t>debe</w:t>
      </w:r>
      <w:r w:rsidR="00F37365">
        <w:t>rá</w:t>
      </w:r>
      <w:r>
        <w:t xml:space="preserve"> revisarla también en el otro: “¿Y qué sentido tiene que </w:t>
      </w:r>
      <w:r w:rsidR="00F37365">
        <w:t xml:space="preserve">él </w:t>
      </w:r>
      <w:r>
        <w:t xml:space="preserve">se enoje contigo? ¿No </w:t>
      </w:r>
      <w:r w:rsidR="006528DA">
        <w:t xml:space="preserve">lo </w:t>
      </w:r>
      <w:r>
        <w:t xml:space="preserve">conducirá </w:t>
      </w:r>
      <w:r w:rsidR="001B340D" w:rsidRPr="001B340D">
        <w:t xml:space="preserve">acaso </w:t>
      </w:r>
      <w:r w:rsidR="001B340D">
        <w:t>hacia</w:t>
      </w:r>
      <w:r>
        <w:t xml:space="preserve"> su propio </w:t>
      </w:r>
      <w:r w:rsidR="00F37365">
        <w:t>perjuicio</w:t>
      </w:r>
      <w:r>
        <w:t xml:space="preserve">? </w:t>
      </w:r>
      <w:r w:rsidR="001B340D">
        <w:t xml:space="preserve">Ya </w:t>
      </w:r>
      <w:r>
        <w:t xml:space="preserve">que ese </w:t>
      </w:r>
      <w:r w:rsidR="009B1B11">
        <w:t xml:space="preserve">Venerable </w:t>
      </w:r>
      <w:r>
        <w:t xml:space="preserve">es dueño de sus </w:t>
      </w:r>
      <w:r w:rsidR="001B340D">
        <w:t xml:space="preserve">propias </w:t>
      </w:r>
      <w:r w:rsidR="009B1B11">
        <w:t>acciones</w:t>
      </w:r>
      <w:r>
        <w:t xml:space="preserve">, heredero de sus </w:t>
      </w:r>
      <w:r w:rsidR="001B340D">
        <w:t xml:space="preserve">propias </w:t>
      </w:r>
      <w:r w:rsidR="009B1B11">
        <w:t>acciones</w:t>
      </w:r>
      <w:r>
        <w:t xml:space="preserve">… se convertirá en heredero de todas las </w:t>
      </w:r>
      <w:r w:rsidR="00B6254F">
        <w:t>consecuencias</w:t>
      </w:r>
      <w:r w:rsidR="009B1B11" w:rsidRPr="009B1B11">
        <w:t xml:space="preserve"> </w:t>
      </w:r>
      <w:r w:rsidR="00B6254F">
        <w:t xml:space="preserve">de lo </w:t>
      </w:r>
      <w:r>
        <w:t xml:space="preserve">que haga. Y </w:t>
      </w:r>
      <w:r w:rsidR="00B6254F">
        <w:t>é</w:t>
      </w:r>
      <w:r>
        <w:t xml:space="preserve">ste no es el tipo de acción que lo </w:t>
      </w:r>
      <w:r w:rsidR="009B1B11">
        <w:t>conducirá</w:t>
      </w:r>
      <w:r>
        <w:t xml:space="preserve"> </w:t>
      </w:r>
      <w:r w:rsidR="001B340D">
        <w:t>hacia</w:t>
      </w:r>
      <w:r>
        <w:t xml:space="preserve"> la iluminación total, </w:t>
      </w:r>
      <w:r w:rsidR="00053BD5">
        <w:t xml:space="preserve">hacia </w:t>
      </w:r>
      <w:r>
        <w:t xml:space="preserve">la iluminación no declarada o </w:t>
      </w:r>
      <w:r w:rsidR="00053BD5">
        <w:t>hacia e</w:t>
      </w:r>
      <w:r>
        <w:t xml:space="preserve">l grado de discípulo, o </w:t>
      </w:r>
      <w:r w:rsidR="00053BD5">
        <w:t>hacia</w:t>
      </w:r>
      <w:r>
        <w:t xml:space="preserve"> cualquier posición como la de </w:t>
      </w:r>
      <w:r w:rsidR="00890AB1">
        <w:t xml:space="preserve">un </w:t>
      </w:r>
      <w:r w:rsidR="00057BF4" w:rsidRPr="00057BF4">
        <w:rPr>
          <w:i/>
          <w:iCs/>
        </w:rPr>
        <w:t>Brahmā</w:t>
      </w:r>
      <w:r>
        <w:t xml:space="preserve"> o </w:t>
      </w:r>
      <w:r w:rsidRPr="00B64EE5">
        <w:rPr>
          <w:i/>
          <w:iCs/>
        </w:rPr>
        <w:t>Sakka</w:t>
      </w:r>
      <w:r>
        <w:t xml:space="preserve">, o </w:t>
      </w:r>
      <w:r w:rsidR="00053BD5">
        <w:t>hacia e</w:t>
      </w:r>
      <w:r>
        <w:t xml:space="preserve">l trono de un Monarca </w:t>
      </w:r>
      <w:r w:rsidR="00053BD5">
        <w:t xml:space="preserve">Universal </w:t>
      </w:r>
      <w:r>
        <w:t>que ha</w:t>
      </w:r>
      <w:r w:rsidR="00053BD5">
        <w:t>rá</w:t>
      </w:r>
      <w:r>
        <w:t xml:space="preserve"> girar la Rueda o a</w:t>
      </w:r>
      <w:r w:rsidR="00890AB1">
        <w:t xml:space="preserve"> la de</w:t>
      </w:r>
      <w:r>
        <w:t xml:space="preserve"> una autoridad regional</w:t>
      </w:r>
      <w:r w:rsidR="00890AB1">
        <w:t>, un</w:t>
      </w:r>
      <w:r>
        <w:t xml:space="preserve"> rey, etc.; </w:t>
      </w:r>
      <w:r w:rsidR="00053BD5">
        <w:t>por el contrario,</w:t>
      </w:r>
      <w:r>
        <w:t xml:space="preserve"> est</w:t>
      </w:r>
      <w:r w:rsidR="00053BD5">
        <w:t>a</w:t>
      </w:r>
      <w:r>
        <w:t xml:space="preserve"> </w:t>
      </w:r>
      <w:r w:rsidR="00890AB1">
        <w:t>acción será e</w:t>
      </w:r>
      <w:r>
        <w:t xml:space="preserve">l tipo de acción que </w:t>
      </w:r>
      <w:r w:rsidR="00890AB1">
        <w:t xml:space="preserve">lo </w:t>
      </w:r>
      <w:r>
        <w:t>conduc</w:t>
      </w:r>
      <w:r w:rsidR="00890AB1">
        <w:t>irá</w:t>
      </w:r>
      <w:r>
        <w:t xml:space="preserve"> </w:t>
      </w:r>
      <w:r w:rsidR="00053BD5">
        <w:t>hacia</w:t>
      </w:r>
      <w:r>
        <w:t xml:space="preserve"> su </w:t>
      </w:r>
      <w:r w:rsidR="00890AB1">
        <w:t>fracaso en</w:t>
      </w:r>
      <w:r>
        <w:t xml:space="preserve"> la Dispensación, inclus</w:t>
      </w:r>
      <w:r w:rsidR="00890AB1">
        <w:t>ive</w:t>
      </w:r>
      <w:r>
        <w:t xml:space="preserve"> </w:t>
      </w:r>
      <w:r w:rsidR="00E86210">
        <w:t>hacia e</w:t>
      </w:r>
      <w:r>
        <w:t>l estado de comedores de sobras, etc., y</w:t>
      </w:r>
      <w:r w:rsidR="00890AB1">
        <w:t xml:space="preserve"> </w:t>
      </w:r>
      <w:r w:rsidR="00E86210">
        <w:t>hacia</w:t>
      </w:r>
      <w:r>
        <w:t xml:space="preserve"> los múltiples sufrimientos en los infiernos, etc. Al hacer esto, </w:t>
      </w:r>
      <w:r w:rsidR="00E86210">
        <w:t xml:space="preserve">será </w:t>
      </w:r>
      <w:r>
        <w:t>como un hombre que quier</w:t>
      </w:r>
      <w:r w:rsidR="00E86210">
        <w:t>a</w:t>
      </w:r>
      <w:r>
        <w:t xml:space="preserve"> arrojar polvo a otro contra el viento y </w:t>
      </w:r>
      <w:r w:rsidR="00E86210">
        <w:t xml:space="preserve">que hará que </w:t>
      </w:r>
      <w:r>
        <w:t>s</w:t>
      </w:r>
      <w:r w:rsidR="00890AB1">
        <w:t>ó</w:t>
      </w:r>
      <w:r>
        <w:t>lo se cubr</w:t>
      </w:r>
      <w:r w:rsidR="00920A83">
        <w:t>a</w:t>
      </w:r>
      <w:r>
        <w:t xml:space="preserve"> a sí mismo con él</w:t>
      </w:r>
      <w:r w:rsidR="00926F30">
        <w:t>.</w:t>
      </w:r>
      <w:r>
        <w:t xml:space="preserve">” Porque </w:t>
      </w:r>
      <w:r w:rsidR="00890AB1">
        <w:t xml:space="preserve">muy bien </w:t>
      </w:r>
      <w:r w:rsidR="00926F30">
        <w:t xml:space="preserve">esto </w:t>
      </w:r>
      <w:r w:rsidR="00890AB1">
        <w:t xml:space="preserve">está dicho por el </w:t>
      </w:r>
      <w:r w:rsidR="00926F30" w:rsidRPr="00926F30">
        <w:rPr>
          <w:i/>
          <w:iCs/>
        </w:rPr>
        <w:t>Bhagavā</w:t>
      </w:r>
      <w:r>
        <w:t>:</w:t>
      </w:r>
    </w:p>
    <w:p w14:paraId="2A5638C9" w14:textId="63DBB462" w:rsidR="00441605" w:rsidRPr="00B6254F" w:rsidRDefault="00441605" w:rsidP="00441605">
      <w:pPr>
        <w:pStyle w:val="VersoIngls01Sangria"/>
        <w:rPr>
          <w:sz w:val="16"/>
          <w:szCs w:val="20"/>
        </w:rPr>
      </w:pPr>
      <w:r w:rsidRPr="00B6254F">
        <w:rPr>
          <w:sz w:val="16"/>
          <w:szCs w:val="20"/>
        </w:rPr>
        <w:t xml:space="preserve">“Cuando un necio odia a un hombre que no </w:t>
      </w:r>
      <w:r w:rsidR="00920A83">
        <w:rPr>
          <w:sz w:val="16"/>
          <w:szCs w:val="20"/>
        </w:rPr>
        <w:t>alberga</w:t>
      </w:r>
      <w:r w:rsidRPr="00B6254F">
        <w:rPr>
          <w:sz w:val="16"/>
          <w:szCs w:val="20"/>
        </w:rPr>
        <w:t xml:space="preserve"> odio,</w:t>
      </w:r>
    </w:p>
    <w:p w14:paraId="48CD51FB" w14:textId="703AA309" w:rsidR="00441605" w:rsidRPr="00B6254F" w:rsidRDefault="000B5570" w:rsidP="00441605">
      <w:pPr>
        <w:pStyle w:val="VersoIngls01Sangria"/>
        <w:rPr>
          <w:sz w:val="16"/>
          <w:szCs w:val="20"/>
        </w:rPr>
      </w:pPr>
      <w:r w:rsidRPr="00B6254F">
        <w:rPr>
          <w:sz w:val="16"/>
          <w:szCs w:val="20"/>
        </w:rPr>
        <w:t xml:space="preserve">Que </w:t>
      </w:r>
      <w:r w:rsidR="00441605" w:rsidRPr="00B6254F">
        <w:rPr>
          <w:sz w:val="16"/>
          <w:szCs w:val="20"/>
        </w:rPr>
        <w:t>est</w:t>
      </w:r>
      <w:r w:rsidRPr="00B6254F">
        <w:rPr>
          <w:sz w:val="16"/>
          <w:szCs w:val="20"/>
        </w:rPr>
        <w:t>é</w:t>
      </w:r>
      <w:r w:rsidR="00441605" w:rsidRPr="00B6254F">
        <w:rPr>
          <w:sz w:val="16"/>
          <w:szCs w:val="20"/>
        </w:rPr>
        <w:t xml:space="preserve"> purificado y libre de todo defecto, [302]</w:t>
      </w:r>
    </w:p>
    <w:p w14:paraId="07CEF7A8" w14:textId="204E5E7C" w:rsidR="00441605" w:rsidRPr="00B6254F" w:rsidRDefault="00441605" w:rsidP="00441605">
      <w:pPr>
        <w:pStyle w:val="VersoIngls01Sangria"/>
        <w:rPr>
          <w:sz w:val="16"/>
          <w:szCs w:val="20"/>
        </w:rPr>
      </w:pPr>
      <w:r w:rsidRPr="00B6254F">
        <w:rPr>
          <w:sz w:val="16"/>
          <w:szCs w:val="20"/>
        </w:rPr>
        <w:t xml:space="preserve">Tal mal que </w:t>
      </w:r>
      <w:r w:rsidR="000B5570" w:rsidRPr="00B6254F">
        <w:rPr>
          <w:sz w:val="16"/>
          <w:szCs w:val="20"/>
        </w:rPr>
        <w:t>encuentre se revertirá</w:t>
      </w:r>
      <w:r w:rsidRPr="00B6254F">
        <w:rPr>
          <w:sz w:val="16"/>
          <w:szCs w:val="20"/>
        </w:rPr>
        <w:t xml:space="preserve"> sobre él,</w:t>
      </w:r>
    </w:p>
    <w:p w14:paraId="29FFA9F8" w14:textId="77777777" w:rsidR="00441605" w:rsidRPr="00B6254F" w:rsidRDefault="00441605" w:rsidP="00441605">
      <w:pPr>
        <w:pStyle w:val="VersoIngls01Sangria"/>
        <w:spacing w:after="100"/>
        <w:ind w:left="1418"/>
        <w:rPr>
          <w:sz w:val="16"/>
          <w:szCs w:val="20"/>
        </w:rPr>
      </w:pPr>
      <w:r w:rsidRPr="00B6254F">
        <w:rPr>
          <w:sz w:val="16"/>
          <w:szCs w:val="20"/>
        </w:rPr>
        <w:t>Como el polvo fino arrojado contra el viento” (</w:t>
      </w:r>
      <w:proofErr w:type="spellStart"/>
      <w:r w:rsidRPr="00B6254F">
        <w:rPr>
          <w:sz w:val="16"/>
          <w:szCs w:val="20"/>
        </w:rPr>
        <w:t>Dhp</w:t>
      </w:r>
      <w:proofErr w:type="spellEnd"/>
      <w:r w:rsidRPr="00B6254F">
        <w:rPr>
          <w:sz w:val="16"/>
          <w:szCs w:val="20"/>
        </w:rPr>
        <w:t xml:space="preserve"> 125).</w:t>
      </w:r>
    </w:p>
    <w:p w14:paraId="502862F0" w14:textId="202E6DFA" w:rsidR="00441605" w:rsidRDefault="00441605" w:rsidP="00441605">
      <w:r>
        <w:t xml:space="preserve">25. </w:t>
      </w:r>
      <w:r>
        <w:tab/>
        <w:t>Pero si aún no se calma</w:t>
      </w:r>
      <w:r w:rsidR="006A7605">
        <w:t>se</w:t>
      </w:r>
      <w:r>
        <w:t xml:space="preserve"> en él </w:t>
      </w:r>
      <w:r w:rsidR="009C21CB">
        <w:t xml:space="preserve">el resentimiento </w:t>
      </w:r>
      <w:r>
        <w:t xml:space="preserve">cuando </w:t>
      </w:r>
      <w:r w:rsidR="00296E81">
        <w:t>evoque</w:t>
      </w:r>
      <w:r>
        <w:t xml:space="preserve"> </w:t>
      </w:r>
      <w:r w:rsidR="009C21CB">
        <w:t xml:space="preserve">así </w:t>
      </w:r>
      <w:r w:rsidR="00BD2674">
        <w:t xml:space="preserve">la realidad sobre </w:t>
      </w:r>
      <w:r>
        <w:t>la propiedad de l</w:t>
      </w:r>
      <w:r w:rsidR="005A51AC">
        <w:t>a</w:t>
      </w:r>
      <w:r>
        <w:t xml:space="preserve">s </w:t>
      </w:r>
      <w:r w:rsidR="00BD2674">
        <w:t xml:space="preserve">propias </w:t>
      </w:r>
      <w:r w:rsidR="005A51AC">
        <w:t>acciones</w:t>
      </w:r>
      <w:r>
        <w:t>, entonces debe</w:t>
      </w:r>
      <w:r w:rsidR="005A51AC">
        <w:t>rá</w:t>
      </w:r>
      <w:r>
        <w:t xml:space="preserve"> revisar las cualidades especiales de la conducta </w:t>
      </w:r>
      <w:r w:rsidR="00BD2674">
        <w:t>del pasado</w:t>
      </w:r>
      <w:r w:rsidR="009C21CB">
        <w:t xml:space="preserve"> </w:t>
      </w:r>
      <w:r>
        <w:t>del Maestro.</w:t>
      </w:r>
    </w:p>
    <w:p w14:paraId="386874D8" w14:textId="47C41160" w:rsidR="00441605" w:rsidRDefault="00441605" w:rsidP="00441605">
      <w:r>
        <w:t xml:space="preserve">26. </w:t>
      </w:r>
      <w:r>
        <w:tab/>
        <w:t xml:space="preserve">Aquí está la forma de repasarlo: “Ahora, </w:t>
      </w:r>
      <w:r w:rsidR="00616C32">
        <w:t>tú</w:t>
      </w:r>
      <w:r>
        <w:t xml:space="preserve"> que ha</w:t>
      </w:r>
      <w:r w:rsidR="00616C32">
        <w:t>s</w:t>
      </w:r>
      <w:r>
        <w:t xml:space="preserve"> </w:t>
      </w:r>
      <w:r w:rsidR="005500D4">
        <w:t>renunciado a la vida laica</w:t>
      </w:r>
      <w:r>
        <w:t xml:space="preserve">, ¿no es un hecho que cuando </w:t>
      </w:r>
      <w:r w:rsidR="00616C32">
        <w:t>t</w:t>
      </w:r>
      <w:r>
        <w:t xml:space="preserve">u Maestro era </w:t>
      </w:r>
      <w:r w:rsidR="005500D4">
        <w:t xml:space="preserve">todavía </w:t>
      </w:r>
      <w:r>
        <w:t xml:space="preserve">un </w:t>
      </w:r>
      <w:r w:rsidR="00057BF4" w:rsidRPr="00057BF4">
        <w:rPr>
          <w:i/>
        </w:rPr>
        <w:t>Bodhisatta</w:t>
      </w:r>
      <w:r w:rsidR="005500D4">
        <w:rPr>
          <w:i/>
        </w:rPr>
        <w:t>,</w:t>
      </w:r>
      <w:r>
        <w:t xml:space="preserve"> antes de </w:t>
      </w:r>
      <w:r w:rsidR="005500D4">
        <w:t xml:space="preserve">consumar </w:t>
      </w:r>
      <w:r>
        <w:t xml:space="preserve">la iluminación completa, mientras todavía estaba ocupado en </w:t>
      </w:r>
      <w:r w:rsidR="00A6177E">
        <w:t xml:space="preserve">desarrollar </w:t>
      </w:r>
      <w:r>
        <w:t xml:space="preserve">las perfecciones durante las cuatro </w:t>
      </w:r>
      <w:r w:rsidR="00A6177E">
        <w:t xml:space="preserve">eras </w:t>
      </w:r>
      <w:r>
        <w:t>incalculables y cien mil eones, no permitió que el odio corrompiera su mente inclus</w:t>
      </w:r>
      <w:r w:rsidR="00616C32">
        <w:t>ive</w:t>
      </w:r>
      <w:r>
        <w:t xml:space="preserve"> cuando sus enemigos intentaron asesinarlo en varias ocasiones?</w:t>
      </w:r>
    </w:p>
    <w:p w14:paraId="1A574C47" w14:textId="21B84310" w:rsidR="00441605" w:rsidRDefault="00441605" w:rsidP="00441605">
      <w:r>
        <w:t xml:space="preserve">27. </w:t>
      </w:r>
      <w:r>
        <w:tab/>
        <w:t xml:space="preserve">“Por ejemplo, en la </w:t>
      </w:r>
      <w:r w:rsidR="00655C78" w:rsidRPr="00A6177E">
        <w:t>historia</w:t>
      </w:r>
      <w:r w:rsidR="00655C78" w:rsidRPr="00DC74A2">
        <w:rPr>
          <w:i/>
          <w:iCs/>
        </w:rPr>
        <w:t xml:space="preserve"> </w:t>
      </w:r>
      <w:r w:rsidRPr="00A6177E">
        <w:t>del</w:t>
      </w:r>
      <w:r w:rsidRPr="00DC74A2">
        <w:rPr>
          <w:i/>
          <w:iCs/>
        </w:rPr>
        <w:t xml:space="preserve"> </w:t>
      </w:r>
      <w:r w:rsidR="00655C78" w:rsidRPr="00A6177E">
        <w:t>renacimiento</w:t>
      </w:r>
      <w:r w:rsidR="00655C78">
        <w:t xml:space="preserve"> </w:t>
      </w:r>
      <w:proofErr w:type="spellStart"/>
      <w:r w:rsidR="006B50E7" w:rsidRPr="006B50E7">
        <w:rPr>
          <w:i/>
          <w:iCs/>
        </w:rPr>
        <w:t>Sīla</w:t>
      </w:r>
      <w:r w:rsidRPr="006B50E7">
        <w:rPr>
          <w:i/>
          <w:iCs/>
        </w:rPr>
        <w:t>vant</w:t>
      </w:r>
      <w:proofErr w:type="spellEnd"/>
      <w:r>
        <w:t xml:space="preserve"> </w:t>
      </w:r>
      <w:proofErr w:type="spellStart"/>
      <w:r w:rsidR="00A6177E" w:rsidRPr="00B40097">
        <w:rPr>
          <w:i/>
          <w:iCs/>
        </w:rPr>
        <w:t>Jātaka</w:t>
      </w:r>
      <w:proofErr w:type="spellEnd"/>
      <w:r w:rsidR="00A6177E">
        <w:t xml:space="preserve"> </w:t>
      </w:r>
      <w:r>
        <w:t xml:space="preserve">(J-a I 261) cuando sus amigos se levantaron para evitar que su reino de trescientas leguas fuera tomado por un rey enemigo que había sido incitado por un ministro malvado en cuya mente su propia reina había sembrado odio </w:t>
      </w:r>
      <w:r w:rsidR="00B53580">
        <w:t>hacia</w:t>
      </w:r>
      <w:r>
        <w:t xml:space="preserve"> él, </w:t>
      </w:r>
      <w:r w:rsidR="00B53580">
        <w:t xml:space="preserve">él </w:t>
      </w:r>
      <w:r>
        <w:t xml:space="preserve">no les permitió levantar </w:t>
      </w:r>
      <w:r w:rsidR="00B53580">
        <w:t xml:space="preserve">ni </w:t>
      </w:r>
      <w:r w:rsidR="00BC16B6">
        <w:t xml:space="preserve">siquiera </w:t>
      </w:r>
      <w:r>
        <w:t>un arma. Nuevamente, cuando fue enterrado</w:t>
      </w:r>
      <w:r w:rsidR="0060409B" w:rsidRPr="0060409B">
        <w:t xml:space="preserve"> </w:t>
      </w:r>
      <w:r w:rsidR="0060409B">
        <w:t>hasta el cuello en un hoyo cavado en la tierra</w:t>
      </w:r>
      <w:r>
        <w:t xml:space="preserve">, junto con mil compañeros, en un cementerio, </w:t>
      </w:r>
      <w:r w:rsidR="0060409B">
        <w:t xml:space="preserve">él </w:t>
      </w:r>
      <w:r>
        <w:t xml:space="preserve">no </w:t>
      </w:r>
      <w:r w:rsidR="0060409B">
        <w:t xml:space="preserve">desarrolló </w:t>
      </w:r>
      <w:r>
        <w:t xml:space="preserve">ningún pensamiento de odio. Y cuando, después de salvar su vida </w:t>
      </w:r>
      <w:r w:rsidR="00212542">
        <w:t xml:space="preserve">con </w:t>
      </w:r>
      <w:r>
        <w:t xml:space="preserve">un esfuerzo heroico ayudado por </w:t>
      </w:r>
      <w:r w:rsidR="00BC16B6">
        <w:t xml:space="preserve">unos </w:t>
      </w:r>
      <w:r>
        <w:t>chacales que raspa</w:t>
      </w:r>
      <w:r w:rsidR="00212542">
        <w:t>ro</w:t>
      </w:r>
      <w:r>
        <w:t xml:space="preserve">n la tierra cuando habían </w:t>
      </w:r>
      <w:r w:rsidR="0060409B">
        <w:t xml:space="preserve">llegado </w:t>
      </w:r>
      <w:r>
        <w:t xml:space="preserve">a devorar </w:t>
      </w:r>
      <w:r w:rsidR="0060409B">
        <w:t>un</w:t>
      </w:r>
      <w:r>
        <w:t>os cadáveres</w:t>
      </w:r>
      <w:r w:rsidR="0060409B">
        <w:t xml:space="preserve"> del cementerio</w:t>
      </w:r>
      <w:r>
        <w:t xml:space="preserve">, </w:t>
      </w:r>
      <w:r w:rsidR="007A3259">
        <w:t xml:space="preserve">e ir </w:t>
      </w:r>
      <w:r>
        <w:t xml:space="preserve">con la ayuda de un espíritu a su propio dormitorio y </w:t>
      </w:r>
      <w:r w:rsidR="007A3259">
        <w:t xml:space="preserve">ver </w:t>
      </w:r>
      <w:r>
        <w:t xml:space="preserve">a su enemigo tendido en su propia cama, </w:t>
      </w:r>
      <w:r w:rsidR="00BC16B6">
        <w:t xml:space="preserve">él </w:t>
      </w:r>
      <w:r>
        <w:t>no se enojó</w:t>
      </w:r>
      <w:r w:rsidR="006445BC">
        <w:t xml:space="preserve"> y </w:t>
      </w:r>
      <w:r>
        <w:t>lo trató como a un amigo, asumiendo un compromiso mutuo y luego exclamó:</w:t>
      </w:r>
    </w:p>
    <w:p w14:paraId="2215F00D" w14:textId="69DFC9EB" w:rsidR="00441605" w:rsidRPr="00BC16B6" w:rsidRDefault="00441605" w:rsidP="00441605">
      <w:pPr>
        <w:pStyle w:val="VersoIngls01Sangria"/>
        <w:rPr>
          <w:sz w:val="16"/>
          <w:szCs w:val="20"/>
        </w:rPr>
      </w:pPr>
      <w:r w:rsidRPr="00BC16B6">
        <w:rPr>
          <w:sz w:val="16"/>
          <w:szCs w:val="20"/>
        </w:rPr>
        <w:t>“Los valientes aspiran, los sabios no desfallecen;</w:t>
      </w:r>
    </w:p>
    <w:p w14:paraId="476D00C4" w14:textId="1249A205" w:rsidR="00441605" w:rsidRDefault="00441605" w:rsidP="000952A1">
      <w:pPr>
        <w:pStyle w:val="VersoIngls01Sangria"/>
      </w:pPr>
      <w:r w:rsidRPr="00BC16B6">
        <w:rPr>
          <w:sz w:val="16"/>
          <w:szCs w:val="20"/>
        </w:rPr>
        <w:t>Me veo como hubiera querido ser” (J-a I 267).</w:t>
      </w:r>
      <w:r>
        <w:br w:type="page"/>
      </w:r>
    </w:p>
    <w:p w14:paraId="657C158C" w14:textId="77777777" w:rsidR="00441605" w:rsidRDefault="00441605" w:rsidP="00441605"/>
    <w:p w14:paraId="51E9D20D" w14:textId="7508358A" w:rsidR="00B97CB1" w:rsidRDefault="00B97CB1" w:rsidP="00B97CB1">
      <w:r>
        <w:t xml:space="preserve">28. </w:t>
      </w:r>
      <w:r>
        <w:tab/>
        <w:t xml:space="preserve">“Y en la </w:t>
      </w:r>
      <w:r w:rsidR="00655C78" w:rsidRPr="00655C78">
        <w:t xml:space="preserve">historia </w:t>
      </w:r>
      <w:r w:rsidRPr="00655C78">
        <w:t xml:space="preserve">del </w:t>
      </w:r>
      <w:r w:rsidR="00655C78">
        <w:t>re</w:t>
      </w:r>
      <w:r w:rsidR="00655C78" w:rsidRPr="00655C78">
        <w:t>nacimiento</w:t>
      </w:r>
      <w:r w:rsidR="00655C78" w:rsidRPr="00DC74A2">
        <w:rPr>
          <w:i/>
          <w:iCs/>
        </w:rPr>
        <w:t xml:space="preserve"> </w:t>
      </w:r>
      <w:proofErr w:type="spellStart"/>
      <w:r w:rsidRPr="00DC74A2">
        <w:rPr>
          <w:i/>
          <w:iCs/>
        </w:rPr>
        <w:t>Khantivādin</w:t>
      </w:r>
      <w:proofErr w:type="spellEnd"/>
      <w:r w:rsidR="00655C78">
        <w:rPr>
          <w:i/>
          <w:iCs/>
        </w:rPr>
        <w:t xml:space="preserve"> </w:t>
      </w:r>
      <w:proofErr w:type="spellStart"/>
      <w:r w:rsidR="00655C78">
        <w:rPr>
          <w:i/>
          <w:iCs/>
        </w:rPr>
        <w:t>Jātaka</w:t>
      </w:r>
      <w:proofErr w:type="spellEnd"/>
      <w:r>
        <w:t xml:space="preserve">, el estúpido </w:t>
      </w:r>
      <w:r w:rsidR="00DC74A2">
        <w:t xml:space="preserve">Rey </w:t>
      </w:r>
      <w:r>
        <w:t xml:space="preserve">de </w:t>
      </w:r>
      <w:proofErr w:type="spellStart"/>
      <w:r>
        <w:t>Kāsi</w:t>
      </w:r>
      <w:proofErr w:type="spellEnd"/>
      <w:r>
        <w:t xml:space="preserve"> (</w:t>
      </w:r>
      <w:proofErr w:type="spellStart"/>
      <w:r>
        <w:t>Benar</w:t>
      </w:r>
      <w:r w:rsidR="00655C78">
        <w:t>e</w:t>
      </w:r>
      <w:r>
        <w:t>s</w:t>
      </w:r>
      <w:proofErr w:type="spellEnd"/>
      <w:r>
        <w:t xml:space="preserve">) le preguntó: ‘¿Qué predica, monje?’ y él respondió: ‘Soy un predicador de la paciencia’; </w:t>
      </w:r>
      <w:r w:rsidR="0062456C">
        <w:t>no obstante,</w:t>
      </w:r>
      <w:r>
        <w:t xml:space="preserve"> cuando el rey lo hizo azotar con </w:t>
      </w:r>
      <w:r w:rsidR="00036D23">
        <w:t>látigos</w:t>
      </w:r>
      <w:r>
        <w:t xml:space="preserve"> de espinas y le cortaron las manos y los pies, </w:t>
      </w:r>
      <w:r w:rsidR="0062456C">
        <w:t xml:space="preserve">él </w:t>
      </w:r>
      <w:r>
        <w:t>no sintió la menor ira (ver J-a III 39).</w:t>
      </w:r>
    </w:p>
    <w:p w14:paraId="122C215B" w14:textId="0BF19449" w:rsidR="00B97CB1" w:rsidRDefault="00B97CB1" w:rsidP="00B97CB1">
      <w:r>
        <w:t xml:space="preserve">29. </w:t>
      </w:r>
      <w:r>
        <w:tab/>
        <w:t>“Quizás no sea tan maravilloso que un adulto que en realidad ha</w:t>
      </w:r>
      <w:r w:rsidR="001178E3">
        <w:t>ya</w:t>
      </w:r>
      <w:r>
        <w:t xml:space="preserve"> </w:t>
      </w:r>
      <w:r w:rsidR="006D10EA">
        <w:t xml:space="preserve">renunciado a una vida </w:t>
      </w:r>
      <w:r w:rsidR="00053AFC">
        <w:t xml:space="preserve">de </w:t>
      </w:r>
      <w:r>
        <w:t>hogar</w:t>
      </w:r>
      <w:r w:rsidR="00822F70">
        <w:t xml:space="preserve"> por una sin hogar</w:t>
      </w:r>
      <w:r>
        <w:t xml:space="preserve"> haya actuado de esa manera; pero también </w:t>
      </w:r>
      <w:r w:rsidR="00822F70">
        <w:t xml:space="preserve">lo hizo </w:t>
      </w:r>
      <w:r>
        <w:t xml:space="preserve">de niño. </w:t>
      </w:r>
      <w:r w:rsidR="00822F70">
        <w:t xml:space="preserve">Ya </w:t>
      </w:r>
      <w:r>
        <w:t xml:space="preserve">que en la </w:t>
      </w:r>
      <w:r w:rsidR="00822F70">
        <w:t xml:space="preserve">historia </w:t>
      </w:r>
      <w:r>
        <w:t xml:space="preserve">de </w:t>
      </w:r>
      <w:r w:rsidR="00822F70">
        <w:t>re</w:t>
      </w:r>
      <w:r>
        <w:t xml:space="preserve">nacimiento </w:t>
      </w:r>
      <w:proofErr w:type="spellStart"/>
      <w:r w:rsidRPr="00DC74A2">
        <w:rPr>
          <w:i/>
          <w:iCs/>
        </w:rPr>
        <w:t>Cūḷa-</w:t>
      </w:r>
      <w:r w:rsidR="00057BF4" w:rsidRPr="00057BF4">
        <w:rPr>
          <w:i/>
          <w:iCs/>
        </w:rPr>
        <w:t>Dhamma</w:t>
      </w:r>
      <w:r w:rsidRPr="00DC74A2">
        <w:rPr>
          <w:i/>
          <w:iCs/>
        </w:rPr>
        <w:t>pāla</w:t>
      </w:r>
      <w:proofErr w:type="spellEnd"/>
      <w:r w:rsidR="00822F70">
        <w:rPr>
          <w:i/>
          <w:iCs/>
        </w:rPr>
        <w:t xml:space="preserve"> </w:t>
      </w:r>
      <w:proofErr w:type="spellStart"/>
      <w:r w:rsidR="00822F70">
        <w:rPr>
          <w:i/>
          <w:iCs/>
        </w:rPr>
        <w:t>Jātaka</w:t>
      </w:r>
      <w:proofErr w:type="spellEnd"/>
      <w:r>
        <w:t xml:space="preserve">, su padre, el </w:t>
      </w:r>
      <w:r w:rsidR="00DC74A2">
        <w:t xml:space="preserve">Rey </w:t>
      </w:r>
      <w:proofErr w:type="spellStart"/>
      <w:r>
        <w:t>Mahāpatāpa</w:t>
      </w:r>
      <w:proofErr w:type="spellEnd"/>
      <w:r>
        <w:t>, ordenó que le cortaran las manos y los pies como si fueran cuatro brotes de bambú, y su madre se lamentó así:</w:t>
      </w:r>
    </w:p>
    <w:p w14:paraId="4208515D" w14:textId="5474987A" w:rsidR="00B97CB1" w:rsidRPr="00053AFC" w:rsidRDefault="00B97CB1" w:rsidP="00B97CB1">
      <w:pPr>
        <w:pStyle w:val="VersoIngls01Sangria"/>
        <w:rPr>
          <w:sz w:val="16"/>
          <w:szCs w:val="20"/>
        </w:rPr>
      </w:pPr>
      <w:r w:rsidRPr="00053AFC">
        <w:rPr>
          <w:sz w:val="16"/>
          <w:szCs w:val="20"/>
        </w:rPr>
        <w:t xml:space="preserve">“Oh, los brazos de </w:t>
      </w:r>
      <w:proofErr w:type="spellStart"/>
      <w:r w:rsidR="00057BF4" w:rsidRPr="00053AFC">
        <w:rPr>
          <w:iCs/>
          <w:sz w:val="16"/>
          <w:szCs w:val="20"/>
        </w:rPr>
        <w:t>Dhamma</w:t>
      </w:r>
      <w:r w:rsidRPr="00053AFC">
        <w:rPr>
          <w:iCs/>
          <w:sz w:val="16"/>
          <w:szCs w:val="20"/>
        </w:rPr>
        <w:t>pāla</w:t>
      </w:r>
      <w:proofErr w:type="spellEnd"/>
      <w:r w:rsidRPr="00053AFC">
        <w:rPr>
          <w:sz w:val="16"/>
          <w:szCs w:val="20"/>
        </w:rPr>
        <w:t xml:space="preserve"> están cortados</w:t>
      </w:r>
    </w:p>
    <w:p w14:paraId="54262431" w14:textId="7D570EDE" w:rsidR="00B97CB1" w:rsidRPr="00053AFC" w:rsidRDefault="00B97CB1" w:rsidP="00B97CB1">
      <w:pPr>
        <w:pStyle w:val="VersoIngls01Sangria"/>
        <w:rPr>
          <w:sz w:val="16"/>
          <w:szCs w:val="20"/>
        </w:rPr>
      </w:pPr>
      <w:r w:rsidRPr="00053AFC">
        <w:rPr>
          <w:sz w:val="16"/>
          <w:szCs w:val="20"/>
        </w:rPr>
        <w:t>Qu</w:t>
      </w:r>
      <w:r w:rsidR="00822F70" w:rsidRPr="00053AFC">
        <w:rPr>
          <w:sz w:val="16"/>
          <w:szCs w:val="20"/>
        </w:rPr>
        <w:t>ien</w:t>
      </w:r>
      <w:r w:rsidRPr="00053AFC">
        <w:rPr>
          <w:sz w:val="16"/>
          <w:szCs w:val="20"/>
        </w:rPr>
        <w:t xml:space="preserve"> había sido bañado en sándalo;</w:t>
      </w:r>
    </w:p>
    <w:p w14:paraId="5647499C" w14:textId="77777777" w:rsidR="00B97CB1" w:rsidRPr="00053AFC" w:rsidRDefault="00B97CB1" w:rsidP="00B97CB1">
      <w:pPr>
        <w:pStyle w:val="VersoIngls01Sangria"/>
        <w:rPr>
          <w:sz w:val="16"/>
          <w:szCs w:val="20"/>
        </w:rPr>
      </w:pPr>
      <w:r w:rsidRPr="00053AFC">
        <w:rPr>
          <w:sz w:val="16"/>
          <w:szCs w:val="20"/>
        </w:rPr>
        <w:t>Él era el heredero de toda la tierra:</w:t>
      </w:r>
    </w:p>
    <w:p w14:paraId="07DFCF66" w14:textId="7ABE31A3" w:rsidR="00B97CB1" w:rsidRPr="00053AFC" w:rsidRDefault="00B97CB1" w:rsidP="00DC74A2">
      <w:pPr>
        <w:pStyle w:val="VersoIngls01Sangria"/>
        <w:spacing w:after="100"/>
        <w:ind w:left="1418"/>
        <w:rPr>
          <w:sz w:val="16"/>
          <w:szCs w:val="20"/>
        </w:rPr>
      </w:pPr>
      <w:r w:rsidRPr="00053AFC">
        <w:rPr>
          <w:sz w:val="16"/>
          <w:szCs w:val="20"/>
        </w:rPr>
        <w:t xml:space="preserve">¡Oh </w:t>
      </w:r>
      <w:r w:rsidR="0097629E" w:rsidRPr="00053AFC">
        <w:rPr>
          <w:sz w:val="16"/>
          <w:szCs w:val="20"/>
        </w:rPr>
        <w:t>Rey</w:t>
      </w:r>
      <w:r w:rsidRPr="00053AFC">
        <w:rPr>
          <w:sz w:val="16"/>
          <w:szCs w:val="20"/>
        </w:rPr>
        <w:t>, mi aliento me está asfixiando!” (J-a III 181). [303]</w:t>
      </w:r>
    </w:p>
    <w:p w14:paraId="30243AD9" w14:textId="44A0A746" w:rsidR="00B97CB1" w:rsidRDefault="00B97CB1" w:rsidP="00B97CB1">
      <w:pPr>
        <w:pStyle w:val="NormalConSangria"/>
      </w:pPr>
      <w:r>
        <w:t xml:space="preserve">“Entonces su padre, aún no satisfecho, mandó que </w:t>
      </w:r>
      <w:r w:rsidR="001906ED">
        <w:t xml:space="preserve">también </w:t>
      </w:r>
      <w:r>
        <w:t xml:space="preserve">le cortaran la cabeza. Pero incluso entonces no </w:t>
      </w:r>
      <w:r w:rsidR="000754A0">
        <w:t>tuvo</w:t>
      </w:r>
      <w:r>
        <w:t xml:space="preserve"> el menor rastro de odio, ya que había decidido firmemente: 'Ahora es el momento de controlar tu mente; ahora, buen </w:t>
      </w:r>
      <w:proofErr w:type="spellStart"/>
      <w:r w:rsidR="00057BF4" w:rsidRPr="001906ED">
        <w:rPr>
          <w:iCs/>
        </w:rPr>
        <w:t>Dhamma</w:t>
      </w:r>
      <w:r w:rsidRPr="001906ED">
        <w:rPr>
          <w:iCs/>
        </w:rPr>
        <w:t>pala</w:t>
      </w:r>
      <w:proofErr w:type="spellEnd"/>
      <w:r>
        <w:t>, sé imparcial con estas cuatro personas, es decir, con tu padre</w:t>
      </w:r>
      <w:r w:rsidR="0097629E">
        <w:t>,</w:t>
      </w:r>
      <w:r>
        <w:t xml:space="preserve"> quien </w:t>
      </w:r>
      <w:r w:rsidR="000754A0">
        <w:t>ha dado la orden de que te corten</w:t>
      </w:r>
      <w:r>
        <w:t xml:space="preserve"> la cabeza, </w:t>
      </w:r>
      <w:r w:rsidR="00E8133C">
        <w:t xml:space="preserve">con </w:t>
      </w:r>
      <w:r>
        <w:t xml:space="preserve">el hombre </w:t>
      </w:r>
      <w:r w:rsidR="00E8133C">
        <w:t xml:space="preserve">a punto de </w:t>
      </w:r>
      <w:r>
        <w:t>decapita</w:t>
      </w:r>
      <w:r w:rsidR="00E8133C">
        <w:t>rte</w:t>
      </w:r>
      <w:r>
        <w:t xml:space="preserve">, </w:t>
      </w:r>
      <w:r w:rsidR="00E8133C">
        <w:t xml:space="preserve">con </w:t>
      </w:r>
      <w:r>
        <w:t>tu madre que se lamenta y contigo mismo.</w:t>
      </w:r>
    </w:p>
    <w:p w14:paraId="78F2528C" w14:textId="01DFF33A" w:rsidR="00B97CB1" w:rsidRDefault="00B97CB1" w:rsidP="00B97CB1">
      <w:r>
        <w:t xml:space="preserve">30. </w:t>
      </w:r>
      <w:r>
        <w:tab/>
        <w:t xml:space="preserve">“Y tal vez </w:t>
      </w:r>
      <w:r w:rsidR="00E8133C">
        <w:t>podría no ser</w:t>
      </w:r>
      <w:r>
        <w:t xml:space="preserve"> tan maravilloso que </w:t>
      </w:r>
      <w:r w:rsidR="00B05290">
        <w:t>alguien</w:t>
      </w:r>
      <w:r>
        <w:t xml:space="preserve"> que se ha</w:t>
      </w:r>
      <w:r w:rsidR="00B05290">
        <w:t>ya</w:t>
      </w:r>
      <w:r>
        <w:t xml:space="preserve"> convertido en ser humano haya actuado de esa manera; pero </w:t>
      </w:r>
      <w:r w:rsidR="00B05290">
        <w:t xml:space="preserve">lo hizo </w:t>
      </w:r>
      <w:r>
        <w:t xml:space="preserve">también como animal. </w:t>
      </w:r>
      <w:r w:rsidR="00B05290">
        <w:t xml:space="preserve">Ya </w:t>
      </w:r>
      <w:r>
        <w:t xml:space="preserve">que </w:t>
      </w:r>
      <w:r w:rsidR="00B05290">
        <w:t xml:space="preserve">cuando </w:t>
      </w:r>
      <w:r>
        <w:t xml:space="preserve">el </w:t>
      </w:r>
      <w:r w:rsidR="00057BF4" w:rsidRPr="00057BF4">
        <w:rPr>
          <w:i/>
        </w:rPr>
        <w:t>Bodhisatta</w:t>
      </w:r>
      <w:r>
        <w:t xml:space="preserve"> </w:t>
      </w:r>
      <w:r w:rsidR="00B05290">
        <w:t>renació</w:t>
      </w:r>
      <w:r>
        <w:t xml:space="preserve"> </w:t>
      </w:r>
      <w:r w:rsidR="00B05290">
        <w:t xml:space="preserve">como </w:t>
      </w:r>
      <w:r>
        <w:t xml:space="preserve">el elefante </w:t>
      </w:r>
      <w:proofErr w:type="spellStart"/>
      <w:r>
        <w:t>Chaddanta</w:t>
      </w:r>
      <w:proofErr w:type="spellEnd"/>
      <w:r>
        <w:t xml:space="preserve">, fue atravesado en el ombligo por una flecha envenenada. Pero aun entonces no permitió que el odio hacia el cazador que lo había herido corrompiera su mente, según </w:t>
      </w:r>
      <w:r w:rsidR="00B05290">
        <w:t xml:space="preserve">lo que </w:t>
      </w:r>
      <w:r>
        <w:t>se dice:</w:t>
      </w:r>
    </w:p>
    <w:p w14:paraId="0355BC26" w14:textId="514E1FA7" w:rsidR="00B97CB1" w:rsidRPr="00E8133C" w:rsidRDefault="00B97CB1" w:rsidP="00B97CB1">
      <w:pPr>
        <w:pStyle w:val="VersoIngls01Sangria"/>
        <w:rPr>
          <w:sz w:val="16"/>
          <w:szCs w:val="20"/>
        </w:rPr>
      </w:pPr>
      <w:r w:rsidRPr="00E8133C">
        <w:rPr>
          <w:sz w:val="16"/>
          <w:szCs w:val="20"/>
        </w:rPr>
        <w:t xml:space="preserve">El elefante, cuando </w:t>
      </w:r>
      <w:r w:rsidR="00B05290" w:rsidRPr="00E8133C">
        <w:rPr>
          <w:sz w:val="16"/>
          <w:szCs w:val="20"/>
        </w:rPr>
        <w:t xml:space="preserve">fue impactado </w:t>
      </w:r>
      <w:r w:rsidRPr="00E8133C">
        <w:rPr>
          <w:sz w:val="16"/>
          <w:szCs w:val="20"/>
        </w:rPr>
        <w:t>por el fuerte eje,</w:t>
      </w:r>
    </w:p>
    <w:p w14:paraId="0B1FB7E1" w14:textId="77777777" w:rsidR="00B97CB1" w:rsidRPr="00E8133C" w:rsidRDefault="00B97CB1" w:rsidP="00B97CB1">
      <w:pPr>
        <w:pStyle w:val="VersoIngls01Sangria"/>
        <w:rPr>
          <w:sz w:val="16"/>
          <w:szCs w:val="20"/>
        </w:rPr>
      </w:pPr>
      <w:r w:rsidRPr="00E8133C">
        <w:rPr>
          <w:sz w:val="16"/>
          <w:szCs w:val="20"/>
        </w:rPr>
        <w:t>Se dirigió al cazador sin odio en mente:</w:t>
      </w:r>
    </w:p>
    <w:p w14:paraId="5ADDDD72" w14:textId="3B564428" w:rsidR="00B97CB1" w:rsidRPr="00E8133C" w:rsidRDefault="00B97CB1" w:rsidP="00B97CB1">
      <w:pPr>
        <w:pStyle w:val="VersoIngls01Sangria"/>
        <w:rPr>
          <w:sz w:val="16"/>
          <w:szCs w:val="20"/>
        </w:rPr>
      </w:pPr>
      <w:r w:rsidRPr="00E8133C">
        <w:rPr>
          <w:sz w:val="16"/>
          <w:szCs w:val="20"/>
        </w:rPr>
        <w:t xml:space="preserve">¿Cuál es </w:t>
      </w:r>
      <w:r w:rsidR="00B05290" w:rsidRPr="00E8133C">
        <w:rPr>
          <w:sz w:val="16"/>
          <w:szCs w:val="20"/>
        </w:rPr>
        <w:t>s</w:t>
      </w:r>
      <w:r w:rsidRPr="00E8133C">
        <w:rPr>
          <w:sz w:val="16"/>
          <w:szCs w:val="20"/>
        </w:rPr>
        <w:t>u meta? ¿Cuál es la razón por la cual</w:t>
      </w:r>
    </w:p>
    <w:p w14:paraId="0C854CC9" w14:textId="51DFBC43" w:rsidR="00B97CB1" w:rsidRPr="00E8133C" w:rsidRDefault="00B97CB1" w:rsidP="00DC74A2">
      <w:pPr>
        <w:pStyle w:val="VersoIngls01Sangria"/>
        <w:spacing w:after="100"/>
        <w:ind w:left="1418"/>
        <w:rPr>
          <w:sz w:val="16"/>
          <w:szCs w:val="20"/>
        </w:rPr>
      </w:pPr>
      <w:r w:rsidRPr="00E8133C">
        <w:rPr>
          <w:sz w:val="16"/>
          <w:szCs w:val="20"/>
        </w:rPr>
        <w:t xml:space="preserve">Me mata así? ¿Cuál </w:t>
      </w:r>
      <w:r w:rsidR="00E84CA0">
        <w:rPr>
          <w:sz w:val="16"/>
          <w:szCs w:val="20"/>
        </w:rPr>
        <w:t>es</w:t>
      </w:r>
      <w:r w:rsidRPr="00E8133C">
        <w:rPr>
          <w:sz w:val="16"/>
          <w:szCs w:val="20"/>
        </w:rPr>
        <w:t xml:space="preserve"> </w:t>
      </w:r>
      <w:r w:rsidR="00B05290" w:rsidRPr="00E8133C">
        <w:rPr>
          <w:sz w:val="16"/>
          <w:szCs w:val="20"/>
        </w:rPr>
        <w:t>s</w:t>
      </w:r>
      <w:r w:rsidRPr="00E8133C">
        <w:rPr>
          <w:sz w:val="16"/>
          <w:szCs w:val="20"/>
        </w:rPr>
        <w:t>u propósito? (J-a V 51).</w:t>
      </w:r>
    </w:p>
    <w:p w14:paraId="70DF83D9" w14:textId="122513E8" w:rsidR="00B97CB1" w:rsidRDefault="00B97CB1" w:rsidP="00B97CB1">
      <w:pPr>
        <w:pStyle w:val="NormalConSangria"/>
      </w:pPr>
      <w:r>
        <w:t xml:space="preserve">“Y cuando el elefante hubo hablado así y se le dijo: 'Señor, he sido enviado por la </w:t>
      </w:r>
      <w:r w:rsidR="00B05290">
        <w:t xml:space="preserve">Reina </w:t>
      </w:r>
      <w:r>
        <w:t xml:space="preserve">del </w:t>
      </w:r>
      <w:r w:rsidR="00B05290">
        <w:t xml:space="preserve">Rey </w:t>
      </w:r>
      <w:r>
        <w:t xml:space="preserve">de </w:t>
      </w:r>
      <w:proofErr w:type="spellStart"/>
      <w:r>
        <w:t>K</w:t>
      </w:r>
      <w:r w:rsidR="00DC74A2">
        <w:t>ā</w:t>
      </w:r>
      <w:r>
        <w:t>si</w:t>
      </w:r>
      <w:proofErr w:type="spellEnd"/>
      <w:r>
        <w:t xml:space="preserve"> a buscar sus colmillos', para cumplir su deseo, cortó sus propios colmillos, cuyo espléndido resplandor brill</w:t>
      </w:r>
      <w:r w:rsidR="00B05290">
        <w:t>ó</w:t>
      </w:r>
      <w:r>
        <w:t xml:space="preserve"> con los destellos de los rayos de seis colores y se los dio.</w:t>
      </w:r>
    </w:p>
    <w:p w14:paraId="49D20AF3" w14:textId="4B41774D" w:rsidR="00B97CB1" w:rsidRDefault="00B97CB1" w:rsidP="00B97CB1">
      <w:r>
        <w:t xml:space="preserve">31. </w:t>
      </w:r>
      <w:r>
        <w:tab/>
        <w:t>“Y cuando era el Gran Mono, el hombre que había sacado de un abismo rocoso pensó:</w:t>
      </w:r>
    </w:p>
    <w:p w14:paraId="19FAF481" w14:textId="411FA1D3" w:rsidR="00B97CB1" w:rsidRPr="00C824C9" w:rsidRDefault="00B97CB1" w:rsidP="00B97CB1">
      <w:pPr>
        <w:pStyle w:val="VersoIngls01Sangria"/>
        <w:rPr>
          <w:sz w:val="16"/>
          <w:szCs w:val="20"/>
        </w:rPr>
      </w:pPr>
      <w:r w:rsidRPr="00C824C9">
        <w:rPr>
          <w:sz w:val="16"/>
          <w:szCs w:val="20"/>
        </w:rPr>
        <w:t>'Ahora</w:t>
      </w:r>
      <w:r w:rsidR="00955901" w:rsidRPr="00C824C9">
        <w:rPr>
          <w:sz w:val="16"/>
          <w:szCs w:val="20"/>
        </w:rPr>
        <w:t xml:space="preserve"> bien</w:t>
      </w:r>
      <w:r w:rsidRPr="00C824C9">
        <w:rPr>
          <w:sz w:val="16"/>
          <w:szCs w:val="20"/>
        </w:rPr>
        <w:t xml:space="preserve">, </w:t>
      </w:r>
      <w:r w:rsidR="00260659" w:rsidRPr="00C824C9">
        <w:rPr>
          <w:sz w:val="16"/>
          <w:szCs w:val="20"/>
        </w:rPr>
        <w:t xml:space="preserve">para la humanidad </w:t>
      </w:r>
      <w:r w:rsidRPr="00C824C9">
        <w:rPr>
          <w:sz w:val="16"/>
          <w:szCs w:val="20"/>
        </w:rPr>
        <w:t xml:space="preserve">esto es comida </w:t>
      </w:r>
    </w:p>
    <w:p w14:paraId="4B82C5BD" w14:textId="77777777" w:rsidR="00B97CB1" w:rsidRPr="00C824C9" w:rsidRDefault="00B97CB1" w:rsidP="00B97CB1">
      <w:pPr>
        <w:pStyle w:val="VersoIngls01Sangria"/>
        <w:rPr>
          <w:sz w:val="16"/>
          <w:szCs w:val="20"/>
        </w:rPr>
      </w:pPr>
      <w:r w:rsidRPr="00C824C9">
        <w:rPr>
          <w:sz w:val="16"/>
          <w:szCs w:val="20"/>
        </w:rPr>
        <w:t>Como otros animales del bosque,</w:t>
      </w:r>
    </w:p>
    <w:p w14:paraId="72E8CB6F" w14:textId="77777777" w:rsidR="00B97CB1" w:rsidRPr="00C824C9" w:rsidRDefault="00B97CB1" w:rsidP="00B97CB1">
      <w:pPr>
        <w:pStyle w:val="VersoIngls01Sangria"/>
        <w:rPr>
          <w:sz w:val="16"/>
          <w:szCs w:val="20"/>
        </w:rPr>
      </w:pPr>
      <w:r w:rsidRPr="00C824C9">
        <w:rPr>
          <w:sz w:val="16"/>
          <w:szCs w:val="20"/>
        </w:rPr>
        <w:t>Entonces, ¿por qué un hombre hambriento</w:t>
      </w:r>
    </w:p>
    <w:p w14:paraId="67D1511D" w14:textId="0C260A7E" w:rsidR="00B97CB1" w:rsidRPr="00C824C9" w:rsidRDefault="00B97CB1" w:rsidP="00B97CB1">
      <w:pPr>
        <w:pStyle w:val="VersoIngls01Sangria"/>
        <w:spacing w:after="100"/>
        <w:ind w:left="1418"/>
        <w:rPr>
          <w:sz w:val="16"/>
          <w:szCs w:val="20"/>
        </w:rPr>
      </w:pPr>
      <w:r w:rsidRPr="00C824C9">
        <w:rPr>
          <w:sz w:val="16"/>
          <w:szCs w:val="20"/>
        </w:rPr>
        <w:t>No matar</w:t>
      </w:r>
      <w:r w:rsidR="000F3BF1" w:rsidRPr="00C824C9">
        <w:rPr>
          <w:sz w:val="16"/>
          <w:szCs w:val="20"/>
        </w:rPr>
        <w:t>ía</w:t>
      </w:r>
      <w:r w:rsidRPr="00C824C9">
        <w:rPr>
          <w:sz w:val="16"/>
          <w:szCs w:val="20"/>
        </w:rPr>
        <w:t xml:space="preserve"> a</w:t>
      </w:r>
      <w:r w:rsidR="000F3BF1" w:rsidRPr="00C824C9">
        <w:rPr>
          <w:sz w:val="16"/>
          <w:szCs w:val="20"/>
        </w:rPr>
        <w:t xml:space="preserve"> este</w:t>
      </w:r>
      <w:r w:rsidRPr="00C824C9">
        <w:rPr>
          <w:sz w:val="16"/>
          <w:szCs w:val="20"/>
        </w:rPr>
        <w:t xml:space="preserve"> mono para com</w:t>
      </w:r>
      <w:r w:rsidR="00260659" w:rsidRPr="00C824C9">
        <w:rPr>
          <w:sz w:val="16"/>
          <w:szCs w:val="20"/>
        </w:rPr>
        <w:t>é</w:t>
      </w:r>
      <w:r w:rsidRPr="00C824C9">
        <w:rPr>
          <w:sz w:val="16"/>
          <w:szCs w:val="20"/>
        </w:rPr>
        <w:t>r</w:t>
      </w:r>
      <w:r w:rsidR="00260659" w:rsidRPr="00C824C9">
        <w:rPr>
          <w:sz w:val="16"/>
          <w:szCs w:val="20"/>
        </w:rPr>
        <w:t>se</w:t>
      </w:r>
      <w:r w:rsidR="000F3BF1" w:rsidRPr="00C824C9">
        <w:rPr>
          <w:sz w:val="16"/>
          <w:szCs w:val="20"/>
        </w:rPr>
        <w:t>lo</w:t>
      </w:r>
      <w:r w:rsidRPr="00C824C9">
        <w:rPr>
          <w:sz w:val="16"/>
          <w:szCs w:val="20"/>
        </w:rPr>
        <w:t>? [Pregunto.]</w:t>
      </w:r>
    </w:p>
    <w:p w14:paraId="6421C609" w14:textId="6EB0B4E7" w:rsidR="00B97CB1" w:rsidRPr="00C824C9" w:rsidRDefault="000F3BF1" w:rsidP="00B97CB1">
      <w:pPr>
        <w:pStyle w:val="VersoIngls01Sangria"/>
        <w:rPr>
          <w:sz w:val="16"/>
          <w:szCs w:val="20"/>
        </w:rPr>
      </w:pPr>
      <w:r w:rsidRPr="00C824C9">
        <w:rPr>
          <w:sz w:val="16"/>
          <w:szCs w:val="20"/>
        </w:rPr>
        <w:t xml:space="preserve">Viajaré </w:t>
      </w:r>
      <w:r w:rsidR="00B97CB1" w:rsidRPr="00C824C9">
        <w:rPr>
          <w:sz w:val="16"/>
          <w:szCs w:val="20"/>
        </w:rPr>
        <w:t>de forma independiente</w:t>
      </w:r>
    </w:p>
    <w:p w14:paraId="7EB734D0" w14:textId="77777777" w:rsidR="00B97CB1" w:rsidRPr="00C824C9" w:rsidRDefault="00B97CB1" w:rsidP="00B97CB1">
      <w:pPr>
        <w:pStyle w:val="VersoIngls01Sangria"/>
        <w:rPr>
          <w:sz w:val="16"/>
          <w:szCs w:val="20"/>
        </w:rPr>
      </w:pPr>
      <w:r w:rsidRPr="00C824C9">
        <w:rPr>
          <w:sz w:val="16"/>
          <w:szCs w:val="20"/>
        </w:rPr>
        <w:t>Tomando su carne como provisión;</w:t>
      </w:r>
    </w:p>
    <w:p w14:paraId="5571FED4" w14:textId="0B78CE70" w:rsidR="00B97CB1" w:rsidRPr="00C824C9" w:rsidRDefault="00B97CB1" w:rsidP="00B97CB1">
      <w:pPr>
        <w:pStyle w:val="VersoIngls01Sangria"/>
        <w:rPr>
          <w:sz w:val="16"/>
          <w:szCs w:val="20"/>
        </w:rPr>
      </w:pPr>
      <w:r w:rsidRPr="00C824C9">
        <w:rPr>
          <w:sz w:val="16"/>
          <w:szCs w:val="20"/>
        </w:rPr>
        <w:t xml:space="preserve">Así cruzaré el desierto, y </w:t>
      </w:r>
      <w:r w:rsidR="00675C1C" w:rsidRPr="00C824C9">
        <w:rPr>
          <w:sz w:val="16"/>
          <w:szCs w:val="20"/>
        </w:rPr>
        <w:t>esto me</w:t>
      </w:r>
    </w:p>
    <w:p w14:paraId="114A012E" w14:textId="67243DED" w:rsidR="00B97CB1" w:rsidRPr="00C824C9" w:rsidRDefault="00B97CB1" w:rsidP="00B97CB1">
      <w:pPr>
        <w:pStyle w:val="VersoIngls01Sangria"/>
        <w:spacing w:after="100"/>
        <w:ind w:left="1418"/>
        <w:rPr>
          <w:sz w:val="16"/>
          <w:szCs w:val="20"/>
        </w:rPr>
      </w:pPr>
      <w:r w:rsidRPr="00C824C9">
        <w:rPr>
          <w:sz w:val="16"/>
          <w:szCs w:val="20"/>
        </w:rPr>
        <w:t xml:space="preserve">Proporcionará </w:t>
      </w:r>
      <w:r w:rsidR="00675C1C" w:rsidRPr="00C824C9">
        <w:rPr>
          <w:sz w:val="16"/>
          <w:szCs w:val="20"/>
        </w:rPr>
        <w:t>sustento</w:t>
      </w:r>
      <w:r w:rsidRPr="00C824C9">
        <w:rPr>
          <w:sz w:val="16"/>
          <w:szCs w:val="20"/>
        </w:rPr>
        <w:t>” (J-a V 71).</w:t>
      </w:r>
    </w:p>
    <w:p w14:paraId="362EBB05" w14:textId="5F1C0658" w:rsidR="00B97CB1" w:rsidRDefault="00B97CB1" w:rsidP="00B97CB1">
      <w:pPr>
        <w:pStyle w:val="NormalConSangria"/>
      </w:pPr>
      <w:r>
        <w:t>Luego tomó una piedra y se la estrelló en la cabeza. Pero el mono lo miró con los ojos llenos de lágrimas y dijo:</w:t>
      </w:r>
    </w:p>
    <w:p w14:paraId="1665A181" w14:textId="39998EAC" w:rsidR="008E721B" w:rsidRDefault="008E721B">
      <w:pPr>
        <w:tabs>
          <w:tab w:val="clear" w:pos="425"/>
        </w:tabs>
        <w:spacing w:after="160"/>
      </w:pPr>
      <w:r>
        <w:br w:type="page"/>
      </w:r>
    </w:p>
    <w:p w14:paraId="18AF9A2E" w14:textId="77777777" w:rsidR="00AD747F" w:rsidRDefault="00AD747F" w:rsidP="00066EE4">
      <w:pPr>
        <w:pStyle w:val="VersoIngls01Sangria"/>
        <w:rPr>
          <w:sz w:val="16"/>
          <w:szCs w:val="20"/>
        </w:rPr>
      </w:pPr>
    </w:p>
    <w:p w14:paraId="45B04C7B" w14:textId="77777777" w:rsidR="00AD747F" w:rsidRDefault="00AD747F" w:rsidP="00066EE4">
      <w:pPr>
        <w:pStyle w:val="VersoIngls01Sangria"/>
        <w:rPr>
          <w:sz w:val="16"/>
          <w:szCs w:val="20"/>
        </w:rPr>
      </w:pPr>
    </w:p>
    <w:p w14:paraId="495C2857" w14:textId="4AD64205" w:rsidR="00066EE4" w:rsidRPr="00BC60A1" w:rsidRDefault="00066EE4" w:rsidP="00066EE4">
      <w:pPr>
        <w:pStyle w:val="VersoIngls01Sangria"/>
        <w:rPr>
          <w:sz w:val="16"/>
          <w:szCs w:val="20"/>
        </w:rPr>
      </w:pPr>
      <w:r w:rsidRPr="00BC60A1">
        <w:rPr>
          <w:sz w:val="16"/>
          <w:szCs w:val="20"/>
        </w:rPr>
        <w:t>'Oh, no actúe así, buen señor, o de lo contrario</w:t>
      </w:r>
    </w:p>
    <w:p w14:paraId="6F845E68" w14:textId="6C1593F0" w:rsidR="00066EE4" w:rsidRPr="00BC60A1" w:rsidRDefault="00066EE4" w:rsidP="00066EE4">
      <w:pPr>
        <w:pStyle w:val="VersoIngls01Sangria"/>
        <w:rPr>
          <w:sz w:val="16"/>
          <w:szCs w:val="20"/>
        </w:rPr>
      </w:pPr>
      <w:r w:rsidRPr="00BC60A1">
        <w:rPr>
          <w:sz w:val="16"/>
          <w:szCs w:val="20"/>
        </w:rPr>
        <w:t>El destino que cosech</w:t>
      </w:r>
      <w:r w:rsidR="00675C1C" w:rsidRPr="00BC60A1">
        <w:rPr>
          <w:sz w:val="16"/>
          <w:szCs w:val="20"/>
        </w:rPr>
        <w:t>e</w:t>
      </w:r>
      <w:r w:rsidRPr="00BC60A1">
        <w:rPr>
          <w:sz w:val="16"/>
          <w:szCs w:val="20"/>
        </w:rPr>
        <w:t xml:space="preserve"> disuadirá por mucho tiempo</w:t>
      </w:r>
    </w:p>
    <w:p w14:paraId="44269C97" w14:textId="5F166B99" w:rsidR="00066EE4" w:rsidRPr="00BC60A1" w:rsidRDefault="00066EE4" w:rsidP="00066EE4">
      <w:pPr>
        <w:pStyle w:val="VersoIngls01Sangria"/>
        <w:rPr>
          <w:sz w:val="16"/>
          <w:szCs w:val="20"/>
        </w:rPr>
      </w:pPr>
      <w:proofErr w:type="gramStart"/>
      <w:r w:rsidRPr="00BC60A1">
        <w:rPr>
          <w:sz w:val="16"/>
          <w:szCs w:val="20"/>
        </w:rPr>
        <w:t>Todos l</w:t>
      </w:r>
      <w:r w:rsidR="003C18F1" w:rsidRPr="00BC60A1">
        <w:rPr>
          <w:sz w:val="16"/>
          <w:szCs w:val="20"/>
        </w:rPr>
        <w:t>as</w:t>
      </w:r>
      <w:r w:rsidRPr="00BC60A1">
        <w:rPr>
          <w:sz w:val="16"/>
          <w:szCs w:val="20"/>
        </w:rPr>
        <w:t xml:space="preserve"> demás </w:t>
      </w:r>
      <w:r w:rsidR="003C18F1" w:rsidRPr="00BC60A1">
        <w:rPr>
          <w:sz w:val="16"/>
          <w:szCs w:val="20"/>
        </w:rPr>
        <w:t>acciones</w:t>
      </w:r>
      <w:proofErr w:type="gramEnd"/>
      <w:r w:rsidRPr="00BC60A1">
        <w:rPr>
          <w:sz w:val="16"/>
          <w:szCs w:val="20"/>
        </w:rPr>
        <w:t xml:space="preserve"> como </w:t>
      </w:r>
      <w:r w:rsidR="003C18F1" w:rsidRPr="00BC60A1">
        <w:rPr>
          <w:sz w:val="16"/>
          <w:szCs w:val="20"/>
        </w:rPr>
        <w:t>é</w:t>
      </w:r>
      <w:r w:rsidRPr="00BC60A1">
        <w:rPr>
          <w:sz w:val="16"/>
          <w:szCs w:val="20"/>
        </w:rPr>
        <w:t>st</w:t>
      </w:r>
      <w:r w:rsidR="003C18F1" w:rsidRPr="00BC60A1">
        <w:rPr>
          <w:sz w:val="16"/>
          <w:szCs w:val="20"/>
        </w:rPr>
        <w:t>a</w:t>
      </w:r>
    </w:p>
    <w:p w14:paraId="18521A69" w14:textId="327BF2A5" w:rsidR="00066EE4" w:rsidRPr="00BC60A1" w:rsidRDefault="00066EE4" w:rsidP="00066EE4">
      <w:pPr>
        <w:pStyle w:val="VersoIngls01Sangria"/>
        <w:spacing w:after="100"/>
        <w:ind w:left="1418"/>
        <w:rPr>
          <w:sz w:val="16"/>
          <w:szCs w:val="20"/>
        </w:rPr>
      </w:pPr>
      <w:r w:rsidRPr="00BC60A1">
        <w:rPr>
          <w:sz w:val="16"/>
          <w:szCs w:val="20"/>
        </w:rPr>
        <w:t xml:space="preserve">que me </w:t>
      </w:r>
      <w:r w:rsidR="00F502C8" w:rsidRPr="00BC60A1">
        <w:rPr>
          <w:sz w:val="16"/>
          <w:szCs w:val="20"/>
        </w:rPr>
        <w:t xml:space="preserve">ocasiona </w:t>
      </w:r>
      <w:r w:rsidRPr="00BC60A1">
        <w:rPr>
          <w:sz w:val="16"/>
          <w:szCs w:val="20"/>
        </w:rPr>
        <w:t>hoy’ (J-a V 71).</w:t>
      </w:r>
    </w:p>
    <w:p w14:paraId="20CBE18C" w14:textId="092C373D" w:rsidR="00066EE4" w:rsidRDefault="00066EE4" w:rsidP="00066EE4">
      <w:pPr>
        <w:pStyle w:val="NormalConSangria"/>
      </w:pPr>
      <w:r>
        <w:t>Y sin odio en su mente e independientemente de su propio dolor, se encargó de que el hombre llegara al final de su viaje a salvo</w:t>
      </w:r>
      <w:r w:rsidR="00F502C8">
        <w:t>, a pesar de todo</w:t>
      </w:r>
      <w:r>
        <w:t>.</w:t>
      </w:r>
    </w:p>
    <w:p w14:paraId="48988290" w14:textId="589C59FE" w:rsidR="00066EE4" w:rsidRDefault="00066EE4" w:rsidP="00066EE4">
      <w:r>
        <w:t xml:space="preserve">32. </w:t>
      </w:r>
      <w:r>
        <w:tab/>
        <w:t xml:space="preserve">“Y mientras él </w:t>
      </w:r>
      <w:r w:rsidR="00675C1C">
        <w:t>fue</w:t>
      </w:r>
      <w:r>
        <w:t xml:space="preserve"> </w:t>
      </w:r>
      <w:proofErr w:type="spellStart"/>
      <w:r w:rsidR="00187F96">
        <w:t>Bhūridatta</w:t>
      </w:r>
      <w:proofErr w:type="spellEnd"/>
      <w:r w:rsidR="00187F96">
        <w:t xml:space="preserve">, </w:t>
      </w:r>
      <w:r>
        <w:t xml:space="preserve">el </w:t>
      </w:r>
      <w:proofErr w:type="spellStart"/>
      <w:r w:rsidR="003E449E" w:rsidRPr="00DC74A2">
        <w:rPr>
          <w:i/>
          <w:iCs/>
        </w:rPr>
        <w:t>Nāga</w:t>
      </w:r>
      <w:proofErr w:type="spellEnd"/>
      <w:r w:rsidR="003E449E">
        <w:t xml:space="preserve"> </w:t>
      </w:r>
      <w:r>
        <w:t xml:space="preserve">(serpiente) real, [304] cuando había seguido los preceptos de </w:t>
      </w:r>
      <w:proofErr w:type="spellStart"/>
      <w:r w:rsidR="00057BF4" w:rsidRPr="00057BF4">
        <w:rPr>
          <w:i/>
          <w:iCs/>
        </w:rPr>
        <w:t>Uposatha</w:t>
      </w:r>
      <w:proofErr w:type="spellEnd"/>
      <w:r>
        <w:t xml:space="preserve"> y estaba acostado en la cima de un montículo de termitas, aunque fue</w:t>
      </w:r>
      <w:r w:rsidR="00F60F03">
        <w:t>ra</w:t>
      </w:r>
      <w:r>
        <w:t xml:space="preserve"> atrapado y rociado con amuletos medicinales parecidos a los fuego</w:t>
      </w:r>
      <w:r w:rsidR="00187F96">
        <w:t>s</w:t>
      </w:r>
      <w:r>
        <w:t xml:space="preserve"> que anuncia</w:t>
      </w:r>
      <w:r w:rsidR="00187F96">
        <w:t>n</w:t>
      </w:r>
      <w:r>
        <w:t xml:space="preserve"> el final de un eón, y fue</w:t>
      </w:r>
      <w:r w:rsidR="00187F96">
        <w:t>ra</w:t>
      </w:r>
      <w:r>
        <w:t xml:space="preserve"> puesto en una caja y tratado como un juguete en todo </w:t>
      </w:r>
      <w:proofErr w:type="spellStart"/>
      <w:r w:rsidRPr="003E449E">
        <w:rPr>
          <w:i/>
          <w:iCs/>
        </w:rPr>
        <w:t>Jambudīpa</w:t>
      </w:r>
      <w:proofErr w:type="spellEnd"/>
      <w:r>
        <w:t xml:space="preserve">, sin embargo, no </w:t>
      </w:r>
      <w:r w:rsidR="00187F96">
        <w:t>tuvo ni un</w:t>
      </w:r>
      <w:r>
        <w:t xml:space="preserve"> rastro de odio por ese </w:t>
      </w:r>
      <w:proofErr w:type="spellStart"/>
      <w:r w:rsidRPr="003E449E">
        <w:rPr>
          <w:i/>
          <w:iCs/>
        </w:rPr>
        <w:t>brahman</w:t>
      </w:r>
      <w:proofErr w:type="spellEnd"/>
      <w:r>
        <w:t>, según se dice:</w:t>
      </w:r>
    </w:p>
    <w:p w14:paraId="1DD5ABD3" w14:textId="369A30FC" w:rsidR="00066EE4" w:rsidRPr="00A2554A" w:rsidRDefault="00066EE4" w:rsidP="00066EE4">
      <w:pPr>
        <w:pStyle w:val="VersoIngls01Sangria"/>
        <w:rPr>
          <w:sz w:val="16"/>
          <w:szCs w:val="20"/>
        </w:rPr>
      </w:pPr>
      <w:r w:rsidRPr="00A2554A">
        <w:rPr>
          <w:sz w:val="16"/>
          <w:szCs w:val="20"/>
        </w:rPr>
        <w:t xml:space="preserve">'Mientras </w:t>
      </w:r>
      <w:r w:rsidR="00456D29" w:rsidRPr="00A2554A">
        <w:rPr>
          <w:sz w:val="16"/>
          <w:szCs w:val="20"/>
        </w:rPr>
        <w:t>fui</w:t>
      </w:r>
      <w:r w:rsidR="00187F96" w:rsidRPr="00A2554A">
        <w:rPr>
          <w:sz w:val="16"/>
          <w:szCs w:val="20"/>
        </w:rPr>
        <w:t xml:space="preserve"> puesto</w:t>
      </w:r>
      <w:r w:rsidRPr="00A2554A">
        <w:rPr>
          <w:sz w:val="16"/>
          <w:szCs w:val="20"/>
        </w:rPr>
        <w:t xml:space="preserve"> en el cofre</w:t>
      </w:r>
    </w:p>
    <w:p w14:paraId="292D8B81" w14:textId="00027A9E" w:rsidR="00066EE4" w:rsidRPr="00A2554A" w:rsidRDefault="00066EE4" w:rsidP="00066EE4">
      <w:pPr>
        <w:pStyle w:val="VersoIngls01Sangria"/>
        <w:rPr>
          <w:sz w:val="16"/>
          <w:szCs w:val="20"/>
        </w:rPr>
      </w:pPr>
      <w:r w:rsidRPr="00A2554A">
        <w:rPr>
          <w:sz w:val="16"/>
          <w:szCs w:val="20"/>
        </w:rPr>
        <w:t>y aplastad</w:t>
      </w:r>
      <w:r w:rsidR="00456D29" w:rsidRPr="00A2554A">
        <w:rPr>
          <w:sz w:val="16"/>
          <w:szCs w:val="20"/>
        </w:rPr>
        <w:t xml:space="preserve">o con </w:t>
      </w:r>
      <w:r w:rsidRPr="00A2554A">
        <w:rPr>
          <w:sz w:val="16"/>
          <w:szCs w:val="20"/>
        </w:rPr>
        <w:t>su mano,</w:t>
      </w:r>
    </w:p>
    <w:p w14:paraId="534DA323" w14:textId="3A838338" w:rsidR="00066EE4" w:rsidRPr="00A2554A" w:rsidRDefault="00066EE4" w:rsidP="00066EE4">
      <w:pPr>
        <w:pStyle w:val="VersoIngls01Sangria"/>
        <w:rPr>
          <w:sz w:val="16"/>
          <w:szCs w:val="20"/>
        </w:rPr>
      </w:pPr>
      <w:r w:rsidRPr="00A2554A">
        <w:rPr>
          <w:sz w:val="16"/>
          <w:szCs w:val="20"/>
        </w:rPr>
        <w:t xml:space="preserve">No </w:t>
      </w:r>
      <w:r w:rsidR="00CA6275" w:rsidRPr="00A2554A">
        <w:rPr>
          <w:sz w:val="16"/>
          <w:szCs w:val="20"/>
        </w:rPr>
        <w:t>tuv</w:t>
      </w:r>
      <w:r w:rsidR="00456D29" w:rsidRPr="00A2554A">
        <w:rPr>
          <w:sz w:val="16"/>
          <w:szCs w:val="20"/>
        </w:rPr>
        <w:t>e</w:t>
      </w:r>
      <w:r w:rsidR="00CA6275" w:rsidRPr="00A2554A">
        <w:rPr>
          <w:sz w:val="16"/>
          <w:szCs w:val="20"/>
        </w:rPr>
        <w:t xml:space="preserve"> </w:t>
      </w:r>
      <w:r w:rsidRPr="00A2554A">
        <w:rPr>
          <w:sz w:val="16"/>
          <w:szCs w:val="20"/>
        </w:rPr>
        <w:t xml:space="preserve">odio </w:t>
      </w:r>
      <w:r w:rsidR="00CA6275" w:rsidRPr="00A2554A">
        <w:rPr>
          <w:sz w:val="16"/>
          <w:szCs w:val="20"/>
        </w:rPr>
        <w:t xml:space="preserve">hacia </w:t>
      </w:r>
      <w:proofErr w:type="spellStart"/>
      <w:r w:rsidR="00CA6275" w:rsidRPr="00A2554A">
        <w:rPr>
          <w:i/>
          <w:iCs/>
          <w:sz w:val="16"/>
          <w:szCs w:val="20"/>
        </w:rPr>
        <w:t>Ā</w:t>
      </w:r>
      <w:r w:rsidRPr="00A2554A">
        <w:rPr>
          <w:i/>
          <w:iCs/>
          <w:sz w:val="16"/>
          <w:szCs w:val="20"/>
        </w:rPr>
        <w:t>lambāna</w:t>
      </w:r>
      <w:proofErr w:type="spellEnd"/>
    </w:p>
    <w:p w14:paraId="6478564C" w14:textId="77777777" w:rsidR="00066EE4" w:rsidRPr="00A2554A" w:rsidRDefault="00066EE4" w:rsidP="00066EE4">
      <w:pPr>
        <w:pStyle w:val="VersoIngls01Sangria"/>
        <w:spacing w:after="100"/>
        <w:ind w:left="1418"/>
        <w:rPr>
          <w:sz w:val="16"/>
          <w:szCs w:val="20"/>
        </w:rPr>
      </w:pPr>
      <w:r w:rsidRPr="00A2554A">
        <w:rPr>
          <w:sz w:val="16"/>
          <w:szCs w:val="20"/>
        </w:rPr>
        <w:t>No sea que rompa el voto de mi precepto” (</w:t>
      </w:r>
      <w:proofErr w:type="spellStart"/>
      <w:r w:rsidRPr="00A2554A">
        <w:rPr>
          <w:sz w:val="16"/>
          <w:szCs w:val="20"/>
        </w:rPr>
        <w:t>Cp</w:t>
      </w:r>
      <w:proofErr w:type="spellEnd"/>
      <w:r w:rsidRPr="00A2554A">
        <w:rPr>
          <w:sz w:val="16"/>
          <w:szCs w:val="20"/>
        </w:rPr>
        <w:t xml:space="preserve"> 85).</w:t>
      </w:r>
    </w:p>
    <w:p w14:paraId="7793809E" w14:textId="5A91D7A3" w:rsidR="00066EE4" w:rsidRDefault="00066EE4" w:rsidP="00066EE4">
      <w:r>
        <w:t xml:space="preserve">33. </w:t>
      </w:r>
      <w:r>
        <w:tab/>
        <w:t xml:space="preserve">“Y cuando </w:t>
      </w:r>
      <w:r w:rsidR="00B0515A">
        <w:t>fue</w:t>
      </w:r>
      <w:r>
        <w:t xml:space="preserve"> </w:t>
      </w:r>
      <w:proofErr w:type="spellStart"/>
      <w:r w:rsidR="00B0515A">
        <w:t>Campeyya</w:t>
      </w:r>
      <w:proofErr w:type="spellEnd"/>
      <w:r w:rsidR="00B0515A">
        <w:t xml:space="preserve">, </w:t>
      </w:r>
      <w:r>
        <w:t xml:space="preserve">el </w:t>
      </w:r>
      <w:proofErr w:type="spellStart"/>
      <w:r w:rsidR="003E449E" w:rsidRPr="003E449E">
        <w:rPr>
          <w:i/>
          <w:iCs/>
        </w:rPr>
        <w:t>Nāga</w:t>
      </w:r>
      <w:proofErr w:type="spellEnd"/>
      <w:r w:rsidR="003E449E">
        <w:t xml:space="preserve"> </w:t>
      </w:r>
      <w:r>
        <w:t>real, no permitió que el odio brotara en su mente mientras estaba siendo tratado cruelmente por un encantador de serpientes, según se dice:</w:t>
      </w:r>
    </w:p>
    <w:p w14:paraId="70BA1386" w14:textId="77777777" w:rsidR="00066EE4" w:rsidRPr="00A2554A" w:rsidRDefault="00066EE4" w:rsidP="00066EE4">
      <w:pPr>
        <w:pStyle w:val="VersoIngls01Sangria"/>
        <w:rPr>
          <w:sz w:val="16"/>
          <w:szCs w:val="20"/>
        </w:rPr>
      </w:pPr>
      <w:r w:rsidRPr="00A2554A">
        <w:rPr>
          <w:sz w:val="16"/>
          <w:szCs w:val="20"/>
        </w:rPr>
        <w:t>“Mientras yo vivía en la Ley</w:t>
      </w:r>
    </w:p>
    <w:p w14:paraId="2D8BEBB3" w14:textId="0D1DCA8E" w:rsidR="00066EE4" w:rsidRPr="00A2554A" w:rsidRDefault="00066EE4" w:rsidP="00066EE4">
      <w:pPr>
        <w:pStyle w:val="VersoIngls01Sangria"/>
        <w:rPr>
          <w:sz w:val="16"/>
          <w:szCs w:val="20"/>
        </w:rPr>
      </w:pPr>
      <w:r w:rsidRPr="00A2554A">
        <w:rPr>
          <w:sz w:val="16"/>
          <w:szCs w:val="20"/>
        </w:rPr>
        <w:t xml:space="preserve">Observando el </w:t>
      </w:r>
      <w:proofErr w:type="spellStart"/>
      <w:r w:rsidR="00057BF4" w:rsidRPr="00A2554A">
        <w:rPr>
          <w:i/>
          <w:iCs/>
          <w:sz w:val="16"/>
          <w:szCs w:val="20"/>
        </w:rPr>
        <w:t>Uposatha</w:t>
      </w:r>
      <w:proofErr w:type="spellEnd"/>
    </w:p>
    <w:p w14:paraId="6BDDFAC8" w14:textId="659E904B" w:rsidR="00066EE4" w:rsidRPr="00A2554A" w:rsidRDefault="00066EE4" w:rsidP="00066EE4">
      <w:pPr>
        <w:pStyle w:val="VersoIngls01Sangria"/>
        <w:rPr>
          <w:sz w:val="16"/>
          <w:szCs w:val="20"/>
        </w:rPr>
      </w:pPr>
      <w:r w:rsidRPr="00A2554A">
        <w:rPr>
          <w:sz w:val="16"/>
          <w:szCs w:val="20"/>
        </w:rPr>
        <w:t>Un encantador de serpientes me llevó</w:t>
      </w:r>
      <w:r w:rsidR="0039259B" w:rsidRPr="00A2554A">
        <w:rPr>
          <w:sz w:val="16"/>
          <w:szCs w:val="20"/>
        </w:rPr>
        <w:t xml:space="preserve"> consigo</w:t>
      </w:r>
    </w:p>
    <w:p w14:paraId="3DEAB2CF" w14:textId="2B64F1C6" w:rsidR="00066EE4" w:rsidRPr="00A2554A" w:rsidRDefault="00066EE4" w:rsidP="00066EE4">
      <w:pPr>
        <w:pStyle w:val="VersoIngls01Sangria"/>
        <w:spacing w:after="100"/>
        <w:ind w:left="1418"/>
        <w:rPr>
          <w:sz w:val="16"/>
          <w:szCs w:val="20"/>
        </w:rPr>
      </w:pPr>
      <w:r w:rsidRPr="00A2554A">
        <w:rPr>
          <w:sz w:val="16"/>
          <w:szCs w:val="20"/>
        </w:rPr>
        <w:t xml:space="preserve">Para </w:t>
      </w:r>
      <w:r w:rsidR="0039259B" w:rsidRPr="00A2554A">
        <w:rPr>
          <w:sz w:val="16"/>
          <w:szCs w:val="20"/>
        </w:rPr>
        <w:t>actuar</w:t>
      </w:r>
      <w:r w:rsidRPr="00A2554A">
        <w:rPr>
          <w:sz w:val="16"/>
          <w:szCs w:val="20"/>
        </w:rPr>
        <w:t xml:space="preserve"> en la puerta real.</w:t>
      </w:r>
    </w:p>
    <w:p w14:paraId="6FDA7541" w14:textId="77777777" w:rsidR="00066EE4" w:rsidRPr="00A2554A" w:rsidRDefault="00066EE4" w:rsidP="00066EE4">
      <w:pPr>
        <w:pStyle w:val="VersoIngls01Sangria"/>
        <w:rPr>
          <w:sz w:val="16"/>
          <w:szCs w:val="20"/>
        </w:rPr>
      </w:pPr>
      <w:r w:rsidRPr="00A2554A">
        <w:rPr>
          <w:sz w:val="16"/>
          <w:szCs w:val="20"/>
        </w:rPr>
        <w:t>Cualquier matiz que pudiera concebir,</w:t>
      </w:r>
    </w:p>
    <w:p w14:paraId="2AD13873" w14:textId="09C17F3D" w:rsidR="00066EE4" w:rsidRPr="00A2554A" w:rsidRDefault="00066EE4" w:rsidP="00066EE4">
      <w:pPr>
        <w:pStyle w:val="VersoIngls01Sangria"/>
        <w:rPr>
          <w:sz w:val="16"/>
          <w:szCs w:val="20"/>
        </w:rPr>
      </w:pPr>
      <w:r w:rsidRPr="00A2554A">
        <w:rPr>
          <w:sz w:val="16"/>
          <w:szCs w:val="20"/>
        </w:rPr>
        <w:t>Azul</w:t>
      </w:r>
      <w:r w:rsidR="00B0515A" w:rsidRPr="00A2554A">
        <w:rPr>
          <w:sz w:val="16"/>
          <w:szCs w:val="20"/>
        </w:rPr>
        <w:t>,</w:t>
      </w:r>
      <w:r w:rsidRPr="00A2554A">
        <w:rPr>
          <w:sz w:val="16"/>
          <w:szCs w:val="20"/>
        </w:rPr>
        <w:t xml:space="preserve"> amarillo, y rojo también,</w:t>
      </w:r>
    </w:p>
    <w:p w14:paraId="376F54BE" w14:textId="135016BA" w:rsidR="00066EE4" w:rsidRPr="00A2554A" w:rsidRDefault="00066EE4" w:rsidP="00066EE4">
      <w:pPr>
        <w:pStyle w:val="VersoIngls01Sangria"/>
        <w:rPr>
          <w:sz w:val="16"/>
          <w:szCs w:val="20"/>
        </w:rPr>
      </w:pPr>
      <w:r w:rsidRPr="00A2554A">
        <w:rPr>
          <w:sz w:val="16"/>
          <w:szCs w:val="20"/>
        </w:rPr>
        <w:t xml:space="preserve">Así </w:t>
      </w:r>
      <w:r w:rsidR="00081EE0" w:rsidRPr="00A2554A">
        <w:rPr>
          <w:sz w:val="16"/>
          <w:szCs w:val="20"/>
        </w:rPr>
        <w:t xml:space="preserve">y </w:t>
      </w:r>
      <w:r w:rsidRPr="00A2554A">
        <w:rPr>
          <w:sz w:val="16"/>
          <w:szCs w:val="20"/>
        </w:rPr>
        <w:t xml:space="preserve">de acuerdo con su </w:t>
      </w:r>
      <w:r w:rsidR="00081EE0" w:rsidRPr="00A2554A">
        <w:rPr>
          <w:sz w:val="16"/>
          <w:szCs w:val="20"/>
        </w:rPr>
        <w:t>voluntad</w:t>
      </w:r>
    </w:p>
    <w:p w14:paraId="4512C302" w14:textId="328F4D1A" w:rsidR="00066EE4" w:rsidRPr="00A2554A" w:rsidRDefault="00066EE4" w:rsidP="00066EE4">
      <w:pPr>
        <w:pStyle w:val="VersoIngls01Sangria"/>
        <w:spacing w:after="100"/>
        <w:ind w:left="1418"/>
        <w:rPr>
          <w:sz w:val="16"/>
          <w:szCs w:val="20"/>
        </w:rPr>
      </w:pPr>
      <w:r w:rsidRPr="00A2554A">
        <w:rPr>
          <w:sz w:val="16"/>
          <w:szCs w:val="20"/>
        </w:rPr>
        <w:t xml:space="preserve">Me convertía en lo que él </w:t>
      </w:r>
      <w:r w:rsidR="00B0515A" w:rsidRPr="00A2554A">
        <w:rPr>
          <w:sz w:val="16"/>
          <w:szCs w:val="20"/>
        </w:rPr>
        <w:t>hubiese</w:t>
      </w:r>
      <w:r w:rsidRPr="00A2554A">
        <w:rPr>
          <w:sz w:val="16"/>
          <w:szCs w:val="20"/>
        </w:rPr>
        <w:t xml:space="preserve"> deseado;</w:t>
      </w:r>
    </w:p>
    <w:p w14:paraId="7BCFF03A" w14:textId="020B5FCC" w:rsidR="00066EE4" w:rsidRPr="00A2554A" w:rsidRDefault="00066EE4" w:rsidP="00066EE4">
      <w:pPr>
        <w:pStyle w:val="VersoIngls01Sangria"/>
        <w:rPr>
          <w:sz w:val="16"/>
          <w:szCs w:val="20"/>
        </w:rPr>
      </w:pPr>
      <w:r w:rsidRPr="00A2554A">
        <w:rPr>
          <w:sz w:val="16"/>
          <w:szCs w:val="20"/>
        </w:rPr>
        <w:t>Convertía la tierra seca en agua,</w:t>
      </w:r>
    </w:p>
    <w:p w14:paraId="733FCC5D" w14:textId="70418D12" w:rsidR="00066EE4" w:rsidRPr="00A2554A" w:rsidRDefault="00081EE0" w:rsidP="00066EE4">
      <w:pPr>
        <w:pStyle w:val="VersoIngls01Sangria"/>
        <w:rPr>
          <w:sz w:val="16"/>
          <w:szCs w:val="20"/>
        </w:rPr>
      </w:pPr>
      <w:r w:rsidRPr="00A2554A">
        <w:rPr>
          <w:sz w:val="16"/>
          <w:szCs w:val="20"/>
        </w:rPr>
        <w:t xml:space="preserve">E igualmente </w:t>
      </w:r>
      <w:r w:rsidR="00066EE4" w:rsidRPr="00A2554A">
        <w:rPr>
          <w:sz w:val="16"/>
          <w:szCs w:val="20"/>
        </w:rPr>
        <w:t>el agua en tierra.</w:t>
      </w:r>
    </w:p>
    <w:p w14:paraId="7190102E" w14:textId="77777777" w:rsidR="00066EE4" w:rsidRPr="00A2554A" w:rsidRDefault="00066EE4" w:rsidP="00066EE4">
      <w:pPr>
        <w:pStyle w:val="VersoIngls01Sangria"/>
        <w:rPr>
          <w:sz w:val="16"/>
          <w:szCs w:val="20"/>
        </w:rPr>
      </w:pPr>
      <w:r w:rsidRPr="00A2554A">
        <w:rPr>
          <w:sz w:val="16"/>
          <w:szCs w:val="20"/>
        </w:rPr>
        <w:t>Ahora, si hubiera dado paso a la ira</w:t>
      </w:r>
    </w:p>
    <w:p w14:paraId="3EC9B36A" w14:textId="766574E0" w:rsidR="00066EE4" w:rsidRPr="00A2554A" w:rsidRDefault="00066EE4" w:rsidP="00066EE4">
      <w:pPr>
        <w:pStyle w:val="VersoIngls01Sangria"/>
        <w:spacing w:after="100"/>
        <w:ind w:left="1418"/>
        <w:rPr>
          <w:sz w:val="16"/>
          <w:szCs w:val="20"/>
        </w:rPr>
      </w:pPr>
      <w:r w:rsidRPr="00A2554A">
        <w:rPr>
          <w:sz w:val="16"/>
          <w:szCs w:val="20"/>
        </w:rPr>
        <w:t xml:space="preserve">Podría haberlo </w:t>
      </w:r>
      <w:r w:rsidR="00344BD3" w:rsidRPr="00A2554A">
        <w:rPr>
          <w:sz w:val="16"/>
          <w:szCs w:val="20"/>
        </w:rPr>
        <w:t>calcinado</w:t>
      </w:r>
      <w:r w:rsidRPr="00A2554A">
        <w:rPr>
          <w:sz w:val="16"/>
          <w:szCs w:val="20"/>
        </w:rPr>
        <w:t xml:space="preserve"> en cenizas,</w:t>
      </w:r>
    </w:p>
    <w:p w14:paraId="5AF4C957" w14:textId="537645BE" w:rsidR="00066EE4" w:rsidRPr="00A2554A" w:rsidRDefault="00066EE4" w:rsidP="00066EE4">
      <w:pPr>
        <w:pStyle w:val="VersoIngls01Sangria"/>
        <w:rPr>
          <w:sz w:val="16"/>
          <w:szCs w:val="20"/>
        </w:rPr>
      </w:pPr>
      <w:r w:rsidRPr="00A2554A">
        <w:rPr>
          <w:sz w:val="16"/>
          <w:szCs w:val="20"/>
        </w:rPr>
        <w:t xml:space="preserve">Si hubiera relajado el dominio de </w:t>
      </w:r>
      <w:r w:rsidR="00531179" w:rsidRPr="00A2554A">
        <w:rPr>
          <w:sz w:val="16"/>
          <w:szCs w:val="20"/>
        </w:rPr>
        <w:t>mi</w:t>
      </w:r>
      <w:r w:rsidRPr="00A2554A">
        <w:rPr>
          <w:sz w:val="16"/>
          <w:szCs w:val="20"/>
        </w:rPr>
        <w:t xml:space="preserve"> mente</w:t>
      </w:r>
    </w:p>
    <w:p w14:paraId="7BDCF4A8" w14:textId="30CA5564" w:rsidR="00066EE4" w:rsidRPr="00A2554A" w:rsidRDefault="00531179" w:rsidP="00066EE4">
      <w:pPr>
        <w:pStyle w:val="VersoIngls01Sangria"/>
        <w:rPr>
          <w:sz w:val="16"/>
          <w:szCs w:val="20"/>
        </w:rPr>
      </w:pPr>
      <w:r w:rsidRPr="00A2554A">
        <w:rPr>
          <w:sz w:val="16"/>
          <w:szCs w:val="20"/>
        </w:rPr>
        <w:t xml:space="preserve">Habría </w:t>
      </w:r>
      <w:r w:rsidR="00066EE4" w:rsidRPr="00A2554A">
        <w:rPr>
          <w:sz w:val="16"/>
          <w:szCs w:val="20"/>
        </w:rPr>
        <w:t xml:space="preserve">dejado que mi virtud </w:t>
      </w:r>
      <w:r w:rsidRPr="00A2554A">
        <w:rPr>
          <w:sz w:val="16"/>
          <w:szCs w:val="20"/>
        </w:rPr>
        <w:t>col</w:t>
      </w:r>
      <w:r w:rsidR="001E50F5" w:rsidRPr="00A2554A">
        <w:rPr>
          <w:sz w:val="16"/>
          <w:szCs w:val="20"/>
        </w:rPr>
        <w:t>a</w:t>
      </w:r>
      <w:r w:rsidRPr="00A2554A">
        <w:rPr>
          <w:sz w:val="16"/>
          <w:szCs w:val="20"/>
        </w:rPr>
        <w:t>psar</w:t>
      </w:r>
      <w:r w:rsidR="001E50F5" w:rsidRPr="00A2554A">
        <w:rPr>
          <w:sz w:val="16"/>
          <w:szCs w:val="20"/>
        </w:rPr>
        <w:t>a</w:t>
      </w:r>
      <w:r w:rsidR="00066EE4" w:rsidRPr="00A2554A">
        <w:rPr>
          <w:sz w:val="16"/>
          <w:szCs w:val="20"/>
        </w:rPr>
        <w:t>;</w:t>
      </w:r>
    </w:p>
    <w:p w14:paraId="66A2BA01" w14:textId="47C43D10" w:rsidR="00066EE4" w:rsidRPr="00A2554A" w:rsidRDefault="00066EE4" w:rsidP="00066EE4">
      <w:pPr>
        <w:pStyle w:val="VersoIngls01Sangria"/>
        <w:rPr>
          <w:sz w:val="16"/>
          <w:szCs w:val="20"/>
        </w:rPr>
      </w:pPr>
      <w:r w:rsidRPr="00A2554A">
        <w:rPr>
          <w:sz w:val="16"/>
          <w:szCs w:val="20"/>
        </w:rPr>
        <w:t>Y el que dej</w:t>
      </w:r>
      <w:r w:rsidR="001E50F5" w:rsidRPr="00A2554A">
        <w:rPr>
          <w:sz w:val="16"/>
          <w:szCs w:val="20"/>
        </w:rPr>
        <w:t>e</w:t>
      </w:r>
      <w:r w:rsidRPr="00A2554A">
        <w:rPr>
          <w:sz w:val="16"/>
          <w:szCs w:val="20"/>
        </w:rPr>
        <w:t xml:space="preserve"> </w:t>
      </w:r>
      <w:r w:rsidR="001E50F5" w:rsidRPr="00A2554A">
        <w:rPr>
          <w:sz w:val="16"/>
          <w:szCs w:val="20"/>
        </w:rPr>
        <w:t xml:space="preserve">colapsar </w:t>
      </w:r>
      <w:r w:rsidRPr="00A2554A">
        <w:rPr>
          <w:sz w:val="16"/>
          <w:szCs w:val="20"/>
        </w:rPr>
        <w:t>su virtud</w:t>
      </w:r>
    </w:p>
    <w:p w14:paraId="0BC6A4A3" w14:textId="569A5655" w:rsidR="00066EE4" w:rsidRPr="00A2554A" w:rsidRDefault="00066EE4" w:rsidP="00066EE4">
      <w:pPr>
        <w:pStyle w:val="VersoIngls01Sangria"/>
        <w:spacing w:after="100"/>
        <w:ind w:left="1418"/>
        <w:rPr>
          <w:sz w:val="16"/>
          <w:szCs w:val="20"/>
        </w:rPr>
      </w:pPr>
      <w:r w:rsidRPr="00A2554A">
        <w:rPr>
          <w:sz w:val="16"/>
          <w:szCs w:val="20"/>
        </w:rPr>
        <w:t xml:space="preserve">No </w:t>
      </w:r>
      <w:r w:rsidR="001E50F5" w:rsidRPr="00A2554A">
        <w:rPr>
          <w:sz w:val="16"/>
          <w:szCs w:val="20"/>
        </w:rPr>
        <w:t xml:space="preserve">podrá consumar </w:t>
      </w:r>
      <w:r w:rsidRPr="00A2554A">
        <w:rPr>
          <w:sz w:val="16"/>
          <w:szCs w:val="20"/>
        </w:rPr>
        <w:t xml:space="preserve">la más </w:t>
      </w:r>
      <w:r w:rsidR="001E50F5" w:rsidRPr="00A2554A">
        <w:rPr>
          <w:sz w:val="16"/>
          <w:szCs w:val="20"/>
        </w:rPr>
        <w:t>elevada</w:t>
      </w:r>
      <w:r w:rsidR="00FA257E" w:rsidRPr="00A2554A">
        <w:rPr>
          <w:sz w:val="16"/>
          <w:szCs w:val="20"/>
        </w:rPr>
        <w:t xml:space="preserve"> meta</w:t>
      </w:r>
      <w:r w:rsidRPr="00A2554A">
        <w:rPr>
          <w:sz w:val="16"/>
          <w:szCs w:val="20"/>
        </w:rPr>
        <w:t>” (</w:t>
      </w:r>
      <w:proofErr w:type="spellStart"/>
      <w:r w:rsidRPr="00A2554A">
        <w:rPr>
          <w:sz w:val="16"/>
          <w:szCs w:val="20"/>
        </w:rPr>
        <w:t>Cp</w:t>
      </w:r>
      <w:proofErr w:type="spellEnd"/>
      <w:r w:rsidRPr="00A2554A">
        <w:rPr>
          <w:sz w:val="16"/>
          <w:szCs w:val="20"/>
        </w:rPr>
        <w:t xml:space="preserve"> 85).</w:t>
      </w:r>
    </w:p>
    <w:p w14:paraId="53032996" w14:textId="185C0985" w:rsidR="00066EE4" w:rsidRDefault="00066EE4" w:rsidP="00066EE4">
      <w:r>
        <w:t xml:space="preserve">34. </w:t>
      </w:r>
      <w:r>
        <w:tab/>
        <w:t xml:space="preserve">“Y cuando él </w:t>
      </w:r>
      <w:r w:rsidR="001E50F5">
        <w:t>fue</w:t>
      </w:r>
      <w:r>
        <w:t xml:space="preserve"> </w:t>
      </w:r>
      <w:proofErr w:type="spellStart"/>
      <w:r w:rsidR="007B7D35">
        <w:t>Saṅkhapāla</w:t>
      </w:r>
      <w:proofErr w:type="spellEnd"/>
      <w:r w:rsidR="007B7D35">
        <w:t xml:space="preserve">, </w:t>
      </w:r>
      <w:r>
        <w:t xml:space="preserve">el </w:t>
      </w:r>
      <w:proofErr w:type="spellStart"/>
      <w:r w:rsidR="003E449E" w:rsidRPr="003E449E">
        <w:rPr>
          <w:i/>
          <w:iCs/>
        </w:rPr>
        <w:t>Nāga</w:t>
      </w:r>
      <w:proofErr w:type="spellEnd"/>
      <w:r w:rsidR="003E449E">
        <w:t xml:space="preserve"> </w:t>
      </w:r>
      <w:r>
        <w:t xml:space="preserve">real, mientras dieciséis muchachos de </w:t>
      </w:r>
      <w:r w:rsidR="00D47967">
        <w:t>un</w:t>
      </w:r>
      <w:r>
        <w:t xml:space="preserve">a aldea </w:t>
      </w:r>
      <w:r w:rsidR="00896F0B">
        <w:t>se encontraban llevándolo</w:t>
      </w:r>
      <w:r>
        <w:t xml:space="preserve"> en un poste de transporte</w:t>
      </w:r>
      <w:r w:rsidR="00896F0B">
        <w:t>,</w:t>
      </w:r>
      <w:r>
        <w:t xml:space="preserve"> después de que lo hirier</w:t>
      </w:r>
      <w:r w:rsidR="00330510">
        <w:t>a</w:t>
      </w:r>
      <w:r>
        <w:t xml:space="preserve">n en ocho </w:t>
      </w:r>
      <w:r w:rsidR="00D47967">
        <w:t>partes de su cuerpo</w:t>
      </w:r>
      <w:r>
        <w:t xml:space="preserve"> con lanzas afiladas e insertar</w:t>
      </w:r>
      <w:r w:rsidR="00330510">
        <w:t>a</w:t>
      </w:r>
      <w:r>
        <w:t>n enredaderas espinosas en los orificios de las heridas, y mientras, después de pasarle una cuerda fuerte por la nariz, l</w:t>
      </w:r>
      <w:r w:rsidR="00896F0B">
        <w:t>e</w:t>
      </w:r>
      <w:r>
        <w:t xml:space="preserve"> </w:t>
      </w:r>
      <w:r w:rsidR="00330510">
        <w:t>estuvieron</w:t>
      </w:r>
      <w:r>
        <w:t xml:space="preserve"> causando gran agonía al arrastrarlo</w:t>
      </w:r>
      <w:r w:rsidR="00AD747F">
        <w:t>,</w:t>
      </w:r>
      <w:r>
        <w:t xml:space="preserve"> golpea</w:t>
      </w:r>
      <w:r w:rsidR="00896F0B">
        <w:t>ron</w:t>
      </w:r>
      <w:r>
        <w:t xml:space="preserve"> su cuerpo contra la superficie del suelo, aunque </w:t>
      </w:r>
      <w:r w:rsidR="00330510">
        <w:t xml:space="preserve">fuese </w:t>
      </w:r>
      <w:r>
        <w:t>capaz de convertir a esos muchachos de pueblo en cenizas con una simple mirada, sin embargo, no lo hizo</w:t>
      </w:r>
      <w:r w:rsidR="00330510">
        <w:t>,</w:t>
      </w:r>
      <w:r>
        <w:t xml:space="preserve"> </w:t>
      </w:r>
      <w:r w:rsidR="0039259B">
        <w:t xml:space="preserve">ni </w:t>
      </w:r>
      <w:r>
        <w:t>inclus</w:t>
      </w:r>
      <w:r w:rsidR="00330510">
        <w:t>ive</w:t>
      </w:r>
      <w:r>
        <w:t xml:space="preserve"> mostr</w:t>
      </w:r>
      <w:r w:rsidR="006820D5">
        <w:t>ó</w:t>
      </w:r>
      <w:r>
        <w:t xml:space="preserve"> el menor rastro de odio al abrir los ojos, según se dice:</w:t>
      </w:r>
    </w:p>
    <w:p w14:paraId="36AFB540" w14:textId="77777777" w:rsidR="00066EE4" w:rsidRDefault="00066EE4">
      <w:pPr>
        <w:tabs>
          <w:tab w:val="clear" w:pos="425"/>
        </w:tabs>
        <w:spacing w:after="160"/>
      </w:pPr>
      <w:r>
        <w:br w:type="page"/>
      </w:r>
    </w:p>
    <w:p w14:paraId="052AC37C" w14:textId="77777777" w:rsidR="008E721B" w:rsidRDefault="008E721B" w:rsidP="00066EE4"/>
    <w:p w14:paraId="041F1AFC" w14:textId="77777777" w:rsidR="00541CB0" w:rsidRPr="00346886" w:rsidRDefault="00541CB0" w:rsidP="00E46251">
      <w:pPr>
        <w:pStyle w:val="VersoIngls01Sangria"/>
        <w:rPr>
          <w:sz w:val="16"/>
          <w:szCs w:val="20"/>
        </w:rPr>
      </w:pPr>
      <w:r w:rsidRPr="00346886">
        <w:rPr>
          <w:sz w:val="16"/>
          <w:szCs w:val="20"/>
        </w:rPr>
        <w:t xml:space="preserve">Los días catorce y quince también, </w:t>
      </w:r>
      <w:proofErr w:type="spellStart"/>
      <w:r w:rsidRPr="00346886">
        <w:rPr>
          <w:sz w:val="16"/>
          <w:szCs w:val="20"/>
        </w:rPr>
        <w:t>Āḷāra</w:t>
      </w:r>
      <w:proofErr w:type="spellEnd"/>
      <w:r w:rsidRPr="00346886">
        <w:rPr>
          <w:sz w:val="16"/>
          <w:szCs w:val="20"/>
        </w:rPr>
        <w:t>,</w:t>
      </w:r>
    </w:p>
    <w:p w14:paraId="385AF5E9" w14:textId="77777777" w:rsidR="00541CB0" w:rsidRPr="00346886" w:rsidRDefault="00541CB0" w:rsidP="00E46251">
      <w:pPr>
        <w:pStyle w:val="VersoIngls01Sangria"/>
        <w:rPr>
          <w:sz w:val="16"/>
          <w:szCs w:val="20"/>
        </w:rPr>
      </w:pPr>
      <w:r w:rsidRPr="00346886">
        <w:rPr>
          <w:sz w:val="16"/>
          <w:szCs w:val="20"/>
        </w:rPr>
        <w:t>Guardé regularmente el Día Santo,</w:t>
      </w:r>
    </w:p>
    <w:p w14:paraId="1498C69C" w14:textId="1DE5EF56" w:rsidR="00541CB0" w:rsidRPr="00346886" w:rsidRDefault="00541CB0" w:rsidP="00E46251">
      <w:pPr>
        <w:pStyle w:val="VersoIngls01Sangria"/>
        <w:rPr>
          <w:sz w:val="16"/>
          <w:szCs w:val="20"/>
        </w:rPr>
      </w:pPr>
      <w:r w:rsidRPr="00346886">
        <w:rPr>
          <w:sz w:val="16"/>
          <w:szCs w:val="20"/>
        </w:rPr>
        <w:t>Hasta que llegaron dieciséis muchachos de</w:t>
      </w:r>
      <w:r w:rsidR="006820D5" w:rsidRPr="00346886">
        <w:rPr>
          <w:sz w:val="16"/>
          <w:szCs w:val="20"/>
        </w:rPr>
        <w:t xml:space="preserve"> un</w:t>
      </w:r>
      <w:r w:rsidRPr="00346886">
        <w:rPr>
          <w:sz w:val="16"/>
          <w:szCs w:val="20"/>
        </w:rPr>
        <w:t xml:space="preserve"> pueblo</w:t>
      </w:r>
    </w:p>
    <w:p w14:paraId="440815C7" w14:textId="6E272A9A" w:rsidR="00541CB0" w:rsidRPr="00346886" w:rsidRDefault="00541CB0" w:rsidP="00E46251">
      <w:pPr>
        <w:pStyle w:val="VersoIngls01Sangria"/>
        <w:spacing w:after="100"/>
        <w:ind w:left="1418"/>
        <w:rPr>
          <w:sz w:val="16"/>
          <w:szCs w:val="20"/>
        </w:rPr>
      </w:pPr>
      <w:r w:rsidRPr="00346886">
        <w:rPr>
          <w:sz w:val="16"/>
          <w:szCs w:val="20"/>
        </w:rPr>
        <w:t xml:space="preserve">Llevando una cuerda y </w:t>
      </w:r>
      <w:r w:rsidR="006820D5" w:rsidRPr="00346886">
        <w:rPr>
          <w:sz w:val="16"/>
          <w:szCs w:val="20"/>
        </w:rPr>
        <w:t xml:space="preserve">también </w:t>
      </w:r>
      <w:r w:rsidRPr="00346886">
        <w:rPr>
          <w:sz w:val="16"/>
          <w:szCs w:val="20"/>
        </w:rPr>
        <w:t>una lanza robusta.</w:t>
      </w:r>
    </w:p>
    <w:p w14:paraId="05385B99" w14:textId="77777777" w:rsidR="00541CB0" w:rsidRPr="00346886" w:rsidRDefault="00541CB0" w:rsidP="00E46251">
      <w:pPr>
        <w:pStyle w:val="VersoIngls01Sangria"/>
        <w:rPr>
          <w:sz w:val="16"/>
          <w:szCs w:val="20"/>
        </w:rPr>
      </w:pPr>
      <w:r w:rsidRPr="00346886">
        <w:rPr>
          <w:sz w:val="16"/>
          <w:szCs w:val="20"/>
        </w:rPr>
        <w:t>Los cazadores me abrieron la nariz, y a través de la hendidura</w:t>
      </w:r>
    </w:p>
    <w:p w14:paraId="5E1EAA10" w14:textId="4B39D319" w:rsidR="00541CB0" w:rsidRPr="00346886" w:rsidRDefault="00541CB0" w:rsidP="00E46251">
      <w:pPr>
        <w:pStyle w:val="VersoIngls01Sangria"/>
        <w:rPr>
          <w:sz w:val="16"/>
          <w:szCs w:val="20"/>
        </w:rPr>
      </w:pPr>
      <w:r w:rsidRPr="00346886">
        <w:rPr>
          <w:sz w:val="16"/>
          <w:szCs w:val="20"/>
        </w:rPr>
        <w:t xml:space="preserve">Pasaron una cuerda y </w:t>
      </w:r>
      <w:r w:rsidR="00FA257E" w:rsidRPr="00346886">
        <w:rPr>
          <w:sz w:val="16"/>
          <w:szCs w:val="20"/>
        </w:rPr>
        <w:t xml:space="preserve">así </w:t>
      </w:r>
      <w:r w:rsidRPr="00346886">
        <w:rPr>
          <w:sz w:val="16"/>
          <w:szCs w:val="20"/>
        </w:rPr>
        <w:t>me arrastraron.</w:t>
      </w:r>
    </w:p>
    <w:p w14:paraId="596F0B77" w14:textId="29B3F118" w:rsidR="00541CB0" w:rsidRPr="00346886" w:rsidRDefault="00541CB0" w:rsidP="00E46251">
      <w:pPr>
        <w:pStyle w:val="VersoIngls01Sangria"/>
        <w:rPr>
          <w:sz w:val="16"/>
          <w:szCs w:val="20"/>
        </w:rPr>
      </w:pPr>
      <w:r w:rsidRPr="00346886">
        <w:rPr>
          <w:sz w:val="16"/>
          <w:szCs w:val="20"/>
        </w:rPr>
        <w:t xml:space="preserve">Pero aunque sentí una </w:t>
      </w:r>
      <w:r w:rsidR="00DD1AED" w:rsidRPr="00346886">
        <w:rPr>
          <w:sz w:val="16"/>
          <w:szCs w:val="20"/>
        </w:rPr>
        <w:t xml:space="preserve">gran </w:t>
      </w:r>
      <w:r w:rsidRPr="00346886">
        <w:rPr>
          <w:sz w:val="16"/>
          <w:szCs w:val="20"/>
        </w:rPr>
        <w:t xml:space="preserve">agonía </w:t>
      </w:r>
      <w:r w:rsidR="00DD1AED" w:rsidRPr="00346886">
        <w:rPr>
          <w:sz w:val="16"/>
          <w:szCs w:val="20"/>
        </w:rPr>
        <w:t>muy</w:t>
      </w:r>
      <w:r w:rsidRPr="00346886">
        <w:rPr>
          <w:sz w:val="16"/>
          <w:szCs w:val="20"/>
        </w:rPr>
        <w:t xml:space="preserve"> </w:t>
      </w:r>
      <w:r w:rsidR="00FA257E" w:rsidRPr="00346886">
        <w:rPr>
          <w:sz w:val="16"/>
          <w:szCs w:val="20"/>
        </w:rPr>
        <w:t>estremecedora</w:t>
      </w:r>
      <w:r w:rsidRPr="00346886">
        <w:rPr>
          <w:sz w:val="16"/>
          <w:szCs w:val="20"/>
        </w:rPr>
        <w:t>,</w:t>
      </w:r>
    </w:p>
    <w:p w14:paraId="1417C467" w14:textId="7790ADBB" w:rsidR="00541CB0" w:rsidRPr="00346886" w:rsidRDefault="00541CB0" w:rsidP="00E46251">
      <w:pPr>
        <w:pStyle w:val="VersoIngls01Sangria"/>
        <w:spacing w:after="100"/>
        <w:ind w:left="1418"/>
        <w:rPr>
          <w:sz w:val="16"/>
          <w:szCs w:val="20"/>
        </w:rPr>
      </w:pPr>
      <w:r w:rsidRPr="00346886">
        <w:rPr>
          <w:sz w:val="16"/>
          <w:szCs w:val="20"/>
        </w:rPr>
        <w:t>No permit</w:t>
      </w:r>
      <w:r w:rsidR="00FA257E" w:rsidRPr="00346886">
        <w:rPr>
          <w:sz w:val="16"/>
          <w:szCs w:val="20"/>
        </w:rPr>
        <w:t>í</w:t>
      </w:r>
      <w:r w:rsidRPr="00346886">
        <w:rPr>
          <w:sz w:val="16"/>
          <w:szCs w:val="20"/>
        </w:rPr>
        <w:t xml:space="preserve"> que el odio turb</w:t>
      </w:r>
      <w:r w:rsidR="00FA257E" w:rsidRPr="00346886">
        <w:rPr>
          <w:sz w:val="16"/>
          <w:szCs w:val="20"/>
        </w:rPr>
        <w:t>ase</w:t>
      </w:r>
      <w:r w:rsidRPr="00346886">
        <w:rPr>
          <w:sz w:val="16"/>
          <w:szCs w:val="20"/>
        </w:rPr>
        <w:t xml:space="preserve"> mi día santo” (J-a V 172). [305]</w:t>
      </w:r>
    </w:p>
    <w:p w14:paraId="6ED653AB" w14:textId="502F212A" w:rsidR="00541CB0" w:rsidRDefault="00541CB0" w:rsidP="00541CB0">
      <w:r>
        <w:t xml:space="preserve">35. </w:t>
      </w:r>
      <w:r w:rsidR="00E46251">
        <w:tab/>
      </w:r>
      <w:r>
        <w:t>“Y realizó no solo est</w:t>
      </w:r>
      <w:r w:rsidR="00DD1AED">
        <w:t>o</w:t>
      </w:r>
      <w:r>
        <w:t xml:space="preserve">s </w:t>
      </w:r>
      <w:r w:rsidR="00DD1AED">
        <w:t>prodigios</w:t>
      </w:r>
      <w:r>
        <w:t>, sino también much</w:t>
      </w:r>
      <w:r w:rsidR="00DD1AED">
        <w:t>o</w:t>
      </w:r>
      <w:r>
        <w:t>s otr</w:t>
      </w:r>
      <w:r w:rsidR="00DD1AED">
        <w:t>o</w:t>
      </w:r>
      <w:r>
        <w:t>s, como l</w:t>
      </w:r>
      <w:r w:rsidR="00DD1AED">
        <w:t>o</w:t>
      </w:r>
      <w:r>
        <w:t xml:space="preserve">s que se cuentan en la </w:t>
      </w:r>
      <w:r w:rsidR="00DD1AED" w:rsidRPr="00DD1AED">
        <w:t xml:space="preserve">historia </w:t>
      </w:r>
      <w:r w:rsidRPr="00DD1AED">
        <w:t xml:space="preserve">del </w:t>
      </w:r>
      <w:r w:rsidR="00DD1AED">
        <w:t>re</w:t>
      </w:r>
      <w:r w:rsidRPr="00DD1AED">
        <w:t>nacimiento</w:t>
      </w:r>
      <w:r w:rsidRPr="003E449E">
        <w:rPr>
          <w:i/>
          <w:iCs/>
        </w:rPr>
        <w:t xml:space="preserve"> </w:t>
      </w:r>
      <w:proofErr w:type="spellStart"/>
      <w:r w:rsidRPr="003E449E">
        <w:rPr>
          <w:i/>
          <w:iCs/>
        </w:rPr>
        <w:t>Mātuposaka</w:t>
      </w:r>
      <w:proofErr w:type="spellEnd"/>
      <w:r>
        <w:t xml:space="preserve"> </w:t>
      </w:r>
      <w:proofErr w:type="spellStart"/>
      <w:r w:rsidR="00DD1AED">
        <w:rPr>
          <w:i/>
          <w:iCs/>
        </w:rPr>
        <w:t>Jātaka</w:t>
      </w:r>
      <w:proofErr w:type="spellEnd"/>
      <w:r w:rsidR="00DD1AED">
        <w:rPr>
          <w:i/>
          <w:iCs/>
        </w:rPr>
        <w:t xml:space="preserve"> </w:t>
      </w:r>
      <w:r>
        <w:t xml:space="preserve">(J-a IV 90). Ahora bien, </w:t>
      </w:r>
      <w:r w:rsidR="00312DC7">
        <w:t>sería</w:t>
      </w:r>
      <w:r>
        <w:t xml:space="preserve"> impropio e </w:t>
      </w:r>
      <w:r w:rsidR="00EB3139">
        <w:t>indebido</w:t>
      </w:r>
      <w:r>
        <w:t xml:space="preserve"> en el más alto grado para ti despertar pensamientos de resentimiento, ya que estás emulando </w:t>
      </w:r>
      <w:r w:rsidR="00DD1AED">
        <w:t>a</w:t>
      </w:r>
      <w:r>
        <w:t xml:space="preserve"> tu Maestro</w:t>
      </w:r>
      <w:r w:rsidR="00312DC7">
        <w:t>,</w:t>
      </w:r>
      <w:r>
        <w:t xml:space="preserve"> a ese </w:t>
      </w:r>
      <w:r w:rsidR="00DD1AED" w:rsidRPr="00DD1AED">
        <w:rPr>
          <w:i/>
          <w:iCs/>
        </w:rPr>
        <w:t>Bhagavā</w:t>
      </w:r>
      <w:r>
        <w:t xml:space="preserve"> que alcanzó la omnisciencia y que no tiene </w:t>
      </w:r>
      <w:r w:rsidR="00DD1AED">
        <w:t>par</w:t>
      </w:r>
      <w:r>
        <w:t xml:space="preserve"> en la cualidad especial de la paciencia</w:t>
      </w:r>
      <w:r w:rsidR="00DD1AED" w:rsidRPr="00DD1AED">
        <w:t xml:space="preserve"> </w:t>
      </w:r>
      <w:r w:rsidR="00DD1AED">
        <w:t>en e</w:t>
      </w:r>
      <w:r w:rsidR="00312DC7">
        <w:t>ste</w:t>
      </w:r>
      <w:r w:rsidR="00DD1AED">
        <w:t xml:space="preserve"> mundo con todas sus </w:t>
      </w:r>
      <w:r w:rsidR="00312DC7">
        <w:t>divinidades</w:t>
      </w:r>
      <w:r>
        <w:t>.”</w:t>
      </w:r>
    </w:p>
    <w:p w14:paraId="2F54C66D" w14:textId="76688DD7" w:rsidR="00541CB0" w:rsidRDefault="00541CB0" w:rsidP="00541CB0">
      <w:r>
        <w:t xml:space="preserve">36. </w:t>
      </w:r>
      <w:r w:rsidR="00E46251">
        <w:tab/>
      </w:r>
      <w:r>
        <w:t xml:space="preserve">Pero si, mientras </w:t>
      </w:r>
      <w:r w:rsidR="00312DC7">
        <w:t xml:space="preserve">el </w:t>
      </w:r>
      <w:r>
        <w:t>revisa</w:t>
      </w:r>
      <w:r w:rsidR="00312DC7">
        <w:t>se</w:t>
      </w:r>
      <w:r>
        <w:t xml:space="preserve"> las cualidades especiales de la conducta del </w:t>
      </w:r>
      <w:r w:rsidR="00344B19" w:rsidRPr="00344B19">
        <w:rPr>
          <w:i/>
          <w:iCs/>
        </w:rPr>
        <w:t>Bhagavā</w:t>
      </w:r>
      <w:r w:rsidR="00344B19">
        <w:t xml:space="preserve"> </w:t>
      </w:r>
      <w:r w:rsidR="00BE67D8">
        <w:t>mencionada</w:t>
      </w:r>
      <w:r w:rsidR="00344B19">
        <w:t>s</w:t>
      </w:r>
      <w:r>
        <w:t xml:space="preserve">, </w:t>
      </w:r>
      <w:r w:rsidR="00BE67D8">
        <w:t xml:space="preserve">aún </w:t>
      </w:r>
      <w:r>
        <w:t>no se calma</w:t>
      </w:r>
      <w:r w:rsidR="00BE67D8">
        <w:t>se</w:t>
      </w:r>
      <w:r>
        <w:t xml:space="preserve"> en él</w:t>
      </w:r>
      <w:r w:rsidR="00BE67D8" w:rsidRPr="00BE67D8">
        <w:t xml:space="preserve"> </w:t>
      </w:r>
      <w:r w:rsidR="00BE67D8">
        <w:t>el resentimiento</w:t>
      </w:r>
      <w:r>
        <w:t>, ya que ha estado acostumbrado durante mucho tiempo a la esclavitud de la corrupción, entonces debe</w:t>
      </w:r>
      <w:r w:rsidR="00BE67D8">
        <w:t>rá</w:t>
      </w:r>
      <w:r>
        <w:t xml:space="preserve"> revisar los </w:t>
      </w:r>
      <w:r w:rsidRPr="00BE67D8">
        <w:rPr>
          <w:i/>
          <w:iCs/>
        </w:rPr>
        <w:t>suttas</w:t>
      </w:r>
      <w:r>
        <w:t xml:space="preserve"> que tratan sobre la </w:t>
      </w:r>
      <w:r w:rsidR="002F1B63">
        <w:t>ausencia</w:t>
      </w:r>
      <w:r>
        <w:t xml:space="preserve"> de comienzo de </w:t>
      </w:r>
      <w:r w:rsidR="002F1B63">
        <w:t xml:space="preserve">este ciclo </w:t>
      </w:r>
      <w:r>
        <w:t>de renacimientos. Esto es lo que se dice</w:t>
      </w:r>
      <w:r w:rsidR="002F1B63">
        <w:t xml:space="preserve"> al respecto</w:t>
      </w:r>
      <w:r>
        <w:t>: “</w:t>
      </w:r>
      <w:proofErr w:type="spellStart"/>
      <w:r w:rsidR="00057BF4" w:rsidRPr="00057BF4">
        <w:rPr>
          <w:i/>
          <w:iCs/>
        </w:rPr>
        <w:t>Bhikkhu</w:t>
      </w:r>
      <w:r w:rsidRPr="003E449E">
        <w:rPr>
          <w:i/>
          <w:iCs/>
        </w:rPr>
        <w:t>s</w:t>
      </w:r>
      <w:proofErr w:type="spellEnd"/>
      <w:r>
        <w:t xml:space="preserve">, no es fácil encontrar </w:t>
      </w:r>
      <w:r w:rsidR="002F1B63">
        <w:t xml:space="preserve">a </w:t>
      </w:r>
      <w:r>
        <w:t xml:space="preserve">un ser que no haya sido antes vuestra madre… vuestro padre… vuestro hermano… vuestra hermana… vuestro hijo… vuestra hija” (S II 189–90). En </w:t>
      </w:r>
      <w:r w:rsidR="003E449E">
        <w:t>consecuencia,</w:t>
      </w:r>
      <w:r>
        <w:t xml:space="preserve"> debe</w:t>
      </w:r>
      <w:r w:rsidR="00954414">
        <w:t>rá</w:t>
      </w:r>
      <w:r>
        <w:t xml:space="preserve"> pensar</w:t>
      </w:r>
      <w:r w:rsidR="00954414">
        <w:t>se</w:t>
      </w:r>
      <w:r>
        <w:t xml:space="preserve"> en esa persona </w:t>
      </w:r>
      <w:r w:rsidR="00F162D4">
        <w:t>de la siguiente manera</w:t>
      </w:r>
      <w:r>
        <w:t xml:space="preserve">: “Esta persona, al parecer, como mi madre en el pasado me llevó en su vientre durante diez meses y </w:t>
      </w:r>
      <w:r w:rsidR="009257DA">
        <w:t>me parió</w:t>
      </w:r>
      <w:r>
        <w:t xml:space="preserve"> sin disgusto, como si fuera </w:t>
      </w:r>
      <w:r w:rsidR="009257DA">
        <w:t xml:space="preserve">un </w:t>
      </w:r>
      <w:r>
        <w:t xml:space="preserve">sándalo amarillo, </w:t>
      </w:r>
      <w:r w:rsidR="00EB3139">
        <w:t xml:space="preserve">con </w:t>
      </w:r>
      <w:r>
        <w:t>mi orina, excremento, saliva, mocos, etc., y jug</w:t>
      </w:r>
      <w:r w:rsidR="009257DA">
        <w:t>ó</w:t>
      </w:r>
      <w:r>
        <w:t xml:space="preserve"> conmigo en su regazo, y me aliment</w:t>
      </w:r>
      <w:r w:rsidR="009257DA">
        <w:t>ó</w:t>
      </w:r>
      <w:r>
        <w:t>, cargándome en su</w:t>
      </w:r>
      <w:r w:rsidR="009257DA">
        <w:t>s</w:t>
      </w:r>
      <w:r>
        <w:t xml:space="preserve"> cadera</w:t>
      </w:r>
      <w:r w:rsidR="009257DA">
        <w:t>s</w:t>
      </w:r>
      <w:r>
        <w:t xml:space="preserve">. Y esta persona, como mi padre, iba </w:t>
      </w:r>
      <w:r w:rsidR="008F3391">
        <w:t>a través de</w:t>
      </w:r>
      <w:r>
        <w:t xml:space="preserve"> caminos de cabras y caminos sobre pilotes,</w:t>
      </w:r>
      <w:r w:rsidRPr="00422826">
        <w:rPr>
          <w:vertAlign w:val="superscript"/>
        </w:rPr>
        <w:t>5</w:t>
      </w:r>
      <w:r>
        <w:t xml:space="preserve"> etc., para ejercer el oficio de comerciante, y arriesgó su vida por mí </w:t>
      </w:r>
      <w:r w:rsidR="008F3391">
        <w:t xml:space="preserve">acudiendo </w:t>
      </w:r>
      <w:r>
        <w:t>a batalla</w:t>
      </w:r>
      <w:r w:rsidR="008F3391">
        <w:t>s</w:t>
      </w:r>
      <w:r>
        <w:t xml:space="preserve"> en doble formación, navegando </w:t>
      </w:r>
      <w:r w:rsidR="00BD2B8E">
        <w:t>por</w:t>
      </w:r>
      <w:r>
        <w:t xml:space="preserve"> el gran océano en barcos y haciendo otras cosas difíciles, y me alimentó trayendo riquezas de una u otra manera pensando en alimentar a sus hijos. Y como mi hermano, hermana, hijo, hija, esta persona me dio tal y </w:t>
      </w:r>
      <w:r w:rsidR="00BD2B8E">
        <w:t>cu</w:t>
      </w:r>
      <w:r>
        <w:t xml:space="preserve">al ayuda. Por lo tanto, </w:t>
      </w:r>
      <w:r w:rsidR="008F3391">
        <w:t xml:space="preserve">sería </w:t>
      </w:r>
      <w:r>
        <w:t>impropio de mi parte albergar odio hacia él en mi mente”.</w:t>
      </w:r>
    </w:p>
    <w:p w14:paraId="41303D3A" w14:textId="28D53545" w:rsidR="00541CB0" w:rsidRDefault="00541CB0" w:rsidP="00541CB0">
      <w:r>
        <w:t xml:space="preserve">37. </w:t>
      </w:r>
      <w:r w:rsidR="00E46251">
        <w:tab/>
      </w:r>
      <w:r>
        <w:t xml:space="preserve">Pero si todavía </w:t>
      </w:r>
      <w:r w:rsidR="00950F2C">
        <w:t>fuese</w:t>
      </w:r>
      <w:r>
        <w:t xml:space="preserve"> incapaz de apagar </w:t>
      </w:r>
      <w:r w:rsidR="00950F2C">
        <w:t xml:space="preserve">así tal </w:t>
      </w:r>
      <w:r w:rsidR="00EB3139">
        <w:t>resentimiento</w:t>
      </w:r>
      <w:r>
        <w:t>, entonces debe</w:t>
      </w:r>
      <w:r w:rsidR="00950F2C">
        <w:t>rá</w:t>
      </w:r>
      <w:r>
        <w:t xml:space="preserve"> repasar las ventajas de</w:t>
      </w:r>
      <w:r w:rsidR="00950F2C">
        <w:t xml:space="preserve">l </w:t>
      </w:r>
      <w:r w:rsidR="00E44858" w:rsidRPr="0082231D">
        <w:rPr>
          <w:i/>
          <w:iCs/>
        </w:rPr>
        <w:t>amor–benevolente</w:t>
      </w:r>
      <w:r>
        <w:t xml:space="preserve"> de la siguiente manera: “Ahora, tú que has </w:t>
      </w:r>
      <w:r w:rsidR="00C9089A">
        <w:t>part</w:t>
      </w:r>
      <w:r>
        <w:t xml:space="preserve">ido </w:t>
      </w:r>
      <w:r w:rsidR="00C9089A">
        <w:t>hacia</w:t>
      </w:r>
      <w:r>
        <w:t xml:space="preserve"> la </w:t>
      </w:r>
      <w:r w:rsidR="00C9089A">
        <w:t>mendicidad</w:t>
      </w:r>
      <w:r>
        <w:t xml:space="preserve">, ¿no ha dicho el </w:t>
      </w:r>
      <w:r w:rsidR="00C9089A" w:rsidRPr="00DD1AED">
        <w:rPr>
          <w:i/>
          <w:iCs/>
        </w:rPr>
        <w:t>Bhagavā</w:t>
      </w:r>
      <w:r w:rsidR="00C9089A">
        <w:t xml:space="preserve"> </w:t>
      </w:r>
      <w:r>
        <w:t xml:space="preserve">lo siguiente?: </w:t>
      </w:r>
      <w:r w:rsidRPr="003E449E">
        <w:rPr>
          <w:i/>
          <w:iCs/>
        </w:rPr>
        <w:t>'</w:t>
      </w:r>
      <w:proofErr w:type="spellStart"/>
      <w:r w:rsidR="00057BF4" w:rsidRPr="00057BF4">
        <w:rPr>
          <w:i/>
          <w:iCs/>
        </w:rPr>
        <w:t>Bhikkhu</w:t>
      </w:r>
      <w:r w:rsidRPr="003E449E">
        <w:rPr>
          <w:i/>
          <w:iCs/>
        </w:rPr>
        <w:t>s</w:t>
      </w:r>
      <w:proofErr w:type="spellEnd"/>
      <w:r>
        <w:t xml:space="preserve">, cuando la liberación </w:t>
      </w:r>
      <w:r w:rsidR="00AD0F95">
        <w:t xml:space="preserve">mental </w:t>
      </w:r>
      <w:r>
        <w:t xml:space="preserve">del </w:t>
      </w:r>
      <w:r w:rsidR="00E44858" w:rsidRPr="0082231D">
        <w:rPr>
          <w:i/>
          <w:iCs/>
        </w:rPr>
        <w:t>amor–benevolente</w:t>
      </w:r>
      <w:r>
        <w:t xml:space="preserve"> es cultivada, desarrollada, muy practicada, hecha </w:t>
      </w:r>
      <w:r w:rsidR="00AD0F95">
        <w:t xml:space="preserve">un </w:t>
      </w:r>
      <w:r>
        <w:t xml:space="preserve">vehículo, hecha </w:t>
      </w:r>
      <w:r w:rsidR="00AD0F95">
        <w:t xml:space="preserve">una </w:t>
      </w:r>
      <w:r>
        <w:t xml:space="preserve">fundación, establecida, consolidada y apropiadamente emprendida, se </w:t>
      </w:r>
      <w:r w:rsidR="00AD0F95">
        <w:t xml:space="preserve">podrán </w:t>
      </w:r>
      <w:r>
        <w:t xml:space="preserve">esperar </w:t>
      </w:r>
      <w:r w:rsidR="00AD0F95">
        <w:t>de ello</w:t>
      </w:r>
      <w:r w:rsidR="00F368DD">
        <w:t xml:space="preserve"> 11</w:t>
      </w:r>
      <w:r>
        <w:t xml:space="preserve"> bendiciones. ¿</w:t>
      </w:r>
      <w:r w:rsidR="00AD0F95">
        <w:t xml:space="preserve">Cuáles </w:t>
      </w:r>
      <w:r>
        <w:t xml:space="preserve">once? Un hombre </w:t>
      </w:r>
      <w:r w:rsidR="00AD0F95">
        <w:t xml:space="preserve">dormirá </w:t>
      </w:r>
      <w:r>
        <w:t xml:space="preserve">cómodamente, se </w:t>
      </w:r>
      <w:r w:rsidR="00AD0F95">
        <w:t xml:space="preserve">despertará </w:t>
      </w:r>
      <w:r>
        <w:t xml:space="preserve">cómodamente y no </w:t>
      </w:r>
      <w:r w:rsidR="00AD0F95">
        <w:t xml:space="preserve">tendrá </w:t>
      </w:r>
      <w:r>
        <w:t xml:space="preserve">sueños </w:t>
      </w:r>
      <w:r w:rsidR="00AD0F95">
        <w:t>negativos</w:t>
      </w:r>
      <w:r>
        <w:t xml:space="preserve">, </w:t>
      </w:r>
      <w:r w:rsidR="00AD0F95">
        <w:t xml:space="preserve">será </w:t>
      </w:r>
      <w:r>
        <w:t xml:space="preserve">querido por seres humanos, </w:t>
      </w:r>
      <w:r w:rsidR="00AD0F95">
        <w:t xml:space="preserve">será </w:t>
      </w:r>
      <w:r>
        <w:t xml:space="preserve">querido por </w:t>
      </w:r>
      <w:r w:rsidR="00F368DD">
        <w:t xml:space="preserve">seres </w:t>
      </w:r>
      <w:r>
        <w:t>no humanos, las deidades lo protege</w:t>
      </w:r>
      <w:r w:rsidR="00486C4A">
        <w:t>rá</w:t>
      </w:r>
      <w:r>
        <w:t>n, el fuego, el veneno y las armas no lo afecta</w:t>
      </w:r>
      <w:r w:rsidR="00486C4A">
        <w:t>rá</w:t>
      </w:r>
      <w:r>
        <w:t xml:space="preserve">n, su mente </w:t>
      </w:r>
      <w:r w:rsidR="00486C4A">
        <w:t xml:space="preserve">será </w:t>
      </w:r>
      <w:r>
        <w:t>fácilmente concentra</w:t>
      </w:r>
      <w:r w:rsidR="00486C4A">
        <w:t>ble</w:t>
      </w:r>
      <w:r>
        <w:t xml:space="preserve">, la expresión de su rostro </w:t>
      </w:r>
      <w:r w:rsidR="00486C4A">
        <w:t xml:space="preserve">será </w:t>
      </w:r>
      <w:r>
        <w:t>serena,</w:t>
      </w:r>
      <w:r w:rsidR="00B0421D" w:rsidRPr="00B0421D">
        <w:t xml:space="preserve"> </w:t>
      </w:r>
      <w:r w:rsidR="00B0421D">
        <w:t xml:space="preserve">morirá sin confusión, si no penetrase en alguna consumación superior, </w:t>
      </w:r>
    </w:p>
    <w:p w14:paraId="54E8C4D3" w14:textId="1B401891" w:rsidR="00E46251" w:rsidRDefault="00E46251" w:rsidP="00E46251">
      <w:pPr>
        <w:pStyle w:val="Piedepgina"/>
        <w:rPr>
          <w:u w:val="single"/>
        </w:rPr>
      </w:pPr>
      <w:r>
        <w:rPr>
          <w:u w:val="single"/>
        </w:rPr>
        <w:t xml:space="preserve">                                                                                                                                                                         .</w:t>
      </w:r>
    </w:p>
    <w:p w14:paraId="79D5B68F" w14:textId="01A9CEF5" w:rsidR="00066EE4" w:rsidRDefault="00541CB0" w:rsidP="00E46251">
      <w:pPr>
        <w:pStyle w:val="PiedepginaLegal"/>
      </w:pPr>
      <w:r>
        <w:t xml:space="preserve">5. </w:t>
      </w:r>
      <w:r w:rsidR="00E46251">
        <w:tab/>
      </w:r>
      <w:proofErr w:type="spellStart"/>
      <w:r w:rsidRPr="003E449E">
        <w:rPr>
          <w:i/>
          <w:iCs/>
        </w:rPr>
        <w:t>Saṅku-patha</w:t>
      </w:r>
      <w:proofErr w:type="spellEnd"/>
      <w:r>
        <w:t xml:space="preserve">—“sobre pilotes”: </w:t>
      </w:r>
      <w:proofErr w:type="spellStart"/>
      <w:r>
        <w:t>Vism-mhṭ</w:t>
      </w:r>
      <w:proofErr w:type="spellEnd"/>
      <w:r>
        <w:t xml:space="preserve"> (pág. 294) dice: “</w:t>
      </w:r>
      <w:proofErr w:type="spellStart"/>
      <w:r w:rsidRPr="003E449E">
        <w:rPr>
          <w:i/>
          <w:iCs/>
        </w:rPr>
        <w:t>Saṅku</w:t>
      </w:r>
      <w:proofErr w:type="spellEnd"/>
      <w:r w:rsidRPr="003E449E">
        <w:rPr>
          <w:i/>
          <w:iCs/>
        </w:rPr>
        <w:t xml:space="preserve"> </w:t>
      </w:r>
      <w:proofErr w:type="spellStart"/>
      <w:r w:rsidRPr="003E449E">
        <w:rPr>
          <w:i/>
          <w:iCs/>
        </w:rPr>
        <w:t>laggāpetvā</w:t>
      </w:r>
      <w:proofErr w:type="spellEnd"/>
      <w:r w:rsidRPr="003E449E">
        <w:rPr>
          <w:i/>
          <w:iCs/>
        </w:rPr>
        <w:t xml:space="preserve"> te </w:t>
      </w:r>
      <w:proofErr w:type="spellStart"/>
      <w:r w:rsidRPr="003E449E">
        <w:rPr>
          <w:i/>
          <w:iCs/>
        </w:rPr>
        <w:t>ālambhitvā</w:t>
      </w:r>
      <w:proofErr w:type="spellEnd"/>
      <w:r w:rsidRPr="003E449E">
        <w:rPr>
          <w:i/>
          <w:iCs/>
        </w:rPr>
        <w:t xml:space="preserve"> </w:t>
      </w:r>
      <w:proofErr w:type="spellStart"/>
      <w:r w:rsidRPr="003E449E">
        <w:rPr>
          <w:i/>
          <w:iCs/>
        </w:rPr>
        <w:t>gamanamaggo</w:t>
      </w:r>
      <w:proofErr w:type="spellEnd"/>
      <w:r w:rsidRPr="003E449E">
        <w:rPr>
          <w:i/>
          <w:iCs/>
        </w:rPr>
        <w:t xml:space="preserve"> </w:t>
      </w:r>
      <w:proofErr w:type="spellStart"/>
      <w:r w:rsidRPr="003E449E">
        <w:rPr>
          <w:i/>
          <w:iCs/>
        </w:rPr>
        <w:t>saṅkupatho</w:t>
      </w:r>
      <w:proofErr w:type="spellEnd"/>
      <w:r>
        <w:t xml:space="preserve">”. Esto no está de acuerdo con </w:t>
      </w:r>
      <w:r w:rsidR="00422826">
        <w:t xml:space="preserve">el </w:t>
      </w:r>
      <w:r>
        <w:t xml:space="preserve">PED </w:t>
      </w:r>
      <w:r w:rsidR="00422826">
        <w:t>en</w:t>
      </w:r>
      <w:r>
        <w:t xml:space="preserve"> esta referencia.</w:t>
      </w:r>
    </w:p>
    <w:p w14:paraId="0F8B0564" w14:textId="77777777" w:rsidR="00E46251" w:rsidRDefault="00E46251">
      <w:pPr>
        <w:tabs>
          <w:tab w:val="clear" w:pos="425"/>
        </w:tabs>
        <w:spacing w:after="160"/>
      </w:pPr>
      <w:r>
        <w:br w:type="page"/>
      </w:r>
    </w:p>
    <w:p w14:paraId="20BEBF83" w14:textId="77777777" w:rsidR="00E46251" w:rsidRDefault="00E46251" w:rsidP="006F0C90">
      <w:pPr>
        <w:pStyle w:val="NormalConSangria"/>
      </w:pPr>
    </w:p>
    <w:p w14:paraId="4D971281" w14:textId="51C4CD55" w:rsidR="0034770B" w:rsidRDefault="00B0421D" w:rsidP="0034770B">
      <w:r>
        <w:t xml:space="preserve">renacerá </w:t>
      </w:r>
      <w:r w:rsidR="0034770B">
        <w:t xml:space="preserve">en el mundo </w:t>
      </w:r>
      <w:r w:rsidR="00057BF4" w:rsidRPr="00057BF4">
        <w:rPr>
          <w:i/>
          <w:iCs/>
        </w:rPr>
        <w:t>Brahmā</w:t>
      </w:r>
      <w:r w:rsidR="0034770B">
        <w:t>” (AV 342). [306] Si no detiene</w:t>
      </w:r>
      <w:r w:rsidR="002C4DEC">
        <w:t>s</w:t>
      </w:r>
      <w:r w:rsidR="0034770B">
        <w:t xml:space="preserve"> ese </w:t>
      </w:r>
      <w:r w:rsidR="002C4DEC">
        <w:t>resentimiento</w:t>
      </w:r>
      <w:r w:rsidR="0034770B">
        <w:t>, se te negarán estas ventajas”</w:t>
      </w:r>
      <w:r w:rsidR="003142DC">
        <w:t>.</w:t>
      </w:r>
    </w:p>
    <w:p w14:paraId="37ADBC00" w14:textId="5D28D5B5" w:rsidR="0034770B" w:rsidRDefault="0034770B" w:rsidP="0034770B">
      <w:r>
        <w:t xml:space="preserve">38. </w:t>
      </w:r>
      <w:r>
        <w:tab/>
        <w:t xml:space="preserve">Pero si </w:t>
      </w:r>
      <w:proofErr w:type="spellStart"/>
      <w:r>
        <w:t>aún</w:t>
      </w:r>
      <w:proofErr w:type="spellEnd"/>
      <w:r>
        <w:t xml:space="preserve"> </w:t>
      </w:r>
      <w:r w:rsidR="003142DC">
        <w:t xml:space="preserve">así </w:t>
      </w:r>
      <w:r>
        <w:t xml:space="preserve">no </w:t>
      </w:r>
      <w:r w:rsidR="00341AC0">
        <w:t xml:space="preserve">se </w:t>
      </w:r>
      <w:r>
        <w:t>pud</w:t>
      </w:r>
      <w:r w:rsidR="00341AC0">
        <w:t>iese</w:t>
      </w:r>
      <w:r>
        <w:t xml:space="preserve"> detener</w:t>
      </w:r>
      <w:r w:rsidR="003142DC">
        <w:t xml:space="preserve"> tales pensamientos de resentimiento</w:t>
      </w:r>
      <w:r>
        <w:t>, debe</w:t>
      </w:r>
      <w:r w:rsidR="003142DC">
        <w:t>rá</w:t>
      </w:r>
      <w:r>
        <w:t xml:space="preserve"> intentar </w:t>
      </w:r>
      <w:r w:rsidR="002C4DEC">
        <w:t xml:space="preserve">por </w:t>
      </w:r>
      <w:r>
        <w:t xml:space="preserve">la resolución en </w:t>
      </w:r>
      <w:r w:rsidR="001A654B">
        <w:t xml:space="preserve">los </w:t>
      </w:r>
      <w:r>
        <w:t xml:space="preserve">elementos. ¿Cómo? “Ahora, </w:t>
      </w:r>
      <w:proofErr w:type="spellStart"/>
      <w:r w:rsidR="006A2B65">
        <w:t>tu</w:t>
      </w:r>
      <w:proofErr w:type="spellEnd"/>
      <w:r>
        <w:t xml:space="preserve"> que ha</w:t>
      </w:r>
      <w:r w:rsidR="006A2B65">
        <w:t>s</w:t>
      </w:r>
      <w:r>
        <w:t xml:space="preserve"> </w:t>
      </w:r>
      <w:r w:rsidR="006A2B65">
        <w:t>parti</w:t>
      </w:r>
      <w:r>
        <w:t xml:space="preserve">do </w:t>
      </w:r>
      <w:r w:rsidR="006A2B65">
        <w:t xml:space="preserve">hacia </w:t>
      </w:r>
      <w:r>
        <w:t xml:space="preserve">la </w:t>
      </w:r>
      <w:r w:rsidR="006A2B65">
        <w:t>mendicidad</w:t>
      </w:r>
      <w:r>
        <w:t>, cuando está</w:t>
      </w:r>
      <w:r w:rsidR="006A2B65">
        <w:t>s</w:t>
      </w:r>
      <w:r>
        <w:t xml:space="preserve"> enojado con él, ¿con qué </w:t>
      </w:r>
      <w:r w:rsidR="006A2B65">
        <w:t xml:space="preserve">realmente </w:t>
      </w:r>
      <w:r>
        <w:t>está</w:t>
      </w:r>
      <w:r w:rsidR="006A2B65">
        <w:t>s</w:t>
      </w:r>
      <w:r>
        <w:t xml:space="preserve"> enojado? ¿</w:t>
      </w:r>
      <w:r w:rsidR="006A2B65">
        <w:t xml:space="preserve">Con </w:t>
      </w:r>
      <w:r>
        <w:t xml:space="preserve">los </w:t>
      </w:r>
      <w:r w:rsidR="006A2B65">
        <w:t xml:space="preserve">cabellos </w:t>
      </w:r>
      <w:r>
        <w:t xml:space="preserve">de la cabeza </w:t>
      </w:r>
      <w:r w:rsidR="006A2B65">
        <w:t xml:space="preserve">es </w:t>
      </w:r>
      <w:r>
        <w:t xml:space="preserve">con los que estás enojado? ¿O </w:t>
      </w:r>
      <w:r w:rsidR="00F847CE">
        <w:t xml:space="preserve">los vellos </w:t>
      </w:r>
      <w:r>
        <w:t xml:space="preserve">corporales? ¿O las uñas? … ¿O es </w:t>
      </w:r>
      <w:r w:rsidR="00F847CE">
        <w:t xml:space="preserve">con </w:t>
      </w:r>
      <w:r>
        <w:t xml:space="preserve">la orina con la que estás enojado? O alternativamente, ¿es el elemento tierra en los </w:t>
      </w:r>
      <w:r w:rsidR="00F847CE">
        <w:t xml:space="preserve">cabellos </w:t>
      </w:r>
      <w:r>
        <w:t xml:space="preserve">de la cabeza, etc., con lo que estás enojado? ¿O </w:t>
      </w:r>
      <w:r w:rsidR="00F847CE">
        <w:t xml:space="preserve">con </w:t>
      </w:r>
      <w:r>
        <w:t xml:space="preserve">el elemento agua? ¿O </w:t>
      </w:r>
      <w:r w:rsidR="00F847CE">
        <w:t xml:space="preserve">con </w:t>
      </w:r>
      <w:r>
        <w:t xml:space="preserve">el elemento fuego? ¿O es el elemento aire con el que estás enojado? O entre los cinco agregados o las doce bases o los dieciocho elementos con respecto a los cuales este venerable es </w:t>
      </w:r>
      <w:r w:rsidR="00E377A1">
        <w:t xml:space="preserve">conocido </w:t>
      </w:r>
      <w:r>
        <w:t>con tal o cual nombre, ¿cuál entonces, es el agregado de la materialidad con el que estás enojado? ¿</w:t>
      </w:r>
      <w:r w:rsidR="00F87E9E">
        <w:t>E</w:t>
      </w:r>
      <w:r w:rsidR="00C32320">
        <w:t xml:space="preserve">s </w:t>
      </w:r>
      <w:r w:rsidR="00F87E9E">
        <w:t xml:space="preserve">acaso </w:t>
      </w:r>
      <w:r>
        <w:t xml:space="preserve">el agregado de </w:t>
      </w:r>
      <w:r w:rsidR="00E377A1">
        <w:t>la sensación</w:t>
      </w:r>
      <w:r>
        <w:t xml:space="preserve">, el agregado de percepción, el agregado de </w:t>
      </w:r>
      <w:r w:rsidR="00E377A1">
        <w:t xml:space="preserve">las </w:t>
      </w:r>
      <w:r>
        <w:t>formaciones, el agregado de con</w:t>
      </w:r>
      <w:r w:rsidR="00E377A1">
        <w:t>s</w:t>
      </w:r>
      <w:r>
        <w:t>ciencia con el que estás enojado? ¿O es la base del ojo con la que estás enojado? ¿O la base de objetos visibles con la que estás enojado? … ¿O la base mental con la que estás enojado? ¿O la base de objetos mentales con la que estás enojado? ¿O es el elemento ojo con el que estás enojado? ¿O el elemento de</w:t>
      </w:r>
      <w:r w:rsidR="00C32320">
        <w:t>l</w:t>
      </w:r>
      <w:r>
        <w:t xml:space="preserve"> objeto visible? ¿O el elemento de la con</w:t>
      </w:r>
      <w:r w:rsidR="00C32320">
        <w:t>s</w:t>
      </w:r>
      <w:r>
        <w:t xml:space="preserve">ciencia </w:t>
      </w:r>
      <w:r w:rsidR="00C32320">
        <w:t>visual</w:t>
      </w:r>
      <w:r>
        <w:t>? … ¿O el elemento mental? ¿O el elemento del objeto mental? ¿O el elemento de con</w:t>
      </w:r>
      <w:r w:rsidR="00C32320">
        <w:t>s</w:t>
      </w:r>
      <w:r>
        <w:t>ciencia mental con el que estás enojado?</w:t>
      </w:r>
      <w:r w:rsidR="001D7E35">
        <w:t>”</w:t>
      </w:r>
      <w:r>
        <w:t xml:space="preserve"> </w:t>
      </w:r>
      <w:r w:rsidR="001A654B">
        <w:t xml:space="preserve">Ya </w:t>
      </w:r>
      <w:r>
        <w:t>que cuando prueb</w:t>
      </w:r>
      <w:r w:rsidR="001A654B">
        <w:t>e</w:t>
      </w:r>
      <w:r>
        <w:t xml:space="preserve"> la resolución en </w:t>
      </w:r>
      <w:r w:rsidR="001A654B">
        <w:t xml:space="preserve">los </w:t>
      </w:r>
      <w:r>
        <w:t xml:space="preserve">elementos, su ira no </w:t>
      </w:r>
      <w:r w:rsidR="001A654B">
        <w:t xml:space="preserve">podrá </w:t>
      </w:r>
      <w:r>
        <w:t>enc</w:t>
      </w:r>
      <w:r w:rsidR="001A654B">
        <w:t>o</w:t>
      </w:r>
      <w:r>
        <w:t>ntra</w:t>
      </w:r>
      <w:r w:rsidR="001A654B">
        <w:t>r</w:t>
      </w:r>
      <w:r>
        <w:t xml:space="preserve"> punto</w:t>
      </w:r>
      <w:r w:rsidR="001A654B">
        <w:t>s</w:t>
      </w:r>
      <w:r>
        <w:t xml:space="preserve"> de </w:t>
      </w:r>
      <w:r w:rsidR="001A654B">
        <w:t>soporte</w:t>
      </w:r>
      <w:r>
        <w:t>, como una semilla de mostaza en la punta de un punzón o una pintura en el aire.</w:t>
      </w:r>
    </w:p>
    <w:p w14:paraId="1F121D60" w14:textId="22E84A14" w:rsidR="0034770B" w:rsidRDefault="0034770B" w:rsidP="0034770B">
      <w:r>
        <w:t xml:space="preserve">39. </w:t>
      </w:r>
      <w:r>
        <w:tab/>
      </w:r>
      <w:r w:rsidR="001A654B">
        <w:t xml:space="preserve">Si </w:t>
      </w:r>
      <w:r>
        <w:t xml:space="preserve">no </w:t>
      </w:r>
      <w:r w:rsidR="001A654B">
        <w:t xml:space="preserve">se </w:t>
      </w:r>
      <w:r>
        <w:t>pud</w:t>
      </w:r>
      <w:r w:rsidR="001A654B">
        <w:t>iese</w:t>
      </w:r>
      <w:r>
        <w:t xml:space="preserve"> efectuar la resolución en </w:t>
      </w:r>
      <w:r w:rsidR="001A654B">
        <w:t xml:space="preserve">los </w:t>
      </w:r>
      <w:r>
        <w:t>elementos, debe</w:t>
      </w:r>
      <w:r w:rsidR="001A654B">
        <w:t>rá</w:t>
      </w:r>
      <w:r>
        <w:t xml:space="preserve"> intentar </w:t>
      </w:r>
      <w:r w:rsidR="00EA1197">
        <w:t>ofrecer</w:t>
      </w:r>
      <w:r>
        <w:t xml:space="preserve"> un </w:t>
      </w:r>
      <w:r w:rsidR="001A654B">
        <w:t>presente</w:t>
      </w:r>
      <w:r>
        <w:t xml:space="preserve">. </w:t>
      </w:r>
      <w:r w:rsidR="002526FA">
        <w:t>Podría ser ofrecido por él mismo</w:t>
      </w:r>
      <w:r>
        <w:t xml:space="preserve"> </w:t>
      </w:r>
      <w:r w:rsidR="00C979DB">
        <w:t xml:space="preserve">hacia </w:t>
      </w:r>
      <w:r>
        <w:t xml:space="preserve">otro o aceptar </w:t>
      </w:r>
      <w:r w:rsidR="00C979DB">
        <w:t xml:space="preserve">uno </w:t>
      </w:r>
      <w:r>
        <w:t>del otro. Pero si el sustento del otro no est</w:t>
      </w:r>
      <w:r w:rsidR="00BA5E1D">
        <w:t>uviera</w:t>
      </w:r>
      <w:r>
        <w:t xml:space="preserve"> purificado y sus requisitos no </w:t>
      </w:r>
      <w:r w:rsidR="00BA5E1D">
        <w:t>fuera</w:t>
      </w:r>
      <w:r w:rsidR="00C13E1F">
        <w:t>n</w:t>
      </w:r>
      <w:r w:rsidR="00BA5E1D">
        <w:t xml:space="preserve"> </w:t>
      </w:r>
      <w:r>
        <w:t xml:space="preserve">adecuados para </w:t>
      </w:r>
      <w:r w:rsidR="00BA5E1D">
        <w:t>su uso</w:t>
      </w:r>
      <w:r>
        <w:t>, debe</w:t>
      </w:r>
      <w:r w:rsidR="00BA5E1D">
        <w:t>rá</w:t>
      </w:r>
      <w:r>
        <w:t xml:space="preserve"> </w:t>
      </w:r>
      <w:r w:rsidR="00C13E1F">
        <w:t>hacer</w:t>
      </w:r>
      <w:r w:rsidR="00F74261">
        <w:t xml:space="preserve"> el presente </w:t>
      </w:r>
      <w:r>
        <w:t>uno mismo. Y en el que ha</w:t>
      </w:r>
      <w:r w:rsidR="00392D9A">
        <w:t>ga</w:t>
      </w:r>
      <w:r>
        <w:t xml:space="preserve"> esto, la molestia </w:t>
      </w:r>
      <w:r w:rsidR="00392D9A">
        <w:t xml:space="preserve">de </w:t>
      </w:r>
      <w:r w:rsidR="00F74261">
        <w:t xml:space="preserve">tal </w:t>
      </w:r>
      <w:r>
        <w:t>persona desaparece</w:t>
      </w:r>
      <w:r w:rsidR="00392D9A">
        <w:t>rá</w:t>
      </w:r>
      <w:r>
        <w:t xml:space="preserve"> por completo. Y en el otro, inclus</w:t>
      </w:r>
      <w:r w:rsidR="00F74261">
        <w:t>ive</w:t>
      </w:r>
      <w:r>
        <w:t xml:space="preserve"> la ira que lo ha</w:t>
      </w:r>
      <w:r w:rsidR="00392D9A">
        <w:t>bría</w:t>
      </w:r>
      <w:r>
        <w:t xml:space="preserve"> estado persiguiendo desde un </w:t>
      </w:r>
      <w:r w:rsidR="00392D9A">
        <w:t>re</w:t>
      </w:r>
      <w:r>
        <w:t>nacimiento pasado se desvanece</w:t>
      </w:r>
      <w:r w:rsidR="00392D9A">
        <w:t>rá</w:t>
      </w:r>
      <w:r>
        <w:t xml:space="preserve"> </w:t>
      </w:r>
      <w:r w:rsidR="00C13E1F">
        <w:t>al instante</w:t>
      </w:r>
      <w:r>
        <w:t>, como le sucedió a</w:t>
      </w:r>
      <w:r w:rsidR="00F74261">
        <w:t xml:space="preserve"> un</w:t>
      </w:r>
      <w:r>
        <w:t xml:space="preserve"> </w:t>
      </w:r>
      <w:r w:rsidR="00392D9A">
        <w:t xml:space="preserve">Venerable </w:t>
      </w:r>
      <w:r>
        <w:t>mayor qu</w:t>
      </w:r>
      <w:r w:rsidR="00F74261">
        <w:t>ien</w:t>
      </w:r>
      <w:r>
        <w:t xml:space="preserve"> recibió un cuenco que </w:t>
      </w:r>
      <w:r w:rsidR="005442B9">
        <w:t xml:space="preserve">se </w:t>
      </w:r>
      <w:r>
        <w:t>l</w:t>
      </w:r>
      <w:r w:rsidR="00C13E1F">
        <w:t>e</w:t>
      </w:r>
      <w:r>
        <w:t xml:space="preserve"> </w:t>
      </w:r>
      <w:r w:rsidR="005442B9">
        <w:t xml:space="preserve">obsequió </w:t>
      </w:r>
      <w:r>
        <w:t xml:space="preserve">en el Monasterio </w:t>
      </w:r>
      <w:proofErr w:type="spellStart"/>
      <w:r>
        <w:t>Cittalapabbata</w:t>
      </w:r>
      <w:proofErr w:type="spellEnd"/>
      <w:r>
        <w:t xml:space="preserve"> </w:t>
      </w:r>
      <w:r w:rsidR="005442B9">
        <w:t xml:space="preserve">por parte de </w:t>
      </w:r>
      <w:r>
        <w:t xml:space="preserve">un </w:t>
      </w:r>
      <w:r w:rsidR="00392D9A">
        <w:t xml:space="preserve">Venerable </w:t>
      </w:r>
      <w:r>
        <w:t xml:space="preserve">comedor de </w:t>
      </w:r>
      <w:r w:rsidR="00392D9A">
        <w:t xml:space="preserve">ofrendas </w:t>
      </w:r>
      <w:r>
        <w:t xml:space="preserve">que había sido </w:t>
      </w:r>
      <w:r w:rsidR="00FB512B">
        <w:t xml:space="preserve">mudado </w:t>
      </w:r>
      <w:r>
        <w:t>tres veces de su alojamiento por él, y quien se lo presentó con estas palabras: “Venerable señor, este cuenco</w:t>
      </w:r>
      <w:r w:rsidR="0038178C">
        <w:t>,</w:t>
      </w:r>
      <w:r>
        <w:t xml:space="preserve"> que vale ocho ducados</w:t>
      </w:r>
      <w:r w:rsidR="0038178C">
        <w:t>,</w:t>
      </w:r>
      <w:r>
        <w:t xml:space="preserve"> me lo </w:t>
      </w:r>
      <w:r w:rsidR="0038178C">
        <w:t>obsequió</w:t>
      </w:r>
      <w:r>
        <w:t xml:space="preserve"> mi madre qu</w:t>
      </w:r>
      <w:r w:rsidR="005442B9">
        <w:t>ien</w:t>
      </w:r>
      <w:r>
        <w:t xml:space="preserve"> es </w:t>
      </w:r>
      <w:r w:rsidR="00FB512B">
        <w:t xml:space="preserve">una </w:t>
      </w:r>
      <w:r>
        <w:t xml:space="preserve">devota laica, y </w:t>
      </w:r>
      <w:r w:rsidR="00FF59DA">
        <w:t>ha sido correctamente adquirido</w:t>
      </w:r>
      <w:r>
        <w:t>; qu</w:t>
      </w:r>
      <w:r w:rsidR="00FF59DA">
        <w:t>é</w:t>
      </w:r>
      <w:r>
        <w:t xml:space="preserve"> l</w:t>
      </w:r>
      <w:r w:rsidR="00FF59DA">
        <w:t>a</w:t>
      </w:r>
      <w:r>
        <w:t xml:space="preserve"> buen</w:t>
      </w:r>
      <w:r w:rsidR="00FF59DA">
        <w:t>a</w:t>
      </w:r>
      <w:r>
        <w:t xml:space="preserve"> devot</w:t>
      </w:r>
      <w:r w:rsidR="00FF59DA">
        <w:t>a</w:t>
      </w:r>
      <w:r>
        <w:t xml:space="preserve"> laic</w:t>
      </w:r>
      <w:r w:rsidR="00FF59DA">
        <w:t>a</w:t>
      </w:r>
      <w:r>
        <w:t xml:space="preserve"> adquiera mérito</w:t>
      </w:r>
      <w:r w:rsidR="00FF59DA">
        <w:t>s</w:t>
      </w:r>
      <w:r w:rsidR="00977BB5">
        <w:t xml:space="preserve"> mediante este presente</w:t>
      </w:r>
      <w:r>
        <w:t xml:space="preserve">”. </w:t>
      </w:r>
      <w:r w:rsidR="008A5ADF">
        <w:t xml:space="preserve">Así de </w:t>
      </w:r>
      <w:r>
        <w:t xml:space="preserve">eficaz es este acto de </w:t>
      </w:r>
      <w:r w:rsidR="00FF59DA">
        <w:t>generosidad</w:t>
      </w:r>
      <w:r>
        <w:t>. Y esto se dice</w:t>
      </w:r>
      <w:r w:rsidR="0038178C">
        <w:t xml:space="preserve"> al respecto</w:t>
      </w:r>
      <w:r>
        <w:t>:</w:t>
      </w:r>
    </w:p>
    <w:p w14:paraId="14FDA965" w14:textId="081E6E41" w:rsidR="0034770B" w:rsidRPr="00977BB5" w:rsidRDefault="004531D6" w:rsidP="00085DB1">
      <w:pPr>
        <w:pStyle w:val="VersoIngls01Sangria"/>
        <w:ind w:left="2124"/>
        <w:rPr>
          <w:sz w:val="16"/>
          <w:szCs w:val="20"/>
        </w:rPr>
      </w:pPr>
      <w:r w:rsidRPr="00977BB5">
        <w:rPr>
          <w:sz w:val="16"/>
          <w:szCs w:val="20"/>
        </w:rPr>
        <w:t>Con un</w:t>
      </w:r>
      <w:r w:rsidR="0034770B" w:rsidRPr="00977BB5">
        <w:rPr>
          <w:sz w:val="16"/>
          <w:szCs w:val="20"/>
        </w:rPr>
        <w:t xml:space="preserve"> </w:t>
      </w:r>
      <w:r w:rsidR="008A5ADF" w:rsidRPr="00977BB5">
        <w:rPr>
          <w:sz w:val="16"/>
          <w:szCs w:val="20"/>
        </w:rPr>
        <w:t xml:space="preserve">presente </w:t>
      </w:r>
      <w:r w:rsidR="0034770B" w:rsidRPr="00977BB5">
        <w:rPr>
          <w:sz w:val="16"/>
          <w:szCs w:val="20"/>
        </w:rPr>
        <w:t>para domar a los indómitos,</w:t>
      </w:r>
    </w:p>
    <w:p w14:paraId="62584009" w14:textId="694513E7" w:rsidR="0034770B" w:rsidRPr="00977BB5" w:rsidRDefault="004531D6" w:rsidP="00085DB1">
      <w:pPr>
        <w:pStyle w:val="VersoIngls01Sangria"/>
        <w:ind w:left="2124"/>
        <w:rPr>
          <w:sz w:val="16"/>
          <w:szCs w:val="20"/>
        </w:rPr>
      </w:pPr>
      <w:r w:rsidRPr="00977BB5">
        <w:rPr>
          <w:sz w:val="16"/>
          <w:szCs w:val="20"/>
        </w:rPr>
        <w:t>Con un</w:t>
      </w:r>
      <w:r w:rsidR="0034770B" w:rsidRPr="00977BB5">
        <w:rPr>
          <w:sz w:val="16"/>
          <w:szCs w:val="20"/>
        </w:rPr>
        <w:t xml:space="preserve"> </w:t>
      </w:r>
      <w:r w:rsidR="008A5ADF" w:rsidRPr="00977BB5">
        <w:rPr>
          <w:sz w:val="16"/>
          <w:szCs w:val="20"/>
        </w:rPr>
        <w:t xml:space="preserve">presente </w:t>
      </w:r>
      <w:r w:rsidR="0034770B" w:rsidRPr="00977BB5">
        <w:rPr>
          <w:sz w:val="16"/>
          <w:szCs w:val="20"/>
        </w:rPr>
        <w:t>para todo tipo de bien;</w:t>
      </w:r>
    </w:p>
    <w:p w14:paraId="6E9D89E2" w14:textId="6680A4EB" w:rsidR="0034770B" w:rsidRPr="00977BB5" w:rsidRDefault="0034770B" w:rsidP="00085DB1">
      <w:pPr>
        <w:pStyle w:val="VersoIngls01Sangria"/>
        <w:ind w:left="2124"/>
        <w:rPr>
          <w:sz w:val="16"/>
          <w:szCs w:val="20"/>
        </w:rPr>
      </w:pPr>
      <w:r w:rsidRPr="00977BB5">
        <w:rPr>
          <w:sz w:val="16"/>
          <w:szCs w:val="20"/>
        </w:rPr>
        <w:t xml:space="preserve">Al dar </w:t>
      </w:r>
      <w:r w:rsidR="008A5ADF" w:rsidRPr="00977BB5">
        <w:rPr>
          <w:sz w:val="16"/>
          <w:szCs w:val="20"/>
        </w:rPr>
        <w:t>presentes</w:t>
      </w:r>
      <w:r w:rsidRPr="00977BB5">
        <w:rPr>
          <w:sz w:val="16"/>
          <w:szCs w:val="20"/>
        </w:rPr>
        <w:t xml:space="preserve">, </w:t>
      </w:r>
      <w:r w:rsidR="00D90D6C" w:rsidRPr="00977BB5">
        <w:rPr>
          <w:sz w:val="16"/>
          <w:szCs w:val="20"/>
        </w:rPr>
        <w:t xml:space="preserve">ellos </w:t>
      </w:r>
      <w:r w:rsidRPr="00977BB5">
        <w:rPr>
          <w:sz w:val="16"/>
          <w:szCs w:val="20"/>
        </w:rPr>
        <w:t>se dobl</w:t>
      </w:r>
      <w:r w:rsidR="00D90D6C" w:rsidRPr="00977BB5">
        <w:rPr>
          <w:sz w:val="16"/>
          <w:szCs w:val="20"/>
        </w:rPr>
        <w:t>egarán</w:t>
      </w:r>
      <w:r w:rsidRPr="00977BB5">
        <w:rPr>
          <w:sz w:val="16"/>
          <w:szCs w:val="20"/>
        </w:rPr>
        <w:t>.</w:t>
      </w:r>
    </w:p>
    <w:p w14:paraId="2CBFA388" w14:textId="0BB50672" w:rsidR="0034770B" w:rsidRPr="00977BB5" w:rsidRDefault="0034770B" w:rsidP="00085DB1">
      <w:pPr>
        <w:pStyle w:val="VersoIngls01Sangria"/>
        <w:ind w:left="2124"/>
        <w:rPr>
          <w:sz w:val="16"/>
          <w:szCs w:val="20"/>
        </w:rPr>
      </w:pPr>
      <w:r w:rsidRPr="00977BB5">
        <w:rPr>
          <w:sz w:val="16"/>
          <w:szCs w:val="20"/>
        </w:rPr>
        <w:t>Y condescende</w:t>
      </w:r>
      <w:r w:rsidR="004531D6" w:rsidRPr="00977BB5">
        <w:rPr>
          <w:sz w:val="16"/>
          <w:szCs w:val="20"/>
        </w:rPr>
        <w:t>rá</w:t>
      </w:r>
      <w:r w:rsidRPr="00977BB5">
        <w:rPr>
          <w:sz w:val="16"/>
          <w:szCs w:val="20"/>
        </w:rPr>
        <w:t xml:space="preserve"> </w:t>
      </w:r>
      <w:r w:rsidR="00B55BA9">
        <w:rPr>
          <w:sz w:val="16"/>
          <w:szCs w:val="20"/>
        </w:rPr>
        <w:t xml:space="preserve">hacia </w:t>
      </w:r>
      <w:r w:rsidR="004531D6" w:rsidRPr="00977BB5">
        <w:rPr>
          <w:sz w:val="16"/>
          <w:szCs w:val="20"/>
        </w:rPr>
        <w:t>un</w:t>
      </w:r>
      <w:r w:rsidRPr="00977BB5">
        <w:rPr>
          <w:sz w:val="16"/>
          <w:szCs w:val="20"/>
        </w:rPr>
        <w:t xml:space="preserve"> discurso amable. [307]</w:t>
      </w:r>
    </w:p>
    <w:p w14:paraId="33996B34" w14:textId="77777777" w:rsidR="0034770B" w:rsidRDefault="0034770B" w:rsidP="0034770B">
      <w:pPr>
        <w:pStyle w:val="VersoIngls01Sangria"/>
      </w:pPr>
    </w:p>
    <w:p w14:paraId="4EF158C5" w14:textId="68243116" w:rsidR="0034770B" w:rsidRDefault="0034770B" w:rsidP="0034770B">
      <w:pPr>
        <w:jc w:val="center"/>
      </w:pPr>
      <w:r>
        <w:t>[</w:t>
      </w:r>
      <w:r w:rsidR="004531D6" w:rsidRPr="004531D6">
        <w:rPr>
          <w:i/>
          <w:iCs/>
        </w:rPr>
        <w:t>La</w:t>
      </w:r>
      <w:r w:rsidR="004531D6">
        <w:t xml:space="preserve"> </w:t>
      </w:r>
      <w:r w:rsidR="004531D6">
        <w:rPr>
          <w:i/>
          <w:iCs/>
        </w:rPr>
        <w:t xml:space="preserve">Destrucción </w:t>
      </w:r>
      <w:r w:rsidRPr="0034770B">
        <w:rPr>
          <w:i/>
          <w:iCs/>
        </w:rPr>
        <w:t>de las Barreras</w:t>
      </w:r>
      <w:r w:rsidR="004531D6">
        <w:rPr>
          <w:i/>
          <w:iCs/>
        </w:rPr>
        <w:t xml:space="preserve"> </w:t>
      </w:r>
      <w:r w:rsidRPr="0034770B">
        <w:rPr>
          <w:i/>
          <w:iCs/>
        </w:rPr>
        <w:t>—</w:t>
      </w:r>
      <w:r w:rsidR="004531D6">
        <w:rPr>
          <w:i/>
          <w:iCs/>
        </w:rPr>
        <w:t xml:space="preserve"> </w:t>
      </w:r>
      <w:r>
        <w:rPr>
          <w:i/>
          <w:iCs/>
        </w:rPr>
        <w:t>El Signo</w:t>
      </w:r>
      <w:r>
        <w:t>]</w:t>
      </w:r>
    </w:p>
    <w:p w14:paraId="77372953" w14:textId="008AD1E5" w:rsidR="0034770B" w:rsidRDefault="0034770B" w:rsidP="0034770B">
      <w:r>
        <w:t xml:space="preserve">40. </w:t>
      </w:r>
      <w:r>
        <w:tab/>
        <w:t xml:space="preserve">Cuando </w:t>
      </w:r>
      <w:r w:rsidR="002D1934">
        <w:t>el</w:t>
      </w:r>
      <w:r>
        <w:t xml:space="preserve"> resentimiento </w:t>
      </w:r>
      <w:r w:rsidR="002D1934">
        <w:t xml:space="preserve">del practicante </w:t>
      </w:r>
      <w:r>
        <w:t xml:space="preserve">hacia </w:t>
      </w:r>
      <w:r w:rsidR="00204C27">
        <w:t>la</w:t>
      </w:r>
      <w:r>
        <w:t xml:space="preserve"> persona hostil se ha</w:t>
      </w:r>
      <w:r w:rsidR="002D1934">
        <w:t>ya</w:t>
      </w:r>
      <w:r>
        <w:t xml:space="preserve"> </w:t>
      </w:r>
      <w:r w:rsidR="002D1934">
        <w:t xml:space="preserve">así </w:t>
      </w:r>
      <w:r>
        <w:t xml:space="preserve">disipado, entonces él </w:t>
      </w:r>
      <w:r w:rsidR="002D1934">
        <w:t>podrá</w:t>
      </w:r>
      <w:r>
        <w:t xml:space="preserve"> </w:t>
      </w:r>
      <w:r w:rsidR="00204C27">
        <w:t>con</w:t>
      </w:r>
      <w:r>
        <w:t xml:space="preserve"> su mente </w:t>
      </w:r>
      <w:r w:rsidR="00204C27">
        <w:t xml:space="preserve">transmitir </w:t>
      </w:r>
      <w:r w:rsidR="00E44858" w:rsidRPr="0082231D">
        <w:rPr>
          <w:i/>
          <w:iCs/>
        </w:rPr>
        <w:t>amor–benevolente</w:t>
      </w:r>
      <w:r w:rsidR="002D1934">
        <w:t xml:space="preserve"> </w:t>
      </w:r>
      <w:r>
        <w:t xml:space="preserve">también hacia esa persona, así como hacia el que </w:t>
      </w:r>
      <w:r w:rsidR="002D1934">
        <w:t>sea</w:t>
      </w:r>
      <w:r>
        <w:t xml:space="preserve"> </w:t>
      </w:r>
      <w:r w:rsidR="002D1934">
        <w:t>estimado</w:t>
      </w:r>
      <w:r>
        <w:t xml:space="preserve">, el </w:t>
      </w:r>
      <w:r w:rsidR="00B76F9F">
        <w:t xml:space="preserve">que sea </w:t>
      </w:r>
      <w:r>
        <w:t xml:space="preserve">muy </w:t>
      </w:r>
      <w:r w:rsidR="002D1934">
        <w:t xml:space="preserve">estimado </w:t>
      </w:r>
      <w:r>
        <w:t xml:space="preserve">y </w:t>
      </w:r>
      <w:r w:rsidR="00883DDF">
        <w:t xml:space="preserve">hacia </w:t>
      </w:r>
      <w:r>
        <w:t xml:space="preserve">la persona neutral. </w:t>
      </w:r>
      <w:r w:rsidR="00883DDF">
        <w:t>Entonces</w:t>
      </w:r>
      <w:r>
        <w:t xml:space="preserve"> debe</w:t>
      </w:r>
      <w:r w:rsidR="002D1934">
        <w:t>rá</w:t>
      </w:r>
      <w:r>
        <w:t xml:space="preserve"> </w:t>
      </w:r>
      <w:r w:rsidR="00883DDF">
        <w:t>destruirse</w:t>
      </w:r>
      <w:r>
        <w:t xml:space="preserve"> </w:t>
      </w:r>
      <w:r w:rsidR="00883DDF">
        <w:t xml:space="preserve">todas </w:t>
      </w:r>
      <w:r>
        <w:t xml:space="preserve">las barreras practicando </w:t>
      </w:r>
      <w:r w:rsidR="00CF5704">
        <w:t xml:space="preserve">la transmisión de </w:t>
      </w:r>
      <w:r w:rsidR="00D02B75" w:rsidRPr="0082231D">
        <w:rPr>
          <w:i/>
          <w:iCs/>
        </w:rPr>
        <w:t>amor–benevolente</w:t>
      </w:r>
      <w:r w:rsidR="00883DDF">
        <w:rPr>
          <w:i/>
          <w:iCs/>
        </w:rPr>
        <w:t>,</w:t>
      </w:r>
      <w:r>
        <w:t xml:space="preserve"> una y otra vez, logrando la imparcialidad mental hacia l</w:t>
      </w:r>
      <w:r w:rsidR="00AD0BB5">
        <w:t>o</w:t>
      </w:r>
      <w:r>
        <w:t xml:space="preserve">s cuatro </w:t>
      </w:r>
      <w:r w:rsidR="00AD0BB5">
        <w:t xml:space="preserve">tipos de </w:t>
      </w:r>
      <w:r>
        <w:t>personas</w:t>
      </w:r>
      <w:r w:rsidR="00AD0BB5">
        <w:t>:</w:t>
      </w:r>
      <w:r>
        <w:t xml:space="preserve"> </w:t>
      </w:r>
      <w:r w:rsidR="004742B2">
        <w:t xml:space="preserve">hacia </w:t>
      </w:r>
      <w:r>
        <w:t xml:space="preserve">él mismo, </w:t>
      </w:r>
      <w:r w:rsidR="004742B2">
        <w:t xml:space="preserve">hacia </w:t>
      </w:r>
      <w:r>
        <w:t xml:space="preserve">la persona </w:t>
      </w:r>
      <w:r w:rsidR="00AD0BB5">
        <w:t>estimada</w:t>
      </w:r>
      <w:r>
        <w:t xml:space="preserve">, </w:t>
      </w:r>
      <w:r w:rsidR="004742B2">
        <w:t xml:space="preserve">hacia </w:t>
      </w:r>
      <w:r>
        <w:t xml:space="preserve">la persona neutral y </w:t>
      </w:r>
      <w:r w:rsidR="004742B2">
        <w:t xml:space="preserve">hacia </w:t>
      </w:r>
      <w:r>
        <w:t>la persona hostil.</w:t>
      </w:r>
    </w:p>
    <w:p w14:paraId="2BD9F581" w14:textId="63AC28E2" w:rsidR="0034770B" w:rsidRDefault="0034770B">
      <w:pPr>
        <w:tabs>
          <w:tab w:val="clear" w:pos="425"/>
        </w:tabs>
        <w:spacing w:after="160"/>
      </w:pPr>
      <w:r>
        <w:br w:type="page"/>
      </w:r>
    </w:p>
    <w:p w14:paraId="5EA949D4" w14:textId="77777777" w:rsidR="0034770B" w:rsidRDefault="0034770B" w:rsidP="0034770B"/>
    <w:p w14:paraId="6B7ACB70" w14:textId="3D87D492" w:rsidR="00E20596" w:rsidRDefault="00E20596" w:rsidP="00E20596">
      <w:r>
        <w:t xml:space="preserve">41. </w:t>
      </w:r>
      <w:r>
        <w:tab/>
        <w:t xml:space="preserve">Su característica es </w:t>
      </w:r>
      <w:r w:rsidR="004742B2">
        <w:t>é</w:t>
      </w:r>
      <w:r>
        <w:t>sta. Supongamos que esta persona est</w:t>
      </w:r>
      <w:r w:rsidR="004742B2">
        <w:t>uviera</w:t>
      </w:r>
      <w:r>
        <w:t xml:space="preserve"> sentada en un lugar con una persona </w:t>
      </w:r>
      <w:r w:rsidR="004742B2">
        <w:t>estimada</w:t>
      </w:r>
      <w:r>
        <w:t xml:space="preserve">, neutral y hostil, siendo él mismo el cuarto; </w:t>
      </w:r>
      <w:r w:rsidR="009E39FF">
        <w:t xml:space="preserve">y que </w:t>
      </w:r>
      <w:r>
        <w:t xml:space="preserve">entonces </w:t>
      </w:r>
      <w:r w:rsidR="004742B2">
        <w:t xml:space="preserve">unos </w:t>
      </w:r>
      <w:r>
        <w:t>bandidos se acerca</w:t>
      </w:r>
      <w:r w:rsidR="004742B2">
        <w:t>se</w:t>
      </w:r>
      <w:r>
        <w:t xml:space="preserve">n a él y le </w:t>
      </w:r>
      <w:r w:rsidR="004742B2">
        <w:t>dijera</w:t>
      </w:r>
      <w:r w:rsidR="00F41E3C">
        <w:t>n</w:t>
      </w:r>
      <w:r>
        <w:t xml:space="preserve">: “Venerable </w:t>
      </w:r>
      <w:r w:rsidR="004742B2">
        <w:t>Señor</w:t>
      </w:r>
      <w:r>
        <w:t xml:space="preserve">, </w:t>
      </w:r>
      <w:r w:rsidR="00F41E3C">
        <w:t>entréguenos a uno de los</w:t>
      </w:r>
      <w:r>
        <w:t xml:space="preserve"> </w:t>
      </w:r>
      <w:proofErr w:type="spellStart"/>
      <w:r w:rsidR="00057BF4" w:rsidRPr="00057BF4">
        <w:rPr>
          <w:i/>
          <w:iCs/>
        </w:rPr>
        <w:t>bhikkhu</w:t>
      </w:r>
      <w:r w:rsidR="00F41E3C">
        <w:rPr>
          <w:i/>
          <w:iCs/>
        </w:rPr>
        <w:t>s</w:t>
      </w:r>
      <w:proofErr w:type="spellEnd"/>
      <w:r>
        <w:t>”, y cuando se les pregunta</w:t>
      </w:r>
      <w:r w:rsidR="00D32FA0">
        <w:t>se</w:t>
      </w:r>
      <w:r>
        <w:t xml:space="preserve"> por qué, respond</w:t>
      </w:r>
      <w:r w:rsidR="00D32FA0">
        <w:t>iera</w:t>
      </w:r>
      <w:r>
        <w:t xml:space="preserve">n: “Para que podamos matarlo y usar la sangre de su garganta como ofrenda”; si ese </w:t>
      </w:r>
      <w:proofErr w:type="spellStart"/>
      <w:r w:rsidR="00057BF4" w:rsidRPr="00057BF4">
        <w:rPr>
          <w:i/>
          <w:iCs/>
        </w:rPr>
        <w:t>bhikkhu</w:t>
      </w:r>
      <w:proofErr w:type="spellEnd"/>
      <w:r>
        <w:t xml:space="preserve"> </w:t>
      </w:r>
      <w:r w:rsidR="00D32FA0">
        <w:t>pensase</w:t>
      </w:r>
      <w:r>
        <w:t>, “</w:t>
      </w:r>
      <w:r w:rsidR="00D32FA0">
        <w:t>T</w:t>
      </w:r>
      <w:r>
        <w:t xml:space="preserve">omen </w:t>
      </w:r>
      <w:r w:rsidR="00D32FA0">
        <w:t>a é</w:t>
      </w:r>
      <w:r>
        <w:t xml:space="preserve">ste, o </w:t>
      </w:r>
      <w:r w:rsidR="00D32FA0">
        <w:t xml:space="preserve">a </w:t>
      </w:r>
      <w:r>
        <w:t xml:space="preserve">este otro”, </w:t>
      </w:r>
      <w:r w:rsidR="00D32FA0">
        <w:t xml:space="preserve">entonces </w:t>
      </w:r>
      <w:r>
        <w:t xml:space="preserve">no </w:t>
      </w:r>
      <w:r w:rsidR="00D32FA0">
        <w:t xml:space="preserve">se </w:t>
      </w:r>
      <w:r>
        <w:t>ha</w:t>
      </w:r>
      <w:r w:rsidR="00854351">
        <w:t>brá</w:t>
      </w:r>
      <w:r>
        <w:t xml:space="preserve"> </w:t>
      </w:r>
      <w:r w:rsidR="000842A0">
        <w:t>destruido</w:t>
      </w:r>
      <w:r>
        <w:t xml:space="preserve"> las barreras. </w:t>
      </w:r>
      <w:r w:rsidR="00D32FA0">
        <w:t xml:space="preserve">Por otro lado, </w:t>
      </w:r>
      <w:r>
        <w:t>si pensa</w:t>
      </w:r>
      <w:r w:rsidR="00D32FA0">
        <w:t>se</w:t>
      </w:r>
      <w:r>
        <w:t>: “</w:t>
      </w:r>
      <w:r w:rsidR="00D41EC6">
        <w:t xml:space="preserve">Llévenme </w:t>
      </w:r>
      <w:r>
        <w:t xml:space="preserve">a mí pero no a </w:t>
      </w:r>
      <w:r w:rsidR="00D41EC6">
        <w:t xml:space="preserve">ninguno de </w:t>
      </w:r>
      <w:r w:rsidR="00D366B3">
        <w:t xml:space="preserve">los otros </w:t>
      </w:r>
      <w:r>
        <w:t xml:space="preserve">tres”, tampoco </w:t>
      </w:r>
      <w:r w:rsidR="00D41EC6">
        <w:t xml:space="preserve">se </w:t>
      </w:r>
      <w:r>
        <w:t>ha</w:t>
      </w:r>
      <w:r w:rsidR="00D41EC6">
        <w:t>brá</w:t>
      </w:r>
      <w:r>
        <w:t xml:space="preserve"> </w:t>
      </w:r>
      <w:r w:rsidR="00D366B3">
        <w:t xml:space="preserve">destruido </w:t>
      </w:r>
      <w:r>
        <w:t xml:space="preserve">las barreras. ¿Por qué? Porque </w:t>
      </w:r>
      <w:r w:rsidR="00D41EC6">
        <w:t xml:space="preserve">se estará procurando </w:t>
      </w:r>
      <w:r>
        <w:t xml:space="preserve">el </w:t>
      </w:r>
      <w:r w:rsidR="00D41EC6">
        <w:t xml:space="preserve">perjuicio </w:t>
      </w:r>
      <w:r>
        <w:t xml:space="preserve">de aquel a quien </w:t>
      </w:r>
      <w:r w:rsidR="0042528C">
        <w:t xml:space="preserve">uno </w:t>
      </w:r>
      <w:r>
        <w:t xml:space="preserve">quiere que </w:t>
      </w:r>
      <w:r w:rsidR="000073AF">
        <w:t xml:space="preserve">se </w:t>
      </w:r>
      <w:r>
        <w:t xml:space="preserve">tome y </w:t>
      </w:r>
      <w:r w:rsidR="000073AF">
        <w:t xml:space="preserve">procurando </w:t>
      </w:r>
      <w:r>
        <w:t xml:space="preserve">el bienestar </w:t>
      </w:r>
      <w:r w:rsidR="000073AF">
        <w:t xml:space="preserve">solamente </w:t>
      </w:r>
      <w:r>
        <w:t>de</w:t>
      </w:r>
      <w:r w:rsidR="0042528C">
        <w:t>l</w:t>
      </w:r>
      <w:r>
        <w:t xml:space="preserve"> otro. </w:t>
      </w:r>
      <w:r w:rsidR="00F24272">
        <w:t xml:space="preserve">No obstante, </w:t>
      </w:r>
      <w:r>
        <w:t xml:space="preserve">cuando no </w:t>
      </w:r>
      <w:r w:rsidR="000073AF">
        <w:t xml:space="preserve">se </w:t>
      </w:r>
      <w:r w:rsidR="00FD34E3">
        <w:t>estime la entrega de</w:t>
      </w:r>
      <w:r>
        <w:t xml:space="preserve"> una sola de las cuatro personas a </w:t>
      </w:r>
      <w:r w:rsidR="00F24272">
        <w:t xml:space="preserve">esos </w:t>
      </w:r>
      <w:r>
        <w:t xml:space="preserve">bandidos y </w:t>
      </w:r>
      <w:r w:rsidR="00F24272">
        <w:t xml:space="preserve">él </w:t>
      </w:r>
      <w:r>
        <w:t>diri</w:t>
      </w:r>
      <w:r w:rsidR="00F24272">
        <w:t>giese</w:t>
      </w:r>
      <w:r>
        <w:t xml:space="preserve"> su mente imparcialmente hacia sí mismo y hacia esas tres personas</w:t>
      </w:r>
      <w:r w:rsidR="00FD34E3">
        <w:t xml:space="preserve">, entonces </w:t>
      </w:r>
      <w:r w:rsidR="00F267C6">
        <w:t xml:space="preserve">habrá dado el caso de haber destruido </w:t>
      </w:r>
      <w:r>
        <w:t xml:space="preserve">las barreras. De ahí que los </w:t>
      </w:r>
      <w:r w:rsidR="00693CDE">
        <w:t xml:space="preserve">Venerables </w:t>
      </w:r>
      <w:r>
        <w:t>dijeran:</w:t>
      </w:r>
    </w:p>
    <w:p w14:paraId="60DB7A40" w14:textId="1204EB9C" w:rsidR="00E20596" w:rsidRPr="00F267C6" w:rsidRDefault="00E20596" w:rsidP="00E20596">
      <w:pPr>
        <w:pStyle w:val="VersoIngls01Sangria"/>
        <w:ind w:left="0"/>
        <w:rPr>
          <w:sz w:val="16"/>
          <w:szCs w:val="20"/>
        </w:rPr>
      </w:pPr>
      <w:r>
        <w:t xml:space="preserve">42. </w:t>
      </w:r>
      <w:r>
        <w:tab/>
      </w:r>
      <w:r>
        <w:tab/>
      </w:r>
      <w:r>
        <w:tab/>
      </w:r>
      <w:r w:rsidRPr="00F267C6">
        <w:rPr>
          <w:sz w:val="16"/>
          <w:szCs w:val="20"/>
        </w:rPr>
        <w:t xml:space="preserve">Cuando </w:t>
      </w:r>
      <w:r w:rsidR="00693CDE" w:rsidRPr="00F267C6">
        <w:rPr>
          <w:sz w:val="16"/>
          <w:szCs w:val="20"/>
        </w:rPr>
        <w:t xml:space="preserve">se </w:t>
      </w:r>
      <w:r w:rsidRPr="00F267C6">
        <w:rPr>
          <w:sz w:val="16"/>
          <w:szCs w:val="20"/>
        </w:rPr>
        <w:t>discrimin</w:t>
      </w:r>
      <w:r w:rsidR="00F03366" w:rsidRPr="00F267C6">
        <w:rPr>
          <w:sz w:val="16"/>
          <w:szCs w:val="20"/>
        </w:rPr>
        <w:t>e</w:t>
      </w:r>
      <w:r w:rsidRPr="00F267C6">
        <w:rPr>
          <w:sz w:val="16"/>
          <w:szCs w:val="20"/>
        </w:rPr>
        <w:t xml:space="preserve"> entre</w:t>
      </w:r>
    </w:p>
    <w:p w14:paraId="5EEDDF1C" w14:textId="5C88F944" w:rsidR="00E20596" w:rsidRPr="00F267C6" w:rsidRDefault="00E20596" w:rsidP="00E20596">
      <w:pPr>
        <w:pStyle w:val="VersoIngls01Sangria"/>
        <w:rPr>
          <w:sz w:val="16"/>
          <w:szCs w:val="20"/>
        </w:rPr>
      </w:pPr>
      <w:r w:rsidRPr="00F267C6">
        <w:rPr>
          <w:sz w:val="16"/>
          <w:szCs w:val="20"/>
        </w:rPr>
        <w:t xml:space="preserve">Los cuatro, </w:t>
      </w:r>
      <w:r w:rsidR="00F03366" w:rsidRPr="00F267C6">
        <w:rPr>
          <w:sz w:val="16"/>
          <w:szCs w:val="20"/>
        </w:rPr>
        <w:t>es decir, entre</w:t>
      </w:r>
      <w:r w:rsidRPr="00F267C6">
        <w:rPr>
          <w:sz w:val="16"/>
          <w:szCs w:val="20"/>
        </w:rPr>
        <w:t xml:space="preserve"> él mismo, el </w:t>
      </w:r>
      <w:r w:rsidR="00F267C6">
        <w:rPr>
          <w:sz w:val="16"/>
          <w:szCs w:val="20"/>
        </w:rPr>
        <w:t>estimado</w:t>
      </w:r>
      <w:r w:rsidRPr="00F267C6">
        <w:rPr>
          <w:sz w:val="16"/>
          <w:szCs w:val="20"/>
        </w:rPr>
        <w:t>,</w:t>
      </w:r>
    </w:p>
    <w:p w14:paraId="66952AA8" w14:textId="0DCF9546" w:rsidR="00E20596" w:rsidRPr="00F267C6" w:rsidRDefault="00E20596" w:rsidP="00E20596">
      <w:pPr>
        <w:pStyle w:val="VersoIngls01Sangria"/>
        <w:rPr>
          <w:sz w:val="16"/>
          <w:szCs w:val="20"/>
        </w:rPr>
      </w:pPr>
      <w:r w:rsidRPr="00F267C6">
        <w:rPr>
          <w:sz w:val="16"/>
          <w:szCs w:val="20"/>
        </w:rPr>
        <w:t>El neutral y el hostil,</w:t>
      </w:r>
    </w:p>
    <w:p w14:paraId="0392680B" w14:textId="36CCBB06" w:rsidR="00E20596" w:rsidRPr="00F267C6" w:rsidRDefault="00E20596" w:rsidP="00E20596">
      <w:pPr>
        <w:pStyle w:val="VersoIngls01Sangria"/>
        <w:rPr>
          <w:sz w:val="16"/>
          <w:szCs w:val="20"/>
        </w:rPr>
      </w:pPr>
      <w:r w:rsidRPr="00F267C6">
        <w:rPr>
          <w:sz w:val="16"/>
          <w:szCs w:val="20"/>
        </w:rPr>
        <w:t>Entonces "</w:t>
      </w:r>
      <w:r w:rsidR="000974EA" w:rsidRPr="00F267C6">
        <w:rPr>
          <w:sz w:val="16"/>
          <w:szCs w:val="20"/>
        </w:rPr>
        <w:t>lúcido</w:t>
      </w:r>
      <w:r w:rsidRPr="00F267C6">
        <w:rPr>
          <w:sz w:val="16"/>
          <w:szCs w:val="20"/>
        </w:rPr>
        <w:t xml:space="preserve">" no </w:t>
      </w:r>
      <w:r w:rsidR="000974EA" w:rsidRPr="00F267C6">
        <w:rPr>
          <w:sz w:val="16"/>
          <w:szCs w:val="20"/>
        </w:rPr>
        <w:t xml:space="preserve">será </w:t>
      </w:r>
      <w:r w:rsidR="00A947F4">
        <w:rPr>
          <w:sz w:val="16"/>
          <w:szCs w:val="20"/>
        </w:rPr>
        <w:t>un</w:t>
      </w:r>
      <w:r w:rsidRPr="00F267C6">
        <w:rPr>
          <w:sz w:val="16"/>
          <w:szCs w:val="20"/>
        </w:rPr>
        <w:t xml:space="preserve"> nombre </w:t>
      </w:r>
      <w:r w:rsidR="000974EA" w:rsidRPr="00F267C6">
        <w:rPr>
          <w:sz w:val="16"/>
          <w:szCs w:val="20"/>
        </w:rPr>
        <w:t>él</w:t>
      </w:r>
      <w:r w:rsidRPr="00F267C6">
        <w:rPr>
          <w:sz w:val="16"/>
          <w:szCs w:val="20"/>
        </w:rPr>
        <w:t>,</w:t>
      </w:r>
    </w:p>
    <w:p w14:paraId="22AE2EE3" w14:textId="0F3A323A" w:rsidR="00E20596" w:rsidRPr="00F267C6" w:rsidRDefault="00E20596" w:rsidP="00E20596">
      <w:pPr>
        <w:pStyle w:val="VersoIngls01Sangria"/>
        <w:rPr>
          <w:sz w:val="16"/>
          <w:szCs w:val="20"/>
        </w:rPr>
      </w:pPr>
      <w:r w:rsidRPr="00F267C6">
        <w:rPr>
          <w:sz w:val="16"/>
          <w:szCs w:val="20"/>
        </w:rPr>
        <w:t xml:space="preserve">Ni </w:t>
      </w:r>
      <w:r w:rsidR="003B5A2C">
        <w:rPr>
          <w:sz w:val="16"/>
          <w:szCs w:val="20"/>
        </w:rPr>
        <w:t xml:space="preserve">tampoco </w:t>
      </w:r>
      <w:r w:rsidRPr="00F267C6">
        <w:rPr>
          <w:sz w:val="16"/>
          <w:szCs w:val="20"/>
        </w:rPr>
        <w:t>“</w:t>
      </w:r>
      <w:r w:rsidR="003B5A2C">
        <w:rPr>
          <w:sz w:val="16"/>
          <w:szCs w:val="20"/>
        </w:rPr>
        <w:t xml:space="preserve">hacer </w:t>
      </w:r>
      <w:r w:rsidRPr="00F267C6">
        <w:rPr>
          <w:sz w:val="16"/>
          <w:szCs w:val="20"/>
        </w:rPr>
        <w:t>amistad a voluntad”,</w:t>
      </w:r>
    </w:p>
    <w:p w14:paraId="0F49797C" w14:textId="274F90E5" w:rsidR="00E20596" w:rsidRPr="00F267C6" w:rsidRDefault="000974EA" w:rsidP="00E20596">
      <w:pPr>
        <w:pStyle w:val="VersoIngls01Sangria"/>
        <w:spacing w:after="100"/>
        <w:ind w:left="1418"/>
        <w:rPr>
          <w:sz w:val="16"/>
          <w:szCs w:val="20"/>
        </w:rPr>
      </w:pPr>
      <w:r w:rsidRPr="00F267C6">
        <w:rPr>
          <w:sz w:val="16"/>
          <w:szCs w:val="20"/>
        </w:rPr>
        <w:t xml:space="preserve">Sino </w:t>
      </w:r>
      <w:r w:rsidR="00E20596" w:rsidRPr="00F267C6">
        <w:rPr>
          <w:sz w:val="16"/>
          <w:szCs w:val="20"/>
        </w:rPr>
        <w:t xml:space="preserve">solo </w:t>
      </w:r>
      <w:r w:rsidR="00C44246">
        <w:rPr>
          <w:sz w:val="16"/>
          <w:szCs w:val="20"/>
        </w:rPr>
        <w:t>el de ser</w:t>
      </w:r>
      <w:r w:rsidRPr="00F267C6">
        <w:rPr>
          <w:sz w:val="16"/>
          <w:szCs w:val="20"/>
        </w:rPr>
        <w:t xml:space="preserve"> </w:t>
      </w:r>
      <w:r w:rsidR="00E20596" w:rsidRPr="00F267C6">
        <w:rPr>
          <w:sz w:val="16"/>
          <w:szCs w:val="20"/>
        </w:rPr>
        <w:t xml:space="preserve">“amable </w:t>
      </w:r>
      <w:r w:rsidR="00BC3566" w:rsidRPr="00F267C6">
        <w:rPr>
          <w:sz w:val="16"/>
          <w:szCs w:val="20"/>
        </w:rPr>
        <w:t xml:space="preserve">hacia </w:t>
      </w:r>
      <w:r w:rsidR="00E20596" w:rsidRPr="00F267C6">
        <w:rPr>
          <w:sz w:val="16"/>
          <w:szCs w:val="20"/>
        </w:rPr>
        <w:t>los seres”.</w:t>
      </w:r>
    </w:p>
    <w:p w14:paraId="10C6344F" w14:textId="34839B39" w:rsidR="00E20596" w:rsidRPr="00F267C6" w:rsidRDefault="00E20596" w:rsidP="00E20596">
      <w:pPr>
        <w:pStyle w:val="VersoIngls01Sangria"/>
        <w:rPr>
          <w:sz w:val="16"/>
          <w:szCs w:val="20"/>
        </w:rPr>
      </w:pPr>
      <w:r w:rsidRPr="00F267C6">
        <w:rPr>
          <w:sz w:val="16"/>
          <w:szCs w:val="20"/>
        </w:rPr>
        <w:t xml:space="preserve">Ahora, cuando las barreras de un </w:t>
      </w:r>
      <w:proofErr w:type="spellStart"/>
      <w:r w:rsidR="00057BF4" w:rsidRPr="00F267C6">
        <w:rPr>
          <w:i/>
          <w:iCs/>
          <w:sz w:val="16"/>
          <w:szCs w:val="20"/>
        </w:rPr>
        <w:t>bhikkhu</w:t>
      </w:r>
      <w:proofErr w:type="spellEnd"/>
    </w:p>
    <w:p w14:paraId="1ED17F43" w14:textId="63F17FF7" w:rsidR="00E20596" w:rsidRPr="00F267C6" w:rsidRDefault="00E20596" w:rsidP="00E20596">
      <w:pPr>
        <w:pStyle w:val="VersoIngls01Sangria"/>
        <w:rPr>
          <w:sz w:val="16"/>
          <w:szCs w:val="20"/>
        </w:rPr>
      </w:pPr>
      <w:r w:rsidRPr="00F267C6">
        <w:rPr>
          <w:sz w:val="16"/>
          <w:szCs w:val="20"/>
        </w:rPr>
        <w:t>Se ha</w:t>
      </w:r>
      <w:r w:rsidR="00BC3566" w:rsidRPr="00F267C6">
        <w:rPr>
          <w:sz w:val="16"/>
          <w:szCs w:val="20"/>
        </w:rPr>
        <w:t>ya</w:t>
      </w:r>
      <w:r w:rsidRPr="00F267C6">
        <w:rPr>
          <w:sz w:val="16"/>
          <w:szCs w:val="20"/>
        </w:rPr>
        <w:t xml:space="preserve">n </w:t>
      </w:r>
      <w:r w:rsidR="00FE3AF3" w:rsidRPr="00F267C6">
        <w:rPr>
          <w:sz w:val="16"/>
          <w:szCs w:val="20"/>
        </w:rPr>
        <w:t>disperso</w:t>
      </w:r>
      <w:r w:rsidRPr="00F267C6">
        <w:rPr>
          <w:sz w:val="16"/>
          <w:szCs w:val="20"/>
        </w:rPr>
        <w:t xml:space="preserve"> </w:t>
      </w:r>
      <w:r w:rsidR="00BC3566" w:rsidRPr="00F267C6">
        <w:rPr>
          <w:sz w:val="16"/>
          <w:szCs w:val="20"/>
        </w:rPr>
        <w:t xml:space="preserve">en </w:t>
      </w:r>
      <w:r w:rsidRPr="00F267C6">
        <w:rPr>
          <w:sz w:val="16"/>
          <w:szCs w:val="20"/>
        </w:rPr>
        <w:t>los cuatro,</w:t>
      </w:r>
    </w:p>
    <w:p w14:paraId="660BE888" w14:textId="239F5804" w:rsidR="00E20596" w:rsidRPr="00F267C6" w:rsidRDefault="00E20596" w:rsidP="00E20596">
      <w:pPr>
        <w:pStyle w:val="VersoIngls01Sangria"/>
        <w:rPr>
          <w:sz w:val="16"/>
          <w:szCs w:val="20"/>
        </w:rPr>
      </w:pPr>
      <w:r w:rsidRPr="00F267C6">
        <w:rPr>
          <w:sz w:val="16"/>
          <w:szCs w:val="20"/>
        </w:rPr>
        <w:t xml:space="preserve">Él </w:t>
      </w:r>
      <w:r w:rsidR="00EC5525" w:rsidRPr="00F267C6">
        <w:rPr>
          <w:sz w:val="16"/>
          <w:szCs w:val="20"/>
        </w:rPr>
        <w:t xml:space="preserve">los </w:t>
      </w:r>
      <w:r w:rsidRPr="00F267C6">
        <w:rPr>
          <w:sz w:val="16"/>
          <w:szCs w:val="20"/>
        </w:rPr>
        <w:t>trata</w:t>
      </w:r>
      <w:r w:rsidR="00BC3566" w:rsidRPr="00F267C6">
        <w:rPr>
          <w:sz w:val="16"/>
          <w:szCs w:val="20"/>
        </w:rPr>
        <w:t>rá</w:t>
      </w:r>
      <w:r w:rsidRPr="00F267C6">
        <w:rPr>
          <w:sz w:val="16"/>
          <w:szCs w:val="20"/>
        </w:rPr>
        <w:t xml:space="preserve"> con la misma amistad</w:t>
      </w:r>
    </w:p>
    <w:p w14:paraId="71E49646" w14:textId="3CD753AD" w:rsidR="00E20596" w:rsidRPr="00F267C6" w:rsidRDefault="00BC3566" w:rsidP="00E20596">
      <w:pPr>
        <w:pStyle w:val="VersoIngls01Sangria"/>
        <w:rPr>
          <w:sz w:val="16"/>
          <w:szCs w:val="20"/>
        </w:rPr>
      </w:pPr>
      <w:r w:rsidRPr="00F267C6">
        <w:rPr>
          <w:sz w:val="16"/>
          <w:szCs w:val="20"/>
        </w:rPr>
        <w:t>A este</w:t>
      </w:r>
      <w:r w:rsidR="00E20596" w:rsidRPr="00F267C6">
        <w:rPr>
          <w:sz w:val="16"/>
          <w:szCs w:val="20"/>
        </w:rPr>
        <w:t xml:space="preserve"> mundo entero con sus deidades;</w:t>
      </w:r>
    </w:p>
    <w:p w14:paraId="6965F8B5" w14:textId="77777777" w:rsidR="00E20596" w:rsidRPr="00F267C6" w:rsidRDefault="00E20596" w:rsidP="00E20596">
      <w:pPr>
        <w:pStyle w:val="VersoIngls01Sangria"/>
        <w:rPr>
          <w:sz w:val="16"/>
          <w:szCs w:val="20"/>
        </w:rPr>
      </w:pPr>
      <w:r w:rsidRPr="00F267C6">
        <w:rPr>
          <w:sz w:val="16"/>
          <w:szCs w:val="20"/>
        </w:rPr>
        <w:t>Mucho más distinguido que el primero.</w:t>
      </w:r>
    </w:p>
    <w:p w14:paraId="08032C92" w14:textId="71516ABE" w:rsidR="00E20596" w:rsidRPr="00F267C6" w:rsidRDefault="00FE3AF3" w:rsidP="00E20596">
      <w:pPr>
        <w:pStyle w:val="VersoIngls01Sangria"/>
        <w:spacing w:after="100"/>
        <w:ind w:left="1418"/>
        <w:rPr>
          <w:sz w:val="16"/>
          <w:szCs w:val="20"/>
        </w:rPr>
      </w:pPr>
      <w:r w:rsidRPr="00F267C6">
        <w:rPr>
          <w:sz w:val="16"/>
          <w:szCs w:val="20"/>
        </w:rPr>
        <w:t xml:space="preserve">Será </w:t>
      </w:r>
      <w:r w:rsidR="00E20596" w:rsidRPr="00F267C6">
        <w:rPr>
          <w:sz w:val="16"/>
          <w:szCs w:val="20"/>
        </w:rPr>
        <w:t>el que no cono</w:t>
      </w:r>
      <w:r w:rsidRPr="00F267C6">
        <w:rPr>
          <w:sz w:val="16"/>
          <w:szCs w:val="20"/>
        </w:rPr>
        <w:t>zca</w:t>
      </w:r>
      <w:r w:rsidR="00E20596" w:rsidRPr="00F267C6">
        <w:rPr>
          <w:sz w:val="16"/>
          <w:szCs w:val="20"/>
        </w:rPr>
        <w:t xml:space="preserve"> </w:t>
      </w:r>
      <w:r w:rsidR="00A21D63">
        <w:rPr>
          <w:sz w:val="16"/>
          <w:szCs w:val="20"/>
        </w:rPr>
        <w:t xml:space="preserve">estas </w:t>
      </w:r>
      <w:r w:rsidR="00E20596" w:rsidRPr="00F267C6">
        <w:rPr>
          <w:sz w:val="16"/>
          <w:szCs w:val="20"/>
        </w:rPr>
        <w:t>barreras.</w:t>
      </w:r>
    </w:p>
    <w:p w14:paraId="7CD19754" w14:textId="24FD87A1" w:rsidR="00E20596" w:rsidRDefault="00E20596" w:rsidP="00E20596">
      <w:r>
        <w:t xml:space="preserve">43. </w:t>
      </w:r>
      <w:r>
        <w:tab/>
        <w:t xml:space="preserve">Así, </w:t>
      </w:r>
      <w:r w:rsidR="00EC5525">
        <w:t>el signo</w:t>
      </w:r>
      <w:r>
        <w:t xml:space="preserve"> y el acceso </w:t>
      </w:r>
      <w:r w:rsidR="00EC5525">
        <w:t xml:space="preserve">serán </w:t>
      </w:r>
      <w:r>
        <w:t xml:space="preserve">obtenidos por este </w:t>
      </w:r>
      <w:proofErr w:type="spellStart"/>
      <w:r w:rsidR="00057BF4" w:rsidRPr="00057BF4">
        <w:rPr>
          <w:i/>
          <w:iCs/>
        </w:rPr>
        <w:t>bhikkhu</w:t>
      </w:r>
      <w:proofErr w:type="spellEnd"/>
      <w:r>
        <w:t xml:space="preserve"> simultáneamente con la </w:t>
      </w:r>
      <w:r w:rsidR="00D175DC">
        <w:t>destrucción</w:t>
      </w:r>
      <w:r>
        <w:t xml:space="preserve"> de las barreras. Pero cuando se ha</w:t>
      </w:r>
      <w:r w:rsidR="00D175DC">
        <w:t>ya</w:t>
      </w:r>
      <w:r>
        <w:t xml:space="preserve"> llevado a cabo la </w:t>
      </w:r>
      <w:r w:rsidR="00D175DC">
        <w:t xml:space="preserve">destrucción </w:t>
      </w:r>
      <w:r>
        <w:t>de las barreras, alcanza</w:t>
      </w:r>
      <w:r w:rsidR="00D175DC">
        <w:t>rá</w:t>
      </w:r>
      <w:r>
        <w:t xml:space="preserve"> la absorción en la forma descrita bajo el </w:t>
      </w:r>
      <w:proofErr w:type="spellStart"/>
      <w:r w:rsidR="00057BF4" w:rsidRPr="00057BF4">
        <w:rPr>
          <w:i/>
          <w:iCs/>
        </w:rPr>
        <w:t>kasiṇa</w:t>
      </w:r>
      <w:proofErr w:type="spellEnd"/>
      <w:r>
        <w:t xml:space="preserve"> tierra </w:t>
      </w:r>
      <w:r w:rsidR="00D175DC">
        <w:t xml:space="preserve">y </w:t>
      </w:r>
      <w:r>
        <w:t>sin problemas, cultivando, desarrollando y practicando repetidamente ese mismo signo.</w:t>
      </w:r>
    </w:p>
    <w:p w14:paraId="0FA77DDC" w14:textId="7EEE2829" w:rsidR="00E20596" w:rsidRDefault="00E20596" w:rsidP="00E20596">
      <w:pPr>
        <w:pStyle w:val="NormalConSangria"/>
      </w:pPr>
      <w:r>
        <w:t xml:space="preserve">En este punto, </w:t>
      </w:r>
      <w:r w:rsidR="00246DBB">
        <w:t xml:space="preserve">él </w:t>
      </w:r>
      <w:r>
        <w:t>ha</w:t>
      </w:r>
      <w:r w:rsidR="00246DBB">
        <w:t>brá</w:t>
      </w:r>
      <w:r>
        <w:t xml:space="preserve"> </w:t>
      </w:r>
      <w:r w:rsidR="00246DBB">
        <w:t xml:space="preserve">consumado </w:t>
      </w:r>
      <w:r>
        <w:t xml:space="preserve">el primer </w:t>
      </w:r>
      <w:proofErr w:type="spellStart"/>
      <w:r w:rsidR="00057BF4" w:rsidRPr="00057BF4">
        <w:rPr>
          <w:i/>
          <w:iCs/>
        </w:rPr>
        <w:t>jhāna</w:t>
      </w:r>
      <w:proofErr w:type="spellEnd"/>
      <w:r>
        <w:t>, que abandona</w:t>
      </w:r>
      <w:r w:rsidR="00246DBB">
        <w:t>rá</w:t>
      </w:r>
      <w:r>
        <w:t xml:space="preserve"> cinco factores, posee</w:t>
      </w:r>
      <w:r w:rsidR="00246DBB">
        <w:t>rá</w:t>
      </w:r>
      <w:r>
        <w:t xml:space="preserve"> cinco factores, </w:t>
      </w:r>
      <w:r w:rsidR="00E66353">
        <w:t xml:space="preserve">que será </w:t>
      </w:r>
      <w:r>
        <w:t>bueno en tres formas, est</w:t>
      </w:r>
      <w:r w:rsidR="00E66353">
        <w:t>ar</w:t>
      </w:r>
      <w:r>
        <w:t xml:space="preserve">á dotado de diez características </w:t>
      </w:r>
      <w:r w:rsidR="00E66353">
        <w:t xml:space="preserve">e irá </w:t>
      </w:r>
      <w:r>
        <w:t xml:space="preserve">acompañado de </w:t>
      </w:r>
      <w:r w:rsidR="0048023B">
        <w:t xml:space="preserve">la transmisión de </w:t>
      </w:r>
      <w:r w:rsidR="00D02B75" w:rsidRPr="0082231D">
        <w:rPr>
          <w:i/>
          <w:iCs/>
        </w:rPr>
        <w:t>amor–benevolente</w:t>
      </w:r>
      <w:r>
        <w:t>. Y cuando se ha</w:t>
      </w:r>
      <w:r w:rsidR="0048023B">
        <w:t>ya</w:t>
      </w:r>
      <w:r>
        <w:t xml:space="preserve"> </w:t>
      </w:r>
      <w:r w:rsidR="00BE6CBA">
        <w:t>desarrollado en</w:t>
      </w:r>
      <w:r>
        <w:t xml:space="preserve"> e</w:t>
      </w:r>
      <w:r w:rsidR="0048023B">
        <w:t>ll</w:t>
      </w:r>
      <w:r>
        <w:t>o, entonces mediante el cultivo, el desarrollo y la práctica repetida de ese mismo signo, alcanza</w:t>
      </w:r>
      <w:r w:rsidR="0048023B">
        <w:t>rá</w:t>
      </w:r>
      <w:r>
        <w:t xml:space="preserve"> sucesivamente el segundo y tercer </w:t>
      </w:r>
      <w:proofErr w:type="spellStart"/>
      <w:r w:rsidR="00057BF4" w:rsidRPr="00057BF4">
        <w:rPr>
          <w:i/>
          <w:iCs/>
        </w:rPr>
        <w:t>jhāna</w:t>
      </w:r>
      <w:proofErr w:type="spellEnd"/>
      <w:r>
        <w:t xml:space="preserve"> en el </w:t>
      </w:r>
      <w:r w:rsidR="0048023B">
        <w:t xml:space="preserve">cómputo </w:t>
      </w:r>
      <w:r>
        <w:t xml:space="preserve">cuádruple, y el segundo, tercero y cuarto en el </w:t>
      </w:r>
      <w:r w:rsidR="0048023B">
        <w:t xml:space="preserve">cómputo </w:t>
      </w:r>
      <w:r>
        <w:t>quíntuple. [308]</w:t>
      </w:r>
    </w:p>
    <w:p w14:paraId="27941CA4" w14:textId="661F30DC" w:rsidR="00E20596" w:rsidRDefault="00E20596" w:rsidP="00E20596">
      <w:pPr>
        <w:jc w:val="center"/>
      </w:pPr>
      <w:r>
        <w:t>[</w:t>
      </w:r>
      <w:r w:rsidRPr="00E20596">
        <w:rPr>
          <w:i/>
          <w:iCs/>
        </w:rPr>
        <w:t>Textos y Comentario</w:t>
      </w:r>
      <w:r>
        <w:t>]</w:t>
      </w:r>
    </w:p>
    <w:p w14:paraId="5881AC05" w14:textId="1D30E14D" w:rsidR="00E20596" w:rsidRDefault="00E20596" w:rsidP="00E20596">
      <w:r>
        <w:t xml:space="preserve">44. </w:t>
      </w:r>
      <w:r>
        <w:tab/>
        <w:t xml:space="preserve">Ahora, es por medio de uno de estos </w:t>
      </w:r>
      <w:proofErr w:type="spellStart"/>
      <w:r w:rsidR="00057BF4" w:rsidRPr="00057BF4">
        <w:rPr>
          <w:i/>
          <w:iCs/>
        </w:rPr>
        <w:t>jhāna</w:t>
      </w:r>
      <w:r w:rsidRPr="003E449E">
        <w:rPr>
          <w:i/>
          <w:iCs/>
        </w:rPr>
        <w:t>s</w:t>
      </w:r>
      <w:proofErr w:type="spellEnd"/>
      <w:r>
        <w:t xml:space="preserve"> comenzando con el primero que “</w:t>
      </w:r>
      <w:r w:rsidR="00437F76" w:rsidRPr="00437F76">
        <w:rPr>
          <w:i/>
          <w:iCs/>
        </w:rPr>
        <w:t xml:space="preserve">Él habita </w:t>
      </w:r>
      <w:r w:rsidR="00BE6CBA">
        <w:rPr>
          <w:i/>
          <w:iCs/>
        </w:rPr>
        <w:t>transmitiendo</w:t>
      </w:r>
      <w:r w:rsidRPr="00437F76">
        <w:rPr>
          <w:i/>
          <w:iCs/>
        </w:rPr>
        <w:t xml:space="preserve"> (</w:t>
      </w:r>
      <w:r w:rsidR="00234F24" w:rsidRPr="00437F76">
        <w:rPr>
          <w:i/>
          <w:iCs/>
        </w:rPr>
        <w:t>orientado hacia</w:t>
      </w:r>
      <w:r w:rsidRPr="00437F76">
        <w:rPr>
          <w:i/>
          <w:iCs/>
        </w:rPr>
        <w:t xml:space="preserve">) una dirección con su corazón dotado de </w:t>
      </w:r>
      <w:r w:rsidR="00D02B75" w:rsidRPr="0082231D">
        <w:rPr>
          <w:i/>
          <w:iCs/>
        </w:rPr>
        <w:t>amor–benevolente</w:t>
      </w:r>
      <w:r w:rsidRPr="00437F76">
        <w:rPr>
          <w:i/>
          <w:iCs/>
        </w:rPr>
        <w:t xml:space="preserve">, igualmente </w:t>
      </w:r>
      <w:r w:rsidR="00234F24" w:rsidRPr="00437F76">
        <w:rPr>
          <w:i/>
          <w:iCs/>
        </w:rPr>
        <w:t xml:space="preserve">hacia </w:t>
      </w:r>
      <w:r w:rsidRPr="00437F76">
        <w:rPr>
          <w:i/>
          <w:iCs/>
        </w:rPr>
        <w:t xml:space="preserve">la segunda dirección, igualmente </w:t>
      </w:r>
      <w:r w:rsidR="002A2A4D" w:rsidRPr="00437F76">
        <w:rPr>
          <w:i/>
          <w:iCs/>
        </w:rPr>
        <w:t xml:space="preserve">hacia </w:t>
      </w:r>
      <w:r w:rsidRPr="00437F76">
        <w:rPr>
          <w:i/>
          <w:iCs/>
        </w:rPr>
        <w:t xml:space="preserve">la tercera dirección, igualmente </w:t>
      </w:r>
      <w:r w:rsidR="002A2A4D" w:rsidRPr="00437F76">
        <w:rPr>
          <w:i/>
          <w:iCs/>
        </w:rPr>
        <w:t xml:space="preserve">hacia </w:t>
      </w:r>
      <w:r w:rsidRPr="00437F76">
        <w:rPr>
          <w:i/>
          <w:iCs/>
        </w:rPr>
        <w:t xml:space="preserve">la cuarta dirección, y así </w:t>
      </w:r>
      <w:r w:rsidR="002A2A4D" w:rsidRPr="00437F76">
        <w:rPr>
          <w:i/>
          <w:iCs/>
        </w:rPr>
        <w:t xml:space="preserve">hacia </w:t>
      </w:r>
      <w:r w:rsidRPr="00437F76">
        <w:rPr>
          <w:i/>
          <w:iCs/>
        </w:rPr>
        <w:t xml:space="preserve">arriba, </w:t>
      </w:r>
      <w:r w:rsidR="002A2A4D" w:rsidRPr="00437F76">
        <w:rPr>
          <w:i/>
          <w:iCs/>
        </w:rPr>
        <w:t xml:space="preserve">hacia </w:t>
      </w:r>
      <w:r w:rsidRPr="00437F76">
        <w:rPr>
          <w:i/>
          <w:iCs/>
        </w:rPr>
        <w:t xml:space="preserve">abajo y </w:t>
      </w:r>
      <w:r w:rsidR="002A2A4D" w:rsidRPr="00437F76">
        <w:rPr>
          <w:i/>
          <w:iCs/>
        </w:rPr>
        <w:t xml:space="preserve">hacia </w:t>
      </w:r>
      <w:r w:rsidRPr="00437F76">
        <w:rPr>
          <w:i/>
          <w:iCs/>
        </w:rPr>
        <w:t xml:space="preserve">alrededor; </w:t>
      </w:r>
      <w:r w:rsidR="002A2A4D" w:rsidRPr="00437F76">
        <w:rPr>
          <w:i/>
          <w:iCs/>
        </w:rPr>
        <w:t xml:space="preserve">hacia </w:t>
      </w:r>
      <w:r w:rsidRPr="00437F76">
        <w:rPr>
          <w:i/>
          <w:iCs/>
        </w:rPr>
        <w:t xml:space="preserve">todas partes y por igual habita </w:t>
      </w:r>
      <w:r w:rsidR="00F9725F">
        <w:rPr>
          <w:i/>
          <w:iCs/>
        </w:rPr>
        <w:t>transmitiendo a</w:t>
      </w:r>
      <w:r w:rsidRPr="00437F76">
        <w:rPr>
          <w:i/>
          <w:iCs/>
        </w:rPr>
        <w:t xml:space="preserve">l mundo entero con su corazón </w:t>
      </w:r>
      <w:r w:rsidR="00A11F51">
        <w:rPr>
          <w:i/>
          <w:iCs/>
        </w:rPr>
        <w:t>dotado</w:t>
      </w:r>
      <w:r w:rsidRPr="00437F76">
        <w:rPr>
          <w:i/>
          <w:iCs/>
        </w:rPr>
        <w:t xml:space="preserve"> de </w:t>
      </w:r>
      <w:r w:rsidR="00D02B75" w:rsidRPr="0082231D">
        <w:rPr>
          <w:i/>
          <w:iCs/>
        </w:rPr>
        <w:t>amor–benevolente</w:t>
      </w:r>
      <w:r w:rsidRPr="00437F76">
        <w:rPr>
          <w:i/>
          <w:iCs/>
        </w:rPr>
        <w:t xml:space="preserve">, abundante, </w:t>
      </w:r>
      <w:r w:rsidR="002A2A4D" w:rsidRPr="00437F76">
        <w:rPr>
          <w:i/>
          <w:iCs/>
        </w:rPr>
        <w:t>excelso</w:t>
      </w:r>
      <w:r w:rsidRPr="00437F76">
        <w:rPr>
          <w:i/>
          <w:iCs/>
        </w:rPr>
        <w:t xml:space="preserve">, </w:t>
      </w:r>
      <w:r w:rsidR="00007520" w:rsidRPr="00437F76">
        <w:rPr>
          <w:i/>
          <w:iCs/>
        </w:rPr>
        <w:t>inmensurablemente</w:t>
      </w:r>
      <w:r w:rsidRPr="00437F76">
        <w:rPr>
          <w:i/>
          <w:iCs/>
        </w:rPr>
        <w:t>, libre de enemistad y libre de aflicción</w:t>
      </w:r>
      <w:r>
        <w:t>” (</w:t>
      </w:r>
      <w:proofErr w:type="spellStart"/>
      <w:r>
        <w:t>Vibh</w:t>
      </w:r>
      <w:proofErr w:type="spellEnd"/>
      <w:r>
        <w:t xml:space="preserve"> 272; D I 250). </w:t>
      </w:r>
      <w:r w:rsidR="00007520">
        <w:t xml:space="preserve">Ya </w:t>
      </w:r>
      <w:r>
        <w:t>que esta versatilidad se produc</w:t>
      </w:r>
      <w:r w:rsidR="00F9725F">
        <w:t>irá</w:t>
      </w:r>
      <w:r>
        <w:t xml:space="preserve"> solo en alguien cuya con</w:t>
      </w:r>
      <w:r w:rsidR="00F9725F">
        <w:t>s</w:t>
      </w:r>
      <w:r>
        <w:t>ciencia ha</w:t>
      </w:r>
      <w:r w:rsidR="00437F76">
        <w:t>ya</w:t>
      </w:r>
      <w:r>
        <w:t xml:space="preserve"> alcanzado la absorción en el primer </w:t>
      </w:r>
      <w:proofErr w:type="spellStart"/>
      <w:r w:rsidR="00057BF4" w:rsidRPr="00057BF4">
        <w:rPr>
          <w:i/>
          <w:iCs/>
        </w:rPr>
        <w:t>jhāna</w:t>
      </w:r>
      <w:proofErr w:type="spellEnd"/>
      <w:r>
        <w:t xml:space="preserve"> y </w:t>
      </w:r>
      <w:r w:rsidR="00437F76">
        <w:t>las restantes</w:t>
      </w:r>
      <w:r>
        <w:t>.</w:t>
      </w:r>
    </w:p>
    <w:p w14:paraId="4CF8450E" w14:textId="6B7E01E6" w:rsidR="00E20596" w:rsidRDefault="00E20596">
      <w:pPr>
        <w:tabs>
          <w:tab w:val="clear" w:pos="425"/>
        </w:tabs>
        <w:spacing w:after="160"/>
      </w:pPr>
      <w:r>
        <w:br w:type="page"/>
      </w:r>
    </w:p>
    <w:p w14:paraId="5C1BD043" w14:textId="77777777" w:rsidR="00E20596" w:rsidRDefault="00E20596" w:rsidP="00E20596"/>
    <w:p w14:paraId="3EFDDDA9" w14:textId="7C8FC5D8" w:rsidR="005F3D79" w:rsidRDefault="005F3D79" w:rsidP="005F3D79">
      <w:r>
        <w:t xml:space="preserve">45. </w:t>
      </w:r>
      <w:r>
        <w:tab/>
        <w:t xml:space="preserve">Y aquí </w:t>
      </w:r>
      <w:r w:rsidRPr="003E449E">
        <w:rPr>
          <w:i/>
          <w:iCs/>
        </w:rPr>
        <w:t xml:space="preserve">dotado de </w:t>
      </w:r>
      <w:r w:rsidR="00D02B75" w:rsidRPr="0082231D">
        <w:rPr>
          <w:i/>
          <w:iCs/>
        </w:rPr>
        <w:t>amor–benevolente</w:t>
      </w:r>
      <w:r w:rsidR="00437F76">
        <w:t xml:space="preserve"> </w:t>
      </w:r>
      <w:r>
        <w:t>significa pose</w:t>
      </w:r>
      <w:r w:rsidR="004F688E">
        <w:t>ído de</w:t>
      </w:r>
      <w:r>
        <w:t xml:space="preserve"> </w:t>
      </w:r>
      <w:r w:rsidR="00D02B75" w:rsidRPr="0082231D">
        <w:rPr>
          <w:i/>
          <w:iCs/>
        </w:rPr>
        <w:t>amor–benevolente</w:t>
      </w:r>
      <w:r>
        <w:t xml:space="preserve">. </w:t>
      </w:r>
      <w:r w:rsidRPr="00437F76">
        <w:rPr>
          <w:i/>
          <w:iCs/>
        </w:rPr>
        <w:t>Con su corazón</w:t>
      </w:r>
      <w:r>
        <w:t xml:space="preserve"> (</w:t>
      </w:r>
      <w:proofErr w:type="spellStart"/>
      <w:r w:rsidRPr="003E449E">
        <w:rPr>
          <w:i/>
          <w:iCs/>
        </w:rPr>
        <w:t>cetasā</w:t>
      </w:r>
      <w:proofErr w:type="spellEnd"/>
      <w:r>
        <w:t xml:space="preserve">): </w:t>
      </w:r>
      <w:r w:rsidRPr="00437F76">
        <w:rPr>
          <w:i/>
          <w:iCs/>
        </w:rPr>
        <w:t>con su mente</w:t>
      </w:r>
      <w:r>
        <w:t xml:space="preserve"> (</w:t>
      </w:r>
      <w:proofErr w:type="spellStart"/>
      <w:r w:rsidRPr="003E449E">
        <w:rPr>
          <w:i/>
          <w:iCs/>
        </w:rPr>
        <w:t>cittena</w:t>
      </w:r>
      <w:proofErr w:type="spellEnd"/>
      <w:r>
        <w:t xml:space="preserve">). </w:t>
      </w:r>
      <w:r w:rsidR="00F45C93" w:rsidRPr="00F45C93">
        <w:rPr>
          <w:i/>
          <w:iCs/>
        </w:rPr>
        <w:t>Hacia u</w:t>
      </w:r>
      <w:r w:rsidRPr="00F45C93">
        <w:rPr>
          <w:i/>
          <w:iCs/>
        </w:rPr>
        <w:t>na dirección</w:t>
      </w:r>
      <w:r>
        <w:t>: refiere a cualquier dirección en la que se disciern</w:t>
      </w:r>
      <w:r w:rsidR="00F45C93">
        <w:t>a</w:t>
      </w:r>
      <w:r>
        <w:t xml:space="preserve"> por primera vez un ser y signifi</w:t>
      </w:r>
      <w:r w:rsidR="0017549F">
        <w:t>que</w:t>
      </w:r>
      <w:r>
        <w:t xml:space="preserve"> la penetración de los seres incluidos en esa única dirección. </w:t>
      </w:r>
      <w:r w:rsidR="000556EA">
        <w:rPr>
          <w:i/>
          <w:iCs/>
        </w:rPr>
        <w:t>Transmitiendo</w:t>
      </w:r>
      <w:r>
        <w:t xml:space="preserve">: </w:t>
      </w:r>
      <w:r w:rsidR="00FD6334">
        <w:t>haciendo contacto</w:t>
      </w:r>
      <w:r>
        <w:t xml:space="preserve">, haciendo su objeto. </w:t>
      </w:r>
      <w:r w:rsidRPr="0017549F">
        <w:rPr>
          <w:i/>
          <w:iCs/>
        </w:rPr>
        <w:t xml:space="preserve">Él </w:t>
      </w:r>
      <w:r w:rsidR="0017549F" w:rsidRPr="0017549F">
        <w:rPr>
          <w:i/>
          <w:iCs/>
        </w:rPr>
        <w:t>habita</w:t>
      </w:r>
      <w:r>
        <w:t xml:space="preserve"> (</w:t>
      </w:r>
      <w:proofErr w:type="spellStart"/>
      <w:r w:rsidRPr="003E449E">
        <w:rPr>
          <w:i/>
          <w:iCs/>
        </w:rPr>
        <w:t>viharati</w:t>
      </w:r>
      <w:proofErr w:type="spellEnd"/>
      <w:r>
        <w:t xml:space="preserve">): provoca la ocurrencia de un </w:t>
      </w:r>
      <w:r w:rsidR="0017549F">
        <w:t>estado</w:t>
      </w:r>
      <w:r>
        <w:t xml:space="preserve"> (</w:t>
      </w:r>
      <w:proofErr w:type="spellStart"/>
      <w:r w:rsidRPr="003E449E">
        <w:rPr>
          <w:i/>
          <w:iCs/>
        </w:rPr>
        <w:t>vihāra</w:t>
      </w:r>
      <w:proofErr w:type="spellEnd"/>
      <w:r>
        <w:t>—</w:t>
      </w:r>
      <w:r w:rsidR="0017549F">
        <w:t xml:space="preserve">plano </w:t>
      </w:r>
      <w:r>
        <w:t xml:space="preserve">o continuación) en </w:t>
      </w:r>
      <w:r w:rsidR="00A750C3">
        <w:t xml:space="preserve">las </w:t>
      </w:r>
      <w:r>
        <w:t>posturas que está</w:t>
      </w:r>
      <w:r w:rsidR="00A750C3">
        <w:t>n</w:t>
      </w:r>
      <w:r>
        <w:t xml:space="preserve"> dedicada</w:t>
      </w:r>
      <w:r w:rsidR="00A750C3">
        <w:t>s</w:t>
      </w:r>
      <w:r>
        <w:t xml:space="preserve"> a l</w:t>
      </w:r>
      <w:r w:rsidR="0042795E">
        <w:t>o</w:t>
      </w:r>
      <w:r>
        <w:t xml:space="preserve">s </w:t>
      </w:r>
      <w:r w:rsidR="0042795E">
        <w:t>estados</w:t>
      </w:r>
      <w:r>
        <w:t xml:space="preserve"> divin</w:t>
      </w:r>
      <w:r w:rsidR="0042795E">
        <w:t>o</w:t>
      </w:r>
      <w:r>
        <w:t xml:space="preserve">s (ver IV.103). </w:t>
      </w:r>
      <w:r w:rsidRPr="00A750C3">
        <w:rPr>
          <w:i/>
          <w:iCs/>
        </w:rPr>
        <w:t xml:space="preserve">Así mismo </w:t>
      </w:r>
      <w:r w:rsidR="007F45BC">
        <w:rPr>
          <w:i/>
          <w:iCs/>
        </w:rPr>
        <w:t xml:space="preserve">hacia </w:t>
      </w:r>
      <w:r w:rsidRPr="00A750C3">
        <w:rPr>
          <w:i/>
          <w:iCs/>
        </w:rPr>
        <w:t>l</w:t>
      </w:r>
      <w:r w:rsidR="007F45BC">
        <w:rPr>
          <w:i/>
          <w:iCs/>
        </w:rPr>
        <w:t>a</w:t>
      </w:r>
      <w:r w:rsidRPr="00A750C3">
        <w:rPr>
          <w:i/>
          <w:iCs/>
        </w:rPr>
        <w:t xml:space="preserve"> segund</w:t>
      </w:r>
      <w:r w:rsidR="007F45BC">
        <w:rPr>
          <w:i/>
          <w:iCs/>
        </w:rPr>
        <w:t>a dirección</w:t>
      </w:r>
      <w:r>
        <w:t xml:space="preserve">: </w:t>
      </w:r>
      <w:r w:rsidR="007F45BC">
        <w:t xml:space="preserve">el sentido es que </w:t>
      </w:r>
      <w:r>
        <w:t xml:space="preserve">así como habita </w:t>
      </w:r>
      <w:r w:rsidR="0042795E">
        <w:t>transmitiendo</w:t>
      </w:r>
      <w:r>
        <w:t xml:space="preserve"> cualquier dirección entre las que empiezan por la oriental, así lo ha</w:t>
      </w:r>
      <w:r w:rsidR="0042795E">
        <w:t>rá</w:t>
      </w:r>
      <w:r>
        <w:t xml:space="preserve"> con la siguiente, y la tercera y la cuarta</w:t>
      </w:r>
      <w:r w:rsidR="0042795E">
        <w:t xml:space="preserve"> dirección</w:t>
      </w:r>
      <w:r>
        <w:t>.</w:t>
      </w:r>
    </w:p>
    <w:p w14:paraId="2C2D6EE4" w14:textId="6839C476" w:rsidR="005F3D79" w:rsidRDefault="005F3D79" w:rsidP="005F3D79">
      <w:r>
        <w:t>46. ​​</w:t>
      </w:r>
      <w:r>
        <w:tab/>
      </w:r>
      <w:r w:rsidRPr="007F45BC">
        <w:rPr>
          <w:i/>
          <w:iCs/>
        </w:rPr>
        <w:t xml:space="preserve">Así </w:t>
      </w:r>
      <w:r w:rsidR="007F45BC" w:rsidRPr="007F45BC">
        <w:rPr>
          <w:i/>
          <w:iCs/>
        </w:rPr>
        <w:t xml:space="preserve">hacia </w:t>
      </w:r>
      <w:r w:rsidRPr="007F45BC">
        <w:rPr>
          <w:i/>
          <w:iCs/>
        </w:rPr>
        <w:t>arriba</w:t>
      </w:r>
      <w:r>
        <w:t xml:space="preserve">: </w:t>
      </w:r>
      <w:r w:rsidR="004F72FC">
        <w:t>lo que se quiere decir es</w:t>
      </w:r>
      <w:r w:rsidR="00EC65D0">
        <w:t>,</w:t>
      </w:r>
      <w:r w:rsidR="004F72FC">
        <w:t xml:space="preserve"> </w:t>
      </w:r>
      <w:r>
        <w:t>de la misma manera</w:t>
      </w:r>
      <w:r w:rsidR="00EC65D0">
        <w:t>,</w:t>
      </w:r>
      <w:r>
        <w:t xml:space="preserve"> </w:t>
      </w:r>
      <w:r w:rsidR="002C15B5">
        <w:t xml:space="preserve">hacia </w:t>
      </w:r>
      <w:r>
        <w:t xml:space="preserve">la dirección superior. </w:t>
      </w:r>
      <w:r w:rsidR="00EC65D0" w:rsidRPr="00EC65D0">
        <w:rPr>
          <w:i/>
          <w:iCs/>
        </w:rPr>
        <w:t>Hacia a</w:t>
      </w:r>
      <w:r w:rsidRPr="00EC65D0">
        <w:rPr>
          <w:i/>
          <w:iCs/>
        </w:rPr>
        <w:t xml:space="preserve">bajo, </w:t>
      </w:r>
      <w:r w:rsidR="00131AA4">
        <w:rPr>
          <w:i/>
          <w:iCs/>
        </w:rPr>
        <w:t xml:space="preserve">hacia el alrededor </w:t>
      </w:r>
      <w:r w:rsidR="00B53E2D">
        <w:t>se refiere</w:t>
      </w:r>
      <w:r w:rsidR="00C1495A">
        <w:t xml:space="preserve"> </w:t>
      </w:r>
      <w:r w:rsidR="002C15B5">
        <w:t xml:space="preserve">hacia </w:t>
      </w:r>
      <w:r w:rsidR="00C1495A">
        <w:t>la dirección inferior</w:t>
      </w:r>
      <w:r>
        <w:t xml:space="preserve"> así también </w:t>
      </w:r>
      <w:r w:rsidR="00077C42">
        <w:t xml:space="preserve">como </w:t>
      </w:r>
      <w:r w:rsidR="002C15B5">
        <w:t xml:space="preserve">hacia </w:t>
      </w:r>
      <w:r>
        <w:t xml:space="preserve">la dirección </w:t>
      </w:r>
      <w:r w:rsidR="002C15B5">
        <w:t xml:space="preserve">de los </w:t>
      </w:r>
      <w:r>
        <w:t>alrededor</w:t>
      </w:r>
      <w:r w:rsidR="002C15B5">
        <w:t>es</w:t>
      </w:r>
      <w:r>
        <w:t xml:space="preserve">. Aquí abajo </w:t>
      </w:r>
      <w:r w:rsidR="002C15B5">
        <w:t xml:space="preserve">se encuentra </w:t>
      </w:r>
      <w:r>
        <w:t xml:space="preserve">debajo y alrededor </w:t>
      </w:r>
      <w:r w:rsidR="00492873">
        <w:t xml:space="preserve">se refiere hacia </w:t>
      </w:r>
      <w:r>
        <w:t xml:space="preserve">las direcciones intermedias. Así que </w:t>
      </w:r>
      <w:r w:rsidR="00492873">
        <w:t xml:space="preserve">él </w:t>
      </w:r>
      <w:r w:rsidR="00077C42">
        <w:t xml:space="preserve">transmite </w:t>
      </w:r>
      <w:r w:rsidR="00492873">
        <w:t xml:space="preserve">con </w:t>
      </w:r>
      <w:r>
        <w:t xml:space="preserve">su corazón lleno de </w:t>
      </w:r>
      <w:r w:rsidR="00D02B75" w:rsidRPr="0082231D">
        <w:rPr>
          <w:i/>
          <w:iCs/>
        </w:rPr>
        <w:t>amor–benevolente</w:t>
      </w:r>
      <w:r w:rsidR="00077C42">
        <w:t xml:space="preserve"> </w:t>
      </w:r>
      <w:r>
        <w:t>de un lado a otro</w:t>
      </w:r>
      <w:r w:rsidR="00492873">
        <w:t>,</w:t>
      </w:r>
      <w:r>
        <w:t xml:space="preserve"> </w:t>
      </w:r>
      <w:r w:rsidR="00492873">
        <w:t xml:space="preserve">hacia </w:t>
      </w:r>
      <w:r>
        <w:t xml:space="preserve">todas </w:t>
      </w:r>
      <w:r w:rsidR="00077C42">
        <w:t xml:space="preserve">las </w:t>
      </w:r>
      <w:r>
        <w:t xml:space="preserve">direcciones como un caballo en </w:t>
      </w:r>
      <w:r w:rsidR="00077C42">
        <w:t xml:space="preserve">el plató de </w:t>
      </w:r>
      <w:r>
        <w:t xml:space="preserve">un circo. Hasta este punto, la </w:t>
      </w:r>
      <w:r w:rsidR="00492873">
        <w:t xml:space="preserve">transmisión </w:t>
      </w:r>
      <w:r>
        <w:t xml:space="preserve">específica </w:t>
      </w:r>
      <w:r w:rsidR="00416970">
        <w:t xml:space="preserve">de </w:t>
      </w:r>
      <w:r w:rsidR="00D02B75" w:rsidRPr="0082231D">
        <w:rPr>
          <w:i/>
          <w:iCs/>
        </w:rPr>
        <w:t>amor–benevolente</w:t>
      </w:r>
      <w:r w:rsidR="00416970">
        <w:rPr>
          <w:i/>
          <w:iCs/>
        </w:rPr>
        <w:t xml:space="preserve"> </w:t>
      </w:r>
      <w:r>
        <w:t xml:space="preserve">se muestra en el discernimiento de cada dirección </w:t>
      </w:r>
      <w:r w:rsidR="00416970">
        <w:t>de forma independiente</w:t>
      </w:r>
      <w:r>
        <w:t>.</w:t>
      </w:r>
    </w:p>
    <w:p w14:paraId="6603FA24" w14:textId="4EDB393B" w:rsidR="005F3D79" w:rsidRDefault="005F3D79" w:rsidP="005F3D79">
      <w:r>
        <w:t xml:space="preserve">47. </w:t>
      </w:r>
      <w:r>
        <w:tab/>
      </w:r>
      <w:r w:rsidR="00416970">
        <w:rPr>
          <w:i/>
          <w:iCs/>
        </w:rPr>
        <w:t xml:space="preserve">Hacia </w:t>
      </w:r>
      <w:r w:rsidRPr="003E449E">
        <w:rPr>
          <w:i/>
          <w:iCs/>
        </w:rPr>
        <w:t>todas partes</w:t>
      </w:r>
      <w:r>
        <w:t xml:space="preserve">, etc., se dice con el propósito de mostrar una </w:t>
      </w:r>
      <w:r w:rsidR="00AD105A">
        <w:t xml:space="preserve">transmisión </w:t>
      </w:r>
      <w:r>
        <w:t>no espec</w:t>
      </w:r>
      <w:r w:rsidR="00AD105A">
        <w:t>í</w:t>
      </w:r>
      <w:r>
        <w:t xml:space="preserve">fica. Aquí, </w:t>
      </w:r>
      <w:r w:rsidR="00416970">
        <w:t xml:space="preserve">hacia </w:t>
      </w:r>
      <w:r>
        <w:t xml:space="preserve">todas partes significa </w:t>
      </w:r>
      <w:r w:rsidR="00416970">
        <w:t xml:space="preserve">hacia </w:t>
      </w:r>
      <w:r>
        <w:t xml:space="preserve">todos los lugares. </w:t>
      </w:r>
      <w:r w:rsidRPr="003E449E">
        <w:rPr>
          <w:i/>
          <w:iCs/>
        </w:rPr>
        <w:t>Igualmente</w:t>
      </w:r>
      <w:r>
        <w:t xml:space="preserve"> (</w:t>
      </w:r>
      <w:proofErr w:type="spellStart"/>
      <w:r w:rsidRPr="003E449E">
        <w:rPr>
          <w:i/>
          <w:iCs/>
        </w:rPr>
        <w:t>sabbattatāya</w:t>
      </w:r>
      <w:proofErr w:type="spellEnd"/>
      <w:r>
        <w:t xml:space="preserve">): </w:t>
      </w:r>
      <w:r w:rsidR="00CB2472">
        <w:t>hacia</w:t>
      </w:r>
      <w:r>
        <w:t xml:space="preserve"> todos los </w:t>
      </w:r>
      <w:r w:rsidR="00CB2472">
        <w:t xml:space="preserve">seres </w:t>
      </w:r>
      <w:r>
        <w:t xml:space="preserve">clasificados como inferiores, medios, superiores, amistosos, hostiles, neutrales, etc., </w:t>
      </w:r>
      <w:r w:rsidR="00F67A6E">
        <w:t xml:space="preserve">así </w:t>
      </w:r>
      <w:r>
        <w:t xml:space="preserve">como </w:t>
      </w:r>
      <w:r w:rsidR="00F67A6E">
        <w:t>hacia</w:t>
      </w:r>
      <w:r>
        <w:t xml:space="preserve"> uno mismo (</w:t>
      </w:r>
      <w:proofErr w:type="spellStart"/>
      <w:r w:rsidRPr="003E449E">
        <w:rPr>
          <w:i/>
          <w:iCs/>
        </w:rPr>
        <w:t>attatā</w:t>
      </w:r>
      <w:proofErr w:type="spellEnd"/>
      <w:r>
        <w:t>); igual</w:t>
      </w:r>
      <w:r w:rsidR="00CB2472">
        <w:t>mente</w:t>
      </w:r>
      <w:r>
        <w:t xml:space="preserve"> con uno mismo (</w:t>
      </w:r>
      <w:proofErr w:type="spellStart"/>
      <w:r w:rsidRPr="003E449E">
        <w:rPr>
          <w:i/>
          <w:iCs/>
        </w:rPr>
        <w:t>atta-samatā</w:t>
      </w:r>
      <w:proofErr w:type="spellEnd"/>
      <w:r>
        <w:t>) sin hacer distinción, “</w:t>
      </w:r>
      <w:r w:rsidR="00CB2472">
        <w:t>É</w:t>
      </w:r>
      <w:r>
        <w:t xml:space="preserve">ste es otro ser”, es lo que se quiere decir. O alternativamente, </w:t>
      </w:r>
      <w:r w:rsidR="00CA3426">
        <w:t xml:space="preserve">se refiere a </w:t>
      </w:r>
      <w:r>
        <w:t xml:space="preserve">todo estado </w:t>
      </w:r>
      <w:r w:rsidR="00CA3426">
        <w:t>mental</w:t>
      </w:r>
      <w:r w:rsidR="00A50A74" w:rsidRPr="00A50A74">
        <w:t xml:space="preserve"> </w:t>
      </w:r>
      <w:r w:rsidR="00A50A74" w:rsidRPr="00A50A74">
        <w:rPr>
          <w:i/>
          <w:iCs/>
        </w:rPr>
        <w:t>por igual</w:t>
      </w:r>
      <w:r w:rsidR="00A50A74">
        <w:t xml:space="preserve"> (</w:t>
      </w:r>
      <w:proofErr w:type="spellStart"/>
      <w:r w:rsidR="00A50A74" w:rsidRPr="003E449E">
        <w:rPr>
          <w:i/>
          <w:iCs/>
        </w:rPr>
        <w:t>sabbattatāya</w:t>
      </w:r>
      <w:proofErr w:type="spellEnd"/>
      <w:r w:rsidR="00A50A74">
        <w:t>)</w:t>
      </w:r>
      <w:r>
        <w:t xml:space="preserve">; </w:t>
      </w:r>
      <w:r w:rsidR="00CA3426">
        <w:t xml:space="preserve">sin la </w:t>
      </w:r>
      <w:r>
        <w:t xml:space="preserve">reserva </w:t>
      </w:r>
      <w:r w:rsidR="00CA3426">
        <w:t xml:space="preserve">de </w:t>
      </w:r>
      <w:r>
        <w:t xml:space="preserve">ni </w:t>
      </w:r>
      <w:r w:rsidR="00CA3426">
        <w:t xml:space="preserve">siquiera </w:t>
      </w:r>
      <w:r>
        <w:t xml:space="preserve">un poco, es lo que se quiere decir. [309] </w:t>
      </w:r>
      <w:r w:rsidRPr="003E449E">
        <w:rPr>
          <w:i/>
          <w:iCs/>
        </w:rPr>
        <w:t>Entero</w:t>
      </w:r>
      <w:r>
        <w:t xml:space="preserve"> (</w:t>
      </w:r>
      <w:proofErr w:type="spellStart"/>
      <w:r w:rsidRPr="003E449E">
        <w:rPr>
          <w:i/>
          <w:iCs/>
        </w:rPr>
        <w:t>sabbāvant</w:t>
      </w:r>
      <w:proofErr w:type="spellEnd"/>
      <w:r>
        <w:t>)</w:t>
      </w:r>
      <w:r w:rsidR="000961AA">
        <w:t>,</w:t>
      </w:r>
      <w:r>
        <w:t xml:space="preserve"> </w:t>
      </w:r>
      <w:r w:rsidR="00594C47">
        <w:t xml:space="preserve">el significado </w:t>
      </w:r>
      <w:r w:rsidR="000961AA">
        <w:t xml:space="preserve">es: </w:t>
      </w:r>
      <w:r w:rsidR="00704A9A">
        <w:t xml:space="preserve">albergando a </w:t>
      </w:r>
      <w:r>
        <w:t>todos los seres (</w:t>
      </w:r>
      <w:proofErr w:type="spellStart"/>
      <w:r w:rsidRPr="003E449E">
        <w:rPr>
          <w:i/>
          <w:iCs/>
        </w:rPr>
        <w:t>sabbasattavant</w:t>
      </w:r>
      <w:proofErr w:type="spellEnd"/>
      <w:r>
        <w:t xml:space="preserve">); asociado con todos los seres. El mundo </w:t>
      </w:r>
      <w:r w:rsidR="000961AA">
        <w:t>se referirá a</w:t>
      </w:r>
      <w:r>
        <w:t>l mundo de los seres.</w:t>
      </w:r>
    </w:p>
    <w:p w14:paraId="41A024B3" w14:textId="6531B260" w:rsidR="005F3D79" w:rsidRDefault="005F3D79" w:rsidP="005F3D79">
      <w:r>
        <w:t xml:space="preserve">48. </w:t>
      </w:r>
      <w:r>
        <w:tab/>
      </w:r>
      <w:r w:rsidRPr="003E449E">
        <w:rPr>
          <w:i/>
          <w:iCs/>
        </w:rPr>
        <w:t xml:space="preserve">Dotado de </w:t>
      </w:r>
      <w:r w:rsidR="00D02B75" w:rsidRPr="0082231D">
        <w:rPr>
          <w:i/>
          <w:iCs/>
        </w:rPr>
        <w:t>amor–benevolente</w:t>
      </w:r>
      <w:r w:rsidR="00704A9A">
        <w:rPr>
          <w:i/>
          <w:iCs/>
        </w:rPr>
        <w:t xml:space="preserve"> </w:t>
      </w:r>
      <w:r>
        <w:t xml:space="preserve">se dice de nuevo aquí para introducir los sinónimos que comienzan con </w:t>
      </w:r>
      <w:r w:rsidRPr="003E449E">
        <w:rPr>
          <w:i/>
          <w:iCs/>
        </w:rPr>
        <w:t>abundante</w:t>
      </w:r>
      <w:r>
        <w:t xml:space="preserve">. O alternativamente, </w:t>
      </w:r>
      <w:r w:rsidRPr="003E449E">
        <w:rPr>
          <w:i/>
          <w:iCs/>
        </w:rPr>
        <w:t xml:space="preserve">dotado de </w:t>
      </w:r>
      <w:r w:rsidR="00D02B75" w:rsidRPr="0082231D">
        <w:rPr>
          <w:i/>
          <w:iCs/>
        </w:rPr>
        <w:t>amor–benevolente</w:t>
      </w:r>
      <w:r w:rsidR="00704A9A">
        <w:rPr>
          <w:i/>
          <w:iCs/>
        </w:rPr>
        <w:t xml:space="preserve"> </w:t>
      </w:r>
      <w:r>
        <w:t xml:space="preserve">se repite porque la palabra </w:t>
      </w:r>
      <w:r w:rsidRPr="003E449E">
        <w:rPr>
          <w:i/>
          <w:iCs/>
        </w:rPr>
        <w:t>igualmente</w:t>
      </w:r>
      <w:r>
        <w:t xml:space="preserve"> o la palabra </w:t>
      </w:r>
      <w:r w:rsidRPr="003E449E">
        <w:rPr>
          <w:i/>
          <w:iCs/>
        </w:rPr>
        <w:t>así</w:t>
      </w:r>
      <w:r>
        <w:t xml:space="preserve"> no se repite aquí como lo fue en el caso de la </w:t>
      </w:r>
      <w:r w:rsidR="004D4FB3">
        <w:t>transmisión</w:t>
      </w:r>
      <w:r>
        <w:t xml:space="preserve"> espec</w:t>
      </w:r>
      <w:r w:rsidR="00704A9A">
        <w:t>í</w:t>
      </w:r>
      <w:r>
        <w:t>fica [anterior]. O alternativamente, se dice como una forma de conclu</w:t>
      </w:r>
      <w:r w:rsidR="004D4FB3">
        <w:t>sión</w:t>
      </w:r>
      <w:r>
        <w:t xml:space="preserve">. Y </w:t>
      </w:r>
      <w:r w:rsidRPr="00515826">
        <w:rPr>
          <w:i/>
          <w:iCs/>
        </w:rPr>
        <w:t>abundante</w:t>
      </w:r>
      <w:r>
        <w:t xml:space="preserve"> debe</w:t>
      </w:r>
      <w:r w:rsidR="00704A9A">
        <w:t>rá</w:t>
      </w:r>
      <w:r>
        <w:t xml:space="preserve"> considerarse aquí como abundancia en la </w:t>
      </w:r>
      <w:r w:rsidR="00436CB7">
        <w:t>transmisión</w:t>
      </w:r>
      <w:r>
        <w:t xml:space="preserve">. </w:t>
      </w:r>
      <w:r w:rsidR="00704A9A">
        <w:t>No obstante, será</w:t>
      </w:r>
      <w:r>
        <w:t xml:space="preserve"> </w:t>
      </w:r>
      <w:r w:rsidR="00704A9A">
        <w:rPr>
          <w:i/>
          <w:iCs/>
        </w:rPr>
        <w:t xml:space="preserve">excelso </w:t>
      </w:r>
      <w:r>
        <w:t xml:space="preserve">en el plano [desde el plano de la esfera sensual hasta el plano de la esfera material </w:t>
      </w:r>
      <w:r w:rsidR="00704A9A">
        <w:t>sutil</w:t>
      </w:r>
      <w:r>
        <w:t xml:space="preserve">], </w:t>
      </w:r>
      <w:r w:rsidRPr="00515826">
        <w:rPr>
          <w:i/>
          <w:iCs/>
        </w:rPr>
        <w:t>inmensurable</w:t>
      </w:r>
      <w:r>
        <w:t xml:space="preserve"> a través de la familiaridad y ten</w:t>
      </w:r>
      <w:r w:rsidR="00C24473">
        <w:t>iendo</w:t>
      </w:r>
      <w:r>
        <w:t xml:space="preserve"> </w:t>
      </w:r>
      <w:r w:rsidR="00C24473">
        <w:t xml:space="preserve">a los </w:t>
      </w:r>
      <w:r>
        <w:t>seres inmensurable</w:t>
      </w:r>
      <w:r w:rsidR="00C24473">
        <w:t>mente</w:t>
      </w:r>
      <w:r>
        <w:t xml:space="preserve"> como su objeto, </w:t>
      </w:r>
      <w:r w:rsidRPr="00515826">
        <w:rPr>
          <w:i/>
          <w:iCs/>
        </w:rPr>
        <w:t>libre de enemistad</w:t>
      </w:r>
      <w:r>
        <w:t xml:space="preserve"> a través del abandono de la mala voluntad y la hostilidad, y </w:t>
      </w:r>
      <w:r w:rsidRPr="00515826">
        <w:rPr>
          <w:i/>
          <w:iCs/>
        </w:rPr>
        <w:t>libre de aflicción</w:t>
      </w:r>
      <w:r>
        <w:t xml:space="preserve">. </w:t>
      </w:r>
      <w:r w:rsidR="00C24473">
        <w:t>A través d</w:t>
      </w:r>
      <w:r>
        <w:t xml:space="preserve">el abandono del dolor; sin sufrimiento, es lo que se quiere decir. </w:t>
      </w:r>
      <w:r w:rsidR="00F41DCD">
        <w:t>É</w:t>
      </w:r>
      <w:r>
        <w:t xml:space="preserve">ste es el significado de la versatilidad descrita en el </w:t>
      </w:r>
      <w:r w:rsidR="00F41DCD">
        <w:t xml:space="preserve">pasaje </w:t>
      </w:r>
      <w:r>
        <w:t xml:space="preserve">que comienza, “Con su corazón </w:t>
      </w:r>
      <w:r w:rsidR="00477BA8">
        <w:t>dotado</w:t>
      </w:r>
      <w:r>
        <w:t xml:space="preserve"> de </w:t>
      </w:r>
      <w:r w:rsidR="00D02B75" w:rsidRPr="0082231D">
        <w:rPr>
          <w:i/>
          <w:iCs/>
        </w:rPr>
        <w:t>amor–benevolente</w:t>
      </w:r>
      <w:r>
        <w:t>”.</w:t>
      </w:r>
    </w:p>
    <w:p w14:paraId="37ACB6E7" w14:textId="3B49F5E3" w:rsidR="005F3D79" w:rsidRDefault="005F3D79" w:rsidP="005F3D79">
      <w:r>
        <w:t xml:space="preserve">49. </w:t>
      </w:r>
      <w:r>
        <w:tab/>
        <w:t xml:space="preserve">Y así como esta versatilidad solo </w:t>
      </w:r>
      <w:r w:rsidR="00477BA8">
        <w:t>tendr</w:t>
      </w:r>
      <w:r w:rsidR="00B77191">
        <w:t>á</w:t>
      </w:r>
      <w:r>
        <w:t xml:space="preserve"> éxito en aquel cuya mente ha</w:t>
      </w:r>
      <w:r w:rsidR="00477BA8">
        <w:t>ya</w:t>
      </w:r>
      <w:r>
        <w:t xml:space="preserve"> alcanzado la absorción, también debe entenderse que lo descrito en el </w:t>
      </w:r>
      <w:proofErr w:type="spellStart"/>
      <w:r w:rsidR="0072020A" w:rsidRPr="0072020A">
        <w:rPr>
          <w:i/>
          <w:iCs/>
        </w:rPr>
        <w:t>Paṭisambhidā</w:t>
      </w:r>
      <w:proofErr w:type="spellEnd"/>
      <w:r w:rsidR="0072020A" w:rsidRPr="0072020A">
        <w:t xml:space="preserve"> </w:t>
      </w:r>
      <w:r w:rsidR="00477BA8">
        <w:t xml:space="preserve">tendrá </w:t>
      </w:r>
      <w:r>
        <w:t>éxito s</w:t>
      </w:r>
      <w:r w:rsidR="00B77191">
        <w:t>ó</w:t>
      </w:r>
      <w:r>
        <w:t>lo en aquel cuya mente ha</w:t>
      </w:r>
      <w:r w:rsidR="00477BA8">
        <w:t>ya</w:t>
      </w:r>
      <w:r>
        <w:t xml:space="preserve"> </w:t>
      </w:r>
      <w:r w:rsidR="00B77191">
        <w:t>consumado</w:t>
      </w:r>
      <w:r>
        <w:t xml:space="preserve"> la absorción, es decir: “La liberación </w:t>
      </w:r>
      <w:r w:rsidR="00477BA8">
        <w:t xml:space="preserve">mental </w:t>
      </w:r>
      <w:r>
        <w:t>de</w:t>
      </w:r>
      <w:r w:rsidR="00477BA8">
        <w:t>l</w:t>
      </w:r>
      <w:r>
        <w:t xml:space="preserve"> </w:t>
      </w:r>
      <w:r w:rsidR="00D02B75" w:rsidRPr="0082231D">
        <w:rPr>
          <w:i/>
          <w:iCs/>
        </w:rPr>
        <w:t>amor–benevolente</w:t>
      </w:r>
      <w:r w:rsidR="00477BA8">
        <w:t xml:space="preserve"> </w:t>
      </w:r>
      <w:r>
        <w:t xml:space="preserve">se practica con una </w:t>
      </w:r>
      <w:r w:rsidR="003F1CB0">
        <w:t xml:space="preserve">transmisión </w:t>
      </w:r>
      <w:r>
        <w:t>no espec</w:t>
      </w:r>
      <w:r w:rsidR="00477BA8">
        <w:t>í</w:t>
      </w:r>
      <w:r>
        <w:t xml:space="preserve">fica de cinco maneras. La liberación </w:t>
      </w:r>
      <w:r w:rsidR="00FB48EB">
        <w:t xml:space="preserve">mental </w:t>
      </w:r>
      <w:r>
        <w:t xml:space="preserve">del </w:t>
      </w:r>
      <w:r w:rsidR="006C08DC" w:rsidRPr="0082231D">
        <w:rPr>
          <w:i/>
          <w:iCs/>
        </w:rPr>
        <w:t>amor–benevolente</w:t>
      </w:r>
      <w:r>
        <w:t xml:space="preserve"> se practica con </w:t>
      </w:r>
      <w:r w:rsidR="003F1CB0">
        <w:t xml:space="preserve">una transmisión </w:t>
      </w:r>
      <w:r>
        <w:t xml:space="preserve">específica de siete maneras. La liberación mental del </w:t>
      </w:r>
      <w:r w:rsidR="006C08DC" w:rsidRPr="0082231D">
        <w:rPr>
          <w:i/>
          <w:iCs/>
        </w:rPr>
        <w:t>amor–benevolente</w:t>
      </w:r>
      <w:r>
        <w:t xml:space="preserve"> se practica con </w:t>
      </w:r>
      <w:r w:rsidR="00FB48EB">
        <w:t xml:space="preserve">una transmisión </w:t>
      </w:r>
      <w:r>
        <w:t>direccional de diez maneras” (</w:t>
      </w:r>
      <w:proofErr w:type="spellStart"/>
      <w:r w:rsidRPr="00515826">
        <w:rPr>
          <w:i/>
          <w:iCs/>
        </w:rPr>
        <w:t>Paṭis</w:t>
      </w:r>
      <w:proofErr w:type="spellEnd"/>
      <w:r>
        <w:t xml:space="preserve"> II 130).</w:t>
      </w:r>
    </w:p>
    <w:p w14:paraId="48C56EB2" w14:textId="7F6B0AEA" w:rsidR="005F3D79" w:rsidRDefault="005F3D79" w:rsidP="005F3D79">
      <w:r>
        <w:t xml:space="preserve">50. </w:t>
      </w:r>
      <w:r>
        <w:tab/>
        <w:t xml:space="preserve">Y aquí, la liberación mental del </w:t>
      </w:r>
      <w:r w:rsidR="006C08DC" w:rsidRPr="0082231D">
        <w:rPr>
          <w:i/>
          <w:iCs/>
        </w:rPr>
        <w:t>amor–benevolente</w:t>
      </w:r>
      <w:r>
        <w:t xml:space="preserve"> se practica</w:t>
      </w:r>
      <w:r w:rsidR="00FB48EB">
        <w:t>rá</w:t>
      </w:r>
      <w:r>
        <w:t xml:space="preserve"> </w:t>
      </w:r>
      <w:r w:rsidR="002C583D">
        <w:t>mediante</w:t>
      </w:r>
      <w:r>
        <w:t xml:space="preserve"> una </w:t>
      </w:r>
      <w:r w:rsidR="00A871F7">
        <w:t xml:space="preserve">transmisión </w:t>
      </w:r>
      <w:r>
        <w:t xml:space="preserve">no </w:t>
      </w:r>
      <w:r w:rsidR="00477BA8">
        <w:t xml:space="preserve">específica </w:t>
      </w:r>
      <w:r>
        <w:t>de estas cinco maneras: “Qu</w:t>
      </w:r>
      <w:r w:rsidR="00207BE6">
        <w:t>é</w:t>
      </w:r>
      <w:r>
        <w:t xml:space="preserve"> todos los seres estén libres de enemistad, aflicción y </w:t>
      </w:r>
    </w:p>
    <w:p w14:paraId="3550060E" w14:textId="5A051B14" w:rsidR="005F3D79" w:rsidRDefault="005F3D79">
      <w:pPr>
        <w:tabs>
          <w:tab w:val="clear" w:pos="425"/>
        </w:tabs>
        <w:spacing w:after="160"/>
      </w:pPr>
      <w:r>
        <w:br w:type="page"/>
      </w:r>
    </w:p>
    <w:p w14:paraId="13E37F54" w14:textId="77777777" w:rsidR="000F3B51" w:rsidRDefault="000F3B51" w:rsidP="005F3D79"/>
    <w:p w14:paraId="6A326730" w14:textId="25D42C7C" w:rsidR="00956ACD" w:rsidRDefault="006C08DC" w:rsidP="00956ACD">
      <w:r>
        <w:t xml:space="preserve">ansiedad </w:t>
      </w:r>
      <w:r w:rsidR="00A871F7">
        <w:t xml:space="preserve">qué </w:t>
      </w:r>
      <w:r w:rsidR="00956ACD">
        <w:t>viv</w:t>
      </w:r>
      <w:r w:rsidR="00207BE6">
        <w:t>an</w:t>
      </w:r>
      <w:r w:rsidR="00956ACD">
        <w:t xml:space="preserve"> felizmente. Qu</w:t>
      </w:r>
      <w:r w:rsidR="00207BE6">
        <w:t>é</w:t>
      </w:r>
      <w:r w:rsidR="00956ACD">
        <w:t xml:space="preserve"> todos los seres que respir</w:t>
      </w:r>
      <w:r w:rsidR="00207BE6">
        <w:t>e</w:t>
      </w:r>
      <w:r w:rsidR="00956ACD">
        <w:t xml:space="preserve">n... todas las criaturas... todas las personas... todos los que </w:t>
      </w:r>
      <w:r w:rsidR="00207BE6">
        <w:t>posean</w:t>
      </w:r>
      <w:r w:rsidR="00956ACD">
        <w:t xml:space="preserve"> personalidad estén libres de enemistad, aflicción y ansiedad, y vivan felices” (</w:t>
      </w:r>
      <w:proofErr w:type="spellStart"/>
      <w:r w:rsidR="00956ACD" w:rsidRPr="00515826">
        <w:rPr>
          <w:i/>
          <w:iCs/>
        </w:rPr>
        <w:t>Paṭis</w:t>
      </w:r>
      <w:proofErr w:type="spellEnd"/>
      <w:r w:rsidR="00956ACD">
        <w:t xml:space="preserve"> II 130).</w:t>
      </w:r>
    </w:p>
    <w:p w14:paraId="2AAD8530" w14:textId="763D4DD6" w:rsidR="00956ACD" w:rsidRDefault="00956ACD" w:rsidP="00956ACD">
      <w:r>
        <w:t>51.</w:t>
      </w:r>
      <w:r>
        <w:tab/>
        <w:t>La liberación mental de</w:t>
      </w:r>
      <w:r w:rsidR="006C08DC">
        <w:t>l</w:t>
      </w:r>
      <w:r>
        <w:t xml:space="preserve"> </w:t>
      </w:r>
      <w:r w:rsidR="006C08DC" w:rsidRPr="0082231D">
        <w:rPr>
          <w:i/>
          <w:iCs/>
        </w:rPr>
        <w:t>amor–benevolente</w:t>
      </w:r>
      <w:r>
        <w:t xml:space="preserve"> se practica</w:t>
      </w:r>
      <w:r w:rsidR="00A871F7">
        <w:t>rá</w:t>
      </w:r>
      <w:r>
        <w:t xml:space="preserve"> </w:t>
      </w:r>
      <w:r w:rsidR="002C583D">
        <w:t xml:space="preserve">mediante </w:t>
      </w:r>
      <w:r w:rsidR="00A871F7">
        <w:t xml:space="preserve">una transmisión </w:t>
      </w:r>
      <w:r>
        <w:t>específica de estas siete maneras: “</w:t>
      </w:r>
      <w:r w:rsidR="00207BE6">
        <w:t xml:space="preserve">Qué </w:t>
      </w:r>
      <w:r>
        <w:t xml:space="preserve">todas las mujeres estén libres de enemistad, aflicción y ansiedad y vivan felices. </w:t>
      </w:r>
      <w:r w:rsidR="00207BE6">
        <w:t xml:space="preserve">Qué </w:t>
      </w:r>
      <w:r>
        <w:t xml:space="preserve">todos los hombres... todos los Nobles... todos los no Nobles... todas las deidades... todos los seres humanos... todos </w:t>
      </w:r>
      <w:r w:rsidR="002C583D">
        <w:t xml:space="preserve">los seres </w:t>
      </w:r>
      <w:r>
        <w:t>en estados de p</w:t>
      </w:r>
      <w:r w:rsidR="00EA630E">
        <w:t>e</w:t>
      </w:r>
      <w:r>
        <w:t>rdi</w:t>
      </w:r>
      <w:r w:rsidR="00207BE6">
        <w:t>ción</w:t>
      </w:r>
      <w:r>
        <w:t xml:space="preserve"> estén libres de enemistad, aflicción y ansiedad, y vivan felices” (</w:t>
      </w:r>
      <w:proofErr w:type="spellStart"/>
      <w:r w:rsidRPr="00515826">
        <w:rPr>
          <w:i/>
          <w:iCs/>
        </w:rPr>
        <w:t>Paṭis</w:t>
      </w:r>
      <w:proofErr w:type="spellEnd"/>
      <w:r>
        <w:t xml:space="preserve"> II 131).</w:t>
      </w:r>
    </w:p>
    <w:p w14:paraId="5DDB59BA" w14:textId="31E087FA" w:rsidR="00956ACD" w:rsidRDefault="00956ACD" w:rsidP="00956ACD">
      <w:r>
        <w:t xml:space="preserve">52. </w:t>
      </w:r>
      <w:r>
        <w:tab/>
        <w:t xml:space="preserve">La liberación mental del </w:t>
      </w:r>
      <w:r w:rsidR="006C08DC" w:rsidRPr="0082231D">
        <w:rPr>
          <w:i/>
          <w:iCs/>
        </w:rPr>
        <w:t>amor–benevolente</w:t>
      </w:r>
      <w:r>
        <w:t xml:space="preserve"> se practica</w:t>
      </w:r>
      <w:r w:rsidR="002C583D">
        <w:t>rá</w:t>
      </w:r>
      <w:r>
        <w:t xml:space="preserve"> </w:t>
      </w:r>
      <w:r w:rsidR="002C583D">
        <w:t xml:space="preserve">mediante una transmisión </w:t>
      </w:r>
      <w:r>
        <w:t>direccional de estas diez maneras: “</w:t>
      </w:r>
      <w:r w:rsidR="00EA630E" w:rsidRPr="009E6E31">
        <w:rPr>
          <w:i/>
          <w:iCs/>
        </w:rPr>
        <w:t xml:space="preserve">Qué </w:t>
      </w:r>
      <w:r w:rsidRPr="009E6E31">
        <w:rPr>
          <w:i/>
          <w:iCs/>
        </w:rPr>
        <w:t xml:space="preserve">todos los seres en la dirección este estén libres de enemistad, aflicción y ansiedad, y vivan felices. </w:t>
      </w:r>
      <w:r w:rsidR="00EA630E" w:rsidRPr="009E6E31">
        <w:rPr>
          <w:i/>
          <w:iCs/>
        </w:rPr>
        <w:t xml:space="preserve">Qué </w:t>
      </w:r>
      <w:r w:rsidRPr="009E6E31">
        <w:rPr>
          <w:i/>
          <w:iCs/>
        </w:rPr>
        <w:t xml:space="preserve">todos los seres en </w:t>
      </w:r>
      <w:r w:rsidR="00C2364B">
        <w:rPr>
          <w:i/>
          <w:iCs/>
        </w:rPr>
        <w:t xml:space="preserve">la </w:t>
      </w:r>
      <w:r w:rsidRPr="009E6E31">
        <w:rPr>
          <w:i/>
          <w:iCs/>
        </w:rPr>
        <w:t xml:space="preserve">dirección oeste... dirección norte... dirección sur [310]... dirección intermedia oriental... dirección intermedia occidental... dirección intermedia norte... dirección intermedia sur... dirección descendente... dirección ascendente estén libres de enemistad, aflicción y ansiedad, y vivan felices. </w:t>
      </w:r>
      <w:r w:rsidR="00EA630E" w:rsidRPr="009E6E31">
        <w:rPr>
          <w:i/>
          <w:iCs/>
        </w:rPr>
        <w:t xml:space="preserve">Qué </w:t>
      </w:r>
      <w:r w:rsidRPr="009E6E31">
        <w:rPr>
          <w:i/>
          <w:iCs/>
        </w:rPr>
        <w:t>todas las cosas que respir</w:t>
      </w:r>
      <w:r w:rsidR="00EA630E" w:rsidRPr="009E6E31">
        <w:rPr>
          <w:i/>
          <w:iCs/>
        </w:rPr>
        <w:t>e</w:t>
      </w:r>
      <w:r w:rsidRPr="009E6E31">
        <w:rPr>
          <w:i/>
          <w:iCs/>
        </w:rPr>
        <w:t xml:space="preserve">n en la dirección este... </w:t>
      </w:r>
      <w:r w:rsidR="00EA630E" w:rsidRPr="009E6E31">
        <w:rPr>
          <w:i/>
          <w:iCs/>
        </w:rPr>
        <w:t xml:space="preserve">Qué </w:t>
      </w:r>
      <w:r w:rsidRPr="009E6E31">
        <w:rPr>
          <w:i/>
          <w:iCs/>
        </w:rPr>
        <w:t xml:space="preserve">todas las criaturas en la dirección este... </w:t>
      </w:r>
      <w:r w:rsidR="00EA630E" w:rsidRPr="009E6E31">
        <w:rPr>
          <w:i/>
          <w:iCs/>
        </w:rPr>
        <w:t xml:space="preserve">Qué </w:t>
      </w:r>
      <w:r w:rsidRPr="009E6E31">
        <w:rPr>
          <w:i/>
          <w:iCs/>
        </w:rPr>
        <w:t xml:space="preserve">todas las personas en la dirección este... </w:t>
      </w:r>
      <w:r w:rsidR="00EA630E" w:rsidRPr="009E6E31">
        <w:rPr>
          <w:i/>
          <w:iCs/>
        </w:rPr>
        <w:t xml:space="preserve">Qué </w:t>
      </w:r>
      <w:r w:rsidRPr="009E6E31">
        <w:rPr>
          <w:i/>
          <w:iCs/>
        </w:rPr>
        <w:t xml:space="preserve">todos los que </w:t>
      </w:r>
      <w:r w:rsidR="00EA630E" w:rsidRPr="009E6E31">
        <w:rPr>
          <w:i/>
          <w:iCs/>
        </w:rPr>
        <w:t>posean</w:t>
      </w:r>
      <w:r w:rsidRPr="009E6E31">
        <w:rPr>
          <w:i/>
          <w:iCs/>
        </w:rPr>
        <w:t xml:space="preserve"> personalidad en la dirección este... [etc.]... en la dirección hacia arriba estén libres de enemistad, aflicción y ansiedad, y viv</w:t>
      </w:r>
      <w:r w:rsidR="00EA630E" w:rsidRPr="009E6E31">
        <w:rPr>
          <w:i/>
          <w:iCs/>
        </w:rPr>
        <w:t>an</w:t>
      </w:r>
      <w:r w:rsidRPr="009E6E31">
        <w:rPr>
          <w:i/>
          <w:iCs/>
        </w:rPr>
        <w:t xml:space="preserve"> felices. </w:t>
      </w:r>
      <w:r w:rsidR="00EA630E" w:rsidRPr="009E6E31">
        <w:rPr>
          <w:i/>
          <w:iCs/>
        </w:rPr>
        <w:t xml:space="preserve">Qué </w:t>
      </w:r>
      <w:r w:rsidRPr="009E6E31">
        <w:rPr>
          <w:i/>
          <w:iCs/>
        </w:rPr>
        <w:t xml:space="preserve">todas las mujeres en la dirección este... </w:t>
      </w:r>
      <w:r w:rsidR="00EA630E" w:rsidRPr="009E6E31">
        <w:rPr>
          <w:i/>
          <w:iCs/>
        </w:rPr>
        <w:t xml:space="preserve">Qué </w:t>
      </w:r>
      <w:r w:rsidRPr="009E6E31">
        <w:rPr>
          <w:i/>
          <w:iCs/>
        </w:rPr>
        <w:t xml:space="preserve">todos los hombres en la dirección este... </w:t>
      </w:r>
      <w:r w:rsidR="00EA630E" w:rsidRPr="009E6E31">
        <w:rPr>
          <w:i/>
          <w:iCs/>
        </w:rPr>
        <w:t xml:space="preserve">Qué </w:t>
      </w:r>
      <w:r w:rsidRPr="009E6E31">
        <w:rPr>
          <w:i/>
          <w:iCs/>
        </w:rPr>
        <w:t xml:space="preserve">todos los Nobles en la dirección este... </w:t>
      </w:r>
      <w:r w:rsidR="00EA630E" w:rsidRPr="009E6E31">
        <w:rPr>
          <w:i/>
          <w:iCs/>
        </w:rPr>
        <w:t xml:space="preserve">Qué </w:t>
      </w:r>
      <w:r w:rsidRPr="009E6E31">
        <w:rPr>
          <w:i/>
          <w:iCs/>
        </w:rPr>
        <w:t xml:space="preserve">todos los no nobles en la dirección este... </w:t>
      </w:r>
      <w:r w:rsidR="00EA630E" w:rsidRPr="009E6E31">
        <w:rPr>
          <w:i/>
          <w:iCs/>
        </w:rPr>
        <w:t xml:space="preserve">Qué </w:t>
      </w:r>
      <w:r w:rsidRPr="009E6E31">
        <w:rPr>
          <w:i/>
          <w:iCs/>
        </w:rPr>
        <w:t xml:space="preserve">todas las deidades en la dirección este... </w:t>
      </w:r>
      <w:r w:rsidR="00EA630E" w:rsidRPr="009E6E31">
        <w:rPr>
          <w:i/>
          <w:iCs/>
        </w:rPr>
        <w:t xml:space="preserve">Qué </w:t>
      </w:r>
      <w:r w:rsidRPr="009E6E31">
        <w:rPr>
          <w:i/>
          <w:iCs/>
        </w:rPr>
        <w:t xml:space="preserve">todos los seres humanos en la dirección este... </w:t>
      </w:r>
      <w:r w:rsidR="00EA630E" w:rsidRPr="009E6E31">
        <w:rPr>
          <w:i/>
          <w:iCs/>
        </w:rPr>
        <w:t xml:space="preserve">Qué </w:t>
      </w:r>
      <w:r w:rsidRPr="009E6E31">
        <w:rPr>
          <w:i/>
          <w:iCs/>
        </w:rPr>
        <w:t xml:space="preserve">todos aquellos en estados de </w:t>
      </w:r>
      <w:r w:rsidR="00EA630E" w:rsidRPr="009E6E31">
        <w:rPr>
          <w:i/>
          <w:iCs/>
        </w:rPr>
        <w:t>perdición</w:t>
      </w:r>
      <w:r w:rsidRPr="009E6E31">
        <w:rPr>
          <w:i/>
          <w:iCs/>
        </w:rPr>
        <w:t xml:space="preserve"> en la dirección este... [etc.]... estén libres de enemistad, aflicción y ansiedad, y vivan felices</w:t>
      </w:r>
      <w:r>
        <w:t>” (</w:t>
      </w:r>
      <w:proofErr w:type="spellStart"/>
      <w:r w:rsidRPr="00515826">
        <w:rPr>
          <w:i/>
          <w:iCs/>
        </w:rPr>
        <w:t>Paṭis</w:t>
      </w:r>
      <w:proofErr w:type="spellEnd"/>
      <w:r>
        <w:t xml:space="preserve"> II 131).</w:t>
      </w:r>
    </w:p>
    <w:p w14:paraId="430E25DD" w14:textId="7380EBFD" w:rsidR="00956ACD" w:rsidRDefault="00956ACD" w:rsidP="00956ACD">
      <w:r>
        <w:t xml:space="preserve">53. </w:t>
      </w:r>
      <w:r>
        <w:tab/>
        <w:t xml:space="preserve">Aquí, </w:t>
      </w:r>
      <w:r w:rsidRPr="00EA630E">
        <w:rPr>
          <w:i/>
          <w:iCs/>
        </w:rPr>
        <w:t>todo</w:t>
      </w:r>
      <w:r w:rsidR="00EA630E">
        <w:rPr>
          <w:i/>
          <w:iCs/>
        </w:rPr>
        <w:t>s</w:t>
      </w:r>
      <w:r>
        <w:t xml:space="preserve"> significa inclusión sin excepción. </w:t>
      </w:r>
      <w:r w:rsidRPr="00EA630E">
        <w:rPr>
          <w:i/>
          <w:iCs/>
        </w:rPr>
        <w:t>Seres</w:t>
      </w:r>
      <w:r>
        <w:t xml:space="preserve"> (</w:t>
      </w:r>
      <w:proofErr w:type="spellStart"/>
      <w:r w:rsidRPr="00515826">
        <w:rPr>
          <w:i/>
          <w:iCs/>
        </w:rPr>
        <w:t>satta</w:t>
      </w:r>
      <w:proofErr w:type="spellEnd"/>
      <w:r>
        <w:t xml:space="preserve">): </w:t>
      </w:r>
      <w:r w:rsidR="00B1523F">
        <w:t>se refiere a</w:t>
      </w:r>
      <w:r>
        <w:t xml:space="preserve"> </w:t>
      </w:r>
      <w:r w:rsidR="007B34A9">
        <w:t xml:space="preserve">los </w:t>
      </w:r>
      <w:r w:rsidR="000E117B">
        <w:t xml:space="preserve">que estén </w:t>
      </w:r>
      <w:r w:rsidR="00C574C7">
        <w:t xml:space="preserve">sujetos </w:t>
      </w:r>
      <w:r>
        <w:t>(</w:t>
      </w:r>
      <w:proofErr w:type="spellStart"/>
      <w:r w:rsidRPr="00515826">
        <w:rPr>
          <w:i/>
          <w:iCs/>
        </w:rPr>
        <w:t>satta</w:t>
      </w:r>
      <w:proofErr w:type="spellEnd"/>
      <w:r>
        <w:t xml:space="preserve">), </w:t>
      </w:r>
      <w:r w:rsidR="00C574C7">
        <w:t xml:space="preserve">atrapados </w:t>
      </w:r>
      <w:r>
        <w:t>(</w:t>
      </w:r>
      <w:proofErr w:type="spellStart"/>
      <w:r w:rsidRPr="00515826">
        <w:rPr>
          <w:i/>
          <w:iCs/>
        </w:rPr>
        <w:t>visatta</w:t>
      </w:r>
      <w:proofErr w:type="spellEnd"/>
      <w:r>
        <w:t xml:space="preserve">) por el deseo y la codicia de los agregados a partir de la materialidad, </w:t>
      </w:r>
      <w:r w:rsidR="00A00744">
        <w:t xml:space="preserve">as así como asumen el carácter de </w:t>
      </w:r>
      <w:r w:rsidRPr="00444D57">
        <w:rPr>
          <w:i/>
          <w:iCs/>
        </w:rPr>
        <w:t>seres</w:t>
      </w:r>
      <w:r>
        <w:t xml:space="preserve"> (</w:t>
      </w:r>
      <w:proofErr w:type="spellStart"/>
      <w:r w:rsidRPr="00515826">
        <w:rPr>
          <w:i/>
          <w:iCs/>
        </w:rPr>
        <w:t>satta</w:t>
      </w:r>
      <w:proofErr w:type="spellEnd"/>
      <w:r>
        <w:t xml:space="preserve">). </w:t>
      </w:r>
      <w:r w:rsidR="00444D57">
        <w:t xml:space="preserve">Ya </w:t>
      </w:r>
      <w:r>
        <w:t xml:space="preserve">que el </w:t>
      </w:r>
      <w:r w:rsidR="00444D57" w:rsidRPr="00444D57">
        <w:rPr>
          <w:i/>
          <w:iCs/>
        </w:rPr>
        <w:t>Bhagavā</w:t>
      </w:r>
      <w:r w:rsidR="00444D57">
        <w:t xml:space="preserve"> ha dicho </w:t>
      </w:r>
      <w:r>
        <w:t xml:space="preserve">esto: “Cualquier deseo por la materia, </w:t>
      </w:r>
      <w:proofErr w:type="spellStart"/>
      <w:r>
        <w:t>Rādha</w:t>
      </w:r>
      <w:proofErr w:type="spellEnd"/>
      <w:r>
        <w:t xml:space="preserve">, cualquier codicia por ella, cualquier </w:t>
      </w:r>
      <w:r w:rsidR="00082988">
        <w:t xml:space="preserve">dicha por </w:t>
      </w:r>
      <w:r>
        <w:t xml:space="preserve">ella, cualquier </w:t>
      </w:r>
      <w:r w:rsidR="00082988">
        <w:t xml:space="preserve">deseo </w:t>
      </w:r>
      <w:r>
        <w:t xml:space="preserve">por ella, </w:t>
      </w:r>
      <w:r w:rsidR="00484E43">
        <w:t xml:space="preserve">ello </w:t>
      </w:r>
      <w:r>
        <w:t>l</w:t>
      </w:r>
      <w:r w:rsidR="00506C2E">
        <w:t>o</w:t>
      </w:r>
      <w:r>
        <w:t xml:space="preserve"> ha </w:t>
      </w:r>
      <w:r w:rsidR="00506C2E">
        <w:t xml:space="preserve">sujetado </w:t>
      </w:r>
      <w:r>
        <w:t>(</w:t>
      </w:r>
      <w:proofErr w:type="spellStart"/>
      <w:r w:rsidRPr="00515826">
        <w:rPr>
          <w:i/>
          <w:iCs/>
        </w:rPr>
        <w:t>satta</w:t>
      </w:r>
      <w:proofErr w:type="spellEnd"/>
      <w:r>
        <w:t xml:space="preserve">), </w:t>
      </w:r>
      <w:r w:rsidR="00506C2E">
        <w:t xml:space="preserve">lo </w:t>
      </w:r>
      <w:r>
        <w:t xml:space="preserve">ha </w:t>
      </w:r>
      <w:r w:rsidR="00506C2E">
        <w:t xml:space="preserve">atrapado </w:t>
      </w:r>
      <w:r>
        <w:t>(</w:t>
      </w:r>
      <w:proofErr w:type="spellStart"/>
      <w:r w:rsidRPr="00515826">
        <w:rPr>
          <w:i/>
          <w:iCs/>
        </w:rPr>
        <w:t>visatta</w:t>
      </w:r>
      <w:proofErr w:type="spellEnd"/>
      <w:r>
        <w:t>), es por e</w:t>
      </w:r>
      <w:r w:rsidR="00133BE3">
        <w:t>ll</w:t>
      </w:r>
      <w:r>
        <w:t xml:space="preserve">o </w:t>
      </w:r>
      <w:proofErr w:type="gramStart"/>
      <w:r>
        <w:t>que</w:t>
      </w:r>
      <w:proofErr w:type="gramEnd"/>
      <w:r>
        <w:t xml:space="preserve"> 'se </w:t>
      </w:r>
      <w:r w:rsidR="00506C2E">
        <w:t xml:space="preserve">le </w:t>
      </w:r>
      <w:r>
        <w:t>dice ser' (</w:t>
      </w:r>
      <w:proofErr w:type="spellStart"/>
      <w:r w:rsidRPr="00515826">
        <w:rPr>
          <w:i/>
          <w:iCs/>
        </w:rPr>
        <w:t>satta</w:t>
      </w:r>
      <w:proofErr w:type="spellEnd"/>
      <w:r>
        <w:t>)” (S III 190). Pero en el lenguaje ordinario, este término de uso común se aplica también a aquellos que no ten</w:t>
      </w:r>
      <w:r w:rsidR="005643F7">
        <w:t>ga</w:t>
      </w:r>
      <w:r>
        <w:t>n codicia, así como el término de uso común “abanico de palma” (</w:t>
      </w:r>
      <w:proofErr w:type="spellStart"/>
      <w:r w:rsidRPr="00515826">
        <w:rPr>
          <w:i/>
          <w:iCs/>
        </w:rPr>
        <w:t>tālavaṇṭa</w:t>
      </w:r>
      <w:proofErr w:type="spellEnd"/>
      <w:r>
        <w:t xml:space="preserve">) se usa para diferentes tipos de abanicos en general, incluso si </w:t>
      </w:r>
      <w:r w:rsidR="002119F1">
        <w:t>estuvieran</w:t>
      </w:r>
      <w:r>
        <w:t xml:space="preserve"> hechos de bambú</w:t>
      </w:r>
      <w:r w:rsidR="00133BE3">
        <w:t>es</w:t>
      </w:r>
      <w:r>
        <w:t xml:space="preserve"> partido</w:t>
      </w:r>
      <w:r w:rsidR="00963F14">
        <w:t>s</w:t>
      </w:r>
      <w:r>
        <w:t xml:space="preserve">. </w:t>
      </w:r>
      <w:r w:rsidR="00D6394C">
        <w:t xml:space="preserve">No obstante, </w:t>
      </w:r>
      <w:r>
        <w:t>en el mundo etim</w:t>
      </w:r>
      <w:r w:rsidR="005643F7">
        <w:t>o</w:t>
      </w:r>
      <w:r>
        <w:t>l</w:t>
      </w:r>
      <w:r w:rsidR="005643F7">
        <w:t>ó</w:t>
      </w:r>
      <w:r>
        <w:t>g</w:t>
      </w:r>
      <w:r w:rsidR="005643F7">
        <w:t>ic</w:t>
      </w:r>
      <w:r>
        <w:t>o (</w:t>
      </w:r>
      <w:proofErr w:type="spellStart"/>
      <w:r w:rsidRPr="00515826">
        <w:rPr>
          <w:i/>
          <w:iCs/>
        </w:rPr>
        <w:t>akkhara-cintaka</w:t>
      </w:r>
      <w:proofErr w:type="spellEnd"/>
      <w:r>
        <w:t>) que no consid</w:t>
      </w:r>
      <w:r w:rsidR="00CC3621">
        <w:t>era</w:t>
      </w:r>
      <w:r>
        <w:t xml:space="preserve"> el significado </w:t>
      </w:r>
      <w:r w:rsidR="00CC3621">
        <w:t xml:space="preserve">se </w:t>
      </w:r>
      <w:r>
        <w:t>di</w:t>
      </w:r>
      <w:r w:rsidR="00D6394C">
        <w:t>rá</w:t>
      </w:r>
      <w:r>
        <w:t xml:space="preserve"> que </w:t>
      </w:r>
      <w:r w:rsidR="00963F14">
        <w:t>se trata de</w:t>
      </w:r>
      <w:r>
        <w:t xml:space="preserve"> un </w:t>
      </w:r>
      <w:r w:rsidR="00963F14">
        <w:t xml:space="preserve">simple </w:t>
      </w:r>
      <w:r>
        <w:t xml:space="preserve">nombre, mientras que </w:t>
      </w:r>
      <w:r w:rsidR="00CC3621">
        <w:t xml:space="preserve">donde </w:t>
      </w:r>
      <w:r>
        <w:t xml:space="preserve">sí </w:t>
      </w:r>
      <w:r w:rsidR="00CC3621">
        <w:t xml:space="preserve">se </w:t>
      </w:r>
      <w:r>
        <w:t>consider</w:t>
      </w:r>
      <w:r w:rsidR="00D6394C">
        <w:t>e</w:t>
      </w:r>
      <w:r>
        <w:t xml:space="preserve"> el significado </w:t>
      </w:r>
      <w:r w:rsidR="00CC3621">
        <w:t xml:space="preserve">se </w:t>
      </w:r>
      <w:r w:rsidR="00D6394C">
        <w:t xml:space="preserve">dirá </w:t>
      </w:r>
      <w:r>
        <w:t>que un “ser” (</w:t>
      </w:r>
      <w:proofErr w:type="spellStart"/>
      <w:r w:rsidRPr="00515826">
        <w:rPr>
          <w:i/>
          <w:iCs/>
        </w:rPr>
        <w:t>satta</w:t>
      </w:r>
      <w:proofErr w:type="spellEnd"/>
      <w:r>
        <w:t xml:space="preserve">) se llama así con referencia al “principio </w:t>
      </w:r>
      <w:r w:rsidR="00756DB1">
        <w:t>brill</w:t>
      </w:r>
      <w:r w:rsidR="004427F4">
        <w:t>ante</w:t>
      </w:r>
      <w:r>
        <w:t>” (</w:t>
      </w:r>
      <w:proofErr w:type="spellStart"/>
      <w:r w:rsidRPr="00515826">
        <w:rPr>
          <w:i/>
          <w:iCs/>
        </w:rPr>
        <w:t>satta</w:t>
      </w:r>
      <w:proofErr w:type="spellEnd"/>
      <w:r>
        <w:t>).</w:t>
      </w:r>
      <w:r w:rsidRPr="000C43D5">
        <w:rPr>
          <w:vertAlign w:val="superscript"/>
        </w:rPr>
        <w:t>6</w:t>
      </w:r>
    </w:p>
    <w:p w14:paraId="10CF5B57" w14:textId="689F0E0E" w:rsidR="00956ACD" w:rsidRDefault="00956ACD" w:rsidP="00956ACD">
      <w:r>
        <w:t xml:space="preserve">54. </w:t>
      </w:r>
      <w:r>
        <w:tab/>
      </w:r>
      <w:r w:rsidRPr="00FD0E05">
        <w:rPr>
          <w:i/>
          <w:iCs/>
        </w:rPr>
        <w:t>Cosas que respir</w:t>
      </w:r>
      <w:r w:rsidR="00AE7033">
        <w:rPr>
          <w:i/>
          <w:iCs/>
        </w:rPr>
        <w:t>e</w:t>
      </w:r>
      <w:r w:rsidRPr="00FD0E05">
        <w:rPr>
          <w:i/>
          <w:iCs/>
        </w:rPr>
        <w:t>n</w:t>
      </w:r>
      <w:r>
        <w:t xml:space="preserve"> (</w:t>
      </w:r>
      <w:proofErr w:type="spellStart"/>
      <w:r w:rsidRPr="00515826">
        <w:rPr>
          <w:i/>
          <w:iCs/>
        </w:rPr>
        <w:t>pāṇa</w:t>
      </w:r>
      <w:proofErr w:type="spellEnd"/>
      <w:r>
        <w:t xml:space="preserve">): </w:t>
      </w:r>
      <w:r w:rsidR="00D24E5E">
        <w:t>referidas</w:t>
      </w:r>
      <w:r>
        <w:t xml:space="preserve"> así por su estado de respiración (</w:t>
      </w:r>
      <w:proofErr w:type="spellStart"/>
      <w:r w:rsidRPr="00515826">
        <w:rPr>
          <w:i/>
          <w:iCs/>
        </w:rPr>
        <w:t>pāṇanatā</w:t>
      </w:r>
      <w:proofErr w:type="spellEnd"/>
      <w:r>
        <w:t xml:space="preserve">); el significado </w:t>
      </w:r>
      <w:r w:rsidR="000F3B51">
        <w:t xml:space="preserve">yace </w:t>
      </w:r>
      <w:r w:rsidR="004A4205">
        <w:t>a que</w:t>
      </w:r>
      <w:r>
        <w:t xml:space="preserve"> su existencia depende de </w:t>
      </w:r>
      <w:r w:rsidR="00455415">
        <w:t xml:space="preserve">la </w:t>
      </w:r>
      <w:r w:rsidR="00180D2B">
        <w:t>inhalación</w:t>
      </w:r>
      <w:r>
        <w:t xml:space="preserve"> y </w:t>
      </w:r>
      <w:r w:rsidR="00180D2B">
        <w:t>exhalación</w:t>
      </w:r>
      <w:r>
        <w:t xml:space="preserve">. </w:t>
      </w:r>
      <w:r w:rsidRPr="002A4604">
        <w:rPr>
          <w:i/>
          <w:iCs/>
        </w:rPr>
        <w:t>Criaturas</w:t>
      </w:r>
      <w:r>
        <w:t xml:space="preserve"> (</w:t>
      </w:r>
      <w:r w:rsidRPr="00455415">
        <w:rPr>
          <w:i/>
          <w:iCs/>
        </w:rPr>
        <w:t>bhūta</w:t>
      </w:r>
      <w:r>
        <w:t xml:space="preserve">): llamadas así por ser </w:t>
      </w:r>
      <w:r w:rsidR="00541E67">
        <w:t xml:space="preserve">seres </w:t>
      </w:r>
      <w:r>
        <w:t>(</w:t>
      </w:r>
      <w:proofErr w:type="spellStart"/>
      <w:r w:rsidRPr="00515826">
        <w:rPr>
          <w:i/>
          <w:iCs/>
        </w:rPr>
        <w:t>bhūtatta</w:t>
      </w:r>
      <w:proofErr w:type="spellEnd"/>
      <w:r>
        <w:t xml:space="preserve"> = </w:t>
      </w:r>
      <w:r w:rsidR="00541E67">
        <w:t xml:space="preserve">del </w:t>
      </w:r>
      <w:r>
        <w:t xml:space="preserve">devenir); el significado es, debido a que se han convertido completamente </w:t>
      </w:r>
      <w:r w:rsidR="0067787E">
        <w:t xml:space="preserve">en seres </w:t>
      </w:r>
      <w:r>
        <w:t>(</w:t>
      </w:r>
      <w:proofErr w:type="spellStart"/>
      <w:r w:rsidRPr="00515826">
        <w:rPr>
          <w:i/>
          <w:iCs/>
        </w:rPr>
        <w:t>sambhūtatta</w:t>
      </w:r>
      <w:proofErr w:type="spellEnd"/>
      <w:r>
        <w:t xml:space="preserve">), debido a que han sido generados </w:t>
      </w:r>
      <w:r w:rsidR="0066315C">
        <w:t xml:space="preserve">como seres </w:t>
      </w:r>
      <w:r>
        <w:t>(</w:t>
      </w:r>
      <w:proofErr w:type="spellStart"/>
      <w:r w:rsidRPr="00515826">
        <w:rPr>
          <w:i/>
          <w:iCs/>
        </w:rPr>
        <w:t>abhinibbattatta</w:t>
      </w:r>
      <w:proofErr w:type="spellEnd"/>
      <w:r>
        <w:t xml:space="preserve">). </w:t>
      </w:r>
      <w:r w:rsidRPr="0068250E">
        <w:rPr>
          <w:i/>
          <w:iCs/>
        </w:rPr>
        <w:t>Personas</w:t>
      </w:r>
      <w:r>
        <w:t xml:space="preserve"> (</w:t>
      </w:r>
      <w:proofErr w:type="spellStart"/>
      <w:r w:rsidRPr="00515826">
        <w:rPr>
          <w:i/>
          <w:iCs/>
        </w:rPr>
        <w:t>puggala</w:t>
      </w:r>
      <w:proofErr w:type="spellEnd"/>
      <w:r>
        <w:t>): “</w:t>
      </w:r>
      <w:proofErr w:type="spellStart"/>
      <w:r w:rsidRPr="00515826">
        <w:rPr>
          <w:i/>
          <w:iCs/>
        </w:rPr>
        <w:t>puṃ</w:t>
      </w:r>
      <w:proofErr w:type="spellEnd"/>
      <w:r>
        <w:t xml:space="preserve">” es como se </w:t>
      </w:r>
      <w:r w:rsidR="0066315C">
        <w:t xml:space="preserve">le </w:t>
      </w:r>
      <w:r>
        <w:t xml:space="preserve">llama </w:t>
      </w:r>
      <w:r w:rsidR="0066315C">
        <w:t>a</w:t>
      </w:r>
      <w:r>
        <w:t>l infierno; ca</w:t>
      </w:r>
      <w:r w:rsidR="0066315C">
        <w:t>ídos</w:t>
      </w:r>
      <w:r>
        <w:t xml:space="preserve"> (</w:t>
      </w:r>
      <w:proofErr w:type="spellStart"/>
      <w:r w:rsidRPr="00515826">
        <w:rPr>
          <w:i/>
          <w:iCs/>
        </w:rPr>
        <w:t>galanti</w:t>
      </w:r>
      <w:proofErr w:type="spellEnd"/>
      <w:r>
        <w:t>) en e</w:t>
      </w:r>
      <w:r w:rsidR="0066315C">
        <w:t>ll</w:t>
      </w:r>
      <w:r>
        <w:t xml:space="preserve">o, es el </w:t>
      </w:r>
    </w:p>
    <w:p w14:paraId="3106611E" w14:textId="77777777" w:rsidR="000F3B51" w:rsidRDefault="000F3B51" w:rsidP="00956ACD"/>
    <w:p w14:paraId="4109DAEC" w14:textId="77777777" w:rsidR="00956ACD" w:rsidRDefault="00956ACD" w:rsidP="00956ACD">
      <w:pPr>
        <w:pStyle w:val="Piedepgina"/>
        <w:rPr>
          <w:u w:val="single"/>
        </w:rPr>
      </w:pPr>
      <w:r>
        <w:rPr>
          <w:u w:val="single"/>
        </w:rPr>
        <w:t xml:space="preserve">                                                                                                                                                                          .</w:t>
      </w:r>
    </w:p>
    <w:p w14:paraId="0A824B15" w14:textId="261DA6B1" w:rsidR="00956ACD" w:rsidRDefault="00956ACD" w:rsidP="00956ACD">
      <w:pPr>
        <w:pStyle w:val="PiedepginaLegal"/>
      </w:pPr>
      <w:r>
        <w:t xml:space="preserve">6. </w:t>
      </w:r>
      <w:r>
        <w:tab/>
      </w:r>
      <w:proofErr w:type="spellStart"/>
      <w:r w:rsidRPr="00515826">
        <w:rPr>
          <w:i/>
          <w:iCs/>
        </w:rPr>
        <w:t>Satta</w:t>
      </w:r>
      <w:proofErr w:type="spellEnd"/>
      <w:r>
        <w:t xml:space="preserve">—“el principio brillante”: </w:t>
      </w:r>
      <w:proofErr w:type="spellStart"/>
      <w:r>
        <w:t>Skr</w:t>
      </w:r>
      <w:proofErr w:type="spellEnd"/>
      <w:r>
        <w:t xml:space="preserve">. </w:t>
      </w:r>
      <w:proofErr w:type="spellStart"/>
      <w:r w:rsidRPr="00515826">
        <w:rPr>
          <w:i/>
          <w:iCs/>
        </w:rPr>
        <w:t>sattva</w:t>
      </w:r>
      <w:proofErr w:type="spellEnd"/>
      <w:r>
        <w:t xml:space="preserve">; uno de los tres principios del sistema </w:t>
      </w:r>
      <w:proofErr w:type="spellStart"/>
      <w:r w:rsidRPr="00515826">
        <w:rPr>
          <w:i/>
          <w:iCs/>
        </w:rPr>
        <w:t>Sāṅkhya</w:t>
      </w:r>
      <w:proofErr w:type="spellEnd"/>
      <w:r>
        <w:t xml:space="preserve">, los otros dos son </w:t>
      </w:r>
      <w:r w:rsidRPr="004C5F1B">
        <w:rPr>
          <w:i/>
          <w:iCs/>
        </w:rPr>
        <w:t>rajas</w:t>
      </w:r>
      <w:r>
        <w:t xml:space="preserve"> (</w:t>
      </w:r>
      <w:r w:rsidRPr="004C5F1B">
        <w:rPr>
          <w:i/>
          <w:iCs/>
        </w:rPr>
        <w:t>Pāḷi</w:t>
      </w:r>
      <w:r>
        <w:t xml:space="preserve">: rajo) o turbulencia y </w:t>
      </w:r>
      <w:proofErr w:type="spellStart"/>
      <w:r w:rsidRPr="00515826">
        <w:rPr>
          <w:i/>
          <w:iCs/>
        </w:rPr>
        <w:t>tamas</w:t>
      </w:r>
      <w:proofErr w:type="spellEnd"/>
      <w:r>
        <w:t xml:space="preserve"> (</w:t>
      </w:r>
      <w:r w:rsidRPr="00515826">
        <w:rPr>
          <w:i/>
          <w:iCs/>
        </w:rPr>
        <w:t>Pāḷi</w:t>
      </w:r>
      <w:r>
        <w:t xml:space="preserve">: </w:t>
      </w:r>
      <w:r w:rsidRPr="00515826">
        <w:rPr>
          <w:i/>
          <w:iCs/>
        </w:rPr>
        <w:t>tamo</w:t>
      </w:r>
      <w:r>
        <w:t xml:space="preserve">) u oscuridad. No </w:t>
      </w:r>
      <w:r w:rsidR="004C5F1B">
        <w:t>en</w:t>
      </w:r>
      <w:r>
        <w:t xml:space="preserve"> </w:t>
      </w:r>
      <w:r w:rsidR="005643F7">
        <w:t xml:space="preserve">el </w:t>
      </w:r>
      <w:r>
        <w:t>PED.</w:t>
      </w:r>
    </w:p>
    <w:p w14:paraId="5C06AECB" w14:textId="2B51C7BC" w:rsidR="00956ACD" w:rsidRDefault="00956ACD">
      <w:pPr>
        <w:tabs>
          <w:tab w:val="clear" w:pos="425"/>
        </w:tabs>
        <w:spacing w:after="160"/>
      </w:pPr>
      <w:r>
        <w:br w:type="page"/>
      </w:r>
    </w:p>
    <w:p w14:paraId="0956D2FF" w14:textId="77777777" w:rsidR="006550F9" w:rsidRDefault="006550F9" w:rsidP="00B91267"/>
    <w:p w14:paraId="764CB5EF" w14:textId="3F7B6EC1" w:rsidR="00B91267" w:rsidRDefault="0066315C" w:rsidP="00B91267">
      <w:r>
        <w:t xml:space="preserve">significado. </w:t>
      </w:r>
      <w:r w:rsidRPr="00006AFD">
        <w:rPr>
          <w:i/>
          <w:iCs/>
        </w:rPr>
        <w:t>Personalidad</w:t>
      </w:r>
      <w:r>
        <w:t xml:space="preserve"> </w:t>
      </w:r>
      <w:r w:rsidR="00B91267">
        <w:t>(</w:t>
      </w:r>
      <w:proofErr w:type="spellStart"/>
      <w:r w:rsidR="00B91267" w:rsidRPr="00515826">
        <w:rPr>
          <w:i/>
          <w:iCs/>
        </w:rPr>
        <w:t>attabhāva</w:t>
      </w:r>
      <w:proofErr w:type="spellEnd"/>
      <w:r w:rsidR="00B91267">
        <w:t xml:space="preserve">) es como se </w:t>
      </w:r>
      <w:r>
        <w:t xml:space="preserve">le </w:t>
      </w:r>
      <w:r w:rsidR="00B91267">
        <w:t xml:space="preserve">llama el cuerpo físico; o </w:t>
      </w:r>
      <w:r>
        <w:t xml:space="preserve">se refiere </w:t>
      </w:r>
      <w:r w:rsidR="00B91267">
        <w:t xml:space="preserve">solo </w:t>
      </w:r>
      <w:r>
        <w:t xml:space="preserve">a los </w:t>
      </w:r>
      <w:r w:rsidR="00D17694">
        <w:t>5</w:t>
      </w:r>
      <w:r>
        <w:t xml:space="preserve"> </w:t>
      </w:r>
      <w:r w:rsidR="00B91267">
        <w:t xml:space="preserve">agregados, ya que en realidad es solo un concepto derivado de </w:t>
      </w:r>
      <w:r>
        <w:t xml:space="preserve">estos </w:t>
      </w:r>
      <w:r w:rsidR="00D17694">
        <w:t>5</w:t>
      </w:r>
      <w:r>
        <w:t xml:space="preserve"> </w:t>
      </w:r>
      <w:r w:rsidR="00B91267">
        <w:t>agregados</w:t>
      </w:r>
      <w:r w:rsidR="00B91267" w:rsidRPr="000C43D5">
        <w:rPr>
          <w:vertAlign w:val="superscript"/>
        </w:rPr>
        <w:t>7</w:t>
      </w:r>
      <w:r w:rsidR="00B91267">
        <w:t xml:space="preserve"> A lo que se refiere es </w:t>
      </w:r>
      <w:r w:rsidR="0076757D">
        <w:t xml:space="preserve">a lo </w:t>
      </w:r>
      <w:r w:rsidR="00B91267">
        <w:t>incluido (</w:t>
      </w:r>
      <w:proofErr w:type="spellStart"/>
      <w:r w:rsidR="00B91267" w:rsidRPr="00515826">
        <w:rPr>
          <w:i/>
          <w:iCs/>
        </w:rPr>
        <w:t>pariyāpanna</w:t>
      </w:r>
      <w:proofErr w:type="spellEnd"/>
      <w:r w:rsidR="00B91267">
        <w:t xml:space="preserve">) en esa personalidad, por lo que “tiene personalidad” </w:t>
      </w:r>
      <w:r w:rsidR="000326C3">
        <w:br/>
      </w:r>
      <w:r w:rsidR="00B91267">
        <w:t>(</w:t>
      </w:r>
      <w:proofErr w:type="spellStart"/>
      <w:r w:rsidR="00B91267" w:rsidRPr="00515826">
        <w:rPr>
          <w:i/>
          <w:iCs/>
        </w:rPr>
        <w:t>attabhāvapariyāpanna</w:t>
      </w:r>
      <w:proofErr w:type="spellEnd"/>
      <w:r w:rsidR="00B91267">
        <w:t xml:space="preserve">). “Incluido en” </w:t>
      </w:r>
      <w:r w:rsidR="005D0E48">
        <w:t xml:space="preserve">significa </w:t>
      </w:r>
      <w:r w:rsidR="00B91267">
        <w:t>delimitado por; “</w:t>
      </w:r>
      <w:r w:rsidR="002E24F3" w:rsidRPr="002E24F3">
        <w:t>inmerso</w:t>
      </w:r>
      <w:r w:rsidR="00B91267">
        <w:t>” es el significado.</w:t>
      </w:r>
    </w:p>
    <w:p w14:paraId="77EC9878" w14:textId="4BABDD30" w:rsidR="00B91267" w:rsidRDefault="00B91267" w:rsidP="00B91267">
      <w:r>
        <w:t xml:space="preserve">55. </w:t>
      </w:r>
      <w:r w:rsidR="006550F9">
        <w:tab/>
      </w:r>
      <w:r>
        <w:t xml:space="preserve">Y todos los términos restantes deben entenderse como sinónimos de “todos los seres” usados ​​de acuerdo con el </w:t>
      </w:r>
      <w:r w:rsidR="002E24F3">
        <w:t>lenguaje</w:t>
      </w:r>
      <w:r>
        <w:t xml:space="preserve"> ordinari</w:t>
      </w:r>
      <w:r w:rsidR="002E24F3">
        <w:t>o</w:t>
      </w:r>
      <w:r>
        <w:t xml:space="preserve"> como en el caso del término “seres”. Por supuesto, [311] también </w:t>
      </w:r>
      <w:r w:rsidR="002E24F3">
        <w:t xml:space="preserve">existen </w:t>
      </w:r>
      <w:r>
        <w:t>otros sinónimos para todos los "seres", como todos los "</w:t>
      </w:r>
      <w:r w:rsidR="006A69C0">
        <w:t>amigos</w:t>
      </w:r>
      <w:r>
        <w:t>", todas las "almas", etc.; aun así, en aras de la claridad, se di</w:t>
      </w:r>
      <w:r w:rsidR="00EA17EE">
        <w:t>rá</w:t>
      </w:r>
      <w:r>
        <w:t xml:space="preserve"> “La liberación mental del </w:t>
      </w:r>
      <w:r w:rsidR="006C08DC" w:rsidRPr="0082231D">
        <w:rPr>
          <w:i/>
          <w:iCs/>
        </w:rPr>
        <w:t>amor–benevolente</w:t>
      </w:r>
      <w:r>
        <w:t xml:space="preserve"> se practica</w:t>
      </w:r>
      <w:r w:rsidR="00FC6428">
        <w:t>rá</w:t>
      </w:r>
      <w:r>
        <w:t xml:space="preserve"> con una </w:t>
      </w:r>
      <w:r w:rsidR="00FC6428">
        <w:t xml:space="preserve">transmisión </w:t>
      </w:r>
      <w:r>
        <w:t>no espec</w:t>
      </w:r>
      <w:r w:rsidR="00DA3852">
        <w:t>í</w:t>
      </w:r>
      <w:r>
        <w:t>fica de cinco maneras” y solo se menciona</w:t>
      </w:r>
      <w:r w:rsidR="00137BBD">
        <w:t>rá</w:t>
      </w:r>
      <w:r>
        <w:t>n estas cinco</w:t>
      </w:r>
      <w:r w:rsidR="00DA3852">
        <w:t xml:space="preserve"> maneras</w:t>
      </w:r>
      <w:r>
        <w:t>.</w:t>
      </w:r>
    </w:p>
    <w:p w14:paraId="4AA21D2B" w14:textId="5B8AF543" w:rsidR="00B91267" w:rsidRDefault="00B91267" w:rsidP="00B91267">
      <w:r>
        <w:t xml:space="preserve">56. </w:t>
      </w:r>
      <w:r w:rsidR="006550F9">
        <w:tab/>
      </w:r>
      <w:r>
        <w:t xml:space="preserve">Aquellos que </w:t>
      </w:r>
      <w:r w:rsidR="008644E7">
        <w:t>crean</w:t>
      </w:r>
      <w:r>
        <w:t xml:space="preserve"> que no sólo </w:t>
      </w:r>
      <w:r w:rsidR="00DB6DB8">
        <w:t xml:space="preserve">existe </w:t>
      </w:r>
      <w:r>
        <w:t xml:space="preserve">una </w:t>
      </w:r>
      <w:r w:rsidR="00DB6DB8">
        <w:t xml:space="preserve">simple </w:t>
      </w:r>
      <w:r>
        <w:t xml:space="preserve">diferencia verbal entre </w:t>
      </w:r>
      <w:r w:rsidR="00DB6DB8">
        <w:t xml:space="preserve">los </w:t>
      </w:r>
      <w:r>
        <w:t>"seres", "</w:t>
      </w:r>
      <w:r w:rsidR="00DB6DB8">
        <w:t xml:space="preserve">las </w:t>
      </w:r>
      <w:r>
        <w:t>cosas que respir</w:t>
      </w:r>
      <w:r w:rsidR="00DB6DB8">
        <w:t>e</w:t>
      </w:r>
      <w:r>
        <w:t xml:space="preserve">n", etc., sino también una diferencia real en el significado, </w:t>
      </w:r>
      <w:r w:rsidR="00DB6DB8">
        <w:t xml:space="preserve">se contradecirán </w:t>
      </w:r>
      <w:r>
        <w:t xml:space="preserve">por la mención de una </w:t>
      </w:r>
      <w:r w:rsidR="00137BBD">
        <w:t>transmisión</w:t>
      </w:r>
      <w:r>
        <w:t xml:space="preserve"> no espec</w:t>
      </w:r>
      <w:r w:rsidR="00DB6DB8">
        <w:t>í</w:t>
      </w:r>
      <w:r>
        <w:t xml:space="preserve">fica. Entonces, en lugar de tomar el significado de esa manera, la </w:t>
      </w:r>
      <w:r w:rsidR="00137BBD">
        <w:t xml:space="preserve">transmisión </w:t>
      </w:r>
      <w:r>
        <w:t>no espec</w:t>
      </w:r>
      <w:r w:rsidR="00DB6DB8">
        <w:t>í</w:t>
      </w:r>
      <w:r>
        <w:t xml:space="preserve">fica </w:t>
      </w:r>
      <w:r w:rsidR="00F52BF7">
        <w:t>a través del</w:t>
      </w:r>
      <w:r>
        <w:t xml:space="preserve"> </w:t>
      </w:r>
      <w:r w:rsidR="006C08DC" w:rsidRPr="0082231D">
        <w:rPr>
          <w:i/>
          <w:iCs/>
        </w:rPr>
        <w:t>amor–benevolente</w:t>
      </w:r>
      <w:r w:rsidR="00DB6DB8">
        <w:rPr>
          <w:i/>
          <w:iCs/>
        </w:rPr>
        <w:t xml:space="preserve"> </w:t>
      </w:r>
      <w:r>
        <w:t xml:space="preserve">se </w:t>
      </w:r>
      <w:r w:rsidR="00F52BF7">
        <w:t>hará</w:t>
      </w:r>
      <w:r>
        <w:t xml:space="preserve"> de cualquiera de estas cinco maneras.</w:t>
      </w:r>
    </w:p>
    <w:p w14:paraId="4845D1EA" w14:textId="112D35B1" w:rsidR="00B91267" w:rsidRDefault="00B91267" w:rsidP="006550F9">
      <w:pPr>
        <w:pStyle w:val="NormalConSangria"/>
      </w:pPr>
      <w:r>
        <w:t xml:space="preserve">Y aquí, </w:t>
      </w:r>
      <w:r w:rsidRPr="00515826">
        <w:rPr>
          <w:i/>
          <w:iCs/>
        </w:rPr>
        <w:t>que todos los seres estén libres de enemistad</w:t>
      </w:r>
      <w:r>
        <w:t xml:space="preserve"> es una absorción; </w:t>
      </w:r>
      <w:r w:rsidRPr="00F52BF7">
        <w:rPr>
          <w:i/>
          <w:iCs/>
        </w:rPr>
        <w:t>libre de aflicción</w:t>
      </w:r>
      <w:r>
        <w:t xml:space="preserve"> es una absorción—</w:t>
      </w:r>
      <w:r w:rsidRPr="00F52BF7">
        <w:rPr>
          <w:i/>
          <w:iCs/>
        </w:rPr>
        <w:t>libre de aflicción</w:t>
      </w:r>
      <w:r>
        <w:t xml:space="preserve"> (</w:t>
      </w:r>
      <w:proofErr w:type="spellStart"/>
      <w:r w:rsidRPr="00515826">
        <w:rPr>
          <w:i/>
          <w:iCs/>
        </w:rPr>
        <w:t>abyābajjha</w:t>
      </w:r>
      <w:proofErr w:type="spellEnd"/>
      <w:r>
        <w:t>)</w:t>
      </w:r>
      <w:r w:rsidR="00F52BF7">
        <w:t>,</w:t>
      </w:r>
      <w:r>
        <w:t xml:space="preserve"> </w:t>
      </w:r>
      <w:r w:rsidR="0083541E">
        <w:t xml:space="preserve">que </w:t>
      </w:r>
      <w:r>
        <w:t>est</w:t>
      </w:r>
      <w:r w:rsidR="0083541E">
        <w:t>é</w:t>
      </w:r>
      <w:r>
        <w:t xml:space="preserve"> libre de aflicción (</w:t>
      </w:r>
      <w:proofErr w:type="spellStart"/>
      <w:r w:rsidRPr="00515826">
        <w:rPr>
          <w:i/>
          <w:iCs/>
        </w:rPr>
        <w:t>byābādha</w:t>
      </w:r>
      <w:r>
        <w:t>-</w:t>
      </w:r>
      <w:r w:rsidRPr="00515826">
        <w:rPr>
          <w:i/>
          <w:iCs/>
        </w:rPr>
        <w:t>rahita</w:t>
      </w:r>
      <w:proofErr w:type="spellEnd"/>
      <w:r>
        <w:t>);</w:t>
      </w:r>
      <w:r w:rsidRPr="00515826">
        <w:rPr>
          <w:vertAlign w:val="superscript"/>
        </w:rPr>
        <w:t>8</w:t>
      </w:r>
      <w:r>
        <w:t xml:space="preserve"> </w:t>
      </w:r>
      <w:r w:rsidRPr="0083541E">
        <w:rPr>
          <w:i/>
          <w:iCs/>
        </w:rPr>
        <w:t>libre de ansiedad</w:t>
      </w:r>
      <w:r>
        <w:t xml:space="preserve"> es una absorción—</w:t>
      </w:r>
      <w:r w:rsidRPr="00515826">
        <w:rPr>
          <w:i/>
          <w:iCs/>
        </w:rPr>
        <w:t>libre de ansiedad</w:t>
      </w:r>
      <w:r w:rsidR="00E25E74">
        <w:rPr>
          <w:i/>
          <w:iCs/>
        </w:rPr>
        <w:t>,</w:t>
      </w:r>
      <w:r>
        <w:t xml:space="preserve"> </w:t>
      </w:r>
      <w:r w:rsidR="0083541E">
        <w:t xml:space="preserve">que </w:t>
      </w:r>
      <w:r>
        <w:t>es</w:t>
      </w:r>
      <w:r w:rsidR="0083541E">
        <w:t>té</w:t>
      </w:r>
      <w:r>
        <w:t xml:space="preserve"> libre de sufrimiento; </w:t>
      </w:r>
      <w:r w:rsidRPr="00515826">
        <w:rPr>
          <w:i/>
          <w:iCs/>
        </w:rPr>
        <w:t>que vivan felices</w:t>
      </w:r>
      <w:r>
        <w:t xml:space="preserve"> es una absorción. En consecuencia, debe</w:t>
      </w:r>
      <w:r w:rsidR="00D16A28">
        <w:t>rá</w:t>
      </w:r>
      <w:r>
        <w:t xml:space="preserve"> </w:t>
      </w:r>
      <w:r w:rsidR="00E25E74">
        <w:t xml:space="preserve">transmitirse </w:t>
      </w:r>
      <w:r w:rsidR="006C08DC" w:rsidRPr="0082231D">
        <w:rPr>
          <w:i/>
          <w:iCs/>
        </w:rPr>
        <w:t>amor–benevolente</w:t>
      </w:r>
      <w:r w:rsidR="00E25E74">
        <w:rPr>
          <w:i/>
          <w:iCs/>
        </w:rPr>
        <w:t xml:space="preserve"> </w:t>
      </w:r>
      <w:r>
        <w:t>de acuerdo con cualquiera de estas frases que le resulte</w:t>
      </w:r>
      <w:r w:rsidR="00E25E74">
        <w:t>n</w:t>
      </w:r>
      <w:r>
        <w:t xml:space="preserve"> clara</w:t>
      </w:r>
      <w:r w:rsidR="00E25E74">
        <w:t>s</w:t>
      </w:r>
      <w:r>
        <w:t xml:space="preserve">. Entonces, con los cuatro tipos de absorción en cada una de las cinco formas, </w:t>
      </w:r>
      <w:r w:rsidR="00E25E74">
        <w:t>exist</w:t>
      </w:r>
      <w:r w:rsidR="00D16A28">
        <w:t>irán</w:t>
      </w:r>
      <w:r w:rsidR="00E25E74">
        <w:t xml:space="preserve"> </w:t>
      </w:r>
      <w:r>
        <w:t xml:space="preserve">veinte tipos de absorción en la </w:t>
      </w:r>
      <w:r w:rsidR="00D16A28">
        <w:t xml:space="preserve">transmisión </w:t>
      </w:r>
      <w:r>
        <w:t>no espec</w:t>
      </w:r>
      <w:r w:rsidR="00E25E74">
        <w:t>í</w:t>
      </w:r>
      <w:r>
        <w:t>fica</w:t>
      </w:r>
      <w:r w:rsidR="00E25E74">
        <w:t xml:space="preserve"> a través de la transmisión del </w:t>
      </w:r>
      <w:r w:rsidR="00AC5DDE" w:rsidRPr="0082231D">
        <w:rPr>
          <w:i/>
          <w:iCs/>
        </w:rPr>
        <w:t>amor–benevolente</w:t>
      </w:r>
      <w:r>
        <w:t>.</w:t>
      </w:r>
    </w:p>
    <w:p w14:paraId="3992C8F0" w14:textId="54B396F8" w:rsidR="00B91267" w:rsidRDefault="00B91267" w:rsidP="00B91267">
      <w:r>
        <w:t xml:space="preserve">57. </w:t>
      </w:r>
      <w:r w:rsidR="006550F9">
        <w:tab/>
      </w:r>
      <w:r>
        <w:t xml:space="preserve">En la </w:t>
      </w:r>
      <w:r w:rsidR="005C53B4">
        <w:t xml:space="preserve">transmisión </w:t>
      </w:r>
      <w:r w:rsidR="003A29EE">
        <w:t>específica</w:t>
      </w:r>
      <w:r>
        <w:t xml:space="preserve">, con las </w:t>
      </w:r>
      <w:r w:rsidR="00747C97">
        <w:t>4</w:t>
      </w:r>
      <w:r>
        <w:t xml:space="preserve"> clases de absorción en cada una de las </w:t>
      </w:r>
      <w:r w:rsidR="00747C97">
        <w:t>7</w:t>
      </w:r>
      <w:r>
        <w:t xml:space="preserve"> formas, </w:t>
      </w:r>
      <w:r w:rsidR="003A29EE">
        <w:t>suman en total</w:t>
      </w:r>
      <w:r>
        <w:t xml:space="preserve"> </w:t>
      </w:r>
      <w:r w:rsidR="00747C97">
        <w:t>28</w:t>
      </w:r>
      <w:r>
        <w:t xml:space="preserve"> clases de absorción. Y aquí se dice “mujer” y “hombre” según el sexo; “Nobles” y “no Nobles” según l</w:t>
      </w:r>
      <w:r w:rsidR="00BB03D6">
        <w:t>a</w:t>
      </w:r>
      <w:r>
        <w:t xml:space="preserve"> Noble</w:t>
      </w:r>
      <w:r w:rsidR="00BB03D6">
        <w:t>za</w:t>
      </w:r>
      <w:r>
        <w:t xml:space="preserve"> </w:t>
      </w:r>
      <w:r w:rsidR="00BB03D6">
        <w:t>o</w:t>
      </w:r>
      <w:r>
        <w:t xml:space="preserve"> la gente común; “deidades” y “seres humanos” y “aquellos en estados de </w:t>
      </w:r>
      <w:r w:rsidR="003A29EE">
        <w:t>perdición</w:t>
      </w:r>
      <w:r>
        <w:t>” según el tipo de renacimiento.</w:t>
      </w:r>
    </w:p>
    <w:p w14:paraId="4F336B3D" w14:textId="7E2FD7C0" w:rsidR="00B91267" w:rsidRDefault="00B91267" w:rsidP="00B91267">
      <w:r>
        <w:t xml:space="preserve">58. </w:t>
      </w:r>
      <w:r w:rsidR="006550F9">
        <w:tab/>
      </w:r>
      <w:r>
        <w:t xml:space="preserve">En la </w:t>
      </w:r>
      <w:r w:rsidR="003A29EE">
        <w:t>transmisión</w:t>
      </w:r>
      <w:r>
        <w:t xml:space="preserve"> direccional, con </w:t>
      </w:r>
      <w:r w:rsidR="00747C97">
        <w:t>20</w:t>
      </w:r>
      <w:r>
        <w:t xml:space="preserve"> clases de absorción en cada una de las </w:t>
      </w:r>
      <w:r w:rsidR="00836415">
        <w:t>10</w:t>
      </w:r>
      <w:r w:rsidR="00747C97">
        <w:t xml:space="preserve"> </w:t>
      </w:r>
      <w:r>
        <w:t>direcciones comenzando con “</w:t>
      </w:r>
      <w:r w:rsidR="003A29EE">
        <w:t xml:space="preserve">que </w:t>
      </w:r>
      <w:r>
        <w:t xml:space="preserve">todos los seres en la dirección este”, </w:t>
      </w:r>
      <w:r w:rsidR="00747C97">
        <w:t>suman en total</w:t>
      </w:r>
      <w:r>
        <w:t xml:space="preserve"> </w:t>
      </w:r>
      <w:r w:rsidR="00836415">
        <w:t>200</w:t>
      </w:r>
      <w:r>
        <w:t xml:space="preserve"> clases de absorción; y con </w:t>
      </w:r>
      <w:r w:rsidR="00836415">
        <w:t>28</w:t>
      </w:r>
      <w:r>
        <w:t xml:space="preserve"> clases en cada una de las </w:t>
      </w:r>
      <w:r w:rsidR="00836415">
        <w:t xml:space="preserve">10 </w:t>
      </w:r>
      <w:r>
        <w:t xml:space="preserve">direcciones comenzando con “todas las mujeres en la dirección este” </w:t>
      </w:r>
      <w:r w:rsidR="00747C97">
        <w:t xml:space="preserve">suman </w:t>
      </w:r>
      <w:r w:rsidR="00836415">
        <w:t>280</w:t>
      </w:r>
      <w:r>
        <w:t xml:space="preserve"> clases</w:t>
      </w:r>
      <w:r w:rsidR="00836415" w:rsidRPr="00836415">
        <w:t xml:space="preserve"> </w:t>
      </w:r>
      <w:r w:rsidR="00836415">
        <w:t>de absorción</w:t>
      </w:r>
      <w:r>
        <w:t xml:space="preserve">; por lo que estos hacen </w:t>
      </w:r>
      <w:r w:rsidR="00836415">
        <w:t>480</w:t>
      </w:r>
      <w:r>
        <w:t xml:space="preserve"> tipos de absorción. En consecuencia, todas las clases de absorción mencionadas en el </w:t>
      </w:r>
      <w:proofErr w:type="spellStart"/>
      <w:r w:rsidRPr="00515826">
        <w:rPr>
          <w:i/>
          <w:iCs/>
        </w:rPr>
        <w:t>Paṭisambhidā</w:t>
      </w:r>
      <w:proofErr w:type="spellEnd"/>
      <w:r>
        <w:t xml:space="preserve"> ascienden a </w:t>
      </w:r>
      <w:r w:rsidR="00836415">
        <w:t>528</w:t>
      </w:r>
      <w:r>
        <w:t>.</w:t>
      </w:r>
    </w:p>
    <w:p w14:paraId="68954A9E" w14:textId="77777777" w:rsidR="00BB03D6" w:rsidRDefault="00BB03D6" w:rsidP="00B91267"/>
    <w:p w14:paraId="0C36F3EF" w14:textId="77777777" w:rsidR="006550F9" w:rsidRDefault="006550F9" w:rsidP="006550F9">
      <w:pPr>
        <w:pStyle w:val="Piedepgina"/>
        <w:rPr>
          <w:u w:val="single"/>
        </w:rPr>
      </w:pPr>
      <w:r>
        <w:rPr>
          <w:u w:val="single"/>
        </w:rPr>
        <w:t xml:space="preserve">                                                                                                                                                                          .</w:t>
      </w:r>
    </w:p>
    <w:p w14:paraId="3235A27D" w14:textId="1E2D2204" w:rsidR="00B91267" w:rsidRDefault="00B91267" w:rsidP="006550F9">
      <w:pPr>
        <w:pStyle w:val="PiedepginaLegal"/>
      </w:pPr>
      <w:r>
        <w:t xml:space="preserve">7. </w:t>
      </w:r>
      <w:r w:rsidR="006550F9">
        <w:tab/>
      </w:r>
      <w:r>
        <w:t>“Aquí, cuando los agregados no se entiend</w:t>
      </w:r>
      <w:r w:rsidR="004C2B81">
        <w:t>a</w:t>
      </w:r>
      <w:r>
        <w:t>n completamente, se les nombra</w:t>
      </w:r>
      <w:r w:rsidR="004C2B81">
        <w:t>rá</w:t>
      </w:r>
      <w:r>
        <w:t xml:space="preserve"> (</w:t>
      </w:r>
      <w:proofErr w:type="spellStart"/>
      <w:r w:rsidRPr="00515826">
        <w:rPr>
          <w:i/>
          <w:iCs/>
        </w:rPr>
        <w:t>abhidhāna</w:t>
      </w:r>
      <w:proofErr w:type="spellEnd"/>
      <w:r>
        <w:t xml:space="preserve">) y se les </w:t>
      </w:r>
      <w:r w:rsidR="004C2B81">
        <w:t>asignará una</w:t>
      </w:r>
      <w:r>
        <w:t xml:space="preserve"> con</w:t>
      </w:r>
      <w:r w:rsidR="00204436">
        <w:t>s</w:t>
      </w:r>
      <w:r>
        <w:t>ciencia como uno mismo (</w:t>
      </w:r>
      <w:proofErr w:type="spellStart"/>
      <w:r w:rsidRPr="00515826">
        <w:rPr>
          <w:i/>
          <w:iCs/>
        </w:rPr>
        <w:t>attā</w:t>
      </w:r>
      <w:proofErr w:type="spellEnd"/>
      <w:r>
        <w:t xml:space="preserve">), es decir, </w:t>
      </w:r>
      <w:r w:rsidR="004C2B81">
        <w:t>a</w:t>
      </w:r>
      <w:r>
        <w:t xml:space="preserve">l cuerpo físico o, alternativamente, </w:t>
      </w:r>
      <w:r w:rsidR="004C2B81">
        <w:t xml:space="preserve">a </w:t>
      </w:r>
      <w:r>
        <w:t>los cinco agregados. 'Derivado de': aprehender, agarrar, hacer un soporte. ‘Puesto que en realidad es un mero concepto’: debido a la presencia (</w:t>
      </w:r>
      <w:proofErr w:type="spellStart"/>
      <w:r w:rsidRPr="00515826">
        <w:rPr>
          <w:i/>
          <w:iCs/>
        </w:rPr>
        <w:t>sabbhāvato</w:t>
      </w:r>
      <w:proofErr w:type="spellEnd"/>
      <w:r>
        <w:t xml:space="preserve">) como un mero concepto </w:t>
      </w:r>
      <w:r w:rsidR="004C2B81">
        <w:t>de</w:t>
      </w:r>
      <w:r>
        <w:t xml:space="preserve"> lo que se llam</w:t>
      </w:r>
      <w:r w:rsidR="004C2B81">
        <w:t>e</w:t>
      </w:r>
      <w:r>
        <w:t xml:space="preserve"> un ser, aunque en el sentido más elevado el ‘ser’ s</w:t>
      </w:r>
      <w:r w:rsidR="004C2B81">
        <w:t>ea</w:t>
      </w:r>
      <w:r>
        <w:t xml:space="preserve"> inexistente” (</w:t>
      </w:r>
      <w:proofErr w:type="spellStart"/>
      <w:r>
        <w:t>Vism-mhṭ</w:t>
      </w:r>
      <w:proofErr w:type="spellEnd"/>
      <w:r>
        <w:t xml:space="preserve"> 298). Véase también cap. VIII, nota 11.</w:t>
      </w:r>
    </w:p>
    <w:p w14:paraId="7B68437F" w14:textId="489A6CFB" w:rsidR="00956ACD" w:rsidRDefault="00B91267" w:rsidP="006550F9">
      <w:pPr>
        <w:pStyle w:val="PiedepginaLegal"/>
      </w:pPr>
      <w:r>
        <w:t xml:space="preserve">8. </w:t>
      </w:r>
      <w:r w:rsidR="006550F9">
        <w:tab/>
      </w:r>
      <w:r>
        <w:t xml:space="preserve">El texto de Harvard dice </w:t>
      </w:r>
      <w:proofErr w:type="spellStart"/>
      <w:r w:rsidRPr="00515826">
        <w:rPr>
          <w:i/>
          <w:iCs/>
        </w:rPr>
        <w:t>byāpādarahita</w:t>
      </w:r>
      <w:proofErr w:type="spellEnd"/>
      <w:r>
        <w:t xml:space="preserve">, que se traduciría como "libre de mala voluntad". </w:t>
      </w:r>
      <w:proofErr w:type="spellStart"/>
      <w:r>
        <w:t>Vism-mhṭ</w:t>
      </w:r>
      <w:proofErr w:type="spellEnd"/>
      <w:r>
        <w:t xml:space="preserve"> (p. 299) </w:t>
      </w:r>
      <w:r w:rsidR="00E20199">
        <w:t>la cual refuerza</w:t>
      </w:r>
      <w:r>
        <w:t xml:space="preserve"> una lectura </w:t>
      </w:r>
      <w:proofErr w:type="spellStart"/>
      <w:r w:rsidRPr="00515826">
        <w:rPr>
          <w:i/>
          <w:iCs/>
        </w:rPr>
        <w:t>byābādha</w:t>
      </w:r>
      <w:proofErr w:type="spellEnd"/>
      <w:r>
        <w:t>, que parec</w:t>
      </w:r>
      <w:r w:rsidR="00E20199">
        <w:t>iera</w:t>
      </w:r>
      <w:r>
        <w:t xml:space="preserve"> mejor.</w:t>
      </w:r>
    </w:p>
    <w:p w14:paraId="29781794" w14:textId="77777777" w:rsidR="006550F9" w:rsidRDefault="006550F9" w:rsidP="006550F9"/>
    <w:p w14:paraId="74A9EC9A" w14:textId="35E6D086" w:rsidR="006550F9" w:rsidRDefault="006550F9">
      <w:pPr>
        <w:tabs>
          <w:tab w:val="clear" w:pos="425"/>
        </w:tabs>
        <w:spacing w:after="160"/>
      </w:pPr>
      <w:r>
        <w:br w:type="page"/>
      </w:r>
    </w:p>
    <w:p w14:paraId="72DA72D4" w14:textId="77777777" w:rsidR="006550F9" w:rsidRDefault="006550F9" w:rsidP="006550F9"/>
    <w:p w14:paraId="310D7D8C" w14:textId="6FD3D683" w:rsidR="001205E9" w:rsidRDefault="001205E9" w:rsidP="001205E9">
      <w:r>
        <w:t xml:space="preserve">59. </w:t>
      </w:r>
      <w:r>
        <w:tab/>
        <w:t>Entonces, cuando este meditador desarroll</w:t>
      </w:r>
      <w:r w:rsidR="00836415">
        <w:t>e</w:t>
      </w:r>
      <w:r>
        <w:t xml:space="preserve"> la liberación mental del </w:t>
      </w:r>
      <w:r w:rsidR="00AC5DDE" w:rsidRPr="0082231D">
        <w:rPr>
          <w:i/>
          <w:iCs/>
        </w:rPr>
        <w:t>amor–benevolente</w:t>
      </w:r>
      <w:r w:rsidR="00836415">
        <w:rPr>
          <w:i/>
          <w:iCs/>
        </w:rPr>
        <w:t xml:space="preserve"> </w:t>
      </w:r>
      <w:r>
        <w:t xml:space="preserve">a través de cualquiera de estos tipos de absorción, </w:t>
      </w:r>
      <w:r w:rsidR="00836415">
        <w:t>obtendrá</w:t>
      </w:r>
      <w:r>
        <w:t xml:space="preserve"> </w:t>
      </w:r>
      <w:r w:rsidR="00836415">
        <w:t xml:space="preserve">11 </w:t>
      </w:r>
      <w:r>
        <w:t xml:space="preserve">ventajas descritas en el </w:t>
      </w:r>
      <w:r w:rsidR="00836415">
        <w:t xml:space="preserve">sendero </w:t>
      </w:r>
      <w:r>
        <w:t>que comienza, "Un hombre duerme cómodamente" (§37).</w:t>
      </w:r>
    </w:p>
    <w:p w14:paraId="6D9641BE" w14:textId="54C5B3D5" w:rsidR="001205E9" w:rsidRDefault="001205E9" w:rsidP="001205E9">
      <w:r>
        <w:t xml:space="preserve">60. </w:t>
      </w:r>
      <w:r>
        <w:tab/>
        <w:t xml:space="preserve">Aquí, </w:t>
      </w:r>
      <w:r w:rsidRPr="004709EE">
        <w:rPr>
          <w:i/>
          <w:iCs/>
        </w:rPr>
        <w:t>duerme cómodamente</w:t>
      </w:r>
      <w:r>
        <w:t xml:space="preserve"> significa que en lugar de dormir incómod</w:t>
      </w:r>
      <w:r w:rsidR="0083689C">
        <w:t>amente</w:t>
      </w:r>
      <w:r>
        <w:t>, volteándose y roncando como lo hacen otras personas, duerme cómodamente, se duerme como si estuviera entrando en un</w:t>
      </w:r>
      <w:r w:rsidR="0083689C">
        <w:t>a</w:t>
      </w:r>
      <w:r>
        <w:t xml:space="preserve"> </w:t>
      </w:r>
      <w:r w:rsidR="0083689C">
        <w:t>absorción</w:t>
      </w:r>
      <w:r>
        <w:t>.</w:t>
      </w:r>
    </w:p>
    <w:p w14:paraId="386506B7" w14:textId="77DF5725" w:rsidR="001205E9" w:rsidRDefault="001205E9" w:rsidP="001205E9">
      <w:r>
        <w:t xml:space="preserve">61. </w:t>
      </w:r>
      <w:r>
        <w:tab/>
        <w:t xml:space="preserve">Se </w:t>
      </w:r>
      <w:r w:rsidRPr="004709EE">
        <w:rPr>
          <w:i/>
          <w:iCs/>
        </w:rPr>
        <w:t>despierta cómodamente</w:t>
      </w:r>
      <w:r>
        <w:t xml:space="preserve">: en lugar de despertar </w:t>
      </w:r>
      <w:r w:rsidR="00953E95">
        <w:t>incómodamente</w:t>
      </w:r>
      <w:r>
        <w:t xml:space="preserve">, gimiendo, bostezando y dando vueltas como hacen los demás, se despierta cómodamente sin contorsiones, como un loto </w:t>
      </w:r>
      <w:r w:rsidR="00911C9A">
        <w:t>al</w:t>
      </w:r>
      <w:r>
        <w:t xml:space="preserve"> abr</w:t>
      </w:r>
      <w:r w:rsidR="00953E95">
        <w:t>i</w:t>
      </w:r>
      <w:r w:rsidR="00911C9A">
        <w:t>r</w:t>
      </w:r>
      <w:r w:rsidR="00953E95">
        <w:t>se</w:t>
      </w:r>
      <w:r>
        <w:t>. [312]</w:t>
      </w:r>
    </w:p>
    <w:p w14:paraId="16BF7B84" w14:textId="2DC5710A" w:rsidR="001205E9" w:rsidRDefault="001205E9" w:rsidP="001205E9">
      <w:r>
        <w:t xml:space="preserve">62. </w:t>
      </w:r>
      <w:r>
        <w:tab/>
      </w:r>
      <w:r w:rsidRPr="004709EE">
        <w:rPr>
          <w:i/>
          <w:iCs/>
        </w:rPr>
        <w:t xml:space="preserve">No sueña sueños </w:t>
      </w:r>
      <w:r w:rsidR="00953E95">
        <w:rPr>
          <w:i/>
          <w:iCs/>
        </w:rPr>
        <w:t>negativos</w:t>
      </w:r>
      <w:r>
        <w:t>: cuando ve</w:t>
      </w:r>
      <w:r w:rsidR="00953E95">
        <w:t>a</w:t>
      </w:r>
      <w:r>
        <w:t xml:space="preserve"> sueños, solo ve</w:t>
      </w:r>
      <w:r w:rsidR="00953E95">
        <w:t>rá</w:t>
      </w:r>
      <w:r>
        <w:t xml:space="preserve"> sueños auspiciosos, como si estuviera adorando un santuario, como si estuviera haciendo una ofrenda, como si estuviera escuchando el </w:t>
      </w:r>
      <w:r w:rsidR="00057BF4" w:rsidRPr="00057BF4">
        <w:rPr>
          <w:i/>
        </w:rPr>
        <w:t>Dhamma</w:t>
      </w:r>
      <w:r>
        <w:t xml:space="preserve">. </w:t>
      </w:r>
      <w:r w:rsidR="00953E95">
        <w:t xml:space="preserve">No obstante, </w:t>
      </w:r>
      <w:r>
        <w:t xml:space="preserve">no </w:t>
      </w:r>
      <w:r w:rsidR="005C72CD">
        <w:t>visualiza</w:t>
      </w:r>
      <w:r>
        <w:t xml:space="preserve"> malos sueños como los demás, como si estuviera rodeado de bandidos, como si lo amenazaran </w:t>
      </w:r>
      <w:r w:rsidR="008D4814">
        <w:t>las</w:t>
      </w:r>
      <w:r w:rsidR="005C72CD">
        <w:t xml:space="preserve"> </w:t>
      </w:r>
      <w:r>
        <w:t>fieras, como si cayera en un abismo (cf. XIV, n. 45).</w:t>
      </w:r>
    </w:p>
    <w:p w14:paraId="4AF2330C" w14:textId="3A365F98" w:rsidR="001205E9" w:rsidRDefault="001205E9" w:rsidP="001205E9">
      <w:r>
        <w:t xml:space="preserve">63. </w:t>
      </w:r>
      <w:r>
        <w:tab/>
      </w:r>
      <w:r w:rsidRPr="004709EE">
        <w:rPr>
          <w:i/>
          <w:iCs/>
        </w:rPr>
        <w:t xml:space="preserve">Él es </w:t>
      </w:r>
      <w:r w:rsidR="009841F2">
        <w:rPr>
          <w:i/>
          <w:iCs/>
        </w:rPr>
        <w:t xml:space="preserve">estimado </w:t>
      </w:r>
      <w:r w:rsidRPr="004709EE">
        <w:rPr>
          <w:i/>
          <w:iCs/>
        </w:rPr>
        <w:t>por seres humanos</w:t>
      </w:r>
      <w:r>
        <w:t xml:space="preserve">: es tan </w:t>
      </w:r>
      <w:r w:rsidR="009841F2">
        <w:t xml:space="preserve">estimado </w:t>
      </w:r>
      <w:r>
        <w:t>y amado por los seres humanos como un collar que se llev</w:t>
      </w:r>
      <w:r w:rsidR="009841F2">
        <w:t>e</w:t>
      </w:r>
      <w:r>
        <w:t xml:space="preserve"> en el pecho, como una corona que adorn</w:t>
      </w:r>
      <w:r w:rsidR="009841F2">
        <w:t>e</w:t>
      </w:r>
      <w:r>
        <w:t xml:space="preserve"> </w:t>
      </w:r>
      <w:r w:rsidR="009841F2">
        <w:t xml:space="preserve">una </w:t>
      </w:r>
      <w:r>
        <w:t>cabeza.</w:t>
      </w:r>
    </w:p>
    <w:p w14:paraId="489D20C3" w14:textId="4365F374" w:rsidR="001205E9" w:rsidRDefault="001205E9" w:rsidP="001205E9">
      <w:r>
        <w:t xml:space="preserve">64. </w:t>
      </w:r>
      <w:r>
        <w:tab/>
      </w:r>
      <w:r w:rsidRPr="004709EE">
        <w:rPr>
          <w:i/>
          <w:iCs/>
        </w:rPr>
        <w:t xml:space="preserve">Él es </w:t>
      </w:r>
      <w:r w:rsidR="009841F2">
        <w:rPr>
          <w:i/>
          <w:iCs/>
        </w:rPr>
        <w:t xml:space="preserve">estimado </w:t>
      </w:r>
      <w:r w:rsidRPr="004709EE">
        <w:rPr>
          <w:i/>
          <w:iCs/>
        </w:rPr>
        <w:t>por seres no humanos</w:t>
      </w:r>
      <w:r>
        <w:t xml:space="preserve">: es tan </w:t>
      </w:r>
      <w:r w:rsidR="009841F2" w:rsidRPr="009841F2">
        <w:t xml:space="preserve">estimado </w:t>
      </w:r>
      <w:r>
        <w:t xml:space="preserve">por seres no humanos como lo es por seres humanos, como en el caso del </w:t>
      </w:r>
      <w:r w:rsidR="004709EE">
        <w:t>Venerable</w:t>
      </w:r>
      <w:r>
        <w:t xml:space="preserve"> </w:t>
      </w:r>
      <w:proofErr w:type="spellStart"/>
      <w:r>
        <w:t>Visākha</w:t>
      </w:r>
      <w:proofErr w:type="spellEnd"/>
      <w:r>
        <w:t xml:space="preserve">. Al parecer, era terrateniente en </w:t>
      </w:r>
      <w:proofErr w:type="spellStart"/>
      <w:r>
        <w:t>P</w:t>
      </w:r>
      <w:r w:rsidR="00906289">
        <w:t>ā</w:t>
      </w:r>
      <w:r>
        <w:t>ṭaliputta</w:t>
      </w:r>
      <w:proofErr w:type="spellEnd"/>
      <w:r>
        <w:t xml:space="preserve"> (Patna). Mientras vivía allí escuchó esto: “La isla de </w:t>
      </w:r>
      <w:proofErr w:type="spellStart"/>
      <w:r>
        <w:t>Tambapaṇṇi</w:t>
      </w:r>
      <w:proofErr w:type="spellEnd"/>
      <w:r>
        <w:t xml:space="preserve"> (Sri Lanka), aparentemente, está adornada con una diadema de santuarios y brilla con l</w:t>
      </w:r>
      <w:r w:rsidR="00A7387F">
        <w:t>os</w:t>
      </w:r>
      <w:r>
        <w:t xml:space="preserve"> </w:t>
      </w:r>
      <w:r w:rsidR="00A7387F">
        <w:t xml:space="preserve">ropajes </w:t>
      </w:r>
      <w:r>
        <w:t>amarill</w:t>
      </w:r>
      <w:r w:rsidR="00A7387F">
        <w:t>os</w:t>
      </w:r>
      <w:r>
        <w:t xml:space="preserve">, y allí un hombre puede sentarse o </w:t>
      </w:r>
      <w:r w:rsidR="00A7387F">
        <w:t>re</w:t>
      </w:r>
      <w:r>
        <w:t xml:space="preserve">costarse donde quiera; allí el clima es favorable, las </w:t>
      </w:r>
      <w:r w:rsidR="00A7387F">
        <w:t xml:space="preserve">viviendas </w:t>
      </w:r>
      <w:r>
        <w:t xml:space="preserve">son favorables, la gente es favorable, el </w:t>
      </w:r>
      <w:r w:rsidR="00057BF4" w:rsidRPr="00057BF4">
        <w:rPr>
          <w:i/>
        </w:rPr>
        <w:t>Dhamma</w:t>
      </w:r>
      <w:r>
        <w:t xml:space="preserve"> para ser escuchado es favorable, y todas estas cosas favorables se obtienen fácilmente </w:t>
      </w:r>
      <w:r w:rsidR="00A7387F">
        <w:t xml:space="preserve">de </w:t>
      </w:r>
      <w:r>
        <w:t>allí”.</w:t>
      </w:r>
    </w:p>
    <w:p w14:paraId="4EFEA4AB" w14:textId="21993531" w:rsidR="001205E9" w:rsidRDefault="001205E9" w:rsidP="001205E9">
      <w:r>
        <w:t xml:space="preserve">65. </w:t>
      </w:r>
      <w:r>
        <w:tab/>
        <w:t xml:space="preserve">Hizo entrega de su fortuna a su esposa e hijos y </w:t>
      </w:r>
      <w:r w:rsidR="00AA36EF">
        <w:t>abandonó</w:t>
      </w:r>
      <w:r>
        <w:t xml:space="preserve"> su hogar con un solo ducado (</w:t>
      </w:r>
      <w:proofErr w:type="spellStart"/>
      <w:r w:rsidRPr="004709EE">
        <w:rPr>
          <w:i/>
          <w:iCs/>
        </w:rPr>
        <w:t>kahāpaṇa</w:t>
      </w:r>
      <w:proofErr w:type="spellEnd"/>
      <w:r>
        <w:t>) cosido en el dobladillo de su manto. Se detuvo un mes en la costa del mar a la espera de un barco y</w:t>
      </w:r>
      <w:r w:rsidR="00AA36EF">
        <w:t>,</w:t>
      </w:r>
      <w:r>
        <w:t xml:space="preserve"> mientras tanto, </w:t>
      </w:r>
      <w:r w:rsidR="00DB197C">
        <w:t xml:space="preserve">mediante </w:t>
      </w:r>
      <w:r>
        <w:t xml:space="preserve">su habilidad en el comercio, hizo mil </w:t>
      </w:r>
      <w:r w:rsidR="00A7387F">
        <w:t xml:space="preserve">ducados </w:t>
      </w:r>
      <w:r>
        <w:t>durante el mes comprando mercancías aquí y vendiéndolas all</w:t>
      </w:r>
      <w:r w:rsidR="00A7387F">
        <w:t>á</w:t>
      </w:r>
      <w:r>
        <w:t xml:space="preserve"> en empresas legales.</w:t>
      </w:r>
    </w:p>
    <w:p w14:paraId="1A000712" w14:textId="3AF9ECCF" w:rsidR="001205E9" w:rsidRDefault="001205E9" w:rsidP="001205E9">
      <w:r>
        <w:t xml:space="preserve">66. </w:t>
      </w:r>
      <w:r>
        <w:tab/>
        <w:t xml:space="preserve">Eventualmente, él </w:t>
      </w:r>
      <w:r w:rsidR="008C4504">
        <w:t xml:space="preserve">llegó </w:t>
      </w:r>
      <w:r>
        <w:t>al Gran Monasterio [(</w:t>
      </w:r>
      <w:proofErr w:type="spellStart"/>
      <w:r>
        <w:t>Mahāvihāra</w:t>
      </w:r>
      <w:proofErr w:type="spellEnd"/>
      <w:r>
        <w:t xml:space="preserve">) en </w:t>
      </w:r>
      <w:proofErr w:type="spellStart"/>
      <w:r>
        <w:t>Anurādhapura</w:t>
      </w:r>
      <w:proofErr w:type="spellEnd"/>
      <w:r>
        <w:t xml:space="preserve">], y allí </w:t>
      </w:r>
      <w:r w:rsidR="008C4504">
        <w:t>solicitó</w:t>
      </w:r>
      <w:r w:rsidR="00287EED">
        <w:t xml:space="preserve"> la ordenación hacia una vida sin hogar</w:t>
      </w:r>
      <w:r>
        <w:t>. Cuando lo conducían a la sala capitular (</w:t>
      </w:r>
      <w:proofErr w:type="spellStart"/>
      <w:r w:rsidRPr="004709EE">
        <w:rPr>
          <w:i/>
          <w:iCs/>
        </w:rPr>
        <w:t>s</w:t>
      </w:r>
      <w:r w:rsidR="004709EE" w:rsidRPr="004709EE">
        <w:rPr>
          <w:i/>
          <w:iCs/>
        </w:rPr>
        <w:t>ī</w:t>
      </w:r>
      <w:r w:rsidRPr="004709EE">
        <w:rPr>
          <w:i/>
          <w:iCs/>
        </w:rPr>
        <w:t>m</w:t>
      </w:r>
      <w:r w:rsidR="004709EE" w:rsidRPr="004709EE">
        <w:rPr>
          <w:i/>
          <w:iCs/>
        </w:rPr>
        <w:t>ā</w:t>
      </w:r>
      <w:proofErr w:type="spellEnd"/>
      <w:r>
        <w:t xml:space="preserve">) para la ceremonia de </w:t>
      </w:r>
      <w:r w:rsidR="00287EED">
        <w:t>ordenación</w:t>
      </w:r>
      <w:r>
        <w:t>, la bolsa que contenía l</w:t>
      </w:r>
      <w:r w:rsidR="00852AED">
        <w:t>o</w:t>
      </w:r>
      <w:r>
        <w:t xml:space="preserve">s mil </w:t>
      </w:r>
      <w:r w:rsidR="00794B71">
        <w:t xml:space="preserve">ducados </w:t>
      </w:r>
      <w:r>
        <w:t xml:space="preserve">se cayó debajo de su cinturón. Cuando se le preguntó "¿Qué es eso?" él respondió: "Son mil ducados, </w:t>
      </w:r>
      <w:r w:rsidR="00794B71">
        <w:t>Venerables Señores</w:t>
      </w:r>
      <w:r>
        <w:t xml:space="preserve">". Le dijeron: “Seguidor laico, no </w:t>
      </w:r>
      <w:r w:rsidR="00852AED">
        <w:t xml:space="preserve">será </w:t>
      </w:r>
      <w:r>
        <w:t xml:space="preserve">posible repartirlos después de la </w:t>
      </w:r>
      <w:r w:rsidR="00794B71">
        <w:t>ordenación</w:t>
      </w:r>
      <w:r>
        <w:t xml:space="preserve">. Distribúyalos ahora. </w:t>
      </w:r>
      <w:r w:rsidR="00794B71">
        <w:t xml:space="preserve">Entonces </w:t>
      </w:r>
      <w:r>
        <w:t xml:space="preserve">dijo: “Que ninguno de los que hayan venido a la escena de la </w:t>
      </w:r>
      <w:r w:rsidR="00794B71">
        <w:t xml:space="preserve">ordenación </w:t>
      </w:r>
      <w:r>
        <w:t xml:space="preserve">de </w:t>
      </w:r>
      <w:proofErr w:type="spellStart"/>
      <w:r w:rsidR="004709EE">
        <w:t>Visākha</w:t>
      </w:r>
      <w:proofErr w:type="spellEnd"/>
      <w:r w:rsidR="004709EE">
        <w:t xml:space="preserve"> </w:t>
      </w:r>
      <w:r>
        <w:t xml:space="preserve">se vaya con las manos vacías”, y abriendo la bolsa las arrojó sobre el patio de la sala capitular, después de lo cual recibió la </w:t>
      </w:r>
      <w:r w:rsidR="00C84419">
        <w:t xml:space="preserve">ordenación </w:t>
      </w:r>
      <w:r>
        <w:t>y la completa</w:t>
      </w:r>
      <w:r w:rsidR="00C84419" w:rsidRPr="00C84419">
        <w:t xml:space="preserve"> </w:t>
      </w:r>
      <w:r w:rsidR="00C84419">
        <w:t>admisión</w:t>
      </w:r>
      <w:r>
        <w:t>.</w:t>
      </w:r>
    </w:p>
    <w:p w14:paraId="5CC525EF" w14:textId="4BE4C8A4" w:rsidR="001205E9" w:rsidRDefault="001205E9" w:rsidP="001205E9">
      <w:r>
        <w:t xml:space="preserve">67. </w:t>
      </w:r>
      <w:r>
        <w:tab/>
        <w:t xml:space="preserve">Cuando </w:t>
      </w:r>
      <w:r w:rsidR="00C84419">
        <w:t xml:space="preserve">hubo </w:t>
      </w:r>
      <w:r>
        <w:t xml:space="preserve">adquirido cinco años de antigüedad y </w:t>
      </w:r>
      <w:r w:rsidR="00C84419">
        <w:t xml:space="preserve">ya </w:t>
      </w:r>
      <w:r>
        <w:t>se había familiarizado con los dos Códigos (</w:t>
      </w:r>
      <w:proofErr w:type="spellStart"/>
      <w:r w:rsidRPr="004709EE">
        <w:rPr>
          <w:i/>
          <w:iCs/>
        </w:rPr>
        <w:t>Pātimokkha</w:t>
      </w:r>
      <w:proofErr w:type="spellEnd"/>
      <w:r>
        <w:t xml:space="preserve">; ver III.31) celebró el </w:t>
      </w:r>
      <w:proofErr w:type="spellStart"/>
      <w:r w:rsidRPr="004709EE">
        <w:rPr>
          <w:i/>
          <w:iCs/>
        </w:rPr>
        <w:t>Pavāraṇā</w:t>
      </w:r>
      <w:proofErr w:type="spellEnd"/>
      <w:r>
        <w:t xml:space="preserve"> al final de </w:t>
      </w:r>
      <w:r w:rsidR="00C84419">
        <w:t>la Estación de</w:t>
      </w:r>
      <w:r>
        <w:t xml:space="preserve"> Lluvias, tomó un </w:t>
      </w:r>
      <w:r w:rsidR="00C84419">
        <w:t>o</w:t>
      </w:r>
      <w:r w:rsidR="004F3EF4">
        <w:t xml:space="preserve">bjeto </w:t>
      </w:r>
      <w:r>
        <w:t>de meditación que le conven</w:t>
      </w:r>
      <w:r w:rsidR="004F3EF4">
        <w:t>dr</w:t>
      </w:r>
      <w:r>
        <w:t xml:space="preserve">ía y se dispuso a </w:t>
      </w:r>
      <w:r w:rsidR="004F3EF4">
        <w:t>peregrina</w:t>
      </w:r>
      <w:r w:rsidR="00643BD3">
        <w:t>r</w:t>
      </w:r>
      <w:r>
        <w:t xml:space="preserve">, viviendo durante cuatro meses en cada monasterio y cumpliendo los deberes en igualdad de condiciones con los residentes. Mientras </w:t>
      </w:r>
      <w:r w:rsidR="004F3EF4">
        <w:t xml:space="preserve">peregrinaba </w:t>
      </w:r>
      <w:r>
        <w:t>de esta manera:</w:t>
      </w:r>
    </w:p>
    <w:p w14:paraId="353F3BD2" w14:textId="55E6A87A" w:rsidR="001205E9" w:rsidRDefault="001205E9">
      <w:pPr>
        <w:tabs>
          <w:tab w:val="clear" w:pos="425"/>
        </w:tabs>
        <w:spacing w:after="160"/>
      </w:pPr>
      <w:r>
        <w:br w:type="page"/>
      </w:r>
    </w:p>
    <w:p w14:paraId="0CDA2B36" w14:textId="77777777" w:rsidR="001205E9" w:rsidRDefault="001205E9" w:rsidP="001205E9"/>
    <w:p w14:paraId="7D24D156" w14:textId="251FBAB4" w:rsidR="00390D6A" w:rsidRPr="00FC2761" w:rsidRDefault="00390D6A" w:rsidP="00390D6A">
      <w:pPr>
        <w:pStyle w:val="VersoIngls01Sangria"/>
      </w:pPr>
      <w:r w:rsidRPr="00FC2761">
        <w:t xml:space="preserve">El </w:t>
      </w:r>
      <w:r w:rsidR="00477AF4" w:rsidRPr="00FC2761">
        <w:t xml:space="preserve">Venerable </w:t>
      </w:r>
      <w:r w:rsidRPr="00FC2761">
        <w:t>se detuvo en un bosque.</w:t>
      </w:r>
    </w:p>
    <w:p w14:paraId="087FD11F" w14:textId="12693892" w:rsidR="00390D6A" w:rsidRPr="00FC2761" w:rsidRDefault="00390D6A" w:rsidP="00390D6A">
      <w:pPr>
        <w:pStyle w:val="VersoIngls01Sangria"/>
      </w:pPr>
      <w:r w:rsidRPr="00FC2761">
        <w:t xml:space="preserve">Para </w:t>
      </w:r>
      <w:r w:rsidR="00477AF4" w:rsidRPr="00FC2761">
        <w:t>inspeccionar</w:t>
      </w:r>
      <w:r w:rsidRPr="00FC2761">
        <w:t xml:space="preserve"> el tenor de su camino;</w:t>
      </w:r>
    </w:p>
    <w:p w14:paraId="2A8655EC" w14:textId="3BCB27DC" w:rsidR="00390D6A" w:rsidRPr="00FC2761" w:rsidRDefault="00390D6A" w:rsidP="00390D6A">
      <w:pPr>
        <w:pStyle w:val="VersoIngls01Sangria"/>
      </w:pPr>
      <w:r w:rsidRPr="00FC2761">
        <w:t>Él tronó est</w:t>
      </w:r>
      <w:r w:rsidR="0030288A" w:rsidRPr="00FC2761">
        <w:t xml:space="preserve">a ronda </w:t>
      </w:r>
      <w:r w:rsidR="00FC2761" w:rsidRPr="00FC2761">
        <w:t xml:space="preserve">pausada </w:t>
      </w:r>
      <w:r w:rsidR="0030288A" w:rsidRPr="00FC2761">
        <w:t>que hizo</w:t>
      </w:r>
      <w:r w:rsidRPr="00FC2761">
        <w:t xml:space="preserve"> </w:t>
      </w:r>
    </w:p>
    <w:p w14:paraId="7E9B1965" w14:textId="392224F4" w:rsidR="00390D6A" w:rsidRPr="00FC2761" w:rsidRDefault="00390D6A" w:rsidP="00390D6A">
      <w:pPr>
        <w:pStyle w:val="VersoIngls01Sangria"/>
      </w:pPr>
      <w:r w:rsidRPr="00FC2761">
        <w:t xml:space="preserve">Proclamando que lo </w:t>
      </w:r>
      <w:r w:rsidR="00FC2761" w:rsidRPr="00FC2761">
        <w:t xml:space="preserve">había </w:t>
      </w:r>
      <w:r w:rsidRPr="00FC2761">
        <w:t>encontr</w:t>
      </w:r>
      <w:r w:rsidR="005A39D2" w:rsidRPr="00FC2761">
        <w:t>a</w:t>
      </w:r>
      <w:r w:rsidR="00FC2761" w:rsidRPr="00FC2761">
        <w:t>do</w:t>
      </w:r>
      <w:r w:rsidRPr="00FC2761">
        <w:t xml:space="preserve"> bueno:</w:t>
      </w:r>
    </w:p>
    <w:p w14:paraId="1F2A2FA7" w14:textId="4EED117D" w:rsidR="00390D6A" w:rsidRPr="00FC2761" w:rsidRDefault="00390D6A" w:rsidP="00390D6A">
      <w:pPr>
        <w:pStyle w:val="VersoIngls01Sangria"/>
      </w:pPr>
      <w:r w:rsidRPr="00FC2761">
        <w:t xml:space="preserve">Así que desde </w:t>
      </w:r>
      <w:r w:rsidR="005A39D2" w:rsidRPr="00FC2761">
        <w:t>el</w:t>
      </w:r>
      <w:r w:rsidRPr="00FC2761">
        <w:t xml:space="preserve"> día de </w:t>
      </w:r>
      <w:r w:rsidR="005A39D2" w:rsidRPr="00FC2761">
        <w:t xml:space="preserve">su </w:t>
      </w:r>
      <w:r w:rsidRPr="00FC2761">
        <w:t>admisión completa</w:t>
      </w:r>
    </w:p>
    <w:p w14:paraId="3072EC2A" w14:textId="2D968FF0" w:rsidR="00390D6A" w:rsidRPr="00FC2761" w:rsidRDefault="00390D6A" w:rsidP="00390D6A">
      <w:pPr>
        <w:pStyle w:val="VersoIngls01Sangria"/>
      </w:pPr>
      <w:r w:rsidRPr="00FC2761">
        <w:t xml:space="preserve">Hasta que en este lugar </w:t>
      </w:r>
      <w:r w:rsidR="005A39D2" w:rsidRPr="00FC2761">
        <w:t>se</w:t>
      </w:r>
      <w:r w:rsidRPr="00FC2761">
        <w:t xml:space="preserve"> detuv</w:t>
      </w:r>
      <w:r w:rsidR="001F0109" w:rsidRPr="00FC2761">
        <w:t>o</w:t>
      </w:r>
      <w:r w:rsidRPr="00FC2761">
        <w:t xml:space="preserve"> y </w:t>
      </w:r>
      <w:r w:rsidR="00742AA4">
        <w:t>permaneció</w:t>
      </w:r>
    </w:p>
    <w:p w14:paraId="43DAE093" w14:textId="68245D71" w:rsidR="00390D6A" w:rsidRPr="00FC2761" w:rsidRDefault="00B20487" w:rsidP="00390D6A">
      <w:pPr>
        <w:pStyle w:val="VersoIngls01Sangria"/>
      </w:pPr>
      <w:r w:rsidRPr="00FC2761">
        <w:t>Que n</w:t>
      </w:r>
      <w:r w:rsidR="00390D6A" w:rsidRPr="00FC2761">
        <w:t>ingún tropiezo estrope</w:t>
      </w:r>
      <w:r w:rsidRPr="00FC2761">
        <w:t>e</w:t>
      </w:r>
      <w:r w:rsidR="00390D6A" w:rsidRPr="00FC2761">
        <w:t xml:space="preserve"> </w:t>
      </w:r>
      <w:r w:rsidR="001F0109" w:rsidRPr="00FC2761">
        <w:t>s</w:t>
      </w:r>
      <w:r w:rsidR="00390D6A" w:rsidRPr="00FC2761">
        <w:t>u condición de monje;</w:t>
      </w:r>
    </w:p>
    <w:p w14:paraId="3EE62EA9" w14:textId="0EA752F7" w:rsidR="00390D6A" w:rsidRPr="00FC2761" w:rsidRDefault="00390D6A" w:rsidP="00390D6A">
      <w:pPr>
        <w:pStyle w:val="VersoIngls01Sangria"/>
        <w:spacing w:after="100"/>
        <w:ind w:left="1418"/>
      </w:pPr>
      <w:r w:rsidRPr="00FC2761">
        <w:t>S</w:t>
      </w:r>
      <w:r w:rsidR="001F0109" w:rsidRPr="00FC2761">
        <w:t>ea</w:t>
      </w:r>
      <w:r w:rsidRPr="00FC2761">
        <w:t xml:space="preserve"> agradecido por tal gracia, </w:t>
      </w:r>
      <w:r w:rsidR="00B20487" w:rsidRPr="00FC2761">
        <w:t>afirmo</w:t>
      </w:r>
      <w:r w:rsidRPr="00FC2761">
        <w:t>. [313]</w:t>
      </w:r>
    </w:p>
    <w:p w14:paraId="1F98D945" w14:textId="4A50F3D6" w:rsidR="00390D6A" w:rsidRDefault="00390D6A" w:rsidP="00390D6A">
      <w:r>
        <w:t xml:space="preserve">68. </w:t>
      </w:r>
      <w:r>
        <w:tab/>
        <w:t xml:space="preserve">De camino a </w:t>
      </w:r>
      <w:proofErr w:type="spellStart"/>
      <w:r>
        <w:t>Cittalapabbata</w:t>
      </w:r>
      <w:proofErr w:type="spellEnd"/>
      <w:r>
        <w:t>, llegó a una bifurcación y se quedó pensando qué camino tomar</w:t>
      </w:r>
      <w:r w:rsidR="00C51841">
        <w:t>ía</w:t>
      </w:r>
      <w:r>
        <w:t>. Entonces una deidad que vivía en una roca extendió una mano indicándole el camino.</w:t>
      </w:r>
    </w:p>
    <w:p w14:paraId="45D3F7AB" w14:textId="79EEF1F4" w:rsidR="00390D6A" w:rsidRDefault="00390D6A" w:rsidP="00390D6A">
      <w:r>
        <w:t xml:space="preserve">69. </w:t>
      </w:r>
      <w:r>
        <w:tab/>
        <w:t xml:space="preserve">Llegó al Monasterio </w:t>
      </w:r>
      <w:proofErr w:type="spellStart"/>
      <w:r>
        <w:t>Cittalapabbata</w:t>
      </w:r>
      <w:proofErr w:type="spellEnd"/>
      <w:r>
        <w:t xml:space="preserve">. Después de haber estado allí durante cuatro meses, se </w:t>
      </w:r>
      <w:r w:rsidR="00C51841">
        <w:t>re</w:t>
      </w:r>
      <w:r>
        <w:t>costó pensando: “</w:t>
      </w:r>
      <w:r w:rsidR="00C51841">
        <w:t>Por</w:t>
      </w:r>
      <w:r>
        <w:t xml:space="preserve"> la mañana me voy”. Luego, una deidad que vivía en un árbol </w:t>
      </w:r>
      <w:r w:rsidR="00C51841">
        <w:t xml:space="preserve">de </w:t>
      </w:r>
      <w:proofErr w:type="spellStart"/>
      <w:r w:rsidRPr="000F67C6">
        <w:rPr>
          <w:i/>
          <w:iCs/>
        </w:rPr>
        <w:t>maṇila</w:t>
      </w:r>
      <w:proofErr w:type="spellEnd"/>
      <w:r>
        <w:t xml:space="preserve"> al final del camino se sentó en un escalón de la escalera y se echó a llorar. El </w:t>
      </w:r>
      <w:r w:rsidR="00C51841">
        <w:t xml:space="preserve">Venerable </w:t>
      </w:r>
      <w:r>
        <w:t>preguntó: “¿Quién es</w:t>
      </w:r>
      <w:r w:rsidR="00C51841">
        <w:t>tá ahí</w:t>
      </w:r>
      <w:r>
        <w:t xml:space="preserve">?”—“Soy yo, </w:t>
      </w:r>
      <w:proofErr w:type="spellStart"/>
      <w:r>
        <w:t>Maṇiliyā</w:t>
      </w:r>
      <w:proofErr w:type="spellEnd"/>
      <w:r>
        <w:t xml:space="preserve">, </w:t>
      </w:r>
      <w:r w:rsidR="00C51841">
        <w:t>Venerable Señor</w:t>
      </w:r>
      <w:r>
        <w:t xml:space="preserve">.”—“¿Por qué llora?”—“Porque </w:t>
      </w:r>
      <w:r w:rsidR="00C51841">
        <w:t>s</w:t>
      </w:r>
      <w:r>
        <w:t xml:space="preserve">e va”—“¿De qué </w:t>
      </w:r>
      <w:r w:rsidR="00C51841">
        <w:t>l</w:t>
      </w:r>
      <w:r>
        <w:t xml:space="preserve">e sirve vivir aquí?”—“Venerable </w:t>
      </w:r>
      <w:r w:rsidR="00C51841">
        <w:t>Señor</w:t>
      </w:r>
      <w:r>
        <w:t xml:space="preserve">, mientras usted </w:t>
      </w:r>
      <w:r w:rsidR="002628D6">
        <w:t>resid</w:t>
      </w:r>
      <w:r w:rsidR="000F67C6">
        <w:t>ía</w:t>
      </w:r>
      <w:r w:rsidR="002628D6">
        <w:t xml:space="preserve"> </w:t>
      </w:r>
      <w:r>
        <w:t xml:space="preserve">aquí, los seres no humanos se </w:t>
      </w:r>
      <w:r w:rsidR="000F67C6">
        <w:t xml:space="preserve">han </w:t>
      </w:r>
      <w:r w:rsidR="00CA69E3">
        <w:t xml:space="preserve">estado </w:t>
      </w:r>
      <w:r>
        <w:t>tratan</w:t>
      </w:r>
      <w:r w:rsidR="00CA69E3">
        <w:t>do</w:t>
      </w:r>
      <w:r>
        <w:t xml:space="preserve"> con amabilidad. Ahora, cuando haya </w:t>
      </w:r>
      <w:r w:rsidR="002628D6">
        <w:t>part</w:t>
      </w:r>
      <w:r>
        <w:t xml:space="preserve">ido, comenzarán </w:t>
      </w:r>
      <w:r w:rsidR="002628D6">
        <w:t xml:space="preserve">las </w:t>
      </w:r>
      <w:r>
        <w:t xml:space="preserve">peleas y </w:t>
      </w:r>
      <w:r w:rsidR="002628D6">
        <w:t xml:space="preserve">las </w:t>
      </w:r>
      <w:r>
        <w:t xml:space="preserve">charlas </w:t>
      </w:r>
      <w:r w:rsidR="00CA69E3">
        <w:t>ociosas</w:t>
      </w:r>
      <w:r>
        <w:t>”.</w:t>
      </w:r>
      <w:r w:rsidRPr="000C43D5">
        <w:rPr>
          <w:vertAlign w:val="superscript"/>
        </w:rPr>
        <w:t>9</w:t>
      </w:r>
      <w:r>
        <w:t xml:space="preserve"> El </w:t>
      </w:r>
      <w:r w:rsidR="002628D6">
        <w:t xml:space="preserve">Venerable </w:t>
      </w:r>
      <w:r>
        <w:t xml:space="preserve">dijo: “Si mi vida aquí </w:t>
      </w:r>
      <w:r w:rsidR="002628D6">
        <w:t>l</w:t>
      </w:r>
      <w:r w:rsidR="00CA69E3">
        <w:t>o</w:t>
      </w:r>
      <w:r w:rsidR="002628D6">
        <w:t>s</w:t>
      </w:r>
      <w:r>
        <w:t xml:space="preserve"> hace vivir en paz, eso es bueno”, y así</w:t>
      </w:r>
      <w:r w:rsidR="00CA69E3">
        <w:t>,</w:t>
      </w:r>
      <w:r>
        <w:t xml:space="preserve"> se quedó allí otros cuatro meses. Luego volvió a pensar en irse, pero la deidad </w:t>
      </w:r>
      <w:r w:rsidR="002628D6">
        <w:t xml:space="preserve">volvió a </w:t>
      </w:r>
      <w:r>
        <w:t>llor</w:t>
      </w:r>
      <w:r w:rsidR="002628D6">
        <w:t>ar</w:t>
      </w:r>
      <w:r>
        <w:t xml:space="preserve"> como antes. Y entonces el </w:t>
      </w:r>
      <w:r w:rsidR="002628D6">
        <w:t xml:space="preserve">Venerable continuó </w:t>
      </w:r>
      <w:r>
        <w:t xml:space="preserve">viviendo allí, y fue allí donde </w:t>
      </w:r>
      <w:r w:rsidR="002628D6">
        <w:t xml:space="preserve">consumó </w:t>
      </w:r>
      <w:r>
        <w:t xml:space="preserve">el </w:t>
      </w:r>
      <w:r w:rsidRPr="002628D6">
        <w:rPr>
          <w:i/>
          <w:iCs/>
        </w:rPr>
        <w:t>Nibbāna</w:t>
      </w:r>
      <w:r>
        <w:t>.</w:t>
      </w:r>
    </w:p>
    <w:p w14:paraId="6FD13F86" w14:textId="4B9200FB" w:rsidR="00390D6A" w:rsidRDefault="00390D6A" w:rsidP="00390D6A">
      <w:pPr>
        <w:pStyle w:val="NormalConSangria"/>
      </w:pPr>
      <w:r>
        <w:t xml:space="preserve">Así es como un </w:t>
      </w:r>
      <w:proofErr w:type="spellStart"/>
      <w:r w:rsidR="00057BF4" w:rsidRPr="00057BF4">
        <w:rPr>
          <w:i/>
          <w:iCs/>
        </w:rPr>
        <w:t>bhikkhu</w:t>
      </w:r>
      <w:proofErr w:type="spellEnd"/>
      <w:r>
        <w:t xml:space="preserve"> que </w:t>
      </w:r>
      <w:r w:rsidR="001518B7">
        <w:t>habita</w:t>
      </w:r>
      <w:r>
        <w:t xml:space="preserve"> en </w:t>
      </w:r>
      <w:r w:rsidR="001518B7">
        <w:t xml:space="preserve">el </w:t>
      </w:r>
      <w:r w:rsidR="00AC5DDE" w:rsidRPr="0082231D">
        <w:rPr>
          <w:i/>
          <w:iCs/>
        </w:rPr>
        <w:t>amor–benevolente</w:t>
      </w:r>
      <w:r w:rsidR="001518B7">
        <w:rPr>
          <w:i/>
          <w:iCs/>
        </w:rPr>
        <w:t xml:space="preserve"> </w:t>
      </w:r>
      <w:r>
        <w:t>es querido por los seres no humanos.</w:t>
      </w:r>
    </w:p>
    <w:p w14:paraId="497EE0CE" w14:textId="1C21CCCB" w:rsidR="00390D6A" w:rsidRDefault="00390D6A" w:rsidP="00390D6A">
      <w:r>
        <w:t xml:space="preserve">70. </w:t>
      </w:r>
      <w:r>
        <w:tab/>
      </w:r>
      <w:r w:rsidRPr="004709EE">
        <w:rPr>
          <w:i/>
          <w:iCs/>
        </w:rPr>
        <w:t>Las deidades lo protege</w:t>
      </w:r>
      <w:r w:rsidR="00B20D14">
        <w:rPr>
          <w:i/>
          <w:iCs/>
        </w:rPr>
        <w:t>rá</w:t>
      </w:r>
      <w:r w:rsidRPr="004709EE">
        <w:rPr>
          <w:i/>
          <w:iCs/>
        </w:rPr>
        <w:t>n</w:t>
      </w:r>
      <w:r>
        <w:t>: las deidades lo protege</w:t>
      </w:r>
      <w:r w:rsidR="00B20D14">
        <w:t>rá</w:t>
      </w:r>
      <w:r>
        <w:t xml:space="preserve">n como una madre </w:t>
      </w:r>
      <w:r w:rsidR="00B20D14">
        <w:t>o</w:t>
      </w:r>
      <w:r>
        <w:t xml:space="preserve"> un padre protege</w:t>
      </w:r>
      <w:r w:rsidR="001518B7">
        <w:t>ría</w:t>
      </w:r>
      <w:r>
        <w:t xml:space="preserve">n a su </w:t>
      </w:r>
      <w:r w:rsidR="00B20D14">
        <w:t xml:space="preserve">propio </w:t>
      </w:r>
      <w:r>
        <w:t>hijo.</w:t>
      </w:r>
    </w:p>
    <w:p w14:paraId="238312AF" w14:textId="7F53228B" w:rsidR="00390D6A" w:rsidRDefault="00390D6A" w:rsidP="00390D6A">
      <w:r>
        <w:t xml:space="preserve">71. </w:t>
      </w:r>
      <w:r>
        <w:tab/>
      </w:r>
      <w:r w:rsidRPr="004709EE">
        <w:rPr>
          <w:i/>
          <w:iCs/>
        </w:rPr>
        <w:t xml:space="preserve">El fuego, el veneno y las armas no lo </w:t>
      </w:r>
      <w:r w:rsidR="00E677D3">
        <w:rPr>
          <w:i/>
          <w:iCs/>
        </w:rPr>
        <w:t>lastima</w:t>
      </w:r>
      <w:r w:rsidR="00B20D14">
        <w:rPr>
          <w:i/>
          <w:iCs/>
        </w:rPr>
        <w:t>rá</w:t>
      </w:r>
      <w:r w:rsidR="00E677D3">
        <w:rPr>
          <w:i/>
          <w:iCs/>
        </w:rPr>
        <w:t>n</w:t>
      </w:r>
      <w:r>
        <w:t xml:space="preserve">: </w:t>
      </w:r>
      <w:r w:rsidR="00E677D3">
        <w:t xml:space="preserve">estos </w:t>
      </w:r>
      <w:r>
        <w:t xml:space="preserve">no </w:t>
      </w:r>
      <w:r w:rsidR="00E677D3">
        <w:t xml:space="preserve">lo </w:t>
      </w:r>
      <w:r>
        <w:t>afecta</w:t>
      </w:r>
      <w:r w:rsidR="00B20D14">
        <w:t>rá</w:t>
      </w:r>
      <w:r>
        <w:t>n, no entra</w:t>
      </w:r>
      <w:r w:rsidR="00B20D14">
        <w:t>rá</w:t>
      </w:r>
      <w:r>
        <w:t xml:space="preserve">n en el cuerpo de alguien que </w:t>
      </w:r>
      <w:r w:rsidR="00E677D3">
        <w:t xml:space="preserve">habite </w:t>
      </w:r>
      <w:r>
        <w:t xml:space="preserve">en la </w:t>
      </w:r>
      <w:r w:rsidR="00E677D3">
        <w:t xml:space="preserve">transmisión de </w:t>
      </w:r>
      <w:r w:rsidR="00AC5DDE" w:rsidRPr="0082231D">
        <w:rPr>
          <w:i/>
          <w:iCs/>
        </w:rPr>
        <w:t>amor–benevolente</w:t>
      </w:r>
      <w:r>
        <w:t xml:space="preserve">, como el fuego en el caso de la devota laica </w:t>
      </w:r>
      <w:proofErr w:type="spellStart"/>
      <w:r>
        <w:t>Uttarā</w:t>
      </w:r>
      <w:proofErr w:type="spellEnd"/>
      <w:r>
        <w:t xml:space="preserve"> (ver XII.34). y </w:t>
      </w:r>
      <w:proofErr w:type="spellStart"/>
      <w:r>
        <w:t>Dhp</w:t>
      </w:r>
      <w:proofErr w:type="spellEnd"/>
      <w:r>
        <w:t xml:space="preserve">-a III 310), como el veneno en el caso </w:t>
      </w:r>
      <w:r w:rsidR="003A53EC">
        <w:t>d</w:t>
      </w:r>
      <w:r>
        <w:t xml:space="preserve">el </w:t>
      </w:r>
      <w:proofErr w:type="spellStart"/>
      <w:r w:rsidRPr="004709EE">
        <w:rPr>
          <w:i/>
          <w:iCs/>
        </w:rPr>
        <w:t>Saṃyutta</w:t>
      </w:r>
      <w:proofErr w:type="spellEnd"/>
      <w:r>
        <w:t xml:space="preserve"> </w:t>
      </w:r>
      <w:r w:rsidR="003A53EC">
        <w:t xml:space="preserve">que </w:t>
      </w:r>
      <w:r>
        <w:t xml:space="preserve">cita </w:t>
      </w:r>
      <w:r w:rsidR="003A53EC">
        <w:t xml:space="preserve">al </w:t>
      </w:r>
      <w:r>
        <w:t xml:space="preserve">el </w:t>
      </w:r>
      <w:r w:rsidR="004709EE">
        <w:t xml:space="preserve">Venerable </w:t>
      </w:r>
      <w:proofErr w:type="spellStart"/>
      <w:r>
        <w:t>Cūḷa-</w:t>
      </w:r>
      <w:r w:rsidR="000D34B5">
        <w:t>Sīva</w:t>
      </w:r>
      <w:proofErr w:type="spellEnd"/>
      <w:r>
        <w:t xml:space="preserve">, como el cuchillo en el caso del novicio </w:t>
      </w:r>
      <w:proofErr w:type="spellStart"/>
      <w:r w:rsidRPr="004709EE">
        <w:t>Saṅkicca</w:t>
      </w:r>
      <w:proofErr w:type="spellEnd"/>
      <w:r>
        <w:t xml:space="preserve"> (ver </w:t>
      </w:r>
      <w:proofErr w:type="spellStart"/>
      <w:r>
        <w:t>Dhp</w:t>
      </w:r>
      <w:proofErr w:type="spellEnd"/>
      <w:r>
        <w:t xml:space="preserve">-a II 249); </w:t>
      </w:r>
      <w:r w:rsidR="003A53EC">
        <w:t xml:space="preserve">lo que se quiere decir es que </w:t>
      </w:r>
      <w:r w:rsidR="000D0F61">
        <w:t xml:space="preserve">estos </w:t>
      </w:r>
      <w:r>
        <w:t>no perturba</w:t>
      </w:r>
      <w:r w:rsidR="003A53EC">
        <w:t>rá</w:t>
      </w:r>
      <w:r>
        <w:t xml:space="preserve">n </w:t>
      </w:r>
      <w:r w:rsidR="003A53EC">
        <w:t xml:space="preserve">su </w:t>
      </w:r>
      <w:r>
        <w:t>cuerpo.</w:t>
      </w:r>
    </w:p>
    <w:p w14:paraId="767080DD" w14:textId="7DB3AF4D" w:rsidR="00390D6A" w:rsidRDefault="00390D6A" w:rsidP="00390D6A">
      <w:r>
        <w:t xml:space="preserve">72. </w:t>
      </w:r>
      <w:r>
        <w:tab/>
        <w:t xml:space="preserve">Y aquí también </w:t>
      </w:r>
      <w:r w:rsidR="000D0F61">
        <w:t xml:space="preserve">se suele narrar </w:t>
      </w:r>
      <w:r>
        <w:t xml:space="preserve">la historia de </w:t>
      </w:r>
      <w:r w:rsidR="000D0F61">
        <w:t>un</w:t>
      </w:r>
      <w:r>
        <w:t>a vaca. Parec</w:t>
      </w:r>
      <w:r w:rsidR="00F0799B">
        <w:t>iera</w:t>
      </w:r>
      <w:r>
        <w:t xml:space="preserve"> que una vaca estaba dando leche a su ternero. Un cazador, pensando "Le dispararé", agitó una lanza de mango largo en su mano y la arrojó. Golpeó su cuerpo y rebotó como una hoja de palma, y ​​eso no se debió ni al acceso ni a la absorción, sino simplemente a la fuerza de su con</w:t>
      </w:r>
      <w:r w:rsidR="000D0F61">
        <w:t>s</w:t>
      </w:r>
      <w:r>
        <w:t xml:space="preserve">ciencia de amor </w:t>
      </w:r>
      <w:r w:rsidR="00F0799B">
        <w:t xml:space="preserve">hacia </w:t>
      </w:r>
      <w:r>
        <w:t xml:space="preserve">su cría. Tan </w:t>
      </w:r>
      <w:r w:rsidR="000D0F61">
        <w:t>eficazmente</w:t>
      </w:r>
      <w:r>
        <w:t xml:space="preserve"> poderosa es la</w:t>
      </w:r>
      <w:r w:rsidR="000D0F61">
        <w:t xml:space="preserve"> transmisión de</w:t>
      </w:r>
      <w:r w:rsidR="00F0799B">
        <w:t>l</w:t>
      </w:r>
      <w:r w:rsidR="000D0F61">
        <w:t xml:space="preserve"> </w:t>
      </w:r>
      <w:r w:rsidR="00AC5DDE" w:rsidRPr="0082231D">
        <w:rPr>
          <w:i/>
          <w:iCs/>
        </w:rPr>
        <w:t>amor–benevolente</w:t>
      </w:r>
      <w:r>
        <w:t>.</w:t>
      </w:r>
    </w:p>
    <w:p w14:paraId="550C8E74" w14:textId="4239B53C" w:rsidR="00390D6A" w:rsidRDefault="00390D6A" w:rsidP="00390D6A">
      <w:r>
        <w:t xml:space="preserve">73. </w:t>
      </w:r>
      <w:r>
        <w:tab/>
      </w:r>
      <w:r w:rsidRPr="004709EE">
        <w:rPr>
          <w:i/>
          <w:iCs/>
        </w:rPr>
        <w:t>Su mente se concentra</w:t>
      </w:r>
      <w:r w:rsidR="00F0799B">
        <w:rPr>
          <w:i/>
          <w:iCs/>
        </w:rPr>
        <w:t>rá</w:t>
      </w:r>
      <w:r w:rsidRPr="004709EE">
        <w:rPr>
          <w:i/>
          <w:iCs/>
        </w:rPr>
        <w:t xml:space="preserve"> fácilmente</w:t>
      </w:r>
      <w:r>
        <w:t xml:space="preserve">: la mente de alguien que </w:t>
      </w:r>
      <w:r w:rsidR="000D0F61">
        <w:t>habita</w:t>
      </w:r>
      <w:r>
        <w:t xml:space="preserve"> en la </w:t>
      </w:r>
      <w:r w:rsidR="000D0F61">
        <w:t xml:space="preserve">transmisión de </w:t>
      </w:r>
      <w:r w:rsidR="00AC5DDE" w:rsidRPr="0082231D">
        <w:rPr>
          <w:i/>
          <w:iCs/>
        </w:rPr>
        <w:t>amor–benevolente</w:t>
      </w:r>
      <w:r w:rsidR="000D0F61">
        <w:t xml:space="preserve"> </w:t>
      </w:r>
      <w:r>
        <w:t>se concentra</w:t>
      </w:r>
      <w:r w:rsidR="00F0799B">
        <w:t>rá</w:t>
      </w:r>
      <w:r>
        <w:t xml:space="preserve"> rápidamente, no </w:t>
      </w:r>
      <w:r w:rsidR="00C071EE">
        <w:t>se produc</w:t>
      </w:r>
      <w:r w:rsidR="00F0799B">
        <w:t>irá</w:t>
      </w:r>
      <w:r w:rsidR="00C071EE">
        <w:t xml:space="preserve"> ninguna</w:t>
      </w:r>
      <w:r>
        <w:t xml:space="preserve"> lentitud al respecto. [314]</w:t>
      </w:r>
    </w:p>
    <w:p w14:paraId="5DC1CED5" w14:textId="4A60BB6F" w:rsidR="00390D6A" w:rsidRDefault="00390D6A" w:rsidP="00390D6A">
      <w:r>
        <w:t xml:space="preserve">74. </w:t>
      </w:r>
      <w:r>
        <w:tab/>
      </w:r>
      <w:r w:rsidRPr="004709EE">
        <w:rPr>
          <w:i/>
          <w:iCs/>
        </w:rPr>
        <w:t xml:space="preserve">La expresión de su rostro </w:t>
      </w:r>
      <w:r w:rsidR="00F0799B">
        <w:rPr>
          <w:i/>
          <w:iCs/>
        </w:rPr>
        <w:t xml:space="preserve">será </w:t>
      </w:r>
      <w:r w:rsidRPr="004709EE">
        <w:rPr>
          <w:i/>
          <w:iCs/>
        </w:rPr>
        <w:t>serena</w:t>
      </w:r>
      <w:r>
        <w:t xml:space="preserve">: su rostro </w:t>
      </w:r>
      <w:r w:rsidR="00624FFC">
        <w:t xml:space="preserve">tendrá </w:t>
      </w:r>
      <w:r>
        <w:t>una expresión serena, como un fruto de palmira suelto de su tallo.</w:t>
      </w:r>
    </w:p>
    <w:p w14:paraId="2AF25885" w14:textId="77777777" w:rsidR="00390D6A" w:rsidRDefault="00390D6A" w:rsidP="00390D6A">
      <w:pPr>
        <w:pStyle w:val="Piedepgina"/>
        <w:rPr>
          <w:u w:val="single"/>
        </w:rPr>
      </w:pPr>
      <w:r>
        <w:rPr>
          <w:u w:val="single"/>
        </w:rPr>
        <w:t xml:space="preserve">                                                                                                                                                                          .</w:t>
      </w:r>
    </w:p>
    <w:p w14:paraId="643A44B8" w14:textId="56CAD4FB" w:rsidR="00390D6A" w:rsidRDefault="00390D6A" w:rsidP="00AC5DDE">
      <w:pPr>
        <w:pStyle w:val="PiedepginaLegal"/>
      </w:pPr>
      <w:r>
        <w:t xml:space="preserve">9. </w:t>
      </w:r>
      <w:r>
        <w:tab/>
        <w:t xml:space="preserve">Para </w:t>
      </w:r>
      <w:proofErr w:type="spellStart"/>
      <w:r w:rsidRPr="004709EE">
        <w:rPr>
          <w:i/>
          <w:iCs/>
        </w:rPr>
        <w:t>duṭṭhulla</w:t>
      </w:r>
      <w:proofErr w:type="spellEnd"/>
      <w:r>
        <w:t xml:space="preserve"> ver </w:t>
      </w:r>
      <w:r w:rsidR="00CC07A4">
        <w:t>Cap</w:t>
      </w:r>
      <w:r>
        <w:t xml:space="preserve">. IV, nota 36. Aquí es más probable que el significado sea "malo" o "lascivo" </w:t>
      </w:r>
      <w:r w:rsidR="00EC093A">
        <w:t xml:space="preserve">en vez de </w:t>
      </w:r>
      <w:r>
        <w:t>"inerte".</w:t>
      </w:r>
      <w:r>
        <w:br w:type="page"/>
      </w:r>
    </w:p>
    <w:p w14:paraId="6AB7CC68" w14:textId="77777777" w:rsidR="00390D6A" w:rsidRDefault="00390D6A" w:rsidP="0034770B">
      <w:pPr>
        <w:pStyle w:val="NormalConSangria"/>
      </w:pPr>
    </w:p>
    <w:p w14:paraId="367AAC2C" w14:textId="0B5B3523" w:rsidR="00D94451" w:rsidRDefault="00D94451" w:rsidP="00D94451">
      <w:r>
        <w:t xml:space="preserve">75. </w:t>
      </w:r>
      <w:r>
        <w:tab/>
      </w:r>
      <w:r w:rsidRPr="004709EE">
        <w:rPr>
          <w:i/>
          <w:iCs/>
        </w:rPr>
        <w:t>Muere sin confusión</w:t>
      </w:r>
      <w:r>
        <w:t xml:space="preserve">: no hay muerte </w:t>
      </w:r>
      <w:r w:rsidR="00E81BA8">
        <w:t>ilusiva</w:t>
      </w:r>
      <w:r>
        <w:t xml:space="preserve"> para quien </w:t>
      </w:r>
      <w:r w:rsidR="00E81BA8">
        <w:t xml:space="preserve">habite </w:t>
      </w:r>
      <w:r>
        <w:t xml:space="preserve">en la </w:t>
      </w:r>
      <w:r w:rsidR="00E81BA8">
        <w:t xml:space="preserve">transmisión de </w:t>
      </w:r>
      <w:r w:rsidR="00AC5DDE" w:rsidRPr="0082231D">
        <w:rPr>
          <w:i/>
          <w:iCs/>
        </w:rPr>
        <w:t>amor–benevolente</w:t>
      </w:r>
      <w:r>
        <w:t xml:space="preserve">. Fallece sin </w:t>
      </w:r>
      <w:r w:rsidR="00943E13">
        <w:t>ilusiones</w:t>
      </w:r>
      <w:r>
        <w:t xml:space="preserve"> como si se quedara dormido.</w:t>
      </w:r>
    </w:p>
    <w:p w14:paraId="1B2BE369" w14:textId="3FA21DAC" w:rsidR="00D94451" w:rsidRDefault="00D94451" w:rsidP="00D94451">
      <w:r>
        <w:t xml:space="preserve">76. </w:t>
      </w:r>
      <w:r>
        <w:tab/>
      </w:r>
      <w:r w:rsidRPr="004709EE">
        <w:rPr>
          <w:i/>
          <w:iCs/>
        </w:rPr>
        <w:t>Si no penetra</w:t>
      </w:r>
      <w:r w:rsidR="00943E13">
        <w:rPr>
          <w:i/>
          <w:iCs/>
        </w:rPr>
        <w:t>se</w:t>
      </w:r>
      <w:r w:rsidRPr="004709EE">
        <w:rPr>
          <w:i/>
          <w:iCs/>
        </w:rPr>
        <w:t xml:space="preserve"> </w:t>
      </w:r>
      <w:r w:rsidR="00943E13">
        <w:rPr>
          <w:i/>
          <w:iCs/>
        </w:rPr>
        <w:t>hacia un</w:t>
      </w:r>
      <w:r w:rsidR="00F72B67">
        <w:rPr>
          <w:i/>
          <w:iCs/>
        </w:rPr>
        <w:t>a</w:t>
      </w:r>
      <w:r w:rsidR="00943E13">
        <w:rPr>
          <w:i/>
          <w:iCs/>
        </w:rPr>
        <w:t xml:space="preserve"> </w:t>
      </w:r>
      <w:r w:rsidR="00F72B67">
        <w:rPr>
          <w:i/>
          <w:iCs/>
        </w:rPr>
        <w:t xml:space="preserve">consumación </w:t>
      </w:r>
      <w:r w:rsidR="00943E13">
        <w:rPr>
          <w:i/>
          <w:iCs/>
        </w:rPr>
        <w:t>su</w:t>
      </w:r>
      <w:r w:rsidR="00F72B67">
        <w:rPr>
          <w:i/>
          <w:iCs/>
        </w:rPr>
        <w:t>perior</w:t>
      </w:r>
      <w:r>
        <w:t xml:space="preserve">: si no puede llegar más </w:t>
      </w:r>
      <w:r w:rsidR="00F72B67">
        <w:t>elevadamente</w:t>
      </w:r>
      <w:r>
        <w:t xml:space="preserve"> que </w:t>
      </w:r>
      <w:r w:rsidR="00F72B67">
        <w:t xml:space="preserve">la absorción de </w:t>
      </w:r>
      <w:r w:rsidR="00DA3C1D">
        <w:t xml:space="preserve">transmisión de </w:t>
      </w:r>
      <w:r w:rsidR="00AC5DDE" w:rsidRPr="0082231D">
        <w:rPr>
          <w:i/>
          <w:iCs/>
        </w:rPr>
        <w:t>amor–benevolente</w:t>
      </w:r>
      <w:r w:rsidR="00DA3C1D">
        <w:t xml:space="preserve"> </w:t>
      </w:r>
      <w:r>
        <w:t xml:space="preserve">y alcanzar el estado de </w:t>
      </w:r>
      <w:r w:rsidR="00057BF4" w:rsidRPr="00057BF4">
        <w:rPr>
          <w:i/>
          <w:iCs/>
        </w:rPr>
        <w:t>Arahant</w:t>
      </w:r>
      <w:r>
        <w:t xml:space="preserve">, entonces, cuando </w:t>
      </w:r>
      <w:r w:rsidR="00DA3C1D">
        <w:t>colapse su</w:t>
      </w:r>
      <w:r>
        <w:t xml:space="preserve"> vida, reaparece</w:t>
      </w:r>
      <w:r w:rsidR="00DA3C1D">
        <w:t>rá</w:t>
      </w:r>
      <w:r>
        <w:t xml:space="preserve"> en el mundo </w:t>
      </w:r>
      <w:r w:rsidR="00057BF4" w:rsidRPr="00057BF4">
        <w:rPr>
          <w:i/>
          <w:iCs/>
        </w:rPr>
        <w:t>Brahmā</w:t>
      </w:r>
      <w:r>
        <w:t xml:space="preserve"> como alguien que s</w:t>
      </w:r>
      <w:r w:rsidR="00992470">
        <w:t>i</w:t>
      </w:r>
      <w:r>
        <w:t xml:space="preserve"> desperta</w:t>
      </w:r>
      <w:r w:rsidR="00DA3C1D">
        <w:t>se</w:t>
      </w:r>
      <w:r>
        <w:t xml:space="preserve"> del sueño.</w:t>
      </w:r>
    </w:p>
    <w:p w14:paraId="7DBFFB4C" w14:textId="719198EE" w:rsidR="00D94451" w:rsidRDefault="00992470" w:rsidP="00D94451">
      <w:pPr>
        <w:pStyle w:val="NormalConSangria"/>
      </w:pPr>
      <w:r>
        <w:t>É</w:t>
      </w:r>
      <w:r w:rsidR="00D94451">
        <w:t xml:space="preserve">sta es </w:t>
      </w:r>
      <w:r>
        <w:t>un</w:t>
      </w:r>
      <w:r w:rsidR="00D94451">
        <w:t xml:space="preserve">a explicación detallada </w:t>
      </w:r>
      <w:r>
        <w:t xml:space="preserve">sobre </w:t>
      </w:r>
      <w:r w:rsidR="00D94451">
        <w:t xml:space="preserve">desarrollo de la </w:t>
      </w:r>
      <w:r>
        <w:t xml:space="preserve">transmisión de </w:t>
      </w:r>
      <w:r w:rsidR="00AC5DDE" w:rsidRPr="0082231D">
        <w:rPr>
          <w:i/>
          <w:iCs/>
        </w:rPr>
        <w:t>amor–benevolente</w:t>
      </w:r>
      <w:r w:rsidR="00D94451">
        <w:t>.</w:t>
      </w:r>
    </w:p>
    <w:p w14:paraId="49188FBD" w14:textId="5712E49E" w:rsidR="00D94451" w:rsidRDefault="00D94451" w:rsidP="00D94451">
      <w:pPr>
        <w:pStyle w:val="Ttulo3"/>
        <w:ind w:left="708"/>
      </w:pPr>
      <w:r>
        <w:t>[(2) Compasión]</w:t>
      </w:r>
    </w:p>
    <w:p w14:paraId="4E4F2CB0" w14:textId="75ECCC88" w:rsidR="00D94451" w:rsidRDefault="00D94451" w:rsidP="00D94451">
      <w:r>
        <w:t xml:space="preserve">77. </w:t>
      </w:r>
      <w:r>
        <w:tab/>
        <w:t xml:space="preserve">Quien quiera desarrollar la </w:t>
      </w:r>
      <w:r w:rsidRPr="00ED6085">
        <w:rPr>
          <w:i/>
          <w:iCs/>
        </w:rPr>
        <w:t>compasión</w:t>
      </w:r>
      <w:r>
        <w:t xml:space="preserve"> debe</w:t>
      </w:r>
      <w:r w:rsidR="00ED6085">
        <w:t>rá</w:t>
      </w:r>
      <w:r>
        <w:t xml:space="preserve"> comenzar su tarea revisando el peligro </w:t>
      </w:r>
      <w:r w:rsidR="00ED6085">
        <w:t>existente en</w:t>
      </w:r>
      <w:r>
        <w:t xml:space="preserve"> la falta de compasión y la ventaja de</w:t>
      </w:r>
      <w:r w:rsidR="00ED6085">
        <w:t>l desarroll</w:t>
      </w:r>
      <w:r w:rsidR="00E27415">
        <w:t>arlo</w:t>
      </w:r>
      <w:r>
        <w:t>.</w:t>
      </w:r>
    </w:p>
    <w:p w14:paraId="4E722C69" w14:textId="695B92AD" w:rsidR="00D94451" w:rsidRDefault="00D94451" w:rsidP="00D94451">
      <w:pPr>
        <w:pStyle w:val="NormalConSangria"/>
      </w:pPr>
      <w:r>
        <w:t>Y cuando comien</w:t>
      </w:r>
      <w:r w:rsidR="00ED6085">
        <w:t>ce</w:t>
      </w:r>
      <w:r>
        <w:t>, no debe</w:t>
      </w:r>
      <w:r w:rsidR="00ED6085">
        <w:t>rá</w:t>
      </w:r>
      <w:r>
        <w:t xml:space="preserve"> dirigirlo al principio hacia las personas queridas, etc.; porque </w:t>
      </w:r>
      <w:r w:rsidR="001E2889">
        <w:t>alguien</w:t>
      </w:r>
      <w:r>
        <w:t xml:space="preserve"> que </w:t>
      </w:r>
      <w:r w:rsidR="001E2889">
        <w:t>sea</w:t>
      </w:r>
      <w:r>
        <w:t xml:space="preserve"> </w:t>
      </w:r>
      <w:r w:rsidR="003F74DF">
        <w:t>apreciado</w:t>
      </w:r>
      <w:r>
        <w:t xml:space="preserve"> simplemente reten</w:t>
      </w:r>
      <w:r w:rsidR="001E2889">
        <w:t>drá</w:t>
      </w:r>
      <w:r>
        <w:t xml:space="preserve"> la </w:t>
      </w:r>
      <w:r w:rsidR="001E2889">
        <w:t xml:space="preserve">condición </w:t>
      </w:r>
      <w:r>
        <w:t xml:space="preserve">de </w:t>
      </w:r>
      <w:r w:rsidR="001E2889">
        <w:t xml:space="preserve">un ser </w:t>
      </w:r>
      <w:r>
        <w:t>querido, un compañero muy querido reten</w:t>
      </w:r>
      <w:r w:rsidR="001E2889">
        <w:t>drá</w:t>
      </w:r>
      <w:r>
        <w:t xml:space="preserve"> la </w:t>
      </w:r>
      <w:r w:rsidR="001E2889">
        <w:t xml:space="preserve">condición </w:t>
      </w:r>
      <w:r>
        <w:t xml:space="preserve">de compañero muy </w:t>
      </w:r>
      <w:r w:rsidR="003F74DF">
        <w:t>apreciado</w:t>
      </w:r>
      <w:r>
        <w:t xml:space="preserve">, </w:t>
      </w:r>
      <w:r w:rsidR="001E2889">
        <w:t xml:space="preserve">alguien </w:t>
      </w:r>
      <w:r>
        <w:t xml:space="preserve">que </w:t>
      </w:r>
      <w:r w:rsidR="001E2889">
        <w:t>sea</w:t>
      </w:r>
      <w:r>
        <w:t xml:space="preserve"> neutral reten</w:t>
      </w:r>
      <w:r w:rsidR="001E2889">
        <w:t>drá</w:t>
      </w:r>
      <w:r>
        <w:t xml:space="preserve"> la </w:t>
      </w:r>
      <w:r w:rsidR="001E2889">
        <w:t xml:space="preserve">condición </w:t>
      </w:r>
      <w:r>
        <w:t xml:space="preserve">de </w:t>
      </w:r>
      <w:r w:rsidR="001E2889">
        <w:t xml:space="preserve">alguien </w:t>
      </w:r>
      <w:r>
        <w:t xml:space="preserve">neutral, </w:t>
      </w:r>
      <w:r w:rsidR="001E2889">
        <w:t xml:space="preserve">alguien </w:t>
      </w:r>
      <w:r>
        <w:t xml:space="preserve">que </w:t>
      </w:r>
      <w:r w:rsidR="001E2889">
        <w:t xml:space="preserve">sea </w:t>
      </w:r>
      <w:r>
        <w:t xml:space="preserve">antipático </w:t>
      </w:r>
      <w:r w:rsidR="001E2889">
        <w:t xml:space="preserve">retendrá </w:t>
      </w:r>
      <w:r>
        <w:t xml:space="preserve">la </w:t>
      </w:r>
      <w:r w:rsidR="001E2889">
        <w:t xml:space="preserve">condición </w:t>
      </w:r>
      <w:r>
        <w:t xml:space="preserve">de </w:t>
      </w:r>
      <w:r w:rsidR="001E2889">
        <w:t>ser</w:t>
      </w:r>
      <w:r>
        <w:t xml:space="preserve"> antipático, y quien </w:t>
      </w:r>
      <w:r w:rsidR="001E2889">
        <w:t>sea</w:t>
      </w:r>
      <w:r>
        <w:t xml:space="preserve"> hostil </w:t>
      </w:r>
      <w:r w:rsidR="001E2889">
        <w:t xml:space="preserve">retendrá </w:t>
      </w:r>
      <w:r>
        <w:t xml:space="preserve">la </w:t>
      </w:r>
      <w:r w:rsidR="001E2889">
        <w:t xml:space="preserve">condición </w:t>
      </w:r>
      <w:r>
        <w:t xml:space="preserve">de quien </w:t>
      </w:r>
      <w:r w:rsidR="001E2889">
        <w:t>ser</w:t>
      </w:r>
      <w:r>
        <w:t xml:space="preserve"> hostil. </w:t>
      </w:r>
      <w:r w:rsidR="001E2889">
        <w:t xml:space="preserve">Alguien </w:t>
      </w:r>
      <w:r>
        <w:t xml:space="preserve">del sexo opuesto y </w:t>
      </w:r>
      <w:r w:rsidR="001E2889">
        <w:t xml:space="preserve">alguien </w:t>
      </w:r>
      <w:r>
        <w:t>que est</w:t>
      </w:r>
      <w:r w:rsidR="001E2889">
        <w:t>é</w:t>
      </w:r>
      <w:r>
        <w:t xml:space="preserve"> muerto tampoco </w:t>
      </w:r>
      <w:r w:rsidR="001E2889">
        <w:t xml:space="preserve">serán </w:t>
      </w:r>
      <w:r>
        <w:t xml:space="preserve">el campo </w:t>
      </w:r>
      <w:r w:rsidR="001E2889">
        <w:t xml:space="preserve">adecuado </w:t>
      </w:r>
      <w:r>
        <w:t xml:space="preserve">para </w:t>
      </w:r>
      <w:r w:rsidR="001E2889">
        <w:t>esta práctica</w:t>
      </w:r>
      <w:r w:rsidR="003F74DF">
        <w:t>, al comienzo</w:t>
      </w:r>
      <w:r>
        <w:t>.</w:t>
      </w:r>
    </w:p>
    <w:p w14:paraId="0D1E9522" w14:textId="7B4B0241" w:rsidR="00D94451" w:rsidRDefault="00D94451" w:rsidP="00D94451">
      <w:r>
        <w:t xml:space="preserve">78. </w:t>
      </w:r>
      <w:r>
        <w:tab/>
        <w:t xml:space="preserve">En el </w:t>
      </w:r>
      <w:proofErr w:type="spellStart"/>
      <w:r w:rsidRPr="004709EE">
        <w:rPr>
          <w:i/>
          <w:iCs/>
        </w:rPr>
        <w:t>Vibhaṅga</w:t>
      </w:r>
      <w:proofErr w:type="spellEnd"/>
      <w:r>
        <w:t xml:space="preserve"> se dice: “¿Y cómo </w:t>
      </w:r>
      <w:r w:rsidR="001E2889">
        <w:t>habita</w:t>
      </w:r>
      <w:r>
        <w:t xml:space="preserve"> un </w:t>
      </w:r>
      <w:proofErr w:type="spellStart"/>
      <w:r w:rsidR="00057BF4" w:rsidRPr="00057BF4">
        <w:rPr>
          <w:i/>
          <w:iCs/>
        </w:rPr>
        <w:t>bhikkhu</w:t>
      </w:r>
      <w:proofErr w:type="spellEnd"/>
      <w:r>
        <w:t xml:space="preserve"> </w:t>
      </w:r>
      <w:r w:rsidR="001E2889">
        <w:t xml:space="preserve">transmitiendo </w:t>
      </w:r>
      <w:r w:rsidR="003F74DF">
        <w:t xml:space="preserve">hacia </w:t>
      </w:r>
      <w:r>
        <w:t xml:space="preserve">una dirección su corazón dotado de compasión? Así como él sentiría compasión al ver a una persona desafortunada y </w:t>
      </w:r>
      <w:r w:rsidR="00764051">
        <w:t>desdichada</w:t>
      </w:r>
      <w:r>
        <w:t xml:space="preserve">, él </w:t>
      </w:r>
      <w:r w:rsidR="00764051">
        <w:t xml:space="preserve">transmite </w:t>
      </w:r>
      <w:r w:rsidR="003F74DF">
        <w:t>hacia</w:t>
      </w:r>
      <w:r>
        <w:t xml:space="preserve"> todos los seres compasión” (</w:t>
      </w:r>
      <w:proofErr w:type="spellStart"/>
      <w:r>
        <w:t>Vibh</w:t>
      </w:r>
      <w:proofErr w:type="spellEnd"/>
      <w:r>
        <w:t xml:space="preserve"> 273). Por tanto, en primer lugar, al ver a un hombre miserable, desafortunado, </w:t>
      </w:r>
      <w:r w:rsidR="00764051">
        <w:t>desdichado</w:t>
      </w:r>
      <w:r>
        <w:t xml:space="preserve">, en todo objeto digno de compasión, antiestético, reducido a la miseria absoluta, con manos y pies amputados, sentado en el refugio para los desamparados con </w:t>
      </w:r>
      <w:proofErr w:type="gramStart"/>
      <w:r>
        <w:t xml:space="preserve">una </w:t>
      </w:r>
      <w:r w:rsidR="003F74DF">
        <w:t>recipiente</w:t>
      </w:r>
      <w:proofErr w:type="gramEnd"/>
      <w:r>
        <w:t xml:space="preserve"> </w:t>
      </w:r>
      <w:r w:rsidR="003F74DF">
        <w:t xml:space="preserve">frente a </w:t>
      </w:r>
      <w:r>
        <w:t xml:space="preserve">él, con una masa de gusanos rezumando de sus brazos y piernas, y gimiendo, se debe sentir compasión </w:t>
      </w:r>
      <w:r w:rsidR="003F74DF">
        <w:t xml:space="preserve">hacia </w:t>
      </w:r>
      <w:r>
        <w:t xml:space="preserve">él </w:t>
      </w:r>
      <w:r w:rsidR="003F74DF">
        <w:t>as</w:t>
      </w:r>
      <w:r w:rsidR="00FA3D3A">
        <w:t>í</w:t>
      </w:r>
      <w:r>
        <w:t xml:space="preserve">: “Este ser ciertamente ha sido reducido a la miseria; ¡Si </w:t>
      </w:r>
      <w:r w:rsidR="000E223F">
        <w:t xml:space="preserve">tan solo </w:t>
      </w:r>
      <w:r>
        <w:t>pudiera ser liberado de este sufrimiento!”</w:t>
      </w:r>
    </w:p>
    <w:p w14:paraId="694BFCC9" w14:textId="4FAA0265" w:rsidR="00D94451" w:rsidRDefault="00D94451" w:rsidP="00D94451">
      <w:pPr>
        <w:pStyle w:val="NormalConSangria"/>
      </w:pPr>
      <w:r>
        <w:t xml:space="preserve">Pero si </w:t>
      </w:r>
      <w:r w:rsidR="004E3BCB">
        <w:t xml:space="preserve">uno </w:t>
      </w:r>
      <w:r>
        <w:t>no se enc</w:t>
      </w:r>
      <w:r w:rsidR="00FA3D3A">
        <w:t>o</w:t>
      </w:r>
      <w:r>
        <w:t>ntra</w:t>
      </w:r>
      <w:r w:rsidR="00FA3D3A">
        <w:t>se</w:t>
      </w:r>
      <w:r>
        <w:t xml:space="preserve"> con tal persona, entonces </w:t>
      </w:r>
      <w:r w:rsidR="00FB00AA">
        <w:t>podría</w:t>
      </w:r>
      <w:r>
        <w:t xml:space="preserve"> despertar compasión </w:t>
      </w:r>
      <w:r w:rsidR="00FB00AA">
        <w:t xml:space="preserve">hacia </w:t>
      </w:r>
      <w:r>
        <w:t xml:space="preserve">una persona que </w:t>
      </w:r>
      <w:r w:rsidR="004E3BCB">
        <w:t xml:space="preserve">obre con </w:t>
      </w:r>
      <w:r>
        <w:t>el mal, aunque sea feliz, comparándola con alguien que está a punto de ser ejecutado. ¿Cómo?</w:t>
      </w:r>
    </w:p>
    <w:p w14:paraId="3326F0A3" w14:textId="6254B949" w:rsidR="00D94451" w:rsidRDefault="00D94451" w:rsidP="00D94451">
      <w:r>
        <w:t xml:space="preserve">79. </w:t>
      </w:r>
      <w:r>
        <w:tab/>
        <w:t>Supongamos que un ladrón ha</w:t>
      </w:r>
      <w:r w:rsidR="002367E1">
        <w:t>ya</w:t>
      </w:r>
      <w:r>
        <w:t xml:space="preserve"> sido atrapado con </w:t>
      </w:r>
      <w:r w:rsidR="002367E1">
        <w:t xml:space="preserve">los </w:t>
      </w:r>
      <w:r>
        <w:t xml:space="preserve">bienes robados, y de acuerdo con la orden </w:t>
      </w:r>
      <w:r w:rsidR="002367E1">
        <w:t xml:space="preserve">de ejecución </w:t>
      </w:r>
      <w:r>
        <w:t xml:space="preserve">del rey, los hombres </w:t>
      </w:r>
      <w:r w:rsidR="009A1AB4">
        <w:t xml:space="preserve">bajo sus órdenes </w:t>
      </w:r>
      <w:r>
        <w:t>lo ata</w:t>
      </w:r>
      <w:r w:rsidR="009A1AB4">
        <w:t>se</w:t>
      </w:r>
      <w:r>
        <w:t xml:space="preserve">n y lo </w:t>
      </w:r>
      <w:r w:rsidR="009A1AB4">
        <w:t>condu</w:t>
      </w:r>
      <w:r w:rsidR="000278C8">
        <w:t>j</w:t>
      </w:r>
      <w:r w:rsidR="009A1AB4">
        <w:t xml:space="preserve">esen </w:t>
      </w:r>
      <w:r>
        <w:t xml:space="preserve">al lugar de ejecución, dándole cien golpes en grupos de </w:t>
      </w:r>
      <w:r w:rsidR="000278C8">
        <w:t xml:space="preserve">a </w:t>
      </w:r>
      <w:r>
        <w:t>cuatro. Entonces la gente le da</w:t>
      </w:r>
      <w:r w:rsidR="000278C8">
        <w:t>ría</w:t>
      </w:r>
      <w:r>
        <w:t xml:space="preserve"> cosas para masticar y comer</w:t>
      </w:r>
      <w:r w:rsidR="00112513">
        <w:t>,</w:t>
      </w:r>
      <w:r>
        <w:t xml:space="preserve"> también guirnaldas y perfumes, ungüentos y hojas de betel. Aunque [315] va</w:t>
      </w:r>
      <w:r w:rsidR="00C375B6">
        <w:t>ya</w:t>
      </w:r>
      <w:r>
        <w:t xml:space="preserve"> comiendo y gozando de estas cosas como si </w:t>
      </w:r>
      <w:r w:rsidR="00112513">
        <w:t>estuviese</w:t>
      </w:r>
      <w:r>
        <w:t xml:space="preserve"> feliz y </w:t>
      </w:r>
      <w:r w:rsidR="00112513">
        <w:t>cómodo</w:t>
      </w:r>
      <w:r>
        <w:t>, nadie se imagina</w:t>
      </w:r>
      <w:r w:rsidR="00C375B6">
        <w:t>ría</w:t>
      </w:r>
      <w:r>
        <w:t xml:space="preserve"> que </w:t>
      </w:r>
      <w:r w:rsidR="00112513">
        <w:t>estuviese</w:t>
      </w:r>
      <w:r w:rsidR="00C375B6">
        <w:t xml:space="preserve"> </w:t>
      </w:r>
      <w:r>
        <w:t xml:space="preserve">realmente feliz y </w:t>
      </w:r>
      <w:r w:rsidR="00112513">
        <w:t>cómodo</w:t>
      </w:r>
      <w:r>
        <w:t xml:space="preserve">. Por el contrario, la gente </w:t>
      </w:r>
      <w:r w:rsidR="00C375B6">
        <w:t>sentir</w:t>
      </w:r>
      <w:r w:rsidR="00112513">
        <w:t>á</w:t>
      </w:r>
      <w:r w:rsidR="00C375B6">
        <w:t xml:space="preserve"> </w:t>
      </w:r>
      <w:r>
        <w:t xml:space="preserve">compasión </w:t>
      </w:r>
      <w:r w:rsidR="00112513">
        <w:t xml:space="preserve">hacia </w:t>
      </w:r>
      <w:r>
        <w:t>él, pensando: “Este pobre desgraciado está a punto de morir</w:t>
      </w:r>
      <w:r w:rsidR="005F7BCB" w:rsidRPr="005F7BCB">
        <w:t xml:space="preserve"> </w:t>
      </w:r>
      <w:r w:rsidR="005F7BCB">
        <w:t>en cualquier momento</w:t>
      </w:r>
      <w:r>
        <w:t>; cada paso que da lo acerca a</w:t>
      </w:r>
      <w:r w:rsidR="00C375B6">
        <w:t>nte</w:t>
      </w:r>
      <w:r>
        <w:t xml:space="preserve"> la presencia de la muerte”. Así también un </w:t>
      </w:r>
      <w:proofErr w:type="spellStart"/>
      <w:r w:rsidR="00057BF4" w:rsidRPr="00057BF4">
        <w:rPr>
          <w:i/>
          <w:iCs/>
        </w:rPr>
        <w:t>bhikkhu</w:t>
      </w:r>
      <w:proofErr w:type="spellEnd"/>
      <w:r>
        <w:t xml:space="preserve"> cuyo </w:t>
      </w:r>
      <w:r w:rsidR="00C375B6">
        <w:t xml:space="preserve">objeto </w:t>
      </w:r>
      <w:r>
        <w:t xml:space="preserve">de meditación </w:t>
      </w:r>
      <w:r w:rsidR="00C375B6">
        <w:t xml:space="preserve">sea </w:t>
      </w:r>
      <w:r>
        <w:t>la compasión debe</w:t>
      </w:r>
      <w:r w:rsidR="00C375B6">
        <w:t>ría</w:t>
      </w:r>
      <w:r>
        <w:t xml:space="preserve"> despertar compasión </w:t>
      </w:r>
      <w:r w:rsidR="00C375B6">
        <w:t xml:space="preserve">hacia </w:t>
      </w:r>
      <w:r>
        <w:t xml:space="preserve">una persona que </w:t>
      </w:r>
      <w:r w:rsidR="00C375B6">
        <w:t xml:space="preserve">obre con </w:t>
      </w:r>
      <w:r>
        <w:t>el mal</w:t>
      </w:r>
      <w:r w:rsidR="005F7BCB">
        <w:t>,</w:t>
      </w:r>
      <w:r>
        <w:t xml:space="preserve"> inclus</w:t>
      </w:r>
      <w:r w:rsidR="00C375B6">
        <w:t>ive</w:t>
      </w:r>
      <w:r>
        <w:t xml:space="preserve"> si </w:t>
      </w:r>
      <w:r w:rsidR="005F7BCB">
        <w:t>se sintiese</w:t>
      </w:r>
      <w:r w:rsidR="00C375B6">
        <w:t xml:space="preserve"> </w:t>
      </w:r>
      <w:r>
        <w:t xml:space="preserve">feliz: “Aunque este pobre infeliz ahora </w:t>
      </w:r>
      <w:r w:rsidR="00D66DE3">
        <w:t>se sienta</w:t>
      </w:r>
      <w:r>
        <w:t xml:space="preserve"> feliz</w:t>
      </w:r>
      <w:r w:rsidR="00D66DE3">
        <w:t xml:space="preserve"> y</w:t>
      </w:r>
      <w:r>
        <w:t xml:space="preserve"> alegre, disfrut</w:t>
      </w:r>
      <w:r w:rsidR="006F7298">
        <w:t>e</w:t>
      </w:r>
      <w:r>
        <w:t xml:space="preserve"> de su riqueza, </w:t>
      </w:r>
      <w:proofErr w:type="spellStart"/>
      <w:r>
        <w:t>aún</w:t>
      </w:r>
      <w:proofErr w:type="spellEnd"/>
      <w:r>
        <w:t xml:space="preserve"> </w:t>
      </w:r>
      <w:r w:rsidR="006F7298">
        <w:t xml:space="preserve">así, </w:t>
      </w:r>
      <w:r>
        <w:t xml:space="preserve">por </w:t>
      </w:r>
      <w:r w:rsidR="006F7298">
        <w:t xml:space="preserve">ausencia </w:t>
      </w:r>
      <w:r>
        <w:t xml:space="preserve">de una sola buena acción realizada </w:t>
      </w:r>
      <w:r w:rsidR="006F7298">
        <w:t xml:space="preserve">en el presente </w:t>
      </w:r>
      <w:r>
        <w:t xml:space="preserve">en cualquiera de las tres </w:t>
      </w:r>
      <w:r w:rsidR="006F7298">
        <w:t>dimensiones</w:t>
      </w:r>
      <w:r>
        <w:t xml:space="preserve"> [</w:t>
      </w:r>
      <w:r w:rsidR="006F7298">
        <w:t>física</w:t>
      </w:r>
      <w:r>
        <w:t xml:space="preserve">, </w:t>
      </w:r>
      <w:r w:rsidR="006F7298">
        <w:t xml:space="preserve">verbal </w:t>
      </w:r>
      <w:r>
        <w:t xml:space="preserve">y </w:t>
      </w:r>
      <w:r w:rsidR="006F7298">
        <w:t>menta</w:t>
      </w:r>
      <w:r w:rsidR="00804B6A">
        <w:t>l</w:t>
      </w:r>
      <w:r>
        <w:t>] llegar</w:t>
      </w:r>
      <w:r w:rsidR="00D66DE3">
        <w:t>á</w:t>
      </w:r>
      <w:r>
        <w:t xml:space="preserve"> a experimentar un sufrimiento </w:t>
      </w:r>
      <w:r w:rsidR="00804B6A">
        <w:t xml:space="preserve">inefable </w:t>
      </w:r>
      <w:r>
        <w:t xml:space="preserve">en los estados de </w:t>
      </w:r>
      <w:r w:rsidR="00804B6A">
        <w:t>perdición</w:t>
      </w:r>
      <w:r>
        <w:t>”.</w:t>
      </w:r>
    </w:p>
    <w:p w14:paraId="1E9CBD4D" w14:textId="77777777" w:rsidR="00AB3F66" w:rsidRDefault="00AB3F66">
      <w:pPr>
        <w:tabs>
          <w:tab w:val="clear" w:pos="425"/>
        </w:tabs>
        <w:spacing w:after="160"/>
      </w:pPr>
      <w:r>
        <w:br w:type="page"/>
      </w:r>
    </w:p>
    <w:p w14:paraId="0FC2A779" w14:textId="3AA5BE04" w:rsidR="00AB3F66" w:rsidRDefault="00AB3F66" w:rsidP="00AB3F66">
      <w:r>
        <w:lastRenderedPageBreak/>
        <w:t xml:space="preserve">80. </w:t>
      </w:r>
      <w:r w:rsidR="00D66F13">
        <w:tab/>
      </w:r>
      <w:r>
        <w:t xml:space="preserve">Habiendo despertado </w:t>
      </w:r>
      <w:r w:rsidR="00D66DE3">
        <w:t xml:space="preserve">así </w:t>
      </w:r>
      <w:r>
        <w:t xml:space="preserve">compasión </w:t>
      </w:r>
      <w:r w:rsidR="00447297">
        <w:t xml:space="preserve">hacia </w:t>
      </w:r>
      <w:r>
        <w:t>esa persona, debe</w:t>
      </w:r>
      <w:r w:rsidR="00F608A3">
        <w:t>rá</w:t>
      </w:r>
      <w:r>
        <w:t xml:space="preserve"> despertar luego compasión </w:t>
      </w:r>
      <w:r w:rsidR="00F608A3">
        <w:t xml:space="preserve">hacia </w:t>
      </w:r>
      <w:r>
        <w:t xml:space="preserve">una persona </w:t>
      </w:r>
      <w:r w:rsidR="00F608A3">
        <w:t>estimada</w:t>
      </w:r>
      <w:r>
        <w:t xml:space="preserve">, luego </w:t>
      </w:r>
      <w:r w:rsidR="00F608A3">
        <w:t xml:space="preserve">hacia </w:t>
      </w:r>
      <w:r>
        <w:t xml:space="preserve">una persona neutral y luego </w:t>
      </w:r>
      <w:r w:rsidR="00F608A3">
        <w:t xml:space="preserve">hacia </w:t>
      </w:r>
      <w:r>
        <w:t>una persona hostil, sucesivamente de la misma manera.</w:t>
      </w:r>
    </w:p>
    <w:p w14:paraId="399F7D10" w14:textId="3596237D" w:rsidR="00AB3F66" w:rsidRDefault="00AB3F66" w:rsidP="00AB3F66">
      <w:r>
        <w:t xml:space="preserve">81. </w:t>
      </w:r>
      <w:r w:rsidR="00D66F13">
        <w:tab/>
      </w:r>
      <w:r>
        <w:t>Pero si el resentimiento hacia la persona hostil surg</w:t>
      </w:r>
      <w:r w:rsidR="00F608A3">
        <w:t>iese</w:t>
      </w:r>
      <w:r>
        <w:t xml:space="preserve"> de la manera ya descrita, debe</w:t>
      </w:r>
      <w:r w:rsidR="00447297">
        <w:t>rá</w:t>
      </w:r>
      <w:r>
        <w:t xml:space="preserve"> hacer que se calme </w:t>
      </w:r>
      <w:r w:rsidR="00447297">
        <w:t>siguiendo el procedimiento</w:t>
      </w:r>
      <w:r>
        <w:t xml:space="preserve"> descrit</w:t>
      </w:r>
      <w:r w:rsidR="00447297">
        <w:t>o</w:t>
      </w:r>
      <w:r>
        <w:t xml:space="preserve"> bajo </w:t>
      </w:r>
      <w:r w:rsidR="009C00A3">
        <w:t>la sección</w:t>
      </w:r>
      <w:r w:rsidR="00794C17">
        <w:t xml:space="preserve"> de la transmisión de </w:t>
      </w:r>
      <w:r w:rsidR="00AC5DDE" w:rsidRPr="0082231D">
        <w:rPr>
          <w:i/>
          <w:iCs/>
        </w:rPr>
        <w:t>amor–benevolente</w:t>
      </w:r>
      <w:r w:rsidR="00794C17">
        <w:rPr>
          <w:i/>
          <w:iCs/>
        </w:rPr>
        <w:t xml:space="preserve"> </w:t>
      </w:r>
      <w:r>
        <w:t>(§§14–39).</w:t>
      </w:r>
    </w:p>
    <w:p w14:paraId="368D99D1" w14:textId="286256FE" w:rsidR="00AB3F66" w:rsidRDefault="00AB3F66" w:rsidP="00D66F13">
      <w:pPr>
        <w:pStyle w:val="NormalConSangria"/>
      </w:pPr>
      <w:r>
        <w:t>Y aquí también, cuando alguien ha</w:t>
      </w:r>
      <w:r w:rsidR="000C502C">
        <w:t>ya</w:t>
      </w:r>
      <w:r>
        <w:t xml:space="preserve"> realizado </w:t>
      </w:r>
      <w:r w:rsidR="000C502C">
        <w:t>acciones</w:t>
      </w:r>
      <w:r>
        <w:t xml:space="preserve"> provechos</w:t>
      </w:r>
      <w:r w:rsidR="000C502C">
        <w:t>a</w:t>
      </w:r>
      <w:r>
        <w:t>s y el meditador v</w:t>
      </w:r>
      <w:r w:rsidR="000C502C">
        <w:t>iese</w:t>
      </w:r>
      <w:r>
        <w:t xml:space="preserve"> u oye</w:t>
      </w:r>
      <w:r w:rsidR="000C502C">
        <w:t>se</w:t>
      </w:r>
      <w:r>
        <w:t xml:space="preserve"> que ha sido alcanzado por </w:t>
      </w:r>
      <w:r w:rsidR="00EF5F68">
        <w:t>algu</w:t>
      </w:r>
      <w:r>
        <w:t xml:space="preserve">no de los tipos de </w:t>
      </w:r>
      <w:proofErr w:type="spellStart"/>
      <w:r w:rsidR="00EF5F68">
        <w:t>desfortuna</w:t>
      </w:r>
      <w:proofErr w:type="spellEnd"/>
      <w:r w:rsidR="00EF5F68">
        <w:t xml:space="preserve"> </w:t>
      </w:r>
      <w:r>
        <w:t>que comienza con la ruina de la salud, los familiares, la propiedad, etc., merece</w:t>
      </w:r>
      <w:r w:rsidR="002C334A">
        <w:t>rá</w:t>
      </w:r>
      <w:r>
        <w:t xml:space="preserve"> la compasión del meditador; y así también lo ha</w:t>
      </w:r>
      <w:r w:rsidR="002C334A">
        <w:t>rá</w:t>
      </w:r>
      <w:r>
        <w:t xml:space="preserve"> en cualquier caso, incluso sin tal ruina, así “En realidad es infeliz”, porque no está exento del sufrimiento </w:t>
      </w:r>
      <w:proofErr w:type="gramStart"/>
      <w:r>
        <w:t xml:space="preserve">de la </w:t>
      </w:r>
      <w:r w:rsidR="002C334A">
        <w:t>ciclo</w:t>
      </w:r>
      <w:proofErr w:type="gramEnd"/>
      <w:r w:rsidR="002C334A">
        <w:t xml:space="preserve"> de renacimientos</w:t>
      </w:r>
      <w:r>
        <w:t>. Y de la manera ya descrita, el meditador debe</w:t>
      </w:r>
      <w:r w:rsidR="002C334A">
        <w:t>rá</w:t>
      </w:r>
      <w:r>
        <w:t xml:space="preserve"> romper las barreras entre las cuatro clases de personas, es decir, él mismo, la persona </w:t>
      </w:r>
      <w:r w:rsidR="002C334A">
        <w:t>estimada</w:t>
      </w:r>
      <w:r>
        <w:t>, la persona neutral y la persona hostil. Luego, cultivando ese signo, desarrollándolo y practicándolo repetidamente, debe</w:t>
      </w:r>
      <w:r w:rsidR="00EF5F68">
        <w:t>rá</w:t>
      </w:r>
      <w:r>
        <w:t xml:space="preserve"> </w:t>
      </w:r>
      <w:r w:rsidR="002C334A">
        <w:t xml:space="preserve">incrementar </w:t>
      </w:r>
      <w:r>
        <w:t xml:space="preserve">la absorción </w:t>
      </w:r>
      <w:r w:rsidR="00EF5F68">
        <w:t>mediante</w:t>
      </w:r>
      <w:r>
        <w:t xml:space="preserve"> </w:t>
      </w:r>
      <w:r w:rsidR="00EF5F68">
        <w:t xml:space="preserve">los tres y cuatro </w:t>
      </w:r>
      <w:proofErr w:type="spellStart"/>
      <w:r w:rsidR="00057BF4" w:rsidRPr="00057BF4">
        <w:rPr>
          <w:i/>
          <w:iCs/>
        </w:rPr>
        <w:t>jhāna</w:t>
      </w:r>
      <w:r w:rsidR="00EF5F68">
        <w:rPr>
          <w:i/>
          <w:iCs/>
        </w:rPr>
        <w:t>s</w:t>
      </w:r>
      <w:proofErr w:type="spellEnd"/>
      <w:r>
        <w:t xml:space="preserve"> en la forma ya establecida en </w:t>
      </w:r>
      <w:r w:rsidR="00CC14CD">
        <w:t xml:space="preserve">la transmisión de </w:t>
      </w:r>
      <w:r w:rsidR="00AC5DDE" w:rsidRPr="0082231D">
        <w:rPr>
          <w:i/>
          <w:iCs/>
        </w:rPr>
        <w:t>amor–benevolente</w:t>
      </w:r>
      <w:r>
        <w:t>.</w:t>
      </w:r>
    </w:p>
    <w:p w14:paraId="7152B9F2" w14:textId="6F33B86F" w:rsidR="00AB3F66" w:rsidRDefault="00AB3F66" w:rsidP="00AB3F66">
      <w:r>
        <w:t xml:space="preserve">82. </w:t>
      </w:r>
      <w:r w:rsidR="00D66F13">
        <w:tab/>
      </w:r>
      <w:r>
        <w:t xml:space="preserve">Pero </w:t>
      </w:r>
      <w:r w:rsidR="000B47A8">
        <w:t>el procedimiento mostrado</w:t>
      </w:r>
      <w:r>
        <w:t xml:space="preserve"> en el </w:t>
      </w:r>
      <w:r w:rsidRPr="000066BC">
        <w:rPr>
          <w:i/>
          <w:iCs/>
        </w:rPr>
        <w:t xml:space="preserve">Comentario </w:t>
      </w:r>
      <w:proofErr w:type="spellStart"/>
      <w:r w:rsidRPr="000066BC">
        <w:rPr>
          <w:i/>
          <w:iCs/>
        </w:rPr>
        <w:t>Aṅguttara</w:t>
      </w:r>
      <w:proofErr w:type="spellEnd"/>
      <w:r>
        <w:t xml:space="preserve"> </w:t>
      </w:r>
      <w:r w:rsidR="000B47A8">
        <w:t>consiste</w:t>
      </w:r>
      <w:r>
        <w:t xml:space="preserve"> </w:t>
      </w:r>
      <w:r w:rsidR="00016CB8">
        <w:t xml:space="preserve">en </w:t>
      </w:r>
      <w:r>
        <w:t xml:space="preserve">hacer </w:t>
      </w:r>
      <w:r w:rsidR="00016CB8">
        <w:t xml:space="preserve">primero </w:t>
      </w:r>
      <w:r>
        <w:t>objeto de compasión a una persona hostil, y cuando la mente se ha</w:t>
      </w:r>
      <w:r w:rsidR="00CC14CD">
        <w:t>ya</w:t>
      </w:r>
      <w:r>
        <w:t xml:space="preserve"> vuelto maleable con respecto a </w:t>
      </w:r>
      <w:r w:rsidR="00016CB8">
        <w:t>e</w:t>
      </w:r>
      <w:r>
        <w:t>l</w:t>
      </w:r>
      <w:r w:rsidR="00016CB8">
        <w:t>la</w:t>
      </w:r>
      <w:r>
        <w:t xml:space="preserve">, luego </w:t>
      </w:r>
      <w:r w:rsidR="00CC14CD">
        <w:t xml:space="preserve">hacia </w:t>
      </w:r>
      <w:r>
        <w:t xml:space="preserve">la persona desafortunada, luego </w:t>
      </w:r>
      <w:r w:rsidR="00EA4EBF">
        <w:t xml:space="preserve">hacia </w:t>
      </w:r>
      <w:r>
        <w:t xml:space="preserve">la persona </w:t>
      </w:r>
      <w:r w:rsidR="00EA4EBF">
        <w:t xml:space="preserve">estimada </w:t>
      </w:r>
      <w:r>
        <w:t xml:space="preserve">y </w:t>
      </w:r>
      <w:r w:rsidR="00016CB8">
        <w:t>finalmente</w:t>
      </w:r>
      <w:r>
        <w:t xml:space="preserve"> </w:t>
      </w:r>
      <w:r w:rsidR="00EA4EBF">
        <w:t xml:space="preserve">hacia </w:t>
      </w:r>
      <w:r>
        <w:t xml:space="preserve">uno mismo. Eso no concuerda con el texto, “una persona desafortunada y </w:t>
      </w:r>
      <w:r w:rsidR="00BA432F">
        <w:t>desdichada</w:t>
      </w:r>
      <w:r>
        <w:t xml:space="preserve">” (§78). Por lo tanto, </w:t>
      </w:r>
      <w:r w:rsidR="00016CB8">
        <w:t xml:space="preserve">se </w:t>
      </w:r>
      <w:r>
        <w:t>debe</w:t>
      </w:r>
      <w:r w:rsidR="00016CB8">
        <w:t>rá</w:t>
      </w:r>
      <w:r>
        <w:t xml:space="preserve"> comenzar el desarrollo, derribar las barreras </w:t>
      </w:r>
      <w:r w:rsidR="00016CB8">
        <w:t>e</w:t>
      </w:r>
      <w:r>
        <w:t xml:space="preserve"> </w:t>
      </w:r>
      <w:r w:rsidR="00BA432F">
        <w:t>incrementar</w:t>
      </w:r>
      <w:r>
        <w:t xml:space="preserve"> la absorción solo de la manera indicada aquí.</w:t>
      </w:r>
    </w:p>
    <w:p w14:paraId="0DB45CA6" w14:textId="38426E44" w:rsidR="00AB3F66" w:rsidRDefault="00AB3F66" w:rsidP="00AB3F66">
      <w:r>
        <w:t xml:space="preserve">83. </w:t>
      </w:r>
      <w:r w:rsidR="00D66F13">
        <w:tab/>
      </w:r>
      <w:r>
        <w:t>Después de e</w:t>
      </w:r>
      <w:r w:rsidR="009C00A3">
        <w:t>ll</w:t>
      </w:r>
      <w:r>
        <w:t>o, la versatilidad que consist</w:t>
      </w:r>
      <w:r w:rsidR="009C00A3">
        <w:t>a</w:t>
      </w:r>
      <w:r>
        <w:t xml:space="preserve"> en la </w:t>
      </w:r>
      <w:r w:rsidR="009C00A3">
        <w:t>transmisión</w:t>
      </w:r>
      <w:r>
        <w:t xml:space="preserve"> no </w:t>
      </w:r>
      <w:r w:rsidR="00DD704B">
        <w:t xml:space="preserve">específica </w:t>
      </w:r>
      <w:r>
        <w:t xml:space="preserve">de </w:t>
      </w:r>
      <w:r w:rsidR="00DD704B">
        <w:t>5</w:t>
      </w:r>
      <w:r>
        <w:t xml:space="preserve"> formas, la </w:t>
      </w:r>
      <w:r w:rsidR="009C00A3">
        <w:t xml:space="preserve">transmisión específica </w:t>
      </w:r>
      <w:r>
        <w:t xml:space="preserve">de </w:t>
      </w:r>
      <w:r w:rsidR="00DD704B">
        <w:t>7</w:t>
      </w:r>
      <w:r>
        <w:t xml:space="preserve"> formas y la </w:t>
      </w:r>
      <w:r w:rsidR="009C00A3">
        <w:t xml:space="preserve">transmisión </w:t>
      </w:r>
      <w:r>
        <w:t xml:space="preserve">direccional de </w:t>
      </w:r>
      <w:r w:rsidR="00DD704B">
        <w:t>10</w:t>
      </w:r>
      <w:r>
        <w:t xml:space="preserve"> formas, y las ventajas descritas como "Él duerme cómodamente", etc., debe</w:t>
      </w:r>
      <w:r w:rsidR="00DD704B">
        <w:t>rá</w:t>
      </w:r>
      <w:r>
        <w:t xml:space="preserve">n </w:t>
      </w:r>
      <w:r w:rsidR="00DD704B">
        <w:t xml:space="preserve">asumirse </w:t>
      </w:r>
      <w:r>
        <w:t xml:space="preserve">de la misma manera </w:t>
      </w:r>
      <w:r w:rsidR="00DD704B">
        <w:t xml:space="preserve">como </w:t>
      </w:r>
      <w:r>
        <w:t xml:space="preserve">se da bajo </w:t>
      </w:r>
      <w:r w:rsidR="001D21EB">
        <w:t xml:space="preserve">la sección de la transmisión de </w:t>
      </w:r>
      <w:r w:rsidR="00AC5DDE" w:rsidRPr="0082231D">
        <w:rPr>
          <w:i/>
          <w:iCs/>
        </w:rPr>
        <w:t>amor–benevolente</w:t>
      </w:r>
      <w:r>
        <w:t>.</w:t>
      </w:r>
    </w:p>
    <w:p w14:paraId="5B52F6CA" w14:textId="7383520C" w:rsidR="00AB3F66" w:rsidRDefault="001D21EB" w:rsidP="00D66F13">
      <w:pPr>
        <w:pStyle w:val="NormalConSangria"/>
      </w:pPr>
      <w:r>
        <w:t>É</w:t>
      </w:r>
      <w:r w:rsidR="00AB3F66">
        <w:t xml:space="preserve">sta es la explicación detallada </w:t>
      </w:r>
      <w:r>
        <w:t xml:space="preserve">sobre </w:t>
      </w:r>
      <w:r w:rsidR="00AB3F66">
        <w:t xml:space="preserve">el desarrollo de la </w:t>
      </w:r>
      <w:r>
        <w:t xml:space="preserve">transmisión de </w:t>
      </w:r>
      <w:r w:rsidR="00814E4A">
        <w:t xml:space="preserve">la </w:t>
      </w:r>
      <w:r w:rsidR="00AB3F66">
        <w:t>compasión. [316]</w:t>
      </w:r>
    </w:p>
    <w:p w14:paraId="18D27CDA" w14:textId="45294E03" w:rsidR="00AB3F66" w:rsidRDefault="00D66F13" w:rsidP="00D66F13">
      <w:pPr>
        <w:pStyle w:val="Ttulo3"/>
        <w:ind w:left="708"/>
      </w:pPr>
      <w:r>
        <w:t>[(3) Alegría</w:t>
      </w:r>
      <w:r w:rsidR="00814E4A">
        <w:t xml:space="preserve"> Altruista</w:t>
      </w:r>
      <w:r>
        <w:t>]</w:t>
      </w:r>
    </w:p>
    <w:p w14:paraId="5E0C6606" w14:textId="68D2BBE4" w:rsidR="00AB3F66" w:rsidRDefault="00AB3F66" w:rsidP="00AB3F66">
      <w:r>
        <w:t xml:space="preserve">84. </w:t>
      </w:r>
      <w:r w:rsidR="00814E4A">
        <w:tab/>
      </w:r>
      <w:r>
        <w:t>Quien comien</w:t>
      </w:r>
      <w:r w:rsidR="00814E4A">
        <w:t>ce</w:t>
      </w:r>
      <w:r>
        <w:t xml:space="preserve"> el desarrollo de la alegría</w:t>
      </w:r>
      <w:r w:rsidR="009C00A3">
        <w:t xml:space="preserve"> altruista</w:t>
      </w:r>
      <w:r w:rsidRPr="000C43D5">
        <w:rPr>
          <w:vertAlign w:val="superscript"/>
        </w:rPr>
        <w:t>10</w:t>
      </w:r>
      <w:r>
        <w:t xml:space="preserve"> no debe</w:t>
      </w:r>
      <w:r w:rsidR="00814E4A">
        <w:t>r</w:t>
      </w:r>
      <w:r w:rsidR="009C00A3">
        <w:t>á</w:t>
      </w:r>
      <w:r>
        <w:t xml:space="preserve"> comenzar </w:t>
      </w:r>
      <w:r w:rsidR="00814E4A">
        <w:t xml:space="preserve">con </w:t>
      </w:r>
      <w:r>
        <w:t xml:space="preserve">la persona </w:t>
      </w:r>
      <w:r w:rsidR="00814E4A">
        <w:t xml:space="preserve">estimada </w:t>
      </w:r>
      <w:r>
        <w:t xml:space="preserve">y </w:t>
      </w:r>
      <w:r w:rsidR="00814E4A">
        <w:t xml:space="preserve">luego </w:t>
      </w:r>
      <w:r>
        <w:t>l</w:t>
      </w:r>
      <w:r w:rsidR="00814E4A">
        <w:t>a</w:t>
      </w:r>
      <w:r>
        <w:t xml:space="preserve">s </w:t>
      </w:r>
      <w:r w:rsidR="009C00A3">
        <w:t>restantes</w:t>
      </w:r>
      <w:r>
        <w:t xml:space="preserve">; porque una persona </w:t>
      </w:r>
      <w:r w:rsidR="00345F21">
        <w:t xml:space="preserve">estimada </w:t>
      </w:r>
      <w:r>
        <w:t xml:space="preserve">no </w:t>
      </w:r>
      <w:r w:rsidR="009C00A3">
        <w:t xml:space="preserve">será </w:t>
      </w:r>
      <w:r>
        <w:t xml:space="preserve">causa próxima </w:t>
      </w:r>
      <w:r w:rsidR="00345F21">
        <w:t xml:space="preserve">para </w:t>
      </w:r>
      <w:r>
        <w:t xml:space="preserve">la </w:t>
      </w:r>
      <w:r w:rsidR="00345F21">
        <w:t xml:space="preserve">transmisión de la </w:t>
      </w:r>
      <w:r>
        <w:t xml:space="preserve">alegría </w:t>
      </w:r>
      <w:r w:rsidR="00345F21">
        <w:t xml:space="preserve">altruista </w:t>
      </w:r>
      <w:r>
        <w:t xml:space="preserve">meramente en virtud de la </w:t>
      </w:r>
      <w:r w:rsidR="004C0674">
        <w:t>estima</w:t>
      </w:r>
      <w:r>
        <w:t xml:space="preserve">, cuánto menos </w:t>
      </w:r>
      <w:r w:rsidR="00345F21">
        <w:t xml:space="preserve">hacia </w:t>
      </w:r>
      <w:r>
        <w:t xml:space="preserve">la persona neutra y hostil. </w:t>
      </w:r>
      <w:r w:rsidR="004C0674">
        <w:t xml:space="preserve">Alguien </w:t>
      </w:r>
      <w:r>
        <w:t xml:space="preserve">del sexo opuesto y </w:t>
      </w:r>
      <w:r w:rsidR="004C0674">
        <w:t xml:space="preserve">alguien </w:t>
      </w:r>
      <w:r>
        <w:t xml:space="preserve">que </w:t>
      </w:r>
      <w:r w:rsidR="009C00A3">
        <w:t>haya</w:t>
      </w:r>
      <w:r>
        <w:t xml:space="preserve"> muerto tampoco </w:t>
      </w:r>
      <w:r w:rsidR="004C0674">
        <w:t xml:space="preserve">será un </w:t>
      </w:r>
      <w:r>
        <w:t xml:space="preserve">campo </w:t>
      </w:r>
      <w:r w:rsidR="004C0674">
        <w:t xml:space="preserve">correcto de transmisión </w:t>
      </w:r>
      <w:r w:rsidR="009C00A3">
        <w:t>al respecto, inicialmente</w:t>
      </w:r>
      <w:r>
        <w:t>.</w:t>
      </w:r>
    </w:p>
    <w:p w14:paraId="1CB2E22D" w14:textId="0BD70ED0" w:rsidR="00AB3F66" w:rsidRDefault="00AB3F66" w:rsidP="00AB3F66">
      <w:r>
        <w:t xml:space="preserve">85. </w:t>
      </w:r>
      <w:r w:rsidR="00814E4A">
        <w:tab/>
      </w:r>
      <w:r>
        <w:t xml:space="preserve">Sin embargo, el compañero muy querido </w:t>
      </w:r>
      <w:r w:rsidR="009C00A3">
        <w:t xml:space="preserve">podrá </w:t>
      </w:r>
      <w:r>
        <w:t xml:space="preserve">ser la causa próxima, aquel que en los comentarios se </w:t>
      </w:r>
      <w:r w:rsidR="001A372A">
        <w:t xml:space="preserve">le </w:t>
      </w:r>
      <w:r>
        <w:t>llam</w:t>
      </w:r>
      <w:r w:rsidR="001A372A">
        <w:t>e</w:t>
      </w:r>
      <w:r>
        <w:t xml:space="preserve"> un “compañero de bendición”, porque está constantemente alegre: ríe primero y habla después. Así que él debe</w:t>
      </w:r>
      <w:r w:rsidR="009C00A3">
        <w:t>rá</w:t>
      </w:r>
      <w:r>
        <w:t xml:space="preserve"> ser el primero en </w:t>
      </w:r>
      <w:r w:rsidR="00812047">
        <w:t>ser objeto de la transmisión de la</w:t>
      </w:r>
      <w:r>
        <w:t xml:space="preserve"> alegría</w:t>
      </w:r>
      <w:r w:rsidR="00812047">
        <w:t xml:space="preserve"> altruista</w:t>
      </w:r>
      <w:r>
        <w:t xml:space="preserve">. O al ver o escuchar que una persona </w:t>
      </w:r>
      <w:r w:rsidR="00812047">
        <w:t xml:space="preserve">estimada </w:t>
      </w:r>
      <w:r>
        <w:t>est</w:t>
      </w:r>
      <w:r w:rsidR="00812047">
        <w:t>é</w:t>
      </w:r>
      <w:r>
        <w:t xml:space="preserve"> feliz, alegre y contenta, la alegría </w:t>
      </w:r>
      <w:r w:rsidR="009C00A3">
        <w:t xml:space="preserve">podrá </w:t>
      </w:r>
      <w:r>
        <w:t xml:space="preserve">despertarse así: “Este ser en verdad está contento. ¡Qué bueno, excelente!” Porque esto es a lo que se refiere el </w:t>
      </w:r>
      <w:proofErr w:type="spellStart"/>
      <w:r w:rsidRPr="000066BC">
        <w:rPr>
          <w:i/>
          <w:iCs/>
        </w:rPr>
        <w:t>Vibhaṅga</w:t>
      </w:r>
      <w:proofErr w:type="spellEnd"/>
      <w:r>
        <w:t xml:space="preserve">: “¿Y cómo </w:t>
      </w:r>
      <w:r w:rsidR="00CB312F">
        <w:t>habita</w:t>
      </w:r>
      <w:r>
        <w:t xml:space="preserve"> un </w:t>
      </w:r>
      <w:proofErr w:type="spellStart"/>
      <w:r w:rsidR="00057BF4" w:rsidRPr="00057BF4">
        <w:rPr>
          <w:i/>
          <w:iCs/>
        </w:rPr>
        <w:t>bhikkhu</w:t>
      </w:r>
      <w:proofErr w:type="spellEnd"/>
      <w:r>
        <w:t xml:space="preserve"> </w:t>
      </w:r>
      <w:r w:rsidR="00CB312F">
        <w:t xml:space="preserve">transmitiendo hacia </w:t>
      </w:r>
      <w:r>
        <w:t xml:space="preserve">una dirección su corazón </w:t>
      </w:r>
      <w:r w:rsidR="00CB312F">
        <w:t>colmado de alegría altruista</w:t>
      </w:r>
      <w:r>
        <w:t>?</w:t>
      </w:r>
    </w:p>
    <w:p w14:paraId="1B116BE9" w14:textId="77777777" w:rsidR="00D66F13" w:rsidRDefault="00D66F13" w:rsidP="00D66F13">
      <w:pPr>
        <w:pStyle w:val="Piedepgina"/>
        <w:rPr>
          <w:u w:val="single"/>
        </w:rPr>
      </w:pPr>
      <w:r>
        <w:rPr>
          <w:u w:val="single"/>
        </w:rPr>
        <w:t xml:space="preserve">                                                                                                                                                                          .</w:t>
      </w:r>
    </w:p>
    <w:p w14:paraId="68945A56" w14:textId="32E2539D" w:rsidR="00D66F13" w:rsidRDefault="00AB3F66" w:rsidP="00D66F13">
      <w:pPr>
        <w:pStyle w:val="PiedepginaLegal"/>
      </w:pPr>
      <w:r>
        <w:t xml:space="preserve">10. </w:t>
      </w:r>
      <w:r w:rsidR="00D66F13">
        <w:tab/>
      </w:r>
      <w:proofErr w:type="spellStart"/>
      <w:r w:rsidR="00057BF4" w:rsidRPr="00057BF4">
        <w:rPr>
          <w:i/>
          <w:iCs/>
        </w:rPr>
        <w:t>Muditā</w:t>
      </w:r>
      <w:proofErr w:type="spellEnd"/>
      <w:r>
        <w:t xml:space="preserve"> —</w:t>
      </w:r>
      <w:r w:rsidR="008203ED">
        <w:t xml:space="preserve"> </w:t>
      </w:r>
      <w:r>
        <w:t xml:space="preserve">“alegría” como </w:t>
      </w:r>
      <w:proofErr w:type="gramStart"/>
      <w:r>
        <w:t>una</w:t>
      </w:r>
      <w:proofErr w:type="gramEnd"/>
      <w:r>
        <w:t xml:space="preserve"> de l</w:t>
      </w:r>
      <w:r w:rsidR="00F54E42">
        <w:t>o</w:t>
      </w:r>
      <w:r>
        <w:t xml:space="preserve">s </w:t>
      </w:r>
      <w:r w:rsidR="00F54E42">
        <w:t>estados</w:t>
      </w:r>
      <w:r>
        <w:t xml:space="preserve"> divin</w:t>
      </w:r>
      <w:r w:rsidR="00F54E42">
        <w:t>o</w:t>
      </w:r>
      <w:r>
        <w:t xml:space="preserve">s </w:t>
      </w:r>
      <w:r w:rsidR="00F54E42">
        <w:t xml:space="preserve">será </w:t>
      </w:r>
      <w:r>
        <w:t xml:space="preserve">siempre en el sentido de </w:t>
      </w:r>
      <w:r w:rsidR="008203ED">
        <w:t xml:space="preserve">la </w:t>
      </w:r>
      <w:r>
        <w:t>alegría por el éxito de los demás. A veces se traduce como "gozo altruista" y "alegría compasiva".</w:t>
      </w:r>
    </w:p>
    <w:p w14:paraId="6C7635F2" w14:textId="77777777" w:rsidR="00D66F13" w:rsidRDefault="00D66F13">
      <w:pPr>
        <w:tabs>
          <w:tab w:val="clear" w:pos="425"/>
        </w:tabs>
        <w:spacing w:after="160"/>
      </w:pPr>
      <w:r>
        <w:br w:type="page"/>
      </w:r>
    </w:p>
    <w:p w14:paraId="3E5A2D2B" w14:textId="77777777" w:rsidR="00036EF4" w:rsidRDefault="00036EF4" w:rsidP="00D66F13"/>
    <w:p w14:paraId="79302F5E" w14:textId="0AEE9AA9" w:rsidR="00036EF4" w:rsidRDefault="00036EF4" w:rsidP="00036EF4">
      <w:r>
        <w:t xml:space="preserve">Así como se alegraría al ver a una persona </w:t>
      </w:r>
      <w:r w:rsidR="00CB312F">
        <w:t>estimada</w:t>
      </w:r>
      <w:r>
        <w:t xml:space="preserve"> y amada, así </w:t>
      </w:r>
      <w:r w:rsidR="00F54E42">
        <w:t xml:space="preserve">se </w:t>
      </w:r>
      <w:r>
        <w:t xml:space="preserve">llena de </w:t>
      </w:r>
      <w:r w:rsidRPr="00F54E42">
        <w:rPr>
          <w:i/>
          <w:iCs/>
        </w:rPr>
        <w:t xml:space="preserve">alegría </w:t>
      </w:r>
      <w:r w:rsidR="00F54E42" w:rsidRPr="00F54E42">
        <w:rPr>
          <w:i/>
          <w:iCs/>
        </w:rPr>
        <w:t>altruista</w:t>
      </w:r>
      <w:r w:rsidR="00F54E42">
        <w:t xml:space="preserve"> respecto hacia</w:t>
      </w:r>
      <w:r>
        <w:t xml:space="preserve"> todos los seres” (</w:t>
      </w:r>
      <w:proofErr w:type="spellStart"/>
      <w:r>
        <w:t>Vibh</w:t>
      </w:r>
      <w:proofErr w:type="spellEnd"/>
      <w:r>
        <w:t xml:space="preserve"> 274).</w:t>
      </w:r>
    </w:p>
    <w:p w14:paraId="489629A6" w14:textId="617EB8AC" w:rsidR="00036EF4" w:rsidRDefault="00036EF4" w:rsidP="00036EF4">
      <w:r>
        <w:t xml:space="preserve">86. </w:t>
      </w:r>
      <w:r w:rsidR="003F7926">
        <w:tab/>
      </w:r>
      <w:r>
        <w:t xml:space="preserve">Pero si su compañero benévolo o la persona amada </w:t>
      </w:r>
      <w:r w:rsidR="00F54E42">
        <w:t>habría sido</w:t>
      </w:r>
      <w:r>
        <w:t xml:space="preserve"> feliz en el pasado pero ahora </w:t>
      </w:r>
      <w:r w:rsidR="00F54E42">
        <w:t>tuviese</w:t>
      </w:r>
      <w:r>
        <w:t xml:space="preserve"> mala suerte y desgracia, entonces la </w:t>
      </w:r>
      <w:r w:rsidR="00F54E42" w:rsidRPr="00F54E42">
        <w:rPr>
          <w:i/>
          <w:iCs/>
        </w:rPr>
        <w:t>alegría altruista</w:t>
      </w:r>
      <w:r w:rsidR="00F54E42">
        <w:t xml:space="preserve"> </w:t>
      </w:r>
      <w:r>
        <w:t xml:space="preserve">todavía </w:t>
      </w:r>
      <w:r w:rsidR="00D41D90">
        <w:t>podría</w:t>
      </w:r>
      <w:r>
        <w:t xml:space="preserve"> despertarse </w:t>
      </w:r>
      <w:r w:rsidR="00F54E42">
        <w:t>evocando</w:t>
      </w:r>
      <w:r>
        <w:t xml:space="preserve"> su felicidad pasada y aprehendiendo el aspecto alegre de esta manera: “En el pasado tuvo gran riqueza, una gran cantidad de seguidores y siempre </w:t>
      </w:r>
      <w:r w:rsidR="00060FE5">
        <w:t xml:space="preserve">andaba </w:t>
      </w:r>
      <w:r>
        <w:t xml:space="preserve">contento”. O se </w:t>
      </w:r>
      <w:r w:rsidR="00F54E42">
        <w:t>podría</w:t>
      </w:r>
      <w:r>
        <w:t xml:space="preserve"> despertar la </w:t>
      </w:r>
      <w:r w:rsidR="00F54E42" w:rsidRPr="00F54E42">
        <w:rPr>
          <w:i/>
          <w:iCs/>
        </w:rPr>
        <w:t>alegría altruista</w:t>
      </w:r>
      <w:r w:rsidR="00F54E42">
        <w:t xml:space="preserve"> </w:t>
      </w:r>
      <w:r>
        <w:t xml:space="preserve">aprehendiendo el aspecto </w:t>
      </w:r>
      <w:r w:rsidR="00F54E42">
        <w:t>optimista</w:t>
      </w:r>
      <w:r>
        <w:t xml:space="preserve"> </w:t>
      </w:r>
      <w:r w:rsidR="00F54E42">
        <w:t xml:space="preserve">del futuro </w:t>
      </w:r>
      <w:r>
        <w:t>en él de esta manera: “En el futuro volverá a disfrutar de un éxito similar y andará en palanquines de oro, a lomos de elefantes o a caballo, y así sucesivamente”.</w:t>
      </w:r>
    </w:p>
    <w:p w14:paraId="43C8B2ED" w14:textId="18E9BACA" w:rsidR="00036EF4" w:rsidRDefault="00036EF4" w:rsidP="003F7926">
      <w:pPr>
        <w:pStyle w:val="NormalConSangria"/>
      </w:pPr>
      <w:r>
        <w:t xml:space="preserve">Habiendo despertado así la </w:t>
      </w:r>
      <w:r w:rsidR="00F54E42" w:rsidRPr="00F54E42">
        <w:rPr>
          <w:i/>
          <w:iCs/>
        </w:rPr>
        <w:t>alegría altruista</w:t>
      </w:r>
      <w:r w:rsidR="00F54E42">
        <w:t xml:space="preserve"> </w:t>
      </w:r>
      <w:r>
        <w:t xml:space="preserve">con respecto a una persona </w:t>
      </w:r>
      <w:r w:rsidR="00060FE5">
        <w:t>estimada</w:t>
      </w:r>
      <w:r>
        <w:t xml:space="preserve">, </w:t>
      </w:r>
      <w:r w:rsidR="00060FE5">
        <w:t>podrá</w:t>
      </w:r>
      <w:r>
        <w:t xml:space="preserve"> entonces </w:t>
      </w:r>
      <w:r w:rsidR="00060FE5">
        <w:t xml:space="preserve">transmitirla </w:t>
      </w:r>
      <w:r>
        <w:t>sucesivamente hacia una neutra, y luego hacia una hostil.</w:t>
      </w:r>
    </w:p>
    <w:p w14:paraId="0584FDFA" w14:textId="4CD51C98" w:rsidR="00036EF4" w:rsidRDefault="00036EF4" w:rsidP="00036EF4">
      <w:r>
        <w:t xml:space="preserve">87. </w:t>
      </w:r>
      <w:r w:rsidR="003F7926">
        <w:tab/>
      </w:r>
      <w:r>
        <w:t xml:space="preserve">Pero si el resentimiento hacia el </w:t>
      </w:r>
      <w:r w:rsidR="00060FE5">
        <w:t xml:space="preserve">ser </w:t>
      </w:r>
      <w:r>
        <w:t>hostil surg</w:t>
      </w:r>
      <w:r w:rsidR="00060FE5">
        <w:t>iese</w:t>
      </w:r>
      <w:r>
        <w:t xml:space="preserve"> en él de la manera descrita, debe</w:t>
      </w:r>
      <w:r w:rsidR="00060FE5">
        <w:t>rá</w:t>
      </w:r>
      <w:r>
        <w:t xml:space="preserve"> hacer que se calme de la misma </w:t>
      </w:r>
      <w:r w:rsidR="00F54E42">
        <w:t>forma</w:t>
      </w:r>
      <w:r>
        <w:t xml:space="preserve"> </w:t>
      </w:r>
      <w:r w:rsidR="00060FE5">
        <w:t xml:space="preserve">como </w:t>
      </w:r>
      <w:r>
        <w:t xml:space="preserve">se describe en </w:t>
      </w:r>
      <w:r w:rsidR="00F54E42">
        <w:t xml:space="preserve">la sección de la transmisión del </w:t>
      </w:r>
      <w:r w:rsidR="00AC5DDE" w:rsidRPr="0082231D">
        <w:rPr>
          <w:i/>
          <w:iCs/>
        </w:rPr>
        <w:t>amor–benevolente</w:t>
      </w:r>
      <w:r w:rsidR="00F54E42">
        <w:rPr>
          <w:i/>
          <w:iCs/>
        </w:rPr>
        <w:t xml:space="preserve"> </w:t>
      </w:r>
      <w:r>
        <w:t>(§§14-39).</w:t>
      </w:r>
    </w:p>
    <w:p w14:paraId="5A10050F" w14:textId="540A11ED" w:rsidR="00036EF4" w:rsidRDefault="00036EF4" w:rsidP="003F7926">
      <w:pPr>
        <w:pStyle w:val="NormalConSangria"/>
      </w:pPr>
      <w:r>
        <w:t>Debe</w:t>
      </w:r>
      <w:r w:rsidR="00C46BF0">
        <w:t>rá</w:t>
      </w:r>
      <w:r>
        <w:t xml:space="preserve"> romper las barreras mediante la imparcialidad mental hacia los cuatro</w:t>
      </w:r>
      <w:r w:rsidR="00C46BF0">
        <w:t xml:space="preserve"> tipos de seres</w:t>
      </w:r>
      <w:r>
        <w:t>, es decir, hacia estos tres y hacia sí mismo. Y cultivando ese signo, desarrollándolo y practicándolo repetidamente, debe</w:t>
      </w:r>
      <w:r w:rsidR="00C46BF0">
        <w:t>rá</w:t>
      </w:r>
      <w:r>
        <w:t xml:space="preserve"> </w:t>
      </w:r>
      <w:r w:rsidR="00C46BF0">
        <w:t xml:space="preserve">incrementar </w:t>
      </w:r>
      <w:r>
        <w:t xml:space="preserve">la absorción </w:t>
      </w:r>
      <w:r w:rsidR="005E18FB">
        <w:t>hasta</w:t>
      </w:r>
      <w:r w:rsidR="009E089A">
        <w:t xml:space="preserve"> </w:t>
      </w:r>
      <w:r w:rsidR="00F54E42">
        <w:t xml:space="preserve">los tres y cuatro </w:t>
      </w:r>
      <w:proofErr w:type="spellStart"/>
      <w:r w:rsidR="00057BF4" w:rsidRPr="00057BF4">
        <w:rPr>
          <w:i/>
          <w:iCs/>
        </w:rPr>
        <w:t>jhāna</w:t>
      </w:r>
      <w:r w:rsidR="00F54E42">
        <w:rPr>
          <w:i/>
          <w:iCs/>
        </w:rPr>
        <w:t>a</w:t>
      </w:r>
      <w:proofErr w:type="spellEnd"/>
      <w:r>
        <w:t xml:space="preserve"> de la manera ya establecida en </w:t>
      </w:r>
      <w:r w:rsidR="009E089A">
        <w:t xml:space="preserve">la transmisión de </w:t>
      </w:r>
      <w:r w:rsidR="00AC5DDE" w:rsidRPr="0082231D">
        <w:rPr>
          <w:i/>
          <w:iCs/>
        </w:rPr>
        <w:t>amor–benevolente</w:t>
      </w:r>
      <w:r>
        <w:t>.</w:t>
      </w:r>
    </w:p>
    <w:p w14:paraId="339EF4DB" w14:textId="78C55F17" w:rsidR="00036EF4" w:rsidRDefault="00036EF4" w:rsidP="003F7926">
      <w:pPr>
        <w:pStyle w:val="NormalConSangria"/>
      </w:pPr>
      <w:r>
        <w:t xml:space="preserve">A continuación, la versatilidad que </w:t>
      </w:r>
      <w:proofErr w:type="gramStart"/>
      <w:r>
        <w:t>consist</w:t>
      </w:r>
      <w:r w:rsidR="00F54E42">
        <w:t>a</w:t>
      </w:r>
      <w:r>
        <w:t xml:space="preserve"> </w:t>
      </w:r>
      <w:r w:rsidR="00F54E42">
        <w:t>de</w:t>
      </w:r>
      <w:proofErr w:type="gramEnd"/>
      <w:r>
        <w:t xml:space="preserve"> la </w:t>
      </w:r>
      <w:r w:rsidR="00F54E42">
        <w:t xml:space="preserve">transmisión </w:t>
      </w:r>
      <w:r>
        <w:t xml:space="preserve">no </w:t>
      </w:r>
      <w:r w:rsidR="00F54E42">
        <w:t xml:space="preserve">específica </w:t>
      </w:r>
      <w:r>
        <w:t xml:space="preserve">en </w:t>
      </w:r>
      <w:r w:rsidR="00F54E42">
        <w:t>5</w:t>
      </w:r>
      <w:r>
        <w:t xml:space="preserve"> formas, la </w:t>
      </w:r>
      <w:r w:rsidR="00F54E42">
        <w:t xml:space="preserve">transmisión específica </w:t>
      </w:r>
      <w:r>
        <w:t xml:space="preserve">en </w:t>
      </w:r>
      <w:r w:rsidR="00F54E42">
        <w:t>7</w:t>
      </w:r>
      <w:r>
        <w:t xml:space="preserve"> formas y la </w:t>
      </w:r>
      <w:r w:rsidR="00F54E42">
        <w:t xml:space="preserve">transmisión </w:t>
      </w:r>
      <w:r>
        <w:t xml:space="preserve">direccional en </w:t>
      </w:r>
      <w:r w:rsidR="00F54E42">
        <w:t>10</w:t>
      </w:r>
      <w:r>
        <w:t xml:space="preserve"> formas, y también las ventajas descritas como "Él duerme cómodamente", etc., debe</w:t>
      </w:r>
      <w:r w:rsidR="00F54E42">
        <w:t>rá</w:t>
      </w:r>
      <w:r>
        <w:t xml:space="preserve">n entenderse de la misma manera que se indica bajo </w:t>
      </w:r>
      <w:r w:rsidR="00F54E42">
        <w:t xml:space="preserve">la sección de la transmisión del </w:t>
      </w:r>
      <w:r w:rsidR="00AC5DDE" w:rsidRPr="0082231D">
        <w:rPr>
          <w:i/>
          <w:iCs/>
        </w:rPr>
        <w:t>amor–benevolente</w:t>
      </w:r>
      <w:r>
        <w:t>.</w:t>
      </w:r>
    </w:p>
    <w:p w14:paraId="2C91758F" w14:textId="4139BB47" w:rsidR="00036EF4" w:rsidRDefault="00F54E42" w:rsidP="003F7926">
      <w:pPr>
        <w:pStyle w:val="NormalConSangria"/>
      </w:pPr>
      <w:r>
        <w:t>É</w:t>
      </w:r>
      <w:r w:rsidR="00036EF4">
        <w:t xml:space="preserve">sta es la explicación detallada del desarrollo de la </w:t>
      </w:r>
      <w:r>
        <w:rPr>
          <w:i/>
          <w:iCs/>
        </w:rPr>
        <w:t>alegría altruista</w:t>
      </w:r>
      <w:r w:rsidR="00036EF4">
        <w:t>.</w:t>
      </w:r>
      <w:r w:rsidR="00E31FFE">
        <w:t xml:space="preserve"> </w:t>
      </w:r>
      <w:r w:rsidR="00036EF4">
        <w:t>[317]</w:t>
      </w:r>
    </w:p>
    <w:p w14:paraId="6357CBC9" w14:textId="41E14383" w:rsidR="00036EF4" w:rsidRDefault="00036EF4" w:rsidP="00036EF4">
      <w:pPr>
        <w:pStyle w:val="Ttulo3"/>
        <w:ind w:left="708"/>
      </w:pPr>
      <w:r>
        <w:t>[(4) Ecuanimidad]</w:t>
      </w:r>
    </w:p>
    <w:p w14:paraId="3A31B9E2" w14:textId="2AB37509" w:rsidR="00036EF4" w:rsidRDefault="00036EF4" w:rsidP="00036EF4">
      <w:r>
        <w:t xml:space="preserve">88. </w:t>
      </w:r>
      <w:r w:rsidR="003F7926">
        <w:tab/>
      </w:r>
      <w:r>
        <w:t xml:space="preserve">Quien quiera desarrollar la </w:t>
      </w:r>
      <w:r w:rsidR="00E31FFE">
        <w:t xml:space="preserve">transmisión </w:t>
      </w:r>
      <w:r w:rsidR="00C1429A">
        <w:t xml:space="preserve">de </w:t>
      </w:r>
      <w:r w:rsidR="00EC3E83">
        <w:t xml:space="preserve">la </w:t>
      </w:r>
      <w:r w:rsidRPr="00C1429A">
        <w:rPr>
          <w:i/>
          <w:iCs/>
        </w:rPr>
        <w:t>ecuanimidad</w:t>
      </w:r>
      <w:r>
        <w:t xml:space="preserve"> debe</w:t>
      </w:r>
      <w:r w:rsidR="00F54E42">
        <w:t>rá</w:t>
      </w:r>
      <w:r>
        <w:t xml:space="preserve"> haber </w:t>
      </w:r>
      <w:r w:rsidR="00F54E42">
        <w:t xml:space="preserve">desarrollado </w:t>
      </w:r>
      <w:r>
        <w:t xml:space="preserve">ya </w:t>
      </w:r>
      <w:r w:rsidR="00F54E42">
        <w:t xml:space="preserve">los </w:t>
      </w:r>
      <w:r w:rsidR="00EC3E83">
        <w:t>3</w:t>
      </w:r>
      <w:r w:rsidR="00F54E42">
        <w:t xml:space="preserve"> y </w:t>
      </w:r>
      <w:r w:rsidR="00EC3E83">
        <w:t>4</w:t>
      </w:r>
      <w:r w:rsidR="00F54E42">
        <w:t xml:space="preserve"> </w:t>
      </w:r>
      <w:proofErr w:type="spellStart"/>
      <w:r w:rsidR="00057BF4" w:rsidRPr="00057BF4">
        <w:rPr>
          <w:i/>
          <w:iCs/>
        </w:rPr>
        <w:t>jhāna</w:t>
      </w:r>
      <w:r w:rsidR="00F54E42">
        <w:t>s</w:t>
      </w:r>
      <w:proofErr w:type="spellEnd"/>
      <w:r>
        <w:t xml:space="preserve"> en </w:t>
      </w:r>
      <w:r w:rsidR="00C1429A">
        <w:t xml:space="preserve">la transmisión del </w:t>
      </w:r>
      <w:r w:rsidR="00AC5DDE" w:rsidRPr="0082231D">
        <w:rPr>
          <w:i/>
          <w:iCs/>
        </w:rPr>
        <w:t>amor–benevolente</w:t>
      </w:r>
      <w:r>
        <w:t>, y así sucesivamente. Deber</w:t>
      </w:r>
      <w:r w:rsidR="00C1429A">
        <w:t>á</w:t>
      </w:r>
      <w:r>
        <w:t xml:space="preserve"> emerger del tercer </w:t>
      </w:r>
      <w:proofErr w:type="spellStart"/>
      <w:r w:rsidR="00057BF4" w:rsidRPr="00057BF4">
        <w:rPr>
          <w:i/>
          <w:iCs/>
        </w:rPr>
        <w:t>jhāna</w:t>
      </w:r>
      <w:proofErr w:type="spellEnd"/>
      <w:r>
        <w:t xml:space="preserve"> [en el cómputo cuádruple], después de haberlo hecho familiar, y deber</w:t>
      </w:r>
      <w:r w:rsidR="00C1429A">
        <w:t>á</w:t>
      </w:r>
      <w:r>
        <w:t xml:space="preserve"> </w:t>
      </w:r>
      <w:r w:rsidR="00EC3E83">
        <w:t xml:space="preserve">observar el </w:t>
      </w:r>
      <w:r>
        <w:t xml:space="preserve">peligro en el primer </w:t>
      </w:r>
      <w:r w:rsidR="00F54E42">
        <w:t xml:space="preserve">estado </w:t>
      </w:r>
      <w:r>
        <w:t>[</w:t>
      </w:r>
      <w:r w:rsidR="00791C63">
        <w:t xml:space="preserve">de los </w:t>
      </w:r>
      <w:r w:rsidR="00EC3E83">
        <w:t xml:space="preserve">3 </w:t>
      </w:r>
      <w:r w:rsidR="00B16A4B">
        <w:t xml:space="preserve">estados </w:t>
      </w:r>
      <w:r>
        <w:t>divin</w:t>
      </w:r>
      <w:r w:rsidR="00B16A4B">
        <w:t>o</w:t>
      </w:r>
      <w:r>
        <w:t xml:space="preserve">s] </w:t>
      </w:r>
      <w:r w:rsidR="00B16A4B">
        <w:t xml:space="preserve">ya </w:t>
      </w:r>
      <w:r>
        <w:t>que est</w:t>
      </w:r>
      <w:r w:rsidR="00EC3E83">
        <w:t>ar</w:t>
      </w:r>
      <w:r>
        <w:t xml:space="preserve">án vinculados con la atención </w:t>
      </w:r>
      <w:r w:rsidR="00F54E42">
        <w:t>orientada</w:t>
      </w:r>
      <w:r>
        <w:t xml:space="preserve"> </w:t>
      </w:r>
      <w:r w:rsidR="00F54E42">
        <w:t xml:space="preserve">hacia </w:t>
      </w:r>
      <w:r>
        <w:t>l</w:t>
      </w:r>
      <w:r w:rsidR="00980BE8">
        <w:t>a</w:t>
      </w:r>
      <w:r>
        <w:t xml:space="preserve"> </w:t>
      </w:r>
      <w:r w:rsidR="00980BE8">
        <w:t xml:space="preserve">dicha </w:t>
      </w:r>
      <w:r>
        <w:t xml:space="preserve">de los seres </w:t>
      </w:r>
      <w:r w:rsidR="00F54E42">
        <w:t>mediante</w:t>
      </w:r>
      <w:r>
        <w:t xml:space="preserve"> el </w:t>
      </w:r>
      <w:r w:rsidR="00980BE8">
        <w:t xml:space="preserve">pasaje </w:t>
      </w:r>
      <w:r>
        <w:t>que comienza “</w:t>
      </w:r>
      <w:r w:rsidR="00EC3E83">
        <w:t>¡</w:t>
      </w:r>
      <w:r>
        <w:t>Qu</w:t>
      </w:r>
      <w:r w:rsidR="00980BE8">
        <w:t>é</w:t>
      </w:r>
      <w:r>
        <w:t xml:space="preserve"> sean felices</w:t>
      </w:r>
      <w:r w:rsidR="00EC3E83">
        <w:t>!</w:t>
      </w:r>
      <w:r>
        <w:t xml:space="preserve">”, porque el resentimiento y la aprobación </w:t>
      </w:r>
      <w:r w:rsidR="00EC3E83">
        <w:t xml:space="preserve">se encontrarán </w:t>
      </w:r>
      <w:r>
        <w:t>cerca</w:t>
      </w:r>
      <w:r w:rsidR="00EC3E83">
        <w:t>nos</w:t>
      </w:r>
      <w:r>
        <w:t xml:space="preserve">, y porque su asociación con el gozo </w:t>
      </w:r>
      <w:r w:rsidR="00980BE8">
        <w:t xml:space="preserve">será </w:t>
      </w:r>
      <w:r w:rsidR="00D70FDB">
        <w:t>densa</w:t>
      </w:r>
      <w:r>
        <w:t>. Y también deber</w:t>
      </w:r>
      <w:r w:rsidR="00D70FDB">
        <w:t>á</w:t>
      </w:r>
      <w:r>
        <w:t xml:space="preserve"> </w:t>
      </w:r>
      <w:r w:rsidR="00EC3E83">
        <w:t xml:space="preserve">observar </w:t>
      </w:r>
      <w:r>
        <w:t xml:space="preserve">la ventaja en la </w:t>
      </w:r>
      <w:r w:rsidRPr="00D70FDB">
        <w:rPr>
          <w:i/>
          <w:iCs/>
        </w:rPr>
        <w:t>ecuanimidad</w:t>
      </w:r>
      <w:r>
        <w:t xml:space="preserve"> </w:t>
      </w:r>
      <w:r w:rsidR="00D70FDB">
        <w:t xml:space="preserve">ya </w:t>
      </w:r>
      <w:r>
        <w:t xml:space="preserve">que </w:t>
      </w:r>
      <w:r w:rsidR="00D70FDB">
        <w:t xml:space="preserve">ésta </w:t>
      </w:r>
      <w:r w:rsidR="00EC3E83">
        <w:t xml:space="preserve">será </w:t>
      </w:r>
      <w:r w:rsidR="00D70FDB">
        <w:t>apacible</w:t>
      </w:r>
      <w:r>
        <w:t>. Luego debe</w:t>
      </w:r>
      <w:r w:rsidR="00D70FDB">
        <w:t>rá</w:t>
      </w:r>
      <w:r>
        <w:t xml:space="preserve"> </w:t>
      </w:r>
      <w:r w:rsidR="00FA6132">
        <w:t xml:space="preserve">transmitir </w:t>
      </w:r>
      <w:r w:rsidRPr="00FA6132">
        <w:rPr>
          <w:i/>
          <w:iCs/>
        </w:rPr>
        <w:t>ecuanimidad</w:t>
      </w:r>
      <w:r>
        <w:t xml:space="preserve"> (</w:t>
      </w:r>
      <w:r w:rsidR="00057BF4" w:rsidRPr="00057BF4">
        <w:rPr>
          <w:i/>
          <w:iCs/>
        </w:rPr>
        <w:t>upekkhā</w:t>
      </w:r>
      <w:r>
        <w:t xml:space="preserve">) </w:t>
      </w:r>
      <w:r w:rsidR="00FA6132">
        <w:t>observa</w:t>
      </w:r>
      <w:r w:rsidR="003478D9">
        <w:t xml:space="preserve">ndo </w:t>
      </w:r>
      <w:r>
        <w:t>con ecuanimidad (</w:t>
      </w:r>
      <w:proofErr w:type="spellStart"/>
      <w:r w:rsidRPr="000066BC">
        <w:rPr>
          <w:i/>
          <w:iCs/>
        </w:rPr>
        <w:t>ajjhupekkhitvā</w:t>
      </w:r>
      <w:proofErr w:type="spellEnd"/>
      <w:r>
        <w:t xml:space="preserve">) a una persona que normalmente </w:t>
      </w:r>
      <w:r w:rsidR="003478D9">
        <w:t>sea</w:t>
      </w:r>
      <w:r>
        <w:t xml:space="preserve"> neutral; después de e</w:t>
      </w:r>
      <w:r w:rsidR="003478D9">
        <w:t>ll</w:t>
      </w:r>
      <w:r>
        <w:t xml:space="preserve">o </w:t>
      </w:r>
      <w:r w:rsidR="003478D9">
        <w:t>hacia</w:t>
      </w:r>
      <w:r>
        <w:t xml:space="preserve"> una persona </w:t>
      </w:r>
      <w:r w:rsidR="003478D9">
        <w:t>estimada</w:t>
      </w:r>
      <w:r>
        <w:t xml:space="preserve">, y </w:t>
      </w:r>
      <w:r w:rsidR="0096556F">
        <w:t xml:space="preserve">luego </w:t>
      </w:r>
      <w:r w:rsidR="00F54E42">
        <w:t xml:space="preserve">hacia </w:t>
      </w:r>
      <w:r w:rsidR="0096556F">
        <w:t>las restantes</w:t>
      </w:r>
      <w:r>
        <w:t xml:space="preserve">. Porque esto </w:t>
      </w:r>
      <w:r w:rsidR="0096556F">
        <w:t>es</w:t>
      </w:r>
      <w:r>
        <w:t xml:space="preserve"> </w:t>
      </w:r>
      <w:r w:rsidR="0096556F">
        <w:t>mencionado</w:t>
      </w:r>
      <w:r w:rsidR="00EC3E83">
        <w:t xml:space="preserve"> en los textos</w:t>
      </w:r>
      <w:r>
        <w:t xml:space="preserve">: “¿Y cómo </w:t>
      </w:r>
      <w:r w:rsidR="0096556F">
        <w:t xml:space="preserve">habita </w:t>
      </w:r>
      <w:r>
        <w:t xml:space="preserve">un </w:t>
      </w:r>
      <w:proofErr w:type="spellStart"/>
      <w:r w:rsidR="00057BF4" w:rsidRPr="00057BF4">
        <w:rPr>
          <w:i/>
          <w:iCs/>
        </w:rPr>
        <w:t>bhikkhu</w:t>
      </w:r>
      <w:proofErr w:type="spellEnd"/>
      <w:r>
        <w:t xml:space="preserve"> </w:t>
      </w:r>
      <w:r w:rsidR="0096556F">
        <w:t xml:space="preserve">transmitiendo hacia </w:t>
      </w:r>
      <w:r>
        <w:t xml:space="preserve">una dirección su corazón dotado de </w:t>
      </w:r>
      <w:r w:rsidRPr="0096556F">
        <w:rPr>
          <w:i/>
          <w:iCs/>
        </w:rPr>
        <w:t>ecuanimidad</w:t>
      </w:r>
      <w:r>
        <w:t xml:space="preserve">? Así como sentiría </w:t>
      </w:r>
      <w:r w:rsidRPr="0096556F">
        <w:rPr>
          <w:i/>
          <w:iCs/>
        </w:rPr>
        <w:t>ecuanimidad</w:t>
      </w:r>
      <w:r>
        <w:t xml:space="preserve"> al ver a una persona que no es ni</w:t>
      </w:r>
      <w:r w:rsidR="00293297">
        <w:t>-</w:t>
      </w:r>
      <w:r>
        <w:t>amada ni</w:t>
      </w:r>
      <w:r w:rsidR="00293297">
        <w:t>-</w:t>
      </w:r>
      <w:r>
        <w:t>no</w:t>
      </w:r>
      <w:r w:rsidR="00293297">
        <w:t>-</w:t>
      </w:r>
      <w:r>
        <w:t xml:space="preserve">amada, así </w:t>
      </w:r>
      <w:r w:rsidR="00293297">
        <w:t xml:space="preserve">transmite </w:t>
      </w:r>
      <w:r w:rsidR="00293297" w:rsidRPr="00293297">
        <w:rPr>
          <w:i/>
          <w:iCs/>
        </w:rPr>
        <w:t>ecuanimidad</w:t>
      </w:r>
      <w:r w:rsidR="00293297" w:rsidRPr="00293297">
        <w:t xml:space="preserve"> </w:t>
      </w:r>
      <w:r w:rsidR="00293297">
        <w:t>hacia</w:t>
      </w:r>
      <w:r>
        <w:t xml:space="preserve"> todos los seres” (</w:t>
      </w:r>
      <w:proofErr w:type="spellStart"/>
      <w:r>
        <w:t>Vibh</w:t>
      </w:r>
      <w:proofErr w:type="spellEnd"/>
      <w:r>
        <w:t xml:space="preserve"> 275).</w:t>
      </w:r>
    </w:p>
    <w:p w14:paraId="5245ACD1" w14:textId="39192A12" w:rsidR="003F7926" w:rsidRDefault="00036EF4" w:rsidP="00036EF4">
      <w:r>
        <w:t xml:space="preserve">89. </w:t>
      </w:r>
      <w:r w:rsidR="003F7926">
        <w:tab/>
      </w:r>
      <w:r>
        <w:t>Por lo tanto, debe</w:t>
      </w:r>
      <w:r w:rsidR="00293297">
        <w:t>rá</w:t>
      </w:r>
      <w:r>
        <w:t xml:space="preserve"> </w:t>
      </w:r>
      <w:r w:rsidR="00293297">
        <w:t xml:space="preserve">hacer surgir </w:t>
      </w:r>
      <w:r w:rsidRPr="00293297">
        <w:rPr>
          <w:i/>
          <w:iCs/>
        </w:rPr>
        <w:t>ecuanimidad</w:t>
      </w:r>
      <w:r>
        <w:t xml:space="preserve"> hacia la persona neutra en la forma ya expuesta. Luego, </w:t>
      </w:r>
      <w:r w:rsidR="008C4A72">
        <w:t xml:space="preserve">hacia </w:t>
      </w:r>
      <w:r>
        <w:t>l</w:t>
      </w:r>
      <w:r w:rsidR="00293297">
        <w:t>a</w:t>
      </w:r>
      <w:r>
        <w:t xml:space="preserve"> neutra, debe</w:t>
      </w:r>
      <w:r w:rsidR="00293297">
        <w:t>rá</w:t>
      </w:r>
      <w:r>
        <w:t xml:space="preserve"> romper las barreras en cada caso </w:t>
      </w:r>
      <w:r w:rsidR="00591FC9">
        <w:t>hacia</w:t>
      </w:r>
      <w:r>
        <w:t xml:space="preserve"> las tres personas</w:t>
      </w:r>
      <w:r w:rsidR="00F20E57">
        <w:t xml:space="preserve"> restantes</w:t>
      </w:r>
      <w:r>
        <w:t xml:space="preserve">, es decir, </w:t>
      </w:r>
      <w:r w:rsidR="00591FC9">
        <w:t xml:space="preserve">hacia </w:t>
      </w:r>
      <w:r>
        <w:t xml:space="preserve">la persona </w:t>
      </w:r>
      <w:r w:rsidR="00F20E57">
        <w:t>neutra</w:t>
      </w:r>
      <w:r>
        <w:t xml:space="preserve">, luego </w:t>
      </w:r>
      <w:r w:rsidR="00591FC9">
        <w:t xml:space="preserve">hacia </w:t>
      </w:r>
      <w:r>
        <w:t xml:space="preserve">el compañero de ayuda y luego </w:t>
      </w:r>
      <w:r w:rsidR="00591FC9">
        <w:t xml:space="preserve">hacia </w:t>
      </w:r>
    </w:p>
    <w:p w14:paraId="67CBBEE7" w14:textId="77777777" w:rsidR="003F7926" w:rsidRDefault="003F7926">
      <w:pPr>
        <w:tabs>
          <w:tab w:val="clear" w:pos="425"/>
        </w:tabs>
        <w:spacing w:after="160"/>
      </w:pPr>
      <w:r>
        <w:br w:type="page"/>
      </w:r>
    </w:p>
    <w:p w14:paraId="21109444" w14:textId="77777777" w:rsidR="0098489E" w:rsidRDefault="0098489E" w:rsidP="00A33B27"/>
    <w:p w14:paraId="4A66969A" w14:textId="22152A9D" w:rsidR="00A33B27" w:rsidRDefault="00591FC9" w:rsidP="00A33B27">
      <w:r>
        <w:t xml:space="preserve">la persona hostil, </w:t>
      </w:r>
      <w:r w:rsidR="00A33B27">
        <w:t xml:space="preserve">y por último </w:t>
      </w:r>
      <w:r w:rsidR="00972486">
        <w:t xml:space="preserve">hacia </w:t>
      </w:r>
      <w:r w:rsidR="00A33B27">
        <w:t>él mismo. Y debe</w:t>
      </w:r>
      <w:r w:rsidR="00972486">
        <w:t>rá</w:t>
      </w:r>
      <w:r w:rsidR="00A33B27">
        <w:t xml:space="preserve"> cultivar ese signo, desarrollarlo y practicarlo repetidamente.</w:t>
      </w:r>
    </w:p>
    <w:p w14:paraId="5CAC7CDE" w14:textId="4B60A1EE" w:rsidR="00A33B27" w:rsidRDefault="00A33B27" w:rsidP="00A33B27">
      <w:r>
        <w:t xml:space="preserve">90. </w:t>
      </w:r>
      <w:r w:rsidR="00144A1B">
        <w:tab/>
      </w:r>
      <w:r>
        <w:t>Mientras lo ha</w:t>
      </w:r>
      <w:r w:rsidR="00972486">
        <w:t>ga</w:t>
      </w:r>
      <w:r>
        <w:t xml:space="preserve">, el cuarto </w:t>
      </w:r>
      <w:proofErr w:type="spellStart"/>
      <w:r w:rsidR="00057BF4" w:rsidRPr="00057BF4">
        <w:rPr>
          <w:i/>
          <w:iCs/>
        </w:rPr>
        <w:t>jhāna</w:t>
      </w:r>
      <w:proofErr w:type="spellEnd"/>
      <w:r>
        <w:t xml:space="preserve"> surg</w:t>
      </w:r>
      <w:r w:rsidR="00972486">
        <w:t>irá</w:t>
      </w:r>
      <w:r>
        <w:t xml:space="preserve"> en él de la manera descrita bajo la </w:t>
      </w:r>
      <w:r w:rsidR="00972486">
        <w:t xml:space="preserve">sección del </w:t>
      </w:r>
      <w:proofErr w:type="spellStart"/>
      <w:r w:rsidR="00057BF4" w:rsidRPr="00057BF4">
        <w:rPr>
          <w:i/>
          <w:iCs/>
        </w:rPr>
        <w:t>kasiṇa</w:t>
      </w:r>
      <w:proofErr w:type="spellEnd"/>
      <w:r w:rsidR="00972486" w:rsidRPr="00972486">
        <w:t xml:space="preserve"> </w:t>
      </w:r>
      <w:r w:rsidR="00972486">
        <w:t>tierra</w:t>
      </w:r>
      <w:r>
        <w:t>.</w:t>
      </w:r>
    </w:p>
    <w:p w14:paraId="603F3234" w14:textId="46A335DB" w:rsidR="00A33B27" w:rsidRDefault="00A33B27" w:rsidP="00144A1B">
      <w:pPr>
        <w:pStyle w:val="NormalConSangria"/>
      </w:pPr>
      <w:r>
        <w:t>Pero ¿cómo entonces</w:t>
      </w:r>
      <w:r w:rsidR="00E76C82">
        <w:t xml:space="preserve"> surgirá</w:t>
      </w:r>
      <w:r>
        <w:t>? ¿Surg</w:t>
      </w:r>
      <w:r w:rsidR="00E76C82">
        <w:t>irá</w:t>
      </w:r>
      <w:r>
        <w:t xml:space="preserve"> esto en alguien en quien ya ha</w:t>
      </w:r>
      <w:r w:rsidR="00972486">
        <w:t>ya</w:t>
      </w:r>
      <w:r>
        <w:t xml:space="preserve"> surgido el tercer </w:t>
      </w:r>
      <w:proofErr w:type="spellStart"/>
      <w:r w:rsidR="00057BF4" w:rsidRPr="00057BF4">
        <w:rPr>
          <w:i/>
          <w:iCs/>
        </w:rPr>
        <w:t>jhāna</w:t>
      </w:r>
      <w:proofErr w:type="spellEnd"/>
      <w:r>
        <w:t xml:space="preserve"> sobre la base del </w:t>
      </w:r>
      <w:proofErr w:type="spellStart"/>
      <w:r w:rsidR="00057BF4" w:rsidRPr="00057BF4">
        <w:rPr>
          <w:i/>
          <w:iCs/>
        </w:rPr>
        <w:t>kasiṇa</w:t>
      </w:r>
      <w:proofErr w:type="spellEnd"/>
      <w:r>
        <w:t xml:space="preserve"> tierra, etc.? No es </w:t>
      </w:r>
      <w:r w:rsidR="00972486">
        <w:t>así</w:t>
      </w:r>
      <w:r>
        <w:t>. ¿</w:t>
      </w:r>
      <w:proofErr w:type="spellStart"/>
      <w:r>
        <w:t>Por que</w:t>
      </w:r>
      <w:proofErr w:type="spellEnd"/>
      <w:r>
        <w:t xml:space="preserve"> no? Por la disimilitud del objeto. Surg</w:t>
      </w:r>
      <w:r w:rsidR="00AC6FF1">
        <w:t>irá</w:t>
      </w:r>
      <w:r>
        <w:t xml:space="preserve"> solo en alguien en quien el tercer </w:t>
      </w:r>
      <w:proofErr w:type="spellStart"/>
      <w:r w:rsidR="00057BF4" w:rsidRPr="00057BF4">
        <w:rPr>
          <w:i/>
          <w:iCs/>
        </w:rPr>
        <w:t>jhāna</w:t>
      </w:r>
      <w:proofErr w:type="spellEnd"/>
      <w:r>
        <w:t xml:space="preserve"> ha</w:t>
      </w:r>
      <w:r w:rsidR="00AC6FF1">
        <w:t>ya</w:t>
      </w:r>
      <w:r>
        <w:t xml:space="preserve"> surgido sobre la base de la </w:t>
      </w:r>
      <w:r w:rsidR="00E76C82">
        <w:t xml:space="preserve">transmisión de </w:t>
      </w:r>
      <w:r w:rsidR="00AC5DDE" w:rsidRPr="0082231D">
        <w:rPr>
          <w:i/>
          <w:iCs/>
        </w:rPr>
        <w:t>amor–benevolente</w:t>
      </w:r>
      <w:r>
        <w:t xml:space="preserve">, etc., porque el objeto </w:t>
      </w:r>
      <w:r w:rsidR="00AC6FF1">
        <w:t xml:space="preserve">en este caso </w:t>
      </w:r>
      <w:r w:rsidR="00E76C82">
        <w:t xml:space="preserve">será </w:t>
      </w:r>
      <w:r>
        <w:t>similar.</w:t>
      </w:r>
    </w:p>
    <w:p w14:paraId="7375E1C2" w14:textId="10B34930" w:rsidR="00A33B27" w:rsidRDefault="00A33B27" w:rsidP="00144A1B">
      <w:pPr>
        <w:pStyle w:val="NormalConSangria"/>
      </w:pPr>
      <w:r>
        <w:t>Pero después de e</w:t>
      </w:r>
      <w:r w:rsidR="00AC6FF1">
        <w:t>ll</w:t>
      </w:r>
      <w:r>
        <w:t xml:space="preserve">o, la versatilidad y la obtención de </w:t>
      </w:r>
      <w:r w:rsidR="00AC6FF1">
        <w:t xml:space="preserve">las </w:t>
      </w:r>
      <w:r>
        <w:t>ventajas debe</w:t>
      </w:r>
      <w:r w:rsidR="00AC6FF1">
        <w:t>rá</w:t>
      </w:r>
      <w:r>
        <w:t xml:space="preserve">n entenderse de la misma manera </w:t>
      </w:r>
      <w:r w:rsidR="00A4031B">
        <w:t xml:space="preserve">como </w:t>
      </w:r>
      <w:r>
        <w:t xml:space="preserve">se describe bajo </w:t>
      </w:r>
      <w:r w:rsidR="00A4031B">
        <w:t xml:space="preserve">la sección de la transmisión de </w:t>
      </w:r>
      <w:r w:rsidR="00AC5DDE" w:rsidRPr="0082231D">
        <w:rPr>
          <w:i/>
          <w:iCs/>
        </w:rPr>
        <w:t>amor–benevolente</w:t>
      </w:r>
      <w:r>
        <w:t>.</w:t>
      </w:r>
    </w:p>
    <w:p w14:paraId="0C62CCC3" w14:textId="29B45208" w:rsidR="00A33B27" w:rsidRDefault="00A4031B" w:rsidP="00144A1B">
      <w:pPr>
        <w:pStyle w:val="NormalConSangria"/>
      </w:pPr>
      <w:r>
        <w:t>É</w:t>
      </w:r>
      <w:r w:rsidR="00A33B27">
        <w:t xml:space="preserve">sta es la explicación detallada </w:t>
      </w:r>
      <w:r>
        <w:t xml:space="preserve">sobre </w:t>
      </w:r>
      <w:r w:rsidR="00A33B27">
        <w:t>el desarrollo de la ecuanimidad.</w:t>
      </w:r>
    </w:p>
    <w:p w14:paraId="4555FCED" w14:textId="77777777" w:rsidR="00A33B27" w:rsidRDefault="00A33B27" w:rsidP="00583C89">
      <w:pPr>
        <w:pStyle w:val="Ttulo4"/>
        <w:ind w:left="708"/>
      </w:pPr>
      <w:r>
        <w:t>[</w:t>
      </w:r>
      <w:r w:rsidRPr="00860319">
        <w:t>General</w:t>
      </w:r>
      <w:r>
        <w:t>]</w:t>
      </w:r>
    </w:p>
    <w:p w14:paraId="0ED4F0C2" w14:textId="51A502C0" w:rsidR="00A33B27" w:rsidRPr="00E76C82" w:rsidRDefault="00A33B27" w:rsidP="00860319">
      <w:pPr>
        <w:pStyle w:val="VersoIngls01Sangria"/>
        <w:ind w:left="0"/>
        <w:rPr>
          <w:sz w:val="16"/>
          <w:szCs w:val="20"/>
        </w:rPr>
      </w:pPr>
      <w:r>
        <w:t xml:space="preserve">91. </w:t>
      </w:r>
      <w:r w:rsidR="00860319">
        <w:tab/>
      </w:r>
      <w:r w:rsidR="00860319">
        <w:tab/>
      </w:r>
      <w:r w:rsidR="00860319">
        <w:tab/>
      </w:r>
      <w:r w:rsidRPr="00E76C82">
        <w:rPr>
          <w:sz w:val="16"/>
          <w:szCs w:val="20"/>
        </w:rPr>
        <w:t>Ahora bien, habiendo conocido así est</w:t>
      </w:r>
      <w:r w:rsidR="00A4031B" w:rsidRPr="00E76C82">
        <w:rPr>
          <w:sz w:val="16"/>
          <w:szCs w:val="20"/>
        </w:rPr>
        <w:t>o</w:t>
      </w:r>
      <w:r w:rsidRPr="00E76C82">
        <w:rPr>
          <w:sz w:val="16"/>
          <w:szCs w:val="20"/>
        </w:rPr>
        <w:t xml:space="preserve">s </w:t>
      </w:r>
      <w:r w:rsidR="00A4031B" w:rsidRPr="00E76C82">
        <w:rPr>
          <w:sz w:val="16"/>
          <w:szCs w:val="20"/>
        </w:rPr>
        <w:t>estados</w:t>
      </w:r>
      <w:r w:rsidRPr="00E76C82">
        <w:rPr>
          <w:sz w:val="16"/>
          <w:szCs w:val="20"/>
        </w:rPr>
        <w:t xml:space="preserve"> divin</w:t>
      </w:r>
      <w:r w:rsidR="00A4031B" w:rsidRPr="00E76C82">
        <w:rPr>
          <w:sz w:val="16"/>
          <w:szCs w:val="20"/>
        </w:rPr>
        <w:t>o</w:t>
      </w:r>
      <w:r w:rsidRPr="00E76C82">
        <w:rPr>
          <w:sz w:val="16"/>
          <w:szCs w:val="20"/>
        </w:rPr>
        <w:t>s</w:t>
      </w:r>
    </w:p>
    <w:p w14:paraId="1A250218" w14:textId="4D4F682F" w:rsidR="00A33B27" w:rsidRPr="00E76C82" w:rsidRDefault="00B002A4" w:rsidP="00860319">
      <w:pPr>
        <w:pStyle w:val="VersoIngls01Sangria"/>
        <w:rPr>
          <w:sz w:val="16"/>
          <w:szCs w:val="20"/>
        </w:rPr>
      </w:pPr>
      <w:r>
        <w:rPr>
          <w:sz w:val="16"/>
          <w:szCs w:val="20"/>
        </w:rPr>
        <w:t>Expuesto</w:t>
      </w:r>
      <w:r w:rsidR="00A33B27" w:rsidRPr="00E76C82">
        <w:rPr>
          <w:sz w:val="16"/>
          <w:szCs w:val="20"/>
        </w:rPr>
        <w:t xml:space="preserve"> por el Divino (</w:t>
      </w:r>
      <w:proofErr w:type="spellStart"/>
      <w:r w:rsidR="00057BF4" w:rsidRPr="00E76C82">
        <w:rPr>
          <w:i/>
          <w:sz w:val="16"/>
          <w:szCs w:val="20"/>
        </w:rPr>
        <w:t>brahmā</w:t>
      </w:r>
      <w:proofErr w:type="spellEnd"/>
      <w:r w:rsidR="00A33B27" w:rsidRPr="00E76C82">
        <w:rPr>
          <w:sz w:val="16"/>
          <w:szCs w:val="20"/>
        </w:rPr>
        <w:t>) supremamente sabio,</w:t>
      </w:r>
    </w:p>
    <w:p w14:paraId="18CE0E5D" w14:textId="1A0647E3" w:rsidR="00A33B27" w:rsidRPr="00E76C82" w:rsidRDefault="00A33B27" w:rsidP="00860319">
      <w:pPr>
        <w:pStyle w:val="VersoIngls01Sangria"/>
        <w:rPr>
          <w:sz w:val="16"/>
          <w:szCs w:val="20"/>
        </w:rPr>
      </w:pPr>
      <w:r w:rsidRPr="00E76C82">
        <w:rPr>
          <w:sz w:val="16"/>
          <w:szCs w:val="20"/>
        </w:rPr>
        <w:t xml:space="preserve">También </w:t>
      </w:r>
      <w:r w:rsidR="0061396D" w:rsidRPr="00E76C82">
        <w:rPr>
          <w:sz w:val="16"/>
          <w:szCs w:val="20"/>
        </w:rPr>
        <w:t>se cuenta con</w:t>
      </w:r>
      <w:r w:rsidRPr="00E76C82">
        <w:rPr>
          <w:sz w:val="16"/>
          <w:szCs w:val="20"/>
        </w:rPr>
        <w:t xml:space="preserve"> esta explicación general.</w:t>
      </w:r>
    </w:p>
    <w:p w14:paraId="3409CFBE" w14:textId="1256A872" w:rsidR="00A33B27" w:rsidRDefault="00B002A4" w:rsidP="00860319">
      <w:pPr>
        <w:pStyle w:val="VersoIngls01Sangria"/>
      </w:pPr>
      <w:r w:rsidRPr="00E76C82">
        <w:rPr>
          <w:sz w:val="16"/>
          <w:szCs w:val="20"/>
        </w:rPr>
        <w:t>L</w:t>
      </w:r>
      <w:r>
        <w:rPr>
          <w:sz w:val="16"/>
          <w:szCs w:val="20"/>
        </w:rPr>
        <w:t>a</w:t>
      </w:r>
      <w:r w:rsidRPr="00E76C82">
        <w:rPr>
          <w:sz w:val="16"/>
          <w:szCs w:val="20"/>
        </w:rPr>
        <w:t xml:space="preserve"> </w:t>
      </w:r>
      <w:r w:rsidR="00FC76F9" w:rsidRPr="00E76C82">
        <w:rPr>
          <w:sz w:val="16"/>
          <w:szCs w:val="20"/>
        </w:rPr>
        <w:t xml:space="preserve">cual </w:t>
      </w:r>
      <w:r w:rsidR="00A33B27" w:rsidRPr="00E76C82">
        <w:rPr>
          <w:sz w:val="16"/>
          <w:szCs w:val="20"/>
        </w:rPr>
        <w:t>debe conocer</w:t>
      </w:r>
      <w:r w:rsidR="00FC76F9" w:rsidRPr="00E76C82">
        <w:rPr>
          <w:sz w:val="16"/>
          <w:szCs w:val="20"/>
        </w:rPr>
        <w:t>se</w:t>
      </w:r>
      <w:r w:rsidR="00A33B27">
        <w:t>.</w:t>
      </w:r>
    </w:p>
    <w:p w14:paraId="77736A36" w14:textId="77777777" w:rsidR="00A33B27" w:rsidRDefault="00A33B27" w:rsidP="00A33B27"/>
    <w:p w14:paraId="21BE90AE" w14:textId="77777777" w:rsidR="00A33B27" w:rsidRDefault="00A33B27" w:rsidP="00860319">
      <w:pPr>
        <w:jc w:val="center"/>
      </w:pPr>
      <w:r>
        <w:t>[</w:t>
      </w:r>
      <w:r w:rsidRPr="00860319">
        <w:rPr>
          <w:i/>
          <w:iCs/>
        </w:rPr>
        <w:t>Significados</w:t>
      </w:r>
      <w:r>
        <w:t>]</w:t>
      </w:r>
    </w:p>
    <w:p w14:paraId="26C12ED1" w14:textId="73653DEE" w:rsidR="00A33B27" w:rsidRDefault="00A33B27" w:rsidP="00A33B27">
      <w:r>
        <w:t xml:space="preserve">92. </w:t>
      </w:r>
      <w:r w:rsidR="00144A1B">
        <w:tab/>
      </w:r>
      <w:r>
        <w:t>Ahora</w:t>
      </w:r>
      <w:r w:rsidR="00DF3372">
        <w:t xml:space="preserve"> bien</w:t>
      </w:r>
      <w:r>
        <w:t>, en cuanto al significado primero de</w:t>
      </w:r>
      <w:r w:rsidR="00DF3372">
        <w:t>l</w:t>
      </w:r>
      <w:r>
        <w:t xml:space="preserve"> </w:t>
      </w:r>
      <w:r w:rsidR="00AC5DDE" w:rsidRPr="0082231D">
        <w:rPr>
          <w:i/>
          <w:iCs/>
        </w:rPr>
        <w:t>amor–benevolente</w:t>
      </w:r>
      <w:r>
        <w:t xml:space="preserve">, </w:t>
      </w:r>
      <w:r w:rsidR="00FB0241">
        <w:t xml:space="preserve">antes de </w:t>
      </w:r>
      <w:r w:rsidR="00DF3372">
        <w:t xml:space="preserve">la </w:t>
      </w:r>
      <w:r w:rsidRPr="00560203">
        <w:rPr>
          <w:i/>
          <w:iCs/>
        </w:rPr>
        <w:t>compasión</w:t>
      </w:r>
      <w:r>
        <w:t xml:space="preserve">, </w:t>
      </w:r>
      <w:r w:rsidR="00DF3372">
        <w:t xml:space="preserve">la </w:t>
      </w:r>
      <w:r w:rsidRPr="00560203">
        <w:rPr>
          <w:i/>
          <w:iCs/>
        </w:rPr>
        <w:t xml:space="preserve">alegría </w:t>
      </w:r>
      <w:r w:rsidR="00DF3372" w:rsidRPr="00560203">
        <w:rPr>
          <w:i/>
          <w:iCs/>
        </w:rPr>
        <w:t>altruista</w:t>
      </w:r>
      <w:r w:rsidR="00DF3372">
        <w:t xml:space="preserve"> </w:t>
      </w:r>
      <w:r>
        <w:t xml:space="preserve">y </w:t>
      </w:r>
      <w:r w:rsidR="00DF3372">
        <w:t xml:space="preserve">la </w:t>
      </w:r>
      <w:r w:rsidRPr="00560203">
        <w:rPr>
          <w:i/>
          <w:iCs/>
        </w:rPr>
        <w:t>ecuanimidad</w:t>
      </w:r>
      <w:r>
        <w:t xml:space="preserve">: </w:t>
      </w:r>
      <w:r w:rsidR="00412F6B">
        <w:t>robustece</w:t>
      </w:r>
      <w:r w:rsidR="00B10BD8">
        <w:t>rá</w:t>
      </w:r>
      <w:r>
        <w:t xml:space="preserve"> (</w:t>
      </w:r>
      <w:proofErr w:type="spellStart"/>
      <w:r w:rsidRPr="000066BC">
        <w:rPr>
          <w:i/>
          <w:iCs/>
        </w:rPr>
        <w:t>mejjati</w:t>
      </w:r>
      <w:proofErr w:type="spellEnd"/>
      <w:r>
        <w:t xml:space="preserve">), </w:t>
      </w:r>
      <w:r w:rsidR="00610425">
        <w:t xml:space="preserve">es </w:t>
      </w:r>
      <w:r w:rsidR="00412F6B">
        <w:t xml:space="preserve">así </w:t>
      </w:r>
      <w:r w:rsidR="00610425">
        <w:t xml:space="preserve">cómo </w:t>
      </w:r>
      <w:r w:rsidR="00B10BD8">
        <w:t xml:space="preserve">será </w:t>
      </w:r>
      <w:r w:rsidR="00AC5DDE" w:rsidRPr="0082231D">
        <w:rPr>
          <w:i/>
          <w:iCs/>
        </w:rPr>
        <w:t>amor–benevolente</w:t>
      </w:r>
      <w:r w:rsidR="00412F6B">
        <w:rPr>
          <w:i/>
          <w:iCs/>
        </w:rPr>
        <w:t xml:space="preserve"> </w:t>
      </w:r>
      <w:r>
        <w:t>(</w:t>
      </w:r>
      <w:r w:rsidR="00057BF4" w:rsidRPr="00057BF4">
        <w:rPr>
          <w:i/>
        </w:rPr>
        <w:t>mettā</w:t>
      </w:r>
      <w:r>
        <w:t xml:space="preserve">); </w:t>
      </w:r>
      <w:r w:rsidR="00412F6B">
        <w:t xml:space="preserve">el significado </w:t>
      </w:r>
      <w:r>
        <w:t xml:space="preserve">es </w:t>
      </w:r>
      <w:r w:rsidR="00412F6B">
        <w:t xml:space="preserve">que </w:t>
      </w:r>
      <w:r w:rsidR="00B10BD8">
        <w:t xml:space="preserve">será </w:t>
      </w:r>
      <w:r>
        <w:t>solvente (</w:t>
      </w:r>
      <w:proofErr w:type="spellStart"/>
      <w:r w:rsidRPr="000066BC">
        <w:rPr>
          <w:i/>
          <w:iCs/>
        </w:rPr>
        <w:t>siniyhati</w:t>
      </w:r>
      <w:proofErr w:type="spellEnd"/>
      <w:r>
        <w:t>). También: surg</w:t>
      </w:r>
      <w:r w:rsidR="00B10BD8">
        <w:t>irá</w:t>
      </w:r>
      <w:r>
        <w:t xml:space="preserve"> con respecto a un amigo (</w:t>
      </w:r>
      <w:proofErr w:type="spellStart"/>
      <w:r w:rsidRPr="000066BC">
        <w:rPr>
          <w:i/>
          <w:iCs/>
        </w:rPr>
        <w:t>mitta</w:t>
      </w:r>
      <w:proofErr w:type="spellEnd"/>
      <w:r>
        <w:t xml:space="preserve">), [318] o </w:t>
      </w:r>
      <w:r w:rsidR="00772F74">
        <w:t>refleja</w:t>
      </w:r>
      <w:r w:rsidR="00B10BD8">
        <w:t>rá</w:t>
      </w:r>
      <w:r w:rsidR="00772F74">
        <w:t xml:space="preserve"> el</w:t>
      </w:r>
      <w:r>
        <w:t xml:space="preserve"> comportamiento hacia un amigo, por lo tanto, </w:t>
      </w:r>
      <w:r w:rsidR="00610425">
        <w:t xml:space="preserve">es así </w:t>
      </w:r>
      <w:r w:rsidR="00C82782">
        <w:t>cómo</w:t>
      </w:r>
      <w:r w:rsidR="00610425">
        <w:t xml:space="preserve"> </w:t>
      </w:r>
      <w:r w:rsidR="00B10BD8">
        <w:t xml:space="preserve">será </w:t>
      </w:r>
      <w:r w:rsidR="00AC5DDE" w:rsidRPr="0082231D">
        <w:rPr>
          <w:i/>
          <w:iCs/>
        </w:rPr>
        <w:t>amor–benevolente</w:t>
      </w:r>
      <w:r w:rsidR="00772F74">
        <w:rPr>
          <w:i/>
          <w:iCs/>
        </w:rPr>
        <w:t xml:space="preserve"> </w:t>
      </w:r>
      <w:r>
        <w:t>(</w:t>
      </w:r>
      <w:r w:rsidR="00057BF4" w:rsidRPr="00057BF4">
        <w:rPr>
          <w:i/>
        </w:rPr>
        <w:t>mettā</w:t>
      </w:r>
      <w:r>
        <w:t>).</w:t>
      </w:r>
    </w:p>
    <w:p w14:paraId="5C2DC5F7" w14:textId="59E0837F" w:rsidR="00A33B27" w:rsidRDefault="00A33B27" w:rsidP="00144A1B">
      <w:pPr>
        <w:pStyle w:val="NormalConSangria"/>
      </w:pPr>
      <w:r>
        <w:t>Cuando hay</w:t>
      </w:r>
      <w:r w:rsidR="00610425">
        <w:t>a</w:t>
      </w:r>
      <w:r>
        <w:t xml:space="preserve"> sufrimiento en los demás, causa</w:t>
      </w:r>
      <w:r w:rsidR="00610425">
        <w:t>rá</w:t>
      </w:r>
      <w:r>
        <w:t xml:space="preserve"> (</w:t>
      </w:r>
      <w:proofErr w:type="spellStart"/>
      <w:r w:rsidRPr="000066BC">
        <w:rPr>
          <w:i/>
          <w:iCs/>
        </w:rPr>
        <w:t>karoti</w:t>
      </w:r>
      <w:proofErr w:type="spellEnd"/>
      <w:r>
        <w:t>) que los corazones de las personas buenas se conmuevan (</w:t>
      </w:r>
      <w:proofErr w:type="spellStart"/>
      <w:r w:rsidRPr="000066BC">
        <w:rPr>
          <w:i/>
          <w:iCs/>
        </w:rPr>
        <w:t>kampana</w:t>
      </w:r>
      <w:proofErr w:type="spellEnd"/>
      <w:r>
        <w:t xml:space="preserve">), por lo que </w:t>
      </w:r>
      <w:r w:rsidR="006975B8">
        <w:t xml:space="preserve">será así </w:t>
      </w:r>
      <w:r w:rsidRPr="00610425">
        <w:rPr>
          <w:i/>
          <w:iCs/>
        </w:rPr>
        <w:t>compasión</w:t>
      </w:r>
      <w:r>
        <w:t xml:space="preserve"> (</w:t>
      </w:r>
      <w:proofErr w:type="spellStart"/>
      <w:r w:rsidR="00057BF4" w:rsidRPr="00057BF4">
        <w:rPr>
          <w:i/>
          <w:iCs/>
        </w:rPr>
        <w:t>karuṇā</w:t>
      </w:r>
      <w:proofErr w:type="spellEnd"/>
      <w:r>
        <w:t>). O bien, combat</w:t>
      </w:r>
      <w:r w:rsidR="006975B8">
        <w:t>irá</w:t>
      </w:r>
      <w:r>
        <w:t xml:space="preserve"> (</w:t>
      </w:r>
      <w:proofErr w:type="spellStart"/>
      <w:r w:rsidRPr="000066BC">
        <w:rPr>
          <w:i/>
          <w:iCs/>
        </w:rPr>
        <w:t>kiṇāti</w:t>
      </w:r>
      <w:proofErr w:type="spellEnd"/>
      <w:r>
        <w:t>)</w:t>
      </w:r>
      <w:r w:rsidRPr="000C43D5">
        <w:rPr>
          <w:vertAlign w:val="superscript"/>
        </w:rPr>
        <w:t>11</w:t>
      </w:r>
      <w:r>
        <w:t xml:space="preserve"> el sufrimiento ajeno, lo ataca</w:t>
      </w:r>
      <w:r w:rsidR="006975B8">
        <w:t>rá</w:t>
      </w:r>
      <w:r>
        <w:t xml:space="preserve"> y lo derriba</w:t>
      </w:r>
      <w:r w:rsidR="006975B8">
        <w:t>rá</w:t>
      </w:r>
      <w:r>
        <w:t xml:space="preserve">, por lo que </w:t>
      </w:r>
      <w:r w:rsidR="006975B8">
        <w:t xml:space="preserve">será así </w:t>
      </w:r>
      <w:r w:rsidRPr="006975B8">
        <w:rPr>
          <w:i/>
          <w:iCs/>
        </w:rPr>
        <w:t>compasión</w:t>
      </w:r>
      <w:r>
        <w:t xml:space="preserve">. O alternativamente, se </w:t>
      </w:r>
      <w:r w:rsidR="006975B8">
        <w:t xml:space="preserve">transmitirá </w:t>
      </w:r>
      <w:r>
        <w:t>(</w:t>
      </w:r>
      <w:proofErr w:type="spellStart"/>
      <w:r w:rsidRPr="000066BC">
        <w:rPr>
          <w:i/>
          <w:iCs/>
        </w:rPr>
        <w:t>kiriyati</w:t>
      </w:r>
      <w:proofErr w:type="spellEnd"/>
      <w:r>
        <w:t xml:space="preserve">) </w:t>
      </w:r>
      <w:r w:rsidR="00B10BD8">
        <w:t xml:space="preserve">hacia </w:t>
      </w:r>
      <w:r>
        <w:t>aquellos que sufr</w:t>
      </w:r>
      <w:r w:rsidR="00B10BD8">
        <w:t>a</w:t>
      </w:r>
      <w:r>
        <w:t>n, se extende</w:t>
      </w:r>
      <w:r w:rsidR="006975B8">
        <w:t>rá</w:t>
      </w:r>
      <w:r>
        <w:t xml:space="preserve"> hacia ellos por medio de la </w:t>
      </w:r>
      <w:r w:rsidR="00B10BD8">
        <w:t>transmisión</w:t>
      </w:r>
      <w:r>
        <w:t xml:space="preserve">, </w:t>
      </w:r>
      <w:r w:rsidR="00785AA5">
        <w:t xml:space="preserve">por lo tanto, es así </w:t>
      </w:r>
      <w:r w:rsidR="00B10BD8">
        <w:t>cómo</w:t>
      </w:r>
      <w:r w:rsidR="00785AA5">
        <w:t xml:space="preserve"> será </w:t>
      </w:r>
      <w:r w:rsidRPr="006975B8">
        <w:rPr>
          <w:i/>
          <w:iCs/>
        </w:rPr>
        <w:t>compasión</w:t>
      </w:r>
      <w:r>
        <w:t xml:space="preserve"> (</w:t>
      </w:r>
      <w:proofErr w:type="spellStart"/>
      <w:r w:rsidR="00057BF4" w:rsidRPr="00057BF4">
        <w:rPr>
          <w:i/>
          <w:iCs/>
        </w:rPr>
        <w:t>karuṇā</w:t>
      </w:r>
      <w:proofErr w:type="spellEnd"/>
      <w:r>
        <w:t>).</w:t>
      </w:r>
    </w:p>
    <w:p w14:paraId="63107DDA" w14:textId="466CA2B5" w:rsidR="00A33B27" w:rsidRDefault="00A33B27" w:rsidP="00144A1B">
      <w:pPr>
        <w:pStyle w:val="NormalConSangria"/>
      </w:pPr>
      <w:r>
        <w:t>Los que est</w:t>
      </w:r>
      <w:r w:rsidR="006975B8">
        <w:t>é</w:t>
      </w:r>
      <w:r>
        <w:t>n dotados de él est</w:t>
      </w:r>
      <w:r w:rsidR="006975B8">
        <w:t>ar</w:t>
      </w:r>
      <w:r>
        <w:t xml:space="preserve">án </w:t>
      </w:r>
      <w:r w:rsidR="00057835">
        <w:t>alegre</w:t>
      </w:r>
      <w:r w:rsidR="00FB0241">
        <w:t>s</w:t>
      </w:r>
      <w:r>
        <w:t xml:space="preserve"> (</w:t>
      </w:r>
      <w:proofErr w:type="spellStart"/>
      <w:r w:rsidRPr="000066BC">
        <w:rPr>
          <w:i/>
          <w:iCs/>
        </w:rPr>
        <w:t>modanti</w:t>
      </w:r>
      <w:proofErr w:type="spellEnd"/>
      <w:r>
        <w:t xml:space="preserve">), o </w:t>
      </w:r>
      <w:r w:rsidR="00057835">
        <w:t xml:space="preserve">será en sí mismo alegre </w:t>
      </w:r>
      <w:r>
        <w:t>(</w:t>
      </w:r>
      <w:proofErr w:type="spellStart"/>
      <w:r w:rsidRPr="000066BC">
        <w:rPr>
          <w:i/>
          <w:iCs/>
        </w:rPr>
        <w:t>modati</w:t>
      </w:r>
      <w:proofErr w:type="spellEnd"/>
      <w:r>
        <w:t xml:space="preserve">), o </w:t>
      </w:r>
      <w:r w:rsidR="008454C2">
        <w:t xml:space="preserve">se refiere al simple hecho de </w:t>
      </w:r>
      <w:r>
        <w:t xml:space="preserve">estar </w:t>
      </w:r>
      <w:r w:rsidR="008454C2">
        <w:t xml:space="preserve">alegre </w:t>
      </w:r>
      <w:r>
        <w:t>(</w:t>
      </w:r>
      <w:proofErr w:type="spellStart"/>
      <w:r w:rsidRPr="000066BC">
        <w:rPr>
          <w:i/>
          <w:iCs/>
        </w:rPr>
        <w:t>modana</w:t>
      </w:r>
      <w:proofErr w:type="spellEnd"/>
      <w:r>
        <w:t xml:space="preserve">), </w:t>
      </w:r>
      <w:r w:rsidR="00785AA5">
        <w:t xml:space="preserve">por lo tanto, es así </w:t>
      </w:r>
      <w:r w:rsidR="00FB0241">
        <w:t xml:space="preserve">cómo </w:t>
      </w:r>
      <w:r w:rsidR="00785AA5">
        <w:t xml:space="preserve">será </w:t>
      </w:r>
      <w:r w:rsidRPr="008454C2">
        <w:rPr>
          <w:i/>
          <w:iCs/>
        </w:rPr>
        <w:t>alegría</w:t>
      </w:r>
      <w:r>
        <w:t xml:space="preserve"> </w:t>
      </w:r>
      <w:r w:rsidR="008454C2" w:rsidRPr="008454C2">
        <w:rPr>
          <w:i/>
          <w:iCs/>
        </w:rPr>
        <w:t>altruista</w:t>
      </w:r>
      <w:r w:rsidR="008454C2">
        <w:t xml:space="preserve"> </w:t>
      </w:r>
      <w:r>
        <w:t>(</w:t>
      </w:r>
      <w:proofErr w:type="spellStart"/>
      <w:r w:rsidR="00057BF4" w:rsidRPr="00057BF4">
        <w:rPr>
          <w:i/>
          <w:iCs/>
        </w:rPr>
        <w:t>muditā</w:t>
      </w:r>
      <w:proofErr w:type="spellEnd"/>
      <w:r>
        <w:t>).</w:t>
      </w:r>
    </w:p>
    <w:p w14:paraId="0AB90E55" w14:textId="61C49750" w:rsidR="00A33B27" w:rsidRDefault="008454C2" w:rsidP="00144A1B">
      <w:pPr>
        <w:pStyle w:val="NormalConSangria"/>
      </w:pPr>
      <w:r>
        <w:t>Observa</w:t>
      </w:r>
      <w:r w:rsidR="00FB0241">
        <w:t>rá</w:t>
      </w:r>
      <w:r w:rsidR="00A33B27">
        <w:t xml:space="preserve"> (</w:t>
      </w:r>
      <w:proofErr w:type="spellStart"/>
      <w:r w:rsidR="00A33B27" w:rsidRPr="000066BC">
        <w:rPr>
          <w:i/>
          <w:iCs/>
        </w:rPr>
        <w:t>upekkkhati</w:t>
      </w:r>
      <w:proofErr w:type="spellEnd"/>
      <w:r w:rsidR="00A33B27">
        <w:t>), abandonando tal interés como pensar “Qu</w:t>
      </w:r>
      <w:r>
        <w:t>é</w:t>
      </w:r>
      <w:r w:rsidR="00A33B27">
        <w:t xml:space="preserve"> estén libres de enemistad” y recurriendo a la neutralidad, </w:t>
      </w:r>
      <w:r w:rsidR="00785AA5">
        <w:t xml:space="preserve">por lo tanto, es así </w:t>
      </w:r>
      <w:r w:rsidR="00FB0241">
        <w:t xml:space="preserve">cómo </w:t>
      </w:r>
      <w:r w:rsidR="00785AA5">
        <w:t xml:space="preserve">será </w:t>
      </w:r>
      <w:r w:rsidR="00A33B27" w:rsidRPr="00785AA5">
        <w:rPr>
          <w:i/>
          <w:iCs/>
        </w:rPr>
        <w:t>ecuanimidad</w:t>
      </w:r>
      <w:r w:rsidR="00A33B27">
        <w:t xml:space="preserve"> (</w:t>
      </w:r>
      <w:r w:rsidR="00057BF4" w:rsidRPr="00057BF4">
        <w:rPr>
          <w:i/>
        </w:rPr>
        <w:t>upekkhā</w:t>
      </w:r>
      <w:r w:rsidR="00A33B27">
        <w:t>).</w:t>
      </w:r>
    </w:p>
    <w:p w14:paraId="78678933" w14:textId="77777777" w:rsidR="00A33B27" w:rsidRDefault="00A33B27" w:rsidP="00144A1B">
      <w:pPr>
        <w:jc w:val="center"/>
      </w:pPr>
      <w:r>
        <w:t>[</w:t>
      </w:r>
      <w:r w:rsidRPr="00144A1B">
        <w:rPr>
          <w:i/>
          <w:iCs/>
        </w:rPr>
        <w:t>Característica</w:t>
      </w:r>
      <w:r>
        <w:t>, etc.]</w:t>
      </w:r>
    </w:p>
    <w:p w14:paraId="37075DD1" w14:textId="6CA13F80" w:rsidR="00A33B27" w:rsidRDefault="00A33B27" w:rsidP="00A33B27">
      <w:r>
        <w:t xml:space="preserve">93. </w:t>
      </w:r>
      <w:r w:rsidR="00144A1B">
        <w:tab/>
      </w:r>
      <w:r>
        <w:t xml:space="preserve">En cuanto a la </w:t>
      </w:r>
      <w:r w:rsidRPr="00916C3D">
        <w:rPr>
          <w:i/>
          <w:iCs/>
        </w:rPr>
        <w:t>característica</w:t>
      </w:r>
      <w:r>
        <w:t xml:space="preserve">, etc., la </w:t>
      </w:r>
      <w:r w:rsidR="00916C3D">
        <w:t xml:space="preserve">transmisión del </w:t>
      </w:r>
      <w:r w:rsidR="00916C3D">
        <w:rPr>
          <w:i/>
          <w:iCs/>
        </w:rPr>
        <w:t>amor</w:t>
      </w:r>
      <w:r w:rsidR="00916C3D">
        <w:t xml:space="preserve"> </w:t>
      </w:r>
      <w:r>
        <w:t>se caracteriza aquí por promover el aspecto de</w:t>
      </w:r>
      <w:r w:rsidR="0064105D">
        <w:t>l</w:t>
      </w:r>
      <w:r>
        <w:t xml:space="preserve"> bienestar</w:t>
      </w:r>
      <w:r w:rsidR="00916C3D">
        <w:t xml:space="preserve"> de los seres</w:t>
      </w:r>
      <w:r>
        <w:t xml:space="preserve">. Su </w:t>
      </w:r>
      <w:r w:rsidRPr="00916C3D">
        <w:rPr>
          <w:i/>
          <w:iCs/>
        </w:rPr>
        <w:t>función</w:t>
      </w:r>
      <w:r>
        <w:t xml:space="preserve"> es preferir </w:t>
      </w:r>
      <w:r w:rsidR="00916C3D">
        <w:t>ta</w:t>
      </w:r>
      <w:r>
        <w:t xml:space="preserve">l bienestar. Se </w:t>
      </w:r>
      <w:r w:rsidRPr="00417525">
        <w:rPr>
          <w:i/>
          <w:iCs/>
        </w:rPr>
        <w:t>manifesta</w:t>
      </w:r>
      <w:r w:rsidR="00916C3D" w:rsidRPr="00417525">
        <w:rPr>
          <w:i/>
          <w:iCs/>
        </w:rPr>
        <w:t>rá</w:t>
      </w:r>
      <w:r>
        <w:t xml:space="preserve"> como la eliminación de la</w:t>
      </w:r>
      <w:r w:rsidR="00916C3D">
        <w:t>s</w:t>
      </w:r>
      <w:r>
        <w:t xml:space="preserve"> molestia</w:t>
      </w:r>
      <w:r w:rsidR="00916C3D">
        <w:t>s</w:t>
      </w:r>
      <w:r>
        <w:t xml:space="preserve">. Su </w:t>
      </w:r>
      <w:r w:rsidRPr="00916C3D">
        <w:rPr>
          <w:i/>
          <w:iCs/>
        </w:rPr>
        <w:t>causa próxima</w:t>
      </w:r>
      <w:r>
        <w:t xml:space="preserve"> </w:t>
      </w:r>
      <w:r w:rsidR="00916C3D">
        <w:t xml:space="preserve">será </w:t>
      </w:r>
      <w:r>
        <w:t xml:space="preserve">ver la amabilidad </w:t>
      </w:r>
      <w:r w:rsidR="00417525">
        <w:t xml:space="preserve">hacia </w:t>
      </w:r>
      <w:r>
        <w:t>los seres. Ten</w:t>
      </w:r>
      <w:r w:rsidR="00717BBA">
        <w:t>drá</w:t>
      </w:r>
      <w:r>
        <w:t xml:space="preserve"> éxito cuando ha</w:t>
      </w:r>
      <w:r w:rsidR="00717BBA">
        <w:t>ga</w:t>
      </w:r>
      <w:r>
        <w:t xml:space="preserve"> que la mala voluntad se calme y fracasa</w:t>
      </w:r>
      <w:r w:rsidR="00717BBA">
        <w:t>rá</w:t>
      </w:r>
      <w:r>
        <w:t xml:space="preserve"> cuando produ</w:t>
      </w:r>
      <w:r w:rsidR="00717BBA">
        <w:t>zca</w:t>
      </w:r>
      <w:r>
        <w:t xml:space="preserve"> afecto (egoísta).</w:t>
      </w:r>
    </w:p>
    <w:p w14:paraId="54DF780D" w14:textId="77777777" w:rsidR="00A33B27" w:rsidRDefault="00A33B27" w:rsidP="00A33B27">
      <w:pPr>
        <w:pStyle w:val="Piedepgina"/>
        <w:rPr>
          <w:u w:val="single"/>
        </w:rPr>
      </w:pPr>
      <w:r>
        <w:rPr>
          <w:u w:val="single"/>
        </w:rPr>
        <w:t xml:space="preserve">                                                                                                                                                                          .</w:t>
      </w:r>
    </w:p>
    <w:p w14:paraId="1EC151B1" w14:textId="7F69E8EF" w:rsidR="00144A1B" w:rsidRDefault="00A33B27" w:rsidP="00FB0241">
      <w:pPr>
        <w:pStyle w:val="PiedepginaLegal"/>
      </w:pPr>
      <w:r>
        <w:t xml:space="preserve">11. </w:t>
      </w:r>
      <w:r w:rsidR="00860319">
        <w:tab/>
      </w:r>
      <w:proofErr w:type="spellStart"/>
      <w:r w:rsidRPr="000066BC">
        <w:rPr>
          <w:i/>
          <w:iCs/>
        </w:rPr>
        <w:t>Kiṇāti</w:t>
      </w:r>
      <w:proofErr w:type="spellEnd"/>
      <w:r>
        <w:t>—</w:t>
      </w:r>
      <w:r w:rsidR="00594B78">
        <w:t xml:space="preserve"> </w:t>
      </w:r>
      <w:r>
        <w:t xml:space="preserve">“combate”: </w:t>
      </w:r>
      <w:proofErr w:type="spellStart"/>
      <w:r>
        <w:t>Skr</w:t>
      </w:r>
      <w:proofErr w:type="spellEnd"/>
      <w:r>
        <w:t xml:space="preserve">. </w:t>
      </w:r>
      <w:proofErr w:type="spellStart"/>
      <w:r w:rsidRPr="000066BC">
        <w:rPr>
          <w:i/>
          <w:iCs/>
        </w:rPr>
        <w:t>kṛnāti</w:t>
      </w:r>
      <w:proofErr w:type="spellEnd"/>
      <w:r>
        <w:t xml:space="preserve">—herir o matar. </w:t>
      </w:r>
      <w:r w:rsidR="00990914">
        <w:t xml:space="preserve">El </w:t>
      </w:r>
      <w:r>
        <w:t>PED da esta ref. bajo el significado ordinario "comprar", lo cual es incorrecto.</w:t>
      </w:r>
      <w:r w:rsidR="00144A1B">
        <w:br w:type="page"/>
      </w:r>
    </w:p>
    <w:p w14:paraId="1C1F07CF" w14:textId="77777777" w:rsidR="00144A1B" w:rsidRDefault="00144A1B" w:rsidP="00144A1B"/>
    <w:p w14:paraId="7217FB12" w14:textId="79E8B301" w:rsidR="0062106C" w:rsidRDefault="0062106C" w:rsidP="0062106C">
      <w:r>
        <w:t xml:space="preserve">94. </w:t>
      </w:r>
      <w:r>
        <w:tab/>
        <w:t xml:space="preserve">La </w:t>
      </w:r>
      <w:r w:rsidRPr="000066BC">
        <w:rPr>
          <w:i/>
          <w:iCs/>
        </w:rPr>
        <w:t>compasión</w:t>
      </w:r>
      <w:r>
        <w:t xml:space="preserve"> se </w:t>
      </w:r>
      <w:r w:rsidRPr="00005487">
        <w:rPr>
          <w:i/>
          <w:iCs/>
        </w:rPr>
        <w:t>caracteriza</w:t>
      </w:r>
      <w:r w:rsidR="00005487" w:rsidRPr="00005487">
        <w:rPr>
          <w:i/>
          <w:iCs/>
        </w:rPr>
        <w:t>rá</w:t>
      </w:r>
      <w:r>
        <w:t xml:space="preserve"> por promover el aspecto de aliviar el sufrimiento. Su </w:t>
      </w:r>
      <w:r w:rsidRPr="00005487">
        <w:rPr>
          <w:i/>
          <w:iCs/>
        </w:rPr>
        <w:t>función</w:t>
      </w:r>
      <w:r>
        <w:t xml:space="preserve"> resid</w:t>
      </w:r>
      <w:r w:rsidR="00005487">
        <w:t>irá</w:t>
      </w:r>
      <w:r>
        <w:t xml:space="preserve"> en no soportar el sufrimiento </w:t>
      </w:r>
      <w:r w:rsidR="00A4704A">
        <w:t>padecido por los demás</w:t>
      </w:r>
      <w:r>
        <w:t xml:space="preserve">. Se </w:t>
      </w:r>
      <w:r w:rsidRPr="00005487">
        <w:rPr>
          <w:i/>
          <w:iCs/>
        </w:rPr>
        <w:t>manifesta</w:t>
      </w:r>
      <w:r w:rsidR="00005487" w:rsidRPr="00005487">
        <w:rPr>
          <w:i/>
          <w:iCs/>
        </w:rPr>
        <w:t>rá</w:t>
      </w:r>
      <w:r>
        <w:t xml:space="preserve"> como no crueldad. Su </w:t>
      </w:r>
      <w:r w:rsidRPr="00005487">
        <w:rPr>
          <w:i/>
          <w:iCs/>
        </w:rPr>
        <w:t>causa próxima</w:t>
      </w:r>
      <w:r>
        <w:t xml:space="preserve"> </w:t>
      </w:r>
      <w:r w:rsidR="00005487">
        <w:t xml:space="preserve">será </w:t>
      </w:r>
      <w:r w:rsidR="00B5615F">
        <w:t>sentir</w:t>
      </w:r>
      <w:r>
        <w:t xml:space="preserve"> impotencia en aquellos abrumados por el sufrimiento. </w:t>
      </w:r>
      <w:r w:rsidR="00005487">
        <w:t>Tendrá</w:t>
      </w:r>
      <w:r>
        <w:t xml:space="preserve"> éxito cuando ha</w:t>
      </w:r>
      <w:r w:rsidR="00005487">
        <w:t>ga</w:t>
      </w:r>
      <w:r>
        <w:t xml:space="preserve"> que la crueldad disminuya y </w:t>
      </w:r>
      <w:r w:rsidR="00005487">
        <w:t xml:space="preserve">fracasará </w:t>
      </w:r>
      <w:r>
        <w:t>cuando produ</w:t>
      </w:r>
      <w:r w:rsidR="00005487">
        <w:t>zca</w:t>
      </w:r>
      <w:r>
        <w:t xml:space="preserve"> dolor.</w:t>
      </w:r>
    </w:p>
    <w:p w14:paraId="1D07E20B" w14:textId="06671963" w:rsidR="0062106C" w:rsidRDefault="0062106C" w:rsidP="0062106C">
      <w:r>
        <w:t>95.</w:t>
      </w:r>
      <w:r>
        <w:tab/>
        <w:t xml:space="preserve">La </w:t>
      </w:r>
      <w:r w:rsidRPr="000066BC">
        <w:rPr>
          <w:i/>
          <w:iCs/>
        </w:rPr>
        <w:t>alegría</w:t>
      </w:r>
      <w:r w:rsidR="00005487">
        <w:rPr>
          <w:i/>
          <w:iCs/>
        </w:rPr>
        <w:t xml:space="preserve"> altruista</w:t>
      </w:r>
      <w:r>
        <w:t xml:space="preserve"> se </w:t>
      </w:r>
      <w:r w:rsidRPr="00005487">
        <w:rPr>
          <w:i/>
          <w:iCs/>
        </w:rPr>
        <w:t>caracteriza</w:t>
      </w:r>
      <w:r w:rsidR="00005487" w:rsidRPr="00005487">
        <w:rPr>
          <w:i/>
          <w:iCs/>
        </w:rPr>
        <w:t>rá</w:t>
      </w:r>
      <w:r>
        <w:t xml:space="preserve"> por el regocijo (producido por el éxito de los demás).</w:t>
      </w:r>
      <w:r w:rsidRPr="007873B2">
        <w:rPr>
          <w:vertAlign w:val="superscript"/>
        </w:rPr>
        <w:t>12</w:t>
      </w:r>
      <w:r>
        <w:t xml:space="preserve"> Su </w:t>
      </w:r>
      <w:r w:rsidRPr="00005487">
        <w:rPr>
          <w:i/>
          <w:iCs/>
        </w:rPr>
        <w:t>función</w:t>
      </w:r>
      <w:r>
        <w:t xml:space="preserve"> resid</w:t>
      </w:r>
      <w:r w:rsidR="00005487">
        <w:t>irá</w:t>
      </w:r>
      <w:r>
        <w:t xml:space="preserve"> en no </w:t>
      </w:r>
      <w:r w:rsidR="00005487">
        <w:t xml:space="preserve">desarrollar </w:t>
      </w:r>
      <w:r>
        <w:t xml:space="preserve">envidia. Se </w:t>
      </w:r>
      <w:r w:rsidRPr="00005487">
        <w:rPr>
          <w:i/>
          <w:iCs/>
        </w:rPr>
        <w:t>manifesta</w:t>
      </w:r>
      <w:r w:rsidR="00005487" w:rsidRPr="00005487">
        <w:rPr>
          <w:i/>
          <w:iCs/>
        </w:rPr>
        <w:t>rá</w:t>
      </w:r>
      <w:r>
        <w:t xml:space="preserve"> como la eliminación de la aversión (</w:t>
      </w:r>
      <w:r w:rsidR="00AD269F">
        <w:t>fastidio</w:t>
      </w:r>
      <w:r>
        <w:t xml:space="preserve">). Su </w:t>
      </w:r>
      <w:r w:rsidRPr="0083138C">
        <w:rPr>
          <w:i/>
          <w:iCs/>
        </w:rPr>
        <w:t>causa próxima</w:t>
      </w:r>
      <w:r>
        <w:t xml:space="preserve"> </w:t>
      </w:r>
      <w:r w:rsidR="0083138C">
        <w:t>consistirá en</w:t>
      </w:r>
      <w:r>
        <w:t xml:space="preserve"> ver </w:t>
      </w:r>
      <w:r w:rsidR="0083138C">
        <w:t xml:space="preserve">a los </w:t>
      </w:r>
      <w:r>
        <w:t xml:space="preserve">seres </w:t>
      </w:r>
      <w:r w:rsidR="00C53D43">
        <w:t>e</w:t>
      </w:r>
      <w:r>
        <w:t>xito</w:t>
      </w:r>
      <w:r w:rsidR="00C53D43">
        <w:t>sos</w:t>
      </w:r>
      <w:r>
        <w:t xml:space="preserve">. </w:t>
      </w:r>
      <w:r w:rsidR="00C53D43">
        <w:t xml:space="preserve">Tendrá </w:t>
      </w:r>
      <w:r>
        <w:t>éxito cuando ha</w:t>
      </w:r>
      <w:r w:rsidR="00C53D43">
        <w:t>ga</w:t>
      </w:r>
      <w:r>
        <w:t xml:space="preserve"> que la aversión (</w:t>
      </w:r>
      <w:r w:rsidR="00C53D43">
        <w:t>fastidio</w:t>
      </w:r>
      <w:r>
        <w:t xml:space="preserve">) </w:t>
      </w:r>
      <w:r w:rsidR="00703F3D">
        <w:t>se disipe</w:t>
      </w:r>
      <w:r>
        <w:t xml:space="preserve"> y </w:t>
      </w:r>
      <w:r w:rsidR="00C53D43">
        <w:t xml:space="preserve">fracasará </w:t>
      </w:r>
      <w:r>
        <w:t xml:space="preserve">cuando </w:t>
      </w:r>
      <w:r w:rsidR="00707A98">
        <w:t xml:space="preserve">se </w:t>
      </w:r>
      <w:r>
        <w:t>produ</w:t>
      </w:r>
      <w:r w:rsidR="00B642BA">
        <w:t>zca</w:t>
      </w:r>
      <w:r>
        <w:t xml:space="preserve"> </w:t>
      </w:r>
      <w:r w:rsidR="007627B4" w:rsidRPr="00D86CB9">
        <w:rPr>
          <w:color w:val="1F3864" w:themeColor="accent1" w:themeShade="80"/>
        </w:rPr>
        <w:t>envidia</w:t>
      </w:r>
      <w:r>
        <w:t>.</w:t>
      </w:r>
    </w:p>
    <w:p w14:paraId="52778741" w14:textId="5B3D7B88" w:rsidR="0062106C" w:rsidRDefault="0062106C" w:rsidP="0062106C">
      <w:r>
        <w:t xml:space="preserve">96. </w:t>
      </w:r>
      <w:r>
        <w:tab/>
        <w:t xml:space="preserve">La </w:t>
      </w:r>
      <w:r w:rsidRPr="000066BC">
        <w:rPr>
          <w:i/>
          <w:iCs/>
        </w:rPr>
        <w:t>ecuanimidad</w:t>
      </w:r>
      <w:r>
        <w:t xml:space="preserve"> se </w:t>
      </w:r>
      <w:r w:rsidRPr="00D86CB9">
        <w:rPr>
          <w:i/>
          <w:iCs/>
        </w:rPr>
        <w:t>caracteriza</w:t>
      </w:r>
      <w:r w:rsidR="00D86CB9" w:rsidRPr="00D86CB9">
        <w:rPr>
          <w:i/>
          <w:iCs/>
        </w:rPr>
        <w:t>rá</w:t>
      </w:r>
      <w:r>
        <w:t xml:space="preserve"> por promover el aspecto de neutralidad hacia los seres. Su </w:t>
      </w:r>
      <w:r w:rsidRPr="00D86CB9">
        <w:rPr>
          <w:i/>
          <w:iCs/>
        </w:rPr>
        <w:t>función</w:t>
      </w:r>
      <w:r>
        <w:t xml:space="preserve"> es </w:t>
      </w:r>
      <w:r w:rsidR="0058636B">
        <w:t xml:space="preserve">apreciar </w:t>
      </w:r>
      <w:r>
        <w:t xml:space="preserve">la </w:t>
      </w:r>
      <w:r w:rsidR="0058636B">
        <w:t xml:space="preserve">paridad </w:t>
      </w:r>
      <w:r>
        <w:t>en</w:t>
      </w:r>
      <w:r w:rsidR="0058636B">
        <w:t>tre</w:t>
      </w:r>
      <w:r>
        <w:t xml:space="preserve"> los seres. Se manifesta</w:t>
      </w:r>
      <w:r w:rsidR="0058636B">
        <w:t>rá</w:t>
      </w:r>
      <w:r>
        <w:t xml:space="preserve"> como el </w:t>
      </w:r>
      <w:r w:rsidR="0058636B">
        <w:t xml:space="preserve">apaciguamiento </w:t>
      </w:r>
      <w:r>
        <w:t xml:space="preserve">del resentimiento y la aprobación. Su </w:t>
      </w:r>
      <w:r w:rsidRPr="007002CF">
        <w:rPr>
          <w:i/>
          <w:iCs/>
        </w:rPr>
        <w:t>causa próxima</w:t>
      </w:r>
      <w:r>
        <w:t xml:space="preserve"> </w:t>
      </w:r>
      <w:r w:rsidR="007002CF">
        <w:t xml:space="preserve">consistirá en apreciar </w:t>
      </w:r>
      <w:r>
        <w:t xml:space="preserve">la propiedad de las acciones </w:t>
      </w:r>
      <w:r w:rsidR="005B6B6F">
        <w:t xml:space="preserve">de cada ser </w:t>
      </w:r>
      <w:r>
        <w:t>(</w:t>
      </w:r>
      <w:proofErr w:type="spellStart"/>
      <w:r w:rsidR="00057BF4" w:rsidRPr="00057BF4">
        <w:rPr>
          <w:i/>
          <w:iCs/>
        </w:rPr>
        <w:t>kamma</w:t>
      </w:r>
      <w:proofErr w:type="spellEnd"/>
      <w:r>
        <w:t xml:space="preserve">) así: “Los seres son dueños de sus </w:t>
      </w:r>
      <w:r w:rsidR="00696B3E">
        <w:t xml:space="preserve">propias </w:t>
      </w:r>
      <w:r>
        <w:t>acciones. ¿</w:t>
      </w:r>
      <w:r w:rsidR="00696B3E">
        <w:t>A</w:t>
      </w:r>
      <w:r>
        <w:t xml:space="preserve"> quién</w:t>
      </w:r>
      <w:r w:rsidR="004230E6">
        <w:t>es</w:t>
      </w:r>
      <w:r w:rsidRPr="000C43D5">
        <w:rPr>
          <w:vertAlign w:val="superscript"/>
        </w:rPr>
        <w:t>13</w:t>
      </w:r>
      <w:r>
        <w:t xml:space="preserve"> [si no </w:t>
      </w:r>
      <w:r w:rsidR="00707A98">
        <w:t>a</w:t>
      </w:r>
      <w:r>
        <w:t xml:space="preserve"> ellos] </w:t>
      </w:r>
      <w:r w:rsidR="006C09D0">
        <w:t xml:space="preserve">les </w:t>
      </w:r>
      <w:r w:rsidR="00696B3E">
        <w:t>corresp</w:t>
      </w:r>
      <w:r w:rsidR="008F76A9">
        <w:t>o</w:t>
      </w:r>
      <w:r w:rsidR="00696B3E">
        <w:t xml:space="preserve">nderá </w:t>
      </w:r>
      <w:r>
        <w:t xml:space="preserve">la elección </w:t>
      </w:r>
      <w:r w:rsidR="004230E6">
        <w:t>de</w:t>
      </w:r>
      <w:r w:rsidR="006C09D0">
        <w:t xml:space="preserve"> ser</w:t>
      </w:r>
      <w:r>
        <w:t xml:space="preserve"> felices, o librar</w:t>
      </w:r>
      <w:r w:rsidR="006C09D0">
        <w:t>se</w:t>
      </w:r>
      <w:r>
        <w:t xml:space="preserve"> del sufrimiento, o no abandonar el éxito que </w:t>
      </w:r>
      <w:r w:rsidR="006C09D0">
        <w:t xml:space="preserve">se </w:t>
      </w:r>
      <w:r>
        <w:t>ha</w:t>
      </w:r>
      <w:r w:rsidR="008F76A9">
        <w:t>ya</w:t>
      </w:r>
      <w:r>
        <w:t xml:space="preserve"> alcanzado?” </w:t>
      </w:r>
      <w:r w:rsidR="00707A98">
        <w:t xml:space="preserve">La </w:t>
      </w:r>
      <w:r w:rsidR="00707A98">
        <w:rPr>
          <w:i/>
          <w:iCs/>
        </w:rPr>
        <w:t xml:space="preserve">ecuanimidad </w:t>
      </w:r>
      <w:r w:rsidR="00707A98">
        <w:t>t</w:t>
      </w:r>
      <w:r w:rsidR="008F76A9">
        <w:t xml:space="preserve">endrá </w:t>
      </w:r>
      <w:r>
        <w:t>éxito cuando ha</w:t>
      </w:r>
      <w:r w:rsidR="008F76A9">
        <w:t>ga</w:t>
      </w:r>
      <w:r>
        <w:t xml:space="preserve"> que el resentimiento y la aprobación </w:t>
      </w:r>
      <w:r w:rsidR="00707A98">
        <w:t>se disipen</w:t>
      </w:r>
      <w:r>
        <w:t xml:space="preserve">, y </w:t>
      </w:r>
      <w:r w:rsidR="008F76A9">
        <w:t xml:space="preserve">fracasará </w:t>
      </w:r>
      <w:r>
        <w:t>cuando produ</w:t>
      </w:r>
      <w:r w:rsidR="008F76A9">
        <w:t>zca</w:t>
      </w:r>
      <w:r>
        <w:t xml:space="preserve"> la ecuanimidad del desconocimiento, que </w:t>
      </w:r>
      <w:r w:rsidR="008F76A9">
        <w:t xml:space="preserve">corresponde a </w:t>
      </w:r>
      <w:r>
        <w:t xml:space="preserve">esa indiferencia mundana de la ignorancia basada en la vida </w:t>
      </w:r>
      <w:r w:rsidR="004E45B0">
        <w:t>doméstica</w:t>
      </w:r>
      <w:r>
        <w:t>.</w:t>
      </w:r>
    </w:p>
    <w:p w14:paraId="4E8C987C" w14:textId="77777777" w:rsidR="0062106C" w:rsidRDefault="0062106C" w:rsidP="0062106C">
      <w:pPr>
        <w:jc w:val="center"/>
      </w:pPr>
      <w:r>
        <w:t>[</w:t>
      </w:r>
      <w:r w:rsidRPr="0062106C">
        <w:rPr>
          <w:i/>
          <w:iCs/>
        </w:rPr>
        <w:t>Objetivo</w:t>
      </w:r>
      <w:r>
        <w:t>]</w:t>
      </w:r>
    </w:p>
    <w:p w14:paraId="02C2BF04" w14:textId="675445F4" w:rsidR="0062106C" w:rsidRDefault="0062106C" w:rsidP="0062106C">
      <w:r>
        <w:t xml:space="preserve">97. </w:t>
      </w:r>
      <w:r>
        <w:tab/>
        <w:t xml:space="preserve">El </w:t>
      </w:r>
      <w:r w:rsidR="00176C32">
        <w:t>objetivo</w:t>
      </w:r>
      <w:r>
        <w:t xml:space="preserve"> general de est</w:t>
      </w:r>
      <w:r w:rsidR="004E45B0">
        <w:t>o</w:t>
      </w:r>
      <w:r>
        <w:t xml:space="preserve">s cuatro </w:t>
      </w:r>
      <w:r w:rsidR="004E45B0">
        <w:t>estados</w:t>
      </w:r>
      <w:r>
        <w:t xml:space="preserve"> divin</w:t>
      </w:r>
      <w:r w:rsidR="004E45B0">
        <w:t>o</w:t>
      </w:r>
      <w:r>
        <w:t xml:space="preserve">s es la dicha de la </w:t>
      </w:r>
      <w:r w:rsidR="00ED2230" w:rsidRPr="00527EA6">
        <w:t>sabid</w:t>
      </w:r>
      <w:r w:rsidR="00ED2230">
        <w:t>uría–revelativa</w:t>
      </w:r>
      <w:r w:rsidR="004E45B0">
        <w:t xml:space="preserve"> </w:t>
      </w:r>
      <w:r>
        <w:t>y una excelente forma de existencia</w:t>
      </w:r>
      <w:r w:rsidR="00327B08" w:rsidRPr="00327B08">
        <w:t xml:space="preserve"> </w:t>
      </w:r>
      <w:r w:rsidR="00327B08">
        <w:t>futura</w:t>
      </w:r>
      <w:r>
        <w:t xml:space="preserve">. Lo peculiar de cada uno es, respectivamente, la protección contra la mala voluntad, </w:t>
      </w:r>
      <w:r w:rsidR="00176C32">
        <w:t>etc</w:t>
      </w:r>
      <w:r>
        <w:t xml:space="preserve">. Porque aquí la </w:t>
      </w:r>
      <w:r w:rsidR="00FB6DCF">
        <w:t xml:space="preserve">transmisión de </w:t>
      </w:r>
      <w:r w:rsidR="005E5FCE" w:rsidRPr="0082231D">
        <w:rPr>
          <w:i/>
          <w:iCs/>
        </w:rPr>
        <w:t>amor–benevolente</w:t>
      </w:r>
      <w:r w:rsidR="00FB6DCF">
        <w:rPr>
          <w:i/>
          <w:iCs/>
        </w:rPr>
        <w:t xml:space="preserve"> </w:t>
      </w:r>
      <w:r>
        <w:t xml:space="preserve">tiene </w:t>
      </w:r>
      <w:r w:rsidR="00FB6DCF">
        <w:t xml:space="preserve">como </w:t>
      </w:r>
      <w:r>
        <w:t>propósito evitar la mala voluntad, mientras que las otras tienen el propósito respectivo de evitar la crueldad, la aversión (</w:t>
      </w:r>
      <w:r w:rsidR="00FB6DCF">
        <w:t>el fastidio</w:t>
      </w:r>
      <w:r>
        <w:t xml:space="preserve">) y la codicia o el resentimiento. Y esto también se </w:t>
      </w:r>
      <w:r w:rsidR="00B85B32">
        <w:t>menciona</w:t>
      </w:r>
      <w:r>
        <w:t>: “</w:t>
      </w:r>
      <w:r w:rsidR="002069F6">
        <w:t xml:space="preserve">Ya </w:t>
      </w:r>
      <w:r>
        <w:t xml:space="preserve">que </w:t>
      </w:r>
      <w:r w:rsidR="004819AF">
        <w:t>é</w:t>
      </w:r>
      <w:r>
        <w:t xml:space="preserve">ste es el escape de la mala voluntad, amigos, es decir, la liberación </w:t>
      </w:r>
      <w:r w:rsidR="004819AF">
        <w:t xml:space="preserve">mental </w:t>
      </w:r>
      <w:r>
        <w:t xml:space="preserve">del </w:t>
      </w:r>
      <w:r w:rsidR="005E5FCE" w:rsidRPr="0082231D">
        <w:rPr>
          <w:i/>
          <w:iCs/>
        </w:rPr>
        <w:t>amor–benevolente</w:t>
      </w:r>
      <w:r>
        <w:t xml:space="preserve"> … </w:t>
      </w:r>
      <w:r w:rsidR="004819AF">
        <w:t xml:space="preserve">Ya </w:t>
      </w:r>
      <w:r>
        <w:t xml:space="preserve">que </w:t>
      </w:r>
      <w:r w:rsidR="004819AF">
        <w:t xml:space="preserve">éste </w:t>
      </w:r>
      <w:r>
        <w:t xml:space="preserve">es el escape de la crueldad, amigos, es decir, la liberación </w:t>
      </w:r>
      <w:r w:rsidR="004819AF">
        <w:t xml:space="preserve">mental </w:t>
      </w:r>
      <w:r>
        <w:t xml:space="preserve">de la </w:t>
      </w:r>
      <w:r w:rsidRPr="004819AF">
        <w:rPr>
          <w:i/>
          <w:iCs/>
        </w:rPr>
        <w:t>compasión</w:t>
      </w:r>
      <w:r>
        <w:t xml:space="preserve">... </w:t>
      </w:r>
      <w:r w:rsidR="004819AF">
        <w:t xml:space="preserve">Ya </w:t>
      </w:r>
      <w:r>
        <w:t xml:space="preserve">que </w:t>
      </w:r>
      <w:r w:rsidR="004819AF">
        <w:t>é</w:t>
      </w:r>
      <w:r>
        <w:t xml:space="preserve">ste es el escape del aburrimiento, amigos, es decir, la liberación </w:t>
      </w:r>
      <w:r w:rsidR="004819AF">
        <w:t xml:space="preserve">mental </w:t>
      </w:r>
      <w:r>
        <w:t xml:space="preserve">de la </w:t>
      </w:r>
      <w:r w:rsidRPr="004819AF">
        <w:rPr>
          <w:i/>
          <w:iCs/>
        </w:rPr>
        <w:t>alegría</w:t>
      </w:r>
      <w:r w:rsidR="004819AF">
        <w:rPr>
          <w:i/>
          <w:iCs/>
        </w:rPr>
        <w:t xml:space="preserve"> altruista</w:t>
      </w:r>
      <w:r>
        <w:t xml:space="preserve">... </w:t>
      </w:r>
      <w:r w:rsidR="004819AF">
        <w:t xml:space="preserve">Ya </w:t>
      </w:r>
      <w:r>
        <w:t xml:space="preserve">que </w:t>
      </w:r>
      <w:r w:rsidR="004819AF">
        <w:t xml:space="preserve">éste </w:t>
      </w:r>
      <w:r>
        <w:t xml:space="preserve">es el escape de la codicia, amigos, es decir, la liberación </w:t>
      </w:r>
      <w:r w:rsidR="004819AF">
        <w:t xml:space="preserve">mental </w:t>
      </w:r>
      <w:r>
        <w:t xml:space="preserve">de la </w:t>
      </w:r>
      <w:r w:rsidRPr="004819AF">
        <w:rPr>
          <w:i/>
          <w:iCs/>
        </w:rPr>
        <w:t>ecuanimidad</w:t>
      </w:r>
      <w:r>
        <w:t>” (D III 248).</w:t>
      </w:r>
    </w:p>
    <w:p w14:paraId="36A4097C" w14:textId="77777777" w:rsidR="0015379D" w:rsidRDefault="0015379D" w:rsidP="0062106C"/>
    <w:p w14:paraId="0426BA7F" w14:textId="4D120724" w:rsidR="0062106C" w:rsidRDefault="0062106C" w:rsidP="0062106C">
      <w:pPr>
        <w:jc w:val="center"/>
      </w:pPr>
      <w:r>
        <w:t>[</w:t>
      </w:r>
      <w:r w:rsidRPr="0062106C">
        <w:rPr>
          <w:i/>
          <w:iCs/>
        </w:rPr>
        <w:t>Los Enemigos Cercanos y Lejanos</w:t>
      </w:r>
      <w:r>
        <w:t>]</w:t>
      </w:r>
    </w:p>
    <w:p w14:paraId="5CCD5CE6" w14:textId="4609038B" w:rsidR="0062106C" w:rsidRDefault="0062106C" w:rsidP="0062106C">
      <w:r>
        <w:t xml:space="preserve">98. </w:t>
      </w:r>
      <w:r>
        <w:tab/>
        <w:t xml:space="preserve">Y aquí cada </w:t>
      </w:r>
      <w:r w:rsidR="004819AF">
        <w:t>estado</w:t>
      </w:r>
      <w:r>
        <w:t xml:space="preserve"> </w:t>
      </w:r>
      <w:r w:rsidR="004819AF">
        <w:t xml:space="preserve">posee </w:t>
      </w:r>
      <w:r>
        <w:t>dos enemigos, uno cercano y otro lejano.</w:t>
      </w:r>
    </w:p>
    <w:p w14:paraId="4D71CE51" w14:textId="0F18DE39" w:rsidR="0062106C" w:rsidRDefault="004819AF" w:rsidP="009D74D2">
      <w:pPr>
        <w:pStyle w:val="NormalConSangria"/>
      </w:pPr>
      <w:r>
        <w:t xml:space="preserve">El estado divino </w:t>
      </w:r>
      <w:r w:rsidR="0062106C">
        <w:t xml:space="preserve">de la </w:t>
      </w:r>
      <w:r>
        <w:t xml:space="preserve">transmisión del </w:t>
      </w:r>
      <w:r w:rsidR="005E5FCE" w:rsidRPr="0082231D">
        <w:rPr>
          <w:i/>
          <w:iCs/>
        </w:rPr>
        <w:t>amor–benevolente</w:t>
      </w:r>
      <w:r>
        <w:t xml:space="preserve"> </w:t>
      </w:r>
      <w:r w:rsidR="0062106C">
        <w:t>[319] tiene a la codicia como su enemigo cercano,</w:t>
      </w:r>
      <w:r w:rsidR="0062106C" w:rsidRPr="000C43D5">
        <w:rPr>
          <w:vertAlign w:val="superscript"/>
        </w:rPr>
        <w:t>14</w:t>
      </w:r>
      <w:r w:rsidR="0062106C">
        <w:t xml:space="preserve"> ya que ambas comparten la visión de las virtudes. La codicia se comporta como un enemigo que se mantiene cerca de un hombre y encuentra fácilmente </w:t>
      </w:r>
      <w:r w:rsidR="00676B79">
        <w:t>cualquier</w:t>
      </w:r>
      <w:r w:rsidR="0062106C">
        <w:t xml:space="preserve"> oportunidad. </w:t>
      </w:r>
    </w:p>
    <w:p w14:paraId="769BF3AC" w14:textId="77777777" w:rsidR="0062106C" w:rsidRDefault="0062106C" w:rsidP="0062106C">
      <w:pPr>
        <w:pStyle w:val="Piedepgina"/>
        <w:rPr>
          <w:u w:val="single"/>
        </w:rPr>
      </w:pPr>
      <w:r>
        <w:rPr>
          <w:u w:val="single"/>
        </w:rPr>
        <w:t xml:space="preserve">                                                                                                                                                                          .</w:t>
      </w:r>
    </w:p>
    <w:p w14:paraId="30B06C47" w14:textId="2A122B8E" w:rsidR="0062106C" w:rsidRDefault="0062106C" w:rsidP="0062106C">
      <w:pPr>
        <w:pStyle w:val="PiedepginaLegal"/>
      </w:pPr>
      <w:r>
        <w:t xml:space="preserve">12. </w:t>
      </w:r>
      <w:r w:rsidR="009D74D2">
        <w:tab/>
      </w:r>
      <w:r w:rsidR="009875D7">
        <w:t>Así</w:t>
      </w:r>
      <w:r>
        <w:t xml:space="preserve"> </w:t>
      </w:r>
      <w:proofErr w:type="spellStart"/>
      <w:r>
        <w:t>Vism-mhṭ</w:t>
      </w:r>
      <w:proofErr w:type="spellEnd"/>
      <w:r>
        <w:t xml:space="preserve"> 309.</w:t>
      </w:r>
    </w:p>
    <w:p w14:paraId="7B36B2A9" w14:textId="37111BEF" w:rsidR="0062106C" w:rsidRDefault="0062106C" w:rsidP="0062106C">
      <w:pPr>
        <w:pStyle w:val="PiedepginaLegal"/>
      </w:pPr>
      <w:r>
        <w:t xml:space="preserve">13. </w:t>
      </w:r>
      <w:r w:rsidR="009D74D2">
        <w:tab/>
      </w:r>
      <w:r>
        <w:t xml:space="preserve">Todos los textos </w:t>
      </w:r>
      <w:r w:rsidR="0068146D">
        <w:t>hacen la lectura como</w:t>
      </w:r>
      <w:r>
        <w:t xml:space="preserve"> </w:t>
      </w:r>
      <w:proofErr w:type="spellStart"/>
      <w:r w:rsidRPr="000066BC">
        <w:rPr>
          <w:i/>
          <w:iCs/>
        </w:rPr>
        <w:t>kassa</w:t>
      </w:r>
      <w:proofErr w:type="spellEnd"/>
      <w:r>
        <w:t xml:space="preserve"> (</w:t>
      </w:r>
      <w:r w:rsidR="004230E6">
        <w:t>A quienes</w:t>
      </w:r>
      <w:r>
        <w:t xml:space="preserve">), lo cual se confirma en la cita traducida en la nota 20. Es tentador, en vista del contexto, </w:t>
      </w:r>
      <w:r w:rsidR="00B55A48">
        <w:t>hacer la lectura como</w:t>
      </w:r>
      <w:r>
        <w:t xml:space="preserve"> </w:t>
      </w:r>
      <w:proofErr w:type="spellStart"/>
      <w:r w:rsidR="00057BF4" w:rsidRPr="00057BF4">
        <w:rPr>
          <w:i/>
          <w:iCs/>
        </w:rPr>
        <w:t>kamma</w:t>
      </w:r>
      <w:r w:rsidRPr="000066BC">
        <w:rPr>
          <w:i/>
          <w:iCs/>
        </w:rPr>
        <w:t>ssa</w:t>
      </w:r>
      <w:proofErr w:type="spellEnd"/>
      <w:r>
        <w:t xml:space="preserve"> (de </w:t>
      </w:r>
      <w:proofErr w:type="spellStart"/>
      <w:r w:rsidR="00057BF4" w:rsidRPr="00057BF4">
        <w:rPr>
          <w:i/>
          <w:iCs/>
        </w:rPr>
        <w:t>kamma</w:t>
      </w:r>
      <w:proofErr w:type="spellEnd"/>
      <w:r>
        <w:t xml:space="preserve">), pero no hay autoridad para ello. La declaración sería entonces una afirmación en lugar de una pregunta. </w:t>
      </w:r>
    </w:p>
    <w:p w14:paraId="730D3654" w14:textId="605A9502" w:rsidR="009D74D2" w:rsidRDefault="0062106C" w:rsidP="0062106C">
      <w:pPr>
        <w:pStyle w:val="PiedepginaLegal"/>
      </w:pPr>
      <w:r>
        <w:t xml:space="preserve">14. </w:t>
      </w:r>
      <w:r w:rsidR="009D74D2">
        <w:tab/>
      </w:r>
      <w:r>
        <w:t xml:space="preserve">“La codicia es el enemigo cercano de la </w:t>
      </w:r>
      <w:r w:rsidR="004819AF">
        <w:t xml:space="preserve">transmisión del </w:t>
      </w:r>
      <w:r w:rsidR="005E5FCE" w:rsidRPr="0082231D">
        <w:rPr>
          <w:i/>
          <w:iCs/>
        </w:rPr>
        <w:t>amor–benevolente</w:t>
      </w:r>
      <w:r w:rsidR="004819AF">
        <w:t xml:space="preserve"> </w:t>
      </w:r>
      <w:r>
        <w:t>ya que es capaz de corromper debido a su similitud, como un enemigo disfrazado de amigo” (</w:t>
      </w:r>
      <w:proofErr w:type="spellStart"/>
      <w:r>
        <w:t>Vism-mhṭ</w:t>
      </w:r>
      <w:proofErr w:type="spellEnd"/>
      <w:r>
        <w:t xml:space="preserve"> 309)</w:t>
      </w:r>
      <w:r w:rsidR="009D74D2">
        <w:t>.</w:t>
      </w:r>
    </w:p>
    <w:p w14:paraId="1EE714C0" w14:textId="77777777" w:rsidR="009D74D2" w:rsidRDefault="009D74D2">
      <w:pPr>
        <w:tabs>
          <w:tab w:val="clear" w:pos="425"/>
        </w:tabs>
        <w:spacing w:after="160"/>
        <w:rPr>
          <w:color w:val="000000" w:themeColor="text1"/>
          <w:spacing w:val="10"/>
          <w:sz w:val="14"/>
        </w:rPr>
      </w:pPr>
      <w:r>
        <w:br w:type="page"/>
      </w:r>
    </w:p>
    <w:p w14:paraId="3FDEF49B" w14:textId="37F20B75" w:rsidR="00B87568" w:rsidRDefault="00B87568" w:rsidP="00B87568">
      <w:r>
        <w:lastRenderedPageBreak/>
        <w:br/>
      </w:r>
      <w:r w:rsidR="00676B79">
        <w:t xml:space="preserve">Así que la transmisión del </w:t>
      </w:r>
      <w:r w:rsidR="005E5FCE" w:rsidRPr="0082231D">
        <w:rPr>
          <w:i/>
          <w:iCs/>
        </w:rPr>
        <w:t>amor–benevolente</w:t>
      </w:r>
      <w:r w:rsidR="00676B79">
        <w:t xml:space="preserve"> debe</w:t>
      </w:r>
      <w:r w:rsidR="00606173">
        <w:t>rá</w:t>
      </w:r>
      <w:r w:rsidR="00676B79">
        <w:t xml:space="preserve"> estar bien protegida de ella. Y la mala voluntad, que es </w:t>
      </w:r>
      <w:r w:rsidR="00B05A8D">
        <w:t xml:space="preserve">el enemigo </w:t>
      </w:r>
      <w:r w:rsidR="00606173">
        <w:t>disimilar</w:t>
      </w:r>
      <w:r w:rsidR="00676B79">
        <w:t xml:space="preserve"> al</w:t>
      </w:r>
      <w:r w:rsidR="007C5C9B">
        <w:t xml:space="preserve"> enemigo</w:t>
      </w:r>
      <w:r w:rsidR="00676B79">
        <w:t xml:space="preserve"> </w:t>
      </w:r>
      <w:r w:rsidR="00606173">
        <w:t xml:space="preserve">similar </w:t>
      </w:r>
      <w:r w:rsidR="007C5C9B">
        <w:t xml:space="preserve">de la </w:t>
      </w:r>
      <w:r w:rsidR="00676B79">
        <w:t xml:space="preserve">codicia, </w:t>
      </w:r>
      <w:r w:rsidR="007C5C9B">
        <w:t xml:space="preserve">será </w:t>
      </w:r>
      <w:r w:rsidR="00676B79">
        <w:t xml:space="preserve">su enemigo lejano como un enemigo instalado en un desierto rocoso. Así que </w:t>
      </w:r>
      <w:r>
        <w:t xml:space="preserve">la </w:t>
      </w:r>
      <w:r w:rsidR="002F2CB5">
        <w:t xml:space="preserve">transmisión del </w:t>
      </w:r>
      <w:r w:rsidR="005E5FCE" w:rsidRPr="0082231D">
        <w:rPr>
          <w:i/>
          <w:iCs/>
        </w:rPr>
        <w:t>amor–benevolente</w:t>
      </w:r>
      <w:r w:rsidR="002F2CB5">
        <w:rPr>
          <w:i/>
          <w:iCs/>
        </w:rPr>
        <w:t xml:space="preserve"> </w:t>
      </w:r>
      <w:r>
        <w:t>debe</w:t>
      </w:r>
      <w:r w:rsidR="007C5C9B">
        <w:t>rá</w:t>
      </w:r>
      <w:r>
        <w:t xml:space="preserve"> practicarse sin miedo </w:t>
      </w:r>
      <w:r w:rsidR="007C5C9B">
        <w:t xml:space="preserve">hacia </w:t>
      </w:r>
      <w:r>
        <w:t>e</w:t>
      </w:r>
      <w:r w:rsidR="002F2CB5">
        <w:t>ll</w:t>
      </w:r>
      <w:r>
        <w:t xml:space="preserve">o; porque no </w:t>
      </w:r>
      <w:r w:rsidR="002F2CB5">
        <w:t xml:space="preserve">será </w:t>
      </w:r>
      <w:r>
        <w:t xml:space="preserve">posible practicar la </w:t>
      </w:r>
      <w:r w:rsidR="002F2CB5">
        <w:t xml:space="preserve">transmisión del </w:t>
      </w:r>
      <w:r w:rsidR="005E5FCE" w:rsidRPr="0082231D">
        <w:rPr>
          <w:i/>
          <w:iCs/>
        </w:rPr>
        <w:t>amor–benevolente</w:t>
      </w:r>
      <w:r w:rsidR="002F2CB5">
        <w:rPr>
          <w:i/>
          <w:iCs/>
        </w:rPr>
        <w:t xml:space="preserve"> </w:t>
      </w:r>
      <w:r>
        <w:t xml:space="preserve">y sentir simultáneamente </w:t>
      </w:r>
      <w:r w:rsidR="002F2CB5">
        <w:t xml:space="preserve">ira </w:t>
      </w:r>
      <w:r>
        <w:t>(ver D III 247-48).</w:t>
      </w:r>
    </w:p>
    <w:p w14:paraId="675AA929" w14:textId="28116FE7" w:rsidR="00B87568" w:rsidRDefault="00B87568" w:rsidP="00B87568">
      <w:r>
        <w:t xml:space="preserve">99. </w:t>
      </w:r>
      <w:r>
        <w:tab/>
        <w:t xml:space="preserve">La </w:t>
      </w:r>
      <w:r w:rsidR="002F2CB5">
        <w:t xml:space="preserve">transmisión de </w:t>
      </w:r>
      <w:r w:rsidRPr="000066BC">
        <w:rPr>
          <w:i/>
          <w:iCs/>
        </w:rPr>
        <w:t>compasión</w:t>
      </w:r>
      <w:r>
        <w:t xml:space="preserve"> </w:t>
      </w:r>
      <w:r w:rsidR="002F2CB5">
        <w:t xml:space="preserve">tendrá </w:t>
      </w:r>
      <w:r>
        <w:t xml:space="preserve">como enemigo cercano </w:t>
      </w:r>
      <w:r w:rsidR="009C0CE0">
        <w:t>a la aflicción</w:t>
      </w:r>
      <w:r>
        <w:t xml:space="preserve"> basad</w:t>
      </w:r>
      <w:r w:rsidR="009C0CE0">
        <w:t>a</w:t>
      </w:r>
      <w:r>
        <w:t xml:space="preserve"> en la vida </w:t>
      </w:r>
      <w:r w:rsidR="009C0CE0">
        <w:t>doméstica</w:t>
      </w:r>
      <w:r>
        <w:t xml:space="preserve">, ya que ambos comparten la visión del fracaso. Tal </w:t>
      </w:r>
      <w:r w:rsidR="007B1728">
        <w:t xml:space="preserve">aflicción </w:t>
      </w:r>
      <w:r>
        <w:t xml:space="preserve">se ha descrito en el </w:t>
      </w:r>
      <w:r w:rsidR="007B1728">
        <w:t>pasaje</w:t>
      </w:r>
      <w:r>
        <w:t xml:space="preserve"> que comienza: “Cuando un hombre consider</w:t>
      </w:r>
      <w:r w:rsidR="007B1728">
        <w:t>e</w:t>
      </w:r>
      <w:r>
        <w:t xml:space="preserve"> como una privación el no poder obtener objetos visibles reconocibles por el ojo que s</w:t>
      </w:r>
      <w:r w:rsidR="00250C9D">
        <w:t>ea</w:t>
      </w:r>
      <w:r>
        <w:t xml:space="preserve">n </w:t>
      </w:r>
      <w:r w:rsidR="00250C9D">
        <w:t>procurados</w:t>
      </w:r>
      <w:r>
        <w:t>, deseados, agradables, gratificantes y asociados con la mundanalidad, o cuando recuerd</w:t>
      </w:r>
      <w:r w:rsidR="002C7DE4">
        <w:t>e</w:t>
      </w:r>
      <w:r>
        <w:t xml:space="preserve"> los anteriormente obtenidos. pasados, cesados ​​y cambiados, entonces surg</w:t>
      </w:r>
      <w:r w:rsidR="002C7DE4">
        <w:t>irá</w:t>
      </w:r>
      <w:r>
        <w:t xml:space="preserve"> </w:t>
      </w:r>
      <w:r w:rsidR="002C7DE4">
        <w:t xml:space="preserve">la aflicción </w:t>
      </w:r>
      <w:r>
        <w:t xml:space="preserve">en él. </w:t>
      </w:r>
      <w:r w:rsidR="00250C9D">
        <w:t>A t</w:t>
      </w:r>
      <w:r>
        <w:t xml:space="preserve">al </w:t>
      </w:r>
      <w:r w:rsidR="002C7DE4">
        <w:t xml:space="preserve">aflicción </w:t>
      </w:r>
      <w:r>
        <w:t xml:space="preserve">como </w:t>
      </w:r>
      <w:r w:rsidR="002C7DE4">
        <w:t xml:space="preserve">la </w:t>
      </w:r>
      <w:r w:rsidR="00250C9D">
        <w:t>descrita</w:t>
      </w:r>
      <w:r w:rsidR="002C7DE4">
        <w:t xml:space="preserve"> </w:t>
      </w:r>
      <w:r>
        <w:t xml:space="preserve">se </w:t>
      </w:r>
      <w:r w:rsidR="00AE567C">
        <w:t xml:space="preserve">le </w:t>
      </w:r>
      <w:r>
        <w:t xml:space="preserve">llama </w:t>
      </w:r>
      <w:r w:rsidR="00AE567C">
        <w:t xml:space="preserve">aflicción </w:t>
      </w:r>
      <w:r>
        <w:t>basad</w:t>
      </w:r>
      <w:r w:rsidR="00AE567C">
        <w:t>a</w:t>
      </w:r>
      <w:r>
        <w:t xml:space="preserve"> en la vida </w:t>
      </w:r>
      <w:r w:rsidR="00AE567C">
        <w:t>doméstica</w:t>
      </w:r>
      <w:r>
        <w:t xml:space="preserve">” (M III 218). Y la crueldad, que es </w:t>
      </w:r>
      <w:r w:rsidR="00250C9D">
        <w:t xml:space="preserve">el enemigo </w:t>
      </w:r>
      <w:r w:rsidR="007B6D29">
        <w:t>disimilar</w:t>
      </w:r>
      <w:r>
        <w:t xml:space="preserve"> al </w:t>
      </w:r>
      <w:r w:rsidR="006C47E7">
        <w:t xml:space="preserve">similar </w:t>
      </w:r>
      <w:r w:rsidR="004D71B8">
        <w:t xml:space="preserve">de la </w:t>
      </w:r>
      <w:r w:rsidR="007B6D29">
        <w:t>aflicción</w:t>
      </w:r>
      <w:r>
        <w:t xml:space="preserve">, </w:t>
      </w:r>
      <w:r w:rsidR="006C47E7">
        <w:t xml:space="preserve">será </w:t>
      </w:r>
      <w:r>
        <w:t xml:space="preserve">su enemigo lejano. Así que la </w:t>
      </w:r>
      <w:r w:rsidR="004A2040">
        <w:t xml:space="preserve">transmisión de </w:t>
      </w:r>
      <w:r w:rsidR="004D71B8">
        <w:t xml:space="preserve">la </w:t>
      </w:r>
      <w:r w:rsidR="004A2040" w:rsidRPr="000066BC">
        <w:rPr>
          <w:i/>
          <w:iCs/>
        </w:rPr>
        <w:t>compasión</w:t>
      </w:r>
      <w:r w:rsidR="004A2040">
        <w:t xml:space="preserve"> </w:t>
      </w:r>
      <w:r>
        <w:t>debe</w:t>
      </w:r>
      <w:r w:rsidR="004D71B8">
        <w:t>rá</w:t>
      </w:r>
      <w:r>
        <w:t xml:space="preserve"> practicarse libre de miedo </w:t>
      </w:r>
      <w:r w:rsidR="004D71B8">
        <w:t xml:space="preserve">hacia </w:t>
      </w:r>
      <w:r>
        <w:t>e</w:t>
      </w:r>
      <w:r w:rsidR="004A2040">
        <w:t>ll</w:t>
      </w:r>
      <w:r>
        <w:t xml:space="preserve">o; porque no </w:t>
      </w:r>
      <w:r w:rsidR="004A2040">
        <w:t xml:space="preserve">será </w:t>
      </w:r>
      <w:r>
        <w:t xml:space="preserve">posible practicar la </w:t>
      </w:r>
      <w:r w:rsidR="006C47E7">
        <w:t xml:space="preserve">transmisión de </w:t>
      </w:r>
      <w:r w:rsidR="006C47E7" w:rsidRPr="000066BC">
        <w:rPr>
          <w:i/>
          <w:iCs/>
        </w:rPr>
        <w:t>compasión</w:t>
      </w:r>
      <w:r w:rsidR="006C47E7">
        <w:t xml:space="preserve"> </w:t>
      </w:r>
      <w:r>
        <w:t xml:space="preserve">y ser cruel </w:t>
      </w:r>
      <w:r w:rsidR="00C87340">
        <w:t>con los seres</w:t>
      </w:r>
      <w:r>
        <w:t xml:space="preserve"> simultáneamente.</w:t>
      </w:r>
    </w:p>
    <w:p w14:paraId="1C187558" w14:textId="1310154E" w:rsidR="00B87568" w:rsidRDefault="00B87568" w:rsidP="00B87568">
      <w:r>
        <w:t xml:space="preserve">100. </w:t>
      </w:r>
      <w:r>
        <w:tab/>
        <w:t xml:space="preserve">La </w:t>
      </w:r>
      <w:r w:rsidR="00D87697">
        <w:t xml:space="preserve">transmisión de </w:t>
      </w:r>
      <w:r w:rsidR="00C87340">
        <w:t xml:space="preserve">la </w:t>
      </w:r>
      <w:r w:rsidRPr="000066BC">
        <w:rPr>
          <w:i/>
          <w:iCs/>
        </w:rPr>
        <w:t>alegría</w:t>
      </w:r>
      <w:r w:rsidR="00D87697">
        <w:rPr>
          <w:i/>
          <w:iCs/>
        </w:rPr>
        <w:t xml:space="preserve"> altruista</w:t>
      </w:r>
      <w:r>
        <w:t xml:space="preserve"> </w:t>
      </w:r>
      <w:r w:rsidR="00C87340">
        <w:t>tendrá</w:t>
      </w:r>
      <w:r>
        <w:t xml:space="preserve"> como enemigo cercano </w:t>
      </w:r>
      <w:r w:rsidR="00D87697">
        <w:t xml:space="preserve">a </w:t>
      </w:r>
      <w:r>
        <w:t xml:space="preserve">la alegría basada en la vida </w:t>
      </w:r>
      <w:r w:rsidR="00D87697">
        <w:t>doméstica</w:t>
      </w:r>
      <w:r>
        <w:t xml:space="preserve">, ya que ambas comparten la visión del éxito. Tal </w:t>
      </w:r>
      <w:r w:rsidR="00C1058E">
        <w:t>dicha</w:t>
      </w:r>
      <w:r>
        <w:t xml:space="preserve"> se ha descrito en el </w:t>
      </w:r>
      <w:r w:rsidR="00C1058E">
        <w:t xml:space="preserve">pasaje </w:t>
      </w:r>
      <w:r>
        <w:t>que comienza: “Cuando un hombre considera como ganancia la obtención de objetos visibles reconocibles por el ojo que se</w:t>
      </w:r>
      <w:r w:rsidR="00625E4E">
        <w:t>an</w:t>
      </w:r>
      <w:r>
        <w:t xml:space="preserve"> </w:t>
      </w:r>
      <w:r w:rsidR="00C87340">
        <w:t>procurados</w:t>
      </w:r>
      <w:r>
        <w:t>… y asociados con la mundanalidad, o recuerd</w:t>
      </w:r>
      <w:r w:rsidR="00C87340">
        <w:t>e</w:t>
      </w:r>
      <w:r>
        <w:t xml:space="preserve"> los obtenidos anteriormente pasados, cesados ​​y cambiados, entonces surg</w:t>
      </w:r>
      <w:r w:rsidR="00625E4E">
        <w:t>irá</w:t>
      </w:r>
      <w:r>
        <w:t xml:space="preserve"> la alegría en él. </w:t>
      </w:r>
      <w:r w:rsidR="00625E4E">
        <w:t>A u</w:t>
      </w:r>
      <w:r>
        <w:t xml:space="preserve">na alegría como </w:t>
      </w:r>
      <w:r w:rsidR="00676F83">
        <w:t>é</w:t>
      </w:r>
      <w:r>
        <w:t xml:space="preserve">sta se </w:t>
      </w:r>
      <w:r w:rsidR="00625E4E">
        <w:t xml:space="preserve">le </w:t>
      </w:r>
      <w:r w:rsidR="00676F83">
        <w:t>denominará</w:t>
      </w:r>
      <w:r>
        <w:t xml:space="preserve"> alegría basada en la vida </w:t>
      </w:r>
      <w:r w:rsidR="00625E4E">
        <w:t>doméstica</w:t>
      </w:r>
      <w:r>
        <w:t>” (M III 217). Y la aversión (</w:t>
      </w:r>
      <w:r w:rsidR="0067152A">
        <w:t>fastidio</w:t>
      </w:r>
      <w:r>
        <w:t xml:space="preserve">), </w:t>
      </w:r>
      <w:r w:rsidR="00C87340">
        <w:t>enemigo</w:t>
      </w:r>
      <w:r>
        <w:t xml:space="preserve"> </w:t>
      </w:r>
      <w:r w:rsidR="0067152A">
        <w:t xml:space="preserve">disimilar </w:t>
      </w:r>
      <w:r>
        <w:t xml:space="preserve">al </w:t>
      </w:r>
      <w:r w:rsidR="0067152A">
        <w:t xml:space="preserve">similar </w:t>
      </w:r>
      <w:r w:rsidR="00C87340">
        <w:t xml:space="preserve">de la </w:t>
      </w:r>
      <w:r>
        <w:t xml:space="preserve">alegría, </w:t>
      </w:r>
      <w:r w:rsidR="0067152A">
        <w:t xml:space="preserve">será </w:t>
      </w:r>
      <w:r>
        <w:t xml:space="preserve">su enemigo lejano. Por lo tanto, la </w:t>
      </w:r>
      <w:r w:rsidR="0067152A">
        <w:t xml:space="preserve">transmisión de </w:t>
      </w:r>
      <w:r w:rsidR="00C87340">
        <w:t xml:space="preserve">la </w:t>
      </w:r>
      <w:r w:rsidR="0067152A">
        <w:rPr>
          <w:i/>
          <w:iCs/>
        </w:rPr>
        <w:t>alegría altruista</w:t>
      </w:r>
      <w:r w:rsidR="0067152A">
        <w:t xml:space="preserve"> </w:t>
      </w:r>
      <w:r>
        <w:t>debe</w:t>
      </w:r>
      <w:r w:rsidR="0067152A">
        <w:t>rá</w:t>
      </w:r>
      <w:r>
        <w:t xml:space="preserve"> practicarse sin temor a e</w:t>
      </w:r>
      <w:r w:rsidR="0067152A">
        <w:t>ll</w:t>
      </w:r>
      <w:r>
        <w:t xml:space="preserve">o; porque no </w:t>
      </w:r>
      <w:r w:rsidR="0067152A">
        <w:t xml:space="preserve">será </w:t>
      </w:r>
      <w:r>
        <w:t xml:space="preserve">posible practicar la </w:t>
      </w:r>
      <w:r w:rsidR="0067152A">
        <w:t xml:space="preserve">transmisión de </w:t>
      </w:r>
      <w:r w:rsidR="0067152A">
        <w:rPr>
          <w:i/>
          <w:iCs/>
        </w:rPr>
        <w:t>alegría altruista</w:t>
      </w:r>
      <w:r w:rsidR="005E5C20">
        <w:rPr>
          <w:i/>
          <w:iCs/>
        </w:rPr>
        <w:t>,</w:t>
      </w:r>
      <w:r>
        <w:t xml:space="preserve"> estar descontento con </w:t>
      </w:r>
      <w:r w:rsidR="000B3751">
        <w:t>viviendas</w:t>
      </w:r>
      <w:r>
        <w:t xml:space="preserve"> remotas y </w:t>
      </w:r>
      <w:r w:rsidR="007839B6">
        <w:t xml:space="preserve">tener </w:t>
      </w:r>
      <w:r>
        <w:t xml:space="preserve">cosas relacionadas con </w:t>
      </w:r>
      <w:r w:rsidR="000B3751">
        <w:t xml:space="preserve">un </w:t>
      </w:r>
      <w:r>
        <w:t xml:space="preserve">mayor </w:t>
      </w:r>
      <w:r w:rsidR="00C1552D">
        <w:t>beneficio mundano</w:t>
      </w:r>
      <w:r w:rsidR="005E5C20">
        <w:t>,</w:t>
      </w:r>
      <w:r>
        <w:t xml:space="preserve"> simultáneamente.</w:t>
      </w:r>
    </w:p>
    <w:p w14:paraId="715A7693" w14:textId="5264C14A" w:rsidR="00B87568" w:rsidRDefault="00B87568" w:rsidP="00B87568">
      <w:r>
        <w:t xml:space="preserve">101. </w:t>
      </w:r>
      <w:r>
        <w:tab/>
        <w:t xml:space="preserve">La </w:t>
      </w:r>
      <w:r w:rsidR="00A84D15">
        <w:t xml:space="preserve">transmisión de </w:t>
      </w:r>
      <w:r w:rsidR="005E5C20">
        <w:t xml:space="preserve">la </w:t>
      </w:r>
      <w:r w:rsidRPr="000066BC">
        <w:rPr>
          <w:i/>
          <w:iCs/>
        </w:rPr>
        <w:t>ecuanimidad</w:t>
      </w:r>
      <w:r>
        <w:t xml:space="preserve"> </w:t>
      </w:r>
      <w:r w:rsidR="00C1552D">
        <w:t xml:space="preserve">tendrá </w:t>
      </w:r>
      <w:r w:rsidR="00A84D15">
        <w:t xml:space="preserve">a </w:t>
      </w:r>
      <w:r>
        <w:t>la ecuanimidad del desconocimiento basad</w:t>
      </w:r>
      <w:r w:rsidR="00865FA3">
        <w:t>o</w:t>
      </w:r>
      <w:r>
        <w:t xml:space="preserve"> en la vida </w:t>
      </w:r>
      <w:r w:rsidR="00A84D15">
        <w:t xml:space="preserve">doméstica </w:t>
      </w:r>
      <w:r>
        <w:t xml:space="preserve">como su enemigo cercano, ya que ambas comparten el </w:t>
      </w:r>
      <w:r w:rsidR="00A84D15">
        <w:t xml:space="preserve">hecho de </w:t>
      </w:r>
      <w:r>
        <w:t xml:space="preserve">ignorar las faltas y las virtudes. Tal desconocimiento ha sido descrito </w:t>
      </w:r>
      <w:r w:rsidR="00A84D15">
        <w:t xml:space="preserve">con </w:t>
      </w:r>
      <w:r>
        <w:t xml:space="preserve">el comienzo del </w:t>
      </w:r>
      <w:r w:rsidR="00355E51">
        <w:t>pasaje</w:t>
      </w:r>
      <w:r>
        <w:t>: “Al ver un objeto visible con el ojo, la ecuanimidad surge en el hombre común tonto y encaprichado, en el hombre común ignorante que no ha conquistado sus limitaciones, que no ha conquistado el resultado [</w:t>
      </w:r>
      <w:proofErr w:type="spellStart"/>
      <w:r w:rsidR="00057BF4" w:rsidRPr="00057BF4">
        <w:rPr>
          <w:i/>
          <w:iCs/>
        </w:rPr>
        <w:t>kamma</w:t>
      </w:r>
      <w:proofErr w:type="spellEnd"/>
      <w:r>
        <w:t xml:space="preserve">] futuro, que no percibe el peligro. </w:t>
      </w:r>
      <w:r w:rsidR="007B2AFB">
        <w:t>U</w:t>
      </w:r>
      <w:r w:rsidR="006E79F8">
        <w:t>na</w:t>
      </w:r>
      <w:r>
        <w:t xml:space="preserve"> ecuanimidad como </w:t>
      </w:r>
      <w:r w:rsidR="00355E51">
        <w:t>é</w:t>
      </w:r>
      <w:r>
        <w:t>sta no supera</w:t>
      </w:r>
      <w:r w:rsidR="00890628">
        <w:t>rá</w:t>
      </w:r>
      <w:r>
        <w:t xml:space="preserve"> </w:t>
      </w:r>
      <w:r w:rsidR="00890628">
        <w:t>a</w:t>
      </w:r>
      <w:r>
        <w:t xml:space="preserve">l objeto visible. </w:t>
      </w:r>
      <w:r w:rsidR="00A75660">
        <w:t xml:space="preserve">A una </w:t>
      </w:r>
      <w:r>
        <w:t xml:space="preserve">ecuanimidad como </w:t>
      </w:r>
      <w:r w:rsidR="00A75660">
        <w:t>é</w:t>
      </w:r>
      <w:r>
        <w:t xml:space="preserve">sta se </w:t>
      </w:r>
      <w:r w:rsidR="00A75660">
        <w:t xml:space="preserve">le </w:t>
      </w:r>
      <w:r>
        <w:t xml:space="preserve">llama ecuanimidad basada en la vida </w:t>
      </w:r>
      <w:r w:rsidR="00A75660">
        <w:t>doméstica</w:t>
      </w:r>
      <w:r>
        <w:t xml:space="preserve">” (M III 219). Y la codicia y el resentimiento, </w:t>
      </w:r>
      <w:r w:rsidR="00890628">
        <w:t xml:space="preserve">enemigos </w:t>
      </w:r>
      <w:r w:rsidR="00A75660">
        <w:t>disimilares</w:t>
      </w:r>
      <w:r>
        <w:t xml:space="preserve"> al </w:t>
      </w:r>
      <w:r w:rsidR="00A75660">
        <w:t xml:space="preserve">similar </w:t>
      </w:r>
      <w:r w:rsidR="00690DA8">
        <w:t xml:space="preserve">del </w:t>
      </w:r>
      <w:r>
        <w:t xml:space="preserve">desconocimiento, son sus enemigos lejanos. Por lo tanto, la </w:t>
      </w:r>
      <w:r w:rsidR="00A75660">
        <w:t xml:space="preserve">transmisión de </w:t>
      </w:r>
      <w:r w:rsidR="00690DA8">
        <w:t xml:space="preserve">la </w:t>
      </w:r>
      <w:r w:rsidR="00A75660" w:rsidRPr="000066BC">
        <w:rPr>
          <w:i/>
          <w:iCs/>
        </w:rPr>
        <w:t>ecuanimidad</w:t>
      </w:r>
      <w:r w:rsidR="00A75660">
        <w:t xml:space="preserve"> </w:t>
      </w:r>
      <w:r>
        <w:t>debe</w:t>
      </w:r>
      <w:r w:rsidR="00690DA8">
        <w:t>rá</w:t>
      </w:r>
      <w:r>
        <w:t xml:space="preserve"> practicarse sin miedo </w:t>
      </w:r>
      <w:r w:rsidR="00690DA8">
        <w:t xml:space="preserve">hacia </w:t>
      </w:r>
      <w:r>
        <w:t>e</w:t>
      </w:r>
      <w:r w:rsidR="00A75660">
        <w:t>ll</w:t>
      </w:r>
      <w:r>
        <w:t xml:space="preserve">o; [320] </w:t>
      </w:r>
      <w:r w:rsidR="00A75660">
        <w:t xml:space="preserve">ya </w:t>
      </w:r>
      <w:r>
        <w:t xml:space="preserve">que no </w:t>
      </w:r>
      <w:r w:rsidR="00A75660">
        <w:t xml:space="preserve">será </w:t>
      </w:r>
      <w:r>
        <w:t xml:space="preserve">posible </w:t>
      </w:r>
      <w:r w:rsidR="00A75660">
        <w:t>observar</w:t>
      </w:r>
      <w:r>
        <w:t xml:space="preserve"> con ecuanimidad y estar inflamado de codicia o </w:t>
      </w:r>
      <w:r w:rsidR="007F6993">
        <w:t xml:space="preserve">permanecer </w:t>
      </w:r>
      <w:r>
        <w:t>resentido</w:t>
      </w:r>
      <w:r w:rsidR="00A75660">
        <w:t>,</w:t>
      </w:r>
      <w:r w:rsidRPr="000C43D5">
        <w:rPr>
          <w:vertAlign w:val="superscript"/>
        </w:rPr>
        <w:t>15</w:t>
      </w:r>
      <w:r>
        <w:t xml:space="preserve"> simultáneamente.</w:t>
      </w:r>
    </w:p>
    <w:p w14:paraId="3683DBCA" w14:textId="3B5EFA6B" w:rsidR="00B87568" w:rsidRDefault="00B87568" w:rsidP="00B87568">
      <w:pPr>
        <w:jc w:val="center"/>
      </w:pPr>
      <w:r>
        <w:t>[</w:t>
      </w:r>
      <w:r w:rsidR="000C42F1">
        <w:t>A</w:t>
      </w:r>
      <w:r w:rsidRPr="00B87568">
        <w:rPr>
          <w:i/>
          <w:iCs/>
        </w:rPr>
        <w:t xml:space="preserve">l Principio, </w:t>
      </w:r>
      <w:r w:rsidR="000C42F1">
        <w:rPr>
          <w:i/>
          <w:iCs/>
        </w:rPr>
        <w:t xml:space="preserve">en el </w:t>
      </w:r>
      <w:r w:rsidRPr="00B87568">
        <w:rPr>
          <w:i/>
          <w:iCs/>
        </w:rPr>
        <w:t xml:space="preserve">Medio y </w:t>
      </w:r>
      <w:r w:rsidR="000C42F1">
        <w:rPr>
          <w:i/>
          <w:iCs/>
        </w:rPr>
        <w:t xml:space="preserve">al </w:t>
      </w:r>
      <w:r w:rsidRPr="00B87568">
        <w:rPr>
          <w:i/>
          <w:iCs/>
        </w:rPr>
        <w:t>Fin</w:t>
      </w:r>
      <w:r w:rsidR="000C42F1">
        <w:rPr>
          <w:i/>
          <w:iCs/>
        </w:rPr>
        <w:t>al</w:t>
      </w:r>
      <w:r w:rsidRPr="00B87568">
        <w:rPr>
          <w:i/>
          <w:iCs/>
        </w:rPr>
        <w:t>, etc</w:t>
      </w:r>
      <w:r>
        <w:t>.]</w:t>
      </w:r>
    </w:p>
    <w:p w14:paraId="7B93ADEB" w14:textId="4E7D2C14" w:rsidR="00B87568" w:rsidRDefault="00B87568" w:rsidP="00B87568">
      <w:r>
        <w:t xml:space="preserve">102. </w:t>
      </w:r>
      <w:r>
        <w:tab/>
        <w:t xml:space="preserve">Ahora bien, el celo </w:t>
      </w:r>
      <w:r w:rsidR="00DC7E3D">
        <w:t>c</w:t>
      </w:r>
      <w:r>
        <w:t>onsist</w:t>
      </w:r>
      <w:r w:rsidR="00DC7E3D">
        <w:t>ente</w:t>
      </w:r>
      <w:r>
        <w:t xml:space="preserve"> </w:t>
      </w:r>
      <w:r w:rsidR="00D92B8F">
        <w:t>d</w:t>
      </w:r>
      <w:r>
        <w:t xml:space="preserve">el deseo de </w:t>
      </w:r>
      <w:r w:rsidR="00D92B8F">
        <w:t>actuar</w:t>
      </w:r>
      <w:r>
        <w:t xml:space="preserve"> </w:t>
      </w:r>
      <w:r w:rsidR="007B1FAD">
        <w:t xml:space="preserve">será </w:t>
      </w:r>
      <w:r>
        <w:t xml:space="preserve">el principio de todas estas cosas. La supresión de los obstáculos, etc., </w:t>
      </w:r>
      <w:r w:rsidR="007B1FAD">
        <w:t xml:space="preserve">será </w:t>
      </w:r>
      <w:r>
        <w:t xml:space="preserve">el medio. La absorción </w:t>
      </w:r>
      <w:r w:rsidR="007B1FAD">
        <w:t xml:space="preserve">será </w:t>
      </w:r>
      <w:r>
        <w:t xml:space="preserve">el fin. Su objeto </w:t>
      </w:r>
      <w:r w:rsidR="007B1FAD">
        <w:t xml:space="preserve">será </w:t>
      </w:r>
      <w:r>
        <w:t>un solo ser o muchos seres vivos, como un objeto mental consist</w:t>
      </w:r>
      <w:r w:rsidR="00DC7E3D">
        <w:t>ente</w:t>
      </w:r>
      <w:r>
        <w:t xml:space="preserve"> </w:t>
      </w:r>
      <w:r w:rsidR="0072317F">
        <w:t xml:space="preserve">tan </w:t>
      </w:r>
      <w:r w:rsidR="007B1FAD">
        <w:t xml:space="preserve">solo </w:t>
      </w:r>
      <w:r w:rsidR="0072317F">
        <w:t xml:space="preserve">un </w:t>
      </w:r>
      <w:r>
        <w:t>concepto.</w:t>
      </w:r>
    </w:p>
    <w:p w14:paraId="5E939E80" w14:textId="77777777" w:rsidR="00B87568" w:rsidRDefault="00B87568" w:rsidP="00B87568">
      <w:pPr>
        <w:pStyle w:val="Piedepgina"/>
        <w:rPr>
          <w:u w:val="single"/>
        </w:rPr>
      </w:pPr>
      <w:r>
        <w:rPr>
          <w:u w:val="single"/>
        </w:rPr>
        <w:t xml:space="preserve">                                                                                                                                                                          .</w:t>
      </w:r>
    </w:p>
    <w:p w14:paraId="14F478A2" w14:textId="73D4CCC4" w:rsidR="00B87568" w:rsidRDefault="00B87568" w:rsidP="007F6993">
      <w:pPr>
        <w:pStyle w:val="PiedepginaLegal"/>
      </w:pPr>
      <w:r>
        <w:t xml:space="preserve">15. </w:t>
      </w:r>
      <w:r>
        <w:tab/>
      </w:r>
      <w:proofErr w:type="spellStart"/>
      <w:r w:rsidRPr="000066BC">
        <w:rPr>
          <w:i/>
          <w:iCs/>
        </w:rPr>
        <w:t>Paṭihaññati</w:t>
      </w:r>
      <w:proofErr w:type="spellEnd"/>
      <w:r>
        <w:t>—</w:t>
      </w:r>
      <w:r w:rsidR="00A37C4A">
        <w:t xml:space="preserve"> </w:t>
      </w:r>
      <w:r>
        <w:t xml:space="preserve">“estar resentido”: no en </w:t>
      </w:r>
      <w:r w:rsidR="00A37C4A">
        <w:t xml:space="preserve">el </w:t>
      </w:r>
      <w:r>
        <w:t>PED; se ha necesitado que el verbo corresponda a “resenti</w:t>
      </w:r>
      <w:r w:rsidR="000D168E">
        <w:t>rse</w:t>
      </w:r>
      <w:r>
        <w:t>” (</w:t>
      </w:r>
      <w:proofErr w:type="spellStart"/>
      <w:r w:rsidRPr="000066BC">
        <w:rPr>
          <w:i/>
          <w:iCs/>
        </w:rPr>
        <w:t>paṭigha</w:t>
      </w:r>
      <w:proofErr w:type="spellEnd"/>
      <w:r>
        <w:t>), como el verbo, “estar inflamado con codicia” (</w:t>
      </w:r>
      <w:proofErr w:type="spellStart"/>
      <w:r w:rsidRPr="000066BC">
        <w:rPr>
          <w:i/>
          <w:iCs/>
        </w:rPr>
        <w:t>rajjati</w:t>
      </w:r>
      <w:proofErr w:type="spellEnd"/>
      <w:r>
        <w:t>) corresponde a “codicia” (</w:t>
      </w:r>
      <w:r w:rsidRPr="000D168E">
        <w:rPr>
          <w:i/>
          <w:iCs/>
        </w:rPr>
        <w:t>rāga</w:t>
      </w:r>
      <w:r>
        <w:t>).</w:t>
      </w:r>
      <w:r>
        <w:br w:type="page"/>
      </w:r>
    </w:p>
    <w:p w14:paraId="277C56C3" w14:textId="323CD949" w:rsidR="008A1904" w:rsidRDefault="008A1904" w:rsidP="00B87568"/>
    <w:p w14:paraId="79861B15" w14:textId="77777777" w:rsidR="00EA1BC6" w:rsidRDefault="00EA1BC6" w:rsidP="00B87568"/>
    <w:p w14:paraId="54690039" w14:textId="6D49BC87" w:rsidR="008A1904" w:rsidRDefault="008A1904" w:rsidP="008A1904">
      <w:pPr>
        <w:jc w:val="center"/>
      </w:pPr>
      <w:r>
        <w:t>[</w:t>
      </w:r>
      <w:r w:rsidR="00A63699" w:rsidRPr="00A63699">
        <w:rPr>
          <w:i/>
          <w:iCs/>
        </w:rPr>
        <w:t>El</w:t>
      </w:r>
      <w:r w:rsidRPr="008A1904">
        <w:rPr>
          <w:i/>
          <w:iCs/>
        </w:rPr>
        <w:t xml:space="preserve"> Orden Extensi</w:t>
      </w:r>
      <w:r w:rsidR="00A63699">
        <w:rPr>
          <w:i/>
          <w:iCs/>
        </w:rPr>
        <w:t>vamente</w:t>
      </w:r>
      <w:r>
        <w:t>]</w:t>
      </w:r>
    </w:p>
    <w:p w14:paraId="5B3A66F1" w14:textId="4085AAC5" w:rsidR="008A1904" w:rsidRDefault="008A1904" w:rsidP="008A1904">
      <w:r>
        <w:t xml:space="preserve">103. </w:t>
      </w:r>
      <w:r>
        <w:tab/>
        <w:t xml:space="preserve">La extensión del objeto </w:t>
      </w:r>
      <w:r w:rsidR="00AA6095">
        <w:t xml:space="preserve">tendrá </w:t>
      </w:r>
      <w:r>
        <w:t xml:space="preserve">lugar o en el acceso o en la absorción. </w:t>
      </w:r>
      <w:r w:rsidR="0072317F">
        <w:t xml:space="preserve">A continuación se presenta </w:t>
      </w:r>
      <w:r>
        <w:t xml:space="preserve">el orden </w:t>
      </w:r>
      <w:r w:rsidR="0072317F">
        <w:t>al respecto</w:t>
      </w:r>
      <w:r>
        <w:t xml:space="preserve">. Así como un </w:t>
      </w:r>
      <w:r w:rsidR="0072317F">
        <w:t xml:space="preserve">agricultor </w:t>
      </w:r>
      <w:r>
        <w:t>habilidoso primero delimita</w:t>
      </w:r>
      <w:r w:rsidR="00AA6095">
        <w:t>ría</w:t>
      </w:r>
      <w:r>
        <w:t xml:space="preserve"> un área y luego ara</w:t>
      </w:r>
      <w:r w:rsidR="00AA6095">
        <w:t>ría</w:t>
      </w:r>
      <w:r>
        <w:t>, primero se debe</w:t>
      </w:r>
      <w:r w:rsidR="0072317F">
        <w:t>rá</w:t>
      </w:r>
      <w:r>
        <w:t xml:space="preserve"> delimitar un</w:t>
      </w:r>
      <w:r w:rsidR="00F56C03">
        <w:t>a</w:t>
      </w:r>
      <w:r>
        <w:t xml:space="preserve"> sol</w:t>
      </w:r>
      <w:r w:rsidR="00F56C03">
        <w:t>a</w:t>
      </w:r>
      <w:r>
        <w:t xml:space="preserve"> </w:t>
      </w:r>
      <w:r w:rsidR="00F56C03">
        <w:t>vivienda</w:t>
      </w:r>
      <w:r w:rsidR="00AA6095">
        <w:t xml:space="preserve"> </w:t>
      </w:r>
      <w:r>
        <w:t>y se debe</w:t>
      </w:r>
      <w:r w:rsidR="0072317F">
        <w:t>rá</w:t>
      </w:r>
      <w:r>
        <w:t xml:space="preserve"> desarrollar </w:t>
      </w:r>
      <w:r w:rsidR="00D63B2D">
        <w:t xml:space="preserve">la transmisión de </w:t>
      </w:r>
      <w:r w:rsidR="005E5FCE" w:rsidRPr="0082231D">
        <w:rPr>
          <w:i/>
          <w:iCs/>
        </w:rPr>
        <w:t>amor–benevolente</w:t>
      </w:r>
      <w:r w:rsidR="00D63B2D">
        <w:t xml:space="preserve"> </w:t>
      </w:r>
      <w:r>
        <w:t xml:space="preserve">hacia todos los seres </w:t>
      </w:r>
      <w:r w:rsidR="00D63B2D">
        <w:t>con el pasaje</w:t>
      </w:r>
      <w:r>
        <w:t xml:space="preserve"> que comienza</w:t>
      </w:r>
      <w:r w:rsidR="00D63B2D">
        <w:t xml:space="preserve"> con</w:t>
      </w:r>
      <w:r>
        <w:t>: “En est</w:t>
      </w:r>
      <w:r w:rsidR="00951576">
        <w:t>a</w:t>
      </w:r>
      <w:r>
        <w:t xml:space="preserve"> </w:t>
      </w:r>
      <w:r w:rsidR="00951576">
        <w:t xml:space="preserve">vivienda que </w:t>
      </w:r>
      <w:r>
        <w:t>todos los seres pued</w:t>
      </w:r>
      <w:r w:rsidR="0072317F">
        <w:t>a</w:t>
      </w:r>
      <w:r>
        <w:t>n estar libres de enemistad”. Cuando su mente se ha</w:t>
      </w:r>
      <w:r w:rsidR="00D63B2D">
        <w:t>ya</w:t>
      </w:r>
      <w:r>
        <w:t xml:space="preserve"> vuelto maleable y manejable </w:t>
      </w:r>
      <w:r w:rsidR="00122280">
        <w:t xml:space="preserve">al </w:t>
      </w:r>
      <w:r>
        <w:t xml:space="preserve">respecto, entonces </w:t>
      </w:r>
      <w:r w:rsidR="00D63B2D">
        <w:t xml:space="preserve">podrá </w:t>
      </w:r>
      <w:r>
        <w:t xml:space="preserve">delimitar dos </w:t>
      </w:r>
      <w:r w:rsidR="00951576">
        <w:t>viviendas</w:t>
      </w:r>
      <w:r>
        <w:t xml:space="preserve">. A continuación, </w:t>
      </w:r>
      <w:r w:rsidR="00D63B2D">
        <w:t xml:space="preserve">podrá </w:t>
      </w:r>
      <w:r>
        <w:t xml:space="preserve">delimitar sucesivamente tres, cuatro, cinco, seis, siete, ocho, nueve, diez, una calle, la mitad del pueblo, todo el pueblo, el distrito, el reino, una dirección, y así sucesivamente hasta una esfera </w:t>
      </w:r>
      <w:r w:rsidR="00951576">
        <w:t>estelar</w:t>
      </w:r>
      <w:r>
        <w:t xml:space="preserve">, o incluso </w:t>
      </w:r>
      <w:r w:rsidR="00C70395">
        <w:t xml:space="preserve">proyectarse </w:t>
      </w:r>
      <w:r>
        <w:t>más allá de e</w:t>
      </w:r>
      <w:r w:rsidR="00C70395">
        <w:t>ll</w:t>
      </w:r>
      <w:r>
        <w:t xml:space="preserve">o, y desarrollar </w:t>
      </w:r>
      <w:r w:rsidR="00C70395">
        <w:t xml:space="preserve">la transmisión de </w:t>
      </w:r>
      <w:r w:rsidR="009E6A5A" w:rsidRPr="0082231D">
        <w:rPr>
          <w:i/>
          <w:iCs/>
        </w:rPr>
        <w:t>amor–benevolente</w:t>
      </w:r>
      <w:r>
        <w:t xml:space="preserve"> hacia los seres en tales áreas. Del mismo modo con la </w:t>
      </w:r>
      <w:r w:rsidR="00C70395">
        <w:t xml:space="preserve">transmisión de </w:t>
      </w:r>
      <w:r w:rsidR="00C70395">
        <w:rPr>
          <w:i/>
          <w:iCs/>
        </w:rPr>
        <w:t>compasión</w:t>
      </w:r>
      <w:r w:rsidR="00C70395">
        <w:t xml:space="preserve"> </w:t>
      </w:r>
      <w:r>
        <w:t xml:space="preserve">y así sucesivamente. </w:t>
      </w:r>
      <w:r w:rsidR="00C70395">
        <w:t>É</w:t>
      </w:r>
      <w:r>
        <w:t xml:space="preserve">ste es el orden </w:t>
      </w:r>
      <w:r w:rsidR="00C70395">
        <w:t>extensivamente</w:t>
      </w:r>
      <w:r>
        <w:t xml:space="preserve"> aquí.</w:t>
      </w:r>
    </w:p>
    <w:p w14:paraId="18C8CF2C" w14:textId="77777777" w:rsidR="00EA1BC6" w:rsidRDefault="00EA1BC6" w:rsidP="008A1904"/>
    <w:p w14:paraId="6A8C1C64" w14:textId="46A6C17D" w:rsidR="008A1904" w:rsidRDefault="008A1904" w:rsidP="008A1904">
      <w:pPr>
        <w:jc w:val="center"/>
      </w:pPr>
      <w:r>
        <w:t>[</w:t>
      </w:r>
      <w:r w:rsidRPr="008A1904">
        <w:rPr>
          <w:i/>
          <w:iCs/>
        </w:rPr>
        <w:t>El Resultado</w:t>
      </w:r>
      <w:r>
        <w:t>]</w:t>
      </w:r>
    </w:p>
    <w:p w14:paraId="1C2A174D" w14:textId="4D47B448" w:rsidR="008A1904" w:rsidRDefault="008A1904" w:rsidP="008A1904">
      <w:r>
        <w:t xml:space="preserve">104. </w:t>
      </w:r>
      <w:r>
        <w:tab/>
        <w:t xml:space="preserve">Así como los estados inmateriales </w:t>
      </w:r>
      <w:r w:rsidR="008E1030">
        <w:t xml:space="preserve">serán </w:t>
      </w:r>
      <w:r>
        <w:t xml:space="preserve">resultado de los </w:t>
      </w:r>
      <w:proofErr w:type="spellStart"/>
      <w:r w:rsidR="00057BF4" w:rsidRPr="00057BF4">
        <w:rPr>
          <w:i/>
          <w:iCs/>
        </w:rPr>
        <w:t>kasiṇa</w:t>
      </w:r>
      <w:r w:rsidRPr="000066BC">
        <w:rPr>
          <w:i/>
          <w:iCs/>
        </w:rPr>
        <w:t>s</w:t>
      </w:r>
      <w:proofErr w:type="spellEnd"/>
      <w:r>
        <w:t xml:space="preserve"> y la base consiste</w:t>
      </w:r>
      <w:r w:rsidR="00EA1BC6">
        <w:t>nte</w:t>
      </w:r>
      <w:r>
        <w:t xml:space="preserve"> </w:t>
      </w:r>
      <w:r w:rsidR="00190A9B">
        <w:t>de la</w:t>
      </w:r>
      <w:r>
        <w:t xml:space="preserve"> n</w:t>
      </w:r>
      <w:r w:rsidR="00190A9B">
        <w:t>o-</w:t>
      </w:r>
      <w:r>
        <w:t>percepción</w:t>
      </w:r>
      <w:r w:rsidR="00190A9B">
        <w:t>-</w:t>
      </w:r>
      <w:r>
        <w:t>ni</w:t>
      </w:r>
      <w:r w:rsidR="00190A9B">
        <w:t>-</w:t>
      </w:r>
      <w:r>
        <w:t>no</w:t>
      </w:r>
      <w:r w:rsidR="00190A9B">
        <w:t>-</w:t>
      </w:r>
      <w:r>
        <w:t>percepción</w:t>
      </w:r>
      <w:r w:rsidR="000428F6">
        <w:t>,</w:t>
      </w:r>
      <w:r>
        <w:t xml:space="preserve"> resultado de la concentración y </w:t>
      </w:r>
      <w:r w:rsidR="00137B3D">
        <w:t>la consumación</w:t>
      </w:r>
      <w:r>
        <w:t xml:space="preserve"> de la fruición</w:t>
      </w:r>
      <w:r w:rsidR="000428F6">
        <w:t>,</w:t>
      </w:r>
      <w:r>
        <w:t xml:space="preserve"> resultado de la </w:t>
      </w:r>
      <w:r w:rsidR="000428F6" w:rsidRPr="00527EA6">
        <w:t>sabid</w:t>
      </w:r>
      <w:r w:rsidR="000428F6">
        <w:t>uría–revelativa</w:t>
      </w:r>
      <w:r>
        <w:t xml:space="preserve">, y </w:t>
      </w:r>
      <w:r w:rsidR="00137B3D">
        <w:t xml:space="preserve">la </w:t>
      </w:r>
      <w:r w:rsidR="00183D5B">
        <w:t>absorción</w:t>
      </w:r>
      <w:r w:rsidR="00137B3D">
        <w:t xml:space="preserve"> </w:t>
      </w:r>
      <w:r>
        <w:t>de la cesación</w:t>
      </w:r>
      <w:r w:rsidR="000428F6">
        <w:t xml:space="preserve">, </w:t>
      </w:r>
      <w:r>
        <w:t xml:space="preserve">resultado de la serenidad junto con la </w:t>
      </w:r>
      <w:r w:rsidR="00137B3D">
        <w:t>sabiduría</w:t>
      </w:r>
      <w:r>
        <w:t xml:space="preserve">, así </w:t>
      </w:r>
      <w:r w:rsidR="00EA1BC6">
        <w:t xml:space="preserve">mismo, </w:t>
      </w:r>
      <w:r w:rsidR="00137B3D">
        <w:t xml:space="preserve">el estado </w:t>
      </w:r>
      <w:r>
        <w:t>divin</w:t>
      </w:r>
      <w:r w:rsidR="00137B3D">
        <w:t>o</w:t>
      </w:r>
      <w:r>
        <w:t xml:space="preserve"> de la </w:t>
      </w:r>
      <w:r w:rsidR="00137B3D">
        <w:t xml:space="preserve">transmisión de </w:t>
      </w:r>
      <w:r w:rsidR="00137B3D">
        <w:rPr>
          <w:i/>
          <w:iCs/>
        </w:rPr>
        <w:t>ecuanimidad</w:t>
      </w:r>
      <w:r w:rsidR="00137B3D">
        <w:t xml:space="preserve"> </w:t>
      </w:r>
      <w:r w:rsidR="000428F6">
        <w:t xml:space="preserve">será </w:t>
      </w:r>
      <w:r>
        <w:t>resultado de l</w:t>
      </w:r>
      <w:r w:rsidR="00137B3D">
        <w:t>o</w:t>
      </w:r>
      <w:r>
        <w:t>s primer</w:t>
      </w:r>
      <w:r w:rsidR="00137B3D">
        <w:t>o</w:t>
      </w:r>
      <w:r>
        <w:t xml:space="preserve">s </w:t>
      </w:r>
      <w:r w:rsidR="000428F6">
        <w:t>3</w:t>
      </w:r>
      <w:r>
        <w:t xml:space="preserve"> </w:t>
      </w:r>
      <w:r w:rsidR="00137B3D">
        <w:t>estados</w:t>
      </w:r>
      <w:r>
        <w:t xml:space="preserve"> divin</w:t>
      </w:r>
      <w:r w:rsidR="00137B3D">
        <w:t>o</w:t>
      </w:r>
      <w:r>
        <w:t xml:space="preserve">s. Porque así como las vigas del hastial no pueden colocarse en el aire sin haber colocado primero el andamiaje y construido el armazón de </w:t>
      </w:r>
      <w:r w:rsidR="00137B3D">
        <w:t xml:space="preserve">las </w:t>
      </w:r>
      <w:r>
        <w:t xml:space="preserve">vigas, así no </w:t>
      </w:r>
      <w:r w:rsidR="00137B3D">
        <w:t xml:space="preserve">será </w:t>
      </w:r>
      <w:r>
        <w:t xml:space="preserve">posible desarrollar el cuarto </w:t>
      </w:r>
      <w:proofErr w:type="spellStart"/>
      <w:r w:rsidR="00B60E73">
        <w:rPr>
          <w:i/>
          <w:iCs/>
        </w:rPr>
        <w:t>jhāna</w:t>
      </w:r>
      <w:proofErr w:type="spellEnd"/>
      <w:r w:rsidR="00B60E73">
        <w:rPr>
          <w:i/>
          <w:iCs/>
        </w:rPr>
        <w:t xml:space="preserve"> </w:t>
      </w:r>
      <w:r>
        <w:t>(</w:t>
      </w:r>
      <w:proofErr w:type="spellStart"/>
      <w:r w:rsidR="00057BF4" w:rsidRPr="00057BF4">
        <w:rPr>
          <w:i/>
          <w:iCs/>
        </w:rPr>
        <w:t>jhāna</w:t>
      </w:r>
      <w:proofErr w:type="spellEnd"/>
      <w:r>
        <w:t xml:space="preserve"> en </w:t>
      </w:r>
      <w:r w:rsidR="00B60E73">
        <w:t>e</w:t>
      </w:r>
      <w:r>
        <w:t>l cuart</w:t>
      </w:r>
      <w:r w:rsidR="00B60E73">
        <w:t>o</w:t>
      </w:r>
      <w:r>
        <w:t xml:space="preserve"> </w:t>
      </w:r>
      <w:r w:rsidR="00B60E73">
        <w:t xml:space="preserve">estado </w:t>
      </w:r>
      <w:r>
        <w:t>divin</w:t>
      </w:r>
      <w:r w:rsidR="00B60E73">
        <w:t>o</w:t>
      </w:r>
      <w:r>
        <w:t xml:space="preserve">) sin haber desarrollado ya el tercer </w:t>
      </w:r>
      <w:proofErr w:type="spellStart"/>
      <w:r w:rsidR="00057BF4" w:rsidRPr="00057BF4">
        <w:rPr>
          <w:i/>
          <w:iCs/>
        </w:rPr>
        <w:t>jhāna</w:t>
      </w:r>
      <w:proofErr w:type="spellEnd"/>
      <w:r>
        <w:t xml:space="preserve"> en </w:t>
      </w:r>
      <w:r w:rsidR="00C51269">
        <w:t xml:space="preserve">los </w:t>
      </w:r>
      <w:r>
        <w:t>anterior</w:t>
      </w:r>
      <w:r w:rsidR="00C51269">
        <w:t>es</w:t>
      </w:r>
      <w:r>
        <w:t xml:space="preserve"> (tres </w:t>
      </w:r>
      <w:r w:rsidR="00C51269">
        <w:t xml:space="preserve">estados </w:t>
      </w:r>
      <w:r>
        <w:t>divin</w:t>
      </w:r>
      <w:r w:rsidR="00C51269">
        <w:t>o</w:t>
      </w:r>
      <w:r>
        <w:t>s).</w:t>
      </w:r>
    </w:p>
    <w:p w14:paraId="15CC98D3" w14:textId="47F84297" w:rsidR="008A1904" w:rsidRDefault="008A1904" w:rsidP="008A1904">
      <w:pPr>
        <w:jc w:val="center"/>
      </w:pPr>
      <w:r>
        <w:t>[</w:t>
      </w:r>
      <w:r w:rsidRPr="008A1904">
        <w:rPr>
          <w:i/>
          <w:iCs/>
        </w:rPr>
        <w:t>Cuatro Preguntas</w:t>
      </w:r>
      <w:r>
        <w:t>]</w:t>
      </w:r>
    </w:p>
    <w:p w14:paraId="650FA4CD" w14:textId="45237657" w:rsidR="008A1904" w:rsidRDefault="008A1904" w:rsidP="008A1904">
      <w:r>
        <w:t xml:space="preserve">105. </w:t>
      </w:r>
      <w:r>
        <w:tab/>
        <w:t xml:space="preserve">Y aquí se </w:t>
      </w:r>
      <w:r w:rsidR="00EA1BC6">
        <w:t>podría</w:t>
      </w:r>
      <w:r>
        <w:t xml:space="preserve"> preguntar: ¿Pero por qué </w:t>
      </w:r>
      <w:r w:rsidR="0028346D">
        <w:t xml:space="preserve">la </w:t>
      </w:r>
      <w:r w:rsidR="00C51269">
        <w:t xml:space="preserve">transmisión de </w:t>
      </w:r>
      <w:r w:rsidR="009E6A5A" w:rsidRPr="0082231D">
        <w:rPr>
          <w:i/>
          <w:iCs/>
        </w:rPr>
        <w:t>amor–benevolente</w:t>
      </w:r>
      <w:r>
        <w:t xml:space="preserve">, compasión, alegría </w:t>
      </w:r>
      <w:r w:rsidR="00EA1BC6">
        <w:t xml:space="preserve">altruista </w:t>
      </w:r>
      <w:r>
        <w:t xml:space="preserve">y ecuanimidad se llaman </w:t>
      </w:r>
      <w:r w:rsidR="00C51269">
        <w:t>estados</w:t>
      </w:r>
      <w:r>
        <w:t xml:space="preserve"> divin</w:t>
      </w:r>
      <w:r w:rsidR="00C51269">
        <w:t>o</w:t>
      </w:r>
      <w:r>
        <w:t xml:space="preserve">s? ¿Y por qué son sólo cuatro? ¿Y cuál es su orden? ¿Y por qué se les llama estados inmensurables en el </w:t>
      </w:r>
      <w:proofErr w:type="spellStart"/>
      <w:r w:rsidR="00C51269" w:rsidRPr="000066BC">
        <w:rPr>
          <w:i/>
          <w:iCs/>
        </w:rPr>
        <w:t>Abhi</w:t>
      </w:r>
      <w:r w:rsidR="00C51269" w:rsidRPr="00057BF4">
        <w:rPr>
          <w:i/>
          <w:iCs/>
        </w:rPr>
        <w:t>dhamma</w:t>
      </w:r>
      <w:proofErr w:type="spellEnd"/>
      <w:r>
        <w:t>?</w:t>
      </w:r>
    </w:p>
    <w:p w14:paraId="2432379F" w14:textId="59E3FDF9" w:rsidR="008A1904" w:rsidRDefault="008A1904" w:rsidP="008A1904">
      <w:r>
        <w:t xml:space="preserve">106. </w:t>
      </w:r>
      <w:r>
        <w:tab/>
        <w:t>Se puede responder</w:t>
      </w:r>
      <w:r w:rsidR="00D13F57">
        <w:t xml:space="preserve"> así</w:t>
      </w:r>
      <w:r>
        <w:t xml:space="preserve">: La divinidad de </w:t>
      </w:r>
      <w:r w:rsidR="00D13F57">
        <w:t xml:space="preserve">estos estados </w:t>
      </w:r>
      <w:r>
        <w:t>(</w:t>
      </w:r>
      <w:proofErr w:type="spellStart"/>
      <w:r w:rsidRPr="000066BC">
        <w:rPr>
          <w:i/>
          <w:iCs/>
        </w:rPr>
        <w:t>brahmavihāratā</w:t>
      </w:r>
      <w:proofErr w:type="spellEnd"/>
      <w:r>
        <w:t>) debe</w:t>
      </w:r>
      <w:r w:rsidR="007E230F">
        <w:t>rá</w:t>
      </w:r>
      <w:r>
        <w:t xml:space="preserve"> entenderse aquí en el sentido de </w:t>
      </w:r>
      <w:r w:rsidR="008551A1" w:rsidRPr="008551A1">
        <w:rPr>
          <w:i/>
          <w:iCs/>
        </w:rPr>
        <w:t xml:space="preserve">lo </w:t>
      </w:r>
      <w:r w:rsidRPr="008551A1">
        <w:rPr>
          <w:i/>
          <w:iCs/>
        </w:rPr>
        <w:t>mejor</w:t>
      </w:r>
      <w:r>
        <w:t xml:space="preserve"> y en el sentido de </w:t>
      </w:r>
      <w:r w:rsidR="0028346D">
        <w:t xml:space="preserve">lo </w:t>
      </w:r>
      <w:r w:rsidRPr="008551A1">
        <w:rPr>
          <w:i/>
          <w:iCs/>
        </w:rPr>
        <w:t>inmaculado</w:t>
      </w:r>
      <w:r>
        <w:t xml:space="preserve">. </w:t>
      </w:r>
      <w:r w:rsidR="008551A1">
        <w:t xml:space="preserve">Ya </w:t>
      </w:r>
      <w:r>
        <w:t>que est</w:t>
      </w:r>
      <w:r w:rsidR="008551A1">
        <w:t>o</w:t>
      </w:r>
      <w:r>
        <w:t xml:space="preserve">s </w:t>
      </w:r>
      <w:r w:rsidR="008551A1">
        <w:t xml:space="preserve">estados divinos </w:t>
      </w:r>
      <w:r>
        <w:t>son l</w:t>
      </w:r>
      <w:r w:rsidR="008551A1">
        <w:t>o</w:t>
      </w:r>
      <w:r>
        <w:t xml:space="preserve">s mejores </w:t>
      </w:r>
      <w:r w:rsidR="006127C4">
        <w:t xml:space="preserve">estados </w:t>
      </w:r>
      <w:r>
        <w:t>p</w:t>
      </w:r>
      <w:r w:rsidR="007E230F">
        <w:t>a</w:t>
      </w:r>
      <w:r>
        <w:t>r</w:t>
      </w:r>
      <w:r w:rsidR="007E230F">
        <w:t>a</w:t>
      </w:r>
      <w:r>
        <w:t xml:space="preserve"> </w:t>
      </w:r>
      <w:r w:rsidR="00EA5588">
        <w:t>representar</w:t>
      </w:r>
      <w:r>
        <w:t xml:space="preserve"> la actitud correcta hacia los seres. Y así como los dioses </w:t>
      </w:r>
      <w:r w:rsidR="00057BF4" w:rsidRPr="00057BF4">
        <w:rPr>
          <w:i/>
          <w:iCs/>
        </w:rPr>
        <w:t>Brahmā</w:t>
      </w:r>
      <w:r>
        <w:t xml:space="preserve"> </w:t>
      </w:r>
      <w:r w:rsidR="006127C4">
        <w:t xml:space="preserve">habitan </w:t>
      </w:r>
      <w:r>
        <w:t>con mentes inmaculadas, los meditadores que se asoci</w:t>
      </w:r>
      <w:r w:rsidR="006127C4">
        <w:t>e</w:t>
      </w:r>
      <w:r>
        <w:t>n con est</w:t>
      </w:r>
      <w:r w:rsidR="006127C4">
        <w:t>o</w:t>
      </w:r>
      <w:r>
        <w:t xml:space="preserve">s </w:t>
      </w:r>
      <w:r w:rsidR="006127C4">
        <w:t xml:space="preserve">estados divinos </w:t>
      </w:r>
      <w:r w:rsidR="007F35EB">
        <w:t>habita</w:t>
      </w:r>
      <w:r w:rsidR="00EA5588">
        <w:t>rá</w:t>
      </w:r>
      <w:r w:rsidR="007F35EB">
        <w:t xml:space="preserve">n </w:t>
      </w:r>
      <w:r>
        <w:t xml:space="preserve">en pie de igualdad con los dioses </w:t>
      </w:r>
      <w:r w:rsidR="00057BF4" w:rsidRPr="00057BF4">
        <w:rPr>
          <w:i/>
          <w:iCs/>
        </w:rPr>
        <w:t>Brahmā</w:t>
      </w:r>
      <w:r>
        <w:t>. Por e</w:t>
      </w:r>
      <w:r w:rsidR="007F35EB">
        <w:t>ll</w:t>
      </w:r>
      <w:r>
        <w:t xml:space="preserve">o se les llama </w:t>
      </w:r>
      <w:r w:rsidR="007F35EB">
        <w:t xml:space="preserve">estados </w:t>
      </w:r>
      <w:r>
        <w:t>divin</w:t>
      </w:r>
      <w:r w:rsidR="007F35EB">
        <w:t>o</w:t>
      </w:r>
      <w:r>
        <w:t xml:space="preserve">s en el sentido de </w:t>
      </w:r>
      <w:r w:rsidR="009E72EF">
        <w:t xml:space="preserve">ser </w:t>
      </w:r>
      <w:r w:rsidR="007F35EB" w:rsidRPr="009E72EF">
        <w:rPr>
          <w:i/>
          <w:iCs/>
        </w:rPr>
        <w:t>lo</w:t>
      </w:r>
      <w:r w:rsidR="009E72EF" w:rsidRPr="009E72EF">
        <w:rPr>
          <w:i/>
          <w:iCs/>
        </w:rPr>
        <w:t>s</w:t>
      </w:r>
      <w:r w:rsidR="007F35EB" w:rsidRPr="009E72EF">
        <w:rPr>
          <w:i/>
          <w:iCs/>
        </w:rPr>
        <w:t xml:space="preserve"> </w:t>
      </w:r>
      <w:r w:rsidRPr="009E72EF">
        <w:rPr>
          <w:i/>
          <w:iCs/>
        </w:rPr>
        <w:t>mejor</w:t>
      </w:r>
      <w:r w:rsidR="009E72EF" w:rsidRPr="009E72EF">
        <w:rPr>
          <w:i/>
          <w:iCs/>
        </w:rPr>
        <w:t>es</w:t>
      </w:r>
      <w:r>
        <w:t xml:space="preserve"> y en el sentido de </w:t>
      </w:r>
      <w:r w:rsidR="00A07905">
        <w:t xml:space="preserve">estar </w:t>
      </w:r>
      <w:r w:rsidRPr="009E72EF">
        <w:rPr>
          <w:i/>
          <w:iCs/>
        </w:rPr>
        <w:t>inmaculad</w:t>
      </w:r>
      <w:r w:rsidR="009E72EF" w:rsidRPr="009E72EF">
        <w:rPr>
          <w:i/>
          <w:iCs/>
        </w:rPr>
        <w:t>os</w:t>
      </w:r>
      <w:r>
        <w:t>. [321]</w:t>
      </w:r>
    </w:p>
    <w:p w14:paraId="358C9EDC" w14:textId="409E00C6" w:rsidR="008A1904" w:rsidRDefault="008A1904" w:rsidP="008A1904">
      <w:r>
        <w:t xml:space="preserve">107. </w:t>
      </w:r>
      <w:r w:rsidR="000066BC">
        <w:tab/>
      </w:r>
      <w:r>
        <w:t>Aquí están las respuestas a las preguntas que comienzan con "¿Por qué son s</w:t>
      </w:r>
      <w:r w:rsidR="00EA5588">
        <w:t>ó</w:t>
      </w:r>
      <w:r>
        <w:t>lo cuatro?":</w:t>
      </w:r>
    </w:p>
    <w:p w14:paraId="6EB73E6D" w14:textId="160CF15B" w:rsidR="008A1904" w:rsidRPr="003F78AB" w:rsidRDefault="008A1904" w:rsidP="00B91FF5">
      <w:pPr>
        <w:pStyle w:val="VersoIngls01Sangria"/>
        <w:ind w:left="993"/>
        <w:rPr>
          <w:sz w:val="16"/>
          <w:szCs w:val="20"/>
        </w:rPr>
      </w:pPr>
      <w:r w:rsidRPr="003F78AB">
        <w:rPr>
          <w:sz w:val="16"/>
          <w:szCs w:val="20"/>
        </w:rPr>
        <w:t xml:space="preserve">Su número cuatro se debe a los </w:t>
      </w:r>
      <w:r w:rsidR="00D175DF" w:rsidRPr="003F78AB">
        <w:rPr>
          <w:sz w:val="16"/>
          <w:szCs w:val="20"/>
        </w:rPr>
        <w:t>senderos hacia</w:t>
      </w:r>
      <w:r w:rsidRPr="003F78AB">
        <w:rPr>
          <w:sz w:val="16"/>
          <w:szCs w:val="20"/>
        </w:rPr>
        <w:t xml:space="preserve"> la pureza.</w:t>
      </w:r>
    </w:p>
    <w:p w14:paraId="06E2DA01" w14:textId="5E405E5D" w:rsidR="008A1904" w:rsidRPr="003F78AB" w:rsidRDefault="008A1904" w:rsidP="00B91FF5">
      <w:pPr>
        <w:pStyle w:val="VersoIngls01Sangria"/>
        <w:ind w:left="993"/>
        <w:rPr>
          <w:sz w:val="16"/>
          <w:szCs w:val="20"/>
        </w:rPr>
      </w:pPr>
      <w:r w:rsidRPr="003F78AB">
        <w:rPr>
          <w:sz w:val="16"/>
          <w:szCs w:val="20"/>
        </w:rPr>
        <w:t xml:space="preserve">y </w:t>
      </w:r>
      <w:r w:rsidR="00A07905">
        <w:rPr>
          <w:sz w:val="16"/>
          <w:szCs w:val="20"/>
        </w:rPr>
        <w:t>haci</w:t>
      </w:r>
      <w:r w:rsidR="001221C0">
        <w:rPr>
          <w:sz w:val="16"/>
          <w:szCs w:val="20"/>
        </w:rPr>
        <w:t xml:space="preserve">a </w:t>
      </w:r>
      <w:r w:rsidRPr="003F78AB">
        <w:rPr>
          <w:sz w:val="16"/>
          <w:szCs w:val="20"/>
        </w:rPr>
        <w:t xml:space="preserve">otros conjuntos de cuatro; su orden </w:t>
      </w:r>
      <w:r w:rsidR="00F26F4E">
        <w:rPr>
          <w:sz w:val="16"/>
          <w:szCs w:val="20"/>
        </w:rPr>
        <w:t>se debe a</w:t>
      </w:r>
      <w:r w:rsidRPr="003F78AB">
        <w:rPr>
          <w:sz w:val="16"/>
          <w:szCs w:val="20"/>
        </w:rPr>
        <w:t xml:space="preserve"> su objetivo</w:t>
      </w:r>
    </w:p>
    <w:p w14:paraId="47D21C53" w14:textId="4E96D3FA" w:rsidR="008A1904" w:rsidRPr="003F78AB" w:rsidRDefault="008A1904" w:rsidP="00B91FF5">
      <w:pPr>
        <w:pStyle w:val="VersoIngls01Sangria"/>
        <w:ind w:left="993"/>
        <w:rPr>
          <w:sz w:val="16"/>
          <w:szCs w:val="20"/>
        </w:rPr>
      </w:pPr>
      <w:r w:rsidRPr="003F78AB">
        <w:rPr>
          <w:sz w:val="16"/>
          <w:szCs w:val="20"/>
        </w:rPr>
        <w:t xml:space="preserve">Como </w:t>
      </w:r>
      <w:r w:rsidR="00D175DF" w:rsidRPr="003F78AB">
        <w:rPr>
          <w:sz w:val="16"/>
          <w:szCs w:val="20"/>
        </w:rPr>
        <w:t xml:space="preserve">el </w:t>
      </w:r>
      <w:r w:rsidRPr="003F78AB">
        <w:rPr>
          <w:sz w:val="16"/>
          <w:szCs w:val="20"/>
        </w:rPr>
        <w:t xml:space="preserve">bienestar y </w:t>
      </w:r>
      <w:r w:rsidR="00D175DF" w:rsidRPr="003F78AB">
        <w:rPr>
          <w:sz w:val="16"/>
          <w:szCs w:val="20"/>
        </w:rPr>
        <w:t>los restantes</w:t>
      </w:r>
      <w:r w:rsidRPr="003F78AB">
        <w:rPr>
          <w:sz w:val="16"/>
          <w:szCs w:val="20"/>
        </w:rPr>
        <w:t>. Se encuentra que su alcance es</w:t>
      </w:r>
    </w:p>
    <w:p w14:paraId="5E9FCD08" w14:textId="06D6D85A" w:rsidR="008A1904" w:rsidRPr="003F78AB" w:rsidRDefault="008A1904" w:rsidP="00B91FF5">
      <w:pPr>
        <w:pStyle w:val="VersoIngls01Sangria"/>
        <w:ind w:left="993"/>
        <w:rPr>
          <w:sz w:val="16"/>
          <w:szCs w:val="20"/>
        </w:rPr>
      </w:pPr>
      <w:r w:rsidRPr="003F78AB">
        <w:rPr>
          <w:sz w:val="16"/>
          <w:szCs w:val="20"/>
        </w:rPr>
        <w:t xml:space="preserve">Inmensurable, por lo que </w:t>
      </w:r>
      <w:r w:rsidR="00344693" w:rsidRPr="003F78AB">
        <w:rPr>
          <w:sz w:val="16"/>
          <w:szCs w:val="20"/>
        </w:rPr>
        <w:t xml:space="preserve">su nombre </w:t>
      </w:r>
      <w:r w:rsidR="003F78AB" w:rsidRPr="003F78AB">
        <w:rPr>
          <w:sz w:val="16"/>
          <w:szCs w:val="20"/>
        </w:rPr>
        <w:t xml:space="preserve">corresponde a </w:t>
      </w:r>
      <w:r w:rsidRPr="003F78AB">
        <w:rPr>
          <w:sz w:val="16"/>
          <w:szCs w:val="20"/>
        </w:rPr>
        <w:t xml:space="preserve">"estados </w:t>
      </w:r>
      <w:r w:rsidR="003F78AB" w:rsidRPr="003F78AB">
        <w:rPr>
          <w:sz w:val="16"/>
          <w:szCs w:val="20"/>
        </w:rPr>
        <w:t>inmensurables</w:t>
      </w:r>
      <w:r w:rsidRPr="003F78AB">
        <w:rPr>
          <w:sz w:val="16"/>
          <w:szCs w:val="20"/>
        </w:rPr>
        <w:t>".</w:t>
      </w:r>
    </w:p>
    <w:p w14:paraId="2D0881DA" w14:textId="77777777" w:rsidR="008A1904" w:rsidRDefault="008A1904" w:rsidP="008A1904"/>
    <w:p w14:paraId="54729F50" w14:textId="77777777" w:rsidR="008A1904" w:rsidRDefault="008A1904">
      <w:pPr>
        <w:tabs>
          <w:tab w:val="clear" w:pos="425"/>
        </w:tabs>
        <w:spacing w:after="160"/>
      </w:pPr>
      <w:r>
        <w:br w:type="page"/>
      </w:r>
    </w:p>
    <w:p w14:paraId="0BF068EA" w14:textId="6EFEAC86" w:rsidR="00F843B7" w:rsidRDefault="00F843B7" w:rsidP="00F843B7">
      <w:r>
        <w:lastRenderedPageBreak/>
        <w:t xml:space="preserve">108. </w:t>
      </w:r>
      <w:r w:rsidR="00BB2E11">
        <w:tab/>
      </w:r>
      <w:r w:rsidR="003F78AB">
        <w:t xml:space="preserve">Ya </w:t>
      </w:r>
      <w:r>
        <w:t xml:space="preserve">que entre estos, </w:t>
      </w:r>
      <w:r w:rsidR="00C4340F">
        <w:t>la transmisión</w:t>
      </w:r>
      <w:r w:rsidR="00420A8A">
        <w:t xml:space="preserve"> de </w:t>
      </w:r>
      <w:r w:rsidR="009E6A5A" w:rsidRPr="0082231D">
        <w:rPr>
          <w:i/>
          <w:iCs/>
        </w:rPr>
        <w:t>amor–benevolente</w:t>
      </w:r>
      <w:r>
        <w:t xml:space="preserve"> es el </w:t>
      </w:r>
      <w:r w:rsidR="00420A8A">
        <w:t>sendero haci</w:t>
      </w:r>
      <w:r>
        <w:t>a la pureza para quien ten</w:t>
      </w:r>
      <w:r w:rsidR="00420A8A">
        <w:t>ga</w:t>
      </w:r>
      <w:r>
        <w:t xml:space="preserve"> mucha mala voluntad, la </w:t>
      </w:r>
      <w:r w:rsidR="00420A8A">
        <w:t xml:space="preserve">transmisión de </w:t>
      </w:r>
      <w:r w:rsidRPr="00420A8A">
        <w:rPr>
          <w:i/>
          <w:iCs/>
        </w:rPr>
        <w:t>compasión</w:t>
      </w:r>
      <w:r>
        <w:t xml:space="preserve"> para quien ten</w:t>
      </w:r>
      <w:r w:rsidR="00420A8A">
        <w:t>ga</w:t>
      </w:r>
      <w:r>
        <w:t xml:space="preserve"> mucha crueldad, la </w:t>
      </w:r>
      <w:r w:rsidR="00B85B73">
        <w:t xml:space="preserve">transmisión de </w:t>
      </w:r>
      <w:r w:rsidRPr="00B85B73">
        <w:rPr>
          <w:i/>
          <w:iCs/>
        </w:rPr>
        <w:t xml:space="preserve">alegría </w:t>
      </w:r>
      <w:r w:rsidR="00B85B73" w:rsidRPr="00B85B73">
        <w:rPr>
          <w:i/>
          <w:iCs/>
        </w:rPr>
        <w:t>altruista</w:t>
      </w:r>
      <w:r w:rsidR="00B85B73">
        <w:t xml:space="preserve"> </w:t>
      </w:r>
      <w:r>
        <w:t xml:space="preserve">para </w:t>
      </w:r>
      <w:r w:rsidR="00D64A21">
        <w:t xml:space="preserve">quien </w:t>
      </w:r>
      <w:r w:rsidR="00B85B73">
        <w:t xml:space="preserve">tenga </w:t>
      </w:r>
      <w:r>
        <w:t>mucha aversión (</w:t>
      </w:r>
      <w:r w:rsidR="006B0090">
        <w:t>fastidio</w:t>
      </w:r>
      <w:r>
        <w:t xml:space="preserve">), y la </w:t>
      </w:r>
      <w:r w:rsidR="006B0090">
        <w:t xml:space="preserve">transmisión de </w:t>
      </w:r>
      <w:r w:rsidRPr="006B0090">
        <w:rPr>
          <w:i/>
          <w:iCs/>
        </w:rPr>
        <w:t>ecuanimidad</w:t>
      </w:r>
      <w:r>
        <w:t xml:space="preserve"> para quien </w:t>
      </w:r>
      <w:r w:rsidR="006B0090">
        <w:t xml:space="preserve">tenga </w:t>
      </w:r>
      <w:r>
        <w:t xml:space="preserve">mucha codicia. También la atención dada a los seres </w:t>
      </w:r>
      <w:r w:rsidR="007253D5">
        <w:t>consta de</w:t>
      </w:r>
      <w:r w:rsidR="002871FD">
        <w:t xml:space="preserve"> </w:t>
      </w:r>
      <w:r>
        <w:t xml:space="preserve">sólo </w:t>
      </w:r>
      <w:r w:rsidR="002871FD">
        <w:t>cuatro</w:t>
      </w:r>
      <w:r w:rsidR="00EE5E54">
        <w:t xml:space="preserve"> ítems</w:t>
      </w:r>
      <w:r>
        <w:t xml:space="preserve">, es decir, como traer bienestar, como </w:t>
      </w:r>
      <w:r w:rsidR="00FF5BD3">
        <w:t xml:space="preserve">sustraer </w:t>
      </w:r>
      <w:r>
        <w:t xml:space="preserve">el sufrimiento, como alegrarse por su éxito, y como despreocupación, [es decir, </w:t>
      </w:r>
      <w:r w:rsidR="00FF5BD3">
        <w:t xml:space="preserve">como </w:t>
      </w:r>
      <w:r>
        <w:t>neutralidad imparcial]. Y el que permane</w:t>
      </w:r>
      <w:r w:rsidR="00FF5BD3">
        <w:t>zca</w:t>
      </w:r>
      <w:r>
        <w:t xml:space="preserve"> en los estados inconmensurables debe</w:t>
      </w:r>
      <w:r w:rsidR="00FF5BD3">
        <w:t>rá</w:t>
      </w:r>
      <w:r>
        <w:t xml:space="preserve"> practicar </w:t>
      </w:r>
      <w:r w:rsidR="00EE5E54">
        <w:t xml:space="preserve">la </w:t>
      </w:r>
      <w:r w:rsidR="00FF5BD3">
        <w:t xml:space="preserve">transmisión de </w:t>
      </w:r>
      <w:r w:rsidR="009E6A5A" w:rsidRPr="0082231D">
        <w:rPr>
          <w:i/>
          <w:iCs/>
        </w:rPr>
        <w:t>amor–benevolente</w:t>
      </w:r>
      <w:r w:rsidR="00FF5BD3">
        <w:t xml:space="preserve"> </w:t>
      </w:r>
      <w:r>
        <w:t xml:space="preserve">y el resto como una madre </w:t>
      </w:r>
      <w:r w:rsidR="00EE5E54">
        <w:t xml:space="preserve">lo haría con </w:t>
      </w:r>
      <w:r w:rsidR="002B1CB8">
        <w:t>sus</w:t>
      </w:r>
      <w:r>
        <w:t xml:space="preserve"> cuatro hijos, </w:t>
      </w:r>
      <w:r w:rsidR="00FF5BD3">
        <w:t>es decir</w:t>
      </w:r>
      <w:r>
        <w:t xml:space="preserve">, </w:t>
      </w:r>
      <w:r w:rsidR="002B1CB8">
        <w:t xml:space="preserve">hacia </w:t>
      </w:r>
      <w:r>
        <w:t xml:space="preserve">un niño, un inválido, uno en el florecimiento de la juventud y uno ocupado con sus propios asuntos; </w:t>
      </w:r>
      <w:r w:rsidR="001823DD">
        <w:t xml:space="preserve">ya </w:t>
      </w:r>
      <w:r>
        <w:t xml:space="preserve">que ella </w:t>
      </w:r>
      <w:r w:rsidR="001823DD">
        <w:t xml:space="preserve">querrá </w:t>
      </w:r>
      <w:r>
        <w:t xml:space="preserve">que el niño crezca, </w:t>
      </w:r>
      <w:r w:rsidR="001823DD">
        <w:t xml:space="preserve">querrá </w:t>
      </w:r>
      <w:r>
        <w:t xml:space="preserve">que el inválido se mejore, </w:t>
      </w:r>
      <w:r w:rsidR="001823DD">
        <w:t xml:space="preserve">querrá </w:t>
      </w:r>
      <w:r>
        <w:t>que el que est</w:t>
      </w:r>
      <w:r w:rsidR="001823DD">
        <w:t>é</w:t>
      </w:r>
      <w:r>
        <w:t xml:space="preserve"> en la juventud disfrute por mucho tiempo de los beneficios de la juventud, y </w:t>
      </w:r>
      <w:r w:rsidR="002B1CB8">
        <w:t xml:space="preserve">que </w:t>
      </w:r>
      <w:r w:rsidR="003145C4">
        <w:t xml:space="preserve">el que esté ocupado en sus propios asuntos </w:t>
      </w:r>
      <w:r>
        <w:t>no se preocup</w:t>
      </w:r>
      <w:r w:rsidR="001823DD">
        <w:t>e</w:t>
      </w:r>
      <w:r>
        <w:t xml:space="preserve"> en absoluto. Es por e</w:t>
      </w:r>
      <w:r w:rsidR="00E26DDC">
        <w:t>ll</w:t>
      </w:r>
      <w:r>
        <w:t xml:space="preserve">o </w:t>
      </w:r>
      <w:proofErr w:type="gramStart"/>
      <w:r>
        <w:t>que</w:t>
      </w:r>
      <w:proofErr w:type="gramEnd"/>
      <w:r>
        <w:t xml:space="preserve"> los estados inconmensurables son solo cuatro “debido a los </w:t>
      </w:r>
      <w:r w:rsidR="001823DD">
        <w:t xml:space="preserve">senderos </w:t>
      </w:r>
      <w:r>
        <w:t xml:space="preserve">hacia la pureza y </w:t>
      </w:r>
      <w:r w:rsidR="00426EB1">
        <w:t xml:space="preserve">a </w:t>
      </w:r>
      <w:r>
        <w:t xml:space="preserve">otros </w:t>
      </w:r>
      <w:r w:rsidR="00426EB1">
        <w:t>grupos</w:t>
      </w:r>
      <w:r>
        <w:t xml:space="preserve"> de cuatro”.</w:t>
      </w:r>
    </w:p>
    <w:p w14:paraId="20F59B52" w14:textId="0A8A52E7" w:rsidR="00F843B7" w:rsidRDefault="00F843B7" w:rsidP="00F843B7">
      <w:r>
        <w:t xml:space="preserve">109. </w:t>
      </w:r>
      <w:r w:rsidR="00BB2E11">
        <w:tab/>
      </w:r>
      <w:r>
        <w:t xml:space="preserve">Quien quiera desarrollar estos cuatro </w:t>
      </w:r>
      <w:proofErr w:type="spellStart"/>
      <w:r w:rsidR="006C73A9">
        <w:rPr>
          <w:i/>
          <w:iCs/>
        </w:rPr>
        <w:t>brahmā</w:t>
      </w:r>
      <w:proofErr w:type="spellEnd"/>
      <w:r w:rsidR="006C73A9">
        <w:rPr>
          <w:i/>
          <w:iCs/>
        </w:rPr>
        <w:t>–</w:t>
      </w:r>
      <w:r w:rsidR="006C73A9" w:rsidRPr="006C73A9">
        <w:rPr>
          <w:i/>
          <w:iCs/>
        </w:rPr>
        <w:t>viharas</w:t>
      </w:r>
      <w:r w:rsidR="006C73A9">
        <w:t xml:space="preserve"> </w:t>
      </w:r>
      <w:r>
        <w:t>debe</w:t>
      </w:r>
      <w:r w:rsidR="00E26DDC">
        <w:t>rá</w:t>
      </w:r>
      <w:r>
        <w:t xml:space="preserve"> practicarlos hacia los seres</w:t>
      </w:r>
      <w:r w:rsidR="00922995">
        <w:t>,</w:t>
      </w:r>
      <w:r>
        <w:t xml:space="preserve"> primero</w:t>
      </w:r>
      <w:r w:rsidR="00922995">
        <w:t>,</w:t>
      </w:r>
      <w:r>
        <w:t xml:space="preserve"> como </w:t>
      </w:r>
      <w:r w:rsidR="000D0398">
        <w:t>una</w:t>
      </w:r>
      <w:r>
        <w:t xml:space="preserve"> promoción de</w:t>
      </w:r>
      <w:r w:rsidR="006C73A9">
        <w:t>sde e</w:t>
      </w:r>
      <w:r>
        <w:t>l aspecto de bienestar y</w:t>
      </w:r>
      <w:r w:rsidR="006C73A9">
        <w:t>,</w:t>
      </w:r>
      <w:r>
        <w:t xml:space="preserve"> </w:t>
      </w:r>
      <w:r w:rsidR="001F6E00">
        <w:t>para ello</w:t>
      </w:r>
      <w:r w:rsidR="006C73A9">
        <w:t>,</w:t>
      </w:r>
      <w:r w:rsidR="001F6E00">
        <w:t xml:space="preserve"> </w:t>
      </w:r>
      <w:r w:rsidR="004E55EB">
        <w:t xml:space="preserve">la transmisión de </w:t>
      </w:r>
      <w:r w:rsidR="009E6A5A" w:rsidRPr="0082231D">
        <w:rPr>
          <w:i/>
          <w:iCs/>
        </w:rPr>
        <w:t>amor–benevolente</w:t>
      </w:r>
      <w:r w:rsidR="004E55EB">
        <w:t xml:space="preserve"> </w:t>
      </w:r>
      <w:r w:rsidR="006E40B7">
        <w:t xml:space="preserve">tendrá </w:t>
      </w:r>
      <w:r>
        <w:t xml:space="preserve">como característica </w:t>
      </w:r>
      <w:r w:rsidR="004E55EB">
        <w:t xml:space="preserve">promover </w:t>
      </w:r>
      <w:r>
        <w:t xml:space="preserve">el aspecto de bienestar; luego, al </w:t>
      </w:r>
      <w:r w:rsidR="00922995">
        <w:t>observar</w:t>
      </w:r>
      <w:r>
        <w:t>, escuchar o juzgar</w:t>
      </w:r>
      <w:r w:rsidRPr="000C43D5">
        <w:rPr>
          <w:vertAlign w:val="superscript"/>
        </w:rPr>
        <w:t>16</w:t>
      </w:r>
      <w:r>
        <w:t xml:space="preserve"> </w:t>
      </w:r>
      <w:r w:rsidR="00990634">
        <w:t>a</w:t>
      </w:r>
      <w:r>
        <w:t xml:space="preserve"> los seres </w:t>
      </w:r>
      <w:r w:rsidR="00990634">
        <w:t xml:space="preserve">a quienes se le ha transmitido sentimientos de </w:t>
      </w:r>
      <w:r>
        <w:t xml:space="preserve">bienestar </w:t>
      </w:r>
      <w:r w:rsidR="0046268B">
        <w:t>se encuentra</w:t>
      </w:r>
      <w:r w:rsidR="00922995">
        <w:t>n</w:t>
      </w:r>
      <w:r w:rsidR="0046268B">
        <w:t xml:space="preserve"> </w:t>
      </w:r>
      <w:r>
        <w:t>a merced del sufrimiento, debe</w:t>
      </w:r>
      <w:r w:rsidR="004E55EB">
        <w:t>rá</w:t>
      </w:r>
      <w:r>
        <w:t xml:space="preserve"> practicarse </w:t>
      </w:r>
      <w:r w:rsidR="00F31E81">
        <w:t xml:space="preserve">la </w:t>
      </w:r>
      <w:r w:rsidR="0046268B">
        <w:t xml:space="preserve">transmisión de </w:t>
      </w:r>
      <w:r w:rsidR="009E6A5A" w:rsidRPr="0082231D">
        <w:rPr>
          <w:i/>
          <w:iCs/>
        </w:rPr>
        <w:t>amor–benevolente</w:t>
      </w:r>
      <w:r w:rsidR="0046268B">
        <w:t xml:space="preserve"> </w:t>
      </w:r>
      <w:r>
        <w:t>de</w:t>
      </w:r>
      <w:r w:rsidR="0046268B">
        <w:t>sde e</w:t>
      </w:r>
      <w:r>
        <w:t>l aspecto de la eliminación de</w:t>
      </w:r>
      <w:r w:rsidR="0046268B">
        <w:t xml:space="preserve"> su</w:t>
      </w:r>
      <w:r>
        <w:t xml:space="preserve"> sufrimiento y</w:t>
      </w:r>
      <w:r w:rsidR="0046268B">
        <w:t>,</w:t>
      </w:r>
      <w:r>
        <w:t xml:space="preserve"> </w:t>
      </w:r>
      <w:r w:rsidR="00F31E81">
        <w:t>para ello</w:t>
      </w:r>
      <w:r w:rsidR="005F1A65">
        <w:t>,</w:t>
      </w:r>
      <w:r w:rsidR="00F31E81">
        <w:t xml:space="preserve"> </w:t>
      </w:r>
      <w:r w:rsidR="00263EA1">
        <w:t xml:space="preserve">la transmisión de </w:t>
      </w:r>
      <w:r w:rsidR="00263EA1">
        <w:rPr>
          <w:i/>
          <w:iCs/>
        </w:rPr>
        <w:t>compasión</w:t>
      </w:r>
      <w:r w:rsidR="00263EA1">
        <w:t xml:space="preserve"> </w:t>
      </w:r>
      <w:r w:rsidR="005F1A65">
        <w:t xml:space="preserve">tendrá </w:t>
      </w:r>
      <w:r w:rsidR="00263EA1">
        <w:t xml:space="preserve">como característica </w:t>
      </w:r>
      <w:r>
        <w:t>la promoción del aspecto de la eliminación del sufrimiento</w:t>
      </w:r>
      <w:r w:rsidR="006E40B7">
        <w:t xml:space="preserve"> ajeno</w:t>
      </w:r>
      <w:r>
        <w:t xml:space="preserve">; y luego, al </w:t>
      </w:r>
      <w:r w:rsidR="00922995">
        <w:t xml:space="preserve">observar </w:t>
      </w:r>
      <w:r>
        <w:t>el éxito de aquellos cuyo bienestar se ha</w:t>
      </w:r>
      <w:r w:rsidR="004B6C21">
        <w:t>ya</w:t>
      </w:r>
      <w:r>
        <w:t xml:space="preserve"> </w:t>
      </w:r>
      <w:r w:rsidR="004B6C21">
        <w:t>conseguido</w:t>
      </w:r>
      <w:r>
        <w:t xml:space="preserve"> y la eliminación de </w:t>
      </w:r>
      <w:r w:rsidR="00756021">
        <w:t xml:space="preserve">su </w:t>
      </w:r>
      <w:r>
        <w:t>sufrimiento</w:t>
      </w:r>
      <w:r w:rsidR="004B6C21" w:rsidRPr="004B6C21">
        <w:t xml:space="preserve"> </w:t>
      </w:r>
      <w:r w:rsidR="004B6C21">
        <w:t xml:space="preserve">se haya </w:t>
      </w:r>
      <w:r w:rsidR="006E40B7">
        <w:t>disipado</w:t>
      </w:r>
      <w:r>
        <w:t>, debe</w:t>
      </w:r>
      <w:r w:rsidR="00756021">
        <w:t>rá</w:t>
      </w:r>
      <w:r>
        <w:t xml:space="preserve"> practicarse como si </w:t>
      </w:r>
      <w:r w:rsidR="00FB4AFD">
        <w:t xml:space="preserve">él </w:t>
      </w:r>
      <w:r w:rsidR="005F1A65">
        <w:t xml:space="preserve">se sintiera </w:t>
      </w:r>
      <w:r>
        <w:t xml:space="preserve">alegre </w:t>
      </w:r>
      <w:r w:rsidR="003A46BB">
        <w:t xml:space="preserve">por ellos </w:t>
      </w:r>
      <w:r>
        <w:t>y</w:t>
      </w:r>
      <w:r w:rsidR="005F1A65">
        <w:t>,</w:t>
      </w:r>
      <w:r>
        <w:t xml:space="preserve"> </w:t>
      </w:r>
      <w:r w:rsidR="00E123FE">
        <w:t>para ello</w:t>
      </w:r>
      <w:r w:rsidR="005F1A65">
        <w:t>,</w:t>
      </w:r>
      <w:r w:rsidR="00E123FE">
        <w:t xml:space="preserve"> </w:t>
      </w:r>
      <w:r w:rsidR="00AA7D6F">
        <w:t xml:space="preserve">la transmisión de </w:t>
      </w:r>
      <w:r w:rsidR="005F1A65">
        <w:t xml:space="preserve">la </w:t>
      </w:r>
      <w:r w:rsidR="00AA7D6F">
        <w:rPr>
          <w:i/>
          <w:iCs/>
        </w:rPr>
        <w:t>alegría altruista</w:t>
      </w:r>
      <w:r w:rsidR="00AA7D6F">
        <w:t xml:space="preserve"> </w:t>
      </w:r>
      <w:r w:rsidR="005F1A65">
        <w:t xml:space="preserve">tendrá </w:t>
      </w:r>
      <w:r w:rsidR="00AA7D6F">
        <w:t xml:space="preserve">como característica </w:t>
      </w:r>
      <w:r>
        <w:t>el acto de alegrar</w:t>
      </w:r>
      <w:r w:rsidR="00AA7D6F">
        <w:t xml:space="preserve"> a los demás</w:t>
      </w:r>
      <w:r>
        <w:t xml:space="preserve">; </w:t>
      </w:r>
      <w:r w:rsidR="00E47449">
        <w:t>no obstante,</w:t>
      </w:r>
      <w:r>
        <w:t xml:space="preserve"> después de e</w:t>
      </w:r>
      <w:r w:rsidR="00AA7D6F">
        <w:t>ll</w:t>
      </w:r>
      <w:r>
        <w:t>o no ha</w:t>
      </w:r>
      <w:r w:rsidR="00E47449">
        <w:t>brá</w:t>
      </w:r>
      <w:r>
        <w:t xml:space="preserve"> nada que hacer y, por lo tanto, debe</w:t>
      </w:r>
      <w:r w:rsidR="00E47449">
        <w:t>rá</w:t>
      </w:r>
      <w:r>
        <w:t xml:space="preserve"> practicarse </w:t>
      </w:r>
      <w:r w:rsidR="007735CF">
        <w:t>el</w:t>
      </w:r>
      <w:r>
        <w:t xml:space="preserve"> aspecto neutral</w:t>
      </w:r>
      <w:r w:rsidR="00D33280">
        <w:t xml:space="preserve"> de la práctica</w:t>
      </w:r>
      <w:r>
        <w:t xml:space="preserve">, en otras palabras, </w:t>
      </w:r>
      <w:r w:rsidR="00597586">
        <w:t xml:space="preserve">bajo la condición </w:t>
      </w:r>
      <w:r>
        <w:t xml:space="preserve">de espectador y </w:t>
      </w:r>
      <w:r w:rsidR="00AA291D">
        <w:t xml:space="preserve">aquí. </w:t>
      </w:r>
      <w:r w:rsidR="00D33280">
        <w:t xml:space="preserve">la transmisión de </w:t>
      </w:r>
      <w:r w:rsidR="00D33280">
        <w:rPr>
          <w:i/>
          <w:iCs/>
        </w:rPr>
        <w:t>ecuanimidad</w:t>
      </w:r>
      <w:r w:rsidR="00D33280">
        <w:t xml:space="preserve"> </w:t>
      </w:r>
      <w:r w:rsidR="008861A3">
        <w:t xml:space="preserve">tendrá </w:t>
      </w:r>
      <w:r>
        <w:t>como característica la promoción del aspecto de neutralidad; por lo tanto, siendo sus respectivos fines el aspecto de</w:t>
      </w:r>
      <w:r w:rsidR="00A0482C">
        <w:t>l</w:t>
      </w:r>
      <w:r>
        <w:t xml:space="preserve"> bienestar, etc., debe</w:t>
      </w:r>
      <w:r w:rsidR="00D33280">
        <w:t>rá</w:t>
      </w:r>
      <w:r>
        <w:t xml:space="preserve"> entenderse que su orden correspond</w:t>
      </w:r>
      <w:r w:rsidR="001F6E00">
        <w:t>iente</w:t>
      </w:r>
      <w:r>
        <w:t xml:space="preserve"> </w:t>
      </w:r>
      <w:r w:rsidR="001F6E00">
        <w:t xml:space="preserve">será </w:t>
      </w:r>
      <w:r>
        <w:t xml:space="preserve">primero la </w:t>
      </w:r>
      <w:r w:rsidR="001F6E00">
        <w:t xml:space="preserve">transmisión de </w:t>
      </w:r>
      <w:r w:rsidR="009E6A5A" w:rsidRPr="0082231D">
        <w:rPr>
          <w:i/>
          <w:iCs/>
        </w:rPr>
        <w:t>amor–benevolente</w:t>
      </w:r>
      <w:r>
        <w:t xml:space="preserve">, luego </w:t>
      </w:r>
      <w:r w:rsidR="001F6E00">
        <w:t>de</w:t>
      </w:r>
      <w:r>
        <w:t xml:space="preserve"> </w:t>
      </w:r>
      <w:proofErr w:type="gramStart"/>
      <w:r w:rsidRPr="001F6E00">
        <w:rPr>
          <w:i/>
          <w:iCs/>
        </w:rPr>
        <w:t>compasión</w:t>
      </w:r>
      <w:r>
        <w:t xml:space="preserve">,  </w:t>
      </w:r>
      <w:r w:rsidRPr="001F6E00">
        <w:rPr>
          <w:i/>
          <w:iCs/>
        </w:rPr>
        <w:t>alegría</w:t>
      </w:r>
      <w:proofErr w:type="gramEnd"/>
      <w:r w:rsidRPr="001F6E00">
        <w:rPr>
          <w:i/>
          <w:iCs/>
        </w:rPr>
        <w:t xml:space="preserve"> </w:t>
      </w:r>
      <w:r w:rsidR="001F6E00" w:rsidRPr="001F6E00">
        <w:rPr>
          <w:i/>
          <w:iCs/>
        </w:rPr>
        <w:t>altruista</w:t>
      </w:r>
      <w:r w:rsidR="001F6E00">
        <w:t xml:space="preserve"> </w:t>
      </w:r>
      <w:r>
        <w:t xml:space="preserve">y </w:t>
      </w:r>
      <w:r w:rsidR="00A0482C">
        <w:t xml:space="preserve">finalmente </w:t>
      </w:r>
      <w:r w:rsidR="008861A3">
        <w:t xml:space="preserve">de </w:t>
      </w:r>
      <w:r w:rsidRPr="001F6E00">
        <w:rPr>
          <w:i/>
          <w:iCs/>
        </w:rPr>
        <w:t>ecuanimidad</w:t>
      </w:r>
      <w:r>
        <w:t>.</w:t>
      </w:r>
      <w:r w:rsidR="003A46BB">
        <w:t xml:space="preserve"> </w:t>
      </w:r>
    </w:p>
    <w:p w14:paraId="0954691E" w14:textId="1341E9F4" w:rsidR="00F843B7" w:rsidRDefault="00F843B7" w:rsidP="00F843B7">
      <w:r>
        <w:t xml:space="preserve">110. </w:t>
      </w:r>
      <w:r w:rsidR="00BB2E11">
        <w:tab/>
      </w:r>
      <w:r>
        <w:t>Todos ellos, sin embargo, ocurr</w:t>
      </w:r>
      <w:r w:rsidR="00B0779B">
        <w:t>irá</w:t>
      </w:r>
      <w:r>
        <w:t xml:space="preserve">n con un alcance </w:t>
      </w:r>
      <w:r w:rsidR="00B0779B">
        <w:t>inmensurable</w:t>
      </w:r>
      <w:r>
        <w:t xml:space="preserve">, </w:t>
      </w:r>
      <w:r w:rsidR="009A228E">
        <w:t xml:space="preserve">ya </w:t>
      </w:r>
      <w:r>
        <w:t xml:space="preserve">que su alcance </w:t>
      </w:r>
      <w:r w:rsidR="009A228E">
        <w:t xml:space="preserve">será los </w:t>
      </w:r>
      <w:r>
        <w:t xml:space="preserve">seres </w:t>
      </w:r>
      <w:r w:rsidR="009A228E">
        <w:t>in</w:t>
      </w:r>
      <w:r w:rsidR="00FE6150">
        <w:t>mensurablemente</w:t>
      </w:r>
      <w:r>
        <w:t>; y en lugar de asumir una medida como "</w:t>
      </w:r>
      <w:r w:rsidR="00FE6150">
        <w:t xml:space="preserve">El </w:t>
      </w:r>
      <w:r w:rsidR="009E6A5A" w:rsidRPr="0082231D">
        <w:rPr>
          <w:i/>
          <w:iCs/>
        </w:rPr>
        <w:t>amor–benevolente</w:t>
      </w:r>
      <w:r>
        <w:t xml:space="preserve">, etc., </w:t>
      </w:r>
      <w:r w:rsidR="00234D98">
        <w:t xml:space="preserve">que se </w:t>
      </w:r>
      <w:r>
        <w:t xml:space="preserve">desarrolle solo hacia un solo ser, o </w:t>
      </w:r>
      <w:r w:rsidR="00FE6150">
        <w:t xml:space="preserve">hacia </w:t>
      </w:r>
      <w:r>
        <w:t xml:space="preserve">un área de </w:t>
      </w:r>
      <w:r w:rsidR="00FE6150">
        <w:t xml:space="preserve">determinada </w:t>
      </w:r>
      <w:r>
        <w:t>extensión", ocurr</w:t>
      </w:r>
      <w:r w:rsidR="00EC43E6">
        <w:t>irá</w:t>
      </w:r>
      <w:r>
        <w:t xml:space="preserve">n con una </w:t>
      </w:r>
      <w:r w:rsidR="00412A5E">
        <w:t>transmisión</w:t>
      </w:r>
      <w:r>
        <w:t xml:space="preserve"> universal.</w:t>
      </w:r>
    </w:p>
    <w:p w14:paraId="06514C97" w14:textId="276458B5" w:rsidR="00F843B7" w:rsidRDefault="00F843B7" w:rsidP="00BB2E11">
      <w:pPr>
        <w:pStyle w:val="NormalConSangria"/>
      </w:pPr>
      <w:r>
        <w:t>Por eso se di</w:t>
      </w:r>
      <w:r w:rsidR="00EC43E6">
        <w:t>ce</w:t>
      </w:r>
      <w:r>
        <w:t>: [322]</w:t>
      </w:r>
    </w:p>
    <w:p w14:paraId="77F3E22B" w14:textId="0EC02F97" w:rsidR="00F843B7" w:rsidRPr="008C0D89" w:rsidRDefault="00F843B7" w:rsidP="00BB2E11">
      <w:pPr>
        <w:pStyle w:val="VersoIngls01Sangria"/>
        <w:rPr>
          <w:sz w:val="16"/>
          <w:szCs w:val="16"/>
        </w:rPr>
      </w:pPr>
      <w:r w:rsidRPr="008C0D89">
        <w:rPr>
          <w:sz w:val="16"/>
          <w:szCs w:val="16"/>
        </w:rPr>
        <w:t xml:space="preserve">Su número cuatro se debe a los </w:t>
      </w:r>
      <w:r w:rsidR="00EC43E6" w:rsidRPr="008C0D89">
        <w:rPr>
          <w:sz w:val="16"/>
          <w:szCs w:val="16"/>
        </w:rPr>
        <w:t xml:space="preserve">senderos hacia </w:t>
      </w:r>
      <w:r w:rsidRPr="008C0D89">
        <w:rPr>
          <w:sz w:val="16"/>
          <w:szCs w:val="16"/>
        </w:rPr>
        <w:t>la pureza.</w:t>
      </w:r>
    </w:p>
    <w:p w14:paraId="623876FE" w14:textId="5B91CF55" w:rsidR="00F843B7" w:rsidRPr="008C0D89" w:rsidRDefault="00F843B7" w:rsidP="00BB2E11">
      <w:pPr>
        <w:pStyle w:val="VersoIngls01Sangria"/>
        <w:rPr>
          <w:sz w:val="16"/>
          <w:szCs w:val="16"/>
        </w:rPr>
      </w:pPr>
      <w:r w:rsidRPr="008C0D89">
        <w:rPr>
          <w:sz w:val="16"/>
          <w:szCs w:val="16"/>
        </w:rPr>
        <w:t xml:space="preserve">y otros conjuntos de cuatro; su orden </w:t>
      </w:r>
      <w:r w:rsidR="00412A5E">
        <w:rPr>
          <w:sz w:val="16"/>
          <w:szCs w:val="16"/>
        </w:rPr>
        <w:t xml:space="preserve">a </w:t>
      </w:r>
      <w:r w:rsidRPr="008C0D89">
        <w:rPr>
          <w:sz w:val="16"/>
          <w:szCs w:val="16"/>
        </w:rPr>
        <w:t>su objetivo</w:t>
      </w:r>
    </w:p>
    <w:p w14:paraId="2B39D35A" w14:textId="15A7F97B" w:rsidR="00F843B7" w:rsidRPr="008C0D89" w:rsidRDefault="00F843B7" w:rsidP="00BB2E11">
      <w:pPr>
        <w:pStyle w:val="VersoIngls01Sangria"/>
        <w:rPr>
          <w:sz w:val="16"/>
          <w:szCs w:val="16"/>
        </w:rPr>
      </w:pPr>
      <w:r w:rsidRPr="008C0D89">
        <w:rPr>
          <w:sz w:val="16"/>
          <w:szCs w:val="16"/>
        </w:rPr>
        <w:t xml:space="preserve">Como </w:t>
      </w:r>
      <w:r w:rsidR="00412A5E">
        <w:rPr>
          <w:sz w:val="16"/>
          <w:szCs w:val="16"/>
        </w:rPr>
        <w:t xml:space="preserve">el </w:t>
      </w:r>
      <w:r w:rsidRPr="008C0D89">
        <w:rPr>
          <w:sz w:val="16"/>
          <w:szCs w:val="16"/>
        </w:rPr>
        <w:t xml:space="preserve">bienestar y </w:t>
      </w:r>
      <w:r w:rsidR="00EC43E6" w:rsidRPr="008C0D89">
        <w:rPr>
          <w:sz w:val="16"/>
          <w:szCs w:val="16"/>
        </w:rPr>
        <w:t>lo restante</w:t>
      </w:r>
      <w:r w:rsidRPr="008C0D89">
        <w:rPr>
          <w:sz w:val="16"/>
          <w:szCs w:val="16"/>
        </w:rPr>
        <w:t>. Se encuentra que su alcance es</w:t>
      </w:r>
    </w:p>
    <w:p w14:paraId="05ADD3A7" w14:textId="744D77B8" w:rsidR="00412A5E" w:rsidRPr="008C0D89" w:rsidRDefault="00F843B7" w:rsidP="00BB2E11">
      <w:pPr>
        <w:pStyle w:val="VersoIngls01Sangria"/>
        <w:spacing w:after="100"/>
        <w:ind w:left="1418"/>
        <w:rPr>
          <w:sz w:val="16"/>
          <w:szCs w:val="16"/>
        </w:rPr>
      </w:pPr>
      <w:r w:rsidRPr="008C0D89">
        <w:rPr>
          <w:sz w:val="16"/>
          <w:szCs w:val="16"/>
        </w:rPr>
        <w:t xml:space="preserve">Inmensurable, </w:t>
      </w:r>
      <w:r w:rsidR="008C0D89" w:rsidRPr="008C0D89">
        <w:rPr>
          <w:sz w:val="16"/>
          <w:szCs w:val="16"/>
        </w:rPr>
        <w:t>por lo que su nombre corresponde a los "estados inmensurables".</w:t>
      </w:r>
    </w:p>
    <w:p w14:paraId="6AD5203E" w14:textId="5D74496D" w:rsidR="00F843B7" w:rsidRDefault="00F843B7" w:rsidP="00BB2E11">
      <w:pPr>
        <w:jc w:val="center"/>
      </w:pPr>
      <w:r>
        <w:t>[</w:t>
      </w:r>
      <w:r w:rsidR="00BB2E11" w:rsidRPr="00BB2E11">
        <w:rPr>
          <w:i/>
          <w:iCs/>
        </w:rPr>
        <w:t xml:space="preserve">Produciendo Tres </w:t>
      </w:r>
      <w:proofErr w:type="spellStart"/>
      <w:r w:rsidR="00057BF4" w:rsidRPr="00057BF4">
        <w:rPr>
          <w:i/>
          <w:iCs/>
        </w:rPr>
        <w:t>Jhāna</w:t>
      </w:r>
      <w:r w:rsidRPr="00BB2E11">
        <w:rPr>
          <w:i/>
          <w:iCs/>
        </w:rPr>
        <w:t>s</w:t>
      </w:r>
      <w:proofErr w:type="spellEnd"/>
      <w:r w:rsidRPr="00BB2E11">
        <w:rPr>
          <w:i/>
          <w:iCs/>
        </w:rPr>
        <w:t xml:space="preserve"> y </w:t>
      </w:r>
      <w:r w:rsidR="00BB2E11" w:rsidRPr="00BB2E11">
        <w:rPr>
          <w:i/>
          <w:iCs/>
        </w:rPr>
        <w:t xml:space="preserve">Cuatro </w:t>
      </w:r>
      <w:proofErr w:type="spellStart"/>
      <w:r w:rsidR="00057BF4" w:rsidRPr="00057BF4">
        <w:rPr>
          <w:i/>
          <w:iCs/>
        </w:rPr>
        <w:t>Jhāna</w:t>
      </w:r>
      <w:r w:rsidRPr="00BB2E11">
        <w:rPr>
          <w:i/>
          <w:iCs/>
        </w:rPr>
        <w:t>s</w:t>
      </w:r>
      <w:proofErr w:type="spellEnd"/>
      <w:r>
        <w:t>]</w:t>
      </w:r>
    </w:p>
    <w:p w14:paraId="0D42CA96" w14:textId="28463ADB" w:rsidR="00F843B7" w:rsidRDefault="00F843B7" w:rsidP="00F843B7">
      <w:r>
        <w:t xml:space="preserve">111. </w:t>
      </w:r>
      <w:r w:rsidR="00BB2E11">
        <w:tab/>
      </w:r>
      <w:r>
        <w:t>Aunque ten</w:t>
      </w:r>
      <w:r w:rsidR="00D45A75">
        <w:t>ga</w:t>
      </w:r>
      <w:r>
        <w:t xml:space="preserve">n la característica única de </w:t>
      </w:r>
      <w:r w:rsidR="00D45A75">
        <w:t>poseer</w:t>
      </w:r>
      <w:r>
        <w:t xml:space="preserve"> un alcance inmensurable, los primeros </w:t>
      </w:r>
      <w:r w:rsidR="00805745">
        <w:t>3</w:t>
      </w:r>
      <w:r>
        <w:t xml:space="preserve"> </w:t>
      </w:r>
      <w:r w:rsidR="006E168E">
        <w:t>corresponde</w:t>
      </w:r>
      <w:r w:rsidR="00805745">
        <w:t>rá</w:t>
      </w:r>
      <w:r w:rsidR="006E168E">
        <w:t xml:space="preserve">n </w:t>
      </w:r>
      <w:r>
        <w:t xml:space="preserve">solo </w:t>
      </w:r>
      <w:r w:rsidR="006E168E">
        <w:t>a</w:t>
      </w:r>
      <w:r w:rsidR="00875BCC">
        <w:t xml:space="preserve"> </w:t>
      </w:r>
      <w:r w:rsidR="006E168E">
        <w:t>l</w:t>
      </w:r>
      <w:r w:rsidR="00875BCC">
        <w:t>os tres y cuatro</w:t>
      </w:r>
      <w:r w:rsidR="006E168E">
        <w:t xml:space="preserve"> </w:t>
      </w:r>
      <w:proofErr w:type="spellStart"/>
      <w:r w:rsidR="00057BF4" w:rsidRPr="00057BF4">
        <w:rPr>
          <w:i/>
          <w:iCs/>
        </w:rPr>
        <w:t>jhāna</w:t>
      </w:r>
      <w:r w:rsidR="00875BCC">
        <w:rPr>
          <w:i/>
          <w:iCs/>
        </w:rPr>
        <w:t>s</w:t>
      </w:r>
      <w:proofErr w:type="spellEnd"/>
      <w:r w:rsidR="00B46262">
        <w:rPr>
          <w:i/>
          <w:iCs/>
        </w:rPr>
        <w:t>,</w:t>
      </w:r>
      <w:r>
        <w:t xml:space="preserve"> en los cómputos cuádruples y quíntuples</w:t>
      </w:r>
      <w:r w:rsidR="00C25A2F">
        <w:t>,</w:t>
      </w:r>
      <w:r w:rsidR="00875BCC" w:rsidRPr="00875BCC">
        <w:t xml:space="preserve"> </w:t>
      </w:r>
    </w:p>
    <w:p w14:paraId="05EFFC14" w14:textId="77777777" w:rsidR="00F843B7" w:rsidRDefault="00F843B7" w:rsidP="00F843B7">
      <w:pPr>
        <w:pStyle w:val="Piedepgina"/>
        <w:rPr>
          <w:u w:val="single"/>
        </w:rPr>
      </w:pPr>
      <w:r>
        <w:rPr>
          <w:u w:val="single"/>
        </w:rPr>
        <w:t xml:space="preserve">                                                                                                                                                                          .</w:t>
      </w:r>
    </w:p>
    <w:p w14:paraId="505B7229" w14:textId="41C91D1F" w:rsidR="00BB2E11" w:rsidRDefault="00F843B7" w:rsidP="00552BC1">
      <w:pPr>
        <w:pStyle w:val="PiedepginaLegal"/>
      </w:pPr>
      <w:r>
        <w:t xml:space="preserve">16. </w:t>
      </w:r>
      <w:r>
        <w:tab/>
      </w:r>
      <w:proofErr w:type="spellStart"/>
      <w:r w:rsidRPr="000066BC">
        <w:rPr>
          <w:i/>
          <w:iCs/>
        </w:rPr>
        <w:t>Sambhāvetvā</w:t>
      </w:r>
      <w:proofErr w:type="spellEnd"/>
      <w:r>
        <w:t xml:space="preserve">—“juzgar”: no en este sentido en </w:t>
      </w:r>
      <w:r w:rsidR="00B316DB">
        <w:t xml:space="preserve">el </w:t>
      </w:r>
      <w:r>
        <w:t xml:space="preserve">PED. </w:t>
      </w:r>
      <w:proofErr w:type="spellStart"/>
      <w:r>
        <w:t>Vism-mhṭ</w:t>
      </w:r>
      <w:proofErr w:type="spellEnd"/>
      <w:r>
        <w:t xml:space="preserve"> (pág. 313) </w:t>
      </w:r>
      <w:r w:rsidR="00B316DB">
        <w:t xml:space="preserve">lo </w:t>
      </w:r>
      <w:r>
        <w:t xml:space="preserve">explica mediante </w:t>
      </w:r>
      <w:proofErr w:type="spellStart"/>
      <w:r w:rsidRPr="000066BC">
        <w:rPr>
          <w:i/>
          <w:iCs/>
        </w:rPr>
        <w:t>parikappetvā</w:t>
      </w:r>
      <w:proofErr w:type="spellEnd"/>
      <w:r>
        <w:t xml:space="preserve"> (conjeturas).</w:t>
      </w:r>
      <w:r w:rsidR="00BB2E11">
        <w:br w:type="page"/>
      </w:r>
    </w:p>
    <w:p w14:paraId="18FDD9D9" w14:textId="77777777" w:rsidR="00BB7B45" w:rsidRDefault="00BB7B45" w:rsidP="00942A15"/>
    <w:p w14:paraId="6AD956B8" w14:textId="7F9AA8C4" w:rsidR="00942A15" w:rsidRDefault="007A12DA" w:rsidP="00942A15">
      <w:r>
        <w:t xml:space="preserve">respectivamente. ¿Por qué? Porque ellos no estarán disociados de la dicha. Pero ¿por qué sus fines no </w:t>
      </w:r>
      <w:r w:rsidR="00552BC1">
        <w:t>est</w:t>
      </w:r>
      <w:r w:rsidR="00C25A2F">
        <w:t>ar</w:t>
      </w:r>
      <w:r w:rsidR="00552BC1">
        <w:t xml:space="preserve">án disociados de la </w:t>
      </w:r>
      <w:r w:rsidR="00A82CAB">
        <w:t>dicha</w:t>
      </w:r>
      <w:r w:rsidR="00552BC1">
        <w:t xml:space="preserve">? Porque </w:t>
      </w:r>
      <w:r w:rsidR="00A82CAB">
        <w:t>representa</w:t>
      </w:r>
      <w:r w:rsidR="008A38A4">
        <w:t>rá</w:t>
      </w:r>
      <w:r w:rsidR="00A82CAB">
        <w:t xml:space="preserve">n </w:t>
      </w:r>
      <w:r w:rsidR="008D030D">
        <w:t>la salvación a</w:t>
      </w:r>
      <w:r w:rsidR="00552BC1">
        <w:t xml:space="preserve"> la mala voluntad, etc., que se origina en </w:t>
      </w:r>
      <w:r w:rsidR="00A82CAB">
        <w:t>la aflicción</w:t>
      </w:r>
      <w:r w:rsidR="008D030D">
        <w:t>,</w:t>
      </w:r>
      <w:r w:rsidR="00552BC1">
        <w:t xml:space="preserve"> </w:t>
      </w:r>
      <w:r w:rsidR="008A38A4">
        <w:t xml:space="preserve">no obstante, </w:t>
      </w:r>
      <w:r w:rsidR="00D45A75">
        <w:t xml:space="preserve">el </w:t>
      </w:r>
      <w:r w:rsidR="008A38A4">
        <w:t>ú</w:t>
      </w:r>
      <w:r w:rsidR="00D45A75">
        <w:t xml:space="preserve">ltimo </w:t>
      </w:r>
      <w:r w:rsidR="00942A15">
        <w:t>pertenece</w:t>
      </w:r>
      <w:r w:rsidR="008A38A4">
        <w:t>rá</w:t>
      </w:r>
      <w:r w:rsidR="00942A15">
        <w:t xml:space="preserve"> solo al único </w:t>
      </w:r>
      <w:proofErr w:type="spellStart"/>
      <w:r w:rsidR="00057BF4" w:rsidRPr="00057BF4">
        <w:rPr>
          <w:i/>
          <w:iCs/>
        </w:rPr>
        <w:t>jhāna</w:t>
      </w:r>
      <w:proofErr w:type="spellEnd"/>
      <w:r w:rsidR="00942A15">
        <w:t xml:space="preserve"> restante. ¿Por qué? Porque est</w:t>
      </w:r>
      <w:r w:rsidR="008A38A4">
        <w:t>ar</w:t>
      </w:r>
      <w:r w:rsidR="00942A15">
        <w:t xml:space="preserve">á asociado con el sentimiento </w:t>
      </w:r>
      <w:r w:rsidR="00BA4412">
        <w:t xml:space="preserve">de la </w:t>
      </w:r>
      <w:r w:rsidR="00942A15">
        <w:t>ecu</w:t>
      </w:r>
      <w:r w:rsidR="00BA4412">
        <w:t>a</w:t>
      </w:r>
      <w:r w:rsidR="00942A15">
        <w:t>nim</w:t>
      </w:r>
      <w:r w:rsidR="00BA4412">
        <w:t>idad</w:t>
      </w:r>
      <w:r w:rsidR="00942A15">
        <w:t xml:space="preserve">. </w:t>
      </w:r>
      <w:r w:rsidR="00BA4412">
        <w:t xml:space="preserve">Ya </w:t>
      </w:r>
      <w:r w:rsidR="00942A15">
        <w:t xml:space="preserve">que </w:t>
      </w:r>
      <w:r w:rsidR="00B462D5">
        <w:t xml:space="preserve">la condición </w:t>
      </w:r>
      <w:r w:rsidR="00BA4412">
        <w:t>divin</w:t>
      </w:r>
      <w:r w:rsidR="00B462D5">
        <w:t>a</w:t>
      </w:r>
      <w:r w:rsidR="00BA4412">
        <w:t xml:space="preserve"> </w:t>
      </w:r>
      <w:r w:rsidR="00942A15">
        <w:t xml:space="preserve">de </w:t>
      </w:r>
      <w:r w:rsidR="00BA4412">
        <w:t xml:space="preserve">la transmisión de </w:t>
      </w:r>
      <w:r w:rsidR="00B462D5">
        <w:t xml:space="preserve">la </w:t>
      </w:r>
      <w:r w:rsidR="00BA4412">
        <w:rPr>
          <w:i/>
          <w:iCs/>
        </w:rPr>
        <w:t>ecuanimidad</w:t>
      </w:r>
      <w:r w:rsidR="00BA4412">
        <w:t xml:space="preserve"> </w:t>
      </w:r>
      <w:r w:rsidR="00942A15">
        <w:t>que se d</w:t>
      </w:r>
      <w:r w:rsidR="00B462D5">
        <w:t>é</w:t>
      </w:r>
      <w:r w:rsidR="00942A15">
        <w:t xml:space="preserve"> en el aspecto de neutralidad hacia los </w:t>
      </w:r>
      <w:proofErr w:type="gramStart"/>
      <w:r w:rsidR="00942A15">
        <w:t>seres</w:t>
      </w:r>
      <w:r w:rsidR="002F5A21">
        <w:t>,</w:t>
      </w:r>
      <w:proofErr w:type="gramEnd"/>
      <w:r w:rsidR="00942A15">
        <w:t xml:space="preserve"> no exist</w:t>
      </w:r>
      <w:r w:rsidR="009617EA">
        <w:t>irá</w:t>
      </w:r>
      <w:r w:rsidR="00942A15">
        <w:t xml:space="preserve"> </w:t>
      </w:r>
      <w:r w:rsidR="00B462D5">
        <w:t>de forma ajena a</w:t>
      </w:r>
      <w:r w:rsidR="002F5A21">
        <w:t xml:space="preserve"> un</w:t>
      </w:r>
      <w:r w:rsidR="00802F1B">
        <w:t>a</w:t>
      </w:r>
      <w:r w:rsidR="00942A15">
        <w:t xml:space="preserve"> </w:t>
      </w:r>
      <w:r w:rsidR="00802F1B">
        <w:t xml:space="preserve">sensación </w:t>
      </w:r>
      <w:r w:rsidR="00BA4412">
        <w:t xml:space="preserve">de </w:t>
      </w:r>
      <w:r w:rsidR="00942A15">
        <w:t>ecu</w:t>
      </w:r>
      <w:r w:rsidR="00BA4412">
        <w:t>a</w:t>
      </w:r>
      <w:r w:rsidR="00942A15">
        <w:t>nim</w:t>
      </w:r>
      <w:r w:rsidR="00BA4412">
        <w:t>idad</w:t>
      </w:r>
      <w:r w:rsidR="00942A15">
        <w:t xml:space="preserve"> [es decir, ni-dolor-ni-place</w:t>
      </w:r>
      <w:r w:rsidR="00B44B10">
        <w:t>r</w:t>
      </w:r>
      <w:r w:rsidR="00942A15">
        <w:t>].</w:t>
      </w:r>
    </w:p>
    <w:p w14:paraId="2EE0B493" w14:textId="238B82EF" w:rsidR="00942A15" w:rsidRDefault="00942A15" w:rsidP="00942A15">
      <w:r>
        <w:t xml:space="preserve">112. </w:t>
      </w:r>
      <w:r>
        <w:tab/>
        <w:t xml:space="preserve">Sin embargo, alguien podría decir esto: “Se ha dicho por el </w:t>
      </w:r>
      <w:r w:rsidR="00B44B10" w:rsidRPr="00B44B10">
        <w:rPr>
          <w:i/>
          <w:iCs/>
        </w:rPr>
        <w:t>Bhagavā</w:t>
      </w:r>
      <w:r w:rsidR="009617EA">
        <w:rPr>
          <w:i/>
          <w:iCs/>
        </w:rPr>
        <w:t>,</w:t>
      </w:r>
      <w:r w:rsidR="00B44B10">
        <w:t xml:space="preserve"> </w:t>
      </w:r>
      <w:r>
        <w:t>en el Libro de los Ochos, hablando de los estados inconmensurables en general: '</w:t>
      </w:r>
      <w:r w:rsidR="00B01700">
        <w:t>Entonces</w:t>
      </w:r>
      <w:r>
        <w:t xml:space="preserve">, </w:t>
      </w:r>
      <w:proofErr w:type="spellStart"/>
      <w:r w:rsidR="00057BF4" w:rsidRPr="00057BF4">
        <w:rPr>
          <w:i/>
          <w:iCs/>
        </w:rPr>
        <w:t>bhikkhu</w:t>
      </w:r>
      <w:proofErr w:type="spellEnd"/>
      <w:r>
        <w:t xml:space="preserve">, debe desarrollar la concentración con </w:t>
      </w:r>
      <w:r w:rsidR="00B44B10">
        <w:t>aplicación mental</w:t>
      </w:r>
      <w:r>
        <w:t xml:space="preserve"> y </w:t>
      </w:r>
      <w:r w:rsidR="00B44B10">
        <w:t>sustentación mental</w:t>
      </w:r>
      <w:r>
        <w:t>, y debe desarrollarl</w:t>
      </w:r>
      <w:r w:rsidR="00B44B10">
        <w:t>a</w:t>
      </w:r>
      <w:r>
        <w:t xml:space="preserve"> sin </w:t>
      </w:r>
      <w:r w:rsidR="00B44B10">
        <w:t>aplicación mental</w:t>
      </w:r>
      <w:r>
        <w:t xml:space="preserve"> y solo con </w:t>
      </w:r>
      <w:r w:rsidR="00B44B10">
        <w:t>sustentación mental</w:t>
      </w:r>
      <w:r>
        <w:t>, y debe desarrollarl</w:t>
      </w:r>
      <w:r w:rsidR="00B44B10">
        <w:t>a</w:t>
      </w:r>
      <w:r>
        <w:t xml:space="preserve"> sin </w:t>
      </w:r>
      <w:r w:rsidR="00B44B10">
        <w:t xml:space="preserve">aplicación mental </w:t>
      </w:r>
      <w:r>
        <w:t xml:space="preserve">y sin </w:t>
      </w:r>
      <w:r w:rsidR="00B44B10">
        <w:t>sustentación mental</w:t>
      </w:r>
      <w:r>
        <w:t>, y debe desarrollarl</w:t>
      </w:r>
      <w:r w:rsidR="00B44B10">
        <w:t>a</w:t>
      </w:r>
      <w:r>
        <w:t xml:space="preserve"> con </w:t>
      </w:r>
      <w:r w:rsidR="009466D8">
        <w:t>felicidad</w:t>
      </w:r>
      <w:r>
        <w:t xml:space="preserve">, y debe desarrollarlo sin </w:t>
      </w:r>
      <w:r w:rsidR="00B44B10">
        <w:t>dicha</w:t>
      </w:r>
      <w:r>
        <w:t>, y debe desarrollarl</w:t>
      </w:r>
      <w:r w:rsidR="00B44B10">
        <w:t>a</w:t>
      </w:r>
      <w:r>
        <w:t xml:space="preserve"> acompañad</w:t>
      </w:r>
      <w:r w:rsidR="00B44B10">
        <w:t>a</w:t>
      </w:r>
      <w:r>
        <w:t xml:space="preserve"> de gratificación , y deb</w:t>
      </w:r>
      <w:r w:rsidR="00F4732B">
        <w:t>e</w:t>
      </w:r>
      <w:r>
        <w:t xml:space="preserve"> desarrollarl</w:t>
      </w:r>
      <w:r w:rsidR="00F4732B">
        <w:t>a</w:t>
      </w:r>
      <w:r>
        <w:t xml:space="preserve"> acompañad</w:t>
      </w:r>
      <w:r w:rsidR="00F4732B">
        <w:t>a</w:t>
      </w:r>
      <w:r>
        <w:t xml:space="preserve"> de ecuanimidad' (A IV 300). </w:t>
      </w:r>
      <w:r w:rsidR="004B0FE2">
        <w:t>Consecuentemente</w:t>
      </w:r>
      <w:r>
        <w:t xml:space="preserve">, los cuatro estados inmensurables </w:t>
      </w:r>
      <w:r w:rsidR="004B0FE2">
        <w:t xml:space="preserve">poseen los </w:t>
      </w:r>
      <w:r w:rsidR="00715D9E">
        <w:t xml:space="preserve">cuatro </w:t>
      </w:r>
      <w:r>
        <w:t xml:space="preserve">y </w:t>
      </w:r>
      <w:r w:rsidR="00715D9E">
        <w:t xml:space="preserve">cinco </w:t>
      </w:r>
      <w:proofErr w:type="spellStart"/>
      <w:r w:rsidR="004B0FE2" w:rsidRPr="00057BF4">
        <w:rPr>
          <w:i/>
          <w:iCs/>
        </w:rPr>
        <w:t>jhāna</w:t>
      </w:r>
      <w:r w:rsidR="00715D9E">
        <w:rPr>
          <w:i/>
          <w:iCs/>
        </w:rPr>
        <w:t>s</w:t>
      </w:r>
      <w:proofErr w:type="spellEnd"/>
      <w:r>
        <w:t>”.</w:t>
      </w:r>
    </w:p>
    <w:p w14:paraId="7D7C3C3F" w14:textId="3DC78B59" w:rsidR="00942A15" w:rsidRDefault="00942A15" w:rsidP="00942A15">
      <w:r>
        <w:t xml:space="preserve">113. </w:t>
      </w:r>
      <w:r>
        <w:tab/>
        <w:t>Se le debe</w:t>
      </w:r>
      <w:r w:rsidR="00F90145">
        <w:t>ría</w:t>
      </w:r>
      <w:r>
        <w:t xml:space="preserve"> decir</w:t>
      </w:r>
      <w:r w:rsidR="00F90145">
        <w:t xml:space="preserve"> a él</w:t>
      </w:r>
      <w:r>
        <w:t xml:space="preserve">: “No </w:t>
      </w:r>
      <w:r w:rsidR="001D46AB">
        <w:t>lo plantee</w:t>
      </w:r>
      <w:r>
        <w:t xml:space="preserve"> así. </w:t>
      </w:r>
      <w:r w:rsidR="001D46AB">
        <w:t xml:space="preserve">Ya </w:t>
      </w:r>
      <w:r>
        <w:t>que si e</w:t>
      </w:r>
      <w:r w:rsidR="001D46AB">
        <w:t>ll</w:t>
      </w:r>
      <w:r>
        <w:t xml:space="preserve">o fuera así, entonces la contemplación del cuerpo, etc., también </w:t>
      </w:r>
      <w:r w:rsidR="00715D9E">
        <w:t xml:space="preserve">poseería los cuatro y cinco </w:t>
      </w:r>
      <w:proofErr w:type="spellStart"/>
      <w:r w:rsidR="00057BF4" w:rsidRPr="00057BF4">
        <w:rPr>
          <w:i/>
          <w:iCs/>
        </w:rPr>
        <w:t>jhāna</w:t>
      </w:r>
      <w:r w:rsidR="00715D9E">
        <w:rPr>
          <w:i/>
          <w:iCs/>
        </w:rPr>
        <w:t>s</w:t>
      </w:r>
      <w:proofErr w:type="spellEnd"/>
      <w:r>
        <w:t xml:space="preserve">. Pero ni siquiera existe el primer </w:t>
      </w:r>
      <w:proofErr w:type="spellStart"/>
      <w:r w:rsidR="00057BF4" w:rsidRPr="00057BF4">
        <w:rPr>
          <w:i/>
          <w:iCs/>
        </w:rPr>
        <w:t>jhāna</w:t>
      </w:r>
      <w:proofErr w:type="spellEnd"/>
      <w:r>
        <w:t xml:space="preserve"> en la contemplación de</w:t>
      </w:r>
      <w:r w:rsidR="00715D9E">
        <w:t xml:space="preserve"> </w:t>
      </w:r>
      <w:r>
        <w:t>l</w:t>
      </w:r>
      <w:r w:rsidR="00715D9E">
        <w:t>a</w:t>
      </w:r>
      <w:r>
        <w:t xml:space="preserve"> </w:t>
      </w:r>
      <w:r w:rsidR="00715D9E">
        <w:t xml:space="preserve">sensación </w:t>
      </w:r>
      <w:r>
        <w:t>o en los otros dos.</w:t>
      </w:r>
      <w:r w:rsidRPr="000C43D5">
        <w:rPr>
          <w:vertAlign w:val="superscript"/>
        </w:rPr>
        <w:t>17</w:t>
      </w:r>
      <w:r>
        <w:t xml:space="preserve"> Así que no tergiverse al </w:t>
      </w:r>
      <w:r w:rsidR="00715D9E" w:rsidRPr="00715D9E">
        <w:rPr>
          <w:i/>
          <w:iCs/>
        </w:rPr>
        <w:t>Bhagavā</w:t>
      </w:r>
      <w:r w:rsidR="00715D9E">
        <w:t xml:space="preserve"> </w:t>
      </w:r>
      <w:r>
        <w:t>por la adherencia a la letra. La palabra del Iluminado es profunda y debe tomarse como se pretend</w:t>
      </w:r>
      <w:r w:rsidR="00715D9E">
        <w:t>ía</w:t>
      </w:r>
      <w:r>
        <w:t>, dando la debida importancia a los maestros”.</w:t>
      </w:r>
    </w:p>
    <w:p w14:paraId="1525A7E2" w14:textId="2573E966" w:rsidR="00FA2E9B" w:rsidRDefault="00942A15" w:rsidP="00942A15">
      <w:r>
        <w:t xml:space="preserve">114. </w:t>
      </w:r>
      <w:r>
        <w:tab/>
        <w:t xml:space="preserve">Y la intención aquí es </w:t>
      </w:r>
      <w:r w:rsidR="00F264F6">
        <w:t>é</w:t>
      </w:r>
      <w:r>
        <w:t xml:space="preserve">sta: al </w:t>
      </w:r>
      <w:r w:rsidR="00F264F6" w:rsidRPr="00F264F6">
        <w:rPr>
          <w:i/>
          <w:iCs/>
        </w:rPr>
        <w:t>Bhagavā</w:t>
      </w:r>
      <w:r>
        <w:t xml:space="preserve">, al parecer, se le pidió que enseñara el </w:t>
      </w:r>
      <w:r w:rsidR="00057BF4" w:rsidRPr="00057BF4">
        <w:rPr>
          <w:i/>
          <w:iCs/>
        </w:rPr>
        <w:t>Dhamma</w:t>
      </w:r>
      <w:r>
        <w:t xml:space="preserve"> así: “Venerable </w:t>
      </w:r>
      <w:r w:rsidR="00F264F6">
        <w:t>Señor</w:t>
      </w:r>
      <w:r>
        <w:t xml:space="preserve">, sería bueno si el </w:t>
      </w:r>
      <w:r w:rsidR="00F264F6" w:rsidRPr="00F264F6">
        <w:rPr>
          <w:i/>
          <w:iCs/>
        </w:rPr>
        <w:t>Bhagavā</w:t>
      </w:r>
      <w:r w:rsidR="00F264F6">
        <w:t xml:space="preserve"> </w:t>
      </w:r>
      <w:r>
        <w:t>me enseña</w:t>
      </w:r>
      <w:r w:rsidR="00F264F6">
        <w:t>se</w:t>
      </w:r>
      <w:r>
        <w:t xml:space="preserve"> el </w:t>
      </w:r>
      <w:r w:rsidR="00057BF4" w:rsidRPr="00057BF4">
        <w:rPr>
          <w:i/>
          <w:iCs/>
        </w:rPr>
        <w:t>Dhamma</w:t>
      </w:r>
      <w:r>
        <w:t xml:space="preserve"> breve</w:t>
      </w:r>
      <w:r w:rsidR="00F264F6">
        <w:t>mente</w:t>
      </w:r>
      <w:r>
        <w:t xml:space="preserve">, para que, habiendo escuchado el </w:t>
      </w:r>
      <w:r w:rsidR="00457199">
        <w:t>Bienaventurado</w:t>
      </w:r>
      <w:r>
        <w:t xml:space="preserve"> </w:t>
      </w:r>
      <w:r w:rsidR="00057BF4" w:rsidRPr="00057BF4">
        <w:rPr>
          <w:i/>
          <w:iCs/>
        </w:rPr>
        <w:t>Dhamma</w:t>
      </w:r>
      <w:r>
        <w:t>, pued</w:t>
      </w:r>
      <w:r w:rsidR="00AF4F9B">
        <w:t>a</w:t>
      </w:r>
      <w:r>
        <w:t xml:space="preserve"> </w:t>
      </w:r>
      <w:r w:rsidR="00AF4F9B">
        <w:t xml:space="preserve">habitar </w:t>
      </w:r>
      <w:r>
        <w:t>solo</w:t>
      </w:r>
      <w:r w:rsidR="00045F15" w:rsidRPr="00045F15">
        <w:t xml:space="preserve"> </w:t>
      </w:r>
      <w:r w:rsidR="00045F15">
        <w:t>y por mí mismo</w:t>
      </w:r>
      <w:r>
        <w:t xml:space="preserve">, retraído, diligente, ardiente y esforzado” (A IV 299). Pero el </w:t>
      </w:r>
      <w:r w:rsidR="00AF4F9B" w:rsidRPr="00F264F6">
        <w:rPr>
          <w:i/>
          <w:iCs/>
        </w:rPr>
        <w:t>Bhagavā</w:t>
      </w:r>
      <w:r w:rsidR="00AF4F9B">
        <w:t xml:space="preserve"> </w:t>
      </w:r>
      <w:r>
        <w:t xml:space="preserve">aún no </w:t>
      </w:r>
      <w:r w:rsidR="00457199">
        <w:t xml:space="preserve">poseía </w:t>
      </w:r>
      <w:r>
        <w:t xml:space="preserve">confianza en ese </w:t>
      </w:r>
      <w:r w:rsidR="00457199">
        <w:br/>
      </w:r>
      <w:proofErr w:type="spellStart"/>
      <w:r w:rsidR="00057BF4" w:rsidRPr="00057BF4">
        <w:rPr>
          <w:i/>
          <w:iCs/>
        </w:rPr>
        <w:t>bhikkhu</w:t>
      </w:r>
      <w:proofErr w:type="spellEnd"/>
      <w:r>
        <w:t xml:space="preserve">, ya que aunque ya había oído </w:t>
      </w:r>
      <w:r w:rsidR="00457199">
        <w:t xml:space="preserve">sobre </w:t>
      </w:r>
      <w:r>
        <w:t xml:space="preserve">el </w:t>
      </w:r>
      <w:r w:rsidR="00057BF4" w:rsidRPr="00057BF4">
        <w:rPr>
          <w:i/>
          <w:iCs/>
        </w:rPr>
        <w:t>Dhamma</w:t>
      </w:r>
      <w:r w:rsidR="00045F15">
        <w:t xml:space="preserve"> anteriormente,</w:t>
      </w:r>
      <w:r>
        <w:t xml:space="preserve"> </w:t>
      </w:r>
      <w:r w:rsidR="00457199">
        <w:t>no obstante,</w:t>
      </w:r>
      <w:r>
        <w:t xml:space="preserve"> había seguido viviendo allí en lugar de ir a hacer los deberes del asceta, [y el </w:t>
      </w:r>
      <w:r w:rsidR="00AF4F9B" w:rsidRPr="00F264F6">
        <w:rPr>
          <w:i/>
          <w:iCs/>
        </w:rPr>
        <w:t>Bhagavā</w:t>
      </w:r>
      <w:r w:rsidR="00AF4F9B">
        <w:t xml:space="preserve"> </w:t>
      </w:r>
      <w:r>
        <w:t xml:space="preserve">expresó su falta de confianza] así: “Así también, algunos hombres descarriados simplemente me </w:t>
      </w:r>
      <w:r w:rsidR="00AF4F9B">
        <w:t>preguntan</w:t>
      </w:r>
      <w:r>
        <w:t xml:space="preserve">, y cuando se les explica el </w:t>
      </w:r>
      <w:r w:rsidR="00057BF4" w:rsidRPr="00057BF4">
        <w:rPr>
          <w:i/>
        </w:rPr>
        <w:t>Dhamma</w:t>
      </w:r>
      <w:r>
        <w:t xml:space="preserve"> [a ellos], </w:t>
      </w:r>
      <w:r w:rsidR="00D97A7F">
        <w:t xml:space="preserve">llegan a </w:t>
      </w:r>
      <w:r>
        <w:t>cree</w:t>
      </w:r>
      <w:r w:rsidR="00D97A7F">
        <w:t>r</w:t>
      </w:r>
      <w:r>
        <w:t xml:space="preserve"> que </w:t>
      </w:r>
      <w:r w:rsidR="00D97A7F">
        <w:t xml:space="preserve">inclusive </w:t>
      </w:r>
      <w:r>
        <w:t>no necesitan seguir</w:t>
      </w:r>
      <w:r w:rsidR="00D97A7F">
        <w:t xml:space="preserve"> viéndome</w:t>
      </w:r>
      <w:r>
        <w:t xml:space="preserve">” (A IV 299). Sin embargo, el </w:t>
      </w:r>
      <w:proofErr w:type="spellStart"/>
      <w:r w:rsidR="00057BF4" w:rsidRPr="00057BF4">
        <w:rPr>
          <w:i/>
          <w:iCs/>
        </w:rPr>
        <w:t>bhikkhu</w:t>
      </w:r>
      <w:proofErr w:type="spellEnd"/>
      <w:r>
        <w:t xml:space="preserve"> tenía la potencialidad para alcanzar el estado de </w:t>
      </w:r>
      <w:r w:rsidR="00057BF4" w:rsidRPr="00057BF4">
        <w:rPr>
          <w:i/>
        </w:rPr>
        <w:t>Arahant</w:t>
      </w:r>
      <w:r>
        <w:t xml:space="preserve">, por lo que le aconsejó de nuevo, [323] diciendo: “Por lo tanto, </w:t>
      </w:r>
      <w:proofErr w:type="spellStart"/>
      <w:r w:rsidR="00057BF4" w:rsidRPr="00057BF4">
        <w:rPr>
          <w:i/>
          <w:iCs/>
        </w:rPr>
        <w:t>bhikkhu</w:t>
      </w:r>
      <w:proofErr w:type="spellEnd"/>
      <w:r>
        <w:t>, debe</w:t>
      </w:r>
      <w:r w:rsidR="00475284">
        <w:t>rá</w:t>
      </w:r>
      <w:r>
        <w:t xml:space="preserve"> entrenar</w:t>
      </w:r>
      <w:r w:rsidR="007B4FF0">
        <w:t>s</w:t>
      </w:r>
      <w:r>
        <w:t xml:space="preserve">e así: 'Mi mente se estabilizará, completa </w:t>
      </w:r>
      <w:r w:rsidR="00472C3E">
        <w:t xml:space="preserve">e </w:t>
      </w:r>
      <w:r>
        <w:t>internamente</w:t>
      </w:r>
      <w:r w:rsidR="00472C3E">
        <w:t xml:space="preserve"> estable</w:t>
      </w:r>
      <w:r>
        <w:t xml:space="preserve">, y </w:t>
      </w:r>
      <w:r w:rsidR="00020427">
        <w:t>el surgimiento de cosas negativas e improductivas</w:t>
      </w:r>
      <w:r>
        <w:t xml:space="preserve"> no obsesionarán mi mente </w:t>
      </w:r>
      <w:r w:rsidR="007B4FF0">
        <w:t>ni</w:t>
      </w:r>
      <w:r>
        <w:t xml:space="preserve"> permanecerán</w:t>
      </w:r>
      <w:r w:rsidR="00020427">
        <w:t xml:space="preserve"> en ell</w:t>
      </w:r>
      <w:r w:rsidR="00134904">
        <w:t>a’</w:t>
      </w:r>
      <w:r>
        <w:t>. Debe</w:t>
      </w:r>
      <w:r w:rsidR="005D2397">
        <w:t>rá</w:t>
      </w:r>
      <w:r>
        <w:t xml:space="preserve"> entre</w:t>
      </w:r>
    </w:p>
    <w:p w14:paraId="798A27F0" w14:textId="77777777" w:rsidR="00942A15" w:rsidRDefault="00942A15" w:rsidP="00942A15">
      <w:pPr>
        <w:pStyle w:val="Piedepgina"/>
        <w:rPr>
          <w:u w:val="single"/>
        </w:rPr>
      </w:pPr>
      <w:r>
        <w:rPr>
          <w:u w:val="single"/>
        </w:rPr>
        <w:t xml:space="preserve">                                                                                                                                                                          .</w:t>
      </w:r>
    </w:p>
    <w:p w14:paraId="4E0D2D38" w14:textId="5B6EF37E" w:rsidR="00942A15" w:rsidRDefault="00942A15" w:rsidP="00942A15">
      <w:pPr>
        <w:pStyle w:val="PiedepginaLegal"/>
      </w:pPr>
      <w:r>
        <w:t xml:space="preserve">17. </w:t>
      </w:r>
      <w:r>
        <w:tab/>
        <w:t>Para saber qué tipo de contemplación corporal da qué tipo de concentración, véase 8.43 y M-a I 247.</w:t>
      </w:r>
    </w:p>
    <w:p w14:paraId="4362A3FB" w14:textId="494C26D9" w:rsidR="00942A15" w:rsidRDefault="00942A15" w:rsidP="00942A15">
      <w:pPr>
        <w:pStyle w:val="PiedepginaLegal"/>
      </w:pPr>
      <w:r>
        <w:t xml:space="preserve">18. </w:t>
      </w:r>
      <w:r>
        <w:tab/>
      </w:r>
      <w:r w:rsidRPr="00040821">
        <w:rPr>
          <w:i/>
          <w:iCs/>
        </w:rPr>
        <w:t>“‘Simple unificación ment</w:t>
      </w:r>
      <w:r w:rsidR="00B316DB" w:rsidRPr="00040821">
        <w:rPr>
          <w:i/>
          <w:iCs/>
        </w:rPr>
        <w:t>al</w:t>
      </w:r>
      <w:r w:rsidRPr="00040821">
        <w:rPr>
          <w:i/>
          <w:iCs/>
        </w:rPr>
        <w:t>’</w:t>
      </w:r>
      <w:r>
        <w:t>: el tipo de concentración (</w:t>
      </w:r>
      <w:proofErr w:type="spellStart"/>
      <w:r w:rsidRPr="00593A21">
        <w:rPr>
          <w:i/>
          <w:iCs/>
        </w:rPr>
        <w:t>samādhāna</w:t>
      </w:r>
      <w:proofErr w:type="spellEnd"/>
      <w:r>
        <w:t>) que no est</w:t>
      </w:r>
      <w:r w:rsidR="00040821">
        <w:t>é</w:t>
      </w:r>
      <w:r>
        <w:t xml:space="preserve"> desarrollada y </w:t>
      </w:r>
      <w:r w:rsidR="00523F62">
        <w:t xml:space="preserve">que </w:t>
      </w:r>
      <w:r>
        <w:t xml:space="preserve">solo se </w:t>
      </w:r>
      <w:proofErr w:type="spellStart"/>
      <w:r>
        <w:t>obt</w:t>
      </w:r>
      <w:r w:rsidR="00040821">
        <w:t>n</w:t>
      </w:r>
      <w:r w:rsidR="00D801D5">
        <w:t>ga</w:t>
      </w:r>
      <w:proofErr w:type="spellEnd"/>
      <w:r>
        <w:t xml:space="preserve"> por alguien que </w:t>
      </w:r>
      <w:r w:rsidR="00040821">
        <w:t>procure</w:t>
      </w:r>
      <w:r>
        <w:t xml:space="preserve"> </w:t>
      </w:r>
      <w:r w:rsidR="00040821">
        <w:t>un</w:t>
      </w:r>
      <w:r>
        <w:t xml:space="preserve"> desarrollo. Sin embargo, </w:t>
      </w:r>
      <w:r w:rsidR="00040821">
        <w:t xml:space="preserve">a </w:t>
      </w:r>
      <w:r>
        <w:t xml:space="preserve">eso se </w:t>
      </w:r>
      <w:r w:rsidR="00040821">
        <w:t xml:space="preserve">le </w:t>
      </w:r>
      <w:r>
        <w:t xml:space="preserve">llama "concentración básica", ya que es la razón básica de los tipos de concentración más distinguidos que se mencionarán más adelante </w:t>
      </w:r>
      <w:r w:rsidR="00040821">
        <w:t>al</w:t>
      </w:r>
      <w:r>
        <w:t xml:space="preserve"> respecto. Esta 'mera unificación ment</w:t>
      </w:r>
      <w:r w:rsidR="00040821">
        <w:t>al</w:t>
      </w:r>
      <w:r>
        <w:t xml:space="preserve">' pretende ser una concentración momentánea como </w:t>
      </w:r>
      <w:r w:rsidR="00523F62">
        <w:t>la</w:t>
      </w:r>
      <w:r>
        <w:t xml:space="preserve"> </w:t>
      </w:r>
      <w:r w:rsidR="00523F62">
        <w:t>d</w:t>
      </w:r>
      <w:r>
        <w:t xml:space="preserve">el pasaje que comienza, 'Me </w:t>
      </w:r>
      <w:r w:rsidR="00523F62">
        <w:t>establecí</w:t>
      </w:r>
      <w:r>
        <w:t xml:space="preserve">, estabilicé, unifiqué y concentré mi mente internamente' (M I 116). </w:t>
      </w:r>
      <w:r w:rsidR="00523F62">
        <w:t xml:space="preserve">Ya </w:t>
      </w:r>
      <w:r>
        <w:t xml:space="preserve">que </w:t>
      </w:r>
      <w:r w:rsidR="00523F62">
        <w:t xml:space="preserve">a </w:t>
      </w:r>
      <w:r>
        <w:t xml:space="preserve">la primera unificación </w:t>
      </w:r>
      <w:r w:rsidR="00040821">
        <w:t xml:space="preserve">mental </w:t>
      </w:r>
      <w:r>
        <w:t xml:space="preserve">se </w:t>
      </w:r>
      <w:r w:rsidR="00523F62">
        <w:t xml:space="preserve">le </w:t>
      </w:r>
      <w:r>
        <w:t>reconoce</w:t>
      </w:r>
      <w:r w:rsidR="00523F62">
        <w:t>rá</w:t>
      </w:r>
      <w:r>
        <w:t xml:space="preserve"> como </w:t>
      </w:r>
      <w:r w:rsidR="00523F62">
        <w:t xml:space="preserve">una </w:t>
      </w:r>
      <w:r>
        <w:t xml:space="preserve">concentración momentánea aquí como lo es en la primera de las dos descripciones sucesivas: 'Se despertó en mí una energía incansable... mi mente se concentró y unificó' seguida de 'Totalmente aislado de los </w:t>
      </w:r>
      <w:r w:rsidR="007831DD">
        <w:t>deseos sensoriales</w:t>
      </w:r>
      <w:r>
        <w:t>...'” (M I 21) (</w:t>
      </w:r>
      <w:proofErr w:type="spellStart"/>
      <w:r>
        <w:t>Vism-mhṭ</w:t>
      </w:r>
      <w:proofErr w:type="spellEnd"/>
      <w:r>
        <w:t xml:space="preserve"> 314).</w:t>
      </w:r>
    </w:p>
    <w:p w14:paraId="02BD0457" w14:textId="77777777" w:rsidR="00942A15" w:rsidRDefault="00942A15">
      <w:pPr>
        <w:tabs>
          <w:tab w:val="clear" w:pos="425"/>
        </w:tabs>
        <w:spacing w:after="160"/>
      </w:pPr>
      <w:r>
        <w:br w:type="page"/>
      </w:r>
    </w:p>
    <w:p w14:paraId="29F10D8B" w14:textId="60140FF3" w:rsidR="00472DDC" w:rsidRDefault="00472DDC" w:rsidP="00942A15">
      <w:r>
        <w:lastRenderedPageBreak/>
        <w:br/>
      </w:r>
      <w:proofErr w:type="spellStart"/>
      <w:r w:rsidR="00FA2E9B">
        <w:t>narse</w:t>
      </w:r>
      <w:proofErr w:type="spellEnd"/>
      <w:r w:rsidR="00FA2E9B">
        <w:t xml:space="preserve"> así” (A IV 299). Pero lo que se afirma en ese consejo se refiere a la concentración básica consistente de la mera unificación mental</w:t>
      </w:r>
      <w:r w:rsidR="00FA2E9B" w:rsidRPr="000C43D5">
        <w:rPr>
          <w:vertAlign w:val="superscript"/>
        </w:rPr>
        <w:t>18</w:t>
      </w:r>
      <w:r w:rsidR="00FA2E9B">
        <w:t xml:space="preserve"> interna en el sentido de uno mismo (ver Cap. XIV, n. 75).</w:t>
      </w:r>
    </w:p>
    <w:p w14:paraId="26E3CF19" w14:textId="2FB87E5B" w:rsidR="00472DDC" w:rsidRDefault="00472DDC" w:rsidP="00472DDC">
      <w:r>
        <w:t xml:space="preserve">115. </w:t>
      </w:r>
      <w:r>
        <w:tab/>
        <w:t>Después de e</w:t>
      </w:r>
      <w:r w:rsidR="00901D34">
        <w:t>ll</w:t>
      </w:r>
      <w:r>
        <w:t xml:space="preserve">o, le habló sobre su desarrollo por medio de la </w:t>
      </w:r>
      <w:r w:rsidR="008D3322">
        <w:t xml:space="preserve">transmisión de </w:t>
      </w:r>
      <w:r w:rsidR="009E6A5A" w:rsidRPr="0082231D">
        <w:rPr>
          <w:i/>
          <w:iCs/>
        </w:rPr>
        <w:t>amor–benevolente</w:t>
      </w:r>
      <w:r w:rsidR="008D3322">
        <w:t xml:space="preserve"> </w:t>
      </w:r>
      <w:r>
        <w:t xml:space="preserve">para </w:t>
      </w:r>
      <w:r w:rsidR="00B85AA0">
        <w:t>exponerla</w:t>
      </w:r>
      <w:r>
        <w:t xml:space="preserve"> que no debería contentarse con e</w:t>
      </w:r>
      <w:r w:rsidR="008D3322">
        <w:t>ll</w:t>
      </w:r>
      <w:r>
        <w:t xml:space="preserve">o, sino intensificar su concentración básica de esta manera: “Tan pronto como </w:t>
      </w:r>
      <w:r w:rsidR="008D3322">
        <w:t>s</w:t>
      </w:r>
      <w:r>
        <w:t xml:space="preserve">u mente se haya estabilizado, </w:t>
      </w:r>
      <w:r w:rsidR="003D086B">
        <w:t xml:space="preserve">estabilizado </w:t>
      </w:r>
      <w:r>
        <w:t>completa</w:t>
      </w:r>
      <w:r w:rsidR="003D086B">
        <w:t xml:space="preserve"> e</w:t>
      </w:r>
      <w:r>
        <w:t xml:space="preserve"> internamente, </w:t>
      </w:r>
      <w:proofErr w:type="spellStart"/>
      <w:r w:rsidR="00057BF4" w:rsidRPr="00057BF4">
        <w:rPr>
          <w:i/>
          <w:iCs/>
        </w:rPr>
        <w:t>bhikkhu</w:t>
      </w:r>
      <w:proofErr w:type="spellEnd"/>
      <w:r>
        <w:t xml:space="preserve">, y </w:t>
      </w:r>
      <w:r w:rsidR="003D086B">
        <w:t>el surgimiento de</w:t>
      </w:r>
      <w:r>
        <w:t xml:space="preserve"> cosas </w:t>
      </w:r>
      <w:r w:rsidR="003D086B">
        <w:t>negativas</w:t>
      </w:r>
      <w:r>
        <w:t xml:space="preserve"> e inútiles no obsesion</w:t>
      </w:r>
      <w:r w:rsidR="000C5D57">
        <w:t>e</w:t>
      </w:r>
      <w:r>
        <w:t xml:space="preserve">n </w:t>
      </w:r>
      <w:r w:rsidR="000C5D57">
        <w:t>s</w:t>
      </w:r>
      <w:r>
        <w:t xml:space="preserve">u mente </w:t>
      </w:r>
      <w:r w:rsidR="00B85AA0">
        <w:t>ni</w:t>
      </w:r>
      <w:r>
        <w:t xml:space="preserve"> permane</w:t>
      </w:r>
      <w:r w:rsidR="000C5D57">
        <w:t>zcan en ella</w:t>
      </w:r>
      <w:r>
        <w:t>, entonces deber</w:t>
      </w:r>
      <w:r w:rsidR="000C5D57">
        <w:t>á</w:t>
      </w:r>
      <w:r>
        <w:t xml:space="preserve"> entrenar</w:t>
      </w:r>
      <w:r w:rsidR="000C5D57">
        <w:t>s</w:t>
      </w:r>
      <w:r>
        <w:t xml:space="preserve">e así: 'La liberación </w:t>
      </w:r>
      <w:r w:rsidR="000C5D57">
        <w:t xml:space="preserve">mental </w:t>
      </w:r>
      <w:r>
        <w:t>de</w:t>
      </w:r>
      <w:r w:rsidR="000C5D57">
        <w:t xml:space="preserve"> </w:t>
      </w:r>
      <w:r>
        <w:t>l</w:t>
      </w:r>
      <w:r w:rsidR="000C5D57">
        <w:t>a</w:t>
      </w:r>
      <w:r>
        <w:t xml:space="preserve"> </w:t>
      </w:r>
      <w:r w:rsidR="000C5D57">
        <w:t xml:space="preserve">transmisión de </w:t>
      </w:r>
      <w:r w:rsidR="009E6A5A" w:rsidRPr="0082231D">
        <w:rPr>
          <w:i/>
          <w:iCs/>
        </w:rPr>
        <w:t>amor–benevolente</w:t>
      </w:r>
      <w:r w:rsidR="000C5D57">
        <w:t xml:space="preserve"> </w:t>
      </w:r>
      <w:r>
        <w:t>será desarrollada por mí, practicada frecuen</w:t>
      </w:r>
      <w:r w:rsidR="000C5D57">
        <w:t>temente</w:t>
      </w:r>
      <w:r>
        <w:t xml:space="preserve">, hecha </w:t>
      </w:r>
      <w:r w:rsidR="000C5D57">
        <w:t xml:space="preserve">su </w:t>
      </w:r>
      <w:r>
        <w:t xml:space="preserve">vehículo, hecha </w:t>
      </w:r>
      <w:r w:rsidR="00F03B37">
        <w:t xml:space="preserve">su </w:t>
      </w:r>
      <w:r>
        <w:t>base, establecida, consolidada y debidamente emprendida.' Debe</w:t>
      </w:r>
      <w:r w:rsidR="00B85AA0">
        <w:t>rá</w:t>
      </w:r>
      <w:r>
        <w:t xml:space="preserve"> entrenar</w:t>
      </w:r>
      <w:r w:rsidR="00F03B37">
        <w:t>se</w:t>
      </w:r>
      <w:r>
        <w:t xml:space="preserve"> así, </w:t>
      </w:r>
      <w:proofErr w:type="spellStart"/>
      <w:r w:rsidR="00057BF4" w:rsidRPr="00057BF4">
        <w:rPr>
          <w:i/>
          <w:iCs/>
        </w:rPr>
        <w:t>bhikkhu</w:t>
      </w:r>
      <w:proofErr w:type="spellEnd"/>
      <w:r>
        <w:t xml:space="preserve">" (A IV 299-300), después de lo cual dijo además: "Tan pronto como esta concentración haya sido desarrollada por </w:t>
      </w:r>
      <w:r w:rsidR="00F03B37">
        <w:t>su persona</w:t>
      </w:r>
      <w:r>
        <w:t xml:space="preserve">, </w:t>
      </w:r>
      <w:r w:rsidR="00057BF4" w:rsidRPr="00057BF4">
        <w:rPr>
          <w:i/>
        </w:rPr>
        <w:t>bhikkhu</w:t>
      </w:r>
      <w:r>
        <w:t>,</w:t>
      </w:r>
      <w:r w:rsidRPr="000C43D5">
        <w:rPr>
          <w:vertAlign w:val="superscript"/>
        </w:rPr>
        <w:t>19</w:t>
      </w:r>
      <w:r>
        <w:t xml:space="preserve"> y practicada frecuen</w:t>
      </w:r>
      <w:r w:rsidR="00F03B37">
        <w:t>temente</w:t>
      </w:r>
      <w:r>
        <w:t>, entonces deb</w:t>
      </w:r>
      <w:r w:rsidR="00F03B37">
        <w:t>erá</w:t>
      </w:r>
      <w:r>
        <w:t xml:space="preserve"> desarrollar esta concentración con </w:t>
      </w:r>
      <w:proofErr w:type="gramStart"/>
      <w:r w:rsidR="00F03B37">
        <w:t xml:space="preserve">aplicación mental </w:t>
      </w:r>
      <w:r>
        <w:t xml:space="preserve">y </w:t>
      </w:r>
      <w:r w:rsidR="00F03B37">
        <w:t>sustentación mental</w:t>
      </w:r>
      <w:proofErr w:type="gramEnd"/>
      <w:r w:rsidR="00F03B37">
        <w:t xml:space="preserve"> </w:t>
      </w:r>
      <w:r>
        <w:t>… y deb</w:t>
      </w:r>
      <w:r w:rsidR="00F03B37">
        <w:t>erá</w:t>
      </w:r>
      <w:r>
        <w:t xml:space="preserve"> desarrollarla acompañada de </w:t>
      </w:r>
      <w:r w:rsidR="00475284">
        <w:t xml:space="preserve">la </w:t>
      </w:r>
      <w:r>
        <w:t>ecuanimidad” (A IV 300).</w:t>
      </w:r>
    </w:p>
    <w:p w14:paraId="0C8CB273" w14:textId="6F87FA4C" w:rsidR="00472DDC" w:rsidRDefault="00472DDC" w:rsidP="00472DDC">
      <w:r>
        <w:t xml:space="preserve">116. </w:t>
      </w:r>
      <w:r>
        <w:tab/>
        <w:t xml:space="preserve">El significado es </w:t>
      </w:r>
      <w:r w:rsidR="00A972D5">
        <w:t>el siguiente</w:t>
      </w:r>
      <w:r>
        <w:t>: “</w:t>
      </w:r>
      <w:proofErr w:type="spellStart"/>
      <w:r w:rsidR="00057BF4" w:rsidRPr="00057BF4">
        <w:rPr>
          <w:i/>
          <w:iCs/>
        </w:rPr>
        <w:t>Bhikkhu</w:t>
      </w:r>
      <w:proofErr w:type="spellEnd"/>
      <w:r>
        <w:t>, cuando esta concentración básica ha</w:t>
      </w:r>
      <w:r w:rsidR="00A972D5">
        <w:t>ya</w:t>
      </w:r>
      <w:r>
        <w:t xml:space="preserve"> sido desarrollada por </w:t>
      </w:r>
      <w:r w:rsidR="00A972D5">
        <w:t xml:space="preserve">su persona </w:t>
      </w:r>
      <w:r>
        <w:t xml:space="preserve">por medio de la </w:t>
      </w:r>
      <w:r w:rsidR="00A972D5">
        <w:t xml:space="preserve">transmisión de </w:t>
      </w:r>
      <w:r w:rsidR="009E6A5A" w:rsidRPr="0082231D">
        <w:rPr>
          <w:i/>
          <w:iCs/>
        </w:rPr>
        <w:t>amor–benevolente</w:t>
      </w:r>
      <w:r>
        <w:t>, entonces, en lugar de quedar</w:t>
      </w:r>
      <w:r w:rsidR="00A972D5">
        <w:t>s</w:t>
      </w:r>
      <w:r>
        <w:t>e satisfecho con e</w:t>
      </w:r>
      <w:r w:rsidR="00A972D5">
        <w:t>ll</w:t>
      </w:r>
      <w:r>
        <w:t>o, debe</w:t>
      </w:r>
      <w:r w:rsidR="00A972D5">
        <w:t>rá</w:t>
      </w:r>
      <w:r>
        <w:t xml:space="preserve"> hacer que esta concentración básica alcance </w:t>
      </w:r>
      <w:r w:rsidR="00FD7B13">
        <w:t xml:space="preserve">los cuatro y los cinco </w:t>
      </w:r>
      <w:proofErr w:type="spellStart"/>
      <w:r w:rsidR="00057BF4" w:rsidRPr="00057BF4">
        <w:rPr>
          <w:i/>
          <w:iCs/>
        </w:rPr>
        <w:t>jhāna</w:t>
      </w:r>
      <w:proofErr w:type="spellEnd"/>
      <w:r>
        <w:t xml:space="preserve"> </w:t>
      </w:r>
      <w:r w:rsidR="00333E4E">
        <w:t>sobre</w:t>
      </w:r>
      <w:r>
        <w:t xml:space="preserve"> otr</w:t>
      </w:r>
      <w:r w:rsidR="00333E4E">
        <w:t>o</w:t>
      </w:r>
      <w:r>
        <w:t>s objetos desarrollándolo</w:t>
      </w:r>
      <w:r w:rsidR="006E38C1">
        <w:t>,</w:t>
      </w:r>
      <w:r>
        <w:t xml:space="preserve"> </w:t>
      </w:r>
      <w:r w:rsidR="00333E4E">
        <w:t>adicionalmente</w:t>
      </w:r>
      <w:r w:rsidR="006E38C1">
        <w:t>,</w:t>
      </w:r>
      <w:r>
        <w:t xml:space="preserve"> de la manera que comienza </w:t>
      </w:r>
      <w:r w:rsidR="00994865">
        <w:t xml:space="preserve">con el pasaje de </w:t>
      </w:r>
      <w:r>
        <w:t xml:space="preserve">'Con </w:t>
      </w:r>
      <w:r w:rsidR="00994865">
        <w:t>aplicación mental</w:t>
      </w:r>
      <w:r w:rsidR="005C0B47">
        <w:t>’</w:t>
      </w:r>
      <w:r>
        <w:t>.</w:t>
      </w:r>
      <w:r w:rsidR="005C0B47">
        <w:t>”</w:t>
      </w:r>
    </w:p>
    <w:p w14:paraId="0CA69A61" w14:textId="76F600C7" w:rsidR="00472DDC" w:rsidRDefault="00472DDC" w:rsidP="00472DDC">
      <w:r>
        <w:t xml:space="preserve">117. </w:t>
      </w:r>
      <w:r>
        <w:tab/>
        <w:t>Y habi</w:t>
      </w:r>
      <w:r w:rsidR="002C31AC">
        <w:t>é</w:t>
      </w:r>
      <w:r>
        <w:t>ndo</w:t>
      </w:r>
      <w:r w:rsidR="002C31AC">
        <w:t>se</w:t>
      </w:r>
      <w:r>
        <w:t xml:space="preserve"> </w:t>
      </w:r>
      <w:r w:rsidR="002C31AC">
        <w:t xml:space="preserve">pronunciado </w:t>
      </w:r>
      <w:r>
        <w:t xml:space="preserve">así, dijo además: “Tan pronto como </w:t>
      </w:r>
      <w:r w:rsidR="002C31AC">
        <w:t xml:space="preserve">su persona </w:t>
      </w:r>
      <w:r>
        <w:t xml:space="preserve">haya desarrollado esta concentración, </w:t>
      </w:r>
      <w:proofErr w:type="spellStart"/>
      <w:r w:rsidR="00057BF4" w:rsidRPr="00057BF4">
        <w:rPr>
          <w:i/>
          <w:iCs/>
        </w:rPr>
        <w:t>bhikkhu</w:t>
      </w:r>
      <w:proofErr w:type="spellEnd"/>
      <w:r>
        <w:t xml:space="preserve">, y la haya practicado </w:t>
      </w:r>
      <w:r w:rsidR="002C31AC">
        <w:t>frecuentemente</w:t>
      </w:r>
      <w:r>
        <w:t>, entonces debe</w:t>
      </w:r>
      <w:r w:rsidR="002F71F0">
        <w:t>rá</w:t>
      </w:r>
      <w:r>
        <w:t xml:space="preserve"> entrenarse así: 'La liberación </w:t>
      </w:r>
      <w:r w:rsidR="002F71F0">
        <w:t xml:space="preserve">mental </w:t>
      </w:r>
      <w:r>
        <w:t xml:space="preserve">de </w:t>
      </w:r>
      <w:r w:rsidR="002F71F0">
        <w:t xml:space="preserve">la transmisión de </w:t>
      </w:r>
      <w:r w:rsidR="002F71F0">
        <w:rPr>
          <w:i/>
          <w:iCs/>
        </w:rPr>
        <w:t>compasión</w:t>
      </w:r>
      <w:r w:rsidR="002F71F0">
        <w:t xml:space="preserve"> </w:t>
      </w:r>
      <w:r>
        <w:t xml:space="preserve">será desarrollada por mí...' (A IV 300), etc., </w:t>
      </w:r>
      <w:r w:rsidR="00C70831">
        <w:t>teniendo en cuenta</w:t>
      </w:r>
      <w:r>
        <w:t xml:space="preserve"> que “deber</w:t>
      </w:r>
      <w:r w:rsidR="002F71F0">
        <w:t>á</w:t>
      </w:r>
      <w:r>
        <w:t xml:space="preserve"> efectuar </w:t>
      </w:r>
      <w:r w:rsidR="00F91A27">
        <w:t xml:space="preserve">un </w:t>
      </w:r>
      <w:r>
        <w:t xml:space="preserve">desarrollo </w:t>
      </w:r>
      <w:r w:rsidR="00F91A27">
        <w:t xml:space="preserve">adicional </w:t>
      </w:r>
      <w:r>
        <w:t xml:space="preserve">por medio de </w:t>
      </w:r>
      <w:r w:rsidR="00C70831">
        <w:t xml:space="preserve">los cuatro y los cinco </w:t>
      </w:r>
      <w:proofErr w:type="spellStart"/>
      <w:r w:rsidR="00057BF4" w:rsidRPr="00057BF4">
        <w:rPr>
          <w:i/>
          <w:iCs/>
        </w:rPr>
        <w:t>jhāna</w:t>
      </w:r>
      <w:r w:rsidR="00C70831">
        <w:rPr>
          <w:i/>
          <w:iCs/>
        </w:rPr>
        <w:t>s</w:t>
      </w:r>
      <w:proofErr w:type="spellEnd"/>
      <w:r>
        <w:t xml:space="preserve"> </w:t>
      </w:r>
      <w:r w:rsidR="00C70831">
        <w:t>sobre</w:t>
      </w:r>
      <w:r>
        <w:t xml:space="preserve"> otros objetos, siendo este desarrollo</w:t>
      </w:r>
      <w:r w:rsidR="00F91A27">
        <w:t xml:space="preserve"> adicional</w:t>
      </w:r>
      <w:r>
        <w:t xml:space="preserve"> precedido por </w:t>
      </w:r>
      <w:proofErr w:type="gramStart"/>
      <w:r>
        <w:t xml:space="preserve">las </w:t>
      </w:r>
      <w:r w:rsidR="0019452C">
        <w:t xml:space="preserve">estados </w:t>
      </w:r>
      <w:r>
        <w:t>divin</w:t>
      </w:r>
      <w:r w:rsidR="0019452C">
        <w:t>o</w:t>
      </w:r>
      <w:r>
        <w:t xml:space="preserve">s </w:t>
      </w:r>
      <w:r w:rsidR="0019452C">
        <w:t>restantes</w:t>
      </w:r>
      <w:proofErr w:type="gramEnd"/>
      <w:r w:rsidR="0019452C">
        <w:t xml:space="preserve"> </w:t>
      </w:r>
      <w:r>
        <w:t xml:space="preserve">de </w:t>
      </w:r>
      <w:r w:rsidR="00B06675">
        <w:t xml:space="preserve">la transmisión de </w:t>
      </w:r>
      <w:r w:rsidR="00B06675">
        <w:rPr>
          <w:i/>
          <w:iCs/>
        </w:rPr>
        <w:t>compasión</w:t>
      </w:r>
      <w:r w:rsidR="00B06675">
        <w:t xml:space="preserve"> </w:t>
      </w:r>
      <w:r>
        <w:t xml:space="preserve">y </w:t>
      </w:r>
      <w:r w:rsidR="00B06675">
        <w:t>los restantes</w:t>
      </w:r>
      <w:r>
        <w:t>”</w:t>
      </w:r>
      <w:r w:rsidR="00B06675">
        <w:t>.</w:t>
      </w:r>
    </w:p>
    <w:p w14:paraId="6E7D4258" w14:textId="4549B9C4" w:rsidR="00472DDC" w:rsidRDefault="00472DDC" w:rsidP="00472DDC">
      <w:r>
        <w:t xml:space="preserve">118. </w:t>
      </w:r>
      <w:r>
        <w:tab/>
        <w:t xml:space="preserve">Habiendo </w:t>
      </w:r>
      <w:r w:rsidR="00804997">
        <w:t>expuesto</w:t>
      </w:r>
      <w:r>
        <w:t xml:space="preserve"> así </w:t>
      </w:r>
      <w:proofErr w:type="spellStart"/>
      <w:r>
        <w:t>cómo</w:t>
      </w:r>
      <w:proofErr w:type="spellEnd"/>
      <w:r>
        <w:t xml:space="preserve"> su desarrollo </w:t>
      </w:r>
      <w:r w:rsidR="00804997">
        <w:t>adicional</w:t>
      </w:r>
      <w:r>
        <w:t xml:space="preserve"> por medio de </w:t>
      </w:r>
      <w:r w:rsidR="00804997">
        <w:t xml:space="preserve">los cuatro y los cinco </w:t>
      </w:r>
      <w:proofErr w:type="spellStart"/>
      <w:r w:rsidR="00057BF4" w:rsidRPr="00057BF4">
        <w:rPr>
          <w:i/>
          <w:iCs/>
        </w:rPr>
        <w:t>jhāna</w:t>
      </w:r>
      <w:r w:rsidR="00804997">
        <w:rPr>
          <w:i/>
          <w:iCs/>
        </w:rPr>
        <w:t>s</w:t>
      </w:r>
      <w:proofErr w:type="spellEnd"/>
      <w:r>
        <w:t xml:space="preserve"> es precedido por </w:t>
      </w:r>
      <w:r w:rsidR="00745E91">
        <w:t xml:space="preserve">la transmisión de </w:t>
      </w:r>
      <w:r w:rsidR="005B2C79" w:rsidRPr="0082231D">
        <w:rPr>
          <w:i/>
          <w:iCs/>
        </w:rPr>
        <w:t>amor–benevolente</w:t>
      </w:r>
      <w:r>
        <w:t xml:space="preserve">, etc., y habiéndole dicho: “Tan pronto como usted haya desarrollado esta concentración, </w:t>
      </w:r>
      <w:proofErr w:type="spellStart"/>
      <w:r w:rsidR="00057BF4" w:rsidRPr="00057BF4">
        <w:rPr>
          <w:i/>
          <w:iCs/>
        </w:rPr>
        <w:t>bhikkhu</w:t>
      </w:r>
      <w:proofErr w:type="spellEnd"/>
      <w:r>
        <w:t xml:space="preserve">, y practicado </w:t>
      </w:r>
      <w:r w:rsidR="00745E91">
        <w:t>frecuentemente</w:t>
      </w:r>
      <w:r>
        <w:t xml:space="preserve"> , entonces deber</w:t>
      </w:r>
      <w:r w:rsidR="00745E91">
        <w:t>á</w:t>
      </w:r>
      <w:r>
        <w:t xml:space="preserve"> entrenarte así: '</w:t>
      </w:r>
      <w:r w:rsidR="00745E91">
        <w:t xml:space="preserve">Habitaré </w:t>
      </w:r>
      <w:r>
        <w:t>contemplando el cuerpo como cuerpo'”, etc., concluy</w:t>
      </w:r>
      <w:r w:rsidR="001411AD">
        <w:t>endo</w:t>
      </w:r>
      <w:r>
        <w:t xml:space="preserve"> el discurso con el estado de </w:t>
      </w:r>
      <w:r w:rsidR="00057BF4" w:rsidRPr="00057BF4">
        <w:rPr>
          <w:i/>
        </w:rPr>
        <w:t>Arahant</w:t>
      </w:r>
      <w:r>
        <w:t xml:space="preserve"> como su culminación así: “Tan pronto como esta concentración haya sido desarrollada por </w:t>
      </w:r>
      <w:r w:rsidR="001411AD">
        <w:t>su persona</w:t>
      </w:r>
      <w:r>
        <w:t xml:space="preserve">, </w:t>
      </w:r>
      <w:proofErr w:type="spellStart"/>
      <w:r w:rsidR="00057BF4" w:rsidRPr="00057BF4">
        <w:rPr>
          <w:i/>
          <w:iCs/>
        </w:rPr>
        <w:t>bhikkhu</w:t>
      </w:r>
      <w:proofErr w:type="spellEnd"/>
      <w:r>
        <w:t xml:space="preserve">, completamente desarrollada, </w:t>
      </w:r>
      <w:r w:rsidR="001411AD">
        <w:t xml:space="preserve">a </w:t>
      </w:r>
      <w:r>
        <w:t xml:space="preserve">dondequiera que vaya irá con comodidad, dondequiera que esté </w:t>
      </w:r>
      <w:r w:rsidR="001411AD">
        <w:t xml:space="preserve">habitará </w:t>
      </w:r>
      <w:r>
        <w:t xml:space="preserve">con comodidad, dondequiera que </w:t>
      </w:r>
      <w:r w:rsidR="00116606">
        <w:t>s</w:t>
      </w:r>
      <w:r>
        <w:t xml:space="preserve">e siente </w:t>
      </w:r>
      <w:r w:rsidR="00116606">
        <w:t>s</w:t>
      </w:r>
      <w:r>
        <w:t xml:space="preserve">e sentará con comodidad, dondequiera que </w:t>
      </w:r>
      <w:r w:rsidR="00FC1688">
        <w:t>disponga</w:t>
      </w:r>
      <w:r w:rsidR="00116606">
        <w:t xml:space="preserve"> su </w:t>
      </w:r>
      <w:r>
        <w:t xml:space="preserve">lecho lo hará con comodidad” (A IV 301). </w:t>
      </w:r>
      <w:r w:rsidR="00116606">
        <w:t>Al respecto,</w:t>
      </w:r>
      <w:r>
        <w:t xml:space="preserve"> debe</w:t>
      </w:r>
      <w:r w:rsidR="00BB6BC3">
        <w:t>rá</w:t>
      </w:r>
      <w:r>
        <w:t xml:space="preserve"> entenderse que los tres</w:t>
      </w:r>
      <w:r w:rsidR="00D00A4E">
        <w:t xml:space="preserve"> estados divinos</w:t>
      </w:r>
      <w:r>
        <w:t xml:space="preserve"> que comienzan con </w:t>
      </w:r>
      <w:r w:rsidR="00116606">
        <w:t xml:space="preserve">la </w:t>
      </w:r>
    </w:p>
    <w:p w14:paraId="56671245" w14:textId="2007F43B" w:rsidR="00472DDC" w:rsidRPr="00472DDC" w:rsidRDefault="00472DDC" w:rsidP="00472DDC">
      <w:pPr>
        <w:pStyle w:val="PiedepginaLegal"/>
        <w:rPr>
          <w:u w:val="single"/>
        </w:rPr>
      </w:pPr>
      <w:r w:rsidRPr="00472DDC">
        <w:rPr>
          <w:u w:val="single"/>
        </w:rPr>
        <w:t xml:space="preserve">                                                                                                                                                            .</w:t>
      </w:r>
    </w:p>
    <w:p w14:paraId="0AC6E0D0" w14:textId="7B151C09" w:rsidR="00472DDC" w:rsidRDefault="00472DDC" w:rsidP="00472DDC">
      <w:pPr>
        <w:pStyle w:val="PiedepginaLegal"/>
      </w:pPr>
      <w:r>
        <w:t xml:space="preserve">19. </w:t>
      </w:r>
      <w:r>
        <w:tab/>
        <w:t>“</w:t>
      </w:r>
      <w:r w:rsidRPr="001107BD">
        <w:rPr>
          <w:i/>
          <w:iCs/>
        </w:rPr>
        <w:t>'Así desarrollado'</w:t>
      </w:r>
      <w:r>
        <w:t>: así como un fuego iniciado con leña y acumulado con estiércol de vaca, polvo, etc., aunque lleg</w:t>
      </w:r>
      <w:r w:rsidR="001107BD">
        <w:t>ue</w:t>
      </w:r>
      <w:r>
        <w:t xml:space="preserve"> al estado de 'fuego de estiércol', etc., (cf. M I 259) recib</w:t>
      </w:r>
      <w:r w:rsidR="001107BD">
        <w:t>irá,</w:t>
      </w:r>
      <w:r>
        <w:t xml:space="preserve"> sin embargo</w:t>
      </w:r>
      <w:r w:rsidR="001107BD">
        <w:t>,</w:t>
      </w:r>
      <w:r>
        <w:t xml:space="preserve"> el nombre del fuego original que se encendió con la </w:t>
      </w:r>
      <w:proofErr w:type="gramStart"/>
      <w:r>
        <w:t>madera,</w:t>
      </w:r>
      <w:proofErr w:type="gramEnd"/>
      <w:r>
        <w:t xml:space="preserve"> así también es la concentración básica de la que se habla aquí, </w:t>
      </w:r>
      <w:r w:rsidR="001107BD">
        <w:t xml:space="preserve">adoptándolo </w:t>
      </w:r>
      <w:r>
        <w:t xml:space="preserve">como </w:t>
      </w:r>
      <w:r w:rsidR="00FA2E9B">
        <w:t>desarrollado</w:t>
      </w:r>
      <w:r>
        <w:t xml:space="preserve"> con </w:t>
      </w:r>
      <w:r w:rsidR="005B2C79" w:rsidRPr="0082231D">
        <w:rPr>
          <w:i/>
          <w:iCs/>
        </w:rPr>
        <w:t>amor–benevolente</w:t>
      </w:r>
      <w:r>
        <w:t xml:space="preserve">, y así sucesivamente. ‘En otros objetos’ significa en objetos tales como </w:t>
      </w:r>
      <w:r w:rsidR="00FA2E9B">
        <w:t>e</w:t>
      </w:r>
      <w:r>
        <w:t xml:space="preserve">l </w:t>
      </w:r>
      <w:proofErr w:type="spellStart"/>
      <w:r w:rsidR="00FA2E9B" w:rsidRPr="00057BF4">
        <w:rPr>
          <w:i/>
          <w:iCs/>
        </w:rPr>
        <w:t>kasiṇa</w:t>
      </w:r>
      <w:proofErr w:type="spellEnd"/>
      <w:r w:rsidR="00FA2E9B">
        <w:t xml:space="preserve"> </w:t>
      </w:r>
      <w:r>
        <w:t>tierra” (</w:t>
      </w:r>
      <w:proofErr w:type="spellStart"/>
      <w:r>
        <w:t>Vism-mhṭ</w:t>
      </w:r>
      <w:proofErr w:type="spellEnd"/>
      <w:r>
        <w:t xml:space="preserve"> 315).</w:t>
      </w:r>
    </w:p>
    <w:p w14:paraId="1AAF6DE7" w14:textId="77777777" w:rsidR="007D0A1D" w:rsidRDefault="007D0A1D">
      <w:pPr>
        <w:tabs>
          <w:tab w:val="clear" w:pos="425"/>
        </w:tabs>
        <w:spacing w:after="160"/>
      </w:pPr>
      <w:r>
        <w:br w:type="page"/>
      </w:r>
    </w:p>
    <w:p w14:paraId="7C134F9E" w14:textId="2E834C35" w:rsidR="002C7E49" w:rsidRDefault="002C7E49" w:rsidP="002026B7">
      <w:pPr>
        <w:tabs>
          <w:tab w:val="clear" w:pos="425"/>
        </w:tabs>
        <w:spacing w:after="160"/>
      </w:pPr>
    </w:p>
    <w:p w14:paraId="089D0816" w14:textId="61EEDB53" w:rsidR="002C7E49" w:rsidRDefault="00D00A4E" w:rsidP="002C7E49">
      <w:pPr>
        <w:tabs>
          <w:tab w:val="clear" w:pos="425"/>
        </w:tabs>
        <w:spacing w:after="160"/>
      </w:pPr>
      <w:r>
        <w:t xml:space="preserve">transmisión de </w:t>
      </w:r>
      <w:r w:rsidR="005B2C79" w:rsidRPr="0082231D">
        <w:rPr>
          <w:i/>
          <w:iCs/>
        </w:rPr>
        <w:t>amor–benevolente</w:t>
      </w:r>
      <w:r>
        <w:rPr>
          <w:i/>
          <w:iCs/>
        </w:rPr>
        <w:t>,</w:t>
      </w:r>
      <w:r w:rsidR="00116606">
        <w:t xml:space="preserve"> poseen solo los cuatro y los cinco </w:t>
      </w:r>
      <w:proofErr w:type="spellStart"/>
      <w:r w:rsidR="00116606" w:rsidRPr="00057BF4">
        <w:rPr>
          <w:i/>
          <w:iCs/>
        </w:rPr>
        <w:t>jhāna</w:t>
      </w:r>
      <w:r w:rsidR="00116606">
        <w:rPr>
          <w:i/>
          <w:iCs/>
        </w:rPr>
        <w:t>s</w:t>
      </w:r>
      <w:proofErr w:type="spellEnd"/>
      <w:r w:rsidR="00116606">
        <w:rPr>
          <w:i/>
          <w:iCs/>
        </w:rPr>
        <w:t xml:space="preserve"> </w:t>
      </w:r>
      <w:r w:rsidR="00116606">
        <w:t xml:space="preserve">y que </w:t>
      </w:r>
      <w:r w:rsidR="002C7E49">
        <w:t xml:space="preserve">la ecuanimidad </w:t>
      </w:r>
      <w:r w:rsidR="00116606">
        <w:t>posee</w:t>
      </w:r>
      <w:r w:rsidR="002C7E49">
        <w:t xml:space="preserve"> </w:t>
      </w:r>
      <w:r w:rsidR="0041322D">
        <w:t xml:space="preserve">sólo </w:t>
      </w:r>
      <w:r w:rsidR="002C7E49">
        <w:t xml:space="preserve">el único </w:t>
      </w:r>
      <w:proofErr w:type="spellStart"/>
      <w:r w:rsidR="00057BF4" w:rsidRPr="00057BF4">
        <w:rPr>
          <w:i/>
          <w:iCs/>
        </w:rPr>
        <w:t>jhāna</w:t>
      </w:r>
      <w:proofErr w:type="spellEnd"/>
      <w:r w:rsidR="002C7E49">
        <w:t xml:space="preserve"> </w:t>
      </w:r>
      <w:r w:rsidR="0041322D">
        <w:t>restante</w:t>
      </w:r>
      <w:r w:rsidR="002C7E49">
        <w:t xml:space="preserve">. Y </w:t>
      </w:r>
      <w:r w:rsidR="009862EB">
        <w:t xml:space="preserve">ello </w:t>
      </w:r>
      <w:r w:rsidR="002C7E49">
        <w:t xml:space="preserve">también se expone de la misma manera en el </w:t>
      </w:r>
      <w:proofErr w:type="spellStart"/>
      <w:r w:rsidR="009862EB" w:rsidRPr="0010100C">
        <w:rPr>
          <w:i/>
          <w:iCs/>
        </w:rPr>
        <w:t>Abhi</w:t>
      </w:r>
      <w:r w:rsidR="009862EB" w:rsidRPr="00057BF4">
        <w:rPr>
          <w:i/>
          <w:iCs/>
        </w:rPr>
        <w:t>dhamma</w:t>
      </w:r>
      <w:proofErr w:type="spellEnd"/>
      <w:r w:rsidR="002C7E49">
        <w:t>.</w:t>
      </w:r>
    </w:p>
    <w:p w14:paraId="7B70947C" w14:textId="77777777" w:rsidR="00D00A4E" w:rsidRDefault="00D00A4E" w:rsidP="002C7E49">
      <w:pPr>
        <w:tabs>
          <w:tab w:val="clear" w:pos="425"/>
        </w:tabs>
        <w:spacing w:after="160"/>
      </w:pPr>
    </w:p>
    <w:p w14:paraId="0B4BE9A5" w14:textId="4DF80A30" w:rsidR="002C7E49" w:rsidRDefault="002C7E49" w:rsidP="002C7E49">
      <w:pPr>
        <w:tabs>
          <w:tab w:val="clear" w:pos="425"/>
        </w:tabs>
        <w:spacing w:after="160"/>
        <w:jc w:val="center"/>
      </w:pPr>
      <w:r>
        <w:t>[</w:t>
      </w:r>
      <w:r w:rsidRPr="002C7E49">
        <w:rPr>
          <w:i/>
          <w:iCs/>
        </w:rPr>
        <w:t xml:space="preserve">El Límite Más </w:t>
      </w:r>
      <w:r w:rsidR="009862EB">
        <w:rPr>
          <w:i/>
          <w:iCs/>
        </w:rPr>
        <w:t>Elevado</w:t>
      </w:r>
      <w:r w:rsidRPr="002C7E49">
        <w:rPr>
          <w:i/>
          <w:iCs/>
        </w:rPr>
        <w:t xml:space="preserve"> de Cada Uno</w:t>
      </w:r>
      <w:r>
        <w:t>]</w:t>
      </w:r>
    </w:p>
    <w:p w14:paraId="7A4F1483" w14:textId="38B167EE" w:rsidR="002C7E49" w:rsidRDefault="002C7E49" w:rsidP="002C7E49">
      <w:r>
        <w:t xml:space="preserve">119. </w:t>
      </w:r>
      <w:r>
        <w:tab/>
        <w:t>Y aunque s</w:t>
      </w:r>
      <w:r w:rsidR="000D48A7">
        <w:t>ea</w:t>
      </w:r>
      <w:r>
        <w:t xml:space="preserve">n dobles a través </w:t>
      </w:r>
      <w:proofErr w:type="spellStart"/>
      <w:r>
        <w:t>del</w:t>
      </w:r>
      <w:proofErr w:type="spellEnd"/>
      <w:r>
        <w:t xml:space="preserve"> </w:t>
      </w:r>
      <w:r w:rsidR="007148F1">
        <w:t>los cuatro y los cinco</w:t>
      </w:r>
      <w:r>
        <w:t xml:space="preserve"> </w:t>
      </w:r>
      <w:proofErr w:type="spellStart"/>
      <w:r w:rsidR="00057BF4" w:rsidRPr="00057BF4">
        <w:rPr>
          <w:i/>
          <w:iCs/>
        </w:rPr>
        <w:t>jhāna</w:t>
      </w:r>
      <w:r w:rsidR="007148F1">
        <w:rPr>
          <w:i/>
          <w:iCs/>
        </w:rPr>
        <w:t>s</w:t>
      </w:r>
      <w:proofErr w:type="spellEnd"/>
      <w:r>
        <w:t xml:space="preserve"> y el único </w:t>
      </w:r>
      <w:proofErr w:type="spellStart"/>
      <w:r w:rsidR="00057BF4" w:rsidRPr="007148F1">
        <w:rPr>
          <w:i/>
        </w:rPr>
        <w:t>jhāna</w:t>
      </w:r>
      <w:proofErr w:type="spellEnd"/>
      <w:r w:rsidR="0010100C" w:rsidRPr="007148F1">
        <w:t xml:space="preserve"> </w:t>
      </w:r>
      <w:r>
        <w:t xml:space="preserve">restante, </w:t>
      </w:r>
      <w:r w:rsidR="00630AB6">
        <w:t xml:space="preserve">todavía </w:t>
      </w:r>
      <w:r>
        <w:t>debe</w:t>
      </w:r>
      <w:r w:rsidR="00630AB6">
        <w:t>ría</w:t>
      </w:r>
      <w:r>
        <w:t>n entenderse como distinguibles en cada caso por una eficacia diferente que consist</w:t>
      </w:r>
      <w:r w:rsidR="00630AB6">
        <w:t>a</w:t>
      </w:r>
      <w:r>
        <w:t xml:space="preserve"> en tener "</w:t>
      </w:r>
      <w:r w:rsidR="00630AB6">
        <w:t xml:space="preserve">a </w:t>
      </w:r>
      <w:r>
        <w:t xml:space="preserve">la belleza como lo más </w:t>
      </w:r>
      <w:r w:rsidR="007C2606">
        <w:t>elevado</w:t>
      </w:r>
      <w:r>
        <w:t xml:space="preserve">", etc. </w:t>
      </w:r>
      <w:r w:rsidR="00D00A4E">
        <w:t xml:space="preserve">Se </w:t>
      </w:r>
      <w:r>
        <w:t xml:space="preserve">describen así en el </w:t>
      </w:r>
      <w:proofErr w:type="spellStart"/>
      <w:r w:rsidRPr="007C2606">
        <w:rPr>
          <w:i/>
          <w:iCs/>
        </w:rPr>
        <w:t>Haliddavasana</w:t>
      </w:r>
      <w:proofErr w:type="spellEnd"/>
      <w:r>
        <w:t xml:space="preserve"> </w:t>
      </w:r>
      <w:r w:rsidRPr="007C2606">
        <w:rPr>
          <w:i/>
          <w:iCs/>
        </w:rPr>
        <w:t>Sutta</w:t>
      </w:r>
      <w:r>
        <w:t xml:space="preserve">, según </w:t>
      </w:r>
      <w:r w:rsidR="007C2606">
        <w:t xml:space="preserve">el cual </w:t>
      </w:r>
      <w:r>
        <w:t>se dice: “</w:t>
      </w:r>
      <w:proofErr w:type="spellStart"/>
      <w:r w:rsidR="00057BF4" w:rsidRPr="00057BF4">
        <w:rPr>
          <w:i/>
          <w:iCs/>
        </w:rPr>
        <w:t>Bhikkhu</w:t>
      </w:r>
      <w:r w:rsidRPr="0010100C">
        <w:rPr>
          <w:i/>
          <w:iCs/>
        </w:rPr>
        <w:t>s</w:t>
      </w:r>
      <w:proofErr w:type="spellEnd"/>
      <w:r>
        <w:t xml:space="preserve">, la liberación </w:t>
      </w:r>
      <w:r w:rsidR="007C2606">
        <w:t xml:space="preserve">mental </w:t>
      </w:r>
      <w:r>
        <w:t>de</w:t>
      </w:r>
      <w:r w:rsidR="007C2606">
        <w:t xml:space="preserve"> </w:t>
      </w:r>
      <w:r>
        <w:t>l</w:t>
      </w:r>
      <w:r w:rsidR="007C2606">
        <w:t>a</w:t>
      </w:r>
      <w:r>
        <w:t xml:space="preserve"> </w:t>
      </w:r>
      <w:r w:rsidR="007C2606">
        <w:t xml:space="preserve">transmisión de </w:t>
      </w:r>
      <w:r w:rsidR="005B2C79" w:rsidRPr="0082231D">
        <w:rPr>
          <w:i/>
          <w:iCs/>
        </w:rPr>
        <w:t>amor–benevolente</w:t>
      </w:r>
      <w:r w:rsidR="007C2606">
        <w:t xml:space="preserve"> </w:t>
      </w:r>
      <w:r>
        <w:t xml:space="preserve">tiene </w:t>
      </w:r>
      <w:r w:rsidR="007C2606">
        <w:t xml:space="preserve">a </w:t>
      </w:r>
      <w:r>
        <w:t xml:space="preserve">la belleza como lo más elevado, </w:t>
      </w:r>
      <w:r w:rsidR="00FC18F1">
        <w:t xml:space="preserve">así </w:t>
      </w:r>
      <w:r w:rsidR="009D64D1">
        <w:t>lo afirmo</w:t>
      </w:r>
      <w:r>
        <w:t xml:space="preserve">… La liberación </w:t>
      </w:r>
      <w:r w:rsidR="00DF6D07">
        <w:t xml:space="preserve">mental </w:t>
      </w:r>
      <w:r>
        <w:t xml:space="preserve">de </w:t>
      </w:r>
      <w:r w:rsidR="00DF6D07">
        <w:t xml:space="preserve">la transmisión de </w:t>
      </w:r>
      <w:r w:rsidR="00DF6D07">
        <w:rPr>
          <w:i/>
          <w:iCs/>
        </w:rPr>
        <w:t>compasión</w:t>
      </w:r>
      <w:r w:rsidR="00DF6D07">
        <w:t xml:space="preserve"> </w:t>
      </w:r>
      <w:r>
        <w:t xml:space="preserve">tiene como base </w:t>
      </w:r>
      <w:r w:rsidR="00DF6D07">
        <w:t>a</w:t>
      </w:r>
      <w:r>
        <w:t xml:space="preserve">l espacio </w:t>
      </w:r>
      <w:r w:rsidR="004C72F4">
        <w:t xml:space="preserve">infinito </w:t>
      </w:r>
      <w:r>
        <w:t>como l</w:t>
      </w:r>
      <w:r w:rsidR="00CD7C36">
        <w:t>o</w:t>
      </w:r>
      <w:r>
        <w:t xml:space="preserve"> más elevado,</w:t>
      </w:r>
      <w:r w:rsidR="00FC18F1" w:rsidRPr="00FC18F1">
        <w:t xml:space="preserve"> </w:t>
      </w:r>
      <w:r w:rsidR="00FC18F1">
        <w:t>así</w:t>
      </w:r>
      <w:r>
        <w:t xml:space="preserve"> </w:t>
      </w:r>
      <w:r w:rsidR="00FC18F1">
        <w:t>lo afirmo</w:t>
      </w:r>
      <w:r>
        <w:t xml:space="preserve">... La liberación </w:t>
      </w:r>
      <w:r w:rsidR="00FC18F1">
        <w:t xml:space="preserve">mental </w:t>
      </w:r>
      <w:r>
        <w:t xml:space="preserve">de </w:t>
      </w:r>
      <w:r w:rsidR="00FC18F1">
        <w:t xml:space="preserve">la transmisión de </w:t>
      </w:r>
      <w:r w:rsidR="00FC18F1">
        <w:rPr>
          <w:i/>
          <w:iCs/>
        </w:rPr>
        <w:t>alegría altruista</w:t>
      </w:r>
      <w:r w:rsidR="00FC18F1">
        <w:t xml:space="preserve"> </w:t>
      </w:r>
      <w:r>
        <w:t xml:space="preserve">tiene </w:t>
      </w:r>
      <w:r w:rsidR="00FC18F1">
        <w:t>como</w:t>
      </w:r>
      <w:r>
        <w:t xml:space="preserve"> base </w:t>
      </w:r>
      <w:r w:rsidR="00FC18F1">
        <w:t xml:space="preserve">lo </w:t>
      </w:r>
      <w:r>
        <w:t>consiste</w:t>
      </w:r>
      <w:r w:rsidR="00FC18F1">
        <w:t>nte</w:t>
      </w:r>
      <w:r>
        <w:t xml:space="preserve"> </w:t>
      </w:r>
      <w:r w:rsidR="00FC18F1">
        <w:t>de</w:t>
      </w:r>
      <w:r>
        <w:t xml:space="preserve"> la con</w:t>
      </w:r>
      <w:r w:rsidR="00FC18F1">
        <w:t>s</w:t>
      </w:r>
      <w:r>
        <w:t xml:space="preserve">ciencia </w:t>
      </w:r>
      <w:r w:rsidR="008B0B5C">
        <w:t>infinita</w:t>
      </w:r>
      <w:r>
        <w:t xml:space="preserve"> como lo más elevado, </w:t>
      </w:r>
      <w:r w:rsidR="00FC18F1">
        <w:t>así lo afirmo</w:t>
      </w:r>
      <w:r>
        <w:t xml:space="preserve">... La liberación </w:t>
      </w:r>
      <w:r w:rsidR="00FC18F1">
        <w:t xml:space="preserve">mental </w:t>
      </w:r>
      <w:r>
        <w:t xml:space="preserve">de </w:t>
      </w:r>
      <w:r w:rsidR="00FC18F1">
        <w:t xml:space="preserve">la transmisión de </w:t>
      </w:r>
      <w:r w:rsidR="00FC18F1">
        <w:rPr>
          <w:i/>
          <w:iCs/>
        </w:rPr>
        <w:t>ecuanimidad</w:t>
      </w:r>
      <w:r w:rsidR="00FC18F1">
        <w:t xml:space="preserve"> </w:t>
      </w:r>
      <w:r>
        <w:t xml:space="preserve">tiene </w:t>
      </w:r>
      <w:r w:rsidR="00FC18F1">
        <w:t>como</w:t>
      </w:r>
      <w:r>
        <w:t xml:space="preserve"> base </w:t>
      </w:r>
      <w:r w:rsidR="00FC18F1">
        <w:t xml:space="preserve">lo </w:t>
      </w:r>
      <w:r>
        <w:t>consiste</w:t>
      </w:r>
      <w:r w:rsidR="00FC18F1">
        <w:t>nte</w:t>
      </w:r>
      <w:r>
        <w:t xml:space="preserve"> </w:t>
      </w:r>
      <w:r w:rsidR="00FC18F1">
        <w:t>de</w:t>
      </w:r>
      <w:r>
        <w:t xml:space="preserve">l </w:t>
      </w:r>
      <w:r w:rsidR="00FC18F1">
        <w:t>vacío</w:t>
      </w:r>
      <w:r>
        <w:t xml:space="preserve"> como lo más </w:t>
      </w:r>
      <w:r w:rsidR="00FC18F1">
        <w:t>elevado</w:t>
      </w:r>
      <w:r>
        <w:t xml:space="preserve">, </w:t>
      </w:r>
      <w:r w:rsidR="00FC18F1">
        <w:t>así lo afirmo</w:t>
      </w:r>
      <w:r>
        <w:t>” (S V 119–21).</w:t>
      </w:r>
      <w:r w:rsidRPr="000C43D5">
        <w:rPr>
          <w:vertAlign w:val="superscript"/>
        </w:rPr>
        <w:t>20</w:t>
      </w:r>
    </w:p>
    <w:p w14:paraId="46D2E0EC" w14:textId="5ADAF312" w:rsidR="002C7E49" w:rsidRDefault="002C7E49" w:rsidP="002C7E49">
      <w:r>
        <w:t xml:space="preserve">120. </w:t>
      </w:r>
      <w:r>
        <w:tab/>
        <w:t xml:space="preserve">Pero ¿por qué se describen de esta manera? Porque cada uno es </w:t>
      </w:r>
      <w:r w:rsidR="007B0680">
        <w:t>e</w:t>
      </w:r>
      <w:r>
        <w:t xml:space="preserve">l respectivo </w:t>
      </w:r>
      <w:r w:rsidR="007B055A">
        <w:t xml:space="preserve">y </w:t>
      </w:r>
      <w:r>
        <w:t xml:space="preserve">básico </w:t>
      </w:r>
      <w:r w:rsidR="007B055A">
        <w:t xml:space="preserve">soporte </w:t>
      </w:r>
      <w:r>
        <w:t>para cada un</w:t>
      </w:r>
      <w:r w:rsidR="00A76B54">
        <w:t>a de su</w:t>
      </w:r>
      <w:r w:rsidR="00CC4950">
        <w:t>s</w:t>
      </w:r>
      <w:r w:rsidR="00A76B54">
        <w:t xml:space="preserve"> contraparte</w:t>
      </w:r>
      <w:r w:rsidR="00CC4950">
        <w:t>s</w:t>
      </w:r>
      <w:r>
        <w:t xml:space="preserve">. </w:t>
      </w:r>
      <w:r w:rsidR="00A76B54">
        <w:t xml:space="preserve">Ya </w:t>
      </w:r>
      <w:r>
        <w:t xml:space="preserve">que los seres no </w:t>
      </w:r>
      <w:r w:rsidR="006364A3">
        <w:t xml:space="preserve">serán </w:t>
      </w:r>
      <w:r>
        <w:t xml:space="preserve">repulsivos para quien </w:t>
      </w:r>
      <w:r w:rsidR="006364A3">
        <w:t>habite</w:t>
      </w:r>
      <w:r>
        <w:t xml:space="preserve"> en la </w:t>
      </w:r>
      <w:r w:rsidR="006364A3">
        <w:t xml:space="preserve">transmisión de </w:t>
      </w:r>
      <w:r w:rsidR="005B2C79" w:rsidRPr="0082231D">
        <w:rPr>
          <w:i/>
          <w:iCs/>
        </w:rPr>
        <w:t>amor–benevolente</w:t>
      </w:r>
      <w:r>
        <w:t xml:space="preserve">. </w:t>
      </w:r>
      <w:r w:rsidR="00CC4950">
        <w:t>Al estar</w:t>
      </w:r>
      <w:r>
        <w:t xml:space="preserve"> familiarizado con el aspecto no repulsivo, cuando apli</w:t>
      </w:r>
      <w:r w:rsidR="00CC4950">
        <w:t>que</w:t>
      </w:r>
      <w:r>
        <w:t xml:space="preserve"> su mente </w:t>
      </w:r>
      <w:r w:rsidR="00CC4950">
        <w:t xml:space="preserve">hacia </w:t>
      </w:r>
      <w:r>
        <w:t>colores puros no repulsivos como el azul-</w:t>
      </w:r>
      <w:r w:rsidR="006364A3">
        <w:t>oscuro</w:t>
      </w:r>
      <w:r>
        <w:t>, su mente entra</w:t>
      </w:r>
      <w:r w:rsidR="006364A3">
        <w:t>rá</w:t>
      </w:r>
      <w:r>
        <w:t xml:space="preserve"> en ellos sin dificultad. De modo que la </w:t>
      </w:r>
      <w:r w:rsidR="006364A3">
        <w:t xml:space="preserve">transmisión de </w:t>
      </w:r>
      <w:r w:rsidR="005B2C79" w:rsidRPr="0082231D">
        <w:rPr>
          <w:i/>
          <w:iCs/>
        </w:rPr>
        <w:t>amor–benevolente</w:t>
      </w:r>
      <w:r w:rsidR="006364A3">
        <w:t xml:space="preserve"> </w:t>
      </w:r>
      <w:r w:rsidR="00E16488">
        <w:t xml:space="preserve">será </w:t>
      </w:r>
      <w:r>
        <w:t>el soporte básico para la liberación por parte de l</w:t>
      </w:r>
      <w:r w:rsidR="006364A3">
        <w:t>a</w:t>
      </w:r>
      <w:r>
        <w:t xml:space="preserve"> bell</w:t>
      </w:r>
      <w:r w:rsidR="006364A3">
        <w:t>eza</w:t>
      </w:r>
      <w:r>
        <w:t xml:space="preserve"> (ver M II 12; M-a III 256), pero no para lo que </w:t>
      </w:r>
      <w:r w:rsidR="006364A3">
        <w:t>se encuentre</w:t>
      </w:r>
      <w:r>
        <w:t xml:space="preserve"> más allá de e</w:t>
      </w:r>
      <w:r w:rsidR="006364A3">
        <w:t>ll</w:t>
      </w:r>
      <w:r>
        <w:t>o. Por e</w:t>
      </w:r>
      <w:r w:rsidR="00CC4950">
        <w:t>so</w:t>
      </w:r>
      <w:r>
        <w:t xml:space="preserve"> se </w:t>
      </w:r>
      <w:r w:rsidR="006F2B3D">
        <w:t xml:space="preserve">dice </w:t>
      </w:r>
      <w:r>
        <w:t>“</w:t>
      </w:r>
      <w:r w:rsidR="006F2B3D">
        <w:t xml:space="preserve">posee a </w:t>
      </w:r>
      <w:r>
        <w:t xml:space="preserve">la belleza como lo más </w:t>
      </w:r>
      <w:r w:rsidR="006F2B3D">
        <w:t>elevado</w:t>
      </w:r>
      <w:r>
        <w:t>”.</w:t>
      </w:r>
    </w:p>
    <w:p w14:paraId="230B96FA" w14:textId="47BDA703" w:rsidR="002C7E49" w:rsidRDefault="002C7E49" w:rsidP="002C7E49">
      <w:r>
        <w:t xml:space="preserve">121. </w:t>
      </w:r>
      <w:r>
        <w:tab/>
        <w:t xml:space="preserve">Quien </w:t>
      </w:r>
      <w:r w:rsidR="00CC4950">
        <w:t xml:space="preserve">habite </w:t>
      </w:r>
      <w:r>
        <w:t xml:space="preserve">en </w:t>
      </w:r>
      <w:r w:rsidR="00CC4950">
        <w:t xml:space="preserve">la transmisión de </w:t>
      </w:r>
      <w:r w:rsidR="00CC4950">
        <w:rPr>
          <w:i/>
          <w:iCs/>
        </w:rPr>
        <w:t>compasión</w:t>
      </w:r>
      <w:r w:rsidR="00CC4950">
        <w:t xml:space="preserve"> </w:t>
      </w:r>
      <w:r>
        <w:t>ha</w:t>
      </w:r>
      <w:r w:rsidR="00FA7C33">
        <w:t>brá</w:t>
      </w:r>
      <w:r>
        <w:t xml:space="preserve"> llegado a conocer a fondo el peligro de la materialidad, ya que la compasión se despierta en </w:t>
      </w:r>
      <w:r w:rsidR="00FA7C33">
        <w:t xml:space="preserve">aquel </w:t>
      </w:r>
      <w:r>
        <w:t xml:space="preserve">cuando </w:t>
      </w:r>
      <w:r w:rsidR="00FA7C33">
        <w:t>aprecie</w:t>
      </w:r>
      <w:r>
        <w:t xml:space="preserve"> el sufrimiento de los seres que tiene como signo material (</w:t>
      </w:r>
      <w:r w:rsidR="003E1228">
        <w:t xml:space="preserve">como </w:t>
      </w:r>
      <w:r>
        <w:t xml:space="preserve">causa) </w:t>
      </w:r>
      <w:r w:rsidR="003E1228">
        <w:t xml:space="preserve">acciones </w:t>
      </w:r>
      <w:r w:rsidR="000B3C1C">
        <w:t xml:space="preserve">tales </w:t>
      </w:r>
      <w:r w:rsidR="003E1228">
        <w:t xml:space="preserve">como el </w:t>
      </w:r>
      <w:r>
        <w:t xml:space="preserve">golpear con </w:t>
      </w:r>
      <w:r w:rsidR="003E1228">
        <w:t>garrotes</w:t>
      </w:r>
      <w:r>
        <w:t>, etc. Entonces, sabiendo bien el peligro en la materialidad, cuando elimin</w:t>
      </w:r>
      <w:r w:rsidR="00F467A1">
        <w:t>e</w:t>
      </w:r>
      <w:r>
        <w:t xml:space="preserve"> cualquier </w:t>
      </w:r>
      <w:proofErr w:type="spellStart"/>
      <w:r w:rsidR="00057BF4" w:rsidRPr="00057BF4">
        <w:rPr>
          <w:i/>
          <w:iCs/>
        </w:rPr>
        <w:t>kasiṇa</w:t>
      </w:r>
      <w:proofErr w:type="spellEnd"/>
      <w:r>
        <w:t xml:space="preserve"> [concepto que estaba contemplando], ya sea el de la tierra u otro </w:t>
      </w:r>
      <w:proofErr w:type="spellStart"/>
      <w:r w:rsidR="00057BF4" w:rsidRPr="00057BF4">
        <w:rPr>
          <w:i/>
          <w:iCs/>
        </w:rPr>
        <w:t>kasiṇa</w:t>
      </w:r>
      <w:proofErr w:type="spellEnd"/>
      <w:r>
        <w:t>, y apli</w:t>
      </w:r>
      <w:r w:rsidR="002E1525">
        <w:t>que</w:t>
      </w:r>
      <w:r>
        <w:t xml:space="preserve"> su mente al espacio [que </w:t>
      </w:r>
      <w:r w:rsidR="002E1525">
        <w:t>reste</w:t>
      </w:r>
      <w:r>
        <w:t xml:space="preserve"> (ver X.6)], que es el escape de la materialidad, entonces su mente entra</w:t>
      </w:r>
      <w:r w:rsidR="002E1525">
        <w:t>rá</w:t>
      </w:r>
      <w:r>
        <w:t xml:space="preserve"> en ese espacio sin dificultad. Así que </w:t>
      </w:r>
      <w:r w:rsidR="002E1525">
        <w:t xml:space="preserve">la transmisión de </w:t>
      </w:r>
      <w:r w:rsidR="002E1525">
        <w:rPr>
          <w:i/>
          <w:iCs/>
        </w:rPr>
        <w:t>compasión</w:t>
      </w:r>
      <w:r w:rsidR="002E1525">
        <w:t xml:space="preserve"> será </w:t>
      </w:r>
      <w:r>
        <w:t xml:space="preserve">el soporte básico para la esfera del espacio </w:t>
      </w:r>
      <w:r w:rsidR="004C72F4">
        <w:t>infinito</w:t>
      </w:r>
      <w:r>
        <w:t xml:space="preserve">, pero no para lo que </w:t>
      </w:r>
      <w:r w:rsidR="001E2CE7">
        <w:t>se encuentre</w:t>
      </w:r>
      <w:r>
        <w:t xml:space="preserve"> más allá</w:t>
      </w:r>
      <w:r w:rsidR="001E2CE7">
        <w:t xml:space="preserve"> de ello</w:t>
      </w:r>
      <w:r>
        <w:t xml:space="preserve">. Es por eso </w:t>
      </w:r>
      <w:proofErr w:type="gramStart"/>
      <w:r>
        <w:t>que</w:t>
      </w:r>
      <w:proofErr w:type="gramEnd"/>
      <w:r>
        <w:t xml:space="preserve"> se </w:t>
      </w:r>
      <w:r w:rsidR="00B816BE">
        <w:t xml:space="preserve">dice que </w:t>
      </w:r>
      <w:r>
        <w:t>“</w:t>
      </w:r>
      <w:r w:rsidR="00B816BE">
        <w:t xml:space="preserve">posee </w:t>
      </w:r>
      <w:r>
        <w:t xml:space="preserve">la base </w:t>
      </w:r>
      <w:r w:rsidR="00B816BE">
        <w:t xml:space="preserve">de lo </w:t>
      </w:r>
      <w:r>
        <w:t>consiste</w:t>
      </w:r>
      <w:r w:rsidR="00B816BE">
        <w:t>nte</w:t>
      </w:r>
      <w:r>
        <w:t xml:space="preserve"> </w:t>
      </w:r>
      <w:r w:rsidR="00B816BE">
        <w:t>del</w:t>
      </w:r>
      <w:r>
        <w:t xml:space="preserve"> espacio </w:t>
      </w:r>
      <w:r w:rsidR="004C72F4">
        <w:t xml:space="preserve">infinito </w:t>
      </w:r>
      <w:r>
        <w:t xml:space="preserve">como lo más </w:t>
      </w:r>
      <w:r w:rsidR="00B816BE">
        <w:t>elevado</w:t>
      </w:r>
      <w:r>
        <w:t>”.</w:t>
      </w:r>
    </w:p>
    <w:p w14:paraId="0EABB51D" w14:textId="684DE913" w:rsidR="002C7E49" w:rsidRDefault="002C7E49" w:rsidP="002C7E49">
      <w:r>
        <w:t xml:space="preserve">122. </w:t>
      </w:r>
      <w:r>
        <w:tab/>
        <w:t xml:space="preserve">Cuando </w:t>
      </w:r>
      <w:r w:rsidR="00B816BE">
        <w:t xml:space="preserve">habite </w:t>
      </w:r>
      <w:r>
        <w:t xml:space="preserve">en </w:t>
      </w:r>
      <w:r w:rsidR="00B816BE">
        <w:t xml:space="preserve">la transmisión de </w:t>
      </w:r>
      <w:r w:rsidR="00917657">
        <w:t xml:space="preserve">la </w:t>
      </w:r>
      <w:r w:rsidR="00B816BE">
        <w:rPr>
          <w:i/>
          <w:iCs/>
        </w:rPr>
        <w:t>alegría altruista</w:t>
      </w:r>
      <w:r>
        <w:t>, su mente se familiariza</w:t>
      </w:r>
      <w:r w:rsidR="00B816BE">
        <w:t>rá</w:t>
      </w:r>
      <w:r>
        <w:t xml:space="preserve"> con la aprehensión de la con</w:t>
      </w:r>
      <w:r w:rsidR="00B816BE">
        <w:t>s</w:t>
      </w:r>
      <w:r>
        <w:t>ciencia, ya que la alegría se desperta</w:t>
      </w:r>
      <w:r w:rsidR="00B816BE">
        <w:t>rá</w:t>
      </w:r>
      <w:r>
        <w:t xml:space="preserve"> en él cuando ve</w:t>
      </w:r>
      <w:r w:rsidR="00B816BE">
        <w:t>a</w:t>
      </w:r>
      <w:r>
        <w:t xml:space="preserve"> surgir la con</w:t>
      </w:r>
      <w:r w:rsidR="00B816BE">
        <w:t>s</w:t>
      </w:r>
      <w:r>
        <w:t>ciencia de los seres en forma de regocijo por algún motivo de alegría. Luego, cuando super</w:t>
      </w:r>
      <w:r w:rsidR="00845303">
        <w:t>e</w:t>
      </w:r>
      <w:r>
        <w:t xml:space="preserve"> la esfera del espacio </w:t>
      </w:r>
      <w:r w:rsidR="004C72F4">
        <w:t xml:space="preserve">infinito </w:t>
      </w:r>
      <w:r>
        <w:t>que ya hab</w:t>
      </w:r>
      <w:r w:rsidR="00845303">
        <w:t>r</w:t>
      </w:r>
      <w:r>
        <w:t>ía alcanzado a su debido tiempo y apli</w:t>
      </w:r>
      <w:r w:rsidR="00845303">
        <w:t>que</w:t>
      </w:r>
      <w:r>
        <w:t xml:space="preserve"> su mente a la con</w:t>
      </w:r>
      <w:r w:rsidR="00845303">
        <w:t>s</w:t>
      </w:r>
      <w:r>
        <w:t>ciencia que tenía como objeto el signo del espacio, [325] su mente entra</w:t>
      </w:r>
      <w:r w:rsidR="00BA3F29">
        <w:t>rá</w:t>
      </w:r>
      <w:r>
        <w:t xml:space="preserve"> en ella sin dificultad. Así que </w:t>
      </w:r>
      <w:r w:rsidR="00BA3F29">
        <w:t xml:space="preserve">la transmisión de </w:t>
      </w:r>
      <w:r w:rsidR="00BA3F29">
        <w:rPr>
          <w:i/>
          <w:iCs/>
        </w:rPr>
        <w:t>alegría altruista</w:t>
      </w:r>
      <w:r w:rsidR="00BA3F29">
        <w:t xml:space="preserve"> será </w:t>
      </w:r>
      <w:r>
        <w:t>el soporte básico para la base consiste</w:t>
      </w:r>
      <w:r w:rsidR="00BA3F29">
        <w:t>nte</w:t>
      </w:r>
      <w:r>
        <w:t xml:space="preserve"> </w:t>
      </w:r>
      <w:r w:rsidR="00BA3F29">
        <w:t>de</w:t>
      </w:r>
      <w:r>
        <w:t xml:space="preserve"> la con</w:t>
      </w:r>
      <w:r w:rsidR="00BA3F29">
        <w:t>s</w:t>
      </w:r>
      <w:r>
        <w:t xml:space="preserve">ciencia </w:t>
      </w:r>
      <w:r w:rsidR="001A757C">
        <w:t>infinita</w:t>
      </w:r>
      <w:r>
        <w:t xml:space="preserve">, pero no para lo que </w:t>
      </w:r>
      <w:r w:rsidR="00BA3F29">
        <w:t xml:space="preserve">se encuentre </w:t>
      </w:r>
      <w:r>
        <w:t>más allá de e</w:t>
      </w:r>
      <w:r w:rsidR="00BA3F29">
        <w:t>ll</w:t>
      </w:r>
      <w:r>
        <w:t xml:space="preserve">o. Por eso se </w:t>
      </w:r>
      <w:r w:rsidR="00BA3F29">
        <w:t>dirá que</w:t>
      </w:r>
      <w:r>
        <w:t xml:space="preserve"> “</w:t>
      </w:r>
      <w:r w:rsidR="00BA3F29">
        <w:t xml:space="preserve">posee a </w:t>
      </w:r>
      <w:r>
        <w:t>la esfera de la con</w:t>
      </w:r>
      <w:r w:rsidR="00BA3F29">
        <w:t>s</w:t>
      </w:r>
      <w:r>
        <w:t xml:space="preserve">ciencia </w:t>
      </w:r>
      <w:r w:rsidR="001A757C">
        <w:t xml:space="preserve">infinita </w:t>
      </w:r>
      <w:r>
        <w:t xml:space="preserve">como lo más </w:t>
      </w:r>
      <w:r w:rsidR="00BA3F29">
        <w:t>elevado</w:t>
      </w:r>
      <w:r>
        <w:t>”.</w:t>
      </w:r>
    </w:p>
    <w:p w14:paraId="4B9887D9" w14:textId="525E0534" w:rsidR="002C7E49" w:rsidRPr="002C7E49" w:rsidRDefault="002C7E49" w:rsidP="002C7E49">
      <w:pPr>
        <w:pStyle w:val="PiedepginaLegal"/>
        <w:rPr>
          <w:u w:val="single"/>
        </w:rPr>
      </w:pPr>
      <w:r w:rsidRPr="002C7E49">
        <w:rPr>
          <w:u w:val="single"/>
        </w:rPr>
        <w:t xml:space="preserve">                                                                                                                                           .</w:t>
      </w:r>
    </w:p>
    <w:p w14:paraId="35A077C2" w14:textId="7BFA77D3" w:rsidR="002C7E49" w:rsidRDefault="002C7E49" w:rsidP="002C7E49">
      <w:pPr>
        <w:pStyle w:val="PiedepginaLegal"/>
      </w:pPr>
      <w:r>
        <w:t xml:space="preserve">20. </w:t>
      </w:r>
      <w:r>
        <w:tab/>
        <w:t>“Lo bello” (</w:t>
      </w:r>
      <w:proofErr w:type="spellStart"/>
      <w:r w:rsidRPr="0010100C">
        <w:rPr>
          <w:i/>
          <w:iCs/>
        </w:rPr>
        <w:t>subha</w:t>
      </w:r>
      <w:proofErr w:type="spellEnd"/>
      <w:r>
        <w:t>) es la tercera de las ocho liberaciones (</w:t>
      </w:r>
      <w:proofErr w:type="spellStart"/>
      <w:r w:rsidRPr="0010100C">
        <w:rPr>
          <w:i/>
          <w:iCs/>
        </w:rPr>
        <w:t>vimokkha</w:t>
      </w:r>
      <w:proofErr w:type="spellEnd"/>
      <w:r>
        <w:t>—ver M II 12; M-a III 255).</w:t>
      </w:r>
    </w:p>
    <w:p w14:paraId="60D12631" w14:textId="77777777" w:rsidR="002C7E49" w:rsidRDefault="002C7E49">
      <w:pPr>
        <w:tabs>
          <w:tab w:val="clear" w:pos="425"/>
        </w:tabs>
        <w:spacing w:after="160"/>
        <w:rPr>
          <w:color w:val="000000" w:themeColor="text1"/>
          <w:spacing w:val="10"/>
          <w:sz w:val="14"/>
        </w:rPr>
      </w:pPr>
      <w:r>
        <w:br w:type="page"/>
      </w:r>
    </w:p>
    <w:p w14:paraId="7A9886B4" w14:textId="056B7831" w:rsidR="002C7E49" w:rsidRDefault="002C7E49" w:rsidP="002C7E49"/>
    <w:p w14:paraId="3FF49DAB" w14:textId="38FF4D20" w:rsidR="00B433D2" w:rsidRDefault="00B56EBD" w:rsidP="00B433D2">
      <w:r>
        <w:t xml:space="preserve">123. </w:t>
      </w:r>
      <w:r>
        <w:tab/>
        <w:t xml:space="preserve">Cuando habite en la transmisión de </w:t>
      </w:r>
      <w:r>
        <w:rPr>
          <w:i/>
          <w:iCs/>
        </w:rPr>
        <w:t>ecuanimidad</w:t>
      </w:r>
      <w:r>
        <w:t>, su mente se volverá hábil</w:t>
      </w:r>
      <w:r w:rsidRPr="000C43D5">
        <w:rPr>
          <w:vertAlign w:val="superscript"/>
        </w:rPr>
        <w:t>21</w:t>
      </w:r>
      <w:r>
        <w:t xml:space="preserve"> en </w:t>
      </w:r>
      <w:r w:rsidR="00662FB6">
        <w:t xml:space="preserve">aprehender lo que </w:t>
      </w:r>
      <w:r w:rsidR="00A27A62">
        <w:t>sea</w:t>
      </w:r>
      <w:r w:rsidR="00662FB6">
        <w:t xml:space="preserve"> </w:t>
      </w:r>
      <w:r w:rsidR="00B433D2" w:rsidRPr="006D5FBE">
        <w:rPr>
          <w:i/>
          <w:iCs/>
        </w:rPr>
        <w:t>inexistente</w:t>
      </w:r>
      <w:r w:rsidR="00A27A62">
        <w:t xml:space="preserve"> (en el sentido último)</w:t>
      </w:r>
      <w:r w:rsidR="00B433D2">
        <w:t xml:space="preserve">, </w:t>
      </w:r>
      <w:r w:rsidR="00A27A62">
        <w:t>y</w:t>
      </w:r>
      <w:r w:rsidR="0078495A">
        <w:t xml:space="preserve">a </w:t>
      </w:r>
      <w:r w:rsidR="00B433D2">
        <w:t>que su mente se ha</w:t>
      </w:r>
      <w:r w:rsidR="0078495A">
        <w:t>brá</w:t>
      </w:r>
      <w:r w:rsidR="00B433D2">
        <w:t xml:space="preserve"> </w:t>
      </w:r>
      <w:r w:rsidR="002A7278">
        <w:t>dis</w:t>
      </w:r>
      <w:r w:rsidR="006D5FBE">
        <w:t>ociado</w:t>
      </w:r>
      <w:r w:rsidR="00B433D2">
        <w:t xml:space="preserve"> de la aprehensión de lo que </w:t>
      </w:r>
      <w:r w:rsidR="00B433D2" w:rsidRPr="006D5FBE">
        <w:rPr>
          <w:i/>
          <w:iCs/>
        </w:rPr>
        <w:t>exist</w:t>
      </w:r>
      <w:r w:rsidR="0078495A" w:rsidRPr="006D5FBE">
        <w:rPr>
          <w:i/>
          <w:iCs/>
        </w:rPr>
        <w:t>a</w:t>
      </w:r>
      <w:r w:rsidR="00B433D2">
        <w:t xml:space="preserve"> en el sentido último, </w:t>
      </w:r>
      <w:r w:rsidR="0078495A">
        <w:t>es decir</w:t>
      </w:r>
      <w:r w:rsidR="00B433D2">
        <w:t xml:space="preserve">, </w:t>
      </w:r>
      <w:r w:rsidR="0078495A">
        <w:t xml:space="preserve">del </w:t>
      </w:r>
      <w:r w:rsidR="00B433D2">
        <w:t>placer, (</w:t>
      </w:r>
      <w:r w:rsidR="0078495A">
        <w:t xml:space="preserve">de la </w:t>
      </w:r>
      <w:r w:rsidR="00B433D2">
        <w:t xml:space="preserve">liberación) </w:t>
      </w:r>
      <w:r w:rsidR="0078495A">
        <w:t xml:space="preserve">del </w:t>
      </w:r>
      <w:r w:rsidR="00B433D2">
        <w:t xml:space="preserve">dolor, etc. </w:t>
      </w:r>
      <w:r w:rsidR="0078495A">
        <w:t xml:space="preserve">de </w:t>
      </w:r>
      <w:r w:rsidR="00B433D2">
        <w:t xml:space="preserve">los seres </w:t>
      </w:r>
      <w:r w:rsidR="00BA0163">
        <w:t xml:space="preserve">que </w:t>
      </w:r>
      <w:r w:rsidR="00B433D2">
        <w:t xml:space="preserve">sean felices” o </w:t>
      </w:r>
      <w:r w:rsidR="00BA0163">
        <w:t xml:space="preserve">de </w:t>
      </w:r>
      <w:r w:rsidR="00B433D2">
        <w:t>“Qu</w:t>
      </w:r>
      <w:r w:rsidR="00BA0163">
        <w:t>é</w:t>
      </w:r>
      <w:r w:rsidR="00B433D2">
        <w:t xml:space="preserve"> se liberen del dolor” o </w:t>
      </w:r>
      <w:r w:rsidR="00BA0163">
        <w:t xml:space="preserve">de </w:t>
      </w:r>
      <w:r w:rsidR="00B433D2">
        <w:t>“Qu</w:t>
      </w:r>
      <w:r w:rsidR="00BA0163">
        <w:t>é</w:t>
      </w:r>
      <w:r w:rsidR="00B433D2">
        <w:t xml:space="preserve"> no pierdan el éxito que ha</w:t>
      </w:r>
      <w:r w:rsidR="00BA0163">
        <w:t>ya</w:t>
      </w:r>
      <w:r w:rsidR="00B433D2">
        <w:t xml:space="preserve">n obtenido”. </w:t>
      </w:r>
      <w:r w:rsidR="00F82C4B">
        <w:t>Entonces</w:t>
      </w:r>
      <w:r w:rsidR="00B433D2">
        <w:t xml:space="preserve"> su mente se ha</w:t>
      </w:r>
      <w:r w:rsidR="00F82C4B">
        <w:t>brá</w:t>
      </w:r>
      <w:r w:rsidR="00B433D2">
        <w:t xml:space="preserve"> acostumbrado a </w:t>
      </w:r>
      <w:r w:rsidR="00F82C4B">
        <w:t xml:space="preserve">habitar ajena a </w:t>
      </w:r>
      <w:r w:rsidR="00B433D2">
        <w:t xml:space="preserve">la aprehensión de lo que </w:t>
      </w:r>
      <w:r w:rsidR="00B433D2" w:rsidRPr="004739E0">
        <w:rPr>
          <w:i/>
          <w:iCs/>
        </w:rPr>
        <w:t>exist</w:t>
      </w:r>
      <w:r w:rsidR="004739E0" w:rsidRPr="004739E0">
        <w:rPr>
          <w:i/>
          <w:iCs/>
        </w:rPr>
        <w:t>a</w:t>
      </w:r>
      <w:r w:rsidR="00B433D2">
        <w:t xml:space="preserve"> en el sentido último, y su mente se ha</w:t>
      </w:r>
      <w:r w:rsidR="004739E0">
        <w:t>brá</w:t>
      </w:r>
      <w:r w:rsidR="00B433D2">
        <w:t xml:space="preserve"> vuelto hábil en aprehender lo que </w:t>
      </w:r>
      <w:r w:rsidR="004739E0">
        <w:t>sea</w:t>
      </w:r>
      <w:r w:rsidR="00B433D2">
        <w:t xml:space="preserve"> </w:t>
      </w:r>
      <w:r w:rsidR="00B433D2" w:rsidRPr="004739E0">
        <w:rPr>
          <w:i/>
          <w:iCs/>
        </w:rPr>
        <w:t>inexistente</w:t>
      </w:r>
      <w:r w:rsidR="00B433D2">
        <w:t xml:space="preserve"> en el sentido último, (es decir, los seres vivos, que son un concepto), y así</w:t>
      </w:r>
      <w:r w:rsidR="004739E0">
        <w:t>,</w:t>
      </w:r>
      <w:r w:rsidR="00B433D2">
        <w:t xml:space="preserve"> cuando super</w:t>
      </w:r>
      <w:r w:rsidR="004739E0">
        <w:t>e</w:t>
      </w:r>
      <w:r w:rsidR="00B433D2">
        <w:t xml:space="preserve"> la base consiste</w:t>
      </w:r>
      <w:r w:rsidR="004739E0">
        <w:t xml:space="preserve">nte de </w:t>
      </w:r>
      <w:r w:rsidR="00917657">
        <w:t xml:space="preserve">la </w:t>
      </w:r>
      <w:r w:rsidR="00B433D2">
        <w:t>con</w:t>
      </w:r>
      <w:r w:rsidR="004739E0">
        <w:t>s</w:t>
      </w:r>
      <w:r w:rsidR="00B433D2">
        <w:t>ciencia ilimitada alcanza</w:t>
      </w:r>
      <w:r w:rsidR="00A4133B">
        <w:t>da</w:t>
      </w:r>
      <w:r w:rsidR="00B433D2">
        <w:t xml:space="preserve"> </w:t>
      </w:r>
      <w:r w:rsidR="00A4133B">
        <w:t>a</w:t>
      </w:r>
      <w:r w:rsidR="00B433D2">
        <w:t xml:space="preserve"> su debido tiempo y apli</w:t>
      </w:r>
      <w:r w:rsidR="00A4133B">
        <w:t>que</w:t>
      </w:r>
      <w:r w:rsidR="00B433D2">
        <w:t xml:space="preserve"> su mente </w:t>
      </w:r>
      <w:r w:rsidR="00A4133B">
        <w:t>en</w:t>
      </w:r>
      <w:r w:rsidR="00B433D2">
        <w:t xml:space="preserve"> la ausencia</w:t>
      </w:r>
      <w:r w:rsidR="003A4B72" w:rsidRPr="003A4B72">
        <w:t xml:space="preserve"> </w:t>
      </w:r>
      <w:r w:rsidR="003A4B72">
        <w:t>de consciencia</w:t>
      </w:r>
      <w:r w:rsidR="00B433D2">
        <w:t xml:space="preserve">, </w:t>
      </w:r>
      <w:r w:rsidR="002828C2">
        <w:t>l</w:t>
      </w:r>
      <w:r w:rsidR="0090349C">
        <w:t>a</w:t>
      </w:r>
      <w:r w:rsidR="002828C2">
        <w:t xml:space="preserve"> cual es</w:t>
      </w:r>
      <w:r w:rsidR="00B433D2">
        <w:t xml:space="preserve"> </w:t>
      </w:r>
      <w:r w:rsidR="00B433D2" w:rsidRPr="00A4133B">
        <w:rPr>
          <w:i/>
          <w:iCs/>
        </w:rPr>
        <w:t>inexistente</w:t>
      </w:r>
      <w:r w:rsidR="00B433D2">
        <w:t xml:space="preserve"> en cuanto a la esencia individual, que es una realidad (se convierte, ver M I 260) en el sentido último, entonces su mente entra</w:t>
      </w:r>
      <w:r w:rsidR="00E45073">
        <w:t>rá</w:t>
      </w:r>
      <w:r w:rsidR="00B433D2">
        <w:t xml:space="preserve"> en e</w:t>
      </w:r>
      <w:r w:rsidR="00E45073">
        <w:t>ll</w:t>
      </w:r>
      <w:r w:rsidR="00B433D2">
        <w:t>o (</w:t>
      </w:r>
      <w:r w:rsidR="00E45073">
        <w:t>en el vacío</w:t>
      </w:r>
      <w:r w:rsidR="00B433D2">
        <w:t xml:space="preserve">, </w:t>
      </w:r>
      <w:r w:rsidR="00E45073">
        <w:t xml:space="preserve">en lo </w:t>
      </w:r>
      <w:r w:rsidR="00B433D2">
        <w:t>inexisten</w:t>
      </w:r>
      <w:r w:rsidR="00E45073">
        <w:t>te</w:t>
      </w:r>
      <w:r w:rsidR="00B433D2">
        <w:t xml:space="preserve">) sin dificultad (ver X.32). Entonces </w:t>
      </w:r>
      <w:r w:rsidR="00E45073">
        <w:t xml:space="preserve">la transmisión de </w:t>
      </w:r>
      <w:r w:rsidR="00E45073">
        <w:rPr>
          <w:i/>
          <w:iCs/>
        </w:rPr>
        <w:t>ecuanimidad</w:t>
      </w:r>
      <w:r w:rsidR="00E45073">
        <w:t xml:space="preserve"> será </w:t>
      </w:r>
      <w:r w:rsidR="00B433D2">
        <w:t>el soporte básico para la base consiste</w:t>
      </w:r>
      <w:r w:rsidR="00E45073">
        <w:t>nte</w:t>
      </w:r>
      <w:r w:rsidR="00B433D2">
        <w:t xml:space="preserve"> </w:t>
      </w:r>
      <w:r w:rsidR="00E45073">
        <w:t>del vacío</w:t>
      </w:r>
      <w:r w:rsidR="00B433D2">
        <w:t xml:space="preserve">, pero no para lo que </w:t>
      </w:r>
      <w:r w:rsidR="00E45073">
        <w:t xml:space="preserve">se encuentre </w:t>
      </w:r>
      <w:r w:rsidR="00B433D2">
        <w:t>más allá</w:t>
      </w:r>
      <w:r w:rsidR="00E45073">
        <w:t xml:space="preserve"> de ello</w:t>
      </w:r>
      <w:r w:rsidR="00B433D2">
        <w:t xml:space="preserve">. Por eso se </w:t>
      </w:r>
      <w:r w:rsidR="00E45073">
        <w:t xml:space="preserve">dirá que </w:t>
      </w:r>
      <w:r w:rsidR="00B433D2">
        <w:t>“</w:t>
      </w:r>
      <w:r w:rsidR="00E45073">
        <w:t xml:space="preserve">posee </w:t>
      </w:r>
      <w:r w:rsidR="00B433D2">
        <w:t>la base consiste</w:t>
      </w:r>
      <w:r w:rsidR="00E45073">
        <w:t>nte</w:t>
      </w:r>
      <w:r w:rsidR="00B433D2">
        <w:t xml:space="preserve"> </w:t>
      </w:r>
      <w:r w:rsidR="00E45073">
        <w:t xml:space="preserve">del vacío </w:t>
      </w:r>
      <w:r w:rsidR="00B433D2">
        <w:t xml:space="preserve">como lo más </w:t>
      </w:r>
      <w:r w:rsidR="00E45073">
        <w:t>elevado</w:t>
      </w:r>
      <w:r w:rsidR="00B433D2">
        <w:t>”.</w:t>
      </w:r>
    </w:p>
    <w:p w14:paraId="26516E82" w14:textId="1654C9AA" w:rsidR="00B433D2" w:rsidRDefault="00B433D2" w:rsidP="00B433D2">
      <w:r>
        <w:t xml:space="preserve">124. </w:t>
      </w:r>
      <w:r>
        <w:tab/>
        <w:t xml:space="preserve">Cuando haya entendido así que la eficacia especial de cada </w:t>
      </w:r>
      <w:r w:rsidR="00E45073">
        <w:t xml:space="preserve">estado divino </w:t>
      </w:r>
      <w:r>
        <w:t xml:space="preserve">reside en “tener </w:t>
      </w:r>
      <w:r w:rsidR="00E45073">
        <w:t xml:space="preserve">a </w:t>
      </w:r>
      <w:r>
        <w:t xml:space="preserve">la belleza como lo más </w:t>
      </w:r>
      <w:r w:rsidR="00E45073">
        <w:t>elevado</w:t>
      </w:r>
      <w:r>
        <w:t xml:space="preserve">”, etc., </w:t>
      </w:r>
      <w:r w:rsidR="000E4BA5">
        <w:t xml:space="preserve">respectivamente, </w:t>
      </w:r>
      <w:r>
        <w:t>debe</w:t>
      </w:r>
      <w:r w:rsidR="00E45073">
        <w:t>rá</w:t>
      </w:r>
      <w:r>
        <w:t xml:space="preserve"> además comprender cómo </w:t>
      </w:r>
      <w:r w:rsidR="00565F48">
        <w:t>estos conducen haci</w:t>
      </w:r>
      <w:r>
        <w:t xml:space="preserve">a la perfección </w:t>
      </w:r>
      <w:r w:rsidR="00565F48">
        <w:t xml:space="preserve">de </w:t>
      </w:r>
      <w:r>
        <w:t xml:space="preserve">todos los estados </w:t>
      </w:r>
      <w:r w:rsidR="00B75237">
        <w:t xml:space="preserve">positivos </w:t>
      </w:r>
      <w:r>
        <w:t xml:space="preserve">comenzando </w:t>
      </w:r>
      <w:r w:rsidR="00565F48">
        <w:t>con la generosidad, etc</w:t>
      </w:r>
      <w:r>
        <w:t xml:space="preserve">. Porque las mentes de los Grandes Seres mantienen su equilibrio al dar preferencia al bienestar de los </w:t>
      </w:r>
      <w:r w:rsidR="00F2737D">
        <w:t xml:space="preserve">demás </w:t>
      </w:r>
      <w:r>
        <w:t>seres, al disgustar</w:t>
      </w:r>
      <w:r w:rsidR="00565F48">
        <w:t>se</w:t>
      </w:r>
      <w:r>
        <w:t xml:space="preserve"> </w:t>
      </w:r>
      <w:r w:rsidR="00F2737D">
        <w:t xml:space="preserve">con </w:t>
      </w:r>
      <w:r>
        <w:t xml:space="preserve">el sufrimiento de los seres, al desear que los diversos éxitos logrados por los seres </w:t>
      </w:r>
      <w:r w:rsidR="009C402B">
        <w:t>per</w:t>
      </w:r>
      <w:r>
        <w:t xml:space="preserve">duren y al ser imparciales hacia todos los seres. Y a todos los seres les </w:t>
      </w:r>
      <w:r w:rsidR="009C402B">
        <w:t>ofrece presentes</w:t>
      </w:r>
      <w:r>
        <w:t xml:space="preserve">, que son fuente de </w:t>
      </w:r>
      <w:r w:rsidR="009C402B">
        <w:t>dicha</w:t>
      </w:r>
      <w:r>
        <w:t xml:space="preserve">, sin discriminar </w:t>
      </w:r>
      <w:r w:rsidR="009C402B">
        <w:t>de la siguiente manera</w:t>
      </w:r>
      <w:r>
        <w:t>: “A éste hay que darle</w:t>
      </w:r>
      <w:r w:rsidR="009C402B">
        <w:t xml:space="preserve"> esto</w:t>
      </w:r>
      <w:r>
        <w:t>; no se le debe dar a éste</w:t>
      </w:r>
      <w:r w:rsidR="009C402B">
        <w:t xml:space="preserve"> esto</w:t>
      </w:r>
      <w:r>
        <w:t xml:space="preserve">.” Y para no </w:t>
      </w:r>
      <w:r w:rsidR="008901EB">
        <w:t xml:space="preserve">lastimar </w:t>
      </w:r>
      <w:r>
        <w:t>a los seres se someten a los preceptos de la virtud. Practican la renuncia</w:t>
      </w:r>
      <w:r w:rsidR="008901EB">
        <w:t>ción</w:t>
      </w:r>
      <w:r>
        <w:t xml:space="preserve"> con el propósito de perfeccionar su virtud. </w:t>
      </w:r>
      <w:r w:rsidR="008901EB">
        <w:t xml:space="preserve">Purifican </w:t>
      </w:r>
      <w:r>
        <w:t xml:space="preserve">su entendimiento con el propósito de no confundir </w:t>
      </w:r>
      <w:r w:rsidR="008901EB">
        <w:t xml:space="preserve">entre lo </w:t>
      </w:r>
      <w:r>
        <w:t xml:space="preserve">que </w:t>
      </w:r>
      <w:r w:rsidR="008901EB">
        <w:t xml:space="preserve">sea </w:t>
      </w:r>
      <w:r>
        <w:t xml:space="preserve">bueno y malo para los seres. Ellos constantemente </w:t>
      </w:r>
      <w:r w:rsidR="00F5008B">
        <w:t>promueven el surgimiento de la</w:t>
      </w:r>
      <w:r>
        <w:t xml:space="preserve"> energía, teniendo </w:t>
      </w:r>
      <w:r w:rsidR="00F5008B">
        <w:t xml:space="preserve">presente </w:t>
      </w:r>
      <w:r>
        <w:t>en el corazón el bienestar y la felicidad de los seres. Cuando ha</w:t>
      </w:r>
      <w:r w:rsidR="00F5008B">
        <w:t>ya</w:t>
      </w:r>
      <w:r>
        <w:t>n adquirido fortaleza heroica a través de la energía suprema, se v</w:t>
      </w:r>
      <w:r w:rsidR="0033264C">
        <w:t>o</w:t>
      </w:r>
      <w:r>
        <w:t>lve</w:t>
      </w:r>
      <w:r w:rsidR="0033264C">
        <w:t>rá</w:t>
      </w:r>
      <w:r>
        <w:t xml:space="preserve">n </w:t>
      </w:r>
      <w:r w:rsidRPr="00502931">
        <w:rPr>
          <w:i/>
          <w:iCs/>
        </w:rPr>
        <w:t>pacientes</w:t>
      </w:r>
      <w:r>
        <w:t xml:space="preserve"> con los muchos tipos de </w:t>
      </w:r>
      <w:r w:rsidR="00BD33B3">
        <w:t xml:space="preserve">defectos </w:t>
      </w:r>
      <w:r>
        <w:t xml:space="preserve">de los seres. No </w:t>
      </w:r>
    </w:p>
    <w:p w14:paraId="7FA5953C" w14:textId="77777777" w:rsidR="009D27E5" w:rsidRDefault="009D27E5" w:rsidP="00B433D2"/>
    <w:p w14:paraId="1D092C59" w14:textId="3A53388C" w:rsidR="00B433D2" w:rsidRPr="00B433D2" w:rsidRDefault="00B433D2" w:rsidP="00B433D2">
      <w:pPr>
        <w:pStyle w:val="PiedepginaLegal"/>
        <w:rPr>
          <w:u w:val="single"/>
        </w:rPr>
      </w:pPr>
      <w:r w:rsidRPr="00B433D2">
        <w:rPr>
          <w:u w:val="single"/>
        </w:rPr>
        <w:t xml:space="preserve">                                                                                                                                                       .</w:t>
      </w:r>
    </w:p>
    <w:p w14:paraId="3BC1C140" w14:textId="08FB2958" w:rsidR="002C7E49" w:rsidRDefault="009D27E5" w:rsidP="009D27E5">
      <w:pPr>
        <w:pStyle w:val="PiedepginaLegal"/>
        <w:tabs>
          <w:tab w:val="clear" w:pos="6804"/>
        </w:tabs>
        <w:ind w:right="476"/>
      </w:pPr>
      <w:r>
        <w:t xml:space="preserve">21. </w:t>
      </w:r>
      <w:r>
        <w:tab/>
        <w:t>Leer en ambos casos “</w:t>
      </w:r>
      <w:proofErr w:type="spellStart"/>
      <w:r w:rsidRPr="0010100C">
        <w:rPr>
          <w:i/>
          <w:iCs/>
        </w:rPr>
        <w:t>avijjamāna-gahaṇa-dakkhaṃ</w:t>
      </w:r>
      <w:proofErr w:type="spellEnd"/>
      <w:r w:rsidRPr="0010100C">
        <w:rPr>
          <w:i/>
          <w:iCs/>
        </w:rPr>
        <w:t xml:space="preserve"> </w:t>
      </w:r>
      <w:proofErr w:type="spellStart"/>
      <w:r w:rsidRPr="0010100C">
        <w:rPr>
          <w:i/>
          <w:iCs/>
        </w:rPr>
        <w:t>cittaṃ</w:t>
      </w:r>
      <w:proofErr w:type="spellEnd"/>
      <w:r>
        <w:t>”, no “-</w:t>
      </w:r>
      <w:proofErr w:type="spellStart"/>
      <w:r w:rsidRPr="00057BF4">
        <w:rPr>
          <w:i/>
          <w:iCs/>
        </w:rPr>
        <w:t>dukkha</w:t>
      </w:r>
      <w:r w:rsidRPr="0010100C">
        <w:rPr>
          <w:i/>
          <w:iCs/>
        </w:rPr>
        <w:t>ṃ</w:t>
      </w:r>
      <w:proofErr w:type="spellEnd"/>
      <w:r>
        <w:t xml:space="preserve">”. </w:t>
      </w:r>
      <w:r w:rsidRPr="00BD54C0">
        <w:rPr>
          <w:i/>
          <w:iCs/>
        </w:rPr>
        <w:t xml:space="preserve">“‘Porque no </w:t>
      </w:r>
      <w:r w:rsidR="00BD54C0">
        <w:rPr>
          <w:i/>
          <w:iCs/>
        </w:rPr>
        <w:t>tendrá</w:t>
      </w:r>
      <w:r w:rsidRPr="00BD54C0">
        <w:rPr>
          <w:i/>
          <w:iCs/>
        </w:rPr>
        <w:t xml:space="preserve"> más preocupación</w:t>
      </w:r>
      <w:r>
        <w:t xml:space="preserve"> (</w:t>
      </w:r>
      <w:proofErr w:type="spellStart"/>
      <w:r w:rsidRPr="0010100C">
        <w:rPr>
          <w:i/>
          <w:iCs/>
        </w:rPr>
        <w:t>ābhoga</w:t>
      </w:r>
      <w:proofErr w:type="spellEnd"/>
      <w:r>
        <w:t xml:space="preserve">)’: porque no </w:t>
      </w:r>
      <w:r w:rsidR="007817B3">
        <w:t xml:space="preserve">tendrá </w:t>
      </w:r>
      <w:r>
        <w:t xml:space="preserve">más acto de preocupación </w:t>
      </w:r>
      <w:r w:rsidR="00B433D2">
        <w:t>(</w:t>
      </w:r>
      <w:proofErr w:type="spellStart"/>
      <w:r w:rsidR="00B433D2" w:rsidRPr="00BB02BD">
        <w:rPr>
          <w:i/>
          <w:iCs/>
        </w:rPr>
        <w:t>ābhujana</w:t>
      </w:r>
      <w:proofErr w:type="spellEnd"/>
      <w:r w:rsidR="00B433D2">
        <w:t xml:space="preserve">) </w:t>
      </w:r>
      <w:r w:rsidR="007817B3">
        <w:t xml:space="preserve">a la espera </w:t>
      </w:r>
      <w:r w:rsidR="00B433D2">
        <w:t>(</w:t>
      </w:r>
      <w:proofErr w:type="spellStart"/>
      <w:r w:rsidR="00B433D2" w:rsidRPr="00BB02BD">
        <w:rPr>
          <w:i/>
          <w:iCs/>
        </w:rPr>
        <w:t>āsiṃsanā</w:t>
      </w:r>
      <w:proofErr w:type="spellEnd"/>
      <w:r w:rsidR="00B433D2">
        <w:t xml:space="preserve">) </w:t>
      </w:r>
      <w:r w:rsidR="007817B3">
        <w:t>de</w:t>
      </w:r>
      <w:r w:rsidR="00B433D2">
        <w:t xml:space="preserve"> u</w:t>
      </w:r>
      <w:r w:rsidR="00600AF6">
        <w:t>n</w:t>
      </w:r>
      <w:r w:rsidR="00B433D2">
        <w:t xml:space="preserve"> placer, etc., así 'Qu</w:t>
      </w:r>
      <w:r w:rsidR="001A1CD8">
        <w:t>é</w:t>
      </w:r>
      <w:r w:rsidR="00B433D2">
        <w:t xml:space="preserve"> </w:t>
      </w:r>
      <w:r w:rsidR="001A1CD8">
        <w:t xml:space="preserve">ellos </w:t>
      </w:r>
      <w:r w:rsidR="00B433D2">
        <w:t>sean felices'. El desarrollo de</w:t>
      </w:r>
      <w:r w:rsidR="007817B3">
        <w:t>l</w:t>
      </w:r>
      <w:r w:rsidR="00B433D2">
        <w:t xml:space="preserve"> </w:t>
      </w:r>
      <w:r w:rsidR="005B2C79" w:rsidRPr="0082231D">
        <w:rPr>
          <w:i/>
          <w:iCs/>
        </w:rPr>
        <w:t>amor–benevolente</w:t>
      </w:r>
      <w:r w:rsidR="00B433D2">
        <w:t xml:space="preserve">, etc., ocurriendo como lo hace en forma de esperanza por el placer de los seres, etc., los convierte en su objeto dirigiendo la mente </w:t>
      </w:r>
      <w:r w:rsidR="007817B3">
        <w:t xml:space="preserve">hacia </w:t>
      </w:r>
      <w:r w:rsidR="00B433D2">
        <w:t>la aprehensión de lo que exist</w:t>
      </w:r>
      <w:r w:rsidR="007817B3">
        <w:t>a</w:t>
      </w:r>
      <w:r w:rsidR="00B433D2">
        <w:t xml:space="preserve"> en el sentido último</w:t>
      </w:r>
      <w:r w:rsidR="007817B3">
        <w:t xml:space="preserve">, </w:t>
      </w:r>
      <w:r w:rsidR="00B433D2">
        <w:t xml:space="preserve">es decir, placer, etc. Pero el desarrollo de la </w:t>
      </w:r>
      <w:r w:rsidR="00B433D2" w:rsidRPr="007817B3">
        <w:rPr>
          <w:i/>
          <w:iCs/>
        </w:rPr>
        <w:t>ecuanimidad</w:t>
      </w:r>
      <w:r w:rsidR="00B433D2">
        <w:t xml:space="preserve">, en lugar de ocurrir así, hace del ente su objeto simplemente </w:t>
      </w:r>
      <w:r w:rsidR="007817B3">
        <w:t>observando</w:t>
      </w:r>
      <w:r w:rsidR="00B433D2">
        <w:t xml:space="preserve">. Pero la permanencia divina de la ecuanimidad misma no convierte a los seres en su objeto al dirigir la mente </w:t>
      </w:r>
      <w:r w:rsidR="008640CA">
        <w:t xml:space="preserve">hacia </w:t>
      </w:r>
      <w:r w:rsidR="00B433D2">
        <w:t>la aprehensión de lo que s</w:t>
      </w:r>
      <w:r w:rsidR="008640CA">
        <w:t>ea</w:t>
      </w:r>
      <w:r w:rsidR="00B433D2">
        <w:t xml:space="preserve"> existente en el sentido último, debido a las palabras, 'Los seres son dueños de sus </w:t>
      </w:r>
      <w:r w:rsidR="008640CA">
        <w:t>acciones</w:t>
      </w:r>
      <w:r w:rsidR="00B433D2">
        <w:t>. ¿De quién</w:t>
      </w:r>
      <w:r w:rsidR="008640CA">
        <w:t>,</w:t>
      </w:r>
      <w:r w:rsidR="00B433D2">
        <w:t xml:space="preserve"> si no de ellos</w:t>
      </w:r>
      <w:r w:rsidR="008640CA">
        <w:t>,</w:t>
      </w:r>
      <w:r w:rsidR="00B433D2">
        <w:t xml:space="preserve"> es la elección por la cual serán felices...?’ (§96)—Ciertamente así es. Pero eso </w:t>
      </w:r>
      <w:r w:rsidR="008640CA">
        <w:t>se encuentra</w:t>
      </w:r>
      <w:r w:rsidR="00B433D2">
        <w:t xml:space="preserve"> en la etapa previa de desarrollo de la ecuanimidad. Cuando ha</w:t>
      </w:r>
      <w:r w:rsidR="008640CA">
        <w:t>ya</w:t>
      </w:r>
      <w:r w:rsidR="00B433D2">
        <w:t xml:space="preserve"> llegado a su culminación, ha</w:t>
      </w:r>
      <w:r w:rsidR="008640CA">
        <w:t>rá</w:t>
      </w:r>
      <w:r w:rsidR="00B433D2">
        <w:t xml:space="preserve"> del ente su objeto simplemente </w:t>
      </w:r>
      <w:r w:rsidR="008640CA">
        <w:t>observando</w:t>
      </w:r>
      <w:r w:rsidR="00B433D2">
        <w:t>. Entonces, su ocurrencia est</w:t>
      </w:r>
      <w:r w:rsidR="008640CA">
        <w:t>ar</w:t>
      </w:r>
      <w:r w:rsidR="00B433D2">
        <w:t>á especialmente ocupada con lo que s</w:t>
      </w:r>
      <w:r w:rsidR="008640CA">
        <w:t>ea</w:t>
      </w:r>
      <w:r w:rsidR="00B433D2">
        <w:t xml:space="preserve"> inexistente en el sentido último</w:t>
      </w:r>
      <w:r w:rsidR="008640CA">
        <w:t>,</w:t>
      </w:r>
      <w:r w:rsidR="00B433D2">
        <w:t xml:space="preserve"> es decir, </w:t>
      </w:r>
      <w:r w:rsidR="008640CA">
        <w:t xml:space="preserve">en los </w:t>
      </w:r>
      <w:r w:rsidR="00B433D2">
        <w:t>seres, que son un concepto. Y así, la habilidad para aprehender lo inexistente debe</w:t>
      </w:r>
      <w:r w:rsidR="008640CA">
        <w:t>rá</w:t>
      </w:r>
      <w:r w:rsidR="00B433D2">
        <w:t xml:space="preserve"> entenderse como evitar el desconcierto debido a la tergiversación </w:t>
      </w:r>
      <w:r w:rsidR="008640CA">
        <w:t>de</w:t>
      </w:r>
      <w:r w:rsidR="00B433D2">
        <w:t xml:space="preserve"> la aprehensión de los seres, cuya evitación del desconcierto ha</w:t>
      </w:r>
      <w:r w:rsidR="00AD00E1">
        <w:t>brá</w:t>
      </w:r>
      <w:r w:rsidR="00B433D2">
        <w:t xml:space="preserve"> alcanzado la absorción” (</w:t>
      </w:r>
      <w:proofErr w:type="spellStart"/>
      <w:r w:rsidR="00B433D2">
        <w:t>Vism-mhṭ</w:t>
      </w:r>
      <w:proofErr w:type="spellEnd"/>
      <w:r w:rsidR="00B433D2">
        <w:t>).</w:t>
      </w:r>
    </w:p>
    <w:p w14:paraId="31C71AAC" w14:textId="48749696" w:rsidR="00472DDC" w:rsidRDefault="00472DDC" w:rsidP="002C7E49">
      <w:r>
        <w:br w:type="page"/>
      </w:r>
    </w:p>
    <w:p w14:paraId="11C44993" w14:textId="77777777" w:rsidR="005013FF" w:rsidRDefault="005013FF" w:rsidP="00472DDC"/>
    <w:p w14:paraId="52AA651E" w14:textId="46AD2DB4" w:rsidR="005013FF" w:rsidRDefault="00BD33B3" w:rsidP="005013FF">
      <w:r>
        <w:t>engaña</w:t>
      </w:r>
      <w:r w:rsidR="0033264C">
        <w:t>rá</w:t>
      </w:r>
      <w:r>
        <w:t xml:space="preserve">n </w:t>
      </w:r>
      <w:r w:rsidR="0033264C">
        <w:t xml:space="preserve">haciendo </w:t>
      </w:r>
      <w:r w:rsidR="00FA1224">
        <w:t xml:space="preserve">promesas </w:t>
      </w:r>
      <w:r w:rsidR="005013FF">
        <w:t>“</w:t>
      </w:r>
      <w:r>
        <w:t>L</w:t>
      </w:r>
      <w:r w:rsidR="005013FF">
        <w:t xml:space="preserve">e daremos esto; haremos esto por </w:t>
      </w:r>
      <w:r>
        <w:t>usted</w:t>
      </w:r>
      <w:r w:rsidR="00396945">
        <w:t>”</w:t>
      </w:r>
      <w:r w:rsidR="005013FF">
        <w:t>. Est</w:t>
      </w:r>
      <w:r w:rsidR="00FA1224">
        <w:t>ar</w:t>
      </w:r>
      <w:r w:rsidR="005013FF">
        <w:t xml:space="preserve">án inquebrantablemente resueltos </w:t>
      </w:r>
      <w:r w:rsidR="00396945">
        <w:t>en promover e</w:t>
      </w:r>
      <w:r w:rsidR="005013FF">
        <w:t>l bienestar y la felicidad de los seres. A través de</w:t>
      </w:r>
      <w:r w:rsidR="00396945">
        <w:t xml:space="preserve"> la</w:t>
      </w:r>
      <w:r w:rsidR="005013FF">
        <w:t xml:space="preserve"> </w:t>
      </w:r>
      <w:r w:rsidR="00396945">
        <w:t>transmisión de</w:t>
      </w:r>
      <w:r w:rsidR="00CF78BC">
        <w:t>l</w:t>
      </w:r>
      <w:r w:rsidR="00396945">
        <w:t xml:space="preserve"> </w:t>
      </w:r>
      <w:r w:rsidR="005B2C79" w:rsidRPr="0082231D">
        <w:rPr>
          <w:i/>
          <w:iCs/>
        </w:rPr>
        <w:t>amor–benevolente</w:t>
      </w:r>
      <w:r w:rsidR="00396945">
        <w:t xml:space="preserve"> </w:t>
      </w:r>
      <w:r w:rsidR="005013FF">
        <w:t>inquebrantable</w:t>
      </w:r>
      <w:r w:rsidR="00CF78BC">
        <w:t>mente</w:t>
      </w:r>
      <w:r w:rsidR="005013FF">
        <w:t xml:space="preserve">, colocan </w:t>
      </w:r>
      <w:r w:rsidR="00CF78BC">
        <w:t xml:space="preserve">a los seres </w:t>
      </w:r>
      <w:r w:rsidR="00396945">
        <w:t xml:space="preserve">en </w:t>
      </w:r>
      <w:r w:rsidR="005013FF">
        <w:t>primer</w:t>
      </w:r>
      <w:r w:rsidR="00396945">
        <w:t xml:space="preserve"> lugar</w:t>
      </w:r>
      <w:r w:rsidR="005013FF">
        <w:t xml:space="preserve"> antes </w:t>
      </w:r>
      <w:r w:rsidR="00396945">
        <w:t xml:space="preserve">que </w:t>
      </w:r>
      <w:r w:rsidR="00F32A3B">
        <w:t xml:space="preserve">a </w:t>
      </w:r>
      <w:r w:rsidR="005013FF">
        <w:t xml:space="preserve">ellos mismos. A través de </w:t>
      </w:r>
      <w:r w:rsidR="00F32A3B">
        <w:t xml:space="preserve">la transmisión de </w:t>
      </w:r>
      <w:r w:rsidR="00F32A3B">
        <w:rPr>
          <w:i/>
          <w:iCs/>
        </w:rPr>
        <w:t>ecuanimidad</w:t>
      </w:r>
      <w:r w:rsidR="00F32A3B">
        <w:t xml:space="preserve"> </w:t>
      </w:r>
      <w:r w:rsidR="005013FF">
        <w:t xml:space="preserve">no </w:t>
      </w:r>
      <w:r w:rsidR="00861DFB">
        <w:t xml:space="preserve">se encuentran a la </w:t>
      </w:r>
      <w:r w:rsidR="005013FF">
        <w:t>espera</w:t>
      </w:r>
      <w:r w:rsidR="00861DFB">
        <w:t xml:space="preserve"> de </w:t>
      </w:r>
      <w:r w:rsidR="00FA1224">
        <w:t>ning</w:t>
      </w:r>
      <w:r w:rsidR="00861DFB">
        <w:t xml:space="preserve">una </w:t>
      </w:r>
      <w:r w:rsidR="005013FF">
        <w:t xml:space="preserve">recompensa. Habiendo </w:t>
      </w:r>
      <w:r w:rsidR="00861DFB">
        <w:t xml:space="preserve">desarrollado </w:t>
      </w:r>
      <w:r w:rsidR="005013FF">
        <w:t xml:space="preserve">así las </w:t>
      </w:r>
      <w:r w:rsidR="00CF78BC">
        <w:t xml:space="preserve">10 </w:t>
      </w:r>
      <w:r w:rsidR="005013FF">
        <w:t>perfecciones, est</w:t>
      </w:r>
      <w:r w:rsidR="00861DFB">
        <w:t>o</w:t>
      </w:r>
      <w:r w:rsidR="005013FF">
        <w:t xml:space="preserve">s </w:t>
      </w:r>
      <w:r w:rsidR="00861DFB">
        <w:t xml:space="preserve">estados </w:t>
      </w:r>
      <w:r w:rsidR="005013FF">
        <w:t>divin</w:t>
      </w:r>
      <w:r w:rsidR="00861DFB">
        <w:t>o</w:t>
      </w:r>
      <w:r w:rsidR="005013FF">
        <w:t>s perfecciona</w:t>
      </w:r>
      <w:r w:rsidR="00FA1224">
        <w:t>rá</w:t>
      </w:r>
      <w:r w:rsidR="005013FF">
        <w:t xml:space="preserve">n todos los buenos estados clasificados como los </w:t>
      </w:r>
      <w:r w:rsidR="008771C3">
        <w:t xml:space="preserve">10 </w:t>
      </w:r>
      <w:r w:rsidR="005013FF">
        <w:t xml:space="preserve">poderes, los </w:t>
      </w:r>
      <w:r w:rsidR="008771C3">
        <w:t xml:space="preserve">4 </w:t>
      </w:r>
      <w:r w:rsidR="005013FF">
        <w:t xml:space="preserve">tipos de intrepidez, los </w:t>
      </w:r>
      <w:r w:rsidR="008771C3">
        <w:t xml:space="preserve">6 </w:t>
      </w:r>
      <w:r w:rsidR="005013FF">
        <w:t xml:space="preserve">tipos de conocimiento no compartido por los discípulos y los </w:t>
      </w:r>
      <w:r w:rsidR="008771C3">
        <w:t xml:space="preserve">18 </w:t>
      </w:r>
      <w:r w:rsidR="005013FF">
        <w:t>estados de</w:t>
      </w:r>
      <w:r w:rsidR="005773F3">
        <w:t xml:space="preserve"> un</w:t>
      </w:r>
      <w:r w:rsidR="005013FF">
        <w:t xml:space="preserve"> iluminado. Así es c</w:t>
      </w:r>
      <w:r w:rsidR="008771C3">
        <w:t>ó</w:t>
      </w:r>
      <w:r w:rsidR="005013FF">
        <w:t xml:space="preserve">mo </w:t>
      </w:r>
      <w:r w:rsidR="005773F3">
        <w:t>conduc</w:t>
      </w:r>
      <w:r w:rsidR="00FA1224">
        <w:t>irá</w:t>
      </w:r>
      <w:r w:rsidR="005773F3">
        <w:t>n hacia</w:t>
      </w:r>
      <w:r w:rsidR="005013FF">
        <w:t xml:space="preserve"> la perfección todos </w:t>
      </w:r>
      <w:r w:rsidR="00454ACF">
        <w:t>esto</w:t>
      </w:r>
      <w:r w:rsidR="005013FF">
        <w:t xml:space="preserve">s buenos estados comenzando con </w:t>
      </w:r>
      <w:r w:rsidR="005773F3">
        <w:t>la generosidad</w:t>
      </w:r>
      <w:r w:rsidR="005013FF">
        <w:t>.</w:t>
      </w:r>
    </w:p>
    <w:p w14:paraId="72228FA4" w14:textId="7F114D4F" w:rsidR="005013FF" w:rsidRDefault="005773F3" w:rsidP="005013FF">
      <w:pPr>
        <w:ind w:left="708" w:right="1326"/>
      </w:pPr>
      <w:r>
        <w:t>Éste ha sido e</w:t>
      </w:r>
      <w:r w:rsidR="005013FF">
        <w:t>l noveno capítulo llamado “Descripción de l</w:t>
      </w:r>
      <w:r>
        <w:t>o</w:t>
      </w:r>
      <w:r w:rsidR="005013FF">
        <w:t xml:space="preserve">s </w:t>
      </w:r>
      <w:r>
        <w:t xml:space="preserve">Estados </w:t>
      </w:r>
      <w:r w:rsidR="005013FF">
        <w:t>Divin</w:t>
      </w:r>
      <w:r>
        <w:t>o</w:t>
      </w:r>
      <w:r w:rsidR="005013FF">
        <w:t xml:space="preserve">s” </w:t>
      </w:r>
      <w:r w:rsidR="00D515B5">
        <w:t>d</w:t>
      </w:r>
      <w:r w:rsidR="005013FF">
        <w:t xml:space="preserve">el Tratado sobre el Desarrollo de la Concentración </w:t>
      </w:r>
      <w:r>
        <w:t>d</w:t>
      </w:r>
      <w:r w:rsidR="005013FF">
        <w:t xml:space="preserve">el </w:t>
      </w:r>
      <w:r w:rsidR="005013FF" w:rsidRPr="005013FF">
        <w:rPr>
          <w:i/>
          <w:iCs/>
        </w:rPr>
        <w:t>Sendero de la Purificación</w:t>
      </w:r>
      <w:r w:rsidR="005013FF">
        <w:t xml:space="preserve"> </w:t>
      </w:r>
      <w:r w:rsidR="00483541">
        <w:t>compuesto para alegría de buenas personas.</w:t>
      </w:r>
    </w:p>
    <w:p w14:paraId="11CA3C25" w14:textId="77777777" w:rsidR="00B335FC" w:rsidRDefault="00B335FC" w:rsidP="00472DDC"/>
    <w:p w14:paraId="324751F4" w14:textId="77777777" w:rsidR="00B335FC" w:rsidRDefault="00B335FC" w:rsidP="00472DDC"/>
    <w:p w14:paraId="44B014C4" w14:textId="77777777" w:rsidR="00EF7D31" w:rsidRDefault="00EF7D31">
      <w:pPr>
        <w:tabs>
          <w:tab w:val="clear" w:pos="425"/>
        </w:tabs>
        <w:spacing w:after="160"/>
      </w:pPr>
    </w:p>
    <w:p w14:paraId="183D90E5" w14:textId="77777777" w:rsidR="00EF7D31" w:rsidRDefault="00EF7D31">
      <w:pPr>
        <w:tabs>
          <w:tab w:val="clear" w:pos="425"/>
        </w:tabs>
        <w:spacing w:after="160"/>
      </w:pPr>
    </w:p>
    <w:p w14:paraId="3FFEAEC6" w14:textId="77777777" w:rsidR="00EF7D31" w:rsidRDefault="00EF7D31">
      <w:pPr>
        <w:tabs>
          <w:tab w:val="clear" w:pos="425"/>
        </w:tabs>
        <w:spacing w:after="160"/>
      </w:pPr>
    </w:p>
    <w:p w14:paraId="61963CED" w14:textId="77777777" w:rsidR="00EF7D31" w:rsidRDefault="00EF7D31">
      <w:pPr>
        <w:tabs>
          <w:tab w:val="clear" w:pos="425"/>
        </w:tabs>
        <w:spacing w:after="160"/>
      </w:pPr>
    </w:p>
    <w:p w14:paraId="78475D0B" w14:textId="77777777" w:rsidR="00EF7D31" w:rsidRDefault="00EF7D31">
      <w:pPr>
        <w:tabs>
          <w:tab w:val="clear" w:pos="425"/>
        </w:tabs>
        <w:spacing w:after="160"/>
      </w:pPr>
    </w:p>
    <w:p w14:paraId="1EDE47B9" w14:textId="77777777" w:rsidR="00EF7D31" w:rsidRDefault="00EF7D31">
      <w:pPr>
        <w:tabs>
          <w:tab w:val="clear" w:pos="425"/>
        </w:tabs>
        <w:spacing w:after="160"/>
      </w:pPr>
    </w:p>
    <w:p w14:paraId="4DDF6BEB" w14:textId="77777777" w:rsidR="00EF7D31" w:rsidRDefault="00EF7D31">
      <w:pPr>
        <w:tabs>
          <w:tab w:val="clear" w:pos="425"/>
        </w:tabs>
        <w:spacing w:after="160"/>
      </w:pPr>
    </w:p>
    <w:p w14:paraId="454EE12B" w14:textId="77777777" w:rsidR="00EF7D31" w:rsidRDefault="00EF7D31">
      <w:pPr>
        <w:tabs>
          <w:tab w:val="clear" w:pos="425"/>
        </w:tabs>
        <w:spacing w:after="160"/>
      </w:pPr>
    </w:p>
    <w:p w14:paraId="51910818" w14:textId="77777777" w:rsidR="00EF7D31" w:rsidRDefault="00EF7D31">
      <w:pPr>
        <w:tabs>
          <w:tab w:val="clear" w:pos="425"/>
        </w:tabs>
        <w:spacing w:after="160"/>
      </w:pPr>
    </w:p>
    <w:p w14:paraId="77F9E42B" w14:textId="77777777" w:rsidR="00EF7D31" w:rsidRDefault="00EF7D31">
      <w:pPr>
        <w:tabs>
          <w:tab w:val="clear" w:pos="425"/>
        </w:tabs>
        <w:spacing w:after="160"/>
      </w:pPr>
    </w:p>
    <w:p w14:paraId="0C975578" w14:textId="77777777" w:rsidR="00EF7D31" w:rsidRDefault="00EF7D31">
      <w:pPr>
        <w:tabs>
          <w:tab w:val="clear" w:pos="425"/>
        </w:tabs>
        <w:spacing w:after="160"/>
      </w:pPr>
    </w:p>
    <w:p w14:paraId="34970031" w14:textId="77777777" w:rsidR="00EF7D31" w:rsidRDefault="00EF7D31">
      <w:pPr>
        <w:tabs>
          <w:tab w:val="clear" w:pos="425"/>
        </w:tabs>
        <w:spacing w:after="160"/>
      </w:pPr>
    </w:p>
    <w:p w14:paraId="351CA017" w14:textId="77777777" w:rsidR="00EF7D31" w:rsidRDefault="00EF7D31">
      <w:pPr>
        <w:tabs>
          <w:tab w:val="clear" w:pos="425"/>
        </w:tabs>
        <w:spacing w:after="160"/>
      </w:pPr>
    </w:p>
    <w:p w14:paraId="0DE7CE1C" w14:textId="77777777" w:rsidR="00EF7D31" w:rsidRDefault="00EF7D31">
      <w:pPr>
        <w:tabs>
          <w:tab w:val="clear" w:pos="425"/>
        </w:tabs>
        <w:spacing w:after="160"/>
      </w:pPr>
    </w:p>
    <w:p w14:paraId="0C17E4D3" w14:textId="79D15E03" w:rsidR="00EF7D31" w:rsidRPr="00EF7D31" w:rsidRDefault="00EF7D31" w:rsidP="00EF7D31">
      <w:pPr>
        <w:pStyle w:val="PiedepginaLegal"/>
        <w:rPr>
          <w:u w:val="single"/>
        </w:rPr>
      </w:pPr>
      <w:r w:rsidRPr="00EF7D31">
        <w:rPr>
          <w:u w:val="single"/>
        </w:rPr>
        <w:tab/>
      </w:r>
      <w:r w:rsidRPr="00EF7D31">
        <w:rPr>
          <w:u w:val="single"/>
        </w:rPr>
        <w:tab/>
      </w:r>
      <w:r w:rsidRPr="00EF7D31">
        <w:rPr>
          <w:u w:val="single"/>
        </w:rPr>
        <w:tab/>
      </w:r>
      <w:r w:rsidRPr="00EF7D31">
        <w:rPr>
          <w:u w:val="single"/>
        </w:rPr>
        <w:tab/>
      </w:r>
    </w:p>
    <w:p w14:paraId="4D9B6415" w14:textId="7F7023B1" w:rsidR="00EF7D31" w:rsidRDefault="00EF7D31" w:rsidP="00EF7D31">
      <w:pPr>
        <w:pStyle w:val="PiedepginaLegal"/>
      </w:pPr>
      <w:r w:rsidRPr="00EF7D31">
        <w:t xml:space="preserve">22. </w:t>
      </w:r>
      <w:r>
        <w:t xml:space="preserve"> </w:t>
      </w:r>
      <w:r w:rsidR="00E40A79">
        <w:tab/>
      </w:r>
      <w:r w:rsidRPr="00EF7D31">
        <w:t xml:space="preserve">Para los “diez poderes” y las “cuatro clases de valentía” véase MN 12. Para las “seis clases de conocimiento no compartidas por los discípulos” véase </w:t>
      </w:r>
      <w:proofErr w:type="spellStart"/>
      <w:r w:rsidRPr="00EF7D31">
        <w:t>Pa</w:t>
      </w:r>
      <w:r w:rsidR="00E40A79">
        <w:t>ṭ</w:t>
      </w:r>
      <w:r w:rsidRPr="00EF7D31">
        <w:t>is</w:t>
      </w:r>
      <w:proofErr w:type="spellEnd"/>
      <w:r w:rsidRPr="00EF7D31">
        <w:t xml:space="preserve"> I 121f. Para los "dieciocho estados del Iluminado" ver </w:t>
      </w:r>
      <w:proofErr w:type="spellStart"/>
      <w:r w:rsidRPr="00EF7D31">
        <w:t>Cp</w:t>
      </w:r>
      <w:proofErr w:type="spellEnd"/>
      <w:r w:rsidRPr="00EF7D31">
        <w:t>-a</w:t>
      </w:r>
    </w:p>
    <w:p w14:paraId="02A8EEBC" w14:textId="4009D79A" w:rsidR="00EF7D31" w:rsidRDefault="00EF7D31">
      <w:pPr>
        <w:tabs>
          <w:tab w:val="clear" w:pos="425"/>
        </w:tabs>
        <w:spacing w:after="160"/>
      </w:pPr>
      <w:r>
        <w:br w:type="page"/>
      </w:r>
    </w:p>
    <w:p w14:paraId="781505F4" w14:textId="77777777" w:rsidR="00EF7D31" w:rsidRDefault="00EF7D31">
      <w:pPr>
        <w:tabs>
          <w:tab w:val="clear" w:pos="425"/>
        </w:tabs>
        <w:spacing w:after="160"/>
      </w:pPr>
    </w:p>
    <w:p w14:paraId="59331827" w14:textId="77777777" w:rsidR="00B335FC" w:rsidRDefault="00B335FC" w:rsidP="00472DDC"/>
    <w:p w14:paraId="121C9BC8" w14:textId="77777777" w:rsidR="00755E54" w:rsidRDefault="00755E54" w:rsidP="00472DDC"/>
    <w:p w14:paraId="4C77A815" w14:textId="77777777" w:rsidR="00755E54" w:rsidRDefault="00755E54" w:rsidP="00472DDC"/>
    <w:p w14:paraId="685206F9" w14:textId="0B60ABA2" w:rsidR="00B335FC" w:rsidRDefault="00755E54" w:rsidP="00755E54">
      <w:pPr>
        <w:pStyle w:val="Ttulo2"/>
        <w:jc w:val="center"/>
      </w:pPr>
      <w:r>
        <w:t>Capítulo X</w:t>
      </w:r>
      <w:r>
        <w:br/>
        <w:t>Los Estados Inmaterial</w:t>
      </w:r>
      <w:r w:rsidR="00954274">
        <w:t>es</w:t>
      </w:r>
    </w:p>
    <w:p w14:paraId="2DE27EE3" w14:textId="6EA42452" w:rsidR="00B335FC" w:rsidRDefault="00755E54" w:rsidP="00755E54">
      <w:pPr>
        <w:jc w:val="center"/>
      </w:pPr>
      <w:r>
        <w:br/>
      </w:r>
      <w:r w:rsidR="00B335FC">
        <w:t>(</w:t>
      </w:r>
      <w:proofErr w:type="spellStart"/>
      <w:r w:rsidR="00B335FC" w:rsidRPr="00755E54">
        <w:rPr>
          <w:i/>
          <w:iCs/>
          <w:sz w:val="22"/>
          <w:szCs w:val="28"/>
        </w:rPr>
        <w:t>Āruppa-niddesa</w:t>
      </w:r>
      <w:proofErr w:type="spellEnd"/>
      <w:r w:rsidR="00B335FC">
        <w:t>)</w:t>
      </w:r>
    </w:p>
    <w:p w14:paraId="2C17023D" w14:textId="76527E33" w:rsidR="00B335FC" w:rsidRDefault="00755E54" w:rsidP="00755E54">
      <w:pPr>
        <w:pStyle w:val="Ttulo3"/>
        <w:ind w:left="708"/>
      </w:pPr>
      <w:r>
        <w:t>[(1) La Base Cons</w:t>
      </w:r>
      <w:r w:rsidR="007767D0">
        <w:t>istente</w:t>
      </w:r>
      <w:r>
        <w:t xml:space="preserve"> de</w:t>
      </w:r>
      <w:r w:rsidR="007767D0">
        <w:t>l</w:t>
      </w:r>
      <w:r>
        <w:t xml:space="preserve"> Espacio Ilimitado]</w:t>
      </w:r>
    </w:p>
    <w:p w14:paraId="09BDAD83" w14:textId="385A6C38" w:rsidR="00B335FC" w:rsidRDefault="00B335FC" w:rsidP="00B335FC">
      <w:r>
        <w:t xml:space="preserve">1. </w:t>
      </w:r>
      <w:r w:rsidR="00755E54">
        <w:tab/>
      </w:r>
      <w:r>
        <w:t xml:space="preserve">[326] Ahora bien, en cuanto a los cuatro estados inmateriales mencionados </w:t>
      </w:r>
      <w:r w:rsidR="00CF036E">
        <w:t>a continuación</w:t>
      </w:r>
      <w:r>
        <w:t xml:space="preserve"> a l</w:t>
      </w:r>
      <w:r w:rsidR="00785A22">
        <w:t>o</w:t>
      </w:r>
      <w:r>
        <w:t xml:space="preserve">s </w:t>
      </w:r>
      <w:r w:rsidR="00785A22">
        <w:t xml:space="preserve">estados </w:t>
      </w:r>
      <w:r>
        <w:t>divin</w:t>
      </w:r>
      <w:r w:rsidR="00785A22">
        <w:t>o</w:t>
      </w:r>
      <w:r>
        <w:t>s (III.105), quien quiera primero desarrollar la base consiste</w:t>
      </w:r>
      <w:r w:rsidR="00785A22">
        <w:t>nte</w:t>
      </w:r>
      <w:r>
        <w:t xml:space="preserve"> </w:t>
      </w:r>
      <w:r w:rsidR="00785A22">
        <w:t>d</w:t>
      </w:r>
      <w:r>
        <w:t xml:space="preserve">el espacio </w:t>
      </w:r>
      <w:r w:rsidR="001B3831">
        <w:t xml:space="preserve">infinito </w:t>
      </w:r>
      <w:r w:rsidR="00B81AF7">
        <w:t>observará</w:t>
      </w:r>
      <w:r>
        <w:t xml:space="preserve"> </w:t>
      </w:r>
      <w:r w:rsidR="0086627C">
        <w:t xml:space="preserve">el peligro </w:t>
      </w:r>
      <w:r>
        <w:t xml:space="preserve">en la materia física </w:t>
      </w:r>
      <w:r w:rsidR="0086627C">
        <w:t xml:space="preserve">y </w:t>
      </w:r>
      <w:r w:rsidR="00B46AC3">
        <w:t>densa,</w:t>
      </w:r>
      <w:r>
        <w:t xml:space="preserve"> a través del </w:t>
      </w:r>
      <w:r w:rsidR="0086627C">
        <w:t xml:space="preserve">empuño </w:t>
      </w:r>
      <w:r>
        <w:t xml:space="preserve">de palos, etc. ., </w:t>
      </w:r>
      <w:r w:rsidR="00BB5126">
        <w:t xml:space="preserve">mediante </w:t>
      </w:r>
      <w:r>
        <w:t xml:space="preserve">las palabras: “'Es en virtud de la materia que </w:t>
      </w:r>
      <w:r w:rsidR="00B46AC3">
        <w:t>ocurren cosas tales como</w:t>
      </w:r>
      <w:r>
        <w:t xml:space="preserve"> empuñar palos, empuñar cuchillos, peleas, reyertas y disputas; pero e</w:t>
      </w:r>
      <w:r w:rsidR="00244B5D">
        <w:t>ll</w:t>
      </w:r>
      <w:r>
        <w:t>o no exist</w:t>
      </w:r>
      <w:r w:rsidR="00530071">
        <w:t>irá</w:t>
      </w:r>
      <w:r>
        <w:t xml:space="preserve"> en absoluto en el estado inmaterial, y </w:t>
      </w:r>
      <w:r w:rsidR="00051503">
        <w:t>bajo</w:t>
      </w:r>
      <w:r>
        <w:t xml:space="preserve"> esta expectativa entra</w:t>
      </w:r>
      <w:r w:rsidR="00B46AC3">
        <w:t>rá</w:t>
      </w:r>
      <w:r>
        <w:t xml:space="preserve"> en el </w:t>
      </w:r>
      <w:r w:rsidR="00244B5D">
        <w:t>sendero</w:t>
      </w:r>
      <w:r>
        <w:t xml:space="preserve"> del desapego </w:t>
      </w:r>
      <w:r w:rsidR="00495EFA">
        <w:t xml:space="preserve">solamente </w:t>
      </w:r>
      <w:r w:rsidR="00244B5D">
        <w:t xml:space="preserve">hacia </w:t>
      </w:r>
      <w:r>
        <w:t xml:space="preserve">las cosas materiales, </w:t>
      </w:r>
      <w:r w:rsidR="00495EFA">
        <w:t>mediante</w:t>
      </w:r>
      <w:r>
        <w:t xml:space="preserve"> el desvanecimiento y cesación </w:t>
      </w:r>
      <w:r w:rsidR="00495EFA">
        <w:t xml:space="preserve">hacia </w:t>
      </w:r>
      <w:r>
        <w:t xml:space="preserve">aquellas solamente” (M I 410); y </w:t>
      </w:r>
      <w:r w:rsidR="00244B5D">
        <w:t xml:space="preserve">también </w:t>
      </w:r>
      <w:r>
        <w:t>ve</w:t>
      </w:r>
      <w:r w:rsidR="00495EFA">
        <w:t>rá</w:t>
      </w:r>
      <w:r>
        <w:t xml:space="preserve"> </w:t>
      </w:r>
      <w:r w:rsidR="00244B5D">
        <w:t xml:space="preserve">el </w:t>
      </w:r>
      <w:r>
        <w:t>peligro en ello a través de las mil aflicciones que comienzan con la enfermedad de los ojos. Entonces, para superar e</w:t>
      </w:r>
      <w:r w:rsidR="00244B5D">
        <w:t>ll</w:t>
      </w:r>
      <w:r>
        <w:t>o, entra</w:t>
      </w:r>
      <w:r w:rsidR="00495EFA">
        <w:t>rá</w:t>
      </w:r>
      <w:r>
        <w:t xml:space="preserve"> en el cuarto </w:t>
      </w:r>
      <w:proofErr w:type="spellStart"/>
      <w:r w:rsidR="00057BF4" w:rsidRPr="00057BF4">
        <w:rPr>
          <w:i/>
        </w:rPr>
        <w:t>jhāna</w:t>
      </w:r>
      <w:proofErr w:type="spellEnd"/>
      <w:r>
        <w:t xml:space="preserve"> </w:t>
      </w:r>
      <w:r w:rsidR="000C68A0">
        <w:t xml:space="preserve">a través de </w:t>
      </w:r>
      <w:r>
        <w:t xml:space="preserve">cualquiera de los nueve </w:t>
      </w:r>
      <w:proofErr w:type="spellStart"/>
      <w:r w:rsidR="00057BF4" w:rsidRPr="00057BF4">
        <w:rPr>
          <w:i/>
        </w:rPr>
        <w:t>kasiṇa</w:t>
      </w:r>
      <w:r>
        <w:t>s</w:t>
      </w:r>
      <w:proofErr w:type="spellEnd"/>
      <w:r>
        <w:t xml:space="preserve"> comenzando con el </w:t>
      </w:r>
      <w:proofErr w:type="spellStart"/>
      <w:r w:rsidR="00057BF4" w:rsidRPr="00057BF4">
        <w:rPr>
          <w:i/>
        </w:rPr>
        <w:t>kasiṇa</w:t>
      </w:r>
      <w:proofErr w:type="spellEnd"/>
      <w:r>
        <w:t xml:space="preserve"> tierra y omitiendo el </w:t>
      </w:r>
      <w:proofErr w:type="spellStart"/>
      <w:r w:rsidR="00057BF4" w:rsidRPr="00057BF4">
        <w:rPr>
          <w:i/>
        </w:rPr>
        <w:t>kasiṇa</w:t>
      </w:r>
      <w:proofErr w:type="spellEnd"/>
      <w:r>
        <w:t xml:space="preserve"> de</w:t>
      </w:r>
      <w:r w:rsidR="00244B5D">
        <w:t>l</w:t>
      </w:r>
      <w:r>
        <w:t xml:space="preserve"> espacio </w:t>
      </w:r>
      <w:r w:rsidR="001B3831">
        <w:t>infinito</w:t>
      </w:r>
      <w:r>
        <w:t>.</w:t>
      </w:r>
    </w:p>
    <w:p w14:paraId="4CB63BC7" w14:textId="1C77DECC" w:rsidR="00B335FC" w:rsidRDefault="00B335FC" w:rsidP="00B335FC">
      <w:r>
        <w:t xml:space="preserve">2. </w:t>
      </w:r>
      <w:r w:rsidR="00755E54">
        <w:tab/>
      </w:r>
      <w:r>
        <w:t>Ahora bien, aunque ya ha</w:t>
      </w:r>
      <w:r w:rsidR="00244B5D">
        <w:t>ya</w:t>
      </w:r>
      <w:r>
        <w:t xml:space="preserve"> superado la materia física </w:t>
      </w:r>
      <w:r w:rsidR="000C68A0">
        <w:t>densa</w:t>
      </w:r>
      <w:r>
        <w:t xml:space="preserve"> por medio del cuarto </w:t>
      </w:r>
      <w:proofErr w:type="spellStart"/>
      <w:r w:rsidR="00057BF4" w:rsidRPr="00057BF4">
        <w:rPr>
          <w:i/>
        </w:rPr>
        <w:t>jhāna</w:t>
      </w:r>
      <w:proofErr w:type="spellEnd"/>
      <w:r>
        <w:t xml:space="preserve"> de la esfera de la materia </w:t>
      </w:r>
      <w:r w:rsidR="00244B5D">
        <w:t>sutil</w:t>
      </w:r>
      <w:r>
        <w:t xml:space="preserve">, </w:t>
      </w:r>
      <w:r w:rsidR="00E1520A">
        <w:t>n</w:t>
      </w:r>
      <w:r w:rsidR="000C68A0">
        <w:t>o obstante,</w:t>
      </w:r>
      <w:r>
        <w:t xml:space="preserve"> todavía </w:t>
      </w:r>
      <w:r w:rsidR="00E1520A">
        <w:t xml:space="preserve">se </w:t>
      </w:r>
      <w:r w:rsidR="00CC3A70">
        <w:t xml:space="preserve">querrá </w:t>
      </w:r>
      <w:r>
        <w:t xml:space="preserve">superar también </w:t>
      </w:r>
      <w:r w:rsidR="00E1520A">
        <w:t xml:space="preserve">el </w:t>
      </w:r>
      <w:proofErr w:type="spellStart"/>
      <w:r w:rsidR="00057BF4" w:rsidRPr="00057BF4">
        <w:rPr>
          <w:i/>
        </w:rPr>
        <w:t>kasiṇa</w:t>
      </w:r>
      <w:proofErr w:type="spellEnd"/>
      <w:r w:rsidR="00E1520A">
        <w:rPr>
          <w:i/>
        </w:rPr>
        <w:t xml:space="preserve"> </w:t>
      </w:r>
      <w:r w:rsidR="00E1520A">
        <w:t>materialidad</w:t>
      </w:r>
      <w:r>
        <w:t xml:space="preserve">, ya que </w:t>
      </w:r>
      <w:r w:rsidR="000E7EF9">
        <w:t>será</w:t>
      </w:r>
      <w:r>
        <w:t xml:space="preserve"> la contraparte de</w:t>
      </w:r>
      <w:r w:rsidR="00E61313">
        <w:t xml:space="preserve"> </w:t>
      </w:r>
      <w:r>
        <w:t>l</w:t>
      </w:r>
      <w:r w:rsidR="00E61313">
        <w:t>o</w:t>
      </w:r>
      <w:r>
        <w:t xml:space="preserve"> </w:t>
      </w:r>
      <w:r w:rsidR="00E61313">
        <w:t>anterior</w:t>
      </w:r>
      <w:r>
        <w:t>. ¿Como ha</w:t>
      </w:r>
      <w:r w:rsidR="00A56995">
        <w:t>rá</w:t>
      </w:r>
      <w:r>
        <w:t xml:space="preserve"> él esto?</w:t>
      </w:r>
    </w:p>
    <w:p w14:paraId="06201C2F" w14:textId="06F47CBA" w:rsidR="00B335FC" w:rsidRDefault="00B335FC" w:rsidP="00B335FC">
      <w:r>
        <w:t xml:space="preserve">3. </w:t>
      </w:r>
      <w:r w:rsidR="00755E54">
        <w:tab/>
      </w:r>
      <w:r>
        <w:t>Supongamos que un hombre tímido s</w:t>
      </w:r>
      <w:r w:rsidR="00E61313">
        <w:t>ea</w:t>
      </w:r>
      <w:r>
        <w:t xml:space="preserve"> perseguido por una serpiente en un bosque y huy</w:t>
      </w:r>
      <w:r w:rsidR="00E61313">
        <w:t>a</w:t>
      </w:r>
      <w:r>
        <w:t xml:space="preserve"> de </w:t>
      </w:r>
      <w:r w:rsidR="00E61313">
        <w:t>e</w:t>
      </w:r>
      <w:r>
        <w:t>l</w:t>
      </w:r>
      <w:r w:rsidR="00E61313">
        <w:t>la</w:t>
      </w:r>
      <w:r>
        <w:t xml:space="preserve"> lo más rápido que pued</w:t>
      </w:r>
      <w:r w:rsidR="00E61313">
        <w:t>a</w:t>
      </w:r>
      <w:r>
        <w:t xml:space="preserve">, entonces si </w:t>
      </w:r>
      <w:r w:rsidR="00A56995">
        <w:t xml:space="preserve">posteriormente </w:t>
      </w:r>
      <w:r>
        <w:t>v</w:t>
      </w:r>
      <w:r w:rsidR="00A56995">
        <w:t>i</w:t>
      </w:r>
      <w:r>
        <w:t>e</w:t>
      </w:r>
      <w:r w:rsidR="00A56995">
        <w:t>se</w:t>
      </w:r>
      <w:r>
        <w:t xml:space="preserve"> en el lugar </w:t>
      </w:r>
      <w:r w:rsidR="00E61313">
        <w:t xml:space="preserve">al </w:t>
      </w:r>
      <w:r>
        <w:t>que ha huido una hoja de palma con una raya pintada en ella</w:t>
      </w:r>
      <w:r w:rsidR="00A56995">
        <w:t>,</w:t>
      </w:r>
      <w:r>
        <w:t xml:space="preserve"> o una enredadera</w:t>
      </w:r>
      <w:r w:rsidR="00A56995">
        <w:t>,</w:t>
      </w:r>
      <w:r>
        <w:t xml:space="preserve"> o una cuerda</w:t>
      </w:r>
      <w:r w:rsidR="00A56995">
        <w:t>,</w:t>
      </w:r>
      <w:r>
        <w:t xml:space="preserve"> o una grieta en el suelo, </w:t>
      </w:r>
      <w:r w:rsidR="00A56995">
        <w:t>surgirá en él</w:t>
      </w:r>
      <w:r w:rsidR="00DC7797">
        <w:t xml:space="preserve"> </w:t>
      </w:r>
      <w:r>
        <w:t xml:space="preserve">miedo, </w:t>
      </w:r>
      <w:r w:rsidR="00A56995">
        <w:t xml:space="preserve">se sentirá </w:t>
      </w:r>
      <w:r>
        <w:t>ansioso y ni siquiera la mira</w:t>
      </w:r>
      <w:r w:rsidR="00DC7797">
        <w:t>rá</w:t>
      </w:r>
      <w:r>
        <w:t>. Supongamos de nuevo que un hombre viv</w:t>
      </w:r>
      <w:r w:rsidR="00A56995">
        <w:t>iese</w:t>
      </w:r>
      <w:r>
        <w:t xml:space="preserve"> en el mismo pueblo </w:t>
      </w:r>
      <w:r w:rsidR="00A56995">
        <w:t>donde</w:t>
      </w:r>
      <w:r>
        <w:t xml:space="preserve"> un hombre hostil lo maltrat</w:t>
      </w:r>
      <w:r w:rsidR="00DC7797">
        <w:t>e</w:t>
      </w:r>
      <w:r>
        <w:t xml:space="preserve"> y al ser amenazado por él con </w:t>
      </w:r>
      <w:proofErr w:type="spellStart"/>
      <w:r w:rsidR="00C47A22">
        <w:t>intensiones</w:t>
      </w:r>
      <w:proofErr w:type="spellEnd"/>
      <w:r w:rsidR="00C47A22">
        <w:t xml:space="preserve"> de </w:t>
      </w:r>
      <w:r>
        <w:t>flagelarlo y quemar su casa, se va</w:t>
      </w:r>
      <w:r w:rsidR="00C47A22">
        <w:t>ya</w:t>
      </w:r>
      <w:r>
        <w:t xml:space="preserve"> a vivir a otro pueblo, entonces si se enc</w:t>
      </w:r>
      <w:r w:rsidR="00516356">
        <w:t>o</w:t>
      </w:r>
      <w:r>
        <w:t>ntra</w:t>
      </w:r>
      <w:r w:rsidR="00516356">
        <w:t>se</w:t>
      </w:r>
      <w:r>
        <w:t xml:space="preserve"> con otro hombre allí de apariencia, voz y maneras similares, </w:t>
      </w:r>
      <w:r w:rsidR="00516356">
        <w:t>se sentirá</w:t>
      </w:r>
      <w:r>
        <w:t xml:space="preserve"> temeroso, ansioso y ni siquiera </w:t>
      </w:r>
      <w:r w:rsidR="00A56995">
        <w:t xml:space="preserve">tratará </w:t>
      </w:r>
      <w:r w:rsidR="00605B70">
        <w:t>de mirarlo</w:t>
      </w:r>
      <w:r>
        <w:t>.</w:t>
      </w:r>
    </w:p>
    <w:p w14:paraId="7F539515" w14:textId="623BBA44" w:rsidR="00EF7D31" w:rsidRDefault="00B335FC" w:rsidP="00B335FC">
      <w:r>
        <w:t xml:space="preserve">4. </w:t>
      </w:r>
      <w:r w:rsidR="00755E54">
        <w:tab/>
      </w:r>
      <w:r w:rsidR="00605B70">
        <w:t>A continuación</w:t>
      </w:r>
      <w:r>
        <w:t xml:space="preserve"> la aplicación de los símiles. El momento en </w:t>
      </w:r>
      <w:r w:rsidR="00B81CE1">
        <w:t xml:space="preserve">el </w:t>
      </w:r>
      <w:r>
        <w:t xml:space="preserve">que </w:t>
      </w:r>
      <w:r w:rsidR="00B81CE1">
        <w:t>un</w:t>
      </w:r>
      <w:r>
        <w:t xml:space="preserve"> </w:t>
      </w:r>
      <w:proofErr w:type="spellStart"/>
      <w:r w:rsidR="00057BF4" w:rsidRPr="00057BF4">
        <w:rPr>
          <w:i/>
        </w:rPr>
        <w:t>bhikkhu</w:t>
      </w:r>
      <w:proofErr w:type="spellEnd"/>
      <w:r>
        <w:t xml:space="preserve"> ten</w:t>
      </w:r>
      <w:r w:rsidR="00B81CE1">
        <w:t>ga a</w:t>
      </w:r>
      <w:r>
        <w:t xml:space="preserve"> la materia física </w:t>
      </w:r>
      <w:r w:rsidR="00B81CE1">
        <w:t xml:space="preserve">y </w:t>
      </w:r>
      <w:r w:rsidR="00605B70">
        <w:t>densa</w:t>
      </w:r>
      <w:r>
        <w:t xml:space="preserve"> como su objeto </w:t>
      </w:r>
      <w:r w:rsidR="00B81CE1">
        <w:t xml:space="preserve">será </w:t>
      </w:r>
      <w:r>
        <w:t xml:space="preserve">como el momento en que los hombres fueron respectivamente amenazados por la serpiente y por el enemigo. [327] El momento en </w:t>
      </w:r>
      <w:r w:rsidR="00862DB9">
        <w:t xml:space="preserve">el </w:t>
      </w:r>
      <w:r>
        <w:t xml:space="preserve">que </w:t>
      </w:r>
      <w:r w:rsidR="00862DB9">
        <w:t xml:space="preserve">un </w:t>
      </w:r>
      <w:proofErr w:type="spellStart"/>
      <w:r w:rsidR="00057BF4" w:rsidRPr="00057BF4">
        <w:rPr>
          <w:i/>
        </w:rPr>
        <w:t>bhikkhu</w:t>
      </w:r>
      <w:proofErr w:type="spellEnd"/>
      <w:r>
        <w:t xml:space="preserve"> super</w:t>
      </w:r>
      <w:r w:rsidR="00862DB9">
        <w:t>e</w:t>
      </w:r>
      <w:r>
        <w:t xml:space="preserve"> la materia física </w:t>
      </w:r>
      <w:r w:rsidR="00862DB9">
        <w:t xml:space="preserve">y </w:t>
      </w:r>
      <w:r w:rsidR="00605B70">
        <w:t xml:space="preserve">densa </w:t>
      </w:r>
      <w:r>
        <w:t xml:space="preserve">por medio del cuarto </w:t>
      </w:r>
      <w:proofErr w:type="spellStart"/>
      <w:r w:rsidR="00057BF4" w:rsidRPr="00057BF4">
        <w:rPr>
          <w:i/>
        </w:rPr>
        <w:t>jhāna</w:t>
      </w:r>
      <w:proofErr w:type="spellEnd"/>
      <w:r>
        <w:t xml:space="preserve"> de la esfera de la materia sutil </w:t>
      </w:r>
      <w:r w:rsidR="00862DB9">
        <w:t xml:space="preserve">será </w:t>
      </w:r>
      <w:r>
        <w:t xml:space="preserve">como el primer hombre </w:t>
      </w:r>
      <w:r w:rsidR="00605B70">
        <w:t xml:space="preserve">al huir </w:t>
      </w:r>
      <w:r>
        <w:t>lo más rápido que pudie</w:t>
      </w:r>
      <w:r w:rsidR="00857162">
        <w:t>se</w:t>
      </w:r>
      <w:r>
        <w:t xml:space="preserve"> y march</w:t>
      </w:r>
      <w:r w:rsidR="00857162">
        <w:t>ándose</w:t>
      </w:r>
      <w:r>
        <w:t xml:space="preserve"> a otra aldea. La observación del </w:t>
      </w:r>
      <w:proofErr w:type="spellStart"/>
      <w:r w:rsidR="00057BF4" w:rsidRPr="00057BF4">
        <w:rPr>
          <w:i/>
        </w:rPr>
        <w:t>bhikkhu</w:t>
      </w:r>
      <w:proofErr w:type="spellEnd"/>
      <w:r>
        <w:t xml:space="preserve"> de que incluso </w:t>
      </w:r>
      <w:r w:rsidR="00CE400A">
        <w:t xml:space="preserve">el </w:t>
      </w:r>
      <w:proofErr w:type="spellStart"/>
      <w:r w:rsidR="00057BF4" w:rsidRPr="00057BF4">
        <w:rPr>
          <w:i/>
        </w:rPr>
        <w:t>kasiṇa</w:t>
      </w:r>
      <w:proofErr w:type="spellEnd"/>
      <w:r>
        <w:t xml:space="preserve"> </w:t>
      </w:r>
      <w:r w:rsidR="00CE400A">
        <w:t xml:space="preserve">materialidad </w:t>
      </w:r>
      <w:r>
        <w:t>s</w:t>
      </w:r>
      <w:r w:rsidR="00144796">
        <w:t>ea</w:t>
      </w:r>
      <w:r>
        <w:t xml:space="preserve"> la contraparte de </w:t>
      </w:r>
    </w:p>
    <w:p w14:paraId="2F907AE3" w14:textId="77777777" w:rsidR="00EF7D31" w:rsidRDefault="00EF7D31">
      <w:pPr>
        <w:tabs>
          <w:tab w:val="clear" w:pos="425"/>
        </w:tabs>
        <w:spacing w:after="160"/>
      </w:pPr>
      <w:r>
        <w:br w:type="page"/>
      </w:r>
    </w:p>
    <w:p w14:paraId="760E2F1A" w14:textId="77777777" w:rsidR="00EF7D31" w:rsidRDefault="00EF7D31" w:rsidP="00B335FC"/>
    <w:p w14:paraId="666154DD" w14:textId="33FAC7FB" w:rsidR="008D7A11" w:rsidRDefault="00144796" w:rsidP="008D7A11">
      <w:r>
        <w:t xml:space="preserve">esa materialidad física </w:t>
      </w:r>
      <w:r w:rsidR="00CE400A">
        <w:t xml:space="preserve">densa </w:t>
      </w:r>
      <w:r>
        <w:t xml:space="preserve">y su deseo de </w:t>
      </w:r>
      <w:r w:rsidR="008D7A11">
        <w:t xml:space="preserve">superar también </w:t>
      </w:r>
      <w:r w:rsidR="00871EBA">
        <w:t>e</w:t>
      </w:r>
      <w:r w:rsidR="00CE400A">
        <w:t>ll</w:t>
      </w:r>
      <w:r w:rsidR="00871EBA">
        <w:t>o</w:t>
      </w:r>
      <w:r w:rsidR="00CE400A">
        <w:t>,</w:t>
      </w:r>
      <w:r w:rsidR="00871EBA">
        <w:t xml:space="preserve"> será </w:t>
      </w:r>
      <w:r w:rsidR="008D7A11">
        <w:t xml:space="preserve">como el primer hombre que </w:t>
      </w:r>
      <w:r w:rsidR="00871EBA">
        <w:t>veía</w:t>
      </w:r>
      <w:r w:rsidR="008D7A11">
        <w:t xml:space="preserve"> en el lugar </w:t>
      </w:r>
      <w:r w:rsidR="00CE400A">
        <w:t>a</w:t>
      </w:r>
      <w:r w:rsidR="008D7A11">
        <w:t xml:space="preserve">donde había huido la hoja de palma con una raya pintada en ella, etc., y el otro hombre que </w:t>
      </w:r>
      <w:r w:rsidR="00871EBA">
        <w:t xml:space="preserve">veía </w:t>
      </w:r>
      <w:r w:rsidR="008D7A11">
        <w:t>a</w:t>
      </w:r>
      <w:r w:rsidR="00614F49">
        <w:t xml:space="preserve"> otro</w:t>
      </w:r>
      <w:r w:rsidR="008D7A11">
        <w:t xml:space="preserve"> hombre que se parecía al enemigo </w:t>
      </w:r>
      <w:r w:rsidR="00614F49">
        <w:t>d</w:t>
      </w:r>
      <w:r w:rsidR="008D7A11">
        <w:t xml:space="preserve">el pueblo </w:t>
      </w:r>
      <w:r w:rsidR="00CE400A">
        <w:t>del cual</w:t>
      </w:r>
      <w:r w:rsidR="008D7A11">
        <w:t xml:space="preserve"> había </w:t>
      </w:r>
      <w:r w:rsidR="00CE400A">
        <w:t>huido</w:t>
      </w:r>
      <w:r w:rsidR="008D7A11">
        <w:t xml:space="preserve">, y </w:t>
      </w:r>
      <w:r w:rsidR="00444E95">
        <w:t xml:space="preserve">a </w:t>
      </w:r>
      <w:r w:rsidR="008D7A11">
        <w:t xml:space="preserve">su </w:t>
      </w:r>
      <w:r w:rsidR="002B4CAB">
        <w:t>reticencia para</w:t>
      </w:r>
      <w:r w:rsidR="00444E95">
        <w:t xml:space="preserve"> </w:t>
      </w:r>
      <w:r w:rsidR="008D7A11">
        <w:t>mirar</w:t>
      </w:r>
      <w:r w:rsidR="00444E95">
        <w:t>lo</w:t>
      </w:r>
      <w:r w:rsidR="008D7A11">
        <w:t xml:space="preserve"> debido al </w:t>
      </w:r>
      <w:r w:rsidR="0013025A">
        <w:t>trauma</w:t>
      </w:r>
      <w:r w:rsidR="008D7A11">
        <w:t xml:space="preserve"> y la ansiedad.</w:t>
      </w:r>
    </w:p>
    <w:p w14:paraId="3F018EEE" w14:textId="03C2DC84" w:rsidR="008D7A11" w:rsidRDefault="008D7A11" w:rsidP="008D7A11">
      <w:pPr>
        <w:pStyle w:val="NormalConSangria"/>
      </w:pPr>
      <w:r>
        <w:t xml:space="preserve">Y aquí deben entenderse también los símiles del perro atacado por un jabalí y del duende </w:t>
      </w:r>
      <w:proofErr w:type="spellStart"/>
      <w:r w:rsidR="00984CD1" w:rsidRPr="00984CD1">
        <w:rPr>
          <w:i/>
          <w:iCs/>
        </w:rPr>
        <w:t>pisāca</w:t>
      </w:r>
      <w:proofErr w:type="spellEnd"/>
      <w:r w:rsidR="00984CD1" w:rsidRPr="00984CD1">
        <w:t xml:space="preserve"> </w:t>
      </w:r>
      <w:r>
        <w:t xml:space="preserve">y el hombre </w:t>
      </w:r>
      <w:r w:rsidR="004013D0">
        <w:t>temeroso</w:t>
      </w:r>
      <w:r w:rsidRPr="00984CD1">
        <w:rPr>
          <w:vertAlign w:val="superscript"/>
        </w:rPr>
        <w:t>1</w:t>
      </w:r>
      <w:r>
        <w:t>.</w:t>
      </w:r>
    </w:p>
    <w:p w14:paraId="39D528D6" w14:textId="06F932F4" w:rsidR="008D7A11" w:rsidRDefault="008D7A11" w:rsidP="008D7A11">
      <w:r>
        <w:t xml:space="preserve">5. </w:t>
      </w:r>
      <w:r>
        <w:tab/>
        <w:t xml:space="preserve">Entonces, cuando </w:t>
      </w:r>
      <w:r w:rsidR="00DD7CF0">
        <w:t xml:space="preserve">él </w:t>
      </w:r>
      <w:r>
        <w:t>se ha</w:t>
      </w:r>
      <w:r w:rsidR="00DD7CF0">
        <w:t>ya</w:t>
      </w:r>
      <w:r>
        <w:t xml:space="preserve"> disgustado </w:t>
      </w:r>
      <w:r w:rsidR="00D56FB1">
        <w:t xml:space="preserve">con </w:t>
      </w:r>
      <w:r>
        <w:t>(</w:t>
      </w:r>
      <w:r w:rsidR="007506BC">
        <w:t xml:space="preserve">el </w:t>
      </w:r>
      <w:r>
        <w:t xml:space="preserve">desapasionado </w:t>
      </w:r>
      <w:r w:rsidR="00DD7CF0">
        <w:t>por</w:t>
      </w:r>
      <w:r>
        <w:t xml:space="preserve">) </w:t>
      </w:r>
      <w:r w:rsidR="002B4CAB">
        <w:t xml:space="preserve">el </w:t>
      </w:r>
      <w:proofErr w:type="spellStart"/>
      <w:r w:rsidR="00057BF4" w:rsidRPr="00057BF4">
        <w:rPr>
          <w:i/>
        </w:rPr>
        <w:t>kasiṇa</w:t>
      </w:r>
      <w:proofErr w:type="spellEnd"/>
      <w:r w:rsidR="002B4CAB" w:rsidRPr="002B4CAB">
        <w:t xml:space="preserve"> </w:t>
      </w:r>
      <w:r w:rsidR="002B4CAB">
        <w:t>materialidad</w:t>
      </w:r>
      <w:r>
        <w:t xml:space="preserve">, el objeto del cuarto </w:t>
      </w:r>
      <w:proofErr w:type="spellStart"/>
      <w:r w:rsidR="00057BF4" w:rsidRPr="00057BF4">
        <w:rPr>
          <w:i/>
        </w:rPr>
        <w:t>jhāna</w:t>
      </w:r>
      <w:proofErr w:type="spellEnd"/>
      <w:r>
        <w:t xml:space="preserve">, y </w:t>
      </w:r>
      <w:r w:rsidR="00D56FB1">
        <w:t>desee</w:t>
      </w:r>
      <w:r>
        <w:t xml:space="preserve"> alejarse </w:t>
      </w:r>
      <w:r w:rsidR="002B4CAB">
        <w:t xml:space="preserve">también </w:t>
      </w:r>
      <w:r>
        <w:t>de ell</w:t>
      </w:r>
      <w:r w:rsidR="00D56FB1">
        <w:t>o</w:t>
      </w:r>
      <w:r>
        <w:t>, logra</w:t>
      </w:r>
      <w:r w:rsidR="00D56FB1">
        <w:t>rá</w:t>
      </w:r>
      <w:r>
        <w:t xml:space="preserve"> la maestría en las cinco formas. Luego, al emerger del </w:t>
      </w:r>
      <w:r w:rsidR="00D56FB1">
        <w:t xml:space="preserve">entonces </w:t>
      </w:r>
      <w:r>
        <w:t xml:space="preserve">familiar cuarto </w:t>
      </w:r>
      <w:proofErr w:type="spellStart"/>
      <w:r w:rsidR="00057BF4" w:rsidRPr="00057BF4">
        <w:rPr>
          <w:i/>
        </w:rPr>
        <w:t>jhāna</w:t>
      </w:r>
      <w:proofErr w:type="spellEnd"/>
      <w:r>
        <w:t xml:space="preserve"> de la esfera de la materia </w:t>
      </w:r>
      <w:r w:rsidR="00D56FB1">
        <w:t>sutil</w:t>
      </w:r>
      <w:r>
        <w:t>, ve</w:t>
      </w:r>
      <w:r w:rsidR="00D56FB1">
        <w:t>rá</w:t>
      </w:r>
      <w:r>
        <w:t xml:space="preserve"> el peligro en ese </w:t>
      </w:r>
      <w:proofErr w:type="spellStart"/>
      <w:r w:rsidR="00057BF4" w:rsidRPr="00057BF4">
        <w:rPr>
          <w:i/>
        </w:rPr>
        <w:t>jhāna</w:t>
      </w:r>
      <w:proofErr w:type="spellEnd"/>
      <w:r>
        <w:t xml:space="preserve"> </w:t>
      </w:r>
      <w:r w:rsidR="002B4CAB">
        <w:t>así</w:t>
      </w:r>
      <w:r>
        <w:t>: "Esto hace que su objeto sea la materialidad con la que me he disgustado", y "</w:t>
      </w:r>
      <w:r w:rsidR="00D56FB1">
        <w:t xml:space="preserve">Posee a la </w:t>
      </w:r>
      <w:r>
        <w:t xml:space="preserve">alegría como su </w:t>
      </w:r>
      <w:r w:rsidR="0096663B">
        <w:t xml:space="preserve">enemigo </w:t>
      </w:r>
      <w:r>
        <w:t xml:space="preserve">cercano", y “Es más </w:t>
      </w:r>
      <w:r w:rsidR="004964E7">
        <w:t xml:space="preserve">denso </w:t>
      </w:r>
      <w:r>
        <w:t xml:space="preserve">que las liberaciones </w:t>
      </w:r>
      <w:r w:rsidR="004964E7">
        <w:t>apacibles</w:t>
      </w:r>
      <w:r>
        <w:t xml:space="preserve">”. Sin embargo, aquí no </w:t>
      </w:r>
      <w:r w:rsidR="006E7F60">
        <w:t>exist</w:t>
      </w:r>
      <w:r w:rsidR="00A81604">
        <w:t>irá</w:t>
      </w:r>
      <w:r>
        <w:t xml:space="preserve"> una densidad comparativa de factores</w:t>
      </w:r>
      <w:r w:rsidR="00A81604">
        <w:t>,</w:t>
      </w:r>
      <w:r>
        <w:t xml:space="preserve"> como en el caso de l</w:t>
      </w:r>
      <w:r w:rsidR="00A81604">
        <w:t>o</w:t>
      </w:r>
      <w:r>
        <w:t xml:space="preserve">s cuatro </w:t>
      </w:r>
      <w:proofErr w:type="spellStart"/>
      <w:r w:rsidR="00057BF4" w:rsidRPr="00057BF4">
        <w:rPr>
          <w:i/>
        </w:rPr>
        <w:t>jhāna</w:t>
      </w:r>
      <w:r>
        <w:t>s</w:t>
      </w:r>
      <w:proofErr w:type="spellEnd"/>
      <w:r>
        <w:t xml:space="preserve"> de la materia sutil; </w:t>
      </w:r>
      <w:r w:rsidR="0040299B">
        <w:t xml:space="preserve">ya </w:t>
      </w:r>
      <w:r>
        <w:t xml:space="preserve">que los estados inmateriales </w:t>
      </w:r>
      <w:r w:rsidR="00A81604">
        <w:t>tendrán</w:t>
      </w:r>
      <w:r>
        <w:t xml:space="preserve"> los mismos dos factores que est</w:t>
      </w:r>
      <w:r w:rsidR="00CA1F83">
        <w:t>a</w:t>
      </w:r>
      <w:r>
        <w:t xml:space="preserve"> materia </w:t>
      </w:r>
      <w:r w:rsidR="006E7F60">
        <w:t xml:space="preserve">sutil </w:t>
      </w:r>
      <w:r>
        <w:t>[</w:t>
      </w:r>
      <w:proofErr w:type="spellStart"/>
      <w:r w:rsidR="00057BF4" w:rsidRPr="00057BF4">
        <w:rPr>
          <w:i/>
        </w:rPr>
        <w:t>jhāna</w:t>
      </w:r>
      <w:proofErr w:type="spellEnd"/>
      <w:r>
        <w:t>].</w:t>
      </w:r>
    </w:p>
    <w:p w14:paraId="418C748E" w14:textId="561867E4" w:rsidR="008D7A11" w:rsidRDefault="008D7A11" w:rsidP="008D7A11">
      <w:r>
        <w:t xml:space="preserve">6. </w:t>
      </w:r>
      <w:r>
        <w:tab/>
        <w:t>Cuando ha</w:t>
      </w:r>
      <w:r w:rsidR="00CA1F83">
        <w:t>ya</w:t>
      </w:r>
      <w:r>
        <w:t xml:space="preserve"> visto </w:t>
      </w:r>
      <w:r w:rsidR="00FB6550">
        <w:t xml:space="preserve">así </w:t>
      </w:r>
      <w:r>
        <w:t xml:space="preserve">el peligro en ese </w:t>
      </w:r>
      <w:proofErr w:type="spellStart"/>
      <w:r w:rsidR="00FB6550" w:rsidRPr="00057BF4">
        <w:rPr>
          <w:i/>
        </w:rPr>
        <w:t>jhāna</w:t>
      </w:r>
      <w:proofErr w:type="spellEnd"/>
      <w:r w:rsidR="00A855D6">
        <w:rPr>
          <w:i/>
        </w:rPr>
        <w:t>,</w:t>
      </w:r>
      <w:r w:rsidR="00FB6550">
        <w:t xml:space="preserve"> en el </w:t>
      </w:r>
      <w:r>
        <w:t xml:space="preserve">cuarto </w:t>
      </w:r>
      <w:proofErr w:type="spellStart"/>
      <w:r w:rsidR="00057BF4" w:rsidRPr="00057BF4">
        <w:rPr>
          <w:i/>
        </w:rPr>
        <w:t>jhāna</w:t>
      </w:r>
      <w:proofErr w:type="spellEnd"/>
      <w:r>
        <w:t xml:space="preserve"> de </w:t>
      </w:r>
      <w:r w:rsidR="00CA1F83">
        <w:t xml:space="preserve">la </w:t>
      </w:r>
      <w:r>
        <w:t xml:space="preserve">materia </w:t>
      </w:r>
      <w:r w:rsidR="00CA1F83">
        <w:t>sutil</w:t>
      </w:r>
      <w:r w:rsidR="00A855D6">
        <w:t>,</w:t>
      </w:r>
      <w:r>
        <w:t xml:space="preserve"> y ha</w:t>
      </w:r>
      <w:r w:rsidR="00FB6550">
        <w:t>ya</w:t>
      </w:r>
      <w:r>
        <w:t xml:space="preserve"> terminado con </w:t>
      </w:r>
      <w:r w:rsidR="00A855D6">
        <w:t>el</w:t>
      </w:r>
      <w:r>
        <w:t xml:space="preserve"> apego </w:t>
      </w:r>
      <w:r w:rsidR="00FB6550">
        <w:t>haci</w:t>
      </w:r>
      <w:r>
        <w:t>a él, presta</w:t>
      </w:r>
      <w:r w:rsidR="00FB6550">
        <w:t>rá</w:t>
      </w:r>
      <w:r>
        <w:t xml:space="preserve"> su atención a la base consiste</w:t>
      </w:r>
      <w:r w:rsidR="00FB6550">
        <w:t>nte</w:t>
      </w:r>
      <w:r>
        <w:t xml:space="preserve"> </w:t>
      </w:r>
      <w:r w:rsidR="00FB6550">
        <w:t>d</w:t>
      </w:r>
      <w:r>
        <w:t xml:space="preserve">el espacio </w:t>
      </w:r>
      <w:r w:rsidR="001B3831">
        <w:t xml:space="preserve">infinito </w:t>
      </w:r>
      <w:r>
        <w:t xml:space="preserve">como </w:t>
      </w:r>
      <w:r w:rsidR="00FB6550">
        <w:t>apacible</w:t>
      </w:r>
      <w:r>
        <w:t>. Luego, cuando ha</w:t>
      </w:r>
      <w:r w:rsidR="00FB6550">
        <w:t>ya</w:t>
      </w:r>
      <w:r>
        <w:t xml:space="preserve"> extendido </w:t>
      </w:r>
      <w:r w:rsidR="00FB6550">
        <w:t>el</w:t>
      </w:r>
      <w:r>
        <w:t xml:space="preserve"> </w:t>
      </w:r>
      <w:proofErr w:type="spellStart"/>
      <w:r w:rsidR="00057BF4" w:rsidRPr="00057BF4">
        <w:rPr>
          <w:i/>
        </w:rPr>
        <w:t>kasiṇa</w:t>
      </w:r>
      <w:proofErr w:type="spellEnd"/>
      <w:r>
        <w:t xml:space="preserve"> hasta el límite de la esfera </w:t>
      </w:r>
      <w:r w:rsidR="00FB6550">
        <w:t>estelar</w:t>
      </w:r>
      <w:r>
        <w:t>, o tan lejos como le pla</w:t>
      </w:r>
      <w:r w:rsidR="00DF205E">
        <w:t>zca</w:t>
      </w:r>
      <w:r>
        <w:t>, elimina</w:t>
      </w:r>
      <w:r w:rsidR="00DF205E">
        <w:t>rá</w:t>
      </w:r>
      <w:r>
        <w:t xml:space="preserve"> </w:t>
      </w:r>
      <w:r w:rsidR="00DF205E">
        <w:t>e</w:t>
      </w:r>
      <w:r>
        <w:t xml:space="preserve">l </w:t>
      </w:r>
      <w:proofErr w:type="spellStart"/>
      <w:r w:rsidR="00057BF4" w:rsidRPr="00057BF4">
        <w:rPr>
          <w:i/>
        </w:rPr>
        <w:t>kasiṇa</w:t>
      </w:r>
      <w:proofErr w:type="spellEnd"/>
      <w:r>
        <w:t xml:space="preserve"> </w:t>
      </w:r>
      <w:r w:rsidR="00DF205E">
        <w:t xml:space="preserve">de la </w:t>
      </w:r>
      <w:r>
        <w:t>material</w:t>
      </w:r>
      <w:r w:rsidR="00DF205E">
        <w:t>i</w:t>
      </w:r>
      <w:r>
        <w:t>d</w:t>
      </w:r>
      <w:r w:rsidR="00DF205E">
        <w:t>ad</w:t>
      </w:r>
      <w:r w:rsidR="00FB79F3">
        <w:t>,</w:t>
      </w:r>
      <w:r>
        <w:t xml:space="preserve"> prestando atención al espacio </w:t>
      </w:r>
      <w:r w:rsidR="00324795">
        <w:t>en contacto con é</w:t>
      </w:r>
      <w:r>
        <w:t>l, considerando e</w:t>
      </w:r>
      <w:r w:rsidR="00324795">
        <w:t>ll</w:t>
      </w:r>
      <w:r>
        <w:t xml:space="preserve">o como </w:t>
      </w:r>
      <w:r w:rsidR="00324795">
        <w:t xml:space="preserve">el </w:t>
      </w:r>
      <w:r>
        <w:t xml:space="preserve">“espacio” o </w:t>
      </w:r>
      <w:r w:rsidR="00324795">
        <w:t xml:space="preserve">el </w:t>
      </w:r>
      <w:r>
        <w:t xml:space="preserve">“espacio </w:t>
      </w:r>
      <w:r w:rsidR="001B3831">
        <w:t>infinito</w:t>
      </w:r>
      <w:r>
        <w:t>”.</w:t>
      </w:r>
      <w:r w:rsidR="008F4A27">
        <w:t xml:space="preserve"> </w:t>
      </w:r>
    </w:p>
    <w:p w14:paraId="44604B1F" w14:textId="6B7ED68F" w:rsidR="008D7A11" w:rsidRDefault="008D7A11" w:rsidP="008D7A11">
      <w:r>
        <w:t xml:space="preserve">7. </w:t>
      </w:r>
      <w:r>
        <w:tab/>
        <w:t xml:space="preserve">Cuando </w:t>
      </w:r>
      <w:r w:rsidR="00C971CA">
        <w:t>se</w:t>
      </w:r>
      <w:r>
        <w:t xml:space="preserve"> est</w:t>
      </w:r>
      <w:r w:rsidR="00A62391">
        <w:t>é</w:t>
      </w:r>
      <w:r>
        <w:t xml:space="preserve"> </w:t>
      </w:r>
      <w:r w:rsidR="00C971CA">
        <w:t xml:space="preserve">eliminando este </w:t>
      </w:r>
      <w:proofErr w:type="spellStart"/>
      <w:r w:rsidR="00C971CA">
        <w:rPr>
          <w:i/>
          <w:iCs/>
        </w:rPr>
        <w:t>kasiṇa</w:t>
      </w:r>
      <w:proofErr w:type="spellEnd"/>
      <w:r>
        <w:t>, no lo dobla</w:t>
      </w:r>
      <w:r w:rsidR="00A62391">
        <w:t>rá</w:t>
      </w:r>
      <w:r>
        <w:t xml:space="preserve"> como una estera ni lo saca</w:t>
      </w:r>
      <w:r w:rsidR="00A62391">
        <w:t>rá</w:t>
      </w:r>
      <w:r>
        <w:t xml:space="preserve"> como un pastel de un </w:t>
      </w:r>
      <w:r w:rsidR="00DB4155">
        <w:t>recipiente</w:t>
      </w:r>
      <w:r>
        <w:t xml:space="preserve">. </w:t>
      </w:r>
      <w:r w:rsidR="00DB4155">
        <w:t xml:space="preserve">Será </w:t>
      </w:r>
      <w:r>
        <w:t>simplemente que no lo advert</w:t>
      </w:r>
      <w:r w:rsidR="00DB4155">
        <w:t>irá</w:t>
      </w:r>
      <w:r>
        <w:t>, ni le presta</w:t>
      </w:r>
      <w:r w:rsidR="00DB4155">
        <w:t>rá</w:t>
      </w:r>
      <w:r>
        <w:t xml:space="preserve"> atención, ni lo revisa</w:t>
      </w:r>
      <w:r w:rsidR="00DB4155">
        <w:t>rá</w:t>
      </w:r>
      <w:r>
        <w:t>; cuando él n</w:t>
      </w:r>
      <w:r w:rsidR="00674D14">
        <w:t>o</w:t>
      </w:r>
      <w:r>
        <w:t xml:space="preserve"> lo adviert</w:t>
      </w:r>
      <w:r w:rsidR="00674D14">
        <w:t>a</w:t>
      </w:r>
      <w:r>
        <w:t xml:space="preserve"> ni le prest</w:t>
      </w:r>
      <w:r w:rsidR="00674D14">
        <w:t>e</w:t>
      </w:r>
      <w:r>
        <w:t xml:space="preserve"> atención ni lo revis</w:t>
      </w:r>
      <w:r w:rsidR="00674D14">
        <w:t>e</w:t>
      </w:r>
      <w:r>
        <w:t>, sino que prest</w:t>
      </w:r>
      <w:r w:rsidR="00674D14">
        <w:t>e</w:t>
      </w:r>
      <w:r>
        <w:t xml:space="preserve"> atención exclusivamente al espacio </w:t>
      </w:r>
      <w:r w:rsidR="009847C5">
        <w:t>en contacto con</w:t>
      </w:r>
      <w:r>
        <w:t xml:space="preserve"> él, considerando e</w:t>
      </w:r>
      <w:r w:rsidR="009847C5">
        <w:t>ll</w:t>
      </w:r>
      <w:r>
        <w:t>o</w:t>
      </w:r>
      <w:r w:rsidR="00C971CA">
        <w:t>,</w:t>
      </w:r>
      <w:r>
        <w:t xml:space="preserve"> como “espacio, espacio”, se di</w:t>
      </w:r>
      <w:r w:rsidR="009847C5">
        <w:t>rá</w:t>
      </w:r>
      <w:r>
        <w:t xml:space="preserve"> que “</w:t>
      </w:r>
      <w:r w:rsidR="009847C5">
        <w:t>pondrá a un lado a</w:t>
      </w:r>
      <w:r>
        <w:t xml:space="preserve">l </w:t>
      </w:r>
      <w:proofErr w:type="spellStart"/>
      <w:r w:rsidR="00057BF4" w:rsidRPr="00057BF4">
        <w:rPr>
          <w:i/>
        </w:rPr>
        <w:t>kasiṇa</w:t>
      </w:r>
      <w:proofErr w:type="spellEnd"/>
      <w:r>
        <w:t>”</w:t>
      </w:r>
      <w:r w:rsidR="00024FBB">
        <w:t xml:space="preserve"> en cuestión.</w:t>
      </w:r>
    </w:p>
    <w:p w14:paraId="3D2EAE71" w14:textId="363CE661" w:rsidR="008D7A11" w:rsidRDefault="008D7A11" w:rsidP="008D7A11">
      <w:r>
        <w:t xml:space="preserve">8. </w:t>
      </w:r>
      <w:r>
        <w:tab/>
        <w:t xml:space="preserve">Y cuando se </w:t>
      </w:r>
      <w:r w:rsidR="00024FBB">
        <w:t>ponga a un lago a</w:t>
      </w:r>
      <w:r>
        <w:t xml:space="preserve">l </w:t>
      </w:r>
      <w:proofErr w:type="spellStart"/>
      <w:r w:rsidR="00057BF4" w:rsidRPr="00057BF4">
        <w:rPr>
          <w:i/>
        </w:rPr>
        <w:t>kasiṇa</w:t>
      </w:r>
      <w:proofErr w:type="spellEnd"/>
      <w:r>
        <w:t>, no se enrolla</w:t>
      </w:r>
      <w:r w:rsidR="00024FBB">
        <w:t>rá</w:t>
      </w:r>
      <w:r>
        <w:t xml:space="preserve"> ni se aleja</w:t>
      </w:r>
      <w:r w:rsidR="00024FBB">
        <w:t>rá</w:t>
      </w:r>
      <w:r>
        <w:t xml:space="preserve">. </w:t>
      </w:r>
      <w:r w:rsidR="001078F2">
        <w:t xml:space="preserve">Simplemente </w:t>
      </w:r>
      <w:r>
        <w:t xml:space="preserve">se le </w:t>
      </w:r>
      <w:r w:rsidR="00B26EF5">
        <w:t xml:space="preserve">designará </w:t>
      </w:r>
      <w:r w:rsidR="00C971CA">
        <w:t xml:space="preserve">se le designará como si hubiese sido </w:t>
      </w:r>
      <w:r>
        <w:t>“</w:t>
      </w:r>
      <w:r w:rsidR="00B26EF5">
        <w:t>puesto a un lado</w:t>
      </w:r>
      <w:r>
        <w:t>”</w:t>
      </w:r>
      <w:r w:rsidR="00C971CA">
        <w:t>,</w:t>
      </w:r>
      <w:r>
        <w:t xml:space="preserve"> debido a que no </w:t>
      </w:r>
      <w:r w:rsidR="001078F2">
        <w:t xml:space="preserve">se </w:t>
      </w:r>
      <w:r>
        <w:t>le presta</w:t>
      </w:r>
      <w:r w:rsidR="00B26EF5">
        <w:t>rá</w:t>
      </w:r>
      <w:r>
        <w:t xml:space="preserve"> atención, </w:t>
      </w:r>
      <w:r w:rsidR="00C971CA">
        <w:t>al estar</w:t>
      </w:r>
      <w:r>
        <w:t xml:space="preserve"> su atención </w:t>
      </w:r>
      <w:r w:rsidR="009279F3">
        <w:t xml:space="preserve">orientada </w:t>
      </w:r>
      <w:r w:rsidR="001078F2">
        <w:t>hacia e</w:t>
      </w:r>
      <w:r>
        <w:t>l “espacio, espacio”. Esto se conceptualiza</w:t>
      </w:r>
      <w:r w:rsidR="001078F2">
        <w:t>rá</w:t>
      </w:r>
      <w:r>
        <w:t xml:space="preserve"> como el </w:t>
      </w:r>
      <w:r w:rsidR="00C971CA">
        <w:t>simple</w:t>
      </w:r>
      <w:r>
        <w:t xml:space="preserve"> espacio dejado por </w:t>
      </w:r>
      <w:r w:rsidR="00C971CA">
        <w:t xml:space="preserve">medio de </w:t>
      </w:r>
      <w:r>
        <w:t xml:space="preserve">la eliminación del </w:t>
      </w:r>
      <w:proofErr w:type="spellStart"/>
      <w:r w:rsidR="00057BF4" w:rsidRPr="00057BF4">
        <w:rPr>
          <w:i/>
        </w:rPr>
        <w:t>kasiṇa</w:t>
      </w:r>
      <w:proofErr w:type="spellEnd"/>
      <w:r>
        <w:t xml:space="preserve"> </w:t>
      </w:r>
      <w:r w:rsidR="001078F2">
        <w:t xml:space="preserve">de la </w:t>
      </w:r>
      <w:r>
        <w:t xml:space="preserve">materialidad. Ya sea que se llame “espacio dejado por la remoción del </w:t>
      </w:r>
      <w:proofErr w:type="spellStart"/>
      <w:r w:rsidR="00057BF4" w:rsidRPr="00057BF4">
        <w:rPr>
          <w:i/>
        </w:rPr>
        <w:t>kasiṇa</w:t>
      </w:r>
      <w:proofErr w:type="spellEnd"/>
      <w:r>
        <w:t xml:space="preserve">” o “espacio </w:t>
      </w:r>
      <w:r w:rsidR="00FB656A">
        <w:t>en contacto con e</w:t>
      </w:r>
      <w:r>
        <w:t xml:space="preserve">l </w:t>
      </w:r>
      <w:proofErr w:type="spellStart"/>
      <w:r w:rsidR="00057BF4" w:rsidRPr="00057BF4">
        <w:rPr>
          <w:i/>
        </w:rPr>
        <w:t>kasiṇa</w:t>
      </w:r>
      <w:proofErr w:type="spellEnd"/>
      <w:r>
        <w:t xml:space="preserve">” o “espacio apartado del </w:t>
      </w:r>
      <w:proofErr w:type="spellStart"/>
      <w:r w:rsidR="00057BF4" w:rsidRPr="00057BF4">
        <w:rPr>
          <w:i/>
        </w:rPr>
        <w:t>kasiṇa</w:t>
      </w:r>
      <w:proofErr w:type="spellEnd"/>
      <w:r>
        <w:t xml:space="preserve">”, </w:t>
      </w:r>
      <w:r w:rsidR="000F4945">
        <w:t xml:space="preserve">se tratará </w:t>
      </w:r>
      <w:r w:rsidR="00C971CA">
        <w:t>todo ello sobre</w:t>
      </w:r>
      <w:r w:rsidR="000F4945">
        <w:t xml:space="preserve"> </w:t>
      </w:r>
      <w:r w:rsidR="00C971CA">
        <w:t>e</w:t>
      </w:r>
      <w:r>
        <w:t>l mismo</w:t>
      </w:r>
      <w:r w:rsidR="00C971CA">
        <w:t xml:space="preserve"> asunto</w:t>
      </w:r>
      <w:r>
        <w:t>.</w:t>
      </w:r>
    </w:p>
    <w:p w14:paraId="42E6F825" w14:textId="1E646846" w:rsidR="008D7A11" w:rsidRDefault="008D7A11" w:rsidP="008D7A11">
      <w:r>
        <w:t xml:space="preserve">9. </w:t>
      </w:r>
      <w:r>
        <w:tab/>
        <w:t>Él advert</w:t>
      </w:r>
      <w:r w:rsidR="000F4945">
        <w:t>irá</w:t>
      </w:r>
      <w:r>
        <w:t xml:space="preserve"> una y otra vez el signo del espacio dejado por la remoción del </w:t>
      </w:r>
      <w:proofErr w:type="spellStart"/>
      <w:r w:rsidR="00057BF4" w:rsidRPr="00057BF4">
        <w:rPr>
          <w:i/>
        </w:rPr>
        <w:t>kasiṇa</w:t>
      </w:r>
      <w:proofErr w:type="spellEnd"/>
      <w:r>
        <w:t xml:space="preserve"> [328] como “espacio, espacio”, y lo </w:t>
      </w:r>
      <w:r w:rsidR="00EB441E">
        <w:t>hará</w:t>
      </w:r>
      <w:r>
        <w:t xml:space="preserve"> </w:t>
      </w:r>
      <w:r w:rsidR="00EB441E">
        <w:t xml:space="preserve">mediante la </w:t>
      </w:r>
      <w:proofErr w:type="gramStart"/>
      <w:r w:rsidR="00EB441E">
        <w:t xml:space="preserve">aplicación mental </w:t>
      </w:r>
      <w:r>
        <w:t xml:space="preserve">y </w:t>
      </w:r>
      <w:r w:rsidR="00EB441E">
        <w:t>la s</w:t>
      </w:r>
      <w:r w:rsidR="00A02381">
        <w:t>u</w:t>
      </w:r>
      <w:r w:rsidR="00EB441E">
        <w:t>stentación</w:t>
      </w:r>
      <w:r w:rsidR="00A02381">
        <w:t xml:space="preserve"> mental</w:t>
      </w:r>
      <w:proofErr w:type="gramEnd"/>
      <w:r>
        <w:t>. A medida que lo adviert</w:t>
      </w:r>
      <w:r w:rsidR="00A02381">
        <w:t>a</w:t>
      </w:r>
      <w:r>
        <w:t xml:space="preserve"> una y otra vez y lo </w:t>
      </w:r>
      <w:r w:rsidR="00A02381">
        <w:t xml:space="preserve">haga </w:t>
      </w:r>
      <w:r>
        <w:t xml:space="preserve">con </w:t>
      </w:r>
      <w:r w:rsidR="00A02381">
        <w:t xml:space="preserve">la </w:t>
      </w:r>
      <w:proofErr w:type="gramStart"/>
      <w:r w:rsidR="00A02381">
        <w:t>aplicación mental y la sustentación mental</w:t>
      </w:r>
      <w:proofErr w:type="gramEnd"/>
      <w:r>
        <w:t>, se suprim</w:t>
      </w:r>
      <w:r w:rsidR="00A02381">
        <w:t>irá</w:t>
      </w:r>
      <w:r>
        <w:t>n los obstáculos, se establece</w:t>
      </w:r>
      <w:r w:rsidR="00A02381">
        <w:t>rá</w:t>
      </w:r>
      <w:r>
        <w:t xml:space="preserve"> la atención plena y su mente se concentra</w:t>
      </w:r>
      <w:r w:rsidR="00A02381">
        <w:t>rá</w:t>
      </w:r>
      <w:r>
        <w:t xml:space="preserve"> en el acceso. Cultiva</w:t>
      </w:r>
      <w:r w:rsidR="00A02381">
        <w:t>rá</w:t>
      </w:r>
      <w:r>
        <w:t xml:space="preserve"> ese signo una y otra vez, lo desarrolla</w:t>
      </w:r>
      <w:r w:rsidR="00A02381">
        <w:t>rá</w:t>
      </w:r>
      <w:r>
        <w:t xml:space="preserve"> y lo practica</w:t>
      </w:r>
      <w:r w:rsidR="00A02381">
        <w:t>rá</w:t>
      </w:r>
      <w:r>
        <w:t xml:space="preserve"> repetidamente.</w:t>
      </w:r>
    </w:p>
    <w:p w14:paraId="31CA8E24" w14:textId="33F7C7FA" w:rsidR="008D7A11" w:rsidRDefault="008D7A11" w:rsidP="008D7A11">
      <w:r>
        <w:t xml:space="preserve">10. </w:t>
      </w:r>
      <w:r>
        <w:tab/>
        <w:t>A medida que lo adviert</w:t>
      </w:r>
      <w:r w:rsidR="00314351">
        <w:t>a</w:t>
      </w:r>
      <w:r>
        <w:t xml:space="preserve"> una y otra vez y le prest</w:t>
      </w:r>
      <w:r w:rsidR="00A02381">
        <w:t>e</w:t>
      </w:r>
      <w:r>
        <w:t xml:space="preserve"> </w:t>
      </w:r>
      <w:r w:rsidR="00A02381">
        <w:t xml:space="preserve">así </w:t>
      </w:r>
      <w:r>
        <w:t>atención, la con</w:t>
      </w:r>
      <w:r w:rsidR="00A02381">
        <w:t>s</w:t>
      </w:r>
      <w:r>
        <w:t>ciencia que pertenece a la base consiste</w:t>
      </w:r>
      <w:r w:rsidR="00A02381">
        <w:t>nte</w:t>
      </w:r>
      <w:r>
        <w:t xml:space="preserve"> </w:t>
      </w:r>
      <w:r w:rsidR="00A02381">
        <w:t>d</w:t>
      </w:r>
      <w:r>
        <w:t xml:space="preserve">el espacio </w:t>
      </w:r>
      <w:r w:rsidR="001B3831">
        <w:t xml:space="preserve">infinito </w:t>
      </w:r>
      <w:r>
        <w:t>surg</w:t>
      </w:r>
      <w:r w:rsidR="00A02381">
        <w:t>irá</w:t>
      </w:r>
      <w:r>
        <w:t xml:space="preserve"> en absorción con el espacio como su</w:t>
      </w:r>
    </w:p>
    <w:p w14:paraId="3D65F313" w14:textId="77777777" w:rsidR="008D7A11" w:rsidRDefault="008D7A11" w:rsidP="008D7A11">
      <w:pPr>
        <w:pStyle w:val="PiedepginaLegal"/>
        <w:rPr>
          <w:u w:val="single"/>
        </w:rPr>
      </w:pPr>
      <w:r>
        <w:rPr>
          <w:u w:val="single"/>
        </w:rPr>
        <w:tab/>
      </w:r>
      <w:r>
        <w:rPr>
          <w:u w:val="single"/>
        </w:rPr>
        <w:tab/>
      </w:r>
      <w:r>
        <w:rPr>
          <w:u w:val="single"/>
        </w:rPr>
        <w:tab/>
      </w:r>
      <w:r>
        <w:rPr>
          <w:u w:val="single"/>
        </w:rPr>
        <w:tab/>
      </w:r>
    </w:p>
    <w:p w14:paraId="7965E043" w14:textId="190AC955" w:rsidR="008D7A11" w:rsidRDefault="008D7A11" w:rsidP="008D7A11">
      <w:pPr>
        <w:pStyle w:val="PiedepginaLegal"/>
      </w:pPr>
      <w:r>
        <w:t xml:space="preserve">1. </w:t>
      </w:r>
      <w:r>
        <w:tab/>
        <w:t>“Parec</w:t>
      </w:r>
      <w:r w:rsidR="00D1775E">
        <w:t>iera</w:t>
      </w:r>
      <w:r>
        <w:t xml:space="preserve"> que un perro fue atacado en el bosque por un jabalí y huyó. Cuando oscureció, vio a lo lejos un caldero para hervir arroz, y al percibirlo como un jabalí, huyó </w:t>
      </w:r>
      <w:r w:rsidR="00672745">
        <w:t>de</w:t>
      </w:r>
      <w:r>
        <w:t xml:space="preserve"> miedo y terror. Nuevamente, un hombre que tenía miedo de los duendes de </w:t>
      </w:r>
      <w:proofErr w:type="spellStart"/>
      <w:r w:rsidRPr="00672745">
        <w:rPr>
          <w:i/>
          <w:iCs/>
        </w:rPr>
        <w:t>pisaca</w:t>
      </w:r>
      <w:proofErr w:type="spellEnd"/>
      <w:r>
        <w:t xml:space="preserve"> vio un tocón de palma decapitado en la noche en un lugar que no le era familiar, y al percibirlo como un duende de </w:t>
      </w:r>
      <w:proofErr w:type="spellStart"/>
      <w:r w:rsidRPr="00672745">
        <w:rPr>
          <w:i/>
          <w:iCs/>
        </w:rPr>
        <w:t>pisaca</w:t>
      </w:r>
      <w:proofErr w:type="spellEnd"/>
      <w:r>
        <w:t xml:space="preserve">, </w:t>
      </w:r>
      <w:r w:rsidR="00672745">
        <w:t>se llenó</w:t>
      </w:r>
      <w:r>
        <w:t xml:space="preserve"> </w:t>
      </w:r>
      <w:r w:rsidR="00672745">
        <w:t>de</w:t>
      </w:r>
      <w:r>
        <w:t xml:space="preserve"> miedo, horror y confusión” (</w:t>
      </w:r>
      <w:proofErr w:type="spellStart"/>
      <w:r>
        <w:t>Vism-mhṭ</w:t>
      </w:r>
      <w:proofErr w:type="spellEnd"/>
      <w:r>
        <w:t xml:space="preserve"> 320).</w:t>
      </w:r>
    </w:p>
    <w:p w14:paraId="32134614" w14:textId="77777777" w:rsidR="008D7A11" w:rsidRDefault="008D7A11">
      <w:pPr>
        <w:tabs>
          <w:tab w:val="clear" w:pos="425"/>
        </w:tabs>
        <w:spacing w:after="160"/>
        <w:rPr>
          <w:color w:val="000000" w:themeColor="text1"/>
          <w:spacing w:val="10"/>
          <w:sz w:val="14"/>
        </w:rPr>
      </w:pPr>
      <w:r>
        <w:br w:type="page"/>
      </w:r>
    </w:p>
    <w:p w14:paraId="630D9D97" w14:textId="5444D7E2" w:rsidR="008D7A11" w:rsidRDefault="008D7A11" w:rsidP="008D7A11"/>
    <w:p w14:paraId="089A1064" w14:textId="53A475B9" w:rsidR="00E543BE" w:rsidRDefault="00E543BE" w:rsidP="00E543BE">
      <w:r>
        <w:t>objeto, como lo hizo la con</w:t>
      </w:r>
      <w:r w:rsidR="00A02381">
        <w:t>s</w:t>
      </w:r>
      <w:r>
        <w:t xml:space="preserve">ciencia perteneciente a la esfera de la materia </w:t>
      </w:r>
      <w:r w:rsidR="00A02381">
        <w:t>sutil</w:t>
      </w:r>
      <w:r>
        <w:t xml:space="preserve"> en el caso del </w:t>
      </w:r>
      <w:proofErr w:type="spellStart"/>
      <w:r w:rsidR="00057BF4" w:rsidRPr="00057BF4">
        <w:rPr>
          <w:i/>
        </w:rPr>
        <w:t>kasiṇa</w:t>
      </w:r>
      <w:proofErr w:type="spellEnd"/>
      <w:r w:rsidR="00A02381" w:rsidRPr="00A02381">
        <w:t xml:space="preserve"> </w:t>
      </w:r>
      <w:r w:rsidR="00A02381">
        <w:t>tierra</w:t>
      </w:r>
      <w:r>
        <w:t>, y así sucesivamente. Y aquí también en la etapa anterior ha</w:t>
      </w:r>
      <w:r w:rsidR="00B2617C">
        <w:t>brá</w:t>
      </w:r>
      <w:r>
        <w:t xml:space="preserve"> tres o cuatro impulsos de la esfera sensual asociados con </w:t>
      </w:r>
      <w:r w:rsidR="00B2617C">
        <w:t xml:space="preserve">la sensación de la </w:t>
      </w:r>
      <w:r>
        <w:t>ecu</w:t>
      </w:r>
      <w:r w:rsidR="00B2617C">
        <w:t>a</w:t>
      </w:r>
      <w:r>
        <w:t>nim</w:t>
      </w:r>
      <w:r w:rsidR="00B2617C">
        <w:t>idad</w:t>
      </w:r>
      <w:r>
        <w:t xml:space="preserve">, mientras que el cuarto o el quinto </w:t>
      </w:r>
      <w:r w:rsidR="002D51A3">
        <w:t>corresponderá</w:t>
      </w:r>
      <w:r w:rsidR="00B2617C">
        <w:t xml:space="preserve"> </w:t>
      </w:r>
      <w:r w:rsidR="002D51A3">
        <w:t>a</w:t>
      </w:r>
      <w:r>
        <w:t xml:space="preserve"> la esfera inmaterial. El resto </w:t>
      </w:r>
      <w:r w:rsidR="002D51A3">
        <w:t xml:space="preserve">será </w:t>
      </w:r>
      <w:r>
        <w:t xml:space="preserve">igual que en el caso del </w:t>
      </w:r>
      <w:proofErr w:type="spellStart"/>
      <w:r w:rsidR="00057BF4" w:rsidRPr="00057BF4">
        <w:rPr>
          <w:i/>
        </w:rPr>
        <w:t>kasiṇa</w:t>
      </w:r>
      <w:proofErr w:type="spellEnd"/>
      <w:r>
        <w:t xml:space="preserve"> </w:t>
      </w:r>
      <w:r w:rsidR="002D51A3">
        <w:t xml:space="preserve">tierra </w:t>
      </w:r>
      <w:r>
        <w:t>(IV.74).</w:t>
      </w:r>
    </w:p>
    <w:p w14:paraId="19737431" w14:textId="7A48ABD6" w:rsidR="00E543BE" w:rsidRDefault="00E543BE" w:rsidP="00E543BE">
      <w:r>
        <w:t xml:space="preserve">11. </w:t>
      </w:r>
      <w:r>
        <w:tab/>
        <w:t>Sin embargo, exist</w:t>
      </w:r>
      <w:r w:rsidR="002D51A3">
        <w:t>irá</w:t>
      </w:r>
      <w:r>
        <w:t xml:space="preserve"> esta diferencia. Cuando la con</w:t>
      </w:r>
      <w:r w:rsidR="002D51A3">
        <w:t>s</w:t>
      </w:r>
      <w:r>
        <w:t>ciencia de la esfera inmaterial ha</w:t>
      </w:r>
      <w:r w:rsidR="002D51A3">
        <w:t>ya</w:t>
      </w:r>
      <w:r>
        <w:t xml:space="preserve"> </w:t>
      </w:r>
      <w:r w:rsidR="00DE5FC3">
        <w:t xml:space="preserve">así </w:t>
      </w:r>
      <w:r>
        <w:t xml:space="preserve">surgido, el </w:t>
      </w:r>
      <w:proofErr w:type="spellStart"/>
      <w:r w:rsidR="00057BF4" w:rsidRPr="00057BF4">
        <w:rPr>
          <w:i/>
        </w:rPr>
        <w:t>bhikkhu</w:t>
      </w:r>
      <w:proofErr w:type="spellEnd"/>
      <w:r>
        <w:t xml:space="preserve">, que anteriormente había estado mirando el disco </w:t>
      </w:r>
      <w:proofErr w:type="spellStart"/>
      <w:r w:rsidR="00057BF4" w:rsidRPr="00057BF4">
        <w:rPr>
          <w:i/>
        </w:rPr>
        <w:t>kasiṇa</w:t>
      </w:r>
      <w:proofErr w:type="spellEnd"/>
      <w:r>
        <w:t xml:space="preserve"> con el ojo </w:t>
      </w:r>
      <w:r w:rsidR="002D51A3">
        <w:t xml:space="preserve">del </w:t>
      </w:r>
      <w:proofErr w:type="spellStart"/>
      <w:r w:rsidR="00057BF4" w:rsidRPr="00057BF4">
        <w:rPr>
          <w:i/>
        </w:rPr>
        <w:t>jhāna</w:t>
      </w:r>
      <w:proofErr w:type="spellEnd"/>
      <w:r>
        <w:t>, se enc</w:t>
      </w:r>
      <w:r w:rsidR="002D51A3">
        <w:t>o</w:t>
      </w:r>
      <w:r>
        <w:t>ntra</w:t>
      </w:r>
      <w:r w:rsidR="002D51A3">
        <w:t>rá</w:t>
      </w:r>
      <w:r>
        <w:t xml:space="preserve"> </w:t>
      </w:r>
      <w:r w:rsidR="002D51A3">
        <w:t xml:space="preserve">observando </w:t>
      </w:r>
      <w:r>
        <w:t xml:space="preserve">solo </w:t>
      </w:r>
      <w:r w:rsidR="00CB6D7B">
        <w:t>e</w:t>
      </w:r>
      <w:r>
        <w:t>l espacio después de que ese signo ha</w:t>
      </w:r>
      <w:r w:rsidR="00CB6D7B">
        <w:t>ya</w:t>
      </w:r>
      <w:r>
        <w:t xml:space="preserve"> sido eliminado abruptamente </w:t>
      </w:r>
      <w:r w:rsidR="009569C5">
        <w:t xml:space="preserve">mediante </w:t>
      </w:r>
      <w:r>
        <w:t>la atención prestada en el trabajo preliminar</w:t>
      </w:r>
      <w:r w:rsidR="00CB6D7B">
        <w:t xml:space="preserve"> </w:t>
      </w:r>
      <w:r w:rsidR="009569C5">
        <w:t>de</w:t>
      </w:r>
      <w:r>
        <w:t xml:space="preserve"> "espacio, espacio". </w:t>
      </w:r>
      <w:r w:rsidR="004C1A06">
        <w:t>Así</w:t>
      </w:r>
      <w:r>
        <w:t xml:space="preserve"> como un hombre que ha</w:t>
      </w:r>
      <w:r w:rsidR="004C1A06">
        <w:t>y</w:t>
      </w:r>
      <w:r w:rsidR="00B228D8">
        <w:t>a</w:t>
      </w:r>
      <w:r>
        <w:t xml:space="preserve"> tapado </w:t>
      </w:r>
      <w:r w:rsidR="00B228D8">
        <w:t>la</w:t>
      </w:r>
      <w:r>
        <w:t xml:space="preserve"> abertura </w:t>
      </w:r>
      <w:r w:rsidR="00B228D8">
        <w:t>de</w:t>
      </w:r>
      <w:r>
        <w:t xml:space="preserve"> un vehículo cubierto, un saco o una olla</w:t>
      </w:r>
      <w:r w:rsidRPr="00984CD1">
        <w:rPr>
          <w:vertAlign w:val="superscript"/>
        </w:rPr>
        <w:t>2</w:t>
      </w:r>
      <w:r>
        <w:t xml:space="preserve"> con un trapo azul o con un trapo de algún color como </w:t>
      </w:r>
      <w:r w:rsidR="00CA3119">
        <w:t xml:space="preserve">el </w:t>
      </w:r>
      <w:r>
        <w:t xml:space="preserve">amarillo, rojo o blanco y </w:t>
      </w:r>
      <w:r w:rsidR="00B228D8">
        <w:t xml:space="preserve">lo </w:t>
      </w:r>
      <w:r>
        <w:t>est</w:t>
      </w:r>
      <w:r w:rsidR="00CA3119">
        <w:t>é</w:t>
      </w:r>
      <w:r>
        <w:t xml:space="preserve"> mirando, y luego, el trapo </w:t>
      </w:r>
      <w:r w:rsidR="00CA3119">
        <w:t xml:space="preserve">fuese </w:t>
      </w:r>
      <w:r>
        <w:t xml:space="preserve">quitado por la fuerza del viento o por algún otro agente, </w:t>
      </w:r>
      <w:r w:rsidR="00B228D8">
        <w:t xml:space="preserve">así mismo </w:t>
      </w:r>
      <w:r>
        <w:t>se enc</w:t>
      </w:r>
      <w:r w:rsidR="00B228D8">
        <w:t>o</w:t>
      </w:r>
      <w:r>
        <w:t>ntra</w:t>
      </w:r>
      <w:r w:rsidR="00B228D8">
        <w:t>rá</w:t>
      </w:r>
      <w:r>
        <w:t xml:space="preserve"> </w:t>
      </w:r>
      <w:r w:rsidR="00B228D8">
        <w:t xml:space="preserve">observando </w:t>
      </w:r>
      <w:r w:rsidR="007F0F44">
        <w:t>e</w:t>
      </w:r>
      <w:r>
        <w:t>l espacio.</w:t>
      </w:r>
    </w:p>
    <w:p w14:paraId="543D09A1" w14:textId="77777777" w:rsidR="00CE76B5" w:rsidRDefault="00CE76B5" w:rsidP="00E543BE"/>
    <w:p w14:paraId="7D3D478D" w14:textId="0B5B8AE9" w:rsidR="00E543BE" w:rsidRDefault="00E543BE" w:rsidP="00E543BE">
      <w:pPr>
        <w:jc w:val="center"/>
      </w:pPr>
      <w:r>
        <w:t>[</w:t>
      </w:r>
      <w:r w:rsidRPr="00E543BE">
        <w:rPr>
          <w:i/>
          <w:iCs/>
        </w:rPr>
        <w:t>Texto y Comentario</w:t>
      </w:r>
      <w:r>
        <w:t>]</w:t>
      </w:r>
    </w:p>
    <w:p w14:paraId="32EEDE90" w14:textId="56C5C107" w:rsidR="00E543BE" w:rsidRDefault="00E543BE" w:rsidP="00E543BE">
      <w:r>
        <w:t>1</w:t>
      </w:r>
      <w:r w:rsidRPr="00984CD1">
        <w:t>2</w:t>
      </w:r>
      <w:r>
        <w:t xml:space="preserve">. </w:t>
      </w:r>
      <w:r>
        <w:tab/>
        <w:t>Y en este punto se dice: “</w:t>
      </w:r>
      <w:r w:rsidRPr="001A1FAB">
        <w:rPr>
          <w:i/>
          <w:iCs/>
        </w:rPr>
        <w:t>Con la completa superación (</w:t>
      </w:r>
      <w:proofErr w:type="spellStart"/>
      <w:r w:rsidRPr="001A1FAB">
        <w:rPr>
          <w:i/>
          <w:iCs/>
        </w:rPr>
        <w:t>samatikkamā</w:t>
      </w:r>
      <w:proofErr w:type="spellEnd"/>
      <w:r w:rsidRPr="001A1FAB">
        <w:rPr>
          <w:i/>
          <w:iCs/>
        </w:rPr>
        <w:t xml:space="preserve">) de las percepciones de </w:t>
      </w:r>
      <w:r w:rsidR="001A1FAB" w:rsidRPr="001A1FAB">
        <w:rPr>
          <w:i/>
          <w:iCs/>
        </w:rPr>
        <w:t xml:space="preserve">la </w:t>
      </w:r>
      <w:r w:rsidRPr="001A1FAB">
        <w:rPr>
          <w:i/>
          <w:iCs/>
        </w:rPr>
        <w:t xml:space="preserve">materia, con la desaparición de las percepciones de resistencia, con la no atención </w:t>
      </w:r>
      <w:r w:rsidR="009D20A5">
        <w:rPr>
          <w:i/>
          <w:iCs/>
        </w:rPr>
        <w:t>haci</w:t>
      </w:r>
      <w:r w:rsidRPr="001A1FAB">
        <w:rPr>
          <w:i/>
          <w:iCs/>
        </w:rPr>
        <w:t xml:space="preserve">a las percepciones de </w:t>
      </w:r>
      <w:r w:rsidR="001A1FAB" w:rsidRPr="001A1FAB">
        <w:rPr>
          <w:i/>
          <w:iCs/>
        </w:rPr>
        <w:t xml:space="preserve">la </w:t>
      </w:r>
      <w:r w:rsidRPr="001A1FAB">
        <w:rPr>
          <w:i/>
          <w:iCs/>
        </w:rPr>
        <w:t>variedad, consciente del 'espacio ilimitado', él entra</w:t>
      </w:r>
      <w:r w:rsidR="001A1FAB" w:rsidRPr="001A1FAB">
        <w:rPr>
          <w:i/>
          <w:iCs/>
        </w:rPr>
        <w:t>rá</w:t>
      </w:r>
      <w:r w:rsidRPr="001A1FAB">
        <w:rPr>
          <w:i/>
          <w:iCs/>
        </w:rPr>
        <w:t xml:space="preserve"> y </w:t>
      </w:r>
      <w:r w:rsidR="001A1FAB" w:rsidRPr="001A1FAB">
        <w:rPr>
          <w:i/>
          <w:iCs/>
        </w:rPr>
        <w:t xml:space="preserve">habitará </w:t>
      </w:r>
      <w:r w:rsidRPr="001A1FAB">
        <w:rPr>
          <w:i/>
          <w:iCs/>
        </w:rPr>
        <w:t>en la base consiste</w:t>
      </w:r>
      <w:r w:rsidR="001A1FAB" w:rsidRPr="001A1FAB">
        <w:rPr>
          <w:i/>
          <w:iCs/>
        </w:rPr>
        <w:t>nte</w:t>
      </w:r>
      <w:r w:rsidRPr="001A1FAB">
        <w:rPr>
          <w:i/>
          <w:iCs/>
        </w:rPr>
        <w:t xml:space="preserve"> </w:t>
      </w:r>
      <w:r w:rsidR="001A1FAB" w:rsidRPr="001A1FAB">
        <w:rPr>
          <w:i/>
          <w:iCs/>
        </w:rPr>
        <w:t>de</w:t>
      </w:r>
      <w:r w:rsidRPr="001A1FAB">
        <w:rPr>
          <w:i/>
          <w:iCs/>
        </w:rPr>
        <w:t xml:space="preserve"> un espacio ilimitado</w:t>
      </w:r>
      <w:r>
        <w:t>” (</w:t>
      </w:r>
      <w:proofErr w:type="spellStart"/>
      <w:r>
        <w:t>Vibh</w:t>
      </w:r>
      <w:proofErr w:type="spellEnd"/>
      <w:r>
        <w:t xml:space="preserve"> 245).</w:t>
      </w:r>
    </w:p>
    <w:p w14:paraId="10DD1B59" w14:textId="50A47384" w:rsidR="00E543BE" w:rsidRDefault="00E543BE" w:rsidP="00E543BE">
      <w:r>
        <w:t>1</w:t>
      </w:r>
      <w:r w:rsidRPr="00984CD1">
        <w:t>3</w:t>
      </w:r>
      <w:r>
        <w:t xml:space="preserve">. </w:t>
      </w:r>
      <w:r>
        <w:tab/>
        <w:t xml:space="preserve">Aquí, </w:t>
      </w:r>
      <w:r w:rsidRPr="001A1FAB">
        <w:rPr>
          <w:i/>
          <w:iCs/>
        </w:rPr>
        <w:t>complet</w:t>
      </w:r>
      <w:r w:rsidR="001A1FAB">
        <w:rPr>
          <w:i/>
          <w:iCs/>
        </w:rPr>
        <w:t>a</w:t>
      </w:r>
      <w:r>
        <w:t xml:space="preserve"> </w:t>
      </w:r>
      <w:r w:rsidR="001A1FAB">
        <w:t>significa</w:t>
      </w:r>
      <w:r>
        <w:t xml:space="preserve"> en todos los aspectos o todas </w:t>
      </w:r>
      <w:r w:rsidR="001B78E4">
        <w:t xml:space="preserve">las </w:t>
      </w:r>
      <w:r>
        <w:t xml:space="preserve">percepciones; </w:t>
      </w:r>
      <w:r w:rsidR="001B78E4">
        <w:t>el significado es</w:t>
      </w:r>
      <w:r w:rsidR="00C02110">
        <w:t>,</w:t>
      </w:r>
      <w:r w:rsidR="001B78E4">
        <w:t xml:space="preserve"> </w:t>
      </w:r>
      <w:r>
        <w:t xml:space="preserve">sin excepción. </w:t>
      </w:r>
      <w:r w:rsidRPr="00984CD1">
        <w:rPr>
          <w:i/>
          <w:iCs/>
        </w:rPr>
        <w:t>De las percepciones de la materia</w:t>
      </w:r>
      <w:r>
        <w:t>: tanto (a) de l</w:t>
      </w:r>
      <w:r w:rsidR="00C02110">
        <w:t>o</w:t>
      </w:r>
      <w:r>
        <w:t xml:space="preserve">s </w:t>
      </w:r>
      <w:proofErr w:type="spellStart"/>
      <w:r w:rsidR="00057BF4" w:rsidRPr="00057BF4">
        <w:rPr>
          <w:i/>
        </w:rPr>
        <w:t>jhāna</w:t>
      </w:r>
      <w:r>
        <w:t>s</w:t>
      </w:r>
      <w:proofErr w:type="spellEnd"/>
      <w:r>
        <w:t xml:space="preserve"> de la materia </w:t>
      </w:r>
      <w:r w:rsidR="00C02110">
        <w:t>sutil</w:t>
      </w:r>
      <w:r>
        <w:t xml:space="preserve"> mencionad</w:t>
      </w:r>
      <w:r w:rsidR="00C02110">
        <w:t>o</w:t>
      </w:r>
      <w:r>
        <w:t xml:space="preserve">s aquí bajo el título de “percepción”, como (b) de aquellas cosas que son su objeto. </w:t>
      </w:r>
      <w:r w:rsidR="00C02110">
        <w:t xml:space="preserve">Ya </w:t>
      </w:r>
      <w:r>
        <w:t xml:space="preserve">que (a) </w:t>
      </w:r>
      <w:r w:rsidR="00C02110">
        <w:t>a</w:t>
      </w:r>
      <w:r>
        <w:t xml:space="preserve">l </w:t>
      </w:r>
      <w:proofErr w:type="spellStart"/>
      <w:r w:rsidR="00057BF4" w:rsidRPr="00057BF4">
        <w:rPr>
          <w:i/>
        </w:rPr>
        <w:t>jhāna</w:t>
      </w:r>
      <w:proofErr w:type="spellEnd"/>
      <w:r>
        <w:t xml:space="preserve"> de la esfera de la materia </w:t>
      </w:r>
      <w:r w:rsidR="00C02110">
        <w:t xml:space="preserve">sutil </w:t>
      </w:r>
      <w:r>
        <w:t xml:space="preserve">se </w:t>
      </w:r>
      <w:r w:rsidR="00C02110">
        <w:t xml:space="preserve">le </w:t>
      </w:r>
      <w:r>
        <w:t xml:space="preserve">llama “materia” en pasajes tales como “Poseído de materia visible </w:t>
      </w:r>
      <w:r w:rsidR="00082CD8">
        <w:t xml:space="preserve">observa las </w:t>
      </w:r>
      <w:r>
        <w:t xml:space="preserve">instancias de </w:t>
      </w:r>
      <w:r w:rsidR="00082CD8">
        <w:t xml:space="preserve">la </w:t>
      </w:r>
      <w:r>
        <w:t xml:space="preserve">materia” (D II 70; M II 12), y (b) </w:t>
      </w:r>
      <w:r w:rsidR="007C1DB2">
        <w:t xml:space="preserve">también </w:t>
      </w:r>
      <w:r w:rsidR="00B02C0E">
        <w:t xml:space="preserve">porque </w:t>
      </w:r>
      <w:r w:rsidR="007C1DB2">
        <w:t xml:space="preserve">éste </w:t>
      </w:r>
      <w:r w:rsidR="005821E3">
        <w:t>es</w:t>
      </w:r>
      <w:r w:rsidR="00174E11">
        <w:t xml:space="preserve"> </w:t>
      </w:r>
      <w:r>
        <w:t>su objeto llama</w:t>
      </w:r>
      <w:r w:rsidR="00B02C0E">
        <w:t>do</w:t>
      </w:r>
      <w:r>
        <w:t xml:space="preserve"> “materia” en pasajes tales como “Él </w:t>
      </w:r>
      <w:r w:rsidR="00082CD8">
        <w:t>observa las</w:t>
      </w:r>
      <w:r>
        <w:t xml:space="preserve"> instancias de </w:t>
      </w:r>
      <w:r w:rsidR="00082CD8">
        <w:t xml:space="preserve">la </w:t>
      </w:r>
      <w:r>
        <w:t>materia visible externamente… hermosas y feas” (D II 110; M II 13).</w:t>
      </w:r>
      <w:r w:rsidRPr="00984CD1">
        <w:rPr>
          <w:vertAlign w:val="superscript"/>
        </w:rPr>
        <w:t>3</w:t>
      </w:r>
      <w:r>
        <w:t xml:space="preserve"> En consecuencia, aquí las palabras “percepción de la materia” (</w:t>
      </w:r>
      <w:r w:rsidR="00057BF4" w:rsidRPr="00057BF4">
        <w:rPr>
          <w:i/>
          <w:iCs/>
        </w:rPr>
        <w:t>rūpa</w:t>
      </w:r>
      <w:r>
        <w:t xml:space="preserve">- </w:t>
      </w:r>
      <w:proofErr w:type="spellStart"/>
      <w:r w:rsidR="00057BF4" w:rsidRPr="00057BF4">
        <w:rPr>
          <w:i/>
          <w:iCs/>
        </w:rPr>
        <w:t>saññā</w:t>
      </w:r>
      <w:proofErr w:type="spellEnd"/>
      <w:r>
        <w:t xml:space="preserve">—literalmente, “percepciones de la materia”), en el sentido de “percepciones </w:t>
      </w:r>
      <w:r w:rsidR="00B02C0E">
        <w:t>respecto a</w:t>
      </w:r>
      <w:r>
        <w:t xml:space="preserve"> la materia”, se usan (a) para </w:t>
      </w:r>
      <w:r w:rsidR="00082CD8">
        <w:t xml:space="preserve">el </w:t>
      </w:r>
      <w:proofErr w:type="spellStart"/>
      <w:r w:rsidR="00057BF4" w:rsidRPr="00057BF4">
        <w:rPr>
          <w:i/>
        </w:rPr>
        <w:t>jhāna</w:t>
      </w:r>
      <w:proofErr w:type="spellEnd"/>
      <w:r>
        <w:t xml:space="preserve"> de la materia </w:t>
      </w:r>
      <w:r w:rsidR="00082CD8">
        <w:t xml:space="preserve">sutil </w:t>
      </w:r>
      <w:r>
        <w:t xml:space="preserve">expresado así bajo los títulos de “percepciones”. </w:t>
      </w:r>
      <w:r w:rsidR="00B02C0E">
        <w:t>Y t</w:t>
      </w:r>
      <w:r>
        <w:t>ambién (b) tiene la etiqueta (</w:t>
      </w:r>
      <w:proofErr w:type="spellStart"/>
      <w:r w:rsidR="00057BF4" w:rsidRPr="00057BF4">
        <w:rPr>
          <w:i/>
          <w:iCs/>
        </w:rPr>
        <w:t>saññā</w:t>
      </w:r>
      <w:proofErr w:type="spellEnd"/>
      <w:r>
        <w:t xml:space="preserve">) </w:t>
      </w:r>
      <w:r w:rsidR="00082CD8">
        <w:t xml:space="preserve">de </w:t>
      </w:r>
      <w:r>
        <w:t>“materia” (</w:t>
      </w:r>
      <w:r w:rsidR="00057BF4" w:rsidRPr="00057BF4">
        <w:rPr>
          <w:i/>
          <w:iCs/>
        </w:rPr>
        <w:t>rūpa</w:t>
      </w:r>
      <w:r>
        <w:t xml:space="preserve">), por lo que (el objeto del </w:t>
      </w:r>
      <w:proofErr w:type="spellStart"/>
      <w:r w:rsidR="00057BF4" w:rsidRPr="00057BF4">
        <w:rPr>
          <w:i/>
        </w:rPr>
        <w:t>jhāna</w:t>
      </w:r>
      <w:proofErr w:type="spellEnd"/>
      <w:r>
        <w:t xml:space="preserve">) es </w:t>
      </w:r>
      <w:r w:rsidR="008066DD">
        <w:t xml:space="preserve">una </w:t>
      </w:r>
      <w:r>
        <w:t>“materia etiquetada” (</w:t>
      </w:r>
      <w:r w:rsidR="00057BF4" w:rsidRPr="00057BF4">
        <w:rPr>
          <w:i/>
          <w:iCs/>
        </w:rPr>
        <w:t>rūpa</w:t>
      </w:r>
      <w:r w:rsidRPr="00984CD1">
        <w:rPr>
          <w:i/>
          <w:iCs/>
        </w:rPr>
        <w:t>-</w:t>
      </w:r>
      <w:proofErr w:type="spellStart"/>
      <w:r w:rsidR="00057BF4" w:rsidRPr="00057BF4">
        <w:rPr>
          <w:i/>
          <w:iCs/>
        </w:rPr>
        <w:t>saññā</w:t>
      </w:r>
      <w:proofErr w:type="spellEnd"/>
      <w:r>
        <w:t xml:space="preserve">); lo que se quiere decir es que </w:t>
      </w:r>
      <w:r w:rsidR="008066DD">
        <w:t xml:space="preserve">la </w:t>
      </w:r>
      <w:r>
        <w:t xml:space="preserve">“materia” es su nombre. Así que debe entenderse que </w:t>
      </w:r>
      <w:r w:rsidR="0036433F">
        <w:t>é</w:t>
      </w:r>
      <w:r>
        <w:t>ste también es un término para (b) lo que se clasifi</w:t>
      </w:r>
      <w:r w:rsidR="008066DD">
        <w:t>que</w:t>
      </w:r>
      <w:r>
        <w:t xml:space="preserve"> como </w:t>
      </w:r>
      <w:proofErr w:type="spellStart"/>
      <w:r w:rsidR="00057BF4" w:rsidRPr="00057BF4">
        <w:rPr>
          <w:i/>
        </w:rPr>
        <w:t>kasiṇa</w:t>
      </w:r>
      <w:proofErr w:type="spellEnd"/>
      <w:r w:rsidR="008066DD">
        <w:rPr>
          <w:i/>
        </w:rPr>
        <w:t xml:space="preserve"> </w:t>
      </w:r>
      <w:r w:rsidR="008066DD">
        <w:rPr>
          <w:iCs/>
        </w:rPr>
        <w:t>tierra</w:t>
      </w:r>
      <w:r>
        <w:t xml:space="preserve">, etc., que es el objeto de </w:t>
      </w:r>
      <w:r w:rsidR="00E30A38">
        <w:t xml:space="preserve">aquel </w:t>
      </w:r>
      <w:r w:rsidR="00057BF4" w:rsidRPr="00057BF4">
        <w:rPr>
          <w:i/>
        </w:rPr>
        <w:t>jhāna</w:t>
      </w:r>
      <w:r>
        <w:t>.</w:t>
      </w:r>
      <w:r w:rsidRPr="00984CD1">
        <w:rPr>
          <w:vertAlign w:val="superscript"/>
        </w:rPr>
        <w:t>4</w:t>
      </w:r>
      <w:r>
        <w:t xml:space="preserve"> [329]</w:t>
      </w:r>
    </w:p>
    <w:p w14:paraId="2E6EC991" w14:textId="77777777" w:rsidR="00E543BE" w:rsidRDefault="00E543BE" w:rsidP="00E543BE"/>
    <w:p w14:paraId="2D4A3B80" w14:textId="77777777" w:rsidR="00E543BE" w:rsidRDefault="00E543BE" w:rsidP="00E543BE">
      <w:pPr>
        <w:pStyle w:val="PiedepginaLegal"/>
        <w:rPr>
          <w:u w:val="single"/>
        </w:rPr>
      </w:pPr>
      <w:r>
        <w:rPr>
          <w:u w:val="single"/>
        </w:rPr>
        <w:tab/>
      </w:r>
      <w:r>
        <w:rPr>
          <w:u w:val="single"/>
        </w:rPr>
        <w:tab/>
      </w:r>
      <w:r>
        <w:rPr>
          <w:u w:val="single"/>
        </w:rPr>
        <w:tab/>
      </w:r>
      <w:r>
        <w:rPr>
          <w:u w:val="single"/>
        </w:rPr>
        <w:tab/>
      </w:r>
    </w:p>
    <w:p w14:paraId="71CADFFF" w14:textId="1B7951B5" w:rsidR="00E543BE" w:rsidRDefault="00E543BE" w:rsidP="00E543BE">
      <w:pPr>
        <w:pStyle w:val="PiedepginaLegal"/>
      </w:pPr>
      <w:r>
        <w:t xml:space="preserve">2. </w:t>
      </w:r>
      <w:r>
        <w:tab/>
      </w:r>
      <w:r w:rsidR="0063653B">
        <w:t xml:space="preserve">En el </w:t>
      </w:r>
      <w:r>
        <w:t xml:space="preserve">PED, esta ref. </w:t>
      </w:r>
      <w:r w:rsidR="0063653B">
        <w:t xml:space="preserve">se </w:t>
      </w:r>
      <w:r>
        <w:t xml:space="preserve">lee </w:t>
      </w:r>
      <w:proofErr w:type="spellStart"/>
      <w:r w:rsidRPr="00984CD1">
        <w:rPr>
          <w:i/>
          <w:iCs/>
        </w:rPr>
        <w:t>yānapuosā</w:t>
      </w:r>
      <w:proofErr w:type="spellEnd"/>
      <w:r>
        <w:t xml:space="preserve"> para </w:t>
      </w:r>
      <w:proofErr w:type="spellStart"/>
      <w:r w:rsidRPr="00984CD1">
        <w:rPr>
          <w:i/>
          <w:iCs/>
        </w:rPr>
        <w:t>yānapatoḷi</w:t>
      </w:r>
      <w:proofErr w:type="spellEnd"/>
      <w:r>
        <w:t xml:space="preserve">, </w:t>
      </w:r>
      <w:r w:rsidR="0063653B">
        <w:t>adoptándolo</w:t>
      </w:r>
      <w:r>
        <w:t xml:space="preserve"> como un compuesto (ver</w:t>
      </w:r>
      <w:r w:rsidR="00B97762">
        <w:t>lo</w:t>
      </w:r>
      <w:r>
        <w:t xml:space="preserve"> bajo </w:t>
      </w:r>
      <w:proofErr w:type="spellStart"/>
      <w:r w:rsidRPr="00984CD1">
        <w:rPr>
          <w:i/>
          <w:iCs/>
        </w:rPr>
        <w:t>yāna</w:t>
      </w:r>
      <w:proofErr w:type="spellEnd"/>
      <w:r>
        <w:t xml:space="preserve"> y </w:t>
      </w:r>
      <w:proofErr w:type="spellStart"/>
      <w:r w:rsidRPr="00984CD1">
        <w:rPr>
          <w:i/>
          <w:iCs/>
        </w:rPr>
        <w:t>utoḷī</w:t>
      </w:r>
      <w:proofErr w:type="spellEnd"/>
      <w:r w:rsidR="00C814A3" w:rsidRPr="00C814A3">
        <w:t>)</w:t>
      </w:r>
      <w:r>
        <w:t xml:space="preserve">, pero esto no encaja </w:t>
      </w:r>
      <w:r w:rsidR="00AB1413">
        <w:t>satisfactoriamente</w:t>
      </w:r>
      <w:r>
        <w:t xml:space="preserve"> en el contexto. </w:t>
      </w:r>
      <w:r w:rsidR="00763966">
        <w:t xml:space="preserve">El </w:t>
      </w:r>
      <w:proofErr w:type="spellStart"/>
      <w:r>
        <w:t>Vism-mhṭ</w:t>
      </w:r>
      <w:proofErr w:type="spellEnd"/>
      <w:r>
        <w:t xml:space="preserve"> (p. 321) </w:t>
      </w:r>
      <w:r w:rsidR="00763966">
        <w:t>señala</w:t>
      </w:r>
      <w:r>
        <w:t xml:space="preserve">: </w:t>
      </w:r>
      <w:r w:rsidRPr="00984CD1">
        <w:rPr>
          <w:i/>
          <w:iCs/>
        </w:rPr>
        <w:t>'</w:t>
      </w:r>
      <w:proofErr w:type="spellStart"/>
      <w:r w:rsidRPr="00984CD1">
        <w:rPr>
          <w:i/>
          <w:iCs/>
        </w:rPr>
        <w:t>Yānappatoḷikumbhimukhādīnan</w:t>
      </w:r>
      <w:proofErr w:type="spellEnd"/>
      <w:r w:rsidRPr="00984CD1">
        <w:rPr>
          <w:i/>
          <w:iCs/>
        </w:rPr>
        <w:t xml:space="preserve">' ti </w:t>
      </w:r>
      <w:proofErr w:type="spellStart"/>
      <w:r w:rsidRPr="00984CD1">
        <w:rPr>
          <w:i/>
          <w:iCs/>
        </w:rPr>
        <w:t>oguṇṭhana-sivikādi-yānaṃ</w:t>
      </w:r>
      <w:proofErr w:type="spellEnd"/>
      <w:r w:rsidRPr="00984CD1">
        <w:rPr>
          <w:i/>
          <w:iCs/>
        </w:rPr>
        <w:t xml:space="preserve"> </w:t>
      </w:r>
      <w:proofErr w:type="spellStart"/>
      <w:r w:rsidRPr="00984CD1">
        <w:rPr>
          <w:i/>
          <w:iCs/>
        </w:rPr>
        <w:t>mukhaṃ</w:t>
      </w:r>
      <w:proofErr w:type="spellEnd"/>
      <w:r w:rsidRPr="00984CD1">
        <w:rPr>
          <w:i/>
          <w:iCs/>
        </w:rPr>
        <w:t xml:space="preserve"> = </w:t>
      </w:r>
      <w:proofErr w:type="spellStart"/>
      <w:r w:rsidRPr="00984CD1">
        <w:rPr>
          <w:i/>
          <w:iCs/>
        </w:rPr>
        <w:t>yāna-mukhaṃ</w:t>
      </w:r>
      <w:proofErr w:type="spellEnd"/>
      <w:r w:rsidRPr="00984CD1">
        <w:rPr>
          <w:i/>
          <w:iCs/>
        </w:rPr>
        <w:t xml:space="preserve">; </w:t>
      </w:r>
      <w:proofErr w:type="spellStart"/>
      <w:r w:rsidRPr="00984CD1">
        <w:rPr>
          <w:i/>
          <w:iCs/>
        </w:rPr>
        <w:t>patoḷiyā</w:t>
      </w:r>
      <w:proofErr w:type="spellEnd"/>
      <w:r w:rsidRPr="00984CD1">
        <w:rPr>
          <w:i/>
          <w:iCs/>
        </w:rPr>
        <w:t xml:space="preserve"> </w:t>
      </w:r>
      <w:proofErr w:type="spellStart"/>
      <w:r w:rsidRPr="00984CD1">
        <w:rPr>
          <w:i/>
          <w:iCs/>
        </w:rPr>
        <w:t>kuddakadvārassa</w:t>
      </w:r>
      <w:proofErr w:type="spellEnd"/>
      <w:r w:rsidRPr="00984CD1">
        <w:rPr>
          <w:i/>
          <w:iCs/>
        </w:rPr>
        <w:t xml:space="preserve"> </w:t>
      </w:r>
      <w:proofErr w:type="spellStart"/>
      <w:r w:rsidRPr="00984CD1">
        <w:rPr>
          <w:i/>
          <w:iCs/>
        </w:rPr>
        <w:t>mukhaṃ</w:t>
      </w:r>
      <w:proofErr w:type="spellEnd"/>
      <w:r w:rsidRPr="00984CD1">
        <w:rPr>
          <w:i/>
          <w:iCs/>
        </w:rPr>
        <w:t xml:space="preserve"> = </w:t>
      </w:r>
      <w:proofErr w:type="spellStart"/>
      <w:r w:rsidRPr="00984CD1">
        <w:rPr>
          <w:i/>
          <w:iCs/>
        </w:rPr>
        <w:t>patoḷi-mukhaṃ</w:t>
      </w:r>
      <w:proofErr w:type="spellEnd"/>
      <w:r w:rsidRPr="00984CD1">
        <w:rPr>
          <w:i/>
          <w:iCs/>
        </w:rPr>
        <w:t xml:space="preserve">; </w:t>
      </w:r>
      <w:proofErr w:type="spellStart"/>
      <w:r w:rsidRPr="00984CD1">
        <w:rPr>
          <w:i/>
          <w:iCs/>
        </w:rPr>
        <w:t>kumbhi-mukhan</w:t>
      </w:r>
      <w:proofErr w:type="spellEnd"/>
      <w:r w:rsidRPr="00984CD1">
        <w:rPr>
          <w:i/>
          <w:iCs/>
        </w:rPr>
        <w:t xml:space="preserve"> ti </w:t>
      </w:r>
      <w:proofErr w:type="spellStart"/>
      <w:r w:rsidRPr="00984CD1">
        <w:rPr>
          <w:i/>
          <w:iCs/>
        </w:rPr>
        <w:t>paccekaṃ</w:t>
      </w:r>
      <w:proofErr w:type="spellEnd"/>
      <w:r w:rsidRPr="00984CD1">
        <w:rPr>
          <w:i/>
          <w:iCs/>
        </w:rPr>
        <w:t xml:space="preserve"> </w:t>
      </w:r>
      <w:proofErr w:type="spellStart"/>
      <w:r w:rsidRPr="00984CD1">
        <w:rPr>
          <w:i/>
          <w:iCs/>
        </w:rPr>
        <w:t>mukhasaddo</w:t>
      </w:r>
      <w:proofErr w:type="spellEnd"/>
      <w:r w:rsidRPr="00984CD1">
        <w:rPr>
          <w:i/>
          <w:iCs/>
        </w:rPr>
        <w:t xml:space="preserve"> </w:t>
      </w:r>
      <w:proofErr w:type="spellStart"/>
      <w:r w:rsidRPr="00984CD1">
        <w:rPr>
          <w:i/>
          <w:iCs/>
        </w:rPr>
        <w:t>sambandhitabbo</w:t>
      </w:r>
      <w:proofErr w:type="spellEnd"/>
      <w:r>
        <w:t xml:space="preserve">.” Esto requiere </w:t>
      </w:r>
      <w:r w:rsidR="00763966">
        <w:t>que se t</w:t>
      </w:r>
      <w:r>
        <w:t>om</w:t>
      </w:r>
      <w:r w:rsidR="00763966">
        <w:t>e</w:t>
      </w:r>
      <w:r>
        <w:t xml:space="preserve"> </w:t>
      </w:r>
      <w:r w:rsidR="00763966">
        <w:t xml:space="preserve">a </w:t>
      </w:r>
      <w:proofErr w:type="spellStart"/>
      <w:r w:rsidRPr="00984CD1">
        <w:rPr>
          <w:i/>
          <w:iCs/>
        </w:rPr>
        <w:t>yāna</w:t>
      </w:r>
      <w:proofErr w:type="spellEnd"/>
      <w:r>
        <w:t xml:space="preserve"> por separado.</w:t>
      </w:r>
    </w:p>
    <w:p w14:paraId="0F002BD5" w14:textId="3438E812" w:rsidR="00E543BE" w:rsidRDefault="00E543BE" w:rsidP="00E543BE">
      <w:pPr>
        <w:pStyle w:val="PiedepginaLegal"/>
      </w:pPr>
      <w:r>
        <w:t xml:space="preserve">3. </w:t>
      </w:r>
      <w:r>
        <w:tab/>
        <w:t xml:space="preserve">Estas dos citas se refieren respectivamente a la primera de las </w:t>
      </w:r>
      <w:r w:rsidR="00CF48F8">
        <w:t>8</w:t>
      </w:r>
      <w:r>
        <w:t xml:space="preserve"> liberaciones y </w:t>
      </w:r>
      <w:r w:rsidR="00763966">
        <w:t xml:space="preserve">a </w:t>
      </w:r>
      <w:r>
        <w:t>la primera de las ocho bases del dominio (Ver M-a III 255ff.).</w:t>
      </w:r>
    </w:p>
    <w:p w14:paraId="4A8C5B1A" w14:textId="2CDE567D" w:rsidR="00B31758" w:rsidRDefault="00E543BE" w:rsidP="00E543BE">
      <w:pPr>
        <w:pStyle w:val="PiedepginaLegal"/>
      </w:pPr>
      <w:r>
        <w:t xml:space="preserve">4. </w:t>
      </w:r>
      <w:r>
        <w:tab/>
        <w:t xml:space="preserve">Esta explicación depende de un juego </w:t>
      </w:r>
      <w:r w:rsidR="00250223">
        <w:t>de</w:t>
      </w:r>
      <w:r>
        <w:t xml:space="preserve"> palabra</w:t>
      </w:r>
      <w:r w:rsidR="00250223">
        <w:t>s</w:t>
      </w:r>
      <w:r>
        <w:t xml:space="preserve"> </w:t>
      </w:r>
      <w:r w:rsidR="00250223">
        <w:t xml:space="preserve">sobre </w:t>
      </w:r>
      <w:proofErr w:type="spellStart"/>
      <w:r w:rsidR="00057BF4" w:rsidRPr="00057BF4">
        <w:rPr>
          <w:i/>
          <w:iCs/>
        </w:rPr>
        <w:t>saññā</w:t>
      </w:r>
      <w:proofErr w:type="spellEnd"/>
      <w:r>
        <w:t xml:space="preserve"> como percepción [subjetiva] y como signo, señal o etiqueta objetiva</w:t>
      </w:r>
      <w:r w:rsidR="00A7685F">
        <w:t xml:space="preserve"> y</w:t>
      </w:r>
      <w:r>
        <w:t xml:space="preserve"> percibida.</w:t>
      </w:r>
    </w:p>
    <w:p w14:paraId="0BE4D602" w14:textId="34BD73D4" w:rsidR="0081465D" w:rsidRDefault="0081465D">
      <w:pPr>
        <w:tabs>
          <w:tab w:val="clear" w:pos="425"/>
        </w:tabs>
        <w:spacing w:after="160"/>
      </w:pPr>
      <w:r>
        <w:br w:type="page"/>
      </w:r>
    </w:p>
    <w:p w14:paraId="63114A6E" w14:textId="61A0FDFB" w:rsidR="008D7A11" w:rsidRDefault="00F946B4" w:rsidP="0081465D">
      <w:r>
        <w:lastRenderedPageBreak/>
        <w:br/>
      </w:r>
    </w:p>
    <w:p w14:paraId="4226ECA6" w14:textId="0B3A0206" w:rsidR="00F946B4" w:rsidRDefault="00F946B4" w:rsidP="00F946B4">
      <w:r>
        <w:t xml:space="preserve">14. </w:t>
      </w:r>
      <w:r>
        <w:tab/>
      </w:r>
      <w:r w:rsidRPr="00984CD1">
        <w:rPr>
          <w:i/>
          <w:iCs/>
        </w:rPr>
        <w:t>Con la superación</w:t>
      </w:r>
      <w:r>
        <w:t>: con el desvanecimiento y la cesación. ¿Qué significa</w:t>
      </w:r>
      <w:r w:rsidR="001A3379">
        <w:t xml:space="preserve"> ello</w:t>
      </w:r>
      <w:r>
        <w:t xml:space="preserve">? Con el desvanecimiento y </w:t>
      </w:r>
      <w:r w:rsidR="00AE32FE">
        <w:t>l</w:t>
      </w:r>
      <w:r w:rsidR="001A3379">
        <w:t xml:space="preserve">a </w:t>
      </w:r>
      <w:r>
        <w:t>ce</w:t>
      </w:r>
      <w:r w:rsidR="001D3A79">
        <w:t>sación</w:t>
      </w:r>
      <w:r>
        <w:t xml:space="preserve">, </w:t>
      </w:r>
      <w:r w:rsidR="00A46F6D">
        <w:t xml:space="preserve">se refiere </w:t>
      </w:r>
      <w:r>
        <w:t xml:space="preserve">tanto </w:t>
      </w:r>
      <w:r w:rsidR="00A46F6D">
        <w:t>a</w:t>
      </w:r>
      <w:r>
        <w:t xml:space="preserve">l desvanecimiento como </w:t>
      </w:r>
      <w:r w:rsidR="00A46F6D">
        <w:t xml:space="preserve">a </w:t>
      </w:r>
      <w:r>
        <w:t>l</w:t>
      </w:r>
      <w:r w:rsidR="00AE32FE">
        <w:t>a</w:t>
      </w:r>
      <w:r>
        <w:t xml:space="preserve"> ces</w:t>
      </w:r>
      <w:r w:rsidR="00AE32FE">
        <w:t>ación</w:t>
      </w:r>
      <w:r>
        <w:t xml:space="preserve">, ya sea en todos los aspectos o sin excepción, de estas percepciones de la materia, consideradas como </w:t>
      </w:r>
      <w:proofErr w:type="spellStart"/>
      <w:r w:rsidR="00057BF4" w:rsidRPr="00057BF4">
        <w:rPr>
          <w:i/>
        </w:rPr>
        <w:t>jhāna</w:t>
      </w:r>
      <w:proofErr w:type="spellEnd"/>
      <w:r>
        <w:t xml:space="preserve">, </w:t>
      </w:r>
      <w:r w:rsidR="001932AB">
        <w:t>las cuales</w:t>
      </w:r>
      <w:r>
        <w:t xml:space="preserve"> suman quince</w:t>
      </w:r>
      <w:r w:rsidR="006C0C66">
        <w:t>,</w:t>
      </w:r>
      <w:r>
        <w:t xml:space="preserve"> cinco de cada un</w:t>
      </w:r>
      <w:r w:rsidR="00DA0BD9">
        <w:t>a</w:t>
      </w:r>
      <w:r>
        <w:t xml:space="preserve"> de l</w:t>
      </w:r>
      <w:r w:rsidR="00DA0BD9">
        <w:t>a</w:t>
      </w:r>
      <w:r>
        <w:t>s</w:t>
      </w:r>
      <w:r w:rsidR="00DA0BD9">
        <w:t xml:space="preserve"> </w:t>
      </w:r>
      <w:proofErr w:type="spellStart"/>
      <w:r w:rsidR="003C14A5">
        <w:t>produuctivas</w:t>
      </w:r>
      <w:proofErr w:type="spellEnd"/>
      <w:r>
        <w:t>, resultante</w:t>
      </w:r>
      <w:r w:rsidR="00BF4B31">
        <w:t>s</w:t>
      </w:r>
      <w:r>
        <w:t xml:space="preserve"> y funcional</w:t>
      </w:r>
      <w:r w:rsidR="00BF4B31">
        <w:t>es</w:t>
      </w:r>
      <w:r>
        <w:t>,</w:t>
      </w:r>
      <w:r w:rsidRPr="00984CD1">
        <w:rPr>
          <w:vertAlign w:val="superscript"/>
        </w:rPr>
        <w:t>5</w:t>
      </w:r>
      <w:r>
        <w:t xml:space="preserve"> y también de </w:t>
      </w:r>
      <w:r w:rsidR="00BF4B31">
        <w:t xml:space="preserve">aquellas </w:t>
      </w:r>
      <w:r>
        <w:t xml:space="preserve">cosas etiquetadas como materia, contadas como objetos de esas percepciones, que son nueve con </w:t>
      </w:r>
      <w:r w:rsidR="00BF4B31">
        <w:t xml:space="preserve">el </w:t>
      </w:r>
      <w:proofErr w:type="spellStart"/>
      <w:r w:rsidR="00057BF4" w:rsidRPr="00057BF4">
        <w:rPr>
          <w:i/>
        </w:rPr>
        <w:t>kasiṇa</w:t>
      </w:r>
      <w:proofErr w:type="spellEnd"/>
      <w:r w:rsidR="00BF4B31">
        <w:rPr>
          <w:i/>
        </w:rPr>
        <w:t xml:space="preserve"> </w:t>
      </w:r>
      <w:r w:rsidR="00BF4B31">
        <w:rPr>
          <w:iCs/>
        </w:rPr>
        <w:t>tierra</w:t>
      </w:r>
      <w:r>
        <w:t xml:space="preserve">, etc., (§1) él entra y </w:t>
      </w:r>
      <w:r w:rsidR="00BF4B31">
        <w:t>habita</w:t>
      </w:r>
      <w:r>
        <w:t xml:space="preserve"> en la base consiste</w:t>
      </w:r>
      <w:r w:rsidR="002E3A07">
        <w:t>nte</w:t>
      </w:r>
      <w:r>
        <w:t xml:space="preserve"> </w:t>
      </w:r>
      <w:r w:rsidR="002E3A07">
        <w:t>del</w:t>
      </w:r>
      <w:r>
        <w:t xml:space="preserve"> espacio</w:t>
      </w:r>
      <w:r w:rsidR="002E3A07" w:rsidRPr="002E3A07">
        <w:t xml:space="preserve"> </w:t>
      </w:r>
      <w:r w:rsidR="002E3A07">
        <w:t>ilimitado</w:t>
      </w:r>
      <w:r>
        <w:t xml:space="preserve">. Porque no </w:t>
      </w:r>
      <w:r w:rsidR="002E3A07">
        <w:t xml:space="preserve">podrá </w:t>
      </w:r>
      <w:r>
        <w:t xml:space="preserve">entrar y </w:t>
      </w:r>
      <w:r w:rsidR="002E3A07">
        <w:t xml:space="preserve">habitar </w:t>
      </w:r>
      <w:r>
        <w:t>en e</w:t>
      </w:r>
      <w:r w:rsidR="002E3A07">
        <w:t>ll</w:t>
      </w:r>
      <w:r>
        <w:t>o sin superar por completo las percepciones de la materia.</w:t>
      </w:r>
    </w:p>
    <w:p w14:paraId="6A517AA3" w14:textId="03F9995B" w:rsidR="00F946B4" w:rsidRDefault="00F946B4" w:rsidP="00F946B4">
      <w:r>
        <w:t xml:space="preserve">15. </w:t>
      </w:r>
      <w:r>
        <w:tab/>
        <w:t>Aquí, no ha</w:t>
      </w:r>
      <w:r w:rsidR="00A23DF3">
        <w:t>brá</w:t>
      </w:r>
      <w:r>
        <w:t xml:space="preserve"> superación de estas percepciones en alguien cuya codicia por el objeto </w:t>
      </w:r>
      <w:r w:rsidR="00AD5E51">
        <w:t>hacia</w:t>
      </w:r>
      <w:r>
        <w:t xml:space="preserve"> esas percepciones no se ha</w:t>
      </w:r>
      <w:r w:rsidR="00A23DF3">
        <w:t>ya</w:t>
      </w:r>
      <w:r>
        <w:t xml:space="preserve"> desvanecido; y</w:t>
      </w:r>
      <w:r w:rsidR="00A55E9A">
        <w:t>a que</w:t>
      </w:r>
      <w:r>
        <w:t xml:space="preserve"> cuando se ha</w:t>
      </w:r>
      <w:r w:rsidR="00A55E9A">
        <w:t>ya</w:t>
      </w:r>
      <w:r>
        <w:t>n superado las percepciones, se ha</w:t>
      </w:r>
      <w:r w:rsidR="00A55E9A">
        <w:t>brá</w:t>
      </w:r>
      <w:r>
        <w:t xml:space="preserve">n superado también sus objetos. Es por eso </w:t>
      </w:r>
      <w:proofErr w:type="gramStart"/>
      <w:r>
        <w:t>que</w:t>
      </w:r>
      <w:proofErr w:type="gramEnd"/>
      <w:r w:rsidR="00AD5E51">
        <w:t>,</w:t>
      </w:r>
      <w:r>
        <w:t xml:space="preserve"> en el </w:t>
      </w:r>
      <w:proofErr w:type="spellStart"/>
      <w:r w:rsidRPr="00984CD1">
        <w:rPr>
          <w:i/>
          <w:iCs/>
        </w:rPr>
        <w:t>Vibhaṅga</w:t>
      </w:r>
      <w:proofErr w:type="spellEnd"/>
      <w:r w:rsidR="00AD5E51">
        <w:rPr>
          <w:i/>
          <w:iCs/>
        </w:rPr>
        <w:t>,</w:t>
      </w:r>
      <w:r>
        <w:t xml:space="preserve"> solo se menciona la superación de las percepciones y no la de los objetos de la siguiente manera: “Aquí, ¿qué son las percepciones de la materia? Son la percepción</w:t>
      </w:r>
      <w:r w:rsidR="002E3484">
        <w:t xml:space="preserve"> como objeto percibido</w:t>
      </w:r>
      <w:r>
        <w:t xml:space="preserve">, </w:t>
      </w:r>
      <w:proofErr w:type="gramStart"/>
      <w:r>
        <w:t xml:space="preserve">el </w:t>
      </w:r>
      <w:r w:rsidR="005E3CEF">
        <w:t>percepción</w:t>
      </w:r>
      <w:proofErr w:type="gramEnd"/>
      <w:r w:rsidR="005E3CEF">
        <w:t xml:space="preserve"> como acción</w:t>
      </w:r>
      <w:r>
        <w:t>, la percepción</w:t>
      </w:r>
      <w:r w:rsidR="002E3484">
        <w:t xml:space="preserve"> como experiencia</w:t>
      </w:r>
      <w:r>
        <w:t>, en alguien que ha</w:t>
      </w:r>
      <w:r w:rsidR="002E3484">
        <w:t>ya</w:t>
      </w:r>
      <w:r>
        <w:t xml:space="preserve"> alcanzado un logro de la esfera material </w:t>
      </w:r>
      <w:r w:rsidR="0039144B">
        <w:t xml:space="preserve">sutil </w:t>
      </w:r>
      <w:r>
        <w:t>o en alguien que ha</w:t>
      </w:r>
      <w:r w:rsidR="0039144B">
        <w:t>ya</w:t>
      </w:r>
      <w:r>
        <w:t xml:space="preserve"> renacido allí o en alguien que </w:t>
      </w:r>
      <w:r w:rsidR="0039144B">
        <w:t xml:space="preserve">habite </w:t>
      </w:r>
      <w:r>
        <w:t xml:space="preserve">en </w:t>
      </w:r>
      <w:r w:rsidR="00594C71">
        <w:t xml:space="preserve">esa </w:t>
      </w:r>
      <w:r w:rsidR="0039144B">
        <w:t>dicha</w:t>
      </w:r>
      <w:r>
        <w:t xml:space="preserve"> </w:t>
      </w:r>
      <w:r w:rsidR="005E3CEF">
        <w:t xml:space="preserve">y </w:t>
      </w:r>
      <w:r>
        <w:t xml:space="preserve">en esta vida presente. </w:t>
      </w:r>
      <w:r w:rsidR="00594C71">
        <w:t>Éstas s</w:t>
      </w:r>
      <w:r>
        <w:t xml:space="preserve">on las llamadas percepciones de la materia. Estas percepciones de la materia son pasadas, </w:t>
      </w:r>
      <w:r w:rsidR="00DC11DA">
        <w:t xml:space="preserve">han sido </w:t>
      </w:r>
      <w:r>
        <w:t xml:space="preserve">superadas, </w:t>
      </w:r>
      <w:r w:rsidR="00811646">
        <w:t>ve</w:t>
      </w:r>
      <w:r w:rsidR="00201B51">
        <w:t>ncida</w:t>
      </w:r>
      <w:r>
        <w:t>. Por lo tanto, se di</w:t>
      </w:r>
      <w:r w:rsidR="00201B51">
        <w:t>rá</w:t>
      </w:r>
      <w:r>
        <w:t xml:space="preserve"> ‘Con la superación completa de las percepciones de la materia’” (</w:t>
      </w:r>
      <w:proofErr w:type="spellStart"/>
      <w:r>
        <w:t>Vibh</w:t>
      </w:r>
      <w:proofErr w:type="spellEnd"/>
      <w:r>
        <w:t xml:space="preserve"> 261). Pero debe entenderse que este comentario trata también de la superación del objeto porque estos logros debe</w:t>
      </w:r>
      <w:r w:rsidR="00201B51">
        <w:t>rá</w:t>
      </w:r>
      <w:r>
        <w:t xml:space="preserve">n alcanzarse </w:t>
      </w:r>
      <w:r w:rsidR="00FC5735">
        <w:t xml:space="preserve">también </w:t>
      </w:r>
      <w:r>
        <w:t xml:space="preserve">superando </w:t>
      </w:r>
      <w:r w:rsidR="00A211BB">
        <w:t>a</w:t>
      </w:r>
      <w:r>
        <w:t xml:space="preserve">l objeto; no deben alcanzarse reteniendo </w:t>
      </w:r>
      <w:r w:rsidR="00FC5735">
        <w:t>a</w:t>
      </w:r>
      <w:r>
        <w:t xml:space="preserve">l mismo objeto que en el primer </w:t>
      </w:r>
      <w:proofErr w:type="spellStart"/>
      <w:r w:rsidR="00057BF4" w:rsidRPr="00057BF4">
        <w:rPr>
          <w:i/>
        </w:rPr>
        <w:t>jhāna</w:t>
      </w:r>
      <w:proofErr w:type="spellEnd"/>
      <w:r>
        <w:t xml:space="preserve"> y en los subsiguientes.</w:t>
      </w:r>
    </w:p>
    <w:p w14:paraId="52DAB35A" w14:textId="780FE7C4" w:rsidR="00F946B4" w:rsidRDefault="00F946B4" w:rsidP="00F946B4">
      <w:r>
        <w:t xml:space="preserve">16. </w:t>
      </w:r>
      <w:r>
        <w:tab/>
      </w:r>
      <w:r w:rsidRPr="00984CD1">
        <w:rPr>
          <w:i/>
          <w:iCs/>
        </w:rPr>
        <w:t>Con la desaparición de las percepciones de resistencia</w:t>
      </w:r>
      <w:r>
        <w:t xml:space="preserve">: las percepciones de resistencia son </w:t>
      </w:r>
      <w:r w:rsidR="00201B51">
        <w:t xml:space="preserve">las </w:t>
      </w:r>
      <w:r>
        <w:t>percepciones que surgen a través del impacto de la base física consiste</w:t>
      </w:r>
      <w:r w:rsidR="001D49A8">
        <w:t>ntes</w:t>
      </w:r>
      <w:r>
        <w:t xml:space="preserve"> </w:t>
      </w:r>
      <w:r w:rsidR="001D49A8">
        <w:t>d</w:t>
      </w:r>
      <w:r>
        <w:t>el ojo, etc., y los objetos respectivos consisten</w:t>
      </w:r>
      <w:r w:rsidR="009506FF">
        <w:t>tes</w:t>
      </w:r>
      <w:r>
        <w:t xml:space="preserve"> </w:t>
      </w:r>
      <w:r w:rsidR="009506FF">
        <w:t>de los</w:t>
      </w:r>
      <w:r>
        <w:t xml:space="preserve"> objetos visibles, etc.; y este </w:t>
      </w:r>
      <w:r w:rsidR="00201B51">
        <w:t xml:space="preserve">será </w:t>
      </w:r>
      <w:r>
        <w:t xml:space="preserve">un término para la percepción de </w:t>
      </w:r>
      <w:r w:rsidR="009506FF">
        <w:t xml:space="preserve">los </w:t>
      </w:r>
      <w:r>
        <w:t>objetos visibles (</w:t>
      </w:r>
      <w:r w:rsidR="00057BF4" w:rsidRPr="00057BF4">
        <w:rPr>
          <w:i/>
          <w:iCs/>
        </w:rPr>
        <w:t>rūpa</w:t>
      </w:r>
      <w:r>
        <w:t xml:space="preserve">) y así sucesivamente, según se dice: “Aquí, ¿qué son las percepciones de resistencia? Las percepciones de </w:t>
      </w:r>
      <w:r w:rsidR="00263579">
        <w:t xml:space="preserve">los </w:t>
      </w:r>
      <w:r>
        <w:t xml:space="preserve">objetos visibles, las percepciones de </w:t>
      </w:r>
      <w:r w:rsidR="0065403D">
        <w:t xml:space="preserve">los </w:t>
      </w:r>
      <w:r>
        <w:t xml:space="preserve">sonidos, las percepciones de </w:t>
      </w:r>
      <w:r w:rsidR="0065403D">
        <w:t xml:space="preserve">los </w:t>
      </w:r>
      <w:r>
        <w:t xml:space="preserve">olores, las percepciones de </w:t>
      </w:r>
      <w:r w:rsidR="0065403D">
        <w:t xml:space="preserve">los </w:t>
      </w:r>
      <w:r>
        <w:t xml:space="preserve">sabores, las percepciones de objetos tangibles, </w:t>
      </w:r>
      <w:r w:rsidR="006C4C00">
        <w:t xml:space="preserve">a todos </w:t>
      </w:r>
      <w:r>
        <w:t xml:space="preserve">se </w:t>
      </w:r>
      <w:r w:rsidR="006C4C00">
        <w:t xml:space="preserve">les </w:t>
      </w:r>
      <w:r>
        <w:t>denominan ‘percepciones de resistencia’” (</w:t>
      </w:r>
      <w:proofErr w:type="spellStart"/>
      <w:r>
        <w:t>Vibh</w:t>
      </w:r>
      <w:proofErr w:type="spellEnd"/>
      <w:r>
        <w:t xml:space="preserve"> 261); </w:t>
      </w:r>
      <w:r w:rsidR="00716A7F">
        <w:t xml:space="preserve">lo que se quiere decir es que </w:t>
      </w:r>
      <w:r>
        <w:t xml:space="preserve">con la completa desaparición, abandono, no surgimiento, de estas diez clases de percepciones de resistencia, es decir, de las cinco resultantes </w:t>
      </w:r>
      <w:r w:rsidR="0065403D">
        <w:t xml:space="preserve">productivas </w:t>
      </w:r>
      <w:r>
        <w:t>y las cinco resultantes</w:t>
      </w:r>
      <w:r w:rsidR="00870326">
        <w:t xml:space="preserve"> improductivas</w:t>
      </w:r>
      <w:r>
        <w:t>;</w:t>
      </w:r>
      <w:r w:rsidRPr="00984CD1">
        <w:rPr>
          <w:vertAlign w:val="superscript"/>
        </w:rPr>
        <w:t>6</w:t>
      </w:r>
      <w:r>
        <w:t xml:space="preserve"> </w:t>
      </w:r>
      <w:r w:rsidR="002C709A">
        <w:t xml:space="preserve">esto </w:t>
      </w:r>
      <w:r w:rsidR="00716A7F">
        <w:t>producirá</w:t>
      </w:r>
      <w:r>
        <w:t xml:space="preserve"> que no ocurran.</w:t>
      </w:r>
    </w:p>
    <w:p w14:paraId="2B1F725E" w14:textId="1BBCAAE6" w:rsidR="00F946B4" w:rsidRDefault="00F946B4" w:rsidP="00F946B4">
      <w:r>
        <w:t xml:space="preserve">17. </w:t>
      </w:r>
      <w:r>
        <w:tab/>
        <w:t>Por supuesto, estos tampoco se enc</w:t>
      </w:r>
      <w:r w:rsidR="006C4C00">
        <w:t>o</w:t>
      </w:r>
      <w:r>
        <w:t>ntra</w:t>
      </w:r>
      <w:r w:rsidR="006C4C00">
        <w:t>rá</w:t>
      </w:r>
      <w:r>
        <w:t>n en alguien que ha</w:t>
      </w:r>
      <w:r w:rsidR="006C4C00">
        <w:t>ya</w:t>
      </w:r>
      <w:r>
        <w:t xml:space="preserve"> entrado en el primer </w:t>
      </w:r>
      <w:proofErr w:type="spellStart"/>
      <w:r w:rsidR="00057BF4" w:rsidRPr="00057BF4">
        <w:rPr>
          <w:i/>
        </w:rPr>
        <w:t>jhāna</w:t>
      </w:r>
      <w:proofErr w:type="spellEnd"/>
      <w:r>
        <w:t>, etc.; porque la con</w:t>
      </w:r>
      <w:r w:rsidR="00716A7F">
        <w:t>s</w:t>
      </w:r>
      <w:r>
        <w:t>ciencia en ese momento no ocurr</w:t>
      </w:r>
      <w:r w:rsidR="00716A7F">
        <w:t>irá</w:t>
      </w:r>
      <w:r>
        <w:t xml:space="preserve"> por medio de las cinco puertas. </w:t>
      </w:r>
      <w:proofErr w:type="spellStart"/>
      <w:r>
        <w:t>Aún</w:t>
      </w:r>
      <w:proofErr w:type="spellEnd"/>
      <w:r>
        <w:t xml:space="preserve"> </w:t>
      </w:r>
      <w:r w:rsidR="00803BE3">
        <w:t xml:space="preserve">así, </w:t>
      </w:r>
      <w:r>
        <w:t>[330] la mención de ellos aquí debe entenderse como una recomendación de</w:t>
      </w:r>
      <w:r w:rsidR="007A722B">
        <w:t>l</w:t>
      </w:r>
      <w:r>
        <w:t xml:space="preserve"> </w:t>
      </w:r>
      <w:proofErr w:type="spellStart"/>
      <w:r w:rsidR="00057BF4" w:rsidRPr="00057BF4">
        <w:rPr>
          <w:i/>
        </w:rPr>
        <w:t>jhāna</w:t>
      </w:r>
      <w:proofErr w:type="spellEnd"/>
      <w:r>
        <w:t xml:space="preserve"> </w:t>
      </w:r>
      <w:r w:rsidR="007A722B">
        <w:t xml:space="preserve">en cuestión </w:t>
      </w:r>
      <w:r>
        <w:t xml:space="preserve">con el propósito de despertar interés en él, tal como en el caso del cuarto </w:t>
      </w:r>
      <w:proofErr w:type="spellStart"/>
      <w:r w:rsidR="00057BF4" w:rsidRPr="00057BF4">
        <w:rPr>
          <w:i/>
        </w:rPr>
        <w:t>jhāna</w:t>
      </w:r>
      <w:proofErr w:type="spellEnd"/>
      <w:r>
        <w:t xml:space="preserve"> se menciona</w:t>
      </w:r>
      <w:r w:rsidR="00803BE3">
        <w:t>n</w:t>
      </w:r>
      <w:r>
        <w:t xml:space="preserve"> </w:t>
      </w:r>
      <w:r w:rsidR="007A722B">
        <w:t xml:space="preserve">en otro lugar </w:t>
      </w:r>
      <w:r w:rsidR="00803BE3">
        <w:t>a</w:t>
      </w:r>
      <w:r>
        <w:t xml:space="preserve">l placer y </w:t>
      </w:r>
      <w:r w:rsidR="00803BE3">
        <w:t>a</w:t>
      </w:r>
      <w:r>
        <w:t xml:space="preserve">l dolor ya abandonados, y en el caso del tercer </w:t>
      </w:r>
      <w:r w:rsidR="00803BE3">
        <w:t xml:space="preserve">sendero </w:t>
      </w:r>
      <w:r>
        <w:t xml:space="preserve">se menciona </w:t>
      </w:r>
      <w:r w:rsidRPr="004F569D">
        <w:rPr>
          <w:color w:val="1F3864" w:themeColor="accent1" w:themeShade="80"/>
        </w:rPr>
        <w:t xml:space="preserve">la visión </w:t>
      </w:r>
      <w:r w:rsidR="00696B9C" w:rsidRPr="004F569D">
        <w:rPr>
          <w:color w:val="1F3864" w:themeColor="accent1" w:themeShade="80"/>
        </w:rPr>
        <w:t>incorrecta</w:t>
      </w:r>
      <w:r w:rsidRPr="004F569D">
        <w:rPr>
          <w:color w:val="1F3864" w:themeColor="accent1" w:themeShade="80"/>
        </w:rPr>
        <w:t xml:space="preserve"> de la personalidad</w:t>
      </w:r>
      <w:r>
        <w:t>, etc., ya abandonada anteriormente.</w:t>
      </w:r>
    </w:p>
    <w:p w14:paraId="02FF1328" w14:textId="77777777" w:rsidR="00F946B4" w:rsidRDefault="00F946B4" w:rsidP="00F946B4">
      <w:pPr>
        <w:pStyle w:val="PiedepginaLegal"/>
        <w:rPr>
          <w:u w:val="single"/>
        </w:rPr>
      </w:pPr>
      <w:r>
        <w:rPr>
          <w:u w:val="single"/>
        </w:rPr>
        <w:tab/>
      </w:r>
      <w:r>
        <w:rPr>
          <w:u w:val="single"/>
        </w:rPr>
        <w:tab/>
      </w:r>
      <w:r>
        <w:rPr>
          <w:u w:val="single"/>
        </w:rPr>
        <w:tab/>
      </w:r>
      <w:r>
        <w:rPr>
          <w:u w:val="single"/>
        </w:rPr>
        <w:tab/>
      </w:r>
    </w:p>
    <w:p w14:paraId="1031200C" w14:textId="5C1FA1DC" w:rsidR="00F946B4" w:rsidRDefault="00F946B4" w:rsidP="00F946B4">
      <w:pPr>
        <w:pStyle w:val="PiedepginaLegal"/>
      </w:pPr>
      <w:r w:rsidRPr="00984CD1">
        <w:t>5</w:t>
      </w:r>
      <w:r>
        <w:t xml:space="preserve">. </w:t>
      </w:r>
      <w:r>
        <w:tab/>
        <w:t xml:space="preserve">Véase XIV.129, descripción del agregado de </w:t>
      </w:r>
      <w:r w:rsidR="00BA1671">
        <w:t xml:space="preserve">la </w:t>
      </w:r>
      <w:r>
        <w:t xml:space="preserve">percepción, que se clasifica de la misma manera que el agregado de </w:t>
      </w:r>
      <w:r w:rsidR="00BA1671">
        <w:t xml:space="preserve">la </w:t>
      </w:r>
      <w:r>
        <w:t>con</w:t>
      </w:r>
      <w:r w:rsidR="00BA1671">
        <w:t>s</w:t>
      </w:r>
      <w:r>
        <w:t xml:space="preserve">ciencia. A lo que aquí se hace referencia </w:t>
      </w:r>
      <w:r w:rsidR="00BA1671">
        <w:t>es a</w:t>
      </w:r>
      <w:r>
        <w:t xml:space="preserve"> los quince géneros de materia </w:t>
      </w:r>
      <w:r w:rsidR="00BA1671">
        <w:t>sutil</w:t>
      </w:r>
      <w:r>
        <w:t>, correspondientes a los</w:t>
      </w:r>
      <w:r w:rsidR="00984CD1">
        <w:t xml:space="preserve"> N0s.</w:t>
      </w:r>
      <w:r>
        <w:t xml:space="preserve"> (9–13), (57–61) y (81–85) </w:t>
      </w:r>
      <w:r w:rsidR="005E20C4">
        <w:t>de</w:t>
      </w:r>
      <w:r>
        <w:t xml:space="preserve"> la Tabla III.</w:t>
      </w:r>
    </w:p>
    <w:p w14:paraId="73CAC3A5" w14:textId="41BA1CA7" w:rsidR="00F946B4" w:rsidRDefault="00F946B4" w:rsidP="00F946B4">
      <w:pPr>
        <w:pStyle w:val="PiedepginaLegal"/>
      </w:pPr>
      <w:r>
        <w:t xml:space="preserve">6. </w:t>
      </w:r>
      <w:r>
        <w:tab/>
        <w:t xml:space="preserve">Véase XIV.96f. números (34–38) y (50–54) </w:t>
      </w:r>
      <w:r w:rsidR="005E20C4">
        <w:t>de</w:t>
      </w:r>
      <w:r>
        <w:t xml:space="preserve"> la Tabla III.</w:t>
      </w:r>
    </w:p>
    <w:p w14:paraId="3FBDF208" w14:textId="77777777" w:rsidR="00F946B4" w:rsidRDefault="00F946B4">
      <w:pPr>
        <w:tabs>
          <w:tab w:val="clear" w:pos="425"/>
        </w:tabs>
        <w:spacing w:after="160"/>
      </w:pPr>
      <w:r>
        <w:br w:type="page"/>
      </w:r>
    </w:p>
    <w:p w14:paraId="2F3C8083" w14:textId="77777777" w:rsidR="00C126CD" w:rsidRDefault="00C126CD" w:rsidP="00B335FC"/>
    <w:p w14:paraId="2B932AA0" w14:textId="358D4366" w:rsidR="00B16D98" w:rsidRDefault="00B16D98" w:rsidP="00B16D98">
      <w:r>
        <w:t xml:space="preserve">18. </w:t>
      </w:r>
      <w:r>
        <w:tab/>
        <w:t>O alternativamente, aunque estos tampoco se encuentr</w:t>
      </w:r>
      <w:r w:rsidR="002A54F2">
        <w:t>e</w:t>
      </w:r>
      <w:r>
        <w:t>n en alguien que ha</w:t>
      </w:r>
      <w:r w:rsidR="002A54F2">
        <w:t>ya</w:t>
      </w:r>
      <w:r>
        <w:t xml:space="preserve"> alcanzado la esfera de la materia </w:t>
      </w:r>
      <w:r w:rsidR="002A54F2">
        <w:t>sutil</w:t>
      </w:r>
      <w:r>
        <w:t xml:space="preserve">, el hecho de que no </w:t>
      </w:r>
      <w:r w:rsidR="002B01C9">
        <w:t>se encuentren</w:t>
      </w:r>
      <w:r>
        <w:t xml:space="preserve"> allí no se debe a que hayan sido abandonados; </w:t>
      </w:r>
      <w:r w:rsidR="00BB6A64">
        <w:t xml:space="preserve">ya </w:t>
      </w:r>
      <w:r>
        <w:t xml:space="preserve">que el desarrollo de la esfera de la materia </w:t>
      </w:r>
      <w:r w:rsidR="00BB6A64">
        <w:t>sutil</w:t>
      </w:r>
      <w:r>
        <w:t xml:space="preserve"> no conduc</w:t>
      </w:r>
      <w:r w:rsidR="00BB6A64">
        <w:t>irá</w:t>
      </w:r>
      <w:r>
        <w:t xml:space="preserve"> a la desaparición de la codicia </w:t>
      </w:r>
      <w:r w:rsidR="00BB6A64">
        <w:t xml:space="preserve">hacia </w:t>
      </w:r>
      <w:r>
        <w:t xml:space="preserve">la materialidad, y la ocurrencia de esos </w:t>
      </w:r>
      <w:proofErr w:type="spellStart"/>
      <w:r w:rsidR="00057BF4" w:rsidRPr="00057BF4">
        <w:rPr>
          <w:i/>
        </w:rPr>
        <w:t>jhāna</w:t>
      </w:r>
      <w:r>
        <w:t>s</w:t>
      </w:r>
      <w:proofErr w:type="spellEnd"/>
      <w:r>
        <w:t xml:space="preserve"> de la materia </w:t>
      </w:r>
      <w:r w:rsidR="00C9081F">
        <w:t>sutil</w:t>
      </w:r>
      <w:r>
        <w:t xml:space="preserve"> en realidad depende</w:t>
      </w:r>
      <w:r w:rsidR="00C9081F">
        <w:t>rá</w:t>
      </w:r>
      <w:r>
        <w:t xml:space="preserve"> de la materialidad. </w:t>
      </w:r>
      <w:r w:rsidR="007F784B">
        <w:t xml:space="preserve">No obstante, </w:t>
      </w:r>
      <w:r>
        <w:t xml:space="preserve">este desarrollo </w:t>
      </w:r>
      <w:r w:rsidR="00824214">
        <w:t>sobre</w:t>
      </w:r>
      <w:r>
        <w:t xml:space="preserve"> lo inmaterial conduc</w:t>
      </w:r>
      <w:r w:rsidR="00A76F94">
        <w:t>irá</w:t>
      </w:r>
      <w:r>
        <w:t xml:space="preserve"> al desvanecimiento de la codicia </w:t>
      </w:r>
      <w:r w:rsidR="00A76F94">
        <w:t xml:space="preserve">hacia </w:t>
      </w:r>
      <w:r>
        <w:t xml:space="preserve">la materialidad. Por lo tanto, </w:t>
      </w:r>
      <w:r w:rsidR="00A76F94">
        <w:t xml:space="preserve">será </w:t>
      </w:r>
      <w:r>
        <w:t>permisible decir que</w:t>
      </w:r>
      <w:r w:rsidR="00AA7332">
        <w:t>,</w:t>
      </w:r>
      <w:r>
        <w:t xml:space="preserve"> en realidad</w:t>
      </w:r>
      <w:r w:rsidR="00AA7332">
        <w:t>,</w:t>
      </w:r>
      <w:r>
        <w:t xml:space="preserve"> </w:t>
      </w:r>
      <w:r w:rsidR="00A7129A">
        <w:t>estos ha</w:t>
      </w:r>
      <w:r w:rsidR="00AA7332">
        <w:t>brá</w:t>
      </w:r>
      <w:r w:rsidR="00A7129A">
        <w:t xml:space="preserve">n sido </w:t>
      </w:r>
      <w:r>
        <w:t xml:space="preserve">abandonados aquí; y no sólo decirlo, sino </w:t>
      </w:r>
      <w:r w:rsidR="00AA7332">
        <w:t>reafirmarlo</w:t>
      </w:r>
      <w:r>
        <w:t xml:space="preserve"> absolutamente.</w:t>
      </w:r>
    </w:p>
    <w:p w14:paraId="47D701E2" w14:textId="29AB1701" w:rsidR="00B16D98" w:rsidRDefault="00B16D98" w:rsidP="00B16D98">
      <w:r>
        <w:t xml:space="preserve">19. </w:t>
      </w:r>
      <w:r>
        <w:tab/>
        <w:t>De hecho, es debido a que aún no ha</w:t>
      </w:r>
      <w:r w:rsidR="00D9272A">
        <w:t>brá</w:t>
      </w:r>
      <w:r>
        <w:t xml:space="preserve">n sido abandonados antes de esto que el </w:t>
      </w:r>
      <w:r w:rsidR="00A7129A" w:rsidRPr="00A7129A">
        <w:rPr>
          <w:i/>
          <w:iCs/>
        </w:rPr>
        <w:t>Bhagavā</w:t>
      </w:r>
      <w:r w:rsidR="00A7129A">
        <w:t xml:space="preserve"> </w:t>
      </w:r>
      <w:r>
        <w:t>dijo que el sonido e</w:t>
      </w:r>
      <w:r w:rsidR="00A7129A">
        <w:t>ra</w:t>
      </w:r>
      <w:r>
        <w:t xml:space="preserve"> una espina para quien </w:t>
      </w:r>
      <w:r w:rsidR="00D522AB">
        <w:t xml:space="preserve">poseyera </w:t>
      </w:r>
      <w:r>
        <w:t xml:space="preserve">el primer </w:t>
      </w:r>
      <w:proofErr w:type="spellStart"/>
      <w:r w:rsidR="00057BF4" w:rsidRPr="00057BF4">
        <w:rPr>
          <w:i/>
        </w:rPr>
        <w:t>jhāna</w:t>
      </w:r>
      <w:proofErr w:type="spellEnd"/>
      <w:r>
        <w:t xml:space="preserve"> (A V 135). Y es precisamente porque </w:t>
      </w:r>
      <w:r w:rsidR="00D522AB">
        <w:t>aquí se encuentran</w:t>
      </w:r>
      <w:r>
        <w:t xml:space="preserve"> abandonados que se menciona la imperturbabilidad (ver </w:t>
      </w:r>
      <w:proofErr w:type="spellStart"/>
      <w:r>
        <w:t>Vibh</w:t>
      </w:r>
      <w:proofErr w:type="spellEnd"/>
      <w:r>
        <w:t xml:space="preserve"> 135) de los logros inmateriales y su estado de liberación </w:t>
      </w:r>
      <w:r w:rsidR="009F0F71">
        <w:t xml:space="preserve">apacible </w:t>
      </w:r>
      <w:r>
        <w:t xml:space="preserve">(M I 33), y </w:t>
      </w:r>
      <w:r w:rsidR="00D9272A">
        <w:t xml:space="preserve">el motivo por el cual </w:t>
      </w:r>
      <w:proofErr w:type="spellStart"/>
      <w:r>
        <w:t>Āḷ</w:t>
      </w:r>
      <w:r w:rsidR="00AF1EEA">
        <w:t>ā</w:t>
      </w:r>
      <w:r>
        <w:t>ra</w:t>
      </w:r>
      <w:proofErr w:type="spellEnd"/>
      <w:r>
        <w:t xml:space="preserve"> Kālāma ni </w:t>
      </w:r>
      <w:r w:rsidR="00D9272A">
        <w:t xml:space="preserve">siquiera </w:t>
      </w:r>
      <w:r w:rsidR="0051238D">
        <w:t>pudo ver</w:t>
      </w:r>
      <w:r>
        <w:t xml:space="preserve"> </w:t>
      </w:r>
      <w:r w:rsidR="00D9272A">
        <w:t xml:space="preserve">a </w:t>
      </w:r>
      <w:r>
        <w:t>los quinientos carr</w:t>
      </w:r>
      <w:r w:rsidR="009F0F71">
        <w:t>uajes</w:t>
      </w:r>
      <w:r>
        <w:t xml:space="preserve"> que pasa</w:t>
      </w:r>
      <w:r w:rsidR="007F64F1">
        <w:t>ro</w:t>
      </w:r>
      <w:r>
        <w:t>n cerca de él ni escuch</w:t>
      </w:r>
      <w:r w:rsidR="009F0F71">
        <w:t>ara</w:t>
      </w:r>
      <w:r>
        <w:t xml:space="preserve"> el sonido de ellos</w:t>
      </w:r>
      <w:r w:rsidR="007F64F1">
        <w:t>,</w:t>
      </w:r>
      <w:r>
        <w:t xml:space="preserve"> mientras </w:t>
      </w:r>
      <w:r w:rsidR="009F0F71">
        <w:t xml:space="preserve">se encontraba </w:t>
      </w:r>
      <w:r>
        <w:t>en un</w:t>
      </w:r>
      <w:r w:rsidR="00616224">
        <w:t>a</w:t>
      </w:r>
      <w:r>
        <w:t xml:space="preserve"> </w:t>
      </w:r>
      <w:r w:rsidR="00616224">
        <w:t xml:space="preserve">absorción </w:t>
      </w:r>
      <w:r>
        <w:t>inmaterial (D II 130).</w:t>
      </w:r>
    </w:p>
    <w:p w14:paraId="1E701910" w14:textId="2F9CE5A3" w:rsidR="00B16D98" w:rsidRDefault="00B16D98" w:rsidP="00B16D98">
      <w:r>
        <w:t xml:space="preserve">20. </w:t>
      </w:r>
      <w:r>
        <w:tab/>
      </w:r>
      <w:r w:rsidR="00C61CEC" w:rsidRPr="001A1FAB">
        <w:rPr>
          <w:i/>
          <w:iCs/>
        </w:rPr>
        <w:t>Con la no</w:t>
      </w:r>
      <w:r w:rsidR="008B0327" w:rsidRPr="00131627">
        <w:rPr>
          <w:i/>
          <w:iCs/>
        </w:rPr>
        <w:t>–</w:t>
      </w:r>
      <w:r w:rsidR="00C61CEC" w:rsidRPr="001A1FAB">
        <w:rPr>
          <w:i/>
          <w:iCs/>
        </w:rPr>
        <w:t xml:space="preserve">atención </w:t>
      </w:r>
      <w:r w:rsidR="009D20A5">
        <w:rPr>
          <w:i/>
          <w:iCs/>
        </w:rPr>
        <w:t xml:space="preserve">hacia </w:t>
      </w:r>
      <w:r w:rsidR="00C61CEC" w:rsidRPr="001A1FAB">
        <w:rPr>
          <w:i/>
          <w:iCs/>
        </w:rPr>
        <w:t>las percepciones de la variedad</w:t>
      </w:r>
      <w:r>
        <w:t xml:space="preserve">: ya sea </w:t>
      </w:r>
      <w:r w:rsidR="009D20A5">
        <w:t xml:space="preserve">hacia </w:t>
      </w:r>
      <w:r>
        <w:t>las percepciones que ocurr</w:t>
      </w:r>
      <w:r w:rsidR="00F53C62">
        <w:t>a</w:t>
      </w:r>
      <w:r>
        <w:t>n con la variedad como su dominio o</w:t>
      </w:r>
      <w:r w:rsidR="00F53C62">
        <w:t xml:space="preserve"> </w:t>
      </w:r>
      <w:r w:rsidR="009D20A5">
        <w:t xml:space="preserve">hacia </w:t>
      </w:r>
      <w:r>
        <w:t xml:space="preserve">las percepciones </w:t>
      </w:r>
      <w:r w:rsidR="00F53C62">
        <w:t xml:space="preserve">variadas </w:t>
      </w:r>
      <w:r>
        <w:t xml:space="preserve">en sí mismas. </w:t>
      </w:r>
      <w:r w:rsidR="00F53C62">
        <w:t xml:space="preserve">Ya </w:t>
      </w:r>
      <w:r>
        <w:t xml:space="preserve">que </w:t>
      </w:r>
      <w:r w:rsidR="00E17B77">
        <w:t xml:space="preserve">a </w:t>
      </w:r>
      <w:r>
        <w:t xml:space="preserve">las “percepciones de </w:t>
      </w:r>
      <w:r w:rsidR="00616224">
        <w:t xml:space="preserve">la </w:t>
      </w:r>
      <w:r>
        <w:t xml:space="preserve">variedad” se </w:t>
      </w:r>
      <w:r w:rsidR="00E17B77">
        <w:t xml:space="preserve">le </w:t>
      </w:r>
      <w:r>
        <w:t xml:space="preserve">denominan así por dos razones: en primer lugar, porque los tipos de percepción incluidos junto con el elemento mental y </w:t>
      </w:r>
      <w:r w:rsidR="0091431F">
        <w:t xml:space="preserve">con </w:t>
      </w:r>
      <w:r>
        <w:t xml:space="preserve">el elemento </w:t>
      </w:r>
      <w:r w:rsidR="0091431F">
        <w:t xml:space="preserve">de la </w:t>
      </w:r>
      <w:r>
        <w:t>conscien</w:t>
      </w:r>
      <w:r w:rsidR="0091431F">
        <w:t>cia mental</w:t>
      </w:r>
      <w:r>
        <w:t xml:space="preserve"> en alguien que no </w:t>
      </w:r>
      <w:r w:rsidR="00675331">
        <w:t>se</w:t>
      </w:r>
      <w:r w:rsidR="00B7759F">
        <w:t xml:space="preserve"> </w:t>
      </w:r>
      <w:r>
        <w:t>ha</w:t>
      </w:r>
      <w:r w:rsidR="00A87C1D">
        <w:t>ya</w:t>
      </w:r>
      <w:r>
        <w:t xml:space="preserve"> </w:t>
      </w:r>
      <w:r w:rsidR="00B7759F">
        <w:t xml:space="preserve">consumado </w:t>
      </w:r>
      <w:r>
        <w:t xml:space="preserve">—cuyos tipos se </w:t>
      </w:r>
      <w:r w:rsidR="0091431F">
        <w:t>aluden</w:t>
      </w:r>
      <w:r>
        <w:t xml:space="preserve"> aquí como </w:t>
      </w:r>
      <w:r w:rsidR="006B653B">
        <w:t xml:space="preserve">los que </w:t>
      </w:r>
      <w:r>
        <w:t xml:space="preserve">se describen en el </w:t>
      </w:r>
      <w:proofErr w:type="spellStart"/>
      <w:r w:rsidRPr="00984CD1">
        <w:rPr>
          <w:i/>
          <w:iCs/>
        </w:rPr>
        <w:t>Vibhaṅga</w:t>
      </w:r>
      <w:proofErr w:type="spellEnd"/>
      <w:r>
        <w:t xml:space="preserve"> así: “Aquí, ¿qué son las percepciones de </w:t>
      </w:r>
      <w:r w:rsidR="00D01883">
        <w:t xml:space="preserve">la </w:t>
      </w:r>
      <w:r>
        <w:t xml:space="preserve">variedad? </w:t>
      </w:r>
      <w:r w:rsidR="0070768C">
        <w:t>l</w:t>
      </w:r>
      <w:r>
        <w:t>a percepción</w:t>
      </w:r>
      <w:r w:rsidR="00AB05C6">
        <w:t xml:space="preserve"> </w:t>
      </w:r>
      <w:r w:rsidR="00AB05C6" w:rsidRPr="00BF637E">
        <w:t>co</w:t>
      </w:r>
      <w:r w:rsidR="00982DF0" w:rsidRPr="00BF637E">
        <w:t>mo</w:t>
      </w:r>
      <w:r w:rsidR="00AB05C6" w:rsidRPr="00BF637E">
        <w:t xml:space="preserve"> objeto </w:t>
      </w:r>
      <w:r w:rsidR="00D555ED" w:rsidRPr="00BF637E">
        <w:t>de percepción</w:t>
      </w:r>
      <w:r w:rsidRPr="00BF637E">
        <w:t xml:space="preserve">, </w:t>
      </w:r>
      <w:r w:rsidR="00982DF0" w:rsidRPr="00BF637E">
        <w:t>la percepción</w:t>
      </w:r>
      <w:r w:rsidR="00D555ED" w:rsidRPr="00BF637E">
        <w:t xml:space="preserve"> como acción</w:t>
      </w:r>
      <w:r w:rsidRPr="00BF637E">
        <w:t>, la percepción</w:t>
      </w:r>
      <w:r w:rsidR="00D555ED" w:rsidRPr="00BF637E">
        <w:t xml:space="preserve"> como experiencia</w:t>
      </w:r>
      <w:r w:rsidRPr="00BF637E">
        <w:t xml:space="preserve">, en alguien que no </w:t>
      </w:r>
      <w:r w:rsidR="0091431F" w:rsidRPr="00BF637E">
        <w:t xml:space="preserve">se </w:t>
      </w:r>
      <w:r w:rsidRPr="00BF637E">
        <w:t>ha</w:t>
      </w:r>
      <w:r w:rsidR="00D555ED" w:rsidRPr="00BF637E">
        <w:t>ya</w:t>
      </w:r>
      <w:r w:rsidRPr="00BF637E">
        <w:t xml:space="preserve"> </w:t>
      </w:r>
      <w:r w:rsidR="006B653B" w:rsidRPr="00BF637E">
        <w:t xml:space="preserve">consumado </w:t>
      </w:r>
      <w:r w:rsidRPr="00BF637E">
        <w:t>y pose</w:t>
      </w:r>
      <w:r w:rsidR="00D555ED" w:rsidRPr="00BF637E">
        <w:t>a</w:t>
      </w:r>
      <w:r w:rsidRPr="00BF637E">
        <w:t xml:space="preserve"> </w:t>
      </w:r>
      <w:r w:rsidR="00D70ACC" w:rsidRPr="00BF637E">
        <w:t xml:space="preserve">ya sea </w:t>
      </w:r>
      <w:r w:rsidRPr="00BF637E">
        <w:t xml:space="preserve">el elemento mental o el elemento </w:t>
      </w:r>
      <w:r w:rsidR="00EC79EE" w:rsidRPr="00BF637E">
        <w:t xml:space="preserve">de la </w:t>
      </w:r>
      <w:r w:rsidR="00271034" w:rsidRPr="00BF637E">
        <w:t>c</w:t>
      </w:r>
      <w:r w:rsidRPr="00BF637E">
        <w:t>onsci</w:t>
      </w:r>
      <w:r w:rsidR="00271034" w:rsidRPr="00BF637E">
        <w:t>encia</w:t>
      </w:r>
      <w:r w:rsidRPr="00BF637E">
        <w:t xml:space="preserve"> </w:t>
      </w:r>
      <w:r w:rsidR="00271034" w:rsidRPr="00BF637E">
        <w:t>mental</w:t>
      </w:r>
      <w:r w:rsidRPr="00BF637E">
        <w:t>'” (</w:t>
      </w:r>
      <w:proofErr w:type="spellStart"/>
      <w:r w:rsidRPr="00BF637E">
        <w:t>Vibh</w:t>
      </w:r>
      <w:proofErr w:type="spellEnd"/>
      <w:r w:rsidRPr="00BF637E">
        <w:t xml:space="preserve"> 261), </w:t>
      </w:r>
      <w:r w:rsidR="00675331" w:rsidRPr="00BF637E">
        <w:t>—</w:t>
      </w:r>
      <w:r w:rsidRPr="00BF637E">
        <w:t>ocurr</w:t>
      </w:r>
      <w:r w:rsidR="00271034" w:rsidRPr="00BF637E">
        <w:t>irá</w:t>
      </w:r>
      <w:r w:rsidRPr="00BF637E">
        <w:t>n con respecto a un dominio que es variado en esencia indivi</w:t>
      </w:r>
      <w:r>
        <w:t xml:space="preserve">dual con la variedad clasificada como objeto visible, sonido, etc.; y en segundo lugar, porque los </w:t>
      </w:r>
      <w:r w:rsidR="00E60EA8">
        <w:t>44</w:t>
      </w:r>
      <w:r>
        <w:t xml:space="preserve"> tipos de percepción, es decir, </w:t>
      </w:r>
      <w:r w:rsidR="00D24040">
        <w:t xml:space="preserve">los </w:t>
      </w:r>
      <w:r w:rsidR="00E60EA8">
        <w:t>8</w:t>
      </w:r>
      <w:r>
        <w:t xml:space="preserve"> tipos de percepción </w:t>
      </w:r>
      <w:r w:rsidR="00D24040">
        <w:t xml:space="preserve">productiva </w:t>
      </w:r>
      <w:r>
        <w:t xml:space="preserve">en la esfera de los sentidos, </w:t>
      </w:r>
      <w:r w:rsidR="00D24040">
        <w:t xml:space="preserve">los </w:t>
      </w:r>
      <w:r w:rsidR="00E60EA8">
        <w:t>12</w:t>
      </w:r>
      <w:r>
        <w:t xml:space="preserve"> tipos de percepción no </w:t>
      </w:r>
      <w:r w:rsidR="00D24040">
        <w:t>productiva</w:t>
      </w:r>
      <w:r>
        <w:t xml:space="preserve">, </w:t>
      </w:r>
      <w:r w:rsidR="00D24040">
        <w:t xml:space="preserve">los </w:t>
      </w:r>
      <w:r w:rsidR="00E60EA8">
        <w:t>11</w:t>
      </w:r>
      <w:r>
        <w:t xml:space="preserve"> tipos de percepción </w:t>
      </w:r>
      <w:r w:rsidR="00CD6083">
        <w:t xml:space="preserve">productiva </w:t>
      </w:r>
      <w:r>
        <w:t xml:space="preserve">resultante en la esfera de los sentidos, </w:t>
      </w:r>
      <w:r w:rsidR="00D24040">
        <w:t xml:space="preserve">los </w:t>
      </w:r>
      <w:r w:rsidR="00E60EA8">
        <w:t>2</w:t>
      </w:r>
      <w:r>
        <w:t xml:space="preserve"> tipos de percepción </w:t>
      </w:r>
      <w:r w:rsidR="00CD6083">
        <w:t xml:space="preserve">no productiva </w:t>
      </w:r>
      <w:r>
        <w:t xml:space="preserve">resultante, y </w:t>
      </w:r>
      <w:r w:rsidR="00D24040">
        <w:t xml:space="preserve">los </w:t>
      </w:r>
      <w:r w:rsidR="00E60EA8">
        <w:t>11</w:t>
      </w:r>
      <w:r>
        <w:t xml:space="preserve"> tipos de percepción funcional de la esfera de los sentidos: ellos mismos </w:t>
      </w:r>
      <w:r w:rsidR="00D24040">
        <w:t xml:space="preserve">poseen </w:t>
      </w:r>
      <w:r>
        <w:t xml:space="preserve">variedad, tienen varias esencias individuales y son diferentes entre sí. Con la completa </w:t>
      </w:r>
      <w:r w:rsidR="00E9554E">
        <w:t>no</w:t>
      </w:r>
      <w:r>
        <w:t xml:space="preserve"> atención a, no advirti</w:t>
      </w:r>
      <w:r w:rsidR="00D24040">
        <w:t>é</w:t>
      </w:r>
      <w:r>
        <w:t>ndo</w:t>
      </w:r>
      <w:r w:rsidR="00D24040">
        <w:t>los</w:t>
      </w:r>
      <w:r>
        <w:t>, no reaccionando a, no revis</w:t>
      </w:r>
      <w:r w:rsidR="00D24040">
        <w:t>á</w:t>
      </w:r>
      <w:r>
        <w:t>ndo</w:t>
      </w:r>
      <w:r w:rsidR="00D24040">
        <w:t>los</w:t>
      </w:r>
      <w:r>
        <w:t xml:space="preserve">, estas percepciones de variedad; lo que </w:t>
      </w:r>
      <w:r w:rsidR="002D2BFA">
        <w:t xml:space="preserve">se </w:t>
      </w:r>
      <w:r>
        <w:t>quiere decir es que por no advertirl</w:t>
      </w:r>
      <w:r w:rsidR="00E9554E">
        <w:t>a</w:t>
      </w:r>
      <w:r>
        <w:t>s, prestarles atención o revisarlos, por lo tanto…</w:t>
      </w:r>
    </w:p>
    <w:p w14:paraId="1204652D" w14:textId="7DF914EC" w:rsidR="00B16D98" w:rsidRPr="00A118B3" w:rsidRDefault="00B16D98" w:rsidP="00B16D98">
      <w:r w:rsidRPr="00A118B3">
        <w:t xml:space="preserve">21. </w:t>
      </w:r>
      <w:r w:rsidRPr="00A118B3">
        <w:tab/>
        <w:t>Y debe</w:t>
      </w:r>
      <w:r w:rsidR="00B507ED" w:rsidRPr="00A118B3">
        <w:t>rá</w:t>
      </w:r>
      <w:r w:rsidRPr="00A118B3">
        <w:t>n entenderse dos cosas: primero, que su ausencia se afirma aquí de dos maneras</w:t>
      </w:r>
      <w:r w:rsidR="00CF5C48" w:rsidRPr="00A118B3">
        <w:t>:</w:t>
      </w:r>
      <w:r w:rsidRPr="00A118B3">
        <w:t xml:space="preserve"> como “superación” y </w:t>
      </w:r>
      <w:r w:rsidR="0088058D" w:rsidRPr="00A118B3">
        <w:t xml:space="preserve">como </w:t>
      </w:r>
      <w:r w:rsidRPr="00A118B3">
        <w:t>“desaparición”</w:t>
      </w:r>
      <w:r w:rsidR="00CF5C48" w:rsidRPr="00A118B3">
        <w:t>;</w:t>
      </w:r>
      <w:r w:rsidRPr="00A118B3">
        <w:t xml:space="preserve"> </w:t>
      </w:r>
      <w:r w:rsidR="002D2BFA" w:rsidRPr="00A118B3">
        <w:t xml:space="preserve">ya </w:t>
      </w:r>
      <w:r w:rsidRPr="00A118B3">
        <w:t xml:space="preserve">que las percepciones </w:t>
      </w:r>
      <w:r w:rsidR="00F24D43" w:rsidRPr="00A118B3">
        <w:t>iniciales</w:t>
      </w:r>
      <w:r w:rsidRPr="00A118B3">
        <w:t xml:space="preserve"> de </w:t>
      </w:r>
      <w:r w:rsidR="0088058D" w:rsidRPr="00A118B3">
        <w:t xml:space="preserve">la </w:t>
      </w:r>
      <w:r w:rsidRPr="00A118B3">
        <w:t xml:space="preserve">materia y </w:t>
      </w:r>
      <w:r w:rsidR="0088058D" w:rsidRPr="00A118B3">
        <w:t xml:space="preserve">la </w:t>
      </w:r>
      <w:r w:rsidRPr="00A118B3">
        <w:t>percepci</w:t>
      </w:r>
      <w:r w:rsidR="002D2BFA" w:rsidRPr="00A118B3">
        <w:t>ó</w:t>
      </w:r>
      <w:r w:rsidRPr="00A118B3">
        <w:t>n de resistencia no exist</w:t>
      </w:r>
      <w:r w:rsidR="00061824" w:rsidRPr="00A118B3">
        <w:t>ir</w:t>
      </w:r>
      <w:r w:rsidR="00A118B3" w:rsidRPr="00A118B3">
        <w:t>ía</w:t>
      </w:r>
      <w:r w:rsidRPr="00A118B3">
        <w:t xml:space="preserve">n </w:t>
      </w:r>
      <w:r w:rsidR="001F6EE8" w:rsidRPr="00A118B3">
        <w:t xml:space="preserve">en primer lugar </w:t>
      </w:r>
      <w:r w:rsidRPr="00A118B3">
        <w:t xml:space="preserve">ni siquiera en el tipo de existencia producida por este </w:t>
      </w:r>
      <w:proofErr w:type="spellStart"/>
      <w:r w:rsidR="00057BF4" w:rsidRPr="00A118B3">
        <w:rPr>
          <w:i/>
        </w:rPr>
        <w:t>jhāna</w:t>
      </w:r>
      <w:proofErr w:type="spellEnd"/>
      <w:r w:rsidRPr="00A118B3">
        <w:t xml:space="preserve"> en </w:t>
      </w:r>
      <w:r w:rsidR="00A118B3" w:rsidRPr="00A118B3">
        <w:t>un</w:t>
      </w:r>
      <w:r w:rsidRPr="00A118B3">
        <w:t xml:space="preserve"> renacimiento, y mucho menos cuando se entr</w:t>
      </w:r>
      <w:r w:rsidR="002D2BFA" w:rsidRPr="00A118B3">
        <w:t>e</w:t>
      </w:r>
      <w:r w:rsidRPr="00A118B3">
        <w:t xml:space="preserve"> </w:t>
      </w:r>
      <w:r w:rsidR="00590672" w:rsidRPr="00A118B3">
        <w:t>a</w:t>
      </w:r>
      <w:r w:rsidRPr="00A118B3">
        <w:t xml:space="preserve"> este </w:t>
      </w:r>
      <w:proofErr w:type="spellStart"/>
      <w:r w:rsidR="00057BF4" w:rsidRPr="00A118B3">
        <w:rPr>
          <w:i/>
        </w:rPr>
        <w:t>jhāna</w:t>
      </w:r>
      <w:proofErr w:type="spellEnd"/>
      <w:r w:rsidRPr="00A118B3">
        <w:t xml:space="preserve"> y se habit</w:t>
      </w:r>
      <w:r w:rsidR="002D2BFA" w:rsidRPr="00A118B3">
        <w:t>e</w:t>
      </w:r>
      <w:r w:rsidRPr="00A118B3">
        <w:t xml:space="preserve"> en esa existencia; [331] y en segundo lugar, en el caso de las percepciones de </w:t>
      </w:r>
      <w:r w:rsidR="00E60EA8" w:rsidRPr="00A118B3">
        <w:t xml:space="preserve">la </w:t>
      </w:r>
      <w:r w:rsidRPr="00A118B3">
        <w:t>variedad, se dice "</w:t>
      </w:r>
      <w:r w:rsidR="00232432" w:rsidRPr="00A118B3">
        <w:t>no</w:t>
      </w:r>
      <w:r w:rsidRPr="00A118B3">
        <w:t xml:space="preserve"> atención" </w:t>
      </w:r>
      <w:r w:rsidR="00E60EA8" w:rsidRPr="00A118B3">
        <w:t xml:space="preserve">hacia </w:t>
      </w:r>
      <w:r w:rsidRPr="00A118B3">
        <w:t xml:space="preserve">ellas porque </w:t>
      </w:r>
      <w:r w:rsidR="00F45C91" w:rsidRPr="00A118B3">
        <w:t xml:space="preserve">los </w:t>
      </w:r>
      <w:r w:rsidR="001E56A2" w:rsidRPr="00A118B3">
        <w:t>27</w:t>
      </w:r>
      <w:r w:rsidRPr="00A118B3">
        <w:t xml:space="preserve"> tipos de percepción, es decir, </w:t>
      </w:r>
      <w:r w:rsidR="00D14804" w:rsidRPr="00A118B3">
        <w:t xml:space="preserve">los </w:t>
      </w:r>
      <w:r w:rsidR="001E56A2" w:rsidRPr="00A118B3">
        <w:t>8</w:t>
      </w:r>
      <w:r w:rsidRPr="00A118B3">
        <w:t xml:space="preserve"> tipos de percepción provechosa de la esfera de los sentidos, </w:t>
      </w:r>
      <w:r w:rsidR="00D14804" w:rsidRPr="00A118B3">
        <w:t xml:space="preserve">los </w:t>
      </w:r>
      <w:r w:rsidR="001E56A2" w:rsidRPr="00A118B3">
        <w:t>9</w:t>
      </w:r>
      <w:r w:rsidRPr="00A118B3">
        <w:t xml:space="preserve"> tipos de percepción funcional , y </w:t>
      </w:r>
      <w:r w:rsidR="001E56A2" w:rsidRPr="00A118B3">
        <w:t>10</w:t>
      </w:r>
      <w:r w:rsidR="00D14804" w:rsidRPr="00A118B3">
        <w:t xml:space="preserve"> </w:t>
      </w:r>
      <w:r w:rsidRPr="00A118B3">
        <w:t xml:space="preserve">diez </w:t>
      </w:r>
      <w:r w:rsidR="00D14804" w:rsidRPr="00A118B3">
        <w:t xml:space="preserve">tipos </w:t>
      </w:r>
      <w:r w:rsidRPr="00A118B3">
        <w:t>de percepciones improductivas—todavía exist</w:t>
      </w:r>
      <w:r w:rsidR="00232EC0" w:rsidRPr="00A118B3">
        <w:t>irá</w:t>
      </w:r>
      <w:r w:rsidRPr="00A118B3">
        <w:t xml:space="preserve">n en la clase de existencia producida por este </w:t>
      </w:r>
      <w:proofErr w:type="spellStart"/>
      <w:r w:rsidR="00057BF4" w:rsidRPr="00A118B3">
        <w:rPr>
          <w:i/>
        </w:rPr>
        <w:t>jhāna</w:t>
      </w:r>
      <w:proofErr w:type="spellEnd"/>
      <w:r w:rsidRPr="00A118B3">
        <w:t xml:space="preserve">. </w:t>
      </w:r>
      <w:r w:rsidR="005D4D65" w:rsidRPr="00A118B3">
        <w:t xml:space="preserve">Ya </w:t>
      </w:r>
      <w:r w:rsidRPr="00A118B3">
        <w:t xml:space="preserve">que cuando </w:t>
      </w:r>
      <w:r w:rsidR="001E56A2" w:rsidRPr="00A118B3">
        <w:t xml:space="preserve">se </w:t>
      </w:r>
      <w:r w:rsidRPr="00A118B3">
        <w:t>entr</w:t>
      </w:r>
      <w:r w:rsidR="00232EC0" w:rsidRPr="00A118B3">
        <w:t>e</w:t>
      </w:r>
      <w:r w:rsidRPr="00A118B3">
        <w:t xml:space="preserve"> y </w:t>
      </w:r>
      <w:r w:rsidR="00232EC0" w:rsidRPr="00A118B3">
        <w:t xml:space="preserve">habite </w:t>
      </w:r>
      <w:r w:rsidRPr="00A118B3">
        <w:t xml:space="preserve">en este </w:t>
      </w:r>
      <w:proofErr w:type="spellStart"/>
      <w:r w:rsidR="00057BF4" w:rsidRPr="00A118B3">
        <w:rPr>
          <w:i/>
        </w:rPr>
        <w:t>jhāna</w:t>
      </w:r>
      <w:proofErr w:type="spellEnd"/>
      <w:r w:rsidR="001E56A2" w:rsidRPr="00A118B3">
        <w:rPr>
          <w:i/>
        </w:rPr>
        <w:t>,</w:t>
      </w:r>
      <w:r w:rsidRPr="00A118B3">
        <w:t xml:space="preserve"> allí también </w:t>
      </w:r>
      <w:r w:rsidR="001F6EE8" w:rsidRPr="00A118B3">
        <w:t>se</w:t>
      </w:r>
      <w:r w:rsidRPr="00A118B3">
        <w:t xml:space="preserve"> ha</w:t>
      </w:r>
      <w:r w:rsidR="00232EC0" w:rsidRPr="00A118B3">
        <w:t>rá</w:t>
      </w:r>
      <w:r w:rsidRPr="00A118B3">
        <w:t xml:space="preserve"> sin prestarles atención, </w:t>
      </w:r>
      <w:r w:rsidR="001E56A2" w:rsidRPr="00A118B3">
        <w:t>no obstante,</w:t>
      </w:r>
      <w:r w:rsidRPr="00A118B3">
        <w:t xml:space="preserve"> no </w:t>
      </w:r>
      <w:r w:rsidR="007C50A8" w:rsidRPr="00A118B3">
        <w:t>se</w:t>
      </w:r>
      <w:r w:rsidR="00E968BE" w:rsidRPr="00A118B3">
        <w:t xml:space="preserve"> </w:t>
      </w:r>
      <w:r w:rsidRPr="00A118B3">
        <w:t>ha</w:t>
      </w:r>
      <w:r w:rsidR="00232EC0" w:rsidRPr="00A118B3">
        <w:t>brá</w:t>
      </w:r>
      <w:r w:rsidRPr="00A118B3">
        <w:t xml:space="preserve"> alcanzado cuando </w:t>
      </w:r>
      <w:r w:rsidR="007C50A8" w:rsidRPr="00A118B3">
        <w:t xml:space="preserve">se </w:t>
      </w:r>
      <w:r w:rsidRPr="00A118B3">
        <w:t>les prest</w:t>
      </w:r>
      <w:r w:rsidR="00E968BE" w:rsidRPr="00A118B3">
        <w:t>e</w:t>
      </w:r>
      <w:r w:rsidRPr="00A118B3">
        <w:t xml:space="preserve"> atención.</w:t>
      </w:r>
    </w:p>
    <w:p w14:paraId="12DBAC44" w14:textId="77777777" w:rsidR="00B16D98" w:rsidRDefault="00B16D98">
      <w:pPr>
        <w:tabs>
          <w:tab w:val="clear" w:pos="425"/>
        </w:tabs>
        <w:spacing w:after="160"/>
      </w:pPr>
      <w:r>
        <w:br w:type="page"/>
      </w:r>
    </w:p>
    <w:p w14:paraId="2C250EAE" w14:textId="77777777" w:rsidR="00B16D98" w:rsidRDefault="00B16D98" w:rsidP="00B16D98"/>
    <w:p w14:paraId="462409D5" w14:textId="30430ABA" w:rsidR="00AD1E08" w:rsidRDefault="00AD1E08" w:rsidP="00AD1E08">
      <w:r>
        <w:t xml:space="preserve">22. </w:t>
      </w:r>
      <w:r w:rsidR="006330BF">
        <w:tab/>
      </w:r>
      <w:r>
        <w:t>Y aquí, brevemente, debe</w:t>
      </w:r>
      <w:r w:rsidR="007C50A8">
        <w:t>rá</w:t>
      </w:r>
      <w:r>
        <w:t xml:space="preserve"> entenderse </w:t>
      </w:r>
      <w:r w:rsidR="00C37923">
        <w:t xml:space="preserve">primero </w:t>
      </w:r>
      <w:r>
        <w:t xml:space="preserve">que el abandono de todos los estados de la esfera de la materia </w:t>
      </w:r>
      <w:r w:rsidR="005D4D65">
        <w:t xml:space="preserve">sutil </w:t>
      </w:r>
      <w:r>
        <w:t xml:space="preserve">se </w:t>
      </w:r>
      <w:r w:rsidR="00BA7E31">
        <w:t>representa</w:t>
      </w:r>
      <w:r>
        <w:t xml:space="preserve"> mediante las palabras </w:t>
      </w:r>
      <w:r w:rsidRPr="00984CD1">
        <w:rPr>
          <w:i/>
          <w:iCs/>
        </w:rPr>
        <w:t>con la superación de las percepciones de la materia</w:t>
      </w:r>
      <w:r>
        <w:t xml:space="preserve">, y el abandono y la no atención </w:t>
      </w:r>
      <w:r w:rsidR="004D310E">
        <w:t>hacia</w:t>
      </w:r>
      <w:r>
        <w:t xml:space="preserve"> toda </w:t>
      </w:r>
      <w:r w:rsidR="00305E12">
        <w:t>consciencia</w:t>
      </w:r>
      <w:r>
        <w:t xml:space="preserve"> de la esfera de los sentidos</w:t>
      </w:r>
      <w:r w:rsidR="00C37923">
        <w:t>;</w:t>
      </w:r>
      <w:r>
        <w:t xml:space="preserve"> y </w:t>
      </w:r>
      <w:r w:rsidR="00C37923">
        <w:t xml:space="preserve">segundo </w:t>
      </w:r>
      <w:r w:rsidR="00B507ED">
        <w:t xml:space="preserve">que el de </w:t>
      </w:r>
      <w:r>
        <w:t xml:space="preserve">sus concomitantes </w:t>
      </w:r>
      <w:r w:rsidR="00BA7E31">
        <w:t xml:space="preserve">se representa mediante </w:t>
      </w:r>
      <w:r>
        <w:t xml:space="preserve">las palabras </w:t>
      </w:r>
      <w:r w:rsidRPr="00984CD1">
        <w:rPr>
          <w:i/>
          <w:iCs/>
        </w:rPr>
        <w:t xml:space="preserve">con la desaparición de las percepciones de resistencia, con la no atención </w:t>
      </w:r>
      <w:r w:rsidR="00B507ED">
        <w:rPr>
          <w:i/>
          <w:iCs/>
        </w:rPr>
        <w:t>hacia</w:t>
      </w:r>
      <w:r w:rsidRPr="00984CD1">
        <w:rPr>
          <w:i/>
          <w:iCs/>
        </w:rPr>
        <w:t xml:space="preserve"> las percepciones de </w:t>
      </w:r>
      <w:r w:rsidR="005E302F">
        <w:rPr>
          <w:i/>
          <w:iCs/>
        </w:rPr>
        <w:t xml:space="preserve">la </w:t>
      </w:r>
      <w:r w:rsidRPr="00984CD1">
        <w:rPr>
          <w:i/>
          <w:iCs/>
        </w:rPr>
        <w:t>variedad</w:t>
      </w:r>
      <w:r>
        <w:t>.</w:t>
      </w:r>
    </w:p>
    <w:p w14:paraId="6F9A11A2" w14:textId="5B5A5439" w:rsidR="00AD1E08" w:rsidRDefault="00AD1E08" w:rsidP="00AD1E08">
      <w:r>
        <w:t xml:space="preserve">23. </w:t>
      </w:r>
      <w:r w:rsidR="006330BF">
        <w:tab/>
      </w:r>
      <w:r w:rsidRPr="00984CD1">
        <w:rPr>
          <w:i/>
          <w:iCs/>
        </w:rPr>
        <w:t>Espacio ilimitado</w:t>
      </w:r>
      <w:r>
        <w:t>: aquí se le llama “ilimitado” (</w:t>
      </w:r>
      <w:proofErr w:type="spellStart"/>
      <w:r w:rsidRPr="00984CD1">
        <w:rPr>
          <w:i/>
          <w:iCs/>
        </w:rPr>
        <w:t>ananta</w:t>
      </w:r>
      <w:proofErr w:type="spellEnd"/>
      <w:r>
        <w:t>, lit</w:t>
      </w:r>
      <w:r w:rsidR="00986ED9">
        <w:t>eralmente,</w:t>
      </w:r>
      <w:r>
        <w:t xml:space="preserve"> </w:t>
      </w:r>
      <w:r w:rsidR="00986ED9">
        <w:t>in</w:t>
      </w:r>
      <w:r>
        <w:t>fin</w:t>
      </w:r>
      <w:r w:rsidR="00986ED9">
        <w:t>ito</w:t>
      </w:r>
      <w:r>
        <w:t xml:space="preserve">) porque ni su final como surgimiento ni su final como </w:t>
      </w:r>
      <w:r w:rsidR="00F72A1D">
        <w:t xml:space="preserve">desaparición </w:t>
      </w:r>
      <w:r>
        <w:t>se dan a conocer.</w:t>
      </w:r>
      <w:r w:rsidRPr="00984CD1">
        <w:rPr>
          <w:vertAlign w:val="superscript"/>
        </w:rPr>
        <w:t>7</w:t>
      </w:r>
      <w:r>
        <w:t xml:space="preserve"> Es el espacio </w:t>
      </w:r>
      <w:r w:rsidR="00F72A1D">
        <w:t xml:space="preserve">restante producto de </w:t>
      </w:r>
      <w:r>
        <w:t xml:space="preserve">la remoción del </w:t>
      </w:r>
      <w:proofErr w:type="spellStart"/>
      <w:r w:rsidR="00057BF4" w:rsidRPr="00057BF4">
        <w:rPr>
          <w:i/>
        </w:rPr>
        <w:t>kasiṇa</w:t>
      </w:r>
      <w:proofErr w:type="spellEnd"/>
      <w:r>
        <w:t xml:space="preserve"> </w:t>
      </w:r>
      <w:r w:rsidR="00F72A1D">
        <w:t xml:space="preserve">respectivo </w:t>
      </w:r>
      <w:r w:rsidR="005E6E2E">
        <w:t xml:space="preserve">lo </w:t>
      </w:r>
      <w:r>
        <w:t>que es llamado “espacio”. Y aquí lo ilimitado (</w:t>
      </w:r>
      <w:r w:rsidR="00D23965">
        <w:t xml:space="preserve">lo </w:t>
      </w:r>
      <w:r>
        <w:t>infini</w:t>
      </w:r>
      <w:r w:rsidR="00667D12">
        <w:t>t</w:t>
      </w:r>
      <w:r w:rsidR="00D23965">
        <w:t>o</w:t>
      </w:r>
      <w:r>
        <w:t xml:space="preserve">) debe entenderse </w:t>
      </w:r>
      <w:r w:rsidR="00667D12">
        <w:t xml:space="preserve">también </w:t>
      </w:r>
      <w:r>
        <w:t xml:space="preserve">como refiriéndose a la atención, razón por la cual se dice en el </w:t>
      </w:r>
      <w:proofErr w:type="spellStart"/>
      <w:r w:rsidRPr="00984CD1">
        <w:rPr>
          <w:i/>
          <w:iCs/>
        </w:rPr>
        <w:t>Vibhaṅga</w:t>
      </w:r>
      <w:proofErr w:type="spellEnd"/>
      <w:r>
        <w:t xml:space="preserve">: “Él coloca, establece su </w:t>
      </w:r>
      <w:r w:rsidR="00305E12">
        <w:t>consciencia</w:t>
      </w:r>
      <w:r>
        <w:t xml:space="preserve"> en ese espacio, lo impregna sin límites (</w:t>
      </w:r>
      <w:proofErr w:type="spellStart"/>
      <w:r w:rsidRPr="00984CD1">
        <w:rPr>
          <w:i/>
          <w:iCs/>
        </w:rPr>
        <w:t>anantaṃ</w:t>
      </w:r>
      <w:proofErr w:type="spellEnd"/>
      <w:r>
        <w:t xml:space="preserve">), por lo tanto, </w:t>
      </w:r>
      <w:r w:rsidR="001351E1">
        <w:t xml:space="preserve">se dice </w:t>
      </w:r>
      <w:r>
        <w:t>'</w:t>
      </w:r>
      <w:r w:rsidR="001351E1">
        <w:t xml:space="preserve">espacio </w:t>
      </w:r>
      <w:r>
        <w:t>ilimitado (</w:t>
      </w:r>
      <w:proofErr w:type="spellStart"/>
      <w:r w:rsidRPr="00984CD1">
        <w:rPr>
          <w:i/>
          <w:iCs/>
        </w:rPr>
        <w:t>ananto</w:t>
      </w:r>
      <w:proofErr w:type="spellEnd"/>
      <w:r>
        <w:t>) '” (</w:t>
      </w:r>
      <w:proofErr w:type="spellStart"/>
      <w:r>
        <w:t>Vibh</w:t>
      </w:r>
      <w:proofErr w:type="spellEnd"/>
      <w:r>
        <w:t xml:space="preserve"> 262).</w:t>
      </w:r>
    </w:p>
    <w:p w14:paraId="04A36B37" w14:textId="0009DF5E" w:rsidR="00AD1E08" w:rsidRDefault="00AD1E08" w:rsidP="00AD1E08">
      <w:r>
        <w:t xml:space="preserve">24. </w:t>
      </w:r>
      <w:r w:rsidR="006330BF">
        <w:tab/>
      </w:r>
      <w:r>
        <w:t xml:space="preserve">Entra y </w:t>
      </w:r>
      <w:r w:rsidR="001351E1">
        <w:t>habita</w:t>
      </w:r>
      <w:r>
        <w:t xml:space="preserve"> en la base consiste</w:t>
      </w:r>
      <w:r w:rsidR="001351E1">
        <w:t>nte</w:t>
      </w:r>
      <w:r>
        <w:t xml:space="preserve"> </w:t>
      </w:r>
      <w:r w:rsidR="001351E1">
        <w:t>de</w:t>
      </w:r>
      <w:r>
        <w:t xml:space="preserve"> un espacio ilimitado: </w:t>
      </w:r>
      <w:r w:rsidR="001351E1">
        <w:t xml:space="preserve">que </w:t>
      </w:r>
      <w:r>
        <w:t>no tiene límite (</w:t>
      </w:r>
      <w:r w:rsidRPr="001351E1">
        <w:rPr>
          <w:i/>
          <w:iCs/>
        </w:rPr>
        <w:t>anta</w:t>
      </w:r>
      <w:r>
        <w:t xml:space="preserve">), y </w:t>
      </w:r>
      <w:r w:rsidR="001351E1">
        <w:t xml:space="preserve">que </w:t>
      </w:r>
      <w:r>
        <w:t>por lo tanto es ilimitado (</w:t>
      </w:r>
      <w:proofErr w:type="spellStart"/>
      <w:r w:rsidRPr="00984CD1">
        <w:rPr>
          <w:i/>
          <w:iCs/>
        </w:rPr>
        <w:t>ananta</w:t>
      </w:r>
      <w:proofErr w:type="spellEnd"/>
      <w:r>
        <w:t xml:space="preserve">). Lo que </w:t>
      </w:r>
      <w:r w:rsidR="001351E1">
        <w:t xml:space="preserve">sea </w:t>
      </w:r>
      <w:r>
        <w:t>espacialmente ilimitado (</w:t>
      </w:r>
      <w:proofErr w:type="spellStart"/>
      <w:r w:rsidRPr="00984CD1">
        <w:rPr>
          <w:i/>
          <w:iCs/>
        </w:rPr>
        <w:t>ākāsaṃ</w:t>
      </w:r>
      <w:proofErr w:type="spellEnd"/>
      <w:r w:rsidRPr="00984CD1">
        <w:rPr>
          <w:i/>
          <w:iCs/>
        </w:rPr>
        <w:t xml:space="preserve"> </w:t>
      </w:r>
      <w:proofErr w:type="spellStart"/>
      <w:r w:rsidRPr="00984CD1">
        <w:rPr>
          <w:i/>
          <w:iCs/>
        </w:rPr>
        <w:t>anantaṃ</w:t>
      </w:r>
      <w:proofErr w:type="spellEnd"/>
      <w:r>
        <w:t xml:space="preserve">) </w:t>
      </w:r>
      <w:r w:rsidR="001351E1">
        <w:t xml:space="preserve">será el </w:t>
      </w:r>
      <w:r>
        <w:t>espacio ilimitado (</w:t>
      </w:r>
      <w:proofErr w:type="spellStart"/>
      <w:r w:rsidRPr="00984CD1">
        <w:rPr>
          <w:i/>
          <w:iCs/>
        </w:rPr>
        <w:t>ākāsānantaṃ</w:t>
      </w:r>
      <w:proofErr w:type="spellEnd"/>
      <w:r>
        <w:t xml:space="preserve">). El espacio </w:t>
      </w:r>
      <w:r w:rsidR="005E11C8">
        <w:t>infinito</w:t>
      </w:r>
      <w:r>
        <w:t xml:space="preserve"> </w:t>
      </w:r>
      <w:r w:rsidR="001351E1">
        <w:t xml:space="preserve">será </w:t>
      </w:r>
      <w:r>
        <w:t>lo mismo que el espacio ilimitado (</w:t>
      </w:r>
      <w:proofErr w:type="spellStart"/>
      <w:r w:rsidRPr="00984CD1">
        <w:rPr>
          <w:i/>
          <w:iCs/>
        </w:rPr>
        <w:t>ākāsānañcaṃ</w:t>
      </w:r>
      <w:proofErr w:type="spellEnd"/>
      <w:r>
        <w:t xml:space="preserve">—literalmente, </w:t>
      </w:r>
      <w:r w:rsidR="009E295B">
        <w:t xml:space="preserve">la infinitud del </w:t>
      </w:r>
      <w:r>
        <w:t xml:space="preserve">espacio). Ese “espacio ilimitado” </w:t>
      </w:r>
      <w:r w:rsidR="009E295B">
        <w:t xml:space="preserve">será </w:t>
      </w:r>
      <w:r>
        <w:t>una “base” (</w:t>
      </w:r>
      <w:proofErr w:type="spellStart"/>
      <w:r w:rsidRPr="00984CD1">
        <w:rPr>
          <w:i/>
          <w:iCs/>
        </w:rPr>
        <w:t>āyatana</w:t>
      </w:r>
      <w:proofErr w:type="spellEnd"/>
      <w:r>
        <w:t xml:space="preserve">) en el sentido de hábitat para el </w:t>
      </w:r>
      <w:proofErr w:type="spellStart"/>
      <w:r w:rsidR="00057BF4" w:rsidRPr="00057BF4">
        <w:rPr>
          <w:i/>
        </w:rPr>
        <w:t>jhāna</w:t>
      </w:r>
      <w:proofErr w:type="spellEnd"/>
      <w:r>
        <w:t xml:space="preserve"> cuya naturaleza deb</w:t>
      </w:r>
      <w:r w:rsidR="00EA46D1">
        <w:t>erá</w:t>
      </w:r>
      <w:r>
        <w:t xml:space="preserve"> asociarse </w:t>
      </w:r>
      <w:r w:rsidR="009E295B">
        <w:t>a</w:t>
      </w:r>
      <w:r>
        <w:t xml:space="preserve"> él, como la “base de las deidades” lo es para las deidades, por lo que </w:t>
      </w:r>
      <w:r w:rsidR="00CF676B">
        <w:t xml:space="preserve">será </w:t>
      </w:r>
      <w:r>
        <w:t>la “base consiste</w:t>
      </w:r>
      <w:r w:rsidR="009E295B">
        <w:t>nte</w:t>
      </w:r>
      <w:r>
        <w:t xml:space="preserve"> </w:t>
      </w:r>
      <w:r w:rsidR="009E295B">
        <w:t>del</w:t>
      </w:r>
      <w:r>
        <w:t xml:space="preserve"> espacio ilimitado” (</w:t>
      </w:r>
      <w:proofErr w:type="spellStart"/>
      <w:r w:rsidRPr="00984CD1">
        <w:rPr>
          <w:i/>
          <w:iCs/>
        </w:rPr>
        <w:t>ākāsānañcāyatana</w:t>
      </w:r>
      <w:proofErr w:type="spellEnd"/>
      <w:r>
        <w:t>). Entra</w:t>
      </w:r>
      <w:r w:rsidR="009E295B">
        <w:t>rá</w:t>
      </w:r>
      <w:r>
        <w:t xml:space="preserve"> y </w:t>
      </w:r>
      <w:r w:rsidR="009E295B">
        <w:t>habitará</w:t>
      </w:r>
      <w:r>
        <w:t xml:space="preserve"> en: habiendo alcanzado esa base consiste</w:t>
      </w:r>
      <w:r w:rsidR="009E295B">
        <w:t>nte</w:t>
      </w:r>
      <w:r>
        <w:t xml:space="preserve"> </w:t>
      </w:r>
      <w:r w:rsidR="009E295B">
        <w:t xml:space="preserve">del </w:t>
      </w:r>
      <w:r>
        <w:t xml:space="preserve">espacio ilimitado, habiendo hecho que se produzca, </w:t>
      </w:r>
      <w:r w:rsidR="009E295B">
        <w:t>habita</w:t>
      </w:r>
      <w:r w:rsidR="005E6142">
        <w:t>rá</w:t>
      </w:r>
      <w:r w:rsidR="009E295B">
        <w:t xml:space="preserve"> </w:t>
      </w:r>
      <w:r>
        <w:t>(</w:t>
      </w:r>
      <w:proofErr w:type="spellStart"/>
      <w:r w:rsidRPr="00984CD1">
        <w:rPr>
          <w:i/>
          <w:iCs/>
        </w:rPr>
        <w:t>viharati</w:t>
      </w:r>
      <w:proofErr w:type="spellEnd"/>
      <w:r>
        <w:t xml:space="preserve">) </w:t>
      </w:r>
      <w:r w:rsidR="00167BBD">
        <w:t>en un estado</w:t>
      </w:r>
      <w:r>
        <w:t xml:space="preserve"> (</w:t>
      </w:r>
      <w:proofErr w:type="spellStart"/>
      <w:r w:rsidRPr="00984CD1">
        <w:rPr>
          <w:i/>
          <w:iCs/>
        </w:rPr>
        <w:t>vihāra</w:t>
      </w:r>
      <w:proofErr w:type="spellEnd"/>
      <w:r>
        <w:t>) consiste</w:t>
      </w:r>
      <w:r w:rsidR="001A2C64">
        <w:t>nte</w:t>
      </w:r>
      <w:r>
        <w:t xml:space="preserve"> </w:t>
      </w:r>
      <w:r w:rsidR="001A2C64">
        <w:t xml:space="preserve">de la </w:t>
      </w:r>
      <w:r w:rsidR="000E0616">
        <w:t>situación</w:t>
      </w:r>
      <w:r>
        <w:t xml:space="preserve"> que est</w:t>
      </w:r>
      <w:r w:rsidR="001A2C64">
        <w:t>é</w:t>
      </w:r>
      <w:r>
        <w:t>n en conformidad con él.</w:t>
      </w:r>
    </w:p>
    <w:p w14:paraId="0C54DE19" w14:textId="7C75E02D" w:rsidR="00AD1E08" w:rsidRDefault="00CF676B" w:rsidP="006330BF">
      <w:pPr>
        <w:pStyle w:val="NormalConSangria"/>
      </w:pPr>
      <w:r>
        <w:t>É</w:t>
      </w:r>
      <w:r w:rsidR="00AD1E08">
        <w:t xml:space="preserve">sta es la explicación detallada </w:t>
      </w:r>
      <w:r>
        <w:t xml:space="preserve">sobre </w:t>
      </w:r>
      <w:r w:rsidR="00AD1E08">
        <w:t>la base consiste</w:t>
      </w:r>
      <w:r>
        <w:t>nte</w:t>
      </w:r>
      <w:r w:rsidR="00AD1E08">
        <w:t xml:space="preserve"> </w:t>
      </w:r>
      <w:r>
        <w:t>d</w:t>
      </w:r>
      <w:r w:rsidR="00AD1E08">
        <w:t xml:space="preserve">el espacio ilimitado como </w:t>
      </w:r>
      <w:r>
        <w:t xml:space="preserve">objeto </w:t>
      </w:r>
      <w:r w:rsidR="00AD1E08">
        <w:t>de meditación.</w:t>
      </w:r>
    </w:p>
    <w:p w14:paraId="2ED912A4" w14:textId="74E0C033" w:rsidR="00AD1E08" w:rsidRDefault="00AD1E08" w:rsidP="00AD1E08">
      <w:pPr>
        <w:pStyle w:val="Ttulo3"/>
        <w:ind w:left="708"/>
      </w:pPr>
      <w:r>
        <w:t>[(2) La Base Cons</w:t>
      </w:r>
      <w:r w:rsidR="00CF676B">
        <w:t xml:space="preserve">istente </w:t>
      </w:r>
      <w:r w:rsidR="00167BBD">
        <w:t xml:space="preserve">De Una </w:t>
      </w:r>
      <w:r>
        <w:t>Consciencia Ilimitada]</w:t>
      </w:r>
    </w:p>
    <w:p w14:paraId="58ACE1D6" w14:textId="48F56325" w:rsidR="00AD1E08" w:rsidRDefault="00AD1E08" w:rsidP="00AD1E08">
      <w:r>
        <w:t xml:space="preserve">25. </w:t>
      </w:r>
      <w:r w:rsidR="006330BF">
        <w:tab/>
      </w:r>
      <w:r>
        <w:t xml:space="preserve">Cuando él </w:t>
      </w:r>
      <w:r w:rsidR="007D330F">
        <w:t>desee</w:t>
      </w:r>
      <w:r>
        <w:t xml:space="preserve"> desarrollar la base consiste</w:t>
      </w:r>
      <w:r w:rsidR="007D330F">
        <w:t>nte</w:t>
      </w:r>
      <w:r>
        <w:t xml:space="preserve"> </w:t>
      </w:r>
      <w:r w:rsidR="007D330F">
        <w:t>de</w:t>
      </w:r>
      <w:r>
        <w:t xml:space="preserve"> </w:t>
      </w:r>
      <w:r w:rsidR="007D330F">
        <w:t>un</w:t>
      </w:r>
      <w:r>
        <w:t xml:space="preserve">a </w:t>
      </w:r>
      <w:r w:rsidR="00305E12">
        <w:t>consciencia</w:t>
      </w:r>
      <w:r>
        <w:t xml:space="preserve"> </w:t>
      </w:r>
      <w:r w:rsidR="00B962E5">
        <w:t>infinita</w:t>
      </w:r>
      <w:r>
        <w:t>, primero debe</w:t>
      </w:r>
      <w:r w:rsidR="007D330F">
        <w:t>rá</w:t>
      </w:r>
      <w:r>
        <w:t xml:space="preserve"> </w:t>
      </w:r>
      <w:r w:rsidR="007D330F">
        <w:t xml:space="preserve">lograr </w:t>
      </w:r>
      <w:r>
        <w:t xml:space="preserve">maestría en cinco formas </w:t>
      </w:r>
      <w:r w:rsidR="002117BA">
        <w:t>d</w:t>
      </w:r>
      <w:r>
        <w:t>el logro de la base consiste</w:t>
      </w:r>
      <w:r w:rsidR="007D330F">
        <w:t>nte</w:t>
      </w:r>
      <w:r>
        <w:t xml:space="preserve"> </w:t>
      </w:r>
      <w:r w:rsidR="007D330F">
        <w:t>d</w:t>
      </w:r>
      <w:r>
        <w:t>el espacio ilimitado. Entonces deber</w:t>
      </w:r>
      <w:r w:rsidR="00B0495A">
        <w:t>á</w:t>
      </w:r>
      <w:r>
        <w:t xml:space="preserve"> ver el peligro en la base consiste</w:t>
      </w:r>
      <w:r w:rsidR="00B0495A">
        <w:t>nte</w:t>
      </w:r>
      <w:r>
        <w:t xml:space="preserve"> </w:t>
      </w:r>
      <w:r w:rsidR="005F35CE">
        <w:t xml:space="preserve">del </w:t>
      </w:r>
      <w:r>
        <w:t xml:space="preserve">espacio ilimitado </w:t>
      </w:r>
      <w:r w:rsidR="005F35CE">
        <w:t>así</w:t>
      </w:r>
      <w:r>
        <w:t xml:space="preserve">: “Este logro </w:t>
      </w:r>
      <w:r w:rsidR="005F35CE">
        <w:t xml:space="preserve">posee al </w:t>
      </w:r>
      <w:proofErr w:type="spellStart"/>
      <w:r w:rsidR="00057BF4" w:rsidRPr="00057BF4">
        <w:rPr>
          <w:i/>
        </w:rPr>
        <w:t>jhāna</w:t>
      </w:r>
      <w:proofErr w:type="spellEnd"/>
      <w:r>
        <w:t xml:space="preserve"> de </w:t>
      </w:r>
      <w:r w:rsidR="005F35CE">
        <w:t xml:space="preserve">la </w:t>
      </w:r>
      <w:r>
        <w:t xml:space="preserve">materia </w:t>
      </w:r>
      <w:r w:rsidR="005F35CE">
        <w:t xml:space="preserve">sutil </w:t>
      </w:r>
      <w:r>
        <w:t xml:space="preserve">como su enemigo cercano, y no es tan </w:t>
      </w:r>
      <w:r w:rsidR="009248C2">
        <w:t xml:space="preserve">apacible </w:t>
      </w:r>
      <w:r>
        <w:t>como la base consiste</w:t>
      </w:r>
      <w:r w:rsidR="009248C2">
        <w:t>nte</w:t>
      </w:r>
      <w:r>
        <w:t xml:space="preserve"> </w:t>
      </w:r>
      <w:r w:rsidR="009248C2">
        <w:t xml:space="preserve">de </w:t>
      </w:r>
      <w:r>
        <w:t>una con</w:t>
      </w:r>
      <w:r w:rsidR="002117BA">
        <w:t>s</w:t>
      </w:r>
      <w:r>
        <w:t xml:space="preserve">ciencia </w:t>
      </w:r>
      <w:r w:rsidR="00B962E5">
        <w:t>infinita</w:t>
      </w:r>
      <w:r>
        <w:t xml:space="preserve">”. Entonces, habiendo terminado su apego </w:t>
      </w:r>
      <w:r w:rsidR="009248C2">
        <w:t>hacia ello</w:t>
      </w:r>
      <w:r>
        <w:t>, debe</w:t>
      </w:r>
      <w:r w:rsidR="009248C2">
        <w:t>rá</w:t>
      </w:r>
      <w:r>
        <w:t xml:space="preserve"> prestar atención a la base consiste</w:t>
      </w:r>
      <w:r w:rsidR="009248C2">
        <w:t>nte</w:t>
      </w:r>
      <w:r>
        <w:t xml:space="preserve"> </w:t>
      </w:r>
      <w:r w:rsidR="009248C2">
        <w:t>de</w:t>
      </w:r>
      <w:r>
        <w:t xml:space="preserve"> la </w:t>
      </w:r>
      <w:r w:rsidR="00305E12">
        <w:t>consciencia</w:t>
      </w:r>
      <w:r>
        <w:t xml:space="preserve"> </w:t>
      </w:r>
      <w:r w:rsidR="00B962E5">
        <w:t xml:space="preserve">infinita </w:t>
      </w:r>
      <w:r>
        <w:t xml:space="preserve">como </w:t>
      </w:r>
      <w:r w:rsidR="009248C2">
        <w:t>apacible</w:t>
      </w:r>
      <w:r>
        <w:t>, advirti</w:t>
      </w:r>
      <w:r w:rsidR="009128E0">
        <w:t>é</w:t>
      </w:r>
      <w:r>
        <w:t>ndo</w:t>
      </w:r>
      <w:r w:rsidR="009128E0">
        <w:t>la</w:t>
      </w:r>
      <w:r>
        <w:t xml:space="preserve"> una y otra vez</w:t>
      </w:r>
      <w:r w:rsidR="00A725C8">
        <w:t>,</w:t>
      </w:r>
      <w:r>
        <w:t xml:space="preserve"> como "con</w:t>
      </w:r>
      <w:r w:rsidR="009128E0">
        <w:t>s</w:t>
      </w:r>
      <w:r>
        <w:t>ciencia, con</w:t>
      </w:r>
      <w:r w:rsidR="009128E0">
        <w:t>s</w:t>
      </w:r>
      <w:r>
        <w:t>ciencia" a la con</w:t>
      </w:r>
      <w:r w:rsidR="009128E0">
        <w:t>s</w:t>
      </w:r>
      <w:r>
        <w:t>ciencia que se produjo impregnando ese espacio como su objeto. Debe</w:t>
      </w:r>
      <w:r w:rsidR="009128E0">
        <w:t>rá</w:t>
      </w:r>
      <w:r>
        <w:t xml:space="preserve"> prestarle atención, revisarlo y atacarlo con </w:t>
      </w:r>
      <w:proofErr w:type="gramStart"/>
      <w:r w:rsidR="004C161D">
        <w:t>aplicación mental y sustentación mental</w:t>
      </w:r>
      <w:proofErr w:type="gramEnd"/>
      <w:r>
        <w:t xml:space="preserve">; [332] </w:t>
      </w:r>
      <w:r w:rsidR="00A27AA7">
        <w:t xml:space="preserve">no obstante, </w:t>
      </w:r>
      <w:r>
        <w:t>no debe</w:t>
      </w:r>
      <w:r w:rsidR="004C161D">
        <w:t>rá</w:t>
      </w:r>
      <w:r>
        <w:t xml:space="preserve"> prestar atención simplemente de esta manera “</w:t>
      </w:r>
      <w:r w:rsidR="00DC4368">
        <w:t>infinita</w:t>
      </w:r>
      <w:r w:rsidR="00297157">
        <w:t xml:space="preserve">, </w:t>
      </w:r>
      <w:r w:rsidR="00DC4368">
        <w:t>infinita</w:t>
      </w:r>
      <w:r>
        <w:t>”.</w:t>
      </w:r>
      <w:r w:rsidRPr="00984CD1">
        <w:rPr>
          <w:vertAlign w:val="superscript"/>
        </w:rPr>
        <w:t>8</w:t>
      </w:r>
    </w:p>
    <w:p w14:paraId="24690B57" w14:textId="77777777" w:rsidR="00AD1E08" w:rsidRDefault="00AD1E08" w:rsidP="00AD1E08">
      <w:pPr>
        <w:pStyle w:val="PiedepginaLegal"/>
        <w:rPr>
          <w:u w:val="single"/>
        </w:rPr>
      </w:pPr>
      <w:r>
        <w:rPr>
          <w:u w:val="single"/>
        </w:rPr>
        <w:tab/>
      </w:r>
      <w:r>
        <w:rPr>
          <w:u w:val="single"/>
        </w:rPr>
        <w:tab/>
      </w:r>
      <w:r>
        <w:rPr>
          <w:u w:val="single"/>
        </w:rPr>
        <w:tab/>
      </w:r>
      <w:r>
        <w:rPr>
          <w:u w:val="single"/>
        </w:rPr>
        <w:tab/>
      </w:r>
    </w:p>
    <w:p w14:paraId="48EAAE60" w14:textId="6343D388" w:rsidR="00AD1E08" w:rsidRDefault="00AD1E08" w:rsidP="00AD1E08">
      <w:pPr>
        <w:pStyle w:val="PiedepginaLegal"/>
      </w:pPr>
      <w:r>
        <w:t xml:space="preserve">7. </w:t>
      </w:r>
      <w:r>
        <w:tab/>
        <w:t xml:space="preserve">“Un </w:t>
      </w:r>
      <w:r w:rsidR="00057BF4" w:rsidRPr="00057BF4">
        <w:rPr>
          <w:i/>
        </w:rPr>
        <w:t>Dhamma</w:t>
      </w:r>
      <w:r>
        <w:t xml:space="preserve"> [formado] con una esencia individual está limitado por </w:t>
      </w:r>
      <w:r w:rsidR="00C36B0B">
        <w:t xml:space="preserve">un </w:t>
      </w:r>
      <w:r w:rsidR="00391344">
        <w:t>surgir</w:t>
      </w:r>
      <w:r>
        <w:t xml:space="preserve"> y </w:t>
      </w:r>
      <w:r w:rsidR="00391344">
        <w:t xml:space="preserve">desaparecer </w:t>
      </w:r>
      <w:r>
        <w:t xml:space="preserve">porque se produce después de no haber sido, y porque después de haber sido se desvanece. Pero </w:t>
      </w:r>
      <w:r w:rsidR="00C36B0B">
        <w:t>a</w:t>
      </w:r>
      <w:r>
        <w:t xml:space="preserve">l espacio se </w:t>
      </w:r>
      <w:r w:rsidR="00C36B0B">
        <w:t xml:space="preserve">le </w:t>
      </w:r>
      <w:r>
        <w:t xml:space="preserve">llama ilimitado ya que no tiene ni </w:t>
      </w:r>
      <w:r w:rsidR="00C36B0B">
        <w:t>surgir</w:t>
      </w:r>
      <w:r>
        <w:t xml:space="preserve"> ni </w:t>
      </w:r>
      <w:r w:rsidR="00C36B0B">
        <w:t xml:space="preserve">desaparecer </w:t>
      </w:r>
      <w:r>
        <w:t xml:space="preserve">porque es un </w:t>
      </w:r>
      <w:r w:rsidR="00057BF4" w:rsidRPr="00057BF4">
        <w:rPr>
          <w:i/>
        </w:rPr>
        <w:t>Dhamma</w:t>
      </w:r>
      <w:r>
        <w:t xml:space="preserve"> sin esencia individual” (</w:t>
      </w:r>
      <w:proofErr w:type="spellStart"/>
      <w:r>
        <w:t>Vism-mhṭ</w:t>
      </w:r>
      <w:proofErr w:type="spellEnd"/>
      <w:r>
        <w:t xml:space="preserve"> 323).</w:t>
      </w:r>
    </w:p>
    <w:p w14:paraId="77F4C85B" w14:textId="5C6CE663" w:rsidR="006330BF" w:rsidRDefault="00AD1E08" w:rsidP="00AD1E08">
      <w:pPr>
        <w:pStyle w:val="PiedepginaLegal"/>
      </w:pPr>
      <w:r>
        <w:t xml:space="preserve">8. </w:t>
      </w:r>
      <w:r>
        <w:tab/>
        <w:t>“</w:t>
      </w:r>
      <w:r w:rsidR="00695CC8">
        <w:t>Él n</w:t>
      </w:r>
      <w:r>
        <w:t>o debe prestar</w:t>
      </w:r>
      <w:r w:rsidR="007D1E56">
        <w:t>s</w:t>
      </w:r>
      <w:r>
        <w:t>e atención solo como 'Ilimitado, ilimitado'; en lugar de desarrollarlo así, debe</w:t>
      </w:r>
      <w:r w:rsidR="004D5F95">
        <w:t>rá</w:t>
      </w:r>
      <w:r>
        <w:t xml:space="preserve"> prestarle atención como 'Con</w:t>
      </w:r>
      <w:r w:rsidR="004D5F95">
        <w:t>s</w:t>
      </w:r>
      <w:r>
        <w:t>ciencia ilimitada, con</w:t>
      </w:r>
      <w:r w:rsidR="004D5F95">
        <w:t>s</w:t>
      </w:r>
      <w:r>
        <w:t>ciencia ilimitada' o como 'Con</w:t>
      </w:r>
      <w:r w:rsidR="004D5F95">
        <w:t>s</w:t>
      </w:r>
      <w:r>
        <w:t>ciencia, con</w:t>
      </w:r>
      <w:r w:rsidR="004D5F95">
        <w:t>s</w:t>
      </w:r>
      <w:r>
        <w:t>ciencia'” (</w:t>
      </w:r>
      <w:proofErr w:type="spellStart"/>
      <w:r>
        <w:t>Vism-mhṭ</w:t>
      </w:r>
      <w:proofErr w:type="spellEnd"/>
      <w:r>
        <w:t xml:space="preserve"> 324).</w:t>
      </w:r>
    </w:p>
    <w:p w14:paraId="1EAD61DE" w14:textId="77777777" w:rsidR="006330BF" w:rsidRDefault="006330BF" w:rsidP="006330BF"/>
    <w:p w14:paraId="486EC374" w14:textId="77777777" w:rsidR="006330BF" w:rsidRDefault="006330BF">
      <w:pPr>
        <w:tabs>
          <w:tab w:val="clear" w:pos="425"/>
        </w:tabs>
        <w:spacing w:after="160"/>
      </w:pPr>
      <w:r>
        <w:br w:type="page"/>
      </w:r>
    </w:p>
    <w:p w14:paraId="461BFE20" w14:textId="77777777" w:rsidR="00BA33DD" w:rsidRDefault="00BA33DD" w:rsidP="00F11855"/>
    <w:p w14:paraId="4923F347" w14:textId="77777777" w:rsidR="00BA33DD" w:rsidRDefault="00BA33DD" w:rsidP="00F11855"/>
    <w:p w14:paraId="357672DC" w14:textId="7D85B0CE" w:rsidR="00F11855" w:rsidRDefault="00F11855" w:rsidP="00F11855">
      <w:r>
        <w:t xml:space="preserve">26. </w:t>
      </w:r>
      <w:r w:rsidR="002C365D">
        <w:tab/>
      </w:r>
      <w:r>
        <w:t>A medida que diri</w:t>
      </w:r>
      <w:r w:rsidR="004D5F95">
        <w:t>ja</w:t>
      </w:r>
      <w:r>
        <w:t xml:space="preserve"> </w:t>
      </w:r>
      <w:r w:rsidR="00A27AA7">
        <w:t xml:space="preserve">así </w:t>
      </w:r>
      <w:r>
        <w:t>su mente</w:t>
      </w:r>
      <w:r w:rsidR="00A27AA7">
        <w:t>,</w:t>
      </w:r>
      <w:r>
        <w:t xml:space="preserve"> una y otra vez</w:t>
      </w:r>
      <w:r w:rsidR="00A27AA7">
        <w:t>,</w:t>
      </w:r>
      <w:r>
        <w:t xml:space="preserve"> hacia ese signo, se suprim</w:t>
      </w:r>
      <w:r w:rsidR="00CF1CA5">
        <w:t>irán</w:t>
      </w:r>
      <w:r>
        <w:t xml:space="preserve"> los obstáculos, se establece</w:t>
      </w:r>
      <w:r w:rsidR="00CF1CA5">
        <w:t>rá</w:t>
      </w:r>
      <w:r>
        <w:t xml:space="preserve"> la atención y su mente se concentra</w:t>
      </w:r>
      <w:r w:rsidR="00CF1CA5">
        <w:t>rá</w:t>
      </w:r>
      <w:r>
        <w:t xml:space="preserve"> en el acceso. Cultiva</w:t>
      </w:r>
      <w:r w:rsidR="00CF1CA5">
        <w:t>rá</w:t>
      </w:r>
      <w:r>
        <w:t xml:space="preserve"> ese signo una y otra vez, lo desarrolla</w:t>
      </w:r>
      <w:r w:rsidR="00CF1CA5">
        <w:t>rá</w:t>
      </w:r>
      <w:r>
        <w:t xml:space="preserve"> y lo practica</w:t>
      </w:r>
      <w:r w:rsidR="00CF1CA5">
        <w:t>rá</w:t>
      </w:r>
      <w:r>
        <w:t xml:space="preserve"> repetidamente. Mientras lo ha</w:t>
      </w:r>
      <w:r w:rsidR="00CF1CA5">
        <w:t>ga</w:t>
      </w:r>
      <w:r>
        <w:t>, la con</w:t>
      </w:r>
      <w:r w:rsidR="00A27AA7">
        <w:t>s</w:t>
      </w:r>
      <w:r>
        <w:t>ciencia que pertene</w:t>
      </w:r>
      <w:r w:rsidR="00A27AA7">
        <w:t>zca</w:t>
      </w:r>
      <w:r>
        <w:t xml:space="preserve"> a la base consiste</w:t>
      </w:r>
      <w:r w:rsidR="00CF1CA5">
        <w:t>nte</w:t>
      </w:r>
      <w:r>
        <w:t xml:space="preserve"> </w:t>
      </w:r>
      <w:r w:rsidR="00CF1CA5">
        <w:t>de</w:t>
      </w:r>
      <w:r>
        <w:t xml:space="preserve"> la </w:t>
      </w:r>
      <w:r w:rsidR="00305E12">
        <w:t>consciencia</w:t>
      </w:r>
      <w:r>
        <w:t xml:space="preserve"> ilimitada surg</w:t>
      </w:r>
      <w:r w:rsidR="00CF1CA5">
        <w:t>irá</w:t>
      </w:r>
      <w:r>
        <w:t xml:space="preserve"> en absorción con la con</w:t>
      </w:r>
      <w:r w:rsidR="00CF1CA5">
        <w:t>s</w:t>
      </w:r>
      <w:r>
        <w:t>ciencia pasada que impregnaba el espacio como su objeto, tal como la pertenec</w:t>
      </w:r>
      <w:r w:rsidR="009A3864">
        <w:t>iente</w:t>
      </w:r>
      <w:r>
        <w:t xml:space="preserve"> a la base consiste</w:t>
      </w:r>
      <w:r w:rsidR="009A3864">
        <w:t>nte</w:t>
      </w:r>
      <w:r>
        <w:t xml:space="preserve"> </w:t>
      </w:r>
      <w:r w:rsidR="009A3864">
        <w:t>d</w:t>
      </w:r>
      <w:r>
        <w:t xml:space="preserve">el espacio ilimitado lo </w:t>
      </w:r>
      <w:r w:rsidR="00523A92">
        <w:t>hac</w:t>
      </w:r>
      <w:r w:rsidR="003C53E5">
        <w:t>í</w:t>
      </w:r>
      <w:r w:rsidR="00523A92">
        <w:t xml:space="preserve">a </w:t>
      </w:r>
      <w:r>
        <w:t xml:space="preserve">con el espacio como su objeto. </w:t>
      </w:r>
      <w:r w:rsidR="007852DC">
        <w:t xml:space="preserve">No obstante, </w:t>
      </w:r>
      <w:r>
        <w:t>el método para explicar el proceso de absorción debe</w:t>
      </w:r>
      <w:r w:rsidR="00523A92">
        <w:t>rá</w:t>
      </w:r>
      <w:r>
        <w:t xml:space="preserve"> entenderse </w:t>
      </w:r>
      <w:r w:rsidR="007852DC">
        <w:t>de</w:t>
      </w:r>
      <w:r>
        <w:t xml:space="preserve"> la forma ya descrita.</w:t>
      </w:r>
    </w:p>
    <w:p w14:paraId="3AF1F511" w14:textId="77777777" w:rsidR="00BA33DD" w:rsidRDefault="00BA33DD" w:rsidP="00F11855"/>
    <w:p w14:paraId="1C213698" w14:textId="7F5ADA60" w:rsidR="00F11855" w:rsidRDefault="00F11855" w:rsidP="00F11855">
      <w:pPr>
        <w:jc w:val="center"/>
      </w:pPr>
      <w:r>
        <w:t>[</w:t>
      </w:r>
      <w:r w:rsidRPr="00984CD1">
        <w:rPr>
          <w:i/>
          <w:iCs/>
        </w:rPr>
        <w:t>Texto y Comentario</w:t>
      </w:r>
      <w:r>
        <w:t>]</w:t>
      </w:r>
    </w:p>
    <w:p w14:paraId="4138226F" w14:textId="4A5ADD68" w:rsidR="00F11855" w:rsidRDefault="00F11855" w:rsidP="00F11855">
      <w:r>
        <w:t xml:space="preserve">27. </w:t>
      </w:r>
      <w:r w:rsidR="002C365D">
        <w:tab/>
      </w:r>
      <w:r>
        <w:t>Y en este punto se dice: “</w:t>
      </w:r>
      <w:r w:rsidRPr="007B7F00">
        <w:rPr>
          <w:i/>
          <w:iCs/>
        </w:rPr>
        <w:t>Al superar complet</w:t>
      </w:r>
      <w:r w:rsidR="00D67ECB" w:rsidRPr="007B7F00">
        <w:rPr>
          <w:i/>
          <w:iCs/>
        </w:rPr>
        <w:t>amente</w:t>
      </w:r>
      <w:r w:rsidRPr="007B7F00">
        <w:rPr>
          <w:i/>
          <w:iCs/>
        </w:rPr>
        <w:t xml:space="preserve"> (</w:t>
      </w:r>
      <w:proofErr w:type="spellStart"/>
      <w:r w:rsidRPr="007B7F00">
        <w:rPr>
          <w:i/>
          <w:iCs/>
        </w:rPr>
        <w:t>samatik</w:t>
      </w:r>
      <w:r w:rsidR="00057BF4" w:rsidRPr="007B7F00">
        <w:rPr>
          <w:i/>
          <w:iCs/>
        </w:rPr>
        <w:t>kamma</w:t>
      </w:r>
      <w:proofErr w:type="spellEnd"/>
      <w:r w:rsidRPr="007B7F00">
        <w:rPr>
          <w:i/>
          <w:iCs/>
        </w:rPr>
        <w:t>) la base consiste</w:t>
      </w:r>
      <w:r w:rsidR="007852DC" w:rsidRPr="007B7F00">
        <w:rPr>
          <w:i/>
          <w:iCs/>
        </w:rPr>
        <w:t>nte</w:t>
      </w:r>
      <w:r w:rsidRPr="007B7F00">
        <w:rPr>
          <w:i/>
          <w:iCs/>
        </w:rPr>
        <w:t xml:space="preserve"> </w:t>
      </w:r>
      <w:r w:rsidR="007852DC" w:rsidRPr="007B7F00">
        <w:rPr>
          <w:i/>
          <w:iCs/>
        </w:rPr>
        <w:t>d</w:t>
      </w:r>
      <w:r w:rsidRPr="007B7F00">
        <w:rPr>
          <w:i/>
          <w:iCs/>
        </w:rPr>
        <w:t>el espacio ilimitado, consciente de la 'con</w:t>
      </w:r>
      <w:r w:rsidR="007852DC" w:rsidRPr="007B7F00">
        <w:rPr>
          <w:i/>
          <w:iCs/>
        </w:rPr>
        <w:t>s</w:t>
      </w:r>
      <w:r w:rsidRPr="007B7F00">
        <w:rPr>
          <w:i/>
          <w:iCs/>
        </w:rPr>
        <w:t>ciencia ilimitada', entra</w:t>
      </w:r>
      <w:r w:rsidR="007852DC" w:rsidRPr="007B7F00">
        <w:rPr>
          <w:i/>
          <w:iCs/>
        </w:rPr>
        <w:t>rá</w:t>
      </w:r>
      <w:r w:rsidRPr="007B7F00">
        <w:rPr>
          <w:i/>
          <w:iCs/>
        </w:rPr>
        <w:t xml:space="preserve"> y </w:t>
      </w:r>
      <w:r w:rsidR="007852DC" w:rsidRPr="007B7F00">
        <w:rPr>
          <w:i/>
          <w:iCs/>
        </w:rPr>
        <w:t>habitará</w:t>
      </w:r>
      <w:r w:rsidRPr="007B7F00">
        <w:rPr>
          <w:i/>
          <w:iCs/>
        </w:rPr>
        <w:t xml:space="preserve"> en la base consiste</w:t>
      </w:r>
      <w:r w:rsidR="007852DC" w:rsidRPr="007B7F00">
        <w:rPr>
          <w:i/>
          <w:iCs/>
        </w:rPr>
        <w:t>nte</w:t>
      </w:r>
      <w:r w:rsidRPr="007B7F00">
        <w:rPr>
          <w:i/>
          <w:iCs/>
        </w:rPr>
        <w:t xml:space="preserve"> </w:t>
      </w:r>
      <w:r w:rsidR="007852DC" w:rsidRPr="007B7F00">
        <w:rPr>
          <w:i/>
          <w:iCs/>
        </w:rPr>
        <w:t>de</w:t>
      </w:r>
      <w:r w:rsidRPr="007B7F00">
        <w:rPr>
          <w:i/>
          <w:iCs/>
        </w:rPr>
        <w:t xml:space="preserve"> la con</w:t>
      </w:r>
      <w:r w:rsidR="007852DC" w:rsidRPr="007B7F00">
        <w:rPr>
          <w:i/>
          <w:iCs/>
        </w:rPr>
        <w:t>s</w:t>
      </w:r>
      <w:r w:rsidRPr="007B7F00">
        <w:rPr>
          <w:i/>
          <w:iCs/>
        </w:rPr>
        <w:t>ciencia ilimitada”</w:t>
      </w:r>
      <w:r>
        <w:t xml:space="preserve"> (</w:t>
      </w:r>
      <w:proofErr w:type="spellStart"/>
      <w:r>
        <w:t>Vibh</w:t>
      </w:r>
      <w:proofErr w:type="spellEnd"/>
      <w:r>
        <w:t xml:space="preserve"> 245).</w:t>
      </w:r>
    </w:p>
    <w:p w14:paraId="218DE587" w14:textId="0C46C214" w:rsidR="00F11855" w:rsidRDefault="00F11855" w:rsidP="00F11855">
      <w:r>
        <w:t xml:space="preserve">28. </w:t>
      </w:r>
      <w:r w:rsidR="002C365D">
        <w:tab/>
      </w:r>
      <w:r>
        <w:t xml:space="preserve">Aquí, </w:t>
      </w:r>
      <w:r w:rsidRPr="00984CD1">
        <w:rPr>
          <w:i/>
          <w:iCs/>
        </w:rPr>
        <w:t>completamente</w:t>
      </w:r>
      <w:r>
        <w:t xml:space="preserve"> </w:t>
      </w:r>
      <w:r w:rsidR="00B45302">
        <w:t xml:space="preserve">será </w:t>
      </w:r>
      <w:r>
        <w:t xml:space="preserve">como </w:t>
      </w:r>
      <w:r w:rsidR="00B45302">
        <w:t xml:space="preserve">lo </w:t>
      </w:r>
      <w:r>
        <w:t>ya se explic</w:t>
      </w:r>
      <w:r w:rsidR="00B45302">
        <w:t>ado</w:t>
      </w:r>
      <w:r>
        <w:t xml:space="preserve">. Al... </w:t>
      </w:r>
      <w:r w:rsidRPr="00984CD1">
        <w:rPr>
          <w:i/>
          <w:iCs/>
        </w:rPr>
        <w:t xml:space="preserve">superar </w:t>
      </w:r>
      <w:r w:rsidR="00D90EE0" w:rsidRPr="00984CD1">
        <w:rPr>
          <w:i/>
          <w:iCs/>
        </w:rPr>
        <w:t>completamente</w:t>
      </w:r>
      <w:r w:rsidR="00D90EE0">
        <w:t xml:space="preserve"> </w:t>
      </w:r>
      <w:r w:rsidRPr="00984CD1">
        <w:rPr>
          <w:i/>
          <w:iCs/>
        </w:rPr>
        <w:t>la base consiste</w:t>
      </w:r>
      <w:r w:rsidR="00B45302">
        <w:rPr>
          <w:i/>
          <w:iCs/>
        </w:rPr>
        <w:t>nte</w:t>
      </w:r>
      <w:r w:rsidRPr="00984CD1">
        <w:rPr>
          <w:i/>
          <w:iCs/>
        </w:rPr>
        <w:t xml:space="preserve"> </w:t>
      </w:r>
      <w:r w:rsidR="00360B00">
        <w:rPr>
          <w:i/>
          <w:iCs/>
        </w:rPr>
        <w:t xml:space="preserve">del </w:t>
      </w:r>
      <w:r w:rsidRPr="00984CD1">
        <w:rPr>
          <w:i/>
          <w:iCs/>
        </w:rPr>
        <w:t>espacio ilimitado</w:t>
      </w:r>
      <w:r>
        <w:t xml:space="preserve">: </w:t>
      </w:r>
      <w:r w:rsidR="00360B00">
        <w:t>a</w:t>
      </w:r>
      <w:r>
        <w:t xml:space="preserve">l </w:t>
      </w:r>
      <w:proofErr w:type="spellStart"/>
      <w:r w:rsidR="00057BF4" w:rsidRPr="00057BF4">
        <w:rPr>
          <w:i/>
        </w:rPr>
        <w:t>jhāna</w:t>
      </w:r>
      <w:proofErr w:type="spellEnd"/>
      <w:r>
        <w:t xml:space="preserve"> se </w:t>
      </w:r>
      <w:r w:rsidR="00360B00">
        <w:t xml:space="preserve">le </w:t>
      </w:r>
      <w:r>
        <w:t>llama</w:t>
      </w:r>
      <w:r w:rsidR="00360B00">
        <w:t>rá</w:t>
      </w:r>
      <w:r>
        <w:t xml:space="preserve"> la "base consiste</w:t>
      </w:r>
      <w:r w:rsidR="00360B00">
        <w:t>nte</w:t>
      </w:r>
      <w:r>
        <w:t xml:space="preserve"> </w:t>
      </w:r>
      <w:r w:rsidR="00360B00">
        <w:t>del</w:t>
      </w:r>
      <w:r>
        <w:t xml:space="preserve"> espacio ilimitado" en la forma ya establecida (§24), y </w:t>
      </w:r>
      <w:r w:rsidR="00360B00">
        <w:t xml:space="preserve">a </w:t>
      </w:r>
      <w:r>
        <w:t xml:space="preserve">su objeto también se </w:t>
      </w:r>
      <w:r w:rsidR="00360B00">
        <w:t xml:space="preserve">le </w:t>
      </w:r>
      <w:r>
        <w:t>llama</w:t>
      </w:r>
      <w:r w:rsidR="00360B00">
        <w:t>rá</w:t>
      </w:r>
      <w:r>
        <w:t xml:space="preserve"> así. </w:t>
      </w:r>
      <w:r w:rsidR="00360B00">
        <w:t xml:space="preserve">Ya </w:t>
      </w:r>
      <w:r>
        <w:t xml:space="preserve">que el objeto también </w:t>
      </w:r>
      <w:r w:rsidR="00360B00">
        <w:t xml:space="preserve">será </w:t>
      </w:r>
      <w:r w:rsidR="00595DDC">
        <w:t xml:space="preserve">el </w:t>
      </w:r>
      <w:r>
        <w:t>“espacio ilimitado” (</w:t>
      </w:r>
      <w:proofErr w:type="spellStart"/>
      <w:r w:rsidRPr="00984CD1">
        <w:rPr>
          <w:i/>
          <w:iCs/>
        </w:rPr>
        <w:t>ākāsānañcaṃ</w:t>
      </w:r>
      <w:proofErr w:type="spellEnd"/>
      <w:r>
        <w:t xml:space="preserve">) en la forma ya establecida (§24), y luego, debido a que </w:t>
      </w:r>
      <w:r w:rsidR="004D606E">
        <w:t xml:space="preserve">será </w:t>
      </w:r>
      <w:r>
        <w:t xml:space="preserve">el objeto del primer </w:t>
      </w:r>
      <w:proofErr w:type="spellStart"/>
      <w:r w:rsidR="00057BF4" w:rsidRPr="00057BF4">
        <w:rPr>
          <w:i/>
        </w:rPr>
        <w:t>jhāna</w:t>
      </w:r>
      <w:proofErr w:type="spellEnd"/>
      <w:r>
        <w:t xml:space="preserve"> inmaterial, </w:t>
      </w:r>
      <w:r w:rsidR="004D606E">
        <w:t xml:space="preserve">será </w:t>
      </w:r>
      <w:r>
        <w:t xml:space="preserve">su “base” en el sentido de hábitat, como la "base de las deidades" </w:t>
      </w:r>
      <w:r w:rsidR="004D606E">
        <w:t xml:space="preserve">lo </w:t>
      </w:r>
      <w:r>
        <w:t xml:space="preserve">es para las deidades, por lo tanto </w:t>
      </w:r>
      <w:r w:rsidR="004D606E">
        <w:t xml:space="preserve">será </w:t>
      </w:r>
      <w:r>
        <w:t>la "base consiste</w:t>
      </w:r>
      <w:r w:rsidR="004D606E">
        <w:t>nte</w:t>
      </w:r>
      <w:r>
        <w:t xml:space="preserve"> </w:t>
      </w:r>
      <w:r w:rsidR="004D606E">
        <w:t>del</w:t>
      </w:r>
      <w:r>
        <w:t xml:space="preserve"> espacio ilimitado". Del mismo modo: </w:t>
      </w:r>
      <w:r w:rsidR="00F20B37">
        <w:t xml:space="preserve">será </w:t>
      </w:r>
      <w:r w:rsidR="00284B4A">
        <w:t xml:space="preserve">el </w:t>
      </w:r>
      <w:r>
        <w:t xml:space="preserve">“espacio ilimitado”, y luego, </w:t>
      </w:r>
      <w:r w:rsidR="00CC13EB">
        <w:t>debido a que</w:t>
      </w:r>
      <w:r>
        <w:t xml:space="preserve"> </w:t>
      </w:r>
      <w:r w:rsidR="00B5021B">
        <w:t>será</w:t>
      </w:r>
      <w:r>
        <w:t xml:space="preserve"> la causa del </w:t>
      </w:r>
      <w:proofErr w:type="spellStart"/>
      <w:r w:rsidR="00057BF4" w:rsidRPr="00057BF4">
        <w:rPr>
          <w:i/>
        </w:rPr>
        <w:t>jhāna</w:t>
      </w:r>
      <w:proofErr w:type="spellEnd"/>
      <w:r>
        <w:t xml:space="preserve"> </w:t>
      </w:r>
      <w:r w:rsidR="00DA006A">
        <w:t xml:space="preserve">del ser </w:t>
      </w:r>
      <w:r>
        <w:t xml:space="preserve">de esa especie, </w:t>
      </w:r>
      <w:r w:rsidR="005E19F4">
        <w:t xml:space="preserve">será </w:t>
      </w:r>
      <w:r>
        <w:t>su “base” en el sentido de localidad de la</w:t>
      </w:r>
      <w:r w:rsidR="00DA006A">
        <w:t>s</w:t>
      </w:r>
      <w:r>
        <w:t xml:space="preserve"> especie</w:t>
      </w:r>
      <w:r w:rsidR="00DA006A">
        <w:t>s</w:t>
      </w:r>
      <w:r>
        <w:t xml:space="preserve">, como </w:t>
      </w:r>
      <w:proofErr w:type="spellStart"/>
      <w:r w:rsidRPr="00DA006A">
        <w:rPr>
          <w:i/>
          <w:iCs/>
        </w:rPr>
        <w:t>Kambojā</w:t>
      </w:r>
      <w:proofErr w:type="spellEnd"/>
      <w:r>
        <w:t xml:space="preserve"> </w:t>
      </w:r>
      <w:r w:rsidR="00DA006A">
        <w:t>puede ser</w:t>
      </w:r>
      <w:r>
        <w:t xml:space="preserve"> la “base” de los caballos, por lo tanto, </w:t>
      </w:r>
      <w:r w:rsidR="005E19F4">
        <w:t xml:space="preserve">será </w:t>
      </w:r>
      <w:r>
        <w:t>la "base consiste</w:t>
      </w:r>
      <w:r w:rsidR="005E19F4">
        <w:t>nte</w:t>
      </w:r>
      <w:r>
        <w:t xml:space="preserve"> </w:t>
      </w:r>
      <w:r w:rsidR="005E19F4">
        <w:t>del</w:t>
      </w:r>
      <w:r>
        <w:t xml:space="preserve"> espacio ilimitado" también de esta manera. Por lo tanto, debe entenderse que las palabras, "Superando la base consiste</w:t>
      </w:r>
      <w:r w:rsidR="005E19F4">
        <w:t>nte del</w:t>
      </w:r>
      <w:r>
        <w:t xml:space="preserve"> espacio ilimitado" incluyen ambos [el </w:t>
      </w:r>
      <w:proofErr w:type="spellStart"/>
      <w:r w:rsidR="00057BF4" w:rsidRPr="00057BF4">
        <w:rPr>
          <w:i/>
        </w:rPr>
        <w:t>jhāna</w:t>
      </w:r>
      <w:proofErr w:type="spellEnd"/>
      <w:r>
        <w:t xml:space="preserve"> y su objeto] </w:t>
      </w:r>
      <w:r w:rsidR="0089028D">
        <w:t>conjuntamente</w:t>
      </w:r>
      <w:r>
        <w:t xml:space="preserve">, ya que se debe entrar y </w:t>
      </w:r>
      <w:r w:rsidR="0089028D">
        <w:t xml:space="preserve">habitar </w:t>
      </w:r>
      <w:r>
        <w:t>en esta base consiste</w:t>
      </w:r>
      <w:r w:rsidR="0089028D">
        <w:t>nte</w:t>
      </w:r>
      <w:r>
        <w:t xml:space="preserve"> </w:t>
      </w:r>
      <w:r w:rsidR="0089028D">
        <w:t xml:space="preserve">de </w:t>
      </w:r>
      <w:r>
        <w:t>la con</w:t>
      </w:r>
      <w:r w:rsidR="0089028D">
        <w:t>s</w:t>
      </w:r>
      <w:r>
        <w:t>ciencia ilimitada precisamente superando, causa</w:t>
      </w:r>
      <w:r w:rsidR="00A959A9">
        <w:t>ndo</w:t>
      </w:r>
      <w:r>
        <w:t xml:space="preserve"> la no ocurrencia y al no prestar atención tanto al </w:t>
      </w:r>
      <w:proofErr w:type="spellStart"/>
      <w:r w:rsidR="00057BF4" w:rsidRPr="00057BF4">
        <w:rPr>
          <w:i/>
        </w:rPr>
        <w:t>jhāna</w:t>
      </w:r>
      <w:proofErr w:type="spellEnd"/>
      <w:r>
        <w:t xml:space="preserve"> como a su objeto.</w:t>
      </w:r>
    </w:p>
    <w:p w14:paraId="5BAB206B" w14:textId="1D7BD59B" w:rsidR="00F11855" w:rsidRDefault="00F11855" w:rsidP="00F11855">
      <w:r>
        <w:t xml:space="preserve">29. </w:t>
      </w:r>
      <w:r w:rsidR="002C365D">
        <w:tab/>
      </w:r>
      <w:r w:rsidRPr="00984CD1">
        <w:rPr>
          <w:i/>
          <w:iCs/>
        </w:rPr>
        <w:t>Con</w:t>
      </w:r>
      <w:r w:rsidR="00A959A9">
        <w:rPr>
          <w:i/>
          <w:iCs/>
        </w:rPr>
        <w:t>s</w:t>
      </w:r>
      <w:r w:rsidRPr="00984CD1">
        <w:rPr>
          <w:i/>
          <w:iCs/>
        </w:rPr>
        <w:t>ciencia ilimitada</w:t>
      </w:r>
      <w:r>
        <w:t>: Lo que se quiere decir es que él presta</w:t>
      </w:r>
      <w:r w:rsidR="00A959A9">
        <w:t>rá</w:t>
      </w:r>
      <w:r>
        <w:t xml:space="preserve"> su atención, por lo tanto, </w:t>
      </w:r>
      <w:r w:rsidR="00712204">
        <w:t xml:space="preserve">su </w:t>
      </w:r>
      <w:r>
        <w:t>"con</w:t>
      </w:r>
      <w:r w:rsidR="00A959A9">
        <w:t>s</w:t>
      </w:r>
      <w:r>
        <w:t>ciencia ilimitada" a esa misma con</w:t>
      </w:r>
      <w:r w:rsidR="00F37367">
        <w:t>s</w:t>
      </w:r>
      <w:r>
        <w:t>ciencia ocurri</w:t>
      </w:r>
      <w:r w:rsidR="00F37367">
        <w:t>da</w:t>
      </w:r>
      <w:r>
        <w:t xml:space="preserve"> al penetrar como su objeto el espacio</w:t>
      </w:r>
      <w:r w:rsidR="00F37367">
        <w:t>,</w:t>
      </w:r>
      <w:r>
        <w:t xml:space="preserve"> como "espacio ilimitado". O "ilimitado" se refiere a la atención. Porque cuando prest</w:t>
      </w:r>
      <w:r w:rsidR="00FA2388">
        <w:t>e</w:t>
      </w:r>
      <w:r>
        <w:t xml:space="preserve"> atención sin reservas a la con</w:t>
      </w:r>
      <w:r w:rsidR="00FA2388">
        <w:t>s</w:t>
      </w:r>
      <w:r>
        <w:t xml:space="preserve">ciencia que tenía </w:t>
      </w:r>
      <w:r w:rsidR="00FA2388">
        <w:t>a</w:t>
      </w:r>
      <w:r>
        <w:t xml:space="preserve">l espacio como </w:t>
      </w:r>
      <w:r w:rsidR="00FA2388">
        <w:t xml:space="preserve">su </w:t>
      </w:r>
      <w:r>
        <w:t>objeto, entonces la atención que presta</w:t>
      </w:r>
      <w:r w:rsidR="00920112">
        <w:t>rá</w:t>
      </w:r>
      <w:r>
        <w:t xml:space="preserve"> </w:t>
      </w:r>
      <w:r w:rsidR="00920112">
        <w:t xml:space="preserve">será </w:t>
      </w:r>
      <w:r>
        <w:t>“ilimitada”.</w:t>
      </w:r>
    </w:p>
    <w:p w14:paraId="23090900" w14:textId="62C2C460" w:rsidR="002C365D" w:rsidRDefault="00F11855" w:rsidP="00F11855">
      <w:r>
        <w:t xml:space="preserve">30. </w:t>
      </w:r>
      <w:r w:rsidR="002C365D">
        <w:tab/>
      </w:r>
      <w:r w:rsidR="00920112">
        <w:t xml:space="preserve">Ya </w:t>
      </w:r>
      <w:r>
        <w:t xml:space="preserve">que </w:t>
      </w:r>
      <w:r w:rsidR="00920112">
        <w:t xml:space="preserve">así </w:t>
      </w:r>
      <w:r>
        <w:t xml:space="preserve">se dice en el </w:t>
      </w:r>
      <w:proofErr w:type="spellStart"/>
      <w:r w:rsidRPr="00984CD1">
        <w:rPr>
          <w:i/>
          <w:iCs/>
        </w:rPr>
        <w:t>Vibhaṅga</w:t>
      </w:r>
      <w:proofErr w:type="spellEnd"/>
      <w:r>
        <w:t>: “</w:t>
      </w:r>
      <w:r w:rsidR="00920112">
        <w:t xml:space="preserve">La </w:t>
      </w:r>
      <w:r>
        <w:t>‘</w:t>
      </w:r>
      <w:r w:rsidR="00920112">
        <w:t>c</w:t>
      </w:r>
      <w:r>
        <w:t>on</w:t>
      </w:r>
      <w:r w:rsidR="00920112">
        <w:t>s</w:t>
      </w:r>
      <w:r>
        <w:t>ciencia ilimitada’: él presta</w:t>
      </w:r>
      <w:r w:rsidR="00920112">
        <w:t>rá</w:t>
      </w:r>
      <w:r>
        <w:t xml:space="preserve"> atención a ese mismo espacio impregnado por la con</w:t>
      </w:r>
      <w:r w:rsidR="00920112">
        <w:t>s</w:t>
      </w:r>
      <w:r>
        <w:t>ciencia, él penetra</w:t>
      </w:r>
      <w:r w:rsidR="00920112">
        <w:t>rá</w:t>
      </w:r>
      <w:r>
        <w:t xml:space="preserve"> sin límites, de ahí que se diga ‘con</w:t>
      </w:r>
      <w:r w:rsidR="00920112">
        <w:t>s</w:t>
      </w:r>
      <w:r>
        <w:t>ciencia ilimitada’” (</w:t>
      </w:r>
      <w:proofErr w:type="spellStart"/>
      <w:r>
        <w:t>Vibh</w:t>
      </w:r>
      <w:proofErr w:type="spellEnd"/>
      <w:r>
        <w:t xml:space="preserve"> 262). Pero en ese pasaje (</w:t>
      </w:r>
      <w:proofErr w:type="spellStart"/>
      <w:r w:rsidRPr="00984CD1">
        <w:rPr>
          <w:i/>
          <w:iCs/>
        </w:rPr>
        <w:t>taṃ</w:t>
      </w:r>
      <w:proofErr w:type="spellEnd"/>
      <w:r w:rsidRPr="00984CD1">
        <w:rPr>
          <w:i/>
          <w:iCs/>
        </w:rPr>
        <w:t xml:space="preserve"> </w:t>
      </w:r>
      <w:proofErr w:type="spellStart"/>
      <w:r w:rsidRPr="00984CD1">
        <w:rPr>
          <w:i/>
          <w:iCs/>
        </w:rPr>
        <w:t>yeva</w:t>
      </w:r>
      <w:proofErr w:type="spellEnd"/>
      <w:r w:rsidRPr="00984CD1">
        <w:rPr>
          <w:i/>
          <w:iCs/>
        </w:rPr>
        <w:t xml:space="preserve"> </w:t>
      </w:r>
      <w:proofErr w:type="spellStart"/>
      <w:r w:rsidRPr="00984CD1">
        <w:rPr>
          <w:i/>
          <w:iCs/>
        </w:rPr>
        <w:t>ākāsaṃ</w:t>
      </w:r>
      <w:proofErr w:type="spellEnd"/>
      <w:r w:rsidRPr="00984CD1">
        <w:rPr>
          <w:i/>
          <w:iCs/>
        </w:rPr>
        <w:t xml:space="preserve"> </w:t>
      </w:r>
      <w:proofErr w:type="spellStart"/>
      <w:r w:rsidRPr="00984CD1">
        <w:rPr>
          <w:i/>
          <w:iCs/>
        </w:rPr>
        <w:t>viññāṇena</w:t>
      </w:r>
      <w:proofErr w:type="spellEnd"/>
      <w:r w:rsidRPr="00984CD1">
        <w:rPr>
          <w:i/>
          <w:iCs/>
        </w:rPr>
        <w:t xml:space="preserve"> </w:t>
      </w:r>
      <w:proofErr w:type="spellStart"/>
      <w:r w:rsidRPr="00984CD1">
        <w:rPr>
          <w:i/>
          <w:iCs/>
        </w:rPr>
        <w:t>phuṭaṃ</w:t>
      </w:r>
      <w:proofErr w:type="spellEnd"/>
      <w:r>
        <w:t>) el caso instrumental “</w:t>
      </w:r>
      <w:r w:rsidR="00E23059">
        <w:t>mediante</w:t>
      </w:r>
      <w:r>
        <w:t xml:space="preserve"> la con</w:t>
      </w:r>
      <w:r w:rsidR="00493454">
        <w:t>s</w:t>
      </w:r>
      <w:r>
        <w:t>ciencia” debe</w:t>
      </w:r>
      <w:r w:rsidR="00493454">
        <w:t>rá</w:t>
      </w:r>
      <w:r>
        <w:t xml:space="preserve"> entenderse en el sentido acusativo; porque los maestros del comentario explican su significado de esa manera. Lo que significa “Él impregna sin límites” es que “Él presta</w:t>
      </w:r>
      <w:r w:rsidR="000E67F9">
        <w:t>rá</w:t>
      </w:r>
      <w:r>
        <w:t xml:space="preserve"> atención a esa misma con</w:t>
      </w:r>
      <w:r w:rsidR="005D3B0A">
        <w:t>s</w:t>
      </w:r>
      <w:r>
        <w:t>ciencia que hab</w:t>
      </w:r>
      <w:r w:rsidR="000E67F9">
        <w:t>rá</w:t>
      </w:r>
      <w:r>
        <w:t xml:space="preserve"> impregnado ese espacio” (</w:t>
      </w:r>
      <w:proofErr w:type="spellStart"/>
      <w:r w:rsidRPr="00984CD1">
        <w:rPr>
          <w:i/>
          <w:iCs/>
        </w:rPr>
        <w:t>taṃ</w:t>
      </w:r>
      <w:proofErr w:type="spellEnd"/>
      <w:r w:rsidRPr="00984CD1">
        <w:rPr>
          <w:i/>
          <w:iCs/>
        </w:rPr>
        <w:t xml:space="preserve"> </w:t>
      </w:r>
      <w:proofErr w:type="spellStart"/>
      <w:r w:rsidRPr="00984CD1">
        <w:rPr>
          <w:i/>
          <w:iCs/>
        </w:rPr>
        <w:t>yeva</w:t>
      </w:r>
      <w:proofErr w:type="spellEnd"/>
      <w:r w:rsidRPr="00984CD1">
        <w:rPr>
          <w:i/>
          <w:iCs/>
        </w:rPr>
        <w:t xml:space="preserve"> </w:t>
      </w:r>
      <w:proofErr w:type="spellStart"/>
      <w:r w:rsidRPr="00984CD1">
        <w:rPr>
          <w:i/>
          <w:iCs/>
        </w:rPr>
        <w:t>ākāsaṃ</w:t>
      </w:r>
      <w:proofErr w:type="spellEnd"/>
      <w:r w:rsidRPr="00984CD1">
        <w:rPr>
          <w:i/>
          <w:iCs/>
        </w:rPr>
        <w:t xml:space="preserve"> </w:t>
      </w:r>
      <w:proofErr w:type="spellStart"/>
      <w:r w:rsidRPr="00984CD1">
        <w:rPr>
          <w:i/>
          <w:iCs/>
        </w:rPr>
        <w:t>phuṭaṃ</w:t>
      </w:r>
      <w:proofErr w:type="spellEnd"/>
      <w:r w:rsidRPr="00984CD1">
        <w:rPr>
          <w:i/>
          <w:iCs/>
        </w:rPr>
        <w:t xml:space="preserve"> </w:t>
      </w:r>
      <w:proofErr w:type="spellStart"/>
      <w:r w:rsidR="00057BF4" w:rsidRPr="00057BF4">
        <w:rPr>
          <w:i/>
          <w:iCs/>
        </w:rPr>
        <w:t>viññāṇa</w:t>
      </w:r>
      <w:r w:rsidRPr="00984CD1">
        <w:rPr>
          <w:i/>
          <w:iCs/>
        </w:rPr>
        <w:t>ṃ</w:t>
      </w:r>
      <w:proofErr w:type="spellEnd"/>
      <w:r>
        <w:t>).</w:t>
      </w:r>
    </w:p>
    <w:p w14:paraId="36F9C742" w14:textId="77777777" w:rsidR="002C365D" w:rsidRDefault="002C365D">
      <w:pPr>
        <w:tabs>
          <w:tab w:val="clear" w:pos="425"/>
        </w:tabs>
        <w:spacing w:after="160"/>
      </w:pPr>
      <w:r>
        <w:br w:type="page"/>
      </w:r>
    </w:p>
    <w:p w14:paraId="5DEF66D0" w14:textId="77777777" w:rsidR="002C365D" w:rsidRDefault="002C365D" w:rsidP="00F11855"/>
    <w:p w14:paraId="497B982A" w14:textId="0D3C0D2D" w:rsidR="00CE7A08" w:rsidRDefault="00CE7A08" w:rsidP="00CE7A08">
      <w:r>
        <w:t xml:space="preserve">31. </w:t>
      </w:r>
      <w:r>
        <w:tab/>
      </w:r>
      <w:r w:rsidRPr="00984CD1">
        <w:rPr>
          <w:i/>
          <w:iCs/>
        </w:rPr>
        <w:t>Entra</w:t>
      </w:r>
      <w:r w:rsidR="009B6EAE">
        <w:rPr>
          <w:i/>
          <w:iCs/>
        </w:rPr>
        <w:t>rá</w:t>
      </w:r>
      <w:r w:rsidRPr="00984CD1">
        <w:rPr>
          <w:i/>
          <w:iCs/>
        </w:rPr>
        <w:t xml:space="preserve"> y </w:t>
      </w:r>
      <w:r w:rsidR="005D3B0A">
        <w:rPr>
          <w:i/>
          <w:iCs/>
        </w:rPr>
        <w:t>habita</w:t>
      </w:r>
      <w:r w:rsidR="009B6EAE">
        <w:rPr>
          <w:i/>
          <w:iCs/>
        </w:rPr>
        <w:t>rá</w:t>
      </w:r>
      <w:r w:rsidRPr="00984CD1">
        <w:rPr>
          <w:i/>
          <w:iCs/>
        </w:rPr>
        <w:t xml:space="preserve"> en la base consiste</w:t>
      </w:r>
      <w:r w:rsidR="005D3B0A">
        <w:rPr>
          <w:i/>
          <w:iCs/>
        </w:rPr>
        <w:t>nte</w:t>
      </w:r>
      <w:r w:rsidRPr="00984CD1">
        <w:rPr>
          <w:i/>
          <w:iCs/>
        </w:rPr>
        <w:t xml:space="preserve"> </w:t>
      </w:r>
      <w:r w:rsidR="005D3B0A">
        <w:rPr>
          <w:i/>
          <w:iCs/>
        </w:rPr>
        <w:t>de</w:t>
      </w:r>
      <w:r w:rsidRPr="00984CD1">
        <w:rPr>
          <w:i/>
          <w:iCs/>
        </w:rPr>
        <w:t xml:space="preserve"> la con</w:t>
      </w:r>
      <w:r w:rsidR="005D3B0A">
        <w:rPr>
          <w:i/>
          <w:iCs/>
        </w:rPr>
        <w:t>s</w:t>
      </w:r>
      <w:r w:rsidRPr="00984CD1">
        <w:rPr>
          <w:i/>
          <w:iCs/>
        </w:rPr>
        <w:t>ciencia ilimitada</w:t>
      </w:r>
      <w:r>
        <w:t xml:space="preserve">: [333] no </w:t>
      </w:r>
      <w:r w:rsidR="009B6EAE">
        <w:t xml:space="preserve">tendrá </w:t>
      </w:r>
      <w:r>
        <w:t>límites (</w:t>
      </w:r>
      <w:r w:rsidRPr="009B6EAE">
        <w:rPr>
          <w:i/>
          <w:iCs/>
        </w:rPr>
        <w:t>anta</w:t>
      </w:r>
      <w:r>
        <w:t>, lit</w:t>
      </w:r>
      <w:r w:rsidR="000E67F9">
        <w:t>eralmente</w:t>
      </w:r>
      <w:r>
        <w:t xml:space="preserve"> </w:t>
      </w:r>
      <w:r w:rsidR="000E67F9">
        <w:t>término</w:t>
      </w:r>
      <w:r>
        <w:t xml:space="preserve">), por lo que </w:t>
      </w:r>
      <w:r w:rsidR="00E842C4">
        <w:t xml:space="preserve">será </w:t>
      </w:r>
      <w:r>
        <w:t>ilimitado (</w:t>
      </w:r>
      <w:proofErr w:type="spellStart"/>
      <w:r w:rsidRPr="00984CD1">
        <w:rPr>
          <w:i/>
          <w:iCs/>
        </w:rPr>
        <w:t>ananta</w:t>
      </w:r>
      <w:proofErr w:type="spellEnd"/>
      <w:r>
        <w:t xml:space="preserve">). Lo que </w:t>
      </w:r>
      <w:r w:rsidR="00E842C4">
        <w:t xml:space="preserve">sea infinito será </w:t>
      </w:r>
      <w:r>
        <w:t>ilimitado (</w:t>
      </w:r>
      <w:proofErr w:type="spellStart"/>
      <w:r w:rsidRPr="00984CD1">
        <w:rPr>
          <w:i/>
          <w:iCs/>
        </w:rPr>
        <w:t>ānañca</w:t>
      </w:r>
      <w:proofErr w:type="spellEnd"/>
      <w:r w:rsidRPr="00984CD1">
        <w:rPr>
          <w:i/>
          <w:iCs/>
        </w:rPr>
        <w:t xml:space="preserve"> </w:t>
      </w:r>
      <w:proofErr w:type="spellStart"/>
      <w:r w:rsidRPr="00984CD1">
        <w:rPr>
          <w:i/>
          <w:iCs/>
        </w:rPr>
        <w:t>lit.</w:t>
      </w:r>
      <w:proofErr w:type="spellEnd"/>
      <w:r>
        <w:t xml:space="preserve"> Ilimitado), y </w:t>
      </w:r>
      <w:r w:rsidR="00E842C4">
        <w:t xml:space="preserve">a </w:t>
      </w:r>
      <w:r>
        <w:t>la con</w:t>
      </w:r>
      <w:r w:rsidR="00E842C4">
        <w:t>s</w:t>
      </w:r>
      <w:r>
        <w:t xml:space="preserve">ciencia </w:t>
      </w:r>
      <w:proofErr w:type="spellStart"/>
      <w:r w:rsidR="004B1D4A">
        <w:t>inifinita</w:t>
      </w:r>
      <w:proofErr w:type="spellEnd"/>
      <w:r>
        <w:t xml:space="preserve"> se </w:t>
      </w:r>
      <w:r w:rsidR="00E842C4">
        <w:t xml:space="preserve">le </w:t>
      </w:r>
      <w:r>
        <w:t>llama</w:t>
      </w:r>
      <w:r w:rsidR="00E842C4">
        <w:t>rá</w:t>
      </w:r>
      <w:r>
        <w:t xml:space="preserve"> "</w:t>
      </w:r>
      <w:r w:rsidR="00305E12">
        <w:t>consciencia</w:t>
      </w:r>
      <w:r>
        <w:t xml:space="preserve"> ilimitada", es decir, "</w:t>
      </w:r>
      <w:proofErr w:type="spellStart"/>
      <w:r w:rsidR="00057BF4" w:rsidRPr="00057BF4">
        <w:rPr>
          <w:i/>
          <w:iCs/>
        </w:rPr>
        <w:t>viññāṇa</w:t>
      </w:r>
      <w:r w:rsidRPr="00984CD1">
        <w:rPr>
          <w:i/>
          <w:iCs/>
        </w:rPr>
        <w:t>ñcaṃ</w:t>
      </w:r>
      <w:proofErr w:type="spellEnd"/>
      <w:r>
        <w:t>"</w:t>
      </w:r>
      <w:r w:rsidR="004B1D4A">
        <w:t>,</w:t>
      </w:r>
      <w:r>
        <w:t xml:space="preserve"> en </w:t>
      </w:r>
      <w:r w:rsidR="004B1D4A">
        <w:t>su</w:t>
      </w:r>
      <w:r>
        <w:t xml:space="preserve"> forma contraída</w:t>
      </w:r>
      <w:r w:rsidR="004B1D4A">
        <w:t>,</w:t>
      </w:r>
      <w:r>
        <w:t xml:space="preserve"> en lugar de "</w:t>
      </w:r>
      <w:proofErr w:type="spellStart"/>
      <w:r w:rsidRPr="00984CD1">
        <w:rPr>
          <w:i/>
          <w:iCs/>
        </w:rPr>
        <w:t>viññāṇānañcaṃ</w:t>
      </w:r>
      <w:proofErr w:type="spellEnd"/>
      <w:r>
        <w:t xml:space="preserve">" [que es el número completo de sílabas]. </w:t>
      </w:r>
      <w:r w:rsidR="00B57985">
        <w:t>É</w:t>
      </w:r>
      <w:r>
        <w:t>st</w:t>
      </w:r>
      <w:r w:rsidR="00897A39">
        <w:t>e</w:t>
      </w:r>
      <w:r>
        <w:t xml:space="preserve"> es un </w:t>
      </w:r>
      <w:r w:rsidR="00B57985">
        <w:t xml:space="preserve">uso </w:t>
      </w:r>
      <w:r>
        <w:t>idiomátic</w:t>
      </w:r>
      <w:r w:rsidR="00B57985">
        <w:t>o</w:t>
      </w:r>
      <w:r>
        <w:t>. Esa con</w:t>
      </w:r>
      <w:r w:rsidR="00B57985">
        <w:t>s</w:t>
      </w:r>
      <w:r>
        <w:t>ciencia ilimitada (</w:t>
      </w:r>
      <w:proofErr w:type="spellStart"/>
      <w:r w:rsidR="00057BF4" w:rsidRPr="00057BF4">
        <w:rPr>
          <w:i/>
          <w:iCs/>
        </w:rPr>
        <w:t>viññāṇa</w:t>
      </w:r>
      <w:r w:rsidRPr="00984CD1">
        <w:rPr>
          <w:i/>
          <w:iCs/>
        </w:rPr>
        <w:t>ñca</w:t>
      </w:r>
      <w:proofErr w:type="spellEnd"/>
      <w:r>
        <w:t xml:space="preserve">) </w:t>
      </w:r>
      <w:r w:rsidR="00B57985">
        <w:t xml:space="preserve">será </w:t>
      </w:r>
      <w:r>
        <w:t>la base (</w:t>
      </w:r>
      <w:proofErr w:type="spellStart"/>
      <w:r w:rsidRPr="00984CD1">
        <w:rPr>
          <w:i/>
          <w:iCs/>
        </w:rPr>
        <w:t>āyatana</w:t>
      </w:r>
      <w:proofErr w:type="spellEnd"/>
      <w:r>
        <w:t xml:space="preserve">) en el sentido de fundamento para el </w:t>
      </w:r>
      <w:proofErr w:type="spellStart"/>
      <w:r w:rsidR="00057BF4" w:rsidRPr="00057BF4">
        <w:rPr>
          <w:i/>
        </w:rPr>
        <w:t>jhāna</w:t>
      </w:r>
      <w:proofErr w:type="spellEnd"/>
      <w:r>
        <w:t xml:space="preserve"> cuya naturaleza </w:t>
      </w:r>
      <w:r w:rsidR="009550D8">
        <w:t xml:space="preserve">será </w:t>
      </w:r>
      <w:r>
        <w:t xml:space="preserve">asociarse con él, como la "base de las deidades" lo es para las deidades, por lo tanto </w:t>
      </w:r>
      <w:r w:rsidR="009550D8">
        <w:t xml:space="preserve">será </w:t>
      </w:r>
      <w:r>
        <w:t>la "base consiste</w:t>
      </w:r>
      <w:r w:rsidR="009550D8">
        <w:t>nte</w:t>
      </w:r>
      <w:r>
        <w:t xml:space="preserve"> </w:t>
      </w:r>
      <w:r w:rsidR="009550D8">
        <w:t>de la</w:t>
      </w:r>
      <w:r>
        <w:t xml:space="preserve"> con</w:t>
      </w:r>
      <w:r w:rsidR="00897A39">
        <w:t>s</w:t>
      </w:r>
      <w:r>
        <w:t>ciencia” (</w:t>
      </w:r>
      <w:proofErr w:type="spellStart"/>
      <w:r w:rsidR="00057BF4" w:rsidRPr="00057BF4">
        <w:rPr>
          <w:i/>
          <w:iCs/>
        </w:rPr>
        <w:t>viññāṇa</w:t>
      </w:r>
      <w:r w:rsidRPr="00984CD1">
        <w:rPr>
          <w:i/>
          <w:iCs/>
        </w:rPr>
        <w:t>ñc</w:t>
      </w:r>
      <w:r w:rsidR="00984CD1" w:rsidRPr="00984CD1">
        <w:rPr>
          <w:i/>
          <w:iCs/>
        </w:rPr>
        <w:t>k</w:t>
      </w:r>
      <w:r w:rsidRPr="00984CD1">
        <w:rPr>
          <w:i/>
          <w:iCs/>
        </w:rPr>
        <w:t>āyatana</w:t>
      </w:r>
      <w:proofErr w:type="spellEnd"/>
      <w:r>
        <w:t xml:space="preserve">). El resto </w:t>
      </w:r>
      <w:r w:rsidR="009550D8">
        <w:t xml:space="preserve">será </w:t>
      </w:r>
      <w:r>
        <w:t xml:space="preserve">igual que </w:t>
      </w:r>
      <w:r w:rsidR="009E7768">
        <w:t>lo expuesto previamente</w:t>
      </w:r>
      <w:r>
        <w:t>.</w:t>
      </w:r>
    </w:p>
    <w:p w14:paraId="2589571B" w14:textId="437C32E6" w:rsidR="00CE7A08" w:rsidRDefault="009E7768" w:rsidP="005F2F34">
      <w:pPr>
        <w:pStyle w:val="NormalConSangria"/>
      </w:pPr>
      <w:r>
        <w:t>É</w:t>
      </w:r>
      <w:r w:rsidR="00CE7A08">
        <w:t xml:space="preserve">sta es la explicación detallada </w:t>
      </w:r>
      <w:r>
        <w:t xml:space="preserve">sobre </w:t>
      </w:r>
      <w:r w:rsidR="00CE7A08">
        <w:t>la base consiste</w:t>
      </w:r>
      <w:r>
        <w:t>nte</w:t>
      </w:r>
      <w:r w:rsidR="00CE7A08">
        <w:t xml:space="preserve"> </w:t>
      </w:r>
      <w:r>
        <w:t xml:space="preserve">de </w:t>
      </w:r>
      <w:r w:rsidR="00CE7A08">
        <w:t xml:space="preserve">la </w:t>
      </w:r>
      <w:r w:rsidR="00305E12">
        <w:t>consciencia</w:t>
      </w:r>
      <w:r w:rsidR="00CE7A08">
        <w:t xml:space="preserve"> ilimitada como </w:t>
      </w:r>
      <w:r>
        <w:t xml:space="preserve">objeto </w:t>
      </w:r>
      <w:r w:rsidR="00CE7A08">
        <w:t>de meditación.</w:t>
      </w:r>
    </w:p>
    <w:p w14:paraId="20DF641A" w14:textId="21704315" w:rsidR="00CE7A08" w:rsidRDefault="00CE7A08" w:rsidP="00CE7A08">
      <w:pPr>
        <w:pStyle w:val="Ttulo3"/>
        <w:ind w:left="708"/>
      </w:pPr>
      <w:r>
        <w:t>[(3) La Base Consiste</w:t>
      </w:r>
      <w:r w:rsidR="00011455">
        <w:t>nte</w:t>
      </w:r>
      <w:r>
        <w:t xml:space="preserve"> </w:t>
      </w:r>
      <w:r w:rsidR="00011455">
        <w:t>del Vacío</w:t>
      </w:r>
      <w:r>
        <w:t>]</w:t>
      </w:r>
    </w:p>
    <w:p w14:paraId="35100340" w14:textId="35DC10C3" w:rsidR="00CE7A08" w:rsidRDefault="00CE7A08" w:rsidP="00CE7A08">
      <w:r>
        <w:t xml:space="preserve">32. </w:t>
      </w:r>
      <w:r w:rsidR="005F2F34">
        <w:tab/>
      </w:r>
      <w:r>
        <w:t xml:space="preserve">Cuando </w:t>
      </w:r>
      <w:r w:rsidR="00011455">
        <w:t xml:space="preserve">él desee </w:t>
      </w:r>
      <w:r>
        <w:t>desarrollar la base consiste</w:t>
      </w:r>
      <w:r w:rsidR="00011455">
        <w:t>nte</w:t>
      </w:r>
      <w:r>
        <w:t xml:space="preserve"> </w:t>
      </w:r>
      <w:r w:rsidR="003D189E">
        <w:t>del vacío</w:t>
      </w:r>
      <w:r>
        <w:t>, primero debe</w:t>
      </w:r>
      <w:r w:rsidR="003D189E">
        <w:t>rá</w:t>
      </w:r>
      <w:r>
        <w:t xml:space="preserve"> </w:t>
      </w:r>
      <w:r w:rsidR="003D189E">
        <w:t xml:space="preserve">desarrolla </w:t>
      </w:r>
      <w:r>
        <w:t xml:space="preserve">maestría en las cinco vías </w:t>
      </w:r>
      <w:r w:rsidR="00E3253E">
        <w:t>para</w:t>
      </w:r>
      <w:r>
        <w:t xml:space="preserve"> el logro de la base consiste</w:t>
      </w:r>
      <w:r w:rsidR="003D189E">
        <w:t>nte de</w:t>
      </w:r>
      <w:r>
        <w:t xml:space="preserve"> la con</w:t>
      </w:r>
      <w:r w:rsidR="003D189E">
        <w:t>s</w:t>
      </w:r>
      <w:r>
        <w:t>ciencia ilimitada. Entonces deber</w:t>
      </w:r>
      <w:r w:rsidR="008A406E">
        <w:t>á</w:t>
      </w:r>
      <w:r>
        <w:t xml:space="preserve"> </w:t>
      </w:r>
      <w:r w:rsidR="008A406E">
        <w:t xml:space="preserve">apreciar </w:t>
      </w:r>
      <w:r>
        <w:t>el peligro en la base consiste</w:t>
      </w:r>
      <w:r w:rsidR="008A406E">
        <w:t>nte</w:t>
      </w:r>
      <w:r>
        <w:t xml:space="preserve"> </w:t>
      </w:r>
      <w:r w:rsidR="008A406E">
        <w:t xml:space="preserve">de </w:t>
      </w:r>
      <w:r>
        <w:t xml:space="preserve">la </w:t>
      </w:r>
      <w:r w:rsidR="00305E12">
        <w:t>consciencia</w:t>
      </w:r>
      <w:r>
        <w:t xml:space="preserve"> ilimitada </w:t>
      </w:r>
      <w:r w:rsidR="008A406E">
        <w:t>así</w:t>
      </w:r>
      <w:r>
        <w:t xml:space="preserve">: “Este logro tiene </w:t>
      </w:r>
      <w:r w:rsidR="008A406E">
        <w:t xml:space="preserve">a </w:t>
      </w:r>
      <w:r>
        <w:t>la base consiste</w:t>
      </w:r>
      <w:r w:rsidR="008A406E">
        <w:t>nte</w:t>
      </w:r>
      <w:r>
        <w:t xml:space="preserve"> </w:t>
      </w:r>
      <w:r w:rsidR="008A406E">
        <w:t>d</w:t>
      </w:r>
      <w:r>
        <w:t xml:space="preserve">el espacio ilimitado como su enemigo cercano, y no es tan </w:t>
      </w:r>
      <w:r w:rsidR="00F277CB">
        <w:t xml:space="preserve">apacible </w:t>
      </w:r>
      <w:r>
        <w:t>como la base consiste</w:t>
      </w:r>
      <w:r w:rsidR="00F277CB">
        <w:t>nte</w:t>
      </w:r>
      <w:r>
        <w:t xml:space="preserve"> </w:t>
      </w:r>
      <w:r w:rsidR="00F277CB">
        <w:t>del vacío</w:t>
      </w:r>
      <w:r>
        <w:t xml:space="preserve">”. Entonces, habiendo terminado su apego </w:t>
      </w:r>
      <w:r w:rsidR="0071231A">
        <w:t xml:space="preserve">hacia </w:t>
      </w:r>
      <w:r>
        <w:t>e</w:t>
      </w:r>
      <w:r w:rsidR="00F277CB">
        <w:t>ll</w:t>
      </w:r>
      <w:r>
        <w:t>o, debe</w:t>
      </w:r>
      <w:r w:rsidR="00F277CB">
        <w:t>rá</w:t>
      </w:r>
      <w:r>
        <w:t xml:space="preserve"> prestar atención a la base consiste</w:t>
      </w:r>
      <w:r w:rsidR="00F277CB">
        <w:t>nte</w:t>
      </w:r>
      <w:r>
        <w:t xml:space="preserve"> </w:t>
      </w:r>
      <w:r w:rsidR="00F277CB">
        <w:t xml:space="preserve">del vacío </w:t>
      </w:r>
      <w:r>
        <w:t xml:space="preserve">como </w:t>
      </w:r>
      <w:r w:rsidR="0071231A">
        <w:t xml:space="preserve">más </w:t>
      </w:r>
      <w:r w:rsidR="00B4652B">
        <w:t>apacible</w:t>
      </w:r>
      <w:r>
        <w:t>. Debe</w:t>
      </w:r>
      <w:r w:rsidR="00B4652B">
        <w:t>rá</w:t>
      </w:r>
      <w:r>
        <w:t xml:space="preserve"> prestar atención a la inexistencia presente, </w:t>
      </w:r>
      <w:r w:rsidR="00973EB5">
        <w:t>a</w:t>
      </w:r>
      <w:r>
        <w:t xml:space="preserve">l vacío, </w:t>
      </w:r>
      <w:r w:rsidR="00973EB5">
        <w:t>a</w:t>
      </w:r>
      <w:r>
        <w:t>l aspecto aislado, de esa misma con</w:t>
      </w:r>
      <w:r w:rsidR="00973EB5">
        <w:t>s</w:t>
      </w:r>
      <w:r>
        <w:t>ciencia pasada pertenec</w:t>
      </w:r>
      <w:r w:rsidR="0071231A">
        <w:t>iente</w:t>
      </w:r>
      <w:r>
        <w:t xml:space="preserve"> a la base consiste</w:t>
      </w:r>
      <w:r w:rsidR="00973EB5">
        <w:t>nte</w:t>
      </w:r>
      <w:r>
        <w:t xml:space="preserve"> </w:t>
      </w:r>
      <w:r w:rsidR="00973EB5">
        <w:t xml:space="preserve">del </w:t>
      </w:r>
      <w:r>
        <w:t xml:space="preserve">espacio ilimitado, que se convirtió en el objeto de la </w:t>
      </w:r>
      <w:r w:rsidR="00305E12">
        <w:t>consciencia</w:t>
      </w:r>
      <w:r>
        <w:t xml:space="preserve"> pertenec</w:t>
      </w:r>
      <w:r w:rsidR="00012052">
        <w:t>iente</w:t>
      </w:r>
      <w:r>
        <w:t xml:space="preserve"> a la base consiste</w:t>
      </w:r>
      <w:r w:rsidR="00012052">
        <w:t>nte</w:t>
      </w:r>
      <w:r>
        <w:t xml:space="preserve"> </w:t>
      </w:r>
      <w:proofErr w:type="gramStart"/>
      <w:r w:rsidR="00012052">
        <w:t xml:space="preserve">del consciencia </w:t>
      </w:r>
      <w:r>
        <w:t>ilimitad</w:t>
      </w:r>
      <w:r w:rsidR="00012052">
        <w:t>a</w:t>
      </w:r>
      <w:proofErr w:type="gramEnd"/>
      <w:r>
        <w:t xml:space="preserve">. ¿Como </w:t>
      </w:r>
      <w:r w:rsidR="00DD7F29">
        <w:t xml:space="preserve">hará </w:t>
      </w:r>
      <w:r>
        <w:t>él esto?</w:t>
      </w:r>
    </w:p>
    <w:p w14:paraId="425984DE" w14:textId="77FDA982" w:rsidR="00CE7A08" w:rsidRDefault="00CE7A08" w:rsidP="00CE7A08">
      <w:r>
        <w:t xml:space="preserve">33. </w:t>
      </w:r>
      <w:r w:rsidR="005F2F34">
        <w:tab/>
      </w:r>
      <w:r>
        <w:t>Sin prestar más atención a esa con</w:t>
      </w:r>
      <w:r w:rsidR="00DD7F29">
        <w:t>s</w:t>
      </w:r>
      <w:r>
        <w:t>ciencia, deber</w:t>
      </w:r>
      <w:r w:rsidR="00DD7F29">
        <w:t>á</w:t>
      </w:r>
      <w:r>
        <w:t xml:space="preserve"> ahora advertir</w:t>
      </w:r>
      <w:r w:rsidR="002C710F">
        <w:t>la</w:t>
      </w:r>
      <w:r>
        <w:t xml:space="preserve"> una y otra vez de esta manera, “</w:t>
      </w:r>
      <w:r w:rsidR="002C710F">
        <w:t>nada</w:t>
      </w:r>
      <w:r>
        <w:t xml:space="preserve">, </w:t>
      </w:r>
      <w:r w:rsidR="002C710F">
        <w:t>nada</w:t>
      </w:r>
      <w:r>
        <w:t>”, o “vacío, vacío”, o “</w:t>
      </w:r>
      <w:r w:rsidR="00907BEF">
        <w:t>aisla</w:t>
      </w:r>
      <w:r w:rsidR="0071231A">
        <w:t>miento</w:t>
      </w:r>
      <w:r>
        <w:t xml:space="preserve">, </w:t>
      </w:r>
      <w:r w:rsidR="0071231A">
        <w:t>aislamiento</w:t>
      </w:r>
      <w:r>
        <w:t xml:space="preserve">”, y </w:t>
      </w:r>
      <w:r w:rsidR="000157B4">
        <w:t xml:space="preserve">le </w:t>
      </w:r>
      <w:r>
        <w:t>prest</w:t>
      </w:r>
      <w:r w:rsidR="00907BEF">
        <w:t>ará</w:t>
      </w:r>
      <w:r>
        <w:t xml:space="preserve"> su atención, </w:t>
      </w:r>
      <w:r w:rsidR="000157B4">
        <w:t xml:space="preserve">lo </w:t>
      </w:r>
      <w:r>
        <w:t>rev</w:t>
      </w:r>
      <w:r w:rsidR="000157B4">
        <w:t>i</w:t>
      </w:r>
      <w:r>
        <w:t>s</w:t>
      </w:r>
      <w:r w:rsidR="000157B4">
        <w:t xml:space="preserve">ará </w:t>
      </w:r>
      <w:r w:rsidR="008E2564">
        <w:t xml:space="preserve">e impulsará </w:t>
      </w:r>
      <w:r>
        <w:t xml:space="preserve">con </w:t>
      </w:r>
      <w:proofErr w:type="gramStart"/>
      <w:r w:rsidR="008E2564">
        <w:t>aplicación mental y sustentación mental</w:t>
      </w:r>
      <w:proofErr w:type="gramEnd"/>
      <w:r>
        <w:t>.</w:t>
      </w:r>
    </w:p>
    <w:p w14:paraId="7F4B1196" w14:textId="6655A5AE" w:rsidR="00CE7A08" w:rsidRDefault="00CE7A08" w:rsidP="00CE7A08">
      <w:r>
        <w:t xml:space="preserve">34. </w:t>
      </w:r>
      <w:r w:rsidR="005F2F34">
        <w:tab/>
      </w:r>
      <w:r>
        <w:t>A medida que diri</w:t>
      </w:r>
      <w:r w:rsidR="008E2564">
        <w:t>ja</w:t>
      </w:r>
      <w:r>
        <w:t xml:space="preserve"> su mente hacia ese signo, se suprim</w:t>
      </w:r>
      <w:r w:rsidR="008E2564">
        <w:t>irá</w:t>
      </w:r>
      <w:r>
        <w:t>n los obstáculos, se establece</w:t>
      </w:r>
      <w:r w:rsidR="008E2564">
        <w:t>rá</w:t>
      </w:r>
      <w:r>
        <w:t xml:space="preserve"> la atención y su mente se concentra</w:t>
      </w:r>
      <w:r w:rsidR="008E2564">
        <w:t>rá</w:t>
      </w:r>
      <w:r>
        <w:t xml:space="preserve"> en el acceso. Cultiva</w:t>
      </w:r>
      <w:r w:rsidR="008E2564">
        <w:t>rá</w:t>
      </w:r>
      <w:r>
        <w:t xml:space="preserve"> ese signo una y otra vez, lo desarrolla</w:t>
      </w:r>
      <w:r w:rsidR="00E3041F">
        <w:t>rá</w:t>
      </w:r>
      <w:r>
        <w:t xml:space="preserve"> y lo practica</w:t>
      </w:r>
      <w:r w:rsidR="00E3041F">
        <w:t>rá</w:t>
      </w:r>
      <w:r>
        <w:t xml:space="preserve"> repetidamente. Mientras lo ha</w:t>
      </w:r>
      <w:r w:rsidR="00E3041F">
        <w:t>ga</w:t>
      </w:r>
      <w:r>
        <w:t>, la con</w:t>
      </w:r>
      <w:r w:rsidR="00E3041F">
        <w:t>s</w:t>
      </w:r>
      <w:r>
        <w:t>ciencia pertenec</w:t>
      </w:r>
      <w:r w:rsidR="00E3041F">
        <w:t>iente</w:t>
      </w:r>
      <w:r>
        <w:t xml:space="preserve"> a la base consiste</w:t>
      </w:r>
      <w:r w:rsidR="00E3041F">
        <w:t>nte</w:t>
      </w:r>
      <w:r>
        <w:t xml:space="preserve"> </w:t>
      </w:r>
      <w:r w:rsidR="00E3041F">
        <w:t xml:space="preserve">del vacío </w:t>
      </w:r>
      <w:r>
        <w:t>surg</w:t>
      </w:r>
      <w:r w:rsidR="00E3041F">
        <w:t>irá</w:t>
      </w:r>
      <w:r>
        <w:t xml:space="preserve"> </w:t>
      </w:r>
      <w:r w:rsidR="00E3041F">
        <w:t xml:space="preserve">como </w:t>
      </w:r>
      <w:r>
        <w:t>absorción, haciendo de su objeto el estado vacío, aislado e inexistente de esa misma con</w:t>
      </w:r>
      <w:r w:rsidR="00E3041F">
        <w:t>s</w:t>
      </w:r>
      <w:r>
        <w:t xml:space="preserve">ciencia </w:t>
      </w:r>
      <w:r w:rsidR="00E3041F">
        <w:t xml:space="preserve">excelsa </w:t>
      </w:r>
      <w:r w:rsidR="0071231A">
        <w:t xml:space="preserve">y </w:t>
      </w:r>
      <w:r>
        <w:t>pasada ocurri</w:t>
      </w:r>
      <w:r w:rsidR="0071231A">
        <w:t>da</w:t>
      </w:r>
      <w:r>
        <w:t xml:space="preserve"> al penetrar el espacio, tal como la con</w:t>
      </w:r>
      <w:r w:rsidR="0071231A">
        <w:t>s</w:t>
      </w:r>
      <w:r>
        <w:t>ciencia pertenec</w:t>
      </w:r>
      <w:r w:rsidR="00C235A4">
        <w:t>iente</w:t>
      </w:r>
      <w:r>
        <w:t xml:space="preserve"> a la base consiste</w:t>
      </w:r>
      <w:r w:rsidR="00C235A4">
        <w:t>nte</w:t>
      </w:r>
      <w:r>
        <w:t xml:space="preserve"> </w:t>
      </w:r>
      <w:r w:rsidR="00C235A4">
        <w:t xml:space="preserve">de </w:t>
      </w:r>
      <w:r>
        <w:t xml:space="preserve">la </w:t>
      </w:r>
      <w:r w:rsidR="00305E12">
        <w:t>consciencia</w:t>
      </w:r>
      <w:r>
        <w:t xml:space="preserve"> ilimitada hizo la entonces pasada </w:t>
      </w:r>
      <w:r w:rsidR="00C235A4">
        <w:t>y excelsa</w:t>
      </w:r>
      <w:r>
        <w:t xml:space="preserve"> </w:t>
      </w:r>
      <w:r w:rsidR="00C235A4">
        <w:t xml:space="preserve">consciencia </w:t>
      </w:r>
      <w:r>
        <w:t>que había impregnado el espacio. Y aquí también el método de explicar la absorción debe</w:t>
      </w:r>
      <w:r w:rsidR="00C235A4">
        <w:t>rá</w:t>
      </w:r>
      <w:r>
        <w:t xml:space="preserve"> entenderse de la manera ya descrita.</w:t>
      </w:r>
    </w:p>
    <w:p w14:paraId="369100CF" w14:textId="6FD8A604" w:rsidR="005F2F34" w:rsidRDefault="00CE7A08" w:rsidP="00CE7A08">
      <w:r>
        <w:t xml:space="preserve">35. </w:t>
      </w:r>
      <w:r w:rsidR="005F2F34">
        <w:tab/>
      </w:r>
      <w:r w:rsidR="00C235A4">
        <w:t xml:space="preserve">No obstante, </w:t>
      </w:r>
      <w:r>
        <w:t>exist</w:t>
      </w:r>
      <w:r w:rsidR="00C235A4">
        <w:t>irá</w:t>
      </w:r>
      <w:r>
        <w:t xml:space="preserve"> esta diferencia. Supongamos que un hombre ve</w:t>
      </w:r>
      <w:r w:rsidR="005641C7">
        <w:t>a</w:t>
      </w:r>
      <w:r>
        <w:t xml:space="preserve"> a una comunidad de </w:t>
      </w:r>
      <w:proofErr w:type="spellStart"/>
      <w:r w:rsidR="00057BF4" w:rsidRPr="00057BF4">
        <w:rPr>
          <w:i/>
        </w:rPr>
        <w:t>bhikkhu</w:t>
      </w:r>
      <w:r>
        <w:t>s</w:t>
      </w:r>
      <w:proofErr w:type="spellEnd"/>
      <w:r>
        <w:t xml:space="preserve"> reunida en un</w:t>
      </w:r>
      <w:r w:rsidR="00DB023E">
        <w:t>a</w:t>
      </w:r>
      <w:r>
        <w:t xml:space="preserve"> sal</w:t>
      </w:r>
      <w:r w:rsidR="00DB023E">
        <w:t>a</w:t>
      </w:r>
      <w:r>
        <w:t xml:space="preserve"> de reuniones o en algún lugar similar y luego se </w:t>
      </w:r>
      <w:r w:rsidR="005641C7">
        <w:t>dirija</w:t>
      </w:r>
      <w:r>
        <w:t xml:space="preserve"> a otr</w:t>
      </w:r>
      <w:r w:rsidR="005641C7">
        <w:t>o lugar</w:t>
      </w:r>
      <w:r>
        <w:t xml:space="preserve">; luego, después de que los </w:t>
      </w:r>
      <w:proofErr w:type="spellStart"/>
      <w:r w:rsidR="00057BF4" w:rsidRPr="00057BF4">
        <w:rPr>
          <w:i/>
        </w:rPr>
        <w:t>bhikkhu</w:t>
      </w:r>
      <w:r>
        <w:t>s</w:t>
      </w:r>
      <w:proofErr w:type="spellEnd"/>
      <w:r>
        <w:t xml:space="preserve"> se ha</w:t>
      </w:r>
      <w:r w:rsidR="005641C7">
        <w:t>ya</w:t>
      </w:r>
      <w:r>
        <w:t xml:space="preserve">n levantado al concluir el asunto </w:t>
      </w:r>
      <w:r w:rsidR="00A379B5">
        <w:t xml:space="preserve">por </w:t>
      </w:r>
      <w:r>
        <w:t xml:space="preserve">el cual se </w:t>
      </w:r>
      <w:r w:rsidR="00DB023E">
        <w:t>hubiesen</w:t>
      </w:r>
      <w:r>
        <w:t xml:space="preserve"> reunido y se </w:t>
      </w:r>
      <w:r w:rsidR="00A379B5">
        <w:t>hayan marchado</w:t>
      </w:r>
      <w:r>
        <w:t>, el hombre regresa</w:t>
      </w:r>
      <w:r w:rsidR="00A379B5">
        <w:t>se</w:t>
      </w:r>
      <w:r>
        <w:t>, y mientras est</w:t>
      </w:r>
      <w:r w:rsidR="00A379B5">
        <w:t>uviese</w:t>
      </w:r>
      <w:r>
        <w:t xml:space="preserve"> de pie en la puerta mirando ese lugar nuevamente, </w:t>
      </w:r>
      <w:r w:rsidR="00A379B5">
        <w:t xml:space="preserve">viese </w:t>
      </w:r>
      <w:r>
        <w:t xml:space="preserve">solo vacío, </w:t>
      </w:r>
      <w:r w:rsidR="00A379B5">
        <w:t xml:space="preserve">viese </w:t>
      </w:r>
      <w:r>
        <w:t xml:space="preserve">solo </w:t>
      </w:r>
      <w:r w:rsidR="00A379B5">
        <w:t>a</w:t>
      </w:r>
      <w:r w:rsidR="008435A8">
        <w:t>i</w:t>
      </w:r>
      <w:r w:rsidR="00A379B5">
        <w:t>slamiento</w:t>
      </w:r>
      <w:r>
        <w:t xml:space="preserve">, </w:t>
      </w:r>
      <w:r w:rsidR="008435A8">
        <w:t xml:space="preserve">él </w:t>
      </w:r>
      <w:r>
        <w:t>no pensa</w:t>
      </w:r>
      <w:r w:rsidR="008435A8">
        <w:t>rá</w:t>
      </w:r>
      <w:r>
        <w:t xml:space="preserve">: “Tantos monjes han muerto, tantos han abandonado el distrito”, </w:t>
      </w:r>
      <w:r w:rsidR="007D5D1D">
        <w:t xml:space="preserve">y </w:t>
      </w:r>
      <w:r>
        <w:t>[334] solo ve</w:t>
      </w:r>
      <w:r w:rsidR="008435A8">
        <w:t>rá</w:t>
      </w:r>
      <w:r>
        <w:t xml:space="preserve"> la inexistencia </w:t>
      </w:r>
    </w:p>
    <w:p w14:paraId="5FA12EF2" w14:textId="77777777" w:rsidR="005F2F34" w:rsidRDefault="005F2F34">
      <w:pPr>
        <w:tabs>
          <w:tab w:val="clear" w:pos="425"/>
        </w:tabs>
        <w:spacing w:after="160"/>
      </w:pPr>
      <w:r>
        <w:br w:type="page"/>
      </w:r>
    </w:p>
    <w:p w14:paraId="2D7EDD07" w14:textId="741A6FB2" w:rsidR="005F2F34" w:rsidRDefault="005F2F34" w:rsidP="00CE7A08"/>
    <w:p w14:paraId="092CFD74" w14:textId="50F2303C" w:rsidR="006E3065" w:rsidRDefault="00DB023E" w:rsidP="006E3065">
      <w:r>
        <w:t xml:space="preserve">así: </w:t>
      </w:r>
      <w:r w:rsidR="007D5D1D">
        <w:t>“Esto está vacío, aislado</w:t>
      </w:r>
      <w:r w:rsidR="006E3065">
        <w:t xml:space="preserve">”—así también, habiendo habitado </w:t>
      </w:r>
      <w:r w:rsidR="00710FF3">
        <w:t>previamente</w:t>
      </w:r>
      <w:r w:rsidR="006E3065">
        <w:t xml:space="preserve"> </w:t>
      </w:r>
      <w:r>
        <w:t>observando</w:t>
      </w:r>
      <w:r w:rsidR="006E3065">
        <w:t xml:space="preserve"> con el ojo </w:t>
      </w:r>
      <w:r w:rsidR="00710FF3">
        <w:t xml:space="preserve">del </w:t>
      </w:r>
      <w:proofErr w:type="spellStart"/>
      <w:r w:rsidR="00057BF4" w:rsidRPr="00057BF4">
        <w:rPr>
          <w:i/>
        </w:rPr>
        <w:t>jhāna</w:t>
      </w:r>
      <w:proofErr w:type="spellEnd"/>
      <w:r w:rsidR="006E3065">
        <w:t xml:space="preserve"> perteneciente a la base consiste</w:t>
      </w:r>
      <w:r w:rsidR="00710FF3">
        <w:t>nte</w:t>
      </w:r>
      <w:r w:rsidR="006E3065">
        <w:t xml:space="preserve"> </w:t>
      </w:r>
      <w:r w:rsidR="00710FF3">
        <w:t xml:space="preserve">de la </w:t>
      </w:r>
      <w:r w:rsidR="006E3065">
        <w:t>con</w:t>
      </w:r>
      <w:r>
        <w:t>s</w:t>
      </w:r>
      <w:r w:rsidR="006E3065">
        <w:t xml:space="preserve">ciencia ilimitada la </w:t>
      </w:r>
      <w:r w:rsidR="00305E12">
        <w:t>consciencia</w:t>
      </w:r>
      <w:r w:rsidR="006E3065">
        <w:t xml:space="preserve"> </w:t>
      </w:r>
      <w:r w:rsidR="00710FF3">
        <w:t>previa</w:t>
      </w:r>
      <w:r w:rsidR="006E3065">
        <w:t xml:space="preserve"> ocurrid</w:t>
      </w:r>
      <w:r>
        <w:t>a</w:t>
      </w:r>
      <w:r w:rsidR="006E3065">
        <w:t xml:space="preserve"> haciendo del espacio su objeto, ahora</w:t>
      </w:r>
      <w:r>
        <w:t>,</w:t>
      </w:r>
      <w:r w:rsidR="006E3065">
        <w:t xml:space="preserve"> cuando esa con</w:t>
      </w:r>
      <w:r w:rsidR="00710FF3">
        <w:t>s</w:t>
      </w:r>
      <w:r w:rsidR="006E3065">
        <w:t>ciencia ha</w:t>
      </w:r>
      <w:r w:rsidR="00710FF3">
        <w:t>ya</w:t>
      </w:r>
      <w:r w:rsidR="006E3065">
        <w:t xml:space="preserve"> desaparecido debido a su atención </w:t>
      </w:r>
      <w:r w:rsidR="00710FF3">
        <w:t>hacia</w:t>
      </w:r>
      <w:r w:rsidR="006E3065">
        <w:t xml:space="preserve"> el trabajo preliminar en el </w:t>
      </w:r>
      <w:r w:rsidR="00710FF3">
        <w:t xml:space="preserve">pasaje </w:t>
      </w:r>
      <w:r w:rsidR="006E3065">
        <w:t>que comienza, "No hay</w:t>
      </w:r>
      <w:r w:rsidR="00710FF3">
        <w:t xml:space="preserve"> nada</w:t>
      </w:r>
      <w:r w:rsidR="006E3065">
        <w:t>, no hay</w:t>
      </w:r>
      <w:r w:rsidR="00710FF3">
        <w:t xml:space="preserve"> nada</w:t>
      </w:r>
      <w:r w:rsidR="006E3065">
        <w:t xml:space="preserve">", </w:t>
      </w:r>
      <w:r w:rsidR="00710FF3">
        <w:t xml:space="preserve">habitará apreciando </w:t>
      </w:r>
      <w:r w:rsidR="006E3065">
        <w:t xml:space="preserve">solo su inexistencia, en otras palabras, su partida cuando esta </w:t>
      </w:r>
      <w:r w:rsidR="00305E12">
        <w:t>consciencia</w:t>
      </w:r>
      <w:r w:rsidR="006E3065">
        <w:t xml:space="preserve"> ha</w:t>
      </w:r>
      <w:r w:rsidR="00DD6C8F">
        <w:t>ya</w:t>
      </w:r>
      <w:r w:rsidR="006E3065">
        <w:t xml:space="preserve"> surgido en absorción.</w:t>
      </w:r>
    </w:p>
    <w:p w14:paraId="3F8CBC35" w14:textId="77777777" w:rsidR="00AC5E7B" w:rsidRDefault="00AC5E7B" w:rsidP="006E3065"/>
    <w:p w14:paraId="1E041360" w14:textId="337115AA" w:rsidR="006E3065" w:rsidRDefault="006E3065" w:rsidP="001C2603">
      <w:pPr>
        <w:jc w:val="center"/>
      </w:pPr>
      <w:r>
        <w:t>[</w:t>
      </w:r>
      <w:r w:rsidRPr="001C2603">
        <w:rPr>
          <w:i/>
          <w:iCs/>
        </w:rPr>
        <w:t>Texto y Comentario</w:t>
      </w:r>
      <w:r>
        <w:t>]</w:t>
      </w:r>
    </w:p>
    <w:p w14:paraId="1D680140" w14:textId="1992B3CE" w:rsidR="006E3065" w:rsidRDefault="006E3065" w:rsidP="006E3065">
      <w:r>
        <w:t xml:space="preserve">36. </w:t>
      </w:r>
      <w:r>
        <w:tab/>
        <w:t>Y en este punto se dice: "Al superar completamente la base consiste</w:t>
      </w:r>
      <w:r w:rsidR="00D83B39">
        <w:t>nte</w:t>
      </w:r>
      <w:r>
        <w:t xml:space="preserve"> </w:t>
      </w:r>
      <w:r w:rsidR="00D83B39">
        <w:t xml:space="preserve">de </w:t>
      </w:r>
      <w:r>
        <w:t>la con</w:t>
      </w:r>
      <w:r w:rsidR="00D83B39">
        <w:t>s</w:t>
      </w:r>
      <w:r>
        <w:t xml:space="preserve">ciencia ilimitada, consciente de que 'No </w:t>
      </w:r>
      <w:r w:rsidR="00D83B39">
        <w:t xml:space="preserve">existe </w:t>
      </w:r>
      <w:r>
        <w:t>nada', entra</w:t>
      </w:r>
      <w:r w:rsidR="00D83B39">
        <w:t>rá</w:t>
      </w:r>
      <w:r>
        <w:t xml:space="preserve"> y </w:t>
      </w:r>
      <w:r w:rsidR="00D83B39">
        <w:t xml:space="preserve">habitará </w:t>
      </w:r>
      <w:r>
        <w:t>en la base consiste</w:t>
      </w:r>
      <w:r w:rsidR="00D83B39">
        <w:t>nte</w:t>
      </w:r>
      <w:r>
        <w:t xml:space="preserve"> </w:t>
      </w:r>
      <w:r w:rsidR="00D83B39">
        <w:t>del vacío</w:t>
      </w:r>
      <w:r>
        <w:t>" (</w:t>
      </w:r>
      <w:proofErr w:type="spellStart"/>
      <w:r>
        <w:t>Vibh</w:t>
      </w:r>
      <w:proofErr w:type="spellEnd"/>
      <w:r>
        <w:t xml:space="preserve"> 245).</w:t>
      </w:r>
    </w:p>
    <w:p w14:paraId="3A04B0A5" w14:textId="4229CAA0" w:rsidR="006E3065" w:rsidRDefault="006E3065" w:rsidP="006E3065">
      <w:r>
        <w:t xml:space="preserve">37. </w:t>
      </w:r>
      <w:r>
        <w:tab/>
        <w:t xml:space="preserve">Aquí, </w:t>
      </w:r>
      <w:r w:rsidRPr="00316984">
        <w:rPr>
          <w:i/>
          <w:iCs/>
        </w:rPr>
        <w:t>completamente</w:t>
      </w:r>
      <w:r>
        <w:t xml:space="preserve"> es como ya se explicó</w:t>
      </w:r>
      <w:r w:rsidR="00FD6555">
        <w:t xml:space="preserve"> anteriormente</w:t>
      </w:r>
      <w:r>
        <w:t xml:space="preserve">. Al... </w:t>
      </w:r>
      <w:r w:rsidRPr="00984CD1">
        <w:rPr>
          <w:i/>
          <w:iCs/>
        </w:rPr>
        <w:t>superar la base consiste</w:t>
      </w:r>
      <w:r w:rsidR="00316984">
        <w:rPr>
          <w:i/>
          <w:iCs/>
        </w:rPr>
        <w:t>nte</w:t>
      </w:r>
      <w:r w:rsidRPr="00984CD1">
        <w:rPr>
          <w:i/>
          <w:iCs/>
        </w:rPr>
        <w:t xml:space="preserve"> </w:t>
      </w:r>
      <w:r w:rsidR="00316984">
        <w:rPr>
          <w:i/>
          <w:iCs/>
        </w:rPr>
        <w:t>de</w:t>
      </w:r>
      <w:r w:rsidRPr="00984CD1">
        <w:rPr>
          <w:i/>
          <w:iCs/>
        </w:rPr>
        <w:t xml:space="preserve"> la </w:t>
      </w:r>
      <w:r w:rsidR="00305E12">
        <w:rPr>
          <w:i/>
          <w:iCs/>
        </w:rPr>
        <w:t>consciencia</w:t>
      </w:r>
      <w:r w:rsidRPr="00984CD1">
        <w:rPr>
          <w:i/>
          <w:iCs/>
        </w:rPr>
        <w:t xml:space="preserve"> ilimitada</w:t>
      </w:r>
      <w:r>
        <w:t xml:space="preserve">: aquí también </w:t>
      </w:r>
      <w:r w:rsidR="00316984">
        <w:t>a</w:t>
      </w:r>
      <w:r>
        <w:t xml:space="preserve">l </w:t>
      </w:r>
      <w:proofErr w:type="spellStart"/>
      <w:r w:rsidR="00057BF4" w:rsidRPr="00057BF4">
        <w:rPr>
          <w:i/>
        </w:rPr>
        <w:t>jhāna</w:t>
      </w:r>
      <w:proofErr w:type="spellEnd"/>
      <w:r>
        <w:t xml:space="preserve"> </w:t>
      </w:r>
      <w:r w:rsidR="00316984">
        <w:t xml:space="preserve">en cuestión </w:t>
      </w:r>
      <w:r>
        <w:t xml:space="preserve">se </w:t>
      </w:r>
      <w:r w:rsidR="00316984">
        <w:t xml:space="preserve">le </w:t>
      </w:r>
      <w:r>
        <w:t>llama</w:t>
      </w:r>
      <w:r w:rsidR="00316984">
        <w:t>rá</w:t>
      </w:r>
      <w:r>
        <w:t xml:space="preserve"> la "base consiste</w:t>
      </w:r>
      <w:r w:rsidR="00316984">
        <w:t>nte</w:t>
      </w:r>
      <w:r>
        <w:t xml:space="preserve"> </w:t>
      </w:r>
      <w:r w:rsidR="00316984">
        <w:t>de</w:t>
      </w:r>
      <w:r>
        <w:t xml:space="preserve"> la </w:t>
      </w:r>
      <w:r w:rsidR="00305E12">
        <w:t>consciencia</w:t>
      </w:r>
      <w:r>
        <w:t xml:space="preserve"> ilimitada" en la forma ya establecida, y </w:t>
      </w:r>
      <w:r w:rsidR="00FD6737">
        <w:t xml:space="preserve">a </w:t>
      </w:r>
      <w:r>
        <w:t xml:space="preserve">su objeto también se </w:t>
      </w:r>
      <w:r w:rsidR="00FD6737">
        <w:t xml:space="preserve">le </w:t>
      </w:r>
      <w:r>
        <w:t>llama</w:t>
      </w:r>
      <w:r w:rsidR="00FD6737">
        <w:t>rá</w:t>
      </w:r>
      <w:r>
        <w:t xml:space="preserve"> así. Porque el objeto también </w:t>
      </w:r>
      <w:r w:rsidR="00FD6737">
        <w:t xml:space="preserve">será </w:t>
      </w:r>
      <w:r w:rsidR="00FD6555">
        <w:t>una</w:t>
      </w:r>
      <w:r>
        <w:t xml:space="preserve"> “con</w:t>
      </w:r>
      <w:r w:rsidR="00FD6737">
        <w:t>s</w:t>
      </w:r>
      <w:r>
        <w:t>ciencia ilimitada” (</w:t>
      </w:r>
      <w:proofErr w:type="spellStart"/>
      <w:r w:rsidR="00057BF4" w:rsidRPr="00057BF4">
        <w:rPr>
          <w:i/>
          <w:iCs/>
        </w:rPr>
        <w:t>viññāṇa</w:t>
      </w:r>
      <w:r w:rsidRPr="00984CD1">
        <w:rPr>
          <w:i/>
          <w:iCs/>
        </w:rPr>
        <w:t>ñcaṃ</w:t>
      </w:r>
      <w:proofErr w:type="spellEnd"/>
      <w:r>
        <w:t xml:space="preserve">) en la forma ya establecida, y luego, debido a que </w:t>
      </w:r>
      <w:r w:rsidR="00FD6737">
        <w:t>corresponderá a</w:t>
      </w:r>
      <w:r>
        <w:t xml:space="preserve">l objeto del segundo </w:t>
      </w:r>
      <w:proofErr w:type="spellStart"/>
      <w:r w:rsidR="00057BF4" w:rsidRPr="00057BF4">
        <w:rPr>
          <w:i/>
        </w:rPr>
        <w:t>jhāna</w:t>
      </w:r>
      <w:proofErr w:type="spellEnd"/>
      <w:r w:rsidR="00984CD1">
        <w:t xml:space="preserve"> </w:t>
      </w:r>
      <w:r>
        <w:t xml:space="preserve">inmaterial, </w:t>
      </w:r>
      <w:r w:rsidR="00FD6737">
        <w:t xml:space="preserve">será </w:t>
      </w:r>
      <w:r>
        <w:t xml:space="preserve">su “base” en el sentido de hábitat, como la “base de las deidades” </w:t>
      </w:r>
      <w:r w:rsidR="00FD6737">
        <w:t xml:space="preserve">lo </w:t>
      </w:r>
      <w:r>
        <w:t xml:space="preserve">es para las deidades, por lo que </w:t>
      </w:r>
      <w:r w:rsidR="00FD6737">
        <w:t xml:space="preserve">será </w:t>
      </w:r>
      <w:r>
        <w:t>la “base consiste</w:t>
      </w:r>
      <w:r w:rsidR="00FD6737">
        <w:t>nte</w:t>
      </w:r>
      <w:r>
        <w:t xml:space="preserve"> </w:t>
      </w:r>
      <w:r w:rsidR="00FD6737">
        <w:t xml:space="preserve">de la </w:t>
      </w:r>
      <w:r>
        <w:t>con</w:t>
      </w:r>
      <w:r w:rsidR="00FD6737">
        <w:t>s</w:t>
      </w:r>
      <w:r>
        <w:t xml:space="preserve">ciencia ilimitada”. Asimismo, </w:t>
      </w:r>
      <w:r w:rsidR="00FD6737">
        <w:t xml:space="preserve">será la </w:t>
      </w:r>
      <w:r>
        <w:t>"</w:t>
      </w:r>
      <w:r w:rsidR="00305E12">
        <w:t>consciencia</w:t>
      </w:r>
      <w:r>
        <w:t xml:space="preserve"> ilimitada", y luego, debido a que </w:t>
      </w:r>
      <w:r w:rsidR="00FD6737">
        <w:t xml:space="preserve">será </w:t>
      </w:r>
      <w:r>
        <w:t xml:space="preserve">la causa del </w:t>
      </w:r>
      <w:proofErr w:type="spellStart"/>
      <w:r w:rsidR="00057BF4" w:rsidRPr="00057BF4">
        <w:rPr>
          <w:i/>
        </w:rPr>
        <w:t>jhāna</w:t>
      </w:r>
      <w:proofErr w:type="spellEnd"/>
      <w:r>
        <w:t xml:space="preserve"> de</w:t>
      </w:r>
      <w:r w:rsidR="009361E5">
        <w:t>l</w:t>
      </w:r>
      <w:r>
        <w:t xml:space="preserve"> </w:t>
      </w:r>
      <w:r w:rsidR="009361E5">
        <w:t xml:space="preserve">ser de </w:t>
      </w:r>
      <w:r>
        <w:t xml:space="preserve">esa especie, </w:t>
      </w:r>
      <w:r w:rsidR="004157D4">
        <w:t xml:space="preserve">será </w:t>
      </w:r>
      <w:r>
        <w:t xml:space="preserve">su "base" en el sentido de localidad de la especie, como </w:t>
      </w:r>
      <w:proofErr w:type="spellStart"/>
      <w:r w:rsidRPr="00984CD1">
        <w:rPr>
          <w:i/>
          <w:iCs/>
        </w:rPr>
        <w:t>Kambojā</w:t>
      </w:r>
      <w:proofErr w:type="spellEnd"/>
      <w:r>
        <w:t xml:space="preserve"> es la "base" de los caballos, por lo tanto </w:t>
      </w:r>
      <w:r w:rsidR="004157D4">
        <w:t xml:space="preserve">será </w:t>
      </w:r>
      <w:r>
        <w:t>la "base consiste</w:t>
      </w:r>
      <w:r w:rsidR="004157D4">
        <w:t>nte</w:t>
      </w:r>
      <w:r>
        <w:t xml:space="preserve"> </w:t>
      </w:r>
      <w:r w:rsidR="004157D4">
        <w:t xml:space="preserve">de </w:t>
      </w:r>
      <w:r>
        <w:t xml:space="preserve">la </w:t>
      </w:r>
      <w:r w:rsidR="00305E12">
        <w:t>consciencia</w:t>
      </w:r>
      <w:r>
        <w:t xml:space="preserve"> ilimitada" de esta manera también. Por lo tanto, debe</w:t>
      </w:r>
      <w:r w:rsidR="00D37FDC">
        <w:t>rá</w:t>
      </w:r>
      <w:r>
        <w:t xml:space="preserve"> entenderse que las palabras, "Superando la base consiste</w:t>
      </w:r>
      <w:r w:rsidR="004157D4">
        <w:t>nte</w:t>
      </w:r>
      <w:r>
        <w:t xml:space="preserve"> </w:t>
      </w:r>
      <w:r w:rsidR="004157D4">
        <w:t xml:space="preserve">de </w:t>
      </w:r>
      <w:r>
        <w:t xml:space="preserve">la </w:t>
      </w:r>
      <w:r w:rsidR="00305E12">
        <w:t>consciencia</w:t>
      </w:r>
      <w:r>
        <w:t xml:space="preserve"> ilimitada" incluyen </w:t>
      </w:r>
      <w:r w:rsidR="00D37FDC">
        <w:t xml:space="preserve">a </w:t>
      </w:r>
      <w:r>
        <w:t>ambos</w:t>
      </w:r>
      <w:r w:rsidR="00D37FDC">
        <w:t>,</w:t>
      </w:r>
      <w:r>
        <w:t xml:space="preserve"> </w:t>
      </w:r>
      <w:r w:rsidR="00D37FDC">
        <w:t>a</w:t>
      </w:r>
      <w:r>
        <w:t xml:space="preserve">l </w:t>
      </w:r>
      <w:proofErr w:type="spellStart"/>
      <w:r w:rsidR="00057BF4" w:rsidRPr="00057BF4">
        <w:rPr>
          <w:i/>
        </w:rPr>
        <w:t>jhāna</w:t>
      </w:r>
      <w:proofErr w:type="spellEnd"/>
      <w:r>
        <w:t xml:space="preserve"> y </w:t>
      </w:r>
      <w:r w:rsidR="00D37FDC">
        <w:t xml:space="preserve">a </w:t>
      </w:r>
      <w:r>
        <w:t>su objeto</w:t>
      </w:r>
      <w:r w:rsidR="00D37FDC">
        <w:t>,</w:t>
      </w:r>
      <w:r>
        <w:t xml:space="preserve"> </w:t>
      </w:r>
      <w:r w:rsidR="004157D4">
        <w:t>conjuntamente</w:t>
      </w:r>
      <w:r>
        <w:t>, ya que se debe</w:t>
      </w:r>
      <w:r w:rsidR="004157D4">
        <w:t>rá</w:t>
      </w:r>
      <w:r>
        <w:t xml:space="preserve"> entrar en esta base consiste</w:t>
      </w:r>
      <w:r w:rsidR="004157D4">
        <w:t>nte</w:t>
      </w:r>
      <w:r>
        <w:t xml:space="preserve"> </w:t>
      </w:r>
      <w:r w:rsidR="004157D4">
        <w:t xml:space="preserve">del vacío </w:t>
      </w:r>
      <w:r>
        <w:t xml:space="preserve">y habitar en ella precisamente superando, causando la no ocurrencia de, al no prestar atención, tanto </w:t>
      </w:r>
      <w:r w:rsidR="00D37FDC">
        <w:t>a</w:t>
      </w:r>
      <w:r w:rsidR="00E45ED9">
        <w:t>l</w:t>
      </w:r>
      <w:r>
        <w:t xml:space="preserve"> </w:t>
      </w:r>
      <w:proofErr w:type="spellStart"/>
      <w:r w:rsidR="00057BF4" w:rsidRPr="00057BF4">
        <w:rPr>
          <w:i/>
        </w:rPr>
        <w:t>jhāna</w:t>
      </w:r>
      <w:proofErr w:type="spellEnd"/>
      <w:r>
        <w:t xml:space="preserve"> como </w:t>
      </w:r>
      <w:r w:rsidR="00D37FDC">
        <w:t>a</w:t>
      </w:r>
      <w:r>
        <w:t xml:space="preserve"> su objeto.</w:t>
      </w:r>
    </w:p>
    <w:p w14:paraId="60F96CDA" w14:textId="49835734" w:rsidR="006E3065" w:rsidRDefault="006E3065" w:rsidP="006E3065">
      <w:r>
        <w:t>3</w:t>
      </w:r>
      <w:r w:rsidRPr="00984CD1">
        <w:t>8</w:t>
      </w:r>
      <w:r>
        <w:t xml:space="preserve">. </w:t>
      </w:r>
      <w:r>
        <w:tab/>
      </w:r>
      <w:r w:rsidRPr="00984CD1">
        <w:rPr>
          <w:i/>
          <w:iCs/>
        </w:rPr>
        <w:t xml:space="preserve">No </w:t>
      </w:r>
      <w:r w:rsidR="00E45ED9">
        <w:rPr>
          <w:i/>
          <w:iCs/>
        </w:rPr>
        <w:t xml:space="preserve">existe </w:t>
      </w:r>
      <w:r w:rsidRPr="00984CD1">
        <w:rPr>
          <w:i/>
          <w:iCs/>
        </w:rPr>
        <w:t>nada</w:t>
      </w:r>
      <w:r>
        <w:t xml:space="preserve"> (</w:t>
      </w:r>
      <w:proofErr w:type="spellStart"/>
      <w:r w:rsidRPr="00984CD1">
        <w:rPr>
          <w:i/>
          <w:iCs/>
        </w:rPr>
        <w:t>natthi</w:t>
      </w:r>
      <w:proofErr w:type="spellEnd"/>
      <w:r w:rsidRPr="00984CD1">
        <w:rPr>
          <w:i/>
          <w:iCs/>
        </w:rPr>
        <w:t xml:space="preserve"> </w:t>
      </w:r>
      <w:proofErr w:type="spellStart"/>
      <w:r w:rsidRPr="00984CD1">
        <w:rPr>
          <w:i/>
          <w:iCs/>
        </w:rPr>
        <w:t>kiñci</w:t>
      </w:r>
      <w:proofErr w:type="spellEnd"/>
      <w:r>
        <w:t xml:space="preserve">): lo que </w:t>
      </w:r>
      <w:r w:rsidR="00E45ED9">
        <w:t xml:space="preserve">se </w:t>
      </w:r>
      <w:r>
        <w:t xml:space="preserve">quiere decir es que </w:t>
      </w:r>
      <w:r w:rsidR="00465CD3">
        <w:t xml:space="preserve">él </w:t>
      </w:r>
      <w:r>
        <w:t>presta</w:t>
      </w:r>
      <w:r w:rsidR="00465CD3">
        <w:t>rá</w:t>
      </w:r>
      <w:r>
        <w:t xml:space="preserve"> su atención así, “no </w:t>
      </w:r>
      <w:r w:rsidR="00D37FDC">
        <w:t>existe</w:t>
      </w:r>
      <w:r w:rsidR="00465CD3">
        <w:t xml:space="preserve"> nada</w:t>
      </w:r>
      <w:r>
        <w:t xml:space="preserve">, no </w:t>
      </w:r>
      <w:r w:rsidR="00D37FDC">
        <w:t xml:space="preserve">existe </w:t>
      </w:r>
      <w:r w:rsidR="00465CD3">
        <w:t>nada</w:t>
      </w:r>
      <w:r>
        <w:t>”, o “vacío, vacío”, o “</w:t>
      </w:r>
      <w:r w:rsidR="00FC0D2D">
        <w:t>desierto</w:t>
      </w:r>
      <w:r>
        <w:t xml:space="preserve">, </w:t>
      </w:r>
      <w:r w:rsidR="00FC0D2D">
        <w:t>desierto</w:t>
      </w:r>
      <w:r>
        <w:t xml:space="preserve">”. </w:t>
      </w:r>
      <w:r w:rsidR="00714EF5">
        <w:t xml:space="preserve">En </w:t>
      </w:r>
      <w:r>
        <w:t xml:space="preserve">el </w:t>
      </w:r>
      <w:proofErr w:type="spellStart"/>
      <w:r w:rsidRPr="00BC1B0B">
        <w:rPr>
          <w:i/>
          <w:iCs/>
        </w:rPr>
        <w:t>Vibhaṅga</w:t>
      </w:r>
      <w:proofErr w:type="spellEnd"/>
      <w:r w:rsidR="00714EF5">
        <w:t xml:space="preserve"> se dice</w:t>
      </w:r>
      <w:r>
        <w:t xml:space="preserve">: “'No </w:t>
      </w:r>
      <w:r w:rsidR="00BC1B0B">
        <w:t xml:space="preserve">existe </w:t>
      </w:r>
      <w:r>
        <w:t>nada': él ha</w:t>
      </w:r>
      <w:r w:rsidR="00502989">
        <w:t>rá</w:t>
      </w:r>
      <w:r>
        <w:t xml:space="preserve"> que esa misma con</w:t>
      </w:r>
      <w:r w:rsidR="00502989">
        <w:t>s</w:t>
      </w:r>
      <w:r>
        <w:t>ciencia no exista, la ha</w:t>
      </w:r>
      <w:r w:rsidR="00502989">
        <w:t>rá</w:t>
      </w:r>
      <w:r>
        <w:t xml:space="preserve"> ausente, la ha</w:t>
      </w:r>
      <w:r w:rsidR="00502989">
        <w:t>rá</w:t>
      </w:r>
      <w:r>
        <w:t xml:space="preserve"> desaparecer, ve</w:t>
      </w:r>
      <w:r w:rsidR="00502989">
        <w:t>rá</w:t>
      </w:r>
      <w:r>
        <w:t xml:space="preserve"> que </w:t>
      </w:r>
      <w:r w:rsidR="00502989">
        <w:t xml:space="preserve">realmente </w:t>
      </w:r>
      <w:r>
        <w:t>'no ha</w:t>
      </w:r>
      <w:r w:rsidR="00502989">
        <w:t>brá</w:t>
      </w:r>
      <w:r>
        <w:t xml:space="preserve"> nada', por eso se di</w:t>
      </w:r>
      <w:r w:rsidR="00502989">
        <w:t>rá que</w:t>
      </w:r>
      <w:r>
        <w:t xml:space="preserve"> 'no </w:t>
      </w:r>
      <w:r w:rsidR="004473DC">
        <w:t xml:space="preserve">existe </w:t>
      </w:r>
      <w:r>
        <w:t>nada'” (</w:t>
      </w:r>
      <w:proofErr w:type="spellStart"/>
      <w:r>
        <w:t>Vibh</w:t>
      </w:r>
      <w:proofErr w:type="spellEnd"/>
      <w:r>
        <w:t xml:space="preserve"> 262), </w:t>
      </w:r>
      <w:r w:rsidR="00502989">
        <w:t xml:space="preserve">lo cual </w:t>
      </w:r>
      <w:r>
        <w:t>se expresa</w:t>
      </w:r>
      <w:r w:rsidR="00502989">
        <w:t>rá</w:t>
      </w:r>
      <w:r>
        <w:t xml:space="preserve"> de una manera que se asemeja</w:t>
      </w:r>
      <w:r w:rsidR="00502989">
        <w:t>rá</w:t>
      </w:r>
      <w:r>
        <w:t xml:space="preserve"> a la comprensión </w:t>
      </w:r>
      <w:r w:rsidR="0062726B">
        <w:t xml:space="preserve">mediante la </w:t>
      </w:r>
      <w:r w:rsidR="004B2EAA" w:rsidRPr="00527EA6">
        <w:t>sabid</w:t>
      </w:r>
      <w:r w:rsidR="004B2EAA">
        <w:t>uría–revelativa</w:t>
      </w:r>
      <w:r>
        <w:t xml:space="preserve"> </w:t>
      </w:r>
      <w:r w:rsidR="00A45AD8">
        <w:t>sobre</w:t>
      </w:r>
      <w:r>
        <w:t xml:space="preserve"> la </w:t>
      </w:r>
      <w:r w:rsidR="004B2EAA">
        <w:t>función</w:t>
      </w:r>
      <w:r>
        <w:t xml:space="preserve"> de </w:t>
      </w:r>
      <w:r w:rsidR="00A45AD8">
        <w:t xml:space="preserve">la </w:t>
      </w:r>
      <w:r>
        <w:t>destrucción, sin embargo, el significado debe</w:t>
      </w:r>
      <w:r w:rsidR="00867CFC">
        <w:t>ría</w:t>
      </w:r>
      <w:r>
        <w:t xml:space="preserve"> entenderse en la forma descrita anteriormente. </w:t>
      </w:r>
      <w:r w:rsidR="00867CFC">
        <w:t xml:space="preserve">Ya </w:t>
      </w:r>
      <w:r>
        <w:t>que las palabras “Él ha</w:t>
      </w:r>
      <w:r w:rsidR="00867CFC">
        <w:t>rá</w:t>
      </w:r>
      <w:r>
        <w:t xml:space="preserve"> que esa misma con</w:t>
      </w:r>
      <w:r w:rsidR="00867CFC">
        <w:t>s</w:t>
      </w:r>
      <w:r>
        <w:t>ciencia sea inexistente, la ha</w:t>
      </w:r>
      <w:r w:rsidR="00867CFC">
        <w:t>rá</w:t>
      </w:r>
      <w:r>
        <w:t xml:space="preserve"> ausente, la ha</w:t>
      </w:r>
      <w:r w:rsidR="00867CFC">
        <w:t>rá</w:t>
      </w:r>
      <w:r>
        <w:t xml:space="preserve"> desaparecer” se di</w:t>
      </w:r>
      <w:r w:rsidR="007C370B">
        <w:t>rá</w:t>
      </w:r>
      <w:r>
        <w:t xml:space="preserve"> de quien no adviert</w:t>
      </w:r>
      <w:r w:rsidR="007C370B">
        <w:t>a</w:t>
      </w:r>
      <w:r>
        <w:t xml:space="preserve"> ni le prest</w:t>
      </w:r>
      <w:r w:rsidR="007C370B">
        <w:t>e</w:t>
      </w:r>
      <w:r>
        <w:t xml:space="preserve"> atención ni la </w:t>
      </w:r>
      <w:r w:rsidR="00A616E3">
        <w:t>inspeccione</w:t>
      </w:r>
      <w:r>
        <w:t>, y solo prest</w:t>
      </w:r>
      <w:r w:rsidR="007C370B">
        <w:t>e</w:t>
      </w:r>
      <w:r>
        <w:t xml:space="preserve"> atención a su inexistencia, su vacío, su aislamiento; no se entende</w:t>
      </w:r>
      <w:r w:rsidR="003A5BA4">
        <w:t>rá</w:t>
      </w:r>
      <w:r>
        <w:t xml:space="preserve"> de otra manera (Cf. XXI.17).</w:t>
      </w:r>
    </w:p>
    <w:p w14:paraId="016BC177" w14:textId="1BFDA552" w:rsidR="001C2603" w:rsidRDefault="006E3065" w:rsidP="006E3065">
      <w:r>
        <w:t xml:space="preserve">39. </w:t>
      </w:r>
      <w:r>
        <w:tab/>
      </w:r>
      <w:r w:rsidRPr="00984CD1">
        <w:rPr>
          <w:i/>
          <w:iCs/>
        </w:rPr>
        <w:t>Entra</w:t>
      </w:r>
      <w:r w:rsidR="001703D5">
        <w:rPr>
          <w:i/>
          <w:iCs/>
        </w:rPr>
        <w:t>rá</w:t>
      </w:r>
      <w:r w:rsidRPr="00984CD1">
        <w:rPr>
          <w:i/>
          <w:iCs/>
        </w:rPr>
        <w:t xml:space="preserve"> y </w:t>
      </w:r>
      <w:r w:rsidR="001703D5">
        <w:rPr>
          <w:i/>
          <w:iCs/>
        </w:rPr>
        <w:t xml:space="preserve">habitará </w:t>
      </w:r>
      <w:r w:rsidRPr="00984CD1">
        <w:rPr>
          <w:i/>
          <w:iCs/>
        </w:rPr>
        <w:t>en la base consiste</w:t>
      </w:r>
      <w:r w:rsidR="001703D5">
        <w:rPr>
          <w:i/>
          <w:iCs/>
        </w:rPr>
        <w:t>nte</w:t>
      </w:r>
      <w:r w:rsidRPr="00984CD1">
        <w:rPr>
          <w:i/>
          <w:iCs/>
        </w:rPr>
        <w:t xml:space="preserve"> </w:t>
      </w:r>
      <w:r w:rsidR="001703D5">
        <w:rPr>
          <w:i/>
          <w:iCs/>
        </w:rPr>
        <w:t>del vacío</w:t>
      </w:r>
      <w:r>
        <w:t>: no</w:t>
      </w:r>
      <w:r w:rsidR="009311FD">
        <w:t xml:space="preserve"> posee ninguna </w:t>
      </w:r>
      <w:r w:rsidR="00DA3AF6">
        <w:t>posesión</w:t>
      </w:r>
      <w:r>
        <w:t xml:space="preserve"> (</w:t>
      </w:r>
      <w:proofErr w:type="spellStart"/>
      <w:r w:rsidRPr="00984CD1">
        <w:rPr>
          <w:i/>
          <w:iCs/>
        </w:rPr>
        <w:t>kiñcana</w:t>
      </w:r>
      <w:proofErr w:type="spellEnd"/>
      <w:r>
        <w:t>),</w:t>
      </w:r>
      <w:r w:rsidRPr="00984CD1">
        <w:rPr>
          <w:vertAlign w:val="superscript"/>
        </w:rPr>
        <w:t>9</w:t>
      </w:r>
      <w:r>
        <w:t xml:space="preserve"> esto no </w:t>
      </w:r>
      <w:r w:rsidR="007345B7">
        <w:t xml:space="preserve">es perteneciente </w:t>
      </w:r>
      <w:r>
        <w:t>(</w:t>
      </w:r>
      <w:proofErr w:type="spellStart"/>
      <w:r w:rsidRPr="00984CD1">
        <w:rPr>
          <w:i/>
          <w:iCs/>
        </w:rPr>
        <w:t>akiñcana</w:t>
      </w:r>
      <w:proofErr w:type="spellEnd"/>
      <w:r>
        <w:t>)</w:t>
      </w:r>
      <w:r w:rsidR="002618F6">
        <w:t xml:space="preserve"> a nadie</w:t>
      </w:r>
      <w:r>
        <w:t xml:space="preserve">; lo que se quiere decir es que no </w:t>
      </w:r>
      <w:r w:rsidR="004E4E1C">
        <w:t>posee</w:t>
      </w:r>
      <w:r w:rsidR="002618F6">
        <w:t>rá</w:t>
      </w:r>
      <w:r>
        <w:t xml:space="preserve"> ni siquiera el </w:t>
      </w:r>
    </w:p>
    <w:p w14:paraId="6E20F41F" w14:textId="77777777" w:rsidR="006E3065" w:rsidRDefault="006E3065" w:rsidP="006E3065">
      <w:pPr>
        <w:pStyle w:val="PiedepginaLegal"/>
        <w:rPr>
          <w:u w:val="single"/>
        </w:rPr>
      </w:pPr>
      <w:r>
        <w:rPr>
          <w:u w:val="single"/>
        </w:rPr>
        <w:tab/>
      </w:r>
      <w:r>
        <w:rPr>
          <w:u w:val="single"/>
        </w:rPr>
        <w:tab/>
      </w:r>
      <w:r>
        <w:rPr>
          <w:u w:val="single"/>
        </w:rPr>
        <w:tab/>
      </w:r>
      <w:r>
        <w:rPr>
          <w:u w:val="single"/>
        </w:rPr>
        <w:tab/>
      </w:r>
    </w:p>
    <w:p w14:paraId="7DC613FF" w14:textId="529A0A3A" w:rsidR="001A7685" w:rsidRDefault="006E3065" w:rsidP="006E3065">
      <w:pPr>
        <w:pStyle w:val="PiedepginaLegal"/>
      </w:pPr>
      <w:r>
        <w:t xml:space="preserve">9. </w:t>
      </w:r>
      <w:r>
        <w:tab/>
        <w:t>Hay un juego entre las palabras</w:t>
      </w:r>
      <w:r w:rsidRPr="00984CD1">
        <w:rPr>
          <w:i/>
          <w:iCs/>
        </w:rPr>
        <w:t xml:space="preserve"> </w:t>
      </w:r>
      <w:proofErr w:type="spellStart"/>
      <w:r w:rsidRPr="00984CD1">
        <w:rPr>
          <w:i/>
          <w:iCs/>
        </w:rPr>
        <w:t>natthi</w:t>
      </w:r>
      <w:proofErr w:type="spellEnd"/>
      <w:r w:rsidRPr="00984CD1">
        <w:rPr>
          <w:i/>
          <w:iCs/>
        </w:rPr>
        <w:t xml:space="preserve"> </w:t>
      </w:r>
      <w:proofErr w:type="spellStart"/>
      <w:r w:rsidRPr="00984CD1">
        <w:rPr>
          <w:i/>
          <w:iCs/>
        </w:rPr>
        <w:t>kiñci</w:t>
      </w:r>
      <w:proofErr w:type="spellEnd"/>
      <w:r>
        <w:t xml:space="preserve"> (“no </w:t>
      </w:r>
      <w:r w:rsidR="00665435">
        <w:t>existe</w:t>
      </w:r>
      <w:r>
        <w:t xml:space="preserve"> nada”) y </w:t>
      </w:r>
      <w:proofErr w:type="spellStart"/>
      <w:r w:rsidRPr="00665435">
        <w:rPr>
          <w:i/>
          <w:iCs/>
        </w:rPr>
        <w:t>akiñcana</w:t>
      </w:r>
      <w:proofErr w:type="spellEnd"/>
      <w:r>
        <w:t xml:space="preserve"> (“</w:t>
      </w:r>
      <w:r w:rsidR="00665435">
        <w:t xml:space="preserve">sin </w:t>
      </w:r>
      <w:r w:rsidR="006E6294">
        <w:t>posesión</w:t>
      </w:r>
      <w:r>
        <w:t xml:space="preserve">”). En </w:t>
      </w:r>
      <w:r w:rsidR="006E6294">
        <w:t xml:space="preserve">el </w:t>
      </w:r>
      <w:r>
        <w:t>M I 298 aparece la expresión “</w:t>
      </w:r>
      <w:proofErr w:type="spellStart"/>
      <w:r w:rsidRPr="00984CD1">
        <w:rPr>
          <w:i/>
          <w:iCs/>
        </w:rPr>
        <w:t>Rāgo</w:t>
      </w:r>
      <w:proofErr w:type="spellEnd"/>
      <w:r w:rsidRPr="00984CD1">
        <w:rPr>
          <w:i/>
          <w:iCs/>
        </w:rPr>
        <w:t xml:space="preserve"> </w:t>
      </w:r>
      <w:proofErr w:type="spellStart"/>
      <w:r w:rsidRPr="00984CD1">
        <w:rPr>
          <w:i/>
          <w:iCs/>
        </w:rPr>
        <w:t>kho</w:t>
      </w:r>
      <w:proofErr w:type="spellEnd"/>
      <w:r w:rsidRPr="00984CD1">
        <w:rPr>
          <w:i/>
          <w:iCs/>
        </w:rPr>
        <w:t xml:space="preserve"> </w:t>
      </w:r>
      <w:proofErr w:type="spellStart"/>
      <w:r w:rsidRPr="00984CD1">
        <w:rPr>
          <w:i/>
          <w:iCs/>
        </w:rPr>
        <w:t>āvuso</w:t>
      </w:r>
      <w:proofErr w:type="spellEnd"/>
      <w:r w:rsidRPr="00984CD1">
        <w:rPr>
          <w:i/>
          <w:iCs/>
        </w:rPr>
        <w:t xml:space="preserve"> </w:t>
      </w:r>
      <w:proofErr w:type="spellStart"/>
      <w:r w:rsidRPr="00984CD1">
        <w:rPr>
          <w:i/>
          <w:iCs/>
        </w:rPr>
        <w:t>kiñcano</w:t>
      </w:r>
      <w:proofErr w:type="spellEnd"/>
      <w:r>
        <w:t xml:space="preserve"> (avaricia, amigo, es </w:t>
      </w:r>
      <w:r w:rsidR="000A1E42">
        <w:t>una pose</w:t>
      </w:r>
      <w:r w:rsidR="00FD6B4C">
        <w:t>s</w:t>
      </w:r>
      <w:r w:rsidR="000A1E42">
        <w:t>ión</w:t>
      </w:r>
      <w:r>
        <w:t xml:space="preserve">)”, que se usa en conexión con este logro. </w:t>
      </w:r>
      <w:r w:rsidR="00FD6B4C">
        <w:t xml:space="preserve">El </w:t>
      </w:r>
      <w:r w:rsidR="000A1E42">
        <w:t>comentario (M-a II 354) dice</w:t>
      </w:r>
      <w:r w:rsidR="006E6294">
        <w:t xml:space="preserve"> </w:t>
      </w:r>
    </w:p>
    <w:p w14:paraId="569213F6" w14:textId="77777777" w:rsidR="001A7685" w:rsidRDefault="001A7685">
      <w:pPr>
        <w:tabs>
          <w:tab w:val="clear" w:pos="425"/>
        </w:tabs>
        <w:spacing w:after="160"/>
      </w:pPr>
      <w:r>
        <w:br w:type="page"/>
      </w:r>
    </w:p>
    <w:p w14:paraId="1FC6DE33" w14:textId="77777777" w:rsidR="00D27C43" w:rsidRDefault="00D27C43" w:rsidP="001A7685"/>
    <w:p w14:paraId="0A2BBCB4" w14:textId="050EA612" w:rsidR="00D27C43" w:rsidRDefault="009311FD" w:rsidP="00D27C43">
      <w:r>
        <w:t xml:space="preserve">simple </w:t>
      </w:r>
      <w:r w:rsidR="00D27C43">
        <w:t>acto de su disolución</w:t>
      </w:r>
      <w:r w:rsidR="004E4E1C">
        <w:t xml:space="preserve"> restante</w:t>
      </w:r>
      <w:r w:rsidR="00D27C43">
        <w:t xml:space="preserve">. El estado (esencia) de no poseer </w:t>
      </w:r>
      <w:r w:rsidR="0015106D">
        <w:t>nada será</w:t>
      </w:r>
      <w:r w:rsidR="00D27C43">
        <w:t xml:space="preserve"> </w:t>
      </w:r>
      <w:r w:rsidR="004E4E1C">
        <w:t>el vacío</w:t>
      </w:r>
      <w:r w:rsidR="00D27C43">
        <w:t xml:space="preserve"> (</w:t>
      </w:r>
      <w:proofErr w:type="spellStart"/>
      <w:r w:rsidR="00D27C43" w:rsidRPr="00984CD1">
        <w:rPr>
          <w:i/>
          <w:iCs/>
        </w:rPr>
        <w:t>ākiñcañña</w:t>
      </w:r>
      <w:proofErr w:type="spellEnd"/>
      <w:r w:rsidR="00D27C43">
        <w:t xml:space="preserve">). </w:t>
      </w:r>
      <w:r w:rsidR="004E4E1C">
        <w:t>É</w:t>
      </w:r>
      <w:r w:rsidR="00D27C43">
        <w:t xml:space="preserve">ste </w:t>
      </w:r>
      <w:r w:rsidR="004E4E1C">
        <w:t xml:space="preserve">será </w:t>
      </w:r>
      <w:r w:rsidR="00D27C43">
        <w:t>un término para la desaparición de la con</w:t>
      </w:r>
      <w:r w:rsidR="004E4E1C">
        <w:t>s</w:t>
      </w:r>
      <w:r w:rsidR="00D27C43">
        <w:t>ciencia perteneciente a la base consiste</w:t>
      </w:r>
      <w:r w:rsidR="004E4E1C">
        <w:t>nte</w:t>
      </w:r>
      <w:r w:rsidR="00D27C43">
        <w:t xml:space="preserve"> </w:t>
      </w:r>
      <w:r w:rsidR="004E4E1C">
        <w:t xml:space="preserve">del </w:t>
      </w:r>
      <w:r w:rsidR="00D27C43">
        <w:t xml:space="preserve">espacio ilimitado. [335] Esa nada </w:t>
      </w:r>
      <w:r w:rsidR="004E4E1C">
        <w:t xml:space="preserve">será </w:t>
      </w:r>
      <w:r w:rsidR="00D27C43">
        <w:t xml:space="preserve">la "base" en el sentido de fundamento para ese </w:t>
      </w:r>
      <w:proofErr w:type="spellStart"/>
      <w:r w:rsidR="00057BF4" w:rsidRPr="00057BF4">
        <w:rPr>
          <w:i/>
        </w:rPr>
        <w:t>jhāna</w:t>
      </w:r>
      <w:proofErr w:type="spellEnd"/>
      <w:r w:rsidR="00D27C43">
        <w:t xml:space="preserve">, como la "base de las deidades" lo es para las deidades, por lo que </w:t>
      </w:r>
      <w:r w:rsidR="00962015">
        <w:t xml:space="preserve">será </w:t>
      </w:r>
      <w:r w:rsidR="00D27C43">
        <w:t>la "base consiste</w:t>
      </w:r>
      <w:r w:rsidR="00962015">
        <w:t>nte</w:t>
      </w:r>
      <w:r w:rsidR="00D27C43">
        <w:t xml:space="preserve"> </w:t>
      </w:r>
      <w:r w:rsidR="00962015">
        <w:t>del vacío</w:t>
      </w:r>
      <w:r w:rsidR="00D27C43">
        <w:t xml:space="preserve">". El resto </w:t>
      </w:r>
      <w:r w:rsidR="00962015">
        <w:t xml:space="preserve">será </w:t>
      </w:r>
      <w:r w:rsidR="00D27C43">
        <w:t>como antes.</w:t>
      </w:r>
    </w:p>
    <w:p w14:paraId="4AF2F74B" w14:textId="02CDC2BF" w:rsidR="00D27C43" w:rsidRDefault="00962015" w:rsidP="0054537A">
      <w:pPr>
        <w:pStyle w:val="NormalConSangria"/>
      </w:pPr>
      <w:r>
        <w:t>É</w:t>
      </w:r>
      <w:r w:rsidR="00D27C43">
        <w:t xml:space="preserve">sta es la explicación detallada </w:t>
      </w:r>
      <w:r>
        <w:t xml:space="preserve">sobre </w:t>
      </w:r>
      <w:r w:rsidR="00D27C43">
        <w:t>la base consiste</w:t>
      </w:r>
      <w:r>
        <w:t>nte</w:t>
      </w:r>
      <w:r w:rsidR="00D27C43">
        <w:t xml:space="preserve"> </w:t>
      </w:r>
      <w:r>
        <w:t xml:space="preserve">del vacío </w:t>
      </w:r>
      <w:r w:rsidR="00D27C43">
        <w:t xml:space="preserve">como </w:t>
      </w:r>
      <w:r>
        <w:t xml:space="preserve">objeto </w:t>
      </w:r>
      <w:r w:rsidR="00D27C43">
        <w:t>de meditación.</w:t>
      </w:r>
    </w:p>
    <w:p w14:paraId="6605D109" w14:textId="6E296D4D" w:rsidR="00D27C43" w:rsidRDefault="00D27C43" w:rsidP="00D27C43">
      <w:pPr>
        <w:pStyle w:val="Ttulo3"/>
        <w:ind w:left="708"/>
      </w:pPr>
      <w:r>
        <w:t xml:space="preserve">[(4) </w:t>
      </w:r>
      <w:r w:rsidR="005708F7">
        <w:t xml:space="preserve">La </w:t>
      </w:r>
      <w:r>
        <w:t>Base Consiste</w:t>
      </w:r>
      <w:r w:rsidR="00962015">
        <w:t>nte de la</w:t>
      </w:r>
      <w:r>
        <w:t xml:space="preserve"> </w:t>
      </w:r>
      <w:r w:rsidR="00962015">
        <w:t>No-</w:t>
      </w:r>
      <w:r>
        <w:t>Percepción</w:t>
      </w:r>
      <w:r w:rsidR="00962015">
        <w:t>-</w:t>
      </w:r>
      <w:r>
        <w:t>ni</w:t>
      </w:r>
      <w:r w:rsidR="00962015">
        <w:t>-</w:t>
      </w:r>
      <w:r>
        <w:t>No</w:t>
      </w:r>
      <w:r w:rsidR="00962015">
        <w:t>-</w:t>
      </w:r>
      <w:r>
        <w:t>Percepción]</w:t>
      </w:r>
    </w:p>
    <w:p w14:paraId="0831297A" w14:textId="6F385488" w:rsidR="00D27C43" w:rsidRDefault="00D27C43" w:rsidP="00D27C43">
      <w:r>
        <w:t xml:space="preserve">40. </w:t>
      </w:r>
      <w:r>
        <w:tab/>
      </w:r>
      <w:r w:rsidR="005D0B9B">
        <w:t xml:space="preserve">No obstante, </w:t>
      </w:r>
      <w:r>
        <w:t xml:space="preserve">cuando </w:t>
      </w:r>
      <w:r w:rsidR="005D0B9B">
        <w:t xml:space="preserve">él desee </w:t>
      </w:r>
      <w:r>
        <w:t>desarrollar la base consiste</w:t>
      </w:r>
      <w:r w:rsidR="005D0B9B">
        <w:t>nte</w:t>
      </w:r>
      <w:r>
        <w:t xml:space="preserve"> </w:t>
      </w:r>
      <w:r w:rsidR="005D0B9B">
        <w:t xml:space="preserve">de la </w:t>
      </w:r>
      <w:r>
        <w:t>n</w:t>
      </w:r>
      <w:r w:rsidR="005D0B9B">
        <w:t>o-</w:t>
      </w:r>
      <w:r>
        <w:t>percepción</w:t>
      </w:r>
      <w:r w:rsidR="005D0B9B">
        <w:t>-</w:t>
      </w:r>
      <w:r>
        <w:t>ni</w:t>
      </w:r>
      <w:r w:rsidR="005D0B9B">
        <w:t>-</w:t>
      </w:r>
      <w:r>
        <w:t>no</w:t>
      </w:r>
      <w:r w:rsidR="005D0B9B">
        <w:t>-</w:t>
      </w:r>
      <w:r>
        <w:t>percepción, primero debe</w:t>
      </w:r>
      <w:r w:rsidR="004968D4">
        <w:t>rá</w:t>
      </w:r>
      <w:r>
        <w:t xml:space="preserve"> </w:t>
      </w:r>
      <w:r w:rsidR="004968D4">
        <w:t xml:space="preserve">desarrollar </w:t>
      </w:r>
      <w:r>
        <w:t xml:space="preserve">maestría en los cinco </w:t>
      </w:r>
      <w:r w:rsidR="004968D4">
        <w:t>senderos</w:t>
      </w:r>
      <w:r>
        <w:t xml:space="preserve"> </w:t>
      </w:r>
      <w:r w:rsidR="004968D4">
        <w:t>d</w:t>
      </w:r>
      <w:r>
        <w:t xml:space="preserve">el logro </w:t>
      </w:r>
      <w:r w:rsidR="00B056CF">
        <w:t>sobre</w:t>
      </w:r>
      <w:r>
        <w:t xml:space="preserve"> la base consiste</w:t>
      </w:r>
      <w:r w:rsidR="004968D4">
        <w:t>nte del vacío</w:t>
      </w:r>
      <w:r>
        <w:t>. Entonces deber</w:t>
      </w:r>
      <w:r w:rsidR="005B3BB3">
        <w:t>á</w:t>
      </w:r>
      <w:r>
        <w:t xml:space="preserve"> ver el peligro en la base consiste</w:t>
      </w:r>
      <w:r w:rsidR="005B3BB3">
        <w:t>nte</w:t>
      </w:r>
      <w:r>
        <w:t xml:space="preserve"> </w:t>
      </w:r>
      <w:r w:rsidR="005B3BB3">
        <w:t>del vacío</w:t>
      </w:r>
      <w:r>
        <w:t xml:space="preserve"> y la ventaja en lo que </w:t>
      </w:r>
      <w:r w:rsidR="005B3BB3">
        <w:t xml:space="preserve">sea </w:t>
      </w:r>
      <w:r>
        <w:t xml:space="preserve">superior a ella de esta manera: “Este logro tiene </w:t>
      </w:r>
      <w:r w:rsidR="005B3BB3">
        <w:t xml:space="preserve">a </w:t>
      </w:r>
      <w:r>
        <w:t xml:space="preserve">la </w:t>
      </w:r>
      <w:r w:rsidR="00B9319B">
        <w:t>base</w:t>
      </w:r>
      <w:r>
        <w:t xml:space="preserve"> consiste</w:t>
      </w:r>
      <w:r w:rsidR="005B3BB3">
        <w:t>nte</w:t>
      </w:r>
      <w:r>
        <w:t xml:space="preserve"> </w:t>
      </w:r>
      <w:r w:rsidR="005B3BB3">
        <w:t xml:space="preserve">de </w:t>
      </w:r>
      <w:r>
        <w:t xml:space="preserve">la </w:t>
      </w:r>
      <w:r w:rsidR="00305E12">
        <w:t>consciencia</w:t>
      </w:r>
      <w:r>
        <w:t xml:space="preserve"> ilimitada como su enemigo cercano, y no es tan </w:t>
      </w:r>
      <w:r w:rsidR="005B3BB3">
        <w:t xml:space="preserve">apacible </w:t>
      </w:r>
      <w:r>
        <w:t>como la base consiste</w:t>
      </w:r>
      <w:r w:rsidR="00B9319B">
        <w:t>nte</w:t>
      </w:r>
      <w:r>
        <w:t xml:space="preserve"> </w:t>
      </w:r>
      <w:r w:rsidR="00B9319B">
        <w:t>de la</w:t>
      </w:r>
      <w:r>
        <w:t xml:space="preserve"> </w:t>
      </w:r>
      <w:r w:rsidR="00B9319B">
        <w:t>no-percepción-ni-no-percepción</w:t>
      </w:r>
      <w:r>
        <w:t xml:space="preserve">”, o así: “La percepción es un </w:t>
      </w:r>
      <w:r w:rsidR="00B9319B">
        <w:t>tumor</w:t>
      </w:r>
      <w:r>
        <w:t xml:space="preserve">, la percepción es un dardo… esto es </w:t>
      </w:r>
      <w:r w:rsidR="00517024">
        <w:t>más apacible</w:t>
      </w:r>
      <w:r>
        <w:t xml:space="preserve">, esto es </w:t>
      </w:r>
      <w:r w:rsidR="00517024">
        <w:t xml:space="preserve">más </w:t>
      </w:r>
      <w:r>
        <w:t xml:space="preserve">sublime, es decir, </w:t>
      </w:r>
      <w:r w:rsidR="00517024">
        <w:t>la no-percepción-ni-no-percepción</w:t>
      </w:r>
      <w:r>
        <w:t xml:space="preserve">” (M II 231). Entonces, habiendo </w:t>
      </w:r>
      <w:r w:rsidR="0019695E">
        <w:t>puesto fin a</w:t>
      </w:r>
      <w:r>
        <w:t xml:space="preserve"> su apego </w:t>
      </w:r>
      <w:r w:rsidR="002538C8">
        <w:t xml:space="preserve">hacia </w:t>
      </w:r>
      <w:r>
        <w:t>la base consiste</w:t>
      </w:r>
      <w:r w:rsidR="0019695E">
        <w:t>nte del vacío</w:t>
      </w:r>
      <w:r>
        <w:t>, debe</w:t>
      </w:r>
      <w:r w:rsidR="0019695E">
        <w:t>rá</w:t>
      </w:r>
      <w:r>
        <w:t xml:space="preserve"> prestar atención a la base consiste</w:t>
      </w:r>
      <w:r w:rsidR="0019695E">
        <w:t>nte de la no-percepción-ni-no-percepción</w:t>
      </w:r>
      <w:r>
        <w:t xml:space="preserve"> como </w:t>
      </w:r>
      <w:r w:rsidR="0019695E">
        <w:t>más apacible</w:t>
      </w:r>
      <w:r>
        <w:t>. Debe</w:t>
      </w:r>
      <w:r w:rsidR="0019695E">
        <w:t>rá</w:t>
      </w:r>
      <w:r>
        <w:t xml:space="preserve"> advertir una y otra vez ese logro de la base consiste</w:t>
      </w:r>
      <w:r w:rsidR="0019695E">
        <w:t>nte</w:t>
      </w:r>
      <w:r>
        <w:t xml:space="preserve"> </w:t>
      </w:r>
      <w:r w:rsidR="0019695E">
        <w:t xml:space="preserve">del vacío </w:t>
      </w:r>
      <w:r>
        <w:t>que ha</w:t>
      </w:r>
      <w:r w:rsidR="0019695E">
        <w:t>ya</w:t>
      </w:r>
      <w:r>
        <w:t xml:space="preserve"> ocurrido haciendo de la </w:t>
      </w:r>
      <w:r w:rsidR="002538C8">
        <w:t>in</w:t>
      </w:r>
      <w:r>
        <w:t>existencia su objeto, advirtiéndolo como “</w:t>
      </w:r>
      <w:r w:rsidR="00F9348B">
        <w:t>apacible</w:t>
      </w:r>
      <w:r>
        <w:t xml:space="preserve">, </w:t>
      </w:r>
      <w:r w:rsidR="00F9348B">
        <w:t>apacible</w:t>
      </w:r>
      <w:r>
        <w:t>”, y debe</w:t>
      </w:r>
      <w:r w:rsidR="00F9348B">
        <w:t>rá</w:t>
      </w:r>
      <w:r>
        <w:t xml:space="preserve"> prestarle atención, revisarlo y </w:t>
      </w:r>
      <w:r w:rsidR="00F9348B">
        <w:t>abordarlo</w:t>
      </w:r>
      <w:r>
        <w:t xml:space="preserve"> con </w:t>
      </w:r>
      <w:proofErr w:type="gramStart"/>
      <w:r w:rsidR="00F9348B">
        <w:t xml:space="preserve">aplicación mental </w:t>
      </w:r>
      <w:r>
        <w:t xml:space="preserve">y </w:t>
      </w:r>
      <w:r w:rsidR="00F9348B">
        <w:t>sustentación mental</w:t>
      </w:r>
      <w:proofErr w:type="gramEnd"/>
      <w:r>
        <w:t>.</w:t>
      </w:r>
    </w:p>
    <w:p w14:paraId="6110F3AD" w14:textId="0002422F" w:rsidR="00D27C43" w:rsidRDefault="00D27C43" w:rsidP="00D27C43">
      <w:r>
        <w:t xml:space="preserve">41. </w:t>
      </w:r>
      <w:r>
        <w:tab/>
        <w:t>A medida que diri</w:t>
      </w:r>
      <w:r w:rsidR="009D2157">
        <w:t>ja</w:t>
      </w:r>
      <w:r>
        <w:t xml:space="preserve"> </w:t>
      </w:r>
      <w:r w:rsidR="009D2157">
        <w:t xml:space="preserve">así </w:t>
      </w:r>
      <w:r>
        <w:t>su mente una y otra vez hacia ese signo, se suprim</w:t>
      </w:r>
      <w:r w:rsidR="009D2157">
        <w:t>irá</w:t>
      </w:r>
      <w:r>
        <w:t>n los obstáculos, se establece</w:t>
      </w:r>
      <w:r w:rsidR="009D2157">
        <w:t>rá</w:t>
      </w:r>
      <w:r>
        <w:t xml:space="preserve"> la atención y su mente se concentra</w:t>
      </w:r>
      <w:r w:rsidR="009D2157">
        <w:t>rá</w:t>
      </w:r>
      <w:r>
        <w:t xml:space="preserve"> en el acceso. </w:t>
      </w:r>
      <w:r w:rsidR="009D2157">
        <w:t>Él c</w:t>
      </w:r>
      <w:r>
        <w:t>ultiva</w:t>
      </w:r>
      <w:r w:rsidR="009D2157">
        <w:t>rá</w:t>
      </w:r>
      <w:r>
        <w:t xml:space="preserve"> ese signo una y otra vez, lo desarrolla</w:t>
      </w:r>
      <w:r w:rsidR="009D2157">
        <w:t>rá</w:t>
      </w:r>
      <w:r>
        <w:t xml:space="preserve"> y lo practica</w:t>
      </w:r>
      <w:r w:rsidR="009D2157">
        <w:t>rá</w:t>
      </w:r>
      <w:r>
        <w:t xml:space="preserve"> repetidamente. Mientras lo ha</w:t>
      </w:r>
      <w:r w:rsidR="009D2157">
        <w:t>ga</w:t>
      </w:r>
      <w:r>
        <w:t>, la con</w:t>
      </w:r>
      <w:r w:rsidR="009D2157">
        <w:t>s</w:t>
      </w:r>
      <w:r>
        <w:t>ciencia pertenec</w:t>
      </w:r>
      <w:r w:rsidR="009D2157">
        <w:t>iente</w:t>
      </w:r>
      <w:r>
        <w:t xml:space="preserve"> a la base consiste</w:t>
      </w:r>
      <w:r w:rsidR="009D2157">
        <w:t>nte de la no-percepción-ni-no-percepción</w:t>
      </w:r>
      <w:r>
        <w:t xml:space="preserve"> surg</w:t>
      </w:r>
      <w:r w:rsidR="009D2157">
        <w:t>irá</w:t>
      </w:r>
      <w:r>
        <w:t xml:space="preserve"> en absorción</w:t>
      </w:r>
      <w:r w:rsidR="002538C8">
        <w:t>,</w:t>
      </w:r>
      <w:r>
        <w:t xml:space="preserve"> haciendo </w:t>
      </w:r>
      <w:r w:rsidR="009D2157">
        <w:t xml:space="preserve">de </w:t>
      </w:r>
      <w:r>
        <w:t>su objeto los cuatro agregados mentales que constituyen el logro de la base consiste</w:t>
      </w:r>
      <w:r w:rsidR="009D2157">
        <w:t>nte del vacío</w:t>
      </w:r>
      <w:r>
        <w:t xml:space="preserve">, </w:t>
      </w:r>
      <w:r w:rsidR="006F20AE">
        <w:t xml:space="preserve">de la misma manera </w:t>
      </w:r>
      <w:r>
        <w:t>como la con</w:t>
      </w:r>
      <w:r w:rsidR="006F20AE">
        <w:t>s</w:t>
      </w:r>
      <w:r>
        <w:t>ciencia pertenec</w:t>
      </w:r>
      <w:r w:rsidR="006F20AE">
        <w:t>iente</w:t>
      </w:r>
      <w:r>
        <w:t xml:space="preserve"> a la base consistente </w:t>
      </w:r>
      <w:r w:rsidR="006F20AE">
        <w:t xml:space="preserve">del vacío </w:t>
      </w:r>
      <w:r>
        <w:t xml:space="preserve">hizo desaparecer la </w:t>
      </w:r>
      <w:r w:rsidR="00305E12">
        <w:t>consciencia</w:t>
      </w:r>
      <w:r>
        <w:t xml:space="preserve"> </w:t>
      </w:r>
      <w:r w:rsidR="006F20AE">
        <w:t>previa</w:t>
      </w:r>
      <w:r>
        <w:t>. Y aquí también el método de explica</w:t>
      </w:r>
      <w:r w:rsidR="00193EE8">
        <w:t xml:space="preserve">ción sobre </w:t>
      </w:r>
      <w:r>
        <w:t>la absorción debe</w:t>
      </w:r>
      <w:r w:rsidR="00193EE8">
        <w:t>rá</w:t>
      </w:r>
      <w:r>
        <w:t xml:space="preserve"> entenderse de la manera ya descrita.</w:t>
      </w:r>
    </w:p>
    <w:p w14:paraId="1C3D361A" w14:textId="77777777" w:rsidR="002538C8" w:rsidRDefault="002538C8" w:rsidP="00D27C43"/>
    <w:p w14:paraId="62612330" w14:textId="523C06BA" w:rsidR="00D27C43" w:rsidRDefault="00D27C43" w:rsidP="00D27C43">
      <w:pPr>
        <w:jc w:val="center"/>
      </w:pPr>
      <w:r>
        <w:t>[</w:t>
      </w:r>
      <w:r w:rsidRPr="00D27C43">
        <w:rPr>
          <w:i/>
          <w:iCs/>
        </w:rPr>
        <w:t>Texto y Comentario</w:t>
      </w:r>
      <w:r>
        <w:t>]</w:t>
      </w:r>
    </w:p>
    <w:p w14:paraId="438FE57E" w14:textId="189726FF" w:rsidR="00D27C43" w:rsidRDefault="00D27C43" w:rsidP="00D27C43">
      <w:r>
        <w:t xml:space="preserve">42. </w:t>
      </w:r>
      <w:r w:rsidR="00FC1B86">
        <w:tab/>
      </w:r>
      <w:r>
        <w:t>Y en este punto se dice: “Al superar completamente la base consiste</w:t>
      </w:r>
      <w:r w:rsidR="00193EE8">
        <w:t>nte</w:t>
      </w:r>
      <w:r>
        <w:t xml:space="preserve"> </w:t>
      </w:r>
      <w:r w:rsidR="00193EE8">
        <w:t>del vacío</w:t>
      </w:r>
      <w:r>
        <w:t>, él entra</w:t>
      </w:r>
      <w:r w:rsidR="00193EE8">
        <w:t>rá</w:t>
      </w:r>
      <w:r>
        <w:t xml:space="preserve"> y </w:t>
      </w:r>
      <w:r w:rsidR="00193EE8">
        <w:t xml:space="preserve">habitará </w:t>
      </w:r>
      <w:r>
        <w:t>en la base consiste</w:t>
      </w:r>
      <w:r w:rsidR="00193EE8">
        <w:t>nte de la no-percepción-ni-no-percepción</w:t>
      </w:r>
      <w:r>
        <w:t>” (</w:t>
      </w:r>
      <w:proofErr w:type="spellStart"/>
      <w:r>
        <w:t>Vibh</w:t>
      </w:r>
      <w:proofErr w:type="spellEnd"/>
      <w:r>
        <w:t xml:space="preserve"> 245).</w:t>
      </w:r>
    </w:p>
    <w:p w14:paraId="78E28CA7" w14:textId="77777777" w:rsidR="000A1E42" w:rsidRDefault="000A1E42" w:rsidP="00D27C43"/>
    <w:p w14:paraId="17D43729" w14:textId="77777777" w:rsidR="00D27C43" w:rsidRDefault="00D27C43" w:rsidP="00D27C43">
      <w:pPr>
        <w:pStyle w:val="PiedepginaLegal"/>
        <w:rPr>
          <w:u w:val="single"/>
        </w:rPr>
      </w:pPr>
      <w:r>
        <w:rPr>
          <w:u w:val="single"/>
        </w:rPr>
        <w:tab/>
      </w:r>
      <w:r>
        <w:rPr>
          <w:u w:val="single"/>
        </w:rPr>
        <w:tab/>
      </w:r>
      <w:r>
        <w:rPr>
          <w:u w:val="single"/>
        </w:rPr>
        <w:tab/>
      </w:r>
      <w:r>
        <w:rPr>
          <w:u w:val="single"/>
        </w:rPr>
        <w:tab/>
      </w:r>
    </w:p>
    <w:p w14:paraId="4F61EA3B" w14:textId="77777777" w:rsidR="00D27C43" w:rsidRDefault="00D27C43" w:rsidP="00D27C43">
      <w:pPr>
        <w:pStyle w:val="PiedepginaLegal"/>
      </w:pPr>
      <w:r>
        <w:t>…</w:t>
      </w:r>
    </w:p>
    <w:p w14:paraId="56597707" w14:textId="7F23BADD" w:rsidR="0054537A" w:rsidRDefault="00D27C43" w:rsidP="00D27C43">
      <w:pPr>
        <w:pStyle w:val="PiedepginaLegal"/>
      </w:pPr>
      <w:r>
        <w:tab/>
        <w:t>“</w:t>
      </w:r>
      <w:proofErr w:type="spellStart"/>
      <w:r w:rsidRPr="00984CD1">
        <w:rPr>
          <w:i/>
          <w:iCs/>
        </w:rPr>
        <w:t>Rāgo</w:t>
      </w:r>
      <w:proofErr w:type="spellEnd"/>
      <w:r w:rsidRPr="00984CD1">
        <w:rPr>
          <w:i/>
          <w:iCs/>
        </w:rPr>
        <w:t xml:space="preserve"> </w:t>
      </w:r>
      <w:proofErr w:type="spellStart"/>
      <w:r w:rsidRPr="00984CD1">
        <w:rPr>
          <w:i/>
          <w:iCs/>
        </w:rPr>
        <w:t>uppajjitvā</w:t>
      </w:r>
      <w:proofErr w:type="spellEnd"/>
      <w:r w:rsidRPr="00984CD1">
        <w:rPr>
          <w:i/>
          <w:iCs/>
        </w:rPr>
        <w:t xml:space="preserve"> </w:t>
      </w:r>
      <w:proofErr w:type="spellStart"/>
      <w:r w:rsidRPr="00984CD1">
        <w:rPr>
          <w:i/>
          <w:iCs/>
        </w:rPr>
        <w:t>puggalaṃ</w:t>
      </w:r>
      <w:proofErr w:type="spellEnd"/>
      <w:r w:rsidRPr="00984CD1">
        <w:rPr>
          <w:i/>
          <w:iCs/>
        </w:rPr>
        <w:t xml:space="preserve"> </w:t>
      </w:r>
      <w:proofErr w:type="spellStart"/>
      <w:r w:rsidRPr="00984CD1">
        <w:rPr>
          <w:i/>
          <w:iCs/>
        </w:rPr>
        <w:t>kiñcati</w:t>
      </w:r>
      <w:proofErr w:type="spellEnd"/>
      <w:r w:rsidRPr="00984CD1">
        <w:rPr>
          <w:i/>
          <w:iCs/>
        </w:rPr>
        <w:t xml:space="preserve">, </w:t>
      </w:r>
      <w:proofErr w:type="spellStart"/>
      <w:r w:rsidRPr="00984CD1">
        <w:rPr>
          <w:i/>
          <w:iCs/>
        </w:rPr>
        <w:t>maddati</w:t>
      </w:r>
      <w:proofErr w:type="spellEnd"/>
      <w:r w:rsidRPr="00984CD1">
        <w:rPr>
          <w:i/>
          <w:iCs/>
        </w:rPr>
        <w:t xml:space="preserve">, </w:t>
      </w:r>
      <w:proofErr w:type="spellStart"/>
      <w:r w:rsidR="00AD6B1D" w:rsidRPr="00AD6B1D">
        <w:rPr>
          <w:i/>
          <w:iCs/>
        </w:rPr>
        <w:t>Pāḷi</w:t>
      </w:r>
      <w:r w:rsidRPr="00984CD1">
        <w:rPr>
          <w:i/>
          <w:iCs/>
        </w:rPr>
        <w:t>bujjhati</w:t>
      </w:r>
      <w:proofErr w:type="spellEnd"/>
      <w:r w:rsidRPr="00984CD1">
        <w:rPr>
          <w:i/>
          <w:iCs/>
        </w:rPr>
        <w:t xml:space="preserve">, </w:t>
      </w:r>
      <w:proofErr w:type="spellStart"/>
      <w:r w:rsidRPr="00984CD1">
        <w:rPr>
          <w:i/>
          <w:iCs/>
        </w:rPr>
        <w:t>tasmā</w:t>
      </w:r>
      <w:proofErr w:type="spellEnd"/>
      <w:r w:rsidRPr="00984CD1">
        <w:rPr>
          <w:i/>
          <w:iCs/>
        </w:rPr>
        <w:t xml:space="preserve"> </w:t>
      </w:r>
      <w:proofErr w:type="spellStart"/>
      <w:r w:rsidRPr="00984CD1">
        <w:rPr>
          <w:i/>
          <w:iCs/>
        </w:rPr>
        <w:t>kiñcano</w:t>
      </w:r>
      <w:proofErr w:type="spellEnd"/>
      <w:r w:rsidRPr="00984CD1">
        <w:rPr>
          <w:i/>
          <w:iCs/>
        </w:rPr>
        <w:t xml:space="preserve"> ti </w:t>
      </w:r>
      <w:proofErr w:type="spellStart"/>
      <w:r w:rsidRPr="00984CD1">
        <w:rPr>
          <w:i/>
          <w:iCs/>
        </w:rPr>
        <w:t>vutto</w:t>
      </w:r>
      <w:proofErr w:type="spellEnd"/>
      <w:r>
        <w:t xml:space="preserve"> (habiendo surgido la avaricia, se posee, </w:t>
      </w:r>
      <w:r w:rsidR="00FD6B4C">
        <w:t xml:space="preserve">se </w:t>
      </w:r>
      <w:r>
        <w:t xml:space="preserve">presiona, </w:t>
      </w:r>
      <w:r w:rsidR="00FD6B4C">
        <w:t xml:space="preserve">se </w:t>
      </w:r>
      <w:r>
        <w:t>impide, a una persona, por e</w:t>
      </w:r>
      <w:r w:rsidR="00FD6B4C">
        <w:t>ll</w:t>
      </w:r>
      <w:r>
        <w:t>o se llama pose</w:t>
      </w:r>
      <w:r w:rsidR="00FD6B4C">
        <w:t>sión</w:t>
      </w:r>
      <w:r>
        <w:t xml:space="preserve">)” (Cf. M-a I 27; también XXI.53 y nota 19). </w:t>
      </w:r>
      <w:proofErr w:type="spellStart"/>
      <w:r>
        <w:t>Vism-mhṭ</w:t>
      </w:r>
      <w:proofErr w:type="spellEnd"/>
      <w:r>
        <w:t xml:space="preserve"> (p. 327) aquí dice “</w:t>
      </w:r>
      <w:proofErr w:type="spellStart"/>
      <w:r w:rsidRPr="00984CD1">
        <w:rPr>
          <w:i/>
          <w:iCs/>
        </w:rPr>
        <w:t>Kiñcanan</w:t>
      </w:r>
      <w:proofErr w:type="spellEnd"/>
      <w:r w:rsidRPr="00984CD1">
        <w:rPr>
          <w:i/>
          <w:iCs/>
        </w:rPr>
        <w:t xml:space="preserve"> ti </w:t>
      </w:r>
      <w:proofErr w:type="spellStart"/>
      <w:r w:rsidRPr="00984CD1">
        <w:rPr>
          <w:i/>
          <w:iCs/>
        </w:rPr>
        <w:t>kiñci</w:t>
      </w:r>
      <w:proofErr w:type="spellEnd"/>
      <w:r w:rsidRPr="00984CD1">
        <w:rPr>
          <w:i/>
          <w:iCs/>
        </w:rPr>
        <w:t xml:space="preserve"> pi</w:t>
      </w:r>
      <w:r>
        <w:t xml:space="preserve">”. La palabra </w:t>
      </w:r>
      <w:proofErr w:type="spellStart"/>
      <w:r w:rsidRPr="00984CD1">
        <w:rPr>
          <w:i/>
          <w:iCs/>
        </w:rPr>
        <w:t>kiñcati</w:t>
      </w:r>
      <w:proofErr w:type="spellEnd"/>
      <w:r>
        <w:t xml:space="preserve"> no está en </w:t>
      </w:r>
      <w:r w:rsidR="001327FB">
        <w:t xml:space="preserve">el </w:t>
      </w:r>
      <w:r>
        <w:t>PED.</w:t>
      </w:r>
    </w:p>
    <w:p w14:paraId="0F1B20A7" w14:textId="77777777" w:rsidR="0054537A" w:rsidRDefault="0054537A">
      <w:pPr>
        <w:tabs>
          <w:tab w:val="clear" w:pos="425"/>
        </w:tabs>
        <w:spacing w:after="160"/>
      </w:pPr>
      <w:r>
        <w:br w:type="page"/>
      </w:r>
    </w:p>
    <w:p w14:paraId="7DEF7D16" w14:textId="2B6253B9" w:rsidR="00DF4D30" w:rsidRDefault="00DF4D30" w:rsidP="0054537A">
      <w:r>
        <w:lastRenderedPageBreak/>
        <w:br/>
      </w:r>
    </w:p>
    <w:p w14:paraId="72F36564" w14:textId="3DAC0DB7" w:rsidR="00DF4D30" w:rsidRDefault="00DF4D30" w:rsidP="00DF4D30">
      <w:r>
        <w:t xml:space="preserve">43. </w:t>
      </w:r>
      <w:r>
        <w:tab/>
        <w:t xml:space="preserve">Aquí, </w:t>
      </w:r>
      <w:r w:rsidRPr="00984CD1">
        <w:rPr>
          <w:i/>
          <w:iCs/>
        </w:rPr>
        <w:t>completamente</w:t>
      </w:r>
      <w:r>
        <w:t xml:space="preserve"> </w:t>
      </w:r>
      <w:r w:rsidR="00975F13">
        <w:t xml:space="preserve">ya ha sido </w:t>
      </w:r>
      <w:r>
        <w:t>explicado. Por…</w:t>
      </w:r>
      <w:r w:rsidRPr="00984CD1">
        <w:rPr>
          <w:i/>
          <w:iCs/>
        </w:rPr>
        <w:t xml:space="preserve"> superando la base consiste</w:t>
      </w:r>
      <w:r w:rsidR="00975F13">
        <w:rPr>
          <w:i/>
          <w:iCs/>
        </w:rPr>
        <w:t>nte del vacío</w:t>
      </w:r>
      <w:r>
        <w:t>: aquí también</w:t>
      </w:r>
      <w:r w:rsidR="000D2173">
        <w:t>,</w:t>
      </w:r>
      <w:r>
        <w:t xml:space="preserve"> </w:t>
      </w:r>
      <w:r w:rsidR="00975F13">
        <w:t>a</w:t>
      </w:r>
      <w:r>
        <w:t xml:space="preserve">l </w:t>
      </w:r>
      <w:proofErr w:type="spellStart"/>
      <w:r w:rsidR="00057BF4" w:rsidRPr="00057BF4">
        <w:rPr>
          <w:i/>
        </w:rPr>
        <w:t>jhāna</w:t>
      </w:r>
      <w:proofErr w:type="spellEnd"/>
      <w:r>
        <w:t xml:space="preserve"> </w:t>
      </w:r>
      <w:r w:rsidR="00975F13">
        <w:t xml:space="preserve">en cuestión </w:t>
      </w:r>
      <w:r>
        <w:t xml:space="preserve">se </w:t>
      </w:r>
      <w:r w:rsidR="00975F13">
        <w:t xml:space="preserve">le </w:t>
      </w:r>
      <w:r>
        <w:t>llama</w:t>
      </w:r>
      <w:r w:rsidR="00975F13">
        <w:t>rá</w:t>
      </w:r>
      <w:r>
        <w:t xml:space="preserve"> “base consiste</w:t>
      </w:r>
      <w:r w:rsidR="00975F13">
        <w:t>nte del vacío</w:t>
      </w:r>
      <w:r>
        <w:t xml:space="preserve">” en la forma ya establecida y </w:t>
      </w:r>
      <w:r w:rsidR="00401343">
        <w:t xml:space="preserve">a </w:t>
      </w:r>
      <w:r>
        <w:t xml:space="preserve">su objeto también se </w:t>
      </w:r>
      <w:r w:rsidR="00401343">
        <w:t xml:space="preserve">le </w:t>
      </w:r>
      <w:r>
        <w:t>llama</w:t>
      </w:r>
      <w:r w:rsidR="00401343">
        <w:t>rá</w:t>
      </w:r>
      <w:r>
        <w:t xml:space="preserve"> así. Porque el objeto también </w:t>
      </w:r>
      <w:r w:rsidR="000D2173">
        <w:t>será e</w:t>
      </w:r>
      <w:r>
        <w:t>l “</w:t>
      </w:r>
      <w:r w:rsidR="00401343">
        <w:t>vacío</w:t>
      </w:r>
      <w:r>
        <w:t>” (</w:t>
      </w:r>
      <w:proofErr w:type="spellStart"/>
      <w:r w:rsidRPr="00984CD1">
        <w:rPr>
          <w:i/>
          <w:iCs/>
        </w:rPr>
        <w:t>ākiñcaññaṃ</w:t>
      </w:r>
      <w:proofErr w:type="spellEnd"/>
      <w:r>
        <w:t xml:space="preserve">) en la forma ya establecida, y luego debido a que </w:t>
      </w:r>
      <w:r w:rsidR="00401343">
        <w:t>corresponderá a</w:t>
      </w:r>
      <w:r>
        <w:t xml:space="preserve">l objeto del tercer </w:t>
      </w:r>
      <w:proofErr w:type="spellStart"/>
      <w:r w:rsidR="00057BF4" w:rsidRPr="00057BF4">
        <w:rPr>
          <w:i/>
        </w:rPr>
        <w:t>jhāna</w:t>
      </w:r>
      <w:proofErr w:type="spellEnd"/>
      <w:r>
        <w:t xml:space="preserve"> inmaterial, </w:t>
      </w:r>
      <w:r w:rsidR="00401343">
        <w:t xml:space="preserve">será </w:t>
      </w:r>
      <w:r>
        <w:t>su “base” en el sentido de hábitat, como la “base de las deidades”</w:t>
      </w:r>
      <w:r w:rsidR="00401343">
        <w:t xml:space="preserve"> lo es</w:t>
      </w:r>
      <w:r>
        <w:t xml:space="preserve"> para las deidades, por lo tanto, </w:t>
      </w:r>
      <w:r w:rsidR="00401343">
        <w:t xml:space="preserve">será </w:t>
      </w:r>
      <w:r>
        <w:t>la "base consiste</w:t>
      </w:r>
      <w:r w:rsidR="00401343">
        <w:t xml:space="preserve">nte del vacío </w:t>
      </w:r>
      <w:r>
        <w:t xml:space="preserve">". Asimismo: </w:t>
      </w:r>
      <w:r w:rsidR="00401343">
        <w:t>será el</w:t>
      </w:r>
      <w:r>
        <w:t xml:space="preserve"> “</w:t>
      </w:r>
      <w:r w:rsidR="00401343">
        <w:t>vacío</w:t>
      </w:r>
      <w:r>
        <w:t xml:space="preserve">”, y luego, por ser la causa del </w:t>
      </w:r>
      <w:proofErr w:type="spellStart"/>
      <w:r w:rsidR="00057BF4" w:rsidRPr="00057BF4">
        <w:rPr>
          <w:i/>
        </w:rPr>
        <w:t>jhāna</w:t>
      </w:r>
      <w:proofErr w:type="spellEnd"/>
      <w:r>
        <w:t xml:space="preserve"> de esa especie, </w:t>
      </w:r>
      <w:r w:rsidR="00401343">
        <w:t xml:space="preserve">será </w:t>
      </w:r>
      <w:r>
        <w:t xml:space="preserve">su “base” en el sentido de localidad de la especie, como </w:t>
      </w:r>
      <w:proofErr w:type="spellStart"/>
      <w:r>
        <w:t>Kambojā</w:t>
      </w:r>
      <w:proofErr w:type="spellEnd"/>
      <w:r>
        <w:t xml:space="preserve"> es la “base” </w:t>
      </w:r>
      <w:r w:rsidR="00425DAE">
        <w:t xml:space="preserve">para </w:t>
      </w:r>
      <w:r>
        <w:t xml:space="preserve">los caballos, así </w:t>
      </w:r>
      <w:r w:rsidR="000C6CEF">
        <w:t xml:space="preserve">también y de esta manera </w:t>
      </w:r>
      <w:r w:rsidR="00425DAE">
        <w:t xml:space="preserve">lo </w:t>
      </w:r>
      <w:r w:rsidR="00401343">
        <w:t xml:space="preserve">será </w:t>
      </w:r>
      <w:r>
        <w:t>la “base consiste</w:t>
      </w:r>
      <w:r w:rsidR="00401343">
        <w:t>nte</w:t>
      </w:r>
      <w:r>
        <w:t xml:space="preserve"> </w:t>
      </w:r>
      <w:r w:rsidR="00401343">
        <w:t>del vacío</w:t>
      </w:r>
      <w:r>
        <w:t>”. [336] Por lo tanto, debe</w:t>
      </w:r>
      <w:r w:rsidR="000D2173">
        <w:t>rá</w:t>
      </w:r>
      <w:r>
        <w:t xml:space="preserve"> entenderse que las palabras, “Al… superar la base consiste</w:t>
      </w:r>
      <w:r w:rsidR="00425DAE">
        <w:t>nte</w:t>
      </w:r>
      <w:r>
        <w:t xml:space="preserve"> </w:t>
      </w:r>
      <w:r w:rsidR="00425DAE">
        <w:t>del vacío</w:t>
      </w:r>
      <w:r>
        <w:t xml:space="preserve">” incluyen </w:t>
      </w:r>
      <w:r w:rsidR="00630A3E">
        <w:t xml:space="preserve">a </w:t>
      </w:r>
      <w:r>
        <w:t>ambos</w:t>
      </w:r>
      <w:r w:rsidR="000D2173">
        <w:t>,</w:t>
      </w:r>
      <w:r>
        <w:t xml:space="preserve"> </w:t>
      </w:r>
      <w:r w:rsidR="00630A3E">
        <w:t>a</w:t>
      </w:r>
      <w:r>
        <w:t xml:space="preserve">l </w:t>
      </w:r>
      <w:proofErr w:type="spellStart"/>
      <w:r w:rsidR="00057BF4" w:rsidRPr="00057BF4">
        <w:rPr>
          <w:i/>
        </w:rPr>
        <w:t>jhāna</w:t>
      </w:r>
      <w:proofErr w:type="spellEnd"/>
      <w:r>
        <w:t xml:space="preserve"> y </w:t>
      </w:r>
      <w:r w:rsidR="00630A3E">
        <w:t xml:space="preserve">a </w:t>
      </w:r>
      <w:r>
        <w:t>su objeto</w:t>
      </w:r>
      <w:r w:rsidR="000D2173">
        <w:t>,</w:t>
      </w:r>
      <w:r>
        <w:t xml:space="preserve"> </w:t>
      </w:r>
      <w:r w:rsidR="00630A3E">
        <w:t>conjuntamente</w:t>
      </w:r>
      <w:r>
        <w:t>, ya que se debe</w:t>
      </w:r>
      <w:r w:rsidR="00630A3E">
        <w:t>rá</w:t>
      </w:r>
      <w:r>
        <w:t xml:space="preserve"> entrar en la base consiste</w:t>
      </w:r>
      <w:r w:rsidR="00630A3E">
        <w:t xml:space="preserve">nte de la no-percepción-ni-no-percepción </w:t>
      </w:r>
      <w:r>
        <w:t>y habitar en ella precisamente superando, causando la no ocurrencia de, al no prestar atención</w:t>
      </w:r>
      <w:r w:rsidR="00630A3E">
        <w:t xml:space="preserve"> a</w:t>
      </w:r>
      <w:r>
        <w:t xml:space="preserve">, tanto al </w:t>
      </w:r>
      <w:proofErr w:type="spellStart"/>
      <w:r w:rsidR="00057BF4" w:rsidRPr="00057BF4">
        <w:rPr>
          <w:i/>
        </w:rPr>
        <w:t>jhāna</w:t>
      </w:r>
      <w:proofErr w:type="spellEnd"/>
      <w:r>
        <w:t xml:space="preserve"> como a su objeto.</w:t>
      </w:r>
    </w:p>
    <w:p w14:paraId="7E85A7FB" w14:textId="5F8F97DE" w:rsidR="00DF4D30" w:rsidRDefault="00DF4D30" w:rsidP="00DF4D30">
      <w:r>
        <w:t xml:space="preserve">44. </w:t>
      </w:r>
      <w:r>
        <w:tab/>
      </w:r>
      <w:r w:rsidR="000D2173">
        <w:t xml:space="preserve">La </w:t>
      </w:r>
      <w:r w:rsidR="000D2173" w:rsidRPr="000D2173">
        <w:rPr>
          <w:i/>
          <w:iCs/>
        </w:rPr>
        <w:t>b</w:t>
      </w:r>
      <w:r w:rsidRPr="000D2173">
        <w:rPr>
          <w:i/>
          <w:iCs/>
        </w:rPr>
        <w:t>ase</w:t>
      </w:r>
      <w:r w:rsidRPr="00984CD1">
        <w:rPr>
          <w:i/>
          <w:iCs/>
        </w:rPr>
        <w:t xml:space="preserve"> consiste</w:t>
      </w:r>
      <w:r w:rsidR="00630A3E">
        <w:rPr>
          <w:i/>
          <w:iCs/>
        </w:rPr>
        <w:t>nte</w:t>
      </w:r>
      <w:r w:rsidRPr="00984CD1">
        <w:rPr>
          <w:i/>
          <w:iCs/>
        </w:rPr>
        <w:t xml:space="preserve"> </w:t>
      </w:r>
      <w:r w:rsidR="000314B8">
        <w:rPr>
          <w:i/>
          <w:iCs/>
        </w:rPr>
        <w:t xml:space="preserve">de la </w:t>
      </w:r>
      <w:r w:rsidR="000314B8" w:rsidRPr="000314B8">
        <w:rPr>
          <w:i/>
          <w:iCs/>
        </w:rPr>
        <w:t>no-percepción-ni-no-percepción</w:t>
      </w:r>
      <w:r>
        <w:t xml:space="preserve">: luego </w:t>
      </w:r>
      <w:r w:rsidR="005F3DAE">
        <w:t xml:space="preserve">se encontrará a </w:t>
      </w:r>
      <w:r w:rsidR="00111BE6">
        <w:t xml:space="preserve">aquel </w:t>
      </w:r>
      <w:r>
        <w:t>que practi</w:t>
      </w:r>
      <w:r w:rsidR="00111BE6">
        <w:t>que</w:t>
      </w:r>
      <w:r>
        <w:t xml:space="preserve"> de tal manera que </w:t>
      </w:r>
      <w:r w:rsidR="007F05AE">
        <w:t>exista</w:t>
      </w:r>
      <w:r>
        <w:t xml:space="preserve"> en él la percepción a causa de la presencia de </w:t>
      </w:r>
      <w:r w:rsidR="007F05AE">
        <w:t xml:space="preserve">aquello por </w:t>
      </w:r>
      <w:r>
        <w:t>l</w:t>
      </w:r>
      <w:r w:rsidR="007F05AE">
        <w:t>o</w:t>
      </w:r>
      <w:r>
        <w:t xml:space="preserve"> cual se </w:t>
      </w:r>
      <w:r w:rsidR="00111BE6">
        <w:t xml:space="preserve">le </w:t>
      </w:r>
      <w:r>
        <w:t>llam</w:t>
      </w:r>
      <w:r w:rsidR="00111BE6">
        <w:t>e</w:t>
      </w:r>
      <w:r>
        <w:t xml:space="preserve"> </w:t>
      </w:r>
      <w:r w:rsidR="007F05AE">
        <w:t xml:space="preserve">a este logro </w:t>
      </w:r>
      <w:r>
        <w:t>"la base consiste</w:t>
      </w:r>
      <w:r w:rsidR="00111BE6">
        <w:t>nte de la no-percepción-ni-no-percepción</w:t>
      </w:r>
      <w:r>
        <w:t>"</w:t>
      </w:r>
      <w:r w:rsidR="0007639A">
        <w:t>;</w:t>
      </w:r>
      <w:r>
        <w:t xml:space="preserve"> y en el </w:t>
      </w:r>
      <w:r w:rsidR="00845798">
        <w:br/>
      </w:r>
      <w:proofErr w:type="spellStart"/>
      <w:r w:rsidRPr="00984CD1">
        <w:rPr>
          <w:i/>
          <w:iCs/>
        </w:rPr>
        <w:t>Vibhaṅga</w:t>
      </w:r>
      <w:proofErr w:type="spellEnd"/>
      <w:r>
        <w:t xml:space="preserve">, para señalar </w:t>
      </w:r>
      <w:r w:rsidR="0032234F">
        <w:t xml:space="preserve">a </w:t>
      </w:r>
      <w:r>
        <w:t xml:space="preserve">la persona, en primer lugar, </w:t>
      </w:r>
      <w:r w:rsidR="0032234F">
        <w:t>a alguien</w:t>
      </w:r>
      <w:r>
        <w:t xml:space="preserve"> </w:t>
      </w:r>
      <w:r w:rsidR="0032234F">
        <w:t xml:space="preserve">designado </w:t>
      </w:r>
      <w:r>
        <w:t>como "n</w:t>
      </w:r>
      <w:r w:rsidR="0007639A">
        <w:t>i-</w:t>
      </w:r>
      <w:r>
        <w:t>percipiente</w:t>
      </w:r>
      <w:r w:rsidR="0007639A">
        <w:t>-</w:t>
      </w:r>
      <w:r>
        <w:t>ni</w:t>
      </w:r>
      <w:r w:rsidR="0007639A">
        <w:t>-</w:t>
      </w:r>
      <w:r>
        <w:t>no</w:t>
      </w:r>
      <w:r w:rsidR="0007639A">
        <w:t>-</w:t>
      </w:r>
      <w:r>
        <w:t>percipiente", se dice, "</w:t>
      </w:r>
      <w:r w:rsidR="0007639A">
        <w:t xml:space="preserve">él </w:t>
      </w:r>
      <w:r>
        <w:t>presta atención a esa misma base consiste</w:t>
      </w:r>
      <w:r w:rsidR="00111BE6">
        <w:t>nte</w:t>
      </w:r>
      <w:r>
        <w:t xml:space="preserve"> </w:t>
      </w:r>
      <w:r w:rsidR="00111BE6">
        <w:t>del vacío</w:t>
      </w:r>
      <w:r>
        <w:t xml:space="preserve"> como </w:t>
      </w:r>
      <w:r w:rsidR="00111BE6">
        <w:t>apacible</w:t>
      </w:r>
      <w:r>
        <w:t xml:space="preserve">, desarrolla el logro </w:t>
      </w:r>
      <w:r w:rsidR="000C3CB9">
        <w:t xml:space="preserve">acompañado de </w:t>
      </w:r>
      <w:r>
        <w:t xml:space="preserve">formaciones residuales, por lo que se </w:t>
      </w:r>
      <w:r w:rsidR="00FB7FD4">
        <w:t>le llama</w:t>
      </w:r>
      <w:r w:rsidR="0007639A">
        <w:t>rá</w:t>
      </w:r>
      <w:r w:rsidR="00FB7FD4">
        <w:t xml:space="preserve"> </w:t>
      </w:r>
      <w:r>
        <w:t>'ni</w:t>
      </w:r>
      <w:r w:rsidR="0007639A">
        <w:t>-</w:t>
      </w:r>
      <w:r>
        <w:t>percipiente</w:t>
      </w:r>
      <w:r w:rsidR="0007639A">
        <w:t>-</w:t>
      </w:r>
      <w:r>
        <w:t>ni</w:t>
      </w:r>
      <w:r w:rsidR="0007639A">
        <w:t>-</w:t>
      </w:r>
      <w:r>
        <w:t>no</w:t>
      </w:r>
      <w:r w:rsidR="0007639A">
        <w:t>-</w:t>
      </w:r>
      <w:r>
        <w:t>percipiente'” (</w:t>
      </w:r>
      <w:proofErr w:type="spellStart"/>
      <w:r>
        <w:t>Vibh</w:t>
      </w:r>
      <w:proofErr w:type="spellEnd"/>
      <w:r>
        <w:t xml:space="preserve"> 263).</w:t>
      </w:r>
    </w:p>
    <w:p w14:paraId="688A55B9" w14:textId="7869F36C" w:rsidR="00DF4D30" w:rsidRDefault="00DF4D30" w:rsidP="00DF4D30">
      <w:r>
        <w:t xml:space="preserve">45. </w:t>
      </w:r>
      <w:r>
        <w:tab/>
        <w:t xml:space="preserve">Aquí, </w:t>
      </w:r>
      <w:r w:rsidRPr="00984CD1">
        <w:rPr>
          <w:i/>
          <w:iCs/>
        </w:rPr>
        <w:t xml:space="preserve">él </w:t>
      </w:r>
      <w:r w:rsidR="00BF03AE">
        <w:rPr>
          <w:i/>
          <w:iCs/>
        </w:rPr>
        <w:t xml:space="preserve">presta </w:t>
      </w:r>
      <w:r w:rsidRPr="00984CD1">
        <w:rPr>
          <w:i/>
          <w:iCs/>
        </w:rPr>
        <w:t xml:space="preserve">atención... como </w:t>
      </w:r>
      <w:r w:rsidR="00BF03AE">
        <w:rPr>
          <w:i/>
          <w:iCs/>
        </w:rPr>
        <w:t>apacible</w:t>
      </w:r>
      <w:r>
        <w:t xml:space="preserve">, significa que él le </w:t>
      </w:r>
      <w:r w:rsidR="0007639A">
        <w:t>prestará</w:t>
      </w:r>
      <w:r>
        <w:t xml:space="preserve"> atención a ello como “</w:t>
      </w:r>
      <w:r w:rsidR="00BF03AE">
        <w:t>apacible</w:t>
      </w:r>
      <w:r>
        <w:t xml:space="preserve">” debido a la paz del objeto así: “Cuán </w:t>
      </w:r>
      <w:r w:rsidR="00BF03AE">
        <w:t xml:space="preserve">apacible </w:t>
      </w:r>
      <w:r>
        <w:t xml:space="preserve">es este logro; ¡pues puede </w:t>
      </w:r>
      <w:r w:rsidR="00915F05">
        <w:t>generar</w:t>
      </w:r>
      <w:r>
        <w:t xml:space="preserve"> incluso la </w:t>
      </w:r>
      <w:r w:rsidR="00093060">
        <w:t>no–</w:t>
      </w:r>
      <w:r>
        <w:t xml:space="preserve">existencia </w:t>
      </w:r>
      <w:r w:rsidR="00915F05">
        <w:t xml:space="preserve">de </w:t>
      </w:r>
      <w:r>
        <w:t>su objeto y aun así subsistir!”</w:t>
      </w:r>
    </w:p>
    <w:p w14:paraId="1E0778B2" w14:textId="03FAF297" w:rsidR="00DF4D30" w:rsidRDefault="008809DB" w:rsidP="00DF4D30">
      <w:pPr>
        <w:pStyle w:val="NormalConSangria"/>
      </w:pPr>
      <w:r>
        <w:t xml:space="preserve">Pero si </w:t>
      </w:r>
      <w:r w:rsidR="00DF4D30">
        <w:t>lo tra</w:t>
      </w:r>
      <w:r w:rsidR="000F7CCE">
        <w:t xml:space="preserve">jese </w:t>
      </w:r>
      <w:r w:rsidR="00DF4D30">
        <w:t>a la mente como "</w:t>
      </w:r>
      <w:r w:rsidR="000F7CCE">
        <w:t>apacible</w:t>
      </w:r>
      <w:r w:rsidR="00DF4D30">
        <w:t>", entonces ¿cómo llega</w:t>
      </w:r>
      <w:r>
        <w:t>ría</w:t>
      </w:r>
      <w:r w:rsidR="00DF4D30">
        <w:t xml:space="preserve"> a </w:t>
      </w:r>
      <w:r w:rsidR="000F7CCE">
        <w:t xml:space="preserve">producirse una </w:t>
      </w:r>
      <w:r w:rsidR="00DF4D30">
        <w:t xml:space="preserve">superación? </w:t>
      </w:r>
      <w:r>
        <w:t xml:space="preserve">Debido a que </w:t>
      </w:r>
      <w:r w:rsidR="00DF4D30">
        <w:t xml:space="preserve">no </w:t>
      </w:r>
      <w:r>
        <w:t xml:space="preserve">se da </w:t>
      </w:r>
      <w:r w:rsidR="00DF4D30">
        <w:t xml:space="preserve">un deseo real </w:t>
      </w:r>
      <w:r>
        <w:t xml:space="preserve">por </w:t>
      </w:r>
      <w:r w:rsidR="00DF4D30">
        <w:t xml:space="preserve">alcanzarlo. </w:t>
      </w:r>
      <w:r w:rsidR="00984CD1">
        <w:t xml:space="preserve">Ya </w:t>
      </w:r>
      <w:r w:rsidR="00DF4D30">
        <w:t>que aunque él le d</w:t>
      </w:r>
      <w:r w:rsidR="00592439">
        <w:t>é</w:t>
      </w:r>
      <w:r w:rsidR="00DF4D30">
        <w:t xml:space="preserve"> atención como “</w:t>
      </w:r>
      <w:r w:rsidR="00592439">
        <w:t>apacible</w:t>
      </w:r>
      <w:r w:rsidR="00DF4D30">
        <w:t>”, no ha</w:t>
      </w:r>
      <w:r w:rsidR="00592439">
        <w:t>brá</w:t>
      </w:r>
      <w:r w:rsidR="00DF4D30">
        <w:t xml:space="preserve"> preocupación en él o reacción o atención como “</w:t>
      </w:r>
      <w:r w:rsidR="00592439">
        <w:t>Advertiré</w:t>
      </w:r>
      <w:r w:rsidR="00DF4D30">
        <w:t xml:space="preserve"> esto” o “</w:t>
      </w:r>
      <w:r w:rsidR="00416A78">
        <w:t xml:space="preserve">Consumaré </w:t>
      </w:r>
      <w:r w:rsidR="00DF4D30">
        <w:t>esto” o “</w:t>
      </w:r>
      <w:r w:rsidR="00930236">
        <w:t xml:space="preserve">Decidiré </w:t>
      </w:r>
      <w:r w:rsidR="00DF4D30">
        <w:t>sobre la duración de est</w:t>
      </w:r>
      <w:r w:rsidR="00416A78">
        <w:t>o</w:t>
      </w:r>
      <w:r w:rsidR="00DF4D30">
        <w:t>." ¿Por qué no? Porque la base consiste</w:t>
      </w:r>
      <w:r w:rsidR="009E6926">
        <w:t>nte</w:t>
      </w:r>
      <w:r w:rsidR="00DF4D30">
        <w:t xml:space="preserve"> </w:t>
      </w:r>
      <w:r w:rsidR="009E6926">
        <w:t>de la</w:t>
      </w:r>
      <w:r w:rsidR="00DF4D30">
        <w:t xml:space="preserve"> </w:t>
      </w:r>
      <w:r w:rsidR="009E6926">
        <w:t xml:space="preserve">no-percepción-ni-no-percepción será </w:t>
      </w:r>
      <w:r w:rsidR="00DF4D30">
        <w:t xml:space="preserve">más </w:t>
      </w:r>
      <w:r w:rsidR="009E6926">
        <w:t>apacible</w:t>
      </w:r>
      <w:r w:rsidR="00DF4D30">
        <w:t xml:space="preserve"> y mejor que la base consiste</w:t>
      </w:r>
      <w:r w:rsidR="009E6926">
        <w:t>nte</w:t>
      </w:r>
      <w:r w:rsidR="00DF4D30">
        <w:t xml:space="preserve"> </w:t>
      </w:r>
      <w:r w:rsidR="009E6926">
        <w:t>del vacío</w:t>
      </w:r>
      <w:r w:rsidR="00DF4D30">
        <w:t>.</w:t>
      </w:r>
    </w:p>
    <w:p w14:paraId="1FADFA04" w14:textId="4C059152" w:rsidR="00DF4D30" w:rsidRDefault="00DF4D30" w:rsidP="00DF4D30">
      <w:r>
        <w:t>46. ​​</w:t>
      </w:r>
      <w:r>
        <w:tab/>
        <w:t>Supongamos que un rey avanza</w:t>
      </w:r>
      <w:r w:rsidR="009E6926">
        <w:t>se</w:t>
      </w:r>
      <w:r>
        <w:t xml:space="preserve"> </w:t>
      </w:r>
      <w:r w:rsidR="009E6926">
        <w:t xml:space="preserve">a través </w:t>
      </w:r>
      <w:r w:rsidR="00C56255">
        <w:t xml:space="preserve">la avenida de una </w:t>
      </w:r>
      <w:r>
        <w:t>ciudad con la gran pompa de la realeza,</w:t>
      </w:r>
      <w:r w:rsidRPr="00984CD1">
        <w:rPr>
          <w:vertAlign w:val="superscript"/>
        </w:rPr>
        <w:t>10</w:t>
      </w:r>
      <w:r>
        <w:t xml:space="preserve"> espléndidamente montado en el lomo de un elefante, y v</w:t>
      </w:r>
      <w:r w:rsidR="00C56255">
        <w:t>iese</w:t>
      </w:r>
      <w:r>
        <w:t xml:space="preserve"> a los artesanos vestidos con una tela ceñida a modo de taparrabos y otra atada alrededor de la cabeza, trabajando en las diversas artesanías, como </w:t>
      </w:r>
      <w:r w:rsidR="00C56255">
        <w:t xml:space="preserve">el </w:t>
      </w:r>
      <w:r>
        <w:t>talla</w:t>
      </w:r>
      <w:r w:rsidR="00C56255">
        <w:t>do</w:t>
      </w:r>
      <w:r>
        <w:t xml:space="preserve"> de marfil, etc., sus extremidades cubiertas con polvo de marfil, etc.; ahora</w:t>
      </w:r>
      <w:r w:rsidR="00C56255">
        <w:t xml:space="preserve"> bien</w:t>
      </w:r>
      <w:r>
        <w:t xml:space="preserve">, mientras </w:t>
      </w:r>
      <w:r w:rsidR="00C56255">
        <w:t xml:space="preserve">se sienta </w:t>
      </w:r>
      <w:r>
        <w:t xml:space="preserve">complacido con su habilidad, pensando: "¡Qué hábiles son estos maestros artesanos, y qué oficios practican!" </w:t>
      </w:r>
      <w:r w:rsidR="00C56255">
        <w:t>no obstante</w:t>
      </w:r>
      <w:r>
        <w:t xml:space="preserve">, no </w:t>
      </w:r>
      <w:r w:rsidR="00C56255">
        <w:t>pensará</w:t>
      </w:r>
      <w:r>
        <w:t>: "¡Oh, que pudiera abandonar la realeza y convertirme en un artesano así!" ¿</w:t>
      </w:r>
      <w:proofErr w:type="spellStart"/>
      <w:r>
        <w:t>Por que</w:t>
      </w:r>
      <w:proofErr w:type="spellEnd"/>
      <w:r>
        <w:t xml:space="preserve"> no? </w:t>
      </w:r>
      <w:r w:rsidR="007B4D85">
        <w:t xml:space="preserve">Debido a </w:t>
      </w:r>
      <w:r>
        <w:t xml:space="preserve">los grandes beneficios </w:t>
      </w:r>
      <w:r w:rsidR="007B4D85">
        <w:t xml:space="preserve">que existen </w:t>
      </w:r>
      <w:r>
        <w:t xml:space="preserve">en la majestad de los reyes; </w:t>
      </w:r>
      <w:r w:rsidR="007B4D85">
        <w:t xml:space="preserve">entonces él </w:t>
      </w:r>
      <w:r w:rsidR="009A576D">
        <w:t xml:space="preserve">se olvidará de </w:t>
      </w:r>
      <w:r>
        <w:t xml:space="preserve">los artesanos y </w:t>
      </w:r>
    </w:p>
    <w:p w14:paraId="132F2F00" w14:textId="77777777" w:rsidR="00DF4D30" w:rsidRDefault="00DF4D30" w:rsidP="00DF4D30"/>
    <w:p w14:paraId="3919DC7E" w14:textId="77777777" w:rsidR="00DF4D30" w:rsidRDefault="00DF4D30" w:rsidP="00DF4D30">
      <w:pPr>
        <w:pStyle w:val="PiedepginaLegal"/>
        <w:rPr>
          <w:u w:val="single"/>
        </w:rPr>
      </w:pPr>
      <w:r>
        <w:rPr>
          <w:u w:val="single"/>
        </w:rPr>
        <w:tab/>
      </w:r>
      <w:r>
        <w:rPr>
          <w:u w:val="single"/>
        </w:rPr>
        <w:tab/>
      </w:r>
      <w:r>
        <w:rPr>
          <w:u w:val="single"/>
        </w:rPr>
        <w:tab/>
      </w:r>
      <w:r>
        <w:rPr>
          <w:u w:val="single"/>
        </w:rPr>
        <w:tab/>
      </w:r>
    </w:p>
    <w:p w14:paraId="63D2DC82" w14:textId="78D439D3" w:rsidR="00DF4D30" w:rsidRDefault="00DF4D30" w:rsidP="00DF4D30">
      <w:pPr>
        <w:pStyle w:val="PiedepginaLegal"/>
      </w:pPr>
      <w:r>
        <w:t xml:space="preserve">10. </w:t>
      </w:r>
      <w:r>
        <w:tab/>
      </w:r>
      <w:proofErr w:type="spellStart"/>
      <w:r w:rsidRPr="00984CD1">
        <w:rPr>
          <w:i/>
          <w:iCs/>
        </w:rPr>
        <w:t>Mahacca</w:t>
      </w:r>
      <w:proofErr w:type="spellEnd"/>
      <w:r>
        <w:t xml:space="preserve"> (ver D I 49 y D-a I 148); </w:t>
      </w:r>
      <w:r w:rsidR="00DE396E">
        <w:t xml:space="preserve">esta forma </w:t>
      </w:r>
      <w:r>
        <w:t xml:space="preserve">no se da en </w:t>
      </w:r>
      <w:r w:rsidR="001327FB">
        <w:t xml:space="preserve">el </w:t>
      </w:r>
      <w:r>
        <w:t xml:space="preserve">PED; probablemente </w:t>
      </w:r>
      <w:r w:rsidR="00DE396E">
        <w:t xml:space="preserve">es </w:t>
      </w:r>
      <w:r>
        <w:t xml:space="preserve">una forma de </w:t>
      </w:r>
      <w:r w:rsidR="00984CD1">
        <w:br/>
      </w:r>
      <w:proofErr w:type="spellStart"/>
      <w:r w:rsidRPr="00984CD1">
        <w:rPr>
          <w:i/>
          <w:iCs/>
        </w:rPr>
        <w:t>mahatiya</w:t>
      </w:r>
      <w:proofErr w:type="spellEnd"/>
      <w:r>
        <w:t>.</w:t>
      </w:r>
    </w:p>
    <w:p w14:paraId="1E312BF1" w14:textId="77777777" w:rsidR="00E739C1" w:rsidRDefault="00E739C1">
      <w:pPr>
        <w:tabs>
          <w:tab w:val="clear" w:pos="425"/>
        </w:tabs>
        <w:spacing w:after="160"/>
      </w:pPr>
      <w:r>
        <w:br w:type="page"/>
      </w:r>
    </w:p>
    <w:p w14:paraId="550C2178" w14:textId="600D9D8B" w:rsidR="00E739C1" w:rsidRDefault="00E739C1" w:rsidP="00E739C1"/>
    <w:p w14:paraId="7453C9A1" w14:textId="5580857B" w:rsidR="00E739C1" w:rsidRDefault="009A576D" w:rsidP="00E739C1">
      <w:r>
        <w:t xml:space="preserve">proseguirá su camino. </w:t>
      </w:r>
      <w:r w:rsidR="00E739C1">
        <w:t>Así también, aunque este meditador prest</w:t>
      </w:r>
      <w:r>
        <w:t>e</w:t>
      </w:r>
      <w:r w:rsidR="00E739C1">
        <w:t xml:space="preserve"> atención a ese logro como "</w:t>
      </w:r>
      <w:r>
        <w:t>apacible</w:t>
      </w:r>
      <w:r w:rsidR="00E739C1">
        <w:t>", sin embargo, no ha</w:t>
      </w:r>
      <w:r w:rsidR="00B52B53">
        <w:t>brá</w:t>
      </w:r>
      <w:r w:rsidR="00E739C1">
        <w:t xml:space="preserve"> preocupación en él o reacción o atención como "</w:t>
      </w:r>
      <w:r w:rsidR="00B52B53">
        <w:t xml:space="preserve">Advertiré </w:t>
      </w:r>
      <w:r w:rsidR="00E739C1">
        <w:t>este logro" o "</w:t>
      </w:r>
      <w:r w:rsidR="00B52B53">
        <w:t xml:space="preserve">Consumaré </w:t>
      </w:r>
      <w:r w:rsidR="00E739C1">
        <w:t>esto" o "</w:t>
      </w:r>
      <w:r w:rsidR="00800B36">
        <w:t xml:space="preserve">Decidiré </w:t>
      </w:r>
      <w:r w:rsidR="00E739C1">
        <w:t>sobre la duración de él” o “</w:t>
      </w:r>
      <w:r w:rsidR="00930236">
        <w:t>Emergeré</w:t>
      </w:r>
      <w:r w:rsidR="00E739C1">
        <w:t xml:space="preserve"> de él” o “Lo revisaré”.</w:t>
      </w:r>
    </w:p>
    <w:p w14:paraId="4D6B08C5" w14:textId="3BFF3D1E" w:rsidR="00E739C1" w:rsidRDefault="00E739C1" w:rsidP="00E739C1">
      <w:r>
        <w:t xml:space="preserve">47. </w:t>
      </w:r>
      <w:r>
        <w:tab/>
        <w:t>Al prestarle atención como “</w:t>
      </w:r>
      <w:r w:rsidR="001F6F57">
        <w:t>apacible</w:t>
      </w:r>
      <w:r>
        <w:t xml:space="preserve">” en la forma ya descrita, [337] </w:t>
      </w:r>
      <w:r w:rsidR="00ED18B8">
        <w:t xml:space="preserve">él </w:t>
      </w:r>
      <w:r>
        <w:t>alcanza</w:t>
      </w:r>
      <w:r w:rsidR="001F6F57">
        <w:t>rá</w:t>
      </w:r>
      <w:r>
        <w:t xml:space="preserve"> la ultra</w:t>
      </w:r>
      <w:r w:rsidR="00B15224">
        <w:t xml:space="preserve"> </w:t>
      </w:r>
      <w:r>
        <w:t xml:space="preserve">sutil percepción </w:t>
      </w:r>
      <w:r w:rsidR="000375BB">
        <w:t xml:space="preserve">sobre una </w:t>
      </w:r>
      <w:r>
        <w:t>absor</w:t>
      </w:r>
      <w:r w:rsidR="000375BB">
        <w:t>ción</w:t>
      </w:r>
      <w:r>
        <w:t xml:space="preserve"> en virtud de la cual se le llama</w:t>
      </w:r>
      <w:r w:rsidR="007174F6">
        <w:t>rá</w:t>
      </w:r>
      <w:r>
        <w:t xml:space="preserve"> “ni</w:t>
      </w:r>
      <w:r w:rsidR="007174F6">
        <w:t>-</w:t>
      </w:r>
      <w:r>
        <w:t>perc</w:t>
      </w:r>
      <w:r w:rsidR="00ED18B8">
        <w:t>i</w:t>
      </w:r>
      <w:r>
        <w:t>p</w:t>
      </w:r>
      <w:r w:rsidR="00ED18B8">
        <w:t>iente</w:t>
      </w:r>
      <w:r w:rsidR="007174F6">
        <w:t>-</w:t>
      </w:r>
      <w:r>
        <w:t>ni</w:t>
      </w:r>
      <w:r w:rsidR="007174F6">
        <w:t>-</w:t>
      </w:r>
      <w:r>
        <w:t>no</w:t>
      </w:r>
      <w:r w:rsidR="007174F6">
        <w:t>-</w:t>
      </w:r>
      <w:r w:rsidR="00ED18B8">
        <w:t>percipiente</w:t>
      </w:r>
      <w:r>
        <w:t>”, y se di</w:t>
      </w:r>
      <w:r w:rsidR="00ED18B8">
        <w:t>rá</w:t>
      </w:r>
      <w:r>
        <w:t xml:space="preserve"> de él que “</w:t>
      </w:r>
      <w:r w:rsidR="00D2433F">
        <w:t xml:space="preserve">se </w:t>
      </w:r>
      <w:r>
        <w:t xml:space="preserve">desarrolla </w:t>
      </w:r>
      <w:r w:rsidR="00D2433F">
        <w:t xml:space="preserve">en </w:t>
      </w:r>
      <w:r w:rsidR="00303805">
        <w:t>la abs</w:t>
      </w:r>
      <w:r w:rsidR="00CF6875">
        <w:t>o</w:t>
      </w:r>
      <w:r w:rsidR="00303805">
        <w:t>rción</w:t>
      </w:r>
      <w:r>
        <w:t xml:space="preserve"> </w:t>
      </w:r>
      <w:r w:rsidR="00D2433F">
        <w:t xml:space="preserve">con las </w:t>
      </w:r>
      <w:r>
        <w:t>formaciones residuales.”</w:t>
      </w:r>
    </w:p>
    <w:p w14:paraId="1E3C3AF8" w14:textId="018A411B" w:rsidR="00E739C1" w:rsidRDefault="00303805" w:rsidP="00E739C1">
      <w:pPr>
        <w:pStyle w:val="NormalConSangria"/>
      </w:pPr>
      <w:r>
        <w:rPr>
          <w:i/>
          <w:iCs/>
        </w:rPr>
        <w:t xml:space="preserve">La absorción </w:t>
      </w:r>
      <w:r w:rsidR="00E739C1" w:rsidRPr="00984CD1">
        <w:rPr>
          <w:i/>
          <w:iCs/>
        </w:rPr>
        <w:t>con formaciones residuales</w:t>
      </w:r>
      <w:r w:rsidR="00E739C1">
        <w:t xml:space="preserve"> es l</w:t>
      </w:r>
      <w:r>
        <w:t>a</w:t>
      </w:r>
      <w:r w:rsidR="00E739C1">
        <w:t xml:space="preserve"> cuart</w:t>
      </w:r>
      <w:r>
        <w:t>a</w:t>
      </w:r>
      <w:r w:rsidR="00E739C1">
        <w:t xml:space="preserve"> </w:t>
      </w:r>
      <w:r>
        <w:t xml:space="preserve">consumación </w:t>
      </w:r>
      <w:r w:rsidR="00E739C1">
        <w:t>inmaterial cuyas formaciones ha</w:t>
      </w:r>
      <w:r w:rsidR="00D331A4">
        <w:t>brá</w:t>
      </w:r>
      <w:r w:rsidR="00E739C1">
        <w:t>n alcanzado un estado de extrema sutil</w:t>
      </w:r>
      <w:r w:rsidR="00CF6875">
        <w:t>eza</w:t>
      </w:r>
      <w:r w:rsidR="00E739C1">
        <w:t>.</w:t>
      </w:r>
    </w:p>
    <w:p w14:paraId="07AF07ED" w14:textId="1CEB9A15" w:rsidR="00E739C1" w:rsidRDefault="00E739C1" w:rsidP="00E739C1">
      <w:r>
        <w:t xml:space="preserve">48. </w:t>
      </w:r>
      <w:r>
        <w:tab/>
        <w:t xml:space="preserve">Ahora bien, para </w:t>
      </w:r>
      <w:r w:rsidR="00D331A4">
        <w:t xml:space="preserve">exponer </w:t>
      </w:r>
      <w:r>
        <w:t>el significado del tipo de percepción que se ha</w:t>
      </w:r>
      <w:r w:rsidR="00D331A4">
        <w:t>brá</w:t>
      </w:r>
      <w:r>
        <w:t xml:space="preserve"> alcanzado, debido a que </w:t>
      </w:r>
      <w:r w:rsidR="002A3D09">
        <w:t xml:space="preserve">a </w:t>
      </w:r>
      <w:r>
        <w:t xml:space="preserve">este </w:t>
      </w:r>
      <w:proofErr w:type="spellStart"/>
      <w:r w:rsidR="00057BF4" w:rsidRPr="00057BF4">
        <w:rPr>
          <w:i/>
        </w:rPr>
        <w:t>jhāna</w:t>
      </w:r>
      <w:proofErr w:type="spellEnd"/>
      <w:r>
        <w:t xml:space="preserve"> se </w:t>
      </w:r>
      <w:r w:rsidR="00E45A68">
        <w:t xml:space="preserve">le </w:t>
      </w:r>
      <w:r>
        <w:t>llama</w:t>
      </w:r>
      <w:r w:rsidR="002A3D09">
        <w:t>rá</w:t>
      </w:r>
      <w:r>
        <w:t xml:space="preserve"> la “base consiste</w:t>
      </w:r>
      <w:r w:rsidR="00E45A68">
        <w:t>nte de la no-percepción-ni-no-percepción</w:t>
      </w:r>
      <w:r>
        <w:t>”, se di</w:t>
      </w:r>
      <w:r w:rsidR="00E45A68">
        <w:t>rá</w:t>
      </w:r>
      <w:r>
        <w:t>: “'</w:t>
      </w:r>
      <w:r w:rsidR="00610B0B">
        <w:t>la b</w:t>
      </w:r>
      <w:r>
        <w:t xml:space="preserve">ase </w:t>
      </w:r>
      <w:r w:rsidR="00610B0B">
        <w:t>consistente de la no-percepción-ni-no-percepción</w:t>
      </w:r>
      <w:r>
        <w:t xml:space="preserve">': </w:t>
      </w:r>
      <w:r w:rsidR="00CC4747">
        <w:t xml:space="preserve">corresponderá a </w:t>
      </w:r>
      <w:r>
        <w:t>estados de con</w:t>
      </w:r>
      <w:r w:rsidR="00CC4747">
        <w:t>s</w:t>
      </w:r>
      <w:r>
        <w:t xml:space="preserve">ciencia o </w:t>
      </w:r>
      <w:r w:rsidR="00E4616A">
        <w:t>a</w:t>
      </w:r>
      <w:r w:rsidR="00CC4747">
        <w:t xml:space="preserve"> </w:t>
      </w:r>
      <w:r>
        <w:t>sus concomitantes en alguien que ha</w:t>
      </w:r>
      <w:r w:rsidR="00CC4747">
        <w:t>ya</w:t>
      </w:r>
      <w:r>
        <w:t xml:space="preserve"> alcanzado la base consiste</w:t>
      </w:r>
      <w:r w:rsidR="00CC4747">
        <w:t xml:space="preserve">nte de la no-percepción-ni-no-percepción </w:t>
      </w:r>
      <w:r>
        <w:t>o en alguien que ha</w:t>
      </w:r>
      <w:r w:rsidR="008A0146">
        <w:t>ya</w:t>
      </w:r>
      <w:r>
        <w:t xml:space="preserve"> renacido </w:t>
      </w:r>
      <w:r w:rsidR="008A0146">
        <w:t xml:space="preserve">en tal esfera </w:t>
      </w:r>
      <w:r>
        <w:t xml:space="preserve">o en alguien que </w:t>
      </w:r>
      <w:r w:rsidR="008A0146">
        <w:t xml:space="preserve">habite en la dicha de tal esfera </w:t>
      </w:r>
      <w:r>
        <w:t>en este vida presente” (</w:t>
      </w:r>
      <w:proofErr w:type="spellStart"/>
      <w:r>
        <w:t>Vibh</w:t>
      </w:r>
      <w:proofErr w:type="spellEnd"/>
      <w:r>
        <w:t xml:space="preserve"> 263). De </w:t>
      </w:r>
      <w:r w:rsidR="00C708C2">
        <w:t xml:space="preserve">todos </w:t>
      </w:r>
      <w:r>
        <w:t>estos</w:t>
      </w:r>
      <w:r w:rsidR="00C708C2">
        <w:t xml:space="preserve"> casos</w:t>
      </w:r>
      <w:r>
        <w:t>, lo que se pretende</w:t>
      </w:r>
      <w:r w:rsidR="00C708C2">
        <w:t>rá</w:t>
      </w:r>
      <w:r>
        <w:t xml:space="preserve"> aquí </w:t>
      </w:r>
      <w:r w:rsidR="00C708C2">
        <w:t xml:space="preserve">serán </w:t>
      </w:r>
      <w:r>
        <w:t>los estados de con</w:t>
      </w:r>
      <w:r w:rsidR="008A0146">
        <w:t>s</w:t>
      </w:r>
      <w:r>
        <w:t xml:space="preserve">ciencia y </w:t>
      </w:r>
      <w:r w:rsidR="00926600">
        <w:t xml:space="preserve">de </w:t>
      </w:r>
      <w:r>
        <w:t>sus concomitantes en quien los ha</w:t>
      </w:r>
      <w:r w:rsidR="008A0146">
        <w:t>ya</w:t>
      </w:r>
      <w:r>
        <w:t xml:space="preserve"> </w:t>
      </w:r>
      <w:r w:rsidR="008A0146">
        <w:t>consumado</w:t>
      </w:r>
      <w:r>
        <w:t>.</w:t>
      </w:r>
    </w:p>
    <w:p w14:paraId="60CFBBAE" w14:textId="401F3EC8" w:rsidR="00E739C1" w:rsidRDefault="00E739C1" w:rsidP="00E739C1">
      <w:r>
        <w:t xml:space="preserve">49. </w:t>
      </w:r>
      <w:r>
        <w:tab/>
      </w:r>
      <w:r w:rsidR="00926600">
        <w:t>El significado de las</w:t>
      </w:r>
      <w:r>
        <w:t xml:space="preserve"> palabra</w:t>
      </w:r>
      <w:r w:rsidR="00926600">
        <w:t>s</w:t>
      </w:r>
      <w:r>
        <w:t xml:space="preserve"> aquí es </w:t>
      </w:r>
      <w:r w:rsidR="00926600">
        <w:t>el siguiente</w:t>
      </w:r>
      <w:r>
        <w:t xml:space="preserve">: </w:t>
      </w:r>
      <w:r w:rsidR="003E5E60">
        <w:t xml:space="preserve">ese </w:t>
      </w:r>
      <w:proofErr w:type="spellStart"/>
      <w:r w:rsidR="00057BF4" w:rsidRPr="00057BF4">
        <w:rPr>
          <w:i/>
        </w:rPr>
        <w:t>jhāna</w:t>
      </w:r>
      <w:proofErr w:type="spellEnd"/>
      <w:r>
        <w:t xml:space="preserve"> con sus estados asociados no </w:t>
      </w:r>
      <w:r w:rsidR="003E5E60">
        <w:t xml:space="preserve">poseen </w:t>
      </w:r>
      <w:r>
        <w:t xml:space="preserve">percepción </w:t>
      </w:r>
      <w:r w:rsidR="00E4616A">
        <w:t>ni</w:t>
      </w:r>
      <w:r w:rsidR="003E5E60">
        <w:t xml:space="preserve"> tampoco poseen </w:t>
      </w:r>
      <w:r>
        <w:t>percepción debido a la ausencia de percepción burda</w:t>
      </w:r>
      <w:r w:rsidR="007E21B1">
        <w:t>s</w:t>
      </w:r>
      <w:r>
        <w:t xml:space="preserve"> </w:t>
      </w:r>
      <w:r w:rsidR="007C6A03">
        <w:t>ni a</w:t>
      </w:r>
      <w:r>
        <w:t xml:space="preserve"> la presencia de </w:t>
      </w:r>
      <w:r w:rsidR="007C6A03">
        <w:t xml:space="preserve">la </w:t>
      </w:r>
      <w:r>
        <w:t>percepción sutil, por lo que es "n</w:t>
      </w:r>
      <w:r w:rsidR="007C6A03">
        <w:t>o-</w:t>
      </w:r>
      <w:r>
        <w:t>percepción</w:t>
      </w:r>
      <w:r w:rsidR="007C6A03">
        <w:t>-</w:t>
      </w:r>
      <w:r>
        <w:t>ni</w:t>
      </w:r>
      <w:r w:rsidR="007C6A03">
        <w:t>-</w:t>
      </w:r>
      <w:r>
        <w:t>no</w:t>
      </w:r>
      <w:r w:rsidR="007C6A03">
        <w:t>-</w:t>
      </w:r>
      <w:r>
        <w:t>percepción" (</w:t>
      </w:r>
      <w:r w:rsidRPr="00984CD1">
        <w:rPr>
          <w:i/>
          <w:iCs/>
        </w:rPr>
        <w:t xml:space="preserve">n' </w:t>
      </w:r>
      <w:proofErr w:type="spellStart"/>
      <w:r w:rsidRPr="00984CD1">
        <w:rPr>
          <w:i/>
          <w:iCs/>
        </w:rPr>
        <w:t>eva-</w:t>
      </w:r>
      <w:r w:rsidR="00057BF4" w:rsidRPr="00057BF4">
        <w:rPr>
          <w:i/>
          <w:iCs/>
        </w:rPr>
        <w:t>saññā</w:t>
      </w:r>
      <w:r w:rsidRPr="00984CD1">
        <w:rPr>
          <w:i/>
          <w:iCs/>
        </w:rPr>
        <w:t>-nāsaññaṃ</w:t>
      </w:r>
      <w:proofErr w:type="spellEnd"/>
      <w:r>
        <w:t xml:space="preserve">). </w:t>
      </w:r>
      <w:r w:rsidR="0078100B">
        <w:t xml:space="preserve">Es </w:t>
      </w:r>
      <w:r>
        <w:t>“</w:t>
      </w:r>
      <w:r w:rsidR="0078100B">
        <w:t>no-percepción-ni-no-percepción</w:t>
      </w:r>
      <w:r>
        <w:t>” y es una “base” (</w:t>
      </w:r>
      <w:proofErr w:type="spellStart"/>
      <w:r w:rsidRPr="00984CD1">
        <w:rPr>
          <w:i/>
          <w:iCs/>
        </w:rPr>
        <w:t>āyatana</w:t>
      </w:r>
      <w:proofErr w:type="spellEnd"/>
      <w:r>
        <w:t>) porque está incluida en la base ment</w:t>
      </w:r>
      <w:r w:rsidR="00E4616A">
        <w:t>al</w:t>
      </w:r>
      <w:r>
        <w:t xml:space="preserve"> (</w:t>
      </w:r>
      <w:proofErr w:type="spellStart"/>
      <w:r w:rsidRPr="00984CD1">
        <w:rPr>
          <w:i/>
          <w:iCs/>
        </w:rPr>
        <w:t>manāyatana</w:t>
      </w:r>
      <w:proofErr w:type="spellEnd"/>
      <w:r>
        <w:t>) y la base del objeto mental (</w:t>
      </w:r>
      <w:proofErr w:type="spellStart"/>
      <w:r w:rsidRPr="00984CD1">
        <w:rPr>
          <w:i/>
          <w:iCs/>
        </w:rPr>
        <w:t>dhammāyatana</w:t>
      </w:r>
      <w:proofErr w:type="spellEnd"/>
      <w:r>
        <w:t xml:space="preserve">), por lo que </w:t>
      </w:r>
      <w:r w:rsidR="00E4616A">
        <w:t xml:space="preserve">será </w:t>
      </w:r>
      <w:r>
        <w:t xml:space="preserve">la “base </w:t>
      </w:r>
      <w:r w:rsidR="0078100B">
        <w:t>consistente de la no-percepción-ni-no-percepción</w:t>
      </w:r>
      <w:r>
        <w:t>” (</w:t>
      </w:r>
      <w:proofErr w:type="spellStart"/>
      <w:r w:rsidRPr="00984CD1">
        <w:rPr>
          <w:i/>
          <w:iCs/>
        </w:rPr>
        <w:t>neva</w:t>
      </w:r>
      <w:r w:rsidR="00057BF4" w:rsidRPr="00057BF4">
        <w:rPr>
          <w:i/>
          <w:iCs/>
        </w:rPr>
        <w:t>saññā</w:t>
      </w:r>
      <w:r w:rsidRPr="00984CD1">
        <w:rPr>
          <w:i/>
          <w:iCs/>
        </w:rPr>
        <w:t>nā</w:t>
      </w:r>
      <w:r w:rsidR="00057BF4" w:rsidRPr="00057BF4">
        <w:rPr>
          <w:i/>
          <w:iCs/>
        </w:rPr>
        <w:t>saññā</w:t>
      </w:r>
      <w:r w:rsidRPr="00984CD1">
        <w:rPr>
          <w:i/>
          <w:iCs/>
        </w:rPr>
        <w:t>yatana</w:t>
      </w:r>
      <w:proofErr w:type="spellEnd"/>
      <w:r>
        <w:t>).</w:t>
      </w:r>
    </w:p>
    <w:p w14:paraId="1C5FDEFA" w14:textId="5A1A0813" w:rsidR="00E739C1" w:rsidRDefault="00E739C1" w:rsidP="00E739C1">
      <w:r>
        <w:t xml:space="preserve">50. </w:t>
      </w:r>
      <w:r>
        <w:tab/>
        <w:t>O alternativamente: la percepción aquí es n</w:t>
      </w:r>
      <w:r w:rsidR="00BA0E72">
        <w:t>o</w:t>
      </w:r>
      <w:r w:rsidR="0078100B">
        <w:t>-</w:t>
      </w:r>
      <w:r>
        <w:t xml:space="preserve">percepción, ya que es incapaz de realizar la función decisiva de la percepción, ni tampoco </w:t>
      </w:r>
      <w:r w:rsidR="006B2CF8">
        <w:t xml:space="preserve">es </w:t>
      </w:r>
      <w:r>
        <w:t>no</w:t>
      </w:r>
      <w:r w:rsidR="006B2CF8">
        <w:t>-</w:t>
      </w:r>
      <w:r>
        <w:t xml:space="preserve">percepción, ya que está presente en un estado sutil como una formación residual, </w:t>
      </w:r>
      <w:r w:rsidR="005A5702">
        <w:t>es así c</w:t>
      </w:r>
      <w:r w:rsidR="00C22B5C">
        <w:t>ó</w:t>
      </w:r>
      <w:r w:rsidR="005A5702">
        <w:t>mo</w:t>
      </w:r>
      <w:r>
        <w:t xml:space="preserve"> </w:t>
      </w:r>
      <w:r w:rsidR="00C22B5C">
        <w:t xml:space="preserve">llega a ser </w:t>
      </w:r>
      <w:r>
        <w:t>“n</w:t>
      </w:r>
      <w:r w:rsidR="00D0702C">
        <w:t>o-</w:t>
      </w:r>
      <w:r>
        <w:t>percepción</w:t>
      </w:r>
      <w:r w:rsidR="00D0702C">
        <w:t>-</w:t>
      </w:r>
      <w:r>
        <w:t>ni</w:t>
      </w:r>
      <w:r w:rsidR="00D0702C">
        <w:t>-</w:t>
      </w:r>
      <w:r>
        <w:t>no-percepción”</w:t>
      </w:r>
      <w:r w:rsidR="00850C14">
        <w:t>,</w:t>
      </w:r>
      <w:r>
        <w:t xml:space="preserve"> Es "</w:t>
      </w:r>
      <w:r w:rsidR="005A5702">
        <w:t xml:space="preserve">no-percepción-ni-no-percepción </w:t>
      </w:r>
      <w:r>
        <w:t xml:space="preserve">" y es una "base" en el sentido de fundamento para los otros estados, </w:t>
      </w:r>
      <w:r w:rsidR="00C22B5C">
        <w:t xml:space="preserve">es así cómo llega a ser la </w:t>
      </w:r>
      <w:r>
        <w:t>"base consiste</w:t>
      </w:r>
      <w:r w:rsidR="00B67FA6">
        <w:t>nte</w:t>
      </w:r>
      <w:r>
        <w:t xml:space="preserve"> </w:t>
      </w:r>
      <w:r w:rsidR="00886D2F">
        <w:t xml:space="preserve">la </w:t>
      </w:r>
      <w:r w:rsidR="00B67FA6">
        <w:t>de no-percepción-ni-no-percepción</w:t>
      </w:r>
      <w:r>
        <w:t>".</w:t>
      </w:r>
    </w:p>
    <w:p w14:paraId="24F9CB5A" w14:textId="5AFB76EB" w:rsidR="00E739C1" w:rsidRDefault="00E739C1" w:rsidP="00E739C1">
      <w:pPr>
        <w:pStyle w:val="NormalConSangria"/>
      </w:pPr>
      <w:r>
        <w:t xml:space="preserve">Y aquí no </w:t>
      </w:r>
      <w:r w:rsidR="0086040F">
        <w:t>será</w:t>
      </w:r>
      <w:r>
        <w:t xml:space="preserve"> sólo la percepción lo que</w:t>
      </w:r>
      <w:r w:rsidR="00B17207">
        <w:t xml:space="preserve"> </w:t>
      </w:r>
      <w:r w:rsidR="0086040F">
        <w:t>tendrá esta naturaleza</w:t>
      </w:r>
      <w:r>
        <w:t xml:space="preserve">, sino también </w:t>
      </w:r>
      <w:r w:rsidR="00241E4A">
        <w:t xml:space="preserve">que </w:t>
      </w:r>
      <w:r w:rsidR="00984A4B">
        <w:t>la sensación</w:t>
      </w:r>
      <w:r>
        <w:t xml:space="preserve"> </w:t>
      </w:r>
      <w:r w:rsidR="00B17207">
        <w:t>será</w:t>
      </w:r>
      <w:r>
        <w:t xml:space="preserve"> ni-</w:t>
      </w:r>
      <w:r w:rsidR="00CC6BC0">
        <w:t>sensación</w:t>
      </w:r>
      <w:r>
        <w:t>-ni-no-</w:t>
      </w:r>
      <w:r w:rsidR="00CC6BC0">
        <w:t>sensación</w:t>
      </w:r>
      <w:r>
        <w:t>, la con</w:t>
      </w:r>
      <w:r w:rsidR="00CC6BC0">
        <w:t>s</w:t>
      </w:r>
      <w:r>
        <w:t xml:space="preserve">ciencia </w:t>
      </w:r>
      <w:r w:rsidR="0086040F">
        <w:t xml:space="preserve">será </w:t>
      </w:r>
      <w:r>
        <w:t>n</w:t>
      </w:r>
      <w:r w:rsidR="0086040F">
        <w:t>i</w:t>
      </w:r>
      <w:r>
        <w:t>-consciencia-ni-no-</w:t>
      </w:r>
      <w:r w:rsidR="00CC6BC0">
        <w:t>consciencia</w:t>
      </w:r>
      <w:r>
        <w:t xml:space="preserve">, y el contacto </w:t>
      </w:r>
      <w:r w:rsidR="0086040F">
        <w:t xml:space="preserve">será </w:t>
      </w:r>
      <w:r>
        <w:t>n</w:t>
      </w:r>
      <w:r w:rsidR="0086040F">
        <w:t>i</w:t>
      </w:r>
      <w:r>
        <w:t>-contacto-ni-no-contacto, y la misma descripción se aplica</w:t>
      </w:r>
      <w:r w:rsidR="0086040F">
        <w:t>rá</w:t>
      </w:r>
      <w:r>
        <w:t xml:space="preserve"> al resto de los estados asociados; </w:t>
      </w:r>
      <w:r w:rsidR="00CC6BC0">
        <w:t>no obstante,</w:t>
      </w:r>
      <w:r w:rsidR="006E4CC2">
        <w:t xml:space="preserve"> </w:t>
      </w:r>
      <w:r>
        <w:t>debe</w:t>
      </w:r>
      <w:r w:rsidR="0086040F">
        <w:t>rá</w:t>
      </w:r>
      <w:r>
        <w:t xml:space="preserve"> entenderse que esta </w:t>
      </w:r>
      <w:r w:rsidR="00CC6BC0">
        <w:t>exposición</w:t>
      </w:r>
      <w:r>
        <w:t xml:space="preserve"> se da en términos de percepción.</w:t>
      </w:r>
    </w:p>
    <w:p w14:paraId="13CFC8D2" w14:textId="718773ED" w:rsidR="00E739C1" w:rsidRDefault="00E739C1" w:rsidP="006E4CC2">
      <w:r>
        <w:t xml:space="preserve">51. </w:t>
      </w:r>
      <w:r>
        <w:tab/>
        <w:t>Y el significado debe</w:t>
      </w:r>
      <w:r w:rsidR="0086040F">
        <w:t>rá</w:t>
      </w:r>
      <w:r>
        <w:t xml:space="preserve"> ser ilustrado por los símiles que comienzan con la unción de aceite en el cuenco. Un novicio untó un cuenco con aceite, </w:t>
      </w:r>
      <w:r w:rsidR="00F14529">
        <w:t xml:space="preserve">y </w:t>
      </w:r>
      <w:r>
        <w:t xml:space="preserve">al parecer, lo dejó a un lado. Cuando llegó el momento de beber gachas, un </w:t>
      </w:r>
      <w:r w:rsidR="004A3E4A">
        <w:t xml:space="preserve">Venerable </w:t>
      </w:r>
      <w:r>
        <w:t xml:space="preserve">le dijo que trajera el cuenco. Él dijo: “Venerable </w:t>
      </w:r>
      <w:r w:rsidR="004A3E4A">
        <w:t>Señor</w:t>
      </w:r>
      <w:r>
        <w:t>, hay aceite en el recipiente”. Pero luego, cuando le dijeron: "Tra</w:t>
      </w:r>
      <w:r w:rsidR="004A3E4A">
        <w:t>iga</w:t>
      </w:r>
      <w:r>
        <w:t xml:space="preserve"> el aceite, nov</w:t>
      </w:r>
      <w:r w:rsidR="004A3E4A">
        <w:t>icio</w:t>
      </w:r>
      <w:r>
        <w:t xml:space="preserve">, llenaré el tubo de aceite", respondió: "No hay aceite, </w:t>
      </w:r>
      <w:r w:rsidR="004A3E4A">
        <w:t>Venerable Señor</w:t>
      </w:r>
      <w:r>
        <w:t>". Aquí, así como "</w:t>
      </w:r>
      <w:r w:rsidR="004A3E4A">
        <w:t>h</w:t>
      </w:r>
      <w:r>
        <w:t xml:space="preserve">ay aceite" en el sentido de incompatibilidad con las gachas porque </w:t>
      </w:r>
      <w:r w:rsidR="004A3E4A">
        <w:t xml:space="preserve">éste </w:t>
      </w:r>
      <w:r>
        <w:t>se ha vertido en el recipiente y así como "</w:t>
      </w:r>
      <w:r w:rsidR="004A3E4A">
        <w:t>n</w:t>
      </w:r>
      <w:r>
        <w:t xml:space="preserve">o hay aceite" en el sentido de </w:t>
      </w:r>
      <w:r w:rsidR="004A3E4A">
        <w:t xml:space="preserve">no poder </w:t>
      </w:r>
      <w:r>
        <w:t>llenar el tubo de aceite, etc., así también esta percepción es "</w:t>
      </w:r>
      <w:r w:rsidR="004A3E4A">
        <w:t>no</w:t>
      </w:r>
      <w:r>
        <w:t xml:space="preserve"> percepción" ya que es</w:t>
      </w:r>
      <w:r w:rsidR="004A3E4A" w:rsidRPr="004A3E4A">
        <w:t xml:space="preserve"> </w:t>
      </w:r>
      <w:r w:rsidR="004A3E4A">
        <w:t>incapaz de realizar la función decisiva</w:t>
      </w:r>
      <w:r>
        <w:br w:type="page"/>
      </w:r>
    </w:p>
    <w:p w14:paraId="7E7508B4" w14:textId="21378C9F" w:rsidR="006E1F7C" w:rsidRDefault="006E1F7C" w:rsidP="006E1F7C">
      <w:r>
        <w:lastRenderedPageBreak/>
        <w:t>de la percepción y es “</w:t>
      </w:r>
      <w:r w:rsidR="004A3E4A">
        <w:t>ni-</w:t>
      </w:r>
      <w:r>
        <w:t xml:space="preserve">no-percepción” porque está presente </w:t>
      </w:r>
      <w:r w:rsidR="004A3E4A">
        <w:t>de</w:t>
      </w:r>
      <w:r>
        <w:t xml:space="preserve"> forma sutil como una formación residual. [338]</w:t>
      </w:r>
    </w:p>
    <w:p w14:paraId="6ADBE08B" w14:textId="79BB80D5" w:rsidR="006E1F7C" w:rsidRDefault="006E1F7C" w:rsidP="006E1F7C">
      <w:r>
        <w:t xml:space="preserve">52. </w:t>
      </w:r>
      <w:r w:rsidR="008B6130">
        <w:tab/>
      </w:r>
      <w:r>
        <w:t xml:space="preserve">Pero en este contexto, ¿cuál es la función de la percepción? Es la percepción del objeto y es la </w:t>
      </w:r>
      <w:r w:rsidR="0096083C">
        <w:t>generación</w:t>
      </w:r>
      <w:r>
        <w:t xml:space="preserve"> del desapasionamiento si ese </w:t>
      </w:r>
      <w:r w:rsidR="00241E4A">
        <w:t>estado inmaterial</w:t>
      </w:r>
      <w:r>
        <w:t xml:space="preserve"> y su objeto </w:t>
      </w:r>
      <w:r w:rsidR="001573CC">
        <w:t>producen</w:t>
      </w:r>
      <w:r>
        <w:t xml:space="preserve"> el campo objetivo de la </w:t>
      </w:r>
      <w:r w:rsidR="005D63E4">
        <w:t>sabiduría–revelativa</w:t>
      </w:r>
      <w:r>
        <w:t xml:space="preserve">. </w:t>
      </w:r>
      <w:r w:rsidR="005D63E4">
        <w:t xml:space="preserve">No obstante, </w:t>
      </w:r>
      <w:r>
        <w:t xml:space="preserve">no </w:t>
      </w:r>
      <w:r w:rsidR="001573CC">
        <w:t xml:space="preserve">será </w:t>
      </w:r>
      <w:r>
        <w:t xml:space="preserve">capaz de hacer decisiva la función de percibir, como el elemento calor </w:t>
      </w:r>
      <w:r w:rsidR="00AC1235">
        <w:t>del</w:t>
      </w:r>
      <w:r>
        <w:t xml:space="preserve"> agua tibia</w:t>
      </w:r>
      <w:r w:rsidR="00984CD1">
        <w:rPr>
          <w:vertAlign w:val="superscript"/>
        </w:rPr>
        <w:t>11</w:t>
      </w:r>
      <w:r>
        <w:t xml:space="preserve"> </w:t>
      </w:r>
      <w:r w:rsidR="00AC1235">
        <w:t xml:space="preserve">que </w:t>
      </w:r>
      <w:r>
        <w:t xml:space="preserve">no </w:t>
      </w:r>
      <w:r w:rsidR="001573CC">
        <w:t>podr</w:t>
      </w:r>
      <w:r w:rsidR="0096083C">
        <w:t>ía</w:t>
      </w:r>
      <w:r w:rsidR="001573CC">
        <w:t xml:space="preserve"> </w:t>
      </w:r>
      <w:r>
        <w:t xml:space="preserve">hacer decisiva la función de quemar; y </w:t>
      </w:r>
      <w:r w:rsidR="00AC1235">
        <w:t xml:space="preserve">la percepción </w:t>
      </w:r>
      <w:r>
        <w:t xml:space="preserve">no </w:t>
      </w:r>
      <w:r w:rsidR="001573CC">
        <w:t xml:space="preserve">será </w:t>
      </w:r>
      <w:r>
        <w:t xml:space="preserve">capaz de producir desapasionamiento mediante el tratamiento de su campo objetivo con </w:t>
      </w:r>
      <w:r w:rsidR="0090315A">
        <w:t>sabiduría</w:t>
      </w:r>
      <w:r w:rsidR="005D63E4">
        <w:t>,</w:t>
      </w:r>
      <w:r w:rsidR="0090315A">
        <w:t xml:space="preserve"> </w:t>
      </w:r>
      <w:r>
        <w:t xml:space="preserve">en la forma en que lo es la percepción en el caso de los otros </w:t>
      </w:r>
      <w:r w:rsidR="00241E4A">
        <w:t>estados inmateriales</w:t>
      </w:r>
      <w:r>
        <w:t>.</w:t>
      </w:r>
    </w:p>
    <w:p w14:paraId="104217C8" w14:textId="5C0004F9" w:rsidR="006E1F7C" w:rsidRDefault="006E1F7C" w:rsidP="006E1F7C">
      <w:r>
        <w:t xml:space="preserve">53. </w:t>
      </w:r>
      <w:r w:rsidR="008B6130">
        <w:tab/>
      </w:r>
      <w:r>
        <w:t xml:space="preserve">De hecho, no </w:t>
      </w:r>
      <w:r w:rsidR="006B76F3">
        <w:t>exist</w:t>
      </w:r>
      <w:r w:rsidR="00241E4A">
        <w:t>irá</w:t>
      </w:r>
      <w:r>
        <w:t xml:space="preserve"> </w:t>
      </w:r>
      <w:proofErr w:type="spellStart"/>
      <w:r w:rsidR="00057BF4" w:rsidRPr="00057BF4">
        <w:rPr>
          <w:i/>
        </w:rPr>
        <w:t>bhikkhu</w:t>
      </w:r>
      <w:proofErr w:type="spellEnd"/>
      <w:r>
        <w:t xml:space="preserve"> </w:t>
      </w:r>
      <w:r w:rsidR="00355B9D">
        <w:t xml:space="preserve">que sea </w:t>
      </w:r>
      <w:r>
        <w:t>capaz de alcanzar el desapasionamiento mediante la comprensión de los agregados conectados con la base consisten</w:t>
      </w:r>
      <w:r w:rsidR="006B76F3">
        <w:t>te</w:t>
      </w:r>
      <w:r>
        <w:t xml:space="preserve"> </w:t>
      </w:r>
      <w:r w:rsidR="006B76F3">
        <w:t>de la no-percepción-ni-no-percepción</w:t>
      </w:r>
      <w:r>
        <w:t xml:space="preserve">, a menos que ya haya hecho su interpretación con otros agregados (ver XX.2f. y XXI.23). Y además, cuando el </w:t>
      </w:r>
      <w:r w:rsidR="00355B9D">
        <w:t xml:space="preserve">Venerable </w:t>
      </w:r>
      <w:r>
        <w:t xml:space="preserve">Sāriputta, o alguien muy sabio y naturalmente dotado de </w:t>
      </w:r>
      <w:r w:rsidR="00355B9D">
        <w:t xml:space="preserve">sabiduría </w:t>
      </w:r>
      <w:r>
        <w:t xml:space="preserve">como él, </w:t>
      </w:r>
      <w:r w:rsidR="00355B9D">
        <w:t xml:space="preserve">sea </w:t>
      </w:r>
      <w:r>
        <w:t>capaz de hacerlo, inclus</w:t>
      </w:r>
      <w:r w:rsidR="00355B9D">
        <w:t>ive</w:t>
      </w:r>
      <w:r>
        <w:t xml:space="preserve"> él </w:t>
      </w:r>
      <w:r w:rsidR="00355B9D">
        <w:t xml:space="preserve">tendrá </w:t>
      </w:r>
      <w:r>
        <w:t xml:space="preserve">que hacerlo por medio de la comprensión de </w:t>
      </w:r>
      <w:r w:rsidR="00882FD1">
        <w:t xml:space="preserve">los </w:t>
      </w:r>
      <w:r>
        <w:t xml:space="preserve">grupos (XX.2) de esta manera, “Entonces parece que estos estados, no habiendo sido, llegan a ser; </w:t>
      </w:r>
      <w:r w:rsidR="005B262D">
        <w:t xml:space="preserve">y </w:t>
      </w:r>
      <w:r>
        <w:t xml:space="preserve">habiendo llegado a ser, se desvanecen” (M III 28), y no por medio de una </w:t>
      </w:r>
      <w:r w:rsidR="00945BB7">
        <w:t>sabiduría</w:t>
      </w:r>
      <w:r>
        <w:t xml:space="preserve"> [directa </w:t>
      </w:r>
      <w:r w:rsidR="00B05D15">
        <w:t xml:space="preserve">y </w:t>
      </w:r>
      <w:r>
        <w:t xml:space="preserve">real] </w:t>
      </w:r>
      <w:r w:rsidR="001A1F32">
        <w:t>sobre</w:t>
      </w:r>
      <w:r>
        <w:t xml:space="preserve"> los estados uno por uno a medida que sur</w:t>
      </w:r>
      <w:r w:rsidR="00882FD1">
        <w:t>ja</w:t>
      </w:r>
      <w:r>
        <w:t xml:space="preserve">n. Tal es la sutileza que alcanza este </w:t>
      </w:r>
      <w:r w:rsidR="00655431">
        <w:t>estado inmaterial</w:t>
      </w:r>
      <w:r>
        <w:t>.</w:t>
      </w:r>
    </w:p>
    <w:p w14:paraId="5296FAB1" w14:textId="3235DEB5" w:rsidR="006E1F7C" w:rsidRDefault="006E1F7C" w:rsidP="006E1F7C">
      <w:r>
        <w:t xml:space="preserve">54. </w:t>
      </w:r>
      <w:r w:rsidR="008B6130">
        <w:tab/>
      </w:r>
      <w:r>
        <w:t>Y este significado debe</w:t>
      </w:r>
      <w:r w:rsidR="00945BB7">
        <w:t>rá</w:t>
      </w:r>
      <w:r>
        <w:t xml:space="preserve"> ser ilustrado por el símil del agua en el camino, como lo fue por el símil de la mancha de aceite en el cuenco. Un novicio caminaba delante de un </w:t>
      </w:r>
      <w:r w:rsidR="00E306E2">
        <w:t>Venerable</w:t>
      </w:r>
      <w:r>
        <w:t xml:space="preserve"> </w:t>
      </w:r>
      <w:r w:rsidR="00E306E2">
        <w:t xml:space="preserve">que, </w:t>
      </w:r>
      <w:r>
        <w:t>al parecer, había emprendido un viaje. Vio un poco de agua y dijo: “</w:t>
      </w:r>
      <w:r w:rsidR="00E306E2">
        <w:t xml:space="preserve">Aquí hay </w:t>
      </w:r>
      <w:r>
        <w:t xml:space="preserve">agua, </w:t>
      </w:r>
      <w:r w:rsidR="00E306E2">
        <w:t>Venerable Señor</w:t>
      </w:r>
      <w:r>
        <w:t xml:space="preserve">, quítese las sandalias”. Entonces el </w:t>
      </w:r>
      <w:r w:rsidR="00E306E2">
        <w:t xml:space="preserve">Venerable </w:t>
      </w:r>
      <w:r>
        <w:t xml:space="preserve">dijo: “Si hay agua, tráigame </w:t>
      </w:r>
      <w:r w:rsidR="00E306E2">
        <w:t xml:space="preserve">las prendas </w:t>
      </w:r>
      <w:r>
        <w:t>de baño y bañ</w:t>
      </w:r>
      <w:r w:rsidR="00E306E2">
        <w:t>émonos</w:t>
      </w:r>
      <w:r>
        <w:t>”, pero el novicio dijo: “No hay</w:t>
      </w:r>
      <w:r w:rsidR="00E306E2">
        <w:t xml:space="preserve"> prendas</w:t>
      </w:r>
      <w:r>
        <w:t xml:space="preserve">, </w:t>
      </w:r>
      <w:r w:rsidR="00E306E2">
        <w:t>Venerable Señor</w:t>
      </w:r>
      <w:r>
        <w:t>”. Aquí, así como "</w:t>
      </w:r>
      <w:r w:rsidR="00E306E2">
        <w:t>Aquí h</w:t>
      </w:r>
      <w:r>
        <w:t xml:space="preserve">ay agua" es en el sentido de </w:t>
      </w:r>
      <w:r w:rsidR="00E306E2">
        <w:t>simplemente</w:t>
      </w:r>
      <w:r>
        <w:t xml:space="preserve"> mojar las sandalias, y "No hay </w:t>
      </w:r>
      <w:r w:rsidR="00E306E2">
        <w:t>prendas</w:t>
      </w:r>
      <w:r>
        <w:t xml:space="preserve">" </w:t>
      </w:r>
      <w:r w:rsidR="00E306E2">
        <w:t xml:space="preserve">lo </w:t>
      </w:r>
      <w:r>
        <w:t>es en el sentido de bañarse, así también, esta percepción es "</w:t>
      </w:r>
      <w:r w:rsidR="00E306E2">
        <w:t>no</w:t>
      </w:r>
      <w:r w:rsidR="00476607">
        <w:t>-</w:t>
      </w:r>
      <w:r>
        <w:t xml:space="preserve">percepción" ya que es incapaz de realizar la función decisiva de la percepción, y </w:t>
      </w:r>
      <w:r w:rsidR="005B0D21">
        <w:t xml:space="preserve">tampoco </w:t>
      </w:r>
      <w:r>
        <w:t>es “no-percepción” porque está presente en forma sutil como una formación residual.</w:t>
      </w:r>
    </w:p>
    <w:p w14:paraId="051C4A7F" w14:textId="44497E75" w:rsidR="006E1F7C" w:rsidRDefault="006E1F7C" w:rsidP="006E1F7C">
      <w:r>
        <w:t xml:space="preserve">55. </w:t>
      </w:r>
      <w:r w:rsidR="008B6130">
        <w:tab/>
      </w:r>
      <w:r>
        <w:t>Y este sentido debe ilustrarse no sólo con estos símiles, sino también otros apropiad</w:t>
      </w:r>
      <w:r w:rsidR="005B0D21">
        <w:t>amente</w:t>
      </w:r>
      <w:r>
        <w:t>.</w:t>
      </w:r>
    </w:p>
    <w:p w14:paraId="296296B9" w14:textId="1CD5DAE4" w:rsidR="006E1F7C" w:rsidRDefault="006E1F7C" w:rsidP="008B6130">
      <w:pPr>
        <w:pStyle w:val="NormalConSangria"/>
      </w:pPr>
      <w:r w:rsidRPr="00984CD1">
        <w:rPr>
          <w:i/>
          <w:iCs/>
        </w:rPr>
        <w:t>Entra</w:t>
      </w:r>
      <w:r w:rsidR="002A14CC">
        <w:rPr>
          <w:i/>
          <w:iCs/>
        </w:rPr>
        <w:t>rá</w:t>
      </w:r>
      <w:r w:rsidRPr="00984CD1">
        <w:rPr>
          <w:i/>
          <w:iCs/>
        </w:rPr>
        <w:t xml:space="preserve"> y </w:t>
      </w:r>
      <w:r w:rsidR="002A14CC">
        <w:rPr>
          <w:i/>
          <w:iCs/>
        </w:rPr>
        <w:t xml:space="preserve">habitará </w:t>
      </w:r>
      <w:r w:rsidR="00984CD1" w:rsidRPr="00984CD1">
        <w:rPr>
          <w:i/>
          <w:iCs/>
        </w:rPr>
        <w:t>en</w:t>
      </w:r>
      <w:r w:rsidR="00984CD1">
        <w:t xml:space="preserve"> </w:t>
      </w:r>
      <w:r w:rsidR="002A14CC">
        <w:t xml:space="preserve">ya </w:t>
      </w:r>
      <w:r>
        <w:t>se ha explicado</w:t>
      </w:r>
      <w:r w:rsidR="002A14CC">
        <w:t xml:space="preserve"> anteriormente</w:t>
      </w:r>
      <w:r>
        <w:t>.</w:t>
      </w:r>
    </w:p>
    <w:p w14:paraId="463CED9B" w14:textId="6568DF50" w:rsidR="006E1F7C" w:rsidRDefault="002A14CC" w:rsidP="006E1F7C">
      <w:r>
        <w:t>É</w:t>
      </w:r>
      <w:r w:rsidR="006E1F7C">
        <w:t>sta es la explicación detallada de la base consiste</w:t>
      </w:r>
      <w:r>
        <w:t>nte de la</w:t>
      </w:r>
      <w:r w:rsidR="006E1F7C">
        <w:t xml:space="preserve"> </w:t>
      </w:r>
      <w:r>
        <w:t xml:space="preserve">no-percepción-ni-no-percepción </w:t>
      </w:r>
      <w:r w:rsidR="006E1F7C">
        <w:t xml:space="preserve">como </w:t>
      </w:r>
      <w:r>
        <w:t>objeto</w:t>
      </w:r>
      <w:r w:rsidR="006E1F7C">
        <w:t xml:space="preserve"> de meditación.</w:t>
      </w:r>
    </w:p>
    <w:p w14:paraId="2A742834" w14:textId="6F92F173" w:rsidR="006E1F7C" w:rsidRDefault="006E1F7C" w:rsidP="008B6130">
      <w:pPr>
        <w:pStyle w:val="Ttulo3"/>
        <w:ind w:left="708"/>
      </w:pPr>
      <w:r>
        <w:t>[General]</w:t>
      </w:r>
    </w:p>
    <w:p w14:paraId="45372503" w14:textId="60B2EDE6" w:rsidR="006E1F7C" w:rsidRPr="002A14CC" w:rsidRDefault="006E1F7C" w:rsidP="006E1F7C">
      <w:pPr>
        <w:pStyle w:val="VersoIngls01Sangria"/>
        <w:ind w:left="0"/>
        <w:rPr>
          <w:sz w:val="16"/>
          <w:szCs w:val="20"/>
        </w:rPr>
      </w:pPr>
      <w:r>
        <w:t xml:space="preserve">56. </w:t>
      </w:r>
      <w:r>
        <w:tab/>
      </w:r>
      <w:r>
        <w:tab/>
      </w:r>
      <w:r>
        <w:tab/>
      </w:r>
      <w:r w:rsidRPr="002A14CC">
        <w:rPr>
          <w:sz w:val="16"/>
          <w:szCs w:val="20"/>
        </w:rPr>
        <w:t xml:space="preserve">Así ha </w:t>
      </w:r>
      <w:r w:rsidR="005A44F3">
        <w:rPr>
          <w:sz w:val="16"/>
          <w:szCs w:val="20"/>
        </w:rPr>
        <w:t xml:space="preserve">expuesto </w:t>
      </w:r>
      <w:r w:rsidRPr="002A14CC">
        <w:rPr>
          <w:sz w:val="16"/>
          <w:szCs w:val="20"/>
        </w:rPr>
        <w:t>el Inigualable</w:t>
      </w:r>
      <w:r w:rsidR="002A14CC">
        <w:rPr>
          <w:sz w:val="16"/>
          <w:szCs w:val="20"/>
        </w:rPr>
        <w:t xml:space="preserve"> Servidor</w:t>
      </w:r>
    </w:p>
    <w:p w14:paraId="6F93C0EC" w14:textId="6250F871" w:rsidR="006E1F7C" w:rsidRPr="002A14CC" w:rsidRDefault="005A44F3" w:rsidP="006E1F7C">
      <w:pPr>
        <w:pStyle w:val="VersoIngls01Sangria"/>
        <w:rPr>
          <w:sz w:val="16"/>
          <w:szCs w:val="20"/>
        </w:rPr>
      </w:pPr>
      <w:r>
        <w:rPr>
          <w:sz w:val="16"/>
          <w:szCs w:val="20"/>
        </w:rPr>
        <w:t xml:space="preserve">Los cuatro </w:t>
      </w:r>
      <w:r w:rsidR="006E1F7C" w:rsidRPr="002A14CC">
        <w:rPr>
          <w:sz w:val="16"/>
          <w:szCs w:val="20"/>
        </w:rPr>
        <w:t>estado</w:t>
      </w:r>
      <w:r>
        <w:rPr>
          <w:sz w:val="16"/>
          <w:szCs w:val="20"/>
        </w:rPr>
        <w:t>s</w:t>
      </w:r>
      <w:r w:rsidR="006E1F7C" w:rsidRPr="002A14CC">
        <w:rPr>
          <w:sz w:val="16"/>
          <w:szCs w:val="20"/>
        </w:rPr>
        <w:t xml:space="preserve"> inmaterial</w:t>
      </w:r>
      <w:r>
        <w:rPr>
          <w:sz w:val="16"/>
          <w:szCs w:val="20"/>
        </w:rPr>
        <w:t>es</w:t>
      </w:r>
      <w:r w:rsidR="006E1F7C" w:rsidRPr="002A14CC">
        <w:rPr>
          <w:sz w:val="16"/>
          <w:szCs w:val="20"/>
        </w:rPr>
        <w:t>;</w:t>
      </w:r>
    </w:p>
    <w:p w14:paraId="125D1FF6" w14:textId="39B9F4B3" w:rsidR="006E1F7C" w:rsidRPr="002A14CC" w:rsidRDefault="008E54B8" w:rsidP="006E1F7C">
      <w:pPr>
        <w:pStyle w:val="VersoIngls01Sangria"/>
        <w:rPr>
          <w:sz w:val="16"/>
          <w:szCs w:val="20"/>
        </w:rPr>
      </w:pPr>
      <w:r>
        <w:rPr>
          <w:sz w:val="16"/>
          <w:szCs w:val="20"/>
        </w:rPr>
        <w:t>Conocer</w:t>
      </w:r>
      <w:r w:rsidRPr="002A14CC">
        <w:rPr>
          <w:sz w:val="16"/>
          <w:szCs w:val="20"/>
        </w:rPr>
        <w:t xml:space="preserve"> </w:t>
      </w:r>
      <w:r w:rsidR="006E1F7C" w:rsidRPr="002A14CC">
        <w:rPr>
          <w:sz w:val="16"/>
          <w:szCs w:val="20"/>
        </w:rPr>
        <w:t xml:space="preserve">estos asuntos generales </w:t>
      </w:r>
    </w:p>
    <w:p w14:paraId="199FEE85" w14:textId="207BD2FA" w:rsidR="006E1F7C" w:rsidRPr="002A14CC" w:rsidRDefault="009F7A65" w:rsidP="006E1F7C">
      <w:pPr>
        <w:pStyle w:val="VersoIngls01Sangria"/>
        <w:spacing w:after="100"/>
        <w:ind w:left="1418"/>
        <w:rPr>
          <w:sz w:val="16"/>
          <w:szCs w:val="20"/>
        </w:rPr>
      </w:pPr>
      <w:r>
        <w:rPr>
          <w:sz w:val="16"/>
          <w:szCs w:val="20"/>
        </w:rPr>
        <w:t xml:space="preserve">Tampoco </w:t>
      </w:r>
      <w:r w:rsidR="006E1F7C" w:rsidRPr="002A14CC">
        <w:rPr>
          <w:sz w:val="16"/>
          <w:szCs w:val="20"/>
        </w:rPr>
        <w:t>será inapropiado.</w:t>
      </w:r>
    </w:p>
    <w:p w14:paraId="278E291A" w14:textId="5847DB32" w:rsidR="006E1F7C" w:rsidRPr="002A14CC" w:rsidRDefault="006E1F7C" w:rsidP="006E1F7C">
      <w:pPr>
        <w:pStyle w:val="VersoIngls01Sangria"/>
        <w:ind w:left="0"/>
        <w:rPr>
          <w:sz w:val="16"/>
          <w:szCs w:val="20"/>
        </w:rPr>
      </w:pPr>
      <w:r>
        <w:t xml:space="preserve">57. </w:t>
      </w:r>
      <w:r>
        <w:tab/>
      </w:r>
      <w:r>
        <w:tab/>
      </w:r>
      <w:r>
        <w:tab/>
      </w:r>
      <w:r w:rsidR="00F242AA">
        <w:rPr>
          <w:sz w:val="16"/>
          <w:szCs w:val="20"/>
        </w:rPr>
        <w:t>R</w:t>
      </w:r>
      <w:r w:rsidR="00342AFC">
        <w:rPr>
          <w:sz w:val="16"/>
          <w:szCs w:val="20"/>
        </w:rPr>
        <w:t>especto a esto</w:t>
      </w:r>
      <w:r w:rsidR="00F242AA">
        <w:rPr>
          <w:sz w:val="16"/>
          <w:szCs w:val="20"/>
        </w:rPr>
        <w:t>s</w:t>
      </w:r>
      <w:r w:rsidRPr="002A14CC">
        <w:rPr>
          <w:sz w:val="16"/>
          <w:szCs w:val="20"/>
        </w:rPr>
        <w:t xml:space="preserve"> estados inmateriales:</w:t>
      </w:r>
    </w:p>
    <w:p w14:paraId="13CB9A8C" w14:textId="766B3E71" w:rsidR="006E1F7C" w:rsidRDefault="006E1F7C" w:rsidP="006E1F7C">
      <w:pPr>
        <w:pStyle w:val="VersoIngls01Sangria"/>
        <w:rPr>
          <w:sz w:val="16"/>
          <w:szCs w:val="20"/>
        </w:rPr>
      </w:pPr>
      <w:r w:rsidRPr="002A14CC">
        <w:rPr>
          <w:sz w:val="16"/>
          <w:szCs w:val="20"/>
        </w:rPr>
        <w:t xml:space="preserve">Si bien se </w:t>
      </w:r>
      <w:r w:rsidR="00036473">
        <w:rPr>
          <w:sz w:val="16"/>
          <w:szCs w:val="20"/>
        </w:rPr>
        <w:t>expone</w:t>
      </w:r>
      <w:r w:rsidRPr="002A14CC">
        <w:rPr>
          <w:sz w:val="16"/>
          <w:szCs w:val="20"/>
        </w:rPr>
        <w:t xml:space="preserve"> </w:t>
      </w:r>
      <w:r w:rsidR="00F242AA">
        <w:rPr>
          <w:sz w:val="16"/>
          <w:szCs w:val="20"/>
        </w:rPr>
        <w:t xml:space="preserve">mediante </w:t>
      </w:r>
      <w:r w:rsidRPr="002A14CC">
        <w:rPr>
          <w:sz w:val="16"/>
          <w:szCs w:val="20"/>
        </w:rPr>
        <w:t>la superación de</w:t>
      </w:r>
    </w:p>
    <w:p w14:paraId="4E9EFA6E" w14:textId="77777777" w:rsidR="00C7376D" w:rsidRPr="002A14CC" w:rsidRDefault="00C7376D" w:rsidP="006E1F7C">
      <w:pPr>
        <w:pStyle w:val="VersoIngls01Sangria"/>
        <w:rPr>
          <w:sz w:val="16"/>
          <w:szCs w:val="20"/>
        </w:rPr>
      </w:pPr>
    </w:p>
    <w:p w14:paraId="63C5CB47" w14:textId="77777777" w:rsidR="006E1F7C" w:rsidRDefault="006E1F7C" w:rsidP="006E1F7C">
      <w:pPr>
        <w:pStyle w:val="PiedepginaLegal"/>
        <w:rPr>
          <w:u w:val="single"/>
        </w:rPr>
      </w:pPr>
      <w:r>
        <w:rPr>
          <w:u w:val="single"/>
        </w:rPr>
        <w:tab/>
      </w:r>
      <w:r>
        <w:rPr>
          <w:u w:val="single"/>
        </w:rPr>
        <w:tab/>
      </w:r>
      <w:r>
        <w:rPr>
          <w:u w:val="single"/>
        </w:rPr>
        <w:tab/>
      </w:r>
      <w:r>
        <w:rPr>
          <w:u w:val="single"/>
        </w:rPr>
        <w:tab/>
      </w:r>
    </w:p>
    <w:p w14:paraId="043B17D3" w14:textId="168F54EE" w:rsidR="008B6130" w:rsidRDefault="006E1F7C" w:rsidP="008B6130">
      <w:pPr>
        <w:pStyle w:val="PiedepginaLegal"/>
      </w:pPr>
      <w:r>
        <w:t xml:space="preserve">11. </w:t>
      </w:r>
      <w:r>
        <w:tab/>
      </w:r>
      <w:proofErr w:type="spellStart"/>
      <w:r w:rsidRPr="00984CD1">
        <w:rPr>
          <w:i/>
          <w:iCs/>
        </w:rPr>
        <w:t>Sukhodaka</w:t>
      </w:r>
      <w:proofErr w:type="spellEnd"/>
      <w:r>
        <w:t xml:space="preserve">—“agua tibia”: ver Monier Williams’ </w:t>
      </w:r>
      <w:proofErr w:type="spellStart"/>
      <w:r w:rsidRPr="00984CD1">
        <w:rPr>
          <w:i/>
          <w:iCs/>
        </w:rPr>
        <w:t>Sanskrit</w:t>
      </w:r>
      <w:proofErr w:type="spellEnd"/>
      <w:r w:rsidRPr="00984CD1">
        <w:rPr>
          <w:i/>
          <w:iCs/>
        </w:rPr>
        <w:t xml:space="preserve"> </w:t>
      </w:r>
      <w:proofErr w:type="spellStart"/>
      <w:r w:rsidRPr="00984CD1">
        <w:rPr>
          <w:i/>
          <w:iCs/>
        </w:rPr>
        <w:t>Dictionary</w:t>
      </w:r>
      <w:proofErr w:type="spellEnd"/>
      <w:r>
        <w:t xml:space="preserve">; este significado de </w:t>
      </w:r>
      <w:proofErr w:type="spellStart"/>
      <w:r w:rsidRPr="00984CD1">
        <w:rPr>
          <w:i/>
          <w:iCs/>
        </w:rPr>
        <w:t>sukha</w:t>
      </w:r>
      <w:proofErr w:type="spellEnd"/>
      <w:r>
        <w:t xml:space="preserve"> no se da en </w:t>
      </w:r>
      <w:r w:rsidR="000E663C">
        <w:t xml:space="preserve">el </w:t>
      </w:r>
      <w:r>
        <w:t>PED.</w:t>
      </w:r>
      <w:r w:rsidR="008B6130">
        <w:br w:type="page"/>
      </w:r>
    </w:p>
    <w:p w14:paraId="0257C236" w14:textId="77777777" w:rsidR="008B6130" w:rsidRDefault="008B6130" w:rsidP="008B6130"/>
    <w:p w14:paraId="7891DE2F" w14:textId="6D54A1E1" w:rsidR="00D61CAE" w:rsidRPr="00321CF1" w:rsidRDefault="00D61CAE" w:rsidP="00D61CAE">
      <w:pPr>
        <w:pStyle w:val="VersoIngls01Sangria"/>
        <w:rPr>
          <w:sz w:val="16"/>
          <w:szCs w:val="20"/>
        </w:rPr>
      </w:pPr>
      <w:r w:rsidRPr="00321CF1">
        <w:rPr>
          <w:sz w:val="16"/>
          <w:szCs w:val="20"/>
        </w:rPr>
        <w:t xml:space="preserve">El objeto </w:t>
      </w:r>
      <w:r w:rsidR="00F242AA">
        <w:rPr>
          <w:sz w:val="16"/>
          <w:szCs w:val="20"/>
        </w:rPr>
        <w:t xml:space="preserve">que </w:t>
      </w:r>
      <w:r w:rsidR="00924836">
        <w:rPr>
          <w:sz w:val="16"/>
          <w:szCs w:val="20"/>
        </w:rPr>
        <w:t xml:space="preserve">ellos </w:t>
      </w:r>
      <w:r w:rsidRPr="00321CF1">
        <w:rPr>
          <w:sz w:val="16"/>
          <w:szCs w:val="20"/>
        </w:rPr>
        <w:t>son cuatro, los sabios</w:t>
      </w:r>
    </w:p>
    <w:p w14:paraId="0F05A524" w14:textId="49599411" w:rsidR="00D61CAE" w:rsidRPr="00321CF1" w:rsidRDefault="00D61CAE" w:rsidP="00D61CAE">
      <w:pPr>
        <w:pStyle w:val="VersoIngls01Sangria"/>
        <w:rPr>
          <w:sz w:val="16"/>
          <w:szCs w:val="20"/>
        </w:rPr>
      </w:pPr>
      <w:r w:rsidRPr="00321CF1">
        <w:rPr>
          <w:sz w:val="16"/>
          <w:szCs w:val="20"/>
        </w:rPr>
        <w:t>No admit</w:t>
      </w:r>
      <w:r w:rsidR="00036473" w:rsidRPr="00321CF1">
        <w:rPr>
          <w:sz w:val="16"/>
          <w:szCs w:val="20"/>
        </w:rPr>
        <w:t>irá</w:t>
      </w:r>
      <w:r w:rsidR="009F7A65" w:rsidRPr="00321CF1">
        <w:rPr>
          <w:sz w:val="16"/>
          <w:szCs w:val="20"/>
        </w:rPr>
        <w:t>n</w:t>
      </w:r>
      <w:r w:rsidRPr="00321CF1">
        <w:rPr>
          <w:sz w:val="16"/>
          <w:szCs w:val="20"/>
        </w:rPr>
        <w:t xml:space="preserve"> la superación de</w:t>
      </w:r>
    </w:p>
    <w:p w14:paraId="669D177D" w14:textId="2912D95D" w:rsidR="00D61CAE" w:rsidRPr="00321CF1" w:rsidRDefault="00036473" w:rsidP="00D61CAE">
      <w:pPr>
        <w:pStyle w:val="VersoIngls01Sangria"/>
        <w:spacing w:after="100"/>
        <w:ind w:left="1418"/>
        <w:rPr>
          <w:sz w:val="16"/>
          <w:szCs w:val="20"/>
        </w:rPr>
      </w:pPr>
      <w:r w:rsidRPr="00321CF1">
        <w:rPr>
          <w:sz w:val="16"/>
          <w:szCs w:val="20"/>
        </w:rPr>
        <w:t>Los f</w:t>
      </w:r>
      <w:r w:rsidR="00D61CAE" w:rsidRPr="00321CF1">
        <w:rPr>
          <w:sz w:val="16"/>
          <w:szCs w:val="20"/>
        </w:rPr>
        <w:t>actores que uno pued</w:t>
      </w:r>
      <w:r w:rsidRPr="00321CF1">
        <w:rPr>
          <w:sz w:val="16"/>
          <w:szCs w:val="20"/>
        </w:rPr>
        <w:t>a</w:t>
      </w:r>
      <w:r w:rsidR="00D61CAE" w:rsidRPr="00321CF1">
        <w:rPr>
          <w:sz w:val="16"/>
          <w:szCs w:val="20"/>
        </w:rPr>
        <w:t xml:space="preserve"> reconocer.</w:t>
      </w:r>
    </w:p>
    <w:p w14:paraId="339B0634" w14:textId="6A8833B5" w:rsidR="00D61CAE" w:rsidRDefault="00D61CAE" w:rsidP="00D61CAE">
      <w:r>
        <w:t xml:space="preserve">58. </w:t>
      </w:r>
      <w:r>
        <w:tab/>
        <w:t xml:space="preserve">De estos cuatro, el primero se debe a la superación de </w:t>
      </w:r>
      <w:r w:rsidR="00842899">
        <w:t xml:space="preserve">los </w:t>
      </w:r>
      <w:r>
        <w:t xml:space="preserve">signos de </w:t>
      </w:r>
      <w:r w:rsidR="00842899">
        <w:t xml:space="preserve">la </w:t>
      </w:r>
      <w:r>
        <w:t>materialidad, el segundo se debe a la superación del espacio, el tercero se debe a la superación de la con</w:t>
      </w:r>
      <w:r w:rsidR="00276DBF">
        <w:t>s</w:t>
      </w:r>
      <w:r>
        <w:t>ciencia que se produjo con ese espacio como su objeto, y el cuarto se debe a la superación la desaparición de la con</w:t>
      </w:r>
      <w:r w:rsidR="00276DBF">
        <w:t>s</w:t>
      </w:r>
      <w:r>
        <w:t xml:space="preserve">ciencia que se produjo con ese espacio como objeto. Por </w:t>
      </w:r>
      <w:r w:rsidR="00276DBF">
        <w:t xml:space="preserve">lo </w:t>
      </w:r>
      <w:r>
        <w:t xml:space="preserve">tanto, deben entenderse en número </w:t>
      </w:r>
      <w:r w:rsidR="00597440">
        <w:t>como</w:t>
      </w:r>
      <w:r>
        <w:t xml:space="preserve"> cuatro con la superación del objeto en cada caso. [339] </w:t>
      </w:r>
      <w:r w:rsidR="00454322">
        <w:t xml:space="preserve">No obstante, </w:t>
      </w:r>
      <w:r>
        <w:t>los sabios no admit</w:t>
      </w:r>
      <w:r w:rsidR="00C72E77">
        <w:t>iría</w:t>
      </w:r>
      <w:r>
        <w:t>n ninguna superación de los factores [</w:t>
      </w:r>
      <w:proofErr w:type="spellStart"/>
      <w:r w:rsidR="00057BF4" w:rsidRPr="00057BF4">
        <w:rPr>
          <w:i/>
        </w:rPr>
        <w:t>jhāna</w:t>
      </w:r>
      <w:proofErr w:type="spellEnd"/>
      <w:r>
        <w:t xml:space="preserve">]; </w:t>
      </w:r>
      <w:r w:rsidR="00DB56D7">
        <w:t xml:space="preserve">ya </w:t>
      </w:r>
      <w:r>
        <w:t>que no ha</w:t>
      </w:r>
      <w:r w:rsidR="004C135B">
        <w:t>br</w:t>
      </w:r>
      <w:r w:rsidR="00DB56D7">
        <w:t>ía</w:t>
      </w:r>
      <w:r>
        <w:t xml:space="preserve"> superación de </w:t>
      </w:r>
      <w:r w:rsidR="004C135B">
        <w:t xml:space="preserve">los </w:t>
      </w:r>
      <w:r>
        <w:t>factores en ellos como lo h</w:t>
      </w:r>
      <w:r w:rsidR="004C135B">
        <w:t>ubo</w:t>
      </w:r>
      <w:r>
        <w:t xml:space="preserve"> en el caso de los logros de la esfera de la materia </w:t>
      </w:r>
      <w:r w:rsidR="004C135B">
        <w:t>sutil</w:t>
      </w:r>
      <w:r>
        <w:t xml:space="preserve">. Cada uno </w:t>
      </w:r>
      <w:r w:rsidR="004C135B">
        <w:t>tendrá</w:t>
      </w:r>
      <w:r>
        <w:t xml:space="preserve"> sólo los dos factores, </w:t>
      </w:r>
      <w:r w:rsidR="004C135B">
        <w:t>es decir</w:t>
      </w:r>
      <w:r>
        <w:t>, la ecuanimidad y la unificación ment</w:t>
      </w:r>
      <w:r w:rsidR="004C135B">
        <w:t>al</w:t>
      </w:r>
      <w:r>
        <w:t>.</w:t>
      </w:r>
    </w:p>
    <w:p w14:paraId="5D49D307" w14:textId="5018E07A" w:rsidR="00D61CAE" w:rsidRDefault="00D61CAE" w:rsidP="00D61CAE">
      <w:r>
        <w:t xml:space="preserve">59. </w:t>
      </w:r>
      <w:r>
        <w:tab/>
        <w:t>Siendo así:</w:t>
      </w:r>
    </w:p>
    <w:p w14:paraId="7431A116" w14:textId="73995B43" w:rsidR="00D61CAE" w:rsidRPr="00DB56D7" w:rsidRDefault="0000073E" w:rsidP="00D61CAE">
      <w:pPr>
        <w:pStyle w:val="VersoIngls01Sangria"/>
        <w:rPr>
          <w:sz w:val="16"/>
          <w:szCs w:val="20"/>
        </w:rPr>
      </w:pPr>
      <w:r w:rsidRPr="00DB56D7">
        <w:rPr>
          <w:sz w:val="16"/>
          <w:szCs w:val="20"/>
        </w:rPr>
        <w:t>Ellos p</w:t>
      </w:r>
      <w:r w:rsidR="00D61CAE" w:rsidRPr="00DB56D7">
        <w:rPr>
          <w:sz w:val="16"/>
          <w:szCs w:val="20"/>
        </w:rPr>
        <w:t>rogresa</w:t>
      </w:r>
      <w:r w:rsidR="00331ADF" w:rsidRPr="00DB56D7">
        <w:rPr>
          <w:sz w:val="16"/>
          <w:szCs w:val="20"/>
        </w:rPr>
        <w:t>rá</w:t>
      </w:r>
      <w:r w:rsidR="00D61CAE" w:rsidRPr="00DB56D7">
        <w:rPr>
          <w:sz w:val="16"/>
          <w:szCs w:val="20"/>
        </w:rPr>
        <w:t>n en el refinamiento; cada</w:t>
      </w:r>
      <w:r w:rsidR="00331ADF" w:rsidRPr="00DB56D7">
        <w:rPr>
          <w:sz w:val="16"/>
          <w:szCs w:val="20"/>
        </w:rPr>
        <w:t xml:space="preserve"> uno</w:t>
      </w:r>
    </w:p>
    <w:p w14:paraId="2EFDB843" w14:textId="5E09646B" w:rsidR="00D61CAE" w:rsidRPr="00DB56D7" w:rsidRDefault="00331ADF" w:rsidP="00D61CAE">
      <w:pPr>
        <w:pStyle w:val="VersoIngls01Sangria"/>
        <w:rPr>
          <w:sz w:val="16"/>
          <w:szCs w:val="20"/>
        </w:rPr>
      </w:pPr>
      <w:r w:rsidRPr="00DB56D7">
        <w:rPr>
          <w:sz w:val="16"/>
          <w:szCs w:val="20"/>
        </w:rPr>
        <w:t xml:space="preserve">Será </w:t>
      </w:r>
      <w:r w:rsidR="00D61CAE" w:rsidRPr="00DB56D7">
        <w:rPr>
          <w:sz w:val="16"/>
          <w:szCs w:val="20"/>
        </w:rPr>
        <w:t xml:space="preserve">más </w:t>
      </w:r>
      <w:r w:rsidRPr="00DB56D7">
        <w:rPr>
          <w:sz w:val="16"/>
          <w:szCs w:val="20"/>
        </w:rPr>
        <w:t xml:space="preserve">sutil </w:t>
      </w:r>
      <w:r w:rsidR="00D61CAE" w:rsidRPr="00DB56D7">
        <w:rPr>
          <w:sz w:val="16"/>
          <w:szCs w:val="20"/>
        </w:rPr>
        <w:t>que el anterior.</w:t>
      </w:r>
    </w:p>
    <w:p w14:paraId="5692B223" w14:textId="202EC13A" w:rsidR="00D61CAE" w:rsidRPr="00DB56D7" w:rsidRDefault="00D61CAE" w:rsidP="00D61CAE">
      <w:pPr>
        <w:pStyle w:val="VersoIngls01Sangria"/>
        <w:rPr>
          <w:sz w:val="16"/>
          <w:szCs w:val="20"/>
        </w:rPr>
      </w:pPr>
      <w:r w:rsidRPr="00DB56D7">
        <w:rPr>
          <w:sz w:val="16"/>
          <w:szCs w:val="20"/>
        </w:rPr>
        <w:t>Dos figuras ayuda</w:t>
      </w:r>
      <w:r w:rsidR="00331ADF" w:rsidRPr="00DB56D7">
        <w:rPr>
          <w:sz w:val="16"/>
          <w:szCs w:val="20"/>
        </w:rPr>
        <w:t>rá</w:t>
      </w:r>
      <w:r w:rsidRPr="00DB56D7">
        <w:rPr>
          <w:sz w:val="16"/>
          <w:szCs w:val="20"/>
        </w:rPr>
        <w:t>n a darlas a conocer;</w:t>
      </w:r>
    </w:p>
    <w:p w14:paraId="54C8D3B6" w14:textId="6F359977" w:rsidR="00D61CAE" w:rsidRPr="00DB56D7" w:rsidRDefault="00D61CAE" w:rsidP="00D61CAE">
      <w:pPr>
        <w:pStyle w:val="VersoIngls01Sangria"/>
        <w:spacing w:after="100"/>
        <w:ind w:left="1418"/>
        <w:rPr>
          <w:sz w:val="16"/>
          <w:szCs w:val="20"/>
        </w:rPr>
      </w:pPr>
      <w:r w:rsidRPr="00DB56D7">
        <w:rPr>
          <w:sz w:val="16"/>
          <w:szCs w:val="20"/>
        </w:rPr>
        <w:t xml:space="preserve">Las longitudes de </w:t>
      </w:r>
      <w:r w:rsidR="00B47B4B" w:rsidRPr="00DB56D7">
        <w:rPr>
          <w:sz w:val="16"/>
          <w:szCs w:val="20"/>
        </w:rPr>
        <w:t xml:space="preserve">la </w:t>
      </w:r>
      <w:r w:rsidRPr="00DB56D7">
        <w:rPr>
          <w:sz w:val="16"/>
          <w:szCs w:val="20"/>
        </w:rPr>
        <w:t>tela y cada piso del palacio.</w:t>
      </w:r>
    </w:p>
    <w:p w14:paraId="376ED5A5" w14:textId="36C5B215" w:rsidR="00D61CAE" w:rsidRDefault="00D61CAE" w:rsidP="00D61CAE">
      <w:r>
        <w:t xml:space="preserve">60. </w:t>
      </w:r>
      <w:r>
        <w:tab/>
        <w:t>Supongamos que hubie</w:t>
      </w:r>
      <w:r w:rsidR="00B47B4B">
        <w:t>se</w:t>
      </w:r>
      <w:r>
        <w:t xml:space="preserve"> un palacio de cuatro pisos: </w:t>
      </w:r>
      <w:r w:rsidR="00B47B4B">
        <w:t xml:space="preserve">y que </w:t>
      </w:r>
      <w:r>
        <w:t xml:space="preserve">en </w:t>
      </w:r>
      <w:r w:rsidR="00B47B4B">
        <w:t xml:space="preserve">el </w:t>
      </w:r>
      <w:r>
        <w:t>primer piso los cinco objetos del placer de los sentidos se proporciona</w:t>
      </w:r>
      <w:r w:rsidR="00B47B4B">
        <w:t>se</w:t>
      </w:r>
      <w:r>
        <w:t xml:space="preserve">n en una forma muy </w:t>
      </w:r>
      <w:r w:rsidR="00CB3FB0">
        <w:t xml:space="preserve">sutil </w:t>
      </w:r>
      <w:r>
        <w:t>co</w:t>
      </w:r>
      <w:r w:rsidR="00211CBB">
        <w:t>n</w:t>
      </w:r>
      <w:r>
        <w:t xml:space="preserve"> danza</w:t>
      </w:r>
      <w:r w:rsidR="00CB3FB0">
        <w:t>s</w:t>
      </w:r>
      <w:r>
        <w:t xml:space="preserve"> divina</w:t>
      </w:r>
      <w:r w:rsidR="00CB3FB0">
        <w:t>s</w:t>
      </w:r>
      <w:r>
        <w:t xml:space="preserve">, canto y música, perfumes, esencias, guirnaldas, comida, sofás, ropa, etc. ., y </w:t>
      </w:r>
      <w:r w:rsidR="0094527C">
        <w:t xml:space="preserve">que </w:t>
      </w:r>
      <w:r>
        <w:t xml:space="preserve">en el segundo </w:t>
      </w:r>
      <w:r w:rsidR="0094527C">
        <w:t xml:space="preserve">piso fueron </w:t>
      </w:r>
      <w:r>
        <w:t xml:space="preserve">más </w:t>
      </w:r>
      <w:r w:rsidR="0094527C">
        <w:t>sutiles aún</w:t>
      </w:r>
      <w:r>
        <w:t xml:space="preserve">, en el tercero aún más </w:t>
      </w:r>
      <w:r w:rsidR="0094527C">
        <w:t>sutiles</w:t>
      </w:r>
      <w:r>
        <w:t xml:space="preserve"> y </w:t>
      </w:r>
      <w:r w:rsidR="0094527C">
        <w:t xml:space="preserve">que </w:t>
      </w:r>
      <w:r>
        <w:t xml:space="preserve">en el cuarto </w:t>
      </w:r>
      <w:r w:rsidR="0094527C">
        <w:t xml:space="preserve">piso se encontrasen </w:t>
      </w:r>
      <w:r>
        <w:t xml:space="preserve">lo mejor de todo; sin embargo, </w:t>
      </w:r>
      <w:r w:rsidR="000E1900">
        <w:t xml:space="preserve">estos </w:t>
      </w:r>
      <w:r w:rsidR="00E16047">
        <w:t>seguir</w:t>
      </w:r>
      <w:r w:rsidR="000E1900">
        <w:t>ía</w:t>
      </w:r>
      <w:r w:rsidR="00E16047">
        <w:t xml:space="preserve">n </w:t>
      </w:r>
      <w:r>
        <w:t xml:space="preserve">siendo solo </w:t>
      </w:r>
      <w:r w:rsidR="00E16047">
        <w:t xml:space="preserve">los </w:t>
      </w:r>
      <w:r>
        <w:t xml:space="preserve">pisos de </w:t>
      </w:r>
      <w:r w:rsidR="00E16047">
        <w:t xml:space="preserve">un </w:t>
      </w:r>
      <w:r>
        <w:t xml:space="preserve">palacio y no </w:t>
      </w:r>
      <w:r w:rsidR="000E1900">
        <w:t xml:space="preserve">debería haber </w:t>
      </w:r>
      <w:r>
        <w:t xml:space="preserve">diferencia entre ellos en cuanto a su estado (esencia) como </w:t>
      </w:r>
      <w:r w:rsidR="00E16047">
        <w:t xml:space="preserve">los </w:t>
      </w:r>
      <w:r>
        <w:t xml:space="preserve">pisos de </w:t>
      </w:r>
      <w:r w:rsidR="00211CBB">
        <w:t xml:space="preserve">un </w:t>
      </w:r>
      <w:r>
        <w:t xml:space="preserve">palacio; </w:t>
      </w:r>
      <w:r w:rsidR="00E16047">
        <w:t xml:space="preserve">será </w:t>
      </w:r>
      <w:r>
        <w:t xml:space="preserve">con el refinamiento progresivo de los cinco objetos del placer de los sentidos que cada uno </w:t>
      </w:r>
      <w:r w:rsidR="000E1900">
        <w:t xml:space="preserve">resultará </w:t>
      </w:r>
      <w:r>
        <w:t xml:space="preserve"> más </w:t>
      </w:r>
      <w:r w:rsidR="000E1900">
        <w:t xml:space="preserve">sutil </w:t>
      </w:r>
      <w:r>
        <w:t xml:space="preserve">que el </w:t>
      </w:r>
      <w:r w:rsidR="000E1900">
        <w:t>inferior</w:t>
      </w:r>
      <w:r>
        <w:t>; supongamos de nuevo que hubie</w:t>
      </w:r>
      <w:r w:rsidR="000E1900">
        <w:t>se</w:t>
      </w:r>
      <w:r>
        <w:t xml:space="preserve"> trozos de tela de espesor cuádruple, triple, doble y simple, y </w:t>
      </w:r>
      <w:r w:rsidR="000E1900">
        <w:t>que esté fabricados</w:t>
      </w:r>
      <w:r>
        <w:t xml:space="preserve"> de tela gruesa, delgada, hilo más delgado y muy delgado</w:t>
      </w:r>
      <w:r w:rsidR="000E1900">
        <w:t xml:space="preserve">, todos </w:t>
      </w:r>
      <w:r>
        <w:t>hilado</w:t>
      </w:r>
      <w:r w:rsidR="000E1900">
        <w:t>s</w:t>
      </w:r>
      <w:r>
        <w:t xml:space="preserve"> por una mujer, todos de la misma medida en ancho y </w:t>
      </w:r>
      <w:r w:rsidR="000E1900">
        <w:t>largo</w:t>
      </w:r>
      <w:r>
        <w:t xml:space="preserve">; Ahora bien, aunque </w:t>
      </w:r>
      <w:r w:rsidR="000E1900">
        <w:t xml:space="preserve">las longitudes de estas </w:t>
      </w:r>
      <w:r>
        <w:t>tela</w:t>
      </w:r>
      <w:r w:rsidR="00F53540">
        <w:t>s</w:t>
      </w:r>
      <w:r>
        <w:t xml:space="preserve"> s</w:t>
      </w:r>
      <w:r w:rsidR="000E1900">
        <w:t>e</w:t>
      </w:r>
      <w:r w:rsidR="00F53540">
        <w:t>rá</w:t>
      </w:r>
      <w:r w:rsidR="000E1900">
        <w:t>n</w:t>
      </w:r>
      <w:r>
        <w:t xml:space="preserve"> cuatro en número, </w:t>
      </w:r>
      <w:r w:rsidR="00F53540">
        <w:t>no obstante</w:t>
      </w:r>
      <w:r>
        <w:t xml:space="preserve">, </w:t>
      </w:r>
      <w:r w:rsidR="00F53540">
        <w:t xml:space="preserve">medirán </w:t>
      </w:r>
      <w:r>
        <w:t xml:space="preserve">lo mismo en ancho y </w:t>
      </w:r>
      <w:r w:rsidR="00F53540">
        <w:t>largo</w:t>
      </w:r>
      <w:r>
        <w:t xml:space="preserve">, no </w:t>
      </w:r>
      <w:r w:rsidR="00D43669">
        <w:t xml:space="preserve">habría </w:t>
      </w:r>
      <w:r>
        <w:t xml:space="preserve">diferencia en su medida; pero en suavidad al tacto, finura y costo, cada uno </w:t>
      </w:r>
      <w:r w:rsidR="00D43669">
        <w:t xml:space="preserve">sería </w:t>
      </w:r>
      <w:r>
        <w:t>más fin</w:t>
      </w:r>
      <w:r w:rsidR="00D43669">
        <w:t>a</w:t>
      </w:r>
      <w:r>
        <w:t xml:space="preserve"> que l</w:t>
      </w:r>
      <w:r w:rsidR="00D43669">
        <w:t>a</w:t>
      </w:r>
      <w:r>
        <w:t xml:space="preserve"> anterior; así también, aunque solo hay</w:t>
      </w:r>
      <w:r w:rsidR="00D43669">
        <w:t>a</w:t>
      </w:r>
      <w:r>
        <w:t xml:space="preserve"> dos factores en los cuatro estados inmateriales, es decir, ecuanimidad y unificación ment</w:t>
      </w:r>
      <w:r w:rsidR="00D43669">
        <w:t>al</w:t>
      </w:r>
      <w:r>
        <w:t>, todavía cada uno debe</w:t>
      </w:r>
      <w:r w:rsidR="00914957">
        <w:t>rá</w:t>
      </w:r>
      <w:r>
        <w:t xml:space="preserve"> entenderse como más </w:t>
      </w:r>
      <w:r w:rsidR="00914957">
        <w:t xml:space="preserve">sutil </w:t>
      </w:r>
      <w:r>
        <w:t>que el anterior con el refinamiento progresivo de los factores debido a</w:t>
      </w:r>
      <w:r w:rsidR="00914957">
        <w:t xml:space="preserve"> su</w:t>
      </w:r>
      <w:r>
        <w:t xml:space="preserve"> desarrollo exitoso.</w:t>
      </w:r>
    </w:p>
    <w:p w14:paraId="3206DD54" w14:textId="11BC05AB" w:rsidR="00D61CAE" w:rsidRDefault="00D61CAE" w:rsidP="00D61CAE">
      <w:r>
        <w:t xml:space="preserve">61. </w:t>
      </w:r>
      <w:r>
        <w:tab/>
        <w:t xml:space="preserve">Y por el hecho de que cada uno de ellos </w:t>
      </w:r>
      <w:r w:rsidR="00097D6E">
        <w:t>sea</w:t>
      </w:r>
      <w:r>
        <w:t xml:space="preserve"> más </w:t>
      </w:r>
      <w:r w:rsidR="00097D6E">
        <w:t>sutil</w:t>
      </w:r>
      <w:r>
        <w:t xml:space="preserve"> que el anterior </w:t>
      </w:r>
      <w:r w:rsidR="00097D6E">
        <w:t>existe</w:t>
      </w:r>
      <w:r>
        <w:t xml:space="preserve"> esta </w:t>
      </w:r>
      <w:r w:rsidR="00097D6E">
        <w:t>figura</w:t>
      </w:r>
      <w:r>
        <w:t>:</w:t>
      </w:r>
    </w:p>
    <w:p w14:paraId="4C65B6CF" w14:textId="213C696B" w:rsidR="00D61CAE" w:rsidRPr="00211CBB" w:rsidRDefault="00D61CAE" w:rsidP="00D61CAE">
      <w:pPr>
        <w:pStyle w:val="VersoIngls01Sangria"/>
        <w:rPr>
          <w:sz w:val="16"/>
          <w:szCs w:val="20"/>
        </w:rPr>
      </w:pPr>
      <w:r w:rsidRPr="00211CBB">
        <w:rPr>
          <w:sz w:val="16"/>
          <w:szCs w:val="20"/>
        </w:rPr>
        <w:t>Un</w:t>
      </w:r>
      <w:r w:rsidR="00895B13" w:rsidRPr="00211CBB">
        <w:rPr>
          <w:sz w:val="16"/>
          <w:szCs w:val="20"/>
        </w:rPr>
        <w:t>a</w:t>
      </w:r>
      <w:r w:rsidRPr="00211CBB">
        <w:rPr>
          <w:sz w:val="16"/>
          <w:szCs w:val="20"/>
        </w:rPr>
        <w:t xml:space="preserve"> cuelga de una tienda que se encuentra</w:t>
      </w:r>
    </w:p>
    <w:p w14:paraId="7522EE20" w14:textId="0A7C3B2D" w:rsidR="00D61CAE" w:rsidRPr="00211CBB" w:rsidRDefault="00D61CAE" w:rsidP="00D61CAE">
      <w:pPr>
        <w:pStyle w:val="VersoIngls01Sangria"/>
        <w:rPr>
          <w:sz w:val="16"/>
          <w:szCs w:val="20"/>
        </w:rPr>
      </w:pPr>
      <w:r w:rsidRPr="00211CBB">
        <w:rPr>
          <w:sz w:val="16"/>
          <w:szCs w:val="20"/>
        </w:rPr>
        <w:t xml:space="preserve">en la suciedad; sobre </w:t>
      </w:r>
      <w:r w:rsidR="00895B13" w:rsidRPr="00211CBB">
        <w:rPr>
          <w:sz w:val="16"/>
          <w:szCs w:val="20"/>
        </w:rPr>
        <w:t>e</w:t>
      </w:r>
      <w:r w:rsidRPr="00211CBB">
        <w:rPr>
          <w:sz w:val="16"/>
          <w:szCs w:val="20"/>
        </w:rPr>
        <w:t>l</w:t>
      </w:r>
      <w:r w:rsidR="00895B13" w:rsidRPr="00211CBB">
        <w:rPr>
          <w:sz w:val="16"/>
          <w:szCs w:val="20"/>
        </w:rPr>
        <w:t>la</w:t>
      </w:r>
      <w:r w:rsidRPr="00211CBB">
        <w:rPr>
          <w:sz w:val="16"/>
          <w:szCs w:val="20"/>
        </w:rPr>
        <w:t xml:space="preserve"> se apoya otr</w:t>
      </w:r>
      <w:r w:rsidR="00895B13" w:rsidRPr="00211CBB">
        <w:rPr>
          <w:sz w:val="16"/>
          <w:szCs w:val="20"/>
        </w:rPr>
        <w:t>a</w:t>
      </w:r>
      <w:r w:rsidRPr="00211CBB">
        <w:rPr>
          <w:sz w:val="16"/>
          <w:szCs w:val="20"/>
        </w:rPr>
        <w:t>.</w:t>
      </w:r>
    </w:p>
    <w:p w14:paraId="5816340A" w14:textId="30B4DF58" w:rsidR="00D61CAE" w:rsidRPr="00211CBB" w:rsidRDefault="00D61CAE" w:rsidP="00D61CAE">
      <w:pPr>
        <w:pStyle w:val="VersoIngls01Sangria"/>
        <w:rPr>
          <w:sz w:val="16"/>
          <w:szCs w:val="20"/>
        </w:rPr>
      </w:pPr>
      <w:r w:rsidRPr="00211CBB">
        <w:rPr>
          <w:sz w:val="16"/>
          <w:szCs w:val="20"/>
        </w:rPr>
        <w:t>Afuera se encuentra un</w:t>
      </w:r>
      <w:r w:rsidR="00895B13" w:rsidRPr="00211CBB">
        <w:rPr>
          <w:sz w:val="16"/>
          <w:szCs w:val="20"/>
        </w:rPr>
        <w:t>a</w:t>
      </w:r>
      <w:r w:rsidRPr="00211CBB">
        <w:rPr>
          <w:sz w:val="16"/>
          <w:szCs w:val="20"/>
        </w:rPr>
        <w:t xml:space="preserve"> tercer</w:t>
      </w:r>
      <w:r w:rsidR="00895B13" w:rsidRPr="00211CBB">
        <w:rPr>
          <w:sz w:val="16"/>
          <w:szCs w:val="20"/>
        </w:rPr>
        <w:t>a</w:t>
      </w:r>
      <w:r w:rsidRPr="00211CBB">
        <w:rPr>
          <w:sz w:val="16"/>
          <w:szCs w:val="20"/>
        </w:rPr>
        <w:t xml:space="preserve"> que no se apoya,</w:t>
      </w:r>
    </w:p>
    <w:p w14:paraId="66D74B8E" w14:textId="3997C71B" w:rsidR="00D61CAE" w:rsidRPr="00211CBB" w:rsidRDefault="00D61CAE" w:rsidP="00D61CAE">
      <w:pPr>
        <w:pStyle w:val="VersoIngls01Sangria"/>
        <w:rPr>
          <w:sz w:val="16"/>
          <w:szCs w:val="20"/>
        </w:rPr>
      </w:pPr>
      <w:r w:rsidRPr="00211CBB">
        <w:rPr>
          <w:sz w:val="16"/>
          <w:szCs w:val="20"/>
        </w:rPr>
        <w:t>Contra l</w:t>
      </w:r>
      <w:r w:rsidR="00B65E35" w:rsidRPr="00211CBB">
        <w:rPr>
          <w:sz w:val="16"/>
          <w:szCs w:val="20"/>
        </w:rPr>
        <w:t>a</w:t>
      </w:r>
      <w:r w:rsidRPr="00211CBB">
        <w:rPr>
          <w:sz w:val="16"/>
          <w:szCs w:val="20"/>
        </w:rPr>
        <w:t xml:space="preserve"> últim</w:t>
      </w:r>
      <w:r w:rsidR="00B65E35" w:rsidRPr="00211CBB">
        <w:rPr>
          <w:sz w:val="16"/>
          <w:szCs w:val="20"/>
        </w:rPr>
        <w:t>a</w:t>
      </w:r>
      <w:r w:rsidRPr="00211CBB">
        <w:rPr>
          <w:sz w:val="16"/>
          <w:szCs w:val="20"/>
        </w:rPr>
        <w:t xml:space="preserve"> se apoya otr</w:t>
      </w:r>
      <w:r w:rsidR="00B65E35" w:rsidRPr="00211CBB">
        <w:rPr>
          <w:sz w:val="16"/>
          <w:szCs w:val="20"/>
        </w:rPr>
        <w:t>a</w:t>
      </w:r>
      <w:r w:rsidRPr="00211CBB">
        <w:rPr>
          <w:sz w:val="16"/>
          <w:szCs w:val="20"/>
        </w:rPr>
        <w:t>.</w:t>
      </w:r>
    </w:p>
    <w:p w14:paraId="6C7A8450" w14:textId="77777777" w:rsidR="00D61CAE" w:rsidRPr="00211CBB" w:rsidRDefault="00D61CAE" w:rsidP="00D61CAE">
      <w:pPr>
        <w:pStyle w:val="VersoIngls01Sangria"/>
        <w:rPr>
          <w:sz w:val="16"/>
          <w:szCs w:val="20"/>
        </w:rPr>
      </w:pPr>
      <w:r w:rsidRPr="00211CBB">
        <w:rPr>
          <w:sz w:val="16"/>
          <w:szCs w:val="20"/>
        </w:rPr>
        <w:t>Entre los cuatro hombres y estos estados</w:t>
      </w:r>
    </w:p>
    <w:p w14:paraId="3332E953" w14:textId="77777777" w:rsidR="00D61CAE" w:rsidRPr="00211CBB" w:rsidRDefault="00D61CAE" w:rsidP="00D61CAE">
      <w:pPr>
        <w:pStyle w:val="VersoIngls01Sangria"/>
        <w:rPr>
          <w:sz w:val="16"/>
          <w:szCs w:val="20"/>
        </w:rPr>
      </w:pPr>
      <w:r w:rsidRPr="00211CBB">
        <w:rPr>
          <w:sz w:val="16"/>
          <w:szCs w:val="20"/>
        </w:rPr>
        <w:t>Entonces se muestra la correspondencia,</w:t>
      </w:r>
    </w:p>
    <w:p w14:paraId="432DDD29" w14:textId="103A5C6D" w:rsidR="00D61CAE" w:rsidRPr="00211CBB" w:rsidRDefault="00D61CAE" w:rsidP="00D61CAE">
      <w:pPr>
        <w:pStyle w:val="VersoIngls01Sangria"/>
        <w:rPr>
          <w:sz w:val="16"/>
          <w:szCs w:val="20"/>
        </w:rPr>
      </w:pPr>
      <w:r w:rsidRPr="00211CBB">
        <w:rPr>
          <w:sz w:val="16"/>
          <w:szCs w:val="20"/>
        </w:rPr>
        <w:t xml:space="preserve">Y entonces, ¿cómo se relaciona cada uno </w:t>
      </w:r>
      <w:r w:rsidR="00097D6E" w:rsidRPr="00211CBB">
        <w:rPr>
          <w:sz w:val="16"/>
          <w:szCs w:val="20"/>
        </w:rPr>
        <w:t>entre sí</w:t>
      </w:r>
      <w:r w:rsidRPr="00211CBB">
        <w:rPr>
          <w:sz w:val="16"/>
          <w:szCs w:val="20"/>
        </w:rPr>
        <w:t>?</w:t>
      </w:r>
    </w:p>
    <w:p w14:paraId="75A0ED33" w14:textId="67619638" w:rsidR="00D61CAE" w:rsidRPr="00211CBB" w:rsidRDefault="00B52144" w:rsidP="00D61CAE">
      <w:pPr>
        <w:pStyle w:val="VersoIngls01Sangria"/>
        <w:rPr>
          <w:sz w:val="16"/>
          <w:szCs w:val="20"/>
        </w:rPr>
      </w:pPr>
      <w:r w:rsidRPr="00211CBB">
        <w:rPr>
          <w:sz w:val="16"/>
          <w:szCs w:val="20"/>
        </w:rPr>
        <w:t>Esto podrá</w:t>
      </w:r>
      <w:r w:rsidR="00D61CAE" w:rsidRPr="00211CBB">
        <w:rPr>
          <w:sz w:val="16"/>
          <w:szCs w:val="20"/>
        </w:rPr>
        <w:t xml:space="preserve"> ser conocido por un hombre de </w:t>
      </w:r>
      <w:r w:rsidR="00097D6E" w:rsidRPr="00211CBB">
        <w:rPr>
          <w:sz w:val="16"/>
          <w:szCs w:val="20"/>
        </w:rPr>
        <w:t>inteligencia</w:t>
      </w:r>
      <w:r w:rsidR="00D61CAE" w:rsidRPr="00211CBB">
        <w:rPr>
          <w:sz w:val="16"/>
          <w:szCs w:val="20"/>
        </w:rPr>
        <w:t>.</w:t>
      </w:r>
    </w:p>
    <w:p w14:paraId="391DB55A" w14:textId="77777777" w:rsidR="00D61CAE" w:rsidRDefault="00D61CAE">
      <w:pPr>
        <w:tabs>
          <w:tab w:val="clear" w:pos="425"/>
        </w:tabs>
        <w:spacing w:after="160"/>
      </w:pPr>
      <w:r>
        <w:br w:type="page"/>
      </w:r>
    </w:p>
    <w:p w14:paraId="2EF4AE3C" w14:textId="77777777" w:rsidR="00D61CAE" w:rsidRDefault="00D61CAE" w:rsidP="00D61CAE"/>
    <w:p w14:paraId="48EBE44D" w14:textId="74394D99" w:rsidR="00024D6A" w:rsidRDefault="00024D6A" w:rsidP="00024D6A">
      <w:r>
        <w:t xml:space="preserve">62. </w:t>
      </w:r>
      <w:r w:rsidR="00B11D3C">
        <w:tab/>
      </w:r>
      <w:r>
        <w:t xml:space="preserve">Así es como debe interpretarse el </w:t>
      </w:r>
      <w:r w:rsidR="00B52144">
        <w:t>significado</w:t>
      </w:r>
      <w:r>
        <w:t xml:space="preserve">. </w:t>
      </w:r>
      <w:r w:rsidR="00560372">
        <w:t xml:space="preserve">Había </w:t>
      </w:r>
      <w:r>
        <w:t xml:space="preserve">una tienda de campaña en un lugar sucio. Entonces llegó un hombre y disgustado con la suciedad, se apoyó </w:t>
      </w:r>
      <w:r w:rsidR="001A5B80">
        <w:t>sobre</w:t>
      </w:r>
      <w:r>
        <w:t xml:space="preserve"> la tienda con las manos y quedó como colgado o agarrado a ella. Luego vino otro hombre y se apoyó en el hombre que estaba colgado de la tienda. Entonces vino otro hombre y pensó: “El que se aferra a la tienda y el que se apoya </w:t>
      </w:r>
      <w:r w:rsidR="005A7F07">
        <w:t>sobre</w:t>
      </w:r>
      <w:r>
        <w:t xml:space="preserve"> </w:t>
      </w:r>
      <w:r w:rsidR="005A7F07">
        <w:t>e</w:t>
      </w:r>
      <w:r>
        <w:t>l</w:t>
      </w:r>
      <w:r w:rsidR="005A7F07">
        <w:t>la</w:t>
      </w:r>
      <w:r>
        <w:t xml:space="preserve"> están mal, y si la tienda se ca</w:t>
      </w:r>
      <w:r w:rsidR="00960B05">
        <w:t>yese</w:t>
      </w:r>
      <w:r>
        <w:t>, ciertamente se caer</w:t>
      </w:r>
      <w:r w:rsidR="00960B05">
        <w:t>ía</w:t>
      </w:r>
      <w:r>
        <w:t xml:space="preserve">n. Creo que </w:t>
      </w:r>
      <w:r w:rsidR="00960B05">
        <w:t>permanecer</w:t>
      </w:r>
      <w:r w:rsidR="00560372">
        <w:t>é</w:t>
      </w:r>
      <w:r w:rsidR="00960B05">
        <w:t xml:space="preserve"> </w:t>
      </w:r>
      <w:r>
        <w:t>fuera</w:t>
      </w:r>
      <w:r w:rsidR="00560372">
        <w:t>”</w:t>
      </w:r>
      <w:r>
        <w:t xml:space="preserve">. [340] Entonces, en lugar de apoyarse en el que se apoyaba en el primero, </w:t>
      </w:r>
      <w:r w:rsidR="00560372">
        <w:t>se mantuvo</w:t>
      </w:r>
      <w:r>
        <w:t xml:space="preserve"> </w:t>
      </w:r>
      <w:r w:rsidR="00960B05">
        <w:t>al margen</w:t>
      </w:r>
      <w:r>
        <w:t xml:space="preserve">. Luego llegó otro y teniendo en cuenta la inseguridad del que colgaba la tienda y del que se apoyaba en </w:t>
      </w:r>
      <w:r w:rsidR="0052042D">
        <w:t>e</w:t>
      </w:r>
      <w:r>
        <w:t>l</w:t>
      </w:r>
      <w:r w:rsidR="0052042D">
        <w:t>la</w:t>
      </w:r>
      <w:r>
        <w:t xml:space="preserve">, y creyendo que el que estaba fuera estaba bien colocado, se puso de pie apoyándose </w:t>
      </w:r>
      <w:r w:rsidR="0052042D">
        <w:t xml:space="preserve">sobre </w:t>
      </w:r>
      <w:r>
        <w:t>él.</w:t>
      </w:r>
    </w:p>
    <w:p w14:paraId="1CA2436E" w14:textId="17053257" w:rsidR="00024D6A" w:rsidRDefault="00024D6A" w:rsidP="00024D6A">
      <w:r>
        <w:t xml:space="preserve">63. </w:t>
      </w:r>
      <w:r w:rsidR="00B11D3C">
        <w:tab/>
      </w:r>
      <w:r>
        <w:t xml:space="preserve">Aquí, </w:t>
      </w:r>
      <w:r w:rsidR="002975C1">
        <w:t xml:space="preserve">es así cómo </w:t>
      </w:r>
      <w:r>
        <w:t xml:space="preserve">debe </w:t>
      </w:r>
      <w:r w:rsidR="002975C1">
        <w:t>entenderse</w:t>
      </w:r>
      <w:r>
        <w:t xml:space="preserve">. El espacio del que se ha </w:t>
      </w:r>
      <w:r w:rsidR="002975C1">
        <w:t xml:space="preserve">librado </w:t>
      </w:r>
      <w:r>
        <w:t xml:space="preserve">el </w:t>
      </w:r>
      <w:proofErr w:type="spellStart"/>
      <w:r w:rsidR="00057BF4" w:rsidRPr="00057BF4">
        <w:rPr>
          <w:i/>
        </w:rPr>
        <w:t>kasiṇa</w:t>
      </w:r>
      <w:proofErr w:type="spellEnd"/>
      <w:r>
        <w:t xml:space="preserve"> </w:t>
      </w:r>
      <w:r w:rsidR="002975C1">
        <w:t xml:space="preserve">será </w:t>
      </w:r>
      <w:r>
        <w:t>como la tienda en el lugar sucio. La con</w:t>
      </w:r>
      <w:r w:rsidR="002975C1">
        <w:t>s</w:t>
      </w:r>
      <w:r>
        <w:t>ciencia de la base consiste</w:t>
      </w:r>
      <w:r w:rsidR="002975C1">
        <w:t>nte</w:t>
      </w:r>
      <w:r>
        <w:t xml:space="preserve"> </w:t>
      </w:r>
      <w:r w:rsidR="002975C1">
        <w:t>d</w:t>
      </w:r>
      <w:r>
        <w:t xml:space="preserve">el espacio ilimitado, que hace del espacio su objeto debido a la </w:t>
      </w:r>
      <w:r w:rsidR="00380D0B">
        <w:t>aversión</w:t>
      </w:r>
      <w:r>
        <w:t xml:space="preserve"> con el signo de la materia </w:t>
      </w:r>
      <w:r w:rsidR="00A01B9D">
        <w:t>sutil</w:t>
      </w:r>
      <w:r>
        <w:t xml:space="preserve">, </w:t>
      </w:r>
      <w:r w:rsidR="00A01B9D">
        <w:t xml:space="preserve">será </w:t>
      </w:r>
      <w:r>
        <w:t>como el hombre que se aferr</w:t>
      </w:r>
      <w:r w:rsidR="00A01B9D">
        <w:t>e</w:t>
      </w:r>
      <w:r>
        <w:t xml:space="preserve"> a la tienda debido a la </w:t>
      </w:r>
      <w:r w:rsidR="00380D0B">
        <w:t>aversión</w:t>
      </w:r>
      <w:r>
        <w:t xml:space="preserve"> </w:t>
      </w:r>
      <w:r w:rsidR="00380D0B">
        <w:t xml:space="preserve">hacia </w:t>
      </w:r>
      <w:r w:rsidR="00A01B9D">
        <w:t xml:space="preserve">su </w:t>
      </w:r>
      <w:r>
        <w:t>suciedad. La con</w:t>
      </w:r>
      <w:r w:rsidR="00A01B9D">
        <w:t>s</w:t>
      </w:r>
      <w:r>
        <w:t>ciencia de la base consiste</w:t>
      </w:r>
      <w:r w:rsidR="00A01B9D">
        <w:t>nte</w:t>
      </w:r>
      <w:r>
        <w:t xml:space="preserve"> </w:t>
      </w:r>
      <w:r w:rsidR="00A01B9D">
        <w:t xml:space="preserve">de la </w:t>
      </w:r>
      <w:r>
        <w:t>con</w:t>
      </w:r>
      <w:r w:rsidR="00A01B9D">
        <w:t>s</w:t>
      </w:r>
      <w:r>
        <w:t>ciencia ilimitada, cuya ocurrencia depende de la con</w:t>
      </w:r>
      <w:r w:rsidR="00A01B9D">
        <w:t>s</w:t>
      </w:r>
      <w:r>
        <w:t>ciencia de la base consiste</w:t>
      </w:r>
      <w:r w:rsidR="00A01B9D">
        <w:t>nte de</w:t>
      </w:r>
      <w:r w:rsidR="00F25578">
        <w:t>l</w:t>
      </w:r>
      <w:r>
        <w:t xml:space="preserve"> espacio ilimitado</w:t>
      </w:r>
      <w:r w:rsidR="00380D0B">
        <w:t>,</w:t>
      </w:r>
      <w:r>
        <w:t xml:space="preserve"> cuyo objeto es el espacio, </w:t>
      </w:r>
      <w:r w:rsidR="00A01B9D">
        <w:t xml:space="preserve">será </w:t>
      </w:r>
      <w:r>
        <w:t>como el hombre que se apoy</w:t>
      </w:r>
      <w:r w:rsidR="00A01B9D">
        <w:t>e</w:t>
      </w:r>
      <w:r>
        <w:t xml:space="preserve"> en el hombre que se </w:t>
      </w:r>
      <w:r w:rsidR="00380D0B">
        <w:t>apoya</w:t>
      </w:r>
      <w:r>
        <w:t xml:space="preserve"> </w:t>
      </w:r>
      <w:r w:rsidR="00380D0B">
        <w:t>sobre</w:t>
      </w:r>
      <w:r>
        <w:t xml:space="preserve"> la tienda. La con</w:t>
      </w:r>
      <w:r w:rsidR="00380D0B">
        <w:t>s</w:t>
      </w:r>
      <w:r>
        <w:t>ciencia de la base consiste</w:t>
      </w:r>
      <w:r w:rsidR="0033297B">
        <w:t>nte del vacío</w:t>
      </w:r>
      <w:r>
        <w:t>, que en lugar de hacer de la con</w:t>
      </w:r>
      <w:r w:rsidR="0033297B">
        <w:t>s</w:t>
      </w:r>
      <w:r>
        <w:t>ciencia de la base consiste</w:t>
      </w:r>
      <w:r w:rsidR="0033297B">
        <w:t>nte del</w:t>
      </w:r>
      <w:r>
        <w:t xml:space="preserve"> espacio ilimitado su objeto, </w:t>
      </w:r>
      <w:r w:rsidR="0033297B">
        <w:t xml:space="preserve">tendrá </w:t>
      </w:r>
      <w:r>
        <w:t>como objeto la inexistencia de e</w:t>
      </w:r>
      <w:r w:rsidR="0033297B">
        <w:t>ll</w:t>
      </w:r>
      <w:r>
        <w:t xml:space="preserve">o, </w:t>
      </w:r>
      <w:r w:rsidR="00552F20">
        <w:t xml:space="preserve">será </w:t>
      </w:r>
      <w:r>
        <w:t>como el hombre que, después de considerar la inseguridad de es</w:t>
      </w:r>
      <w:r w:rsidR="00552F20">
        <w:t>t</w:t>
      </w:r>
      <w:r>
        <w:t>os dos, no se apoy</w:t>
      </w:r>
      <w:r w:rsidR="00552F20">
        <w:t>e</w:t>
      </w:r>
      <w:r>
        <w:t xml:space="preserve"> en el que est</w:t>
      </w:r>
      <w:r w:rsidR="00552F20">
        <w:t>é</w:t>
      </w:r>
      <w:r>
        <w:t xml:space="preserve"> colgado de la tienda, sino </w:t>
      </w:r>
      <w:r w:rsidR="00282FD7">
        <w:t>como el permaneciera</w:t>
      </w:r>
      <w:r>
        <w:t xml:space="preserve"> afuera. La con</w:t>
      </w:r>
      <w:r w:rsidR="00380D0B">
        <w:t>s</w:t>
      </w:r>
      <w:r>
        <w:t>ciencia de la base consiste</w:t>
      </w:r>
      <w:r w:rsidR="00552F20">
        <w:t>nte</w:t>
      </w:r>
      <w:r>
        <w:t xml:space="preserve"> </w:t>
      </w:r>
      <w:r w:rsidR="00552F20">
        <w:t xml:space="preserve">de la </w:t>
      </w:r>
      <w:r>
        <w:t>n</w:t>
      </w:r>
      <w:r w:rsidR="00552F20">
        <w:t>o-</w:t>
      </w:r>
      <w:r>
        <w:t>percepción</w:t>
      </w:r>
      <w:r w:rsidR="00552F20">
        <w:t>-</w:t>
      </w:r>
      <w:r>
        <w:t>ni</w:t>
      </w:r>
      <w:r w:rsidR="00552F20">
        <w:t>-</w:t>
      </w:r>
      <w:r>
        <w:t>no</w:t>
      </w:r>
      <w:r w:rsidR="00552F20">
        <w:t>-</w:t>
      </w:r>
      <w:r>
        <w:t>percepción, cuya ocurrencia depende de la con</w:t>
      </w:r>
      <w:r w:rsidR="00552F20">
        <w:t>s</w:t>
      </w:r>
      <w:r>
        <w:t>ciencia de la base consiste</w:t>
      </w:r>
      <w:r w:rsidR="00552F20">
        <w:t>nte</w:t>
      </w:r>
      <w:r>
        <w:t xml:space="preserve"> </w:t>
      </w:r>
      <w:r w:rsidR="00552F20">
        <w:t>del vacío</w:t>
      </w:r>
      <w:r>
        <w:t>, que se encuentra en un lugar exterior, en otras palabras, en la inexistencia de la con</w:t>
      </w:r>
      <w:r w:rsidR="00552F20">
        <w:t>s</w:t>
      </w:r>
      <w:r>
        <w:t xml:space="preserve">ciencia pasada, </w:t>
      </w:r>
      <w:r w:rsidR="00552F20">
        <w:t xml:space="preserve">será </w:t>
      </w:r>
      <w:r>
        <w:t>como el hombre que se apoya en el último</w:t>
      </w:r>
      <w:r w:rsidR="00380D0B">
        <w:t xml:space="preserve"> hombre</w:t>
      </w:r>
      <w:r>
        <w:t>, habiendo considerado la inseguridad del que se aferra a la tienda y del que se apoy</w:t>
      </w:r>
      <w:r w:rsidR="00380D0B">
        <w:t>a</w:t>
      </w:r>
      <w:r>
        <w:t xml:space="preserve"> </w:t>
      </w:r>
      <w:r w:rsidR="0033225A">
        <w:t xml:space="preserve">sobre </w:t>
      </w:r>
      <w:r w:rsidR="00380D0B">
        <w:t>e</w:t>
      </w:r>
      <w:r w:rsidR="0033225A">
        <w:t xml:space="preserve">l </w:t>
      </w:r>
      <w:r w:rsidR="00380D0B">
        <w:t>otro hombre</w:t>
      </w:r>
      <w:r>
        <w:t xml:space="preserve">, e imaginando que el que </w:t>
      </w:r>
      <w:r w:rsidR="00722303">
        <w:t xml:space="preserve">se encuentre </w:t>
      </w:r>
      <w:r>
        <w:t>fuera est</w:t>
      </w:r>
      <w:r w:rsidR="00722303">
        <w:t>ar</w:t>
      </w:r>
      <w:r>
        <w:t>á bien situado.</w:t>
      </w:r>
    </w:p>
    <w:p w14:paraId="18018431" w14:textId="46F3BD5B" w:rsidR="00024D6A" w:rsidRPr="00380D0B" w:rsidRDefault="00024D6A" w:rsidP="00024D6A">
      <w:pPr>
        <w:pStyle w:val="VersoIngls01Sangria"/>
        <w:ind w:left="0"/>
        <w:rPr>
          <w:sz w:val="16"/>
          <w:szCs w:val="20"/>
        </w:rPr>
      </w:pPr>
      <w:r>
        <w:t xml:space="preserve">64. </w:t>
      </w:r>
      <w:r>
        <w:tab/>
      </w:r>
      <w:r>
        <w:tab/>
      </w:r>
      <w:r>
        <w:tab/>
      </w:r>
      <w:r w:rsidRPr="00380D0B">
        <w:rPr>
          <w:sz w:val="16"/>
          <w:szCs w:val="20"/>
        </w:rPr>
        <w:t>Y mientras ocurr</w:t>
      </w:r>
      <w:r w:rsidR="00722303" w:rsidRPr="00380D0B">
        <w:rPr>
          <w:sz w:val="16"/>
          <w:szCs w:val="20"/>
        </w:rPr>
        <w:t>a</w:t>
      </w:r>
      <w:r w:rsidRPr="00380D0B">
        <w:rPr>
          <w:sz w:val="16"/>
          <w:szCs w:val="20"/>
        </w:rPr>
        <w:t xml:space="preserve"> </w:t>
      </w:r>
      <w:r w:rsidR="00722303" w:rsidRPr="00380D0B">
        <w:rPr>
          <w:sz w:val="16"/>
          <w:szCs w:val="20"/>
        </w:rPr>
        <w:t xml:space="preserve">esto </w:t>
      </w:r>
      <w:r w:rsidRPr="00380D0B">
        <w:rPr>
          <w:sz w:val="16"/>
          <w:szCs w:val="20"/>
        </w:rPr>
        <w:t>de esta manera:</w:t>
      </w:r>
    </w:p>
    <w:p w14:paraId="0D390C3E" w14:textId="6254CA0C" w:rsidR="00024D6A" w:rsidRPr="00380D0B" w:rsidRDefault="00024D6A" w:rsidP="00024D6A">
      <w:pPr>
        <w:pStyle w:val="VersoIngls01Sangria"/>
        <w:rPr>
          <w:sz w:val="16"/>
          <w:szCs w:val="20"/>
        </w:rPr>
      </w:pPr>
      <w:r w:rsidRPr="00380D0B">
        <w:rPr>
          <w:sz w:val="16"/>
          <w:szCs w:val="20"/>
        </w:rPr>
        <w:t>Toma</w:t>
      </w:r>
      <w:r w:rsidR="00722303" w:rsidRPr="00380D0B">
        <w:rPr>
          <w:sz w:val="16"/>
          <w:szCs w:val="20"/>
        </w:rPr>
        <w:t>rá</w:t>
      </w:r>
      <w:r w:rsidRPr="00380D0B">
        <w:rPr>
          <w:sz w:val="16"/>
          <w:szCs w:val="20"/>
        </w:rPr>
        <w:t xml:space="preserve"> esto </w:t>
      </w:r>
      <w:r w:rsidR="00722303" w:rsidRPr="00380D0B">
        <w:rPr>
          <w:sz w:val="16"/>
          <w:szCs w:val="20"/>
        </w:rPr>
        <w:t xml:space="preserve">como </w:t>
      </w:r>
      <w:r w:rsidRPr="00380D0B">
        <w:rPr>
          <w:sz w:val="16"/>
          <w:szCs w:val="20"/>
        </w:rPr>
        <w:t>su objeto ya que</w:t>
      </w:r>
    </w:p>
    <w:p w14:paraId="60976217" w14:textId="72A51DC8" w:rsidR="00024D6A" w:rsidRPr="00380D0B" w:rsidRDefault="00024D6A" w:rsidP="00024D6A">
      <w:pPr>
        <w:pStyle w:val="VersoIngls01Sangria"/>
        <w:rPr>
          <w:sz w:val="16"/>
          <w:szCs w:val="20"/>
        </w:rPr>
      </w:pPr>
      <w:r w:rsidRPr="00380D0B">
        <w:rPr>
          <w:sz w:val="16"/>
          <w:szCs w:val="20"/>
        </w:rPr>
        <w:t>No ha</w:t>
      </w:r>
      <w:r w:rsidR="00722303" w:rsidRPr="00380D0B">
        <w:rPr>
          <w:sz w:val="16"/>
          <w:szCs w:val="20"/>
        </w:rPr>
        <w:t>brá</w:t>
      </w:r>
      <w:r w:rsidRPr="00380D0B">
        <w:rPr>
          <w:sz w:val="16"/>
          <w:szCs w:val="20"/>
        </w:rPr>
        <w:t xml:space="preserve"> otro tan </w:t>
      </w:r>
      <w:r w:rsidR="00722303" w:rsidRPr="00380D0B">
        <w:rPr>
          <w:sz w:val="16"/>
          <w:szCs w:val="20"/>
        </w:rPr>
        <w:t>apropiado como tal</w:t>
      </w:r>
      <w:r w:rsidRPr="00380D0B">
        <w:rPr>
          <w:sz w:val="16"/>
          <w:szCs w:val="20"/>
        </w:rPr>
        <w:t>,</w:t>
      </w:r>
    </w:p>
    <w:p w14:paraId="2A9AF5B5" w14:textId="63450C0B" w:rsidR="00024D6A" w:rsidRPr="00380D0B" w:rsidRDefault="004C707F" w:rsidP="00024D6A">
      <w:pPr>
        <w:pStyle w:val="VersoIngls01Sangria"/>
        <w:rPr>
          <w:sz w:val="16"/>
          <w:szCs w:val="20"/>
        </w:rPr>
      </w:pPr>
      <w:r w:rsidRPr="00380D0B">
        <w:rPr>
          <w:sz w:val="16"/>
          <w:szCs w:val="20"/>
        </w:rPr>
        <w:t xml:space="preserve">Así como </w:t>
      </w:r>
      <w:r w:rsidR="00024D6A" w:rsidRPr="00380D0B">
        <w:rPr>
          <w:sz w:val="16"/>
          <w:szCs w:val="20"/>
        </w:rPr>
        <w:t>los hombres dependen de un rey,</w:t>
      </w:r>
    </w:p>
    <w:p w14:paraId="15D0E311" w14:textId="58A737ED" w:rsidR="00024D6A" w:rsidRPr="00380D0B" w:rsidRDefault="00024D6A" w:rsidP="00024D6A">
      <w:pPr>
        <w:pStyle w:val="VersoIngls01Sangria"/>
        <w:spacing w:after="100"/>
        <w:ind w:left="1418"/>
        <w:rPr>
          <w:sz w:val="16"/>
          <w:szCs w:val="20"/>
        </w:rPr>
      </w:pPr>
      <w:r w:rsidRPr="00380D0B">
        <w:rPr>
          <w:sz w:val="16"/>
          <w:szCs w:val="20"/>
        </w:rPr>
        <w:t xml:space="preserve">Cuya culpa ven, </w:t>
      </w:r>
      <w:r w:rsidR="004C707F" w:rsidRPr="00380D0B">
        <w:rPr>
          <w:sz w:val="16"/>
          <w:szCs w:val="20"/>
        </w:rPr>
        <w:t xml:space="preserve">como </w:t>
      </w:r>
      <w:r w:rsidRPr="00380D0B">
        <w:rPr>
          <w:sz w:val="16"/>
          <w:szCs w:val="20"/>
        </w:rPr>
        <w:t>sustento.</w:t>
      </w:r>
    </w:p>
    <w:p w14:paraId="0399C303" w14:textId="7314CBF7" w:rsidR="00D61CAE" w:rsidRDefault="00024D6A" w:rsidP="00024D6A">
      <w:r>
        <w:t xml:space="preserve">65. </w:t>
      </w:r>
      <w:r w:rsidR="00B11D3C">
        <w:tab/>
      </w:r>
      <w:r w:rsidR="00EF757F">
        <w:t xml:space="preserve">Ya </w:t>
      </w:r>
      <w:r>
        <w:t>que aunque esta consciencia de la base consiste</w:t>
      </w:r>
      <w:r w:rsidR="00EF757F">
        <w:t>nte</w:t>
      </w:r>
      <w:r>
        <w:t xml:space="preserve"> </w:t>
      </w:r>
      <w:r w:rsidR="00D42E45">
        <w:t xml:space="preserve">de la no-percepción-ni-no-percepción </w:t>
      </w:r>
      <w:r>
        <w:t>ha</w:t>
      </w:r>
      <w:r w:rsidR="00D42E45">
        <w:t>ya</w:t>
      </w:r>
      <w:r>
        <w:t xml:space="preserve"> visto </w:t>
      </w:r>
      <w:r w:rsidR="00D42E45">
        <w:t xml:space="preserve">los defectos </w:t>
      </w:r>
      <w:r>
        <w:t>en la base consiste</w:t>
      </w:r>
      <w:r w:rsidR="00D42E45">
        <w:t>nte</w:t>
      </w:r>
      <w:r>
        <w:t xml:space="preserve"> </w:t>
      </w:r>
      <w:r w:rsidR="00D42E45">
        <w:t>del vacío</w:t>
      </w:r>
      <w:r>
        <w:t xml:space="preserve">, "Este logro </w:t>
      </w:r>
      <w:r w:rsidR="00D42E45">
        <w:t xml:space="preserve">tendrá a </w:t>
      </w:r>
      <w:r>
        <w:t>la base consiste</w:t>
      </w:r>
      <w:r w:rsidR="00B258A0">
        <w:t xml:space="preserve">nte de </w:t>
      </w:r>
      <w:r>
        <w:t>la con</w:t>
      </w:r>
      <w:r w:rsidR="00B258A0">
        <w:t>s</w:t>
      </w:r>
      <w:r>
        <w:t>ciencia ilimitada como su enemigo cercano", no obstante</w:t>
      </w:r>
      <w:r w:rsidR="00B258A0">
        <w:t>,</w:t>
      </w:r>
      <w:r>
        <w:t xml:space="preserve"> ese hecho lo toma</w:t>
      </w:r>
      <w:r w:rsidR="00B258A0">
        <w:t>rá</w:t>
      </w:r>
      <w:r>
        <w:t xml:space="preserve"> como su objeto en ausencia de cualquier otro. ¿Cómo? Como los hombres por el bien de la subsistencia dependen de los reyes cuyas faltas </w:t>
      </w:r>
      <w:r w:rsidR="002745CB">
        <w:t xml:space="preserve">ellos </w:t>
      </w:r>
      <w:r w:rsidR="0033225A">
        <w:t>aprecien</w:t>
      </w:r>
      <w:r>
        <w:t xml:space="preserve">. Porque así como, </w:t>
      </w:r>
      <w:r w:rsidR="00E3785C">
        <w:t>en virtud de</w:t>
      </w:r>
      <w:r>
        <w:t xml:space="preserve">l sustento y porque no pueden conseguirlo </w:t>
      </w:r>
      <w:r w:rsidR="00E3785C">
        <w:t xml:space="preserve">de </w:t>
      </w:r>
      <w:r>
        <w:t>otra parte, la gente tolera</w:t>
      </w:r>
      <w:r w:rsidR="002745CB">
        <w:t>ría</w:t>
      </w:r>
      <w:r>
        <w:t xml:space="preserve"> a un rey, gobernante </w:t>
      </w:r>
      <w:r w:rsidR="000A5B32">
        <w:t xml:space="preserve">en </w:t>
      </w:r>
      <w:r>
        <w:t xml:space="preserve">todas partes, que </w:t>
      </w:r>
      <w:r w:rsidR="000A5B32">
        <w:t xml:space="preserve">sea </w:t>
      </w:r>
      <w:r>
        <w:t>desenfrenado y duro en comportamiento físico, verbal y mental, aunque ve</w:t>
      </w:r>
      <w:r w:rsidR="000A5B32">
        <w:t>a</w:t>
      </w:r>
      <w:r>
        <w:t xml:space="preserve">n sus faltas </w:t>
      </w:r>
      <w:r w:rsidR="000A5B32">
        <w:t>así:</w:t>
      </w:r>
      <w:r>
        <w:t xml:space="preserve"> "Él se comporta con </w:t>
      </w:r>
      <w:r w:rsidR="000E5342">
        <w:t>rudeza</w:t>
      </w:r>
      <w:r>
        <w:t>", así también la con</w:t>
      </w:r>
      <w:r w:rsidR="000A5B32">
        <w:t>s</w:t>
      </w:r>
      <w:r>
        <w:t>ciencia de la base consiste</w:t>
      </w:r>
      <w:r w:rsidR="000A5B32">
        <w:t>nte de la no-percepción-ni-no-percepción</w:t>
      </w:r>
      <w:r w:rsidR="000A5B32" w:rsidRPr="000A5B32">
        <w:t xml:space="preserve"> </w:t>
      </w:r>
      <w:r w:rsidR="000A5B32">
        <w:t>tomará por objeto esa base consistente del vacío,</w:t>
      </w:r>
    </w:p>
    <w:p w14:paraId="0ABCFE4F" w14:textId="77777777" w:rsidR="00AF587A" w:rsidRDefault="00AF587A">
      <w:pPr>
        <w:tabs>
          <w:tab w:val="clear" w:pos="425"/>
        </w:tabs>
        <w:spacing w:after="160"/>
      </w:pPr>
      <w:r>
        <w:br w:type="page"/>
      </w:r>
    </w:p>
    <w:p w14:paraId="126868BC" w14:textId="77777777" w:rsidR="00AF587A" w:rsidRDefault="00AF587A" w:rsidP="00D61CAE"/>
    <w:p w14:paraId="648DF2F3" w14:textId="784F57E4" w:rsidR="00AF587A" w:rsidRDefault="00AF587A" w:rsidP="00AF587A">
      <w:r>
        <w:t>a pesar de ver así sus defectos, y lo ha</w:t>
      </w:r>
      <w:r w:rsidR="000A5B32">
        <w:t>rá</w:t>
      </w:r>
      <w:r>
        <w:t xml:space="preserve"> porque no </w:t>
      </w:r>
      <w:r w:rsidR="000A5B32">
        <w:t xml:space="preserve">podrá </w:t>
      </w:r>
      <w:r>
        <w:t>encontrar otro objeto mejor.</w:t>
      </w:r>
    </w:p>
    <w:p w14:paraId="34AE4A11" w14:textId="6A07163A" w:rsidR="00AF587A" w:rsidRPr="00365A1E" w:rsidRDefault="00AF587A" w:rsidP="00AF587A">
      <w:pPr>
        <w:pStyle w:val="VersoIngls01Sangria"/>
        <w:ind w:left="0"/>
        <w:rPr>
          <w:sz w:val="16"/>
          <w:szCs w:val="20"/>
        </w:rPr>
      </w:pPr>
      <w:r>
        <w:t xml:space="preserve">66. </w:t>
      </w:r>
      <w:r w:rsidR="00F851F0">
        <w:tab/>
      </w:r>
      <w:r w:rsidR="00F851F0">
        <w:tab/>
      </w:r>
      <w:r w:rsidR="00F851F0">
        <w:tab/>
      </w:r>
      <w:r w:rsidRPr="00365A1E">
        <w:rPr>
          <w:sz w:val="16"/>
          <w:szCs w:val="20"/>
        </w:rPr>
        <w:t>Como quien sub</w:t>
      </w:r>
      <w:r w:rsidR="00B54D19" w:rsidRPr="00365A1E">
        <w:rPr>
          <w:sz w:val="16"/>
          <w:szCs w:val="20"/>
        </w:rPr>
        <w:t>iese</w:t>
      </w:r>
      <w:r w:rsidRPr="00365A1E">
        <w:rPr>
          <w:sz w:val="16"/>
          <w:szCs w:val="20"/>
        </w:rPr>
        <w:t xml:space="preserve"> </w:t>
      </w:r>
      <w:r w:rsidR="000917F9">
        <w:rPr>
          <w:sz w:val="16"/>
          <w:szCs w:val="20"/>
        </w:rPr>
        <w:t xml:space="preserve">por </w:t>
      </w:r>
      <w:r w:rsidRPr="00365A1E">
        <w:rPr>
          <w:sz w:val="16"/>
          <w:szCs w:val="20"/>
        </w:rPr>
        <w:t>una escalera elevada</w:t>
      </w:r>
    </w:p>
    <w:p w14:paraId="1D5C3656" w14:textId="79B99A05" w:rsidR="00AF587A" w:rsidRPr="00365A1E" w:rsidRDefault="00AF587A" w:rsidP="00AF587A">
      <w:pPr>
        <w:pStyle w:val="VersoIngls01Sangria"/>
        <w:rPr>
          <w:sz w:val="16"/>
          <w:szCs w:val="20"/>
        </w:rPr>
      </w:pPr>
      <w:r w:rsidRPr="00365A1E">
        <w:rPr>
          <w:sz w:val="16"/>
          <w:szCs w:val="20"/>
        </w:rPr>
        <w:t xml:space="preserve">Se </w:t>
      </w:r>
      <w:r w:rsidR="002354C6" w:rsidRPr="00365A1E">
        <w:rPr>
          <w:sz w:val="16"/>
          <w:szCs w:val="20"/>
        </w:rPr>
        <w:t>agarra</w:t>
      </w:r>
      <w:r w:rsidR="00B54D19" w:rsidRPr="00365A1E">
        <w:rPr>
          <w:sz w:val="16"/>
          <w:szCs w:val="20"/>
        </w:rPr>
        <w:t>ría</w:t>
      </w:r>
      <w:r w:rsidRPr="00365A1E">
        <w:rPr>
          <w:sz w:val="16"/>
          <w:szCs w:val="20"/>
        </w:rPr>
        <w:t xml:space="preserve"> </w:t>
      </w:r>
      <w:r w:rsidR="002354C6" w:rsidRPr="00365A1E">
        <w:rPr>
          <w:sz w:val="16"/>
          <w:szCs w:val="20"/>
        </w:rPr>
        <w:t>de</w:t>
      </w:r>
      <w:r w:rsidRPr="00365A1E">
        <w:rPr>
          <w:sz w:val="16"/>
          <w:szCs w:val="20"/>
        </w:rPr>
        <w:t xml:space="preserve"> sus barandillas como </w:t>
      </w:r>
      <w:r w:rsidR="002354C6" w:rsidRPr="00365A1E">
        <w:rPr>
          <w:sz w:val="16"/>
          <w:szCs w:val="20"/>
        </w:rPr>
        <w:t>soporte</w:t>
      </w:r>
      <w:r w:rsidRPr="00365A1E">
        <w:rPr>
          <w:sz w:val="16"/>
          <w:szCs w:val="20"/>
        </w:rPr>
        <w:t>,</w:t>
      </w:r>
    </w:p>
    <w:p w14:paraId="759D31A5" w14:textId="60E75C7F" w:rsidR="00AF587A" w:rsidRPr="00365A1E" w:rsidRDefault="00AF587A" w:rsidP="00AF587A">
      <w:pPr>
        <w:pStyle w:val="VersoIngls01Sangria"/>
        <w:rPr>
          <w:sz w:val="16"/>
          <w:szCs w:val="20"/>
        </w:rPr>
      </w:pPr>
      <w:r w:rsidRPr="00365A1E">
        <w:rPr>
          <w:sz w:val="16"/>
          <w:szCs w:val="20"/>
        </w:rPr>
        <w:t xml:space="preserve">Como quien </w:t>
      </w:r>
      <w:r w:rsidR="00B54D19" w:rsidRPr="00365A1E">
        <w:rPr>
          <w:sz w:val="16"/>
          <w:szCs w:val="20"/>
        </w:rPr>
        <w:t xml:space="preserve">subiese </w:t>
      </w:r>
      <w:r w:rsidRPr="00365A1E">
        <w:rPr>
          <w:sz w:val="16"/>
          <w:szCs w:val="20"/>
        </w:rPr>
        <w:t xml:space="preserve">a un pico </w:t>
      </w:r>
      <w:r w:rsidR="00B54D19" w:rsidRPr="00365A1E">
        <w:rPr>
          <w:sz w:val="16"/>
          <w:szCs w:val="20"/>
        </w:rPr>
        <w:t>a cielo abierto</w:t>
      </w:r>
    </w:p>
    <w:p w14:paraId="2A866DD2" w14:textId="2BDB29BD" w:rsidR="00AF587A" w:rsidRPr="00365A1E" w:rsidRDefault="000645D2" w:rsidP="00AF587A">
      <w:pPr>
        <w:pStyle w:val="VersoIngls01Sangria"/>
        <w:rPr>
          <w:sz w:val="16"/>
          <w:szCs w:val="20"/>
        </w:rPr>
      </w:pPr>
      <w:r>
        <w:rPr>
          <w:sz w:val="16"/>
          <w:szCs w:val="20"/>
        </w:rPr>
        <w:t>Yacería</w:t>
      </w:r>
      <w:r w:rsidR="00AF587A" w:rsidRPr="00365A1E">
        <w:rPr>
          <w:sz w:val="16"/>
          <w:szCs w:val="20"/>
        </w:rPr>
        <w:t xml:space="preserve"> </w:t>
      </w:r>
      <w:r>
        <w:rPr>
          <w:sz w:val="16"/>
          <w:szCs w:val="20"/>
        </w:rPr>
        <w:t>sobre</w:t>
      </w:r>
      <w:r w:rsidR="00AF587A" w:rsidRPr="00365A1E">
        <w:rPr>
          <w:sz w:val="16"/>
          <w:szCs w:val="20"/>
        </w:rPr>
        <w:t xml:space="preserve"> la cima de la montaña,</w:t>
      </w:r>
    </w:p>
    <w:p w14:paraId="022FD3E8" w14:textId="353F3118" w:rsidR="00AF587A" w:rsidRPr="00365A1E" w:rsidRDefault="00AF587A" w:rsidP="00AF587A">
      <w:pPr>
        <w:pStyle w:val="VersoIngls01Sangria"/>
        <w:rPr>
          <w:sz w:val="16"/>
          <w:szCs w:val="20"/>
        </w:rPr>
      </w:pPr>
      <w:r w:rsidRPr="00365A1E">
        <w:rPr>
          <w:sz w:val="16"/>
          <w:szCs w:val="20"/>
        </w:rPr>
        <w:t>Como quien se para</w:t>
      </w:r>
      <w:r w:rsidR="002354C6" w:rsidRPr="00365A1E">
        <w:rPr>
          <w:sz w:val="16"/>
          <w:szCs w:val="20"/>
        </w:rPr>
        <w:t>se</w:t>
      </w:r>
      <w:r w:rsidRPr="00365A1E">
        <w:rPr>
          <w:sz w:val="16"/>
          <w:szCs w:val="20"/>
        </w:rPr>
        <w:t xml:space="preserve"> al borde de un peñasco</w:t>
      </w:r>
    </w:p>
    <w:p w14:paraId="7FE10ABF" w14:textId="020D6A21" w:rsidR="00AF587A" w:rsidRPr="00365A1E" w:rsidRDefault="000645D2" w:rsidP="00AF587A">
      <w:pPr>
        <w:pStyle w:val="VersoIngls01Sangria"/>
        <w:rPr>
          <w:sz w:val="16"/>
          <w:szCs w:val="20"/>
        </w:rPr>
      </w:pPr>
      <w:r>
        <w:rPr>
          <w:sz w:val="16"/>
          <w:szCs w:val="20"/>
        </w:rPr>
        <w:t>Yacería</w:t>
      </w:r>
      <w:r w:rsidR="00AF587A" w:rsidRPr="00365A1E">
        <w:rPr>
          <w:sz w:val="16"/>
          <w:szCs w:val="20"/>
        </w:rPr>
        <w:t xml:space="preserve"> </w:t>
      </w:r>
      <w:r w:rsidR="00E6118C" w:rsidRPr="00365A1E">
        <w:rPr>
          <w:sz w:val="16"/>
          <w:szCs w:val="20"/>
        </w:rPr>
        <w:t xml:space="preserve">sobre </w:t>
      </w:r>
      <w:r w:rsidR="00AF587A" w:rsidRPr="00365A1E">
        <w:rPr>
          <w:sz w:val="16"/>
          <w:szCs w:val="20"/>
        </w:rPr>
        <w:t>sus propias rodillas—</w:t>
      </w:r>
    </w:p>
    <w:p w14:paraId="77664CAD" w14:textId="3EE328FC" w:rsidR="00AF587A" w:rsidRPr="00365A1E" w:rsidRDefault="00AF587A" w:rsidP="00AF587A">
      <w:pPr>
        <w:pStyle w:val="VersoIngls01Sangria"/>
        <w:rPr>
          <w:sz w:val="16"/>
          <w:szCs w:val="20"/>
        </w:rPr>
      </w:pPr>
      <w:r w:rsidRPr="00365A1E">
        <w:rPr>
          <w:sz w:val="16"/>
          <w:szCs w:val="20"/>
        </w:rPr>
        <w:t xml:space="preserve">Cada </w:t>
      </w:r>
      <w:proofErr w:type="spellStart"/>
      <w:r w:rsidR="00057BF4" w:rsidRPr="00365A1E">
        <w:rPr>
          <w:i/>
          <w:sz w:val="16"/>
          <w:szCs w:val="20"/>
        </w:rPr>
        <w:t>jhāna</w:t>
      </w:r>
      <w:proofErr w:type="spellEnd"/>
      <w:r w:rsidRPr="00365A1E">
        <w:rPr>
          <w:sz w:val="16"/>
          <w:szCs w:val="20"/>
        </w:rPr>
        <w:t xml:space="preserve"> descansa</w:t>
      </w:r>
      <w:r w:rsidR="002354C6" w:rsidRPr="00365A1E">
        <w:rPr>
          <w:sz w:val="16"/>
          <w:szCs w:val="20"/>
        </w:rPr>
        <w:t>rá</w:t>
      </w:r>
      <w:r w:rsidRPr="00365A1E">
        <w:rPr>
          <w:sz w:val="16"/>
          <w:szCs w:val="20"/>
        </w:rPr>
        <w:t xml:space="preserve"> sobre </w:t>
      </w:r>
      <w:r w:rsidR="00E6118C" w:rsidRPr="00365A1E">
        <w:rPr>
          <w:sz w:val="16"/>
          <w:szCs w:val="20"/>
        </w:rPr>
        <w:t xml:space="preserve">su </w:t>
      </w:r>
      <w:r w:rsidR="009C2DF8" w:rsidRPr="00365A1E">
        <w:rPr>
          <w:sz w:val="16"/>
          <w:szCs w:val="20"/>
        </w:rPr>
        <w:t>inferior</w:t>
      </w:r>
      <w:r w:rsidRPr="00365A1E">
        <w:rPr>
          <w:sz w:val="16"/>
          <w:szCs w:val="20"/>
        </w:rPr>
        <w:t>;</w:t>
      </w:r>
    </w:p>
    <w:p w14:paraId="2A989364" w14:textId="35F7A968" w:rsidR="00AF587A" w:rsidRPr="00365A1E" w:rsidRDefault="00AF587A" w:rsidP="00AF587A">
      <w:pPr>
        <w:pStyle w:val="VersoIngls01Sangria"/>
        <w:rPr>
          <w:sz w:val="16"/>
          <w:szCs w:val="20"/>
        </w:rPr>
      </w:pPr>
      <w:r w:rsidRPr="00365A1E">
        <w:rPr>
          <w:sz w:val="16"/>
          <w:szCs w:val="20"/>
        </w:rPr>
        <w:t xml:space="preserve">Porque así </w:t>
      </w:r>
      <w:r w:rsidR="009F3FDF">
        <w:rPr>
          <w:sz w:val="16"/>
          <w:szCs w:val="20"/>
        </w:rPr>
        <w:t xml:space="preserve">será </w:t>
      </w:r>
      <w:r w:rsidR="00E6118C" w:rsidRPr="00365A1E">
        <w:rPr>
          <w:sz w:val="16"/>
          <w:szCs w:val="20"/>
        </w:rPr>
        <w:t xml:space="preserve">su naturaleza en </w:t>
      </w:r>
      <w:r w:rsidRPr="00365A1E">
        <w:rPr>
          <w:sz w:val="16"/>
          <w:szCs w:val="20"/>
        </w:rPr>
        <w:t>cada uno de e</w:t>
      </w:r>
      <w:r w:rsidR="009C2DF8" w:rsidRPr="00365A1E">
        <w:rPr>
          <w:sz w:val="16"/>
          <w:szCs w:val="20"/>
        </w:rPr>
        <w:t>ll</w:t>
      </w:r>
      <w:r w:rsidRPr="00365A1E">
        <w:rPr>
          <w:sz w:val="16"/>
          <w:szCs w:val="20"/>
        </w:rPr>
        <w:t>os.</w:t>
      </w:r>
    </w:p>
    <w:p w14:paraId="3A5B37A0" w14:textId="77777777" w:rsidR="00AF587A" w:rsidRDefault="00AF587A" w:rsidP="00AF587A"/>
    <w:p w14:paraId="59F8719B" w14:textId="2D74A176" w:rsidR="00D7765D" w:rsidRDefault="009C2DF8" w:rsidP="00F851F0">
      <w:pPr>
        <w:ind w:left="708" w:right="1326"/>
      </w:pPr>
      <w:r>
        <w:t>Éste ha sido e</w:t>
      </w:r>
      <w:r w:rsidR="00AF587A">
        <w:t xml:space="preserve">l décimo capítulo llamado “La Descripción de los Estados Inmateriales” </w:t>
      </w:r>
      <w:r w:rsidR="00D515B5">
        <w:t>d</w:t>
      </w:r>
      <w:r w:rsidR="00AF587A">
        <w:t xml:space="preserve">el tratado sobre el Desarrollo de la Concentración </w:t>
      </w:r>
      <w:r>
        <w:t>d</w:t>
      </w:r>
      <w:r w:rsidR="00AF587A">
        <w:t xml:space="preserve">el </w:t>
      </w:r>
      <w:r w:rsidR="00F851F0" w:rsidRPr="00F851F0">
        <w:rPr>
          <w:i/>
          <w:iCs/>
        </w:rPr>
        <w:t>Sendero</w:t>
      </w:r>
      <w:r w:rsidR="00AF587A" w:rsidRPr="00F851F0">
        <w:rPr>
          <w:i/>
          <w:iCs/>
        </w:rPr>
        <w:t xml:space="preserve"> de la Purificación</w:t>
      </w:r>
      <w:r w:rsidR="00AF587A">
        <w:t xml:space="preserve"> </w:t>
      </w:r>
      <w:r w:rsidR="00132DD3">
        <w:t>compuesto para alegría de buenas personas.</w:t>
      </w:r>
    </w:p>
    <w:p w14:paraId="0F844995" w14:textId="77777777" w:rsidR="00D7765D" w:rsidRDefault="00D7765D" w:rsidP="00D7765D"/>
    <w:p w14:paraId="79CF464C" w14:textId="77777777" w:rsidR="00D7765D" w:rsidRDefault="00D7765D">
      <w:pPr>
        <w:tabs>
          <w:tab w:val="clear" w:pos="425"/>
        </w:tabs>
        <w:spacing w:after="160"/>
      </w:pPr>
      <w:r>
        <w:br w:type="page"/>
      </w:r>
    </w:p>
    <w:p w14:paraId="3521AD62" w14:textId="77777777" w:rsidR="00080CB3" w:rsidRDefault="00080CB3" w:rsidP="00D7765D"/>
    <w:p w14:paraId="71A23467" w14:textId="77777777" w:rsidR="001C4EAB" w:rsidRDefault="001C4EAB" w:rsidP="00D7765D"/>
    <w:p w14:paraId="4131BD6D" w14:textId="77777777" w:rsidR="00760EF2" w:rsidRDefault="00760EF2" w:rsidP="00D7765D"/>
    <w:p w14:paraId="367304E9" w14:textId="77777777" w:rsidR="00760EF2" w:rsidRDefault="00760EF2" w:rsidP="00D7765D"/>
    <w:p w14:paraId="37C58AE0" w14:textId="77777777" w:rsidR="00760EF2" w:rsidRDefault="00760EF2" w:rsidP="00D7765D"/>
    <w:p w14:paraId="764DC2F5" w14:textId="77777777" w:rsidR="00760EF2" w:rsidRDefault="00760EF2" w:rsidP="00D7765D"/>
    <w:p w14:paraId="2F53F51B" w14:textId="77777777" w:rsidR="00080CB3" w:rsidRDefault="00080CB3" w:rsidP="00D7765D"/>
    <w:p w14:paraId="3CF3450F" w14:textId="4E1657B9" w:rsidR="00080CB3" w:rsidRDefault="00080CB3" w:rsidP="00760EF2">
      <w:pPr>
        <w:pStyle w:val="Ttulo2"/>
        <w:jc w:val="center"/>
      </w:pPr>
      <w:r>
        <w:t xml:space="preserve">Capítulo </w:t>
      </w:r>
      <w:r w:rsidR="00E23C1F">
        <w:t>XI</w:t>
      </w:r>
      <w:r>
        <w:br/>
      </w:r>
      <w:r w:rsidR="00760EF2">
        <w:t>Concentración</w:t>
      </w:r>
      <w:r>
        <w:t>—</w:t>
      </w:r>
      <w:r w:rsidR="00760EF2">
        <w:t>Conclusión</w:t>
      </w:r>
      <w:r>
        <w:t>:</w:t>
      </w:r>
      <w:r w:rsidR="00760EF2">
        <w:t xml:space="preserve"> </w:t>
      </w:r>
      <w:r w:rsidR="00760EF2">
        <w:br/>
      </w:r>
      <w:r>
        <w:t>Nutri</w:t>
      </w:r>
      <w:r w:rsidR="00CE1CF1">
        <w:t>entes</w:t>
      </w:r>
      <w:r>
        <w:t xml:space="preserve"> y los elementos</w:t>
      </w:r>
    </w:p>
    <w:p w14:paraId="5BAD1335" w14:textId="77777777" w:rsidR="00080CB3" w:rsidRDefault="00080CB3" w:rsidP="00080CB3"/>
    <w:p w14:paraId="37A6D7EE" w14:textId="11082835" w:rsidR="00760EF2" w:rsidRDefault="00080CB3" w:rsidP="00D42876">
      <w:pPr>
        <w:jc w:val="center"/>
      </w:pPr>
      <w:r w:rsidRPr="00760EF2">
        <w:rPr>
          <w:sz w:val="22"/>
          <w:szCs w:val="28"/>
        </w:rPr>
        <w:t>(</w:t>
      </w:r>
      <w:r w:rsidR="002B417F">
        <w:rPr>
          <w:i/>
          <w:iCs/>
          <w:sz w:val="22"/>
          <w:szCs w:val="28"/>
        </w:rPr>
        <w:t>Samādhi</w:t>
      </w:r>
      <w:r w:rsidRPr="00760EF2">
        <w:rPr>
          <w:i/>
          <w:iCs/>
          <w:sz w:val="22"/>
          <w:szCs w:val="28"/>
        </w:rPr>
        <w:t>-</w:t>
      </w:r>
      <w:proofErr w:type="spellStart"/>
      <w:r w:rsidRPr="00760EF2">
        <w:rPr>
          <w:i/>
          <w:iCs/>
          <w:sz w:val="22"/>
          <w:szCs w:val="28"/>
        </w:rPr>
        <w:t>niddesa</w:t>
      </w:r>
      <w:proofErr w:type="spellEnd"/>
      <w:r w:rsidRPr="00760EF2">
        <w:rPr>
          <w:sz w:val="22"/>
          <w:szCs w:val="28"/>
        </w:rPr>
        <w:t>)</w:t>
      </w:r>
    </w:p>
    <w:p w14:paraId="7B81FCA6" w14:textId="758DAB8D" w:rsidR="00080CB3" w:rsidRDefault="00760EF2" w:rsidP="00760EF2">
      <w:pPr>
        <w:pStyle w:val="Ttulo3"/>
        <w:ind w:left="708"/>
      </w:pPr>
      <w:r>
        <w:t xml:space="preserve">[Percepción de Repulsividad </w:t>
      </w:r>
      <w:r w:rsidR="00D02E39">
        <w:t>Hacia</w:t>
      </w:r>
      <w:r>
        <w:t xml:space="preserve"> </w:t>
      </w:r>
      <w:r w:rsidR="00CE1CF1">
        <w:t xml:space="preserve">los </w:t>
      </w:r>
      <w:r>
        <w:t>Nutri</w:t>
      </w:r>
      <w:r w:rsidR="00CE1CF1">
        <w:t>entes</w:t>
      </w:r>
      <w:r>
        <w:t>]</w:t>
      </w:r>
    </w:p>
    <w:p w14:paraId="44C66098" w14:textId="4ED24337" w:rsidR="00080CB3" w:rsidRDefault="00080CB3" w:rsidP="00080CB3">
      <w:r>
        <w:t xml:space="preserve">1. </w:t>
      </w:r>
      <w:r w:rsidR="00760EF2">
        <w:tab/>
      </w:r>
      <w:r>
        <w:t xml:space="preserve">[341] Ahora viene la descripción del desarrollo de la percepción </w:t>
      </w:r>
      <w:r w:rsidR="00D02E39">
        <w:t>sobre</w:t>
      </w:r>
      <w:r>
        <w:t xml:space="preserve"> </w:t>
      </w:r>
      <w:r w:rsidR="00A10AED">
        <w:t xml:space="preserve">la </w:t>
      </w:r>
      <w:r>
        <w:t xml:space="preserve">repulsión </w:t>
      </w:r>
      <w:r w:rsidR="00D02E39">
        <w:t xml:space="preserve">hacia </w:t>
      </w:r>
      <w:r>
        <w:t xml:space="preserve">el </w:t>
      </w:r>
      <w:r w:rsidR="00EC5F29" w:rsidRPr="00EC5F29">
        <w:t>nutrimento</w:t>
      </w:r>
      <w:r>
        <w:t xml:space="preserve">, que se </w:t>
      </w:r>
      <w:r w:rsidR="00C5404E">
        <w:t>describió</w:t>
      </w:r>
      <w:r>
        <w:t xml:space="preserve"> como </w:t>
      </w:r>
      <w:r w:rsidR="00A10AED">
        <w:t>un</w:t>
      </w:r>
      <w:r>
        <w:t>a “percepción única”</w:t>
      </w:r>
      <w:r w:rsidRPr="00984CD1">
        <w:rPr>
          <w:vertAlign w:val="superscript"/>
        </w:rPr>
        <w:t>1</w:t>
      </w:r>
      <w:r>
        <w:t xml:space="preserve"> junto a los estados inmateriales (III.105).</w:t>
      </w:r>
    </w:p>
    <w:p w14:paraId="09747D77" w14:textId="499CD779" w:rsidR="00080CB3" w:rsidRDefault="00A10AED" w:rsidP="00824250">
      <w:pPr>
        <w:pStyle w:val="NormalConSangria"/>
      </w:pPr>
      <w:r>
        <w:t>Al respecto</w:t>
      </w:r>
      <w:r w:rsidR="00080CB3">
        <w:t xml:space="preserve">, </w:t>
      </w:r>
      <w:r>
        <w:t>e</w:t>
      </w:r>
      <w:r w:rsidR="00824250">
        <w:t>ll</w:t>
      </w:r>
      <w:r>
        <w:t xml:space="preserve">o </w:t>
      </w:r>
      <w:r w:rsidR="00080CB3">
        <w:t>nutre (</w:t>
      </w:r>
      <w:proofErr w:type="spellStart"/>
      <w:r w:rsidR="00080CB3" w:rsidRPr="00984CD1">
        <w:rPr>
          <w:i/>
          <w:iCs/>
        </w:rPr>
        <w:t>āharati</w:t>
      </w:r>
      <w:proofErr w:type="spellEnd"/>
      <w:r w:rsidR="00080CB3">
        <w:t xml:space="preserve">, </w:t>
      </w:r>
      <w:proofErr w:type="spellStart"/>
      <w:r w:rsidR="00080CB3">
        <w:t>lit.</w:t>
      </w:r>
      <w:proofErr w:type="spellEnd"/>
      <w:r w:rsidR="00080CB3">
        <w:t xml:space="preserve"> “provoca”), </w:t>
      </w:r>
      <w:r w:rsidR="0068311D">
        <w:t>es así c</w:t>
      </w:r>
      <w:r w:rsidR="00824250">
        <w:t>ó</w:t>
      </w:r>
      <w:r w:rsidR="0068311D">
        <w:t xml:space="preserve">mo </w:t>
      </w:r>
      <w:r w:rsidR="00824250">
        <w:t>se connota</w:t>
      </w:r>
      <w:r w:rsidR="0068311D">
        <w:t xml:space="preserve"> </w:t>
      </w:r>
      <w:r w:rsidR="00A706A4">
        <w:t xml:space="preserve">a </w:t>
      </w:r>
      <w:r w:rsidR="0068311D">
        <w:t xml:space="preserve">un </w:t>
      </w:r>
      <w:r w:rsidR="00080CB3">
        <w:t>nutri</w:t>
      </w:r>
      <w:r w:rsidR="008C33CB">
        <w:t>mento</w:t>
      </w:r>
      <w:r w:rsidR="0068311D">
        <w:t xml:space="preserve"> </w:t>
      </w:r>
      <w:r w:rsidR="00080CB3">
        <w:t>(</w:t>
      </w:r>
      <w:proofErr w:type="spellStart"/>
      <w:r w:rsidR="00080CB3" w:rsidRPr="00984CD1">
        <w:rPr>
          <w:i/>
          <w:iCs/>
        </w:rPr>
        <w:t>āhāra</w:t>
      </w:r>
      <w:proofErr w:type="spellEnd"/>
      <w:r w:rsidR="00080CB3">
        <w:t xml:space="preserve">, </w:t>
      </w:r>
      <w:proofErr w:type="spellStart"/>
      <w:r w:rsidR="00080CB3">
        <w:t>lit.</w:t>
      </w:r>
      <w:proofErr w:type="spellEnd"/>
      <w:r w:rsidR="00080CB3">
        <w:t xml:space="preserve"> “</w:t>
      </w:r>
      <w:r w:rsidR="00232653">
        <w:t>produce</w:t>
      </w:r>
      <w:r w:rsidR="00080CB3">
        <w:t xml:space="preserve">”). </w:t>
      </w:r>
      <w:proofErr w:type="gramStart"/>
      <w:r w:rsidR="000343D8">
        <w:t>Éste</w:t>
      </w:r>
      <w:proofErr w:type="gramEnd"/>
      <w:r w:rsidR="000343D8">
        <w:t xml:space="preserve"> </w:t>
      </w:r>
      <w:r w:rsidR="008C33CB">
        <w:t xml:space="preserve">nutrimento </w:t>
      </w:r>
      <w:r w:rsidR="00232653">
        <w:t xml:space="preserve">puede ser </w:t>
      </w:r>
      <w:r w:rsidR="00080CB3">
        <w:t xml:space="preserve">de cuatro tipos: </w:t>
      </w:r>
      <w:r w:rsidR="00AF34A3">
        <w:t>un</w:t>
      </w:r>
      <w:r w:rsidR="000343D8">
        <w:t xml:space="preserve"> </w:t>
      </w:r>
      <w:r w:rsidR="008C33CB">
        <w:t xml:space="preserve">nutrimento </w:t>
      </w:r>
      <w:r w:rsidR="00080CB3">
        <w:t xml:space="preserve">físico, </w:t>
      </w:r>
      <w:r w:rsidR="00AF34A3">
        <w:t xml:space="preserve">un </w:t>
      </w:r>
      <w:r w:rsidR="008C33CB">
        <w:t xml:space="preserve">nutrimento </w:t>
      </w:r>
      <w:r w:rsidR="00080CB3">
        <w:t>consiste</w:t>
      </w:r>
      <w:r w:rsidR="000343D8">
        <w:t>nte</w:t>
      </w:r>
      <w:r w:rsidR="00080CB3">
        <w:t xml:space="preserve"> </w:t>
      </w:r>
      <w:r w:rsidR="000343D8">
        <w:t xml:space="preserve">del </w:t>
      </w:r>
      <w:r w:rsidR="00080CB3">
        <w:t xml:space="preserve">contacto, </w:t>
      </w:r>
      <w:r w:rsidR="00AF34A3">
        <w:t xml:space="preserve">un </w:t>
      </w:r>
      <w:r w:rsidR="008C33CB">
        <w:t xml:space="preserve">nutrimento </w:t>
      </w:r>
      <w:r w:rsidR="00080CB3">
        <w:t>consiste</w:t>
      </w:r>
      <w:r w:rsidR="000343D8">
        <w:t>nte de la</w:t>
      </w:r>
      <w:r w:rsidR="00080CB3">
        <w:t xml:space="preserve"> volición mental y </w:t>
      </w:r>
      <w:r w:rsidR="00AF34A3">
        <w:t xml:space="preserve">un </w:t>
      </w:r>
      <w:r w:rsidR="008C33CB">
        <w:t xml:space="preserve">nutrimento </w:t>
      </w:r>
      <w:r w:rsidR="00080CB3">
        <w:t>consiste</w:t>
      </w:r>
      <w:r w:rsidR="000343D8">
        <w:t>nte</w:t>
      </w:r>
      <w:r w:rsidR="00080CB3">
        <w:t xml:space="preserve"> </w:t>
      </w:r>
      <w:r w:rsidR="000343D8">
        <w:t xml:space="preserve">de la </w:t>
      </w:r>
      <w:r w:rsidR="00080CB3">
        <w:t>con</w:t>
      </w:r>
      <w:r w:rsidR="000D6364">
        <w:t>s</w:t>
      </w:r>
      <w:r w:rsidR="00080CB3">
        <w:t>ciencia.</w:t>
      </w:r>
      <w:r w:rsidR="00080CB3" w:rsidRPr="00984CD1">
        <w:rPr>
          <w:vertAlign w:val="superscript"/>
        </w:rPr>
        <w:t>2</w:t>
      </w:r>
    </w:p>
    <w:p w14:paraId="42BEE361" w14:textId="77777777" w:rsidR="00080CB3" w:rsidRDefault="00080CB3" w:rsidP="00080CB3">
      <w:pPr>
        <w:pStyle w:val="PiedepginaLegal"/>
        <w:rPr>
          <w:u w:val="single"/>
        </w:rPr>
      </w:pPr>
      <w:r>
        <w:rPr>
          <w:u w:val="single"/>
        </w:rPr>
        <w:tab/>
      </w:r>
      <w:r>
        <w:rPr>
          <w:u w:val="single"/>
        </w:rPr>
        <w:tab/>
      </w:r>
      <w:r>
        <w:rPr>
          <w:u w:val="single"/>
        </w:rPr>
        <w:tab/>
      </w:r>
      <w:r>
        <w:rPr>
          <w:u w:val="single"/>
        </w:rPr>
        <w:tab/>
      </w:r>
    </w:p>
    <w:p w14:paraId="7F556F28" w14:textId="2C525BA4" w:rsidR="00080CB3" w:rsidRDefault="00080CB3" w:rsidP="00080CB3">
      <w:pPr>
        <w:pStyle w:val="PiedepginaLegal"/>
      </w:pPr>
      <w:r>
        <w:t xml:space="preserve">1. </w:t>
      </w:r>
      <w:r>
        <w:tab/>
        <w:t>“La palabra 'percepción' (</w:t>
      </w:r>
      <w:proofErr w:type="spellStart"/>
      <w:r w:rsidR="00057BF4" w:rsidRPr="00057BF4">
        <w:rPr>
          <w:i/>
          <w:iCs/>
        </w:rPr>
        <w:t>saññā</w:t>
      </w:r>
      <w:proofErr w:type="spellEnd"/>
      <w:r>
        <w:t>) se usa p</w:t>
      </w:r>
      <w:r w:rsidR="00293860">
        <w:t>ara</w:t>
      </w:r>
      <w:r>
        <w:t xml:space="preserve"> el </w:t>
      </w:r>
      <w:r w:rsidR="00374F6C" w:rsidRPr="00057BF4">
        <w:rPr>
          <w:i/>
        </w:rPr>
        <w:t>dhamma</w:t>
      </w:r>
      <w:r w:rsidR="00374F6C">
        <w:t xml:space="preserve"> </w:t>
      </w:r>
      <w:r>
        <w:t>con la característica de percibir (</w:t>
      </w:r>
      <w:proofErr w:type="spellStart"/>
      <w:r w:rsidRPr="00984CD1">
        <w:rPr>
          <w:i/>
          <w:iCs/>
        </w:rPr>
        <w:t>sañjānana</w:t>
      </w:r>
      <w:proofErr w:type="spellEnd"/>
      <w:r>
        <w:t>), como en el caso de</w:t>
      </w:r>
      <w:r w:rsidR="005D2264">
        <w:t xml:space="preserve"> </w:t>
      </w:r>
      <w:r w:rsidR="00293860">
        <w:t xml:space="preserve">la </w:t>
      </w:r>
      <w:r w:rsidRPr="00984CD1">
        <w:t>'percepción</w:t>
      </w:r>
      <w:r>
        <w:t xml:space="preserve"> de </w:t>
      </w:r>
      <w:r w:rsidR="00F84C78">
        <w:t xml:space="preserve">los </w:t>
      </w:r>
      <w:r>
        <w:t xml:space="preserve">objetos visibles', </w:t>
      </w:r>
      <w:r w:rsidR="00293860">
        <w:t xml:space="preserve">la </w:t>
      </w:r>
      <w:r>
        <w:t>'percepción de</w:t>
      </w:r>
      <w:r w:rsidR="00F84C78">
        <w:t>l</w:t>
      </w:r>
      <w:r>
        <w:t xml:space="preserve"> sonido', etc.; y </w:t>
      </w:r>
      <w:r w:rsidR="00F84C78">
        <w:t xml:space="preserve">también </w:t>
      </w:r>
      <w:r>
        <w:t xml:space="preserve">se usa para </w:t>
      </w:r>
      <w:r w:rsidR="005D2264">
        <w:t xml:space="preserve">la </w:t>
      </w:r>
      <w:r w:rsidR="00A47DEC">
        <w:t>sabiduría–revelativa</w:t>
      </w:r>
      <w:r>
        <w:t xml:space="preserve">, como en el caso de </w:t>
      </w:r>
      <w:r w:rsidR="005D2264">
        <w:t xml:space="preserve">la </w:t>
      </w:r>
      <w:r>
        <w:t xml:space="preserve">'percepción de </w:t>
      </w:r>
      <w:r w:rsidR="00F84C78">
        <w:t xml:space="preserve">la </w:t>
      </w:r>
      <w:r>
        <w:t xml:space="preserve">impermanencia', </w:t>
      </w:r>
      <w:r w:rsidR="005D2264">
        <w:t xml:space="preserve">la </w:t>
      </w:r>
      <w:r>
        <w:t>'percepción de</w:t>
      </w:r>
      <w:r w:rsidR="00F84C78">
        <w:t>l</w:t>
      </w:r>
      <w:r>
        <w:t xml:space="preserve"> sufrimiento', etc.; y se usa para </w:t>
      </w:r>
      <w:r w:rsidR="005D2264">
        <w:t xml:space="preserve">la </w:t>
      </w:r>
      <w:r>
        <w:t>serenidad, como en el pasaje, '</w:t>
      </w:r>
      <w:r w:rsidR="005E7B47">
        <w:t>La p</w:t>
      </w:r>
      <w:r>
        <w:t xml:space="preserve">ercepción de lo hinchado y </w:t>
      </w:r>
      <w:r w:rsidR="005E7B47">
        <w:t xml:space="preserve">la </w:t>
      </w:r>
      <w:r>
        <w:t xml:space="preserve">percepción de objetos visibles, ¿tienen estos un significado o significados diferentes, </w:t>
      </w:r>
      <w:proofErr w:type="spellStart"/>
      <w:r w:rsidRPr="005E7B47">
        <w:t>Sop</w:t>
      </w:r>
      <w:r w:rsidR="00984CD1" w:rsidRPr="005E7B47">
        <w:t>ā</w:t>
      </w:r>
      <w:r w:rsidRPr="005E7B47">
        <w:t>ka</w:t>
      </w:r>
      <w:proofErr w:type="spellEnd"/>
      <w:r>
        <w:t>?' (Fuente no rastreada. Cf. III.</w:t>
      </w:r>
      <w:r w:rsidR="00F84C78">
        <w:t xml:space="preserve"> </w:t>
      </w:r>
      <w:r>
        <w:t>111), y así sucesivamente. Aquí, sin embargo, debe</w:t>
      </w:r>
      <w:r w:rsidR="005E7B47">
        <w:t>rá</w:t>
      </w:r>
      <w:r>
        <w:t xml:space="preserve"> entenderse como el trabajo preliminar para la serenidad; porque </w:t>
      </w:r>
      <w:r w:rsidR="005E7B47">
        <w:t xml:space="preserve">será </w:t>
      </w:r>
      <w:r>
        <w:t xml:space="preserve">la aprehensión del aspecto repulsivo </w:t>
      </w:r>
      <w:r w:rsidR="00F84C78">
        <w:t>d</w:t>
      </w:r>
      <w:r>
        <w:t xml:space="preserve">el alimento, o el </w:t>
      </w:r>
      <w:proofErr w:type="spellStart"/>
      <w:r w:rsidR="00057BF4" w:rsidRPr="00057BF4">
        <w:rPr>
          <w:i/>
        </w:rPr>
        <w:t>jhāna</w:t>
      </w:r>
      <w:proofErr w:type="spellEnd"/>
      <w:r>
        <w:t xml:space="preserve"> de acceso producido por medio de e</w:t>
      </w:r>
      <w:r w:rsidR="00F84C78">
        <w:t>ll</w:t>
      </w:r>
      <w:r>
        <w:t xml:space="preserve">o, lo que se pretende aquí con ‘percepción de repulsión </w:t>
      </w:r>
      <w:r w:rsidR="005E7B47">
        <w:t>d</w:t>
      </w:r>
      <w:r>
        <w:t>el alimento’” (</w:t>
      </w:r>
      <w:proofErr w:type="spellStart"/>
      <w:r>
        <w:t>Vism-mhþ</w:t>
      </w:r>
      <w:proofErr w:type="spellEnd"/>
      <w:r>
        <w:t xml:space="preserve"> 334–35).</w:t>
      </w:r>
    </w:p>
    <w:p w14:paraId="0DC1D0CD" w14:textId="4A216979" w:rsidR="0023508D" w:rsidRDefault="00080CB3" w:rsidP="00080CB3">
      <w:pPr>
        <w:pStyle w:val="PiedepginaLegal"/>
      </w:pPr>
      <w:r>
        <w:t xml:space="preserve">2. </w:t>
      </w:r>
      <w:r>
        <w:tab/>
        <w:t xml:space="preserve">En </w:t>
      </w:r>
      <w:r w:rsidR="00A665A8">
        <w:t xml:space="preserve">el </w:t>
      </w:r>
      <w:r>
        <w:t xml:space="preserve">M-a I 107ff se da una exposición más detallada </w:t>
      </w:r>
      <w:r w:rsidR="00B4725C">
        <w:t>sobre</w:t>
      </w:r>
      <w:r>
        <w:t xml:space="preserve"> los nutrientes. “‘</w:t>
      </w:r>
      <w:r w:rsidR="00B4725C">
        <w:t>ello n</w:t>
      </w:r>
      <w:r>
        <w:t>utre’ (</w:t>
      </w:r>
      <w:proofErr w:type="spellStart"/>
      <w:r w:rsidRPr="00984CD1">
        <w:rPr>
          <w:i/>
          <w:iCs/>
        </w:rPr>
        <w:t>āharati</w:t>
      </w:r>
      <w:proofErr w:type="spellEnd"/>
      <w:r>
        <w:t xml:space="preserve">)”: el significado es que conduce, </w:t>
      </w:r>
      <w:r w:rsidR="00115847">
        <w:t>conlleva</w:t>
      </w:r>
      <w:r>
        <w:t xml:space="preserve">, produce, su propio fruto a través de su estado como condición para el surgimiento o presencia del fruto, </w:t>
      </w:r>
      <w:r w:rsidR="00115847">
        <w:t xml:space="preserve">a </w:t>
      </w:r>
      <w:r>
        <w:t xml:space="preserve">cuyo estado se </w:t>
      </w:r>
      <w:r w:rsidR="00115847">
        <w:t xml:space="preserve">le </w:t>
      </w:r>
      <w:r>
        <w:t>llama “condición nutritiva”. Se convierte en un bocado (</w:t>
      </w:r>
      <w:proofErr w:type="spellStart"/>
      <w:r w:rsidRPr="00984CD1">
        <w:rPr>
          <w:i/>
          <w:iCs/>
        </w:rPr>
        <w:t>kabalaṃ</w:t>
      </w:r>
      <w:proofErr w:type="spellEnd"/>
      <w:r w:rsidRPr="00984CD1">
        <w:rPr>
          <w:i/>
          <w:iCs/>
        </w:rPr>
        <w:t xml:space="preserve"> </w:t>
      </w:r>
      <w:proofErr w:type="spellStart"/>
      <w:r w:rsidRPr="00984CD1">
        <w:rPr>
          <w:i/>
          <w:iCs/>
        </w:rPr>
        <w:t>karīyati</w:t>
      </w:r>
      <w:proofErr w:type="spellEnd"/>
      <w:r>
        <w:t>), por lo que es físico (</w:t>
      </w:r>
      <w:proofErr w:type="spellStart"/>
      <w:r w:rsidRPr="00984CD1">
        <w:rPr>
          <w:i/>
          <w:iCs/>
        </w:rPr>
        <w:t>kabaliṅkāra</w:t>
      </w:r>
      <w:proofErr w:type="spellEnd"/>
      <w:r>
        <w:t xml:space="preserve">). De esta forma obtiene su designación del objeto concreto; pero en cuanto a </w:t>
      </w:r>
      <w:r w:rsidR="00DD1181">
        <w:t xml:space="preserve">la </w:t>
      </w:r>
      <w:r>
        <w:t>característica, debe</w:t>
      </w:r>
      <w:r w:rsidR="00DD1181">
        <w:t>rá</w:t>
      </w:r>
      <w:r>
        <w:t xml:space="preserve"> entenderse que tiene la característica de </w:t>
      </w:r>
      <w:r w:rsidR="00DD1181">
        <w:t xml:space="preserve">la </w:t>
      </w:r>
      <w:r>
        <w:t>esencia nutritiva (</w:t>
      </w:r>
      <w:proofErr w:type="spellStart"/>
      <w:r w:rsidRPr="00DD1181">
        <w:rPr>
          <w:i/>
          <w:iCs/>
        </w:rPr>
        <w:t>ojā</w:t>
      </w:r>
      <w:proofErr w:type="spellEnd"/>
      <w:r>
        <w:t xml:space="preserve">). Es físico y es alimento en el sentido expresado, por </w:t>
      </w:r>
      <w:r w:rsidR="00DD1181">
        <w:t xml:space="preserve">lo </w:t>
      </w:r>
      <w:r>
        <w:t>tanto es</w:t>
      </w:r>
      <w:r w:rsidR="00DD1181">
        <w:t xml:space="preserve"> un</w:t>
      </w:r>
      <w:r>
        <w:t xml:space="preserve"> alimento físico; </w:t>
      </w:r>
      <w:r w:rsidR="00DD1181">
        <w:t xml:space="preserve">y </w:t>
      </w:r>
      <w:r>
        <w:t xml:space="preserve">así con el resto. </w:t>
      </w:r>
      <w:r w:rsidR="00DD1181">
        <w:t>Hace contacto</w:t>
      </w:r>
      <w:r>
        <w:t xml:space="preserve"> (</w:t>
      </w:r>
      <w:proofErr w:type="spellStart"/>
      <w:r w:rsidRPr="00984CD1">
        <w:rPr>
          <w:i/>
          <w:iCs/>
        </w:rPr>
        <w:t>phusati</w:t>
      </w:r>
      <w:proofErr w:type="spellEnd"/>
      <w:r>
        <w:t xml:space="preserve">), por lo tanto es </w:t>
      </w:r>
      <w:r w:rsidR="00DD1181">
        <w:t xml:space="preserve">un </w:t>
      </w:r>
      <w:r>
        <w:t>contacto (</w:t>
      </w:r>
      <w:proofErr w:type="spellStart"/>
      <w:r w:rsidRPr="00984CD1">
        <w:rPr>
          <w:i/>
          <w:iCs/>
        </w:rPr>
        <w:t>phassa</w:t>
      </w:r>
      <w:proofErr w:type="spellEnd"/>
      <w:r>
        <w:t xml:space="preserve">); pues aunque este </w:t>
      </w:r>
      <w:r w:rsidR="00DD1181">
        <w:t>sea</w:t>
      </w:r>
      <w:r>
        <w:t xml:space="preserve"> un estado inmaterial, también ocurr</w:t>
      </w:r>
      <w:r w:rsidR="00DD1181">
        <w:t>irá</w:t>
      </w:r>
      <w:r>
        <w:t xml:space="preserve"> como el aspecto de </w:t>
      </w:r>
      <w:r w:rsidR="00DD1181">
        <w:t>hacer contacto con</w:t>
      </w:r>
      <w:r>
        <w:t xml:space="preserve"> un objeto (</w:t>
      </w:r>
      <w:proofErr w:type="spellStart"/>
      <w:r w:rsidRPr="00984CD1">
        <w:rPr>
          <w:i/>
          <w:iCs/>
        </w:rPr>
        <w:t>ārammaṇa</w:t>
      </w:r>
      <w:proofErr w:type="spellEnd"/>
      <w:r>
        <w:t>—</w:t>
      </w:r>
      <w:proofErr w:type="spellStart"/>
      <w:r>
        <w:t>lit.</w:t>
      </w:r>
      <w:proofErr w:type="spellEnd"/>
      <w:r>
        <w:t xml:space="preserve"> “aquello en lo que se debe apoyar”), razón por la cual se dice que tiene la característica de </w:t>
      </w:r>
      <w:r w:rsidR="00582E43">
        <w:t>hacer contacto</w:t>
      </w:r>
      <w:r>
        <w:t xml:space="preserve">. </w:t>
      </w:r>
      <w:r w:rsidR="00A7084B">
        <w:t>Eso q</w:t>
      </w:r>
      <w:r>
        <w:t>uiere (</w:t>
      </w:r>
      <w:proofErr w:type="spellStart"/>
      <w:r w:rsidRPr="00984CD1">
        <w:rPr>
          <w:i/>
          <w:iCs/>
        </w:rPr>
        <w:t>cetayati</w:t>
      </w:r>
      <w:proofErr w:type="spellEnd"/>
      <w:r>
        <w:t xml:space="preserve">), por lo tanto es </w:t>
      </w:r>
      <w:r w:rsidR="00330E2F">
        <w:t xml:space="preserve">una </w:t>
      </w:r>
      <w:r>
        <w:t>volición (</w:t>
      </w:r>
      <w:proofErr w:type="spellStart"/>
      <w:r w:rsidRPr="00984CD1">
        <w:rPr>
          <w:i/>
          <w:iCs/>
        </w:rPr>
        <w:t>cetanā</w:t>
      </w:r>
      <w:proofErr w:type="spellEnd"/>
      <w:r>
        <w:t>); el significado es que se organiza (</w:t>
      </w:r>
      <w:r w:rsidR="00330E2F">
        <w:t>se colecta</w:t>
      </w:r>
      <w:r>
        <w:t xml:space="preserve">) junto con </w:t>
      </w:r>
      <w:r w:rsidR="00330E2F">
        <w:t xml:space="preserve">los </w:t>
      </w:r>
      <w:r>
        <w:t xml:space="preserve">estados asociados sobre el objeto. La volición mental es </w:t>
      </w:r>
      <w:r w:rsidR="00330E2F">
        <w:t xml:space="preserve">una </w:t>
      </w:r>
      <w:r>
        <w:t xml:space="preserve">volición ocupada con la mente. </w:t>
      </w:r>
      <w:r w:rsidR="00A7084B">
        <w:t>Eso c</w:t>
      </w:r>
      <w:r>
        <w:t>onoce (</w:t>
      </w:r>
      <w:proofErr w:type="spellStart"/>
      <w:r w:rsidRPr="00984CD1">
        <w:rPr>
          <w:i/>
          <w:iCs/>
        </w:rPr>
        <w:t>vijānāti</w:t>
      </w:r>
      <w:proofErr w:type="spellEnd"/>
      <w:r>
        <w:t xml:space="preserve">) al conjeturar sobre el renacimiento (ver XVII.303), por lo que es </w:t>
      </w:r>
      <w:r w:rsidR="00A7084B">
        <w:t xml:space="preserve">una </w:t>
      </w:r>
      <w:r w:rsidR="00305E12">
        <w:t>consciencia</w:t>
      </w:r>
      <w:r>
        <w:t xml:space="preserve"> (</w:t>
      </w:r>
      <w:r w:rsidR="00057BF4" w:rsidRPr="00057BF4">
        <w:rPr>
          <w:i/>
        </w:rPr>
        <w:t>viññāṇa</w:t>
      </w:r>
      <w:r>
        <w:t xml:space="preserve"> = cognición) (</w:t>
      </w:r>
      <w:proofErr w:type="spellStart"/>
      <w:r>
        <w:t>Vism-mhṭ</w:t>
      </w:r>
      <w:proofErr w:type="spellEnd"/>
      <w:r>
        <w:t xml:space="preserve"> 335).</w:t>
      </w:r>
    </w:p>
    <w:p w14:paraId="2FC90BC2" w14:textId="77777777" w:rsidR="00435967" w:rsidRDefault="0023508D" w:rsidP="00D70540">
      <w:pPr>
        <w:tabs>
          <w:tab w:val="clear" w:pos="425"/>
        </w:tabs>
        <w:spacing w:after="160"/>
      </w:pPr>
      <w:r>
        <w:br w:type="page"/>
      </w:r>
    </w:p>
    <w:p w14:paraId="553283B0" w14:textId="77777777" w:rsidR="00435967" w:rsidRDefault="00435967" w:rsidP="00D70540">
      <w:pPr>
        <w:tabs>
          <w:tab w:val="clear" w:pos="425"/>
        </w:tabs>
        <w:spacing w:after="160"/>
      </w:pPr>
    </w:p>
    <w:p w14:paraId="617B1537" w14:textId="142DCC15" w:rsidR="00A75B58" w:rsidRDefault="00A75B58" w:rsidP="00A75B58">
      <w:r>
        <w:t xml:space="preserve">2. </w:t>
      </w:r>
      <w:r>
        <w:tab/>
        <w:t xml:space="preserve">Pero </w:t>
      </w:r>
      <w:r w:rsidR="00984CD1">
        <w:t xml:space="preserve">¿qué </w:t>
      </w:r>
      <w:r w:rsidR="00E05FAE">
        <w:t>es lo</w:t>
      </w:r>
      <w:r w:rsidR="00984CD1">
        <w:t xml:space="preserve"> que nutr</w:t>
      </w:r>
      <w:r w:rsidR="00E05FAE">
        <w:t>e</w:t>
      </w:r>
      <w:r w:rsidR="00984CD1">
        <w:t xml:space="preserve"> (pro</w:t>
      </w:r>
      <w:r w:rsidR="00E05FAE">
        <w:t>duce</w:t>
      </w:r>
      <w:r w:rsidR="00984CD1">
        <w:t>)?</w:t>
      </w:r>
      <w:r>
        <w:t xml:space="preserve"> El </w:t>
      </w:r>
      <w:r w:rsidR="00E05FAE">
        <w:t xml:space="preserve">nutriente </w:t>
      </w:r>
      <w:r>
        <w:t>físico (</w:t>
      </w:r>
      <w:proofErr w:type="spellStart"/>
      <w:r w:rsidRPr="00984CD1">
        <w:rPr>
          <w:i/>
          <w:iCs/>
        </w:rPr>
        <w:t>kabaliṅkārāhāra</w:t>
      </w:r>
      <w:proofErr w:type="spellEnd"/>
      <w:r>
        <w:t>) nutre (pro</w:t>
      </w:r>
      <w:r w:rsidR="00246113">
        <w:t>duce</w:t>
      </w:r>
      <w:r>
        <w:t xml:space="preserve">) la materialidad de la </w:t>
      </w:r>
      <w:r w:rsidR="0079338F">
        <w:t>óctuplo</w:t>
      </w:r>
      <w:r>
        <w:t xml:space="preserve"> que </w:t>
      </w:r>
      <w:r w:rsidR="00FA6B4D">
        <w:t xml:space="preserve">posee </w:t>
      </w:r>
      <w:r w:rsidR="00A91688">
        <w:t xml:space="preserve">a la </w:t>
      </w:r>
      <w:r>
        <w:t>esencia nutri</w:t>
      </w:r>
      <w:r w:rsidR="0058481C">
        <w:t>ente</w:t>
      </w:r>
      <w:r>
        <w:t xml:space="preserve"> como octava:</w:t>
      </w:r>
      <w:r w:rsidRPr="00242188">
        <w:rPr>
          <w:vertAlign w:val="superscript"/>
        </w:rPr>
        <w:t>3</w:t>
      </w:r>
      <w:r>
        <w:t xml:space="preserve"> el contacto como nutri</w:t>
      </w:r>
      <w:r w:rsidR="00A91688">
        <w:t>ente</w:t>
      </w:r>
      <w:r>
        <w:t xml:space="preserve"> nutre (</w:t>
      </w:r>
      <w:r w:rsidR="00A91688">
        <w:t>produce</w:t>
      </w:r>
      <w:r>
        <w:t xml:space="preserve">) los tres tipos de </w:t>
      </w:r>
      <w:r w:rsidR="00A91688">
        <w:t>sensación</w:t>
      </w:r>
      <w:r>
        <w:t>; la volición mental como alimento nutre (pro</w:t>
      </w:r>
      <w:r w:rsidR="00A91688">
        <w:t>duce</w:t>
      </w:r>
      <w:r>
        <w:t xml:space="preserve">) </w:t>
      </w:r>
      <w:r w:rsidR="0095513E">
        <w:t xml:space="preserve">el </w:t>
      </w:r>
      <w:r w:rsidR="0095513E" w:rsidRPr="00C71EC8">
        <w:t>vín</w:t>
      </w:r>
      <w:r w:rsidR="0095513E">
        <w:t>culo</w:t>
      </w:r>
      <w:r w:rsidR="0095513E" w:rsidRPr="00C71EC8">
        <w:t>–</w:t>
      </w:r>
      <w:r w:rsidR="0095513E">
        <w:t>de</w:t>
      </w:r>
      <w:r w:rsidR="0095513E" w:rsidRPr="00C71EC8">
        <w:t>–</w:t>
      </w:r>
      <w:r w:rsidR="0095513E">
        <w:t>renacimiento</w:t>
      </w:r>
      <w:r>
        <w:t xml:space="preserve"> en los </w:t>
      </w:r>
      <w:r w:rsidR="0095513E">
        <w:t>3</w:t>
      </w:r>
      <w:r>
        <w:t xml:space="preserve"> tipos de devenir; la con</w:t>
      </w:r>
      <w:r w:rsidR="00A91688">
        <w:t>s</w:t>
      </w:r>
      <w:r>
        <w:t>ciencia como alimento nutre (pro</w:t>
      </w:r>
      <w:r w:rsidR="006A434F">
        <w:t>duce</w:t>
      </w:r>
      <w:r>
        <w:t xml:space="preserve">) </w:t>
      </w:r>
      <w:r w:rsidR="006A434F">
        <w:t xml:space="preserve">la </w:t>
      </w:r>
      <w:r>
        <w:t xml:space="preserve">mentalidad-materialidad en el momento del </w:t>
      </w:r>
      <w:r w:rsidR="006A434F">
        <w:t xml:space="preserve">vínculo del </w:t>
      </w:r>
      <w:r>
        <w:t>renacimiento.</w:t>
      </w:r>
    </w:p>
    <w:p w14:paraId="49E9CF13" w14:textId="191B38DC" w:rsidR="00A75B58" w:rsidRDefault="00A75B58" w:rsidP="00A75B58">
      <w:r>
        <w:t xml:space="preserve">3. </w:t>
      </w:r>
      <w:r>
        <w:tab/>
        <w:t>Ahora bien, cuando hay</w:t>
      </w:r>
      <w:r w:rsidR="002B0881">
        <w:t>a</w:t>
      </w:r>
      <w:r>
        <w:t xml:space="preserve"> alimento físico ha</w:t>
      </w:r>
      <w:r w:rsidR="002B0881">
        <w:t>brá</w:t>
      </w:r>
      <w:r>
        <w:t xml:space="preserve"> apego, </w:t>
      </w:r>
      <w:r w:rsidR="002B0881">
        <w:t xml:space="preserve">lo </w:t>
      </w:r>
      <w:r>
        <w:t xml:space="preserve">que </w:t>
      </w:r>
      <w:r w:rsidR="002B0881">
        <w:t xml:space="preserve">conllevará </w:t>
      </w:r>
      <w:r>
        <w:t>peligro; cuando hay</w:t>
      </w:r>
      <w:r w:rsidR="002B0881">
        <w:t>a</w:t>
      </w:r>
      <w:r>
        <w:t xml:space="preserve"> alimento como contacto se </w:t>
      </w:r>
      <w:r w:rsidR="000B4695">
        <w:t>aproximará</w:t>
      </w:r>
      <w:r>
        <w:t xml:space="preserve"> </w:t>
      </w:r>
      <w:r w:rsidR="001D5420">
        <w:t xml:space="preserve">a </w:t>
      </w:r>
      <w:r>
        <w:t xml:space="preserve">lo que </w:t>
      </w:r>
      <w:r w:rsidR="000B4695">
        <w:t>conlleve</w:t>
      </w:r>
      <w:r>
        <w:t xml:space="preserve"> peligro; cuando hay</w:t>
      </w:r>
      <w:r w:rsidR="002B0881">
        <w:t>a</w:t>
      </w:r>
      <w:r>
        <w:t xml:space="preserve"> alimento como volición mental ha</w:t>
      </w:r>
      <w:r w:rsidR="002B0881">
        <w:t>brá</w:t>
      </w:r>
      <w:r>
        <w:t xml:space="preserve"> vinculación con el renacimiento, lo que </w:t>
      </w:r>
      <w:r w:rsidR="00A04771">
        <w:t>conllevará</w:t>
      </w:r>
      <w:r>
        <w:t xml:space="preserve"> peligro.</w:t>
      </w:r>
      <w:r w:rsidRPr="00984CD1">
        <w:rPr>
          <w:vertAlign w:val="superscript"/>
        </w:rPr>
        <w:t>4</w:t>
      </w:r>
      <w:r>
        <w:t xml:space="preserve"> Y para </w:t>
      </w:r>
      <w:r w:rsidR="00A04771">
        <w:t>exponer</w:t>
      </w:r>
      <w:r>
        <w:t xml:space="preserve"> cómo </w:t>
      </w:r>
      <w:r w:rsidR="00A04771">
        <w:t xml:space="preserve">conducen </w:t>
      </w:r>
      <w:r>
        <w:t xml:space="preserve">así </w:t>
      </w:r>
      <w:r w:rsidR="002B0881">
        <w:t xml:space="preserve">al </w:t>
      </w:r>
      <w:r>
        <w:t>miedo, el alimento físico debe</w:t>
      </w:r>
      <w:r w:rsidR="001D5420">
        <w:t>rá</w:t>
      </w:r>
      <w:r>
        <w:t xml:space="preserve"> ser ilustrado por el símil de la carne del niño (S II 98)</w:t>
      </w:r>
      <w:r w:rsidR="00254FE5">
        <w:t>;</w:t>
      </w:r>
      <w:r>
        <w:t xml:space="preserve"> el contacto como alimento</w:t>
      </w:r>
      <w:r w:rsidR="00254FE5">
        <w:t>,</w:t>
      </w:r>
      <w:r>
        <w:t xml:space="preserve"> </w:t>
      </w:r>
      <w:r w:rsidR="00AF7D2B">
        <w:t xml:space="preserve">con </w:t>
      </w:r>
      <w:r>
        <w:t>el símil de la vaca sin piel (S II 99)</w:t>
      </w:r>
      <w:r w:rsidR="00254FE5">
        <w:t>;</w:t>
      </w:r>
      <w:r>
        <w:t xml:space="preserve"> la volición mental como alimento</w:t>
      </w:r>
      <w:r w:rsidR="00254FE5">
        <w:t>,</w:t>
      </w:r>
      <w:r>
        <w:t xml:space="preserve"> </w:t>
      </w:r>
      <w:r w:rsidR="00AF7D2B">
        <w:t xml:space="preserve">con </w:t>
      </w:r>
      <w:r>
        <w:t xml:space="preserve">el símil de la fosa de brasas </w:t>
      </w:r>
      <w:r w:rsidR="00254FE5">
        <w:t xml:space="preserve">ardientes </w:t>
      </w:r>
      <w:r>
        <w:t>(S II 99)</w:t>
      </w:r>
      <w:r w:rsidR="00254FE5">
        <w:t>;</w:t>
      </w:r>
      <w:r>
        <w:t xml:space="preserve"> y la con</w:t>
      </w:r>
      <w:r w:rsidR="00AF7D2B">
        <w:t>s</w:t>
      </w:r>
      <w:r>
        <w:t>ciencia como alimento</w:t>
      </w:r>
      <w:r w:rsidR="00254FE5">
        <w:t>,</w:t>
      </w:r>
      <w:r>
        <w:t xml:space="preserve"> </w:t>
      </w:r>
      <w:r w:rsidR="00AF7D2B">
        <w:t>con</w:t>
      </w:r>
      <w:r>
        <w:t xml:space="preserve"> el símil de las cien lanzas (S II 100).</w:t>
      </w:r>
    </w:p>
    <w:p w14:paraId="29B9DB8E" w14:textId="6F86E67A" w:rsidR="00A75B58" w:rsidRDefault="00A75B58" w:rsidP="00A75B58">
      <w:r>
        <w:t xml:space="preserve">4. </w:t>
      </w:r>
      <w:r>
        <w:tab/>
      </w:r>
      <w:r w:rsidR="00254FE5">
        <w:t xml:space="preserve">No obstante, </w:t>
      </w:r>
      <w:r>
        <w:t>de estos cuatro tipos de alimento</w:t>
      </w:r>
      <w:r w:rsidR="00254FE5">
        <w:t>s</w:t>
      </w:r>
      <w:r>
        <w:t>, es solo el alimento físico, clasificado como lo que se com</w:t>
      </w:r>
      <w:r w:rsidR="00B5145A">
        <w:t>a</w:t>
      </w:r>
      <w:r>
        <w:t>, beb</w:t>
      </w:r>
      <w:r w:rsidR="00B5145A">
        <w:t>a</w:t>
      </w:r>
      <w:r>
        <w:t>, masti</w:t>
      </w:r>
      <w:r w:rsidR="00B5145A">
        <w:t xml:space="preserve">que </w:t>
      </w:r>
      <w:r>
        <w:t xml:space="preserve">y </w:t>
      </w:r>
      <w:r w:rsidR="00B5145A">
        <w:t>de</w:t>
      </w:r>
      <w:r>
        <w:t>gust</w:t>
      </w:r>
      <w:r w:rsidR="00B5145A">
        <w:t>e</w:t>
      </w:r>
      <w:r>
        <w:t xml:space="preserve">, lo que se </w:t>
      </w:r>
      <w:r w:rsidR="00B5145A">
        <w:t xml:space="preserve">entenderá </w:t>
      </w:r>
      <w:r>
        <w:t>aquí como "alimento" en este sentido. La percepción que sur</w:t>
      </w:r>
      <w:r w:rsidR="00B5145A">
        <w:t>ja</w:t>
      </w:r>
      <w:r>
        <w:t xml:space="preserve"> como aprehensión del aspecto repulsivo en ese alimento </w:t>
      </w:r>
      <w:r w:rsidR="007C4A0F">
        <w:t>será</w:t>
      </w:r>
      <w:r>
        <w:t>, “</w:t>
      </w:r>
      <w:r w:rsidR="007C4A0F">
        <w:t xml:space="preserve">la </w:t>
      </w:r>
      <w:r>
        <w:t>percepción de repulsi</w:t>
      </w:r>
      <w:r w:rsidR="007C4A0F">
        <w:t>vidad</w:t>
      </w:r>
      <w:r>
        <w:t xml:space="preserve"> en el alimento”.</w:t>
      </w:r>
      <w:r>
        <w:br/>
      </w:r>
    </w:p>
    <w:p w14:paraId="7A04EE76" w14:textId="77777777" w:rsidR="00A75B58" w:rsidRDefault="00A75B58" w:rsidP="00A75B58">
      <w:pPr>
        <w:pStyle w:val="PiedepginaLegal"/>
        <w:rPr>
          <w:u w:val="single"/>
        </w:rPr>
      </w:pPr>
      <w:r>
        <w:rPr>
          <w:u w:val="single"/>
        </w:rPr>
        <w:tab/>
      </w:r>
      <w:r>
        <w:rPr>
          <w:u w:val="single"/>
        </w:rPr>
        <w:tab/>
      </w:r>
      <w:r>
        <w:rPr>
          <w:u w:val="single"/>
        </w:rPr>
        <w:tab/>
      </w:r>
      <w:r>
        <w:rPr>
          <w:u w:val="single"/>
        </w:rPr>
        <w:tab/>
      </w:r>
    </w:p>
    <w:p w14:paraId="60C0F3EC" w14:textId="1528830C" w:rsidR="00A75B58" w:rsidRDefault="00A75B58" w:rsidP="00AF34A3">
      <w:pPr>
        <w:pStyle w:val="PiedepginaLegal"/>
        <w:tabs>
          <w:tab w:val="clear" w:pos="6804"/>
        </w:tabs>
        <w:ind w:right="192"/>
      </w:pPr>
      <w:r>
        <w:t xml:space="preserve">3. </w:t>
      </w:r>
      <w:r>
        <w:tab/>
        <w:t>Para la “</w:t>
      </w:r>
      <w:proofErr w:type="spellStart"/>
      <w:r>
        <w:t>octa</w:t>
      </w:r>
      <w:r w:rsidR="000139F2">
        <w:t>d</w:t>
      </w:r>
      <w:r>
        <w:t>a</w:t>
      </w:r>
      <w:proofErr w:type="spellEnd"/>
      <w:r>
        <w:t xml:space="preserve"> con esencia nutritiva como </w:t>
      </w:r>
      <w:r w:rsidR="000139F2">
        <w:t xml:space="preserve">la </w:t>
      </w:r>
      <w:r>
        <w:t>octava” (</w:t>
      </w:r>
      <w:proofErr w:type="spellStart"/>
      <w:r w:rsidRPr="00984CD1">
        <w:rPr>
          <w:i/>
          <w:iCs/>
        </w:rPr>
        <w:t>ojaṭṭhamaka</w:t>
      </w:r>
      <w:proofErr w:type="spellEnd"/>
      <w:r>
        <w:t>), véase XVIII.5ff. y XX.27ss.</w:t>
      </w:r>
    </w:p>
    <w:p w14:paraId="19BCDC28" w14:textId="456638A9" w:rsidR="00A75B58" w:rsidRDefault="00A75B58" w:rsidP="00AF34A3">
      <w:pPr>
        <w:pStyle w:val="PiedepginaLegal"/>
        <w:tabs>
          <w:tab w:val="clear" w:pos="6804"/>
        </w:tabs>
        <w:ind w:right="192"/>
      </w:pPr>
      <w:r>
        <w:t xml:space="preserve">4. </w:t>
      </w:r>
      <w:r>
        <w:tab/>
      </w:r>
      <w:r w:rsidR="00C15097">
        <w:t xml:space="preserve">El </w:t>
      </w:r>
      <w:proofErr w:type="spellStart"/>
      <w:r>
        <w:t>Vism-mhṭ</w:t>
      </w:r>
      <w:proofErr w:type="spellEnd"/>
      <w:r>
        <w:t xml:space="preserve"> (p. 355) explica el apego aquí como </w:t>
      </w:r>
      <w:r w:rsidR="00C15097">
        <w:t>deseo</w:t>
      </w:r>
      <w:r>
        <w:t xml:space="preserve"> que </w:t>
      </w:r>
      <w:proofErr w:type="gramStart"/>
      <w:r>
        <w:t>es</w:t>
      </w:r>
      <w:proofErr w:type="gramEnd"/>
      <w:r>
        <w:t xml:space="preserve"> "peligroso porque trae </w:t>
      </w:r>
      <w:r w:rsidR="00C15097">
        <w:t>perjuicios</w:t>
      </w:r>
      <w:r>
        <w:t>" (ver, por ejemplo, D II 58-59), o en otras palabras, "</w:t>
      </w:r>
      <w:r w:rsidR="00C15097">
        <w:t>deseo</w:t>
      </w:r>
      <w:r>
        <w:t xml:space="preserve"> por los cinco agregados (lujuria después de </w:t>
      </w:r>
      <w:r w:rsidR="00B10C48">
        <w:t xml:space="preserve">una experiencia de los </w:t>
      </w:r>
      <w:r>
        <w:t>cinco-agregad</w:t>
      </w:r>
      <w:r w:rsidR="00B10C48">
        <w:t>os</w:t>
      </w:r>
      <w:r>
        <w:t xml:space="preserve">).” </w:t>
      </w:r>
      <w:r w:rsidR="00B10C48">
        <w:t>Éste c</w:t>
      </w:r>
      <w:r>
        <w:t>ita lo siguiente: “</w:t>
      </w:r>
      <w:proofErr w:type="spellStart"/>
      <w:r w:rsidR="00057BF4" w:rsidRPr="00057BF4">
        <w:rPr>
          <w:i/>
        </w:rPr>
        <w:t>Bhikkhu</w:t>
      </w:r>
      <w:r>
        <w:t>s</w:t>
      </w:r>
      <w:proofErr w:type="spellEnd"/>
      <w:r>
        <w:t>, cuando hay</w:t>
      </w:r>
      <w:r w:rsidR="00B10C48">
        <w:t>a</w:t>
      </w:r>
      <w:r>
        <w:t xml:space="preserve"> alimento físico, ha</w:t>
      </w:r>
      <w:r w:rsidR="00B10C48">
        <w:t>brá</w:t>
      </w:r>
      <w:r>
        <w:t xml:space="preserve"> codicia (lujuria), </w:t>
      </w:r>
      <w:r w:rsidR="005658D2">
        <w:t>habrá placer</w:t>
      </w:r>
      <w:r>
        <w:t xml:space="preserve">, </w:t>
      </w:r>
      <w:r w:rsidR="005658D2">
        <w:t>habrá deseo</w:t>
      </w:r>
      <w:r>
        <w:t>; la con</w:t>
      </w:r>
      <w:r w:rsidR="005658D2">
        <w:t>s</w:t>
      </w:r>
      <w:r>
        <w:t>ciencia que se plant</w:t>
      </w:r>
      <w:r w:rsidR="005658D2">
        <w:t>e</w:t>
      </w:r>
      <w:r>
        <w:t xml:space="preserve"> allí crece</w:t>
      </w:r>
      <w:r w:rsidR="005658D2">
        <w:t>rá</w:t>
      </w:r>
      <w:r>
        <w:t>. Dondequiera que crezca la con</w:t>
      </w:r>
      <w:r w:rsidR="005658D2">
        <w:t>s</w:t>
      </w:r>
      <w:r>
        <w:t>ciencia que se est</w:t>
      </w:r>
      <w:r w:rsidR="005658D2">
        <w:t>é</w:t>
      </w:r>
      <w:r>
        <w:t xml:space="preserve"> plantando, exist</w:t>
      </w:r>
      <w:r w:rsidR="005658D2">
        <w:t>irá</w:t>
      </w:r>
      <w:r>
        <w:t xml:space="preserve"> la combinación ment</w:t>
      </w:r>
      <w:r w:rsidR="005658D2">
        <w:t>al</w:t>
      </w:r>
      <w:r>
        <w:t xml:space="preserve"> y materia</w:t>
      </w:r>
      <w:r w:rsidR="005658D2">
        <w:t>l</w:t>
      </w:r>
      <w:r>
        <w:t xml:space="preserve">. Dondequiera que haya una combinación de mente y materia, </w:t>
      </w:r>
      <w:r w:rsidR="005658D2">
        <w:t xml:space="preserve">habrá una </w:t>
      </w:r>
      <w:r>
        <w:t xml:space="preserve">ramificación de </w:t>
      </w:r>
      <w:proofErr w:type="gramStart"/>
      <w:r w:rsidR="005658D2">
        <w:t xml:space="preserve">la </w:t>
      </w:r>
      <w:r>
        <w:t>formaciones</w:t>
      </w:r>
      <w:proofErr w:type="gramEnd"/>
      <w:r>
        <w:t xml:space="preserve">. Dondequiera que haya ramificación de </w:t>
      </w:r>
      <w:r w:rsidR="005658D2">
        <w:t xml:space="preserve">las </w:t>
      </w:r>
      <w:r>
        <w:t xml:space="preserve">formaciones, </w:t>
      </w:r>
      <w:r w:rsidR="005658D2">
        <w:t xml:space="preserve">habrá </w:t>
      </w:r>
      <w:r>
        <w:t xml:space="preserve">producción de nuevos devenires en el futuro. Dondequiera que haya producción de nuevos devenires en el futuro, </w:t>
      </w:r>
      <w:r w:rsidR="005658D2">
        <w:t xml:space="preserve">habrá </w:t>
      </w:r>
      <w:r>
        <w:t xml:space="preserve">nacimiento, envejecimiento y muerte futuros. Dondequiera que haya un futuro nacimiento, envejecimiento y muerte, </w:t>
      </w:r>
      <w:proofErr w:type="spellStart"/>
      <w:r w:rsidR="00057BF4" w:rsidRPr="00057BF4">
        <w:rPr>
          <w:i/>
        </w:rPr>
        <w:t>bhikkhu</w:t>
      </w:r>
      <w:r>
        <w:t>s</w:t>
      </w:r>
      <w:proofErr w:type="spellEnd"/>
      <w:r>
        <w:t xml:space="preserve">, </w:t>
      </w:r>
      <w:r w:rsidR="005658D2">
        <w:t>a</w:t>
      </w:r>
      <w:r>
        <w:t xml:space="preserve">l final </w:t>
      </w:r>
      <w:r w:rsidR="005658D2">
        <w:t xml:space="preserve">habrá </w:t>
      </w:r>
      <w:r>
        <w:t xml:space="preserve">tristeza, </w:t>
      </w:r>
      <w:r w:rsidR="005658D2">
        <w:t>afirmo</w:t>
      </w:r>
      <w:r>
        <w:t xml:space="preserve">, aflicción y desesperación” (S II 101; cf. S II 66). El acercamiento se explica como “el encuentro, la coincidencia, con perversiones no abandonadas de la percepción debidas a que un objeto se percibe como permanente, etc., cuando no lo es”. Es decir, </w:t>
      </w:r>
      <w:r w:rsidR="00894C03">
        <w:t xml:space="preserve">como </w:t>
      </w:r>
      <w:r>
        <w:t>“peligroso ya que no está libre de los tres tipos de sufrimiento”. La cita dada es: “</w:t>
      </w:r>
      <w:proofErr w:type="spellStart"/>
      <w:r w:rsidR="00057BF4" w:rsidRPr="00057BF4">
        <w:rPr>
          <w:i/>
        </w:rPr>
        <w:t>Bhikkhu</w:t>
      </w:r>
      <w:r>
        <w:t>s</w:t>
      </w:r>
      <w:proofErr w:type="spellEnd"/>
      <w:r>
        <w:t>, debido al contacto del tipo que se siente como placentero, surge un</w:t>
      </w:r>
      <w:r w:rsidR="005658D2">
        <w:t>a</w:t>
      </w:r>
      <w:r>
        <w:t xml:space="preserve"> </w:t>
      </w:r>
      <w:r w:rsidR="005658D2">
        <w:t>sensación</w:t>
      </w:r>
      <w:r>
        <w:t xml:space="preserve"> placenter</w:t>
      </w:r>
      <w:r w:rsidR="005658D2">
        <w:t>a</w:t>
      </w:r>
      <w:r>
        <w:t>. Con es</w:t>
      </w:r>
      <w:r w:rsidR="005658D2">
        <w:t>a</w:t>
      </w:r>
      <w:r>
        <w:t xml:space="preserve"> </w:t>
      </w:r>
      <w:r w:rsidR="005658D2">
        <w:t xml:space="preserve">sensación </w:t>
      </w:r>
      <w:r>
        <w:t xml:space="preserve">como condición </w:t>
      </w:r>
      <w:r w:rsidR="005658D2">
        <w:t>habrá deseo</w:t>
      </w:r>
      <w:r>
        <w:t>, … así surg</w:t>
      </w:r>
      <w:r w:rsidR="005658D2">
        <w:t>irá</w:t>
      </w:r>
      <w:r>
        <w:t xml:space="preserve"> toda esta masa de sufrimiento” (cf. S IV 215). La reaparición </w:t>
      </w:r>
      <w:r w:rsidR="006329AA">
        <w:t>será un</w:t>
      </w:r>
      <w:r>
        <w:t xml:space="preserve"> “renacimiento en algún tipo de devenir. Ser arrojado a un nuevo devenir </w:t>
      </w:r>
      <w:r w:rsidR="006329AA">
        <w:t xml:space="preserve">será </w:t>
      </w:r>
      <w:r>
        <w:t xml:space="preserve">peligroso porque no </w:t>
      </w:r>
      <w:r w:rsidR="006329AA">
        <w:t xml:space="preserve">habrá </w:t>
      </w:r>
      <w:r>
        <w:t xml:space="preserve">inmunidad contra los riesgos arraigados en la reaparición”. Se cita lo siguiente: “Sin saber, </w:t>
      </w:r>
      <w:proofErr w:type="spellStart"/>
      <w:r w:rsidR="00057BF4" w:rsidRPr="00057BF4">
        <w:rPr>
          <w:i/>
        </w:rPr>
        <w:t>bhikkhu</w:t>
      </w:r>
      <w:r>
        <w:t>s</w:t>
      </w:r>
      <w:proofErr w:type="spellEnd"/>
      <w:r>
        <w:t xml:space="preserve">, un hombre </w:t>
      </w:r>
      <w:r w:rsidR="006329AA">
        <w:t>con</w:t>
      </w:r>
      <w:r>
        <w:t>forma la formación de mérito, y su con</w:t>
      </w:r>
      <w:r w:rsidR="006329AA">
        <w:t>s</w:t>
      </w:r>
      <w:r>
        <w:t>ciencia [</w:t>
      </w:r>
      <w:r w:rsidR="006329AA">
        <w:t xml:space="preserve">de </w:t>
      </w:r>
      <w:r>
        <w:t>renacimiento] concuerda con el mérito [</w:t>
      </w:r>
      <w:r w:rsidR="006329AA">
        <w:t xml:space="preserve">con el </w:t>
      </w:r>
      <w:r>
        <w:t xml:space="preserve">lazo realizado]; </w:t>
      </w:r>
      <w:r w:rsidR="006329AA">
        <w:t>con</w:t>
      </w:r>
      <w:r>
        <w:t xml:space="preserve">forma la formación del demérito; … </w:t>
      </w:r>
      <w:r w:rsidR="006329AA">
        <w:t>con</w:t>
      </w:r>
      <w:r>
        <w:t xml:space="preserve">forma la formación de lo imperturbable…” (S II 82). La vinculación con el renacimiento </w:t>
      </w:r>
      <w:r w:rsidR="0052730B">
        <w:t xml:space="preserve">será </w:t>
      </w:r>
      <w:r>
        <w:t>la vinculación real con el próximo devenir, que “es peligroso ya que no es inmune al sufrimiento debido a los signos de la inminente vinculación con el renacimiento”. La cita dada es: “</w:t>
      </w:r>
      <w:proofErr w:type="spellStart"/>
      <w:r w:rsidR="00057BF4" w:rsidRPr="00057BF4">
        <w:rPr>
          <w:i/>
        </w:rPr>
        <w:t>Bhikkhu</w:t>
      </w:r>
      <w:r>
        <w:t>s</w:t>
      </w:r>
      <w:proofErr w:type="spellEnd"/>
      <w:r>
        <w:t>, cuando hay</w:t>
      </w:r>
      <w:r w:rsidR="0052730B">
        <w:t>a</w:t>
      </w:r>
      <w:r>
        <w:t xml:space="preserve"> </w:t>
      </w:r>
      <w:r w:rsidR="00305E12">
        <w:t>consciencia</w:t>
      </w:r>
      <w:r>
        <w:t xml:space="preserve"> como alimento, </w:t>
      </w:r>
      <w:r w:rsidR="0052730B">
        <w:t xml:space="preserve">habrá </w:t>
      </w:r>
      <w:r>
        <w:t xml:space="preserve">codicia (lujuria), </w:t>
      </w:r>
      <w:r w:rsidR="0052730B">
        <w:t>habrá placer</w:t>
      </w:r>
      <w:r>
        <w:t>…” (S II 102—completa como arriba).</w:t>
      </w:r>
    </w:p>
    <w:p w14:paraId="020DEDE5" w14:textId="77777777" w:rsidR="00A75B58" w:rsidRDefault="00A75B58">
      <w:pPr>
        <w:tabs>
          <w:tab w:val="clear" w:pos="425"/>
        </w:tabs>
        <w:spacing w:after="160"/>
      </w:pPr>
      <w:r>
        <w:br w:type="page"/>
      </w:r>
    </w:p>
    <w:p w14:paraId="600CE9D8" w14:textId="389A413B" w:rsidR="00355F1E" w:rsidRDefault="00355F1E" w:rsidP="00A75B58"/>
    <w:p w14:paraId="5FD5430B" w14:textId="1E92618C" w:rsidR="00A15FEA" w:rsidRDefault="00A15FEA" w:rsidP="00A15FEA">
      <w:r>
        <w:t xml:space="preserve">5. </w:t>
      </w:r>
      <w:r>
        <w:tab/>
        <w:t>Aquel que quiera desarrollar es</w:t>
      </w:r>
      <w:r w:rsidR="00254FE5">
        <w:t>t</w:t>
      </w:r>
      <w:r>
        <w:t>a percepción de repuls</w:t>
      </w:r>
      <w:r w:rsidR="00C34C72">
        <w:t>ividad</w:t>
      </w:r>
      <w:r>
        <w:t xml:space="preserve"> en los alimentos debe</w:t>
      </w:r>
      <w:r w:rsidR="00C34C72">
        <w:t>rá</w:t>
      </w:r>
      <w:r>
        <w:t xml:space="preserve"> apr</w:t>
      </w:r>
      <w:r w:rsidR="00C34C72">
        <w:t>eh</w:t>
      </w:r>
      <w:r>
        <w:t xml:space="preserve">ender el </w:t>
      </w:r>
      <w:r w:rsidR="00C34C72">
        <w:t>objeto</w:t>
      </w:r>
      <w:r>
        <w:t xml:space="preserve"> de meditación y asegurarse de que no tenga dudas sobre ni una sola palabra de lo que ha</w:t>
      </w:r>
      <w:r w:rsidR="002B7DCB">
        <w:t>ya</w:t>
      </w:r>
      <w:r>
        <w:t xml:space="preserve"> aprendido. Luego debe</w:t>
      </w:r>
      <w:r w:rsidR="002B7DCB">
        <w:t>rá</w:t>
      </w:r>
      <w:r>
        <w:t xml:space="preserve"> </w:t>
      </w:r>
      <w:r w:rsidR="002B7DCB">
        <w:t>acud</w:t>
      </w:r>
      <w:r>
        <w:t xml:space="preserve">ir a un retiro solitario y [342] revisar la repulsión en el alimento físico </w:t>
      </w:r>
      <w:r w:rsidR="00450DA2">
        <w:t xml:space="preserve">en sus diez aspectos </w:t>
      </w:r>
      <w:r>
        <w:t>clasificado</w:t>
      </w:r>
      <w:r w:rsidR="00367596">
        <w:t>s</w:t>
      </w:r>
      <w:r>
        <w:t xml:space="preserve"> como lo que se com</w:t>
      </w:r>
      <w:r w:rsidR="002962F3">
        <w:t>a</w:t>
      </w:r>
      <w:r>
        <w:t>, beb</w:t>
      </w:r>
      <w:r w:rsidR="002962F3">
        <w:t>a</w:t>
      </w:r>
      <w:r>
        <w:t>, masti</w:t>
      </w:r>
      <w:r w:rsidR="002962F3">
        <w:t>que</w:t>
      </w:r>
      <w:r>
        <w:t xml:space="preserve"> y </w:t>
      </w:r>
      <w:r w:rsidR="002962F3">
        <w:t>de</w:t>
      </w:r>
      <w:r>
        <w:t>gust</w:t>
      </w:r>
      <w:r w:rsidR="002962F3">
        <w:t>e</w:t>
      </w:r>
      <w:r>
        <w:t xml:space="preserve">, es decir, </w:t>
      </w:r>
      <w:r w:rsidRPr="000446D8">
        <w:rPr>
          <w:i/>
          <w:iCs/>
        </w:rPr>
        <w:t>en cuanto</w:t>
      </w:r>
      <w:r>
        <w:t xml:space="preserve"> </w:t>
      </w:r>
      <w:r w:rsidRPr="000446D8">
        <w:rPr>
          <w:i/>
          <w:iCs/>
        </w:rPr>
        <w:t>a ir</w:t>
      </w:r>
      <w:r w:rsidR="00A123E4">
        <w:rPr>
          <w:i/>
          <w:iCs/>
        </w:rPr>
        <w:t xml:space="preserve"> por él</w:t>
      </w:r>
      <w:r w:rsidRPr="000446D8">
        <w:rPr>
          <w:i/>
          <w:iCs/>
        </w:rPr>
        <w:t xml:space="preserve">, </w:t>
      </w:r>
      <w:r w:rsidR="00F3457B">
        <w:rPr>
          <w:i/>
          <w:iCs/>
        </w:rPr>
        <w:t>procurarlo</w:t>
      </w:r>
      <w:r w:rsidRPr="000446D8">
        <w:rPr>
          <w:i/>
          <w:iCs/>
        </w:rPr>
        <w:t>, u</w:t>
      </w:r>
      <w:r w:rsidR="00450DA2" w:rsidRPr="000446D8">
        <w:rPr>
          <w:i/>
          <w:iCs/>
        </w:rPr>
        <w:t>tiliz</w:t>
      </w:r>
      <w:r w:rsidRPr="000446D8">
        <w:rPr>
          <w:i/>
          <w:iCs/>
        </w:rPr>
        <w:t>ar</w:t>
      </w:r>
      <w:r w:rsidR="00A123E4">
        <w:rPr>
          <w:i/>
          <w:iCs/>
        </w:rPr>
        <w:t>lo</w:t>
      </w:r>
      <w:r w:rsidRPr="000446D8">
        <w:rPr>
          <w:i/>
          <w:iCs/>
        </w:rPr>
        <w:t xml:space="preserve">, </w:t>
      </w:r>
      <w:r w:rsidR="00306714" w:rsidRPr="000446D8">
        <w:rPr>
          <w:i/>
          <w:iCs/>
        </w:rPr>
        <w:t xml:space="preserve">en cuanto a la </w:t>
      </w:r>
      <w:r w:rsidRPr="000446D8">
        <w:rPr>
          <w:i/>
          <w:iCs/>
        </w:rPr>
        <w:t xml:space="preserve">secreción, </w:t>
      </w:r>
      <w:r w:rsidR="000D3912">
        <w:rPr>
          <w:i/>
          <w:iCs/>
        </w:rPr>
        <w:t>a</w:t>
      </w:r>
      <w:r w:rsidR="00306714" w:rsidRPr="000446D8">
        <w:rPr>
          <w:i/>
          <w:iCs/>
        </w:rPr>
        <w:t xml:space="preserve">l </w:t>
      </w:r>
      <w:r w:rsidRPr="000446D8">
        <w:rPr>
          <w:i/>
          <w:iCs/>
        </w:rPr>
        <w:t xml:space="preserve">receptáculo, lo </w:t>
      </w:r>
      <w:r w:rsidR="00860D6C">
        <w:rPr>
          <w:i/>
          <w:iCs/>
        </w:rPr>
        <w:t xml:space="preserve">crudo </w:t>
      </w:r>
      <w:r w:rsidRPr="000446D8">
        <w:rPr>
          <w:i/>
          <w:iCs/>
        </w:rPr>
        <w:t>(</w:t>
      </w:r>
      <w:r w:rsidR="0007223D">
        <w:rPr>
          <w:i/>
          <w:iCs/>
        </w:rPr>
        <w:t xml:space="preserve">lo </w:t>
      </w:r>
      <w:r w:rsidR="00860D6C">
        <w:rPr>
          <w:i/>
          <w:iCs/>
        </w:rPr>
        <w:t>no digerido</w:t>
      </w:r>
      <w:r w:rsidRPr="000446D8">
        <w:rPr>
          <w:i/>
          <w:iCs/>
        </w:rPr>
        <w:t xml:space="preserve">), lo </w:t>
      </w:r>
      <w:r w:rsidR="00860D6C">
        <w:rPr>
          <w:i/>
          <w:iCs/>
        </w:rPr>
        <w:t>co</w:t>
      </w:r>
      <w:r w:rsidR="0007223D">
        <w:rPr>
          <w:i/>
          <w:iCs/>
        </w:rPr>
        <w:t xml:space="preserve">cido </w:t>
      </w:r>
      <w:r w:rsidRPr="000446D8">
        <w:rPr>
          <w:i/>
          <w:iCs/>
        </w:rPr>
        <w:t>(</w:t>
      </w:r>
      <w:r w:rsidR="0007223D">
        <w:rPr>
          <w:i/>
          <w:iCs/>
        </w:rPr>
        <w:t xml:space="preserve">lo </w:t>
      </w:r>
      <w:r w:rsidRPr="000446D8">
        <w:rPr>
          <w:i/>
          <w:iCs/>
        </w:rPr>
        <w:t xml:space="preserve">digerido), </w:t>
      </w:r>
      <w:r w:rsidR="00FA2968" w:rsidRPr="000446D8">
        <w:rPr>
          <w:i/>
          <w:iCs/>
        </w:rPr>
        <w:t xml:space="preserve">en cuanto al </w:t>
      </w:r>
      <w:r w:rsidR="002433A0">
        <w:rPr>
          <w:i/>
          <w:iCs/>
        </w:rPr>
        <w:t>producto</w:t>
      </w:r>
      <w:r w:rsidRPr="000446D8">
        <w:rPr>
          <w:i/>
          <w:iCs/>
        </w:rPr>
        <w:t xml:space="preserve">, </w:t>
      </w:r>
      <w:r w:rsidR="002F6ACF" w:rsidRPr="000446D8">
        <w:rPr>
          <w:i/>
          <w:iCs/>
        </w:rPr>
        <w:t xml:space="preserve">su excreción </w:t>
      </w:r>
      <w:r w:rsidRPr="000446D8">
        <w:rPr>
          <w:i/>
          <w:iCs/>
        </w:rPr>
        <w:t xml:space="preserve">y </w:t>
      </w:r>
      <w:r w:rsidR="002F6ACF" w:rsidRPr="000446D8">
        <w:rPr>
          <w:i/>
          <w:iCs/>
        </w:rPr>
        <w:t xml:space="preserve">su </w:t>
      </w:r>
      <w:r w:rsidRPr="000446D8">
        <w:rPr>
          <w:i/>
          <w:iCs/>
        </w:rPr>
        <w:t>mancha</w:t>
      </w:r>
      <w:r w:rsidR="002A217B">
        <w:rPr>
          <w:i/>
          <w:iCs/>
        </w:rPr>
        <w:t>do</w:t>
      </w:r>
      <w:r>
        <w:t>.</w:t>
      </w:r>
    </w:p>
    <w:p w14:paraId="1379E227" w14:textId="0E617DAF" w:rsidR="00A15FEA" w:rsidRDefault="00A15FEA" w:rsidP="00A15FEA">
      <w:r>
        <w:t xml:space="preserve">6. </w:t>
      </w:r>
      <w:r>
        <w:tab/>
      </w:r>
      <w:r w:rsidRPr="006B2A18">
        <w:rPr>
          <w:i/>
          <w:iCs/>
        </w:rPr>
        <w:t>1</w:t>
      </w:r>
      <w:r>
        <w:t xml:space="preserve">. En esto, </w:t>
      </w:r>
      <w:r w:rsidRPr="00984CD1">
        <w:rPr>
          <w:i/>
          <w:iCs/>
        </w:rPr>
        <w:t>en cuanto a ir</w:t>
      </w:r>
      <w:r w:rsidR="00367596">
        <w:rPr>
          <w:i/>
          <w:iCs/>
        </w:rPr>
        <w:t xml:space="preserve"> por él</w:t>
      </w:r>
      <w:r>
        <w:t>: inclus</w:t>
      </w:r>
      <w:r w:rsidR="003F1528">
        <w:t>ive</w:t>
      </w:r>
      <w:r>
        <w:t xml:space="preserve"> cuando un hombre </w:t>
      </w:r>
      <w:r w:rsidR="008E01EA">
        <w:t xml:space="preserve">se </w:t>
      </w:r>
      <w:r>
        <w:t>ha</w:t>
      </w:r>
      <w:r w:rsidR="003F1528">
        <w:t>ya</w:t>
      </w:r>
      <w:r>
        <w:t xml:space="preserve"> </w:t>
      </w:r>
      <w:r w:rsidR="003F1528">
        <w:t xml:space="preserve">ordenado </w:t>
      </w:r>
      <w:r>
        <w:t>en una dispensación tan poderosa, inclus</w:t>
      </w:r>
      <w:r w:rsidR="003F1528">
        <w:t>ive</w:t>
      </w:r>
      <w:r>
        <w:t xml:space="preserve"> después de haber pasado quizás toda la noche recitando la</w:t>
      </w:r>
      <w:r w:rsidR="003F1528">
        <w:t>s</w:t>
      </w:r>
      <w:r>
        <w:t xml:space="preserve"> palabra</w:t>
      </w:r>
      <w:r w:rsidR="003F1528">
        <w:t>s</w:t>
      </w:r>
      <w:r>
        <w:t xml:space="preserve"> del Iluminado o haciendo el trabajo de asceta, después de haberse levantado temprano para cumplir con los deberes relacionados con la terraza del santuario y la terraza del árbol de la Iluminación, sacar el agua para beber y lavar, barrer los terrenos y atender las necesidades del cuerpo, después de que se haya sentado en su asiento y prestado atención a su objeto de meditación veinte o treinta veces</w:t>
      </w:r>
      <w:r w:rsidRPr="006B2A18">
        <w:rPr>
          <w:vertAlign w:val="superscript"/>
        </w:rPr>
        <w:t>5</w:t>
      </w:r>
      <w:r>
        <w:t xml:space="preserve"> </w:t>
      </w:r>
      <w:r w:rsidR="008E01EA">
        <w:t>para</w:t>
      </w:r>
      <w:r>
        <w:t xml:space="preserve"> levant</w:t>
      </w:r>
      <w:r w:rsidR="003F1528">
        <w:t>arse</w:t>
      </w:r>
      <w:r>
        <w:t xml:space="preserve"> de nuevo, </w:t>
      </w:r>
      <w:r w:rsidR="008E01EA">
        <w:t>entonces</w:t>
      </w:r>
      <w:r>
        <w:t xml:space="preserve"> debe</w:t>
      </w:r>
      <w:r w:rsidR="008E01EA">
        <w:t>rá</w:t>
      </w:r>
      <w:r>
        <w:t xml:space="preserve"> tomar su cuenco y su </w:t>
      </w:r>
      <w:r w:rsidR="003F1528">
        <w:t xml:space="preserve">ropaje </w:t>
      </w:r>
      <w:r>
        <w:t xml:space="preserve">exterior, dejar atrás los bosques de ascetas no llenos de gente, </w:t>
      </w:r>
      <w:r w:rsidR="007871C3">
        <w:t xml:space="preserve">que </w:t>
      </w:r>
      <w:r>
        <w:t>ofrece</w:t>
      </w:r>
      <w:r w:rsidR="007871C3">
        <w:t>n</w:t>
      </w:r>
      <w:r>
        <w:t xml:space="preserve"> la bienaventuranza de la reclusión, </w:t>
      </w:r>
      <w:r w:rsidR="007871C3">
        <w:t xml:space="preserve">que </w:t>
      </w:r>
      <w:r>
        <w:t xml:space="preserve">posee sombra y agua, y </w:t>
      </w:r>
      <w:r w:rsidR="007871C3">
        <w:t xml:space="preserve">que </w:t>
      </w:r>
      <w:r>
        <w:t xml:space="preserve">son lugares limpios, frescos y </w:t>
      </w:r>
      <w:r w:rsidR="007871C3">
        <w:t>agradables</w:t>
      </w:r>
      <w:r>
        <w:t>, debe</w:t>
      </w:r>
      <w:r w:rsidR="007871C3">
        <w:t>rá</w:t>
      </w:r>
      <w:r>
        <w:t xml:space="preserve"> ignorar el placer de los Nobles en reclusión, y partir hacia </w:t>
      </w:r>
      <w:r w:rsidR="007871C3">
        <w:t>un</w:t>
      </w:r>
      <w:r>
        <w:t xml:space="preserve">a aldea para obtener </w:t>
      </w:r>
      <w:r w:rsidR="007871C3">
        <w:t xml:space="preserve">su </w:t>
      </w:r>
      <w:r>
        <w:t xml:space="preserve">alimento, como un chacal </w:t>
      </w:r>
      <w:r w:rsidR="008E01EA">
        <w:t>yendo</w:t>
      </w:r>
      <w:r w:rsidR="007871C3">
        <w:t xml:space="preserve"> hacia un </w:t>
      </w:r>
      <w:r>
        <w:t>cementerio.</w:t>
      </w:r>
    </w:p>
    <w:p w14:paraId="45E5ADE3" w14:textId="16A88F40" w:rsidR="00A15FEA" w:rsidRDefault="00A15FEA" w:rsidP="00A15FEA">
      <w:r>
        <w:t xml:space="preserve">7. </w:t>
      </w:r>
      <w:r>
        <w:tab/>
        <w:t>Y mientras and</w:t>
      </w:r>
      <w:r w:rsidR="009E34B2">
        <w:t>e</w:t>
      </w:r>
      <w:r>
        <w:t xml:space="preserve"> así, desde que </w:t>
      </w:r>
      <w:r w:rsidR="009E34B2">
        <w:t xml:space="preserve">abandone </w:t>
      </w:r>
      <w:r>
        <w:t xml:space="preserve">su </w:t>
      </w:r>
      <w:r w:rsidR="009E34B2">
        <w:t xml:space="preserve">lecho </w:t>
      </w:r>
      <w:r>
        <w:t xml:space="preserve">o </w:t>
      </w:r>
      <w:r w:rsidR="008E01EA">
        <w:t>asiento</w:t>
      </w:r>
      <w:r w:rsidR="00A74D7A">
        <w:t>,</w:t>
      </w:r>
      <w:r>
        <w:t xml:space="preserve"> </w:t>
      </w:r>
      <w:r w:rsidR="009E34B2">
        <w:t xml:space="preserve">tendrá </w:t>
      </w:r>
      <w:r>
        <w:t>que pisar una alfombra</w:t>
      </w:r>
      <w:r w:rsidRPr="00984CD1">
        <w:rPr>
          <w:vertAlign w:val="superscript"/>
        </w:rPr>
        <w:t>6</w:t>
      </w:r>
      <w:r>
        <w:t xml:space="preserve"> cubierta con el polvo de sus pies, </w:t>
      </w:r>
      <w:r w:rsidR="00A74D7A">
        <w:t xml:space="preserve">los </w:t>
      </w:r>
      <w:r>
        <w:t xml:space="preserve">excrementos de lagartijas, etc. Luego </w:t>
      </w:r>
      <w:r w:rsidR="009E34B2">
        <w:t xml:space="preserve">tendrá </w:t>
      </w:r>
      <w:r>
        <w:t>que ver el umbral de la puerta</w:t>
      </w:r>
      <w:r w:rsidRPr="00984CD1">
        <w:rPr>
          <w:vertAlign w:val="superscript"/>
        </w:rPr>
        <w:t>7</w:t>
      </w:r>
      <w:r>
        <w:t>, que es más repulsivo que el interior de la habitación, ya que a menudo está sucio con excrementos de ratas, murciélagos</w:t>
      </w:r>
      <w:r w:rsidRPr="00984CD1">
        <w:rPr>
          <w:vertAlign w:val="superscript"/>
        </w:rPr>
        <w:t>8</w:t>
      </w:r>
      <w:r>
        <w:t xml:space="preserve">, etc. Luego la terraza </w:t>
      </w:r>
      <w:r w:rsidR="009E34B2">
        <w:t>inferior</w:t>
      </w:r>
      <w:r>
        <w:t xml:space="preserve">, que es más repugnante que la terraza </w:t>
      </w:r>
      <w:r w:rsidR="009E34B2">
        <w:t xml:space="preserve">superior </w:t>
      </w:r>
      <w:r>
        <w:t>porque está toda manchada de excrementos de lechuza</w:t>
      </w:r>
      <w:r w:rsidR="009E34B2">
        <w:t>s</w:t>
      </w:r>
      <w:r>
        <w:t>, palomas,</w:t>
      </w:r>
      <w:r w:rsidRPr="00984CD1">
        <w:rPr>
          <w:vertAlign w:val="superscript"/>
        </w:rPr>
        <w:t>9</w:t>
      </w:r>
      <w:r>
        <w:t xml:space="preserve"> etc. Luego los terrenos</w:t>
      </w:r>
      <w:r w:rsidRPr="00984CD1">
        <w:rPr>
          <w:vertAlign w:val="superscript"/>
        </w:rPr>
        <w:t xml:space="preserve">10 </w:t>
      </w:r>
      <w:r>
        <w:t xml:space="preserve">más repugnantes </w:t>
      </w:r>
      <w:r w:rsidR="00A74D7A">
        <w:t>de</w:t>
      </w:r>
      <w:r>
        <w:t xml:space="preserve"> la planta </w:t>
      </w:r>
      <w:r w:rsidR="009E34B2">
        <w:t>inferior</w:t>
      </w:r>
      <w:r w:rsidR="00A97CED">
        <w:t>,</w:t>
      </w:r>
      <w:r w:rsidR="009E34B2">
        <w:t xml:space="preserve"> </w:t>
      </w:r>
      <w:r>
        <w:t xml:space="preserve">contaminados </w:t>
      </w:r>
      <w:r w:rsidR="009E34B2">
        <w:t xml:space="preserve">de </w:t>
      </w:r>
      <w:r>
        <w:t>hierba vieja y hojas arrastra</w:t>
      </w:r>
      <w:r w:rsidR="009E34B2">
        <w:t>das</w:t>
      </w:r>
      <w:r>
        <w:t xml:space="preserve"> </w:t>
      </w:r>
      <w:r w:rsidR="00BB114A">
        <w:t xml:space="preserve">por </w:t>
      </w:r>
      <w:r>
        <w:t xml:space="preserve">el viento, por la orina, </w:t>
      </w:r>
      <w:r w:rsidR="00BB114A">
        <w:t xml:space="preserve">los </w:t>
      </w:r>
      <w:r>
        <w:t xml:space="preserve">excrementos, babas y mocos de los novicios enfermos, y en la estación de lluvias por el agua, el barro, </w:t>
      </w:r>
      <w:r w:rsidR="00BB114A">
        <w:t>etc</w:t>
      </w:r>
      <w:r>
        <w:t xml:space="preserve">. Y </w:t>
      </w:r>
      <w:r w:rsidR="00BB114A">
        <w:t xml:space="preserve">tendrá </w:t>
      </w:r>
      <w:r>
        <w:t xml:space="preserve">que ver el camino </w:t>
      </w:r>
      <w:r w:rsidR="00BB114A">
        <w:t>hacia e</w:t>
      </w:r>
      <w:r>
        <w:t xml:space="preserve">l monasterio, que </w:t>
      </w:r>
      <w:r w:rsidR="00F6371B">
        <w:t xml:space="preserve">será </w:t>
      </w:r>
      <w:r>
        <w:t>más repulsivo que los terrenos.</w:t>
      </w:r>
      <w:r>
        <w:br/>
      </w:r>
    </w:p>
    <w:p w14:paraId="5C8A432E" w14:textId="77777777" w:rsidR="00A15FEA" w:rsidRDefault="00A15FEA" w:rsidP="00A15FEA">
      <w:pPr>
        <w:pStyle w:val="PiedepginaLegal"/>
        <w:rPr>
          <w:u w:val="single"/>
        </w:rPr>
      </w:pPr>
      <w:r>
        <w:rPr>
          <w:u w:val="single"/>
        </w:rPr>
        <w:tab/>
      </w:r>
      <w:r>
        <w:rPr>
          <w:u w:val="single"/>
        </w:rPr>
        <w:tab/>
      </w:r>
      <w:r>
        <w:rPr>
          <w:u w:val="single"/>
        </w:rPr>
        <w:tab/>
      </w:r>
      <w:r>
        <w:rPr>
          <w:u w:val="single"/>
        </w:rPr>
        <w:tab/>
      </w:r>
    </w:p>
    <w:p w14:paraId="73CAEC65" w14:textId="398C1B88" w:rsidR="00A15FEA" w:rsidRDefault="00A15FEA" w:rsidP="00A15FEA">
      <w:pPr>
        <w:pStyle w:val="PiedepginaLegal"/>
      </w:pPr>
      <w:r>
        <w:t xml:space="preserve">5. </w:t>
      </w:r>
      <w:r>
        <w:tab/>
        <w:t>“‘</w:t>
      </w:r>
      <w:r w:rsidRPr="00984CD1">
        <w:rPr>
          <w:i/>
          <w:iCs/>
        </w:rPr>
        <w:t>Veinte o treinta veces’</w:t>
      </w:r>
      <w:r>
        <w:t xml:space="preserve">: aquí algunos dicen que la definición del número de veces </w:t>
      </w:r>
      <w:r w:rsidR="005E0A03">
        <w:t xml:space="preserve">se da </w:t>
      </w:r>
      <w:proofErr w:type="gramStart"/>
      <w:r w:rsidR="005E0A03">
        <w:t>de acuerdo a</w:t>
      </w:r>
      <w:proofErr w:type="gramEnd"/>
      <w:r w:rsidR="005E0A03">
        <w:t xml:space="preserve"> lo que esté</w:t>
      </w:r>
      <w:r>
        <w:t xml:space="preserve"> presente-por-continuidad (ver XIV.188). Pero otros dicen que </w:t>
      </w:r>
      <w:r w:rsidR="006B2A18">
        <w:t>se</w:t>
      </w:r>
      <w:r w:rsidR="00AE1FBD">
        <w:t xml:space="preserve"> </w:t>
      </w:r>
      <w:r w:rsidR="006B2A18">
        <w:t>da mediante la manera de</w:t>
      </w:r>
      <w:r>
        <w:t xml:space="preserve"> “calentar el asiento” (ver M-a I 255); porque el desarrollo que no ha</w:t>
      </w:r>
      <w:r w:rsidR="0019606B">
        <w:t>ya</w:t>
      </w:r>
      <w:r>
        <w:t xml:space="preserve"> alcanzado la supresión de los obstáculos no elimina</w:t>
      </w:r>
      <w:r w:rsidR="0019606B">
        <w:t>rá</w:t>
      </w:r>
      <w:r>
        <w:t xml:space="preserve"> la incomodidad corporal en el acto de sentarse, debido a la falta de felicidad penetrante. Así que también ha</w:t>
      </w:r>
      <w:r w:rsidR="00AE1FBD">
        <w:t>brá</w:t>
      </w:r>
      <w:r>
        <w:t xml:space="preserve"> inconstancia en la postura. Entonces se toma</w:t>
      </w:r>
      <w:r w:rsidR="00AE1FBD">
        <w:t>rá</w:t>
      </w:r>
      <w:r>
        <w:t xml:space="preserve"> 'veinte o treinta' como el número ya observado en el momento de emprender la ronda de </w:t>
      </w:r>
      <w:r w:rsidR="00AE1FBD">
        <w:t>ofrendas</w:t>
      </w:r>
      <w:r>
        <w:t xml:space="preserve">. O alternativamente, </w:t>
      </w:r>
      <w:r w:rsidRPr="00B82940">
        <w:rPr>
          <w:color w:val="1F3864" w:themeColor="accent1" w:themeShade="80"/>
        </w:rPr>
        <w:t>de</w:t>
      </w:r>
      <w:r w:rsidR="00CE7500" w:rsidRPr="00B82940">
        <w:rPr>
          <w:color w:val="1F3864" w:themeColor="accent1" w:themeShade="80"/>
        </w:rPr>
        <w:t>sde</w:t>
      </w:r>
      <w:r w:rsidRPr="00B82940">
        <w:rPr>
          <w:color w:val="1F3864" w:themeColor="accent1" w:themeShade="80"/>
        </w:rPr>
        <w:t xml:space="preserve"> '</w:t>
      </w:r>
      <w:r w:rsidR="00B82940" w:rsidRPr="00B82940">
        <w:rPr>
          <w:color w:val="1F3864" w:themeColor="accent1" w:themeShade="80"/>
        </w:rPr>
        <w:t>el comienzo</w:t>
      </w:r>
      <w:r w:rsidRPr="00B82940">
        <w:rPr>
          <w:color w:val="1F3864" w:themeColor="accent1" w:themeShade="80"/>
        </w:rPr>
        <w:t xml:space="preserve">' </w:t>
      </w:r>
      <w:r w:rsidR="00CE7500" w:rsidRPr="00B82940">
        <w:rPr>
          <w:color w:val="1F3864" w:themeColor="accent1" w:themeShade="80"/>
        </w:rPr>
        <w:t>hasta</w:t>
      </w:r>
      <w:r w:rsidRPr="00B82940">
        <w:rPr>
          <w:color w:val="1F3864" w:themeColor="accent1" w:themeShade="80"/>
        </w:rPr>
        <w:t xml:space="preserve"> '</w:t>
      </w:r>
      <w:r w:rsidR="00DB7DEB" w:rsidRPr="00B82940">
        <w:rPr>
          <w:color w:val="1F3864" w:themeColor="accent1" w:themeShade="80"/>
        </w:rPr>
        <w:t>contaminarlo</w:t>
      </w:r>
      <w:r w:rsidRPr="00B82940">
        <w:rPr>
          <w:color w:val="1F3864" w:themeColor="accent1" w:themeShade="80"/>
        </w:rPr>
        <w:t xml:space="preserve">' </w:t>
      </w:r>
      <w:r w:rsidR="00DB7DEB">
        <w:t xml:space="preserve">será </w:t>
      </w:r>
      <w:r>
        <w:t xml:space="preserve">un turno; entonces </w:t>
      </w:r>
      <w:r w:rsidR="00CE7777">
        <w:t xml:space="preserve">esto </w:t>
      </w:r>
      <w:r w:rsidR="00DB7DEB">
        <w:t>debe darse</w:t>
      </w:r>
      <w:r>
        <w:t xml:space="preserve"> después de dar </w:t>
      </w:r>
      <w:r w:rsidR="00CE7777">
        <w:t xml:space="preserve">así </w:t>
      </w:r>
      <w:r w:rsidR="00DB7DEB">
        <w:t xml:space="preserve">unas </w:t>
      </w:r>
      <w:r>
        <w:t xml:space="preserve">veinte o treinta vueltas </w:t>
      </w:r>
      <w:r w:rsidR="00DB7DEB">
        <w:t>a la</w:t>
      </w:r>
      <w:r>
        <w:t xml:space="preserve"> atención </w:t>
      </w:r>
      <w:r w:rsidR="00CE7777">
        <w:t>de</w:t>
      </w:r>
      <w:r>
        <w:t xml:space="preserve">l </w:t>
      </w:r>
      <w:r w:rsidR="00AE1FBD">
        <w:t>objeto</w:t>
      </w:r>
      <w:r>
        <w:t xml:space="preserve"> de meditación” (</w:t>
      </w:r>
      <w:proofErr w:type="spellStart"/>
      <w:r>
        <w:t>Vism-mhṭ</w:t>
      </w:r>
      <w:proofErr w:type="spellEnd"/>
      <w:r>
        <w:t xml:space="preserve"> 339).</w:t>
      </w:r>
    </w:p>
    <w:p w14:paraId="4ADBD620" w14:textId="0DA9789C" w:rsidR="00A15FEA" w:rsidRDefault="00A15FEA" w:rsidP="00A15FEA">
      <w:pPr>
        <w:pStyle w:val="PiedepginaLegal"/>
      </w:pPr>
      <w:r>
        <w:t xml:space="preserve">6. </w:t>
      </w:r>
      <w:r>
        <w:tab/>
      </w:r>
      <w:proofErr w:type="spellStart"/>
      <w:r w:rsidRPr="00984CD1">
        <w:rPr>
          <w:i/>
          <w:iCs/>
        </w:rPr>
        <w:t>Paccattharaṇa</w:t>
      </w:r>
      <w:proofErr w:type="spellEnd"/>
      <w:r>
        <w:t xml:space="preserve">—“alfombra”: la palabra normalmente significa cobertor, pero aquí, según </w:t>
      </w:r>
      <w:r w:rsidR="00B82940">
        <w:t xml:space="preserve">el </w:t>
      </w:r>
      <w:proofErr w:type="spellStart"/>
      <w:r>
        <w:t>Vism-mhṭ</w:t>
      </w:r>
      <w:proofErr w:type="spellEnd"/>
      <w:r>
        <w:t xml:space="preserve">, (p. 339) es, “una </w:t>
      </w:r>
      <w:r w:rsidR="00095989">
        <w:t>cobertura</w:t>
      </w:r>
      <w:r>
        <w:t xml:space="preserve"> (</w:t>
      </w:r>
      <w:proofErr w:type="spellStart"/>
      <w:r w:rsidRPr="00984CD1">
        <w:rPr>
          <w:i/>
          <w:iCs/>
        </w:rPr>
        <w:t>attharaṇa</w:t>
      </w:r>
      <w:proofErr w:type="spellEnd"/>
      <w:r>
        <w:t>) consist</w:t>
      </w:r>
      <w:r w:rsidR="00095989">
        <w:t>ente</w:t>
      </w:r>
      <w:r>
        <w:t xml:space="preserve"> </w:t>
      </w:r>
      <w:r w:rsidR="00A74D7A">
        <w:t>de</w:t>
      </w:r>
      <w:r>
        <w:t xml:space="preserve"> una alfombra (</w:t>
      </w:r>
      <w:proofErr w:type="spellStart"/>
      <w:r w:rsidRPr="00984CD1">
        <w:rPr>
          <w:i/>
          <w:iCs/>
        </w:rPr>
        <w:t>cilimika</w:t>
      </w:r>
      <w:proofErr w:type="spellEnd"/>
      <w:r>
        <w:t>) para ser extendida sobre el terreno para proteger la piel.”</w:t>
      </w:r>
    </w:p>
    <w:p w14:paraId="6EB27824" w14:textId="1932EAFB" w:rsidR="00A15FEA" w:rsidRDefault="00A15FEA" w:rsidP="00A15FEA">
      <w:pPr>
        <w:pStyle w:val="PiedepginaLegal"/>
      </w:pPr>
      <w:r>
        <w:t xml:space="preserve">7. </w:t>
      </w:r>
      <w:r>
        <w:tab/>
        <w:t xml:space="preserve">Para </w:t>
      </w:r>
      <w:proofErr w:type="spellStart"/>
      <w:r w:rsidRPr="00984CD1">
        <w:rPr>
          <w:i/>
          <w:iCs/>
        </w:rPr>
        <w:t>pamukha</w:t>
      </w:r>
      <w:proofErr w:type="spellEnd"/>
      <w:r>
        <w:t xml:space="preserve">—“puerta”, </w:t>
      </w:r>
      <w:r w:rsidR="00095989">
        <w:t xml:space="preserve">aquí </w:t>
      </w:r>
      <w:r>
        <w:t xml:space="preserve">quizás una galería abierta en </w:t>
      </w:r>
      <w:r w:rsidR="00095989">
        <w:t>un</w:t>
      </w:r>
      <w:r>
        <w:t xml:space="preserve"> piso superior, véase XIII.6.</w:t>
      </w:r>
    </w:p>
    <w:p w14:paraId="4FB7FA35" w14:textId="75ED56D7" w:rsidR="00A15FEA" w:rsidRDefault="00A15FEA" w:rsidP="00A15FEA">
      <w:pPr>
        <w:pStyle w:val="PiedepginaLegal"/>
      </w:pPr>
      <w:r>
        <w:t xml:space="preserve">8. </w:t>
      </w:r>
      <w:r>
        <w:tab/>
      </w:r>
      <w:proofErr w:type="spellStart"/>
      <w:r w:rsidRPr="00984CD1">
        <w:rPr>
          <w:i/>
          <w:iCs/>
        </w:rPr>
        <w:t>Jatukā</w:t>
      </w:r>
      <w:proofErr w:type="spellEnd"/>
      <w:r>
        <w:t xml:space="preserve">—“murciélago” = </w:t>
      </w:r>
      <w:proofErr w:type="spellStart"/>
      <w:r w:rsidRPr="00984CD1">
        <w:rPr>
          <w:i/>
          <w:iCs/>
        </w:rPr>
        <w:t>khuddaka-vaggulī</w:t>
      </w:r>
      <w:proofErr w:type="spellEnd"/>
      <w:r>
        <w:t xml:space="preserve"> (</w:t>
      </w:r>
      <w:proofErr w:type="spellStart"/>
      <w:r>
        <w:t>Vism-mhṭ</w:t>
      </w:r>
      <w:proofErr w:type="spellEnd"/>
      <w:r>
        <w:t xml:space="preserve"> 339): no en </w:t>
      </w:r>
      <w:r w:rsidR="00095989">
        <w:t xml:space="preserve">el </w:t>
      </w:r>
      <w:r>
        <w:t>PED; ver XIII.97.</w:t>
      </w:r>
    </w:p>
    <w:p w14:paraId="6006AA47" w14:textId="0A9CC600" w:rsidR="00A15FEA" w:rsidRDefault="00A15FEA" w:rsidP="00A15FEA">
      <w:pPr>
        <w:pStyle w:val="PiedepginaLegal"/>
      </w:pPr>
      <w:r>
        <w:t xml:space="preserve">9. </w:t>
      </w:r>
      <w:r>
        <w:tab/>
      </w:r>
      <w:proofErr w:type="spellStart"/>
      <w:r w:rsidRPr="00984CD1">
        <w:rPr>
          <w:i/>
          <w:iCs/>
        </w:rPr>
        <w:t>Pārāvata</w:t>
      </w:r>
      <w:proofErr w:type="spellEnd"/>
      <w:r>
        <w:t xml:space="preserve">—“paloma”: solo se escribe </w:t>
      </w:r>
      <w:proofErr w:type="spellStart"/>
      <w:r w:rsidRPr="00984CD1">
        <w:rPr>
          <w:i/>
          <w:iCs/>
        </w:rPr>
        <w:t>pārāpata</w:t>
      </w:r>
      <w:proofErr w:type="spellEnd"/>
      <w:r>
        <w:t xml:space="preserve"> en </w:t>
      </w:r>
      <w:r w:rsidR="00095989">
        <w:t xml:space="preserve">el </w:t>
      </w:r>
      <w:r>
        <w:t>PED.</w:t>
      </w:r>
    </w:p>
    <w:p w14:paraId="7D8348D7" w14:textId="20C13DE8" w:rsidR="00A15FEA" w:rsidRDefault="00A15FEA" w:rsidP="00A15FEA">
      <w:pPr>
        <w:pStyle w:val="PiedepginaLegal"/>
      </w:pPr>
      <w:r>
        <w:t xml:space="preserve">10. </w:t>
      </w:r>
      <w:r>
        <w:tab/>
        <w:t xml:space="preserve">Para este significado de </w:t>
      </w:r>
      <w:proofErr w:type="spellStart"/>
      <w:r w:rsidRPr="00984CD1">
        <w:rPr>
          <w:i/>
          <w:iCs/>
        </w:rPr>
        <w:t>pariveṇa</w:t>
      </w:r>
      <w:proofErr w:type="spellEnd"/>
      <w:r>
        <w:t xml:space="preserve"> ver </w:t>
      </w:r>
      <w:r w:rsidR="00095989">
        <w:t>Cap</w:t>
      </w:r>
      <w:r>
        <w:t>. IV, nota 37.</w:t>
      </w:r>
    </w:p>
    <w:p w14:paraId="6853889F" w14:textId="77777777" w:rsidR="00A15FEA" w:rsidRDefault="00A15FEA">
      <w:pPr>
        <w:tabs>
          <w:tab w:val="clear" w:pos="425"/>
        </w:tabs>
        <w:spacing w:after="160"/>
      </w:pPr>
      <w:r>
        <w:br w:type="page"/>
      </w:r>
    </w:p>
    <w:p w14:paraId="349CF5B3" w14:textId="322CF9DD" w:rsidR="00814682" w:rsidRDefault="005D6576" w:rsidP="00A15FEA">
      <w:r>
        <w:lastRenderedPageBreak/>
        <w:br/>
      </w:r>
    </w:p>
    <w:p w14:paraId="436A6209" w14:textId="57AEE16E" w:rsidR="00814682" w:rsidRDefault="00814682" w:rsidP="00814682">
      <w:r>
        <w:t xml:space="preserve">8. </w:t>
      </w:r>
      <w:r w:rsidR="005D6576">
        <w:tab/>
      </w:r>
      <w:r>
        <w:t xml:space="preserve">A su debido tiempo, después de </w:t>
      </w:r>
      <w:r w:rsidR="006B5EC5">
        <w:t>permanecer</w:t>
      </w:r>
      <w:r>
        <w:t xml:space="preserve"> en la sala de debate</w:t>
      </w:r>
      <w:r w:rsidR="006B5EC5">
        <w:t>,</w:t>
      </w:r>
      <w:r w:rsidRPr="00984CD1">
        <w:rPr>
          <w:vertAlign w:val="superscript"/>
        </w:rPr>
        <w:t>11</w:t>
      </w:r>
      <w:r>
        <w:t xml:space="preserve"> cuando haya terminado de rendir </w:t>
      </w:r>
      <w:r w:rsidR="00F6371B">
        <w:t>reverencia</w:t>
      </w:r>
      <w:r>
        <w:t xml:space="preserve"> al Árbol de la Iluminación y al santuario, </w:t>
      </w:r>
      <w:r w:rsidR="006B5EC5">
        <w:t xml:space="preserve">tendrá que </w:t>
      </w:r>
      <w:r>
        <w:t>pensar: “En lugar de mirar el santuario</w:t>
      </w:r>
      <w:r w:rsidR="006B5EC5">
        <w:t>,</w:t>
      </w:r>
      <w:r>
        <w:t xml:space="preserve"> que es como un racimo de perlas, y </w:t>
      </w:r>
      <w:r w:rsidR="006B5EC5">
        <w:t>a</w:t>
      </w:r>
      <w:r>
        <w:t>l Árbol de la Iluminación</w:t>
      </w:r>
      <w:r w:rsidR="006B7076">
        <w:t>,</w:t>
      </w:r>
      <w:r>
        <w:t xml:space="preserve"> que es tan hermoso como un ramo de plumas de cola de pavo real, y la </w:t>
      </w:r>
      <w:r w:rsidR="006B7076">
        <w:t xml:space="preserve">residencia </w:t>
      </w:r>
      <w:r>
        <w:t>que es tan hermosa como el palacio de un dios, ahora deb</w:t>
      </w:r>
      <w:r w:rsidR="00A97CED">
        <w:t>eré</w:t>
      </w:r>
      <w:r>
        <w:t xml:space="preserve"> dar la espalda a un lugar tan encantador </w:t>
      </w:r>
      <w:r w:rsidR="006B7076">
        <w:t xml:space="preserve">para </w:t>
      </w:r>
      <w:r>
        <w:t>ir al ext</w:t>
      </w:r>
      <w:r w:rsidR="006B7076">
        <w:t>erior</w:t>
      </w:r>
      <w:r>
        <w:t xml:space="preserve"> </w:t>
      </w:r>
      <w:r w:rsidR="006B7076">
        <w:t xml:space="preserve">en virtud </w:t>
      </w:r>
      <w:r>
        <w:t>de la comida</w:t>
      </w:r>
      <w:r w:rsidR="00560AAE">
        <w:t>”</w:t>
      </w:r>
      <w:r>
        <w:t>; y de camino al pueblo, le espera</w:t>
      </w:r>
      <w:r w:rsidR="00560AAE">
        <w:t>rá</w:t>
      </w:r>
      <w:r>
        <w:t xml:space="preserve"> la vista de un camino de tocones y espinas</w:t>
      </w:r>
      <w:r w:rsidR="00560AAE">
        <w:t>,</w:t>
      </w:r>
      <w:r>
        <w:t xml:space="preserve"> un camino desnivelado </w:t>
      </w:r>
      <w:r w:rsidR="00560AAE">
        <w:t xml:space="preserve">y </w:t>
      </w:r>
      <w:r w:rsidR="00C34F15">
        <w:t xml:space="preserve">dañado </w:t>
      </w:r>
      <w:r>
        <w:t>por la fuerza del agua.</w:t>
      </w:r>
    </w:p>
    <w:p w14:paraId="633FDB31" w14:textId="7A63A727" w:rsidR="00814682" w:rsidRDefault="00814682" w:rsidP="00814682">
      <w:r>
        <w:t xml:space="preserve">9. </w:t>
      </w:r>
      <w:r>
        <w:tab/>
        <w:t>Luego, después que se ha</w:t>
      </w:r>
      <w:r w:rsidR="00C34F15">
        <w:t>ya</w:t>
      </w:r>
      <w:r>
        <w:t xml:space="preserve"> puesto el cinto como quien esconde un absceso, y se ha</w:t>
      </w:r>
      <w:r w:rsidR="00C34F15">
        <w:t>ya</w:t>
      </w:r>
      <w:r>
        <w:t xml:space="preserve"> atado el cinturón como quien at</w:t>
      </w:r>
      <w:r w:rsidR="0090003D">
        <w:t>e</w:t>
      </w:r>
      <w:r>
        <w:t xml:space="preserve"> una venda sobre una herida, y se ha</w:t>
      </w:r>
      <w:r w:rsidR="00C34F15">
        <w:t>ya</w:t>
      </w:r>
      <w:r>
        <w:t xml:space="preserve"> vestido con sus ropa</w:t>
      </w:r>
      <w:r w:rsidR="00C34F15">
        <w:t>je</w:t>
      </w:r>
      <w:r>
        <w:t>s superiores como quien escond</w:t>
      </w:r>
      <w:r w:rsidR="0090003D">
        <w:t>a</w:t>
      </w:r>
      <w:r>
        <w:t xml:space="preserve"> un esqueleto, y </w:t>
      </w:r>
      <w:r w:rsidR="00660D92">
        <w:t xml:space="preserve">tome </w:t>
      </w:r>
      <w:r>
        <w:t>su cuenco como quien sa</w:t>
      </w:r>
      <w:r w:rsidR="0090003D">
        <w:t>que</w:t>
      </w:r>
      <w:r>
        <w:t xml:space="preserve"> una olla para </w:t>
      </w:r>
      <w:r w:rsidR="0090003D">
        <w:t>un</w:t>
      </w:r>
      <w:r>
        <w:t>a medicina, [343] cuando lleg</w:t>
      </w:r>
      <w:r w:rsidR="00660D92">
        <w:t>ue</w:t>
      </w:r>
      <w:r>
        <w:t xml:space="preserve"> a </w:t>
      </w:r>
      <w:r w:rsidR="00660D92">
        <w:t xml:space="preserve">los alrededores </w:t>
      </w:r>
      <w:r>
        <w:t xml:space="preserve">de la </w:t>
      </w:r>
      <w:r w:rsidR="00660D92">
        <w:t xml:space="preserve">entrada </w:t>
      </w:r>
      <w:r w:rsidR="0090003D">
        <w:t>a</w:t>
      </w:r>
      <w:r>
        <w:t xml:space="preserve">l pueblo, tal vez la vista del cadáver de un elefante, el cadáver de un caballo, el cadáver de un búfalo, un cadáver humano, el cadáver de una serpiente, o el cadáver de un perro, </w:t>
      </w:r>
      <w:r w:rsidR="005B5026">
        <w:t xml:space="preserve">espere por su vista </w:t>
      </w:r>
      <w:r>
        <w:t xml:space="preserve">y no sólo eso, sino que </w:t>
      </w:r>
      <w:r w:rsidR="005B5026">
        <w:t xml:space="preserve">tendrá </w:t>
      </w:r>
      <w:r>
        <w:t xml:space="preserve">que soportar que su nariz sea asaltada por el olor </w:t>
      </w:r>
      <w:r w:rsidR="00CA4F23">
        <w:t xml:space="preserve">a </w:t>
      </w:r>
      <w:r>
        <w:t>ellos.</w:t>
      </w:r>
    </w:p>
    <w:p w14:paraId="23C8E488" w14:textId="01E8FCEA" w:rsidR="00814682" w:rsidRDefault="00814682" w:rsidP="00814682">
      <w:pPr>
        <w:pStyle w:val="NormalConSangria"/>
      </w:pPr>
      <w:r>
        <w:t xml:space="preserve">Luego, mientras </w:t>
      </w:r>
      <w:r w:rsidR="00CD5AD7">
        <w:t xml:space="preserve">permanezca </w:t>
      </w:r>
      <w:r>
        <w:t>en la entrada del pueblo, debe</w:t>
      </w:r>
      <w:r w:rsidR="00CD5AD7">
        <w:t>rá</w:t>
      </w:r>
      <w:r>
        <w:t xml:space="preserve"> observar las calles del pueblo para evitar el peligro de </w:t>
      </w:r>
      <w:r w:rsidR="00CD5AD7">
        <w:t xml:space="preserve">los </w:t>
      </w:r>
      <w:r>
        <w:t xml:space="preserve">elefantes salvajes, </w:t>
      </w:r>
      <w:r w:rsidR="00CD5AD7">
        <w:t xml:space="preserve">los </w:t>
      </w:r>
      <w:r>
        <w:t>caballos, etc.</w:t>
      </w:r>
    </w:p>
    <w:p w14:paraId="6CF4074D" w14:textId="52388310" w:rsidR="00814682" w:rsidRDefault="00814682" w:rsidP="00814682">
      <w:r>
        <w:t xml:space="preserve">10. </w:t>
      </w:r>
      <w:r>
        <w:tab/>
        <w:t>Así que esta experiencia repulsiva que comienza con la alfombra que tiene que ser pis</w:t>
      </w:r>
      <w:r w:rsidR="00CD5AD7">
        <w:t>a</w:t>
      </w:r>
      <w:r>
        <w:t xml:space="preserve">da y </w:t>
      </w:r>
      <w:r w:rsidR="00CD5AD7">
        <w:t xml:space="preserve">que </w:t>
      </w:r>
      <w:r>
        <w:t>termina con los diversos tipos de cadáveres que tienen que ser vistos y olidos, ten</w:t>
      </w:r>
      <w:r w:rsidR="00E7385B">
        <w:t>drá</w:t>
      </w:r>
      <w:r>
        <w:t xml:space="preserve"> que ser experimentada en aras del alimento: “</w:t>
      </w:r>
      <w:r w:rsidR="005D6576">
        <w:t>¡</w:t>
      </w:r>
      <w:r>
        <w:t xml:space="preserve">Oh, </w:t>
      </w:r>
      <w:r w:rsidR="00C839EB">
        <w:t>e</w:t>
      </w:r>
      <w:r w:rsidR="00E7385B">
        <w:t xml:space="preserve">l </w:t>
      </w:r>
      <w:r>
        <w:t xml:space="preserve">alimento </w:t>
      </w:r>
      <w:r w:rsidR="00C839EB">
        <w:t>es</w:t>
      </w:r>
      <w:r>
        <w:t xml:space="preserve"> de hecho una cosa repulsiva!”</w:t>
      </w:r>
    </w:p>
    <w:p w14:paraId="68C90344" w14:textId="4467F510" w:rsidR="00814682" w:rsidRDefault="00814682" w:rsidP="00814682">
      <w:pPr>
        <w:pStyle w:val="NormalConSangria"/>
      </w:pPr>
      <w:r>
        <w:t xml:space="preserve">Así es como debe revisarse la repulsión </w:t>
      </w:r>
      <w:r w:rsidRPr="00337052">
        <w:rPr>
          <w:i/>
          <w:iCs/>
        </w:rPr>
        <w:t>en cuanto</w:t>
      </w:r>
      <w:r>
        <w:t xml:space="preserve"> a </w:t>
      </w:r>
      <w:r w:rsidRPr="008F7DC2">
        <w:rPr>
          <w:i/>
          <w:iCs/>
        </w:rPr>
        <w:t>ir</w:t>
      </w:r>
      <w:r w:rsidR="00C839EB" w:rsidRPr="008F7DC2">
        <w:rPr>
          <w:i/>
          <w:iCs/>
        </w:rPr>
        <w:t xml:space="preserve"> por él</w:t>
      </w:r>
      <w:r>
        <w:t>.</w:t>
      </w:r>
    </w:p>
    <w:p w14:paraId="028F2FEF" w14:textId="360CFB1A" w:rsidR="00814682" w:rsidRDefault="00814682" w:rsidP="00814682">
      <w:r>
        <w:t xml:space="preserve">11. </w:t>
      </w:r>
      <w:r>
        <w:tab/>
      </w:r>
      <w:r w:rsidRPr="001A37B6">
        <w:rPr>
          <w:i/>
          <w:iCs/>
        </w:rPr>
        <w:t>2.</w:t>
      </w:r>
      <w:r>
        <w:t xml:space="preserve"> ¿Cómo </w:t>
      </w:r>
      <w:r w:rsidR="00A35A07">
        <w:rPr>
          <w:i/>
          <w:iCs/>
        </w:rPr>
        <w:t>en cuanto a</w:t>
      </w:r>
      <w:r w:rsidR="00984CD1" w:rsidRPr="00984CD1">
        <w:rPr>
          <w:i/>
          <w:iCs/>
        </w:rPr>
        <w:t xml:space="preserve"> </w:t>
      </w:r>
      <w:r w:rsidR="008F7DC2">
        <w:rPr>
          <w:i/>
          <w:iCs/>
        </w:rPr>
        <w:t>procurarlo</w:t>
      </w:r>
      <w:r>
        <w:t xml:space="preserve">? Cuando </w:t>
      </w:r>
      <w:r w:rsidR="00706E96">
        <w:t xml:space="preserve">él </w:t>
      </w:r>
      <w:r>
        <w:t>ha</w:t>
      </w:r>
      <w:r w:rsidR="00A35A07">
        <w:t>ya</w:t>
      </w:r>
      <w:r>
        <w:t xml:space="preserve"> </w:t>
      </w:r>
      <w:r w:rsidR="00706E96">
        <w:t xml:space="preserve">tenido que </w:t>
      </w:r>
      <w:r>
        <w:t>soporta</w:t>
      </w:r>
      <w:r w:rsidR="00706E96">
        <w:t>r</w:t>
      </w:r>
      <w:r>
        <w:t xml:space="preserve"> la repugnancia de </w:t>
      </w:r>
      <w:r w:rsidR="00EE3E30">
        <w:t>part</w:t>
      </w:r>
      <w:r>
        <w:t xml:space="preserve">ir </w:t>
      </w:r>
      <w:r w:rsidR="00706E96">
        <w:t>así</w:t>
      </w:r>
      <w:r>
        <w:t>, y ha</w:t>
      </w:r>
      <w:r w:rsidR="00EE3E30">
        <w:t>ya acud</w:t>
      </w:r>
      <w:r>
        <w:t>ido a la aldea, y est</w:t>
      </w:r>
      <w:r w:rsidR="00EE3E30">
        <w:t>é</w:t>
      </w:r>
      <w:r>
        <w:t xml:space="preserve"> vestido con su manto de parches, </w:t>
      </w:r>
      <w:r w:rsidR="00EE3E30">
        <w:t xml:space="preserve">tendrá </w:t>
      </w:r>
      <w:r>
        <w:t xml:space="preserve">que vagar por las calles de la aldea de casa en casa como un mendigo con un </w:t>
      </w:r>
      <w:r w:rsidR="001A37B6">
        <w:t>cuenco</w:t>
      </w:r>
      <w:r>
        <w:t xml:space="preserve"> en la mano. Y en la estación de lluvias, dondequiera que pise, sus pies se hund</w:t>
      </w:r>
      <w:r w:rsidR="00896BFF">
        <w:t>irá</w:t>
      </w:r>
      <w:r>
        <w:t>n en el agua y se enloda</w:t>
      </w:r>
      <w:r w:rsidR="00896BFF">
        <w:t>rá</w:t>
      </w:r>
      <w:r>
        <w:t>n hasta l</w:t>
      </w:r>
      <w:r w:rsidR="00896BFF">
        <w:t>a</w:t>
      </w:r>
      <w:r>
        <w:t xml:space="preserve">s </w:t>
      </w:r>
      <w:r w:rsidR="00896BFF">
        <w:t>pantorrillas</w:t>
      </w:r>
      <w:r>
        <w:t>.</w:t>
      </w:r>
      <w:r w:rsidRPr="00984CD1">
        <w:rPr>
          <w:vertAlign w:val="superscript"/>
        </w:rPr>
        <w:t>12</w:t>
      </w:r>
      <w:r>
        <w:t xml:space="preserve"> </w:t>
      </w:r>
      <w:r w:rsidR="00896BFF">
        <w:t xml:space="preserve">Él tendrá </w:t>
      </w:r>
      <w:r>
        <w:t xml:space="preserve">que sostener el cuenco con una mano y </w:t>
      </w:r>
      <w:r w:rsidR="00896BFF">
        <w:t xml:space="preserve">el ropaje </w:t>
      </w:r>
      <w:r>
        <w:t>levantad</w:t>
      </w:r>
      <w:r w:rsidR="00896BFF">
        <w:t>o</w:t>
      </w:r>
      <w:r>
        <w:t xml:space="preserve"> con la otra. En la temporada de calor </w:t>
      </w:r>
      <w:r w:rsidR="006E7470">
        <w:t xml:space="preserve">tendrá </w:t>
      </w:r>
      <w:r>
        <w:t>que andar con el cuerpo cubierto de tierra, hierba y polvo que arrastr</w:t>
      </w:r>
      <w:r w:rsidR="006E7470">
        <w:t>e</w:t>
      </w:r>
      <w:r>
        <w:t xml:space="preserve"> el viento. Al llegar a tal o cual puerta de </w:t>
      </w:r>
      <w:r w:rsidR="006E7470">
        <w:t xml:space="preserve">una </w:t>
      </w:r>
      <w:r>
        <w:t xml:space="preserve">casa </w:t>
      </w:r>
      <w:r w:rsidR="006E7470">
        <w:t xml:space="preserve">tendrá </w:t>
      </w:r>
      <w:r>
        <w:t xml:space="preserve">que ver y hasta pisar cunetas y pozos negros cubiertos de moscardones </w:t>
      </w:r>
      <w:proofErr w:type="gramStart"/>
      <w:r w:rsidR="006E7470">
        <w:t>e</w:t>
      </w:r>
      <w:proofErr w:type="gramEnd"/>
      <w:r>
        <w:t xml:space="preserve"> </w:t>
      </w:r>
      <w:r w:rsidR="00C25BA2">
        <w:t>burbujeando</w:t>
      </w:r>
      <w:r>
        <w:t xml:space="preserve"> </w:t>
      </w:r>
      <w:r w:rsidR="006E7470">
        <w:t xml:space="preserve">con </w:t>
      </w:r>
      <w:r>
        <w:t xml:space="preserve">toda especie de gusanos, todo mezclado con lavados de pescado, lavados de carne, lavados de arroz, </w:t>
      </w:r>
      <w:r w:rsidR="009D5860">
        <w:t>escupitajos</w:t>
      </w:r>
      <w:r>
        <w:t>, mocos, excrementos de perros y cerdos, y demás, de los que sal</w:t>
      </w:r>
      <w:r w:rsidR="009D5860">
        <w:t>drá</w:t>
      </w:r>
      <w:r>
        <w:t xml:space="preserve">n moscas </w:t>
      </w:r>
      <w:r w:rsidR="00C25BA2">
        <w:t>que</w:t>
      </w:r>
      <w:r>
        <w:t xml:space="preserve"> se pos</w:t>
      </w:r>
      <w:r w:rsidR="00C25BA2">
        <w:t>arán</w:t>
      </w:r>
      <w:r>
        <w:t xml:space="preserve"> en su </w:t>
      </w:r>
      <w:r w:rsidR="009D5860">
        <w:t xml:space="preserve">ropaje </w:t>
      </w:r>
      <w:r>
        <w:t>exterior de parches</w:t>
      </w:r>
      <w:r w:rsidR="00C25BA2">
        <w:t>,</w:t>
      </w:r>
      <w:r>
        <w:t xml:space="preserve"> </w:t>
      </w:r>
      <w:r w:rsidR="009D5860">
        <w:t xml:space="preserve">sobre </w:t>
      </w:r>
      <w:r>
        <w:t xml:space="preserve">su cuenco y </w:t>
      </w:r>
      <w:r w:rsidR="009D5860">
        <w:t xml:space="preserve">sobre </w:t>
      </w:r>
      <w:r>
        <w:t>su cabeza.</w:t>
      </w:r>
    </w:p>
    <w:p w14:paraId="4A2E8A56" w14:textId="351E8E2E" w:rsidR="00814682" w:rsidRDefault="00814682" w:rsidP="00814682">
      <w:r>
        <w:t xml:space="preserve">12. </w:t>
      </w:r>
      <w:r>
        <w:tab/>
        <w:t>Y cuando entr</w:t>
      </w:r>
      <w:r w:rsidR="00EF797C">
        <w:t>e</w:t>
      </w:r>
      <w:r>
        <w:t xml:space="preserve"> </w:t>
      </w:r>
      <w:r w:rsidR="00C25BA2">
        <w:t>a</w:t>
      </w:r>
      <w:r>
        <w:t xml:space="preserve"> una casa, unos da</w:t>
      </w:r>
      <w:r w:rsidR="00EF797C">
        <w:t>rá</w:t>
      </w:r>
      <w:r>
        <w:t>n y otros no. Y cuando d</w:t>
      </w:r>
      <w:r w:rsidR="00EF797C">
        <w:t>e</w:t>
      </w:r>
      <w:r>
        <w:t>n, algunos da</w:t>
      </w:r>
      <w:r w:rsidR="00EF797C">
        <w:t>rá</w:t>
      </w:r>
      <w:r>
        <w:t>n arroz cocido de ayer</w:t>
      </w:r>
      <w:r w:rsidR="00EF797C">
        <w:t>,</w:t>
      </w:r>
      <w:r>
        <w:t xml:space="preserve"> tortas</w:t>
      </w:r>
      <w:r w:rsidR="00FF149A">
        <w:t>,</w:t>
      </w:r>
      <w:r>
        <w:t xml:space="preserve"> </w:t>
      </w:r>
      <w:r w:rsidR="00FF149A">
        <w:t>mermeladas y</w:t>
      </w:r>
      <w:r>
        <w:t xml:space="preserve"> salsa </w:t>
      </w:r>
      <w:r w:rsidR="00FF149A">
        <w:t xml:space="preserve">rancias </w:t>
      </w:r>
      <w:r>
        <w:t>y demás.</w:t>
      </w:r>
      <w:r w:rsidRPr="00984CD1">
        <w:rPr>
          <w:vertAlign w:val="superscript"/>
        </w:rPr>
        <w:t>13</w:t>
      </w:r>
      <w:r>
        <w:t xml:space="preserve"> Algunos, sin </w:t>
      </w:r>
      <w:r w:rsidR="00FF149A">
        <w:t>ofrecer nada</w:t>
      </w:r>
      <w:r>
        <w:t>, di</w:t>
      </w:r>
      <w:r w:rsidR="00EF797C">
        <w:t>rá</w:t>
      </w:r>
      <w:r>
        <w:t xml:space="preserve">n: “Pase, </w:t>
      </w:r>
      <w:r w:rsidR="00EF797C">
        <w:t>Venerable Señor</w:t>
      </w:r>
      <w:r>
        <w:t>”, otros calla</w:t>
      </w:r>
      <w:r w:rsidR="00EF797C">
        <w:t>rá</w:t>
      </w:r>
      <w:r>
        <w:t>n como si no lo vie</w:t>
      </w:r>
      <w:r w:rsidR="00EF797C">
        <w:t>se</w:t>
      </w:r>
      <w:r>
        <w:t>n</w:t>
      </w:r>
      <w:r w:rsidR="00EF797C">
        <w:t>,</w:t>
      </w:r>
      <w:r>
        <w:t xml:space="preserve"> algunos evita</w:t>
      </w:r>
      <w:r w:rsidR="00FF149A">
        <w:t>rá</w:t>
      </w:r>
      <w:r>
        <w:t>n</w:t>
      </w:r>
    </w:p>
    <w:p w14:paraId="5505C9D3" w14:textId="77777777" w:rsidR="00814682" w:rsidRDefault="00814682" w:rsidP="00814682">
      <w:pPr>
        <w:pStyle w:val="PiedepginaLegal"/>
        <w:rPr>
          <w:u w:val="single"/>
        </w:rPr>
      </w:pPr>
      <w:r>
        <w:rPr>
          <w:u w:val="single"/>
        </w:rPr>
        <w:tab/>
      </w:r>
      <w:r>
        <w:rPr>
          <w:u w:val="single"/>
        </w:rPr>
        <w:tab/>
      </w:r>
      <w:r>
        <w:rPr>
          <w:u w:val="single"/>
        </w:rPr>
        <w:tab/>
      </w:r>
      <w:r>
        <w:rPr>
          <w:u w:val="single"/>
        </w:rPr>
        <w:tab/>
      </w:r>
    </w:p>
    <w:p w14:paraId="57FAB93F" w14:textId="7FC0406D" w:rsidR="00814682" w:rsidRDefault="00814682" w:rsidP="00814682">
      <w:pPr>
        <w:pStyle w:val="PiedepginaLegal"/>
      </w:pPr>
      <w:r>
        <w:t xml:space="preserve">11. </w:t>
      </w:r>
      <w:r w:rsidR="005D6576">
        <w:tab/>
      </w:r>
      <w:proofErr w:type="spellStart"/>
      <w:r w:rsidRPr="00984CD1">
        <w:rPr>
          <w:i/>
          <w:iCs/>
        </w:rPr>
        <w:t>Vitakka-māḷaka</w:t>
      </w:r>
      <w:proofErr w:type="spellEnd"/>
      <w:r>
        <w:t>— “logia de</w:t>
      </w:r>
      <w:r w:rsidR="009A604A">
        <w:t>l</w:t>
      </w:r>
      <w:r>
        <w:t xml:space="preserve"> debate”: </w:t>
      </w:r>
      <w:r w:rsidR="009A604A">
        <w:t xml:space="preserve">el </w:t>
      </w:r>
      <w:proofErr w:type="spellStart"/>
      <w:r>
        <w:t>Vism-mhṭ</w:t>
      </w:r>
      <w:proofErr w:type="spellEnd"/>
      <w:r>
        <w:t xml:space="preserve"> (pág. 339) dice: “'</w:t>
      </w:r>
      <w:proofErr w:type="spellStart"/>
      <w:r w:rsidRPr="00984CD1">
        <w:rPr>
          <w:i/>
          <w:iCs/>
        </w:rPr>
        <w:t>Kattha</w:t>
      </w:r>
      <w:proofErr w:type="spellEnd"/>
      <w:r w:rsidRPr="00984CD1">
        <w:rPr>
          <w:i/>
          <w:iCs/>
        </w:rPr>
        <w:t xml:space="preserve"> </w:t>
      </w:r>
      <w:proofErr w:type="spellStart"/>
      <w:r w:rsidRPr="00984CD1">
        <w:rPr>
          <w:i/>
          <w:iCs/>
        </w:rPr>
        <w:t>nu</w:t>
      </w:r>
      <w:proofErr w:type="spellEnd"/>
      <w:r w:rsidRPr="00984CD1">
        <w:rPr>
          <w:i/>
          <w:iCs/>
        </w:rPr>
        <w:t xml:space="preserve"> </w:t>
      </w:r>
      <w:proofErr w:type="spellStart"/>
      <w:r w:rsidRPr="00984CD1">
        <w:rPr>
          <w:i/>
          <w:iCs/>
        </w:rPr>
        <w:t>kho</w:t>
      </w:r>
      <w:proofErr w:type="spellEnd"/>
      <w:r w:rsidRPr="00984CD1">
        <w:rPr>
          <w:i/>
          <w:iCs/>
        </w:rPr>
        <w:t xml:space="preserve"> </w:t>
      </w:r>
      <w:proofErr w:type="spellStart"/>
      <w:r w:rsidRPr="00984CD1">
        <w:rPr>
          <w:i/>
          <w:iCs/>
        </w:rPr>
        <w:t>ajja</w:t>
      </w:r>
      <w:proofErr w:type="spellEnd"/>
      <w:r w:rsidRPr="00984CD1">
        <w:rPr>
          <w:i/>
          <w:iCs/>
        </w:rPr>
        <w:t xml:space="preserve"> </w:t>
      </w:r>
      <w:proofErr w:type="spellStart"/>
      <w:r w:rsidRPr="00984CD1">
        <w:rPr>
          <w:i/>
          <w:iCs/>
        </w:rPr>
        <w:t>bhikkhāya</w:t>
      </w:r>
      <w:proofErr w:type="spellEnd"/>
      <w:r w:rsidRPr="00984CD1">
        <w:rPr>
          <w:i/>
          <w:iCs/>
        </w:rPr>
        <w:t xml:space="preserve"> </w:t>
      </w:r>
      <w:proofErr w:type="spellStart"/>
      <w:r w:rsidRPr="00984CD1">
        <w:rPr>
          <w:i/>
          <w:iCs/>
        </w:rPr>
        <w:t>caritabban</w:t>
      </w:r>
      <w:proofErr w:type="spellEnd"/>
      <w:r w:rsidRPr="00984CD1">
        <w:rPr>
          <w:i/>
          <w:iCs/>
        </w:rPr>
        <w:t xml:space="preserve">' ti </w:t>
      </w:r>
      <w:proofErr w:type="spellStart"/>
      <w:r w:rsidRPr="00984CD1">
        <w:rPr>
          <w:i/>
          <w:iCs/>
        </w:rPr>
        <w:t>ādinā</w:t>
      </w:r>
      <w:proofErr w:type="spellEnd"/>
      <w:r w:rsidRPr="00984CD1">
        <w:rPr>
          <w:i/>
          <w:iCs/>
        </w:rPr>
        <w:t xml:space="preserve"> </w:t>
      </w:r>
      <w:proofErr w:type="spellStart"/>
      <w:r w:rsidRPr="00984CD1">
        <w:rPr>
          <w:i/>
          <w:iCs/>
        </w:rPr>
        <w:t>vitakkamāḷake</w:t>
      </w:r>
      <w:proofErr w:type="spellEnd"/>
      <w:r>
        <w:t xml:space="preserve">” (“en una logia para pensar en el </w:t>
      </w:r>
      <w:r w:rsidR="00F576A8">
        <w:t>pasaje</w:t>
      </w:r>
      <w:r>
        <w:t xml:space="preserve"> que comienza '¿</w:t>
      </w:r>
      <w:r w:rsidR="009A604A">
        <w:t xml:space="preserve">Hacia </w:t>
      </w:r>
      <w:r>
        <w:t xml:space="preserve">dónde debo ir para la </w:t>
      </w:r>
      <w:r w:rsidR="00F576A8">
        <w:t>ofrenda</w:t>
      </w:r>
      <w:r>
        <w:t xml:space="preserve"> hoy?'”).</w:t>
      </w:r>
    </w:p>
    <w:p w14:paraId="48A19D66" w14:textId="1EC3740A" w:rsidR="00814682" w:rsidRDefault="00814682" w:rsidP="00814682">
      <w:pPr>
        <w:pStyle w:val="PiedepginaLegal"/>
      </w:pPr>
      <w:r>
        <w:t xml:space="preserve">12. </w:t>
      </w:r>
      <w:r w:rsidR="005D6576">
        <w:tab/>
      </w:r>
      <w:proofErr w:type="spellStart"/>
      <w:r w:rsidRPr="00984CD1">
        <w:rPr>
          <w:i/>
          <w:iCs/>
        </w:rPr>
        <w:t>Piṇḍika-maṃsa</w:t>
      </w:r>
      <w:proofErr w:type="spellEnd"/>
      <w:r>
        <w:t xml:space="preserve">— “carne de los terneros” = </w:t>
      </w:r>
      <w:proofErr w:type="spellStart"/>
      <w:r w:rsidRPr="00984CD1">
        <w:rPr>
          <w:i/>
          <w:iCs/>
        </w:rPr>
        <w:t>jaṅghapiṇḍikaṃamsapadesa</w:t>
      </w:r>
      <w:proofErr w:type="spellEnd"/>
      <w:r>
        <w:t>. (</w:t>
      </w:r>
      <w:proofErr w:type="spellStart"/>
      <w:r>
        <w:t>Vism-mhṭ</w:t>
      </w:r>
      <w:proofErr w:type="spellEnd"/>
      <w:r>
        <w:t xml:space="preserve"> 340) Cf. VIII.97; también A-a 417. No en este sentido en </w:t>
      </w:r>
      <w:r w:rsidR="00F576A8">
        <w:t xml:space="preserve">el </w:t>
      </w:r>
      <w:r>
        <w:t>PED.</w:t>
      </w:r>
    </w:p>
    <w:p w14:paraId="2798492E" w14:textId="76631EC8" w:rsidR="005D6576" w:rsidRDefault="00814682" w:rsidP="00814682">
      <w:pPr>
        <w:pStyle w:val="PiedepginaLegal"/>
      </w:pPr>
      <w:r>
        <w:t xml:space="preserve">13. </w:t>
      </w:r>
      <w:r w:rsidR="005D6576">
        <w:tab/>
      </w:r>
      <w:proofErr w:type="spellStart"/>
      <w:r w:rsidRPr="00984CD1">
        <w:rPr>
          <w:i/>
          <w:iCs/>
        </w:rPr>
        <w:t>Kummāsa</w:t>
      </w:r>
      <w:proofErr w:type="spellEnd"/>
      <w:r>
        <w:t>— “gelatina”: generalmente se traduce como “</w:t>
      </w:r>
      <w:r w:rsidR="00CC797C">
        <w:t>dulce de leche</w:t>
      </w:r>
      <w:r>
        <w:t xml:space="preserve">”, pero los comentarios del </w:t>
      </w:r>
      <w:proofErr w:type="spellStart"/>
      <w:r w:rsidRPr="00984CD1">
        <w:rPr>
          <w:i/>
          <w:iCs/>
        </w:rPr>
        <w:t>Vinaya</w:t>
      </w:r>
      <w:proofErr w:type="spellEnd"/>
      <w:r>
        <w:t xml:space="preserve"> lo dan como hecho de maíz (</w:t>
      </w:r>
      <w:proofErr w:type="spellStart"/>
      <w:r w:rsidRPr="00CC797C">
        <w:rPr>
          <w:i/>
          <w:iCs/>
        </w:rPr>
        <w:t>yava</w:t>
      </w:r>
      <w:proofErr w:type="spellEnd"/>
      <w:r>
        <w:t>).</w:t>
      </w:r>
    </w:p>
    <w:p w14:paraId="7151B6A7" w14:textId="77777777" w:rsidR="005D6576" w:rsidRDefault="005D6576">
      <w:pPr>
        <w:tabs>
          <w:tab w:val="clear" w:pos="425"/>
        </w:tabs>
        <w:spacing w:after="160"/>
      </w:pPr>
      <w:r>
        <w:br w:type="page"/>
      </w:r>
    </w:p>
    <w:p w14:paraId="565B75E1" w14:textId="77777777" w:rsidR="001C4C62" w:rsidRDefault="001C4C62" w:rsidP="005D6576"/>
    <w:p w14:paraId="3E73AB7D" w14:textId="75F90BF2" w:rsidR="001C4C62" w:rsidRDefault="001C4C62" w:rsidP="001C4C62">
      <w:r>
        <w:t xml:space="preserve">sus </w:t>
      </w:r>
      <w:r w:rsidR="00FF149A">
        <w:t>rostros</w:t>
      </w:r>
      <w:r>
        <w:t>. Otros lo trata</w:t>
      </w:r>
      <w:r w:rsidR="00FF149A">
        <w:t>rá</w:t>
      </w:r>
      <w:r>
        <w:t xml:space="preserve">n con palabras </w:t>
      </w:r>
      <w:r w:rsidR="00C25BA2">
        <w:t>rudas</w:t>
      </w:r>
      <w:r>
        <w:t xml:space="preserve"> como: “V</w:t>
      </w:r>
      <w:r w:rsidR="00FF149A">
        <w:t>áyase</w:t>
      </w:r>
      <w:r>
        <w:t>, calvo”. Cuando ha</w:t>
      </w:r>
      <w:r w:rsidR="00FF149A">
        <w:t>ya</w:t>
      </w:r>
      <w:r>
        <w:t xml:space="preserve"> </w:t>
      </w:r>
      <w:r w:rsidR="00FF149A">
        <w:t xml:space="preserve">deambulado así por ofrendas </w:t>
      </w:r>
      <w:r>
        <w:t xml:space="preserve">en el pueblo como un mendigo, </w:t>
      </w:r>
      <w:r w:rsidR="00FF149A">
        <w:t xml:space="preserve">tendrá </w:t>
      </w:r>
      <w:r>
        <w:t>que apartarse de él.</w:t>
      </w:r>
    </w:p>
    <w:p w14:paraId="7686B79E" w14:textId="4DDCE5D8" w:rsidR="001C4C62" w:rsidRDefault="001C4C62" w:rsidP="001C4C62">
      <w:r>
        <w:t xml:space="preserve">13. </w:t>
      </w:r>
      <w:r>
        <w:tab/>
        <w:t xml:space="preserve">Entonces esta experiencia que comienza con la entrada </w:t>
      </w:r>
      <w:r w:rsidR="00E90CA3">
        <w:t>a</w:t>
      </w:r>
      <w:r>
        <w:t xml:space="preserve">l pueblo y termina con la salida de él, </w:t>
      </w:r>
      <w:r w:rsidR="00E626AA">
        <w:t xml:space="preserve">será </w:t>
      </w:r>
      <w:r>
        <w:t>repulsiva por el agua, el barro, etc., que ha</w:t>
      </w:r>
      <w:r w:rsidR="00E626AA">
        <w:t>brá</w:t>
      </w:r>
      <w:r>
        <w:t xml:space="preserve"> que pisar</w:t>
      </w:r>
      <w:r w:rsidR="00E90CA3">
        <w:t>,</w:t>
      </w:r>
      <w:r>
        <w:t xml:space="preserve"> ver y soportar, ten</w:t>
      </w:r>
      <w:r w:rsidR="00E90CA3">
        <w:t>drá</w:t>
      </w:r>
      <w:r>
        <w:t xml:space="preserve"> que ser sufrid</w:t>
      </w:r>
      <w:r w:rsidR="00E90CA3">
        <w:t>a</w:t>
      </w:r>
      <w:r>
        <w:t xml:space="preserve"> en </w:t>
      </w:r>
      <w:r w:rsidR="00E90CA3">
        <w:t>virtud de la comida</w:t>
      </w:r>
      <w:r>
        <w:t>: “¡Oh, el alimento es en verdad una cosa repulsiva!”</w:t>
      </w:r>
    </w:p>
    <w:p w14:paraId="293F271B" w14:textId="40CEF1A3" w:rsidR="001C4C62" w:rsidRDefault="001C4C62" w:rsidP="00D3396D">
      <w:pPr>
        <w:pStyle w:val="NormalConSangria"/>
      </w:pPr>
      <w:r>
        <w:t>Así es como debe revisarse la repulsi</w:t>
      </w:r>
      <w:r w:rsidR="00BE0882">
        <w:t>vidad</w:t>
      </w:r>
      <w:r>
        <w:t xml:space="preserve"> </w:t>
      </w:r>
      <w:r w:rsidRPr="00337052">
        <w:rPr>
          <w:i/>
          <w:iCs/>
        </w:rPr>
        <w:t>en cuanto a</w:t>
      </w:r>
      <w:r>
        <w:t xml:space="preserve"> </w:t>
      </w:r>
      <w:r w:rsidR="00E626AA" w:rsidRPr="00E626AA">
        <w:rPr>
          <w:i/>
          <w:iCs/>
        </w:rPr>
        <w:t>procurarlo</w:t>
      </w:r>
      <w:r>
        <w:t>. [344]</w:t>
      </w:r>
    </w:p>
    <w:p w14:paraId="76CBF047" w14:textId="71EE5CC2" w:rsidR="001C4C62" w:rsidRDefault="001C4C62" w:rsidP="001C4C62">
      <w:r>
        <w:t xml:space="preserve">14. </w:t>
      </w:r>
      <w:r>
        <w:tab/>
        <w:t xml:space="preserve">3. ¿Cómo </w:t>
      </w:r>
      <w:r w:rsidR="007E0054">
        <w:rPr>
          <w:i/>
          <w:iCs/>
        </w:rPr>
        <w:t xml:space="preserve">en cuanto a </w:t>
      </w:r>
      <w:r w:rsidR="00F447A6">
        <w:rPr>
          <w:i/>
          <w:iCs/>
        </w:rPr>
        <w:t>utilizarlo</w:t>
      </w:r>
      <w:r>
        <w:t xml:space="preserve">? Después de haber buscado </w:t>
      </w:r>
      <w:r w:rsidR="004A1178">
        <w:t xml:space="preserve">así </w:t>
      </w:r>
      <w:r>
        <w:t xml:space="preserve">el alimento y estar sentado cómodamente en </w:t>
      </w:r>
      <w:r w:rsidR="004A1178">
        <w:t>algú</w:t>
      </w:r>
      <w:r>
        <w:t xml:space="preserve">n lugar fuera de la aldea, mientras no haya metido la mano en él, podrá invitar a un </w:t>
      </w:r>
      <w:proofErr w:type="spellStart"/>
      <w:r w:rsidR="00057BF4" w:rsidRPr="00057BF4">
        <w:rPr>
          <w:i/>
        </w:rPr>
        <w:t>bhikkhu</w:t>
      </w:r>
      <w:proofErr w:type="spellEnd"/>
      <w:r>
        <w:t xml:space="preserve"> respetado o a una persona decente, si </w:t>
      </w:r>
      <w:r w:rsidR="008F041E">
        <w:t xml:space="preserve">viese a </w:t>
      </w:r>
      <w:r>
        <w:t>uno, para compartirlo; pero tan pronto como ha</w:t>
      </w:r>
      <w:r w:rsidR="008F041E">
        <w:t>ya</w:t>
      </w:r>
      <w:r>
        <w:t xml:space="preserve"> metido la mano en él por </w:t>
      </w:r>
      <w:r w:rsidR="008F041E">
        <w:t xml:space="preserve">el </w:t>
      </w:r>
      <w:r>
        <w:t>deseo de comer, se avergonzar</w:t>
      </w:r>
      <w:r w:rsidR="008F041E">
        <w:t>á</w:t>
      </w:r>
      <w:r>
        <w:t xml:space="preserve"> de decir: "Tom</w:t>
      </w:r>
      <w:r w:rsidR="008F041E">
        <w:t>e</w:t>
      </w:r>
      <w:r>
        <w:t xml:space="preserve"> un poco". Y cuando ha</w:t>
      </w:r>
      <w:r w:rsidR="008F041E">
        <w:t>ya</w:t>
      </w:r>
      <w:r>
        <w:t xml:space="preserve"> metido la mano y la est</w:t>
      </w:r>
      <w:r w:rsidR="008F041E">
        <w:t>é</w:t>
      </w:r>
      <w:r>
        <w:t xml:space="preserve"> apretando, el sudor que corr</w:t>
      </w:r>
      <w:r w:rsidR="008F041E">
        <w:t>a</w:t>
      </w:r>
      <w:r>
        <w:t xml:space="preserve"> por sus cinco dedos moja</w:t>
      </w:r>
      <w:r w:rsidR="008F041E">
        <w:t>rá</w:t>
      </w:r>
      <w:r>
        <w:t xml:space="preserve"> cualquier alimento seco y crujiente que pueda haber y lo empapa</w:t>
      </w:r>
      <w:r w:rsidR="008F041E">
        <w:t>rá</w:t>
      </w:r>
      <w:r>
        <w:t>.</w:t>
      </w:r>
    </w:p>
    <w:p w14:paraId="08CDB9D9" w14:textId="515D42B3" w:rsidR="001C4C62" w:rsidRDefault="001C4C62" w:rsidP="001C4C62">
      <w:r>
        <w:t xml:space="preserve">15. </w:t>
      </w:r>
      <w:r>
        <w:tab/>
        <w:t>Y cuando su buena apariencia se ha</w:t>
      </w:r>
      <w:r w:rsidR="008F041E">
        <w:t>ya</w:t>
      </w:r>
      <w:r>
        <w:t xml:space="preserve"> estropeado por haberla </w:t>
      </w:r>
      <w:r w:rsidR="00E563D9">
        <w:t>apretado</w:t>
      </w:r>
      <w:r>
        <w:t xml:space="preserve"> y se ha</w:t>
      </w:r>
      <w:r w:rsidR="008F041E">
        <w:t>ya</w:t>
      </w:r>
      <w:r>
        <w:t xml:space="preserve"> convertido en un bo</w:t>
      </w:r>
      <w:r w:rsidR="008F041E">
        <w:t>cado</w:t>
      </w:r>
      <w:r>
        <w:t xml:space="preserve"> y se la ha</w:t>
      </w:r>
      <w:r w:rsidR="00F07C66">
        <w:t>ya</w:t>
      </w:r>
      <w:r>
        <w:t xml:space="preserve"> puesto en la boca, entonces los dientes inferiores funciona</w:t>
      </w:r>
      <w:r w:rsidR="00F07C66">
        <w:t>rá</w:t>
      </w:r>
      <w:r>
        <w:t>n como un mortero, los dientes superiores como una maja y la lengua como una mano. Allí lo machaca</w:t>
      </w:r>
      <w:r w:rsidR="00E563D9">
        <w:t>rá</w:t>
      </w:r>
      <w:r>
        <w:t xml:space="preserve"> con el mortero de los dientes como la comida de un perro en el comedero de un perro, mientras él le </w:t>
      </w:r>
      <w:proofErr w:type="spellStart"/>
      <w:r>
        <w:t>d</w:t>
      </w:r>
      <w:r w:rsidR="00E563D9">
        <w:t>e</w:t>
      </w:r>
      <w:proofErr w:type="spellEnd"/>
      <w:r>
        <w:t xml:space="preserve"> vueltas y vueltas con la lengua; luego la saliva fina en la punta de la lengua la </w:t>
      </w:r>
      <w:r w:rsidR="00ED49A9">
        <w:t>hidratará</w:t>
      </w:r>
      <w:r>
        <w:t xml:space="preserve">, y la saliva espesa detrás de la mitad de la lengua la </w:t>
      </w:r>
      <w:r w:rsidR="00ED49A9">
        <w:t>humedecerá</w:t>
      </w:r>
      <w:r>
        <w:t xml:space="preserve"> y la suciedad de los dientes en las partes donde un </w:t>
      </w:r>
      <w:r w:rsidR="00ED49A9" w:rsidRPr="00ED49A9">
        <w:rPr>
          <w:iCs/>
        </w:rPr>
        <w:t>palillo</w:t>
      </w:r>
      <w:r w:rsidR="00ED49A9">
        <w:rPr>
          <w:i/>
        </w:rPr>
        <w:t xml:space="preserve"> </w:t>
      </w:r>
      <w:r>
        <w:t xml:space="preserve">no </w:t>
      </w:r>
      <w:r w:rsidR="00587547">
        <w:t xml:space="preserve">haya podido </w:t>
      </w:r>
      <w:r w:rsidR="00337052">
        <w:t xml:space="preserve">llegar la </w:t>
      </w:r>
      <w:r w:rsidR="00744985">
        <w:t>humedecerla</w:t>
      </w:r>
      <w:r>
        <w:t>.</w:t>
      </w:r>
    </w:p>
    <w:p w14:paraId="575F7C98" w14:textId="6A028EAC" w:rsidR="001C4C62" w:rsidRDefault="001C4C62" w:rsidP="001C4C62">
      <w:r>
        <w:t xml:space="preserve">16. </w:t>
      </w:r>
      <w:r>
        <w:tab/>
        <w:t>Cuando así se tritur</w:t>
      </w:r>
      <w:r w:rsidR="00F95687">
        <w:t>e</w:t>
      </w:r>
      <w:r>
        <w:t xml:space="preserve"> y se unt</w:t>
      </w:r>
      <w:r w:rsidR="00F95687">
        <w:t>e</w:t>
      </w:r>
      <w:r>
        <w:t>, este compuesto peculiar ahora desprovisto del color y olor originales se reduc</w:t>
      </w:r>
      <w:r w:rsidR="00F95687">
        <w:t>irá</w:t>
      </w:r>
      <w:r>
        <w:t xml:space="preserve"> a una condición tan absolutamente nauseabunda como el vómito de un perro en el comedero de un perro. Sin embargo, a pesar de que </w:t>
      </w:r>
      <w:r w:rsidR="00F95687">
        <w:t>sea</w:t>
      </w:r>
      <w:r>
        <w:t xml:space="preserve"> así, todavía </w:t>
      </w:r>
      <w:r w:rsidR="00337052">
        <w:t xml:space="preserve">se </w:t>
      </w:r>
      <w:r w:rsidR="00F95687">
        <w:t xml:space="preserve">procederá </w:t>
      </w:r>
      <w:r w:rsidR="00337052">
        <w:t xml:space="preserve">a </w:t>
      </w:r>
      <w:r>
        <w:t>tragar</w:t>
      </w:r>
      <w:r w:rsidR="00F95687">
        <w:t>lo</w:t>
      </w:r>
      <w:r>
        <w:t xml:space="preserve"> </w:t>
      </w:r>
      <w:r w:rsidR="00F95687">
        <w:t xml:space="preserve">ya </w:t>
      </w:r>
      <w:r>
        <w:t>que no est</w:t>
      </w:r>
      <w:r w:rsidR="00F95687">
        <w:t>ar</w:t>
      </w:r>
      <w:r>
        <w:t xml:space="preserve">á </w:t>
      </w:r>
      <w:r w:rsidR="00F95687">
        <w:t xml:space="preserve">más </w:t>
      </w:r>
      <w:r>
        <w:t xml:space="preserve">dentro del alcance del foco </w:t>
      </w:r>
      <w:r w:rsidR="00337052">
        <w:t>visual</w:t>
      </w:r>
      <w:r>
        <w:t>.</w:t>
      </w:r>
    </w:p>
    <w:p w14:paraId="053BA6FE" w14:textId="5F37F39C" w:rsidR="001C4C62" w:rsidRDefault="001C4C62" w:rsidP="00B5105B">
      <w:pPr>
        <w:pStyle w:val="NormalConSangria"/>
      </w:pPr>
      <w:r>
        <w:t xml:space="preserve">Así es como se debe revisar la repulsividad </w:t>
      </w:r>
      <w:r w:rsidRPr="00337052">
        <w:rPr>
          <w:i/>
          <w:iCs/>
        </w:rPr>
        <w:t>en cuanto a</w:t>
      </w:r>
      <w:r w:rsidR="00B5105B" w:rsidRPr="00337052">
        <w:rPr>
          <w:i/>
          <w:iCs/>
        </w:rPr>
        <w:t xml:space="preserve"> su</w:t>
      </w:r>
      <w:r w:rsidRPr="00337052">
        <w:rPr>
          <w:i/>
          <w:iCs/>
        </w:rPr>
        <w:t xml:space="preserve"> </w:t>
      </w:r>
      <w:r w:rsidR="00337052" w:rsidRPr="00337052">
        <w:rPr>
          <w:i/>
          <w:iCs/>
        </w:rPr>
        <w:t>utilizarlo</w:t>
      </w:r>
      <w:r>
        <w:t>.</w:t>
      </w:r>
    </w:p>
    <w:p w14:paraId="5C821498" w14:textId="3E74A38D" w:rsidR="001C4C62" w:rsidRDefault="001C4C62" w:rsidP="001C4C62">
      <w:r>
        <w:t xml:space="preserve">17. </w:t>
      </w:r>
      <w:r>
        <w:tab/>
        <w:t xml:space="preserve">4. ¿Cómo </w:t>
      </w:r>
      <w:r w:rsidR="00D3396D">
        <w:rPr>
          <w:i/>
          <w:iCs/>
        </w:rPr>
        <w:t>en cuanto a</w:t>
      </w:r>
      <w:r w:rsidRPr="00984CD1">
        <w:rPr>
          <w:i/>
          <w:iCs/>
        </w:rPr>
        <w:t xml:space="preserve"> la secreción</w:t>
      </w:r>
      <w:r>
        <w:t xml:space="preserve">? Los </w:t>
      </w:r>
      <w:r w:rsidR="00057BF4" w:rsidRPr="00057BF4">
        <w:rPr>
          <w:i/>
        </w:rPr>
        <w:t>Buddha</w:t>
      </w:r>
      <w:r>
        <w:t xml:space="preserve">s, los </w:t>
      </w:r>
      <w:proofErr w:type="spellStart"/>
      <w:r w:rsidR="00582F30" w:rsidRPr="00984CD1">
        <w:rPr>
          <w:i/>
          <w:iCs/>
        </w:rPr>
        <w:t>Pacceka</w:t>
      </w:r>
      <w:r w:rsidR="00582F30" w:rsidRPr="00057BF4">
        <w:rPr>
          <w:i/>
          <w:iCs/>
        </w:rPr>
        <w:t>buddha</w:t>
      </w:r>
      <w:r w:rsidR="00582F30" w:rsidRPr="00984CD1">
        <w:rPr>
          <w:i/>
          <w:iCs/>
        </w:rPr>
        <w:t>s</w:t>
      </w:r>
      <w:proofErr w:type="spellEnd"/>
      <w:r w:rsidR="00582F30">
        <w:t xml:space="preserve"> </w:t>
      </w:r>
      <w:r>
        <w:t xml:space="preserve">y los Monarcas </w:t>
      </w:r>
      <w:r w:rsidR="00E67050">
        <w:t xml:space="preserve">Universales </w:t>
      </w:r>
      <w:r>
        <w:t xml:space="preserve">que </w:t>
      </w:r>
      <w:r w:rsidR="00984CD1">
        <w:t xml:space="preserve">Hacen Girar </w:t>
      </w:r>
      <w:r>
        <w:t>la Rueda tienen solo una de las cuatro secreciones consisten</w:t>
      </w:r>
      <w:r w:rsidR="00582F30">
        <w:t>tes</w:t>
      </w:r>
      <w:r>
        <w:t xml:space="preserve"> </w:t>
      </w:r>
      <w:r w:rsidR="00582F30">
        <w:t>de</w:t>
      </w:r>
      <w:r>
        <w:t xml:space="preserve"> </w:t>
      </w:r>
      <w:r w:rsidR="00582F30">
        <w:t xml:space="preserve">la </w:t>
      </w:r>
      <w:r>
        <w:t xml:space="preserve">bilis, </w:t>
      </w:r>
      <w:r w:rsidR="00582F30">
        <w:t xml:space="preserve">la </w:t>
      </w:r>
      <w:r>
        <w:t xml:space="preserve">flema, </w:t>
      </w:r>
      <w:r w:rsidR="00F47415">
        <w:t xml:space="preserve">el </w:t>
      </w:r>
      <w:r>
        <w:t xml:space="preserve">pus y </w:t>
      </w:r>
      <w:r w:rsidR="00F47415">
        <w:t xml:space="preserve">la </w:t>
      </w:r>
      <w:r>
        <w:t xml:space="preserve">sangre, pero aquellos con mérito débil </w:t>
      </w:r>
      <w:r w:rsidR="00F47415">
        <w:t>poseen</w:t>
      </w:r>
      <w:r>
        <w:t xml:space="preserve"> las cuatro. Entonces, cuando la comida ha</w:t>
      </w:r>
      <w:r w:rsidR="00F47415">
        <w:t>ya</w:t>
      </w:r>
      <w:r>
        <w:t xml:space="preserve"> llegado a la etapa de ser </w:t>
      </w:r>
      <w:r w:rsidR="00E228E7">
        <w:t>masticada</w:t>
      </w:r>
      <w:r>
        <w:t xml:space="preserve"> </w:t>
      </w:r>
      <w:r w:rsidR="00F47415">
        <w:t>e ingerida</w:t>
      </w:r>
      <w:r>
        <w:t>, en alguien cuya secreción de bilis s</w:t>
      </w:r>
      <w:r w:rsidR="00F47415">
        <w:t>ea</w:t>
      </w:r>
      <w:r>
        <w:t xml:space="preserve"> excesiva, se </w:t>
      </w:r>
      <w:r w:rsidR="00F47415">
        <w:t xml:space="preserve">volverá </w:t>
      </w:r>
      <w:r>
        <w:t xml:space="preserve">tan absolutamente nauseabundo como si </w:t>
      </w:r>
      <w:r w:rsidR="00B179D5">
        <w:t xml:space="preserve">lo </w:t>
      </w:r>
      <w:r>
        <w:t xml:space="preserve">estuviera untado con aceite de </w:t>
      </w:r>
      <w:proofErr w:type="spellStart"/>
      <w:r w:rsidRPr="00984CD1">
        <w:rPr>
          <w:i/>
          <w:iCs/>
        </w:rPr>
        <w:t>madhuka</w:t>
      </w:r>
      <w:proofErr w:type="spellEnd"/>
      <w:r>
        <w:t xml:space="preserve"> espeso; en aquel cuya secreción de flema </w:t>
      </w:r>
      <w:r w:rsidR="00C91046">
        <w:t>se dé en</w:t>
      </w:r>
      <w:r>
        <w:t xml:space="preserve"> exceso </w:t>
      </w:r>
      <w:r w:rsidR="00E228E7">
        <w:t>se</w:t>
      </w:r>
      <w:r w:rsidR="00C91046">
        <w:t>rá</w:t>
      </w:r>
      <w:r w:rsidR="00B179D5">
        <w:t xml:space="preserve"> </w:t>
      </w:r>
      <w:r>
        <w:t xml:space="preserve">como </w:t>
      </w:r>
      <w:r w:rsidR="005D73FC">
        <w:t xml:space="preserve">si la comida fuese </w:t>
      </w:r>
      <w:r>
        <w:t>untad</w:t>
      </w:r>
      <w:r w:rsidR="005D73FC">
        <w:t>a</w:t>
      </w:r>
      <w:r>
        <w:t xml:space="preserve"> con jugo de hojas de </w:t>
      </w:r>
      <w:r w:rsidRPr="00984CD1">
        <w:rPr>
          <w:i/>
          <w:iCs/>
        </w:rPr>
        <w:t>n</w:t>
      </w:r>
      <w:r w:rsidR="00984CD1" w:rsidRPr="00984CD1">
        <w:rPr>
          <w:i/>
          <w:iCs/>
        </w:rPr>
        <w:t>ā</w:t>
      </w:r>
      <w:r w:rsidRPr="00984CD1">
        <w:rPr>
          <w:i/>
          <w:iCs/>
        </w:rPr>
        <w:t>gabal</w:t>
      </w:r>
      <w:r w:rsidR="00984CD1" w:rsidRPr="00984CD1">
        <w:rPr>
          <w:i/>
          <w:iCs/>
        </w:rPr>
        <w:t>ā</w:t>
      </w:r>
      <w:r>
        <w:t>;</w:t>
      </w:r>
      <w:r w:rsidRPr="00984CD1">
        <w:rPr>
          <w:vertAlign w:val="superscript"/>
        </w:rPr>
        <w:t>14</w:t>
      </w:r>
      <w:r>
        <w:t xml:space="preserve"> en </w:t>
      </w:r>
      <w:r w:rsidR="00FC717B">
        <w:t>alguien</w:t>
      </w:r>
      <w:r>
        <w:t xml:space="preserve"> cuya secreción de pus </w:t>
      </w:r>
      <w:r w:rsidR="0008562C">
        <w:t xml:space="preserve">sea </w:t>
      </w:r>
      <w:r>
        <w:t>exces</w:t>
      </w:r>
      <w:r w:rsidR="0008562C">
        <w:t>iva</w:t>
      </w:r>
      <w:r>
        <w:t xml:space="preserve"> </w:t>
      </w:r>
      <w:r w:rsidR="0008562C">
        <w:t xml:space="preserve">será </w:t>
      </w:r>
      <w:r>
        <w:t xml:space="preserve">como </w:t>
      </w:r>
      <w:r w:rsidR="0008562C">
        <w:t xml:space="preserve">si la comida fuese </w:t>
      </w:r>
      <w:r>
        <w:t>untad</w:t>
      </w:r>
      <w:r w:rsidR="0008562C">
        <w:t>a</w:t>
      </w:r>
      <w:r>
        <w:t xml:space="preserve"> con suero de leche ranci</w:t>
      </w:r>
      <w:r w:rsidR="0024592F">
        <w:t>a</w:t>
      </w:r>
      <w:r>
        <w:t xml:space="preserve">; y en alguien cuya secreción de sangre </w:t>
      </w:r>
      <w:r w:rsidR="0024592F">
        <w:t xml:space="preserve">sea </w:t>
      </w:r>
      <w:r>
        <w:t>exces</w:t>
      </w:r>
      <w:r w:rsidR="0024592F">
        <w:t>iva</w:t>
      </w:r>
      <w:r>
        <w:t xml:space="preserve">, </w:t>
      </w:r>
      <w:r w:rsidR="0024592F">
        <w:t xml:space="preserve">será </w:t>
      </w:r>
      <w:r>
        <w:t>tan absolutamente nauseabundo como si estuviera untado con tinte. Así es como debe revisarse la repulsi</w:t>
      </w:r>
      <w:r w:rsidR="0024592F">
        <w:t>vidad de la comida</w:t>
      </w:r>
      <w:r>
        <w:t xml:space="preserve"> en cuanto a la secreción.</w:t>
      </w:r>
    </w:p>
    <w:p w14:paraId="055CFF83" w14:textId="67225046" w:rsidR="001C4C62" w:rsidRDefault="001C4C62" w:rsidP="001C4C62">
      <w:r>
        <w:t xml:space="preserve">18. </w:t>
      </w:r>
      <w:r>
        <w:tab/>
        <w:t xml:space="preserve">5. ¿Cómo </w:t>
      </w:r>
      <w:r w:rsidR="0024592F">
        <w:rPr>
          <w:i/>
          <w:iCs/>
        </w:rPr>
        <w:t>en cuanto a</w:t>
      </w:r>
      <w:r w:rsidRPr="00984CD1">
        <w:rPr>
          <w:i/>
          <w:iCs/>
        </w:rPr>
        <w:t>l receptáculo</w:t>
      </w:r>
      <w:r>
        <w:t xml:space="preserve">? Cuando </w:t>
      </w:r>
      <w:r w:rsidR="000D3912">
        <w:t xml:space="preserve">la comida </w:t>
      </w:r>
      <w:r>
        <w:t>ha</w:t>
      </w:r>
      <w:r w:rsidR="000D3912">
        <w:t>ya</w:t>
      </w:r>
      <w:r>
        <w:t xml:space="preserve"> entrado en el vientre y </w:t>
      </w:r>
      <w:r w:rsidR="00B3449C">
        <w:t xml:space="preserve">se mezcle </w:t>
      </w:r>
      <w:r>
        <w:t>con una de estas secreciones, entonces el receptáculo en el que entr</w:t>
      </w:r>
      <w:r w:rsidR="00B3449C">
        <w:t>e</w:t>
      </w:r>
      <w:r>
        <w:t xml:space="preserve"> no </w:t>
      </w:r>
      <w:r w:rsidR="00B3449C">
        <w:t xml:space="preserve">será precisamente </w:t>
      </w:r>
      <w:r>
        <w:t xml:space="preserve">un </w:t>
      </w:r>
      <w:r w:rsidR="00457DBE">
        <w:t>receptáculo</w:t>
      </w:r>
      <w:r>
        <w:t xml:space="preserve"> de oro, ni un</w:t>
      </w:r>
      <w:r w:rsidR="00457DBE">
        <w:t>o</w:t>
      </w:r>
      <w:r>
        <w:t xml:space="preserve"> de cristal, ni un</w:t>
      </w:r>
      <w:r w:rsidR="00457DBE">
        <w:t>o</w:t>
      </w:r>
      <w:r>
        <w:t xml:space="preserve"> de plata, etc. Por el contrario, si </w:t>
      </w:r>
      <w:r w:rsidR="00DA6DB5">
        <w:t xml:space="preserve">ha </w:t>
      </w:r>
      <w:r w:rsidR="0044296E">
        <w:t xml:space="preserve">sido </w:t>
      </w:r>
      <w:r>
        <w:t xml:space="preserve">tragado por </w:t>
      </w:r>
      <w:r w:rsidR="0044296E">
        <w:t xml:space="preserve">alguien </w:t>
      </w:r>
      <w:r>
        <w:t>de diez años, se enc</w:t>
      </w:r>
      <w:r w:rsidR="00DA6DB5">
        <w:t>o</w:t>
      </w:r>
      <w:r>
        <w:t>ntra</w:t>
      </w:r>
      <w:r w:rsidR="00DA6DB5">
        <w:t>rá</w:t>
      </w:r>
      <w:r>
        <w:t xml:space="preserve"> </w:t>
      </w:r>
      <w:r w:rsidR="00DA6DB5">
        <w:t xml:space="preserve">con </w:t>
      </w:r>
      <w:r>
        <w:t xml:space="preserve">un lugar </w:t>
      </w:r>
      <w:r w:rsidR="00DA6DB5">
        <w:t xml:space="preserve">parecido a </w:t>
      </w:r>
      <w:r>
        <w:t xml:space="preserve">un pozo negro sin lavar durante diez años. [345] Si se lo </w:t>
      </w:r>
      <w:r w:rsidR="006C5AC1">
        <w:t xml:space="preserve">ha </w:t>
      </w:r>
      <w:r>
        <w:t>traga</w:t>
      </w:r>
      <w:r w:rsidR="006C5AC1">
        <w:t>do</w:t>
      </w:r>
      <w:r>
        <w:t xml:space="preserve"> </w:t>
      </w:r>
      <w:r w:rsidR="0044296E">
        <w:t xml:space="preserve">alguien </w:t>
      </w:r>
      <w:r>
        <w:t>de veinte, treinta, cuarenta, cincuenta, sesenta,</w:t>
      </w:r>
    </w:p>
    <w:p w14:paraId="66BBC43E" w14:textId="77777777" w:rsidR="001C4C62" w:rsidRDefault="001C4C62" w:rsidP="001C4C62">
      <w:pPr>
        <w:pStyle w:val="PiedepginaLegal"/>
        <w:rPr>
          <w:u w:val="single"/>
        </w:rPr>
      </w:pPr>
      <w:r>
        <w:rPr>
          <w:u w:val="single"/>
        </w:rPr>
        <w:tab/>
      </w:r>
      <w:r>
        <w:rPr>
          <w:u w:val="single"/>
        </w:rPr>
        <w:tab/>
      </w:r>
      <w:r>
        <w:rPr>
          <w:u w:val="single"/>
        </w:rPr>
        <w:tab/>
      </w:r>
      <w:r>
        <w:rPr>
          <w:u w:val="single"/>
        </w:rPr>
        <w:tab/>
      </w:r>
    </w:p>
    <w:p w14:paraId="281CFC4C" w14:textId="52B03EBF" w:rsidR="001C4C62" w:rsidRDefault="001C4C62" w:rsidP="001C4C62">
      <w:pPr>
        <w:pStyle w:val="PiedepginaLegal"/>
      </w:pPr>
      <w:r>
        <w:t xml:space="preserve">14. </w:t>
      </w:r>
      <w:r w:rsidR="00984CD1">
        <w:tab/>
      </w:r>
      <w:proofErr w:type="spellStart"/>
      <w:r w:rsidRPr="00984CD1">
        <w:rPr>
          <w:i/>
          <w:iCs/>
        </w:rPr>
        <w:t>Nāgabalā</w:t>
      </w:r>
      <w:proofErr w:type="spellEnd"/>
      <w:r>
        <w:t xml:space="preserve">—una especie de planta; no en </w:t>
      </w:r>
      <w:r w:rsidR="00FC717B">
        <w:t xml:space="preserve">el </w:t>
      </w:r>
      <w:r>
        <w:t>PED.</w:t>
      </w:r>
    </w:p>
    <w:p w14:paraId="73A5BF82" w14:textId="77777777" w:rsidR="001C4C62" w:rsidRDefault="001C4C62">
      <w:pPr>
        <w:tabs>
          <w:tab w:val="clear" w:pos="425"/>
        </w:tabs>
        <w:spacing w:after="160"/>
        <w:rPr>
          <w:color w:val="000000" w:themeColor="text1"/>
          <w:spacing w:val="10"/>
          <w:sz w:val="14"/>
        </w:rPr>
      </w:pPr>
      <w:r>
        <w:br w:type="page"/>
      </w:r>
    </w:p>
    <w:p w14:paraId="6CD7E18F" w14:textId="77777777" w:rsidR="00457DBE" w:rsidRDefault="00B650D0" w:rsidP="00B650D0">
      <w:r>
        <w:lastRenderedPageBreak/>
        <w:t xml:space="preserve">setenta, ochenta, noventa años, si es tragado por </w:t>
      </w:r>
      <w:r w:rsidR="0044296E">
        <w:t xml:space="preserve">alguien </w:t>
      </w:r>
      <w:r>
        <w:t xml:space="preserve">de cien años, se </w:t>
      </w:r>
      <w:r w:rsidR="0044296E">
        <w:t xml:space="preserve">encontrará con </w:t>
      </w:r>
      <w:r>
        <w:t xml:space="preserve">un lugar </w:t>
      </w:r>
      <w:r w:rsidR="0044296E">
        <w:t xml:space="preserve">parecido a </w:t>
      </w:r>
      <w:r>
        <w:t xml:space="preserve">un pozo negro sin lavar durante cien años. </w:t>
      </w:r>
    </w:p>
    <w:p w14:paraId="68FA77BB" w14:textId="2A6E8458" w:rsidR="00B650D0" w:rsidRDefault="00B650D0" w:rsidP="00457DBE">
      <w:pPr>
        <w:pStyle w:val="NormalConSangria"/>
      </w:pPr>
      <w:r>
        <w:t xml:space="preserve">Así es como debe revisarse la repulsividad </w:t>
      </w:r>
      <w:r w:rsidRPr="00457DBE">
        <w:rPr>
          <w:i/>
          <w:iCs/>
        </w:rPr>
        <w:t>en cuanto al receptáculo</w:t>
      </w:r>
      <w:r>
        <w:t>.</w:t>
      </w:r>
    </w:p>
    <w:p w14:paraId="69DC0A1D" w14:textId="77777777" w:rsidR="007634E4" w:rsidRDefault="00B650D0" w:rsidP="00B650D0">
      <w:r>
        <w:t xml:space="preserve">19. </w:t>
      </w:r>
      <w:r>
        <w:tab/>
        <w:t>6. ¿</w:t>
      </w:r>
      <w:r w:rsidR="00DA1E90">
        <w:t xml:space="preserve">Cómo </w:t>
      </w:r>
      <w:r w:rsidR="00DA1E90" w:rsidRPr="00562656">
        <w:rPr>
          <w:i/>
          <w:iCs/>
        </w:rPr>
        <w:t xml:space="preserve">en cuanto a lo no </w:t>
      </w:r>
      <w:r w:rsidR="006D7D2E">
        <w:rPr>
          <w:i/>
          <w:iCs/>
        </w:rPr>
        <w:t>digerido</w:t>
      </w:r>
      <w:r>
        <w:t xml:space="preserve"> (</w:t>
      </w:r>
      <w:r w:rsidR="00457DBE">
        <w:t xml:space="preserve">a lo </w:t>
      </w:r>
      <w:r w:rsidR="00491BA7">
        <w:t xml:space="preserve">que </w:t>
      </w:r>
      <w:r>
        <w:t>no se digier</w:t>
      </w:r>
      <w:r w:rsidR="00984CD1">
        <w:t>a</w:t>
      </w:r>
      <w:r>
        <w:t>)? Después de que este alimento ha</w:t>
      </w:r>
      <w:r w:rsidR="00491BA7">
        <w:t>ya</w:t>
      </w:r>
      <w:r>
        <w:t xml:space="preserve"> llegado a </w:t>
      </w:r>
      <w:r w:rsidR="00C46B5E">
        <w:t>un</w:t>
      </w:r>
      <w:r>
        <w:t xml:space="preserve"> lugar </w:t>
      </w:r>
      <w:r w:rsidR="00C46B5E">
        <w:t xml:space="preserve">así </w:t>
      </w:r>
      <w:r>
        <w:t xml:space="preserve">para su </w:t>
      </w:r>
      <w:r w:rsidR="000800E0">
        <w:t>recepción</w:t>
      </w:r>
      <w:r>
        <w:t>, mientras permane</w:t>
      </w:r>
      <w:r w:rsidR="006175D7">
        <w:t>zca</w:t>
      </w:r>
      <w:r>
        <w:t xml:space="preserve"> </w:t>
      </w:r>
      <w:r w:rsidR="00F30B69">
        <w:t xml:space="preserve">sin digerir se mantendrá </w:t>
      </w:r>
      <w:r>
        <w:t xml:space="preserve">en el mismo lugar que acabamos de describir, </w:t>
      </w:r>
      <w:r w:rsidR="006175D7">
        <w:t xml:space="preserve">el cual </w:t>
      </w:r>
      <w:r>
        <w:t>est</w:t>
      </w:r>
      <w:r w:rsidR="006175D7">
        <w:t>ar</w:t>
      </w:r>
      <w:r>
        <w:t>á envuelto en una oscuridad absoluta, penetrado por corrientes de aire,</w:t>
      </w:r>
      <w:r w:rsidRPr="00984CD1">
        <w:rPr>
          <w:vertAlign w:val="superscript"/>
        </w:rPr>
        <w:t>15</w:t>
      </w:r>
      <w:r>
        <w:t xml:space="preserve"> contaminado por varios olores de inmundicia y completamente fétido y repugnante. Y así como cuando una nube fuera de temporada ha</w:t>
      </w:r>
      <w:r w:rsidR="006175D7">
        <w:t>ya</w:t>
      </w:r>
      <w:r>
        <w:t xml:space="preserve"> llovido durante una sequía y pedazos de hierba</w:t>
      </w:r>
      <w:r w:rsidR="006175D7">
        <w:t>,</w:t>
      </w:r>
      <w:r>
        <w:t xml:space="preserve"> hojas</w:t>
      </w:r>
      <w:r w:rsidR="006175D7">
        <w:t>,</w:t>
      </w:r>
      <w:r>
        <w:t xml:space="preserve"> juncos</w:t>
      </w:r>
      <w:r w:rsidR="006175D7">
        <w:t>,</w:t>
      </w:r>
      <w:r>
        <w:t xml:space="preserve"> cadáveres de serpientes, perros y seres humanos que se ha</w:t>
      </w:r>
      <w:r w:rsidR="00CC1798">
        <w:t>ya</w:t>
      </w:r>
      <w:r>
        <w:t xml:space="preserve">n </w:t>
      </w:r>
      <w:r w:rsidR="00CC1798">
        <w:t xml:space="preserve">aglomerado </w:t>
      </w:r>
      <w:r>
        <w:t>en un pozo a la puerta de un pueblo marginado queda</w:t>
      </w:r>
      <w:r w:rsidR="00CC1798">
        <w:t>r</w:t>
      </w:r>
      <w:r w:rsidR="007634E4">
        <w:t>ía</w:t>
      </w:r>
      <w:r>
        <w:t xml:space="preserve">n allí calentados por el calor del </w:t>
      </w:r>
      <w:r w:rsidR="00CC1798">
        <w:t xml:space="preserve">Sol </w:t>
      </w:r>
      <w:r>
        <w:t>hasta que el pozo se cubr</w:t>
      </w:r>
      <w:r w:rsidR="007634E4">
        <w:t>iese</w:t>
      </w:r>
      <w:r>
        <w:t xml:space="preserve"> de espuma y burbujas, así también lo que se ha</w:t>
      </w:r>
      <w:r w:rsidR="00CC1798">
        <w:t>ya</w:t>
      </w:r>
      <w:r>
        <w:t xml:space="preserve"> tragado ese día</w:t>
      </w:r>
      <w:r w:rsidR="007634E4">
        <w:t>,</w:t>
      </w:r>
      <w:r>
        <w:t xml:space="preserve"> ayer y anteayer queda</w:t>
      </w:r>
      <w:r w:rsidR="00CC1798">
        <w:t>rá</w:t>
      </w:r>
      <w:r>
        <w:t xml:space="preserve"> allí </w:t>
      </w:r>
      <w:r w:rsidR="00CC1798">
        <w:t>mezclado</w:t>
      </w:r>
      <w:r>
        <w:t xml:space="preserve"> y asfixiado por la capa de flema y cubierto de espuma y burbujas producidas por la digestión fermentad</w:t>
      </w:r>
      <w:r w:rsidR="005A6089">
        <w:t>a</w:t>
      </w:r>
      <w:r>
        <w:t xml:space="preserve"> por el calor de los fuegos corporales, </w:t>
      </w:r>
      <w:r w:rsidR="005A6089">
        <w:t xml:space="preserve">volviéndose </w:t>
      </w:r>
      <w:r>
        <w:t>bastante repugnante.</w:t>
      </w:r>
    </w:p>
    <w:p w14:paraId="6BD03751" w14:textId="36ADB70B" w:rsidR="00B650D0" w:rsidRDefault="00B650D0" w:rsidP="007634E4">
      <w:pPr>
        <w:pStyle w:val="NormalConSangria"/>
      </w:pPr>
      <w:r>
        <w:t xml:space="preserve"> Así </w:t>
      </w:r>
      <w:r w:rsidR="005A6089">
        <w:t xml:space="preserve">es cómo </w:t>
      </w:r>
      <w:r>
        <w:t xml:space="preserve">se debe revisar la </w:t>
      </w:r>
      <w:r w:rsidRPr="007634E4">
        <w:rPr>
          <w:i/>
          <w:iCs/>
        </w:rPr>
        <w:t xml:space="preserve">repulsividad en cuanto a lo </w:t>
      </w:r>
      <w:r w:rsidR="005A6089" w:rsidRPr="007634E4">
        <w:rPr>
          <w:i/>
          <w:iCs/>
        </w:rPr>
        <w:t xml:space="preserve">no </w:t>
      </w:r>
      <w:r w:rsidR="007634E4">
        <w:rPr>
          <w:i/>
          <w:iCs/>
        </w:rPr>
        <w:t>digerido</w:t>
      </w:r>
      <w:r>
        <w:t>.</w:t>
      </w:r>
    </w:p>
    <w:p w14:paraId="5C4E727A" w14:textId="77777777" w:rsidR="00177915" w:rsidRDefault="00B650D0" w:rsidP="00B650D0">
      <w:r>
        <w:t xml:space="preserve">20. </w:t>
      </w:r>
      <w:r>
        <w:tab/>
      </w:r>
      <w:r w:rsidRPr="00D06DA0">
        <w:rPr>
          <w:i/>
          <w:iCs/>
        </w:rPr>
        <w:t>7</w:t>
      </w:r>
      <w:r>
        <w:t xml:space="preserve">. ¿Cómo </w:t>
      </w:r>
      <w:r w:rsidR="005A6089">
        <w:rPr>
          <w:i/>
          <w:iCs/>
        </w:rPr>
        <w:t xml:space="preserve">en cuanto a lo </w:t>
      </w:r>
      <w:r w:rsidR="006D7D2E">
        <w:rPr>
          <w:i/>
          <w:iCs/>
        </w:rPr>
        <w:t>digerido</w:t>
      </w:r>
      <w:r>
        <w:t>? Cuando ha</w:t>
      </w:r>
      <w:r w:rsidR="005A6089">
        <w:t>ya</w:t>
      </w:r>
      <w:r>
        <w:t xml:space="preserve"> sido completamente </w:t>
      </w:r>
      <w:r w:rsidR="006D7D2E">
        <w:t>digerido</w:t>
      </w:r>
      <w:r>
        <w:t xml:space="preserve"> allí por los fuegos corporales, no se convert</w:t>
      </w:r>
      <w:r w:rsidR="005A6089">
        <w:t>irá</w:t>
      </w:r>
      <w:r>
        <w:t xml:space="preserve"> en oro, </w:t>
      </w:r>
      <w:r w:rsidR="00D06DA0">
        <w:t xml:space="preserve">ni en </w:t>
      </w:r>
      <w:r>
        <w:t>plata, etc., como lo hacen los minerales</w:t>
      </w:r>
      <w:r w:rsidRPr="00984CD1">
        <w:rPr>
          <w:vertAlign w:val="superscript"/>
        </w:rPr>
        <w:t>16</w:t>
      </w:r>
      <w:r>
        <w:t xml:space="preserve"> de</w:t>
      </w:r>
      <w:r w:rsidR="007634E4">
        <w:t>l</w:t>
      </w:r>
      <w:r>
        <w:t xml:space="preserve"> oro, </w:t>
      </w:r>
      <w:r w:rsidR="00D06DA0">
        <w:t xml:space="preserve">la </w:t>
      </w:r>
      <w:r>
        <w:t xml:space="preserve">plata, etc. </w:t>
      </w:r>
      <w:r w:rsidR="005A6089">
        <w:t xml:space="preserve">a través de la </w:t>
      </w:r>
      <w:r>
        <w:t xml:space="preserve">fundición. </w:t>
      </w:r>
      <w:r w:rsidR="005A6089">
        <w:t>Por el contrario</w:t>
      </w:r>
      <w:r>
        <w:t>, despidiendo espuma y burbujas, se convert</w:t>
      </w:r>
      <w:r w:rsidR="005A6089">
        <w:t>irá</w:t>
      </w:r>
      <w:r>
        <w:t xml:space="preserve"> en excremento y llena</w:t>
      </w:r>
      <w:r w:rsidR="005A6089">
        <w:t>rá</w:t>
      </w:r>
      <w:r>
        <w:t xml:space="preserve"> el receptáculo de alimentos digeridos, como </w:t>
      </w:r>
      <w:r w:rsidR="005A6089">
        <w:t xml:space="preserve">una </w:t>
      </w:r>
      <w:r>
        <w:t>arcilla marrón exprimida con una paleta alisadora y empaquetada en un tubo, y se convert</w:t>
      </w:r>
      <w:r w:rsidR="005A6089">
        <w:t>irá</w:t>
      </w:r>
      <w:r>
        <w:t xml:space="preserve"> en orina y llena</w:t>
      </w:r>
      <w:r w:rsidR="005A6089">
        <w:t>rá</w:t>
      </w:r>
      <w:r>
        <w:t xml:space="preserve"> la vejiga. </w:t>
      </w:r>
    </w:p>
    <w:p w14:paraId="2DE71E54" w14:textId="72FFD9AB" w:rsidR="00B650D0" w:rsidRDefault="00B650D0" w:rsidP="00177915">
      <w:pPr>
        <w:pStyle w:val="NormalConSangria"/>
      </w:pPr>
      <w:r>
        <w:t xml:space="preserve">Así </w:t>
      </w:r>
      <w:r w:rsidR="005A6089">
        <w:t xml:space="preserve">es cómo </w:t>
      </w:r>
      <w:r>
        <w:t xml:space="preserve">se debe revisar la repulsividad </w:t>
      </w:r>
      <w:r w:rsidRPr="00177915">
        <w:rPr>
          <w:i/>
          <w:iCs/>
        </w:rPr>
        <w:t xml:space="preserve">en cuanto a lo </w:t>
      </w:r>
      <w:r w:rsidR="00F30B69" w:rsidRPr="00177915">
        <w:rPr>
          <w:i/>
          <w:iCs/>
        </w:rPr>
        <w:t>digerido</w:t>
      </w:r>
      <w:r>
        <w:t>.</w:t>
      </w:r>
    </w:p>
    <w:p w14:paraId="118261D1" w14:textId="77777777" w:rsidR="00391731" w:rsidRDefault="00B650D0" w:rsidP="00B650D0">
      <w:r>
        <w:t xml:space="preserve">21. </w:t>
      </w:r>
      <w:r>
        <w:tab/>
      </w:r>
      <w:r w:rsidRPr="00D06DA0">
        <w:rPr>
          <w:i/>
          <w:iCs/>
        </w:rPr>
        <w:t>8</w:t>
      </w:r>
      <w:r>
        <w:t xml:space="preserve">. ¿Cómo </w:t>
      </w:r>
      <w:r w:rsidR="002433A0">
        <w:rPr>
          <w:i/>
          <w:iCs/>
        </w:rPr>
        <w:t>en cuanto al producto</w:t>
      </w:r>
      <w:r>
        <w:t>? Cuando se ha</w:t>
      </w:r>
      <w:r w:rsidR="002433A0">
        <w:t>ya</w:t>
      </w:r>
      <w:r>
        <w:t xml:space="preserve"> </w:t>
      </w:r>
      <w:r w:rsidR="002433A0">
        <w:t>digerido</w:t>
      </w:r>
      <w:r>
        <w:t xml:space="preserve"> </w:t>
      </w:r>
      <w:r w:rsidR="00177915">
        <w:t>completamente</w:t>
      </w:r>
      <w:r>
        <w:t>, produc</w:t>
      </w:r>
      <w:r w:rsidR="002433A0">
        <w:t>irá</w:t>
      </w:r>
      <w:r>
        <w:t xml:space="preserve"> diversas clases de excrementos consist</w:t>
      </w:r>
      <w:r w:rsidR="00B246EC">
        <w:t xml:space="preserve">entes </w:t>
      </w:r>
      <w:r w:rsidR="002433A0">
        <w:t xml:space="preserve">de </w:t>
      </w:r>
      <w:r w:rsidR="00B246EC">
        <w:t xml:space="preserve">cabellos </w:t>
      </w:r>
      <w:r>
        <w:t xml:space="preserve">de la cabeza, </w:t>
      </w:r>
      <w:r w:rsidR="00B246EC">
        <w:t xml:space="preserve">vellos </w:t>
      </w:r>
      <w:r>
        <w:t>del cuerpo, uñas, dientes</w:t>
      </w:r>
      <w:r w:rsidR="00177915">
        <w:t>, etc</w:t>
      </w:r>
      <w:r>
        <w:t xml:space="preserve">. Cuando se </w:t>
      </w:r>
      <w:r w:rsidR="00B246EC">
        <w:t xml:space="preserve">digiera </w:t>
      </w:r>
      <w:r w:rsidR="00391731">
        <w:t>incorrectamente</w:t>
      </w:r>
      <w:r>
        <w:t>, produc</w:t>
      </w:r>
      <w:r w:rsidR="00B246EC">
        <w:t>irá</w:t>
      </w:r>
      <w:r>
        <w:t xml:space="preserve"> las cien enfermedades que comienzan con </w:t>
      </w:r>
      <w:r w:rsidR="00B246EC">
        <w:t xml:space="preserve">la </w:t>
      </w:r>
      <w:r>
        <w:t xml:space="preserve">picazón, </w:t>
      </w:r>
      <w:r w:rsidR="00B246EC">
        <w:t xml:space="preserve">la </w:t>
      </w:r>
      <w:r>
        <w:t xml:space="preserve">tiña, </w:t>
      </w:r>
      <w:r w:rsidR="00B246EC">
        <w:t xml:space="preserve">la </w:t>
      </w:r>
      <w:r>
        <w:t xml:space="preserve">viruela, </w:t>
      </w:r>
      <w:r w:rsidR="00B246EC">
        <w:t xml:space="preserve">la </w:t>
      </w:r>
      <w:r>
        <w:t xml:space="preserve">lepra, </w:t>
      </w:r>
      <w:r w:rsidR="00B246EC">
        <w:t xml:space="preserve">la </w:t>
      </w:r>
      <w:r>
        <w:t xml:space="preserve">peste, </w:t>
      </w:r>
      <w:r w:rsidR="00B246EC">
        <w:t xml:space="preserve">la </w:t>
      </w:r>
      <w:r>
        <w:t xml:space="preserve">tisis, </w:t>
      </w:r>
      <w:r w:rsidR="00B246EC">
        <w:t xml:space="preserve">la </w:t>
      </w:r>
      <w:r>
        <w:t xml:space="preserve">tos, </w:t>
      </w:r>
      <w:r w:rsidR="00B246EC">
        <w:t xml:space="preserve">el </w:t>
      </w:r>
      <w:r>
        <w:t xml:space="preserve">flujo, etc. Tal es su </w:t>
      </w:r>
      <w:r w:rsidR="00853F86">
        <w:t>producto</w:t>
      </w:r>
      <w:r>
        <w:t>.</w:t>
      </w:r>
    </w:p>
    <w:p w14:paraId="168358C1" w14:textId="05BD578A" w:rsidR="00B650D0" w:rsidRDefault="00B650D0" w:rsidP="00391731">
      <w:pPr>
        <w:pStyle w:val="NormalConSangria"/>
      </w:pPr>
      <w:r>
        <w:t xml:space="preserve"> Así es c</w:t>
      </w:r>
      <w:r w:rsidR="00853F86">
        <w:t>ó</w:t>
      </w:r>
      <w:r>
        <w:t>mo debe revisarse la repulsi</w:t>
      </w:r>
      <w:r w:rsidR="00853F86">
        <w:t>vidad de la comida</w:t>
      </w:r>
      <w:r>
        <w:t xml:space="preserve"> </w:t>
      </w:r>
      <w:r w:rsidRPr="00391731">
        <w:rPr>
          <w:i/>
          <w:iCs/>
        </w:rPr>
        <w:t xml:space="preserve">en cuanto </w:t>
      </w:r>
      <w:r w:rsidR="00853F86" w:rsidRPr="00391731">
        <w:rPr>
          <w:i/>
          <w:iCs/>
        </w:rPr>
        <w:t>a</w:t>
      </w:r>
      <w:r w:rsidR="00391731" w:rsidRPr="00391731">
        <w:rPr>
          <w:i/>
          <w:iCs/>
        </w:rPr>
        <w:t>l</w:t>
      </w:r>
      <w:r w:rsidRPr="00391731">
        <w:rPr>
          <w:i/>
          <w:iCs/>
        </w:rPr>
        <w:t xml:space="preserve"> </w:t>
      </w:r>
      <w:r w:rsidR="00853F86" w:rsidRPr="00391731">
        <w:rPr>
          <w:i/>
          <w:iCs/>
        </w:rPr>
        <w:t>producto</w:t>
      </w:r>
      <w:r>
        <w:t>.</w:t>
      </w:r>
    </w:p>
    <w:p w14:paraId="47F0AE98" w14:textId="20F9486F" w:rsidR="00B650D0" w:rsidRDefault="00B650D0" w:rsidP="00B650D0">
      <w:r>
        <w:t xml:space="preserve">22. </w:t>
      </w:r>
      <w:r>
        <w:tab/>
      </w:r>
      <w:r w:rsidRPr="00D06DA0">
        <w:rPr>
          <w:i/>
          <w:iCs/>
        </w:rPr>
        <w:t>9</w:t>
      </w:r>
      <w:r>
        <w:t xml:space="preserve">. ¿Cómo </w:t>
      </w:r>
      <w:r w:rsidR="00853F86">
        <w:rPr>
          <w:i/>
          <w:iCs/>
        </w:rPr>
        <w:t>en cuanto a su excreción</w:t>
      </w:r>
      <w:r>
        <w:t>? Al ser tragado, entra</w:t>
      </w:r>
      <w:r w:rsidR="00853F86">
        <w:t>rá</w:t>
      </w:r>
      <w:r>
        <w:t xml:space="preserve"> por una puerta, </w:t>
      </w:r>
      <w:r w:rsidR="0023063E">
        <w:t xml:space="preserve">para </w:t>
      </w:r>
      <w:r>
        <w:t xml:space="preserve">luego </w:t>
      </w:r>
      <w:r w:rsidR="0023063E">
        <w:t xml:space="preserve">salir </w:t>
      </w:r>
      <w:r>
        <w:t xml:space="preserve">por varias puertas </w:t>
      </w:r>
      <w:r w:rsidR="0023063E">
        <w:t>a través de un trayecto</w:t>
      </w:r>
      <w:r>
        <w:t xml:space="preserve"> que comienza</w:t>
      </w:r>
      <w:r w:rsidR="0023063E">
        <w:t xml:space="preserve"> con</w:t>
      </w:r>
      <w:r>
        <w:t>, “</w:t>
      </w:r>
      <w:r w:rsidR="00A66D21">
        <w:t xml:space="preserve">el ojo: la </w:t>
      </w:r>
      <w:r>
        <w:t xml:space="preserve">suciedad del ojo, </w:t>
      </w:r>
      <w:r w:rsidR="00A66D21">
        <w:t xml:space="preserve">el </w:t>
      </w:r>
      <w:r>
        <w:t>oído</w:t>
      </w:r>
      <w:r w:rsidR="00A66D21">
        <w:t xml:space="preserve">: la </w:t>
      </w:r>
      <w:r>
        <w:t xml:space="preserve">suciedad del oído” (Sn 197). Y al </w:t>
      </w:r>
      <w:r w:rsidR="005D2858">
        <w:t xml:space="preserve">ser </w:t>
      </w:r>
      <w:r>
        <w:t>traga</w:t>
      </w:r>
      <w:r w:rsidR="005D2858">
        <w:t>d</w:t>
      </w:r>
      <w:r>
        <w:t>o se</w:t>
      </w:r>
      <w:r w:rsidR="005D2858">
        <w:t>rá</w:t>
      </w:r>
      <w:r>
        <w:t xml:space="preserve"> traga</w:t>
      </w:r>
      <w:r w:rsidR="005D2858">
        <w:t>do</w:t>
      </w:r>
      <w:r>
        <w:t xml:space="preserve"> incluso en compañía de grandes </w:t>
      </w:r>
      <w:r w:rsidR="0080391E">
        <w:t>congregaciones</w:t>
      </w:r>
      <w:r>
        <w:t>. Pero al salir, ya convertida en excrementos, orin</w:t>
      </w:r>
      <w:r w:rsidR="0080391E">
        <w:t>a</w:t>
      </w:r>
      <w:r>
        <w:t>, etc., sólo se excreta</w:t>
      </w:r>
      <w:r w:rsidR="0080391E">
        <w:t>rá</w:t>
      </w:r>
      <w:r>
        <w:t xml:space="preserve"> en soledad. [346] En el primer día uno est</w:t>
      </w:r>
      <w:r w:rsidR="0080391E">
        <w:t>ar</w:t>
      </w:r>
      <w:r>
        <w:t xml:space="preserve">á encantado de comerlo, exaltado y lleno de felicidad y alegría. </w:t>
      </w:r>
      <w:r w:rsidR="0080391E">
        <w:t>A</w:t>
      </w:r>
      <w:r>
        <w:t>l segundo día uno se tapa</w:t>
      </w:r>
      <w:r w:rsidR="0080391E">
        <w:t>rá</w:t>
      </w:r>
      <w:r>
        <w:t xml:space="preserve"> la nariz para vaciarla, con </w:t>
      </w:r>
      <w:r w:rsidR="0080391E">
        <w:t xml:space="preserve">una </w:t>
      </w:r>
      <w:r>
        <w:t xml:space="preserve">mueca de disgusto y consternación. </w:t>
      </w:r>
      <w:r w:rsidR="0080391E">
        <w:t>A</w:t>
      </w:r>
      <w:r>
        <w:t xml:space="preserve">l primer día uno lo </w:t>
      </w:r>
      <w:r w:rsidR="0080391E">
        <w:t xml:space="preserve">ingerirá </w:t>
      </w:r>
      <w:r>
        <w:t xml:space="preserve">con </w:t>
      </w:r>
      <w:r w:rsidR="0080391E">
        <w:t>pasión</w:t>
      </w:r>
      <w:r>
        <w:t xml:space="preserve">, con avidez, con glotonería, </w:t>
      </w:r>
      <w:r w:rsidR="00F9347D">
        <w:t>enfatuadamente</w:t>
      </w:r>
      <w:r>
        <w:t xml:space="preserve">. </w:t>
      </w:r>
      <w:r w:rsidR="00F9347D">
        <w:t xml:space="preserve">No obstante, </w:t>
      </w:r>
      <w:r>
        <w:t>al segundo, después de haber pasado una sola noche, uno lo excreta</w:t>
      </w:r>
      <w:r w:rsidR="00F9347D">
        <w:t>rá</w:t>
      </w:r>
      <w:r>
        <w:t xml:space="preserve"> con disgusto, vergüenza, humillación y repugnancia. De ahí que los </w:t>
      </w:r>
      <w:r w:rsidR="00F9347D">
        <w:t xml:space="preserve">Venerables </w:t>
      </w:r>
      <w:r>
        <w:t>dije</w:t>
      </w:r>
      <w:r w:rsidR="00F9347D">
        <w:t>se</w:t>
      </w:r>
      <w:r>
        <w:t>n:</w:t>
      </w:r>
    </w:p>
    <w:p w14:paraId="7766C5D2" w14:textId="61C96BA8" w:rsidR="00B650D0" w:rsidRPr="00751CBC" w:rsidRDefault="00B650D0" w:rsidP="00B650D0">
      <w:pPr>
        <w:pStyle w:val="VersoIngls01Sangria"/>
        <w:ind w:left="0"/>
        <w:rPr>
          <w:sz w:val="16"/>
          <w:szCs w:val="20"/>
        </w:rPr>
      </w:pPr>
      <w:r>
        <w:t xml:space="preserve">23. </w:t>
      </w:r>
      <w:r>
        <w:tab/>
      </w:r>
      <w:r>
        <w:tab/>
      </w:r>
      <w:r>
        <w:tab/>
      </w:r>
      <w:r w:rsidRPr="00751CBC">
        <w:rPr>
          <w:sz w:val="16"/>
          <w:szCs w:val="20"/>
        </w:rPr>
        <w:t xml:space="preserve">La </w:t>
      </w:r>
      <w:r w:rsidR="00F4167D" w:rsidRPr="00751CBC">
        <w:rPr>
          <w:sz w:val="16"/>
          <w:szCs w:val="20"/>
        </w:rPr>
        <w:t xml:space="preserve">tan apreciada </w:t>
      </w:r>
      <w:r w:rsidRPr="00751CBC">
        <w:rPr>
          <w:sz w:val="16"/>
          <w:szCs w:val="20"/>
        </w:rPr>
        <w:t>comida y bebida—</w:t>
      </w:r>
    </w:p>
    <w:p w14:paraId="3CC009DE" w14:textId="71AC7824" w:rsidR="00B650D0" w:rsidRPr="00751CBC" w:rsidRDefault="00B650D0" w:rsidP="00B650D0">
      <w:pPr>
        <w:pStyle w:val="VersoIngls01Sangria"/>
        <w:rPr>
          <w:sz w:val="16"/>
          <w:szCs w:val="20"/>
        </w:rPr>
      </w:pPr>
      <w:r w:rsidRPr="00751CBC">
        <w:rPr>
          <w:sz w:val="16"/>
          <w:szCs w:val="20"/>
        </w:rPr>
        <w:t>El cruji</w:t>
      </w:r>
      <w:r w:rsidR="008D4AF3" w:rsidRPr="00751CBC">
        <w:rPr>
          <w:sz w:val="16"/>
          <w:szCs w:val="20"/>
        </w:rPr>
        <w:t>r</w:t>
      </w:r>
      <w:r w:rsidRPr="00751CBC">
        <w:rPr>
          <w:sz w:val="16"/>
          <w:szCs w:val="20"/>
        </w:rPr>
        <w:t xml:space="preserve"> </w:t>
      </w:r>
      <w:r w:rsidR="008D4AF3" w:rsidRPr="00751CBC">
        <w:rPr>
          <w:sz w:val="16"/>
          <w:szCs w:val="20"/>
        </w:rPr>
        <w:t xml:space="preserve">del </w:t>
      </w:r>
      <w:r w:rsidRPr="00751CBC">
        <w:rPr>
          <w:sz w:val="16"/>
          <w:szCs w:val="20"/>
        </w:rPr>
        <w:t xml:space="preserve">masticar, </w:t>
      </w:r>
      <w:r w:rsidR="008D4AF3" w:rsidRPr="00751CBC">
        <w:rPr>
          <w:sz w:val="16"/>
          <w:szCs w:val="20"/>
        </w:rPr>
        <w:t xml:space="preserve">lo </w:t>
      </w:r>
      <w:r w:rsidRPr="00751CBC">
        <w:rPr>
          <w:sz w:val="16"/>
          <w:szCs w:val="20"/>
        </w:rPr>
        <w:t xml:space="preserve">suave </w:t>
      </w:r>
      <w:r w:rsidR="00F4167D">
        <w:rPr>
          <w:sz w:val="16"/>
          <w:szCs w:val="20"/>
        </w:rPr>
        <w:t>a</w:t>
      </w:r>
      <w:r w:rsidRPr="00751CBC">
        <w:rPr>
          <w:sz w:val="16"/>
          <w:szCs w:val="20"/>
        </w:rPr>
        <w:t xml:space="preserve"> </w:t>
      </w:r>
      <w:r w:rsidR="008D4AF3" w:rsidRPr="00751CBC">
        <w:rPr>
          <w:sz w:val="16"/>
          <w:szCs w:val="20"/>
        </w:rPr>
        <w:t xml:space="preserve">succionar </w:t>
      </w:r>
      <w:r w:rsidRPr="00751CBC">
        <w:rPr>
          <w:sz w:val="16"/>
          <w:szCs w:val="20"/>
        </w:rPr>
        <w:t>—</w:t>
      </w:r>
    </w:p>
    <w:p w14:paraId="2E4757CD" w14:textId="77777777" w:rsidR="00B650D0" w:rsidRPr="00751CBC" w:rsidRDefault="00B650D0" w:rsidP="00B650D0">
      <w:pPr>
        <w:pStyle w:val="VersoIngls01Sangria"/>
        <w:rPr>
          <w:sz w:val="16"/>
          <w:szCs w:val="20"/>
        </w:rPr>
      </w:pPr>
      <w:r w:rsidRPr="00751CBC">
        <w:rPr>
          <w:sz w:val="16"/>
          <w:szCs w:val="20"/>
        </w:rPr>
        <w:t>Entra todo por una sola puerta,</w:t>
      </w:r>
    </w:p>
    <w:p w14:paraId="02001843" w14:textId="6A316542" w:rsidR="00B650D0" w:rsidRPr="00751CBC" w:rsidRDefault="00B650D0" w:rsidP="00B650D0">
      <w:pPr>
        <w:pStyle w:val="VersoIngls01Sangria"/>
        <w:rPr>
          <w:sz w:val="16"/>
          <w:szCs w:val="20"/>
        </w:rPr>
      </w:pPr>
      <w:r w:rsidRPr="00751CBC">
        <w:rPr>
          <w:sz w:val="16"/>
          <w:szCs w:val="20"/>
        </w:rPr>
        <w:t xml:space="preserve">Pero </w:t>
      </w:r>
      <w:r w:rsidR="008D4AF3" w:rsidRPr="00751CBC">
        <w:rPr>
          <w:sz w:val="16"/>
          <w:szCs w:val="20"/>
        </w:rPr>
        <w:t>por</w:t>
      </w:r>
      <w:r w:rsidRPr="00751CBC">
        <w:rPr>
          <w:sz w:val="16"/>
          <w:szCs w:val="20"/>
        </w:rPr>
        <w:t xml:space="preserve"> las nueve puertas salen a borbotones.</w:t>
      </w:r>
    </w:p>
    <w:p w14:paraId="3A778CB0" w14:textId="77777777" w:rsidR="00B650D0" w:rsidRDefault="00B650D0" w:rsidP="00B650D0">
      <w:pPr>
        <w:pStyle w:val="PiedepginaLegal"/>
        <w:rPr>
          <w:u w:val="single"/>
        </w:rPr>
      </w:pPr>
      <w:r>
        <w:rPr>
          <w:u w:val="single"/>
        </w:rPr>
        <w:tab/>
      </w:r>
      <w:r>
        <w:rPr>
          <w:u w:val="single"/>
        </w:rPr>
        <w:tab/>
      </w:r>
      <w:r>
        <w:rPr>
          <w:u w:val="single"/>
        </w:rPr>
        <w:tab/>
      </w:r>
      <w:r>
        <w:rPr>
          <w:u w:val="single"/>
        </w:rPr>
        <w:tab/>
      </w:r>
    </w:p>
    <w:p w14:paraId="7DC0AC2F" w14:textId="0AD65815" w:rsidR="00B650D0" w:rsidRDefault="00B650D0" w:rsidP="00B650D0">
      <w:pPr>
        <w:pStyle w:val="PiedepginaLegal"/>
      </w:pPr>
      <w:r>
        <w:t xml:space="preserve">15. </w:t>
      </w:r>
      <w:r w:rsidRPr="00984CD1">
        <w:rPr>
          <w:i/>
          <w:iCs/>
        </w:rPr>
        <w:t>Pavana</w:t>
      </w:r>
      <w:r>
        <w:t>—“</w:t>
      </w:r>
      <w:r w:rsidR="00F03E74">
        <w:t>sequía</w:t>
      </w:r>
      <w:r>
        <w:t xml:space="preserve">”: no </w:t>
      </w:r>
      <w:r w:rsidR="006E37DA">
        <w:t xml:space="preserve">se encuentra </w:t>
      </w:r>
      <w:r>
        <w:t xml:space="preserve">en este sentido en </w:t>
      </w:r>
      <w:r w:rsidR="000705E9">
        <w:t xml:space="preserve">el </w:t>
      </w:r>
      <w:r>
        <w:t>PED; ver XVI.37.</w:t>
      </w:r>
    </w:p>
    <w:p w14:paraId="68A6494C" w14:textId="125B698F" w:rsidR="00B650D0" w:rsidRDefault="00B650D0" w:rsidP="00B650D0">
      <w:pPr>
        <w:pStyle w:val="PiedepginaLegal"/>
      </w:pPr>
      <w:r>
        <w:t xml:space="preserve">16. </w:t>
      </w:r>
      <w:proofErr w:type="spellStart"/>
      <w:r w:rsidRPr="00984CD1">
        <w:rPr>
          <w:i/>
          <w:iCs/>
        </w:rPr>
        <w:t>Dhātu</w:t>
      </w:r>
      <w:proofErr w:type="spellEnd"/>
      <w:r>
        <w:t>—“</w:t>
      </w:r>
      <w:r w:rsidR="008C445E" w:rsidRPr="008C445E">
        <w:rPr>
          <w:color w:val="1F3864" w:themeColor="accent1" w:themeShade="80"/>
        </w:rPr>
        <w:t>mineral</w:t>
      </w:r>
      <w:r>
        <w:t xml:space="preserve">”: </w:t>
      </w:r>
      <w:r w:rsidR="006E37DA">
        <w:t xml:space="preserve">no se encuentra en </w:t>
      </w:r>
      <w:r>
        <w:t xml:space="preserve">este sentido en </w:t>
      </w:r>
      <w:r w:rsidR="006E37DA">
        <w:t xml:space="preserve">el </w:t>
      </w:r>
      <w:r>
        <w:t>PED. Véase también XV.20.</w:t>
      </w:r>
    </w:p>
    <w:p w14:paraId="769E8BB3" w14:textId="77777777" w:rsidR="00B650D0" w:rsidRDefault="00B650D0">
      <w:pPr>
        <w:tabs>
          <w:tab w:val="clear" w:pos="425"/>
        </w:tabs>
        <w:spacing w:after="160"/>
        <w:rPr>
          <w:color w:val="000000" w:themeColor="text1"/>
          <w:spacing w:val="10"/>
          <w:sz w:val="14"/>
        </w:rPr>
      </w:pPr>
      <w:r>
        <w:br w:type="page"/>
      </w:r>
    </w:p>
    <w:p w14:paraId="2E7A87AF" w14:textId="77777777" w:rsidR="00B650D0" w:rsidRPr="001576C9" w:rsidRDefault="00B650D0" w:rsidP="00B650D0">
      <w:pPr>
        <w:rPr>
          <w:sz w:val="16"/>
          <w:szCs w:val="20"/>
        </w:rPr>
      </w:pPr>
    </w:p>
    <w:p w14:paraId="74DC3DD3" w14:textId="77777777" w:rsidR="00797A71" w:rsidRPr="001576C9" w:rsidRDefault="00797A71" w:rsidP="00797A71">
      <w:pPr>
        <w:pStyle w:val="VersoIngls01Sangria"/>
        <w:rPr>
          <w:sz w:val="16"/>
          <w:szCs w:val="20"/>
        </w:rPr>
      </w:pPr>
      <w:r w:rsidRPr="001576C9">
        <w:rPr>
          <w:sz w:val="16"/>
          <w:szCs w:val="20"/>
        </w:rPr>
        <w:t>La comida y la bebida tan apreciadas—</w:t>
      </w:r>
    </w:p>
    <w:p w14:paraId="403CAF94" w14:textId="1C1F69A8" w:rsidR="00797A71" w:rsidRPr="001576C9" w:rsidRDefault="00797A71" w:rsidP="00797A71">
      <w:pPr>
        <w:pStyle w:val="VersoIngls01Sangria"/>
        <w:rPr>
          <w:sz w:val="16"/>
          <w:szCs w:val="20"/>
        </w:rPr>
      </w:pPr>
      <w:r w:rsidRPr="001576C9">
        <w:rPr>
          <w:sz w:val="16"/>
          <w:szCs w:val="20"/>
        </w:rPr>
        <w:t>El cruji</w:t>
      </w:r>
      <w:r w:rsidR="001576C9">
        <w:rPr>
          <w:sz w:val="16"/>
          <w:szCs w:val="20"/>
        </w:rPr>
        <w:t>r</w:t>
      </w:r>
      <w:r w:rsidRPr="001576C9">
        <w:rPr>
          <w:sz w:val="16"/>
          <w:szCs w:val="20"/>
        </w:rPr>
        <w:t xml:space="preserve"> </w:t>
      </w:r>
      <w:r w:rsidR="001576C9">
        <w:rPr>
          <w:sz w:val="16"/>
          <w:szCs w:val="20"/>
        </w:rPr>
        <w:t>al</w:t>
      </w:r>
      <w:r w:rsidRPr="001576C9">
        <w:rPr>
          <w:sz w:val="16"/>
          <w:szCs w:val="20"/>
        </w:rPr>
        <w:t xml:space="preserve"> masticar</w:t>
      </w:r>
      <w:r w:rsidR="001576C9">
        <w:rPr>
          <w:sz w:val="16"/>
          <w:szCs w:val="20"/>
        </w:rPr>
        <w:t>la</w:t>
      </w:r>
      <w:r w:rsidRPr="001576C9">
        <w:rPr>
          <w:sz w:val="16"/>
          <w:szCs w:val="20"/>
        </w:rPr>
        <w:t xml:space="preserve">, el suave </w:t>
      </w:r>
      <w:r w:rsidR="001576C9">
        <w:rPr>
          <w:sz w:val="16"/>
          <w:szCs w:val="20"/>
        </w:rPr>
        <w:t>sorber</w:t>
      </w:r>
      <w:r w:rsidRPr="001576C9">
        <w:rPr>
          <w:sz w:val="16"/>
          <w:szCs w:val="20"/>
        </w:rPr>
        <w:t>—</w:t>
      </w:r>
    </w:p>
    <w:p w14:paraId="73289834" w14:textId="77777777" w:rsidR="00797A71" w:rsidRPr="001576C9" w:rsidRDefault="00797A71" w:rsidP="00797A71">
      <w:pPr>
        <w:pStyle w:val="VersoIngls01Sangria"/>
        <w:rPr>
          <w:sz w:val="16"/>
          <w:szCs w:val="20"/>
        </w:rPr>
      </w:pPr>
      <w:r w:rsidRPr="001576C9">
        <w:rPr>
          <w:sz w:val="16"/>
          <w:szCs w:val="20"/>
        </w:rPr>
        <w:t>A los hombres les gusta comer en compañía,</w:t>
      </w:r>
    </w:p>
    <w:p w14:paraId="7764021E" w14:textId="2167D163" w:rsidR="00797A71" w:rsidRPr="001576C9" w:rsidRDefault="00797A71" w:rsidP="00797A71">
      <w:pPr>
        <w:pStyle w:val="VersoIngls01Sangria"/>
        <w:spacing w:after="100"/>
        <w:ind w:left="1418"/>
        <w:rPr>
          <w:sz w:val="16"/>
          <w:szCs w:val="20"/>
        </w:rPr>
      </w:pPr>
      <w:r w:rsidRPr="001576C9">
        <w:rPr>
          <w:sz w:val="16"/>
          <w:szCs w:val="20"/>
        </w:rPr>
        <w:t>Pero para excretar en secret</w:t>
      </w:r>
      <w:r w:rsidR="001576C9">
        <w:rPr>
          <w:sz w:val="16"/>
          <w:szCs w:val="20"/>
        </w:rPr>
        <w:t>a soledad</w:t>
      </w:r>
      <w:r w:rsidRPr="001576C9">
        <w:rPr>
          <w:sz w:val="16"/>
          <w:szCs w:val="20"/>
        </w:rPr>
        <w:t>.</w:t>
      </w:r>
    </w:p>
    <w:p w14:paraId="52B22339" w14:textId="77777777" w:rsidR="00797A71" w:rsidRPr="001576C9" w:rsidRDefault="00797A71" w:rsidP="00797A71">
      <w:pPr>
        <w:pStyle w:val="VersoIngls01Sangria"/>
        <w:rPr>
          <w:sz w:val="16"/>
          <w:szCs w:val="20"/>
        </w:rPr>
      </w:pPr>
      <w:r w:rsidRPr="001576C9">
        <w:rPr>
          <w:sz w:val="16"/>
          <w:szCs w:val="20"/>
        </w:rPr>
        <w:t>La comida y la bebida tan apreciadas—</w:t>
      </w:r>
    </w:p>
    <w:p w14:paraId="16FE11F5" w14:textId="5FF42031" w:rsidR="00797A71" w:rsidRPr="001576C9" w:rsidRDefault="001576C9" w:rsidP="00797A71">
      <w:pPr>
        <w:pStyle w:val="VersoIngls01Sangria"/>
        <w:rPr>
          <w:sz w:val="16"/>
          <w:szCs w:val="20"/>
        </w:rPr>
      </w:pPr>
      <w:r w:rsidRPr="001576C9">
        <w:rPr>
          <w:sz w:val="16"/>
          <w:szCs w:val="20"/>
        </w:rPr>
        <w:t>El cruji</w:t>
      </w:r>
      <w:r>
        <w:rPr>
          <w:sz w:val="16"/>
          <w:szCs w:val="20"/>
        </w:rPr>
        <w:t>r</w:t>
      </w:r>
      <w:r w:rsidRPr="001576C9">
        <w:rPr>
          <w:sz w:val="16"/>
          <w:szCs w:val="20"/>
        </w:rPr>
        <w:t xml:space="preserve"> </w:t>
      </w:r>
      <w:r>
        <w:rPr>
          <w:sz w:val="16"/>
          <w:szCs w:val="20"/>
        </w:rPr>
        <w:t>al</w:t>
      </w:r>
      <w:r w:rsidRPr="001576C9">
        <w:rPr>
          <w:sz w:val="16"/>
          <w:szCs w:val="20"/>
        </w:rPr>
        <w:t xml:space="preserve"> masticar</w:t>
      </w:r>
      <w:r>
        <w:rPr>
          <w:sz w:val="16"/>
          <w:szCs w:val="20"/>
        </w:rPr>
        <w:t>la</w:t>
      </w:r>
      <w:r w:rsidRPr="001576C9">
        <w:rPr>
          <w:sz w:val="16"/>
          <w:szCs w:val="20"/>
        </w:rPr>
        <w:t xml:space="preserve">, el suave </w:t>
      </w:r>
      <w:r>
        <w:rPr>
          <w:sz w:val="16"/>
          <w:szCs w:val="20"/>
        </w:rPr>
        <w:t>sorber</w:t>
      </w:r>
      <w:r w:rsidRPr="001576C9">
        <w:rPr>
          <w:sz w:val="16"/>
          <w:szCs w:val="20"/>
        </w:rPr>
        <w:t xml:space="preserve"> </w:t>
      </w:r>
      <w:r w:rsidR="00797A71" w:rsidRPr="001576C9">
        <w:rPr>
          <w:sz w:val="16"/>
          <w:szCs w:val="20"/>
        </w:rPr>
        <w:t>r—</w:t>
      </w:r>
    </w:p>
    <w:p w14:paraId="2C03AC16" w14:textId="32527C93" w:rsidR="00797A71" w:rsidRPr="001576C9" w:rsidRDefault="00797A71" w:rsidP="00797A71">
      <w:pPr>
        <w:pStyle w:val="VersoIngls01Sangria"/>
        <w:rPr>
          <w:sz w:val="16"/>
          <w:szCs w:val="20"/>
        </w:rPr>
      </w:pPr>
      <w:r w:rsidRPr="001576C9">
        <w:rPr>
          <w:sz w:val="16"/>
          <w:szCs w:val="20"/>
        </w:rPr>
        <w:t xml:space="preserve">Estos los come el hombre con gran </w:t>
      </w:r>
      <w:r w:rsidR="001576C9">
        <w:rPr>
          <w:sz w:val="16"/>
          <w:szCs w:val="20"/>
        </w:rPr>
        <w:t>dicha</w:t>
      </w:r>
      <w:r w:rsidRPr="001576C9">
        <w:rPr>
          <w:sz w:val="16"/>
          <w:szCs w:val="20"/>
        </w:rPr>
        <w:t>,</w:t>
      </w:r>
    </w:p>
    <w:p w14:paraId="23ED97CB" w14:textId="59900971" w:rsidR="00797A71" w:rsidRPr="001576C9" w:rsidRDefault="00471C0F" w:rsidP="00797A71">
      <w:pPr>
        <w:pStyle w:val="VersoIngls01Sangria"/>
        <w:spacing w:after="100"/>
        <w:ind w:left="1418"/>
        <w:rPr>
          <w:sz w:val="16"/>
          <w:szCs w:val="20"/>
        </w:rPr>
      </w:pPr>
      <w:r>
        <w:rPr>
          <w:sz w:val="16"/>
          <w:szCs w:val="20"/>
        </w:rPr>
        <w:t>Para</w:t>
      </w:r>
      <w:r w:rsidR="00797A71" w:rsidRPr="001576C9">
        <w:rPr>
          <w:sz w:val="16"/>
          <w:szCs w:val="20"/>
        </w:rPr>
        <w:t xml:space="preserve"> luego excreta</w:t>
      </w:r>
      <w:r>
        <w:rPr>
          <w:sz w:val="16"/>
          <w:szCs w:val="20"/>
        </w:rPr>
        <w:t>rla</w:t>
      </w:r>
      <w:r w:rsidR="00797A71" w:rsidRPr="001576C9">
        <w:rPr>
          <w:sz w:val="16"/>
          <w:szCs w:val="20"/>
        </w:rPr>
        <w:t xml:space="preserve"> con mudo asco.</w:t>
      </w:r>
    </w:p>
    <w:p w14:paraId="6CE50B61" w14:textId="77777777" w:rsidR="00797A71" w:rsidRPr="001576C9" w:rsidRDefault="00797A71" w:rsidP="00797A71">
      <w:pPr>
        <w:pStyle w:val="VersoIngls01Sangria"/>
        <w:rPr>
          <w:sz w:val="16"/>
          <w:szCs w:val="20"/>
        </w:rPr>
      </w:pPr>
      <w:r w:rsidRPr="001576C9">
        <w:rPr>
          <w:sz w:val="16"/>
          <w:szCs w:val="20"/>
        </w:rPr>
        <w:t>La comida y la bebida tan apreciadas—</w:t>
      </w:r>
    </w:p>
    <w:p w14:paraId="29F270C4" w14:textId="03E044F7" w:rsidR="00797A71" w:rsidRPr="001576C9" w:rsidRDefault="00B7167E" w:rsidP="00797A71">
      <w:pPr>
        <w:pStyle w:val="VersoIngls01Sangria"/>
        <w:rPr>
          <w:sz w:val="16"/>
          <w:szCs w:val="20"/>
        </w:rPr>
      </w:pPr>
      <w:r>
        <w:rPr>
          <w:sz w:val="16"/>
          <w:szCs w:val="20"/>
        </w:rPr>
        <w:t xml:space="preserve">El crujir al masticarla, el suave sorber </w:t>
      </w:r>
      <w:r w:rsidR="00797A71" w:rsidRPr="001576C9">
        <w:rPr>
          <w:sz w:val="16"/>
          <w:szCs w:val="20"/>
        </w:rPr>
        <w:t>—</w:t>
      </w:r>
    </w:p>
    <w:p w14:paraId="54DCD1AA" w14:textId="77777777" w:rsidR="00797A71" w:rsidRPr="001576C9" w:rsidRDefault="00797A71" w:rsidP="00797A71">
      <w:pPr>
        <w:pStyle w:val="VersoIngls01Sangria"/>
        <w:rPr>
          <w:sz w:val="16"/>
          <w:szCs w:val="20"/>
        </w:rPr>
      </w:pPr>
      <w:r w:rsidRPr="001576C9">
        <w:rPr>
          <w:sz w:val="16"/>
          <w:szCs w:val="20"/>
        </w:rPr>
        <w:t>Una sola noche será suficiente</w:t>
      </w:r>
    </w:p>
    <w:p w14:paraId="36644505" w14:textId="276F6F2D" w:rsidR="00797A71" w:rsidRPr="001576C9" w:rsidRDefault="00797A71" w:rsidP="00797A71">
      <w:pPr>
        <w:pStyle w:val="VersoIngls01Sangria"/>
        <w:spacing w:after="100"/>
        <w:ind w:left="1418"/>
        <w:rPr>
          <w:sz w:val="16"/>
          <w:szCs w:val="20"/>
        </w:rPr>
      </w:pPr>
      <w:r w:rsidRPr="001576C9">
        <w:rPr>
          <w:sz w:val="16"/>
          <w:szCs w:val="20"/>
        </w:rPr>
        <w:t xml:space="preserve">Para </w:t>
      </w:r>
      <w:r w:rsidR="00B7167E">
        <w:rPr>
          <w:sz w:val="16"/>
          <w:szCs w:val="20"/>
        </w:rPr>
        <w:t>conducirlos haci</w:t>
      </w:r>
      <w:r w:rsidRPr="001576C9">
        <w:rPr>
          <w:sz w:val="16"/>
          <w:szCs w:val="20"/>
        </w:rPr>
        <w:t>a la putrefacción.</w:t>
      </w:r>
    </w:p>
    <w:p w14:paraId="3FB897A0" w14:textId="50F7005C" w:rsidR="00797A71" w:rsidRDefault="00797A71" w:rsidP="00797A71">
      <w:pPr>
        <w:pStyle w:val="NormalConSangria"/>
      </w:pPr>
      <w:r>
        <w:t xml:space="preserve">Así es como debe revisarse la repulsividad </w:t>
      </w:r>
      <w:r w:rsidRPr="00B7167E">
        <w:rPr>
          <w:i/>
          <w:iCs/>
        </w:rPr>
        <w:t xml:space="preserve">en cuanto a </w:t>
      </w:r>
      <w:r w:rsidR="00B7167E" w:rsidRPr="00B7167E">
        <w:rPr>
          <w:i/>
          <w:iCs/>
        </w:rPr>
        <w:t>su excre</w:t>
      </w:r>
      <w:r w:rsidR="00B7167E">
        <w:rPr>
          <w:i/>
          <w:iCs/>
        </w:rPr>
        <w:t>c</w:t>
      </w:r>
      <w:r w:rsidR="00B7167E" w:rsidRPr="00B7167E">
        <w:rPr>
          <w:i/>
          <w:iCs/>
        </w:rPr>
        <w:t>ión</w:t>
      </w:r>
      <w:r>
        <w:t>.</w:t>
      </w:r>
    </w:p>
    <w:p w14:paraId="0E8C19DA" w14:textId="798251E9" w:rsidR="003F1A18" w:rsidRDefault="00797A71" w:rsidP="00797A71">
      <w:r>
        <w:t xml:space="preserve">24. </w:t>
      </w:r>
      <w:r>
        <w:tab/>
        <w:t xml:space="preserve">10. ¿Cómo </w:t>
      </w:r>
      <w:r w:rsidR="00984CD1" w:rsidRPr="00984CD1">
        <w:rPr>
          <w:i/>
          <w:iCs/>
        </w:rPr>
        <w:t>se da el manchado</w:t>
      </w:r>
      <w:r>
        <w:t xml:space="preserve">? Al momento de </w:t>
      </w:r>
      <w:r w:rsidR="00523D6E">
        <w:t>utilizarlo</w:t>
      </w:r>
      <w:r>
        <w:t xml:space="preserve"> se unta las manos, los labios, la lengua y el paladar, y se vuelven repulsivos al untarse con él. E incluso cuando se lavan, deben lavarse una y otra vez para eliminar el olor. Y así como, cuando se hierve el arroz, las cáscaras, el polvo rojo que cubre el grano, etc., se levantan y manchan la boca, el borde y la tapa de</w:t>
      </w:r>
      <w:r w:rsidR="00181B0E">
        <w:t xml:space="preserve"> </w:t>
      </w:r>
      <w:r>
        <w:t>l</w:t>
      </w:r>
      <w:r w:rsidR="00181B0E">
        <w:t>a olla</w:t>
      </w:r>
      <w:r>
        <w:t xml:space="preserve">, así también, al comerlo, se levanta durante su cocción </w:t>
      </w:r>
      <w:r w:rsidR="00523D6E">
        <w:t>e</w:t>
      </w:r>
      <w:r>
        <w:t xml:space="preserve"> hirviendo a fuego lento por el fuego corporal que impregna todo el cuerpo, se convierte en sarro, que unta los dientes, y se convierte en saliva, flema, etc., que respectivamente untan la lengua, el paladar, etc.; y se convierte en </w:t>
      </w:r>
      <w:r w:rsidR="00A41944">
        <w:t xml:space="preserve">la </w:t>
      </w:r>
      <w:r>
        <w:t xml:space="preserve">suciedad de </w:t>
      </w:r>
      <w:r w:rsidR="00A41944">
        <w:t xml:space="preserve">los </w:t>
      </w:r>
      <w:r>
        <w:t xml:space="preserve">ojos, </w:t>
      </w:r>
      <w:r w:rsidR="00A41944">
        <w:t xml:space="preserve">de los </w:t>
      </w:r>
      <w:r>
        <w:t xml:space="preserve">oídos, </w:t>
      </w:r>
      <w:r w:rsidR="00A41944">
        <w:t xml:space="preserve">de los </w:t>
      </w:r>
      <w:r>
        <w:t xml:space="preserve">mocos, </w:t>
      </w:r>
      <w:r w:rsidR="00A41944">
        <w:t xml:space="preserve">la </w:t>
      </w:r>
      <w:r>
        <w:t xml:space="preserve">orina, </w:t>
      </w:r>
      <w:r w:rsidR="00A41944">
        <w:t xml:space="preserve">los </w:t>
      </w:r>
      <w:r>
        <w:t xml:space="preserve">excrementos, etc., que manchan respectivamente los ojos, los oídos, la nariz y las vías inferiores. Y cuando estas puertas </w:t>
      </w:r>
      <w:r w:rsidR="00A41944">
        <w:t>se encuentr</w:t>
      </w:r>
      <w:r w:rsidR="004C725F">
        <w:t>e</w:t>
      </w:r>
      <w:r w:rsidR="00A41944">
        <w:t xml:space="preserve">n </w:t>
      </w:r>
      <w:r>
        <w:t xml:space="preserve">untadas con </w:t>
      </w:r>
      <w:r w:rsidR="00A41944">
        <w:t>ellos</w:t>
      </w:r>
      <w:r>
        <w:t xml:space="preserve">, nunca quedan limpias ni agradables aunque se laven todos los días. Y después de lavar </w:t>
      </w:r>
      <w:r w:rsidR="00287384">
        <w:t>una determinada puerta</w:t>
      </w:r>
      <w:r>
        <w:t xml:space="preserve"> de </w:t>
      </w:r>
      <w:r w:rsidR="00181B0E">
        <w:t>é</w:t>
      </w:r>
      <w:r>
        <w:t>st</w:t>
      </w:r>
      <w:r w:rsidR="00181B0E">
        <w:t>a</w:t>
      </w:r>
      <w:r>
        <w:t>s, la mano ten</w:t>
      </w:r>
      <w:r w:rsidR="00287384">
        <w:t>drá</w:t>
      </w:r>
      <w:r>
        <w:t xml:space="preserve"> que lavarse nuev</w:t>
      </w:r>
      <w:r w:rsidR="004C725F">
        <w:t>amente</w:t>
      </w:r>
      <w:r>
        <w:t>.</w:t>
      </w:r>
      <w:r w:rsidRPr="00984CD1">
        <w:rPr>
          <w:vertAlign w:val="superscript"/>
        </w:rPr>
        <w:t>17</w:t>
      </w:r>
      <w:r>
        <w:t xml:space="preserve"> Y después de lavar un</w:t>
      </w:r>
      <w:r w:rsidR="00181B0E">
        <w:t>a</w:t>
      </w:r>
      <w:r>
        <w:t xml:space="preserve"> </w:t>
      </w:r>
      <w:r w:rsidR="003C03A8">
        <w:t xml:space="preserve">determinada puerta </w:t>
      </w:r>
      <w:r>
        <w:t xml:space="preserve">de </w:t>
      </w:r>
      <w:r w:rsidR="00181B0E">
        <w:t>é</w:t>
      </w:r>
      <w:r>
        <w:t>st</w:t>
      </w:r>
      <w:r w:rsidR="00181B0E">
        <w:t>a</w:t>
      </w:r>
      <w:r>
        <w:t>s, la repugnancia no desaparece inclus</w:t>
      </w:r>
      <w:r w:rsidR="003F1A18">
        <w:t>ive</w:t>
      </w:r>
      <w:r>
        <w:t xml:space="preserve"> después de dos o tres lavados con estiércol de vaca y arcilla y polvo perfumado. </w:t>
      </w:r>
    </w:p>
    <w:p w14:paraId="279DA18E" w14:textId="1DFD7E4A" w:rsidR="00797A71" w:rsidRDefault="00797A71" w:rsidP="003F1A18">
      <w:pPr>
        <w:pStyle w:val="NormalConSangria"/>
      </w:pPr>
      <w:r>
        <w:t>Así es como se debe revisar</w:t>
      </w:r>
      <w:r w:rsidR="00181B0E">
        <w:t>se</w:t>
      </w:r>
      <w:r>
        <w:t xml:space="preserve"> la repulsividad </w:t>
      </w:r>
      <w:r w:rsidRPr="003F1A18">
        <w:rPr>
          <w:i/>
          <w:iCs/>
        </w:rPr>
        <w:t>en cuanto a</w:t>
      </w:r>
      <w:r w:rsidR="00181B0E">
        <w:rPr>
          <w:i/>
          <w:iCs/>
        </w:rPr>
        <w:t>l</w:t>
      </w:r>
      <w:r w:rsidRPr="003F1A18">
        <w:rPr>
          <w:i/>
          <w:iCs/>
        </w:rPr>
        <w:t xml:space="preserve"> mancha</w:t>
      </w:r>
      <w:r w:rsidR="003F1A18">
        <w:rPr>
          <w:i/>
          <w:iCs/>
        </w:rPr>
        <w:t>do</w:t>
      </w:r>
      <w:r>
        <w:t>.</w:t>
      </w:r>
    </w:p>
    <w:p w14:paraId="654B828D" w14:textId="1C71A4D5" w:rsidR="00797A71" w:rsidRDefault="00797A71" w:rsidP="00797A71">
      <w:r>
        <w:t xml:space="preserve">25. </w:t>
      </w:r>
      <w:r>
        <w:tab/>
        <w:t xml:space="preserve">Mientras </w:t>
      </w:r>
      <w:r w:rsidR="00181B0E">
        <w:t xml:space="preserve">así </w:t>
      </w:r>
      <w:r>
        <w:t>revis</w:t>
      </w:r>
      <w:r w:rsidR="003F1A18">
        <w:t>e</w:t>
      </w:r>
      <w:r>
        <w:t xml:space="preserve"> la repulsión en diez aspectos y la </w:t>
      </w:r>
      <w:r w:rsidR="008351BC">
        <w:t>impulse</w:t>
      </w:r>
      <w:r>
        <w:t xml:space="preserve"> con el pensamiento y </w:t>
      </w:r>
      <w:r w:rsidR="008351BC">
        <w:t>la aplicación mental</w:t>
      </w:r>
      <w:r>
        <w:t>, el alimento físico [347] se v</w:t>
      </w:r>
      <w:r w:rsidR="008351BC">
        <w:t>o</w:t>
      </w:r>
      <w:r>
        <w:t>lve</w:t>
      </w:r>
      <w:r w:rsidR="008351BC">
        <w:t>rá</w:t>
      </w:r>
      <w:r>
        <w:t xml:space="preserve"> evidente para él en su aspecto repulsivo. Cultiva</w:t>
      </w:r>
      <w:r w:rsidR="008351BC">
        <w:t>rá</w:t>
      </w:r>
      <w:r>
        <w:t xml:space="preserve"> ese signo</w:t>
      </w:r>
      <w:r w:rsidRPr="00984CD1">
        <w:rPr>
          <w:vertAlign w:val="superscript"/>
        </w:rPr>
        <w:t>18</w:t>
      </w:r>
      <w:r>
        <w:t xml:space="preserve"> una y otra vez, lo desarrolla</w:t>
      </w:r>
      <w:r w:rsidR="00181B0E">
        <w:t>rá</w:t>
      </w:r>
      <w:r>
        <w:t xml:space="preserve"> y practica</w:t>
      </w:r>
      <w:r w:rsidR="008351BC">
        <w:t>rá</w:t>
      </w:r>
      <w:r>
        <w:t xml:space="preserve"> repetidamente. Al hacerlo, se suprim</w:t>
      </w:r>
      <w:r w:rsidR="008351BC">
        <w:t>irá</w:t>
      </w:r>
      <w:r>
        <w:t>n los obstáculos y su mente se concentra</w:t>
      </w:r>
      <w:r w:rsidR="008351BC">
        <w:t>rá</w:t>
      </w:r>
      <w:r>
        <w:t xml:space="preserve"> en la concentración de acceso, </w:t>
      </w:r>
    </w:p>
    <w:p w14:paraId="4E2BA89A" w14:textId="77777777" w:rsidR="00797A71" w:rsidRDefault="00797A71" w:rsidP="00797A71">
      <w:pPr>
        <w:pStyle w:val="PiedepginaLegal"/>
        <w:rPr>
          <w:u w:val="single"/>
        </w:rPr>
      </w:pPr>
      <w:r>
        <w:rPr>
          <w:u w:val="single"/>
        </w:rPr>
        <w:tab/>
      </w:r>
      <w:r>
        <w:rPr>
          <w:u w:val="single"/>
        </w:rPr>
        <w:tab/>
      </w:r>
      <w:r>
        <w:rPr>
          <w:u w:val="single"/>
        </w:rPr>
        <w:tab/>
      </w:r>
      <w:r>
        <w:rPr>
          <w:u w:val="single"/>
        </w:rPr>
        <w:tab/>
      </w:r>
    </w:p>
    <w:p w14:paraId="482B8A21" w14:textId="34055C12" w:rsidR="00797A71" w:rsidRDefault="00797A71" w:rsidP="00797A71">
      <w:pPr>
        <w:pStyle w:val="PiedepginaLegal"/>
      </w:pPr>
      <w:r>
        <w:t xml:space="preserve">17. </w:t>
      </w:r>
      <w:r>
        <w:tab/>
        <w:t>“‘</w:t>
      </w:r>
      <w:r w:rsidR="003C03A8">
        <w:rPr>
          <w:i/>
          <w:iCs/>
        </w:rPr>
        <w:t>Una determinada…</w:t>
      </w:r>
      <w:r w:rsidR="004C725F">
        <w:t xml:space="preserve">’ </w:t>
      </w:r>
      <w:r>
        <w:t>se dice con referencia al orificio anal. Pero aquellos que son escrupulosamente limpios por naturaleza se lavan las manos nuevamente después de lavarse la boca, y así sucesivamente” (</w:t>
      </w:r>
      <w:proofErr w:type="spellStart"/>
      <w:r>
        <w:t>Vism-mhṭ</w:t>
      </w:r>
      <w:proofErr w:type="spellEnd"/>
      <w:r>
        <w:t xml:space="preserve"> 342).</w:t>
      </w:r>
    </w:p>
    <w:p w14:paraId="0CB8B6B3" w14:textId="50EED038" w:rsidR="00797A71" w:rsidRDefault="00797A71" w:rsidP="00797A71">
      <w:pPr>
        <w:pStyle w:val="PiedepginaLegal"/>
      </w:pPr>
      <w:r>
        <w:t xml:space="preserve">18. </w:t>
      </w:r>
      <w:r>
        <w:tab/>
        <w:t xml:space="preserve">“‘Ese signo’: ese objeto como signo para el desarrollo, </w:t>
      </w:r>
      <w:r w:rsidR="00B13385">
        <w:t xml:space="preserve">a </w:t>
      </w:r>
      <w:r>
        <w:t xml:space="preserve">cuyo signo se </w:t>
      </w:r>
      <w:r w:rsidR="00B13385">
        <w:t xml:space="preserve">le </w:t>
      </w:r>
      <w:r>
        <w:t xml:space="preserve">llama </w:t>
      </w:r>
      <w:r w:rsidRPr="00984CD1">
        <w:rPr>
          <w:i/>
          <w:iCs/>
        </w:rPr>
        <w:t>alimento físico</w:t>
      </w:r>
      <w:r>
        <w:t xml:space="preserve"> y </w:t>
      </w:r>
      <w:r w:rsidR="00B13385">
        <w:t xml:space="preserve">que </w:t>
      </w:r>
      <w:r>
        <w:t>ha aparecido en el aspecto repulsivo para quien prest</w:t>
      </w:r>
      <w:r w:rsidR="00294BFC">
        <w:t>e</w:t>
      </w:r>
      <w:r>
        <w:t xml:space="preserve"> su atención a él repetidamente en las formas ya descritas. Y allí, mientras el desarrollo ocurr</w:t>
      </w:r>
      <w:r w:rsidR="00294BFC">
        <w:t>a</w:t>
      </w:r>
      <w:r>
        <w:t xml:space="preserve"> a través del aspecto </w:t>
      </w:r>
      <w:r w:rsidR="00294BFC">
        <w:t xml:space="preserve">de </w:t>
      </w:r>
      <w:r>
        <w:t>repulsiv</w:t>
      </w:r>
      <w:r w:rsidR="00294BFC">
        <w:t>idad</w:t>
      </w:r>
      <w:r>
        <w:t xml:space="preserve">, </w:t>
      </w:r>
      <w:r w:rsidR="00294BFC">
        <w:t>se referirán</w:t>
      </w:r>
      <w:r>
        <w:t xml:space="preserve"> sólo </w:t>
      </w:r>
      <w:r w:rsidR="00294BFC">
        <w:t xml:space="preserve">a </w:t>
      </w:r>
      <w:r>
        <w:t xml:space="preserve">los </w:t>
      </w:r>
      <w:r w:rsidR="00294BFC" w:rsidRPr="00057BF4">
        <w:rPr>
          <w:i/>
        </w:rPr>
        <w:t>dhamma</w:t>
      </w:r>
      <w:r w:rsidR="00294BFC">
        <w:t xml:space="preserve">s </w:t>
      </w:r>
      <w:r>
        <w:t>a causa de los cuales lleg</w:t>
      </w:r>
      <w:r w:rsidR="00294BFC">
        <w:t>ue</w:t>
      </w:r>
      <w:r>
        <w:t xml:space="preserve"> a existir el concepto de alimento físico que son repulsivos, no el concepto. Pero </w:t>
      </w:r>
      <w:r w:rsidR="004673FB">
        <w:t xml:space="preserve">será </w:t>
      </w:r>
      <w:r>
        <w:t>debido a que la ocurrencia del desarrollo depende</w:t>
      </w:r>
      <w:r w:rsidR="001232C9">
        <w:t>rá</w:t>
      </w:r>
      <w:r>
        <w:t xml:space="preserve"> solo de los </w:t>
      </w:r>
      <w:r w:rsidR="001232C9" w:rsidRPr="00057BF4">
        <w:rPr>
          <w:i/>
        </w:rPr>
        <w:t>dhamma</w:t>
      </w:r>
      <w:r w:rsidR="001232C9">
        <w:t xml:space="preserve">s </w:t>
      </w:r>
      <w:r>
        <w:t>con una esencia individual, y debido a la profundidad deb</w:t>
      </w:r>
      <w:r w:rsidR="00D61AF7">
        <w:t>ida</w:t>
      </w:r>
      <w:r>
        <w:t xml:space="preserve"> a esa esencia individual real </w:t>
      </w:r>
      <w:r w:rsidR="00D61AF7">
        <w:t>sobre</w:t>
      </w:r>
      <w:r>
        <w:t xml:space="preserve"> los </w:t>
      </w:r>
      <w:r w:rsidR="00D61AF7" w:rsidRPr="00057BF4">
        <w:rPr>
          <w:i/>
        </w:rPr>
        <w:t>dhamma</w:t>
      </w:r>
      <w:r w:rsidR="00D61AF7">
        <w:t xml:space="preserve">s </w:t>
      </w:r>
      <w:r>
        <w:t xml:space="preserve">que </w:t>
      </w:r>
      <w:r w:rsidR="00D61AF7">
        <w:t xml:space="preserve">poseerán </w:t>
      </w:r>
      <w:r>
        <w:t xml:space="preserve">esencias individuales, que el </w:t>
      </w:r>
      <w:proofErr w:type="spellStart"/>
      <w:r w:rsidR="00057BF4" w:rsidRPr="00057BF4">
        <w:rPr>
          <w:i/>
        </w:rPr>
        <w:t>jhāna</w:t>
      </w:r>
      <w:proofErr w:type="spellEnd"/>
      <w:r w:rsidR="00984CD1">
        <w:t xml:space="preserve"> </w:t>
      </w:r>
      <w:r>
        <w:t xml:space="preserve">no </w:t>
      </w:r>
      <w:r w:rsidR="00D61AF7">
        <w:t xml:space="preserve">podrá </w:t>
      </w:r>
      <w:r>
        <w:t xml:space="preserve">alcanzar la absorción en él a través de la aprehensión del aspecto repulsivo. </w:t>
      </w:r>
      <w:r w:rsidR="001232C9">
        <w:t xml:space="preserve">Ya </w:t>
      </w:r>
      <w:r>
        <w:t xml:space="preserve">que </w:t>
      </w:r>
      <w:r w:rsidR="001232C9">
        <w:t xml:space="preserve">será </w:t>
      </w:r>
      <w:r>
        <w:t xml:space="preserve">debido a la profundidad que el primer par de verdades </w:t>
      </w:r>
      <w:r w:rsidR="001232C9">
        <w:t xml:space="preserve">será </w:t>
      </w:r>
      <w:r>
        <w:t xml:space="preserve">difícil de </w:t>
      </w:r>
      <w:r w:rsidR="001232C9">
        <w:t>apreciar</w:t>
      </w:r>
      <w:r>
        <w:t>” (</w:t>
      </w:r>
      <w:proofErr w:type="spellStart"/>
      <w:r>
        <w:t>Vism-mhṭ</w:t>
      </w:r>
      <w:proofErr w:type="spellEnd"/>
      <w:r>
        <w:t xml:space="preserve"> 342–43).</w:t>
      </w:r>
    </w:p>
    <w:p w14:paraId="50AEA4C9" w14:textId="77777777" w:rsidR="00797A71" w:rsidRDefault="00797A71">
      <w:pPr>
        <w:tabs>
          <w:tab w:val="clear" w:pos="425"/>
        </w:tabs>
        <w:spacing w:after="160"/>
      </w:pPr>
      <w:r>
        <w:br w:type="page"/>
      </w:r>
    </w:p>
    <w:p w14:paraId="01C94332" w14:textId="77777777" w:rsidR="00797A71" w:rsidRDefault="00797A71" w:rsidP="00797A71"/>
    <w:p w14:paraId="05C790B0" w14:textId="3B64ADE2" w:rsidR="00A0258B" w:rsidRDefault="008351BC" w:rsidP="00A0258B">
      <w:r>
        <w:t xml:space="preserve">pero sin </w:t>
      </w:r>
      <w:r w:rsidR="00A0258B">
        <w:t>alcanza</w:t>
      </w:r>
      <w:r>
        <w:t>r</w:t>
      </w:r>
      <w:r w:rsidR="00A0258B">
        <w:t xml:space="preserve"> la absorción por la profundidad del alimento físico como </w:t>
      </w:r>
      <w:r w:rsidR="00E0132B">
        <w:t xml:space="preserve">un </w:t>
      </w:r>
      <w:r w:rsidR="00A0258B">
        <w:t xml:space="preserve">estado con esencia individual. </w:t>
      </w:r>
      <w:r w:rsidR="00E0132B">
        <w:t xml:space="preserve">No obstante, </w:t>
      </w:r>
      <w:r w:rsidR="00A0258B">
        <w:t>la percepción se manifesta</w:t>
      </w:r>
      <w:r>
        <w:t>rá</w:t>
      </w:r>
      <w:r w:rsidR="00A0258B">
        <w:t xml:space="preserve"> aquí en la aprehensión del aspecto repulsivo, por lo que este </w:t>
      </w:r>
      <w:r>
        <w:t xml:space="preserve">objeto </w:t>
      </w:r>
      <w:r w:rsidR="00A0258B">
        <w:t>de meditación recib</w:t>
      </w:r>
      <w:r>
        <w:t>irá</w:t>
      </w:r>
      <w:r w:rsidR="00A0258B">
        <w:t xml:space="preserve"> el nombre de “percepción de repulsi</w:t>
      </w:r>
      <w:r>
        <w:t>vidad</w:t>
      </w:r>
      <w:r w:rsidR="00A0258B">
        <w:t xml:space="preserve"> </w:t>
      </w:r>
      <w:r w:rsidR="00B84BD1">
        <w:t xml:space="preserve">hacia </w:t>
      </w:r>
      <w:r>
        <w:t xml:space="preserve">los </w:t>
      </w:r>
      <w:r w:rsidR="00A0258B">
        <w:t>alimento</w:t>
      </w:r>
      <w:r>
        <w:t>s</w:t>
      </w:r>
      <w:r w:rsidR="00A0258B">
        <w:t>”.</w:t>
      </w:r>
    </w:p>
    <w:p w14:paraId="54066B21" w14:textId="670F5B8B" w:rsidR="00A0258B" w:rsidRDefault="00A0258B" w:rsidP="00A0258B">
      <w:r>
        <w:t xml:space="preserve">26. </w:t>
      </w:r>
      <w:r>
        <w:tab/>
        <w:t xml:space="preserve">Cuando un </w:t>
      </w:r>
      <w:proofErr w:type="spellStart"/>
      <w:r w:rsidR="00057BF4" w:rsidRPr="00057BF4">
        <w:rPr>
          <w:i/>
        </w:rPr>
        <w:t>bhikkhu</w:t>
      </w:r>
      <w:proofErr w:type="spellEnd"/>
      <w:r>
        <w:t xml:space="preserve"> se dedi</w:t>
      </w:r>
      <w:r w:rsidR="008351BC">
        <w:t>que</w:t>
      </w:r>
      <w:r>
        <w:t xml:space="preserve"> a esta percepción de repuls</w:t>
      </w:r>
      <w:r w:rsidR="008351BC">
        <w:t>ividad</w:t>
      </w:r>
      <w:r>
        <w:t xml:space="preserve"> </w:t>
      </w:r>
      <w:r w:rsidR="00B84BD1">
        <w:t xml:space="preserve">hacia </w:t>
      </w:r>
      <w:r>
        <w:t>los alimentos, su mente se retrae</w:t>
      </w:r>
      <w:r w:rsidR="008351BC">
        <w:t>rá</w:t>
      </w:r>
      <w:r>
        <w:t>, se retra</w:t>
      </w:r>
      <w:r w:rsidR="00F74998">
        <w:t>e</w:t>
      </w:r>
      <w:r w:rsidR="00592574">
        <w:t>rá</w:t>
      </w:r>
      <w:r>
        <w:t xml:space="preserve"> y </w:t>
      </w:r>
      <w:r w:rsidR="00F74998">
        <w:t>dista</w:t>
      </w:r>
      <w:r w:rsidR="00DF0409">
        <w:t>n</w:t>
      </w:r>
      <w:r w:rsidR="00F74998">
        <w:t>ciará</w:t>
      </w:r>
      <w:r>
        <w:t xml:space="preserve"> </w:t>
      </w:r>
      <w:r w:rsidR="00DF0409">
        <w:t>d</w:t>
      </w:r>
      <w:r>
        <w:t xml:space="preserve">el </w:t>
      </w:r>
      <w:r w:rsidR="00592574">
        <w:t xml:space="preserve">deseo hacia los </w:t>
      </w:r>
      <w:r>
        <w:t>sabores. Se nutr</w:t>
      </w:r>
      <w:r w:rsidR="00592574">
        <w:t>irá</w:t>
      </w:r>
      <w:r>
        <w:t xml:space="preserve"> de </w:t>
      </w:r>
      <w:r w:rsidR="00592574">
        <w:t xml:space="preserve">los </w:t>
      </w:r>
      <w:r>
        <w:t>alimento</w:t>
      </w:r>
      <w:r w:rsidR="00592574">
        <w:t>s</w:t>
      </w:r>
      <w:r>
        <w:t xml:space="preserve"> sin vanidad y sólo con el propósito de atravesar el sufrimiento, como quien </w:t>
      </w:r>
      <w:r w:rsidR="007A12B9">
        <w:t xml:space="preserve">al </w:t>
      </w:r>
      <w:r>
        <w:t>pretend</w:t>
      </w:r>
      <w:r w:rsidR="007A12B9">
        <w:t>er</w:t>
      </w:r>
      <w:r>
        <w:t xml:space="preserve"> cruzar el desierto </w:t>
      </w:r>
      <w:r w:rsidR="007A12B9">
        <w:t>tuviese que comer</w:t>
      </w:r>
      <w:r>
        <w:t xml:space="preserve"> la carne de su propio hijo muerto (S II 98). Entonces su codicia </w:t>
      </w:r>
      <w:r w:rsidR="007A12B9">
        <w:t xml:space="preserve">hacia </w:t>
      </w:r>
      <w:r>
        <w:t xml:space="preserve">las cinco cuerdas del deseo </w:t>
      </w:r>
      <w:r w:rsidR="00664FAC">
        <w:t>sensorial</w:t>
      </w:r>
      <w:r>
        <w:t xml:space="preserve"> llega</w:t>
      </w:r>
      <w:r w:rsidR="007A12B9">
        <w:t>rá</w:t>
      </w:r>
      <w:r>
        <w:t xml:space="preserve"> a </w:t>
      </w:r>
      <w:r w:rsidR="00BC6F87">
        <w:t xml:space="preserve">pleno entendimiento </w:t>
      </w:r>
      <w:r>
        <w:t xml:space="preserve">sin dificultad por medio de la </w:t>
      </w:r>
      <w:r w:rsidR="001C1D7D">
        <w:t>total</w:t>
      </w:r>
      <w:r>
        <w:t xml:space="preserve"> comprensión del alimento físico. Comprende</w:t>
      </w:r>
      <w:r w:rsidR="001C1D7D">
        <w:t>rá</w:t>
      </w:r>
      <w:r>
        <w:t xml:space="preserve"> completamente el agregado de </w:t>
      </w:r>
      <w:r w:rsidR="001C1D7D">
        <w:t xml:space="preserve">la </w:t>
      </w:r>
      <w:r>
        <w:t xml:space="preserve">materialidad por medio de la comprensión total de las cinco cuerdas del deseo de los sentidos. El desarrollo de la atención plena ocupada </w:t>
      </w:r>
      <w:r w:rsidR="00B84BD1">
        <w:t>en</w:t>
      </w:r>
      <w:r>
        <w:t xml:space="preserve"> el cuerpo llega</w:t>
      </w:r>
      <w:r w:rsidR="00ED286A">
        <w:t>rá</w:t>
      </w:r>
      <w:r>
        <w:t xml:space="preserve"> a </w:t>
      </w:r>
      <w:r w:rsidR="00ED286A">
        <w:t>su</w:t>
      </w:r>
      <w:r>
        <w:t xml:space="preserve"> perfección en él a través de la repulsi</w:t>
      </w:r>
      <w:r w:rsidR="00ED286A">
        <w:t>vidad</w:t>
      </w:r>
      <w:r>
        <w:t xml:space="preserve"> </w:t>
      </w:r>
      <w:r w:rsidR="00B84BD1">
        <w:t xml:space="preserve">hacia </w:t>
      </w:r>
      <w:r>
        <w:t>"lo que est</w:t>
      </w:r>
      <w:r w:rsidR="00ED286A">
        <w:t>é</w:t>
      </w:r>
      <w:r>
        <w:t xml:space="preserve"> crudo" y el resto. Ha</w:t>
      </w:r>
      <w:r w:rsidR="00ED286A">
        <w:t>brá</w:t>
      </w:r>
      <w:r>
        <w:t xml:space="preserve"> entrado en un </w:t>
      </w:r>
      <w:r w:rsidR="00ED286A">
        <w:t xml:space="preserve">sendero </w:t>
      </w:r>
      <w:r>
        <w:t>que est</w:t>
      </w:r>
      <w:r w:rsidR="00ED286A">
        <w:t>ar</w:t>
      </w:r>
      <w:r>
        <w:t xml:space="preserve">á en conformidad con la percepción de la </w:t>
      </w:r>
      <w:r w:rsidR="00ED286A">
        <w:t>repugnancia</w:t>
      </w:r>
      <w:r>
        <w:t>. Y al mantenerse de esta manera, incluso si no experimenta</w:t>
      </w:r>
      <w:r w:rsidR="00ED286A">
        <w:t>ra</w:t>
      </w:r>
      <w:r>
        <w:t xml:space="preserve"> la meta inmortal en esta vida, al menos </w:t>
      </w:r>
      <w:r w:rsidR="00ED286A">
        <w:t>será conducido haci</w:t>
      </w:r>
      <w:r>
        <w:t>a un destino feliz.</w:t>
      </w:r>
    </w:p>
    <w:p w14:paraId="1548BDDD" w14:textId="6CAAE0F4" w:rsidR="00A0258B" w:rsidRDefault="00ED286A" w:rsidP="00A0258B">
      <w:pPr>
        <w:pStyle w:val="NormalConSangria"/>
      </w:pPr>
      <w:r>
        <w:t>É</w:t>
      </w:r>
      <w:r w:rsidR="00A0258B">
        <w:t xml:space="preserve">sta es la explicación detallada del desarrollo de la percepción de </w:t>
      </w:r>
      <w:r>
        <w:t xml:space="preserve">la </w:t>
      </w:r>
      <w:r w:rsidR="00A0258B">
        <w:t>repulsi</w:t>
      </w:r>
      <w:r>
        <w:t>vidad</w:t>
      </w:r>
      <w:r w:rsidR="00A0258B">
        <w:t xml:space="preserve"> </w:t>
      </w:r>
      <w:r>
        <w:t>de</w:t>
      </w:r>
      <w:r w:rsidR="00A0258B">
        <w:t xml:space="preserve"> los alimentos.</w:t>
      </w:r>
    </w:p>
    <w:p w14:paraId="22A877D7" w14:textId="11AA7517" w:rsidR="00A0258B" w:rsidRDefault="00A0258B" w:rsidP="00A0258B">
      <w:pPr>
        <w:pStyle w:val="Ttulo3"/>
        <w:ind w:left="708"/>
      </w:pPr>
      <w:r>
        <w:t>[Definición de los Elementos: Definiciones de Palabras]</w:t>
      </w:r>
    </w:p>
    <w:p w14:paraId="340A418E" w14:textId="6BA950F3" w:rsidR="00A0258B" w:rsidRDefault="00A0258B" w:rsidP="00A0258B">
      <w:r>
        <w:t xml:space="preserve">27. </w:t>
      </w:r>
      <w:r>
        <w:tab/>
        <w:t xml:space="preserve">Ahora </w:t>
      </w:r>
      <w:r w:rsidR="00A1144D">
        <w:t>se proseguirá con</w:t>
      </w:r>
      <w:r>
        <w:t xml:space="preserve"> la descripción del desarrollo de la definición de los cuatro elementos, que se enumeró como </w:t>
      </w:r>
      <w:r w:rsidR="00CF7030">
        <w:t>"</w:t>
      </w:r>
      <w:r>
        <w:t>l</w:t>
      </w:r>
      <w:r w:rsidR="00A31025">
        <w:t>o</w:t>
      </w:r>
      <w:r>
        <w:t xml:space="preserve"> </w:t>
      </w:r>
      <w:r w:rsidR="00CF7030">
        <w:t>definitorio</w:t>
      </w:r>
      <w:r>
        <w:t xml:space="preserve">" junto a la percepción de repulsión </w:t>
      </w:r>
      <w:r w:rsidR="00BD1E11">
        <w:t xml:space="preserve">hacia </w:t>
      </w:r>
      <w:r>
        <w:t>el alimento (III.105).</w:t>
      </w:r>
    </w:p>
    <w:p w14:paraId="0881C53F" w14:textId="367D9A24" w:rsidR="00A0258B" w:rsidRDefault="00A0258B" w:rsidP="00A0258B">
      <w:pPr>
        <w:pStyle w:val="NormalConSangria"/>
      </w:pPr>
      <w:r>
        <w:t xml:space="preserve">Aquí, </w:t>
      </w:r>
      <w:r w:rsidR="003F2B85">
        <w:t>“</w:t>
      </w:r>
      <w:r w:rsidR="00F221C8">
        <w:t>l</w:t>
      </w:r>
      <w:r w:rsidR="003F2B85">
        <w:t>o definitorio</w:t>
      </w:r>
      <w:r>
        <w:t>” (</w:t>
      </w:r>
      <w:proofErr w:type="spellStart"/>
      <w:r w:rsidRPr="00984CD1">
        <w:rPr>
          <w:i/>
          <w:iCs/>
        </w:rPr>
        <w:t>vavatthāna</w:t>
      </w:r>
      <w:proofErr w:type="spellEnd"/>
      <w:r>
        <w:t xml:space="preserve">) es determinante </w:t>
      </w:r>
      <w:r w:rsidR="00ED09D3">
        <w:t>para</w:t>
      </w:r>
      <w:r>
        <w:t xml:space="preserve"> caracterizar </w:t>
      </w:r>
      <w:r w:rsidR="00F221C8">
        <w:t xml:space="preserve">las </w:t>
      </w:r>
      <w:r>
        <w:t>esencias individuales.</w:t>
      </w:r>
      <w:r w:rsidRPr="00984CD1">
        <w:rPr>
          <w:vertAlign w:val="superscript"/>
        </w:rPr>
        <w:t>19</w:t>
      </w:r>
      <w:r>
        <w:t xml:space="preserve"> </w:t>
      </w:r>
      <w:r w:rsidR="00F01553">
        <w:t xml:space="preserve">Lo </w:t>
      </w:r>
      <w:r>
        <w:t>compuesto</w:t>
      </w:r>
      <w:r w:rsidR="00CE42B1">
        <w:t>,</w:t>
      </w:r>
      <w:r>
        <w:t xml:space="preserve"> </w:t>
      </w:r>
      <w:proofErr w:type="spellStart"/>
      <w:r w:rsidRPr="00984CD1">
        <w:rPr>
          <w:i/>
          <w:iCs/>
        </w:rPr>
        <w:t>catudhātuvavatthāna</w:t>
      </w:r>
      <w:proofErr w:type="spellEnd"/>
      <w:r>
        <w:t xml:space="preserve"> (“</w:t>
      </w:r>
      <w:r w:rsidR="00ED09D3">
        <w:t xml:space="preserve">los </w:t>
      </w:r>
      <w:r>
        <w:t>cuatro elementos</w:t>
      </w:r>
      <w:r w:rsidR="00EA71D7">
        <w:t xml:space="preserve"> que se defin</w:t>
      </w:r>
      <w:r w:rsidR="00CE42B1">
        <w:t>a</w:t>
      </w:r>
      <w:r w:rsidR="00EA71D7">
        <w:t>n</w:t>
      </w:r>
      <w:r>
        <w:t xml:space="preserve">”) es resoluble en </w:t>
      </w:r>
      <w:proofErr w:type="spellStart"/>
      <w:r w:rsidRPr="00984CD1">
        <w:rPr>
          <w:i/>
          <w:iCs/>
        </w:rPr>
        <w:t>catunnaṃ</w:t>
      </w:r>
      <w:proofErr w:type="spellEnd"/>
      <w:r>
        <w:t xml:space="preserve"> </w:t>
      </w:r>
      <w:proofErr w:type="spellStart"/>
      <w:r w:rsidRPr="00984CD1">
        <w:rPr>
          <w:i/>
          <w:iCs/>
        </w:rPr>
        <w:t>dhātūnaṃ</w:t>
      </w:r>
      <w:proofErr w:type="spellEnd"/>
      <w:r w:rsidRPr="00984CD1">
        <w:rPr>
          <w:i/>
          <w:iCs/>
        </w:rPr>
        <w:t xml:space="preserve"> </w:t>
      </w:r>
      <w:proofErr w:type="spellStart"/>
      <w:r w:rsidRPr="00984CD1">
        <w:rPr>
          <w:i/>
          <w:iCs/>
        </w:rPr>
        <w:t>vavatthānaṃ</w:t>
      </w:r>
      <w:proofErr w:type="spellEnd"/>
      <w:r>
        <w:t xml:space="preserve"> (“</w:t>
      </w:r>
      <w:r w:rsidR="00EA71D7">
        <w:t xml:space="preserve">la </w:t>
      </w:r>
      <w:r>
        <w:t>definición de los cuatro elementos”). “</w:t>
      </w:r>
      <w:r w:rsidR="004D77C5">
        <w:t xml:space="preserve">La </w:t>
      </w:r>
      <w:r>
        <w:t xml:space="preserve">tención </w:t>
      </w:r>
      <w:r w:rsidR="009060D4">
        <w:t>dirigida</w:t>
      </w:r>
      <w:r>
        <w:t xml:space="preserve"> a los elementos”, “el </w:t>
      </w:r>
      <w:r w:rsidR="00EA71D7">
        <w:t>objeto</w:t>
      </w:r>
      <w:r>
        <w:t xml:space="preserve"> de meditación que consta de </w:t>
      </w:r>
      <w:r w:rsidR="004D77C5">
        <w:t xml:space="preserve">los </w:t>
      </w:r>
      <w:r>
        <w:t>elementos” y “</w:t>
      </w:r>
      <w:r w:rsidR="004D77C5">
        <w:t xml:space="preserve">la </w:t>
      </w:r>
      <w:r>
        <w:t>definición de los cuatro elementos” significan lo mismo.</w:t>
      </w:r>
    </w:p>
    <w:p w14:paraId="7578C17F" w14:textId="77777777" w:rsidR="00A0258B" w:rsidRDefault="00A0258B" w:rsidP="00A0258B">
      <w:pPr>
        <w:pStyle w:val="NormalConSangria"/>
      </w:pPr>
      <w:r>
        <w:t xml:space="preserve">Esto se da de dos maneras: en breve y en detalle. Se da en forma breve en el </w:t>
      </w:r>
      <w:proofErr w:type="spellStart"/>
      <w:r w:rsidRPr="00984CD1">
        <w:rPr>
          <w:i/>
          <w:iCs/>
        </w:rPr>
        <w:t>Mahāsatipaṭṭhāna</w:t>
      </w:r>
      <w:proofErr w:type="spellEnd"/>
      <w:r w:rsidRPr="00984CD1">
        <w:rPr>
          <w:i/>
          <w:iCs/>
        </w:rPr>
        <w:t xml:space="preserve"> Sutta</w:t>
      </w:r>
      <w:r>
        <w:t xml:space="preserve"> (D II 294), y en detalle en el </w:t>
      </w:r>
      <w:proofErr w:type="spellStart"/>
      <w:r w:rsidRPr="00984CD1">
        <w:rPr>
          <w:i/>
          <w:iCs/>
        </w:rPr>
        <w:t>Mahāhatthipadopama</w:t>
      </w:r>
      <w:proofErr w:type="spellEnd"/>
      <w:r w:rsidRPr="00984CD1">
        <w:rPr>
          <w:i/>
          <w:iCs/>
        </w:rPr>
        <w:t xml:space="preserve"> Sutta</w:t>
      </w:r>
      <w:r>
        <w:t xml:space="preserve"> (M I 185), el </w:t>
      </w:r>
      <w:proofErr w:type="spellStart"/>
      <w:r w:rsidRPr="00984CD1">
        <w:rPr>
          <w:i/>
          <w:iCs/>
        </w:rPr>
        <w:t>Rāhulovāda</w:t>
      </w:r>
      <w:proofErr w:type="spellEnd"/>
      <w:r w:rsidRPr="00984CD1">
        <w:rPr>
          <w:i/>
          <w:iCs/>
        </w:rPr>
        <w:t xml:space="preserve"> Sutta</w:t>
      </w:r>
      <w:r>
        <w:t xml:space="preserve"> (M I 421) y el </w:t>
      </w:r>
      <w:proofErr w:type="spellStart"/>
      <w:r w:rsidRPr="00984CD1">
        <w:rPr>
          <w:i/>
          <w:iCs/>
        </w:rPr>
        <w:t>Dhātuvibhaṅga</w:t>
      </w:r>
      <w:proofErr w:type="spellEnd"/>
      <w:r w:rsidRPr="00984CD1">
        <w:rPr>
          <w:i/>
          <w:iCs/>
        </w:rPr>
        <w:t xml:space="preserve"> Sutta</w:t>
      </w:r>
      <w:r>
        <w:t xml:space="preserve"> (M III 240).</w:t>
      </w:r>
    </w:p>
    <w:p w14:paraId="2567CF27" w14:textId="77777777" w:rsidR="00A0258B" w:rsidRDefault="00A0258B" w:rsidP="00A0258B">
      <w:pPr>
        <w:pStyle w:val="PiedepginaLegal"/>
        <w:rPr>
          <w:u w:val="single"/>
        </w:rPr>
      </w:pPr>
      <w:r>
        <w:rPr>
          <w:u w:val="single"/>
        </w:rPr>
        <w:tab/>
      </w:r>
      <w:r>
        <w:rPr>
          <w:u w:val="single"/>
        </w:rPr>
        <w:tab/>
      </w:r>
      <w:r>
        <w:rPr>
          <w:u w:val="single"/>
        </w:rPr>
        <w:tab/>
      </w:r>
      <w:r>
        <w:rPr>
          <w:u w:val="single"/>
        </w:rPr>
        <w:tab/>
      </w:r>
    </w:p>
    <w:p w14:paraId="4558A1F8" w14:textId="2465D17E" w:rsidR="00A0258B" w:rsidRDefault="00A0258B" w:rsidP="00A0258B">
      <w:pPr>
        <w:pStyle w:val="PiedepginaLegal"/>
      </w:pPr>
      <w:r>
        <w:t>19. “‘</w:t>
      </w:r>
      <w:r w:rsidRPr="00723BD6">
        <w:rPr>
          <w:i/>
          <w:iCs/>
        </w:rPr>
        <w:t>caracteriza</w:t>
      </w:r>
      <w:r w:rsidR="00D43E14">
        <w:rPr>
          <w:i/>
          <w:iCs/>
        </w:rPr>
        <w:t>ndo</w:t>
      </w:r>
      <w:r w:rsidRPr="00723BD6">
        <w:rPr>
          <w:i/>
          <w:iCs/>
        </w:rPr>
        <w:t xml:space="preserve"> las esencias individuales’</w:t>
      </w:r>
      <w:r>
        <w:t xml:space="preserve">: </w:t>
      </w:r>
      <w:r w:rsidR="008C758E">
        <w:t>identificando</w:t>
      </w:r>
      <w:r>
        <w:t xml:space="preserve"> (</w:t>
      </w:r>
      <w:proofErr w:type="spellStart"/>
      <w:r w:rsidRPr="00984CD1">
        <w:rPr>
          <w:i/>
          <w:iCs/>
        </w:rPr>
        <w:t>upadhāraṇa</w:t>
      </w:r>
      <w:proofErr w:type="spellEnd"/>
      <w:r>
        <w:t>) las características específicas de dureza,</w:t>
      </w:r>
      <w:r w:rsidR="00970B42">
        <w:t xml:space="preserve"> etc</w:t>
      </w:r>
      <w:r>
        <w:t xml:space="preserve">. Pues este </w:t>
      </w:r>
      <w:r w:rsidR="00217A4D">
        <w:t xml:space="preserve">objeto </w:t>
      </w:r>
      <w:r>
        <w:t>de meditación no consist</w:t>
      </w:r>
      <w:r w:rsidR="00217A4D">
        <w:t>irá</w:t>
      </w:r>
      <w:r>
        <w:t xml:space="preserve"> </w:t>
      </w:r>
      <w:r w:rsidR="00217A4D">
        <w:t>de</w:t>
      </w:r>
      <w:r>
        <w:t xml:space="preserve"> la observación de un mero concepto, como en el caso de</w:t>
      </w:r>
      <w:r w:rsidR="00217A4D">
        <w:t>l</w:t>
      </w:r>
      <w:r>
        <w:t xml:space="preserve"> </w:t>
      </w:r>
      <w:proofErr w:type="spellStart"/>
      <w:r w:rsidR="00057BF4" w:rsidRPr="00057BF4">
        <w:rPr>
          <w:i/>
        </w:rPr>
        <w:t>kasiṇa</w:t>
      </w:r>
      <w:proofErr w:type="spellEnd"/>
      <w:r>
        <w:t xml:space="preserve"> </w:t>
      </w:r>
      <w:r w:rsidR="00217A4D">
        <w:t xml:space="preserve">tierra </w:t>
      </w:r>
      <w:r>
        <w:t xml:space="preserve">como </w:t>
      </w:r>
      <w:r w:rsidR="00217A4D">
        <w:t xml:space="preserve">objeto </w:t>
      </w:r>
      <w:r>
        <w:t>de meditación, ni tampoco consist</w:t>
      </w:r>
      <w:r w:rsidR="00217A4D">
        <w:t>irá</w:t>
      </w:r>
      <w:r>
        <w:t xml:space="preserve"> </w:t>
      </w:r>
      <w:r w:rsidR="00217A4D">
        <w:t>de</w:t>
      </w:r>
      <w:r>
        <w:t xml:space="preserve"> la observación del color azul, etc., como en el caso del </w:t>
      </w:r>
      <w:proofErr w:type="spellStart"/>
      <w:r w:rsidR="00057BF4" w:rsidRPr="00057BF4">
        <w:rPr>
          <w:i/>
        </w:rPr>
        <w:t>kasiṇa</w:t>
      </w:r>
      <w:proofErr w:type="spellEnd"/>
      <w:r>
        <w:t xml:space="preserve"> </w:t>
      </w:r>
      <w:r w:rsidR="00217A4D">
        <w:t xml:space="preserve">azul </w:t>
      </w:r>
      <w:r>
        <w:t xml:space="preserve">como </w:t>
      </w:r>
      <w:r w:rsidR="00217A4D">
        <w:t xml:space="preserve">objeto </w:t>
      </w:r>
      <w:r>
        <w:t xml:space="preserve">de meditación, ni en la observación de las características generales de la impermanencia, etc., en </w:t>
      </w:r>
      <w:r w:rsidR="00217A4D">
        <w:t xml:space="preserve">la </w:t>
      </w:r>
      <w:r>
        <w:t xml:space="preserve">formaciones, como en el caso de la </w:t>
      </w:r>
      <w:r w:rsidR="00A47DEC">
        <w:t>sabiduría–revelativa</w:t>
      </w:r>
      <w:r w:rsidR="00217A4D">
        <w:t xml:space="preserve"> </w:t>
      </w:r>
      <w:r>
        <w:t xml:space="preserve">como </w:t>
      </w:r>
      <w:r w:rsidR="00217A4D">
        <w:t xml:space="preserve">objeto </w:t>
      </w:r>
      <w:r>
        <w:t>de meditación; sino que consist</w:t>
      </w:r>
      <w:r w:rsidR="00217A4D">
        <w:t>irá</w:t>
      </w:r>
      <w:r>
        <w:t xml:space="preserve"> más bien </w:t>
      </w:r>
      <w:r w:rsidR="00217A4D">
        <w:t>de l</w:t>
      </w:r>
      <w:r>
        <w:t xml:space="preserve">a observación de las esencias individuales de la tierra, </w:t>
      </w:r>
      <w:r w:rsidR="00217A4D">
        <w:t>etc</w:t>
      </w:r>
      <w:r>
        <w:t>. Por eso se dice 'caracterizando las esencias individuales', lo que significa '</w:t>
      </w:r>
      <w:r w:rsidR="008C758E">
        <w:t>identificando</w:t>
      </w:r>
      <w:r>
        <w:t xml:space="preserve"> las características específicas de la dureza, etc.' (</w:t>
      </w:r>
      <w:proofErr w:type="spellStart"/>
      <w:r>
        <w:t>Vismmhṭ</w:t>
      </w:r>
      <w:proofErr w:type="spellEnd"/>
      <w:r>
        <w:t xml:space="preserve"> 344).</w:t>
      </w:r>
    </w:p>
    <w:p w14:paraId="3DDF42F9" w14:textId="77777777" w:rsidR="00A0258B" w:rsidRDefault="00A0258B">
      <w:pPr>
        <w:tabs>
          <w:tab w:val="clear" w:pos="425"/>
        </w:tabs>
        <w:spacing w:after="160"/>
      </w:pPr>
      <w:r>
        <w:br w:type="page"/>
      </w:r>
    </w:p>
    <w:p w14:paraId="1533420B" w14:textId="77777777" w:rsidR="00A0258B" w:rsidRDefault="00A0258B" w:rsidP="00A0258B"/>
    <w:p w14:paraId="1714FDEF" w14:textId="42FD92C8" w:rsidR="00AF4E4D" w:rsidRDefault="00AF4E4D" w:rsidP="00AF4E4D">
      <w:pPr>
        <w:pStyle w:val="Ttulo3"/>
        <w:ind w:left="708"/>
      </w:pPr>
      <w:r>
        <w:t>[Textos y Comentarios en Breve]</w:t>
      </w:r>
    </w:p>
    <w:p w14:paraId="1B5E832E" w14:textId="2A9B4491" w:rsidR="00AF4E4D" w:rsidRDefault="00AF4E4D" w:rsidP="00AF4E4D">
      <w:r>
        <w:t xml:space="preserve">28. </w:t>
      </w:r>
      <w:r>
        <w:tab/>
        <w:t xml:space="preserve">Se da brevemente en el </w:t>
      </w:r>
      <w:proofErr w:type="spellStart"/>
      <w:r w:rsidRPr="00984CD1">
        <w:rPr>
          <w:i/>
          <w:iCs/>
        </w:rPr>
        <w:t>Mahāsatipaṭṭhāna</w:t>
      </w:r>
      <w:proofErr w:type="spellEnd"/>
      <w:r w:rsidRPr="00984CD1">
        <w:rPr>
          <w:i/>
          <w:iCs/>
        </w:rPr>
        <w:t xml:space="preserve"> Sutta</w:t>
      </w:r>
      <w:r>
        <w:t xml:space="preserve">, para alguien de entendimiento rápido cuyo </w:t>
      </w:r>
      <w:r w:rsidR="00754F3B">
        <w:t>objeto</w:t>
      </w:r>
      <w:r>
        <w:t xml:space="preserve"> de meditación s</w:t>
      </w:r>
      <w:r w:rsidR="00754F3B">
        <w:t>ea</w:t>
      </w:r>
      <w:r>
        <w:t>n los elementos, como sigue: “</w:t>
      </w:r>
      <w:proofErr w:type="spellStart"/>
      <w:r w:rsidR="00057BF4" w:rsidRPr="00057BF4">
        <w:rPr>
          <w:i/>
        </w:rPr>
        <w:t>Bhikkhu</w:t>
      </w:r>
      <w:r>
        <w:t>s</w:t>
      </w:r>
      <w:proofErr w:type="spellEnd"/>
      <w:r>
        <w:t>, tal como si un carnicero hábil o un aprendiz de carnicero hubie</w:t>
      </w:r>
      <w:r w:rsidR="00E323AB">
        <w:t>se</w:t>
      </w:r>
      <w:r>
        <w:t xml:space="preserve"> matado </w:t>
      </w:r>
      <w:r w:rsidR="00754F3B">
        <w:t xml:space="preserve">a </w:t>
      </w:r>
      <w:r>
        <w:t>una vaca y estuvie</w:t>
      </w:r>
      <w:r w:rsidR="00D944E7">
        <w:t>se</w:t>
      </w:r>
      <w:r>
        <w:t xml:space="preserve"> sentado en</w:t>
      </w:r>
      <w:r w:rsidR="00F868CD">
        <w:t xml:space="preserve"> un </w:t>
      </w:r>
      <w:r w:rsidR="00635C99" w:rsidRPr="00635C99">
        <w:t xml:space="preserve">de caminos </w:t>
      </w:r>
      <w:r>
        <w:t xml:space="preserve">[348 ] con </w:t>
      </w:r>
      <w:r w:rsidR="00F868CD">
        <w:t>la carne</w:t>
      </w:r>
      <w:r>
        <w:t xml:space="preserve"> cortad</w:t>
      </w:r>
      <w:r w:rsidR="00F868CD">
        <w:t>a</w:t>
      </w:r>
      <w:r>
        <w:t xml:space="preserve"> en pedazos, así también, </w:t>
      </w:r>
      <w:proofErr w:type="spellStart"/>
      <w:r w:rsidR="00057BF4" w:rsidRPr="00057BF4">
        <w:rPr>
          <w:i/>
        </w:rPr>
        <w:t>bhikkhu</w:t>
      </w:r>
      <w:r>
        <w:t>s</w:t>
      </w:r>
      <w:proofErr w:type="spellEnd"/>
      <w:r>
        <w:t xml:space="preserve">, un </w:t>
      </w:r>
      <w:proofErr w:type="spellStart"/>
      <w:r w:rsidR="00057BF4" w:rsidRPr="00057BF4">
        <w:rPr>
          <w:i/>
        </w:rPr>
        <w:t>bhikkhu</w:t>
      </w:r>
      <w:proofErr w:type="spellEnd"/>
      <w:r>
        <w:t xml:space="preserve"> revisa</w:t>
      </w:r>
      <w:r w:rsidR="00F868CD">
        <w:t>rá</w:t>
      </w:r>
      <w:r>
        <w:t xml:space="preserve"> este cuerpo sin importar cómo esté colocado, sin importar cómo esté dispuesto, como </w:t>
      </w:r>
      <w:r w:rsidR="00F868CD">
        <w:t xml:space="preserve">si estuviera </w:t>
      </w:r>
      <w:r>
        <w:t xml:space="preserve">compuesto </w:t>
      </w:r>
      <w:r w:rsidR="00635C99">
        <w:t xml:space="preserve">sólo </w:t>
      </w:r>
      <w:r>
        <w:t xml:space="preserve">de elementos: </w:t>
      </w:r>
      <w:r w:rsidR="00E323AB">
        <w:t>e</w:t>
      </w:r>
      <w:r>
        <w:t xml:space="preserve">n este cuerpo </w:t>
      </w:r>
      <w:r w:rsidR="00F45942">
        <w:t xml:space="preserve">se </w:t>
      </w:r>
      <w:r w:rsidR="003F5CFF" w:rsidRPr="003F5CFF">
        <w:t xml:space="preserve">encontrarán </w:t>
      </w:r>
      <w:r>
        <w:t>el elemento tierra, el elemento agua, el elemento fuego y el elemento aire”</w:t>
      </w:r>
      <w:r w:rsidR="00F868CD">
        <w:t>.</w:t>
      </w:r>
      <w:r w:rsidRPr="00984CD1">
        <w:rPr>
          <w:vertAlign w:val="superscript"/>
        </w:rPr>
        <w:t>20</w:t>
      </w:r>
      <w:r>
        <w:t xml:space="preserve"> (D II 294).</w:t>
      </w:r>
    </w:p>
    <w:p w14:paraId="13DB4EE2" w14:textId="514CD7A1" w:rsidR="00AF4E4D" w:rsidRPr="00984CD1" w:rsidRDefault="00AF4E4D" w:rsidP="00AF4E4D">
      <w:pPr>
        <w:rPr>
          <w:i/>
          <w:iCs/>
        </w:rPr>
      </w:pPr>
      <w:r>
        <w:t xml:space="preserve">29. </w:t>
      </w:r>
      <w:r>
        <w:tab/>
        <w:t xml:space="preserve">El significado es </w:t>
      </w:r>
      <w:r w:rsidR="00635C99">
        <w:t>el siguiente</w:t>
      </w:r>
      <w:r>
        <w:t xml:space="preserve">: </w:t>
      </w:r>
      <w:r w:rsidRPr="00984CD1">
        <w:rPr>
          <w:i/>
          <w:iCs/>
        </w:rPr>
        <w:t>tal como si un hábil carnicero</w:t>
      </w:r>
      <w:r>
        <w:t xml:space="preserve">, o </w:t>
      </w:r>
      <w:r w:rsidRPr="00635C99">
        <w:rPr>
          <w:i/>
          <w:iCs/>
        </w:rPr>
        <w:t>su</w:t>
      </w:r>
      <w:r>
        <w:t xml:space="preserve"> </w:t>
      </w:r>
      <w:r w:rsidRPr="00984CD1">
        <w:rPr>
          <w:i/>
          <w:iCs/>
        </w:rPr>
        <w:t>aprendiz</w:t>
      </w:r>
      <w:r>
        <w:t xml:space="preserve"> que trabaja</w:t>
      </w:r>
      <w:r w:rsidR="00100291">
        <w:t>se</w:t>
      </w:r>
      <w:r>
        <w:t xml:space="preserve"> para su </w:t>
      </w:r>
      <w:r w:rsidR="00100291">
        <w:t>manutención</w:t>
      </w:r>
      <w:r>
        <w:t xml:space="preserve">, </w:t>
      </w:r>
      <w:r w:rsidRPr="00984CD1">
        <w:rPr>
          <w:i/>
          <w:iCs/>
        </w:rPr>
        <w:t>hubie</w:t>
      </w:r>
      <w:r w:rsidR="00635C99">
        <w:rPr>
          <w:i/>
          <w:iCs/>
        </w:rPr>
        <w:t>se</w:t>
      </w:r>
      <w:r w:rsidRPr="00984CD1">
        <w:rPr>
          <w:i/>
          <w:iCs/>
        </w:rPr>
        <w:t xml:space="preserve"> matado una vaca</w:t>
      </w:r>
      <w:r>
        <w:t xml:space="preserve"> y la dividi</w:t>
      </w:r>
      <w:r w:rsidR="00635C99">
        <w:t xml:space="preserve">do </w:t>
      </w:r>
      <w:r>
        <w:t xml:space="preserve">y </w:t>
      </w:r>
      <w:r w:rsidRPr="00984CD1">
        <w:rPr>
          <w:i/>
          <w:iCs/>
        </w:rPr>
        <w:t>estuvie</w:t>
      </w:r>
      <w:r w:rsidR="00635C99">
        <w:rPr>
          <w:i/>
          <w:iCs/>
        </w:rPr>
        <w:t>se</w:t>
      </w:r>
      <w:r w:rsidRPr="00984CD1">
        <w:rPr>
          <w:i/>
          <w:iCs/>
        </w:rPr>
        <w:t xml:space="preserve"> sentado en </w:t>
      </w:r>
      <w:r w:rsidR="00100291">
        <w:rPr>
          <w:i/>
          <w:iCs/>
        </w:rPr>
        <w:t>un cruce de caminos</w:t>
      </w:r>
      <w:r>
        <w:t xml:space="preserve">, </w:t>
      </w:r>
      <w:r w:rsidR="00177641">
        <w:t>descrita</w:t>
      </w:r>
      <w:r>
        <w:t xml:space="preserve"> como la intersección de </w:t>
      </w:r>
      <w:r w:rsidR="00177641">
        <w:t xml:space="preserve">dos </w:t>
      </w:r>
      <w:r>
        <w:t xml:space="preserve">caminos principales que van en los cuatro direcciones, habiéndolo dispuesto parte por parte, </w:t>
      </w:r>
      <w:r w:rsidRPr="00984CD1">
        <w:rPr>
          <w:i/>
          <w:iCs/>
        </w:rPr>
        <w:t xml:space="preserve">así también un </w:t>
      </w:r>
      <w:proofErr w:type="spellStart"/>
      <w:r w:rsidR="00057BF4" w:rsidRPr="00057BF4">
        <w:rPr>
          <w:i/>
          <w:iCs/>
        </w:rPr>
        <w:t>bhikkhu</w:t>
      </w:r>
      <w:proofErr w:type="spellEnd"/>
      <w:r w:rsidRPr="00984CD1">
        <w:rPr>
          <w:i/>
          <w:iCs/>
        </w:rPr>
        <w:t xml:space="preserve"> revisa</w:t>
      </w:r>
      <w:r w:rsidR="00177641">
        <w:rPr>
          <w:i/>
          <w:iCs/>
        </w:rPr>
        <w:t>rá</w:t>
      </w:r>
      <w:r w:rsidRPr="00984CD1">
        <w:rPr>
          <w:i/>
          <w:iCs/>
        </w:rPr>
        <w:t xml:space="preserve"> e</w:t>
      </w:r>
      <w:r w:rsidR="00177641">
        <w:rPr>
          <w:i/>
          <w:iCs/>
        </w:rPr>
        <w:t>ste</w:t>
      </w:r>
      <w:r w:rsidRPr="00984CD1">
        <w:rPr>
          <w:i/>
          <w:iCs/>
        </w:rPr>
        <w:t xml:space="preserve"> cuerpo, sin </w:t>
      </w:r>
      <w:r w:rsidR="00984CD1">
        <w:rPr>
          <w:i/>
          <w:iCs/>
        </w:rPr>
        <w:t xml:space="preserve">importar </w:t>
      </w:r>
      <w:r w:rsidR="000B4EE4" w:rsidRPr="000B4EE4">
        <w:rPr>
          <w:i/>
          <w:iCs/>
        </w:rPr>
        <w:t xml:space="preserve">cómo esté colocado </w:t>
      </w:r>
      <w:r w:rsidR="00984CD1">
        <w:t xml:space="preserve">ya </w:t>
      </w:r>
      <w:r w:rsidR="00F45942">
        <w:t>q</w:t>
      </w:r>
      <w:r>
        <w:t>ue est</w:t>
      </w:r>
      <w:r w:rsidR="00F45942">
        <w:t>ará</w:t>
      </w:r>
      <w:r>
        <w:t xml:space="preserve"> en una de las cuatro posturas y </w:t>
      </w:r>
      <w:r w:rsidRPr="00984CD1">
        <w:rPr>
          <w:i/>
          <w:iCs/>
        </w:rPr>
        <w:t xml:space="preserve">sin </w:t>
      </w:r>
      <w:r w:rsidR="00F45942">
        <w:rPr>
          <w:i/>
          <w:iCs/>
        </w:rPr>
        <w:t>importar cómo esté dispuesto</w:t>
      </w:r>
      <w:r>
        <w:t xml:space="preserve"> </w:t>
      </w:r>
      <w:r w:rsidR="000B4EE4">
        <w:t xml:space="preserve">ya </w:t>
      </w:r>
      <w:r>
        <w:t>que est</w:t>
      </w:r>
      <w:r w:rsidR="00F45942">
        <w:t>ar</w:t>
      </w:r>
      <w:r>
        <w:t xml:space="preserve">á </w:t>
      </w:r>
      <w:r w:rsidR="00F739B0">
        <w:t xml:space="preserve">en determinadamente </w:t>
      </w:r>
      <w:r>
        <w:t>colocado</w:t>
      </w:r>
      <w:r w:rsidR="003F5CFF">
        <w:t xml:space="preserve"> en un posición</w:t>
      </w:r>
      <w:r>
        <w:t xml:space="preserve">, así: </w:t>
      </w:r>
      <w:r w:rsidRPr="00984CD1">
        <w:rPr>
          <w:i/>
          <w:iCs/>
        </w:rPr>
        <w:t xml:space="preserve">En este cuerpo </w:t>
      </w:r>
      <w:r w:rsidR="00F45942" w:rsidRPr="00F45942">
        <w:rPr>
          <w:i/>
          <w:iCs/>
        </w:rPr>
        <w:t>se enc</w:t>
      </w:r>
      <w:r w:rsidR="003F5CFF">
        <w:rPr>
          <w:i/>
          <w:iCs/>
        </w:rPr>
        <w:t>o</w:t>
      </w:r>
      <w:r w:rsidR="00F45942" w:rsidRPr="00F45942">
        <w:rPr>
          <w:i/>
          <w:iCs/>
        </w:rPr>
        <w:t>ntra</w:t>
      </w:r>
      <w:r w:rsidR="003F5CFF">
        <w:rPr>
          <w:i/>
          <w:iCs/>
        </w:rPr>
        <w:t>rán</w:t>
      </w:r>
      <w:r w:rsidR="00F45942" w:rsidRPr="00F45942">
        <w:rPr>
          <w:i/>
          <w:iCs/>
        </w:rPr>
        <w:t xml:space="preserve"> </w:t>
      </w:r>
      <w:r w:rsidRPr="00984CD1">
        <w:rPr>
          <w:i/>
          <w:iCs/>
        </w:rPr>
        <w:t>el elemento tierra, el elemento agua, el elemento fuego y el elemento aire.</w:t>
      </w:r>
    </w:p>
    <w:p w14:paraId="5F6DFF67" w14:textId="0BA6BE83" w:rsidR="00AF4E4D" w:rsidRPr="00425E2F" w:rsidRDefault="00AF4E4D" w:rsidP="00AF4E4D">
      <w:pPr>
        <w:rPr>
          <w:iCs/>
        </w:rPr>
      </w:pPr>
      <w:r>
        <w:t xml:space="preserve">30. </w:t>
      </w:r>
      <w:r>
        <w:tab/>
        <w:t>¿Qué significa</w:t>
      </w:r>
      <w:r w:rsidR="00F45942">
        <w:t xml:space="preserve"> esto</w:t>
      </w:r>
      <w:r>
        <w:t xml:space="preserve">? Así como </w:t>
      </w:r>
      <w:r w:rsidR="00CE6E58">
        <w:t>un</w:t>
      </w:r>
      <w:r>
        <w:t xml:space="preserve"> carnicero</w:t>
      </w:r>
      <w:r w:rsidR="00077910">
        <w:t xml:space="preserve"> que</w:t>
      </w:r>
      <w:r>
        <w:t xml:space="preserve">, mientras </w:t>
      </w:r>
      <w:r w:rsidR="003F5EBF">
        <w:t>hubo alimentado</w:t>
      </w:r>
      <w:r>
        <w:t xml:space="preserve"> a </w:t>
      </w:r>
      <w:r w:rsidR="00CE6E58">
        <w:t>una</w:t>
      </w:r>
      <w:r>
        <w:t xml:space="preserve"> vaca, la </w:t>
      </w:r>
      <w:r w:rsidR="00F45942">
        <w:t>conduc</w:t>
      </w:r>
      <w:r w:rsidR="003F5EBF">
        <w:t>irá</w:t>
      </w:r>
      <w:r>
        <w:t xml:space="preserve"> </w:t>
      </w:r>
      <w:r w:rsidR="003C5EC2">
        <w:t>hacia</w:t>
      </w:r>
      <w:r>
        <w:t xml:space="preserve"> </w:t>
      </w:r>
      <w:r w:rsidR="003F5EBF">
        <w:t>el matadero</w:t>
      </w:r>
      <w:r>
        <w:t xml:space="preserve">, la </w:t>
      </w:r>
      <w:r w:rsidR="003F5EBF">
        <w:t xml:space="preserve">mantendrá </w:t>
      </w:r>
      <w:r>
        <w:t xml:space="preserve">atada después de llevarla </w:t>
      </w:r>
      <w:r w:rsidR="003F5EBF">
        <w:t>a dicho lugar</w:t>
      </w:r>
      <w:r>
        <w:t xml:space="preserve">, </w:t>
      </w:r>
      <w:r w:rsidR="0061301A">
        <w:t>y al</w:t>
      </w:r>
      <w:r w:rsidR="003C5EC2">
        <w:t xml:space="preserve"> </w:t>
      </w:r>
      <w:r>
        <w:t>deg</w:t>
      </w:r>
      <w:r w:rsidR="00077910">
        <w:t>o</w:t>
      </w:r>
      <w:r>
        <w:t>lla</w:t>
      </w:r>
      <w:r w:rsidR="00077910">
        <w:t>r</w:t>
      </w:r>
      <w:r w:rsidR="007315B3">
        <w:t>á</w:t>
      </w:r>
      <w:r w:rsidR="0061301A">
        <w:t>,</w:t>
      </w:r>
      <w:r>
        <w:t xml:space="preserve"> </w:t>
      </w:r>
      <w:r w:rsidR="007315B3">
        <w:t xml:space="preserve">y la verá </w:t>
      </w:r>
      <w:r>
        <w:t xml:space="preserve">degollada y muerta, no </w:t>
      </w:r>
      <w:r w:rsidR="00F45942">
        <w:t>perder</w:t>
      </w:r>
      <w:r w:rsidR="007315B3">
        <w:t>á</w:t>
      </w:r>
      <w:r w:rsidR="00F45942">
        <w:t xml:space="preserve"> </w:t>
      </w:r>
      <w:r>
        <w:t>la percepción de “</w:t>
      </w:r>
      <w:r w:rsidR="007315B3">
        <w:t xml:space="preserve">la </w:t>
      </w:r>
      <w:r>
        <w:t>vaca” mientras no la haya descuartizad</w:t>
      </w:r>
      <w:r w:rsidR="007315B3">
        <w:t>o</w:t>
      </w:r>
      <w:r>
        <w:t xml:space="preserve"> y dividi</w:t>
      </w:r>
      <w:r w:rsidR="00F45942">
        <w:t>d</w:t>
      </w:r>
      <w:r w:rsidR="007315B3">
        <w:t>o</w:t>
      </w:r>
      <w:r>
        <w:t xml:space="preserve"> en partes; </w:t>
      </w:r>
      <w:r w:rsidR="007315B3">
        <w:t xml:space="preserve">y </w:t>
      </w:r>
      <w:r>
        <w:t>cuando l</w:t>
      </w:r>
      <w:r w:rsidR="00EA0EAD">
        <w:t>a</w:t>
      </w:r>
      <w:r>
        <w:t xml:space="preserve"> ha</w:t>
      </w:r>
      <w:r w:rsidR="00EA0EAD">
        <w:t>ya</w:t>
      </w:r>
      <w:r>
        <w:t xml:space="preserve"> </w:t>
      </w:r>
      <w:r w:rsidR="00B92D8C">
        <w:t>dividido</w:t>
      </w:r>
      <w:r>
        <w:t xml:space="preserve"> y est</w:t>
      </w:r>
      <w:r w:rsidR="00EA0EAD">
        <w:t>é</w:t>
      </w:r>
      <w:r>
        <w:t xml:space="preserve"> sentado allí, perde</w:t>
      </w:r>
      <w:r w:rsidR="00EA0EAD">
        <w:t>r</w:t>
      </w:r>
      <w:r w:rsidR="007315B3">
        <w:t>á</w:t>
      </w:r>
      <w:r>
        <w:t xml:space="preserve"> la percepción </w:t>
      </w:r>
      <w:r w:rsidR="00B92D8C">
        <w:t xml:space="preserve">de </w:t>
      </w:r>
      <w:r>
        <w:t>“</w:t>
      </w:r>
      <w:r w:rsidR="007315B3">
        <w:t xml:space="preserve">la </w:t>
      </w:r>
      <w:r>
        <w:t>vaca” y se produc</w:t>
      </w:r>
      <w:r w:rsidR="00EA0EAD">
        <w:t>ir</w:t>
      </w:r>
      <w:r w:rsidR="007315B3">
        <w:t>á</w:t>
      </w:r>
      <w:r>
        <w:t xml:space="preserve"> la percepción </w:t>
      </w:r>
      <w:r w:rsidR="00B92D8C">
        <w:t xml:space="preserve">de </w:t>
      </w:r>
      <w:r>
        <w:t>“</w:t>
      </w:r>
      <w:r w:rsidR="007315B3">
        <w:t xml:space="preserve">la </w:t>
      </w:r>
      <w:r>
        <w:t xml:space="preserve">carne”; </w:t>
      </w:r>
      <w:r w:rsidR="00B92D8C">
        <w:t xml:space="preserve">él </w:t>
      </w:r>
      <w:r>
        <w:t>no pensa</w:t>
      </w:r>
      <w:r w:rsidR="00EA0EAD">
        <w:t>r</w:t>
      </w:r>
      <w:r w:rsidR="007A5327">
        <w:t>á</w:t>
      </w:r>
      <w:r w:rsidR="00B92D8C">
        <w:t xml:space="preserve"> </w:t>
      </w:r>
      <w:r>
        <w:t xml:space="preserve">“yo vendo vaca” o “se llevan </w:t>
      </w:r>
      <w:r w:rsidR="00EA0EAD">
        <w:t xml:space="preserve">la </w:t>
      </w:r>
      <w:r>
        <w:t xml:space="preserve">vaca”, sino “yo vendo carne” o “se llevan </w:t>
      </w:r>
      <w:r w:rsidR="00827F7E">
        <w:t xml:space="preserve">la </w:t>
      </w:r>
      <w:r>
        <w:t xml:space="preserve">carne”; así también este </w:t>
      </w:r>
      <w:proofErr w:type="spellStart"/>
      <w:r w:rsidR="00057BF4" w:rsidRPr="00057BF4">
        <w:rPr>
          <w:i/>
        </w:rPr>
        <w:t>bhikkhu</w:t>
      </w:r>
      <w:proofErr w:type="spellEnd"/>
      <w:r>
        <w:t xml:space="preserve">, mientras todavía </w:t>
      </w:r>
      <w:r w:rsidR="00827F7E">
        <w:t>sea</w:t>
      </w:r>
      <w:r>
        <w:t xml:space="preserve"> una persona común y corriente, tanto </w:t>
      </w:r>
      <w:r w:rsidR="00B92D8C">
        <w:t>previamente</w:t>
      </w:r>
      <w:r>
        <w:t xml:space="preserve"> como laico </w:t>
      </w:r>
      <w:r w:rsidR="00B92D8C">
        <w:t xml:space="preserve">o </w:t>
      </w:r>
      <w:r>
        <w:t xml:space="preserve">como </w:t>
      </w:r>
      <w:r w:rsidR="00827F7E">
        <w:t>alguien ordenado</w:t>
      </w:r>
      <w:r>
        <w:t>, no perde</w:t>
      </w:r>
      <w:r w:rsidR="00827F7E">
        <w:t>r</w:t>
      </w:r>
      <w:r w:rsidR="00A52A9E">
        <w:t>á</w:t>
      </w:r>
      <w:r>
        <w:t xml:space="preserve"> la percepción de "</w:t>
      </w:r>
      <w:r w:rsidR="00827F7E">
        <w:t xml:space="preserve">un </w:t>
      </w:r>
      <w:r>
        <w:t xml:space="preserve">ser viviente" </w:t>
      </w:r>
      <w:r w:rsidR="00827F7E">
        <w:t>o un</w:t>
      </w:r>
      <w:r>
        <w:t xml:space="preserve"> "hombre" o </w:t>
      </w:r>
      <w:r w:rsidR="00827F7E">
        <w:t xml:space="preserve">una </w:t>
      </w:r>
      <w:r>
        <w:t>"persona" mientras no lo ha</w:t>
      </w:r>
      <w:r w:rsidR="00A52A9E">
        <w:t>ga</w:t>
      </w:r>
      <w:r>
        <w:t xml:space="preserve">, </w:t>
      </w:r>
      <w:r w:rsidR="00E746FA">
        <w:t>mediante</w:t>
      </w:r>
      <w:r>
        <w:t xml:space="preserve"> </w:t>
      </w:r>
      <w:r w:rsidR="008E4BBB">
        <w:t>la resolución</w:t>
      </w:r>
      <w:r>
        <w:t xml:space="preserve"> de</w:t>
      </w:r>
      <w:r w:rsidR="00072A70">
        <w:t xml:space="preserve"> </w:t>
      </w:r>
      <w:r>
        <w:t>l</w:t>
      </w:r>
      <w:r w:rsidR="00A61C6A">
        <w:t>a</w:t>
      </w:r>
      <w:r>
        <w:t xml:space="preserve"> </w:t>
      </w:r>
      <w:r w:rsidR="00072A70">
        <w:t>com</w:t>
      </w:r>
      <w:r>
        <w:t>pac</w:t>
      </w:r>
      <w:r w:rsidR="00A61C6A">
        <w:t>idad</w:t>
      </w:r>
      <w:r>
        <w:t xml:space="preserve"> en </w:t>
      </w:r>
      <w:r w:rsidR="00072A70">
        <w:t xml:space="preserve">términos de </w:t>
      </w:r>
      <w:r>
        <w:t xml:space="preserve">elementos, cualquiera que sea su ubicación, cualquiera que sea su disposición, </w:t>
      </w:r>
      <w:r w:rsidR="00C15AF0">
        <w:t xml:space="preserve">sólo </w:t>
      </w:r>
      <w:r>
        <w:t xml:space="preserve">como </w:t>
      </w:r>
      <w:r w:rsidR="00E323AB">
        <w:t xml:space="preserve">un </w:t>
      </w:r>
      <w:r>
        <w:t xml:space="preserve">compuesto de elementos. </w:t>
      </w:r>
      <w:r w:rsidR="00E323AB">
        <w:t xml:space="preserve">No obstante, </w:t>
      </w:r>
      <w:r>
        <w:t xml:space="preserve">cuando lo </w:t>
      </w:r>
      <w:r w:rsidR="006A0C42">
        <w:t>discierna</w:t>
      </w:r>
      <w:r>
        <w:t xml:space="preserve"> como </w:t>
      </w:r>
      <w:r w:rsidR="00E323AB">
        <w:t xml:space="preserve">un </w:t>
      </w:r>
      <w:r>
        <w:t>compuesto de elementos, perde</w:t>
      </w:r>
      <w:r w:rsidR="003C5EC2">
        <w:t>rá</w:t>
      </w:r>
      <w:r>
        <w:t xml:space="preserve"> la percepción de </w:t>
      </w:r>
      <w:r w:rsidR="003C5EC2">
        <w:t xml:space="preserve">un </w:t>
      </w:r>
      <w:r>
        <w:t>“ser viviente” y su mente se establece</w:t>
      </w:r>
      <w:r w:rsidR="003C5EC2">
        <w:t>rá</w:t>
      </w:r>
      <w:r>
        <w:t xml:space="preserve"> </w:t>
      </w:r>
      <w:r w:rsidR="00466625">
        <w:t xml:space="preserve">sólo </w:t>
      </w:r>
      <w:r>
        <w:t>sobre los elementos. Es por e</w:t>
      </w:r>
      <w:r w:rsidR="003C5EC2">
        <w:t>ll</w:t>
      </w:r>
      <w:r>
        <w:t xml:space="preserve">o </w:t>
      </w:r>
      <w:proofErr w:type="gramStart"/>
      <w:r>
        <w:t>que</w:t>
      </w:r>
      <w:proofErr w:type="gramEnd"/>
      <w:r>
        <w:t xml:space="preserve"> el </w:t>
      </w:r>
      <w:r w:rsidR="003C5EC2" w:rsidRPr="003C5EC2">
        <w:rPr>
          <w:i/>
          <w:iCs/>
        </w:rPr>
        <w:t>Bhagavā</w:t>
      </w:r>
      <w:r w:rsidR="003C5EC2">
        <w:t xml:space="preserve"> </w:t>
      </w:r>
      <w:r>
        <w:t>dijo: “</w:t>
      </w:r>
      <w:proofErr w:type="spellStart"/>
      <w:r w:rsidR="00057BF4" w:rsidRPr="00466625">
        <w:rPr>
          <w:i/>
        </w:rPr>
        <w:t>Bhikkhu</w:t>
      </w:r>
      <w:r w:rsidRPr="00466625">
        <w:rPr>
          <w:i/>
        </w:rPr>
        <w:t>s</w:t>
      </w:r>
      <w:proofErr w:type="spellEnd"/>
      <w:r w:rsidRPr="00466625">
        <w:rPr>
          <w:i/>
        </w:rPr>
        <w:t>, tal como si un hábil carnicero… estuvie</w:t>
      </w:r>
      <w:r w:rsidR="00466625" w:rsidRPr="00466625">
        <w:rPr>
          <w:i/>
        </w:rPr>
        <w:t>se</w:t>
      </w:r>
      <w:r w:rsidRPr="00466625">
        <w:rPr>
          <w:i/>
        </w:rPr>
        <w:t xml:space="preserve"> sentado en </w:t>
      </w:r>
      <w:r w:rsidR="003C5EC2" w:rsidRPr="00466625">
        <w:rPr>
          <w:i/>
        </w:rPr>
        <w:t>un cruce</w:t>
      </w:r>
      <w:r w:rsidRPr="00466625">
        <w:rPr>
          <w:i/>
        </w:rPr>
        <w:t xml:space="preserve">… así también, </w:t>
      </w:r>
      <w:proofErr w:type="spellStart"/>
      <w:r w:rsidR="00057BF4" w:rsidRPr="00466625">
        <w:rPr>
          <w:i/>
        </w:rPr>
        <w:t>bhikkhu</w:t>
      </w:r>
      <w:r w:rsidRPr="00466625">
        <w:rPr>
          <w:i/>
        </w:rPr>
        <w:t>s</w:t>
      </w:r>
      <w:proofErr w:type="spellEnd"/>
      <w:r w:rsidRPr="00466625">
        <w:rPr>
          <w:i/>
        </w:rPr>
        <w:t xml:space="preserve">, un </w:t>
      </w:r>
      <w:proofErr w:type="spellStart"/>
      <w:r w:rsidR="00057BF4" w:rsidRPr="00466625">
        <w:rPr>
          <w:i/>
        </w:rPr>
        <w:t>bhikkhu</w:t>
      </w:r>
      <w:proofErr w:type="spellEnd"/>
      <w:r w:rsidRPr="00466625">
        <w:rPr>
          <w:i/>
        </w:rPr>
        <w:t>… elemento aire”.</w:t>
      </w:r>
    </w:p>
    <w:p w14:paraId="68A54E03" w14:textId="77777777" w:rsidR="00AF4E4D" w:rsidRDefault="00AF4E4D" w:rsidP="00AF4E4D"/>
    <w:p w14:paraId="577B0C29" w14:textId="77777777" w:rsidR="00AF4E4D" w:rsidRDefault="00AF4E4D" w:rsidP="00AF4E4D">
      <w:pPr>
        <w:pStyle w:val="PiedepginaLegal"/>
        <w:rPr>
          <w:u w:val="single"/>
        </w:rPr>
      </w:pPr>
      <w:r>
        <w:rPr>
          <w:u w:val="single"/>
        </w:rPr>
        <w:tab/>
      </w:r>
      <w:r>
        <w:rPr>
          <w:u w:val="single"/>
        </w:rPr>
        <w:tab/>
      </w:r>
      <w:r>
        <w:rPr>
          <w:u w:val="single"/>
        </w:rPr>
        <w:tab/>
      </w:r>
      <w:r>
        <w:rPr>
          <w:u w:val="single"/>
        </w:rPr>
        <w:tab/>
      </w:r>
    </w:p>
    <w:p w14:paraId="0DFB2D50" w14:textId="73412D93" w:rsidR="00AF4E4D" w:rsidRDefault="00AF4E4D" w:rsidP="008E762A">
      <w:pPr>
        <w:pStyle w:val="PiedepginaLegal"/>
      </w:pPr>
      <w:r>
        <w:t xml:space="preserve">20. </w:t>
      </w:r>
      <w:r w:rsidR="008E762A">
        <w:tab/>
      </w:r>
      <w:r>
        <w:t xml:space="preserve">“Aquí, en lo que respecta al </w:t>
      </w:r>
      <w:r w:rsidRPr="00984CD1">
        <w:rPr>
          <w:i/>
          <w:iCs/>
        </w:rPr>
        <w:t>'elemento tierra'</w:t>
      </w:r>
      <w:r>
        <w:t>, etc., el significado de</w:t>
      </w:r>
      <w:r w:rsidR="008C758E">
        <w:t>l</w:t>
      </w:r>
      <w:r>
        <w:t xml:space="preserve"> elemento </w:t>
      </w:r>
      <w:r w:rsidR="008C758E">
        <w:t xml:space="preserve">será </w:t>
      </w:r>
      <w:r>
        <w:t xml:space="preserve">el significado de </w:t>
      </w:r>
      <w:r w:rsidR="008C758E">
        <w:t xml:space="preserve">la </w:t>
      </w:r>
      <w:r>
        <w:t xml:space="preserve">esencia individual, el significado de </w:t>
      </w:r>
      <w:r w:rsidR="008C758E">
        <w:t xml:space="preserve">la </w:t>
      </w:r>
      <w:r>
        <w:t xml:space="preserve">esencia individual </w:t>
      </w:r>
      <w:r w:rsidR="008C758E">
        <w:t xml:space="preserve">será </w:t>
      </w:r>
      <w:r>
        <w:t>el significado de</w:t>
      </w:r>
      <w:r w:rsidR="00336362">
        <w:t xml:space="preserve"> </w:t>
      </w:r>
      <w:r w:rsidR="00D744EF">
        <w:t>l</w:t>
      </w:r>
      <w:r w:rsidR="00336362">
        <w:t>a</w:t>
      </w:r>
      <w:r>
        <w:t xml:space="preserve"> </w:t>
      </w:r>
      <w:r w:rsidR="00336362">
        <w:t>vacuidad</w:t>
      </w:r>
      <w:r>
        <w:t xml:space="preserve">, el significado de vacío </w:t>
      </w:r>
      <w:r w:rsidR="00F06407">
        <w:t xml:space="preserve">será </w:t>
      </w:r>
      <w:r>
        <w:t xml:space="preserve">el significado de </w:t>
      </w:r>
      <w:r w:rsidR="00F06407">
        <w:t>no-un-ser-viviente</w:t>
      </w:r>
      <w:r>
        <w:t xml:space="preserve">. Así que </w:t>
      </w:r>
      <w:r w:rsidR="00DB27B3">
        <w:t xml:space="preserve">consistirá </w:t>
      </w:r>
      <w:r>
        <w:t xml:space="preserve">simplemente </w:t>
      </w:r>
      <w:r w:rsidR="00DB27B3">
        <w:t xml:space="preserve">de </w:t>
      </w:r>
      <w:r>
        <w:t xml:space="preserve">tierra en el sentido de esencia individual, vacío y no-un-ser-viviente </w:t>
      </w:r>
      <w:r w:rsidR="00DB27B3">
        <w:t xml:space="preserve">lo </w:t>
      </w:r>
      <w:r>
        <w:t xml:space="preserve">que </w:t>
      </w:r>
      <w:r w:rsidR="00DB27B3">
        <w:t>corresponderá a</w:t>
      </w:r>
      <w:r>
        <w:t xml:space="preserve">l elemento; de ahí que sea elemento tierra; así también en el caso del elemento agua, y </w:t>
      </w:r>
      <w:r w:rsidR="001011ED">
        <w:t>los demás</w:t>
      </w:r>
      <w:r>
        <w:t xml:space="preserve">. El elemento tierra </w:t>
      </w:r>
      <w:r w:rsidR="00CC6F2C">
        <w:t>corresponderá a</w:t>
      </w:r>
      <w:r>
        <w:t xml:space="preserve">l elemento que </w:t>
      </w:r>
      <w:r w:rsidR="006441E6">
        <w:t xml:space="preserve">será </w:t>
      </w:r>
      <w:r>
        <w:t xml:space="preserve">el punto de </w:t>
      </w:r>
      <w:r w:rsidR="00CC6F2C">
        <w:t xml:space="preserve">soporte </w:t>
      </w:r>
      <w:r>
        <w:t xml:space="preserve">para los estados materiales </w:t>
      </w:r>
      <w:r w:rsidR="006441E6">
        <w:t>coetáneos</w:t>
      </w:r>
      <w:r>
        <w:t xml:space="preserve">. Asimismo, el elemento agua </w:t>
      </w:r>
      <w:r w:rsidR="006441E6">
        <w:t xml:space="preserve">será </w:t>
      </w:r>
      <w:r>
        <w:t xml:space="preserve">el elemento de su cohesión; el elemento fuego </w:t>
      </w:r>
      <w:r w:rsidR="006441E6">
        <w:t xml:space="preserve">será </w:t>
      </w:r>
      <w:r>
        <w:t xml:space="preserve">el elemento de su maduración; y el elemento aire </w:t>
      </w:r>
      <w:r w:rsidR="006441E6">
        <w:t xml:space="preserve">será </w:t>
      </w:r>
      <w:r>
        <w:t xml:space="preserve">el elemento de </w:t>
      </w:r>
      <w:r w:rsidR="005A6424">
        <w:t xml:space="preserve">su </w:t>
      </w:r>
      <w:r>
        <w:t>transporte y distensión” (</w:t>
      </w:r>
      <w:proofErr w:type="spellStart"/>
      <w:r>
        <w:t>Vism-mhṭ</w:t>
      </w:r>
      <w:proofErr w:type="spellEnd"/>
      <w:r>
        <w:t xml:space="preserve"> 345).</w:t>
      </w:r>
    </w:p>
    <w:p w14:paraId="06DBBAB2" w14:textId="03532020" w:rsidR="00AF4E4D" w:rsidRDefault="008E762A" w:rsidP="008E762A">
      <w:pPr>
        <w:pStyle w:val="PiedepginaLegal"/>
      </w:pPr>
      <w:r>
        <w:tab/>
      </w:r>
      <w:r>
        <w:tab/>
      </w:r>
      <w:r w:rsidR="00AF4E4D">
        <w:t xml:space="preserve">Para evitar confusiones, podría mencionarse aquí </w:t>
      </w:r>
      <w:r w:rsidR="00885A94">
        <w:t xml:space="preserve">con </w:t>
      </w:r>
      <w:r w:rsidR="003D33B7">
        <w:t>respecto a</w:t>
      </w:r>
      <w:r w:rsidR="00AF4E4D">
        <w:t xml:space="preserve"> la tierra, el fuego, el agua y el aire “físicos”, que los cuatro elementos est</w:t>
      </w:r>
      <w:r w:rsidR="00FA3E99">
        <w:t>arán</w:t>
      </w:r>
      <w:r w:rsidR="00AF4E4D">
        <w:t xml:space="preserve"> presentes en cada uno por igual, pero que en la tierra “física” el elemento tierra </w:t>
      </w:r>
      <w:r w:rsidR="00F52D9F">
        <w:t xml:space="preserve">será </w:t>
      </w:r>
      <w:r w:rsidR="00AF4E4D">
        <w:t xml:space="preserve">dominante en la eficacia como modo de dureza; y correspondientemente </w:t>
      </w:r>
      <w:r w:rsidR="00F52D9F">
        <w:t xml:space="preserve">será así </w:t>
      </w:r>
      <w:r w:rsidR="00AF4E4D">
        <w:t>con el agua y el resto. Véase, por ejemplo. XIV.45.</w:t>
      </w:r>
    </w:p>
    <w:p w14:paraId="1BB0AEFC" w14:textId="2355DF33" w:rsidR="008E762A" w:rsidRDefault="008E762A">
      <w:pPr>
        <w:tabs>
          <w:tab w:val="clear" w:pos="425"/>
        </w:tabs>
        <w:spacing w:after="160"/>
      </w:pPr>
      <w:r>
        <w:br w:type="page"/>
      </w:r>
    </w:p>
    <w:p w14:paraId="0F4B08FE" w14:textId="5AD38E2D" w:rsidR="00787977" w:rsidRDefault="00787977" w:rsidP="00787977">
      <w:pPr>
        <w:pStyle w:val="Ttulo3"/>
        <w:ind w:left="708"/>
      </w:pPr>
      <w:r>
        <w:lastRenderedPageBreak/>
        <w:t>[En Detalle]</w:t>
      </w:r>
    </w:p>
    <w:p w14:paraId="4CA4B916" w14:textId="33738DC3" w:rsidR="00787977" w:rsidRDefault="00787977" w:rsidP="00787977">
      <w:pPr>
        <w:spacing w:after="80"/>
      </w:pPr>
      <w:r>
        <w:t xml:space="preserve">31. </w:t>
      </w:r>
      <w:r>
        <w:tab/>
        <w:t xml:space="preserve">En el </w:t>
      </w:r>
      <w:proofErr w:type="spellStart"/>
      <w:r w:rsidRPr="00984CD1">
        <w:rPr>
          <w:i/>
          <w:iCs/>
        </w:rPr>
        <w:t>Mahāhatthipadopama</w:t>
      </w:r>
      <w:proofErr w:type="spellEnd"/>
      <w:r w:rsidRPr="00984CD1">
        <w:rPr>
          <w:i/>
          <w:iCs/>
        </w:rPr>
        <w:t xml:space="preserve"> Sutta</w:t>
      </w:r>
      <w:r>
        <w:t xml:space="preserve"> se </w:t>
      </w:r>
      <w:r w:rsidR="008365A8">
        <w:t>ofrece</w:t>
      </w:r>
      <w:r>
        <w:t xml:space="preserve"> </w:t>
      </w:r>
      <w:r w:rsidR="008365A8">
        <w:t xml:space="preserve">una explicación </w:t>
      </w:r>
      <w:r>
        <w:t>en detalle</w:t>
      </w:r>
      <w:r w:rsidR="008365A8">
        <w:t xml:space="preserve"> al respecto</w:t>
      </w:r>
      <w:r w:rsidR="00BB5ABF">
        <w:t>,</w:t>
      </w:r>
      <w:r>
        <w:t xml:space="preserve"> para alguien </w:t>
      </w:r>
      <w:r w:rsidR="008365A8">
        <w:t xml:space="preserve">cuya </w:t>
      </w:r>
      <w:r>
        <w:t xml:space="preserve">comprensión no </w:t>
      </w:r>
      <w:r w:rsidR="008365A8">
        <w:t xml:space="preserve">sea </w:t>
      </w:r>
      <w:r>
        <w:t xml:space="preserve">demasiado rápida </w:t>
      </w:r>
      <w:r w:rsidR="00832AD8">
        <w:t xml:space="preserve">y </w:t>
      </w:r>
      <w:r>
        <w:t xml:space="preserve">cuyo </w:t>
      </w:r>
      <w:r w:rsidR="0088347D">
        <w:t xml:space="preserve">objeto </w:t>
      </w:r>
      <w:r>
        <w:t>de meditación s</w:t>
      </w:r>
      <w:r w:rsidR="00BB5ABF">
        <w:t>ea</w:t>
      </w:r>
      <w:r>
        <w:t>n los elementos y</w:t>
      </w:r>
      <w:r w:rsidR="00832AD8">
        <w:t>,</w:t>
      </w:r>
      <w:r>
        <w:t xml:space="preserve"> como aquí también</w:t>
      </w:r>
      <w:r w:rsidR="00832AD8">
        <w:t>,</w:t>
      </w:r>
      <w:r>
        <w:t xml:space="preserve"> en los </w:t>
      </w:r>
      <w:proofErr w:type="spellStart"/>
      <w:r w:rsidRPr="00984CD1">
        <w:rPr>
          <w:i/>
          <w:iCs/>
        </w:rPr>
        <w:t>Rāhulovāda</w:t>
      </w:r>
      <w:proofErr w:type="spellEnd"/>
      <w:r>
        <w:t xml:space="preserve"> y </w:t>
      </w:r>
      <w:proofErr w:type="spellStart"/>
      <w:r w:rsidRPr="00984CD1">
        <w:rPr>
          <w:i/>
          <w:iCs/>
        </w:rPr>
        <w:t>Dhātuvibhaṅga</w:t>
      </w:r>
      <w:proofErr w:type="spellEnd"/>
      <w:r w:rsidRPr="00984CD1">
        <w:rPr>
          <w:i/>
          <w:iCs/>
        </w:rPr>
        <w:t xml:space="preserve"> Suttas</w:t>
      </w:r>
      <w:r>
        <w:t xml:space="preserve">, </w:t>
      </w:r>
      <w:r w:rsidR="00BB5ABF">
        <w:t>lo siguiente</w:t>
      </w:r>
      <w:r>
        <w:t>:</w:t>
      </w:r>
    </w:p>
    <w:p w14:paraId="665D5F66" w14:textId="675A9C3C" w:rsidR="00787977" w:rsidRPr="005E3B58" w:rsidRDefault="00787977" w:rsidP="00787977">
      <w:pPr>
        <w:pStyle w:val="NormalConSangria"/>
        <w:spacing w:after="80"/>
        <w:rPr>
          <w:i/>
          <w:iCs/>
          <w:sz w:val="16"/>
          <w:szCs w:val="20"/>
        </w:rPr>
      </w:pPr>
      <w:r w:rsidRPr="005E3B58">
        <w:rPr>
          <w:i/>
          <w:iCs/>
          <w:sz w:val="16"/>
          <w:szCs w:val="20"/>
        </w:rPr>
        <w:t>“¿Y qué es el elemento tierra interno, amigos? Todo lo que hay</w:t>
      </w:r>
      <w:r w:rsidR="003D5B9F" w:rsidRPr="005E3B58">
        <w:rPr>
          <w:i/>
          <w:iCs/>
          <w:sz w:val="16"/>
          <w:szCs w:val="20"/>
        </w:rPr>
        <w:t>a</w:t>
      </w:r>
      <w:r w:rsidRPr="005E3B58">
        <w:rPr>
          <w:i/>
          <w:iCs/>
          <w:sz w:val="16"/>
          <w:szCs w:val="20"/>
        </w:rPr>
        <w:t xml:space="preserve"> internamente en uno mismo que s</w:t>
      </w:r>
      <w:r w:rsidR="00363037" w:rsidRPr="005E3B58">
        <w:rPr>
          <w:i/>
          <w:iCs/>
          <w:sz w:val="16"/>
          <w:szCs w:val="20"/>
        </w:rPr>
        <w:t>ea</w:t>
      </w:r>
      <w:r w:rsidRPr="005E3B58">
        <w:rPr>
          <w:i/>
          <w:iCs/>
          <w:sz w:val="16"/>
          <w:szCs w:val="20"/>
        </w:rPr>
        <w:t xml:space="preserve"> duro, áspero,</w:t>
      </w:r>
      <w:r w:rsidRPr="005E3B58">
        <w:rPr>
          <w:i/>
          <w:iCs/>
          <w:sz w:val="16"/>
          <w:szCs w:val="20"/>
          <w:vertAlign w:val="superscript"/>
        </w:rPr>
        <w:t>21</w:t>
      </w:r>
      <w:r w:rsidRPr="005E3B58">
        <w:rPr>
          <w:i/>
          <w:iCs/>
          <w:sz w:val="16"/>
          <w:szCs w:val="20"/>
        </w:rPr>
        <w:t xml:space="preserve"> y que se </w:t>
      </w:r>
      <w:r w:rsidR="00C83190" w:rsidRPr="005E3B58">
        <w:rPr>
          <w:i/>
          <w:iCs/>
          <w:sz w:val="16"/>
          <w:szCs w:val="20"/>
        </w:rPr>
        <w:t>adhiera</w:t>
      </w:r>
      <w:r w:rsidRPr="005E3B58">
        <w:rPr>
          <w:i/>
          <w:iCs/>
          <w:sz w:val="16"/>
          <w:szCs w:val="20"/>
        </w:rPr>
        <w:t xml:space="preserve"> (adquirido a través del </w:t>
      </w:r>
      <w:proofErr w:type="spellStart"/>
      <w:r w:rsidR="00057BF4" w:rsidRPr="005E3B58">
        <w:rPr>
          <w:i/>
          <w:iCs/>
          <w:sz w:val="16"/>
          <w:szCs w:val="20"/>
        </w:rPr>
        <w:t>kamma</w:t>
      </w:r>
      <w:proofErr w:type="spellEnd"/>
      <w:r w:rsidRPr="005E3B58">
        <w:rPr>
          <w:i/>
          <w:iCs/>
          <w:sz w:val="16"/>
          <w:szCs w:val="20"/>
        </w:rPr>
        <w:t xml:space="preserve">), es decir, </w:t>
      </w:r>
      <w:r w:rsidR="00B37867" w:rsidRPr="005E3B58">
        <w:rPr>
          <w:i/>
          <w:iCs/>
          <w:sz w:val="16"/>
          <w:szCs w:val="20"/>
        </w:rPr>
        <w:t>los cabellos</w:t>
      </w:r>
      <w:r w:rsidRPr="005E3B58">
        <w:rPr>
          <w:i/>
          <w:iCs/>
          <w:sz w:val="16"/>
          <w:szCs w:val="20"/>
        </w:rPr>
        <w:t xml:space="preserve"> de la cabeza, </w:t>
      </w:r>
      <w:r w:rsidR="00961AF7" w:rsidRPr="005E3B58">
        <w:rPr>
          <w:i/>
          <w:iCs/>
          <w:sz w:val="16"/>
          <w:szCs w:val="20"/>
        </w:rPr>
        <w:t xml:space="preserve">los </w:t>
      </w:r>
      <w:r w:rsidR="00B37867" w:rsidRPr="005E3B58">
        <w:rPr>
          <w:i/>
          <w:iCs/>
          <w:sz w:val="16"/>
          <w:szCs w:val="20"/>
        </w:rPr>
        <w:t>vellos</w:t>
      </w:r>
      <w:r w:rsidRPr="005E3B58">
        <w:rPr>
          <w:i/>
          <w:iCs/>
          <w:sz w:val="16"/>
          <w:szCs w:val="20"/>
        </w:rPr>
        <w:t xml:space="preserve"> del cuerpo, </w:t>
      </w:r>
      <w:r w:rsidR="00961AF7" w:rsidRPr="005E3B58">
        <w:rPr>
          <w:i/>
          <w:iCs/>
          <w:sz w:val="16"/>
          <w:szCs w:val="20"/>
        </w:rPr>
        <w:t xml:space="preserve">los </w:t>
      </w:r>
      <w:r w:rsidRPr="005E3B58">
        <w:rPr>
          <w:i/>
          <w:iCs/>
          <w:sz w:val="16"/>
          <w:szCs w:val="20"/>
        </w:rPr>
        <w:t xml:space="preserve">dientes, </w:t>
      </w:r>
      <w:r w:rsidR="00961AF7" w:rsidRPr="005E3B58">
        <w:rPr>
          <w:i/>
          <w:iCs/>
          <w:sz w:val="16"/>
          <w:szCs w:val="20"/>
        </w:rPr>
        <w:t xml:space="preserve">las </w:t>
      </w:r>
      <w:r w:rsidRPr="005E3B58">
        <w:rPr>
          <w:i/>
          <w:iCs/>
          <w:sz w:val="16"/>
          <w:szCs w:val="20"/>
        </w:rPr>
        <w:t xml:space="preserve">uñas, </w:t>
      </w:r>
      <w:r w:rsidR="00961AF7" w:rsidRPr="005E3B58">
        <w:rPr>
          <w:i/>
          <w:iCs/>
          <w:sz w:val="16"/>
          <w:szCs w:val="20"/>
        </w:rPr>
        <w:t xml:space="preserve">la </w:t>
      </w:r>
      <w:r w:rsidRPr="005E3B58">
        <w:rPr>
          <w:i/>
          <w:iCs/>
          <w:sz w:val="16"/>
          <w:szCs w:val="20"/>
        </w:rPr>
        <w:t xml:space="preserve">piel, </w:t>
      </w:r>
      <w:r w:rsidR="00961AF7" w:rsidRPr="005E3B58">
        <w:rPr>
          <w:i/>
          <w:iCs/>
          <w:sz w:val="16"/>
          <w:szCs w:val="20"/>
        </w:rPr>
        <w:t xml:space="preserve">la </w:t>
      </w:r>
      <w:r w:rsidRPr="005E3B58">
        <w:rPr>
          <w:i/>
          <w:iCs/>
          <w:sz w:val="16"/>
          <w:szCs w:val="20"/>
        </w:rPr>
        <w:t xml:space="preserve">carne, </w:t>
      </w:r>
      <w:r w:rsidR="00961AF7" w:rsidRPr="005E3B58">
        <w:rPr>
          <w:i/>
          <w:iCs/>
          <w:sz w:val="16"/>
          <w:szCs w:val="20"/>
        </w:rPr>
        <w:t xml:space="preserve">los </w:t>
      </w:r>
      <w:r w:rsidRPr="005E3B58">
        <w:rPr>
          <w:i/>
          <w:iCs/>
          <w:sz w:val="16"/>
          <w:szCs w:val="20"/>
        </w:rPr>
        <w:t xml:space="preserve">tendones, </w:t>
      </w:r>
      <w:r w:rsidR="00961AF7" w:rsidRPr="005E3B58">
        <w:rPr>
          <w:i/>
          <w:iCs/>
          <w:sz w:val="16"/>
          <w:szCs w:val="20"/>
        </w:rPr>
        <w:t xml:space="preserve">los </w:t>
      </w:r>
      <w:r w:rsidRPr="005E3B58">
        <w:rPr>
          <w:i/>
          <w:iCs/>
          <w:sz w:val="16"/>
          <w:szCs w:val="20"/>
        </w:rPr>
        <w:t xml:space="preserve">huesos, </w:t>
      </w:r>
      <w:r w:rsidR="00961AF7" w:rsidRPr="005E3B58">
        <w:rPr>
          <w:i/>
          <w:iCs/>
          <w:sz w:val="16"/>
          <w:szCs w:val="20"/>
        </w:rPr>
        <w:t xml:space="preserve">la </w:t>
      </w:r>
      <w:r w:rsidRPr="005E3B58">
        <w:rPr>
          <w:i/>
          <w:iCs/>
          <w:sz w:val="16"/>
          <w:szCs w:val="20"/>
        </w:rPr>
        <w:t xml:space="preserve">médula ósea, </w:t>
      </w:r>
      <w:r w:rsidR="00961AF7" w:rsidRPr="005E3B58">
        <w:rPr>
          <w:i/>
          <w:iCs/>
          <w:sz w:val="16"/>
          <w:szCs w:val="20"/>
        </w:rPr>
        <w:t xml:space="preserve">el </w:t>
      </w:r>
      <w:r w:rsidRPr="005E3B58">
        <w:rPr>
          <w:i/>
          <w:iCs/>
          <w:sz w:val="16"/>
          <w:szCs w:val="20"/>
        </w:rPr>
        <w:t xml:space="preserve">riñón, </w:t>
      </w:r>
      <w:r w:rsidR="00961AF7" w:rsidRPr="005E3B58">
        <w:rPr>
          <w:i/>
          <w:iCs/>
          <w:sz w:val="16"/>
          <w:szCs w:val="20"/>
        </w:rPr>
        <w:t xml:space="preserve">el </w:t>
      </w:r>
      <w:r w:rsidRPr="005E3B58">
        <w:rPr>
          <w:i/>
          <w:iCs/>
          <w:sz w:val="16"/>
          <w:szCs w:val="20"/>
        </w:rPr>
        <w:t xml:space="preserve">corazón, </w:t>
      </w:r>
      <w:r w:rsidR="00961AF7" w:rsidRPr="005E3B58">
        <w:rPr>
          <w:i/>
          <w:iCs/>
          <w:sz w:val="16"/>
          <w:szCs w:val="20"/>
        </w:rPr>
        <w:t xml:space="preserve">el </w:t>
      </w:r>
      <w:r w:rsidRPr="005E3B58">
        <w:rPr>
          <w:i/>
          <w:iCs/>
          <w:sz w:val="16"/>
          <w:szCs w:val="20"/>
        </w:rPr>
        <w:t xml:space="preserve">hígado, </w:t>
      </w:r>
      <w:r w:rsidR="00961AF7" w:rsidRPr="005E3B58">
        <w:rPr>
          <w:i/>
          <w:iCs/>
          <w:sz w:val="16"/>
          <w:szCs w:val="20"/>
        </w:rPr>
        <w:t xml:space="preserve">el </w:t>
      </w:r>
      <w:r w:rsidRPr="005E3B58">
        <w:rPr>
          <w:i/>
          <w:iCs/>
          <w:sz w:val="16"/>
          <w:szCs w:val="20"/>
        </w:rPr>
        <w:t xml:space="preserve">vientre, </w:t>
      </w:r>
      <w:r w:rsidR="00961AF7" w:rsidRPr="005E3B58">
        <w:rPr>
          <w:i/>
          <w:iCs/>
          <w:sz w:val="16"/>
          <w:szCs w:val="20"/>
        </w:rPr>
        <w:t xml:space="preserve">el </w:t>
      </w:r>
      <w:r w:rsidRPr="005E3B58">
        <w:rPr>
          <w:i/>
          <w:iCs/>
          <w:sz w:val="16"/>
          <w:szCs w:val="20"/>
        </w:rPr>
        <w:t xml:space="preserve">bazo, </w:t>
      </w:r>
      <w:r w:rsidR="00961AF7" w:rsidRPr="005E3B58">
        <w:rPr>
          <w:i/>
          <w:iCs/>
          <w:sz w:val="16"/>
          <w:szCs w:val="20"/>
        </w:rPr>
        <w:t xml:space="preserve">los </w:t>
      </w:r>
      <w:r w:rsidRPr="005E3B58">
        <w:rPr>
          <w:i/>
          <w:iCs/>
          <w:sz w:val="16"/>
          <w:szCs w:val="20"/>
        </w:rPr>
        <w:t xml:space="preserve">pulmones, </w:t>
      </w:r>
      <w:r w:rsidR="00961AF7" w:rsidRPr="005E3B58">
        <w:rPr>
          <w:i/>
          <w:iCs/>
          <w:sz w:val="16"/>
          <w:szCs w:val="20"/>
        </w:rPr>
        <w:t xml:space="preserve">los </w:t>
      </w:r>
      <w:r w:rsidRPr="005E3B58">
        <w:rPr>
          <w:i/>
          <w:iCs/>
          <w:sz w:val="16"/>
          <w:szCs w:val="20"/>
        </w:rPr>
        <w:t xml:space="preserve">intestinos, </w:t>
      </w:r>
      <w:r w:rsidR="00961AF7" w:rsidRPr="005E3B58">
        <w:rPr>
          <w:i/>
          <w:iCs/>
          <w:sz w:val="16"/>
          <w:szCs w:val="20"/>
        </w:rPr>
        <w:t xml:space="preserve">las </w:t>
      </w:r>
      <w:r w:rsidRPr="005E3B58">
        <w:rPr>
          <w:i/>
          <w:iCs/>
          <w:sz w:val="16"/>
          <w:szCs w:val="20"/>
        </w:rPr>
        <w:t xml:space="preserve">entrañas, </w:t>
      </w:r>
      <w:r w:rsidR="00961AF7" w:rsidRPr="005E3B58">
        <w:rPr>
          <w:i/>
          <w:iCs/>
          <w:sz w:val="16"/>
          <w:szCs w:val="20"/>
        </w:rPr>
        <w:t xml:space="preserve">la </w:t>
      </w:r>
      <w:r w:rsidRPr="005E3B58">
        <w:rPr>
          <w:i/>
          <w:iCs/>
          <w:sz w:val="16"/>
          <w:szCs w:val="20"/>
        </w:rPr>
        <w:t xml:space="preserve">garganta, </w:t>
      </w:r>
      <w:r w:rsidR="00961AF7" w:rsidRPr="005E3B58">
        <w:rPr>
          <w:i/>
          <w:iCs/>
          <w:sz w:val="16"/>
          <w:szCs w:val="20"/>
        </w:rPr>
        <w:t>el excremento</w:t>
      </w:r>
      <w:r w:rsidRPr="005E3B58">
        <w:rPr>
          <w:i/>
          <w:iCs/>
          <w:sz w:val="16"/>
          <w:szCs w:val="20"/>
        </w:rPr>
        <w:t xml:space="preserve">, o </w:t>
      </w:r>
      <w:r w:rsidR="00104BC7" w:rsidRPr="005E3B58">
        <w:rPr>
          <w:i/>
          <w:iCs/>
          <w:sz w:val="16"/>
          <w:szCs w:val="20"/>
        </w:rPr>
        <w:t xml:space="preserve">a </w:t>
      </w:r>
      <w:r w:rsidRPr="005E3B58">
        <w:rPr>
          <w:i/>
          <w:iCs/>
          <w:sz w:val="16"/>
          <w:szCs w:val="20"/>
        </w:rPr>
        <w:t xml:space="preserve">cualquier otra cosa que haya internamente en uno mismo que sea dura, áspera y adherida, se </w:t>
      </w:r>
      <w:r w:rsidR="000F1AEA" w:rsidRPr="005E3B58">
        <w:rPr>
          <w:i/>
          <w:iCs/>
          <w:sz w:val="16"/>
          <w:szCs w:val="20"/>
        </w:rPr>
        <w:t xml:space="preserve">le </w:t>
      </w:r>
      <w:r w:rsidRPr="005E3B58">
        <w:rPr>
          <w:i/>
          <w:iCs/>
          <w:sz w:val="16"/>
          <w:szCs w:val="20"/>
        </w:rPr>
        <w:t>llama</w:t>
      </w:r>
      <w:r w:rsidR="00D30FC3" w:rsidRPr="005E3B58">
        <w:rPr>
          <w:i/>
          <w:iCs/>
          <w:sz w:val="16"/>
          <w:szCs w:val="20"/>
        </w:rPr>
        <w:t>rá</w:t>
      </w:r>
      <w:r w:rsidRPr="005E3B58">
        <w:rPr>
          <w:i/>
          <w:iCs/>
          <w:sz w:val="16"/>
          <w:szCs w:val="20"/>
        </w:rPr>
        <w:t xml:space="preserve"> el elemento tierra interno” (M I 185). [349]</w:t>
      </w:r>
    </w:p>
    <w:p w14:paraId="2721C72A" w14:textId="71ECD377" w:rsidR="00787977" w:rsidRPr="005E3B58" w:rsidRDefault="00787977" w:rsidP="00787977">
      <w:pPr>
        <w:pStyle w:val="NormalConSangria"/>
        <w:spacing w:after="80"/>
        <w:rPr>
          <w:i/>
          <w:iCs/>
          <w:sz w:val="16"/>
          <w:szCs w:val="20"/>
        </w:rPr>
      </w:pPr>
      <w:r w:rsidRPr="005E3B58">
        <w:rPr>
          <w:sz w:val="16"/>
          <w:szCs w:val="20"/>
        </w:rPr>
        <w:t>Y</w:t>
      </w:r>
      <w:r w:rsidRPr="005E3B58">
        <w:rPr>
          <w:i/>
          <w:iCs/>
          <w:sz w:val="16"/>
          <w:szCs w:val="20"/>
        </w:rPr>
        <w:t>: “¿Qué es el elemento agua interno, amigos? Todo lo que hay</w:t>
      </w:r>
      <w:r w:rsidR="00277B77" w:rsidRPr="005E3B58">
        <w:rPr>
          <w:i/>
          <w:iCs/>
          <w:sz w:val="16"/>
          <w:szCs w:val="20"/>
        </w:rPr>
        <w:t>a</w:t>
      </w:r>
      <w:r w:rsidRPr="005E3B58">
        <w:rPr>
          <w:i/>
          <w:iCs/>
          <w:sz w:val="16"/>
          <w:szCs w:val="20"/>
        </w:rPr>
        <w:t xml:space="preserve"> internamente en uno mismo que s</w:t>
      </w:r>
      <w:r w:rsidR="00277B77" w:rsidRPr="005E3B58">
        <w:rPr>
          <w:i/>
          <w:iCs/>
          <w:sz w:val="16"/>
          <w:szCs w:val="20"/>
        </w:rPr>
        <w:t>ea</w:t>
      </w:r>
      <w:r w:rsidRPr="005E3B58">
        <w:rPr>
          <w:i/>
          <w:iCs/>
          <w:sz w:val="16"/>
          <w:szCs w:val="20"/>
        </w:rPr>
        <w:t xml:space="preserve"> </w:t>
      </w:r>
      <w:r w:rsidR="0001724D" w:rsidRPr="005E3B58">
        <w:rPr>
          <w:i/>
          <w:iCs/>
          <w:sz w:val="16"/>
          <w:szCs w:val="20"/>
        </w:rPr>
        <w:t>líquido</w:t>
      </w:r>
      <w:r w:rsidRPr="005E3B58">
        <w:rPr>
          <w:i/>
          <w:iCs/>
          <w:sz w:val="16"/>
          <w:szCs w:val="20"/>
        </w:rPr>
        <w:t>, acuos</w:t>
      </w:r>
      <w:r w:rsidR="00277B77" w:rsidRPr="005E3B58">
        <w:rPr>
          <w:i/>
          <w:iCs/>
          <w:sz w:val="16"/>
          <w:szCs w:val="20"/>
        </w:rPr>
        <w:t>o</w:t>
      </w:r>
      <w:r w:rsidRPr="005E3B58">
        <w:rPr>
          <w:i/>
          <w:iCs/>
          <w:sz w:val="16"/>
          <w:szCs w:val="20"/>
        </w:rPr>
        <w:t xml:space="preserve"> y </w:t>
      </w:r>
      <w:r w:rsidR="00D37B7A" w:rsidRPr="005E3B58">
        <w:rPr>
          <w:i/>
          <w:iCs/>
          <w:sz w:val="16"/>
          <w:szCs w:val="20"/>
        </w:rPr>
        <w:t xml:space="preserve">que se </w:t>
      </w:r>
      <w:r w:rsidR="006A1962" w:rsidRPr="005E3B58">
        <w:rPr>
          <w:i/>
          <w:iCs/>
          <w:sz w:val="16"/>
          <w:szCs w:val="20"/>
        </w:rPr>
        <w:t>a</w:t>
      </w:r>
      <w:r w:rsidR="0045118C" w:rsidRPr="005E3B58">
        <w:rPr>
          <w:i/>
          <w:iCs/>
          <w:sz w:val="16"/>
          <w:szCs w:val="20"/>
        </w:rPr>
        <w:t>d</w:t>
      </w:r>
      <w:r w:rsidR="006A1962" w:rsidRPr="005E3B58">
        <w:rPr>
          <w:i/>
          <w:iCs/>
          <w:sz w:val="16"/>
          <w:szCs w:val="20"/>
        </w:rPr>
        <w:t>hiera</w:t>
      </w:r>
      <w:r w:rsidRPr="005E3B58">
        <w:rPr>
          <w:i/>
          <w:iCs/>
          <w:sz w:val="16"/>
          <w:szCs w:val="20"/>
        </w:rPr>
        <w:t xml:space="preserve">, es decir, </w:t>
      </w:r>
      <w:r w:rsidR="00277B77" w:rsidRPr="005E3B58">
        <w:rPr>
          <w:i/>
          <w:iCs/>
          <w:sz w:val="16"/>
          <w:szCs w:val="20"/>
        </w:rPr>
        <w:t xml:space="preserve">la </w:t>
      </w:r>
      <w:r w:rsidRPr="005E3B58">
        <w:rPr>
          <w:i/>
          <w:iCs/>
          <w:sz w:val="16"/>
          <w:szCs w:val="20"/>
        </w:rPr>
        <w:t xml:space="preserve">bilis, </w:t>
      </w:r>
      <w:r w:rsidR="00277B77" w:rsidRPr="005E3B58">
        <w:rPr>
          <w:i/>
          <w:iCs/>
          <w:sz w:val="16"/>
          <w:szCs w:val="20"/>
        </w:rPr>
        <w:t xml:space="preserve">la </w:t>
      </w:r>
      <w:r w:rsidRPr="005E3B58">
        <w:rPr>
          <w:i/>
          <w:iCs/>
          <w:sz w:val="16"/>
          <w:szCs w:val="20"/>
        </w:rPr>
        <w:t xml:space="preserve">flema, </w:t>
      </w:r>
      <w:r w:rsidR="00277B77" w:rsidRPr="005E3B58">
        <w:rPr>
          <w:i/>
          <w:iCs/>
          <w:sz w:val="16"/>
          <w:szCs w:val="20"/>
        </w:rPr>
        <w:t xml:space="preserve">el </w:t>
      </w:r>
      <w:r w:rsidRPr="005E3B58">
        <w:rPr>
          <w:i/>
          <w:iCs/>
          <w:sz w:val="16"/>
          <w:szCs w:val="20"/>
        </w:rPr>
        <w:t xml:space="preserve">pus, </w:t>
      </w:r>
      <w:r w:rsidR="00277B77" w:rsidRPr="005E3B58">
        <w:rPr>
          <w:i/>
          <w:iCs/>
          <w:sz w:val="16"/>
          <w:szCs w:val="20"/>
        </w:rPr>
        <w:t xml:space="preserve">la </w:t>
      </w:r>
      <w:r w:rsidRPr="005E3B58">
        <w:rPr>
          <w:i/>
          <w:iCs/>
          <w:sz w:val="16"/>
          <w:szCs w:val="20"/>
        </w:rPr>
        <w:t xml:space="preserve">sangre, </w:t>
      </w:r>
      <w:r w:rsidR="00277B77" w:rsidRPr="005E3B58">
        <w:rPr>
          <w:i/>
          <w:iCs/>
          <w:sz w:val="16"/>
          <w:szCs w:val="20"/>
        </w:rPr>
        <w:t xml:space="preserve">el </w:t>
      </w:r>
      <w:r w:rsidRPr="005E3B58">
        <w:rPr>
          <w:i/>
          <w:iCs/>
          <w:sz w:val="16"/>
          <w:szCs w:val="20"/>
        </w:rPr>
        <w:t xml:space="preserve">sudor, </w:t>
      </w:r>
      <w:r w:rsidR="00277B77" w:rsidRPr="005E3B58">
        <w:rPr>
          <w:i/>
          <w:iCs/>
          <w:sz w:val="16"/>
          <w:szCs w:val="20"/>
        </w:rPr>
        <w:t xml:space="preserve">la </w:t>
      </w:r>
      <w:r w:rsidRPr="005E3B58">
        <w:rPr>
          <w:i/>
          <w:iCs/>
          <w:sz w:val="16"/>
          <w:szCs w:val="20"/>
        </w:rPr>
        <w:t xml:space="preserve">grasa, </w:t>
      </w:r>
      <w:r w:rsidR="00277B77" w:rsidRPr="005E3B58">
        <w:rPr>
          <w:i/>
          <w:iCs/>
          <w:sz w:val="16"/>
          <w:szCs w:val="20"/>
        </w:rPr>
        <w:t xml:space="preserve">las </w:t>
      </w:r>
      <w:r w:rsidRPr="005E3B58">
        <w:rPr>
          <w:i/>
          <w:iCs/>
          <w:sz w:val="16"/>
          <w:szCs w:val="20"/>
        </w:rPr>
        <w:t xml:space="preserve">lágrimas, </w:t>
      </w:r>
      <w:r w:rsidR="00277B77" w:rsidRPr="005E3B58">
        <w:rPr>
          <w:i/>
          <w:iCs/>
          <w:sz w:val="16"/>
          <w:szCs w:val="20"/>
        </w:rPr>
        <w:t>las resinas</w:t>
      </w:r>
      <w:r w:rsidRPr="005E3B58">
        <w:rPr>
          <w:i/>
          <w:iCs/>
          <w:sz w:val="16"/>
          <w:szCs w:val="20"/>
        </w:rPr>
        <w:t xml:space="preserve">, </w:t>
      </w:r>
      <w:r w:rsidR="00277B77" w:rsidRPr="005E3B58">
        <w:rPr>
          <w:i/>
          <w:iCs/>
          <w:sz w:val="16"/>
          <w:szCs w:val="20"/>
        </w:rPr>
        <w:t xml:space="preserve">la </w:t>
      </w:r>
      <w:r w:rsidRPr="005E3B58">
        <w:rPr>
          <w:i/>
          <w:iCs/>
          <w:sz w:val="16"/>
          <w:szCs w:val="20"/>
        </w:rPr>
        <w:t xml:space="preserve">saliva, </w:t>
      </w:r>
      <w:r w:rsidR="00277B77" w:rsidRPr="005E3B58">
        <w:rPr>
          <w:i/>
          <w:iCs/>
          <w:sz w:val="16"/>
          <w:szCs w:val="20"/>
        </w:rPr>
        <w:t xml:space="preserve">los </w:t>
      </w:r>
      <w:r w:rsidRPr="005E3B58">
        <w:rPr>
          <w:i/>
          <w:iCs/>
          <w:sz w:val="16"/>
          <w:szCs w:val="20"/>
        </w:rPr>
        <w:t xml:space="preserve">mocos, </w:t>
      </w:r>
      <w:r w:rsidR="009D3F1E" w:rsidRPr="005E3B58">
        <w:rPr>
          <w:i/>
          <w:iCs/>
          <w:sz w:val="16"/>
          <w:szCs w:val="20"/>
        </w:rPr>
        <w:t xml:space="preserve">el </w:t>
      </w:r>
      <w:r w:rsidRPr="005E3B58">
        <w:rPr>
          <w:i/>
          <w:iCs/>
          <w:sz w:val="16"/>
          <w:szCs w:val="20"/>
        </w:rPr>
        <w:t xml:space="preserve">aceite de las articulaciones y </w:t>
      </w:r>
      <w:r w:rsidR="009D3F1E" w:rsidRPr="005E3B58">
        <w:rPr>
          <w:i/>
          <w:iCs/>
          <w:sz w:val="16"/>
          <w:szCs w:val="20"/>
        </w:rPr>
        <w:t xml:space="preserve">la </w:t>
      </w:r>
      <w:r w:rsidRPr="005E3B58">
        <w:rPr>
          <w:i/>
          <w:iCs/>
          <w:sz w:val="16"/>
          <w:szCs w:val="20"/>
        </w:rPr>
        <w:t xml:space="preserve">orina, o </w:t>
      </w:r>
      <w:r w:rsidR="00104BC7" w:rsidRPr="005E3B58">
        <w:rPr>
          <w:i/>
          <w:iCs/>
          <w:sz w:val="16"/>
          <w:szCs w:val="20"/>
        </w:rPr>
        <w:t xml:space="preserve">a </w:t>
      </w:r>
      <w:r w:rsidRPr="005E3B58">
        <w:rPr>
          <w:i/>
          <w:iCs/>
          <w:sz w:val="16"/>
          <w:szCs w:val="20"/>
        </w:rPr>
        <w:t>todo lo demás que hay</w:t>
      </w:r>
      <w:r w:rsidR="009D3F1E" w:rsidRPr="005E3B58">
        <w:rPr>
          <w:i/>
          <w:iCs/>
          <w:sz w:val="16"/>
          <w:szCs w:val="20"/>
        </w:rPr>
        <w:t>a</w:t>
      </w:r>
      <w:r w:rsidRPr="005E3B58">
        <w:rPr>
          <w:i/>
          <w:iCs/>
          <w:sz w:val="16"/>
          <w:szCs w:val="20"/>
        </w:rPr>
        <w:t xml:space="preserve"> internamente en uno mismo que s</w:t>
      </w:r>
      <w:r w:rsidR="007D77F9" w:rsidRPr="005E3B58">
        <w:rPr>
          <w:i/>
          <w:iCs/>
          <w:sz w:val="16"/>
          <w:szCs w:val="20"/>
        </w:rPr>
        <w:t>ea</w:t>
      </w:r>
      <w:r w:rsidRPr="005E3B58">
        <w:rPr>
          <w:i/>
          <w:iCs/>
          <w:sz w:val="16"/>
          <w:szCs w:val="20"/>
        </w:rPr>
        <w:t xml:space="preserve"> </w:t>
      </w:r>
      <w:r w:rsidR="006A1962" w:rsidRPr="005E3B58">
        <w:rPr>
          <w:i/>
          <w:iCs/>
          <w:sz w:val="16"/>
          <w:szCs w:val="20"/>
        </w:rPr>
        <w:t>líquido</w:t>
      </w:r>
      <w:r w:rsidRPr="005E3B58">
        <w:rPr>
          <w:i/>
          <w:iCs/>
          <w:sz w:val="16"/>
          <w:szCs w:val="20"/>
        </w:rPr>
        <w:t>, acuoso y adherido, se le llama</w:t>
      </w:r>
      <w:r w:rsidR="007D77F9" w:rsidRPr="005E3B58">
        <w:rPr>
          <w:i/>
          <w:iCs/>
          <w:sz w:val="16"/>
          <w:szCs w:val="20"/>
        </w:rPr>
        <w:t>rá</w:t>
      </w:r>
      <w:r w:rsidRPr="005E3B58">
        <w:rPr>
          <w:i/>
          <w:iCs/>
          <w:sz w:val="16"/>
          <w:szCs w:val="20"/>
        </w:rPr>
        <w:t xml:space="preserve"> el elemento agua interno” (M I 187).</w:t>
      </w:r>
    </w:p>
    <w:p w14:paraId="55E25A71" w14:textId="4010D943" w:rsidR="00787977" w:rsidRPr="005E3B58" w:rsidRDefault="00787977" w:rsidP="00787977">
      <w:pPr>
        <w:pStyle w:val="NormalConSangria"/>
        <w:spacing w:after="80"/>
        <w:rPr>
          <w:i/>
          <w:iCs/>
          <w:sz w:val="16"/>
          <w:szCs w:val="20"/>
        </w:rPr>
      </w:pPr>
      <w:r w:rsidRPr="005E3B58">
        <w:rPr>
          <w:iCs/>
          <w:sz w:val="16"/>
          <w:szCs w:val="20"/>
        </w:rPr>
        <w:t>Y</w:t>
      </w:r>
      <w:r w:rsidRPr="005E3B58">
        <w:rPr>
          <w:i/>
          <w:iCs/>
          <w:sz w:val="16"/>
          <w:szCs w:val="20"/>
        </w:rPr>
        <w:t>: “¿Qué es el elemento fuego interno, amigos? Todo lo que hay</w:t>
      </w:r>
      <w:r w:rsidR="0008346E" w:rsidRPr="005E3B58">
        <w:rPr>
          <w:i/>
          <w:iCs/>
          <w:sz w:val="16"/>
          <w:szCs w:val="20"/>
        </w:rPr>
        <w:t>a</w:t>
      </w:r>
      <w:r w:rsidRPr="005E3B58">
        <w:rPr>
          <w:i/>
          <w:iCs/>
          <w:sz w:val="16"/>
          <w:szCs w:val="20"/>
        </w:rPr>
        <w:t xml:space="preserve"> internamente en uno mismo que s</w:t>
      </w:r>
      <w:r w:rsidR="0008346E" w:rsidRPr="005E3B58">
        <w:rPr>
          <w:i/>
          <w:iCs/>
          <w:sz w:val="16"/>
          <w:szCs w:val="20"/>
        </w:rPr>
        <w:t>ea</w:t>
      </w:r>
      <w:r w:rsidRPr="005E3B58">
        <w:rPr>
          <w:i/>
          <w:iCs/>
          <w:sz w:val="16"/>
          <w:szCs w:val="20"/>
        </w:rPr>
        <w:t xml:space="preserve"> </w:t>
      </w:r>
      <w:r w:rsidR="0045118C" w:rsidRPr="005E3B58">
        <w:rPr>
          <w:i/>
          <w:iCs/>
          <w:sz w:val="16"/>
          <w:szCs w:val="20"/>
        </w:rPr>
        <w:t>fuego</w:t>
      </w:r>
      <w:r w:rsidRPr="005E3B58">
        <w:rPr>
          <w:i/>
          <w:iCs/>
          <w:sz w:val="16"/>
          <w:szCs w:val="20"/>
        </w:rPr>
        <w:t xml:space="preserve">, ardiente y </w:t>
      </w:r>
      <w:r w:rsidR="00D37B7A" w:rsidRPr="005E3B58">
        <w:rPr>
          <w:i/>
          <w:iCs/>
          <w:sz w:val="16"/>
          <w:szCs w:val="20"/>
        </w:rPr>
        <w:t xml:space="preserve">que se </w:t>
      </w:r>
      <w:r w:rsidR="0045118C" w:rsidRPr="005E3B58">
        <w:rPr>
          <w:i/>
          <w:iCs/>
          <w:sz w:val="16"/>
          <w:szCs w:val="20"/>
        </w:rPr>
        <w:t>adhiera</w:t>
      </w:r>
      <w:r w:rsidRPr="005E3B58">
        <w:rPr>
          <w:i/>
          <w:iCs/>
          <w:sz w:val="16"/>
          <w:szCs w:val="20"/>
        </w:rPr>
        <w:t xml:space="preserve">, es decir, aquello por lo </w:t>
      </w:r>
      <w:r w:rsidR="00AF72FD">
        <w:rPr>
          <w:i/>
          <w:iCs/>
          <w:sz w:val="16"/>
          <w:szCs w:val="20"/>
        </w:rPr>
        <w:t>cual</w:t>
      </w:r>
      <w:r w:rsidRPr="005E3B58">
        <w:rPr>
          <w:i/>
          <w:iCs/>
          <w:sz w:val="16"/>
          <w:szCs w:val="20"/>
        </w:rPr>
        <w:t xml:space="preserve"> uno se calient</w:t>
      </w:r>
      <w:r w:rsidR="00D37B7A" w:rsidRPr="005E3B58">
        <w:rPr>
          <w:i/>
          <w:iCs/>
          <w:sz w:val="16"/>
          <w:szCs w:val="20"/>
        </w:rPr>
        <w:t>e</w:t>
      </w:r>
      <w:r w:rsidRPr="005E3B58">
        <w:rPr>
          <w:i/>
          <w:iCs/>
          <w:sz w:val="16"/>
          <w:szCs w:val="20"/>
        </w:rPr>
        <w:t>, enveje</w:t>
      </w:r>
      <w:r w:rsidR="00D37B7A" w:rsidRPr="005E3B58">
        <w:rPr>
          <w:i/>
          <w:iCs/>
          <w:sz w:val="16"/>
          <w:szCs w:val="20"/>
        </w:rPr>
        <w:t>zca</w:t>
      </w:r>
      <w:r w:rsidRPr="005E3B58">
        <w:rPr>
          <w:i/>
          <w:iCs/>
          <w:sz w:val="16"/>
          <w:szCs w:val="20"/>
        </w:rPr>
        <w:t xml:space="preserve"> y se quem</w:t>
      </w:r>
      <w:r w:rsidR="00D37B7A" w:rsidRPr="005E3B58">
        <w:rPr>
          <w:i/>
          <w:iCs/>
          <w:sz w:val="16"/>
          <w:szCs w:val="20"/>
        </w:rPr>
        <w:t>e</w:t>
      </w:r>
      <w:r w:rsidRPr="005E3B58">
        <w:rPr>
          <w:i/>
          <w:iCs/>
          <w:sz w:val="16"/>
          <w:szCs w:val="20"/>
        </w:rPr>
        <w:t xml:space="preserve">, y ​​por lo </w:t>
      </w:r>
      <w:r w:rsidR="00C8725B">
        <w:rPr>
          <w:i/>
          <w:iCs/>
          <w:sz w:val="16"/>
          <w:szCs w:val="20"/>
        </w:rPr>
        <w:t>cual</w:t>
      </w:r>
      <w:r w:rsidRPr="005E3B58">
        <w:rPr>
          <w:i/>
          <w:iCs/>
          <w:sz w:val="16"/>
          <w:szCs w:val="20"/>
        </w:rPr>
        <w:t xml:space="preserve"> se com</w:t>
      </w:r>
      <w:r w:rsidR="00ED507F" w:rsidRPr="005E3B58">
        <w:rPr>
          <w:i/>
          <w:iCs/>
          <w:sz w:val="16"/>
          <w:szCs w:val="20"/>
        </w:rPr>
        <w:t>a</w:t>
      </w:r>
      <w:r w:rsidRPr="005E3B58">
        <w:rPr>
          <w:i/>
          <w:iCs/>
          <w:sz w:val="16"/>
          <w:szCs w:val="20"/>
        </w:rPr>
        <w:t>, beb</w:t>
      </w:r>
      <w:r w:rsidR="00ED507F" w:rsidRPr="005E3B58">
        <w:rPr>
          <w:i/>
          <w:iCs/>
          <w:sz w:val="16"/>
          <w:szCs w:val="20"/>
        </w:rPr>
        <w:t>a</w:t>
      </w:r>
      <w:r w:rsidRPr="005E3B58">
        <w:rPr>
          <w:i/>
          <w:iCs/>
          <w:sz w:val="16"/>
          <w:szCs w:val="20"/>
        </w:rPr>
        <w:t>, masti</w:t>
      </w:r>
      <w:r w:rsidR="00ED507F" w:rsidRPr="005E3B58">
        <w:rPr>
          <w:i/>
          <w:iCs/>
          <w:sz w:val="16"/>
          <w:szCs w:val="20"/>
        </w:rPr>
        <w:t>que</w:t>
      </w:r>
      <w:r w:rsidR="006A4A9F" w:rsidRPr="005E3B58">
        <w:rPr>
          <w:i/>
          <w:iCs/>
          <w:sz w:val="16"/>
          <w:szCs w:val="20"/>
        </w:rPr>
        <w:t>,</w:t>
      </w:r>
      <w:r w:rsidRPr="005E3B58">
        <w:rPr>
          <w:i/>
          <w:iCs/>
          <w:sz w:val="16"/>
          <w:szCs w:val="20"/>
        </w:rPr>
        <w:t xml:space="preserve"> </w:t>
      </w:r>
      <w:r w:rsidR="00ED507F" w:rsidRPr="005E3B58">
        <w:rPr>
          <w:i/>
          <w:iCs/>
          <w:sz w:val="16"/>
          <w:szCs w:val="20"/>
        </w:rPr>
        <w:t>de</w:t>
      </w:r>
      <w:r w:rsidRPr="005E3B58">
        <w:rPr>
          <w:i/>
          <w:iCs/>
          <w:sz w:val="16"/>
          <w:szCs w:val="20"/>
        </w:rPr>
        <w:t>gust</w:t>
      </w:r>
      <w:r w:rsidR="00ED507F" w:rsidRPr="005E3B58">
        <w:rPr>
          <w:i/>
          <w:iCs/>
          <w:sz w:val="16"/>
          <w:szCs w:val="20"/>
        </w:rPr>
        <w:t>e</w:t>
      </w:r>
      <w:r w:rsidRPr="005E3B58">
        <w:rPr>
          <w:i/>
          <w:iCs/>
          <w:sz w:val="16"/>
          <w:szCs w:val="20"/>
        </w:rPr>
        <w:t xml:space="preserve"> </w:t>
      </w:r>
      <w:r w:rsidR="006A4A9F" w:rsidRPr="005E3B58">
        <w:rPr>
          <w:i/>
          <w:iCs/>
          <w:sz w:val="16"/>
          <w:szCs w:val="20"/>
        </w:rPr>
        <w:t xml:space="preserve">y </w:t>
      </w:r>
      <w:r w:rsidRPr="005E3B58">
        <w:rPr>
          <w:i/>
          <w:iCs/>
          <w:sz w:val="16"/>
          <w:szCs w:val="20"/>
        </w:rPr>
        <w:t>se digier</w:t>
      </w:r>
      <w:r w:rsidR="00ED507F" w:rsidRPr="005E3B58">
        <w:rPr>
          <w:i/>
          <w:iCs/>
          <w:sz w:val="16"/>
          <w:szCs w:val="20"/>
        </w:rPr>
        <w:t>a</w:t>
      </w:r>
      <w:r w:rsidRPr="005E3B58">
        <w:rPr>
          <w:i/>
          <w:iCs/>
          <w:sz w:val="16"/>
          <w:szCs w:val="20"/>
        </w:rPr>
        <w:t xml:space="preserve"> completamente, </w:t>
      </w:r>
      <w:r w:rsidR="00A71EE8" w:rsidRPr="005E3B58">
        <w:rPr>
          <w:i/>
          <w:iCs/>
          <w:sz w:val="16"/>
          <w:szCs w:val="20"/>
        </w:rPr>
        <w:t>o a cualquier otra cosa que</w:t>
      </w:r>
      <w:r w:rsidRPr="005E3B58">
        <w:rPr>
          <w:i/>
          <w:iCs/>
          <w:sz w:val="16"/>
          <w:szCs w:val="20"/>
        </w:rPr>
        <w:t xml:space="preserve"> hay</w:t>
      </w:r>
      <w:r w:rsidR="00ED507F" w:rsidRPr="005E3B58">
        <w:rPr>
          <w:i/>
          <w:iCs/>
          <w:sz w:val="16"/>
          <w:szCs w:val="20"/>
        </w:rPr>
        <w:t>a</w:t>
      </w:r>
      <w:r w:rsidRPr="005E3B58">
        <w:rPr>
          <w:i/>
          <w:iCs/>
          <w:sz w:val="16"/>
          <w:szCs w:val="20"/>
        </w:rPr>
        <w:t xml:space="preserve"> internamente en uno mismo que s</w:t>
      </w:r>
      <w:r w:rsidR="00ED507F" w:rsidRPr="005E3B58">
        <w:rPr>
          <w:i/>
          <w:iCs/>
          <w:sz w:val="16"/>
          <w:szCs w:val="20"/>
        </w:rPr>
        <w:t>ea</w:t>
      </w:r>
      <w:r w:rsidRPr="005E3B58">
        <w:rPr>
          <w:i/>
          <w:iCs/>
          <w:sz w:val="16"/>
          <w:szCs w:val="20"/>
        </w:rPr>
        <w:t xml:space="preserve"> fuego, ardiente y </w:t>
      </w:r>
      <w:r w:rsidR="00ED507F" w:rsidRPr="005E3B58">
        <w:rPr>
          <w:i/>
          <w:iCs/>
          <w:sz w:val="16"/>
          <w:szCs w:val="20"/>
        </w:rPr>
        <w:t xml:space="preserve">que se </w:t>
      </w:r>
      <w:r w:rsidR="006A4A9F" w:rsidRPr="005E3B58">
        <w:rPr>
          <w:i/>
          <w:iCs/>
          <w:sz w:val="16"/>
          <w:szCs w:val="20"/>
        </w:rPr>
        <w:t>adhiera</w:t>
      </w:r>
      <w:r w:rsidR="00104BC7" w:rsidRPr="005E3B58">
        <w:rPr>
          <w:i/>
          <w:iCs/>
          <w:sz w:val="16"/>
          <w:szCs w:val="20"/>
        </w:rPr>
        <w:t>,</w:t>
      </w:r>
      <w:r w:rsidRPr="005E3B58">
        <w:rPr>
          <w:i/>
          <w:iCs/>
          <w:sz w:val="16"/>
          <w:szCs w:val="20"/>
        </w:rPr>
        <w:t xml:space="preserve"> se </w:t>
      </w:r>
      <w:r w:rsidR="00ED507F" w:rsidRPr="005E3B58">
        <w:rPr>
          <w:i/>
          <w:iCs/>
          <w:sz w:val="16"/>
          <w:szCs w:val="20"/>
        </w:rPr>
        <w:t xml:space="preserve">le </w:t>
      </w:r>
      <w:r w:rsidRPr="005E3B58">
        <w:rPr>
          <w:i/>
          <w:iCs/>
          <w:sz w:val="16"/>
          <w:szCs w:val="20"/>
        </w:rPr>
        <w:t>llama</w:t>
      </w:r>
      <w:r w:rsidR="00ED507F" w:rsidRPr="005E3B58">
        <w:rPr>
          <w:i/>
          <w:iCs/>
          <w:sz w:val="16"/>
          <w:szCs w:val="20"/>
        </w:rPr>
        <w:t>rá</w:t>
      </w:r>
      <w:r w:rsidRPr="005E3B58">
        <w:rPr>
          <w:i/>
          <w:iCs/>
          <w:sz w:val="16"/>
          <w:szCs w:val="20"/>
        </w:rPr>
        <w:t xml:space="preserve"> el elemento fuego interno” (M I 188).</w:t>
      </w:r>
    </w:p>
    <w:p w14:paraId="67B48620" w14:textId="41B7233C" w:rsidR="00787977" w:rsidRPr="005E3B58" w:rsidRDefault="00787977" w:rsidP="00787977">
      <w:pPr>
        <w:pStyle w:val="NormalConSangria"/>
        <w:spacing w:after="80"/>
        <w:rPr>
          <w:i/>
          <w:iCs/>
          <w:sz w:val="16"/>
          <w:szCs w:val="20"/>
        </w:rPr>
      </w:pPr>
      <w:r w:rsidRPr="005E3B58">
        <w:rPr>
          <w:sz w:val="16"/>
          <w:szCs w:val="20"/>
        </w:rPr>
        <w:t>Y</w:t>
      </w:r>
      <w:r w:rsidRPr="005E3B58">
        <w:rPr>
          <w:i/>
          <w:iCs/>
          <w:sz w:val="16"/>
          <w:szCs w:val="20"/>
        </w:rPr>
        <w:t>: “¿Qué es el elemento aire interno, amigos? Todo lo que hay</w:t>
      </w:r>
      <w:r w:rsidR="00ED507F" w:rsidRPr="005E3B58">
        <w:rPr>
          <w:i/>
          <w:iCs/>
          <w:sz w:val="16"/>
          <w:szCs w:val="20"/>
        </w:rPr>
        <w:t>a</w:t>
      </w:r>
      <w:r w:rsidRPr="005E3B58">
        <w:rPr>
          <w:i/>
          <w:iCs/>
          <w:sz w:val="16"/>
          <w:szCs w:val="20"/>
        </w:rPr>
        <w:t xml:space="preserve"> </w:t>
      </w:r>
      <w:r w:rsidR="006A4A9F" w:rsidRPr="005E3B58">
        <w:rPr>
          <w:i/>
          <w:iCs/>
          <w:sz w:val="16"/>
          <w:szCs w:val="20"/>
        </w:rPr>
        <w:t xml:space="preserve">internamente en </w:t>
      </w:r>
      <w:r w:rsidRPr="005E3B58">
        <w:rPr>
          <w:i/>
          <w:iCs/>
          <w:sz w:val="16"/>
          <w:szCs w:val="20"/>
        </w:rPr>
        <w:t>uno mismo que s</w:t>
      </w:r>
      <w:r w:rsidR="00ED507F" w:rsidRPr="005E3B58">
        <w:rPr>
          <w:i/>
          <w:iCs/>
          <w:sz w:val="16"/>
          <w:szCs w:val="20"/>
        </w:rPr>
        <w:t>ea</w:t>
      </w:r>
      <w:r w:rsidRPr="005E3B58">
        <w:rPr>
          <w:i/>
          <w:iCs/>
          <w:sz w:val="16"/>
          <w:szCs w:val="20"/>
        </w:rPr>
        <w:t xml:space="preserve"> aire, airoso y </w:t>
      </w:r>
      <w:r w:rsidR="00ED507F" w:rsidRPr="005E3B58">
        <w:rPr>
          <w:i/>
          <w:iCs/>
          <w:sz w:val="16"/>
          <w:szCs w:val="20"/>
        </w:rPr>
        <w:t xml:space="preserve">que se </w:t>
      </w:r>
      <w:r w:rsidR="003B38A7" w:rsidRPr="005E3B58">
        <w:rPr>
          <w:i/>
          <w:iCs/>
          <w:sz w:val="16"/>
          <w:szCs w:val="20"/>
        </w:rPr>
        <w:t>adhiera</w:t>
      </w:r>
      <w:r w:rsidRPr="005E3B58">
        <w:rPr>
          <w:i/>
          <w:iCs/>
          <w:sz w:val="16"/>
          <w:szCs w:val="20"/>
        </w:rPr>
        <w:t>, es decir, vientos que sub</w:t>
      </w:r>
      <w:r w:rsidR="00ED507F" w:rsidRPr="005E3B58">
        <w:rPr>
          <w:i/>
          <w:iCs/>
          <w:sz w:val="16"/>
          <w:szCs w:val="20"/>
        </w:rPr>
        <w:t>a</w:t>
      </w:r>
      <w:r w:rsidRPr="005E3B58">
        <w:rPr>
          <w:i/>
          <w:iCs/>
          <w:sz w:val="16"/>
          <w:szCs w:val="20"/>
        </w:rPr>
        <w:t>n, vientos que baj</w:t>
      </w:r>
      <w:r w:rsidR="00ED507F" w:rsidRPr="005E3B58">
        <w:rPr>
          <w:i/>
          <w:iCs/>
          <w:sz w:val="16"/>
          <w:szCs w:val="20"/>
        </w:rPr>
        <w:t>e</w:t>
      </w:r>
      <w:r w:rsidRPr="005E3B58">
        <w:rPr>
          <w:i/>
          <w:iCs/>
          <w:sz w:val="16"/>
          <w:szCs w:val="20"/>
        </w:rPr>
        <w:t xml:space="preserve">n, vientos en el vientre, vientos en las entrañas, vientos que </w:t>
      </w:r>
      <w:r w:rsidR="004C4EE2">
        <w:rPr>
          <w:i/>
          <w:iCs/>
          <w:sz w:val="16"/>
          <w:szCs w:val="20"/>
        </w:rPr>
        <w:t>re</w:t>
      </w:r>
      <w:r w:rsidRPr="005E3B58">
        <w:rPr>
          <w:i/>
          <w:iCs/>
          <w:sz w:val="16"/>
          <w:szCs w:val="20"/>
        </w:rPr>
        <w:t>corr</w:t>
      </w:r>
      <w:r w:rsidR="00ED507F" w:rsidRPr="005E3B58">
        <w:rPr>
          <w:i/>
          <w:iCs/>
          <w:sz w:val="16"/>
          <w:szCs w:val="20"/>
        </w:rPr>
        <w:t>a</w:t>
      </w:r>
      <w:r w:rsidRPr="005E3B58">
        <w:rPr>
          <w:i/>
          <w:iCs/>
          <w:sz w:val="16"/>
          <w:szCs w:val="20"/>
        </w:rPr>
        <w:t xml:space="preserve">n por todos los miembros, en la </w:t>
      </w:r>
      <w:r w:rsidR="00647F45" w:rsidRPr="005E3B58">
        <w:rPr>
          <w:i/>
          <w:iCs/>
          <w:sz w:val="16"/>
          <w:szCs w:val="20"/>
        </w:rPr>
        <w:t>inhalación</w:t>
      </w:r>
      <w:r w:rsidRPr="005E3B58">
        <w:rPr>
          <w:i/>
          <w:iCs/>
          <w:sz w:val="16"/>
          <w:szCs w:val="20"/>
        </w:rPr>
        <w:t xml:space="preserve"> y exhalación, o </w:t>
      </w:r>
      <w:r w:rsidR="00A71EE8" w:rsidRPr="005E3B58">
        <w:rPr>
          <w:i/>
          <w:iCs/>
          <w:sz w:val="16"/>
          <w:szCs w:val="20"/>
        </w:rPr>
        <w:t xml:space="preserve">a </w:t>
      </w:r>
      <w:r w:rsidRPr="005E3B58">
        <w:rPr>
          <w:i/>
          <w:iCs/>
          <w:sz w:val="16"/>
          <w:szCs w:val="20"/>
        </w:rPr>
        <w:t xml:space="preserve">cualquier otra cosa que haya internamente en uno mismo que sea aire, aireado y </w:t>
      </w:r>
      <w:r w:rsidR="00647F45" w:rsidRPr="005E3B58">
        <w:rPr>
          <w:i/>
          <w:iCs/>
          <w:sz w:val="16"/>
          <w:szCs w:val="20"/>
        </w:rPr>
        <w:t xml:space="preserve">que se </w:t>
      </w:r>
      <w:r w:rsidR="003B38A7" w:rsidRPr="005E3B58">
        <w:rPr>
          <w:i/>
          <w:iCs/>
          <w:sz w:val="16"/>
          <w:szCs w:val="20"/>
        </w:rPr>
        <w:t>adhiera</w:t>
      </w:r>
      <w:r w:rsidRPr="005E3B58">
        <w:rPr>
          <w:i/>
          <w:iCs/>
          <w:sz w:val="16"/>
          <w:szCs w:val="20"/>
        </w:rPr>
        <w:t xml:space="preserve">, se </w:t>
      </w:r>
      <w:r w:rsidR="00647F45" w:rsidRPr="005E3B58">
        <w:rPr>
          <w:i/>
          <w:iCs/>
          <w:sz w:val="16"/>
          <w:szCs w:val="20"/>
        </w:rPr>
        <w:t xml:space="preserve">le </w:t>
      </w:r>
      <w:r w:rsidRPr="005E3B58">
        <w:rPr>
          <w:i/>
          <w:iCs/>
          <w:sz w:val="16"/>
          <w:szCs w:val="20"/>
        </w:rPr>
        <w:t>llama</w:t>
      </w:r>
      <w:r w:rsidR="00647F45" w:rsidRPr="005E3B58">
        <w:rPr>
          <w:i/>
          <w:iCs/>
          <w:sz w:val="16"/>
          <w:szCs w:val="20"/>
        </w:rPr>
        <w:t>rá</w:t>
      </w:r>
      <w:r w:rsidRPr="005E3B58">
        <w:rPr>
          <w:i/>
          <w:iCs/>
          <w:sz w:val="16"/>
          <w:szCs w:val="20"/>
        </w:rPr>
        <w:t xml:space="preserve"> el elemento aire interno” (M I 188).</w:t>
      </w:r>
    </w:p>
    <w:p w14:paraId="138A7B1B" w14:textId="4E3703FE" w:rsidR="00787977" w:rsidRDefault="00787977" w:rsidP="00787977">
      <w:pPr>
        <w:spacing w:after="80"/>
      </w:pPr>
      <w:r>
        <w:t xml:space="preserve">32. </w:t>
      </w:r>
      <w:r>
        <w:tab/>
        <w:t>Aquí está el comentario sobre las palabras que no est</w:t>
      </w:r>
      <w:r w:rsidR="00104BC7">
        <w:t>é</w:t>
      </w:r>
      <w:r>
        <w:t xml:space="preserve">n claras. </w:t>
      </w:r>
      <w:r w:rsidRPr="00647F45">
        <w:rPr>
          <w:i/>
          <w:iCs/>
        </w:rPr>
        <w:t>Internamente</w:t>
      </w:r>
      <w:r w:rsidRPr="00984CD1">
        <w:rPr>
          <w:i/>
          <w:iCs/>
        </w:rPr>
        <w:t xml:space="preserve"> en uno mismo</w:t>
      </w:r>
      <w:r>
        <w:t xml:space="preserve"> (</w:t>
      </w:r>
      <w:proofErr w:type="spellStart"/>
      <w:r w:rsidRPr="00984CD1">
        <w:rPr>
          <w:i/>
          <w:iCs/>
        </w:rPr>
        <w:t>ajjhattaṃ</w:t>
      </w:r>
      <w:proofErr w:type="spellEnd"/>
      <w:r w:rsidRPr="00984CD1">
        <w:rPr>
          <w:i/>
          <w:iCs/>
        </w:rPr>
        <w:t xml:space="preserve"> </w:t>
      </w:r>
      <w:proofErr w:type="spellStart"/>
      <w:r w:rsidRPr="00984CD1">
        <w:rPr>
          <w:i/>
          <w:iCs/>
        </w:rPr>
        <w:t>paccattaṃ</w:t>
      </w:r>
      <w:proofErr w:type="spellEnd"/>
      <w:r>
        <w:t xml:space="preserve">): ambas palabras </w:t>
      </w:r>
      <w:r w:rsidR="008D6796">
        <w:t>serán los</w:t>
      </w:r>
      <w:r>
        <w:t xml:space="preserve"> términos </w:t>
      </w:r>
      <w:r w:rsidR="008D6796">
        <w:t xml:space="preserve">utilizados </w:t>
      </w:r>
      <w:r>
        <w:t>para lo que s</w:t>
      </w:r>
      <w:r w:rsidR="00647F45">
        <w:t>ea</w:t>
      </w:r>
      <w:r>
        <w:t xml:space="preserve"> propio (</w:t>
      </w:r>
      <w:proofErr w:type="spellStart"/>
      <w:r w:rsidRPr="00647F45">
        <w:rPr>
          <w:i/>
          <w:iCs/>
        </w:rPr>
        <w:t>niyaka</w:t>
      </w:r>
      <w:proofErr w:type="spellEnd"/>
      <w:r>
        <w:t>), ya que lo que s</w:t>
      </w:r>
      <w:r w:rsidR="00647F45">
        <w:t>ea</w:t>
      </w:r>
      <w:r>
        <w:t xml:space="preserve"> propio </w:t>
      </w:r>
      <w:r w:rsidR="00647F45">
        <w:t xml:space="preserve">será </w:t>
      </w:r>
      <w:r>
        <w:t>lo que se produ</w:t>
      </w:r>
      <w:r w:rsidR="00647F45">
        <w:t>zca</w:t>
      </w:r>
      <w:r>
        <w:t xml:space="preserve"> en el propio ser (</w:t>
      </w:r>
      <w:proofErr w:type="spellStart"/>
      <w:r w:rsidRPr="00984CD1">
        <w:rPr>
          <w:i/>
          <w:iCs/>
        </w:rPr>
        <w:t>attani</w:t>
      </w:r>
      <w:proofErr w:type="spellEnd"/>
      <w:r w:rsidRPr="00984CD1">
        <w:rPr>
          <w:i/>
          <w:iCs/>
        </w:rPr>
        <w:t xml:space="preserve"> </w:t>
      </w:r>
      <w:proofErr w:type="spellStart"/>
      <w:r w:rsidRPr="00984CD1">
        <w:rPr>
          <w:i/>
          <w:iCs/>
        </w:rPr>
        <w:t>jātaṃ</w:t>
      </w:r>
      <w:proofErr w:type="spellEnd"/>
      <w:r>
        <w:t xml:space="preserve">); el significado es, incluido en la continuidad de uno </w:t>
      </w:r>
      <w:r w:rsidR="00104BC7">
        <w:t xml:space="preserve">mismo </w:t>
      </w:r>
      <w:r>
        <w:t>(</w:t>
      </w:r>
      <w:proofErr w:type="spellStart"/>
      <w:r w:rsidRPr="00984CD1">
        <w:rPr>
          <w:i/>
          <w:iCs/>
        </w:rPr>
        <w:t>sasantati-pariyāpanna</w:t>
      </w:r>
      <w:proofErr w:type="spellEnd"/>
      <w:r>
        <w:t xml:space="preserve">). </w:t>
      </w:r>
      <w:r w:rsidR="00CE1CCC">
        <w:t>A e</w:t>
      </w:r>
      <w:r>
        <w:t xml:space="preserve">sto se </w:t>
      </w:r>
      <w:r w:rsidR="00CE1CCC">
        <w:t xml:space="preserve">le </w:t>
      </w:r>
      <w:r>
        <w:t>llama</w:t>
      </w:r>
      <w:r w:rsidR="00826026">
        <w:t>rá</w:t>
      </w:r>
      <w:r>
        <w:t xml:space="preserve"> “interno” (</w:t>
      </w:r>
      <w:proofErr w:type="spellStart"/>
      <w:r w:rsidRPr="00984CD1">
        <w:rPr>
          <w:i/>
          <w:iCs/>
        </w:rPr>
        <w:t>ajjhanaṃ</w:t>
      </w:r>
      <w:proofErr w:type="spellEnd"/>
      <w:r>
        <w:t xml:space="preserve"> = </w:t>
      </w:r>
      <w:proofErr w:type="spellStart"/>
      <w:r w:rsidRPr="00984CD1">
        <w:rPr>
          <w:i/>
          <w:iCs/>
        </w:rPr>
        <w:t>adhi</w:t>
      </w:r>
      <w:proofErr w:type="spellEnd"/>
      <w:r>
        <w:t xml:space="preserve"> + </w:t>
      </w:r>
      <w:proofErr w:type="spellStart"/>
      <w:r w:rsidRPr="00984CD1">
        <w:rPr>
          <w:i/>
          <w:iCs/>
        </w:rPr>
        <w:t>attā</w:t>
      </w:r>
      <w:proofErr w:type="spellEnd"/>
      <w:r>
        <w:t xml:space="preserve">, </w:t>
      </w:r>
      <w:proofErr w:type="spellStart"/>
      <w:r>
        <w:t>lit.</w:t>
      </w:r>
      <w:proofErr w:type="spellEnd"/>
      <w:r>
        <w:t xml:space="preserve"> “pertenec</w:t>
      </w:r>
      <w:r w:rsidR="00CE1CCC">
        <w:t>iente</w:t>
      </w:r>
      <w:r>
        <w:t xml:space="preserve"> a uno mismo”) </w:t>
      </w:r>
      <w:r w:rsidR="003C26C0">
        <w:t xml:space="preserve">ya </w:t>
      </w:r>
      <w:r>
        <w:t>que ocurr</w:t>
      </w:r>
      <w:r w:rsidR="00694E85">
        <w:t>irá</w:t>
      </w:r>
      <w:r>
        <w:t xml:space="preserve"> en uno mismo (</w:t>
      </w:r>
      <w:proofErr w:type="spellStart"/>
      <w:r w:rsidRPr="00984CD1">
        <w:rPr>
          <w:i/>
          <w:iCs/>
        </w:rPr>
        <w:t>attani</w:t>
      </w:r>
      <w:proofErr w:type="spellEnd"/>
      <w:r>
        <w:t xml:space="preserve">—caso locativo) tal como en el mundo, </w:t>
      </w:r>
      <w:r w:rsidR="00826026">
        <w:t>a</w:t>
      </w:r>
      <w:r w:rsidR="00CE1CCC">
        <w:t>l lenguaje</w:t>
      </w:r>
      <w:r>
        <w:t xml:space="preserve"> entre mujeres (</w:t>
      </w:r>
      <w:proofErr w:type="spellStart"/>
      <w:r w:rsidRPr="00984CD1">
        <w:rPr>
          <w:i/>
          <w:iCs/>
        </w:rPr>
        <w:t>itthīsu</w:t>
      </w:r>
      <w:proofErr w:type="spellEnd"/>
      <w:r>
        <w:t xml:space="preserve">—caso loc.) se </w:t>
      </w:r>
      <w:r w:rsidR="00CE1CCC">
        <w:t xml:space="preserve">le </w:t>
      </w:r>
      <w:r w:rsidR="003C26C0">
        <w:t>conocer como</w:t>
      </w:r>
      <w:r>
        <w:t xml:space="preserve"> “</w:t>
      </w:r>
      <w:r w:rsidR="00CE1CCC">
        <w:t xml:space="preserve">charla </w:t>
      </w:r>
      <w:r>
        <w:t>perteneciente a las mujeres” (</w:t>
      </w:r>
      <w:proofErr w:type="spellStart"/>
      <w:r w:rsidRPr="00984CD1">
        <w:rPr>
          <w:i/>
          <w:iCs/>
        </w:rPr>
        <w:t>adhitthi</w:t>
      </w:r>
      <w:proofErr w:type="spellEnd"/>
      <w:r>
        <w:t xml:space="preserve">). </w:t>
      </w:r>
      <w:r w:rsidR="00E44205">
        <w:t>Así</w:t>
      </w:r>
      <w:r>
        <w:t xml:space="preserve"> se </w:t>
      </w:r>
      <w:r w:rsidR="00072CC3">
        <w:t xml:space="preserve">le </w:t>
      </w:r>
      <w:r>
        <w:t>llama</w:t>
      </w:r>
      <w:r w:rsidR="00072CC3">
        <w:t>rá</w:t>
      </w:r>
      <w:r>
        <w:t>, “en uno mismo” (</w:t>
      </w:r>
      <w:proofErr w:type="spellStart"/>
      <w:r w:rsidRPr="00984CD1">
        <w:rPr>
          <w:i/>
          <w:iCs/>
        </w:rPr>
        <w:t>paccattaṃ</w:t>
      </w:r>
      <w:proofErr w:type="spellEnd"/>
      <w:r>
        <w:t>) porqu</w:t>
      </w:r>
      <w:r w:rsidR="00AF4DB9">
        <w:t>e</w:t>
      </w:r>
      <w:r>
        <w:t xml:space="preserve"> ocurr</w:t>
      </w:r>
      <w:r w:rsidR="00AF4DB9">
        <w:t>irá</w:t>
      </w:r>
      <w:r>
        <w:t xml:space="preserve"> debido </w:t>
      </w:r>
      <w:r w:rsidR="006055C8">
        <w:t xml:space="preserve">a </w:t>
      </w:r>
      <w:r w:rsidR="009F398A">
        <w:t>uno mismo</w:t>
      </w:r>
      <w:r>
        <w:t xml:space="preserve"> (</w:t>
      </w:r>
      <w:proofErr w:type="spellStart"/>
      <w:r w:rsidRPr="00984CD1">
        <w:rPr>
          <w:i/>
          <w:iCs/>
        </w:rPr>
        <w:t>attānaṃ</w:t>
      </w:r>
      <w:proofErr w:type="spellEnd"/>
      <w:r>
        <w:t xml:space="preserve"> </w:t>
      </w:r>
      <w:proofErr w:type="spellStart"/>
      <w:r w:rsidRPr="00984CD1">
        <w:rPr>
          <w:i/>
          <w:iCs/>
        </w:rPr>
        <w:t>paṭicca</w:t>
      </w:r>
      <w:proofErr w:type="spellEnd"/>
      <w:r>
        <w:t>).</w:t>
      </w:r>
      <w:r w:rsidRPr="00984CD1">
        <w:rPr>
          <w:vertAlign w:val="superscript"/>
        </w:rPr>
        <w:t>22</w:t>
      </w:r>
    </w:p>
    <w:p w14:paraId="42A1697D" w14:textId="6FA61A3D" w:rsidR="00787977" w:rsidRDefault="00787977" w:rsidP="00787977">
      <w:pPr>
        <w:spacing w:after="80"/>
      </w:pPr>
      <w:r>
        <w:t xml:space="preserve">33. </w:t>
      </w:r>
      <w:r>
        <w:tab/>
      </w:r>
      <w:r w:rsidRPr="00984CD1">
        <w:rPr>
          <w:i/>
          <w:iCs/>
        </w:rPr>
        <w:t xml:space="preserve">Duro: </w:t>
      </w:r>
      <w:r w:rsidRPr="00561E8B">
        <w:t>rígido</w:t>
      </w:r>
      <w:r w:rsidRPr="00984CD1">
        <w:rPr>
          <w:i/>
          <w:iCs/>
        </w:rPr>
        <w:t xml:space="preserve">. Áspero: </w:t>
      </w:r>
      <w:r w:rsidR="007D429E">
        <w:t>rugoso</w:t>
      </w:r>
      <w:r>
        <w:t xml:space="preserve">. Aquí, la primera </w:t>
      </w:r>
      <w:r w:rsidR="004D53E8">
        <w:t xml:space="preserve">es </w:t>
      </w:r>
      <w:r>
        <w:t>una palabra para la característica, mientras que la segunda es una palabra para el modo; porque el elemento tierra se caracteriza</w:t>
      </w:r>
      <w:r w:rsidR="00C70941">
        <w:t>rá</w:t>
      </w:r>
      <w:r>
        <w:t xml:space="preserve"> como duro, pero su modo </w:t>
      </w:r>
      <w:r w:rsidR="00EA5FD3">
        <w:t xml:space="preserve">será </w:t>
      </w:r>
      <w:r>
        <w:t>áspero, por lo que se le llama</w:t>
      </w:r>
      <w:r w:rsidR="00EC3372">
        <w:t>rá</w:t>
      </w:r>
      <w:r>
        <w:t xml:space="preserve"> "áspero". </w:t>
      </w:r>
      <w:r w:rsidR="00A6489A">
        <w:t xml:space="preserve">Y </w:t>
      </w:r>
      <w:r w:rsidR="00A6489A" w:rsidRPr="00A6489A">
        <w:rPr>
          <w:i/>
          <w:iCs/>
        </w:rPr>
        <w:t xml:space="preserve">que se </w:t>
      </w:r>
      <w:r w:rsidR="00EA5FD3">
        <w:rPr>
          <w:i/>
          <w:iCs/>
        </w:rPr>
        <w:t>adhiera</w:t>
      </w:r>
      <w:r>
        <w:t xml:space="preserve">: </w:t>
      </w:r>
      <w:r w:rsidR="00A6489A">
        <w:t>se agarre</w:t>
      </w:r>
      <w:r>
        <w:t xml:space="preserve"> firmemente </w:t>
      </w:r>
      <w:r w:rsidR="00EA5FD3">
        <w:t>debido a</w:t>
      </w:r>
      <w:r w:rsidR="00A6489A">
        <w:t xml:space="preserve">l </w:t>
      </w:r>
      <w:proofErr w:type="spellStart"/>
      <w:r w:rsidR="00057BF4" w:rsidRPr="00057BF4">
        <w:rPr>
          <w:i/>
          <w:iCs/>
        </w:rPr>
        <w:t>kamma</w:t>
      </w:r>
      <w:proofErr w:type="spellEnd"/>
      <w:r>
        <w:t xml:space="preserve">; el significado es, firmemente </w:t>
      </w:r>
      <w:r w:rsidR="00597F65">
        <w:t>adoptado</w:t>
      </w:r>
      <w:r>
        <w:t xml:space="preserve">, </w:t>
      </w:r>
      <w:r w:rsidR="00A53CF2">
        <w:t>asumido</w:t>
      </w:r>
      <w:r>
        <w:t xml:space="preserve">, adherido, como </w:t>
      </w:r>
      <w:r w:rsidR="00A53CF2">
        <w:t xml:space="preserve">un </w:t>
      </w:r>
      <w:r>
        <w:t xml:space="preserve">“yo”, </w:t>
      </w:r>
      <w:r w:rsidR="00A53CF2">
        <w:t xml:space="preserve">como un </w:t>
      </w:r>
      <w:r>
        <w:t>“mío” (ver §89f.).</w:t>
      </w:r>
    </w:p>
    <w:p w14:paraId="4558C078" w14:textId="30CC5836" w:rsidR="00787977" w:rsidRDefault="00787977" w:rsidP="00787977">
      <w:pPr>
        <w:spacing w:after="80"/>
      </w:pPr>
      <w:r>
        <w:t xml:space="preserve">34. </w:t>
      </w:r>
      <w:r>
        <w:tab/>
      </w:r>
      <w:r w:rsidRPr="00984CD1">
        <w:rPr>
          <w:i/>
          <w:iCs/>
        </w:rPr>
        <w:t>Es decir</w:t>
      </w:r>
      <w:r>
        <w:t xml:space="preserve">: la palabra </w:t>
      </w:r>
      <w:proofErr w:type="spellStart"/>
      <w:r w:rsidRPr="00984CD1">
        <w:rPr>
          <w:i/>
          <w:iCs/>
        </w:rPr>
        <w:t>seyyathidaṃ</w:t>
      </w:r>
      <w:proofErr w:type="spellEnd"/>
      <w:r>
        <w:t xml:space="preserve"> (“</w:t>
      </w:r>
      <w:r w:rsidR="00A7076E">
        <w:t>es decir</w:t>
      </w:r>
      <w:r>
        <w:t xml:space="preserve">”) es una </w:t>
      </w:r>
      <w:r w:rsidR="00525A52">
        <w:t>frase</w:t>
      </w:r>
      <w:r w:rsidR="00A7076E">
        <w:t xml:space="preserve"> cuyo</w:t>
      </w:r>
      <w:r>
        <w:t xml:space="preserve"> significado</w:t>
      </w:r>
      <w:r w:rsidR="00A219BA" w:rsidRPr="00A219BA">
        <w:t xml:space="preserve"> </w:t>
      </w:r>
      <w:r w:rsidR="00A219BA">
        <w:t>es</w:t>
      </w:r>
      <w:r>
        <w:t xml:space="preserve">, "¿Qué es eso?" A continuación, </w:t>
      </w:r>
      <w:r w:rsidR="003935ED">
        <w:t>se muestra</w:t>
      </w:r>
      <w:r>
        <w:t xml:space="preserve"> lo que es, “</w:t>
      </w:r>
      <w:r w:rsidR="00525A52">
        <w:t xml:space="preserve">los </w:t>
      </w:r>
      <w:r w:rsidR="003935ED">
        <w:t>cab</w:t>
      </w:r>
      <w:r>
        <w:t>e</w:t>
      </w:r>
      <w:r w:rsidR="003935ED">
        <w:t>l</w:t>
      </w:r>
      <w:r>
        <w:t xml:space="preserve">los de la cabeza, </w:t>
      </w:r>
      <w:r w:rsidR="00A7076E">
        <w:t xml:space="preserve">los </w:t>
      </w:r>
      <w:r w:rsidR="003935ED">
        <w:t>vellos</w:t>
      </w:r>
      <w:r>
        <w:t xml:space="preserve"> del cuerpo”, etc. Y </w:t>
      </w:r>
    </w:p>
    <w:p w14:paraId="4ECFE704" w14:textId="77777777" w:rsidR="00787977" w:rsidRDefault="00787977" w:rsidP="00787977">
      <w:pPr>
        <w:pStyle w:val="PiedepginaLegal"/>
        <w:rPr>
          <w:u w:val="single"/>
        </w:rPr>
      </w:pPr>
      <w:r>
        <w:rPr>
          <w:u w:val="single"/>
        </w:rPr>
        <w:tab/>
      </w:r>
      <w:r>
        <w:rPr>
          <w:u w:val="single"/>
        </w:rPr>
        <w:tab/>
      </w:r>
      <w:r>
        <w:rPr>
          <w:u w:val="single"/>
        </w:rPr>
        <w:tab/>
      </w:r>
      <w:r>
        <w:rPr>
          <w:u w:val="single"/>
        </w:rPr>
        <w:tab/>
      </w:r>
    </w:p>
    <w:p w14:paraId="40945E0D" w14:textId="007FCF38" w:rsidR="00787977" w:rsidRDefault="00787977" w:rsidP="00787977">
      <w:pPr>
        <w:pStyle w:val="PiedepginaLegal"/>
      </w:pPr>
      <w:r>
        <w:t xml:space="preserve">21. </w:t>
      </w:r>
      <w:r>
        <w:tab/>
      </w:r>
      <w:proofErr w:type="spellStart"/>
      <w:r w:rsidRPr="00984CD1">
        <w:rPr>
          <w:i/>
          <w:iCs/>
        </w:rPr>
        <w:t>Kharigata</w:t>
      </w:r>
      <w:proofErr w:type="spellEnd"/>
      <w:r>
        <w:t xml:space="preserve">— “duro”: no </w:t>
      </w:r>
      <w:r w:rsidR="00D46AFD">
        <w:t xml:space="preserve">así </w:t>
      </w:r>
      <w:r>
        <w:t xml:space="preserve">en </w:t>
      </w:r>
      <w:r w:rsidR="008A3F4C">
        <w:t xml:space="preserve">el </w:t>
      </w:r>
      <w:r>
        <w:t xml:space="preserve">PED, </w:t>
      </w:r>
      <w:r w:rsidR="00D46AFD">
        <w:t xml:space="preserve">no obstante, </w:t>
      </w:r>
      <w:r>
        <w:t xml:space="preserve">vea </w:t>
      </w:r>
      <w:proofErr w:type="spellStart"/>
      <w:r w:rsidRPr="00984CD1">
        <w:rPr>
          <w:i/>
          <w:iCs/>
        </w:rPr>
        <w:t>khara</w:t>
      </w:r>
      <w:proofErr w:type="spellEnd"/>
      <w:r>
        <w:t>.</w:t>
      </w:r>
    </w:p>
    <w:p w14:paraId="26313DB0" w14:textId="76B3039D" w:rsidR="00787977" w:rsidRDefault="00787977" w:rsidP="00787977">
      <w:pPr>
        <w:pStyle w:val="PiedepginaLegal"/>
      </w:pPr>
      <w:r>
        <w:t xml:space="preserve">22. </w:t>
      </w:r>
      <w:r>
        <w:tab/>
        <w:t>“</w:t>
      </w:r>
      <w:r w:rsidR="00A847A6">
        <w:t>A l</w:t>
      </w:r>
      <w:r>
        <w:t>o que ocurr</w:t>
      </w:r>
      <w:r w:rsidR="00CF5238">
        <w:t>a</w:t>
      </w:r>
      <w:r>
        <w:t xml:space="preserve"> en asistencia (</w:t>
      </w:r>
      <w:proofErr w:type="spellStart"/>
      <w:r w:rsidRPr="00984CD1">
        <w:rPr>
          <w:i/>
          <w:iCs/>
        </w:rPr>
        <w:t>adhikicca</w:t>
      </w:r>
      <w:proofErr w:type="spellEnd"/>
      <w:r>
        <w:t xml:space="preserve">) </w:t>
      </w:r>
      <w:r w:rsidR="00787686">
        <w:t>a</w:t>
      </w:r>
      <w:r>
        <w:t xml:space="preserve">l </w:t>
      </w:r>
      <w:r w:rsidR="008A3F4C">
        <w:t xml:space="preserve">alma </w:t>
      </w:r>
      <w:r>
        <w:t>(</w:t>
      </w:r>
      <w:proofErr w:type="spellStart"/>
      <w:r w:rsidRPr="00984CD1">
        <w:rPr>
          <w:i/>
          <w:iCs/>
        </w:rPr>
        <w:t>attā</w:t>
      </w:r>
      <w:proofErr w:type="spellEnd"/>
      <w:r>
        <w:t>) por pertenecer a</w:t>
      </w:r>
      <w:r w:rsidR="00A847A6">
        <w:t xml:space="preserve"> un</w:t>
      </w:r>
      <w:r>
        <w:t xml:space="preserve"> estado que puede </w:t>
      </w:r>
      <w:r w:rsidR="00CF5238">
        <w:t>considerarse</w:t>
      </w:r>
      <w:r>
        <w:t xml:space="preserve"> </w:t>
      </w:r>
      <w:r w:rsidR="008A3F4C">
        <w:t>alma</w:t>
      </w:r>
      <w:r w:rsidR="003A7CC0">
        <w:t>,</w:t>
      </w:r>
      <w:r w:rsidR="008A3F4C">
        <w:t xml:space="preserve"> debido a que </w:t>
      </w:r>
      <w:r>
        <w:t xml:space="preserve">está incluido en la propia continuidad de </w:t>
      </w:r>
      <w:r w:rsidR="00AF4DB9">
        <w:t xml:space="preserve">alguien </w:t>
      </w:r>
      <w:r>
        <w:t xml:space="preserve">como </w:t>
      </w:r>
      <w:r w:rsidR="00AF4DB9">
        <w:t xml:space="preserve">algo </w:t>
      </w:r>
      <w:r>
        <w:t>interno (</w:t>
      </w:r>
      <w:proofErr w:type="spellStart"/>
      <w:r w:rsidRPr="00984CD1">
        <w:rPr>
          <w:i/>
          <w:iCs/>
        </w:rPr>
        <w:t>ajjhatta</w:t>
      </w:r>
      <w:proofErr w:type="spellEnd"/>
      <w:r>
        <w:t>)” (</w:t>
      </w:r>
      <w:proofErr w:type="spellStart"/>
      <w:r>
        <w:t>Vism-mhṭ</w:t>
      </w:r>
      <w:proofErr w:type="spellEnd"/>
      <w:r>
        <w:t xml:space="preserve"> 347).</w:t>
      </w:r>
      <w:r>
        <w:br w:type="page"/>
      </w:r>
    </w:p>
    <w:p w14:paraId="4261F773" w14:textId="77777777" w:rsidR="00DC5157" w:rsidRDefault="00DC5157" w:rsidP="00787977">
      <w:pPr>
        <w:pStyle w:val="PiedepginaLegal"/>
      </w:pPr>
    </w:p>
    <w:p w14:paraId="6CEE25FB" w14:textId="4A20C7E5" w:rsidR="00A460BF" w:rsidRDefault="003008A6" w:rsidP="00A460BF">
      <w:r>
        <w:t xml:space="preserve">aquí el </w:t>
      </w:r>
      <w:r w:rsidRPr="00984CD1">
        <w:rPr>
          <w:i/>
          <w:iCs/>
        </w:rPr>
        <w:t>cerebro</w:t>
      </w:r>
      <w:r>
        <w:t xml:space="preserve"> </w:t>
      </w:r>
      <w:r w:rsidR="00A460BF">
        <w:t xml:space="preserve">debe agregarse ya que debe entenderse que el elemento tierra debe describirse en veinte modos. O </w:t>
      </w:r>
      <w:r w:rsidR="009F6B34">
        <w:t>de otra forma</w:t>
      </w:r>
      <w:r w:rsidR="00A460BF">
        <w:t xml:space="preserve">: el elemento tierra incluido en las tres </w:t>
      </w:r>
      <w:r w:rsidR="001C1F76">
        <w:t xml:space="preserve">partes </w:t>
      </w:r>
      <w:r w:rsidR="00A460BF">
        <w:t>restantes.</w:t>
      </w:r>
    </w:p>
    <w:p w14:paraId="0733F9EF" w14:textId="67294B98" w:rsidR="00A460BF" w:rsidRDefault="00A460BF" w:rsidP="00A460BF">
      <w:r>
        <w:t xml:space="preserve">35. </w:t>
      </w:r>
      <w:r>
        <w:tab/>
        <w:t xml:space="preserve">[350] </w:t>
      </w:r>
      <w:r w:rsidRPr="008C06F4">
        <w:rPr>
          <w:i/>
          <w:iCs/>
        </w:rPr>
        <w:t>Fluye</w:t>
      </w:r>
      <w:r>
        <w:t xml:space="preserve"> (</w:t>
      </w:r>
      <w:proofErr w:type="spellStart"/>
      <w:r w:rsidRPr="00984CD1">
        <w:rPr>
          <w:i/>
          <w:iCs/>
        </w:rPr>
        <w:t>appoti</w:t>
      </w:r>
      <w:proofErr w:type="spellEnd"/>
      <w:r>
        <w:t xml:space="preserve">), fluye </w:t>
      </w:r>
      <w:r w:rsidR="00496F9C">
        <w:t>hacia</w:t>
      </w:r>
      <w:r w:rsidR="00D55AF7">
        <w:t xml:space="preserve"> </w:t>
      </w:r>
      <w:r>
        <w:t>(</w:t>
      </w:r>
      <w:proofErr w:type="spellStart"/>
      <w:r w:rsidRPr="00984CD1">
        <w:rPr>
          <w:i/>
          <w:iCs/>
        </w:rPr>
        <w:t>pappoti</w:t>
      </w:r>
      <w:proofErr w:type="spellEnd"/>
      <w:r>
        <w:t>), hacia tal o cual lugar</w:t>
      </w:r>
      <w:r w:rsidR="00496F9C">
        <w:t>,</w:t>
      </w:r>
      <w:r>
        <w:t xml:space="preserve"> </w:t>
      </w:r>
      <w:r w:rsidR="00496F9C">
        <w:t xml:space="preserve">en </w:t>
      </w:r>
      <w:r>
        <w:t xml:space="preserve">un estado de flujo, por lo que </w:t>
      </w:r>
      <w:r w:rsidR="00496F9C">
        <w:t xml:space="preserve">será </w:t>
      </w:r>
      <w:r>
        <w:t>agua (</w:t>
      </w:r>
      <w:proofErr w:type="spellStart"/>
      <w:r w:rsidRPr="00984CD1">
        <w:rPr>
          <w:i/>
          <w:iCs/>
        </w:rPr>
        <w:t>āpo</w:t>
      </w:r>
      <w:proofErr w:type="spellEnd"/>
      <w:r>
        <w:t>). Lo acuoso (</w:t>
      </w:r>
      <w:proofErr w:type="spellStart"/>
      <w:r w:rsidRPr="00984CD1">
        <w:rPr>
          <w:i/>
          <w:iCs/>
        </w:rPr>
        <w:t>āpo</w:t>
      </w:r>
      <w:proofErr w:type="spellEnd"/>
      <w:r w:rsidRPr="00984CD1">
        <w:rPr>
          <w:i/>
          <w:iCs/>
        </w:rPr>
        <w:t>-gata</w:t>
      </w:r>
      <w:r>
        <w:t xml:space="preserve">) </w:t>
      </w:r>
      <w:r w:rsidR="00334CCF">
        <w:t>será</w:t>
      </w:r>
      <w:r>
        <w:t xml:space="preserve"> lo que </w:t>
      </w:r>
      <w:r w:rsidR="00334CCF">
        <w:t>vaya</w:t>
      </w:r>
      <w:r>
        <w:t xml:space="preserve"> (</w:t>
      </w:r>
      <w:r w:rsidRPr="00984CD1">
        <w:rPr>
          <w:i/>
          <w:iCs/>
        </w:rPr>
        <w:t>gata</w:t>
      </w:r>
      <w:r>
        <w:t>) entre las diversas clases de</w:t>
      </w:r>
      <w:r w:rsidR="00AD5A84">
        <w:t>l elemento</w:t>
      </w:r>
      <w:r>
        <w:t xml:space="preserve"> agua (</w:t>
      </w:r>
      <w:proofErr w:type="spellStart"/>
      <w:r w:rsidRPr="00984CD1">
        <w:rPr>
          <w:i/>
          <w:iCs/>
        </w:rPr>
        <w:t>āpo</w:t>
      </w:r>
      <w:proofErr w:type="spellEnd"/>
      <w:r>
        <w:t xml:space="preserve">) como la originada por </w:t>
      </w:r>
      <w:r w:rsidR="00AD5A84">
        <w:t xml:space="preserve">el </w:t>
      </w:r>
      <w:proofErr w:type="spellStart"/>
      <w:r w:rsidR="00057BF4" w:rsidRPr="00057BF4">
        <w:rPr>
          <w:i/>
          <w:iCs/>
        </w:rPr>
        <w:t>kamma</w:t>
      </w:r>
      <w:proofErr w:type="spellEnd"/>
      <w:r w:rsidR="00481058">
        <w:rPr>
          <w:i/>
          <w:iCs/>
        </w:rPr>
        <w:t>,</w:t>
      </w:r>
      <w:r w:rsidR="004767FD">
        <w:rPr>
          <w:i/>
          <w:iCs/>
        </w:rPr>
        <w:t xml:space="preserve"> </w:t>
      </w:r>
      <w:r w:rsidR="004767FD">
        <w:t>etc</w:t>
      </w:r>
      <w:r>
        <w:t>. ¿Qué es e</w:t>
      </w:r>
      <w:r w:rsidR="008B6F4C">
        <w:t>ll</w:t>
      </w:r>
      <w:r>
        <w:t>o</w:t>
      </w:r>
      <w:r w:rsidR="008B6F4C">
        <w:t xml:space="preserve"> que fluy</w:t>
      </w:r>
      <w:r w:rsidR="00AC7372">
        <w:t>e</w:t>
      </w:r>
      <w:r>
        <w:t xml:space="preserve">? </w:t>
      </w:r>
      <w:r w:rsidR="00AC7372">
        <w:t xml:space="preserve">Será </w:t>
      </w:r>
      <w:r>
        <w:t xml:space="preserve">lo que </w:t>
      </w:r>
      <w:r w:rsidR="00AD5A84">
        <w:t>pose</w:t>
      </w:r>
      <w:r w:rsidR="004767FD">
        <w:t>a</w:t>
      </w:r>
      <w:r>
        <w:t xml:space="preserve"> la característica de </w:t>
      </w:r>
      <w:r w:rsidR="00AD5A84">
        <w:t xml:space="preserve">la </w:t>
      </w:r>
      <w:r>
        <w:t>cohesión del elemento agua.</w:t>
      </w:r>
    </w:p>
    <w:p w14:paraId="70080117" w14:textId="708F293C" w:rsidR="00A460BF" w:rsidRDefault="00A460BF" w:rsidP="00A460BF">
      <w:r>
        <w:t xml:space="preserve">36. </w:t>
      </w:r>
      <w:r>
        <w:tab/>
        <w:t>Fuego (</w:t>
      </w:r>
      <w:r w:rsidRPr="00F0203F">
        <w:rPr>
          <w:i/>
          <w:iCs/>
        </w:rPr>
        <w:t>tejo</w:t>
      </w:r>
      <w:r>
        <w:t xml:space="preserve">) se </w:t>
      </w:r>
      <w:r w:rsidR="008B6F4C">
        <w:t xml:space="preserve">podrá </w:t>
      </w:r>
      <w:r>
        <w:t xml:space="preserve">definir como </w:t>
      </w:r>
      <w:r w:rsidR="00FF71DA">
        <w:t xml:space="preserve">calentamiento </w:t>
      </w:r>
      <w:r w:rsidR="00FF71DA" w:rsidRPr="000A7FEE">
        <w:t>{</w:t>
      </w:r>
      <w:r w:rsidR="000A7FEE" w:rsidRPr="000A7FEE">
        <w:t>m</w:t>
      </w:r>
      <w:r w:rsidR="000A7FEE">
        <w:t xml:space="preserve">ás contemporáneamente </w:t>
      </w:r>
      <w:r w:rsidR="000A7FEE">
        <w:rPr>
          <w:i/>
          <w:iCs/>
        </w:rPr>
        <w:t>temperatura</w:t>
      </w:r>
      <w:r w:rsidR="00FF71DA" w:rsidRPr="000A7FEE">
        <w:t>}</w:t>
      </w:r>
      <w:r>
        <w:t xml:space="preserve"> (</w:t>
      </w:r>
      <w:r w:rsidRPr="00984CD1">
        <w:rPr>
          <w:i/>
          <w:iCs/>
        </w:rPr>
        <w:t>tejana</w:t>
      </w:r>
      <w:r>
        <w:t>). El fuego (</w:t>
      </w:r>
      <w:r w:rsidRPr="00984CD1">
        <w:rPr>
          <w:i/>
          <w:iCs/>
        </w:rPr>
        <w:t>tejo-gata</w:t>
      </w:r>
      <w:r>
        <w:t xml:space="preserve">) </w:t>
      </w:r>
      <w:r w:rsidR="00021517">
        <w:t xml:space="preserve">será </w:t>
      </w:r>
      <w:r>
        <w:t xml:space="preserve">lo que </w:t>
      </w:r>
      <w:r w:rsidR="00021517">
        <w:t>vaya</w:t>
      </w:r>
      <w:r>
        <w:t xml:space="preserve"> (</w:t>
      </w:r>
      <w:r w:rsidRPr="00984CD1">
        <w:rPr>
          <w:i/>
          <w:iCs/>
        </w:rPr>
        <w:t>gata</w:t>
      </w:r>
      <w:r>
        <w:t xml:space="preserve">), en la forma ya descrita, entre </w:t>
      </w:r>
      <w:r w:rsidR="00021517">
        <w:t>diferentes</w:t>
      </w:r>
      <w:r>
        <w:t xml:space="preserve"> clases de fuego (</w:t>
      </w:r>
      <w:r w:rsidRPr="00984CD1">
        <w:rPr>
          <w:i/>
          <w:iCs/>
        </w:rPr>
        <w:t>tejo</w:t>
      </w:r>
      <w:r>
        <w:t>). ¿Qué es eso</w:t>
      </w:r>
      <w:r w:rsidR="000A7FEE">
        <w:t xml:space="preserve"> que vaya</w:t>
      </w:r>
      <w:r>
        <w:t xml:space="preserve">? </w:t>
      </w:r>
      <w:r w:rsidR="00555ED2">
        <w:t xml:space="preserve">Será </w:t>
      </w:r>
      <w:r>
        <w:t xml:space="preserve">lo que </w:t>
      </w:r>
      <w:r w:rsidR="000A7FEE">
        <w:t xml:space="preserve">tendrá </w:t>
      </w:r>
      <w:r>
        <w:t>la característica de</w:t>
      </w:r>
      <w:r w:rsidR="00021517">
        <w:t>l</w:t>
      </w:r>
      <w:r>
        <w:t xml:space="preserve"> calor</w:t>
      </w:r>
      <w:r w:rsidR="00A66B82">
        <w:t xml:space="preserve"> </w:t>
      </w:r>
      <w:r w:rsidR="00A66B82" w:rsidRPr="00A66B82">
        <w:t>{</w:t>
      </w:r>
      <w:r w:rsidR="00A66B82" w:rsidRPr="00A66B82">
        <w:rPr>
          <w:i/>
          <w:iCs/>
        </w:rPr>
        <w:t>o frío</w:t>
      </w:r>
      <w:r w:rsidR="00A66B82" w:rsidRPr="00A66B82">
        <w:t>}</w:t>
      </w:r>
      <w:r>
        <w:t xml:space="preserve">. </w:t>
      </w:r>
      <w:r w:rsidRPr="0023339B">
        <w:rPr>
          <w:i/>
          <w:iCs/>
        </w:rPr>
        <w:t>Por lo cual</w:t>
      </w:r>
      <w:r>
        <w:t>: por medio del cual el elemento fuego, cuando excit</w:t>
      </w:r>
      <w:r w:rsidR="00A66B82">
        <w:t>e</w:t>
      </w:r>
      <w:r>
        <w:t xml:space="preserve"> este cuerpo se </w:t>
      </w:r>
      <w:r w:rsidR="00A66B82" w:rsidRPr="00BF176A">
        <w:rPr>
          <w:i/>
          <w:iCs/>
        </w:rPr>
        <w:t>cal</w:t>
      </w:r>
      <w:r w:rsidR="00410282">
        <w:rPr>
          <w:i/>
          <w:iCs/>
        </w:rPr>
        <w:t>i</w:t>
      </w:r>
      <w:r w:rsidR="00A66B82" w:rsidRPr="00BF176A">
        <w:rPr>
          <w:i/>
          <w:iCs/>
        </w:rPr>
        <w:t>ent</w:t>
      </w:r>
      <w:r w:rsidR="00410282">
        <w:rPr>
          <w:i/>
          <w:iCs/>
        </w:rPr>
        <w:t>e</w:t>
      </w:r>
      <w:r>
        <w:t xml:space="preserve">, se </w:t>
      </w:r>
      <w:r w:rsidR="0023339B">
        <w:t xml:space="preserve">calentará mediante </w:t>
      </w:r>
      <w:r>
        <w:t xml:space="preserve">el estado de </w:t>
      </w:r>
      <w:r w:rsidR="00021517">
        <w:t xml:space="preserve">la </w:t>
      </w:r>
      <w:r>
        <w:t>fiebre de un día,</w:t>
      </w:r>
      <w:r w:rsidRPr="00984CD1">
        <w:rPr>
          <w:vertAlign w:val="superscript"/>
        </w:rPr>
        <w:t>23</w:t>
      </w:r>
      <w:r>
        <w:t xml:space="preserve"> y así sucesivamente. </w:t>
      </w:r>
      <w:r w:rsidR="003822A4">
        <w:rPr>
          <w:i/>
          <w:iCs/>
        </w:rPr>
        <w:t>Enveje</w:t>
      </w:r>
      <w:r w:rsidR="00226130">
        <w:rPr>
          <w:i/>
          <w:iCs/>
        </w:rPr>
        <w:t>zca</w:t>
      </w:r>
      <w:r>
        <w:t xml:space="preserve">: por lo que este cuerpo envejece, llega al decaimiento de las facultades, </w:t>
      </w:r>
      <w:r w:rsidR="007744C1">
        <w:t xml:space="preserve">a la </w:t>
      </w:r>
      <w:r>
        <w:t xml:space="preserve">pérdida de </w:t>
      </w:r>
      <w:r w:rsidR="007744C1">
        <w:t xml:space="preserve">la </w:t>
      </w:r>
      <w:r>
        <w:t xml:space="preserve">fuerza, </w:t>
      </w:r>
      <w:r w:rsidR="007744C1">
        <w:t xml:space="preserve">a las </w:t>
      </w:r>
      <w:r>
        <w:t xml:space="preserve">arrugas, </w:t>
      </w:r>
      <w:r w:rsidR="007744C1">
        <w:t xml:space="preserve">a las </w:t>
      </w:r>
      <w:r>
        <w:t xml:space="preserve">canas, etc. </w:t>
      </w:r>
      <w:r w:rsidRPr="00984CD1">
        <w:rPr>
          <w:i/>
          <w:iCs/>
        </w:rPr>
        <w:t>Arde</w:t>
      </w:r>
      <w:r>
        <w:t xml:space="preserve">: por lo que al excitarse hace arder este cuerpo, y </w:t>
      </w:r>
      <w:r w:rsidR="00170B9D">
        <w:t xml:space="preserve">a </w:t>
      </w:r>
      <w:r>
        <w:t>la persona grita</w:t>
      </w:r>
      <w:r w:rsidR="00170B9D">
        <w:t>r</w:t>
      </w:r>
      <w:r>
        <w:t>: “¡Me quemo, me quemo!”. y anhela</w:t>
      </w:r>
      <w:r w:rsidR="00170B9D">
        <w:t>r</w:t>
      </w:r>
      <w:r>
        <w:t xml:space="preserve"> </w:t>
      </w:r>
      <w:proofErr w:type="spellStart"/>
      <w:r w:rsidRPr="00984CD1">
        <w:rPr>
          <w:i/>
          <w:iCs/>
        </w:rPr>
        <w:t>ghee</w:t>
      </w:r>
      <w:proofErr w:type="spellEnd"/>
      <w:r>
        <w:t xml:space="preserve"> cien veces lavado y ungüento de sándalo</w:t>
      </w:r>
      <w:r w:rsidR="00265ECF" w:rsidRPr="00265ECF">
        <w:rPr>
          <w:i/>
          <w:iCs/>
        </w:rPr>
        <w:t xml:space="preserve"> </w:t>
      </w:r>
      <w:proofErr w:type="spellStart"/>
      <w:r w:rsidR="00265ECF" w:rsidRPr="00984CD1">
        <w:rPr>
          <w:i/>
          <w:iCs/>
        </w:rPr>
        <w:t>gosisa</w:t>
      </w:r>
      <w:proofErr w:type="spellEnd"/>
      <w:r>
        <w:t xml:space="preserve">, etc., y la brisa de un abanico. </w:t>
      </w:r>
      <w:r w:rsidRPr="00984CD1">
        <w:rPr>
          <w:i/>
          <w:iCs/>
        </w:rPr>
        <w:t xml:space="preserve">Y por lo </w:t>
      </w:r>
      <w:r w:rsidR="00C8725B">
        <w:rPr>
          <w:i/>
          <w:iCs/>
        </w:rPr>
        <w:t>cual</w:t>
      </w:r>
      <w:r w:rsidRPr="00984CD1">
        <w:rPr>
          <w:i/>
          <w:iCs/>
        </w:rPr>
        <w:t xml:space="preserve"> lo que se com</w:t>
      </w:r>
      <w:r w:rsidR="00226130">
        <w:rPr>
          <w:i/>
          <w:iCs/>
        </w:rPr>
        <w:t>a</w:t>
      </w:r>
      <w:r w:rsidRPr="00984CD1">
        <w:rPr>
          <w:i/>
          <w:iCs/>
        </w:rPr>
        <w:t>, se beb</w:t>
      </w:r>
      <w:r w:rsidR="00226130">
        <w:rPr>
          <w:i/>
          <w:iCs/>
        </w:rPr>
        <w:t>a</w:t>
      </w:r>
      <w:r w:rsidRPr="00984CD1">
        <w:rPr>
          <w:i/>
          <w:iCs/>
        </w:rPr>
        <w:t>, se masti</w:t>
      </w:r>
      <w:r w:rsidR="00226130">
        <w:rPr>
          <w:i/>
          <w:iCs/>
        </w:rPr>
        <w:t>que,</w:t>
      </w:r>
      <w:r w:rsidRPr="00984CD1">
        <w:rPr>
          <w:i/>
          <w:iCs/>
        </w:rPr>
        <w:t xml:space="preserve"> se </w:t>
      </w:r>
      <w:r w:rsidR="00265ECF">
        <w:rPr>
          <w:i/>
          <w:iCs/>
        </w:rPr>
        <w:t>degust</w:t>
      </w:r>
      <w:r w:rsidR="00226130">
        <w:rPr>
          <w:i/>
          <w:iCs/>
        </w:rPr>
        <w:t>e</w:t>
      </w:r>
      <w:r w:rsidRPr="00984CD1">
        <w:rPr>
          <w:i/>
          <w:iCs/>
        </w:rPr>
        <w:t xml:space="preserve"> </w:t>
      </w:r>
      <w:r w:rsidR="00226130">
        <w:rPr>
          <w:i/>
          <w:iCs/>
        </w:rPr>
        <w:t xml:space="preserve">y </w:t>
      </w:r>
      <w:r w:rsidRPr="00984CD1">
        <w:rPr>
          <w:i/>
          <w:iCs/>
        </w:rPr>
        <w:t>se digier</w:t>
      </w:r>
      <w:r w:rsidR="00226130">
        <w:rPr>
          <w:i/>
          <w:iCs/>
        </w:rPr>
        <w:t>a</w:t>
      </w:r>
      <w:r w:rsidRPr="00984CD1">
        <w:rPr>
          <w:i/>
          <w:iCs/>
        </w:rPr>
        <w:t xml:space="preserve"> completamente</w:t>
      </w:r>
      <w:r>
        <w:t xml:space="preserve">: </w:t>
      </w:r>
      <w:r w:rsidR="00C8725B">
        <w:t>el si</w:t>
      </w:r>
      <w:r w:rsidR="00D03EA4">
        <w:t xml:space="preserve">gnificado </w:t>
      </w:r>
      <w:r w:rsidR="00226130">
        <w:t xml:space="preserve">será aquello </w:t>
      </w:r>
      <w:r>
        <w:t>por lo que el arroz hervido, etc., se com</w:t>
      </w:r>
      <w:r w:rsidR="00226130">
        <w:t>a</w:t>
      </w:r>
      <w:r>
        <w:t>, o la bebida, etc., se beb</w:t>
      </w:r>
      <w:r w:rsidR="00226130">
        <w:t>a</w:t>
      </w:r>
      <w:r>
        <w:t xml:space="preserve">, o la comida dura consistente </w:t>
      </w:r>
      <w:r w:rsidR="00265ECF">
        <w:t>de</w:t>
      </w:r>
      <w:r>
        <w:t xml:space="preserve"> galletas de harina, etc., que se mas</w:t>
      </w:r>
      <w:r w:rsidR="00226130">
        <w:t>tique</w:t>
      </w:r>
      <w:r>
        <w:t xml:space="preserve">, el fruto del mango, </w:t>
      </w:r>
      <w:r w:rsidR="00265ECF">
        <w:t xml:space="preserve">la </w:t>
      </w:r>
      <w:r>
        <w:t xml:space="preserve">miel, </w:t>
      </w:r>
      <w:r w:rsidR="00265ECF">
        <w:t xml:space="preserve">la </w:t>
      </w:r>
      <w:r>
        <w:t xml:space="preserve">melaza, etc., que se </w:t>
      </w:r>
      <w:r w:rsidR="00226130">
        <w:t>deguste</w:t>
      </w:r>
      <w:r>
        <w:t xml:space="preserve">, </w:t>
      </w:r>
      <w:r w:rsidR="00265ECF">
        <w:t xml:space="preserve">que </w:t>
      </w:r>
      <w:r>
        <w:t>qued</w:t>
      </w:r>
      <w:r w:rsidR="00226130">
        <w:t>e</w:t>
      </w:r>
      <w:r>
        <w:t xml:space="preserve"> completamente cocido; </w:t>
      </w:r>
      <w:r w:rsidR="008668D0">
        <w:t xml:space="preserve">por lo que se </w:t>
      </w:r>
      <w:r w:rsidR="00226130">
        <w:t xml:space="preserve">obtendrá </w:t>
      </w:r>
      <w:r>
        <w:t xml:space="preserve">su jugo, etc., </w:t>
      </w:r>
      <w:r w:rsidR="00226130">
        <w:t xml:space="preserve">será </w:t>
      </w:r>
      <w:r>
        <w:t>extraído. Y aquí los tres primeros tipos de elemento fuego</w:t>
      </w:r>
      <w:r w:rsidR="008668D0">
        <w:t>,</w:t>
      </w:r>
      <w:r>
        <w:t xml:space="preserve"> es decir, "calient</w:t>
      </w:r>
      <w:r w:rsidR="00D03EA4">
        <w:t>e</w:t>
      </w:r>
      <w:r>
        <w:t>", "enveje</w:t>
      </w:r>
      <w:r w:rsidR="00D03EA4">
        <w:t>zca</w:t>
      </w:r>
      <w:r>
        <w:t>" y "quem</w:t>
      </w:r>
      <w:r w:rsidR="00D03EA4">
        <w:t>e</w:t>
      </w:r>
      <w:r>
        <w:t>"</w:t>
      </w:r>
      <w:r w:rsidR="008668D0">
        <w:t>,</w:t>
      </w:r>
      <w:r>
        <w:t xml:space="preserve"> tienen un origen cuádruple (XX.27ff.), mientras que el último se origina únicamente </w:t>
      </w:r>
      <w:r w:rsidR="008668D0">
        <w:t>d</w:t>
      </w:r>
      <w:r>
        <w:t xml:space="preserve">el </w:t>
      </w:r>
      <w:proofErr w:type="spellStart"/>
      <w:r w:rsidR="00057BF4" w:rsidRPr="00057BF4">
        <w:rPr>
          <w:i/>
          <w:iCs/>
        </w:rPr>
        <w:t>kamma</w:t>
      </w:r>
      <w:proofErr w:type="spellEnd"/>
      <w:r>
        <w:t>.</w:t>
      </w:r>
    </w:p>
    <w:p w14:paraId="7E1EC331" w14:textId="7B593566" w:rsidR="00A460BF" w:rsidRDefault="00A460BF" w:rsidP="00A460BF">
      <w:r>
        <w:t xml:space="preserve">37. </w:t>
      </w:r>
      <w:r>
        <w:tab/>
      </w:r>
      <w:r w:rsidRPr="008668D0">
        <w:rPr>
          <w:i/>
          <w:iCs/>
        </w:rPr>
        <w:t>Aire</w:t>
      </w:r>
      <w:r>
        <w:t xml:space="preserve"> (</w:t>
      </w:r>
      <w:proofErr w:type="spellStart"/>
      <w:r w:rsidRPr="00984CD1">
        <w:rPr>
          <w:i/>
          <w:iCs/>
        </w:rPr>
        <w:t>vāyo</w:t>
      </w:r>
      <w:proofErr w:type="spellEnd"/>
      <w:r>
        <w:t>) se puede definir como sopl</w:t>
      </w:r>
      <w:r w:rsidR="00227F5F">
        <w:t>ido</w:t>
      </w:r>
      <w:r>
        <w:t xml:space="preserve"> (</w:t>
      </w:r>
      <w:proofErr w:type="spellStart"/>
      <w:r w:rsidRPr="00984CD1">
        <w:rPr>
          <w:i/>
          <w:iCs/>
        </w:rPr>
        <w:t>vāyana</w:t>
      </w:r>
      <w:proofErr w:type="spellEnd"/>
      <w:r>
        <w:t>). Lo aireado (</w:t>
      </w:r>
      <w:proofErr w:type="spellStart"/>
      <w:r w:rsidRPr="00984CD1">
        <w:rPr>
          <w:i/>
          <w:iCs/>
        </w:rPr>
        <w:t>vāyo</w:t>
      </w:r>
      <w:proofErr w:type="spellEnd"/>
      <w:r>
        <w:t>-</w:t>
      </w:r>
      <w:r w:rsidRPr="00984CD1">
        <w:rPr>
          <w:i/>
          <w:iCs/>
        </w:rPr>
        <w:t>gata</w:t>
      </w:r>
      <w:r>
        <w:t xml:space="preserve">) </w:t>
      </w:r>
      <w:r w:rsidR="00EB7CC3">
        <w:t xml:space="preserve">será </w:t>
      </w:r>
      <w:r>
        <w:t xml:space="preserve">lo que </w:t>
      </w:r>
      <w:r w:rsidR="00EB7CC3">
        <w:t>vaya</w:t>
      </w:r>
      <w:r>
        <w:t xml:space="preserve"> (</w:t>
      </w:r>
      <w:r w:rsidRPr="00984CD1">
        <w:rPr>
          <w:i/>
          <w:iCs/>
        </w:rPr>
        <w:t>gata</w:t>
      </w:r>
      <w:r>
        <w:t xml:space="preserve">), en la forma ya descrita, entre las </w:t>
      </w:r>
      <w:r w:rsidR="00341C4E">
        <w:t xml:space="preserve">diferentes </w:t>
      </w:r>
      <w:r>
        <w:t>clases de aire. ¿</w:t>
      </w:r>
      <w:r w:rsidR="000D60BF">
        <w:t>A q</w:t>
      </w:r>
      <w:r>
        <w:t xml:space="preserve">ué </w:t>
      </w:r>
      <w:r w:rsidR="000D60BF">
        <w:t xml:space="preserve">se refiere </w:t>
      </w:r>
      <w:r>
        <w:t>e</w:t>
      </w:r>
      <w:r w:rsidR="000D60BF">
        <w:t>ll</w:t>
      </w:r>
      <w:r>
        <w:t xml:space="preserve">o? </w:t>
      </w:r>
      <w:r w:rsidR="000D60BF">
        <w:t>Se refier</w:t>
      </w:r>
      <w:r w:rsidR="00341C4E">
        <w:t>e</w:t>
      </w:r>
      <w:r w:rsidR="000D60BF">
        <w:t xml:space="preserve"> a </w:t>
      </w:r>
      <w:r>
        <w:t xml:space="preserve">lo que </w:t>
      </w:r>
      <w:r w:rsidR="000D60BF">
        <w:t xml:space="preserve">posea </w:t>
      </w:r>
      <w:r>
        <w:t xml:space="preserve">la característica de </w:t>
      </w:r>
      <w:r w:rsidR="00883D35">
        <w:t>disten</w:t>
      </w:r>
      <w:r w:rsidR="00832943">
        <w:t>s</w:t>
      </w:r>
      <w:r w:rsidR="00883D35">
        <w:t>ión</w:t>
      </w:r>
      <w:r>
        <w:t>.</w:t>
      </w:r>
      <w:r w:rsidRPr="00984CD1">
        <w:rPr>
          <w:vertAlign w:val="superscript"/>
        </w:rPr>
        <w:t>24</w:t>
      </w:r>
      <w:r>
        <w:t xml:space="preserve"> </w:t>
      </w:r>
      <w:r w:rsidRPr="00984CD1">
        <w:rPr>
          <w:i/>
          <w:iCs/>
        </w:rPr>
        <w:t>Vientos ascendentes</w:t>
      </w:r>
      <w:r>
        <w:t>: vientos (fuerzas) ascendentes que provo</w:t>
      </w:r>
      <w:r w:rsidR="00341C4E">
        <w:t>que</w:t>
      </w:r>
      <w:r>
        <w:t xml:space="preserve">n la aparición de vómitos, eructos, etc. </w:t>
      </w:r>
      <w:r w:rsidRPr="00984CD1">
        <w:rPr>
          <w:i/>
          <w:iCs/>
        </w:rPr>
        <w:t>Vientos descendentes</w:t>
      </w:r>
      <w:r>
        <w:t>: vientos (fuerzas) descendentes que expuls</w:t>
      </w:r>
      <w:r w:rsidR="00341C4E">
        <w:t>e</w:t>
      </w:r>
      <w:r>
        <w:t xml:space="preserve">n excrementos y orina. Vientos en el vientre: vientos (fuerzas) fuera de los intestinos. </w:t>
      </w:r>
      <w:r w:rsidRPr="00984CD1">
        <w:rPr>
          <w:i/>
          <w:iCs/>
        </w:rPr>
        <w:t>Vientos en las entrañas</w:t>
      </w:r>
      <w:r>
        <w:t xml:space="preserve">: vientos (fuerzas) en el interior de las entrañas. </w:t>
      </w:r>
      <w:r w:rsidRPr="00984CD1">
        <w:rPr>
          <w:i/>
          <w:iCs/>
        </w:rPr>
        <w:t>Vientos que recorren todos los miembros:</w:t>
      </w:r>
      <w:r>
        <w:t xml:space="preserve"> vientos (fuerzas) que producen flexión, extensión, etc., y se distribuyen por los miembros y por todo el cuerpo a través de la red de venas (nervios). </w:t>
      </w:r>
      <w:r w:rsidRPr="00984CD1">
        <w:rPr>
          <w:i/>
          <w:iCs/>
        </w:rPr>
        <w:t>In</w:t>
      </w:r>
      <w:r w:rsidR="00C148BE">
        <w:rPr>
          <w:i/>
          <w:iCs/>
        </w:rPr>
        <w:t>h</w:t>
      </w:r>
      <w:r w:rsidRPr="00984CD1">
        <w:rPr>
          <w:i/>
          <w:iCs/>
        </w:rPr>
        <w:t>a</w:t>
      </w:r>
      <w:r w:rsidR="00C148BE">
        <w:rPr>
          <w:i/>
          <w:iCs/>
        </w:rPr>
        <w:t>la</w:t>
      </w:r>
      <w:r w:rsidRPr="00984CD1">
        <w:rPr>
          <w:i/>
          <w:iCs/>
        </w:rPr>
        <w:t>ción</w:t>
      </w:r>
      <w:r>
        <w:t>: viento que entr</w:t>
      </w:r>
      <w:r w:rsidR="00341C4E">
        <w:t>e</w:t>
      </w:r>
      <w:r>
        <w:t xml:space="preserve"> por las fosas nasales. </w:t>
      </w:r>
      <w:r w:rsidRPr="00984CD1">
        <w:rPr>
          <w:i/>
          <w:iCs/>
        </w:rPr>
        <w:t>Exhalación</w:t>
      </w:r>
      <w:r>
        <w:t>: viento que sal</w:t>
      </w:r>
      <w:r w:rsidR="00341C4E">
        <w:t>ga</w:t>
      </w:r>
      <w:r>
        <w:t xml:space="preserve"> por las fosas nasales. Y aquí los primeros cinco </w:t>
      </w:r>
      <w:r w:rsidR="00341C4E">
        <w:t xml:space="preserve">serán </w:t>
      </w:r>
      <w:r>
        <w:t>de origen cuádruple. La inhalación y la exhalación se origina</w:t>
      </w:r>
      <w:r w:rsidR="00341C4E">
        <w:t>rá</w:t>
      </w:r>
      <w:r>
        <w:t xml:space="preserve"> </w:t>
      </w:r>
      <w:r w:rsidR="00C148BE">
        <w:t>de</w:t>
      </w:r>
      <w:r>
        <w:t xml:space="preserve"> la con</w:t>
      </w:r>
      <w:r w:rsidR="00C148BE">
        <w:t>s</w:t>
      </w:r>
      <w:r>
        <w:t>ciencia. [351]</w:t>
      </w:r>
    </w:p>
    <w:p w14:paraId="492D4B1C" w14:textId="77777777" w:rsidR="00A460BF" w:rsidRDefault="00A460BF" w:rsidP="00A460BF">
      <w:pPr>
        <w:pStyle w:val="PiedepginaLegal"/>
        <w:rPr>
          <w:u w:val="single"/>
        </w:rPr>
      </w:pPr>
      <w:r>
        <w:rPr>
          <w:u w:val="single"/>
        </w:rPr>
        <w:tab/>
      </w:r>
      <w:r>
        <w:rPr>
          <w:u w:val="single"/>
        </w:rPr>
        <w:tab/>
      </w:r>
      <w:r>
        <w:rPr>
          <w:u w:val="single"/>
        </w:rPr>
        <w:tab/>
      </w:r>
      <w:r>
        <w:rPr>
          <w:u w:val="single"/>
        </w:rPr>
        <w:tab/>
      </w:r>
    </w:p>
    <w:p w14:paraId="2E969702" w14:textId="30C6D2B4" w:rsidR="00A460BF" w:rsidRDefault="00A460BF" w:rsidP="00A460BF">
      <w:pPr>
        <w:pStyle w:val="PiedepginaLegal"/>
      </w:pPr>
      <w:r>
        <w:t xml:space="preserve">23. </w:t>
      </w:r>
      <w:r w:rsidR="00984CD1">
        <w:tab/>
      </w:r>
      <w:r w:rsidRPr="00984CD1">
        <w:rPr>
          <w:i/>
          <w:iCs/>
        </w:rPr>
        <w:t>Jara</w:t>
      </w:r>
      <w:r>
        <w:t xml:space="preserve">—“fiebre”: no en </w:t>
      </w:r>
      <w:r w:rsidR="006602B6">
        <w:t xml:space="preserve">el </w:t>
      </w:r>
      <w:r>
        <w:t xml:space="preserve">PED; ver AV 100; </w:t>
      </w:r>
      <w:proofErr w:type="spellStart"/>
      <w:r>
        <w:t>Nidd</w:t>
      </w:r>
      <w:proofErr w:type="spellEnd"/>
      <w:r>
        <w:t xml:space="preserve"> I 17.</w:t>
      </w:r>
    </w:p>
    <w:p w14:paraId="3F82F639" w14:textId="0D9DB662" w:rsidR="00C647B6" w:rsidRDefault="00A460BF" w:rsidP="00A460BF">
      <w:pPr>
        <w:pStyle w:val="PiedepginaLegal"/>
      </w:pPr>
      <w:r>
        <w:t xml:space="preserve">24. </w:t>
      </w:r>
      <w:r w:rsidR="00984CD1">
        <w:tab/>
      </w:r>
      <w:proofErr w:type="spellStart"/>
      <w:r w:rsidRPr="00984CD1">
        <w:rPr>
          <w:i/>
          <w:iCs/>
        </w:rPr>
        <w:t>Vitthambhana</w:t>
      </w:r>
      <w:proofErr w:type="spellEnd"/>
      <w:r>
        <w:t>—“</w:t>
      </w:r>
      <w:r w:rsidR="00743674">
        <w:t>distensión</w:t>
      </w:r>
      <w:r>
        <w:t xml:space="preserve">”: la palabra más comúnmente empleada para describir </w:t>
      </w:r>
      <w:r w:rsidR="00B62839">
        <w:t>a</w:t>
      </w:r>
      <w:r>
        <w:t xml:space="preserve">l elemento aire. A menudo </w:t>
      </w:r>
      <w:r w:rsidR="004E6907">
        <w:t>es interpretada</w:t>
      </w:r>
      <w:r>
        <w:t xml:space="preserve"> como "</w:t>
      </w:r>
      <w:r w:rsidR="000F6FF8">
        <w:t>soporte</w:t>
      </w:r>
      <w:r>
        <w:t xml:space="preserve">", una palabra destinada aquí a </w:t>
      </w:r>
      <w:proofErr w:type="spellStart"/>
      <w:r w:rsidRPr="00984CD1">
        <w:rPr>
          <w:i/>
          <w:iCs/>
        </w:rPr>
        <w:t>nissaya</w:t>
      </w:r>
      <w:proofErr w:type="spellEnd"/>
      <w:r>
        <w:t xml:space="preserve">. La doble función del elemento aire es (a) </w:t>
      </w:r>
      <w:r w:rsidR="00B62839">
        <w:t xml:space="preserve">la de </w:t>
      </w:r>
      <w:r>
        <w:t>sostener (</w:t>
      </w:r>
      <w:proofErr w:type="spellStart"/>
      <w:r w:rsidRPr="00984CD1">
        <w:rPr>
          <w:i/>
          <w:iCs/>
        </w:rPr>
        <w:t>sandhārana</w:t>
      </w:r>
      <w:proofErr w:type="spellEnd"/>
      <w:r>
        <w:t>) distendiendo (</w:t>
      </w:r>
      <w:proofErr w:type="spellStart"/>
      <w:r w:rsidRPr="00984CD1">
        <w:rPr>
          <w:i/>
          <w:iCs/>
        </w:rPr>
        <w:t>vitthambhana</w:t>
      </w:r>
      <w:proofErr w:type="spellEnd"/>
      <w:r>
        <w:t>) y previniendo el colapso (§92), y (b) mov</w:t>
      </w:r>
      <w:r w:rsidR="00345EEE">
        <w:t>iendo</w:t>
      </w:r>
      <w:r>
        <w:t xml:space="preserve"> (</w:t>
      </w:r>
      <w:proofErr w:type="spellStart"/>
      <w:r w:rsidRPr="00345EEE">
        <w:rPr>
          <w:i/>
          <w:iCs/>
        </w:rPr>
        <w:t>samud</w:t>
      </w:r>
      <w:r w:rsidR="00345EEE" w:rsidRPr="00345EEE">
        <w:rPr>
          <w:i/>
          <w:iCs/>
        </w:rPr>
        <w:t>ī</w:t>
      </w:r>
      <w:r w:rsidRPr="00345EEE">
        <w:rPr>
          <w:i/>
          <w:iCs/>
        </w:rPr>
        <w:t>raṇa</w:t>
      </w:r>
      <w:proofErr w:type="spellEnd"/>
      <w:r>
        <w:t xml:space="preserve">), o más estrictamente, </w:t>
      </w:r>
      <w:r w:rsidR="00B62839">
        <w:t>produciendo</w:t>
      </w:r>
      <w:r>
        <w:t xml:space="preserve"> la apariencia de</w:t>
      </w:r>
      <w:r w:rsidR="00B62839">
        <w:t>l</w:t>
      </w:r>
      <w:r>
        <w:t xml:space="preserve"> movimiento (</w:t>
      </w:r>
      <w:proofErr w:type="spellStart"/>
      <w:r w:rsidRPr="00984CD1">
        <w:rPr>
          <w:i/>
          <w:iCs/>
        </w:rPr>
        <w:t>calana</w:t>
      </w:r>
      <w:proofErr w:type="spellEnd"/>
      <w:r>
        <w:t xml:space="preserve">, ver n.37). En </w:t>
      </w:r>
      <w:r w:rsidR="008E42C8">
        <w:t xml:space="preserve">el </w:t>
      </w:r>
      <w:r>
        <w:t xml:space="preserve">XIV.61 se dice que causa </w:t>
      </w:r>
      <w:proofErr w:type="spellStart"/>
      <w:r w:rsidRPr="00984CD1">
        <w:rPr>
          <w:i/>
          <w:iCs/>
        </w:rPr>
        <w:t>thambhana</w:t>
      </w:r>
      <w:proofErr w:type="spellEnd"/>
      <w:r>
        <w:t xml:space="preserve">, traducido </w:t>
      </w:r>
      <w:r w:rsidR="004351BE">
        <w:t xml:space="preserve">como </w:t>
      </w:r>
      <w:r>
        <w:t xml:space="preserve">"endurecimiento"; pero existe </w:t>
      </w:r>
      <w:r w:rsidR="00E90247">
        <w:t>un</w:t>
      </w:r>
      <w:r>
        <w:t xml:space="preserve">a descripción del elemento tierra como </w:t>
      </w:r>
      <w:proofErr w:type="spellStart"/>
      <w:r w:rsidRPr="00984CD1">
        <w:rPr>
          <w:i/>
          <w:iCs/>
        </w:rPr>
        <w:t>thaddha</w:t>
      </w:r>
      <w:proofErr w:type="spellEnd"/>
      <w:r>
        <w:t xml:space="preserve"> (por ejemplo, §39; pp. de </w:t>
      </w:r>
      <w:proofErr w:type="spellStart"/>
      <w:r w:rsidRPr="00984CD1">
        <w:rPr>
          <w:i/>
          <w:iCs/>
        </w:rPr>
        <w:t>thambhati</w:t>
      </w:r>
      <w:proofErr w:type="spellEnd"/>
      <w:r>
        <w:t xml:space="preserve">, de donde proviene el sustantivo </w:t>
      </w:r>
      <w:proofErr w:type="spellStart"/>
      <w:r w:rsidRPr="00984CD1">
        <w:rPr>
          <w:i/>
          <w:iCs/>
        </w:rPr>
        <w:t>thambhana</w:t>
      </w:r>
      <w:proofErr w:type="spellEnd"/>
      <w:r>
        <w:t xml:space="preserve">), traducido </w:t>
      </w:r>
      <w:r w:rsidR="001F4D4F">
        <w:t>como</w:t>
      </w:r>
      <w:r>
        <w:t xml:space="preserve"> "rigidez". También se puede notar que la palabra </w:t>
      </w:r>
      <w:proofErr w:type="spellStart"/>
      <w:r w:rsidRPr="00984CD1">
        <w:rPr>
          <w:i/>
          <w:iCs/>
        </w:rPr>
        <w:t>sandhāraṇa</w:t>
      </w:r>
      <w:proofErr w:type="spellEnd"/>
      <w:r>
        <w:t xml:space="preserve"> (sostener) se usa para describir tanto </w:t>
      </w:r>
      <w:r w:rsidR="004351BE">
        <w:t>a</w:t>
      </w:r>
      <w:r>
        <w:t xml:space="preserve">l elemento tierra (XIV.47) como </w:t>
      </w:r>
      <w:r w:rsidR="001F4D4F">
        <w:t>a</w:t>
      </w:r>
      <w:r>
        <w:t>l elemento aire (XIV.61).</w:t>
      </w:r>
    </w:p>
    <w:p w14:paraId="54003DA2" w14:textId="77777777" w:rsidR="00C647B6" w:rsidRDefault="00C647B6">
      <w:pPr>
        <w:tabs>
          <w:tab w:val="clear" w:pos="425"/>
        </w:tabs>
        <w:spacing w:after="160"/>
        <w:rPr>
          <w:color w:val="000000" w:themeColor="text1"/>
          <w:spacing w:val="10"/>
          <w:sz w:val="14"/>
        </w:rPr>
      </w:pPr>
      <w:r>
        <w:br w:type="page"/>
      </w:r>
    </w:p>
    <w:p w14:paraId="21295F9E" w14:textId="77777777" w:rsidR="00C647B6" w:rsidRDefault="00C647B6" w:rsidP="00A460BF">
      <w:pPr>
        <w:pStyle w:val="PiedepginaLegal"/>
      </w:pPr>
    </w:p>
    <w:p w14:paraId="575EB426" w14:textId="4FD8503A" w:rsidR="009020F9" w:rsidRDefault="009020F9" w:rsidP="00502F3B">
      <w:pPr>
        <w:pStyle w:val="NormalConSangria"/>
      </w:pPr>
      <w:r>
        <w:t xml:space="preserve">En cada caso, la frase o </w:t>
      </w:r>
      <w:r w:rsidRPr="00497148">
        <w:rPr>
          <w:i/>
          <w:iCs/>
        </w:rPr>
        <w:t>cualquier otra cosa</w:t>
      </w:r>
      <w:r>
        <w:t xml:space="preserve"> comprende</w:t>
      </w:r>
      <w:r w:rsidR="00C148BE">
        <w:t>rá</w:t>
      </w:r>
      <w:r>
        <w:t xml:space="preserve"> respectivamente el elemento agua, el elemento fuego o el elemento aire incluidos en las otras tres </w:t>
      </w:r>
      <w:r w:rsidR="00C148BE">
        <w:t>partes</w:t>
      </w:r>
      <w:r>
        <w:t>.</w:t>
      </w:r>
    </w:p>
    <w:p w14:paraId="6731FF74" w14:textId="16768083" w:rsidR="009020F9" w:rsidRDefault="009020F9" w:rsidP="009020F9">
      <w:r>
        <w:t xml:space="preserve">38. </w:t>
      </w:r>
      <w:r w:rsidR="00502F3B">
        <w:tab/>
      </w:r>
      <w:r>
        <w:t xml:space="preserve">Así los cuatro elementos han sido detallados en </w:t>
      </w:r>
      <w:r w:rsidR="00C148BE">
        <w:t>42</w:t>
      </w:r>
      <w:r>
        <w:t xml:space="preserve"> aspectos, es decir, el elemento tierra en </w:t>
      </w:r>
      <w:r w:rsidR="00C148BE">
        <w:t>20</w:t>
      </w:r>
      <w:r>
        <w:t xml:space="preserve"> aspectos, el elemento agua en </w:t>
      </w:r>
      <w:r w:rsidR="00C148BE">
        <w:t>12</w:t>
      </w:r>
      <w:r>
        <w:t xml:space="preserve">, el elemento fuego en </w:t>
      </w:r>
      <w:r w:rsidR="00C148BE">
        <w:t>4</w:t>
      </w:r>
      <w:r>
        <w:t xml:space="preserve"> y el elemento aire en </w:t>
      </w:r>
      <w:r w:rsidR="00C148BE">
        <w:t>6</w:t>
      </w:r>
      <w:r>
        <w:t>.</w:t>
      </w:r>
    </w:p>
    <w:p w14:paraId="0421E354" w14:textId="37D366B7" w:rsidR="009020F9" w:rsidRDefault="009020F9" w:rsidP="00502F3B">
      <w:pPr>
        <w:pStyle w:val="NormalConSangria"/>
      </w:pPr>
      <w:r>
        <w:t>Esto</w:t>
      </w:r>
      <w:r w:rsidR="00C148BE" w:rsidRPr="00C148BE">
        <w:t xml:space="preserve"> </w:t>
      </w:r>
      <w:r w:rsidR="00C148BE">
        <w:t>aquí</w:t>
      </w:r>
      <w:r>
        <w:t>, en primer lugar, es el comentario sobre los textos.</w:t>
      </w:r>
    </w:p>
    <w:p w14:paraId="231ACD5B" w14:textId="3520EA24" w:rsidR="009020F9" w:rsidRDefault="007D254C" w:rsidP="007D254C">
      <w:pPr>
        <w:pStyle w:val="Ttulo3"/>
        <w:ind w:left="708"/>
      </w:pPr>
      <w:r>
        <w:t xml:space="preserve">[Método de Desarrollo </w:t>
      </w:r>
      <w:r w:rsidR="00C148BE">
        <w:t>Resumidamente</w:t>
      </w:r>
      <w:r>
        <w:t>]</w:t>
      </w:r>
    </w:p>
    <w:p w14:paraId="5644EC9B" w14:textId="73B8363E" w:rsidR="009020F9" w:rsidRDefault="009020F9" w:rsidP="009020F9">
      <w:r>
        <w:t xml:space="preserve">39. </w:t>
      </w:r>
      <w:r w:rsidR="00502F3B">
        <w:tab/>
      </w:r>
      <w:r w:rsidR="002E7E33">
        <w:t>Aquí, c</w:t>
      </w:r>
      <w:r>
        <w:t>on respecto al método de desarrollo, sin embargo, discernir los elementos en detalle</w:t>
      </w:r>
      <w:r w:rsidR="00ED78B5">
        <w:t xml:space="preserve"> así</w:t>
      </w:r>
      <w:r>
        <w:t xml:space="preserve">, "Los </w:t>
      </w:r>
      <w:r w:rsidR="000B5812">
        <w:t>cabellos</w:t>
      </w:r>
      <w:r>
        <w:t xml:space="preserve"> de la cabeza son el elemento tierra, los </w:t>
      </w:r>
      <w:r w:rsidR="000B5812">
        <w:t xml:space="preserve">vellos </w:t>
      </w:r>
      <w:r>
        <w:t>del cuerpo son el elemento tierra", parec</w:t>
      </w:r>
      <w:r w:rsidR="000B5812">
        <w:t>iera</w:t>
      </w:r>
      <w:r>
        <w:t xml:space="preserve"> redundante para un </w:t>
      </w:r>
      <w:proofErr w:type="spellStart"/>
      <w:r w:rsidR="00057BF4" w:rsidRPr="00057BF4">
        <w:rPr>
          <w:i/>
        </w:rPr>
        <w:t>bhikkhu</w:t>
      </w:r>
      <w:proofErr w:type="spellEnd"/>
      <w:r>
        <w:t xml:space="preserve"> de comprensión rápida, </w:t>
      </w:r>
      <w:r w:rsidR="00323420">
        <w:t>ya que</w:t>
      </w:r>
      <w:r>
        <w:t xml:space="preserve"> el </w:t>
      </w:r>
      <w:r w:rsidR="000B5812">
        <w:t>objeto</w:t>
      </w:r>
      <w:r>
        <w:t xml:space="preserve"> de meditación se v</w:t>
      </w:r>
      <w:r w:rsidR="00323420">
        <w:t>o</w:t>
      </w:r>
      <w:r>
        <w:t>lv</w:t>
      </w:r>
      <w:r w:rsidR="00323420">
        <w:t>erá</w:t>
      </w:r>
      <w:r>
        <w:t xml:space="preserve"> claro para él si le presta su atención </w:t>
      </w:r>
      <w:r w:rsidR="005D4D07">
        <w:t>así</w:t>
      </w:r>
      <w:r>
        <w:t xml:space="preserve">: “Lo que </w:t>
      </w:r>
      <w:r w:rsidR="00ED78B5">
        <w:t xml:space="preserve">posea </w:t>
      </w:r>
      <w:r>
        <w:t xml:space="preserve">la característica de rigidez </w:t>
      </w:r>
      <w:r w:rsidR="00460903">
        <w:t xml:space="preserve">será </w:t>
      </w:r>
      <w:r>
        <w:t xml:space="preserve">el elemento tierra, lo que </w:t>
      </w:r>
      <w:r w:rsidR="00ED78B5">
        <w:t xml:space="preserve">posea </w:t>
      </w:r>
      <w:r>
        <w:t xml:space="preserve">la característica de cohesión </w:t>
      </w:r>
      <w:r w:rsidR="00460903">
        <w:t xml:space="preserve">será </w:t>
      </w:r>
      <w:r>
        <w:t xml:space="preserve">el elemento agua, lo que </w:t>
      </w:r>
      <w:r w:rsidR="00ED78B5">
        <w:t xml:space="preserve">posea </w:t>
      </w:r>
      <w:r>
        <w:t>la característica de madurar (</w:t>
      </w:r>
      <w:r w:rsidR="009C7C49">
        <w:t>fructificar</w:t>
      </w:r>
      <w:r>
        <w:t xml:space="preserve">) </w:t>
      </w:r>
      <w:r w:rsidR="00460903">
        <w:t xml:space="preserve">será </w:t>
      </w:r>
      <w:r>
        <w:t xml:space="preserve">el elemento fuego, lo que </w:t>
      </w:r>
      <w:r w:rsidR="00BF74AC">
        <w:t xml:space="preserve">posea </w:t>
      </w:r>
      <w:r>
        <w:t xml:space="preserve">la característica de dilatarse (apoyarse) </w:t>
      </w:r>
      <w:r w:rsidR="00122E18">
        <w:t xml:space="preserve">será </w:t>
      </w:r>
      <w:r>
        <w:t xml:space="preserve">el elemento aire.” Pero cuando alguien que no </w:t>
      </w:r>
      <w:r w:rsidR="00B60AFA">
        <w:t xml:space="preserve">tenga </w:t>
      </w:r>
      <w:r>
        <w:t>un entendimiento demasiado rápido le prest</w:t>
      </w:r>
      <w:r w:rsidR="00B60AFA">
        <w:t>e</w:t>
      </w:r>
      <w:r>
        <w:t xml:space="preserve"> atención </w:t>
      </w:r>
      <w:r w:rsidR="00B60AFA">
        <w:t>así</w:t>
      </w:r>
      <w:r>
        <w:t>, le parece</w:t>
      </w:r>
      <w:r w:rsidR="00B60AFA">
        <w:t>rá</w:t>
      </w:r>
      <w:r>
        <w:t xml:space="preserve"> oscuro y poco evidente, y solo se v</w:t>
      </w:r>
      <w:r w:rsidR="00B60AFA">
        <w:t>ol</w:t>
      </w:r>
      <w:r>
        <w:t>ve</w:t>
      </w:r>
      <w:r w:rsidR="00B60AFA">
        <w:t>rá</w:t>
      </w:r>
      <w:r>
        <w:t xml:space="preserve"> claro para él </w:t>
      </w:r>
      <w:r w:rsidR="00B60AFA">
        <w:t>cuando</w:t>
      </w:r>
      <w:r>
        <w:t xml:space="preserve"> le prest</w:t>
      </w:r>
      <w:r w:rsidR="00B60AFA">
        <w:t>e</w:t>
      </w:r>
      <w:r>
        <w:t xml:space="preserve"> atención de la manera mencionada en primer lugar. ¿Por qué?</w:t>
      </w:r>
    </w:p>
    <w:p w14:paraId="2D35DA44" w14:textId="58A49119" w:rsidR="009020F9" w:rsidRDefault="009020F9" w:rsidP="009020F9">
      <w:r>
        <w:t xml:space="preserve">40. </w:t>
      </w:r>
      <w:r w:rsidR="00502F3B">
        <w:tab/>
      </w:r>
      <w:r>
        <w:t xml:space="preserve">Supongamos que dos </w:t>
      </w:r>
      <w:proofErr w:type="spellStart"/>
      <w:r w:rsidR="00057BF4" w:rsidRPr="00057BF4">
        <w:rPr>
          <w:i/>
        </w:rPr>
        <w:t>bhikkhu</w:t>
      </w:r>
      <w:r>
        <w:t>s</w:t>
      </w:r>
      <w:proofErr w:type="spellEnd"/>
      <w:r>
        <w:t xml:space="preserve"> est</w:t>
      </w:r>
      <w:r w:rsidR="00323420">
        <w:t>é</w:t>
      </w:r>
      <w:r>
        <w:t xml:space="preserve">n recitando un texto con muchas repeticiones elididas, </w:t>
      </w:r>
      <w:r w:rsidR="00C645B4">
        <w:t xml:space="preserve">y </w:t>
      </w:r>
      <w:r w:rsidR="005A2B20">
        <w:t xml:space="preserve">que </w:t>
      </w:r>
      <w:r>
        <w:t xml:space="preserve">luego el </w:t>
      </w:r>
      <w:proofErr w:type="spellStart"/>
      <w:r w:rsidR="00057BF4" w:rsidRPr="00057BF4">
        <w:rPr>
          <w:i/>
        </w:rPr>
        <w:t>bhikkhu</w:t>
      </w:r>
      <w:proofErr w:type="spellEnd"/>
      <w:r>
        <w:t xml:space="preserve"> </w:t>
      </w:r>
      <w:r w:rsidR="00C645B4">
        <w:t>de</w:t>
      </w:r>
      <w:r>
        <w:t xml:space="preserve"> comprensión más rápida complet</w:t>
      </w:r>
      <w:r w:rsidR="005A2B20">
        <w:t>e</w:t>
      </w:r>
      <w:r>
        <w:t xml:space="preserve"> las repeticiones elididas una o dos veces, después de lo cual continú</w:t>
      </w:r>
      <w:r w:rsidR="005A2B20">
        <w:t>e</w:t>
      </w:r>
      <w:r>
        <w:t xml:space="preserve"> recitando con solo las dos partes finales de las elisiones. Aquí el de comprensión menos rápida di</w:t>
      </w:r>
      <w:r w:rsidR="005A2B20">
        <w:t>rá</w:t>
      </w:r>
      <w:r>
        <w:t>: “¿Qué está recitando? ¡</w:t>
      </w:r>
      <w:r w:rsidR="00BF74AC">
        <w:t>Ya que</w:t>
      </w:r>
      <w:r>
        <w:t xml:space="preserve"> ni siquiera da tiempo para mover los labios! Si la recitación se hace así, ¿cuándo nos familiarizaremos con el texto?</w:t>
      </w:r>
      <w:r w:rsidR="008663D4">
        <w:t>”</w:t>
      </w:r>
      <w:r>
        <w:t xml:space="preserve"> y </w:t>
      </w:r>
      <w:r w:rsidR="00C96EB1">
        <w:t xml:space="preserve">que así </w:t>
      </w:r>
      <w:r w:rsidR="00D47D96">
        <w:t xml:space="preserve">él </w:t>
      </w:r>
      <w:r w:rsidR="00C96EB1">
        <w:t xml:space="preserve">haga </w:t>
      </w:r>
      <w:r>
        <w:t xml:space="preserve">su recitación completando cada elisión a medida que </w:t>
      </w:r>
      <w:r w:rsidR="00E17DF0">
        <w:t>llegue</w:t>
      </w:r>
      <w:r>
        <w:t>. Entonces el otro di</w:t>
      </w:r>
      <w:r w:rsidR="00E17DF0">
        <w:t>rá</w:t>
      </w:r>
      <w:r>
        <w:t>: “¿Qué está recitando? ¡Él nunca deja que uno llegue al final! Si la recitación se hace así; ¿cuándo llegaremos al final?</w:t>
      </w:r>
      <w:r w:rsidR="00C96EB1">
        <w:t>”</w:t>
      </w:r>
      <w:r>
        <w:t xml:space="preserve"> Así también, el discernimiento detallado de los elementos </w:t>
      </w:r>
      <w:r w:rsidR="00B77D9B">
        <w:t xml:space="preserve">mediante </w:t>
      </w:r>
      <w:r>
        <w:t xml:space="preserve">los </w:t>
      </w:r>
      <w:r w:rsidR="00E17DF0">
        <w:t>cabellos</w:t>
      </w:r>
      <w:r>
        <w:t xml:space="preserve"> de la cabeza, etc., parece</w:t>
      </w:r>
      <w:r w:rsidR="00E17DF0">
        <w:t>rá</w:t>
      </w:r>
      <w:r>
        <w:t xml:space="preserve"> redundante para alguien de comprensión rápida, </w:t>
      </w:r>
      <w:r w:rsidR="00E17DF0">
        <w:t>ya que</w:t>
      </w:r>
      <w:r>
        <w:t xml:space="preserve"> el </w:t>
      </w:r>
      <w:r w:rsidR="00E17DF0">
        <w:t xml:space="preserve">objeto </w:t>
      </w:r>
      <w:r>
        <w:t xml:space="preserve">de meditación se </w:t>
      </w:r>
      <w:r w:rsidR="00E17DF0">
        <w:t xml:space="preserve">volverá </w:t>
      </w:r>
      <w:r>
        <w:t xml:space="preserve">claro para él si le presta atención en forma breve </w:t>
      </w:r>
      <w:r w:rsidR="00E17DF0">
        <w:t>así</w:t>
      </w:r>
      <w:r>
        <w:t>: "</w:t>
      </w:r>
      <w:r w:rsidR="00AD5B73">
        <w:t>Lo q</w:t>
      </w:r>
      <w:r>
        <w:t>u</w:t>
      </w:r>
      <w:r w:rsidR="00AD5B73">
        <w:t>e</w:t>
      </w:r>
      <w:r>
        <w:t xml:space="preserve"> </w:t>
      </w:r>
      <w:r w:rsidR="00B77D9B">
        <w:t xml:space="preserve">posea </w:t>
      </w:r>
      <w:r>
        <w:t xml:space="preserve">la característica de </w:t>
      </w:r>
      <w:r w:rsidR="00AD5B73">
        <w:t xml:space="preserve">la </w:t>
      </w:r>
      <w:r>
        <w:t xml:space="preserve">rigidez </w:t>
      </w:r>
      <w:r w:rsidR="00AD5B73">
        <w:t xml:space="preserve">será </w:t>
      </w:r>
      <w:r>
        <w:t>el elemento tierra”, y así sucesivamente. Pero cuando el otro le prest</w:t>
      </w:r>
      <w:r w:rsidR="00AD5B73">
        <w:t>e</w:t>
      </w:r>
      <w:r>
        <w:t xml:space="preserve"> atención </w:t>
      </w:r>
      <w:r w:rsidR="00692F58">
        <w:t>de la misma manera</w:t>
      </w:r>
      <w:r>
        <w:t xml:space="preserve">, </w:t>
      </w:r>
      <w:r w:rsidR="00AD5B73">
        <w:t xml:space="preserve">le </w:t>
      </w:r>
      <w:r>
        <w:t>parece</w:t>
      </w:r>
      <w:r w:rsidR="00AD5B73">
        <w:t>rá</w:t>
      </w:r>
      <w:r>
        <w:t xml:space="preserve"> oscuro y poco evidente, y sólo se v</w:t>
      </w:r>
      <w:r w:rsidR="00AD5B73">
        <w:t>o</w:t>
      </w:r>
      <w:r>
        <w:t>lve</w:t>
      </w:r>
      <w:r w:rsidR="00AD5B73">
        <w:t>rá</w:t>
      </w:r>
      <w:r>
        <w:t xml:space="preserve"> claro para él si </w:t>
      </w:r>
      <w:r w:rsidR="00AD5B73">
        <w:t xml:space="preserve">le </w:t>
      </w:r>
      <w:r>
        <w:t xml:space="preserve">presta atención en detalle </w:t>
      </w:r>
      <w:r w:rsidR="00AD5B73">
        <w:t>mediante</w:t>
      </w:r>
      <w:r>
        <w:t xml:space="preserve"> </w:t>
      </w:r>
      <w:r w:rsidR="00AD5B73">
        <w:t xml:space="preserve">los cabellos </w:t>
      </w:r>
      <w:r>
        <w:t>de la cabeza, etc.</w:t>
      </w:r>
    </w:p>
    <w:p w14:paraId="06032205" w14:textId="51AFD1B9" w:rsidR="009020F9" w:rsidRDefault="009020F9" w:rsidP="009020F9">
      <w:r>
        <w:t xml:space="preserve">41. </w:t>
      </w:r>
      <w:r w:rsidR="00502F3B">
        <w:tab/>
      </w:r>
      <w:r>
        <w:t xml:space="preserve">Entonces, en primer lugar, alguien de comprensión rápida que quiera desarrollar este </w:t>
      </w:r>
      <w:r w:rsidR="00AD5B73">
        <w:t xml:space="preserve">objeto </w:t>
      </w:r>
      <w:r>
        <w:t>de meditación debe</w:t>
      </w:r>
      <w:r w:rsidR="00AD5B73">
        <w:t>rá</w:t>
      </w:r>
      <w:r>
        <w:t xml:space="preserve"> ir a un retiro solitario. Luego debe</w:t>
      </w:r>
      <w:r w:rsidR="00AD5B73">
        <w:t>rá</w:t>
      </w:r>
      <w:r>
        <w:t xml:space="preserve"> advertir a todo su cuerpo material y discernir </w:t>
      </w:r>
      <w:r w:rsidR="00C3234D">
        <w:t xml:space="preserve">sobre </w:t>
      </w:r>
      <w:r>
        <w:t>los elementos breve</w:t>
      </w:r>
      <w:r w:rsidR="00C3234D">
        <w:t>mente</w:t>
      </w:r>
      <w:r>
        <w:t xml:space="preserve"> </w:t>
      </w:r>
      <w:r w:rsidR="00C3234D">
        <w:t>así</w:t>
      </w:r>
      <w:r>
        <w:t xml:space="preserve">: “En este cuerpo lo que </w:t>
      </w:r>
      <w:r w:rsidR="00C3234D">
        <w:t>represente</w:t>
      </w:r>
      <w:r>
        <w:t xml:space="preserve"> rigidez o aspereza </w:t>
      </w:r>
      <w:r w:rsidR="00380C79">
        <w:t xml:space="preserve">será </w:t>
      </w:r>
      <w:r>
        <w:t xml:space="preserve">el elemento tierra, lo que </w:t>
      </w:r>
      <w:r w:rsidR="004D30AE">
        <w:t>represente</w:t>
      </w:r>
      <w:r w:rsidR="00380C79">
        <w:t xml:space="preserve"> </w:t>
      </w:r>
      <w:r>
        <w:t>cohesión o fluidez</w:t>
      </w:r>
      <w:r w:rsidRPr="00E6793D">
        <w:rPr>
          <w:vertAlign w:val="superscript"/>
        </w:rPr>
        <w:t>25</w:t>
      </w:r>
      <w:r>
        <w:t xml:space="preserve"> [352] </w:t>
      </w:r>
      <w:r w:rsidR="00380C79">
        <w:t xml:space="preserve">será </w:t>
      </w:r>
      <w:r>
        <w:t>el elemento agua, lo que est</w:t>
      </w:r>
      <w:r w:rsidR="00380C79">
        <w:t>é</w:t>
      </w:r>
      <w:r>
        <w:t xml:space="preserve"> madurando (</w:t>
      </w:r>
      <w:r w:rsidR="00380C79">
        <w:t>fructífero</w:t>
      </w:r>
      <w:r>
        <w:t xml:space="preserve">) o </w:t>
      </w:r>
      <w:r w:rsidR="00380C79">
        <w:t xml:space="preserve">el </w:t>
      </w:r>
      <w:r>
        <w:t xml:space="preserve">calor </w:t>
      </w:r>
      <w:r w:rsidR="00380C79">
        <w:t xml:space="preserve">será </w:t>
      </w:r>
      <w:r>
        <w:t xml:space="preserve">el elemento fuego, lo que </w:t>
      </w:r>
      <w:r w:rsidR="00B011A6">
        <w:t xml:space="preserve">sea </w:t>
      </w:r>
      <w:r>
        <w:t xml:space="preserve">distensión o movimiento </w:t>
      </w:r>
      <w:r w:rsidR="00B011A6">
        <w:t xml:space="preserve">será </w:t>
      </w:r>
      <w:r>
        <w:t>el elemento aire.” Y debe</w:t>
      </w:r>
      <w:r w:rsidR="00B011A6">
        <w:t>rá</w:t>
      </w:r>
      <w:r>
        <w:t xml:space="preserve"> advertirlo y prestarle atención y revisarlo una y otra vez como “elemento tierra, elemento agua”, es decir, como </w:t>
      </w:r>
      <w:r w:rsidR="00B011A6">
        <w:t xml:space="preserve">simples </w:t>
      </w:r>
      <w:r>
        <w:t xml:space="preserve">elementos, no </w:t>
      </w:r>
      <w:r w:rsidR="004D30AE">
        <w:t xml:space="preserve">como </w:t>
      </w:r>
      <w:r>
        <w:t>un ser vivo sin</w:t>
      </w:r>
      <w:r w:rsidR="00B011A6">
        <w:t xml:space="preserve">o como un fenómeno </w:t>
      </w:r>
      <w:r w:rsidR="00C14AE2" w:rsidRPr="00291B88">
        <w:t>no</w:t>
      </w:r>
      <w:r w:rsidR="00C14AE2" w:rsidRPr="00C47550">
        <w:t>–</w:t>
      </w:r>
      <w:r w:rsidR="00C14AE2" w:rsidRPr="00291B88">
        <w:t>alma</w:t>
      </w:r>
      <w:r>
        <w:t>.</w:t>
      </w:r>
    </w:p>
    <w:p w14:paraId="413CDFF3" w14:textId="37DC864B" w:rsidR="009020F9" w:rsidRDefault="009020F9" w:rsidP="009020F9">
      <w:r>
        <w:t xml:space="preserve">42. </w:t>
      </w:r>
      <w:r w:rsidR="00502F3B">
        <w:tab/>
      </w:r>
      <w:r>
        <w:t>Al esforzarse así no tarda</w:t>
      </w:r>
      <w:r w:rsidR="00B011A6">
        <w:t>rá</w:t>
      </w:r>
      <w:r>
        <w:t xml:space="preserve"> en surgir en él la concentración, que se ref</w:t>
      </w:r>
      <w:r w:rsidR="00B011A6">
        <w:t>o</w:t>
      </w:r>
      <w:r>
        <w:t>rza</w:t>
      </w:r>
      <w:r w:rsidR="00B011A6">
        <w:t>rá</w:t>
      </w:r>
      <w:r>
        <w:t xml:space="preserve"> con la comprensión que ilumin</w:t>
      </w:r>
      <w:r w:rsidR="00D41A38">
        <w:t>ará</w:t>
      </w:r>
      <w:r>
        <w:t xml:space="preserve"> la clasificación de los elementos, y que sólo </w:t>
      </w:r>
      <w:r w:rsidR="003A5696">
        <w:t xml:space="preserve">será de </w:t>
      </w:r>
      <w:r>
        <w:t>acceso y no llega</w:t>
      </w:r>
      <w:r w:rsidR="003A5696">
        <w:t>rá</w:t>
      </w:r>
      <w:r>
        <w:t xml:space="preserve"> a la absorción porque </w:t>
      </w:r>
      <w:r w:rsidR="003A5696">
        <w:t xml:space="preserve">tendrá a los </w:t>
      </w:r>
      <w:r>
        <w:t>estados con esencias individuales como su objeto</w:t>
      </w:r>
      <w:r w:rsidR="00D41A38">
        <w:t>.</w:t>
      </w:r>
    </w:p>
    <w:p w14:paraId="576847B7" w14:textId="23E57DDD" w:rsidR="009020F9" w:rsidRPr="009020F9" w:rsidRDefault="009020F9" w:rsidP="009020F9">
      <w:pPr>
        <w:pStyle w:val="PiedepginaLegal"/>
        <w:rPr>
          <w:u w:val="single"/>
        </w:rPr>
      </w:pPr>
      <w:r w:rsidRPr="009020F9">
        <w:rPr>
          <w:u w:val="single"/>
        </w:rPr>
        <w:t xml:space="preserve">                                                                                                                                           .</w:t>
      </w:r>
    </w:p>
    <w:p w14:paraId="426F05D3" w14:textId="4D3D6A53" w:rsidR="00502F3B" w:rsidRDefault="009020F9" w:rsidP="00502F3B">
      <w:pPr>
        <w:pStyle w:val="PiedepginaLegal"/>
      </w:pPr>
      <w:r>
        <w:t xml:space="preserve">25. </w:t>
      </w:r>
      <w:r w:rsidR="009B085B">
        <w:tab/>
      </w:r>
      <w:r w:rsidRPr="004351BE">
        <w:rPr>
          <w:i/>
          <w:iCs/>
        </w:rPr>
        <w:t>Drava-</w:t>
      </w:r>
      <w:proofErr w:type="spellStart"/>
      <w:r w:rsidRPr="004351BE">
        <w:rPr>
          <w:i/>
          <w:iCs/>
        </w:rPr>
        <w:t>bhāva</w:t>
      </w:r>
      <w:proofErr w:type="spellEnd"/>
      <w:r>
        <w:t xml:space="preserve">— “fluidez”: no en </w:t>
      </w:r>
      <w:r w:rsidR="004351BE">
        <w:t xml:space="preserve">el </w:t>
      </w:r>
      <w:r>
        <w:t>PED.</w:t>
      </w:r>
      <w:r w:rsidR="00502F3B">
        <w:br w:type="page"/>
      </w:r>
    </w:p>
    <w:p w14:paraId="6577C7C1" w14:textId="43805F14" w:rsidR="00F112AD" w:rsidRDefault="00F112AD" w:rsidP="009020F9">
      <w:pPr>
        <w:pStyle w:val="PiedepginaLegal"/>
      </w:pPr>
    </w:p>
    <w:p w14:paraId="33E7611B" w14:textId="57AE0486" w:rsidR="00F62CC9" w:rsidRDefault="00F62CC9" w:rsidP="00F62CC9">
      <w:r>
        <w:t xml:space="preserve">43. </w:t>
      </w:r>
      <w:r>
        <w:tab/>
        <w:t xml:space="preserve">O alternativamente, existen estas cuatro partes corporales </w:t>
      </w:r>
      <w:r w:rsidR="00D41A38">
        <w:t xml:space="preserve">que fueron </w:t>
      </w:r>
      <w:r>
        <w:t xml:space="preserve">mencionadas por el General del </w:t>
      </w:r>
      <w:r w:rsidR="00057BF4" w:rsidRPr="00057BF4">
        <w:rPr>
          <w:i/>
        </w:rPr>
        <w:t>Dhamma</w:t>
      </w:r>
      <w:r w:rsidR="00D41A38">
        <w:rPr>
          <w:i/>
        </w:rPr>
        <w:t>,</w:t>
      </w:r>
      <w:r>
        <w:t xml:space="preserve"> el </w:t>
      </w:r>
      <w:r w:rsidR="001A4F5D">
        <w:t xml:space="preserve">Venerable </w:t>
      </w:r>
      <w:r>
        <w:t>Sāriputta</w:t>
      </w:r>
      <w:r w:rsidR="00D41A38">
        <w:t>,</w:t>
      </w:r>
      <w:r>
        <w:t xml:space="preserve"> con el propósito de </w:t>
      </w:r>
      <w:r w:rsidR="001A4F5D">
        <w:t>exponer</w:t>
      </w:r>
      <w:r>
        <w:t xml:space="preserve"> la ausencia de cualquier ser viviente en los cuatro grandes elementos primarios </w:t>
      </w:r>
      <w:r w:rsidR="00D41A38">
        <w:t>de la siguiente manera</w:t>
      </w:r>
      <w:r>
        <w:t xml:space="preserve">: “Cuando un espacio está </w:t>
      </w:r>
      <w:r w:rsidR="00594D69">
        <w:t>compuesto</w:t>
      </w:r>
      <w:r>
        <w:t xml:space="preserve"> </w:t>
      </w:r>
      <w:r w:rsidR="00594D69">
        <w:t>por</w:t>
      </w:r>
      <w:r>
        <w:t xml:space="preserve"> huesos</w:t>
      </w:r>
      <w:r w:rsidR="001A4F5D">
        <w:t>,</w:t>
      </w:r>
      <w:r>
        <w:t xml:space="preserve"> tendones</w:t>
      </w:r>
      <w:r w:rsidR="001A4F5D">
        <w:t>,</w:t>
      </w:r>
      <w:r>
        <w:t xml:space="preserve"> carne y piel, </w:t>
      </w:r>
      <w:r w:rsidR="00C86EE4">
        <w:t xml:space="preserve">se definirá </w:t>
      </w:r>
      <w:r>
        <w:t>el término 'forma material' (</w:t>
      </w:r>
      <w:r w:rsidR="00057BF4" w:rsidRPr="00057BF4">
        <w:rPr>
          <w:i/>
          <w:iCs/>
        </w:rPr>
        <w:t>rūpa</w:t>
      </w:r>
      <w:r>
        <w:t>)” (M I 190). Y debe</w:t>
      </w:r>
      <w:r w:rsidR="00C86EE4">
        <w:t>rá</w:t>
      </w:r>
      <w:r>
        <w:t xml:space="preserve"> resolver</w:t>
      </w:r>
      <w:r w:rsidR="0025602D">
        <w:t>se</w:t>
      </w:r>
      <w:r>
        <w:t xml:space="preserve"> cada uno de estos como una entidad </w:t>
      </w:r>
      <w:r w:rsidR="0025602D">
        <w:t>independiente</w:t>
      </w:r>
      <w:r>
        <w:t xml:space="preserve">, separándolos </w:t>
      </w:r>
      <w:r w:rsidR="0025602D">
        <w:t xml:space="preserve">mediante </w:t>
      </w:r>
      <w:r>
        <w:t xml:space="preserve">la </w:t>
      </w:r>
      <w:r w:rsidR="00243B7C">
        <w:t>función</w:t>
      </w:r>
      <w:r>
        <w:t xml:space="preserve"> del conocimiento y luego discernirlos en la forma ya establecida así: “</w:t>
      </w:r>
      <w:r w:rsidR="00243B7C">
        <w:t xml:space="preserve">Respecto a </w:t>
      </w:r>
      <w:r>
        <w:t>estos</w:t>
      </w:r>
      <w:r w:rsidR="00D20081">
        <w:t>,</w:t>
      </w:r>
      <w:r>
        <w:t xml:space="preserve"> </w:t>
      </w:r>
      <w:r w:rsidR="00243B7C">
        <w:t xml:space="preserve">todo </w:t>
      </w:r>
      <w:r>
        <w:t xml:space="preserve">lo que </w:t>
      </w:r>
      <w:r w:rsidR="003369C7">
        <w:t>sea</w:t>
      </w:r>
      <w:r>
        <w:t xml:space="preserve"> rigidez o aspereza </w:t>
      </w:r>
      <w:r w:rsidR="003369C7">
        <w:t xml:space="preserve">será </w:t>
      </w:r>
      <w:r>
        <w:t>el elemento tierra”. Y debe</w:t>
      </w:r>
      <w:r w:rsidR="00D20081">
        <w:t>rá</w:t>
      </w:r>
      <w:r>
        <w:t xml:space="preserve"> advertirlos una y otra vez, prestarles atención y revisarlos </w:t>
      </w:r>
      <w:r w:rsidR="00D20081">
        <w:t xml:space="preserve">sólo </w:t>
      </w:r>
      <w:r>
        <w:t xml:space="preserve">como </w:t>
      </w:r>
      <w:r w:rsidR="003369C7">
        <w:t>simple</w:t>
      </w:r>
      <w:r>
        <w:t xml:space="preserve"> elementos, no como un ser vivo, no como un alma.</w:t>
      </w:r>
    </w:p>
    <w:p w14:paraId="4E851F5A" w14:textId="4A284FDB" w:rsidR="00F62CC9" w:rsidRDefault="00F62CC9" w:rsidP="00F62CC9">
      <w:r>
        <w:t xml:space="preserve">44. </w:t>
      </w:r>
      <w:r>
        <w:tab/>
        <w:t>Mientras se esfuer</w:t>
      </w:r>
      <w:r w:rsidR="00616EC2">
        <w:t>ce</w:t>
      </w:r>
      <w:r>
        <w:t xml:space="preserve"> </w:t>
      </w:r>
      <w:r w:rsidR="00616EC2">
        <w:t>así</w:t>
      </w:r>
      <w:r>
        <w:t>, no tarda</w:t>
      </w:r>
      <w:r w:rsidR="00616EC2">
        <w:t>rá</w:t>
      </w:r>
      <w:r>
        <w:t xml:space="preserve"> en surgir en él la concentración, que se ref</w:t>
      </w:r>
      <w:r w:rsidR="00616EC2">
        <w:t>o</w:t>
      </w:r>
      <w:r>
        <w:t>rza</w:t>
      </w:r>
      <w:r w:rsidR="00616EC2">
        <w:t>rá</w:t>
      </w:r>
      <w:r>
        <w:t xml:space="preserve"> con la comprensión que ilumin</w:t>
      </w:r>
      <w:r w:rsidR="00D20081">
        <w:t>ará</w:t>
      </w:r>
      <w:r>
        <w:t xml:space="preserve"> la clasificación de los elementos, y que </w:t>
      </w:r>
      <w:r w:rsidR="00616EC2">
        <w:t xml:space="preserve">será </w:t>
      </w:r>
      <w:r>
        <w:t xml:space="preserve">sólo </w:t>
      </w:r>
      <w:r w:rsidR="00616EC2">
        <w:t xml:space="preserve">de </w:t>
      </w:r>
      <w:r>
        <w:t>acceso y no llega</w:t>
      </w:r>
      <w:r w:rsidR="00616EC2">
        <w:t>rá</w:t>
      </w:r>
      <w:r>
        <w:t xml:space="preserve"> a la absorción porque </w:t>
      </w:r>
      <w:r w:rsidR="00616EC2">
        <w:t xml:space="preserve">tendrá a los </w:t>
      </w:r>
      <w:r>
        <w:t>estados con esencias individuales como su objeto.</w:t>
      </w:r>
    </w:p>
    <w:p w14:paraId="641091AA" w14:textId="2D0A237A" w:rsidR="00F62CC9" w:rsidRDefault="00D20081" w:rsidP="008568DC">
      <w:pPr>
        <w:pStyle w:val="NormalConSangria"/>
      </w:pPr>
      <w:r>
        <w:t>É</w:t>
      </w:r>
      <w:r w:rsidR="00F62CC9">
        <w:t xml:space="preserve">ste es el método de desarrollo cuando la definición de los elementos se da </w:t>
      </w:r>
      <w:r>
        <w:t>resumidamente</w:t>
      </w:r>
      <w:r w:rsidR="00F62CC9">
        <w:t>.</w:t>
      </w:r>
    </w:p>
    <w:p w14:paraId="6AB11C05" w14:textId="41F58A64" w:rsidR="00F62CC9" w:rsidRDefault="00F62CC9" w:rsidP="00F62CC9">
      <w:pPr>
        <w:pStyle w:val="Ttulo3"/>
        <w:ind w:left="708"/>
      </w:pPr>
      <w:r>
        <w:t>[Método de Desarrollo Detall</w:t>
      </w:r>
      <w:r w:rsidR="008568DC">
        <w:t>adamente</w:t>
      </w:r>
      <w:r>
        <w:t>]</w:t>
      </w:r>
    </w:p>
    <w:p w14:paraId="278CCFEC" w14:textId="5EC5BCB2" w:rsidR="00F62CC9" w:rsidRDefault="00F62CC9" w:rsidP="00F62CC9">
      <w:r>
        <w:t xml:space="preserve">45. </w:t>
      </w:r>
      <w:r>
        <w:tab/>
        <w:t xml:space="preserve">El método </w:t>
      </w:r>
      <w:r w:rsidR="008568DC">
        <w:t xml:space="preserve">ofrecido </w:t>
      </w:r>
      <w:r>
        <w:t>detall</w:t>
      </w:r>
      <w:r w:rsidR="008568DC">
        <w:t>adamente</w:t>
      </w:r>
      <w:r>
        <w:t xml:space="preserve"> debe</w:t>
      </w:r>
      <w:r w:rsidR="008568DC">
        <w:t>rá</w:t>
      </w:r>
      <w:r>
        <w:t xml:space="preserve"> entenderse </w:t>
      </w:r>
      <w:r w:rsidR="008568DC">
        <w:t>así:</w:t>
      </w:r>
      <w:r>
        <w:t xml:space="preserve"> </w:t>
      </w:r>
      <w:r w:rsidR="008568DC">
        <w:t>u</w:t>
      </w:r>
      <w:r>
        <w:t xml:space="preserve">n meditador de comprensión no demasiado rápida que quiera desarrollar este </w:t>
      </w:r>
      <w:r w:rsidR="008568DC">
        <w:t xml:space="preserve">objeto </w:t>
      </w:r>
      <w:r>
        <w:t>de meditación debe</w:t>
      </w:r>
      <w:r w:rsidR="008568DC">
        <w:t>rá</w:t>
      </w:r>
      <w:r>
        <w:t xml:space="preserve"> aprender los elementos en detalle en los </w:t>
      </w:r>
      <w:r w:rsidR="00D20081">
        <w:t xml:space="preserve">42 </w:t>
      </w:r>
      <w:r>
        <w:t xml:space="preserve">aspectos </w:t>
      </w:r>
      <w:r w:rsidR="00AE79AE">
        <w:t>a través de</w:t>
      </w:r>
      <w:r>
        <w:t xml:space="preserve"> un maestro, y </w:t>
      </w:r>
      <w:r w:rsidR="008568DC">
        <w:t xml:space="preserve">deberá </w:t>
      </w:r>
      <w:r>
        <w:t xml:space="preserve">vivir en una </w:t>
      </w:r>
      <w:r w:rsidR="008963E0">
        <w:t>vivienda</w:t>
      </w:r>
      <w:r>
        <w:t xml:space="preserve"> de la clase ya descrita. Luego, cuando haya cumplido con todos los deberes, </w:t>
      </w:r>
      <w:r w:rsidR="008963E0">
        <w:t xml:space="preserve">deberá </w:t>
      </w:r>
      <w:r>
        <w:t xml:space="preserve">ir a un retiro solitario y desarrollar el </w:t>
      </w:r>
      <w:r w:rsidR="008963E0">
        <w:t xml:space="preserve">objeto </w:t>
      </w:r>
      <w:r>
        <w:t xml:space="preserve">de la meditación de cuatro maneras: (1) con </w:t>
      </w:r>
      <w:r w:rsidR="008963E0">
        <w:t xml:space="preserve">los </w:t>
      </w:r>
      <w:r>
        <w:t xml:space="preserve">constituyentes en resumen, (2) con </w:t>
      </w:r>
      <w:r w:rsidR="00864B39">
        <w:t xml:space="preserve">los </w:t>
      </w:r>
      <w:r>
        <w:t xml:space="preserve">constituyentes </w:t>
      </w:r>
      <w:r w:rsidR="00864B39">
        <w:t>mediante el</w:t>
      </w:r>
      <w:r>
        <w:t xml:space="preserve"> análisis, (3) con </w:t>
      </w:r>
      <w:r w:rsidR="00864B39">
        <w:t xml:space="preserve">las </w:t>
      </w:r>
      <w:r>
        <w:t xml:space="preserve">características en resumen, y (4) con </w:t>
      </w:r>
      <w:r w:rsidR="00864B39">
        <w:t xml:space="preserve">las </w:t>
      </w:r>
      <w:r>
        <w:t xml:space="preserve">características </w:t>
      </w:r>
      <w:r w:rsidR="00864B39">
        <w:t xml:space="preserve">mediante </w:t>
      </w:r>
      <w:r>
        <w:t>análisis.</w:t>
      </w:r>
    </w:p>
    <w:p w14:paraId="60115DFC" w14:textId="758DCACF" w:rsidR="00F62CC9" w:rsidRDefault="00F62CC9" w:rsidP="00620918">
      <w:pPr>
        <w:pStyle w:val="Ttulo4"/>
        <w:ind w:left="708"/>
      </w:pPr>
      <w:r>
        <w:t xml:space="preserve">[(1) </w:t>
      </w:r>
      <w:r w:rsidR="0022312D">
        <w:t>Mediante</w:t>
      </w:r>
      <w:r>
        <w:t xml:space="preserve"> </w:t>
      </w:r>
      <w:r w:rsidR="00864B39">
        <w:t xml:space="preserve">Los </w:t>
      </w:r>
      <w:r>
        <w:t xml:space="preserve">Constituyentes </w:t>
      </w:r>
      <w:r w:rsidR="00864B39">
        <w:t>Resum</w:t>
      </w:r>
      <w:r w:rsidR="0022312D">
        <w:t>idamente</w:t>
      </w:r>
      <w:r>
        <w:t>]</w:t>
      </w:r>
    </w:p>
    <w:p w14:paraId="154F70CE" w14:textId="76B687EC" w:rsidR="00F62CC9" w:rsidRDefault="00F62CC9" w:rsidP="00F62CC9">
      <w:r>
        <w:t xml:space="preserve">46. </w:t>
      </w:r>
      <w:r>
        <w:tab/>
        <w:t xml:space="preserve">​​Aquí, ¿cómo lo desarrolla </w:t>
      </w:r>
      <w:r w:rsidR="00130489">
        <w:t xml:space="preserve">él </w:t>
      </w:r>
      <w:r w:rsidR="0086284E">
        <w:rPr>
          <w:i/>
          <w:iCs/>
        </w:rPr>
        <w:t>mediante</w:t>
      </w:r>
      <w:r w:rsidRPr="0011163B">
        <w:rPr>
          <w:i/>
          <w:iCs/>
        </w:rPr>
        <w:t xml:space="preserve"> </w:t>
      </w:r>
      <w:r w:rsidR="00130489">
        <w:rPr>
          <w:i/>
          <w:iCs/>
        </w:rPr>
        <w:t xml:space="preserve">los </w:t>
      </w:r>
      <w:r w:rsidRPr="0011163B">
        <w:rPr>
          <w:i/>
          <w:iCs/>
        </w:rPr>
        <w:t xml:space="preserve">constituyentes </w:t>
      </w:r>
      <w:r w:rsidR="0022312D" w:rsidRPr="0022312D">
        <w:rPr>
          <w:i/>
          <w:iCs/>
        </w:rPr>
        <w:t>resumidamente</w:t>
      </w:r>
      <w:r>
        <w:t xml:space="preserve">? Aquí un </w:t>
      </w:r>
      <w:proofErr w:type="spellStart"/>
      <w:r w:rsidR="00057BF4" w:rsidRPr="00057BF4">
        <w:rPr>
          <w:i/>
        </w:rPr>
        <w:t>bhikkhu</w:t>
      </w:r>
      <w:proofErr w:type="spellEnd"/>
      <w:r>
        <w:t xml:space="preserve"> ha</w:t>
      </w:r>
      <w:r w:rsidR="00130489">
        <w:t>rá</w:t>
      </w:r>
      <w:r>
        <w:t xml:space="preserve"> su definición de esta manera, “En veinte </w:t>
      </w:r>
      <w:r w:rsidR="00AA07DE">
        <w:t>aspectos</w:t>
      </w:r>
      <w:r>
        <w:t xml:space="preserve"> que </w:t>
      </w:r>
      <w:r w:rsidR="00AA07DE">
        <w:t>posea</w:t>
      </w:r>
      <w:r>
        <w:t xml:space="preserve"> la modalidad </w:t>
      </w:r>
      <w:r w:rsidR="009F6310">
        <w:t xml:space="preserve">de la </w:t>
      </w:r>
      <w:r>
        <w:t>r</w:t>
      </w:r>
      <w:r w:rsidR="009F6310">
        <w:t>i</w:t>
      </w:r>
      <w:r>
        <w:t>gid</w:t>
      </w:r>
      <w:r w:rsidR="009F6310">
        <w:t>ez</w:t>
      </w:r>
      <w:r>
        <w:t xml:space="preserve"> </w:t>
      </w:r>
      <w:r w:rsidR="00B4516E">
        <w:t xml:space="preserve">será </w:t>
      </w:r>
      <w:r>
        <w:t>el elemento tierra”, y él h</w:t>
      </w:r>
      <w:r w:rsidR="00B4516E">
        <w:t>ará</w:t>
      </w:r>
      <w:r>
        <w:t xml:space="preserve"> su definición de esta manera, “En doce </w:t>
      </w:r>
      <w:r w:rsidR="009F6310">
        <w:t xml:space="preserve">aspectos </w:t>
      </w:r>
      <w:r w:rsidR="007A76A5">
        <w:t>e</w:t>
      </w:r>
      <w:r>
        <w:t xml:space="preserve">l líquido llamado agua con la modalidad de </w:t>
      </w:r>
      <w:r w:rsidR="007A76A5">
        <w:t xml:space="preserve">la </w:t>
      </w:r>
      <w:r>
        <w:t xml:space="preserve">cohesión </w:t>
      </w:r>
      <w:r w:rsidR="007A76A5">
        <w:t xml:space="preserve">será </w:t>
      </w:r>
      <w:r>
        <w:t xml:space="preserve">el </w:t>
      </w:r>
      <w:r w:rsidR="007A76A5">
        <w:t xml:space="preserve">elemento </w:t>
      </w:r>
      <w:r>
        <w:t>agua</w:t>
      </w:r>
      <w:r w:rsidR="007A76A5">
        <w:t>”</w:t>
      </w:r>
      <w:r>
        <w:t xml:space="preserve"> [353] y ha</w:t>
      </w:r>
      <w:r w:rsidR="007A76A5">
        <w:t>rá</w:t>
      </w:r>
      <w:r>
        <w:t xml:space="preserve"> su definición así: "En cuatro </w:t>
      </w:r>
      <w:r w:rsidR="00BE4D68">
        <w:t>aspectos</w:t>
      </w:r>
      <w:r>
        <w:t xml:space="preserve"> lo que madur</w:t>
      </w:r>
      <w:r w:rsidR="007A76A5">
        <w:t>e</w:t>
      </w:r>
      <w:r>
        <w:t xml:space="preserve"> (lo que </w:t>
      </w:r>
      <w:r w:rsidR="00BE4D68">
        <w:t xml:space="preserve">posea </w:t>
      </w:r>
      <w:r w:rsidR="007A76A5">
        <w:t>un</w:t>
      </w:r>
      <w:r>
        <w:t xml:space="preserve"> modo de madura</w:t>
      </w:r>
      <w:r w:rsidR="007A76A5">
        <w:t>ción</w:t>
      </w:r>
      <w:r>
        <w:t xml:space="preserve">) </w:t>
      </w:r>
      <w:r w:rsidR="007A76A5">
        <w:t xml:space="preserve">será </w:t>
      </w:r>
      <w:r>
        <w:t>el elemento fuego", y ha</w:t>
      </w:r>
      <w:r w:rsidR="007A76A5">
        <w:t>rá</w:t>
      </w:r>
      <w:r>
        <w:t xml:space="preserve"> su definición así: "En seis </w:t>
      </w:r>
      <w:r w:rsidR="00BE4D68">
        <w:t xml:space="preserve">aspectos </w:t>
      </w:r>
      <w:r>
        <w:t xml:space="preserve">lo que </w:t>
      </w:r>
      <w:r w:rsidR="00BE4D68">
        <w:t xml:space="preserve">posea </w:t>
      </w:r>
      <w:r>
        <w:t>el modo de disten</w:t>
      </w:r>
      <w:r w:rsidR="00E26952">
        <w:t>sión</w:t>
      </w:r>
      <w:r>
        <w:t xml:space="preserve">" </w:t>
      </w:r>
      <w:r w:rsidR="00E26952">
        <w:t xml:space="preserve">será </w:t>
      </w:r>
      <w:r>
        <w:t xml:space="preserve">el elemento aire.” </w:t>
      </w:r>
      <w:r w:rsidR="00E26952">
        <w:t xml:space="preserve">A medida que </w:t>
      </w:r>
      <w:r>
        <w:t>los defin</w:t>
      </w:r>
      <w:r w:rsidR="00E26952">
        <w:t>a</w:t>
      </w:r>
      <w:r>
        <w:t xml:space="preserve"> </w:t>
      </w:r>
      <w:r w:rsidR="00E26952">
        <w:t>así</w:t>
      </w:r>
      <w:r>
        <w:t xml:space="preserve">, se </w:t>
      </w:r>
      <w:r w:rsidR="00E26952">
        <w:t xml:space="preserve">volverán </w:t>
      </w:r>
      <w:r>
        <w:t>evidentes para él. A medida que l</w:t>
      </w:r>
      <w:r w:rsidR="00E26952">
        <w:t>o</w:t>
      </w:r>
      <w:r>
        <w:t>s adviert</w:t>
      </w:r>
      <w:r w:rsidR="00E26952">
        <w:t>a</w:t>
      </w:r>
      <w:r>
        <w:t xml:space="preserve"> una y otra vez y les prest</w:t>
      </w:r>
      <w:r w:rsidR="00E26952">
        <w:t>e</w:t>
      </w:r>
      <w:r>
        <w:t xml:space="preserve"> atención, la concentración surg</w:t>
      </w:r>
      <w:r w:rsidR="00E26952">
        <w:t>irá</w:t>
      </w:r>
      <w:r>
        <w:t xml:space="preserve"> únicamente como acceso.</w:t>
      </w:r>
    </w:p>
    <w:p w14:paraId="23A743AA" w14:textId="26B359E7" w:rsidR="00F62CC9" w:rsidRDefault="00F62CC9" w:rsidP="00620918">
      <w:pPr>
        <w:pStyle w:val="Ttulo4"/>
        <w:ind w:left="708"/>
      </w:pPr>
      <w:r>
        <w:t xml:space="preserve">[(2) </w:t>
      </w:r>
      <w:r w:rsidR="00BE4D68">
        <w:t>Mediante</w:t>
      </w:r>
      <w:r>
        <w:t xml:space="preserve"> </w:t>
      </w:r>
      <w:r w:rsidR="00CB7258">
        <w:t xml:space="preserve">los </w:t>
      </w:r>
      <w:r>
        <w:t xml:space="preserve">Constituyentes </w:t>
      </w:r>
      <w:r w:rsidR="008B375F">
        <w:t>a Través d</w:t>
      </w:r>
      <w:r w:rsidR="00CB7258">
        <w:t>el</w:t>
      </w:r>
      <w:r>
        <w:t xml:space="preserve"> Análisis]</w:t>
      </w:r>
    </w:p>
    <w:p w14:paraId="38A30514" w14:textId="4EDB5E67" w:rsidR="00502F3B" w:rsidRDefault="00F62CC9" w:rsidP="00F62CC9">
      <w:r>
        <w:t xml:space="preserve">47. </w:t>
      </w:r>
      <w:r>
        <w:tab/>
        <w:t xml:space="preserve">Sin embargo, si su </w:t>
      </w:r>
      <w:r w:rsidR="00CB7258">
        <w:t xml:space="preserve">objeto </w:t>
      </w:r>
      <w:r>
        <w:t xml:space="preserve">de meditación no </w:t>
      </w:r>
      <w:r w:rsidR="00CB7258">
        <w:t>tuviese</w:t>
      </w:r>
      <w:r>
        <w:t xml:space="preserve"> éxito mientras lo desarroll</w:t>
      </w:r>
      <w:r w:rsidR="00BE4D68">
        <w:t>e</w:t>
      </w:r>
      <w:r>
        <w:t xml:space="preserve"> </w:t>
      </w:r>
      <w:r w:rsidR="00CB7258">
        <w:t>así</w:t>
      </w:r>
      <w:r>
        <w:t>, entonces debe</w:t>
      </w:r>
      <w:r w:rsidR="00CB7258">
        <w:t>rá</w:t>
      </w:r>
      <w:r>
        <w:t xml:space="preserve"> desarrollarlo </w:t>
      </w:r>
      <w:r w:rsidR="00DB0523">
        <w:rPr>
          <w:i/>
          <w:iCs/>
        </w:rPr>
        <w:t xml:space="preserve">mediante </w:t>
      </w:r>
      <w:r w:rsidR="00CB7258">
        <w:rPr>
          <w:i/>
          <w:iCs/>
        </w:rPr>
        <w:t xml:space="preserve">los </w:t>
      </w:r>
      <w:r w:rsidRPr="0011163B">
        <w:rPr>
          <w:i/>
          <w:iCs/>
        </w:rPr>
        <w:t xml:space="preserve">constituyentes </w:t>
      </w:r>
      <w:r w:rsidR="001B1EF4">
        <w:rPr>
          <w:i/>
          <w:iCs/>
        </w:rPr>
        <w:t>a través</w:t>
      </w:r>
      <w:r w:rsidR="00CB7258">
        <w:rPr>
          <w:i/>
          <w:iCs/>
        </w:rPr>
        <w:t xml:space="preserve"> </w:t>
      </w:r>
      <w:r w:rsidR="001B1EF4">
        <w:rPr>
          <w:i/>
          <w:iCs/>
        </w:rPr>
        <w:t>d</w:t>
      </w:r>
      <w:r w:rsidR="00CB7258">
        <w:rPr>
          <w:i/>
          <w:iCs/>
        </w:rPr>
        <w:t>el</w:t>
      </w:r>
      <w:r w:rsidRPr="0011163B">
        <w:rPr>
          <w:i/>
          <w:iCs/>
        </w:rPr>
        <w:t xml:space="preserve"> análisis</w:t>
      </w:r>
      <w:r>
        <w:t xml:space="preserve">. ¿Cómo? En primer lugar, el </w:t>
      </w:r>
      <w:proofErr w:type="spellStart"/>
      <w:r w:rsidR="00057BF4" w:rsidRPr="00057BF4">
        <w:rPr>
          <w:i/>
        </w:rPr>
        <w:t>bhikkhu</w:t>
      </w:r>
      <w:proofErr w:type="spellEnd"/>
      <w:r>
        <w:t xml:space="preserve"> </w:t>
      </w:r>
      <w:r w:rsidR="00CB7258">
        <w:t xml:space="preserve">deberá </w:t>
      </w:r>
      <w:r>
        <w:t xml:space="preserve">llevar a cabo todas las instrucciones </w:t>
      </w:r>
      <w:r w:rsidR="00CB7258">
        <w:t>expuestas</w:t>
      </w:r>
      <w:r>
        <w:t xml:space="preserve"> para </w:t>
      </w:r>
      <w:r w:rsidR="00AB1F22">
        <w:t xml:space="preserve">los </w:t>
      </w:r>
      <w:r>
        <w:t xml:space="preserve">treinta y dos </w:t>
      </w:r>
      <w:r w:rsidR="00AB1F22">
        <w:t>aspectos de</w:t>
      </w:r>
      <w:r>
        <w:t xml:space="preserve"> la descripción de la atención plena ocupada </w:t>
      </w:r>
      <w:r w:rsidR="00AB1F22">
        <w:t xml:space="preserve">en </w:t>
      </w:r>
      <w:r>
        <w:t xml:space="preserve">el cuerpo como </w:t>
      </w:r>
      <w:r w:rsidR="00AB1F22">
        <w:t xml:space="preserve">objeto </w:t>
      </w:r>
      <w:r>
        <w:t xml:space="preserve">de meditación (VIII.48-78), </w:t>
      </w:r>
      <w:r w:rsidR="00AB1F22">
        <w:t>es decir</w:t>
      </w:r>
      <w:r>
        <w:t>, la habilidad séptuple en el aprendizaje y la habilidad décuple para prestar atención, y debe</w:t>
      </w:r>
      <w:r w:rsidR="00297521">
        <w:t>rá</w:t>
      </w:r>
      <w:r>
        <w:t xml:space="preserve"> comenzar con</w:t>
      </w:r>
      <w:r w:rsidR="00297521" w:rsidRPr="00297521">
        <w:t xml:space="preserve"> </w:t>
      </w:r>
      <w:r w:rsidR="00297521">
        <w:t>la recitación verbal, en orden progresivo e inverso,</w:t>
      </w:r>
    </w:p>
    <w:p w14:paraId="7EF1BD5B" w14:textId="320935D2" w:rsidR="00EF4BEE" w:rsidRDefault="00EF4BEE">
      <w:pPr>
        <w:tabs>
          <w:tab w:val="clear" w:pos="425"/>
        </w:tabs>
        <w:spacing w:after="160"/>
      </w:pPr>
      <w:r>
        <w:br w:type="page"/>
      </w:r>
    </w:p>
    <w:p w14:paraId="587845A7" w14:textId="1B2342DF" w:rsidR="00E56AFA" w:rsidRDefault="00E56AFA" w:rsidP="00E56AFA">
      <w:r>
        <w:lastRenderedPageBreak/>
        <w:t xml:space="preserve">de la </w:t>
      </w:r>
      <w:proofErr w:type="spellStart"/>
      <w:r>
        <w:t>pentada</w:t>
      </w:r>
      <w:proofErr w:type="spellEnd"/>
      <w:r>
        <w:t xml:space="preserve"> de piel y así sucesivamente, sin omitir nada de ella. La única diferencia </w:t>
      </w:r>
      <w:r w:rsidR="00297521">
        <w:t>será é</w:t>
      </w:r>
      <w:r>
        <w:t xml:space="preserve">sta: allí, después de prestar atención a los </w:t>
      </w:r>
      <w:r w:rsidR="00297521">
        <w:t>cabellos</w:t>
      </w:r>
      <w:r>
        <w:t xml:space="preserve"> de la cabeza, etc., en cuanto a</w:t>
      </w:r>
      <w:r w:rsidR="00297521">
        <w:t>l</w:t>
      </w:r>
      <w:r>
        <w:t xml:space="preserve"> color, </w:t>
      </w:r>
      <w:r w:rsidR="00297521">
        <w:t xml:space="preserve">la </w:t>
      </w:r>
      <w:r>
        <w:t xml:space="preserve">forma, </w:t>
      </w:r>
      <w:r w:rsidR="00297521">
        <w:t xml:space="preserve">la </w:t>
      </w:r>
      <w:r>
        <w:t xml:space="preserve">dirección, </w:t>
      </w:r>
      <w:r w:rsidR="00297521">
        <w:t xml:space="preserve">la </w:t>
      </w:r>
      <w:r>
        <w:t xml:space="preserve">ubicación y </w:t>
      </w:r>
      <w:r w:rsidR="00297521">
        <w:t xml:space="preserve">la </w:t>
      </w:r>
      <w:r>
        <w:t xml:space="preserve">delimitación, la mente </w:t>
      </w:r>
      <w:r w:rsidR="00297521">
        <w:t xml:space="preserve">tendrá </w:t>
      </w:r>
      <w:r>
        <w:t>que fijarse por medio de la repulsi</w:t>
      </w:r>
      <w:r w:rsidR="00191F53">
        <w:t>vidad</w:t>
      </w:r>
      <w:r>
        <w:t xml:space="preserve"> (VIII.83), </w:t>
      </w:r>
      <w:r w:rsidR="00191F53">
        <w:t>no obstante,</w:t>
      </w:r>
      <w:r>
        <w:t xml:space="preserve"> aquí se ha</w:t>
      </w:r>
      <w:r w:rsidR="00600200">
        <w:t>rá</w:t>
      </w:r>
      <w:r>
        <w:t xml:space="preserve"> por medio de </w:t>
      </w:r>
      <w:r w:rsidR="00191F53">
        <w:t xml:space="preserve">los </w:t>
      </w:r>
      <w:r>
        <w:t xml:space="preserve">elementos. Por lo tanto, al final de cada parte, después de prestar atención a los </w:t>
      </w:r>
      <w:r w:rsidR="00600200">
        <w:t>cabellos</w:t>
      </w:r>
      <w:r>
        <w:t xml:space="preserve"> de la cabeza, etc., </w:t>
      </w:r>
      <w:r w:rsidR="00600200">
        <w:t xml:space="preserve">de </w:t>
      </w:r>
      <w:r>
        <w:t>cada uno en las cinco formas que comienzan con el color</w:t>
      </w:r>
      <w:r w:rsidR="00600200">
        <w:t>, etc.</w:t>
      </w:r>
      <w:r>
        <w:t xml:space="preserve"> (VIII.83), se debe</w:t>
      </w:r>
      <w:r w:rsidR="00600200">
        <w:t>rá</w:t>
      </w:r>
      <w:r>
        <w:t xml:space="preserve"> prestar atención de la siguiente manera.</w:t>
      </w:r>
    </w:p>
    <w:p w14:paraId="1914F435" w14:textId="5AB9BE5C" w:rsidR="00E56AFA" w:rsidRDefault="00E56AFA" w:rsidP="00E56AFA">
      <w:r>
        <w:t xml:space="preserve">48. </w:t>
      </w:r>
      <w:r w:rsidR="0088150C">
        <w:tab/>
      </w:r>
      <w:r>
        <w:t xml:space="preserve">Estas cosas llamadas </w:t>
      </w:r>
      <w:r w:rsidR="00600200">
        <w:rPr>
          <w:i/>
          <w:iCs/>
        </w:rPr>
        <w:t>cabellos</w:t>
      </w:r>
      <w:r w:rsidRPr="0011163B">
        <w:rPr>
          <w:i/>
          <w:iCs/>
        </w:rPr>
        <w:t xml:space="preserve"> de la cabeza</w:t>
      </w:r>
      <w:r>
        <w:t xml:space="preserve"> crecen en la piel interna que envuelve el cráneo. Aquí, tal como las hierbas </w:t>
      </w:r>
      <w:proofErr w:type="spellStart"/>
      <w:r w:rsidRPr="0011163B">
        <w:rPr>
          <w:i/>
          <w:iCs/>
        </w:rPr>
        <w:t>kuṇṭha</w:t>
      </w:r>
      <w:proofErr w:type="spellEnd"/>
      <w:r>
        <w:t xml:space="preserve"> </w:t>
      </w:r>
      <w:r w:rsidR="00191F53">
        <w:t xml:space="preserve">que </w:t>
      </w:r>
      <w:r>
        <w:t xml:space="preserve">crecen en la cima de un hormiguero, la parte superior del montículo de termitas no sabe, “Las hierbas </w:t>
      </w:r>
      <w:proofErr w:type="spellStart"/>
      <w:r w:rsidRPr="0011163B">
        <w:rPr>
          <w:i/>
          <w:iCs/>
        </w:rPr>
        <w:t>kuṇṭha</w:t>
      </w:r>
      <w:proofErr w:type="spellEnd"/>
      <w:r>
        <w:t xml:space="preserve"> están creciendo sobre mí”, ni las hierbas </w:t>
      </w:r>
      <w:proofErr w:type="spellStart"/>
      <w:r w:rsidRPr="0011163B">
        <w:rPr>
          <w:i/>
          <w:iCs/>
        </w:rPr>
        <w:t>kuṇṭha</w:t>
      </w:r>
      <w:proofErr w:type="spellEnd"/>
      <w:r>
        <w:t xml:space="preserve"> saben, “Estamos creciendo en la parte superior de un montículo de termitas”, así también, la piel interior que cubre el cráneo no sabe, “Los </w:t>
      </w:r>
      <w:r w:rsidR="00244CCB">
        <w:t>cabellos</w:t>
      </w:r>
      <w:r>
        <w:t xml:space="preserve"> de la cabeza crecen en mí”, ni los </w:t>
      </w:r>
      <w:r w:rsidR="00E86B4A">
        <w:t xml:space="preserve">cabellos </w:t>
      </w:r>
      <w:r>
        <w:t xml:space="preserve">de la cabeza saben, “Crecemos </w:t>
      </w:r>
      <w:r w:rsidR="00E86B4A">
        <w:t xml:space="preserve">sobre </w:t>
      </w:r>
      <w:r>
        <w:t xml:space="preserve">la piel interior que envuelve un cráneo”. Estas cosas están desprovistas de preocupación </w:t>
      </w:r>
      <w:r w:rsidR="002129BA">
        <w:t>y examinación</w:t>
      </w:r>
      <w:r w:rsidR="0011354C">
        <w:t xml:space="preserve"> </w:t>
      </w:r>
      <w:r>
        <w:t xml:space="preserve">mutua. Así que </w:t>
      </w:r>
      <w:r w:rsidR="008E1D35">
        <w:t xml:space="preserve">a lo que </w:t>
      </w:r>
      <w:r>
        <w:t>llam</w:t>
      </w:r>
      <w:r w:rsidR="00E86B4A">
        <w:t>ar</w:t>
      </w:r>
      <w:r w:rsidR="008E1D35">
        <w:t>emos</w:t>
      </w:r>
      <w:r>
        <w:t xml:space="preserve"> </w:t>
      </w:r>
      <w:r w:rsidR="0011354C">
        <w:rPr>
          <w:i/>
          <w:iCs/>
        </w:rPr>
        <w:t>cabellos</w:t>
      </w:r>
      <w:r w:rsidRPr="001D6401">
        <w:rPr>
          <w:i/>
          <w:iCs/>
        </w:rPr>
        <w:t xml:space="preserve"> de la cabeza</w:t>
      </w:r>
      <w:r>
        <w:t xml:space="preserve"> </w:t>
      </w:r>
      <w:r w:rsidR="008E1D35">
        <w:t xml:space="preserve">serán sólo </w:t>
      </w:r>
      <w:r>
        <w:t xml:space="preserve">un componente particular de este cuerpo, sin pensamiento, moralmente indeterminado, vacío, no un ser vivo, </w:t>
      </w:r>
      <w:r w:rsidR="008E1D35">
        <w:t xml:space="preserve">sólo </w:t>
      </w:r>
      <w:r w:rsidR="00BE3EC3">
        <w:t xml:space="preserve">el </w:t>
      </w:r>
      <w:r>
        <w:t>elemento tierra</w:t>
      </w:r>
      <w:r w:rsidR="00BE3EC3" w:rsidRPr="00BE3EC3">
        <w:t xml:space="preserve"> </w:t>
      </w:r>
      <w:r w:rsidR="00195DEB">
        <w:t>solidificado</w:t>
      </w:r>
      <w:r>
        <w:t>.</w:t>
      </w:r>
    </w:p>
    <w:p w14:paraId="53E9553E" w14:textId="7A583FA6" w:rsidR="00E56AFA" w:rsidRDefault="00E56AFA" w:rsidP="00E56AFA">
      <w:r>
        <w:t xml:space="preserve">49. </w:t>
      </w:r>
      <w:r w:rsidR="0088150C">
        <w:tab/>
      </w:r>
      <w:r>
        <w:t xml:space="preserve">El </w:t>
      </w:r>
      <w:r w:rsidRPr="0011163B">
        <w:rPr>
          <w:i/>
          <w:iCs/>
        </w:rPr>
        <w:t>vello corporal</w:t>
      </w:r>
      <w:r>
        <w:t xml:space="preserve"> crece en la piel interna que envuelve el cuerpo. </w:t>
      </w:r>
      <w:r w:rsidR="00381593">
        <w:t>Aquí</w:t>
      </w:r>
      <w:r>
        <w:t xml:space="preserve">, al igual que, cuando las hierbas </w:t>
      </w:r>
      <w:proofErr w:type="spellStart"/>
      <w:r w:rsidRPr="001D6401">
        <w:rPr>
          <w:i/>
          <w:iCs/>
        </w:rPr>
        <w:t>dabba</w:t>
      </w:r>
      <w:proofErr w:type="spellEnd"/>
      <w:r>
        <w:t xml:space="preserve"> crecen en la plaza de un pueblo vacío, la plaza </w:t>
      </w:r>
      <w:r w:rsidR="00381593">
        <w:t xml:space="preserve">de </w:t>
      </w:r>
      <w:r>
        <w:t xml:space="preserve">la aldea vacía no sabe, “Las hierbas </w:t>
      </w:r>
      <w:proofErr w:type="spellStart"/>
      <w:r w:rsidRPr="001D6401">
        <w:rPr>
          <w:i/>
          <w:iCs/>
        </w:rPr>
        <w:t>dabba</w:t>
      </w:r>
      <w:proofErr w:type="spellEnd"/>
      <w:r>
        <w:t xml:space="preserve"> crecen en mí”, ni las hierbas </w:t>
      </w:r>
      <w:proofErr w:type="spellStart"/>
      <w:r w:rsidRPr="001D6401">
        <w:rPr>
          <w:i/>
          <w:iCs/>
        </w:rPr>
        <w:t>dabba</w:t>
      </w:r>
      <w:proofErr w:type="spellEnd"/>
      <w:r>
        <w:t xml:space="preserve"> saben, “Crecemos en la plaza en un pueblo vacío”. así también, la piel interna que envuelv</w:t>
      </w:r>
      <w:r w:rsidR="00626735">
        <w:t>a</w:t>
      </w:r>
      <w:r>
        <w:t xml:space="preserve"> el cuerpo no sab</w:t>
      </w:r>
      <w:r w:rsidR="00626735">
        <w:t>rá</w:t>
      </w:r>
      <w:r>
        <w:t>, “El vello corporal crece en mí”, ni el vello corporal sab</w:t>
      </w:r>
      <w:r w:rsidR="00626735">
        <w:t>rá</w:t>
      </w:r>
      <w:r>
        <w:t xml:space="preserve">, “Crecemos en la piel interna que envuelve un cuerpo”. </w:t>
      </w:r>
      <w:r w:rsidR="00BE3EC3">
        <w:t>E</w:t>
      </w:r>
      <w:r>
        <w:t xml:space="preserve">stas cosas están desprovistas de preocupación </w:t>
      </w:r>
      <w:r w:rsidR="00BE3EC3">
        <w:t>e inspección</w:t>
      </w:r>
      <w:r>
        <w:t xml:space="preserve"> mutua. Así que </w:t>
      </w:r>
      <w:r w:rsidR="00301E2B">
        <w:t xml:space="preserve">a lo que </w:t>
      </w:r>
      <w:r>
        <w:t>llam</w:t>
      </w:r>
      <w:r w:rsidR="00626735">
        <w:t>ar</w:t>
      </w:r>
      <w:r w:rsidR="00301E2B">
        <w:t>emos</w:t>
      </w:r>
      <w:r>
        <w:t xml:space="preserve"> </w:t>
      </w:r>
      <w:r w:rsidRPr="001D6401">
        <w:rPr>
          <w:i/>
          <w:iCs/>
        </w:rPr>
        <w:t>vellos corporales</w:t>
      </w:r>
      <w:r>
        <w:t xml:space="preserve"> </w:t>
      </w:r>
      <w:r w:rsidR="00301E2B">
        <w:t xml:space="preserve">será sólo </w:t>
      </w:r>
      <w:r>
        <w:t xml:space="preserve">un componente particular de este cuerpo, sin pensamiento, indeterminado, vacío, no un ser vivo, </w:t>
      </w:r>
      <w:r w:rsidR="00563BB9">
        <w:t xml:space="preserve">sólo </w:t>
      </w:r>
      <w:r w:rsidR="008E1D35">
        <w:t xml:space="preserve">el </w:t>
      </w:r>
      <w:r>
        <w:t>elemento tierra</w:t>
      </w:r>
      <w:r w:rsidR="00BE3EC3" w:rsidRPr="00BE3EC3">
        <w:t xml:space="preserve"> </w:t>
      </w:r>
      <w:r w:rsidR="00195DEB">
        <w:t>solidificado</w:t>
      </w:r>
      <w:r>
        <w:t>.</w:t>
      </w:r>
    </w:p>
    <w:p w14:paraId="39780A02" w14:textId="34170E44" w:rsidR="00E56AFA" w:rsidRDefault="00E56AFA" w:rsidP="00E56AFA">
      <w:r>
        <w:t xml:space="preserve">50. </w:t>
      </w:r>
      <w:r w:rsidR="0088150C">
        <w:tab/>
      </w:r>
      <w:r>
        <w:t xml:space="preserve">Las </w:t>
      </w:r>
      <w:r w:rsidRPr="001D6401">
        <w:rPr>
          <w:i/>
          <w:iCs/>
        </w:rPr>
        <w:t>uñas</w:t>
      </w:r>
      <w:r>
        <w:t xml:space="preserve"> crecen en las puntas de los dedos de </w:t>
      </w:r>
      <w:r w:rsidR="00563BB9">
        <w:t xml:space="preserve">las </w:t>
      </w:r>
      <w:r>
        <w:t xml:space="preserve">manos y </w:t>
      </w:r>
      <w:r w:rsidR="00563BB9">
        <w:t xml:space="preserve">de los </w:t>
      </w:r>
      <w:r>
        <w:t xml:space="preserve">pies. </w:t>
      </w:r>
      <w:r w:rsidR="00563BB9">
        <w:t>Aquí</w:t>
      </w:r>
      <w:r>
        <w:t>, al igual que cuando los niños juegan a perforar los granos del frut</w:t>
      </w:r>
      <w:r w:rsidR="0018255A">
        <w:t>o</w:t>
      </w:r>
      <w:r>
        <w:t xml:space="preserve"> </w:t>
      </w:r>
      <w:proofErr w:type="spellStart"/>
      <w:r w:rsidRPr="001D6401">
        <w:rPr>
          <w:i/>
          <w:iCs/>
        </w:rPr>
        <w:t>madhuka</w:t>
      </w:r>
      <w:proofErr w:type="spellEnd"/>
      <w:r>
        <w:t xml:space="preserve"> con palos, </w:t>
      </w:r>
      <w:r w:rsidR="00563BB9">
        <w:t xml:space="preserve">y </w:t>
      </w:r>
      <w:r>
        <w:t xml:space="preserve">los palos [354] no saben: "Nos ponen </w:t>
      </w:r>
      <w:r w:rsidR="00563BB9">
        <w:t xml:space="preserve">frente </w:t>
      </w:r>
      <w:r w:rsidR="0018255A">
        <w:t xml:space="preserve">a </w:t>
      </w:r>
      <w:r>
        <w:t>los granos del frut</w:t>
      </w:r>
      <w:r w:rsidR="0018255A">
        <w:t>o</w:t>
      </w:r>
      <w:r>
        <w:t xml:space="preserve"> </w:t>
      </w:r>
      <w:proofErr w:type="spellStart"/>
      <w:r w:rsidRPr="001D6401">
        <w:rPr>
          <w:i/>
          <w:iCs/>
        </w:rPr>
        <w:t>madhuka</w:t>
      </w:r>
      <w:proofErr w:type="spellEnd"/>
      <w:r>
        <w:t>", ni los granos del frut</w:t>
      </w:r>
      <w:r w:rsidR="0018255A">
        <w:t>o</w:t>
      </w:r>
      <w:r>
        <w:t xml:space="preserve"> </w:t>
      </w:r>
      <w:proofErr w:type="spellStart"/>
      <w:r w:rsidRPr="001D6401">
        <w:rPr>
          <w:i/>
          <w:iCs/>
        </w:rPr>
        <w:t>madhuka</w:t>
      </w:r>
      <w:proofErr w:type="spellEnd"/>
      <w:r>
        <w:t xml:space="preserve"> saben: "</w:t>
      </w:r>
      <w:r w:rsidR="002B4C9C">
        <w:t xml:space="preserve">Nos </w:t>
      </w:r>
      <w:r>
        <w:t xml:space="preserve">ponen </w:t>
      </w:r>
      <w:r w:rsidR="002B4C9C">
        <w:t xml:space="preserve">los </w:t>
      </w:r>
      <w:r>
        <w:t>palos</w:t>
      </w:r>
      <w:r w:rsidR="0018255A">
        <w:t xml:space="preserve"> frente a nosotros</w:t>
      </w:r>
      <w:r>
        <w:t xml:space="preserve">”, así también, los dedos de </w:t>
      </w:r>
      <w:r w:rsidR="002B4C9C">
        <w:t xml:space="preserve">las </w:t>
      </w:r>
      <w:r>
        <w:t xml:space="preserve">manos y </w:t>
      </w:r>
      <w:r w:rsidR="002B4C9C">
        <w:t xml:space="preserve">de los </w:t>
      </w:r>
      <w:r>
        <w:t>pies no sab</w:t>
      </w:r>
      <w:r w:rsidR="00062989">
        <w:t>rá</w:t>
      </w:r>
      <w:r>
        <w:t>n, “Las uñas crecen en nuestras puntas”, ni las uñas sab</w:t>
      </w:r>
      <w:r w:rsidR="00062989">
        <w:t>rán</w:t>
      </w:r>
      <w:r>
        <w:t xml:space="preserve">, “Crecemos en las puntas de los dedos de </w:t>
      </w:r>
      <w:r w:rsidR="002B4C9C">
        <w:t xml:space="preserve">las </w:t>
      </w:r>
      <w:r>
        <w:t xml:space="preserve">manos y </w:t>
      </w:r>
      <w:r w:rsidR="002B4C9C">
        <w:t xml:space="preserve">de los </w:t>
      </w:r>
      <w:r>
        <w:t xml:space="preserve">pies”. Estas cosas están desprovistas de preocupación </w:t>
      </w:r>
      <w:r w:rsidR="002B4C9C">
        <w:t>e inspección</w:t>
      </w:r>
      <w:r>
        <w:t xml:space="preserve"> mutua. Entonces </w:t>
      </w:r>
      <w:r w:rsidR="00B44A1D">
        <w:t xml:space="preserve">a </w:t>
      </w:r>
      <w:r>
        <w:t>lo que llam</w:t>
      </w:r>
      <w:r w:rsidR="00215AF6">
        <w:t>are</w:t>
      </w:r>
      <w:r w:rsidR="000E20C3">
        <w:t>mos</w:t>
      </w:r>
      <w:r>
        <w:t xml:space="preserve"> </w:t>
      </w:r>
      <w:r w:rsidR="001D6401" w:rsidRPr="001D6401">
        <w:rPr>
          <w:i/>
          <w:iCs/>
        </w:rPr>
        <w:t>uñas</w:t>
      </w:r>
      <w:r>
        <w:t xml:space="preserve"> </w:t>
      </w:r>
      <w:r w:rsidR="00062989">
        <w:t xml:space="preserve">serán sólo </w:t>
      </w:r>
      <w:r>
        <w:t xml:space="preserve">un componente particular de este cuerpo, sin pensamiento, indeterminado, vacío, no un ser vivo, </w:t>
      </w:r>
      <w:r w:rsidR="00B44A1D">
        <w:t xml:space="preserve">sólo el </w:t>
      </w:r>
      <w:r>
        <w:t>elemento tierra</w:t>
      </w:r>
      <w:r w:rsidR="00B44A1D">
        <w:t xml:space="preserve"> </w:t>
      </w:r>
      <w:r w:rsidR="00062989">
        <w:t>solidificado</w:t>
      </w:r>
      <w:r>
        <w:t>.</w:t>
      </w:r>
    </w:p>
    <w:p w14:paraId="4D24CA70" w14:textId="242B2F7F" w:rsidR="00E56AFA" w:rsidRDefault="00E56AFA" w:rsidP="00E56AFA">
      <w:r>
        <w:t xml:space="preserve">51. </w:t>
      </w:r>
      <w:r w:rsidR="0088150C">
        <w:tab/>
      </w:r>
      <w:r>
        <w:t xml:space="preserve">Los </w:t>
      </w:r>
      <w:r w:rsidRPr="001D6401">
        <w:rPr>
          <w:i/>
          <w:iCs/>
        </w:rPr>
        <w:t>dientes</w:t>
      </w:r>
      <w:r>
        <w:t xml:space="preserve"> crecen en los huesos de la mandíbula. </w:t>
      </w:r>
      <w:r w:rsidR="00FB7AAC">
        <w:t>Aquí</w:t>
      </w:r>
      <w:r>
        <w:t>, así como los albañiles colocan postes en basamentos de piedra y los fijan con algún tipo de cemento,</w:t>
      </w:r>
      <w:r w:rsidR="0018490D">
        <w:rPr>
          <w:vertAlign w:val="superscript"/>
        </w:rPr>
        <w:t>26</w:t>
      </w:r>
      <w:r>
        <w:t xml:space="preserve"> </w:t>
      </w:r>
      <w:r w:rsidR="00301E2B">
        <w:t xml:space="preserve">y </w:t>
      </w:r>
      <w:r>
        <w:t xml:space="preserve">los basamentos no saben: “Los postes están colocados </w:t>
      </w:r>
      <w:r w:rsidR="00301E2B">
        <w:t xml:space="preserve">sobre </w:t>
      </w:r>
      <w:r>
        <w:t xml:space="preserve">nosotros”, ni los postes saben: “Nosotros estamos </w:t>
      </w:r>
      <w:r w:rsidR="00301E2B">
        <w:t xml:space="preserve">siendo </w:t>
      </w:r>
      <w:r>
        <w:t xml:space="preserve">colocados </w:t>
      </w:r>
      <w:r w:rsidR="00301E2B">
        <w:t xml:space="preserve">sobre </w:t>
      </w:r>
      <w:r>
        <w:t>basamentos”</w:t>
      </w:r>
      <w:r w:rsidR="00FB7AAC">
        <w:t>,</w:t>
      </w:r>
      <w:r>
        <w:t xml:space="preserve"> así también, las mandíbulas no </w:t>
      </w:r>
      <w:r w:rsidR="00215AF6">
        <w:t>sabrán</w:t>
      </w:r>
      <w:r>
        <w:t xml:space="preserve">, “Los dientes crecen en nosotros”, ni los dientes </w:t>
      </w:r>
      <w:r w:rsidR="00215AF6">
        <w:t>sabrán</w:t>
      </w:r>
      <w:r>
        <w:t xml:space="preserve">, “Nosotros crecemos </w:t>
      </w:r>
      <w:r w:rsidR="00301E2B">
        <w:t xml:space="preserve">de </w:t>
      </w:r>
      <w:r>
        <w:t xml:space="preserve">las mandíbulas”. Estas cosas están desprovistas de preocupación </w:t>
      </w:r>
      <w:r w:rsidR="00301E2B">
        <w:t xml:space="preserve">e inspección </w:t>
      </w:r>
      <w:r>
        <w:t xml:space="preserve">mutua. Así que </w:t>
      </w:r>
      <w:r w:rsidR="00301E2B">
        <w:t xml:space="preserve">a </w:t>
      </w:r>
      <w:r>
        <w:t>lo que llam</w:t>
      </w:r>
      <w:r w:rsidR="00215AF6">
        <w:t>ar</w:t>
      </w:r>
      <w:r w:rsidR="00301E2B">
        <w:t>e</w:t>
      </w:r>
      <w:r>
        <w:t xml:space="preserve">mos </w:t>
      </w:r>
      <w:r w:rsidRPr="001D6401">
        <w:rPr>
          <w:i/>
          <w:iCs/>
        </w:rPr>
        <w:t>dientes</w:t>
      </w:r>
      <w:r>
        <w:t xml:space="preserve"> s</w:t>
      </w:r>
      <w:r w:rsidR="00215AF6">
        <w:t>erá</w:t>
      </w:r>
      <w:r>
        <w:t xml:space="preserve">n </w:t>
      </w:r>
      <w:r w:rsidR="00301E2B">
        <w:t xml:space="preserve">sólo </w:t>
      </w:r>
      <w:r>
        <w:t xml:space="preserve">un componente particular de este cuerpo, sin pensamiento, indeterminado, vacío, no un ser vivo, </w:t>
      </w:r>
      <w:r w:rsidR="00301E2B">
        <w:t xml:space="preserve">sólo el </w:t>
      </w:r>
      <w:r>
        <w:t>elemento tierra</w:t>
      </w:r>
      <w:r w:rsidR="00301E2B">
        <w:t xml:space="preserve"> </w:t>
      </w:r>
      <w:r w:rsidR="000E20C3">
        <w:t>solidificado</w:t>
      </w:r>
      <w:r>
        <w:t>.</w:t>
      </w:r>
    </w:p>
    <w:p w14:paraId="1777111E" w14:textId="2FB3C756" w:rsidR="00E56AFA" w:rsidRDefault="00E56AFA" w:rsidP="00E56AFA">
      <w:r>
        <w:t xml:space="preserve">52. </w:t>
      </w:r>
      <w:r w:rsidR="0088150C">
        <w:tab/>
      </w:r>
      <w:r>
        <w:t xml:space="preserve">La </w:t>
      </w:r>
      <w:r w:rsidRPr="00E55F41">
        <w:rPr>
          <w:i/>
          <w:iCs/>
        </w:rPr>
        <w:t>piel</w:t>
      </w:r>
      <w:r>
        <w:t xml:space="preserve"> se encuentra cubriendo todo el cuerpo. </w:t>
      </w:r>
      <w:r w:rsidR="00A13C78">
        <w:t>Aquí</w:t>
      </w:r>
      <w:r>
        <w:t xml:space="preserve">, al igual que un gran laúd cubierto con </w:t>
      </w:r>
      <w:r w:rsidR="00A13C78">
        <w:t xml:space="preserve">una </w:t>
      </w:r>
      <w:r>
        <w:t>piel de buey húmeda, el laúd no sab</w:t>
      </w:r>
      <w:r w:rsidR="000E20C3">
        <w:t>ría</w:t>
      </w:r>
      <w:r>
        <w:t xml:space="preserve">: "Estoy cubierto con </w:t>
      </w:r>
      <w:r w:rsidR="00A13C78">
        <w:t xml:space="preserve">una </w:t>
      </w:r>
      <w:r>
        <w:t xml:space="preserve">piel de buey húmeda", ni la piel de buey húmeda </w:t>
      </w:r>
      <w:r w:rsidR="00FB5926">
        <w:t>sabría</w:t>
      </w:r>
      <w:r>
        <w:t xml:space="preserve">: "Un laúd está </w:t>
      </w:r>
      <w:r w:rsidR="00A13C78">
        <w:t xml:space="preserve">siendo </w:t>
      </w:r>
      <w:r>
        <w:t>cubierto por mí</w:t>
      </w:r>
      <w:proofErr w:type="gramStart"/>
      <w:r>
        <w:t>"</w:t>
      </w:r>
      <w:r w:rsidR="00FB5926">
        <w:t>,</w:t>
      </w:r>
      <w:r>
        <w:t xml:space="preserve">  así</w:t>
      </w:r>
      <w:proofErr w:type="gramEnd"/>
      <w:r>
        <w:t xml:space="preserve"> </w:t>
      </w:r>
    </w:p>
    <w:p w14:paraId="4DD86AFD" w14:textId="64BA0159" w:rsidR="00E56AFA" w:rsidRPr="0088150C" w:rsidRDefault="00E56AFA" w:rsidP="0088150C">
      <w:pPr>
        <w:pStyle w:val="PiedepginaLegal"/>
        <w:rPr>
          <w:u w:val="single"/>
        </w:rPr>
      </w:pPr>
      <w:r w:rsidRPr="0088150C">
        <w:rPr>
          <w:u w:val="single"/>
        </w:rPr>
        <w:t xml:space="preserve">                                                                                                                                                       .</w:t>
      </w:r>
    </w:p>
    <w:p w14:paraId="6673ECC2" w14:textId="6D70DAA4" w:rsidR="00E56AFA" w:rsidRPr="008E762A" w:rsidRDefault="00E56AFA" w:rsidP="0088150C">
      <w:pPr>
        <w:pStyle w:val="PiedepginaLegal"/>
      </w:pPr>
      <w:r>
        <w:t xml:space="preserve">26. </w:t>
      </w:r>
      <w:r w:rsidR="0018490D">
        <w:tab/>
      </w:r>
      <w:proofErr w:type="spellStart"/>
      <w:r w:rsidRPr="00574017">
        <w:rPr>
          <w:i/>
          <w:iCs/>
        </w:rPr>
        <w:t>Silesa</w:t>
      </w:r>
      <w:proofErr w:type="spellEnd"/>
      <w:r>
        <w:t xml:space="preserve">—“cemento”: no en este sentido en </w:t>
      </w:r>
      <w:r w:rsidR="00C4540B">
        <w:t xml:space="preserve">el </w:t>
      </w:r>
      <w:r>
        <w:t xml:space="preserve">PED; M-a I 37 </w:t>
      </w:r>
      <w:proofErr w:type="spellStart"/>
      <w:r w:rsidRPr="00C4540B">
        <w:rPr>
          <w:i/>
          <w:iCs/>
        </w:rPr>
        <w:t>saṃsilesa</w:t>
      </w:r>
      <w:proofErr w:type="spellEnd"/>
      <w:r>
        <w:t>.</w:t>
      </w:r>
    </w:p>
    <w:p w14:paraId="36ABE264" w14:textId="77777777" w:rsidR="00305539" w:rsidRDefault="00305539" w:rsidP="00A0258B"/>
    <w:p w14:paraId="045D51F1" w14:textId="0F8E4D79" w:rsidR="00305539" w:rsidRDefault="00FB5926" w:rsidP="00305539">
      <w:r>
        <w:t xml:space="preserve">también, el </w:t>
      </w:r>
      <w:r w:rsidR="00A13C78">
        <w:t xml:space="preserve">cuerpo no sabrá, “estoy cubierto </w:t>
      </w:r>
      <w:r>
        <w:t>de</w:t>
      </w:r>
      <w:r w:rsidR="00305539">
        <w:t xml:space="preserve"> piel”, ni la piel sab</w:t>
      </w:r>
      <w:r w:rsidR="00A13C78">
        <w:t>rá</w:t>
      </w:r>
      <w:r w:rsidR="00305539">
        <w:t>: “</w:t>
      </w:r>
      <w:r>
        <w:t>u</w:t>
      </w:r>
      <w:r w:rsidR="00305539">
        <w:t xml:space="preserve">n cuerpo está cubierto por mí”. Estas cosas están desprovistas de preocupación </w:t>
      </w:r>
      <w:r w:rsidR="00A13C78">
        <w:t xml:space="preserve">e inspección </w:t>
      </w:r>
      <w:r w:rsidR="00305539">
        <w:t>mutua. Entonces</w:t>
      </w:r>
      <w:r w:rsidR="00A13C78">
        <w:t xml:space="preserve"> a</w:t>
      </w:r>
      <w:r w:rsidR="00305539">
        <w:t xml:space="preserve"> lo que </w:t>
      </w:r>
      <w:r>
        <w:t>llamaremos</w:t>
      </w:r>
      <w:r w:rsidR="00305539">
        <w:t xml:space="preserve"> </w:t>
      </w:r>
      <w:r w:rsidR="00305539" w:rsidRPr="00E55F41">
        <w:rPr>
          <w:i/>
          <w:iCs/>
        </w:rPr>
        <w:t>piel</w:t>
      </w:r>
      <w:r w:rsidR="00305539">
        <w:t xml:space="preserve"> </w:t>
      </w:r>
      <w:r w:rsidR="00F63B7B">
        <w:t xml:space="preserve">será </w:t>
      </w:r>
      <w:r>
        <w:t xml:space="preserve">sólo </w:t>
      </w:r>
      <w:r w:rsidR="00305539">
        <w:t xml:space="preserve">un componente particular de este cuerpo, sin pensamiento, indeterminado, vacío, no un ser vivo, </w:t>
      </w:r>
      <w:r w:rsidR="00F63B7B">
        <w:t xml:space="preserve">sólo el </w:t>
      </w:r>
      <w:r w:rsidR="00305539">
        <w:t>elemento tierra</w:t>
      </w:r>
      <w:r w:rsidR="00F63B7B">
        <w:t xml:space="preserve"> </w:t>
      </w:r>
      <w:r w:rsidR="006E42B2">
        <w:t>solidificado</w:t>
      </w:r>
      <w:r w:rsidR="00305539">
        <w:t>.</w:t>
      </w:r>
    </w:p>
    <w:p w14:paraId="0B1D491F" w14:textId="632C9CD9" w:rsidR="00305539" w:rsidRDefault="00305539" w:rsidP="00305539">
      <w:r>
        <w:t xml:space="preserve">53. </w:t>
      </w:r>
      <w:r>
        <w:tab/>
        <w:t xml:space="preserve">La </w:t>
      </w:r>
      <w:r w:rsidRPr="008E3D0F">
        <w:rPr>
          <w:i/>
          <w:iCs/>
        </w:rPr>
        <w:t>carne</w:t>
      </w:r>
      <w:r>
        <w:t xml:space="preserve"> se encuentra pegada </w:t>
      </w:r>
      <w:r w:rsidR="005F26F1">
        <w:t>a</w:t>
      </w:r>
      <w:r>
        <w:t xml:space="preserve"> la estructura de los huesos. </w:t>
      </w:r>
      <w:r w:rsidR="006E42B2">
        <w:t>Aquí</w:t>
      </w:r>
      <w:r>
        <w:t xml:space="preserve">, así como </w:t>
      </w:r>
      <w:r w:rsidR="006E42B2">
        <w:t xml:space="preserve">en </w:t>
      </w:r>
      <w:r>
        <w:t xml:space="preserve">una pared enlucida con </w:t>
      </w:r>
      <w:r w:rsidR="006E42B2">
        <w:t>arcilla espesa</w:t>
      </w:r>
      <w:r>
        <w:t>, la pared no sab</w:t>
      </w:r>
      <w:r w:rsidR="005F26F1">
        <w:t>ría</w:t>
      </w:r>
      <w:r>
        <w:t>: “Estoy enlucid</w:t>
      </w:r>
      <w:r w:rsidR="006E42B2">
        <w:t>a</w:t>
      </w:r>
      <w:r>
        <w:t xml:space="preserve"> </w:t>
      </w:r>
      <w:r w:rsidR="005F26F1">
        <w:t>de</w:t>
      </w:r>
      <w:r>
        <w:t xml:space="preserve"> arcilla espesa”, ni la arcilla espesa sab</w:t>
      </w:r>
      <w:r w:rsidR="005F26F1">
        <w:t>ría</w:t>
      </w:r>
      <w:r>
        <w:t xml:space="preserve">: “Una pared está enlucida </w:t>
      </w:r>
      <w:r w:rsidR="00C50E4A">
        <w:t>por mí</w:t>
      </w:r>
      <w:r>
        <w:t xml:space="preserve">”, así también, </w:t>
      </w:r>
      <w:r w:rsidR="00C50E4A">
        <w:t xml:space="preserve">la estructura ósea </w:t>
      </w:r>
      <w:r w:rsidR="006E42B2">
        <w:t xml:space="preserve">de un hombre </w:t>
      </w:r>
      <w:r>
        <w:t xml:space="preserve">no </w:t>
      </w:r>
      <w:r w:rsidR="00211013">
        <w:t>sabe</w:t>
      </w:r>
      <w:r>
        <w:t xml:space="preserve">: “Estoy </w:t>
      </w:r>
      <w:r w:rsidR="006E42B2">
        <w:t xml:space="preserve">cubierto </w:t>
      </w:r>
      <w:r>
        <w:t xml:space="preserve">de novecientos pedazos de carne”, ni la carne </w:t>
      </w:r>
      <w:r w:rsidR="00211013">
        <w:t>sabe</w:t>
      </w:r>
      <w:r>
        <w:t xml:space="preserve">: “Una estructura de huesos está </w:t>
      </w:r>
      <w:r w:rsidR="006E42B2">
        <w:t xml:space="preserve">cubierta </w:t>
      </w:r>
      <w:r w:rsidR="00C50E4A">
        <w:t>por</w:t>
      </w:r>
      <w:r w:rsidR="006E42B2">
        <w:t xml:space="preserve"> mí</w:t>
      </w:r>
      <w:r>
        <w:t xml:space="preserve">”. Estas cosas están desprovistas de preocupación </w:t>
      </w:r>
      <w:r w:rsidR="006E42B2">
        <w:t xml:space="preserve">e inspección </w:t>
      </w:r>
      <w:r>
        <w:t xml:space="preserve">mutua. Así que </w:t>
      </w:r>
      <w:r w:rsidR="006E42B2">
        <w:t xml:space="preserve">a </w:t>
      </w:r>
      <w:r>
        <w:t>lo que se llam</w:t>
      </w:r>
      <w:r w:rsidR="0041609D">
        <w:t>ar</w:t>
      </w:r>
      <w:r w:rsidR="006E42B2">
        <w:t>emos</w:t>
      </w:r>
      <w:r>
        <w:t xml:space="preserve"> </w:t>
      </w:r>
      <w:r w:rsidRPr="008E3D0F">
        <w:rPr>
          <w:i/>
          <w:iCs/>
        </w:rPr>
        <w:t>carne</w:t>
      </w:r>
      <w:r>
        <w:t xml:space="preserve"> </w:t>
      </w:r>
      <w:r w:rsidR="006E42B2">
        <w:t>será sólo</w:t>
      </w:r>
      <w:r>
        <w:t xml:space="preserve"> un componente particular de este cuerpo, sin pensamiento, indeterminado, vacío, no un ser vivo, </w:t>
      </w:r>
      <w:r w:rsidR="006E42B2">
        <w:t xml:space="preserve">sólo el </w:t>
      </w:r>
      <w:r>
        <w:t>elemento tierra</w:t>
      </w:r>
      <w:r w:rsidR="006E42B2">
        <w:t xml:space="preserve"> solidificado</w:t>
      </w:r>
      <w:r>
        <w:t>.</w:t>
      </w:r>
    </w:p>
    <w:p w14:paraId="7D8AD112" w14:textId="3B119D92" w:rsidR="00305539" w:rsidRDefault="00305539" w:rsidP="00305539">
      <w:r>
        <w:t xml:space="preserve">54. </w:t>
      </w:r>
      <w:r>
        <w:tab/>
        <w:t xml:space="preserve">Los </w:t>
      </w:r>
      <w:r w:rsidRPr="008E3D0F">
        <w:rPr>
          <w:i/>
          <w:iCs/>
        </w:rPr>
        <w:t>tendones</w:t>
      </w:r>
      <w:r>
        <w:t xml:space="preserve"> se encuentran en el interior del cuerpo uniendo los huesos. </w:t>
      </w:r>
      <w:r w:rsidR="00195DEB">
        <w:t>Aquí</w:t>
      </w:r>
      <w:r>
        <w:t xml:space="preserve">, así como </w:t>
      </w:r>
      <w:r w:rsidR="00D9031D">
        <w:t xml:space="preserve">los </w:t>
      </w:r>
      <w:r>
        <w:t xml:space="preserve">mimbres y </w:t>
      </w:r>
      <w:r w:rsidR="00D9031D">
        <w:t xml:space="preserve">los </w:t>
      </w:r>
      <w:r>
        <w:t xml:space="preserve">palos </w:t>
      </w:r>
      <w:r w:rsidR="00D9031D">
        <w:t xml:space="preserve">están </w:t>
      </w:r>
      <w:r>
        <w:t xml:space="preserve">atados </w:t>
      </w:r>
      <w:r w:rsidR="00D9031D">
        <w:t xml:space="preserve">mediante </w:t>
      </w:r>
      <w:r>
        <w:t xml:space="preserve">enredaderas, </w:t>
      </w:r>
      <w:r w:rsidR="00D9031D">
        <w:t xml:space="preserve">y </w:t>
      </w:r>
      <w:r>
        <w:t xml:space="preserve">los mimbres y palos no </w:t>
      </w:r>
      <w:r w:rsidR="00D9031D">
        <w:t xml:space="preserve">sabrían </w:t>
      </w:r>
      <w:r>
        <w:t xml:space="preserve">[355] "Estamos atados </w:t>
      </w:r>
      <w:r w:rsidR="00D944CA">
        <w:t xml:space="preserve">mediante las </w:t>
      </w:r>
      <w:r>
        <w:t xml:space="preserve">enredaderas", ni las enredaderas </w:t>
      </w:r>
      <w:r w:rsidR="00D9031D">
        <w:t>sabrían</w:t>
      </w:r>
      <w:r>
        <w:t>, "</w:t>
      </w:r>
      <w:r w:rsidR="00D944CA">
        <w:t xml:space="preserve">Los mimbres </w:t>
      </w:r>
      <w:r>
        <w:t xml:space="preserve">y palos están atados </w:t>
      </w:r>
      <w:r w:rsidR="00D9031D">
        <w:t xml:space="preserve">por </w:t>
      </w:r>
      <w:r>
        <w:t>nosotros”</w:t>
      </w:r>
      <w:r w:rsidR="00195DEB">
        <w:t>,</w:t>
      </w:r>
      <w:r>
        <w:t xml:space="preserve"> así también, los huesos no saben, “Estamos unidos </w:t>
      </w:r>
      <w:r w:rsidR="00D944CA">
        <w:t xml:space="preserve">a los </w:t>
      </w:r>
      <w:r>
        <w:t xml:space="preserve">tendones”, ni los tendones saben, “Los huesos están unidos </w:t>
      </w:r>
      <w:r w:rsidR="00D944CA">
        <w:t xml:space="preserve">a </w:t>
      </w:r>
      <w:r>
        <w:t xml:space="preserve">nosotros”. Estas cosas están desprovistas de preocupación </w:t>
      </w:r>
      <w:r w:rsidR="00D944CA">
        <w:t xml:space="preserve">e inspección </w:t>
      </w:r>
      <w:r>
        <w:t xml:space="preserve">mutua. Así que </w:t>
      </w:r>
      <w:r w:rsidR="00235560">
        <w:t xml:space="preserve">a </w:t>
      </w:r>
      <w:r>
        <w:t>lo</w:t>
      </w:r>
      <w:r w:rsidR="00235560">
        <w:t xml:space="preserve"> que</w:t>
      </w:r>
      <w:r>
        <w:t xml:space="preserve"> llama</w:t>
      </w:r>
      <w:r w:rsidR="00235560">
        <w:t>remo</w:t>
      </w:r>
      <w:r>
        <w:t xml:space="preserve">s </w:t>
      </w:r>
      <w:r w:rsidRPr="008E3D0F">
        <w:rPr>
          <w:i/>
          <w:iCs/>
        </w:rPr>
        <w:t>tendones</w:t>
      </w:r>
      <w:r>
        <w:t xml:space="preserve"> </w:t>
      </w:r>
      <w:r w:rsidR="00235560">
        <w:t xml:space="preserve">serán sólo </w:t>
      </w:r>
      <w:r>
        <w:t xml:space="preserve">un componente particular de este cuerpo, sin pensamiento, indeterminado, vacío, no un ser vivo, </w:t>
      </w:r>
      <w:r w:rsidR="00D944CA">
        <w:t>sólo</w:t>
      </w:r>
      <w:r>
        <w:t xml:space="preserve"> </w:t>
      </w:r>
      <w:r w:rsidR="00AE1BD6">
        <w:t xml:space="preserve">el </w:t>
      </w:r>
      <w:r>
        <w:t>elemento tierra</w:t>
      </w:r>
      <w:r w:rsidR="00D944CA">
        <w:t xml:space="preserve"> solidificado</w:t>
      </w:r>
      <w:r>
        <w:t>.</w:t>
      </w:r>
    </w:p>
    <w:p w14:paraId="5183A330" w14:textId="793FFE50" w:rsidR="00305539" w:rsidRDefault="00305539" w:rsidP="00305539">
      <w:r>
        <w:t xml:space="preserve">55. </w:t>
      </w:r>
      <w:r>
        <w:tab/>
        <w:t xml:space="preserve">En cuanto a los </w:t>
      </w:r>
      <w:r w:rsidRPr="008E3D0F">
        <w:rPr>
          <w:i/>
          <w:iCs/>
        </w:rPr>
        <w:t>huesos</w:t>
      </w:r>
      <w:r>
        <w:t>, el hueso del talón se encuentra sosteniendo el hueso del tobillo, el hueso del tobillo sosteniendo la tibia, el hueso de la tibia</w:t>
      </w:r>
      <w:r w:rsidR="00D944CA" w:rsidRPr="00D944CA">
        <w:t xml:space="preserve"> </w:t>
      </w:r>
      <w:r w:rsidR="00D944CA">
        <w:t>sosteniendo</w:t>
      </w:r>
      <w:r>
        <w:t xml:space="preserve"> el hueso del muslo, el hueso del muslo la cadera, el hueso de la cadera la columna vertebral, </w:t>
      </w:r>
      <w:proofErr w:type="gramStart"/>
      <w:r>
        <w:t>el columna vertebral</w:t>
      </w:r>
      <w:proofErr w:type="gramEnd"/>
      <w:r>
        <w:t xml:space="preserve"> el hueso del cuello, y el hueso del cuello se encuentra sosteniendo el hueso del cráneo. El hueso del cráneo descansa sobre el hueso del cuello, el hueso del cuello sobre la columna vertebral, la columna vertebral sobre el hueso de la cadera, el hueso de la cadera sobre el hueso del muslo, el hueso del muslo sobre el hueso de la espinilla, el hueso de la espinilla sobre el hueso del tobillo, el hueso del tobillo </w:t>
      </w:r>
      <w:r w:rsidR="00D944CA">
        <w:t xml:space="preserve">descansa sobre </w:t>
      </w:r>
      <w:r>
        <w:t>el hueso del talón.</w:t>
      </w:r>
    </w:p>
    <w:p w14:paraId="2C685C6D" w14:textId="42F165D2" w:rsidR="00305539" w:rsidRDefault="00305539" w:rsidP="00850FA6">
      <w:r>
        <w:t xml:space="preserve">56. </w:t>
      </w:r>
      <w:r>
        <w:tab/>
        <w:t>Aquí, al igual que cuando se construy</w:t>
      </w:r>
      <w:r w:rsidR="0011580C">
        <w:t>a</w:t>
      </w:r>
      <w:r>
        <w:t xml:space="preserve">n ladrillos, madera o bloques de estiércol de vaca seco, los de abajo no </w:t>
      </w:r>
      <w:r w:rsidR="00037147">
        <w:t>sabrían</w:t>
      </w:r>
      <w:r>
        <w:t xml:space="preserve">: "Cada uno de nosotros está sosteniendo a los de arriba", ni los de arriba </w:t>
      </w:r>
      <w:r w:rsidR="00037147">
        <w:t>sabrían</w:t>
      </w:r>
      <w:r>
        <w:t>: "Cada uno de nosotros descansa</w:t>
      </w:r>
      <w:r w:rsidR="00B7274E">
        <w:t>mos</w:t>
      </w:r>
      <w:r>
        <w:t xml:space="preserve"> sobre los que están debajo”, así también, el hueso del talón no sabe, “Estoy sosteniendo el hueso del tobillo”, ni el hueso del tobillo sabe, “Estoy sosteniendo la tibia”, ni la tibia sabe, “estoy sosteniendo el hueso del muslo”, ni el hueso del muslo sabe, “estoy sosteniendo el hueso de la cadera”, ni el hueso de la cadera sabe, “estoy sosteniendo la columna”, ni la columna sabe, “ Estoy sosteniendo el hueso del cuello”, ni el hueso del cuello sabe, “Estoy sosteniendo el hueso del cráneo”, ni el hueso del cráneo sabe, “Me apoyo </w:t>
      </w:r>
      <w:r w:rsidR="00B7274E">
        <w:t xml:space="preserve">sobre </w:t>
      </w:r>
      <w:r>
        <w:t xml:space="preserve">el hueso del cuello”, ni el hueso del cuello sabe, “ Yo descanso sobre la columna vertebral”, ni la columna vertebral sabe, “descanso sobre el hueso de la cadera”, ni el hueso de la cadera sabe, “descanso sobre el hueso del muslo”, ni el hueso del muslo sabe, “descanso sobre el hueso de la cadera”. </w:t>
      </w:r>
      <w:r w:rsidR="00850FA6">
        <w:t>Ni el hueso de la cadera sabe “descanso sobre el hueso la canilla”,</w:t>
      </w:r>
      <w:r>
        <w:t xml:space="preserve"> ni la canilla sabe, “descanso sobre el hueso del tobillo”, ni el hueso del tobillo sabe, “descanso sobre el hueso del talón”. Estas cosas están desprovistas de preocupación </w:t>
      </w:r>
      <w:r w:rsidR="00850FA6">
        <w:t xml:space="preserve">e inspección </w:t>
      </w:r>
      <w:r>
        <w:t xml:space="preserve">mutua. Así que </w:t>
      </w:r>
      <w:r w:rsidR="00850FA6">
        <w:t xml:space="preserve">a </w:t>
      </w:r>
      <w:r>
        <w:t>lo que llam</w:t>
      </w:r>
      <w:r w:rsidR="00316358">
        <w:t>aremos</w:t>
      </w:r>
      <w:r>
        <w:t xml:space="preserve"> </w:t>
      </w:r>
      <w:r w:rsidRPr="008E3D0F">
        <w:rPr>
          <w:i/>
          <w:iCs/>
        </w:rPr>
        <w:t>huesos</w:t>
      </w:r>
      <w:r>
        <w:t xml:space="preserve"> [356] </w:t>
      </w:r>
      <w:r w:rsidR="00850FA6">
        <w:t>serán sólo</w:t>
      </w:r>
      <w:r>
        <w:t xml:space="preserve"> ​​un componente particular de este cuerpo, sin pensamiento, indeterminado, vacío, no un ser vivo, </w:t>
      </w:r>
      <w:r w:rsidR="00850FA6">
        <w:t xml:space="preserve">sólo el </w:t>
      </w:r>
      <w:r>
        <w:t>elemento tierra</w:t>
      </w:r>
      <w:r w:rsidR="00850FA6">
        <w:t xml:space="preserve"> solidificado</w:t>
      </w:r>
      <w:r>
        <w:t>.</w:t>
      </w:r>
      <w:r>
        <w:br w:type="page"/>
      </w:r>
    </w:p>
    <w:p w14:paraId="57E70559" w14:textId="77777777" w:rsidR="00305539" w:rsidRDefault="00305539" w:rsidP="00305539"/>
    <w:p w14:paraId="6D2AC40E" w14:textId="3C337766" w:rsidR="00D12473" w:rsidRDefault="00D12473" w:rsidP="00D12473">
      <w:r>
        <w:t xml:space="preserve">57. </w:t>
      </w:r>
      <w:r>
        <w:tab/>
        <w:t xml:space="preserve">La </w:t>
      </w:r>
      <w:r w:rsidRPr="008E3D0F">
        <w:rPr>
          <w:i/>
          <w:iCs/>
        </w:rPr>
        <w:t>médula ósea</w:t>
      </w:r>
      <w:r>
        <w:t xml:space="preserve"> se encuentra dentro de los diversos huesos. Aquí, al igual que los brotes de bambú hervidos, etc., se ponen dentro las juntas de bambú, etc., las juntas de bambú, etc., no sab</w:t>
      </w:r>
      <w:r w:rsidR="00FF37C0">
        <w:t>ría</w:t>
      </w:r>
      <w:r>
        <w:t xml:space="preserve">n, "los brotes de bambú, etc., se ponen </w:t>
      </w:r>
      <w:r w:rsidR="0010001A">
        <w:t>sobre</w:t>
      </w:r>
      <w:r>
        <w:t xml:space="preserve"> nosotros", ni tampoco el bambú</w:t>
      </w:r>
      <w:r w:rsidR="003F45ED">
        <w:t>,</w:t>
      </w:r>
      <w:r>
        <w:t xml:space="preserve"> los brotes, etc., </w:t>
      </w:r>
      <w:r w:rsidR="003F45ED">
        <w:t>sabrían</w:t>
      </w:r>
      <w:r>
        <w:t xml:space="preserve">, “Estamos dentro de las articulaciones de bambú, etc.”, así también, los huesos no saben, “La médula está dentro de nosotros”, ni la médula ósea sabe, “Estoy dentro de los huesos”. Estas cosas están desprovistas de preocupación </w:t>
      </w:r>
      <w:r w:rsidR="0010001A">
        <w:t xml:space="preserve">e inspección </w:t>
      </w:r>
      <w:r>
        <w:t xml:space="preserve">mutua. Entonces </w:t>
      </w:r>
      <w:r w:rsidR="0010001A">
        <w:t xml:space="preserve">a </w:t>
      </w:r>
      <w:r>
        <w:t>lo que llam</w:t>
      </w:r>
      <w:r w:rsidR="003F45ED">
        <w:t>aremos</w:t>
      </w:r>
      <w:r>
        <w:t xml:space="preserve"> </w:t>
      </w:r>
      <w:r w:rsidRPr="008E3D0F">
        <w:rPr>
          <w:i/>
          <w:iCs/>
        </w:rPr>
        <w:t>médula ósea</w:t>
      </w:r>
      <w:r>
        <w:t xml:space="preserve"> </w:t>
      </w:r>
      <w:r w:rsidR="0010001A">
        <w:t xml:space="preserve">será sólo </w:t>
      </w:r>
      <w:r>
        <w:t xml:space="preserve">un componente particular de este cuerpo, sin pensamiento, indeterminado, vacío, no un ser vivo, </w:t>
      </w:r>
      <w:r w:rsidR="0010001A">
        <w:t xml:space="preserve">sólo el </w:t>
      </w:r>
      <w:r>
        <w:t>elemento tierra</w:t>
      </w:r>
      <w:r w:rsidR="0010001A">
        <w:t xml:space="preserve"> solidificado</w:t>
      </w:r>
      <w:r>
        <w:t>.</w:t>
      </w:r>
    </w:p>
    <w:p w14:paraId="1CB04AB5" w14:textId="189E5557" w:rsidR="00D12473" w:rsidRDefault="00D12473" w:rsidP="00D12473">
      <w:r>
        <w:t xml:space="preserve">58. </w:t>
      </w:r>
      <w:r>
        <w:tab/>
        <w:t xml:space="preserve">El </w:t>
      </w:r>
      <w:r w:rsidRPr="008E3D0F">
        <w:rPr>
          <w:i/>
          <w:iCs/>
        </w:rPr>
        <w:t>riñón</w:t>
      </w:r>
      <w:r>
        <w:t xml:space="preserve"> se encuentra a cada lado de la carne del corazón, estando sujeto por el tendón fuerte que comienza con una sola raíz desde la base del cuello y se divide en dos después </w:t>
      </w:r>
      <w:r w:rsidR="002317B2">
        <w:t>al</w:t>
      </w:r>
      <w:r>
        <w:t xml:space="preserve"> recorrer un corto camino. Aquí, al igual que un par de frutos de mango unidos por su tallo, el tallo no </w:t>
      </w:r>
      <w:r w:rsidR="002317B2">
        <w:t>sabría</w:t>
      </w:r>
      <w:r>
        <w:t xml:space="preserve">: "Un par de frutos de mango está unido por mí", ni el par de frutos de mango </w:t>
      </w:r>
      <w:r w:rsidR="00AE4CA8">
        <w:t>sabría</w:t>
      </w:r>
      <w:r>
        <w:t xml:space="preserve">: "Estamos unidos </w:t>
      </w:r>
      <w:r w:rsidR="006E7572">
        <w:t>a</w:t>
      </w:r>
      <w:r>
        <w:t xml:space="preserve"> un tallo”, así también, el tendón fuerte no sabe, “los riñones están unidos por mí”, ni el riñón sabe, “estoy unido por un tendón fuerte”. Estas cosas están desprovistas de preocupación </w:t>
      </w:r>
      <w:r w:rsidR="006E7572">
        <w:t xml:space="preserve">e inspección </w:t>
      </w:r>
      <w:r>
        <w:t xml:space="preserve">mutua. Entonces </w:t>
      </w:r>
      <w:r w:rsidR="006E7572">
        <w:t xml:space="preserve">a </w:t>
      </w:r>
      <w:r>
        <w:t>lo que se llam</w:t>
      </w:r>
      <w:r w:rsidR="00AE4CA8">
        <w:t>aremos</w:t>
      </w:r>
      <w:r>
        <w:t xml:space="preserve"> </w:t>
      </w:r>
      <w:r w:rsidRPr="008E3D0F">
        <w:rPr>
          <w:i/>
          <w:iCs/>
        </w:rPr>
        <w:t>riñón</w:t>
      </w:r>
      <w:r>
        <w:t xml:space="preserve"> </w:t>
      </w:r>
      <w:r w:rsidR="006E7572">
        <w:t xml:space="preserve">será </w:t>
      </w:r>
      <w:r>
        <w:t xml:space="preserve">un componente particular de este cuerpo, sin pensamiento, indeterminado, vacío, no un ser vivo, </w:t>
      </w:r>
      <w:r w:rsidR="006E7572">
        <w:t xml:space="preserve">sólo el </w:t>
      </w:r>
      <w:r>
        <w:t>elemento tierra</w:t>
      </w:r>
      <w:r w:rsidR="006E7572">
        <w:t xml:space="preserve"> solidificado</w:t>
      </w:r>
      <w:r>
        <w:t>.</w:t>
      </w:r>
    </w:p>
    <w:p w14:paraId="322EB621" w14:textId="19C46DD5" w:rsidR="00D12473" w:rsidRDefault="00D12473" w:rsidP="00D12473">
      <w:r>
        <w:t xml:space="preserve">59. </w:t>
      </w:r>
      <w:r>
        <w:tab/>
        <w:t xml:space="preserve">El </w:t>
      </w:r>
      <w:r w:rsidRPr="008E3D0F">
        <w:rPr>
          <w:i/>
          <w:iCs/>
        </w:rPr>
        <w:t>corazón</w:t>
      </w:r>
      <w:r>
        <w:t xml:space="preserve"> se encuentra en el interior del cuerpo cerca de la mitad del marco de las costillas. </w:t>
      </w:r>
      <w:r w:rsidR="006E7572">
        <w:t>Aquí</w:t>
      </w:r>
      <w:r>
        <w:t>, al igual que cuando se coloca un trozo de carne cerca del armazón de un carr</w:t>
      </w:r>
      <w:r w:rsidR="006E7572">
        <w:t>uaje</w:t>
      </w:r>
      <w:r>
        <w:t xml:space="preserve"> viejo, el interior del armazón del carr</w:t>
      </w:r>
      <w:r w:rsidR="006E7572">
        <w:t>uaje</w:t>
      </w:r>
      <w:r>
        <w:t xml:space="preserve"> viejo no </w:t>
      </w:r>
      <w:r w:rsidR="00780500">
        <w:t>sabría</w:t>
      </w:r>
      <w:r>
        <w:t xml:space="preserve">: "Se </w:t>
      </w:r>
      <w:r w:rsidR="006E7572">
        <w:t>h</w:t>
      </w:r>
      <w:r w:rsidR="00677BCF">
        <w:t>a</w:t>
      </w:r>
      <w:r w:rsidR="006E7572">
        <w:t xml:space="preserve"> </w:t>
      </w:r>
      <w:r>
        <w:t>coloca</w:t>
      </w:r>
      <w:r w:rsidR="006E7572">
        <w:t>do</w:t>
      </w:r>
      <w:r>
        <w:t xml:space="preserve"> un pedazo de carne </w:t>
      </w:r>
      <w:r w:rsidR="006E7572">
        <w:t xml:space="preserve">sobre </w:t>
      </w:r>
      <w:r>
        <w:t xml:space="preserve">mí", ni tampoco </w:t>
      </w:r>
      <w:r w:rsidR="00677BCF">
        <w:t xml:space="preserve">el pedazo </w:t>
      </w:r>
      <w:r>
        <w:t xml:space="preserve">de carne </w:t>
      </w:r>
      <w:r w:rsidR="00780500">
        <w:t>sabría</w:t>
      </w:r>
      <w:r>
        <w:t xml:space="preserve">, "Estoy </w:t>
      </w:r>
      <w:r w:rsidR="00677BCF">
        <w:t xml:space="preserve">sobre el </w:t>
      </w:r>
      <w:r>
        <w:t>marco de un carr</w:t>
      </w:r>
      <w:r w:rsidR="00677BCF">
        <w:t>uaje</w:t>
      </w:r>
      <w:r>
        <w:t xml:space="preserve"> viejo", así también, el interior del marco de las costillas no sabe, "Un corazón está cerca de la mitad de mí", ni el corazón</w:t>
      </w:r>
      <w:r w:rsidR="00677BCF" w:rsidRPr="00677BCF">
        <w:t xml:space="preserve"> </w:t>
      </w:r>
      <w:r w:rsidR="00677BCF">
        <w:t>sabe</w:t>
      </w:r>
      <w:r>
        <w:t>: “Estoy cerca de la mitad del interior de</w:t>
      </w:r>
      <w:r w:rsidR="00677BCF">
        <w:t>l</w:t>
      </w:r>
      <w:r>
        <w:t xml:space="preserve"> armazón de </w:t>
      </w:r>
      <w:r w:rsidR="00677BCF">
        <w:t xml:space="preserve">las </w:t>
      </w:r>
      <w:r>
        <w:t xml:space="preserve">costillas”. Estas cosas están desprovistas de preocupación </w:t>
      </w:r>
      <w:r w:rsidR="00320B32">
        <w:t xml:space="preserve">e inspección </w:t>
      </w:r>
      <w:r>
        <w:t xml:space="preserve">mutua. Entonces </w:t>
      </w:r>
      <w:r w:rsidR="00320B32">
        <w:t xml:space="preserve">a </w:t>
      </w:r>
      <w:r>
        <w:t xml:space="preserve">lo que </w:t>
      </w:r>
      <w:r w:rsidR="00505A1B">
        <w:t>llamaremos</w:t>
      </w:r>
      <w:r w:rsidR="00505A1B" w:rsidRPr="008E3D0F">
        <w:rPr>
          <w:i/>
          <w:iCs/>
        </w:rPr>
        <w:t xml:space="preserve"> </w:t>
      </w:r>
      <w:r w:rsidRPr="008E3D0F">
        <w:rPr>
          <w:i/>
          <w:iCs/>
        </w:rPr>
        <w:t>corazón</w:t>
      </w:r>
      <w:r>
        <w:t xml:space="preserve"> </w:t>
      </w:r>
      <w:r w:rsidR="00320B32">
        <w:t xml:space="preserve">será </w:t>
      </w:r>
      <w:r w:rsidR="00505A1B">
        <w:t xml:space="preserve">sólo </w:t>
      </w:r>
      <w:r>
        <w:t xml:space="preserve">un componente particular de este cuerpo, sin pensamiento, indeterminado, vacío, no un ser vivo, </w:t>
      </w:r>
      <w:r w:rsidR="00320B32">
        <w:t xml:space="preserve">sólo el </w:t>
      </w:r>
      <w:r>
        <w:t>elemento tierra</w:t>
      </w:r>
      <w:r w:rsidR="00320B32">
        <w:t xml:space="preserve"> solidificado</w:t>
      </w:r>
      <w:r>
        <w:t>.</w:t>
      </w:r>
    </w:p>
    <w:p w14:paraId="450DE88E" w14:textId="6CCD5982" w:rsidR="00D12473" w:rsidRDefault="00D12473" w:rsidP="00D12473">
      <w:r>
        <w:t xml:space="preserve">60. </w:t>
      </w:r>
      <w:r>
        <w:tab/>
        <w:t xml:space="preserve">El </w:t>
      </w:r>
      <w:r w:rsidRPr="008E3D0F">
        <w:rPr>
          <w:i/>
          <w:iCs/>
        </w:rPr>
        <w:t>hígado</w:t>
      </w:r>
      <w:r>
        <w:t xml:space="preserve"> se encuentra dentro del cuerpo, cerca del lado derecho </w:t>
      </w:r>
      <w:r w:rsidR="000256EF">
        <w:t xml:space="preserve">de </w:t>
      </w:r>
      <w:r>
        <w:t xml:space="preserve">entre los dos senos. </w:t>
      </w:r>
      <w:r w:rsidR="000256EF">
        <w:t>Aquí</w:t>
      </w:r>
      <w:r>
        <w:t xml:space="preserve">, al igual que un </w:t>
      </w:r>
      <w:r w:rsidR="00A320BD">
        <w:t xml:space="preserve">doble </w:t>
      </w:r>
      <w:r>
        <w:t xml:space="preserve">trozo de carne se pega en el costado de una olla, el costado de la olla no </w:t>
      </w:r>
      <w:r w:rsidR="00A320BD">
        <w:t>sabría</w:t>
      </w:r>
      <w:r>
        <w:t xml:space="preserve">: "Un trozo </w:t>
      </w:r>
      <w:r w:rsidR="00A320BD">
        <w:t xml:space="preserve">doble </w:t>
      </w:r>
      <w:r>
        <w:t xml:space="preserve">de carne </w:t>
      </w:r>
      <w:r w:rsidR="000256EF">
        <w:t>está</w:t>
      </w:r>
      <w:r>
        <w:t xml:space="preserve"> pega</w:t>
      </w:r>
      <w:r w:rsidR="000256EF">
        <w:t>do a mí</w:t>
      </w:r>
      <w:r>
        <w:t xml:space="preserve">", ni el trozo </w:t>
      </w:r>
      <w:r w:rsidR="00A320BD">
        <w:t xml:space="preserve">doble </w:t>
      </w:r>
      <w:r>
        <w:t xml:space="preserve">de carne </w:t>
      </w:r>
      <w:r w:rsidR="00A320BD">
        <w:t>sabría</w:t>
      </w:r>
      <w:r>
        <w:t xml:space="preserve">, [357] "Estoy </w:t>
      </w:r>
      <w:r w:rsidR="000256EF">
        <w:t>pegado a</w:t>
      </w:r>
      <w:r>
        <w:t>l borde de una olla", así también, el lado derecho entre los senos no sabe, "</w:t>
      </w:r>
      <w:r w:rsidR="005E1FAE">
        <w:t>el h</w:t>
      </w:r>
      <w:r>
        <w:t>ígado está cerca de mí", ni el hígado sabe, "Estoy cerca de</w:t>
      </w:r>
      <w:r w:rsidR="005E1FAE">
        <w:t>l</w:t>
      </w:r>
      <w:r>
        <w:t xml:space="preserve"> lado </w:t>
      </w:r>
      <w:r w:rsidR="00A320BD">
        <w:t xml:space="preserve">derecho </w:t>
      </w:r>
      <w:r w:rsidR="005E1FAE">
        <w:t xml:space="preserve">de </w:t>
      </w:r>
      <w:r>
        <w:t xml:space="preserve">entre </w:t>
      </w:r>
      <w:r w:rsidR="005E1FAE">
        <w:t xml:space="preserve">los </w:t>
      </w:r>
      <w:r>
        <w:t xml:space="preserve">dos senos.” Estas cosas están desprovistas de preocupación </w:t>
      </w:r>
      <w:r w:rsidR="005E1FAE">
        <w:t xml:space="preserve">e inspección </w:t>
      </w:r>
      <w:r>
        <w:t xml:space="preserve">mutua. Entonces </w:t>
      </w:r>
      <w:r w:rsidR="005E1FAE">
        <w:t xml:space="preserve">a </w:t>
      </w:r>
      <w:r>
        <w:t xml:space="preserve">lo que </w:t>
      </w:r>
      <w:r w:rsidR="00A320BD">
        <w:t>llamaremos</w:t>
      </w:r>
      <w:r w:rsidR="00A320BD" w:rsidRPr="008E3D0F">
        <w:rPr>
          <w:i/>
          <w:iCs/>
        </w:rPr>
        <w:t xml:space="preserve"> </w:t>
      </w:r>
      <w:r w:rsidRPr="008E3D0F">
        <w:rPr>
          <w:i/>
          <w:iCs/>
        </w:rPr>
        <w:t>hígado</w:t>
      </w:r>
      <w:r>
        <w:t xml:space="preserve"> </w:t>
      </w:r>
      <w:r w:rsidR="005E1FAE">
        <w:t xml:space="preserve">será </w:t>
      </w:r>
      <w:r>
        <w:t xml:space="preserve">un componente particular de este cuerpo, sin pensamiento, indeterminado, vacío, no un ser vivo, </w:t>
      </w:r>
      <w:r w:rsidR="005E1FAE">
        <w:t>sólo el</w:t>
      </w:r>
      <w:r>
        <w:t xml:space="preserve"> elemento tierra</w:t>
      </w:r>
      <w:r w:rsidR="005E1FAE">
        <w:t xml:space="preserve"> solidificado</w:t>
      </w:r>
      <w:r>
        <w:t>.</w:t>
      </w:r>
    </w:p>
    <w:p w14:paraId="157134E6" w14:textId="13252078" w:rsidR="00D12473" w:rsidRDefault="00D12473" w:rsidP="00D12473">
      <w:r>
        <w:t xml:space="preserve">61. </w:t>
      </w:r>
      <w:r>
        <w:tab/>
        <w:t xml:space="preserve">En cuanto al </w:t>
      </w:r>
      <w:r w:rsidRPr="008E3D0F">
        <w:rPr>
          <w:i/>
          <w:iCs/>
        </w:rPr>
        <w:t>diafragma</w:t>
      </w:r>
      <w:r>
        <w:t xml:space="preserve">, el diafragma oculto se encuentra rodeando el corazón y el riñón, mientras que el diafragma </w:t>
      </w:r>
      <w:r w:rsidR="00A320BD">
        <w:t>expuesto</w:t>
      </w:r>
      <w:r>
        <w:t xml:space="preserve"> se encuentra cubriendo la carne debajo de la piel en todo el cuerpo. </w:t>
      </w:r>
      <w:r w:rsidR="00AF3D99">
        <w:t>Aquí</w:t>
      </w:r>
      <w:r>
        <w:t xml:space="preserve">, así como la carne envuelta en un trapo, la carne no </w:t>
      </w:r>
      <w:r w:rsidR="00A320BD">
        <w:t>sabría</w:t>
      </w:r>
      <w:r>
        <w:t xml:space="preserve">: “Estoy envuelto en un trapo”, ni el trapo </w:t>
      </w:r>
      <w:r w:rsidR="00A320BD">
        <w:t>sabría</w:t>
      </w:r>
      <w:r>
        <w:t xml:space="preserve">: “La carne está envuelta </w:t>
      </w:r>
      <w:r w:rsidR="00AF3D99">
        <w:t>por</w:t>
      </w:r>
      <w:r>
        <w:t xml:space="preserve"> mí”, así también, el corazón y el riñón, y la carne en todo el cuerpo, no sabe, “estoy oculto por el diafragma”, ni el diafragma sabe, “</w:t>
      </w:r>
      <w:r w:rsidR="00F03602">
        <w:t xml:space="preserve">el </w:t>
      </w:r>
      <w:r>
        <w:t xml:space="preserve">corazón y </w:t>
      </w:r>
      <w:r w:rsidR="00F03602">
        <w:t xml:space="preserve">el </w:t>
      </w:r>
      <w:r>
        <w:t>riñón, y la carne en todo el cuerpo, están ocultos por mí”</w:t>
      </w:r>
      <w:r w:rsidR="00AE6DFA">
        <w:t>;</w:t>
      </w:r>
      <w:r>
        <w:t xml:space="preserve"> estas cosas </w:t>
      </w:r>
      <w:r w:rsidR="00F03602">
        <w:t>están</w:t>
      </w:r>
    </w:p>
    <w:p w14:paraId="33B85679" w14:textId="77777777" w:rsidR="00D12473" w:rsidRDefault="00D12473">
      <w:pPr>
        <w:tabs>
          <w:tab w:val="clear" w:pos="425"/>
        </w:tabs>
        <w:spacing w:after="160"/>
      </w:pPr>
      <w:r>
        <w:br w:type="page"/>
      </w:r>
    </w:p>
    <w:p w14:paraId="156E68D2" w14:textId="77777777" w:rsidR="00C81BD9" w:rsidRDefault="00C81BD9" w:rsidP="00D12473"/>
    <w:p w14:paraId="42150C18" w14:textId="501572C7" w:rsidR="00C81BD9" w:rsidRDefault="00C81BD9" w:rsidP="00C81BD9">
      <w:r>
        <w:t>desprovist</w:t>
      </w:r>
      <w:r w:rsidR="00F03602">
        <w:t>as</w:t>
      </w:r>
      <w:r>
        <w:t xml:space="preserve"> de preocupación </w:t>
      </w:r>
      <w:r w:rsidR="00F03602">
        <w:t xml:space="preserve">e inspección </w:t>
      </w:r>
      <w:r>
        <w:t xml:space="preserve">mutua. Entonces </w:t>
      </w:r>
      <w:r w:rsidR="00F03602">
        <w:t xml:space="preserve">a </w:t>
      </w:r>
      <w:r>
        <w:t xml:space="preserve">lo que </w:t>
      </w:r>
      <w:r w:rsidR="00AE6DFA">
        <w:t>llamaremos</w:t>
      </w:r>
      <w:r w:rsidR="00AE6DFA" w:rsidRPr="00306DE7">
        <w:rPr>
          <w:i/>
          <w:iCs/>
        </w:rPr>
        <w:t xml:space="preserve"> </w:t>
      </w:r>
      <w:r w:rsidRPr="00306DE7">
        <w:rPr>
          <w:i/>
          <w:iCs/>
        </w:rPr>
        <w:t>diafragma</w:t>
      </w:r>
      <w:r>
        <w:t xml:space="preserve"> </w:t>
      </w:r>
      <w:r w:rsidR="00F03602">
        <w:t xml:space="preserve">será sólo </w:t>
      </w:r>
      <w:r>
        <w:t xml:space="preserve">un componente particular de este cuerpo, sin pensamiento, indeterminado, vacío, no un ser vivo, </w:t>
      </w:r>
      <w:r w:rsidR="00F03602">
        <w:t xml:space="preserve">sólo el </w:t>
      </w:r>
      <w:r>
        <w:t>elemento tierra</w:t>
      </w:r>
      <w:r w:rsidR="00F03602">
        <w:t xml:space="preserve"> solidificado</w:t>
      </w:r>
      <w:r>
        <w:t>.</w:t>
      </w:r>
    </w:p>
    <w:p w14:paraId="3C7DDE25" w14:textId="227C837A" w:rsidR="00C81BD9" w:rsidRDefault="00C81BD9" w:rsidP="00C81BD9">
      <w:r>
        <w:t xml:space="preserve">62. </w:t>
      </w:r>
      <w:r>
        <w:tab/>
        <w:t xml:space="preserve">El </w:t>
      </w:r>
      <w:r w:rsidRPr="00306DE7">
        <w:rPr>
          <w:i/>
          <w:iCs/>
        </w:rPr>
        <w:t>bazo</w:t>
      </w:r>
      <w:r>
        <w:t xml:space="preserve"> se encuentra cerca del lado superior del revestimiento del vientre en el lado izquierdo del corazón. </w:t>
      </w:r>
      <w:r w:rsidR="00906CF8">
        <w:t>Aquí</w:t>
      </w:r>
      <w:r>
        <w:t xml:space="preserve">, así como un montón de estiércol de vaca </w:t>
      </w:r>
      <w:r w:rsidR="00906CF8">
        <w:t>al estar</w:t>
      </w:r>
      <w:r>
        <w:t xml:space="preserve"> cerca de la parte superior de un granero, el lado superior del granero no sab</w:t>
      </w:r>
      <w:r w:rsidR="00906CF8">
        <w:t>ría</w:t>
      </w:r>
      <w:r>
        <w:t xml:space="preserve">: “Hay un montón de estiércol de vaca cerca de mí”, ni el montón de estiércol de vaca </w:t>
      </w:r>
      <w:r w:rsidR="00906CF8">
        <w:t>sabría</w:t>
      </w:r>
      <w:r>
        <w:t xml:space="preserve">, "Estoy cerca de la parte superior de un granero", así también, la parte superior del revestimiento del vientre no sabe, "El bazo está cerca de mí", ni el bazo sabe, "Estoy cerca del lado superior del revestimiento del vientre".  Estas cosas están desprovistas de preocupación </w:t>
      </w:r>
      <w:r w:rsidR="00906CF8">
        <w:t>e inspección</w:t>
      </w:r>
      <w:r>
        <w:t xml:space="preserve"> mutua. Entonces </w:t>
      </w:r>
      <w:r w:rsidR="00906CF8">
        <w:t xml:space="preserve">a </w:t>
      </w:r>
      <w:r>
        <w:t xml:space="preserve">lo que </w:t>
      </w:r>
      <w:r w:rsidR="00FA61B8">
        <w:t>llamaremos</w:t>
      </w:r>
      <w:r w:rsidR="00FA61B8" w:rsidRPr="00306DE7">
        <w:rPr>
          <w:i/>
          <w:iCs/>
        </w:rPr>
        <w:t xml:space="preserve"> </w:t>
      </w:r>
      <w:r w:rsidRPr="00306DE7">
        <w:rPr>
          <w:i/>
          <w:iCs/>
        </w:rPr>
        <w:t>bazo</w:t>
      </w:r>
      <w:r>
        <w:t xml:space="preserve"> </w:t>
      </w:r>
      <w:r w:rsidR="00A83182">
        <w:t xml:space="preserve">será sólo </w:t>
      </w:r>
      <w:r>
        <w:t xml:space="preserve">un componente particular de este cuerpo, sin pensamiento, indeterminado, vacío, no un ser vivo, </w:t>
      </w:r>
      <w:r w:rsidR="00A83182">
        <w:t>sólo el</w:t>
      </w:r>
      <w:r>
        <w:t xml:space="preserve"> elemento tierra</w:t>
      </w:r>
      <w:r w:rsidR="00A83182">
        <w:t xml:space="preserve"> </w:t>
      </w:r>
      <w:r w:rsidR="00FA61B8">
        <w:t>solidificado</w:t>
      </w:r>
      <w:r>
        <w:t>.</w:t>
      </w:r>
    </w:p>
    <w:p w14:paraId="43BFFAB9" w14:textId="12BA351C" w:rsidR="00C81BD9" w:rsidRDefault="00C81BD9" w:rsidP="00C81BD9">
      <w:r>
        <w:t xml:space="preserve">63. </w:t>
      </w:r>
      <w:r>
        <w:tab/>
        <w:t xml:space="preserve">Los </w:t>
      </w:r>
      <w:r w:rsidRPr="00306DE7">
        <w:rPr>
          <w:i/>
          <w:iCs/>
        </w:rPr>
        <w:t>pulmones</w:t>
      </w:r>
      <w:r>
        <w:t xml:space="preserve"> se encuentran dentro del cuerpo entre los dos senos, </w:t>
      </w:r>
      <w:r w:rsidR="009E7226">
        <w:t>por encima</w:t>
      </w:r>
      <w:r>
        <w:t xml:space="preserve"> </w:t>
      </w:r>
      <w:r w:rsidR="001C1E8B">
        <w:t>d</w:t>
      </w:r>
      <w:r>
        <w:t>el corazón y el hígado y ocultándolos. Aquí, así como un nido de pájaro</w:t>
      </w:r>
      <w:r w:rsidR="00FA61B8">
        <w:t>s</w:t>
      </w:r>
      <w:r>
        <w:t xml:space="preserve"> colgado dentro de un granero viejo, el interior del granero viejo no </w:t>
      </w:r>
      <w:r w:rsidR="009E7226">
        <w:t>sabría</w:t>
      </w:r>
      <w:r>
        <w:t xml:space="preserve">, “Un nido de pájaro está colgado </w:t>
      </w:r>
      <w:r w:rsidR="009E7226">
        <w:t>de</w:t>
      </w:r>
      <w:r>
        <w:t xml:space="preserve"> mí”, ni el nido de pájaro </w:t>
      </w:r>
      <w:r w:rsidR="009E7226">
        <w:t>sabría</w:t>
      </w:r>
      <w:r>
        <w:t xml:space="preserve">, “Estoy colgado dentro de un granero viejo”.  así también, [358] el interior del cuerpo no sabe, “Los pulmones están colgado </w:t>
      </w:r>
      <w:r w:rsidR="001E4747">
        <w:t>de</w:t>
      </w:r>
      <w:r>
        <w:t xml:space="preserve"> mí”, ni los pulmones saben, “Estamos colgado</w:t>
      </w:r>
      <w:r w:rsidR="001E4747">
        <w:t>s</w:t>
      </w:r>
      <w:r>
        <w:t xml:space="preserve"> dentro de tal cuerpo”. Estas cosas están desprovistas de preocupación </w:t>
      </w:r>
      <w:r w:rsidR="001E4747">
        <w:t xml:space="preserve">e inspección </w:t>
      </w:r>
      <w:r>
        <w:t xml:space="preserve">mutua. Entonces </w:t>
      </w:r>
      <w:r w:rsidR="00B24ADD">
        <w:t xml:space="preserve">a </w:t>
      </w:r>
      <w:r>
        <w:t xml:space="preserve">lo que </w:t>
      </w:r>
      <w:r w:rsidR="00654E1C">
        <w:t>llamaremos</w:t>
      </w:r>
      <w:r w:rsidR="00654E1C" w:rsidRPr="00306DE7">
        <w:rPr>
          <w:i/>
          <w:iCs/>
        </w:rPr>
        <w:t xml:space="preserve"> </w:t>
      </w:r>
      <w:r w:rsidRPr="00306DE7">
        <w:rPr>
          <w:i/>
          <w:iCs/>
        </w:rPr>
        <w:t>pulmones</w:t>
      </w:r>
      <w:r>
        <w:t xml:space="preserve"> </w:t>
      </w:r>
      <w:r w:rsidR="00B24ADD">
        <w:t xml:space="preserve">será sólo </w:t>
      </w:r>
      <w:r>
        <w:t xml:space="preserve">un componente particular de este cuerpo, sin pensamiento, indeterminado, vacío, no un ser vivo, </w:t>
      </w:r>
      <w:r w:rsidR="00B24ADD">
        <w:t xml:space="preserve">sólo el </w:t>
      </w:r>
      <w:r>
        <w:t>elemento tierra</w:t>
      </w:r>
      <w:r w:rsidR="00B24ADD">
        <w:t xml:space="preserve"> </w:t>
      </w:r>
      <w:r w:rsidR="00654E1C">
        <w:t>solidificado</w:t>
      </w:r>
      <w:r>
        <w:t>.</w:t>
      </w:r>
    </w:p>
    <w:p w14:paraId="37025769" w14:textId="5FF28C18" w:rsidR="00C81BD9" w:rsidRDefault="00C81BD9" w:rsidP="00C81BD9">
      <w:r>
        <w:t xml:space="preserve">64. </w:t>
      </w:r>
      <w:r>
        <w:tab/>
        <w:t xml:space="preserve">El </w:t>
      </w:r>
      <w:r w:rsidRPr="00306DE7">
        <w:rPr>
          <w:i/>
          <w:iCs/>
        </w:rPr>
        <w:t>intestino</w:t>
      </w:r>
      <w:r>
        <w:t xml:space="preserve"> se encuentra dentro del cuerpo y se extiende desde la base del cuello hasta el pasaje de los excrementos. Aquí, al igual que cuando el cadáver de una gran serpiente rata decapitada</w:t>
      </w:r>
      <w:r w:rsidRPr="00C246F5">
        <w:rPr>
          <w:vertAlign w:val="superscript"/>
        </w:rPr>
        <w:t>27</w:t>
      </w:r>
      <w:r>
        <w:t xml:space="preserve"> se enrolla y se coloca en un comedero de sangre, el comedero rojo no </w:t>
      </w:r>
      <w:r w:rsidR="00F43C4E">
        <w:t>sabría</w:t>
      </w:r>
      <w:r>
        <w:t xml:space="preserve">: “Me han puesto </w:t>
      </w:r>
      <w:r w:rsidR="00F43C4E">
        <w:t xml:space="preserve">en </w:t>
      </w:r>
      <w:r>
        <w:t xml:space="preserve">el cadáver de una serpiente rata”, ni tampoco el cadáver de la serpiente rata </w:t>
      </w:r>
      <w:r w:rsidR="00F43C4E">
        <w:t>sabría</w:t>
      </w:r>
      <w:r>
        <w:t xml:space="preserve">, “estoy en un </w:t>
      </w:r>
      <w:r w:rsidR="007C2D78">
        <w:t>comedero</w:t>
      </w:r>
      <w:r>
        <w:t xml:space="preserve"> rojo”, así tampoco el interior del cuerpo sabe, “un intestino está en mí”, ni el intestino sabe, “estoy en un cuerpo”. Estas cosas están desprovistas de preocupación </w:t>
      </w:r>
      <w:r w:rsidR="007C2D78">
        <w:t xml:space="preserve">e inspección </w:t>
      </w:r>
      <w:r>
        <w:t xml:space="preserve">mutua. Así que lo que </w:t>
      </w:r>
      <w:r w:rsidR="007C2D78">
        <w:t xml:space="preserve">llamaremos </w:t>
      </w:r>
      <w:r w:rsidRPr="00306DE7">
        <w:rPr>
          <w:i/>
          <w:iCs/>
        </w:rPr>
        <w:t>intestino</w:t>
      </w:r>
      <w:r>
        <w:t xml:space="preserve"> </w:t>
      </w:r>
      <w:r w:rsidR="007C2D78">
        <w:t>será sólo</w:t>
      </w:r>
      <w:r>
        <w:t xml:space="preserve"> un componente particular de este cuerpo, sin pensamiento, indeterminado, vacío, no un ser vivo, </w:t>
      </w:r>
      <w:r w:rsidR="007C2D78">
        <w:t>sólo</w:t>
      </w:r>
      <w:r>
        <w:t xml:space="preserve"> elemento tierra</w:t>
      </w:r>
      <w:r w:rsidR="007C2D78" w:rsidRPr="007C2D78">
        <w:t xml:space="preserve"> </w:t>
      </w:r>
      <w:r w:rsidR="007C2D78">
        <w:t>solidificado</w:t>
      </w:r>
      <w:r>
        <w:t>.</w:t>
      </w:r>
    </w:p>
    <w:p w14:paraId="6FE02691" w14:textId="0A4DED2E" w:rsidR="00C81BD9" w:rsidRDefault="00C81BD9" w:rsidP="00C81BD9">
      <w:r>
        <w:t xml:space="preserve">65. </w:t>
      </w:r>
      <w:r>
        <w:tab/>
        <w:t xml:space="preserve">Las </w:t>
      </w:r>
      <w:r w:rsidRPr="00306DE7">
        <w:rPr>
          <w:i/>
          <w:iCs/>
        </w:rPr>
        <w:t>entrañas</w:t>
      </w:r>
      <w:r>
        <w:t xml:space="preserve"> se encuentran en los espacios intermedios entre las veintiuna espirales del intestino, uniéndolas entre sí. </w:t>
      </w:r>
      <w:r w:rsidR="00B24ADD">
        <w:t>Aquí</w:t>
      </w:r>
      <w:r>
        <w:t xml:space="preserve">, así como se encuentran cuerdas cosiendo un anillo de cuerda para limpiar los pies, el anillo de cuerda para limpiar los pies no </w:t>
      </w:r>
      <w:r w:rsidR="00B24ADD">
        <w:t>sabría</w:t>
      </w:r>
      <w:r>
        <w:t xml:space="preserve">: "Se encuentran cuerdas cosiéndome", ni las cuerdas </w:t>
      </w:r>
      <w:r w:rsidR="00B24ADD">
        <w:t>sabría</w:t>
      </w:r>
      <w:r w:rsidR="008A49E2">
        <w:t>n</w:t>
      </w:r>
      <w:r>
        <w:t>: "</w:t>
      </w:r>
      <w:r w:rsidR="00BB29CC">
        <w:t>Estamos siendo</w:t>
      </w:r>
      <w:r>
        <w:t xml:space="preserve"> cosido</w:t>
      </w:r>
      <w:r w:rsidR="00BB29CC">
        <w:t>s</w:t>
      </w:r>
      <w:r>
        <w:t xml:space="preserve"> </w:t>
      </w:r>
      <w:r w:rsidR="00BB29CC">
        <w:t xml:space="preserve">a </w:t>
      </w:r>
      <w:r>
        <w:t>un anillo de cuerda”, así también, el intestino no sabe, “</w:t>
      </w:r>
      <w:r w:rsidR="00091C17">
        <w:t xml:space="preserve">Hay </w:t>
      </w:r>
      <w:r>
        <w:t xml:space="preserve">entrañas </w:t>
      </w:r>
      <w:r w:rsidR="00091C17">
        <w:t>unidas a mí</w:t>
      </w:r>
      <w:r>
        <w:t>”, ni las entrañas saben, “nos enc</w:t>
      </w:r>
      <w:r w:rsidR="00BB29CC">
        <w:t>o</w:t>
      </w:r>
      <w:r>
        <w:t>ntra</w:t>
      </w:r>
      <w:r w:rsidR="00BB29CC">
        <w:t>mos</w:t>
      </w:r>
      <w:r>
        <w:t xml:space="preserve"> unid</w:t>
      </w:r>
      <w:r w:rsidR="00091C17">
        <w:t>a</w:t>
      </w:r>
      <w:r w:rsidR="00BB29CC">
        <w:t>s</w:t>
      </w:r>
      <w:r>
        <w:t xml:space="preserve"> </w:t>
      </w:r>
      <w:r w:rsidR="00BB29CC">
        <w:t xml:space="preserve">a </w:t>
      </w:r>
      <w:r>
        <w:t xml:space="preserve">un intestino”. Estas cosas están desprovistas de preocupación </w:t>
      </w:r>
      <w:r w:rsidR="004E5D40">
        <w:t>e inspección mutua</w:t>
      </w:r>
      <w:r>
        <w:t xml:space="preserve">. </w:t>
      </w:r>
      <w:r w:rsidR="004E5D40">
        <w:t>Así que a</w:t>
      </w:r>
      <w:r>
        <w:t xml:space="preserve"> lo que </w:t>
      </w:r>
      <w:r w:rsidR="00091C17">
        <w:t>llamaremos</w:t>
      </w:r>
      <w:r w:rsidR="00091C17" w:rsidRPr="00306DE7">
        <w:rPr>
          <w:i/>
          <w:iCs/>
        </w:rPr>
        <w:t xml:space="preserve"> </w:t>
      </w:r>
      <w:r w:rsidRPr="00306DE7">
        <w:rPr>
          <w:i/>
          <w:iCs/>
        </w:rPr>
        <w:t>entrañas</w:t>
      </w:r>
      <w:r>
        <w:t xml:space="preserve"> </w:t>
      </w:r>
      <w:r w:rsidR="004E5D40">
        <w:t xml:space="preserve">será sólo </w:t>
      </w:r>
      <w:r>
        <w:t xml:space="preserve">un componente particular de este cuerpo, sin pensamiento, indeterminado, vacío, no un ser vivo, </w:t>
      </w:r>
      <w:r w:rsidR="004E5D40">
        <w:t xml:space="preserve">sólo el </w:t>
      </w:r>
      <w:r>
        <w:t>elemento tierra</w:t>
      </w:r>
      <w:r w:rsidR="004E5D40">
        <w:t xml:space="preserve"> </w:t>
      </w:r>
      <w:r w:rsidR="00731611">
        <w:t>solidificado</w:t>
      </w:r>
      <w:r>
        <w:t>.</w:t>
      </w:r>
    </w:p>
    <w:p w14:paraId="05347733" w14:textId="5BD62739" w:rsidR="00C81BD9" w:rsidRDefault="00C81BD9" w:rsidP="00C81BD9">
      <w:r>
        <w:t xml:space="preserve">66. </w:t>
      </w:r>
      <w:r>
        <w:tab/>
      </w:r>
      <w:r w:rsidR="00731611">
        <w:t xml:space="preserve">La </w:t>
      </w:r>
      <w:r w:rsidR="00731611" w:rsidRPr="00306DE7">
        <w:rPr>
          <w:i/>
          <w:iCs/>
        </w:rPr>
        <w:t>garganta</w:t>
      </w:r>
      <w:r w:rsidR="00731611">
        <w:t xml:space="preserve"> </w:t>
      </w:r>
      <w:r w:rsidR="00586629">
        <w:t xml:space="preserve">será </w:t>
      </w:r>
      <w:r>
        <w:t>lo que se com</w:t>
      </w:r>
      <w:r w:rsidR="00586629">
        <w:t>a</w:t>
      </w:r>
      <w:r>
        <w:t>, se beb</w:t>
      </w:r>
      <w:r w:rsidR="00586629">
        <w:t>a</w:t>
      </w:r>
      <w:r>
        <w:t>, se masti</w:t>
      </w:r>
      <w:r w:rsidR="00586629">
        <w:t>que</w:t>
      </w:r>
      <w:r w:rsidR="004F419D">
        <w:t>,</w:t>
      </w:r>
      <w:r>
        <w:t xml:space="preserve"> se </w:t>
      </w:r>
      <w:r w:rsidR="004F419D">
        <w:t>de</w:t>
      </w:r>
      <w:r>
        <w:t>gust</w:t>
      </w:r>
      <w:r w:rsidR="00586629">
        <w:t>e</w:t>
      </w:r>
      <w:r>
        <w:t xml:space="preserve"> </w:t>
      </w:r>
      <w:r w:rsidR="004F419D">
        <w:t xml:space="preserve">y </w:t>
      </w:r>
      <w:r w:rsidR="00F74E4F">
        <w:t>ya</w:t>
      </w:r>
      <w:r w:rsidR="004F419D">
        <w:t>zga</w:t>
      </w:r>
      <w:r>
        <w:t xml:space="preserve"> en el estómago. </w:t>
      </w:r>
      <w:r w:rsidR="004F419D">
        <w:t>Aquí</w:t>
      </w:r>
      <w:r>
        <w:t>, así como el vómito de un perro yace en un plato de perro</w:t>
      </w:r>
      <w:r w:rsidR="004F419D">
        <w:t xml:space="preserve"> y</w:t>
      </w:r>
      <w:r>
        <w:t xml:space="preserve"> el plato de perro no </w:t>
      </w:r>
      <w:r w:rsidR="004F419D">
        <w:t>sabría</w:t>
      </w:r>
      <w:r>
        <w:t xml:space="preserve">, “El vómito de perro está dentro de mí”, ni el vómito de perro </w:t>
      </w:r>
      <w:r w:rsidR="004F419D">
        <w:t>sabría</w:t>
      </w:r>
      <w:r>
        <w:t>, “</w:t>
      </w:r>
      <w:r w:rsidR="002E2076">
        <w:t>Yazgo</w:t>
      </w:r>
      <w:r>
        <w:t xml:space="preserve"> </w:t>
      </w:r>
      <w:r w:rsidR="00731611">
        <w:t xml:space="preserve">sobre </w:t>
      </w:r>
      <w:r>
        <w:t xml:space="preserve">un plato de perro”, así también, el estómago </w:t>
      </w:r>
      <w:r w:rsidR="002E2076">
        <w:t>no sabe, “</w:t>
      </w:r>
      <w:r w:rsidR="00731611">
        <w:t>La g</w:t>
      </w:r>
      <w:r w:rsidR="002E2076">
        <w:t>arganta yace en mí”, ni la garganta</w:t>
      </w:r>
      <w:r w:rsidR="002E2076" w:rsidRPr="002E2076">
        <w:t xml:space="preserve"> </w:t>
      </w:r>
      <w:r w:rsidR="002E2076">
        <w:t>sabe, “Estoy</w:t>
      </w:r>
    </w:p>
    <w:p w14:paraId="48CD9001" w14:textId="730529D0" w:rsidR="00C81BD9" w:rsidRPr="00C81BD9" w:rsidRDefault="00C81BD9" w:rsidP="00C81BD9">
      <w:pPr>
        <w:pStyle w:val="PiedepginaLegal"/>
        <w:rPr>
          <w:u w:val="single"/>
        </w:rPr>
      </w:pPr>
      <w:r w:rsidRPr="00C81BD9">
        <w:rPr>
          <w:u w:val="single"/>
        </w:rPr>
        <w:t xml:space="preserve">                                                                                                                                                          .</w:t>
      </w:r>
    </w:p>
    <w:p w14:paraId="7745AD53" w14:textId="75F75DA5" w:rsidR="00C81BD9" w:rsidRDefault="00C81BD9" w:rsidP="00C81BD9">
      <w:pPr>
        <w:pStyle w:val="PiedepginaLegal"/>
      </w:pPr>
      <w:r>
        <w:t xml:space="preserve">27. </w:t>
      </w:r>
      <w:r>
        <w:tab/>
      </w:r>
      <w:proofErr w:type="spellStart"/>
      <w:r w:rsidR="00057BF4" w:rsidRPr="00057BF4">
        <w:rPr>
          <w:i/>
        </w:rPr>
        <w:t>Dhamma</w:t>
      </w:r>
      <w:r>
        <w:t>ni</w:t>
      </w:r>
      <w:proofErr w:type="spellEnd"/>
      <w:r>
        <w:t xml:space="preserve">— “serpiente rata”: no en este sentido en </w:t>
      </w:r>
      <w:r w:rsidR="00A726DA">
        <w:t xml:space="preserve">el </w:t>
      </w:r>
      <w:r>
        <w:t>PED; ver A-a 459.</w:t>
      </w:r>
    </w:p>
    <w:p w14:paraId="624F266C" w14:textId="77777777" w:rsidR="00C81BD9" w:rsidRDefault="00C81BD9">
      <w:pPr>
        <w:tabs>
          <w:tab w:val="clear" w:pos="425"/>
        </w:tabs>
        <w:spacing w:after="160"/>
        <w:rPr>
          <w:color w:val="000000" w:themeColor="text1"/>
          <w:spacing w:val="10"/>
          <w:sz w:val="14"/>
        </w:rPr>
      </w:pPr>
      <w:r>
        <w:br w:type="page"/>
      </w:r>
    </w:p>
    <w:p w14:paraId="24382183" w14:textId="77777777" w:rsidR="00C81BD9" w:rsidRDefault="00C81BD9" w:rsidP="00C81BD9"/>
    <w:p w14:paraId="08DD5071" w14:textId="21512705" w:rsidR="002F5EFA" w:rsidRDefault="002E2076" w:rsidP="002F5EFA">
      <w:r>
        <w:t>re</w:t>
      </w:r>
      <w:r w:rsidR="002F5EFA">
        <w:t xml:space="preserve">costado </w:t>
      </w:r>
      <w:r>
        <w:t>sobre</w:t>
      </w:r>
      <w:r w:rsidR="002F5EFA">
        <w:t xml:space="preserve"> un estómago”. Estas cosas están desprovistas de preocupación </w:t>
      </w:r>
      <w:r>
        <w:t>e inspección</w:t>
      </w:r>
      <w:r w:rsidR="002F5EFA">
        <w:t xml:space="preserve"> mutua. </w:t>
      </w:r>
      <w:r>
        <w:t>Así que a</w:t>
      </w:r>
      <w:r w:rsidR="002F5EFA">
        <w:t xml:space="preserve"> lo que </w:t>
      </w:r>
      <w:r w:rsidR="00731611">
        <w:t>llamaremos</w:t>
      </w:r>
      <w:r w:rsidR="00731611" w:rsidRPr="00306DE7">
        <w:rPr>
          <w:i/>
          <w:iCs/>
        </w:rPr>
        <w:t xml:space="preserve"> </w:t>
      </w:r>
      <w:r w:rsidR="002F5EFA" w:rsidRPr="00306DE7">
        <w:rPr>
          <w:i/>
          <w:iCs/>
        </w:rPr>
        <w:t>garganta</w:t>
      </w:r>
      <w:r w:rsidR="002F5EFA">
        <w:t xml:space="preserve"> </w:t>
      </w:r>
      <w:r>
        <w:t xml:space="preserve">será sólo </w:t>
      </w:r>
      <w:r w:rsidR="002F5EFA">
        <w:t xml:space="preserve">un componente particular de este cuerpo, sin pensamiento, indeterminado, vacío, no un ser vivo, </w:t>
      </w:r>
      <w:r>
        <w:t>sólo el</w:t>
      </w:r>
      <w:r w:rsidR="002F5EFA">
        <w:t xml:space="preserve"> elemento tierra</w:t>
      </w:r>
      <w:r>
        <w:t xml:space="preserve"> </w:t>
      </w:r>
      <w:r w:rsidR="00731611">
        <w:t>solidificado</w:t>
      </w:r>
      <w:r w:rsidR="002F5EFA">
        <w:t>.</w:t>
      </w:r>
    </w:p>
    <w:p w14:paraId="2D63B5E6" w14:textId="44F63CD2" w:rsidR="002F5EFA" w:rsidRDefault="002F5EFA" w:rsidP="002F5EFA">
      <w:r>
        <w:t xml:space="preserve">67. </w:t>
      </w:r>
      <w:r>
        <w:tab/>
        <w:t xml:space="preserve">El </w:t>
      </w:r>
      <w:r w:rsidR="00C57126">
        <w:rPr>
          <w:i/>
          <w:iCs/>
        </w:rPr>
        <w:t>excremento</w:t>
      </w:r>
      <w:r>
        <w:t xml:space="preserve"> se encuentra al final del intestino, que se asemeja a una articulación de bambú de ocho dedos de largo y se llama el "receptáculo para la comida digerida". [359] Aquí, al igual que </w:t>
      </w:r>
      <w:r w:rsidR="001B4254">
        <w:t xml:space="preserve">al </w:t>
      </w:r>
      <w:r>
        <w:t>golpea</w:t>
      </w:r>
      <w:r w:rsidR="001B4254">
        <w:t>r</w:t>
      </w:r>
      <w:r>
        <w:t xml:space="preserve"> </w:t>
      </w:r>
      <w:r w:rsidR="0066676A">
        <w:t xml:space="preserve">la </w:t>
      </w:r>
      <w:r>
        <w:t xml:space="preserve">arcilla marrón blanda en una junta de bambú, la junta de bambú no </w:t>
      </w:r>
      <w:r w:rsidR="00A35BAD">
        <w:t>sabría</w:t>
      </w:r>
      <w:r>
        <w:t xml:space="preserve">: "La arcilla marrón está </w:t>
      </w:r>
      <w:r w:rsidR="00A35BAD">
        <w:t xml:space="preserve">debajo de </w:t>
      </w:r>
      <w:r>
        <w:t xml:space="preserve">mí", ni la arcilla marrón </w:t>
      </w:r>
      <w:r w:rsidR="00A35BAD">
        <w:t>sabría</w:t>
      </w:r>
      <w:r>
        <w:t xml:space="preserve">: "Estoy </w:t>
      </w:r>
      <w:r w:rsidR="00C470AE">
        <w:t>siendo impactada por</w:t>
      </w:r>
      <w:r w:rsidR="00A35BAD">
        <w:t xml:space="preserve"> </w:t>
      </w:r>
      <w:r>
        <w:t xml:space="preserve">una junta de bambú", así tampoco el receptáculo para </w:t>
      </w:r>
      <w:r w:rsidR="002A68A8">
        <w:t xml:space="preserve">la </w:t>
      </w:r>
      <w:r>
        <w:t xml:space="preserve">comida digerida sabe, “Hay estiércol en mí”, ni el estiércol sabe, “Estoy en un </w:t>
      </w:r>
      <w:r w:rsidR="00C470AE">
        <w:t>receptáculo</w:t>
      </w:r>
      <w:r>
        <w:t xml:space="preserve"> para comida digerida”. Estas cosas están desprovistas de preocupación </w:t>
      </w:r>
      <w:r w:rsidR="00C470AE">
        <w:t xml:space="preserve">e inspección </w:t>
      </w:r>
      <w:r>
        <w:t xml:space="preserve">mutua. </w:t>
      </w:r>
      <w:r w:rsidR="00C470AE">
        <w:t>Así que a</w:t>
      </w:r>
      <w:r>
        <w:t xml:space="preserve"> lo que </w:t>
      </w:r>
      <w:r w:rsidR="002A68A8">
        <w:t>llamaremos</w:t>
      </w:r>
      <w:r w:rsidR="002A68A8">
        <w:rPr>
          <w:i/>
          <w:iCs/>
        </w:rPr>
        <w:t xml:space="preserve"> </w:t>
      </w:r>
      <w:r w:rsidR="00C57126">
        <w:rPr>
          <w:i/>
          <w:iCs/>
        </w:rPr>
        <w:t>excremento</w:t>
      </w:r>
      <w:r w:rsidR="00C57126">
        <w:t xml:space="preserve"> </w:t>
      </w:r>
      <w:r w:rsidR="00C470AE">
        <w:t xml:space="preserve">será </w:t>
      </w:r>
      <w:r>
        <w:t xml:space="preserve">un componente particular de este cuerpo, sin pensamiento, indeterminado, vacío, no un ser vivo, </w:t>
      </w:r>
      <w:r w:rsidR="00C470AE">
        <w:t>sólo el</w:t>
      </w:r>
      <w:r>
        <w:t xml:space="preserve"> elemento tierra</w:t>
      </w:r>
      <w:r w:rsidR="00C470AE">
        <w:t xml:space="preserve"> sólido</w:t>
      </w:r>
      <w:r>
        <w:t>.</w:t>
      </w:r>
    </w:p>
    <w:p w14:paraId="654610E5" w14:textId="21C98D1F" w:rsidR="002F5EFA" w:rsidRDefault="002F5EFA" w:rsidP="002F5EFA">
      <w:r>
        <w:t xml:space="preserve">68. </w:t>
      </w:r>
      <w:r>
        <w:tab/>
        <w:t xml:space="preserve">El </w:t>
      </w:r>
      <w:r w:rsidRPr="00C57126">
        <w:rPr>
          <w:i/>
          <w:iCs/>
        </w:rPr>
        <w:t>cerebro</w:t>
      </w:r>
      <w:r>
        <w:t xml:space="preserve"> se encuentra en el interior del cráneo. </w:t>
      </w:r>
      <w:r w:rsidR="005178F8">
        <w:t>Aquí</w:t>
      </w:r>
      <w:r>
        <w:t xml:space="preserve">, así como </w:t>
      </w:r>
      <w:r w:rsidR="005178F8">
        <w:t xml:space="preserve">al poner </w:t>
      </w:r>
      <w:r>
        <w:t xml:space="preserve">un trozo de masa dentro de una cáscara de calabaza vieja, la cáscara de calabaza no </w:t>
      </w:r>
      <w:r w:rsidR="005178F8">
        <w:t>sabría</w:t>
      </w:r>
      <w:r>
        <w:t xml:space="preserve">: "Un trozo de masa está en mí", ni el trozo de masa </w:t>
      </w:r>
      <w:r w:rsidR="005178F8">
        <w:t>sabría</w:t>
      </w:r>
      <w:r>
        <w:t>: "Estoy dentro de una cáscara de calabaza"</w:t>
      </w:r>
      <w:r w:rsidR="005178F8">
        <w:t>,</w:t>
      </w:r>
      <w:r>
        <w:t xml:space="preserve"> así también, el interior del cráneo no sabe, “el cerebro está en mí”, ni el cerebro sabe, “estoy dentro de un cráneo”. Estas cosas están desprovistas de preocupación </w:t>
      </w:r>
      <w:r w:rsidR="005178F8">
        <w:t xml:space="preserve">e inspección </w:t>
      </w:r>
      <w:r>
        <w:t xml:space="preserve">mutua. </w:t>
      </w:r>
      <w:r w:rsidR="005178F8">
        <w:t>Así que a</w:t>
      </w:r>
      <w:r>
        <w:t xml:space="preserve"> lo que </w:t>
      </w:r>
      <w:r w:rsidR="000E032F">
        <w:t>llamaremos</w:t>
      </w:r>
      <w:r w:rsidR="000E032F" w:rsidRPr="00C57126">
        <w:rPr>
          <w:i/>
          <w:iCs/>
        </w:rPr>
        <w:t xml:space="preserve"> </w:t>
      </w:r>
      <w:r w:rsidRPr="00C57126">
        <w:rPr>
          <w:i/>
          <w:iCs/>
        </w:rPr>
        <w:t>cerebro</w:t>
      </w:r>
      <w:r>
        <w:t xml:space="preserve"> </w:t>
      </w:r>
      <w:r w:rsidR="005178F8">
        <w:t>será sólo</w:t>
      </w:r>
      <w:r>
        <w:t xml:space="preserve"> un componente particular de este cuerpo, sin pensamiento, indeterminado, vacío, no un ser vivo, </w:t>
      </w:r>
      <w:r w:rsidR="005178F8">
        <w:t xml:space="preserve">sólo el </w:t>
      </w:r>
      <w:r>
        <w:t>elemento tierra</w:t>
      </w:r>
      <w:r w:rsidR="005178F8">
        <w:t xml:space="preserve"> </w:t>
      </w:r>
      <w:r w:rsidR="0023067D">
        <w:t>solidificado</w:t>
      </w:r>
      <w:r>
        <w:t>.</w:t>
      </w:r>
    </w:p>
    <w:p w14:paraId="4C0300F3" w14:textId="59EEEF43" w:rsidR="002F5EFA" w:rsidRDefault="002F5EFA" w:rsidP="002F5EFA">
      <w:r>
        <w:t xml:space="preserve">69. </w:t>
      </w:r>
      <w:r>
        <w:tab/>
        <w:t xml:space="preserve">En cuanto a la </w:t>
      </w:r>
      <w:r w:rsidRPr="00C57126">
        <w:rPr>
          <w:i/>
          <w:iCs/>
        </w:rPr>
        <w:t>bilis</w:t>
      </w:r>
      <w:r>
        <w:t>, la bilis libre, que está ligada a la facultad vital, se encuentra empapando todo el cuerpo, mientras que la bilis local se encuentra en el recipiente de la bilis (</w:t>
      </w:r>
      <w:r w:rsidR="003F21FD">
        <w:t xml:space="preserve">en la </w:t>
      </w:r>
      <w:r>
        <w:t xml:space="preserve">vesícula biliar). </w:t>
      </w:r>
      <w:r w:rsidR="003F21FD">
        <w:t>Aquí</w:t>
      </w:r>
      <w:r>
        <w:t>, así como el aceite empapa</w:t>
      </w:r>
      <w:r w:rsidR="0023067D">
        <w:t>n</w:t>
      </w:r>
      <w:r>
        <w:t xml:space="preserve">do una torta, la torta no </w:t>
      </w:r>
      <w:r w:rsidR="003615A5">
        <w:t>sabría</w:t>
      </w:r>
      <w:r>
        <w:t xml:space="preserve">, “El aceite me empapa”, ni el aceite </w:t>
      </w:r>
      <w:r w:rsidR="003615A5">
        <w:t>sabría</w:t>
      </w:r>
      <w:r>
        <w:t xml:space="preserve">, “Yo remojo una torta”, así también, el cuerpo no sabe, “La bilis libre empapa </w:t>
      </w:r>
      <w:r w:rsidR="00E11C12">
        <w:t>este</w:t>
      </w:r>
      <w:r w:rsidR="003615A5">
        <w:t xml:space="preserve"> </w:t>
      </w:r>
      <w:r w:rsidR="00E11C12">
        <w:t>cuerpo</w:t>
      </w:r>
      <w:r>
        <w:t xml:space="preserve">”, ni la bilis libre </w:t>
      </w:r>
      <w:r w:rsidR="00E11C12">
        <w:t>sabría</w:t>
      </w:r>
      <w:r>
        <w:t>, “empapo un cuerpo”. Y así como</w:t>
      </w:r>
      <w:r w:rsidR="00B40FB5">
        <w:t xml:space="preserve"> </w:t>
      </w:r>
      <w:r>
        <w:t xml:space="preserve">una vejiga enredadera </w:t>
      </w:r>
      <w:proofErr w:type="spellStart"/>
      <w:r w:rsidRPr="00B40FB5">
        <w:rPr>
          <w:i/>
          <w:iCs/>
        </w:rPr>
        <w:t>kosāṭakì</w:t>
      </w:r>
      <w:proofErr w:type="spellEnd"/>
      <w:r>
        <w:t xml:space="preserve"> (</w:t>
      </w:r>
      <w:proofErr w:type="spellStart"/>
      <w:r w:rsidRPr="00B40FB5">
        <w:rPr>
          <w:i/>
          <w:iCs/>
        </w:rPr>
        <w:t>lufa</w:t>
      </w:r>
      <w:proofErr w:type="spellEnd"/>
      <w:r>
        <w:t xml:space="preserve">) está llena de agua de lluvia, la vejiga enredadera </w:t>
      </w:r>
      <w:proofErr w:type="spellStart"/>
      <w:r w:rsidRPr="00B40FB5">
        <w:rPr>
          <w:i/>
          <w:iCs/>
        </w:rPr>
        <w:t>kosāṭakì</w:t>
      </w:r>
      <w:proofErr w:type="spellEnd"/>
      <w:r>
        <w:t xml:space="preserve"> no </w:t>
      </w:r>
      <w:r w:rsidR="00807B51">
        <w:t>sabría</w:t>
      </w:r>
      <w:r>
        <w:t xml:space="preserve">, “El agua de lluvia está en mí”, ni el agua de lluvia </w:t>
      </w:r>
      <w:r w:rsidR="00807B51">
        <w:t>sabría</w:t>
      </w:r>
      <w:r>
        <w:t xml:space="preserve">, “Estoy en una vejiga enredadera </w:t>
      </w:r>
      <w:proofErr w:type="spellStart"/>
      <w:r w:rsidRPr="00B40FB5">
        <w:rPr>
          <w:i/>
          <w:iCs/>
        </w:rPr>
        <w:t>kosāṭakì</w:t>
      </w:r>
      <w:proofErr w:type="spellEnd"/>
      <w:r>
        <w:t>”</w:t>
      </w:r>
      <w:r w:rsidR="00B40FB5">
        <w:t>,</w:t>
      </w:r>
      <w:r>
        <w:t xml:space="preserve"> así también, la vesícula biliar no sabe, “La bilis local está en mí”, ni la bilis local sabe, “Estoy en una vesícula biliar”. Estas cosas están desprovistas de preocupación </w:t>
      </w:r>
      <w:r w:rsidR="00B40FB5">
        <w:t xml:space="preserve">e inspección </w:t>
      </w:r>
      <w:r>
        <w:t xml:space="preserve">mutua. Así que </w:t>
      </w:r>
      <w:r w:rsidR="00B40FB5">
        <w:t xml:space="preserve">a </w:t>
      </w:r>
      <w:r>
        <w:t xml:space="preserve">lo que </w:t>
      </w:r>
      <w:r w:rsidR="0017044B">
        <w:t>llamaremos</w:t>
      </w:r>
      <w:r w:rsidR="0017044B" w:rsidRPr="00C57126">
        <w:rPr>
          <w:i/>
          <w:iCs/>
        </w:rPr>
        <w:t xml:space="preserve"> </w:t>
      </w:r>
      <w:r w:rsidRPr="00C57126">
        <w:rPr>
          <w:i/>
          <w:iCs/>
        </w:rPr>
        <w:t>bilis</w:t>
      </w:r>
      <w:r>
        <w:t xml:space="preserve"> </w:t>
      </w:r>
      <w:r w:rsidR="00B40FB5">
        <w:t>será sólo</w:t>
      </w:r>
      <w:r>
        <w:t xml:space="preserve"> un componente particular de este cuerpo, sin pensamiento, indeterminado, vacío, no un ser vivo, </w:t>
      </w:r>
      <w:r w:rsidR="005D6308">
        <w:t xml:space="preserve">sólo el </w:t>
      </w:r>
      <w:r>
        <w:t xml:space="preserve">elemento </w:t>
      </w:r>
      <w:r w:rsidR="005D6308">
        <w:t xml:space="preserve">líquido del </w:t>
      </w:r>
      <w:r>
        <w:t>agua en modo cohesión.</w:t>
      </w:r>
    </w:p>
    <w:p w14:paraId="2A48495D" w14:textId="3870D7DF" w:rsidR="002F5EFA" w:rsidRDefault="002F5EFA" w:rsidP="002F5EFA">
      <w:r>
        <w:t xml:space="preserve">70. </w:t>
      </w:r>
      <w:r>
        <w:tab/>
        <w:t xml:space="preserve">La </w:t>
      </w:r>
      <w:r w:rsidRPr="00C57126">
        <w:rPr>
          <w:i/>
          <w:iCs/>
        </w:rPr>
        <w:t>flema</w:t>
      </w:r>
      <w:r>
        <w:t xml:space="preserve"> se encuentra en la superficie del estómago y mide un cuenco lleno. </w:t>
      </w:r>
      <w:r w:rsidR="005D6308">
        <w:t>Aquí</w:t>
      </w:r>
      <w:r>
        <w:t xml:space="preserve">, así como una cloaca </w:t>
      </w:r>
      <w:r w:rsidR="009F75B2">
        <w:t xml:space="preserve">que </w:t>
      </w:r>
      <w:r w:rsidR="005D6308">
        <w:t>pose</w:t>
      </w:r>
      <w:r w:rsidR="009F75B2">
        <w:t>a</w:t>
      </w:r>
      <w:r>
        <w:t xml:space="preserve"> una superficie de espuma, la cloaca no </w:t>
      </w:r>
      <w:r w:rsidR="005D6308">
        <w:t>sabría</w:t>
      </w:r>
      <w:r>
        <w:t xml:space="preserve">: “Una superficie de espuma está sobre mí”, ni la superficie de la espuma [360] </w:t>
      </w:r>
      <w:r w:rsidR="005D6308">
        <w:t>sabría</w:t>
      </w:r>
      <w:r>
        <w:t xml:space="preserve">: “Estoy </w:t>
      </w:r>
      <w:r w:rsidR="009F75B2">
        <w:t xml:space="preserve">sobre </w:t>
      </w:r>
      <w:r>
        <w:t xml:space="preserve">una cloaca”, así tampoco la superficie del estómago sabe, “La flema está sobre mí”, ni la flema sabe, “Estoy en la superficie del estómago”. Estas cosas están desprovistas de preocupación </w:t>
      </w:r>
      <w:r w:rsidR="005D6308">
        <w:t xml:space="preserve">e inspección </w:t>
      </w:r>
      <w:r>
        <w:t xml:space="preserve">mutua. Así que </w:t>
      </w:r>
      <w:r w:rsidR="005D6308">
        <w:t xml:space="preserve">a </w:t>
      </w:r>
      <w:r>
        <w:t xml:space="preserve">lo que </w:t>
      </w:r>
      <w:r w:rsidR="004E0D67">
        <w:t>llamaremos</w:t>
      </w:r>
      <w:r w:rsidR="004E0D67" w:rsidRPr="00C57126">
        <w:rPr>
          <w:i/>
          <w:iCs/>
        </w:rPr>
        <w:t xml:space="preserve"> </w:t>
      </w:r>
      <w:r w:rsidRPr="00C57126">
        <w:rPr>
          <w:i/>
          <w:iCs/>
        </w:rPr>
        <w:t>flema</w:t>
      </w:r>
      <w:r>
        <w:t xml:space="preserve"> </w:t>
      </w:r>
      <w:r w:rsidR="005D6308">
        <w:t>será sólo</w:t>
      </w:r>
      <w:r>
        <w:t xml:space="preserve"> un componente particular de este cuerpo, sin pensamiento, indeterminado, vacío, no un ser vivo, </w:t>
      </w:r>
      <w:r w:rsidR="005D6308">
        <w:t>sólo el</w:t>
      </w:r>
      <w:r>
        <w:t xml:space="preserve"> elemento agua en modo cohesión.</w:t>
      </w:r>
    </w:p>
    <w:p w14:paraId="5092CD47" w14:textId="435D8B03" w:rsidR="002F5EFA" w:rsidRDefault="002F5EFA" w:rsidP="002F5EFA">
      <w:r>
        <w:t xml:space="preserve">71. </w:t>
      </w:r>
      <w:r>
        <w:tab/>
      </w:r>
      <w:r w:rsidR="00C57126">
        <w:t xml:space="preserve">El </w:t>
      </w:r>
      <w:r w:rsidR="005D6308" w:rsidRPr="00C57126">
        <w:rPr>
          <w:i/>
          <w:iCs/>
        </w:rPr>
        <w:t>pus</w:t>
      </w:r>
      <w:r w:rsidR="005D6308">
        <w:t xml:space="preserve"> </w:t>
      </w:r>
      <w:r>
        <w:t>no tiene una ubicación fija. Se encuentra dondequiera que la sangre se estan</w:t>
      </w:r>
      <w:r w:rsidR="005D6308">
        <w:t>que</w:t>
      </w:r>
      <w:r>
        <w:t xml:space="preserve"> y se deterior</w:t>
      </w:r>
      <w:r w:rsidR="005D6308">
        <w:t>e</w:t>
      </w:r>
      <w:r>
        <w:t xml:space="preserve"> en una parte del cuerpo dañada por heridas causadas por astillas y espinas, por quemaduras debidas al fuego, o donde apare</w:t>
      </w:r>
      <w:r w:rsidR="005D6308">
        <w:t>zca</w:t>
      </w:r>
      <w:r>
        <w:t xml:space="preserve">n </w:t>
      </w:r>
      <w:r w:rsidR="005D6308">
        <w:t xml:space="preserve">los </w:t>
      </w:r>
      <w:r>
        <w:t xml:space="preserve">forúnculos, </w:t>
      </w:r>
      <w:r w:rsidR="005D6308">
        <w:t xml:space="preserve">el </w:t>
      </w:r>
      <w:r>
        <w:t xml:space="preserve">ántrax, etc. </w:t>
      </w:r>
      <w:r w:rsidR="00B1626E">
        <w:t>Aquí</w:t>
      </w:r>
      <w:r>
        <w:t xml:space="preserve">, al igual que un árbol rezuma </w:t>
      </w:r>
      <w:r w:rsidR="00B1626E">
        <w:t>ca</w:t>
      </w:r>
      <w:r w:rsidR="001B5670">
        <w:t>u</w:t>
      </w:r>
      <w:r w:rsidR="00B1626E">
        <w:t>cho</w:t>
      </w:r>
      <w:r>
        <w:t xml:space="preserve"> al ser golpeado, por ejemplo, con un hacha, las partes del árbol que han sido golpeadas no </w:t>
      </w:r>
      <w:r w:rsidR="00B1626E">
        <w:t>sabrían</w:t>
      </w:r>
      <w:r>
        <w:t>: “</w:t>
      </w:r>
      <w:r w:rsidR="00B1626E">
        <w:t>El caucho</w:t>
      </w:r>
      <w:r>
        <w:t xml:space="preserve"> está </w:t>
      </w:r>
      <w:r w:rsidR="00B1626E">
        <w:t xml:space="preserve">dentro </w:t>
      </w:r>
      <w:r>
        <w:t>nosotros”,</w:t>
      </w:r>
      <w:r w:rsidR="00B1626E" w:rsidRPr="00B1626E">
        <w:t xml:space="preserve"> </w:t>
      </w:r>
      <w:r w:rsidR="00B1626E">
        <w:t xml:space="preserve">ni </w:t>
      </w:r>
      <w:r w:rsidR="006B7F14">
        <w:t>el caucho</w:t>
      </w:r>
      <w:r w:rsidR="00B1626E">
        <w:t xml:space="preserve"> </w:t>
      </w:r>
      <w:r w:rsidR="006B7F14">
        <w:t>sabría</w:t>
      </w:r>
      <w:r w:rsidR="00B1626E">
        <w:t>,</w:t>
      </w:r>
    </w:p>
    <w:p w14:paraId="09C894A5" w14:textId="77777777" w:rsidR="002F5EFA" w:rsidRDefault="002F5EFA">
      <w:pPr>
        <w:tabs>
          <w:tab w:val="clear" w:pos="425"/>
        </w:tabs>
        <w:spacing w:after="160"/>
      </w:pPr>
      <w:r>
        <w:br w:type="page"/>
      </w:r>
    </w:p>
    <w:p w14:paraId="34BDB1E4" w14:textId="77777777" w:rsidR="002F5EFA" w:rsidRDefault="002F5EFA" w:rsidP="002F5EFA"/>
    <w:p w14:paraId="361B54A8" w14:textId="0580D4F3" w:rsidR="00C37CE6" w:rsidRDefault="00C37CE6" w:rsidP="00C37CE6">
      <w:r>
        <w:t xml:space="preserve">“Estoy en </w:t>
      </w:r>
      <w:r w:rsidR="00B1626E">
        <w:t>la</w:t>
      </w:r>
      <w:r>
        <w:t xml:space="preserve"> parte de un árbol que ha sido golpeado”, así también, las partes del cuerpo heridas por astillas, espinas, etc., no </w:t>
      </w:r>
      <w:r w:rsidR="006B7F14">
        <w:t>saben</w:t>
      </w:r>
      <w:r>
        <w:t>, “</w:t>
      </w:r>
      <w:r w:rsidR="00B1626E">
        <w:t xml:space="preserve">el pus </w:t>
      </w:r>
      <w:r>
        <w:t>está en nosotros”, ni el pus</w:t>
      </w:r>
      <w:r w:rsidR="00F83EE0" w:rsidRPr="00F83EE0">
        <w:t xml:space="preserve"> </w:t>
      </w:r>
      <w:r w:rsidR="00F83EE0">
        <w:t>sabe</w:t>
      </w:r>
      <w:r>
        <w:t xml:space="preserve">: “Estoy en tales lugares”. Estas cosas están desprovistas de preocupación </w:t>
      </w:r>
      <w:r w:rsidR="00F83EE0">
        <w:t xml:space="preserve">e inspección </w:t>
      </w:r>
      <w:r>
        <w:t xml:space="preserve">mutua. </w:t>
      </w:r>
      <w:r w:rsidR="00F83EE0">
        <w:t>Así que a</w:t>
      </w:r>
      <w:r>
        <w:t xml:space="preserve"> lo que </w:t>
      </w:r>
      <w:r w:rsidR="006B7F14">
        <w:t>llamaremos</w:t>
      </w:r>
      <w:r w:rsidR="006B7F14" w:rsidRPr="00C57126">
        <w:rPr>
          <w:i/>
          <w:iCs/>
        </w:rPr>
        <w:t xml:space="preserve"> </w:t>
      </w:r>
      <w:r w:rsidRPr="00C57126">
        <w:rPr>
          <w:i/>
          <w:iCs/>
        </w:rPr>
        <w:t>pus</w:t>
      </w:r>
      <w:r>
        <w:t xml:space="preserve"> </w:t>
      </w:r>
      <w:r w:rsidR="00F83EE0">
        <w:t xml:space="preserve">será sólo </w:t>
      </w:r>
      <w:r>
        <w:t xml:space="preserve">un componente particular de este cuerpo, sin pensamiento, indeterminado, vacío, no un ser vivo, </w:t>
      </w:r>
      <w:r w:rsidR="00F83EE0">
        <w:t xml:space="preserve">sólo el </w:t>
      </w:r>
      <w:r>
        <w:t xml:space="preserve">elemento </w:t>
      </w:r>
      <w:r w:rsidR="00F83EE0">
        <w:t xml:space="preserve">líquido del </w:t>
      </w:r>
      <w:r>
        <w:t>agua en modo cohesión.</w:t>
      </w:r>
    </w:p>
    <w:p w14:paraId="518B8E64" w14:textId="6B87D69F" w:rsidR="00C37CE6" w:rsidRDefault="00C37CE6" w:rsidP="00C37CE6">
      <w:r>
        <w:t xml:space="preserve">72. </w:t>
      </w:r>
      <w:r>
        <w:tab/>
        <w:t xml:space="preserve">En cuanto a la </w:t>
      </w:r>
      <w:r w:rsidRPr="00C57126">
        <w:rPr>
          <w:i/>
          <w:iCs/>
        </w:rPr>
        <w:t>sangre</w:t>
      </w:r>
      <w:r>
        <w:t>, la sangre móvil se encuentra, como la bilis, empapando todo el cuerpo. La sangre almacenada se encuentra llenando la parte inferior del sitio del hígado en la medida de un tazón lleno, mojando el riñón, el corazón, el hígado y los pulmones. Aquí, la definición de sangre móvil es similar a la de bilis libre. Pero en cuanto al otro, así como</w:t>
      </w:r>
      <w:r w:rsidR="00D624B8">
        <w:t xml:space="preserve"> </w:t>
      </w:r>
      <w:r>
        <w:t xml:space="preserve">el agua de lluvia </w:t>
      </w:r>
      <w:r w:rsidR="00D624B8">
        <w:t xml:space="preserve">que </w:t>
      </w:r>
      <w:r>
        <w:t xml:space="preserve">se cuela a través de una olla vieja y </w:t>
      </w:r>
      <w:r w:rsidR="007142A0">
        <w:t xml:space="preserve">que </w:t>
      </w:r>
      <w:r>
        <w:t xml:space="preserve">moja los terrones y los tocones debajo, los terrones y los tocones no </w:t>
      </w:r>
      <w:r w:rsidR="00CD4486">
        <w:t>sabrían</w:t>
      </w:r>
      <w:r>
        <w:t xml:space="preserve">: "Estamos siendo mojados </w:t>
      </w:r>
      <w:r w:rsidR="00CD4486">
        <w:t>por el</w:t>
      </w:r>
      <w:r>
        <w:t xml:space="preserve"> agua", ni el agua </w:t>
      </w:r>
      <w:r w:rsidR="00CD4486">
        <w:t>sabría</w:t>
      </w:r>
      <w:r>
        <w:t>: "</w:t>
      </w:r>
      <w:r w:rsidR="007142A0">
        <w:t>e</w:t>
      </w:r>
      <w:r w:rsidR="00CD4486">
        <w:t>stoy</w:t>
      </w:r>
      <w:r>
        <w:t xml:space="preserve"> mojando terrones y muñones”, así también, la parte inferior del sitio del hígado, o los riñones, etc., respectivamente no saben, “La sangre está en mí”, o “Estamos siendo mojados</w:t>
      </w:r>
      <w:r w:rsidR="00CD4486">
        <w:t xml:space="preserve"> por la sangre</w:t>
      </w:r>
      <w:r>
        <w:t xml:space="preserve">”, ni la sangre sabe, “Relleno la parte inferior del sitio de un hígado, humedezco </w:t>
      </w:r>
      <w:r w:rsidR="00CD4486">
        <w:t xml:space="preserve">el </w:t>
      </w:r>
      <w:r>
        <w:t xml:space="preserve">riñón, y así sucesivamente”. Estas cosas están desprovistas de preocupación </w:t>
      </w:r>
      <w:r w:rsidR="00CD4486">
        <w:t>e inspección</w:t>
      </w:r>
      <w:r>
        <w:t xml:space="preserve"> mutua. Así que lo que </w:t>
      </w:r>
      <w:r w:rsidR="004A527E">
        <w:t xml:space="preserve">llamaremos </w:t>
      </w:r>
      <w:r w:rsidRPr="00C57126">
        <w:rPr>
          <w:i/>
          <w:iCs/>
        </w:rPr>
        <w:t>sangre</w:t>
      </w:r>
      <w:r>
        <w:t xml:space="preserve"> </w:t>
      </w:r>
      <w:r w:rsidR="00CD4486">
        <w:t xml:space="preserve">será sólo </w:t>
      </w:r>
      <w:r>
        <w:t xml:space="preserve">un componente particular de este cuerpo, sin pensamiento, indeterminado, vacío, no un ser vivo, </w:t>
      </w:r>
      <w:r w:rsidR="00CD4486">
        <w:t xml:space="preserve">sólo el </w:t>
      </w:r>
      <w:r>
        <w:t xml:space="preserve">elemento </w:t>
      </w:r>
      <w:r w:rsidR="004A527E">
        <w:t xml:space="preserve">líquido </w:t>
      </w:r>
      <w:r w:rsidR="00CD4486">
        <w:t xml:space="preserve">del </w:t>
      </w:r>
      <w:r>
        <w:t>agua en modo cohesión.</w:t>
      </w:r>
    </w:p>
    <w:p w14:paraId="71E2789A" w14:textId="0F8539FB" w:rsidR="00C37CE6" w:rsidRDefault="00C37CE6" w:rsidP="00C37CE6">
      <w:r>
        <w:t xml:space="preserve">73. </w:t>
      </w:r>
      <w:r>
        <w:tab/>
        <w:t xml:space="preserve">El </w:t>
      </w:r>
      <w:r w:rsidRPr="00C57126">
        <w:rPr>
          <w:i/>
          <w:iCs/>
        </w:rPr>
        <w:t>sudor</w:t>
      </w:r>
      <w:r>
        <w:t xml:space="preserve"> se encuentra llenando las aberturas de los poros de los </w:t>
      </w:r>
      <w:r w:rsidR="00F86AC7">
        <w:t>cabellos</w:t>
      </w:r>
      <w:r>
        <w:t xml:space="preserve"> de la cabeza y del cuerpo cuando hay calor debido a incendios, etc., y gotea. Aquí, al igual que [361] los tallos de los capullos de lirio y los tallos de loto </w:t>
      </w:r>
      <w:r w:rsidR="0055357A">
        <w:t xml:space="preserve">que </w:t>
      </w:r>
      <w:r>
        <w:t xml:space="preserve">se arrancan del agua, las aberturas en los racimos de lirios, etc., no </w:t>
      </w:r>
      <w:r w:rsidR="00026F03">
        <w:t>sabrían</w:t>
      </w:r>
      <w:r>
        <w:t xml:space="preserve">, "El agua gotea </w:t>
      </w:r>
      <w:r w:rsidR="00026F03">
        <w:t>sobre</w:t>
      </w:r>
      <w:r>
        <w:t xml:space="preserve"> nosotros", ni el agua goteando de las aberturas en los racimos de lirios, etc., </w:t>
      </w:r>
      <w:r w:rsidR="00026F03">
        <w:t>sabrían</w:t>
      </w:r>
      <w:r>
        <w:t xml:space="preserve">, “estoy goteando de las aberturas en los racimos de lirios, etc.”, así también, las aberturas de los poros de los </w:t>
      </w:r>
      <w:r w:rsidR="00026F03">
        <w:t>cabellos</w:t>
      </w:r>
      <w:r>
        <w:t xml:space="preserve"> de la cabeza y del cuerpo no saben, “ El sudor gotea de nosotros”, ni el sudor sabe, “goteo de las aberturas de los poros de los </w:t>
      </w:r>
      <w:r w:rsidR="00026F03">
        <w:t xml:space="preserve">cabellos </w:t>
      </w:r>
      <w:r>
        <w:t xml:space="preserve">de la cabeza y del cuerpo”. Estas cosas están desprovistas de preocupación </w:t>
      </w:r>
      <w:r w:rsidR="00427BF2">
        <w:t xml:space="preserve">e inspección </w:t>
      </w:r>
      <w:r>
        <w:t xml:space="preserve">mutua. Así que </w:t>
      </w:r>
      <w:r w:rsidR="00026F03">
        <w:t xml:space="preserve">a </w:t>
      </w:r>
      <w:r>
        <w:t xml:space="preserve">lo que </w:t>
      </w:r>
      <w:r w:rsidR="00427BF2">
        <w:t>llamaremos</w:t>
      </w:r>
      <w:r w:rsidR="00427BF2" w:rsidRPr="00C57126">
        <w:rPr>
          <w:i/>
          <w:iCs/>
        </w:rPr>
        <w:t xml:space="preserve"> </w:t>
      </w:r>
      <w:r w:rsidRPr="00C57126">
        <w:rPr>
          <w:i/>
          <w:iCs/>
        </w:rPr>
        <w:t>sudor</w:t>
      </w:r>
      <w:r>
        <w:t xml:space="preserve"> </w:t>
      </w:r>
      <w:r w:rsidR="00026F03">
        <w:t>será sólo</w:t>
      </w:r>
      <w:r>
        <w:t xml:space="preserve"> un componente particular de este cuerpo, sin pensamiento, indeterminado, vacío, no un ser vivo, </w:t>
      </w:r>
      <w:r w:rsidR="00026F03">
        <w:t xml:space="preserve">sólo el </w:t>
      </w:r>
      <w:r>
        <w:t xml:space="preserve">elemento </w:t>
      </w:r>
      <w:r w:rsidR="00026F03">
        <w:t xml:space="preserve">líquido </w:t>
      </w:r>
      <w:r>
        <w:t>agua en modo cohesión.</w:t>
      </w:r>
    </w:p>
    <w:p w14:paraId="1839A9D4" w14:textId="23A79668" w:rsidR="00C37CE6" w:rsidRDefault="00C37CE6" w:rsidP="00C37CE6">
      <w:r>
        <w:t xml:space="preserve">74. </w:t>
      </w:r>
      <w:r>
        <w:tab/>
        <w:t xml:space="preserve">La </w:t>
      </w:r>
      <w:r w:rsidRPr="00C57126">
        <w:rPr>
          <w:i/>
          <w:iCs/>
        </w:rPr>
        <w:t>grasa</w:t>
      </w:r>
      <w:r>
        <w:t xml:space="preserve"> es el ungüento espeso que se encuentra impregnando todo el cuerpo de alguien que s</w:t>
      </w:r>
      <w:r w:rsidR="00026F03">
        <w:t>ea</w:t>
      </w:r>
      <w:r>
        <w:t xml:space="preserve"> corpulento, y en la carne de la pierna, etc., de alguien que s</w:t>
      </w:r>
      <w:r w:rsidR="00026F03">
        <w:t>ea</w:t>
      </w:r>
      <w:r>
        <w:t xml:space="preserve"> flaco. </w:t>
      </w:r>
      <w:r w:rsidR="00026F03">
        <w:t>Aquí</w:t>
      </w:r>
      <w:r>
        <w:t>, al igual que un montón de carne cubiert</w:t>
      </w:r>
      <w:r w:rsidR="00F60D13">
        <w:t>a</w:t>
      </w:r>
      <w:r>
        <w:t xml:space="preserve"> por un trapo amarillo, el montón de carne no </w:t>
      </w:r>
      <w:r w:rsidR="00026F03">
        <w:t>sabría</w:t>
      </w:r>
      <w:r>
        <w:t xml:space="preserve">: “Un trapo amarillo está junto a mí”, ni el trapo amarillo </w:t>
      </w:r>
      <w:r w:rsidR="00026F03">
        <w:t>sabría</w:t>
      </w:r>
      <w:r>
        <w:t>: “Estoy junto a un montón de carne”, así también, la carne que se encuentr</w:t>
      </w:r>
      <w:r w:rsidR="00026F03">
        <w:t>e</w:t>
      </w:r>
      <w:r>
        <w:t xml:space="preserve"> en todo el cuerpo, o en las piernas, etc., no sabe, “La grasa está junto a mí”, ni la grasa sabe, “Estoy junto a la carne en todo el cuerpo, o en las piernas, </w:t>
      </w:r>
      <w:proofErr w:type="spellStart"/>
      <w:r>
        <w:t>etc</w:t>
      </w:r>
      <w:proofErr w:type="spellEnd"/>
      <w:r w:rsidR="00C221C0">
        <w:t>”</w:t>
      </w:r>
      <w:r>
        <w:t xml:space="preserve">. Estas cosas están desprovistas de preocupación </w:t>
      </w:r>
      <w:r w:rsidR="00C221C0">
        <w:t xml:space="preserve">e inspección </w:t>
      </w:r>
      <w:r>
        <w:t xml:space="preserve">mutua. </w:t>
      </w:r>
      <w:r w:rsidR="00026F03">
        <w:t>Aquí a</w:t>
      </w:r>
      <w:r>
        <w:t xml:space="preserve"> lo que </w:t>
      </w:r>
      <w:r w:rsidR="00C221C0">
        <w:t>llamaremos</w:t>
      </w:r>
      <w:r w:rsidR="00C221C0" w:rsidRPr="00C57126">
        <w:rPr>
          <w:i/>
          <w:iCs/>
        </w:rPr>
        <w:t xml:space="preserve"> </w:t>
      </w:r>
      <w:r w:rsidRPr="00C57126">
        <w:rPr>
          <w:i/>
          <w:iCs/>
        </w:rPr>
        <w:t>grasa</w:t>
      </w:r>
      <w:r>
        <w:t xml:space="preserve"> </w:t>
      </w:r>
      <w:r w:rsidR="00026F03">
        <w:t xml:space="preserve">será sólo </w:t>
      </w:r>
      <w:r>
        <w:t xml:space="preserve">un componente particular de este cuerpo, sin pensamiento, indeterminado, vacío, no un ser vivo, </w:t>
      </w:r>
      <w:r w:rsidR="00026F03">
        <w:t xml:space="preserve">sólo el </w:t>
      </w:r>
      <w:r>
        <w:t xml:space="preserve">elemento </w:t>
      </w:r>
      <w:r w:rsidR="00026F03">
        <w:t xml:space="preserve">líquido </w:t>
      </w:r>
      <w:r>
        <w:t>agua en el modo de cohesión</w:t>
      </w:r>
      <w:r w:rsidR="00026F03" w:rsidRPr="00026F03">
        <w:t xml:space="preserve"> </w:t>
      </w:r>
      <w:r w:rsidR="00026F03">
        <w:t>viscosa</w:t>
      </w:r>
      <w:r>
        <w:t>.</w:t>
      </w:r>
    </w:p>
    <w:p w14:paraId="6FE93407" w14:textId="6C3F8DBC" w:rsidR="00C37CE6" w:rsidRDefault="00C37CE6" w:rsidP="00C37CE6">
      <w:r>
        <w:t xml:space="preserve">75. </w:t>
      </w:r>
      <w:r>
        <w:tab/>
        <w:t xml:space="preserve">Las </w:t>
      </w:r>
      <w:r w:rsidRPr="00C57126">
        <w:rPr>
          <w:i/>
          <w:iCs/>
        </w:rPr>
        <w:t>lágrimas</w:t>
      </w:r>
      <w:r>
        <w:t xml:space="preserve">, cuando se producen, se encuentran llenando las cuencas de los ojos o saliendo de ellas. </w:t>
      </w:r>
      <w:r w:rsidR="00026F03">
        <w:t>Aquí</w:t>
      </w:r>
      <w:r>
        <w:t xml:space="preserve">, así como las cuencas de las semillas tiernas de la palma están llenas de agua, las cuencas de las semillas tiernas de la palma no </w:t>
      </w:r>
      <w:r w:rsidR="00026F03">
        <w:t>sabrían</w:t>
      </w:r>
      <w:r>
        <w:t xml:space="preserve">: "El agua está </w:t>
      </w:r>
      <w:r w:rsidR="00CB6E19">
        <w:t>dentro de</w:t>
      </w:r>
      <w:r>
        <w:t xml:space="preserve"> nosotros", ni el agua en las cuencas de los</w:t>
      </w:r>
      <w:r w:rsidR="00026F03">
        <w:t xml:space="preserve"> palmitos tiernos sabrían: “Estoy en las cuencas de</w:t>
      </w:r>
    </w:p>
    <w:p w14:paraId="58985795" w14:textId="77777777" w:rsidR="00C37CE6" w:rsidRDefault="00C37CE6">
      <w:pPr>
        <w:tabs>
          <w:tab w:val="clear" w:pos="425"/>
        </w:tabs>
        <w:spacing w:after="160"/>
      </w:pPr>
      <w:r>
        <w:br w:type="page"/>
      </w:r>
    </w:p>
    <w:p w14:paraId="201FC809" w14:textId="77777777" w:rsidR="00C37CE6" w:rsidRDefault="00C37CE6" w:rsidP="00C37CE6"/>
    <w:p w14:paraId="38DC51E9" w14:textId="48E38D0A" w:rsidR="009E017E" w:rsidRDefault="00950EF5" w:rsidP="009E017E">
      <w:r>
        <w:t>las semillas tiernas</w:t>
      </w:r>
      <w:r w:rsidR="009E017E">
        <w:t xml:space="preserve">”, así también, las cuencas de los ojos no saben, “las lágrimas están en nosotros”, ni las lágrimas saben, “estamos en las cuencas de los ojos”. Estas cosas están desprovistas de preocupación </w:t>
      </w:r>
      <w:r w:rsidR="00026F03">
        <w:t>e inspección</w:t>
      </w:r>
      <w:r w:rsidR="009E017E">
        <w:t xml:space="preserve"> mutua. Así que </w:t>
      </w:r>
      <w:r w:rsidR="00026F03">
        <w:t xml:space="preserve">a </w:t>
      </w:r>
      <w:r w:rsidR="009E017E">
        <w:t xml:space="preserve">lo que </w:t>
      </w:r>
      <w:r w:rsidR="00FD2125">
        <w:t>llamaremos</w:t>
      </w:r>
      <w:r w:rsidR="009E017E">
        <w:t xml:space="preserve"> </w:t>
      </w:r>
      <w:r w:rsidR="009E017E" w:rsidRPr="00C57126">
        <w:rPr>
          <w:i/>
          <w:iCs/>
        </w:rPr>
        <w:t>lágrimas</w:t>
      </w:r>
      <w:r w:rsidR="009E017E">
        <w:t xml:space="preserve"> </w:t>
      </w:r>
      <w:r w:rsidR="00026F03">
        <w:t xml:space="preserve">serán </w:t>
      </w:r>
      <w:r w:rsidR="00FD2125">
        <w:t>s</w:t>
      </w:r>
      <w:r w:rsidR="00026F03">
        <w:t xml:space="preserve">ólo </w:t>
      </w:r>
      <w:r w:rsidR="009E017E">
        <w:t xml:space="preserve">un componente particular de este cuerpo, sin pensamiento, indeterminado, vacío, no un ser vivo, </w:t>
      </w:r>
      <w:r w:rsidR="00026F03">
        <w:t xml:space="preserve">sólo el </w:t>
      </w:r>
      <w:r w:rsidR="009E017E">
        <w:t xml:space="preserve">elemento </w:t>
      </w:r>
      <w:r w:rsidR="00026F03">
        <w:t xml:space="preserve">líquido </w:t>
      </w:r>
      <w:r w:rsidR="009E017E">
        <w:t>agua en modo cohesión.</w:t>
      </w:r>
    </w:p>
    <w:p w14:paraId="773F2A70" w14:textId="1D0CF87E" w:rsidR="009E017E" w:rsidRDefault="009E017E" w:rsidP="009E017E">
      <w:r>
        <w:t xml:space="preserve">76. </w:t>
      </w:r>
      <w:r>
        <w:tab/>
        <w:t xml:space="preserve">La </w:t>
      </w:r>
      <w:r w:rsidR="00FD2125">
        <w:rPr>
          <w:i/>
          <w:iCs/>
        </w:rPr>
        <w:t>resina</w:t>
      </w:r>
      <w:r>
        <w:t xml:space="preserve"> es el ungüento derretido que se encuentra en las palmas y dorso de las manos, en las plantas y dorso de los pies, en la nariz y la frente y en las puntas de los hombros, cuando se calienta al fuego, etc. </w:t>
      </w:r>
      <w:r w:rsidR="00072974">
        <w:t>Aquí</w:t>
      </w:r>
      <w:r>
        <w:t xml:space="preserve">, al igual que, cuando se </w:t>
      </w:r>
      <w:r w:rsidR="00FD2125">
        <w:t xml:space="preserve">pusiese </w:t>
      </w:r>
      <w:r>
        <w:t xml:space="preserve">aceite en las gachas de arroz, las gachas de arroz no </w:t>
      </w:r>
      <w:r w:rsidR="00997BDD">
        <w:t>sabrían</w:t>
      </w:r>
      <w:r>
        <w:t xml:space="preserve">: "El aceite me cubre", ni el aceite </w:t>
      </w:r>
      <w:r w:rsidR="00997BDD">
        <w:t>sabría</w:t>
      </w:r>
      <w:r>
        <w:t xml:space="preserve">: "Estoy untado las gachas de arroz", así también, el lugar que </w:t>
      </w:r>
      <w:proofErr w:type="gramStart"/>
      <w:r>
        <w:t>consiste de</w:t>
      </w:r>
      <w:proofErr w:type="gramEnd"/>
      <w:r>
        <w:t xml:space="preserve"> la palma de la mano, etc., [362] no sabe, “</w:t>
      </w:r>
      <w:r w:rsidR="00997BDD">
        <w:t>Estoy untado de resina</w:t>
      </w:r>
      <w:r>
        <w:t xml:space="preserve">”, ni la </w:t>
      </w:r>
      <w:r w:rsidR="00997BDD">
        <w:t xml:space="preserve">resina </w:t>
      </w:r>
      <w:r>
        <w:t xml:space="preserve">sabe, “Estoy untado lugares que consisten </w:t>
      </w:r>
      <w:r w:rsidR="00072974">
        <w:t>de</w:t>
      </w:r>
      <w:r>
        <w:t xml:space="preserve"> la palma de la mano, y así sucesivamente”. Estas cosas están desprovistas de preocupación </w:t>
      </w:r>
      <w:r w:rsidR="00072974">
        <w:t xml:space="preserve">e inspección </w:t>
      </w:r>
      <w:r>
        <w:t xml:space="preserve">mutua. </w:t>
      </w:r>
      <w:r w:rsidR="00072974">
        <w:t>Así que a</w:t>
      </w:r>
      <w:r>
        <w:t xml:space="preserve"> lo que </w:t>
      </w:r>
      <w:r w:rsidR="00997BDD">
        <w:t xml:space="preserve">llamaremos </w:t>
      </w:r>
      <w:r w:rsidRPr="00C57126">
        <w:rPr>
          <w:i/>
          <w:iCs/>
        </w:rPr>
        <w:t>grasa</w:t>
      </w:r>
      <w:r>
        <w:t xml:space="preserve"> </w:t>
      </w:r>
      <w:r w:rsidR="00072974">
        <w:t>será sólo</w:t>
      </w:r>
      <w:r>
        <w:t xml:space="preserve"> un componente particular de este cuerpo, sin pensamiento, indeterminado, vacío, no un ser vivo,</w:t>
      </w:r>
      <w:r w:rsidR="00792798">
        <w:t xml:space="preserve"> sólo el</w:t>
      </w:r>
      <w:r>
        <w:t xml:space="preserve"> elemento </w:t>
      </w:r>
      <w:r w:rsidR="00792798">
        <w:t xml:space="preserve">líquido del </w:t>
      </w:r>
      <w:r>
        <w:t>agua en modo cohesión.</w:t>
      </w:r>
    </w:p>
    <w:p w14:paraId="4D4BFFE0" w14:textId="76816310" w:rsidR="009E017E" w:rsidRDefault="009E017E" w:rsidP="009E017E">
      <w:r>
        <w:t xml:space="preserve">77. </w:t>
      </w:r>
      <w:r>
        <w:tab/>
        <w:t xml:space="preserve">La </w:t>
      </w:r>
      <w:r w:rsidRPr="00C57126">
        <w:rPr>
          <w:i/>
          <w:iCs/>
        </w:rPr>
        <w:t>saliva</w:t>
      </w:r>
      <w:r>
        <w:t xml:space="preserve"> se encuentra en la superficie de la lengua </w:t>
      </w:r>
      <w:r w:rsidR="00384321">
        <w:t xml:space="preserve">la cual desciende </w:t>
      </w:r>
      <w:r>
        <w:t xml:space="preserve">de las mejillas </w:t>
      </w:r>
      <w:r w:rsidR="003E418E">
        <w:t xml:space="preserve">en </w:t>
      </w:r>
      <w:r>
        <w:t xml:space="preserve">ambos lados, </w:t>
      </w:r>
      <w:r w:rsidR="003E418E">
        <w:t xml:space="preserve">después de surgida </w:t>
      </w:r>
      <w:r>
        <w:t xml:space="preserve">una condición </w:t>
      </w:r>
      <w:r w:rsidR="003E418E">
        <w:t xml:space="preserve">favorable </w:t>
      </w:r>
      <w:r>
        <w:t xml:space="preserve">para que surja </w:t>
      </w:r>
      <w:r w:rsidR="003E418E">
        <w:t xml:space="preserve">tal </w:t>
      </w:r>
      <w:r>
        <w:t xml:space="preserve">saliva. </w:t>
      </w:r>
      <w:r w:rsidR="00792798">
        <w:t>Aqu</w:t>
      </w:r>
      <w:r w:rsidR="00E03081">
        <w:t>í</w:t>
      </w:r>
      <w:r>
        <w:t>, así como</w:t>
      </w:r>
      <w:r w:rsidR="003E418E">
        <w:t xml:space="preserve"> </w:t>
      </w:r>
      <w:r>
        <w:t xml:space="preserve">un hueco en la orilla de un río está constantemente rezumando agua, </w:t>
      </w:r>
      <w:r w:rsidR="003E418E">
        <w:t xml:space="preserve">y </w:t>
      </w:r>
      <w:r>
        <w:t xml:space="preserve">la superficie del hueco no </w:t>
      </w:r>
      <w:r w:rsidR="00E03081">
        <w:t>sabría</w:t>
      </w:r>
      <w:r>
        <w:t xml:space="preserve">, “El agua yace sobre mí”, ni el agua </w:t>
      </w:r>
      <w:r w:rsidR="00E03081">
        <w:t>sabría</w:t>
      </w:r>
      <w:r>
        <w:t>, “</w:t>
      </w:r>
      <w:r w:rsidR="00E03081">
        <w:t>Yazgo</w:t>
      </w:r>
      <w:r>
        <w:t xml:space="preserve"> </w:t>
      </w:r>
      <w:r w:rsidR="003E418E">
        <w:t>sobre</w:t>
      </w:r>
      <w:r>
        <w:t xml:space="preserve"> la superficie de un hueco</w:t>
      </w:r>
      <w:proofErr w:type="gramStart"/>
      <w:r>
        <w:t>, ”</w:t>
      </w:r>
      <w:proofErr w:type="gramEnd"/>
      <w:r>
        <w:t xml:space="preserve"> así también, la superficie de la lengua no sabe, “La saliva que ha bajado de las mejillas por ambos lados está sobre mí”, ni la saliva sabe, “He bajado de las mejillas por ambos lados y estoy en la superficie de un lengua." Estas cosas están desprovistas de preocupación </w:t>
      </w:r>
      <w:r w:rsidR="00E03081">
        <w:t xml:space="preserve">e inspección </w:t>
      </w:r>
      <w:r>
        <w:t xml:space="preserve">mutua. Así que lo que </w:t>
      </w:r>
      <w:r w:rsidR="003E418E">
        <w:t xml:space="preserve">llamaremos </w:t>
      </w:r>
      <w:r w:rsidRPr="00C57126">
        <w:rPr>
          <w:i/>
          <w:iCs/>
        </w:rPr>
        <w:t>saliva</w:t>
      </w:r>
      <w:r>
        <w:t xml:space="preserve"> </w:t>
      </w:r>
      <w:r w:rsidR="00E03081">
        <w:t>será sólo</w:t>
      </w:r>
      <w:r>
        <w:t xml:space="preserve"> un componente particular de este cuerpo, sin pensamiento, indeterminado, vacío, no un ser vivo, </w:t>
      </w:r>
      <w:r w:rsidR="003B4753">
        <w:t xml:space="preserve">sólo el </w:t>
      </w:r>
      <w:r>
        <w:t xml:space="preserve">elemento </w:t>
      </w:r>
      <w:r w:rsidR="003B4753">
        <w:t xml:space="preserve">líquido </w:t>
      </w:r>
      <w:r>
        <w:t>agua en modo cohesión.</w:t>
      </w:r>
    </w:p>
    <w:p w14:paraId="77A41182" w14:textId="0697C2A8" w:rsidR="009E017E" w:rsidRDefault="009E017E" w:rsidP="009E017E">
      <w:r>
        <w:t xml:space="preserve">78. </w:t>
      </w:r>
      <w:r>
        <w:tab/>
        <w:t xml:space="preserve">Los </w:t>
      </w:r>
      <w:r w:rsidRPr="00C57126">
        <w:rPr>
          <w:i/>
          <w:iCs/>
        </w:rPr>
        <w:t>mocos</w:t>
      </w:r>
      <w:r>
        <w:t xml:space="preserve">, cuando se producen, se encuentran llenando las fosas nasales o saliendo de ellas. </w:t>
      </w:r>
      <w:r w:rsidR="005F3A67">
        <w:t>Aquí</w:t>
      </w:r>
      <w:r>
        <w:t xml:space="preserve">, así como, </w:t>
      </w:r>
      <w:r w:rsidR="005F3A67">
        <w:t xml:space="preserve">en </w:t>
      </w:r>
      <w:r>
        <w:t>una bolsa</w:t>
      </w:r>
      <w:r w:rsidRPr="00C246F5">
        <w:rPr>
          <w:vertAlign w:val="superscript"/>
        </w:rPr>
        <w:t>28</w:t>
      </w:r>
      <w:r>
        <w:t xml:space="preserve"> cargada </w:t>
      </w:r>
      <w:r w:rsidR="001C1657">
        <w:t>de</w:t>
      </w:r>
      <w:r>
        <w:t xml:space="preserve"> cuajada podrida, la bolsa no </w:t>
      </w:r>
      <w:r w:rsidR="005F3A67">
        <w:t>sabría</w:t>
      </w:r>
      <w:r>
        <w:t>, "</w:t>
      </w:r>
      <w:r w:rsidR="005F3A67">
        <w:t>la c</w:t>
      </w:r>
      <w:r>
        <w:t xml:space="preserve">uajada podrida está </w:t>
      </w:r>
      <w:r w:rsidR="001C1657">
        <w:t>dentro de</w:t>
      </w:r>
      <w:r>
        <w:t xml:space="preserve"> mí", ni la cuajada podrida </w:t>
      </w:r>
      <w:r w:rsidR="005F3A67">
        <w:t>sabría</w:t>
      </w:r>
      <w:r>
        <w:t xml:space="preserve">, "Estoy en una bolsa", así también, las fosas nasales no saben, “El moco está </w:t>
      </w:r>
      <w:r w:rsidR="001C1657">
        <w:t xml:space="preserve">dentro </w:t>
      </w:r>
      <w:r>
        <w:t>nosotros”, ni el moco sabe, “</w:t>
      </w:r>
      <w:r w:rsidR="001C1657">
        <w:t>E</w:t>
      </w:r>
      <w:r>
        <w:t xml:space="preserve">stoy </w:t>
      </w:r>
      <w:r w:rsidR="001C1657">
        <w:t xml:space="preserve">dentro de </w:t>
      </w:r>
      <w:r>
        <w:t xml:space="preserve">las narices”. Estas cosas están desprovistas de preocupación </w:t>
      </w:r>
      <w:r w:rsidR="005F3A67">
        <w:t xml:space="preserve">e inspección </w:t>
      </w:r>
      <w:r>
        <w:t xml:space="preserve">mutua. </w:t>
      </w:r>
      <w:r w:rsidR="005F3A67">
        <w:t>Así que a</w:t>
      </w:r>
      <w:r>
        <w:t xml:space="preserve"> lo que </w:t>
      </w:r>
      <w:r w:rsidR="001C1657">
        <w:t xml:space="preserve">llamaremos </w:t>
      </w:r>
      <w:r w:rsidRPr="00C57126">
        <w:rPr>
          <w:i/>
          <w:iCs/>
        </w:rPr>
        <w:t>moco</w:t>
      </w:r>
      <w:r>
        <w:t xml:space="preserve"> </w:t>
      </w:r>
      <w:r w:rsidR="005F3A67">
        <w:t>será</w:t>
      </w:r>
      <w:r w:rsidR="005F3A67" w:rsidRPr="005F3A67">
        <w:t xml:space="preserve"> </w:t>
      </w:r>
      <w:r w:rsidR="005F3A67">
        <w:t>sólo</w:t>
      </w:r>
      <w:r>
        <w:t xml:space="preserve"> un componente particular de este cuerpo, sin pensamiento, indeterminado, vacío, no un ser vivo, </w:t>
      </w:r>
      <w:r w:rsidR="005F3A67">
        <w:t xml:space="preserve">sólo el </w:t>
      </w:r>
      <w:r>
        <w:t xml:space="preserve">elemento </w:t>
      </w:r>
      <w:r w:rsidR="005F3A67">
        <w:t xml:space="preserve">líquido </w:t>
      </w:r>
      <w:r>
        <w:t>agua en modo cohesión.</w:t>
      </w:r>
    </w:p>
    <w:p w14:paraId="6C409FF6" w14:textId="3338FC50" w:rsidR="009E017E" w:rsidRDefault="009E017E" w:rsidP="009E017E">
      <w:r>
        <w:t xml:space="preserve">79. </w:t>
      </w:r>
      <w:r>
        <w:tab/>
        <w:t xml:space="preserve">El </w:t>
      </w:r>
      <w:r w:rsidRPr="00C57126">
        <w:rPr>
          <w:i/>
          <w:iCs/>
        </w:rPr>
        <w:t>aceite de las articulaciones</w:t>
      </w:r>
      <w:r>
        <w:t xml:space="preserve"> se encuentra en las ciento ochenta articulaciones que cumplen la función de lubricar </w:t>
      </w:r>
      <w:r w:rsidR="001466DE">
        <w:t xml:space="preserve">tales </w:t>
      </w:r>
      <w:r>
        <w:t xml:space="preserve">articulaciones </w:t>
      </w:r>
      <w:r w:rsidR="001466DE">
        <w:t>entre</w:t>
      </w:r>
      <w:r>
        <w:t xml:space="preserve"> los huesos. </w:t>
      </w:r>
      <w:r w:rsidR="009A2678">
        <w:t>Aquí</w:t>
      </w:r>
      <w:r>
        <w:t xml:space="preserve">, así como </w:t>
      </w:r>
      <w:r w:rsidR="009A2678">
        <w:t xml:space="preserve">en el caso de </w:t>
      </w:r>
      <w:r>
        <w:t xml:space="preserve">un eje lubricado </w:t>
      </w:r>
      <w:r w:rsidR="001466DE">
        <w:t xml:space="preserve">de </w:t>
      </w:r>
      <w:r>
        <w:t xml:space="preserve">aceite, el eje no </w:t>
      </w:r>
      <w:r w:rsidR="009A2678">
        <w:t>sabría</w:t>
      </w:r>
      <w:r>
        <w:t xml:space="preserve">, “El aceite me lubrica”, ni el aceite </w:t>
      </w:r>
      <w:r w:rsidR="009A2678">
        <w:t>sabría</w:t>
      </w:r>
      <w:r>
        <w:t xml:space="preserve">, “Yo lubrico </w:t>
      </w:r>
      <w:r w:rsidR="001466DE">
        <w:t xml:space="preserve">a este </w:t>
      </w:r>
      <w:r>
        <w:t xml:space="preserve">eje”, así también, las ciento ochenta articulaciones no saben, “El aceite de las articulaciones nos lubrica”, ni el aceite de las articulaciones sabe, “yo lubrico </w:t>
      </w:r>
      <w:r w:rsidR="00313DC8">
        <w:t xml:space="preserve">estas </w:t>
      </w:r>
      <w:r>
        <w:t xml:space="preserve">ciento ochenta articulaciones”. Estas cosas están desprovistas de preocupación </w:t>
      </w:r>
      <w:r w:rsidR="009A2678">
        <w:t xml:space="preserve">e inspección </w:t>
      </w:r>
      <w:r>
        <w:t xml:space="preserve">mutua. </w:t>
      </w:r>
      <w:r w:rsidR="009A2678">
        <w:t xml:space="preserve">Así que a lo que </w:t>
      </w:r>
      <w:r w:rsidR="00313DC8">
        <w:t xml:space="preserve">llamaremos </w:t>
      </w:r>
      <w:r w:rsidRPr="00C57126">
        <w:rPr>
          <w:i/>
          <w:iCs/>
        </w:rPr>
        <w:t>aceite de las articulaciones</w:t>
      </w:r>
      <w:r>
        <w:t xml:space="preserve"> </w:t>
      </w:r>
      <w:r w:rsidR="009A2678">
        <w:t xml:space="preserve">será sólo </w:t>
      </w:r>
      <w:r>
        <w:t xml:space="preserve">un componente particular de este cuerpo, sin pensamiento, indeterminado, vacío, no un ser vivo, </w:t>
      </w:r>
      <w:r w:rsidR="00D610C4">
        <w:t xml:space="preserve">sólo </w:t>
      </w:r>
      <w:r w:rsidR="003B0E74">
        <w:t xml:space="preserve">el </w:t>
      </w:r>
      <w:r>
        <w:t xml:space="preserve">elemento </w:t>
      </w:r>
      <w:r w:rsidR="003B0E74">
        <w:t xml:space="preserve">líquido </w:t>
      </w:r>
      <w:r>
        <w:t>agua en modo cohesión.</w:t>
      </w:r>
    </w:p>
    <w:p w14:paraId="06458466" w14:textId="10653B21" w:rsidR="009E017E" w:rsidRPr="009E017E" w:rsidRDefault="009E017E" w:rsidP="009E017E">
      <w:pPr>
        <w:pStyle w:val="PiedepginaLegal"/>
        <w:rPr>
          <w:u w:val="single"/>
        </w:rPr>
      </w:pPr>
      <w:r w:rsidRPr="009E017E">
        <w:rPr>
          <w:u w:val="single"/>
        </w:rPr>
        <w:t xml:space="preserve">                                                                                                                                            .</w:t>
      </w:r>
    </w:p>
    <w:p w14:paraId="250D3EF9" w14:textId="4BE87545" w:rsidR="009E017E" w:rsidRDefault="009E017E" w:rsidP="009E017E">
      <w:pPr>
        <w:pStyle w:val="PiedepginaLegal"/>
      </w:pPr>
      <w:r>
        <w:t xml:space="preserve">28. </w:t>
      </w:r>
      <w:r>
        <w:tab/>
      </w:r>
      <w:proofErr w:type="spellStart"/>
      <w:r w:rsidRPr="00C57126">
        <w:rPr>
          <w:i/>
          <w:iCs/>
        </w:rPr>
        <w:t>Sippikā</w:t>
      </w:r>
      <w:proofErr w:type="spellEnd"/>
      <w:r>
        <w:t xml:space="preserve">— “bolsa” (?): no en este sentido en </w:t>
      </w:r>
      <w:r w:rsidR="0025319D">
        <w:t xml:space="preserve">el </w:t>
      </w:r>
      <w:r>
        <w:t>PED.</w:t>
      </w:r>
    </w:p>
    <w:p w14:paraId="08A84470" w14:textId="77777777" w:rsidR="009E017E" w:rsidRDefault="009E017E">
      <w:pPr>
        <w:tabs>
          <w:tab w:val="clear" w:pos="425"/>
        </w:tabs>
        <w:spacing w:after="160"/>
      </w:pPr>
      <w:r>
        <w:br w:type="page"/>
      </w:r>
    </w:p>
    <w:p w14:paraId="4D64AFEF" w14:textId="539239EA" w:rsidR="00670CC2" w:rsidRDefault="00670CC2" w:rsidP="00670CC2">
      <w:r>
        <w:lastRenderedPageBreak/>
        <w:t xml:space="preserve">80. </w:t>
      </w:r>
      <w:r w:rsidR="00C57126">
        <w:tab/>
      </w:r>
      <w:r>
        <w:t xml:space="preserve">La </w:t>
      </w:r>
      <w:r w:rsidRPr="00C57126">
        <w:rPr>
          <w:i/>
          <w:iCs/>
        </w:rPr>
        <w:t>orina</w:t>
      </w:r>
      <w:r>
        <w:t xml:space="preserve"> se encuentra dentro de la vejiga. </w:t>
      </w:r>
      <w:r w:rsidR="003B0E74">
        <w:t>Aquí</w:t>
      </w:r>
      <w:r>
        <w:t xml:space="preserve">, así como </w:t>
      </w:r>
      <w:r w:rsidR="005F6F49">
        <w:t xml:space="preserve">con </w:t>
      </w:r>
      <w:r w:rsidR="00774B1B">
        <w:t>un filtro</w:t>
      </w:r>
      <w:r>
        <w:t xml:space="preserve"> </w:t>
      </w:r>
      <w:r w:rsidR="003B0E74">
        <w:t>puest</w:t>
      </w:r>
      <w:r w:rsidR="00774B1B">
        <w:t>o</w:t>
      </w:r>
      <w:r>
        <w:t xml:space="preserve"> boca abajo en un pozo negro, </w:t>
      </w:r>
      <w:r w:rsidR="00774B1B">
        <w:t xml:space="preserve">el filtro </w:t>
      </w:r>
      <w:r>
        <w:t xml:space="preserve">no </w:t>
      </w:r>
      <w:r w:rsidR="003B0E74">
        <w:t>sabría</w:t>
      </w:r>
      <w:r>
        <w:t xml:space="preserve">, "El pozo negro está </w:t>
      </w:r>
      <w:r w:rsidR="004411E3">
        <w:t>debajo de</w:t>
      </w:r>
      <w:r>
        <w:t xml:space="preserve"> mí", ni el filtr</w:t>
      </w:r>
      <w:r w:rsidR="00774B1B">
        <w:t>o</w:t>
      </w:r>
      <w:r>
        <w:t xml:space="preserve"> del pozo negro </w:t>
      </w:r>
      <w:r w:rsidR="003B0E74">
        <w:t>sabría</w:t>
      </w:r>
      <w:r>
        <w:t xml:space="preserve">, "Estoy </w:t>
      </w:r>
      <w:r w:rsidR="00795119">
        <w:t xml:space="preserve">sobre </w:t>
      </w:r>
      <w:r>
        <w:t xml:space="preserve">un pozo negro", así también, la vejiga no sabe, [363] “La orina está en mí”, ni la orina sabe, “Estoy en una vejiga”. Estas cosas están desprovistas de preocupación </w:t>
      </w:r>
      <w:r w:rsidR="005F6F49">
        <w:t>e inspección</w:t>
      </w:r>
      <w:r>
        <w:t xml:space="preserve">. </w:t>
      </w:r>
      <w:r w:rsidR="005F6F49">
        <w:t xml:space="preserve">Así que a lo que </w:t>
      </w:r>
      <w:r w:rsidR="00795119">
        <w:t xml:space="preserve">llamaremos </w:t>
      </w:r>
      <w:r w:rsidRPr="00C57126">
        <w:rPr>
          <w:i/>
          <w:iCs/>
        </w:rPr>
        <w:t>orina</w:t>
      </w:r>
      <w:r>
        <w:t xml:space="preserve"> </w:t>
      </w:r>
      <w:r w:rsidR="005F6F49">
        <w:t xml:space="preserve">será sólo </w:t>
      </w:r>
      <w:r>
        <w:t xml:space="preserve">un componente particular de este cuerpo, sin pensamiento, indeterminado, vacío, no un ser vivo, </w:t>
      </w:r>
      <w:r w:rsidR="005F6F49">
        <w:t xml:space="preserve">sólo el </w:t>
      </w:r>
      <w:r>
        <w:t xml:space="preserve">elemento </w:t>
      </w:r>
      <w:r w:rsidR="005F6F49">
        <w:t xml:space="preserve">líquido </w:t>
      </w:r>
      <w:r>
        <w:t>agua en modo cohesión.</w:t>
      </w:r>
    </w:p>
    <w:p w14:paraId="2ABE53FE" w14:textId="35BCFCCC" w:rsidR="00670CC2" w:rsidRDefault="00670CC2" w:rsidP="00670CC2">
      <w:r>
        <w:t xml:space="preserve">81. </w:t>
      </w:r>
      <w:r w:rsidR="00C57126">
        <w:tab/>
      </w:r>
      <w:r>
        <w:t xml:space="preserve">Cuando </w:t>
      </w:r>
      <w:r w:rsidR="00794E84">
        <w:t xml:space="preserve">él </w:t>
      </w:r>
      <w:r>
        <w:t>ha</w:t>
      </w:r>
      <w:r w:rsidR="00794E84">
        <w:t xml:space="preserve">ya </w:t>
      </w:r>
      <w:r>
        <w:t xml:space="preserve">prestado su atención </w:t>
      </w:r>
      <w:r w:rsidR="00794E84">
        <w:t xml:space="preserve">así </w:t>
      </w:r>
      <w:r>
        <w:t>a los vellos del cuerpo, etc., debe</w:t>
      </w:r>
      <w:r w:rsidR="0093614D">
        <w:t>rá</w:t>
      </w:r>
      <w:r>
        <w:t xml:space="preserve"> entonces prestar su atención a los cuatro componentes del fuego de la siguiente manera: </w:t>
      </w:r>
      <w:r w:rsidRPr="00C57126">
        <w:rPr>
          <w:i/>
          <w:iCs/>
        </w:rPr>
        <w:t>Aquello por lo que uno se calienta</w:t>
      </w:r>
      <w:r>
        <w:t xml:space="preserve">, es un componente particular de este cuerpo, sin pensamiento, indeterminado, vacío, no un ser vivo; </w:t>
      </w:r>
      <w:r w:rsidR="0093614D">
        <w:t>es sólo el</w:t>
      </w:r>
      <w:r>
        <w:t xml:space="preserve"> elemento fuego en modo </w:t>
      </w:r>
      <w:r w:rsidR="00784D01">
        <w:t xml:space="preserve">de </w:t>
      </w:r>
      <w:r>
        <w:t>maduración (</w:t>
      </w:r>
      <w:r w:rsidR="00784D01">
        <w:t xml:space="preserve">de </w:t>
      </w:r>
      <w:r w:rsidR="00FD1D2F">
        <w:t>desarrollo</w:t>
      </w:r>
      <w:r>
        <w:t>).</w:t>
      </w:r>
    </w:p>
    <w:p w14:paraId="62A90DE4" w14:textId="30F88B5F" w:rsidR="00670CC2" w:rsidRPr="008664C5" w:rsidRDefault="00670CC2" w:rsidP="008664C5">
      <w:pPr>
        <w:pStyle w:val="VersoIngls01Sangria"/>
        <w:tabs>
          <w:tab w:val="clear" w:pos="425"/>
        </w:tabs>
        <w:ind w:left="709" w:hanging="284"/>
        <w:rPr>
          <w:i/>
          <w:iCs/>
        </w:rPr>
      </w:pPr>
      <w:r w:rsidRPr="008664C5">
        <w:rPr>
          <w:i/>
          <w:iCs/>
        </w:rPr>
        <w:t xml:space="preserve">Aquello por lo que uno </w:t>
      </w:r>
      <w:r w:rsidR="00F01160">
        <w:rPr>
          <w:i/>
          <w:iCs/>
        </w:rPr>
        <w:t>envejece</w:t>
      </w:r>
      <w:r w:rsidRPr="008664C5">
        <w:rPr>
          <w:i/>
          <w:iCs/>
        </w:rPr>
        <w:t>…</w:t>
      </w:r>
    </w:p>
    <w:p w14:paraId="0A86BCC6" w14:textId="6C1C8D63" w:rsidR="00670CC2" w:rsidRPr="008664C5" w:rsidRDefault="00FD1D2F" w:rsidP="00C57126">
      <w:pPr>
        <w:pStyle w:val="VersoIngls01Sangria"/>
        <w:tabs>
          <w:tab w:val="clear" w:pos="425"/>
        </w:tabs>
        <w:spacing w:after="100"/>
        <w:ind w:left="709" w:hanging="284"/>
        <w:rPr>
          <w:i/>
          <w:iCs/>
        </w:rPr>
      </w:pPr>
      <w:r>
        <w:rPr>
          <w:i/>
          <w:iCs/>
        </w:rPr>
        <w:t>Aquello</w:t>
      </w:r>
      <w:r w:rsidR="00670CC2" w:rsidRPr="008664C5">
        <w:rPr>
          <w:i/>
          <w:iCs/>
        </w:rPr>
        <w:t xml:space="preserve"> por lo que uno se quema...</w:t>
      </w:r>
    </w:p>
    <w:p w14:paraId="6E049C58" w14:textId="4C771D20" w:rsidR="00670CC2" w:rsidRDefault="00670CC2" w:rsidP="009D7698">
      <w:pPr>
        <w:pStyle w:val="NormalConSangria"/>
      </w:pPr>
      <w:r w:rsidRPr="009D7698">
        <w:rPr>
          <w:i/>
          <w:iCs/>
        </w:rPr>
        <w:t>Aquello por lo cual se com</w:t>
      </w:r>
      <w:r w:rsidR="00FD1D2F">
        <w:rPr>
          <w:i/>
          <w:iCs/>
        </w:rPr>
        <w:t>a</w:t>
      </w:r>
      <w:r w:rsidRPr="009D7698">
        <w:rPr>
          <w:i/>
          <w:iCs/>
        </w:rPr>
        <w:t>, se beb</w:t>
      </w:r>
      <w:r w:rsidR="00FD1D2F">
        <w:rPr>
          <w:i/>
          <w:iCs/>
        </w:rPr>
        <w:t>a</w:t>
      </w:r>
      <w:r w:rsidRPr="009D7698">
        <w:rPr>
          <w:i/>
          <w:iCs/>
        </w:rPr>
        <w:t>, se masti</w:t>
      </w:r>
      <w:r w:rsidR="00FD1D2F">
        <w:rPr>
          <w:i/>
          <w:iCs/>
        </w:rPr>
        <w:t>que,</w:t>
      </w:r>
      <w:r w:rsidRPr="009D7698">
        <w:rPr>
          <w:i/>
          <w:iCs/>
        </w:rPr>
        <w:t xml:space="preserve"> se </w:t>
      </w:r>
      <w:r w:rsidR="00FD1D2F">
        <w:rPr>
          <w:i/>
          <w:iCs/>
        </w:rPr>
        <w:t>de</w:t>
      </w:r>
      <w:r w:rsidRPr="009D7698">
        <w:rPr>
          <w:i/>
          <w:iCs/>
        </w:rPr>
        <w:t>gust</w:t>
      </w:r>
      <w:r w:rsidR="00F01160">
        <w:rPr>
          <w:i/>
          <w:iCs/>
        </w:rPr>
        <w:t>e</w:t>
      </w:r>
      <w:r w:rsidRPr="009D7698">
        <w:rPr>
          <w:i/>
          <w:iCs/>
        </w:rPr>
        <w:t xml:space="preserve"> </w:t>
      </w:r>
      <w:r w:rsidR="00FD1D2F">
        <w:rPr>
          <w:i/>
          <w:iCs/>
        </w:rPr>
        <w:t xml:space="preserve">y </w:t>
      </w:r>
      <w:r w:rsidRPr="009D7698">
        <w:rPr>
          <w:i/>
          <w:iCs/>
        </w:rPr>
        <w:t>se digier</w:t>
      </w:r>
      <w:r w:rsidR="00FD1D2F">
        <w:rPr>
          <w:i/>
          <w:iCs/>
        </w:rPr>
        <w:t>a</w:t>
      </w:r>
      <w:r w:rsidRPr="009D7698">
        <w:rPr>
          <w:i/>
          <w:iCs/>
        </w:rPr>
        <w:t xml:space="preserve"> por completo</w:t>
      </w:r>
      <w:r>
        <w:t xml:space="preserve">—es un componente particular de este cuerpo, sin pensamiento, indeterminado, vacío, no un ser vivo; es </w:t>
      </w:r>
      <w:r w:rsidR="00A13769">
        <w:t xml:space="preserve">el </w:t>
      </w:r>
      <w:r>
        <w:t>elemento fuego en modo de maduración (</w:t>
      </w:r>
      <w:r w:rsidR="00F01160">
        <w:t xml:space="preserve">de </w:t>
      </w:r>
      <w:r w:rsidR="00A13769">
        <w:t>desarrollo</w:t>
      </w:r>
      <w:r>
        <w:t>).</w:t>
      </w:r>
    </w:p>
    <w:p w14:paraId="41EEC073" w14:textId="0D259D2C" w:rsidR="00670CC2" w:rsidRDefault="00670CC2" w:rsidP="00670CC2">
      <w:r>
        <w:t xml:space="preserve">82. </w:t>
      </w:r>
      <w:r w:rsidR="009D7698">
        <w:tab/>
      </w:r>
      <w:r>
        <w:t>Después de e</w:t>
      </w:r>
      <w:r w:rsidR="00A13769">
        <w:t>ll</w:t>
      </w:r>
      <w:r>
        <w:t xml:space="preserve">o, habiendo descubierto </w:t>
      </w:r>
      <w:r w:rsidRPr="009D7698">
        <w:rPr>
          <w:i/>
          <w:iCs/>
        </w:rPr>
        <w:t>los vientos</w:t>
      </w:r>
      <w:r>
        <w:t xml:space="preserve"> (</w:t>
      </w:r>
      <w:r w:rsidRPr="00A13769">
        <w:rPr>
          <w:i/>
          <w:iCs/>
        </w:rPr>
        <w:t>fuerzas</w:t>
      </w:r>
      <w:r>
        <w:t xml:space="preserve">) ascendentes como ascendentes, los </w:t>
      </w:r>
      <w:r w:rsidRPr="000218CE">
        <w:rPr>
          <w:i/>
          <w:iCs/>
        </w:rPr>
        <w:t>vientos</w:t>
      </w:r>
      <w:r>
        <w:t xml:space="preserve"> (</w:t>
      </w:r>
      <w:r w:rsidRPr="000218CE">
        <w:rPr>
          <w:i/>
          <w:iCs/>
        </w:rPr>
        <w:t>fuerzas</w:t>
      </w:r>
      <w:r>
        <w:t xml:space="preserve">) </w:t>
      </w:r>
      <w:r w:rsidRPr="00B66771">
        <w:rPr>
          <w:i/>
          <w:iCs/>
        </w:rPr>
        <w:t>descendentes</w:t>
      </w:r>
      <w:r>
        <w:t xml:space="preserve"> como descendentes, los </w:t>
      </w:r>
      <w:r w:rsidRPr="00B66771">
        <w:rPr>
          <w:i/>
          <w:iCs/>
        </w:rPr>
        <w:t>vientos</w:t>
      </w:r>
      <w:r>
        <w:t xml:space="preserve"> (fuerzas) </w:t>
      </w:r>
      <w:r w:rsidRPr="00B66771">
        <w:rPr>
          <w:i/>
          <w:iCs/>
        </w:rPr>
        <w:t>en el vientre</w:t>
      </w:r>
      <w:r>
        <w:t xml:space="preserve"> como en el vientre, los </w:t>
      </w:r>
      <w:r w:rsidRPr="00B66771">
        <w:rPr>
          <w:i/>
          <w:iCs/>
        </w:rPr>
        <w:t>vientos</w:t>
      </w:r>
      <w:r>
        <w:t xml:space="preserve"> (</w:t>
      </w:r>
      <w:r w:rsidRPr="00B66771">
        <w:rPr>
          <w:i/>
          <w:iCs/>
        </w:rPr>
        <w:t>fuerzas</w:t>
      </w:r>
      <w:r>
        <w:t xml:space="preserve">) </w:t>
      </w:r>
      <w:r w:rsidRPr="00B66771">
        <w:rPr>
          <w:i/>
          <w:iCs/>
        </w:rPr>
        <w:t>en los intestinos</w:t>
      </w:r>
      <w:r>
        <w:t xml:space="preserve"> como en los intestinos, los </w:t>
      </w:r>
      <w:r w:rsidRPr="00B66771">
        <w:rPr>
          <w:i/>
          <w:iCs/>
        </w:rPr>
        <w:t>vientos</w:t>
      </w:r>
      <w:r>
        <w:t xml:space="preserve"> (</w:t>
      </w:r>
      <w:r w:rsidRPr="00B66771">
        <w:rPr>
          <w:i/>
          <w:iCs/>
        </w:rPr>
        <w:t>fuerzas</w:t>
      </w:r>
      <w:r>
        <w:t xml:space="preserve">) </w:t>
      </w:r>
      <w:r w:rsidRPr="00B66771">
        <w:rPr>
          <w:i/>
          <w:iCs/>
        </w:rPr>
        <w:t>que atraviesan todos los miembros</w:t>
      </w:r>
      <w:r>
        <w:t xml:space="preserve"> como si atravesaran todos los miembros, y la </w:t>
      </w:r>
      <w:r w:rsidRPr="00F01160">
        <w:rPr>
          <w:i/>
          <w:iCs/>
        </w:rPr>
        <w:t>inhalación</w:t>
      </w:r>
      <w:r>
        <w:t xml:space="preserve"> y la </w:t>
      </w:r>
      <w:r w:rsidRPr="00F01160">
        <w:rPr>
          <w:i/>
          <w:iCs/>
        </w:rPr>
        <w:t>exhalación</w:t>
      </w:r>
      <w:r>
        <w:t xml:space="preserve"> como </w:t>
      </w:r>
      <w:r w:rsidRPr="00F01160">
        <w:t>inhalación</w:t>
      </w:r>
      <w:r w:rsidRPr="00B66771">
        <w:rPr>
          <w:i/>
          <w:iCs/>
        </w:rPr>
        <w:t xml:space="preserve"> </w:t>
      </w:r>
      <w:r w:rsidRPr="00F01160">
        <w:t>y</w:t>
      </w:r>
      <w:r w:rsidRPr="00B66771">
        <w:rPr>
          <w:i/>
          <w:iCs/>
        </w:rPr>
        <w:t xml:space="preserve"> </w:t>
      </w:r>
      <w:r w:rsidRPr="00F01160">
        <w:t>exhalación</w:t>
      </w:r>
      <w:r>
        <w:t xml:space="preserve">, </w:t>
      </w:r>
      <w:r w:rsidR="00A13769">
        <w:t xml:space="preserve">él </w:t>
      </w:r>
      <w:r>
        <w:t>debe</w:t>
      </w:r>
      <w:r w:rsidR="00A13769">
        <w:t>rá</w:t>
      </w:r>
      <w:r>
        <w:t xml:space="preserve"> prestar atención a estos seis componentes del aire </w:t>
      </w:r>
      <w:r w:rsidR="00A13769">
        <w:t>así</w:t>
      </w:r>
      <w:r>
        <w:t xml:space="preserve">: </w:t>
      </w:r>
      <w:r w:rsidR="00F01160">
        <w:t>A l</w:t>
      </w:r>
      <w:r>
        <w:t xml:space="preserve">o que </w:t>
      </w:r>
      <w:r w:rsidR="00F01160">
        <w:t xml:space="preserve">llamaremos </w:t>
      </w:r>
      <w:r w:rsidRPr="00B66771">
        <w:rPr>
          <w:i/>
          <w:iCs/>
        </w:rPr>
        <w:t>vientos</w:t>
      </w:r>
      <w:r>
        <w:t xml:space="preserve"> (</w:t>
      </w:r>
      <w:r w:rsidRPr="00B66771">
        <w:rPr>
          <w:i/>
          <w:iCs/>
        </w:rPr>
        <w:t>fuerzas</w:t>
      </w:r>
      <w:r>
        <w:t xml:space="preserve">) </w:t>
      </w:r>
      <w:r w:rsidRPr="00B66771">
        <w:rPr>
          <w:i/>
          <w:iCs/>
        </w:rPr>
        <w:t>ascendentes</w:t>
      </w:r>
      <w:r>
        <w:t xml:space="preserve"> </w:t>
      </w:r>
      <w:r w:rsidR="00F01160">
        <w:t xml:space="preserve">será sólo </w:t>
      </w:r>
      <w:r>
        <w:t xml:space="preserve">un componente particular de este cuerpo, sin pensamiento, indeterminado, vacío, no un ser vivo; </w:t>
      </w:r>
      <w:r w:rsidR="00F01160">
        <w:t>sólo el</w:t>
      </w:r>
      <w:r>
        <w:t xml:space="preserve"> elemento aire en modo de distensión.</w:t>
      </w:r>
    </w:p>
    <w:p w14:paraId="7F59C594" w14:textId="3516384C" w:rsidR="00670CC2" w:rsidRDefault="001C73B4" w:rsidP="008664C5">
      <w:pPr>
        <w:pStyle w:val="VersoIngls01Sangria"/>
        <w:tabs>
          <w:tab w:val="clear" w:pos="425"/>
        </w:tabs>
        <w:ind w:left="709" w:hanging="284"/>
      </w:pPr>
      <w:r>
        <w:t xml:space="preserve">Así que a lo </w:t>
      </w:r>
      <w:r w:rsidR="00F01160">
        <w:t xml:space="preserve">llamaremos </w:t>
      </w:r>
      <w:r w:rsidR="00670CC2" w:rsidRPr="00B66771">
        <w:rPr>
          <w:i/>
          <w:iCs/>
        </w:rPr>
        <w:t>vientos (fuerzas) descendentes</w:t>
      </w:r>
      <w:r w:rsidR="00670CC2">
        <w:t>...</w:t>
      </w:r>
    </w:p>
    <w:p w14:paraId="31FDBBBF" w14:textId="130F5138" w:rsidR="00670CC2" w:rsidRDefault="001C73B4" w:rsidP="008664C5">
      <w:pPr>
        <w:pStyle w:val="VersoIngls01Sangria"/>
        <w:tabs>
          <w:tab w:val="clear" w:pos="425"/>
        </w:tabs>
        <w:ind w:left="709" w:hanging="284"/>
      </w:pPr>
      <w:r>
        <w:t xml:space="preserve">Así que a lo </w:t>
      </w:r>
      <w:r w:rsidR="00F01160">
        <w:t xml:space="preserve">llamaremos </w:t>
      </w:r>
      <w:r w:rsidR="00670CC2" w:rsidRPr="00B66771">
        <w:rPr>
          <w:i/>
          <w:iCs/>
        </w:rPr>
        <w:t>vientos (fuerzas) en el vientre</w:t>
      </w:r>
      <w:r w:rsidR="00670CC2">
        <w:t>…</w:t>
      </w:r>
    </w:p>
    <w:p w14:paraId="6E186753" w14:textId="61AC8052" w:rsidR="00670CC2" w:rsidRDefault="001C73B4" w:rsidP="008664C5">
      <w:pPr>
        <w:pStyle w:val="VersoIngls01Sangria"/>
        <w:tabs>
          <w:tab w:val="clear" w:pos="425"/>
        </w:tabs>
        <w:ind w:left="709" w:hanging="284"/>
      </w:pPr>
      <w:r>
        <w:t xml:space="preserve">Así que a lo </w:t>
      </w:r>
      <w:r w:rsidR="00F01160">
        <w:t xml:space="preserve">llamaremos </w:t>
      </w:r>
      <w:r w:rsidR="00670CC2" w:rsidRPr="00B66771">
        <w:rPr>
          <w:i/>
          <w:iCs/>
        </w:rPr>
        <w:t>vientos (fuerzas) en las entrañas</w:t>
      </w:r>
      <w:r w:rsidR="00670CC2">
        <w:t>...</w:t>
      </w:r>
    </w:p>
    <w:p w14:paraId="3940CC4B" w14:textId="6908F858" w:rsidR="00670CC2" w:rsidRDefault="001C73B4" w:rsidP="008664C5">
      <w:pPr>
        <w:pStyle w:val="VersoIngls01Sangria"/>
        <w:tabs>
          <w:tab w:val="clear" w:pos="425"/>
        </w:tabs>
        <w:ind w:left="709" w:hanging="284"/>
      </w:pPr>
      <w:r>
        <w:t xml:space="preserve">Así que a lo </w:t>
      </w:r>
      <w:r w:rsidR="00F01160">
        <w:t xml:space="preserve">llamaremos </w:t>
      </w:r>
      <w:r w:rsidR="00670CC2" w:rsidRPr="00B66771">
        <w:rPr>
          <w:i/>
          <w:iCs/>
        </w:rPr>
        <w:t>vientos (fuerzas) que recorren todos los miembros</w:t>
      </w:r>
      <w:r w:rsidR="00670CC2">
        <w:t>...</w:t>
      </w:r>
    </w:p>
    <w:p w14:paraId="05EA3DE1" w14:textId="175BF99A" w:rsidR="00670CC2" w:rsidRDefault="001C73B4" w:rsidP="00B66771">
      <w:pPr>
        <w:pStyle w:val="VersoIngls01Sangria"/>
        <w:tabs>
          <w:tab w:val="clear" w:pos="425"/>
        </w:tabs>
        <w:spacing w:after="100"/>
        <w:ind w:left="709" w:hanging="284"/>
      </w:pPr>
      <w:r>
        <w:t xml:space="preserve">Así que a lo </w:t>
      </w:r>
      <w:r w:rsidR="00F01160">
        <w:t xml:space="preserve">llamaremos </w:t>
      </w:r>
      <w:r w:rsidR="00670CC2" w:rsidRPr="00B66771">
        <w:rPr>
          <w:i/>
          <w:iCs/>
        </w:rPr>
        <w:t>inhalación y exhalación</w:t>
      </w:r>
      <w:r w:rsidR="00670CC2">
        <w:t xml:space="preserve"> </w:t>
      </w:r>
      <w:r>
        <w:t>será</w:t>
      </w:r>
      <w:r w:rsidR="005510A7">
        <w:t>n</w:t>
      </w:r>
      <w:r>
        <w:t xml:space="preserve"> sólo </w:t>
      </w:r>
      <w:r w:rsidR="00670CC2">
        <w:t xml:space="preserve">un componente particular de este cuerpo, sin pensamiento, indeterminado, vacío, no un ser vivo; </w:t>
      </w:r>
      <w:r>
        <w:t>sólo el</w:t>
      </w:r>
      <w:r w:rsidR="00670CC2">
        <w:t xml:space="preserve"> elemento aire en modo </w:t>
      </w:r>
      <w:r w:rsidR="00F01160">
        <w:t xml:space="preserve">de </w:t>
      </w:r>
      <w:r w:rsidR="00670CC2">
        <w:t>distensión.</w:t>
      </w:r>
    </w:p>
    <w:p w14:paraId="0654920C" w14:textId="30484D59" w:rsidR="00670CC2" w:rsidRDefault="00670CC2" w:rsidP="00670CC2">
      <w:r>
        <w:t xml:space="preserve">83. </w:t>
      </w:r>
      <w:r w:rsidR="008664C5">
        <w:tab/>
      </w:r>
      <w:r>
        <w:t xml:space="preserve">A medida que </w:t>
      </w:r>
      <w:r w:rsidR="00F01160">
        <w:t xml:space="preserve">él </w:t>
      </w:r>
      <w:r>
        <w:t>prest</w:t>
      </w:r>
      <w:r w:rsidR="005510A7">
        <w:t>e</w:t>
      </w:r>
      <w:r>
        <w:t xml:space="preserve"> su atención </w:t>
      </w:r>
      <w:r w:rsidR="005510A7">
        <w:t>así</w:t>
      </w:r>
      <w:r>
        <w:t xml:space="preserve">, los elementos se le </w:t>
      </w:r>
      <w:r w:rsidR="00FC3726">
        <w:t>harán</w:t>
      </w:r>
      <w:r>
        <w:t xml:space="preserve"> evidentes. A medida que los adviert</w:t>
      </w:r>
      <w:r w:rsidR="00683D09">
        <w:t>a</w:t>
      </w:r>
      <w:r>
        <w:t xml:space="preserve"> y les prest</w:t>
      </w:r>
      <w:r w:rsidR="00683D09">
        <w:t>a</w:t>
      </w:r>
      <w:r>
        <w:t xml:space="preserve"> atención una y otra vez, la concentración de acceso surg</w:t>
      </w:r>
      <w:r w:rsidR="00683D09">
        <w:t>irá</w:t>
      </w:r>
      <w:r>
        <w:t xml:space="preserve"> en él de la manera ya descrita.</w:t>
      </w:r>
    </w:p>
    <w:p w14:paraId="75737766" w14:textId="1BC21FA4" w:rsidR="00670CC2" w:rsidRDefault="00670CC2" w:rsidP="00620918">
      <w:pPr>
        <w:pStyle w:val="Ttulo4"/>
        <w:ind w:left="708"/>
      </w:pPr>
      <w:r>
        <w:t xml:space="preserve">[(3) Con </w:t>
      </w:r>
      <w:r w:rsidR="00683D09">
        <w:t xml:space="preserve">sus </w:t>
      </w:r>
      <w:r>
        <w:t xml:space="preserve">Características </w:t>
      </w:r>
      <w:r w:rsidR="00226F40">
        <w:t>Resumidamente</w:t>
      </w:r>
      <w:r>
        <w:t>]</w:t>
      </w:r>
    </w:p>
    <w:p w14:paraId="50DB74B8" w14:textId="7DBBA1AE" w:rsidR="00A97CE4" w:rsidRDefault="00670CC2" w:rsidP="00683D09">
      <w:r>
        <w:t xml:space="preserve">84. </w:t>
      </w:r>
      <w:r w:rsidR="008664C5">
        <w:tab/>
      </w:r>
      <w:r w:rsidR="00226F40">
        <w:t xml:space="preserve">No obstante, </w:t>
      </w:r>
      <w:r>
        <w:t xml:space="preserve">si su objeto de meditación aún no </w:t>
      </w:r>
      <w:r w:rsidR="004055A8">
        <w:t>tuviese</w:t>
      </w:r>
      <w:r>
        <w:t xml:space="preserve"> éxito cuando </w:t>
      </w:r>
      <w:r w:rsidR="00226F40">
        <w:t xml:space="preserve">se </w:t>
      </w:r>
      <w:r>
        <w:t>le prest</w:t>
      </w:r>
      <w:r w:rsidR="004055A8">
        <w:t>e</w:t>
      </w:r>
      <w:r>
        <w:t xml:space="preserve"> atención</w:t>
      </w:r>
      <w:r w:rsidR="004055A8">
        <w:t xml:space="preserve"> así</w:t>
      </w:r>
      <w:r>
        <w:t>, entonces debe</w:t>
      </w:r>
      <w:r w:rsidR="004055A8">
        <w:t>rá</w:t>
      </w:r>
      <w:r>
        <w:t xml:space="preserve"> desarrollarlo </w:t>
      </w:r>
      <w:r w:rsidR="004055A8">
        <w:rPr>
          <w:i/>
          <w:iCs/>
        </w:rPr>
        <w:t>mediante sus</w:t>
      </w:r>
      <w:r w:rsidRPr="00B66771">
        <w:rPr>
          <w:i/>
          <w:iCs/>
        </w:rPr>
        <w:t xml:space="preserve"> características </w:t>
      </w:r>
      <w:r w:rsidR="00226F40">
        <w:rPr>
          <w:i/>
          <w:iCs/>
        </w:rPr>
        <w:t>resumidamente</w:t>
      </w:r>
      <w:r>
        <w:t xml:space="preserve">. ¿Cómo? </w:t>
      </w:r>
      <w:r w:rsidR="004055A8">
        <w:t>Mediante</w:t>
      </w:r>
      <w:r>
        <w:t xml:space="preserve"> los veinte componentes, la característica de </w:t>
      </w:r>
      <w:r w:rsidR="004055A8">
        <w:t xml:space="preserve">la </w:t>
      </w:r>
      <w:r>
        <w:t xml:space="preserve">rigidez debe definirse como el elemento tierra, y la característica de </w:t>
      </w:r>
      <w:r w:rsidR="004055A8">
        <w:t xml:space="preserve">la </w:t>
      </w:r>
      <w:r>
        <w:t xml:space="preserve">cohesión, que también está </w:t>
      </w:r>
      <w:r w:rsidR="004055A8">
        <w:t>presente</w:t>
      </w:r>
      <w:r>
        <w:t xml:space="preserve">, como el elemento agua, y la característica de maduración, que también está </w:t>
      </w:r>
      <w:r w:rsidR="004055A8">
        <w:t>presente</w:t>
      </w:r>
      <w:r>
        <w:t>, como el elemento fuego, y la característica de distensión, que también est</w:t>
      </w:r>
      <w:r w:rsidR="00A45EFF">
        <w:t>ar</w:t>
      </w:r>
      <w:r>
        <w:t xml:space="preserve">á </w:t>
      </w:r>
      <w:r w:rsidR="004055A8">
        <w:t>presente</w:t>
      </w:r>
      <w:r>
        <w:t xml:space="preserve">, como el elemento aire. </w:t>
      </w:r>
      <w:r w:rsidR="00A97CE4" w:rsidRPr="00A97CE4">
        <w:t xml:space="preserve">En </w:t>
      </w:r>
      <w:r w:rsidR="00A97CE4" w:rsidRPr="00A97CE4">
        <w:rPr>
          <w:i/>
          <w:iCs/>
        </w:rPr>
        <w:t>los doce componentes</w:t>
      </w:r>
      <w:r w:rsidR="00A97CE4" w:rsidRPr="00A97CE4">
        <w:t xml:space="preserve">, la </w:t>
      </w:r>
      <w:r w:rsidR="00A97CE4">
        <w:br w:type="page"/>
      </w:r>
    </w:p>
    <w:p w14:paraId="716DFB13" w14:textId="49809600" w:rsidR="00A97CE4" w:rsidRDefault="00491E3D" w:rsidP="008664C5">
      <w:r w:rsidRPr="00A97CE4">
        <w:lastRenderedPageBreak/>
        <w:t>característica de</w:t>
      </w:r>
      <w:r>
        <w:t xml:space="preserve"> </w:t>
      </w:r>
      <w:r w:rsidR="00A97CE4">
        <w:t xml:space="preserve">la </w:t>
      </w:r>
      <w:r w:rsidR="00A97CE4" w:rsidRPr="00A97CE4">
        <w:t>cohesión debe</w:t>
      </w:r>
      <w:r w:rsidR="00A97CE4">
        <w:t>rá</w:t>
      </w:r>
      <w:r w:rsidR="00A97CE4" w:rsidRPr="00A97CE4">
        <w:t xml:space="preserve"> definirse como el elemento agua</w:t>
      </w:r>
      <w:r w:rsidR="00F36152">
        <w:t>;</w:t>
      </w:r>
      <w:r w:rsidR="00A97CE4" w:rsidRPr="00A97CE4">
        <w:t xml:space="preserve"> la característica de </w:t>
      </w:r>
      <w:r w:rsidR="00A97CE4">
        <w:t xml:space="preserve">la </w:t>
      </w:r>
      <w:r w:rsidR="00A97CE4" w:rsidRPr="00A97CE4">
        <w:t>maduración (</w:t>
      </w:r>
      <w:r w:rsidR="00A97CE4">
        <w:t>desarrollo</w:t>
      </w:r>
      <w:r w:rsidR="00A97CE4" w:rsidRPr="00A97CE4">
        <w:t xml:space="preserve">), que </w:t>
      </w:r>
      <w:r w:rsidR="006F5AD4" w:rsidRPr="00A97CE4">
        <w:t xml:space="preserve">también </w:t>
      </w:r>
      <w:r w:rsidR="00A97CE4" w:rsidRPr="00A97CE4">
        <w:t>est</w:t>
      </w:r>
      <w:r w:rsidR="00A97CE4">
        <w:t>ar</w:t>
      </w:r>
      <w:r w:rsidR="00A97CE4" w:rsidRPr="00A97CE4">
        <w:t>á allí</w:t>
      </w:r>
      <w:r w:rsidR="006F5AD4">
        <w:t xml:space="preserve"> presente</w:t>
      </w:r>
      <w:r w:rsidR="00A97CE4" w:rsidRPr="00A97CE4">
        <w:t>, como el elemento fuego</w:t>
      </w:r>
      <w:r w:rsidR="00F36152">
        <w:t>;</w:t>
      </w:r>
      <w:r w:rsidR="00A97CE4" w:rsidRPr="00A97CE4">
        <w:t xml:space="preserve"> la característica de </w:t>
      </w:r>
      <w:r w:rsidR="00A97CE4">
        <w:t xml:space="preserve">la </w:t>
      </w:r>
      <w:r w:rsidR="00A97CE4" w:rsidRPr="00A97CE4">
        <w:t>distensión, que también est</w:t>
      </w:r>
      <w:r w:rsidR="00A97CE4">
        <w:t>ar</w:t>
      </w:r>
      <w:r w:rsidR="00A97CE4" w:rsidRPr="00A97CE4">
        <w:t>á allí</w:t>
      </w:r>
      <w:r w:rsidR="00F36152" w:rsidRPr="00F36152">
        <w:t xml:space="preserve"> </w:t>
      </w:r>
      <w:r w:rsidR="00F36152">
        <w:t>presente</w:t>
      </w:r>
      <w:r w:rsidR="00A97CE4" w:rsidRPr="00A97CE4">
        <w:t>, como el elemento aire</w:t>
      </w:r>
      <w:r w:rsidR="00F36152">
        <w:t>;</w:t>
      </w:r>
      <w:r w:rsidR="00A97CE4" w:rsidRPr="00A97CE4">
        <w:t xml:space="preserve"> y la característica de </w:t>
      </w:r>
      <w:r w:rsidR="00A97CE4">
        <w:t xml:space="preserve">la </w:t>
      </w:r>
      <w:r w:rsidR="00A97CE4" w:rsidRPr="00A97CE4">
        <w:t>rigidez, que también est</w:t>
      </w:r>
      <w:r w:rsidR="00A97CE4">
        <w:t>ar</w:t>
      </w:r>
      <w:r w:rsidR="00A97CE4" w:rsidRPr="00A97CE4">
        <w:t>á allí</w:t>
      </w:r>
      <w:r w:rsidR="00F36152" w:rsidRPr="00F36152">
        <w:t xml:space="preserve"> </w:t>
      </w:r>
      <w:r w:rsidR="00F36152">
        <w:t>presente</w:t>
      </w:r>
      <w:r w:rsidR="00A97CE4" w:rsidRPr="00A97CE4">
        <w:t xml:space="preserve">, como el elemento tierra. En </w:t>
      </w:r>
      <w:r w:rsidR="00A97CE4" w:rsidRPr="00D827FE">
        <w:rPr>
          <w:i/>
          <w:iCs/>
        </w:rPr>
        <w:t>los cuatro componentes</w:t>
      </w:r>
      <w:r w:rsidR="00A97CE4" w:rsidRPr="00A97CE4">
        <w:t xml:space="preserve">, la característica de </w:t>
      </w:r>
      <w:r w:rsidR="00F36152">
        <w:t xml:space="preserve">la </w:t>
      </w:r>
      <w:r w:rsidR="00A97CE4" w:rsidRPr="00A97CE4">
        <w:t>maduración (</w:t>
      </w:r>
      <w:r w:rsidR="00A97CE4">
        <w:t>desarrollo</w:t>
      </w:r>
      <w:r w:rsidR="00A97CE4" w:rsidRPr="00A97CE4">
        <w:t>) debe</w:t>
      </w:r>
      <w:r w:rsidR="00A97CE4">
        <w:t>rá</w:t>
      </w:r>
      <w:r w:rsidR="00A97CE4" w:rsidRPr="00A97CE4">
        <w:t xml:space="preserve"> definirse como el elemento fuego</w:t>
      </w:r>
      <w:r w:rsidR="00F36152">
        <w:t>;</w:t>
      </w:r>
      <w:r w:rsidR="00A97CE4" w:rsidRPr="00A97CE4">
        <w:t xml:space="preserve"> la característica de </w:t>
      </w:r>
      <w:r w:rsidR="00A97CE4">
        <w:t xml:space="preserve">la </w:t>
      </w:r>
      <w:r w:rsidR="00A97CE4" w:rsidRPr="00A97CE4">
        <w:t>distensión irresoluble (inseparable) de él</w:t>
      </w:r>
      <w:r w:rsidR="00F36152">
        <w:t>,</w:t>
      </w:r>
      <w:r w:rsidR="00A97CE4" w:rsidRPr="00A97CE4">
        <w:t xml:space="preserve"> como el elemento aire</w:t>
      </w:r>
      <w:r w:rsidR="00F36152">
        <w:t>;</w:t>
      </w:r>
      <w:r w:rsidR="00A97CE4" w:rsidRPr="00A97CE4">
        <w:t xml:space="preserve"> [364] la característica de </w:t>
      </w:r>
      <w:r w:rsidR="00A97CE4">
        <w:t xml:space="preserve">la </w:t>
      </w:r>
      <w:r w:rsidR="00A97CE4" w:rsidRPr="00A97CE4">
        <w:t>rigidez como el elemento tierra</w:t>
      </w:r>
      <w:r w:rsidR="007A5BCE">
        <w:t>;</w:t>
      </w:r>
      <w:r w:rsidR="00A97CE4" w:rsidRPr="00A97CE4">
        <w:t xml:space="preserve"> y la característica de </w:t>
      </w:r>
      <w:r w:rsidR="00A97CE4">
        <w:t xml:space="preserve">la </w:t>
      </w:r>
      <w:r w:rsidR="00A97CE4" w:rsidRPr="00A97CE4">
        <w:t xml:space="preserve">cohesión como el elemento agua. En </w:t>
      </w:r>
      <w:r w:rsidR="00A97CE4" w:rsidRPr="00D827FE">
        <w:rPr>
          <w:i/>
          <w:iCs/>
        </w:rPr>
        <w:t>los seis componentes</w:t>
      </w:r>
      <w:r w:rsidR="00A97CE4" w:rsidRPr="00A97CE4">
        <w:t xml:space="preserve">, la característica de </w:t>
      </w:r>
      <w:r w:rsidR="00A97CE4">
        <w:t xml:space="preserve">la </w:t>
      </w:r>
      <w:r w:rsidR="00A97CE4" w:rsidRPr="00A97CE4">
        <w:t>distensión debe</w:t>
      </w:r>
      <w:r w:rsidR="00A97CE4">
        <w:t>rá</w:t>
      </w:r>
      <w:r w:rsidR="00A97CE4" w:rsidRPr="00A97CE4">
        <w:t xml:space="preserve"> definirse como el elemento aire, la característica de </w:t>
      </w:r>
      <w:r w:rsidR="00A97CE4">
        <w:t xml:space="preserve">la </w:t>
      </w:r>
      <w:r w:rsidR="00A97CE4" w:rsidRPr="00A97CE4">
        <w:t xml:space="preserve">rigidez allí también como el elemento tierra, la característica de </w:t>
      </w:r>
      <w:r w:rsidR="00A97CE4">
        <w:t xml:space="preserve">la </w:t>
      </w:r>
      <w:r w:rsidR="00A97CE4" w:rsidRPr="00A97CE4">
        <w:t xml:space="preserve">cohesión como el elemento agua y la característica de </w:t>
      </w:r>
      <w:r w:rsidR="00A97CE4">
        <w:t xml:space="preserve">la </w:t>
      </w:r>
      <w:r w:rsidR="00A97CE4" w:rsidRPr="00A97CE4">
        <w:t>maduración (</w:t>
      </w:r>
      <w:r w:rsidR="00A97CE4">
        <w:t>desarrollo</w:t>
      </w:r>
      <w:r w:rsidR="00A97CE4" w:rsidRPr="00A97CE4">
        <w:t>) como el elemento fuego.</w:t>
      </w:r>
    </w:p>
    <w:p w14:paraId="64778EFD" w14:textId="5CC2B634" w:rsidR="00E273A8" w:rsidRDefault="00E273A8" w:rsidP="00E273A8">
      <w:pPr>
        <w:pStyle w:val="NormalConSangria"/>
      </w:pPr>
      <w:r>
        <w:t xml:space="preserve">Al definirlos </w:t>
      </w:r>
      <w:r w:rsidR="00056E8B">
        <w:t>así</w:t>
      </w:r>
      <w:r>
        <w:t xml:space="preserve">, los elementos le </w:t>
      </w:r>
      <w:r w:rsidR="00A97CE4">
        <w:t>resultarán</w:t>
      </w:r>
      <w:r w:rsidR="00056E8B">
        <w:t xml:space="preserve"> </w:t>
      </w:r>
      <w:r>
        <w:t>evidentes. A medida que los adviert</w:t>
      </w:r>
      <w:r w:rsidR="00056E8B">
        <w:t>a</w:t>
      </w:r>
      <w:r>
        <w:t xml:space="preserve"> y les prest</w:t>
      </w:r>
      <w:r w:rsidR="00056E8B">
        <w:t>e</w:t>
      </w:r>
      <w:r>
        <w:t xml:space="preserve"> atención una y otra vez, surg</w:t>
      </w:r>
      <w:r w:rsidR="00056E8B">
        <w:t>irá</w:t>
      </w:r>
      <w:r>
        <w:t xml:space="preserve"> en él la concentración de acceso de la manera ya </w:t>
      </w:r>
      <w:r w:rsidR="00EA1764">
        <w:t>descrita</w:t>
      </w:r>
      <w:r>
        <w:t>.</w:t>
      </w:r>
    </w:p>
    <w:p w14:paraId="59B56A88" w14:textId="44261D32" w:rsidR="00E273A8" w:rsidRDefault="00E273A8" w:rsidP="00620918">
      <w:pPr>
        <w:pStyle w:val="Ttulo4"/>
        <w:ind w:left="708"/>
      </w:pPr>
      <w:r>
        <w:t xml:space="preserve">[(4) Con </w:t>
      </w:r>
      <w:r w:rsidR="00230A83">
        <w:t xml:space="preserve">las </w:t>
      </w:r>
      <w:r>
        <w:t xml:space="preserve">Características </w:t>
      </w:r>
      <w:r w:rsidR="00A97CE4">
        <w:t xml:space="preserve">Mediante El </w:t>
      </w:r>
      <w:r>
        <w:t>Análisis]</w:t>
      </w:r>
    </w:p>
    <w:p w14:paraId="1FC4CF75" w14:textId="734A7D1F" w:rsidR="00E273A8" w:rsidRDefault="00E273A8" w:rsidP="00E273A8">
      <w:r>
        <w:t xml:space="preserve">85. </w:t>
      </w:r>
      <w:r>
        <w:tab/>
        <w:t xml:space="preserve">Sin embargo, si todavía no </w:t>
      </w:r>
      <w:r w:rsidR="00EA1764">
        <w:t>ob</w:t>
      </w:r>
      <w:r w:rsidR="005E43F9">
        <w:t>tuviese</w:t>
      </w:r>
      <w:r>
        <w:t xml:space="preserve"> éxito con su </w:t>
      </w:r>
      <w:r w:rsidR="005E43F9">
        <w:t xml:space="preserve">objeto </w:t>
      </w:r>
      <w:r>
        <w:t>de meditación cuando le prest</w:t>
      </w:r>
      <w:r w:rsidR="00230A83">
        <w:t xml:space="preserve">e </w:t>
      </w:r>
      <w:r>
        <w:t>su atención</w:t>
      </w:r>
      <w:r w:rsidR="00EA1764" w:rsidRPr="00EA1764">
        <w:t xml:space="preserve"> </w:t>
      </w:r>
      <w:r w:rsidR="00EA1764">
        <w:t>así</w:t>
      </w:r>
      <w:r>
        <w:t>, entonces debe</w:t>
      </w:r>
      <w:r w:rsidR="00230A83">
        <w:t>rá</w:t>
      </w:r>
      <w:r>
        <w:t xml:space="preserve"> desarrollarlo </w:t>
      </w:r>
      <w:r w:rsidRPr="00B66771">
        <w:rPr>
          <w:i/>
          <w:iCs/>
        </w:rPr>
        <w:t xml:space="preserve">con </w:t>
      </w:r>
      <w:r w:rsidR="00230A83">
        <w:rPr>
          <w:i/>
          <w:iCs/>
        </w:rPr>
        <w:t xml:space="preserve">las </w:t>
      </w:r>
      <w:r w:rsidRPr="00B66771">
        <w:rPr>
          <w:i/>
          <w:iCs/>
        </w:rPr>
        <w:t>características mediante el análisis</w:t>
      </w:r>
      <w:r>
        <w:t xml:space="preserve">. ¿Cómo? Después de discernir </w:t>
      </w:r>
      <w:r w:rsidR="00230A83">
        <w:t xml:space="preserve">sobre </w:t>
      </w:r>
      <w:r>
        <w:t xml:space="preserve">los </w:t>
      </w:r>
      <w:r w:rsidR="00230A83">
        <w:t>cabellos</w:t>
      </w:r>
      <w:r>
        <w:t xml:space="preserve"> de la cabeza, etc., en la forma ya descrita, la característica de </w:t>
      </w:r>
      <w:r w:rsidR="003B6A6F">
        <w:t xml:space="preserve">la </w:t>
      </w:r>
      <w:r>
        <w:t xml:space="preserve">rigidez en los </w:t>
      </w:r>
      <w:r w:rsidR="003B6A6F">
        <w:t>cabellos</w:t>
      </w:r>
      <w:r>
        <w:t xml:space="preserve"> de la cabeza debe</w:t>
      </w:r>
      <w:r w:rsidR="003B6A6F">
        <w:t>rá</w:t>
      </w:r>
      <w:r>
        <w:t xml:space="preserve"> definirse como el elemento tierra</w:t>
      </w:r>
      <w:r w:rsidR="00D03F48">
        <w:t>;</w:t>
      </w:r>
      <w:r>
        <w:t xml:space="preserve"> la característica de </w:t>
      </w:r>
      <w:r w:rsidR="003B6A6F">
        <w:t xml:space="preserve">la </w:t>
      </w:r>
      <w:r>
        <w:t>cohesión</w:t>
      </w:r>
      <w:r w:rsidR="00D03F48">
        <w:t>,</w:t>
      </w:r>
      <w:r>
        <w:t xml:space="preserve"> también </w:t>
      </w:r>
      <w:r w:rsidR="003B6A6F">
        <w:t>presente</w:t>
      </w:r>
      <w:r w:rsidR="00D03F48">
        <w:t>,</w:t>
      </w:r>
      <w:r w:rsidR="003B6A6F">
        <w:t xml:space="preserve"> </w:t>
      </w:r>
      <w:r>
        <w:t>como el elemento agua</w:t>
      </w:r>
      <w:r w:rsidR="00D03F48">
        <w:t>;</w:t>
      </w:r>
      <w:r>
        <w:t xml:space="preserve"> la característica de maduración (</w:t>
      </w:r>
      <w:r w:rsidR="003B6A6F">
        <w:t>desarrollo</w:t>
      </w:r>
      <w:r>
        <w:t xml:space="preserve">) como el elemento fuego y la característica de </w:t>
      </w:r>
      <w:r w:rsidR="003B6A6F">
        <w:t xml:space="preserve">la </w:t>
      </w:r>
      <w:r>
        <w:t>distensión como el elemento aire. Los cuatro elementos debe</w:t>
      </w:r>
      <w:r w:rsidR="003B6A6F">
        <w:t>rán</w:t>
      </w:r>
      <w:r>
        <w:t xml:space="preserve"> definirse </w:t>
      </w:r>
      <w:r w:rsidR="004F72CB">
        <w:t xml:space="preserve">así </w:t>
      </w:r>
      <w:r>
        <w:t>en el caso de cada componente.</w:t>
      </w:r>
    </w:p>
    <w:p w14:paraId="5C576C22" w14:textId="7E2ACB08" w:rsidR="00E273A8" w:rsidRDefault="00E273A8" w:rsidP="004F72CB">
      <w:pPr>
        <w:pStyle w:val="NumeracinconSangra"/>
      </w:pPr>
      <w:r>
        <w:t xml:space="preserve">Al definirlos </w:t>
      </w:r>
      <w:r w:rsidR="004F72CB">
        <w:t>así</w:t>
      </w:r>
      <w:r>
        <w:t>, los elementos se le ha</w:t>
      </w:r>
      <w:r w:rsidR="00AE1434">
        <w:t>rá</w:t>
      </w:r>
      <w:r>
        <w:t>n evidentes. A medida que los adviert</w:t>
      </w:r>
      <w:r w:rsidR="00AE1434">
        <w:t>a</w:t>
      </w:r>
      <w:r>
        <w:t xml:space="preserve"> y les prest</w:t>
      </w:r>
      <w:r w:rsidR="00AE1434">
        <w:t>e</w:t>
      </w:r>
      <w:r>
        <w:t xml:space="preserve"> atención una y otra vez, la concentración de acceso surg</w:t>
      </w:r>
      <w:r w:rsidR="00AE1434">
        <w:t>irá</w:t>
      </w:r>
      <w:r>
        <w:t xml:space="preserve"> en él de la manera ya descrita.</w:t>
      </w:r>
    </w:p>
    <w:p w14:paraId="20DC29C6" w14:textId="31145651" w:rsidR="00E273A8" w:rsidRDefault="00E273A8" w:rsidP="00E273A8">
      <w:pPr>
        <w:pStyle w:val="Ttulo3"/>
        <w:ind w:left="708"/>
      </w:pPr>
      <w:r>
        <w:t>[F</w:t>
      </w:r>
      <w:r w:rsidR="00F32107">
        <w:t>ó</w:t>
      </w:r>
      <w:r>
        <w:t>rm</w:t>
      </w:r>
      <w:r w:rsidR="00F32107">
        <w:t>ula</w:t>
      </w:r>
      <w:r>
        <w:t xml:space="preserve">s Adicionales </w:t>
      </w:r>
      <w:r w:rsidR="00AB5544">
        <w:t>para</w:t>
      </w:r>
      <w:r>
        <w:t xml:space="preserve"> Prestar Atención]</w:t>
      </w:r>
    </w:p>
    <w:p w14:paraId="393B471B" w14:textId="6EB3FA83" w:rsidR="00E273A8" w:rsidRDefault="00E273A8" w:rsidP="00E273A8">
      <w:r>
        <w:t xml:space="preserve">86. </w:t>
      </w:r>
      <w:r>
        <w:tab/>
        <w:t>Además, se debe</w:t>
      </w:r>
      <w:r w:rsidR="00AE1434">
        <w:t>rá</w:t>
      </w:r>
      <w:r>
        <w:t xml:space="preserve"> prestar atención a los elementos de las siguientes maneras: (1) en cuanto al significado de las palabras, (2) </w:t>
      </w:r>
      <w:r w:rsidR="008C0F50">
        <w:t>mediante</w:t>
      </w:r>
      <w:r>
        <w:t xml:space="preserve"> grupos, (3) </w:t>
      </w:r>
      <w:r w:rsidR="008C0F50">
        <w:t xml:space="preserve">mediante </w:t>
      </w:r>
      <w:r>
        <w:t xml:space="preserve">partículas, (4) </w:t>
      </w:r>
      <w:r w:rsidR="008C0F50">
        <w:t xml:space="preserve">mediante su </w:t>
      </w:r>
      <w:r>
        <w:t xml:space="preserve">característica, etc., (5) </w:t>
      </w:r>
      <w:r w:rsidR="00942EA0">
        <w:t xml:space="preserve">en cuanto a </w:t>
      </w:r>
      <w:r>
        <w:t xml:space="preserve">cómo se originó, (6) en cuanto a </w:t>
      </w:r>
      <w:r w:rsidR="00886D4A">
        <w:t>su</w:t>
      </w:r>
      <w:r>
        <w:t xml:space="preserve"> variedad y un</w:t>
      </w:r>
      <w:r w:rsidR="00886D4A">
        <w:t>ici</w:t>
      </w:r>
      <w:r>
        <w:t xml:space="preserve">dad, (7) en cuanto a la resolución (separabilidad) y no resolución (inseparabilidad), (8) en cuanto a lo similar y </w:t>
      </w:r>
      <w:r w:rsidR="00E746CE">
        <w:t>disimilar</w:t>
      </w:r>
      <w:r>
        <w:t xml:space="preserve">, (9) en cuanto a la distinción entre </w:t>
      </w:r>
      <w:r w:rsidR="00E746CE">
        <w:t xml:space="preserve">lo </w:t>
      </w:r>
      <w:r>
        <w:t xml:space="preserve">interno y externo, (10) en cuanto a la inclusión, (11) en cuanto a la condición, (12) en cuanto a la </w:t>
      </w:r>
      <w:r w:rsidR="00335F5C">
        <w:t>ausencia</w:t>
      </w:r>
      <w:r>
        <w:t xml:space="preserve"> de reacción consciente, (13) en cuanto al análisis de las condiciones.</w:t>
      </w:r>
    </w:p>
    <w:p w14:paraId="2C08DC24" w14:textId="2FAD6E79" w:rsidR="00AE7759" w:rsidRDefault="00E273A8" w:rsidP="00E273A8">
      <w:r>
        <w:t xml:space="preserve">87. </w:t>
      </w:r>
      <w:r>
        <w:tab/>
      </w:r>
      <w:r w:rsidRPr="00335F5C">
        <w:rPr>
          <w:i/>
          <w:iCs/>
        </w:rPr>
        <w:t>1.</w:t>
      </w:r>
      <w:r>
        <w:t xml:space="preserve"> Aquí, quien preste atención en cuanto </w:t>
      </w:r>
      <w:r w:rsidRPr="00B66771">
        <w:rPr>
          <w:i/>
          <w:iCs/>
        </w:rPr>
        <w:t>al significado de las palabras</w:t>
      </w:r>
      <w:r>
        <w:t xml:space="preserve"> debe</w:t>
      </w:r>
      <w:r w:rsidR="003D5FE4">
        <w:t>rá</w:t>
      </w:r>
      <w:r>
        <w:t xml:space="preserve"> hacerlo por separado y generalmente así: [por separado] </w:t>
      </w:r>
      <w:r w:rsidR="003D5FE4">
        <w:t xml:space="preserve">esto </w:t>
      </w:r>
      <w:r>
        <w:t>es tierra (</w:t>
      </w:r>
      <w:proofErr w:type="spellStart"/>
      <w:r w:rsidRPr="00B66771">
        <w:rPr>
          <w:i/>
          <w:iCs/>
        </w:rPr>
        <w:t>pathavī</w:t>
      </w:r>
      <w:proofErr w:type="spellEnd"/>
      <w:r>
        <w:t>) porque está extendida (</w:t>
      </w:r>
      <w:proofErr w:type="spellStart"/>
      <w:r w:rsidRPr="00B66771">
        <w:rPr>
          <w:i/>
          <w:iCs/>
        </w:rPr>
        <w:t>patthaþa</w:t>
      </w:r>
      <w:proofErr w:type="spellEnd"/>
      <w:r>
        <w:t xml:space="preserve">); </w:t>
      </w:r>
      <w:r w:rsidR="003D5FE4">
        <w:t xml:space="preserve">esto </w:t>
      </w:r>
      <w:r>
        <w:t>fluye (</w:t>
      </w:r>
      <w:proofErr w:type="spellStart"/>
      <w:r w:rsidRPr="00B66771">
        <w:rPr>
          <w:i/>
          <w:iCs/>
        </w:rPr>
        <w:t>appoti</w:t>
      </w:r>
      <w:proofErr w:type="spellEnd"/>
      <w:r>
        <w:t>) o se desliza (</w:t>
      </w:r>
      <w:proofErr w:type="spellStart"/>
      <w:r w:rsidRPr="00B66771">
        <w:rPr>
          <w:i/>
          <w:iCs/>
        </w:rPr>
        <w:t>āpiyati</w:t>
      </w:r>
      <w:proofErr w:type="spellEnd"/>
      <w:r>
        <w:t>) o satisface (</w:t>
      </w:r>
      <w:proofErr w:type="spellStart"/>
      <w:r w:rsidRPr="00B66771">
        <w:rPr>
          <w:i/>
          <w:iCs/>
        </w:rPr>
        <w:t>appāyati</w:t>
      </w:r>
      <w:proofErr w:type="spellEnd"/>
      <w:r>
        <w:t xml:space="preserve">), </w:t>
      </w:r>
      <w:r w:rsidR="0013666D">
        <w:t xml:space="preserve">es </w:t>
      </w:r>
      <w:r>
        <w:t xml:space="preserve">así </w:t>
      </w:r>
      <w:r w:rsidR="0013666D">
        <w:t xml:space="preserve">cómo es </w:t>
      </w:r>
      <w:r>
        <w:t>agua (</w:t>
      </w:r>
      <w:proofErr w:type="spellStart"/>
      <w:r w:rsidR="00B66771" w:rsidRPr="00B66771">
        <w:rPr>
          <w:i/>
          <w:iCs/>
        </w:rPr>
        <w:t>āpo</w:t>
      </w:r>
      <w:proofErr w:type="spellEnd"/>
      <w:r>
        <w:t xml:space="preserve">); </w:t>
      </w:r>
      <w:r w:rsidR="003D5FE4">
        <w:t xml:space="preserve">esto </w:t>
      </w:r>
      <w:r>
        <w:t>calienta (</w:t>
      </w:r>
      <w:proofErr w:type="spellStart"/>
      <w:r w:rsidRPr="00B66771">
        <w:rPr>
          <w:i/>
          <w:iCs/>
        </w:rPr>
        <w:t>tejati</w:t>
      </w:r>
      <w:proofErr w:type="spellEnd"/>
      <w:r>
        <w:t xml:space="preserve">), </w:t>
      </w:r>
      <w:r w:rsidR="00FE4F36">
        <w:t xml:space="preserve">es </w:t>
      </w:r>
      <w:r>
        <w:t xml:space="preserve">así </w:t>
      </w:r>
      <w:r w:rsidR="00FE4F36">
        <w:t xml:space="preserve">cómo </w:t>
      </w:r>
      <w:r>
        <w:t>es fuego (</w:t>
      </w:r>
      <w:r w:rsidRPr="003D5FE4">
        <w:rPr>
          <w:i/>
          <w:iCs/>
        </w:rPr>
        <w:t>tejo</w:t>
      </w:r>
      <w:r>
        <w:t xml:space="preserve">); </w:t>
      </w:r>
      <w:r w:rsidR="003D5FE4">
        <w:t xml:space="preserve">esto </w:t>
      </w:r>
      <w:r>
        <w:t>sopla (</w:t>
      </w:r>
      <w:proofErr w:type="spellStart"/>
      <w:r w:rsidRPr="00B66771">
        <w:rPr>
          <w:i/>
          <w:iCs/>
        </w:rPr>
        <w:t>vāyati</w:t>
      </w:r>
      <w:proofErr w:type="spellEnd"/>
      <w:r>
        <w:t xml:space="preserve">), </w:t>
      </w:r>
      <w:r w:rsidR="00FE4F36">
        <w:t xml:space="preserve">es así cómo </w:t>
      </w:r>
      <w:r>
        <w:t>es aire (</w:t>
      </w:r>
      <w:proofErr w:type="spellStart"/>
      <w:r w:rsidRPr="00B66771">
        <w:rPr>
          <w:i/>
          <w:iCs/>
        </w:rPr>
        <w:t>vāyo</w:t>
      </w:r>
      <w:proofErr w:type="spellEnd"/>
      <w:r>
        <w:t xml:space="preserve">). </w:t>
      </w:r>
      <w:r w:rsidR="003D5FE4">
        <w:t xml:space="preserve">No obstante, </w:t>
      </w:r>
      <w:r>
        <w:t xml:space="preserve">sin </w:t>
      </w:r>
      <w:r w:rsidR="003D5FE4">
        <w:t xml:space="preserve">una </w:t>
      </w:r>
      <w:r>
        <w:t xml:space="preserve">diferenciación </w:t>
      </w:r>
      <w:r w:rsidR="00FE4F36">
        <w:t>serán</w:t>
      </w:r>
      <w:r>
        <w:t xml:space="preserve"> </w:t>
      </w:r>
      <w:r w:rsidR="00AE7759">
        <w:t xml:space="preserve">simplemente </w:t>
      </w:r>
      <w:r>
        <w:t>elementos (</w:t>
      </w:r>
      <w:proofErr w:type="spellStart"/>
      <w:r w:rsidR="00B66771">
        <w:rPr>
          <w:i/>
          <w:iCs/>
        </w:rPr>
        <w:t>dhātu</w:t>
      </w:r>
      <w:proofErr w:type="spellEnd"/>
      <w:r>
        <w:t>) por tener (</w:t>
      </w:r>
      <w:proofErr w:type="spellStart"/>
      <w:r w:rsidRPr="00B66771">
        <w:rPr>
          <w:i/>
          <w:iCs/>
        </w:rPr>
        <w:t>dhāraṇa</w:t>
      </w:r>
      <w:proofErr w:type="spellEnd"/>
      <w:r>
        <w:t>) sus propias características, por aferrarse (</w:t>
      </w:r>
      <w:proofErr w:type="spellStart"/>
      <w:r w:rsidRPr="00B66771">
        <w:rPr>
          <w:i/>
          <w:iCs/>
        </w:rPr>
        <w:t>ādāna</w:t>
      </w:r>
      <w:proofErr w:type="spellEnd"/>
      <w:r>
        <w:t>) al sufrimiento y por sortear (</w:t>
      </w:r>
      <w:proofErr w:type="spellStart"/>
      <w:r w:rsidRPr="00B66771">
        <w:rPr>
          <w:i/>
          <w:iCs/>
        </w:rPr>
        <w:t>ādhāna</w:t>
      </w:r>
      <w:proofErr w:type="spellEnd"/>
      <w:r>
        <w:t>) el sufrimiento (</w:t>
      </w:r>
      <w:r w:rsidR="00FE4F36">
        <w:t xml:space="preserve">Ver </w:t>
      </w:r>
      <w:r>
        <w:t>XV.19).</w:t>
      </w:r>
      <w:r w:rsidRPr="00C246F5">
        <w:rPr>
          <w:vertAlign w:val="superscript"/>
        </w:rPr>
        <w:t>29</w:t>
      </w:r>
      <w:r>
        <w:t xml:space="preserve"> Así es c</w:t>
      </w:r>
      <w:r w:rsidR="00AE7759">
        <w:t>ó</w:t>
      </w:r>
      <w:r>
        <w:t xml:space="preserve">mo debe ser </w:t>
      </w:r>
      <w:r w:rsidR="00AE7759">
        <w:t xml:space="preserve">su </w:t>
      </w:r>
      <w:r>
        <w:t>atención en cuanto al significado de las palabras.</w:t>
      </w:r>
    </w:p>
    <w:p w14:paraId="1A5CEE99" w14:textId="3D493718" w:rsidR="00E273A8" w:rsidRPr="00E273A8" w:rsidRDefault="00E273A8" w:rsidP="00E273A8">
      <w:pPr>
        <w:pStyle w:val="PiedepginaLegal"/>
        <w:rPr>
          <w:u w:val="single"/>
        </w:rPr>
      </w:pPr>
      <w:r w:rsidRPr="00E273A8">
        <w:rPr>
          <w:u w:val="single"/>
        </w:rPr>
        <w:t xml:space="preserve">                                                                                                                                          .</w:t>
      </w:r>
    </w:p>
    <w:p w14:paraId="4CEDF80C" w14:textId="042D9716" w:rsidR="00E273A8" w:rsidRDefault="00E273A8" w:rsidP="00B66771">
      <w:pPr>
        <w:pStyle w:val="PiedepginaLegal"/>
      </w:pPr>
      <w:r>
        <w:t xml:space="preserve">29. </w:t>
      </w:r>
      <w:r>
        <w:tab/>
        <w:t>“‘</w:t>
      </w:r>
      <w:r w:rsidR="00D64E96">
        <w:rPr>
          <w:i/>
          <w:iCs/>
        </w:rPr>
        <w:t>Debido a que posee</w:t>
      </w:r>
      <w:r w:rsidRPr="00B66771">
        <w:rPr>
          <w:i/>
          <w:iCs/>
        </w:rPr>
        <w:t xml:space="preserve"> sus propias características’</w:t>
      </w:r>
      <w:r>
        <w:t>: estos no son como la Esencia Primordial (</w:t>
      </w:r>
      <w:proofErr w:type="spellStart"/>
      <w:r w:rsidRPr="00B66771">
        <w:rPr>
          <w:i/>
          <w:iCs/>
        </w:rPr>
        <w:t>pakati</w:t>
      </w:r>
      <w:proofErr w:type="spellEnd"/>
      <w:r>
        <w:t>—</w:t>
      </w:r>
      <w:proofErr w:type="spellStart"/>
      <w:r>
        <w:t>Skr</w:t>
      </w:r>
      <w:proofErr w:type="spellEnd"/>
      <w:r>
        <w:t xml:space="preserve">. </w:t>
      </w:r>
      <w:proofErr w:type="spellStart"/>
      <w:r w:rsidRPr="00B66771">
        <w:rPr>
          <w:i/>
          <w:iCs/>
        </w:rPr>
        <w:t>prakṛti</w:t>
      </w:r>
      <w:proofErr w:type="spellEnd"/>
      <w:r>
        <w:t xml:space="preserve">) y el </w:t>
      </w:r>
      <w:r w:rsidR="00D64E96">
        <w:t xml:space="preserve">alma </w:t>
      </w:r>
      <w:r>
        <w:t>(</w:t>
      </w:r>
      <w:proofErr w:type="spellStart"/>
      <w:r w:rsidRPr="00B66771">
        <w:rPr>
          <w:i/>
          <w:iCs/>
        </w:rPr>
        <w:t>attā</w:t>
      </w:r>
      <w:proofErr w:type="spellEnd"/>
      <w:r>
        <w:t>) imaginad</w:t>
      </w:r>
      <w:r w:rsidR="00D64E96">
        <w:t>a</w:t>
      </w:r>
      <w:r>
        <w:t xml:space="preserve"> por los teóricos que son</w:t>
      </w:r>
      <w:r w:rsidR="00D64E96" w:rsidRPr="00D64E96">
        <w:t xml:space="preserve"> </w:t>
      </w:r>
      <w:r w:rsidR="00D64E96">
        <w:t>inexistente</w:t>
      </w:r>
      <w:r w:rsidR="000A2CBD">
        <w:t>s</w:t>
      </w:r>
      <w:r w:rsidR="00D64E96">
        <w:t xml:space="preserve"> en cuanto a la …</w:t>
      </w:r>
      <w:r>
        <w:br w:type="page"/>
      </w:r>
    </w:p>
    <w:p w14:paraId="3B1CD4A2" w14:textId="081BF290" w:rsidR="00C641CD" w:rsidRDefault="00C641CD" w:rsidP="00E273A8"/>
    <w:p w14:paraId="1C77D8EB" w14:textId="7E64766C" w:rsidR="00C641CD" w:rsidRDefault="00C641CD" w:rsidP="00C641CD">
      <w:r>
        <w:t xml:space="preserve">88. </w:t>
      </w:r>
      <w:r>
        <w:tab/>
        <w:t xml:space="preserve">2. </w:t>
      </w:r>
      <w:r w:rsidR="00FE4F36">
        <w:rPr>
          <w:i/>
          <w:iCs/>
        </w:rPr>
        <w:t>Mediante</w:t>
      </w:r>
      <w:r w:rsidRPr="00B66771">
        <w:rPr>
          <w:i/>
          <w:iCs/>
        </w:rPr>
        <w:t xml:space="preserve"> grupos</w:t>
      </w:r>
      <w:r>
        <w:t xml:space="preserve">: está el elemento tierra descrito bajo los </w:t>
      </w:r>
      <w:r w:rsidR="00EC7985">
        <w:t>20</w:t>
      </w:r>
      <w:r>
        <w:t xml:space="preserve"> aspectos (modos) que comienzan con los </w:t>
      </w:r>
      <w:r w:rsidR="00CD3721">
        <w:t>cabellos</w:t>
      </w:r>
      <w:r>
        <w:t xml:space="preserve"> de la cabeza, el vello corporal, y también el elemento agua descrito bajo los doce aspectos </w:t>
      </w:r>
      <w:r w:rsidR="005D23FB">
        <w:t xml:space="preserve">(o modos) </w:t>
      </w:r>
      <w:r>
        <w:t>que comienzan con la bilis, la flema, etc. Ahora, en cuanto a estos:</w:t>
      </w:r>
    </w:p>
    <w:p w14:paraId="3CC979ED" w14:textId="4003E0D8" w:rsidR="00C641CD" w:rsidRDefault="005D23FB" w:rsidP="00C641CD">
      <w:pPr>
        <w:pStyle w:val="VersoIngls01Sangria"/>
      </w:pPr>
      <w:r>
        <w:t>El c</w:t>
      </w:r>
      <w:r w:rsidR="00C641CD">
        <w:t xml:space="preserve">olor, olor, sabor y </w:t>
      </w:r>
      <w:r w:rsidR="00A255BB">
        <w:t>esencia</w:t>
      </w:r>
      <w:r w:rsidR="00C641CD">
        <w:t xml:space="preserve"> nut</w:t>
      </w:r>
      <w:r w:rsidR="00EF600A">
        <w:t>r</w:t>
      </w:r>
      <w:r w:rsidR="00C641CD">
        <w:t>i</w:t>
      </w:r>
      <w:r w:rsidR="00EF600A">
        <w:t>ente</w:t>
      </w:r>
    </w:p>
    <w:p w14:paraId="185748AD" w14:textId="33226409" w:rsidR="00C641CD" w:rsidRDefault="00BE2DF6" w:rsidP="00C641CD">
      <w:pPr>
        <w:pStyle w:val="VersoIngls01Sangria"/>
      </w:pPr>
      <w:r>
        <w:t xml:space="preserve">Y </w:t>
      </w:r>
      <w:r w:rsidR="00C641CD">
        <w:t>los cuatro elementos—</w:t>
      </w:r>
    </w:p>
    <w:p w14:paraId="678BC493" w14:textId="77777777" w:rsidR="00C641CD" w:rsidRDefault="00C641CD" w:rsidP="00C641CD">
      <w:pPr>
        <w:pStyle w:val="VersoIngls01Sangria"/>
      </w:pPr>
      <w:r>
        <w:t>De la combinación de estos ocho</w:t>
      </w:r>
    </w:p>
    <w:p w14:paraId="7801304A" w14:textId="676E57B1" w:rsidR="00C641CD" w:rsidRDefault="00EF600A" w:rsidP="00C641CD">
      <w:pPr>
        <w:pStyle w:val="VersoIngls01Sangria"/>
      </w:pPr>
      <w:r>
        <w:t xml:space="preserve">Viene </w:t>
      </w:r>
      <w:r w:rsidR="00C641CD">
        <w:t xml:space="preserve">el uso común de los </w:t>
      </w:r>
      <w:r>
        <w:t>cabellos</w:t>
      </w:r>
      <w:r w:rsidR="00C641CD">
        <w:t xml:space="preserve"> de la cabeza;</w:t>
      </w:r>
    </w:p>
    <w:p w14:paraId="60A66E82" w14:textId="77777777" w:rsidR="00C641CD" w:rsidRDefault="00C641CD" w:rsidP="00C641CD">
      <w:pPr>
        <w:pStyle w:val="VersoIngls01Sangria"/>
      </w:pPr>
      <w:r>
        <w:t>Y aparte de estos ocho</w:t>
      </w:r>
      <w:r w:rsidRPr="00C246F5">
        <w:rPr>
          <w:vertAlign w:val="superscript"/>
        </w:rPr>
        <w:t>30</w:t>
      </w:r>
    </w:p>
    <w:p w14:paraId="6BEA5328" w14:textId="65999D1B" w:rsidR="00C641CD" w:rsidRDefault="00C641CD" w:rsidP="00C641CD">
      <w:pPr>
        <w:pStyle w:val="VersoIngls01Sangria"/>
        <w:spacing w:after="100"/>
        <w:ind w:left="1418"/>
      </w:pPr>
      <w:r>
        <w:t xml:space="preserve">No </w:t>
      </w:r>
      <w:r w:rsidR="00EF600A">
        <w:t>existen</w:t>
      </w:r>
      <w:r>
        <w:t xml:space="preserve"> </w:t>
      </w:r>
      <w:r w:rsidR="00EF600A">
        <w:t xml:space="preserve">cabellos </w:t>
      </w:r>
      <w:r>
        <w:t xml:space="preserve">de </w:t>
      </w:r>
      <w:r w:rsidR="00EF600A">
        <w:t xml:space="preserve">la </w:t>
      </w:r>
      <w:r>
        <w:t>cabeza de uso común.</w:t>
      </w:r>
    </w:p>
    <w:p w14:paraId="17850EE2" w14:textId="3E9F0A8A" w:rsidR="00C641CD" w:rsidRDefault="00C641CD" w:rsidP="00C641CD">
      <w:pPr>
        <w:pStyle w:val="NormalConSangria"/>
      </w:pPr>
      <w:r>
        <w:t xml:space="preserve">En consecuencia, los </w:t>
      </w:r>
      <w:r w:rsidR="00EF600A">
        <w:t>cabellos</w:t>
      </w:r>
      <w:r>
        <w:t xml:space="preserve"> de la cabeza </w:t>
      </w:r>
      <w:r w:rsidR="001F3FB8">
        <w:t xml:space="preserve">serán </w:t>
      </w:r>
      <w:r>
        <w:t>solo un mero grupo de ocho estados. Asimismo, el vello corporal, [365] y lo demás. Un componente aquí origina</w:t>
      </w:r>
      <w:r w:rsidR="00EF600A">
        <w:t>do</w:t>
      </w:r>
      <w:r>
        <w:t xml:space="preserve"> </w:t>
      </w:r>
      <w:r w:rsidR="001F3FB8">
        <w:t>d</w:t>
      </w:r>
      <w:r>
        <w:t xml:space="preserve">el </w:t>
      </w:r>
      <w:proofErr w:type="spellStart"/>
      <w:r w:rsidR="00057BF4" w:rsidRPr="00057BF4">
        <w:rPr>
          <w:i/>
          <w:iCs/>
        </w:rPr>
        <w:t>kamma</w:t>
      </w:r>
      <w:proofErr w:type="spellEnd"/>
      <w:r>
        <w:t xml:space="preserve"> </w:t>
      </w:r>
      <w:r w:rsidR="00FB43BC">
        <w:t>corresponde a</w:t>
      </w:r>
      <w:r>
        <w:t xml:space="preserve"> un grupo de diez estados, [es decir, los primeros ocho] junto con la facultad </w:t>
      </w:r>
      <w:r w:rsidR="003A6C9D">
        <w:t xml:space="preserve">vital </w:t>
      </w:r>
      <w:r>
        <w:t xml:space="preserve">y el sexo. Pero es debido a la prominencia respectiva [de la rigidez o la cohesión] que se le denomina “elemento tierra” o </w:t>
      </w:r>
      <w:r w:rsidR="00690B39">
        <w:t xml:space="preserve">el </w:t>
      </w:r>
      <w:r>
        <w:t xml:space="preserve">“elemento agua”. Así se les debe </w:t>
      </w:r>
      <w:r w:rsidR="00FB43BC">
        <w:t>prestar</w:t>
      </w:r>
      <w:r>
        <w:t xml:space="preserve"> atención “</w:t>
      </w:r>
      <w:r w:rsidR="00FB43BC">
        <w:t xml:space="preserve">mediante </w:t>
      </w:r>
      <w:r>
        <w:t>grupos”.</w:t>
      </w:r>
    </w:p>
    <w:p w14:paraId="6698B690" w14:textId="2F2C4B77" w:rsidR="00C641CD" w:rsidRDefault="00C641CD" w:rsidP="00C641CD">
      <w:r>
        <w:t xml:space="preserve">89. </w:t>
      </w:r>
      <w:r>
        <w:tab/>
        <w:t xml:space="preserve">3. </w:t>
      </w:r>
      <w:r w:rsidR="00FB43BC">
        <w:rPr>
          <w:i/>
          <w:iCs/>
        </w:rPr>
        <w:t>Mediante</w:t>
      </w:r>
      <w:r w:rsidRPr="00B66771">
        <w:rPr>
          <w:i/>
          <w:iCs/>
        </w:rPr>
        <w:t xml:space="preserve"> partículas</w:t>
      </w:r>
      <w:r>
        <w:t xml:space="preserve">: en este cuerpo el elemento tierra </w:t>
      </w:r>
      <w:r w:rsidR="00F75944">
        <w:t>adoptado</w:t>
      </w:r>
      <w:r>
        <w:t xml:space="preserve"> como </w:t>
      </w:r>
      <w:r w:rsidR="00F75944">
        <w:t xml:space="preserve">un </w:t>
      </w:r>
      <w:r>
        <w:t xml:space="preserve">reducido polvo fino y pulverizado </w:t>
      </w:r>
      <w:r w:rsidR="00F75944">
        <w:t>de</w:t>
      </w:r>
      <w:r>
        <w:t>l tamaño del átomo más pequeño</w:t>
      </w:r>
      <w:r w:rsidRPr="00C246F5">
        <w:rPr>
          <w:vertAlign w:val="superscript"/>
        </w:rPr>
        <w:t>31</w:t>
      </w:r>
      <w:r>
        <w:t xml:space="preserve"> asc</w:t>
      </w:r>
      <w:r w:rsidR="00AD5F63">
        <w:t>i</w:t>
      </w:r>
      <w:r>
        <w:t xml:space="preserve">ende a </w:t>
      </w:r>
      <w:r w:rsidR="003E5336">
        <w:t xml:space="preserve">la unidad de longitud </w:t>
      </w:r>
      <w:r w:rsidR="00AD5F63">
        <w:t xml:space="preserve">promedio </w:t>
      </w:r>
      <w:r w:rsidR="00CF0EEE">
        <w:t xml:space="preserve">de </w:t>
      </w:r>
      <w:r w:rsidR="004E4EEB">
        <w:t xml:space="preserve">todo </w:t>
      </w:r>
      <w:r w:rsidR="00CF0EEE">
        <w:t xml:space="preserve">un </w:t>
      </w:r>
      <w:proofErr w:type="spellStart"/>
      <w:r w:rsidRPr="00B66771">
        <w:rPr>
          <w:i/>
          <w:iCs/>
        </w:rPr>
        <w:t>doṇa</w:t>
      </w:r>
      <w:proofErr w:type="spellEnd"/>
      <w:r>
        <w:t>; y e</w:t>
      </w:r>
      <w:r w:rsidR="003E5336">
        <w:t>ll</w:t>
      </w:r>
      <w:r>
        <w:t>o se mantiene unido</w:t>
      </w:r>
      <w:r w:rsidRPr="00C246F5">
        <w:rPr>
          <w:vertAlign w:val="superscript"/>
        </w:rPr>
        <w:t>32</w:t>
      </w:r>
      <w:r>
        <w:t xml:space="preserve"> por el elemento agua que mide </w:t>
      </w:r>
      <w:r w:rsidR="00940D64">
        <w:t xml:space="preserve">aproximadamente </w:t>
      </w:r>
      <w:r>
        <w:t>la mitad. Al ser mantenido</w:t>
      </w:r>
      <w:r w:rsidRPr="00C246F5">
        <w:rPr>
          <w:vertAlign w:val="superscript"/>
        </w:rPr>
        <w:t>33</w:t>
      </w:r>
      <w:r>
        <w:t xml:space="preserve"> por el elemento fuego y distendido por el elemento aire, no se dispersa</w:t>
      </w:r>
      <w:r w:rsidR="00323894">
        <w:t>r</w:t>
      </w:r>
      <w:r w:rsidR="00323894">
        <w:rPr>
          <w:lang w:val="es-MX"/>
        </w:rPr>
        <w:t>á</w:t>
      </w:r>
      <w:r>
        <w:t xml:space="preserve"> ni se disipa</w:t>
      </w:r>
      <w:r w:rsidR="00323894">
        <w:t>rá</w:t>
      </w:r>
      <w:r>
        <w:t>. En lugar de dispersarse o disiparse, llega</w:t>
      </w:r>
      <w:r w:rsidR="00A13D8D">
        <w:t>rá</w:t>
      </w:r>
      <w:r>
        <w:t xml:space="preserve"> a los estados alternativos de sexo femenino y masculino, etc., y manifesta</w:t>
      </w:r>
      <w:r w:rsidR="00A13D8D">
        <w:t>rá</w:t>
      </w:r>
      <w:r>
        <w:t xml:space="preserve"> pequeñez, grandeza, longitud, brevedad, dureza, rigidez, etc.</w:t>
      </w:r>
    </w:p>
    <w:p w14:paraId="0BA09093" w14:textId="2FD2F5B1" w:rsidR="00C641CD" w:rsidRPr="00C641CD" w:rsidRDefault="00C641CD" w:rsidP="00C641CD">
      <w:pPr>
        <w:pStyle w:val="PiedepginaLegal"/>
        <w:rPr>
          <w:u w:val="single"/>
        </w:rPr>
      </w:pPr>
      <w:r w:rsidRPr="00C641CD">
        <w:rPr>
          <w:u w:val="single"/>
        </w:rPr>
        <w:t xml:space="preserve">                                                                                                                                                       .</w:t>
      </w:r>
    </w:p>
    <w:p w14:paraId="29D71E36" w14:textId="77777777" w:rsidR="00C641CD" w:rsidRDefault="00C641CD" w:rsidP="00C641CD">
      <w:pPr>
        <w:pStyle w:val="PiedepginaLegal"/>
      </w:pPr>
      <w:r>
        <w:t>…</w:t>
      </w:r>
    </w:p>
    <w:p w14:paraId="3CAECA0B" w14:textId="45454835" w:rsidR="00C641CD" w:rsidRDefault="00C641CD" w:rsidP="00C641CD">
      <w:pPr>
        <w:pStyle w:val="PiedepginaLegal"/>
      </w:pPr>
      <w:r>
        <w:tab/>
        <w:t xml:space="preserve">esencia individual. Por el contrario, estos sí </w:t>
      </w:r>
      <w:r w:rsidR="00D64E96">
        <w:t>poseen</w:t>
      </w:r>
      <w:r>
        <w:t xml:space="preserve"> sus propias características, por lo que </w:t>
      </w:r>
      <w:r w:rsidR="00D64E96">
        <w:t>corresponderá a los</w:t>
      </w:r>
      <w:r>
        <w:t xml:space="preserve"> elementos” (</w:t>
      </w:r>
      <w:proofErr w:type="spellStart"/>
      <w:r>
        <w:t>Vism-mhṭ</w:t>
      </w:r>
      <w:proofErr w:type="spellEnd"/>
      <w:r>
        <w:t xml:space="preserve"> 359). Se han utilizado mayúsculas aquí y en otros lugares, aunque los alfabetos indios no lo justifi</w:t>
      </w:r>
      <w:r w:rsidR="00105BE0">
        <w:t>que</w:t>
      </w:r>
      <w:r>
        <w:t xml:space="preserve">n. </w:t>
      </w:r>
      <w:proofErr w:type="spellStart"/>
      <w:r w:rsidRPr="004E3FE4">
        <w:rPr>
          <w:i/>
          <w:iCs/>
        </w:rPr>
        <w:t>Appayati</w:t>
      </w:r>
      <w:proofErr w:type="spellEnd"/>
      <w:r>
        <w:t xml:space="preserve">—“satisfacer” no en </w:t>
      </w:r>
      <w:r w:rsidR="00D64E96">
        <w:t xml:space="preserve">el </w:t>
      </w:r>
      <w:r>
        <w:t xml:space="preserve">PED; ver </w:t>
      </w:r>
      <w:proofErr w:type="spellStart"/>
      <w:r>
        <w:t>Vibh</w:t>
      </w:r>
      <w:proofErr w:type="spellEnd"/>
      <w:r>
        <w:t>-a 9.</w:t>
      </w:r>
    </w:p>
    <w:p w14:paraId="1889EC54" w14:textId="135740A1" w:rsidR="00C641CD" w:rsidRDefault="00C641CD" w:rsidP="00C641CD">
      <w:pPr>
        <w:pStyle w:val="PiedepginaLegal"/>
      </w:pPr>
      <w:r>
        <w:t xml:space="preserve">30. </w:t>
      </w:r>
      <w:r>
        <w:tab/>
        <w:t>“‘</w:t>
      </w:r>
      <w:r w:rsidRPr="008946AE">
        <w:rPr>
          <w:i/>
          <w:iCs/>
        </w:rPr>
        <w:t>De</w:t>
      </w:r>
      <w:r w:rsidR="00994CD9">
        <w:rPr>
          <w:i/>
          <w:iCs/>
        </w:rPr>
        <w:t>sde</w:t>
      </w:r>
      <w:r w:rsidRPr="008946AE">
        <w:rPr>
          <w:i/>
          <w:iCs/>
        </w:rPr>
        <w:t xml:space="preserve"> la resolución de estos ocho’</w:t>
      </w:r>
      <w:r>
        <w:t xml:space="preserve">: los ocho </w:t>
      </w:r>
      <w:r w:rsidR="00057BF4" w:rsidRPr="00057BF4">
        <w:rPr>
          <w:i/>
        </w:rPr>
        <w:t>dhamma</w:t>
      </w:r>
      <w:r>
        <w:t>s comenzando con el color cuando se resuelv</w:t>
      </w:r>
      <w:r w:rsidR="00FA6EF4">
        <w:t>a</w:t>
      </w:r>
      <w:r>
        <w:t xml:space="preserve">n por medio del </w:t>
      </w:r>
      <w:r w:rsidR="00041352">
        <w:t>entendimiento</w:t>
      </w:r>
      <w:r>
        <w:t xml:space="preserve">, </w:t>
      </w:r>
      <w:r w:rsidR="00FA6EF4">
        <w:t xml:space="preserve">serán </w:t>
      </w:r>
      <w:r>
        <w:t>aprehensibles (</w:t>
      </w:r>
      <w:proofErr w:type="spellStart"/>
      <w:r w:rsidRPr="004E3FE4">
        <w:rPr>
          <w:i/>
          <w:iCs/>
        </w:rPr>
        <w:t>upalabbhanti</w:t>
      </w:r>
      <w:proofErr w:type="spellEnd"/>
      <w:r>
        <w:t>) en el sentido último a través de la negación mutua (</w:t>
      </w:r>
      <w:proofErr w:type="spellStart"/>
      <w:r w:rsidRPr="004E3FE4">
        <w:rPr>
          <w:i/>
          <w:iCs/>
        </w:rPr>
        <w:t>aññam-añña-vyatirekena</w:t>
      </w:r>
      <w:proofErr w:type="spellEnd"/>
      <w:r>
        <w:t xml:space="preserve">); pero los </w:t>
      </w:r>
      <w:r w:rsidR="008946AE">
        <w:t>cabellos</w:t>
      </w:r>
      <w:r>
        <w:t xml:space="preserve"> de la cabeza no s</w:t>
      </w:r>
      <w:r w:rsidR="008946AE">
        <w:t>erá</w:t>
      </w:r>
      <w:r>
        <w:t>n aprehensibles en el sentido último a través de la negación del color, etc. En consecuencia, el término de uso común '</w:t>
      </w:r>
      <w:r w:rsidR="008946AE">
        <w:t xml:space="preserve">cabellos </w:t>
      </w:r>
      <w:r>
        <w:t>de la cabeza' se aplica</w:t>
      </w:r>
      <w:r w:rsidR="008946AE">
        <w:t>rá</w:t>
      </w:r>
      <w:r>
        <w:t xml:space="preserve"> a estos </w:t>
      </w:r>
      <w:r w:rsidR="00057BF4" w:rsidRPr="00057BF4">
        <w:rPr>
          <w:i/>
        </w:rPr>
        <w:t>dhamma</w:t>
      </w:r>
      <w:r>
        <w:t xml:space="preserve">s en su estado </w:t>
      </w:r>
      <w:r w:rsidR="00FA6EF4">
        <w:t>coetáneo</w:t>
      </w:r>
      <w:r>
        <w:t>; pero si se toma</w:t>
      </w:r>
      <w:r w:rsidR="00FA6EF4">
        <w:t>se</w:t>
      </w:r>
      <w:r>
        <w:t xml:space="preserve"> por separado, ‘</w:t>
      </w:r>
      <w:r w:rsidRPr="00AB7D7F">
        <w:rPr>
          <w:i/>
          <w:iCs/>
        </w:rPr>
        <w:t xml:space="preserve">No </w:t>
      </w:r>
      <w:r w:rsidR="00CF2E77">
        <w:rPr>
          <w:i/>
          <w:iCs/>
        </w:rPr>
        <w:t>existe un</w:t>
      </w:r>
      <w:r w:rsidR="00CF2E77" w:rsidRPr="00AB7D7F">
        <w:rPr>
          <w:i/>
          <w:iCs/>
        </w:rPr>
        <w:t xml:space="preserve"> uso común</w:t>
      </w:r>
      <w:r w:rsidR="00CF2E77">
        <w:t xml:space="preserve"> de </w:t>
      </w:r>
      <w:r w:rsidR="00CF2E77">
        <w:rPr>
          <w:i/>
          <w:iCs/>
        </w:rPr>
        <w:t xml:space="preserve">los cabellos </w:t>
      </w:r>
      <w:r w:rsidRPr="00AB7D7F">
        <w:rPr>
          <w:i/>
          <w:iCs/>
        </w:rPr>
        <w:t>de cabeza</w:t>
      </w:r>
      <w:r w:rsidR="00CF2E77">
        <w:rPr>
          <w:i/>
          <w:iCs/>
        </w:rPr>
        <w:t>’</w:t>
      </w:r>
      <w:r>
        <w:t xml:space="preserve">. El significado </w:t>
      </w:r>
      <w:r w:rsidR="00AC6937">
        <w:t>es</w:t>
      </w:r>
      <w:r w:rsidR="00B27AF2">
        <w:t xml:space="preserve"> </w:t>
      </w:r>
      <w:r>
        <w:t xml:space="preserve">que </w:t>
      </w:r>
      <w:r w:rsidR="00CF4414">
        <w:t>se refer</w:t>
      </w:r>
      <w:r w:rsidR="00B27AF2">
        <w:t>irá</w:t>
      </w:r>
      <w:r w:rsidR="00CF4414">
        <w:t xml:space="preserve"> a</w:t>
      </w:r>
      <w:r>
        <w:t xml:space="preserve"> un </w:t>
      </w:r>
      <w:r w:rsidR="001A0692">
        <w:t>simple</w:t>
      </w:r>
      <w:r>
        <w:t xml:space="preserve"> término convencional. Se di</w:t>
      </w:r>
      <w:r w:rsidR="001A0692">
        <w:t>rá</w:t>
      </w:r>
      <w:r>
        <w:t xml:space="preserve"> </w:t>
      </w:r>
      <w:r w:rsidRPr="00CF4414">
        <w:rPr>
          <w:i/>
          <w:iCs/>
        </w:rPr>
        <w:t>'Solo un mero grupo de ocho estados'</w:t>
      </w:r>
      <w:r>
        <w:t xml:space="preserve">, </w:t>
      </w:r>
      <w:r w:rsidR="00096CD4">
        <w:t>considerando</w:t>
      </w:r>
      <w:r>
        <w:t xml:space="preserve"> </w:t>
      </w:r>
      <w:r w:rsidR="00096CD4">
        <w:t>a</w:t>
      </w:r>
      <w:r>
        <w:t>l color, etc., que son reales (</w:t>
      </w:r>
      <w:r w:rsidRPr="00CF4414">
        <w:rPr>
          <w:i/>
          <w:iCs/>
        </w:rPr>
        <w:t>bhūta</w:t>
      </w:r>
      <w:r>
        <w:t>—</w:t>
      </w:r>
      <w:proofErr w:type="spellStart"/>
      <w:r>
        <w:t>lit.</w:t>
      </w:r>
      <w:proofErr w:type="spellEnd"/>
      <w:r>
        <w:t xml:space="preserve"> </w:t>
      </w:r>
      <w:r w:rsidR="006C0FC7">
        <w:t>‘</w:t>
      </w:r>
      <w:r w:rsidR="00435D98">
        <w:t xml:space="preserve">ser’) </w:t>
      </w:r>
      <w:r>
        <w:t>como una unidad por medio del concepto (</w:t>
      </w:r>
      <w:proofErr w:type="spellStart"/>
      <w:r w:rsidRPr="004E3FE4">
        <w:rPr>
          <w:i/>
          <w:iCs/>
        </w:rPr>
        <w:t>paññatti</w:t>
      </w:r>
      <w:proofErr w:type="spellEnd"/>
      <w:r>
        <w:t xml:space="preserve">) 'un cabello', no solo porque </w:t>
      </w:r>
      <w:r w:rsidR="00994CD9">
        <w:t xml:space="preserve">sean </w:t>
      </w:r>
      <w:r>
        <w:t>meramente los ocho estados” (</w:t>
      </w:r>
      <w:proofErr w:type="spellStart"/>
      <w:r>
        <w:t>Vism-mhṭ</w:t>
      </w:r>
      <w:proofErr w:type="spellEnd"/>
      <w:r>
        <w:t xml:space="preserve"> 360).</w:t>
      </w:r>
    </w:p>
    <w:p w14:paraId="7E3C0E4E" w14:textId="3108B1AC" w:rsidR="00C641CD" w:rsidRDefault="00C641CD" w:rsidP="00C641CD">
      <w:pPr>
        <w:pStyle w:val="PiedepginaLegal"/>
      </w:pPr>
      <w:r>
        <w:t xml:space="preserve">31. </w:t>
      </w:r>
      <w:r>
        <w:tab/>
      </w:r>
      <w:proofErr w:type="spellStart"/>
      <w:r w:rsidRPr="004E3FE4">
        <w:rPr>
          <w:i/>
          <w:iCs/>
        </w:rPr>
        <w:t>Paramaṇu</w:t>
      </w:r>
      <w:proofErr w:type="spellEnd"/>
      <w:r>
        <w:t xml:space="preserve">—“el átomo más pequeño”; ver </w:t>
      </w:r>
      <w:proofErr w:type="spellStart"/>
      <w:r>
        <w:t>Vibh</w:t>
      </w:r>
      <w:proofErr w:type="spellEnd"/>
      <w:r>
        <w:t xml:space="preserve">-a 343. Según </w:t>
      </w:r>
      <w:proofErr w:type="spellStart"/>
      <w:r>
        <w:t>Vibh</w:t>
      </w:r>
      <w:proofErr w:type="spellEnd"/>
      <w:r>
        <w:t xml:space="preserve">-a, el tamaño de un </w:t>
      </w:r>
      <w:proofErr w:type="spellStart"/>
      <w:r w:rsidRPr="004E3FE4">
        <w:rPr>
          <w:i/>
          <w:iCs/>
        </w:rPr>
        <w:t>paramaṇu</w:t>
      </w:r>
      <w:proofErr w:type="spellEnd"/>
      <w:r>
        <w:t xml:space="preserve"> equivale a 1/581,147,136</w:t>
      </w:r>
      <w:r w:rsidR="006F072D" w:rsidRPr="006F072D">
        <w:rPr>
          <w:vertAlign w:val="superscript"/>
        </w:rPr>
        <w:t>ma</w:t>
      </w:r>
      <w:r>
        <w:t xml:space="preserve"> parte de una </w:t>
      </w:r>
      <w:proofErr w:type="spellStart"/>
      <w:r w:rsidRPr="00A2140A">
        <w:rPr>
          <w:i/>
          <w:iCs/>
        </w:rPr>
        <w:t>a</w:t>
      </w:r>
      <w:r w:rsidR="004E3FE4" w:rsidRPr="00A2140A">
        <w:rPr>
          <w:i/>
          <w:iCs/>
        </w:rPr>
        <w:t>ṅ</w:t>
      </w:r>
      <w:r w:rsidRPr="00A2140A">
        <w:rPr>
          <w:i/>
          <w:iCs/>
        </w:rPr>
        <w:t>gula</w:t>
      </w:r>
      <w:proofErr w:type="spellEnd"/>
      <w:r>
        <w:t xml:space="preserve"> (</w:t>
      </w:r>
      <w:r w:rsidR="006F072D">
        <w:t xml:space="preserve">el </w:t>
      </w:r>
      <w:r>
        <w:t xml:space="preserve">ancho de un dedo o </w:t>
      </w:r>
      <w:r w:rsidR="00B51B6A">
        <w:t xml:space="preserve">una </w:t>
      </w:r>
      <w:r>
        <w:t xml:space="preserve">pulgada). </w:t>
      </w:r>
      <w:r w:rsidR="00B51B6A">
        <w:t xml:space="preserve">El </w:t>
      </w:r>
      <w:proofErr w:type="spellStart"/>
      <w:r>
        <w:t>Vism-mh</w:t>
      </w:r>
      <w:r w:rsidR="00AF7C00" w:rsidRPr="00AF7C00">
        <w:t>ṭ</w:t>
      </w:r>
      <w:proofErr w:type="spellEnd"/>
      <w:r>
        <w:t xml:space="preserve"> comenta (p. 361): “Por lo tanto… un </w:t>
      </w:r>
      <w:proofErr w:type="spellStart"/>
      <w:r w:rsidRPr="00A2140A">
        <w:rPr>
          <w:i/>
          <w:iCs/>
        </w:rPr>
        <w:t>paramaṇu</w:t>
      </w:r>
      <w:proofErr w:type="spellEnd"/>
      <w:r>
        <w:t xml:space="preserve"> como una partícula de espacio no </w:t>
      </w:r>
      <w:r w:rsidR="00B51B6A">
        <w:t>corresponde al dominio</w:t>
      </w:r>
      <w:r>
        <w:t xml:space="preserve"> del ojo físico, </w:t>
      </w:r>
      <w:r w:rsidR="00B51B6A">
        <w:t>sino a</w:t>
      </w:r>
      <w:r>
        <w:t xml:space="preserve">l </w:t>
      </w:r>
      <w:r w:rsidR="00B51B6A">
        <w:t xml:space="preserve">dominio del </w:t>
      </w:r>
      <w:r>
        <w:t>ojo divino”.</w:t>
      </w:r>
    </w:p>
    <w:p w14:paraId="60FDC497" w14:textId="2DDD688A" w:rsidR="00C641CD" w:rsidRDefault="00C641CD" w:rsidP="00C641CD">
      <w:pPr>
        <w:pStyle w:val="PiedepginaLegal"/>
      </w:pPr>
      <w:r>
        <w:t xml:space="preserve">32. </w:t>
      </w:r>
      <w:r>
        <w:tab/>
      </w:r>
      <w:proofErr w:type="spellStart"/>
      <w:r w:rsidRPr="00A2140A">
        <w:rPr>
          <w:i/>
          <w:iCs/>
        </w:rPr>
        <w:t>Saṇgahita</w:t>
      </w:r>
      <w:proofErr w:type="spellEnd"/>
      <w:r>
        <w:t>—“</w:t>
      </w:r>
      <w:r w:rsidR="007A3AF8">
        <w:t>sostenidos</w:t>
      </w:r>
      <w:r>
        <w:t xml:space="preserve"> juntos”: no exactamente en este sentido en </w:t>
      </w:r>
      <w:r w:rsidR="00B51B6A">
        <w:t xml:space="preserve">el </w:t>
      </w:r>
      <w:r>
        <w:t>PED. “Sostenido (</w:t>
      </w:r>
      <w:proofErr w:type="spellStart"/>
      <w:r w:rsidRPr="00A2140A">
        <w:rPr>
          <w:i/>
          <w:iCs/>
        </w:rPr>
        <w:t>gahita</w:t>
      </w:r>
      <w:proofErr w:type="spellEnd"/>
      <w:r>
        <w:t xml:space="preserve">) por </w:t>
      </w:r>
      <w:r w:rsidR="00B51B6A">
        <w:t xml:space="preserve">medio de la </w:t>
      </w:r>
      <w:r>
        <w:t xml:space="preserve">unión a través de la cohesión y evitado </w:t>
      </w:r>
      <w:r w:rsidR="00270784">
        <w:t xml:space="preserve">la </w:t>
      </w:r>
      <w:r>
        <w:t>dispers</w:t>
      </w:r>
      <w:r w:rsidR="00B51B6A">
        <w:t>ión</w:t>
      </w:r>
      <w:r>
        <w:t>” (</w:t>
      </w:r>
      <w:proofErr w:type="spellStart"/>
      <w:r>
        <w:t>Vism-mhṭ</w:t>
      </w:r>
      <w:proofErr w:type="spellEnd"/>
      <w:r>
        <w:t xml:space="preserve"> 361).</w:t>
      </w:r>
    </w:p>
    <w:p w14:paraId="07330D22" w14:textId="1466BD50" w:rsidR="00C641CD" w:rsidRDefault="00C641CD" w:rsidP="00C641CD">
      <w:pPr>
        <w:pStyle w:val="PiedepginaLegal"/>
      </w:pPr>
      <w:r>
        <w:t xml:space="preserve">33. </w:t>
      </w:r>
      <w:r>
        <w:tab/>
        <w:t>“</w:t>
      </w:r>
      <w:r w:rsidR="00F818CA">
        <w:t>Mantenido</w:t>
      </w:r>
      <w:r>
        <w:t xml:space="preserve"> vigilado (</w:t>
      </w:r>
      <w:proofErr w:type="spellStart"/>
      <w:r w:rsidRPr="00A2140A">
        <w:rPr>
          <w:i/>
          <w:iCs/>
        </w:rPr>
        <w:t>anurakkhita</w:t>
      </w:r>
      <w:proofErr w:type="spellEnd"/>
      <w:r>
        <w:t xml:space="preserve">) para que no caiga en un estado húmedo y resbaladizo a través del elemento agua, que </w:t>
      </w:r>
      <w:r w:rsidR="00F818CA">
        <w:t xml:space="preserve">posee al </w:t>
      </w:r>
      <w:r>
        <w:t>goteo como su esencia” (</w:t>
      </w:r>
      <w:proofErr w:type="spellStart"/>
      <w:r>
        <w:t>Vism-mhṭ</w:t>
      </w:r>
      <w:proofErr w:type="spellEnd"/>
      <w:r>
        <w:t xml:space="preserve"> 361).</w:t>
      </w:r>
    </w:p>
    <w:p w14:paraId="0C8A6E70" w14:textId="77777777" w:rsidR="00C641CD" w:rsidRDefault="00C641CD">
      <w:pPr>
        <w:tabs>
          <w:tab w:val="clear" w:pos="425"/>
        </w:tabs>
        <w:spacing w:after="160"/>
      </w:pPr>
      <w:r>
        <w:br w:type="page"/>
      </w:r>
    </w:p>
    <w:p w14:paraId="7368034E" w14:textId="4D353EBF" w:rsidR="00C641CD" w:rsidRDefault="00CE489D" w:rsidP="00C641CD">
      <w:r>
        <w:lastRenderedPageBreak/>
        <w:br/>
      </w:r>
    </w:p>
    <w:p w14:paraId="748A5013" w14:textId="1BFD7962" w:rsidR="00CE489D" w:rsidRDefault="00CE489D" w:rsidP="00CE489D">
      <w:r>
        <w:t xml:space="preserve">90. </w:t>
      </w:r>
      <w:r>
        <w:tab/>
        <w:t xml:space="preserve">El elemento </w:t>
      </w:r>
      <w:r w:rsidR="00940D64">
        <w:t xml:space="preserve">del </w:t>
      </w:r>
      <w:r>
        <w:t xml:space="preserve">agua líquida que </w:t>
      </w:r>
      <w:r w:rsidR="00CF0EEE">
        <w:t>representa</w:t>
      </w:r>
      <w:r>
        <w:t xml:space="preserve"> el modo cohesión, al estar fundado en la tierra, mantenido por el fuego y distendido por el aire, no gotea ni se escapa.</w:t>
      </w:r>
      <w:r w:rsidRPr="00C246F5">
        <w:rPr>
          <w:vertAlign w:val="superscript"/>
        </w:rPr>
        <w:t>34</w:t>
      </w:r>
      <w:r>
        <w:t xml:space="preserve"> En lugar de gotear o escapar</w:t>
      </w:r>
      <w:r w:rsidR="00AD4BD0">
        <w:t>se</w:t>
      </w:r>
      <w:r>
        <w:t>, proporciona refrescos continuos.</w:t>
      </w:r>
      <w:r w:rsidRPr="00C246F5">
        <w:rPr>
          <w:vertAlign w:val="superscript"/>
        </w:rPr>
        <w:t>35</w:t>
      </w:r>
    </w:p>
    <w:p w14:paraId="792EE0EF" w14:textId="30838DCD" w:rsidR="00CE489D" w:rsidRDefault="00CE489D" w:rsidP="00CE489D">
      <w:r>
        <w:t xml:space="preserve">91. </w:t>
      </w:r>
      <w:r>
        <w:tab/>
        <w:t>Y aquí el elemento fuego que cocina lo que se com</w:t>
      </w:r>
      <w:r w:rsidR="00766B70">
        <w:t>a</w:t>
      </w:r>
      <w:r>
        <w:t>, beb</w:t>
      </w:r>
      <w:r w:rsidR="00766B70">
        <w:t>a</w:t>
      </w:r>
      <w:r>
        <w:t>, etc., y s</w:t>
      </w:r>
      <w:r w:rsidR="00766B70">
        <w:t>ea</w:t>
      </w:r>
      <w:r>
        <w:t xml:space="preserve"> el modo de calentar y t</w:t>
      </w:r>
      <w:r w:rsidR="00766B70">
        <w:t>e</w:t>
      </w:r>
      <w:r>
        <w:t>n</w:t>
      </w:r>
      <w:r w:rsidR="00766B70">
        <w:t>ga</w:t>
      </w:r>
      <w:r>
        <w:t xml:space="preserve"> la característica del calor, estando establecido en la tierra, unido por el agua y distendido por el aire, manten</w:t>
      </w:r>
      <w:r w:rsidR="00766B70">
        <w:t>drá</w:t>
      </w:r>
      <w:r>
        <w:t xml:space="preserve"> este cuerpo y asegura</w:t>
      </w:r>
      <w:r w:rsidR="00766B70">
        <w:t>rá</w:t>
      </w:r>
      <w:r>
        <w:t xml:space="preserve"> su correcta apariencia. Y este cuerpo, siendo mantenido por él, no m</w:t>
      </w:r>
      <w:r w:rsidR="00766B70">
        <w:t>o</w:t>
      </w:r>
      <w:r>
        <w:t>stra</w:t>
      </w:r>
      <w:r w:rsidR="00766B70">
        <w:t>rá</w:t>
      </w:r>
      <w:r>
        <w:t xml:space="preserve"> putrefacción.</w:t>
      </w:r>
    </w:p>
    <w:p w14:paraId="167830BB" w14:textId="36B09F9A" w:rsidR="00CE489D" w:rsidRDefault="00CE489D" w:rsidP="00CE489D">
      <w:r>
        <w:t xml:space="preserve">92. </w:t>
      </w:r>
      <w:r>
        <w:tab/>
        <w:t xml:space="preserve">El elemento aire que </w:t>
      </w:r>
      <w:r w:rsidR="00CF0EEE">
        <w:t>re</w:t>
      </w:r>
      <w:r>
        <w:t xml:space="preserve">corre </w:t>
      </w:r>
      <w:r w:rsidR="00CF0EEE">
        <w:t>a través de</w:t>
      </w:r>
      <w:r>
        <w:t xml:space="preserve"> todos los miembros y tiene la característica de moverse y distenderse, estando fundado sobre la tierra, unido por el agua y sostenido por el fuego, distiende este cuerpo. Y este cuerpo, estando distendido por este último </w:t>
      </w:r>
      <w:r w:rsidR="00CE7E7A">
        <w:t xml:space="preserve">elemento </w:t>
      </w:r>
      <w:r>
        <w:t xml:space="preserve">tipo aire, no se </w:t>
      </w:r>
      <w:r w:rsidR="00CF0EEE">
        <w:t>desmorona</w:t>
      </w:r>
      <w:r>
        <w:t xml:space="preserve">, sino que se mantiene erguido, y </w:t>
      </w:r>
      <w:r w:rsidR="00766B70">
        <w:t>es</w:t>
      </w:r>
      <w:r>
        <w:t xml:space="preserve"> impulsado</w:t>
      </w:r>
      <w:r w:rsidRPr="00C246F5">
        <w:rPr>
          <w:vertAlign w:val="superscript"/>
        </w:rPr>
        <w:t>36</w:t>
      </w:r>
      <w:r>
        <w:t xml:space="preserve"> por el otro aire [móvil], </w:t>
      </w:r>
      <w:r w:rsidR="00CE7E7A">
        <w:t xml:space="preserve">que </w:t>
      </w:r>
      <w:r>
        <w:t>muestra intimación</w:t>
      </w:r>
      <w:r w:rsidR="00CF0EEE">
        <w:t>,</w:t>
      </w:r>
      <w:r>
        <w:t xml:space="preserve"> se flexiona</w:t>
      </w:r>
      <w:r w:rsidR="00CF0EEE">
        <w:t>,</w:t>
      </w:r>
      <w:r>
        <w:t xml:space="preserve"> extiende y retuerce las manos y los pies, haciéndolo en las posturas comprend</w:t>
      </w:r>
      <w:r w:rsidR="00CF0EEE">
        <w:t>idas</w:t>
      </w:r>
      <w:r>
        <w:t xml:space="preserve"> </w:t>
      </w:r>
      <w:r w:rsidR="00CF0EEE">
        <w:t xml:space="preserve">por </w:t>
      </w:r>
      <w:r>
        <w:t xml:space="preserve">caminar, pararse, sentarse y </w:t>
      </w:r>
      <w:r w:rsidR="00CF0EEE">
        <w:t>re</w:t>
      </w:r>
      <w:r>
        <w:t xml:space="preserve">costarse. </w:t>
      </w:r>
      <w:r w:rsidR="00736FC3">
        <w:t>Es a</w:t>
      </w:r>
      <w:r>
        <w:t xml:space="preserve">sí </w:t>
      </w:r>
      <w:proofErr w:type="spellStart"/>
      <w:r w:rsidR="00736FC3">
        <w:t>cómo</w:t>
      </w:r>
      <w:proofErr w:type="spellEnd"/>
      <w:r w:rsidR="00736FC3">
        <w:t xml:space="preserve"> </w:t>
      </w:r>
      <w:r>
        <w:t xml:space="preserve">este mecanismo de los elementos funciona como un truco de magia, </w:t>
      </w:r>
      <w:r w:rsidR="00736FC3">
        <w:t xml:space="preserve">disuadiendo </w:t>
      </w:r>
      <w:r>
        <w:t xml:space="preserve">a los necios </w:t>
      </w:r>
      <w:r w:rsidR="00CF0EEE">
        <w:t>mediante la apariencia</w:t>
      </w:r>
      <w:r>
        <w:t xml:space="preserve"> </w:t>
      </w:r>
      <w:r w:rsidR="00CF0EEE">
        <w:t>d</w:t>
      </w:r>
      <w:r>
        <w:t>e</w:t>
      </w:r>
      <w:r w:rsidR="00CF0EEE">
        <w:t>l</w:t>
      </w:r>
      <w:r>
        <w:t xml:space="preserve"> sexo masculino y femenino</w:t>
      </w:r>
      <w:r w:rsidR="00736FC3">
        <w:t>,</w:t>
      </w:r>
      <w:r>
        <w:t xml:space="preserve"> </w:t>
      </w:r>
      <w:r w:rsidR="00736FC3">
        <w:t>etc</w:t>
      </w:r>
      <w:r>
        <w:t>.</w:t>
      </w:r>
    </w:p>
    <w:p w14:paraId="1BF22BCF" w14:textId="0F1B3AC0" w:rsidR="00CE489D" w:rsidRDefault="00CE489D" w:rsidP="00CE489D">
      <w:pPr>
        <w:pStyle w:val="NormalConSangria"/>
      </w:pPr>
      <w:r>
        <w:t>Así es c</w:t>
      </w:r>
      <w:r w:rsidR="00CF0EEE">
        <w:t>ó</w:t>
      </w:r>
      <w:r>
        <w:t xml:space="preserve">mo </w:t>
      </w:r>
      <w:r w:rsidR="00CF0EEE">
        <w:t xml:space="preserve">él </w:t>
      </w:r>
      <w:r>
        <w:t>debe prestarles atención</w:t>
      </w:r>
      <w:r w:rsidR="00766B70" w:rsidRPr="00766B70">
        <w:t xml:space="preserve"> </w:t>
      </w:r>
      <w:r w:rsidR="00766B70">
        <w:t>mediante partículas</w:t>
      </w:r>
      <w:r>
        <w:t>.</w:t>
      </w:r>
    </w:p>
    <w:p w14:paraId="34876EAE" w14:textId="0931E9E8" w:rsidR="00CE489D" w:rsidRDefault="00CE489D" w:rsidP="00CE489D">
      <w:r>
        <w:t xml:space="preserve">93. </w:t>
      </w:r>
      <w:r>
        <w:tab/>
        <w:t xml:space="preserve">4. </w:t>
      </w:r>
      <w:r w:rsidRPr="00142770">
        <w:rPr>
          <w:i/>
          <w:iCs/>
        </w:rPr>
        <w:t xml:space="preserve">En cuanto a </w:t>
      </w:r>
      <w:r w:rsidR="00F82DCE">
        <w:rPr>
          <w:i/>
          <w:iCs/>
        </w:rPr>
        <w:t>su</w:t>
      </w:r>
      <w:r w:rsidRPr="00142770">
        <w:rPr>
          <w:i/>
          <w:iCs/>
        </w:rPr>
        <w:t xml:space="preserve"> característica</w:t>
      </w:r>
      <w:r>
        <w:t xml:space="preserve">, etc.: </w:t>
      </w:r>
      <w:r w:rsidR="00766B70">
        <w:t xml:space="preserve">él </w:t>
      </w:r>
      <w:r>
        <w:t>debe</w:t>
      </w:r>
      <w:r w:rsidR="00766B70">
        <w:t>rá</w:t>
      </w:r>
      <w:r>
        <w:t xml:space="preserve"> </w:t>
      </w:r>
      <w:r w:rsidR="000026BB">
        <w:t>advertir</w:t>
      </w:r>
      <w:r>
        <w:t xml:space="preserve"> los cuatro elementos de esta manera: "El elemento tierra: ¿cuáles son sus características, funci</w:t>
      </w:r>
      <w:r w:rsidR="000026BB">
        <w:t>ó</w:t>
      </w:r>
      <w:r>
        <w:t>n, manifestaci</w:t>
      </w:r>
      <w:r w:rsidR="000026BB">
        <w:t>ó</w:t>
      </w:r>
      <w:r>
        <w:t>n?" [defini</w:t>
      </w:r>
      <w:r w:rsidR="00766B70">
        <w:t>é</w:t>
      </w:r>
      <w:r>
        <w:t>ndo</w:t>
      </w:r>
      <w:r w:rsidR="00766B70">
        <w:t>lo</w:t>
      </w:r>
      <w:r>
        <w:t xml:space="preserve"> así]: El elemento tierra tiene la característica de la dureza. Su función es actuar como cimiento. Se manifiesta como rec</w:t>
      </w:r>
      <w:r w:rsidR="00766B70">
        <w:t>epción</w:t>
      </w:r>
      <w:r>
        <w:t>. El elemento agua tiene la característica de</w:t>
      </w:r>
      <w:r w:rsidR="00766B70">
        <w:t>l</w:t>
      </w:r>
      <w:r>
        <w:t xml:space="preserve"> gote</w:t>
      </w:r>
      <w:r w:rsidR="00766B70">
        <w:t>o</w:t>
      </w:r>
      <w:r>
        <w:t>. Su función es intensificar. Se manifiesta como mantener junt</w:t>
      </w:r>
      <w:r w:rsidR="00766B70">
        <w:t>as las cosas</w:t>
      </w:r>
      <w:r>
        <w:t>. El elemento fuego tiene la característica del calor. Su función es madurar (mantener). Se manifiesta como un suministro continuo de suavidad. El elemento aire tiene la característica de distenderse. Su función es provocar el movimiento. Se manifiesta como transmisión.</w:t>
      </w:r>
      <w:r w:rsidRPr="00C246F5">
        <w:rPr>
          <w:vertAlign w:val="superscript"/>
        </w:rPr>
        <w:t>37</w:t>
      </w:r>
      <w:r>
        <w:t xml:space="preserve"> Así es como se les debe prestar atención </w:t>
      </w:r>
      <w:r w:rsidR="00DB3A5D">
        <w:t>en cuanto a las</w:t>
      </w:r>
      <w:r>
        <w:t xml:space="preserve"> característica</w:t>
      </w:r>
      <w:r w:rsidR="00DB3A5D">
        <w:t>s</w:t>
      </w:r>
      <w:r>
        <w:t xml:space="preserve">, </w:t>
      </w:r>
      <w:r w:rsidR="00DB3A5D">
        <w:t>etc</w:t>
      </w:r>
      <w:r>
        <w:t>. [366]</w:t>
      </w:r>
    </w:p>
    <w:p w14:paraId="4AADD1D1" w14:textId="12B56C7C" w:rsidR="00CE489D" w:rsidRDefault="00CE489D" w:rsidP="00CE489D">
      <w:r>
        <w:t>94.</w:t>
      </w:r>
      <w:r>
        <w:tab/>
        <w:t xml:space="preserve">5. </w:t>
      </w:r>
      <w:r w:rsidRPr="00142770">
        <w:rPr>
          <w:i/>
          <w:iCs/>
        </w:rPr>
        <w:t>En cuanto a cómo se origin</w:t>
      </w:r>
      <w:r w:rsidR="00BF1327">
        <w:rPr>
          <w:i/>
          <w:iCs/>
        </w:rPr>
        <w:t>a</w:t>
      </w:r>
      <w:r>
        <w:t xml:space="preserve">: entre los </w:t>
      </w:r>
      <w:r w:rsidR="00DF6822">
        <w:t>42</w:t>
      </w:r>
      <w:r>
        <w:t xml:space="preserve"> componentes que comienzan con los </w:t>
      </w:r>
      <w:r w:rsidR="00DB3A5D">
        <w:t>cabellos</w:t>
      </w:r>
      <w:r>
        <w:t xml:space="preserve"> de la cabeza que se muestran en el tratamiento detallado del elemento tierra, etc., los cuatro </w:t>
      </w:r>
      <w:r w:rsidR="002F4A9B">
        <w:t xml:space="preserve">elementos </w:t>
      </w:r>
      <w:r>
        <w:t>consisten</w:t>
      </w:r>
      <w:r w:rsidR="002F4A9B">
        <w:t>tes</w:t>
      </w:r>
      <w:r>
        <w:t xml:space="preserve"> </w:t>
      </w:r>
      <w:r w:rsidR="002F4A9B">
        <w:t>de la</w:t>
      </w:r>
      <w:r>
        <w:t xml:space="preserve"> garganta, </w:t>
      </w:r>
      <w:r w:rsidR="002F4A9B">
        <w:t xml:space="preserve">el </w:t>
      </w:r>
      <w:r>
        <w:t xml:space="preserve">estiércol, </w:t>
      </w:r>
      <w:r w:rsidR="002F4A9B">
        <w:t xml:space="preserve">el </w:t>
      </w:r>
      <w:r>
        <w:t xml:space="preserve">pus y </w:t>
      </w:r>
      <w:r w:rsidR="002F4A9B">
        <w:t xml:space="preserve">la </w:t>
      </w:r>
      <w:r>
        <w:t xml:space="preserve">orina se originan únicamente </w:t>
      </w:r>
      <w:r w:rsidR="002F4A9B">
        <w:t>mediante</w:t>
      </w:r>
      <w:r>
        <w:t xml:space="preserve"> la temperatura; los cuatro </w:t>
      </w:r>
      <w:r w:rsidR="002F4A9B">
        <w:t xml:space="preserve">elementos </w:t>
      </w:r>
      <w:r>
        <w:t>consisten</w:t>
      </w:r>
      <w:r w:rsidR="002F4A9B">
        <w:t>tes</w:t>
      </w:r>
      <w:r>
        <w:t xml:space="preserve"> </w:t>
      </w:r>
      <w:r w:rsidR="002F4A9B">
        <w:t>de las</w:t>
      </w:r>
      <w:r>
        <w:t xml:space="preserve"> lágrimas, sudor, saliva y mocos se originan únicamente en la temperatura y en la con</w:t>
      </w:r>
      <w:r w:rsidR="002F4A9B">
        <w:t>s</w:t>
      </w:r>
      <w:r>
        <w:t>ciencia. El fuego que cocina lo que se com</w:t>
      </w:r>
      <w:r w:rsidR="002F4A9B">
        <w:t>a</w:t>
      </w:r>
      <w:r>
        <w:t xml:space="preserve">, etc., se origina únicamente </w:t>
      </w:r>
      <w:r w:rsidR="00BF1327">
        <w:t>por</w:t>
      </w:r>
      <w:r>
        <w:t xml:space="preserve"> el </w:t>
      </w:r>
      <w:proofErr w:type="spellStart"/>
      <w:r w:rsidR="00057BF4" w:rsidRPr="00057BF4">
        <w:rPr>
          <w:i/>
        </w:rPr>
        <w:t>kamma</w:t>
      </w:r>
      <w:proofErr w:type="spellEnd"/>
      <w:r>
        <w:t xml:space="preserve">; la inhalación y exhalación se originan en </w:t>
      </w:r>
    </w:p>
    <w:p w14:paraId="09571925" w14:textId="7764B3E3" w:rsidR="00CE489D" w:rsidRPr="00CE489D" w:rsidRDefault="00CE489D" w:rsidP="00CE489D">
      <w:pPr>
        <w:pStyle w:val="PiedepginaLegal"/>
        <w:rPr>
          <w:u w:val="single"/>
        </w:rPr>
      </w:pPr>
      <w:r w:rsidRPr="00CE489D">
        <w:rPr>
          <w:u w:val="single"/>
        </w:rPr>
        <w:t xml:space="preserve">                                                                                                                                                         .</w:t>
      </w:r>
    </w:p>
    <w:p w14:paraId="6D6C483A" w14:textId="0A5695E1" w:rsidR="00CE489D" w:rsidRDefault="00CE489D" w:rsidP="00CE489D">
      <w:pPr>
        <w:pStyle w:val="PiedepginaLegal"/>
      </w:pPr>
      <w:r>
        <w:t xml:space="preserve">34. </w:t>
      </w:r>
      <w:r>
        <w:tab/>
      </w:r>
      <w:proofErr w:type="spellStart"/>
      <w:r w:rsidRPr="00142770">
        <w:rPr>
          <w:i/>
          <w:iCs/>
        </w:rPr>
        <w:t>Parissavati</w:t>
      </w:r>
      <w:proofErr w:type="spellEnd"/>
      <w:r>
        <w:t xml:space="preserve">—“huir”: no en </w:t>
      </w:r>
      <w:r w:rsidR="00EE1C5A">
        <w:t xml:space="preserve">el </w:t>
      </w:r>
      <w:proofErr w:type="gramStart"/>
      <w:r>
        <w:t>PED;—</w:t>
      </w:r>
      <w:proofErr w:type="gramEnd"/>
      <w:r w:rsidR="00142770">
        <w:t xml:space="preserve"> </w:t>
      </w:r>
      <w:proofErr w:type="spellStart"/>
      <w:r w:rsidRPr="00142770">
        <w:rPr>
          <w:i/>
          <w:iCs/>
        </w:rPr>
        <w:t>vissarati</w:t>
      </w:r>
      <w:proofErr w:type="spellEnd"/>
      <w:r>
        <w:t xml:space="preserve"> (</w:t>
      </w:r>
      <w:proofErr w:type="spellStart"/>
      <w:r>
        <w:t>Vism-mhṭ</w:t>
      </w:r>
      <w:proofErr w:type="spellEnd"/>
      <w:r>
        <w:t xml:space="preserve"> 361).</w:t>
      </w:r>
    </w:p>
    <w:p w14:paraId="6E1BC437" w14:textId="3930DAB2" w:rsidR="00CE489D" w:rsidRDefault="00CE489D" w:rsidP="00CE489D">
      <w:pPr>
        <w:pStyle w:val="PiedepginaLegal"/>
      </w:pPr>
      <w:r>
        <w:t xml:space="preserve">35. </w:t>
      </w:r>
      <w:r>
        <w:tab/>
        <w:t xml:space="preserve">“Esto se dice con referencia al elemento agua como un </w:t>
      </w:r>
      <w:r w:rsidR="000B7424">
        <w:t>fluido</w:t>
      </w:r>
      <w:r>
        <w:t xml:space="preserve"> que ayuda al crecimiento” (</w:t>
      </w:r>
      <w:proofErr w:type="spellStart"/>
      <w:r>
        <w:t>Vism-mhṭ</w:t>
      </w:r>
      <w:proofErr w:type="spellEnd"/>
      <w:r>
        <w:t xml:space="preserve"> 361).</w:t>
      </w:r>
    </w:p>
    <w:p w14:paraId="3A436898" w14:textId="752B78D8" w:rsidR="00CE489D" w:rsidRDefault="00CE489D" w:rsidP="00CE489D">
      <w:pPr>
        <w:pStyle w:val="PiedepginaLegal"/>
      </w:pPr>
      <w:r>
        <w:t xml:space="preserve">36. </w:t>
      </w:r>
      <w:r>
        <w:tab/>
      </w:r>
      <w:proofErr w:type="spellStart"/>
      <w:r w:rsidRPr="00142770">
        <w:rPr>
          <w:i/>
          <w:iCs/>
        </w:rPr>
        <w:t>Samabbhāhata</w:t>
      </w:r>
      <w:proofErr w:type="spellEnd"/>
      <w:r>
        <w:t xml:space="preserve">—“propulsado”: ​​ver </w:t>
      </w:r>
      <w:r w:rsidR="000B7424">
        <w:t>Cap</w:t>
      </w:r>
      <w:r>
        <w:t>. IV, nota 38.</w:t>
      </w:r>
    </w:p>
    <w:p w14:paraId="46E94B62" w14:textId="09FDF271" w:rsidR="00CE489D" w:rsidRDefault="00CE489D" w:rsidP="00CE489D">
      <w:pPr>
        <w:pStyle w:val="PiedepginaLegal"/>
      </w:pPr>
      <w:r>
        <w:t xml:space="preserve">37. </w:t>
      </w:r>
      <w:r>
        <w:tab/>
      </w:r>
      <w:proofErr w:type="spellStart"/>
      <w:r w:rsidRPr="00142770">
        <w:rPr>
          <w:i/>
          <w:iCs/>
        </w:rPr>
        <w:t>Abhinìhāra</w:t>
      </w:r>
      <w:proofErr w:type="spellEnd"/>
      <w:r>
        <w:t>—“transmi</w:t>
      </w:r>
      <w:r w:rsidR="00D336EE">
        <w:t>sión</w:t>
      </w:r>
      <w:r>
        <w:t xml:space="preserve">”: no en este sentido en </w:t>
      </w:r>
      <w:r w:rsidR="00FC76B6">
        <w:t xml:space="preserve">el </w:t>
      </w:r>
      <w:r>
        <w:t>PED. “‘Transmi</w:t>
      </w:r>
      <w:r w:rsidR="00D336EE">
        <w:t>sión</w:t>
      </w:r>
      <w:r>
        <w:t xml:space="preserve">’ actúa como </w:t>
      </w:r>
      <w:r w:rsidR="00FC76B6">
        <w:t xml:space="preserve">una </w:t>
      </w:r>
      <w:r>
        <w:t xml:space="preserve">causa </w:t>
      </w:r>
      <w:r w:rsidR="00F14DBB">
        <w:t xml:space="preserve">para </w:t>
      </w:r>
      <w:r>
        <w:t xml:space="preserve">el surgimiento sucesivo </w:t>
      </w:r>
      <w:r w:rsidR="00F14DBB">
        <w:t xml:space="preserve">del conglomerado de </w:t>
      </w:r>
      <w:r w:rsidR="00D336EE">
        <w:t xml:space="preserve">los </w:t>
      </w:r>
      <w:r w:rsidR="00F14DBB">
        <w:t>elementos (</w:t>
      </w:r>
      <w:r w:rsidR="00F14DBB" w:rsidRPr="00142770">
        <w:rPr>
          <w:i/>
          <w:iCs/>
        </w:rPr>
        <w:t>bhūta</w:t>
      </w:r>
      <w:r w:rsidR="00F14DBB">
        <w:t>-</w:t>
      </w:r>
      <w:proofErr w:type="spellStart"/>
      <w:r w:rsidR="00F14DBB" w:rsidRPr="00142770">
        <w:rPr>
          <w:i/>
          <w:iCs/>
        </w:rPr>
        <w:t>saṅghāta</w:t>
      </w:r>
      <w:proofErr w:type="spellEnd"/>
      <w:r w:rsidR="00F14DBB">
        <w:t xml:space="preserve">) </w:t>
      </w:r>
      <w:r>
        <w:t>en lugares adyacentes (</w:t>
      </w:r>
      <w:proofErr w:type="spellStart"/>
      <w:r w:rsidRPr="00142770">
        <w:rPr>
          <w:i/>
          <w:iCs/>
        </w:rPr>
        <w:t>desantaruppatti</w:t>
      </w:r>
      <w:proofErr w:type="spellEnd"/>
      <w:r>
        <w:t>)” (</w:t>
      </w:r>
      <w:proofErr w:type="spellStart"/>
      <w:r>
        <w:t>Vism-mhṭ</w:t>
      </w:r>
      <w:proofErr w:type="spellEnd"/>
      <w:r>
        <w:t xml:space="preserve"> 363). En otra parte, </w:t>
      </w:r>
      <w:proofErr w:type="spellStart"/>
      <w:r>
        <w:t>Vism-mhṭ</w:t>
      </w:r>
      <w:proofErr w:type="spellEnd"/>
      <w:r>
        <w:t xml:space="preserve"> (pág. 359) </w:t>
      </w:r>
      <w:r w:rsidR="00F14DBB">
        <w:t xml:space="preserve">se </w:t>
      </w:r>
      <w:r>
        <w:t>dice del elemento aire: “‘</w:t>
      </w:r>
      <w:r w:rsidRPr="00F14DBB">
        <w:rPr>
          <w:i/>
          <w:iCs/>
        </w:rPr>
        <w:t>Sopla’</w:t>
      </w:r>
      <w:r>
        <w:t xml:space="preserve"> (§87): se agita; el significado es que el conglomerado de elementos se mueve (</w:t>
      </w:r>
      <w:r w:rsidR="00F14DBB">
        <w:t>va</w:t>
      </w:r>
      <w:r>
        <w:t xml:space="preserve">) por su acción como causa del surgimiento sucesivo </w:t>
      </w:r>
      <w:r w:rsidR="00E55B21">
        <w:t>de</w:t>
      </w:r>
      <w:r>
        <w:t xml:space="preserve"> </w:t>
      </w:r>
      <w:r w:rsidR="00E55B21">
        <w:t xml:space="preserve">espacios </w:t>
      </w:r>
      <w:r>
        <w:t>(puntos) adyacentes”, y “Propulsa</w:t>
      </w:r>
      <w:r w:rsidR="00E55B21">
        <w:t>do</w:t>
      </w:r>
      <w:r>
        <w:t xml:space="preserve"> (</w:t>
      </w:r>
      <w:proofErr w:type="spellStart"/>
      <w:r w:rsidRPr="00142770">
        <w:rPr>
          <w:i/>
          <w:iCs/>
        </w:rPr>
        <w:t>samabbhāhana</w:t>
      </w:r>
      <w:proofErr w:type="spellEnd"/>
      <w:r>
        <w:t xml:space="preserve">) </w:t>
      </w:r>
      <w:r w:rsidR="004269FA">
        <w:t>corresponderá a</w:t>
      </w:r>
      <w:r>
        <w:t xml:space="preserve">l acto de causar el surgimiento sucesivo </w:t>
      </w:r>
      <w:r w:rsidR="00E55B21">
        <w:t>de</w:t>
      </w:r>
      <w:r>
        <w:t xml:space="preserve"> </w:t>
      </w:r>
      <w:r w:rsidR="00E55B21">
        <w:t>espacios</w:t>
      </w:r>
      <w:r>
        <w:t xml:space="preserve"> adyacentes de </w:t>
      </w:r>
      <w:r w:rsidR="00BE6DBB">
        <w:t xml:space="preserve">los </w:t>
      </w:r>
      <w:r>
        <w:t xml:space="preserve">grupos </w:t>
      </w:r>
      <w:r w:rsidR="00BE6DBB">
        <w:t xml:space="preserve">materiales </w:t>
      </w:r>
      <w:r>
        <w:t>(</w:t>
      </w:r>
      <w:r w:rsidR="00057BF4" w:rsidRPr="00057BF4">
        <w:rPr>
          <w:i/>
          <w:iCs/>
        </w:rPr>
        <w:t>rūpa</w:t>
      </w:r>
      <w:r>
        <w:t>-</w:t>
      </w:r>
      <w:proofErr w:type="spellStart"/>
      <w:r w:rsidRPr="00142770">
        <w:rPr>
          <w:i/>
          <w:iCs/>
        </w:rPr>
        <w:t>kalāpa</w:t>
      </w:r>
      <w:proofErr w:type="spellEnd"/>
      <w:r>
        <w:t>)” (p. 362).</w:t>
      </w:r>
    </w:p>
    <w:p w14:paraId="69B1A0B4" w14:textId="77777777" w:rsidR="00CE489D" w:rsidRDefault="00CE489D">
      <w:pPr>
        <w:tabs>
          <w:tab w:val="clear" w:pos="425"/>
        </w:tabs>
        <w:spacing w:after="160"/>
        <w:rPr>
          <w:color w:val="000000" w:themeColor="text1"/>
          <w:spacing w:val="10"/>
          <w:sz w:val="14"/>
        </w:rPr>
      </w:pPr>
      <w:r>
        <w:br w:type="page"/>
      </w:r>
    </w:p>
    <w:p w14:paraId="14E85EE9" w14:textId="77777777" w:rsidR="00CE489D" w:rsidRDefault="00CE489D" w:rsidP="00CE489D"/>
    <w:p w14:paraId="3CED1AD5" w14:textId="4737CFFC" w:rsidR="00B91446" w:rsidRDefault="002F4A9B" w:rsidP="00B91446">
      <w:r>
        <w:t xml:space="preserve">la consciencia </w:t>
      </w:r>
      <w:r w:rsidR="00B91446">
        <w:t>solamente; todos los demás son de origen cuádruple. Es así como se les debe prestar atención en cuanto a cómo se origin</w:t>
      </w:r>
      <w:r w:rsidR="001B3D23">
        <w:t>a</w:t>
      </w:r>
      <w:r w:rsidR="00B91446">
        <w:t>.</w:t>
      </w:r>
    </w:p>
    <w:p w14:paraId="6F2B363E" w14:textId="1AA40F0B" w:rsidR="00B91446" w:rsidRDefault="00B91446" w:rsidP="00B91446">
      <w:r>
        <w:t xml:space="preserve">95. </w:t>
      </w:r>
      <w:r>
        <w:tab/>
      </w:r>
      <w:r w:rsidRPr="00D00C1D">
        <w:rPr>
          <w:i/>
          <w:iCs/>
        </w:rPr>
        <w:t>6</w:t>
      </w:r>
      <w:r>
        <w:t xml:space="preserve">. </w:t>
      </w:r>
      <w:r w:rsidRPr="00142770">
        <w:rPr>
          <w:i/>
          <w:iCs/>
        </w:rPr>
        <w:t xml:space="preserve">En cuanto a </w:t>
      </w:r>
      <w:r w:rsidR="00D00C1D">
        <w:rPr>
          <w:i/>
          <w:iCs/>
        </w:rPr>
        <w:t>su</w:t>
      </w:r>
      <w:r w:rsidR="002F4A9B">
        <w:rPr>
          <w:i/>
          <w:iCs/>
        </w:rPr>
        <w:t xml:space="preserve"> </w:t>
      </w:r>
      <w:r w:rsidRPr="00142770">
        <w:rPr>
          <w:i/>
          <w:iCs/>
        </w:rPr>
        <w:t>variedad y uni</w:t>
      </w:r>
      <w:r w:rsidR="00D00C1D">
        <w:rPr>
          <w:i/>
          <w:iCs/>
        </w:rPr>
        <w:t>ci</w:t>
      </w:r>
      <w:r w:rsidRPr="00142770">
        <w:rPr>
          <w:i/>
          <w:iCs/>
        </w:rPr>
        <w:t>dad</w:t>
      </w:r>
      <w:r>
        <w:t xml:space="preserve">: </w:t>
      </w:r>
      <w:r w:rsidR="001B3D23">
        <w:t>existe una</w:t>
      </w:r>
      <w:r>
        <w:t xml:space="preserve"> variedad en las características específicas, etc., de todos los elementos; porque la característica, función y manifestación del elemento tierra </w:t>
      </w:r>
      <w:r w:rsidR="000B3AA0">
        <w:t>serán</w:t>
      </w:r>
      <w:r>
        <w:t xml:space="preserve"> un</w:t>
      </w:r>
      <w:r w:rsidR="008B4A73">
        <w:t>os</w:t>
      </w:r>
      <w:r w:rsidR="000B3AA0">
        <w:t xml:space="preserve"> para ellos</w:t>
      </w:r>
      <w:r>
        <w:t>, y l</w:t>
      </w:r>
      <w:r w:rsidR="000B3AA0">
        <w:t>o</w:t>
      </w:r>
      <w:r>
        <w:t xml:space="preserve">s del elemento agua, etc., </w:t>
      </w:r>
      <w:r w:rsidR="000B3AA0">
        <w:t xml:space="preserve">serán </w:t>
      </w:r>
      <w:r w:rsidR="002F4A9B">
        <w:t>otro</w:t>
      </w:r>
      <w:r w:rsidR="008B4A73">
        <w:t>s</w:t>
      </w:r>
      <w:r>
        <w:t xml:space="preserve">. </w:t>
      </w:r>
      <w:r w:rsidR="00922F15">
        <w:t xml:space="preserve">No obstante, </w:t>
      </w:r>
      <w:r w:rsidR="000B3AA0">
        <w:t>existirá</w:t>
      </w:r>
      <w:r>
        <w:t xml:space="preserve"> </w:t>
      </w:r>
      <w:r w:rsidR="00CF78FE">
        <w:t xml:space="preserve">una </w:t>
      </w:r>
      <w:r>
        <w:t>uni</w:t>
      </w:r>
      <w:r w:rsidR="00922F15">
        <w:t>ci</w:t>
      </w:r>
      <w:r>
        <w:t xml:space="preserve">dad en ellos como </w:t>
      </w:r>
      <w:r w:rsidR="005B4F51">
        <w:t xml:space="preserve">lo respecto a su </w:t>
      </w:r>
      <w:r>
        <w:t xml:space="preserve">materialidad, </w:t>
      </w:r>
      <w:r w:rsidR="005B4F51">
        <w:t>a ser</w:t>
      </w:r>
      <w:r w:rsidR="008B4A73">
        <w:t xml:space="preserve"> </w:t>
      </w:r>
      <w:r>
        <w:t xml:space="preserve">gran elemento primario, </w:t>
      </w:r>
      <w:r w:rsidR="005B4F51">
        <w:t xml:space="preserve">a su </w:t>
      </w:r>
      <w:r>
        <w:t>estado (</w:t>
      </w:r>
      <w:r w:rsidR="00057BF4" w:rsidRPr="00057BF4">
        <w:rPr>
          <w:i/>
        </w:rPr>
        <w:t>dhamma</w:t>
      </w:r>
      <w:r>
        <w:t xml:space="preserve">), </w:t>
      </w:r>
      <w:r w:rsidR="005B4F51">
        <w:t>a su</w:t>
      </w:r>
      <w:r w:rsidR="008B4A73">
        <w:t xml:space="preserve"> </w:t>
      </w:r>
      <w:r>
        <w:t>impermanencia, etc., a pesar del hecho de que s</w:t>
      </w:r>
      <w:r w:rsidR="000B3AA0">
        <w:t>ea</w:t>
      </w:r>
      <w:r>
        <w:t xml:space="preserve">n diversos </w:t>
      </w:r>
      <w:proofErr w:type="gramStart"/>
      <w:r>
        <w:t xml:space="preserve">de acuerdo </w:t>
      </w:r>
      <w:r w:rsidR="00922F15">
        <w:t>a</w:t>
      </w:r>
      <w:proofErr w:type="gramEnd"/>
      <w:r>
        <w:t xml:space="preserve"> la característica [específica], etc., y de acuerdo </w:t>
      </w:r>
      <w:r w:rsidR="00922F15">
        <w:t>a</w:t>
      </w:r>
      <w:r>
        <w:t xml:space="preserve">l origen del </w:t>
      </w:r>
      <w:proofErr w:type="spellStart"/>
      <w:r w:rsidR="00057BF4" w:rsidRPr="00057BF4">
        <w:rPr>
          <w:i/>
          <w:iCs/>
        </w:rPr>
        <w:t>kamma</w:t>
      </w:r>
      <w:proofErr w:type="spellEnd"/>
      <w:r>
        <w:t>, etc.</w:t>
      </w:r>
    </w:p>
    <w:p w14:paraId="67CCD2B2" w14:textId="54341283" w:rsidR="00B91446" w:rsidRDefault="00B91446" w:rsidP="00B91446">
      <w:r>
        <w:t xml:space="preserve">96. </w:t>
      </w:r>
      <w:r>
        <w:tab/>
        <w:t xml:space="preserve">Todos estos elementos </w:t>
      </w:r>
      <w:r w:rsidR="00922F15">
        <w:t>corresponderán a las</w:t>
      </w:r>
      <w:r>
        <w:t xml:space="preserve"> “instancias de </w:t>
      </w:r>
      <w:r w:rsidR="00163E24">
        <w:t xml:space="preserve">la </w:t>
      </w:r>
      <w:r>
        <w:t>materialidad” (</w:t>
      </w:r>
      <w:proofErr w:type="spellStart"/>
      <w:r w:rsidRPr="00142770">
        <w:rPr>
          <w:i/>
          <w:iCs/>
        </w:rPr>
        <w:t>rūpāni</w:t>
      </w:r>
      <w:proofErr w:type="spellEnd"/>
      <w:r>
        <w:t>) porque no excede</w:t>
      </w:r>
      <w:r w:rsidR="00163E24">
        <w:t>rá</w:t>
      </w:r>
      <w:r>
        <w:t>n la característica de “ser molestado</w:t>
      </w:r>
      <w:r w:rsidR="00247CBC">
        <w:t>s</w:t>
      </w:r>
      <w:r>
        <w:t>” (</w:t>
      </w:r>
      <w:proofErr w:type="spellStart"/>
      <w:r w:rsidRPr="00142770">
        <w:rPr>
          <w:i/>
          <w:iCs/>
        </w:rPr>
        <w:t>ruppana</w:t>
      </w:r>
      <w:proofErr w:type="spellEnd"/>
      <w:r>
        <w:t>). S</w:t>
      </w:r>
      <w:r w:rsidR="00163E24">
        <w:t>erá</w:t>
      </w:r>
      <w:r>
        <w:t xml:space="preserve">n </w:t>
      </w:r>
      <w:r w:rsidR="00163E24">
        <w:t xml:space="preserve">los </w:t>
      </w:r>
      <w:r>
        <w:t>“grandes primari</w:t>
      </w:r>
      <w:r w:rsidR="00163E24">
        <w:t>o</w:t>
      </w:r>
      <w:r>
        <w:t>s” (</w:t>
      </w:r>
      <w:proofErr w:type="spellStart"/>
      <w:r w:rsidRPr="00142770">
        <w:rPr>
          <w:i/>
          <w:iCs/>
        </w:rPr>
        <w:t>mahābhūta</w:t>
      </w:r>
      <w:proofErr w:type="spellEnd"/>
      <w:r>
        <w:t>) debido a la “gran manifestación”, y así sucesivamente. “</w:t>
      </w:r>
      <w:r w:rsidR="00247CBC">
        <w:t>Mediante</w:t>
      </w:r>
      <w:r>
        <w:t xml:space="preserve"> </w:t>
      </w:r>
      <w:r w:rsidR="00247CBC">
        <w:t xml:space="preserve">la </w:t>
      </w:r>
      <w:r>
        <w:t xml:space="preserve">razón de </w:t>
      </w:r>
      <w:r w:rsidR="004146DE">
        <w:t xml:space="preserve">la </w:t>
      </w:r>
      <w:r>
        <w:t xml:space="preserve">‘gran manifestación’, </w:t>
      </w:r>
      <w:r w:rsidR="00163E24">
        <w:t>etc</w:t>
      </w:r>
      <w:r w:rsidR="004146DE">
        <w:t>.</w:t>
      </w:r>
      <w:r>
        <w:t xml:space="preserve">” significa que </w:t>
      </w:r>
      <w:r w:rsidR="00163E24">
        <w:t xml:space="preserve">a </w:t>
      </w:r>
      <w:r>
        <w:t xml:space="preserve">estos elementos se </w:t>
      </w:r>
      <w:r w:rsidR="00163E24">
        <w:t xml:space="preserve">le </w:t>
      </w:r>
      <w:r>
        <w:t>denomina</w:t>
      </w:r>
      <w:r w:rsidR="004146DE">
        <w:t>rá</w:t>
      </w:r>
      <w:r>
        <w:t xml:space="preserve">n “grandes primarios” por las siguientes razones: (a) </w:t>
      </w:r>
      <w:r w:rsidR="004146DE">
        <w:t xml:space="preserve">por la </w:t>
      </w:r>
      <w:r>
        <w:t xml:space="preserve">manifestación de </w:t>
      </w:r>
      <w:r w:rsidR="00247CBC">
        <w:t xml:space="preserve">su </w:t>
      </w:r>
      <w:r>
        <w:t xml:space="preserve">grandeza; (b) </w:t>
      </w:r>
      <w:r w:rsidR="004146DE">
        <w:t xml:space="preserve">por su </w:t>
      </w:r>
      <w:r>
        <w:t xml:space="preserve">semejanza con </w:t>
      </w:r>
      <w:r w:rsidR="00247CBC">
        <w:t xml:space="preserve">las </w:t>
      </w:r>
      <w:r>
        <w:t xml:space="preserve">grandes criaturas; (c) </w:t>
      </w:r>
      <w:r w:rsidR="00B11059">
        <w:t xml:space="preserve">por </w:t>
      </w:r>
      <w:r w:rsidR="00BD09F6">
        <w:t>su</w:t>
      </w:r>
      <w:r w:rsidR="00B11059">
        <w:t xml:space="preserve"> </w:t>
      </w:r>
      <w:r>
        <w:t xml:space="preserve">gran mantenimiento; (d) </w:t>
      </w:r>
      <w:r w:rsidR="00B11059">
        <w:t xml:space="preserve">por </w:t>
      </w:r>
      <w:r w:rsidR="00BD09F6">
        <w:t>su</w:t>
      </w:r>
      <w:r w:rsidR="00B11059">
        <w:t xml:space="preserve"> </w:t>
      </w:r>
      <w:r>
        <w:t>gran alteración; y (e) porque son grandes y porque son entidades.</w:t>
      </w:r>
    </w:p>
    <w:p w14:paraId="37BBDF57" w14:textId="4CC48003" w:rsidR="00B91446" w:rsidRDefault="00B91446" w:rsidP="00B91446">
      <w:r>
        <w:t xml:space="preserve">97. </w:t>
      </w:r>
      <w:r>
        <w:tab/>
        <w:t xml:space="preserve">Aquí, (a) </w:t>
      </w:r>
      <w:r w:rsidRPr="00142770">
        <w:rPr>
          <w:i/>
          <w:iCs/>
        </w:rPr>
        <w:t xml:space="preserve">manifestación de </w:t>
      </w:r>
      <w:r w:rsidR="00691271">
        <w:rPr>
          <w:i/>
          <w:iCs/>
        </w:rPr>
        <w:t xml:space="preserve">su </w:t>
      </w:r>
      <w:r w:rsidRPr="00142770">
        <w:rPr>
          <w:i/>
          <w:iCs/>
        </w:rPr>
        <w:t>grandeza</w:t>
      </w:r>
      <w:r>
        <w:t>: se manifiestan como grandes tanto en una continuidad a la que no se aferr</w:t>
      </w:r>
      <w:r w:rsidR="00B11059">
        <w:t>e</w:t>
      </w:r>
      <w:r>
        <w:t xml:space="preserve"> (adquirida a través del </w:t>
      </w:r>
      <w:proofErr w:type="spellStart"/>
      <w:r w:rsidR="00057BF4" w:rsidRPr="00057BF4">
        <w:rPr>
          <w:i/>
          <w:iCs/>
        </w:rPr>
        <w:t>kamma</w:t>
      </w:r>
      <w:proofErr w:type="spellEnd"/>
      <w:r>
        <w:t>) como en una continuidad a la que se aferr</w:t>
      </w:r>
      <w:r w:rsidR="00B11059">
        <w:t>e</w:t>
      </w:r>
      <w:r>
        <w:t xml:space="preserve">. Porque </w:t>
      </w:r>
      <w:r w:rsidR="00691271">
        <w:t>la</w:t>
      </w:r>
      <w:r>
        <w:t xml:space="preserve"> manifestación de </w:t>
      </w:r>
      <w:r w:rsidR="00691271">
        <w:t xml:space="preserve">su </w:t>
      </w:r>
      <w:r>
        <w:t>grandeza en una continuidad a la que no se apeg</w:t>
      </w:r>
      <w:r w:rsidR="00691271">
        <w:t>ue</w:t>
      </w:r>
      <w:r>
        <w:t xml:space="preserve"> se da en la descripción de</w:t>
      </w:r>
      <w:r w:rsidR="00B11059">
        <w:t xml:space="preserve"> </w:t>
      </w:r>
      <w:r>
        <w:t>l</w:t>
      </w:r>
      <w:r w:rsidR="00B11059">
        <w:t>a</w:t>
      </w:r>
      <w:r>
        <w:t xml:space="preserve"> </w:t>
      </w:r>
      <w:r w:rsidR="00B11059">
        <w:t>evocación</w:t>
      </w:r>
      <w:r>
        <w:t xml:space="preserve"> del </w:t>
      </w:r>
      <w:r w:rsidR="00057BF4" w:rsidRPr="00057BF4">
        <w:rPr>
          <w:i/>
        </w:rPr>
        <w:t>Buddha</w:t>
      </w:r>
      <w:r>
        <w:t xml:space="preserve"> en el comienzo del </w:t>
      </w:r>
      <w:r w:rsidR="00B11059">
        <w:t>pasaje</w:t>
      </w:r>
      <w:r>
        <w:t>:</w:t>
      </w:r>
    </w:p>
    <w:p w14:paraId="3D73DCEE" w14:textId="42089267" w:rsidR="00B91446" w:rsidRPr="00A4736B" w:rsidRDefault="00B91446" w:rsidP="00B91446">
      <w:pPr>
        <w:pStyle w:val="VersoIngls01Sangria"/>
        <w:rPr>
          <w:sz w:val="16"/>
          <w:szCs w:val="20"/>
        </w:rPr>
      </w:pPr>
      <w:r w:rsidRPr="00A4736B">
        <w:rPr>
          <w:sz w:val="16"/>
          <w:szCs w:val="20"/>
        </w:rPr>
        <w:t xml:space="preserve">Dos </w:t>
      </w:r>
      <w:proofErr w:type="spellStart"/>
      <w:r w:rsidRPr="00A4736B">
        <w:rPr>
          <w:sz w:val="16"/>
          <w:szCs w:val="20"/>
        </w:rPr>
        <w:t>cien</w:t>
      </w:r>
      <w:r w:rsidR="00461CD7" w:rsidRPr="00A4736B">
        <w:rPr>
          <w:sz w:val="16"/>
          <w:szCs w:val="20"/>
        </w:rPr>
        <w:t>t</w:t>
      </w:r>
      <w:r w:rsidR="006608BA">
        <w:rPr>
          <w:sz w:val="16"/>
          <w:szCs w:val="20"/>
        </w:rPr>
        <w:t>a</w:t>
      </w:r>
      <w:r w:rsidR="00461CD7" w:rsidRPr="00A4736B">
        <w:rPr>
          <w:sz w:val="16"/>
          <w:szCs w:val="20"/>
        </w:rPr>
        <w:t>s</w:t>
      </w:r>
      <w:proofErr w:type="spellEnd"/>
      <w:r w:rsidRPr="00A4736B">
        <w:rPr>
          <w:sz w:val="16"/>
          <w:szCs w:val="20"/>
        </w:rPr>
        <w:t xml:space="preserve"> mil leguas</w:t>
      </w:r>
    </w:p>
    <w:p w14:paraId="20EF6583" w14:textId="1D9480ED" w:rsidR="00B91446" w:rsidRPr="00A4736B" w:rsidRDefault="00B91446" w:rsidP="00B91446">
      <w:pPr>
        <w:pStyle w:val="VersoIngls01Sangria"/>
        <w:rPr>
          <w:sz w:val="16"/>
          <w:szCs w:val="20"/>
        </w:rPr>
      </w:pPr>
      <w:r w:rsidRPr="00A4736B">
        <w:rPr>
          <w:sz w:val="16"/>
          <w:szCs w:val="20"/>
        </w:rPr>
        <w:t xml:space="preserve">Y </w:t>
      </w:r>
      <w:r w:rsidR="00461CD7" w:rsidRPr="00A4736B">
        <w:rPr>
          <w:sz w:val="16"/>
          <w:szCs w:val="20"/>
        </w:rPr>
        <w:t xml:space="preserve">también </w:t>
      </w:r>
      <w:r w:rsidRPr="00A4736B">
        <w:rPr>
          <w:sz w:val="16"/>
          <w:szCs w:val="20"/>
        </w:rPr>
        <w:t xml:space="preserve">luego cuatro </w:t>
      </w:r>
      <w:proofErr w:type="spellStart"/>
      <w:r w:rsidRPr="00A4736B">
        <w:rPr>
          <w:i/>
          <w:iCs/>
          <w:sz w:val="16"/>
          <w:szCs w:val="20"/>
        </w:rPr>
        <w:t>nahu</w:t>
      </w:r>
      <w:r w:rsidR="00142770" w:rsidRPr="00A4736B">
        <w:rPr>
          <w:i/>
          <w:iCs/>
          <w:sz w:val="16"/>
          <w:szCs w:val="20"/>
        </w:rPr>
        <w:t>k</w:t>
      </w:r>
      <w:r w:rsidRPr="00A4736B">
        <w:rPr>
          <w:i/>
          <w:iCs/>
          <w:sz w:val="16"/>
          <w:szCs w:val="20"/>
        </w:rPr>
        <w:t>tas</w:t>
      </w:r>
      <w:proofErr w:type="spellEnd"/>
      <w:r w:rsidRPr="00A4736B">
        <w:rPr>
          <w:sz w:val="16"/>
          <w:szCs w:val="20"/>
        </w:rPr>
        <w:t>:</w:t>
      </w:r>
    </w:p>
    <w:p w14:paraId="1B161E45" w14:textId="77777777" w:rsidR="00B91446" w:rsidRPr="00A4736B" w:rsidRDefault="00B91446" w:rsidP="00B91446">
      <w:pPr>
        <w:pStyle w:val="VersoIngls01Sangria"/>
        <w:rPr>
          <w:sz w:val="16"/>
          <w:szCs w:val="20"/>
        </w:rPr>
      </w:pPr>
      <w:r w:rsidRPr="00A4736B">
        <w:rPr>
          <w:sz w:val="16"/>
          <w:szCs w:val="20"/>
        </w:rPr>
        <w:t>Esta tierra, esta “portadora de toda riqueza”,</w:t>
      </w:r>
    </w:p>
    <w:p w14:paraId="3A940213" w14:textId="66860511" w:rsidR="00B91446" w:rsidRPr="00A4736B" w:rsidRDefault="00B91446" w:rsidP="00B91446">
      <w:pPr>
        <w:pStyle w:val="VersoIngls01Sangria"/>
        <w:spacing w:after="100"/>
        <w:ind w:left="1418"/>
        <w:rPr>
          <w:sz w:val="16"/>
          <w:szCs w:val="20"/>
        </w:rPr>
      </w:pPr>
      <w:r w:rsidRPr="00A4736B">
        <w:rPr>
          <w:sz w:val="16"/>
          <w:szCs w:val="20"/>
        </w:rPr>
        <w:t>Tiene ta</w:t>
      </w:r>
      <w:r w:rsidR="00461CD7" w:rsidRPr="00A4736B">
        <w:rPr>
          <w:sz w:val="16"/>
          <w:szCs w:val="20"/>
        </w:rPr>
        <w:t>l</w:t>
      </w:r>
      <w:r w:rsidRPr="00A4736B">
        <w:rPr>
          <w:sz w:val="16"/>
          <w:szCs w:val="20"/>
        </w:rPr>
        <w:t xml:space="preserve"> espesor, </w:t>
      </w:r>
      <w:r w:rsidR="00461CD7" w:rsidRPr="00A4736B">
        <w:rPr>
          <w:sz w:val="16"/>
          <w:szCs w:val="20"/>
        </w:rPr>
        <w:t>así lo</w:t>
      </w:r>
      <w:r w:rsidRPr="00A4736B">
        <w:rPr>
          <w:sz w:val="16"/>
          <w:szCs w:val="20"/>
        </w:rPr>
        <w:t xml:space="preserve"> dicen (VII.41).</w:t>
      </w:r>
    </w:p>
    <w:p w14:paraId="5B2077E8" w14:textId="219ADC2B" w:rsidR="00B91446" w:rsidRDefault="00B91446" w:rsidP="00B91446">
      <w:pPr>
        <w:pStyle w:val="NormalConSangria"/>
      </w:pPr>
      <w:r>
        <w:t>Y también se manifiestan a gran escala en una continuidad a la que se adhier</w:t>
      </w:r>
      <w:r w:rsidR="006608BA">
        <w:t>a</w:t>
      </w:r>
      <w:r>
        <w:t xml:space="preserve">n, por ejemplo, en los cuerpos de los peces, las tortugas, las deidades, los demonios </w:t>
      </w:r>
      <w:proofErr w:type="spellStart"/>
      <w:r w:rsidRPr="00142770">
        <w:rPr>
          <w:i/>
          <w:iCs/>
        </w:rPr>
        <w:t>Dānava</w:t>
      </w:r>
      <w:proofErr w:type="spellEnd"/>
      <w:r>
        <w:t>, etc. Porque esto se dice</w:t>
      </w:r>
      <w:r w:rsidR="006608BA">
        <w:t xml:space="preserve"> </w:t>
      </w:r>
      <w:r w:rsidR="00A15F08">
        <w:t xml:space="preserve">así </w:t>
      </w:r>
      <w:r w:rsidR="006608BA">
        <w:t>en el siguiente pasaje</w:t>
      </w:r>
      <w:r>
        <w:t>: “</w:t>
      </w:r>
      <w:proofErr w:type="spellStart"/>
      <w:r w:rsidR="00057BF4" w:rsidRPr="00057BF4">
        <w:rPr>
          <w:i/>
        </w:rPr>
        <w:t>Bhikkhu</w:t>
      </w:r>
      <w:r>
        <w:t>s</w:t>
      </w:r>
      <w:proofErr w:type="spellEnd"/>
      <w:r>
        <w:t xml:space="preserve">, </w:t>
      </w:r>
      <w:r w:rsidR="00461CD7">
        <w:t>existe</w:t>
      </w:r>
      <w:r w:rsidR="00EC2B14">
        <w:t>n</w:t>
      </w:r>
      <w:r>
        <w:t xml:space="preserve"> criaturas de cien leguas</w:t>
      </w:r>
      <w:r w:rsidR="000F5548">
        <w:t>,</w:t>
      </w:r>
      <w:r>
        <w:t xml:space="preserve"> </w:t>
      </w:r>
      <w:r w:rsidR="00EC2B14">
        <w:t>cada una</w:t>
      </w:r>
      <w:r w:rsidR="000F5548">
        <w:t>,</w:t>
      </w:r>
      <w:r w:rsidR="00EC2B14">
        <w:t xml:space="preserve"> </w:t>
      </w:r>
      <w:r>
        <w:t xml:space="preserve">en el gran océano” (A IV 207), </w:t>
      </w:r>
      <w:r w:rsidR="00DC7DD5">
        <w:t>etc</w:t>
      </w:r>
      <w:r>
        <w:t>.</w:t>
      </w:r>
    </w:p>
    <w:p w14:paraId="07A4D36E" w14:textId="00AE32A0" w:rsidR="00B91446" w:rsidRDefault="00B91446" w:rsidP="00B91446">
      <w:r>
        <w:t xml:space="preserve">98. </w:t>
      </w:r>
      <w:r>
        <w:tab/>
        <w:t xml:space="preserve">(b) </w:t>
      </w:r>
      <w:r w:rsidR="00DC7DD5">
        <w:rPr>
          <w:i/>
          <w:iCs/>
        </w:rPr>
        <w:t>Por su s</w:t>
      </w:r>
      <w:r w:rsidRPr="00142770">
        <w:rPr>
          <w:i/>
          <w:iCs/>
        </w:rPr>
        <w:t xml:space="preserve">emejanza </w:t>
      </w:r>
      <w:r w:rsidR="00DC7DD5">
        <w:rPr>
          <w:i/>
          <w:iCs/>
        </w:rPr>
        <w:t xml:space="preserve">con las </w:t>
      </w:r>
      <w:r w:rsidRPr="00142770">
        <w:rPr>
          <w:i/>
          <w:iCs/>
        </w:rPr>
        <w:t>grandes criaturas</w:t>
      </w:r>
      <w:r>
        <w:t xml:space="preserve">: tal como un mago </w:t>
      </w:r>
      <w:r w:rsidR="00EC2B14">
        <w:t>convertiría</w:t>
      </w:r>
      <w:r>
        <w:t xml:space="preserve"> el agua que no </w:t>
      </w:r>
      <w:r w:rsidR="00EC2B14">
        <w:t xml:space="preserve">sea </w:t>
      </w:r>
      <w:r>
        <w:t>cristal</w:t>
      </w:r>
      <w:r w:rsidR="00EC2B14">
        <w:t>ina</w:t>
      </w:r>
      <w:r>
        <w:t xml:space="preserve"> en cristal</w:t>
      </w:r>
      <w:r w:rsidR="00EC2B14">
        <w:t>ina</w:t>
      </w:r>
      <w:r>
        <w:t xml:space="preserve">, y </w:t>
      </w:r>
      <w:r w:rsidR="00EC2B14">
        <w:t xml:space="preserve">convertiría </w:t>
      </w:r>
      <w:r>
        <w:t xml:space="preserve">un </w:t>
      </w:r>
      <w:r w:rsidR="004A3A2F">
        <w:t>piedra</w:t>
      </w:r>
      <w:r>
        <w:t xml:space="preserve"> que no </w:t>
      </w:r>
      <w:r w:rsidR="00EC2B14">
        <w:t>sea</w:t>
      </w:r>
      <w:r>
        <w:t xml:space="preserve"> oro en oro, y lo</w:t>
      </w:r>
      <w:r w:rsidR="00EC2B14">
        <w:t xml:space="preserve"> ex</w:t>
      </w:r>
      <w:r w:rsidR="004A3A2F">
        <w:t>h</w:t>
      </w:r>
      <w:r w:rsidR="00EC2B14">
        <w:t>ibiría</w:t>
      </w:r>
      <w:r w:rsidR="004A3A2F">
        <w:t xml:space="preserve"> así</w:t>
      </w:r>
      <w:r>
        <w:t xml:space="preserve">, y no siendo él mismo un espíritu ni un pájaro, se </w:t>
      </w:r>
      <w:r w:rsidR="00EC2B14">
        <w:t xml:space="preserve">mostraría </w:t>
      </w:r>
      <w:r>
        <w:t>a sí mismo como un espíritu o un pájaro, así también, no siendo ellos mismos azul-</w:t>
      </w:r>
      <w:r w:rsidR="004A3A2F">
        <w:t>oscuros</w:t>
      </w:r>
      <w:r>
        <w:t xml:space="preserve">, se </w:t>
      </w:r>
      <w:r w:rsidR="00331651">
        <w:t xml:space="preserve">convertirán </w:t>
      </w:r>
      <w:r>
        <w:t xml:space="preserve">en materialidad derivada </w:t>
      </w:r>
      <w:r w:rsidR="004A3A2F">
        <w:t xml:space="preserve">del </w:t>
      </w:r>
      <w:r w:rsidR="00331651">
        <w:t xml:space="preserve">color </w:t>
      </w:r>
      <w:r>
        <w:t>azul-</w:t>
      </w:r>
      <w:r w:rsidR="004A3A2F">
        <w:t>oscuro</w:t>
      </w:r>
      <w:r>
        <w:t xml:space="preserve">, no siendo ellos mismos amarillos... ni rojos... ni blancos, [367] se </w:t>
      </w:r>
      <w:r w:rsidR="00331651">
        <w:t xml:space="preserve">convertirán </w:t>
      </w:r>
      <w:r>
        <w:t xml:space="preserve">en materialidad derivada </w:t>
      </w:r>
      <w:r w:rsidR="004A3A2F">
        <w:t xml:space="preserve">del </w:t>
      </w:r>
      <w:r w:rsidR="00331651">
        <w:t xml:space="preserve">color </w:t>
      </w:r>
      <w:r>
        <w:t>blanc</w:t>
      </w:r>
      <w:r w:rsidR="00331651">
        <w:t>o</w:t>
      </w:r>
      <w:r>
        <w:t xml:space="preserve"> y </w:t>
      </w:r>
      <w:r w:rsidR="0033749B">
        <w:t xml:space="preserve">exhibirán ello. Es así </w:t>
      </w:r>
      <w:r w:rsidR="004A3A2F">
        <w:t xml:space="preserve">cómo </w:t>
      </w:r>
      <w:r>
        <w:t>son “grandes primarios” (</w:t>
      </w:r>
      <w:proofErr w:type="spellStart"/>
      <w:r w:rsidRPr="00142770">
        <w:rPr>
          <w:i/>
          <w:iCs/>
        </w:rPr>
        <w:t>mahābhūta</w:t>
      </w:r>
      <w:proofErr w:type="spellEnd"/>
      <w:r>
        <w:t xml:space="preserve">) </w:t>
      </w:r>
      <w:r w:rsidR="00B82C92">
        <w:t xml:space="preserve">por su semejanza con </w:t>
      </w:r>
      <w:r>
        <w:t>las grandes criaturas (</w:t>
      </w:r>
      <w:proofErr w:type="spellStart"/>
      <w:r w:rsidRPr="00142770">
        <w:rPr>
          <w:i/>
          <w:iCs/>
        </w:rPr>
        <w:t>mahābhūta</w:t>
      </w:r>
      <w:proofErr w:type="spellEnd"/>
      <w:r>
        <w:t>) de un mago.</w:t>
      </w:r>
      <w:r w:rsidRPr="00C246F5">
        <w:rPr>
          <w:vertAlign w:val="superscript"/>
        </w:rPr>
        <w:t>38</w:t>
      </w:r>
    </w:p>
    <w:p w14:paraId="594FD5C3" w14:textId="47D617E5" w:rsidR="00B91446" w:rsidRPr="00B91446" w:rsidRDefault="00B91446" w:rsidP="00B91446">
      <w:pPr>
        <w:pStyle w:val="PiedepginaLegal"/>
        <w:rPr>
          <w:u w:val="single"/>
        </w:rPr>
      </w:pPr>
      <w:r w:rsidRPr="00B91446">
        <w:rPr>
          <w:u w:val="single"/>
        </w:rPr>
        <w:t xml:space="preserve">                                                                                                                                                        .</w:t>
      </w:r>
    </w:p>
    <w:p w14:paraId="0BB867C3" w14:textId="69EFABF5" w:rsidR="002656FC" w:rsidRDefault="00B91446" w:rsidP="00B91446">
      <w:pPr>
        <w:pStyle w:val="PiedepginaLegal"/>
      </w:pPr>
      <w:r>
        <w:t xml:space="preserve">38. </w:t>
      </w:r>
      <w:r>
        <w:tab/>
        <w:t>“Un gran primario (</w:t>
      </w:r>
      <w:proofErr w:type="spellStart"/>
      <w:r w:rsidRPr="00142770">
        <w:rPr>
          <w:i/>
          <w:iCs/>
        </w:rPr>
        <w:t>mahābhūta</w:t>
      </w:r>
      <w:proofErr w:type="spellEnd"/>
      <w:r>
        <w:t xml:space="preserve">) </w:t>
      </w:r>
      <w:r w:rsidR="00103BB4">
        <w:t xml:space="preserve">será </w:t>
      </w:r>
      <w:r>
        <w:t>una gran maravilla (</w:t>
      </w:r>
      <w:proofErr w:type="spellStart"/>
      <w:r w:rsidRPr="00142770">
        <w:rPr>
          <w:i/>
          <w:iCs/>
        </w:rPr>
        <w:t>mahanto</w:t>
      </w:r>
      <w:proofErr w:type="spellEnd"/>
      <w:r w:rsidRPr="00142770">
        <w:rPr>
          <w:i/>
          <w:iCs/>
        </w:rPr>
        <w:t xml:space="preserve"> </w:t>
      </w:r>
      <w:proofErr w:type="spellStart"/>
      <w:r w:rsidRPr="00142770">
        <w:rPr>
          <w:i/>
          <w:iCs/>
        </w:rPr>
        <w:t>abbhuto</w:t>
      </w:r>
      <w:proofErr w:type="spellEnd"/>
      <w:r>
        <w:t xml:space="preserve">) porque </w:t>
      </w:r>
      <w:proofErr w:type="spellStart"/>
      <w:r w:rsidR="00103BB4">
        <w:t>exondrá</w:t>
      </w:r>
      <w:proofErr w:type="spellEnd"/>
      <w:r>
        <w:t xml:space="preserve"> varias cosas irreales (</w:t>
      </w:r>
      <w:proofErr w:type="spellStart"/>
      <w:r w:rsidRPr="00142770">
        <w:rPr>
          <w:i/>
          <w:iCs/>
        </w:rPr>
        <w:t>abhūta</w:t>
      </w:r>
      <w:proofErr w:type="spellEnd"/>
      <w:r>
        <w:t xml:space="preserve">), varias </w:t>
      </w:r>
      <w:proofErr w:type="gramStart"/>
      <w:r w:rsidR="005B7E75">
        <w:t xml:space="preserve">magias </w:t>
      </w:r>
      <w:r>
        <w:t xml:space="preserve"> (</w:t>
      </w:r>
      <w:proofErr w:type="spellStart"/>
      <w:proofErr w:type="gramEnd"/>
      <w:r w:rsidRPr="00142770">
        <w:rPr>
          <w:i/>
          <w:iCs/>
        </w:rPr>
        <w:t>abbhuta</w:t>
      </w:r>
      <w:proofErr w:type="spellEnd"/>
      <w:r>
        <w:t>) y vari</w:t>
      </w:r>
      <w:r w:rsidR="005B7E75">
        <w:t>o</w:t>
      </w:r>
      <w:r>
        <w:t xml:space="preserve">s </w:t>
      </w:r>
      <w:r w:rsidR="005B7E75">
        <w:t xml:space="preserve">milagros </w:t>
      </w:r>
      <w:r>
        <w:t>(</w:t>
      </w:r>
      <w:proofErr w:type="spellStart"/>
      <w:r w:rsidRPr="00142770">
        <w:rPr>
          <w:i/>
          <w:iCs/>
        </w:rPr>
        <w:t>acchariya</w:t>
      </w:r>
      <w:proofErr w:type="spellEnd"/>
      <w:r>
        <w:t xml:space="preserve">). O alternativamente: aquí </w:t>
      </w:r>
      <w:r w:rsidR="005B7E75">
        <w:t xml:space="preserve">se darán </w:t>
      </w:r>
      <w:r>
        <w:t xml:space="preserve">grandes </w:t>
      </w:r>
      <w:r w:rsidR="005B7E75">
        <w:t>magias</w:t>
      </w:r>
      <w:r>
        <w:t xml:space="preserve"> (</w:t>
      </w:r>
      <w:proofErr w:type="spellStart"/>
      <w:r w:rsidRPr="00142770">
        <w:rPr>
          <w:i/>
          <w:iCs/>
        </w:rPr>
        <w:t>abbhuta</w:t>
      </w:r>
      <w:proofErr w:type="spellEnd"/>
      <w:r>
        <w:t xml:space="preserve">), por lo que </w:t>
      </w:r>
      <w:r w:rsidR="00434ACC">
        <w:t xml:space="preserve">deberán existir los </w:t>
      </w:r>
      <w:r>
        <w:t xml:space="preserve">magos. Y los espíritus, etc., </w:t>
      </w:r>
      <w:r w:rsidR="00434ACC">
        <w:t xml:space="preserve">corresponderán a </w:t>
      </w:r>
      <w:r>
        <w:t>enormes (</w:t>
      </w:r>
      <w:proofErr w:type="spellStart"/>
      <w:r w:rsidRPr="00142770">
        <w:rPr>
          <w:i/>
          <w:iCs/>
        </w:rPr>
        <w:t>mahant</w:t>
      </w:r>
      <w:proofErr w:type="spellEnd"/>
      <w:r>
        <w:t>) criaturas (</w:t>
      </w:r>
      <w:r w:rsidRPr="005B7E75">
        <w:rPr>
          <w:i/>
          <w:iCs/>
        </w:rPr>
        <w:t>bhūta</w:t>
      </w:r>
      <w:r>
        <w:t>) debido a que nace</w:t>
      </w:r>
      <w:r w:rsidR="00434ACC">
        <w:t>rá</w:t>
      </w:r>
      <w:r>
        <w:t xml:space="preserve">n de ellos, por lo que </w:t>
      </w:r>
      <w:r w:rsidR="00434ACC">
        <w:t xml:space="preserve">serán </w:t>
      </w:r>
      <w:r>
        <w:t xml:space="preserve">grandes primarios. O alternativamente: este término 'gran primario' </w:t>
      </w:r>
      <w:r w:rsidR="0023157C">
        <w:t xml:space="preserve">podrá </w:t>
      </w:r>
      <w:r>
        <w:t xml:space="preserve">considerarse como un término genérico para todos ellos. </w:t>
      </w:r>
      <w:r w:rsidR="0023157C">
        <w:t xml:space="preserve">No obstante, </w:t>
      </w:r>
      <w:r>
        <w:t xml:space="preserve">la tierra, etc., </w:t>
      </w:r>
      <w:r w:rsidR="0010442A">
        <w:t xml:space="preserve">corresponderán a los </w:t>
      </w:r>
      <w:r>
        <w:t xml:space="preserve">grandes primarios porque </w:t>
      </w:r>
      <w:r w:rsidR="00B379E5">
        <w:t>disuad</w:t>
      </w:r>
      <w:r w:rsidR="0010442A">
        <w:t>irá</w:t>
      </w:r>
      <w:r w:rsidR="00B379E5">
        <w:t xml:space="preserve">n </w:t>
      </w:r>
      <w:r>
        <w:t xml:space="preserve">y porque, como las criaturas enormes, no se </w:t>
      </w:r>
      <w:r w:rsidR="0010442A">
        <w:t xml:space="preserve">podrán </w:t>
      </w:r>
      <w:r>
        <w:t xml:space="preserve">señalar </w:t>
      </w:r>
      <w:r w:rsidR="00B379E5">
        <w:t xml:space="preserve">el </w:t>
      </w:r>
      <w:r>
        <w:t xml:space="preserve">lugar </w:t>
      </w:r>
      <w:r w:rsidR="00B379E5">
        <w:t>donde est</w:t>
      </w:r>
      <w:r w:rsidR="0010442A">
        <w:t>é</w:t>
      </w:r>
      <w:r w:rsidR="00B379E5">
        <w:t>n</w:t>
      </w:r>
      <w:r>
        <w:t xml:space="preserve">. </w:t>
      </w:r>
      <w:r w:rsidR="000D7163">
        <w:t xml:space="preserve">La disuasión </w:t>
      </w:r>
      <w:r>
        <w:t>consist</w:t>
      </w:r>
      <w:r w:rsidR="000D7163">
        <w:t>irá</w:t>
      </w:r>
      <w:r>
        <w:t xml:space="preserve"> en </w:t>
      </w:r>
      <w:r w:rsidR="002E0966">
        <w:t>producir</w:t>
      </w:r>
      <w:r>
        <w:t xml:space="preserve"> las aparentes esencias individuales de</w:t>
      </w:r>
      <w:r w:rsidR="002E0966">
        <w:t>l</w:t>
      </w:r>
      <w:r w:rsidR="000D7163" w:rsidRPr="000D7163">
        <w:t xml:space="preserve"> </w:t>
      </w:r>
      <w:r w:rsidR="000D7163">
        <w:t xml:space="preserve">azul-negro, etc., y </w:t>
      </w:r>
      <w:r w:rsidR="002E0966">
        <w:t xml:space="preserve">también </w:t>
      </w:r>
      <w:r w:rsidR="000D7163">
        <w:t>consist</w:t>
      </w:r>
      <w:r w:rsidR="002E0966">
        <w:t>irá</w:t>
      </w:r>
      <w:r w:rsidR="000D7163">
        <w:t xml:space="preserve"> en </w:t>
      </w:r>
      <w:r w:rsidR="002E0966">
        <w:t>producir</w:t>
      </w:r>
      <w:r w:rsidR="000D7163">
        <w:t xml:space="preserve"> </w:t>
      </w:r>
      <w:r w:rsidR="00CF0C25">
        <w:t>la aparición</w:t>
      </w:r>
    </w:p>
    <w:p w14:paraId="640FC602" w14:textId="77777777" w:rsidR="002656FC" w:rsidRDefault="002656FC">
      <w:pPr>
        <w:tabs>
          <w:tab w:val="clear" w:pos="425"/>
        </w:tabs>
        <w:spacing w:after="160"/>
        <w:rPr>
          <w:color w:val="000000" w:themeColor="text1"/>
          <w:spacing w:val="10"/>
          <w:sz w:val="14"/>
        </w:rPr>
      </w:pPr>
      <w:r>
        <w:br w:type="page"/>
      </w:r>
    </w:p>
    <w:p w14:paraId="4975060D" w14:textId="77777777" w:rsidR="002656FC" w:rsidRDefault="002656FC" w:rsidP="002656FC"/>
    <w:p w14:paraId="272958B0" w14:textId="172F20E8" w:rsidR="002656FC" w:rsidRDefault="002656FC" w:rsidP="002656FC">
      <w:r>
        <w:t xml:space="preserve">99. </w:t>
      </w:r>
      <w:r>
        <w:tab/>
        <w:t>Y así como cualquiera que las grandes criaturas</w:t>
      </w:r>
      <w:r w:rsidR="00ED2B8C">
        <w:t>,</w:t>
      </w:r>
      <w:r>
        <w:t xml:space="preserve"> </w:t>
      </w:r>
      <w:r w:rsidR="002220E7">
        <w:t xml:space="preserve">tales </w:t>
      </w:r>
      <w:r>
        <w:t>como los espíritus (</w:t>
      </w:r>
      <w:proofErr w:type="spellStart"/>
      <w:r w:rsidRPr="00ED2B8C">
        <w:rPr>
          <w:i/>
          <w:iCs/>
        </w:rPr>
        <w:t>yakkha</w:t>
      </w:r>
      <w:r w:rsidR="00ED2B8C" w:rsidRPr="00ED2B8C">
        <w:rPr>
          <w:i/>
          <w:iCs/>
        </w:rPr>
        <w:t>s</w:t>
      </w:r>
      <w:proofErr w:type="spellEnd"/>
      <w:r>
        <w:t xml:space="preserve">) </w:t>
      </w:r>
      <w:r w:rsidR="001029C2">
        <w:t xml:space="preserve">se apoderan de </w:t>
      </w:r>
      <w:r>
        <w:t>(</w:t>
      </w:r>
      <w:r w:rsidR="00ED2B8C">
        <w:t xml:space="preserve">o </w:t>
      </w:r>
      <w:r>
        <w:t xml:space="preserve">poseen), no tienen un lugar permanente ni dentro ni fuera de él y, sin embargo, no tienen ningún lugar independientemente de él, así también, estos elementos no se encuentran ni dentro ni fuera </w:t>
      </w:r>
      <w:r w:rsidR="00F76684">
        <w:t xml:space="preserve">de </w:t>
      </w:r>
      <w:r>
        <w:t xml:space="preserve">uno </w:t>
      </w:r>
      <w:r w:rsidR="00785CE2">
        <w:t xml:space="preserve">ni </w:t>
      </w:r>
      <w:r>
        <w:t xml:space="preserve">del otro, </w:t>
      </w:r>
      <w:r w:rsidR="00785CE2">
        <w:t xml:space="preserve">sino que </w:t>
      </w:r>
      <w:r w:rsidR="00F76684">
        <w:t xml:space="preserve">carecen de </w:t>
      </w:r>
      <w:r>
        <w:t>un lugar independiente el uno del otro. Por lo tanto, también son grandes primarios (</w:t>
      </w:r>
      <w:proofErr w:type="spellStart"/>
      <w:r w:rsidRPr="00142770">
        <w:rPr>
          <w:i/>
          <w:iCs/>
        </w:rPr>
        <w:t>mahābhūta</w:t>
      </w:r>
      <w:proofErr w:type="spellEnd"/>
      <w:r>
        <w:t xml:space="preserve">) </w:t>
      </w:r>
      <w:r w:rsidR="00F76684">
        <w:t xml:space="preserve">por su semejanza </w:t>
      </w:r>
      <w:r>
        <w:t>a las grandes criaturas (</w:t>
      </w:r>
      <w:proofErr w:type="spellStart"/>
      <w:r w:rsidRPr="00142770">
        <w:rPr>
          <w:i/>
          <w:iCs/>
        </w:rPr>
        <w:t>mahābhūta</w:t>
      </w:r>
      <w:proofErr w:type="spellEnd"/>
      <w:r>
        <w:t xml:space="preserve">) como los espíritus </w:t>
      </w:r>
      <w:r w:rsidR="00F76684">
        <w:t xml:space="preserve">ya </w:t>
      </w:r>
      <w:r>
        <w:t xml:space="preserve">que </w:t>
      </w:r>
      <w:r w:rsidR="00F76684">
        <w:t xml:space="preserve">carecen de </w:t>
      </w:r>
      <w:r>
        <w:t xml:space="preserve">un lugar concebible </w:t>
      </w:r>
      <w:r w:rsidR="007D75D0">
        <w:t>y</w:t>
      </w:r>
      <w:r w:rsidR="00E1173A">
        <w:t xml:space="preserve"> </w:t>
      </w:r>
      <w:r w:rsidR="00217471">
        <w:t xml:space="preserve">permanente </w:t>
      </w:r>
      <w:r>
        <w:t>[entre sí].</w:t>
      </w:r>
    </w:p>
    <w:p w14:paraId="783C0F88" w14:textId="74C3BFA7" w:rsidR="002656FC" w:rsidRDefault="002656FC" w:rsidP="002656FC">
      <w:r>
        <w:t xml:space="preserve">100. </w:t>
      </w:r>
      <w:r>
        <w:tab/>
        <w:t>Y así como las grandes criaturas conocidas como espíritus femeninos (</w:t>
      </w:r>
      <w:proofErr w:type="spellStart"/>
      <w:r w:rsidRPr="00142770">
        <w:rPr>
          <w:i/>
          <w:iCs/>
        </w:rPr>
        <w:t>yakkhinī</w:t>
      </w:r>
      <w:proofErr w:type="spellEnd"/>
      <w:r>
        <w:t xml:space="preserve">) ocultan su propio temor con un color, </w:t>
      </w:r>
      <w:r w:rsidR="007D75D0">
        <w:t xml:space="preserve">y también </w:t>
      </w:r>
      <w:r>
        <w:t xml:space="preserve">forma y gesto agradables para engañar a los seres, así también, estos elementos ocultan cada uno su propia característica y función clasificada como </w:t>
      </w:r>
      <w:r w:rsidR="007D75D0">
        <w:t xml:space="preserve">la </w:t>
      </w:r>
      <w:r>
        <w:t xml:space="preserve">dureza, etc., por medio de un color agradable de la piel de los cuerpos de las mujeres y los hombres, etc., y </w:t>
      </w:r>
      <w:r w:rsidR="002135BF">
        <w:t xml:space="preserve">mediante </w:t>
      </w:r>
      <w:r>
        <w:t xml:space="preserve">formas agradables </w:t>
      </w:r>
      <w:r w:rsidR="002135BF">
        <w:t xml:space="preserve">en sus </w:t>
      </w:r>
      <w:r>
        <w:t xml:space="preserve">extremidades y gestos agradables </w:t>
      </w:r>
      <w:r w:rsidR="002135BF">
        <w:t xml:space="preserve">en </w:t>
      </w:r>
      <w:r>
        <w:t xml:space="preserve">los dedos de las manos, de los pies y las cejas, y engañan a las personas sencillas al ocultar sus propias funciones y características comenzando con la dureza y no permiten </w:t>
      </w:r>
      <w:r w:rsidR="00650EB5">
        <w:t xml:space="preserve">que </w:t>
      </w:r>
      <w:r>
        <w:t xml:space="preserve">sus esencias individuales </w:t>
      </w:r>
      <w:r w:rsidR="00650EB5">
        <w:t xml:space="preserve">sean </w:t>
      </w:r>
      <w:r>
        <w:t>vis</w:t>
      </w:r>
      <w:r w:rsidR="00650EB5">
        <w:t>ibles</w:t>
      </w:r>
      <w:r>
        <w:t>. Por lo tanto, son grandes primarios (</w:t>
      </w:r>
      <w:proofErr w:type="spellStart"/>
      <w:r w:rsidRPr="00142770">
        <w:rPr>
          <w:i/>
          <w:iCs/>
        </w:rPr>
        <w:t>mahābhūta</w:t>
      </w:r>
      <w:proofErr w:type="spellEnd"/>
      <w:r>
        <w:t xml:space="preserve">) </w:t>
      </w:r>
      <w:r w:rsidR="002135BF">
        <w:t>por su semejanza con</w:t>
      </w:r>
      <w:r>
        <w:t xml:space="preserve"> las grandes criaturas (</w:t>
      </w:r>
      <w:proofErr w:type="spellStart"/>
      <w:r w:rsidRPr="00142770">
        <w:rPr>
          <w:i/>
          <w:iCs/>
        </w:rPr>
        <w:t>mahābhūta</w:t>
      </w:r>
      <w:proofErr w:type="spellEnd"/>
      <w:r>
        <w:t xml:space="preserve">), </w:t>
      </w:r>
      <w:r w:rsidR="002135BF">
        <w:t xml:space="preserve">con </w:t>
      </w:r>
      <w:r>
        <w:t xml:space="preserve">los espíritus femeninos, ya que son </w:t>
      </w:r>
      <w:r w:rsidR="00257EF4">
        <w:t>disua</w:t>
      </w:r>
      <w:r w:rsidR="009B1C45">
        <w:t>sivos</w:t>
      </w:r>
      <w:r>
        <w:t>.</w:t>
      </w:r>
    </w:p>
    <w:p w14:paraId="332CCC11" w14:textId="07A8A0A7" w:rsidR="002656FC" w:rsidRDefault="002656FC" w:rsidP="002656FC">
      <w:r>
        <w:t xml:space="preserve">101. </w:t>
      </w:r>
      <w:r>
        <w:tab/>
        <w:t xml:space="preserve">(c) </w:t>
      </w:r>
      <w:r w:rsidR="0029739F" w:rsidRPr="0029739F">
        <w:rPr>
          <w:i/>
          <w:iCs/>
        </w:rPr>
        <w:t xml:space="preserve">Por </w:t>
      </w:r>
      <w:r w:rsidR="00BD09F6">
        <w:rPr>
          <w:i/>
          <w:iCs/>
        </w:rPr>
        <w:t>su</w:t>
      </w:r>
      <w:r w:rsidR="0029739F">
        <w:t xml:space="preserve"> </w:t>
      </w:r>
      <w:r w:rsidR="0029739F">
        <w:rPr>
          <w:i/>
          <w:iCs/>
        </w:rPr>
        <w:t>g</w:t>
      </w:r>
      <w:r w:rsidRPr="002D2D76">
        <w:rPr>
          <w:i/>
          <w:iCs/>
        </w:rPr>
        <w:t>ran mantenimiento</w:t>
      </w:r>
      <w:r>
        <w:t>: esto se debe a que tienen que ser sostenidos por los grandes requisitos. Pues estos elementos son grandes primarios (</w:t>
      </w:r>
      <w:proofErr w:type="spellStart"/>
      <w:r w:rsidRPr="00142770">
        <w:rPr>
          <w:i/>
          <w:iCs/>
        </w:rPr>
        <w:t>mahābhūta</w:t>
      </w:r>
      <w:proofErr w:type="spellEnd"/>
      <w:r>
        <w:t>) ya que se han convertido (</w:t>
      </w:r>
      <w:r w:rsidRPr="009B1C45">
        <w:rPr>
          <w:i/>
          <w:iCs/>
        </w:rPr>
        <w:t>bhūta</w:t>
      </w:r>
      <w:r>
        <w:t xml:space="preserve">), han ocurrido, por medio de la comida, </w:t>
      </w:r>
      <w:r w:rsidR="009B1C45">
        <w:t>e</w:t>
      </w:r>
      <w:r>
        <w:t>l ropa</w:t>
      </w:r>
      <w:r w:rsidR="009B1C45">
        <w:t>je</w:t>
      </w:r>
      <w:r>
        <w:t>, etc., que son grandes (</w:t>
      </w:r>
      <w:proofErr w:type="spellStart"/>
      <w:r w:rsidRPr="00142770">
        <w:rPr>
          <w:i/>
          <w:iCs/>
        </w:rPr>
        <w:t>mahant</w:t>
      </w:r>
      <w:proofErr w:type="spellEnd"/>
      <w:r>
        <w:t>) [en importancia] porque se tienen que encontrar todos los días. O alternativamente, son grandes primari</w:t>
      </w:r>
      <w:r w:rsidR="009B1C45">
        <w:t>o</w:t>
      </w:r>
      <w:r>
        <w:t>s (</w:t>
      </w:r>
      <w:proofErr w:type="spellStart"/>
      <w:r w:rsidRPr="00142770">
        <w:rPr>
          <w:i/>
          <w:iCs/>
        </w:rPr>
        <w:t>mahābhūta</w:t>
      </w:r>
      <w:proofErr w:type="spellEnd"/>
      <w:r>
        <w:t>) ya que son primari</w:t>
      </w:r>
      <w:r w:rsidR="009B1C45">
        <w:t>o</w:t>
      </w:r>
      <w:r>
        <w:t>s cuyo mantenimiento es grande.</w:t>
      </w:r>
    </w:p>
    <w:p w14:paraId="589D8529" w14:textId="6CB718AF" w:rsidR="002656FC" w:rsidRDefault="002656FC" w:rsidP="002656FC">
      <w:r>
        <w:t xml:space="preserve">102. </w:t>
      </w:r>
      <w:r>
        <w:tab/>
        <w:t xml:space="preserve">(d) </w:t>
      </w:r>
      <w:r w:rsidR="00BD09F6">
        <w:rPr>
          <w:i/>
          <w:iCs/>
        </w:rPr>
        <w:t>Por su g</w:t>
      </w:r>
      <w:r w:rsidRPr="00142770">
        <w:rPr>
          <w:i/>
          <w:iCs/>
        </w:rPr>
        <w:t>ran alteración</w:t>
      </w:r>
      <w:r>
        <w:t xml:space="preserve">: lo desprendido y lo aferrado </w:t>
      </w:r>
      <w:r w:rsidR="007E0AF5">
        <w:t>representan</w:t>
      </w:r>
      <w:r>
        <w:t xml:space="preserve"> la base de </w:t>
      </w:r>
      <w:r w:rsidR="007E0AF5">
        <w:t xml:space="preserve">las </w:t>
      </w:r>
      <w:r>
        <w:t>grandes alteraciones. Aquí, la gran alteración de lo desprendido se evidencia en el surgimiento de un eón (ver XIII.34), y la de aferrado en la perturbación de los elementos en el cuerpo. Por consiguiente:</w:t>
      </w:r>
    </w:p>
    <w:p w14:paraId="2E0A5FB2" w14:textId="77777777" w:rsidR="002656FC" w:rsidRPr="002D2D76" w:rsidRDefault="002656FC" w:rsidP="002656FC">
      <w:pPr>
        <w:pStyle w:val="VersoIngls01Sangria"/>
        <w:rPr>
          <w:sz w:val="16"/>
          <w:szCs w:val="20"/>
        </w:rPr>
      </w:pPr>
      <w:r w:rsidRPr="002D2D76">
        <w:rPr>
          <w:sz w:val="16"/>
          <w:szCs w:val="20"/>
        </w:rPr>
        <w:t>La llama de la conflagración estalla</w:t>
      </w:r>
    </w:p>
    <w:p w14:paraId="5F05F56C" w14:textId="0BBEE246" w:rsidR="002656FC" w:rsidRPr="002D2D76" w:rsidRDefault="001932C0" w:rsidP="002656FC">
      <w:pPr>
        <w:pStyle w:val="VersoIngls01Sangria"/>
        <w:rPr>
          <w:sz w:val="16"/>
          <w:szCs w:val="20"/>
        </w:rPr>
      </w:pPr>
      <w:r w:rsidRPr="002D2D76">
        <w:rPr>
          <w:sz w:val="16"/>
          <w:szCs w:val="20"/>
        </w:rPr>
        <w:t>Desde</w:t>
      </w:r>
      <w:r w:rsidR="002656FC" w:rsidRPr="002D2D76">
        <w:rPr>
          <w:sz w:val="16"/>
          <w:szCs w:val="20"/>
        </w:rPr>
        <w:t xml:space="preserve"> el suelo y </w:t>
      </w:r>
      <w:r w:rsidRPr="002D2D76">
        <w:rPr>
          <w:sz w:val="16"/>
          <w:szCs w:val="20"/>
        </w:rPr>
        <w:t xml:space="preserve">llega hasta los </w:t>
      </w:r>
      <w:r w:rsidR="002656FC" w:rsidRPr="002D2D76">
        <w:rPr>
          <w:sz w:val="16"/>
          <w:szCs w:val="20"/>
        </w:rPr>
        <w:t>más alt</w:t>
      </w:r>
      <w:r w:rsidRPr="002D2D76">
        <w:rPr>
          <w:sz w:val="16"/>
          <w:szCs w:val="20"/>
        </w:rPr>
        <w:t>o</w:t>
      </w:r>
      <w:r w:rsidR="00101893">
        <w:rPr>
          <w:sz w:val="16"/>
          <w:szCs w:val="20"/>
        </w:rPr>
        <w:t>,</w:t>
      </w:r>
    </w:p>
    <w:p w14:paraId="02A50E33" w14:textId="0A167692" w:rsidR="002656FC" w:rsidRPr="002D2D76" w:rsidRDefault="002656FC" w:rsidP="002656FC">
      <w:pPr>
        <w:pStyle w:val="VersoIngls01Sangria"/>
        <w:rPr>
          <w:sz w:val="16"/>
          <w:szCs w:val="20"/>
        </w:rPr>
      </w:pPr>
      <w:r w:rsidRPr="002D2D76">
        <w:rPr>
          <w:sz w:val="16"/>
          <w:szCs w:val="20"/>
        </w:rPr>
        <w:t xml:space="preserve">Y más alto, </w:t>
      </w:r>
      <w:r w:rsidR="007E0AF5" w:rsidRPr="002D2D76">
        <w:rPr>
          <w:sz w:val="16"/>
          <w:szCs w:val="20"/>
        </w:rPr>
        <w:t xml:space="preserve">hasta </w:t>
      </w:r>
      <w:r w:rsidR="001932C0" w:rsidRPr="002D2D76">
        <w:rPr>
          <w:sz w:val="16"/>
          <w:szCs w:val="20"/>
        </w:rPr>
        <w:t xml:space="preserve">inclusive </w:t>
      </w:r>
      <w:r w:rsidR="007E0AF5" w:rsidRPr="002D2D76">
        <w:rPr>
          <w:sz w:val="16"/>
          <w:szCs w:val="20"/>
        </w:rPr>
        <w:t>e</w:t>
      </w:r>
      <w:r w:rsidRPr="002D2D76">
        <w:rPr>
          <w:sz w:val="16"/>
          <w:szCs w:val="20"/>
        </w:rPr>
        <w:t xml:space="preserve">l cielo </w:t>
      </w:r>
      <w:r w:rsidR="00057BF4" w:rsidRPr="002D2D76">
        <w:rPr>
          <w:i/>
          <w:sz w:val="16"/>
          <w:szCs w:val="20"/>
        </w:rPr>
        <w:t>Brahmā</w:t>
      </w:r>
      <w:r w:rsidRPr="002D2D76">
        <w:rPr>
          <w:sz w:val="16"/>
          <w:szCs w:val="20"/>
        </w:rPr>
        <w:t>,</w:t>
      </w:r>
    </w:p>
    <w:p w14:paraId="111E6577" w14:textId="0B4B45FC" w:rsidR="002656FC" w:rsidRPr="002D2D76" w:rsidRDefault="002656FC" w:rsidP="002656FC">
      <w:pPr>
        <w:pStyle w:val="VersoIngls01Sangria"/>
        <w:rPr>
          <w:sz w:val="16"/>
          <w:szCs w:val="20"/>
        </w:rPr>
      </w:pPr>
      <w:r w:rsidRPr="002D2D76">
        <w:rPr>
          <w:sz w:val="16"/>
          <w:szCs w:val="20"/>
        </w:rPr>
        <w:t xml:space="preserve">Cuando el mundo </w:t>
      </w:r>
      <w:r w:rsidR="00101893">
        <w:rPr>
          <w:sz w:val="16"/>
          <w:szCs w:val="20"/>
        </w:rPr>
        <w:t xml:space="preserve">será </w:t>
      </w:r>
      <w:r w:rsidRPr="002D2D76">
        <w:rPr>
          <w:sz w:val="16"/>
          <w:szCs w:val="20"/>
        </w:rPr>
        <w:t>quemado por el fuego.</w:t>
      </w:r>
    </w:p>
    <w:p w14:paraId="7F3D3D4F" w14:textId="77777777" w:rsidR="002D2D76" w:rsidRPr="002D2D76" w:rsidRDefault="002D2D76" w:rsidP="002656FC">
      <w:pPr>
        <w:pStyle w:val="VersoIngls01Sangria"/>
        <w:rPr>
          <w:sz w:val="16"/>
          <w:szCs w:val="20"/>
        </w:rPr>
      </w:pPr>
    </w:p>
    <w:p w14:paraId="56273CC8" w14:textId="59B71329" w:rsidR="002656FC" w:rsidRPr="002D2D76" w:rsidRDefault="002656FC" w:rsidP="002656FC">
      <w:pPr>
        <w:pStyle w:val="VersoIngls01Sangria"/>
        <w:rPr>
          <w:sz w:val="16"/>
          <w:szCs w:val="20"/>
        </w:rPr>
      </w:pPr>
      <w:r w:rsidRPr="002D2D76">
        <w:rPr>
          <w:sz w:val="16"/>
          <w:szCs w:val="20"/>
        </w:rPr>
        <w:t xml:space="preserve">Todo un sistema </w:t>
      </w:r>
      <w:r w:rsidR="001932C0" w:rsidRPr="002D2D76">
        <w:rPr>
          <w:sz w:val="16"/>
          <w:szCs w:val="20"/>
        </w:rPr>
        <w:t xml:space="preserve">estelar </w:t>
      </w:r>
      <w:r w:rsidR="00AF00DD" w:rsidRPr="002D2D76">
        <w:rPr>
          <w:sz w:val="16"/>
          <w:szCs w:val="20"/>
        </w:rPr>
        <w:t xml:space="preserve">de </w:t>
      </w:r>
    </w:p>
    <w:p w14:paraId="3A539821" w14:textId="7C152F54" w:rsidR="002656FC" w:rsidRPr="002D2D76" w:rsidRDefault="002656FC" w:rsidP="002656FC">
      <w:pPr>
        <w:pStyle w:val="VersoIngls01Sangria"/>
        <w:rPr>
          <w:sz w:val="16"/>
          <w:szCs w:val="20"/>
        </w:rPr>
      </w:pPr>
      <w:r w:rsidRPr="002D2D76">
        <w:rPr>
          <w:sz w:val="16"/>
          <w:szCs w:val="20"/>
        </w:rPr>
        <w:t xml:space="preserve">Cien mil millones de </w:t>
      </w:r>
      <w:r w:rsidR="00BD09F6">
        <w:rPr>
          <w:sz w:val="16"/>
          <w:szCs w:val="20"/>
        </w:rPr>
        <w:t>longitud</w:t>
      </w:r>
    </w:p>
    <w:p w14:paraId="33FFEACD" w14:textId="32A81BD6" w:rsidR="002656FC" w:rsidRPr="002D2D76" w:rsidRDefault="002656FC" w:rsidP="002656FC">
      <w:pPr>
        <w:pStyle w:val="VersoIngls01Sangria"/>
        <w:rPr>
          <w:sz w:val="16"/>
          <w:szCs w:val="20"/>
        </w:rPr>
      </w:pPr>
      <w:r w:rsidRPr="002D2D76">
        <w:rPr>
          <w:sz w:val="16"/>
          <w:szCs w:val="20"/>
        </w:rPr>
        <w:t xml:space="preserve">Se </w:t>
      </w:r>
      <w:r w:rsidR="00AF00DD" w:rsidRPr="002D2D76">
        <w:rPr>
          <w:sz w:val="16"/>
          <w:szCs w:val="20"/>
        </w:rPr>
        <w:t>destru</w:t>
      </w:r>
      <w:r w:rsidR="00101893">
        <w:rPr>
          <w:sz w:val="16"/>
          <w:szCs w:val="20"/>
        </w:rPr>
        <w:t>irá</w:t>
      </w:r>
      <w:r w:rsidRPr="002D2D76">
        <w:rPr>
          <w:sz w:val="16"/>
          <w:szCs w:val="20"/>
        </w:rPr>
        <w:t xml:space="preserve">, </w:t>
      </w:r>
      <w:r w:rsidR="00984836" w:rsidRPr="002D2D76">
        <w:rPr>
          <w:sz w:val="16"/>
          <w:szCs w:val="20"/>
        </w:rPr>
        <w:t xml:space="preserve">así </w:t>
      </w:r>
      <w:r w:rsidRPr="002D2D76">
        <w:rPr>
          <w:sz w:val="16"/>
          <w:szCs w:val="20"/>
        </w:rPr>
        <w:t>como sus aguas furiosas</w:t>
      </w:r>
    </w:p>
    <w:p w14:paraId="7BDF98E1" w14:textId="1FD6BB80" w:rsidR="002656FC" w:rsidRPr="002D2D76" w:rsidRDefault="002656FC" w:rsidP="002656FC">
      <w:pPr>
        <w:pStyle w:val="VersoIngls01Sangria"/>
        <w:rPr>
          <w:sz w:val="16"/>
          <w:szCs w:val="20"/>
        </w:rPr>
      </w:pPr>
      <w:r w:rsidRPr="002D2D76">
        <w:rPr>
          <w:sz w:val="16"/>
          <w:szCs w:val="20"/>
        </w:rPr>
        <w:t>La inundación dis</w:t>
      </w:r>
      <w:r w:rsidR="00101893">
        <w:rPr>
          <w:sz w:val="16"/>
          <w:szCs w:val="20"/>
        </w:rPr>
        <w:t>o</w:t>
      </w:r>
      <w:r w:rsidRPr="002D2D76">
        <w:rPr>
          <w:sz w:val="16"/>
          <w:szCs w:val="20"/>
        </w:rPr>
        <w:t>lve</w:t>
      </w:r>
      <w:r w:rsidR="00101893">
        <w:rPr>
          <w:sz w:val="16"/>
          <w:szCs w:val="20"/>
        </w:rPr>
        <w:t>rá</w:t>
      </w:r>
      <w:r w:rsidRPr="002D2D76">
        <w:rPr>
          <w:sz w:val="16"/>
          <w:szCs w:val="20"/>
        </w:rPr>
        <w:t xml:space="preserve"> el mundo </w:t>
      </w:r>
      <w:r w:rsidR="00501DE3" w:rsidRPr="002D2D76">
        <w:rPr>
          <w:sz w:val="16"/>
          <w:szCs w:val="20"/>
        </w:rPr>
        <w:t>contiguo</w:t>
      </w:r>
      <w:r w:rsidRPr="002D2D76">
        <w:rPr>
          <w:sz w:val="16"/>
          <w:szCs w:val="20"/>
        </w:rPr>
        <w:t>.</w:t>
      </w:r>
    </w:p>
    <w:p w14:paraId="4BF8EAD8" w14:textId="39A5D6C9" w:rsidR="002656FC" w:rsidRPr="002656FC" w:rsidRDefault="002656FC" w:rsidP="002656FC">
      <w:pPr>
        <w:pStyle w:val="PiedepginaLegal"/>
        <w:rPr>
          <w:u w:val="single"/>
        </w:rPr>
      </w:pPr>
      <w:r w:rsidRPr="002656FC">
        <w:rPr>
          <w:u w:val="single"/>
        </w:rPr>
        <w:t xml:space="preserve">                                                                                                                                                          .</w:t>
      </w:r>
    </w:p>
    <w:p w14:paraId="27564B18" w14:textId="77777777" w:rsidR="002656FC" w:rsidRDefault="002656FC" w:rsidP="002656FC">
      <w:pPr>
        <w:pStyle w:val="PiedepginaLegal"/>
      </w:pPr>
      <w:r>
        <w:t>…</w:t>
      </w:r>
    </w:p>
    <w:p w14:paraId="4C40DDDF" w14:textId="32A0693B" w:rsidR="002656FC" w:rsidRDefault="002656FC" w:rsidP="002656FC">
      <w:pPr>
        <w:pStyle w:val="PiedepginaLegal"/>
      </w:pPr>
      <w:r>
        <w:tab/>
      </w:r>
      <w:r w:rsidR="00CF0C25">
        <w:t xml:space="preserve">de </w:t>
      </w:r>
      <w:r>
        <w:t xml:space="preserve">lo que </w:t>
      </w:r>
      <w:r w:rsidR="00CF0C25">
        <w:t>posea el</w:t>
      </w:r>
      <w:r>
        <w:t xml:space="preserve"> aspecto de mujer</w:t>
      </w:r>
      <w:r w:rsidR="00CF0C25">
        <w:t>,</w:t>
      </w:r>
      <w:r>
        <w:t xml:space="preserve"> hombre, </w:t>
      </w:r>
      <w:r w:rsidR="00CF0C25">
        <w:t>etc</w:t>
      </w:r>
      <w:r>
        <w:t xml:space="preserve">. Del mismo modo, su </w:t>
      </w:r>
      <w:proofErr w:type="spellStart"/>
      <w:r>
        <w:t>indemostrabilidad</w:t>
      </w:r>
      <w:proofErr w:type="spellEnd"/>
      <w:r>
        <w:t xml:space="preserve">, ya que no se </w:t>
      </w:r>
      <w:r w:rsidR="00CF0C25">
        <w:t>encontrarán</w:t>
      </w:r>
      <w:r>
        <w:t xml:space="preserve"> dentro o fuera del otro, aunque se </w:t>
      </w:r>
      <w:r w:rsidR="00CF0C25">
        <w:t xml:space="preserve">soporten </w:t>
      </w:r>
      <w:r>
        <w:t xml:space="preserve">mutuamente. </w:t>
      </w:r>
      <w:r w:rsidR="00CF0C25">
        <w:t xml:space="preserve">Ya </w:t>
      </w:r>
      <w:r>
        <w:t xml:space="preserve">que si estos elementos se encontraran uno dentro de otro, cada uno de ellos no realizaría sus funciones particulares, debido a la frustración mutua. Y si se encontraran fuera uno del otro, ya estarían resueltos (separados), y siendo así, cualquier descripción de ellos como no resueltos (inseparables) carecería de sentido. Entonces, aunque su lugar de posición </w:t>
      </w:r>
      <w:r w:rsidR="003235C5">
        <w:t>sea</w:t>
      </w:r>
      <w:r>
        <w:t xml:space="preserve"> indemostrable, cada uno ayuda</w:t>
      </w:r>
      <w:r w:rsidR="003235C5">
        <w:t>rá</w:t>
      </w:r>
      <w:r>
        <w:t xml:space="preserve"> al otro en su función particular</w:t>
      </w:r>
      <w:r w:rsidR="00B73F98">
        <w:t xml:space="preserve"> –</w:t>
      </w:r>
      <w:r>
        <w:t xml:space="preserve"> </w:t>
      </w:r>
      <w:r w:rsidR="00B133F8">
        <w:t xml:space="preserve">a </w:t>
      </w:r>
      <w:r>
        <w:t xml:space="preserve">las funciones de establecimiento, etc., </w:t>
      </w:r>
      <w:r w:rsidR="00B73F98">
        <w:t xml:space="preserve">mediante las cuales </w:t>
      </w:r>
      <w:r>
        <w:t>cada uno se convert</w:t>
      </w:r>
      <w:r w:rsidR="00B73F98">
        <w:t>irá</w:t>
      </w:r>
      <w:r>
        <w:t xml:space="preserve"> en una condición para l</w:t>
      </w:r>
      <w:r w:rsidR="00402F95">
        <w:t>a</w:t>
      </w:r>
      <w:r>
        <w:t>s demás como con</w:t>
      </w:r>
      <w:r w:rsidR="00B73F98">
        <w:t>s</w:t>
      </w:r>
      <w:r>
        <w:t>ciencia</w:t>
      </w:r>
      <w:r w:rsidR="00402F95">
        <w:t>s</w:t>
      </w:r>
      <w:r w:rsidR="00C14C69">
        <w:t xml:space="preserve"> coetáneas</w:t>
      </w:r>
      <w:r>
        <w:t>, etc.”</w:t>
      </w:r>
      <w:r w:rsidR="00142770">
        <w:t xml:space="preserve"> </w:t>
      </w:r>
      <w:r>
        <w:t>(</w:t>
      </w:r>
      <w:proofErr w:type="spellStart"/>
      <w:r>
        <w:t>Vism-mhṭ</w:t>
      </w:r>
      <w:proofErr w:type="spellEnd"/>
      <w:r>
        <w:t xml:space="preserve"> 363).</w:t>
      </w:r>
    </w:p>
    <w:p w14:paraId="072DC59C" w14:textId="77777777" w:rsidR="002656FC" w:rsidRDefault="002656FC">
      <w:pPr>
        <w:tabs>
          <w:tab w:val="clear" w:pos="425"/>
        </w:tabs>
        <w:spacing w:after="160"/>
      </w:pPr>
      <w:r>
        <w:br w:type="page"/>
      </w:r>
    </w:p>
    <w:p w14:paraId="1E4D8452" w14:textId="6B638C1E" w:rsidR="004F23CA" w:rsidRPr="002D2D76" w:rsidRDefault="004F23CA" w:rsidP="004F23CA">
      <w:pPr>
        <w:pStyle w:val="VersoIngls01Sangria"/>
        <w:rPr>
          <w:sz w:val="16"/>
          <w:szCs w:val="20"/>
        </w:rPr>
      </w:pPr>
      <w:r w:rsidRPr="002D2D76">
        <w:rPr>
          <w:sz w:val="16"/>
          <w:szCs w:val="20"/>
        </w:rPr>
        <w:lastRenderedPageBreak/>
        <w:t>Cien mil millones de leguas,</w:t>
      </w:r>
    </w:p>
    <w:p w14:paraId="1EDA0BB8" w14:textId="7EC959E0" w:rsidR="004F23CA" w:rsidRPr="002D2D76" w:rsidRDefault="004F23CA" w:rsidP="004F23CA">
      <w:pPr>
        <w:pStyle w:val="VersoIngls01Sangria"/>
        <w:rPr>
          <w:sz w:val="16"/>
          <w:szCs w:val="20"/>
        </w:rPr>
      </w:pPr>
      <w:r w:rsidRPr="002D2D76">
        <w:rPr>
          <w:sz w:val="16"/>
          <w:szCs w:val="20"/>
        </w:rPr>
        <w:t xml:space="preserve">La amplia extensión de todo un sistema </w:t>
      </w:r>
      <w:r w:rsidR="00501DE3" w:rsidRPr="002D2D76">
        <w:rPr>
          <w:sz w:val="16"/>
          <w:szCs w:val="20"/>
        </w:rPr>
        <w:t>estelar</w:t>
      </w:r>
    </w:p>
    <w:p w14:paraId="2E0041B9" w14:textId="03C87318" w:rsidR="004F23CA" w:rsidRPr="002D2D76" w:rsidRDefault="00101893" w:rsidP="004F23CA">
      <w:pPr>
        <w:pStyle w:val="VersoIngls01Sangria"/>
        <w:rPr>
          <w:sz w:val="16"/>
          <w:szCs w:val="20"/>
        </w:rPr>
      </w:pPr>
      <w:r>
        <w:rPr>
          <w:sz w:val="16"/>
          <w:szCs w:val="20"/>
        </w:rPr>
        <w:t xml:space="preserve">Será </w:t>
      </w:r>
      <w:r w:rsidR="004F23CA" w:rsidRPr="002D2D76">
        <w:rPr>
          <w:sz w:val="16"/>
          <w:szCs w:val="20"/>
        </w:rPr>
        <w:t>desgarrado y dispers</w:t>
      </w:r>
      <w:r w:rsidR="00DE656C">
        <w:rPr>
          <w:sz w:val="16"/>
          <w:szCs w:val="20"/>
        </w:rPr>
        <w:t>ado</w:t>
      </w:r>
      <w:r w:rsidR="004F23CA" w:rsidRPr="002D2D76">
        <w:rPr>
          <w:sz w:val="16"/>
          <w:szCs w:val="20"/>
        </w:rPr>
        <w:t>, cuando el mundo</w:t>
      </w:r>
    </w:p>
    <w:p w14:paraId="5AE632AB" w14:textId="2006BA84" w:rsidR="004F23CA" w:rsidRPr="002D2D76" w:rsidRDefault="004F23CA" w:rsidP="004F23CA">
      <w:pPr>
        <w:pStyle w:val="VersoIngls01Sangria"/>
        <w:spacing w:after="100"/>
        <w:ind w:left="1418"/>
        <w:rPr>
          <w:sz w:val="16"/>
          <w:szCs w:val="20"/>
        </w:rPr>
      </w:pPr>
      <w:r w:rsidRPr="002D2D76">
        <w:rPr>
          <w:sz w:val="16"/>
          <w:szCs w:val="20"/>
        </w:rPr>
        <w:t>Sucumb</w:t>
      </w:r>
      <w:r w:rsidR="00101893">
        <w:rPr>
          <w:sz w:val="16"/>
          <w:szCs w:val="20"/>
        </w:rPr>
        <w:t>a</w:t>
      </w:r>
      <w:r w:rsidRPr="002D2D76">
        <w:rPr>
          <w:sz w:val="16"/>
          <w:szCs w:val="20"/>
        </w:rPr>
        <w:t xml:space="preserve"> al elemento aire.</w:t>
      </w:r>
    </w:p>
    <w:p w14:paraId="4C32A981" w14:textId="3CDB2E95" w:rsidR="004F23CA" w:rsidRPr="002D2D76" w:rsidRDefault="00EB375F" w:rsidP="004F23CA">
      <w:pPr>
        <w:pStyle w:val="VersoIngls01Sangria"/>
        <w:rPr>
          <w:sz w:val="16"/>
          <w:szCs w:val="20"/>
        </w:rPr>
      </w:pPr>
      <w:r>
        <w:rPr>
          <w:sz w:val="16"/>
          <w:szCs w:val="20"/>
        </w:rPr>
        <w:t>La mordida</w:t>
      </w:r>
      <w:r w:rsidR="004F23CA" w:rsidRPr="002D2D76">
        <w:rPr>
          <w:sz w:val="16"/>
          <w:szCs w:val="20"/>
        </w:rPr>
        <w:t xml:space="preserve"> de las bocas de madera </w:t>
      </w:r>
      <w:r w:rsidR="00101893">
        <w:rPr>
          <w:sz w:val="16"/>
          <w:szCs w:val="20"/>
        </w:rPr>
        <w:t>podría</w:t>
      </w:r>
      <w:r w:rsidR="004F23CA" w:rsidRPr="002D2D76">
        <w:rPr>
          <w:sz w:val="16"/>
          <w:szCs w:val="20"/>
        </w:rPr>
        <w:t xml:space="preserve"> hacer</w:t>
      </w:r>
    </w:p>
    <w:p w14:paraId="4E9D9C78" w14:textId="35A01A27" w:rsidR="004F23CA" w:rsidRPr="002D2D76" w:rsidRDefault="004F23CA" w:rsidP="004F23CA">
      <w:pPr>
        <w:pStyle w:val="VersoIngls01Sangria"/>
        <w:rPr>
          <w:sz w:val="16"/>
          <w:szCs w:val="20"/>
        </w:rPr>
      </w:pPr>
      <w:r w:rsidRPr="002D2D76">
        <w:rPr>
          <w:sz w:val="16"/>
          <w:szCs w:val="20"/>
        </w:rPr>
        <w:t xml:space="preserve">El cuerpo rígido; </w:t>
      </w:r>
      <w:r w:rsidR="00AC2969" w:rsidRPr="002D2D76">
        <w:rPr>
          <w:sz w:val="16"/>
          <w:szCs w:val="20"/>
        </w:rPr>
        <w:t>e</w:t>
      </w:r>
      <w:r w:rsidRPr="002D2D76">
        <w:rPr>
          <w:sz w:val="16"/>
          <w:szCs w:val="20"/>
        </w:rPr>
        <w:t xml:space="preserve">n toda </w:t>
      </w:r>
      <w:r w:rsidR="00AC2969" w:rsidRPr="002D2D76">
        <w:rPr>
          <w:sz w:val="16"/>
          <w:szCs w:val="20"/>
        </w:rPr>
        <w:t>su extensión</w:t>
      </w:r>
      <w:r w:rsidRPr="002D2D76">
        <w:rPr>
          <w:sz w:val="16"/>
          <w:szCs w:val="20"/>
        </w:rPr>
        <w:t>,</w:t>
      </w:r>
    </w:p>
    <w:p w14:paraId="0F8882EF" w14:textId="2D6F47FC" w:rsidR="004F23CA" w:rsidRPr="002D2D76" w:rsidRDefault="004F23CA" w:rsidP="004F23CA">
      <w:pPr>
        <w:pStyle w:val="VersoIngls01Sangria"/>
        <w:rPr>
          <w:sz w:val="16"/>
          <w:szCs w:val="20"/>
        </w:rPr>
      </w:pPr>
      <w:r w:rsidRPr="002D2D76">
        <w:rPr>
          <w:sz w:val="16"/>
          <w:szCs w:val="20"/>
        </w:rPr>
        <w:t xml:space="preserve">Cuando </w:t>
      </w:r>
      <w:r w:rsidR="007B1FC2">
        <w:rPr>
          <w:sz w:val="16"/>
          <w:szCs w:val="20"/>
        </w:rPr>
        <w:t>surgid</w:t>
      </w:r>
      <w:r w:rsidR="00101893">
        <w:rPr>
          <w:sz w:val="16"/>
          <w:szCs w:val="20"/>
        </w:rPr>
        <w:t>o</w:t>
      </w:r>
      <w:r w:rsidR="007B1FC2">
        <w:rPr>
          <w:sz w:val="16"/>
          <w:szCs w:val="20"/>
        </w:rPr>
        <w:t xml:space="preserve"> sea</w:t>
      </w:r>
      <w:r w:rsidRPr="002D2D76">
        <w:rPr>
          <w:sz w:val="16"/>
          <w:szCs w:val="20"/>
        </w:rPr>
        <w:t xml:space="preserve"> su elemento tierra,</w:t>
      </w:r>
    </w:p>
    <w:p w14:paraId="0313CE6A" w14:textId="0E147B07" w:rsidR="004F23CA" w:rsidRPr="002D2D76" w:rsidRDefault="004F23CA" w:rsidP="004F23CA">
      <w:pPr>
        <w:pStyle w:val="VersoIngls01Sangria"/>
        <w:spacing w:after="100"/>
        <w:ind w:left="1418"/>
        <w:rPr>
          <w:sz w:val="16"/>
          <w:szCs w:val="20"/>
        </w:rPr>
      </w:pPr>
      <w:r w:rsidRPr="002D2D76">
        <w:rPr>
          <w:sz w:val="16"/>
          <w:szCs w:val="20"/>
        </w:rPr>
        <w:t xml:space="preserve">Podría ser </w:t>
      </w:r>
      <w:r w:rsidR="00AB6039">
        <w:rPr>
          <w:sz w:val="16"/>
          <w:szCs w:val="20"/>
        </w:rPr>
        <w:t>mordido</w:t>
      </w:r>
      <w:r w:rsidRPr="002D2D76">
        <w:rPr>
          <w:sz w:val="16"/>
          <w:szCs w:val="20"/>
        </w:rPr>
        <w:t xml:space="preserve"> por una serpiente así.</w:t>
      </w:r>
    </w:p>
    <w:p w14:paraId="29E265D7" w14:textId="183B0A1E" w:rsidR="004F23CA" w:rsidRPr="002D2D76" w:rsidRDefault="00FD32C2" w:rsidP="004F23CA">
      <w:pPr>
        <w:pStyle w:val="VersoIngls01Sangria"/>
        <w:rPr>
          <w:sz w:val="16"/>
          <w:szCs w:val="20"/>
        </w:rPr>
      </w:pPr>
      <w:r>
        <w:rPr>
          <w:sz w:val="16"/>
          <w:szCs w:val="20"/>
        </w:rPr>
        <w:t>La mordida</w:t>
      </w:r>
      <w:r w:rsidRPr="002D2D76">
        <w:rPr>
          <w:sz w:val="16"/>
          <w:szCs w:val="20"/>
        </w:rPr>
        <w:t xml:space="preserve"> </w:t>
      </w:r>
      <w:r w:rsidR="004F23CA" w:rsidRPr="002D2D76">
        <w:rPr>
          <w:sz w:val="16"/>
          <w:szCs w:val="20"/>
        </w:rPr>
        <w:t xml:space="preserve">de las bocas podridas </w:t>
      </w:r>
      <w:r w:rsidR="00101893">
        <w:rPr>
          <w:sz w:val="16"/>
          <w:szCs w:val="20"/>
        </w:rPr>
        <w:t>podría</w:t>
      </w:r>
      <w:r w:rsidR="00101893" w:rsidRPr="002D2D76">
        <w:rPr>
          <w:sz w:val="16"/>
          <w:szCs w:val="20"/>
        </w:rPr>
        <w:t xml:space="preserve"> </w:t>
      </w:r>
      <w:r w:rsidR="004F23CA" w:rsidRPr="002D2D76">
        <w:rPr>
          <w:sz w:val="16"/>
          <w:szCs w:val="20"/>
        </w:rPr>
        <w:t>hacer</w:t>
      </w:r>
      <w:r w:rsidR="00501DE3" w:rsidRPr="002D2D76">
        <w:rPr>
          <w:sz w:val="16"/>
          <w:szCs w:val="20"/>
        </w:rPr>
        <w:t xml:space="preserve"> que</w:t>
      </w:r>
    </w:p>
    <w:p w14:paraId="6D69BED3" w14:textId="65EDCA42" w:rsidR="004F23CA" w:rsidRPr="002D2D76" w:rsidRDefault="004F23CA" w:rsidP="004F23CA">
      <w:pPr>
        <w:pStyle w:val="VersoIngls01Sangria"/>
        <w:rPr>
          <w:sz w:val="16"/>
          <w:szCs w:val="20"/>
        </w:rPr>
      </w:pPr>
      <w:r w:rsidRPr="002D2D76">
        <w:rPr>
          <w:sz w:val="16"/>
          <w:szCs w:val="20"/>
        </w:rPr>
        <w:t>El cuerpo se pudr</w:t>
      </w:r>
      <w:r w:rsidR="00501DE3" w:rsidRPr="002D2D76">
        <w:rPr>
          <w:sz w:val="16"/>
          <w:szCs w:val="20"/>
        </w:rPr>
        <w:t>a</w:t>
      </w:r>
      <w:r w:rsidRPr="002D2D76">
        <w:rPr>
          <w:sz w:val="16"/>
          <w:szCs w:val="20"/>
        </w:rPr>
        <w:t xml:space="preserve">; </w:t>
      </w:r>
      <w:r w:rsidR="00AC2969" w:rsidRPr="002D2D76">
        <w:rPr>
          <w:sz w:val="16"/>
          <w:szCs w:val="20"/>
        </w:rPr>
        <w:t xml:space="preserve">en </w:t>
      </w:r>
      <w:r w:rsidRPr="002D2D76">
        <w:rPr>
          <w:sz w:val="16"/>
          <w:szCs w:val="20"/>
        </w:rPr>
        <w:t xml:space="preserve">toda </w:t>
      </w:r>
      <w:r w:rsidR="00AC2969" w:rsidRPr="002D2D76">
        <w:rPr>
          <w:sz w:val="16"/>
          <w:szCs w:val="20"/>
        </w:rPr>
        <w:t>su extensión</w:t>
      </w:r>
      <w:r w:rsidRPr="002D2D76">
        <w:rPr>
          <w:sz w:val="16"/>
          <w:szCs w:val="20"/>
        </w:rPr>
        <w:t>,</w:t>
      </w:r>
    </w:p>
    <w:p w14:paraId="0CCA8DB5" w14:textId="4674C37E" w:rsidR="004F23CA" w:rsidRPr="002D2D76" w:rsidRDefault="004F23CA" w:rsidP="004F23CA">
      <w:pPr>
        <w:pStyle w:val="VersoIngls01Sangria"/>
        <w:rPr>
          <w:sz w:val="16"/>
          <w:szCs w:val="20"/>
        </w:rPr>
      </w:pPr>
      <w:r w:rsidRPr="002D2D76">
        <w:rPr>
          <w:sz w:val="16"/>
          <w:szCs w:val="20"/>
        </w:rPr>
        <w:t xml:space="preserve">Cuando </w:t>
      </w:r>
      <w:r w:rsidR="0016558A">
        <w:rPr>
          <w:sz w:val="16"/>
          <w:szCs w:val="20"/>
        </w:rPr>
        <w:t>surgido sea</w:t>
      </w:r>
      <w:r w:rsidR="0016558A" w:rsidRPr="002D2D76">
        <w:rPr>
          <w:sz w:val="16"/>
          <w:szCs w:val="20"/>
        </w:rPr>
        <w:t xml:space="preserve"> </w:t>
      </w:r>
      <w:r w:rsidRPr="002D2D76">
        <w:rPr>
          <w:sz w:val="16"/>
          <w:szCs w:val="20"/>
        </w:rPr>
        <w:t>su elemento agua,</w:t>
      </w:r>
    </w:p>
    <w:p w14:paraId="51AAFF57" w14:textId="2515A4B6" w:rsidR="004F23CA" w:rsidRPr="002D2D76" w:rsidRDefault="004F23CA" w:rsidP="004F23CA">
      <w:pPr>
        <w:pStyle w:val="VersoIngls01Sangria"/>
        <w:spacing w:after="100"/>
        <w:ind w:left="1418"/>
        <w:rPr>
          <w:sz w:val="16"/>
          <w:szCs w:val="20"/>
        </w:rPr>
      </w:pPr>
      <w:r w:rsidRPr="002D2D76">
        <w:rPr>
          <w:sz w:val="16"/>
          <w:szCs w:val="20"/>
        </w:rPr>
        <w:t xml:space="preserve">Podría ser </w:t>
      </w:r>
      <w:r w:rsidR="00AB6039">
        <w:rPr>
          <w:sz w:val="16"/>
          <w:szCs w:val="20"/>
        </w:rPr>
        <w:t>mordido</w:t>
      </w:r>
      <w:r w:rsidR="00AB6039" w:rsidRPr="002D2D76">
        <w:rPr>
          <w:sz w:val="16"/>
          <w:szCs w:val="20"/>
        </w:rPr>
        <w:t xml:space="preserve"> </w:t>
      </w:r>
      <w:r w:rsidRPr="002D2D76">
        <w:rPr>
          <w:sz w:val="16"/>
          <w:szCs w:val="20"/>
        </w:rPr>
        <w:t>por una serpiente así. [368]</w:t>
      </w:r>
    </w:p>
    <w:p w14:paraId="28129B5A" w14:textId="195F7DD4" w:rsidR="004F23CA" w:rsidRPr="002D2D76" w:rsidRDefault="00890CEE" w:rsidP="004F23CA">
      <w:pPr>
        <w:pStyle w:val="VersoIngls01Sangria"/>
        <w:rPr>
          <w:sz w:val="16"/>
          <w:szCs w:val="20"/>
        </w:rPr>
      </w:pPr>
      <w:r>
        <w:rPr>
          <w:sz w:val="16"/>
          <w:szCs w:val="20"/>
        </w:rPr>
        <w:t>La mordida</w:t>
      </w:r>
      <w:r w:rsidRPr="002D2D76">
        <w:rPr>
          <w:sz w:val="16"/>
          <w:szCs w:val="20"/>
        </w:rPr>
        <w:t xml:space="preserve"> </w:t>
      </w:r>
      <w:r w:rsidR="004F23CA" w:rsidRPr="002D2D76">
        <w:rPr>
          <w:sz w:val="16"/>
          <w:szCs w:val="20"/>
        </w:rPr>
        <w:t>de las bocas de</w:t>
      </w:r>
      <w:r w:rsidR="00101893">
        <w:rPr>
          <w:sz w:val="16"/>
          <w:szCs w:val="20"/>
        </w:rPr>
        <w:t>l</w:t>
      </w:r>
      <w:r w:rsidR="004F23CA" w:rsidRPr="002D2D76">
        <w:rPr>
          <w:sz w:val="16"/>
          <w:szCs w:val="20"/>
        </w:rPr>
        <w:t xml:space="preserve"> fuego </w:t>
      </w:r>
      <w:r w:rsidR="00101893">
        <w:rPr>
          <w:sz w:val="16"/>
          <w:szCs w:val="20"/>
        </w:rPr>
        <w:t>podría</w:t>
      </w:r>
      <w:r w:rsidR="00101893" w:rsidRPr="002D2D76">
        <w:rPr>
          <w:sz w:val="16"/>
          <w:szCs w:val="20"/>
        </w:rPr>
        <w:t xml:space="preserve"> </w:t>
      </w:r>
      <w:r w:rsidR="004F23CA" w:rsidRPr="002D2D76">
        <w:rPr>
          <w:sz w:val="16"/>
          <w:szCs w:val="20"/>
        </w:rPr>
        <w:t>hacer</w:t>
      </w:r>
      <w:r w:rsidR="00AC2969" w:rsidRPr="002D2D76">
        <w:rPr>
          <w:sz w:val="16"/>
          <w:szCs w:val="20"/>
        </w:rPr>
        <w:t xml:space="preserve"> que</w:t>
      </w:r>
    </w:p>
    <w:p w14:paraId="6CDE9100" w14:textId="4F82212D" w:rsidR="004F23CA" w:rsidRPr="002D2D76" w:rsidRDefault="004F23CA" w:rsidP="004F23CA">
      <w:pPr>
        <w:pStyle w:val="VersoIngls01Sangria"/>
        <w:rPr>
          <w:sz w:val="16"/>
          <w:szCs w:val="20"/>
        </w:rPr>
      </w:pPr>
      <w:r w:rsidRPr="002D2D76">
        <w:rPr>
          <w:sz w:val="16"/>
          <w:szCs w:val="20"/>
        </w:rPr>
        <w:t>El cuerpo ard</w:t>
      </w:r>
      <w:r w:rsidR="00AC2969" w:rsidRPr="002D2D76">
        <w:rPr>
          <w:sz w:val="16"/>
          <w:szCs w:val="20"/>
        </w:rPr>
        <w:t>a</w:t>
      </w:r>
      <w:r w:rsidRPr="002D2D76">
        <w:rPr>
          <w:sz w:val="16"/>
          <w:szCs w:val="20"/>
        </w:rPr>
        <w:t xml:space="preserve">; </w:t>
      </w:r>
      <w:r w:rsidR="00AC2969" w:rsidRPr="002D2D76">
        <w:rPr>
          <w:sz w:val="16"/>
          <w:szCs w:val="20"/>
        </w:rPr>
        <w:t xml:space="preserve">en </w:t>
      </w:r>
      <w:r w:rsidRPr="002D2D76">
        <w:rPr>
          <w:sz w:val="16"/>
          <w:szCs w:val="20"/>
        </w:rPr>
        <w:t xml:space="preserve">toda </w:t>
      </w:r>
      <w:r w:rsidR="00AC2969" w:rsidRPr="002D2D76">
        <w:rPr>
          <w:sz w:val="16"/>
          <w:szCs w:val="20"/>
        </w:rPr>
        <w:t>su extensión</w:t>
      </w:r>
      <w:r w:rsidRPr="002D2D76">
        <w:rPr>
          <w:sz w:val="16"/>
          <w:szCs w:val="20"/>
        </w:rPr>
        <w:t>,</w:t>
      </w:r>
    </w:p>
    <w:p w14:paraId="316DADE1" w14:textId="1AF55E8A" w:rsidR="004F23CA" w:rsidRPr="002D2D76" w:rsidRDefault="004F23CA" w:rsidP="004F23CA">
      <w:pPr>
        <w:pStyle w:val="VersoIngls01Sangria"/>
        <w:rPr>
          <w:sz w:val="16"/>
          <w:szCs w:val="20"/>
        </w:rPr>
      </w:pPr>
      <w:r w:rsidRPr="002D2D76">
        <w:rPr>
          <w:sz w:val="16"/>
          <w:szCs w:val="20"/>
        </w:rPr>
        <w:t xml:space="preserve">Cuando </w:t>
      </w:r>
      <w:r w:rsidR="00AB6039">
        <w:rPr>
          <w:sz w:val="16"/>
          <w:szCs w:val="20"/>
        </w:rPr>
        <w:t>surgido sea</w:t>
      </w:r>
      <w:r w:rsidR="00AB6039" w:rsidRPr="002D2D76">
        <w:rPr>
          <w:sz w:val="16"/>
          <w:szCs w:val="20"/>
        </w:rPr>
        <w:t xml:space="preserve"> </w:t>
      </w:r>
      <w:r w:rsidRPr="002D2D76">
        <w:rPr>
          <w:sz w:val="16"/>
          <w:szCs w:val="20"/>
        </w:rPr>
        <w:t>su elemento fuego,</w:t>
      </w:r>
    </w:p>
    <w:p w14:paraId="57B45466" w14:textId="09826333" w:rsidR="004F23CA" w:rsidRPr="002D2D76" w:rsidRDefault="004F23CA" w:rsidP="004F23CA">
      <w:pPr>
        <w:pStyle w:val="VersoIngls01Sangria"/>
        <w:spacing w:after="100"/>
        <w:ind w:left="1418"/>
        <w:rPr>
          <w:sz w:val="16"/>
          <w:szCs w:val="20"/>
        </w:rPr>
      </w:pPr>
      <w:r w:rsidRPr="002D2D76">
        <w:rPr>
          <w:sz w:val="16"/>
          <w:szCs w:val="20"/>
        </w:rPr>
        <w:t xml:space="preserve">Podría ser </w:t>
      </w:r>
      <w:r w:rsidR="00AB6039">
        <w:rPr>
          <w:sz w:val="16"/>
          <w:szCs w:val="20"/>
        </w:rPr>
        <w:t>mordido</w:t>
      </w:r>
      <w:r w:rsidR="00AB6039" w:rsidRPr="002D2D76">
        <w:rPr>
          <w:sz w:val="16"/>
          <w:szCs w:val="20"/>
        </w:rPr>
        <w:t xml:space="preserve"> </w:t>
      </w:r>
      <w:r w:rsidRPr="002D2D76">
        <w:rPr>
          <w:sz w:val="16"/>
          <w:szCs w:val="20"/>
        </w:rPr>
        <w:t>por una serpiente así.</w:t>
      </w:r>
    </w:p>
    <w:p w14:paraId="3C16A7B8" w14:textId="1B648E78" w:rsidR="004F23CA" w:rsidRPr="002D2D76" w:rsidRDefault="00890CEE" w:rsidP="004F23CA">
      <w:pPr>
        <w:pStyle w:val="VersoIngls01Sangria"/>
        <w:rPr>
          <w:sz w:val="16"/>
          <w:szCs w:val="20"/>
        </w:rPr>
      </w:pPr>
      <w:r>
        <w:rPr>
          <w:sz w:val="16"/>
          <w:szCs w:val="20"/>
        </w:rPr>
        <w:t>La mordida</w:t>
      </w:r>
      <w:r w:rsidRPr="002D2D76">
        <w:rPr>
          <w:sz w:val="16"/>
          <w:szCs w:val="20"/>
        </w:rPr>
        <w:t xml:space="preserve"> </w:t>
      </w:r>
      <w:r w:rsidR="004F23CA" w:rsidRPr="002D2D76">
        <w:rPr>
          <w:sz w:val="16"/>
          <w:szCs w:val="20"/>
        </w:rPr>
        <w:t xml:space="preserve">de las bocas de </w:t>
      </w:r>
      <w:r w:rsidR="00101893">
        <w:rPr>
          <w:sz w:val="16"/>
          <w:szCs w:val="20"/>
        </w:rPr>
        <w:t xml:space="preserve">la </w:t>
      </w:r>
      <w:r w:rsidR="004F23CA" w:rsidRPr="002D2D76">
        <w:rPr>
          <w:sz w:val="16"/>
          <w:szCs w:val="20"/>
        </w:rPr>
        <w:t xml:space="preserve">daga </w:t>
      </w:r>
      <w:r w:rsidR="00101893">
        <w:rPr>
          <w:sz w:val="16"/>
          <w:szCs w:val="20"/>
        </w:rPr>
        <w:t>podría</w:t>
      </w:r>
      <w:r w:rsidR="00101893" w:rsidRPr="002D2D76">
        <w:rPr>
          <w:sz w:val="16"/>
          <w:szCs w:val="20"/>
        </w:rPr>
        <w:t xml:space="preserve"> </w:t>
      </w:r>
      <w:r w:rsidR="004F23CA" w:rsidRPr="002D2D76">
        <w:rPr>
          <w:sz w:val="16"/>
          <w:szCs w:val="20"/>
        </w:rPr>
        <w:t>hacer</w:t>
      </w:r>
      <w:r w:rsidR="005C1ED6" w:rsidRPr="002D2D76">
        <w:rPr>
          <w:sz w:val="16"/>
          <w:szCs w:val="20"/>
        </w:rPr>
        <w:t xml:space="preserve"> que</w:t>
      </w:r>
    </w:p>
    <w:p w14:paraId="77D25497" w14:textId="77777777" w:rsidR="005C1ED6" w:rsidRPr="002D2D76" w:rsidRDefault="004F23CA" w:rsidP="005C1ED6">
      <w:pPr>
        <w:pStyle w:val="VersoIngls01Sangria"/>
        <w:rPr>
          <w:sz w:val="16"/>
          <w:szCs w:val="20"/>
        </w:rPr>
      </w:pPr>
      <w:r w:rsidRPr="002D2D76">
        <w:rPr>
          <w:sz w:val="16"/>
          <w:szCs w:val="20"/>
        </w:rPr>
        <w:t>El cuerpo estall</w:t>
      </w:r>
      <w:r w:rsidR="005C1ED6" w:rsidRPr="002D2D76">
        <w:rPr>
          <w:sz w:val="16"/>
          <w:szCs w:val="20"/>
        </w:rPr>
        <w:t>e</w:t>
      </w:r>
      <w:r w:rsidRPr="002D2D76">
        <w:rPr>
          <w:sz w:val="16"/>
          <w:szCs w:val="20"/>
        </w:rPr>
        <w:t xml:space="preserve">; </w:t>
      </w:r>
      <w:r w:rsidR="005C1ED6" w:rsidRPr="002D2D76">
        <w:rPr>
          <w:sz w:val="16"/>
          <w:szCs w:val="20"/>
        </w:rPr>
        <w:t>en toda su extensión,</w:t>
      </w:r>
    </w:p>
    <w:p w14:paraId="77B63478" w14:textId="3F803142" w:rsidR="004F23CA" w:rsidRPr="002D2D76" w:rsidRDefault="004F23CA" w:rsidP="004F23CA">
      <w:pPr>
        <w:pStyle w:val="VersoIngls01Sangria"/>
        <w:rPr>
          <w:sz w:val="16"/>
          <w:szCs w:val="20"/>
        </w:rPr>
      </w:pPr>
      <w:r w:rsidRPr="002D2D76">
        <w:rPr>
          <w:sz w:val="16"/>
          <w:szCs w:val="20"/>
        </w:rPr>
        <w:t xml:space="preserve">Cuando </w:t>
      </w:r>
      <w:r w:rsidR="00AB6039">
        <w:rPr>
          <w:sz w:val="16"/>
          <w:szCs w:val="20"/>
        </w:rPr>
        <w:t>surgido sea</w:t>
      </w:r>
      <w:r w:rsidR="00AB6039" w:rsidRPr="002D2D76">
        <w:rPr>
          <w:sz w:val="16"/>
          <w:szCs w:val="20"/>
        </w:rPr>
        <w:t xml:space="preserve"> </w:t>
      </w:r>
      <w:r w:rsidRPr="002D2D76">
        <w:rPr>
          <w:sz w:val="16"/>
          <w:szCs w:val="20"/>
        </w:rPr>
        <w:t>su elemento aire,</w:t>
      </w:r>
    </w:p>
    <w:p w14:paraId="2407D84E" w14:textId="741A4976" w:rsidR="004F23CA" w:rsidRPr="002D2D76" w:rsidRDefault="004F23CA" w:rsidP="004F23CA">
      <w:pPr>
        <w:pStyle w:val="VersoIngls01Sangria"/>
        <w:spacing w:after="100"/>
        <w:ind w:left="1418"/>
        <w:rPr>
          <w:sz w:val="16"/>
          <w:szCs w:val="20"/>
        </w:rPr>
      </w:pPr>
      <w:r w:rsidRPr="002D2D76">
        <w:rPr>
          <w:sz w:val="16"/>
          <w:szCs w:val="20"/>
        </w:rPr>
        <w:t xml:space="preserve">Podría ser </w:t>
      </w:r>
      <w:r w:rsidR="00AB6039">
        <w:rPr>
          <w:sz w:val="16"/>
          <w:szCs w:val="20"/>
        </w:rPr>
        <w:t>mordido</w:t>
      </w:r>
      <w:r w:rsidR="00AB6039" w:rsidRPr="002D2D76">
        <w:rPr>
          <w:sz w:val="16"/>
          <w:szCs w:val="20"/>
        </w:rPr>
        <w:t xml:space="preserve"> </w:t>
      </w:r>
      <w:r w:rsidRPr="002D2D76">
        <w:rPr>
          <w:sz w:val="16"/>
          <w:szCs w:val="20"/>
        </w:rPr>
        <w:t>por una serpiente así.</w:t>
      </w:r>
    </w:p>
    <w:p w14:paraId="5C01F3CA" w14:textId="09D79EDE" w:rsidR="004F23CA" w:rsidRDefault="00DF5C09" w:rsidP="004F23CA">
      <w:pPr>
        <w:pStyle w:val="NormalConSangria"/>
        <w:spacing w:after="80"/>
      </w:pPr>
      <w:r>
        <w:t>Es d</w:t>
      </w:r>
      <w:r w:rsidR="004F23CA">
        <w:t xml:space="preserve">e modo que </w:t>
      </w:r>
      <w:r w:rsidR="00101893">
        <w:t xml:space="preserve">serán </w:t>
      </w:r>
      <w:r w:rsidR="004F23CA">
        <w:t>grandes primari</w:t>
      </w:r>
      <w:r w:rsidR="00AA52C5">
        <w:t>o</w:t>
      </w:r>
      <w:r w:rsidR="004F23CA">
        <w:t>s (</w:t>
      </w:r>
      <w:proofErr w:type="spellStart"/>
      <w:r w:rsidR="004F23CA" w:rsidRPr="00142770">
        <w:rPr>
          <w:i/>
          <w:iCs/>
        </w:rPr>
        <w:t>mahābhūta</w:t>
      </w:r>
      <w:proofErr w:type="spellEnd"/>
      <w:r w:rsidR="004F23CA">
        <w:t xml:space="preserve">) </w:t>
      </w:r>
      <w:r>
        <w:t xml:space="preserve">ya </w:t>
      </w:r>
      <w:r w:rsidR="004F23CA">
        <w:t xml:space="preserve">que se </w:t>
      </w:r>
      <w:r w:rsidR="00101893">
        <w:t xml:space="preserve">habrán </w:t>
      </w:r>
      <w:r w:rsidR="004F23CA">
        <w:t>convertido (</w:t>
      </w:r>
      <w:r w:rsidR="004F23CA" w:rsidRPr="005C1ED6">
        <w:rPr>
          <w:i/>
          <w:iCs/>
        </w:rPr>
        <w:t>bhūta</w:t>
      </w:r>
      <w:r w:rsidR="004F23CA">
        <w:t>) en la base de</w:t>
      </w:r>
      <w:r w:rsidR="005C1ED6">
        <w:t xml:space="preserve"> un</w:t>
      </w:r>
      <w:r w:rsidR="004F23CA">
        <w:t xml:space="preserve"> gran (</w:t>
      </w:r>
      <w:proofErr w:type="spellStart"/>
      <w:r w:rsidR="004F23CA" w:rsidRPr="00142770">
        <w:rPr>
          <w:i/>
          <w:iCs/>
        </w:rPr>
        <w:t>mahant</w:t>
      </w:r>
      <w:proofErr w:type="spellEnd"/>
      <w:r w:rsidR="004F23CA">
        <w:t>) alteración.</w:t>
      </w:r>
    </w:p>
    <w:p w14:paraId="51F262D9" w14:textId="7CA8AA82" w:rsidR="004F23CA" w:rsidRDefault="004F23CA" w:rsidP="004F23CA">
      <w:pPr>
        <w:spacing w:after="80"/>
      </w:pPr>
      <w:r>
        <w:t xml:space="preserve">103. </w:t>
      </w:r>
      <w:r>
        <w:tab/>
        <w:t xml:space="preserve">(e) </w:t>
      </w:r>
      <w:r w:rsidRPr="00676E45">
        <w:rPr>
          <w:i/>
          <w:iCs/>
        </w:rPr>
        <w:t>Porque son grandes y porque son entidades</w:t>
      </w:r>
      <w:r>
        <w:t>: “grandes” (</w:t>
      </w:r>
      <w:proofErr w:type="spellStart"/>
      <w:r w:rsidRPr="00142770">
        <w:rPr>
          <w:i/>
          <w:iCs/>
        </w:rPr>
        <w:t>mahant</w:t>
      </w:r>
      <w:proofErr w:type="spellEnd"/>
      <w:r>
        <w:t xml:space="preserve">) porque </w:t>
      </w:r>
      <w:r w:rsidR="00676E45">
        <w:t xml:space="preserve">requieren </w:t>
      </w:r>
      <w:r>
        <w:t>un gran esfuerzo para discernirl</w:t>
      </w:r>
      <w:r w:rsidR="00676E45">
        <w:t>o</w:t>
      </w:r>
      <w:r>
        <w:t>s, y “entidades” (</w:t>
      </w:r>
      <w:r w:rsidRPr="00142770">
        <w:rPr>
          <w:i/>
          <w:iCs/>
        </w:rPr>
        <w:t>bhūta</w:t>
      </w:r>
      <w:r>
        <w:t xml:space="preserve"> = devenir) porque son existentes; así son grandes primarios (</w:t>
      </w:r>
      <w:proofErr w:type="spellStart"/>
      <w:r w:rsidRPr="00142770">
        <w:rPr>
          <w:i/>
          <w:iCs/>
        </w:rPr>
        <w:t>mahābhūta</w:t>
      </w:r>
      <w:proofErr w:type="spellEnd"/>
      <w:r>
        <w:t>) porque son grandes (</w:t>
      </w:r>
      <w:proofErr w:type="spellStart"/>
      <w:r w:rsidRPr="00142770">
        <w:rPr>
          <w:i/>
          <w:iCs/>
        </w:rPr>
        <w:t>mahā</w:t>
      </w:r>
      <w:proofErr w:type="spellEnd"/>
      <w:r>
        <w:t>) y porque son entidades (</w:t>
      </w:r>
      <w:r w:rsidRPr="00676E45">
        <w:rPr>
          <w:i/>
          <w:iCs/>
        </w:rPr>
        <w:t>bhūta</w:t>
      </w:r>
      <w:r>
        <w:t>).</w:t>
      </w:r>
    </w:p>
    <w:p w14:paraId="5AC71032" w14:textId="04CC4E94" w:rsidR="004F23CA" w:rsidRDefault="004F23CA" w:rsidP="004F23CA">
      <w:pPr>
        <w:pStyle w:val="NormalConSangria"/>
        <w:spacing w:after="80"/>
      </w:pPr>
      <w:r>
        <w:t xml:space="preserve">Es así como todos estos elementos </w:t>
      </w:r>
      <w:r w:rsidR="00B11198">
        <w:t xml:space="preserve">serán </w:t>
      </w:r>
      <w:r>
        <w:t xml:space="preserve">“grandes primarios” </w:t>
      </w:r>
      <w:r w:rsidR="00676E45">
        <w:t>en virtud</w:t>
      </w:r>
      <w:r>
        <w:t xml:space="preserve"> de </w:t>
      </w:r>
      <w:r w:rsidR="00676E45">
        <w:t xml:space="preserve">su </w:t>
      </w:r>
      <w:r>
        <w:t>“gran manifestación”, y así sucesivamente.</w:t>
      </w:r>
    </w:p>
    <w:p w14:paraId="21C5478D" w14:textId="50B2849D" w:rsidR="004F23CA" w:rsidRDefault="004F23CA" w:rsidP="004F23CA">
      <w:pPr>
        <w:spacing w:after="80"/>
      </w:pPr>
      <w:r>
        <w:t xml:space="preserve">104. </w:t>
      </w:r>
      <w:r>
        <w:tab/>
        <w:t>Nuevamente, son elementos (</w:t>
      </w:r>
      <w:proofErr w:type="spellStart"/>
      <w:r w:rsidRPr="00142770">
        <w:rPr>
          <w:i/>
          <w:iCs/>
        </w:rPr>
        <w:t>dhātu</w:t>
      </w:r>
      <w:proofErr w:type="spellEnd"/>
      <w:r>
        <w:t>) debido a que tienen (</w:t>
      </w:r>
      <w:proofErr w:type="spellStart"/>
      <w:r w:rsidRPr="00142770">
        <w:rPr>
          <w:i/>
          <w:iCs/>
        </w:rPr>
        <w:t>dhāraṇa</w:t>
      </w:r>
      <w:proofErr w:type="spellEnd"/>
      <w:r>
        <w:t xml:space="preserve">) sus propias características, debido a que </w:t>
      </w:r>
      <w:r w:rsidR="00C30BC5">
        <w:t>se aferran</w:t>
      </w:r>
      <w:r>
        <w:t xml:space="preserve"> (</w:t>
      </w:r>
      <w:proofErr w:type="spellStart"/>
      <w:r w:rsidRPr="00142770">
        <w:rPr>
          <w:i/>
          <w:iCs/>
        </w:rPr>
        <w:t>ādāna</w:t>
      </w:r>
      <w:proofErr w:type="spellEnd"/>
      <w:r>
        <w:t xml:space="preserve">) </w:t>
      </w:r>
      <w:r w:rsidR="00C30BC5">
        <w:t>a</w:t>
      </w:r>
      <w:r>
        <w:t>l sufrimiento y a que clasifican (</w:t>
      </w:r>
      <w:proofErr w:type="spellStart"/>
      <w:r w:rsidRPr="00142770">
        <w:rPr>
          <w:i/>
          <w:iCs/>
        </w:rPr>
        <w:t>ādhāna</w:t>
      </w:r>
      <w:proofErr w:type="spellEnd"/>
      <w:r>
        <w:t>) el sufrimiento (ver XV.19), y porque ninguno</w:t>
      </w:r>
      <w:r w:rsidR="00C30BC5">
        <w:t>s</w:t>
      </w:r>
      <w:r>
        <w:t xml:space="preserve"> de ellos es</w:t>
      </w:r>
      <w:r w:rsidR="00C30BC5">
        <w:t>tán</w:t>
      </w:r>
      <w:r>
        <w:t xml:space="preserve"> exentos de la característica de ser elementos.</w:t>
      </w:r>
    </w:p>
    <w:p w14:paraId="2856A997" w14:textId="7E2E0DBC" w:rsidR="004F23CA" w:rsidRDefault="004F23CA" w:rsidP="004F23CA">
      <w:pPr>
        <w:pStyle w:val="NormalConSangria"/>
        <w:spacing w:after="80"/>
      </w:pPr>
      <w:r>
        <w:t>Son estados (</w:t>
      </w:r>
      <w:r w:rsidR="00057BF4" w:rsidRPr="00057BF4">
        <w:rPr>
          <w:i/>
        </w:rPr>
        <w:t>dhamma</w:t>
      </w:r>
      <w:r>
        <w:t xml:space="preserve">) debido a que </w:t>
      </w:r>
      <w:r w:rsidR="00C30BC5">
        <w:t>poseen</w:t>
      </w:r>
      <w:r>
        <w:t xml:space="preserve"> (</w:t>
      </w:r>
      <w:proofErr w:type="spellStart"/>
      <w:r w:rsidRPr="00142770">
        <w:rPr>
          <w:i/>
          <w:iCs/>
        </w:rPr>
        <w:t>dhāra</w:t>
      </w:r>
      <w:r w:rsidR="00142770" w:rsidRPr="00142770">
        <w:rPr>
          <w:i/>
          <w:iCs/>
        </w:rPr>
        <w:t>k</w:t>
      </w:r>
      <w:r w:rsidRPr="00142770">
        <w:rPr>
          <w:i/>
          <w:iCs/>
        </w:rPr>
        <w:t>ṇa</w:t>
      </w:r>
      <w:proofErr w:type="spellEnd"/>
      <w:r>
        <w:t xml:space="preserve">) sus propias características y debido a que así </w:t>
      </w:r>
      <w:r w:rsidR="00213689">
        <w:t>los posee</w:t>
      </w:r>
      <w:r>
        <w:t xml:space="preserve"> (</w:t>
      </w:r>
      <w:proofErr w:type="spellStart"/>
      <w:r w:rsidRPr="00142770">
        <w:rPr>
          <w:i/>
          <w:iCs/>
        </w:rPr>
        <w:t>dhāraṇa</w:t>
      </w:r>
      <w:proofErr w:type="spellEnd"/>
      <w:r>
        <w:t xml:space="preserve">) por la duración del </w:t>
      </w:r>
      <w:r w:rsidR="00213689">
        <w:t>tiempo</w:t>
      </w:r>
      <w:r>
        <w:t xml:space="preserve"> apropiado para ellos.</w:t>
      </w:r>
      <w:r w:rsidRPr="00C246F5">
        <w:rPr>
          <w:vertAlign w:val="superscript"/>
        </w:rPr>
        <w:t>39</w:t>
      </w:r>
      <w:r>
        <w:t xml:space="preserve"> Son impermanentes en el sentido de </w:t>
      </w:r>
      <w:r w:rsidR="00213689">
        <w:t xml:space="preserve">estar sujetos a la </w:t>
      </w:r>
      <w:r>
        <w:t xml:space="preserve">susceptibilidad </w:t>
      </w:r>
      <w:r w:rsidR="00213689">
        <w:t>de la</w:t>
      </w:r>
      <w:r>
        <w:t xml:space="preserve"> destrucción; son </w:t>
      </w:r>
      <w:r w:rsidR="00AD4E7E">
        <w:t>insatisfactorios</w:t>
      </w:r>
      <w:r>
        <w:t xml:space="preserve"> en el sentido de </w:t>
      </w:r>
      <w:r w:rsidR="001A15FF">
        <w:t xml:space="preserve">producir </w:t>
      </w:r>
      <w:r>
        <w:t xml:space="preserve">terror; son </w:t>
      </w:r>
      <w:r w:rsidR="00432719">
        <w:t>no–</w:t>
      </w:r>
      <w:r w:rsidR="001A15FF">
        <w:t xml:space="preserve">alma </w:t>
      </w:r>
      <w:r>
        <w:t xml:space="preserve">en el sentido de no </w:t>
      </w:r>
      <w:r w:rsidR="001A15FF">
        <w:t>poseer un</w:t>
      </w:r>
      <w:r>
        <w:t xml:space="preserve"> núcleo [de permanencia, etc.]. Por lo tanto, </w:t>
      </w:r>
      <w:r w:rsidR="00213689">
        <w:t>existe</w:t>
      </w:r>
      <w:r>
        <w:t xml:space="preserve"> </w:t>
      </w:r>
      <w:r w:rsidR="00F43CD5">
        <w:t xml:space="preserve">una </w:t>
      </w:r>
      <w:r>
        <w:t xml:space="preserve">unidad </w:t>
      </w:r>
      <w:r w:rsidR="00F43CD5">
        <w:t xml:space="preserve">en </w:t>
      </w:r>
      <w:r>
        <w:t>todo ya que todos son materialidad, grandes primarios, elementos, estados, impermanen</w:t>
      </w:r>
      <w:r w:rsidR="00F43CD5">
        <w:t>tes</w:t>
      </w:r>
      <w:r>
        <w:t>, etc.</w:t>
      </w:r>
    </w:p>
    <w:p w14:paraId="1FB4D6A1" w14:textId="1E5F3FDC" w:rsidR="004F23CA" w:rsidRDefault="004F23CA" w:rsidP="004F23CA">
      <w:pPr>
        <w:pStyle w:val="NormalConSangria"/>
        <w:spacing w:after="80"/>
      </w:pPr>
      <w:r>
        <w:t xml:space="preserve">Así es como se les debe prestar atención “en cuanto a </w:t>
      </w:r>
      <w:r w:rsidR="00F43CD5">
        <w:t xml:space="preserve">la </w:t>
      </w:r>
      <w:r>
        <w:t>variedad y unidad”.</w:t>
      </w:r>
    </w:p>
    <w:p w14:paraId="779AB0FB" w14:textId="6993DD9A" w:rsidR="004F23CA" w:rsidRDefault="004F23CA" w:rsidP="004F23CA">
      <w:pPr>
        <w:spacing w:after="80"/>
      </w:pPr>
      <w:r>
        <w:t xml:space="preserve">105. </w:t>
      </w:r>
      <w:r>
        <w:tab/>
      </w:r>
      <w:r w:rsidRPr="00F72447">
        <w:rPr>
          <w:i/>
          <w:iCs/>
        </w:rPr>
        <w:t>7</w:t>
      </w:r>
      <w:r>
        <w:t>. En cuanto a la resolución (separabilidad) y la no</w:t>
      </w:r>
      <w:r w:rsidR="00247973">
        <w:t>-</w:t>
      </w:r>
      <w:r>
        <w:t xml:space="preserve">resolución (inseparabilidad): son posicionalmente irresolubles (inseparables) ya que siempre surgen juntas en cada </w:t>
      </w:r>
      <w:r w:rsidR="0040206C">
        <w:t xml:space="preserve">y </w:t>
      </w:r>
      <w:r>
        <w:t>mínimo</w:t>
      </w:r>
    </w:p>
    <w:p w14:paraId="04848CDE" w14:textId="73D2C496" w:rsidR="004F23CA" w:rsidRPr="004F23CA" w:rsidRDefault="004F23CA" w:rsidP="004F23CA">
      <w:pPr>
        <w:pStyle w:val="PiedepginaLegal"/>
        <w:rPr>
          <w:u w:val="single"/>
        </w:rPr>
      </w:pPr>
      <w:r w:rsidRPr="004F23CA">
        <w:rPr>
          <w:u w:val="single"/>
        </w:rPr>
        <w:t xml:space="preserve">                                                                                                                                                   .</w:t>
      </w:r>
    </w:p>
    <w:p w14:paraId="18ADEDC8" w14:textId="30F528C5" w:rsidR="004F23CA" w:rsidRDefault="004F23CA" w:rsidP="004F23CA">
      <w:pPr>
        <w:pStyle w:val="PiedepginaLegal"/>
      </w:pPr>
      <w:r w:rsidRPr="004F23CA">
        <w:t xml:space="preserve">39. </w:t>
      </w:r>
      <w:r>
        <w:tab/>
      </w:r>
      <w:r w:rsidRPr="004F23CA">
        <w:t xml:space="preserve">Esto alude a la duración de un momento de la existencia de la materia, que se describe como </w:t>
      </w:r>
      <w:r w:rsidR="00C14C69">
        <w:t>17</w:t>
      </w:r>
      <w:r w:rsidRPr="004F23CA">
        <w:t xml:space="preserve"> veces mayor que la de la con</w:t>
      </w:r>
      <w:r w:rsidR="00C14C69">
        <w:t>s</w:t>
      </w:r>
      <w:r w:rsidRPr="004F23CA">
        <w:t xml:space="preserve">ciencia (ver </w:t>
      </w:r>
      <w:proofErr w:type="spellStart"/>
      <w:r w:rsidRPr="004F23CA">
        <w:t>Vibh</w:t>
      </w:r>
      <w:proofErr w:type="spellEnd"/>
      <w:r w:rsidRPr="004F23CA">
        <w:t>-a 25f.).</w:t>
      </w:r>
    </w:p>
    <w:p w14:paraId="69B105E2" w14:textId="77777777" w:rsidR="004F23CA" w:rsidRDefault="004F23CA">
      <w:pPr>
        <w:tabs>
          <w:tab w:val="clear" w:pos="425"/>
        </w:tabs>
        <w:spacing w:after="160"/>
        <w:rPr>
          <w:color w:val="000000" w:themeColor="text1"/>
          <w:spacing w:val="10"/>
          <w:sz w:val="14"/>
        </w:rPr>
      </w:pPr>
      <w:r>
        <w:br w:type="page"/>
      </w:r>
    </w:p>
    <w:p w14:paraId="4BC419A7" w14:textId="77777777" w:rsidR="004F23CA" w:rsidRDefault="004F23CA" w:rsidP="004F23CA"/>
    <w:p w14:paraId="0196B6D0" w14:textId="56024275" w:rsidR="004D4343" w:rsidRDefault="004D4343" w:rsidP="004D4343">
      <w:r>
        <w:t xml:space="preserve">grupo </w:t>
      </w:r>
      <w:r w:rsidR="0040206C">
        <w:t xml:space="preserve">material </w:t>
      </w:r>
      <w:r w:rsidR="00247973">
        <w:t>consistente</w:t>
      </w:r>
      <w:r>
        <w:t xml:space="preserve"> </w:t>
      </w:r>
      <w:r w:rsidR="00247973">
        <w:t xml:space="preserve">de </w:t>
      </w:r>
      <w:r>
        <w:t xml:space="preserve">la </w:t>
      </w:r>
      <w:r w:rsidR="00247973">
        <w:t xml:space="preserve">simple </w:t>
      </w:r>
      <w:proofErr w:type="spellStart"/>
      <w:r>
        <w:t>octa</w:t>
      </w:r>
      <w:r w:rsidR="00247973">
        <w:t>d</w:t>
      </w:r>
      <w:r>
        <w:t>a</w:t>
      </w:r>
      <w:proofErr w:type="spellEnd"/>
      <w:r>
        <w:t xml:space="preserve"> y lo </w:t>
      </w:r>
      <w:r w:rsidR="00247973">
        <w:t>restante</w:t>
      </w:r>
      <w:r>
        <w:t>; pero son resolubles (separables) por característica. Así es como se les debe prestar atención “en cuanto a la resolución (separabilidad) y la no</w:t>
      </w:r>
      <w:r w:rsidR="00247973">
        <w:t>-</w:t>
      </w:r>
      <w:r>
        <w:t>resolución (inseparabilidad)”.</w:t>
      </w:r>
    </w:p>
    <w:p w14:paraId="0DF00762" w14:textId="5B7389C5" w:rsidR="004D4343" w:rsidRDefault="004D4343" w:rsidP="004D4343">
      <w:r>
        <w:t xml:space="preserve">106. </w:t>
      </w:r>
      <w:r>
        <w:tab/>
        <w:t xml:space="preserve">8. </w:t>
      </w:r>
      <w:r w:rsidRPr="00142770">
        <w:rPr>
          <w:i/>
          <w:iCs/>
        </w:rPr>
        <w:t xml:space="preserve">En cuanto a lo similar y lo </w:t>
      </w:r>
      <w:r w:rsidR="00247973">
        <w:rPr>
          <w:i/>
          <w:iCs/>
        </w:rPr>
        <w:t>disimilar</w:t>
      </w:r>
      <w:r>
        <w:t xml:space="preserve">: y aunque </w:t>
      </w:r>
      <w:r w:rsidR="00AF561D">
        <w:t>sea</w:t>
      </w:r>
      <w:r w:rsidR="00711010">
        <w:t>n</w:t>
      </w:r>
      <w:r>
        <w:t xml:space="preserve"> </w:t>
      </w:r>
      <w:r w:rsidR="00711010">
        <w:t>así de ir</w:t>
      </w:r>
      <w:r>
        <w:t>res</w:t>
      </w:r>
      <w:r w:rsidR="00AF561D">
        <w:t>o</w:t>
      </w:r>
      <w:r>
        <w:t>l</w:t>
      </w:r>
      <w:r w:rsidR="00AF561D">
        <w:t xml:space="preserve">ubles </w:t>
      </w:r>
      <w:r>
        <w:t xml:space="preserve">(inseparables), sin embargo, los dos primeros son similares en pesadez, y también lo son los dos últimos en ligereza; </w:t>
      </w:r>
      <w:r w:rsidR="00EB39D1">
        <w:t>no obstante,</w:t>
      </w:r>
      <w:r>
        <w:t xml:space="preserve"> [por </w:t>
      </w:r>
      <w:r w:rsidR="00EB39D1">
        <w:t>la misma</w:t>
      </w:r>
      <w:r>
        <w:t xml:space="preserve"> razón] los dos primeros son diferentes de los dos últimos y los dos últimos de los dos primeros. Así es como se les debe prestar atención “en cuanto a lo </w:t>
      </w:r>
      <w:r w:rsidR="00EB39D1">
        <w:t>similar</w:t>
      </w:r>
      <w:r>
        <w:t xml:space="preserve"> y lo </w:t>
      </w:r>
      <w:r w:rsidR="00EB39D1">
        <w:t>disimilar</w:t>
      </w:r>
      <w:r>
        <w:t>”.</w:t>
      </w:r>
    </w:p>
    <w:p w14:paraId="4C57E875" w14:textId="01046EC6" w:rsidR="004D4343" w:rsidRDefault="004D4343" w:rsidP="004D4343">
      <w:r>
        <w:t xml:space="preserve">107. </w:t>
      </w:r>
      <w:r>
        <w:tab/>
        <w:t xml:space="preserve">9. </w:t>
      </w:r>
      <w:r w:rsidRPr="00142770">
        <w:rPr>
          <w:i/>
          <w:iCs/>
        </w:rPr>
        <w:t xml:space="preserve">En cuanto a la distinción entre </w:t>
      </w:r>
      <w:r w:rsidR="00DF2509">
        <w:rPr>
          <w:i/>
          <w:iCs/>
        </w:rPr>
        <w:t xml:space="preserve">lo </w:t>
      </w:r>
      <w:r w:rsidRPr="00142770">
        <w:rPr>
          <w:i/>
          <w:iCs/>
        </w:rPr>
        <w:t>interno y externo</w:t>
      </w:r>
      <w:r>
        <w:t>: los elementos internos son el soporte [material] de las bases físicas de la con</w:t>
      </w:r>
      <w:r w:rsidR="00DF2509">
        <w:t>s</w:t>
      </w:r>
      <w:r>
        <w:t>ciencia, de los tipos de intimación y de las facultades materiales. Están asociados con las posturas y tienen un origen cuádruple. Los elementos externos son del tipo opuesto. Así es como se les debe prestar atención “en cuanto a la distinción entre lo interno y lo externo”.</w:t>
      </w:r>
    </w:p>
    <w:p w14:paraId="637DBC23" w14:textId="35A74825" w:rsidR="004D4343" w:rsidRDefault="004D4343" w:rsidP="004D4343">
      <w:r>
        <w:t xml:space="preserve">108. </w:t>
      </w:r>
      <w:r>
        <w:tab/>
        <w:t xml:space="preserve">10. </w:t>
      </w:r>
      <w:r w:rsidRPr="00142770">
        <w:rPr>
          <w:i/>
          <w:iCs/>
        </w:rPr>
        <w:t>En cuanto a la inclusión</w:t>
      </w:r>
      <w:r>
        <w:t xml:space="preserve">: el elemento tierra originado por </w:t>
      </w:r>
      <w:proofErr w:type="spellStart"/>
      <w:r w:rsidR="00057BF4" w:rsidRPr="00057BF4">
        <w:rPr>
          <w:i/>
          <w:iCs/>
        </w:rPr>
        <w:t>kamma</w:t>
      </w:r>
      <w:proofErr w:type="spellEnd"/>
      <w:r>
        <w:t xml:space="preserve"> se incluye junto con los otros elementos originados por </w:t>
      </w:r>
      <w:proofErr w:type="spellStart"/>
      <w:r w:rsidR="00057BF4" w:rsidRPr="00057BF4">
        <w:rPr>
          <w:i/>
          <w:iCs/>
        </w:rPr>
        <w:t>kamma</w:t>
      </w:r>
      <w:proofErr w:type="spellEnd"/>
      <w:r>
        <w:t xml:space="preserve"> porque no hay diferencia en su origen. Asimismo, el originado en la con</w:t>
      </w:r>
      <w:r w:rsidR="00F72C8E">
        <w:t>s</w:t>
      </w:r>
      <w:r>
        <w:t>ciencia se incluye junto con otros elementos originados en la con</w:t>
      </w:r>
      <w:r w:rsidR="00F72C8E">
        <w:t>s</w:t>
      </w:r>
      <w:r>
        <w:t xml:space="preserve">ciencia. Así se les debe </w:t>
      </w:r>
      <w:r w:rsidR="00F72C8E">
        <w:t>prestar</w:t>
      </w:r>
      <w:r>
        <w:t xml:space="preserve"> atención “en cuanto a inclusión”.</w:t>
      </w:r>
    </w:p>
    <w:p w14:paraId="69A774F6" w14:textId="2CF59DFA" w:rsidR="004D4343" w:rsidRDefault="004D4343" w:rsidP="004D4343">
      <w:r>
        <w:t xml:space="preserve">109. </w:t>
      </w:r>
      <w:r>
        <w:tab/>
        <w:t xml:space="preserve">11. </w:t>
      </w:r>
      <w:r w:rsidRPr="00142770">
        <w:rPr>
          <w:i/>
          <w:iCs/>
        </w:rPr>
        <w:t>En cuanto a la condición</w:t>
      </w:r>
      <w:r>
        <w:t xml:space="preserve">: el elemento tierra, que se mantiene unido por el agua, mantenido por el fuego y distendido por el aire, es una condición para </w:t>
      </w:r>
      <w:r w:rsidR="00B32679">
        <w:t xml:space="preserve">que </w:t>
      </w:r>
      <w:r>
        <w:t>los otros tres grandes primarios act</w:t>
      </w:r>
      <w:r w:rsidR="00B32679">
        <w:t>úen</w:t>
      </w:r>
      <w:r>
        <w:t xml:space="preserve"> como su fundamento. El elemento agua, que está fundado en la tierra, sostenido por el fuego y distendido por el aire, es </w:t>
      </w:r>
      <w:r w:rsidR="001A28FD">
        <w:t xml:space="preserve">una </w:t>
      </w:r>
      <w:r>
        <w:t xml:space="preserve">condición </w:t>
      </w:r>
      <w:r w:rsidR="001A28FD">
        <w:t xml:space="preserve">para </w:t>
      </w:r>
      <w:r>
        <w:t>los otros tres grandes primarios act</w:t>
      </w:r>
      <w:r w:rsidR="001A28FD">
        <w:t>úen</w:t>
      </w:r>
      <w:r>
        <w:t xml:space="preserve"> como su cohesión. El elemento fuego, que se </w:t>
      </w:r>
      <w:r w:rsidR="001A28FD">
        <w:t xml:space="preserve">está fundado </w:t>
      </w:r>
      <w:r>
        <w:t xml:space="preserve">en la tierra, se mantiene unido por el agua [369] y distendido por el aire, es una condición para </w:t>
      </w:r>
      <w:r w:rsidR="001A28FD">
        <w:t xml:space="preserve">que </w:t>
      </w:r>
      <w:r>
        <w:t>los otros tres grandes primarios act</w:t>
      </w:r>
      <w:r w:rsidR="001A28FD">
        <w:t>úen</w:t>
      </w:r>
      <w:r>
        <w:t xml:space="preserve"> como su mantenimiento. El elemento aire, que se funda en la tierra, se mantiene unido por el agua y se mantiene por el fuego, es una condición para </w:t>
      </w:r>
      <w:r w:rsidR="00FF5691">
        <w:t xml:space="preserve">que </w:t>
      </w:r>
      <w:r>
        <w:t>los otros tres grandes primarios act</w:t>
      </w:r>
      <w:r w:rsidR="00FF5691">
        <w:t>úen</w:t>
      </w:r>
      <w:r>
        <w:t xml:space="preserve"> como su distensión. Así es como se les debe prestar atención “en cuanto a </w:t>
      </w:r>
      <w:r w:rsidR="00F044B1">
        <w:t xml:space="preserve">la </w:t>
      </w:r>
      <w:r>
        <w:t>condición”.</w:t>
      </w:r>
    </w:p>
    <w:p w14:paraId="583EF0EF" w14:textId="27C75EC5" w:rsidR="004D4343" w:rsidRDefault="004D4343" w:rsidP="004D4343">
      <w:r>
        <w:t xml:space="preserve">110. </w:t>
      </w:r>
      <w:r>
        <w:tab/>
        <w:t xml:space="preserve">12. </w:t>
      </w:r>
      <w:r w:rsidRPr="00142770">
        <w:rPr>
          <w:i/>
          <w:iCs/>
        </w:rPr>
        <w:t>En cuanto a la falta de reacción consciente</w:t>
      </w:r>
      <w:r>
        <w:t xml:space="preserve">: aquí también el elemento tierra no sabe, “Yo soy el elemento tierra” o “Yo soy una condición al actuar como fundamento de </w:t>
      </w:r>
      <w:r w:rsidR="00F044B1">
        <w:t xml:space="preserve">los </w:t>
      </w:r>
      <w:r>
        <w:t xml:space="preserve">tres grandes primarios”. Y los otros tres no saben, “El elemento tierra es una condición para nosotros al actuar como fundamento para </w:t>
      </w:r>
      <w:r w:rsidR="00F044B1">
        <w:t xml:space="preserve">ser </w:t>
      </w:r>
      <w:r>
        <w:t>tres grandes primarios”. Y los otros tres no saben, “El elemento tierra es una condición para nosotros actuar como nuestro fundamento”. Y de manera similar en cada caso. Así es como se les debe prestar atención “en cuanto a la falta de reacción consciente”.</w:t>
      </w:r>
    </w:p>
    <w:p w14:paraId="01ADEC6D" w14:textId="5DCC3105" w:rsidR="004D4343" w:rsidRDefault="004D4343" w:rsidP="004D4343">
      <w:r>
        <w:t xml:space="preserve">111. </w:t>
      </w:r>
      <w:r>
        <w:tab/>
        <w:t xml:space="preserve">13. </w:t>
      </w:r>
      <w:r w:rsidRPr="00142770">
        <w:rPr>
          <w:i/>
          <w:iCs/>
        </w:rPr>
        <w:t>En cuanto al análisis de las condiciones</w:t>
      </w:r>
      <w:r>
        <w:t xml:space="preserve">: </w:t>
      </w:r>
      <w:r w:rsidR="00B16530">
        <w:t>existen</w:t>
      </w:r>
      <w:r>
        <w:t xml:space="preserve"> cuatro condiciones para los elementos, es decir, </w:t>
      </w:r>
      <w:proofErr w:type="spellStart"/>
      <w:r w:rsidR="00057BF4" w:rsidRPr="00057BF4">
        <w:rPr>
          <w:i/>
          <w:iCs/>
        </w:rPr>
        <w:t>kamma</w:t>
      </w:r>
      <w:proofErr w:type="spellEnd"/>
      <w:r>
        <w:t xml:space="preserve">, </w:t>
      </w:r>
      <w:r w:rsidR="00305E12">
        <w:t>consciencia</w:t>
      </w:r>
      <w:r>
        <w:t>, nutrición y temperatura.</w:t>
      </w:r>
    </w:p>
    <w:p w14:paraId="0853BEC8" w14:textId="028881BE" w:rsidR="004D4343" w:rsidRDefault="004D4343" w:rsidP="004D4343">
      <w:pPr>
        <w:pStyle w:val="NormalConSangria"/>
      </w:pPr>
      <w:r>
        <w:t xml:space="preserve">Aquí, solo </w:t>
      </w:r>
      <w:r w:rsidR="004C0DCB">
        <w:t xml:space="preserve">el </w:t>
      </w:r>
      <w:proofErr w:type="spellStart"/>
      <w:r w:rsidR="00057BF4" w:rsidRPr="00057BF4">
        <w:rPr>
          <w:i/>
          <w:iCs/>
        </w:rPr>
        <w:t>kamma</w:t>
      </w:r>
      <w:proofErr w:type="spellEnd"/>
      <w:r>
        <w:t xml:space="preserve"> </w:t>
      </w:r>
      <w:r w:rsidR="004C0DCB">
        <w:t xml:space="preserve">será </w:t>
      </w:r>
      <w:r>
        <w:t xml:space="preserve">condición para los elementos </w:t>
      </w:r>
      <w:r w:rsidR="00450670">
        <w:t>or</w:t>
      </w:r>
      <w:r w:rsidR="00E72643">
        <w:t>i</w:t>
      </w:r>
      <w:r w:rsidR="00450670">
        <w:t>gi</w:t>
      </w:r>
      <w:r w:rsidR="00E72643">
        <w:t>nados</w:t>
      </w:r>
      <w:r>
        <w:t xml:space="preserve"> por </w:t>
      </w:r>
      <w:r w:rsidR="004C0DCB">
        <w:t xml:space="preserve">el </w:t>
      </w:r>
      <w:proofErr w:type="spellStart"/>
      <w:r w:rsidR="00057BF4" w:rsidRPr="00057BF4">
        <w:rPr>
          <w:i/>
          <w:iCs/>
        </w:rPr>
        <w:t>kamma</w:t>
      </w:r>
      <w:proofErr w:type="spellEnd"/>
      <w:r>
        <w:t xml:space="preserve">; </w:t>
      </w:r>
      <w:r w:rsidR="00B16530">
        <w:t xml:space="preserve">la </w:t>
      </w:r>
      <w:r>
        <w:t>con</w:t>
      </w:r>
      <w:r w:rsidR="00B16530">
        <w:t>s</w:t>
      </w:r>
      <w:r>
        <w:t>ciencia (</w:t>
      </w:r>
      <w:proofErr w:type="spellStart"/>
      <w:r w:rsidRPr="00142770">
        <w:rPr>
          <w:i/>
          <w:iCs/>
        </w:rPr>
        <w:t>citta</w:t>
      </w:r>
      <w:proofErr w:type="spellEnd"/>
      <w:r>
        <w:t xml:space="preserve">), etc. [es decir, </w:t>
      </w:r>
      <w:r w:rsidR="00B16530">
        <w:t xml:space="preserve">el </w:t>
      </w:r>
      <w:r>
        <w:t xml:space="preserve">nutrimento y </w:t>
      </w:r>
      <w:r w:rsidR="00B16530">
        <w:t xml:space="preserve">la </w:t>
      </w:r>
      <w:r>
        <w:t xml:space="preserve">temperatura] no lo </w:t>
      </w:r>
      <w:r w:rsidR="004C0DCB">
        <w:t>serán</w:t>
      </w:r>
      <w:r>
        <w:t>. La con</w:t>
      </w:r>
      <w:r w:rsidR="00B16530">
        <w:t>s</w:t>
      </w:r>
      <w:r>
        <w:t xml:space="preserve">ciencia, etc., sólo </w:t>
      </w:r>
      <w:r w:rsidR="004C0DCB">
        <w:t xml:space="preserve">serán </w:t>
      </w:r>
      <w:r>
        <w:t xml:space="preserve">condiciones para los elementos originados </w:t>
      </w:r>
      <w:r w:rsidR="004C0DCB">
        <w:t>por</w:t>
      </w:r>
      <w:r>
        <w:t xml:space="preserve"> la con</w:t>
      </w:r>
      <w:r w:rsidR="00954BFE">
        <w:t>s</w:t>
      </w:r>
      <w:r>
        <w:t xml:space="preserve">ciencia; los otros no lo </w:t>
      </w:r>
      <w:r w:rsidR="004C0DCB">
        <w:t>serán</w:t>
      </w:r>
      <w:r>
        <w:t xml:space="preserve">. </w:t>
      </w:r>
      <w:r w:rsidR="00954BFE">
        <w:t xml:space="preserve">El </w:t>
      </w:r>
      <w:proofErr w:type="spellStart"/>
      <w:r w:rsidR="00954BFE" w:rsidRPr="00057BF4">
        <w:rPr>
          <w:i/>
          <w:iCs/>
        </w:rPr>
        <w:t>kamma</w:t>
      </w:r>
      <w:proofErr w:type="spellEnd"/>
      <w:r w:rsidR="00954BFE">
        <w:t xml:space="preserve"> </w:t>
      </w:r>
      <w:r w:rsidR="004C0DCB">
        <w:t xml:space="preserve">será </w:t>
      </w:r>
      <w:r>
        <w:t>la condición productora</w:t>
      </w:r>
      <w:r w:rsidRPr="00C246F5">
        <w:rPr>
          <w:vertAlign w:val="superscript"/>
        </w:rPr>
        <w:t>40</w:t>
      </w:r>
      <w:r>
        <w:t xml:space="preserve"> de los elementos originados por </w:t>
      </w:r>
      <w:r w:rsidR="004C0DCB">
        <w:t xml:space="preserve">el </w:t>
      </w:r>
      <w:proofErr w:type="spellStart"/>
      <w:r w:rsidR="00057BF4" w:rsidRPr="00057BF4">
        <w:rPr>
          <w:i/>
          <w:iCs/>
        </w:rPr>
        <w:t>kamma</w:t>
      </w:r>
      <w:proofErr w:type="spellEnd"/>
      <w:r>
        <w:t xml:space="preserve">; </w:t>
      </w:r>
    </w:p>
    <w:p w14:paraId="0FCAC671" w14:textId="0411F02B" w:rsidR="004D4343" w:rsidRPr="004D4343" w:rsidRDefault="004D4343" w:rsidP="004D4343">
      <w:pPr>
        <w:pStyle w:val="PiedepginaLegal"/>
        <w:rPr>
          <w:u w:val="single"/>
        </w:rPr>
      </w:pPr>
      <w:r w:rsidRPr="004D4343">
        <w:rPr>
          <w:u w:val="single"/>
        </w:rPr>
        <w:t xml:space="preserve">                                                                                                                                                         .</w:t>
      </w:r>
    </w:p>
    <w:p w14:paraId="2BC48623" w14:textId="649EB85F" w:rsidR="004D4343" w:rsidRDefault="004D4343" w:rsidP="00B16530">
      <w:pPr>
        <w:pStyle w:val="PiedepginaLegal"/>
      </w:pPr>
      <w:r>
        <w:t xml:space="preserve">40. </w:t>
      </w:r>
      <w:r>
        <w:tab/>
        <w:t>“El término ‘</w:t>
      </w:r>
      <w:r w:rsidRPr="00576E07">
        <w:rPr>
          <w:i/>
          <w:iCs/>
        </w:rPr>
        <w:t>condición productora’</w:t>
      </w:r>
      <w:r>
        <w:t xml:space="preserve"> se refiere a orig</w:t>
      </w:r>
      <w:r w:rsidR="00576E07">
        <w:t>i</w:t>
      </w:r>
      <w:r>
        <w:t>n</w:t>
      </w:r>
      <w:r w:rsidR="00576E07">
        <w:t>ación</w:t>
      </w:r>
      <w:r w:rsidR="00FF47F9" w:rsidRPr="00FF47F9">
        <w:t xml:space="preserve"> </w:t>
      </w:r>
      <w:r w:rsidR="00FF47F9">
        <w:t>causativa</w:t>
      </w:r>
      <w:r>
        <w:t xml:space="preserve">, aunque como condición </w:t>
      </w:r>
      <w:r w:rsidR="00FF47F9">
        <w:t>sea</w:t>
      </w:r>
      <w:r w:rsidR="00576E07">
        <w:t>,</w:t>
      </w:r>
      <w:r>
        <w:t xml:space="preserve"> en realidad</w:t>
      </w:r>
      <w:r w:rsidR="00576E07">
        <w:t>,</w:t>
      </w:r>
      <w:r>
        <w:t xml:space="preserve"> </w:t>
      </w:r>
      <w:r w:rsidR="00576E07">
        <w:t xml:space="preserve">una </w:t>
      </w:r>
      <w:r>
        <w:t xml:space="preserve">condición </w:t>
      </w:r>
      <w:proofErr w:type="spellStart"/>
      <w:r w:rsidR="00057BF4" w:rsidRPr="00057BF4">
        <w:rPr>
          <w:i/>
          <w:iCs/>
        </w:rPr>
        <w:t>kamm</w:t>
      </w:r>
      <w:r w:rsidR="00576E07">
        <w:rPr>
          <w:i/>
          <w:iCs/>
        </w:rPr>
        <w:t>ica</w:t>
      </w:r>
      <w:proofErr w:type="spellEnd"/>
      <w:r>
        <w:t xml:space="preserve">. Porque esto se dice: 'La </w:t>
      </w:r>
      <w:r w:rsidR="00D934AA">
        <w:t>volición</w:t>
      </w:r>
      <w:r>
        <w:t xml:space="preserve"> </w:t>
      </w:r>
      <w:r w:rsidR="00576E07">
        <w:t>productiva</w:t>
      </w:r>
      <w:r>
        <w:t xml:space="preserve"> </w:t>
      </w:r>
      <w:r w:rsidR="00576E07">
        <w:t xml:space="preserve">e improductiva será </w:t>
      </w:r>
      <w:r>
        <w:br w:type="page"/>
      </w:r>
    </w:p>
    <w:p w14:paraId="4505EC5E" w14:textId="6C905B8F" w:rsidR="0054415C" w:rsidRDefault="004C0DCB" w:rsidP="0054415C">
      <w:r>
        <w:lastRenderedPageBreak/>
        <w:t xml:space="preserve">para </w:t>
      </w:r>
      <w:r w:rsidR="00246822">
        <w:t>el resto</w:t>
      </w:r>
      <w:r>
        <w:t xml:space="preserve"> será indirectamente </w:t>
      </w:r>
      <w:r w:rsidR="00B16530">
        <w:t xml:space="preserve">la </w:t>
      </w:r>
      <w:r w:rsidR="0054415C">
        <w:t>condición decisiva</w:t>
      </w:r>
      <w:r w:rsidR="00114719">
        <w:t xml:space="preserve"> </w:t>
      </w:r>
      <w:r w:rsidR="0054415C">
        <w:t>de</w:t>
      </w:r>
      <w:r w:rsidR="00954BFE">
        <w:t>l</w:t>
      </w:r>
      <w:r w:rsidR="0054415C">
        <w:t xml:space="preserve"> </w:t>
      </w:r>
      <w:r w:rsidR="00954BFE">
        <w:t>soporte</w:t>
      </w:r>
      <w:r w:rsidR="0054415C">
        <w:t>.</w:t>
      </w:r>
      <w:r w:rsidR="0054415C" w:rsidRPr="00A75167">
        <w:rPr>
          <w:vertAlign w:val="superscript"/>
        </w:rPr>
        <w:t>41</w:t>
      </w:r>
      <w:r w:rsidR="0054415C">
        <w:t xml:space="preserve"> La </w:t>
      </w:r>
      <w:r w:rsidR="0054415C" w:rsidRPr="00A75167">
        <w:rPr>
          <w:i/>
          <w:iCs/>
        </w:rPr>
        <w:t>con</w:t>
      </w:r>
      <w:r w:rsidR="00A75167">
        <w:rPr>
          <w:i/>
          <w:iCs/>
        </w:rPr>
        <w:t>s</w:t>
      </w:r>
      <w:r w:rsidR="0054415C" w:rsidRPr="00A75167">
        <w:rPr>
          <w:i/>
          <w:iCs/>
        </w:rPr>
        <w:t>ciencia</w:t>
      </w:r>
      <w:r w:rsidR="0054415C">
        <w:t xml:space="preserve"> </w:t>
      </w:r>
      <w:r>
        <w:t xml:space="preserve">será </w:t>
      </w:r>
      <w:r w:rsidR="0054415C">
        <w:t xml:space="preserve">la condición productora de los elementos originados </w:t>
      </w:r>
      <w:r>
        <w:t>por</w:t>
      </w:r>
      <w:r w:rsidR="0054415C">
        <w:t xml:space="preserve"> la </w:t>
      </w:r>
      <w:r w:rsidR="00305E12">
        <w:t>consciencia</w:t>
      </w:r>
      <w:r w:rsidR="0054415C">
        <w:t xml:space="preserve">; para </w:t>
      </w:r>
      <w:r>
        <w:t>lo demás será</w:t>
      </w:r>
      <w:r w:rsidR="0054415C">
        <w:t xml:space="preserve"> la condición de </w:t>
      </w:r>
      <w:proofErr w:type="spellStart"/>
      <w:r w:rsidR="0054415C">
        <w:t>post-na</w:t>
      </w:r>
      <w:r w:rsidR="002623C6">
        <w:t>sciente</w:t>
      </w:r>
      <w:proofErr w:type="spellEnd"/>
      <w:r w:rsidR="0054415C">
        <w:t xml:space="preserve">, </w:t>
      </w:r>
      <w:r w:rsidR="002623C6">
        <w:t xml:space="preserve">la </w:t>
      </w:r>
      <w:r w:rsidR="0054415C">
        <w:t xml:space="preserve">condición de presencia y </w:t>
      </w:r>
      <w:r w:rsidR="002623C6">
        <w:t xml:space="preserve">la </w:t>
      </w:r>
      <w:r w:rsidR="0054415C">
        <w:t>condición de no</w:t>
      </w:r>
      <w:r w:rsidR="002623C6">
        <w:t>-</w:t>
      </w:r>
      <w:r w:rsidR="0054415C">
        <w:t xml:space="preserve">desaparición. El </w:t>
      </w:r>
      <w:r w:rsidR="0054415C" w:rsidRPr="00A75167">
        <w:rPr>
          <w:i/>
          <w:iCs/>
        </w:rPr>
        <w:t>nutrimento</w:t>
      </w:r>
      <w:r w:rsidR="0054415C">
        <w:t xml:space="preserve"> </w:t>
      </w:r>
      <w:r w:rsidR="002623C6">
        <w:t xml:space="preserve">será </w:t>
      </w:r>
      <w:r w:rsidR="0054415C">
        <w:t xml:space="preserve">la condición productora de los elementos originados por el nutrimento; para </w:t>
      </w:r>
      <w:r w:rsidR="002623C6">
        <w:t xml:space="preserve">lo demás será </w:t>
      </w:r>
      <w:r w:rsidR="0054415C">
        <w:t>la condición de</w:t>
      </w:r>
      <w:r w:rsidR="002623C6">
        <w:t>l</w:t>
      </w:r>
      <w:r w:rsidR="0054415C">
        <w:t xml:space="preserve"> nutrimiento, la condición de </w:t>
      </w:r>
      <w:r w:rsidR="002623C6">
        <w:t xml:space="preserve">la </w:t>
      </w:r>
      <w:r w:rsidR="0054415C">
        <w:t xml:space="preserve">presencia y la condición de </w:t>
      </w:r>
      <w:r w:rsidR="002623C6">
        <w:t xml:space="preserve">la </w:t>
      </w:r>
      <w:r w:rsidR="0054415C">
        <w:t>no</w:t>
      </w:r>
      <w:r w:rsidR="002623C6">
        <w:t>-</w:t>
      </w:r>
      <w:r w:rsidR="0054415C">
        <w:t xml:space="preserve">desaparición. La </w:t>
      </w:r>
      <w:r w:rsidR="0054415C" w:rsidRPr="00A75167">
        <w:rPr>
          <w:i/>
          <w:iCs/>
        </w:rPr>
        <w:t>temperatura</w:t>
      </w:r>
      <w:r w:rsidR="0054415C">
        <w:t xml:space="preserve"> </w:t>
      </w:r>
      <w:r w:rsidR="002623C6">
        <w:t xml:space="preserve">será </w:t>
      </w:r>
      <w:r w:rsidR="0054415C">
        <w:t xml:space="preserve">la condición </w:t>
      </w:r>
      <w:r w:rsidR="00B347DF">
        <w:t xml:space="preserve">de producción </w:t>
      </w:r>
      <w:r w:rsidR="0054415C">
        <w:t xml:space="preserve">de los elementos originados por la temperatura; para </w:t>
      </w:r>
      <w:r w:rsidR="00B347DF">
        <w:t xml:space="preserve">lo demás será </w:t>
      </w:r>
      <w:r w:rsidR="0054415C">
        <w:t xml:space="preserve">la condición de </w:t>
      </w:r>
      <w:r w:rsidR="00B347DF">
        <w:t xml:space="preserve">la </w:t>
      </w:r>
      <w:r w:rsidR="0054415C">
        <w:t xml:space="preserve">presencia y la condición de </w:t>
      </w:r>
      <w:r w:rsidR="00B347DF">
        <w:t xml:space="preserve">la </w:t>
      </w:r>
      <w:r w:rsidR="0054415C">
        <w:t>no</w:t>
      </w:r>
      <w:r w:rsidR="00B347DF">
        <w:t>-</w:t>
      </w:r>
      <w:r w:rsidR="0054415C">
        <w:t>desaparición.</w:t>
      </w:r>
    </w:p>
    <w:p w14:paraId="0F49A88B" w14:textId="008622CC" w:rsidR="0054415C" w:rsidRDefault="0054415C" w:rsidP="0054415C">
      <w:pPr>
        <w:pStyle w:val="NormalConSangria"/>
      </w:pPr>
      <w:r>
        <w:t xml:space="preserve">Aquí, el gran primario originado por </w:t>
      </w:r>
      <w:r w:rsidR="00AF191A">
        <w:t xml:space="preserve">el </w:t>
      </w:r>
      <w:proofErr w:type="spellStart"/>
      <w:r w:rsidR="00057BF4" w:rsidRPr="00057BF4">
        <w:rPr>
          <w:i/>
          <w:iCs/>
        </w:rPr>
        <w:t>kamma</w:t>
      </w:r>
      <w:proofErr w:type="spellEnd"/>
      <w:r>
        <w:t xml:space="preserve"> </w:t>
      </w:r>
      <w:r w:rsidR="00550DCB">
        <w:t xml:space="preserve">será </w:t>
      </w:r>
      <w:r>
        <w:t xml:space="preserve">la condición para los grandes primarios originados por </w:t>
      </w:r>
      <w:r w:rsidR="00550DCB">
        <w:t xml:space="preserve">el </w:t>
      </w:r>
      <w:proofErr w:type="spellStart"/>
      <w:r w:rsidR="00057BF4" w:rsidRPr="00057BF4">
        <w:rPr>
          <w:i/>
          <w:iCs/>
        </w:rPr>
        <w:t>kamma</w:t>
      </w:r>
      <w:proofErr w:type="spellEnd"/>
      <w:r>
        <w:t xml:space="preserve">, y ​​también para los grandes primarios originados </w:t>
      </w:r>
      <w:r w:rsidR="00D34F80">
        <w:t>por</w:t>
      </w:r>
      <w:r>
        <w:t xml:space="preserve"> la con</w:t>
      </w:r>
      <w:r w:rsidR="00AF191A">
        <w:t>s</w:t>
      </w:r>
      <w:r>
        <w:t xml:space="preserve">ciencia. Del mismo modo </w:t>
      </w:r>
      <w:r w:rsidR="00550DCB">
        <w:t xml:space="preserve">será </w:t>
      </w:r>
      <w:r w:rsidR="00D34F80">
        <w:t xml:space="preserve">el gran primario </w:t>
      </w:r>
      <w:r>
        <w:t xml:space="preserve">originado </w:t>
      </w:r>
      <w:r w:rsidR="00D34F80">
        <w:t>por</w:t>
      </w:r>
      <w:r>
        <w:t xml:space="preserve"> la con</w:t>
      </w:r>
      <w:r w:rsidR="00550DCB">
        <w:t>s</w:t>
      </w:r>
      <w:r>
        <w:t xml:space="preserve">ciencia y el </w:t>
      </w:r>
      <w:r w:rsidR="00D34F80">
        <w:t xml:space="preserve">gran primario </w:t>
      </w:r>
      <w:r w:rsidR="00993357">
        <w:t xml:space="preserve">originado por el </w:t>
      </w:r>
      <w:r>
        <w:t>nutri</w:t>
      </w:r>
      <w:r w:rsidR="00930480">
        <w:t>mento</w:t>
      </w:r>
      <w:r w:rsidR="00993357">
        <w:t>.</w:t>
      </w:r>
      <w:r>
        <w:t xml:space="preserve"> El gran primario originado por la temperatura </w:t>
      </w:r>
      <w:r w:rsidR="00993357">
        <w:t xml:space="preserve">será </w:t>
      </w:r>
      <w:r>
        <w:t xml:space="preserve">la condición para los grandes primarios originados por la temperatura y también para los grandes primarios originados por el </w:t>
      </w:r>
      <w:proofErr w:type="spellStart"/>
      <w:r w:rsidR="00057BF4" w:rsidRPr="00057BF4">
        <w:rPr>
          <w:i/>
          <w:iCs/>
        </w:rPr>
        <w:t>kamma</w:t>
      </w:r>
      <w:proofErr w:type="spellEnd"/>
      <w:r>
        <w:t>, y ​​así sucesivamente (cf. XX.27f.).</w:t>
      </w:r>
    </w:p>
    <w:p w14:paraId="17D3A089" w14:textId="4E603AB8" w:rsidR="0054415C" w:rsidRDefault="0054415C" w:rsidP="0054415C">
      <w:r>
        <w:t xml:space="preserve">112. </w:t>
      </w:r>
      <w:r>
        <w:tab/>
        <w:t xml:space="preserve">Aquí, el elemento tierra originado por </w:t>
      </w:r>
      <w:r w:rsidR="00930480">
        <w:t xml:space="preserve">el </w:t>
      </w:r>
      <w:proofErr w:type="spellStart"/>
      <w:r w:rsidR="00057BF4" w:rsidRPr="00057BF4">
        <w:rPr>
          <w:i/>
          <w:iCs/>
        </w:rPr>
        <w:t>kamma</w:t>
      </w:r>
      <w:proofErr w:type="spellEnd"/>
      <w:r>
        <w:t xml:space="preserve"> </w:t>
      </w:r>
      <w:r w:rsidR="00993357">
        <w:t xml:space="preserve">será </w:t>
      </w:r>
      <w:r>
        <w:t xml:space="preserve">una condición para los otros elementos originados por </w:t>
      </w:r>
      <w:r w:rsidR="00993357">
        <w:t xml:space="preserve">el </w:t>
      </w:r>
      <w:proofErr w:type="spellStart"/>
      <w:r w:rsidR="00057BF4" w:rsidRPr="00057BF4">
        <w:rPr>
          <w:i/>
          <w:iCs/>
        </w:rPr>
        <w:t>kamma</w:t>
      </w:r>
      <w:proofErr w:type="spellEnd"/>
      <w:r w:rsidR="006B66AC">
        <w:t xml:space="preserve"> </w:t>
      </w:r>
      <w:r w:rsidR="00A933A4">
        <w:t xml:space="preserve">como </w:t>
      </w:r>
      <w:r w:rsidR="00761E97">
        <w:t xml:space="preserve">el </w:t>
      </w:r>
      <w:proofErr w:type="spellStart"/>
      <w:r w:rsidR="00A933A4">
        <w:t>conac</w:t>
      </w:r>
      <w:r w:rsidR="00B2692C">
        <w:t>imiento</w:t>
      </w:r>
      <w:proofErr w:type="spellEnd"/>
      <w:r>
        <w:t xml:space="preserve">, reciprocidad, </w:t>
      </w:r>
      <w:r w:rsidR="00850A59">
        <w:t>soporte</w:t>
      </w:r>
      <w:r>
        <w:t xml:space="preserve">, presencia y </w:t>
      </w:r>
      <w:r w:rsidR="00F3708F">
        <w:t xml:space="preserve">la </w:t>
      </w:r>
      <w:r>
        <w:t>no</w:t>
      </w:r>
      <w:r w:rsidR="00F3708F">
        <w:t>-</w:t>
      </w:r>
      <w:r>
        <w:t xml:space="preserve">desaparición y como </w:t>
      </w:r>
      <w:r w:rsidR="007706E4">
        <w:t>fundamento</w:t>
      </w:r>
      <w:r>
        <w:t xml:space="preserve">, pero no como </w:t>
      </w:r>
      <w:r w:rsidR="007706E4">
        <w:t xml:space="preserve">una </w:t>
      </w:r>
      <w:r>
        <w:t xml:space="preserve">condición </w:t>
      </w:r>
      <w:r w:rsidR="00CD37D7">
        <w:t>de producción</w:t>
      </w:r>
      <w:r>
        <w:t xml:space="preserve">. </w:t>
      </w:r>
      <w:r w:rsidR="00F3708F">
        <w:t>É</w:t>
      </w:r>
      <w:r>
        <w:t>s</w:t>
      </w:r>
      <w:r w:rsidR="00C97E35">
        <w:t>t</w:t>
      </w:r>
      <w:r w:rsidR="00F3708F">
        <w:t>a</w:t>
      </w:r>
      <w:r w:rsidR="00C97E35">
        <w:t xml:space="preserve"> </w:t>
      </w:r>
      <w:r w:rsidR="007706E4">
        <w:t xml:space="preserve">será </w:t>
      </w:r>
      <w:r w:rsidR="00C97E35">
        <w:t>una</w:t>
      </w:r>
      <w:r>
        <w:t xml:space="preserve"> condición </w:t>
      </w:r>
      <w:r w:rsidR="00C97E35">
        <w:t>para</w:t>
      </w:r>
      <w:r>
        <w:t xml:space="preserve"> los otros tres grandes primarios en una triple continuidad (ver XX.22) como condiciones de </w:t>
      </w:r>
      <w:r w:rsidR="00C97E35">
        <w:t>soporte</w:t>
      </w:r>
      <w:r>
        <w:t>, de presencia y de no</w:t>
      </w:r>
      <w:r w:rsidR="00C97E35">
        <w:t>-</w:t>
      </w:r>
      <w:r>
        <w:t xml:space="preserve">desaparición, pero no como condición </w:t>
      </w:r>
      <w:r w:rsidR="00F3708F">
        <w:t xml:space="preserve">de </w:t>
      </w:r>
      <w:r>
        <w:t>funda</w:t>
      </w:r>
      <w:r w:rsidR="00F3708F">
        <w:t>mento</w:t>
      </w:r>
      <w:r>
        <w:t xml:space="preserve"> o </w:t>
      </w:r>
      <w:r w:rsidR="00CD37D7">
        <w:t>de producción</w:t>
      </w:r>
      <w:r>
        <w:t xml:space="preserve">. Y aquí el elemento agua </w:t>
      </w:r>
      <w:r w:rsidR="00D30ADB">
        <w:t xml:space="preserve">será </w:t>
      </w:r>
      <w:r>
        <w:t xml:space="preserve">una condición para los tres elementos restantes como </w:t>
      </w:r>
      <w:r w:rsidR="00CD37D7">
        <w:t xml:space="preserve">la </w:t>
      </w:r>
      <w:r>
        <w:t>condici</w:t>
      </w:r>
      <w:r w:rsidR="00CD37D7">
        <w:t>ó</w:t>
      </w:r>
      <w:r>
        <w:t xml:space="preserve">n </w:t>
      </w:r>
      <w:proofErr w:type="spellStart"/>
      <w:r w:rsidR="00DE4B4B">
        <w:t>conasciente</w:t>
      </w:r>
      <w:proofErr w:type="spellEnd"/>
      <w:r>
        <w:t xml:space="preserve">, etc., y como cohesión, pero no como condición </w:t>
      </w:r>
      <w:r w:rsidR="00A0321C">
        <w:t>de producción</w:t>
      </w:r>
      <w:r>
        <w:t xml:space="preserve">. Y para los demás en una triple continuidad </w:t>
      </w:r>
      <w:r w:rsidR="00CD37D7">
        <w:t xml:space="preserve">también será </w:t>
      </w:r>
      <w:r>
        <w:t>una condición como condici</w:t>
      </w:r>
      <w:r w:rsidR="00CD37D7">
        <w:t>ó</w:t>
      </w:r>
      <w:r>
        <w:t xml:space="preserve">n de </w:t>
      </w:r>
      <w:r w:rsidR="003F17AE">
        <w:t>soporte</w:t>
      </w:r>
      <w:r>
        <w:t>, de presencia y de no</w:t>
      </w:r>
      <w:r w:rsidR="00CD37D7">
        <w:t>-</w:t>
      </w:r>
      <w:r>
        <w:t xml:space="preserve">desaparición, pero no como condición de cohesión o de producción. Y el elemento fuego aquí </w:t>
      </w:r>
      <w:r w:rsidR="00A0321C">
        <w:t xml:space="preserve">será </w:t>
      </w:r>
      <w:r>
        <w:t xml:space="preserve">una condición para los otros tres elementos como </w:t>
      </w:r>
      <w:r w:rsidR="00A0321C">
        <w:t xml:space="preserve">la </w:t>
      </w:r>
      <w:r>
        <w:t>condici</w:t>
      </w:r>
      <w:r w:rsidR="00A0321C">
        <w:t>ó</w:t>
      </w:r>
      <w:r>
        <w:t xml:space="preserve">n </w:t>
      </w:r>
      <w:proofErr w:type="spellStart"/>
      <w:r w:rsidR="00DE4B4B">
        <w:t>conasciente</w:t>
      </w:r>
      <w:proofErr w:type="spellEnd"/>
      <w:r>
        <w:t xml:space="preserve">, etc., y como condición de mantenimiento pero no de producción. Y para los demás en una triple continuidad </w:t>
      </w:r>
      <w:r w:rsidR="003F17AE">
        <w:t xml:space="preserve">ésta </w:t>
      </w:r>
      <w:r w:rsidR="00A0321C">
        <w:t xml:space="preserve">será </w:t>
      </w:r>
      <w:r w:rsidR="00C11D90">
        <w:t xml:space="preserve">también </w:t>
      </w:r>
      <w:r>
        <w:t xml:space="preserve">una condición como condición de soporte, de presencia y de </w:t>
      </w:r>
      <w:r w:rsidR="00D80B25">
        <w:t xml:space="preserve">la </w:t>
      </w:r>
      <w:r>
        <w:t>no</w:t>
      </w:r>
      <w:r w:rsidR="00D80B25">
        <w:t>-</w:t>
      </w:r>
      <w:r>
        <w:t xml:space="preserve">desaparición, pero no como condición de mantenimiento o </w:t>
      </w:r>
      <w:r w:rsidR="00A0321C">
        <w:t>de producción</w:t>
      </w:r>
      <w:r>
        <w:t xml:space="preserve">. Y el elemento aire aquí </w:t>
      </w:r>
      <w:r w:rsidR="00A0321C">
        <w:t xml:space="preserve">será </w:t>
      </w:r>
      <w:r>
        <w:t>una condición para los otros tres elementos [370] tanto como condici</w:t>
      </w:r>
      <w:r w:rsidR="00A0321C">
        <w:t>ó</w:t>
      </w:r>
      <w:r>
        <w:t xml:space="preserve">n </w:t>
      </w:r>
      <w:proofErr w:type="spellStart"/>
      <w:r w:rsidR="00C2404A">
        <w:t>conasciente</w:t>
      </w:r>
      <w:proofErr w:type="spellEnd"/>
      <w:r>
        <w:t xml:space="preserve">, etc., y como distensión, pero no como condición </w:t>
      </w:r>
      <w:r w:rsidR="00A0321C">
        <w:t>de producción</w:t>
      </w:r>
      <w:r>
        <w:t xml:space="preserve">. Y para los demás en una triple continuidad </w:t>
      </w:r>
      <w:r w:rsidR="00AD41A8">
        <w:t xml:space="preserve">ésta </w:t>
      </w:r>
      <w:r w:rsidR="00A0321C">
        <w:t xml:space="preserve">será </w:t>
      </w:r>
      <w:r>
        <w:t xml:space="preserve">una condición como condición de soporte, de presencia y también de </w:t>
      </w:r>
      <w:r w:rsidR="00D80B25">
        <w:t xml:space="preserve">la </w:t>
      </w:r>
      <w:r>
        <w:t>no</w:t>
      </w:r>
      <w:r w:rsidR="00A0321C">
        <w:t>-</w:t>
      </w:r>
      <w:r>
        <w:t xml:space="preserve">desaparición, pero no como </w:t>
      </w:r>
      <w:r w:rsidR="00D80B25">
        <w:t xml:space="preserve">una </w:t>
      </w:r>
      <w:r>
        <w:t>condición de distensión o de producción.</w:t>
      </w:r>
    </w:p>
    <w:p w14:paraId="2CC2588D" w14:textId="44715A94" w:rsidR="0054415C" w:rsidRDefault="0054415C" w:rsidP="0054415C">
      <w:pPr>
        <w:pStyle w:val="NormalConSangria"/>
      </w:pPr>
      <w:r>
        <w:t>El mismo método se aplica</w:t>
      </w:r>
      <w:r w:rsidR="00D80B25">
        <w:t>rá</w:t>
      </w:r>
      <w:r>
        <w:t xml:space="preserve"> </w:t>
      </w:r>
      <w:r w:rsidR="00D80B25">
        <w:t>a</w:t>
      </w:r>
      <w:r>
        <w:t>l caso del elemento tierra originado por la con</w:t>
      </w:r>
      <w:r w:rsidR="00AD41A8">
        <w:t>s</w:t>
      </w:r>
      <w:r>
        <w:t xml:space="preserve">ciencia, </w:t>
      </w:r>
      <w:r w:rsidR="00D80B25">
        <w:t>a</w:t>
      </w:r>
      <w:r>
        <w:t xml:space="preserve">l originado por los nutrientes y </w:t>
      </w:r>
      <w:r w:rsidR="00D80B25">
        <w:t>a</w:t>
      </w:r>
      <w:r>
        <w:t xml:space="preserve">l originado por la temperatura, y </w:t>
      </w:r>
      <w:r w:rsidR="00AD41A8">
        <w:t>los demás</w:t>
      </w:r>
      <w:r>
        <w:t>.</w:t>
      </w:r>
    </w:p>
    <w:p w14:paraId="36CBD637" w14:textId="1CD70F1C" w:rsidR="0054415C" w:rsidRDefault="0054415C" w:rsidP="0054415C">
      <w:r>
        <w:t xml:space="preserve">113. </w:t>
      </w:r>
      <w:r>
        <w:tab/>
        <w:t>Y cuando estos elementos ha</w:t>
      </w:r>
      <w:r w:rsidR="00AD41A8">
        <w:t>ya</w:t>
      </w:r>
      <w:r>
        <w:t xml:space="preserve">n sido </w:t>
      </w:r>
      <w:r w:rsidR="008E7179">
        <w:t>producidos</w:t>
      </w:r>
      <w:r>
        <w:t xml:space="preserve"> por </w:t>
      </w:r>
      <w:r w:rsidR="008E7179">
        <w:t xml:space="preserve">la </w:t>
      </w:r>
      <w:r>
        <w:t xml:space="preserve">influencia </w:t>
      </w:r>
      <w:proofErr w:type="spellStart"/>
      <w:r w:rsidR="00C2404A">
        <w:t>conasciente</w:t>
      </w:r>
      <w:proofErr w:type="spellEnd"/>
      <w:r>
        <w:t>, etc., condiciones:</w:t>
      </w:r>
    </w:p>
    <w:p w14:paraId="44E5D046" w14:textId="7B4304A6" w:rsidR="0054415C" w:rsidRPr="0054415C" w:rsidRDefault="0054415C" w:rsidP="0054415C">
      <w:pPr>
        <w:pStyle w:val="PiedepginaLegal"/>
        <w:rPr>
          <w:u w:val="single"/>
        </w:rPr>
      </w:pPr>
      <w:r w:rsidRPr="0054415C">
        <w:rPr>
          <w:u w:val="single"/>
        </w:rPr>
        <w:t xml:space="preserve">                                                                                                                                                    .</w:t>
      </w:r>
    </w:p>
    <w:p w14:paraId="5E78DCD9" w14:textId="060A6FBB" w:rsidR="0054415C" w:rsidRDefault="0054415C" w:rsidP="0054415C">
      <w:pPr>
        <w:pStyle w:val="PiedepginaLegal"/>
      </w:pPr>
      <w:r>
        <w:t>…</w:t>
      </w:r>
      <w:r>
        <w:tab/>
        <w:t xml:space="preserve">una condición, como condición </w:t>
      </w:r>
      <w:proofErr w:type="spellStart"/>
      <w:r w:rsidR="00057BF4" w:rsidRPr="00057BF4">
        <w:rPr>
          <w:i/>
          <w:iCs/>
        </w:rPr>
        <w:t>kamm</w:t>
      </w:r>
      <w:r w:rsidR="00576E07">
        <w:rPr>
          <w:i/>
          <w:iCs/>
        </w:rPr>
        <w:t>ica</w:t>
      </w:r>
      <w:proofErr w:type="spellEnd"/>
      <w:r>
        <w:t xml:space="preserve">, para los agregados resultantes y para la materialidad debido al </w:t>
      </w:r>
      <w:proofErr w:type="spellStart"/>
      <w:r w:rsidR="00057BF4" w:rsidRPr="00057BF4">
        <w:rPr>
          <w:i/>
          <w:iCs/>
        </w:rPr>
        <w:t>kamma</w:t>
      </w:r>
      <w:proofErr w:type="spellEnd"/>
      <w:r>
        <w:t xml:space="preserve"> </w:t>
      </w:r>
      <w:r w:rsidR="00576E07">
        <w:t>cometido</w:t>
      </w:r>
      <w:r>
        <w:t>’ (</w:t>
      </w:r>
      <w:proofErr w:type="spellStart"/>
      <w:r w:rsidRPr="00A75167">
        <w:rPr>
          <w:i/>
          <w:iCs/>
        </w:rPr>
        <w:t>Paṭṭh</w:t>
      </w:r>
      <w:proofErr w:type="spellEnd"/>
      <w:r>
        <w:t xml:space="preserve"> I 5)” (</w:t>
      </w:r>
      <w:proofErr w:type="spellStart"/>
      <w:r>
        <w:t>Vism-mhṭ</w:t>
      </w:r>
      <w:proofErr w:type="spellEnd"/>
      <w:r>
        <w:t xml:space="preserve"> 368).</w:t>
      </w:r>
    </w:p>
    <w:p w14:paraId="3BD0194E" w14:textId="415DF3AD" w:rsidR="00F933CD" w:rsidRDefault="0054415C" w:rsidP="0054415C">
      <w:pPr>
        <w:pStyle w:val="PiedepginaLegal"/>
      </w:pPr>
      <w:r>
        <w:t xml:space="preserve">41. </w:t>
      </w:r>
      <w:r>
        <w:tab/>
        <w:t>“‘</w:t>
      </w:r>
      <w:r w:rsidRPr="00D549FB">
        <w:rPr>
          <w:i/>
          <w:iCs/>
        </w:rPr>
        <w:t>Para el resto’</w:t>
      </w:r>
      <w:r>
        <w:t>: para la con</w:t>
      </w:r>
      <w:r w:rsidR="00D549FB">
        <w:t>s</w:t>
      </w:r>
      <w:r>
        <w:t xml:space="preserve">ciencia originada, etc. </w:t>
      </w:r>
      <w:r w:rsidR="00D934AA">
        <w:t>Corres</w:t>
      </w:r>
      <w:r w:rsidR="00040D83">
        <w:t xml:space="preserve">ponderá </w:t>
      </w:r>
      <w:r w:rsidR="003C1C46">
        <w:t xml:space="preserve">indirectamente </w:t>
      </w:r>
      <w:r w:rsidR="00040D83">
        <w:t>a</w:t>
      </w:r>
      <w:r>
        <w:t xml:space="preserve"> la condición de </w:t>
      </w:r>
      <w:r w:rsidR="00D549FB">
        <w:t>soporte</w:t>
      </w:r>
      <w:r>
        <w:t xml:space="preserve"> </w:t>
      </w:r>
      <w:r w:rsidR="00EB4C70">
        <w:t xml:space="preserve">decisivo </w:t>
      </w:r>
      <w:r w:rsidR="00D549FB">
        <w:t xml:space="preserve">ya </w:t>
      </w:r>
      <w:r>
        <w:t xml:space="preserve">que en el </w:t>
      </w:r>
      <w:proofErr w:type="spellStart"/>
      <w:r w:rsidRPr="00A75167">
        <w:rPr>
          <w:i/>
          <w:iCs/>
        </w:rPr>
        <w:t>Paṭṭhāna</w:t>
      </w:r>
      <w:proofErr w:type="spellEnd"/>
      <w:r>
        <w:t xml:space="preserve"> la condición de </w:t>
      </w:r>
      <w:r w:rsidR="00D549FB">
        <w:t xml:space="preserve">soporte </w:t>
      </w:r>
      <w:r w:rsidR="00EB4C70">
        <w:t xml:space="preserve">decisivo </w:t>
      </w:r>
      <w:r>
        <w:t xml:space="preserve">solo se ha dado para los </w:t>
      </w:r>
      <w:r w:rsidR="00057BF4" w:rsidRPr="00057BF4">
        <w:rPr>
          <w:i/>
        </w:rPr>
        <w:t>dhamma</w:t>
      </w:r>
      <w:r>
        <w:t xml:space="preserve">s inmateriales, por lo que no </w:t>
      </w:r>
      <w:r w:rsidR="00D549FB">
        <w:t>exist</w:t>
      </w:r>
      <w:r w:rsidR="003B0EAF">
        <w:t>irá</w:t>
      </w:r>
      <w:r>
        <w:t xml:space="preserve">, directamente, ninguna condición de </w:t>
      </w:r>
      <w:r w:rsidR="00D549FB">
        <w:t xml:space="preserve">soporte </w:t>
      </w:r>
      <w:r w:rsidR="00246822">
        <w:t xml:space="preserve">decisivo </w:t>
      </w:r>
      <w:r>
        <w:t xml:space="preserve">[en el </w:t>
      </w:r>
      <w:proofErr w:type="spellStart"/>
      <w:r w:rsidR="00057BF4" w:rsidRPr="00057BF4">
        <w:rPr>
          <w:i/>
          <w:iCs/>
        </w:rPr>
        <w:t>kamma</w:t>
      </w:r>
      <w:proofErr w:type="spellEnd"/>
      <w:r>
        <w:t xml:space="preserve">] para los </w:t>
      </w:r>
      <w:r w:rsidR="00057BF4" w:rsidRPr="00057BF4">
        <w:rPr>
          <w:i/>
        </w:rPr>
        <w:t>dhamma</w:t>
      </w:r>
      <w:r>
        <w:t xml:space="preserve">s materiales. Sin embargo, debido a las palabras, 'Con una persona como </w:t>
      </w:r>
      <w:r w:rsidR="00D549FB">
        <w:t xml:space="preserve">soporte </w:t>
      </w:r>
      <w:r>
        <w:t xml:space="preserve">decisivo' (M I 107) y 'Con un </w:t>
      </w:r>
      <w:r w:rsidR="003B0EAF">
        <w:t>bosque</w:t>
      </w:r>
      <w:r>
        <w:t xml:space="preserve"> como </w:t>
      </w:r>
      <w:r w:rsidR="003B0EAF">
        <w:t xml:space="preserve">soporte </w:t>
      </w:r>
      <w:r>
        <w:t xml:space="preserve">decisivo' (M I 106) en los </w:t>
      </w:r>
      <w:r w:rsidRPr="003B0EAF">
        <w:rPr>
          <w:i/>
          <w:iCs/>
        </w:rPr>
        <w:t>Suttas</w:t>
      </w:r>
      <w:r>
        <w:t xml:space="preserve">, la condición de </w:t>
      </w:r>
      <w:r w:rsidR="003B0EAF">
        <w:t xml:space="preserve">soporte </w:t>
      </w:r>
      <w:r>
        <w:t xml:space="preserve">decisivo </w:t>
      </w:r>
      <w:r w:rsidR="003B0EAF">
        <w:t>podrá</w:t>
      </w:r>
      <w:r>
        <w:t xml:space="preserve"> entenderse indirectamente según los </w:t>
      </w:r>
      <w:r w:rsidRPr="003B0EAF">
        <w:rPr>
          <w:i/>
          <w:iCs/>
        </w:rPr>
        <w:t>Suttas</w:t>
      </w:r>
      <w:r>
        <w:t xml:space="preserve"> en el sentido de '</w:t>
      </w:r>
      <w:r w:rsidR="003B0EAF">
        <w:t xml:space="preserve">sin </w:t>
      </w:r>
      <w:r>
        <w:t>ausencia</w:t>
      </w:r>
      <w:r w:rsidR="003B0EAF">
        <w:t>’</w:t>
      </w:r>
      <w:r w:rsidR="00D43AB5">
        <w:t xml:space="preserve">” </w:t>
      </w:r>
      <w:r>
        <w:t>(</w:t>
      </w:r>
      <w:proofErr w:type="spellStart"/>
      <w:r>
        <w:t>Vism-mhṭ</w:t>
      </w:r>
      <w:proofErr w:type="spellEnd"/>
      <w:r>
        <w:t xml:space="preserve"> 368).</w:t>
      </w:r>
    </w:p>
    <w:p w14:paraId="56807C76" w14:textId="77777777" w:rsidR="00F933CD" w:rsidRDefault="00F933CD">
      <w:pPr>
        <w:tabs>
          <w:tab w:val="clear" w:pos="425"/>
        </w:tabs>
        <w:spacing w:after="160"/>
        <w:rPr>
          <w:color w:val="000000" w:themeColor="text1"/>
          <w:spacing w:val="10"/>
          <w:sz w:val="14"/>
        </w:rPr>
      </w:pPr>
      <w:r>
        <w:br w:type="page"/>
      </w:r>
    </w:p>
    <w:p w14:paraId="6D99AF94" w14:textId="77777777" w:rsidR="00F933CD" w:rsidRDefault="00F933CD" w:rsidP="00F933CD"/>
    <w:p w14:paraId="3F59F6A2" w14:textId="70B0FF3C" w:rsidR="00F933CD" w:rsidRPr="008E7179" w:rsidRDefault="00F933CD" w:rsidP="00F933CD">
      <w:pPr>
        <w:pStyle w:val="VersoIngls01Sangria"/>
        <w:rPr>
          <w:sz w:val="16"/>
          <w:szCs w:val="20"/>
        </w:rPr>
      </w:pPr>
      <w:r w:rsidRPr="008E7179">
        <w:rPr>
          <w:sz w:val="16"/>
          <w:szCs w:val="20"/>
        </w:rPr>
        <w:t xml:space="preserve">Con tres en cuatro </w:t>
      </w:r>
      <w:r w:rsidR="00D65090">
        <w:rPr>
          <w:sz w:val="16"/>
          <w:szCs w:val="20"/>
        </w:rPr>
        <w:t>formas</w:t>
      </w:r>
      <w:r w:rsidRPr="008E7179">
        <w:rPr>
          <w:sz w:val="16"/>
          <w:szCs w:val="20"/>
        </w:rPr>
        <w:t xml:space="preserve"> </w:t>
      </w:r>
      <w:r w:rsidR="00D65090" w:rsidRPr="008E7179">
        <w:rPr>
          <w:sz w:val="16"/>
          <w:szCs w:val="20"/>
        </w:rPr>
        <w:t xml:space="preserve">debido </w:t>
      </w:r>
      <w:r w:rsidRPr="008E7179">
        <w:rPr>
          <w:sz w:val="16"/>
          <w:szCs w:val="20"/>
        </w:rPr>
        <w:t>a uno,</w:t>
      </w:r>
    </w:p>
    <w:p w14:paraId="79578BF3" w14:textId="77777777" w:rsidR="00F933CD" w:rsidRPr="008E7179" w:rsidRDefault="00F933CD" w:rsidP="00F933CD">
      <w:pPr>
        <w:pStyle w:val="VersoIngls01Sangria"/>
        <w:rPr>
          <w:sz w:val="16"/>
          <w:szCs w:val="20"/>
        </w:rPr>
      </w:pPr>
      <w:r w:rsidRPr="008E7179">
        <w:rPr>
          <w:sz w:val="16"/>
          <w:szCs w:val="20"/>
        </w:rPr>
        <w:t>Y lo mismo con uno debido a tres;</w:t>
      </w:r>
    </w:p>
    <w:p w14:paraId="2EA0E715" w14:textId="77777777" w:rsidR="00F933CD" w:rsidRPr="008E7179" w:rsidRDefault="00F933CD" w:rsidP="00F933CD">
      <w:pPr>
        <w:pStyle w:val="VersoIngls01Sangria"/>
        <w:rPr>
          <w:sz w:val="16"/>
          <w:szCs w:val="20"/>
        </w:rPr>
      </w:pPr>
      <w:r w:rsidRPr="008E7179">
        <w:rPr>
          <w:sz w:val="16"/>
          <w:szCs w:val="20"/>
        </w:rPr>
        <w:t>Con dos de seis maneras debido a dos—</w:t>
      </w:r>
    </w:p>
    <w:p w14:paraId="6DCDE991" w14:textId="77777777" w:rsidR="00F933CD" w:rsidRPr="008E7179" w:rsidRDefault="00F933CD" w:rsidP="00F933CD">
      <w:pPr>
        <w:pStyle w:val="VersoIngls01Sangria"/>
        <w:spacing w:after="100"/>
        <w:ind w:left="1418"/>
        <w:rPr>
          <w:sz w:val="16"/>
          <w:szCs w:val="20"/>
        </w:rPr>
      </w:pPr>
      <w:r w:rsidRPr="008E7179">
        <w:rPr>
          <w:sz w:val="16"/>
          <w:szCs w:val="20"/>
        </w:rPr>
        <w:t>Así llega a ser su ocurrencia.</w:t>
      </w:r>
    </w:p>
    <w:p w14:paraId="0F8650D2" w14:textId="254CCE28" w:rsidR="00F933CD" w:rsidRDefault="00F933CD" w:rsidP="00F933CD">
      <w:r>
        <w:t xml:space="preserve">114. </w:t>
      </w:r>
      <w:r>
        <w:tab/>
        <w:t>Tomando cada uno, comenzando por la tierra, ha</w:t>
      </w:r>
      <w:r w:rsidR="00CA09A2">
        <w:t>brá</w:t>
      </w:r>
      <w:r>
        <w:t xml:space="preserve"> otros tres cuya ocurrencia se debe</w:t>
      </w:r>
      <w:r w:rsidR="00CA09A2">
        <w:t>rá</w:t>
      </w:r>
      <w:r>
        <w:t xml:space="preserve"> a aquél, así con tres debido a uno su ocurrencia se da</w:t>
      </w:r>
      <w:r w:rsidR="00CA09A2">
        <w:t>rá</w:t>
      </w:r>
      <w:r>
        <w:t xml:space="preserve"> de cuatro maneras. Asimismo cada uno, comenzando por la tierra, ocurr</w:t>
      </w:r>
      <w:r w:rsidR="00CA09A2">
        <w:t>irá</w:t>
      </w:r>
      <w:r>
        <w:t xml:space="preserve"> en dependencia </w:t>
      </w:r>
      <w:r w:rsidR="00983C69">
        <w:t>con</w:t>
      </w:r>
      <w:r>
        <w:t xml:space="preserve"> los otros tres, así con uno debido a tres su ocurrencia ocurr</w:t>
      </w:r>
      <w:r w:rsidR="0064259E">
        <w:t>irá</w:t>
      </w:r>
      <w:r>
        <w:t xml:space="preserve"> de cuatro maneras. Pero con los dos últimos dependientes de los dos primeros, con los dos primeros dependientes de los dos últimos, con el segundo y el cuarto dependientes del primero y el tercero, con el primero y el </w:t>
      </w:r>
      <w:proofErr w:type="gramStart"/>
      <w:r>
        <w:t>tercero dependientes</w:t>
      </w:r>
      <w:proofErr w:type="gramEnd"/>
      <w:r>
        <w:t xml:space="preserve"> del segundo y </w:t>
      </w:r>
      <w:r w:rsidR="0064259E">
        <w:t xml:space="preserve">con </w:t>
      </w:r>
      <w:r>
        <w:t xml:space="preserve">el cuarto, </w:t>
      </w:r>
      <w:r w:rsidR="0064259E">
        <w:t xml:space="preserve">más </w:t>
      </w:r>
      <w:r>
        <w:t>el segundo y el tercero dependientes del primero y del cuarto, y con el primero y el cuarto dependientes del segundo y del tercero, ocurr</w:t>
      </w:r>
      <w:r w:rsidR="0064259E">
        <w:t>irá</w:t>
      </w:r>
      <w:r>
        <w:t>n de seis maneras con dos elementos debido a dos.</w:t>
      </w:r>
    </w:p>
    <w:p w14:paraId="2ED7468E" w14:textId="319F8522" w:rsidR="00F933CD" w:rsidRDefault="00F933CD" w:rsidP="00F933CD">
      <w:r>
        <w:t xml:space="preserve">115. </w:t>
      </w:r>
      <w:r>
        <w:tab/>
        <w:t xml:space="preserve">En el momento de avanzar y retroceder (M I 57), el elemento tierra entre estos </w:t>
      </w:r>
      <w:r w:rsidR="002E1029">
        <w:t xml:space="preserve">será </w:t>
      </w:r>
      <w:r>
        <w:t>una condición para presionar. E</w:t>
      </w:r>
      <w:r w:rsidR="003549E9">
        <w:t>ll</w:t>
      </w:r>
      <w:r>
        <w:t xml:space="preserve">o, secundado por el elemento agua, </w:t>
      </w:r>
      <w:r w:rsidR="00FB6E81">
        <w:t xml:space="preserve">será </w:t>
      </w:r>
      <w:r>
        <w:t>una condición para establecerse sobre un</w:t>
      </w:r>
      <w:r w:rsidR="00FB6E81">
        <w:t>a</w:t>
      </w:r>
      <w:r>
        <w:t xml:space="preserve"> base. Pero el elemento agua secundado por el elemento tierra </w:t>
      </w:r>
      <w:r w:rsidR="00FB6E81">
        <w:t xml:space="preserve">será </w:t>
      </w:r>
      <w:r>
        <w:t>una condición para descen</w:t>
      </w:r>
      <w:r w:rsidR="006F6215">
        <w:t>so</w:t>
      </w:r>
      <w:r>
        <w:t xml:space="preserve">. El elemento fuego secundado por el elemento aire </w:t>
      </w:r>
      <w:r w:rsidR="006F6215">
        <w:t xml:space="preserve">será </w:t>
      </w:r>
      <w:r>
        <w:t xml:space="preserve">una condición para </w:t>
      </w:r>
      <w:r w:rsidR="006F6215">
        <w:t xml:space="preserve">el </w:t>
      </w:r>
      <w:r w:rsidR="001A2B85">
        <w:t>ascen</w:t>
      </w:r>
      <w:r w:rsidR="006F6215">
        <w:t>so</w:t>
      </w:r>
      <w:r>
        <w:t xml:space="preserve">. El elemento aire secundado por el elemento fuego </w:t>
      </w:r>
      <w:r w:rsidR="006F6215">
        <w:t xml:space="preserve">será </w:t>
      </w:r>
      <w:r>
        <w:t>una condición para moverse hacia adelante y hacia los lados (ver XX.62f. y M-a I 160).</w:t>
      </w:r>
    </w:p>
    <w:p w14:paraId="13BA8D41" w14:textId="1199591B" w:rsidR="00F933CD" w:rsidRDefault="00F933CD" w:rsidP="00F933CD">
      <w:pPr>
        <w:pStyle w:val="NormalConSangria"/>
      </w:pPr>
      <w:r>
        <w:t>Así es como se les debe</w:t>
      </w:r>
      <w:r w:rsidR="006F6215">
        <w:t>rá</w:t>
      </w:r>
      <w:r>
        <w:t xml:space="preserve"> prestar atención “en cuanto a</w:t>
      </w:r>
      <w:r w:rsidR="00C50A7D">
        <w:t>l</w:t>
      </w:r>
      <w:r>
        <w:t xml:space="preserve"> análisis de </w:t>
      </w:r>
      <w:r w:rsidR="00C50A7D">
        <w:t xml:space="preserve">las </w:t>
      </w:r>
      <w:r>
        <w:t>condiciones”.</w:t>
      </w:r>
    </w:p>
    <w:p w14:paraId="76C9BE04" w14:textId="5F36D4BC" w:rsidR="00F933CD" w:rsidRDefault="00F933CD" w:rsidP="00F933CD">
      <w:r>
        <w:t xml:space="preserve">116. </w:t>
      </w:r>
      <w:r>
        <w:tab/>
        <w:t xml:space="preserve">A medida que </w:t>
      </w:r>
      <w:r w:rsidR="006F6215">
        <w:t xml:space="preserve">él </w:t>
      </w:r>
      <w:r>
        <w:t>les d</w:t>
      </w:r>
      <w:r w:rsidR="00A26DD9">
        <w:t>é así</w:t>
      </w:r>
      <w:r>
        <w:t xml:space="preserve"> su atención "en cuanto al significado de las palabras", etc., los elementos se le ha</w:t>
      </w:r>
      <w:r w:rsidR="00A26DD9">
        <w:t>rá</w:t>
      </w:r>
      <w:r>
        <w:t xml:space="preserve">n evidentes bajo cada </w:t>
      </w:r>
      <w:r w:rsidR="00A26DD9">
        <w:t>título</w:t>
      </w:r>
      <w:r>
        <w:t>. A medida que una y otra vez los adviert</w:t>
      </w:r>
      <w:r w:rsidR="00A26DD9">
        <w:t>a</w:t>
      </w:r>
      <w:r>
        <w:t xml:space="preserve"> y les prest</w:t>
      </w:r>
      <w:r w:rsidR="00A26DD9">
        <w:t>e</w:t>
      </w:r>
      <w:r>
        <w:t xml:space="preserve"> atención, surg</w:t>
      </w:r>
      <w:r w:rsidR="00A26DD9">
        <w:t>irá</w:t>
      </w:r>
      <w:r>
        <w:t xml:space="preserve"> la concentración de acceso de la manera ya descrita. Y </w:t>
      </w:r>
      <w:r w:rsidR="00A26DD9">
        <w:t xml:space="preserve">a </w:t>
      </w:r>
      <w:r>
        <w:t xml:space="preserve">esta concentración también se </w:t>
      </w:r>
      <w:r w:rsidR="00A26DD9">
        <w:t xml:space="preserve">le </w:t>
      </w:r>
      <w:r>
        <w:t>llama</w:t>
      </w:r>
      <w:r w:rsidR="00A26DD9">
        <w:t>rá</w:t>
      </w:r>
      <w:r>
        <w:t xml:space="preserve"> “definición de los cuatro elementos” porque surg</w:t>
      </w:r>
      <w:r w:rsidR="00A26DD9">
        <w:t>irá</w:t>
      </w:r>
      <w:r>
        <w:t xml:space="preserve"> en quien defin</w:t>
      </w:r>
      <w:r w:rsidR="007C1378">
        <w:t>a</w:t>
      </w:r>
      <w:r>
        <w:t xml:space="preserve"> los cuatro elementos debido a la influencia de su conocimiento.</w:t>
      </w:r>
    </w:p>
    <w:p w14:paraId="348BA3A1" w14:textId="6386EA28" w:rsidR="00F933CD" w:rsidRDefault="00F933CD" w:rsidP="00F933CD">
      <w:r>
        <w:t xml:space="preserve">117. </w:t>
      </w:r>
      <w:r>
        <w:tab/>
        <w:t xml:space="preserve">Este </w:t>
      </w:r>
      <w:proofErr w:type="spellStart"/>
      <w:r w:rsidR="00057BF4" w:rsidRPr="00057BF4">
        <w:rPr>
          <w:i/>
        </w:rPr>
        <w:t>bhikkhu</w:t>
      </w:r>
      <w:proofErr w:type="spellEnd"/>
      <w:r>
        <w:t xml:space="preserve"> que se dedi</w:t>
      </w:r>
      <w:r w:rsidR="007C1378">
        <w:t>que</w:t>
      </w:r>
      <w:r>
        <w:t xml:space="preserve"> a la definición de los </w:t>
      </w:r>
      <w:r w:rsidR="00703FCE">
        <w:t>4</w:t>
      </w:r>
      <w:r>
        <w:t xml:space="preserve"> elementos se sumerg</w:t>
      </w:r>
      <w:r w:rsidR="005104F7">
        <w:t>i</w:t>
      </w:r>
      <w:r w:rsidR="007C1378">
        <w:t>r</w:t>
      </w:r>
      <w:r w:rsidR="005104F7">
        <w:t>á</w:t>
      </w:r>
      <w:r>
        <w:t xml:space="preserve"> en </w:t>
      </w:r>
      <w:r w:rsidR="00703FCE">
        <w:t>la vacuidad</w:t>
      </w:r>
      <w:r>
        <w:t xml:space="preserve"> y elimina</w:t>
      </w:r>
      <w:r w:rsidR="005104F7">
        <w:t>rá</w:t>
      </w:r>
      <w:r>
        <w:t xml:space="preserve"> la percepción de los seres vivos. Puesto que no alberga</w:t>
      </w:r>
      <w:r w:rsidR="005104F7">
        <w:t>rá</w:t>
      </w:r>
      <w:r>
        <w:t xml:space="preserve"> nociones falsas sobre </w:t>
      </w:r>
      <w:r w:rsidR="00910022">
        <w:t xml:space="preserve">las </w:t>
      </w:r>
      <w:r>
        <w:t>bestias salvajes, espíritus, ogros, etc., porque ha</w:t>
      </w:r>
      <w:r w:rsidR="00910022">
        <w:t>brá</w:t>
      </w:r>
      <w:r>
        <w:t xml:space="preserve"> abolido la percepción de los seres vivos, venc</w:t>
      </w:r>
      <w:r w:rsidR="000E5E59">
        <w:t>ido</w:t>
      </w:r>
      <w:r>
        <w:t xml:space="preserve"> el miedo y el pavor y venc</w:t>
      </w:r>
      <w:r w:rsidR="000E5E59">
        <w:t>ido</w:t>
      </w:r>
      <w:r>
        <w:t xml:space="preserve"> el </w:t>
      </w:r>
      <w:r w:rsidR="000E5E59">
        <w:t xml:space="preserve">placer </w:t>
      </w:r>
      <w:r>
        <w:t>y la aversión (aburrimiento); no se regocija</w:t>
      </w:r>
      <w:r w:rsidR="000E5E59">
        <w:t>rá</w:t>
      </w:r>
      <w:r>
        <w:t xml:space="preserve"> ni se deprim</w:t>
      </w:r>
      <w:r w:rsidR="000E5E59">
        <w:t>irá</w:t>
      </w:r>
      <w:r w:rsidRPr="00C246F5">
        <w:rPr>
          <w:vertAlign w:val="superscript"/>
        </w:rPr>
        <w:t>42</w:t>
      </w:r>
      <w:r>
        <w:t xml:space="preserve"> por las cosas agradables y desagradables; y como alguien de gran entendimiento, </w:t>
      </w:r>
      <w:r w:rsidR="004D19F3">
        <w:t xml:space="preserve">consumará </w:t>
      </w:r>
      <w:r>
        <w:t>lo inmortal o est</w:t>
      </w:r>
      <w:r w:rsidR="004D19F3">
        <w:t>ar</w:t>
      </w:r>
      <w:r>
        <w:t xml:space="preserve">á destinado </w:t>
      </w:r>
      <w:r w:rsidR="002B74DD">
        <w:t xml:space="preserve">hacia </w:t>
      </w:r>
      <w:r>
        <w:t>un destino feliz.</w:t>
      </w:r>
    </w:p>
    <w:p w14:paraId="6C111AD9" w14:textId="467FC0BF" w:rsidR="00F933CD" w:rsidRPr="00A26DD9" w:rsidRDefault="00CB6087" w:rsidP="00F933CD">
      <w:pPr>
        <w:pStyle w:val="VersoIngls01Sangria"/>
        <w:rPr>
          <w:sz w:val="16"/>
          <w:szCs w:val="20"/>
        </w:rPr>
      </w:pPr>
      <w:r>
        <w:rPr>
          <w:sz w:val="16"/>
          <w:szCs w:val="20"/>
        </w:rPr>
        <w:t>La d</w:t>
      </w:r>
      <w:r w:rsidR="00F933CD" w:rsidRPr="00A26DD9">
        <w:rPr>
          <w:sz w:val="16"/>
          <w:szCs w:val="20"/>
        </w:rPr>
        <w:t>efinición de los cuatro elementos</w:t>
      </w:r>
    </w:p>
    <w:p w14:paraId="673FDBFC" w14:textId="7A29F0B8" w:rsidR="00F933CD" w:rsidRPr="00A26DD9" w:rsidRDefault="002B74DD" w:rsidP="00F933CD">
      <w:pPr>
        <w:pStyle w:val="VersoIngls01Sangria"/>
        <w:rPr>
          <w:sz w:val="16"/>
          <w:szCs w:val="20"/>
        </w:rPr>
      </w:pPr>
      <w:r>
        <w:rPr>
          <w:sz w:val="16"/>
          <w:szCs w:val="20"/>
        </w:rPr>
        <w:t xml:space="preserve">Será </w:t>
      </w:r>
      <w:r w:rsidR="00F933CD" w:rsidRPr="00A26DD9">
        <w:rPr>
          <w:sz w:val="16"/>
          <w:szCs w:val="20"/>
        </w:rPr>
        <w:t xml:space="preserve">siempre </w:t>
      </w:r>
      <w:r w:rsidR="00780721">
        <w:rPr>
          <w:sz w:val="16"/>
          <w:szCs w:val="20"/>
        </w:rPr>
        <w:t>el</w:t>
      </w:r>
      <w:r w:rsidR="00F933CD" w:rsidRPr="00A26DD9">
        <w:rPr>
          <w:sz w:val="16"/>
          <w:szCs w:val="20"/>
        </w:rPr>
        <w:t xml:space="preserve"> recurso del hombre sabio;</w:t>
      </w:r>
    </w:p>
    <w:p w14:paraId="17E734C8" w14:textId="6557B35C" w:rsidR="00F933CD" w:rsidRPr="002B74DD" w:rsidRDefault="002B74DD" w:rsidP="00F933CD">
      <w:pPr>
        <w:pStyle w:val="VersoIngls01Sangria"/>
        <w:rPr>
          <w:sz w:val="16"/>
          <w:szCs w:val="20"/>
        </w:rPr>
      </w:pPr>
      <w:r>
        <w:rPr>
          <w:sz w:val="16"/>
          <w:szCs w:val="20"/>
        </w:rPr>
        <w:t>De</w:t>
      </w:r>
      <w:r w:rsidR="00F933CD" w:rsidRPr="00A26DD9">
        <w:rPr>
          <w:sz w:val="16"/>
          <w:szCs w:val="20"/>
        </w:rPr>
        <w:t xml:space="preserve">l noble </w:t>
      </w:r>
      <w:r w:rsidR="00780721">
        <w:rPr>
          <w:sz w:val="16"/>
          <w:szCs w:val="20"/>
        </w:rPr>
        <w:t xml:space="preserve">y </w:t>
      </w:r>
      <w:r w:rsidR="00780721" w:rsidRPr="00A26DD9">
        <w:rPr>
          <w:sz w:val="16"/>
          <w:szCs w:val="20"/>
        </w:rPr>
        <w:t>león</w:t>
      </w:r>
      <w:r w:rsidR="00780721" w:rsidRPr="00A26DD9">
        <w:rPr>
          <w:sz w:val="16"/>
          <w:szCs w:val="20"/>
          <w:vertAlign w:val="superscript"/>
        </w:rPr>
        <w:t>43</w:t>
      </w:r>
      <w:r w:rsidR="00780721">
        <w:rPr>
          <w:sz w:val="16"/>
          <w:szCs w:val="20"/>
        </w:rPr>
        <w:t xml:space="preserve"> </w:t>
      </w:r>
      <w:r w:rsidR="00F933CD" w:rsidRPr="00A26DD9">
        <w:rPr>
          <w:sz w:val="16"/>
          <w:szCs w:val="20"/>
        </w:rPr>
        <w:t xml:space="preserve">meditador </w:t>
      </w:r>
      <w:r>
        <w:rPr>
          <w:sz w:val="16"/>
          <w:szCs w:val="20"/>
        </w:rPr>
        <w:t>qu</w:t>
      </w:r>
      <w:r w:rsidR="00171663">
        <w:rPr>
          <w:sz w:val="16"/>
          <w:szCs w:val="20"/>
        </w:rPr>
        <w:t>ien</w:t>
      </w:r>
    </w:p>
    <w:p w14:paraId="1BE09528" w14:textId="19B77C43" w:rsidR="00F933CD" w:rsidRPr="00A26DD9" w:rsidRDefault="00F933CD" w:rsidP="00F933CD">
      <w:pPr>
        <w:pStyle w:val="VersoIngls01Sangria"/>
        <w:spacing w:after="100"/>
        <w:ind w:left="1418"/>
        <w:rPr>
          <w:sz w:val="16"/>
          <w:szCs w:val="20"/>
        </w:rPr>
      </w:pPr>
      <w:r w:rsidRPr="00A26DD9">
        <w:rPr>
          <w:sz w:val="16"/>
          <w:szCs w:val="20"/>
        </w:rPr>
        <w:t xml:space="preserve">Hará de este poderoso </w:t>
      </w:r>
      <w:r w:rsidR="00913B23">
        <w:rPr>
          <w:sz w:val="16"/>
          <w:szCs w:val="20"/>
        </w:rPr>
        <w:t>objeto</w:t>
      </w:r>
      <w:r w:rsidRPr="00A26DD9">
        <w:rPr>
          <w:sz w:val="16"/>
          <w:szCs w:val="20"/>
        </w:rPr>
        <w:t xml:space="preserve"> su </w:t>
      </w:r>
      <w:r w:rsidR="00F04D3E">
        <w:rPr>
          <w:sz w:val="16"/>
          <w:szCs w:val="20"/>
        </w:rPr>
        <w:t>práctica</w:t>
      </w:r>
      <w:r w:rsidRPr="00A26DD9">
        <w:rPr>
          <w:sz w:val="16"/>
          <w:szCs w:val="20"/>
        </w:rPr>
        <w:t>.</w:t>
      </w:r>
    </w:p>
    <w:p w14:paraId="11C6D15D" w14:textId="23E4C7EA" w:rsidR="00F933CD" w:rsidRDefault="00F04D3E" w:rsidP="00F933CD">
      <w:pPr>
        <w:pStyle w:val="NormalConSangria"/>
      </w:pPr>
      <w:r>
        <w:t>É</w:t>
      </w:r>
      <w:r w:rsidR="00F933CD">
        <w:t>sta es la descripción del desarrollo de la definición de los cuatro elementos. [371]</w:t>
      </w:r>
    </w:p>
    <w:p w14:paraId="135A883F" w14:textId="42E25785" w:rsidR="00F933CD" w:rsidRPr="00F933CD" w:rsidRDefault="00F933CD" w:rsidP="00F933CD">
      <w:pPr>
        <w:pStyle w:val="PiedepginaLegal"/>
        <w:rPr>
          <w:u w:val="single"/>
        </w:rPr>
      </w:pPr>
      <w:r w:rsidRPr="00F933CD">
        <w:rPr>
          <w:u w:val="single"/>
        </w:rPr>
        <w:tab/>
      </w:r>
      <w:r w:rsidRPr="00F933CD">
        <w:rPr>
          <w:u w:val="single"/>
        </w:rPr>
        <w:tab/>
      </w:r>
      <w:r w:rsidRPr="00F933CD">
        <w:rPr>
          <w:u w:val="single"/>
        </w:rPr>
        <w:tab/>
      </w:r>
      <w:r w:rsidRPr="00F933CD">
        <w:rPr>
          <w:u w:val="single"/>
        </w:rPr>
        <w:tab/>
        <w:t>.</w:t>
      </w:r>
    </w:p>
    <w:p w14:paraId="132999DA" w14:textId="61F4903A" w:rsidR="00F933CD" w:rsidRDefault="00F933CD" w:rsidP="00F933CD">
      <w:pPr>
        <w:pStyle w:val="PiedepginaLegal"/>
      </w:pPr>
      <w:r>
        <w:t xml:space="preserve">42. </w:t>
      </w:r>
      <w:r>
        <w:tab/>
      </w:r>
      <w:proofErr w:type="spellStart"/>
      <w:r w:rsidRPr="00A75167">
        <w:rPr>
          <w:i/>
          <w:iCs/>
        </w:rPr>
        <w:t>Ugghāta</w:t>
      </w:r>
      <w:proofErr w:type="spellEnd"/>
      <w:r>
        <w:t>—“</w:t>
      </w:r>
      <w:r w:rsidR="007F2784">
        <w:t>estimulado</w:t>
      </w:r>
      <w:r>
        <w:t xml:space="preserve">” y </w:t>
      </w:r>
      <w:proofErr w:type="spellStart"/>
      <w:r w:rsidRPr="00A75167">
        <w:rPr>
          <w:i/>
          <w:iCs/>
        </w:rPr>
        <w:t>nigghāta</w:t>
      </w:r>
      <w:proofErr w:type="spellEnd"/>
      <w:r>
        <w:t xml:space="preserve">—“deprimido”: ninguna </w:t>
      </w:r>
      <w:r w:rsidR="00154A4B">
        <w:t xml:space="preserve">de estas </w:t>
      </w:r>
      <w:r>
        <w:t>palabra</w:t>
      </w:r>
      <w:r w:rsidR="00154A4B">
        <w:t>s</w:t>
      </w:r>
      <w:r>
        <w:t xml:space="preserve"> </w:t>
      </w:r>
      <w:r w:rsidR="00154A4B">
        <w:t xml:space="preserve">se encuentra </w:t>
      </w:r>
      <w:r>
        <w:t xml:space="preserve">en </w:t>
      </w:r>
      <w:r w:rsidR="00154A4B">
        <w:t xml:space="preserve">el </w:t>
      </w:r>
      <w:r>
        <w:t xml:space="preserve">PED; </w:t>
      </w:r>
      <w:proofErr w:type="spellStart"/>
      <w:r>
        <w:t>Vism</w:t>
      </w:r>
      <w:r w:rsidR="004D00DF">
        <w:t>-</w:t>
      </w:r>
      <w:r>
        <w:t>mhṭ</w:t>
      </w:r>
      <w:proofErr w:type="spellEnd"/>
      <w:r>
        <w:t xml:space="preserve"> </w:t>
      </w:r>
      <w:r w:rsidR="00B77BFF">
        <w:t xml:space="preserve">lo </w:t>
      </w:r>
      <w:r>
        <w:t xml:space="preserve">glosa con </w:t>
      </w:r>
      <w:proofErr w:type="spellStart"/>
      <w:r w:rsidRPr="004D00DF">
        <w:rPr>
          <w:i/>
          <w:iCs/>
        </w:rPr>
        <w:t>ubbilāvitatta</w:t>
      </w:r>
      <w:proofErr w:type="spellEnd"/>
      <w:r>
        <w:t xml:space="preserve"> y </w:t>
      </w:r>
      <w:proofErr w:type="spellStart"/>
      <w:r w:rsidRPr="004D00DF">
        <w:rPr>
          <w:i/>
          <w:iCs/>
        </w:rPr>
        <w:t>dìnabhāvappatti</w:t>
      </w:r>
      <w:proofErr w:type="spellEnd"/>
      <w:r>
        <w:t xml:space="preserve"> respectivamente.</w:t>
      </w:r>
    </w:p>
    <w:p w14:paraId="11DCE7F2" w14:textId="77777777" w:rsidR="00F933CD" w:rsidRDefault="00F933CD" w:rsidP="00F933CD">
      <w:pPr>
        <w:pStyle w:val="PiedepginaLegal"/>
      </w:pPr>
      <w:r>
        <w:t xml:space="preserve">43. </w:t>
      </w:r>
      <w:r>
        <w:tab/>
        <w:t xml:space="preserve">Leer </w:t>
      </w:r>
      <w:proofErr w:type="spellStart"/>
      <w:r w:rsidRPr="004D00DF">
        <w:rPr>
          <w:i/>
          <w:iCs/>
        </w:rPr>
        <w:t>yogivarasīhassa</w:t>
      </w:r>
      <w:proofErr w:type="spellEnd"/>
      <w:r>
        <w:t xml:space="preserve"> </w:t>
      </w:r>
      <w:proofErr w:type="spellStart"/>
      <w:r w:rsidRPr="004D00DF">
        <w:rPr>
          <w:i/>
          <w:iCs/>
        </w:rPr>
        <w:t>kīlitaṃ</w:t>
      </w:r>
      <w:proofErr w:type="spellEnd"/>
      <w:r>
        <w:t xml:space="preserve">. Cf. </w:t>
      </w:r>
      <w:proofErr w:type="spellStart"/>
      <w:r w:rsidRPr="004D00DF">
        <w:rPr>
          <w:i/>
          <w:iCs/>
        </w:rPr>
        <w:t>Nettippakaraṇa</w:t>
      </w:r>
      <w:proofErr w:type="spellEnd"/>
      <w:r>
        <w:t xml:space="preserve"> “</w:t>
      </w:r>
      <w:proofErr w:type="spellStart"/>
      <w:r w:rsidRPr="004D00DF">
        <w:rPr>
          <w:i/>
          <w:iCs/>
        </w:rPr>
        <w:t>Sīha-kīlana</w:t>
      </w:r>
      <w:proofErr w:type="spellEnd"/>
      <w:r>
        <w:t>”.</w:t>
      </w:r>
    </w:p>
    <w:p w14:paraId="42DC9519" w14:textId="77777777" w:rsidR="00F933CD" w:rsidRDefault="00F933CD">
      <w:pPr>
        <w:tabs>
          <w:tab w:val="clear" w:pos="425"/>
        </w:tabs>
        <w:spacing w:after="160"/>
      </w:pPr>
      <w:r>
        <w:br w:type="page"/>
      </w:r>
    </w:p>
    <w:p w14:paraId="494B5199" w14:textId="77777777" w:rsidR="00C967D4" w:rsidRDefault="00C967D4" w:rsidP="00F933CD"/>
    <w:p w14:paraId="15AED465" w14:textId="33E5113F" w:rsidR="00C967D4" w:rsidRDefault="00C967D4" w:rsidP="00C967D4">
      <w:pPr>
        <w:pStyle w:val="Ttulo3"/>
        <w:ind w:left="708"/>
      </w:pPr>
      <w:r>
        <w:t>[Desarrollo de L</w:t>
      </w:r>
      <w:r w:rsidR="00EE0AD7">
        <w:t>a</w:t>
      </w:r>
      <w:r>
        <w:t xml:space="preserve"> Concentración—Conclusión]</w:t>
      </w:r>
    </w:p>
    <w:p w14:paraId="6F16EACC" w14:textId="59CC0670" w:rsidR="00C967D4" w:rsidRDefault="00C967D4" w:rsidP="00C967D4">
      <w:r>
        <w:t xml:space="preserve">118. </w:t>
      </w:r>
      <w:r>
        <w:tab/>
        <w:t xml:space="preserve">Esto </w:t>
      </w:r>
      <w:r w:rsidR="00CB6087">
        <w:t>pone fin</w:t>
      </w:r>
      <w:r w:rsidR="00455B70">
        <w:t>,</w:t>
      </w:r>
      <w:r>
        <w:t xml:space="preserve"> </w:t>
      </w:r>
      <w:r w:rsidR="00455B70">
        <w:t>en</w:t>
      </w:r>
      <w:r>
        <w:t xml:space="preserve"> todos sus aspectos</w:t>
      </w:r>
      <w:r w:rsidR="00455B70">
        <w:t>,</w:t>
      </w:r>
      <w:r>
        <w:t xml:space="preserve"> </w:t>
      </w:r>
      <w:r w:rsidR="00455B70">
        <w:t>a</w:t>
      </w:r>
      <w:r>
        <w:t>l comentario sobre el significado de la cláusula, "¿Cómo debe desarrollarse?" en el conjunto de preguntas que comienzan con "¿Qué es la concentración?" que fue</w:t>
      </w:r>
      <w:r w:rsidR="00935215">
        <w:t>ran</w:t>
      </w:r>
      <w:r>
        <w:t xml:space="preserve"> formulad</w:t>
      </w:r>
      <w:r w:rsidR="00935215">
        <w:t>as</w:t>
      </w:r>
      <w:r>
        <w:t xml:space="preserve"> para </w:t>
      </w:r>
      <w:r w:rsidR="00935215">
        <w:t>exponer</w:t>
      </w:r>
      <w:r>
        <w:t xml:space="preserve"> el método de desarrollo de la concentración en detalle (ver III.1).</w:t>
      </w:r>
    </w:p>
    <w:p w14:paraId="5D3A9895" w14:textId="7259D4FD" w:rsidR="00C967D4" w:rsidRDefault="00C967D4" w:rsidP="00C967D4">
      <w:r>
        <w:t xml:space="preserve">119. </w:t>
      </w:r>
      <w:r>
        <w:tab/>
        <w:t xml:space="preserve">Esta concentración, como se pretende aquí, </w:t>
      </w:r>
      <w:r w:rsidR="00935215">
        <w:t xml:space="preserve">será </w:t>
      </w:r>
      <w:r>
        <w:t xml:space="preserve">doble, es decir, </w:t>
      </w:r>
      <w:r w:rsidR="00935215">
        <w:t xml:space="preserve">como </w:t>
      </w:r>
      <w:r>
        <w:t xml:space="preserve">concentración de acceso y concentración de absorción. Aquí, la unificación de la mente en el caso de </w:t>
      </w:r>
      <w:r w:rsidR="00935215">
        <w:t xml:space="preserve">los </w:t>
      </w:r>
      <w:r>
        <w:t xml:space="preserve">diez </w:t>
      </w:r>
      <w:r w:rsidR="00935215">
        <w:t xml:space="preserve">objetos </w:t>
      </w:r>
      <w:r>
        <w:t>de meditación y en la con</w:t>
      </w:r>
      <w:r w:rsidR="00935215">
        <w:t>s</w:t>
      </w:r>
      <w:r>
        <w:t>ciencia que preced</w:t>
      </w:r>
      <w:r w:rsidR="00935215">
        <w:t>a</w:t>
      </w:r>
      <w:r>
        <w:t xml:space="preserve"> a la absorción [en el caso de los restantes </w:t>
      </w:r>
      <w:r w:rsidR="00935215">
        <w:t xml:space="preserve">objetos </w:t>
      </w:r>
      <w:r>
        <w:t>de meditación]</w:t>
      </w:r>
      <w:r w:rsidRPr="00C246F5">
        <w:rPr>
          <w:vertAlign w:val="superscript"/>
        </w:rPr>
        <w:t>44</w:t>
      </w:r>
      <w:r>
        <w:t xml:space="preserve"> </w:t>
      </w:r>
      <w:r w:rsidR="00E962F2">
        <w:t xml:space="preserve">corresponderán a la </w:t>
      </w:r>
      <w:r>
        <w:t xml:space="preserve">concentración de acceso. La unificación de la mente en el caso de los </w:t>
      </w:r>
      <w:r w:rsidR="00E962F2">
        <w:t xml:space="preserve">objetos </w:t>
      </w:r>
      <w:r>
        <w:t xml:space="preserve">de meditación restantes </w:t>
      </w:r>
      <w:r w:rsidR="00E962F2">
        <w:t xml:space="preserve">corresponderá a </w:t>
      </w:r>
      <w:r>
        <w:t>la concentración de absorción. Y así se desarrolla</w:t>
      </w:r>
      <w:r w:rsidR="00E962F2">
        <w:t>rá</w:t>
      </w:r>
      <w:r>
        <w:t xml:space="preserve"> en dos formas con el desarrollo de estos </w:t>
      </w:r>
      <w:r w:rsidR="00E962F2">
        <w:t xml:space="preserve">objetos </w:t>
      </w:r>
      <w:r>
        <w:t xml:space="preserve">de meditación. Por eso se dijo </w:t>
      </w:r>
      <w:r w:rsidR="00E962F2">
        <w:t>anteriormente</w:t>
      </w:r>
      <w:r>
        <w:t>: “Esto completa en todos sus aspectos el comentario sobre el significado de la cláusula, ‘¿Cómo debe desarrollarse?’”</w:t>
      </w:r>
    </w:p>
    <w:p w14:paraId="2BFC6B5D" w14:textId="71982116" w:rsidR="00C967D4" w:rsidRDefault="00C967D4" w:rsidP="00C967D4">
      <w:pPr>
        <w:pStyle w:val="Ttulo3"/>
        <w:ind w:left="708"/>
      </w:pPr>
      <w:r>
        <w:t>[Los Beneficios de Desarrollar la Concentración]</w:t>
      </w:r>
    </w:p>
    <w:p w14:paraId="0DAFA375" w14:textId="4E8FB502" w:rsidR="00C967D4" w:rsidRDefault="00C967D4" w:rsidP="00C967D4">
      <w:r>
        <w:t xml:space="preserve">120. </w:t>
      </w:r>
      <w:r>
        <w:tab/>
      </w:r>
      <w:r w:rsidR="00D025C4">
        <w:t>No obstante,</w:t>
      </w:r>
      <w:r w:rsidR="00E962F2">
        <w:t xml:space="preserve"> </w:t>
      </w:r>
      <w:r w:rsidR="00D025C4">
        <w:t>l</w:t>
      </w:r>
      <w:r>
        <w:t>a pregunta, (</w:t>
      </w:r>
      <w:proofErr w:type="spellStart"/>
      <w:r>
        <w:t>viii</w:t>
      </w:r>
      <w:proofErr w:type="spellEnd"/>
      <w:r>
        <w:t>) ¿</w:t>
      </w:r>
      <w:r w:rsidRPr="004D00DF">
        <w:rPr>
          <w:i/>
          <w:iCs/>
        </w:rPr>
        <w:t>cuáles son los beneficios del desarrollo de la concentración</w:t>
      </w:r>
      <w:r>
        <w:t xml:space="preserve">? también se </w:t>
      </w:r>
      <w:r w:rsidR="00D025C4">
        <w:t xml:space="preserve">ha </w:t>
      </w:r>
      <w:r>
        <w:t>pregunt</w:t>
      </w:r>
      <w:r w:rsidR="00D025C4">
        <w:t>ado</w:t>
      </w:r>
      <w:r>
        <w:t xml:space="preserve"> (III.1). </w:t>
      </w:r>
      <w:r w:rsidR="00892D44">
        <w:t>Al respecto</w:t>
      </w:r>
      <w:r>
        <w:t>, los beneficios del desarrollo de la concentración son cinco</w:t>
      </w:r>
      <w:r w:rsidR="002F0019">
        <w:t>:</w:t>
      </w:r>
      <w:r>
        <w:t xml:space="preserve"> </w:t>
      </w:r>
      <w:r w:rsidR="00242536">
        <w:t xml:space="preserve">un estado de dicha </w:t>
      </w:r>
      <w:r>
        <w:t xml:space="preserve">aquí y ahora, </w:t>
      </w:r>
      <w:r w:rsidR="002F0019">
        <w:t>etc</w:t>
      </w:r>
      <w:r>
        <w:t xml:space="preserve">. </w:t>
      </w:r>
      <w:r w:rsidR="004E6A16">
        <w:t xml:space="preserve">Ya </w:t>
      </w:r>
      <w:r>
        <w:t xml:space="preserve">que el desarrollo de la concentración </w:t>
      </w:r>
      <w:r w:rsidR="004E6A16">
        <w:t xml:space="preserve">en </w:t>
      </w:r>
      <w:r>
        <w:t>absorción proporciona</w:t>
      </w:r>
      <w:r w:rsidR="00677857">
        <w:t>rá</w:t>
      </w:r>
      <w:r>
        <w:t xml:space="preserve"> el beneficio de </w:t>
      </w:r>
      <w:r w:rsidR="00242536">
        <w:t>un estado de dicha</w:t>
      </w:r>
      <w:r>
        <w:t xml:space="preserve"> aquí y ahora para los </w:t>
      </w:r>
      <w:r w:rsidR="004E6A16" w:rsidRPr="00057BF4">
        <w:rPr>
          <w:i/>
        </w:rPr>
        <w:t>Arahant</w:t>
      </w:r>
      <w:r w:rsidR="004E6A16">
        <w:t xml:space="preserve">s </w:t>
      </w:r>
      <w:r>
        <w:t xml:space="preserve">con </w:t>
      </w:r>
      <w:r w:rsidR="00242536">
        <w:t>corrupciones extintas</w:t>
      </w:r>
      <w:r>
        <w:t xml:space="preserve"> que </w:t>
      </w:r>
      <w:r w:rsidR="00677857">
        <w:t xml:space="preserve">hayan </w:t>
      </w:r>
      <w:r>
        <w:t>desarrolla</w:t>
      </w:r>
      <w:r w:rsidR="00677857">
        <w:t>do</w:t>
      </w:r>
      <w:r>
        <w:t xml:space="preserve"> </w:t>
      </w:r>
      <w:r w:rsidR="00242536">
        <w:t xml:space="preserve">la </w:t>
      </w:r>
      <w:r>
        <w:t>concentración, pensando: “</w:t>
      </w:r>
      <w:r w:rsidR="00274206">
        <w:t>Consumemos</w:t>
      </w:r>
      <w:r>
        <w:t xml:space="preserve"> y </w:t>
      </w:r>
      <w:r w:rsidR="00242536">
        <w:t>habit</w:t>
      </w:r>
      <w:r w:rsidR="00274206">
        <w:t>e</w:t>
      </w:r>
      <w:r w:rsidR="00242536">
        <w:t xml:space="preserve">mos </w:t>
      </w:r>
      <w:r>
        <w:t xml:space="preserve">con la mente unificada durante todo un día”. Por eso el </w:t>
      </w:r>
      <w:r w:rsidR="00242536" w:rsidRPr="00242536">
        <w:rPr>
          <w:i/>
          <w:iCs/>
        </w:rPr>
        <w:t>Bhagavā</w:t>
      </w:r>
      <w:r w:rsidR="00242536">
        <w:t xml:space="preserve"> </w:t>
      </w:r>
      <w:r>
        <w:t xml:space="preserve">dijo: “Pero, Cunda, no </w:t>
      </w:r>
      <w:r w:rsidR="00221AFE">
        <w:t>es a esto</w:t>
      </w:r>
      <w:r>
        <w:t xml:space="preserve"> que se </w:t>
      </w:r>
      <w:r w:rsidR="00274206">
        <w:t xml:space="preserve">le </w:t>
      </w:r>
      <w:r w:rsidR="00221AFE">
        <w:t xml:space="preserve">denomina la </w:t>
      </w:r>
      <w:r w:rsidR="00A1098D">
        <w:t>purificación</w:t>
      </w:r>
      <w:r w:rsidR="00221AFE">
        <w:t xml:space="preserve"> </w:t>
      </w:r>
      <w:r w:rsidR="00274206">
        <w:t>e</w:t>
      </w:r>
      <w:r w:rsidR="007E3049">
        <w:t>n</w:t>
      </w:r>
      <w:r>
        <w:t xml:space="preserve"> la disciplina de los Nobles; </w:t>
      </w:r>
      <w:r w:rsidR="007E3049">
        <w:t xml:space="preserve">en la disciplina de los Nobles a </w:t>
      </w:r>
      <w:r>
        <w:t xml:space="preserve">estos </w:t>
      </w:r>
      <w:r w:rsidR="007E3049">
        <w:t>se les</w:t>
      </w:r>
      <w:r>
        <w:t xml:space="preserve"> llama </w:t>
      </w:r>
      <w:r w:rsidR="00242536">
        <w:t>estados de dicha</w:t>
      </w:r>
      <w:r>
        <w:t>” (M I 40).</w:t>
      </w:r>
    </w:p>
    <w:p w14:paraId="261E7CB9" w14:textId="1BB74753" w:rsidR="00C967D4" w:rsidRDefault="00C967D4" w:rsidP="00C967D4">
      <w:r>
        <w:t xml:space="preserve">121. </w:t>
      </w:r>
      <w:r>
        <w:tab/>
        <w:t xml:space="preserve">Cuando la gente </w:t>
      </w:r>
      <w:r w:rsidR="00425BC6">
        <w:t>ordinar</w:t>
      </w:r>
      <w:r w:rsidR="00024BC1">
        <w:t>ia</w:t>
      </w:r>
      <w:r>
        <w:t xml:space="preserve"> y los </w:t>
      </w:r>
      <w:r w:rsidR="001B6FA9">
        <w:t xml:space="preserve">instructores </w:t>
      </w:r>
      <w:r>
        <w:t xml:space="preserve">lo desarrollan, pensando: "Después de emerger, ejercitaremos la </w:t>
      </w:r>
      <w:r w:rsidR="00A47DEC">
        <w:t>sabiduría–revelativa</w:t>
      </w:r>
      <w:r w:rsidR="00082184">
        <w:t xml:space="preserve"> </w:t>
      </w:r>
      <w:r>
        <w:t>con la con</w:t>
      </w:r>
      <w:r w:rsidR="00082184">
        <w:t>s</w:t>
      </w:r>
      <w:r>
        <w:t>ciencia concentrada", el desarrollo de la concentración e</w:t>
      </w:r>
      <w:r w:rsidR="00BA264F">
        <w:t>n</w:t>
      </w:r>
      <w:r>
        <w:t xml:space="preserve"> absorción les proporciona el beneficio de la </w:t>
      </w:r>
      <w:r w:rsidR="00BA264F">
        <w:t>sabiduría</w:t>
      </w:r>
      <w:r>
        <w:t xml:space="preserve"> al servir como causa próxima </w:t>
      </w:r>
      <w:r w:rsidR="007C5C61">
        <w:t>para</w:t>
      </w:r>
      <w:r>
        <w:t xml:space="preserve"> </w:t>
      </w:r>
      <w:r w:rsidR="00A46441">
        <w:t>tal sabiduría</w:t>
      </w:r>
      <w:r>
        <w:t xml:space="preserve">, y también lo </w:t>
      </w:r>
      <w:r w:rsidR="001B6FA9">
        <w:t>hará</w:t>
      </w:r>
      <w:r w:rsidR="00A46441">
        <w:t xml:space="preserve"> </w:t>
      </w:r>
      <w:r>
        <w:t xml:space="preserve">la concentración </w:t>
      </w:r>
      <w:r w:rsidR="00A46441">
        <w:t xml:space="preserve">de acceso </w:t>
      </w:r>
      <w:r>
        <w:t>como un método para llegar a</w:t>
      </w:r>
      <w:r w:rsidR="00335D13">
        <w:t xml:space="preserve"> la condiciones</w:t>
      </w:r>
      <w:r>
        <w:t xml:space="preserve"> ampliamente abiertas en circunstancias llenas de gente.</w:t>
      </w:r>
      <w:r w:rsidRPr="00C246F5">
        <w:rPr>
          <w:vertAlign w:val="superscript"/>
        </w:rPr>
        <w:t>45</w:t>
      </w:r>
      <w:r>
        <w:t xml:space="preserve"> Por lo tanto, el </w:t>
      </w:r>
      <w:r w:rsidR="003D6EA7" w:rsidRPr="003D6EA7">
        <w:rPr>
          <w:i/>
          <w:iCs/>
        </w:rPr>
        <w:t>Bhagavā</w:t>
      </w:r>
      <w:r w:rsidR="003D6EA7">
        <w:t xml:space="preserve"> </w:t>
      </w:r>
      <w:r>
        <w:t>dijo: “</w:t>
      </w:r>
      <w:proofErr w:type="spellStart"/>
      <w:r w:rsidR="00057BF4" w:rsidRPr="00057BF4">
        <w:rPr>
          <w:i/>
        </w:rPr>
        <w:t>Bhikkhu</w:t>
      </w:r>
      <w:r>
        <w:t>s</w:t>
      </w:r>
      <w:proofErr w:type="spellEnd"/>
      <w:r>
        <w:t xml:space="preserve">, desarrollen la concentración; un </w:t>
      </w:r>
      <w:proofErr w:type="spellStart"/>
      <w:r w:rsidR="00057BF4" w:rsidRPr="00057BF4">
        <w:rPr>
          <w:i/>
        </w:rPr>
        <w:t>bhikkhu</w:t>
      </w:r>
      <w:proofErr w:type="spellEnd"/>
      <w:r>
        <w:t xml:space="preserve"> que est</w:t>
      </w:r>
      <w:r w:rsidR="00CA1716">
        <w:t>é</w:t>
      </w:r>
      <w:r>
        <w:t xml:space="preserve"> concentrado entende</w:t>
      </w:r>
      <w:r w:rsidR="00CA1716">
        <w:t>rá las cosas</w:t>
      </w:r>
      <w:r>
        <w:t xml:space="preserve"> correctamente” (S III 13).</w:t>
      </w:r>
    </w:p>
    <w:p w14:paraId="7AA3880A" w14:textId="2799DDA9" w:rsidR="00C967D4" w:rsidRDefault="00C967D4" w:rsidP="00C967D4">
      <w:r>
        <w:t xml:space="preserve">122. </w:t>
      </w:r>
      <w:r>
        <w:tab/>
        <w:t xml:space="preserve">Pero cuando </w:t>
      </w:r>
      <w:r w:rsidR="00D869A8">
        <w:t xml:space="preserve">ellos </w:t>
      </w:r>
      <w:r>
        <w:t>ya ha</w:t>
      </w:r>
      <w:r w:rsidR="00D869A8">
        <w:t>ya</w:t>
      </w:r>
      <w:r>
        <w:t>n producido l</w:t>
      </w:r>
      <w:r w:rsidR="00751B7E">
        <w:t>a</w:t>
      </w:r>
      <w:r>
        <w:t xml:space="preserve">s </w:t>
      </w:r>
      <w:r w:rsidR="00751B7E">
        <w:t xml:space="preserve">8 absorciones </w:t>
      </w:r>
      <w:r>
        <w:t xml:space="preserve">y luego, aspirando a los tipos de conocimiento directo descritos en el </w:t>
      </w:r>
      <w:r w:rsidR="00D869A8">
        <w:t xml:space="preserve">pasaje </w:t>
      </w:r>
      <w:r>
        <w:t>que comienza, "Habiendo sido uno, se vuelve muchos" (XII.2), los produ</w:t>
      </w:r>
      <w:r w:rsidR="007E3049">
        <w:t>cirán</w:t>
      </w:r>
      <w:r>
        <w:t xml:space="preserve"> entrando en </w:t>
      </w:r>
      <w:r w:rsidR="00D869A8">
        <w:t xml:space="preserve">el </w:t>
      </w:r>
      <w:proofErr w:type="spellStart"/>
      <w:r w:rsidR="00057BF4" w:rsidRPr="00057BF4">
        <w:rPr>
          <w:i/>
          <w:iCs/>
        </w:rPr>
        <w:t>jhāna</w:t>
      </w:r>
      <w:proofErr w:type="spellEnd"/>
      <w:r>
        <w:t xml:space="preserve"> como base para el conocimiento directo y emergiendo de él, entonces el desarrollo de la concentración </w:t>
      </w:r>
      <w:r w:rsidR="00D869A8">
        <w:t xml:space="preserve">en </w:t>
      </w:r>
      <w:r>
        <w:t>absorción les proporciona</w:t>
      </w:r>
      <w:r w:rsidR="00412B59">
        <w:t>rá</w:t>
      </w:r>
      <w:r>
        <w:t xml:space="preserve"> el beneficio de los tipos de conocimiento directo, ya que se convert</w:t>
      </w:r>
      <w:r w:rsidR="00412B59">
        <w:t>irá</w:t>
      </w:r>
      <w:r>
        <w:t xml:space="preserve"> en la causa próxima para los tipos de conocimiento directo siempre que haya una ocasión. Por eso el </w:t>
      </w:r>
      <w:r w:rsidR="00412B59" w:rsidRPr="00412B59">
        <w:rPr>
          <w:i/>
          <w:iCs/>
        </w:rPr>
        <w:t>Bhagavā</w:t>
      </w:r>
      <w:r w:rsidR="00412B59">
        <w:t xml:space="preserve"> </w:t>
      </w:r>
      <w:r>
        <w:t xml:space="preserve">dijo: “Él </w:t>
      </w:r>
    </w:p>
    <w:p w14:paraId="6EA6E8BB" w14:textId="2F9D0B5A" w:rsidR="00C967D4" w:rsidRPr="00C967D4" w:rsidRDefault="00C967D4" w:rsidP="00C967D4">
      <w:pPr>
        <w:pStyle w:val="PiedepginaLegal"/>
        <w:rPr>
          <w:u w:val="single"/>
        </w:rPr>
      </w:pPr>
      <w:r w:rsidRPr="00C967D4">
        <w:rPr>
          <w:u w:val="single"/>
        </w:rPr>
        <w:t xml:space="preserve">                                                                                                                                                        .</w:t>
      </w:r>
    </w:p>
    <w:p w14:paraId="143B4CF1" w14:textId="2CCEF1F0" w:rsidR="00C967D4" w:rsidRDefault="00C967D4" w:rsidP="00C967D4">
      <w:pPr>
        <w:pStyle w:val="PiedepginaLegal"/>
      </w:pPr>
      <w:r>
        <w:t xml:space="preserve">44. </w:t>
      </w:r>
      <w:r>
        <w:tab/>
        <w:t xml:space="preserve">El sentido exige leer </w:t>
      </w:r>
      <w:r w:rsidR="004F0A7C">
        <w:t xml:space="preserve">utilizando el </w:t>
      </w:r>
      <w:proofErr w:type="spellStart"/>
      <w:r w:rsidR="004F0A7C">
        <w:t>Vism-mhṭ</w:t>
      </w:r>
      <w:proofErr w:type="spellEnd"/>
      <w:r w:rsidR="004F0A7C">
        <w:t xml:space="preserve"> </w:t>
      </w:r>
      <w:r w:rsidR="00ED6F96">
        <w:t>como un solo compuesto</w:t>
      </w:r>
      <w:r w:rsidR="004F0A7C">
        <w:t>,</w:t>
      </w:r>
      <w:r w:rsidR="00ED6F96">
        <w:t xml:space="preserve"> </w:t>
      </w:r>
      <w:proofErr w:type="spellStart"/>
      <w:r w:rsidRPr="004D00DF">
        <w:rPr>
          <w:i/>
          <w:iCs/>
        </w:rPr>
        <w:t>appanāpubba-bhāgacittesu</w:t>
      </w:r>
      <w:proofErr w:type="spellEnd"/>
      <w:r>
        <w:t>.</w:t>
      </w:r>
    </w:p>
    <w:p w14:paraId="79202A62" w14:textId="7B21DECC" w:rsidR="00BF5C5A" w:rsidRDefault="00C967D4" w:rsidP="00C967D4">
      <w:pPr>
        <w:pStyle w:val="PiedepginaLegal"/>
      </w:pPr>
      <w:r>
        <w:t xml:space="preserve">45. </w:t>
      </w:r>
      <w:r>
        <w:tab/>
      </w:r>
      <w:r w:rsidR="004F0A7C">
        <w:t>É</w:t>
      </w:r>
      <w:r>
        <w:t xml:space="preserve">sta es una alusión a M I 179, etc. “El proceso de </w:t>
      </w:r>
      <w:r w:rsidR="00ED6F96">
        <w:t xml:space="preserve">la </w:t>
      </w:r>
      <w:r>
        <w:t xml:space="preserve">existencia en </w:t>
      </w:r>
      <w:r w:rsidR="00335D13">
        <w:t>el ciclo</w:t>
      </w:r>
      <w:r>
        <w:t xml:space="preserve"> de renacimientos, que es un lugar muy estrecho, </w:t>
      </w:r>
      <w:r w:rsidR="00ED6F96">
        <w:t xml:space="preserve">se encuentra </w:t>
      </w:r>
      <w:r>
        <w:t xml:space="preserve">abarrotado por las corrupciones del </w:t>
      </w:r>
      <w:r w:rsidR="00335D13">
        <w:t xml:space="preserve">deseo </w:t>
      </w:r>
      <w:r>
        <w:t xml:space="preserve">y </w:t>
      </w:r>
      <w:r w:rsidR="00ED6F96">
        <w:t xml:space="preserve">lo </w:t>
      </w:r>
      <w:r>
        <w:t>demás” (</w:t>
      </w:r>
      <w:proofErr w:type="spellStart"/>
      <w:r>
        <w:t>Vism-mhṭ</w:t>
      </w:r>
      <w:proofErr w:type="spellEnd"/>
      <w:r>
        <w:t xml:space="preserve"> 371).</w:t>
      </w:r>
    </w:p>
    <w:p w14:paraId="5442104A" w14:textId="77777777" w:rsidR="00BF5C5A" w:rsidRDefault="00BF5C5A">
      <w:pPr>
        <w:tabs>
          <w:tab w:val="clear" w:pos="425"/>
        </w:tabs>
        <w:spacing w:after="160"/>
      </w:pPr>
      <w:r>
        <w:br w:type="page"/>
      </w:r>
    </w:p>
    <w:p w14:paraId="5EC763C4" w14:textId="45B38228" w:rsidR="00BF5C5A" w:rsidRDefault="00925C3E" w:rsidP="00BF5C5A">
      <w:r>
        <w:lastRenderedPageBreak/>
        <w:br/>
      </w:r>
    </w:p>
    <w:p w14:paraId="0EDAFF24" w14:textId="047D18D9" w:rsidR="00925C3E" w:rsidRDefault="00762154" w:rsidP="00925C3E">
      <w:r>
        <w:t xml:space="preserve">desarrolla la </w:t>
      </w:r>
      <w:r w:rsidR="00925C3E">
        <w:t xml:space="preserve">capacidad de ser testigo, a través de la realización </w:t>
      </w:r>
      <w:r w:rsidR="0014401A">
        <w:t>mediante el</w:t>
      </w:r>
      <w:r w:rsidR="00925C3E">
        <w:t xml:space="preserve"> conocimiento directo, de cualquier estado realizable </w:t>
      </w:r>
      <w:r w:rsidR="008725F8">
        <w:t>mediante el</w:t>
      </w:r>
      <w:r w:rsidR="00925C3E">
        <w:t xml:space="preserve"> conocimiento directo </w:t>
      </w:r>
      <w:r w:rsidR="008725F8">
        <w:t>hacia lo</w:t>
      </w:r>
      <w:r w:rsidR="00925C3E">
        <w:t xml:space="preserve"> que su mente se incline, siempre que haya una ocasión” (M III 96; A I 254). [372]</w:t>
      </w:r>
    </w:p>
    <w:p w14:paraId="027AB44A" w14:textId="46302848" w:rsidR="00925C3E" w:rsidRDefault="00925C3E" w:rsidP="00925C3E">
      <w:r>
        <w:t xml:space="preserve">123. </w:t>
      </w:r>
      <w:r>
        <w:tab/>
        <w:t xml:space="preserve">Cuando la gente común no ha perdido su </w:t>
      </w:r>
      <w:proofErr w:type="spellStart"/>
      <w:r w:rsidR="00057BF4" w:rsidRPr="00057BF4">
        <w:rPr>
          <w:i/>
        </w:rPr>
        <w:t>jhāna</w:t>
      </w:r>
      <w:proofErr w:type="spellEnd"/>
      <w:r>
        <w:t xml:space="preserve">, y aspiran </w:t>
      </w:r>
      <w:r w:rsidR="005C1868">
        <w:t xml:space="preserve">así </w:t>
      </w:r>
      <w:r>
        <w:t xml:space="preserve">renacer en el mundo </w:t>
      </w:r>
      <w:r w:rsidR="00057BF4" w:rsidRPr="00057BF4">
        <w:rPr>
          <w:i/>
        </w:rPr>
        <w:t>Brahmā</w:t>
      </w:r>
      <w:r>
        <w:t>, “Renace</w:t>
      </w:r>
      <w:r w:rsidR="005C1868">
        <w:t>re</w:t>
      </w:r>
      <w:r>
        <w:t xml:space="preserve">mos en el </w:t>
      </w:r>
      <w:r w:rsidR="00666592">
        <w:t>plano</w:t>
      </w:r>
      <w:r w:rsidR="00DB5388">
        <w:rPr>
          <w:i/>
          <w:iCs/>
        </w:rPr>
        <w:t>–</w:t>
      </w:r>
      <w:r w:rsidR="00057BF4" w:rsidRPr="00057BF4">
        <w:rPr>
          <w:i/>
        </w:rPr>
        <w:t>Brahmā</w:t>
      </w:r>
      <w:r>
        <w:t>”, o incluso aunque no hagan la aspiración real, entonces el desarrollo de la concentración e</w:t>
      </w:r>
      <w:r w:rsidR="005C1868">
        <w:t>n</w:t>
      </w:r>
      <w:r>
        <w:t xml:space="preserve"> absorción les proporciona</w:t>
      </w:r>
      <w:r w:rsidR="005C1868">
        <w:t>rá</w:t>
      </w:r>
      <w:r>
        <w:t xml:space="preserve"> los beneficios de una forma de existencia </w:t>
      </w:r>
      <w:r w:rsidR="004D0262">
        <w:t>superior</w:t>
      </w:r>
      <w:r>
        <w:t>, ya que se los asegura</w:t>
      </w:r>
      <w:r w:rsidR="005C1868">
        <w:t>rá</w:t>
      </w:r>
      <w:r>
        <w:t xml:space="preserve">. Por lo tanto, el </w:t>
      </w:r>
      <w:r w:rsidR="005C1868" w:rsidRPr="00E91BA6">
        <w:rPr>
          <w:i/>
          <w:iCs/>
        </w:rPr>
        <w:t>Bhagavā</w:t>
      </w:r>
      <w:r w:rsidR="005C1868">
        <w:t xml:space="preserve"> </w:t>
      </w:r>
      <w:r>
        <w:t>dijo: “¿Dónde reaparece</w:t>
      </w:r>
      <w:r w:rsidR="00E91BA6">
        <w:t>rá</w:t>
      </w:r>
      <w:r>
        <w:t xml:space="preserve">n después de desarrollar el primer </w:t>
      </w:r>
      <w:proofErr w:type="spellStart"/>
      <w:r w:rsidR="00057BF4" w:rsidRPr="00057BF4">
        <w:rPr>
          <w:i/>
        </w:rPr>
        <w:t>jhāna</w:t>
      </w:r>
      <w:proofErr w:type="spellEnd"/>
      <w:r>
        <w:t xml:space="preserve"> de forma limitada? Reaparece</w:t>
      </w:r>
      <w:r w:rsidR="00E91BA6">
        <w:t>rá</w:t>
      </w:r>
      <w:r>
        <w:t xml:space="preserve">n en compañía de las deidades del Séquito </w:t>
      </w:r>
      <w:r w:rsidR="00057BF4" w:rsidRPr="00057BF4">
        <w:rPr>
          <w:i/>
        </w:rPr>
        <w:t>Brahmā</w:t>
      </w:r>
      <w:r>
        <w:t>” (</w:t>
      </w:r>
      <w:proofErr w:type="spellStart"/>
      <w:r>
        <w:t>Vibh</w:t>
      </w:r>
      <w:proofErr w:type="spellEnd"/>
      <w:r>
        <w:t xml:space="preserve"> 424), </w:t>
      </w:r>
      <w:r w:rsidR="00E91BA6">
        <w:t>etc</w:t>
      </w:r>
      <w:r>
        <w:t>. E incluso el desarrollo de la concentración de acceso asegura</w:t>
      </w:r>
      <w:r w:rsidR="00E91BA6">
        <w:t>rá</w:t>
      </w:r>
      <w:r>
        <w:t xml:space="preserve"> una forma de existencia </w:t>
      </w:r>
      <w:r w:rsidR="00E11EC9">
        <w:t xml:space="preserve">superior </w:t>
      </w:r>
      <w:r>
        <w:t>en los destinos felices de la esfera sensual.</w:t>
      </w:r>
    </w:p>
    <w:p w14:paraId="386334CE" w14:textId="08D79AC3" w:rsidR="00925C3E" w:rsidRDefault="00925C3E" w:rsidP="00925C3E">
      <w:r>
        <w:t xml:space="preserve">124. </w:t>
      </w:r>
      <w:r>
        <w:tab/>
      </w:r>
      <w:r w:rsidR="00E11EC9">
        <w:t xml:space="preserve">No obstante, </w:t>
      </w:r>
      <w:r>
        <w:t>cuando los Nobles que ya ha</w:t>
      </w:r>
      <w:r w:rsidR="00E11EC9">
        <w:t>ya</w:t>
      </w:r>
      <w:r>
        <w:t>n producido l</w:t>
      </w:r>
      <w:r w:rsidR="00C17F4B">
        <w:t>a</w:t>
      </w:r>
      <w:r>
        <w:t xml:space="preserve">s </w:t>
      </w:r>
      <w:r w:rsidR="00444C88">
        <w:t>8</w:t>
      </w:r>
      <w:r>
        <w:t xml:space="preserve"> </w:t>
      </w:r>
      <w:r w:rsidR="00C17F4B">
        <w:t>absorciones</w:t>
      </w:r>
      <w:r>
        <w:t xml:space="preserve"> desarroll</w:t>
      </w:r>
      <w:r w:rsidR="009432DB">
        <w:t>e</w:t>
      </w:r>
      <w:r>
        <w:t xml:space="preserve">n la concentración, pensando: “Entraremos en </w:t>
      </w:r>
      <w:r w:rsidR="00C17F4B">
        <w:t>la ab</w:t>
      </w:r>
      <w:r w:rsidR="008A2210">
        <w:t>s</w:t>
      </w:r>
      <w:r w:rsidR="00C17F4B">
        <w:t xml:space="preserve">orción </w:t>
      </w:r>
      <w:r>
        <w:t>de la cesación y</w:t>
      </w:r>
      <w:r w:rsidR="00C17F4B">
        <w:t>,</w:t>
      </w:r>
      <w:r>
        <w:t xml:space="preserve"> </w:t>
      </w:r>
      <w:r w:rsidR="009432DB">
        <w:t>habitando</w:t>
      </w:r>
      <w:r>
        <w:t xml:space="preserve"> sin con</w:t>
      </w:r>
      <w:r w:rsidR="009432DB">
        <w:t>s</w:t>
      </w:r>
      <w:r>
        <w:t xml:space="preserve">ciencia durante siete días permaneceremos en </w:t>
      </w:r>
      <w:r w:rsidR="009432DB">
        <w:t xml:space="preserve">la </w:t>
      </w:r>
      <w:r>
        <w:t xml:space="preserve">bienaventuranza aquí y ahora al </w:t>
      </w:r>
      <w:r w:rsidR="009F2D03">
        <w:t xml:space="preserve">consumar </w:t>
      </w:r>
      <w:r>
        <w:t xml:space="preserve">la cesación </w:t>
      </w:r>
      <w:r w:rsidR="00CD3F8C">
        <w:t xml:space="preserve">del </w:t>
      </w:r>
      <w:r w:rsidRPr="004D00DF">
        <w:rPr>
          <w:i/>
          <w:iCs/>
        </w:rPr>
        <w:t>Nibbāna</w:t>
      </w:r>
      <w:r>
        <w:t xml:space="preserve">”, entonces el desarrollo de la concentración </w:t>
      </w:r>
      <w:r w:rsidR="00CD3F8C">
        <w:t xml:space="preserve">en </w:t>
      </w:r>
      <w:r>
        <w:t>absorción les proporciona</w:t>
      </w:r>
      <w:r w:rsidR="00CD3F8C">
        <w:t>rá</w:t>
      </w:r>
      <w:r>
        <w:t xml:space="preserve"> el beneficio de la cesación. Por lo tanto, se dice: "</w:t>
      </w:r>
      <w:r w:rsidR="00CD3F8C">
        <w:t>El entendimiento</w:t>
      </w:r>
      <w:r>
        <w:t xml:space="preserve"> como </w:t>
      </w:r>
      <w:r w:rsidR="009F2D03">
        <w:t xml:space="preserve">dominio </w:t>
      </w:r>
      <w:r>
        <w:t xml:space="preserve">debido </w:t>
      </w:r>
      <w:r w:rsidR="00FA46DE">
        <w:t>a …</w:t>
      </w:r>
      <w:r>
        <w:t xml:space="preserve"> </w:t>
      </w:r>
      <w:r w:rsidR="003F2549">
        <w:t xml:space="preserve">los 16 </w:t>
      </w:r>
      <w:r>
        <w:t>tipos de comportamiento de</w:t>
      </w:r>
      <w:r w:rsidR="003F2549">
        <w:t>l</w:t>
      </w:r>
      <w:r>
        <w:t xml:space="preserve"> conocimiento y a </w:t>
      </w:r>
      <w:r w:rsidR="003F2549">
        <w:t xml:space="preserve">los 9 </w:t>
      </w:r>
      <w:r>
        <w:t>tipos de comportamiento de</w:t>
      </w:r>
      <w:r w:rsidR="00FA46DE">
        <w:t xml:space="preserve"> la</w:t>
      </w:r>
      <w:r>
        <w:t xml:space="preserve"> concentración, </w:t>
      </w:r>
      <w:r w:rsidR="00052F3C">
        <w:t>corresponderá</w:t>
      </w:r>
      <w:r>
        <w:t xml:space="preserve"> </w:t>
      </w:r>
      <w:r w:rsidR="00052F3C">
        <w:t>a</w:t>
      </w:r>
      <w:r w:rsidR="003F2549">
        <w:t xml:space="preserve">l </w:t>
      </w:r>
      <w:r>
        <w:t xml:space="preserve">conocimiento de </w:t>
      </w:r>
      <w:r w:rsidR="00FA46DE">
        <w:t xml:space="preserve">la </w:t>
      </w:r>
      <w:r w:rsidR="003D2E7A">
        <w:t xml:space="preserve">absorción </w:t>
      </w:r>
      <w:r>
        <w:t>de la cesación" (</w:t>
      </w:r>
      <w:proofErr w:type="spellStart"/>
      <w:r w:rsidRPr="004D00DF">
        <w:rPr>
          <w:i/>
          <w:iCs/>
        </w:rPr>
        <w:t>Paṭis</w:t>
      </w:r>
      <w:proofErr w:type="spellEnd"/>
      <w:r>
        <w:t xml:space="preserve"> I 97; ver Ch. XXIII, 18f.).</w:t>
      </w:r>
    </w:p>
    <w:p w14:paraId="50ED85F9" w14:textId="32228EBF" w:rsidR="00925C3E" w:rsidRDefault="00925C3E" w:rsidP="00925C3E">
      <w:r>
        <w:t xml:space="preserve">125. </w:t>
      </w:r>
      <w:r>
        <w:tab/>
        <w:t>Así es c</w:t>
      </w:r>
      <w:r w:rsidR="00052F3C">
        <w:t>ó</w:t>
      </w:r>
      <w:r>
        <w:t xml:space="preserve">mo este beneficio del desarrollo de la concentración </w:t>
      </w:r>
      <w:r w:rsidR="00052F3C">
        <w:t xml:space="preserve">será </w:t>
      </w:r>
      <w:r>
        <w:t xml:space="preserve">quíntuple como </w:t>
      </w:r>
      <w:r w:rsidR="00FA46DE">
        <w:t>un estado de dicha</w:t>
      </w:r>
      <w:r>
        <w:t xml:space="preserve"> aquí y ahora, y así sucesivamente.</w:t>
      </w:r>
    </w:p>
    <w:p w14:paraId="433988B5" w14:textId="3C36EB27" w:rsidR="00925C3E" w:rsidRPr="00FA46DE" w:rsidRDefault="00925C3E" w:rsidP="00925C3E">
      <w:pPr>
        <w:pStyle w:val="VersoIngls01Sangria"/>
        <w:rPr>
          <w:sz w:val="16"/>
          <w:szCs w:val="20"/>
        </w:rPr>
      </w:pPr>
      <w:r w:rsidRPr="00FA46DE">
        <w:rPr>
          <w:sz w:val="16"/>
          <w:szCs w:val="20"/>
        </w:rPr>
        <w:t xml:space="preserve">Así </w:t>
      </w:r>
      <w:r w:rsidR="00FA46DE">
        <w:rPr>
          <w:sz w:val="16"/>
          <w:szCs w:val="20"/>
        </w:rPr>
        <w:t xml:space="preserve">es cómo </w:t>
      </w:r>
      <w:r w:rsidRPr="00FA46DE">
        <w:rPr>
          <w:sz w:val="16"/>
          <w:szCs w:val="20"/>
        </w:rPr>
        <w:t xml:space="preserve">los sabios no </w:t>
      </w:r>
      <w:r w:rsidR="00FA46DE">
        <w:rPr>
          <w:sz w:val="16"/>
          <w:szCs w:val="20"/>
        </w:rPr>
        <w:t xml:space="preserve">fracasan </w:t>
      </w:r>
      <w:r w:rsidRPr="00FA46DE">
        <w:rPr>
          <w:sz w:val="16"/>
          <w:szCs w:val="20"/>
        </w:rPr>
        <w:t xml:space="preserve">en </w:t>
      </w:r>
      <w:r w:rsidR="00FA46DE">
        <w:rPr>
          <w:sz w:val="16"/>
          <w:szCs w:val="20"/>
        </w:rPr>
        <w:t xml:space="preserve">su </w:t>
      </w:r>
      <w:r w:rsidRPr="00FA46DE">
        <w:rPr>
          <w:sz w:val="16"/>
          <w:szCs w:val="20"/>
        </w:rPr>
        <w:t>devoción</w:t>
      </w:r>
    </w:p>
    <w:p w14:paraId="113E6D23" w14:textId="6C6BBB9F" w:rsidR="00925C3E" w:rsidRPr="00FA46DE" w:rsidRDefault="00052F3C" w:rsidP="00925C3E">
      <w:pPr>
        <w:pStyle w:val="VersoIngls01Sangria"/>
        <w:rPr>
          <w:sz w:val="16"/>
          <w:szCs w:val="20"/>
        </w:rPr>
      </w:pPr>
      <w:r>
        <w:rPr>
          <w:sz w:val="16"/>
          <w:szCs w:val="20"/>
        </w:rPr>
        <w:t>Hacia</w:t>
      </w:r>
      <w:r w:rsidR="00925C3E" w:rsidRPr="00FA46DE">
        <w:rPr>
          <w:sz w:val="16"/>
          <w:szCs w:val="20"/>
        </w:rPr>
        <w:t xml:space="preserve"> la búsqueda de la concentración:</w:t>
      </w:r>
    </w:p>
    <w:p w14:paraId="22ED81FA" w14:textId="1079C5FC" w:rsidR="00925C3E" w:rsidRPr="00FA46DE" w:rsidRDefault="00FA46DE" w:rsidP="00925C3E">
      <w:pPr>
        <w:pStyle w:val="VersoIngls01Sangria"/>
        <w:rPr>
          <w:sz w:val="16"/>
          <w:szCs w:val="20"/>
        </w:rPr>
      </w:pPr>
      <w:r>
        <w:rPr>
          <w:sz w:val="16"/>
          <w:szCs w:val="20"/>
        </w:rPr>
        <w:t>Puri</w:t>
      </w:r>
      <w:r w:rsidR="00535C14">
        <w:rPr>
          <w:sz w:val="16"/>
          <w:szCs w:val="20"/>
        </w:rPr>
        <w:t>fi</w:t>
      </w:r>
      <w:r>
        <w:rPr>
          <w:sz w:val="16"/>
          <w:szCs w:val="20"/>
        </w:rPr>
        <w:t xml:space="preserve">cando </w:t>
      </w:r>
      <w:r w:rsidR="00925C3E" w:rsidRPr="00FA46DE">
        <w:rPr>
          <w:sz w:val="16"/>
          <w:szCs w:val="20"/>
        </w:rPr>
        <w:t>la</w:t>
      </w:r>
      <w:r w:rsidR="00535C14">
        <w:rPr>
          <w:sz w:val="16"/>
          <w:szCs w:val="20"/>
        </w:rPr>
        <w:t xml:space="preserve">s impurezas corruptas y </w:t>
      </w:r>
      <w:r w:rsidR="00CC0E49">
        <w:rPr>
          <w:sz w:val="16"/>
          <w:szCs w:val="20"/>
        </w:rPr>
        <w:t>contaminadas</w:t>
      </w:r>
      <w:r w:rsidR="00925C3E" w:rsidRPr="00FA46DE">
        <w:rPr>
          <w:sz w:val="16"/>
          <w:szCs w:val="20"/>
        </w:rPr>
        <w:t>,</w:t>
      </w:r>
      <w:r w:rsidR="00925C3E" w:rsidRPr="00FA46DE">
        <w:rPr>
          <w:sz w:val="16"/>
          <w:szCs w:val="20"/>
          <w:vertAlign w:val="superscript"/>
        </w:rPr>
        <w:t>46</w:t>
      </w:r>
    </w:p>
    <w:p w14:paraId="0CA01862" w14:textId="7787B432" w:rsidR="00925C3E" w:rsidRPr="00FA46DE" w:rsidRDefault="00CC0E49" w:rsidP="00925C3E">
      <w:pPr>
        <w:pStyle w:val="VersoIngls01Sangria"/>
        <w:spacing w:after="100"/>
        <w:ind w:left="1418"/>
        <w:rPr>
          <w:sz w:val="16"/>
          <w:szCs w:val="20"/>
        </w:rPr>
      </w:pPr>
      <w:r>
        <w:rPr>
          <w:sz w:val="16"/>
          <w:szCs w:val="20"/>
        </w:rPr>
        <w:t xml:space="preserve">Trayendo </w:t>
      </w:r>
      <w:r w:rsidR="008F4372">
        <w:rPr>
          <w:sz w:val="16"/>
          <w:szCs w:val="20"/>
        </w:rPr>
        <w:t xml:space="preserve">beneficios </w:t>
      </w:r>
      <w:r w:rsidR="00925C3E" w:rsidRPr="00FA46DE">
        <w:rPr>
          <w:sz w:val="16"/>
          <w:szCs w:val="20"/>
        </w:rPr>
        <w:t>más allá de</w:t>
      </w:r>
      <w:r w:rsidR="008F4372">
        <w:rPr>
          <w:sz w:val="16"/>
          <w:szCs w:val="20"/>
        </w:rPr>
        <w:t xml:space="preserve"> todo</w:t>
      </w:r>
      <w:r w:rsidR="00925C3E" w:rsidRPr="00FA46DE">
        <w:rPr>
          <w:sz w:val="16"/>
          <w:szCs w:val="20"/>
        </w:rPr>
        <w:t xml:space="preserve"> cálculo.</w:t>
      </w:r>
    </w:p>
    <w:p w14:paraId="74D422CB" w14:textId="4FF8BF8C" w:rsidR="00925C3E" w:rsidRDefault="00925C3E" w:rsidP="00925C3E">
      <w:r>
        <w:t xml:space="preserve">126. </w:t>
      </w:r>
      <w:r>
        <w:tab/>
        <w:t xml:space="preserve">Y en este punto del </w:t>
      </w:r>
      <w:r w:rsidR="004D00DF" w:rsidRPr="004D00DF">
        <w:rPr>
          <w:i/>
          <w:iCs/>
        </w:rPr>
        <w:t xml:space="preserve">Sendero </w:t>
      </w:r>
      <w:r w:rsidRPr="004D00DF">
        <w:rPr>
          <w:i/>
          <w:iCs/>
        </w:rPr>
        <w:t>de la Purificación</w:t>
      </w:r>
      <w:r>
        <w:t xml:space="preserve">, que se enseña bajo los títulos de virtud, concentración y </w:t>
      </w:r>
      <w:r w:rsidR="008F4372">
        <w:t>entendimiento</w:t>
      </w:r>
      <w:r>
        <w:t xml:space="preserve"> en la estrofa, "Cuando un hombre sabio, bien establecido en la virtud...", la concentración ha sido completamente explicada.</w:t>
      </w:r>
    </w:p>
    <w:p w14:paraId="0947B29F" w14:textId="036A36A7" w:rsidR="00925C3E" w:rsidRDefault="00472A65" w:rsidP="00925C3E">
      <w:pPr>
        <w:ind w:left="708" w:right="1184"/>
      </w:pPr>
      <w:r>
        <w:t>Éste ha sido e</w:t>
      </w:r>
      <w:r w:rsidR="00925C3E">
        <w:t xml:space="preserve">l </w:t>
      </w:r>
      <w:r w:rsidR="009B6724">
        <w:t xml:space="preserve">Undécimo </w:t>
      </w:r>
      <w:r w:rsidR="00C016C1">
        <w:t xml:space="preserve">Capítulo </w:t>
      </w:r>
      <w:r w:rsidR="00FD597D">
        <w:t xml:space="preserve">que concluye </w:t>
      </w:r>
      <w:r w:rsidR="00135BB3">
        <w:t>e</w:t>
      </w:r>
      <w:r w:rsidR="00767D32">
        <w:t>l título de</w:t>
      </w:r>
      <w:r w:rsidR="00925C3E">
        <w:t xml:space="preserve"> “</w:t>
      </w:r>
      <w:r w:rsidR="00135BB3">
        <w:t xml:space="preserve">Descripción de la </w:t>
      </w:r>
      <w:r w:rsidR="00925C3E">
        <w:t xml:space="preserve">Concentración” </w:t>
      </w:r>
      <w:r>
        <w:t>d</w:t>
      </w:r>
      <w:r w:rsidR="00925C3E">
        <w:t xml:space="preserve">el </w:t>
      </w:r>
      <w:r w:rsidR="00925C3E" w:rsidRPr="00925C3E">
        <w:rPr>
          <w:i/>
          <w:iCs/>
        </w:rPr>
        <w:t>Sendero de la Purificación</w:t>
      </w:r>
      <w:r w:rsidR="00925C3E">
        <w:t xml:space="preserve"> </w:t>
      </w:r>
      <w:r w:rsidR="00132DD3">
        <w:t>compuesto para alegría de buenas personas.</w:t>
      </w:r>
    </w:p>
    <w:p w14:paraId="68AC87BF" w14:textId="77777777" w:rsidR="00925C3E" w:rsidRDefault="00925C3E" w:rsidP="00925C3E"/>
    <w:p w14:paraId="3DE086EC" w14:textId="77777777" w:rsidR="00925C3E" w:rsidRDefault="00925C3E" w:rsidP="00925C3E"/>
    <w:p w14:paraId="7AC68580" w14:textId="77777777" w:rsidR="00925C3E" w:rsidRDefault="00925C3E" w:rsidP="00925C3E"/>
    <w:p w14:paraId="69A4F216" w14:textId="77777777" w:rsidR="00925C3E" w:rsidRDefault="00925C3E" w:rsidP="00925C3E"/>
    <w:p w14:paraId="77E81479" w14:textId="77777777" w:rsidR="00925C3E" w:rsidRDefault="00925C3E" w:rsidP="00925C3E"/>
    <w:p w14:paraId="1D666809" w14:textId="4FBB5CFB" w:rsidR="00925C3E" w:rsidRPr="00925C3E" w:rsidRDefault="00925C3E" w:rsidP="00925C3E">
      <w:pPr>
        <w:pStyle w:val="PiedepginaLegal"/>
        <w:rPr>
          <w:u w:val="single"/>
        </w:rPr>
      </w:pPr>
      <w:r w:rsidRPr="00925C3E">
        <w:rPr>
          <w:u w:val="single"/>
        </w:rPr>
        <w:t xml:space="preserve">                                                                                                                                                       .</w:t>
      </w:r>
    </w:p>
    <w:p w14:paraId="6E098AB8" w14:textId="7C9BBE80" w:rsidR="00925C3E" w:rsidRDefault="00925C3E" w:rsidP="00925C3E">
      <w:pPr>
        <w:pStyle w:val="PiedepginaLegal"/>
      </w:pPr>
      <w:r>
        <w:t xml:space="preserve">46. </w:t>
      </w:r>
      <w:r>
        <w:tab/>
        <w:t>​​</w:t>
      </w:r>
      <w:proofErr w:type="spellStart"/>
      <w:r w:rsidRPr="004D00DF">
        <w:rPr>
          <w:i/>
          <w:iCs/>
        </w:rPr>
        <w:t>Sūdana</w:t>
      </w:r>
      <w:proofErr w:type="spellEnd"/>
      <w:r>
        <w:t xml:space="preserve">— “limpieza”: no en </w:t>
      </w:r>
      <w:r w:rsidR="001D1179">
        <w:t xml:space="preserve">el </w:t>
      </w:r>
      <w:r>
        <w:t>PED. Véase el título del comentario de</w:t>
      </w:r>
      <w:r w:rsidR="008602EA">
        <w:t>l</w:t>
      </w:r>
      <w:r>
        <w:t xml:space="preserve"> </w:t>
      </w:r>
      <w:proofErr w:type="spellStart"/>
      <w:r w:rsidRPr="004D00DF">
        <w:rPr>
          <w:i/>
          <w:iCs/>
        </w:rPr>
        <w:t>Majjhima</w:t>
      </w:r>
      <w:proofErr w:type="spellEnd"/>
      <w:r w:rsidRPr="004D00DF">
        <w:rPr>
          <w:i/>
          <w:iCs/>
        </w:rPr>
        <w:t xml:space="preserve"> Nikāya</w:t>
      </w:r>
      <w:r>
        <w:t xml:space="preserve">. Otra lectura aquí es </w:t>
      </w:r>
      <w:proofErr w:type="spellStart"/>
      <w:r w:rsidRPr="004D00DF">
        <w:rPr>
          <w:i/>
          <w:iCs/>
        </w:rPr>
        <w:t>sodhana</w:t>
      </w:r>
      <w:proofErr w:type="spellEnd"/>
      <w:r>
        <w:t>.</w:t>
      </w:r>
    </w:p>
    <w:p w14:paraId="61D5A385" w14:textId="77777777" w:rsidR="00925C3E" w:rsidRDefault="00925C3E">
      <w:pPr>
        <w:tabs>
          <w:tab w:val="clear" w:pos="425"/>
        </w:tabs>
        <w:spacing w:after="160"/>
        <w:rPr>
          <w:color w:val="000000" w:themeColor="text1"/>
          <w:spacing w:val="10"/>
          <w:sz w:val="14"/>
        </w:rPr>
      </w:pPr>
      <w:r>
        <w:br w:type="page"/>
      </w:r>
    </w:p>
    <w:p w14:paraId="392FFCEA" w14:textId="77777777" w:rsidR="00D26F5C" w:rsidRDefault="00D26F5C" w:rsidP="00D26F5C"/>
    <w:p w14:paraId="1D5D6062" w14:textId="77777777" w:rsidR="00DB3E2A" w:rsidRDefault="00DB3E2A" w:rsidP="00D26F5C"/>
    <w:p w14:paraId="67616BBF" w14:textId="77777777" w:rsidR="00DB3E2A" w:rsidRDefault="00DB3E2A" w:rsidP="00D26F5C"/>
    <w:p w14:paraId="26DEBA28" w14:textId="77777777" w:rsidR="00DB3E2A" w:rsidRDefault="00DB3E2A" w:rsidP="00D26F5C"/>
    <w:p w14:paraId="785E5D1B" w14:textId="5AE95BCE" w:rsidR="00D26F5C" w:rsidRDefault="00D26F5C" w:rsidP="00D26F5C">
      <w:pPr>
        <w:pStyle w:val="Ttulo2"/>
        <w:jc w:val="center"/>
      </w:pPr>
      <w:r>
        <w:t>Capítulo XII</w:t>
      </w:r>
      <w:r>
        <w:br/>
        <w:t>Los Poderes Supernormal</w:t>
      </w:r>
      <w:r w:rsidR="002553C4">
        <w:t>es</w:t>
      </w:r>
    </w:p>
    <w:p w14:paraId="1C19DB56" w14:textId="77777777" w:rsidR="00D26F5C" w:rsidRDefault="00D26F5C" w:rsidP="00D26F5C"/>
    <w:p w14:paraId="5726D1B7" w14:textId="692DC635" w:rsidR="00D26F5C" w:rsidRPr="00D26F5C" w:rsidRDefault="00D26F5C" w:rsidP="00D26F5C">
      <w:pPr>
        <w:jc w:val="center"/>
        <w:rPr>
          <w:sz w:val="22"/>
          <w:szCs w:val="28"/>
        </w:rPr>
      </w:pPr>
      <w:r w:rsidRPr="00D26F5C">
        <w:rPr>
          <w:sz w:val="22"/>
          <w:szCs w:val="28"/>
        </w:rPr>
        <w:t>(</w:t>
      </w:r>
      <w:proofErr w:type="spellStart"/>
      <w:r w:rsidRPr="00D26F5C">
        <w:rPr>
          <w:i/>
          <w:iCs/>
          <w:sz w:val="22"/>
          <w:szCs w:val="28"/>
        </w:rPr>
        <w:t>Iddhividha-niddesa</w:t>
      </w:r>
      <w:proofErr w:type="spellEnd"/>
      <w:r w:rsidRPr="00D26F5C">
        <w:rPr>
          <w:sz w:val="22"/>
          <w:szCs w:val="28"/>
        </w:rPr>
        <w:t>)</w:t>
      </w:r>
    </w:p>
    <w:p w14:paraId="07482B88" w14:textId="6EA2D530" w:rsidR="00D26F5C" w:rsidRDefault="00D26F5C" w:rsidP="00DB3E2A">
      <w:pPr>
        <w:pStyle w:val="Ttulo3"/>
        <w:ind w:left="708"/>
      </w:pPr>
      <w:r>
        <w:t>[Los Beneficios de la Concentración (Continuación)]</w:t>
      </w:r>
    </w:p>
    <w:p w14:paraId="76BAAFE8" w14:textId="6E6593B0" w:rsidR="00D26F5C" w:rsidRDefault="00D26F5C" w:rsidP="00D26F5C">
      <w:r>
        <w:t xml:space="preserve">1. </w:t>
      </w:r>
      <w:r w:rsidR="00DB3E2A">
        <w:tab/>
      </w:r>
      <w:r>
        <w:t>[373] Se dijo anteriormente con referencia a los tipos mundanos de conocimiento directo que este desarrollo de la concentración "proporciona... el beneficio de los tipos de conocimiento directo" (XI.122). Ahora</w:t>
      </w:r>
      <w:r w:rsidR="002553C4">
        <w:t xml:space="preserve"> bien</w:t>
      </w:r>
      <w:r>
        <w:t>, para perfeccionar esos tipos de conocimiento directo, la tarea debe</w:t>
      </w:r>
      <w:r w:rsidR="005C2DEE">
        <w:t>rá</w:t>
      </w:r>
      <w:r>
        <w:t xml:space="preserve"> ser realizada por un meditador que </w:t>
      </w:r>
      <w:r w:rsidR="00355AA5">
        <w:t xml:space="preserve">ya </w:t>
      </w:r>
      <w:r>
        <w:t xml:space="preserve">haya </w:t>
      </w:r>
      <w:r w:rsidR="00355AA5">
        <w:t xml:space="preserve">desarrollado </w:t>
      </w:r>
      <w:r>
        <w:t xml:space="preserve">el cuarto </w:t>
      </w:r>
      <w:proofErr w:type="spellStart"/>
      <w:r w:rsidR="00057BF4" w:rsidRPr="00057BF4">
        <w:rPr>
          <w:i/>
        </w:rPr>
        <w:t>jhāna</w:t>
      </w:r>
      <w:proofErr w:type="spellEnd"/>
      <w:r>
        <w:t xml:space="preserve"> en </w:t>
      </w:r>
      <w:r w:rsidR="00355AA5">
        <w:t xml:space="preserve">el </w:t>
      </w:r>
      <w:proofErr w:type="spellStart"/>
      <w:r w:rsidR="00057BF4" w:rsidRPr="00057BF4">
        <w:rPr>
          <w:i/>
        </w:rPr>
        <w:t>kasiṇa</w:t>
      </w:r>
      <w:proofErr w:type="spellEnd"/>
      <w:r w:rsidR="00355AA5" w:rsidRPr="00355AA5">
        <w:t xml:space="preserve"> </w:t>
      </w:r>
      <w:r w:rsidR="00355AA5">
        <w:t>tierra</w:t>
      </w:r>
      <w:r>
        <w:t xml:space="preserve">, </w:t>
      </w:r>
      <w:r w:rsidR="00355AA5">
        <w:t>etc</w:t>
      </w:r>
      <w:r>
        <w:t>. Y al hacer e</w:t>
      </w:r>
      <w:r w:rsidR="00355AA5">
        <w:t>ll</w:t>
      </w:r>
      <w:r>
        <w:t xml:space="preserve">o, este desarrollo de la concentración no solo habrá proporcionado </w:t>
      </w:r>
      <w:r w:rsidR="00355AA5">
        <w:t xml:space="preserve">los </w:t>
      </w:r>
      <w:r>
        <w:t>beneficios</w:t>
      </w:r>
      <w:r w:rsidR="00355AA5">
        <w:t xml:space="preserve"> mencionados</w:t>
      </w:r>
      <w:r>
        <w:t xml:space="preserve">, sino que también se habrá </w:t>
      </w:r>
      <w:r w:rsidR="00355AA5">
        <w:t xml:space="preserve">desarrollado </w:t>
      </w:r>
      <w:r w:rsidR="00631931">
        <w:t>adicionalmente</w:t>
      </w:r>
      <w:r>
        <w:t xml:space="preserve">; y cuando posea así una concentración </w:t>
      </w:r>
      <w:r w:rsidR="00DA17CE">
        <w:t>muy</w:t>
      </w:r>
      <w:r>
        <w:t xml:space="preserve"> </w:t>
      </w:r>
      <w:r w:rsidR="00631931">
        <w:t xml:space="preserve">bien </w:t>
      </w:r>
      <w:r>
        <w:t>desarrollada como para haber</w:t>
      </w:r>
      <w:r w:rsidR="0074309C">
        <w:t>le</w:t>
      </w:r>
      <w:r>
        <w:t xml:space="preserve"> proporcionado beneficios </w:t>
      </w:r>
      <w:r w:rsidR="00DA17CE">
        <w:t xml:space="preserve">como </w:t>
      </w:r>
      <w:r w:rsidR="002320AA">
        <w:t>volverse</w:t>
      </w:r>
      <w:r>
        <w:t xml:space="preserve"> más </w:t>
      </w:r>
      <w:r w:rsidR="00DA17CE">
        <w:t>desarrollado</w:t>
      </w:r>
      <w:r>
        <w:t xml:space="preserve">, entonces perfeccionará más fácilmente el desarrollo del </w:t>
      </w:r>
      <w:r w:rsidR="002320AA">
        <w:t>entendimiento</w:t>
      </w:r>
      <w:r>
        <w:t>. Mientras tanto, nos ocuparemos ahora de la explicación de los tipos de conocimiento directo.</w:t>
      </w:r>
    </w:p>
    <w:p w14:paraId="72FB5DA0" w14:textId="17BC2458" w:rsidR="00D26F5C" w:rsidRDefault="00D26F5C" w:rsidP="00D26F5C">
      <w:r>
        <w:t xml:space="preserve">2. </w:t>
      </w:r>
      <w:r w:rsidR="00DB3E2A">
        <w:tab/>
      </w:r>
      <w:r>
        <w:t>Con el fin de mostrar los beneficios de desarrollar la concentración a los miembros del clan cuya concentración ha</w:t>
      </w:r>
      <w:r w:rsidR="002320AA">
        <w:t>ya</w:t>
      </w:r>
      <w:r>
        <w:t xml:space="preserve"> alcanzado el cuarto </w:t>
      </w:r>
      <w:proofErr w:type="spellStart"/>
      <w:r w:rsidR="00057BF4" w:rsidRPr="00057BF4">
        <w:rPr>
          <w:i/>
        </w:rPr>
        <w:t>jhāna</w:t>
      </w:r>
      <w:proofErr w:type="spellEnd"/>
      <w:r>
        <w:t xml:space="preserve">, y con el fin de enseñar el </w:t>
      </w:r>
      <w:r w:rsidR="00057BF4" w:rsidRPr="00057BF4">
        <w:rPr>
          <w:i/>
        </w:rPr>
        <w:t>Dhamma</w:t>
      </w:r>
      <w:r>
        <w:t xml:space="preserve"> progresivamente refinado, el </w:t>
      </w:r>
      <w:r w:rsidR="002320AA" w:rsidRPr="002320AA">
        <w:rPr>
          <w:i/>
          <w:iCs/>
        </w:rPr>
        <w:t>Bhagavā</w:t>
      </w:r>
      <w:r>
        <w:t xml:space="preserve"> ha descrito </w:t>
      </w:r>
      <w:r w:rsidR="00B27718">
        <w:t>5</w:t>
      </w:r>
      <w:r>
        <w:t xml:space="preserve"> tipos de conocimiento directo </w:t>
      </w:r>
      <w:r w:rsidRPr="008F74F7">
        <w:rPr>
          <w:color w:val="833C0B" w:themeColor="accent2" w:themeShade="80"/>
          <w:u w:val="single" w:color="000000"/>
        </w:rPr>
        <w:t>mundano</w:t>
      </w:r>
      <w:r>
        <w:t xml:space="preserve">. Ellos son: los tipos de poderes sobrenaturales, descritos en el </w:t>
      </w:r>
      <w:r w:rsidR="002320AA">
        <w:t>pasaje</w:t>
      </w:r>
      <w:r>
        <w:t xml:space="preserve"> que comienza, “</w:t>
      </w:r>
      <w:r w:rsidRPr="00836237">
        <w:rPr>
          <w:i/>
          <w:iCs/>
        </w:rPr>
        <w:t xml:space="preserve">Cuando su mente </w:t>
      </w:r>
      <w:r w:rsidR="003E4879" w:rsidRPr="00836237">
        <w:rPr>
          <w:i/>
          <w:iCs/>
        </w:rPr>
        <w:t xml:space="preserve">esté </w:t>
      </w:r>
      <w:r w:rsidRPr="00836237">
        <w:rPr>
          <w:i/>
          <w:iCs/>
        </w:rPr>
        <w:t xml:space="preserve">concentrada </w:t>
      </w:r>
      <w:r w:rsidR="00B845F0" w:rsidRPr="00836237">
        <w:rPr>
          <w:i/>
          <w:iCs/>
        </w:rPr>
        <w:t xml:space="preserve">y </w:t>
      </w:r>
      <w:r w:rsidRPr="00836237">
        <w:rPr>
          <w:i/>
          <w:iCs/>
        </w:rPr>
        <w:t xml:space="preserve">así purificada, brillante, sin </w:t>
      </w:r>
      <w:r w:rsidR="002320AA" w:rsidRPr="00836237">
        <w:rPr>
          <w:i/>
          <w:iCs/>
        </w:rPr>
        <w:t>contaminaciones</w:t>
      </w:r>
      <w:r w:rsidRPr="00836237">
        <w:rPr>
          <w:i/>
          <w:iCs/>
        </w:rPr>
        <w:t>, libre de corrupción, y se vuelv</w:t>
      </w:r>
      <w:r w:rsidR="002320AA" w:rsidRPr="00836237">
        <w:rPr>
          <w:i/>
          <w:iCs/>
        </w:rPr>
        <w:t>a</w:t>
      </w:r>
      <w:r w:rsidRPr="00836237">
        <w:rPr>
          <w:i/>
          <w:iCs/>
        </w:rPr>
        <w:t xml:space="preserve"> maleable, manejable, estable y </w:t>
      </w:r>
      <w:r w:rsidR="00643E26">
        <w:rPr>
          <w:i/>
          <w:iCs/>
        </w:rPr>
        <w:t xml:space="preserve">en </w:t>
      </w:r>
      <w:r w:rsidR="00D01887">
        <w:rPr>
          <w:i/>
          <w:iCs/>
        </w:rPr>
        <w:t xml:space="preserve">estado de </w:t>
      </w:r>
      <w:r w:rsidR="00643E26">
        <w:rPr>
          <w:i/>
          <w:iCs/>
        </w:rPr>
        <w:t xml:space="preserve">absorción </w:t>
      </w:r>
      <w:r w:rsidR="001327F1">
        <w:rPr>
          <w:i/>
          <w:iCs/>
        </w:rPr>
        <w:t>mediante</w:t>
      </w:r>
      <w:r w:rsidRPr="00836237">
        <w:rPr>
          <w:i/>
          <w:iCs/>
        </w:rPr>
        <w:t xml:space="preserve"> la imperturbabilidad,</w:t>
      </w:r>
      <w:r w:rsidRPr="00836237">
        <w:rPr>
          <w:i/>
          <w:iCs/>
          <w:vertAlign w:val="superscript"/>
        </w:rPr>
        <w:t>1</w:t>
      </w:r>
      <w:r w:rsidRPr="00836237">
        <w:rPr>
          <w:i/>
          <w:iCs/>
        </w:rPr>
        <w:t xml:space="preserve"> él dirig</w:t>
      </w:r>
      <w:r w:rsidR="002320AA" w:rsidRPr="00836237">
        <w:rPr>
          <w:i/>
          <w:iCs/>
        </w:rPr>
        <w:t>irá</w:t>
      </w:r>
      <w:r w:rsidRPr="00836237">
        <w:rPr>
          <w:i/>
          <w:iCs/>
        </w:rPr>
        <w:t>, él inclina</w:t>
      </w:r>
      <w:r w:rsidR="002320AA" w:rsidRPr="00836237">
        <w:rPr>
          <w:i/>
          <w:iCs/>
        </w:rPr>
        <w:t>rá</w:t>
      </w:r>
      <w:r w:rsidRPr="00836237">
        <w:rPr>
          <w:i/>
          <w:iCs/>
        </w:rPr>
        <w:t xml:space="preserve">, su mente </w:t>
      </w:r>
      <w:r w:rsidR="002320AA" w:rsidRPr="00836237">
        <w:rPr>
          <w:i/>
          <w:iCs/>
        </w:rPr>
        <w:t xml:space="preserve">hacia </w:t>
      </w:r>
      <w:r w:rsidRPr="00836237">
        <w:rPr>
          <w:i/>
          <w:iCs/>
        </w:rPr>
        <w:t>los tipos de poder</w:t>
      </w:r>
      <w:r w:rsidR="00B845F0" w:rsidRPr="00836237">
        <w:rPr>
          <w:i/>
          <w:iCs/>
        </w:rPr>
        <w:t>es</w:t>
      </w:r>
      <w:r w:rsidRPr="00836237">
        <w:rPr>
          <w:i/>
          <w:iCs/>
        </w:rPr>
        <w:t xml:space="preserve"> sobrenatural</w:t>
      </w:r>
      <w:r w:rsidR="00B845F0" w:rsidRPr="00836237">
        <w:rPr>
          <w:i/>
          <w:iCs/>
        </w:rPr>
        <w:t>es</w:t>
      </w:r>
      <w:r w:rsidRPr="00836237">
        <w:rPr>
          <w:i/>
          <w:iCs/>
        </w:rPr>
        <w:t xml:space="preserve">. </w:t>
      </w:r>
      <w:r w:rsidRPr="00F36DF2">
        <w:rPr>
          <w:i/>
          <w:iCs/>
        </w:rPr>
        <w:t>Él ejerce</w:t>
      </w:r>
      <w:r w:rsidR="002320AA" w:rsidRPr="00F36DF2">
        <w:rPr>
          <w:i/>
          <w:iCs/>
        </w:rPr>
        <w:t>rá</w:t>
      </w:r>
      <w:r w:rsidRPr="00F36DF2">
        <w:rPr>
          <w:i/>
          <w:iCs/>
        </w:rPr>
        <w:t xml:space="preserve"> los diversos tipos de poderes sobrenaturales</w:t>
      </w:r>
      <w:r w:rsidR="00A726B5" w:rsidRPr="00F36DF2">
        <w:rPr>
          <w:i/>
          <w:iCs/>
        </w:rPr>
        <w:t>:</w:t>
      </w:r>
      <w:r w:rsidRPr="00F36DF2">
        <w:rPr>
          <w:i/>
          <w:iCs/>
        </w:rPr>
        <w:t xml:space="preserve"> </w:t>
      </w:r>
      <w:r w:rsidR="00A726B5" w:rsidRPr="00F36DF2">
        <w:rPr>
          <w:i/>
          <w:iCs/>
        </w:rPr>
        <w:t xml:space="preserve">(1) Habiendo </w:t>
      </w:r>
      <w:r w:rsidRPr="00F36DF2">
        <w:rPr>
          <w:i/>
          <w:iCs/>
        </w:rPr>
        <w:t xml:space="preserve">sido uno, se </w:t>
      </w:r>
      <w:r w:rsidR="002320AA" w:rsidRPr="00F36DF2">
        <w:rPr>
          <w:i/>
          <w:iCs/>
        </w:rPr>
        <w:t>convert</w:t>
      </w:r>
      <w:r w:rsidR="00D01887">
        <w:rPr>
          <w:i/>
          <w:iCs/>
        </w:rPr>
        <w:t>irá</w:t>
      </w:r>
      <w:r w:rsidR="002320AA" w:rsidRPr="00F36DF2">
        <w:rPr>
          <w:i/>
          <w:iCs/>
        </w:rPr>
        <w:t xml:space="preserve"> en </w:t>
      </w:r>
      <w:r w:rsidRPr="00F36DF2">
        <w:rPr>
          <w:i/>
          <w:iCs/>
        </w:rPr>
        <w:t>muchos</w:t>
      </w:r>
      <w:r>
        <w:t xml:space="preserve">…” (D I 77); (2) el conocimiento del elemento </w:t>
      </w:r>
      <w:r w:rsidR="00A726B5">
        <w:t xml:space="preserve">del </w:t>
      </w:r>
      <w:r>
        <w:t xml:space="preserve">oído divino; (3) el conocimiento de la penetración de </w:t>
      </w:r>
      <w:r w:rsidR="00B845F0">
        <w:t>otras</w:t>
      </w:r>
      <w:r>
        <w:t xml:space="preserve"> mentes; (4) el conocimiento del recuerdo de vidas pasadas; y (5) el conocimiento de la desaparición y reaparición de los seres.</w:t>
      </w:r>
    </w:p>
    <w:p w14:paraId="3043B731" w14:textId="3C1D51C6" w:rsidR="00D26F5C" w:rsidRDefault="00DB3E2A" w:rsidP="00DB3E2A">
      <w:pPr>
        <w:pStyle w:val="Ttulo3"/>
        <w:ind w:left="708"/>
      </w:pPr>
      <w:r>
        <w:t>[(1) Tipos de Poder</w:t>
      </w:r>
      <w:r w:rsidR="00B845F0">
        <w:t>es</w:t>
      </w:r>
      <w:r>
        <w:t xml:space="preserve"> Supernormal</w:t>
      </w:r>
      <w:r w:rsidR="00B845F0">
        <w:t>es</w:t>
      </w:r>
      <w:r>
        <w:t>]</w:t>
      </w:r>
    </w:p>
    <w:p w14:paraId="595DCB69" w14:textId="18EC4AB4" w:rsidR="00D26F5C" w:rsidRDefault="00D26F5C" w:rsidP="00E255C2">
      <w:pPr>
        <w:pStyle w:val="NormalConSangria"/>
      </w:pPr>
      <w:r>
        <w:t>Si un meditador quiere comenzar a realizar la transformación mediante un poder sobrenatural descrito como, “Habiendo sido uno, se convierte en muchos”, etc., debe</w:t>
      </w:r>
      <w:r w:rsidR="00B845F0">
        <w:t>rá</w:t>
      </w:r>
      <w:r>
        <w:t xml:space="preserve"> </w:t>
      </w:r>
      <w:r w:rsidR="00E255C2">
        <w:t>consumar</w:t>
      </w:r>
      <w:r>
        <w:t xml:space="preserve"> los ocho logros en cada uno de los ocho </w:t>
      </w:r>
      <w:proofErr w:type="spellStart"/>
      <w:r w:rsidR="00057BF4" w:rsidRPr="00057BF4">
        <w:rPr>
          <w:i/>
        </w:rPr>
        <w:t>kasiṇa</w:t>
      </w:r>
      <w:r>
        <w:t>s</w:t>
      </w:r>
      <w:proofErr w:type="spellEnd"/>
      <w:r>
        <w:t xml:space="preserve"> que terminan </w:t>
      </w:r>
      <w:r w:rsidR="00E255C2">
        <w:t xml:space="preserve">con </w:t>
      </w:r>
      <w:r>
        <w:t xml:space="preserve">el </w:t>
      </w:r>
      <w:proofErr w:type="spellStart"/>
      <w:r w:rsidR="00057BF4" w:rsidRPr="00057BF4">
        <w:rPr>
          <w:i/>
        </w:rPr>
        <w:t>kasiṇa</w:t>
      </w:r>
      <w:proofErr w:type="spellEnd"/>
      <w:r>
        <w:t xml:space="preserve"> blanco. También debe</w:t>
      </w:r>
      <w:r w:rsidR="00B845F0">
        <w:t>rá</w:t>
      </w:r>
      <w:r>
        <w:t xml:space="preserve"> tener un control </w:t>
      </w:r>
      <w:r w:rsidR="00671E27">
        <w:t>total</w:t>
      </w:r>
      <w:r>
        <w:t xml:space="preserve"> </w:t>
      </w:r>
      <w:r w:rsidR="00E255C2">
        <w:t xml:space="preserve">sobre </w:t>
      </w:r>
      <w:r>
        <w:t xml:space="preserve">su mente de las siguientes </w:t>
      </w:r>
      <w:r w:rsidR="00E255C2">
        <w:t>14</w:t>
      </w:r>
      <w:r>
        <w:t xml:space="preserve"> formas: [374] (i) en el orden </w:t>
      </w:r>
      <w:r w:rsidR="00444CBD">
        <w:t xml:space="preserve">progresivo </w:t>
      </w:r>
      <w:r>
        <w:t>de</w:t>
      </w:r>
      <w:r w:rsidR="00444CBD">
        <w:t xml:space="preserve"> </w:t>
      </w:r>
      <w:r>
        <w:t>l</w:t>
      </w:r>
      <w:r w:rsidR="00444CBD">
        <w:t>os</w:t>
      </w:r>
      <w:r>
        <w:t xml:space="preserve"> </w:t>
      </w:r>
      <w:proofErr w:type="spellStart"/>
      <w:r w:rsidR="00057BF4" w:rsidRPr="00057BF4">
        <w:rPr>
          <w:i/>
        </w:rPr>
        <w:t>kasiṇa</w:t>
      </w:r>
      <w:r w:rsidR="00444CBD" w:rsidRPr="00444CBD">
        <w:rPr>
          <w:iCs/>
        </w:rPr>
        <w:t>s</w:t>
      </w:r>
      <w:proofErr w:type="spellEnd"/>
      <w:r>
        <w:t>, (</w:t>
      </w:r>
      <w:proofErr w:type="spellStart"/>
      <w:r>
        <w:t>ii</w:t>
      </w:r>
      <w:proofErr w:type="spellEnd"/>
      <w:r>
        <w:t>) en el orden inverso de</w:t>
      </w:r>
      <w:r w:rsidR="00444CBD">
        <w:t xml:space="preserve"> </w:t>
      </w:r>
      <w:r>
        <w:t>l</w:t>
      </w:r>
      <w:r w:rsidR="00444CBD">
        <w:t>os</w:t>
      </w:r>
      <w:r>
        <w:t xml:space="preserve"> </w:t>
      </w:r>
      <w:proofErr w:type="spellStart"/>
      <w:r w:rsidR="00057BF4" w:rsidRPr="00057BF4">
        <w:rPr>
          <w:i/>
        </w:rPr>
        <w:t>kasiṇa</w:t>
      </w:r>
      <w:r w:rsidR="00444CBD" w:rsidRPr="00444CBD">
        <w:rPr>
          <w:b/>
          <w:bCs/>
          <w:i/>
        </w:rPr>
        <w:t>s</w:t>
      </w:r>
      <w:proofErr w:type="spellEnd"/>
      <w:r>
        <w:t>, (</w:t>
      </w:r>
      <w:proofErr w:type="spellStart"/>
      <w:r>
        <w:t>iii</w:t>
      </w:r>
      <w:proofErr w:type="spellEnd"/>
      <w:r>
        <w:t xml:space="preserve">) en el orden </w:t>
      </w:r>
      <w:r w:rsidR="00444CBD">
        <w:t>progresivo e</w:t>
      </w:r>
      <w:r>
        <w:t xml:space="preserve"> inverso de</w:t>
      </w:r>
      <w:r w:rsidR="00444CBD">
        <w:t xml:space="preserve"> </w:t>
      </w:r>
      <w:r>
        <w:t>l</w:t>
      </w:r>
      <w:r w:rsidR="00444CBD">
        <w:t>os</w:t>
      </w:r>
      <w:r>
        <w:t xml:space="preserve"> </w:t>
      </w:r>
    </w:p>
    <w:p w14:paraId="7E515548" w14:textId="56666EB0" w:rsidR="00D26F5C" w:rsidRPr="00DB3E2A" w:rsidRDefault="00D26F5C" w:rsidP="00DB3E2A">
      <w:pPr>
        <w:pStyle w:val="PiedepginaLegal"/>
        <w:rPr>
          <w:u w:val="single"/>
        </w:rPr>
      </w:pPr>
      <w:r w:rsidRPr="00DB3E2A">
        <w:rPr>
          <w:u w:val="single"/>
        </w:rPr>
        <w:t xml:space="preserve">                                                                                                                                                     .</w:t>
      </w:r>
    </w:p>
    <w:p w14:paraId="0593D19B" w14:textId="553AFDBD" w:rsidR="00DB3E2A" w:rsidRDefault="00D26F5C" w:rsidP="00800321">
      <w:pPr>
        <w:pStyle w:val="PiedepginaLegal"/>
      </w:pPr>
      <w:r>
        <w:t xml:space="preserve">1. </w:t>
      </w:r>
      <w:r w:rsidR="00DB3E2A">
        <w:tab/>
      </w:r>
      <w:proofErr w:type="spellStart"/>
      <w:r w:rsidRPr="004D00DF">
        <w:rPr>
          <w:i/>
          <w:iCs/>
        </w:rPr>
        <w:t>Āneñja</w:t>
      </w:r>
      <w:proofErr w:type="spellEnd"/>
      <w:r>
        <w:t>—“imperturbabilidad”: un término normalmente u</w:t>
      </w:r>
      <w:r w:rsidR="002B1B32">
        <w:t>tiliz</w:t>
      </w:r>
      <w:r>
        <w:t xml:space="preserve">ado para los cuatro estados inmateriales, junto con el cuarto </w:t>
      </w:r>
      <w:proofErr w:type="spellStart"/>
      <w:r w:rsidR="00057BF4" w:rsidRPr="00057BF4">
        <w:rPr>
          <w:i/>
        </w:rPr>
        <w:t>jhāna</w:t>
      </w:r>
      <w:proofErr w:type="spellEnd"/>
      <w:r>
        <w:t>. Ver también §16f., y MN 106.</w:t>
      </w:r>
      <w:r w:rsidR="00DB3E2A">
        <w:br w:type="page"/>
      </w:r>
    </w:p>
    <w:p w14:paraId="3011BFCF" w14:textId="4130A6BA" w:rsidR="00FE3617" w:rsidRDefault="00444CBD" w:rsidP="00FE3617">
      <w:proofErr w:type="spellStart"/>
      <w:r w:rsidRPr="00444CBD">
        <w:rPr>
          <w:i/>
          <w:iCs/>
        </w:rPr>
        <w:lastRenderedPageBreak/>
        <w:t>kasiṇa</w:t>
      </w:r>
      <w:r w:rsidRPr="00444CBD">
        <w:t>s</w:t>
      </w:r>
      <w:proofErr w:type="spellEnd"/>
      <w:r w:rsidRPr="00444CBD">
        <w:t>, (</w:t>
      </w:r>
      <w:proofErr w:type="spellStart"/>
      <w:r w:rsidRPr="00444CBD">
        <w:t>iv</w:t>
      </w:r>
      <w:proofErr w:type="spellEnd"/>
      <w:r w:rsidRPr="00444CBD">
        <w:t xml:space="preserve">) en el </w:t>
      </w:r>
      <w:r w:rsidR="00E255C2">
        <w:t xml:space="preserve">orden </w:t>
      </w:r>
      <w:r>
        <w:t xml:space="preserve">progresivo </w:t>
      </w:r>
      <w:r w:rsidR="00E255C2">
        <w:t>de los</w:t>
      </w:r>
      <w:r w:rsidR="00E255C2" w:rsidRPr="00057BF4">
        <w:rPr>
          <w:i/>
        </w:rPr>
        <w:t xml:space="preserve"> </w:t>
      </w:r>
      <w:proofErr w:type="spellStart"/>
      <w:r w:rsidR="00057BF4" w:rsidRPr="00057BF4">
        <w:rPr>
          <w:i/>
        </w:rPr>
        <w:t>jhāna</w:t>
      </w:r>
      <w:r>
        <w:rPr>
          <w:iCs/>
        </w:rPr>
        <w:t>s</w:t>
      </w:r>
      <w:proofErr w:type="spellEnd"/>
      <w:r w:rsidR="00FE3617">
        <w:t>, (v) en el orden inverso de</w:t>
      </w:r>
      <w:r w:rsidR="00800321">
        <w:t xml:space="preserve"> </w:t>
      </w:r>
      <w:r w:rsidR="00FE3617">
        <w:t>l</w:t>
      </w:r>
      <w:r w:rsidR="00800321">
        <w:t>os</w:t>
      </w:r>
      <w:r w:rsidR="00FE3617">
        <w:t xml:space="preserve"> </w:t>
      </w:r>
      <w:proofErr w:type="spellStart"/>
      <w:r w:rsidR="00057BF4" w:rsidRPr="00057BF4">
        <w:rPr>
          <w:i/>
        </w:rPr>
        <w:t>jhāna</w:t>
      </w:r>
      <w:r w:rsidR="00800321">
        <w:rPr>
          <w:iCs/>
        </w:rPr>
        <w:t>s</w:t>
      </w:r>
      <w:proofErr w:type="spellEnd"/>
      <w:r w:rsidR="00FE3617">
        <w:t xml:space="preserve"> (vi) en el orden </w:t>
      </w:r>
      <w:r>
        <w:t xml:space="preserve">progresivo e </w:t>
      </w:r>
      <w:r w:rsidR="00FE3617">
        <w:t>inverso de</w:t>
      </w:r>
      <w:r>
        <w:t xml:space="preserve"> </w:t>
      </w:r>
      <w:r w:rsidR="00FE3617">
        <w:t>l</w:t>
      </w:r>
      <w:r>
        <w:t>os</w:t>
      </w:r>
      <w:r w:rsidR="00FE3617">
        <w:t xml:space="preserve"> </w:t>
      </w:r>
      <w:proofErr w:type="spellStart"/>
      <w:r w:rsidR="00057BF4" w:rsidRPr="00057BF4">
        <w:rPr>
          <w:i/>
        </w:rPr>
        <w:t>jhāna</w:t>
      </w:r>
      <w:r>
        <w:rPr>
          <w:iCs/>
        </w:rPr>
        <w:t>s</w:t>
      </w:r>
      <w:proofErr w:type="spellEnd"/>
      <w:r w:rsidR="00FE3617">
        <w:t>, (</w:t>
      </w:r>
      <w:proofErr w:type="spellStart"/>
      <w:r w:rsidR="00FE3617">
        <w:t>vii</w:t>
      </w:r>
      <w:proofErr w:type="spellEnd"/>
      <w:r w:rsidR="00FE3617">
        <w:t xml:space="preserve">) </w:t>
      </w:r>
      <w:r w:rsidR="001C3A55">
        <w:t xml:space="preserve">mediante la </w:t>
      </w:r>
      <w:r>
        <w:t>omisión de los</w:t>
      </w:r>
      <w:r w:rsidR="00FE3617">
        <w:t xml:space="preserve"> </w:t>
      </w:r>
      <w:proofErr w:type="spellStart"/>
      <w:r w:rsidRPr="00057BF4">
        <w:rPr>
          <w:i/>
        </w:rPr>
        <w:t>jhāna</w:t>
      </w:r>
      <w:r>
        <w:rPr>
          <w:iCs/>
        </w:rPr>
        <w:t>s</w:t>
      </w:r>
      <w:proofErr w:type="spellEnd"/>
      <w:r w:rsidR="00FE3617">
        <w:t>, (</w:t>
      </w:r>
      <w:proofErr w:type="spellStart"/>
      <w:r w:rsidR="00FE3617">
        <w:t>viii</w:t>
      </w:r>
      <w:proofErr w:type="spellEnd"/>
      <w:r w:rsidR="00FE3617">
        <w:t xml:space="preserve">) </w:t>
      </w:r>
      <w:r w:rsidR="001C3A55">
        <w:t xml:space="preserve">mediante la </w:t>
      </w:r>
      <w:r>
        <w:t xml:space="preserve">omisión de los </w:t>
      </w:r>
      <w:proofErr w:type="spellStart"/>
      <w:r w:rsidR="00057BF4" w:rsidRPr="00057BF4">
        <w:rPr>
          <w:i/>
        </w:rPr>
        <w:t>kasiṇa</w:t>
      </w:r>
      <w:r>
        <w:rPr>
          <w:iCs/>
        </w:rPr>
        <w:t>s</w:t>
      </w:r>
      <w:proofErr w:type="spellEnd"/>
      <w:r w:rsidR="00FE3617">
        <w:t>, (</w:t>
      </w:r>
      <w:proofErr w:type="spellStart"/>
      <w:r w:rsidR="00FE3617">
        <w:t>ix</w:t>
      </w:r>
      <w:proofErr w:type="spellEnd"/>
      <w:r w:rsidR="00FE3617">
        <w:t xml:space="preserve">) </w:t>
      </w:r>
      <w:r w:rsidR="001C3A55">
        <w:t xml:space="preserve">mediante la </w:t>
      </w:r>
      <w:r>
        <w:t>omisión de los</w:t>
      </w:r>
      <w:r w:rsidR="00FE3617">
        <w:t xml:space="preserve"> </w:t>
      </w:r>
      <w:proofErr w:type="spellStart"/>
      <w:r>
        <w:rPr>
          <w:i/>
        </w:rPr>
        <w:t>jhāna</w:t>
      </w:r>
      <w:r>
        <w:rPr>
          <w:iCs/>
        </w:rPr>
        <w:t>s</w:t>
      </w:r>
      <w:proofErr w:type="spellEnd"/>
      <w:r>
        <w:t xml:space="preserve"> </w:t>
      </w:r>
      <w:r w:rsidR="00FE3617">
        <w:t xml:space="preserve">y </w:t>
      </w:r>
      <w:r w:rsidR="001C3A55">
        <w:t xml:space="preserve">los </w:t>
      </w:r>
      <w:proofErr w:type="spellStart"/>
      <w:r>
        <w:rPr>
          <w:i/>
        </w:rPr>
        <w:t>kasiṇa</w:t>
      </w:r>
      <w:r>
        <w:rPr>
          <w:iCs/>
        </w:rPr>
        <w:t>s</w:t>
      </w:r>
      <w:proofErr w:type="spellEnd"/>
      <w:r w:rsidR="00FE3617">
        <w:t xml:space="preserve">, (x) </w:t>
      </w:r>
      <w:r w:rsidR="001C3A55">
        <w:t xml:space="preserve">mediante </w:t>
      </w:r>
      <w:r w:rsidR="00FE3617">
        <w:t xml:space="preserve">transposición de </w:t>
      </w:r>
      <w:r>
        <w:t xml:space="preserve">los </w:t>
      </w:r>
      <w:r w:rsidR="00FE3617">
        <w:t xml:space="preserve">factores, (xi) </w:t>
      </w:r>
      <w:r w:rsidR="001C3A55">
        <w:t xml:space="preserve">mediante la </w:t>
      </w:r>
      <w:r w:rsidR="00FE3617">
        <w:t>transposición de</w:t>
      </w:r>
      <w:r>
        <w:t>l</w:t>
      </w:r>
      <w:r w:rsidR="00FE3617">
        <w:t xml:space="preserve"> objeto, (</w:t>
      </w:r>
      <w:proofErr w:type="spellStart"/>
      <w:r w:rsidR="00FE3617">
        <w:t>xii</w:t>
      </w:r>
      <w:proofErr w:type="spellEnd"/>
      <w:r w:rsidR="00FE3617">
        <w:t xml:space="preserve">) </w:t>
      </w:r>
      <w:r w:rsidR="001C3A55">
        <w:t xml:space="preserve">mediante la </w:t>
      </w:r>
      <w:r w:rsidR="00FE3617">
        <w:t xml:space="preserve">transposición de </w:t>
      </w:r>
      <w:r w:rsidR="004A1C9A">
        <w:t xml:space="preserve">los </w:t>
      </w:r>
      <w:r w:rsidR="00FE3617">
        <w:t xml:space="preserve">factores y </w:t>
      </w:r>
      <w:r w:rsidR="004A1C9A">
        <w:t xml:space="preserve">del </w:t>
      </w:r>
      <w:r w:rsidR="00FE3617">
        <w:t>objeto, (</w:t>
      </w:r>
      <w:proofErr w:type="spellStart"/>
      <w:r w:rsidR="00FE3617">
        <w:t>xiii</w:t>
      </w:r>
      <w:proofErr w:type="spellEnd"/>
      <w:r w:rsidR="00FE3617">
        <w:t xml:space="preserve">) </w:t>
      </w:r>
      <w:r w:rsidR="001C3A55">
        <w:t xml:space="preserve">mediante la </w:t>
      </w:r>
      <w:r w:rsidR="00FE3617">
        <w:t xml:space="preserve">definición de </w:t>
      </w:r>
      <w:r w:rsidR="004A1C9A">
        <w:t xml:space="preserve">los </w:t>
      </w:r>
      <w:r w:rsidR="00FE3617">
        <w:t>factores, y (</w:t>
      </w:r>
      <w:proofErr w:type="spellStart"/>
      <w:r w:rsidR="00FE3617">
        <w:t>xiv</w:t>
      </w:r>
      <w:proofErr w:type="spellEnd"/>
      <w:r w:rsidR="00FE3617">
        <w:t xml:space="preserve">) </w:t>
      </w:r>
      <w:r w:rsidR="001C3A55">
        <w:t xml:space="preserve">mediante </w:t>
      </w:r>
      <w:r w:rsidR="00FE3617">
        <w:t xml:space="preserve">definición de </w:t>
      </w:r>
      <w:r w:rsidR="004A1C9A">
        <w:t xml:space="preserve">los </w:t>
      </w:r>
      <w:r w:rsidR="00FE3617">
        <w:t>objeto.</w:t>
      </w:r>
    </w:p>
    <w:p w14:paraId="33F8281D" w14:textId="2F3CB04F" w:rsidR="00FE3617" w:rsidRDefault="00FE3617" w:rsidP="00FE3617">
      <w:r>
        <w:t xml:space="preserve">3. </w:t>
      </w:r>
      <w:r>
        <w:tab/>
        <w:t xml:space="preserve">Pero ¿qué </w:t>
      </w:r>
      <w:r w:rsidR="00D705FC">
        <w:t xml:space="preserve">significa aquí </w:t>
      </w:r>
      <w:r>
        <w:t xml:space="preserve">“en el orden </w:t>
      </w:r>
      <w:r w:rsidR="00D705FC">
        <w:t xml:space="preserve">progresivo </w:t>
      </w:r>
      <w:r>
        <w:t>de</w:t>
      </w:r>
      <w:r w:rsidR="0067336F">
        <w:t xml:space="preserve"> </w:t>
      </w:r>
      <w:r>
        <w:t>l</w:t>
      </w:r>
      <w:r w:rsidR="0067336F">
        <w:t>os</w:t>
      </w:r>
      <w:r>
        <w:t xml:space="preserve"> </w:t>
      </w:r>
      <w:proofErr w:type="spellStart"/>
      <w:r w:rsidR="00057BF4" w:rsidRPr="00057BF4">
        <w:rPr>
          <w:i/>
        </w:rPr>
        <w:t>kasiṇa</w:t>
      </w:r>
      <w:r w:rsidR="0067336F">
        <w:rPr>
          <w:iCs/>
        </w:rPr>
        <w:t>s</w:t>
      </w:r>
      <w:proofErr w:type="spellEnd"/>
      <w:r>
        <w:t xml:space="preserve">”? ¿Qué </w:t>
      </w:r>
      <w:r w:rsidR="00B27060">
        <w:t xml:space="preserve">significa </w:t>
      </w:r>
      <w:r>
        <w:t>la “definición de objeto”?</w:t>
      </w:r>
    </w:p>
    <w:p w14:paraId="5227B80D" w14:textId="0775FF16" w:rsidR="00FE3617" w:rsidRDefault="00FE3617" w:rsidP="00442F0E">
      <w:pPr>
        <w:pStyle w:val="NormalConSangria"/>
      </w:pPr>
      <w:r>
        <w:t xml:space="preserve">(i) Aquí un </w:t>
      </w:r>
      <w:proofErr w:type="spellStart"/>
      <w:r w:rsidR="00057BF4" w:rsidRPr="00057BF4">
        <w:rPr>
          <w:i/>
        </w:rPr>
        <w:t>bhikkhu</w:t>
      </w:r>
      <w:proofErr w:type="spellEnd"/>
      <w:r>
        <w:t xml:space="preserve"> </w:t>
      </w:r>
      <w:r w:rsidR="008271D6">
        <w:t>obtendrá el</w:t>
      </w:r>
      <w:r>
        <w:t xml:space="preserve">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tierra, luego en el </w:t>
      </w:r>
      <w:proofErr w:type="spellStart"/>
      <w:r w:rsidR="00057BF4" w:rsidRPr="00057BF4">
        <w:rPr>
          <w:i/>
        </w:rPr>
        <w:t>kasiṇa</w:t>
      </w:r>
      <w:proofErr w:type="spellEnd"/>
      <w:r>
        <w:t xml:space="preserve"> agua, y así pro</w:t>
      </w:r>
      <w:r w:rsidR="008271D6">
        <w:t xml:space="preserve">seguirá </w:t>
      </w:r>
      <w:r>
        <w:t xml:space="preserve">a través de los ocho </w:t>
      </w:r>
      <w:proofErr w:type="spellStart"/>
      <w:r w:rsidR="00057BF4" w:rsidRPr="00057BF4">
        <w:rPr>
          <w:i/>
        </w:rPr>
        <w:t>kasiṇa</w:t>
      </w:r>
      <w:r>
        <w:t>s</w:t>
      </w:r>
      <w:proofErr w:type="spellEnd"/>
      <w:r>
        <w:t>, haciéndolo inclus</w:t>
      </w:r>
      <w:r w:rsidR="008271D6">
        <w:t>ive</w:t>
      </w:r>
      <w:r>
        <w:t xml:space="preserve"> cien veces, inclus</w:t>
      </w:r>
      <w:r w:rsidR="008271D6">
        <w:t>ive</w:t>
      </w:r>
      <w:r>
        <w:t xml:space="preserve"> mil veces, en cada </w:t>
      </w:r>
      <w:r w:rsidR="00BF6BCE">
        <w:t>caso</w:t>
      </w:r>
      <w:r>
        <w:t xml:space="preserve">. </w:t>
      </w:r>
      <w:r w:rsidR="00BF6BCE">
        <w:t>A e</w:t>
      </w:r>
      <w:r>
        <w:t xml:space="preserve">sto se </w:t>
      </w:r>
      <w:r w:rsidR="00BF6BCE">
        <w:t xml:space="preserve">le </w:t>
      </w:r>
      <w:r>
        <w:t>llama</w:t>
      </w:r>
      <w:r w:rsidR="008271D6">
        <w:t>rá</w:t>
      </w:r>
      <w:r>
        <w:t xml:space="preserve"> </w:t>
      </w:r>
      <w:r w:rsidRPr="004D00DF">
        <w:rPr>
          <w:i/>
          <w:iCs/>
        </w:rPr>
        <w:t xml:space="preserve">en el orden </w:t>
      </w:r>
      <w:r w:rsidR="00BF6BCE">
        <w:rPr>
          <w:i/>
          <w:iCs/>
        </w:rPr>
        <w:t xml:space="preserve">progresivo </w:t>
      </w:r>
      <w:r w:rsidRPr="004D00DF">
        <w:rPr>
          <w:i/>
          <w:iCs/>
        </w:rPr>
        <w:t>de los</w:t>
      </w:r>
      <w:r>
        <w:t xml:space="preserve"> </w:t>
      </w:r>
      <w:proofErr w:type="spellStart"/>
      <w:r w:rsidR="00057BF4" w:rsidRPr="00057BF4">
        <w:rPr>
          <w:i/>
        </w:rPr>
        <w:t>kasiṇa</w:t>
      </w:r>
      <w:r>
        <w:t>s</w:t>
      </w:r>
      <w:proofErr w:type="spellEnd"/>
      <w:r>
        <w:t>. (</w:t>
      </w:r>
      <w:proofErr w:type="spellStart"/>
      <w:r>
        <w:t>ii</w:t>
      </w:r>
      <w:proofErr w:type="spellEnd"/>
      <w:r>
        <w:t xml:space="preserve">) Obtenerlos de la misma manera en orden inverso, comenzando con el </w:t>
      </w:r>
      <w:proofErr w:type="spellStart"/>
      <w:r w:rsidR="00057BF4" w:rsidRPr="00057BF4">
        <w:rPr>
          <w:i/>
        </w:rPr>
        <w:t>kasiṇa</w:t>
      </w:r>
      <w:proofErr w:type="spellEnd"/>
      <w:r>
        <w:t xml:space="preserve"> blanco, </w:t>
      </w:r>
      <w:r w:rsidR="008271D6">
        <w:t xml:space="preserve">a esto </w:t>
      </w:r>
      <w:r>
        <w:t xml:space="preserve">se </w:t>
      </w:r>
      <w:r w:rsidR="00BF6BCE">
        <w:t xml:space="preserve">le </w:t>
      </w:r>
      <w:r>
        <w:t>llama</w:t>
      </w:r>
      <w:r w:rsidR="008271D6">
        <w:t>rá</w:t>
      </w:r>
      <w:r>
        <w:t xml:space="preserve"> </w:t>
      </w:r>
      <w:r w:rsidRPr="00A13EA2">
        <w:rPr>
          <w:i/>
          <w:iCs/>
        </w:rPr>
        <w:t xml:space="preserve">en el orden inverso de los </w:t>
      </w:r>
      <w:proofErr w:type="spellStart"/>
      <w:r w:rsidR="00057BF4" w:rsidRPr="00A13EA2">
        <w:rPr>
          <w:i/>
          <w:iCs/>
        </w:rPr>
        <w:t>kasiṇa</w:t>
      </w:r>
      <w:r w:rsidRPr="00A13EA2">
        <w:rPr>
          <w:i/>
          <w:iCs/>
        </w:rPr>
        <w:t>s</w:t>
      </w:r>
      <w:proofErr w:type="spellEnd"/>
      <w:r>
        <w:t>. (</w:t>
      </w:r>
      <w:proofErr w:type="spellStart"/>
      <w:r>
        <w:t>iii</w:t>
      </w:r>
      <w:proofErr w:type="spellEnd"/>
      <w:r>
        <w:t xml:space="preserve">) </w:t>
      </w:r>
      <w:r w:rsidR="00BF6BCE">
        <w:t>Desarrollarlos</w:t>
      </w:r>
      <w:r>
        <w:t xml:space="preserve"> una y otra vez en orden </w:t>
      </w:r>
      <w:r w:rsidR="00BF6BCE">
        <w:t xml:space="preserve">progresivo </w:t>
      </w:r>
      <w:r>
        <w:t xml:space="preserve">e inverso, desde </w:t>
      </w:r>
      <w:r w:rsidR="00BF6BCE">
        <w:t>e</w:t>
      </w:r>
      <w:r>
        <w:t xml:space="preserve">l </w:t>
      </w:r>
      <w:proofErr w:type="spellStart"/>
      <w:r w:rsidR="00BF6BCE" w:rsidRPr="00057BF4">
        <w:rPr>
          <w:i/>
        </w:rPr>
        <w:t>kasiṇa</w:t>
      </w:r>
      <w:proofErr w:type="spellEnd"/>
      <w:r w:rsidR="00BF6BCE">
        <w:t xml:space="preserve"> </w:t>
      </w:r>
      <w:r>
        <w:t xml:space="preserve">tierra hasta </w:t>
      </w:r>
      <w:r w:rsidR="00BF6BCE">
        <w:t xml:space="preserve">el </w:t>
      </w:r>
      <w:proofErr w:type="spellStart"/>
      <w:r w:rsidR="00BF6BCE" w:rsidRPr="00057BF4">
        <w:rPr>
          <w:i/>
        </w:rPr>
        <w:t>kasiṇa</w:t>
      </w:r>
      <w:proofErr w:type="spellEnd"/>
      <w:r w:rsidR="00BF6BCE">
        <w:t xml:space="preserve"> blanco </w:t>
      </w:r>
      <w:r>
        <w:t xml:space="preserve">y desde </w:t>
      </w:r>
      <w:r w:rsidR="00BF6BCE">
        <w:t xml:space="preserve">el </w:t>
      </w:r>
      <w:proofErr w:type="spellStart"/>
      <w:r w:rsidR="00BF6BCE" w:rsidRPr="00057BF4">
        <w:rPr>
          <w:i/>
        </w:rPr>
        <w:t>kasiṇa</w:t>
      </w:r>
      <w:proofErr w:type="spellEnd"/>
      <w:r w:rsidR="00BF6BCE">
        <w:t xml:space="preserve"> blanco </w:t>
      </w:r>
      <w:r>
        <w:t xml:space="preserve">de regreso </w:t>
      </w:r>
      <w:r w:rsidR="00BF6BCE">
        <w:t>hasta</w:t>
      </w:r>
      <w:r>
        <w:t xml:space="preserve"> </w:t>
      </w:r>
      <w:r w:rsidR="00BF6BCE">
        <w:t xml:space="preserve">el </w:t>
      </w:r>
      <w:proofErr w:type="spellStart"/>
      <w:r w:rsidR="00BF6BCE" w:rsidRPr="00057BF4">
        <w:rPr>
          <w:i/>
        </w:rPr>
        <w:t>kasiṇa</w:t>
      </w:r>
      <w:proofErr w:type="spellEnd"/>
      <w:r w:rsidR="00BF6BCE">
        <w:t xml:space="preserve"> tierra</w:t>
      </w:r>
      <w:r>
        <w:t xml:space="preserve">, se </w:t>
      </w:r>
      <w:r w:rsidR="00BF6BCE">
        <w:t xml:space="preserve">le </w:t>
      </w:r>
      <w:r>
        <w:t>llama</w:t>
      </w:r>
      <w:r w:rsidR="00A13EA2">
        <w:t>rá</w:t>
      </w:r>
      <w:r>
        <w:t xml:space="preserve"> </w:t>
      </w:r>
      <w:r w:rsidRPr="00A13EA2">
        <w:rPr>
          <w:i/>
          <w:iCs/>
        </w:rPr>
        <w:t xml:space="preserve">en orden </w:t>
      </w:r>
      <w:r w:rsidR="00BF6BCE" w:rsidRPr="00A13EA2">
        <w:rPr>
          <w:i/>
          <w:iCs/>
        </w:rPr>
        <w:t>progresivo e</w:t>
      </w:r>
      <w:r w:rsidRPr="00A13EA2">
        <w:rPr>
          <w:i/>
          <w:iCs/>
        </w:rPr>
        <w:t xml:space="preserve"> inverso de l</w:t>
      </w:r>
      <w:r w:rsidR="00BF6BCE" w:rsidRPr="00A13EA2">
        <w:rPr>
          <w:i/>
          <w:iCs/>
        </w:rPr>
        <w:t>o</w:t>
      </w:r>
      <w:r w:rsidRPr="00A13EA2">
        <w:rPr>
          <w:i/>
          <w:iCs/>
        </w:rPr>
        <w:t>s</w:t>
      </w:r>
      <w:r>
        <w:t xml:space="preserve"> </w:t>
      </w:r>
      <w:proofErr w:type="spellStart"/>
      <w:r w:rsidR="00057BF4" w:rsidRPr="00057BF4">
        <w:rPr>
          <w:i/>
        </w:rPr>
        <w:t>kasiṇa</w:t>
      </w:r>
      <w:r>
        <w:t>s</w:t>
      </w:r>
      <w:proofErr w:type="spellEnd"/>
      <w:r>
        <w:t>.</w:t>
      </w:r>
    </w:p>
    <w:p w14:paraId="58CCAA8E" w14:textId="05BC78D2" w:rsidR="00FE3617" w:rsidRDefault="00FE3617" w:rsidP="00FE3617">
      <w:r>
        <w:t xml:space="preserve">4. </w:t>
      </w:r>
      <w:r>
        <w:tab/>
        <w:t>(</w:t>
      </w:r>
      <w:proofErr w:type="spellStart"/>
      <w:r>
        <w:t>iv</w:t>
      </w:r>
      <w:proofErr w:type="spellEnd"/>
      <w:r>
        <w:t xml:space="preserve">) </w:t>
      </w:r>
      <w:r w:rsidR="00A13EA2">
        <w:t>Al d</w:t>
      </w:r>
      <w:r w:rsidR="00E93809">
        <w:t>esarroll</w:t>
      </w:r>
      <w:r w:rsidR="00575EDB">
        <w:t>o</w:t>
      </w:r>
      <w:r>
        <w:t xml:space="preserve"> </w:t>
      </w:r>
      <w:r w:rsidR="00A13EA2">
        <w:t>d</w:t>
      </w:r>
      <w:r>
        <w:t xml:space="preserve">el primer </w:t>
      </w:r>
      <w:proofErr w:type="spellStart"/>
      <w:r w:rsidR="00057BF4" w:rsidRPr="00057BF4">
        <w:rPr>
          <w:i/>
        </w:rPr>
        <w:t>jhāna</w:t>
      </w:r>
      <w:proofErr w:type="spellEnd"/>
      <w:r>
        <w:t xml:space="preserve"> </w:t>
      </w:r>
      <w:r w:rsidR="00F45667">
        <w:t xml:space="preserve">una y otra vez </w:t>
      </w:r>
      <w:r>
        <w:t xml:space="preserve">hasta la </w:t>
      </w:r>
      <w:r w:rsidRPr="00320029">
        <w:t>base consiste</w:t>
      </w:r>
      <w:r w:rsidR="00F45667" w:rsidRPr="00320029">
        <w:t>nte</w:t>
      </w:r>
      <w:r w:rsidRPr="00320029">
        <w:t xml:space="preserve"> </w:t>
      </w:r>
      <w:r w:rsidR="00F45667" w:rsidRPr="00320029">
        <w:t>de</w:t>
      </w:r>
      <w:r w:rsidRPr="00320029">
        <w:t xml:space="preserve"> </w:t>
      </w:r>
      <w:r w:rsidR="00F45667" w:rsidRPr="00320029">
        <w:t xml:space="preserve">la </w:t>
      </w:r>
      <w:r w:rsidRPr="00320029">
        <w:t>n</w:t>
      </w:r>
      <w:r w:rsidR="00F45667" w:rsidRPr="00320029">
        <w:t>o-</w:t>
      </w:r>
      <w:r w:rsidRPr="00320029">
        <w:t>percepción</w:t>
      </w:r>
      <w:r w:rsidR="00F45667" w:rsidRPr="00320029">
        <w:t>-</w:t>
      </w:r>
      <w:r w:rsidRPr="00320029">
        <w:t>ni</w:t>
      </w:r>
      <w:r w:rsidR="00F45667" w:rsidRPr="00320029">
        <w:t>-</w:t>
      </w:r>
      <w:r w:rsidRPr="00320029">
        <w:t>no</w:t>
      </w:r>
      <w:r w:rsidR="00F45667" w:rsidRPr="00320029">
        <w:t>-</w:t>
      </w:r>
      <w:r w:rsidRPr="00320029">
        <w:t>percepción</w:t>
      </w:r>
      <w:r>
        <w:t xml:space="preserve"> se </w:t>
      </w:r>
      <w:r w:rsidR="00F45667">
        <w:t xml:space="preserve">le </w:t>
      </w:r>
      <w:r>
        <w:t>llama</w:t>
      </w:r>
      <w:r w:rsidR="00A13EA2">
        <w:t>rá</w:t>
      </w:r>
      <w:r>
        <w:t xml:space="preserve"> </w:t>
      </w:r>
      <w:r w:rsidRPr="004D00DF">
        <w:rPr>
          <w:i/>
          <w:iCs/>
        </w:rPr>
        <w:t xml:space="preserve">en el orden </w:t>
      </w:r>
      <w:r w:rsidR="00F45667">
        <w:rPr>
          <w:i/>
          <w:iCs/>
        </w:rPr>
        <w:t xml:space="preserve">progresivo </w:t>
      </w:r>
      <w:r w:rsidRPr="004D00DF">
        <w:rPr>
          <w:i/>
          <w:iCs/>
        </w:rPr>
        <w:t>de los</w:t>
      </w:r>
      <w:r>
        <w:t xml:space="preserve"> </w:t>
      </w:r>
      <w:proofErr w:type="spellStart"/>
      <w:r w:rsidR="00057BF4" w:rsidRPr="00057BF4">
        <w:rPr>
          <w:i/>
        </w:rPr>
        <w:t>jhāna</w:t>
      </w:r>
      <w:r>
        <w:t>s</w:t>
      </w:r>
      <w:proofErr w:type="spellEnd"/>
      <w:r>
        <w:t xml:space="preserve">. (v) </w:t>
      </w:r>
      <w:r w:rsidR="00575EDB">
        <w:t xml:space="preserve">Al desarrollo </w:t>
      </w:r>
      <w:r>
        <w:t xml:space="preserve">una y otra vez desde la base </w:t>
      </w:r>
      <w:r w:rsidR="00F45667">
        <w:t xml:space="preserve">consistente de la no-percepción-ni-no-percepción </w:t>
      </w:r>
      <w:r>
        <w:t xml:space="preserve">hasta el primer </w:t>
      </w:r>
      <w:proofErr w:type="spellStart"/>
      <w:r w:rsidR="00057BF4" w:rsidRPr="00057BF4">
        <w:rPr>
          <w:i/>
        </w:rPr>
        <w:t>jhāna</w:t>
      </w:r>
      <w:proofErr w:type="spellEnd"/>
      <w:r>
        <w:t xml:space="preserve"> se </w:t>
      </w:r>
      <w:r w:rsidR="00F45667">
        <w:t xml:space="preserve">le </w:t>
      </w:r>
      <w:r>
        <w:t>denomina</w:t>
      </w:r>
      <w:r w:rsidR="00241D00">
        <w:t>rá</w:t>
      </w:r>
      <w:r>
        <w:t xml:space="preserve"> </w:t>
      </w:r>
      <w:r w:rsidRPr="004D00DF">
        <w:rPr>
          <w:i/>
          <w:iCs/>
        </w:rPr>
        <w:t>en el orden inverso de los</w:t>
      </w:r>
      <w:r>
        <w:t xml:space="preserve"> </w:t>
      </w:r>
      <w:proofErr w:type="spellStart"/>
      <w:r w:rsidR="00057BF4" w:rsidRPr="00057BF4">
        <w:rPr>
          <w:i/>
        </w:rPr>
        <w:t>jhāna</w:t>
      </w:r>
      <w:r>
        <w:t>s</w:t>
      </w:r>
      <w:proofErr w:type="spellEnd"/>
      <w:r>
        <w:t xml:space="preserve">. (vi) </w:t>
      </w:r>
      <w:r w:rsidR="00575EDB">
        <w:t xml:space="preserve">Al desarrollo </w:t>
      </w:r>
      <w:r>
        <w:t xml:space="preserve">en orden </w:t>
      </w:r>
      <w:r w:rsidR="00F45667" w:rsidRPr="00F45667">
        <w:t>progresivo</w:t>
      </w:r>
      <w:r w:rsidR="00F45667">
        <w:rPr>
          <w:i/>
          <w:iCs/>
        </w:rPr>
        <w:t xml:space="preserve"> </w:t>
      </w:r>
      <w:r>
        <w:t xml:space="preserve">e inverso, desde el primer </w:t>
      </w:r>
      <w:proofErr w:type="spellStart"/>
      <w:r w:rsidR="00057BF4" w:rsidRPr="00057BF4">
        <w:rPr>
          <w:i/>
        </w:rPr>
        <w:t>jhāna</w:t>
      </w:r>
      <w:proofErr w:type="spellEnd"/>
      <w:r>
        <w:t xml:space="preserve"> hasta la base </w:t>
      </w:r>
      <w:r w:rsidR="0081296A">
        <w:t xml:space="preserve">consistente de la no-percepción-ni-no-percepción </w:t>
      </w:r>
      <w:r>
        <w:t xml:space="preserve">y desde la base </w:t>
      </w:r>
      <w:r w:rsidR="0081296A">
        <w:t xml:space="preserve">consistente de la no-percepción-ni-no-percepción </w:t>
      </w:r>
      <w:r>
        <w:t xml:space="preserve">de </w:t>
      </w:r>
      <w:r w:rsidR="00241D00">
        <w:t xml:space="preserve">regreso </w:t>
      </w:r>
      <w:r w:rsidR="0081296A">
        <w:t>hasta</w:t>
      </w:r>
      <w:r>
        <w:t xml:space="preserve"> </w:t>
      </w:r>
      <w:r w:rsidR="0081296A">
        <w:t>e</w:t>
      </w:r>
      <w:r>
        <w:t xml:space="preserve">l primer </w:t>
      </w:r>
      <w:proofErr w:type="spellStart"/>
      <w:r w:rsidR="00057BF4" w:rsidRPr="00057BF4">
        <w:rPr>
          <w:i/>
        </w:rPr>
        <w:t>jhāna</w:t>
      </w:r>
      <w:proofErr w:type="spellEnd"/>
      <w:r>
        <w:t xml:space="preserve">, se </w:t>
      </w:r>
      <w:r w:rsidR="0081296A">
        <w:t xml:space="preserve">le </w:t>
      </w:r>
      <w:r>
        <w:t>llama</w:t>
      </w:r>
      <w:r w:rsidR="00241D00">
        <w:t>rá</w:t>
      </w:r>
      <w:r>
        <w:t xml:space="preserve"> </w:t>
      </w:r>
      <w:r w:rsidRPr="004D00DF">
        <w:rPr>
          <w:i/>
          <w:iCs/>
        </w:rPr>
        <w:t xml:space="preserve">en el orden </w:t>
      </w:r>
      <w:r w:rsidR="0081296A">
        <w:rPr>
          <w:i/>
          <w:iCs/>
        </w:rPr>
        <w:t>progresivo e</w:t>
      </w:r>
      <w:r w:rsidRPr="004D00DF">
        <w:rPr>
          <w:i/>
          <w:iCs/>
        </w:rPr>
        <w:t xml:space="preserve"> inverso de los</w:t>
      </w:r>
      <w:r>
        <w:t xml:space="preserve"> </w:t>
      </w:r>
      <w:proofErr w:type="spellStart"/>
      <w:r w:rsidR="00057BF4" w:rsidRPr="00057BF4">
        <w:rPr>
          <w:i/>
        </w:rPr>
        <w:t>jhāna</w:t>
      </w:r>
      <w:r>
        <w:t>s</w:t>
      </w:r>
      <w:proofErr w:type="spellEnd"/>
      <w:r>
        <w:t>.</w:t>
      </w:r>
    </w:p>
    <w:p w14:paraId="3EB7EFA4" w14:textId="4E75B182" w:rsidR="00FE3617" w:rsidRDefault="00FE3617" w:rsidP="00FE3617">
      <w:r>
        <w:t xml:space="preserve">5. </w:t>
      </w:r>
      <w:r>
        <w:tab/>
        <w:t>(</w:t>
      </w:r>
      <w:proofErr w:type="spellStart"/>
      <w:r>
        <w:t>vii</w:t>
      </w:r>
      <w:proofErr w:type="spellEnd"/>
      <w:r>
        <w:t xml:space="preserve">) </w:t>
      </w:r>
      <w:r w:rsidR="001902F0">
        <w:t>Él omitirá los</w:t>
      </w:r>
      <w:r>
        <w:t xml:space="preserve"> </w:t>
      </w:r>
      <w:proofErr w:type="spellStart"/>
      <w:r w:rsidR="00057BF4" w:rsidRPr="00057BF4">
        <w:rPr>
          <w:i/>
        </w:rPr>
        <w:t>jhāna</w:t>
      </w:r>
      <w:r>
        <w:t>s</w:t>
      </w:r>
      <w:proofErr w:type="spellEnd"/>
      <w:r>
        <w:t xml:space="preserve"> alternos sin </w:t>
      </w:r>
      <w:r w:rsidR="001902F0">
        <w:t>hacerlo con</w:t>
      </w:r>
      <w:r>
        <w:t xml:space="preserve"> los </w:t>
      </w:r>
      <w:proofErr w:type="spellStart"/>
      <w:r w:rsidR="00057BF4" w:rsidRPr="00057BF4">
        <w:rPr>
          <w:i/>
        </w:rPr>
        <w:t>kasiṇa</w:t>
      </w:r>
      <w:r>
        <w:t>s</w:t>
      </w:r>
      <w:proofErr w:type="spellEnd"/>
      <w:r>
        <w:t xml:space="preserve"> de la siguiente manera: habiendo obtenido primero el primer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w:t>
      </w:r>
      <w:r w:rsidR="001902F0">
        <w:t>tierra</w:t>
      </w:r>
      <w:r>
        <w:t>, alcanza</w:t>
      </w:r>
      <w:r w:rsidR="001902F0">
        <w:t>rá</w:t>
      </w:r>
      <w:r>
        <w:t xml:space="preserve"> el tercer </w:t>
      </w:r>
      <w:proofErr w:type="spellStart"/>
      <w:r w:rsidR="00057BF4" w:rsidRPr="00057BF4">
        <w:rPr>
          <w:i/>
        </w:rPr>
        <w:t>jhāna</w:t>
      </w:r>
      <w:proofErr w:type="spellEnd"/>
      <w:r>
        <w:t xml:space="preserve"> en ese mismo </w:t>
      </w:r>
      <w:proofErr w:type="spellStart"/>
      <w:r w:rsidR="00057BF4" w:rsidRPr="00057BF4">
        <w:rPr>
          <w:i/>
        </w:rPr>
        <w:t>kasiṇa</w:t>
      </w:r>
      <w:proofErr w:type="spellEnd"/>
      <w:r>
        <w:t>, y después de e</w:t>
      </w:r>
      <w:r w:rsidR="00ED708C">
        <w:t>ll</w:t>
      </w:r>
      <w:r>
        <w:t>o, habiendo eliminado e</w:t>
      </w:r>
      <w:r w:rsidR="00791B47">
        <w:t>ste</w:t>
      </w:r>
      <w:r>
        <w:t xml:space="preserve"> </w:t>
      </w:r>
      <w:proofErr w:type="spellStart"/>
      <w:r w:rsidR="00ED708C">
        <w:rPr>
          <w:i/>
        </w:rPr>
        <w:t>kasiṇa</w:t>
      </w:r>
      <w:proofErr w:type="spellEnd"/>
      <w:r w:rsidR="00ED708C">
        <w:t xml:space="preserve"> </w:t>
      </w:r>
      <w:r>
        <w:t>(X. 6), alcanza</w:t>
      </w:r>
      <w:r w:rsidR="00ED708C">
        <w:t>rá</w:t>
      </w:r>
      <w:r>
        <w:t xml:space="preserve"> la </w:t>
      </w:r>
      <w:r w:rsidRPr="00350878">
        <w:t>base consiste</w:t>
      </w:r>
      <w:r w:rsidR="00ED708C" w:rsidRPr="00350878">
        <w:t>nte</w:t>
      </w:r>
      <w:r w:rsidRPr="00350878">
        <w:t xml:space="preserve"> </w:t>
      </w:r>
      <w:r w:rsidR="00ED708C" w:rsidRPr="00350878">
        <w:t>d</w:t>
      </w:r>
      <w:r w:rsidRPr="00350878">
        <w:t>el espacio ilimitado</w:t>
      </w:r>
      <w:r>
        <w:t>, después de e</w:t>
      </w:r>
      <w:r w:rsidR="00ED708C">
        <w:t>ll</w:t>
      </w:r>
      <w:r>
        <w:t xml:space="preserve">o la </w:t>
      </w:r>
      <w:r w:rsidRPr="007A6D43">
        <w:t>base consiste</w:t>
      </w:r>
      <w:r w:rsidR="00ED708C" w:rsidRPr="007A6D43">
        <w:t>nte</w:t>
      </w:r>
      <w:r w:rsidRPr="007A6D43">
        <w:t xml:space="preserve"> </w:t>
      </w:r>
      <w:r w:rsidR="00ED708C" w:rsidRPr="007A6D43">
        <w:t>del vacío</w:t>
      </w:r>
      <w:r>
        <w:t xml:space="preserve">. </w:t>
      </w:r>
      <w:r w:rsidR="00350878">
        <w:t>A e</w:t>
      </w:r>
      <w:r>
        <w:t xml:space="preserve">sto se </w:t>
      </w:r>
      <w:r w:rsidR="00350878">
        <w:t xml:space="preserve">le </w:t>
      </w:r>
      <w:r>
        <w:t>llama</w:t>
      </w:r>
      <w:r w:rsidR="00350878">
        <w:t>rá</w:t>
      </w:r>
      <w:r>
        <w:t xml:space="preserve"> </w:t>
      </w:r>
      <w:r w:rsidR="00241D00" w:rsidRPr="00241D00">
        <w:rPr>
          <w:i/>
          <w:iCs/>
        </w:rPr>
        <w:t xml:space="preserve">mediante </w:t>
      </w:r>
      <w:r w:rsidR="00350878" w:rsidRPr="00241D00">
        <w:rPr>
          <w:i/>
          <w:iCs/>
        </w:rPr>
        <w:t>la omisión de los</w:t>
      </w:r>
      <w:r w:rsidR="00350878">
        <w:t xml:space="preserve"> </w:t>
      </w:r>
      <w:proofErr w:type="spellStart"/>
      <w:r w:rsidR="00057BF4" w:rsidRPr="00057BF4">
        <w:rPr>
          <w:i/>
        </w:rPr>
        <w:t>jhāna</w:t>
      </w:r>
      <w:r>
        <w:t>s</w:t>
      </w:r>
      <w:proofErr w:type="spellEnd"/>
      <w:r>
        <w:t>. Y e</w:t>
      </w:r>
      <w:r w:rsidR="00350878">
        <w:t>ll</w:t>
      </w:r>
      <w:r>
        <w:t xml:space="preserve">o basado en el </w:t>
      </w:r>
      <w:proofErr w:type="spellStart"/>
      <w:r w:rsidR="00057BF4" w:rsidRPr="00057BF4">
        <w:rPr>
          <w:i/>
        </w:rPr>
        <w:t>kasiṇa</w:t>
      </w:r>
      <w:proofErr w:type="spellEnd"/>
      <w:r w:rsidR="00350878" w:rsidRPr="00350878">
        <w:t xml:space="preserve"> </w:t>
      </w:r>
      <w:r w:rsidR="00350878">
        <w:t>agua</w:t>
      </w:r>
      <w:r>
        <w:t>, etc., debe</w:t>
      </w:r>
      <w:r w:rsidR="00241D00">
        <w:t>rá</w:t>
      </w:r>
      <w:r>
        <w:t xml:space="preserve"> interpretarse de manera similar. (</w:t>
      </w:r>
      <w:proofErr w:type="spellStart"/>
      <w:r>
        <w:t>viii</w:t>
      </w:r>
      <w:proofErr w:type="spellEnd"/>
      <w:r>
        <w:t xml:space="preserve">) Cuando </w:t>
      </w:r>
      <w:r w:rsidR="00350878">
        <w:t>él omita</w:t>
      </w:r>
      <w:r>
        <w:t xml:space="preserve"> </w:t>
      </w:r>
      <w:r w:rsidR="00350878">
        <w:t xml:space="preserve">los </w:t>
      </w:r>
      <w:proofErr w:type="spellStart"/>
      <w:r w:rsidR="00350878">
        <w:rPr>
          <w:i/>
        </w:rPr>
        <w:t>kasiṇa</w:t>
      </w:r>
      <w:r w:rsidR="00350878" w:rsidRPr="00350878">
        <w:rPr>
          <w:iCs/>
        </w:rPr>
        <w:t>s</w:t>
      </w:r>
      <w:proofErr w:type="spellEnd"/>
      <w:r w:rsidR="00350878">
        <w:t xml:space="preserve"> </w:t>
      </w:r>
      <w:r>
        <w:t xml:space="preserve">alternos sin </w:t>
      </w:r>
      <w:r w:rsidR="00350878">
        <w:t xml:space="preserve">hacerlo con los </w:t>
      </w:r>
      <w:proofErr w:type="spellStart"/>
      <w:r w:rsidR="00057BF4" w:rsidRPr="00057BF4">
        <w:rPr>
          <w:i/>
        </w:rPr>
        <w:t>jhāna</w:t>
      </w:r>
      <w:r>
        <w:t>s</w:t>
      </w:r>
      <w:proofErr w:type="spellEnd"/>
      <w:r>
        <w:t xml:space="preserve"> de la siguiente manera: habiendo alcanzado el primer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tierra, </w:t>
      </w:r>
      <w:r w:rsidR="00DD0F6F">
        <w:t xml:space="preserve">volverá </w:t>
      </w:r>
      <w:r>
        <w:t xml:space="preserve">a alcanzar ese mismo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fuego y luego en el </w:t>
      </w:r>
      <w:proofErr w:type="spellStart"/>
      <w:r w:rsidR="00057BF4" w:rsidRPr="00057BF4">
        <w:rPr>
          <w:i/>
        </w:rPr>
        <w:t>kasiṇa</w:t>
      </w:r>
      <w:proofErr w:type="spellEnd"/>
      <w:r>
        <w:t xml:space="preserve"> azul y luego en el </w:t>
      </w:r>
      <w:proofErr w:type="spellStart"/>
      <w:r w:rsidR="00057BF4" w:rsidRPr="00057BF4">
        <w:rPr>
          <w:i/>
        </w:rPr>
        <w:t>kasiṇa</w:t>
      </w:r>
      <w:proofErr w:type="spellEnd"/>
      <w:r>
        <w:t xml:space="preserve"> rojo, </w:t>
      </w:r>
      <w:r w:rsidR="00571E09">
        <w:t>a esto</w:t>
      </w:r>
      <w:r>
        <w:t xml:space="preserve"> se </w:t>
      </w:r>
      <w:r w:rsidR="00571E09">
        <w:t xml:space="preserve">le </w:t>
      </w:r>
      <w:r>
        <w:t>llama</w:t>
      </w:r>
      <w:r w:rsidR="00571E09">
        <w:t>rá</w:t>
      </w:r>
      <w:r>
        <w:t xml:space="preserve"> </w:t>
      </w:r>
      <w:r w:rsidR="00DD0F6F" w:rsidRPr="00DD0F6F">
        <w:rPr>
          <w:i/>
          <w:iCs/>
        </w:rPr>
        <w:t xml:space="preserve">mediante la omisión de </w:t>
      </w:r>
      <w:r w:rsidR="00571E09" w:rsidRPr="00DD0F6F">
        <w:rPr>
          <w:i/>
          <w:iCs/>
        </w:rPr>
        <w:t>los</w:t>
      </w:r>
      <w:r w:rsidR="00571E09">
        <w:t xml:space="preserve"> </w:t>
      </w:r>
      <w:proofErr w:type="spellStart"/>
      <w:r w:rsidR="00057BF4" w:rsidRPr="00057BF4">
        <w:rPr>
          <w:i/>
        </w:rPr>
        <w:t>kasiṇa</w:t>
      </w:r>
      <w:r>
        <w:t>s</w:t>
      </w:r>
      <w:proofErr w:type="spellEnd"/>
      <w:r>
        <w:t>. (</w:t>
      </w:r>
      <w:proofErr w:type="spellStart"/>
      <w:r>
        <w:t>ix</w:t>
      </w:r>
      <w:proofErr w:type="spellEnd"/>
      <w:r>
        <w:t xml:space="preserve">) Cuando </w:t>
      </w:r>
      <w:r w:rsidR="00791B47">
        <w:t xml:space="preserve">omita </w:t>
      </w:r>
      <w:r>
        <w:t xml:space="preserve">tanto </w:t>
      </w:r>
      <w:r w:rsidR="00DD0F6F">
        <w:t xml:space="preserve">a lo </w:t>
      </w:r>
      <w:proofErr w:type="spellStart"/>
      <w:r w:rsidR="00057BF4" w:rsidRPr="00057BF4">
        <w:rPr>
          <w:i/>
        </w:rPr>
        <w:t>jhāna</w:t>
      </w:r>
      <w:r>
        <w:t>s</w:t>
      </w:r>
      <w:proofErr w:type="spellEnd"/>
      <w:r>
        <w:t xml:space="preserve"> como </w:t>
      </w:r>
      <w:proofErr w:type="spellStart"/>
      <w:r w:rsidR="00057BF4" w:rsidRPr="00057BF4">
        <w:rPr>
          <w:i/>
        </w:rPr>
        <w:t>kasiṇa</w:t>
      </w:r>
      <w:r>
        <w:t>s</w:t>
      </w:r>
      <w:proofErr w:type="spellEnd"/>
      <w:r>
        <w:t xml:space="preserve"> de la siguiente manera: habiendo alcanzado el primer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tierra, luego alcanza</w:t>
      </w:r>
      <w:r w:rsidR="00791B47">
        <w:t>rá</w:t>
      </w:r>
      <w:r>
        <w:t xml:space="preserve"> el tercero en el </w:t>
      </w:r>
      <w:proofErr w:type="spellStart"/>
      <w:r w:rsidR="00791B47" w:rsidRPr="00057BF4">
        <w:rPr>
          <w:i/>
        </w:rPr>
        <w:t>kasiṇa</w:t>
      </w:r>
      <w:proofErr w:type="spellEnd"/>
      <w:r w:rsidR="00791B47">
        <w:t xml:space="preserve"> </w:t>
      </w:r>
      <w:r>
        <w:t>fuego, luego la base consiste</w:t>
      </w:r>
      <w:r w:rsidR="00791B47">
        <w:t>nte</w:t>
      </w:r>
      <w:r>
        <w:t xml:space="preserve"> </w:t>
      </w:r>
      <w:r w:rsidR="00791B47">
        <w:t xml:space="preserve">del </w:t>
      </w:r>
      <w:r>
        <w:t xml:space="preserve">espacio ilimitado después de </w:t>
      </w:r>
      <w:r w:rsidR="00791B47">
        <w:t xml:space="preserve">omitir </w:t>
      </w:r>
      <w:r>
        <w:t xml:space="preserve">el </w:t>
      </w:r>
      <w:proofErr w:type="spellStart"/>
      <w:r w:rsidR="00057BF4" w:rsidRPr="00057BF4">
        <w:rPr>
          <w:i/>
        </w:rPr>
        <w:t>kasiṇa</w:t>
      </w:r>
      <w:proofErr w:type="spellEnd"/>
      <w:r>
        <w:t xml:space="preserve"> azul, luego l</w:t>
      </w:r>
      <w:r w:rsidR="00791B47">
        <w:t>a</w:t>
      </w:r>
      <w:r>
        <w:t xml:space="preserve"> base consiste</w:t>
      </w:r>
      <w:r w:rsidR="00791B47">
        <w:t>nte</w:t>
      </w:r>
      <w:r>
        <w:t xml:space="preserve"> </w:t>
      </w:r>
      <w:r w:rsidR="00791B47">
        <w:t xml:space="preserve">del vacío </w:t>
      </w:r>
      <w:r>
        <w:t>a la que se llega</w:t>
      </w:r>
      <w:r w:rsidR="00791B47">
        <w:t>rá</w:t>
      </w:r>
      <w:r>
        <w:t xml:space="preserve"> desde el </w:t>
      </w:r>
      <w:proofErr w:type="spellStart"/>
      <w:r w:rsidR="00057BF4" w:rsidRPr="00057BF4">
        <w:rPr>
          <w:i/>
        </w:rPr>
        <w:t>kasiṇa</w:t>
      </w:r>
      <w:proofErr w:type="spellEnd"/>
      <w:r>
        <w:t xml:space="preserve"> rojo, </w:t>
      </w:r>
      <w:r w:rsidR="00791B47">
        <w:t xml:space="preserve">a </w:t>
      </w:r>
      <w:r>
        <w:t xml:space="preserve">esto se </w:t>
      </w:r>
      <w:r w:rsidR="00791B47">
        <w:t xml:space="preserve">le </w:t>
      </w:r>
      <w:r>
        <w:t>llama</w:t>
      </w:r>
      <w:r w:rsidR="00DD0F6F">
        <w:t xml:space="preserve"> </w:t>
      </w:r>
      <w:r w:rsidR="00DD0F6F" w:rsidRPr="00DD0F6F">
        <w:rPr>
          <w:i/>
          <w:iCs/>
        </w:rPr>
        <w:t>mediante la</w:t>
      </w:r>
      <w:r w:rsidRPr="00DD0F6F">
        <w:rPr>
          <w:i/>
          <w:iCs/>
        </w:rPr>
        <w:t xml:space="preserve"> </w:t>
      </w:r>
      <w:r w:rsidR="00791B47" w:rsidRPr="00DD0F6F">
        <w:rPr>
          <w:i/>
          <w:iCs/>
        </w:rPr>
        <w:t>omisión de los</w:t>
      </w:r>
      <w:r w:rsidR="00791B47">
        <w:t xml:space="preserve"> </w:t>
      </w:r>
      <w:proofErr w:type="spellStart"/>
      <w:r w:rsidR="00057BF4" w:rsidRPr="00057BF4">
        <w:rPr>
          <w:i/>
        </w:rPr>
        <w:t>jhāna</w:t>
      </w:r>
      <w:r>
        <w:t>s</w:t>
      </w:r>
      <w:proofErr w:type="spellEnd"/>
      <w:r>
        <w:t xml:space="preserve"> y </w:t>
      </w:r>
      <w:proofErr w:type="spellStart"/>
      <w:r w:rsidR="00057BF4" w:rsidRPr="00057BF4">
        <w:rPr>
          <w:i/>
        </w:rPr>
        <w:t>kasiṇa</w:t>
      </w:r>
      <w:r>
        <w:t>s</w:t>
      </w:r>
      <w:proofErr w:type="spellEnd"/>
      <w:r>
        <w:t>.</w:t>
      </w:r>
    </w:p>
    <w:p w14:paraId="4A94CF62" w14:textId="1FA2013F" w:rsidR="00FE3617" w:rsidRDefault="00FE3617" w:rsidP="00FE3617">
      <w:r>
        <w:t xml:space="preserve">6. </w:t>
      </w:r>
      <w:r>
        <w:tab/>
        <w:t xml:space="preserve">(x) </w:t>
      </w:r>
      <w:r w:rsidR="005D47BB">
        <w:t>Al desarrollo</w:t>
      </w:r>
      <w:r>
        <w:t xml:space="preserve"> </w:t>
      </w:r>
      <w:r w:rsidR="005D47BB">
        <w:t>d</w:t>
      </w:r>
      <w:r>
        <w:t xml:space="preserve">el primer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w:t>
      </w:r>
      <w:r w:rsidR="00BA2B8C">
        <w:t>tierra</w:t>
      </w:r>
      <w:r>
        <w:t xml:space="preserve"> [375] </w:t>
      </w:r>
      <w:r w:rsidR="005D47BB">
        <w:t>para</w:t>
      </w:r>
      <w:r>
        <w:t xml:space="preserve"> luego </w:t>
      </w:r>
      <w:r w:rsidR="005D47BB">
        <w:t xml:space="preserve">desarrollar </w:t>
      </w:r>
      <w:r>
        <w:t xml:space="preserve">los otros en ese mismo </w:t>
      </w:r>
      <w:proofErr w:type="spellStart"/>
      <w:r w:rsidR="00057BF4" w:rsidRPr="00057BF4">
        <w:rPr>
          <w:i/>
        </w:rPr>
        <w:t>kasiṇa</w:t>
      </w:r>
      <w:proofErr w:type="spellEnd"/>
      <w:r>
        <w:t xml:space="preserve"> se </w:t>
      </w:r>
      <w:r w:rsidR="00BA2B8C">
        <w:t xml:space="preserve">le </w:t>
      </w:r>
      <w:r>
        <w:t>llama</w:t>
      </w:r>
      <w:r w:rsidR="00BA2B8C">
        <w:t>rá</w:t>
      </w:r>
      <w:r>
        <w:t xml:space="preserve"> </w:t>
      </w:r>
      <w:r w:rsidR="000C0BF4" w:rsidRPr="000C0BF4">
        <w:rPr>
          <w:i/>
          <w:iCs/>
        </w:rPr>
        <w:t>mediante la</w:t>
      </w:r>
      <w:r w:rsidR="000C0BF4">
        <w:t xml:space="preserve"> </w:t>
      </w:r>
      <w:r w:rsidRPr="008E47F9">
        <w:rPr>
          <w:i/>
          <w:iCs/>
        </w:rPr>
        <w:t xml:space="preserve">transposición de </w:t>
      </w:r>
      <w:r w:rsidR="008E47F9">
        <w:rPr>
          <w:i/>
          <w:iCs/>
        </w:rPr>
        <w:t xml:space="preserve">los </w:t>
      </w:r>
      <w:r w:rsidRPr="008E47F9">
        <w:rPr>
          <w:i/>
          <w:iCs/>
        </w:rPr>
        <w:t>factores</w:t>
      </w:r>
      <w:r>
        <w:t xml:space="preserve">. (xi) </w:t>
      </w:r>
      <w:r w:rsidR="005D47BB">
        <w:t>Al desarrollo d</w:t>
      </w:r>
      <w:r>
        <w:t xml:space="preserve">el primer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tierra y luego ese mismo </w:t>
      </w:r>
      <w:proofErr w:type="spellStart"/>
      <w:r w:rsidR="00057BF4" w:rsidRPr="00057BF4">
        <w:rPr>
          <w:i/>
        </w:rPr>
        <w:t>jhāna</w:t>
      </w:r>
      <w:proofErr w:type="spellEnd"/>
      <w:r>
        <w:t xml:space="preserve"> en el </w:t>
      </w:r>
      <w:proofErr w:type="spellStart"/>
      <w:r w:rsidR="00057BF4" w:rsidRPr="00057BF4">
        <w:rPr>
          <w:i/>
        </w:rPr>
        <w:t>kasiṇa</w:t>
      </w:r>
      <w:proofErr w:type="spellEnd"/>
      <w:r>
        <w:t xml:space="preserve"> agua... en el </w:t>
      </w:r>
      <w:proofErr w:type="spellStart"/>
      <w:r w:rsidR="00057BF4" w:rsidRPr="00057BF4">
        <w:rPr>
          <w:i/>
        </w:rPr>
        <w:t>kasiṇa</w:t>
      </w:r>
      <w:proofErr w:type="spellEnd"/>
      <w:r>
        <w:t xml:space="preserve"> blanco se </w:t>
      </w:r>
      <w:r w:rsidR="005D47BB">
        <w:t xml:space="preserve">le </w:t>
      </w:r>
      <w:r>
        <w:t>llama</w:t>
      </w:r>
      <w:r w:rsidR="005D47BB">
        <w:t>rá</w:t>
      </w:r>
      <w:r>
        <w:t xml:space="preserve"> </w:t>
      </w:r>
      <w:r w:rsidR="000C0BF4">
        <w:rPr>
          <w:i/>
          <w:iCs/>
        </w:rPr>
        <w:t xml:space="preserve">mediante la </w:t>
      </w:r>
      <w:r w:rsidRPr="008E47F9">
        <w:rPr>
          <w:i/>
          <w:iCs/>
        </w:rPr>
        <w:t>transposición de</w:t>
      </w:r>
      <w:r w:rsidR="008E47F9">
        <w:rPr>
          <w:i/>
          <w:iCs/>
        </w:rPr>
        <w:t>l</w:t>
      </w:r>
      <w:r w:rsidRPr="008E47F9">
        <w:rPr>
          <w:i/>
          <w:iCs/>
        </w:rPr>
        <w:t xml:space="preserve"> objeto</w:t>
      </w:r>
      <w:r>
        <w:t>. (</w:t>
      </w:r>
      <w:proofErr w:type="spellStart"/>
      <w:r>
        <w:t>xii</w:t>
      </w:r>
      <w:proofErr w:type="spellEnd"/>
      <w:r>
        <w:t>) La transposición de</w:t>
      </w:r>
      <w:r w:rsidR="000C0BF4">
        <w:t>l</w:t>
      </w:r>
      <w:r>
        <w:t xml:space="preserve"> objeto y </w:t>
      </w:r>
      <w:r w:rsidR="00290CBF">
        <w:t xml:space="preserve">de los </w:t>
      </w:r>
      <w:r>
        <w:t>factores juntos se lleva</w:t>
      </w:r>
      <w:r w:rsidR="000C0BF4">
        <w:t>rá</w:t>
      </w:r>
      <w:r>
        <w:t xml:space="preserve"> a cabo de la siguiente manera: él alcanza</w:t>
      </w:r>
      <w:r w:rsidR="00290CBF">
        <w:t>rá</w:t>
      </w:r>
      <w:r>
        <w:t xml:space="preserve"> el primer </w:t>
      </w:r>
      <w:proofErr w:type="spellStart"/>
      <w:r w:rsidR="00057BF4" w:rsidRPr="00057BF4">
        <w:rPr>
          <w:i/>
        </w:rPr>
        <w:t>jhāna</w:t>
      </w:r>
      <w:proofErr w:type="spellEnd"/>
      <w:r>
        <w:t xml:space="preserve"> en </w:t>
      </w:r>
      <w:r w:rsidR="00290CBF">
        <w:t xml:space="preserve">el </w:t>
      </w:r>
      <w:proofErr w:type="spellStart"/>
      <w:r w:rsidR="00057BF4" w:rsidRPr="00057BF4">
        <w:rPr>
          <w:i/>
        </w:rPr>
        <w:t>kasiṇa</w:t>
      </w:r>
      <w:proofErr w:type="spellEnd"/>
      <w:r w:rsidR="00290CBF">
        <w:rPr>
          <w:i/>
        </w:rPr>
        <w:t xml:space="preserve"> </w:t>
      </w:r>
      <w:r w:rsidR="00290CBF">
        <w:rPr>
          <w:iCs/>
        </w:rPr>
        <w:t>tierra</w:t>
      </w:r>
      <w:r>
        <w:t xml:space="preserve">, el segundo </w:t>
      </w:r>
      <w:proofErr w:type="spellStart"/>
      <w:r w:rsidR="00057BF4" w:rsidRPr="00057BF4">
        <w:rPr>
          <w:i/>
        </w:rPr>
        <w:t>jhāna</w:t>
      </w:r>
      <w:proofErr w:type="spellEnd"/>
      <w:r>
        <w:t xml:space="preserve"> en el </w:t>
      </w:r>
      <w:proofErr w:type="spellStart"/>
      <w:r w:rsidR="00057BF4" w:rsidRPr="00057BF4">
        <w:rPr>
          <w:i/>
        </w:rPr>
        <w:t>kasiṇa</w:t>
      </w:r>
      <w:proofErr w:type="spellEnd"/>
      <w:r w:rsidR="00290CBF" w:rsidRPr="00290CBF">
        <w:t xml:space="preserve"> </w:t>
      </w:r>
      <w:r w:rsidR="00290CBF">
        <w:t>agua</w:t>
      </w:r>
      <w:r>
        <w:t xml:space="preserve">, el tercero en el </w:t>
      </w:r>
      <w:proofErr w:type="spellStart"/>
      <w:r w:rsidR="00057BF4" w:rsidRPr="00057BF4">
        <w:rPr>
          <w:i/>
        </w:rPr>
        <w:t>kasiṇa</w:t>
      </w:r>
      <w:proofErr w:type="spellEnd"/>
      <w:r w:rsidR="00290CBF" w:rsidRPr="00290CBF">
        <w:t xml:space="preserve"> </w:t>
      </w:r>
      <w:r w:rsidR="00290CBF">
        <w:t>fuego</w:t>
      </w:r>
      <w:r>
        <w:t xml:space="preserve">, el cuarto en el </w:t>
      </w:r>
      <w:proofErr w:type="spellStart"/>
      <w:r w:rsidR="00057BF4" w:rsidRPr="00057BF4">
        <w:rPr>
          <w:i/>
        </w:rPr>
        <w:t>kasiṇa</w:t>
      </w:r>
      <w:proofErr w:type="spellEnd"/>
      <w:r w:rsidR="00290CBF" w:rsidRPr="00290CBF">
        <w:t xml:space="preserve"> </w:t>
      </w:r>
      <w:r w:rsidR="00290CBF">
        <w:t>aire</w:t>
      </w:r>
      <w:r>
        <w:t>, la base consiste</w:t>
      </w:r>
      <w:r w:rsidR="00290CBF">
        <w:t>nte</w:t>
      </w:r>
      <w:r>
        <w:t xml:space="preserve"> </w:t>
      </w:r>
      <w:r w:rsidR="00290CBF">
        <w:t xml:space="preserve">del </w:t>
      </w:r>
      <w:r>
        <w:t xml:space="preserve">espacio ilimitado quitando el </w:t>
      </w:r>
      <w:proofErr w:type="spellStart"/>
      <w:r w:rsidR="00057BF4" w:rsidRPr="00057BF4">
        <w:rPr>
          <w:i/>
        </w:rPr>
        <w:t>kasiṇa</w:t>
      </w:r>
      <w:proofErr w:type="spellEnd"/>
      <w:r>
        <w:t xml:space="preserve"> azul, la base consiste</w:t>
      </w:r>
      <w:r w:rsidR="00A37ECB">
        <w:t>nte</w:t>
      </w:r>
      <w:r>
        <w:t xml:space="preserve"> </w:t>
      </w:r>
      <w:r w:rsidR="00A37ECB">
        <w:t xml:space="preserve">de </w:t>
      </w:r>
      <w:r>
        <w:t>la con</w:t>
      </w:r>
      <w:r w:rsidR="00A37ECB">
        <w:t>s</w:t>
      </w:r>
      <w:r>
        <w:t>ciencia ilimitada [a la que se llega</w:t>
      </w:r>
      <w:r w:rsidR="00A37ECB">
        <w:t>rá</w:t>
      </w:r>
      <w:r>
        <w:t xml:space="preserve">] del </w:t>
      </w:r>
      <w:proofErr w:type="spellStart"/>
      <w:r w:rsidR="00057BF4" w:rsidRPr="00057BF4">
        <w:rPr>
          <w:i/>
        </w:rPr>
        <w:t>kasiṇa</w:t>
      </w:r>
      <w:proofErr w:type="spellEnd"/>
      <w:r>
        <w:t xml:space="preserve"> amarillo, la base consiste</w:t>
      </w:r>
      <w:r w:rsidR="00B82711">
        <w:t>nte</w:t>
      </w:r>
      <w:r>
        <w:t xml:space="preserve"> </w:t>
      </w:r>
      <w:r w:rsidR="00A37ECB">
        <w:t xml:space="preserve">del vacío </w:t>
      </w:r>
      <w:r>
        <w:t xml:space="preserve">del </w:t>
      </w:r>
      <w:proofErr w:type="spellStart"/>
      <w:r w:rsidR="00057BF4" w:rsidRPr="00057BF4">
        <w:rPr>
          <w:i/>
        </w:rPr>
        <w:t>kasiṇa</w:t>
      </w:r>
      <w:proofErr w:type="spellEnd"/>
      <w:r>
        <w:t xml:space="preserve"> rojo, y </w:t>
      </w:r>
    </w:p>
    <w:p w14:paraId="6F68A703" w14:textId="77777777" w:rsidR="00360787" w:rsidRDefault="00360787">
      <w:pPr>
        <w:tabs>
          <w:tab w:val="clear" w:pos="425"/>
        </w:tabs>
        <w:spacing w:after="160"/>
      </w:pPr>
      <w:r>
        <w:br w:type="page"/>
      </w:r>
    </w:p>
    <w:p w14:paraId="44380CEC" w14:textId="1D613869" w:rsidR="00360787" w:rsidRDefault="00317D95" w:rsidP="00FE3617">
      <w:r>
        <w:lastRenderedPageBreak/>
        <w:br/>
      </w:r>
    </w:p>
    <w:p w14:paraId="7E2208CC" w14:textId="21808C5B" w:rsidR="00317D95" w:rsidRDefault="00F65F6C" w:rsidP="00317D95">
      <w:r>
        <w:t xml:space="preserve">la base consistente de la </w:t>
      </w:r>
      <w:r w:rsidR="00317D95">
        <w:t>n</w:t>
      </w:r>
      <w:r w:rsidR="00B82711">
        <w:t>o-</w:t>
      </w:r>
      <w:r w:rsidR="00317D95">
        <w:t>percepción</w:t>
      </w:r>
      <w:r w:rsidR="00B82711">
        <w:t>-</w:t>
      </w:r>
      <w:r w:rsidR="00317D95">
        <w:t>ni</w:t>
      </w:r>
      <w:r w:rsidR="00B82711">
        <w:t>-</w:t>
      </w:r>
      <w:r w:rsidR="00317D95">
        <w:t>no</w:t>
      </w:r>
      <w:r w:rsidR="00B82711">
        <w:t>-</w:t>
      </w:r>
      <w:r w:rsidR="00317D95">
        <w:t xml:space="preserve">percepción del </w:t>
      </w:r>
      <w:proofErr w:type="spellStart"/>
      <w:r w:rsidR="00057BF4" w:rsidRPr="00057BF4">
        <w:rPr>
          <w:i/>
        </w:rPr>
        <w:t>kasiṇa</w:t>
      </w:r>
      <w:proofErr w:type="spellEnd"/>
      <w:r w:rsidR="00317D95">
        <w:t xml:space="preserve"> blanco. A esto se le llama</w:t>
      </w:r>
      <w:r w:rsidR="00B82711">
        <w:t>rá</w:t>
      </w:r>
      <w:r w:rsidR="00D95600">
        <w:t xml:space="preserve"> control</w:t>
      </w:r>
      <w:r w:rsidR="00317D95">
        <w:t xml:space="preserve"> </w:t>
      </w:r>
      <w:r w:rsidR="00D95600">
        <w:t xml:space="preserve">mental </w:t>
      </w:r>
      <w:r w:rsidRPr="00F65F6C">
        <w:rPr>
          <w:i/>
          <w:iCs/>
        </w:rPr>
        <w:t xml:space="preserve">mediante la </w:t>
      </w:r>
      <w:r w:rsidR="00317D95" w:rsidRPr="00F65F6C">
        <w:rPr>
          <w:i/>
          <w:iCs/>
        </w:rPr>
        <w:t xml:space="preserve">transposición de </w:t>
      </w:r>
      <w:r w:rsidR="00D95600">
        <w:rPr>
          <w:i/>
          <w:iCs/>
        </w:rPr>
        <w:t xml:space="preserve">los </w:t>
      </w:r>
      <w:r w:rsidR="00317D95" w:rsidRPr="00F65F6C">
        <w:rPr>
          <w:i/>
          <w:iCs/>
        </w:rPr>
        <w:t xml:space="preserve">factores y </w:t>
      </w:r>
      <w:r w:rsidR="00D95600">
        <w:rPr>
          <w:i/>
          <w:iCs/>
        </w:rPr>
        <w:t xml:space="preserve">del </w:t>
      </w:r>
      <w:r w:rsidR="00317D95" w:rsidRPr="00F65F6C">
        <w:rPr>
          <w:i/>
          <w:iCs/>
        </w:rPr>
        <w:t>objeto</w:t>
      </w:r>
      <w:r w:rsidR="00317D95">
        <w:t>.</w:t>
      </w:r>
    </w:p>
    <w:p w14:paraId="7AB88446" w14:textId="6CEE564F" w:rsidR="00317D95" w:rsidRDefault="00317D95" w:rsidP="00317D95">
      <w:r>
        <w:t xml:space="preserve">7. </w:t>
      </w:r>
      <w:r>
        <w:tab/>
        <w:t>(</w:t>
      </w:r>
      <w:proofErr w:type="spellStart"/>
      <w:r>
        <w:t>xiii</w:t>
      </w:r>
      <w:proofErr w:type="spellEnd"/>
      <w:r>
        <w:t xml:space="preserve">) La definición de solo los factores </w:t>
      </w:r>
      <w:proofErr w:type="spellStart"/>
      <w:r w:rsidR="00057BF4" w:rsidRPr="00057BF4">
        <w:rPr>
          <w:i/>
        </w:rPr>
        <w:t>jhān</w:t>
      </w:r>
      <w:r w:rsidR="002C5A2E">
        <w:rPr>
          <w:i/>
        </w:rPr>
        <w:t>ico</w:t>
      </w:r>
      <w:r w:rsidR="00D95600">
        <w:rPr>
          <w:iCs/>
        </w:rPr>
        <w:t>s</w:t>
      </w:r>
      <w:proofErr w:type="spellEnd"/>
      <w:r>
        <w:t xml:space="preserve"> definiendo el primer </w:t>
      </w:r>
      <w:proofErr w:type="spellStart"/>
      <w:r w:rsidR="00057BF4" w:rsidRPr="00057BF4">
        <w:rPr>
          <w:i/>
        </w:rPr>
        <w:t>jhāna</w:t>
      </w:r>
      <w:proofErr w:type="spellEnd"/>
      <w:r>
        <w:t xml:space="preserve"> como de cinco factores, el segundo como de tres factores, el tercero como de dos factores, e igualmente el cuarto, la base consiste</w:t>
      </w:r>
      <w:r w:rsidR="00CE0043">
        <w:t>nte</w:t>
      </w:r>
      <w:r>
        <w:t xml:space="preserve"> </w:t>
      </w:r>
      <w:r w:rsidR="00CE0043">
        <w:t>del</w:t>
      </w:r>
      <w:r>
        <w:t xml:space="preserve"> espacio ilimitado, … y </w:t>
      </w:r>
      <w:r w:rsidR="00CE0043">
        <w:t xml:space="preserve">la </w:t>
      </w:r>
      <w:r>
        <w:t>base consiste</w:t>
      </w:r>
      <w:r w:rsidR="00CE0043">
        <w:t>nte de la</w:t>
      </w:r>
      <w:r>
        <w:t xml:space="preserve"> </w:t>
      </w:r>
      <w:r w:rsidR="00CE0043">
        <w:t>no-percepción-ni-no-percepción</w:t>
      </w:r>
      <w:r>
        <w:t xml:space="preserve">, se </w:t>
      </w:r>
      <w:r w:rsidR="00CE0043">
        <w:t xml:space="preserve">le </w:t>
      </w:r>
      <w:r>
        <w:t>llama</w:t>
      </w:r>
      <w:r w:rsidR="00EE4AF5">
        <w:t>rá</w:t>
      </w:r>
      <w:r>
        <w:t xml:space="preserve"> </w:t>
      </w:r>
      <w:r w:rsidR="00D95600">
        <w:rPr>
          <w:i/>
          <w:iCs/>
        </w:rPr>
        <w:t xml:space="preserve">mediante la </w:t>
      </w:r>
      <w:r w:rsidRPr="008E47F9">
        <w:rPr>
          <w:i/>
          <w:iCs/>
        </w:rPr>
        <w:t xml:space="preserve">definición de </w:t>
      </w:r>
      <w:r w:rsidR="008E47F9">
        <w:rPr>
          <w:i/>
          <w:iCs/>
        </w:rPr>
        <w:t xml:space="preserve">los </w:t>
      </w:r>
      <w:r w:rsidRPr="008E47F9">
        <w:rPr>
          <w:i/>
          <w:iCs/>
        </w:rPr>
        <w:t>factores</w:t>
      </w:r>
      <w:r>
        <w:t>. (</w:t>
      </w:r>
      <w:proofErr w:type="spellStart"/>
      <w:r>
        <w:t>xiv</w:t>
      </w:r>
      <w:proofErr w:type="spellEnd"/>
      <w:r>
        <w:t>) Del mismo modo, la definición de solo el objeto como "</w:t>
      </w:r>
      <w:r w:rsidR="00EE4AF5">
        <w:t>É</w:t>
      </w:r>
      <w:r>
        <w:t>st</w:t>
      </w:r>
      <w:r w:rsidR="00EE4AF5">
        <w:t>e</w:t>
      </w:r>
      <w:r>
        <w:t xml:space="preserve"> es </w:t>
      </w:r>
      <w:r w:rsidR="00EE4AF5">
        <w:t>e</w:t>
      </w:r>
      <w:r>
        <w:t xml:space="preserve">l </w:t>
      </w:r>
      <w:proofErr w:type="spellStart"/>
      <w:r w:rsidR="00057BF4" w:rsidRPr="00057BF4">
        <w:rPr>
          <w:i/>
        </w:rPr>
        <w:t>kasiṇa</w:t>
      </w:r>
      <w:proofErr w:type="spellEnd"/>
      <w:r>
        <w:t xml:space="preserve"> tierra", "</w:t>
      </w:r>
      <w:r w:rsidR="00EE4AF5" w:rsidRPr="00EE4AF5">
        <w:t xml:space="preserve"> </w:t>
      </w:r>
      <w:r w:rsidR="00EE4AF5">
        <w:t xml:space="preserve">Éste es el </w:t>
      </w:r>
      <w:proofErr w:type="spellStart"/>
      <w:r w:rsidR="00057BF4" w:rsidRPr="00057BF4">
        <w:rPr>
          <w:i/>
        </w:rPr>
        <w:t>kasiṇa</w:t>
      </w:r>
      <w:proofErr w:type="spellEnd"/>
      <w:r>
        <w:t xml:space="preserve"> agua"... "</w:t>
      </w:r>
      <w:r w:rsidR="00EE4AF5">
        <w:t xml:space="preserve">Éste es el </w:t>
      </w:r>
      <w:proofErr w:type="spellStart"/>
      <w:r w:rsidR="00057BF4" w:rsidRPr="00057BF4">
        <w:rPr>
          <w:i/>
        </w:rPr>
        <w:t>kasiṇa</w:t>
      </w:r>
      <w:proofErr w:type="spellEnd"/>
      <w:r>
        <w:t xml:space="preserve"> blanc</w:t>
      </w:r>
      <w:r w:rsidR="00EE4AF5">
        <w:t>o</w:t>
      </w:r>
      <w:r>
        <w:t xml:space="preserve">", </w:t>
      </w:r>
      <w:r w:rsidR="00EE4AF5">
        <w:t>se le llamará</w:t>
      </w:r>
      <w:r>
        <w:t xml:space="preserve"> </w:t>
      </w:r>
      <w:r w:rsidR="00D95600">
        <w:rPr>
          <w:i/>
          <w:iCs/>
        </w:rPr>
        <w:t xml:space="preserve">mediante la </w:t>
      </w:r>
      <w:r w:rsidRPr="008E47F9">
        <w:rPr>
          <w:i/>
          <w:iCs/>
        </w:rPr>
        <w:t>definición de</w:t>
      </w:r>
      <w:r w:rsidR="008E47F9" w:rsidRPr="008E47F9">
        <w:rPr>
          <w:i/>
          <w:iCs/>
        </w:rPr>
        <w:t>l</w:t>
      </w:r>
      <w:r w:rsidRPr="008E47F9">
        <w:rPr>
          <w:i/>
          <w:iCs/>
        </w:rPr>
        <w:t xml:space="preserve"> objeto</w:t>
      </w:r>
      <w:r>
        <w:t>. Algunos también tendr</w:t>
      </w:r>
      <w:r w:rsidR="00D95600">
        <w:t>á</w:t>
      </w:r>
      <w:r>
        <w:t xml:space="preserve">n </w:t>
      </w:r>
      <w:r w:rsidR="00F20959">
        <w:t xml:space="preserve">una </w:t>
      </w:r>
      <w:r>
        <w:t xml:space="preserve">“definición de </w:t>
      </w:r>
      <w:r w:rsidR="00F20959">
        <w:t xml:space="preserve">los </w:t>
      </w:r>
      <w:r>
        <w:t xml:space="preserve">factores y </w:t>
      </w:r>
      <w:r w:rsidR="00F20959">
        <w:t xml:space="preserve">del </w:t>
      </w:r>
      <w:r>
        <w:t xml:space="preserve">objeto”; pero dado que eso no se </w:t>
      </w:r>
      <w:r w:rsidR="00EE4AF5">
        <w:t>muestra</w:t>
      </w:r>
      <w:r>
        <w:t xml:space="preserve"> en los comentarios, ciertamente no </w:t>
      </w:r>
      <w:r w:rsidR="00F20959">
        <w:t xml:space="preserve">será </w:t>
      </w:r>
      <w:r>
        <w:t xml:space="preserve">un título </w:t>
      </w:r>
      <w:r w:rsidR="00F20959">
        <w:t xml:space="preserve">de </w:t>
      </w:r>
      <w:r>
        <w:t>desarrollo.</w:t>
      </w:r>
    </w:p>
    <w:p w14:paraId="13B76F89" w14:textId="355D1529" w:rsidR="00317D95" w:rsidRDefault="00317D95" w:rsidP="00317D95">
      <w:r>
        <w:t xml:space="preserve">8. </w:t>
      </w:r>
      <w:r>
        <w:tab/>
        <w:t xml:space="preserve">No es posible que un meditador comience a lograr la transformación mediante poderes sobrenaturales a menos que haya completado previamente su desarrollo controlando su mente de estas </w:t>
      </w:r>
      <w:r w:rsidR="00F20959">
        <w:t>14</w:t>
      </w:r>
      <w:r>
        <w:t xml:space="preserve"> maneras. Ahora bien, el trabajo preliminar de</w:t>
      </w:r>
      <w:r w:rsidR="00EE4AF5">
        <w:t>l</w:t>
      </w:r>
      <w:r>
        <w:t xml:space="preserve"> </w:t>
      </w:r>
      <w:proofErr w:type="spellStart"/>
      <w:r w:rsidR="00057BF4" w:rsidRPr="00057BF4">
        <w:rPr>
          <w:i/>
        </w:rPr>
        <w:t>kasiṇa</w:t>
      </w:r>
      <w:proofErr w:type="spellEnd"/>
      <w:r>
        <w:t xml:space="preserve"> </w:t>
      </w:r>
      <w:r w:rsidR="00F20959">
        <w:t xml:space="preserve">será </w:t>
      </w:r>
      <w:r>
        <w:t xml:space="preserve">difícil para un principiante y solo uno entre cien o mil </w:t>
      </w:r>
      <w:r w:rsidR="00F20959">
        <w:t>podrá</w:t>
      </w:r>
      <w:r>
        <w:t xml:space="preserve"> </w:t>
      </w:r>
      <w:r w:rsidR="00F20959">
        <w:t>lograrlo</w:t>
      </w:r>
      <w:r>
        <w:t xml:space="preserve">. El despertar del </w:t>
      </w:r>
      <w:r w:rsidR="00EE4AF5">
        <w:t>signo</w:t>
      </w:r>
      <w:r>
        <w:t xml:space="preserve"> </w:t>
      </w:r>
      <w:r w:rsidR="00F20959">
        <w:t xml:space="preserve">será </w:t>
      </w:r>
      <w:r>
        <w:t>difícil para quien ha</w:t>
      </w:r>
      <w:r w:rsidR="00EE4AF5">
        <w:t>ya</w:t>
      </w:r>
      <w:r>
        <w:t xml:space="preserve"> hecho el trabajo preliminar y sólo uno entre cien o mil </w:t>
      </w:r>
      <w:r w:rsidR="00F20959">
        <w:t>podrá lograrlo</w:t>
      </w:r>
      <w:r>
        <w:t>. Extender el signo cuando ha</w:t>
      </w:r>
      <w:r w:rsidR="00EE4AF5">
        <w:t>ya</w:t>
      </w:r>
      <w:r>
        <w:t xml:space="preserve"> surgido y llegar a la absorción </w:t>
      </w:r>
      <w:r w:rsidR="00F20959">
        <w:t xml:space="preserve">será </w:t>
      </w:r>
      <w:r>
        <w:t xml:space="preserve">difícil y sólo uno entre cien o mil </w:t>
      </w:r>
      <w:r w:rsidR="008D4D32">
        <w:t>podrá lograrlo</w:t>
      </w:r>
      <w:r>
        <w:t xml:space="preserve">. Domar la mente de uno en las </w:t>
      </w:r>
      <w:r w:rsidR="008D4D32">
        <w:t xml:space="preserve">14 </w:t>
      </w:r>
      <w:r>
        <w:t xml:space="preserve">formas después de alcanzar la absorción </w:t>
      </w:r>
      <w:r w:rsidR="008D4D32">
        <w:t xml:space="preserve">será </w:t>
      </w:r>
      <w:r>
        <w:t>difícil y s</w:t>
      </w:r>
      <w:r w:rsidR="0071303F">
        <w:t>ó</w:t>
      </w:r>
      <w:r>
        <w:t xml:space="preserve">lo uno entre cien o mil </w:t>
      </w:r>
      <w:r w:rsidR="008D4D32">
        <w:t>podrá conseguirlo</w:t>
      </w:r>
      <w:r>
        <w:t xml:space="preserve">. La transformación </w:t>
      </w:r>
      <w:r w:rsidR="00323EAC">
        <w:t xml:space="preserve">mediante </w:t>
      </w:r>
      <w:r>
        <w:t xml:space="preserve">un poder sobrenatural después de entrenar la mente de </w:t>
      </w:r>
      <w:r w:rsidR="00323EAC">
        <w:t>un monje</w:t>
      </w:r>
      <w:r>
        <w:t xml:space="preserve"> </w:t>
      </w:r>
      <w:r w:rsidR="00323EAC">
        <w:t xml:space="preserve">mediante </w:t>
      </w:r>
      <w:r>
        <w:t xml:space="preserve">las </w:t>
      </w:r>
      <w:r w:rsidR="00323EAC">
        <w:t xml:space="preserve">14 </w:t>
      </w:r>
      <w:r>
        <w:t xml:space="preserve">formas </w:t>
      </w:r>
      <w:r w:rsidR="00323EAC">
        <w:t xml:space="preserve">será </w:t>
      </w:r>
      <w:r>
        <w:t xml:space="preserve">difícil y </w:t>
      </w:r>
      <w:r w:rsidR="0071303F">
        <w:t xml:space="preserve">sólo </w:t>
      </w:r>
      <w:r>
        <w:t xml:space="preserve">uno entre cien o mil </w:t>
      </w:r>
      <w:r w:rsidR="00323EAC">
        <w:t>podrá conseguirlo</w:t>
      </w:r>
      <w:r>
        <w:t xml:space="preserve">. La respuesta rápida después de lograr la transformación </w:t>
      </w:r>
      <w:r w:rsidR="00323EAC">
        <w:t xml:space="preserve">será </w:t>
      </w:r>
      <w:r>
        <w:t xml:space="preserve">difícil y </w:t>
      </w:r>
      <w:r w:rsidR="0071303F">
        <w:t xml:space="preserve">sólo </w:t>
      </w:r>
      <w:r>
        <w:t xml:space="preserve">uno entre cien o mil </w:t>
      </w:r>
      <w:r w:rsidR="00323EAC">
        <w:t>podrá lograrlo</w:t>
      </w:r>
      <w:r>
        <w:t>.</w:t>
      </w:r>
    </w:p>
    <w:p w14:paraId="7F3EA937" w14:textId="109952D1" w:rsidR="00317D95" w:rsidRDefault="00317D95" w:rsidP="00317D95">
      <w:r>
        <w:t xml:space="preserve">9. </w:t>
      </w:r>
      <w:r>
        <w:tab/>
        <w:t xml:space="preserve">Como el </w:t>
      </w:r>
      <w:r w:rsidR="0071303F">
        <w:t>Venerable</w:t>
      </w:r>
      <w:r>
        <w:t xml:space="preserve"> </w:t>
      </w:r>
      <w:proofErr w:type="spellStart"/>
      <w:r>
        <w:t>Rakkhita</w:t>
      </w:r>
      <w:proofErr w:type="spellEnd"/>
      <w:r>
        <w:t xml:space="preserve"> quien, ocho años después de su total admisión a la Orden, </w:t>
      </w:r>
      <w:r w:rsidR="005A7811">
        <w:t>se encontró</w:t>
      </w:r>
      <w:r>
        <w:t xml:space="preserve"> en medio de treinta mil </w:t>
      </w:r>
      <w:proofErr w:type="spellStart"/>
      <w:r w:rsidR="00057BF4" w:rsidRPr="00057BF4">
        <w:rPr>
          <w:i/>
        </w:rPr>
        <w:t>bhikkhu</w:t>
      </w:r>
      <w:r>
        <w:t>s</w:t>
      </w:r>
      <w:proofErr w:type="spellEnd"/>
      <w:r>
        <w:t xml:space="preserve"> que poseían poderes sobrenaturales </w:t>
      </w:r>
      <w:r w:rsidR="005A7811">
        <w:t xml:space="preserve">y </w:t>
      </w:r>
      <w:r>
        <w:t xml:space="preserve">que habían </w:t>
      </w:r>
      <w:r w:rsidR="005A7811">
        <w:t>llegado para</w:t>
      </w:r>
      <w:r>
        <w:t xml:space="preserve"> atender la enfermedad del </w:t>
      </w:r>
      <w:r w:rsidR="005A7811">
        <w:t xml:space="preserve">Venerable </w:t>
      </w:r>
      <w:r>
        <w:t>Mahā-</w:t>
      </w:r>
      <w:proofErr w:type="spellStart"/>
      <w:r>
        <w:t>Rohaṇa</w:t>
      </w:r>
      <w:proofErr w:type="spellEnd"/>
      <w:r>
        <w:t xml:space="preserve"> </w:t>
      </w:r>
      <w:proofErr w:type="spellStart"/>
      <w:r>
        <w:t>Gutta</w:t>
      </w:r>
      <w:proofErr w:type="spellEnd"/>
      <w:r>
        <w:t xml:space="preserve"> en </w:t>
      </w:r>
      <w:proofErr w:type="spellStart"/>
      <w:r>
        <w:t>Therambatthala</w:t>
      </w:r>
      <w:proofErr w:type="spellEnd"/>
      <w:r>
        <w:t xml:space="preserve">. [376] Su hazaña se menciona bajo </w:t>
      </w:r>
      <w:r w:rsidR="00E90EA6">
        <w:t xml:space="preserve">el </w:t>
      </w:r>
      <w:proofErr w:type="spellStart"/>
      <w:r w:rsidR="00057BF4" w:rsidRPr="00057BF4">
        <w:rPr>
          <w:i/>
        </w:rPr>
        <w:t>kasiṇa</w:t>
      </w:r>
      <w:proofErr w:type="spellEnd"/>
      <w:r>
        <w:t xml:space="preserve"> </w:t>
      </w:r>
      <w:r w:rsidR="00E90EA6">
        <w:t xml:space="preserve">tierra </w:t>
      </w:r>
      <w:r>
        <w:t xml:space="preserve">(IV.135). Al ver su hazaña, un </w:t>
      </w:r>
      <w:r w:rsidR="00E90EA6">
        <w:t xml:space="preserve">Venerable </w:t>
      </w:r>
      <w:r>
        <w:t xml:space="preserve">dijo: “Amigos, si </w:t>
      </w:r>
      <w:proofErr w:type="spellStart"/>
      <w:r>
        <w:t>Rakkhita</w:t>
      </w:r>
      <w:proofErr w:type="spellEnd"/>
      <w:r>
        <w:t xml:space="preserve"> no hubiera estado allí, nos habríamos avergonzado. Se podría haber dicho</w:t>
      </w:r>
      <w:r w:rsidR="0018052E">
        <w:t>:</w:t>
      </w:r>
      <w:r>
        <w:t xml:space="preserve"> 'No pudieron proteger a los </w:t>
      </w:r>
      <w:proofErr w:type="spellStart"/>
      <w:r w:rsidRPr="00E90EA6">
        <w:rPr>
          <w:i/>
          <w:iCs/>
        </w:rPr>
        <w:t>nāga</w:t>
      </w:r>
      <w:proofErr w:type="spellEnd"/>
      <w:r>
        <w:t xml:space="preserve"> reales'. Así que nosotros mismos deberíamos andar con nuestras habilidades perfeccionadas, tal como </w:t>
      </w:r>
      <w:r w:rsidR="0018052E">
        <w:t>es</w:t>
      </w:r>
      <w:r>
        <w:t xml:space="preserve"> apropiado para los soldados andar con las armas limpias de manchas”</w:t>
      </w:r>
      <w:r w:rsidR="00E90EA6">
        <w:t>.</w:t>
      </w:r>
      <w:r>
        <w:t xml:space="preserve"> Los treinta mil </w:t>
      </w:r>
      <w:proofErr w:type="spellStart"/>
      <w:r w:rsidR="00057BF4" w:rsidRPr="00057BF4">
        <w:rPr>
          <w:i/>
        </w:rPr>
        <w:t>bhikkhu</w:t>
      </w:r>
      <w:r>
        <w:t>s</w:t>
      </w:r>
      <w:proofErr w:type="spellEnd"/>
      <w:r>
        <w:t xml:space="preserve"> hicieron caso al consejo del </w:t>
      </w:r>
      <w:r w:rsidR="00E90EA6">
        <w:t xml:space="preserve">Venerable </w:t>
      </w:r>
      <w:r>
        <w:t>y lograron una respuesta rápida.</w:t>
      </w:r>
    </w:p>
    <w:p w14:paraId="21EEAA01" w14:textId="0FB1D539" w:rsidR="00317D95" w:rsidRDefault="00317D95" w:rsidP="00317D95">
      <w:r>
        <w:t xml:space="preserve">10. </w:t>
      </w:r>
      <w:r>
        <w:tab/>
        <w:t xml:space="preserve">Y ayudar a otro después de adquirir rapidez en la respuesta es difícil y solo uno entre cien o mil puede hacerlo. Como el </w:t>
      </w:r>
      <w:r w:rsidR="00E90EA6">
        <w:t xml:space="preserve">Venerable </w:t>
      </w:r>
      <w:r>
        <w:t xml:space="preserve">que dio protección contra la lluvia de brasas creando tierra en el cielo, cuando </w:t>
      </w:r>
      <w:r w:rsidR="00057BF4" w:rsidRPr="00057BF4">
        <w:rPr>
          <w:i/>
        </w:rPr>
        <w:t>Māra</w:t>
      </w:r>
      <w:r>
        <w:t xml:space="preserve"> produjo la lluvia de brasas en la ofrenda de </w:t>
      </w:r>
      <w:r w:rsidRPr="00AE60D8">
        <w:rPr>
          <w:i/>
          <w:iCs/>
        </w:rPr>
        <w:t>Giribhaṇḍavahana</w:t>
      </w:r>
      <w:r>
        <w:t>.</w:t>
      </w:r>
      <w:r w:rsidRPr="00AE60D8">
        <w:rPr>
          <w:vertAlign w:val="superscript"/>
        </w:rPr>
        <w:t>2</w:t>
      </w:r>
    </w:p>
    <w:p w14:paraId="5BFCA820" w14:textId="7B3A75EF" w:rsidR="00317D95" w:rsidRDefault="00317D95" w:rsidP="00317D95">
      <w:r>
        <w:t xml:space="preserve">11. </w:t>
      </w:r>
      <w:r>
        <w:tab/>
        <w:t xml:space="preserve">Es sólo en los </w:t>
      </w:r>
      <w:r w:rsidR="00057BF4" w:rsidRPr="00057BF4">
        <w:rPr>
          <w:i/>
        </w:rPr>
        <w:t>Buddha</w:t>
      </w:r>
      <w:r>
        <w:t xml:space="preserve">s, </w:t>
      </w:r>
      <w:proofErr w:type="spellStart"/>
      <w:r w:rsidRPr="00AE60D8">
        <w:rPr>
          <w:i/>
          <w:iCs/>
        </w:rPr>
        <w:t>Pacceka</w:t>
      </w:r>
      <w:r w:rsidR="00057BF4" w:rsidRPr="00057BF4">
        <w:rPr>
          <w:i/>
          <w:iCs/>
        </w:rPr>
        <w:t>buddha</w:t>
      </w:r>
      <w:r w:rsidRPr="00AE60D8">
        <w:rPr>
          <w:i/>
          <w:iCs/>
        </w:rPr>
        <w:t>s</w:t>
      </w:r>
      <w:proofErr w:type="spellEnd"/>
      <w:r>
        <w:t>, discípulos</w:t>
      </w:r>
      <w:r w:rsidR="00E90EA6" w:rsidRPr="00E90EA6">
        <w:t xml:space="preserve"> </w:t>
      </w:r>
      <w:r w:rsidR="00E90EA6">
        <w:t>principales</w:t>
      </w:r>
      <w:r>
        <w:t xml:space="preserve">, etc., que tienen un vasto esfuerzo previo detrás de ellos, que esta transformación </w:t>
      </w:r>
      <w:r w:rsidR="00685A72">
        <w:t>mediante</w:t>
      </w:r>
      <w:r>
        <w:t xml:space="preserve"> el poder sobrenatural y otr</w:t>
      </w:r>
      <w:r w:rsidR="00682A4F">
        <w:t>a</w:t>
      </w:r>
      <w:r>
        <w:t xml:space="preserve">s </w:t>
      </w:r>
    </w:p>
    <w:p w14:paraId="06CAC392" w14:textId="7180F24E" w:rsidR="00317D95" w:rsidRPr="00317D95" w:rsidRDefault="00317D95" w:rsidP="00317D95">
      <w:pPr>
        <w:pStyle w:val="PiedepginaLegal"/>
        <w:rPr>
          <w:u w:val="single"/>
        </w:rPr>
      </w:pPr>
      <w:r w:rsidRPr="00317D95">
        <w:rPr>
          <w:u w:val="single"/>
        </w:rPr>
        <w:t xml:space="preserve">                                                                                                                                                         .</w:t>
      </w:r>
    </w:p>
    <w:p w14:paraId="51D5043A" w14:textId="1E36BCE9" w:rsidR="00317D95" w:rsidRDefault="00317D95" w:rsidP="00317D95">
      <w:pPr>
        <w:pStyle w:val="PiedepginaLegal"/>
      </w:pPr>
      <w:r>
        <w:t xml:space="preserve">2. </w:t>
      </w:r>
      <w:r>
        <w:tab/>
      </w:r>
      <w:proofErr w:type="spellStart"/>
      <w:r w:rsidRPr="00385204">
        <w:rPr>
          <w:i/>
          <w:iCs/>
        </w:rPr>
        <w:t>Giribhaṇḍavahanapūjā</w:t>
      </w:r>
      <w:proofErr w:type="spellEnd"/>
      <w:r>
        <w:t xml:space="preserve">: </w:t>
      </w:r>
      <w:proofErr w:type="spellStart"/>
      <w:r>
        <w:t>Vism-mhṭ</w:t>
      </w:r>
      <w:proofErr w:type="spellEnd"/>
      <w:r>
        <w:t xml:space="preserve"> (</w:t>
      </w:r>
      <w:r w:rsidR="00875544">
        <w:t>Pág</w:t>
      </w:r>
      <w:r>
        <w:t>. 375) dice: “</w:t>
      </w:r>
      <w:proofErr w:type="spellStart"/>
      <w:r w:rsidRPr="00385204">
        <w:rPr>
          <w:i/>
          <w:iCs/>
        </w:rPr>
        <w:t>Giribhaṇḍa-vahanapūjā</w:t>
      </w:r>
      <w:proofErr w:type="spellEnd"/>
      <w:r w:rsidRPr="00385204">
        <w:rPr>
          <w:i/>
          <w:iCs/>
        </w:rPr>
        <w:t xml:space="preserve"> </w:t>
      </w:r>
      <w:proofErr w:type="spellStart"/>
      <w:r w:rsidR="00057BF4" w:rsidRPr="00057BF4">
        <w:rPr>
          <w:i/>
          <w:iCs/>
        </w:rPr>
        <w:t>nāma</w:t>
      </w:r>
      <w:proofErr w:type="spellEnd"/>
      <w:r w:rsidRPr="00385204">
        <w:rPr>
          <w:i/>
          <w:iCs/>
        </w:rPr>
        <w:t xml:space="preserve"> </w:t>
      </w:r>
      <w:proofErr w:type="spellStart"/>
      <w:r w:rsidRPr="00385204">
        <w:rPr>
          <w:i/>
          <w:iCs/>
        </w:rPr>
        <w:t>Cetiyagiriṃ</w:t>
      </w:r>
      <w:proofErr w:type="spellEnd"/>
      <w:r w:rsidRPr="00385204">
        <w:rPr>
          <w:i/>
          <w:iCs/>
        </w:rPr>
        <w:t xml:space="preserve"> </w:t>
      </w:r>
      <w:proofErr w:type="spellStart"/>
      <w:r w:rsidRPr="00385204">
        <w:rPr>
          <w:i/>
          <w:iCs/>
        </w:rPr>
        <w:t>ādiṃ</w:t>
      </w:r>
      <w:proofErr w:type="spellEnd"/>
      <w:r w:rsidRPr="00385204">
        <w:rPr>
          <w:i/>
          <w:iCs/>
        </w:rPr>
        <w:t xml:space="preserve"> </w:t>
      </w:r>
      <w:proofErr w:type="spellStart"/>
      <w:r w:rsidRPr="00385204">
        <w:rPr>
          <w:i/>
          <w:iCs/>
        </w:rPr>
        <w:t>katvā</w:t>
      </w:r>
      <w:proofErr w:type="spellEnd"/>
      <w:r w:rsidRPr="00385204">
        <w:rPr>
          <w:i/>
          <w:iCs/>
        </w:rPr>
        <w:t xml:space="preserve"> </w:t>
      </w:r>
      <w:proofErr w:type="spellStart"/>
      <w:r w:rsidRPr="00385204">
        <w:rPr>
          <w:i/>
          <w:iCs/>
        </w:rPr>
        <w:t>sakaladìpe</w:t>
      </w:r>
      <w:proofErr w:type="spellEnd"/>
      <w:r w:rsidRPr="00385204">
        <w:rPr>
          <w:i/>
          <w:iCs/>
        </w:rPr>
        <w:t xml:space="preserve"> </w:t>
      </w:r>
      <w:proofErr w:type="spellStart"/>
      <w:r w:rsidRPr="00385204">
        <w:rPr>
          <w:i/>
          <w:iCs/>
        </w:rPr>
        <w:t>samudde</w:t>
      </w:r>
      <w:proofErr w:type="spellEnd"/>
      <w:r w:rsidRPr="00385204">
        <w:rPr>
          <w:i/>
          <w:iCs/>
        </w:rPr>
        <w:t xml:space="preserve"> ca </w:t>
      </w:r>
      <w:proofErr w:type="spellStart"/>
      <w:r w:rsidRPr="00385204">
        <w:rPr>
          <w:i/>
          <w:iCs/>
        </w:rPr>
        <w:t>yāva</w:t>
      </w:r>
      <w:proofErr w:type="spellEnd"/>
      <w:r w:rsidRPr="00385204">
        <w:rPr>
          <w:i/>
          <w:iCs/>
        </w:rPr>
        <w:t xml:space="preserve"> </w:t>
      </w:r>
      <w:proofErr w:type="spellStart"/>
      <w:r w:rsidRPr="00385204">
        <w:rPr>
          <w:i/>
          <w:iCs/>
        </w:rPr>
        <w:t>yojanā</w:t>
      </w:r>
      <w:proofErr w:type="spellEnd"/>
      <w:r w:rsidRPr="00385204">
        <w:rPr>
          <w:i/>
          <w:iCs/>
        </w:rPr>
        <w:t xml:space="preserve"> </w:t>
      </w:r>
      <w:proofErr w:type="spellStart"/>
      <w:r w:rsidRPr="00385204">
        <w:rPr>
          <w:i/>
          <w:iCs/>
        </w:rPr>
        <w:t>mahatī</w:t>
      </w:r>
      <w:proofErr w:type="spellEnd"/>
      <w:r w:rsidRPr="00385204">
        <w:rPr>
          <w:i/>
          <w:iCs/>
        </w:rPr>
        <w:t xml:space="preserve"> </w:t>
      </w:r>
      <w:proofErr w:type="spellStart"/>
      <w:r w:rsidRPr="00385204">
        <w:rPr>
          <w:i/>
          <w:iCs/>
        </w:rPr>
        <w:t>dìpapūjā</w:t>
      </w:r>
      <w:proofErr w:type="spellEnd"/>
      <w:r>
        <w:t xml:space="preserve"> (</w:t>
      </w:r>
      <w:r w:rsidR="006B4594">
        <w:t>‘</w:t>
      </w:r>
      <w:r w:rsidR="006B4594" w:rsidRPr="006B4594">
        <w:t xml:space="preserve">es un nombre para una gran ofrenda isleña que comienza con el </w:t>
      </w:r>
      <w:proofErr w:type="spellStart"/>
      <w:r w:rsidR="006B4594" w:rsidRPr="006B4594">
        <w:rPr>
          <w:i/>
          <w:iCs/>
        </w:rPr>
        <w:t>Cetiyagiri</w:t>
      </w:r>
      <w:proofErr w:type="spellEnd"/>
      <w:r w:rsidR="006B4594" w:rsidRPr="006B4594">
        <w:t xml:space="preserve"> (</w:t>
      </w:r>
      <w:proofErr w:type="spellStart"/>
      <w:r w:rsidR="006B4594" w:rsidRPr="006B4594">
        <w:rPr>
          <w:i/>
          <w:iCs/>
        </w:rPr>
        <w:t>Mihintale</w:t>
      </w:r>
      <w:proofErr w:type="spellEnd"/>
      <w:r w:rsidR="006B4594" w:rsidRPr="006B4594">
        <w:t xml:space="preserve">) y se extiende por toda la isla y hasta una legua </w:t>
      </w:r>
      <w:r w:rsidR="00794B9F">
        <w:t>hacia</w:t>
      </w:r>
      <w:r w:rsidR="006B4594" w:rsidRPr="006B4594">
        <w:t xml:space="preserve"> el mar’).” </w:t>
      </w:r>
      <w:r>
        <w:t xml:space="preserve">Mencionado en A-a </w:t>
      </w:r>
      <w:r w:rsidR="00794B9F">
        <w:t>al</w:t>
      </w:r>
      <w:r>
        <w:t xml:space="preserve"> AN 1:1; Ma II 398; y </w:t>
      </w:r>
      <w:r w:rsidR="00794B9F">
        <w:t xml:space="preserve">en el </w:t>
      </w:r>
      <w:proofErr w:type="spellStart"/>
      <w:r w:rsidR="00EC7F8F">
        <w:rPr>
          <w:i/>
          <w:iCs/>
        </w:rPr>
        <w:t>Mahā</w:t>
      </w:r>
      <w:r w:rsidRPr="00385204">
        <w:rPr>
          <w:i/>
          <w:iCs/>
        </w:rPr>
        <w:t>vaṃsa</w:t>
      </w:r>
      <w:proofErr w:type="spellEnd"/>
      <w:r>
        <w:t xml:space="preserve"> XXXIV.81.</w:t>
      </w:r>
    </w:p>
    <w:p w14:paraId="52E3EADE" w14:textId="77777777" w:rsidR="00F52334" w:rsidRDefault="00F52334">
      <w:pPr>
        <w:tabs>
          <w:tab w:val="clear" w:pos="425"/>
        </w:tabs>
        <w:spacing w:after="160"/>
      </w:pPr>
      <w:r>
        <w:br w:type="page"/>
      </w:r>
    </w:p>
    <w:p w14:paraId="6FDD64B2" w14:textId="77777777" w:rsidR="00C246F5" w:rsidRDefault="00C246F5" w:rsidP="00666057"/>
    <w:p w14:paraId="43E5C212" w14:textId="32967BBE" w:rsidR="00666057" w:rsidRDefault="00666057" w:rsidP="00666057">
      <w:r>
        <w:t xml:space="preserve">cualidades especiales </w:t>
      </w:r>
      <w:r w:rsidR="00685A72">
        <w:t>como</w:t>
      </w:r>
      <w:r>
        <w:t xml:space="preserve"> las discriminaciones</w:t>
      </w:r>
      <w:r w:rsidR="00E90EA6">
        <w:t>,</w:t>
      </w:r>
      <w:r>
        <w:t xml:space="preserve"> </w:t>
      </w:r>
      <w:r w:rsidR="00682A4F">
        <w:t>será</w:t>
      </w:r>
      <w:r>
        <w:t xml:space="preserve"> </w:t>
      </w:r>
      <w:r w:rsidR="00682A4F">
        <w:t xml:space="preserve">exitosas </w:t>
      </w:r>
      <w:r>
        <w:t xml:space="preserve">simplemente </w:t>
      </w:r>
      <w:r w:rsidR="00682A4F">
        <w:t xml:space="preserve">mediante la consumación </w:t>
      </w:r>
      <w:r>
        <w:t xml:space="preserve">del estado de </w:t>
      </w:r>
      <w:r w:rsidR="00057BF4" w:rsidRPr="00057BF4">
        <w:rPr>
          <w:i/>
        </w:rPr>
        <w:t>Arahant</w:t>
      </w:r>
      <w:r>
        <w:t xml:space="preserve"> y sin el curso progresivo de desarrollo del tipo que acabamos de describir.</w:t>
      </w:r>
    </w:p>
    <w:p w14:paraId="60531729" w14:textId="5645AD36" w:rsidR="00666057" w:rsidRDefault="00666057" w:rsidP="00666057">
      <w:r>
        <w:t xml:space="preserve">12. </w:t>
      </w:r>
      <w:r>
        <w:tab/>
        <w:t xml:space="preserve">Así como un orfebre </w:t>
      </w:r>
      <w:r w:rsidR="0043214C">
        <w:t>que</w:t>
      </w:r>
      <w:r>
        <w:t xml:space="preserve"> </w:t>
      </w:r>
      <w:r w:rsidR="004F74CD">
        <w:t xml:space="preserve">desee fabricar </w:t>
      </w:r>
      <w:r>
        <w:t>algún tipo de adorno, lo ha</w:t>
      </w:r>
      <w:r w:rsidR="004F74CD">
        <w:t>r</w:t>
      </w:r>
      <w:r w:rsidR="00682A4F">
        <w:t>ía</w:t>
      </w:r>
      <w:r>
        <w:t xml:space="preserve"> después de hacer el oro maleable y manejable</w:t>
      </w:r>
      <w:r w:rsidR="004F74CD">
        <w:t>,</w:t>
      </w:r>
      <w:r>
        <w:t xml:space="preserve"> al fundirlo, etc., así como un alfarero </w:t>
      </w:r>
      <w:r w:rsidR="006A4A4B">
        <w:t xml:space="preserve">que </w:t>
      </w:r>
      <w:r w:rsidR="004F74CD">
        <w:t>dese</w:t>
      </w:r>
      <w:r w:rsidR="006A4A4B">
        <w:t>ase</w:t>
      </w:r>
      <w:r>
        <w:t xml:space="preserve"> </w:t>
      </w:r>
      <w:r w:rsidR="004F74CD">
        <w:t xml:space="preserve">fabricar </w:t>
      </w:r>
      <w:r>
        <w:t>algún tipo de vasija, no lo ha</w:t>
      </w:r>
      <w:r w:rsidR="004F74CD">
        <w:t>r</w:t>
      </w:r>
      <w:r w:rsidR="006A4A4B">
        <w:t>ía</w:t>
      </w:r>
      <w:r w:rsidR="004F74CD">
        <w:t xml:space="preserve"> hasta </w:t>
      </w:r>
      <w:r>
        <w:t xml:space="preserve">sólo después de hacer </w:t>
      </w:r>
      <w:r w:rsidR="006A4A4B">
        <w:t xml:space="preserve">que </w:t>
      </w:r>
      <w:r>
        <w:t xml:space="preserve">la arcilla </w:t>
      </w:r>
      <w:r w:rsidR="006A4A4B">
        <w:t xml:space="preserve">esté </w:t>
      </w:r>
      <w:r>
        <w:t xml:space="preserve">bien amasada y </w:t>
      </w:r>
      <w:r w:rsidR="006A4A4B">
        <w:t xml:space="preserve">sea </w:t>
      </w:r>
      <w:r>
        <w:t xml:space="preserve">maleable, </w:t>
      </w:r>
      <w:r w:rsidR="00A6702B">
        <w:t xml:space="preserve">así también </w:t>
      </w:r>
      <w:r>
        <w:t xml:space="preserve">un </w:t>
      </w:r>
      <w:r w:rsidR="004F74CD">
        <w:t xml:space="preserve">meditador </w:t>
      </w:r>
      <w:r>
        <w:t>principiante también debe</w:t>
      </w:r>
      <w:r w:rsidR="004F74CD">
        <w:t>rá</w:t>
      </w:r>
      <w:r>
        <w:t xml:space="preserve"> prepararse para los tipos de poderes sobrenaturales controlando su mente de estas </w:t>
      </w:r>
      <w:r w:rsidR="004F74CD">
        <w:t>14</w:t>
      </w:r>
      <w:r>
        <w:t xml:space="preserve"> formas; y debe</w:t>
      </w:r>
      <w:r w:rsidR="00CC7F84">
        <w:t>rá</w:t>
      </w:r>
      <w:r>
        <w:t xml:space="preserve"> hacerlo también haciendo que su mente sea maleable y manejable</w:t>
      </w:r>
      <w:r w:rsidR="00CC7F84">
        <w:t>,</w:t>
      </w:r>
      <w:r>
        <w:t xml:space="preserve"> </w:t>
      </w:r>
      <w:r w:rsidR="00C83F45">
        <w:t xml:space="preserve">consiguiéndolo </w:t>
      </w:r>
      <w:r>
        <w:t xml:space="preserve">tanto bajo los títulos </w:t>
      </w:r>
      <w:r w:rsidR="00187A66">
        <w:t xml:space="preserve">de </w:t>
      </w:r>
      <w:r>
        <w:t>celo, con</w:t>
      </w:r>
      <w:r w:rsidR="00134FC7">
        <w:t>s</w:t>
      </w:r>
      <w:r>
        <w:t xml:space="preserve">ciencia, energía e </w:t>
      </w:r>
      <w:r w:rsidR="00857665">
        <w:t>investiga</w:t>
      </w:r>
      <w:r>
        <w:t>ción,</w:t>
      </w:r>
      <w:r w:rsidRPr="00794B9F">
        <w:rPr>
          <w:vertAlign w:val="superscript"/>
        </w:rPr>
        <w:t>3</w:t>
      </w:r>
      <w:r>
        <w:t xml:space="preserve"> como mediante el dominio de la advertencia, </w:t>
      </w:r>
      <w:r w:rsidR="00C83F45">
        <w:t>etc</w:t>
      </w:r>
      <w:r>
        <w:t xml:space="preserve">. Pero quien ya </w:t>
      </w:r>
      <w:r w:rsidR="00C83F45">
        <w:t xml:space="preserve">tenga </w:t>
      </w:r>
      <w:r>
        <w:t xml:space="preserve">la condición requerida para ello debido a la práctica en vidas </w:t>
      </w:r>
      <w:r w:rsidR="00C83F45">
        <w:t>pasadas</w:t>
      </w:r>
      <w:r>
        <w:t xml:space="preserve">, solo </w:t>
      </w:r>
      <w:r w:rsidR="00C83F45">
        <w:t xml:space="preserve">requerirá </w:t>
      </w:r>
      <w:r>
        <w:t xml:space="preserve">prepararse adquiriendo dominio en el cuarto </w:t>
      </w:r>
      <w:proofErr w:type="spellStart"/>
      <w:r w:rsidR="00057BF4" w:rsidRPr="00057BF4">
        <w:rPr>
          <w:i/>
        </w:rPr>
        <w:t>jhāna</w:t>
      </w:r>
      <w:proofErr w:type="spellEnd"/>
      <w:r>
        <w:t xml:space="preserve"> </w:t>
      </w:r>
      <w:r w:rsidR="00F03229">
        <w:t xml:space="preserve">de </w:t>
      </w:r>
      <w:r>
        <w:t xml:space="preserve">los </w:t>
      </w:r>
      <w:proofErr w:type="spellStart"/>
      <w:r w:rsidR="00057BF4" w:rsidRPr="00057BF4">
        <w:rPr>
          <w:i/>
        </w:rPr>
        <w:t>kasiṇa</w:t>
      </w:r>
      <w:r>
        <w:t>s</w:t>
      </w:r>
      <w:proofErr w:type="spellEnd"/>
      <w:r>
        <w:t>.</w:t>
      </w:r>
    </w:p>
    <w:p w14:paraId="6EAC6BF0" w14:textId="1301EAB4" w:rsidR="00666057" w:rsidRDefault="00666057" w:rsidP="00666057">
      <w:r>
        <w:t xml:space="preserve">13. </w:t>
      </w:r>
      <w:r>
        <w:tab/>
        <w:t>Ahora</w:t>
      </w:r>
      <w:r w:rsidR="00F03229">
        <w:t xml:space="preserve"> bien</w:t>
      </w:r>
      <w:r>
        <w:t xml:space="preserve">, el </w:t>
      </w:r>
      <w:r w:rsidR="00F03229" w:rsidRPr="00F03229">
        <w:rPr>
          <w:i/>
          <w:iCs/>
        </w:rPr>
        <w:t>Bhagavā</w:t>
      </w:r>
      <w:r w:rsidR="00F03229">
        <w:t xml:space="preserve"> </w:t>
      </w:r>
      <w:r>
        <w:t>mostró cómo se deb</w:t>
      </w:r>
      <w:r w:rsidR="00F03229">
        <w:t>ía</w:t>
      </w:r>
      <w:r>
        <w:t xml:space="preserve"> hacer </w:t>
      </w:r>
      <w:r w:rsidR="0022767E">
        <w:t>est</w:t>
      </w:r>
      <w:r>
        <w:t xml:space="preserve">a preparación </w:t>
      </w:r>
      <w:r w:rsidR="00F03229">
        <w:t>cuando dijo</w:t>
      </w:r>
      <w:r>
        <w:t xml:space="preserve">: “Cuando su mente </w:t>
      </w:r>
      <w:r w:rsidR="00836237">
        <w:t xml:space="preserve">esté </w:t>
      </w:r>
      <w:r>
        <w:t>concentr</w:t>
      </w:r>
      <w:r w:rsidR="00F03229">
        <w:t>ada</w:t>
      </w:r>
      <w:r w:rsidR="0080443A">
        <w:t>…</w:t>
      </w:r>
      <w:r>
        <w:t xml:space="preserve">”, y así sucesivamente. Aquí está la explicación, que sigue al texto (ver §2). </w:t>
      </w:r>
      <w:r w:rsidR="00503FC7">
        <w:t>Al respecto</w:t>
      </w:r>
      <w:r>
        <w:t xml:space="preserve">, </w:t>
      </w:r>
      <w:r w:rsidRPr="00385204">
        <w:rPr>
          <w:i/>
          <w:iCs/>
        </w:rPr>
        <w:t>él</w:t>
      </w:r>
      <w:r>
        <w:t xml:space="preserve"> </w:t>
      </w:r>
      <w:r w:rsidR="004A119B">
        <w:t xml:space="preserve">será </w:t>
      </w:r>
      <w:r>
        <w:t>un meditador que ha</w:t>
      </w:r>
      <w:r w:rsidR="004A119B">
        <w:t>ya</w:t>
      </w:r>
      <w:r>
        <w:t xml:space="preserve"> alcanzado el cuarto </w:t>
      </w:r>
      <w:proofErr w:type="spellStart"/>
      <w:r w:rsidR="00057BF4" w:rsidRPr="00057BF4">
        <w:rPr>
          <w:i/>
        </w:rPr>
        <w:t>jhāna</w:t>
      </w:r>
      <w:proofErr w:type="spellEnd"/>
      <w:r>
        <w:t xml:space="preserve">. </w:t>
      </w:r>
      <w:r w:rsidRPr="00385204">
        <w:rPr>
          <w:i/>
          <w:iCs/>
        </w:rPr>
        <w:t>Así</w:t>
      </w:r>
      <w:r>
        <w:t xml:space="preserve"> significa el orden en </w:t>
      </w:r>
      <w:r w:rsidR="00024429">
        <w:t xml:space="preserve">el </w:t>
      </w:r>
      <w:r>
        <w:t xml:space="preserve">que </w:t>
      </w:r>
      <w:r w:rsidR="00024429">
        <w:t>haya llegado</w:t>
      </w:r>
      <w:r>
        <w:t xml:space="preserve"> </w:t>
      </w:r>
      <w:r w:rsidR="006B2A44">
        <w:t>a</w:t>
      </w:r>
      <w:r>
        <w:t xml:space="preserve">l cuarto </w:t>
      </w:r>
      <w:proofErr w:type="spellStart"/>
      <w:r w:rsidR="00057BF4" w:rsidRPr="00057BF4">
        <w:rPr>
          <w:i/>
        </w:rPr>
        <w:t>jhāna</w:t>
      </w:r>
      <w:proofErr w:type="spellEnd"/>
      <w:r>
        <w:t>; hab</w:t>
      </w:r>
      <w:r w:rsidR="00024429">
        <w:t>iendo</w:t>
      </w:r>
      <w:r>
        <w:t xml:space="preserve"> obtenido el cuarto </w:t>
      </w:r>
      <w:proofErr w:type="spellStart"/>
      <w:r w:rsidR="00057BF4" w:rsidRPr="00057BF4">
        <w:rPr>
          <w:i/>
        </w:rPr>
        <w:t>jhāna</w:t>
      </w:r>
      <w:proofErr w:type="spellEnd"/>
      <w:r>
        <w:t xml:space="preserve"> comenzando con el primer </w:t>
      </w:r>
      <w:proofErr w:type="spellStart"/>
      <w:r w:rsidR="00057BF4" w:rsidRPr="00057BF4">
        <w:rPr>
          <w:i/>
          <w:iCs/>
        </w:rPr>
        <w:t>jhāna</w:t>
      </w:r>
      <w:proofErr w:type="spellEnd"/>
      <w:r>
        <w:t xml:space="preserve">, </w:t>
      </w:r>
      <w:r w:rsidR="00024429">
        <w:t xml:space="preserve">en ese orden, </w:t>
      </w:r>
      <w:r w:rsidR="006B2A44">
        <w:t xml:space="preserve">será </w:t>
      </w:r>
      <w:r>
        <w:t xml:space="preserve">lo que se quiere decir. </w:t>
      </w:r>
      <w:r w:rsidRPr="00BA48E8">
        <w:rPr>
          <w:i/>
          <w:iCs/>
        </w:rPr>
        <w:t>Concentrad</w:t>
      </w:r>
      <w:r w:rsidR="00024429" w:rsidRPr="00BA48E8">
        <w:rPr>
          <w:i/>
          <w:iCs/>
        </w:rPr>
        <w:t>a</w:t>
      </w:r>
      <w:r>
        <w:t>: concentrad</w:t>
      </w:r>
      <w:r w:rsidR="00BA48E8">
        <w:t>a</w:t>
      </w:r>
      <w:r>
        <w:t xml:space="preserve"> por medio del cuarto </w:t>
      </w:r>
      <w:proofErr w:type="spellStart"/>
      <w:r w:rsidR="00057BF4" w:rsidRPr="00057BF4">
        <w:rPr>
          <w:i/>
        </w:rPr>
        <w:t>jhāna</w:t>
      </w:r>
      <w:proofErr w:type="spellEnd"/>
      <w:r>
        <w:t xml:space="preserve">. </w:t>
      </w:r>
      <w:r w:rsidRPr="00385204">
        <w:rPr>
          <w:i/>
          <w:iCs/>
        </w:rPr>
        <w:t>Mente</w:t>
      </w:r>
      <w:r>
        <w:t>: con</w:t>
      </w:r>
      <w:r w:rsidR="00BA48E8">
        <w:t>s</w:t>
      </w:r>
      <w:r>
        <w:t xml:space="preserve">ciencia de la esfera de la materia </w:t>
      </w:r>
      <w:r w:rsidR="00BA48E8">
        <w:t>sutil</w:t>
      </w:r>
      <w:r>
        <w:t>.</w:t>
      </w:r>
    </w:p>
    <w:p w14:paraId="67B5D38A" w14:textId="682F5498" w:rsidR="00666057" w:rsidRDefault="00666057" w:rsidP="00666057">
      <w:r>
        <w:t xml:space="preserve">14. </w:t>
      </w:r>
      <w:r>
        <w:tab/>
        <w:t>Pero en cuanto a las palabras “purificad</w:t>
      </w:r>
      <w:r w:rsidR="00BA48E8">
        <w:t>a</w:t>
      </w:r>
      <w:r>
        <w:t xml:space="preserve">”, etc., </w:t>
      </w:r>
      <w:r w:rsidR="0017462A">
        <w:t>ha sido</w:t>
      </w:r>
      <w:r>
        <w:t xml:space="preserve"> </w:t>
      </w:r>
      <w:r w:rsidRPr="00385204">
        <w:rPr>
          <w:i/>
          <w:iCs/>
        </w:rPr>
        <w:t>purifica</w:t>
      </w:r>
      <w:r w:rsidR="00BA48E8">
        <w:rPr>
          <w:i/>
          <w:iCs/>
        </w:rPr>
        <w:t>da</w:t>
      </w:r>
      <w:r>
        <w:t xml:space="preserve"> por medio del estado de </w:t>
      </w:r>
      <w:r w:rsidR="00C44A5D">
        <w:t xml:space="preserve">la </w:t>
      </w:r>
      <w:r>
        <w:t>atención purificad</w:t>
      </w:r>
      <w:r w:rsidR="00C44A5D">
        <w:t>a</w:t>
      </w:r>
      <w:r>
        <w:t xml:space="preserve"> </w:t>
      </w:r>
      <w:r w:rsidR="0017462A">
        <w:t xml:space="preserve">mediante </w:t>
      </w:r>
      <w:r>
        <w:t xml:space="preserve">la ecuanimidad. [377] </w:t>
      </w:r>
      <w:r w:rsidR="0017462A">
        <w:t xml:space="preserve">Será </w:t>
      </w:r>
      <w:r w:rsidRPr="00385204">
        <w:rPr>
          <w:i/>
          <w:iCs/>
        </w:rPr>
        <w:t>brillante</w:t>
      </w:r>
      <w:r>
        <w:t xml:space="preserve"> precisamente porque est</w:t>
      </w:r>
      <w:r w:rsidR="0017462A">
        <w:t>ar</w:t>
      </w:r>
      <w:r>
        <w:t xml:space="preserve">á </w:t>
      </w:r>
      <w:r w:rsidRPr="00385204">
        <w:rPr>
          <w:i/>
          <w:iCs/>
        </w:rPr>
        <w:t>purificad</w:t>
      </w:r>
      <w:r w:rsidR="0017462A">
        <w:rPr>
          <w:i/>
          <w:iCs/>
        </w:rPr>
        <w:t>a</w:t>
      </w:r>
      <w:r>
        <w:t xml:space="preserve">; </w:t>
      </w:r>
      <w:r w:rsidR="0017462A">
        <w:t xml:space="preserve">será </w:t>
      </w:r>
      <w:r>
        <w:t>límpid</w:t>
      </w:r>
      <w:r w:rsidR="0017462A">
        <w:t>a</w:t>
      </w:r>
      <w:r>
        <w:t xml:space="preserve"> (ver A I 10), es lo que se quiere decir. </w:t>
      </w:r>
      <w:r w:rsidR="0017462A">
        <w:t xml:space="preserve">Será </w:t>
      </w:r>
      <w:r w:rsidRPr="00385204">
        <w:rPr>
          <w:i/>
          <w:iCs/>
        </w:rPr>
        <w:t>intachable</w:t>
      </w:r>
      <w:r>
        <w:t xml:space="preserve"> ya que las imperfecciones consisten</w:t>
      </w:r>
      <w:r w:rsidR="00C44A5D">
        <w:t>tes</w:t>
      </w:r>
      <w:r>
        <w:t xml:space="preserve"> </w:t>
      </w:r>
      <w:r w:rsidR="006455B9">
        <w:t xml:space="preserve">por </w:t>
      </w:r>
      <w:r>
        <w:t xml:space="preserve">la codicia, etc., </w:t>
      </w:r>
      <w:r w:rsidR="006455B9">
        <w:t xml:space="preserve">serán </w:t>
      </w:r>
      <w:r>
        <w:t xml:space="preserve">eliminadas </w:t>
      </w:r>
      <w:r w:rsidR="006455B9">
        <w:t xml:space="preserve">mediante </w:t>
      </w:r>
      <w:r>
        <w:t>la remoción de sus condiciones consisten</w:t>
      </w:r>
      <w:r w:rsidR="004A6982">
        <w:t>tes</w:t>
      </w:r>
      <w:r>
        <w:t xml:space="preserve"> </w:t>
      </w:r>
      <w:r w:rsidR="004A6982">
        <w:t>de</w:t>
      </w:r>
      <w:r>
        <w:t xml:space="preserve"> la bienaventuranza y el resto. Est</w:t>
      </w:r>
      <w:r w:rsidR="006455B9">
        <w:t>ar</w:t>
      </w:r>
      <w:r>
        <w:t xml:space="preserve">á </w:t>
      </w:r>
      <w:r w:rsidRPr="00385204">
        <w:rPr>
          <w:i/>
          <w:iCs/>
        </w:rPr>
        <w:t xml:space="preserve">libre de </w:t>
      </w:r>
      <w:r w:rsidR="003D01B1">
        <w:rPr>
          <w:i/>
          <w:iCs/>
        </w:rPr>
        <w:t>impurezas</w:t>
      </w:r>
      <w:r>
        <w:t xml:space="preserve"> precisamente porque no </w:t>
      </w:r>
      <w:r w:rsidR="006455B9">
        <w:t xml:space="preserve">tendrá </w:t>
      </w:r>
      <w:r w:rsidR="004A6982">
        <w:t>impurezas</w:t>
      </w:r>
      <w:r>
        <w:t xml:space="preserve">; </w:t>
      </w:r>
      <w:r w:rsidR="004A6982">
        <w:t xml:space="preserve">ya </w:t>
      </w:r>
      <w:r>
        <w:t xml:space="preserve">que </w:t>
      </w:r>
      <w:r w:rsidR="006455B9">
        <w:t xml:space="preserve">es </w:t>
      </w:r>
      <w:r>
        <w:t xml:space="preserve">por </w:t>
      </w:r>
      <w:r w:rsidR="004A6982">
        <w:t xml:space="preserve">medio de </w:t>
      </w:r>
      <w:r>
        <w:t>la</w:t>
      </w:r>
      <w:r w:rsidR="004A6982">
        <w:t>s</w:t>
      </w:r>
      <w:r>
        <w:t xml:space="preserve"> </w:t>
      </w:r>
      <w:r w:rsidR="004A6982">
        <w:t xml:space="preserve">impurezas </w:t>
      </w:r>
      <w:r>
        <w:t>que la con</w:t>
      </w:r>
      <w:r w:rsidR="004A6982">
        <w:t>s</w:t>
      </w:r>
      <w:r>
        <w:t xml:space="preserve">ciencia se contamina. </w:t>
      </w:r>
      <w:r w:rsidRPr="00015B97">
        <w:rPr>
          <w:i/>
          <w:iCs/>
        </w:rPr>
        <w:t xml:space="preserve">Se </w:t>
      </w:r>
      <w:r w:rsidR="00E55AAE">
        <w:rPr>
          <w:i/>
          <w:iCs/>
        </w:rPr>
        <w:t>vuelva</w:t>
      </w:r>
      <w:r w:rsidRPr="009E32CA">
        <w:rPr>
          <w:i/>
          <w:iCs/>
        </w:rPr>
        <w:t xml:space="preserve"> maleable</w:t>
      </w:r>
      <w:r>
        <w:t xml:space="preserve"> porque est</w:t>
      </w:r>
      <w:r w:rsidR="00015B97">
        <w:t>ar</w:t>
      </w:r>
      <w:r>
        <w:t>á bien desarrolla</w:t>
      </w:r>
      <w:r w:rsidR="00E64CDC">
        <w:t>da</w:t>
      </w:r>
      <w:r>
        <w:t>; sufr</w:t>
      </w:r>
      <w:r w:rsidR="00422373">
        <w:t>irá del</w:t>
      </w:r>
      <w:r>
        <w:t xml:space="preserve"> dominio, eso es lo que se quiere decir, porque </w:t>
      </w:r>
      <w:r w:rsidR="008317F7">
        <w:t xml:space="preserve">a </w:t>
      </w:r>
      <w:r>
        <w:t>la con</w:t>
      </w:r>
      <w:r w:rsidR="008317F7">
        <w:t>s</w:t>
      </w:r>
      <w:r>
        <w:t>ciencia que sufr</w:t>
      </w:r>
      <w:r w:rsidR="008317F7">
        <w:t>a</w:t>
      </w:r>
      <w:r>
        <w:t xml:space="preserve"> </w:t>
      </w:r>
      <w:r w:rsidR="008317F7">
        <w:t xml:space="preserve">del </w:t>
      </w:r>
      <w:r>
        <w:t xml:space="preserve">dominio se </w:t>
      </w:r>
      <w:r w:rsidR="008317F7">
        <w:t xml:space="preserve">le </w:t>
      </w:r>
      <w:r>
        <w:t>llama</w:t>
      </w:r>
      <w:r w:rsidR="008317F7">
        <w:t>rá</w:t>
      </w:r>
      <w:r>
        <w:t xml:space="preserve"> “maleable”. </w:t>
      </w:r>
      <w:r w:rsidR="008317F7">
        <w:t xml:space="preserve">Será </w:t>
      </w:r>
      <w:r w:rsidRPr="00385204">
        <w:rPr>
          <w:i/>
          <w:iCs/>
        </w:rPr>
        <w:t>manejable</w:t>
      </w:r>
      <w:r>
        <w:t xml:space="preserve"> (</w:t>
      </w:r>
      <w:proofErr w:type="spellStart"/>
      <w:r w:rsidR="00057BF4" w:rsidRPr="00057BF4">
        <w:rPr>
          <w:i/>
          <w:iCs/>
        </w:rPr>
        <w:t>kamma</w:t>
      </w:r>
      <w:r w:rsidRPr="00385204">
        <w:rPr>
          <w:i/>
          <w:iCs/>
        </w:rPr>
        <w:t>nīya</w:t>
      </w:r>
      <w:proofErr w:type="spellEnd"/>
      <w:r>
        <w:t xml:space="preserve">) precisamente porque </w:t>
      </w:r>
      <w:r w:rsidR="008317F7">
        <w:t xml:space="preserve">será </w:t>
      </w:r>
      <w:r>
        <w:t>maleable; sufr</w:t>
      </w:r>
      <w:r w:rsidR="00D265FA">
        <w:t>irá de ser</w:t>
      </w:r>
      <w:r>
        <w:t xml:space="preserve"> trabaja</w:t>
      </w:r>
      <w:r w:rsidR="00681ED4">
        <w:t>ble</w:t>
      </w:r>
      <w:r>
        <w:t xml:space="preserve"> (</w:t>
      </w:r>
      <w:proofErr w:type="spellStart"/>
      <w:r w:rsidR="00057BF4" w:rsidRPr="00057BF4">
        <w:rPr>
          <w:i/>
          <w:iCs/>
        </w:rPr>
        <w:t>kamma</w:t>
      </w:r>
      <w:r w:rsidRPr="00385204">
        <w:rPr>
          <w:i/>
          <w:iCs/>
        </w:rPr>
        <w:t>kkhama</w:t>
      </w:r>
      <w:proofErr w:type="spellEnd"/>
      <w:r>
        <w:t xml:space="preserve">), </w:t>
      </w:r>
      <w:r w:rsidR="00681ED4">
        <w:t xml:space="preserve">será </w:t>
      </w:r>
      <w:r>
        <w:t>apt</w:t>
      </w:r>
      <w:r w:rsidR="00681ED4">
        <w:t>a</w:t>
      </w:r>
      <w:r>
        <w:t xml:space="preserve"> para ser trabajad</w:t>
      </w:r>
      <w:r w:rsidR="00681ED4">
        <w:t>a</w:t>
      </w:r>
      <w:r>
        <w:t xml:space="preserve"> (</w:t>
      </w:r>
      <w:proofErr w:type="spellStart"/>
      <w:r w:rsidR="00057BF4" w:rsidRPr="00057BF4">
        <w:rPr>
          <w:i/>
          <w:iCs/>
        </w:rPr>
        <w:t>kamma</w:t>
      </w:r>
      <w:r w:rsidRPr="00385204">
        <w:rPr>
          <w:i/>
          <w:iCs/>
        </w:rPr>
        <w:t>yogga</w:t>
      </w:r>
      <w:proofErr w:type="spellEnd"/>
      <w:r>
        <w:t>), es lo que se quiere decir.</w:t>
      </w:r>
    </w:p>
    <w:p w14:paraId="458150FD" w14:textId="763ED42F" w:rsidR="00666057" w:rsidRDefault="00666057" w:rsidP="00666057">
      <w:r>
        <w:t xml:space="preserve">15. </w:t>
      </w:r>
      <w:r>
        <w:tab/>
      </w:r>
      <w:r w:rsidR="00681ED4">
        <w:t xml:space="preserve">Ya </w:t>
      </w:r>
      <w:r>
        <w:t>que una con</w:t>
      </w:r>
      <w:r w:rsidR="00681ED4">
        <w:t>s</w:t>
      </w:r>
      <w:r>
        <w:t xml:space="preserve">ciencia maleable </w:t>
      </w:r>
      <w:r w:rsidR="00681ED4">
        <w:t xml:space="preserve">será </w:t>
      </w:r>
      <w:r>
        <w:t xml:space="preserve">manejable, como el oro bien fundido; y </w:t>
      </w:r>
      <w:r w:rsidR="004705DE">
        <w:t xml:space="preserve">la consciencia será </w:t>
      </w:r>
      <w:r>
        <w:t>ambos porque est</w:t>
      </w:r>
      <w:r w:rsidR="004705DE">
        <w:t>ar</w:t>
      </w:r>
      <w:r>
        <w:t>á bien desarrollad</w:t>
      </w:r>
      <w:r w:rsidR="004705DE">
        <w:t>a</w:t>
      </w:r>
      <w:r>
        <w:t>, según se dice: “</w:t>
      </w:r>
      <w:proofErr w:type="spellStart"/>
      <w:r w:rsidR="00057BF4" w:rsidRPr="00057BF4">
        <w:rPr>
          <w:i/>
        </w:rPr>
        <w:t>Bhikkhu</w:t>
      </w:r>
      <w:r>
        <w:t>s</w:t>
      </w:r>
      <w:proofErr w:type="spellEnd"/>
      <w:r>
        <w:t>, no veo nada que, cuando se desarroll</w:t>
      </w:r>
      <w:r w:rsidR="004705DE">
        <w:t>e</w:t>
      </w:r>
      <w:r>
        <w:t xml:space="preserve"> y cultiv</w:t>
      </w:r>
      <w:r w:rsidR="004705DE">
        <w:t>e</w:t>
      </w:r>
      <w:r>
        <w:t>, se vuelv</w:t>
      </w:r>
      <w:r w:rsidR="004705DE">
        <w:t>a</w:t>
      </w:r>
      <w:r>
        <w:t xml:space="preserve"> tan maleable y manejable como la mente” (A I 9).</w:t>
      </w:r>
    </w:p>
    <w:p w14:paraId="0D0CDD6B" w14:textId="70E25B66" w:rsidR="00666057" w:rsidRDefault="00666057" w:rsidP="00666057">
      <w:r>
        <w:t xml:space="preserve">16. </w:t>
      </w:r>
      <w:r>
        <w:tab/>
      </w:r>
      <w:r w:rsidR="00957F5A">
        <w:t>Será</w:t>
      </w:r>
      <w:r>
        <w:t xml:space="preserve"> </w:t>
      </w:r>
      <w:r w:rsidRPr="00957F5A">
        <w:rPr>
          <w:i/>
          <w:iCs/>
        </w:rPr>
        <w:t>firme</w:t>
      </w:r>
      <w:r>
        <w:t xml:space="preserve"> porque </w:t>
      </w:r>
      <w:r w:rsidR="00A862B4">
        <w:t xml:space="preserve">se habrá afirmado </w:t>
      </w:r>
      <w:r>
        <w:t>en esta purificación y en todo lo demás. Se</w:t>
      </w:r>
      <w:r w:rsidR="00A20993">
        <w:t>rá</w:t>
      </w:r>
      <w:r>
        <w:t xml:space="preserve"> </w:t>
      </w:r>
      <w:r w:rsidR="00A862B4" w:rsidRPr="00794CD3">
        <w:rPr>
          <w:i/>
          <w:iCs/>
        </w:rPr>
        <w:t>consuma</w:t>
      </w:r>
      <w:r w:rsidR="00A20993" w:rsidRPr="00794CD3">
        <w:rPr>
          <w:i/>
          <w:iCs/>
        </w:rPr>
        <w:t>da por</w:t>
      </w:r>
      <w:r w:rsidR="00A862B4" w:rsidRPr="00794CD3">
        <w:rPr>
          <w:i/>
          <w:iCs/>
        </w:rPr>
        <w:t xml:space="preserve"> </w:t>
      </w:r>
      <w:r w:rsidRPr="00794CD3">
        <w:rPr>
          <w:i/>
          <w:iCs/>
        </w:rPr>
        <w:t>la imperturbabilidad</w:t>
      </w:r>
      <w:r>
        <w:t xml:space="preserve"> (</w:t>
      </w:r>
      <w:proofErr w:type="spellStart"/>
      <w:r w:rsidRPr="00385204">
        <w:rPr>
          <w:i/>
          <w:iCs/>
        </w:rPr>
        <w:t>āneñjappatta</w:t>
      </w:r>
      <w:proofErr w:type="spellEnd"/>
      <w:r>
        <w:t xml:space="preserve">) precisamente porque </w:t>
      </w:r>
      <w:r w:rsidR="001873AA">
        <w:t xml:space="preserve">será </w:t>
      </w:r>
      <w:r>
        <w:t xml:space="preserve">estable; </w:t>
      </w:r>
      <w:r w:rsidR="001873AA">
        <w:t xml:space="preserve">será </w:t>
      </w:r>
      <w:r w:rsidR="009E259F">
        <w:t>inmutable</w:t>
      </w:r>
      <w:r>
        <w:t>, sin perturbación (</w:t>
      </w:r>
      <w:proofErr w:type="spellStart"/>
      <w:r w:rsidRPr="00385204">
        <w:rPr>
          <w:i/>
          <w:iCs/>
        </w:rPr>
        <w:t>niriñjana</w:t>
      </w:r>
      <w:proofErr w:type="spellEnd"/>
      <w:r>
        <w:t xml:space="preserve">), eso es lo que se quiere decir. O alternativamente, </w:t>
      </w:r>
      <w:r w:rsidR="001873AA">
        <w:t xml:space="preserve">Será </w:t>
      </w:r>
      <w:r>
        <w:t xml:space="preserve">estable porque </w:t>
      </w:r>
      <w:r w:rsidR="004101B8">
        <w:t xml:space="preserve">lo será </w:t>
      </w:r>
      <w:r>
        <w:t>en su propia capacidad de dominio a través de la maleabilidad y la manejabilidad, y alcanza</w:t>
      </w:r>
      <w:r w:rsidR="004101B8">
        <w:t>rá</w:t>
      </w:r>
      <w:r>
        <w:t xml:space="preserve"> la imperturbabilidad porque </w:t>
      </w:r>
      <w:r w:rsidR="005948A3">
        <w:t xml:space="preserve">estará </w:t>
      </w:r>
      <w:r>
        <w:t xml:space="preserve">reforzado </w:t>
      </w:r>
      <w:r w:rsidR="009E259F">
        <w:t xml:space="preserve">mediante </w:t>
      </w:r>
      <w:r>
        <w:t xml:space="preserve">la fe, </w:t>
      </w:r>
      <w:r w:rsidR="005948A3">
        <w:t>etc</w:t>
      </w:r>
      <w:r>
        <w:t>.</w:t>
      </w:r>
    </w:p>
    <w:p w14:paraId="41970DBD" w14:textId="615D7B21" w:rsidR="00666057" w:rsidRDefault="00666057" w:rsidP="00666057">
      <w:r>
        <w:t xml:space="preserve">17. </w:t>
      </w:r>
      <w:r>
        <w:tab/>
      </w:r>
      <w:r w:rsidR="005948A3">
        <w:t xml:space="preserve">Ya </w:t>
      </w:r>
      <w:r>
        <w:t>que la con</w:t>
      </w:r>
      <w:r w:rsidR="005948A3">
        <w:t>s</w:t>
      </w:r>
      <w:r>
        <w:t xml:space="preserve">ciencia reforzada </w:t>
      </w:r>
      <w:r w:rsidR="005948A3">
        <w:t xml:space="preserve">mediante </w:t>
      </w:r>
      <w:r>
        <w:t>la fe no se perturba</w:t>
      </w:r>
      <w:r w:rsidR="005948A3">
        <w:t>rá</w:t>
      </w:r>
      <w:r>
        <w:t xml:space="preserve"> por la </w:t>
      </w:r>
      <w:r w:rsidR="009E259F">
        <w:t xml:space="preserve">ausencia </w:t>
      </w:r>
      <w:r w:rsidR="005948A3">
        <w:t>de fe</w:t>
      </w:r>
      <w:r>
        <w:t>; cuando est</w:t>
      </w:r>
      <w:r w:rsidR="005948A3">
        <w:t>é</w:t>
      </w:r>
      <w:r>
        <w:t xml:space="preserve"> reforzad</w:t>
      </w:r>
      <w:r w:rsidR="005948A3">
        <w:t>a</w:t>
      </w:r>
      <w:r>
        <w:t xml:space="preserve"> por la energía, no se perturba</w:t>
      </w:r>
      <w:r w:rsidR="005948A3">
        <w:t>rá</w:t>
      </w:r>
      <w:r>
        <w:t xml:space="preserve"> por </w:t>
      </w:r>
      <w:r w:rsidR="000B7EC0">
        <w:t>el letargo</w:t>
      </w:r>
      <w:r>
        <w:t>; cuando est</w:t>
      </w:r>
      <w:r w:rsidR="0099418D">
        <w:t>é</w:t>
      </w:r>
      <w:r>
        <w:t xml:space="preserve"> reforzad</w:t>
      </w:r>
      <w:r w:rsidR="009037CE">
        <w:t>a</w:t>
      </w:r>
      <w:r>
        <w:t xml:space="preserve"> por la atención plena, no se ve</w:t>
      </w:r>
      <w:r w:rsidR="009037CE">
        <w:t>rá</w:t>
      </w:r>
      <w:r>
        <w:t xml:space="preserve"> perturbad</w:t>
      </w:r>
      <w:r w:rsidR="009037CE">
        <w:t>a</w:t>
      </w:r>
      <w:r>
        <w:t xml:space="preserve"> por la negligencia; cuando </w:t>
      </w:r>
      <w:r w:rsidR="005269EF">
        <w:t xml:space="preserve">esté reforzada </w:t>
      </w:r>
      <w:r>
        <w:t xml:space="preserve">por la </w:t>
      </w:r>
    </w:p>
    <w:p w14:paraId="5AF6EA85" w14:textId="25224FCF" w:rsidR="00666057" w:rsidRPr="00666057" w:rsidRDefault="00666057" w:rsidP="00666057">
      <w:pPr>
        <w:pStyle w:val="PiedepginaLegal"/>
        <w:rPr>
          <w:u w:val="single"/>
        </w:rPr>
      </w:pPr>
      <w:r w:rsidRPr="00666057">
        <w:rPr>
          <w:u w:val="single"/>
        </w:rPr>
        <w:t xml:space="preserve">                                                                                                                                                           .</w:t>
      </w:r>
    </w:p>
    <w:p w14:paraId="3DEA5286" w14:textId="67E826C7" w:rsidR="00666057" w:rsidRDefault="00666057" w:rsidP="00C246F5">
      <w:pPr>
        <w:pStyle w:val="PiedepginaLegal"/>
      </w:pPr>
      <w:r>
        <w:t xml:space="preserve">3. </w:t>
      </w:r>
      <w:r>
        <w:tab/>
        <w:t xml:space="preserve">Estos </w:t>
      </w:r>
      <w:r w:rsidR="00C11B75">
        <w:t xml:space="preserve">serán </w:t>
      </w:r>
      <w:r>
        <w:t xml:space="preserve">los cuatro títulos de los </w:t>
      </w:r>
      <w:r w:rsidR="00794B9F">
        <w:t>senderos</w:t>
      </w:r>
      <w:r>
        <w:t xml:space="preserve"> hacia el poder (ver §50).</w:t>
      </w:r>
    </w:p>
    <w:p w14:paraId="20D16D77" w14:textId="18E2552D" w:rsidR="00317D95" w:rsidRDefault="00317D95" w:rsidP="00666057">
      <w:r>
        <w:br w:type="page"/>
      </w:r>
    </w:p>
    <w:p w14:paraId="15740569" w14:textId="77777777" w:rsidR="00C55615" w:rsidRDefault="00C55615" w:rsidP="00317D95"/>
    <w:p w14:paraId="239BFFD5" w14:textId="5E7355BD" w:rsidR="00C55615" w:rsidRDefault="000B7EC0" w:rsidP="00C55615">
      <w:r>
        <w:t>concentración, no será perturbada por la agitación; cuando</w:t>
      </w:r>
      <w:r w:rsidRPr="005269EF">
        <w:t xml:space="preserve"> </w:t>
      </w:r>
      <w:r>
        <w:t>esté reforzada</w:t>
      </w:r>
      <w:r w:rsidRPr="005269EF">
        <w:t xml:space="preserve"> </w:t>
      </w:r>
      <w:r>
        <w:t xml:space="preserve">por la </w:t>
      </w:r>
      <w:r w:rsidR="00A805FB">
        <w:t>sabiduría</w:t>
      </w:r>
      <w:r>
        <w:t xml:space="preserve">, </w:t>
      </w:r>
      <w:r w:rsidR="00C55615">
        <w:t>no se perturba</w:t>
      </w:r>
      <w:r w:rsidR="005269EF">
        <w:t>rá</w:t>
      </w:r>
      <w:r w:rsidR="00C55615">
        <w:t xml:space="preserve"> por la ignorancia; y cuando est</w:t>
      </w:r>
      <w:r w:rsidR="005269EF">
        <w:t>é</w:t>
      </w:r>
      <w:r w:rsidR="00C55615">
        <w:t xml:space="preserve"> iluminad</w:t>
      </w:r>
      <w:r w:rsidR="005269EF">
        <w:t>a</w:t>
      </w:r>
      <w:r w:rsidR="00C55615">
        <w:t xml:space="preserve">, no </w:t>
      </w:r>
      <w:r w:rsidR="005269EF">
        <w:t xml:space="preserve">será </w:t>
      </w:r>
      <w:r w:rsidR="00C55615">
        <w:t>perturbad</w:t>
      </w:r>
      <w:r w:rsidR="00027BE8">
        <w:t>a</w:t>
      </w:r>
      <w:r w:rsidR="00C55615">
        <w:t xml:space="preserve"> por la oscuridad de la</w:t>
      </w:r>
      <w:r w:rsidR="00A16327">
        <w:t>s</w:t>
      </w:r>
      <w:r w:rsidR="00C55615">
        <w:t xml:space="preserve"> </w:t>
      </w:r>
      <w:r w:rsidR="00A16327">
        <w:t>impurezas</w:t>
      </w:r>
      <w:r w:rsidR="00C55615">
        <w:t xml:space="preserve">. Así que cuando </w:t>
      </w:r>
      <w:r w:rsidR="00027BE8">
        <w:t>esté</w:t>
      </w:r>
      <w:r w:rsidR="00C55615">
        <w:t xml:space="preserve"> reforzad</w:t>
      </w:r>
      <w:r w:rsidR="00027BE8">
        <w:t>a</w:t>
      </w:r>
      <w:r w:rsidR="00C55615">
        <w:t xml:space="preserve"> </w:t>
      </w:r>
      <w:r w:rsidR="009E259F">
        <w:t>mediante</w:t>
      </w:r>
      <w:r w:rsidR="00C55615">
        <w:t xml:space="preserve"> estos seis estados, alcanza</w:t>
      </w:r>
      <w:r w:rsidR="00027BE8">
        <w:t>rá</w:t>
      </w:r>
      <w:r w:rsidR="00C55615">
        <w:t xml:space="preserve"> la imperturbabilidad.</w:t>
      </w:r>
    </w:p>
    <w:p w14:paraId="32B24FDE" w14:textId="06A0C7ED" w:rsidR="00C55615" w:rsidRDefault="00C55615" w:rsidP="00C55615">
      <w:r>
        <w:t xml:space="preserve">18. </w:t>
      </w:r>
      <w:r w:rsidR="00C246F5">
        <w:tab/>
      </w:r>
      <w:r>
        <w:t>La con</w:t>
      </w:r>
      <w:r w:rsidR="00027BE8">
        <w:t>s</w:t>
      </w:r>
      <w:r>
        <w:t>ciencia que pose</w:t>
      </w:r>
      <w:r w:rsidR="00027BE8">
        <w:t>a</w:t>
      </w:r>
      <w:r>
        <w:t xml:space="preserve"> </w:t>
      </w:r>
      <w:r w:rsidR="00205E42">
        <w:t xml:space="preserve">así </w:t>
      </w:r>
      <w:r>
        <w:t xml:space="preserve">estos ocho factores </w:t>
      </w:r>
      <w:r w:rsidR="00027BE8">
        <w:t xml:space="preserve">será </w:t>
      </w:r>
      <w:r>
        <w:t xml:space="preserve">susceptible de ser dirigida </w:t>
      </w:r>
      <w:r w:rsidR="00027BE8">
        <w:t>hacia</w:t>
      </w:r>
      <w:r>
        <w:t xml:space="preserve"> la </w:t>
      </w:r>
      <w:r w:rsidR="00027BE8">
        <w:t xml:space="preserve">consumación </w:t>
      </w:r>
      <w:r w:rsidR="00205E42">
        <w:t>mediante el</w:t>
      </w:r>
      <w:r>
        <w:t xml:space="preserve"> conocimiento directo de </w:t>
      </w:r>
      <w:r w:rsidR="00027BE8">
        <w:t xml:space="preserve">los </w:t>
      </w:r>
      <w:r>
        <w:t xml:space="preserve">estados realizables </w:t>
      </w:r>
      <w:r w:rsidR="00205E42">
        <w:t>mediante</w:t>
      </w:r>
      <w:r>
        <w:t xml:space="preserve"> </w:t>
      </w:r>
      <w:r w:rsidR="00027BE8">
        <w:t xml:space="preserve">el </w:t>
      </w:r>
      <w:r>
        <w:t>conocimiento directo.</w:t>
      </w:r>
    </w:p>
    <w:p w14:paraId="7DAEC80B" w14:textId="145E8CE2" w:rsidR="00C55615" w:rsidRDefault="00C55615" w:rsidP="00C55615">
      <w:r>
        <w:t xml:space="preserve">19. </w:t>
      </w:r>
      <w:r w:rsidR="00C246F5">
        <w:tab/>
      </w:r>
      <w:r>
        <w:t xml:space="preserve">Otro método: </w:t>
      </w:r>
      <w:r w:rsidR="00027BE8">
        <w:t>Estará</w:t>
      </w:r>
      <w:r>
        <w:t xml:space="preserve"> </w:t>
      </w:r>
      <w:r w:rsidRPr="00385204">
        <w:rPr>
          <w:i/>
          <w:iCs/>
        </w:rPr>
        <w:t>concentra</w:t>
      </w:r>
      <w:r w:rsidR="00027BE8">
        <w:rPr>
          <w:i/>
          <w:iCs/>
        </w:rPr>
        <w:t>da</w:t>
      </w:r>
      <w:r>
        <w:t xml:space="preserve"> </w:t>
      </w:r>
      <w:r w:rsidR="00205E42">
        <w:t>mediante</w:t>
      </w:r>
      <w:r>
        <w:t xml:space="preserve"> la concentración del cuarto </w:t>
      </w:r>
      <w:proofErr w:type="spellStart"/>
      <w:r w:rsidR="00057BF4" w:rsidRPr="00057BF4">
        <w:rPr>
          <w:i/>
        </w:rPr>
        <w:t>jhāna</w:t>
      </w:r>
      <w:proofErr w:type="spellEnd"/>
      <w:r>
        <w:t xml:space="preserve">. </w:t>
      </w:r>
      <w:r w:rsidR="00027BE8">
        <w:t xml:space="preserve">Estará </w:t>
      </w:r>
      <w:r w:rsidRPr="00385204">
        <w:rPr>
          <w:i/>
          <w:iCs/>
        </w:rPr>
        <w:t>purific</w:t>
      </w:r>
      <w:r w:rsidR="00027BE8">
        <w:rPr>
          <w:i/>
          <w:iCs/>
        </w:rPr>
        <w:t>ada</w:t>
      </w:r>
      <w:r>
        <w:t xml:space="preserve"> </w:t>
      </w:r>
      <w:r w:rsidR="0026686E">
        <w:t>mediante la</w:t>
      </w:r>
      <w:r>
        <w:t xml:space="preserve"> separación de los obstáculos. </w:t>
      </w:r>
      <w:r w:rsidR="00027BE8">
        <w:t xml:space="preserve">Será </w:t>
      </w:r>
      <w:r w:rsidRPr="00385204">
        <w:rPr>
          <w:i/>
          <w:iCs/>
        </w:rPr>
        <w:t>brillante</w:t>
      </w:r>
      <w:r>
        <w:t xml:space="preserve"> debido a la superación </w:t>
      </w:r>
      <w:r w:rsidR="00027BE8">
        <w:t xml:space="preserve">de la aplicación mental </w:t>
      </w:r>
      <w:r>
        <w:t xml:space="preserve">y lo demás. </w:t>
      </w:r>
      <w:r w:rsidRPr="00976B72">
        <w:rPr>
          <w:i/>
          <w:iCs/>
        </w:rPr>
        <w:t xml:space="preserve">No </w:t>
      </w:r>
      <w:r w:rsidR="00027BE8">
        <w:rPr>
          <w:i/>
          <w:iCs/>
        </w:rPr>
        <w:t xml:space="preserve">tendrá impurezas </w:t>
      </w:r>
      <w:r>
        <w:t xml:space="preserve">debido a la ausencia de malos deseos basados ​​en la obtención de </w:t>
      </w:r>
      <w:r w:rsidR="00027BE8">
        <w:t xml:space="preserve">los </w:t>
      </w:r>
      <w:r w:rsidR="00027BE8" w:rsidRPr="00027BE8">
        <w:rPr>
          <w:i/>
          <w:iCs/>
        </w:rPr>
        <w:t>jhāna</w:t>
      </w:r>
      <w:r w:rsidR="00027BE8">
        <w:t>s</w:t>
      </w:r>
      <w:r>
        <w:t>.</w:t>
      </w:r>
      <w:r w:rsidRPr="00976B72">
        <w:rPr>
          <w:vertAlign w:val="superscript"/>
        </w:rPr>
        <w:t>4</w:t>
      </w:r>
      <w:r>
        <w:t xml:space="preserve"> Est</w:t>
      </w:r>
      <w:r w:rsidR="00027BE8">
        <w:t>ar</w:t>
      </w:r>
      <w:r>
        <w:t xml:space="preserve">á </w:t>
      </w:r>
      <w:r w:rsidR="006A2334">
        <w:rPr>
          <w:i/>
          <w:iCs/>
        </w:rPr>
        <w:t>sin contaminaciones</w:t>
      </w:r>
      <w:r>
        <w:t xml:space="preserve"> debido a la desaparición de contaminaciones ment</w:t>
      </w:r>
      <w:r w:rsidR="00027BE8">
        <w:t>ales</w:t>
      </w:r>
      <w:r>
        <w:t xml:space="preserve"> consisten</w:t>
      </w:r>
      <w:r w:rsidR="00027BE8">
        <w:t>tes</w:t>
      </w:r>
      <w:r>
        <w:t xml:space="preserve"> </w:t>
      </w:r>
      <w:r w:rsidR="00027BE8">
        <w:t>de</w:t>
      </w:r>
      <w:r>
        <w:t xml:space="preserve"> la codicia, etc.; y ambos debe</w:t>
      </w:r>
      <w:r w:rsidR="00027BE8">
        <w:t>rá</w:t>
      </w:r>
      <w:r>
        <w:t xml:space="preserve">n entenderse de acuerdo con el </w:t>
      </w:r>
      <w:proofErr w:type="spellStart"/>
      <w:r w:rsidRPr="00976B72">
        <w:rPr>
          <w:i/>
          <w:iCs/>
        </w:rPr>
        <w:t>Anaṅgaṇa</w:t>
      </w:r>
      <w:proofErr w:type="spellEnd"/>
      <w:r w:rsidRPr="00976B72">
        <w:rPr>
          <w:i/>
          <w:iCs/>
        </w:rPr>
        <w:t xml:space="preserve"> Sutta</w:t>
      </w:r>
      <w:r>
        <w:t xml:space="preserve"> (MN 5) y el </w:t>
      </w:r>
      <w:proofErr w:type="spellStart"/>
      <w:r w:rsidRPr="00976B72">
        <w:rPr>
          <w:i/>
          <w:iCs/>
        </w:rPr>
        <w:t>Vattha</w:t>
      </w:r>
      <w:proofErr w:type="spellEnd"/>
      <w:r w:rsidRPr="00976B72">
        <w:rPr>
          <w:i/>
          <w:iCs/>
        </w:rPr>
        <w:t xml:space="preserve"> Sutta </w:t>
      </w:r>
      <w:r>
        <w:t xml:space="preserve">(MN 7). </w:t>
      </w:r>
      <w:r w:rsidRPr="00F6371A">
        <w:rPr>
          <w:i/>
          <w:iCs/>
        </w:rPr>
        <w:t>Se</w:t>
      </w:r>
      <w:r>
        <w:t xml:space="preserve"> </w:t>
      </w:r>
      <w:r w:rsidR="006A2334">
        <w:rPr>
          <w:i/>
          <w:iCs/>
        </w:rPr>
        <w:t>vuelva</w:t>
      </w:r>
      <w:r w:rsidR="00851993">
        <w:rPr>
          <w:i/>
          <w:iCs/>
        </w:rPr>
        <w:t xml:space="preserve"> </w:t>
      </w:r>
      <w:r w:rsidRPr="00976B72">
        <w:rPr>
          <w:i/>
          <w:iCs/>
        </w:rPr>
        <w:t>maleable</w:t>
      </w:r>
      <w:r>
        <w:t xml:space="preserve"> </w:t>
      </w:r>
      <w:r w:rsidR="003D2CAB">
        <w:t>mediante la maestría</w:t>
      </w:r>
      <w:r>
        <w:t xml:space="preserve">. </w:t>
      </w:r>
      <w:r w:rsidR="003D2CAB">
        <w:t xml:space="preserve">Será </w:t>
      </w:r>
      <w:r w:rsidRPr="003D2CAB">
        <w:rPr>
          <w:i/>
          <w:iCs/>
        </w:rPr>
        <w:t>manejable</w:t>
      </w:r>
      <w:r>
        <w:t xml:space="preserve"> al alcanzar el estado de</w:t>
      </w:r>
      <w:r w:rsidR="003D2CAB">
        <w:t>l sendero hacia e</w:t>
      </w:r>
      <w:r>
        <w:t xml:space="preserve">l poder (§50). </w:t>
      </w:r>
      <w:r w:rsidR="003D2CAB">
        <w:rPr>
          <w:i/>
          <w:iCs/>
        </w:rPr>
        <w:t xml:space="preserve">Será </w:t>
      </w:r>
      <w:r w:rsidRPr="00976B72">
        <w:rPr>
          <w:i/>
          <w:iCs/>
        </w:rPr>
        <w:t xml:space="preserve">estable y </w:t>
      </w:r>
      <w:r w:rsidR="00F6371A">
        <w:rPr>
          <w:i/>
          <w:iCs/>
        </w:rPr>
        <w:t>consumada</w:t>
      </w:r>
      <w:r w:rsidR="001327F1">
        <w:rPr>
          <w:i/>
          <w:iCs/>
        </w:rPr>
        <w:t xml:space="preserve"> mediante</w:t>
      </w:r>
      <w:r w:rsidRPr="00976B72">
        <w:rPr>
          <w:i/>
          <w:iCs/>
        </w:rPr>
        <w:t xml:space="preserve"> la imperturbabilidad</w:t>
      </w:r>
      <w:r>
        <w:t xml:space="preserve"> alcanzando el refinamiento del desarrollo </w:t>
      </w:r>
      <w:r w:rsidR="00F238B1">
        <w:t>total</w:t>
      </w:r>
      <w:r>
        <w:t xml:space="preserve">; el significado es que según </w:t>
      </w:r>
      <w:r w:rsidR="00F238B1">
        <w:t xml:space="preserve">lo que se </w:t>
      </w:r>
      <w:r>
        <w:t>ha</w:t>
      </w:r>
      <w:r w:rsidR="00F238B1">
        <w:t xml:space="preserve">ya </w:t>
      </w:r>
      <w:r>
        <w:t xml:space="preserve">alcanzado </w:t>
      </w:r>
      <w:r w:rsidR="00F238B1">
        <w:t>de</w:t>
      </w:r>
      <w:r>
        <w:t xml:space="preserve"> imperturbabilidad, </w:t>
      </w:r>
      <w:r w:rsidR="00F238B1">
        <w:t>así será</w:t>
      </w:r>
      <w:r>
        <w:t xml:space="preserve"> </w:t>
      </w:r>
      <w:r w:rsidR="00F238B1">
        <w:t xml:space="preserve">de </w:t>
      </w:r>
      <w:r w:rsidR="004F7869">
        <w:t>firme</w:t>
      </w:r>
      <w:r>
        <w:t>. Y la con</w:t>
      </w:r>
      <w:r w:rsidR="00F238B1">
        <w:t>s</w:t>
      </w:r>
      <w:r>
        <w:t>ciencia que pose</w:t>
      </w:r>
      <w:r w:rsidR="00F238B1">
        <w:t>a</w:t>
      </w:r>
      <w:r>
        <w:t xml:space="preserve"> </w:t>
      </w:r>
      <w:r w:rsidR="00F238B1">
        <w:t xml:space="preserve">así </w:t>
      </w:r>
      <w:r>
        <w:t xml:space="preserve">estos ocho factores [378] </w:t>
      </w:r>
      <w:r w:rsidR="00F238B1">
        <w:t xml:space="preserve">será </w:t>
      </w:r>
      <w:r>
        <w:t xml:space="preserve">susceptible de ser dirigida </w:t>
      </w:r>
      <w:r w:rsidR="00F238B1">
        <w:t>hacia</w:t>
      </w:r>
      <w:r>
        <w:t xml:space="preserve"> la </w:t>
      </w:r>
      <w:r w:rsidR="004F7869">
        <w:t>consumación</w:t>
      </w:r>
      <w:r>
        <w:t xml:space="preserve"> </w:t>
      </w:r>
      <w:r w:rsidR="00F238B1">
        <w:t xml:space="preserve">mediante el </w:t>
      </w:r>
      <w:r>
        <w:t xml:space="preserve">conocimiento directo de estados realizables </w:t>
      </w:r>
      <w:r w:rsidR="004F7869">
        <w:t xml:space="preserve">mediante </w:t>
      </w:r>
      <w:r w:rsidR="00F238B1">
        <w:t xml:space="preserve">el </w:t>
      </w:r>
      <w:r>
        <w:t xml:space="preserve">conocimiento directo, ya que </w:t>
      </w:r>
      <w:r w:rsidR="00F238B1">
        <w:t xml:space="preserve">será </w:t>
      </w:r>
      <w:r>
        <w:t>la base, la causa próxima de ellos.</w:t>
      </w:r>
    </w:p>
    <w:p w14:paraId="353D4A61" w14:textId="18DDB840" w:rsidR="00C55615" w:rsidRDefault="00C55615" w:rsidP="00C55615">
      <w:r>
        <w:t xml:space="preserve">20. </w:t>
      </w:r>
      <w:r w:rsidR="00C246F5">
        <w:tab/>
      </w:r>
      <w:r w:rsidR="006B0B72" w:rsidRPr="006B0B72">
        <w:rPr>
          <w:i/>
          <w:iCs/>
        </w:rPr>
        <w:t>Él</w:t>
      </w:r>
      <w:r w:rsidR="006B0B72">
        <w:t xml:space="preserve"> </w:t>
      </w:r>
      <w:r w:rsidR="006B0B72" w:rsidRPr="006B0B72">
        <w:rPr>
          <w:i/>
          <w:iCs/>
        </w:rPr>
        <w:t>d</w:t>
      </w:r>
      <w:r w:rsidRPr="006B0B72">
        <w:rPr>
          <w:i/>
          <w:iCs/>
        </w:rPr>
        <w:t>irig</w:t>
      </w:r>
      <w:r w:rsidR="00F238B1" w:rsidRPr="006B0B72">
        <w:rPr>
          <w:i/>
          <w:iCs/>
        </w:rPr>
        <w:t>irá</w:t>
      </w:r>
      <w:r w:rsidRPr="00976B72">
        <w:rPr>
          <w:i/>
          <w:iCs/>
        </w:rPr>
        <w:t xml:space="preserve">, </w:t>
      </w:r>
      <w:r w:rsidR="006B0B72">
        <w:rPr>
          <w:i/>
          <w:iCs/>
        </w:rPr>
        <w:t xml:space="preserve">él </w:t>
      </w:r>
      <w:r w:rsidRPr="00976B72">
        <w:rPr>
          <w:i/>
          <w:iCs/>
        </w:rPr>
        <w:t>inclina</w:t>
      </w:r>
      <w:r w:rsidR="00F238B1">
        <w:rPr>
          <w:i/>
          <w:iCs/>
        </w:rPr>
        <w:t>rá</w:t>
      </w:r>
      <w:r w:rsidRPr="00976B72">
        <w:rPr>
          <w:i/>
          <w:iCs/>
        </w:rPr>
        <w:t xml:space="preserve"> su mente hacia los tipos de poderes </w:t>
      </w:r>
      <w:r w:rsidR="009A1FC5" w:rsidRPr="009A1FC5">
        <w:rPr>
          <w:i/>
          <w:iCs/>
        </w:rPr>
        <w:t>supernormal</w:t>
      </w:r>
      <w:r w:rsidR="009A1FC5">
        <w:rPr>
          <w:i/>
          <w:iCs/>
        </w:rPr>
        <w:t>es</w:t>
      </w:r>
      <w:r w:rsidR="009A1FC5" w:rsidRPr="009A1FC5">
        <w:rPr>
          <w:i/>
          <w:iCs/>
        </w:rPr>
        <w:t xml:space="preserve"> </w:t>
      </w:r>
      <w:r>
        <w:t>(</w:t>
      </w:r>
      <w:proofErr w:type="spellStart"/>
      <w:r w:rsidRPr="00976B72">
        <w:rPr>
          <w:i/>
          <w:iCs/>
        </w:rPr>
        <w:t>iddhividha</w:t>
      </w:r>
      <w:proofErr w:type="spellEnd"/>
      <w:r>
        <w:t>—</w:t>
      </w:r>
      <w:r w:rsidR="00B2780B">
        <w:t xml:space="preserve"> </w:t>
      </w:r>
      <w:r>
        <w:t>lit</w:t>
      </w:r>
      <w:r w:rsidR="00F238B1">
        <w:t>eralmente,</w:t>
      </w:r>
      <w:r>
        <w:t xml:space="preserve"> “tipos de éxito”): aquí </w:t>
      </w:r>
      <w:r w:rsidR="005E214C">
        <w:t xml:space="preserve">lo que se quiere decir por </w:t>
      </w:r>
      <w:r>
        <w:t>“éxito” (</w:t>
      </w:r>
      <w:proofErr w:type="spellStart"/>
      <w:r w:rsidRPr="00976B72">
        <w:rPr>
          <w:i/>
          <w:iCs/>
        </w:rPr>
        <w:t>iddhi</w:t>
      </w:r>
      <w:proofErr w:type="spellEnd"/>
      <w:r>
        <w:t xml:space="preserve">) </w:t>
      </w:r>
      <w:r w:rsidR="00806654">
        <w:t>corresponderá a</w:t>
      </w:r>
      <w:r>
        <w:t xml:space="preserve">l éxito de </w:t>
      </w:r>
      <w:r w:rsidR="00B2780B">
        <w:t>ser exitoso</w:t>
      </w:r>
      <w:r>
        <w:t xml:space="preserve"> (</w:t>
      </w:r>
      <w:proofErr w:type="spellStart"/>
      <w:r w:rsidRPr="00976B72">
        <w:rPr>
          <w:i/>
          <w:iCs/>
        </w:rPr>
        <w:t>ijjhana</w:t>
      </w:r>
      <w:proofErr w:type="spellEnd"/>
      <w:r>
        <w:t xml:space="preserve">); en el sentido de producción, en el sentido de obtención. Pues </w:t>
      </w:r>
      <w:r w:rsidR="00B2780B">
        <w:t xml:space="preserve">a </w:t>
      </w:r>
      <w:r>
        <w:t>lo que se produ</w:t>
      </w:r>
      <w:r w:rsidR="00B2780B">
        <w:t>zca</w:t>
      </w:r>
      <w:r>
        <w:t xml:space="preserve"> y se obten</w:t>
      </w:r>
      <w:r w:rsidR="00B2780B">
        <w:t>ga</w:t>
      </w:r>
      <w:r>
        <w:t xml:space="preserve"> se </w:t>
      </w:r>
      <w:r w:rsidR="00B2780B">
        <w:t xml:space="preserve">le </w:t>
      </w:r>
      <w:r>
        <w:t>llama</w:t>
      </w:r>
      <w:r w:rsidR="00B2780B">
        <w:t>rá</w:t>
      </w:r>
      <w:r>
        <w:t xml:space="preserve"> “éxito”, según </w:t>
      </w:r>
      <w:r w:rsidR="00B2780B">
        <w:t>l</w:t>
      </w:r>
      <w:r w:rsidR="00D9358A">
        <w:t>o</w:t>
      </w:r>
      <w:r>
        <w:t xml:space="preserve"> dicho: “Cuando un mortal </w:t>
      </w:r>
      <w:r w:rsidR="00990569">
        <w:t xml:space="preserve">lo </w:t>
      </w:r>
      <w:r>
        <w:t>dese</w:t>
      </w:r>
      <w:r w:rsidR="00990569">
        <w:t>e</w:t>
      </w:r>
      <w:r>
        <w:t>, si su deseo se cumpl</w:t>
      </w:r>
      <w:r w:rsidR="002E0E9E">
        <w:t>iese</w:t>
      </w:r>
      <w:r>
        <w:t>” (</w:t>
      </w:r>
      <w:proofErr w:type="spellStart"/>
      <w:r w:rsidRPr="00976B72">
        <w:rPr>
          <w:i/>
          <w:iCs/>
        </w:rPr>
        <w:t>samijjhati</w:t>
      </w:r>
      <w:proofErr w:type="spellEnd"/>
      <w:r>
        <w:t>) (Sn 766), y así mismo: “La renuncia</w:t>
      </w:r>
      <w:r w:rsidR="00B2780B">
        <w:t>ción</w:t>
      </w:r>
      <w:r>
        <w:t xml:space="preserve"> </w:t>
      </w:r>
      <w:r w:rsidR="00B2780B">
        <w:t xml:space="preserve">tendrá </w:t>
      </w:r>
      <w:r>
        <w:t>éxito (</w:t>
      </w:r>
      <w:proofErr w:type="spellStart"/>
      <w:r w:rsidRPr="00976B72">
        <w:rPr>
          <w:i/>
          <w:iCs/>
        </w:rPr>
        <w:t>ijjhati</w:t>
      </w:r>
      <w:proofErr w:type="spellEnd"/>
      <w:r>
        <w:t xml:space="preserve">), así </w:t>
      </w:r>
      <w:r w:rsidR="00B2780B">
        <w:t xml:space="preserve">será </w:t>
      </w:r>
      <w:r>
        <w:t>un éxito (</w:t>
      </w:r>
      <w:proofErr w:type="spellStart"/>
      <w:r w:rsidRPr="00976B72">
        <w:rPr>
          <w:i/>
          <w:iCs/>
        </w:rPr>
        <w:t>iddhi</w:t>
      </w:r>
      <w:proofErr w:type="spellEnd"/>
      <w:r>
        <w:t>)... Se metamorfosea</w:t>
      </w:r>
      <w:r w:rsidR="0089234F">
        <w:t>rá</w:t>
      </w:r>
      <w:r>
        <w:t xml:space="preserve"> (</w:t>
      </w:r>
      <w:proofErr w:type="spellStart"/>
      <w:r w:rsidRPr="00976B72">
        <w:rPr>
          <w:i/>
          <w:iCs/>
        </w:rPr>
        <w:t>paṭiharati</w:t>
      </w:r>
      <w:proofErr w:type="spellEnd"/>
      <w:r>
        <w:t xml:space="preserve">) [lujuria], </w:t>
      </w:r>
      <w:r w:rsidR="00AF395E">
        <w:t xml:space="preserve">es así cómo </w:t>
      </w:r>
      <w:r w:rsidR="009F43AB">
        <w:t xml:space="preserve">será </w:t>
      </w:r>
      <w:r>
        <w:t>una metamorfosis (</w:t>
      </w:r>
      <w:proofErr w:type="spellStart"/>
      <w:r w:rsidRPr="00976B72">
        <w:rPr>
          <w:i/>
          <w:iCs/>
        </w:rPr>
        <w:t>pāṭihāriya</w:t>
      </w:r>
      <w:proofErr w:type="spellEnd"/>
      <w:r>
        <w:t>)</w:t>
      </w:r>
      <w:r w:rsidRPr="00C246F5">
        <w:rPr>
          <w:vertAlign w:val="superscript"/>
        </w:rPr>
        <w:t>5</w:t>
      </w:r>
      <w:r>
        <w:t xml:space="preserve">... El </w:t>
      </w:r>
      <w:r w:rsidR="00AF395E">
        <w:t xml:space="preserve">sendero </w:t>
      </w:r>
      <w:r>
        <w:t>de</w:t>
      </w:r>
      <w:r w:rsidR="0089234F">
        <w:t xml:space="preserve"> un</w:t>
      </w:r>
      <w:r>
        <w:t xml:space="preserve"> </w:t>
      </w:r>
      <w:r w:rsidR="00057BF4" w:rsidRPr="00057BF4">
        <w:rPr>
          <w:i/>
        </w:rPr>
        <w:t>Arahant</w:t>
      </w:r>
      <w:r>
        <w:t xml:space="preserve"> </w:t>
      </w:r>
      <w:r w:rsidR="00AF395E">
        <w:t>tendrá</w:t>
      </w:r>
      <w:r>
        <w:t xml:space="preserve"> éxito, por lo que </w:t>
      </w:r>
      <w:r w:rsidR="009F43AB">
        <w:t xml:space="preserve">será </w:t>
      </w:r>
      <w:r>
        <w:t>un éxito... Se metamorfosea</w:t>
      </w:r>
      <w:r w:rsidR="0089234F">
        <w:t>rá</w:t>
      </w:r>
      <w:r>
        <w:t xml:space="preserve"> todas las corrupciones, </w:t>
      </w:r>
      <w:r w:rsidR="00AF395E">
        <w:t xml:space="preserve">y es así cómo </w:t>
      </w:r>
      <w:r w:rsidR="009F43AB">
        <w:t xml:space="preserve">será </w:t>
      </w:r>
      <w:r>
        <w:t>una metamorfosis” (</w:t>
      </w:r>
      <w:proofErr w:type="spellStart"/>
      <w:r w:rsidRPr="00187B78">
        <w:rPr>
          <w:i/>
          <w:iCs/>
        </w:rPr>
        <w:t>Pa</w:t>
      </w:r>
      <w:r w:rsidR="00187B78" w:rsidRPr="00187B78">
        <w:rPr>
          <w:i/>
          <w:iCs/>
        </w:rPr>
        <w:t>ṭ</w:t>
      </w:r>
      <w:r w:rsidRPr="00187B78">
        <w:rPr>
          <w:i/>
          <w:iCs/>
        </w:rPr>
        <w:t>is</w:t>
      </w:r>
      <w:proofErr w:type="spellEnd"/>
      <w:r>
        <w:t xml:space="preserve"> II 229).</w:t>
      </w:r>
    </w:p>
    <w:p w14:paraId="0B5B32CC" w14:textId="696C40D3" w:rsidR="00C55615" w:rsidRDefault="00C55615" w:rsidP="00C55615">
      <w:r>
        <w:t xml:space="preserve">21. </w:t>
      </w:r>
      <w:r w:rsidR="00C246F5">
        <w:tab/>
      </w:r>
      <w:r>
        <w:t xml:space="preserve">Otro método: el éxito </w:t>
      </w:r>
      <w:r w:rsidR="00187B78">
        <w:t xml:space="preserve">tendrá </w:t>
      </w:r>
      <w:r>
        <w:t xml:space="preserve">el sentido </w:t>
      </w:r>
      <w:r w:rsidR="00AF395E">
        <w:t>de ser exitoso</w:t>
      </w:r>
      <w:r>
        <w:t xml:space="preserve">. </w:t>
      </w:r>
      <w:r w:rsidR="001146E7">
        <w:t>É</w:t>
      </w:r>
      <w:r>
        <w:t xml:space="preserve">se </w:t>
      </w:r>
      <w:r w:rsidR="00187B78">
        <w:t xml:space="preserve">será </w:t>
      </w:r>
      <w:r>
        <w:t xml:space="preserve">un término para la eficacia de los medios; pues la eficacia de los medios </w:t>
      </w:r>
      <w:r w:rsidR="001146E7">
        <w:t xml:space="preserve">tendrá </w:t>
      </w:r>
      <w:r>
        <w:t xml:space="preserve">éxito </w:t>
      </w:r>
      <w:r w:rsidR="001146E7">
        <w:t xml:space="preserve">mediante </w:t>
      </w:r>
      <w:r>
        <w:t xml:space="preserve">la producción del resultado pretendido, según </w:t>
      </w:r>
      <w:r w:rsidR="001146E7">
        <w:t xml:space="preserve">lo </w:t>
      </w:r>
      <w:r>
        <w:t xml:space="preserve">dicho: “Este </w:t>
      </w:r>
      <w:r w:rsidR="00F06B02">
        <w:t xml:space="preserve">laico </w:t>
      </w:r>
      <w:proofErr w:type="spellStart"/>
      <w:r>
        <w:t>Citta</w:t>
      </w:r>
      <w:proofErr w:type="spellEnd"/>
      <w:r>
        <w:t xml:space="preserve"> es virtuoso y magnánimo. Si aspira</w:t>
      </w:r>
      <w:r w:rsidR="00F06B02">
        <w:t>se</w:t>
      </w:r>
      <w:r>
        <w:t>, '</w:t>
      </w:r>
      <w:r w:rsidR="00F06B02">
        <w:t>Qué</w:t>
      </w:r>
      <w:r>
        <w:t xml:space="preserve"> en el futuro </w:t>
      </w:r>
      <w:r w:rsidR="00F06B02">
        <w:t xml:space="preserve">pueda </w:t>
      </w:r>
      <w:r>
        <w:t xml:space="preserve">convertirme en un Monarca </w:t>
      </w:r>
      <w:r w:rsidR="00F06B02">
        <w:t xml:space="preserve">Universal </w:t>
      </w:r>
      <w:r>
        <w:t>que ha</w:t>
      </w:r>
      <w:r w:rsidR="00F06B02">
        <w:t>ga</w:t>
      </w:r>
      <w:r>
        <w:t xml:space="preserve"> girar la Rueda', siendo virtuoso, tendrá éxito en su aspiración, porque </w:t>
      </w:r>
      <w:r w:rsidR="002A6FFA">
        <w:t xml:space="preserve">se ha </w:t>
      </w:r>
      <w:r>
        <w:t>purificad</w:t>
      </w:r>
      <w:r w:rsidR="00F06B02">
        <w:t>o</w:t>
      </w:r>
      <w:r>
        <w:t>” (S IV 303).</w:t>
      </w:r>
    </w:p>
    <w:p w14:paraId="44B8817E" w14:textId="00143AF2" w:rsidR="00C55615" w:rsidRDefault="00C55615" w:rsidP="00C55615">
      <w:r>
        <w:t xml:space="preserve">22. </w:t>
      </w:r>
      <w:r w:rsidR="00F06B02">
        <w:tab/>
      </w:r>
      <w:r>
        <w:t xml:space="preserve">Otro método: los seres triunfan </w:t>
      </w:r>
      <w:r w:rsidR="002E0E9E">
        <w:t>a través de</w:t>
      </w:r>
      <w:r>
        <w:t xml:space="preserve"> sus medios, así </w:t>
      </w:r>
      <w:r w:rsidR="00F06B02">
        <w:t>será su</w:t>
      </w:r>
      <w:r>
        <w:t xml:space="preserve"> éxito. </w:t>
      </w:r>
      <w:r w:rsidR="00F06B02">
        <w:t>Lo que se quiere decir es que ellos tendrán</w:t>
      </w:r>
      <w:r>
        <w:t xml:space="preserve"> éxito </w:t>
      </w:r>
      <w:r w:rsidR="00F06B02">
        <w:t xml:space="preserve">y </w:t>
      </w:r>
      <w:r>
        <w:t xml:space="preserve">por lo tanto </w:t>
      </w:r>
      <w:r w:rsidR="00F06B02">
        <w:t>serán</w:t>
      </w:r>
      <w:r>
        <w:t xml:space="preserve"> </w:t>
      </w:r>
      <w:r w:rsidR="00F06B02">
        <w:t>e</w:t>
      </w:r>
      <w:r>
        <w:t>xito</w:t>
      </w:r>
      <w:r w:rsidR="00F06B02">
        <w:t>sos</w:t>
      </w:r>
      <w:r>
        <w:t>; se enriquece</w:t>
      </w:r>
      <w:r w:rsidR="00F06B02">
        <w:t>rá</w:t>
      </w:r>
      <w:r>
        <w:t>n, se</w:t>
      </w:r>
      <w:r w:rsidR="00952859">
        <w:t>rán</w:t>
      </w:r>
      <w:r>
        <w:t xml:space="preserve"> prom</w:t>
      </w:r>
      <w:r w:rsidR="00F06B02">
        <w:t>o</w:t>
      </w:r>
      <w:r>
        <w:t>v</w:t>
      </w:r>
      <w:r w:rsidR="00952859">
        <w:t>idos</w:t>
      </w:r>
      <w:r>
        <w:t>.</w:t>
      </w:r>
    </w:p>
    <w:p w14:paraId="754CA041" w14:textId="05D5884D" w:rsidR="00C55615" w:rsidRPr="00C55615" w:rsidRDefault="00C55615" w:rsidP="00C55615">
      <w:pPr>
        <w:pStyle w:val="PiedepginaLegal"/>
        <w:rPr>
          <w:u w:val="single"/>
        </w:rPr>
      </w:pPr>
      <w:r w:rsidRPr="00C55615">
        <w:rPr>
          <w:u w:val="single"/>
        </w:rPr>
        <w:t xml:space="preserve">                                                                                                                                                        .</w:t>
      </w:r>
    </w:p>
    <w:p w14:paraId="17ACC385" w14:textId="7C8C740F" w:rsidR="00C55615" w:rsidRDefault="00C55615" w:rsidP="00C55615">
      <w:pPr>
        <w:pStyle w:val="PiedepginaLegal"/>
      </w:pPr>
      <w:r>
        <w:t xml:space="preserve">4. </w:t>
      </w:r>
      <w:r>
        <w:tab/>
      </w:r>
      <w:r w:rsidR="00012AA1">
        <w:t xml:space="preserve">Es </w:t>
      </w:r>
      <w:r>
        <w:t>decir</w:t>
      </w:r>
      <w:r w:rsidR="00012AA1">
        <w:t>,</w:t>
      </w:r>
      <w:r>
        <w:t xml:space="preserve"> uno </w:t>
      </w:r>
      <w:r w:rsidR="00E026AC">
        <w:t xml:space="preserve">lo </w:t>
      </w:r>
      <w:r w:rsidR="0019407D">
        <w:t>querrá</w:t>
      </w:r>
      <w:r>
        <w:t xml:space="preserve"> </w:t>
      </w:r>
      <w:r w:rsidR="00E026AC">
        <w:t xml:space="preserve">para </w:t>
      </w:r>
      <w:r>
        <w:t xml:space="preserve">que se sepa que </w:t>
      </w:r>
      <w:r w:rsidR="00E026AC">
        <w:t xml:space="preserve">él </w:t>
      </w:r>
      <w:r w:rsidR="0019407D">
        <w:t xml:space="preserve">podrá </w:t>
      </w:r>
      <w:r>
        <w:t xml:space="preserve">practicar </w:t>
      </w:r>
      <w:r w:rsidR="0019407D">
        <w:t xml:space="preserve">los </w:t>
      </w:r>
      <w:proofErr w:type="spellStart"/>
      <w:r w:rsidR="00057BF4" w:rsidRPr="00057BF4">
        <w:rPr>
          <w:i/>
        </w:rPr>
        <w:t>jhāna</w:t>
      </w:r>
      <w:r w:rsidR="0019407D">
        <w:rPr>
          <w:i/>
        </w:rPr>
        <w:t>s</w:t>
      </w:r>
      <w:proofErr w:type="spellEnd"/>
      <w:r>
        <w:t>.</w:t>
      </w:r>
    </w:p>
    <w:p w14:paraId="465D889E" w14:textId="2DD004DF" w:rsidR="007E343E" w:rsidRDefault="00C55615" w:rsidP="00C55615">
      <w:pPr>
        <w:pStyle w:val="PiedepginaLegal"/>
      </w:pPr>
      <w:r>
        <w:t xml:space="preserve">5. </w:t>
      </w:r>
      <w:r>
        <w:tab/>
        <w:t>“Contra</w:t>
      </w:r>
      <w:r w:rsidR="00AB559A">
        <w:t>golpear</w:t>
      </w:r>
      <w:r>
        <w:t xml:space="preserve"> (</w:t>
      </w:r>
      <w:proofErr w:type="spellStart"/>
      <w:r w:rsidRPr="00976B72">
        <w:rPr>
          <w:i/>
          <w:iCs/>
        </w:rPr>
        <w:t>paṭiharati</w:t>
      </w:r>
      <w:proofErr w:type="spellEnd"/>
      <w:r>
        <w:t xml:space="preserve">), </w:t>
      </w:r>
      <w:r w:rsidR="00AB559A">
        <w:t xml:space="preserve">es así </w:t>
      </w:r>
      <w:r w:rsidR="000D6985">
        <w:t>cómo</w:t>
      </w:r>
      <w:r w:rsidR="00AB559A">
        <w:t xml:space="preserve"> </w:t>
      </w:r>
      <w:r w:rsidR="000D6985">
        <w:t xml:space="preserve">será </w:t>
      </w:r>
      <w:r>
        <w:t>un contragolpe (</w:t>
      </w:r>
      <w:proofErr w:type="spellStart"/>
      <w:r w:rsidRPr="00976B72">
        <w:rPr>
          <w:i/>
          <w:iCs/>
        </w:rPr>
        <w:t>pāṭihāriya</w:t>
      </w:r>
      <w:proofErr w:type="spellEnd"/>
      <w:r>
        <w:t>—metamorfosis = milagro). Lo que</w:t>
      </w:r>
      <w:r w:rsidR="00FD24EE">
        <w:t xml:space="preserve"> impacte</w:t>
      </w:r>
      <w:r>
        <w:t xml:space="preserve"> (</w:t>
      </w:r>
      <w:proofErr w:type="spellStart"/>
      <w:r w:rsidRPr="00976B72">
        <w:rPr>
          <w:i/>
          <w:iCs/>
        </w:rPr>
        <w:t>harati</w:t>
      </w:r>
      <w:proofErr w:type="spellEnd"/>
      <w:r>
        <w:t>), elimin</w:t>
      </w:r>
      <w:r w:rsidR="00FD24EE">
        <w:t>e</w:t>
      </w:r>
      <w:r>
        <w:t xml:space="preserve">, lo que </w:t>
      </w:r>
      <w:r w:rsidR="00FD24EE">
        <w:t>sea</w:t>
      </w:r>
      <w:r>
        <w:t xml:space="preserve"> contrario a él (</w:t>
      </w:r>
      <w:proofErr w:type="spellStart"/>
      <w:r w:rsidRPr="00976B72">
        <w:rPr>
          <w:i/>
          <w:iCs/>
        </w:rPr>
        <w:t>paṭipakkha</w:t>
      </w:r>
      <w:proofErr w:type="spellEnd"/>
      <w:r>
        <w:t>) se llama</w:t>
      </w:r>
      <w:r w:rsidR="00FD24EE">
        <w:t>rá</w:t>
      </w:r>
      <w:r>
        <w:t>, por lo tanto, contragolpe</w:t>
      </w:r>
      <w:r w:rsidR="00727BFE">
        <w:t>ar</w:t>
      </w:r>
      <w:r>
        <w:t xml:space="preserve"> (</w:t>
      </w:r>
      <w:proofErr w:type="spellStart"/>
      <w:r w:rsidRPr="00976B72">
        <w:rPr>
          <w:i/>
          <w:iCs/>
        </w:rPr>
        <w:t>paṭihāriya</w:t>
      </w:r>
      <w:proofErr w:type="spellEnd"/>
      <w:r>
        <w:t xml:space="preserve">), ya que lo que </w:t>
      </w:r>
      <w:r w:rsidR="00FD24EE">
        <w:t xml:space="preserve">sea </w:t>
      </w:r>
      <w:r>
        <w:t>contragolpe</w:t>
      </w:r>
      <w:r w:rsidR="00727BFE">
        <w:t>ar</w:t>
      </w:r>
      <w:r>
        <w:t xml:space="preserve"> </w:t>
      </w:r>
      <w:r w:rsidR="00FD24EE">
        <w:t xml:space="preserve">impactará sobre </w:t>
      </w:r>
      <w:r>
        <w:t xml:space="preserve">cualquier cosa </w:t>
      </w:r>
      <w:r w:rsidR="001C2A80">
        <w:t xml:space="preserve">contra </w:t>
      </w:r>
      <w:r>
        <w:t>(</w:t>
      </w:r>
      <w:proofErr w:type="spellStart"/>
      <w:r w:rsidRPr="00976B72">
        <w:rPr>
          <w:i/>
          <w:iCs/>
        </w:rPr>
        <w:t>paṭipakkha</w:t>
      </w:r>
      <w:proofErr w:type="spellEnd"/>
      <w:r>
        <w:t xml:space="preserve">) sí mismo. </w:t>
      </w:r>
      <w:proofErr w:type="spellStart"/>
      <w:r w:rsidRPr="00976B72">
        <w:rPr>
          <w:i/>
          <w:iCs/>
        </w:rPr>
        <w:t>Paṭihāriya</w:t>
      </w:r>
      <w:proofErr w:type="spellEnd"/>
      <w:r>
        <w:t xml:space="preserve"> (contragolpe</w:t>
      </w:r>
      <w:r w:rsidR="001C2A80">
        <w:t>ar</w:t>
      </w:r>
      <w:r>
        <w:t xml:space="preserve">) </w:t>
      </w:r>
      <w:r w:rsidR="00000B5A">
        <w:t xml:space="preserve">será </w:t>
      </w:r>
      <w:r>
        <w:t xml:space="preserve">lo mismo que </w:t>
      </w:r>
      <w:proofErr w:type="spellStart"/>
      <w:r w:rsidRPr="00976B72">
        <w:rPr>
          <w:i/>
          <w:iCs/>
        </w:rPr>
        <w:t>pāṭihāriya</w:t>
      </w:r>
      <w:proofErr w:type="spellEnd"/>
      <w:r>
        <w:t xml:space="preserve"> (contragolpe = metamorfosis = milagro)” (</w:t>
      </w:r>
      <w:proofErr w:type="spellStart"/>
      <w:r>
        <w:t>Vism-mhṭ</w:t>
      </w:r>
      <w:proofErr w:type="spellEnd"/>
      <w:r>
        <w:t xml:space="preserve"> 379).</w:t>
      </w:r>
    </w:p>
    <w:p w14:paraId="439A655C" w14:textId="77777777" w:rsidR="007E343E" w:rsidRDefault="007E343E">
      <w:pPr>
        <w:tabs>
          <w:tab w:val="clear" w:pos="425"/>
        </w:tabs>
        <w:spacing w:after="160"/>
      </w:pPr>
      <w:r>
        <w:br w:type="page"/>
      </w:r>
    </w:p>
    <w:p w14:paraId="364FB9D6" w14:textId="4B23D11C" w:rsidR="007E343E" w:rsidRDefault="007E343E" w:rsidP="00952859">
      <w:pPr>
        <w:pStyle w:val="NormalConSangria"/>
      </w:pPr>
      <w:r>
        <w:lastRenderedPageBreak/>
        <w:t xml:space="preserve">Ese éxito (poder) </w:t>
      </w:r>
      <w:r w:rsidR="002E0E9E">
        <w:t xml:space="preserve">podrá </w:t>
      </w:r>
      <w:r w:rsidR="00A87D2B">
        <w:t>ser</w:t>
      </w:r>
      <w:r>
        <w:t xml:space="preserve"> de diez tipos, según se dice, “Tipos de éxito: </w:t>
      </w:r>
      <w:r w:rsidR="00EC1B57">
        <w:t xml:space="preserve">existen </w:t>
      </w:r>
      <w:r>
        <w:t>diez tipos de éxito”, después de lo cual se dice además, “¿</w:t>
      </w:r>
      <w:r w:rsidR="00A87D2B">
        <w:t>Cuáles</w:t>
      </w:r>
      <w:r>
        <w:t xml:space="preserve"> diez tipos de éxito? Éxito </w:t>
      </w:r>
      <w:r w:rsidR="00622C94">
        <w:t>mediante</w:t>
      </w:r>
      <w:r>
        <w:t xml:space="preserve"> determinación, éxito </w:t>
      </w:r>
      <w:r w:rsidR="00EC1B57">
        <w:t xml:space="preserve">mediante </w:t>
      </w:r>
      <w:r w:rsidR="005474D7">
        <w:t>la</w:t>
      </w:r>
      <w:r>
        <w:t xml:space="preserve"> transformación, éxito </w:t>
      </w:r>
      <w:r w:rsidR="00FE770A">
        <w:t>a través de</w:t>
      </w:r>
      <w:r>
        <w:t xml:space="preserve"> </w:t>
      </w:r>
      <w:r w:rsidR="00EC1B57">
        <w:t xml:space="preserve">un </w:t>
      </w:r>
      <w:r>
        <w:t xml:space="preserve">cuerpo </w:t>
      </w:r>
      <w:r w:rsidR="00FE770A">
        <w:t xml:space="preserve">producido </w:t>
      </w:r>
      <w:r>
        <w:t xml:space="preserve">por la mente, éxito </w:t>
      </w:r>
      <w:r w:rsidR="00633193">
        <w:t xml:space="preserve">mediante </w:t>
      </w:r>
      <w:r w:rsidR="00EC1B57">
        <w:t xml:space="preserve">la </w:t>
      </w:r>
      <w:r>
        <w:t xml:space="preserve">intervención del conocimiento, éxito </w:t>
      </w:r>
      <w:r w:rsidR="00633193">
        <w:t xml:space="preserve">mediante </w:t>
      </w:r>
      <w:r w:rsidR="00EC1B57">
        <w:t xml:space="preserve">la </w:t>
      </w:r>
      <w:r>
        <w:t xml:space="preserve">intervención de la concentración, </w:t>
      </w:r>
      <w:r w:rsidR="00EC1B57">
        <w:t xml:space="preserve">el </w:t>
      </w:r>
      <w:r>
        <w:t xml:space="preserve">éxito de los Nobles, éxito </w:t>
      </w:r>
      <w:r w:rsidR="00EC1B57">
        <w:t>surgido</w:t>
      </w:r>
      <w:r>
        <w:t xml:space="preserve"> del resultado </w:t>
      </w:r>
      <w:proofErr w:type="spellStart"/>
      <w:r w:rsidR="00057BF4" w:rsidRPr="00057BF4">
        <w:rPr>
          <w:i/>
          <w:iCs/>
        </w:rPr>
        <w:t>kamm</w:t>
      </w:r>
      <w:r w:rsidR="00951789">
        <w:rPr>
          <w:i/>
          <w:iCs/>
        </w:rPr>
        <w:t>ico</w:t>
      </w:r>
      <w:proofErr w:type="spellEnd"/>
      <w:r>
        <w:t xml:space="preserve">, </w:t>
      </w:r>
      <w:r w:rsidR="00EC1B57">
        <w:t xml:space="preserve">el </w:t>
      </w:r>
      <w:r>
        <w:t>éxito de</w:t>
      </w:r>
      <w:r w:rsidR="00951789">
        <w:t xml:space="preserve"> </w:t>
      </w:r>
      <w:r>
        <w:t>l</w:t>
      </w:r>
      <w:r w:rsidR="00951789">
        <w:t>a</w:t>
      </w:r>
      <w:r>
        <w:t xml:space="preserve"> meritori</w:t>
      </w:r>
      <w:r w:rsidR="00951789">
        <w:t>edad</w:t>
      </w:r>
      <w:r>
        <w:t xml:space="preserve">, </w:t>
      </w:r>
      <w:r w:rsidR="00EC1B57">
        <w:t xml:space="preserve">el </w:t>
      </w:r>
      <w:r>
        <w:t>éxito a través de las ciencias, éxito en el sentido de tener éxito debido al esfuerzo correcto aplicado aquí o allá” (</w:t>
      </w:r>
      <w:proofErr w:type="spellStart"/>
      <w:r w:rsidRPr="00976B72">
        <w:rPr>
          <w:i/>
          <w:iCs/>
        </w:rPr>
        <w:t>Paṭis</w:t>
      </w:r>
      <w:proofErr w:type="spellEnd"/>
      <w:r>
        <w:t xml:space="preserve"> II 205).</w:t>
      </w:r>
    </w:p>
    <w:p w14:paraId="2B990D2D" w14:textId="7DE19662" w:rsidR="007E343E" w:rsidRDefault="007E343E" w:rsidP="007E343E">
      <w:r>
        <w:t xml:space="preserve">23. </w:t>
      </w:r>
      <w:r w:rsidR="005704C0">
        <w:tab/>
      </w:r>
      <w:r>
        <w:t xml:space="preserve">(i) Aquí, </w:t>
      </w:r>
      <w:r w:rsidR="004A0AF9">
        <w:t>a</w:t>
      </w:r>
      <w:r>
        <w:t xml:space="preserve">l éxito mostrado en la exposición del resumen anterior así, “Normalmente </w:t>
      </w:r>
      <w:r w:rsidR="00481D58">
        <w:t xml:space="preserve">en </w:t>
      </w:r>
      <w:r>
        <w:t xml:space="preserve">uno, </w:t>
      </w:r>
      <w:r w:rsidR="004A0AF9">
        <w:t xml:space="preserve">él </w:t>
      </w:r>
      <w:r>
        <w:t xml:space="preserve">se </w:t>
      </w:r>
      <w:r w:rsidR="00327B6F">
        <w:t xml:space="preserve">advierte </w:t>
      </w:r>
      <w:r>
        <w:t>a sí mismo como muchos</w:t>
      </w:r>
      <w:r w:rsidR="004A0AF9">
        <w:t>,</w:t>
      </w:r>
      <w:r>
        <w:t xml:space="preserve"> </w:t>
      </w:r>
      <w:r w:rsidR="007022F6">
        <w:t xml:space="preserve">como </w:t>
      </w:r>
      <w:r>
        <w:t>cien</w:t>
      </w:r>
      <w:r w:rsidR="004A0AF9">
        <w:t>,</w:t>
      </w:r>
      <w:r>
        <w:t xml:space="preserve"> mil o cien mil; </w:t>
      </w:r>
      <w:r w:rsidR="007601CC">
        <w:t xml:space="preserve">al haber </w:t>
      </w:r>
      <w:r>
        <w:t>advertido</w:t>
      </w:r>
      <w:r w:rsidR="00531FD7">
        <w:t xml:space="preserve"> así</w:t>
      </w:r>
      <w:r>
        <w:t xml:space="preserve">, </w:t>
      </w:r>
      <w:r w:rsidR="00917BD0">
        <w:t xml:space="preserve">y </w:t>
      </w:r>
      <w:r w:rsidR="00E62A0B">
        <w:t>determina</w:t>
      </w:r>
      <w:r w:rsidR="00531FD7">
        <w:t>do</w:t>
      </w:r>
      <w:r>
        <w:t xml:space="preserve"> </w:t>
      </w:r>
      <w:r w:rsidR="00531FD7">
        <w:t xml:space="preserve">con </w:t>
      </w:r>
      <w:r>
        <w:t>conocimiento, “</w:t>
      </w:r>
      <w:r w:rsidR="00E62A0B">
        <w:t xml:space="preserve">Qué </w:t>
      </w:r>
      <w:r w:rsidR="001D6B36">
        <w:t xml:space="preserve">me manifieste como </w:t>
      </w:r>
      <w:r>
        <w:t>muchos” (</w:t>
      </w:r>
      <w:proofErr w:type="spellStart"/>
      <w:r w:rsidRPr="001D6B36">
        <w:rPr>
          <w:i/>
          <w:iCs/>
        </w:rPr>
        <w:t>Paṭis</w:t>
      </w:r>
      <w:proofErr w:type="spellEnd"/>
      <w:r>
        <w:t xml:space="preserve"> II 207), se </w:t>
      </w:r>
      <w:r w:rsidR="001D6B36">
        <w:t xml:space="preserve">le </w:t>
      </w:r>
      <w:r>
        <w:t>llama</w:t>
      </w:r>
      <w:r w:rsidR="001D6B36">
        <w:t>rá</w:t>
      </w:r>
      <w:r>
        <w:t xml:space="preserve"> éxito </w:t>
      </w:r>
      <w:r w:rsidR="001D6B36">
        <w:t xml:space="preserve">mediante </w:t>
      </w:r>
      <w:r w:rsidR="007601CC">
        <w:t xml:space="preserve">la </w:t>
      </w:r>
      <w:r w:rsidR="005704C0">
        <w:t xml:space="preserve">determinación </w:t>
      </w:r>
      <w:r>
        <w:t>porque se produc</w:t>
      </w:r>
      <w:r w:rsidR="005704C0">
        <w:t>irá</w:t>
      </w:r>
      <w:r>
        <w:t xml:space="preserve"> al </w:t>
      </w:r>
      <w:r w:rsidR="005704C0">
        <w:t>adoptar tal determinación</w:t>
      </w:r>
      <w:r>
        <w:t>.</w:t>
      </w:r>
    </w:p>
    <w:p w14:paraId="299B474C" w14:textId="65B46EC3" w:rsidR="007E343E" w:rsidRDefault="007E343E" w:rsidP="007E343E">
      <w:r>
        <w:t xml:space="preserve">24. </w:t>
      </w:r>
      <w:r w:rsidR="005704C0">
        <w:tab/>
      </w:r>
      <w:r>
        <w:t>(</w:t>
      </w:r>
      <w:proofErr w:type="spellStart"/>
      <w:r>
        <w:t>ii</w:t>
      </w:r>
      <w:proofErr w:type="spellEnd"/>
      <w:r>
        <w:t xml:space="preserve">) </w:t>
      </w:r>
      <w:r w:rsidR="00B24157">
        <w:t>A</w:t>
      </w:r>
      <w:r w:rsidR="007022F6">
        <w:t xml:space="preserve"> a</w:t>
      </w:r>
      <w:r w:rsidR="00B24157">
        <w:t>quél</w:t>
      </w:r>
      <w:r>
        <w:t xml:space="preserve"> </w:t>
      </w:r>
      <w:r w:rsidR="006F4272">
        <w:t>descrito</w:t>
      </w:r>
      <w:r>
        <w:t xml:space="preserve"> como sigue, "Habiendo abandonado su forma normal, se muestra a sí mismo en la forma de un niño o la forma de una serpiente... o muestra una formación militar múltiple" (</w:t>
      </w:r>
      <w:proofErr w:type="spellStart"/>
      <w:r w:rsidRPr="00976B72">
        <w:rPr>
          <w:i/>
          <w:iCs/>
        </w:rPr>
        <w:t>Paṭis</w:t>
      </w:r>
      <w:proofErr w:type="spellEnd"/>
      <w:r>
        <w:t xml:space="preserve"> II 210), </w:t>
      </w:r>
      <w:r w:rsidR="007022F6">
        <w:t>se le llama</w:t>
      </w:r>
      <w:r w:rsidR="00686612">
        <w:t>rá</w:t>
      </w:r>
      <w:r w:rsidR="007022F6">
        <w:t xml:space="preserve"> </w:t>
      </w:r>
      <w:r w:rsidRPr="00976B72">
        <w:rPr>
          <w:i/>
          <w:iCs/>
        </w:rPr>
        <w:t xml:space="preserve">éxito </w:t>
      </w:r>
      <w:r w:rsidR="00686612">
        <w:rPr>
          <w:i/>
          <w:iCs/>
        </w:rPr>
        <w:t xml:space="preserve">mediante </w:t>
      </w:r>
      <w:r w:rsidR="007022F6">
        <w:rPr>
          <w:i/>
          <w:iCs/>
        </w:rPr>
        <w:t>la</w:t>
      </w:r>
      <w:r w:rsidRPr="00976B72">
        <w:rPr>
          <w:i/>
          <w:iCs/>
        </w:rPr>
        <w:t xml:space="preserve"> transformación</w:t>
      </w:r>
      <w:r>
        <w:t xml:space="preserve"> </w:t>
      </w:r>
      <w:r w:rsidR="00686612">
        <w:t>a través de</w:t>
      </w:r>
      <w:r>
        <w:t xml:space="preserve">l abandono y </w:t>
      </w:r>
      <w:r w:rsidR="00686612">
        <w:t xml:space="preserve">la </w:t>
      </w:r>
      <w:r>
        <w:t>alteración de la forma normal. [379]</w:t>
      </w:r>
    </w:p>
    <w:p w14:paraId="450B012E" w14:textId="57AB8091" w:rsidR="007E343E" w:rsidRDefault="007E343E" w:rsidP="007E343E">
      <w:r>
        <w:t xml:space="preserve">25. </w:t>
      </w:r>
      <w:r>
        <w:tab/>
        <w:t>(</w:t>
      </w:r>
      <w:proofErr w:type="spellStart"/>
      <w:r>
        <w:t>iii</w:t>
      </w:r>
      <w:proofErr w:type="spellEnd"/>
      <w:r>
        <w:t xml:space="preserve">) </w:t>
      </w:r>
      <w:r w:rsidR="00BF4E50">
        <w:t>A l</w:t>
      </w:r>
      <w:r>
        <w:t xml:space="preserve">o que se </w:t>
      </w:r>
      <w:r w:rsidR="00A276C7">
        <w:t>describ</w:t>
      </w:r>
      <w:r w:rsidR="00686612">
        <w:t>a</w:t>
      </w:r>
      <w:r>
        <w:t xml:space="preserve"> </w:t>
      </w:r>
      <w:r w:rsidR="00A276C7">
        <w:t>así</w:t>
      </w:r>
      <w:r>
        <w:t xml:space="preserve">, "Aquí un </w:t>
      </w:r>
      <w:proofErr w:type="spellStart"/>
      <w:r w:rsidR="00057BF4" w:rsidRPr="00057BF4">
        <w:rPr>
          <w:i/>
        </w:rPr>
        <w:t>bhikkhu</w:t>
      </w:r>
      <w:proofErr w:type="spellEnd"/>
      <w:r>
        <w:t xml:space="preserve"> crea a partir de este cuerpo otro cuerpo que posee</w:t>
      </w:r>
      <w:r w:rsidR="00BF4E50">
        <w:t>rá</w:t>
      </w:r>
      <w:r>
        <w:t xml:space="preserve"> una forma visible, </w:t>
      </w:r>
      <w:r w:rsidR="00BF4E50">
        <w:t xml:space="preserve">producido </w:t>
      </w:r>
      <w:r>
        <w:t>por la mente" (</w:t>
      </w:r>
      <w:proofErr w:type="spellStart"/>
      <w:r w:rsidRPr="00976B72">
        <w:rPr>
          <w:i/>
          <w:iCs/>
        </w:rPr>
        <w:t>Paṭis</w:t>
      </w:r>
      <w:proofErr w:type="spellEnd"/>
      <w:r>
        <w:t xml:space="preserve"> II 210), </w:t>
      </w:r>
      <w:r w:rsidRPr="00D471E8">
        <w:t xml:space="preserve">se </w:t>
      </w:r>
      <w:r w:rsidR="00D471E8" w:rsidRPr="00D471E8">
        <w:t xml:space="preserve">le </w:t>
      </w:r>
      <w:r w:rsidRPr="00D471E8">
        <w:t>llama</w:t>
      </w:r>
      <w:r w:rsidR="00D471E8" w:rsidRPr="00D471E8">
        <w:t>rá</w:t>
      </w:r>
      <w:r w:rsidRPr="007F5EF2">
        <w:rPr>
          <w:i/>
          <w:iCs/>
        </w:rPr>
        <w:t xml:space="preserve"> </w:t>
      </w:r>
      <w:r w:rsidR="00FE770A" w:rsidRPr="00FE770A">
        <w:rPr>
          <w:i/>
          <w:iCs/>
        </w:rPr>
        <w:t>éxito a través de un cuerpo producido por la mente</w:t>
      </w:r>
      <w:r w:rsidR="007F5EF2" w:rsidRPr="007F5EF2">
        <w:t xml:space="preserve"> </w:t>
      </w:r>
      <w:r w:rsidR="00FE770A">
        <w:t xml:space="preserve">ya </w:t>
      </w:r>
      <w:r>
        <w:t>que ocurr</w:t>
      </w:r>
      <w:r w:rsidR="00D471E8">
        <w:t>irá</w:t>
      </w:r>
      <w:r>
        <w:t xml:space="preserve"> </w:t>
      </w:r>
      <w:r w:rsidR="00FE770A">
        <w:t xml:space="preserve">mediante </w:t>
      </w:r>
      <w:r>
        <w:t xml:space="preserve">la producción de otro cuerpo </w:t>
      </w:r>
      <w:r w:rsidR="00FE770A">
        <w:t xml:space="preserve">producido </w:t>
      </w:r>
      <w:r>
        <w:t xml:space="preserve">por </w:t>
      </w:r>
      <w:r w:rsidR="00FE770A">
        <w:t xml:space="preserve">medio de </w:t>
      </w:r>
      <w:r>
        <w:t>la mente dentro del cuerpo.</w:t>
      </w:r>
    </w:p>
    <w:p w14:paraId="523921FE" w14:textId="0F936AC5" w:rsidR="007E343E" w:rsidRDefault="007E343E" w:rsidP="007E343E">
      <w:r>
        <w:t xml:space="preserve">26. </w:t>
      </w:r>
      <w:r>
        <w:tab/>
        <w:t>(</w:t>
      </w:r>
      <w:proofErr w:type="spellStart"/>
      <w:r>
        <w:t>iv</w:t>
      </w:r>
      <w:proofErr w:type="spellEnd"/>
      <w:r>
        <w:t xml:space="preserve">) </w:t>
      </w:r>
      <w:r w:rsidR="00D471E8">
        <w:t>A u</w:t>
      </w:r>
      <w:r>
        <w:t xml:space="preserve">na distinción provocada </w:t>
      </w:r>
      <w:r w:rsidR="00FE770A">
        <w:t xml:space="preserve">mediante </w:t>
      </w:r>
      <w:r>
        <w:t xml:space="preserve">la influencia del conocimiento ya sea antes del surgimiento del conocimiento o después de él o en ese momento se </w:t>
      </w:r>
      <w:r w:rsidR="00D471E8">
        <w:t xml:space="preserve">le </w:t>
      </w:r>
      <w:r>
        <w:t>llama</w:t>
      </w:r>
      <w:r w:rsidR="00D471E8">
        <w:t>rá</w:t>
      </w:r>
      <w:r>
        <w:t xml:space="preserve"> </w:t>
      </w:r>
      <w:r w:rsidRPr="007F5EF2">
        <w:rPr>
          <w:i/>
          <w:iCs/>
        </w:rPr>
        <w:t xml:space="preserve">éxito </w:t>
      </w:r>
      <w:r w:rsidR="00DF0FDE" w:rsidRPr="00DF0FDE">
        <w:rPr>
          <w:i/>
          <w:iCs/>
        </w:rPr>
        <w:t>mediante</w:t>
      </w:r>
      <w:r w:rsidR="00DF0FDE" w:rsidRPr="00D738D9">
        <w:t xml:space="preserve"> </w:t>
      </w:r>
      <w:r w:rsidR="00343DE3">
        <w:t xml:space="preserve">la </w:t>
      </w:r>
      <w:r w:rsidRPr="007F5EF2">
        <w:rPr>
          <w:i/>
          <w:iCs/>
        </w:rPr>
        <w:t>intervención del conocimiento</w:t>
      </w:r>
      <w:r>
        <w:t xml:space="preserve">; </w:t>
      </w:r>
      <w:r w:rsidR="00343DE3">
        <w:t xml:space="preserve">ya </w:t>
      </w:r>
      <w:r>
        <w:t xml:space="preserve">que esto se dice: “El significado (propósito) </w:t>
      </w:r>
      <w:r w:rsidR="00DF0FDE">
        <w:t>de</w:t>
      </w:r>
      <w:r>
        <w:t xml:space="preserve"> abandonar la percepción de la permanencia </w:t>
      </w:r>
      <w:r w:rsidR="00DF0FDE">
        <w:t xml:space="preserve">tendrá </w:t>
      </w:r>
      <w:r>
        <w:t xml:space="preserve">éxito a través de la contemplación de la impermanencia, por lo tanto </w:t>
      </w:r>
      <w:r w:rsidR="00DF0FDE">
        <w:t xml:space="preserve">será </w:t>
      </w:r>
      <w:r w:rsidR="00EA6837">
        <w:t xml:space="preserve">el </w:t>
      </w:r>
      <w:r>
        <w:t xml:space="preserve">éxito </w:t>
      </w:r>
      <w:r w:rsidR="00EA6837">
        <w:t xml:space="preserve">mediante </w:t>
      </w:r>
      <w:r>
        <w:t xml:space="preserve">la intervención del conocimiento… El significado (propósito) como abandonar todas las corrupciones </w:t>
      </w:r>
      <w:r w:rsidR="00AA0EE9">
        <w:t xml:space="preserve">tendrá </w:t>
      </w:r>
      <w:r>
        <w:t xml:space="preserve">éxito a través del </w:t>
      </w:r>
      <w:r w:rsidR="00AA0EE9">
        <w:t>sendero</w:t>
      </w:r>
      <w:r>
        <w:t xml:space="preserve"> del </w:t>
      </w:r>
      <w:r w:rsidR="00057BF4" w:rsidRPr="00057BF4">
        <w:rPr>
          <w:i/>
        </w:rPr>
        <w:t>Arahant</w:t>
      </w:r>
      <w:r>
        <w:t xml:space="preserve">, por lo tanto </w:t>
      </w:r>
      <w:r w:rsidR="00AA0EE9">
        <w:t xml:space="preserve">será el </w:t>
      </w:r>
      <w:r>
        <w:t xml:space="preserve">éxito </w:t>
      </w:r>
      <w:r w:rsidR="00AA0EE9">
        <w:t xml:space="preserve">mediante la </w:t>
      </w:r>
      <w:r>
        <w:t xml:space="preserve">intervención del conocimiento. </w:t>
      </w:r>
      <w:r w:rsidR="00AA0EE9">
        <w:t>Se trató de este</w:t>
      </w:r>
      <w:r>
        <w:t xml:space="preserve"> éxito </w:t>
      </w:r>
      <w:r w:rsidR="00AA0EE9">
        <w:t xml:space="preserve">mediante </w:t>
      </w:r>
      <w:r w:rsidR="00A023E9">
        <w:t xml:space="preserve">la </w:t>
      </w:r>
      <w:r>
        <w:t xml:space="preserve">intervención del conocimiento en el </w:t>
      </w:r>
      <w:r w:rsidR="00AA0EE9">
        <w:t xml:space="preserve">caso del </w:t>
      </w:r>
      <w:r>
        <w:t xml:space="preserve">Venerable </w:t>
      </w:r>
      <w:proofErr w:type="spellStart"/>
      <w:r>
        <w:t>Bakkula</w:t>
      </w:r>
      <w:proofErr w:type="spellEnd"/>
      <w:r>
        <w:t xml:space="preserve">. </w:t>
      </w:r>
      <w:r w:rsidR="00AA0EE9">
        <w:t xml:space="preserve">Se trató de este </w:t>
      </w:r>
      <w:r>
        <w:t xml:space="preserve">éxito </w:t>
      </w:r>
      <w:r w:rsidR="00AA0EE9">
        <w:t xml:space="preserve">mediante </w:t>
      </w:r>
      <w:r>
        <w:t xml:space="preserve">la intervención del conocimiento en el </w:t>
      </w:r>
      <w:r w:rsidR="00AA0EE9">
        <w:t xml:space="preserve">caso del </w:t>
      </w:r>
      <w:r>
        <w:t xml:space="preserve">Venerable </w:t>
      </w:r>
      <w:proofErr w:type="spellStart"/>
      <w:r>
        <w:t>Saṅkicca</w:t>
      </w:r>
      <w:proofErr w:type="spellEnd"/>
      <w:r>
        <w:t xml:space="preserve">. </w:t>
      </w:r>
      <w:r w:rsidR="00AA0EE9">
        <w:t xml:space="preserve">Se trató de este </w:t>
      </w:r>
      <w:r>
        <w:t xml:space="preserve">éxito </w:t>
      </w:r>
      <w:r w:rsidR="00AA0EE9">
        <w:t xml:space="preserve">mediante </w:t>
      </w:r>
      <w:r>
        <w:t xml:space="preserve">la intervención del conocimiento en el </w:t>
      </w:r>
      <w:r w:rsidR="00AA0EE9">
        <w:t xml:space="preserve">caso del Venerable </w:t>
      </w:r>
      <w:proofErr w:type="spellStart"/>
      <w:r w:rsidRPr="00AA0EE9">
        <w:t>Bhūtapāla</w:t>
      </w:r>
      <w:proofErr w:type="spellEnd"/>
      <w:r>
        <w:t>” (</w:t>
      </w:r>
      <w:proofErr w:type="spellStart"/>
      <w:r w:rsidRPr="00AA0EE9">
        <w:rPr>
          <w:i/>
          <w:iCs/>
        </w:rPr>
        <w:t>Pa</w:t>
      </w:r>
      <w:r w:rsidR="00AA0EE9" w:rsidRPr="00AA0EE9">
        <w:rPr>
          <w:i/>
          <w:iCs/>
        </w:rPr>
        <w:t>ṭ</w:t>
      </w:r>
      <w:r w:rsidRPr="00AA0EE9">
        <w:rPr>
          <w:i/>
          <w:iCs/>
        </w:rPr>
        <w:t>is</w:t>
      </w:r>
      <w:proofErr w:type="spellEnd"/>
      <w:r>
        <w:t xml:space="preserve"> II 211).</w:t>
      </w:r>
    </w:p>
    <w:p w14:paraId="74D9F6C5" w14:textId="18588325" w:rsidR="007E343E" w:rsidRDefault="007E343E" w:rsidP="007E343E">
      <w:r>
        <w:t xml:space="preserve">27. </w:t>
      </w:r>
      <w:r>
        <w:tab/>
        <w:t xml:space="preserve">Aquí, cuando el Venerable </w:t>
      </w:r>
      <w:proofErr w:type="spellStart"/>
      <w:r>
        <w:t>Bakkula</w:t>
      </w:r>
      <w:proofErr w:type="spellEnd"/>
      <w:r w:rsidR="0058530D">
        <w:t>,</w:t>
      </w:r>
      <w:r>
        <w:t xml:space="preserve"> siendo </w:t>
      </w:r>
      <w:r w:rsidR="0058530D">
        <w:t xml:space="preserve">todavía </w:t>
      </w:r>
      <w:r>
        <w:t>un infante</w:t>
      </w:r>
      <w:r w:rsidR="0058530D">
        <w:t>,</w:t>
      </w:r>
      <w:r>
        <w:t xml:space="preserve"> estaba siendo bañado en el río en un día auspicioso, cayó al </w:t>
      </w:r>
      <w:r w:rsidR="0058530D">
        <w:t xml:space="preserve">rio </w:t>
      </w:r>
      <w:r>
        <w:t xml:space="preserve">por negligencia de su nodriza. Un pez se lo tragó y finalmente llegó al balneario de Benarés. Allí </w:t>
      </w:r>
      <w:r w:rsidR="0058530D">
        <w:t xml:space="preserve">el pescado </w:t>
      </w:r>
      <w:r>
        <w:t xml:space="preserve">fue capturado por un pescador y vendido a la esposa de un hombre rico. El pescado le </w:t>
      </w:r>
      <w:r w:rsidR="00B206AF">
        <w:t>llamó la atención</w:t>
      </w:r>
      <w:r>
        <w:t xml:space="preserve">, y pensando en cocinarlo ella misma lo abrió. Cuando lo hizo, vio al niño como una imagen dorada en el estómago del pez. Ella se llenó de alegría, pensando: “Por fin tengo un hijo”. Entonces, </w:t>
      </w:r>
      <w:r w:rsidR="00790850">
        <w:t xml:space="preserve">a </w:t>
      </w:r>
      <w:r>
        <w:t xml:space="preserve">la supervivencia segura del Venerable </w:t>
      </w:r>
      <w:proofErr w:type="spellStart"/>
      <w:r>
        <w:t>Bakkula</w:t>
      </w:r>
      <w:proofErr w:type="spellEnd"/>
      <w:r>
        <w:t xml:space="preserve"> en el estómago de</w:t>
      </w:r>
      <w:r w:rsidR="00790850">
        <w:t>l</w:t>
      </w:r>
      <w:r>
        <w:t xml:space="preserve"> pez en su última existencia se </w:t>
      </w:r>
      <w:r w:rsidR="00790850">
        <w:t xml:space="preserve">le </w:t>
      </w:r>
      <w:r>
        <w:t>llama</w:t>
      </w:r>
      <w:r w:rsidR="00E26DD6">
        <w:t>rá</w:t>
      </w:r>
      <w:r>
        <w:t xml:space="preserve"> "éxito </w:t>
      </w:r>
      <w:r w:rsidR="00790850">
        <w:t xml:space="preserve">mediante la </w:t>
      </w:r>
      <w:r>
        <w:t xml:space="preserve">intervención del conocimiento" porque fue provocado </w:t>
      </w:r>
      <w:r w:rsidR="00E26DD6">
        <w:t xml:space="preserve">mediante </w:t>
      </w:r>
      <w:r>
        <w:t xml:space="preserve">la influencia del conocimiento del </w:t>
      </w:r>
      <w:r w:rsidR="00790850">
        <w:t>sendero</w:t>
      </w:r>
      <w:r>
        <w:t xml:space="preserve"> de</w:t>
      </w:r>
      <w:r w:rsidR="00790850">
        <w:t>l</w:t>
      </w:r>
      <w:r>
        <w:t xml:space="preserve"> </w:t>
      </w:r>
      <w:r w:rsidR="00057BF4" w:rsidRPr="00057BF4">
        <w:rPr>
          <w:i/>
        </w:rPr>
        <w:t>Arahant</w:t>
      </w:r>
      <w:r>
        <w:t xml:space="preserve"> que él debía obtener en esa vida. </w:t>
      </w:r>
      <w:r w:rsidR="00790850">
        <w:t xml:space="preserve">No obstante, </w:t>
      </w:r>
      <w:r>
        <w:t>la historia debe contarse en detalle (ver M-a IV 190).</w:t>
      </w:r>
    </w:p>
    <w:p w14:paraId="08172EA2" w14:textId="5CC4B49D" w:rsidR="00B57D9E" w:rsidRDefault="007E343E" w:rsidP="007E343E">
      <w:r>
        <w:t xml:space="preserve">28. </w:t>
      </w:r>
      <w:r>
        <w:tab/>
        <w:t xml:space="preserve">La madre del </w:t>
      </w:r>
      <w:r w:rsidR="007C52A7">
        <w:t>Venerable</w:t>
      </w:r>
      <w:r>
        <w:t xml:space="preserve"> </w:t>
      </w:r>
      <w:proofErr w:type="spellStart"/>
      <w:r>
        <w:t>Saṅkicca</w:t>
      </w:r>
      <w:proofErr w:type="spellEnd"/>
      <w:r>
        <w:t xml:space="preserve"> murió mientras él aún estaba en su vientre. En el momento de su cremación, fue atravesada por estacas y colocada en una pira. El infante recibió una herida en el rabillo del ojo con la punta de una estaca y emitió un sonido. Entonces, pensando que el niño deb</w:t>
      </w:r>
      <w:r w:rsidR="00AF6849">
        <w:t>er</w:t>
      </w:r>
      <w:r>
        <w:t>ía estar vivo, bajaron el cuerpo y le abrieron el vientre</w:t>
      </w:r>
      <w:r w:rsidR="00790850">
        <w:t xml:space="preserve"> a la madre</w:t>
      </w:r>
      <w:r>
        <w:t xml:space="preserve">. </w:t>
      </w:r>
      <w:r w:rsidR="00AF6849">
        <w:t>Entregaron</w:t>
      </w:r>
      <w:r>
        <w:t xml:space="preserve"> </w:t>
      </w:r>
    </w:p>
    <w:p w14:paraId="3C7CAB56" w14:textId="77777777" w:rsidR="00B57D9E" w:rsidRDefault="00B57D9E">
      <w:pPr>
        <w:tabs>
          <w:tab w:val="clear" w:pos="425"/>
        </w:tabs>
        <w:spacing w:after="160"/>
      </w:pPr>
      <w:r>
        <w:br w:type="page"/>
      </w:r>
    </w:p>
    <w:p w14:paraId="60D87779" w14:textId="77777777" w:rsidR="00B57D9E" w:rsidRDefault="00B57D9E" w:rsidP="007E343E"/>
    <w:p w14:paraId="415A0550" w14:textId="1F0A7D4B" w:rsidR="00F67919" w:rsidRDefault="00AF6849" w:rsidP="00F67919">
      <w:r>
        <w:t xml:space="preserve">al </w:t>
      </w:r>
      <w:r w:rsidR="00790850">
        <w:t xml:space="preserve">niño a la </w:t>
      </w:r>
      <w:r w:rsidR="00F67919">
        <w:t xml:space="preserve">abuela. Bajo su cuidado él creció y eventualmente </w:t>
      </w:r>
      <w:r w:rsidR="00D23DBB">
        <w:t>mediante el esfuerzo</w:t>
      </w:r>
      <w:r w:rsidR="00F67919">
        <w:t xml:space="preserve"> </w:t>
      </w:r>
      <w:r w:rsidR="00D23DBB">
        <w:t xml:space="preserve">consumó </w:t>
      </w:r>
      <w:r w:rsidR="00F67919">
        <w:t xml:space="preserve">el estado de </w:t>
      </w:r>
      <w:r w:rsidR="00057BF4" w:rsidRPr="00057BF4">
        <w:rPr>
          <w:i/>
        </w:rPr>
        <w:t>Arahant</w:t>
      </w:r>
      <w:r w:rsidR="00F67919">
        <w:t xml:space="preserve"> junto con las discriminaciones. Así que </w:t>
      </w:r>
      <w:r w:rsidR="00790850">
        <w:t xml:space="preserve">a </w:t>
      </w:r>
      <w:r w:rsidR="00F67919">
        <w:t xml:space="preserve">la supervivencia segura del </w:t>
      </w:r>
      <w:r w:rsidR="00790850">
        <w:t xml:space="preserve">Venerable </w:t>
      </w:r>
      <w:proofErr w:type="spellStart"/>
      <w:r w:rsidR="00F67919">
        <w:t>Saṅkicca</w:t>
      </w:r>
      <w:proofErr w:type="spellEnd"/>
      <w:r w:rsidR="00F67919">
        <w:t xml:space="preserve"> en la pira </w:t>
      </w:r>
      <w:r w:rsidR="00D23DBB">
        <w:t xml:space="preserve">funeraria </w:t>
      </w:r>
      <w:r w:rsidR="00F67919">
        <w:t xml:space="preserve">se </w:t>
      </w:r>
      <w:r w:rsidR="00790850">
        <w:t xml:space="preserve">le </w:t>
      </w:r>
      <w:r w:rsidR="00F67919">
        <w:t>llama</w:t>
      </w:r>
      <w:r w:rsidR="00D23DBB">
        <w:t>rá</w:t>
      </w:r>
      <w:r w:rsidR="00F67919">
        <w:t xml:space="preserve"> “</w:t>
      </w:r>
      <w:r w:rsidR="00790850">
        <w:t xml:space="preserve">el </w:t>
      </w:r>
      <w:r w:rsidR="00F67919">
        <w:t xml:space="preserve">éxito </w:t>
      </w:r>
      <w:r w:rsidR="00790850">
        <w:t xml:space="preserve">mediante </w:t>
      </w:r>
      <w:r w:rsidR="00F67919">
        <w:t>la intervención del conocimiento” en la forma que acabamos de exponer</w:t>
      </w:r>
      <w:r w:rsidR="00D23DBB">
        <w:t>l</w:t>
      </w:r>
      <w:r w:rsidR="0054061C">
        <w:t>o</w:t>
      </w:r>
      <w:r w:rsidR="00F67919">
        <w:t xml:space="preserve"> (ver </w:t>
      </w:r>
      <w:proofErr w:type="spellStart"/>
      <w:r w:rsidR="00F67919">
        <w:t>Dhp</w:t>
      </w:r>
      <w:proofErr w:type="spellEnd"/>
      <w:r w:rsidR="00F67919">
        <w:t>-a II 240).</w:t>
      </w:r>
    </w:p>
    <w:p w14:paraId="358A941F" w14:textId="15203DA6" w:rsidR="00F67919" w:rsidRDefault="00F67919" w:rsidP="00F67919">
      <w:r>
        <w:t xml:space="preserve">29. </w:t>
      </w:r>
      <w:r>
        <w:tab/>
        <w:t xml:space="preserve">El padre del muchacho </w:t>
      </w:r>
      <w:proofErr w:type="spellStart"/>
      <w:r>
        <w:t>Bhūtapāla</w:t>
      </w:r>
      <w:proofErr w:type="spellEnd"/>
      <w:r>
        <w:t xml:space="preserve"> era un hombre pobre en </w:t>
      </w:r>
      <w:proofErr w:type="spellStart"/>
      <w:r>
        <w:t>Rājagaha</w:t>
      </w:r>
      <w:proofErr w:type="spellEnd"/>
      <w:r>
        <w:t>. [380] Fue al bosque con un</w:t>
      </w:r>
      <w:r w:rsidR="00C47CD5">
        <w:t>a</w:t>
      </w:r>
      <w:r>
        <w:t xml:space="preserve"> carr</w:t>
      </w:r>
      <w:r w:rsidR="00C47CD5">
        <w:t>eta</w:t>
      </w:r>
      <w:r>
        <w:t xml:space="preserve"> para conseguir una carga de leña. Era de noche cuando regresó a la puerta de la ciudad. Entonces sus bueyes </w:t>
      </w:r>
      <w:r w:rsidR="0054061C">
        <w:t xml:space="preserve">se </w:t>
      </w:r>
      <w:r>
        <w:t xml:space="preserve">soltaron </w:t>
      </w:r>
      <w:r w:rsidR="0054061C">
        <w:t>d</w:t>
      </w:r>
      <w:r>
        <w:t xml:space="preserve">el yugo y escaparon </w:t>
      </w:r>
      <w:r w:rsidR="00C47CD5">
        <w:t>hacia</w:t>
      </w:r>
      <w:r>
        <w:t xml:space="preserve"> la ciudad. Sentó al niño al lado de</w:t>
      </w:r>
      <w:r w:rsidR="00C47CD5">
        <w:t xml:space="preserve"> </w:t>
      </w:r>
      <w:r>
        <w:t>l</w:t>
      </w:r>
      <w:r w:rsidR="00C47CD5">
        <w:t>a</w:t>
      </w:r>
      <w:r>
        <w:t xml:space="preserve"> carr</w:t>
      </w:r>
      <w:r w:rsidR="00C47CD5">
        <w:t>eta</w:t>
      </w:r>
      <w:r>
        <w:t xml:space="preserve"> y se fue a la ciudad tr</w:t>
      </w:r>
      <w:r w:rsidR="00C47CD5">
        <w:t>a</w:t>
      </w:r>
      <w:r>
        <w:t xml:space="preserve">s los bueyes. Antes de que pudiera salir de nuevo, la puerta se cerró. </w:t>
      </w:r>
      <w:r w:rsidR="00C47CD5">
        <w:t>A l</w:t>
      </w:r>
      <w:r>
        <w:t xml:space="preserve">a supervivencia segura del niño durante las tres vigilias de la noche fuera de la ciudad en un lugar infestado de bestias salvajes y espíritus se </w:t>
      </w:r>
      <w:r w:rsidR="00C40597">
        <w:t xml:space="preserve">le </w:t>
      </w:r>
      <w:r>
        <w:t>llama</w:t>
      </w:r>
      <w:r w:rsidR="0054061C">
        <w:t>rá</w:t>
      </w:r>
      <w:r>
        <w:t xml:space="preserve"> “éxito </w:t>
      </w:r>
      <w:r w:rsidR="00C40597">
        <w:t xml:space="preserve">mediante </w:t>
      </w:r>
      <w:r>
        <w:t>intervención del conocimiento” en la forma que acabamos de exponer</w:t>
      </w:r>
      <w:r w:rsidR="0054061C">
        <w:t>lo</w:t>
      </w:r>
      <w:r>
        <w:t>. Pero la historia debe ser contada en detalle.</w:t>
      </w:r>
    </w:p>
    <w:p w14:paraId="20613CBC" w14:textId="3A034C2A" w:rsidR="00F67919" w:rsidRDefault="00F67919" w:rsidP="00F67919">
      <w:r>
        <w:t xml:space="preserve">30. </w:t>
      </w:r>
      <w:r>
        <w:tab/>
        <w:t xml:space="preserve">(v) </w:t>
      </w:r>
      <w:r w:rsidR="00C40597">
        <w:t>A</w:t>
      </w:r>
      <w:r w:rsidR="00D017B2">
        <w:t xml:space="preserve"> u</w:t>
      </w:r>
      <w:r>
        <w:t xml:space="preserve">na distinción provocada </w:t>
      </w:r>
      <w:r w:rsidR="0054061C">
        <w:t xml:space="preserve">mediante </w:t>
      </w:r>
      <w:r>
        <w:t xml:space="preserve">la influencia de la serenidad ya sea antes de la concentración o después de ella o </w:t>
      </w:r>
      <w:r w:rsidR="0054061C">
        <w:t>durante</w:t>
      </w:r>
      <w:r>
        <w:t xml:space="preserve"> </w:t>
      </w:r>
      <w:r w:rsidR="0054061C">
        <w:t xml:space="preserve">dicho </w:t>
      </w:r>
      <w:r>
        <w:t xml:space="preserve">momento se </w:t>
      </w:r>
      <w:r w:rsidR="00D017B2">
        <w:t xml:space="preserve">le </w:t>
      </w:r>
      <w:r>
        <w:t>llama</w:t>
      </w:r>
      <w:r w:rsidR="00D017B2">
        <w:t>rá</w:t>
      </w:r>
      <w:r>
        <w:t xml:space="preserve"> </w:t>
      </w:r>
      <w:r w:rsidRPr="00FC1B0A">
        <w:rPr>
          <w:i/>
          <w:iCs/>
        </w:rPr>
        <w:t xml:space="preserve">éxito </w:t>
      </w:r>
      <w:r w:rsidR="00D017B2" w:rsidRPr="00D017B2">
        <w:rPr>
          <w:i/>
          <w:iCs/>
        </w:rPr>
        <w:t xml:space="preserve">mediante </w:t>
      </w:r>
      <w:r w:rsidR="0054061C">
        <w:rPr>
          <w:i/>
          <w:iCs/>
        </w:rPr>
        <w:t xml:space="preserve">la </w:t>
      </w:r>
      <w:r w:rsidRPr="00FC1B0A">
        <w:rPr>
          <w:i/>
          <w:iCs/>
        </w:rPr>
        <w:t>intervención de la concentración</w:t>
      </w:r>
      <w:r>
        <w:t xml:space="preserve"> </w:t>
      </w:r>
      <w:r w:rsidR="00D017B2">
        <w:t xml:space="preserve">ya </w:t>
      </w:r>
      <w:r>
        <w:t>que se dice</w:t>
      </w:r>
      <w:r w:rsidR="0054061C">
        <w:t xml:space="preserve"> al respecto</w:t>
      </w:r>
      <w:r>
        <w:t xml:space="preserve">: “El significado (propósito) </w:t>
      </w:r>
      <w:r w:rsidR="00D017B2">
        <w:t>de</w:t>
      </w:r>
      <w:r>
        <w:t xml:space="preserve"> abandonar los obstáculos </w:t>
      </w:r>
      <w:r w:rsidR="00D017B2">
        <w:t xml:space="preserve">tendrá </w:t>
      </w:r>
      <w:r>
        <w:t xml:space="preserve">éxito </w:t>
      </w:r>
      <w:r w:rsidR="0054061C">
        <w:t>a través</w:t>
      </w:r>
      <w:r>
        <w:t xml:space="preserve"> del primer </w:t>
      </w:r>
      <w:proofErr w:type="spellStart"/>
      <w:r w:rsidR="00057BF4" w:rsidRPr="00057BF4">
        <w:rPr>
          <w:i/>
        </w:rPr>
        <w:t>jhāna</w:t>
      </w:r>
      <w:proofErr w:type="spellEnd"/>
      <w:r>
        <w:t xml:space="preserve">, por lo tanto </w:t>
      </w:r>
      <w:r w:rsidR="00D017B2">
        <w:t>será</w:t>
      </w:r>
      <w:r>
        <w:t xml:space="preserve"> </w:t>
      </w:r>
      <w:r w:rsidR="0054061C">
        <w:t xml:space="preserve">un </w:t>
      </w:r>
      <w:r>
        <w:t xml:space="preserve">éxito </w:t>
      </w:r>
      <w:r w:rsidR="00D017B2">
        <w:t xml:space="preserve">mediante </w:t>
      </w:r>
      <w:r w:rsidR="0054061C">
        <w:t xml:space="preserve">la </w:t>
      </w:r>
      <w:r>
        <w:t xml:space="preserve">intervención de </w:t>
      </w:r>
      <w:r w:rsidR="00D017B2">
        <w:t xml:space="preserve">la </w:t>
      </w:r>
      <w:r>
        <w:t xml:space="preserve">concentración... El significado (propósito) </w:t>
      </w:r>
      <w:r w:rsidR="00D017B2">
        <w:t>de</w:t>
      </w:r>
      <w:r>
        <w:t xml:space="preserve"> abandonar la base consiste</w:t>
      </w:r>
      <w:r w:rsidR="00D017B2">
        <w:t>nte</w:t>
      </w:r>
      <w:r>
        <w:t xml:space="preserve"> </w:t>
      </w:r>
      <w:r w:rsidR="00D017B2">
        <w:t xml:space="preserve">del vacío tendrá </w:t>
      </w:r>
      <w:r>
        <w:t>éxito por medio del logro de la base consiste</w:t>
      </w:r>
      <w:r w:rsidR="00D017B2">
        <w:t>nte</w:t>
      </w:r>
      <w:r>
        <w:t xml:space="preserve"> </w:t>
      </w:r>
      <w:r w:rsidR="00D017B2">
        <w:t xml:space="preserve">de la </w:t>
      </w:r>
      <w:r>
        <w:t>n</w:t>
      </w:r>
      <w:r w:rsidR="00D017B2">
        <w:t>o-</w:t>
      </w:r>
      <w:r>
        <w:t>percepción</w:t>
      </w:r>
      <w:r w:rsidR="00D017B2">
        <w:t>-</w:t>
      </w:r>
      <w:r>
        <w:t>ni</w:t>
      </w:r>
      <w:r w:rsidR="00D017B2">
        <w:t>-</w:t>
      </w:r>
      <w:r>
        <w:t>no</w:t>
      </w:r>
      <w:r w:rsidR="00D017B2">
        <w:t>-</w:t>
      </w:r>
      <w:r>
        <w:t xml:space="preserve">percepción, por lo tanto </w:t>
      </w:r>
      <w:r w:rsidR="00DF2227">
        <w:t xml:space="preserve">será </w:t>
      </w:r>
      <w:r w:rsidR="0054061C">
        <w:t>corresponderá a un</w:t>
      </w:r>
      <w:r>
        <w:t xml:space="preserve"> éxito </w:t>
      </w:r>
      <w:r w:rsidR="00DF2227">
        <w:t xml:space="preserve">mediante </w:t>
      </w:r>
      <w:r w:rsidR="0054061C">
        <w:t xml:space="preserve">la </w:t>
      </w:r>
      <w:r>
        <w:t xml:space="preserve">intervención de </w:t>
      </w:r>
      <w:r w:rsidR="00DF2227">
        <w:t xml:space="preserve">la </w:t>
      </w:r>
      <w:r>
        <w:t>concentración</w:t>
      </w:r>
      <w:r w:rsidR="00DF2227">
        <w:t>.</w:t>
      </w:r>
      <w:r>
        <w:t xml:space="preserve"> </w:t>
      </w:r>
      <w:r w:rsidR="00DF2227">
        <w:t xml:space="preserve">Se trató de este </w:t>
      </w:r>
      <w:r>
        <w:t xml:space="preserve">éxito </w:t>
      </w:r>
      <w:r w:rsidR="00DF2227">
        <w:t xml:space="preserve">mediante </w:t>
      </w:r>
      <w:r w:rsidR="00B42763">
        <w:t xml:space="preserve">la </w:t>
      </w:r>
      <w:r>
        <w:t xml:space="preserve">intervención de la concentración en el </w:t>
      </w:r>
      <w:r w:rsidR="00DF2227">
        <w:t xml:space="preserve">caso del Venerable </w:t>
      </w:r>
      <w:r>
        <w:t xml:space="preserve">Sāriputta… </w:t>
      </w:r>
      <w:r w:rsidR="00DF2227">
        <w:t>d</w:t>
      </w:r>
      <w:r>
        <w:t xml:space="preserve">el </w:t>
      </w:r>
      <w:r w:rsidR="00B42763">
        <w:t xml:space="preserve">Venerable </w:t>
      </w:r>
      <w:proofErr w:type="spellStart"/>
      <w:r>
        <w:t>Sañjīva</w:t>
      </w:r>
      <w:proofErr w:type="spellEnd"/>
      <w:r>
        <w:t xml:space="preserve">… </w:t>
      </w:r>
      <w:r w:rsidR="00DF2227">
        <w:t>de</w:t>
      </w:r>
      <w:r>
        <w:t xml:space="preserve">l </w:t>
      </w:r>
      <w:r w:rsidR="00DF2227">
        <w:t xml:space="preserve">Venerable </w:t>
      </w:r>
      <w:proofErr w:type="spellStart"/>
      <w:r>
        <w:t>Khāṇu-Kondañña</w:t>
      </w:r>
      <w:proofErr w:type="spellEnd"/>
      <w:r>
        <w:t xml:space="preserve">… </w:t>
      </w:r>
      <w:r w:rsidR="00DF2227">
        <w:t>de</w:t>
      </w:r>
      <w:r>
        <w:t xml:space="preserve"> la devota laica </w:t>
      </w:r>
      <w:r w:rsidR="00B42763">
        <w:br/>
      </w:r>
      <w:proofErr w:type="spellStart"/>
      <w:r>
        <w:t>Uttarā</w:t>
      </w:r>
      <w:proofErr w:type="spellEnd"/>
      <w:r>
        <w:t xml:space="preserve">… </w:t>
      </w:r>
      <w:r w:rsidR="00DF2227">
        <w:t>de</w:t>
      </w:r>
      <w:r>
        <w:t xml:space="preserve"> la devota laica </w:t>
      </w:r>
      <w:proofErr w:type="spellStart"/>
      <w:r>
        <w:t>Sāmāvat</w:t>
      </w:r>
      <w:r w:rsidR="00D96F79">
        <w:t>ī</w:t>
      </w:r>
      <w:proofErr w:type="spellEnd"/>
      <w:r>
        <w:t>” (</w:t>
      </w:r>
      <w:proofErr w:type="spellStart"/>
      <w:r w:rsidRPr="00D96F79">
        <w:rPr>
          <w:i/>
          <w:iCs/>
        </w:rPr>
        <w:t>Paṭis</w:t>
      </w:r>
      <w:proofErr w:type="spellEnd"/>
      <w:r>
        <w:t xml:space="preserve"> II 211–12).</w:t>
      </w:r>
    </w:p>
    <w:p w14:paraId="4D63B91C" w14:textId="0520D454" w:rsidR="00F67919" w:rsidRDefault="00F67919" w:rsidP="00F67919">
      <w:r>
        <w:t xml:space="preserve">31. </w:t>
      </w:r>
      <w:r>
        <w:tab/>
      </w:r>
      <w:r w:rsidR="009E3CC7">
        <w:t>Al respecto</w:t>
      </w:r>
      <w:r>
        <w:t xml:space="preserve">, mientras el </w:t>
      </w:r>
      <w:r w:rsidR="009E3CC7">
        <w:t xml:space="preserve">Venerable </w:t>
      </w:r>
      <w:r>
        <w:t xml:space="preserve">Sāriputta vivía con el </w:t>
      </w:r>
      <w:r w:rsidR="00FC1B0A">
        <w:t xml:space="preserve">Venerable </w:t>
      </w:r>
      <w:r>
        <w:t xml:space="preserve">Mahā Moggallāna en </w:t>
      </w:r>
      <w:proofErr w:type="spellStart"/>
      <w:r>
        <w:t>Kapotakandarā</w:t>
      </w:r>
      <w:proofErr w:type="spellEnd"/>
      <w:r>
        <w:t xml:space="preserve">, estaba sentado al aire libre en una noche de </w:t>
      </w:r>
      <w:r w:rsidR="009E3CC7">
        <w:t xml:space="preserve">Luna </w:t>
      </w:r>
      <w:r>
        <w:t xml:space="preserve">llena con el cabello recién cortado. Entonces un espíritu maligno, aunque advertido por su compañero, le dio un golpe en la cabeza, cuyo ruido fue como un trueno. En el momento en que se dio el golpe, el </w:t>
      </w:r>
      <w:r w:rsidR="00ED461B">
        <w:t xml:space="preserve">Venerable </w:t>
      </w:r>
      <w:r>
        <w:t xml:space="preserve">estaba absorto en un logro; en consecuencia, no sufrió ningún daño por el golpe. Este fue un éxito </w:t>
      </w:r>
      <w:r w:rsidR="00ED461B">
        <w:t xml:space="preserve">mediante </w:t>
      </w:r>
      <w:r w:rsidR="00166DA5">
        <w:t xml:space="preserve">la </w:t>
      </w:r>
      <w:r>
        <w:t xml:space="preserve">intervención de la concentración en aquel </w:t>
      </w:r>
      <w:r w:rsidR="00ED461B">
        <w:t>Venerable</w:t>
      </w:r>
      <w:r>
        <w:t xml:space="preserve">. La historia también se da en el </w:t>
      </w:r>
      <w:proofErr w:type="spellStart"/>
      <w:r w:rsidRPr="00FC1B0A">
        <w:rPr>
          <w:i/>
          <w:iCs/>
        </w:rPr>
        <w:t>Udāna</w:t>
      </w:r>
      <w:proofErr w:type="spellEnd"/>
      <w:r>
        <w:t xml:space="preserve"> (</w:t>
      </w:r>
      <w:proofErr w:type="spellStart"/>
      <w:r>
        <w:t>Ud</w:t>
      </w:r>
      <w:proofErr w:type="spellEnd"/>
      <w:r>
        <w:t xml:space="preserve"> 39).</w:t>
      </w:r>
    </w:p>
    <w:p w14:paraId="05C14596" w14:textId="2F6EC8D1" w:rsidR="00F67919" w:rsidRDefault="00F67919" w:rsidP="00F67919">
      <w:r>
        <w:t xml:space="preserve">32. </w:t>
      </w:r>
      <w:r w:rsidR="00ED461B">
        <w:tab/>
      </w:r>
      <w:r>
        <w:t xml:space="preserve">Mientras el </w:t>
      </w:r>
      <w:r w:rsidR="00FC1B0A">
        <w:t xml:space="preserve">Venerable </w:t>
      </w:r>
      <w:proofErr w:type="spellStart"/>
      <w:r>
        <w:t>Sañjīva</w:t>
      </w:r>
      <w:proofErr w:type="spellEnd"/>
      <w:r>
        <w:t xml:space="preserve"> estaba </w:t>
      </w:r>
      <w:r w:rsidR="00ED461B">
        <w:t>consumando</w:t>
      </w:r>
      <w:r>
        <w:t xml:space="preserve"> </w:t>
      </w:r>
      <w:r w:rsidR="005674EB">
        <w:t xml:space="preserve">absorción de </w:t>
      </w:r>
      <w:r>
        <w:t xml:space="preserve">la cesación, los pastores de vacas, etc., que lo </w:t>
      </w:r>
      <w:r w:rsidR="00C95BA7">
        <w:t>vieron</w:t>
      </w:r>
      <w:r>
        <w:t xml:space="preserve"> pensaron que estaba muerto. Trajeron hierba, palos y estiércol de vaca y les prendieron fuego. Ni siquiera se quemó </w:t>
      </w:r>
      <w:r w:rsidR="00C95BA7">
        <w:t xml:space="preserve">la </w:t>
      </w:r>
      <w:r>
        <w:t>esquina de</w:t>
      </w:r>
      <w:r w:rsidR="00ED461B">
        <w:t xml:space="preserve">l ropaje </w:t>
      </w:r>
      <w:r>
        <w:t xml:space="preserve">del </w:t>
      </w:r>
      <w:r w:rsidR="00ED461B">
        <w:t>Venerable</w:t>
      </w:r>
      <w:r>
        <w:t xml:space="preserve">. </w:t>
      </w:r>
      <w:r w:rsidR="00C95BA7">
        <w:t>É</w:t>
      </w:r>
      <w:r>
        <w:t xml:space="preserve">ste fue un éxito </w:t>
      </w:r>
      <w:r w:rsidR="00ED461B">
        <w:t xml:space="preserve">mediante </w:t>
      </w:r>
      <w:r>
        <w:t xml:space="preserve">la intervención de la concentración en él porque fue provocado </w:t>
      </w:r>
      <w:r w:rsidR="00ED461B">
        <w:t xml:space="preserve">mediante </w:t>
      </w:r>
      <w:r>
        <w:t xml:space="preserve">la influencia de la serenidad </w:t>
      </w:r>
      <w:r w:rsidR="001D1382">
        <w:t xml:space="preserve">producida mediante </w:t>
      </w:r>
      <w:r w:rsidR="00E33C2A">
        <w:t>el</w:t>
      </w:r>
      <w:r>
        <w:t xml:space="preserve"> logro sucesivo de cada uno de los ocho </w:t>
      </w:r>
      <w:proofErr w:type="spellStart"/>
      <w:r w:rsidR="00057BF4" w:rsidRPr="00057BF4">
        <w:rPr>
          <w:i/>
        </w:rPr>
        <w:t>jhāna</w:t>
      </w:r>
      <w:r>
        <w:t>s</w:t>
      </w:r>
      <w:proofErr w:type="spellEnd"/>
      <w:r>
        <w:t xml:space="preserve"> que preceden a la cesación. </w:t>
      </w:r>
      <w:r w:rsidR="00E33C2A">
        <w:t xml:space="preserve">No obstante, </w:t>
      </w:r>
      <w:r>
        <w:t xml:space="preserve">la historia también se da en los </w:t>
      </w:r>
      <w:r w:rsidRPr="00E33C2A">
        <w:rPr>
          <w:i/>
          <w:iCs/>
        </w:rPr>
        <w:t>Suttas</w:t>
      </w:r>
      <w:r>
        <w:t xml:space="preserve"> (M I 333).</w:t>
      </w:r>
    </w:p>
    <w:p w14:paraId="5970968F" w14:textId="03DDEF66" w:rsidR="00F67919" w:rsidRDefault="00F67919" w:rsidP="00F67919">
      <w:r>
        <w:t xml:space="preserve">33. </w:t>
      </w:r>
      <w:r>
        <w:tab/>
        <w:t xml:space="preserve">El </w:t>
      </w:r>
      <w:r w:rsidR="00FC1B0A">
        <w:t>Venerable</w:t>
      </w:r>
      <w:r>
        <w:t xml:space="preserve"> </w:t>
      </w:r>
      <w:proofErr w:type="spellStart"/>
      <w:r>
        <w:t>Khāṇu</w:t>
      </w:r>
      <w:proofErr w:type="spellEnd"/>
      <w:r>
        <w:t xml:space="preserve"> </w:t>
      </w:r>
      <w:proofErr w:type="spellStart"/>
      <w:r>
        <w:t>Kondañña</w:t>
      </w:r>
      <w:proofErr w:type="spellEnd"/>
      <w:r>
        <w:t xml:space="preserve"> estaba naturalmente dotado en </w:t>
      </w:r>
      <w:r w:rsidR="006C3FF9">
        <w:t>las absorciones</w:t>
      </w:r>
      <w:r>
        <w:t xml:space="preserve">. Estaba sentado absorto en </w:t>
      </w:r>
      <w:r w:rsidR="006C3FF9">
        <w:t>una absorción</w:t>
      </w:r>
      <w:r>
        <w:t xml:space="preserve"> una noche en cierto bosque. [381] Quinientos ladrones </w:t>
      </w:r>
      <w:r w:rsidR="001D1382">
        <w:t xml:space="preserve">llegaron </w:t>
      </w:r>
      <w:r>
        <w:t xml:space="preserve">con </w:t>
      </w:r>
      <w:r w:rsidR="006C3FF9">
        <w:t>un</w:t>
      </w:r>
      <w:r>
        <w:t xml:space="preserve"> botín robado. Pensando que nadie los seguía y que necesitaban descansar, dejaron el botín. Creyendo que el </w:t>
      </w:r>
      <w:r w:rsidR="006C3FF9">
        <w:t xml:space="preserve">Venerable </w:t>
      </w:r>
      <w:r>
        <w:t xml:space="preserve">era </w:t>
      </w:r>
      <w:r w:rsidR="006C3FF9">
        <w:t>el</w:t>
      </w:r>
      <w:r>
        <w:t xml:space="preserve"> tocón de </w:t>
      </w:r>
      <w:r w:rsidR="006C3FF9">
        <w:t xml:space="preserve">un </w:t>
      </w:r>
      <w:r>
        <w:t>árbol (</w:t>
      </w:r>
      <w:proofErr w:type="spellStart"/>
      <w:r w:rsidRPr="00FC1B0A">
        <w:rPr>
          <w:i/>
          <w:iCs/>
        </w:rPr>
        <w:t>khāṇuka</w:t>
      </w:r>
      <w:proofErr w:type="spellEnd"/>
      <w:r>
        <w:t xml:space="preserve">), amontonaron todo el botín sobre él. El </w:t>
      </w:r>
      <w:r w:rsidR="00916231">
        <w:t>Venerable emergió</w:t>
      </w:r>
      <w:r>
        <w:t xml:space="preserve"> a la hora predeterminada justo cuando </w:t>
      </w:r>
      <w:r w:rsidR="009A0421">
        <w:t xml:space="preserve">ellos </w:t>
      </w:r>
      <w:r>
        <w:t>estaban a punto de partir</w:t>
      </w:r>
      <w:r w:rsidR="00916231">
        <w:t>,</w:t>
      </w:r>
      <w:r>
        <w:t xml:space="preserve"> después de </w:t>
      </w:r>
      <w:r w:rsidR="00916231">
        <w:t xml:space="preserve">haber </w:t>
      </w:r>
      <w:r>
        <w:t>descansa</w:t>
      </w:r>
      <w:r w:rsidR="00916231">
        <w:t>do</w:t>
      </w:r>
      <w:r>
        <w:t xml:space="preserve">, en el mismo momento en que el que había dejado su botín primero </w:t>
      </w:r>
      <w:r w:rsidR="003A367B">
        <w:t>procedieron a recogerlo</w:t>
      </w:r>
      <w:r>
        <w:t xml:space="preserve">. Cuando vieron moverse al </w:t>
      </w:r>
      <w:r w:rsidR="00916231">
        <w:t>Venerable</w:t>
      </w:r>
      <w:r>
        <w:t xml:space="preserve">, gritaron de miedo. </w:t>
      </w:r>
    </w:p>
    <w:p w14:paraId="5018BEDF" w14:textId="77777777" w:rsidR="00F67919" w:rsidRDefault="00F67919">
      <w:pPr>
        <w:tabs>
          <w:tab w:val="clear" w:pos="425"/>
        </w:tabs>
        <w:spacing w:after="160"/>
      </w:pPr>
      <w:r>
        <w:br w:type="page"/>
      </w:r>
    </w:p>
    <w:p w14:paraId="415A2D0F" w14:textId="179C2097" w:rsidR="00CE39CE" w:rsidRDefault="00CE39CE" w:rsidP="00F67919">
      <w:r>
        <w:lastRenderedPageBreak/>
        <w:br/>
      </w:r>
    </w:p>
    <w:p w14:paraId="0276CE46" w14:textId="00206216" w:rsidR="00CE39CE" w:rsidRDefault="009A0421" w:rsidP="00CE39CE">
      <w:r>
        <w:t xml:space="preserve">El </w:t>
      </w:r>
      <w:r w:rsidR="003A367B">
        <w:t>Venerable dijo: “No tengan miedo, seguidores laicos; soy un</w:t>
      </w:r>
      <w:r w:rsidR="003A367B" w:rsidRPr="00057BF4">
        <w:rPr>
          <w:i/>
        </w:rPr>
        <w:t xml:space="preserve"> </w:t>
      </w:r>
      <w:proofErr w:type="spellStart"/>
      <w:r w:rsidR="00057BF4" w:rsidRPr="00057BF4">
        <w:rPr>
          <w:i/>
        </w:rPr>
        <w:t>bhikkhu</w:t>
      </w:r>
      <w:proofErr w:type="spellEnd"/>
      <w:r w:rsidR="00CE39CE">
        <w:t xml:space="preserve">.” </w:t>
      </w:r>
      <w:r w:rsidR="003A367B">
        <w:t>Ellos regresaron</w:t>
      </w:r>
      <w:r w:rsidR="00CE39CE">
        <w:t xml:space="preserve"> y </w:t>
      </w:r>
      <w:r w:rsidR="003A367B">
        <w:t xml:space="preserve">le </w:t>
      </w:r>
      <w:r w:rsidR="00CE39CE">
        <w:t xml:space="preserve">rindieron </w:t>
      </w:r>
      <w:r w:rsidR="003A367B">
        <w:t>reverencia</w:t>
      </w:r>
      <w:r w:rsidR="00CE39CE">
        <w:t xml:space="preserve">. Tal </w:t>
      </w:r>
      <w:r w:rsidR="003A367B">
        <w:t>fue su fe</w:t>
      </w:r>
      <w:r w:rsidR="00CE39CE">
        <w:t xml:space="preserve"> en el </w:t>
      </w:r>
      <w:r w:rsidR="003A367B">
        <w:t xml:space="preserve">Venerable </w:t>
      </w:r>
      <w:r w:rsidR="00CE39CE">
        <w:t xml:space="preserve">que se </w:t>
      </w:r>
      <w:r w:rsidR="003A367B">
        <w:t>ordenaron</w:t>
      </w:r>
      <w:r w:rsidR="00CE39CE">
        <w:t xml:space="preserve"> y eventualmente </w:t>
      </w:r>
      <w:r w:rsidR="003A367B">
        <w:t>consumaron</w:t>
      </w:r>
      <w:r w:rsidR="00CE39CE">
        <w:t xml:space="preserve"> el estado de </w:t>
      </w:r>
      <w:r w:rsidR="00057BF4" w:rsidRPr="00057BF4">
        <w:rPr>
          <w:i/>
        </w:rPr>
        <w:t>Arahant</w:t>
      </w:r>
      <w:r w:rsidR="00CE39CE">
        <w:t xml:space="preserve"> junto con las discriminaciones. La ausencia aquí de </w:t>
      </w:r>
      <w:r w:rsidR="00C91DB9">
        <w:t>perjuicio</w:t>
      </w:r>
      <w:r w:rsidR="00CE39CE">
        <w:t xml:space="preserve"> </w:t>
      </w:r>
      <w:r w:rsidR="00FC07F3">
        <w:t>en e</w:t>
      </w:r>
      <w:r w:rsidR="00CE39CE">
        <w:t xml:space="preserve">l </w:t>
      </w:r>
      <w:r w:rsidR="00C91DB9">
        <w:t>Venerab</w:t>
      </w:r>
      <w:r w:rsidR="00FC07F3">
        <w:t>l</w:t>
      </w:r>
      <w:r w:rsidR="00C91DB9">
        <w:t>e</w:t>
      </w:r>
      <w:r w:rsidR="00CE39CE">
        <w:t xml:space="preserve">, cubierto como estaba </w:t>
      </w:r>
      <w:r w:rsidR="00C91DB9">
        <w:t>de</w:t>
      </w:r>
      <w:r w:rsidR="00CE39CE">
        <w:t xml:space="preserve"> quinientos fardos de bienes, </w:t>
      </w:r>
      <w:r w:rsidR="00FC07F3">
        <w:t>se debió a</w:t>
      </w:r>
      <w:r w:rsidR="00C91DB9">
        <w:t>l</w:t>
      </w:r>
      <w:r w:rsidR="00CE39CE">
        <w:t xml:space="preserve"> éxito </w:t>
      </w:r>
      <w:r w:rsidR="00C91DB9">
        <w:t xml:space="preserve">mediante </w:t>
      </w:r>
      <w:r w:rsidR="00FC07F3">
        <w:t xml:space="preserve">la </w:t>
      </w:r>
      <w:r w:rsidR="00CE39CE">
        <w:t xml:space="preserve">intervención de la concentración (ver </w:t>
      </w:r>
      <w:proofErr w:type="spellStart"/>
      <w:r w:rsidR="00CE39CE">
        <w:t>Dhp</w:t>
      </w:r>
      <w:proofErr w:type="spellEnd"/>
      <w:r w:rsidR="00CE39CE">
        <w:t>-a II 254).</w:t>
      </w:r>
    </w:p>
    <w:p w14:paraId="22D40556" w14:textId="45D22491" w:rsidR="00CE39CE" w:rsidRDefault="00CE39CE" w:rsidP="00CE39CE">
      <w:r>
        <w:t xml:space="preserve">34. </w:t>
      </w:r>
      <w:r>
        <w:tab/>
        <w:t xml:space="preserve">La devota laica </w:t>
      </w:r>
      <w:proofErr w:type="spellStart"/>
      <w:r>
        <w:t>Uttarā</w:t>
      </w:r>
      <w:proofErr w:type="spellEnd"/>
      <w:r>
        <w:t xml:space="preserve"> era hija de un hombre rico llamado </w:t>
      </w:r>
      <w:proofErr w:type="spellStart"/>
      <w:r>
        <w:t>Puṇṇaka</w:t>
      </w:r>
      <w:proofErr w:type="spellEnd"/>
      <w:r>
        <w:t xml:space="preserve">. Una ramera llamada </w:t>
      </w:r>
      <w:proofErr w:type="spellStart"/>
      <w:r>
        <w:t>Sirimā</w:t>
      </w:r>
      <w:proofErr w:type="spellEnd"/>
      <w:r w:rsidR="0000259E">
        <w:t>,</w:t>
      </w:r>
      <w:r>
        <w:t xml:space="preserve"> envidiosa de ella, derramó una </w:t>
      </w:r>
      <w:r w:rsidR="0000259E">
        <w:t>olla</w:t>
      </w:r>
      <w:r>
        <w:t xml:space="preserve"> de aceite caliente sobre su cabeza. En ese momento, </w:t>
      </w:r>
      <w:proofErr w:type="spellStart"/>
      <w:r>
        <w:t>Uttarā</w:t>
      </w:r>
      <w:proofErr w:type="spellEnd"/>
      <w:r>
        <w:t xml:space="preserve"> había </w:t>
      </w:r>
      <w:r w:rsidR="0000259E">
        <w:t>penetr</w:t>
      </w:r>
      <w:r w:rsidR="00FC07F3">
        <w:t>ado</w:t>
      </w:r>
      <w:r w:rsidR="0000259E">
        <w:t xml:space="preserve"> en el </w:t>
      </w:r>
      <w:proofErr w:type="spellStart"/>
      <w:r w:rsidR="00057BF4" w:rsidRPr="00057BF4">
        <w:rPr>
          <w:i/>
        </w:rPr>
        <w:t>jhāna</w:t>
      </w:r>
      <w:proofErr w:type="spellEnd"/>
      <w:r>
        <w:t xml:space="preserve"> </w:t>
      </w:r>
      <w:r w:rsidR="0000259E">
        <w:t>del amor be</w:t>
      </w:r>
      <w:r w:rsidR="004D1E49">
        <w:t>nevolente</w:t>
      </w:r>
      <w:r>
        <w:t xml:space="preserve">. El aceite corrió </w:t>
      </w:r>
      <w:r w:rsidR="004D1E49">
        <w:t>sobre</w:t>
      </w:r>
      <w:r>
        <w:t xml:space="preserve"> ella como </w:t>
      </w:r>
      <w:r w:rsidR="004D1E49">
        <w:t xml:space="preserve">si fuera </w:t>
      </w:r>
      <w:r>
        <w:t xml:space="preserve">agua sobre una hoja de loto. </w:t>
      </w:r>
      <w:r w:rsidR="004D1E49">
        <w:t>É</w:t>
      </w:r>
      <w:r>
        <w:t xml:space="preserve">ste fue el éxito </w:t>
      </w:r>
      <w:r w:rsidR="004D1E49">
        <w:t xml:space="preserve">mediante </w:t>
      </w:r>
      <w:r>
        <w:t xml:space="preserve">la intervención de la concentración en ella. </w:t>
      </w:r>
      <w:r w:rsidR="004D1E49">
        <w:t xml:space="preserve">No obstante, </w:t>
      </w:r>
      <w:r>
        <w:t xml:space="preserve">la historia debe darse en detalle (ver </w:t>
      </w:r>
      <w:proofErr w:type="spellStart"/>
      <w:r>
        <w:t>Dhp</w:t>
      </w:r>
      <w:proofErr w:type="spellEnd"/>
      <w:r>
        <w:t xml:space="preserve">-a III 310; </w:t>
      </w:r>
      <w:proofErr w:type="spellStart"/>
      <w:r>
        <w:t>Aa</w:t>
      </w:r>
      <w:proofErr w:type="spellEnd"/>
      <w:r>
        <w:t xml:space="preserve"> I 451).</w:t>
      </w:r>
    </w:p>
    <w:p w14:paraId="3ADD66AC" w14:textId="47B7B326" w:rsidR="00CE39CE" w:rsidRDefault="00CE39CE" w:rsidP="00CE39CE">
      <w:r>
        <w:t xml:space="preserve">35. </w:t>
      </w:r>
      <w:r>
        <w:tab/>
        <w:t xml:space="preserve">La </w:t>
      </w:r>
      <w:r w:rsidR="00FC1B0A">
        <w:t xml:space="preserve">Reina </w:t>
      </w:r>
      <w:r>
        <w:t xml:space="preserve">principal del </w:t>
      </w:r>
      <w:r w:rsidR="00AB748B">
        <w:t xml:space="preserve">Rey </w:t>
      </w:r>
      <w:proofErr w:type="spellStart"/>
      <w:r>
        <w:t>Udena</w:t>
      </w:r>
      <w:proofErr w:type="spellEnd"/>
      <w:r>
        <w:t xml:space="preserve"> se llamaba </w:t>
      </w:r>
      <w:proofErr w:type="spellStart"/>
      <w:r>
        <w:t>Sāmāvat</w:t>
      </w:r>
      <w:r w:rsidR="00FE6995">
        <w:t>ī</w:t>
      </w:r>
      <w:proofErr w:type="spellEnd"/>
      <w:r>
        <w:t xml:space="preserve">. El </w:t>
      </w:r>
      <w:r w:rsidRPr="00FC1B0A">
        <w:rPr>
          <w:i/>
          <w:iCs/>
        </w:rPr>
        <w:t>brahmán</w:t>
      </w:r>
      <w:r>
        <w:t xml:space="preserve"> </w:t>
      </w:r>
      <w:proofErr w:type="spellStart"/>
      <w:r>
        <w:t>Māgaṇḍiya</w:t>
      </w:r>
      <w:proofErr w:type="spellEnd"/>
      <w:r>
        <w:t xml:space="preserve">, que aspiraba a elevar a su propia hija al puesto de reina principal, puso una serpiente venenosa en el laúd de </w:t>
      </w:r>
      <w:proofErr w:type="spellStart"/>
      <w:r w:rsidR="00FE6995">
        <w:t>Sāmāvatī</w:t>
      </w:r>
      <w:proofErr w:type="spellEnd"/>
      <w:r>
        <w:t xml:space="preserve">. Luego le dijo al </w:t>
      </w:r>
      <w:r w:rsidR="00FE6995">
        <w:t>Rey</w:t>
      </w:r>
      <w:r>
        <w:t>: “</w:t>
      </w:r>
      <w:proofErr w:type="spellStart"/>
      <w:r w:rsidR="00FE6995">
        <w:t>Sāmāvatī</w:t>
      </w:r>
      <w:proofErr w:type="spellEnd"/>
      <w:r w:rsidR="00FE6995">
        <w:t xml:space="preserve"> </w:t>
      </w:r>
      <w:r>
        <w:t>quiere matar</w:t>
      </w:r>
      <w:r w:rsidR="00FE6995">
        <w:t>lo</w:t>
      </w:r>
      <w:r>
        <w:t xml:space="preserve">, </w:t>
      </w:r>
      <w:r w:rsidR="007B05D0">
        <w:t>Señor</w:t>
      </w:r>
      <w:r>
        <w:t xml:space="preserve">. Lleva una serpiente venenosa en su laúd. Cuando el </w:t>
      </w:r>
      <w:r w:rsidR="00FE6995">
        <w:t xml:space="preserve">Rey </w:t>
      </w:r>
      <w:r>
        <w:t>lo encontró, se puso furioso. Con la intención de matarla, tomó su arco y apuntó una flecha envenenada</w:t>
      </w:r>
      <w:r w:rsidR="007B05D0">
        <w:t xml:space="preserve"> hacia ella</w:t>
      </w:r>
      <w:r>
        <w:t xml:space="preserve">. </w:t>
      </w:r>
      <w:proofErr w:type="spellStart"/>
      <w:r w:rsidR="00FE6995">
        <w:t>Sāmāvatī</w:t>
      </w:r>
      <w:proofErr w:type="spellEnd"/>
      <w:r w:rsidR="00FE6995">
        <w:t xml:space="preserve"> </w:t>
      </w:r>
      <w:r>
        <w:t xml:space="preserve">con su séquito </w:t>
      </w:r>
      <w:r w:rsidR="00FE6995">
        <w:t>transmitió</w:t>
      </w:r>
      <w:r>
        <w:t xml:space="preserve"> al </w:t>
      </w:r>
      <w:r w:rsidR="00FE6995">
        <w:t>Rey amor benevolente</w:t>
      </w:r>
      <w:r>
        <w:t xml:space="preserve">. El </w:t>
      </w:r>
      <w:r w:rsidR="00AB5471">
        <w:t xml:space="preserve">Rey </w:t>
      </w:r>
      <w:r>
        <w:t xml:space="preserve">se </w:t>
      </w:r>
      <w:r w:rsidR="00AB5471">
        <w:t>puso a temb</w:t>
      </w:r>
      <w:r w:rsidR="00321900">
        <w:t>l</w:t>
      </w:r>
      <w:r w:rsidR="00AB5471">
        <w:t>ar</w:t>
      </w:r>
      <w:r>
        <w:t xml:space="preserve">, incapaz de disparar la flecha o </w:t>
      </w:r>
      <w:r w:rsidR="00321900">
        <w:t>ponerla a un lado</w:t>
      </w:r>
      <w:r>
        <w:t xml:space="preserve">. Entonces la </w:t>
      </w:r>
      <w:r w:rsidR="00AB5471">
        <w:t xml:space="preserve">Reina </w:t>
      </w:r>
      <w:r>
        <w:t xml:space="preserve">le dijo: "¿Qué pasa, </w:t>
      </w:r>
      <w:r w:rsidR="00AB5471">
        <w:t>Señor</w:t>
      </w:r>
      <w:r>
        <w:t xml:space="preserve">, está cansado?" </w:t>
      </w:r>
      <w:r w:rsidR="0074259F" w:rsidRPr="0074259F">
        <w:t>—</w:t>
      </w:r>
      <w:r>
        <w:t xml:space="preserve"> "Sí, estoy cansado". </w:t>
      </w:r>
      <w:r w:rsidR="0074259F" w:rsidRPr="0074259F">
        <w:t>—</w:t>
      </w:r>
      <w:r>
        <w:t xml:space="preserve"> "Entonces baj</w:t>
      </w:r>
      <w:r w:rsidR="00AB5471">
        <w:t>e</w:t>
      </w:r>
      <w:r>
        <w:t xml:space="preserve"> el arco". La flecha cayó a</w:t>
      </w:r>
      <w:r w:rsidR="00AB5471">
        <w:t>nte</w:t>
      </w:r>
      <w:r>
        <w:t xml:space="preserve"> los pies del </w:t>
      </w:r>
      <w:r w:rsidR="00AB5471">
        <w:t>Rey</w:t>
      </w:r>
      <w:r>
        <w:t xml:space="preserve">. Entonces la </w:t>
      </w:r>
      <w:r w:rsidR="00AB5471">
        <w:t xml:space="preserve">Reina </w:t>
      </w:r>
      <w:r>
        <w:t>le aconsejó: "Señor, uno no debe odiar a quien no ten</w:t>
      </w:r>
      <w:r w:rsidR="00AB5471">
        <w:t>ga</w:t>
      </w:r>
      <w:r>
        <w:t xml:space="preserve"> odio". Entonces, el hecho de que el </w:t>
      </w:r>
      <w:r w:rsidR="00EB0C30">
        <w:t xml:space="preserve">Rey </w:t>
      </w:r>
      <w:r>
        <w:t>no se atrevie</w:t>
      </w:r>
      <w:r w:rsidR="00EB0C30">
        <w:t>se</w:t>
      </w:r>
      <w:r>
        <w:t xml:space="preserve"> a soltar la flecha </w:t>
      </w:r>
      <w:r w:rsidR="00EB0C30">
        <w:t xml:space="preserve">correspondió al </w:t>
      </w:r>
      <w:r>
        <w:t xml:space="preserve">éxito debido a la intervención de la concentración en la mujer laica </w:t>
      </w:r>
      <w:proofErr w:type="spellStart"/>
      <w:r>
        <w:t>Sāmāvatī</w:t>
      </w:r>
      <w:proofErr w:type="spellEnd"/>
      <w:r>
        <w:t xml:space="preserve"> (ver </w:t>
      </w:r>
      <w:proofErr w:type="spellStart"/>
      <w:r>
        <w:t>Dhp</w:t>
      </w:r>
      <w:proofErr w:type="spellEnd"/>
      <w:r>
        <w:t>-a I 216; A-a I 443).</w:t>
      </w:r>
    </w:p>
    <w:p w14:paraId="5AB8A854" w14:textId="5307C1A6" w:rsidR="00CE39CE" w:rsidRDefault="00CE39CE" w:rsidP="00CE39CE">
      <w:r>
        <w:t xml:space="preserve">36. </w:t>
      </w:r>
      <w:r>
        <w:tab/>
        <w:t xml:space="preserve">(vi) </w:t>
      </w:r>
      <w:r w:rsidR="00EB0C30">
        <w:t>A l</w:t>
      </w:r>
      <w:r>
        <w:t xml:space="preserve">o </w:t>
      </w:r>
      <w:r w:rsidR="00590BDC">
        <w:t xml:space="preserve">que consista </w:t>
      </w:r>
      <w:r w:rsidR="00EB0C30">
        <w:t>e</w:t>
      </w:r>
      <w:r w:rsidR="007C2F6B">
        <w:t>n</w:t>
      </w:r>
      <w:r>
        <w:t xml:space="preserve"> </w:t>
      </w:r>
      <w:r w:rsidR="00EB0C30">
        <w:t xml:space="preserve">habitar </w:t>
      </w:r>
      <w:r>
        <w:t xml:space="preserve">percibiendo lo no repulsivo en lo repulsivo, etc., se </w:t>
      </w:r>
      <w:r w:rsidR="00EB0C30">
        <w:t xml:space="preserve">le </w:t>
      </w:r>
      <w:r>
        <w:t>llama</w:t>
      </w:r>
      <w:r w:rsidR="00EB0C30">
        <w:t>rá</w:t>
      </w:r>
      <w:r>
        <w:t xml:space="preserve"> </w:t>
      </w:r>
      <w:r w:rsidR="00EB0C30">
        <w:t xml:space="preserve">el </w:t>
      </w:r>
      <w:r w:rsidRPr="00AB748B">
        <w:rPr>
          <w:i/>
          <w:iCs/>
        </w:rPr>
        <w:t>éxito de los Nobles</w:t>
      </w:r>
      <w:r>
        <w:t xml:space="preserve">, según </w:t>
      </w:r>
      <w:r w:rsidR="00EB0C30">
        <w:t>lo dicho</w:t>
      </w:r>
      <w:r>
        <w:t xml:space="preserve">: “¿Cuál es el éxito de los Nobles? Aquí, si un </w:t>
      </w:r>
      <w:proofErr w:type="spellStart"/>
      <w:r w:rsidR="00057BF4" w:rsidRPr="00057BF4">
        <w:rPr>
          <w:i/>
        </w:rPr>
        <w:t>bhikkhu</w:t>
      </w:r>
      <w:proofErr w:type="spellEnd"/>
      <w:r>
        <w:t xml:space="preserve"> deseara, “Que pueda </w:t>
      </w:r>
      <w:r w:rsidR="00EA095C">
        <w:t xml:space="preserve">habitar </w:t>
      </w:r>
      <w:r>
        <w:t>percibiendo lo que no s</w:t>
      </w:r>
      <w:r w:rsidR="00EA095C">
        <w:t>ea</w:t>
      </w:r>
      <w:r>
        <w:t xml:space="preserve"> repulsivo en lo repulsivo”, él </w:t>
      </w:r>
      <w:r w:rsidR="00B52C79">
        <w:t>habita</w:t>
      </w:r>
      <w:r w:rsidR="007C2F6B">
        <w:t>rá</w:t>
      </w:r>
      <w:r w:rsidR="00B52C79">
        <w:t xml:space="preserve"> </w:t>
      </w:r>
      <w:r>
        <w:t>percibiendo lo que no s</w:t>
      </w:r>
      <w:r w:rsidR="00B52C79">
        <w:t>ea</w:t>
      </w:r>
      <w:r>
        <w:t xml:space="preserve"> repulsivo en e</w:t>
      </w:r>
      <w:r w:rsidR="00B52C79">
        <w:t>ll</w:t>
      </w:r>
      <w:r>
        <w:t xml:space="preserve">o… él </w:t>
      </w:r>
      <w:r w:rsidR="00783938">
        <w:t>habita</w:t>
      </w:r>
      <w:r w:rsidR="00B70334">
        <w:t>rá</w:t>
      </w:r>
      <w:r w:rsidR="00783938">
        <w:t xml:space="preserve"> </w:t>
      </w:r>
      <w:r>
        <w:t xml:space="preserve">en </w:t>
      </w:r>
      <w:r w:rsidR="00783938">
        <w:t xml:space="preserve">la </w:t>
      </w:r>
      <w:r>
        <w:t>ecuanimidad hacia e</w:t>
      </w:r>
      <w:r w:rsidR="00783938">
        <w:t>ll</w:t>
      </w:r>
      <w:r>
        <w:t>o, atento y plenamente consciente” (</w:t>
      </w:r>
      <w:proofErr w:type="spellStart"/>
      <w:r w:rsidRPr="00AB748B">
        <w:rPr>
          <w:i/>
          <w:iCs/>
        </w:rPr>
        <w:t>Paṭis</w:t>
      </w:r>
      <w:proofErr w:type="spellEnd"/>
      <w:r>
        <w:t xml:space="preserve"> II 212). [382] </w:t>
      </w:r>
      <w:r w:rsidR="00783938">
        <w:t>A e</w:t>
      </w:r>
      <w:r>
        <w:t xml:space="preserve">sto se </w:t>
      </w:r>
      <w:r w:rsidR="00783938">
        <w:t xml:space="preserve">le </w:t>
      </w:r>
      <w:r>
        <w:t>llama</w:t>
      </w:r>
      <w:r w:rsidR="00783938">
        <w:t>rá</w:t>
      </w:r>
      <w:r>
        <w:t xml:space="preserve"> "</w:t>
      </w:r>
      <w:r w:rsidR="00783938">
        <w:t xml:space="preserve">el </w:t>
      </w:r>
      <w:r>
        <w:t xml:space="preserve">éxito de los Nobles" </w:t>
      </w:r>
      <w:r w:rsidR="00B70334">
        <w:t xml:space="preserve">ya </w:t>
      </w:r>
      <w:r>
        <w:t>que solo se produc</w:t>
      </w:r>
      <w:r w:rsidR="00783938">
        <w:t>irá</w:t>
      </w:r>
      <w:r>
        <w:t xml:space="preserve"> en los Nobles que ha</w:t>
      </w:r>
      <w:r w:rsidR="00783938">
        <w:t>ya</w:t>
      </w:r>
      <w:r>
        <w:t xml:space="preserve">n </w:t>
      </w:r>
      <w:r w:rsidR="00783938">
        <w:t>consumado</w:t>
      </w:r>
      <w:r>
        <w:t xml:space="preserve"> el dominio </w:t>
      </w:r>
      <w:r w:rsidR="00783938">
        <w:t xml:space="preserve">sobre la </w:t>
      </w:r>
      <w:r>
        <w:t>mente.</w:t>
      </w:r>
    </w:p>
    <w:p w14:paraId="638DBEB0" w14:textId="13E54935" w:rsidR="00CE39CE" w:rsidRDefault="00CE39CE" w:rsidP="00EB1AAB">
      <w:r>
        <w:t xml:space="preserve">37. </w:t>
      </w:r>
      <w:r>
        <w:tab/>
      </w:r>
      <w:r w:rsidR="00783938">
        <w:t xml:space="preserve">Ya </w:t>
      </w:r>
      <w:r>
        <w:t xml:space="preserve">que si un </w:t>
      </w:r>
      <w:proofErr w:type="spellStart"/>
      <w:r w:rsidR="00057BF4" w:rsidRPr="00057BF4">
        <w:rPr>
          <w:i/>
        </w:rPr>
        <w:t>bhikkhu</w:t>
      </w:r>
      <w:proofErr w:type="spellEnd"/>
      <w:r>
        <w:t xml:space="preserve"> con </w:t>
      </w:r>
      <w:r w:rsidR="00783938">
        <w:t>corrupciones</w:t>
      </w:r>
      <w:r>
        <w:t xml:space="preserve"> destruid</w:t>
      </w:r>
      <w:r w:rsidR="00783938">
        <w:t>a</w:t>
      </w:r>
      <w:r>
        <w:t>s pose</w:t>
      </w:r>
      <w:r w:rsidR="00783938">
        <w:t>yera</w:t>
      </w:r>
      <w:r>
        <w:t xml:space="preserve"> este tipo de éxito, entonces </w:t>
      </w:r>
      <w:r w:rsidR="00D06328">
        <w:t xml:space="preserve">al transmitir </w:t>
      </w:r>
      <w:r w:rsidR="00B13D15">
        <w:t xml:space="preserve">penetrantemente amor benevolente hacia un objeto desagradable </w:t>
      </w:r>
      <w:r w:rsidR="008D4FF6">
        <w:t>o le prest</w:t>
      </w:r>
      <w:r w:rsidR="00B70334">
        <w:t>ase</w:t>
      </w:r>
      <w:r w:rsidR="008D4FF6">
        <w:t xml:space="preserve"> atención como elementos, él habitará percibi</w:t>
      </w:r>
      <w:r w:rsidR="00D3441F">
        <w:t>e</w:t>
      </w:r>
      <w:r w:rsidR="008D4FF6">
        <w:t>ndo</w:t>
      </w:r>
      <w:r w:rsidR="00D3441F">
        <w:t xml:space="preserve"> lo no repulsivo; o cuando </w:t>
      </w:r>
      <w:r w:rsidR="00F60B47">
        <w:t xml:space="preserve">esté </w:t>
      </w:r>
      <w:r w:rsidR="00F95540">
        <w:t xml:space="preserve">practicando </w:t>
      </w:r>
      <w:r w:rsidR="00783716">
        <w:t>penetrantemente la repulsividad o preste atención como imperm</w:t>
      </w:r>
      <w:r w:rsidR="00124D41">
        <w:t xml:space="preserve">anente </w:t>
      </w:r>
      <w:r w:rsidR="00490655">
        <w:t xml:space="preserve">a </w:t>
      </w:r>
      <w:r w:rsidR="00124D41">
        <w:t xml:space="preserve">aquello que sea agradable, él habitará percibiendo lo </w:t>
      </w:r>
      <w:r w:rsidR="00EB1AAB">
        <w:t>repulsivo en él.</w:t>
      </w:r>
      <w:r>
        <w:t xml:space="preserve"> Asimismo, cuando</w:t>
      </w:r>
      <w:r w:rsidR="004F1C94">
        <w:t>,</w:t>
      </w:r>
      <w:r>
        <w:t xml:space="preserve"> en el caso de lo repulsivo y lo no repulsivo</w:t>
      </w:r>
      <w:r w:rsidR="004F1C94">
        <w:t>,</w:t>
      </w:r>
      <w:r>
        <w:t xml:space="preserve"> est</w:t>
      </w:r>
      <w:r w:rsidR="00EB1AAB">
        <w:t>é</w:t>
      </w:r>
      <w:r>
        <w:t xml:space="preserve"> practicando esa misma penetración con amor </w:t>
      </w:r>
      <w:r w:rsidR="00EB1AAB">
        <w:t xml:space="preserve">benevolente </w:t>
      </w:r>
      <w:r>
        <w:t>o prest</w:t>
      </w:r>
      <w:r w:rsidR="00EB1AAB">
        <w:t>á</w:t>
      </w:r>
      <w:r>
        <w:t>ndo</w:t>
      </w:r>
      <w:r w:rsidR="00EB1AAB">
        <w:t>les</w:t>
      </w:r>
      <w:r>
        <w:t xml:space="preserve"> atención como elementos, </w:t>
      </w:r>
      <w:r w:rsidR="00EB1AAB">
        <w:t xml:space="preserve">habitará </w:t>
      </w:r>
      <w:r>
        <w:t>percibiendo lo no repulsivo; y cuando</w:t>
      </w:r>
      <w:r w:rsidR="008479DF">
        <w:t>,</w:t>
      </w:r>
      <w:r>
        <w:t xml:space="preserve"> en el caso de lo no repulsivo y lo repulsivo</w:t>
      </w:r>
      <w:r w:rsidR="008479DF">
        <w:t>,</w:t>
      </w:r>
      <w:r>
        <w:t xml:space="preserve"> est</w:t>
      </w:r>
      <w:r w:rsidR="00EB1AAB">
        <w:t>é</w:t>
      </w:r>
      <w:r>
        <w:t xml:space="preserve"> practicando esa misma penetración co</w:t>
      </w:r>
      <w:r w:rsidR="00EB1AAB">
        <w:t>mo</w:t>
      </w:r>
      <w:r>
        <w:t xml:space="preserve"> </w:t>
      </w:r>
      <w:r w:rsidR="00EB1AAB">
        <w:t xml:space="preserve">repulsivo </w:t>
      </w:r>
      <w:r>
        <w:t xml:space="preserve">o prestándole atención como impermanente, </w:t>
      </w:r>
      <w:r w:rsidR="00EB1AAB">
        <w:t xml:space="preserve">habitará </w:t>
      </w:r>
      <w:r>
        <w:t>percibiendo lo repulsivo. Pero cuando est</w:t>
      </w:r>
      <w:r w:rsidR="00EB1AAB">
        <w:t>é</w:t>
      </w:r>
      <w:r>
        <w:t xml:space="preserve"> ejerciendo la ecuanimidad de seis factores de la siguiente manera, "Al ver un objeto visible con el ojo, no se alegra</w:t>
      </w:r>
      <w:r w:rsidR="008479DF">
        <w:t>rá</w:t>
      </w:r>
      <w:r>
        <w:t xml:space="preserve"> ni..." (</w:t>
      </w:r>
      <w:proofErr w:type="spellStart"/>
      <w:r w:rsidRPr="00C05B5B">
        <w:rPr>
          <w:i/>
          <w:iCs/>
        </w:rPr>
        <w:t>Paṭis</w:t>
      </w:r>
      <w:proofErr w:type="spellEnd"/>
      <w:r>
        <w:t xml:space="preserve"> II 213), etc., entonces rechaza</w:t>
      </w:r>
      <w:r w:rsidR="00EB1AAB">
        <w:t>rá</w:t>
      </w:r>
      <w:r>
        <w:t xml:space="preserve"> tanto lo repulsivo como lo no repulsivo, habita</w:t>
      </w:r>
      <w:r w:rsidR="00EB1AAB">
        <w:t>rá</w:t>
      </w:r>
      <w:r>
        <w:t xml:space="preserve"> en la ecuanimidad, atento y plenamente consciente.</w:t>
      </w:r>
    </w:p>
    <w:p w14:paraId="60A0B6B9" w14:textId="77777777" w:rsidR="00CE39CE" w:rsidRDefault="00CE39CE">
      <w:pPr>
        <w:tabs>
          <w:tab w:val="clear" w:pos="425"/>
        </w:tabs>
        <w:spacing w:after="160"/>
      </w:pPr>
      <w:r>
        <w:br w:type="page"/>
      </w:r>
    </w:p>
    <w:p w14:paraId="1A691BC1" w14:textId="56CE10FE" w:rsidR="001B0958" w:rsidRDefault="001B0958" w:rsidP="00CE39CE"/>
    <w:p w14:paraId="4AEF2EE5" w14:textId="0D58E33B" w:rsidR="001B0958" w:rsidRDefault="001B0958" w:rsidP="001B0958">
      <w:r>
        <w:t xml:space="preserve">38. </w:t>
      </w:r>
      <w:r>
        <w:tab/>
      </w:r>
      <w:r w:rsidR="00480F1B">
        <w:t xml:space="preserve">Ya </w:t>
      </w:r>
      <w:r>
        <w:t xml:space="preserve">que el significado de esto se explica en el </w:t>
      </w:r>
      <w:proofErr w:type="spellStart"/>
      <w:r w:rsidRPr="00AB748B">
        <w:rPr>
          <w:i/>
          <w:iCs/>
        </w:rPr>
        <w:t>Paṭisambhidā</w:t>
      </w:r>
      <w:proofErr w:type="spellEnd"/>
      <w:r>
        <w:t xml:space="preserve"> en el comienzo del </w:t>
      </w:r>
      <w:r w:rsidR="006D77D0">
        <w:t>pasaje</w:t>
      </w:r>
      <w:r>
        <w:t xml:space="preserve">: “¿Cómo </w:t>
      </w:r>
      <w:r w:rsidR="006D77D0">
        <w:t>habita</w:t>
      </w:r>
      <w:r>
        <w:t xml:space="preserve"> él percibiendo lo que no es repulsivo en lo repulsivo? En el caso de un objeto desagradable, </w:t>
      </w:r>
      <w:r w:rsidR="00AB65CE">
        <w:t>le transmite amor benevolente</w:t>
      </w:r>
      <w:r>
        <w:t xml:space="preserve"> o lo trata como </w:t>
      </w:r>
      <w:r w:rsidR="00F278CA">
        <w:t xml:space="preserve">simples </w:t>
      </w:r>
      <w:r>
        <w:t>elementos” (</w:t>
      </w:r>
      <w:proofErr w:type="spellStart"/>
      <w:r w:rsidRPr="001F0445">
        <w:rPr>
          <w:i/>
          <w:iCs/>
        </w:rPr>
        <w:t>Paṭis</w:t>
      </w:r>
      <w:proofErr w:type="spellEnd"/>
      <w:r>
        <w:t xml:space="preserve"> II 212). Por lo tanto, se </w:t>
      </w:r>
      <w:r w:rsidR="001F0445">
        <w:t xml:space="preserve">le </w:t>
      </w:r>
      <w:r>
        <w:t>llama</w:t>
      </w:r>
      <w:r w:rsidR="00F278CA">
        <w:t>rá</w:t>
      </w:r>
      <w:r>
        <w:t xml:space="preserve"> </w:t>
      </w:r>
      <w:r w:rsidR="001F0445">
        <w:t xml:space="preserve">el </w:t>
      </w:r>
      <w:r>
        <w:t>"éxito de los Nobles" porque solo se produc</w:t>
      </w:r>
      <w:r w:rsidR="00F278CA">
        <w:t>irá</w:t>
      </w:r>
      <w:r>
        <w:t xml:space="preserve"> en los Nobles que ha</w:t>
      </w:r>
      <w:r w:rsidR="00F278CA">
        <w:t>ya</w:t>
      </w:r>
      <w:r>
        <w:t xml:space="preserve">n </w:t>
      </w:r>
      <w:r w:rsidR="001F0445">
        <w:t xml:space="preserve">consumado </w:t>
      </w:r>
      <w:r>
        <w:t xml:space="preserve">el dominio </w:t>
      </w:r>
      <w:r w:rsidR="00F278CA">
        <w:t xml:space="preserve">sobre </w:t>
      </w:r>
      <w:r>
        <w:t>la mente.</w:t>
      </w:r>
    </w:p>
    <w:p w14:paraId="54E6F6E9" w14:textId="0A96DF21" w:rsidR="001B0958" w:rsidRDefault="001B0958" w:rsidP="001B0958">
      <w:r>
        <w:t xml:space="preserve">39. </w:t>
      </w:r>
      <w:r>
        <w:tab/>
        <w:t>(</w:t>
      </w:r>
      <w:proofErr w:type="spellStart"/>
      <w:r>
        <w:t>vii</w:t>
      </w:r>
      <w:proofErr w:type="spellEnd"/>
      <w:r>
        <w:t>) A</w:t>
      </w:r>
      <w:r w:rsidR="001F0445">
        <w:t xml:space="preserve"> a</w:t>
      </w:r>
      <w:r>
        <w:t>quello consist</w:t>
      </w:r>
      <w:r w:rsidR="001F0445">
        <w:t>ente</w:t>
      </w:r>
      <w:r>
        <w:t xml:space="preserve"> </w:t>
      </w:r>
      <w:r w:rsidR="001F0445">
        <w:t>de</w:t>
      </w:r>
      <w:r>
        <w:t xml:space="preserve"> viajar por el aire en el caso de pájaros alados, etc., se </w:t>
      </w:r>
      <w:r w:rsidR="001F0445">
        <w:t xml:space="preserve">le </w:t>
      </w:r>
      <w:r>
        <w:t>llama</w:t>
      </w:r>
      <w:r w:rsidR="001B38A0">
        <w:t>rá</w:t>
      </w:r>
      <w:r>
        <w:t xml:space="preserve"> </w:t>
      </w:r>
      <w:r w:rsidRPr="004E532C">
        <w:rPr>
          <w:i/>
          <w:iCs/>
        </w:rPr>
        <w:t xml:space="preserve">éxito </w:t>
      </w:r>
      <w:r w:rsidR="001B38A0">
        <w:rPr>
          <w:i/>
          <w:iCs/>
        </w:rPr>
        <w:t xml:space="preserve">surgido </w:t>
      </w:r>
      <w:r w:rsidRPr="004E532C">
        <w:rPr>
          <w:i/>
          <w:iCs/>
        </w:rPr>
        <w:t xml:space="preserve">del resultado </w:t>
      </w:r>
      <w:r w:rsidR="001F0445">
        <w:rPr>
          <w:i/>
          <w:iCs/>
        </w:rPr>
        <w:t>‘</w:t>
      </w:r>
      <w:proofErr w:type="spellStart"/>
      <w:r w:rsidR="00057BF4" w:rsidRPr="00057BF4">
        <w:rPr>
          <w:i/>
          <w:iCs/>
        </w:rPr>
        <w:t>kamm</w:t>
      </w:r>
      <w:r w:rsidR="001F0445">
        <w:rPr>
          <w:i/>
          <w:iCs/>
        </w:rPr>
        <w:t>ico</w:t>
      </w:r>
      <w:proofErr w:type="spellEnd"/>
      <w:r w:rsidR="001F0445">
        <w:rPr>
          <w:i/>
          <w:iCs/>
        </w:rPr>
        <w:t>’</w:t>
      </w:r>
      <w:r>
        <w:t>, según</w:t>
      </w:r>
      <w:r w:rsidR="001F0445">
        <w:t xml:space="preserve"> lo dicho</w:t>
      </w:r>
      <w:r>
        <w:t xml:space="preserve"> “¿</w:t>
      </w:r>
      <w:r w:rsidR="001F0445">
        <w:t xml:space="preserve">Cuál </w:t>
      </w:r>
      <w:r>
        <w:t xml:space="preserve">es el éxito </w:t>
      </w:r>
      <w:r w:rsidR="001F0445">
        <w:t xml:space="preserve">surgido </w:t>
      </w:r>
      <w:r>
        <w:t xml:space="preserve">del resultado </w:t>
      </w:r>
      <w:r w:rsidR="001F0445">
        <w:t>‘</w:t>
      </w:r>
      <w:proofErr w:type="spellStart"/>
      <w:r w:rsidR="00057BF4" w:rsidRPr="00057BF4">
        <w:rPr>
          <w:i/>
        </w:rPr>
        <w:t>kamm</w:t>
      </w:r>
      <w:r w:rsidR="001F0445">
        <w:rPr>
          <w:i/>
        </w:rPr>
        <w:t>ico</w:t>
      </w:r>
      <w:proofErr w:type="spellEnd"/>
      <w:r w:rsidR="001F0445">
        <w:rPr>
          <w:i/>
        </w:rPr>
        <w:t>’</w:t>
      </w:r>
      <w:r>
        <w:t xml:space="preserve">? Que en todas las aves aladas, en todas las deidades, en algunos seres humanos, en algunos habitantes </w:t>
      </w:r>
      <w:r w:rsidR="00127DCF">
        <w:t xml:space="preserve">en </w:t>
      </w:r>
      <w:r>
        <w:t>estados de p</w:t>
      </w:r>
      <w:r w:rsidR="00127DCF">
        <w:t>e</w:t>
      </w:r>
      <w:r>
        <w:t>rdi</w:t>
      </w:r>
      <w:r w:rsidR="00127DCF">
        <w:t>ción</w:t>
      </w:r>
      <w:r>
        <w:t xml:space="preserve">, </w:t>
      </w:r>
      <w:r w:rsidR="00FA18CE">
        <w:t xml:space="preserve">surja </w:t>
      </w:r>
      <w:r>
        <w:t xml:space="preserve">el éxito del resultado </w:t>
      </w:r>
      <w:r w:rsidR="00127DCF">
        <w:t>‘</w:t>
      </w:r>
      <w:proofErr w:type="spellStart"/>
      <w:r w:rsidR="00057BF4" w:rsidRPr="00057BF4">
        <w:rPr>
          <w:i/>
        </w:rPr>
        <w:t>kamm</w:t>
      </w:r>
      <w:r w:rsidR="00127DCF">
        <w:rPr>
          <w:i/>
        </w:rPr>
        <w:t>ico</w:t>
      </w:r>
      <w:proofErr w:type="spellEnd"/>
      <w:r w:rsidR="00127DCF">
        <w:rPr>
          <w:i/>
        </w:rPr>
        <w:t>’</w:t>
      </w:r>
      <w:r>
        <w:t>” (</w:t>
      </w:r>
      <w:proofErr w:type="spellStart"/>
      <w:r w:rsidRPr="000903F5">
        <w:rPr>
          <w:i/>
          <w:iCs/>
        </w:rPr>
        <w:t>Paṭis</w:t>
      </w:r>
      <w:proofErr w:type="spellEnd"/>
      <w:r>
        <w:t xml:space="preserve"> II 213). </w:t>
      </w:r>
      <w:r w:rsidR="005B299A">
        <w:t xml:space="preserve">Ya </w:t>
      </w:r>
      <w:r>
        <w:t xml:space="preserve">que </w:t>
      </w:r>
      <w:r w:rsidR="003759B9">
        <w:t xml:space="preserve">a </w:t>
      </w:r>
      <w:r>
        <w:t xml:space="preserve">la capacidad de todas las aves aladas de viajar por el aire sin </w:t>
      </w:r>
      <w:proofErr w:type="spellStart"/>
      <w:r w:rsidR="00057BF4" w:rsidRPr="00057BF4">
        <w:rPr>
          <w:i/>
        </w:rPr>
        <w:t>jhāna</w:t>
      </w:r>
      <w:r w:rsidR="005B299A">
        <w:rPr>
          <w:iCs/>
        </w:rPr>
        <w:t>s</w:t>
      </w:r>
      <w:proofErr w:type="spellEnd"/>
      <w:r>
        <w:t xml:space="preserve"> o </w:t>
      </w:r>
      <w:r w:rsidR="005B299A">
        <w:t>sabiduría</w:t>
      </w:r>
      <w:r>
        <w:t xml:space="preserve"> </w:t>
      </w:r>
      <w:r w:rsidR="00720A82">
        <w:t>corresponderá</w:t>
      </w:r>
      <w:r w:rsidR="00FA18CE">
        <w:t xml:space="preserve"> </w:t>
      </w:r>
      <w:r w:rsidR="003759B9">
        <w:t xml:space="preserve">a </w:t>
      </w:r>
      <w:r>
        <w:t xml:space="preserve">lo que </w:t>
      </w:r>
      <w:r w:rsidR="00005C13">
        <w:t>se le llam</w:t>
      </w:r>
      <w:r w:rsidR="00720A82">
        <w:t>e</w:t>
      </w:r>
      <w:r>
        <w:t xml:space="preserve"> éxito </w:t>
      </w:r>
      <w:r w:rsidR="00005C13">
        <w:t xml:space="preserve">surgido </w:t>
      </w:r>
      <w:r>
        <w:t xml:space="preserve">del resultado </w:t>
      </w:r>
      <w:r w:rsidR="00005C13">
        <w:t>‘</w:t>
      </w:r>
      <w:proofErr w:type="spellStart"/>
      <w:r w:rsidR="00005C13">
        <w:rPr>
          <w:i/>
        </w:rPr>
        <w:t>kammico</w:t>
      </w:r>
      <w:proofErr w:type="spellEnd"/>
      <w:r w:rsidR="00005C13">
        <w:rPr>
          <w:i/>
        </w:rPr>
        <w:t>’</w:t>
      </w:r>
      <w:r>
        <w:t xml:space="preserve">; y asimismo en todas las deidades y algunos seres humanos, al comienzo del eón, y asimismo en algunos habitantes </w:t>
      </w:r>
      <w:r w:rsidR="00005C13">
        <w:t>en</w:t>
      </w:r>
      <w:r>
        <w:t xml:space="preserve"> estados de </w:t>
      </w:r>
      <w:r w:rsidR="00005C13">
        <w:t xml:space="preserve">perdición </w:t>
      </w:r>
      <w:r>
        <w:t xml:space="preserve">como el espíritu femenino </w:t>
      </w:r>
      <w:r w:rsidR="002C4D00">
        <w:t xml:space="preserve">madre de </w:t>
      </w:r>
      <w:proofErr w:type="spellStart"/>
      <w:r>
        <w:t>Piyaṅkara</w:t>
      </w:r>
      <w:proofErr w:type="spellEnd"/>
      <w:r>
        <w:t xml:space="preserve"> (ver S-a II 509), </w:t>
      </w:r>
      <w:r w:rsidR="0054413D">
        <w:t xml:space="preserve">la </w:t>
      </w:r>
      <w:r>
        <w:t xml:space="preserve">madre de </w:t>
      </w:r>
      <w:proofErr w:type="spellStart"/>
      <w:r>
        <w:t>Uttara</w:t>
      </w:r>
      <w:proofErr w:type="spellEnd"/>
      <w:r>
        <w:t xml:space="preserve"> (</w:t>
      </w:r>
      <w:proofErr w:type="spellStart"/>
      <w:r>
        <w:t>Pv</w:t>
      </w:r>
      <w:proofErr w:type="spellEnd"/>
      <w:r>
        <w:t xml:space="preserve"> 140), </w:t>
      </w:r>
      <w:proofErr w:type="spellStart"/>
      <w:r>
        <w:t>Phussamitta</w:t>
      </w:r>
      <w:proofErr w:type="spellEnd"/>
      <w:r>
        <w:t xml:space="preserve">, </w:t>
      </w:r>
      <w:proofErr w:type="spellStart"/>
      <w:r w:rsidR="00057BF4" w:rsidRPr="00005C13">
        <w:rPr>
          <w:iCs/>
        </w:rPr>
        <w:t>Dhamma</w:t>
      </w:r>
      <w:r w:rsidRPr="00005C13">
        <w:rPr>
          <w:iCs/>
        </w:rPr>
        <w:t>gutta</w:t>
      </w:r>
      <w:proofErr w:type="spellEnd"/>
      <w:r>
        <w:t>, etc.</w:t>
      </w:r>
    </w:p>
    <w:p w14:paraId="3B9B1BD1" w14:textId="61756851" w:rsidR="001B0958" w:rsidRDefault="001B0958" w:rsidP="001B0958">
      <w:r>
        <w:t xml:space="preserve">40. </w:t>
      </w:r>
      <w:r>
        <w:tab/>
        <w:t>(</w:t>
      </w:r>
      <w:proofErr w:type="spellStart"/>
      <w:r>
        <w:t>viii</w:t>
      </w:r>
      <w:proofErr w:type="spellEnd"/>
      <w:r>
        <w:t>) A</w:t>
      </w:r>
      <w:r w:rsidR="001C195C">
        <w:t xml:space="preserve"> a</w:t>
      </w:r>
      <w:r>
        <w:t>quel</w:t>
      </w:r>
      <w:r w:rsidR="001C195C">
        <w:t>lo</w:t>
      </w:r>
      <w:r>
        <w:t xml:space="preserve"> consist</w:t>
      </w:r>
      <w:r w:rsidR="001C195C">
        <w:t>ente</w:t>
      </w:r>
      <w:r>
        <w:t xml:space="preserve"> </w:t>
      </w:r>
      <w:r w:rsidR="001C195C">
        <w:t>de</w:t>
      </w:r>
      <w:r>
        <w:t xml:space="preserve"> viajar por el aire, etc., en el caso de </w:t>
      </w:r>
      <w:r w:rsidR="00BD0E2A">
        <w:t xml:space="preserve">la </w:t>
      </w:r>
      <w:r>
        <w:t xml:space="preserve">Rueda </w:t>
      </w:r>
      <w:r w:rsidR="001C195C">
        <w:t>puesta en marcha por los</w:t>
      </w:r>
      <w:r>
        <w:t xml:space="preserve"> Monarcas</w:t>
      </w:r>
      <w:r w:rsidR="001C195C">
        <w:t xml:space="preserve"> Universales</w:t>
      </w:r>
      <w:r>
        <w:t xml:space="preserve">, etc., se </w:t>
      </w:r>
      <w:r w:rsidR="001C195C">
        <w:t xml:space="preserve">le </w:t>
      </w:r>
      <w:r>
        <w:t>llama</w:t>
      </w:r>
      <w:r w:rsidR="001C195C">
        <w:t>rá</w:t>
      </w:r>
      <w:r>
        <w:t xml:space="preserve"> </w:t>
      </w:r>
      <w:r w:rsidR="001C195C">
        <w:t xml:space="preserve">el </w:t>
      </w:r>
      <w:r w:rsidRPr="004E532C">
        <w:rPr>
          <w:i/>
          <w:iCs/>
        </w:rPr>
        <w:t>éxito de l</w:t>
      </w:r>
      <w:r w:rsidR="001C195C">
        <w:rPr>
          <w:i/>
          <w:iCs/>
        </w:rPr>
        <w:t>a</w:t>
      </w:r>
      <w:r w:rsidRPr="004E532C">
        <w:rPr>
          <w:i/>
          <w:iCs/>
        </w:rPr>
        <w:t xml:space="preserve"> meritori</w:t>
      </w:r>
      <w:r w:rsidR="001C195C">
        <w:rPr>
          <w:i/>
          <w:iCs/>
        </w:rPr>
        <w:t>edad</w:t>
      </w:r>
      <w:r>
        <w:t xml:space="preserve">, según </w:t>
      </w:r>
      <w:r w:rsidR="001C195C">
        <w:t>lo dicho</w:t>
      </w:r>
      <w:r>
        <w:t>: “¿</w:t>
      </w:r>
      <w:r w:rsidR="001C195C">
        <w:t>Cuál</w:t>
      </w:r>
      <w:r>
        <w:t xml:space="preserve"> es el éxito de l</w:t>
      </w:r>
      <w:r w:rsidR="001C195C">
        <w:t>a</w:t>
      </w:r>
      <w:r>
        <w:t xml:space="preserve"> meritori</w:t>
      </w:r>
      <w:r w:rsidR="001C195C">
        <w:t>edad</w:t>
      </w:r>
      <w:r>
        <w:t xml:space="preserve">? El Monarca </w:t>
      </w:r>
      <w:r w:rsidR="001C195C">
        <w:t xml:space="preserve">Universal </w:t>
      </w:r>
      <w:r>
        <w:t xml:space="preserve">que hace girar la Rueda viaja por los aires con su cuádruple ejército, incluso con sus </w:t>
      </w:r>
      <w:r w:rsidR="00BD0E2A">
        <w:t>cocheros</w:t>
      </w:r>
      <w:r>
        <w:t xml:space="preserve"> y pastores. El cabeza de familia </w:t>
      </w:r>
      <w:r w:rsidR="00512D76">
        <w:br/>
      </w:r>
      <w:proofErr w:type="spellStart"/>
      <w:r>
        <w:t>Jotika</w:t>
      </w:r>
      <w:proofErr w:type="spellEnd"/>
      <w:r>
        <w:t xml:space="preserve"> </w:t>
      </w:r>
      <w:r w:rsidR="00512D76">
        <w:t>poseía</w:t>
      </w:r>
      <w:r>
        <w:t xml:space="preserve"> el éxito de </w:t>
      </w:r>
      <w:r w:rsidR="00512D76">
        <w:t>la meritoriedad</w:t>
      </w:r>
      <w:r>
        <w:t xml:space="preserve">. El </w:t>
      </w:r>
      <w:r w:rsidR="00512D76">
        <w:t>laico</w:t>
      </w:r>
      <w:r>
        <w:t xml:space="preserve"> </w:t>
      </w:r>
      <w:proofErr w:type="spellStart"/>
      <w:r>
        <w:t>Jaṭilaka</w:t>
      </w:r>
      <w:proofErr w:type="spellEnd"/>
      <w:r>
        <w:t xml:space="preserve"> </w:t>
      </w:r>
      <w:r w:rsidR="00512D76">
        <w:t xml:space="preserve">poseía </w:t>
      </w:r>
      <w:r>
        <w:t>el éxito de l</w:t>
      </w:r>
      <w:r w:rsidR="00BD0E2A">
        <w:t>a</w:t>
      </w:r>
      <w:r>
        <w:t xml:space="preserve"> meritori</w:t>
      </w:r>
      <w:r w:rsidR="00BD0E2A">
        <w:t>edad</w:t>
      </w:r>
      <w:r>
        <w:t xml:space="preserve">. [383] El </w:t>
      </w:r>
      <w:r w:rsidR="00512D76">
        <w:t xml:space="preserve">laico </w:t>
      </w:r>
      <w:proofErr w:type="spellStart"/>
      <w:r>
        <w:t>Ghosita</w:t>
      </w:r>
      <w:proofErr w:type="spellEnd"/>
      <w:r>
        <w:t xml:space="preserve"> </w:t>
      </w:r>
      <w:r w:rsidR="00512D76">
        <w:t xml:space="preserve">poseía </w:t>
      </w:r>
      <w:r>
        <w:t>el éxito de l</w:t>
      </w:r>
      <w:r w:rsidR="00512D76">
        <w:t>a</w:t>
      </w:r>
      <w:r>
        <w:t xml:space="preserve"> </w:t>
      </w:r>
      <w:r w:rsidR="00512D76">
        <w:t>meritoriedad</w:t>
      </w:r>
      <w:r>
        <w:t xml:space="preserve">. El </w:t>
      </w:r>
      <w:r w:rsidR="00512D76">
        <w:t xml:space="preserve">laico </w:t>
      </w:r>
      <w:proofErr w:type="spellStart"/>
      <w:r>
        <w:t>Meṇḍaka</w:t>
      </w:r>
      <w:proofErr w:type="spellEnd"/>
      <w:r>
        <w:t xml:space="preserve"> </w:t>
      </w:r>
      <w:r w:rsidR="00512D76">
        <w:t xml:space="preserve">poseía </w:t>
      </w:r>
      <w:r>
        <w:t>el éxito de l</w:t>
      </w:r>
      <w:r w:rsidR="00512D76">
        <w:t>a</w:t>
      </w:r>
      <w:r>
        <w:t xml:space="preserve"> </w:t>
      </w:r>
      <w:r w:rsidR="00512D76">
        <w:t>meritoriedad</w:t>
      </w:r>
      <w:r>
        <w:t xml:space="preserve">. </w:t>
      </w:r>
      <w:r w:rsidR="0029566E" w:rsidRPr="00F162E7">
        <w:rPr>
          <w:color w:val="1F3864" w:themeColor="accent1" w:themeShade="80"/>
        </w:rPr>
        <w:t>Aquello</w:t>
      </w:r>
      <w:r w:rsidRPr="00F162E7">
        <w:rPr>
          <w:color w:val="1F3864" w:themeColor="accent1" w:themeShade="80"/>
        </w:rPr>
        <w:t xml:space="preserve"> </w:t>
      </w:r>
      <w:r w:rsidR="0011289A">
        <w:rPr>
          <w:color w:val="1F3864" w:themeColor="accent1" w:themeShade="80"/>
        </w:rPr>
        <w:t>correspondiente</w:t>
      </w:r>
      <w:r w:rsidRPr="00F162E7">
        <w:rPr>
          <w:color w:val="1F3864" w:themeColor="accent1" w:themeShade="80"/>
        </w:rPr>
        <w:t xml:space="preserve"> </w:t>
      </w:r>
      <w:r w:rsidR="0011289A">
        <w:rPr>
          <w:color w:val="1F3864" w:themeColor="accent1" w:themeShade="80"/>
        </w:rPr>
        <w:t xml:space="preserve">a </w:t>
      </w:r>
      <w:r w:rsidRPr="00F162E7">
        <w:rPr>
          <w:color w:val="1F3864" w:themeColor="accent1" w:themeShade="80"/>
        </w:rPr>
        <w:t xml:space="preserve">los </w:t>
      </w:r>
      <w:r w:rsidR="00B92AFB">
        <w:rPr>
          <w:color w:val="1F3864" w:themeColor="accent1" w:themeShade="80"/>
        </w:rPr>
        <w:t>5</w:t>
      </w:r>
      <w:r w:rsidRPr="00F162E7">
        <w:rPr>
          <w:color w:val="1F3864" w:themeColor="accent1" w:themeShade="80"/>
        </w:rPr>
        <w:t xml:space="preserve"> </w:t>
      </w:r>
      <w:r w:rsidR="00F162E7" w:rsidRPr="00F162E7">
        <w:rPr>
          <w:color w:val="1F3864" w:themeColor="accent1" w:themeShade="80"/>
        </w:rPr>
        <w:t xml:space="preserve">actos </w:t>
      </w:r>
      <w:r w:rsidR="00B92AFB">
        <w:rPr>
          <w:color w:val="1F3864" w:themeColor="accent1" w:themeShade="80"/>
        </w:rPr>
        <w:t>conspicuamente</w:t>
      </w:r>
      <w:r w:rsidRPr="00F162E7">
        <w:rPr>
          <w:color w:val="1F3864" w:themeColor="accent1" w:themeShade="80"/>
        </w:rPr>
        <w:t xml:space="preserve"> meritorios </w:t>
      </w:r>
      <w:r w:rsidR="00BB56FC">
        <w:t xml:space="preserve">será </w:t>
      </w:r>
      <w:r>
        <w:t>el éxito de l</w:t>
      </w:r>
      <w:r w:rsidR="005311A0">
        <w:t>a</w:t>
      </w:r>
      <w:r>
        <w:t xml:space="preserve"> </w:t>
      </w:r>
      <w:r w:rsidR="005311A0">
        <w:t>meritoriedad</w:t>
      </w:r>
      <w:r>
        <w:t>” (</w:t>
      </w:r>
      <w:proofErr w:type="spellStart"/>
      <w:r w:rsidRPr="00F162E7">
        <w:rPr>
          <w:i/>
          <w:iCs/>
        </w:rPr>
        <w:t>Paṭis</w:t>
      </w:r>
      <w:proofErr w:type="spellEnd"/>
      <w:r>
        <w:t xml:space="preserve"> II 213). En resumen, sin embargo, </w:t>
      </w:r>
      <w:r w:rsidR="00BB56FC">
        <w:t xml:space="preserve">será </w:t>
      </w:r>
      <w:r>
        <w:t xml:space="preserve">la distinción </w:t>
      </w:r>
      <w:r w:rsidR="005311A0">
        <w:t>consistente de</w:t>
      </w:r>
      <w:r>
        <w:t xml:space="preserve"> tener éxito cuando el mérito acumulado lleg</w:t>
      </w:r>
      <w:r w:rsidR="00BB56FC">
        <w:t>ue</w:t>
      </w:r>
      <w:r>
        <w:t xml:space="preserve"> a madurar </w:t>
      </w:r>
      <w:r w:rsidR="005311A0">
        <w:t xml:space="preserve">a </w:t>
      </w:r>
      <w:r>
        <w:t xml:space="preserve">lo que </w:t>
      </w:r>
      <w:r w:rsidR="005311A0">
        <w:t>se le llama</w:t>
      </w:r>
      <w:r w:rsidR="00BB56FC">
        <w:t>rá</w:t>
      </w:r>
      <w:r>
        <w:t xml:space="preserve"> el éxito de l</w:t>
      </w:r>
      <w:r w:rsidR="005311A0">
        <w:t>a</w:t>
      </w:r>
      <w:r>
        <w:t xml:space="preserve"> </w:t>
      </w:r>
      <w:r w:rsidR="005311A0">
        <w:t>meritoriedad</w:t>
      </w:r>
      <w:r>
        <w:t>.</w:t>
      </w:r>
    </w:p>
    <w:p w14:paraId="4886EC3B" w14:textId="506110B4" w:rsidR="001B0958" w:rsidRDefault="001B0958" w:rsidP="001B0958">
      <w:r>
        <w:t xml:space="preserve">41. </w:t>
      </w:r>
      <w:r>
        <w:tab/>
        <w:t xml:space="preserve">Un palacio de cristal y sesenta y cuatro árboles de los deseos </w:t>
      </w:r>
      <w:r w:rsidR="00F162E7">
        <w:t xml:space="preserve">surgieron de </w:t>
      </w:r>
      <w:r>
        <w:t xml:space="preserve">la tierra para el </w:t>
      </w:r>
      <w:r w:rsidR="00F162E7">
        <w:t xml:space="preserve">laico </w:t>
      </w:r>
      <w:proofErr w:type="spellStart"/>
      <w:r>
        <w:t>Jotika</w:t>
      </w:r>
      <w:proofErr w:type="spellEnd"/>
      <w:r>
        <w:t xml:space="preserve">. </w:t>
      </w:r>
      <w:r w:rsidR="00F162E7">
        <w:t>É</w:t>
      </w:r>
      <w:r>
        <w:t>se fue el éxito de l</w:t>
      </w:r>
      <w:r w:rsidR="00F162E7">
        <w:t>a</w:t>
      </w:r>
      <w:r>
        <w:t xml:space="preserve"> meritori</w:t>
      </w:r>
      <w:r w:rsidR="00F162E7">
        <w:t>edad</w:t>
      </w:r>
      <w:r>
        <w:t xml:space="preserve"> en su caso (</w:t>
      </w:r>
      <w:proofErr w:type="spellStart"/>
      <w:r>
        <w:t>Dhp</w:t>
      </w:r>
      <w:proofErr w:type="spellEnd"/>
      <w:r>
        <w:t xml:space="preserve">-a IV 207). </w:t>
      </w:r>
      <w:r w:rsidR="00F162E7">
        <w:t>Surgió</w:t>
      </w:r>
      <w:r>
        <w:t xml:space="preserve"> una roca dorada de ochenta codos [alto] para </w:t>
      </w:r>
      <w:proofErr w:type="spellStart"/>
      <w:r>
        <w:t>Jaṭilaka</w:t>
      </w:r>
      <w:proofErr w:type="spellEnd"/>
      <w:r>
        <w:t xml:space="preserve"> (</w:t>
      </w:r>
      <w:proofErr w:type="spellStart"/>
      <w:r>
        <w:t>Dhp</w:t>
      </w:r>
      <w:proofErr w:type="spellEnd"/>
      <w:r>
        <w:t xml:space="preserve">-a IV 216). La supervivencia segura de </w:t>
      </w:r>
      <w:proofErr w:type="spellStart"/>
      <w:r>
        <w:t>Ghosita</w:t>
      </w:r>
      <w:proofErr w:type="spellEnd"/>
      <w:r>
        <w:t xml:space="preserve"> cuando intentaron matarlo en siete lugares </w:t>
      </w:r>
      <w:r w:rsidR="00C30272">
        <w:t>corresponde</w:t>
      </w:r>
      <w:r>
        <w:t xml:space="preserve"> </w:t>
      </w:r>
      <w:r w:rsidR="00C30272">
        <w:t>a</w:t>
      </w:r>
      <w:r>
        <w:t>l éxito de l</w:t>
      </w:r>
      <w:r w:rsidR="00F162E7">
        <w:t>a</w:t>
      </w:r>
      <w:r>
        <w:t xml:space="preserve"> </w:t>
      </w:r>
      <w:r w:rsidR="00F162E7">
        <w:t xml:space="preserve">meritoriedad </w:t>
      </w:r>
      <w:r>
        <w:t>(</w:t>
      </w:r>
      <w:proofErr w:type="spellStart"/>
      <w:r>
        <w:t>Dhp</w:t>
      </w:r>
      <w:proofErr w:type="spellEnd"/>
      <w:r>
        <w:t xml:space="preserve">-a I 174). La aparición </w:t>
      </w:r>
      <w:r w:rsidR="00F162E7">
        <w:t>de carneros (</w:t>
      </w:r>
      <w:proofErr w:type="spellStart"/>
      <w:r w:rsidR="00F162E7" w:rsidRPr="004E532C">
        <w:rPr>
          <w:i/>
          <w:iCs/>
        </w:rPr>
        <w:t>meṇḍaka</w:t>
      </w:r>
      <w:proofErr w:type="spellEnd"/>
      <w:r w:rsidR="00F162E7">
        <w:t xml:space="preserve">) </w:t>
      </w:r>
      <w:r>
        <w:t xml:space="preserve">a </w:t>
      </w:r>
      <w:proofErr w:type="spellStart"/>
      <w:r>
        <w:t>Meṇḍaka</w:t>
      </w:r>
      <w:proofErr w:type="spellEnd"/>
      <w:r>
        <w:t xml:space="preserve"> (= </w:t>
      </w:r>
      <w:proofErr w:type="spellStart"/>
      <w:r w:rsidRPr="004E532C">
        <w:rPr>
          <w:i/>
          <w:iCs/>
        </w:rPr>
        <w:t>Ram</w:t>
      </w:r>
      <w:proofErr w:type="spellEnd"/>
      <w:r>
        <w:t xml:space="preserve">) hechos de siete gemas en un lugar del tamaño de un </w:t>
      </w:r>
      <w:r w:rsidRPr="00E56CC3">
        <w:rPr>
          <w:i/>
          <w:iCs/>
        </w:rPr>
        <w:t>s</w:t>
      </w:r>
      <w:r w:rsidR="00E56CC3" w:rsidRPr="00E56CC3">
        <w:rPr>
          <w:i/>
          <w:iCs/>
        </w:rPr>
        <w:t>ī</w:t>
      </w:r>
      <w:r w:rsidRPr="00E56CC3">
        <w:rPr>
          <w:i/>
          <w:iCs/>
        </w:rPr>
        <w:t>t</w:t>
      </w:r>
      <w:r w:rsidR="00E56CC3" w:rsidRPr="00E56CC3">
        <w:rPr>
          <w:i/>
          <w:iCs/>
        </w:rPr>
        <w:t>ā</w:t>
      </w:r>
      <w:r w:rsidRPr="00E56CC3">
        <w:rPr>
          <w:i/>
          <w:iCs/>
          <w:vertAlign w:val="superscript"/>
        </w:rPr>
        <w:t>6</w:t>
      </w:r>
      <w:r>
        <w:t xml:space="preserve"> </w:t>
      </w:r>
      <w:r w:rsidR="00BB56FC">
        <w:t>correspondió</w:t>
      </w:r>
      <w:r>
        <w:t xml:space="preserve"> </w:t>
      </w:r>
      <w:r w:rsidR="00BB56FC">
        <w:t>a</w:t>
      </w:r>
      <w:r>
        <w:t>l éxito de l</w:t>
      </w:r>
      <w:r w:rsidR="00F162E7">
        <w:t>a meritoriedad</w:t>
      </w:r>
      <w:r>
        <w:t xml:space="preserve"> </w:t>
      </w:r>
      <w:r w:rsidR="00F162E7">
        <w:t>de</w:t>
      </w:r>
      <w:r>
        <w:t xml:space="preserve"> </w:t>
      </w:r>
      <w:proofErr w:type="spellStart"/>
      <w:r>
        <w:t>Meṇḍaka</w:t>
      </w:r>
      <w:proofErr w:type="spellEnd"/>
      <w:r>
        <w:t xml:space="preserve"> (</w:t>
      </w:r>
      <w:proofErr w:type="spellStart"/>
      <w:r>
        <w:t>Dhp</w:t>
      </w:r>
      <w:proofErr w:type="spellEnd"/>
      <w:r>
        <w:t>-a III 364).</w:t>
      </w:r>
    </w:p>
    <w:p w14:paraId="7B215BF6" w14:textId="5E8CAC8B" w:rsidR="001B0958" w:rsidRDefault="001B0958" w:rsidP="001B0958">
      <w:r>
        <w:t xml:space="preserve">42. </w:t>
      </w:r>
      <w:r>
        <w:tab/>
        <w:t xml:space="preserve">Los "cinco </w:t>
      </w:r>
      <w:r w:rsidR="00706234">
        <w:t xml:space="preserve">actos </w:t>
      </w:r>
      <w:r>
        <w:t xml:space="preserve">muy meritorios" </w:t>
      </w:r>
      <w:r w:rsidR="00706234">
        <w:t>corresponden a</w:t>
      </w:r>
      <w:r>
        <w:t xml:space="preserve">l hombre rico </w:t>
      </w:r>
      <w:proofErr w:type="spellStart"/>
      <w:r>
        <w:t>Meṇḍaka</w:t>
      </w:r>
      <w:proofErr w:type="spellEnd"/>
      <w:r>
        <w:t xml:space="preserve">, </w:t>
      </w:r>
      <w:r w:rsidR="00706234">
        <w:t xml:space="preserve">a </w:t>
      </w:r>
      <w:r>
        <w:t xml:space="preserve">su esposa </w:t>
      </w:r>
      <w:proofErr w:type="spellStart"/>
      <w:r>
        <w:t>Candapadumasiri</w:t>
      </w:r>
      <w:proofErr w:type="spellEnd"/>
      <w:r>
        <w:t xml:space="preserve">, </w:t>
      </w:r>
      <w:r w:rsidR="00706234">
        <w:t xml:space="preserve">a </w:t>
      </w:r>
      <w:r>
        <w:t xml:space="preserve">su hijo el hombre rico </w:t>
      </w:r>
      <w:proofErr w:type="spellStart"/>
      <w:r>
        <w:t>Dhanañjaya</w:t>
      </w:r>
      <w:proofErr w:type="spellEnd"/>
      <w:r>
        <w:t xml:space="preserve">, </w:t>
      </w:r>
      <w:r w:rsidR="00706234">
        <w:t xml:space="preserve">a </w:t>
      </w:r>
      <w:r>
        <w:t xml:space="preserve">su nuera </w:t>
      </w:r>
      <w:proofErr w:type="spellStart"/>
      <w:r>
        <w:t>Sumanadevī</w:t>
      </w:r>
      <w:proofErr w:type="spellEnd"/>
      <w:r>
        <w:t xml:space="preserve"> y </w:t>
      </w:r>
      <w:r w:rsidR="00706234">
        <w:t xml:space="preserve">a </w:t>
      </w:r>
      <w:r>
        <w:t xml:space="preserve">su esclavo </w:t>
      </w:r>
      <w:proofErr w:type="spellStart"/>
      <w:r>
        <w:t>Puṇṇa</w:t>
      </w:r>
      <w:proofErr w:type="spellEnd"/>
      <w:r>
        <w:t xml:space="preserve">. Cuando el hombre rico </w:t>
      </w:r>
      <w:proofErr w:type="spellStart"/>
      <w:r>
        <w:t>Meṇḍaka</w:t>
      </w:r>
      <w:proofErr w:type="spellEnd"/>
      <w:r>
        <w:t xml:space="preserve"> se lav</w:t>
      </w:r>
      <w:r w:rsidR="004F4A1E">
        <w:t>aba</w:t>
      </w:r>
      <w:r>
        <w:t xml:space="preserve"> la cabeza y mir</w:t>
      </w:r>
      <w:r w:rsidR="004F4A1E">
        <w:t>aba</w:t>
      </w:r>
      <w:r>
        <w:t xml:space="preserve"> hacia el cielo, se le </w:t>
      </w:r>
      <w:r w:rsidR="00BB56FC">
        <w:t>suministraban</w:t>
      </w:r>
      <w:r>
        <w:t xml:space="preserve"> doce mil quinientas medidas </w:t>
      </w:r>
      <w:r w:rsidR="004F4A1E">
        <w:t>de</w:t>
      </w:r>
      <w:r>
        <w:t xml:space="preserve"> arroz rojo del cielo. Cuando su esposa tom</w:t>
      </w:r>
      <w:r w:rsidR="004F4A1E">
        <w:t>aba</w:t>
      </w:r>
      <w:r>
        <w:t xml:space="preserve"> una medida </w:t>
      </w:r>
      <w:proofErr w:type="spellStart"/>
      <w:r w:rsidRPr="00176419">
        <w:rPr>
          <w:i/>
          <w:iCs/>
        </w:rPr>
        <w:t>n</w:t>
      </w:r>
      <w:r w:rsidR="00176419" w:rsidRPr="00176419">
        <w:rPr>
          <w:i/>
          <w:iCs/>
        </w:rPr>
        <w:t>āḷ</w:t>
      </w:r>
      <w:r w:rsidRPr="00176419">
        <w:rPr>
          <w:i/>
          <w:iCs/>
        </w:rPr>
        <w:t>i</w:t>
      </w:r>
      <w:proofErr w:type="spellEnd"/>
      <w:r>
        <w:t xml:space="preserve"> de arroz cocido, la comida no se agot</w:t>
      </w:r>
      <w:r w:rsidR="004F4A1E">
        <w:t>aba</w:t>
      </w:r>
      <w:r>
        <w:t xml:space="preserve">, </w:t>
      </w:r>
      <w:r w:rsidR="004F4A1E">
        <w:t>sino</w:t>
      </w:r>
      <w:r>
        <w:t xml:space="preserve"> </w:t>
      </w:r>
      <w:r w:rsidR="00BB56FC">
        <w:t xml:space="preserve">que </w:t>
      </w:r>
      <w:r>
        <w:t>s</w:t>
      </w:r>
      <w:r w:rsidR="004F4A1E">
        <w:t>e</w:t>
      </w:r>
      <w:r>
        <w:t>rv</w:t>
      </w:r>
      <w:r w:rsidR="004F4A1E">
        <w:t>ía</w:t>
      </w:r>
      <w:r>
        <w:t xml:space="preserve"> a todo </w:t>
      </w:r>
      <w:proofErr w:type="spellStart"/>
      <w:r>
        <w:t>Jambudīpa</w:t>
      </w:r>
      <w:proofErr w:type="spellEnd"/>
      <w:r>
        <w:t xml:space="preserve"> con ella. Cuando su hijo tom</w:t>
      </w:r>
      <w:r w:rsidR="004F4A1E">
        <w:t>aba</w:t>
      </w:r>
      <w:r>
        <w:t xml:space="preserve"> una bolsa que contenía mil ducados (</w:t>
      </w:r>
      <w:proofErr w:type="spellStart"/>
      <w:r w:rsidRPr="004F4A1E">
        <w:rPr>
          <w:i/>
          <w:iCs/>
        </w:rPr>
        <w:t>kahāpaṇa</w:t>
      </w:r>
      <w:proofErr w:type="spellEnd"/>
      <w:r>
        <w:t xml:space="preserve">), los ducados no </w:t>
      </w:r>
      <w:r w:rsidR="004F4A1E">
        <w:t xml:space="preserve">se </w:t>
      </w:r>
    </w:p>
    <w:p w14:paraId="49D1E5FA" w14:textId="1E005C62" w:rsidR="001B0958" w:rsidRPr="001B0958" w:rsidRDefault="001B0958" w:rsidP="001B0958">
      <w:pPr>
        <w:pStyle w:val="PiedepginaLegal"/>
        <w:rPr>
          <w:u w:val="single"/>
        </w:rPr>
      </w:pPr>
      <w:r w:rsidRPr="001B0958">
        <w:rPr>
          <w:u w:val="single"/>
        </w:rPr>
        <w:t xml:space="preserve">                                                                                                                                                          .</w:t>
      </w:r>
    </w:p>
    <w:p w14:paraId="5FD27715" w14:textId="0E2ED043" w:rsidR="00214D77" w:rsidRDefault="001B0958" w:rsidP="001B0958">
      <w:pPr>
        <w:pStyle w:val="PiedepginaLegal"/>
      </w:pPr>
      <w:r>
        <w:t xml:space="preserve">6. </w:t>
      </w:r>
      <w:r>
        <w:tab/>
      </w:r>
      <w:proofErr w:type="spellStart"/>
      <w:r w:rsidRPr="008F10F9">
        <w:rPr>
          <w:i/>
          <w:iCs/>
        </w:rPr>
        <w:t>Sītā</w:t>
      </w:r>
      <w:proofErr w:type="spellEnd"/>
      <w:r>
        <w:t xml:space="preserve">: no en este sentido en </w:t>
      </w:r>
      <w:r w:rsidR="00BE55C3">
        <w:t xml:space="preserve">el </w:t>
      </w:r>
      <w:r>
        <w:t xml:space="preserve">PED. </w:t>
      </w:r>
      <w:proofErr w:type="spellStart"/>
      <w:r>
        <w:t>Vism-mhṭ</w:t>
      </w:r>
      <w:proofErr w:type="spellEnd"/>
      <w:r>
        <w:t xml:space="preserve"> (pág. 383) dice: “</w:t>
      </w:r>
      <w:r w:rsidR="00AA580A">
        <w:t xml:space="preserve">Un </w:t>
      </w:r>
      <w:r w:rsidR="00BE55C3">
        <w:t>sendero</w:t>
      </w:r>
      <w:r>
        <w:t xml:space="preserve"> atravesado por un arado </w:t>
      </w:r>
      <w:r w:rsidR="007036C7">
        <w:t xml:space="preserve">utilizado </w:t>
      </w:r>
      <w:r>
        <w:t xml:space="preserve">al arar </w:t>
      </w:r>
      <w:r w:rsidR="00AA580A">
        <w:t xml:space="preserve">será </w:t>
      </w:r>
      <w:r w:rsidR="00BE55C3">
        <w:t xml:space="preserve">a </w:t>
      </w:r>
      <w:r>
        <w:t xml:space="preserve">lo que se </w:t>
      </w:r>
      <w:r w:rsidR="0054409A">
        <w:t xml:space="preserve">le </w:t>
      </w:r>
      <w:r>
        <w:t>llama</w:t>
      </w:r>
      <w:r w:rsidR="007036C7">
        <w:t>rá</w:t>
      </w:r>
      <w:r>
        <w:t xml:space="preserve"> </w:t>
      </w:r>
      <w:proofErr w:type="spellStart"/>
      <w:r w:rsidRPr="008F10F9">
        <w:rPr>
          <w:i/>
          <w:iCs/>
        </w:rPr>
        <w:t>sītā</w:t>
      </w:r>
      <w:proofErr w:type="spellEnd"/>
      <w:r>
        <w:t xml:space="preserve">”. Otra lectura es </w:t>
      </w:r>
      <w:proofErr w:type="spellStart"/>
      <w:r w:rsidRPr="008F10F9">
        <w:rPr>
          <w:i/>
          <w:iCs/>
        </w:rPr>
        <w:t>karīsa</w:t>
      </w:r>
      <w:proofErr w:type="spellEnd"/>
      <w:r>
        <w:t xml:space="preserve"> (un área de tierra).</w:t>
      </w:r>
    </w:p>
    <w:p w14:paraId="0C442FC4" w14:textId="77777777" w:rsidR="00214D77" w:rsidRDefault="00214D77">
      <w:pPr>
        <w:tabs>
          <w:tab w:val="clear" w:pos="425"/>
        </w:tabs>
        <w:spacing w:after="160"/>
      </w:pPr>
      <w:r>
        <w:br w:type="page"/>
      </w:r>
    </w:p>
    <w:p w14:paraId="43655E37" w14:textId="77777777" w:rsidR="00214D77" w:rsidRDefault="00214D77" w:rsidP="00214D77"/>
    <w:p w14:paraId="62579EC2" w14:textId="48CAC1AB" w:rsidR="00D64D9A" w:rsidRDefault="00F47F52" w:rsidP="00D64D9A">
      <w:r>
        <w:t xml:space="preserve">agotaban </w:t>
      </w:r>
      <w:r w:rsidR="00D64D9A">
        <w:t xml:space="preserve">a pesar de que </w:t>
      </w:r>
      <w:r>
        <w:t>los diese como</w:t>
      </w:r>
      <w:r w:rsidR="00D64D9A">
        <w:t xml:space="preserve"> </w:t>
      </w:r>
      <w:r w:rsidR="004F4A1E">
        <w:t xml:space="preserve">presentes </w:t>
      </w:r>
      <w:r w:rsidR="00D64D9A">
        <w:t xml:space="preserve">a todos los habitantes de </w:t>
      </w:r>
      <w:proofErr w:type="spellStart"/>
      <w:r w:rsidR="00D64D9A">
        <w:t>Jambudīpa</w:t>
      </w:r>
      <w:proofErr w:type="spellEnd"/>
      <w:r w:rsidR="00D64D9A">
        <w:t>. Cuando su nuera tom</w:t>
      </w:r>
      <w:r w:rsidR="004F4A1E">
        <w:t>aba</w:t>
      </w:r>
      <w:r w:rsidR="00D64D9A">
        <w:t xml:space="preserve"> una pinta (</w:t>
      </w:r>
      <w:r w:rsidR="00D64D9A" w:rsidRPr="008F10F9">
        <w:rPr>
          <w:i/>
          <w:iCs/>
        </w:rPr>
        <w:t>tumba</w:t>
      </w:r>
      <w:r w:rsidR="00D64D9A">
        <w:t>) de arroz, el grano no se agot</w:t>
      </w:r>
      <w:r w:rsidR="004F4A1E">
        <w:t>aba</w:t>
      </w:r>
      <w:r w:rsidR="00D64D9A">
        <w:t xml:space="preserve"> ni siquiera cuando lo repart</w:t>
      </w:r>
      <w:r w:rsidR="004F4A1E">
        <w:t>ía</w:t>
      </w:r>
      <w:r w:rsidR="00D64D9A">
        <w:t xml:space="preserve"> entre todos los habitantes de </w:t>
      </w:r>
      <w:proofErr w:type="spellStart"/>
      <w:r w:rsidR="00D64D9A">
        <w:t>Jambudīpa</w:t>
      </w:r>
      <w:proofErr w:type="spellEnd"/>
      <w:r w:rsidR="00D64D9A">
        <w:t xml:space="preserve">. Cuando el esclavo araba con una sola reja de arado, </w:t>
      </w:r>
      <w:r w:rsidR="003979DA">
        <w:t>surgía</w:t>
      </w:r>
      <w:r w:rsidR="00D64D9A">
        <w:t xml:space="preserve"> catorce surcos, siete a cada lado (ver </w:t>
      </w:r>
      <w:proofErr w:type="spellStart"/>
      <w:r w:rsidR="00D64D9A">
        <w:t>Vin</w:t>
      </w:r>
      <w:proofErr w:type="spellEnd"/>
      <w:r w:rsidR="00D64D9A">
        <w:t xml:space="preserve"> I 240; </w:t>
      </w:r>
      <w:proofErr w:type="spellStart"/>
      <w:r w:rsidR="00D64D9A">
        <w:t>Dhp</w:t>
      </w:r>
      <w:proofErr w:type="spellEnd"/>
      <w:r w:rsidR="00D64D9A">
        <w:t xml:space="preserve">-a I 384). </w:t>
      </w:r>
      <w:r>
        <w:t>E</w:t>
      </w:r>
      <w:r w:rsidR="00D64D9A">
        <w:t>st</w:t>
      </w:r>
      <w:r>
        <w:t>o</w:t>
      </w:r>
      <w:r w:rsidR="00D64D9A">
        <w:t xml:space="preserve"> </w:t>
      </w:r>
      <w:r>
        <w:t>correspondió a</w:t>
      </w:r>
      <w:r w:rsidR="00D64D9A">
        <w:t>l éxito de l</w:t>
      </w:r>
      <w:r w:rsidR="003979DA">
        <w:t>a</w:t>
      </w:r>
      <w:r w:rsidR="00D64D9A">
        <w:t xml:space="preserve"> </w:t>
      </w:r>
      <w:r w:rsidR="003979DA">
        <w:t xml:space="preserve">meritoriedad </w:t>
      </w:r>
      <w:r w:rsidR="00D64D9A">
        <w:t>en ellos.</w:t>
      </w:r>
    </w:p>
    <w:p w14:paraId="56726040" w14:textId="30637066" w:rsidR="00D64D9A" w:rsidRDefault="00D64D9A" w:rsidP="00D64D9A">
      <w:r>
        <w:t>43.</w:t>
      </w:r>
      <w:r>
        <w:tab/>
        <w:t>(</w:t>
      </w:r>
      <w:proofErr w:type="spellStart"/>
      <w:r>
        <w:t>ix</w:t>
      </w:r>
      <w:proofErr w:type="spellEnd"/>
      <w:r>
        <w:t xml:space="preserve">) </w:t>
      </w:r>
      <w:r w:rsidR="003979DA">
        <w:t>A aquello que</w:t>
      </w:r>
      <w:r>
        <w:t xml:space="preserve"> </w:t>
      </w:r>
      <w:r w:rsidR="003979DA">
        <w:t>comien</w:t>
      </w:r>
      <w:r w:rsidR="00143DF1">
        <w:t>ce</w:t>
      </w:r>
      <w:r w:rsidR="003979DA">
        <w:t xml:space="preserve"> con </w:t>
      </w:r>
      <w:r>
        <w:t xml:space="preserve">viajar por los aires en el caso de los maestros de las ciencias </w:t>
      </w:r>
      <w:r w:rsidR="00143DF1">
        <w:t>corresponderá</w:t>
      </w:r>
      <w:r>
        <w:t xml:space="preserve"> </w:t>
      </w:r>
      <w:r w:rsidR="00143DF1">
        <w:rPr>
          <w:i/>
          <w:iCs/>
        </w:rPr>
        <w:t>a</w:t>
      </w:r>
      <w:r w:rsidRPr="008F10F9">
        <w:rPr>
          <w:i/>
          <w:iCs/>
        </w:rPr>
        <w:t xml:space="preserve">l éxito </w:t>
      </w:r>
      <w:r w:rsidR="003979DA">
        <w:rPr>
          <w:i/>
          <w:iCs/>
        </w:rPr>
        <w:t xml:space="preserve">mediante </w:t>
      </w:r>
      <w:r w:rsidRPr="008F10F9">
        <w:rPr>
          <w:i/>
          <w:iCs/>
        </w:rPr>
        <w:t>las ciencias</w:t>
      </w:r>
      <w:r>
        <w:t xml:space="preserve">, según se dice: “¿Qué es el éxito </w:t>
      </w:r>
      <w:r w:rsidR="00143DF1">
        <w:t xml:space="preserve">mediante </w:t>
      </w:r>
      <w:r>
        <w:t>las ciencias? Los maestros de ciencias, habiendo pronunciado sus hechizos científicos, viajan por el aire, y muestran un elefante en el espacio, en el cielo… y muestran un despliegue militar múltiple” (</w:t>
      </w:r>
      <w:proofErr w:type="spellStart"/>
      <w:r w:rsidRPr="008F10F9">
        <w:rPr>
          <w:i/>
          <w:iCs/>
        </w:rPr>
        <w:t>Paṭis</w:t>
      </w:r>
      <w:proofErr w:type="spellEnd"/>
      <w:r>
        <w:t xml:space="preserve"> II 213).</w:t>
      </w:r>
    </w:p>
    <w:p w14:paraId="7CE3670A" w14:textId="27CAC442" w:rsidR="00D64D9A" w:rsidRDefault="00D64D9A" w:rsidP="00D64D9A">
      <w:r>
        <w:t xml:space="preserve">44. </w:t>
      </w:r>
      <w:r w:rsidR="008F10F9">
        <w:tab/>
      </w:r>
      <w:r>
        <w:t xml:space="preserve">(x) </w:t>
      </w:r>
      <w:r w:rsidR="007A766D">
        <w:t>No obstante, a</w:t>
      </w:r>
      <w:r>
        <w:t xml:space="preserve">l éxito de tal o cual trabajo a través de tal o cual esfuerzo correcto </w:t>
      </w:r>
      <w:r w:rsidR="00143DF1">
        <w:t>corresponderá a</w:t>
      </w:r>
      <w:r w:rsidR="0094365F">
        <w:t>l</w:t>
      </w:r>
      <w:r>
        <w:t xml:space="preserve"> </w:t>
      </w:r>
      <w:r w:rsidRPr="008F10F9">
        <w:rPr>
          <w:i/>
          <w:iCs/>
        </w:rPr>
        <w:t>éxito en el sentido de tener éxito debido al esfuerzo correcto aplicado aquí o allá</w:t>
      </w:r>
      <w:r>
        <w:t xml:space="preserve">, según </w:t>
      </w:r>
      <w:r w:rsidR="00D46CC1">
        <w:t>lo dicho</w:t>
      </w:r>
      <w:r>
        <w:t xml:space="preserve">: “El significado (propósito) de abandonar la lujuria </w:t>
      </w:r>
      <w:r w:rsidR="00D46CC1">
        <w:t xml:space="preserve">tendrá </w:t>
      </w:r>
      <w:r>
        <w:t>éxito a través de la renuncia</w:t>
      </w:r>
      <w:r w:rsidR="00D46CC1">
        <w:t>ción</w:t>
      </w:r>
      <w:r>
        <w:t xml:space="preserve">, por lo tanto, </w:t>
      </w:r>
      <w:r w:rsidR="00D46CC1">
        <w:t xml:space="preserve">será el </w:t>
      </w:r>
      <w:r>
        <w:t xml:space="preserve">éxito en el sentido de tener éxito debido al esfuerzo correcto aplicado aquí o allá... El significado (propósito) de abandonar todas las corrupciones </w:t>
      </w:r>
      <w:r w:rsidR="00F50E12">
        <w:t xml:space="preserve">tendrá </w:t>
      </w:r>
      <w:r>
        <w:t xml:space="preserve">éxito a través del </w:t>
      </w:r>
      <w:r w:rsidR="00F50E12">
        <w:t>sendero</w:t>
      </w:r>
      <w:r>
        <w:t xml:space="preserve"> del </w:t>
      </w:r>
      <w:r w:rsidR="00057BF4" w:rsidRPr="00057BF4">
        <w:rPr>
          <w:i/>
        </w:rPr>
        <w:t>Arahant</w:t>
      </w:r>
      <w:r>
        <w:t xml:space="preserve">, por lo tanto, </w:t>
      </w:r>
      <w:r w:rsidR="00F50E12">
        <w:t xml:space="preserve">será </w:t>
      </w:r>
      <w:r w:rsidR="00F50E12" w:rsidRPr="00F50E12">
        <w:rPr>
          <w:i/>
          <w:iCs/>
        </w:rPr>
        <w:t>el</w:t>
      </w:r>
      <w:r w:rsidRPr="00F50E12">
        <w:rPr>
          <w:i/>
          <w:iCs/>
        </w:rPr>
        <w:t xml:space="preserve"> éxito en el sentido de tener éxito debido al esfuerzo correcto aplicado aquí o allá</w:t>
      </w:r>
      <w:r>
        <w:t>” (</w:t>
      </w:r>
      <w:proofErr w:type="spellStart"/>
      <w:r w:rsidRPr="008F10F9">
        <w:rPr>
          <w:i/>
          <w:iCs/>
        </w:rPr>
        <w:t>Paṭis</w:t>
      </w:r>
      <w:proofErr w:type="spellEnd"/>
      <w:r>
        <w:t xml:space="preserve"> II 213). [384] Y el texto aquí es similar al texto anterior en la ilustración </w:t>
      </w:r>
      <w:r w:rsidR="004A77E7">
        <w:t xml:space="preserve">sobre </w:t>
      </w:r>
      <w:r>
        <w:t xml:space="preserve">el </w:t>
      </w:r>
      <w:r w:rsidR="004A77E7">
        <w:t>esfuerzo</w:t>
      </w:r>
      <w:r>
        <w:t xml:space="preserve"> correcto, en otras palabras, </w:t>
      </w:r>
      <w:r w:rsidR="004A77E7">
        <w:t xml:space="preserve">sobre </w:t>
      </w:r>
      <w:r>
        <w:t xml:space="preserve">el </w:t>
      </w:r>
      <w:r w:rsidR="00941428">
        <w:t>sendero</w:t>
      </w:r>
      <w:r>
        <w:t xml:space="preserve">. </w:t>
      </w:r>
      <w:r w:rsidR="00941428">
        <w:t xml:space="preserve">No obstante, </w:t>
      </w:r>
      <w:r>
        <w:t xml:space="preserve">en el </w:t>
      </w:r>
      <w:r w:rsidRPr="00941428">
        <w:rPr>
          <w:i/>
          <w:iCs/>
        </w:rPr>
        <w:t>Comentario</w:t>
      </w:r>
      <w:r>
        <w:t xml:space="preserve"> se </w:t>
      </w:r>
      <w:r w:rsidR="004A77E7">
        <w:t xml:space="preserve">expone </w:t>
      </w:r>
      <w:r>
        <w:t>como sigue: “Cualquier trabajo que pertenezca a un oficio tal como ensamblar un</w:t>
      </w:r>
      <w:r w:rsidR="00941428">
        <w:t>a</w:t>
      </w:r>
      <w:r>
        <w:t xml:space="preserve"> carr</w:t>
      </w:r>
      <w:r w:rsidR="00941428">
        <w:t>eta</w:t>
      </w:r>
      <w:r>
        <w:t xml:space="preserve">, etc., cualquier trabajo médico, el aprendizaje de los Tres </w:t>
      </w:r>
      <w:r w:rsidRPr="00941428">
        <w:rPr>
          <w:i/>
          <w:iCs/>
        </w:rPr>
        <w:t>Vedas</w:t>
      </w:r>
      <w:r>
        <w:t xml:space="preserve">, el aprendizaje de los Tres </w:t>
      </w:r>
      <w:proofErr w:type="spellStart"/>
      <w:r w:rsidRPr="008F10F9">
        <w:rPr>
          <w:i/>
          <w:iCs/>
        </w:rPr>
        <w:t>Piṭakas</w:t>
      </w:r>
      <w:proofErr w:type="spellEnd"/>
      <w:r>
        <w:t>, inclus</w:t>
      </w:r>
      <w:r w:rsidR="004A77E7">
        <w:t>ive</w:t>
      </w:r>
      <w:r>
        <w:t xml:space="preserve"> cualquier trabajo relacionado con arar, sembrar, etc.—</w:t>
      </w:r>
      <w:r w:rsidR="000A5D69">
        <w:t xml:space="preserve"> </w:t>
      </w:r>
      <w:r>
        <w:t xml:space="preserve">la distinción producida por hacer tal trabajo </w:t>
      </w:r>
      <w:r w:rsidR="004A77E7">
        <w:t>corresponderá a</w:t>
      </w:r>
      <w:r>
        <w:t xml:space="preserve">l </w:t>
      </w:r>
      <w:r w:rsidRPr="000A5D69">
        <w:rPr>
          <w:i/>
          <w:iCs/>
        </w:rPr>
        <w:t>éxito en el sentido de tener éxito debido al esfuerzo correcto aplicado aquí o allá</w:t>
      </w:r>
      <w:r>
        <w:t>.”</w:t>
      </w:r>
    </w:p>
    <w:p w14:paraId="3AF4EB23" w14:textId="3445F1E6" w:rsidR="00D64D9A" w:rsidRDefault="00D64D9A" w:rsidP="00D64D9A">
      <w:r>
        <w:t xml:space="preserve">45. </w:t>
      </w:r>
      <w:r>
        <w:tab/>
        <w:t xml:space="preserve">Entonces, entre estos diez tipos de éxito, solo (i) el éxito </w:t>
      </w:r>
      <w:r w:rsidR="006C664C">
        <w:t>mediante la</w:t>
      </w:r>
      <w:r>
        <w:t xml:space="preserve"> determinación se menciona realmente en la cláusula "tipos de poder sobrenatural (éxito)", </w:t>
      </w:r>
      <w:r w:rsidR="006C664C">
        <w:t xml:space="preserve">sin embargo, </w:t>
      </w:r>
      <w:r>
        <w:t>(</w:t>
      </w:r>
      <w:proofErr w:type="spellStart"/>
      <w:r>
        <w:t>ii</w:t>
      </w:r>
      <w:proofErr w:type="spellEnd"/>
      <w:r>
        <w:t xml:space="preserve">) el éxito </w:t>
      </w:r>
      <w:r w:rsidR="006C664C">
        <w:t xml:space="preserve">mediante la </w:t>
      </w:r>
      <w:r>
        <w:t>transformación y (</w:t>
      </w:r>
      <w:proofErr w:type="spellStart"/>
      <w:r>
        <w:t>iii</w:t>
      </w:r>
      <w:proofErr w:type="spellEnd"/>
      <w:r>
        <w:t xml:space="preserve">) el éxito </w:t>
      </w:r>
      <w:r w:rsidR="00FC7A49">
        <w:t xml:space="preserve">mediante un </w:t>
      </w:r>
      <w:r w:rsidR="00CB011B">
        <w:t xml:space="preserve">cuerpo </w:t>
      </w:r>
      <w:r w:rsidR="00FC7A49">
        <w:t xml:space="preserve">producido por la </w:t>
      </w:r>
      <w:r>
        <w:t xml:space="preserve">mente </w:t>
      </w:r>
      <w:r w:rsidR="00FC7A49">
        <w:t>también</w:t>
      </w:r>
      <w:r w:rsidR="00DA6F37">
        <w:t>,</w:t>
      </w:r>
      <w:r w:rsidR="00FC7A49">
        <w:t xml:space="preserve"> </w:t>
      </w:r>
      <w:r>
        <w:t>s</w:t>
      </w:r>
      <w:r w:rsidR="00DA6F37">
        <w:t>erán</w:t>
      </w:r>
      <w:r>
        <w:t xml:space="preserve"> ​​necesarios en este sentido.</w:t>
      </w:r>
    </w:p>
    <w:p w14:paraId="60ED64F8" w14:textId="66A706B5" w:rsidR="00D64D9A" w:rsidRDefault="00D64D9A" w:rsidP="00D64D9A">
      <w:r>
        <w:t>46. ​​</w:t>
      </w:r>
      <w:r>
        <w:tab/>
        <w:t xml:space="preserve">(i) </w:t>
      </w:r>
      <w:r w:rsidRPr="009D594F">
        <w:rPr>
          <w:i/>
          <w:iCs/>
        </w:rPr>
        <w:t>A los tipos de poder sobrenatural</w:t>
      </w:r>
      <w:r>
        <w:t xml:space="preserve"> (ver §20): a los componentes del poder sobrenatural, o</w:t>
      </w:r>
      <w:r w:rsidR="009D594F">
        <w:t xml:space="preserve"> </w:t>
      </w:r>
      <w:r>
        <w:t>a l</w:t>
      </w:r>
      <w:r w:rsidR="00501887">
        <w:t>a</w:t>
      </w:r>
      <w:r>
        <w:t xml:space="preserve">s </w:t>
      </w:r>
      <w:r w:rsidR="00501887">
        <w:t>áreas</w:t>
      </w:r>
      <w:r>
        <w:t xml:space="preserve"> del poder sobrenatural. Dirige, inclina, su mente: cuando la con</w:t>
      </w:r>
      <w:r w:rsidR="00501887">
        <w:t>s</w:t>
      </w:r>
      <w:r>
        <w:t xml:space="preserve">ciencia de ese </w:t>
      </w:r>
      <w:proofErr w:type="spellStart"/>
      <w:r w:rsidR="00057BF4" w:rsidRPr="00057BF4">
        <w:rPr>
          <w:i/>
        </w:rPr>
        <w:t>bhikkhu</w:t>
      </w:r>
      <w:proofErr w:type="spellEnd"/>
      <w:r>
        <w:t xml:space="preserve"> se ha</w:t>
      </w:r>
      <w:r w:rsidR="00501887">
        <w:t>ya</w:t>
      </w:r>
      <w:r>
        <w:t xml:space="preserve"> convertido en la base para el conocimiento directo en la forma ya descrita, dirig</w:t>
      </w:r>
      <w:r w:rsidR="00501887">
        <w:t>irá</w:t>
      </w:r>
      <w:r>
        <w:t xml:space="preserve"> la con</w:t>
      </w:r>
      <w:r w:rsidR="00501887">
        <w:t>s</w:t>
      </w:r>
      <w:r>
        <w:t xml:space="preserve">ciencia del trabajo preliminar con el propósito de alcanzar los tipos de poder sobrenatural, la </w:t>
      </w:r>
      <w:r w:rsidR="00DA6F37">
        <w:t>orientará</w:t>
      </w:r>
      <w:r>
        <w:t xml:space="preserve"> en </w:t>
      </w:r>
      <w:r w:rsidR="00DA6F37">
        <w:t xml:space="preserve">la </w:t>
      </w:r>
      <w:r>
        <w:t>dirección de los tipos de poder sobrenatural, alejándol</w:t>
      </w:r>
      <w:r w:rsidR="00F733B3">
        <w:t>a</w:t>
      </w:r>
      <w:r>
        <w:t xml:space="preserve"> del </w:t>
      </w:r>
      <w:proofErr w:type="spellStart"/>
      <w:r w:rsidR="00057BF4" w:rsidRPr="00057BF4">
        <w:rPr>
          <w:i/>
        </w:rPr>
        <w:t>kasiṇa</w:t>
      </w:r>
      <w:proofErr w:type="spellEnd"/>
      <w:r>
        <w:t xml:space="preserve"> como su objeto. Inclina</w:t>
      </w:r>
      <w:r w:rsidR="00D60B89">
        <w:t>rá</w:t>
      </w:r>
      <w:r>
        <w:t>: l</w:t>
      </w:r>
      <w:r w:rsidR="00D60B89">
        <w:t>a</w:t>
      </w:r>
      <w:r>
        <w:t xml:space="preserve"> ha</w:t>
      </w:r>
      <w:r w:rsidR="00D60B89">
        <w:t>rá</w:t>
      </w:r>
      <w:r>
        <w:t xml:space="preserve"> tender e inclinarse hacia el poder sobrenatural a alcanzar.</w:t>
      </w:r>
    </w:p>
    <w:p w14:paraId="0E477455" w14:textId="120F7130" w:rsidR="00D64D9A" w:rsidRDefault="00D64D9A" w:rsidP="00D64D9A">
      <w:r>
        <w:t xml:space="preserve">47. </w:t>
      </w:r>
      <w:r>
        <w:tab/>
      </w:r>
      <w:r w:rsidRPr="00D60B89">
        <w:rPr>
          <w:i/>
          <w:iCs/>
        </w:rPr>
        <w:t>Él</w:t>
      </w:r>
      <w:r>
        <w:t xml:space="preserve">: el </w:t>
      </w:r>
      <w:proofErr w:type="spellStart"/>
      <w:r w:rsidR="00057BF4" w:rsidRPr="00057BF4">
        <w:rPr>
          <w:i/>
        </w:rPr>
        <w:t>bhikkhu</w:t>
      </w:r>
      <w:proofErr w:type="spellEnd"/>
      <w:r>
        <w:t xml:space="preserve"> que ha</w:t>
      </w:r>
      <w:r w:rsidR="00D60B89">
        <w:t>ya</w:t>
      </w:r>
      <w:r>
        <w:t xml:space="preserve"> dirigido su mente </w:t>
      </w:r>
      <w:r w:rsidR="00D60B89">
        <w:t>así</w:t>
      </w:r>
      <w:r>
        <w:t xml:space="preserve">. Los </w:t>
      </w:r>
      <w:r w:rsidR="00AF160F">
        <w:rPr>
          <w:i/>
          <w:iCs/>
        </w:rPr>
        <w:t>diversos</w:t>
      </w:r>
      <w:r>
        <w:t xml:space="preserve">: variados, de diferentes clases. </w:t>
      </w:r>
      <w:r w:rsidR="00B54DDB">
        <w:rPr>
          <w:i/>
          <w:iCs/>
        </w:rPr>
        <w:t>Tipos</w:t>
      </w:r>
      <w:r w:rsidRPr="009D594F">
        <w:rPr>
          <w:i/>
          <w:iCs/>
        </w:rPr>
        <w:t xml:space="preserve"> de poder sobrenatural</w:t>
      </w:r>
      <w:r>
        <w:t xml:space="preserve">: </w:t>
      </w:r>
      <w:r w:rsidR="00B54DDB">
        <w:t>áreas</w:t>
      </w:r>
      <w:r>
        <w:t xml:space="preserve"> de</w:t>
      </w:r>
      <w:r w:rsidR="00B54DDB">
        <w:t>l</w:t>
      </w:r>
      <w:r>
        <w:t xml:space="preserve"> poder sobrenatural. </w:t>
      </w:r>
      <w:r w:rsidRPr="009D594F">
        <w:rPr>
          <w:i/>
          <w:iCs/>
        </w:rPr>
        <w:t>Maneja</w:t>
      </w:r>
      <w:r>
        <w:t xml:space="preserve">: </w:t>
      </w:r>
      <w:proofErr w:type="spellStart"/>
      <w:r w:rsidRPr="009D594F">
        <w:rPr>
          <w:i/>
          <w:iCs/>
        </w:rPr>
        <w:t>paccanubhoti</w:t>
      </w:r>
      <w:proofErr w:type="spellEnd"/>
      <w:r>
        <w:t xml:space="preserve"> = </w:t>
      </w:r>
      <w:proofErr w:type="spellStart"/>
      <w:r w:rsidRPr="009D594F">
        <w:rPr>
          <w:i/>
          <w:iCs/>
        </w:rPr>
        <w:t>paccanu-bhavati</w:t>
      </w:r>
      <w:proofErr w:type="spellEnd"/>
      <w:r>
        <w:t xml:space="preserve"> (forma alternativa); el significado es que ha</w:t>
      </w:r>
      <w:r w:rsidR="00F733B3">
        <w:t>rá</w:t>
      </w:r>
      <w:r>
        <w:t xml:space="preserve"> contacto con, </w:t>
      </w:r>
      <w:r w:rsidR="009C1916">
        <w:t>consuma</w:t>
      </w:r>
      <w:r w:rsidR="00F733B3">
        <w:t>rá</w:t>
      </w:r>
      <w:r>
        <w:t>, alcanza</w:t>
      </w:r>
      <w:r w:rsidR="00F733B3">
        <w:t>rá</w:t>
      </w:r>
      <w:r>
        <w:t>.</w:t>
      </w:r>
    </w:p>
    <w:p w14:paraId="765EA7B0" w14:textId="50C9C714" w:rsidR="00D64D9A" w:rsidRDefault="00D64D9A" w:rsidP="00D64D9A">
      <w:r>
        <w:t xml:space="preserve">48. </w:t>
      </w:r>
      <w:r>
        <w:tab/>
        <w:t>Ahora bien, para mostrar esa diversidad, se dice: “</w:t>
      </w:r>
      <w:r w:rsidRPr="00D568FE">
        <w:rPr>
          <w:i/>
          <w:iCs/>
        </w:rPr>
        <w:t xml:space="preserve">Habiendo sido uno, se vuelve muchos; habiendo sido muchos, se convierte en uno. Aparece y desaparece. Atraviesa sin obstáculos muros, recintos, montañas, como si estuviera en un espacio abierto. Se sumerge dentro y fuera de la tierra como si estuviera en agua. Va sobre aguas </w:t>
      </w:r>
      <w:r w:rsidR="002C0819">
        <w:rPr>
          <w:i/>
          <w:iCs/>
        </w:rPr>
        <w:t>intactas</w:t>
      </w:r>
      <w:r w:rsidRPr="00D568FE">
        <w:rPr>
          <w:i/>
          <w:iCs/>
        </w:rPr>
        <w:t xml:space="preserve"> como si estuviera en la tierra. Sentado con las piernas cruzadas viaja por el espacio como un pájaro alado. Con su mano toca y acaricia la Luna</w:t>
      </w:r>
      <w:r w:rsidR="0024471E" w:rsidRPr="00D568FE">
        <w:rPr>
          <w:i/>
          <w:iCs/>
        </w:rPr>
        <w:t xml:space="preserve"> y el Sol tan poderoso y </w:t>
      </w:r>
      <w:r w:rsidR="00B21211" w:rsidRPr="00D568FE">
        <w:rPr>
          <w:i/>
          <w:iCs/>
        </w:rPr>
        <w:t>omnipotente</w:t>
      </w:r>
      <w:r w:rsidR="0024471E" w:rsidRPr="00D568FE">
        <w:rPr>
          <w:i/>
          <w:iCs/>
        </w:rPr>
        <w:t>. Ejerce el dominio corporal inclus</w:t>
      </w:r>
      <w:r w:rsidR="00061FCE">
        <w:rPr>
          <w:i/>
          <w:iCs/>
        </w:rPr>
        <w:t>ive</w:t>
      </w:r>
      <w:r w:rsidR="00061FCE" w:rsidRPr="00061FCE">
        <w:rPr>
          <w:i/>
          <w:iCs/>
        </w:rPr>
        <w:t xml:space="preserve"> </w:t>
      </w:r>
      <w:r w:rsidR="00061FCE" w:rsidRPr="00D568FE">
        <w:rPr>
          <w:i/>
          <w:iCs/>
        </w:rPr>
        <w:t>hasta el mundo</w:t>
      </w:r>
      <w:r w:rsidR="00061FCE">
        <w:t xml:space="preserve"> </w:t>
      </w:r>
      <w:r w:rsidR="00061FCE" w:rsidRPr="00057BF4">
        <w:rPr>
          <w:i/>
          <w:iCs/>
        </w:rPr>
        <w:t>Brahmā</w:t>
      </w:r>
      <w:r w:rsidR="00061FCE">
        <w:t>” (D I 77).</w:t>
      </w:r>
    </w:p>
    <w:p w14:paraId="4D0FE6AD" w14:textId="77777777" w:rsidR="00D64D9A" w:rsidRDefault="00D64D9A">
      <w:pPr>
        <w:tabs>
          <w:tab w:val="clear" w:pos="425"/>
        </w:tabs>
        <w:spacing w:after="160"/>
      </w:pPr>
      <w:r>
        <w:br w:type="page"/>
      </w:r>
    </w:p>
    <w:p w14:paraId="1260904F" w14:textId="77777777" w:rsidR="00D64D9A" w:rsidRDefault="00D64D9A" w:rsidP="00D64D9A"/>
    <w:p w14:paraId="671BD31D" w14:textId="77777777" w:rsidR="00061FCE" w:rsidRDefault="00061FCE" w:rsidP="00D64D9A"/>
    <w:p w14:paraId="78063799" w14:textId="295ED693" w:rsidR="005179D6" w:rsidRDefault="005303BF" w:rsidP="00BA1132">
      <w:pPr>
        <w:pStyle w:val="NormalConSangria"/>
      </w:pPr>
      <w:r>
        <w:t>Al respecto</w:t>
      </w:r>
      <w:r w:rsidR="005179D6">
        <w:t xml:space="preserve">, </w:t>
      </w:r>
      <w:r>
        <w:t xml:space="preserve">al </w:t>
      </w:r>
      <w:r w:rsidR="005179D6" w:rsidRPr="009D594F">
        <w:rPr>
          <w:i/>
          <w:iCs/>
        </w:rPr>
        <w:t>haber sido uno</w:t>
      </w:r>
      <w:r w:rsidR="005179D6">
        <w:t xml:space="preserve">: </w:t>
      </w:r>
      <w:r>
        <w:t xml:space="preserve">al </w:t>
      </w:r>
      <w:r w:rsidR="005179D6">
        <w:t xml:space="preserve">haber sido normalmente uno antes de dar efecto al poder sobrenatural. </w:t>
      </w:r>
      <w:r w:rsidR="005179D6" w:rsidRPr="005303BF">
        <w:t>Se</w:t>
      </w:r>
      <w:r w:rsidR="005179D6" w:rsidRPr="009D594F">
        <w:rPr>
          <w:i/>
          <w:iCs/>
        </w:rPr>
        <w:t xml:space="preserve"> vuelve muchos</w:t>
      </w:r>
      <w:r w:rsidR="005179D6">
        <w:t xml:space="preserve">: queriendo caminar con muchos o queriendo hacer un recital o queriendo hacer preguntas con muchos, se vuelve cien o mil. Pero ¿cómo hace esto? Él logra (1) los </w:t>
      </w:r>
      <w:r>
        <w:t>4</w:t>
      </w:r>
      <w:r w:rsidR="005179D6">
        <w:t xml:space="preserve"> planos, (2) las </w:t>
      </w:r>
      <w:r>
        <w:t>4</w:t>
      </w:r>
      <w:r w:rsidR="005179D6">
        <w:t xml:space="preserve"> bases (</w:t>
      </w:r>
      <w:r>
        <w:t>senderos</w:t>
      </w:r>
      <w:r w:rsidR="005179D6">
        <w:t xml:space="preserve">), (3) los </w:t>
      </w:r>
      <w:r>
        <w:t>8</w:t>
      </w:r>
      <w:r w:rsidR="005179D6">
        <w:t xml:space="preserve"> pasos y (4) las </w:t>
      </w:r>
      <w:r>
        <w:t>16</w:t>
      </w:r>
      <w:r w:rsidR="005179D6">
        <w:t xml:space="preserve"> raíces del poder sobrenatural, y luego (5) </w:t>
      </w:r>
      <w:r>
        <w:t>los determina</w:t>
      </w:r>
      <w:r w:rsidR="005179D6">
        <w:t xml:space="preserve"> con conocimiento.</w:t>
      </w:r>
    </w:p>
    <w:p w14:paraId="218FD96D" w14:textId="52ADCFBB" w:rsidR="005179D6" w:rsidRDefault="005179D6" w:rsidP="005179D6">
      <w:r>
        <w:t xml:space="preserve">49. </w:t>
      </w:r>
      <w:r>
        <w:tab/>
        <w:t xml:space="preserve">1. Aquí, los </w:t>
      </w:r>
      <w:r w:rsidRPr="009D594F">
        <w:rPr>
          <w:i/>
          <w:iCs/>
        </w:rPr>
        <w:t>cuatro planos</w:t>
      </w:r>
      <w:r>
        <w:t xml:space="preserve"> deben entenderse como los cuatro </w:t>
      </w:r>
      <w:proofErr w:type="spellStart"/>
      <w:r w:rsidR="00057BF4" w:rsidRPr="00057BF4">
        <w:rPr>
          <w:i/>
        </w:rPr>
        <w:t>jhāna</w:t>
      </w:r>
      <w:r>
        <w:t>s</w:t>
      </w:r>
      <w:proofErr w:type="spellEnd"/>
      <w:r>
        <w:t xml:space="preserve">; porque esto ha sido </w:t>
      </w:r>
      <w:r w:rsidR="00741ADB">
        <w:t>afirmado así</w:t>
      </w:r>
      <w:r>
        <w:t xml:space="preserve"> por el General del </w:t>
      </w:r>
      <w:r w:rsidR="00057BF4" w:rsidRPr="00057BF4">
        <w:rPr>
          <w:i/>
        </w:rPr>
        <w:t>Dhamma</w:t>
      </w:r>
      <w:r>
        <w:t xml:space="preserve"> [el Mayor Sāriputta]: “¿Cuáles son los cuatro planos del poder sobrenatural? Son el primer </w:t>
      </w:r>
      <w:proofErr w:type="spellStart"/>
      <w:r w:rsidR="00057BF4" w:rsidRPr="00057BF4">
        <w:rPr>
          <w:i/>
        </w:rPr>
        <w:t>jhāna</w:t>
      </w:r>
      <w:proofErr w:type="spellEnd"/>
      <w:r>
        <w:t xml:space="preserve"> como el plano </w:t>
      </w:r>
      <w:r w:rsidR="00324C31">
        <w:t>surgido</w:t>
      </w:r>
      <w:r>
        <w:t xml:space="preserve"> de la reclusión, el segundo </w:t>
      </w:r>
      <w:proofErr w:type="spellStart"/>
      <w:r w:rsidR="00057BF4" w:rsidRPr="00057BF4">
        <w:rPr>
          <w:i/>
        </w:rPr>
        <w:t>jhāna</w:t>
      </w:r>
      <w:proofErr w:type="spellEnd"/>
      <w:r>
        <w:t xml:space="preserve"> como el plano de la felicidad y la dicha, el tercer </w:t>
      </w:r>
      <w:proofErr w:type="spellStart"/>
      <w:r w:rsidR="00057BF4" w:rsidRPr="00057BF4">
        <w:rPr>
          <w:i/>
        </w:rPr>
        <w:t>jhāna</w:t>
      </w:r>
      <w:proofErr w:type="spellEnd"/>
      <w:r>
        <w:t xml:space="preserve"> como el plano de la ecuanimidad y la dicha, el cuarto </w:t>
      </w:r>
      <w:proofErr w:type="spellStart"/>
      <w:r w:rsidR="00057BF4" w:rsidRPr="00057BF4">
        <w:rPr>
          <w:i/>
        </w:rPr>
        <w:t>jhāna</w:t>
      </w:r>
      <w:proofErr w:type="spellEnd"/>
      <w:r>
        <w:t xml:space="preserve"> como el plano </w:t>
      </w:r>
      <w:r w:rsidR="005821EF">
        <w:t>de no-</w:t>
      </w:r>
      <w:r>
        <w:t>dolor</w:t>
      </w:r>
      <w:r w:rsidR="005821EF">
        <w:t>-</w:t>
      </w:r>
      <w:r>
        <w:t>ni</w:t>
      </w:r>
      <w:r w:rsidR="005821EF">
        <w:t>-</w:t>
      </w:r>
      <w:r>
        <w:t>placer. Estos cuatro planos de</w:t>
      </w:r>
      <w:r w:rsidR="00580313">
        <w:t>l</w:t>
      </w:r>
      <w:r>
        <w:t xml:space="preserve"> poder sobrenatural conducen al logro del poder sobrenatural, a la obtención del poder sobrenatural, a la transformación debida al poder sobrenatural, a la majestad</w:t>
      </w:r>
      <w:r w:rsidRPr="009C7A89">
        <w:rPr>
          <w:vertAlign w:val="superscript"/>
        </w:rPr>
        <w:t>7</w:t>
      </w:r>
      <w:r>
        <w:t xml:space="preserve"> del poder sobrenatural, al dominio del poder sobrenatural, a la intrepidez </w:t>
      </w:r>
      <w:r w:rsidR="00580313">
        <w:t>d</w:t>
      </w:r>
      <w:r>
        <w:t>el poder sobrenatural” (</w:t>
      </w:r>
      <w:r w:rsidRPr="00580313">
        <w:rPr>
          <w:i/>
          <w:iCs/>
        </w:rPr>
        <w:t>Patis</w:t>
      </w:r>
      <w:r>
        <w:t xml:space="preserve"> II 205). Y alcanza</w:t>
      </w:r>
      <w:r w:rsidR="00580313">
        <w:t>rá</w:t>
      </w:r>
      <w:r>
        <w:t xml:space="preserve"> un poder sobrenatural al volverse ligero, maleable y manejable en cuerpo</w:t>
      </w:r>
      <w:r w:rsidR="005821EF">
        <w:t>,</w:t>
      </w:r>
      <w:r>
        <w:t xml:space="preserve"> después de sumergirse en la percepción </w:t>
      </w:r>
      <w:r w:rsidR="00580313">
        <w:t>de la dicha</w:t>
      </w:r>
      <w:r>
        <w:t xml:space="preserve"> y la percepción de la luz debido a la penetración de la felicidad y la penetración del gozo, [385] razón por la cual los primeros tres </w:t>
      </w:r>
      <w:proofErr w:type="spellStart"/>
      <w:r w:rsidR="00057BF4" w:rsidRPr="00057BF4">
        <w:rPr>
          <w:i/>
        </w:rPr>
        <w:t>jhāna</w:t>
      </w:r>
      <w:r>
        <w:t>s</w:t>
      </w:r>
      <w:proofErr w:type="spellEnd"/>
      <w:r>
        <w:t xml:space="preserve"> debe</w:t>
      </w:r>
      <w:r w:rsidR="00405E9F">
        <w:t>rá</w:t>
      </w:r>
      <w:r>
        <w:t>n entenderse como el plano accesorio ya que conduc</w:t>
      </w:r>
      <w:r w:rsidR="00405E9F">
        <w:t>irá</w:t>
      </w:r>
      <w:r>
        <w:t xml:space="preserve">n </w:t>
      </w:r>
      <w:r w:rsidR="00405E9F">
        <w:t xml:space="preserve">así </w:t>
      </w:r>
      <w:r>
        <w:t xml:space="preserve">a la obtención de </w:t>
      </w:r>
      <w:r w:rsidR="00405E9F">
        <w:t xml:space="preserve">los </w:t>
      </w:r>
      <w:r>
        <w:t xml:space="preserve">poderes sobrenaturales. </w:t>
      </w:r>
      <w:r w:rsidR="005821EF">
        <w:t xml:space="preserve">No obstante, </w:t>
      </w:r>
      <w:r>
        <w:t xml:space="preserve">el cuarto </w:t>
      </w:r>
      <w:r w:rsidR="00E72B3D">
        <w:t xml:space="preserve">corresponderá </w:t>
      </w:r>
      <w:r>
        <w:t xml:space="preserve">el plano natural para </w:t>
      </w:r>
      <w:r w:rsidR="00E72B3D">
        <w:t xml:space="preserve">la obtención de los </w:t>
      </w:r>
      <w:r>
        <w:t>poderes sobrenaturales.</w:t>
      </w:r>
    </w:p>
    <w:p w14:paraId="2694F35B" w14:textId="2A2577FA" w:rsidR="005179D6" w:rsidRDefault="005179D6" w:rsidP="005179D6">
      <w:r>
        <w:t xml:space="preserve">50. </w:t>
      </w:r>
      <w:r>
        <w:tab/>
        <w:t xml:space="preserve">2. </w:t>
      </w:r>
      <w:r w:rsidRPr="009D594F">
        <w:rPr>
          <w:i/>
          <w:iCs/>
        </w:rPr>
        <w:t>Las cuatro bases</w:t>
      </w:r>
      <w:r>
        <w:t xml:space="preserve"> (caminos) debe</w:t>
      </w:r>
      <w:r w:rsidR="00405E9F">
        <w:t>rá</w:t>
      </w:r>
      <w:r>
        <w:t xml:space="preserve">n entenderse como las </w:t>
      </w:r>
      <w:r w:rsidR="00584D14">
        <w:t>4</w:t>
      </w:r>
      <w:r>
        <w:t xml:space="preserve"> bases del éxito (</w:t>
      </w:r>
      <w:proofErr w:type="spellStart"/>
      <w:r w:rsidRPr="009D594F">
        <w:rPr>
          <w:i/>
          <w:iCs/>
        </w:rPr>
        <w:t>iddhi</w:t>
      </w:r>
      <w:r>
        <w:t>-</w:t>
      </w:r>
      <w:r w:rsidRPr="009D594F">
        <w:rPr>
          <w:i/>
          <w:iCs/>
        </w:rPr>
        <w:t>pāda</w:t>
      </w:r>
      <w:proofErr w:type="spellEnd"/>
      <w:r>
        <w:t>—</w:t>
      </w:r>
      <w:r w:rsidR="00405E9F">
        <w:t xml:space="preserve"> senderos</w:t>
      </w:r>
      <w:r>
        <w:t xml:space="preserve"> hacia el poder); pues </w:t>
      </w:r>
      <w:r w:rsidR="00405E9F">
        <w:t>está dicho</w:t>
      </w:r>
      <w:r>
        <w:t>: “¿Cuáles son las cuatro bases (</w:t>
      </w:r>
      <w:proofErr w:type="spellStart"/>
      <w:r w:rsidRPr="009D594F">
        <w:rPr>
          <w:i/>
          <w:iCs/>
        </w:rPr>
        <w:t>pāda</w:t>
      </w:r>
      <w:proofErr w:type="spellEnd"/>
      <w:r>
        <w:t>—</w:t>
      </w:r>
      <w:r w:rsidR="00E21670">
        <w:t>senderos</w:t>
      </w:r>
      <w:r>
        <w:t>) para el éxito (</w:t>
      </w:r>
      <w:proofErr w:type="spellStart"/>
      <w:r w:rsidRPr="009D594F">
        <w:rPr>
          <w:i/>
          <w:iCs/>
        </w:rPr>
        <w:t>iddhi</w:t>
      </w:r>
      <w:proofErr w:type="spellEnd"/>
      <w:r>
        <w:t xml:space="preserve">—poder)? Aquí un </w:t>
      </w:r>
      <w:proofErr w:type="spellStart"/>
      <w:r w:rsidR="00057BF4" w:rsidRPr="00057BF4">
        <w:rPr>
          <w:i/>
        </w:rPr>
        <w:t>bhikkhu</w:t>
      </w:r>
      <w:proofErr w:type="spellEnd"/>
      <w:r>
        <w:t xml:space="preserve"> desarrolla</w:t>
      </w:r>
      <w:r w:rsidR="002E4408">
        <w:t>rá</w:t>
      </w:r>
      <w:r>
        <w:t xml:space="preserve"> la base para el éxito (</w:t>
      </w:r>
      <w:r w:rsidR="00E21670">
        <w:t>sendero hacia</w:t>
      </w:r>
      <w:r>
        <w:t xml:space="preserve"> </w:t>
      </w:r>
      <w:r w:rsidR="00E21670">
        <w:t>e</w:t>
      </w:r>
      <w:r>
        <w:t>l poder) que pose</w:t>
      </w:r>
      <w:r w:rsidR="002E4408">
        <w:t>a</w:t>
      </w:r>
      <w:r>
        <w:t xml:space="preserve"> tanto concentración debida al celo como </w:t>
      </w:r>
      <w:r w:rsidR="009309DD">
        <w:t xml:space="preserve">a </w:t>
      </w:r>
      <w:r>
        <w:t xml:space="preserve">la voluntad de esforzarse (esfuerzo); </w:t>
      </w:r>
      <w:r w:rsidR="009309DD">
        <w:t xml:space="preserve">él </w:t>
      </w:r>
      <w:r>
        <w:t>desarrolla</w:t>
      </w:r>
      <w:r w:rsidR="009309DD">
        <w:t>rá</w:t>
      </w:r>
      <w:r>
        <w:t xml:space="preserve"> la base para el éxito (</w:t>
      </w:r>
      <w:r w:rsidR="00E21670">
        <w:t>sendero hacia e</w:t>
      </w:r>
      <w:r>
        <w:t>l poder) que pose</w:t>
      </w:r>
      <w:r w:rsidR="002E4408">
        <w:t>a</w:t>
      </w:r>
      <w:r>
        <w:t xml:space="preserve"> tanto concentración debid</w:t>
      </w:r>
      <w:r w:rsidR="003E47F6">
        <w:t>a</w:t>
      </w:r>
      <w:r>
        <w:t xml:space="preserve"> a la energía como </w:t>
      </w:r>
      <w:r w:rsidR="009309DD">
        <w:t xml:space="preserve">a la </w:t>
      </w:r>
      <w:r>
        <w:t xml:space="preserve">voluntad </w:t>
      </w:r>
      <w:r w:rsidR="003E47F6">
        <w:t>por</w:t>
      </w:r>
      <w:r>
        <w:t xml:space="preserve"> esforzarse; </w:t>
      </w:r>
      <w:r w:rsidR="003E47F6">
        <w:t xml:space="preserve">él </w:t>
      </w:r>
      <w:r>
        <w:t>desarrolla</w:t>
      </w:r>
      <w:r w:rsidR="003E47F6">
        <w:t>rá</w:t>
      </w:r>
      <w:r>
        <w:t xml:space="preserve"> la base para el éxito (</w:t>
      </w:r>
      <w:r w:rsidR="003E47F6">
        <w:t>el sendero hacia</w:t>
      </w:r>
      <w:r>
        <w:t xml:space="preserve"> </w:t>
      </w:r>
      <w:r w:rsidR="003E47F6">
        <w:t>e</w:t>
      </w:r>
      <w:r>
        <w:t>l poder) que posee tanto concentración debid</w:t>
      </w:r>
      <w:r w:rsidR="003E47F6">
        <w:t>a</w:t>
      </w:r>
      <w:r>
        <w:t xml:space="preserve"> a la pureza natural de la con</w:t>
      </w:r>
      <w:r w:rsidR="003E47F6">
        <w:t>s</w:t>
      </w:r>
      <w:r>
        <w:t xml:space="preserve">ciencia como </w:t>
      </w:r>
      <w:r w:rsidR="003E47F6">
        <w:t xml:space="preserve">a </w:t>
      </w:r>
      <w:r>
        <w:t xml:space="preserve">la voluntad </w:t>
      </w:r>
      <w:r w:rsidR="00B375E2">
        <w:t>por</w:t>
      </w:r>
      <w:r>
        <w:t xml:space="preserve"> esforzarse; desarrolla</w:t>
      </w:r>
      <w:r w:rsidR="003E47F6">
        <w:t>rá</w:t>
      </w:r>
      <w:r>
        <w:t xml:space="preserve"> la base para el éxito (</w:t>
      </w:r>
      <w:r w:rsidR="003E47F6">
        <w:t>sendero</w:t>
      </w:r>
      <w:r>
        <w:t xml:space="preserve"> </w:t>
      </w:r>
      <w:r w:rsidR="009309DD">
        <w:t>hacia e</w:t>
      </w:r>
      <w:r>
        <w:t>l poder) que posee</w:t>
      </w:r>
      <w:r w:rsidR="003E47F6">
        <w:t>rá</w:t>
      </w:r>
      <w:r>
        <w:t xml:space="preserve"> tanto concentración debida a la investigación como </w:t>
      </w:r>
      <w:r w:rsidR="009309DD">
        <w:t xml:space="preserve">a la </w:t>
      </w:r>
      <w:r>
        <w:t>voluntad de esforzarse. Estas cuatro bases (</w:t>
      </w:r>
      <w:r w:rsidR="009309DD">
        <w:t>senderos</w:t>
      </w:r>
      <w:r>
        <w:t>) para el éxito (poder) conduc</w:t>
      </w:r>
      <w:r w:rsidR="003C1AFD">
        <w:t>irá</w:t>
      </w:r>
      <w:r>
        <w:t>n a la obtención de un poder sobrenatural (éxito)... a la valentía debida al poder sobrenatural (éxito)” (</w:t>
      </w:r>
      <w:proofErr w:type="spellStart"/>
      <w:r w:rsidRPr="00405E9F">
        <w:rPr>
          <w:i/>
          <w:iCs/>
        </w:rPr>
        <w:t>Paṭis</w:t>
      </w:r>
      <w:proofErr w:type="spellEnd"/>
      <w:r>
        <w:t xml:space="preserve"> II 205).</w:t>
      </w:r>
    </w:p>
    <w:p w14:paraId="3B48ABD9" w14:textId="678BE966" w:rsidR="005179D6" w:rsidRDefault="005179D6" w:rsidP="005179D6">
      <w:r>
        <w:t xml:space="preserve">51. </w:t>
      </w:r>
      <w:r>
        <w:tab/>
        <w:t xml:space="preserve">Y aquí la concentración que </w:t>
      </w:r>
      <w:r w:rsidR="003067F5">
        <w:t>posea</w:t>
      </w:r>
      <w:r>
        <w:t xml:space="preserve"> como causa </w:t>
      </w:r>
      <w:r w:rsidR="00D668EC">
        <w:t>a</w:t>
      </w:r>
      <w:r>
        <w:t xml:space="preserve">l celo, o </w:t>
      </w:r>
      <w:r w:rsidR="00D668EC">
        <w:t>posea</w:t>
      </w:r>
      <w:r w:rsidR="003C1AFD">
        <w:t xml:space="preserve"> un</w:t>
      </w:r>
      <w:r>
        <w:t xml:space="preserve"> celo </w:t>
      </w:r>
      <w:r w:rsidR="003C1AFD">
        <w:t>distinguible</w:t>
      </w:r>
      <w:r>
        <w:t xml:space="preserve">, </w:t>
      </w:r>
      <w:r w:rsidR="003C1AFD">
        <w:t xml:space="preserve">será la </w:t>
      </w:r>
      <w:r w:rsidRPr="009D594F">
        <w:rPr>
          <w:i/>
          <w:iCs/>
        </w:rPr>
        <w:t>concentración debida al celo</w:t>
      </w:r>
      <w:r>
        <w:t xml:space="preserve">; </w:t>
      </w:r>
      <w:r w:rsidR="003C1AFD">
        <w:t>é</w:t>
      </w:r>
      <w:r>
        <w:t xml:space="preserve">ste </w:t>
      </w:r>
      <w:r w:rsidR="00D668EC">
        <w:t xml:space="preserve">será </w:t>
      </w:r>
      <w:r>
        <w:t>un término para la concentración obtenida dando precedencia al celo consiste</w:t>
      </w:r>
      <w:r w:rsidR="003C1AFD">
        <w:t>nte</w:t>
      </w:r>
      <w:r>
        <w:t xml:space="preserve"> </w:t>
      </w:r>
      <w:r w:rsidR="003C1AFD">
        <w:t>d</w:t>
      </w:r>
      <w:r>
        <w:t>el deseo de actuar. La voluntad (</w:t>
      </w:r>
      <w:r w:rsidR="00C14281">
        <w:t xml:space="preserve">la </w:t>
      </w:r>
      <w:r>
        <w:t xml:space="preserve">formación) como esfuerzo </w:t>
      </w:r>
      <w:r w:rsidR="00C14281">
        <w:t xml:space="preserve">corresponderá </w:t>
      </w:r>
      <w:r w:rsidR="00062EC7">
        <w:t>a</w:t>
      </w:r>
      <w:r w:rsidR="003C1AFD">
        <w:t>l</w:t>
      </w:r>
      <w:r w:rsidR="00062EC7">
        <w:t xml:space="preserve"> emprendimiento por </w:t>
      </w:r>
      <w:r>
        <w:t xml:space="preserve">esforzarse; </w:t>
      </w:r>
      <w:r w:rsidR="003C1AFD">
        <w:t>é</w:t>
      </w:r>
      <w:r>
        <w:t xml:space="preserve">ste </w:t>
      </w:r>
      <w:r w:rsidR="003C1AFD">
        <w:t xml:space="preserve">será </w:t>
      </w:r>
      <w:r>
        <w:t xml:space="preserve">un término para la energía del </w:t>
      </w:r>
      <w:r w:rsidR="0018274E">
        <w:t>emprendimiento</w:t>
      </w:r>
      <w:r>
        <w:t xml:space="preserve"> correcto que cumpl</w:t>
      </w:r>
      <w:r w:rsidR="003C1AFD">
        <w:t>a</w:t>
      </w:r>
      <w:r>
        <w:t xml:space="preserve"> su función cuádruple (ver §53). </w:t>
      </w:r>
      <w:r w:rsidRPr="003C1AFD">
        <w:rPr>
          <w:i/>
          <w:iCs/>
        </w:rPr>
        <w:t>Posee</w:t>
      </w:r>
      <w:r w:rsidR="003C1AFD">
        <w:rPr>
          <w:i/>
          <w:iCs/>
        </w:rPr>
        <w:t>rá</w:t>
      </w:r>
      <w:r>
        <w:t>: est</w:t>
      </w:r>
      <w:r w:rsidR="003C1AFD">
        <w:t>ar</w:t>
      </w:r>
      <w:r>
        <w:t xml:space="preserve">á dotado de concentración debida al celo y </w:t>
      </w:r>
      <w:r w:rsidR="007E11FA">
        <w:t>a</w:t>
      </w:r>
      <w:r>
        <w:t xml:space="preserve"> las cuatro instancias de la voluntad de esforzarse.</w:t>
      </w:r>
    </w:p>
    <w:p w14:paraId="6DF569BD" w14:textId="21A239CE" w:rsidR="005179D6" w:rsidRPr="005179D6" w:rsidRDefault="005179D6" w:rsidP="005179D6">
      <w:pPr>
        <w:rPr>
          <w:u w:val="single"/>
        </w:rPr>
      </w:pPr>
      <w:r w:rsidRPr="005179D6">
        <w:rPr>
          <w:u w:val="single"/>
        </w:rPr>
        <w:t xml:space="preserve">                                                                                                                                                            .</w:t>
      </w:r>
    </w:p>
    <w:p w14:paraId="43F80ED4" w14:textId="2E9F3521" w:rsidR="005179D6" w:rsidRDefault="005179D6" w:rsidP="005179D6">
      <w:pPr>
        <w:pStyle w:val="PiedepginaLegal"/>
      </w:pPr>
      <w:r>
        <w:t xml:space="preserve">7. </w:t>
      </w:r>
      <w:r>
        <w:tab/>
      </w:r>
      <w:proofErr w:type="spellStart"/>
      <w:r w:rsidRPr="009D594F">
        <w:rPr>
          <w:i/>
          <w:iCs/>
        </w:rPr>
        <w:t>Visavitā</w:t>
      </w:r>
      <w:proofErr w:type="spellEnd"/>
      <w:r>
        <w:t xml:space="preserve">— “majestad”: no en </w:t>
      </w:r>
      <w:r w:rsidR="00A13FEF">
        <w:t xml:space="preserve">el </w:t>
      </w:r>
      <w:r>
        <w:t xml:space="preserve">PED; cf. </w:t>
      </w:r>
      <w:proofErr w:type="spellStart"/>
      <w:r w:rsidRPr="009D594F">
        <w:rPr>
          <w:i/>
          <w:iCs/>
        </w:rPr>
        <w:t>passavati</w:t>
      </w:r>
      <w:proofErr w:type="spellEnd"/>
      <w:r>
        <w:t xml:space="preserve">. </w:t>
      </w:r>
      <w:proofErr w:type="spellStart"/>
      <w:r>
        <w:t>Vism-mhṭ</w:t>
      </w:r>
      <w:proofErr w:type="spellEnd"/>
      <w:r>
        <w:t xml:space="preserve"> (pág. 385) glosa </w:t>
      </w:r>
      <w:proofErr w:type="spellStart"/>
      <w:r w:rsidRPr="009D594F">
        <w:rPr>
          <w:i/>
          <w:iCs/>
        </w:rPr>
        <w:t>iddhiyā</w:t>
      </w:r>
      <w:proofErr w:type="spellEnd"/>
      <w:r w:rsidRPr="009D594F">
        <w:rPr>
          <w:i/>
          <w:iCs/>
        </w:rPr>
        <w:t xml:space="preserve"> </w:t>
      </w:r>
      <w:proofErr w:type="spellStart"/>
      <w:r w:rsidRPr="009D594F">
        <w:rPr>
          <w:i/>
          <w:iCs/>
        </w:rPr>
        <w:t>vividhānisaīsa-pasavanāya</w:t>
      </w:r>
      <w:proofErr w:type="spellEnd"/>
      <w:r>
        <w:t xml:space="preserve">. Cf. </w:t>
      </w:r>
      <w:proofErr w:type="spellStart"/>
      <w:r>
        <w:t>Dhs</w:t>
      </w:r>
      <w:proofErr w:type="spellEnd"/>
      <w:r>
        <w:t xml:space="preserve">-a 109; </w:t>
      </w:r>
      <w:proofErr w:type="spellStart"/>
      <w:r>
        <w:t>Dhs</w:t>
      </w:r>
      <w:proofErr w:type="spellEnd"/>
      <w:r>
        <w:t xml:space="preserve">-þ (p. 84) glosa así </w:t>
      </w:r>
      <w:proofErr w:type="spellStart"/>
      <w:r w:rsidRPr="009D594F">
        <w:rPr>
          <w:i/>
          <w:iCs/>
        </w:rPr>
        <w:t>visavitāyā</w:t>
      </w:r>
      <w:proofErr w:type="spellEnd"/>
      <w:r w:rsidRPr="009D594F">
        <w:rPr>
          <w:i/>
          <w:iCs/>
        </w:rPr>
        <w:t xml:space="preserve"> ti </w:t>
      </w:r>
      <w:proofErr w:type="spellStart"/>
      <w:r w:rsidR="00057BF4" w:rsidRPr="00057BF4">
        <w:rPr>
          <w:i/>
          <w:iCs/>
        </w:rPr>
        <w:t>arahat</w:t>
      </w:r>
      <w:r w:rsidRPr="009D594F">
        <w:rPr>
          <w:i/>
          <w:iCs/>
        </w:rPr>
        <w:t>āya</w:t>
      </w:r>
      <w:proofErr w:type="spellEnd"/>
      <w:r>
        <w:t>.</w:t>
      </w:r>
    </w:p>
    <w:p w14:paraId="512314B7" w14:textId="77777777" w:rsidR="005179D6" w:rsidRDefault="005179D6">
      <w:pPr>
        <w:tabs>
          <w:tab w:val="clear" w:pos="425"/>
        </w:tabs>
        <w:spacing w:after="160"/>
      </w:pPr>
      <w:r>
        <w:br w:type="page"/>
      </w:r>
    </w:p>
    <w:p w14:paraId="68C2C123" w14:textId="77777777" w:rsidR="00F32D9F" w:rsidRDefault="00F32D9F" w:rsidP="005179D6"/>
    <w:p w14:paraId="252F3A33" w14:textId="005CAA50" w:rsidR="00F32D9F" w:rsidRDefault="00F32D9F" w:rsidP="00F32D9F">
      <w:r>
        <w:t xml:space="preserve">52. </w:t>
      </w:r>
      <w:r>
        <w:tab/>
      </w:r>
      <w:r w:rsidR="007E11FA">
        <w:rPr>
          <w:i/>
          <w:iCs/>
        </w:rPr>
        <w:t>Sendero hacia e</w:t>
      </w:r>
      <w:r w:rsidRPr="009D594F">
        <w:rPr>
          <w:i/>
          <w:iCs/>
        </w:rPr>
        <w:t>l poder</w:t>
      </w:r>
      <w:r>
        <w:t xml:space="preserve"> (</w:t>
      </w:r>
      <w:r w:rsidRPr="009D594F">
        <w:rPr>
          <w:i/>
          <w:iCs/>
        </w:rPr>
        <w:t>base para el éxito</w:t>
      </w:r>
      <w:r>
        <w:t>): el significado</w:t>
      </w:r>
      <w:r w:rsidR="006665A6">
        <w:t xml:space="preserve"> corresponde a</w:t>
      </w:r>
      <w:r>
        <w:t xml:space="preserve"> l</w:t>
      </w:r>
      <w:r w:rsidR="00F575F6">
        <w:t>a</w:t>
      </w:r>
      <w:r>
        <w:t xml:space="preserve"> total</w:t>
      </w:r>
      <w:r w:rsidR="00F575F6">
        <w:t>idad</w:t>
      </w:r>
      <w:r>
        <w:t xml:space="preserve"> de la con</w:t>
      </w:r>
      <w:r w:rsidR="00F575F6">
        <w:t>s</w:t>
      </w:r>
      <w:r>
        <w:t>ciencia y sus concomitantes restantes</w:t>
      </w:r>
      <w:r w:rsidR="00F575F6">
        <w:t>,</w:t>
      </w:r>
      <w:r>
        <w:t xml:space="preserve"> </w:t>
      </w:r>
      <w:r w:rsidR="007028DA">
        <w:t>e</w:t>
      </w:r>
      <w:r>
        <w:t xml:space="preserve">xcepto la concentración y la voluntad, que son, en el sentido de resolución, el </w:t>
      </w:r>
      <w:r w:rsidR="00F575F6">
        <w:t>sendero</w:t>
      </w:r>
      <w:r>
        <w:t xml:space="preserve"> hacia (</w:t>
      </w:r>
      <w:r w:rsidR="00F575F6">
        <w:t xml:space="preserve">la </w:t>
      </w:r>
      <w:r>
        <w:t xml:space="preserve">base para) la concentración debido al celo y </w:t>
      </w:r>
      <w:r w:rsidR="00F575F6">
        <w:t xml:space="preserve">a </w:t>
      </w:r>
      <w:r>
        <w:t>la voluntad de esforzarse asociados con la con</w:t>
      </w:r>
      <w:r w:rsidR="00667BFC">
        <w:t>s</w:t>
      </w:r>
      <w:r>
        <w:t>ciencia de</w:t>
      </w:r>
      <w:r w:rsidR="00667BFC">
        <w:t>l</w:t>
      </w:r>
      <w:r>
        <w:t xml:space="preserve"> conocimiento directo, </w:t>
      </w:r>
      <w:r w:rsidR="00F25E09">
        <w:t xml:space="preserve">lo </w:t>
      </w:r>
      <w:r>
        <w:t xml:space="preserve">que a su vez se </w:t>
      </w:r>
      <w:r w:rsidR="00F575F6">
        <w:t xml:space="preserve">le </w:t>
      </w:r>
      <w:r>
        <w:t>denomina</w:t>
      </w:r>
      <w:r w:rsidR="00667BFC">
        <w:t>rá</w:t>
      </w:r>
      <w:r>
        <w:t xml:space="preserve"> "poder (éxito)" ya sea por el tratamiento como "producción" (§20) o en el sentido de "tener éxito" (§21) o por el tratamiento de esta manera, “los seres tienen éxito </w:t>
      </w:r>
      <w:r w:rsidR="00667BFC">
        <w:t>a través de</w:t>
      </w:r>
      <w:r>
        <w:t xml:space="preserve"> sus medios, así tienen éxito; se enriquecen, se promueven” (§22). </w:t>
      </w:r>
      <w:r w:rsidR="007E2EAB">
        <w:t xml:space="preserve">Ya </w:t>
      </w:r>
      <w:r>
        <w:t xml:space="preserve">que </w:t>
      </w:r>
      <w:r w:rsidR="00C90FA8">
        <w:t>así se dice</w:t>
      </w:r>
      <w:r>
        <w:t>: “</w:t>
      </w:r>
      <w:r w:rsidR="00C90FA8">
        <w:t>La b</w:t>
      </w:r>
      <w:r>
        <w:t>ase para el éxito (</w:t>
      </w:r>
      <w:r w:rsidR="00C90FA8">
        <w:t>sendero</w:t>
      </w:r>
      <w:r>
        <w:t xml:space="preserve"> hacia el poder): </w:t>
      </w:r>
      <w:r w:rsidR="00667BFC">
        <w:t xml:space="preserve">será </w:t>
      </w:r>
      <w:r>
        <w:t xml:space="preserve">el agregado de </w:t>
      </w:r>
      <w:r w:rsidR="00C90FA8">
        <w:t>la sensación</w:t>
      </w:r>
      <w:r>
        <w:t xml:space="preserve">, el agregado de </w:t>
      </w:r>
      <w:r w:rsidR="00C90FA8">
        <w:t xml:space="preserve">la </w:t>
      </w:r>
      <w:r>
        <w:t xml:space="preserve">percepción, el agregado de </w:t>
      </w:r>
      <w:r w:rsidR="00C90FA8">
        <w:t xml:space="preserve">las </w:t>
      </w:r>
      <w:r>
        <w:t xml:space="preserve">formaciones y el agregado de </w:t>
      </w:r>
      <w:r w:rsidR="00C90FA8">
        <w:t xml:space="preserve">la </w:t>
      </w:r>
      <w:r>
        <w:t>con</w:t>
      </w:r>
      <w:r w:rsidR="00C90FA8">
        <w:t>s</w:t>
      </w:r>
      <w:r>
        <w:t xml:space="preserve">ciencia, en </w:t>
      </w:r>
      <w:r w:rsidR="00C90FA8">
        <w:t>alguien</w:t>
      </w:r>
      <w:r>
        <w:t xml:space="preserve"> </w:t>
      </w:r>
      <w:r w:rsidR="00C90FA8">
        <w:t>a volverse así</w:t>
      </w:r>
      <w:r>
        <w:t>” (</w:t>
      </w:r>
      <w:proofErr w:type="spellStart"/>
      <w:r>
        <w:t>Vibh</w:t>
      </w:r>
      <w:proofErr w:type="spellEnd"/>
      <w:r>
        <w:t xml:space="preserve"> 217).</w:t>
      </w:r>
    </w:p>
    <w:p w14:paraId="1FD8777E" w14:textId="1151DF1E" w:rsidR="00F32D9F" w:rsidRDefault="00F32D9F" w:rsidP="00F32D9F">
      <w:r>
        <w:t xml:space="preserve">53. </w:t>
      </w:r>
      <w:r>
        <w:tab/>
        <w:t>O alternativamente: se llega</w:t>
      </w:r>
      <w:r w:rsidR="000428DD">
        <w:t>r</w:t>
      </w:r>
      <w:r w:rsidR="000428DD">
        <w:rPr>
          <w:lang w:val="es-MX"/>
        </w:rPr>
        <w:t>á</w:t>
      </w:r>
      <w:r>
        <w:t xml:space="preserve"> a (</w:t>
      </w:r>
      <w:proofErr w:type="spellStart"/>
      <w:r w:rsidRPr="009D594F">
        <w:rPr>
          <w:i/>
          <w:iCs/>
        </w:rPr>
        <w:t>pajjate</w:t>
      </w:r>
      <w:proofErr w:type="spellEnd"/>
      <w:r>
        <w:t>) por medio de e</w:t>
      </w:r>
      <w:r w:rsidR="000428DD">
        <w:t>ll</w:t>
      </w:r>
      <w:r>
        <w:t xml:space="preserve">o, entonces </w:t>
      </w:r>
      <w:r w:rsidR="000428DD">
        <w:t>ello corresponderá a</w:t>
      </w:r>
      <w:r>
        <w:t xml:space="preserve"> un </w:t>
      </w:r>
      <w:r w:rsidR="000428DD">
        <w:t>sendero</w:t>
      </w:r>
      <w:r>
        <w:t xml:space="preserve"> (</w:t>
      </w:r>
      <w:proofErr w:type="spellStart"/>
      <w:r w:rsidRPr="009D594F">
        <w:rPr>
          <w:i/>
          <w:iCs/>
        </w:rPr>
        <w:t>pāda</w:t>
      </w:r>
      <w:proofErr w:type="spellEnd"/>
      <w:r>
        <w:t>—base); se alcanza</w:t>
      </w:r>
      <w:r w:rsidR="000428DD">
        <w:t>rá</w:t>
      </w:r>
      <w:r>
        <w:t xml:space="preserve">, es el sentido. </w:t>
      </w:r>
      <w:proofErr w:type="spellStart"/>
      <w:r w:rsidRPr="009D594F">
        <w:rPr>
          <w:i/>
          <w:iCs/>
        </w:rPr>
        <w:t>Iddhi</w:t>
      </w:r>
      <w:r>
        <w:t>-</w:t>
      </w:r>
      <w:r w:rsidRPr="009D594F">
        <w:rPr>
          <w:i/>
          <w:iCs/>
        </w:rPr>
        <w:t>pāda</w:t>
      </w:r>
      <w:proofErr w:type="spellEnd"/>
      <w:r>
        <w:t xml:space="preserve"> = </w:t>
      </w:r>
      <w:proofErr w:type="spellStart"/>
      <w:r w:rsidRPr="009D594F">
        <w:rPr>
          <w:i/>
          <w:iCs/>
        </w:rPr>
        <w:t>iddhiyā</w:t>
      </w:r>
      <w:proofErr w:type="spellEnd"/>
      <w:r>
        <w:t xml:space="preserve"> </w:t>
      </w:r>
      <w:proofErr w:type="spellStart"/>
      <w:r w:rsidRPr="009D594F">
        <w:rPr>
          <w:i/>
          <w:iCs/>
        </w:rPr>
        <w:t>pāda</w:t>
      </w:r>
      <w:proofErr w:type="spellEnd"/>
      <w:r>
        <w:t xml:space="preserve"> (resolución de compuesto): </w:t>
      </w:r>
      <w:r w:rsidR="000428DD">
        <w:t>é</w:t>
      </w:r>
      <w:r>
        <w:t xml:space="preserve">ste </w:t>
      </w:r>
      <w:r w:rsidR="00B60205">
        <w:t xml:space="preserve">será </w:t>
      </w:r>
      <w:r>
        <w:t>un término para celo, etc., según se dice: “</w:t>
      </w:r>
      <w:proofErr w:type="spellStart"/>
      <w:r w:rsidR="00057BF4" w:rsidRPr="00057BF4">
        <w:rPr>
          <w:i/>
        </w:rPr>
        <w:t>Bhikkhu</w:t>
      </w:r>
      <w:r>
        <w:t>s</w:t>
      </w:r>
      <w:proofErr w:type="spellEnd"/>
      <w:r>
        <w:t xml:space="preserve">, si un </w:t>
      </w:r>
      <w:proofErr w:type="spellStart"/>
      <w:r w:rsidR="00057BF4" w:rsidRPr="00057BF4">
        <w:rPr>
          <w:i/>
        </w:rPr>
        <w:t>bhikkhu</w:t>
      </w:r>
      <w:proofErr w:type="spellEnd"/>
      <w:r>
        <w:t xml:space="preserve"> </w:t>
      </w:r>
      <w:r w:rsidR="00B60205">
        <w:t>desarrolla</w:t>
      </w:r>
      <w:r>
        <w:t xml:space="preserve"> concentración, </w:t>
      </w:r>
      <w:r w:rsidR="00B60205">
        <w:t xml:space="preserve">desarrollará </w:t>
      </w:r>
      <w:r>
        <w:t>unificación ment</w:t>
      </w:r>
      <w:r w:rsidR="000428DD">
        <w:t>al</w:t>
      </w:r>
      <w:r>
        <w:t xml:space="preserve"> apoyada por el celo, </w:t>
      </w:r>
      <w:r w:rsidR="000428DD">
        <w:t xml:space="preserve">a </w:t>
      </w:r>
      <w:r>
        <w:t xml:space="preserve">esto se </w:t>
      </w:r>
      <w:r w:rsidR="000428DD">
        <w:t xml:space="preserve">le </w:t>
      </w:r>
      <w:r>
        <w:t>llama</w:t>
      </w:r>
      <w:r w:rsidR="000428DD">
        <w:t>rá</w:t>
      </w:r>
      <w:r>
        <w:t xml:space="preserve"> concentración debida al celo</w:t>
      </w:r>
      <w:r w:rsidR="000428DD">
        <w:t>.</w:t>
      </w:r>
      <w:r>
        <w:t xml:space="preserve"> Él desperta</w:t>
      </w:r>
      <w:r w:rsidR="00823540">
        <w:t>rá</w:t>
      </w:r>
      <w:r>
        <w:t xml:space="preserve"> celo</w:t>
      </w:r>
      <w:r w:rsidR="00823540">
        <w:t xml:space="preserve"> mediante </w:t>
      </w:r>
      <w:r>
        <w:t>el no surgimiento de estados malignos e improductivos que no ha</w:t>
      </w:r>
      <w:r w:rsidR="00823540">
        <w:t>ya</w:t>
      </w:r>
      <w:r>
        <w:t>n surgido, se esf</w:t>
      </w:r>
      <w:r w:rsidR="00823540">
        <w:t>o</w:t>
      </w:r>
      <w:r>
        <w:t>rza</w:t>
      </w:r>
      <w:r w:rsidR="00823540">
        <w:t>rá</w:t>
      </w:r>
      <w:r>
        <w:t>, pon</w:t>
      </w:r>
      <w:r w:rsidR="00823540">
        <w:t>drá</w:t>
      </w:r>
      <w:r>
        <w:t xml:space="preserve"> energía, tensa</w:t>
      </w:r>
      <w:r w:rsidR="00823540">
        <w:t>rá</w:t>
      </w:r>
      <w:r>
        <w:t xml:space="preserve"> su mente y lucha</w:t>
      </w:r>
      <w:r w:rsidR="00823540">
        <w:t>rá</w:t>
      </w:r>
      <w:r>
        <w:t>. [Desperta</w:t>
      </w:r>
      <w:r w:rsidR="006B44BB">
        <w:t>rá</w:t>
      </w:r>
      <w:r>
        <w:t xml:space="preserve"> celo </w:t>
      </w:r>
      <w:r w:rsidR="006B44BB">
        <w:t xml:space="preserve">mediante </w:t>
      </w:r>
      <w:r>
        <w:t>el abandono de los estados mal</w:t>
      </w:r>
      <w:r w:rsidR="00015CC8">
        <w:t>igno</w:t>
      </w:r>
      <w:r>
        <w:t xml:space="preserve">s y no </w:t>
      </w:r>
      <w:r w:rsidR="00015CC8">
        <w:t>productivos</w:t>
      </w:r>
      <w:r>
        <w:t xml:space="preserve"> que ha</w:t>
      </w:r>
      <w:r w:rsidR="00015CC8">
        <w:t>ya</w:t>
      </w:r>
      <w:r>
        <w:t>n surgido... Desperta</w:t>
      </w:r>
      <w:r w:rsidR="00015CC8">
        <w:t>rá</w:t>
      </w:r>
      <w:r>
        <w:t xml:space="preserve"> celo p</w:t>
      </w:r>
      <w:r w:rsidR="000C79AE">
        <w:t>a</w:t>
      </w:r>
      <w:r>
        <w:t>r</w:t>
      </w:r>
      <w:r w:rsidR="000C79AE">
        <w:t>a</w:t>
      </w:r>
      <w:r>
        <w:t xml:space="preserve"> despertar estados </w:t>
      </w:r>
      <w:r w:rsidR="00015CC8">
        <w:t>productivos</w:t>
      </w:r>
      <w:r>
        <w:t xml:space="preserve"> no surgidos... Desperta</w:t>
      </w:r>
      <w:r w:rsidR="00015CC8">
        <w:t>rá</w:t>
      </w:r>
      <w:r>
        <w:t xml:space="preserve"> celo p</w:t>
      </w:r>
      <w:r w:rsidR="000C79AE">
        <w:t>a</w:t>
      </w:r>
      <w:r>
        <w:t>r</w:t>
      </w:r>
      <w:r w:rsidR="000C79AE">
        <w:t>a</w:t>
      </w:r>
      <w:r>
        <w:t xml:space="preserve"> manten</w:t>
      </w:r>
      <w:r w:rsidR="000C79AE">
        <w:t>er</w:t>
      </w:r>
      <w:r>
        <w:t xml:space="preserve">, </w:t>
      </w:r>
      <w:r w:rsidR="000C79AE">
        <w:t xml:space="preserve">para </w:t>
      </w:r>
      <w:r>
        <w:t xml:space="preserve">la no desaparición, el </w:t>
      </w:r>
      <w:r w:rsidR="00015CC8">
        <w:t>incremento</w:t>
      </w:r>
      <w:r>
        <w:t xml:space="preserve">, el crecimiento, el desarrollo y la perfección de los estados </w:t>
      </w:r>
      <w:r w:rsidR="00015CC8">
        <w:t>productivos</w:t>
      </w:r>
      <w:r>
        <w:t xml:space="preserve"> </w:t>
      </w:r>
      <w:r w:rsidR="000C79AE">
        <w:t xml:space="preserve">ya </w:t>
      </w:r>
      <w:r>
        <w:t>surgidos, se esf</w:t>
      </w:r>
      <w:r w:rsidR="00015CC8">
        <w:t>o</w:t>
      </w:r>
      <w:r>
        <w:t>rza</w:t>
      </w:r>
      <w:r w:rsidR="00015CC8">
        <w:t>rá</w:t>
      </w:r>
      <w:r>
        <w:t>, pon</w:t>
      </w:r>
      <w:r w:rsidR="00015CC8">
        <w:t>drá</w:t>
      </w:r>
      <w:r>
        <w:t xml:space="preserve"> energía, tensa</w:t>
      </w:r>
      <w:r w:rsidR="00015CC8">
        <w:t>rá</w:t>
      </w:r>
      <w:r>
        <w:t xml:space="preserve"> su mente y lucha</w:t>
      </w:r>
      <w:r w:rsidR="00015CC8">
        <w:t>rá</w:t>
      </w:r>
      <w:r>
        <w:t xml:space="preserve">]. Estos son llamados instancias de la voluntad </w:t>
      </w:r>
      <w:r w:rsidR="00532697">
        <w:t xml:space="preserve">por </w:t>
      </w:r>
      <w:r>
        <w:t xml:space="preserve">esforzarse. Así que este celo y esta concentración </w:t>
      </w:r>
      <w:r w:rsidR="00532697">
        <w:t>mediante</w:t>
      </w:r>
      <w:r>
        <w:t xml:space="preserve"> el celo y </w:t>
      </w:r>
      <w:r w:rsidR="00532697">
        <w:t xml:space="preserve">a </w:t>
      </w:r>
      <w:r>
        <w:t xml:space="preserve">estas cuatro instancias de </w:t>
      </w:r>
      <w:r w:rsidR="00015CC8">
        <w:t xml:space="preserve">la </w:t>
      </w:r>
      <w:r>
        <w:t>voluntad de lucha</w:t>
      </w:r>
      <w:r w:rsidR="00015CC8">
        <w:t>r</w:t>
      </w:r>
      <w:r>
        <w:t xml:space="preserve"> se </w:t>
      </w:r>
      <w:r w:rsidR="00015CC8">
        <w:t xml:space="preserve">le </w:t>
      </w:r>
      <w:r w:rsidR="00532697">
        <w:t xml:space="preserve">denominarán </w:t>
      </w:r>
      <w:r w:rsidR="00015CC8">
        <w:t>sendero</w:t>
      </w:r>
      <w:r>
        <w:t xml:space="preserve"> </w:t>
      </w:r>
      <w:r w:rsidR="00015CC8">
        <w:t>hacia e</w:t>
      </w:r>
      <w:r>
        <w:t>l poder (base para el éxito) que posee</w:t>
      </w:r>
      <w:r w:rsidR="00015CC8">
        <w:t>rá</w:t>
      </w:r>
      <w:r>
        <w:t xml:space="preserve"> concentración </w:t>
      </w:r>
      <w:r w:rsidR="00E30927">
        <w:t>mediante</w:t>
      </w:r>
      <w:r>
        <w:t xml:space="preserve"> el celo y </w:t>
      </w:r>
      <w:r w:rsidR="00532697">
        <w:t xml:space="preserve">la </w:t>
      </w:r>
      <w:r>
        <w:t xml:space="preserve">voluntad </w:t>
      </w:r>
      <w:r w:rsidR="007A0152">
        <w:t>por esforzarse</w:t>
      </w:r>
      <w:r>
        <w:t>” (S V 268). Y así debe</w:t>
      </w:r>
      <w:r w:rsidR="00E30927">
        <w:t>rá</w:t>
      </w:r>
      <w:r>
        <w:t xml:space="preserve"> entenderse el significado en el caso de los otros </w:t>
      </w:r>
      <w:r w:rsidR="00E30927">
        <w:t>senderos</w:t>
      </w:r>
      <w:r>
        <w:t xml:space="preserve"> hacia el poder (bases </w:t>
      </w:r>
      <w:r w:rsidR="00E30927">
        <w:t xml:space="preserve">hacia </w:t>
      </w:r>
      <w:r>
        <w:t>el éxito)</w:t>
      </w:r>
      <w:r w:rsidRPr="009C7A89">
        <w:rPr>
          <w:vertAlign w:val="superscript"/>
        </w:rPr>
        <w:t>8</w:t>
      </w:r>
      <w:r>
        <w:t>.</w:t>
      </w:r>
    </w:p>
    <w:p w14:paraId="4E6CE2C2" w14:textId="793E4EEE" w:rsidR="00F32D9F" w:rsidRDefault="00F32D9F" w:rsidP="00F32D9F">
      <w:r>
        <w:t xml:space="preserve">54. </w:t>
      </w:r>
      <w:r>
        <w:tab/>
      </w:r>
      <w:r w:rsidRPr="007A0152">
        <w:rPr>
          <w:i/>
          <w:iCs/>
        </w:rPr>
        <w:t>3</w:t>
      </w:r>
      <w:r>
        <w:t xml:space="preserve">. Los </w:t>
      </w:r>
      <w:r w:rsidR="007F0DC8">
        <w:t>8</w:t>
      </w:r>
      <w:r>
        <w:t xml:space="preserve"> pasos deben entenderse como los ocho que comienzan con el celo; porque esto se dice: “¿Cuáles son los ocho pasos? Si un </w:t>
      </w:r>
      <w:proofErr w:type="spellStart"/>
      <w:r w:rsidR="00057BF4" w:rsidRPr="00057BF4">
        <w:rPr>
          <w:i/>
        </w:rPr>
        <w:t>bhikkhu</w:t>
      </w:r>
      <w:proofErr w:type="spellEnd"/>
      <w:r>
        <w:t xml:space="preserve"> obtiene concentración, obten</w:t>
      </w:r>
      <w:r w:rsidR="00E30927">
        <w:t>drá</w:t>
      </w:r>
      <w:r>
        <w:t xml:space="preserve"> unificación de la mente apoyada por el celo, entonces el celo no </w:t>
      </w:r>
      <w:r w:rsidR="00E30927">
        <w:t xml:space="preserve">será </w:t>
      </w:r>
      <w:r w:rsidR="007C0DFE">
        <w:t xml:space="preserve">la </w:t>
      </w:r>
      <w:r>
        <w:t xml:space="preserve">concentración; la concentración no </w:t>
      </w:r>
      <w:r w:rsidR="00E30927">
        <w:t xml:space="preserve">será </w:t>
      </w:r>
      <w:r w:rsidR="007C0DFE">
        <w:t xml:space="preserve">el </w:t>
      </w:r>
      <w:r>
        <w:t xml:space="preserve">celo. [386] El celo </w:t>
      </w:r>
      <w:r w:rsidR="00E30927">
        <w:t xml:space="preserve">será </w:t>
      </w:r>
      <w:r>
        <w:t xml:space="preserve">uno, la concentración </w:t>
      </w:r>
      <w:r w:rsidR="00E30927">
        <w:t xml:space="preserve">será </w:t>
      </w:r>
      <w:r>
        <w:t xml:space="preserve">otra. Si un </w:t>
      </w:r>
      <w:proofErr w:type="spellStart"/>
      <w:r w:rsidR="00057BF4" w:rsidRPr="00057BF4">
        <w:rPr>
          <w:i/>
        </w:rPr>
        <w:t>bhikkhu</w:t>
      </w:r>
      <w:proofErr w:type="spellEnd"/>
      <w:r>
        <w:t xml:space="preserve">... apoyado por la energía... apoyado por </w:t>
      </w:r>
      <w:proofErr w:type="spellStart"/>
      <w:r>
        <w:t>a</w:t>
      </w:r>
      <w:proofErr w:type="spellEnd"/>
      <w:r>
        <w:t xml:space="preserve"> pureza natural de </w:t>
      </w:r>
      <w:r w:rsidR="008C4565">
        <w:t xml:space="preserve">la </w:t>
      </w:r>
      <w:r>
        <w:t>con</w:t>
      </w:r>
      <w:r w:rsidR="008C4565">
        <w:t>s</w:t>
      </w:r>
      <w:r>
        <w:t xml:space="preserve">ciencia... </w:t>
      </w:r>
      <w:r w:rsidR="00857665">
        <w:t>soportado</w:t>
      </w:r>
      <w:r>
        <w:t xml:space="preserve"> por la </w:t>
      </w:r>
      <w:r w:rsidR="00857665">
        <w:t>investiga</w:t>
      </w:r>
      <w:r>
        <w:t xml:space="preserve">ción... entonces la </w:t>
      </w:r>
      <w:r w:rsidR="00857665">
        <w:t>investiga</w:t>
      </w:r>
      <w:r>
        <w:t xml:space="preserve">ción no </w:t>
      </w:r>
      <w:r w:rsidR="008C4565">
        <w:t xml:space="preserve">será </w:t>
      </w:r>
      <w:r>
        <w:t xml:space="preserve">la concentración; la concentración no </w:t>
      </w:r>
      <w:r w:rsidR="008C4565">
        <w:t xml:space="preserve">será </w:t>
      </w:r>
      <w:r>
        <w:t xml:space="preserve">la </w:t>
      </w:r>
      <w:r w:rsidR="00857665">
        <w:t>investiga</w:t>
      </w:r>
      <w:r>
        <w:t xml:space="preserve">ción. La </w:t>
      </w:r>
      <w:r w:rsidR="009D3276">
        <w:t>investiga</w:t>
      </w:r>
      <w:r>
        <w:t xml:space="preserve">ción </w:t>
      </w:r>
      <w:r w:rsidR="008C4565">
        <w:t xml:space="preserve">será </w:t>
      </w:r>
      <w:r>
        <w:t>una, la concentración otra. Estos ocho pasos hacia el poder conduc</w:t>
      </w:r>
      <w:r w:rsidR="007B40F4">
        <w:t>irá</w:t>
      </w:r>
      <w:r>
        <w:t xml:space="preserve">n </w:t>
      </w:r>
      <w:r w:rsidR="007B40F4">
        <w:t xml:space="preserve">hacia </w:t>
      </w:r>
      <w:r>
        <w:t xml:space="preserve">la obtención de un poder sobrenatural (éxito)... </w:t>
      </w:r>
      <w:r w:rsidR="007B40F4">
        <w:t xml:space="preserve">hacia </w:t>
      </w:r>
      <w:r>
        <w:t>la intrepidez debido al poder sobrenatural (éxito)” (</w:t>
      </w:r>
      <w:proofErr w:type="spellStart"/>
      <w:r w:rsidRPr="009D594F">
        <w:rPr>
          <w:i/>
          <w:iCs/>
        </w:rPr>
        <w:t>Paṭis</w:t>
      </w:r>
      <w:proofErr w:type="spellEnd"/>
      <w:r>
        <w:t xml:space="preserve"> II 205). Porque aquí </w:t>
      </w:r>
      <w:r w:rsidR="008C4565">
        <w:t>se tratará</w:t>
      </w:r>
      <w:r>
        <w:t xml:space="preserve"> </w:t>
      </w:r>
      <w:r w:rsidR="008C4565">
        <w:t>d</w:t>
      </w:r>
      <w:r>
        <w:t>el celo consiste</w:t>
      </w:r>
      <w:r w:rsidR="008C4565">
        <w:t>nte</w:t>
      </w:r>
      <w:r>
        <w:t xml:space="preserve"> </w:t>
      </w:r>
      <w:r w:rsidR="008C4565">
        <w:t>d</w:t>
      </w:r>
      <w:r>
        <w:t>el deseo de despertar el poder sobrenatural (éxito), cuyo celo se un</w:t>
      </w:r>
      <w:r w:rsidR="008C4565">
        <w:t>irá</w:t>
      </w:r>
      <w:r>
        <w:t xml:space="preserve"> a la concentración, lo que conduc</w:t>
      </w:r>
      <w:r w:rsidR="008C4565">
        <w:t>irá</w:t>
      </w:r>
      <w:r>
        <w:t xml:space="preserve"> a la obtención del poder sobrenatural. Análogamente en el caso de la energía, y así sucesivamente. Es</w:t>
      </w:r>
      <w:r w:rsidR="007F0DC8">
        <w:t>t</w:t>
      </w:r>
      <w:r>
        <w:t xml:space="preserve">o debe entenderse como la razón </w:t>
      </w:r>
      <w:r w:rsidR="007F0DC8">
        <w:t>mediante</w:t>
      </w:r>
      <w:r>
        <w:t xml:space="preserve"> la cual se les llama los “ocho pasos”.</w:t>
      </w:r>
    </w:p>
    <w:p w14:paraId="4243F8FB" w14:textId="37992396" w:rsidR="00F32D9F" w:rsidRDefault="00F32D9F" w:rsidP="00F32D9F">
      <w:r>
        <w:t xml:space="preserve">55. </w:t>
      </w:r>
      <w:r>
        <w:tab/>
      </w:r>
      <w:r w:rsidRPr="007B40F4">
        <w:rPr>
          <w:i/>
          <w:iCs/>
        </w:rPr>
        <w:t>4</w:t>
      </w:r>
      <w:r>
        <w:t xml:space="preserve">. Las </w:t>
      </w:r>
      <w:r w:rsidR="007F0DC8">
        <w:t>16</w:t>
      </w:r>
      <w:r>
        <w:t xml:space="preserve"> raíces: la imperturbabilidad de la mente</w:t>
      </w:r>
      <w:r w:rsidRPr="009C7A89">
        <w:rPr>
          <w:vertAlign w:val="superscript"/>
        </w:rPr>
        <w:t>9</w:t>
      </w:r>
      <w:r>
        <w:t xml:space="preserve"> debe entenderse en </w:t>
      </w:r>
      <w:r w:rsidR="00BD5434">
        <w:t>16</w:t>
      </w:r>
      <w:r>
        <w:t xml:space="preserve"> modos, pues </w:t>
      </w:r>
      <w:r w:rsidR="00BB09B6">
        <w:t>se dice</w:t>
      </w:r>
      <w:r>
        <w:t xml:space="preserve">: “¿Cuáles son las </w:t>
      </w:r>
      <w:r w:rsidR="00BB09B6">
        <w:t>16</w:t>
      </w:r>
      <w:r>
        <w:t xml:space="preserve"> raíces del éxito (</w:t>
      </w:r>
      <w:r w:rsidR="00BB09B6">
        <w:t xml:space="preserve">del </w:t>
      </w:r>
      <w:r>
        <w:t>poder)?</w:t>
      </w:r>
    </w:p>
    <w:p w14:paraId="44B37A1E" w14:textId="13960D3A" w:rsidR="00F32D9F" w:rsidRPr="00F32D9F" w:rsidRDefault="00F32D9F" w:rsidP="00F32D9F">
      <w:pPr>
        <w:pStyle w:val="PiedepginaLegal"/>
        <w:rPr>
          <w:u w:val="single"/>
        </w:rPr>
      </w:pPr>
      <w:r w:rsidRPr="00F32D9F">
        <w:rPr>
          <w:u w:val="single"/>
        </w:rPr>
        <w:t xml:space="preserve">                                                                                                                                                           .</w:t>
      </w:r>
    </w:p>
    <w:p w14:paraId="3460AEEF" w14:textId="6DA0437E" w:rsidR="00F32D9F" w:rsidRDefault="00F32D9F" w:rsidP="00F32D9F">
      <w:pPr>
        <w:pStyle w:val="PiedepginaLegal"/>
      </w:pPr>
      <w:r>
        <w:t xml:space="preserve">8. </w:t>
      </w:r>
      <w:r>
        <w:tab/>
        <w:t xml:space="preserve">Se dan más detalles explicativos en el comentario </w:t>
      </w:r>
      <w:proofErr w:type="spellStart"/>
      <w:r w:rsidRPr="009D594F">
        <w:rPr>
          <w:i/>
          <w:iCs/>
        </w:rPr>
        <w:t>Iddhipāda</w:t>
      </w:r>
      <w:proofErr w:type="spellEnd"/>
      <w:r w:rsidRPr="009D594F">
        <w:rPr>
          <w:i/>
          <w:iCs/>
        </w:rPr>
        <w:t xml:space="preserve"> </w:t>
      </w:r>
      <w:proofErr w:type="spellStart"/>
      <w:r w:rsidRPr="009D594F">
        <w:rPr>
          <w:i/>
          <w:iCs/>
        </w:rPr>
        <w:t>Vibhaṅga</w:t>
      </w:r>
      <w:proofErr w:type="spellEnd"/>
      <w:r>
        <w:t>.</w:t>
      </w:r>
    </w:p>
    <w:p w14:paraId="26D48236" w14:textId="1AC49DD7" w:rsidR="00135A7D" w:rsidRDefault="00F32D9F" w:rsidP="00F32D9F">
      <w:pPr>
        <w:pStyle w:val="PiedepginaLegal"/>
      </w:pPr>
      <w:r>
        <w:t xml:space="preserve">9. </w:t>
      </w:r>
      <w:r>
        <w:tab/>
      </w:r>
      <w:r w:rsidRPr="00821DF1">
        <w:rPr>
          <w:i/>
          <w:iCs/>
        </w:rPr>
        <w:t>Aneja</w:t>
      </w:r>
      <w:r>
        <w:t xml:space="preserve"> (o </w:t>
      </w:r>
      <w:proofErr w:type="spellStart"/>
      <w:r w:rsidRPr="009D594F">
        <w:rPr>
          <w:i/>
          <w:iCs/>
        </w:rPr>
        <w:t>aneñja</w:t>
      </w:r>
      <w:proofErr w:type="spellEnd"/>
      <w:r>
        <w:t xml:space="preserve">)—“imperturbable”: forma </w:t>
      </w:r>
      <w:r w:rsidR="00530B36">
        <w:t>no</w:t>
      </w:r>
      <w:r w:rsidR="005D6B96">
        <w:t xml:space="preserve"> </w:t>
      </w:r>
      <w:r w:rsidR="001A63F3">
        <w:t xml:space="preserve">encontrada </w:t>
      </w:r>
      <w:r w:rsidR="005D6B96">
        <w:t>en el</w:t>
      </w:r>
      <w:r>
        <w:t xml:space="preserve"> PED.</w:t>
      </w:r>
    </w:p>
    <w:p w14:paraId="42A42EA7" w14:textId="77777777" w:rsidR="00135A7D" w:rsidRDefault="00135A7D">
      <w:pPr>
        <w:tabs>
          <w:tab w:val="clear" w:pos="425"/>
        </w:tabs>
        <w:spacing w:after="160"/>
      </w:pPr>
      <w:r>
        <w:br w:type="page"/>
      </w:r>
    </w:p>
    <w:p w14:paraId="7370BA58" w14:textId="77777777" w:rsidR="00135A7D" w:rsidRDefault="00135A7D" w:rsidP="00135A7D"/>
    <w:p w14:paraId="22F14725" w14:textId="56B830BF" w:rsidR="00135A7D" w:rsidRDefault="00135A7D" w:rsidP="00135A7D">
      <w:r>
        <w:t>La con</w:t>
      </w:r>
      <w:r w:rsidR="00BB09B6">
        <w:t>s</w:t>
      </w:r>
      <w:r>
        <w:t xml:space="preserve">ciencia no </w:t>
      </w:r>
      <w:r w:rsidR="004B5D94">
        <w:t>lánguida</w:t>
      </w:r>
      <w:r>
        <w:t xml:space="preserve"> no se ve</w:t>
      </w:r>
      <w:r w:rsidR="008A1472">
        <w:t>rá</w:t>
      </w:r>
      <w:r>
        <w:t xml:space="preserve"> perturbada por la indolencia, por lo tanto, no se perturba</w:t>
      </w:r>
      <w:r w:rsidR="008A1472">
        <w:t>rá</w:t>
      </w:r>
      <w:r>
        <w:t>. La con</w:t>
      </w:r>
      <w:r w:rsidR="009A53C5">
        <w:t>s</w:t>
      </w:r>
      <w:r>
        <w:t xml:space="preserve">ciencia no </w:t>
      </w:r>
      <w:r w:rsidR="00BD5434">
        <w:t>excelsa</w:t>
      </w:r>
      <w:r>
        <w:t xml:space="preserve"> no se ve</w:t>
      </w:r>
      <w:r w:rsidR="008A1472">
        <w:t>rá</w:t>
      </w:r>
      <w:r>
        <w:t xml:space="preserve"> perturbada por la agitación, por lo tanto, no se perturba</w:t>
      </w:r>
      <w:r w:rsidR="008A1472">
        <w:t>rá</w:t>
      </w:r>
      <w:r>
        <w:t>. La con</w:t>
      </w:r>
      <w:r w:rsidR="008A1472">
        <w:t>s</w:t>
      </w:r>
      <w:r>
        <w:t>ciencia no atraída no se ve</w:t>
      </w:r>
      <w:r w:rsidR="00E90E0C">
        <w:t>rá</w:t>
      </w:r>
      <w:r>
        <w:t xml:space="preserve"> perturbada por la codicia, por lo tanto, no se perturba</w:t>
      </w:r>
      <w:r w:rsidR="00E90E0C">
        <w:t>rá</w:t>
      </w:r>
      <w:r>
        <w:t>. La con</w:t>
      </w:r>
      <w:r w:rsidR="00E90E0C">
        <w:t>s</w:t>
      </w:r>
      <w:r>
        <w:t xml:space="preserve">ciencia no </w:t>
      </w:r>
      <w:r w:rsidR="00C34EDF">
        <w:t>impugnada</w:t>
      </w:r>
      <w:r>
        <w:t xml:space="preserve"> no se ve</w:t>
      </w:r>
      <w:r w:rsidR="00E90E0C">
        <w:t>rá</w:t>
      </w:r>
      <w:r>
        <w:t xml:space="preserve"> perturbada por la mala voluntad, por lo tanto, no se perturba</w:t>
      </w:r>
      <w:r w:rsidR="00C34EDF">
        <w:t>rá</w:t>
      </w:r>
      <w:r>
        <w:t>. La con</w:t>
      </w:r>
      <w:r w:rsidR="00C34EDF">
        <w:t>s</w:t>
      </w:r>
      <w:r>
        <w:t>ciencia independiente no se</w:t>
      </w:r>
      <w:r w:rsidR="00C34EDF">
        <w:t>rá</w:t>
      </w:r>
      <w:r>
        <w:t xml:space="preserve"> ve perturbada por la visión </w:t>
      </w:r>
      <w:r w:rsidR="00A970A3">
        <w:t>incorrecta</w:t>
      </w:r>
      <w:r>
        <w:t>, por lo tanto, no se perturba</w:t>
      </w:r>
      <w:r w:rsidR="00A970A3">
        <w:t>rá</w:t>
      </w:r>
      <w:r>
        <w:t>. La con</w:t>
      </w:r>
      <w:r w:rsidR="00A970A3">
        <w:t>s</w:t>
      </w:r>
      <w:r>
        <w:t xml:space="preserve">ciencia sin </w:t>
      </w:r>
      <w:r w:rsidR="00A970A3">
        <w:t>obstáculos</w:t>
      </w:r>
      <w:r>
        <w:t xml:space="preserve"> no se ve</w:t>
      </w:r>
      <w:r w:rsidR="00A970A3">
        <w:t>rá</w:t>
      </w:r>
      <w:r>
        <w:t xml:space="preserve"> perturbada por la codicia acompañada por el celo, por lo que no se perturba</w:t>
      </w:r>
      <w:r w:rsidR="00A970A3">
        <w:t>rá</w:t>
      </w:r>
      <w:r>
        <w:t>. La con</w:t>
      </w:r>
      <w:r w:rsidR="00A970A3">
        <w:t>s</w:t>
      </w:r>
      <w:r>
        <w:t>ciencia liberada no se ve</w:t>
      </w:r>
      <w:r w:rsidR="00A970A3">
        <w:t>rá</w:t>
      </w:r>
      <w:r>
        <w:t xml:space="preserve"> perturbada por la codicia de los </w:t>
      </w:r>
      <w:r w:rsidR="007831DD">
        <w:t>deseos sensoriales</w:t>
      </w:r>
      <w:r>
        <w:t>, por lo que</w:t>
      </w:r>
      <w:r w:rsidR="00B234E5">
        <w:t xml:space="preserve"> no</w:t>
      </w:r>
      <w:r>
        <w:t xml:space="preserve"> </w:t>
      </w:r>
      <w:r w:rsidR="00B234E5">
        <w:t>se perturbará</w:t>
      </w:r>
      <w:r>
        <w:t>. La con</w:t>
      </w:r>
      <w:r w:rsidR="00B234E5">
        <w:t>s</w:t>
      </w:r>
      <w:r>
        <w:t>ciencia no asociada no se ve</w:t>
      </w:r>
      <w:r w:rsidR="00B234E5">
        <w:t>rá</w:t>
      </w:r>
      <w:r>
        <w:t xml:space="preserve"> perturbada por la corrupción, por lo tanto, no </w:t>
      </w:r>
      <w:r w:rsidR="00B234E5">
        <w:t>se perturbará</w:t>
      </w:r>
      <w:r>
        <w:t>. La con</w:t>
      </w:r>
      <w:r w:rsidR="00B234E5">
        <w:t>s</w:t>
      </w:r>
      <w:r>
        <w:t>ciencia libre de barreras no se ve</w:t>
      </w:r>
      <w:r w:rsidR="00B234E5">
        <w:t>rá</w:t>
      </w:r>
      <w:r>
        <w:t xml:space="preserve"> perturbada por la</w:t>
      </w:r>
      <w:r w:rsidR="005E06D1">
        <w:t>s</w:t>
      </w:r>
      <w:r>
        <w:t xml:space="preserve"> barrera</w:t>
      </w:r>
      <w:r w:rsidR="005E06D1">
        <w:t>s</w:t>
      </w:r>
      <w:r>
        <w:t xml:space="preserve"> de la corrupción, por lo tanto, no </w:t>
      </w:r>
      <w:r w:rsidR="00B234E5">
        <w:t>se perturbará</w:t>
      </w:r>
      <w:r>
        <w:t xml:space="preserve">. La </w:t>
      </w:r>
      <w:r w:rsidR="00305E12">
        <w:t>consciencia</w:t>
      </w:r>
      <w:r>
        <w:t xml:space="preserve"> unificada no se ve</w:t>
      </w:r>
      <w:r w:rsidR="00B5749B">
        <w:t>rá</w:t>
      </w:r>
      <w:r>
        <w:t xml:space="preserve"> perturbada por la corrupción de la var</w:t>
      </w:r>
      <w:r w:rsidR="004A3715">
        <w:t>iabilidad</w:t>
      </w:r>
      <w:r>
        <w:t xml:space="preserve">, por lo que no </w:t>
      </w:r>
      <w:r w:rsidR="00E33502">
        <w:t>se perturbará</w:t>
      </w:r>
      <w:r>
        <w:t>. La con</w:t>
      </w:r>
      <w:r w:rsidR="00E33502">
        <w:t>s</w:t>
      </w:r>
      <w:r>
        <w:t xml:space="preserve">ciencia reforzada </w:t>
      </w:r>
      <w:r w:rsidR="00E33502">
        <w:t>mediante</w:t>
      </w:r>
      <w:r>
        <w:t xml:space="preserve"> la fe no se perturba</w:t>
      </w:r>
      <w:r w:rsidR="00E33502">
        <w:t>rá</w:t>
      </w:r>
      <w:r>
        <w:t xml:space="preserve"> por la </w:t>
      </w:r>
      <w:r w:rsidR="00943D91">
        <w:t>ausencia de fe</w:t>
      </w:r>
      <w:r>
        <w:t xml:space="preserve">, por lo tanto, no </w:t>
      </w:r>
      <w:r w:rsidR="00943D91">
        <w:t>se perturbará</w:t>
      </w:r>
      <w:r>
        <w:t>. La con</w:t>
      </w:r>
      <w:r w:rsidR="00943D91">
        <w:t>s</w:t>
      </w:r>
      <w:r>
        <w:t xml:space="preserve">ciencia reforzada </w:t>
      </w:r>
      <w:r w:rsidR="00943D91">
        <w:t>mediante</w:t>
      </w:r>
      <w:r>
        <w:t xml:space="preserve"> la energía no se perturba</w:t>
      </w:r>
      <w:r w:rsidR="00943D91">
        <w:t>rá</w:t>
      </w:r>
      <w:r>
        <w:t xml:space="preserve"> por la indolencia, por lo tanto, no se perturba</w:t>
      </w:r>
      <w:r w:rsidR="00943D91">
        <w:t>rá</w:t>
      </w:r>
      <w:r>
        <w:t>. La con</w:t>
      </w:r>
      <w:r w:rsidR="00943D91">
        <w:t>s</w:t>
      </w:r>
      <w:r>
        <w:t xml:space="preserve">ciencia reforzada </w:t>
      </w:r>
      <w:r w:rsidR="00943D91">
        <w:t xml:space="preserve">mediante </w:t>
      </w:r>
      <w:r>
        <w:t>la atención plena no se ve</w:t>
      </w:r>
      <w:r w:rsidR="00586A9B">
        <w:t>rá</w:t>
      </w:r>
      <w:r>
        <w:t xml:space="preserve"> perturbada por la negligencia, por lo </w:t>
      </w:r>
      <w:r w:rsidR="004A3715">
        <w:t xml:space="preserve">tanto </w:t>
      </w:r>
      <w:r w:rsidR="00586A9B">
        <w:t>no se perturbará</w:t>
      </w:r>
      <w:r>
        <w:t>. La con</w:t>
      </w:r>
      <w:r w:rsidR="00586A9B">
        <w:t>s</w:t>
      </w:r>
      <w:r>
        <w:t xml:space="preserve">ciencia reforzada </w:t>
      </w:r>
      <w:r w:rsidR="00586A9B">
        <w:t>mediante</w:t>
      </w:r>
      <w:r>
        <w:t xml:space="preserve"> la concentración no se ve</w:t>
      </w:r>
      <w:r w:rsidR="00EC7CBB">
        <w:t>rá</w:t>
      </w:r>
      <w:r>
        <w:t xml:space="preserve"> perturbada </w:t>
      </w:r>
      <w:r w:rsidR="00EC7CBB">
        <w:t>mediante</w:t>
      </w:r>
      <w:r>
        <w:t xml:space="preserve"> la agitación, por lo </w:t>
      </w:r>
      <w:r w:rsidR="0037781F">
        <w:t>tanto</w:t>
      </w:r>
      <w:r>
        <w:t xml:space="preserve"> </w:t>
      </w:r>
      <w:r w:rsidR="00EC7CBB">
        <w:t>no se perturbará</w:t>
      </w:r>
      <w:r>
        <w:t>. La con</w:t>
      </w:r>
      <w:r w:rsidR="004D0376">
        <w:t>s</w:t>
      </w:r>
      <w:r>
        <w:t xml:space="preserve">ciencia reforzada </w:t>
      </w:r>
      <w:r w:rsidR="004D0376">
        <w:t xml:space="preserve">mediante </w:t>
      </w:r>
      <w:r w:rsidR="003C5A0C">
        <w:t xml:space="preserve">el entendimiento </w:t>
      </w:r>
      <w:r>
        <w:t>no se ve</w:t>
      </w:r>
      <w:r w:rsidR="004D0376">
        <w:t>rá</w:t>
      </w:r>
      <w:r>
        <w:t xml:space="preserve"> perturbada </w:t>
      </w:r>
      <w:r w:rsidR="004D0376">
        <w:t xml:space="preserve">mediante </w:t>
      </w:r>
      <w:r>
        <w:t>la ignorancia, por lo tanto, no se perturba</w:t>
      </w:r>
      <w:r w:rsidR="004D0376">
        <w:t>rá</w:t>
      </w:r>
      <w:r>
        <w:t>. La con</w:t>
      </w:r>
      <w:r w:rsidR="004D0376">
        <w:t>s</w:t>
      </w:r>
      <w:r>
        <w:t>ciencia iluminada no se ve</w:t>
      </w:r>
      <w:r w:rsidR="004D0376">
        <w:t>rá</w:t>
      </w:r>
      <w:r>
        <w:t xml:space="preserve"> perturbada por la oscuridad de la ignorancia, por lo </w:t>
      </w:r>
      <w:r w:rsidR="003C5A0C">
        <w:t>tanto</w:t>
      </w:r>
      <w:r>
        <w:t xml:space="preserve"> no se perturba</w:t>
      </w:r>
      <w:r w:rsidR="004D0376">
        <w:t>rá</w:t>
      </w:r>
      <w:r>
        <w:t xml:space="preserve">. Estas </w:t>
      </w:r>
      <w:r w:rsidR="003C5A0C">
        <w:t>16</w:t>
      </w:r>
      <w:r>
        <w:t xml:space="preserve"> raíces de</w:t>
      </w:r>
      <w:r w:rsidR="004D0376">
        <w:t>l</w:t>
      </w:r>
      <w:r>
        <w:t xml:space="preserve"> éxito (</w:t>
      </w:r>
      <w:r w:rsidR="004D0376">
        <w:t xml:space="preserve">de </w:t>
      </w:r>
      <w:r>
        <w:t>poder) conduc</w:t>
      </w:r>
      <w:r w:rsidR="004D0376">
        <w:t>irán</w:t>
      </w:r>
      <w:r>
        <w:t xml:space="preserve"> a la obtención de un poder sobrenatural (éxito)... a la intrepidez debido al poder sobrenatural (éxito)” (</w:t>
      </w:r>
      <w:proofErr w:type="spellStart"/>
      <w:r w:rsidRPr="009D594F">
        <w:rPr>
          <w:i/>
          <w:iCs/>
        </w:rPr>
        <w:t>Paṭis</w:t>
      </w:r>
      <w:proofErr w:type="spellEnd"/>
      <w:r>
        <w:t xml:space="preserve"> II 206).</w:t>
      </w:r>
    </w:p>
    <w:p w14:paraId="1D432D49" w14:textId="3B716760" w:rsidR="00135A7D" w:rsidRDefault="00135A7D" w:rsidP="00135A7D">
      <w:r>
        <w:t xml:space="preserve">56. </w:t>
      </w:r>
      <w:r>
        <w:tab/>
        <w:t xml:space="preserve">Por supuesto, este significado </w:t>
      </w:r>
      <w:r w:rsidR="00767D3F">
        <w:t xml:space="preserve">también </w:t>
      </w:r>
      <w:r>
        <w:t xml:space="preserve">está establecido por las palabras, "Cuando su mente </w:t>
      </w:r>
      <w:r w:rsidR="00EB2E63">
        <w:t xml:space="preserve">esté </w:t>
      </w:r>
      <w:r>
        <w:t>concentrada", etc.</w:t>
      </w:r>
      <w:r w:rsidR="00CB78E7" w:rsidRPr="00CB78E7">
        <w:t xml:space="preserve"> </w:t>
      </w:r>
      <w:r w:rsidR="00CB78E7" w:rsidRPr="00767D3F">
        <w:rPr>
          <w:color w:val="833C0B" w:themeColor="accent2" w:themeShade="80"/>
        </w:rPr>
        <w:t>(§2)</w:t>
      </w:r>
      <w:r w:rsidRPr="00767D3F">
        <w:rPr>
          <w:color w:val="833C0B" w:themeColor="accent2" w:themeShade="80"/>
        </w:rPr>
        <w:t xml:space="preserve">, </w:t>
      </w:r>
      <w:r>
        <w:t>pero se establece</w:t>
      </w:r>
      <w:r w:rsidR="004A576E">
        <w:t>rá</w:t>
      </w:r>
      <w:r>
        <w:t xml:space="preserve"> de nuevo con el propósito de mostrar que el primer </w:t>
      </w:r>
      <w:proofErr w:type="spellStart"/>
      <w:r w:rsidR="00057BF4" w:rsidRPr="00057BF4">
        <w:rPr>
          <w:i/>
        </w:rPr>
        <w:t>jhāna</w:t>
      </w:r>
      <w:proofErr w:type="spellEnd"/>
      <w:r>
        <w:t xml:space="preserve">, etc., </w:t>
      </w:r>
      <w:r w:rsidR="004A576E">
        <w:t>corresponde</w:t>
      </w:r>
      <w:r w:rsidR="00767D3F">
        <w:t>rá</w:t>
      </w:r>
      <w:r w:rsidR="004A576E">
        <w:t xml:space="preserve"> a </w:t>
      </w:r>
      <w:r>
        <w:t>los tres planos, bases (caminos), pasos y raíces, de</w:t>
      </w:r>
      <w:r w:rsidR="004A576E">
        <w:t>l</w:t>
      </w:r>
      <w:r>
        <w:t xml:space="preserve"> éxito (</w:t>
      </w:r>
      <w:r w:rsidR="00767D3F">
        <w:t>hacia los</w:t>
      </w:r>
      <w:r>
        <w:t xml:space="preserve"> poderes sobrenaturales). Y el método mencionado en primer lugar </w:t>
      </w:r>
      <w:r w:rsidR="0065511E">
        <w:t xml:space="preserve">será </w:t>
      </w:r>
      <w:r>
        <w:t>el que se d</w:t>
      </w:r>
      <w:r w:rsidR="00767D3F">
        <w:t>é</w:t>
      </w:r>
      <w:r>
        <w:t xml:space="preserve"> en los </w:t>
      </w:r>
      <w:r w:rsidRPr="0065511E">
        <w:rPr>
          <w:i/>
          <w:iCs/>
        </w:rPr>
        <w:t>Suttas</w:t>
      </w:r>
      <w:r>
        <w:t xml:space="preserve">, </w:t>
      </w:r>
      <w:r w:rsidR="0065511E">
        <w:t>no obstante,</w:t>
      </w:r>
      <w:r>
        <w:t xml:space="preserve"> así es c</w:t>
      </w:r>
      <w:r w:rsidR="0065511E">
        <w:t>ó</w:t>
      </w:r>
      <w:r>
        <w:t xml:space="preserve">mo se da en </w:t>
      </w:r>
      <w:r w:rsidR="0065511E">
        <w:t xml:space="preserve">el </w:t>
      </w:r>
      <w:proofErr w:type="spellStart"/>
      <w:r w:rsidRPr="009D594F">
        <w:rPr>
          <w:i/>
          <w:iCs/>
        </w:rPr>
        <w:t>Paṭisambhidā</w:t>
      </w:r>
      <w:proofErr w:type="spellEnd"/>
      <w:r>
        <w:t xml:space="preserve">. Así </w:t>
      </w:r>
      <w:r w:rsidR="0065511E">
        <w:t xml:space="preserve">que </w:t>
      </w:r>
      <w:r>
        <w:t>se afirma</w:t>
      </w:r>
      <w:r w:rsidR="0065511E">
        <w:t>rá</w:t>
      </w:r>
      <w:r>
        <w:t xml:space="preserve"> de nuevo con el fin de evitar confusiones en cada uno de los dos casos.</w:t>
      </w:r>
    </w:p>
    <w:p w14:paraId="352D1101" w14:textId="609C4BDC" w:rsidR="00135A7D" w:rsidRDefault="00135A7D" w:rsidP="00135A7D">
      <w:r>
        <w:t xml:space="preserve">57. </w:t>
      </w:r>
      <w:r>
        <w:tab/>
        <w:t xml:space="preserve">5. </w:t>
      </w:r>
      <w:r w:rsidR="00D568FE">
        <w:rPr>
          <w:i/>
          <w:iCs/>
        </w:rPr>
        <w:t>Él r</w:t>
      </w:r>
      <w:r w:rsidRPr="009D594F">
        <w:rPr>
          <w:i/>
          <w:iCs/>
        </w:rPr>
        <w:t>esuelve con conocimiento</w:t>
      </w:r>
      <w:r>
        <w:t xml:space="preserve"> </w:t>
      </w:r>
      <w:r w:rsidRPr="00054CA3">
        <w:rPr>
          <w:color w:val="1F3864" w:themeColor="accent1" w:themeShade="80"/>
        </w:rPr>
        <w:t>(§48):</w:t>
      </w:r>
      <w:r>
        <w:t xml:space="preserve"> cuando ha</w:t>
      </w:r>
      <w:r w:rsidR="005F394A">
        <w:t>ya</w:t>
      </w:r>
      <w:r>
        <w:t xml:space="preserve"> logrado estas cosas consisten</w:t>
      </w:r>
      <w:r w:rsidR="005F394A">
        <w:t>tes</w:t>
      </w:r>
      <w:r>
        <w:t xml:space="preserve"> </w:t>
      </w:r>
      <w:r w:rsidR="005F394A">
        <w:t>de</w:t>
      </w:r>
      <w:r>
        <w:t xml:space="preserve"> los planos, </w:t>
      </w:r>
      <w:r w:rsidR="005F394A">
        <w:t xml:space="preserve">las </w:t>
      </w:r>
      <w:r>
        <w:t>bases (caminos), pasos y raíces del éxito (</w:t>
      </w:r>
      <w:r w:rsidR="005F394A">
        <w:t>hacia e</w:t>
      </w:r>
      <w:r>
        <w:t>l poder sobrenatural), [387] entonces alcanza</w:t>
      </w:r>
      <w:r w:rsidR="005F394A">
        <w:t>rá</w:t>
      </w:r>
      <w:r>
        <w:t xml:space="preserve"> </w:t>
      </w:r>
      <w:r w:rsidR="005F394A">
        <w:t xml:space="preserve">el </w:t>
      </w:r>
      <w:proofErr w:type="spellStart"/>
      <w:r w:rsidR="00057BF4" w:rsidRPr="00057BF4">
        <w:rPr>
          <w:i/>
        </w:rPr>
        <w:t>jhāna</w:t>
      </w:r>
      <w:proofErr w:type="spellEnd"/>
      <w:r>
        <w:t xml:space="preserve"> como la base para el conocimiento directo y emerge</w:t>
      </w:r>
      <w:r w:rsidR="005F394A">
        <w:t>rá</w:t>
      </w:r>
      <w:r>
        <w:t xml:space="preserve"> de él. Luego, si quiere convertirse en cien, ha</w:t>
      </w:r>
      <w:r w:rsidR="005F394A">
        <w:t>rá</w:t>
      </w:r>
      <w:r>
        <w:t xml:space="preserve"> el trabajo preliminar así: “</w:t>
      </w:r>
      <w:r w:rsidR="005F394A">
        <w:t xml:space="preserve">Qué me </w:t>
      </w:r>
      <w:r>
        <w:t>conv</w:t>
      </w:r>
      <w:r w:rsidR="005F394A">
        <w:t>ie</w:t>
      </w:r>
      <w:r>
        <w:t>rt</w:t>
      </w:r>
      <w:r w:rsidR="005F394A">
        <w:t>a</w:t>
      </w:r>
      <w:r>
        <w:t xml:space="preserve"> en cien, </w:t>
      </w:r>
      <w:r w:rsidR="005F394A">
        <w:t xml:space="preserve">qué me convierta </w:t>
      </w:r>
      <w:r>
        <w:t xml:space="preserve">en cien”, después de lo cual nuevamente </w:t>
      </w:r>
      <w:r w:rsidR="00477B72">
        <w:t xml:space="preserve">obtendrá el </w:t>
      </w:r>
      <w:proofErr w:type="spellStart"/>
      <w:r w:rsidR="00057BF4" w:rsidRPr="00057BF4">
        <w:rPr>
          <w:i/>
        </w:rPr>
        <w:t>jhāna</w:t>
      </w:r>
      <w:proofErr w:type="spellEnd"/>
      <w:r>
        <w:t xml:space="preserve"> como base para el conocimiento directo, emerge</w:t>
      </w:r>
      <w:r w:rsidR="007E6F3F">
        <w:t>rá</w:t>
      </w:r>
      <w:r>
        <w:t xml:space="preserve"> y </w:t>
      </w:r>
      <w:r w:rsidR="007E6F3F">
        <w:t>determinará</w:t>
      </w:r>
      <w:r>
        <w:t>. Se convert</w:t>
      </w:r>
      <w:r w:rsidR="007E6F3F">
        <w:t xml:space="preserve">irá en </w:t>
      </w:r>
      <w:r>
        <w:t>cien simultáneamente con la con</w:t>
      </w:r>
      <w:r w:rsidR="007E6F3F">
        <w:t>s</w:t>
      </w:r>
      <w:r>
        <w:t>ciencia resolutiva. El mismo método se aplica</w:t>
      </w:r>
      <w:r w:rsidR="006B342C">
        <w:t>rá</w:t>
      </w:r>
      <w:r>
        <w:t xml:space="preserve"> en el caso de mil, </w:t>
      </w:r>
      <w:r w:rsidR="006B342C">
        <w:t>etc</w:t>
      </w:r>
      <w:r>
        <w:t xml:space="preserve">. Si no </w:t>
      </w:r>
      <w:r w:rsidR="006B342C">
        <w:t xml:space="preserve">tuviese </w:t>
      </w:r>
      <w:r>
        <w:t xml:space="preserve">éxito </w:t>
      </w:r>
      <w:r w:rsidR="006B342C">
        <w:t>así</w:t>
      </w:r>
      <w:r>
        <w:t>, debe</w:t>
      </w:r>
      <w:r w:rsidR="006B342C">
        <w:t>rá</w:t>
      </w:r>
      <w:r>
        <w:t xml:space="preserve"> hacer el trabajo preliminar de nuevo y alcanzar, emerger y resolver por segunda vez. Porque </w:t>
      </w:r>
      <w:r w:rsidR="006B342C">
        <w:t xml:space="preserve">así </w:t>
      </w:r>
      <w:r>
        <w:t xml:space="preserve">se dice en el </w:t>
      </w:r>
      <w:r w:rsidRPr="009D594F">
        <w:rPr>
          <w:i/>
          <w:iCs/>
        </w:rPr>
        <w:t>Comentario</w:t>
      </w:r>
      <w:r>
        <w:t xml:space="preserve"> </w:t>
      </w:r>
      <w:proofErr w:type="spellStart"/>
      <w:r w:rsidRPr="009D594F">
        <w:rPr>
          <w:i/>
          <w:iCs/>
        </w:rPr>
        <w:t>Saṃyutta</w:t>
      </w:r>
      <w:proofErr w:type="spellEnd"/>
      <w:r w:rsidR="008B5189">
        <w:t xml:space="preserve">, que </w:t>
      </w:r>
      <w:r>
        <w:t>se puede obtener una o dos veces.</w:t>
      </w:r>
    </w:p>
    <w:p w14:paraId="57572049" w14:textId="4476410D" w:rsidR="00135A7D" w:rsidRDefault="00135A7D" w:rsidP="00135A7D">
      <w:r>
        <w:t xml:space="preserve">58. </w:t>
      </w:r>
      <w:r>
        <w:tab/>
        <w:t>Aquí, la con</w:t>
      </w:r>
      <w:r w:rsidR="008B5189">
        <w:t>s</w:t>
      </w:r>
      <w:r>
        <w:t xml:space="preserve">ciencia </w:t>
      </w:r>
      <w:r w:rsidR="008B5189">
        <w:t xml:space="preserve">base del </w:t>
      </w:r>
      <w:proofErr w:type="spellStart"/>
      <w:r w:rsidR="00057BF4" w:rsidRPr="00057BF4">
        <w:rPr>
          <w:i/>
        </w:rPr>
        <w:t>jhāna</w:t>
      </w:r>
      <w:proofErr w:type="spellEnd"/>
      <w:r>
        <w:t xml:space="preserve"> </w:t>
      </w:r>
      <w:r w:rsidR="008B5189">
        <w:t xml:space="preserve">poseerá </w:t>
      </w:r>
      <w:r>
        <w:t>el signo como su objeto; pero las con</w:t>
      </w:r>
      <w:r w:rsidR="008B5189">
        <w:t>s</w:t>
      </w:r>
      <w:r>
        <w:t xml:space="preserve">ciencias </w:t>
      </w:r>
      <w:r w:rsidR="004E6857">
        <w:t xml:space="preserve">del </w:t>
      </w:r>
      <w:r>
        <w:t xml:space="preserve">trabajo preliminar </w:t>
      </w:r>
      <w:r w:rsidR="004E6857">
        <w:t xml:space="preserve">tendrán </w:t>
      </w:r>
      <w:r w:rsidR="00BB13EA">
        <w:t>a</w:t>
      </w:r>
      <w:r>
        <w:t xml:space="preserve">l centenar como su objeto o </w:t>
      </w:r>
      <w:r w:rsidR="00BB13EA">
        <w:t xml:space="preserve">las </w:t>
      </w:r>
      <w:r>
        <w:t xml:space="preserve">mil </w:t>
      </w:r>
      <w:r w:rsidR="0025440B">
        <w:t xml:space="preserve">consciencias </w:t>
      </w:r>
      <w:r>
        <w:t xml:space="preserve">como su objeto. Y estos últimos </w:t>
      </w:r>
      <w:r w:rsidR="0025440B">
        <w:t xml:space="preserve">serán </w:t>
      </w:r>
      <w:r>
        <w:t xml:space="preserve">objetos </w:t>
      </w:r>
      <w:r w:rsidR="0025440B">
        <w:t xml:space="preserve">en calidad de </w:t>
      </w:r>
      <w:r>
        <w:t>apariencias, no como conceptos. La con</w:t>
      </w:r>
      <w:r w:rsidR="0025440B">
        <w:t>s</w:t>
      </w:r>
      <w:r>
        <w:t xml:space="preserve">ciencia resolutiva </w:t>
      </w:r>
      <w:r w:rsidR="0025440B">
        <w:t xml:space="preserve">tendrá </w:t>
      </w:r>
      <w:r>
        <w:t xml:space="preserve">igualmente </w:t>
      </w:r>
      <w:r w:rsidR="0025440B">
        <w:t>a las</w:t>
      </w:r>
      <w:r>
        <w:t xml:space="preserve"> cien </w:t>
      </w:r>
      <w:r w:rsidR="0025440B">
        <w:t xml:space="preserve">consciencias </w:t>
      </w:r>
      <w:r>
        <w:t xml:space="preserve">por objeto o </w:t>
      </w:r>
      <w:r w:rsidR="0025440B">
        <w:t xml:space="preserve">a </w:t>
      </w:r>
      <w:r>
        <w:t>l</w:t>
      </w:r>
      <w:r w:rsidR="0025440B">
        <w:t>as</w:t>
      </w:r>
      <w:r>
        <w:t xml:space="preserve"> mil por objeto. Eso surg</w:t>
      </w:r>
      <w:r w:rsidR="0025440B">
        <w:t>irá</w:t>
      </w:r>
      <w:r>
        <w:t xml:space="preserve"> una sola vez, junto al cambio de linaje [</w:t>
      </w:r>
      <w:r w:rsidR="0025440B">
        <w:t xml:space="preserve">de </w:t>
      </w:r>
      <w:r>
        <w:t>la con</w:t>
      </w:r>
      <w:r w:rsidR="0025440B">
        <w:t>s</w:t>
      </w:r>
      <w:r>
        <w:t>ciencia], como en el caso de la con</w:t>
      </w:r>
      <w:r w:rsidR="0025440B">
        <w:t>s</w:t>
      </w:r>
      <w:r>
        <w:t xml:space="preserve">ciencia de </w:t>
      </w:r>
      <w:r w:rsidR="00E50256">
        <w:t xml:space="preserve">la </w:t>
      </w:r>
      <w:r>
        <w:t xml:space="preserve">absorción ya descrita (IV.78), y </w:t>
      </w:r>
      <w:r w:rsidR="0025440B">
        <w:t xml:space="preserve">será </w:t>
      </w:r>
      <w:r>
        <w:t>la con</w:t>
      </w:r>
      <w:r w:rsidR="0025440B">
        <w:t>s</w:t>
      </w:r>
      <w:r>
        <w:t xml:space="preserve">ciencia de la esfera de la materia </w:t>
      </w:r>
      <w:r w:rsidR="0025440B">
        <w:t>sutil</w:t>
      </w:r>
      <w:r>
        <w:t xml:space="preserve"> pertenec</w:t>
      </w:r>
      <w:r w:rsidR="0025440B">
        <w:t>iente</w:t>
      </w:r>
      <w:r>
        <w:t xml:space="preserve"> al cuarto </w:t>
      </w:r>
      <w:proofErr w:type="spellStart"/>
      <w:r w:rsidR="00057BF4" w:rsidRPr="00057BF4">
        <w:rPr>
          <w:i/>
        </w:rPr>
        <w:t>jhāna</w:t>
      </w:r>
      <w:proofErr w:type="spellEnd"/>
      <w:r>
        <w:t>.</w:t>
      </w:r>
    </w:p>
    <w:p w14:paraId="452FAA24" w14:textId="77777777" w:rsidR="00135A7D" w:rsidRDefault="00135A7D">
      <w:pPr>
        <w:tabs>
          <w:tab w:val="clear" w:pos="425"/>
        </w:tabs>
        <w:spacing w:after="160"/>
      </w:pPr>
      <w:r>
        <w:br w:type="page"/>
      </w:r>
    </w:p>
    <w:p w14:paraId="7D049F49" w14:textId="77777777" w:rsidR="00135A7D" w:rsidRDefault="00135A7D" w:rsidP="00135A7D"/>
    <w:p w14:paraId="737DA67C" w14:textId="6F653988" w:rsidR="00164ADE" w:rsidRDefault="00164ADE" w:rsidP="00164ADE">
      <w:r>
        <w:t xml:space="preserve">59. </w:t>
      </w:r>
      <w:r>
        <w:tab/>
        <w:t xml:space="preserve">Ahora bien, se dice en el </w:t>
      </w:r>
      <w:proofErr w:type="spellStart"/>
      <w:r w:rsidRPr="009D594F">
        <w:rPr>
          <w:i/>
          <w:iCs/>
        </w:rPr>
        <w:t>Paṭisambhidā</w:t>
      </w:r>
      <w:proofErr w:type="spellEnd"/>
      <w:r>
        <w:t>: “Normalmente uno, se advert</w:t>
      </w:r>
      <w:r w:rsidR="006B45EC">
        <w:t>irá</w:t>
      </w:r>
      <w:r>
        <w:t xml:space="preserve"> a sí mismo como muchos</w:t>
      </w:r>
      <w:r w:rsidR="00024BD4">
        <w:t>, como</w:t>
      </w:r>
      <w:r>
        <w:t xml:space="preserve"> cien</w:t>
      </w:r>
      <w:r w:rsidR="00024BD4">
        <w:t>,</w:t>
      </w:r>
      <w:r>
        <w:t xml:space="preserve"> mil o cien mil; habiendo advertido, </w:t>
      </w:r>
      <w:r w:rsidR="004A08A9">
        <w:t xml:space="preserve">lo </w:t>
      </w:r>
      <w:r w:rsidR="00024BD4">
        <w:t xml:space="preserve">determinará </w:t>
      </w:r>
      <w:r w:rsidR="004A08A9">
        <w:t>mediante el</w:t>
      </w:r>
      <w:r>
        <w:t xml:space="preserve"> conocimiento, ‘</w:t>
      </w:r>
      <w:r w:rsidR="00024BD4">
        <w:t xml:space="preserve">Qué sea </w:t>
      </w:r>
      <w:r>
        <w:t xml:space="preserve">muchos’. Se </w:t>
      </w:r>
      <w:r w:rsidR="001F45E1">
        <w:t>convertirá en</w:t>
      </w:r>
      <w:r>
        <w:t xml:space="preserve"> muchos, como el </w:t>
      </w:r>
      <w:r w:rsidR="009F2B41">
        <w:t xml:space="preserve">Venerable </w:t>
      </w:r>
      <w:proofErr w:type="spellStart"/>
      <w:r w:rsidRPr="009D594F">
        <w:rPr>
          <w:i/>
          <w:iCs/>
        </w:rPr>
        <w:t>Cūḷa-Panthaka</w:t>
      </w:r>
      <w:proofErr w:type="spellEnd"/>
      <w:r>
        <w:t>” (</w:t>
      </w:r>
      <w:proofErr w:type="spellStart"/>
      <w:r w:rsidRPr="004A08A9">
        <w:rPr>
          <w:i/>
          <w:iCs/>
        </w:rPr>
        <w:t>Paṭis</w:t>
      </w:r>
      <w:proofErr w:type="spellEnd"/>
      <w:r>
        <w:t xml:space="preserve"> II 207). Aquí </w:t>
      </w:r>
      <w:r w:rsidR="00F44A2F">
        <w:t xml:space="preserve">se dice que </w:t>
      </w:r>
      <w:r w:rsidR="009F2B41" w:rsidRPr="00F44A2F">
        <w:rPr>
          <w:i/>
          <w:iCs/>
        </w:rPr>
        <w:t xml:space="preserve">él </w:t>
      </w:r>
      <w:r w:rsidRPr="00F44A2F">
        <w:rPr>
          <w:i/>
          <w:iCs/>
        </w:rPr>
        <w:t>advert</w:t>
      </w:r>
      <w:r w:rsidR="00025B6D" w:rsidRPr="00F44A2F">
        <w:rPr>
          <w:i/>
          <w:iCs/>
        </w:rPr>
        <w:t>irá</w:t>
      </w:r>
      <w:r>
        <w:t xml:space="preserve"> con respecto únicamente al trabajo preliminar. </w:t>
      </w:r>
      <w:r w:rsidR="004A2FE6">
        <w:t xml:space="preserve">Se dice que </w:t>
      </w:r>
      <w:r w:rsidR="004A2FE6">
        <w:rPr>
          <w:i/>
          <w:iCs/>
        </w:rPr>
        <w:t>h</w:t>
      </w:r>
      <w:r w:rsidRPr="009D594F">
        <w:rPr>
          <w:i/>
          <w:iCs/>
        </w:rPr>
        <w:t xml:space="preserve">abiendo advertido, </w:t>
      </w:r>
      <w:r w:rsidR="004A08A9">
        <w:rPr>
          <w:i/>
          <w:iCs/>
        </w:rPr>
        <w:t xml:space="preserve">lo determinará mediante el </w:t>
      </w:r>
      <w:r w:rsidRPr="009D594F">
        <w:rPr>
          <w:i/>
          <w:iCs/>
        </w:rPr>
        <w:t>conocimiento</w:t>
      </w:r>
      <w:r>
        <w:t xml:space="preserve"> respecto al conocimiento del conocimiento directo. En consecuencia, advert</w:t>
      </w:r>
      <w:r w:rsidR="004A2FE6">
        <w:t>irá</w:t>
      </w:r>
      <w:r>
        <w:t xml:space="preserve"> a muchos. Después de e</w:t>
      </w:r>
      <w:r w:rsidR="004A2FE6">
        <w:t>ll</w:t>
      </w:r>
      <w:r>
        <w:t>o alcanza</w:t>
      </w:r>
      <w:r w:rsidR="004A2FE6">
        <w:t>rá</w:t>
      </w:r>
      <w:r>
        <w:t xml:space="preserve"> la última de las con</w:t>
      </w:r>
      <w:r w:rsidR="004A2FE6">
        <w:t>s</w:t>
      </w:r>
      <w:r>
        <w:t>ciencias de</w:t>
      </w:r>
      <w:r w:rsidR="004A2FE6">
        <w:t>l</w:t>
      </w:r>
      <w:r>
        <w:t xml:space="preserve"> trabajo preliminar. Después de emerger del logro, </w:t>
      </w:r>
      <w:r w:rsidRPr="00893820">
        <w:t>advert</w:t>
      </w:r>
      <w:r w:rsidR="009A56F3" w:rsidRPr="00893820">
        <w:t>irá</w:t>
      </w:r>
      <w:r>
        <w:t xml:space="preserve"> de nuevo así: "</w:t>
      </w:r>
      <w:r w:rsidR="009A56F3">
        <w:t xml:space="preserve">Qué </w:t>
      </w:r>
      <w:r>
        <w:t>se</w:t>
      </w:r>
      <w:r w:rsidR="009A56F3">
        <w:t>a</w:t>
      </w:r>
      <w:r>
        <w:t xml:space="preserve"> muchos", después de lo cual </w:t>
      </w:r>
      <w:r w:rsidR="009A56F3">
        <w:t>resolverá</w:t>
      </w:r>
      <w:r>
        <w:t xml:space="preserve"> por medio de la con</w:t>
      </w:r>
      <w:r w:rsidR="003D2CB6">
        <w:t>s</w:t>
      </w:r>
      <w:r>
        <w:t>ciencia única perteneciente al conocimiento del conocimiento directo, que ha surgido junto a los tres o cuatro con</w:t>
      </w:r>
      <w:r w:rsidR="003D2CB6">
        <w:t>s</w:t>
      </w:r>
      <w:r>
        <w:t>ciencias preparatorias ocurrid</w:t>
      </w:r>
      <w:r w:rsidR="003D2CB6">
        <w:t>as</w:t>
      </w:r>
      <w:r>
        <w:t xml:space="preserve">, y que </w:t>
      </w:r>
      <w:r w:rsidR="003D2CB6">
        <w:t>tendrá</w:t>
      </w:r>
      <w:r>
        <w:t xml:space="preserve"> el nombre de “</w:t>
      </w:r>
      <w:r w:rsidR="003D2CB6">
        <w:t>determinar</w:t>
      </w:r>
      <w:r>
        <w:t xml:space="preserve">” debido a </w:t>
      </w:r>
      <w:r w:rsidR="00B07421">
        <w:t>su adoptar tal</w:t>
      </w:r>
      <w:r>
        <w:t xml:space="preserve"> decisión. Así es como debe</w:t>
      </w:r>
      <w:r w:rsidR="00B07421">
        <w:t>rá</w:t>
      </w:r>
      <w:r>
        <w:t xml:space="preserve"> entenderse el significado aquí.</w:t>
      </w:r>
    </w:p>
    <w:p w14:paraId="3668D6AA" w14:textId="5C669957" w:rsidR="00164ADE" w:rsidRDefault="00164ADE" w:rsidP="00164ADE">
      <w:r>
        <w:t xml:space="preserve">60. </w:t>
      </w:r>
      <w:r>
        <w:tab/>
      </w:r>
      <w:r w:rsidRPr="003432C3">
        <w:rPr>
          <w:i/>
          <w:iCs/>
        </w:rPr>
        <w:t xml:space="preserve">Como el Venerable </w:t>
      </w:r>
      <w:proofErr w:type="spellStart"/>
      <w:r w:rsidRPr="003432C3">
        <w:rPr>
          <w:i/>
          <w:iCs/>
        </w:rPr>
        <w:t>Cūḷa-Panthaka</w:t>
      </w:r>
      <w:proofErr w:type="spellEnd"/>
      <w:r>
        <w:t xml:space="preserve"> </w:t>
      </w:r>
      <w:r w:rsidR="005D00C2">
        <w:t xml:space="preserve">se dice </w:t>
      </w:r>
      <w:r w:rsidR="00010D2E">
        <w:t xml:space="preserve">con el objeto de exponer </w:t>
      </w:r>
      <w:r w:rsidR="005D00C2">
        <w:t xml:space="preserve">a </w:t>
      </w:r>
      <w:r>
        <w:t xml:space="preserve">un testigo corporal de este estado múltiple; </w:t>
      </w:r>
      <w:r w:rsidR="006E0C3A">
        <w:t>no obstante,</w:t>
      </w:r>
      <w:r>
        <w:t xml:space="preserve"> e</w:t>
      </w:r>
      <w:r w:rsidR="006E0C3A">
        <w:t>ll</w:t>
      </w:r>
      <w:r>
        <w:t>o debe</w:t>
      </w:r>
      <w:r w:rsidR="006E0C3A">
        <w:t>rá</w:t>
      </w:r>
      <w:r>
        <w:t xml:space="preserve"> ser ilustrado </w:t>
      </w:r>
      <w:r w:rsidR="006E0C3A">
        <w:t xml:space="preserve">mediante </w:t>
      </w:r>
      <w:r>
        <w:t>la historia</w:t>
      </w:r>
      <w:r w:rsidR="006E0C3A">
        <w:t xml:space="preserve"> respectiva</w:t>
      </w:r>
      <w:r>
        <w:t>. Al parecer, había dos hermanos que se llamaban "</w:t>
      </w:r>
      <w:proofErr w:type="spellStart"/>
      <w:r>
        <w:t>Panthkaka</w:t>
      </w:r>
      <w:proofErr w:type="spellEnd"/>
      <w:r>
        <w:t xml:space="preserve"> (</w:t>
      </w:r>
      <w:r w:rsidR="00C30FCA">
        <w:t>Carreteros</w:t>
      </w:r>
      <w:r>
        <w:t xml:space="preserve">)" </w:t>
      </w:r>
      <w:r w:rsidR="00C30FCA">
        <w:t xml:space="preserve">ya </w:t>
      </w:r>
      <w:r>
        <w:t>que nacieron en una carretera. El mayor de los dos se llamaba Mahā-</w:t>
      </w:r>
      <w:proofErr w:type="spellStart"/>
      <w:r>
        <w:t>Panthaka</w:t>
      </w:r>
      <w:proofErr w:type="spellEnd"/>
      <w:r>
        <w:t xml:space="preserve">. Se </w:t>
      </w:r>
      <w:r w:rsidR="00C30FCA">
        <w:t xml:space="preserve">ordenó </w:t>
      </w:r>
      <w:r>
        <w:t xml:space="preserve">y </w:t>
      </w:r>
      <w:r w:rsidR="00C30FCA">
        <w:t xml:space="preserve">consumó </w:t>
      </w:r>
      <w:r>
        <w:t xml:space="preserve">el estado de </w:t>
      </w:r>
      <w:r w:rsidR="00057BF4" w:rsidRPr="00057BF4">
        <w:rPr>
          <w:i/>
        </w:rPr>
        <w:t>Arahant</w:t>
      </w:r>
      <w:r>
        <w:t xml:space="preserve"> junto con las discriminaciones. Cuando se convirtió en </w:t>
      </w:r>
      <w:r w:rsidR="00057BF4" w:rsidRPr="00057BF4">
        <w:rPr>
          <w:i/>
        </w:rPr>
        <w:t>Arahant</w:t>
      </w:r>
      <w:r>
        <w:t xml:space="preserve">, hizo </w:t>
      </w:r>
      <w:r w:rsidR="00AE7967">
        <w:t xml:space="preserve">ordenarse </w:t>
      </w:r>
      <w:r>
        <w:t xml:space="preserve">también a </w:t>
      </w:r>
      <w:proofErr w:type="spellStart"/>
      <w:r>
        <w:t>Cūḷa-Panthaka</w:t>
      </w:r>
      <w:proofErr w:type="spellEnd"/>
      <w:r>
        <w:t xml:space="preserve">, y le </w:t>
      </w:r>
      <w:r w:rsidR="00AE7967">
        <w:t xml:space="preserve">asignó dedicarse a la siguiente </w:t>
      </w:r>
      <w:r>
        <w:t>estrofa: [388]</w:t>
      </w:r>
    </w:p>
    <w:p w14:paraId="6EFFF5B9" w14:textId="737C6A63" w:rsidR="00164ADE" w:rsidRPr="00233A9A" w:rsidRDefault="00164ADE" w:rsidP="00164ADE">
      <w:pPr>
        <w:pStyle w:val="VersoIngls01Sangria"/>
        <w:rPr>
          <w:sz w:val="16"/>
          <w:szCs w:val="20"/>
        </w:rPr>
      </w:pPr>
      <w:r w:rsidRPr="00233A9A">
        <w:rPr>
          <w:sz w:val="16"/>
          <w:szCs w:val="20"/>
        </w:rPr>
        <w:t xml:space="preserve">Como un loto </w:t>
      </w:r>
      <w:r w:rsidR="00AE7967" w:rsidRPr="00233A9A">
        <w:rPr>
          <w:sz w:val="16"/>
          <w:szCs w:val="20"/>
        </w:rPr>
        <w:t>perfumado</w:t>
      </w:r>
      <w:r w:rsidR="00AE7967" w:rsidRPr="00233A9A">
        <w:rPr>
          <w:i/>
          <w:iCs/>
          <w:sz w:val="16"/>
          <w:szCs w:val="20"/>
        </w:rPr>
        <w:t xml:space="preserve"> </w:t>
      </w:r>
      <w:proofErr w:type="spellStart"/>
      <w:r w:rsidRPr="00233A9A">
        <w:rPr>
          <w:i/>
          <w:iCs/>
          <w:sz w:val="16"/>
          <w:szCs w:val="20"/>
        </w:rPr>
        <w:t>kokanada</w:t>
      </w:r>
      <w:proofErr w:type="spellEnd"/>
      <w:r w:rsidRPr="00233A9A">
        <w:rPr>
          <w:sz w:val="16"/>
          <w:szCs w:val="20"/>
        </w:rPr>
        <w:t xml:space="preserve"> </w:t>
      </w:r>
    </w:p>
    <w:p w14:paraId="6C829C5C" w14:textId="15DC36C6" w:rsidR="00164ADE" w:rsidRPr="00233A9A" w:rsidRDefault="00164ADE" w:rsidP="00164ADE">
      <w:pPr>
        <w:pStyle w:val="VersoIngls01Sangria"/>
        <w:rPr>
          <w:sz w:val="16"/>
          <w:szCs w:val="20"/>
        </w:rPr>
      </w:pPr>
      <w:r w:rsidRPr="00233A9A">
        <w:rPr>
          <w:sz w:val="16"/>
          <w:szCs w:val="20"/>
        </w:rPr>
        <w:t xml:space="preserve">Se abre por la mañana </w:t>
      </w:r>
      <w:r w:rsidR="000F6CDB" w:rsidRPr="00233A9A">
        <w:rPr>
          <w:sz w:val="16"/>
          <w:szCs w:val="20"/>
        </w:rPr>
        <w:t xml:space="preserve">suspendiendo </w:t>
      </w:r>
      <w:r w:rsidRPr="00233A9A">
        <w:rPr>
          <w:sz w:val="16"/>
          <w:szCs w:val="20"/>
        </w:rPr>
        <w:t>su perfume,</w:t>
      </w:r>
    </w:p>
    <w:p w14:paraId="69B573D3" w14:textId="33E21A6D" w:rsidR="00164ADE" w:rsidRPr="00233A9A" w:rsidRDefault="00164ADE" w:rsidP="00164ADE">
      <w:pPr>
        <w:pStyle w:val="VersoIngls01Sangria"/>
        <w:rPr>
          <w:sz w:val="16"/>
          <w:szCs w:val="20"/>
        </w:rPr>
      </w:pPr>
      <w:r w:rsidRPr="00233A9A">
        <w:rPr>
          <w:sz w:val="16"/>
          <w:szCs w:val="20"/>
        </w:rPr>
        <w:t>Mira a</w:t>
      </w:r>
      <w:r w:rsidR="000F6CDB" w:rsidRPr="00233A9A">
        <w:rPr>
          <w:sz w:val="16"/>
          <w:szCs w:val="20"/>
        </w:rPr>
        <w:t xml:space="preserve"> Aq</w:t>
      </w:r>
      <w:r w:rsidR="00B25C66">
        <w:rPr>
          <w:sz w:val="16"/>
          <w:szCs w:val="20"/>
        </w:rPr>
        <w:t>u</w:t>
      </w:r>
      <w:r w:rsidR="000F6CDB" w:rsidRPr="00233A9A">
        <w:rPr>
          <w:sz w:val="16"/>
          <w:szCs w:val="20"/>
        </w:rPr>
        <w:t>el</w:t>
      </w:r>
      <w:r w:rsidRPr="00233A9A">
        <w:rPr>
          <w:sz w:val="16"/>
          <w:szCs w:val="20"/>
        </w:rPr>
        <w:t xml:space="preserve"> de miembros radiantes resplandec</w:t>
      </w:r>
      <w:r w:rsidR="000F6CDB" w:rsidRPr="00233A9A">
        <w:rPr>
          <w:sz w:val="16"/>
          <w:szCs w:val="20"/>
        </w:rPr>
        <w:t>iente</w:t>
      </w:r>
      <w:r w:rsidRPr="00233A9A">
        <w:rPr>
          <w:sz w:val="16"/>
          <w:szCs w:val="20"/>
          <w:vertAlign w:val="superscript"/>
        </w:rPr>
        <w:t>10</w:t>
      </w:r>
    </w:p>
    <w:p w14:paraId="71294FF9" w14:textId="7004119A" w:rsidR="00164ADE" w:rsidRPr="00233A9A" w:rsidRDefault="00164ADE" w:rsidP="00164ADE">
      <w:pPr>
        <w:pStyle w:val="VersoIngls01Sangria"/>
        <w:spacing w:after="100"/>
        <w:ind w:left="1418"/>
        <w:rPr>
          <w:sz w:val="16"/>
          <w:szCs w:val="20"/>
        </w:rPr>
      </w:pPr>
      <w:r w:rsidRPr="00233A9A">
        <w:rPr>
          <w:sz w:val="16"/>
          <w:szCs w:val="20"/>
        </w:rPr>
        <w:t xml:space="preserve">Como el orbe del </w:t>
      </w:r>
      <w:r w:rsidR="000F6CDB" w:rsidRPr="00233A9A">
        <w:rPr>
          <w:sz w:val="16"/>
          <w:szCs w:val="20"/>
        </w:rPr>
        <w:t xml:space="preserve">Sol </w:t>
      </w:r>
      <w:r w:rsidRPr="00233A9A">
        <w:rPr>
          <w:sz w:val="16"/>
          <w:szCs w:val="20"/>
        </w:rPr>
        <w:t>que resplandece en los cielos (A III 239; S I 81).</w:t>
      </w:r>
    </w:p>
    <w:p w14:paraId="58EDF9FE" w14:textId="417358BE" w:rsidR="00164ADE" w:rsidRDefault="004C095E" w:rsidP="00164ADE">
      <w:pPr>
        <w:pStyle w:val="NormalConSangria"/>
      </w:pPr>
      <w:r>
        <w:t>Aunque p</w:t>
      </w:r>
      <w:r w:rsidR="00164ADE">
        <w:t xml:space="preserve">asaron cuatro meses, </w:t>
      </w:r>
      <w:r w:rsidR="005C1899">
        <w:t xml:space="preserve">su hermano </w:t>
      </w:r>
      <w:r w:rsidR="00164ADE">
        <w:t xml:space="preserve">no </w:t>
      </w:r>
      <w:r w:rsidR="00E90F28">
        <w:t xml:space="preserve">pudo </w:t>
      </w:r>
      <w:r w:rsidR="00164ADE">
        <w:t>aprend</w:t>
      </w:r>
      <w:r w:rsidR="00E90F28">
        <w:t>é</w:t>
      </w:r>
      <w:r w:rsidR="00164ADE">
        <w:t>r</w:t>
      </w:r>
      <w:r w:rsidR="00E90F28">
        <w:t>se</w:t>
      </w:r>
      <w:r w:rsidR="00164ADE">
        <w:t xml:space="preserve">lo de memoria. Entonces el </w:t>
      </w:r>
      <w:r w:rsidR="00E90F28">
        <w:t xml:space="preserve">Venerable le </w:t>
      </w:r>
      <w:r w:rsidR="00164ADE">
        <w:t>dijo: “Eres inútil en esta dispensación”, y lo expulsó del monasterio.</w:t>
      </w:r>
    </w:p>
    <w:p w14:paraId="3C9C6CE6" w14:textId="62110F63" w:rsidR="00164ADE" w:rsidRDefault="00164ADE" w:rsidP="00164ADE">
      <w:r>
        <w:t xml:space="preserve">61. </w:t>
      </w:r>
      <w:r>
        <w:tab/>
        <w:t xml:space="preserve">En ese momento el </w:t>
      </w:r>
      <w:r w:rsidR="00010D2E">
        <w:t xml:space="preserve">Venerable </w:t>
      </w:r>
      <w:r w:rsidR="00DE4F73">
        <w:t>Mahā-</w:t>
      </w:r>
      <w:proofErr w:type="spellStart"/>
      <w:r w:rsidR="00DE4F73">
        <w:t>Panthaka</w:t>
      </w:r>
      <w:proofErr w:type="spellEnd"/>
      <w:r w:rsidR="00DE4F73">
        <w:t xml:space="preserve"> </w:t>
      </w:r>
      <w:r w:rsidR="00010D2E">
        <w:t>se encontraba</w:t>
      </w:r>
      <w:r>
        <w:t xml:space="preserve"> a cargo de la distribución de </w:t>
      </w:r>
      <w:r w:rsidR="00010D2E">
        <w:t xml:space="preserve">alimentos </w:t>
      </w:r>
      <w:r>
        <w:t>[</w:t>
      </w:r>
      <w:r w:rsidR="00DE4F73">
        <w:t xml:space="preserve">mediante </w:t>
      </w:r>
      <w:r>
        <w:t xml:space="preserve">invitaciones]. </w:t>
      </w:r>
      <w:proofErr w:type="spellStart"/>
      <w:r>
        <w:t>Jīvaka</w:t>
      </w:r>
      <w:proofErr w:type="spellEnd"/>
      <w:r>
        <w:t xml:space="preserve"> se acercó al </w:t>
      </w:r>
      <w:r w:rsidR="00010D2E">
        <w:t xml:space="preserve">Venerable </w:t>
      </w:r>
      <w:r>
        <w:t>y le dijo: "Recib</w:t>
      </w:r>
      <w:r w:rsidR="00010D2E">
        <w:t>a</w:t>
      </w:r>
      <w:r>
        <w:t xml:space="preserve"> </w:t>
      </w:r>
      <w:r w:rsidR="00010D2E">
        <w:t>ofrendas</w:t>
      </w:r>
      <w:r>
        <w:t xml:space="preserve"> en nuestra casa, </w:t>
      </w:r>
      <w:r w:rsidR="00010D2E">
        <w:t>Venerable Señor</w:t>
      </w:r>
      <w:r>
        <w:t xml:space="preserve">, junto con el </w:t>
      </w:r>
      <w:r w:rsidR="00010D2E" w:rsidRPr="00010D2E">
        <w:rPr>
          <w:i/>
          <w:iCs/>
        </w:rPr>
        <w:t>Bhagavā</w:t>
      </w:r>
      <w:r w:rsidR="00010D2E">
        <w:t xml:space="preserve"> </w:t>
      </w:r>
      <w:r>
        <w:t xml:space="preserve">y quinientos </w:t>
      </w:r>
      <w:proofErr w:type="spellStart"/>
      <w:r w:rsidR="00057BF4" w:rsidRPr="00057BF4">
        <w:rPr>
          <w:i/>
        </w:rPr>
        <w:t>bhikkhu</w:t>
      </w:r>
      <w:r>
        <w:t>s</w:t>
      </w:r>
      <w:proofErr w:type="spellEnd"/>
      <w:r>
        <w:t xml:space="preserve">". El </w:t>
      </w:r>
      <w:r w:rsidR="00010D2E">
        <w:t xml:space="preserve">Venerable </w:t>
      </w:r>
      <w:r>
        <w:t xml:space="preserve">consintió, diciendo: “Acepto </w:t>
      </w:r>
      <w:r w:rsidR="00010D2E">
        <w:t xml:space="preserve">la invitación </w:t>
      </w:r>
      <w:r>
        <w:t xml:space="preserve">para todos excepto </w:t>
      </w:r>
      <w:r w:rsidR="00010D2E">
        <w:t xml:space="preserve">para </w:t>
      </w:r>
      <w:proofErr w:type="spellStart"/>
      <w:r>
        <w:t>Cūḷa-Panthaka</w:t>
      </w:r>
      <w:proofErr w:type="spellEnd"/>
      <w:r>
        <w:t xml:space="preserve">”. </w:t>
      </w:r>
      <w:proofErr w:type="spellStart"/>
      <w:r>
        <w:t>Cūḷa-Panthaka</w:t>
      </w:r>
      <w:proofErr w:type="spellEnd"/>
      <w:r>
        <w:t xml:space="preserve"> se quedó </w:t>
      </w:r>
      <w:r w:rsidR="00D65866">
        <w:t>lamentándose</w:t>
      </w:r>
      <w:r>
        <w:t xml:space="preserve"> en la puerta. El </w:t>
      </w:r>
      <w:r w:rsidR="00D65866" w:rsidRPr="00D65866">
        <w:rPr>
          <w:i/>
          <w:iCs/>
        </w:rPr>
        <w:t>Bhagavā</w:t>
      </w:r>
      <w:r w:rsidR="00D65866">
        <w:t xml:space="preserve"> </w:t>
      </w:r>
      <w:r>
        <w:t xml:space="preserve">lo vio con el ojo divino, y fue hacia él. "¿Por qué </w:t>
      </w:r>
      <w:r w:rsidR="00D65866">
        <w:t>se lamenta</w:t>
      </w:r>
      <w:r>
        <w:t xml:space="preserve">?" preguntó, </w:t>
      </w:r>
      <w:r w:rsidR="009F3FB2">
        <w:t xml:space="preserve">fue </w:t>
      </w:r>
      <w:r w:rsidR="00D65866">
        <w:t xml:space="preserve">así </w:t>
      </w:r>
      <w:proofErr w:type="gramStart"/>
      <w:r w:rsidR="00D65866">
        <w:t>que</w:t>
      </w:r>
      <w:proofErr w:type="gramEnd"/>
      <w:r w:rsidR="00D65866">
        <w:t xml:space="preserve"> </w:t>
      </w:r>
      <w:proofErr w:type="spellStart"/>
      <w:r w:rsidR="009F3FB2">
        <w:t>Cūḷa-Panthaka</w:t>
      </w:r>
      <w:proofErr w:type="spellEnd"/>
      <w:r w:rsidR="009F3FB2">
        <w:t xml:space="preserve"> </w:t>
      </w:r>
      <w:r>
        <w:t>l</w:t>
      </w:r>
      <w:r w:rsidR="00D65866">
        <w:t>e</w:t>
      </w:r>
      <w:r>
        <w:t xml:space="preserve"> </w:t>
      </w:r>
      <w:r w:rsidR="00D65866">
        <w:t xml:space="preserve">contó lo </w:t>
      </w:r>
      <w:r>
        <w:t xml:space="preserve">que </w:t>
      </w:r>
      <w:r w:rsidR="009F3FB2">
        <w:t xml:space="preserve">le </w:t>
      </w:r>
      <w:r>
        <w:t>había sucedido.</w:t>
      </w:r>
    </w:p>
    <w:p w14:paraId="580A9569" w14:textId="1EB632F6" w:rsidR="00164ADE" w:rsidRDefault="00164ADE" w:rsidP="00164ADE">
      <w:r>
        <w:t xml:space="preserve">62. </w:t>
      </w:r>
      <w:r>
        <w:tab/>
        <w:t xml:space="preserve">El </w:t>
      </w:r>
      <w:r w:rsidR="00D65866" w:rsidRPr="00D65866">
        <w:rPr>
          <w:i/>
          <w:iCs/>
        </w:rPr>
        <w:t>Bhagavā</w:t>
      </w:r>
      <w:r w:rsidR="00D65866">
        <w:t xml:space="preserve"> </w:t>
      </w:r>
      <w:r>
        <w:t xml:space="preserve">dijo: “Nadie en mi dispensación </w:t>
      </w:r>
      <w:r w:rsidR="00D65866">
        <w:t>puede ser</w:t>
      </w:r>
      <w:r>
        <w:t xml:space="preserve"> llamado inútil por no poder </w:t>
      </w:r>
      <w:r w:rsidR="00D65866">
        <w:t xml:space="preserve">pronunciar </w:t>
      </w:r>
      <w:r>
        <w:t xml:space="preserve">una recitación. No </w:t>
      </w:r>
      <w:r w:rsidR="00D65866">
        <w:t>s</w:t>
      </w:r>
      <w:r>
        <w:t xml:space="preserve">e aflija, monje”. Tomándolo del brazo, lo condujo al interior del monasterio. Creó un trozo de tela </w:t>
      </w:r>
      <w:r w:rsidR="009F3FB2">
        <w:t>mediante</w:t>
      </w:r>
      <w:r>
        <w:t xml:space="preserve"> </w:t>
      </w:r>
      <w:r w:rsidR="00D65866">
        <w:t>su</w:t>
      </w:r>
      <w:r>
        <w:t xml:space="preserve"> poder sobrenatural y se lo dio, diciendo: “Ahora, </w:t>
      </w:r>
      <w:proofErr w:type="spellStart"/>
      <w:r w:rsidR="00057BF4" w:rsidRPr="00057BF4">
        <w:rPr>
          <w:i/>
        </w:rPr>
        <w:t>bhikkhu</w:t>
      </w:r>
      <w:proofErr w:type="spellEnd"/>
      <w:r>
        <w:t xml:space="preserve">, </w:t>
      </w:r>
      <w:r w:rsidR="00D65866">
        <w:t xml:space="preserve">manténgase </w:t>
      </w:r>
      <w:r>
        <w:t xml:space="preserve">frotando esto </w:t>
      </w:r>
      <w:r w:rsidR="00D65866">
        <w:t xml:space="preserve">con su mano </w:t>
      </w:r>
      <w:r>
        <w:t>y recit</w:t>
      </w:r>
      <w:r w:rsidR="00D65866">
        <w:t>e</w:t>
      </w:r>
      <w:r>
        <w:t xml:space="preserve"> una y otra vez</w:t>
      </w:r>
      <w:r w:rsidR="00D65866">
        <w:t xml:space="preserve"> lo siguiente</w:t>
      </w:r>
      <w:r>
        <w:t xml:space="preserve">: 'Eliminación de la suciedad, eliminación de la suciedad'”. Mientras hacía lo que le habían </w:t>
      </w:r>
      <w:r w:rsidR="00A413E8">
        <w:t>indicado</w:t>
      </w:r>
      <w:r>
        <w:t>, la tela se volvió de color negro. Lo que llegó a percibir fue esto: “La tela est</w:t>
      </w:r>
      <w:r w:rsidR="00A413E8">
        <w:t>aba</w:t>
      </w:r>
      <w:r>
        <w:t xml:space="preserve"> limpia; no </w:t>
      </w:r>
      <w:r w:rsidR="00A413E8">
        <w:t xml:space="preserve">había </w:t>
      </w:r>
      <w:r>
        <w:t xml:space="preserve">nada </w:t>
      </w:r>
      <w:r w:rsidR="00A413E8">
        <w:t xml:space="preserve">sucio </w:t>
      </w:r>
      <w:r>
        <w:t xml:space="preserve">allí. Es esta individualidad la que está mal”. </w:t>
      </w:r>
      <w:r w:rsidR="00645C58">
        <w:t>Él condujo su</w:t>
      </w:r>
      <w:r>
        <w:t xml:space="preserve"> conocimiento </w:t>
      </w:r>
      <w:r w:rsidR="00B42D4C">
        <w:t xml:space="preserve">hacia la apreciación </w:t>
      </w:r>
      <w:r w:rsidR="00F76A2C">
        <w:t>de</w:t>
      </w:r>
      <w:r>
        <w:t xml:space="preserve"> los cinco agregados, y a</w:t>
      </w:r>
      <w:r w:rsidR="00263ACE">
        <w:t>l</w:t>
      </w:r>
      <w:r>
        <w:t xml:space="preserve"> </w:t>
      </w:r>
      <w:r w:rsidR="00B42D4C">
        <w:t xml:space="preserve">incrementar su sabiduría </w:t>
      </w:r>
      <w:r w:rsidR="00680EA2">
        <w:t>consumó</w:t>
      </w:r>
      <w:r>
        <w:t xml:space="preserve"> la vecindad </w:t>
      </w:r>
      <w:r w:rsidR="009630E2">
        <w:t xml:space="preserve">del </w:t>
      </w:r>
      <w:r w:rsidR="00263ACE">
        <w:t xml:space="preserve">conocimiento </w:t>
      </w:r>
      <w:r>
        <w:t xml:space="preserve">de conformidad y </w:t>
      </w:r>
      <w:r w:rsidR="009630E2">
        <w:t>conocimiento d</w:t>
      </w:r>
      <w:r>
        <w:t>el cambio de linaje</w:t>
      </w:r>
      <w:r w:rsidR="009630E2">
        <w:t>.</w:t>
      </w:r>
    </w:p>
    <w:p w14:paraId="2912BF87" w14:textId="0DDB6D11" w:rsidR="00164ADE" w:rsidRPr="00164ADE" w:rsidRDefault="00164ADE" w:rsidP="00164ADE">
      <w:pPr>
        <w:pStyle w:val="PiedepginaLegal"/>
        <w:rPr>
          <w:u w:val="single"/>
        </w:rPr>
      </w:pPr>
      <w:r w:rsidRPr="00164ADE">
        <w:rPr>
          <w:u w:val="single"/>
        </w:rPr>
        <w:t xml:space="preserve">                                                                                                                                                          .</w:t>
      </w:r>
    </w:p>
    <w:p w14:paraId="7BA955A9" w14:textId="63ED02A3" w:rsidR="008C3F30" w:rsidRDefault="00164ADE" w:rsidP="00164ADE">
      <w:pPr>
        <w:pStyle w:val="PiedepginaLegal"/>
      </w:pPr>
      <w:r>
        <w:t xml:space="preserve">10. </w:t>
      </w:r>
      <w:r>
        <w:tab/>
      </w:r>
      <w:proofErr w:type="spellStart"/>
      <w:r w:rsidRPr="003432C3">
        <w:rPr>
          <w:i/>
          <w:iCs/>
        </w:rPr>
        <w:t>Aṅgīrasa</w:t>
      </w:r>
      <w:proofErr w:type="spellEnd"/>
      <w:r>
        <w:t>—“</w:t>
      </w:r>
      <w:r w:rsidR="00951DC7">
        <w:t>E</w:t>
      </w:r>
      <w:r>
        <w:t xml:space="preserve">l de los </w:t>
      </w:r>
      <w:r w:rsidR="00951DC7">
        <w:t xml:space="preserve">Miembros </w:t>
      </w:r>
      <w:r w:rsidR="005C1899">
        <w:t>Resplandecientes</w:t>
      </w:r>
      <w:r>
        <w:t xml:space="preserve">”: uno de los epítetos del </w:t>
      </w:r>
      <w:r w:rsidR="00057BF4" w:rsidRPr="00057BF4">
        <w:rPr>
          <w:i/>
        </w:rPr>
        <w:t>Buddha</w:t>
      </w:r>
      <w:r>
        <w:t xml:space="preserve">. No en </w:t>
      </w:r>
      <w:r w:rsidR="00951DC7">
        <w:t xml:space="preserve">el </w:t>
      </w:r>
      <w:r>
        <w:t>PED; véase A III 239.</w:t>
      </w:r>
    </w:p>
    <w:p w14:paraId="570CBA0C" w14:textId="77777777" w:rsidR="008C3F30" w:rsidRDefault="008C3F30">
      <w:pPr>
        <w:tabs>
          <w:tab w:val="clear" w:pos="425"/>
        </w:tabs>
        <w:spacing w:after="160"/>
      </w:pPr>
      <w:r>
        <w:br w:type="page"/>
      </w:r>
    </w:p>
    <w:p w14:paraId="1FB6F593" w14:textId="77777777" w:rsidR="008C3F30" w:rsidRDefault="008C3F30" w:rsidP="008C3F30"/>
    <w:p w14:paraId="729D9FDF" w14:textId="525742FE" w:rsidR="008C3F30" w:rsidRDefault="008C3F30" w:rsidP="008C3F30">
      <w:r>
        <w:t xml:space="preserve">63. </w:t>
      </w:r>
      <w:r>
        <w:tab/>
        <w:t xml:space="preserve">Entonces el </w:t>
      </w:r>
      <w:r w:rsidR="00D767AA">
        <w:rPr>
          <w:i/>
          <w:iCs/>
        </w:rPr>
        <w:t>Bhagavā</w:t>
      </w:r>
      <w:r w:rsidR="00D767AA">
        <w:t xml:space="preserve"> </w:t>
      </w:r>
      <w:r>
        <w:t xml:space="preserve">pronunció estas estrofas </w:t>
      </w:r>
      <w:r w:rsidR="00940238">
        <w:t>lúcidas</w:t>
      </w:r>
      <w:r>
        <w:t>:</w:t>
      </w:r>
    </w:p>
    <w:p w14:paraId="240B27B3" w14:textId="092FF0BB" w:rsidR="008C3F30" w:rsidRPr="00D767AA" w:rsidRDefault="008C3F30" w:rsidP="008C3F30">
      <w:pPr>
        <w:pStyle w:val="VersoIngls01Sangria"/>
        <w:rPr>
          <w:sz w:val="16"/>
          <w:szCs w:val="20"/>
        </w:rPr>
      </w:pPr>
      <w:r w:rsidRPr="00D767AA">
        <w:rPr>
          <w:sz w:val="16"/>
          <w:szCs w:val="20"/>
        </w:rPr>
        <w:t xml:space="preserve">Ahora la codicia, no el polvo, </w:t>
      </w:r>
      <w:r w:rsidR="00950E45">
        <w:rPr>
          <w:sz w:val="16"/>
          <w:szCs w:val="20"/>
        </w:rPr>
        <w:t>corresponde</w:t>
      </w:r>
      <w:r w:rsidR="00CD1361" w:rsidRPr="00D767AA">
        <w:rPr>
          <w:sz w:val="16"/>
          <w:szCs w:val="20"/>
        </w:rPr>
        <w:t xml:space="preserve"> </w:t>
      </w:r>
      <w:r w:rsidR="00950E45">
        <w:rPr>
          <w:sz w:val="16"/>
          <w:szCs w:val="20"/>
        </w:rPr>
        <w:t xml:space="preserve">a </w:t>
      </w:r>
      <w:r w:rsidRPr="00D767AA">
        <w:rPr>
          <w:sz w:val="16"/>
          <w:szCs w:val="20"/>
        </w:rPr>
        <w:t>lo que llamamos "suciedad",</w:t>
      </w:r>
    </w:p>
    <w:p w14:paraId="5AFEB0E7" w14:textId="495307ED" w:rsidR="008C3F30" w:rsidRPr="00D767AA" w:rsidRDefault="008C3F30" w:rsidP="008C3F30">
      <w:pPr>
        <w:pStyle w:val="VersoIngls01Sangria"/>
        <w:rPr>
          <w:sz w:val="16"/>
          <w:szCs w:val="20"/>
        </w:rPr>
      </w:pPr>
      <w:r w:rsidRPr="00D767AA">
        <w:rPr>
          <w:sz w:val="16"/>
          <w:szCs w:val="20"/>
        </w:rPr>
        <w:t xml:space="preserve">Y “suciedad” </w:t>
      </w:r>
      <w:r w:rsidR="00940238">
        <w:rPr>
          <w:sz w:val="16"/>
          <w:szCs w:val="20"/>
        </w:rPr>
        <w:t xml:space="preserve">será </w:t>
      </w:r>
      <w:r w:rsidR="000912CF" w:rsidRPr="00D767AA">
        <w:rPr>
          <w:sz w:val="16"/>
          <w:szCs w:val="20"/>
        </w:rPr>
        <w:t>solo un término u</w:t>
      </w:r>
      <w:r w:rsidR="000912CF">
        <w:rPr>
          <w:sz w:val="16"/>
          <w:szCs w:val="20"/>
        </w:rPr>
        <w:t>tiliz</w:t>
      </w:r>
      <w:r w:rsidR="000912CF" w:rsidRPr="00D767AA">
        <w:rPr>
          <w:sz w:val="16"/>
          <w:szCs w:val="20"/>
        </w:rPr>
        <w:t xml:space="preserve">ado para </w:t>
      </w:r>
      <w:r w:rsidRPr="00D767AA">
        <w:rPr>
          <w:sz w:val="16"/>
          <w:szCs w:val="20"/>
        </w:rPr>
        <w:t>la codicia;</w:t>
      </w:r>
    </w:p>
    <w:p w14:paraId="77D57491" w14:textId="140B2179" w:rsidR="008C3F30" w:rsidRPr="00D767AA" w:rsidRDefault="008C3F30" w:rsidP="008C3F30">
      <w:pPr>
        <w:pStyle w:val="VersoIngls01Sangria"/>
        <w:rPr>
          <w:sz w:val="16"/>
          <w:szCs w:val="20"/>
        </w:rPr>
      </w:pPr>
      <w:r w:rsidRPr="00D767AA">
        <w:rPr>
          <w:sz w:val="16"/>
          <w:szCs w:val="20"/>
        </w:rPr>
        <w:t xml:space="preserve">Esta codicia la rechazan los sabios, y </w:t>
      </w:r>
      <w:r w:rsidR="00CD1361">
        <w:rPr>
          <w:sz w:val="16"/>
          <w:szCs w:val="20"/>
        </w:rPr>
        <w:t>habitan</w:t>
      </w:r>
    </w:p>
    <w:p w14:paraId="52E5D908" w14:textId="43E00ED9" w:rsidR="008C3F30" w:rsidRPr="00D767AA" w:rsidRDefault="00CD1361" w:rsidP="008C3F30">
      <w:pPr>
        <w:pStyle w:val="VersoIngls01Sangria"/>
        <w:rPr>
          <w:sz w:val="16"/>
          <w:szCs w:val="20"/>
        </w:rPr>
      </w:pPr>
      <w:r>
        <w:rPr>
          <w:sz w:val="16"/>
          <w:szCs w:val="20"/>
        </w:rPr>
        <w:t xml:space="preserve">Observando </w:t>
      </w:r>
      <w:r w:rsidR="008C3F30" w:rsidRPr="00D767AA">
        <w:rPr>
          <w:sz w:val="16"/>
          <w:szCs w:val="20"/>
        </w:rPr>
        <w:t xml:space="preserve">la Ley del que no </w:t>
      </w:r>
      <w:r>
        <w:rPr>
          <w:sz w:val="16"/>
          <w:szCs w:val="20"/>
        </w:rPr>
        <w:t>pose</w:t>
      </w:r>
      <w:r w:rsidR="00940238">
        <w:rPr>
          <w:sz w:val="16"/>
          <w:szCs w:val="20"/>
        </w:rPr>
        <w:t>a</w:t>
      </w:r>
      <w:r>
        <w:rPr>
          <w:sz w:val="16"/>
          <w:szCs w:val="20"/>
        </w:rPr>
        <w:t xml:space="preserve"> </w:t>
      </w:r>
      <w:r w:rsidR="008C3F30" w:rsidRPr="00D767AA">
        <w:rPr>
          <w:sz w:val="16"/>
          <w:szCs w:val="20"/>
        </w:rPr>
        <w:t>codicia.</w:t>
      </w:r>
    </w:p>
    <w:p w14:paraId="56C3F992" w14:textId="1346AA04" w:rsidR="008C3F30" w:rsidRPr="00D767AA" w:rsidRDefault="008C3F30" w:rsidP="008C3F30">
      <w:pPr>
        <w:pStyle w:val="VersoIngls01Sangria"/>
        <w:rPr>
          <w:sz w:val="16"/>
          <w:szCs w:val="20"/>
        </w:rPr>
      </w:pPr>
      <w:r w:rsidRPr="00D767AA">
        <w:rPr>
          <w:sz w:val="16"/>
          <w:szCs w:val="20"/>
        </w:rPr>
        <w:t xml:space="preserve">Ahora el odio, no el polvo, </w:t>
      </w:r>
      <w:r w:rsidR="00950E45">
        <w:rPr>
          <w:sz w:val="16"/>
          <w:szCs w:val="20"/>
        </w:rPr>
        <w:t>corresponde</w:t>
      </w:r>
      <w:r w:rsidR="00950E45" w:rsidRPr="00D767AA">
        <w:rPr>
          <w:sz w:val="16"/>
          <w:szCs w:val="20"/>
        </w:rPr>
        <w:t xml:space="preserve"> </w:t>
      </w:r>
      <w:r w:rsidR="00950E45">
        <w:rPr>
          <w:sz w:val="16"/>
          <w:szCs w:val="20"/>
        </w:rPr>
        <w:t xml:space="preserve">a </w:t>
      </w:r>
      <w:r w:rsidRPr="00D767AA">
        <w:rPr>
          <w:sz w:val="16"/>
          <w:szCs w:val="20"/>
        </w:rPr>
        <w:t>lo que llamamos "suciedad",</w:t>
      </w:r>
    </w:p>
    <w:p w14:paraId="374A44EF" w14:textId="77777777" w:rsidR="008C3F30" w:rsidRPr="00D767AA" w:rsidRDefault="008C3F30" w:rsidP="008C3F30">
      <w:pPr>
        <w:pStyle w:val="VersoIngls01Sangria"/>
        <w:rPr>
          <w:sz w:val="16"/>
          <w:szCs w:val="20"/>
        </w:rPr>
      </w:pPr>
      <w:r w:rsidRPr="00D767AA">
        <w:rPr>
          <w:sz w:val="16"/>
          <w:szCs w:val="20"/>
        </w:rPr>
        <w:t>… … …</w:t>
      </w:r>
    </w:p>
    <w:p w14:paraId="37435812" w14:textId="42D93061" w:rsidR="008C3F30" w:rsidRPr="00D767AA" w:rsidRDefault="00950E45" w:rsidP="008C3F30">
      <w:pPr>
        <w:pStyle w:val="VersoIngls01Sangria"/>
        <w:rPr>
          <w:sz w:val="16"/>
          <w:szCs w:val="20"/>
        </w:rPr>
      </w:pPr>
      <w:r>
        <w:rPr>
          <w:sz w:val="16"/>
          <w:szCs w:val="20"/>
        </w:rPr>
        <w:t>A</w:t>
      </w:r>
      <w:r w:rsidR="00940238">
        <w:rPr>
          <w:sz w:val="16"/>
          <w:szCs w:val="20"/>
        </w:rPr>
        <w:t xml:space="preserve"> </w:t>
      </w:r>
      <w:r>
        <w:rPr>
          <w:sz w:val="16"/>
          <w:szCs w:val="20"/>
        </w:rPr>
        <w:t>l</w:t>
      </w:r>
      <w:r w:rsidR="00940238">
        <w:rPr>
          <w:sz w:val="16"/>
          <w:szCs w:val="20"/>
        </w:rPr>
        <w:t>a</w:t>
      </w:r>
      <w:r>
        <w:rPr>
          <w:sz w:val="16"/>
          <w:szCs w:val="20"/>
        </w:rPr>
        <w:t xml:space="preserve"> </w:t>
      </w:r>
      <w:r w:rsidR="008C3F30" w:rsidRPr="00D767AA">
        <w:rPr>
          <w:sz w:val="16"/>
          <w:szCs w:val="20"/>
        </w:rPr>
        <w:t xml:space="preserve">Ilusión también, no </w:t>
      </w:r>
      <w:r w:rsidR="00940238">
        <w:rPr>
          <w:sz w:val="16"/>
          <w:szCs w:val="20"/>
        </w:rPr>
        <w:t xml:space="preserve">al </w:t>
      </w:r>
      <w:r w:rsidR="008C3F30" w:rsidRPr="00D767AA">
        <w:rPr>
          <w:sz w:val="16"/>
          <w:szCs w:val="20"/>
        </w:rPr>
        <w:t>polvo</w:t>
      </w:r>
      <w:r>
        <w:rPr>
          <w:sz w:val="16"/>
          <w:szCs w:val="20"/>
        </w:rPr>
        <w:t xml:space="preserve">, </w:t>
      </w:r>
      <w:r w:rsidR="000912CF">
        <w:rPr>
          <w:sz w:val="16"/>
          <w:szCs w:val="20"/>
        </w:rPr>
        <w:t>corresponde</w:t>
      </w:r>
      <w:r w:rsidR="000912CF" w:rsidRPr="00D767AA">
        <w:rPr>
          <w:sz w:val="16"/>
          <w:szCs w:val="20"/>
        </w:rPr>
        <w:t xml:space="preserve"> </w:t>
      </w:r>
      <w:r w:rsidR="000912CF">
        <w:rPr>
          <w:sz w:val="16"/>
          <w:szCs w:val="20"/>
        </w:rPr>
        <w:t>a</w:t>
      </w:r>
      <w:r w:rsidR="008C3F30" w:rsidRPr="00D767AA">
        <w:rPr>
          <w:sz w:val="16"/>
          <w:szCs w:val="20"/>
        </w:rPr>
        <w:t xml:space="preserve"> lo que llamamos “suciedad”,</w:t>
      </w:r>
    </w:p>
    <w:p w14:paraId="2D967CD0" w14:textId="0EC5F3A8" w:rsidR="008C3F30" w:rsidRPr="00D767AA" w:rsidRDefault="008C3F30" w:rsidP="008C3F30">
      <w:pPr>
        <w:pStyle w:val="VersoIngls01Sangria"/>
        <w:rPr>
          <w:sz w:val="16"/>
          <w:szCs w:val="20"/>
        </w:rPr>
      </w:pPr>
      <w:r w:rsidRPr="00D767AA">
        <w:rPr>
          <w:sz w:val="16"/>
          <w:szCs w:val="20"/>
        </w:rPr>
        <w:t xml:space="preserve">Y </w:t>
      </w:r>
      <w:r w:rsidR="000912CF">
        <w:rPr>
          <w:sz w:val="16"/>
          <w:szCs w:val="20"/>
        </w:rPr>
        <w:t xml:space="preserve">la </w:t>
      </w:r>
      <w:r w:rsidRPr="00D767AA">
        <w:rPr>
          <w:sz w:val="16"/>
          <w:szCs w:val="20"/>
        </w:rPr>
        <w:t>“suciedad” es solo un término u</w:t>
      </w:r>
      <w:r w:rsidR="000912CF">
        <w:rPr>
          <w:sz w:val="16"/>
          <w:szCs w:val="20"/>
        </w:rPr>
        <w:t>tiliz</w:t>
      </w:r>
      <w:r w:rsidRPr="00D767AA">
        <w:rPr>
          <w:sz w:val="16"/>
          <w:szCs w:val="20"/>
        </w:rPr>
        <w:t xml:space="preserve">ado para </w:t>
      </w:r>
      <w:r w:rsidR="000912CF">
        <w:rPr>
          <w:sz w:val="16"/>
          <w:szCs w:val="20"/>
        </w:rPr>
        <w:t>la ilusión</w:t>
      </w:r>
      <w:r w:rsidRPr="00D767AA">
        <w:rPr>
          <w:sz w:val="16"/>
          <w:szCs w:val="20"/>
        </w:rPr>
        <w:t>;</w:t>
      </w:r>
    </w:p>
    <w:p w14:paraId="013EFBFA" w14:textId="47C03501" w:rsidR="008C3F30" w:rsidRPr="00D767AA" w:rsidRDefault="000912CF" w:rsidP="008C3F30">
      <w:pPr>
        <w:pStyle w:val="VersoIngls01Sangria"/>
        <w:rPr>
          <w:sz w:val="16"/>
          <w:szCs w:val="20"/>
        </w:rPr>
      </w:pPr>
      <w:r>
        <w:rPr>
          <w:sz w:val="16"/>
          <w:szCs w:val="20"/>
        </w:rPr>
        <w:t>Esta ilusión</w:t>
      </w:r>
      <w:r w:rsidR="008C3F30" w:rsidRPr="00D767AA">
        <w:rPr>
          <w:sz w:val="16"/>
          <w:szCs w:val="20"/>
        </w:rPr>
        <w:t xml:space="preserve"> los sabios rechazan, y </w:t>
      </w:r>
      <w:r w:rsidR="00DB6B79">
        <w:rPr>
          <w:sz w:val="16"/>
          <w:szCs w:val="20"/>
        </w:rPr>
        <w:t>habitan</w:t>
      </w:r>
    </w:p>
    <w:p w14:paraId="68555313" w14:textId="667F71B2" w:rsidR="008C3F30" w:rsidRPr="00D767AA" w:rsidRDefault="00DB6B79" w:rsidP="008C3F30">
      <w:pPr>
        <w:pStyle w:val="VersoIngls01Sangria"/>
        <w:spacing w:after="100"/>
        <w:ind w:left="1418"/>
        <w:rPr>
          <w:sz w:val="16"/>
          <w:szCs w:val="20"/>
        </w:rPr>
      </w:pPr>
      <w:r>
        <w:rPr>
          <w:sz w:val="16"/>
          <w:szCs w:val="20"/>
        </w:rPr>
        <w:t>Observando</w:t>
      </w:r>
      <w:r w:rsidR="008C3F30" w:rsidRPr="00D767AA">
        <w:rPr>
          <w:sz w:val="16"/>
          <w:szCs w:val="20"/>
        </w:rPr>
        <w:t xml:space="preserve"> el </w:t>
      </w:r>
      <w:r w:rsidR="00057BF4" w:rsidRPr="00D767AA">
        <w:rPr>
          <w:i/>
          <w:sz w:val="16"/>
          <w:szCs w:val="20"/>
        </w:rPr>
        <w:t>Dhamma</w:t>
      </w:r>
      <w:r w:rsidR="008C3F30" w:rsidRPr="00D767AA">
        <w:rPr>
          <w:sz w:val="16"/>
          <w:szCs w:val="20"/>
        </w:rPr>
        <w:t xml:space="preserve"> de </w:t>
      </w:r>
      <w:r w:rsidR="00597498" w:rsidRPr="00D767AA">
        <w:rPr>
          <w:sz w:val="16"/>
          <w:szCs w:val="20"/>
        </w:rPr>
        <w:t xml:space="preserve">Él </w:t>
      </w:r>
      <w:r w:rsidR="008C3F30" w:rsidRPr="00D767AA">
        <w:rPr>
          <w:sz w:val="16"/>
          <w:szCs w:val="20"/>
        </w:rPr>
        <w:t xml:space="preserve">sin </w:t>
      </w:r>
      <w:r>
        <w:rPr>
          <w:sz w:val="16"/>
          <w:szCs w:val="20"/>
        </w:rPr>
        <w:t xml:space="preserve">ninguna ilusión </w:t>
      </w:r>
      <w:r w:rsidR="008C3F30" w:rsidRPr="00D767AA">
        <w:rPr>
          <w:sz w:val="16"/>
          <w:szCs w:val="20"/>
        </w:rPr>
        <w:t>(</w:t>
      </w:r>
      <w:proofErr w:type="spellStart"/>
      <w:r w:rsidR="008C3F30" w:rsidRPr="00D767AA">
        <w:rPr>
          <w:sz w:val="16"/>
          <w:szCs w:val="20"/>
        </w:rPr>
        <w:t>Nidd</w:t>
      </w:r>
      <w:proofErr w:type="spellEnd"/>
      <w:r w:rsidR="008C3F30" w:rsidRPr="00D767AA">
        <w:rPr>
          <w:sz w:val="16"/>
          <w:szCs w:val="20"/>
        </w:rPr>
        <w:t xml:space="preserve"> I 505). [389]</w:t>
      </w:r>
    </w:p>
    <w:p w14:paraId="2C60F505" w14:textId="77B56847" w:rsidR="008C3F30" w:rsidRDefault="008C3F30" w:rsidP="008C3F30">
      <w:pPr>
        <w:pStyle w:val="NormalConSangria"/>
      </w:pPr>
      <w:r>
        <w:t xml:space="preserve">Cuando terminaron las estrofas, el Venerable </w:t>
      </w:r>
      <w:proofErr w:type="spellStart"/>
      <w:r>
        <w:t>Cūḷa-Panthaka</w:t>
      </w:r>
      <w:proofErr w:type="spellEnd"/>
      <w:r>
        <w:t xml:space="preserve"> </w:t>
      </w:r>
      <w:r w:rsidR="00FB60EC">
        <w:t>tuvo</w:t>
      </w:r>
      <w:r>
        <w:t xml:space="preserve"> a</w:t>
      </w:r>
      <w:r w:rsidR="00FB60EC">
        <w:t>nte</w:t>
      </w:r>
      <w:r>
        <w:t xml:space="preserve"> su disposición los nueve estados supramundanos </w:t>
      </w:r>
      <w:r w:rsidR="00FB60EC">
        <w:t>asistidos</w:t>
      </w:r>
      <w:r>
        <w:t xml:space="preserve"> por las cuatro discriminaciones y las seis clases de conocimiento directo.</w:t>
      </w:r>
    </w:p>
    <w:p w14:paraId="1EA47C16" w14:textId="3C9FD517" w:rsidR="008C3F30" w:rsidRDefault="008C3F30" w:rsidP="008C3F30">
      <w:r>
        <w:t xml:space="preserve">64. </w:t>
      </w:r>
      <w:r>
        <w:tab/>
        <w:t xml:space="preserve">Al día siguiente, el Maestro fue a la casa de </w:t>
      </w:r>
      <w:proofErr w:type="spellStart"/>
      <w:r w:rsidR="00FB60EC">
        <w:t>Jīvaka</w:t>
      </w:r>
      <w:proofErr w:type="spellEnd"/>
      <w:r w:rsidR="00FB60EC">
        <w:t xml:space="preserve"> </w:t>
      </w:r>
      <w:r>
        <w:t xml:space="preserve">junto con la Comunidad de </w:t>
      </w:r>
      <w:proofErr w:type="spellStart"/>
      <w:r w:rsidR="00057BF4" w:rsidRPr="00057BF4">
        <w:rPr>
          <w:i/>
        </w:rPr>
        <w:t>Bhikkhu</w:t>
      </w:r>
      <w:r>
        <w:t>s</w:t>
      </w:r>
      <w:proofErr w:type="spellEnd"/>
      <w:r>
        <w:t>. Luego, cuando se repartían las gachas al final de la ceremonia de ofrenda de agua,</w:t>
      </w:r>
      <w:r w:rsidRPr="009C7A89">
        <w:rPr>
          <w:vertAlign w:val="superscript"/>
        </w:rPr>
        <w:t>11</w:t>
      </w:r>
      <w:r>
        <w:t xml:space="preserve"> </w:t>
      </w:r>
      <w:r w:rsidR="00597498">
        <w:t xml:space="preserve">el </w:t>
      </w:r>
      <w:r w:rsidR="00597498" w:rsidRPr="00597498">
        <w:rPr>
          <w:i/>
          <w:iCs/>
        </w:rPr>
        <w:t>Bhagavā</w:t>
      </w:r>
      <w:r w:rsidR="00597498">
        <w:t xml:space="preserve"> </w:t>
      </w:r>
      <w:r>
        <w:t xml:space="preserve">tapó su cuenco. </w:t>
      </w:r>
      <w:proofErr w:type="spellStart"/>
      <w:r>
        <w:t>Jīvaka</w:t>
      </w:r>
      <w:proofErr w:type="spellEnd"/>
      <w:r>
        <w:t xml:space="preserve"> preguntó: "¿Qué sucede, </w:t>
      </w:r>
      <w:r w:rsidR="0013652F">
        <w:t>Venerable Señor</w:t>
      </w:r>
      <w:r>
        <w:t xml:space="preserve">?" - "Hay un </w:t>
      </w:r>
      <w:proofErr w:type="spellStart"/>
      <w:r w:rsidR="00057BF4" w:rsidRPr="00057BF4">
        <w:rPr>
          <w:i/>
        </w:rPr>
        <w:t>bhikkhu</w:t>
      </w:r>
      <w:proofErr w:type="spellEnd"/>
      <w:r>
        <w:t xml:space="preserve"> en el monasterio". E</w:t>
      </w:r>
      <w:r w:rsidR="0013652F">
        <w:t xml:space="preserve">ntonces él </w:t>
      </w:r>
      <w:r w:rsidR="00E52C43">
        <w:t>mandó llamar</w:t>
      </w:r>
      <w:r>
        <w:t xml:space="preserve"> a un hombre, diciéndole: “V</w:t>
      </w:r>
      <w:r w:rsidR="0013652F">
        <w:t>aya</w:t>
      </w:r>
      <w:r>
        <w:t xml:space="preserve"> y vuelv</w:t>
      </w:r>
      <w:r w:rsidR="0013652F">
        <w:t>a</w:t>
      </w:r>
      <w:r>
        <w:t xml:space="preserve"> pronto con el Señor”.</w:t>
      </w:r>
    </w:p>
    <w:p w14:paraId="27392578" w14:textId="68BA3E12" w:rsidR="008C3F30" w:rsidRDefault="008C3F30" w:rsidP="008C3F30">
      <w:r>
        <w:t xml:space="preserve">65. </w:t>
      </w:r>
      <w:r>
        <w:tab/>
        <w:t xml:space="preserve">Cuando el </w:t>
      </w:r>
      <w:r w:rsidR="0013652F">
        <w:rPr>
          <w:i/>
          <w:iCs/>
        </w:rPr>
        <w:t>Bhagavā</w:t>
      </w:r>
      <w:r w:rsidR="0013652F">
        <w:t xml:space="preserve"> </w:t>
      </w:r>
      <w:r>
        <w:t>hubo dejado el monasterio:</w:t>
      </w:r>
    </w:p>
    <w:p w14:paraId="565F3F63" w14:textId="77777777" w:rsidR="008C3F30" w:rsidRPr="0013652F" w:rsidRDefault="008C3F30" w:rsidP="008C3F30">
      <w:pPr>
        <w:pStyle w:val="VersoIngls01Sangria"/>
        <w:rPr>
          <w:sz w:val="16"/>
          <w:szCs w:val="20"/>
        </w:rPr>
      </w:pPr>
      <w:r w:rsidRPr="0013652F">
        <w:rPr>
          <w:sz w:val="16"/>
          <w:szCs w:val="20"/>
        </w:rPr>
        <w:t>Ahora bien, habiéndose multiplicado</w:t>
      </w:r>
    </w:p>
    <w:p w14:paraId="1F0FAE28" w14:textId="5E669FA8" w:rsidR="008C3F30" w:rsidRPr="0013652F" w:rsidRDefault="008C3F30" w:rsidP="008C3F30">
      <w:pPr>
        <w:pStyle w:val="VersoIngls01Sangria"/>
        <w:rPr>
          <w:sz w:val="16"/>
          <w:szCs w:val="20"/>
        </w:rPr>
      </w:pPr>
      <w:r w:rsidRPr="0013652F">
        <w:rPr>
          <w:sz w:val="16"/>
          <w:szCs w:val="20"/>
        </w:rPr>
        <w:t xml:space="preserve">Hasta </w:t>
      </w:r>
      <w:r w:rsidR="00FD7033">
        <w:rPr>
          <w:sz w:val="16"/>
          <w:szCs w:val="20"/>
        </w:rPr>
        <w:t xml:space="preserve">en </w:t>
      </w:r>
      <w:r w:rsidRPr="0013652F">
        <w:rPr>
          <w:sz w:val="16"/>
          <w:szCs w:val="20"/>
        </w:rPr>
        <w:t>mil</w:t>
      </w:r>
      <w:r w:rsidR="00FD7033">
        <w:rPr>
          <w:sz w:val="16"/>
          <w:szCs w:val="20"/>
        </w:rPr>
        <w:t xml:space="preserve"> cuerpos</w:t>
      </w:r>
      <w:r w:rsidRPr="0013652F">
        <w:rPr>
          <w:sz w:val="16"/>
          <w:szCs w:val="20"/>
        </w:rPr>
        <w:t xml:space="preserve">, </w:t>
      </w:r>
      <w:proofErr w:type="spellStart"/>
      <w:r w:rsidRPr="0013652F">
        <w:rPr>
          <w:sz w:val="16"/>
          <w:szCs w:val="20"/>
        </w:rPr>
        <w:t>Panthaka</w:t>
      </w:r>
      <w:proofErr w:type="spellEnd"/>
    </w:p>
    <w:p w14:paraId="3798EB4E" w14:textId="2343534B" w:rsidR="008C3F30" w:rsidRPr="0013652F" w:rsidRDefault="008C3F30" w:rsidP="008C3F30">
      <w:pPr>
        <w:pStyle w:val="VersoIngls01Sangria"/>
        <w:rPr>
          <w:sz w:val="16"/>
          <w:szCs w:val="20"/>
        </w:rPr>
      </w:pPr>
      <w:r w:rsidRPr="0013652F">
        <w:rPr>
          <w:sz w:val="16"/>
          <w:szCs w:val="20"/>
        </w:rPr>
        <w:t>S</w:t>
      </w:r>
      <w:r w:rsidR="00FD7033">
        <w:rPr>
          <w:sz w:val="16"/>
          <w:szCs w:val="20"/>
        </w:rPr>
        <w:t>e s</w:t>
      </w:r>
      <w:r w:rsidRPr="0013652F">
        <w:rPr>
          <w:sz w:val="16"/>
          <w:szCs w:val="20"/>
        </w:rPr>
        <w:t>en</w:t>
      </w:r>
      <w:r w:rsidR="00FD7033">
        <w:rPr>
          <w:sz w:val="16"/>
          <w:szCs w:val="20"/>
        </w:rPr>
        <w:t>tó</w:t>
      </w:r>
      <w:r w:rsidRPr="0013652F">
        <w:rPr>
          <w:sz w:val="16"/>
          <w:szCs w:val="20"/>
        </w:rPr>
        <w:t xml:space="preserve"> en la agradable madera de mango</w:t>
      </w:r>
    </w:p>
    <w:p w14:paraId="0087E0B6" w14:textId="500503DE" w:rsidR="008C3F30" w:rsidRPr="0013652F" w:rsidRDefault="008C3F30" w:rsidP="008C3F30">
      <w:pPr>
        <w:pStyle w:val="VersoIngls01Sangria"/>
        <w:spacing w:after="100"/>
        <w:ind w:left="1418"/>
        <w:rPr>
          <w:sz w:val="16"/>
          <w:szCs w:val="20"/>
        </w:rPr>
      </w:pPr>
      <w:r w:rsidRPr="0013652F">
        <w:rPr>
          <w:sz w:val="16"/>
          <w:szCs w:val="20"/>
        </w:rPr>
        <w:t xml:space="preserve">hasta que </w:t>
      </w:r>
      <w:r w:rsidR="00345903">
        <w:rPr>
          <w:sz w:val="16"/>
          <w:szCs w:val="20"/>
        </w:rPr>
        <w:t xml:space="preserve">la hora </w:t>
      </w:r>
      <w:r w:rsidR="00943C98">
        <w:rPr>
          <w:sz w:val="16"/>
          <w:szCs w:val="20"/>
        </w:rPr>
        <w:t>de</w:t>
      </w:r>
      <w:r w:rsidR="00345903">
        <w:rPr>
          <w:sz w:val="16"/>
          <w:szCs w:val="20"/>
        </w:rPr>
        <w:t xml:space="preserve"> la comida </w:t>
      </w:r>
      <w:r w:rsidR="00943C98">
        <w:rPr>
          <w:sz w:val="16"/>
          <w:szCs w:val="20"/>
        </w:rPr>
        <w:t xml:space="preserve">debiera anunciarse </w:t>
      </w:r>
      <w:r w:rsidRPr="0013652F">
        <w:rPr>
          <w:sz w:val="16"/>
          <w:szCs w:val="20"/>
        </w:rPr>
        <w:t>(Tom 563).</w:t>
      </w:r>
    </w:p>
    <w:p w14:paraId="77C463A1" w14:textId="73FC393B" w:rsidR="008C3F30" w:rsidRDefault="008C3F30" w:rsidP="008C3F30">
      <w:r>
        <w:t xml:space="preserve">66. </w:t>
      </w:r>
      <w:r>
        <w:tab/>
        <w:t xml:space="preserve">Cuando el hombre fue y vio todo el monasterio resplandeciendo de amarillo, regresó y dijo: “Venerable </w:t>
      </w:r>
      <w:r w:rsidR="00943C98">
        <w:t>Señor</w:t>
      </w:r>
      <w:r>
        <w:t xml:space="preserve">, el monasterio está </w:t>
      </w:r>
      <w:r w:rsidR="00943C98">
        <w:t>lleno</w:t>
      </w:r>
      <w:r>
        <w:t xml:space="preserve"> de </w:t>
      </w:r>
      <w:proofErr w:type="spellStart"/>
      <w:r w:rsidR="00057BF4" w:rsidRPr="00057BF4">
        <w:rPr>
          <w:i/>
        </w:rPr>
        <w:t>bhikkhu</w:t>
      </w:r>
      <w:r>
        <w:t>s</w:t>
      </w:r>
      <w:proofErr w:type="spellEnd"/>
      <w:r>
        <w:t xml:space="preserve">. No sé cuál de ellos es el </w:t>
      </w:r>
      <w:r w:rsidR="00943C98">
        <w:t>Señor en cuestión</w:t>
      </w:r>
      <w:r>
        <w:t xml:space="preserve">. Entonces el </w:t>
      </w:r>
      <w:r w:rsidR="00943C98">
        <w:rPr>
          <w:i/>
          <w:iCs/>
        </w:rPr>
        <w:t>Bhagavā</w:t>
      </w:r>
      <w:r w:rsidR="00943C98">
        <w:t xml:space="preserve"> </w:t>
      </w:r>
      <w:r>
        <w:t>dijo: “V</w:t>
      </w:r>
      <w:r w:rsidR="00943C98">
        <w:t>aya</w:t>
      </w:r>
      <w:r>
        <w:t xml:space="preserve"> y agarr</w:t>
      </w:r>
      <w:r w:rsidR="00943C98">
        <w:t>e</w:t>
      </w:r>
      <w:r>
        <w:t xml:space="preserve"> el borde del </w:t>
      </w:r>
      <w:r w:rsidR="00943C98">
        <w:t>ropaje</w:t>
      </w:r>
      <w:r>
        <w:t xml:space="preserve"> del primero que vea, </w:t>
      </w:r>
      <w:r w:rsidR="00943C98">
        <w:t xml:space="preserve">y </w:t>
      </w:r>
      <w:r>
        <w:t>d</w:t>
      </w:r>
      <w:r w:rsidR="00943C98">
        <w:t>íga</w:t>
      </w:r>
      <w:r>
        <w:t xml:space="preserve">le: ‘El Maestro </w:t>
      </w:r>
      <w:r w:rsidR="00943C98">
        <w:t>lo</w:t>
      </w:r>
      <w:r>
        <w:t xml:space="preserve"> llama’ y trá</w:t>
      </w:r>
      <w:r w:rsidR="00943C98">
        <w:t>iga</w:t>
      </w:r>
      <w:r>
        <w:t xml:space="preserve">lo aquí”. </w:t>
      </w:r>
      <w:r w:rsidR="00943C98">
        <w:t>El hombre f</w:t>
      </w:r>
      <w:r>
        <w:t xml:space="preserve">ue y agarró </w:t>
      </w:r>
      <w:r w:rsidR="00943C98">
        <w:t xml:space="preserve">del ropaje </w:t>
      </w:r>
      <w:r>
        <w:t xml:space="preserve">del </w:t>
      </w:r>
      <w:r w:rsidR="00943C98">
        <w:t>Venerable</w:t>
      </w:r>
      <w:r>
        <w:t xml:space="preserve">. A la vez todas las creaciones se desvanecieron. El </w:t>
      </w:r>
      <w:r w:rsidR="00943C98">
        <w:t xml:space="preserve">Venerable </w:t>
      </w:r>
      <w:r>
        <w:t xml:space="preserve">lo despidió diciendo: “Puede </w:t>
      </w:r>
      <w:r w:rsidR="00943C98">
        <w:t>retirarse</w:t>
      </w:r>
      <w:r>
        <w:t xml:space="preserve">”, y cuando terminó de atender sus necesidades corporales, como lavarse la boca, llegó primero y se sentó en </w:t>
      </w:r>
      <w:r w:rsidR="00AC50B6">
        <w:t>un</w:t>
      </w:r>
      <w:r>
        <w:t xml:space="preserve"> asiento preparado.</w:t>
      </w:r>
    </w:p>
    <w:p w14:paraId="442F1C90" w14:textId="77777777" w:rsidR="008C3F30" w:rsidRDefault="008C3F30" w:rsidP="008C3F30">
      <w:pPr>
        <w:pStyle w:val="NormalConSangria"/>
      </w:pPr>
      <w:r>
        <w:t xml:space="preserve">Fue con referencia a esto que se dijo, “como el Venerable </w:t>
      </w:r>
      <w:proofErr w:type="spellStart"/>
      <w:r>
        <w:t>Cūḷa-Panthaka</w:t>
      </w:r>
      <w:proofErr w:type="spellEnd"/>
      <w:r>
        <w:t>”.</w:t>
      </w:r>
    </w:p>
    <w:p w14:paraId="5E67961B" w14:textId="76CB7357" w:rsidR="008C3F30" w:rsidRDefault="008C3F30" w:rsidP="008C3F30">
      <w:r>
        <w:t xml:space="preserve">67. </w:t>
      </w:r>
      <w:r>
        <w:tab/>
        <w:t xml:space="preserve">Los muchos que fueron creados allí eran </w:t>
      </w:r>
      <w:r w:rsidR="00943C98">
        <w:t>similares</w:t>
      </w:r>
      <w:r>
        <w:t xml:space="preserve"> </w:t>
      </w:r>
      <w:r w:rsidR="00943C98">
        <w:t>a</w:t>
      </w:r>
      <w:r>
        <w:t xml:space="preserve">l poseedor del poder sobrenatural porque fueron creados sin </w:t>
      </w:r>
      <w:r w:rsidR="003D0BEF">
        <w:t xml:space="preserve">una </w:t>
      </w:r>
      <w:r>
        <w:t xml:space="preserve">especificación particular. </w:t>
      </w:r>
      <w:r w:rsidR="00943C98">
        <w:t>En este caso,</w:t>
      </w:r>
      <w:r>
        <w:t xml:space="preserve"> cualquier cosa que haga el poseedor de los poderes sobrenaturales, ya sea que se ponga de pie, se siente, etc., o hable, guarde silencio, etc., </w:t>
      </w:r>
      <w:r w:rsidR="00943C98">
        <w:t xml:space="preserve">también </w:t>
      </w:r>
      <w:r w:rsidR="000C33C0">
        <w:t>lo harán ellos</w:t>
      </w:r>
      <w:r>
        <w:t xml:space="preserve">. Pero si quiere hacerlos diferentes en apariencia, algunos en la primera fase de la vida, algunos en la fase </w:t>
      </w:r>
      <w:r w:rsidR="003D0BEF">
        <w:t>inter</w:t>
      </w:r>
      <w:r>
        <w:t xml:space="preserve">media y algunos en la última fase, y de manera </w:t>
      </w:r>
      <w:r w:rsidR="000C33C0">
        <w:t>di</w:t>
      </w:r>
      <w:r>
        <w:t xml:space="preserve">similar </w:t>
      </w:r>
      <w:r w:rsidR="000C33C0">
        <w:t xml:space="preserve">con </w:t>
      </w:r>
      <w:r>
        <w:t xml:space="preserve">algunos de </w:t>
      </w:r>
      <w:r w:rsidR="000C33C0">
        <w:t xml:space="preserve">cabello </w:t>
      </w:r>
      <w:r>
        <w:t xml:space="preserve">largo, algunos </w:t>
      </w:r>
      <w:proofErr w:type="gramStart"/>
      <w:r>
        <w:t>medio rapados</w:t>
      </w:r>
      <w:proofErr w:type="gramEnd"/>
      <w:r>
        <w:t xml:space="preserve">, algunos afeitados, algunos </w:t>
      </w:r>
      <w:r w:rsidR="000C33C0">
        <w:t>con canas</w:t>
      </w:r>
      <w:r>
        <w:t xml:space="preserve">, algunos con </w:t>
      </w:r>
      <w:r w:rsidR="000C33C0">
        <w:t xml:space="preserve">ropajes </w:t>
      </w:r>
      <w:r>
        <w:t>ligeramente teñid</w:t>
      </w:r>
      <w:r w:rsidR="000C33C0">
        <w:t>o</w:t>
      </w:r>
      <w:r>
        <w:t xml:space="preserve">s, algunos con </w:t>
      </w:r>
      <w:r w:rsidR="000C33C0">
        <w:t xml:space="preserve">ropajes </w:t>
      </w:r>
      <w:r>
        <w:t>muy teñid</w:t>
      </w:r>
      <w:r w:rsidR="000C33C0">
        <w:t>o</w:t>
      </w:r>
      <w:r>
        <w:t xml:space="preserve">s, o exponiendo frases, explicando el </w:t>
      </w:r>
      <w:r w:rsidR="00057BF4" w:rsidRPr="00057BF4">
        <w:rPr>
          <w:i/>
        </w:rPr>
        <w:t>Dhamma</w:t>
      </w:r>
      <w:r>
        <w:t>, entonando, haciendo preguntas,</w:t>
      </w:r>
      <w:r w:rsidR="000C33C0" w:rsidRPr="000C33C0">
        <w:t xml:space="preserve"> </w:t>
      </w:r>
      <w:r w:rsidR="000C33C0">
        <w:t>respondiendo preguntas,</w:t>
      </w:r>
    </w:p>
    <w:p w14:paraId="46F662D3" w14:textId="1222688D" w:rsidR="008C3F30" w:rsidRPr="008C3F30" w:rsidRDefault="008C3F30" w:rsidP="008C3F30">
      <w:pPr>
        <w:pStyle w:val="PiedepginaLegal"/>
        <w:rPr>
          <w:u w:val="single"/>
        </w:rPr>
      </w:pPr>
      <w:r w:rsidRPr="008C3F30">
        <w:rPr>
          <w:u w:val="single"/>
        </w:rPr>
        <w:t xml:space="preserve">                                                                                                                                                       .</w:t>
      </w:r>
    </w:p>
    <w:p w14:paraId="454AE59A" w14:textId="2BB413D0" w:rsidR="008C3F30" w:rsidRDefault="008C3F30" w:rsidP="008C3F30">
      <w:pPr>
        <w:pStyle w:val="PiedepginaLegal"/>
      </w:pPr>
      <w:r>
        <w:t xml:space="preserve">11. </w:t>
      </w:r>
      <w:r>
        <w:tab/>
        <w:t>Dedicación de lo que se ha</w:t>
      </w:r>
      <w:r w:rsidR="00FF7F06">
        <w:t>brá</w:t>
      </w:r>
      <w:r>
        <w:t xml:space="preserve"> de </w:t>
      </w:r>
      <w:r w:rsidR="00990CFF">
        <w:t>ofrecer</w:t>
      </w:r>
      <w:r>
        <w:t xml:space="preserve"> </w:t>
      </w:r>
      <w:r w:rsidR="00597284">
        <w:t xml:space="preserve">que acompaña </w:t>
      </w:r>
      <w:r w:rsidR="00990CFF">
        <w:t>al</w:t>
      </w:r>
      <w:r>
        <w:t xml:space="preserve"> vertido de</w:t>
      </w:r>
      <w:r w:rsidR="00597284">
        <w:t>l</w:t>
      </w:r>
      <w:r>
        <w:t xml:space="preserve"> agua sobre la mano.</w:t>
      </w:r>
    </w:p>
    <w:p w14:paraId="5B028E28" w14:textId="77777777" w:rsidR="008C3F30" w:rsidRDefault="008C3F30">
      <w:pPr>
        <w:tabs>
          <w:tab w:val="clear" w:pos="425"/>
        </w:tabs>
        <w:spacing w:after="160"/>
        <w:rPr>
          <w:color w:val="000000" w:themeColor="text1"/>
          <w:spacing w:val="10"/>
          <w:sz w:val="14"/>
        </w:rPr>
      </w:pPr>
      <w:r>
        <w:br w:type="page"/>
      </w:r>
    </w:p>
    <w:p w14:paraId="7C204FD1" w14:textId="77777777" w:rsidR="008C3F30" w:rsidRDefault="008C3F30" w:rsidP="008C3F30"/>
    <w:p w14:paraId="716D1685" w14:textId="71EE93F4" w:rsidR="00A40605" w:rsidRDefault="00A40605" w:rsidP="00A40605">
      <w:r>
        <w:t xml:space="preserve">cocinando tintes, cosiendo y lavando </w:t>
      </w:r>
      <w:r w:rsidR="000C33C0">
        <w:t>ropajes</w:t>
      </w:r>
      <w:r>
        <w:t>, etc., o si qui</w:t>
      </w:r>
      <w:r w:rsidR="00C113D9">
        <w:t>siera</w:t>
      </w:r>
      <w:r>
        <w:t xml:space="preserve"> hacer otros de diferentes tipos, debe</w:t>
      </w:r>
      <w:r w:rsidR="000C33C0">
        <w:t>rá</w:t>
      </w:r>
      <w:r>
        <w:t xml:space="preserve"> emerger del </w:t>
      </w:r>
      <w:proofErr w:type="spellStart"/>
      <w:r w:rsidR="00057BF4" w:rsidRPr="00057BF4">
        <w:rPr>
          <w:i/>
        </w:rPr>
        <w:t>jhāna</w:t>
      </w:r>
      <w:proofErr w:type="spellEnd"/>
      <w:r>
        <w:t xml:space="preserve"> básico, hacer el trabajo preliminar </w:t>
      </w:r>
      <w:r w:rsidR="000C33C0">
        <w:t>con</w:t>
      </w:r>
      <w:r>
        <w:t xml:space="preserve"> el </w:t>
      </w:r>
      <w:r w:rsidR="000C33C0">
        <w:t>pasaje</w:t>
      </w:r>
      <w:r>
        <w:t xml:space="preserve"> que comienza 'Que haya tantos </w:t>
      </w:r>
      <w:proofErr w:type="spellStart"/>
      <w:r w:rsidR="00057BF4" w:rsidRPr="00057BF4">
        <w:rPr>
          <w:i/>
        </w:rPr>
        <w:t>bhikkhu</w:t>
      </w:r>
      <w:r>
        <w:t>s</w:t>
      </w:r>
      <w:proofErr w:type="spellEnd"/>
      <w:r>
        <w:t xml:space="preserve"> en la primera fase de la vida', etc.; luego deber</w:t>
      </w:r>
      <w:r w:rsidR="000C33C0">
        <w:t>á</w:t>
      </w:r>
      <w:r>
        <w:t xml:space="preserve"> alcanzar y emerger una vez más, y </w:t>
      </w:r>
      <w:r w:rsidR="000C33C0">
        <w:t xml:space="preserve">entonces </w:t>
      </w:r>
      <w:r>
        <w:t xml:space="preserve">resolver. </w:t>
      </w:r>
      <w:r w:rsidR="000C33C0">
        <w:t>Todo s</w:t>
      </w:r>
      <w:r>
        <w:t xml:space="preserve">e </w:t>
      </w:r>
      <w:r w:rsidR="000C33C0">
        <w:t>convertirá</w:t>
      </w:r>
      <w:r>
        <w:t xml:space="preserve"> </w:t>
      </w:r>
      <w:r w:rsidR="000C33C0">
        <w:t xml:space="preserve">en </w:t>
      </w:r>
      <w:r>
        <w:t>los tipos deseados simultáneamente con la con</w:t>
      </w:r>
      <w:r w:rsidR="000C33C0">
        <w:t>s</w:t>
      </w:r>
      <w:r>
        <w:t>ciencia resolutiva.</w:t>
      </w:r>
      <w:r w:rsidRPr="009C7A89">
        <w:rPr>
          <w:vertAlign w:val="superscript"/>
        </w:rPr>
        <w:t>12</w:t>
      </w:r>
    </w:p>
    <w:p w14:paraId="0105CF9A" w14:textId="2C10CE9E" w:rsidR="00A40605" w:rsidRDefault="00A40605" w:rsidP="00A40605">
      <w:r>
        <w:t xml:space="preserve">68. </w:t>
      </w:r>
      <w:r w:rsidR="00225A93">
        <w:tab/>
      </w:r>
      <w:r>
        <w:t xml:space="preserve">El mismo método de explicación se aplica a la cláusula </w:t>
      </w:r>
      <w:r w:rsidRPr="00BE6917">
        <w:rPr>
          <w:i/>
          <w:iCs/>
        </w:rPr>
        <w:t>habiendo sido muchos</w:t>
      </w:r>
      <w:r>
        <w:t xml:space="preserve">, se convierte en uno: pero </w:t>
      </w:r>
      <w:r w:rsidR="00BE6917">
        <w:t>con</w:t>
      </w:r>
      <w:r>
        <w:t xml:space="preserve"> esta diferencia. Después de que este </w:t>
      </w:r>
      <w:proofErr w:type="spellStart"/>
      <w:r w:rsidR="00057BF4" w:rsidRPr="00057BF4">
        <w:rPr>
          <w:i/>
        </w:rPr>
        <w:t>bhikkhu</w:t>
      </w:r>
      <w:proofErr w:type="spellEnd"/>
      <w:r>
        <w:t xml:space="preserve"> </w:t>
      </w:r>
      <w:r w:rsidR="00B0308B">
        <w:t>haya creado</w:t>
      </w:r>
      <w:r>
        <w:t xml:space="preserve"> así un estado múltiple, luego pensa</w:t>
      </w:r>
      <w:r w:rsidR="00B0308B">
        <w:t>rá</w:t>
      </w:r>
      <w:r>
        <w:t xml:space="preserve"> de nuevo: “Como uno solo, caminaré, haré un recital, [390] haré una pregunta”, o debido a la escasez de deseos, pensa</w:t>
      </w:r>
      <w:r w:rsidR="00B0308B">
        <w:t>rá</w:t>
      </w:r>
      <w:r>
        <w:t>: “</w:t>
      </w:r>
      <w:r w:rsidR="00B0308B">
        <w:t>É</w:t>
      </w:r>
      <w:r>
        <w:t>ste es un monasterio con pocos monjes. Si alguien vin</w:t>
      </w:r>
      <w:r w:rsidR="00270EF2">
        <w:t>iese</w:t>
      </w:r>
      <w:r>
        <w:t xml:space="preserve">, se preguntará: '¿De dónde han venido todos estos </w:t>
      </w:r>
      <w:proofErr w:type="spellStart"/>
      <w:r w:rsidR="00057BF4" w:rsidRPr="00057BF4">
        <w:rPr>
          <w:i/>
        </w:rPr>
        <w:t>bhikkhu</w:t>
      </w:r>
      <w:r>
        <w:t>s</w:t>
      </w:r>
      <w:proofErr w:type="spellEnd"/>
      <w:r>
        <w:t xml:space="preserve"> que son todos iguales? ¿Seguramente será una de las hazañas del </w:t>
      </w:r>
      <w:r w:rsidR="0040320F">
        <w:t>Venerable</w:t>
      </w:r>
      <w:r>
        <w:t xml:space="preserve">?’ y así podría llegar a saber de mí”. Mientras tanto, </w:t>
      </w:r>
      <w:r w:rsidR="0040320F">
        <w:t>al desear</w:t>
      </w:r>
      <w:r>
        <w:t>, “</w:t>
      </w:r>
      <w:r w:rsidR="0040320F">
        <w:t>Que</w:t>
      </w:r>
      <w:r>
        <w:t xml:space="preserve"> </w:t>
      </w:r>
      <w:r w:rsidR="000A3AE4">
        <w:t xml:space="preserve">todo </w:t>
      </w:r>
      <w:r>
        <w:t>se</w:t>
      </w:r>
      <w:r w:rsidR="0040320F">
        <w:t>a</w:t>
      </w:r>
      <w:r>
        <w:t xml:space="preserve"> uno solo”, debe</w:t>
      </w:r>
      <w:r w:rsidR="0040320F">
        <w:t>rá</w:t>
      </w:r>
      <w:r>
        <w:t xml:space="preserve"> alcanzar el </w:t>
      </w:r>
      <w:proofErr w:type="spellStart"/>
      <w:r w:rsidR="00057BF4" w:rsidRPr="00057BF4">
        <w:rPr>
          <w:i/>
        </w:rPr>
        <w:t>jhāna</w:t>
      </w:r>
      <w:proofErr w:type="spellEnd"/>
      <w:r>
        <w:t xml:space="preserve"> básico y emerger. Entonces, después de hacer el trabajo preliminar así, “</w:t>
      </w:r>
      <w:r w:rsidR="0040320F">
        <w:t xml:space="preserve">Qué </w:t>
      </w:r>
      <w:r>
        <w:t>se</w:t>
      </w:r>
      <w:r w:rsidR="0040320F">
        <w:t>a</w:t>
      </w:r>
      <w:r>
        <w:t xml:space="preserve"> uno”, deber</w:t>
      </w:r>
      <w:r w:rsidR="0040320F">
        <w:t>á</w:t>
      </w:r>
      <w:r>
        <w:t xml:space="preserve"> alcanzar y emerger de nuevo y luego resolver así, “</w:t>
      </w:r>
      <w:r w:rsidR="0040320F">
        <w:t xml:space="preserve">Qué </w:t>
      </w:r>
      <w:r>
        <w:t>se</w:t>
      </w:r>
      <w:r w:rsidR="0040320F">
        <w:t>a</w:t>
      </w:r>
      <w:r>
        <w:t xml:space="preserve"> uno”. Se v</w:t>
      </w:r>
      <w:r w:rsidR="0040320F">
        <w:t>o</w:t>
      </w:r>
      <w:r>
        <w:t>lve</w:t>
      </w:r>
      <w:r w:rsidR="0040320F">
        <w:t>rá sólo</w:t>
      </w:r>
      <w:r>
        <w:t xml:space="preserve"> uno simultáneamente con la con</w:t>
      </w:r>
      <w:r w:rsidR="0040320F">
        <w:t>s</w:t>
      </w:r>
      <w:r>
        <w:t xml:space="preserve">ciencia resolutiva. </w:t>
      </w:r>
      <w:r w:rsidR="0040320F">
        <w:t xml:space="preserve">No obstante, </w:t>
      </w:r>
      <w:r>
        <w:t>en lugar de hacer e</w:t>
      </w:r>
      <w:r w:rsidR="0040320F">
        <w:t>ll</w:t>
      </w:r>
      <w:r>
        <w:t xml:space="preserve">o, </w:t>
      </w:r>
      <w:r w:rsidR="0040320F">
        <w:t xml:space="preserve">podrá </w:t>
      </w:r>
      <w:r>
        <w:t>volver a serlo automáticamente con el transcurso del tiempo predeterminado.</w:t>
      </w:r>
    </w:p>
    <w:p w14:paraId="56F9EDFB" w14:textId="18974D18" w:rsidR="00A40605" w:rsidRDefault="00A40605" w:rsidP="00A40605">
      <w:r>
        <w:t xml:space="preserve">69. </w:t>
      </w:r>
      <w:r w:rsidR="00225A93">
        <w:tab/>
      </w:r>
      <w:r w:rsidRPr="003432C3">
        <w:rPr>
          <w:i/>
          <w:iCs/>
        </w:rPr>
        <w:t>Él aparec</w:t>
      </w:r>
      <w:r w:rsidR="00580804">
        <w:rPr>
          <w:i/>
          <w:iCs/>
        </w:rPr>
        <w:t>erá</w:t>
      </w:r>
      <w:r w:rsidRPr="003432C3">
        <w:rPr>
          <w:i/>
          <w:iCs/>
        </w:rPr>
        <w:t xml:space="preserve"> y se desvanece</w:t>
      </w:r>
      <w:r w:rsidR="00580804">
        <w:rPr>
          <w:i/>
          <w:iCs/>
        </w:rPr>
        <w:t>rá</w:t>
      </w:r>
      <w:r>
        <w:t>: el significado aquí es que él causa</w:t>
      </w:r>
      <w:r w:rsidR="00580804">
        <w:t>rá una</w:t>
      </w:r>
      <w:r>
        <w:t xml:space="preserve"> aparición</w:t>
      </w:r>
      <w:r w:rsidR="0021564D">
        <w:t xml:space="preserve"> y</w:t>
      </w:r>
      <w:r>
        <w:t xml:space="preserve"> causa</w:t>
      </w:r>
      <w:r w:rsidR="00580804">
        <w:t xml:space="preserve">rá una </w:t>
      </w:r>
      <w:r>
        <w:t xml:space="preserve">desaparición. </w:t>
      </w:r>
      <w:r w:rsidR="00A91399">
        <w:t xml:space="preserve">Ya </w:t>
      </w:r>
      <w:r>
        <w:t xml:space="preserve">que se dice en el </w:t>
      </w:r>
      <w:proofErr w:type="spellStart"/>
      <w:r w:rsidRPr="003432C3">
        <w:rPr>
          <w:i/>
          <w:iCs/>
        </w:rPr>
        <w:t>Paṭisambhidā</w:t>
      </w:r>
      <w:proofErr w:type="spellEnd"/>
      <w:r>
        <w:t xml:space="preserve"> con referencia a esto: “‘Él aparece</w:t>
      </w:r>
      <w:r w:rsidR="00580804">
        <w:t>rá</w:t>
      </w:r>
      <w:r>
        <w:t>’: no est</w:t>
      </w:r>
      <w:r w:rsidR="00A91399">
        <w:t>ar</w:t>
      </w:r>
      <w:r>
        <w:t>á velado por algo, no est</w:t>
      </w:r>
      <w:r w:rsidR="00A91399">
        <w:t>ar</w:t>
      </w:r>
      <w:r>
        <w:t>á oculto, est</w:t>
      </w:r>
      <w:r w:rsidR="00A91399">
        <w:t>ar</w:t>
      </w:r>
      <w:r>
        <w:t xml:space="preserve">á revelado, </w:t>
      </w:r>
      <w:r w:rsidR="00A91399">
        <w:t xml:space="preserve">será </w:t>
      </w:r>
      <w:r>
        <w:t>evidente. ‘Desaparece</w:t>
      </w:r>
      <w:r w:rsidR="00A91399">
        <w:t>rá</w:t>
      </w:r>
      <w:r>
        <w:t>’: est</w:t>
      </w:r>
      <w:r w:rsidR="00A91399">
        <w:t>ar</w:t>
      </w:r>
      <w:r>
        <w:t>á velado por algo, est</w:t>
      </w:r>
      <w:r w:rsidR="00A91399">
        <w:t>ar</w:t>
      </w:r>
      <w:r>
        <w:t>á escondido, est</w:t>
      </w:r>
      <w:r w:rsidR="00A91399">
        <w:t>ar</w:t>
      </w:r>
      <w:r>
        <w:t xml:space="preserve">á </w:t>
      </w:r>
      <w:r w:rsidR="00C64104">
        <w:t>enclaustrado</w:t>
      </w:r>
      <w:r>
        <w:t>, est</w:t>
      </w:r>
      <w:r w:rsidR="00C64104">
        <w:t>ar</w:t>
      </w:r>
      <w:r>
        <w:t>á encerrado” (</w:t>
      </w:r>
      <w:proofErr w:type="spellStart"/>
      <w:r w:rsidRPr="003432C3">
        <w:rPr>
          <w:i/>
          <w:iCs/>
        </w:rPr>
        <w:t>Pa</w:t>
      </w:r>
      <w:r w:rsidR="003432C3" w:rsidRPr="003432C3">
        <w:rPr>
          <w:i/>
          <w:iCs/>
        </w:rPr>
        <w:t>ṭ</w:t>
      </w:r>
      <w:r w:rsidRPr="003432C3">
        <w:rPr>
          <w:i/>
          <w:iCs/>
        </w:rPr>
        <w:t>is</w:t>
      </w:r>
      <w:proofErr w:type="spellEnd"/>
      <w:r>
        <w:t xml:space="preserve"> II 207).</w:t>
      </w:r>
      <w:r w:rsidRPr="009C7A89">
        <w:rPr>
          <w:vertAlign w:val="superscript"/>
        </w:rPr>
        <w:t>13</w:t>
      </w:r>
    </w:p>
    <w:p w14:paraId="4D2BA860" w14:textId="5F68ED3C" w:rsidR="00A40605" w:rsidRDefault="00A40605" w:rsidP="00225A93">
      <w:pPr>
        <w:pStyle w:val="NormalConSangria"/>
      </w:pPr>
      <w:r>
        <w:t xml:space="preserve">Ahora bien, </w:t>
      </w:r>
      <w:r w:rsidR="0021564D">
        <w:t>aquel</w:t>
      </w:r>
      <w:r>
        <w:t xml:space="preserve"> poseedor de un poder sobrenatural que quier</w:t>
      </w:r>
      <w:r w:rsidR="00C64104">
        <w:t>a</w:t>
      </w:r>
      <w:r>
        <w:t xml:space="preserve"> </w:t>
      </w:r>
      <w:r w:rsidR="00236E1D">
        <w:t xml:space="preserve">hacer una </w:t>
      </w:r>
      <w:proofErr w:type="gramStart"/>
      <w:r w:rsidR="00236E1D">
        <w:t>aparición</w:t>
      </w:r>
      <w:r>
        <w:t>,</w:t>
      </w:r>
      <w:proofErr w:type="gramEnd"/>
      <w:r>
        <w:t xml:space="preserve"> convert</w:t>
      </w:r>
      <w:r w:rsidR="00C64104">
        <w:t>irá</w:t>
      </w:r>
      <w:r>
        <w:t xml:space="preserve"> las tinieblas en luz, o ha</w:t>
      </w:r>
      <w:r w:rsidR="00C64104">
        <w:t>rá</w:t>
      </w:r>
      <w:r>
        <w:t xml:space="preserve"> que se revele lo que est</w:t>
      </w:r>
      <w:r w:rsidR="00C64104">
        <w:t>é</w:t>
      </w:r>
      <w:r>
        <w:t xml:space="preserve"> oculto, o ha</w:t>
      </w:r>
      <w:r w:rsidR="00C64104">
        <w:t>rá</w:t>
      </w:r>
      <w:r>
        <w:t xml:space="preserve"> que lo que no ha</w:t>
      </w:r>
      <w:r w:rsidR="00C64104">
        <w:t>ya</w:t>
      </w:r>
      <w:r>
        <w:t xml:space="preserve"> entrado en el campo visual entre en </w:t>
      </w:r>
      <w:r w:rsidR="00C64104">
        <w:t xml:space="preserve">tal </w:t>
      </w:r>
      <w:r>
        <w:t>campo visual.</w:t>
      </w:r>
    </w:p>
    <w:p w14:paraId="1EE74949" w14:textId="42D46B4E" w:rsidR="00A40605" w:rsidRDefault="00A40605" w:rsidP="00A40605">
      <w:r>
        <w:t xml:space="preserve">70. </w:t>
      </w:r>
      <w:r w:rsidR="00225A93">
        <w:tab/>
      </w:r>
      <w:r>
        <w:t>¿Cómo? Si qui</w:t>
      </w:r>
      <w:r w:rsidR="00C64104">
        <w:t xml:space="preserve">siera </w:t>
      </w:r>
      <w:r>
        <w:t xml:space="preserve">hacerse visible a sí mismo o a otro aunque esté oculto o a </w:t>
      </w:r>
      <w:r w:rsidR="00C64104">
        <w:t xml:space="preserve">la </w:t>
      </w:r>
      <w:r>
        <w:t>distancia, emerge</w:t>
      </w:r>
      <w:r w:rsidR="00C64104">
        <w:t>rá</w:t>
      </w:r>
      <w:r>
        <w:t xml:space="preserve"> del </w:t>
      </w:r>
      <w:proofErr w:type="spellStart"/>
      <w:r w:rsidR="00057BF4" w:rsidRPr="00057BF4">
        <w:rPr>
          <w:i/>
        </w:rPr>
        <w:t>jhāna</w:t>
      </w:r>
      <w:proofErr w:type="spellEnd"/>
      <w:r>
        <w:t xml:space="preserve"> básico y advert</w:t>
      </w:r>
      <w:r w:rsidR="00C64104">
        <w:t>irá</w:t>
      </w:r>
      <w:r>
        <w:t xml:space="preserve"> así: "Qu</w:t>
      </w:r>
      <w:r w:rsidR="00D12FF2">
        <w:t>é</w:t>
      </w:r>
      <w:r>
        <w:t xml:space="preserve"> esto que es oscuro se vuelva luz" o "Qu</w:t>
      </w:r>
      <w:r w:rsidR="00D12FF2">
        <w:t>é</w:t>
      </w:r>
      <w:r>
        <w:t xml:space="preserve"> esto que está oculto se revele" o </w:t>
      </w:r>
      <w:r w:rsidR="00D12FF2">
        <w:t xml:space="preserve">"Qué </w:t>
      </w:r>
      <w:r>
        <w:t>esto eso que no ha entrado en el campo visual entr</w:t>
      </w:r>
      <w:r w:rsidR="00236E1D">
        <w:t>e</w:t>
      </w:r>
      <w:r>
        <w:t xml:space="preserve"> en e</w:t>
      </w:r>
      <w:r w:rsidR="00236E1D">
        <w:t>ste</w:t>
      </w:r>
      <w:r>
        <w:t xml:space="preserve"> campo visual”. Luego ha</w:t>
      </w:r>
      <w:r w:rsidR="00236E1D">
        <w:t>rá</w:t>
      </w:r>
      <w:r>
        <w:t xml:space="preserve"> el trabajo preliminar y res</w:t>
      </w:r>
      <w:r w:rsidR="00236E1D">
        <w:t>o</w:t>
      </w:r>
      <w:r>
        <w:t>lve</w:t>
      </w:r>
      <w:r w:rsidR="00236E1D">
        <w:t>rá</w:t>
      </w:r>
      <w:r>
        <w:t xml:space="preserve"> en la forma ya descrita. </w:t>
      </w:r>
      <w:r w:rsidR="00FF6304">
        <w:t xml:space="preserve">Adoptará su determinación </w:t>
      </w:r>
      <w:r>
        <w:t xml:space="preserve">simultáneamente con </w:t>
      </w:r>
      <w:r w:rsidR="000E54EA">
        <w:t>la determinación misma</w:t>
      </w:r>
      <w:r>
        <w:t>. Otros entonces ve</w:t>
      </w:r>
      <w:r w:rsidR="00FF6304">
        <w:t>rá</w:t>
      </w:r>
      <w:r>
        <w:t xml:space="preserve">n </w:t>
      </w:r>
      <w:r w:rsidR="0098686C">
        <w:t xml:space="preserve">el objeto en cuestión </w:t>
      </w:r>
      <w:r>
        <w:t xml:space="preserve">incluso cuando </w:t>
      </w:r>
      <w:r w:rsidR="005018A4">
        <w:t>se encuentren a</w:t>
      </w:r>
      <w:r>
        <w:t xml:space="preserve"> </w:t>
      </w:r>
      <w:r w:rsidR="005018A4">
        <w:t>l</w:t>
      </w:r>
      <w:r>
        <w:t xml:space="preserve">a distancia; y él mismo </w:t>
      </w:r>
      <w:r w:rsidR="0098686C">
        <w:t xml:space="preserve">también </w:t>
      </w:r>
      <w:r w:rsidR="00D42589">
        <w:t xml:space="preserve">lo </w:t>
      </w:r>
      <w:r>
        <w:t>ve</w:t>
      </w:r>
      <w:r w:rsidR="005018A4">
        <w:t>rá</w:t>
      </w:r>
      <w:r>
        <w:t xml:space="preserve">, si </w:t>
      </w:r>
      <w:r w:rsidR="005018A4">
        <w:t>desea</w:t>
      </w:r>
      <w:r w:rsidR="00D42589">
        <w:t>ra</w:t>
      </w:r>
      <w:r w:rsidR="005018A4">
        <w:t xml:space="preserve"> hacerlo</w:t>
      </w:r>
      <w:r>
        <w:t>.</w:t>
      </w:r>
    </w:p>
    <w:p w14:paraId="29F34A44" w14:textId="7096E9D9" w:rsidR="00A40605" w:rsidRPr="00225A93" w:rsidRDefault="00A40605" w:rsidP="00225A93">
      <w:pPr>
        <w:pStyle w:val="PiedepginaLegal"/>
        <w:rPr>
          <w:u w:val="single"/>
        </w:rPr>
      </w:pPr>
      <w:r w:rsidRPr="00225A93">
        <w:rPr>
          <w:u w:val="single"/>
        </w:rPr>
        <w:t xml:space="preserve">                                                                                                                                                          .</w:t>
      </w:r>
    </w:p>
    <w:p w14:paraId="7574D6E3" w14:textId="3DE0967D" w:rsidR="00A40605" w:rsidRDefault="00A40605" w:rsidP="00225A93">
      <w:pPr>
        <w:pStyle w:val="PiedepginaLegal"/>
      </w:pPr>
      <w:r>
        <w:t xml:space="preserve">12. </w:t>
      </w:r>
      <w:r w:rsidR="00225A93">
        <w:tab/>
      </w:r>
      <w:r>
        <w:t>“‘</w:t>
      </w:r>
      <w:r w:rsidR="00405E51" w:rsidRPr="00233F6B">
        <w:rPr>
          <w:i/>
          <w:iCs/>
        </w:rPr>
        <w:t>Ellos</w:t>
      </w:r>
      <w:r w:rsidR="00405E51">
        <w:t xml:space="preserve"> </w:t>
      </w:r>
      <w:r w:rsidR="00405E51">
        <w:rPr>
          <w:i/>
          <w:iCs/>
        </w:rPr>
        <w:t>s</w:t>
      </w:r>
      <w:r w:rsidRPr="003432C3">
        <w:rPr>
          <w:i/>
          <w:iCs/>
        </w:rPr>
        <w:t xml:space="preserve">e </w:t>
      </w:r>
      <w:r w:rsidR="00405E51">
        <w:rPr>
          <w:i/>
          <w:iCs/>
        </w:rPr>
        <w:t xml:space="preserve">convertirán </w:t>
      </w:r>
      <w:r w:rsidR="00FD33B9">
        <w:rPr>
          <w:i/>
          <w:iCs/>
        </w:rPr>
        <w:t>en</w:t>
      </w:r>
      <w:r w:rsidRPr="003432C3">
        <w:rPr>
          <w:i/>
          <w:iCs/>
        </w:rPr>
        <w:t xml:space="preserve"> los tipos deseados’</w:t>
      </w:r>
      <w:r>
        <w:t xml:space="preserve">: se </w:t>
      </w:r>
      <w:r w:rsidR="00405E51">
        <w:t xml:space="preserve">convertirán </w:t>
      </w:r>
      <w:r w:rsidR="00FD33B9">
        <w:t>en</w:t>
      </w:r>
      <w:r>
        <w:t xml:space="preserve"> cualquier tipo que se desee: porque llega</w:t>
      </w:r>
      <w:r w:rsidR="00405E51">
        <w:t>rá</w:t>
      </w:r>
      <w:r>
        <w:t>n a poseer tantas variedades en apariencia, etc., como se dese</w:t>
      </w:r>
      <w:r w:rsidR="00405E51">
        <w:t>e</w:t>
      </w:r>
      <w:r>
        <w:t xml:space="preserve"> que </w:t>
      </w:r>
      <w:r w:rsidR="00405E51">
        <w:t>tengan</w:t>
      </w:r>
      <w:r>
        <w:t xml:space="preserve">. </w:t>
      </w:r>
      <w:r w:rsidR="00FD33B9">
        <w:t xml:space="preserve">No obstante, </w:t>
      </w:r>
      <w:r>
        <w:t>aunque se vuelv</w:t>
      </w:r>
      <w:r w:rsidR="00FD33B9">
        <w:t>a</w:t>
      </w:r>
      <w:r>
        <w:t xml:space="preserve">n múltiples al convertirse </w:t>
      </w:r>
      <w:r w:rsidR="00FD33B9">
        <w:t xml:space="preserve">así </w:t>
      </w:r>
      <w:r>
        <w:t xml:space="preserve">en objeto </w:t>
      </w:r>
      <w:r w:rsidR="00FD33B9">
        <w:t xml:space="preserve">de </w:t>
      </w:r>
      <w:r>
        <w:t xml:space="preserve">diferentes modos de apariencia, sin embargo, </w:t>
      </w:r>
      <w:r w:rsidR="00FD33B9">
        <w:t xml:space="preserve">será </w:t>
      </w:r>
      <w:r>
        <w:t>solo una con</w:t>
      </w:r>
      <w:r w:rsidR="00FD33B9">
        <w:t>s</w:t>
      </w:r>
      <w:r>
        <w:t>ciencia de resolución única l</w:t>
      </w:r>
      <w:r w:rsidR="00FD33B9">
        <w:t>a</w:t>
      </w:r>
      <w:r>
        <w:t xml:space="preserve"> que ocurr</w:t>
      </w:r>
      <w:r w:rsidR="00FD33B9">
        <w:t>irá</w:t>
      </w:r>
      <w:r>
        <w:t xml:space="preserve">. </w:t>
      </w:r>
      <w:r w:rsidR="00F1712C">
        <w:t>É</w:t>
      </w:r>
      <w:r>
        <w:t xml:space="preserve">ste es su poder. Porque </w:t>
      </w:r>
      <w:r w:rsidR="00F1712C">
        <w:t xml:space="preserve">será </w:t>
      </w:r>
      <w:r>
        <w:t xml:space="preserve">como la </w:t>
      </w:r>
      <w:r w:rsidR="00AF415D">
        <w:t>volición</w:t>
      </w:r>
      <w:r>
        <w:t xml:space="preserve"> única que produ</w:t>
      </w:r>
      <w:r w:rsidR="00F1712C">
        <w:t>zca</w:t>
      </w:r>
      <w:r>
        <w:t xml:space="preserve"> una personalidad que pose</w:t>
      </w:r>
      <w:r w:rsidR="00F1712C">
        <w:t>a</w:t>
      </w:r>
      <w:r>
        <w:t xml:space="preserve"> muchas facetas diferentes (ver Cap. XIV, n. 14). Y ahí </w:t>
      </w:r>
      <w:r w:rsidR="00F1712C">
        <w:t xml:space="preserve">se </w:t>
      </w:r>
      <w:r w:rsidR="00CF1A9B">
        <w:t xml:space="preserve">encontrará </w:t>
      </w:r>
      <w:r>
        <w:t xml:space="preserve">la aspiración </w:t>
      </w:r>
      <w:r w:rsidR="002725F1">
        <w:t xml:space="preserve">de </w:t>
      </w:r>
      <w:r>
        <w:t xml:space="preserve">convertirse </w:t>
      </w:r>
      <w:r w:rsidR="00CF1A9B">
        <w:t xml:space="preserve">en </w:t>
      </w:r>
      <w:r w:rsidR="002725F1">
        <w:t xml:space="preserve">algo </w:t>
      </w:r>
      <w:r w:rsidR="00643E2A">
        <w:t>será una</w:t>
      </w:r>
      <w:r w:rsidR="00CF1A9B">
        <w:t xml:space="preserve"> </w:t>
      </w:r>
      <w:r>
        <w:t xml:space="preserve">condición para la diferenciación en el </w:t>
      </w:r>
      <w:proofErr w:type="spellStart"/>
      <w:r w:rsidR="00057BF4" w:rsidRPr="00057BF4">
        <w:rPr>
          <w:i/>
        </w:rPr>
        <w:t>kamma</w:t>
      </w:r>
      <w:proofErr w:type="spellEnd"/>
      <w:r>
        <w:t xml:space="preserve">; y el resultado del </w:t>
      </w:r>
      <w:proofErr w:type="spellStart"/>
      <w:r w:rsidR="00057BF4" w:rsidRPr="00057BF4">
        <w:rPr>
          <w:i/>
        </w:rPr>
        <w:t>kamma</w:t>
      </w:r>
      <w:proofErr w:type="spellEnd"/>
      <w:r>
        <w:t xml:space="preserve"> </w:t>
      </w:r>
      <w:r w:rsidR="00CF1A9B">
        <w:t xml:space="preserve">será </w:t>
      </w:r>
      <w:r>
        <w:t xml:space="preserve">imponderable. Y aquí también </w:t>
      </w:r>
      <w:r w:rsidR="00CF1A9B">
        <w:t xml:space="preserve">será </w:t>
      </w:r>
      <w:r>
        <w:t>la con</w:t>
      </w:r>
      <w:r w:rsidR="00CF1A9B">
        <w:t>s</w:t>
      </w:r>
      <w:r>
        <w:t>ciencia del trabajo preliminar la que debe</w:t>
      </w:r>
      <w:r w:rsidR="00CF1A9B">
        <w:t>rá</w:t>
      </w:r>
      <w:r>
        <w:t xml:space="preserve"> </w:t>
      </w:r>
      <w:r w:rsidR="00AC5AE2">
        <w:t>adoptarse</w:t>
      </w:r>
      <w:r>
        <w:t xml:space="preserve"> como condición para la diferencia. Y el campo de</w:t>
      </w:r>
      <w:r w:rsidR="00374DD9">
        <w:t>l</w:t>
      </w:r>
      <w:r>
        <w:t xml:space="preserve"> poder sobrenatural también </w:t>
      </w:r>
      <w:r w:rsidR="00C113D9">
        <w:t xml:space="preserve">será </w:t>
      </w:r>
      <w:r>
        <w:t>imponderable”. (</w:t>
      </w:r>
      <w:proofErr w:type="spellStart"/>
      <w:r>
        <w:t>Vism-mhṭ</w:t>
      </w:r>
      <w:proofErr w:type="spellEnd"/>
      <w:r>
        <w:t xml:space="preserve"> 390)</w:t>
      </w:r>
    </w:p>
    <w:p w14:paraId="71955B68" w14:textId="1CFB7677" w:rsidR="00225A93" w:rsidRDefault="00A40605" w:rsidP="00225A93">
      <w:pPr>
        <w:pStyle w:val="PiedepginaLegal"/>
      </w:pPr>
      <w:r>
        <w:t xml:space="preserve">13. </w:t>
      </w:r>
      <w:r w:rsidR="00225A93">
        <w:tab/>
      </w:r>
      <w:r>
        <w:t xml:space="preserve">Surgen ciertos problemas gramaticales en el caso de las palabras </w:t>
      </w:r>
      <w:proofErr w:type="spellStart"/>
      <w:r w:rsidRPr="003432C3">
        <w:rPr>
          <w:i/>
          <w:iCs/>
        </w:rPr>
        <w:t>āvibhāvaṃ</w:t>
      </w:r>
      <w:proofErr w:type="spellEnd"/>
      <w:r>
        <w:t xml:space="preserve">, etc., tanto en el pasaje del </w:t>
      </w:r>
      <w:proofErr w:type="spellStart"/>
      <w:r w:rsidRPr="003432C3">
        <w:rPr>
          <w:i/>
          <w:iCs/>
        </w:rPr>
        <w:t>sutta</w:t>
      </w:r>
      <w:proofErr w:type="spellEnd"/>
      <w:r>
        <w:t xml:space="preserve"> como (más aún) </w:t>
      </w:r>
      <w:r w:rsidR="000969B0">
        <w:t>con</w:t>
      </w:r>
      <w:r>
        <w:t xml:space="preserve"> el pasaje del </w:t>
      </w:r>
      <w:proofErr w:type="spellStart"/>
      <w:r w:rsidRPr="003432C3">
        <w:rPr>
          <w:i/>
          <w:iCs/>
        </w:rPr>
        <w:t>Paṭisambhidā</w:t>
      </w:r>
      <w:proofErr w:type="spellEnd"/>
      <w:r>
        <w:t xml:space="preserve">; </w:t>
      </w:r>
      <w:r w:rsidR="000969B0">
        <w:t xml:space="preserve">estos </w:t>
      </w:r>
      <w:r>
        <w:t xml:space="preserve">son examinados por </w:t>
      </w:r>
      <w:r w:rsidR="000969B0">
        <w:t xml:space="preserve">el </w:t>
      </w:r>
      <w:proofErr w:type="spellStart"/>
      <w:r>
        <w:t>Vism-mhṭ</w:t>
      </w:r>
      <w:proofErr w:type="spellEnd"/>
      <w:r>
        <w:t xml:space="preserve"> (p. 390) pero no se pueden traducir al inglés.</w:t>
      </w:r>
    </w:p>
    <w:p w14:paraId="0A35E55C" w14:textId="77777777" w:rsidR="00225A93" w:rsidRDefault="00225A93" w:rsidP="00225A93"/>
    <w:p w14:paraId="43CCF726" w14:textId="77777777" w:rsidR="00A01237" w:rsidRDefault="00A01237">
      <w:pPr>
        <w:tabs>
          <w:tab w:val="clear" w:pos="425"/>
        </w:tabs>
        <w:spacing w:after="160"/>
      </w:pPr>
      <w:r>
        <w:br w:type="page"/>
      </w:r>
    </w:p>
    <w:p w14:paraId="0BC6929A" w14:textId="77777777" w:rsidR="00191C92" w:rsidRDefault="00191C92" w:rsidP="00225A93"/>
    <w:p w14:paraId="1EFC6C4B" w14:textId="1CE3E03B" w:rsidR="00191C92" w:rsidRDefault="00191C92" w:rsidP="00191C92">
      <w:r>
        <w:t xml:space="preserve">71. </w:t>
      </w:r>
      <w:r>
        <w:tab/>
        <w:t xml:space="preserve">¿Pero por quién fue realizado </w:t>
      </w:r>
      <w:r w:rsidR="00311F1F">
        <w:t>previamente</w:t>
      </w:r>
      <w:r>
        <w:t xml:space="preserve"> este milagro? Por el </w:t>
      </w:r>
      <w:r w:rsidR="00706DB0" w:rsidRPr="00706DB0">
        <w:rPr>
          <w:i/>
          <w:iCs/>
        </w:rPr>
        <w:t>Bhagavā</w:t>
      </w:r>
      <w:r>
        <w:t xml:space="preserve">. </w:t>
      </w:r>
      <w:r w:rsidR="00311F1F">
        <w:t xml:space="preserve">Ya </w:t>
      </w:r>
      <w:r>
        <w:t xml:space="preserve">que cuando el </w:t>
      </w:r>
      <w:r w:rsidR="00311F1F" w:rsidRPr="00706DB0">
        <w:rPr>
          <w:i/>
          <w:iCs/>
        </w:rPr>
        <w:t>Bhagavā</w:t>
      </w:r>
      <w:r w:rsidR="00311F1F">
        <w:t xml:space="preserve"> </w:t>
      </w:r>
      <w:r>
        <w:t xml:space="preserve">había sido invitado por </w:t>
      </w:r>
      <w:proofErr w:type="spellStart"/>
      <w:r>
        <w:t>Cūḷa-Subhaddā</w:t>
      </w:r>
      <w:proofErr w:type="spellEnd"/>
      <w:r>
        <w:t xml:space="preserve"> y </w:t>
      </w:r>
      <w:r w:rsidR="00311F1F">
        <w:t>se encontraba</w:t>
      </w:r>
      <w:r>
        <w:t xml:space="preserve"> atravesando el viaje de siete leguas entre </w:t>
      </w:r>
      <w:proofErr w:type="spellStart"/>
      <w:r>
        <w:t>Sāvatthī</w:t>
      </w:r>
      <w:proofErr w:type="spellEnd"/>
      <w:r>
        <w:t xml:space="preserve"> y </w:t>
      </w:r>
      <w:proofErr w:type="spellStart"/>
      <w:r>
        <w:t>Sāketa</w:t>
      </w:r>
      <w:proofErr w:type="spellEnd"/>
      <w:r>
        <w:t xml:space="preserve"> con quinientos palanquines</w:t>
      </w:r>
      <w:r w:rsidRPr="002938C4">
        <w:rPr>
          <w:vertAlign w:val="superscript"/>
        </w:rPr>
        <w:t>14</w:t>
      </w:r>
      <w:r>
        <w:t xml:space="preserve"> creados por </w:t>
      </w:r>
      <w:proofErr w:type="spellStart"/>
      <w:r w:rsidRPr="002938C4">
        <w:rPr>
          <w:i/>
          <w:iCs/>
        </w:rPr>
        <w:t>Vissa</w:t>
      </w:r>
      <w:r w:rsidR="00057BF4" w:rsidRPr="00057BF4">
        <w:rPr>
          <w:i/>
          <w:iCs/>
        </w:rPr>
        <w:t>kamma</w:t>
      </w:r>
      <w:proofErr w:type="spellEnd"/>
      <w:r>
        <w:t xml:space="preserve"> (ver </w:t>
      </w:r>
      <w:proofErr w:type="spellStart"/>
      <w:r>
        <w:t>Dhp</w:t>
      </w:r>
      <w:proofErr w:type="spellEnd"/>
      <w:r>
        <w:t xml:space="preserve">-a III 470), </w:t>
      </w:r>
      <w:r w:rsidR="00CD0511">
        <w:t>tomó</w:t>
      </w:r>
      <w:r w:rsidR="00311F1F">
        <w:t xml:space="preserve"> la determinación </w:t>
      </w:r>
      <w:r>
        <w:t xml:space="preserve">de que los ciudadanos de </w:t>
      </w:r>
      <w:proofErr w:type="spellStart"/>
      <w:r>
        <w:t>Sāketa</w:t>
      </w:r>
      <w:proofErr w:type="spellEnd"/>
      <w:r>
        <w:t xml:space="preserve"> vier</w:t>
      </w:r>
      <w:r w:rsidR="00311F1F">
        <w:t>a</w:t>
      </w:r>
      <w:r>
        <w:t xml:space="preserve">n los habitantes de </w:t>
      </w:r>
      <w:proofErr w:type="spellStart"/>
      <w:r w:rsidR="003808F4">
        <w:t>Sāvatthī</w:t>
      </w:r>
      <w:proofErr w:type="spellEnd"/>
      <w:r>
        <w:t xml:space="preserve"> y los ciudadanos de </w:t>
      </w:r>
      <w:proofErr w:type="spellStart"/>
      <w:r>
        <w:t>Sāvatthī</w:t>
      </w:r>
      <w:proofErr w:type="spellEnd"/>
      <w:r>
        <w:t xml:space="preserve"> vier</w:t>
      </w:r>
      <w:r w:rsidR="003808F4">
        <w:t>a</w:t>
      </w:r>
      <w:r>
        <w:t xml:space="preserve">n a los habitantes de </w:t>
      </w:r>
      <w:proofErr w:type="spellStart"/>
      <w:r>
        <w:t>Sāketa</w:t>
      </w:r>
      <w:proofErr w:type="spellEnd"/>
      <w:r>
        <w:t xml:space="preserve">. Y cuando se posó en el centro de la ciudad, partió la tierra en dos y mostró </w:t>
      </w:r>
      <w:r w:rsidR="003808F4">
        <w:t xml:space="preserve">el </w:t>
      </w:r>
      <w:proofErr w:type="spellStart"/>
      <w:r w:rsidRPr="003432C3">
        <w:rPr>
          <w:i/>
          <w:iCs/>
        </w:rPr>
        <w:t>Avīci</w:t>
      </w:r>
      <w:proofErr w:type="spellEnd"/>
      <w:r>
        <w:t xml:space="preserve">, y partió el cielo en dos y mostró el </w:t>
      </w:r>
      <w:r w:rsidR="00CF0C39">
        <w:t>plano</w:t>
      </w:r>
      <w:r w:rsidR="00CF0C39">
        <w:rPr>
          <w:i/>
          <w:iCs/>
        </w:rPr>
        <w:t>–</w:t>
      </w:r>
      <w:r w:rsidR="00057BF4" w:rsidRPr="00057BF4">
        <w:rPr>
          <w:i/>
        </w:rPr>
        <w:t>Brahmā</w:t>
      </w:r>
      <w:r>
        <w:t>.</w:t>
      </w:r>
    </w:p>
    <w:p w14:paraId="54D34778" w14:textId="02EDFAB5" w:rsidR="00191C92" w:rsidRDefault="00191C92" w:rsidP="00191C92">
      <w:r>
        <w:t xml:space="preserve">72. </w:t>
      </w:r>
      <w:r>
        <w:tab/>
        <w:t xml:space="preserve">Y este significado también debe ser explicado por medio del Descenso de los Dioses </w:t>
      </w:r>
      <w:r w:rsidR="002938C4">
        <w:br/>
      </w:r>
      <w:r>
        <w:t>(</w:t>
      </w:r>
      <w:proofErr w:type="spellStart"/>
      <w:r w:rsidRPr="002938C4">
        <w:rPr>
          <w:i/>
          <w:iCs/>
        </w:rPr>
        <w:t>devorohaṇa</w:t>
      </w:r>
      <w:proofErr w:type="spellEnd"/>
      <w:r>
        <w:t xml:space="preserve">). Cuando el </w:t>
      </w:r>
      <w:r w:rsidR="00BA13CF" w:rsidRPr="00706DB0">
        <w:rPr>
          <w:i/>
          <w:iCs/>
        </w:rPr>
        <w:t>Bhagavā</w:t>
      </w:r>
      <w:r>
        <w:t>, al parecer, realizó el Milagro Gemelo</w:t>
      </w:r>
      <w:r w:rsidRPr="00D4138F">
        <w:rPr>
          <w:vertAlign w:val="superscript"/>
        </w:rPr>
        <w:t>15</w:t>
      </w:r>
      <w:r>
        <w:t xml:space="preserve"> y liberó a ochenta y cuatro mil seres de las ataduras, se preguntó: "¿Adónde fueron los Iluminados del pasado cuando terminaron </w:t>
      </w:r>
      <w:r w:rsidR="00366BB5">
        <w:t xml:space="preserve">de realizar </w:t>
      </w:r>
      <w:r>
        <w:t xml:space="preserve">el Milagro Gemelo?" </w:t>
      </w:r>
      <w:r w:rsidR="00BA13CF">
        <w:t xml:space="preserve">Él percibió </w:t>
      </w:r>
      <w:r>
        <w:t xml:space="preserve">que </w:t>
      </w:r>
      <w:r w:rsidR="00BA13CF">
        <w:t xml:space="preserve">se </w:t>
      </w:r>
      <w:r>
        <w:t xml:space="preserve">habían </w:t>
      </w:r>
      <w:r w:rsidR="00BA13CF">
        <w:t>dirigido hacia e</w:t>
      </w:r>
      <w:r>
        <w:t xml:space="preserve">l cielo de los Treinta y Tres. [391] Luego se paró con un pie sobre la superficie de la tierra y colocó el segundo en el monte </w:t>
      </w:r>
      <w:proofErr w:type="spellStart"/>
      <w:r>
        <w:t>Yugandhara</w:t>
      </w:r>
      <w:proofErr w:type="spellEnd"/>
      <w:r>
        <w:t xml:space="preserve">. Luego volvió a levantar su primer pie y lo puso en la cima del monte </w:t>
      </w:r>
      <w:proofErr w:type="spellStart"/>
      <w:r>
        <w:t>Sineru</w:t>
      </w:r>
      <w:proofErr w:type="spellEnd"/>
      <w:r>
        <w:t xml:space="preserve">. Tomó </w:t>
      </w:r>
      <w:r w:rsidR="00086669">
        <w:t xml:space="preserve">como </w:t>
      </w:r>
      <w:r>
        <w:t xml:space="preserve">residencia </w:t>
      </w:r>
      <w:r w:rsidR="00C032EE">
        <w:t>para</w:t>
      </w:r>
      <w:r>
        <w:t xml:space="preserve"> </w:t>
      </w:r>
      <w:r w:rsidR="00086669">
        <w:t>la estación de l</w:t>
      </w:r>
      <w:r>
        <w:t xml:space="preserve">luvias la Terraza de Mármol Rojo, y comenzó </w:t>
      </w:r>
      <w:r w:rsidR="00086669">
        <w:t xml:space="preserve">a dar </w:t>
      </w:r>
      <w:r w:rsidR="00C032EE">
        <w:t xml:space="preserve">una </w:t>
      </w:r>
      <w:r>
        <w:t xml:space="preserve">exposición </w:t>
      </w:r>
      <w:r w:rsidR="00086669">
        <w:t xml:space="preserve">sobre </w:t>
      </w:r>
      <w:r>
        <w:t xml:space="preserve">el </w:t>
      </w:r>
      <w:proofErr w:type="spellStart"/>
      <w:r w:rsidRPr="002938C4">
        <w:rPr>
          <w:i/>
          <w:iCs/>
        </w:rPr>
        <w:t>Abhi</w:t>
      </w:r>
      <w:r w:rsidR="00057BF4" w:rsidRPr="00057BF4">
        <w:rPr>
          <w:i/>
          <w:iCs/>
        </w:rPr>
        <w:t>dhamma</w:t>
      </w:r>
      <w:proofErr w:type="spellEnd"/>
      <w:r>
        <w:t xml:space="preserve">, comenzando desde el principio, a las deidades de </w:t>
      </w:r>
      <w:r w:rsidR="00086669">
        <w:t>l</w:t>
      </w:r>
      <w:r w:rsidR="002A4B8B">
        <w:t>a</w:t>
      </w:r>
      <w:r w:rsidR="00086669">
        <w:t xml:space="preserve">s </w:t>
      </w:r>
      <w:r>
        <w:t>diez mil esferas</w:t>
      </w:r>
      <w:r w:rsidR="0099380D">
        <w:t xml:space="preserve"> estelares</w:t>
      </w:r>
      <w:r>
        <w:t xml:space="preserve">. En el momento de deambular por </w:t>
      </w:r>
      <w:r w:rsidR="0099380D">
        <w:t>ofrendas</w:t>
      </w:r>
      <w:r>
        <w:t xml:space="preserve">, creó un </w:t>
      </w:r>
      <w:r w:rsidR="00057BF4" w:rsidRPr="00057BF4">
        <w:rPr>
          <w:i/>
        </w:rPr>
        <w:t>Buddha</w:t>
      </w:r>
      <w:r>
        <w:t xml:space="preserve"> artificial para </w:t>
      </w:r>
      <w:r w:rsidR="0099380D">
        <w:t xml:space="preserve">que continuara </w:t>
      </w:r>
      <w:r>
        <w:t>enseña</w:t>
      </w:r>
      <w:r w:rsidR="0099380D">
        <w:t>ndo</w:t>
      </w:r>
      <w:r>
        <w:t xml:space="preserve"> el </w:t>
      </w:r>
      <w:r w:rsidR="00057BF4" w:rsidRPr="00057BF4">
        <w:rPr>
          <w:i/>
        </w:rPr>
        <w:t>Dhamma</w:t>
      </w:r>
      <w:r>
        <w:t>.</w:t>
      </w:r>
    </w:p>
    <w:p w14:paraId="4869B8B6" w14:textId="1DBDB347" w:rsidR="00191C92" w:rsidRDefault="00191C92" w:rsidP="00191C92">
      <w:r>
        <w:t xml:space="preserve">73. </w:t>
      </w:r>
      <w:r>
        <w:tab/>
        <w:t xml:space="preserve">Mientras tanto, el </w:t>
      </w:r>
      <w:r w:rsidR="0099380D" w:rsidRPr="00706DB0">
        <w:rPr>
          <w:i/>
          <w:iCs/>
        </w:rPr>
        <w:t>Bhagavā</w:t>
      </w:r>
      <w:r>
        <w:t xml:space="preserve"> mismo masticaba un </w:t>
      </w:r>
      <w:r w:rsidR="0099380D" w:rsidRPr="0099380D">
        <w:rPr>
          <w:iCs/>
        </w:rPr>
        <w:t>pal</w:t>
      </w:r>
      <w:r w:rsidR="00AD6B1D" w:rsidRPr="0099380D">
        <w:rPr>
          <w:iCs/>
        </w:rPr>
        <w:t>i</w:t>
      </w:r>
      <w:r w:rsidRPr="0099380D">
        <w:rPr>
          <w:iCs/>
        </w:rPr>
        <w:t>llo</w:t>
      </w:r>
      <w:r>
        <w:t xml:space="preserve"> de dientes de madera de </w:t>
      </w:r>
      <w:proofErr w:type="spellStart"/>
      <w:r w:rsidRPr="00B42053">
        <w:rPr>
          <w:i/>
          <w:iCs/>
        </w:rPr>
        <w:t>nāgalatā</w:t>
      </w:r>
      <w:proofErr w:type="spellEnd"/>
      <w:r>
        <w:t xml:space="preserve"> y se lavaba la boca en el lago </w:t>
      </w:r>
      <w:proofErr w:type="spellStart"/>
      <w:r>
        <w:t>Anotatta</w:t>
      </w:r>
      <w:proofErr w:type="spellEnd"/>
      <w:r>
        <w:t xml:space="preserve">. Luego, después de recolectar </w:t>
      </w:r>
      <w:r w:rsidR="000C7D4A">
        <w:t xml:space="preserve">ofrenda de alimentos </w:t>
      </w:r>
      <w:r>
        <w:t xml:space="preserve">entre los </w:t>
      </w:r>
      <w:proofErr w:type="spellStart"/>
      <w:r>
        <w:t>Uttarakurus</w:t>
      </w:r>
      <w:proofErr w:type="spellEnd"/>
      <w:r>
        <w:t xml:space="preserve">, la comía </w:t>
      </w:r>
      <w:r w:rsidR="009A65CB">
        <w:t>a</w:t>
      </w:r>
      <w:r>
        <w:t xml:space="preserve"> orillas de ese lago. Cada día el </w:t>
      </w:r>
      <w:r w:rsidR="000C7D4A">
        <w:t>Venerable</w:t>
      </w:r>
      <w:r>
        <w:t xml:space="preserve"> Sāriputta </w:t>
      </w:r>
      <w:r w:rsidR="000C7D4A">
        <w:t>iba hasta</w:t>
      </w:r>
      <w:r>
        <w:t xml:space="preserve"> allí y </w:t>
      </w:r>
      <w:r w:rsidR="000C7D4A">
        <w:t xml:space="preserve">rendía reverencia </w:t>
      </w:r>
      <w:r>
        <w:t xml:space="preserve">al </w:t>
      </w:r>
      <w:r w:rsidR="000C7D4A">
        <w:rPr>
          <w:i/>
          <w:iCs/>
        </w:rPr>
        <w:t>Bhagavā</w:t>
      </w:r>
      <w:r>
        <w:t>, quien le d</w:t>
      </w:r>
      <w:r w:rsidR="000C7D4A">
        <w:t>ecía</w:t>
      </w:r>
      <w:r>
        <w:t>: “Hoy enseñé ta</w:t>
      </w:r>
      <w:r w:rsidR="000C7D4A">
        <w:t>l</w:t>
      </w:r>
      <w:r>
        <w:t xml:space="preserve"> </w:t>
      </w:r>
      <w:r w:rsidR="00057BF4" w:rsidRPr="00057BF4">
        <w:rPr>
          <w:i/>
        </w:rPr>
        <w:t>Dhamma</w:t>
      </w:r>
      <w:r>
        <w:t xml:space="preserve">”, y le </w:t>
      </w:r>
      <w:r w:rsidR="000C7D4A">
        <w:t xml:space="preserve">impartía </w:t>
      </w:r>
      <w:r>
        <w:t xml:space="preserve">el método. De esta manera dio una exposición ininterrumpida del </w:t>
      </w:r>
      <w:proofErr w:type="spellStart"/>
      <w:r w:rsidRPr="00B42053">
        <w:rPr>
          <w:i/>
          <w:iCs/>
        </w:rPr>
        <w:t>Abhi</w:t>
      </w:r>
      <w:r w:rsidR="00057BF4" w:rsidRPr="00057BF4">
        <w:rPr>
          <w:i/>
          <w:iCs/>
        </w:rPr>
        <w:t>dhamma</w:t>
      </w:r>
      <w:proofErr w:type="spellEnd"/>
      <w:r>
        <w:t xml:space="preserve"> durante tres meses. Ochenta millones de deidades penetraron el </w:t>
      </w:r>
      <w:r w:rsidR="00057BF4" w:rsidRPr="00057BF4">
        <w:rPr>
          <w:i/>
        </w:rPr>
        <w:t>Dhamma</w:t>
      </w:r>
      <w:r>
        <w:t xml:space="preserve"> al escucharlo.</w:t>
      </w:r>
    </w:p>
    <w:p w14:paraId="1ADFEA19" w14:textId="77CC707E" w:rsidR="00191C92" w:rsidRDefault="00191C92" w:rsidP="00191C92">
      <w:r>
        <w:t xml:space="preserve">74. </w:t>
      </w:r>
      <w:r>
        <w:tab/>
      </w:r>
      <w:r w:rsidR="00486BF8">
        <w:t>En la ocasión</w:t>
      </w:r>
      <w:r>
        <w:t xml:space="preserve"> del Milagro Gemelo se </w:t>
      </w:r>
      <w:r w:rsidR="00486BF8">
        <w:t xml:space="preserve">congregó </w:t>
      </w:r>
      <w:r>
        <w:t xml:space="preserve">una asamblea </w:t>
      </w:r>
      <w:r w:rsidR="00486BF8">
        <w:t xml:space="preserve">de </w:t>
      </w:r>
      <w:r w:rsidR="00815CEA">
        <w:t xml:space="preserve">hombre de </w:t>
      </w:r>
      <w:r>
        <w:t xml:space="preserve">doce leguas de ancho. Entonces, diciendo: "Nos dispersaremos cuando hayamos visto al </w:t>
      </w:r>
      <w:r w:rsidR="00486BF8">
        <w:rPr>
          <w:i/>
          <w:iCs/>
        </w:rPr>
        <w:t>Bhagavā</w:t>
      </w:r>
      <w:r>
        <w:t xml:space="preserve">", acamparon y </w:t>
      </w:r>
      <w:r w:rsidR="00FF19FC">
        <w:t xml:space="preserve">aguardaron </w:t>
      </w:r>
      <w:r>
        <w:t xml:space="preserve">allí. </w:t>
      </w:r>
      <w:proofErr w:type="spellStart"/>
      <w:r>
        <w:t>Anāthapiṇḍika</w:t>
      </w:r>
      <w:proofErr w:type="spellEnd"/>
      <w:r>
        <w:t xml:space="preserve"> el Menor</w:t>
      </w:r>
      <w:r w:rsidRPr="009C7A89">
        <w:rPr>
          <w:vertAlign w:val="superscript"/>
        </w:rPr>
        <w:t>16</w:t>
      </w:r>
      <w:r>
        <w:t xml:space="preserve"> supl</w:t>
      </w:r>
      <w:r w:rsidR="00FF19FC">
        <w:t>ió</w:t>
      </w:r>
      <w:r>
        <w:t xml:space="preserve"> todas sus necesidades. La gente le pidió al </w:t>
      </w:r>
      <w:r w:rsidR="00FF19FC">
        <w:t xml:space="preserve">Venerable </w:t>
      </w:r>
      <w:proofErr w:type="spellStart"/>
      <w:r>
        <w:t>Anuruddha</w:t>
      </w:r>
      <w:proofErr w:type="spellEnd"/>
      <w:r>
        <w:t xml:space="preserve"> que averiguara dónde estaba el </w:t>
      </w:r>
      <w:r w:rsidR="00FF19FC">
        <w:rPr>
          <w:i/>
          <w:iCs/>
        </w:rPr>
        <w:t>Bhagavā</w:t>
      </w:r>
      <w:r>
        <w:t xml:space="preserve">. El </w:t>
      </w:r>
      <w:r w:rsidR="00FF19FC">
        <w:t xml:space="preserve">Venerable </w:t>
      </w:r>
      <w:r>
        <w:t>extendió la luz, y con el ojo divino vio d</w:t>
      </w:r>
      <w:r w:rsidR="009F7A0A">
        <w:t>ó</w:t>
      </w:r>
      <w:r>
        <w:t xml:space="preserve">nde el </w:t>
      </w:r>
      <w:r w:rsidR="00FF19FC">
        <w:rPr>
          <w:i/>
          <w:iCs/>
        </w:rPr>
        <w:t>Bhagavā</w:t>
      </w:r>
      <w:r w:rsidR="00FF19FC">
        <w:t xml:space="preserve"> </w:t>
      </w:r>
      <w:r>
        <w:t xml:space="preserve">había tomado residencia </w:t>
      </w:r>
      <w:r w:rsidR="00FF19FC">
        <w:t>durante la estación de</w:t>
      </w:r>
      <w:r>
        <w:t xml:space="preserve"> Lluvias. Tan pronto como vio esto, lo anunció.</w:t>
      </w:r>
    </w:p>
    <w:p w14:paraId="1B247B9B" w14:textId="0EDE2954" w:rsidR="00191C92" w:rsidRDefault="00191C92" w:rsidP="00191C92">
      <w:r>
        <w:t xml:space="preserve">75. </w:t>
      </w:r>
      <w:r>
        <w:tab/>
        <w:t xml:space="preserve">Le pidieron al </w:t>
      </w:r>
      <w:r w:rsidR="00503A91">
        <w:t xml:space="preserve">Venerable </w:t>
      </w:r>
      <w:r>
        <w:t xml:space="preserve">Mahā Moggallāna que rindiera </w:t>
      </w:r>
      <w:r w:rsidR="00F35F97">
        <w:t>reverencia</w:t>
      </w:r>
      <w:r>
        <w:t xml:space="preserve"> al </w:t>
      </w:r>
      <w:r w:rsidR="00F35F97">
        <w:rPr>
          <w:i/>
          <w:iCs/>
        </w:rPr>
        <w:t>Bhagavā</w:t>
      </w:r>
      <w:r>
        <w:t xml:space="preserve">. En medio de la </w:t>
      </w:r>
      <w:r w:rsidR="00F35F97">
        <w:t>congregación</w:t>
      </w:r>
      <w:r>
        <w:t xml:space="preserve"> el </w:t>
      </w:r>
      <w:r w:rsidR="00F35F97">
        <w:t xml:space="preserve">Venerable </w:t>
      </w:r>
      <w:r>
        <w:t xml:space="preserve">se zambulló en la tierra. Luego, partiendo </w:t>
      </w:r>
      <w:r w:rsidR="00F35F97">
        <w:t xml:space="preserve">hacia </w:t>
      </w:r>
      <w:r>
        <w:t xml:space="preserve">el monte </w:t>
      </w:r>
    </w:p>
    <w:p w14:paraId="61A69776" w14:textId="2DE53FF2" w:rsidR="00191C92" w:rsidRPr="00191C92" w:rsidRDefault="00191C92" w:rsidP="00191C92">
      <w:pPr>
        <w:pStyle w:val="PiedepginaLegal"/>
        <w:rPr>
          <w:u w:val="single"/>
        </w:rPr>
      </w:pPr>
      <w:r w:rsidRPr="00191C92">
        <w:rPr>
          <w:u w:val="single"/>
        </w:rPr>
        <w:t xml:space="preserve">                                                                                                                                                    .</w:t>
      </w:r>
    </w:p>
    <w:p w14:paraId="4F0D85DF" w14:textId="17C3528D" w:rsidR="00191C92" w:rsidRDefault="00191C92" w:rsidP="00191C92">
      <w:pPr>
        <w:pStyle w:val="PiedepginaLegal"/>
      </w:pPr>
      <w:r>
        <w:t xml:space="preserve">14. </w:t>
      </w:r>
      <w:r>
        <w:tab/>
      </w:r>
      <w:proofErr w:type="spellStart"/>
      <w:r w:rsidRPr="00B42053">
        <w:rPr>
          <w:i/>
          <w:iCs/>
        </w:rPr>
        <w:t>Kūṭāgāra</w:t>
      </w:r>
      <w:proofErr w:type="spellEnd"/>
      <w:r>
        <w:t xml:space="preserve">—“palanquín”: no en este sentido en </w:t>
      </w:r>
      <w:r w:rsidR="009C0D71">
        <w:t xml:space="preserve">el </w:t>
      </w:r>
      <w:r>
        <w:t xml:space="preserve">PED. Véase la historia en M-a V 90, donde se </w:t>
      </w:r>
      <w:r w:rsidR="009C0D71">
        <w:t>narra</w:t>
      </w:r>
      <w:r>
        <w:t xml:space="preserve"> cómo el arquitecto de </w:t>
      </w:r>
      <w:r w:rsidRPr="009C0D71">
        <w:rPr>
          <w:i/>
          <w:iCs/>
        </w:rPr>
        <w:t>Sakka</w:t>
      </w:r>
      <w:r>
        <w:t xml:space="preserve">, </w:t>
      </w:r>
      <w:proofErr w:type="spellStart"/>
      <w:r w:rsidRPr="00B42053">
        <w:rPr>
          <w:i/>
          <w:iCs/>
        </w:rPr>
        <w:t>Vissa</w:t>
      </w:r>
      <w:r w:rsidR="00057BF4" w:rsidRPr="00057BF4">
        <w:rPr>
          <w:i/>
          <w:iCs/>
        </w:rPr>
        <w:t>kamma</w:t>
      </w:r>
      <w:proofErr w:type="spellEnd"/>
      <w:r>
        <w:t xml:space="preserve">, </w:t>
      </w:r>
      <w:r w:rsidR="009C0D71">
        <w:t>produjo</w:t>
      </w:r>
      <w:r>
        <w:t xml:space="preserve"> 500 de estos para que el </w:t>
      </w:r>
      <w:r w:rsidR="00057BF4" w:rsidRPr="00057BF4">
        <w:rPr>
          <w:i/>
        </w:rPr>
        <w:t>Buddha</w:t>
      </w:r>
      <w:r>
        <w:t xml:space="preserve"> viajara por el aire. La misma palabra también se usa comúnmente en los Comentarios para </w:t>
      </w:r>
      <w:r w:rsidR="00D4138F">
        <w:t>un</w:t>
      </w:r>
      <w:r>
        <w:t xml:space="preserve">a estructura portátil (catafalco) en la que se lleva un féretro a la pira. Esto, construido a menudo en forma de casa, todavía se usa </w:t>
      </w:r>
      <w:r w:rsidR="00D4138F">
        <w:t xml:space="preserve">en la actualidad </w:t>
      </w:r>
      <w:r>
        <w:t xml:space="preserve">en Sri Lanka y se </w:t>
      </w:r>
      <w:r w:rsidR="00D4138F">
        <w:t xml:space="preserve">le </w:t>
      </w:r>
      <w:r>
        <w:t xml:space="preserve">llama </w:t>
      </w:r>
      <w:proofErr w:type="spellStart"/>
      <w:r w:rsidRPr="00B42053">
        <w:rPr>
          <w:i/>
          <w:iCs/>
        </w:rPr>
        <w:t>ransivi</w:t>
      </w:r>
      <w:proofErr w:type="spellEnd"/>
      <w:r>
        <w:t>-</w:t>
      </w:r>
      <w:r w:rsidRPr="00040E43">
        <w:rPr>
          <w:i/>
          <w:iCs/>
        </w:rPr>
        <w:t>ge</w:t>
      </w:r>
      <w:r>
        <w:t xml:space="preserve">. Véase el comentario A-a de AN 3:42 y de AN 1:38; también </w:t>
      </w:r>
      <w:r w:rsidR="00481237">
        <w:t xml:space="preserve">el </w:t>
      </w:r>
      <w:proofErr w:type="spellStart"/>
      <w:r>
        <w:t>Dhp</w:t>
      </w:r>
      <w:proofErr w:type="spellEnd"/>
      <w:r>
        <w:t xml:space="preserve">-a III 470. No en este sentido en </w:t>
      </w:r>
      <w:r w:rsidR="00D4138F">
        <w:t xml:space="preserve">el </w:t>
      </w:r>
      <w:r>
        <w:t>PED.</w:t>
      </w:r>
    </w:p>
    <w:p w14:paraId="54D5AD74" w14:textId="58C3BEF5" w:rsidR="00191C92" w:rsidRDefault="00191C92" w:rsidP="00191C92">
      <w:pPr>
        <w:pStyle w:val="PiedepginaLegal"/>
      </w:pPr>
      <w:r>
        <w:t xml:space="preserve">15. </w:t>
      </w:r>
      <w:r>
        <w:tab/>
        <w:t xml:space="preserve">El único libro del </w:t>
      </w:r>
      <w:r w:rsidRPr="00D4138F">
        <w:rPr>
          <w:i/>
          <w:iCs/>
        </w:rPr>
        <w:t>Tipiṭaka</w:t>
      </w:r>
      <w:r>
        <w:t xml:space="preserve"> que menciona el Milagro Gemelo es el </w:t>
      </w:r>
      <w:proofErr w:type="spellStart"/>
      <w:r w:rsidRPr="00B42053">
        <w:rPr>
          <w:i/>
          <w:iCs/>
        </w:rPr>
        <w:t>Paṭisambhidāmagga</w:t>
      </w:r>
      <w:proofErr w:type="spellEnd"/>
      <w:r>
        <w:t xml:space="preserve"> (</w:t>
      </w:r>
      <w:proofErr w:type="spellStart"/>
      <w:r w:rsidRPr="00D4138F">
        <w:rPr>
          <w:i/>
          <w:iCs/>
        </w:rPr>
        <w:t>Pa</w:t>
      </w:r>
      <w:r w:rsidR="00D4138F" w:rsidRPr="00D4138F">
        <w:rPr>
          <w:i/>
          <w:iCs/>
        </w:rPr>
        <w:t>ṭ</w:t>
      </w:r>
      <w:r w:rsidRPr="00D4138F">
        <w:rPr>
          <w:i/>
          <w:iCs/>
        </w:rPr>
        <w:t>is</w:t>
      </w:r>
      <w:proofErr w:type="spellEnd"/>
      <w:r>
        <w:t xml:space="preserve"> I 53).16 </w:t>
      </w:r>
    </w:p>
    <w:p w14:paraId="7FBE565B" w14:textId="77777777" w:rsidR="00191C92" w:rsidRDefault="00191C92" w:rsidP="00191C92">
      <w:pPr>
        <w:pStyle w:val="PiedepginaLegal"/>
      </w:pPr>
      <w:r>
        <w:t xml:space="preserve">16. </w:t>
      </w:r>
      <w:r>
        <w:tab/>
        <w:t xml:space="preserve">El hermano menor de </w:t>
      </w:r>
      <w:proofErr w:type="spellStart"/>
      <w:r w:rsidRPr="00B42053">
        <w:rPr>
          <w:i/>
          <w:iCs/>
        </w:rPr>
        <w:t>Anathapiṇḍika</w:t>
      </w:r>
      <w:proofErr w:type="spellEnd"/>
      <w:r>
        <w:t xml:space="preserve"> (</w:t>
      </w:r>
      <w:proofErr w:type="spellStart"/>
      <w:r>
        <w:t>Vism-mhþ</w:t>
      </w:r>
      <w:proofErr w:type="spellEnd"/>
      <w:r>
        <w:t xml:space="preserve"> 391).</w:t>
      </w:r>
    </w:p>
    <w:p w14:paraId="23C05701" w14:textId="77777777" w:rsidR="00191C92" w:rsidRDefault="00191C92" w:rsidP="00191C92"/>
    <w:p w14:paraId="5336034D" w14:textId="77777777" w:rsidR="00191C92" w:rsidRDefault="00191C92">
      <w:pPr>
        <w:tabs>
          <w:tab w:val="clear" w:pos="425"/>
        </w:tabs>
        <w:spacing w:after="160"/>
      </w:pPr>
      <w:r>
        <w:br w:type="page"/>
      </w:r>
    </w:p>
    <w:p w14:paraId="2787DDE9" w14:textId="77777777" w:rsidR="00787139" w:rsidRDefault="00787139" w:rsidP="00191C92"/>
    <w:p w14:paraId="7FE15141" w14:textId="4A72C42D" w:rsidR="00787139" w:rsidRDefault="00394C02" w:rsidP="00787139">
      <w:proofErr w:type="spellStart"/>
      <w:r>
        <w:t>Sineru</w:t>
      </w:r>
      <w:proofErr w:type="spellEnd"/>
      <w:r>
        <w:t xml:space="preserve">, emergió </w:t>
      </w:r>
      <w:r w:rsidR="00787139">
        <w:t>a</w:t>
      </w:r>
      <w:r>
        <w:t>nte</w:t>
      </w:r>
      <w:r w:rsidR="00787139">
        <w:t xml:space="preserve"> los pies del Perfecto, y rindió </w:t>
      </w:r>
      <w:r>
        <w:t xml:space="preserve">reverencia </w:t>
      </w:r>
      <w:r w:rsidR="00787139">
        <w:t>a</w:t>
      </w:r>
      <w:r>
        <w:t>nte</w:t>
      </w:r>
      <w:r w:rsidR="00787139">
        <w:t xml:space="preserve"> los pies del </w:t>
      </w:r>
      <w:r w:rsidRPr="00394C02">
        <w:rPr>
          <w:i/>
          <w:iCs/>
        </w:rPr>
        <w:t>Bhagavā</w:t>
      </w:r>
      <w:r w:rsidR="00787139">
        <w:t xml:space="preserve">. Esto es lo que le dijo al </w:t>
      </w:r>
      <w:r w:rsidR="004A3BBB">
        <w:rPr>
          <w:i/>
          <w:iCs/>
        </w:rPr>
        <w:t>Bhagavā</w:t>
      </w:r>
      <w:r w:rsidR="00787139">
        <w:t xml:space="preserve">: “Venerable </w:t>
      </w:r>
      <w:r w:rsidR="004A3BBB">
        <w:t>Señor</w:t>
      </w:r>
      <w:r w:rsidR="00787139">
        <w:t xml:space="preserve">, los habitantes de </w:t>
      </w:r>
      <w:proofErr w:type="spellStart"/>
      <w:r w:rsidR="00787139">
        <w:t>Jambudīpa</w:t>
      </w:r>
      <w:proofErr w:type="spellEnd"/>
      <w:r w:rsidR="00787139">
        <w:t xml:space="preserve"> rinden </w:t>
      </w:r>
      <w:r w:rsidR="004A3BBB">
        <w:t xml:space="preserve">reverencia </w:t>
      </w:r>
      <w:r w:rsidR="00787139">
        <w:t xml:space="preserve">a los pies del </w:t>
      </w:r>
      <w:r w:rsidR="004A3BBB">
        <w:rPr>
          <w:i/>
          <w:iCs/>
        </w:rPr>
        <w:t>Bhagavā</w:t>
      </w:r>
      <w:r w:rsidR="00787139">
        <w:t xml:space="preserve">, y dicen: 'Nos dispersaremos cuando hayamos visto al </w:t>
      </w:r>
      <w:r w:rsidR="004A3BBB">
        <w:rPr>
          <w:i/>
          <w:iCs/>
        </w:rPr>
        <w:t>Bhagavā</w:t>
      </w:r>
      <w:r w:rsidR="00787139">
        <w:t xml:space="preserve">”. El </w:t>
      </w:r>
      <w:r w:rsidR="004A3BBB">
        <w:rPr>
          <w:i/>
          <w:iCs/>
        </w:rPr>
        <w:t>Bhagavā</w:t>
      </w:r>
      <w:r w:rsidR="004A3BBB">
        <w:t xml:space="preserve"> </w:t>
      </w:r>
      <w:r w:rsidR="00787139">
        <w:t>dijo: “</w:t>
      </w:r>
      <w:proofErr w:type="gramStart"/>
      <w:r w:rsidR="00787139">
        <w:t>Pero ,</w:t>
      </w:r>
      <w:proofErr w:type="gramEnd"/>
      <w:r w:rsidR="00787139">
        <w:t xml:space="preserve"> Moggallāna, ¿dónde está </w:t>
      </w:r>
      <w:r w:rsidR="009F7A0A">
        <w:t>s</w:t>
      </w:r>
      <w:r w:rsidR="00787139">
        <w:t xml:space="preserve">u hermano mayor, el General del </w:t>
      </w:r>
      <w:r w:rsidR="00057BF4" w:rsidRPr="00057BF4">
        <w:rPr>
          <w:i/>
        </w:rPr>
        <w:t>Dhamma</w:t>
      </w:r>
      <w:r w:rsidR="00787139">
        <w:t xml:space="preserve">?”—“En la ciudad de </w:t>
      </w:r>
      <w:proofErr w:type="spellStart"/>
      <w:r w:rsidR="00787139">
        <w:t>Saṅkassa</w:t>
      </w:r>
      <w:proofErr w:type="spellEnd"/>
      <w:r w:rsidR="00787139">
        <w:t xml:space="preserve">, </w:t>
      </w:r>
      <w:r w:rsidR="004A3BBB">
        <w:t>Venerable Señor</w:t>
      </w:r>
      <w:r w:rsidR="00787139">
        <w:t>.”—“Moggallāna, aquellos que deseen verme debe</w:t>
      </w:r>
      <w:r w:rsidR="004A3BBB">
        <w:t>rá</w:t>
      </w:r>
      <w:r w:rsidR="00787139">
        <w:t xml:space="preserve">n </w:t>
      </w:r>
      <w:r w:rsidR="009F7A0A">
        <w:t>acudir</w:t>
      </w:r>
      <w:r w:rsidR="00787139">
        <w:t xml:space="preserve"> mañana a la ciudad de </w:t>
      </w:r>
      <w:proofErr w:type="spellStart"/>
      <w:r w:rsidR="00787139">
        <w:t>Saṅkassa</w:t>
      </w:r>
      <w:proofErr w:type="spellEnd"/>
      <w:r w:rsidR="00787139">
        <w:t xml:space="preserve">. Mañana siendo el día </w:t>
      </w:r>
      <w:proofErr w:type="spellStart"/>
      <w:r w:rsidR="00057BF4" w:rsidRPr="00057BF4">
        <w:rPr>
          <w:i/>
        </w:rPr>
        <w:t>Uposatha</w:t>
      </w:r>
      <w:proofErr w:type="spellEnd"/>
      <w:r w:rsidR="00787139">
        <w:t xml:space="preserve"> de </w:t>
      </w:r>
      <w:r w:rsidR="005E47FF">
        <w:t xml:space="preserve">Luna </w:t>
      </w:r>
      <w:r w:rsidR="00787139">
        <w:t xml:space="preserve">llena, descenderé a la ciudad de </w:t>
      </w:r>
      <w:proofErr w:type="spellStart"/>
      <w:r w:rsidR="00787139">
        <w:t>Saṅkassa</w:t>
      </w:r>
      <w:proofErr w:type="spellEnd"/>
      <w:r w:rsidR="00787139">
        <w:t xml:space="preserve"> para la ceremonia </w:t>
      </w:r>
      <w:proofErr w:type="spellStart"/>
      <w:r w:rsidR="00787139" w:rsidRPr="00B42053">
        <w:rPr>
          <w:i/>
          <w:iCs/>
        </w:rPr>
        <w:t>Mahāpavāraṇā</w:t>
      </w:r>
      <w:proofErr w:type="spellEnd"/>
      <w:r w:rsidR="00787139">
        <w:t>”.</w:t>
      </w:r>
    </w:p>
    <w:p w14:paraId="01F72101" w14:textId="09D55D4E" w:rsidR="00787139" w:rsidRDefault="00787139" w:rsidP="00787139">
      <w:r>
        <w:t xml:space="preserve">76. </w:t>
      </w:r>
      <w:r>
        <w:tab/>
        <w:t xml:space="preserve">Diciendo: "Bien, </w:t>
      </w:r>
      <w:r w:rsidR="005E47FF">
        <w:t>Venerable Señor</w:t>
      </w:r>
      <w:r>
        <w:t xml:space="preserve">", el </w:t>
      </w:r>
      <w:r w:rsidR="005E47FF">
        <w:t xml:space="preserve">Venerable </w:t>
      </w:r>
      <w:r>
        <w:t xml:space="preserve">rindió </w:t>
      </w:r>
      <w:r w:rsidR="00240417">
        <w:t>reverencia</w:t>
      </w:r>
      <w:r>
        <w:t xml:space="preserve"> a Aquel de las Diez Potestades, y descendiendo por el </w:t>
      </w:r>
      <w:r w:rsidR="005E47FF">
        <w:t>trayecto</w:t>
      </w:r>
      <w:r>
        <w:t xml:space="preserve"> </w:t>
      </w:r>
      <w:r w:rsidR="00053FBA">
        <w:t xml:space="preserve">por el </w:t>
      </w:r>
      <w:r>
        <w:t xml:space="preserve">que había </w:t>
      </w:r>
      <w:r w:rsidR="00053FBA">
        <w:t>llegado</w:t>
      </w:r>
      <w:r w:rsidR="00AD41F3">
        <w:rPr>
          <w:lang w:val="es-MX"/>
        </w:rPr>
        <w:t xml:space="preserve"> a este cielo</w:t>
      </w:r>
      <w:r>
        <w:t xml:space="preserve">, </w:t>
      </w:r>
      <w:r w:rsidR="00AD41F3">
        <w:t xml:space="preserve">regresó </w:t>
      </w:r>
      <w:r>
        <w:t xml:space="preserve">a la </w:t>
      </w:r>
      <w:r w:rsidR="00502234">
        <w:t>civilización</w:t>
      </w:r>
      <w:r>
        <w:t xml:space="preserve"> humana. Y a la hora de su ida y de su </w:t>
      </w:r>
      <w:r w:rsidR="00502234">
        <w:t xml:space="preserve">regresó </w:t>
      </w:r>
      <w:r>
        <w:t xml:space="preserve">resolvió que la gente lo viera. </w:t>
      </w:r>
      <w:r w:rsidR="00AD41F3">
        <w:t>É</w:t>
      </w:r>
      <w:r>
        <w:t xml:space="preserve">ste, en primer lugar, es el milagro de hacerse evidente </w:t>
      </w:r>
      <w:r w:rsidR="00502234">
        <w:t xml:space="preserve">realizado aquí por </w:t>
      </w:r>
      <w:r>
        <w:t xml:space="preserve">el </w:t>
      </w:r>
      <w:r w:rsidR="00502234">
        <w:t xml:space="preserve">Venerable </w:t>
      </w:r>
      <w:r>
        <w:t xml:space="preserve">Mahā Moggallāna. Habiendo </w:t>
      </w:r>
      <w:r w:rsidR="00502234">
        <w:t>regresado</w:t>
      </w:r>
      <w:r>
        <w:t xml:space="preserve"> así, relató lo que había sucedido, y dijo: “Salid después de la comida de la mañana y no hagáis caso </w:t>
      </w:r>
      <w:r w:rsidR="00502234">
        <w:t>a</w:t>
      </w:r>
      <w:r>
        <w:t xml:space="preserve"> la distancia” prometiendo así que </w:t>
      </w:r>
      <w:r w:rsidR="009950C6">
        <w:t xml:space="preserve">iban a poder </w:t>
      </w:r>
      <w:r>
        <w:t xml:space="preserve">ver </w:t>
      </w:r>
      <w:r w:rsidR="00415680">
        <w:t xml:space="preserve">al </w:t>
      </w:r>
      <w:r w:rsidR="00415680" w:rsidRPr="009F6F17">
        <w:rPr>
          <w:i/>
          <w:iCs/>
        </w:rPr>
        <w:t>Buddha</w:t>
      </w:r>
      <w:r w:rsidR="00415680">
        <w:t xml:space="preserve"> </w:t>
      </w:r>
      <w:r>
        <w:t>a pesar de la distancia.</w:t>
      </w:r>
    </w:p>
    <w:p w14:paraId="00B9D68B" w14:textId="2149513E" w:rsidR="00787139" w:rsidRDefault="00787139" w:rsidP="00787139">
      <w:r>
        <w:t xml:space="preserve">77. </w:t>
      </w:r>
      <w:r>
        <w:tab/>
        <w:t xml:space="preserve">El </w:t>
      </w:r>
      <w:r w:rsidR="00415680">
        <w:rPr>
          <w:i/>
          <w:iCs/>
        </w:rPr>
        <w:t>Bhagavā</w:t>
      </w:r>
      <w:r w:rsidR="00415680">
        <w:t xml:space="preserve"> </w:t>
      </w:r>
      <w:r>
        <w:t xml:space="preserve">informó a </w:t>
      </w:r>
      <w:r w:rsidRPr="00415680">
        <w:rPr>
          <w:i/>
          <w:iCs/>
        </w:rPr>
        <w:t>Sakka</w:t>
      </w:r>
      <w:r>
        <w:t xml:space="preserve">, Gobernante de los Dioses: “Mañana, </w:t>
      </w:r>
      <w:r w:rsidR="009F6F17">
        <w:t>¡</w:t>
      </w:r>
      <w:r>
        <w:t>oh</w:t>
      </w:r>
      <w:r w:rsidR="009F6F17">
        <w:t>!</w:t>
      </w:r>
      <w:r>
        <w:t xml:space="preserve"> Rey, </w:t>
      </w:r>
      <w:r w:rsidR="00415680">
        <w:t>regres</w:t>
      </w:r>
      <w:r w:rsidR="009F6F17">
        <w:t>aré</w:t>
      </w:r>
      <w:r>
        <w:t xml:space="preserve"> al mundo humano”. El Gobernante de los Dioses [392] ordenó a </w:t>
      </w:r>
      <w:proofErr w:type="spellStart"/>
      <w:r w:rsidRPr="00A6293E">
        <w:t>Vissa</w:t>
      </w:r>
      <w:r w:rsidR="00057BF4" w:rsidRPr="00A6293E">
        <w:t>kamma</w:t>
      </w:r>
      <w:proofErr w:type="spellEnd"/>
      <w:r>
        <w:t xml:space="preserve">: “Buen amigo, el </w:t>
      </w:r>
      <w:r w:rsidR="00415680">
        <w:rPr>
          <w:i/>
          <w:iCs/>
        </w:rPr>
        <w:t>Bhagavā</w:t>
      </w:r>
      <w:r w:rsidR="00415680">
        <w:t xml:space="preserve"> </w:t>
      </w:r>
      <w:r>
        <w:t xml:space="preserve">desea </w:t>
      </w:r>
      <w:r w:rsidR="00415680">
        <w:t>regresar</w:t>
      </w:r>
      <w:r>
        <w:t xml:space="preserve"> mañana al mundo humano. Construy</w:t>
      </w:r>
      <w:r w:rsidR="00415680">
        <w:t>a</w:t>
      </w:r>
      <w:r>
        <w:t xml:space="preserve"> tres tramos de escaleras, uno de oro, </w:t>
      </w:r>
      <w:r w:rsidR="009F6F17">
        <w:t xml:space="preserve">otro </w:t>
      </w:r>
      <w:r>
        <w:t xml:space="preserve">de plata y </w:t>
      </w:r>
      <w:r w:rsidR="009F6F17">
        <w:t xml:space="preserve">otro </w:t>
      </w:r>
      <w:r>
        <w:t xml:space="preserve">de cristal. </w:t>
      </w:r>
      <w:r w:rsidR="00415680">
        <w:t>Y a</w:t>
      </w:r>
      <w:r>
        <w:t xml:space="preserve">sí </w:t>
      </w:r>
      <w:r w:rsidR="00415680">
        <w:t>se</w:t>
      </w:r>
      <w:r>
        <w:t xml:space="preserve"> hizo.</w:t>
      </w:r>
    </w:p>
    <w:p w14:paraId="7468484B" w14:textId="489FC530" w:rsidR="00787139" w:rsidRDefault="00787139" w:rsidP="00787139">
      <w:r>
        <w:t xml:space="preserve">78. </w:t>
      </w:r>
      <w:r>
        <w:tab/>
        <w:t xml:space="preserve">Al día siguiente, el </w:t>
      </w:r>
      <w:r w:rsidR="00415680">
        <w:rPr>
          <w:i/>
          <w:iCs/>
        </w:rPr>
        <w:t>Bhagavā</w:t>
      </w:r>
      <w:r w:rsidR="00415680">
        <w:t xml:space="preserve"> </w:t>
      </w:r>
      <w:r>
        <w:t>se paró en la cima de</w:t>
      </w:r>
      <w:r w:rsidR="00AA05F5">
        <w:t>l monte</w:t>
      </w:r>
      <w:r>
        <w:t xml:space="preserve"> </w:t>
      </w:r>
      <w:proofErr w:type="spellStart"/>
      <w:r>
        <w:t>Sineru</w:t>
      </w:r>
      <w:proofErr w:type="spellEnd"/>
      <w:r>
        <w:t xml:space="preserve"> y contempló l</w:t>
      </w:r>
      <w:r w:rsidR="00E23B29">
        <w:t>os</w:t>
      </w:r>
      <w:r>
        <w:t xml:space="preserve"> elemento</w:t>
      </w:r>
      <w:r w:rsidR="00E23B29">
        <w:t>s</w:t>
      </w:r>
      <w:r w:rsidR="00636314">
        <w:t xml:space="preserve"> del </w:t>
      </w:r>
      <w:r>
        <w:t xml:space="preserve">mundo hacia el este. </w:t>
      </w:r>
      <w:r w:rsidR="005F45C0">
        <w:t>Muchos miles</w:t>
      </w:r>
      <w:r>
        <w:t xml:space="preserve"> de esferas </w:t>
      </w:r>
      <w:r w:rsidR="009F6F17">
        <w:t>estelares</w:t>
      </w:r>
      <w:r>
        <w:t xml:space="preserve"> </w:t>
      </w:r>
      <w:r w:rsidR="00AA05F5">
        <w:t xml:space="preserve">fueron </w:t>
      </w:r>
      <w:r>
        <w:t xml:space="preserve">visibles para él tan claramente como una sola llanura. Y </w:t>
      </w:r>
      <w:r w:rsidR="009F6F17">
        <w:t xml:space="preserve">así mismo </w:t>
      </w:r>
      <w:r w:rsidR="005F45C0">
        <w:t>al elemento</w:t>
      </w:r>
      <w:r w:rsidR="00636314">
        <w:rPr>
          <w:rFonts w:cs="Cormorant"/>
        </w:rPr>
        <w:t xml:space="preserve"> del </w:t>
      </w:r>
      <w:r>
        <w:t xml:space="preserve">mundo hacia el este, también vio </w:t>
      </w:r>
      <w:r w:rsidR="00E23B29">
        <w:t xml:space="preserve">a </w:t>
      </w:r>
      <w:r>
        <w:t>l</w:t>
      </w:r>
      <w:r w:rsidR="00E23B29">
        <w:t>os</w:t>
      </w:r>
      <w:r>
        <w:t xml:space="preserve"> elementos del mundo hacia el oeste, hacia el norte y hacia el sur, todos claramente visibles. Y </w:t>
      </w:r>
      <w:r w:rsidR="00DA3614">
        <w:t xml:space="preserve">divisó </w:t>
      </w:r>
      <w:r>
        <w:t xml:space="preserve">hasta </w:t>
      </w:r>
      <w:r w:rsidR="00DA3614">
        <w:t xml:space="preserve">el </w:t>
      </w:r>
      <w:r w:rsidR="009F6F17">
        <w:t xml:space="preserve">infierno </w:t>
      </w:r>
      <w:proofErr w:type="spellStart"/>
      <w:r w:rsidRPr="007333A5">
        <w:rPr>
          <w:i/>
          <w:iCs/>
        </w:rPr>
        <w:t>Avīci</w:t>
      </w:r>
      <w:proofErr w:type="spellEnd"/>
      <w:r>
        <w:t xml:space="preserve">, y hasta el Reino de los Dioses Supremos. </w:t>
      </w:r>
      <w:r w:rsidR="00DA3614">
        <w:t>A e</w:t>
      </w:r>
      <w:r>
        <w:t xml:space="preserve">se día, al parecer, se </w:t>
      </w:r>
      <w:r w:rsidR="00DA3614">
        <w:t xml:space="preserve">le </w:t>
      </w:r>
      <w:r>
        <w:t>llamó el día de la Revelación de los Mundos (</w:t>
      </w:r>
      <w:r w:rsidRPr="007333A5">
        <w:rPr>
          <w:i/>
          <w:iCs/>
        </w:rPr>
        <w:t>loka-</w:t>
      </w:r>
      <w:proofErr w:type="spellStart"/>
      <w:r w:rsidRPr="007333A5">
        <w:rPr>
          <w:i/>
          <w:iCs/>
        </w:rPr>
        <w:t>vivaraṇa</w:t>
      </w:r>
      <w:proofErr w:type="spellEnd"/>
      <w:r>
        <w:t xml:space="preserve">). Los seres humanos </w:t>
      </w:r>
      <w:r w:rsidR="00DA3614">
        <w:t xml:space="preserve">pudieron ver </w:t>
      </w:r>
      <w:r>
        <w:t xml:space="preserve">a las deidades, y las deidades vieron a los seres humanos. Y al hacerlo, los seres humanos no </w:t>
      </w:r>
      <w:r w:rsidR="00DA3614">
        <w:t xml:space="preserve">tuvieron </w:t>
      </w:r>
      <w:r>
        <w:t xml:space="preserve">que mirar hacia arriba ni las deidades hacia abajo. Todos </w:t>
      </w:r>
      <w:r w:rsidR="00DA3614">
        <w:t xml:space="preserve">llegaron a verse </w:t>
      </w:r>
      <w:r>
        <w:t>cara a cara.</w:t>
      </w:r>
    </w:p>
    <w:p w14:paraId="5FAA661E" w14:textId="20EACD76" w:rsidR="00787139" w:rsidRDefault="00787139" w:rsidP="00787139">
      <w:r>
        <w:t xml:space="preserve">79. </w:t>
      </w:r>
      <w:r>
        <w:tab/>
        <w:t xml:space="preserve">El </w:t>
      </w:r>
      <w:r w:rsidR="00DA3614">
        <w:rPr>
          <w:i/>
          <w:iCs/>
        </w:rPr>
        <w:t>Bhagavā</w:t>
      </w:r>
      <w:r w:rsidR="00DA3614">
        <w:t xml:space="preserve"> </w:t>
      </w:r>
      <w:r>
        <w:t xml:space="preserve">descendió por el tramo </w:t>
      </w:r>
      <w:r w:rsidR="00FC62BF">
        <w:t>inter</w:t>
      </w:r>
      <w:r>
        <w:t xml:space="preserve">medio de </w:t>
      </w:r>
      <w:r w:rsidR="00B12EE5">
        <w:t xml:space="preserve">la </w:t>
      </w:r>
      <w:r>
        <w:t xml:space="preserve">escalera hecha de cristal; las deidades de los cielos de las seis esferas </w:t>
      </w:r>
      <w:r w:rsidR="00BA264C">
        <w:t>sensoriales</w:t>
      </w:r>
      <w:r>
        <w:t xml:space="preserve"> por el del lado izquierdo</w:t>
      </w:r>
      <w:r w:rsidR="00B12EE5">
        <w:t xml:space="preserve">, el fabricado </w:t>
      </w:r>
      <w:r>
        <w:t>de oro; y las deidades de l</w:t>
      </w:r>
      <w:r w:rsidR="00FC62BF">
        <w:t>a</w:t>
      </w:r>
      <w:r>
        <w:t xml:space="preserve">s </w:t>
      </w:r>
      <w:r w:rsidR="00FC62BF">
        <w:t xml:space="preserve">Esferas </w:t>
      </w:r>
      <w:r>
        <w:t xml:space="preserve">Puras, y el Gran </w:t>
      </w:r>
      <w:r w:rsidR="00057BF4" w:rsidRPr="00057BF4">
        <w:rPr>
          <w:i/>
        </w:rPr>
        <w:t>Brahmā</w:t>
      </w:r>
      <w:r>
        <w:t>, por el lado derecho</w:t>
      </w:r>
      <w:r w:rsidR="00B12EE5">
        <w:t>,</w:t>
      </w:r>
      <w:r>
        <w:t xml:space="preserve"> </w:t>
      </w:r>
      <w:r w:rsidR="00B12EE5">
        <w:t xml:space="preserve">el fabricado </w:t>
      </w:r>
      <w:r>
        <w:t xml:space="preserve">de plata. El Gobernante de los Dioses sostenía el cuenco y </w:t>
      </w:r>
      <w:r w:rsidR="00992628">
        <w:t xml:space="preserve">el ropaje del </w:t>
      </w:r>
      <w:r w:rsidR="00992628" w:rsidRPr="00FC62BF">
        <w:rPr>
          <w:i/>
          <w:iCs/>
        </w:rPr>
        <w:t>Buddha</w:t>
      </w:r>
      <w:r>
        <w:t xml:space="preserve">. El Gran </w:t>
      </w:r>
      <w:r w:rsidR="00057BF4" w:rsidRPr="00057BF4">
        <w:rPr>
          <w:i/>
        </w:rPr>
        <w:t>Brahmā</w:t>
      </w:r>
      <w:r>
        <w:t xml:space="preserve"> sostenía una sombrilla blanca de tres leguas de ancho. </w:t>
      </w:r>
      <w:proofErr w:type="spellStart"/>
      <w:r>
        <w:t>Suyāma</w:t>
      </w:r>
      <w:proofErr w:type="spellEnd"/>
      <w:r>
        <w:t xml:space="preserve"> sostenía un abanico de cola de </w:t>
      </w:r>
      <w:r w:rsidRPr="00992628">
        <w:rPr>
          <w:i/>
          <w:iCs/>
        </w:rPr>
        <w:t>yak</w:t>
      </w:r>
      <w:r>
        <w:t xml:space="preserve">. </w:t>
      </w:r>
      <w:r w:rsidR="00951343">
        <w:t xml:space="preserve">Cinco Crestas </w:t>
      </w:r>
      <w:r>
        <w:t>(</w:t>
      </w:r>
      <w:proofErr w:type="spellStart"/>
      <w:r w:rsidR="000A1CB2" w:rsidRPr="000A1CB2">
        <w:rPr>
          <w:i/>
          <w:iCs/>
        </w:rPr>
        <w:t>Pañcasikhā</w:t>
      </w:r>
      <w:proofErr w:type="spellEnd"/>
      <w:r>
        <w:t>), el hijo de</w:t>
      </w:r>
      <w:r w:rsidR="00951343">
        <w:t xml:space="preserve"> un</w:t>
      </w:r>
      <w:r>
        <w:t xml:space="preserve"> </w:t>
      </w:r>
      <w:proofErr w:type="spellStart"/>
      <w:proofErr w:type="gramStart"/>
      <w:r w:rsidRPr="007333A5">
        <w:rPr>
          <w:i/>
          <w:iCs/>
        </w:rPr>
        <w:t>gandhabba</w:t>
      </w:r>
      <w:proofErr w:type="spellEnd"/>
      <w:r>
        <w:t>,</w:t>
      </w:r>
      <w:proofErr w:type="gramEnd"/>
      <w:r>
        <w:t xml:space="preserve"> descendió haciendo honor al </w:t>
      </w:r>
      <w:r w:rsidR="00951343">
        <w:rPr>
          <w:i/>
          <w:iCs/>
        </w:rPr>
        <w:t>Bhagavā</w:t>
      </w:r>
      <w:r w:rsidR="00951343">
        <w:t xml:space="preserve"> </w:t>
      </w:r>
      <w:r>
        <w:t xml:space="preserve">con su laúd de madera </w:t>
      </w:r>
      <w:proofErr w:type="spellStart"/>
      <w:r w:rsidRPr="007333A5">
        <w:rPr>
          <w:i/>
          <w:iCs/>
        </w:rPr>
        <w:t>bael</w:t>
      </w:r>
      <w:proofErr w:type="spellEnd"/>
      <w:r>
        <w:t xml:space="preserve"> que medía tres cuartos de legua. En ese día no h</w:t>
      </w:r>
      <w:r w:rsidR="00951343">
        <w:t>ubo</w:t>
      </w:r>
      <w:r>
        <w:t xml:space="preserve"> ningún ser vivo presente que viera al </w:t>
      </w:r>
      <w:r w:rsidR="00951343">
        <w:rPr>
          <w:i/>
          <w:iCs/>
        </w:rPr>
        <w:t>Bhagavā</w:t>
      </w:r>
      <w:r w:rsidR="00951343">
        <w:t xml:space="preserve"> y no</w:t>
      </w:r>
      <w:r>
        <w:t xml:space="preserve"> anhelara la </w:t>
      </w:r>
      <w:r w:rsidR="00951343">
        <w:t>Iluminación</w:t>
      </w:r>
      <w:r>
        <w:t xml:space="preserve">. </w:t>
      </w:r>
      <w:r w:rsidR="0055545F">
        <w:t>É</w:t>
      </w:r>
      <w:r>
        <w:t xml:space="preserve">ste </w:t>
      </w:r>
      <w:r w:rsidR="00951343">
        <w:t xml:space="preserve">fue </w:t>
      </w:r>
      <w:r>
        <w:t xml:space="preserve">el milagro de hacerse evidente </w:t>
      </w:r>
      <w:r w:rsidR="0055545F">
        <w:t xml:space="preserve">realizado </w:t>
      </w:r>
      <w:r w:rsidR="00951343">
        <w:t xml:space="preserve">entonces </w:t>
      </w:r>
      <w:r w:rsidR="0055545F">
        <w:t xml:space="preserve">por </w:t>
      </w:r>
      <w:r>
        <w:t xml:space="preserve">el </w:t>
      </w:r>
      <w:r w:rsidR="00951343">
        <w:rPr>
          <w:i/>
          <w:iCs/>
        </w:rPr>
        <w:t>Bhagavā</w:t>
      </w:r>
      <w:r>
        <w:t>.</w:t>
      </w:r>
    </w:p>
    <w:p w14:paraId="038A8EF9" w14:textId="3DD2F5BB" w:rsidR="00787139" w:rsidRDefault="00787139" w:rsidP="00787139">
      <w:r>
        <w:t xml:space="preserve">80. </w:t>
      </w:r>
      <w:r>
        <w:tab/>
        <w:t xml:space="preserve">Además, en la isla </w:t>
      </w:r>
      <w:proofErr w:type="spellStart"/>
      <w:r>
        <w:t>Tambapaṇṇi</w:t>
      </w:r>
      <w:proofErr w:type="spellEnd"/>
      <w:r>
        <w:t xml:space="preserve"> (</w:t>
      </w:r>
      <w:r w:rsidR="0055545F">
        <w:t xml:space="preserve">en </w:t>
      </w:r>
      <w:r>
        <w:t xml:space="preserve">Sri Lanka), mientras el </w:t>
      </w:r>
      <w:r w:rsidR="007333A5">
        <w:t>Venerable</w:t>
      </w:r>
      <w:r w:rsidR="007333A5" w:rsidRPr="00AC7F7E">
        <w:rPr>
          <w:i/>
        </w:rPr>
        <w:t xml:space="preserve"> </w:t>
      </w:r>
      <w:proofErr w:type="spellStart"/>
      <w:r w:rsidR="00057BF4" w:rsidRPr="0057720E">
        <w:rPr>
          <w:iCs/>
        </w:rPr>
        <w:t>Dhamma</w:t>
      </w:r>
      <w:r w:rsidRPr="0057720E">
        <w:rPr>
          <w:iCs/>
        </w:rPr>
        <w:t>dinna</w:t>
      </w:r>
      <w:proofErr w:type="spellEnd"/>
      <w:r>
        <w:t xml:space="preserve">, residente de </w:t>
      </w:r>
      <w:proofErr w:type="spellStart"/>
      <w:r>
        <w:t>Taḷaṅgara</w:t>
      </w:r>
      <w:proofErr w:type="spellEnd"/>
      <w:r>
        <w:t xml:space="preserve">, estaba sentado en la terraza del santuario del Gran Monasterio de </w:t>
      </w:r>
      <w:proofErr w:type="spellStart"/>
      <w:r>
        <w:t>Tissa</w:t>
      </w:r>
      <w:proofErr w:type="spellEnd"/>
      <w:r>
        <w:t xml:space="preserve"> (</w:t>
      </w:r>
      <w:proofErr w:type="spellStart"/>
      <w:r w:rsidRPr="0055545F">
        <w:rPr>
          <w:i/>
          <w:iCs/>
        </w:rPr>
        <w:t>Tissamahāvihāra</w:t>
      </w:r>
      <w:proofErr w:type="spellEnd"/>
      <w:r>
        <w:t xml:space="preserve">) exponiendo el </w:t>
      </w:r>
      <w:proofErr w:type="spellStart"/>
      <w:r w:rsidRPr="007333A5">
        <w:rPr>
          <w:i/>
          <w:iCs/>
        </w:rPr>
        <w:t>Apaṇṇaka</w:t>
      </w:r>
      <w:proofErr w:type="spellEnd"/>
      <w:r w:rsidRPr="007333A5">
        <w:rPr>
          <w:i/>
          <w:iCs/>
        </w:rPr>
        <w:t xml:space="preserve"> Sutta</w:t>
      </w:r>
      <w:r>
        <w:t>, “</w:t>
      </w:r>
      <w:proofErr w:type="spellStart"/>
      <w:r w:rsidR="00057BF4" w:rsidRPr="00057BF4">
        <w:rPr>
          <w:i/>
        </w:rPr>
        <w:t>Bhikkhu</w:t>
      </w:r>
      <w:r>
        <w:t>s</w:t>
      </w:r>
      <w:proofErr w:type="spellEnd"/>
      <w:r>
        <w:t xml:space="preserve">, cuando un </w:t>
      </w:r>
      <w:proofErr w:type="spellStart"/>
      <w:r w:rsidR="00057BF4" w:rsidRPr="00057BF4">
        <w:rPr>
          <w:i/>
        </w:rPr>
        <w:t>bhikkhu</w:t>
      </w:r>
      <w:proofErr w:type="spellEnd"/>
      <w:r>
        <w:t xml:space="preserve"> pose</w:t>
      </w:r>
      <w:r w:rsidR="0055545F">
        <w:t>a</w:t>
      </w:r>
      <w:r>
        <w:t xml:space="preserve"> tres cosas entra</w:t>
      </w:r>
      <w:r w:rsidR="0055545F">
        <w:t>rá</w:t>
      </w:r>
      <w:r>
        <w:t xml:space="preserve"> en el </w:t>
      </w:r>
      <w:r w:rsidR="0057720E">
        <w:t>sendero</w:t>
      </w:r>
      <w:r>
        <w:t xml:space="preserve"> inmaculado” (A I 113), giró su abanico hacia abajo y apareció una abertura hasta </w:t>
      </w:r>
      <w:r w:rsidR="0057720E">
        <w:t xml:space="preserve">el </w:t>
      </w:r>
      <w:proofErr w:type="spellStart"/>
      <w:r w:rsidRPr="007333A5">
        <w:rPr>
          <w:i/>
          <w:iCs/>
        </w:rPr>
        <w:t>Avīci</w:t>
      </w:r>
      <w:proofErr w:type="spellEnd"/>
      <w:r>
        <w:t xml:space="preserve">. Luego lo volteó boca arriba </w:t>
      </w:r>
      <w:r w:rsidR="0055545F">
        <w:t xml:space="preserve">y </w:t>
      </w:r>
      <w:r w:rsidR="0057720E">
        <w:t xml:space="preserve">apareció </w:t>
      </w:r>
      <w:r w:rsidR="00B6559C">
        <w:t>una abertura</w:t>
      </w:r>
      <w:r w:rsidR="00B6559C" w:rsidRPr="0057720E">
        <w:t xml:space="preserve"> </w:t>
      </w:r>
      <w:r w:rsidR="0057720E">
        <w:t xml:space="preserve">hasta el </w:t>
      </w:r>
      <w:r w:rsidR="00280C51">
        <w:t>plano</w:t>
      </w:r>
      <w:r w:rsidR="00280C51">
        <w:rPr>
          <w:i/>
          <w:iCs/>
        </w:rPr>
        <w:t>–</w:t>
      </w:r>
      <w:r w:rsidR="0057720E" w:rsidRPr="00057BF4">
        <w:rPr>
          <w:i/>
        </w:rPr>
        <w:t>Brahmā</w:t>
      </w:r>
      <w:r w:rsidR="0057720E">
        <w:t>.</w:t>
      </w:r>
    </w:p>
    <w:p w14:paraId="6B900CF6" w14:textId="77777777" w:rsidR="00787139" w:rsidRDefault="00787139">
      <w:pPr>
        <w:tabs>
          <w:tab w:val="clear" w:pos="425"/>
        </w:tabs>
        <w:spacing w:after="160"/>
      </w:pPr>
      <w:r>
        <w:br w:type="page"/>
      </w:r>
    </w:p>
    <w:p w14:paraId="22FAF3B0" w14:textId="77777777" w:rsidR="00787139" w:rsidRDefault="00787139" w:rsidP="00787139"/>
    <w:p w14:paraId="27F05CFF" w14:textId="083636AE" w:rsidR="00373C11" w:rsidRDefault="00373C11" w:rsidP="00373C11">
      <w:r>
        <w:t xml:space="preserve">Habiendo despertado así el </w:t>
      </w:r>
      <w:r w:rsidR="0055545F">
        <w:t>sentido de urgencia</w:t>
      </w:r>
      <w:r>
        <w:t xml:space="preserve"> </w:t>
      </w:r>
      <w:r w:rsidR="00B6559C">
        <w:t>hacia e</w:t>
      </w:r>
      <w:r>
        <w:t xml:space="preserve">l infierno y el </w:t>
      </w:r>
      <w:r w:rsidR="00B6559C">
        <w:t xml:space="preserve">deseo </w:t>
      </w:r>
      <w:r w:rsidR="00B411D0">
        <w:t xml:space="preserve">por </w:t>
      </w:r>
      <w:r>
        <w:t xml:space="preserve">la dicha </w:t>
      </w:r>
      <w:r w:rsidR="00B411D0">
        <w:t>celestial</w:t>
      </w:r>
      <w:r>
        <w:t xml:space="preserve">, el </w:t>
      </w:r>
      <w:r w:rsidR="00B6559C">
        <w:t xml:space="preserve">Venerable </w:t>
      </w:r>
      <w:r w:rsidR="00B411D0">
        <w:t xml:space="preserve">les </w:t>
      </w:r>
      <w:r>
        <w:t xml:space="preserve">enseñó el </w:t>
      </w:r>
      <w:r w:rsidR="00057BF4" w:rsidRPr="00057BF4">
        <w:rPr>
          <w:i/>
        </w:rPr>
        <w:t>Dhamma</w:t>
      </w:r>
      <w:r>
        <w:t>. Algunos se convirtieron en entra</w:t>
      </w:r>
      <w:r w:rsidR="00B6559C">
        <w:t>ntes</w:t>
      </w:r>
      <w:r>
        <w:t xml:space="preserve"> </w:t>
      </w:r>
      <w:r w:rsidR="00B6559C">
        <w:t>a</w:t>
      </w:r>
      <w:r>
        <w:t xml:space="preserve"> la corriente, </w:t>
      </w:r>
      <w:r w:rsidR="00B411D0">
        <w:t xml:space="preserve">otros </w:t>
      </w:r>
      <w:r>
        <w:t xml:space="preserve">en </w:t>
      </w:r>
      <w:r w:rsidR="00B6559C">
        <w:t>retornantes por única</w:t>
      </w:r>
      <w:r>
        <w:t xml:space="preserve"> vez, </w:t>
      </w:r>
      <w:r w:rsidR="00B411D0">
        <w:t xml:space="preserve">otros </w:t>
      </w:r>
      <w:r>
        <w:t xml:space="preserve">en no </w:t>
      </w:r>
      <w:r w:rsidR="00E16BAA">
        <w:t>retornantes</w:t>
      </w:r>
      <w:r w:rsidR="00B411D0">
        <w:t xml:space="preserve"> y hasta </w:t>
      </w:r>
      <w:r>
        <w:t xml:space="preserve">algunos </w:t>
      </w:r>
      <w:r w:rsidR="00E16BAA">
        <w:t xml:space="preserve">en </w:t>
      </w:r>
      <w:r w:rsidR="00057BF4" w:rsidRPr="00057BF4">
        <w:rPr>
          <w:i/>
        </w:rPr>
        <w:t>Arahant</w:t>
      </w:r>
      <w:r>
        <w:t>s.</w:t>
      </w:r>
    </w:p>
    <w:p w14:paraId="4B2C64B9" w14:textId="3859535C" w:rsidR="00373C11" w:rsidRDefault="00373C11" w:rsidP="00373C11">
      <w:r>
        <w:t xml:space="preserve">81. </w:t>
      </w:r>
      <w:r>
        <w:tab/>
      </w:r>
      <w:r w:rsidR="00E16BAA">
        <w:t xml:space="preserve">No obstante, </w:t>
      </w:r>
      <w:r>
        <w:t>quien quier</w:t>
      </w:r>
      <w:r w:rsidR="00E16BAA">
        <w:t>a</w:t>
      </w:r>
      <w:r>
        <w:t xml:space="preserve"> </w:t>
      </w:r>
      <w:r w:rsidR="00B411D0">
        <w:t>producir</w:t>
      </w:r>
      <w:r>
        <w:t xml:space="preserve"> un desvanecimiento convert</w:t>
      </w:r>
      <w:r w:rsidR="00C402DC">
        <w:t>irá</w:t>
      </w:r>
      <w:r>
        <w:t xml:space="preserve"> la luz en oscuridad, u oculta</w:t>
      </w:r>
      <w:r w:rsidR="00C402DC">
        <w:t>rá</w:t>
      </w:r>
      <w:r>
        <w:t xml:space="preserve"> lo que no se ha</w:t>
      </w:r>
      <w:r w:rsidR="00C402DC">
        <w:t>ya</w:t>
      </w:r>
      <w:r>
        <w:t xml:space="preserve"> </w:t>
      </w:r>
      <w:r w:rsidR="00A80C1E">
        <w:t>ocultado</w:t>
      </w:r>
      <w:r>
        <w:t>, o ha</w:t>
      </w:r>
      <w:r w:rsidR="00C402DC">
        <w:t>rá</w:t>
      </w:r>
      <w:r>
        <w:t xml:space="preserve"> que lo que ha</w:t>
      </w:r>
      <w:r w:rsidR="00043F44">
        <w:t>ya</w:t>
      </w:r>
      <w:r>
        <w:t xml:space="preserve"> entrado en el campo visual </w:t>
      </w:r>
      <w:r w:rsidR="00043F44">
        <w:t>deje de estarlo</w:t>
      </w:r>
      <w:r>
        <w:t>. ¿Cómo? Si quiere volverse invisible a sí mismo o a otro, aunque no esté oculto o esté cerca, emerge</w:t>
      </w:r>
      <w:r w:rsidR="000D375F">
        <w:t>rá</w:t>
      </w:r>
      <w:r>
        <w:t xml:space="preserve"> del </w:t>
      </w:r>
      <w:proofErr w:type="spellStart"/>
      <w:r w:rsidR="00057BF4" w:rsidRPr="00057BF4">
        <w:rPr>
          <w:i/>
        </w:rPr>
        <w:t>jhāna</w:t>
      </w:r>
      <w:proofErr w:type="spellEnd"/>
      <w:r>
        <w:t xml:space="preserve"> básico y advert</w:t>
      </w:r>
      <w:r w:rsidR="000D375F">
        <w:t>irá</w:t>
      </w:r>
      <w:r>
        <w:t xml:space="preserve"> </w:t>
      </w:r>
      <w:r w:rsidR="00B411D0">
        <w:t>lo siguiente</w:t>
      </w:r>
      <w:r>
        <w:t>: "Qu</w:t>
      </w:r>
      <w:r w:rsidR="000D375F">
        <w:t>é</w:t>
      </w:r>
      <w:r>
        <w:t xml:space="preserve"> esta luz se convierta en oscuridad" o [393] "Qu</w:t>
      </w:r>
      <w:r w:rsidR="000D375F">
        <w:t>é</w:t>
      </w:r>
      <w:r>
        <w:t xml:space="preserve"> esto que no está oculto se oculte" o "Qu</w:t>
      </w:r>
      <w:r w:rsidR="000D375F">
        <w:t>é</w:t>
      </w:r>
      <w:r>
        <w:t xml:space="preserve"> esto que ha</w:t>
      </w:r>
      <w:r w:rsidR="000D375F">
        <w:t>ya</w:t>
      </w:r>
      <w:r>
        <w:t xml:space="preserve"> entrado en el campo visual </w:t>
      </w:r>
      <w:r w:rsidR="001D5AF6">
        <w:t xml:space="preserve">deje de estar </w:t>
      </w:r>
      <w:r>
        <w:t>en el campo visual”. Luego ha</w:t>
      </w:r>
      <w:r w:rsidR="001D5AF6">
        <w:t>rá</w:t>
      </w:r>
      <w:r>
        <w:t xml:space="preserve"> el trabajo preliminar y res</w:t>
      </w:r>
      <w:r w:rsidR="001D5AF6">
        <w:t>o</w:t>
      </w:r>
      <w:r>
        <w:t>lve</w:t>
      </w:r>
      <w:r w:rsidR="001D5AF6">
        <w:t>rá</w:t>
      </w:r>
      <w:r>
        <w:t xml:space="preserve"> en la forma ya descrita. </w:t>
      </w:r>
      <w:r w:rsidR="00B401C2">
        <w:t>Las cosas en cuestión s</w:t>
      </w:r>
      <w:r>
        <w:t>e conv</w:t>
      </w:r>
      <w:r w:rsidR="001D5AF6">
        <w:t>e</w:t>
      </w:r>
      <w:r>
        <w:t>rt</w:t>
      </w:r>
      <w:r w:rsidR="001D5AF6">
        <w:t>irá</w:t>
      </w:r>
      <w:r w:rsidR="00B401C2">
        <w:t>n</w:t>
      </w:r>
      <w:r>
        <w:t xml:space="preserve"> en lo que ha</w:t>
      </w:r>
      <w:r w:rsidR="00B401C2">
        <w:t>ya</w:t>
      </w:r>
      <w:r>
        <w:t xml:space="preserve"> </w:t>
      </w:r>
      <w:r w:rsidR="005319C0">
        <w:t xml:space="preserve">determinado </w:t>
      </w:r>
      <w:r>
        <w:t xml:space="preserve">simultáneamente con </w:t>
      </w:r>
      <w:r w:rsidR="005319C0">
        <w:t xml:space="preserve">tal </w:t>
      </w:r>
      <w:r>
        <w:t>resolución. Otros no ve</w:t>
      </w:r>
      <w:r w:rsidR="00230E49">
        <w:t>rá</w:t>
      </w:r>
      <w:r>
        <w:t xml:space="preserve">n </w:t>
      </w:r>
      <w:r w:rsidR="00230E49">
        <w:t xml:space="preserve">cosas </w:t>
      </w:r>
      <w:r>
        <w:t>incluso cuando est</w:t>
      </w:r>
      <w:r w:rsidR="00230E49">
        <w:t>é</w:t>
      </w:r>
      <w:r>
        <w:t xml:space="preserve">n cerca. Él tampoco </w:t>
      </w:r>
      <w:r w:rsidR="005319C0">
        <w:t xml:space="preserve">las </w:t>
      </w:r>
      <w:r>
        <w:t>ve</w:t>
      </w:r>
      <w:r w:rsidR="00230E49">
        <w:t>rá</w:t>
      </w:r>
      <w:r>
        <w:t xml:space="preserve">, si no </w:t>
      </w:r>
      <w:r w:rsidR="00230E49">
        <w:t>desea</w:t>
      </w:r>
      <w:r w:rsidR="00C64839">
        <w:t>ra</w:t>
      </w:r>
      <w:r>
        <w:t xml:space="preserve"> ver</w:t>
      </w:r>
      <w:r w:rsidR="00C64839">
        <w:t xml:space="preserve"> las cosas en cuestión</w:t>
      </w:r>
      <w:r>
        <w:t>.</w:t>
      </w:r>
    </w:p>
    <w:p w14:paraId="0120EEFE" w14:textId="36E6D34D" w:rsidR="00373C11" w:rsidRDefault="00373C11" w:rsidP="00373C11">
      <w:r>
        <w:t xml:space="preserve">82. </w:t>
      </w:r>
      <w:r>
        <w:tab/>
        <w:t xml:space="preserve">¿Pero por quién fue realizado </w:t>
      </w:r>
      <w:r w:rsidR="00C64839">
        <w:t>previamente</w:t>
      </w:r>
      <w:r>
        <w:t xml:space="preserve"> este milagro? Por el </w:t>
      </w:r>
      <w:r w:rsidR="00C64839">
        <w:rPr>
          <w:i/>
          <w:iCs/>
        </w:rPr>
        <w:t>Bhagavā</w:t>
      </w:r>
      <w:r>
        <w:t xml:space="preserve">. </w:t>
      </w:r>
      <w:r w:rsidR="00C64839">
        <w:t xml:space="preserve">Ya </w:t>
      </w:r>
      <w:r>
        <w:t xml:space="preserve">que el </w:t>
      </w:r>
      <w:r w:rsidR="00C64839">
        <w:rPr>
          <w:i/>
          <w:iCs/>
        </w:rPr>
        <w:t xml:space="preserve">Bhagavā </w:t>
      </w:r>
      <w:r>
        <w:t xml:space="preserve">actuó de tal manera cuando el miembro del clan </w:t>
      </w:r>
      <w:proofErr w:type="spellStart"/>
      <w:r>
        <w:t>Yasa</w:t>
      </w:r>
      <w:proofErr w:type="spellEnd"/>
      <w:r>
        <w:t xml:space="preserve"> </w:t>
      </w:r>
      <w:r w:rsidR="00C64839">
        <w:t xml:space="preserve">se encontró </w:t>
      </w:r>
      <w:r>
        <w:t>sentado a su lado</w:t>
      </w:r>
      <w:r w:rsidR="00C64839">
        <w:t xml:space="preserve"> </w:t>
      </w:r>
      <w:r w:rsidR="005319C0">
        <w:t xml:space="preserve">mientras que </w:t>
      </w:r>
      <w:r>
        <w:t xml:space="preserve">su padre no </w:t>
      </w:r>
      <w:r w:rsidR="005319C0">
        <w:t xml:space="preserve">podía verlo </w:t>
      </w:r>
      <w:r>
        <w:t>(</w:t>
      </w:r>
      <w:proofErr w:type="spellStart"/>
      <w:r>
        <w:t>Vin</w:t>
      </w:r>
      <w:proofErr w:type="spellEnd"/>
      <w:r>
        <w:t xml:space="preserve"> I 16). Asimismo, después de viajar dos mil leguas para encontrar</w:t>
      </w:r>
      <w:r w:rsidR="00DF157B">
        <w:t>se con</w:t>
      </w:r>
      <w:r>
        <w:t xml:space="preserve"> </w:t>
      </w:r>
      <w:r w:rsidR="00DF157B">
        <w:t>e</w:t>
      </w:r>
      <w:r>
        <w:t xml:space="preserve">l Rey Mahā </w:t>
      </w:r>
      <w:proofErr w:type="spellStart"/>
      <w:r>
        <w:t>Kappina</w:t>
      </w:r>
      <w:proofErr w:type="spellEnd"/>
      <w:r>
        <w:t xml:space="preserve"> y establecerlo en la fruición del no</w:t>
      </w:r>
      <w:r w:rsidR="00DF157B">
        <w:t>-</w:t>
      </w:r>
      <w:r>
        <w:t>retorn</w:t>
      </w:r>
      <w:r w:rsidR="003D028F">
        <w:t>ante</w:t>
      </w:r>
      <w:r>
        <w:t xml:space="preserve"> y </w:t>
      </w:r>
      <w:r w:rsidR="003D028F">
        <w:t xml:space="preserve">a </w:t>
      </w:r>
      <w:r>
        <w:t xml:space="preserve">sus mil ministros en la </w:t>
      </w:r>
      <w:r w:rsidR="00DF157B">
        <w:t xml:space="preserve">Fruición </w:t>
      </w:r>
      <w:r>
        <w:t xml:space="preserve">de la entrada </w:t>
      </w:r>
      <w:r w:rsidR="003D028F">
        <w:t>a</w:t>
      </w:r>
      <w:r>
        <w:t xml:space="preserve"> la corriente, actuó de tal manera que la </w:t>
      </w:r>
      <w:r w:rsidR="003D028F">
        <w:t xml:space="preserve">Reina </w:t>
      </w:r>
      <w:proofErr w:type="spellStart"/>
      <w:r>
        <w:t>Anojā</w:t>
      </w:r>
      <w:proofErr w:type="spellEnd"/>
      <w:r>
        <w:t xml:space="preserve">, que había seguido al </w:t>
      </w:r>
      <w:r w:rsidR="003D028F">
        <w:t xml:space="preserve">Rey </w:t>
      </w:r>
      <w:r>
        <w:t xml:space="preserve">con </w:t>
      </w:r>
      <w:proofErr w:type="gramStart"/>
      <w:r>
        <w:t>un mil mujeres asistentes</w:t>
      </w:r>
      <w:proofErr w:type="gramEnd"/>
      <w:r>
        <w:t xml:space="preserve"> y </w:t>
      </w:r>
      <w:r w:rsidR="003D028F">
        <w:t>se encontraba</w:t>
      </w:r>
      <w:r>
        <w:t xml:space="preserve"> sentad</w:t>
      </w:r>
      <w:r w:rsidR="003D028F">
        <w:t>a</w:t>
      </w:r>
      <w:r>
        <w:t xml:space="preserve"> cerca, no vi</w:t>
      </w:r>
      <w:r w:rsidR="003D028F">
        <w:t>era</w:t>
      </w:r>
      <w:r>
        <w:t xml:space="preserve"> al </w:t>
      </w:r>
      <w:r w:rsidR="003D028F">
        <w:t xml:space="preserve">Rey </w:t>
      </w:r>
      <w:r>
        <w:t xml:space="preserve">ni a su séquito. Y cuando se le preguntó: "¿Ha visto al </w:t>
      </w:r>
      <w:r w:rsidR="003D028F">
        <w:t>Rey</w:t>
      </w:r>
      <w:r>
        <w:t xml:space="preserve">, </w:t>
      </w:r>
      <w:r w:rsidR="003D028F">
        <w:t>Venerable Señor</w:t>
      </w:r>
      <w:r>
        <w:t xml:space="preserve">?", Preguntó: ¿Pero qué es mejor para </w:t>
      </w:r>
      <w:r w:rsidR="00860734">
        <w:t>su alteza</w:t>
      </w:r>
      <w:r>
        <w:t xml:space="preserve">, buscar al </w:t>
      </w:r>
      <w:r w:rsidR="00860734">
        <w:t xml:space="preserve">Rey </w:t>
      </w:r>
      <w:r>
        <w:t>o buscar</w:t>
      </w:r>
      <w:r w:rsidR="00860734">
        <w:t>s</w:t>
      </w:r>
      <w:r>
        <w:t xml:space="preserve">e a </w:t>
      </w:r>
      <w:proofErr w:type="spellStart"/>
      <w:r w:rsidR="00860734">
        <w:t>s</w:t>
      </w:r>
      <w:r>
        <w:t>i</w:t>
      </w:r>
      <w:proofErr w:type="spellEnd"/>
      <w:r>
        <w:t xml:space="preserve"> mism</w:t>
      </w:r>
      <w:r w:rsidR="00860734">
        <w:t>a</w:t>
      </w:r>
      <w:r>
        <w:t xml:space="preserve">? (cf. </w:t>
      </w:r>
      <w:proofErr w:type="spellStart"/>
      <w:r>
        <w:t>Vin</w:t>
      </w:r>
      <w:proofErr w:type="spellEnd"/>
      <w:r>
        <w:t xml:space="preserve"> I 23). Ella respondió: “</w:t>
      </w:r>
      <w:r w:rsidR="00A56B84">
        <w:t>A mí misma</w:t>
      </w:r>
      <w:r>
        <w:t xml:space="preserve">, </w:t>
      </w:r>
      <w:r w:rsidR="00A56B84">
        <w:t>Venerable Señor</w:t>
      </w:r>
      <w:r>
        <w:t xml:space="preserve">”. Entonces él le enseñó </w:t>
      </w:r>
      <w:r w:rsidR="00A56B84">
        <w:t xml:space="preserve">también a ella </w:t>
      </w:r>
      <w:r>
        <w:t xml:space="preserve">el </w:t>
      </w:r>
      <w:r w:rsidR="00057BF4" w:rsidRPr="00057BF4">
        <w:rPr>
          <w:i/>
        </w:rPr>
        <w:t>Dhamma</w:t>
      </w:r>
      <w:r>
        <w:t xml:space="preserve"> mientras estaba sentada allí, de modo que, junto con las mil mujeres asistentes, ella se estableció en la fruición de la entrada </w:t>
      </w:r>
      <w:r w:rsidR="00A56B84">
        <w:t>a</w:t>
      </w:r>
      <w:r>
        <w:t xml:space="preserve"> la corriente, mientras que los ministros alcanzaron la </w:t>
      </w:r>
      <w:r w:rsidR="00223D95">
        <w:t xml:space="preserve">Fruición </w:t>
      </w:r>
      <w:r>
        <w:t>de</w:t>
      </w:r>
      <w:r w:rsidR="00E32878">
        <w:t xml:space="preserve"> </w:t>
      </w:r>
      <w:r>
        <w:t>l</w:t>
      </w:r>
      <w:r w:rsidR="00E32878">
        <w:t>os</w:t>
      </w:r>
      <w:r>
        <w:t xml:space="preserve"> no</w:t>
      </w:r>
      <w:r w:rsidR="00223D95">
        <w:t>-</w:t>
      </w:r>
      <w:r>
        <w:t>retorn</w:t>
      </w:r>
      <w:r w:rsidR="00E32878">
        <w:t>antes</w:t>
      </w:r>
      <w:r>
        <w:t xml:space="preserve">, y el </w:t>
      </w:r>
      <w:r w:rsidR="00E32878">
        <w:t xml:space="preserve">Rey </w:t>
      </w:r>
      <w:r>
        <w:t xml:space="preserve">la del estado de </w:t>
      </w:r>
      <w:r w:rsidR="00057BF4" w:rsidRPr="00057BF4">
        <w:rPr>
          <w:i/>
        </w:rPr>
        <w:t>Arahant</w:t>
      </w:r>
      <w:r>
        <w:t xml:space="preserve">. (ver A-a I 322; </w:t>
      </w:r>
      <w:proofErr w:type="spellStart"/>
      <w:r>
        <w:t>Dhp</w:t>
      </w:r>
      <w:proofErr w:type="spellEnd"/>
      <w:r>
        <w:t>-a II 124).</w:t>
      </w:r>
    </w:p>
    <w:p w14:paraId="677D3B52" w14:textId="16F8456A" w:rsidR="00373C11" w:rsidRDefault="00373C11" w:rsidP="00373C11">
      <w:r>
        <w:t xml:space="preserve">83. </w:t>
      </w:r>
      <w:r>
        <w:tab/>
      </w:r>
      <w:r w:rsidR="00E32878">
        <w:t>Adicionalmente</w:t>
      </w:r>
      <w:r>
        <w:t xml:space="preserve">, esto fue realizado por el </w:t>
      </w:r>
      <w:r w:rsidR="007333A5">
        <w:t xml:space="preserve">Venerable </w:t>
      </w:r>
      <w:proofErr w:type="spellStart"/>
      <w:r>
        <w:t>Mahinda</w:t>
      </w:r>
      <w:proofErr w:type="spellEnd"/>
      <w:r>
        <w:t xml:space="preserve">, quien actuó de tal manera el día de su llegada a la isla de </w:t>
      </w:r>
      <w:proofErr w:type="spellStart"/>
      <w:r>
        <w:t>Tambapaṇṇi</w:t>
      </w:r>
      <w:proofErr w:type="spellEnd"/>
      <w:r>
        <w:t xml:space="preserve"> </w:t>
      </w:r>
      <w:r w:rsidR="00F0556C">
        <w:t xml:space="preserve">de tal </w:t>
      </w:r>
      <w:r w:rsidR="009C4CCF">
        <w:t>f</w:t>
      </w:r>
      <w:r w:rsidR="00F0556C">
        <w:t xml:space="preserve">orma que </w:t>
      </w:r>
      <w:r>
        <w:t xml:space="preserve">el </w:t>
      </w:r>
      <w:r w:rsidR="00811CDC">
        <w:t xml:space="preserve">Rey </w:t>
      </w:r>
      <w:r>
        <w:t xml:space="preserve">no </w:t>
      </w:r>
      <w:r w:rsidR="00F0556C">
        <w:t xml:space="preserve">pudo ver </w:t>
      </w:r>
      <w:r>
        <w:t xml:space="preserve">a los demás que habían </w:t>
      </w:r>
      <w:r w:rsidR="00F0556C">
        <w:t xml:space="preserve">llegado </w:t>
      </w:r>
      <w:r>
        <w:t xml:space="preserve">con él (ver </w:t>
      </w:r>
      <w:proofErr w:type="spellStart"/>
      <w:r w:rsidRPr="007333A5">
        <w:rPr>
          <w:i/>
          <w:iCs/>
        </w:rPr>
        <w:t>Mahāvaṃsa</w:t>
      </w:r>
      <w:proofErr w:type="spellEnd"/>
      <w:r>
        <w:t xml:space="preserve"> I 103).</w:t>
      </w:r>
    </w:p>
    <w:p w14:paraId="4A59A9B5" w14:textId="40F8C39A" w:rsidR="00373C11" w:rsidRDefault="00373C11" w:rsidP="00373C11">
      <w:r>
        <w:t xml:space="preserve">84. </w:t>
      </w:r>
      <w:r>
        <w:tab/>
      </w:r>
      <w:r w:rsidR="00C933F3">
        <w:t>Adicionalmente</w:t>
      </w:r>
      <w:r>
        <w:t xml:space="preserve">, </w:t>
      </w:r>
      <w:r w:rsidR="006A25A6">
        <w:t xml:space="preserve">a </w:t>
      </w:r>
      <w:r>
        <w:t xml:space="preserve">todos los milagros de hacer evidente </w:t>
      </w:r>
      <w:r w:rsidR="00C933F3">
        <w:t xml:space="preserve">algo </w:t>
      </w:r>
      <w:r>
        <w:t xml:space="preserve">se </w:t>
      </w:r>
      <w:r w:rsidR="006A25A6">
        <w:t xml:space="preserve">le </w:t>
      </w:r>
      <w:r>
        <w:t>llama</w:t>
      </w:r>
      <w:r w:rsidR="006A25A6">
        <w:t>rá</w:t>
      </w:r>
      <w:r>
        <w:t xml:space="preserve"> aparición, y </w:t>
      </w:r>
      <w:r w:rsidR="006A25A6">
        <w:t xml:space="preserve">a </w:t>
      </w:r>
      <w:r>
        <w:t>todos los milagros de hacer invi</w:t>
      </w:r>
      <w:r w:rsidR="00C933F3">
        <w:t xml:space="preserve">sible algo </w:t>
      </w:r>
      <w:r>
        <w:t xml:space="preserve">se </w:t>
      </w:r>
      <w:r w:rsidR="006A25A6">
        <w:t xml:space="preserve">le </w:t>
      </w:r>
      <w:r>
        <w:t>llama</w:t>
      </w:r>
      <w:r w:rsidR="006A25A6">
        <w:t>rá</w:t>
      </w:r>
      <w:r>
        <w:t xml:space="preserve"> desaparición. Aquí, en el milagro de hacer evidente</w:t>
      </w:r>
      <w:r w:rsidR="006A25A6">
        <w:t xml:space="preserve"> algo</w:t>
      </w:r>
      <w:r>
        <w:t xml:space="preserve">, se muestran tanto el poder sobrenatural como el poseedor del poder sobrenatural. Eso se puede ilustrar con el </w:t>
      </w:r>
      <w:r w:rsidR="00811CDC">
        <w:t>Milagro Gemelo</w:t>
      </w:r>
      <w:r>
        <w:t>; pues en ambos se muestran así: “Aquí el Perfecto realiza el Milagro Gemelo, que no es compartido por los discípulos. Produce una masa de fuego de</w:t>
      </w:r>
      <w:r w:rsidR="0087307E">
        <w:t>sde</w:t>
      </w:r>
      <w:r>
        <w:t xml:space="preserve"> la parte superior de su cuerpo y una </w:t>
      </w:r>
      <w:r w:rsidR="0087307E">
        <w:t>fuente</w:t>
      </w:r>
      <w:r>
        <w:t xml:space="preserve"> de agua de</w:t>
      </w:r>
      <w:r w:rsidR="0087307E">
        <w:t>sde</w:t>
      </w:r>
      <w:r>
        <w:t xml:space="preserve"> la parte inferior de su cuerpo…” (</w:t>
      </w:r>
      <w:proofErr w:type="spellStart"/>
      <w:r w:rsidRPr="007333A5">
        <w:rPr>
          <w:i/>
          <w:iCs/>
        </w:rPr>
        <w:t>Paṭis</w:t>
      </w:r>
      <w:proofErr w:type="spellEnd"/>
      <w:r>
        <w:t xml:space="preserve"> I 125). En el caso del milagro de hacer </w:t>
      </w:r>
      <w:r w:rsidR="003A13B5">
        <w:t>algo invisible</w:t>
      </w:r>
      <w:r>
        <w:t xml:space="preserve">, solo se muestra el poder sobrenatural, no el poseedor del poder sobrenatural. Eso se puede ilustrar por medio del </w:t>
      </w:r>
      <w:proofErr w:type="spellStart"/>
      <w:r w:rsidRPr="007333A5">
        <w:rPr>
          <w:i/>
          <w:iCs/>
        </w:rPr>
        <w:t>Mahaka</w:t>
      </w:r>
      <w:proofErr w:type="spellEnd"/>
      <w:r w:rsidRPr="007333A5">
        <w:rPr>
          <w:i/>
          <w:iCs/>
        </w:rPr>
        <w:t xml:space="preserve"> Sutta</w:t>
      </w:r>
      <w:r>
        <w:t xml:space="preserve"> (S IV 200), y el </w:t>
      </w:r>
      <w:proofErr w:type="spellStart"/>
      <w:r w:rsidRPr="007333A5">
        <w:rPr>
          <w:i/>
          <w:iCs/>
        </w:rPr>
        <w:t>Brahmanimantanika</w:t>
      </w:r>
      <w:proofErr w:type="spellEnd"/>
      <w:r>
        <w:t xml:space="preserve"> </w:t>
      </w:r>
      <w:r w:rsidRPr="007333A5">
        <w:rPr>
          <w:i/>
          <w:iCs/>
        </w:rPr>
        <w:t>Sutta</w:t>
      </w:r>
      <w:r>
        <w:t xml:space="preserve"> (M I 330). Porque allí solo se mostró el poder sobrenatural del </w:t>
      </w:r>
      <w:r w:rsidR="003A13B5">
        <w:t xml:space="preserve">Venerable </w:t>
      </w:r>
      <w:proofErr w:type="spellStart"/>
      <w:r>
        <w:t>Mahaka</w:t>
      </w:r>
      <w:proofErr w:type="spellEnd"/>
      <w:r>
        <w:t xml:space="preserve"> y del </w:t>
      </w:r>
      <w:r w:rsidR="003A13B5" w:rsidRPr="003A13B5">
        <w:rPr>
          <w:i/>
          <w:iCs/>
        </w:rPr>
        <w:t>Bhagavā</w:t>
      </w:r>
      <w:r w:rsidR="003A13B5">
        <w:t xml:space="preserve"> </w:t>
      </w:r>
      <w:r>
        <w:t>respectivamente, no los poseedores del poder sobrenatural, según se dice:</w:t>
      </w:r>
    </w:p>
    <w:p w14:paraId="4FA499E4" w14:textId="10D362C3" w:rsidR="00373C11" w:rsidRDefault="00373C11" w:rsidP="00373C11">
      <w:r>
        <w:t xml:space="preserve">85. </w:t>
      </w:r>
      <w:r>
        <w:tab/>
        <w:t xml:space="preserve">“Cuando se hubo sentado a un lado, el </w:t>
      </w:r>
      <w:r w:rsidR="003A13B5">
        <w:t>laico</w:t>
      </w:r>
      <w:r>
        <w:t xml:space="preserve"> </w:t>
      </w:r>
      <w:proofErr w:type="spellStart"/>
      <w:r>
        <w:t>Citta</w:t>
      </w:r>
      <w:proofErr w:type="spellEnd"/>
      <w:r>
        <w:t xml:space="preserve"> le dijo al </w:t>
      </w:r>
      <w:r w:rsidR="007333A5">
        <w:t xml:space="preserve">Venerable </w:t>
      </w:r>
      <w:proofErr w:type="spellStart"/>
      <w:r>
        <w:t>Mahaka</w:t>
      </w:r>
      <w:proofErr w:type="spellEnd"/>
      <w:r>
        <w:t xml:space="preserve">: 'Venerable </w:t>
      </w:r>
      <w:r w:rsidR="005D0D48">
        <w:t>Señor</w:t>
      </w:r>
      <w:r>
        <w:t>, sería bueno que el señor me mostrara un milagro de poder sobrenatural perteneciente a</w:t>
      </w:r>
      <w:r w:rsidR="005D0D48">
        <w:t xml:space="preserve"> un</w:t>
      </w:r>
      <w:r>
        <w:t xml:space="preserve"> estado superior al humano'— 'Entonces, </w:t>
      </w:r>
      <w:r w:rsidR="005D0D48">
        <w:t>laico</w:t>
      </w:r>
      <w:r>
        <w:t>, extiend</w:t>
      </w:r>
      <w:r w:rsidR="005D0D48">
        <w:t>a</w:t>
      </w:r>
      <w:r>
        <w:t xml:space="preserve"> </w:t>
      </w:r>
      <w:r w:rsidR="005D0D48">
        <w:t>s</w:t>
      </w:r>
      <w:r>
        <w:t xml:space="preserve">u </w:t>
      </w:r>
      <w:r w:rsidR="005D0D48">
        <w:t>ropaje</w:t>
      </w:r>
      <w:r>
        <w:t xml:space="preserve"> superior</w:t>
      </w:r>
    </w:p>
    <w:p w14:paraId="2A26853E" w14:textId="77777777" w:rsidR="00373C11" w:rsidRDefault="00373C11">
      <w:pPr>
        <w:tabs>
          <w:tab w:val="clear" w:pos="425"/>
        </w:tabs>
        <w:spacing w:after="160"/>
      </w:pPr>
      <w:r>
        <w:br w:type="page"/>
      </w:r>
    </w:p>
    <w:p w14:paraId="7D38561C" w14:textId="77777777" w:rsidR="00373C11" w:rsidRDefault="00373C11" w:rsidP="00373C11"/>
    <w:p w14:paraId="2E5105F7" w14:textId="5516388D" w:rsidR="00CF13A7" w:rsidRDefault="00CF13A7" w:rsidP="00CF13A7">
      <w:r>
        <w:t>en la terraza [394] y esparza</w:t>
      </w:r>
      <w:r w:rsidRPr="009C7A89">
        <w:rPr>
          <w:vertAlign w:val="superscript"/>
        </w:rPr>
        <w:t>17</w:t>
      </w:r>
      <w:r>
        <w:t xml:space="preserve"> un manojo de heno sobre ella.'—'</w:t>
      </w:r>
      <w:r w:rsidR="005D0D48">
        <w:t>Así será</w:t>
      </w:r>
      <w:r>
        <w:t xml:space="preserve">, </w:t>
      </w:r>
      <w:r w:rsidR="005D0D48">
        <w:t>Venerable Señor'</w:t>
      </w:r>
      <w:r>
        <w:t xml:space="preserve">, respondió </w:t>
      </w:r>
      <w:r w:rsidR="005D0D48">
        <w:t xml:space="preserve">el laico </w:t>
      </w:r>
      <w:proofErr w:type="spellStart"/>
      <w:r w:rsidR="0087307E">
        <w:t>Citta</w:t>
      </w:r>
      <w:proofErr w:type="spellEnd"/>
      <w:r w:rsidR="0087307E">
        <w:t xml:space="preserve"> </w:t>
      </w:r>
      <w:r>
        <w:t xml:space="preserve">al </w:t>
      </w:r>
      <w:r w:rsidR="005D0D48">
        <w:t xml:space="preserve">Venerable </w:t>
      </w:r>
      <w:proofErr w:type="spellStart"/>
      <w:r>
        <w:t>Mahaka</w:t>
      </w:r>
      <w:proofErr w:type="spellEnd"/>
      <w:r>
        <w:t xml:space="preserve">, y él extendió su </w:t>
      </w:r>
      <w:r w:rsidR="005D0D48">
        <w:t xml:space="preserve">ropaje </w:t>
      </w:r>
      <w:r>
        <w:t xml:space="preserve">superior en la terraza y esparció un manojo de heno sobre ella. Entonces el </w:t>
      </w:r>
      <w:r w:rsidR="005D0D48">
        <w:t xml:space="preserve">Venerable </w:t>
      </w:r>
      <w:proofErr w:type="spellStart"/>
      <w:r>
        <w:t>Mahaka</w:t>
      </w:r>
      <w:proofErr w:type="spellEnd"/>
      <w:r>
        <w:t xml:space="preserve"> entró </w:t>
      </w:r>
      <w:r w:rsidR="0087307E">
        <w:t xml:space="preserve">a la </w:t>
      </w:r>
      <w:r>
        <w:t xml:space="preserve">vivienda y cerró el pestillo, después de lo cual realizó una proeza de poder sobrenatural </w:t>
      </w:r>
      <w:r w:rsidR="005D0D48">
        <w:t>que consistió</w:t>
      </w:r>
      <w:r w:rsidR="009406B8">
        <w:t xml:space="preserve"> en</w:t>
      </w:r>
      <w:r>
        <w:t xml:space="preserve"> que </w:t>
      </w:r>
      <w:r w:rsidR="009406B8">
        <w:t xml:space="preserve">las </w:t>
      </w:r>
      <w:r>
        <w:t>llamas salier</w:t>
      </w:r>
      <w:r w:rsidR="009406B8">
        <w:t>e</w:t>
      </w:r>
      <w:r>
        <w:t xml:space="preserve">n </w:t>
      </w:r>
      <w:r w:rsidR="009406B8">
        <w:t xml:space="preserve">por </w:t>
      </w:r>
      <w:r>
        <w:t xml:space="preserve">el ojo de la cerradura y </w:t>
      </w:r>
      <w:r w:rsidR="009406B8">
        <w:t xml:space="preserve">por </w:t>
      </w:r>
      <w:r>
        <w:t xml:space="preserve">los huecos </w:t>
      </w:r>
      <w:r w:rsidR="009406B8">
        <w:t xml:space="preserve">de </w:t>
      </w:r>
      <w:r>
        <w:t>l</w:t>
      </w:r>
      <w:r w:rsidR="009406B8">
        <w:t>o</w:t>
      </w:r>
      <w:r>
        <w:t xml:space="preserve">s </w:t>
      </w:r>
      <w:r w:rsidR="009406B8">
        <w:t xml:space="preserve">pliegues del ropaje </w:t>
      </w:r>
      <w:r>
        <w:t>y quemar</w:t>
      </w:r>
      <w:r w:rsidR="009406B8">
        <w:t>a</w:t>
      </w:r>
      <w:r>
        <w:t xml:space="preserve">n el heno sin quemar </w:t>
      </w:r>
      <w:r w:rsidR="009406B8">
        <w:t xml:space="preserve">el ropaje </w:t>
      </w:r>
      <w:r>
        <w:t>superior” (S IV 290).</w:t>
      </w:r>
    </w:p>
    <w:p w14:paraId="755E934B" w14:textId="78886D05" w:rsidR="00CF13A7" w:rsidRDefault="00CF13A7" w:rsidP="00CF13A7">
      <w:r>
        <w:t xml:space="preserve">86. </w:t>
      </w:r>
      <w:r w:rsidR="000640A9">
        <w:tab/>
      </w:r>
      <w:r w:rsidR="009406B8">
        <w:t>De igual manera,</w:t>
      </w:r>
      <w:r>
        <w:t xml:space="preserve"> de acuerdo con </w:t>
      </w:r>
      <w:r w:rsidR="00C37B45">
        <w:t>lo afirmado</w:t>
      </w:r>
      <w:r>
        <w:t xml:space="preserve">: “Entonces, monjes, realicé una </w:t>
      </w:r>
      <w:r w:rsidR="009406B8">
        <w:t xml:space="preserve">proeza </w:t>
      </w:r>
      <w:r>
        <w:t xml:space="preserve">de poder sobrenatural de tal manera que </w:t>
      </w:r>
      <w:r w:rsidR="00057BF4" w:rsidRPr="00057BF4">
        <w:rPr>
          <w:i/>
        </w:rPr>
        <w:t>Brahmā</w:t>
      </w:r>
      <w:r>
        <w:t xml:space="preserve"> y el séquito de </w:t>
      </w:r>
      <w:r w:rsidR="00057BF4" w:rsidRPr="00057BF4">
        <w:rPr>
          <w:i/>
        </w:rPr>
        <w:t>Brahmā</w:t>
      </w:r>
      <w:r>
        <w:t xml:space="preserve">, y aquellos adjuntos al séquito de </w:t>
      </w:r>
      <w:r w:rsidR="00057BF4" w:rsidRPr="00057BF4">
        <w:rPr>
          <w:i/>
        </w:rPr>
        <w:t>Brahmā</w:t>
      </w:r>
      <w:r>
        <w:t xml:space="preserve">, pudieran escuchar mi voz y, sin embargo, </w:t>
      </w:r>
      <w:r w:rsidR="00C37B45">
        <w:t>que</w:t>
      </w:r>
      <w:r w:rsidR="00290177">
        <w:t xml:space="preserve"> </w:t>
      </w:r>
      <w:r>
        <w:t xml:space="preserve">no </w:t>
      </w:r>
      <w:r w:rsidR="00290177">
        <w:t>me vieran</w:t>
      </w:r>
      <w:r>
        <w:t xml:space="preserve">, y habiendo desaparecido </w:t>
      </w:r>
      <w:r w:rsidR="00290177">
        <w:t>así</w:t>
      </w:r>
      <w:r>
        <w:t>, pronuncié esta estrofa:</w:t>
      </w:r>
    </w:p>
    <w:p w14:paraId="484597C9" w14:textId="52F9EE52" w:rsidR="00CF13A7" w:rsidRPr="00290177" w:rsidRDefault="00CF13A7" w:rsidP="000640A9">
      <w:pPr>
        <w:pStyle w:val="VersoIngls01Sangria"/>
        <w:rPr>
          <w:sz w:val="16"/>
          <w:szCs w:val="20"/>
        </w:rPr>
      </w:pPr>
      <w:r w:rsidRPr="00290177">
        <w:rPr>
          <w:sz w:val="16"/>
          <w:szCs w:val="20"/>
        </w:rPr>
        <w:t>Vi el miedo en todo tipo de devenir,</w:t>
      </w:r>
    </w:p>
    <w:p w14:paraId="30DCD775" w14:textId="70ED0F15" w:rsidR="00CF13A7" w:rsidRPr="00290177" w:rsidRDefault="00CF13A7" w:rsidP="000640A9">
      <w:pPr>
        <w:pStyle w:val="VersoIngls01Sangria"/>
        <w:rPr>
          <w:sz w:val="16"/>
          <w:szCs w:val="20"/>
        </w:rPr>
      </w:pPr>
      <w:r w:rsidRPr="00290177">
        <w:rPr>
          <w:sz w:val="16"/>
          <w:szCs w:val="20"/>
        </w:rPr>
        <w:t xml:space="preserve">Incluyendo el devenir que </w:t>
      </w:r>
      <w:r w:rsidR="00290177">
        <w:rPr>
          <w:sz w:val="16"/>
          <w:szCs w:val="20"/>
        </w:rPr>
        <w:t>procura</w:t>
      </w:r>
      <w:r w:rsidRPr="00290177">
        <w:rPr>
          <w:sz w:val="16"/>
          <w:szCs w:val="20"/>
        </w:rPr>
        <w:t xml:space="preserve"> el no devenir;</w:t>
      </w:r>
    </w:p>
    <w:p w14:paraId="23426A63" w14:textId="4D69136A" w:rsidR="00CF13A7" w:rsidRPr="00290177" w:rsidRDefault="00CF13A7" w:rsidP="000640A9">
      <w:pPr>
        <w:pStyle w:val="VersoIngls01Sangria"/>
        <w:rPr>
          <w:sz w:val="16"/>
          <w:szCs w:val="20"/>
        </w:rPr>
      </w:pPr>
      <w:r w:rsidRPr="00290177">
        <w:rPr>
          <w:sz w:val="16"/>
          <w:szCs w:val="20"/>
        </w:rPr>
        <w:t xml:space="preserve">Y no </w:t>
      </w:r>
      <w:r w:rsidR="00290177">
        <w:rPr>
          <w:sz w:val="16"/>
          <w:szCs w:val="20"/>
        </w:rPr>
        <w:t>l</w:t>
      </w:r>
      <w:r w:rsidRPr="00290177">
        <w:rPr>
          <w:sz w:val="16"/>
          <w:szCs w:val="20"/>
        </w:rPr>
        <w:t>e</w:t>
      </w:r>
      <w:r w:rsidR="00290177">
        <w:rPr>
          <w:sz w:val="16"/>
          <w:szCs w:val="20"/>
        </w:rPr>
        <w:t>s</w:t>
      </w:r>
      <w:r w:rsidRPr="00290177">
        <w:rPr>
          <w:sz w:val="16"/>
          <w:szCs w:val="20"/>
        </w:rPr>
        <w:t xml:space="preserve"> recomiendo ningún devenir;</w:t>
      </w:r>
    </w:p>
    <w:p w14:paraId="45F82B5C" w14:textId="26F23446" w:rsidR="00CF13A7" w:rsidRPr="00290177" w:rsidRDefault="00CF13A7" w:rsidP="000640A9">
      <w:pPr>
        <w:pStyle w:val="VersoIngls01Sangria"/>
        <w:spacing w:after="100"/>
        <w:ind w:left="1418"/>
        <w:rPr>
          <w:sz w:val="16"/>
          <w:szCs w:val="20"/>
        </w:rPr>
      </w:pPr>
      <w:r w:rsidRPr="00290177">
        <w:rPr>
          <w:sz w:val="16"/>
          <w:szCs w:val="20"/>
        </w:rPr>
        <w:t xml:space="preserve">No me aferro a ningún </w:t>
      </w:r>
      <w:r w:rsidR="00290177">
        <w:rPr>
          <w:sz w:val="16"/>
          <w:szCs w:val="20"/>
        </w:rPr>
        <w:t xml:space="preserve">placer al respecto </w:t>
      </w:r>
      <w:r w:rsidR="00C37B45">
        <w:rPr>
          <w:sz w:val="16"/>
          <w:szCs w:val="20"/>
        </w:rPr>
        <w:t xml:space="preserve">y </w:t>
      </w:r>
      <w:r w:rsidRPr="00290177">
        <w:rPr>
          <w:sz w:val="16"/>
          <w:szCs w:val="20"/>
        </w:rPr>
        <w:t xml:space="preserve">en </w:t>
      </w:r>
      <w:r w:rsidR="00290177">
        <w:rPr>
          <w:sz w:val="16"/>
          <w:szCs w:val="20"/>
        </w:rPr>
        <w:t xml:space="preserve">lo </w:t>
      </w:r>
      <w:r w:rsidRPr="00290177">
        <w:rPr>
          <w:sz w:val="16"/>
          <w:szCs w:val="20"/>
        </w:rPr>
        <w:t>absoluto (M I 330).</w:t>
      </w:r>
    </w:p>
    <w:p w14:paraId="5CA448A1" w14:textId="5556D807" w:rsidR="00CF13A7" w:rsidRDefault="00CF13A7" w:rsidP="00CF13A7">
      <w:r>
        <w:t xml:space="preserve">87. </w:t>
      </w:r>
      <w:r w:rsidR="000640A9">
        <w:tab/>
      </w:r>
      <w:r w:rsidR="009F51B4" w:rsidRPr="009F51B4">
        <w:rPr>
          <w:i/>
          <w:iCs/>
        </w:rPr>
        <w:t>Atraviesa sin obstáculos muros, recintos, montañas</w:t>
      </w:r>
      <w:r w:rsidRPr="00EF3277">
        <w:rPr>
          <w:i/>
          <w:iCs/>
        </w:rPr>
        <w:t>, como si estuviera en un espacio abierto</w:t>
      </w:r>
      <w:r w:rsidR="00D276E0">
        <w:rPr>
          <w:i/>
          <w:iCs/>
        </w:rPr>
        <w:t xml:space="preserve"> </w:t>
      </w:r>
      <w:r w:rsidR="00D276E0" w:rsidRPr="00D276E0">
        <w:rPr>
          <w:color w:val="833C0B" w:themeColor="accent2" w:themeShade="80"/>
        </w:rPr>
        <w:t>(§48)</w:t>
      </w:r>
      <w:r>
        <w:t xml:space="preserve">: aquí a través de los muros </w:t>
      </w:r>
      <w:r w:rsidR="00B77A59">
        <w:t xml:space="preserve">significa lo que </w:t>
      </w:r>
      <w:r>
        <w:t xml:space="preserve">está más allá de los muros; el lado más allá de una pared, </w:t>
      </w:r>
      <w:r w:rsidR="00C3609A">
        <w:t xml:space="preserve">eso </w:t>
      </w:r>
      <w:r>
        <w:t>es lo que se quiere decir. Así</w:t>
      </w:r>
      <w:r w:rsidR="00C3609A">
        <w:t xml:space="preserve"> también es </w:t>
      </w:r>
      <w:r>
        <w:t xml:space="preserve">con </w:t>
      </w:r>
      <w:r w:rsidR="00C3609A">
        <w:t xml:space="preserve">lo </w:t>
      </w:r>
      <w:r>
        <w:t>rest</w:t>
      </w:r>
      <w:r w:rsidR="00C3609A">
        <w:t>ante</w:t>
      </w:r>
      <w:r>
        <w:t xml:space="preserve">. Y muro </w:t>
      </w:r>
      <w:r w:rsidR="00B77A59">
        <w:t xml:space="preserve">será </w:t>
      </w:r>
      <w:r>
        <w:t xml:space="preserve">un término para el muro de una casa; recinto </w:t>
      </w:r>
      <w:r w:rsidR="00131EE0">
        <w:t>para</w:t>
      </w:r>
      <w:r>
        <w:t xml:space="preserve"> un muro que rode</w:t>
      </w:r>
      <w:r w:rsidR="00131EE0">
        <w:t>e</w:t>
      </w:r>
      <w:r>
        <w:t xml:space="preserve"> </w:t>
      </w:r>
      <w:r w:rsidR="00CA249C">
        <w:t xml:space="preserve">a </w:t>
      </w:r>
      <w:r>
        <w:t xml:space="preserve">una casa, un monasterio (parque), un pueblo, etc.; </w:t>
      </w:r>
      <w:r w:rsidRPr="00AA03C1">
        <w:rPr>
          <w:i/>
          <w:iCs/>
        </w:rPr>
        <w:t>montaña</w:t>
      </w:r>
      <w:r>
        <w:t xml:space="preserve"> </w:t>
      </w:r>
      <w:r w:rsidR="00214B9C">
        <w:t>corresponderá</w:t>
      </w:r>
      <w:r>
        <w:t xml:space="preserve"> una montaña de tierra o </w:t>
      </w:r>
      <w:r w:rsidR="00594AF4">
        <w:t xml:space="preserve">a </w:t>
      </w:r>
      <w:r>
        <w:t xml:space="preserve">una </w:t>
      </w:r>
      <w:r w:rsidRPr="00AA03C1">
        <w:t>montaña</w:t>
      </w:r>
      <w:r>
        <w:t xml:space="preserve"> de piedra. </w:t>
      </w:r>
      <w:r w:rsidRPr="00FF264D">
        <w:rPr>
          <w:i/>
          <w:iCs/>
        </w:rPr>
        <w:t>Sin obstáculos</w:t>
      </w:r>
      <w:r>
        <w:t xml:space="preserve">: </w:t>
      </w:r>
      <w:r w:rsidR="00AA03C1">
        <w:t>sin oposición</w:t>
      </w:r>
      <w:r>
        <w:t xml:space="preserve">. </w:t>
      </w:r>
      <w:r w:rsidRPr="00FF264D">
        <w:rPr>
          <w:i/>
          <w:iCs/>
        </w:rPr>
        <w:t>Como si estuviera en un espacio abierto</w:t>
      </w:r>
      <w:r>
        <w:t xml:space="preserve">: </w:t>
      </w:r>
      <w:r w:rsidR="00ED5DFC">
        <w:t>justamente</w:t>
      </w:r>
      <w:r>
        <w:t xml:space="preserve"> como si estuviera en un espacio abierto.</w:t>
      </w:r>
    </w:p>
    <w:p w14:paraId="25832B05" w14:textId="6514D056" w:rsidR="00CF13A7" w:rsidRDefault="00CF13A7" w:rsidP="00CF13A7">
      <w:r>
        <w:t xml:space="preserve">88. </w:t>
      </w:r>
      <w:r w:rsidR="000640A9">
        <w:tab/>
      </w:r>
      <w:r>
        <w:t xml:space="preserve">Aquel que quiera </w:t>
      </w:r>
      <w:r w:rsidR="00457230">
        <w:t xml:space="preserve">recorrer </w:t>
      </w:r>
      <w:r>
        <w:t>este camino debe</w:t>
      </w:r>
      <w:r w:rsidR="00457230">
        <w:t>rá</w:t>
      </w:r>
      <w:r>
        <w:t xml:space="preserve"> alcanzar el </w:t>
      </w:r>
      <w:proofErr w:type="spellStart"/>
      <w:r w:rsidR="00057BF4" w:rsidRPr="00057BF4">
        <w:rPr>
          <w:i/>
        </w:rPr>
        <w:t>kasiṇa</w:t>
      </w:r>
      <w:proofErr w:type="spellEnd"/>
      <w:r>
        <w:t xml:space="preserve"> </w:t>
      </w:r>
      <w:r w:rsidR="00457230">
        <w:t xml:space="preserve">espacio </w:t>
      </w:r>
      <w:r>
        <w:t>[</w:t>
      </w:r>
      <w:r w:rsidR="00ED5DFC">
        <w:t xml:space="preserve">el </w:t>
      </w:r>
      <w:proofErr w:type="spellStart"/>
      <w:r w:rsidR="00057BF4" w:rsidRPr="00057BF4">
        <w:rPr>
          <w:i/>
        </w:rPr>
        <w:t>jhāna</w:t>
      </w:r>
      <w:proofErr w:type="spellEnd"/>
      <w:r>
        <w:t>] y emerger</w:t>
      </w:r>
      <w:r w:rsidR="00ED5DFC">
        <w:t xml:space="preserve"> de él</w:t>
      </w:r>
      <w:r>
        <w:t xml:space="preserve">, y luego hacer el trabajo preliminar advirtiendo a la pared o </w:t>
      </w:r>
      <w:r w:rsidR="00457230">
        <w:t>a</w:t>
      </w:r>
      <w:r>
        <w:t xml:space="preserve">l recinto o </w:t>
      </w:r>
      <w:r w:rsidR="00457230">
        <w:t xml:space="preserve">a </w:t>
      </w:r>
      <w:r>
        <w:t xml:space="preserve">alguna montaña como </w:t>
      </w:r>
      <w:proofErr w:type="spellStart"/>
      <w:r>
        <w:t>Sineru</w:t>
      </w:r>
      <w:proofErr w:type="spellEnd"/>
      <w:r>
        <w:t xml:space="preserve"> o </w:t>
      </w:r>
      <w:r w:rsidR="00457230">
        <w:t xml:space="preserve">a </w:t>
      </w:r>
      <w:r>
        <w:t xml:space="preserve">las Montañas de la Esfera </w:t>
      </w:r>
      <w:r w:rsidR="00457230">
        <w:t>Estelar</w:t>
      </w:r>
      <w:r>
        <w:t>, y resolver</w:t>
      </w:r>
      <w:r w:rsidR="00457230">
        <w:t xml:space="preserve"> así</w:t>
      </w:r>
      <w:r>
        <w:t>: “Qu</w:t>
      </w:r>
      <w:r w:rsidR="00457230">
        <w:t>é</w:t>
      </w:r>
      <w:r>
        <w:t xml:space="preserve"> haya espacio”. </w:t>
      </w:r>
      <w:r w:rsidR="00D6095F">
        <w:t xml:space="preserve">Entonces habrá </w:t>
      </w:r>
      <w:r>
        <w:t>sólo espacio; se v</w:t>
      </w:r>
      <w:r w:rsidR="00D6095F">
        <w:t>o</w:t>
      </w:r>
      <w:r>
        <w:t>lve</w:t>
      </w:r>
      <w:r w:rsidR="00D6095F">
        <w:t>rá</w:t>
      </w:r>
      <w:r>
        <w:t xml:space="preserve"> hueco para él si qui</w:t>
      </w:r>
      <w:r w:rsidR="007C0298">
        <w:t>siera</w:t>
      </w:r>
      <w:r>
        <w:t xml:space="preserve"> bajar o subir</w:t>
      </w:r>
      <w:r w:rsidR="007C0298">
        <w:t xml:space="preserve"> a través de él</w:t>
      </w:r>
      <w:r>
        <w:t>; se le abr</w:t>
      </w:r>
      <w:r w:rsidR="00D2481A">
        <w:t>irá</w:t>
      </w:r>
      <w:r>
        <w:t xml:space="preserve"> si qui</w:t>
      </w:r>
      <w:r w:rsidR="00D2481A">
        <w:t>si</w:t>
      </w:r>
      <w:r>
        <w:t>er</w:t>
      </w:r>
      <w:r w:rsidR="00D2481A">
        <w:t>a</w:t>
      </w:r>
      <w:r>
        <w:t xml:space="preserve"> penetrarla. Lo atravesa</w:t>
      </w:r>
      <w:r w:rsidR="00D2481A">
        <w:t>rá</w:t>
      </w:r>
      <w:r>
        <w:t xml:space="preserve"> sin obstáculos.</w:t>
      </w:r>
    </w:p>
    <w:p w14:paraId="34163330" w14:textId="7921311E" w:rsidR="00CF13A7" w:rsidRDefault="00CF13A7" w:rsidP="00CF13A7">
      <w:r>
        <w:t xml:space="preserve">89. </w:t>
      </w:r>
      <w:r w:rsidR="000640A9">
        <w:tab/>
      </w:r>
      <w:r w:rsidR="007C0298">
        <w:t xml:space="preserve">No obstante, </w:t>
      </w:r>
      <w:r>
        <w:t xml:space="preserve">aquí el </w:t>
      </w:r>
      <w:r w:rsidR="00D569DF">
        <w:t xml:space="preserve">Venerable </w:t>
      </w:r>
      <w:r>
        <w:t xml:space="preserve">Tipiṭaka </w:t>
      </w:r>
      <w:proofErr w:type="spellStart"/>
      <w:r>
        <w:t>Cūḷa-Abhaya</w:t>
      </w:r>
      <w:proofErr w:type="spellEnd"/>
      <w:r>
        <w:t xml:space="preserve"> dijo: “Amigos, ¿de qué sirve alcanzar el </w:t>
      </w:r>
      <w:proofErr w:type="spellStart"/>
      <w:r w:rsidR="00057BF4" w:rsidRPr="00057BF4">
        <w:rPr>
          <w:i/>
        </w:rPr>
        <w:t>kasiṇa</w:t>
      </w:r>
      <w:proofErr w:type="spellEnd"/>
      <w:r>
        <w:t xml:space="preserve"> </w:t>
      </w:r>
      <w:r w:rsidR="00D2481A">
        <w:t xml:space="preserve">espacio </w:t>
      </w:r>
      <w:r>
        <w:t>[</w:t>
      </w:r>
      <w:proofErr w:type="spellStart"/>
      <w:r w:rsidR="00057BF4" w:rsidRPr="00057BF4">
        <w:rPr>
          <w:i/>
        </w:rPr>
        <w:t>jhāna</w:t>
      </w:r>
      <w:proofErr w:type="spellEnd"/>
      <w:r>
        <w:t>]? Quien quier</w:t>
      </w:r>
      <w:r w:rsidR="00654BA7">
        <w:t>a</w:t>
      </w:r>
      <w:r>
        <w:t xml:space="preserve"> crear elefantes, caballos, etc., ¿obten</w:t>
      </w:r>
      <w:r w:rsidR="00654BA7">
        <w:t>drá</w:t>
      </w:r>
      <w:r>
        <w:t xml:space="preserve"> un </w:t>
      </w:r>
      <w:proofErr w:type="spellStart"/>
      <w:r w:rsidR="00654BA7" w:rsidRPr="00057BF4">
        <w:rPr>
          <w:i/>
        </w:rPr>
        <w:t>jhāna</w:t>
      </w:r>
      <w:proofErr w:type="spellEnd"/>
      <w:r w:rsidR="00654BA7">
        <w:t xml:space="preserve"> del </w:t>
      </w:r>
      <w:proofErr w:type="spellStart"/>
      <w:r w:rsidR="00057BF4" w:rsidRPr="00057BF4">
        <w:rPr>
          <w:i/>
        </w:rPr>
        <w:t>kasiṇa</w:t>
      </w:r>
      <w:proofErr w:type="spellEnd"/>
      <w:r>
        <w:t xml:space="preserve"> </w:t>
      </w:r>
      <w:r w:rsidR="00654BA7">
        <w:t>elefante</w:t>
      </w:r>
      <w:r w:rsidR="00654BA7" w:rsidRPr="00057BF4">
        <w:rPr>
          <w:i/>
        </w:rPr>
        <w:t xml:space="preserve"> </w:t>
      </w:r>
      <w:r>
        <w:t xml:space="preserve">o </w:t>
      </w:r>
      <w:r w:rsidR="007C0298">
        <w:t xml:space="preserve">un </w:t>
      </w:r>
      <w:proofErr w:type="spellStart"/>
      <w:r w:rsidR="00654BA7" w:rsidRPr="00057BF4">
        <w:rPr>
          <w:i/>
        </w:rPr>
        <w:t>jhāna</w:t>
      </w:r>
      <w:proofErr w:type="spellEnd"/>
      <w:r w:rsidR="00654BA7">
        <w:t xml:space="preserve"> del </w:t>
      </w:r>
      <w:proofErr w:type="spellStart"/>
      <w:r w:rsidR="00057BF4" w:rsidRPr="00057BF4">
        <w:rPr>
          <w:i/>
        </w:rPr>
        <w:t>kasiṇa</w:t>
      </w:r>
      <w:proofErr w:type="spellEnd"/>
      <w:r>
        <w:t xml:space="preserve"> </w:t>
      </w:r>
      <w:r w:rsidR="00654BA7">
        <w:t>caballo</w:t>
      </w:r>
      <w:r>
        <w:t>, y así sucesivamente? Sin duda, el único estándar</w:t>
      </w:r>
      <w:r w:rsidR="00511D49">
        <w:t xml:space="preserve"> será </w:t>
      </w:r>
      <w:r>
        <w:t xml:space="preserve">el dominio de los ocho logros, y después de que se haya realizado el trabajo preliminar en cualquier </w:t>
      </w:r>
      <w:proofErr w:type="spellStart"/>
      <w:r w:rsidR="00057BF4" w:rsidRPr="00057BF4">
        <w:rPr>
          <w:i/>
        </w:rPr>
        <w:t>kasiṇa</w:t>
      </w:r>
      <w:proofErr w:type="spellEnd"/>
      <w:r>
        <w:t xml:space="preserve">, entonces </w:t>
      </w:r>
      <w:r w:rsidR="00511D49">
        <w:t xml:space="preserve">las cosas </w:t>
      </w:r>
      <w:r>
        <w:t>se convert</w:t>
      </w:r>
      <w:r w:rsidR="00654BA7">
        <w:t>irá</w:t>
      </w:r>
      <w:r w:rsidR="00511D49">
        <w:t>n</w:t>
      </w:r>
      <w:r>
        <w:t xml:space="preserve"> en lo que él desee”. Los </w:t>
      </w:r>
      <w:proofErr w:type="spellStart"/>
      <w:r w:rsidR="00057BF4" w:rsidRPr="00057BF4">
        <w:rPr>
          <w:i/>
        </w:rPr>
        <w:t>bhikkhu</w:t>
      </w:r>
      <w:r>
        <w:t>s</w:t>
      </w:r>
      <w:proofErr w:type="spellEnd"/>
      <w:r>
        <w:t xml:space="preserve"> dijeron: “Venerable </w:t>
      </w:r>
      <w:r w:rsidR="00654BA7">
        <w:t>Señor</w:t>
      </w:r>
      <w:r>
        <w:t xml:space="preserve">, solo se ha </w:t>
      </w:r>
      <w:r w:rsidR="00332C63">
        <w:t>señalado</w:t>
      </w:r>
      <w:r>
        <w:t xml:space="preserve"> </w:t>
      </w:r>
      <w:r w:rsidR="00332C63">
        <w:t xml:space="preserve">en el texto </w:t>
      </w:r>
      <w:r>
        <w:t xml:space="preserve">el </w:t>
      </w:r>
      <w:proofErr w:type="spellStart"/>
      <w:r w:rsidR="00057BF4" w:rsidRPr="00057BF4">
        <w:rPr>
          <w:i/>
        </w:rPr>
        <w:t>kasiṇa</w:t>
      </w:r>
      <w:proofErr w:type="spellEnd"/>
      <w:r>
        <w:t xml:space="preserve"> </w:t>
      </w:r>
      <w:r w:rsidR="00654BA7">
        <w:t>espacio</w:t>
      </w:r>
      <w:r>
        <w:t>, por lo que ciertamente debe</w:t>
      </w:r>
      <w:r w:rsidR="007C0298">
        <w:t>ría</w:t>
      </w:r>
      <w:r>
        <w:t xml:space="preserve"> mencionarse”.</w:t>
      </w:r>
    </w:p>
    <w:p w14:paraId="52B68025" w14:textId="18A7287C" w:rsidR="00CF13A7" w:rsidRDefault="00CF13A7" w:rsidP="00CF13A7">
      <w:r>
        <w:t xml:space="preserve">90. </w:t>
      </w:r>
      <w:r w:rsidR="000640A9">
        <w:tab/>
      </w:r>
      <w:r>
        <w:t xml:space="preserve">Aquí está el texto: “Él </w:t>
      </w:r>
      <w:r w:rsidR="00960EF1">
        <w:t xml:space="preserve">será </w:t>
      </w:r>
      <w:r>
        <w:t xml:space="preserve">normalmente un </w:t>
      </w:r>
      <w:r w:rsidR="00AE586C">
        <w:t>poseedor</w:t>
      </w:r>
      <w:r>
        <w:t xml:space="preserve"> del logro del </w:t>
      </w:r>
      <w:proofErr w:type="spellStart"/>
      <w:r w:rsidR="00057BF4" w:rsidRPr="00057BF4">
        <w:rPr>
          <w:i/>
        </w:rPr>
        <w:t>kasiṇa</w:t>
      </w:r>
      <w:proofErr w:type="spellEnd"/>
      <w:r w:rsidR="004F41BC" w:rsidRPr="004F41BC">
        <w:t xml:space="preserve"> </w:t>
      </w:r>
      <w:r w:rsidR="004F41BC">
        <w:t>espacio</w:t>
      </w:r>
      <w:r>
        <w:t xml:space="preserve">. </w:t>
      </w:r>
      <w:r w:rsidR="00AE586C">
        <w:t>Él a</w:t>
      </w:r>
      <w:r>
        <w:t>dvert</w:t>
      </w:r>
      <w:r w:rsidR="00AE586C">
        <w:t>irá</w:t>
      </w:r>
      <w:r>
        <w:t>: “A través del muro, a través del recinto, a través de la montaña”. [395] Habiendo advertido, res</w:t>
      </w:r>
      <w:r w:rsidR="00AE586C">
        <w:t>o</w:t>
      </w:r>
      <w:r>
        <w:t>lve</w:t>
      </w:r>
      <w:r w:rsidR="00AE586C">
        <w:t>rá</w:t>
      </w:r>
      <w:r>
        <w:t xml:space="preserve"> con conocimiento: “Hágase el espacio” </w:t>
      </w:r>
      <w:r w:rsidR="00AE586C">
        <w:t xml:space="preserve">Entonces </w:t>
      </w:r>
      <w:r>
        <w:t>ha</w:t>
      </w:r>
      <w:r w:rsidR="00AE586C">
        <w:t>brá</w:t>
      </w:r>
      <w:r>
        <w:t xml:space="preserve"> espacio</w:t>
      </w:r>
      <w:r w:rsidR="00FA30F1">
        <w:t>.</w:t>
      </w:r>
      <w:r>
        <w:t xml:space="preserve"> Atravesa</w:t>
      </w:r>
      <w:r w:rsidR="00AE586C">
        <w:t>rá</w:t>
      </w:r>
      <w:r>
        <w:t xml:space="preserve"> sin obstáculos el muro, el recinto, la montaña. Así como los hombres que normalmente no poseen un poder sobrenatural van sin obstáculos </w:t>
      </w:r>
      <w:r w:rsidR="00C9299D">
        <w:t xml:space="preserve">hacia </w:t>
      </w:r>
      <w:r>
        <w:t>donde no hay</w:t>
      </w:r>
      <w:r w:rsidR="00620357">
        <w:t>a</w:t>
      </w:r>
      <w:r>
        <w:t xml:space="preserve"> obstrucción o cercamiento, así </w:t>
      </w:r>
    </w:p>
    <w:p w14:paraId="3E5EDEC3" w14:textId="4EF661F6" w:rsidR="00CF13A7" w:rsidRPr="000640A9" w:rsidRDefault="00CF13A7" w:rsidP="000640A9">
      <w:pPr>
        <w:pStyle w:val="PiedepginaLegal"/>
        <w:rPr>
          <w:u w:val="single"/>
        </w:rPr>
      </w:pPr>
      <w:r w:rsidRPr="000640A9">
        <w:rPr>
          <w:u w:val="single"/>
        </w:rPr>
        <w:t xml:space="preserve">                                                                                                                                                          .</w:t>
      </w:r>
    </w:p>
    <w:p w14:paraId="728B591D" w14:textId="4CE99BAD" w:rsidR="000640A9" w:rsidRDefault="00CF13A7" w:rsidP="000640A9">
      <w:pPr>
        <w:pStyle w:val="PiedepginaLegal"/>
      </w:pPr>
      <w:r>
        <w:t xml:space="preserve">17. </w:t>
      </w:r>
      <w:r w:rsidR="000640A9">
        <w:tab/>
      </w:r>
      <w:proofErr w:type="spellStart"/>
      <w:r w:rsidRPr="00D569DF">
        <w:rPr>
          <w:i/>
          <w:iCs/>
        </w:rPr>
        <w:t>Okāseti</w:t>
      </w:r>
      <w:proofErr w:type="spellEnd"/>
      <w:r>
        <w:t xml:space="preserve">— “dispersar”: </w:t>
      </w:r>
      <w:r w:rsidR="00A436BA">
        <w:t xml:space="preserve">El </w:t>
      </w:r>
      <w:r>
        <w:t xml:space="preserve">PED, </w:t>
      </w:r>
      <w:r w:rsidR="00A436BA">
        <w:t xml:space="preserve">para </w:t>
      </w:r>
      <w:r>
        <w:t xml:space="preserve">esta ref., </w:t>
      </w:r>
      <w:r w:rsidR="005878FA">
        <w:t xml:space="preserve">se </w:t>
      </w:r>
      <w:r>
        <w:t>da “</w:t>
      </w:r>
      <w:r w:rsidR="00A436BA">
        <w:t>exponer</w:t>
      </w:r>
      <w:r>
        <w:t xml:space="preserve">”, lo cual no encaja </w:t>
      </w:r>
      <w:r w:rsidR="00A436BA">
        <w:t xml:space="preserve">con </w:t>
      </w:r>
      <w:r>
        <w:t xml:space="preserve">el contexto. </w:t>
      </w:r>
      <w:r w:rsidR="00A436BA">
        <w:t xml:space="preserve">El </w:t>
      </w:r>
      <w:proofErr w:type="spellStart"/>
      <w:r>
        <w:t>Vism-mhṭ</w:t>
      </w:r>
      <w:proofErr w:type="spellEnd"/>
      <w:r>
        <w:t xml:space="preserve"> glosa </w:t>
      </w:r>
      <w:proofErr w:type="spellStart"/>
      <w:r w:rsidRPr="00A436BA">
        <w:rPr>
          <w:i/>
          <w:iCs/>
        </w:rPr>
        <w:t>pakirati</w:t>
      </w:r>
      <w:proofErr w:type="spellEnd"/>
      <w:r>
        <w:t>.</w:t>
      </w:r>
    </w:p>
    <w:p w14:paraId="742BEE41" w14:textId="77777777" w:rsidR="000640A9" w:rsidRDefault="000640A9" w:rsidP="000640A9"/>
    <w:p w14:paraId="086BD95D" w14:textId="77777777" w:rsidR="000640A9" w:rsidRDefault="000640A9">
      <w:pPr>
        <w:tabs>
          <w:tab w:val="clear" w:pos="425"/>
        </w:tabs>
        <w:spacing w:after="160"/>
      </w:pPr>
      <w:r>
        <w:br w:type="page"/>
      </w:r>
    </w:p>
    <w:p w14:paraId="0DA9F38E" w14:textId="77777777" w:rsidR="000640A9" w:rsidRDefault="000640A9" w:rsidP="000640A9"/>
    <w:p w14:paraId="6270A900" w14:textId="6ABDC253" w:rsidR="00323E58" w:rsidRDefault="00332C63" w:rsidP="00323E58">
      <w:r>
        <w:t xml:space="preserve">también </w:t>
      </w:r>
      <w:r w:rsidR="009B45BD">
        <w:t xml:space="preserve">será </w:t>
      </w:r>
      <w:r w:rsidR="00323E58">
        <w:t xml:space="preserve">poseedor de un poder sobrenatural, al lograr </w:t>
      </w:r>
      <w:r w:rsidR="009B45BD">
        <w:t xml:space="preserve">el </w:t>
      </w:r>
      <w:r w:rsidR="00323E58">
        <w:t>dominio mental, atravesa</w:t>
      </w:r>
      <w:r w:rsidR="00620357">
        <w:t>rá</w:t>
      </w:r>
      <w:r w:rsidR="00323E58">
        <w:t xml:space="preserve"> sin obstáculos </w:t>
      </w:r>
      <w:r w:rsidR="009B45BD">
        <w:t>los</w:t>
      </w:r>
      <w:r w:rsidR="00323E58">
        <w:t xml:space="preserve"> muro</w:t>
      </w:r>
      <w:r w:rsidR="009B45BD">
        <w:t>s</w:t>
      </w:r>
      <w:r w:rsidR="00323E58">
        <w:t xml:space="preserve">, </w:t>
      </w:r>
      <w:r w:rsidR="009B45BD">
        <w:t>un</w:t>
      </w:r>
      <w:r w:rsidR="00323E58">
        <w:t xml:space="preserve"> recinto, </w:t>
      </w:r>
      <w:r w:rsidR="009B45BD">
        <w:t>un</w:t>
      </w:r>
      <w:r w:rsidR="00323E58">
        <w:t>a montaña, como si estuviera en un espacio abierto” (</w:t>
      </w:r>
      <w:proofErr w:type="spellStart"/>
      <w:r w:rsidR="00323E58" w:rsidRPr="00315747">
        <w:rPr>
          <w:i/>
          <w:iCs/>
        </w:rPr>
        <w:t>Paṭis</w:t>
      </w:r>
      <w:proofErr w:type="spellEnd"/>
      <w:r w:rsidR="00323E58">
        <w:t xml:space="preserve"> II 208).</w:t>
      </w:r>
    </w:p>
    <w:p w14:paraId="17104C67" w14:textId="5BD154BB" w:rsidR="00323E58" w:rsidRDefault="00323E58" w:rsidP="00323E58">
      <w:r>
        <w:t xml:space="preserve">91. </w:t>
      </w:r>
      <w:r w:rsidR="00B177F5">
        <w:tab/>
      </w:r>
      <w:r>
        <w:t>¿Qué pasa</w:t>
      </w:r>
      <w:r w:rsidR="006C775F">
        <w:t>ría</w:t>
      </w:r>
      <w:r>
        <w:t xml:space="preserve"> si se </w:t>
      </w:r>
      <w:r w:rsidR="00315747">
        <w:t>surgiera</w:t>
      </w:r>
      <w:r>
        <w:t xml:space="preserve"> una montaña o un árbol en el camino de este </w:t>
      </w:r>
      <w:proofErr w:type="spellStart"/>
      <w:r w:rsidR="00057BF4" w:rsidRPr="00057BF4">
        <w:rPr>
          <w:i/>
        </w:rPr>
        <w:t>bhikkhu</w:t>
      </w:r>
      <w:proofErr w:type="spellEnd"/>
      <w:r>
        <w:t xml:space="preserve"> mientras viaja</w:t>
      </w:r>
      <w:r w:rsidR="00C9299D">
        <w:t>se</w:t>
      </w:r>
      <w:r>
        <w:t xml:space="preserve"> después de </w:t>
      </w:r>
      <w:r w:rsidR="00C9299D">
        <w:t>t</w:t>
      </w:r>
      <w:r>
        <w:t>a</w:t>
      </w:r>
      <w:r w:rsidR="00C9299D">
        <w:t>l</w:t>
      </w:r>
      <w:r>
        <w:t xml:space="preserve"> resolución? ¿Debe</w:t>
      </w:r>
      <w:r w:rsidR="00315747">
        <w:t>rá</w:t>
      </w:r>
      <w:r>
        <w:t xml:space="preserve"> alcanzar y </w:t>
      </w:r>
      <w:r w:rsidR="00315747">
        <w:t xml:space="preserve">hacer la determinación del caso </w:t>
      </w:r>
      <w:r>
        <w:t>de nuevo? No ha</w:t>
      </w:r>
      <w:r w:rsidR="006C775F">
        <w:t>brá</w:t>
      </w:r>
      <w:r>
        <w:t xml:space="preserve"> </w:t>
      </w:r>
      <w:r w:rsidR="006C775F">
        <w:t>perjuicio</w:t>
      </w:r>
      <w:r>
        <w:t xml:space="preserve"> en e</w:t>
      </w:r>
      <w:r w:rsidR="006C775F">
        <w:t>ll</w:t>
      </w:r>
      <w:r>
        <w:t xml:space="preserve">o. Porque alcanzar y resolver de nuevo </w:t>
      </w:r>
      <w:r w:rsidR="00363943">
        <w:t xml:space="preserve">será </w:t>
      </w:r>
      <w:r>
        <w:t xml:space="preserve">como </w:t>
      </w:r>
      <w:r w:rsidR="00363943">
        <w:t>adoptar</w:t>
      </w:r>
      <w:r>
        <w:t xml:space="preserve"> la dependencia (ver </w:t>
      </w:r>
      <w:proofErr w:type="spellStart"/>
      <w:r>
        <w:t>Vin</w:t>
      </w:r>
      <w:proofErr w:type="spellEnd"/>
      <w:r>
        <w:t xml:space="preserve"> I 58; II 274) en presencia del preceptor. Y debido a que este </w:t>
      </w:r>
      <w:proofErr w:type="spellStart"/>
      <w:r w:rsidR="00057BF4" w:rsidRPr="00057BF4">
        <w:rPr>
          <w:i/>
        </w:rPr>
        <w:t>bhikkhu</w:t>
      </w:r>
      <w:proofErr w:type="spellEnd"/>
      <w:r>
        <w:t xml:space="preserve"> ha</w:t>
      </w:r>
      <w:r w:rsidR="00F46E02">
        <w:t>brá</w:t>
      </w:r>
      <w:r>
        <w:t xml:space="preserve"> resuelto, "Que haya espacio", allí solo habrá espacio, y debido al poder de su primera resolución, </w:t>
      </w:r>
      <w:r w:rsidR="00363943">
        <w:t xml:space="preserve">será </w:t>
      </w:r>
      <w:r>
        <w:t>imposible que otra montaña o árbol pueda surgi</w:t>
      </w:r>
      <w:r w:rsidR="00F46E02">
        <w:t>r</w:t>
      </w:r>
      <w:r>
        <w:t xml:space="preserve"> mientras </w:t>
      </w:r>
      <w:r w:rsidR="00F46E02">
        <w:t xml:space="preserve">lo haga </w:t>
      </w:r>
      <w:r>
        <w:t xml:space="preserve">debido a la temperatura. Sin embargo, si ha sido creado por otro poseedor de poder sobrenatural y creado primero, </w:t>
      </w:r>
      <w:r w:rsidR="006D7854">
        <w:t xml:space="preserve">éste </w:t>
      </w:r>
      <w:r>
        <w:t>prevalece</w:t>
      </w:r>
      <w:r w:rsidR="00F46E02">
        <w:t>rá</w:t>
      </w:r>
      <w:r>
        <w:t>; el primero debe</w:t>
      </w:r>
      <w:r w:rsidR="006D7854">
        <w:t>rá</w:t>
      </w:r>
      <w:r>
        <w:t xml:space="preserve"> ir por encima o por debajo de él.</w:t>
      </w:r>
    </w:p>
    <w:p w14:paraId="674FD85E" w14:textId="7C5EFD43" w:rsidR="00323E58" w:rsidRDefault="00323E58" w:rsidP="00323E58">
      <w:r>
        <w:t xml:space="preserve">92. </w:t>
      </w:r>
      <w:r w:rsidR="00B177F5">
        <w:tab/>
      </w:r>
      <w:r w:rsidR="006D7854">
        <w:rPr>
          <w:i/>
          <w:iCs/>
        </w:rPr>
        <w:t>S</w:t>
      </w:r>
      <w:r w:rsidR="006D7854" w:rsidRPr="00B10034">
        <w:rPr>
          <w:i/>
          <w:iCs/>
        </w:rPr>
        <w:t xml:space="preserve">e </w:t>
      </w:r>
      <w:r w:rsidRPr="00B10034">
        <w:rPr>
          <w:i/>
          <w:iCs/>
        </w:rPr>
        <w:t>sumerg</w:t>
      </w:r>
      <w:r w:rsidR="006D7854">
        <w:rPr>
          <w:i/>
          <w:iCs/>
        </w:rPr>
        <w:t>e</w:t>
      </w:r>
      <w:r w:rsidRPr="00B10034">
        <w:rPr>
          <w:i/>
          <w:iCs/>
        </w:rPr>
        <w:t xml:space="preserve"> dentro y fuera de la tierra</w:t>
      </w:r>
      <w:r>
        <w:t xml:space="preserve"> (</w:t>
      </w:r>
      <w:proofErr w:type="spellStart"/>
      <w:r w:rsidRPr="00D569DF">
        <w:rPr>
          <w:i/>
          <w:iCs/>
        </w:rPr>
        <w:t>pathaviyā</w:t>
      </w:r>
      <w:proofErr w:type="spellEnd"/>
      <w:r w:rsidRPr="00D569DF">
        <w:rPr>
          <w:i/>
          <w:iCs/>
        </w:rPr>
        <w:t xml:space="preserve"> pi </w:t>
      </w:r>
      <w:proofErr w:type="spellStart"/>
      <w:r w:rsidRPr="00D569DF">
        <w:rPr>
          <w:i/>
          <w:iCs/>
        </w:rPr>
        <w:t>ummujjanimmujjaṃ</w:t>
      </w:r>
      <w:proofErr w:type="spellEnd"/>
      <w:r>
        <w:t xml:space="preserve">): aquí </w:t>
      </w:r>
      <w:r w:rsidR="00381BD9">
        <w:t>será ascend</w:t>
      </w:r>
      <w:r w:rsidR="00FF09CB">
        <w:t>er</w:t>
      </w:r>
      <w:r w:rsidR="00381BD9">
        <w:t xml:space="preserve"> a </w:t>
      </w:r>
      <w:r>
        <w:t xml:space="preserve">lo que se </w:t>
      </w:r>
      <w:r w:rsidR="00381BD9">
        <w:t xml:space="preserve">le </w:t>
      </w:r>
      <w:r>
        <w:t>llam</w:t>
      </w:r>
      <w:r w:rsidR="00717646">
        <w:t>e</w:t>
      </w:r>
      <w:r>
        <w:t xml:space="preserve"> “</w:t>
      </w:r>
      <w:r w:rsidR="00FF09CB">
        <w:t>sumergirse</w:t>
      </w:r>
      <w:r>
        <w:t>” (</w:t>
      </w:r>
      <w:proofErr w:type="spellStart"/>
      <w:r w:rsidRPr="00D569DF">
        <w:rPr>
          <w:i/>
          <w:iCs/>
        </w:rPr>
        <w:t>ummujja</w:t>
      </w:r>
      <w:proofErr w:type="spellEnd"/>
      <w:r>
        <w:t xml:space="preserve">) y </w:t>
      </w:r>
      <w:r w:rsidR="00286CFE">
        <w:t>hundirse</w:t>
      </w:r>
      <w:r>
        <w:t xml:space="preserve"> </w:t>
      </w:r>
      <w:r w:rsidR="009F21D9">
        <w:t xml:space="preserve">será a </w:t>
      </w:r>
      <w:r>
        <w:t xml:space="preserve">lo que se </w:t>
      </w:r>
      <w:r w:rsidR="009F21D9">
        <w:t xml:space="preserve">le </w:t>
      </w:r>
      <w:r>
        <w:t>llam</w:t>
      </w:r>
      <w:r w:rsidR="009F21D9">
        <w:t>e</w:t>
      </w:r>
      <w:r>
        <w:t xml:space="preserve"> “</w:t>
      </w:r>
      <w:r w:rsidR="009F21D9">
        <w:t>sumergirse</w:t>
      </w:r>
      <w:r>
        <w:t>” (</w:t>
      </w:r>
      <w:proofErr w:type="spellStart"/>
      <w:r w:rsidRPr="00D569DF">
        <w:rPr>
          <w:i/>
          <w:iCs/>
        </w:rPr>
        <w:t>nimmujja</w:t>
      </w:r>
      <w:proofErr w:type="spellEnd"/>
      <w:r>
        <w:t xml:space="preserve">). </w:t>
      </w:r>
      <w:proofErr w:type="spellStart"/>
      <w:r w:rsidRPr="00D569DF">
        <w:rPr>
          <w:i/>
          <w:iCs/>
        </w:rPr>
        <w:t>Ummujjanimmujjaṃ</w:t>
      </w:r>
      <w:proofErr w:type="spellEnd"/>
      <w:r w:rsidRPr="00D569DF">
        <w:rPr>
          <w:i/>
          <w:iCs/>
        </w:rPr>
        <w:t xml:space="preserve"> = </w:t>
      </w:r>
      <w:proofErr w:type="spellStart"/>
      <w:r w:rsidRPr="00D569DF">
        <w:rPr>
          <w:i/>
          <w:iCs/>
        </w:rPr>
        <w:t>ummujjañ</w:t>
      </w:r>
      <w:proofErr w:type="spellEnd"/>
      <w:r w:rsidRPr="00D569DF">
        <w:rPr>
          <w:i/>
          <w:iCs/>
        </w:rPr>
        <w:t xml:space="preserve"> ca </w:t>
      </w:r>
      <w:proofErr w:type="spellStart"/>
      <w:r w:rsidRPr="00D569DF">
        <w:rPr>
          <w:i/>
          <w:iCs/>
        </w:rPr>
        <w:t>nimmujjañ</w:t>
      </w:r>
      <w:proofErr w:type="spellEnd"/>
      <w:r w:rsidRPr="00D569DF">
        <w:rPr>
          <w:i/>
          <w:iCs/>
        </w:rPr>
        <w:t xml:space="preserve"> ca</w:t>
      </w:r>
      <w:r>
        <w:t xml:space="preserve"> (resolución de compuesto).</w:t>
      </w:r>
    </w:p>
    <w:p w14:paraId="7D2C7CE4" w14:textId="2F8EDC9D" w:rsidR="00323E58" w:rsidRDefault="00323E58" w:rsidP="00B177F5">
      <w:pPr>
        <w:pStyle w:val="NormalConSangria"/>
      </w:pPr>
      <w:r>
        <w:t>Aquel que quiera hacer esto debe</w:t>
      </w:r>
      <w:r w:rsidR="009F21D9">
        <w:t>rá</w:t>
      </w:r>
      <w:r>
        <w:t xml:space="preserve"> alcanzar el </w:t>
      </w:r>
      <w:proofErr w:type="spellStart"/>
      <w:r w:rsidR="009F21D9" w:rsidRPr="00057BF4">
        <w:rPr>
          <w:i/>
        </w:rPr>
        <w:t>jhāna</w:t>
      </w:r>
      <w:proofErr w:type="spellEnd"/>
      <w:r w:rsidR="009F21D9">
        <w:t xml:space="preserve"> del </w:t>
      </w:r>
      <w:proofErr w:type="spellStart"/>
      <w:r w:rsidR="00057BF4" w:rsidRPr="00057BF4">
        <w:rPr>
          <w:i/>
        </w:rPr>
        <w:t>kasiṇa</w:t>
      </w:r>
      <w:proofErr w:type="spellEnd"/>
      <w:r>
        <w:t xml:space="preserve"> </w:t>
      </w:r>
      <w:r w:rsidR="009F21D9">
        <w:t xml:space="preserve">agua </w:t>
      </w:r>
      <w:r>
        <w:t>y emerger. Luego debe</w:t>
      </w:r>
      <w:r w:rsidR="009F21D9">
        <w:t>rá</w:t>
      </w:r>
      <w:r>
        <w:t xml:space="preserve"> hacer el trabajo preliminar, determinando así: “Que la tierra en tal área sea agua”, y debe</w:t>
      </w:r>
      <w:r w:rsidR="009F21D9">
        <w:t>rá</w:t>
      </w:r>
      <w:r>
        <w:t xml:space="preserve"> resolver de la manera ya descrita. Simultáneamente con la resolución, esa gran extensión de tierra según lo determinado se convert</w:t>
      </w:r>
      <w:r w:rsidR="009F21D9">
        <w:t>irá</w:t>
      </w:r>
      <w:r>
        <w:t xml:space="preserve"> </w:t>
      </w:r>
      <w:r w:rsidR="008737E6">
        <w:t xml:space="preserve">solamente </w:t>
      </w:r>
      <w:r>
        <w:t>en agua. Es allí donde ha</w:t>
      </w:r>
      <w:r w:rsidR="009F21D9">
        <w:t>rá</w:t>
      </w:r>
      <w:r>
        <w:t xml:space="preserve"> </w:t>
      </w:r>
      <w:r w:rsidR="009F21D9">
        <w:t xml:space="preserve">la inmersión </w:t>
      </w:r>
      <w:r>
        <w:t>de entrada y salida.</w:t>
      </w:r>
    </w:p>
    <w:p w14:paraId="2EC02280" w14:textId="78A1ACE8" w:rsidR="00323E58" w:rsidRDefault="00323E58" w:rsidP="00323E58">
      <w:r>
        <w:t xml:space="preserve">93. </w:t>
      </w:r>
      <w:r w:rsidR="00B177F5">
        <w:tab/>
      </w:r>
      <w:r>
        <w:t xml:space="preserve">Aquí está el texto: “Él </w:t>
      </w:r>
      <w:r w:rsidR="009F21D9">
        <w:t xml:space="preserve">será </w:t>
      </w:r>
      <w:r>
        <w:t xml:space="preserve">normalmente un </w:t>
      </w:r>
      <w:r w:rsidR="009F21D9">
        <w:t xml:space="preserve">consumador </w:t>
      </w:r>
      <w:r>
        <w:t xml:space="preserve">del logro del </w:t>
      </w:r>
      <w:proofErr w:type="spellStart"/>
      <w:r w:rsidR="00057BF4" w:rsidRPr="00057BF4">
        <w:rPr>
          <w:i/>
        </w:rPr>
        <w:t>kasiṇa</w:t>
      </w:r>
      <w:proofErr w:type="spellEnd"/>
      <w:r w:rsidR="009F21D9" w:rsidRPr="009F21D9">
        <w:t xml:space="preserve"> </w:t>
      </w:r>
      <w:r w:rsidR="009F21D9">
        <w:t>agua</w:t>
      </w:r>
      <w:r>
        <w:t>. Él advert</w:t>
      </w:r>
      <w:r w:rsidR="00FD78F6">
        <w:t>irá</w:t>
      </w:r>
      <w:r>
        <w:t xml:space="preserve"> a la tierra. Habiendo advertido, res</w:t>
      </w:r>
      <w:r w:rsidR="00FD78F6">
        <w:t>o</w:t>
      </w:r>
      <w:r>
        <w:t>lve</w:t>
      </w:r>
      <w:r w:rsidR="00FD78F6">
        <w:t>rá</w:t>
      </w:r>
      <w:r>
        <w:t xml:space="preserve"> con conocimiento: “Hágase el agua”. </w:t>
      </w:r>
      <w:r w:rsidR="00FD78F6">
        <w:t>Entonces habrá</w:t>
      </w:r>
      <w:r>
        <w:t xml:space="preserve"> agua</w:t>
      </w:r>
      <w:r w:rsidR="00051D5C">
        <w:t>.</w:t>
      </w:r>
      <w:r>
        <w:t xml:space="preserve"> Él ha</w:t>
      </w:r>
      <w:r w:rsidR="00FD78F6">
        <w:t xml:space="preserve">rá la inmersión </w:t>
      </w:r>
      <w:r>
        <w:t xml:space="preserve">dentro y </w:t>
      </w:r>
      <w:r w:rsidR="00051D5C">
        <w:t xml:space="preserve">emergerá </w:t>
      </w:r>
      <w:r>
        <w:t>fuera de la tierra. Así como los hombres que normalmente no poseen poderes sobrenaturales se sumergen dentro y fuera del agua, este poseedor de poderes sobrenaturales, al lograr e</w:t>
      </w:r>
      <w:r w:rsidR="0072760A">
        <w:t>ste</w:t>
      </w:r>
      <w:r>
        <w:t xml:space="preserve"> dominio mental, se sumerg</w:t>
      </w:r>
      <w:r w:rsidR="0072760A">
        <w:t>irá</w:t>
      </w:r>
      <w:r>
        <w:t xml:space="preserve"> dentro y fuera de la tierra como si estuviera en el agua” (</w:t>
      </w:r>
      <w:proofErr w:type="spellStart"/>
      <w:r>
        <w:t>Paṭis</w:t>
      </w:r>
      <w:proofErr w:type="spellEnd"/>
      <w:r>
        <w:t xml:space="preserve"> II 208).</w:t>
      </w:r>
    </w:p>
    <w:p w14:paraId="1BF86317" w14:textId="6A036F27" w:rsidR="00323E58" w:rsidRDefault="00323E58" w:rsidP="00323E58">
      <w:r>
        <w:t xml:space="preserve">94. </w:t>
      </w:r>
      <w:r w:rsidR="00B177F5">
        <w:tab/>
      </w:r>
      <w:r>
        <w:t>Y no sólo se sumerg</w:t>
      </w:r>
      <w:r w:rsidR="0072760A">
        <w:t>irá</w:t>
      </w:r>
      <w:r>
        <w:t xml:space="preserve"> y </w:t>
      </w:r>
      <w:r w:rsidR="0072760A">
        <w:t>emergerá</w:t>
      </w:r>
      <w:r>
        <w:t xml:space="preserve">, sino </w:t>
      </w:r>
      <w:r w:rsidR="003A556D">
        <w:t xml:space="preserve">hará </w:t>
      </w:r>
      <w:r>
        <w:t>todo lo que quier</w:t>
      </w:r>
      <w:r w:rsidR="0091492C">
        <w:t>a</w:t>
      </w:r>
      <w:r>
        <w:t xml:space="preserve">, como bañarse, beber, enjuagarse la boca, lavarse los enseres, etc. Y no solo agua, sino que </w:t>
      </w:r>
      <w:r w:rsidR="003A556D">
        <w:t>podrá haber</w:t>
      </w:r>
      <w:r>
        <w:t xml:space="preserve"> cualquier otra cosa (</w:t>
      </w:r>
      <w:r w:rsidR="003A556D">
        <w:t xml:space="preserve">cualquier </w:t>
      </w:r>
      <w:r>
        <w:t>líquido) que quiera, como</w:t>
      </w:r>
      <w:r w:rsidR="00D22C79">
        <w:t xml:space="preserve"> el</w:t>
      </w:r>
      <w:r>
        <w:t xml:space="preserve"> </w:t>
      </w:r>
      <w:proofErr w:type="spellStart"/>
      <w:r w:rsidRPr="005D4171">
        <w:rPr>
          <w:i/>
          <w:iCs/>
        </w:rPr>
        <w:t>ghee</w:t>
      </w:r>
      <w:proofErr w:type="spellEnd"/>
      <w:r>
        <w:t xml:space="preserve">, </w:t>
      </w:r>
      <w:r w:rsidR="005D4171">
        <w:t xml:space="preserve">el </w:t>
      </w:r>
      <w:r>
        <w:t xml:space="preserve">aceite, </w:t>
      </w:r>
      <w:r w:rsidR="005D4171">
        <w:t>l</w:t>
      </w:r>
      <w:r w:rsidR="00D22C79">
        <w:t>a</w:t>
      </w:r>
      <w:r w:rsidR="005D4171">
        <w:t xml:space="preserve"> </w:t>
      </w:r>
      <w:r>
        <w:t xml:space="preserve">miel, </w:t>
      </w:r>
      <w:r w:rsidR="005D4171">
        <w:t xml:space="preserve">la </w:t>
      </w:r>
      <w:r>
        <w:t>melaza, etc. Cuando ha</w:t>
      </w:r>
      <w:r w:rsidR="005D4171">
        <w:t>ga</w:t>
      </w:r>
      <w:r>
        <w:t xml:space="preserve"> el trabajo preliminar, después de advertir así: “Que haya tanto de esto y de </w:t>
      </w:r>
      <w:r w:rsidR="00D22C79">
        <w:t>aquello</w:t>
      </w:r>
      <w:r>
        <w:t>” y resuelv</w:t>
      </w:r>
      <w:r w:rsidR="005D4171">
        <w:t>a al respecto</w:t>
      </w:r>
      <w:r>
        <w:t xml:space="preserve">, [396] </w:t>
      </w:r>
      <w:r w:rsidR="005D4171">
        <w:t xml:space="preserve">las cosas </w:t>
      </w:r>
      <w:r>
        <w:t>se convert</w:t>
      </w:r>
      <w:r w:rsidR="005D4171">
        <w:t>irán</w:t>
      </w:r>
      <w:r>
        <w:t xml:space="preserve"> en lo que él </w:t>
      </w:r>
      <w:r w:rsidR="005D4171">
        <w:t>haya resuelto</w:t>
      </w:r>
      <w:r>
        <w:t>. Si los toma</w:t>
      </w:r>
      <w:r w:rsidR="00151274">
        <w:t>se</w:t>
      </w:r>
      <w:r>
        <w:t xml:space="preserve"> y llena</w:t>
      </w:r>
      <w:r w:rsidR="00151274">
        <w:t>se</w:t>
      </w:r>
      <w:r>
        <w:t xml:space="preserve"> platos con ellos, el </w:t>
      </w:r>
      <w:proofErr w:type="spellStart"/>
      <w:r w:rsidRPr="00EE1087">
        <w:rPr>
          <w:i/>
          <w:iCs/>
        </w:rPr>
        <w:t>ghee</w:t>
      </w:r>
      <w:proofErr w:type="spellEnd"/>
      <w:r>
        <w:t xml:space="preserve"> </w:t>
      </w:r>
      <w:r w:rsidR="00EE1087">
        <w:t xml:space="preserve">será </w:t>
      </w:r>
      <w:r>
        <w:t xml:space="preserve">solo </w:t>
      </w:r>
      <w:proofErr w:type="spellStart"/>
      <w:r w:rsidRPr="00EE1087">
        <w:rPr>
          <w:i/>
          <w:iCs/>
        </w:rPr>
        <w:t>ghee</w:t>
      </w:r>
      <w:proofErr w:type="spellEnd"/>
      <w:r>
        <w:t>, el aceite</w:t>
      </w:r>
      <w:r w:rsidR="00151274">
        <w:t>,</w:t>
      </w:r>
      <w:r>
        <w:t xml:space="preserve"> solo aceite, etc., el agua solo agua. Si </w:t>
      </w:r>
      <w:r w:rsidR="00EE1087">
        <w:t>quisiera</w:t>
      </w:r>
      <w:r>
        <w:t xml:space="preserve"> que lo moje, lo moja</w:t>
      </w:r>
      <w:r w:rsidR="00EE1087">
        <w:t>rá</w:t>
      </w:r>
      <w:r>
        <w:t xml:space="preserve">, si no </w:t>
      </w:r>
      <w:r w:rsidR="00EE1087">
        <w:t>quisiera</w:t>
      </w:r>
      <w:r>
        <w:t xml:space="preserve"> que lo moje, no lo moja</w:t>
      </w:r>
      <w:r w:rsidR="00EE1087">
        <w:t>rá</w:t>
      </w:r>
      <w:r>
        <w:t xml:space="preserve">. Y </w:t>
      </w:r>
      <w:r w:rsidR="00EE1087">
        <w:t xml:space="preserve">será </w:t>
      </w:r>
      <w:r>
        <w:t>sólo para él que esa tierra se conviert</w:t>
      </w:r>
      <w:r w:rsidR="00EE1087">
        <w:t>a</w:t>
      </w:r>
      <w:r>
        <w:t xml:space="preserve"> en agua, para nadie más. La gente </w:t>
      </w:r>
      <w:r w:rsidR="00EE1087">
        <w:t>irá</w:t>
      </w:r>
      <w:r>
        <w:t xml:space="preserve"> por ella a pie y en vehículos, etc., y allí ha</w:t>
      </w:r>
      <w:r w:rsidR="00EE1087">
        <w:t>rá</w:t>
      </w:r>
      <w:r>
        <w:t xml:space="preserve">n su arado, etc. </w:t>
      </w:r>
      <w:r w:rsidR="00EE1087">
        <w:t xml:space="preserve">No obstante, </w:t>
      </w:r>
      <w:r>
        <w:t>si qui</w:t>
      </w:r>
      <w:r w:rsidR="00EE1087">
        <w:t>siera</w:t>
      </w:r>
      <w:r>
        <w:t>, “Que sea agua también para ellos”, también se convert</w:t>
      </w:r>
      <w:r w:rsidR="00EE1087">
        <w:t>irá</w:t>
      </w:r>
      <w:r>
        <w:t xml:space="preserve"> en agua para ellos. Transcurrido el tiempo determinado, toda la extensión determinada, excepto el agua originalmente presente en tinajas, estanques, etc., </w:t>
      </w:r>
      <w:r w:rsidR="00AC0856">
        <w:t xml:space="preserve">se transformará nuevamente en </w:t>
      </w:r>
      <w:r>
        <w:t>tierra.</w:t>
      </w:r>
    </w:p>
    <w:p w14:paraId="69A64AD9" w14:textId="2CF16B38" w:rsidR="00B177F5" w:rsidRDefault="00323E58" w:rsidP="00323E58">
      <w:r>
        <w:t xml:space="preserve">95. </w:t>
      </w:r>
      <w:r w:rsidR="00B177F5">
        <w:tab/>
      </w:r>
      <w:r w:rsidRPr="00D569DF">
        <w:rPr>
          <w:i/>
          <w:iCs/>
        </w:rPr>
        <w:t>Sobre agua intacta</w:t>
      </w:r>
      <w:r>
        <w:t xml:space="preserve">: aquí el agua en </w:t>
      </w:r>
      <w:r w:rsidR="003F3C39">
        <w:t>e</w:t>
      </w:r>
      <w:r>
        <w:t>l que uno se hund</w:t>
      </w:r>
      <w:r w:rsidR="00AC0856">
        <w:t>a</w:t>
      </w:r>
      <w:r>
        <w:t xml:space="preserve"> cuando </w:t>
      </w:r>
      <w:r w:rsidR="00E45A57">
        <w:t>sea</w:t>
      </w:r>
      <w:r>
        <w:t xml:space="preserve"> pisad</w:t>
      </w:r>
      <w:r w:rsidR="00E45A57">
        <w:t>a</w:t>
      </w:r>
      <w:r>
        <w:t xml:space="preserve"> se llama</w:t>
      </w:r>
      <w:r w:rsidR="00054BAC">
        <w:t>rá</w:t>
      </w:r>
      <w:r>
        <w:t xml:space="preserve"> “</w:t>
      </w:r>
      <w:r w:rsidR="00C51D70">
        <w:t>afectada</w:t>
      </w:r>
      <w:r>
        <w:t xml:space="preserve">”, </w:t>
      </w:r>
      <w:r w:rsidR="00C51D70">
        <w:t xml:space="preserve">a </w:t>
      </w:r>
      <w:r>
        <w:t>lo contrario se llama</w:t>
      </w:r>
      <w:r w:rsidR="00C51D70">
        <w:t>rá</w:t>
      </w:r>
      <w:r>
        <w:t xml:space="preserve"> “</w:t>
      </w:r>
      <w:r w:rsidR="00E45A57">
        <w:t>intacta</w:t>
      </w:r>
      <w:r>
        <w:t>”. Pero quien quiera ir por este camino debe</w:t>
      </w:r>
      <w:r w:rsidR="00054BAC">
        <w:t>rá</w:t>
      </w:r>
      <w:r>
        <w:t xml:space="preserve"> alcanzar </w:t>
      </w:r>
      <w:r w:rsidR="001B3812">
        <w:t xml:space="preserve">el </w:t>
      </w:r>
      <w:proofErr w:type="spellStart"/>
      <w:r w:rsidR="00057BF4" w:rsidRPr="00057BF4">
        <w:rPr>
          <w:i/>
        </w:rPr>
        <w:t>kasiṇa</w:t>
      </w:r>
      <w:proofErr w:type="spellEnd"/>
      <w:r>
        <w:t xml:space="preserve"> </w:t>
      </w:r>
      <w:r w:rsidR="00054BAC">
        <w:t xml:space="preserve">tierra </w:t>
      </w:r>
      <w:r>
        <w:t>[</w:t>
      </w:r>
      <w:proofErr w:type="spellStart"/>
      <w:r w:rsidR="00057BF4" w:rsidRPr="00057BF4">
        <w:rPr>
          <w:i/>
        </w:rPr>
        <w:t>jhāna</w:t>
      </w:r>
      <w:proofErr w:type="spellEnd"/>
      <w:r>
        <w:t>] y emerger. Luego debe</w:t>
      </w:r>
      <w:r w:rsidR="00054BAC">
        <w:t>rá</w:t>
      </w:r>
      <w:r>
        <w:t xml:space="preserve"> hacer el trabajo preliminar, determinando así: “Que el agua en tal área se convierta en tierra”, y debe</w:t>
      </w:r>
      <w:r w:rsidR="00054BAC">
        <w:t>rá</w:t>
      </w:r>
      <w:r>
        <w:t xml:space="preserve"> resolver de la manera ya descrita. Simultáneamente con la resolución, el agua en ese lugar se convert</w:t>
      </w:r>
      <w:r w:rsidR="00054BAC">
        <w:t>irá</w:t>
      </w:r>
      <w:r>
        <w:t xml:space="preserve"> en tierra. Él </w:t>
      </w:r>
      <w:r w:rsidR="002F740F">
        <w:t xml:space="preserve">proseguirá </w:t>
      </w:r>
      <w:r w:rsidR="00E8407C">
        <w:t>al respecto</w:t>
      </w:r>
      <w:r>
        <w:t>.</w:t>
      </w:r>
    </w:p>
    <w:p w14:paraId="28E108F4" w14:textId="77777777" w:rsidR="00B177F5" w:rsidRDefault="00B177F5">
      <w:pPr>
        <w:tabs>
          <w:tab w:val="clear" w:pos="425"/>
        </w:tabs>
        <w:spacing w:after="160"/>
      </w:pPr>
      <w:r>
        <w:br w:type="page"/>
      </w:r>
    </w:p>
    <w:p w14:paraId="3D392AE5" w14:textId="21387098" w:rsidR="00BF5FB1" w:rsidRDefault="00BF5FB1" w:rsidP="00323E58">
      <w:r>
        <w:lastRenderedPageBreak/>
        <w:br/>
      </w:r>
    </w:p>
    <w:p w14:paraId="488E9B63" w14:textId="356CB6EE" w:rsidR="00BF5FB1" w:rsidRDefault="00BF5FB1" w:rsidP="00BF5FB1">
      <w:r>
        <w:t xml:space="preserve">96. </w:t>
      </w:r>
      <w:r>
        <w:tab/>
        <w:t xml:space="preserve">Aquí está el texto: “Él </w:t>
      </w:r>
      <w:r w:rsidR="001B3812">
        <w:t xml:space="preserve">será </w:t>
      </w:r>
      <w:r>
        <w:t xml:space="preserve">normalmente </w:t>
      </w:r>
      <w:r w:rsidR="001B3812">
        <w:t>un</w:t>
      </w:r>
      <w:r w:rsidR="00E8407C">
        <w:t xml:space="preserve"> poseedor</w:t>
      </w:r>
      <w:r>
        <w:t xml:space="preserve"> </w:t>
      </w:r>
      <w:r w:rsidR="00E8407C">
        <w:t>d</w:t>
      </w:r>
      <w:r>
        <w:t xml:space="preserve">el logro del </w:t>
      </w:r>
      <w:proofErr w:type="spellStart"/>
      <w:r w:rsidR="00057BF4" w:rsidRPr="00057BF4">
        <w:rPr>
          <w:i/>
        </w:rPr>
        <w:t>kasiṇa</w:t>
      </w:r>
      <w:proofErr w:type="spellEnd"/>
      <w:r w:rsidR="00E8407C" w:rsidRPr="00E8407C">
        <w:t xml:space="preserve"> </w:t>
      </w:r>
      <w:r w:rsidR="00E8407C">
        <w:t>tierra</w:t>
      </w:r>
      <w:r>
        <w:t xml:space="preserve">. </w:t>
      </w:r>
      <w:r w:rsidR="00EF65B2">
        <w:t>Él advertirá e</w:t>
      </w:r>
      <w:r>
        <w:t xml:space="preserve">l agua. Habiendo </w:t>
      </w:r>
      <w:r w:rsidR="00EF65B2">
        <w:t>advertido</w:t>
      </w:r>
      <w:r>
        <w:t>, res</w:t>
      </w:r>
      <w:r w:rsidR="00EF65B2">
        <w:t>o</w:t>
      </w:r>
      <w:r>
        <w:t>lve</w:t>
      </w:r>
      <w:r w:rsidR="00EF65B2">
        <w:t>rá</w:t>
      </w:r>
      <w:r>
        <w:t xml:space="preserve"> con conocimiento: 'Que haya tierra'. </w:t>
      </w:r>
      <w:r w:rsidR="00EF65B2">
        <w:t xml:space="preserve">Y habrá </w:t>
      </w:r>
      <w:r>
        <w:t xml:space="preserve">tierra. Él </w:t>
      </w:r>
      <w:r w:rsidR="00415DB3">
        <w:t xml:space="preserve">continuará con </w:t>
      </w:r>
      <w:r>
        <w:t xml:space="preserve">aguas </w:t>
      </w:r>
      <w:r w:rsidR="00E45A57">
        <w:t>intactas</w:t>
      </w:r>
      <w:r>
        <w:t xml:space="preserve">. Así como los hombres que normalmente no poseen un poder sobrenatural </w:t>
      </w:r>
      <w:r w:rsidR="00525872">
        <w:t>marchan</w:t>
      </w:r>
      <w:r>
        <w:t xml:space="preserve"> sobre tierra intacta, este poseedor de </w:t>
      </w:r>
      <w:r w:rsidR="00525872">
        <w:t xml:space="preserve">tal </w:t>
      </w:r>
      <w:r>
        <w:t xml:space="preserve">poder sobrenatural, al alcanzar el dominio mental, </w:t>
      </w:r>
      <w:r w:rsidR="006F607E">
        <w:t>caminará</w:t>
      </w:r>
      <w:r w:rsidR="00E45A57">
        <w:t xml:space="preserve"> </w:t>
      </w:r>
      <w:r>
        <w:t xml:space="preserve">sobre agua intacta como si estuviera </w:t>
      </w:r>
      <w:r w:rsidR="006C609D">
        <w:t>haciéndolo sobre</w:t>
      </w:r>
      <w:r>
        <w:t xml:space="preserve"> la tierra” (</w:t>
      </w:r>
      <w:proofErr w:type="spellStart"/>
      <w:r w:rsidRPr="00D569DF">
        <w:rPr>
          <w:i/>
          <w:iCs/>
        </w:rPr>
        <w:t>Paṭis</w:t>
      </w:r>
      <w:proofErr w:type="spellEnd"/>
      <w:r>
        <w:t xml:space="preserve"> II 208).</w:t>
      </w:r>
    </w:p>
    <w:p w14:paraId="21EC0C5E" w14:textId="139F6359" w:rsidR="00BF5FB1" w:rsidRDefault="00BF5FB1" w:rsidP="00BF5FB1">
      <w:r>
        <w:t xml:space="preserve">97. </w:t>
      </w:r>
      <w:r>
        <w:tab/>
        <w:t xml:space="preserve">Y no sólo </w:t>
      </w:r>
      <w:r w:rsidR="006C609D">
        <w:t>irá</w:t>
      </w:r>
      <w:r>
        <w:t>, sino que adopta</w:t>
      </w:r>
      <w:r w:rsidR="006C609D">
        <w:t>rá</w:t>
      </w:r>
      <w:r>
        <w:t xml:space="preserve"> la postura que quier</w:t>
      </w:r>
      <w:r w:rsidR="006C609D">
        <w:t>a</w:t>
      </w:r>
      <w:r>
        <w:t>. Y no solo la tierra, sino cualquier otra cosa sólida que él quiera, como gemas, oro, rocas, árboles, etc., lo advert</w:t>
      </w:r>
      <w:r w:rsidR="006C609D">
        <w:t>irá</w:t>
      </w:r>
      <w:r>
        <w:t xml:space="preserve"> y lo res</w:t>
      </w:r>
      <w:r w:rsidR="006C609D">
        <w:t>o</w:t>
      </w:r>
      <w:r>
        <w:t>lv</w:t>
      </w:r>
      <w:r w:rsidR="006C609D">
        <w:t>erá</w:t>
      </w:r>
      <w:r>
        <w:t>, y se convert</w:t>
      </w:r>
      <w:r w:rsidR="006C609D">
        <w:t>irá</w:t>
      </w:r>
      <w:r>
        <w:t xml:space="preserve"> en lo que él </w:t>
      </w:r>
      <w:r w:rsidR="006C609D">
        <w:t>determine</w:t>
      </w:r>
      <w:r>
        <w:t>. Y esa agua se convert</w:t>
      </w:r>
      <w:r w:rsidR="006C609D">
        <w:t>irá</w:t>
      </w:r>
      <w:r>
        <w:t xml:space="preserve"> en tierra sólo para él; </w:t>
      </w:r>
      <w:r w:rsidR="00EF3DA2">
        <w:t xml:space="preserve">será </w:t>
      </w:r>
      <w:r>
        <w:t>agua para cualquier otra persona. Y los peces, las tortugas y las aves acuáticas anda</w:t>
      </w:r>
      <w:r w:rsidR="006C609D">
        <w:t>rá</w:t>
      </w:r>
      <w:r>
        <w:t xml:space="preserve">n por allí </w:t>
      </w:r>
      <w:r w:rsidR="006C609D">
        <w:t xml:space="preserve">tal </w:t>
      </w:r>
      <w:r>
        <w:t>como gust</w:t>
      </w:r>
      <w:r w:rsidR="006C609D">
        <w:t>e</w:t>
      </w:r>
      <w:r>
        <w:t>. Pero si desea</w:t>
      </w:r>
      <w:r w:rsidR="006C609D">
        <w:t>rá</w:t>
      </w:r>
      <w:r>
        <w:t xml:space="preserve"> convertirl</w:t>
      </w:r>
      <w:r w:rsidR="006C609D">
        <w:t>a</w:t>
      </w:r>
      <w:r>
        <w:t xml:space="preserve"> en tierra para otras personas, también </w:t>
      </w:r>
      <w:r w:rsidR="006C609D">
        <w:t>será posible</w:t>
      </w:r>
      <w:r>
        <w:t xml:space="preserve">. Transcurrido el tiempo determinado, </w:t>
      </w:r>
      <w:r w:rsidR="006C609D">
        <w:t>volverá</w:t>
      </w:r>
      <w:r>
        <w:t xml:space="preserve"> a ser agua.</w:t>
      </w:r>
    </w:p>
    <w:p w14:paraId="77A33F19" w14:textId="72347667" w:rsidR="00BF5FB1" w:rsidRDefault="00BF5FB1" w:rsidP="00BF5FB1">
      <w:r>
        <w:t xml:space="preserve">98. </w:t>
      </w:r>
      <w:r>
        <w:tab/>
      </w:r>
      <w:r w:rsidRPr="00D569DF">
        <w:rPr>
          <w:i/>
          <w:iCs/>
        </w:rPr>
        <w:t>Sentado con las piernas cruzadas viaja</w:t>
      </w:r>
      <w:r>
        <w:t xml:space="preserve">: </w:t>
      </w:r>
      <w:r w:rsidR="006C609D">
        <w:t>irá</w:t>
      </w:r>
      <w:r>
        <w:t xml:space="preserve"> sentado con las piernas cruzadas. Como un pájaro alado: como un pájaro provisto de alas. Aquel que quiera hacer esto debe</w:t>
      </w:r>
      <w:r w:rsidR="0010491B">
        <w:t>rá</w:t>
      </w:r>
      <w:r>
        <w:t xml:space="preserve"> alcanzar el </w:t>
      </w:r>
      <w:proofErr w:type="spellStart"/>
      <w:r w:rsidR="00057BF4" w:rsidRPr="00057BF4">
        <w:rPr>
          <w:i/>
        </w:rPr>
        <w:t>kasiṇa</w:t>
      </w:r>
      <w:proofErr w:type="spellEnd"/>
      <w:r>
        <w:t xml:space="preserve"> tierra y emerger. [397] Luego, si </w:t>
      </w:r>
      <w:r w:rsidR="0010491B">
        <w:t xml:space="preserve">quisiera </w:t>
      </w:r>
      <w:r>
        <w:t>ir con las piernas cruzadas, debe</w:t>
      </w:r>
      <w:r w:rsidR="0010491B">
        <w:t>rá</w:t>
      </w:r>
      <w:r>
        <w:t xml:space="preserve"> hacer el trabajo preliminar y determinar un área del tamaño de un asiento para sentarse con las piernas cruzadas, y debe</w:t>
      </w:r>
      <w:r w:rsidR="0010491B">
        <w:t>rá</w:t>
      </w:r>
      <w:r>
        <w:t xml:space="preserve"> resolver de la manera ya descrita. Si </w:t>
      </w:r>
      <w:r w:rsidR="00AC5471">
        <w:t>quisiera</w:t>
      </w:r>
      <w:r>
        <w:t xml:space="preserve"> </w:t>
      </w:r>
      <w:r w:rsidR="00EF3DA2">
        <w:t>re</w:t>
      </w:r>
      <w:r>
        <w:t>costarse, determina</w:t>
      </w:r>
      <w:r w:rsidR="00AC5471">
        <w:t>rá</w:t>
      </w:r>
      <w:r>
        <w:t xml:space="preserve"> un área del tamaño de una cama. Si </w:t>
      </w:r>
      <w:r w:rsidR="00AC5471">
        <w:t>quisiera</w:t>
      </w:r>
      <w:r>
        <w:t xml:space="preserve"> ir a pie, determina</w:t>
      </w:r>
      <w:r w:rsidR="00AC5471">
        <w:t>rá</w:t>
      </w:r>
      <w:r>
        <w:t xml:space="preserve"> un lugar adecuado del tamaño de un camino, y </w:t>
      </w:r>
      <w:r w:rsidR="001E1C35">
        <w:t xml:space="preserve">resolver </w:t>
      </w:r>
      <w:r>
        <w:t xml:space="preserve">en la forma ya descrita: “Que </w:t>
      </w:r>
      <w:r w:rsidR="00511AF7">
        <w:t>haya</w:t>
      </w:r>
      <w:r>
        <w:t xml:space="preserve"> tierra”. Simultáneamente con </w:t>
      </w:r>
      <w:r w:rsidR="001E1C35">
        <w:t xml:space="preserve">tal </w:t>
      </w:r>
      <w:r>
        <w:t xml:space="preserve">resolución se </w:t>
      </w:r>
      <w:r w:rsidR="001E1C35">
        <w:t xml:space="preserve">convertirá </w:t>
      </w:r>
      <w:r>
        <w:t>en tierra.</w:t>
      </w:r>
    </w:p>
    <w:p w14:paraId="4CB890D3" w14:textId="2855FCC1" w:rsidR="00BF5FB1" w:rsidRDefault="00BF5FB1" w:rsidP="00BF5FB1">
      <w:r>
        <w:t xml:space="preserve">99. </w:t>
      </w:r>
      <w:r>
        <w:tab/>
        <w:t>Aquí el texto: “‘Sentado con las piernas cruzadas, viaja</w:t>
      </w:r>
      <w:r w:rsidR="001E1C35">
        <w:t>rá</w:t>
      </w:r>
      <w:r>
        <w:t xml:space="preserve"> </w:t>
      </w:r>
      <w:r w:rsidR="001E1C35">
        <w:t>por</w:t>
      </w:r>
      <w:r>
        <w:t xml:space="preserve"> el espacio como un pájaro alado’: normalmente </w:t>
      </w:r>
      <w:r w:rsidR="001E1C35">
        <w:t xml:space="preserve">se tratará de </w:t>
      </w:r>
      <w:r>
        <w:t xml:space="preserve">un </w:t>
      </w:r>
      <w:r w:rsidR="001E1C35">
        <w:t xml:space="preserve">poseedor </w:t>
      </w:r>
      <w:r>
        <w:t>del logro</w:t>
      </w:r>
      <w:r w:rsidR="001E1C35">
        <w:t xml:space="preserve"> del </w:t>
      </w:r>
      <w:proofErr w:type="spellStart"/>
      <w:r w:rsidR="00057BF4" w:rsidRPr="00057BF4">
        <w:rPr>
          <w:i/>
        </w:rPr>
        <w:t>kasiṇa</w:t>
      </w:r>
      <w:proofErr w:type="spellEnd"/>
      <w:r w:rsidR="001E1C35" w:rsidRPr="001E1C35">
        <w:t xml:space="preserve"> </w:t>
      </w:r>
      <w:r w:rsidR="001E1C35">
        <w:t>tierra</w:t>
      </w:r>
      <w:r>
        <w:t xml:space="preserve">. </w:t>
      </w:r>
      <w:r w:rsidR="00147384">
        <w:t>Él advertirá e</w:t>
      </w:r>
      <w:r>
        <w:t xml:space="preserve">l espacio. </w:t>
      </w:r>
      <w:r w:rsidR="00147384">
        <w:t>Habiéndolo</w:t>
      </w:r>
      <w:r>
        <w:t xml:space="preserve"> </w:t>
      </w:r>
      <w:r w:rsidR="00147384">
        <w:t>advertido</w:t>
      </w:r>
      <w:r>
        <w:t>, res</w:t>
      </w:r>
      <w:r w:rsidR="00147384">
        <w:t>o</w:t>
      </w:r>
      <w:r>
        <w:t>lve</w:t>
      </w:r>
      <w:r w:rsidR="00147384">
        <w:t>rá</w:t>
      </w:r>
      <w:r>
        <w:t xml:space="preserve"> con conocimiento: 'Que haya tierra'. </w:t>
      </w:r>
      <w:r w:rsidR="00147384">
        <w:t>Entonces habrá</w:t>
      </w:r>
      <w:r>
        <w:t xml:space="preserve"> tierra. Viaja</w:t>
      </w:r>
      <w:r w:rsidR="00DD07B4">
        <w:t>rá</w:t>
      </w:r>
      <w:r>
        <w:t xml:space="preserve"> (camina</w:t>
      </w:r>
      <w:r w:rsidR="00DD07B4">
        <w:t>rá</w:t>
      </w:r>
      <w:r>
        <w:t>), se para</w:t>
      </w:r>
      <w:r w:rsidR="00DD07B4">
        <w:t>rá</w:t>
      </w:r>
      <w:r>
        <w:t>, se senta</w:t>
      </w:r>
      <w:r w:rsidR="00DD07B4">
        <w:t>rá</w:t>
      </w:r>
      <w:r>
        <w:t xml:space="preserve"> y se </w:t>
      </w:r>
      <w:r w:rsidR="00DD07B4">
        <w:t>re</w:t>
      </w:r>
      <w:r>
        <w:t>c</w:t>
      </w:r>
      <w:r w:rsidR="00DD07B4">
        <w:t>o</w:t>
      </w:r>
      <w:r>
        <w:t>sta</w:t>
      </w:r>
      <w:r w:rsidR="00DD07B4">
        <w:t>rá</w:t>
      </w:r>
      <w:r>
        <w:t xml:space="preserve"> en el espacio, en el cielo. Así como los hombres que normalmente no poseen poderes sobrenaturales viajan (caminan), se paran, se sientan y se </w:t>
      </w:r>
      <w:r w:rsidR="00DD07B4">
        <w:t>recuestan sobre</w:t>
      </w:r>
      <w:r>
        <w:t xml:space="preserve"> la tierra, este poseedor de </w:t>
      </w:r>
      <w:r w:rsidR="00DD07B4">
        <w:t xml:space="preserve">poderes </w:t>
      </w:r>
      <w:r>
        <w:t>sobrenaturales, al lograr el dominio mental, viaja</w:t>
      </w:r>
      <w:r w:rsidR="00DD07B4">
        <w:t>rá</w:t>
      </w:r>
      <w:r>
        <w:t xml:space="preserve"> (</w:t>
      </w:r>
      <w:r w:rsidR="00DD07B4">
        <w:t xml:space="preserve">y </w:t>
      </w:r>
      <w:r>
        <w:t>camina</w:t>
      </w:r>
      <w:r w:rsidR="00DD07B4">
        <w:t>rá</w:t>
      </w:r>
      <w:r>
        <w:t>), se para</w:t>
      </w:r>
      <w:r w:rsidR="00DD07B4">
        <w:t>rá</w:t>
      </w:r>
      <w:r>
        <w:t>, se senta</w:t>
      </w:r>
      <w:r w:rsidR="00DD07B4">
        <w:t>rá</w:t>
      </w:r>
      <w:r>
        <w:t xml:space="preserve"> y se </w:t>
      </w:r>
      <w:r w:rsidR="00DD07B4">
        <w:t>recostará</w:t>
      </w:r>
      <w:r>
        <w:t xml:space="preserve"> en el espacio, en el cielo” (</w:t>
      </w:r>
      <w:proofErr w:type="spellStart"/>
      <w:r w:rsidRPr="008E4447">
        <w:rPr>
          <w:i/>
          <w:iCs/>
        </w:rPr>
        <w:t>Paṭis</w:t>
      </w:r>
      <w:proofErr w:type="spellEnd"/>
      <w:r>
        <w:t xml:space="preserve"> II 208).</w:t>
      </w:r>
    </w:p>
    <w:p w14:paraId="5F98DA79" w14:textId="623E9146" w:rsidR="00BF5FB1" w:rsidRDefault="00BF5FB1" w:rsidP="00BF5FB1">
      <w:r>
        <w:t xml:space="preserve">100. </w:t>
      </w:r>
      <w:r>
        <w:tab/>
        <w:t xml:space="preserve">Y un </w:t>
      </w:r>
      <w:proofErr w:type="spellStart"/>
      <w:r w:rsidR="00057BF4" w:rsidRPr="00057BF4">
        <w:rPr>
          <w:i/>
        </w:rPr>
        <w:t>bhikkhu</w:t>
      </w:r>
      <w:proofErr w:type="spellEnd"/>
      <w:r>
        <w:t xml:space="preserve"> que quier</w:t>
      </w:r>
      <w:r w:rsidR="008E4447">
        <w:t>a</w:t>
      </w:r>
      <w:r>
        <w:t xml:space="preserve"> viajar </w:t>
      </w:r>
      <w:r w:rsidR="00511AF7">
        <w:t xml:space="preserve">por </w:t>
      </w:r>
      <w:r>
        <w:t>el espacio debe</w:t>
      </w:r>
      <w:r w:rsidR="00B35769">
        <w:t>rá</w:t>
      </w:r>
      <w:r>
        <w:t xml:space="preserve"> </w:t>
      </w:r>
      <w:proofErr w:type="spellStart"/>
      <w:r w:rsidR="00B35769">
        <w:t>desarrollar</w:t>
      </w:r>
      <w:r>
        <w:t>el</w:t>
      </w:r>
      <w:proofErr w:type="spellEnd"/>
      <w:r>
        <w:t xml:space="preserve"> ojo divino. ¿Por qué? En el camino </w:t>
      </w:r>
      <w:r w:rsidR="008E4447">
        <w:t xml:space="preserve">podría </w:t>
      </w:r>
      <w:r>
        <w:t xml:space="preserve">haber montañas, árboles, etc., originados por la temperatura, o celosos </w:t>
      </w:r>
      <w:proofErr w:type="spellStart"/>
      <w:r w:rsidR="008E4447" w:rsidRPr="008E4447">
        <w:rPr>
          <w:i/>
          <w:iCs/>
        </w:rPr>
        <w:t>nāga</w:t>
      </w:r>
      <w:r w:rsidRPr="008E4447">
        <w:rPr>
          <w:i/>
          <w:iCs/>
        </w:rPr>
        <w:t>s</w:t>
      </w:r>
      <w:proofErr w:type="spellEnd"/>
      <w:r>
        <w:t xml:space="preserve">, </w:t>
      </w:r>
      <w:proofErr w:type="spellStart"/>
      <w:r w:rsidRPr="001331C9">
        <w:rPr>
          <w:i/>
          <w:iCs/>
        </w:rPr>
        <w:t>supa</w:t>
      </w:r>
      <w:r w:rsidR="001331C9" w:rsidRPr="001331C9">
        <w:rPr>
          <w:i/>
          <w:iCs/>
        </w:rPr>
        <w:t>ṇṇ</w:t>
      </w:r>
      <w:r w:rsidRPr="001331C9">
        <w:rPr>
          <w:i/>
          <w:iCs/>
        </w:rPr>
        <w:t>as</w:t>
      </w:r>
      <w:proofErr w:type="spellEnd"/>
      <w:r>
        <w:t xml:space="preserve">, etc., </w:t>
      </w:r>
      <w:r w:rsidR="00B35769">
        <w:t xml:space="preserve">que </w:t>
      </w:r>
      <w:r>
        <w:t xml:space="preserve">pueden crearlos. Él tendrá que ser capaz de ver </w:t>
      </w:r>
      <w:r w:rsidR="00B35769">
        <w:t xml:space="preserve">a </w:t>
      </w:r>
      <w:r>
        <w:t>estos. Pero ¿qué se debe</w:t>
      </w:r>
      <w:r w:rsidR="00AC2CE0">
        <w:t>ría</w:t>
      </w:r>
      <w:r>
        <w:t xml:space="preserve"> hacer al verlos? </w:t>
      </w:r>
      <w:r w:rsidR="00AC2CE0">
        <w:t>Él d</w:t>
      </w:r>
      <w:r>
        <w:t>ebe</w:t>
      </w:r>
      <w:r w:rsidR="00AC2CE0">
        <w:t>rá</w:t>
      </w:r>
      <w:r>
        <w:t xml:space="preserve"> alcanzar el </w:t>
      </w:r>
      <w:proofErr w:type="spellStart"/>
      <w:r w:rsidR="00AC2CE0" w:rsidRPr="00AC2CE0">
        <w:rPr>
          <w:i/>
          <w:iCs/>
        </w:rPr>
        <w:t>jhāna</w:t>
      </w:r>
      <w:proofErr w:type="spellEnd"/>
      <w:r>
        <w:t xml:space="preserve"> básico y emerger, y luego debe hacer el trabajo preliminar así, “Que haya espacio”, y tomar la decisión</w:t>
      </w:r>
      <w:r w:rsidR="0000417C">
        <w:t xml:space="preserve"> al respecto</w:t>
      </w:r>
      <w:r>
        <w:t>.</w:t>
      </w:r>
    </w:p>
    <w:p w14:paraId="2E056D22" w14:textId="04829B39" w:rsidR="00BF5FB1" w:rsidRDefault="00BF5FB1" w:rsidP="00BF5FB1">
      <w:r>
        <w:t xml:space="preserve">101. </w:t>
      </w:r>
      <w:r>
        <w:tab/>
      </w:r>
      <w:r w:rsidR="00B35769">
        <w:t xml:space="preserve">No obstante, </w:t>
      </w:r>
      <w:r>
        <w:t xml:space="preserve">el </w:t>
      </w:r>
      <w:r w:rsidR="00D569DF">
        <w:t xml:space="preserve">Venerable </w:t>
      </w:r>
      <w:r>
        <w:t xml:space="preserve">Tipiṭaka </w:t>
      </w:r>
      <w:proofErr w:type="spellStart"/>
      <w:r>
        <w:t>Cūḷa-Abhaya</w:t>
      </w:r>
      <w:proofErr w:type="spellEnd"/>
      <w:r>
        <w:t xml:space="preserve"> dijo: “Amigos, ¿de qué sirve alcanzar e</w:t>
      </w:r>
      <w:r w:rsidR="00B35769">
        <w:t>ste</w:t>
      </w:r>
      <w:r>
        <w:t xml:space="preserve"> logro? ¿No está su mente </w:t>
      </w:r>
      <w:r w:rsidR="0000417C">
        <w:t xml:space="preserve">ya </w:t>
      </w:r>
      <w:r>
        <w:t>concentrada? Por lo tanto, cualquier área que haya</w:t>
      </w:r>
      <w:r w:rsidR="00B84CD1">
        <w:t>n</w:t>
      </w:r>
      <w:r>
        <w:t xml:space="preserve"> resuelto así, 'Que </w:t>
      </w:r>
      <w:r w:rsidR="00B84CD1">
        <w:t>haya</w:t>
      </w:r>
      <w:r>
        <w:t xml:space="preserve"> espacio' </w:t>
      </w:r>
      <w:r w:rsidR="00B84CD1">
        <w:t xml:space="preserve">entonces habrá </w:t>
      </w:r>
      <w:r>
        <w:t xml:space="preserve">espacio”. Aunque habló así, no obstante, el asunto debe tratarse como se describe bajo el milagro de </w:t>
      </w:r>
      <w:r w:rsidR="00B84CD1">
        <w:t xml:space="preserve">atravesar </w:t>
      </w:r>
      <w:r>
        <w:t xml:space="preserve">sin obstáculos a través de </w:t>
      </w:r>
      <w:proofErr w:type="gramStart"/>
      <w:r>
        <w:t xml:space="preserve">las </w:t>
      </w:r>
      <w:r w:rsidR="00B35769">
        <w:t>muros</w:t>
      </w:r>
      <w:proofErr w:type="gramEnd"/>
      <w:r>
        <w:t>. Además, debe</w:t>
      </w:r>
      <w:r w:rsidR="00B84CD1">
        <w:t>rá</w:t>
      </w:r>
      <w:r>
        <w:t xml:space="preserve"> obtener el ojo divino con el propósito de descender en un lugar apartado, porque si descend</w:t>
      </w:r>
      <w:r w:rsidR="00B35769">
        <w:t>iese</w:t>
      </w:r>
      <w:r>
        <w:t xml:space="preserve"> en un lugar público, en un balneario o en la puerta de una aldea, est</w:t>
      </w:r>
      <w:r w:rsidR="00B84CD1">
        <w:t>ar</w:t>
      </w:r>
      <w:r>
        <w:t>á expuesto a la multitud. Entonces, viendo con el ojo divino, debe</w:t>
      </w:r>
      <w:r w:rsidR="00B84CD1">
        <w:t>rá</w:t>
      </w:r>
      <w:r>
        <w:t xml:space="preserve"> evitar un lugar donde no hay</w:t>
      </w:r>
      <w:r w:rsidR="00B84CD1">
        <w:t>a</w:t>
      </w:r>
      <w:r>
        <w:t xml:space="preserve"> espacio abierto y descender en un espacio abierto.</w:t>
      </w:r>
    </w:p>
    <w:p w14:paraId="7562CB19" w14:textId="77777777" w:rsidR="002137C3" w:rsidRDefault="002137C3">
      <w:pPr>
        <w:tabs>
          <w:tab w:val="clear" w:pos="425"/>
        </w:tabs>
        <w:spacing w:after="160"/>
      </w:pPr>
      <w:r>
        <w:br w:type="page"/>
      </w:r>
    </w:p>
    <w:p w14:paraId="020A7980" w14:textId="77777777" w:rsidR="0037743B" w:rsidRDefault="0037743B" w:rsidP="00BF5FB1"/>
    <w:p w14:paraId="4D190E75" w14:textId="4317585E" w:rsidR="0037743B" w:rsidRDefault="0037743B" w:rsidP="0037743B">
      <w:r>
        <w:t xml:space="preserve">102. </w:t>
      </w:r>
      <w:r w:rsidR="00911E20">
        <w:tab/>
      </w:r>
      <w:r w:rsidRPr="00D569DF">
        <w:rPr>
          <w:i/>
          <w:iCs/>
        </w:rPr>
        <w:t xml:space="preserve">Con su mano toca y acaricia la </w:t>
      </w:r>
      <w:r w:rsidR="009F0676" w:rsidRPr="00D569DF">
        <w:rPr>
          <w:i/>
          <w:iCs/>
        </w:rPr>
        <w:t xml:space="preserve">Luna </w:t>
      </w:r>
      <w:r w:rsidRPr="00D569DF">
        <w:rPr>
          <w:i/>
          <w:iCs/>
        </w:rPr>
        <w:t xml:space="preserve">y el </w:t>
      </w:r>
      <w:r w:rsidR="009F0676" w:rsidRPr="00D569DF">
        <w:rPr>
          <w:i/>
          <w:iCs/>
        </w:rPr>
        <w:t>Sol</w:t>
      </w:r>
      <w:r w:rsidR="005A1FE8">
        <w:rPr>
          <w:i/>
          <w:iCs/>
        </w:rPr>
        <w:t>,</w:t>
      </w:r>
      <w:r w:rsidR="009F0676" w:rsidRPr="00D569DF">
        <w:rPr>
          <w:i/>
          <w:iCs/>
        </w:rPr>
        <w:t xml:space="preserve"> </w:t>
      </w:r>
      <w:r w:rsidRPr="00D569DF">
        <w:rPr>
          <w:i/>
          <w:iCs/>
        </w:rPr>
        <w:t>tan poderoso</w:t>
      </w:r>
      <w:r w:rsidR="005A1FE8">
        <w:rPr>
          <w:i/>
          <w:iCs/>
        </w:rPr>
        <w:t>s</w:t>
      </w:r>
      <w:r w:rsidRPr="00D569DF">
        <w:rPr>
          <w:i/>
          <w:iCs/>
        </w:rPr>
        <w:t xml:space="preserve"> y </w:t>
      </w:r>
      <w:r w:rsidR="00E242FE">
        <w:rPr>
          <w:i/>
          <w:iCs/>
        </w:rPr>
        <w:t>omnipotente</w:t>
      </w:r>
      <w:r w:rsidR="005A1FE8">
        <w:rPr>
          <w:i/>
          <w:iCs/>
        </w:rPr>
        <w:t>s</w:t>
      </w:r>
      <w:r>
        <w:t xml:space="preserve">: aquí el “poder” de la </w:t>
      </w:r>
      <w:r w:rsidR="00433649">
        <w:t xml:space="preserve">Luna </w:t>
      </w:r>
      <w:r>
        <w:t xml:space="preserve">y el </w:t>
      </w:r>
      <w:r w:rsidR="00433649">
        <w:t xml:space="preserve">Sol </w:t>
      </w:r>
      <w:r>
        <w:t>debe</w:t>
      </w:r>
      <w:r w:rsidR="00433649">
        <w:t>rá</w:t>
      </w:r>
      <w:r>
        <w:t xml:space="preserve"> entenderse que consist</w:t>
      </w:r>
      <w:r w:rsidR="002F061E">
        <w:t>irá en el hecho</w:t>
      </w:r>
      <w:r>
        <w:t xml:space="preserve"> </w:t>
      </w:r>
      <w:r w:rsidR="002F061E">
        <w:t xml:space="preserve">de </w:t>
      </w:r>
      <w:r>
        <w:t xml:space="preserve">que </w:t>
      </w:r>
      <w:r w:rsidR="005A1FE8">
        <w:t xml:space="preserve">él </w:t>
      </w:r>
      <w:r>
        <w:t>viaja</w:t>
      </w:r>
      <w:r w:rsidR="002F061E">
        <w:t>rá</w:t>
      </w:r>
      <w:r>
        <w:t xml:space="preserve"> a una altura de cuarenta y dos mil leguas, y su “poder” consistirá en ilumina</w:t>
      </w:r>
      <w:r w:rsidR="00CE4807">
        <w:t>r</w:t>
      </w:r>
      <w:r>
        <w:t xml:space="preserve"> simultánea</w:t>
      </w:r>
      <w:r w:rsidR="00CE4807">
        <w:t>mente</w:t>
      </w:r>
      <w:r>
        <w:t xml:space="preserve"> tres de los cuatro continentes. [398] O s</w:t>
      </w:r>
      <w:r w:rsidR="00813C0F">
        <w:t>erán</w:t>
      </w:r>
      <w:r>
        <w:t xml:space="preserve"> “</w:t>
      </w:r>
      <w:r w:rsidR="00813C0F">
        <w:t>poderosos</w:t>
      </w:r>
      <w:r>
        <w:t>” porque viaja</w:t>
      </w:r>
      <w:r w:rsidR="00813C0F">
        <w:t>rá</w:t>
      </w:r>
      <w:r>
        <w:t>n por encima y alumbra</w:t>
      </w:r>
      <w:r w:rsidR="00813C0F">
        <w:t>rá</w:t>
      </w:r>
      <w:r>
        <w:t xml:space="preserve">n como lo hacen, y </w:t>
      </w:r>
      <w:r w:rsidR="00CE4807">
        <w:t xml:space="preserve">serán </w:t>
      </w:r>
      <w:r>
        <w:t xml:space="preserve">“poderosos” por ese mismo poder. </w:t>
      </w:r>
      <w:r w:rsidRPr="00D569DF">
        <w:rPr>
          <w:i/>
          <w:iCs/>
        </w:rPr>
        <w:t>Toca</w:t>
      </w:r>
      <w:r>
        <w:t>: agarra</w:t>
      </w:r>
      <w:r w:rsidR="00CE4807">
        <w:t>rá</w:t>
      </w:r>
      <w:r>
        <w:t>, o toca</w:t>
      </w:r>
      <w:r w:rsidR="00CE4807">
        <w:t>rá</w:t>
      </w:r>
      <w:r>
        <w:t xml:space="preserve"> un lugar. </w:t>
      </w:r>
      <w:r w:rsidR="005C22B8">
        <w:rPr>
          <w:i/>
          <w:iCs/>
        </w:rPr>
        <w:t>Acaricia</w:t>
      </w:r>
      <w:r>
        <w:t xml:space="preserve">: </w:t>
      </w:r>
      <w:r w:rsidR="005C22B8">
        <w:t xml:space="preserve">acariciará </w:t>
      </w:r>
      <w:r>
        <w:t>todo, como si fuera la superficie de un espejo.</w:t>
      </w:r>
    </w:p>
    <w:p w14:paraId="554C71F9" w14:textId="67F04230" w:rsidR="0037743B" w:rsidRDefault="0037743B" w:rsidP="0037743B">
      <w:r>
        <w:t xml:space="preserve">103. </w:t>
      </w:r>
      <w:r>
        <w:tab/>
        <w:t xml:space="preserve">Este poder sobrenatural </w:t>
      </w:r>
      <w:r w:rsidR="005C22B8">
        <w:t xml:space="preserve">tendrá </w:t>
      </w:r>
      <w:r>
        <w:t xml:space="preserve">éxito simplemente a través del </w:t>
      </w:r>
      <w:proofErr w:type="spellStart"/>
      <w:r w:rsidR="00057BF4" w:rsidRPr="00057BF4">
        <w:rPr>
          <w:i/>
        </w:rPr>
        <w:t>jhāna</w:t>
      </w:r>
      <w:proofErr w:type="spellEnd"/>
      <w:r>
        <w:t xml:space="preserve"> que se convert</w:t>
      </w:r>
      <w:r w:rsidR="005C22B8">
        <w:t>irá</w:t>
      </w:r>
      <w:r>
        <w:t xml:space="preserve"> en la base para el conocimiento directo; aquí no </w:t>
      </w:r>
      <w:r w:rsidR="00493B7E">
        <w:t>participará</w:t>
      </w:r>
      <w:r>
        <w:t xml:space="preserve"> </w:t>
      </w:r>
      <w:r w:rsidR="00493B7E">
        <w:t xml:space="preserve">ni </w:t>
      </w:r>
      <w:r>
        <w:t xml:space="preserve">un logro </w:t>
      </w:r>
      <w:r w:rsidR="00FC3D0D">
        <w:t xml:space="preserve">de algún </w:t>
      </w:r>
      <w:proofErr w:type="spellStart"/>
      <w:r w:rsidR="00057BF4" w:rsidRPr="00057BF4">
        <w:rPr>
          <w:i/>
        </w:rPr>
        <w:t>kasiṇa</w:t>
      </w:r>
      <w:proofErr w:type="spellEnd"/>
      <w:r>
        <w:t xml:space="preserve"> especial. Porque esto se dice en el </w:t>
      </w:r>
      <w:proofErr w:type="spellStart"/>
      <w:r w:rsidRPr="00F05B9A">
        <w:rPr>
          <w:i/>
          <w:iCs/>
        </w:rPr>
        <w:t>Paṭisambhidā</w:t>
      </w:r>
      <w:proofErr w:type="spellEnd"/>
      <w:r>
        <w:t>: “‘Con su mano… tan fuerte y poderosa’: aquí este poseedor de poderes sobrenaturales que ha</w:t>
      </w:r>
      <w:r w:rsidR="00FC3D0D">
        <w:t>ya</w:t>
      </w:r>
      <w:r>
        <w:t xml:space="preserve"> alcanzado el dominio de la mente… advert</w:t>
      </w:r>
      <w:r w:rsidR="00FC3D0D">
        <w:t>irá</w:t>
      </w:r>
      <w:r>
        <w:t xml:space="preserve"> a la </w:t>
      </w:r>
      <w:r w:rsidR="00FC3D0D">
        <w:t xml:space="preserve">Luna </w:t>
      </w:r>
      <w:r>
        <w:t xml:space="preserve">y al </w:t>
      </w:r>
      <w:r w:rsidR="00FC3D0D">
        <w:t>Sol</w:t>
      </w:r>
      <w:r>
        <w:t>. Habi</w:t>
      </w:r>
      <w:r w:rsidR="00493B7E">
        <w:t>é</w:t>
      </w:r>
      <w:r>
        <w:t>ndo</w:t>
      </w:r>
      <w:r w:rsidR="00493B7E">
        <w:t>los</w:t>
      </w:r>
      <w:r>
        <w:t xml:space="preserve"> advertido</w:t>
      </w:r>
      <w:r w:rsidR="00493B7E">
        <w:t xml:space="preserve"> así</w:t>
      </w:r>
      <w:r>
        <w:t>, res</w:t>
      </w:r>
      <w:r w:rsidR="00321D57">
        <w:t>o</w:t>
      </w:r>
      <w:r>
        <w:t>lve</w:t>
      </w:r>
      <w:r w:rsidR="00321D57">
        <w:t>rá</w:t>
      </w:r>
      <w:r>
        <w:t xml:space="preserve"> con conocimiento: 'Qu</w:t>
      </w:r>
      <w:r w:rsidR="00321D57">
        <w:t>é</w:t>
      </w:r>
      <w:r>
        <w:t xml:space="preserve"> esté al alcance de </w:t>
      </w:r>
      <w:r w:rsidR="00321D57">
        <w:t>mi</w:t>
      </w:r>
      <w:r>
        <w:t xml:space="preserve"> mano'. </w:t>
      </w:r>
      <w:r w:rsidR="00321D57">
        <w:t>Entonces e</w:t>
      </w:r>
      <w:r>
        <w:t>st</w:t>
      </w:r>
      <w:r w:rsidR="00321D57">
        <w:t>ar</w:t>
      </w:r>
      <w:r>
        <w:t xml:space="preserve">á al alcance de </w:t>
      </w:r>
      <w:r w:rsidR="00321D57">
        <w:t xml:space="preserve">su </w:t>
      </w:r>
      <w:r>
        <w:t xml:space="preserve">mano. Sentado o </w:t>
      </w:r>
      <w:r w:rsidR="00321D57">
        <w:t>re</w:t>
      </w:r>
      <w:r>
        <w:t>costado, con la mano toca</w:t>
      </w:r>
      <w:r w:rsidR="00321D57">
        <w:t>rá</w:t>
      </w:r>
      <w:r>
        <w:t>, roza</w:t>
      </w:r>
      <w:r w:rsidR="00321D57">
        <w:t>rá</w:t>
      </w:r>
      <w:r>
        <w:t>, acaricia</w:t>
      </w:r>
      <w:r w:rsidR="00321D57">
        <w:t>rá</w:t>
      </w:r>
      <w:r>
        <w:t xml:space="preserve"> la </w:t>
      </w:r>
      <w:r w:rsidR="00321D57">
        <w:t xml:space="preserve">Luna </w:t>
      </w:r>
      <w:r>
        <w:t xml:space="preserve">y el </w:t>
      </w:r>
      <w:r w:rsidR="00321D57">
        <w:t>Sol</w:t>
      </w:r>
      <w:r>
        <w:t xml:space="preserve">. Así como los hombres que normalmente no poseen poderes sobrenaturales tocan, </w:t>
      </w:r>
      <w:r w:rsidR="00A0287E">
        <w:t xml:space="preserve">rozan, </w:t>
      </w:r>
      <w:r w:rsidR="003C0BC3">
        <w:t>hacen contacto</w:t>
      </w:r>
      <w:r>
        <w:t xml:space="preserve">, acarician, algún objeto material al alcance de la mano, así este poseedor de poderes sobrenaturales, al lograr </w:t>
      </w:r>
      <w:r w:rsidR="00A0287E">
        <w:t xml:space="preserve">este </w:t>
      </w:r>
      <w:r>
        <w:t xml:space="preserve">dominio mental, sentado o </w:t>
      </w:r>
      <w:r w:rsidR="00A0287E">
        <w:t>re</w:t>
      </w:r>
      <w:r>
        <w:t xml:space="preserve">costado, con sus manos toca, </w:t>
      </w:r>
      <w:r w:rsidR="003C0BC3">
        <w:t>roza, ha</w:t>
      </w:r>
      <w:r w:rsidR="006B1A01">
        <w:t>ce</w:t>
      </w:r>
      <w:r w:rsidR="003C0BC3">
        <w:t xml:space="preserve"> </w:t>
      </w:r>
      <w:r>
        <w:t>contacto</w:t>
      </w:r>
      <w:r w:rsidR="00097394">
        <w:t xml:space="preserve">, </w:t>
      </w:r>
      <w:r>
        <w:t xml:space="preserve">acaricia la </w:t>
      </w:r>
      <w:r w:rsidR="003C0BC3">
        <w:t xml:space="preserve">Luna </w:t>
      </w:r>
      <w:r>
        <w:t xml:space="preserve">y el </w:t>
      </w:r>
      <w:r w:rsidR="003C0BC3">
        <w:t>Sol</w:t>
      </w:r>
      <w:r>
        <w:t>” (</w:t>
      </w:r>
      <w:proofErr w:type="spellStart"/>
      <w:r w:rsidRPr="00F05B9A">
        <w:rPr>
          <w:i/>
          <w:iCs/>
        </w:rPr>
        <w:t>Paṭis</w:t>
      </w:r>
      <w:proofErr w:type="spellEnd"/>
      <w:r>
        <w:t xml:space="preserve"> II 298).</w:t>
      </w:r>
    </w:p>
    <w:p w14:paraId="70BD44A1" w14:textId="695A3322" w:rsidR="0037743B" w:rsidRDefault="0037743B" w:rsidP="0037743B">
      <w:r>
        <w:t xml:space="preserve">104. </w:t>
      </w:r>
      <w:r>
        <w:tab/>
        <w:t xml:space="preserve">Si </w:t>
      </w:r>
      <w:r w:rsidR="003C0BC3">
        <w:t xml:space="preserve">quisiera </w:t>
      </w:r>
      <w:r>
        <w:t xml:space="preserve">ir y tocarlos, </w:t>
      </w:r>
      <w:r w:rsidR="003C0BC3">
        <w:t xml:space="preserve">irá </w:t>
      </w:r>
      <w:r>
        <w:t>y los toca</w:t>
      </w:r>
      <w:r w:rsidR="003C0BC3">
        <w:t>rá</w:t>
      </w:r>
      <w:r>
        <w:t xml:space="preserve">. Pero si </w:t>
      </w:r>
      <w:r w:rsidR="003C0BC3">
        <w:t xml:space="preserve">quisiera </w:t>
      </w:r>
      <w:r>
        <w:t xml:space="preserve">tocarlos aquí sentado o </w:t>
      </w:r>
      <w:r w:rsidR="003C0BC3">
        <w:t>re</w:t>
      </w:r>
      <w:r>
        <w:t>costado, res</w:t>
      </w:r>
      <w:r w:rsidR="003C0BC3">
        <w:t>o</w:t>
      </w:r>
      <w:r>
        <w:t>lve</w:t>
      </w:r>
      <w:r w:rsidR="003C0BC3">
        <w:t>rá</w:t>
      </w:r>
      <w:r>
        <w:t xml:space="preserve">: “Que </w:t>
      </w:r>
      <w:r w:rsidR="003C0BC3">
        <w:t xml:space="preserve">ello </w:t>
      </w:r>
      <w:r>
        <w:t xml:space="preserve">esté al alcance de </w:t>
      </w:r>
      <w:r w:rsidR="003C0BC3">
        <w:t xml:space="preserve">mi </w:t>
      </w:r>
      <w:r>
        <w:t>mano</w:t>
      </w:r>
      <w:r w:rsidR="007A3933">
        <w:t>”</w:t>
      </w:r>
      <w:r>
        <w:t xml:space="preserve">. Luego, </w:t>
      </w:r>
      <w:r w:rsidR="00557EEB">
        <w:t xml:space="preserve">él </w:t>
      </w:r>
      <w:r>
        <w:t>o los toca</w:t>
      </w:r>
      <w:r w:rsidR="003C0BC3">
        <w:t>rá</w:t>
      </w:r>
      <w:r>
        <w:t xml:space="preserve"> cuando est</w:t>
      </w:r>
      <w:r w:rsidR="003C0BC3">
        <w:t xml:space="preserve">é </w:t>
      </w:r>
      <w:r>
        <w:t xml:space="preserve">al alcance de </w:t>
      </w:r>
      <w:r w:rsidR="003C0BC3">
        <w:t>su</w:t>
      </w:r>
      <w:r>
        <w:t xml:space="preserve"> mano cuando ha</w:t>
      </w:r>
      <w:r w:rsidR="003C0BC3">
        <w:t>ya</w:t>
      </w:r>
      <w:r>
        <w:t xml:space="preserve"> llegado por el poder de la resolución como </w:t>
      </w:r>
      <w:r w:rsidR="00A90A6F">
        <w:t xml:space="preserve">los </w:t>
      </w:r>
      <w:r>
        <w:t xml:space="preserve">frutos de </w:t>
      </w:r>
      <w:r w:rsidR="00A90A6F">
        <w:t xml:space="preserve">la </w:t>
      </w:r>
      <w:r>
        <w:t>palmira sueltos de su tallo, o lo ha</w:t>
      </w:r>
      <w:r w:rsidR="003C0BC3">
        <w:t>rá</w:t>
      </w:r>
      <w:r>
        <w:t xml:space="preserve"> agrandando su mano. Pero cuando </w:t>
      </w:r>
      <w:r w:rsidR="00A90A6F">
        <w:t xml:space="preserve">extienda </w:t>
      </w:r>
      <w:r>
        <w:t>su mano, ¿</w:t>
      </w:r>
      <w:r w:rsidR="00E97260">
        <w:t xml:space="preserve">lo </w:t>
      </w:r>
      <w:r w:rsidR="00A90A6F">
        <w:t>extender</w:t>
      </w:r>
      <w:r w:rsidR="003504C3">
        <w:t>á</w:t>
      </w:r>
      <w:r w:rsidR="00A90A6F">
        <w:t xml:space="preserve"> </w:t>
      </w:r>
      <w:r w:rsidR="00E97260">
        <w:t xml:space="preserve">hacia </w:t>
      </w:r>
      <w:r>
        <w:t xml:space="preserve">lo que </w:t>
      </w:r>
      <w:r w:rsidR="00E97260">
        <w:t xml:space="preserve">agarre </w:t>
      </w:r>
      <w:r>
        <w:t xml:space="preserve">o </w:t>
      </w:r>
      <w:r w:rsidR="00E97260">
        <w:t xml:space="preserve">hacia </w:t>
      </w:r>
      <w:r>
        <w:t xml:space="preserve">lo que no </w:t>
      </w:r>
      <w:r w:rsidR="00E97260">
        <w:t>agarre</w:t>
      </w:r>
      <w:r>
        <w:t xml:space="preserve">? </w:t>
      </w:r>
      <w:r w:rsidR="00850ABD">
        <w:t xml:space="preserve">Él </w:t>
      </w:r>
      <w:r w:rsidR="00F2484C">
        <w:t xml:space="preserve">extenderá </w:t>
      </w:r>
      <w:r w:rsidR="003504C3">
        <w:t xml:space="preserve">su mano </w:t>
      </w:r>
      <w:r w:rsidR="00F2484C">
        <w:t>hacia</w:t>
      </w:r>
      <w:r>
        <w:t xml:space="preserve"> lo que no </w:t>
      </w:r>
      <w:r w:rsidR="003504C3">
        <w:t xml:space="preserve">agarre </w:t>
      </w:r>
      <w:r>
        <w:t xml:space="preserve">sostenido por lo que </w:t>
      </w:r>
      <w:r w:rsidR="003504C3">
        <w:t>agarre</w:t>
      </w:r>
      <w:r>
        <w:t>.</w:t>
      </w:r>
    </w:p>
    <w:p w14:paraId="27FED943" w14:textId="5758A7D4" w:rsidR="0037743B" w:rsidRDefault="0037743B" w:rsidP="0037743B">
      <w:r>
        <w:t xml:space="preserve">105. </w:t>
      </w:r>
      <w:r>
        <w:tab/>
        <w:t xml:space="preserve">Aquí el </w:t>
      </w:r>
      <w:r w:rsidR="00685400">
        <w:t xml:space="preserve">Venerable </w:t>
      </w:r>
      <w:r>
        <w:t xml:space="preserve">Tipiṭaka </w:t>
      </w:r>
      <w:proofErr w:type="spellStart"/>
      <w:r>
        <w:t>Cūḷa-Nāga</w:t>
      </w:r>
      <w:proofErr w:type="spellEnd"/>
      <w:r>
        <w:t xml:space="preserve"> dijo: “Pero, amigos, ¿por qué lo que se </w:t>
      </w:r>
      <w:r w:rsidR="00685400">
        <w:t>agarra</w:t>
      </w:r>
      <w:r>
        <w:t xml:space="preserve"> no se vuelve pequeño y grande también? Cuando un </w:t>
      </w:r>
      <w:proofErr w:type="spellStart"/>
      <w:r w:rsidR="00057BF4" w:rsidRPr="00057BF4">
        <w:rPr>
          <w:i/>
        </w:rPr>
        <w:t>bhikkhu</w:t>
      </w:r>
      <w:proofErr w:type="spellEnd"/>
      <w:r>
        <w:t xml:space="preserve"> sale por el ojo de una cerradura, ¿no se vuelve pequeño lo que está </w:t>
      </w:r>
      <w:r w:rsidR="00685400">
        <w:t>adherido a él</w:t>
      </w:r>
      <w:r>
        <w:t xml:space="preserve">? Y cuando hace que su cuerpo sea grande, ¿no se vuelve grande, como en el caso del </w:t>
      </w:r>
      <w:r w:rsidR="00685400">
        <w:t xml:space="preserve">Venerable </w:t>
      </w:r>
      <w:r>
        <w:t>Mahā Moggallāna?</w:t>
      </w:r>
    </w:p>
    <w:p w14:paraId="76E1B415" w14:textId="7B4FFD8B" w:rsidR="0037743B" w:rsidRDefault="0037743B" w:rsidP="0037743B">
      <w:r>
        <w:t xml:space="preserve">106. </w:t>
      </w:r>
      <w:r>
        <w:tab/>
        <w:t xml:space="preserve">En un momento, al parecer, cuando el </w:t>
      </w:r>
      <w:r w:rsidR="00685400">
        <w:t>laico</w:t>
      </w:r>
      <w:r>
        <w:t xml:space="preserve"> </w:t>
      </w:r>
      <w:proofErr w:type="spellStart"/>
      <w:r w:rsidR="00FD276F">
        <w:t>Anāthapiṇḍika</w:t>
      </w:r>
      <w:proofErr w:type="spellEnd"/>
      <w:r>
        <w:t xml:space="preserve"> había escuchado al </w:t>
      </w:r>
      <w:r w:rsidR="00685400" w:rsidRPr="00685400">
        <w:rPr>
          <w:i/>
          <w:iCs/>
        </w:rPr>
        <w:t>Bhagavā</w:t>
      </w:r>
      <w:r w:rsidR="00685400">
        <w:t xml:space="preserve"> </w:t>
      </w:r>
      <w:r>
        <w:t xml:space="preserve">predicar el </w:t>
      </w:r>
      <w:r w:rsidR="00057BF4" w:rsidRPr="00057BF4">
        <w:rPr>
          <w:i/>
        </w:rPr>
        <w:t>Dhamma</w:t>
      </w:r>
      <w:r>
        <w:t xml:space="preserve">, lo invitó así, Venerable </w:t>
      </w:r>
      <w:r w:rsidR="00FD276F">
        <w:t>Señor</w:t>
      </w:r>
      <w:r>
        <w:t>, tom</w:t>
      </w:r>
      <w:r w:rsidR="00FD276F">
        <w:t>e</w:t>
      </w:r>
      <w:r>
        <w:t xml:space="preserve"> </w:t>
      </w:r>
      <w:r w:rsidR="00FD276F">
        <w:t xml:space="preserve">sus </w:t>
      </w:r>
      <w:r w:rsidR="00685400">
        <w:t>ofrendas</w:t>
      </w:r>
      <w:r>
        <w:t xml:space="preserve"> en nuestra casa junto con quinientos </w:t>
      </w:r>
      <w:proofErr w:type="spellStart"/>
      <w:r w:rsidR="00057BF4" w:rsidRPr="00057BF4">
        <w:rPr>
          <w:i/>
        </w:rPr>
        <w:t>bhikkhu</w:t>
      </w:r>
      <w:r>
        <w:t>s</w:t>
      </w:r>
      <w:proofErr w:type="spellEnd"/>
      <w:r>
        <w:t xml:space="preserve">”, y luego se </w:t>
      </w:r>
      <w:r w:rsidR="00685400">
        <w:t>marchó</w:t>
      </w:r>
      <w:r>
        <w:t xml:space="preserve">. El </w:t>
      </w:r>
      <w:r w:rsidR="00685400" w:rsidRPr="00685400">
        <w:rPr>
          <w:i/>
          <w:iCs/>
        </w:rPr>
        <w:t>Bhagavā</w:t>
      </w:r>
      <w:r w:rsidR="00685400">
        <w:t xml:space="preserve"> </w:t>
      </w:r>
      <w:r>
        <w:t xml:space="preserve">consintió. Cuando hubo pasado el resto del día y parte de la noche, examinó </w:t>
      </w:r>
      <w:r w:rsidR="00CE62F0">
        <w:t>los</w:t>
      </w:r>
      <w:r>
        <w:t xml:space="preserve"> elemento</w:t>
      </w:r>
      <w:r w:rsidR="00CE62F0">
        <w:t>s</w:t>
      </w:r>
      <w:r>
        <w:t xml:space="preserve"> de</w:t>
      </w:r>
      <w:r w:rsidR="00FD276F">
        <w:t xml:space="preserve"> </w:t>
      </w:r>
      <w:r>
        <w:t>l</w:t>
      </w:r>
      <w:r w:rsidR="00FD276F">
        <w:t>os</w:t>
      </w:r>
      <w:r>
        <w:t xml:space="preserve"> diez mil </w:t>
      </w:r>
      <w:r w:rsidR="00685400">
        <w:t>mundos</w:t>
      </w:r>
      <w:r>
        <w:t xml:space="preserve"> temprano </w:t>
      </w:r>
      <w:r w:rsidR="00685400">
        <w:t xml:space="preserve">por </w:t>
      </w:r>
      <w:r>
        <w:t xml:space="preserve">la mañana. Luego, el </w:t>
      </w:r>
      <w:proofErr w:type="spellStart"/>
      <w:r w:rsidR="00F05B9A" w:rsidRPr="00F05B9A">
        <w:rPr>
          <w:i/>
          <w:iCs/>
        </w:rPr>
        <w:t>Nāga</w:t>
      </w:r>
      <w:proofErr w:type="spellEnd"/>
      <w:r w:rsidR="00F05B9A">
        <w:t xml:space="preserve"> </w:t>
      </w:r>
      <w:r>
        <w:t xml:space="preserve">real (serpiente) llamado </w:t>
      </w:r>
      <w:proofErr w:type="spellStart"/>
      <w:r>
        <w:t>Nandopananda</w:t>
      </w:r>
      <w:proofErr w:type="spellEnd"/>
      <w:r>
        <w:t xml:space="preserve"> entró dentro del alcance de su conocimiento.</w:t>
      </w:r>
    </w:p>
    <w:p w14:paraId="3E9B596B" w14:textId="1C319AE4" w:rsidR="0037743B" w:rsidRDefault="0037743B" w:rsidP="0037743B">
      <w:r>
        <w:t xml:space="preserve">107. </w:t>
      </w:r>
      <w:r>
        <w:tab/>
        <w:t xml:space="preserve">El </w:t>
      </w:r>
      <w:r w:rsidR="00685400">
        <w:rPr>
          <w:i/>
          <w:iCs/>
        </w:rPr>
        <w:t>Bhagavā</w:t>
      </w:r>
      <w:r w:rsidR="00685400">
        <w:t xml:space="preserve"> </w:t>
      </w:r>
      <w:r>
        <w:t xml:space="preserve">lo consideró así: “Este </w:t>
      </w:r>
      <w:proofErr w:type="spellStart"/>
      <w:r w:rsidR="00F05B9A" w:rsidRPr="00F05B9A">
        <w:rPr>
          <w:i/>
          <w:iCs/>
        </w:rPr>
        <w:t>Nāga</w:t>
      </w:r>
      <w:proofErr w:type="spellEnd"/>
      <w:r w:rsidR="00F05B9A">
        <w:t xml:space="preserve"> </w:t>
      </w:r>
      <w:r>
        <w:t>real ha entrado en el rango de mi conocimiento. ¿Tiene la potencialidad para desarroll</w:t>
      </w:r>
      <w:r w:rsidR="00685400">
        <w:t>arse</w:t>
      </w:r>
      <w:r>
        <w:t xml:space="preserve">?” Entonces vio que tenía una visión </w:t>
      </w:r>
      <w:r w:rsidR="00685400">
        <w:t>incorrecta</w:t>
      </w:r>
      <w:r>
        <w:t xml:space="preserve"> y que no confiaba en las Tres </w:t>
      </w:r>
      <w:r w:rsidR="00685400">
        <w:t>Gemas</w:t>
      </w:r>
      <w:r>
        <w:t>. [399] Consideró así: “¿Quién pued</w:t>
      </w:r>
      <w:r w:rsidR="00685400">
        <w:t>e</w:t>
      </w:r>
      <w:r>
        <w:t xml:space="preserve"> curarlo de su punto de vista</w:t>
      </w:r>
      <w:r w:rsidR="00685400">
        <w:t xml:space="preserve"> incorrecto</w:t>
      </w:r>
      <w:r>
        <w:t xml:space="preserve">?” </w:t>
      </w:r>
      <w:r w:rsidR="00685400">
        <w:t>Entonces v</w:t>
      </w:r>
      <w:r>
        <w:t xml:space="preserve">io que el </w:t>
      </w:r>
      <w:r w:rsidR="00F05B9A">
        <w:t xml:space="preserve">Venerable </w:t>
      </w:r>
      <w:r>
        <w:t xml:space="preserve">Mahā Moggallāna podía hacerlo. Luego, cuando la noche se </w:t>
      </w:r>
      <w:r w:rsidR="00685400">
        <w:t xml:space="preserve">hizo </w:t>
      </w:r>
      <w:r>
        <w:t xml:space="preserve">amanecer, después de haber atendido las necesidades del cuerpo, se dirigió al </w:t>
      </w:r>
      <w:r w:rsidR="00685400">
        <w:t xml:space="preserve">Venerable </w:t>
      </w:r>
      <w:r>
        <w:t xml:space="preserve">Ānanda: “Ānanda, </w:t>
      </w:r>
      <w:r w:rsidR="00FD276F">
        <w:t>dígales</w:t>
      </w:r>
      <w:r>
        <w:t xml:space="preserve"> a quinientos monjes que el Perfecto va a visitar a los dioses”.</w:t>
      </w:r>
    </w:p>
    <w:p w14:paraId="2D99EC69" w14:textId="77777777" w:rsidR="008813B5" w:rsidRDefault="008813B5">
      <w:pPr>
        <w:tabs>
          <w:tab w:val="clear" w:pos="425"/>
        </w:tabs>
        <w:spacing w:after="160"/>
      </w:pPr>
      <w:r>
        <w:br w:type="page"/>
      </w:r>
    </w:p>
    <w:p w14:paraId="38477C87" w14:textId="0CB3DD8B" w:rsidR="008813B5" w:rsidRDefault="008813B5" w:rsidP="0037743B">
      <w:r>
        <w:lastRenderedPageBreak/>
        <w:br/>
      </w:r>
    </w:p>
    <w:p w14:paraId="00F88583" w14:textId="52FE1637" w:rsidR="008813B5" w:rsidRDefault="008813B5" w:rsidP="008813B5">
      <w:r>
        <w:t xml:space="preserve">108. </w:t>
      </w:r>
      <w:r>
        <w:tab/>
        <w:t xml:space="preserve">Fue en ese día que habían preparado un lugar para </w:t>
      </w:r>
      <w:r w:rsidR="006E5BC8">
        <w:t xml:space="preserve">unos </w:t>
      </w:r>
      <w:r>
        <w:t xml:space="preserve">banquetes para </w:t>
      </w:r>
      <w:proofErr w:type="spellStart"/>
      <w:r>
        <w:t>Nandopananda</w:t>
      </w:r>
      <w:proofErr w:type="spellEnd"/>
      <w:r>
        <w:t xml:space="preserve">. </w:t>
      </w:r>
      <w:r w:rsidR="006E5BC8">
        <w:t xml:space="preserve">Éste se encontraba </w:t>
      </w:r>
      <w:r>
        <w:t xml:space="preserve">sentado en un diván divino con una sombrilla blanca </w:t>
      </w:r>
      <w:r w:rsidR="00FD276F">
        <w:t xml:space="preserve">también </w:t>
      </w:r>
      <w:r>
        <w:t xml:space="preserve">divina en lo alto, rodeado por </w:t>
      </w:r>
      <w:proofErr w:type="gramStart"/>
      <w:r>
        <w:t>l</w:t>
      </w:r>
      <w:r w:rsidR="00685400">
        <w:t>a</w:t>
      </w:r>
      <w:r>
        <w:t>s tres tipos</w:t>
      </w:r>
      <w:proofErr w:type="gramEnd"/>
      <w:r>
        <w:t xml:space="preserve"> de bailarin</w:t>
      </w:r>
      <w:r w:rsidR="00685400">
        <w:t>a</w:t>
      </w:r>
      <w:r>
        <w:t>s</w:t>
      </w:r>
      <w:r w:rsidRPr="009C7A89">
        <w:rPr>
          <w:vertAlign w:val="superscript"/>
        </w:rPr>
        <w:t>18</w:t>
      </w:r>
      <w:r>
        <w:t xml:space="preserve"> y </w:t>
      </w:r>
      <w:r w:rsidR="00A95B79">
        <w:t>por</w:t>
      </w:r>
      <w:r w:rsidR="00CF219E">
        <w:t xml:space="preserve"> </w:t>
      </w:r>
      <w:r>
        <w:t xml:space="preserve">un séquito de </w:t>
      </w:r>
      <w:proofErr w:type="spellStart"/>
      <w:r w:rsidR="00F05B9A">
        <w:rPr>
          <w:i/>
          <w:iCs/>
        </w:rPr>
        <w:t>Nāga</w:t>
      </w:r>
      <w:r w:rsidR="00F05B9A" w:rsidRPr="00F05B9A">
        <w:rPr>
          <w:i/>
          <w:iCs/>
        </w:rPr>
        <w:t>s</w:t>
      </w:r>
      <w:proofErr w:type="spellEnd"/>
      <w:r>
        <w:t>, examinando los diversos tipos de comida</w:t>
      </w:r>
      <w:r w:rsidR="000F50FB">
        <w:t>s</w:t>
      </w:r>
      <w:r>
        <w:t xml:space="preserve"> y bebida</w:t>
      </w:r>
      <w:r w:rsidR="000F50FB">
        <w:t>s</w:t>
      </w:r>
      <w:r>
        <w:t xml:space="preserve"> que se servían en las vasijas divinas. Entonces el </w:t>
      </w:r>
      <w:r w:rsidR="00CF219E">
        <w:rPr>
          <w:i/>
          <w:iCs/>
        </w:rPr>
        <w:t>Bhagavā</w:t>
      </w:r>
      <w:r w:rsidR="00CF219E">
        <w:t xml:space="preserve"> </w:t>
      </w:r>
      <w:r>
        <w:t xml:space="preserve">actuó de tal manera </w:t>
      </w:r>
      <w:r w:rsidR="00A95B79">
        <w:t xml:space="preserve">de </w:t>
      </w:r>
      <w:r>
        <w:t xml:space="preserve">que el </w:t>
      </w:r>
      <w:proofErr w:type="spellStart"/>
      <w:r w:rsidR="00F05B9A" w:rsidRPr="00F05B9A">
        <w:rPr>
          <w:i/>
          <w:iCs/>
        </w:rPr>
        <w:t>Nāga</w:t>
      </w:r>
      <w:proofErr w:type="spellEnd"/>
      <w:r w:rsidR="00F05B9A">
        <w:t xml:space="preserve"> </w:t>
      </w:r>
      <w:r>
        <w:t>real lo vi</w:t>
      </w:r>
      <w:r w:rsidR="00A95B79">
        <w:t>ese</w:t>
      </w:r>
      <w:r>
        <w:t xml:space="preserve"> mientras avanzaba directamente sobre su dosel</w:t>
      </w:r>
      <w:r w:rsidR="000F50FB">
        <w:t>,</w:t>
      </w:r>
      <w:r>
        <w:t xml:space="preserve"> en dirección </w:t>
      </w:r>
      <w:r w:rsidR="00A95B79">
        <w:t>hacia e</w:t>
      </w:r>
      <w:r>
        <w:t xml:space="preserve">l mundo divino de los Treinta y </w:t>
      </w:r>
      <w:r w:rsidR="00CF219E">
        <w:t>Tres</w:t>
      </w:r>
      <w:r>
        <w:t xml:space="preserve">, acompañado por quinientos </w:t>
      </w:r>
      <w:proofErr w:type="spellStart"/>
      <w:r w:rsidR="00057BF4" w:rsidRPr="00057BF4">
        <w:rPr>
          <w:i/>
        </w:rPr>
        <w:t>bhikkhu</w:t>
      </w:r>
      <w:r>
        <w:t>s</w:t>
      </w:r>
      <w:proofErr w:type="spellEnd"/>
      <w:r>
        <w:t>.</w:t>
      </w:r>
    </w:p>
    <w:p w14:paraId="5926A82A" w14:textId="7863798C" w:rsidR="008813B5" w:rsidRDefault="008813B5" w:rsidP="008813B5">
      <w:r>
        <w:t xml:space="preserve">109. </w:t>
      </w:r>
      <w:r>
        <w:tab/>
        <w:t>Entonces esta visión mal</w:t>
      </w:r>
      <w:r w:rsidR="00CF219E">
        <w:t>ign</w:t>
      </w:r>
      <w:r>
        <w:t xml:space="preserve">a surgió en </w:t>
      </w:r>
      <w:proofErr w:type="spellStart"/>
      <w:r>
        <w:t>Nandopananda</w:t>
      </w:r>
      <w:proofErr w:type="spellEnd"/>
      <w:r>
        <w:t xml:space="preserve">, </w:t>
      </w:r>
      <w:r w:rsidR="00CF219E">
        <w:t xml:space="preserve">en </w:t>
      </w:r>
      <w:r>
        <w:t xml:space="preserve">el </w:t>
      </w:r>
      <w:proofErr w:type="spellStart"/>
      <w:r w:rsidR="00F05B9A" w:rsidRPr="00F05B9A">
        <w:rPr>
          <w:i/>
          <w:iCs/>
        </w:rPr>
        <w:t>Nāga</w:t>
      </w:r>
      <w:proofErr w:type="spellEnd"/>
      <w:r w:rsidR="00F05B9A">
        <w:t xml:space="preserve"> </w:t>
      </w:r>
      <w:r>
        <w:t xml:space="preserve">real: “Ahí van estos monjes calvos </w:t>
      </w:r>
      <w:r w:rsidR="00A01B89">
        <w:t>en dirección</w:t>
      </w:r>
      <w:r>
        <w:t xml:space="preserve"> </w:t>
      </w:r>
      <w:r w:rsidR="00A95B79">
        <w:t>hacia e</w:t>
      </w:r>
      <w:r>
        <w:t xml:space="preserve">l reino de los Treinta y </w:t>
      </w:r>
      <w:r w:rsidR="00A01B89">
        <w:t xml:space="preserve">Tres </w:t>
      </w:r>
      <w:r>
        <w:t xml:space="preserve">directamente sobre mi reino. No permitiré que derramen la suciedad de sus pies sobre nuestras cabezas”. Se levantó y fue al pie de </w:t>
      </w:r>
      <w:proofErr w:type="spellStart"/>
      <w:r>
        <w:t>Sineru</w:t>
      </w:r>
      <w:proofErr w:type="spellEnd"/>
      <w:r>
        <w:t xml:space="preserve">. Cambiando de forma, lo rodeó siete veces con sus espirales. Luego extendió su capucha sobre el reino de los Treinta y Tres e hizo que </w:t>
      </w:r>
      <w:r w:rsidR="00D30635">
        <w:t>nada</w:t>
      </w:r>
      <w:r>
        <w:t xml:space="preserve"> fuera visible.</w:t>
      </w:r>
    </w:p>
    <w:p w14:paraId="3B0E283A" w14:textId="63014FB6" w:rsidR="008813B5" w:rsidRDefault="008813B5" w:rsidP="008813B5">
      <w:r>
        <w:t xml:space="preserve">110. </w:t>
      </w:r>
      <w:r>
        <w:tab/>
        <w:t xml:space="preserve">El </w:t>
      </w:r>
      <w:r w:rsidR="00A01B89">
        <w:t xml:space="preserve">Venerable </w:t>
      </w:r>
      <w:proofErr w:type="spellStart"/>
      <w:r>
        <w:t>Raṭṭhapāla</w:t>
      </w:r>
      <w:proofErr w:type="spellEnd"/>
      <w:r>
        <w:t xml:space="preserve"> le dijo al </w:t>
      </w:r>
      <w:r w:rsidR="00A01B89">
        <w:rPr>
          <w:i/>
          <w:iCs/>
        </w:rPr>
        <w:t>Bhagavā</w:t>
      </w:r>
      <w:r>
        <w:t xml:space="preserve">: “Venerable </w:t>
      </w:r>
      <w:r w:rsidR="00D30635">
        <w:t>Señor</w:t>
      </w:r>
      <w:r>
        <w:t xml:space="preserve">, de pie en este lugar anteriormente, solía ver </w:t>
      </w:r>
      <w:proofErr w:type="spellStart"/>
      <w:r>
        <w:t>Sineru</w:t>
      </w:r>
      <w:proofErr w:type="spellEnd"/>
      <w:r>
        <w:t xml:space="preserve"> y las murallas de Sineru,</w:t>
      </w:r>
      <w:r w:rsidRPr="009C7A89">
        <w:rPr>
          <w:vertAlign w:val="superscript"/>
        </w:rPr>
        <w:t>19</w:t>
      </w:r>
      <w:r>
        <w:t xml:space="preserve"> y </w:t>
      </w:r>
      <w:r w:rsidR="00A01B89">
        <w:t xml:space="preserve">a </w:t>
      </w:r>
      <w:r>
        <w:t xml:space="preserve">los Treinta y tres, y </w:t>
      </w:r>
      <w:r w:rsidR="00A01B89">
        <w:t>a</w:t>
      </w:r>
      <w:r>
        <w:t xml:space="preserve">l Palacio </w:t>
      </w:r>
      <w:proofErr w:type="spellStart"/>
      <w:r>
        <w:t>Vejayanta</w:t>
      </w:r>
      <w:proofErr w:type="spellEnd"/>
      <w:r>
        <w:t xml:space="preserve">, y la bandera sobre el Palacio </w:t>
      </w:r>
      <w:proofErr w:type="spellStart"/>
      <w:r>
        <w:t>Vejayanta</w:t>
      </w:r>
      <w:proofErr w:type="spellEnd"/>
      <w:r>
        <w:t xml:space="preserve">. Venerable </w:t>
      </w:r>
      <w:r w:rsidR="00A01B89">
        <w:t>Señor</w:t>
      </w:r>
      <w:r>
        <w:t xml:space="preserve">, ¿cuál es la causa, cuál es la razón por la que ahora no veo ni a </w:t>
      </w:r>
      <w:proofErr w:type="spellStart"/>
      <w:r>
        <w:t>Sineru</w:t>
      </w:r>
      <w:proofErr w:type="spellEnd"/>
      <w:r>
        <w:t xml:space="preserve"> ni… la bandera sobre el Palacio </w:t>
      </w:r>
      <w:proofErr w:type="spellStart"/>
      <w:r>
        <w:t>Vejayanta</w:t>
      </w:r>
      <w:proofErr w:type="spellEnd"/>
      <w:r>
        <w:t xml:space="preserve">?”—“Este </w:t>
      </w:r>
      <w:proofErr w:type="spellStart"/>
      <w:r w:rsidR="00D30635" w:rsidRPr="00A01B89">
        <w:rPr>
          <w:i/>
          <w:iCs/>
        </w:rPr>
        <w:t>Nāga</w:t>
      </w:r>
      <w:proofErr w:type="spellEnd"/>
      <w:r w:rsidR="00D30635">
        <w:t xml:space="preserve"> </w:t>
      </w:r>
      <w:r>
        <w:t xml:space="preserve">real llamado </w:t>
      </w:r>
      <w:proofErr w:type="spellStart"/>
      <w:r>
        <w:t>Nandopananda</w:t>
      </w:r>
      <w:proofErr w:type="spellEnd"/>
      <w:r>
        <w:t xml:space="preserve"> está enojado con nosotros, </w:t>
      </w:r>
      <w:proofErr w:type="spellStart"/>
      <w:r>
        <w:t>Raṭṭhapāla</w:t>
      </w:r>
      <w:proofErr w:type="spellEnd"/>
      <w:r>
        <w:t xml:space="preserve">. Ha rodeado a </w:t>
      </w:r>
      <w:proofErr w:type="spellStart"/>
      <w:r>
        <w:t>Sineru</w:t>
      </w:r>
      <w:proofErr w:type="spellEnd"/>
      <w:r>
        <w:t xml:space="preserve"> siete veces con sus </w:t>
      </w:r>
      <w:r w:rsidR="006F2DE4">
        <w:t>espirales</w:t>
      </w:r>
      <w:r>
        <w:t xml:space="preserve">, y está allí de pie, cubriéndolos con su capucha </w:t>
      </w:r>
      <w:r w:rsidR="00A01B89">
        <w:t>erguida</w:t>
      </w:r>
      <w:r>
        <w:t>, oscureciendo</w:t>
      </w:r>
      <w:r w:rsidR="00A01B89">
        <w:t xml:space="preserve"> todo</w:t>
      </w:r>
      <w:r>
        <w:t>”</w:t>
      </w:r>
      <w:r w:rsidR="00A01B89">
        <w:t xml:space="preserve">. </w:t>
      </w:r>
      <w:r>
        <w:t>—</w:t>
      </w:r>
      <w:r w:rsidR="00A01B89">
        <w:t xml:space="preserve"> </w:t>
      </w:r>
      <w:r>
        <w:t xml:space="preserve">“Lo domaré, </w:t>
      </w:r>
      <w:r w:rsidR="00A01B89">
        <w:t>Venerable Señor</w:t>
      </w:r>
      <w:r>
        <w:t>”</w:t>
      </w:r>
      <w:r w:rsidR="006F2DE4">
        <w:t>.</w:t>
      </w:r>
      <w:r>
        <w:t xml:space="preserve"> </w:t>
      </w:r>
      <w:r w:rsidR="006F2DE4">
        <w:t xml:space="preserve">No obstante, </w:t>
      </w:r>
      <w:r>
        <w:t xml:space="preserve">el </w:t>
      </w:r>
      <w:r w:rsidR="00A01B89">
        <w:rPr>
          <w:i/>
          <w:iCs/>
        </w:rPr>
        <w:t>Bhagavā</w:t>
      </w:r>
      <w:r w:rsidR="00A01B89">
        <w:t xml:space="preserve"> </w:t>
      </w:r>
      <w:r>
        <w:t xml:space="preserve">no </w:t>
      </w:r>
      <w:r w:rsidR="006F2DE4">
        <w:t xml:space="preserve">se </w:t>
      </w:r>
      <w:r>
        <w:t xml:space="preserve">lo permitió. Entonces el </w:t>
      </w:r>
      <w:r w:rsidR="00A01B89">
        <w:t xml:space="preserve">Venerable </w:t>
      </w:r>
      <w:proofErr w:type="spellStart"/>
      <w:r>
        <w:t>Bhaddiya</w:t>
      </w:r>
      <w:proofErr w:type="spellEnd"/>
      <w:r>
        <w:t xml:space="preserve"> y el </w:t>
      </w:r>
      <w:r w:rsidR="00A01B89">
        <w:t xml:space="preserve">Venerable </w:t>
      </w:r>
      <w:proofErr w:type="spellStart"/>
      <w:r>
        <w:t>Rāhula</w:t>
      </w:r>
      <w:proofErr w:type="spellEnd"/>
      <w:r>
        <w:t xml:space="preserve"> y todos los </w:t>
      </w:r>
      <w:proofErr w:type="spellStart"/>
      <w:r w:rsidR="00057BF4" w:rsidRPr="00057BF4">
        <w:rPr>
          <w:i/>
        </w:rPr>
        <w:t>bhikkhu</w:t>
      </w:r>
      <w:r>
        <w:t>s</w:t>
      </w:r>
      <w:proofErr w:type="spellEnd"/>
      <w:r>
        <w:t xml:space="preserve"> a su vez se ofrecieron </w:t>
      </w:r>
      <w:r w:rsidR="006F2DE4">
        <w:t xml:space="preserve">a </w:t>
      </w:r>
      <w:r>
        <w:t xml:space="preserve">hacerlo, pero el </w:t>
      </w:r>
      <w:r w:rsidR="00A01B89">
        <w:rPr>
          <w:i/>
          <w:iCs/>
        </w:rPr>
        <w:t>Bhagavā</w:t>
      </w:r>
      <w:r w:rsidR="00A01B89">
        <w:t xml:space="preserve"> </w:t>
      </w:r>
      <w:r>
        <w:t xml:space="preserve">no </w:t>
      </w:r>
      <w:r w:rsidR="006F2DE4">
        <w:t xml:space="preserve">se </w:t>
      </w:r>
      <w:r>
        <w:t>lo</w:t>
      </w:r>
      <w:r w:rsidR="006F2DE4">
        <w:t>s</w:t>
      </w:r>
      <w:r>
        <w:t xml:space="preserve"> permitió.</w:t>
      </w:r>
    </w:p>
    <w:p w14:paraId="292A1DA0" w14:textId="2959C786" w:rsidR="008813B5" w:rsidRDefault="008813B5" w:rsidP="008813B5">
      <w:r>
        <w:t xml:space="preserve">111. </w:t>
      </w:r>
      <w:r>
        <w:tab/>
        <w:t xml:space="preserve">Por último, el </w:t>
      </w:r>
      <w:r w:rsidR="00A01B89">
        <w:t xml:space="preserve">Venerable </w:t>
      </w:r>
      <w:r>
        <w:t xml:space="preserve">Mahā Moggallāna dijo: “Lo domaré, </w:t>
      </w:r>
      <w:r w:rsidR="00A01B89">
        <w:t>Venerable Señor</w:t>
      </w:r>
      <w:r>
        <w:t xml:space="preserve">”. El </w:t>
      </w:r>
      <w:r w:rsidR="00A01B89">
        <w:rPr>
          <w:i/>
          <w:iCs/>
        </w:rPr>
        <w:t>Bhagavā</w:t>
      </w:r>
      <w:r w:rsidR="00A01B89">
        <w:t xml:space="preserve"> </w:t>
      </w:r>
      <w:r>
        <w:t>lo permitió, diciendo: “D</w:t>
      </w:r>
      <w:r w:rsidR="00F05B9A">
        <w:t>ó</w:t>
      </w:r>
      <w:r>
        <w:t>m</w:t>
      </w:r>
      <w:r w:rsidR="00F05B9A">
        <w:t>e</w:t>
      </w:r>
      <w:r>
        <w:t xml:space="preserve">lo, Moggallāna”. El </w:t>
      </w:r>
      <w:r w:rsidR="00A01B89">
        <w:t xml:space="preserve">Venerable </w:t>
      </w:r>
      <w:r>
        <w:t xml:space="preserve">abandonó </w:t>
      </w:r>
      <w:r w:rsidR="00A01B89">
        <w:t>su</w:t>
      </w:r>
      <w:r>
        <w:t xml:space="preserve"> forma </w:t>
      </w:r>
      <w:r w:rsidR="00A01B89">
        <w:t xml:space="preserve">regular </w:t>
      </w:r>
      <w:r>
        <w:t xml:space="preserve">y asumió la forma de un enorme </w:t>
      </w:r>
      <w:proofErr w:type="spellStart"/>
      <w:r w:rsidR="00F05B9A" w:rsidRPr="00F05B9A">
        <w:rPr>
          <w:i/>
          <w:iCs/>
        </w:rPr>
        <w:t>Nāga</w:t>
      </w:r>
      <w:proofErr w:type="spellEnd"/>
      <w:r w:rsidR="00F05B9A">
        <w:t xml:space="preserve"> </w:t>
      </w:r>
      <w:r>
        <w:t xml:space="preserve">real, y rodeó a </w:t>
      </w:r>
      <w:proofErr w:type="spellStart"/>
      <w:r>
        <w:t>Nandopananda</w:t>
      </w:r>
      <w:proofErr w:type="spellEnd"/>
      <w:r>
        <w:t xml:space="preserve"> catorce veces con sus anillos y levantó su capucha sobre la capucha del otro, y lo apretó contra </w:t>
      </w:r>
      <w:proofErr w:type="spellStart"/>
      <w:r>
        <w:t>Sineru</w:t>
      </w:r>
      <w:proofErr w:type="spellEnd"/>
      <w:r>
        <w:t xml:space="preserve">. El </w:t>
      </w:r>
      <w:proofErr w:type="spellStart"/>
      <w:r w:rsidR="00357EA7" w:rsidRPr="00F05B9A">
        <w:rPr>
          <w:i/>
          <w:iCs/>
        </w:rPr>
        <w:t>Nāga</w:t>
      </w:r>
      <w:proofErr w:type="spellEnd"/>
      <w:r w:rsidR="00357EA7">
        <w:t xml:space="preserve"> </w:t>
      </w:r>
      <w:r>
        <w:t xml:space="preserve">real produjo humo. [400] El </w:t>
      </w:r>
      <w:r w:rsidR="00357EA7">
        <w:t xml:space="preserve">Venerable </w:t>
      </w:r>
      <w:r>
        <w:t xml:space="preserve">dijo: "Hay humo no solo en </w:t>
      </w:r>
      <w:r w:rsidR="00F14BF5">
        <w:t>s</w:t>
      </w:r>
      <w:r>
        <w:t xml:space="preserve">u cuerpo sino también en el mío", y produjo humo. El humo del </w:t>
      </w:r>
      <w:proofErr w:type="spellStart"/>
      <w:r w:rsidR="00F05B9A" w:rsidRPr="00F05B9A">
        <w:rPr>
          <w:i/>
          <w:iCs/>
        </w:rPr>
        <w:t>Nāga</w:t>
      </w:r>
      <w:proofErr w:type="spellEnd"/>
      <w:r w:rsidR="00F05B9A">
        <w:t xml:space="preserve"> </w:t>
      </w:r>
      <w:r>
        <w:t xml:space="preserve">real no angustió al </w:t>
      </w:r>
      <w:r w:rsidR="00357EA7">
        <w:t>Venerable</w:t>
      </w:r>
      <w:r>
        <w:t xml:space="preserve">, </w:t>
      </w:r>
      <w:r w:rsidR="00357EA7">
        <w:t xml:space="preserve">no obstante, </w:t>
      </w:r>
      <w:r>
        <w:t xml:space="preserve">el humo del </w:t>
      </w:r>
      <w:r w:rsidR="00357EA7">
        <w:t xml:space="preserve">Venerable </w:t>
      </w:r>
      <w:r>
        <w:t xml:space="preserve">angustió al </w:t>
      </w:r>
      <w:proofErr w:type="spellStart"/>
      <w:r w:rsidR="00357EA7">
        <w:rPr>
          <w:i/>
          <w:iCs/>
        </w:rPr>
        <w:t>Nāga</w:t>
      </w:r>
      <w:proofErr w:type="spellEnd"/>
      <w:r>
        <w:t xml:space="preserve"> real. Entonces el </w:t>
      </w:r>
      <w:proofErr w:type="spellStart"/>
      <w:r w:rsidR="00F05B9A" w:rsidRPr="00F05B9A">
        <w:rPr>
          <w:i/>
          <w:iCs/>
        </w:rPr>
        <w:t>Nāga</w:t>
      </w:r>
      <w:proofErr w:type="spellEnd"/>
      <w:r w:rsidR="00F05B9A">
        <w:t xml:space="preserve"> </w:t>
      </w:r>
      <w:r>
        <w:t xml:space="preserve">real produjo llamas. El </w:t>
      </w:r>
      <w:r w:rsidR="00357EA7">
        <w:t xml:space="preserve">Venerable </w:t>
      </w:r>
      <w:r>
        <w:t xml:space="preserve">dijo: “Hay fuego no solo en </w:t>
      </w:r>
      <w:r w:rsidR="00357EA7">
        <w:t>s</w:t>
      </w:r>
      <w:r>
        <w:t xml:space="preserve">u cuerpo sino también en el mío”, y produjo llamas. El fuego del </w:t>
      </w:r>
      <w:proofErr w:type="spellStart"/>
      <w:r w:rsidR="00F05B9A" w:rsidRPr="00F05B9A">
        <w:rPr>
          <w:i/>
          <w:iCs/>
        </w:rPr>
        <w:t>Nāga</w:t>
      </w:r>
      <w:proofErr w:type="spellEnd"/>
      <w:r w:rsidR="00F05B9A">
        <w:t xml:space="preserve"> </w:t>
      </w:r>
      <w:r>
        <w:t xml:space="preserve">real no angustió al </w:t>
      </w:r>
      <w:r w:rsidR="00357EA7">
        <w:t>Venerable</w:t>
      </w:r>
      <w:r>
        <w:t xml:space="preserve">, </w:t>
      </w:r>
      <w:r w:rsidR="00F14BF5">
        <w:t>no obstante,</w:t>
      </w:r>
      <w:r>
        <w:t xml:space="preserve"> el fuego del </w:t>
      </w:r>
      <w:r w:rsidR="00357EA7">
        <w:t xml:space="preserve">Venerable </w:t>
      </w:r>
      <w:r>
        <w:t xml:space="preserve">angustió al </w:t>
      </w:r>
      <w:proofErr w:type="spellStart"/>
      <w:r w:rsidR="00357EA7" w:rsidRPr="00357EA7">
        <w:rPr>
          <w:i/>
          <w:iCs/>
        </w:rPr>
        <w:t>Nāga</w:t>
      </w:r>
      <w:proofErr w:type="spellEnd"/>
      <w:r w:rsidR="00357EA7">
        <w:t xml:space="preserve"> </w:t>
      </w:r>
      <w:r>
        <w:t>real.</w:t>
      </w:r>
    </w:p>
    <w:p w14:paraId="4FBF53D2" w14:textId="5DB6D79F" w:rsidR="008813B5" w:rsidRDefault="008813B5" w:rsidP="008813B5">
      <w:r>
        <w:t xml:space="preserve">112. </w:t>
      </w:r>
      <w:r>
        <w:tab/>
        <w:t xml:space="preserve">El </w:t>
      </w:r>
      <w:proofErr w:type="spellStart"/>
      <w:r w:rsidR="00F05B9A" w:rsidRPr="00F05B9A">
        <w:rPr>
          <w:i/>
          <w:iCs/>
        </w:rPr>
        <w:t>Nāga</w:t>
      </w:r>
      <w:proofErr w:type="spellEnd"/>
      <w:r w:rsidR="00F05B9A">
        <w:t xml:space="preserve"> </w:t>
      </w:r>
      <w:r>
        <w:t xml:space="preserve">real pensó: “Me ha apretado contra </w:t>
      </w:r>
      <w:proofErr w:type="spellStart"/>
      <w:r>
        <w:t>Sineru</w:t>
      </w:r>
      <w:proofErr w:type="spellEnd"/>
      <w:r>
        <w:t xml:space="preserve">, y ha producido tanto humo como llamas”. Luego preguntó: “Señor, ¿quién es usted?”—“Soy Moggallāna, </w:t>
      </w:r>
      <w:proofErr w:type="spellStart"/>
      <w:r w:rsidRPr="00AD4026">
        <w:t>Nanda</w:t>
      </w:r>
      <w:proofErr w:type="spellEnd"/>
      <w:r>
        <w:t xml:space="preserve">.”—“Venerable </w:t>
      </w:r>
      <w:r w:rsidR="00AD4026">
        <w:t>Señor</w:t>
      </w:r>
      <w:r>
        <w:t xml:space="preserve">, </w:t>
      </w:r>
      <w:r w:rsidR="00AD4026">
        <w:t>vuelva</w:t>
      </w:r>
      <w:r>
        <w:t xml:space="preserve"> </w:t>
      </w:r>
      <w:r w:rsidR="00AD4026">
        <w:t xml:space="preserve">a </w:t>
      </w:r>
      <w:r>
        <w:t xml:space="preserve">su propio estado de </w:t>
      </w:r>
      <w:proofErr w:type="spellStart"/>
      <w:r w:rsidR="00057BF4" w:rsidRPr="00057BF4">
        <w:rPr>
          <w:i/>
        </w:rPr>
        <w:t>bhikkhu</w:t>
      </w:r>
      <w:proofErr w:type="spellEnd"/>
      <w:r>
        <w:t xml:space="preserve">”. El </w:t>
      </w:r>
      <w:r w:rsidR="00AD4026">
        <w:t xml:space="preserve">Venerable </w:t>
      </w:r>
      <w:r>
        <w:t xml:space="preserve">abandonó esa forma, y ​​entró </w:t>
      </w:r>
      <w:r w:rsidR="00F14BF5">
        <w:t>por</w:t>
      </w:r>
      <w:r>
        <w:t xml:space="preserve"> su oído derecho y salió por su oído izquierdo; luego entró por su oído izquierdo y salió por su oído derecho. Asimismo entró por su fosa nasal derecha y salió por su fosa nasal izquierda; luego él</w:t>
      </w:r>
    </w:p>
    <w:p w14:paraId="79FF912D" w14:textId="22A752A3" w:rsidR="008813B5" w:rsidRPr="008813B5" w:rsidRDefault="008813B5" w:rsidP="008813B5">
      <w:pPr>
        <w:pStyle w:val="PiedepginaLegal"/>
        <w:rPr>
          <w:u w:val="single"/>
        </w:rPr>
      </w:pPr>
      <w:r w:rsidRPr="008813B5">
        <w:rPr>
          <w:u w:val="single"/>
        </w:rPr>
        <w:t xml:space="preserve">                                                                                                                                                       .</w:t>
      </w:r>
    </w:p>
    <w:p w14:paraId="5C716F25" w14:textId="0819E91F" w:rsidR="008813B5" w:rsidRDefault="008813B5" w:rsidP="008813B5">
      <w:pPr>
        <w:pStyle w:val="PiedepginaLegal"/>
      </w:pPr>
      <w:r>
        <w:t xml:space="preserve">18. </w:t>
      </w:r>
      <w:r>
        <w:tab/>
      </w:r>
      <w:proofErr w:type="spellStart"/>
      <w:r>
        <w:t>Vism-mhṭ</w:t>
      </w:r>
      <w:proofErr w:type="spellEnd"/>
      <w:r>
        <w:t xml:space="preserve"> (pág. 394): “</w:t>
      </w:r>
      <w:proofErr w:type="spellStart"/>
      <w:r w:rsidRPr="00F05B9A">
        <w:rPr>
          <w:i/>
          <w:iCs/>
        </w:rPr>
        <w:t>Vadhūkumārikaññā-vatthāhi</w:t>
      </w:r>
      <w:proofErr w:type="spellEnd"/>
      <w:r w:rsidRPr="00F05B9A">
        <w:rPr>
          <w:i/>
          <w:iCs/>
        </w:rPr>
        <w:t xml:space="preserve"> </w:t>
      </w:r>
      <w:proofErr w:type="spellStart"/>
      <w:r w:rsidRPr="00F05B9A">
        <w:rPr>
          <w:i/>
          <w:iCs/>
        </w:rPr>
        <w:t>tividhāhi</w:t>
      </w:r>
      <w:proofErr w:type="spellEnd"/>
      <w:r w:rsidRPr="00F05B9A">
        <w:rPr>
          <w:i/>
          <w:iCs/>
        </w:rPr>
        <w:t xml:space="preserve"> </w:t>
      </w:r>
      <w:proofErr w:type="spellStart"/>
      <w:r w:rsidRPr="00F05B9A">
        <w:rPr>
          <w:i/>
          <w:iCs/>
        </w:rPr>
        <w:t>nāþakitthìhi</w:t>
      </w:r>
      <w:proofErr w:type="spellEnd"/>
      <w:r>
        <w:t>”.</w:t>
      </w:r>
    </w:p>
    <w:p w14:paraId="06C1CBC4" w14:textId="6DB2A15B" w:rsidR="008813B5" w:rsidRDefault="008813B5" w:rsidP="008813B5">
      <w:pPr>
        <w:pStyle w:val="PiedepginaLegal"/>
      </w:pPr>
      <w:r>
        <w:t xml:space="preserve">19. </w:t>
      </w:r>
      <w:r>
        <w:tab/>
        <w:t>“‘</w:t>
      </w:r>
      <w:r w:rsidRPr="00B97C8F">
        <w:rPr>
          <w:i/>
          <w:iCs/>
        </w:rPr>
        <w:t xml:space="preserve">Las </w:t>
      </w:r>
      <w:r w:rsidR="00476B9B">
        <w:rPr>
          <w:i/>
          <w:iCs/>
        </w:rPr>
        <w:t>cordilleras</w:t>
      </w:r>
      <w:r w:rsidRPr="00B97C8F">
        <w:rPr>
          <w:i/>
          <w:iCs/>
        </w:rPr>
        <w:t xml:space="preserve"> de </w:t>
      </w:r>
      <w:proofErr w:type="spellStart"/>
      <w:r w:rsidRPr="00B97C8F">
        <w:rPr>
          <w:i/>
          <w:iCs/>
        </w:rPr>
        <w:t>Sineru</w:t>
      </w:r>
      <w:proofErr w:type="spellEnd"/>
      <w:r w:rsidRPr="00B97C8F">
        <w:rPr>
          <w:i/>
          <w:iCs/>
        </w:rPr>
        <w:t>’</w:t>
      </w:r>
      <w:r>
        <w:t xml:space="preserve">: el cinturón de </w:t>
      </w:r>
      <w:proofErr w:type="spellStart"/>
      <w:r w:rsidRPr="00B97C8F">
        <w:rPr>
          <w:i/>
          <w:iCs/>
        </w:rPr>
        <w:t>Sineru</w:t>
      </w:r>
      <w:proofErr w:type="spellEnd"/>
      <w:r>
        <w:t xml:space="preserve">. </w:t>
      </w:r>
      <w:r w:rsidR="00476B9B">
        <w:t>Existen</w:t>
      </w:r>
      <w:r>
        <w:t xml:space="preserve">, al parecer, cuatro </w:t>
      </w:r>
      <w:r w:rsidR="00476B9B">
        <w:t xml:space="preserve">cordilleras </w:t>
      </w:r>
      <w:r>
        <w:t xml:space="preserve">que rodean </w:t>
      </w:r>
      <w:r w:rsidR="00476B9B">
        <w:t xml:space="preserve">a </w:t>
      </w:r>
      <w:proofErr w:type="spellStart"/>
      <w:r w:rsidRPr="00476B9B">
        <w:rPr>
          <w:i/>
          <w:iCs/>
        </w:rPr>
        <w:t>Sineru</w:t>
      </w:r>
      <w:proofErr w:type="spellEnd"/>
      <w:r>
        <w:t>, que miden 5</w:t>
      </w:r>
      <w:r w:rsidR="00476B9B">
        <w:t>,</w:t>
      </w:r>
      <w:r>
        <w:t xml:space="preserve">000 leguas de ancho y </w:t>
      </w:r>
      <w:r w:rsidR="00476B9B">
        <w:t>largo</w:t>
      </w:r>
      <w:r>
        <w:t xml:space="preserve">. Fueron construidos para proteger el reino de los Treinta y Tres contra </w:t>
      </w:r>
      <w:r w:rsidR="00476B9B">
        <w:t xml:space="preserve">los </w:t>
      </w:r>
      <w:proofErr w:type="spellStart"/>
      <w:r w:rsidR="00103E6D">
        <w:rPr>
          <w:i/>
          <w:iCs/>
        </w:rPr>
        <w:t>nāga</w:t>
      </w:r>
      <w:r w:rsidRPr="00F05B9A">
        <w:rPr>
          <w:i/>
          <w:iCs/>
        </w:rPr>
        <w:t>s</w:t>
      </w:r>
      <w:proofErr w:type="spellEnd"/>
      <w:r w:rsidRPr="00F05B9A">
        <w:rPr>
          <w:i/>
          <w:iCs/>
        </w:rPr>
        <w:t xml:space="preserve">, </w:t>
      </w:r>
      <w:proofErr w:type="spellStart"/>
      <w:r w:rsidRPr="00F05B9A">
        <w:rPr>
          <w:i/>
          <w:iCs/>
        </w:rPr>
        <w:t>garudas</w:t>
      </w:r>
      <w:proofErr w:type="spellEnd"/>
      <w:r w:rsidRPr="00F05B9A">
        <w:rPr>
          <w:i/>
          <w:iCs/>
        </w:rPr>
        <w:t xml:space="preserve">, </w:t>
      </w:r>
      <w:proofErr w:type="spellStart"/>
      <w:r w:rsidRPr="00F05B9A">
        <w:rPr>
          <w:i/>
          <w:iCs/>
        </w:rPr>
        <w:t>kumbhaṇḍas</w:t>
      </w:r>
      <w:proofErr w:type="spellEnd"/>
      <w:r w:rsidR="00E55CA6">
        <w:rPr>
          <w:i/>
          <w:iCs/>
        </w:rPr>
        <w:t xml:space="preserve">, </w:t>
      </w:r>
      <w:proofErr w:type="spellStart"/>
      <w:r w:rsidR="00E55CA6" w:rsidRPr="00E55CA6">
        <w:rPr>
          <w:i/>
          <w:iCs/>
        </w:rPr>
        <w:t>Supaṇṇa</w:t>
      </w:r>
      <w:proofErr w:type="spellEnd"/>
      <w:r>
        <w:t xml:space="preserve"> y </w:t>
      </w:r>
      <w:proofErr w:type="spellStart"/>
      <w:r w:rsidRPr="00F05B9A">
        <w:rPr>
          <w:i/>
          <w:iCs/>
        </w:rPr>
        <w:t>yakkhas</w:t>
      </w:r>
      <w:proofErr w:type="spellEnd"/>
      <w:r>
        <w:t>.</w:t>
      </w:r>
    </w:p>
    <w:p w14:paraId="0FE1C625" w14:textId="3B316E1F" w:rsidR="008813B5" w:rsidRDefault="008813B5" w:rsidP="008813B5">
      <w:pPr>
        <w:pStyle w:val="PiedepginaLegal"/>
      </w:pPr>
      <w:r>
        <w:tab/>
      </w:r>
      <w:r w:rsidR="00476B9B">
        <w:t>Ellas e</w:t>
      </w:r>
      <w:r>
        <w:t>ncierran</w:t>
      </w:r>
      <w:r w:rsidR="00476B9B">
        <w:t>,</w:t>
      </w:r>
      <w:r>
        <w:t xml:space="preserve"> </w:t>
      </w:r>
      <w:r w:rsidR="00476B9B">
        <w:t xml:space="preserve">al parecer, </w:t>
      </w:r>
      <w:r>
        <w:t xml:space="preserve">la mitad de </w:t>
      </w:r>
      <w:proofErr w:type="spellStart"/>
      <w:r>
        <w:t>Sineru</w:t>
      </w:r>
      <w:proofErr w:type="spellEnd"/>
      <w:r>
        <w:t>” (</w:t>
      </w:r>
      <w:proofErr w:type="spellStart"/>
      <w:r>
        <w:t>Vism-mhṭ</w:t>
      </w:r>
      <w:proofErr w:type="spellEnd"/>
      <w:r>
        <w:t xml:space="preserve"> 394).</w:t>
      </w:r>
    </w:p>
    <w:p w14:paraId="247F4D11" w14:textId="77777777" w:rsidR="008813B5" w:rsidRDefault="008813B5" w:rsidP="008813B5"/>
    <w:p w14:paraId="4F67F032" w14:textId="77777777" w:rsidR="008813B5" w:rsidRDefault="008813B5">
      <w:pPr>
        <w:tabs>
          <w:tab w:val="clear" w:pos="425"/>
        </w:tabs>
        <w:spacing w:after="160"/>
      </w:pPr>
      <w:r>
        <w:br w:type="page"/>
      </w:r>
    </w:p>
    <w:p w14:paraId="47D34D39" w14:textId="77777777" w:rsidR="00832AFB" w:rsidRDefault="00832AFB" w:rsidP="008813B5"/>
    <w:p w14:paraId="4516D9B0" w14:textId="2444C0F6" w:rsidR="00832AFB" w:rsidRDefault="00832AFB" w:rsidP="00832AFB">
      <w:r>
        <w:t xml:space="preserve">entró por su fosa nasal izquierda y salió por su fosa nasal derecha. Entonces el </w:t>
      </w:r>
      <w:proofErr w:type="spellStart"/>
      <w:r w:rsidR="00103E6D" w:rsidRPr="00F05B9A">
        <w:rPr>
          <w:i/>
          <w:iCs/>
        </w:rPr>
        <w:t>Nāga</w:t>
      </w:r>
      <w:proofErr w:type="spellEnd"/>
      <w:r w:rsidR="00103E6D">
        <w:t xml:space="preserve"> </w:t>
      </w:r>
      <w:r>
        <w:t xml:space="preserve">real abrió la boca. El </w:t>
      </w:r>
      <w:r w:rsidR="00AD4026">
        <w:t xml:space="preserve">Venerable </w:t>
      </w:r>
      <w:r>
        <w:t xml:space="preserve">entró </w:t>
      </w:r>
      <w:r w:rsidR="00F14BF5">
        <w:t>por ella</w:t>
      </w:r>
      <w:r>
        <w:t xml:space="preserve"> y caminó </w:t>
      </w:r>
      <w:r w:rsidR="00AD4026">
        <w:t xml:space="preserve">de </w:t>
      </w:r>
      <w:r>
        <w:t xml:space="preserve">arriba </w:t>
      </w:r>
      <w:r w:rsidR="00AD4026">
        <w:t xml:space="preserve">hacia </w:t>
      </w:r>
      <w:r>
        <w:t xml:space="preserve">abajo, </w:t>
      </w:r>
      <w:r w:rsidR="00AD4026">
        <w:t>hacia e</w:t>
      </w:r>
      <w:r>
        <w:t>l este y al oeste, dentro de su vientre.</w:t>
      </w:r>
    </w:p>
    <w:p w14:paraId="18AA0FFA" w14:textId="7CAB5DCD" w:rsidR="00832AFB" w:rsidRDefault="00832AFB" w:rsidP="00832AFB">
      <w:r>
        <w:t xml:space="preserve">113. </w:t>
      </w:r>
      <w:r>
        <w:tab/>
        <w:t xml:space="preserve">El </w:t>
      </w:r>
      <w:r w:rsidR="00AD4026">
        <w:rPr>
          <w:i/>
          <w:iCs/>
        </w:rPr>
        <w:t>Bhagavā</w:t>
      </w:r>
      <w:r w:rsidR="00AD4026">
        <w:t xml:space="preserve"> </w:t>
      </w:r>
      <w:r>
        <w:t>dijo, “Moggallāna, Moggallāna, ten</w:t>
      </w:r>
      <w:r w:rsidR="00AD4026">
        <w:t>ga</w:t>
      </w:r>
      <w:r>
        <w:t xml:space="preserve"> cuidado; </w:t>
      </w:r>
      <w:r w:rsidR="00AD4026">
        <w:t>é</w:t>
      </w:r>
      <w:r>
        <w:t xml:space="preserve">se es un </w:t>
      </w:r>
      <w:proofErr w:type="spellStart"/>
      <w:r w:rsidR="00103E6D" w:rsidRPr="00F05B9A">
        <w:rPr>
          <w:i/>
          <w:iCs/>
        </w:rPr>
        <w:t>Nāga</w:t>
      </w:r>
      <w:proofErr w:type="spellEnd"/>
      <w:r w:rsidR="00103E6D">
        <w:t xml:space="preserve"> </w:t>
      </w:r>
      <w:r>
        <w:t xml:space="preserve">poderoso”. El </w:t>
      </w:r>
      <w:r w:rsidR="00AD4026">
        <w:t xml:space="preserve">Venerable </w:t>
      </w:r>
      <w:r>
        <w:t xml:space="preserve">dijo: “Venerable señor, los cuatro caminos hacia el poder han sido desarrollados por mí, practicados repetidamente, hechos el vehículo, hechos la base, establecidos, consolidados y debidamente emprendidos. Puedo domar no solo a </w:t>
      </w:r>
      <w:proofErr w:type="spellStart"/>
      <w:r>
        <w:t>Nandopananda</w:t>
      </w:r>
      <w:proofErr w:type="spellEnd"/>
      <w:r>
        <w:t xml:space="preserve">, </w:t>
      </w:r>
      <w:r w:rsidR="00AD4026">
        <w:t>Venerable Señor</w:t>
      </w:r>
      <w:r>
        <w:t xml:space="preserve">, sino a cien, mil, cien mil </w:t>
      </w:r>
      <w:proofErr w:type="spellStart"/>
      <w:r w:rsidR="00103E6D" w:rsidRPr="00F05B9A">
        <w:rPr>
          <w:i/>
          <w:iCs/>
        </w:rPr>
        <w:t>Nāga</w:t>
      </w:r>
      <w:r w:rsidR="00103E6D">
        <w:rPr>
          <w:i/>
          <w:iCs/>
        </w:rPr>
        <w:t>s</w:t>
      </w:r>
      <w:proofErr w:type="spellEnd"/>
      <w:r w:rsidR="00103E6D">
        <w:t xml:space="preserve"> </w:t>
      </w:r>
      <w:r>
        <w:t xml:space="preserve">reales como </w:t>
      </w:r>
      <w:proofErr w:type="spellStart"/>
      <w:r>
        <w:t>Nandopananda</w:t>
      </w:r>
      <w:proofErr w:type="spellEnd"/>
      <w:r>
        <w:t>”.</w:t>
      </w:r>
    </w:p>
    <w:p w14:paraId="4F33B7E5" w14:textId="015929A8" w:rsidR="00832AFB" w:rsidRDefault="00832AFB" w:rsidP="00832AFB">
      <w:r>
        <w:t xml:space="preserve">114. </w:t>
      </w:r>
      <w:r>
        <w:tab/>
        <w:t xml:space="preserve">El </w:t>
      </w:r>
      <w:proofErr w:type="spellStart"/>
      <w:r w:rsidR="00103E6D" w:rsidRPr="00F05B9A">
        <w:rPr>
          <w:i/>
          <w:iCs/>
        </w:rPr>
        <w:t>Nāga</w:t>
      </w:r>
      <w:proofErr w:type="spellEnd"/>
      <w:r w:rsidR="00103E6D">
        <w:t xml:space="preserve"> </w:t>
      </w:r>
      <w:r>
        <w:t xml:space="preserve">real pensó: “Cuando él </w:t>
      </w:r>
      <w:r w:rsidR="006B4DB3">
        <w:t>entró</w:t>
      </w:r>
      <w:r>
        <w:t xml:space="preserve"> en primer lugar, no lo vi. Pero ahora, cuando salga, lo atraparé entre mis colmillos y lo masticaré. Luego dijo: “Venerable </w:t>
      </w:r>
      <w:r w:rsidR="00F14BF5">
        <w:t>Señor</w:t>
      </w:r>
      <w:r>
        <w:t>, sal</w:t>
      </w:r>
      <w:r w:rsidR="006B4DB3">
        <w:t>ga</w:t>
      </w:r>
      <w:r>
        <w:t xml:space="preserve">. No me siga </w:t>
      </w:r>
      <w:r w:rsidR="00F14BF5">
        <w:t>molestando, andando</w:t>
      </w:r>
      <w:r>
        <w:t xml:space="preserve"> </w:t>
      </w:r>
      <w:r w:rsidR="006B4DB3">
        <w:t xml:space="preserve">de </w:t>
      </w:r>
      <w:r>
        <w:t xml:space="preserve">arriba </w:t>
      </w:r>
      <w:r w:rsidR="006B4DB3">
        <w:t>hacia</w:t>
      </w:r>
      <w:r>
        <w:t xml:space="preserve"> abajo dentro de mi vientre.” El </w:t>
      </w:r>
      <w:r w:rsidR="006B4DB3">
        <w:t xml:space="preserve">Venerable </w:t>
      </w:r>
      <w:r>
        <w:t xml:space="preserve">salió y se quedó afuera. El </w:t>
      </w:r>
      <w:proofErr w:type="spellStart"/>
      <w:r w:rsidR="00103E6D" w:rsidRPr="00F05B9A">
        <w:rPr>
          <w:i/>
          <w:iCs/>
        </w:rPr>
        <w:t>Nāga</w:t>
      </w:r>
      <w:proofErr w:type="spellEnd"/>
      <w:r w:rsidR="00103E6D">
        <w:t xml:space="preserve"> </w:t>
      </w:r>
      <w:r>
        <w:t xml:space="preserve">real lo reconoció y sopló un </w:t>
      </w:r>
      <w:r w:rsidR="00171F72">
        <w:t xml:space="preserve">lanzallamas </w:t>
      </w:r>
      <w:r>
        <w:t xml:space="preserve">por la nariz. El </w:t>
      </w:r>
      <w:r w:rsidR="006B4DB3">
        <w:t xml:space="preserve">Venerable </w:t>
      </w:r>
      <w:r>
        <w:t xml:space="preserve">alcanzó el cuarto </w:t>
      </w:r>
      <w:proofErr w:type="spellStart"/>
      <w:r w:rsidR="00057BF4" w:rsidRPr="00057BF4">
        <w:rPr>
          <w:i/>
        </w:rPr>
        <w:t>jhāna</w:t>
      </w:r>
      <w:proofErr w:type="spellEnd"/>
      <w:r>
        <w:t xml:space="preserve">, </w:t>
      </w:r>
      <w:r w:rsidR="006B4DB3">
        <w:t>así</w:t>
      </w:r>
      <w:r>
        <w:t xml:space="preserve"> </w:t>
      </w:r>
      <w:r w:rsidR="006B4DB3">
        <w:t xml:space="preserve">que tal </w:t>
      </w:r>
      <w:r>
        <w:t xml:space="preserve">explosión no logró mover ni un solo cabello de su cuerpo. Al parecer, los otros </w:t>
      </w:r>
      <w:proofErr w:type="spellStart"/>
      <w:r w:rsidR="00057BF4" w:rsidRPr="00057BF4">
        <w:rPr>
          <w:i/>
        </w:rPr>
        <w:t>bhikkhu</w:t>
      </w:r>
      <w:r>
        <w:t>s</w:t>
      </w:r>
      <w:proofErr w:type="spellEnd"/>
      <w:r>
        <w:t xml:space="preserve"> habrían podido realizar todos los milagros hasta ahora, pero en este punto no podrían haberlo logrado con una respuesta tan rápida, por lo que el </w:t>
      </w:r>
      <w:r w:rsidR="00171F72" w:rsidRPr="00171F72">
        <w:rPr>
          <w:i/>
          <w:iCs/>
        </w:rPr>
        <w:t>Bhagavā</w:t>
      </w:r>
      <w:r w:rsidR="00171F72">
        <w:t xml:space="preserve"> </w:t>
      </w:r>
      <w:r>
        <w:t xml:space="preserve">no les permitió domar al </w:t>
      </w:r>
      <w:proofErr w:type="spellStart"/>
      <w:r w:rsidR="00103E6D" w:rsidRPr="00F05B9A">
        <w:rPr>
          <w:i/>
          <w:iCs/>
        </w:rPr>
        <w:t>Nāga</w:t>
      </w:r>
      <w:proofErr w:type="spellEnd"/>
      <w:r w:rsidR="00103E6D">
        <w:t xml:space="preserve"> </w:t>
      </w:r>
      <w:r>
        <w:t>real.</w:t>
      </w:r>
    </w:p>
    <w:p w14:paraId="0E22B060" w14:textId="4FD30F58" w:rsidR="00832AFB" w:rsidRDefault="00832AFB" w:rsidP="00832AFB">
      <w:r>
        <w:t xml:space="preserve">115. </w:t>
      </w:r>
      <w:r>
        <w:tab/>
        <w:t xml:space="preserve">El </w:t>
      </w:r>
      <w:proofErr w:type="spellStart"/>
      <w:r w:rsidR="00103E6D" w:rsidRPr="00F05B9A">
        <w:rPr>
          <w:i/>
          <w:iCs/>
        </w:rPr>
        <w:t>Nāga</w:t>
      </w:r>
      <w:proofErr w:type="spellEnd"/>
      <w:r w:rsidR="00103E6D">
        <w:t xml:space="preserve"> </w:t>
      </w:r>
      <w:r>
        <w:t xml:space="preserve">real pensó: “No he podido </w:t>
      </w:r>
      <w:r w:rsidR="00171F72">
        <w:t>estremecer</w:t>
      </w:r>
      <w:r>
        <w:t xml:space="preserve"> ni un solo </w:t>
      </w:r>
      <w:r w:rsidR="00C83102">
        <w:t>vello</w:t>
      </w:r>
      <w:r>
        <w:t xml:space="preserve"> del cuerpo de este monje con el soplido de mi nariz. Es un monje poderoso”. El </w:t>
      </w:r>
      <w:r w:rsidR="00C83102">
        <w:t xml:space="preserve">Venerable </w:t>
      </w:r>
      <w:r>
        <w:t xml:space="preserve">abandonó esa forma y, habiendo asumido la forma de un </w:t>
      </w:r>
      <w:proofErr w:type="spellStart"/>
      <w:r w:rsidRPr="00103E6D">
        <w:rPr>
          <w:i/>
          <w:iCs/>
        </w:rPr>
        <w:t>supaṇṇa</w:t>
      </w:r>
      <w:proofErr w:type="spellEnd"/>
      <w:r>
        <w:t xml:space="preserve">, persiguió al </w:t>
      </w:r>
      <w:proofErr w:type="spellStart"/>
      <w:r w:rsidR="00103E6D" w:rsidRPr="00F05B9A">
        <w:rPr>
          <w:i/>
          <w:iCs/>
        </w:rPr>
        <w:t>Nāga</w:t>
      </w:r>
      <w:proofErr w:type="spellEnd"/>
      <w:r w:rsidR="00103E6D">
        <w:t xml:space="preserve"> </w:t>
      </w:r>
      <w:r>
        <w:t>real demostrando el estallido de</w:t>
      </w:r>
      <w:r w:rsidR="00171F72">
        <w:t xml:space="preserve"> un</w:t>
      </w:r>
      <w:r>
        <w:t xml:space="preserve"> </w:t>
      </w:r>
      <w:proofErr w:type="spellStart"/>
      <w:r w:rsidR="0049550D" w:rsidRPr="00103E6D">
        <w:rPr>
          <w:i/>
          <w:iCs/>
        </w:rPr>
        <w:t>Supaṇṇa</w:t>
      </w:r>
      <w:proofErr w:type="spellEnd"/>
      <w:r>
        <w:t xml:space="preserve">. [401] El </w:t>
      </w:r>
      <w:proofErr w:type="spellStart"/>
      <w:r w:rsidR="00103E6D" w:rsidRPr="00F05B9A">
        <w:rPr>
          <w:i/>
          <w:iCs/>
        </w:rPr>
        <w:t>Nāga</w:t>
      </w:r>
      <w:proofErr w:type="spellEnd"/>
      <w:r w:rsidR="00103E6D">
        <w:t xml:space="preserve"> </w:t>
      </w:r>
      <w:r>
        <w:t xml:space="preserve">real abandonó </w:t>
      </w:r>
      <w:r w:rsidR="00C83102">
        <w:t>su</w:t>
      </w:r>
      <w:r>
        <w:t xml:space="preserve"> forma y, habiendo asumido la forma de un joven </w:t>
      </w:r>
      <w:r w:rsidRPr="00C83102">
        <w:rPr>
          <w:i/>
          <w:iCs/>
        </w:rPr>
        <w:t>brahmán</w:t>
      </w:r>
      <w:r>
        <w:t xml:space="preserve">, dijo: “Venerable </w:t>
      </w:r>
      <w:r w:rsidR="00C83102">
        <w:t>Señor</w:t>
      </w:r>
      <w:r>
        <w:t xml:space="preserve">, </w:t>
      </w:r>
      <w:r w:rsidR="00171F72">
        <w:t>me</w:t>
      </w:r>
      <w:r>
        <w:t xml:space="preserve"> refugio en </w:t>
      </w:r>
      <w:r w:rsidR="00C83102">
        <w:t>su ser</w:t>
      </w:r>
      <w:r>
        <w:t xml:space="preserve">”, y rindió </w:t>
      </w:r>
      <w:r w:rsidR="00C83102">
        <w:t>reverencia</w:t>
      </w:r>
      <w:r>
        <w:t xml:space="preserve"> a los pies del </w:t>
      </w:r>
      <w:r w:rsidR="00C83102">
        <w:t>Venerable</w:t>
      </w:r>
      <w:r>
        <w:t xml:space="preserve">. El </w:t>
      </w:r>
      <w:r w:rsidR="00C83102">
        <w:t xml:space="preserve">Venerable </w:t>
      </w:r>
      <w:r>
        <w:t xml:space="preserve">dijo: “El Maestro ha </w:t>
      </w:r>
      <w:r w:rsidR="00171F72">
        <w:t>llegado aquí</w:t>
      </w:r>
      <w:r>
        <w:t xml:space="preserve">, </w:t>
      </w:r>
      <w:proofErr w:type="spellStart"/>
      <w:r>
        <w:t>Nanda</w:t>
      </w:r>
      <w:proofErr w:type="spellEnd"/>
      <w:r>
        <w:t xml:space="preserve">; venid, vayamos </w:t>
      </w:r>
      <w:r w:rsidR="00C83102">
        <w:t>con</w:t>
      </w:r>
      <w:r>
        <w:t xml:space="preserve"> él. Entonces, habiendo domesticado al </w:t>
      </w:r>
      <w:proofErr w:type="spellStart"/>
      <w:r w:rsidR="0075300E">
        <w:rPr>
          <w:i/>
          <w:iCs/>
        </w:rPr>
        <w:t>Nāga</w:t>
      </w:r>
      <w:proofErr w:type="spellEnd"/>
      <w:r w:rsidR="0075300E">
        <w:t xml:space="preserve"> </w:t>
      </w:r>
      <w:r>
        <w:t>real y priv</w:t>
      </w:r>
      <w:r w:rsidR="00F6224F">
        <w:t>án</w:t>
      </w:r>
      <w:r>
        <w:t>do</w:t>
      </w:r>
      <w:r w:rsidR="00F6224F">
        <w:t>lo</w:t>
      </w:r>
      <w:r>
        <w:t xml:space="preserve"> de su veneno, </w:t>
      </w:r>
      <w:r w:rsidR="0075300E">
        <w:t>se dirigió</w:t>
      </w:r>
      <w:r>
        <w:t xml:space="preserve"> con él a</w:t>
      </w:r>
      <w:r w:rsidR="0075300E">
        <w:t>nte</w:t>
      </w:r>
      <w:r>
        <w:t xml:space="preserve"> la presencia del </w:t>
      </w:r>
      <w:r w:rsidR="0075300E">
        <w:rPr>
          <w:i/>
          <w:iCs/>
        </w:rPr>
        <w:t>Bhagavā</w:t>
      </w:r>
      <w:r>
        <w:t>.</w:t>
      </w:r>
    </w:p>
    <w:p w14:paraId="63D500BB" w14:textId="0F8405A4" w:rsidR="00832AFB" w:rsidRDefault="00832AFB" w:rsidP="00832AFB">
      <w:r>
        <w:t xml:space="preserve">116. </w:t>
      </w:r>
      <w:r>
        <w:tab/>
        <w:t xml:space="preserve">El </w:t>
      </w:r>
      <w:proofErr w:type="spellStart"/>
      <w:r w:rsidR="0049550D" w:rsidRPr="0075300E">
        <w:rPr>
          <w:i/>
          <w:iCs/>
        </w:rPr>
        <w:t>Nāga</w:t>
      </w:r>
      <w:proofErr w:type="spellEnd"/>
      <w:r w:rsidR="0049550D">
        <w:t xml:space="preserve"> </w:t>
      </w:r>
      <w:r>
        <w:t xml:space="preserve">real rindió </w:t>
      </w:r>
      <w:r w:rsidR="0075300E">
        <w:t xml:space="preserve">reverencia </w:t>
      </w:r>
      <w:r>
        <w:t xml:space="preserve">al </w:t>
      </w:r>
      <w:r w:rsidR="0075300E">
        <w:rPr>
          <w:i/>
          <w:iCs/>
        </w:rPr>
        <w:t>Bhagavā</w:t>
      </w:r>
      <w:r w:rsidR="0075300E">
        <w:t xml:space="preserve"> </w:t>
      </w:r>
      <w:r>
        <w:t xml:space="preserve">y dijo: “Venerable </w:t>
      </w:r>
      <w:r w:rsidR="0075300E">
        <w:t>Señor</w:t>
      </w:r>
      <w:r>
        <w:t xml:space="preserve">, </w:t>
      </w:r>
      <w:r w:rsidR="00F6224F">
        <w:t>me</w:t>
      </w:r>
      <w:r>
        <w:t xml:space="preserve"> refugio en </w:t>
      </w:r>
      <w:r w:rsidR="0075300E">
        <w:t>su persona</w:t>
      </w:r>
      <w:r>
        <w:t xml:space="preserve">”. El </w:t>
      </w:r>
      <w:r w:rsidR="0075300E">
        <w:rPr>
          <w:i/>
          <w:iCs/>
        </w:rPr>
        <w:t>Bhagavā</w:t>
      </w:r>
      <w:r w:rsidR="0075300E">
        <w:t xml:space="preserve"> </w:t>
      </w:r>
      <w:r>
        <w:t>dijo: “Qu</w:t>
      </w:r>
      <w:r w:rsidR="00F6224F">
        <w:t>é</w:t>
      </w:r>
      <w:r>
        <w:t xml:space="preserve"> sea feliz, </w:t>
      </w:r>
      <w:proofErr w:type="spellStart"/>
      <w:r w:rsidR="0049550D" w:rsidRPr="0049550D">
        <w:rPr>
          <w:i/>
          <w:iCs/>
        </w:rPr>
        <w:t>Nāga</w:t>
      </w:r>
      <w:proofErr w:type="spellEnd"/>
      <w:r w:rsidR="0049550D">
        <w:t xml:space="preserve"> </w:t>
      </w:r>
      <w:r>
        <w:t xml:space="preserve">real”. Luego fue, seguido por la Comunidad de </w:t>
      </w:r>
      <w:proofErr w:type="spellStart"/>
      <w:r w:rsidR="00057BF4" w:rsidRPr="00057BF4">
        <w:rPr>
          <w:i/>
        </w:rPr>
        <w:t>Bhikkhu</w:t>
      </w:r>
      <w:r>
        <w:t>s</w:t>
      </w:r>
      <w:proofErr w:type="spellEnd"/>
      <w:r>
        <w:t xml:space="preserve">, a la casa de </w:t>
      </w:r>
      <w:proofErr w:type="spellStart"/>
      <w:r w:rsidR="00F6224F">
        <w:t>Anāthapiṇḍika</w:t>
      </w:r>
      <w:proofErr w:type="spellEnd"/>
      <w:r>
        <w:t xml:space="preserve">. </w:t>
      </w:r>
      <w:proofErr w:type="spellStart"/>
      <w:r w:rsidR="00F6224F">
        <w:t>Anāthapiṇḍika</w:t>
      </w:r>
      <w:proofErr w:type="spellEnd"/>
      <w:r w:rsidR="00F6224F">
        <w:t xml:space="preserve"> </w:t>
      </w:r>
      <w:r>
        <w:t xml:space="preserve">dijo: “Venerable </w:t>
      </w:r>
      <w:r w:rsidR="0075300E">
        <w:t>Señor</w:t>
      </w:r>
      <w:r>
        <w:t xml:space="preserve">, ¿por qué ha venido tan tarde?”—“Hubo una batalla entre Moggallāna y </w:t>
      </w:r>
      <w:proofErr w:type="spellStart"/>
      <w:r>
        <w:t>Nandopananda</w:t>
      </w:r>
      <w:proofErr w:type="spellEnd"/>
      <w:r>
        <w:t xml:space="preserve">.”—“¿Quién ganó, </w:t>
      </w:r>
      <w:r w:rsidR="0075300E">
        <w:t>Venerable Señor</w:t>
      </w:r>
      <w:r>
        <w:t xml:space="preserve">? ¿Quién fue derrotado?”—“Moggallāna ganó; </w:t>
      </w:r>
      <w:proofErr w:type="spellStart"/>
      <w:r>
        <w:t>Nanda</w:t>
      </w:r>
      <w:proofErr w:type="spellEnd"/>
      <w:r>
        <w:t xml:space="preserve"> fue derrotad</w:t>
      </w:r>
      <w:r w:rsidR="00F6224F">
        <w:t>o</w:t>
      </w:r>
      <w:r>
        <w:t>.</w:t>
      </w:r>
    </w:p>
    <w:p w14:paraId="7D89E610" w14:textId="22DDEE93" w:rsidR="00832AFB" w:rsidRDefault="00F6224F" w:rsidP="00855AEE">
      <w:pPr>
        <w:pStyle w:val="NormalConSangria"/>
      </w:pPr>
      <w:proofErr w:type="spellStart"/>
      <w:r>
        <w:t>Anāthapiṇḍika</w:t>
      </w:r>
      <w:proofErr w:type="spellEnd"/>
      <w:r>
        <w:t xml:space="preserve"> </w:t>
      </w:r>
      <w:r w:rsidR="00832AFB">
        <w:t xml:space="preserve">dijo: “Venerable </w:t>
      </w:r>
      <w:r w:rsidR="008A2812">
        <w:t>Señor</w:t>
      </w:r>
      <w:r w:rsidR="00832AFB">
        <w:t>, permit</w:t>
      </w:r>
      <w:r w:rsidR="0075300E">
        <w:t>a</w:t>
      </w:r>
      <w:r w:rsidR="00832AFB">
        <w:t xml:space="preserve"> que el </w:t>
      </w:r>
      <w:r w:rsidR="0075300E">
        <w:t xml:space="preserve">Venerable </w:t>
      </w:r>
      <w:r w:rsidR="00832AFB">
        <w:t xml:space="preserve">consienta </w:t>
      </w:r>
      <w:r w:rsidR="008A2812">
        <w:t>a</w:t>
      </w:r>
      <w:r w:rsidR="00832AFB">
        <w:t xml:space="preserve"> que </w:t>
      </w:r>
      <w:r w:rsidR="008A2812">
        <w:t>l</w:t>
      </w:r>
      <w:r w:rsidR="00832AFB">
        <w:t xml:space="preserve">e proporcione comidas durante siete días en una sola serie, y que honre al </w:t>
      </w:r>
      <w:r w:rsidR="008A2812">
        <w:t xml:space="preserve">Venerable </w:t>
      </w:r>
      <w:r w:rsidR="00832AFB">
        <w:t xml:space="preserve">durante siete días”. </w:t>
      </w:r>
      <w:r w:rsidR="008A2812">
        <w:t>Entonces</w:t>
      </w:r>
      <w:r w:rsidR="00832AFB">
        <w:t xml:space="preserve">, durante siete días, otorgó gran honor a los quinientos </w:t>
      </w:r>
      <w:proofErr w:type="spellStart"/>
      <w:r w:rsidR="00057BF4" w:rsidRPr="00057BF4">
        <w:rPr>
          <w:i/>
        </w:rPr>
        <w:t>bhikkhu</w:t>
      </w:r>
      <w:r w:rsidR="00832AFB">
        <w:t>s</w:t>
      </w:r>
      <w:proofErr w:type="spellEnd"/>
      <w:r w:rsidR="00832AFB">
        <w:t xml:space="preserve"> con el Iluminado a la cabeza.</w:t>
      </w:r>
    </w:p>
    <w:p w14:paraId="2E4BF5BD" w14:textId="45FB952C" w:rsidR="00832AFB" w:rsidRPr="00466246" w:rsidRDefault="00832AFB" w:rsidP="00832AFB">
      <w:r>
        <w:t xml:space="preserve">117. </w:t>
      </w:r>
      <w:r>
        <w:tab/>
        <w:t xml:space="preserve">Entonces, fue </w:t>
      </w:r>
      <w:r w:rsidR="008A2812">
        <w:t>en</w:t>
      </w:r>
      <w:r>
        <w:t xml:space="preserve"> referencia a esta forma </w:t>
      </w:r>
      <w:r w:rsidR="008A2812">
        <w:t xml:space="preserve">de </w:t>
      </w:r>
      <w:r w:rsidR="00831F62">
        <w:t xml:space="preserve">crecer en tamaño </w:t>
      </w:r>
      <w:r>
        <w:t>creada durante est</w:t>
      </w:r>
      <w:r w:rsidR="00831F62">
        <w:t>e</w:t>
      </w:r>
      <w:r>
        <w:t xml:space="preserve"> </w:t>
      </w:r>
      <w:r w:rsidR="00831F62">
        <w:t xml:space="preserve">adiestramiento </w:t>
      </w:r>
      <w:r>
        <w:t xml:space="preserve">de </w:t>
      </w:r>
      <w:proofErr w:type="spellStart"/>
      <w:r>
        <w:t>Nandopananda</w:t>
      </w:r>
      <w:proofErr w:type="spellEnd"/>
      <w:r>
        <w:t xml:space="preserve"> que se dijo: "Cuando él ha</w:t>
      </w:r>
      <w:r w:rsidR="00831F62">
        <w:t>ga</w:t>
      </w:r>
      <w:r>
        <w:t xml:space="preserve"> que su cuerpo sea grande, ¿no se vuelve grande, como en el caso del </w:t>
      </w:r>
      <w:r w:rsidR="00831F62">
        <w:t xml:space="preserve">Venerable </w:t>
      </w:r>
      <w:r>
        <w:t xml:space="preserve">Mahā Moggallāna?" (§105). Aunque esto fue dicho, los </w:t>
      </w:r>
      <w:proofErr w:type="spellStart"/>
      <w:r w:rsidR="00057BF4" w:rsidRPr="00057BF4">
        <w:rPr>
          <w:i/>
        </w:rPr>
        <w:t>bhikkhu</w:t>
      </w:r>
      <w:r>
        <w:t>s</w:t>
      </w:r>
      <w:proofErr w:type="spellEnd"/>
      <w:r>
        <w:t xml:space="preserve"> observaron: “Él agrand</w:t>
      </w:r>
      <w:r w:rsidR="00831F62">
        <w:t>ó</w:t>
      </w:r>
      <w:r>
        <w:t xml:space="preserve"> solo lo que no est</w:t>
      </w:r>
      <w:r w:rsidR="00831F62">
        <w:t>aba</w:t>
      </w:r>
      <w:r>
        <w:t xml:space="preserve"> aferrado</w:t>
      </w:r>
      <w:r w:rsidR="00722EC2">
        <w:t xml:space="preserve"> a lo</w:t>
      </w:r>
      <w:r>
        <w:t xml:space="preserve"> </w:t>
      </w:r>
      <w:r w:rsidR="00016574">
        <w:t>sostenido</w:t>
      </w:r>
      <w:r>
        <w:t xml:space="preserve"> por lo que est</w:t>
      </w:r>
      <w:r w:rsidR="00016574">
        <w:t>aba</w:t>
      </w:r>
      <w:r>
        <w:t xml:space="preserve"> aferrado”. Y s</w:t>
      </w:r>
      <w:r w:rsidR="00D84E08">
        <w:t>ó</w:t>
      </w:r>
      <w:r>
        <w:t>lo esto es correcto aquí.</w:t>
      </w:r>
      <w:r w:rsidRPr="009C7A89">
        <w:rPr>
          <w:vertAlign w:val="superscript"/>
        </w:rPr>
        <w:t>20</w:t>
      </w:r>
    </w:p>
    <w:p w14:paraId="331F2C4D" w14:textId="7D9FEF4D" w:rsidR="00832AFB" w:rsidRPr="00832AFB" w:rsidRDefault="00832AFB" w:rsidP="00832AFB">
      <w:pPr>
        <w:pStyle w:val="PiedepginaLegal"/>
        <w:rPr>
          <w:u w:val="single"/>
        </w:rPr>
      </w:pPr>
      <w:r w:rsidRPr="00832AFB">
        <w:rPr>
          <w:u w:val="single"/>
        </w:rPr>
        <w:t xml:space="preserve">                                                                                                                                                   .</w:t>
      </w:r>
    </w:p>
    <w:p w14:paraId="609BBBF9" w14:textId="488A27C2" w:rsidR="00855AEE" w:rsidRDefault="00832AFB" w:rsidP="00832AFB">
      <w:pPr>
        <w:pStyle w:val="PiedepginaLegal"/>
      </w:pPr>
      <w:r>
        <w:t xml:space="preserve">20. </w:t>
      </w:r>
      <w:r>
        <w:tab/>
        <w:t xml:space="preserve">“Solo esto es correcto </w:t>
      </w:r>
      <w:r w:rsidR="00142D65">
        <w:t>ya que las instancias</w:t>
      </w:r>
      <w:r>
        <w:t xml:space="preserve"> de</w:t>
      </w:r>
      <w:r w:rsidR="009C5E27">
        <w:t xml:space="preserve">l </w:t>
      </w:r>
      <w:r w:rsidR="002F6E56">
        <w:t xml:space="preserve">apego a la materialidad </w:t>
      </w:r>
      <w:r w:rsidR="00A001A8">
        <w:t>(</w:t>
      </w:r>
      <w:proofErr w:type="spellStart"/>
      <w:r w:rsidR="00A001A8" w:rsidRPr="0095482B">
        <w:rPr>
          <w:i/>
          <w:iCs/>
        </w:rPr>
        <w:t>kammicamente</w:t>
      </w:r>
      <w:proofErr w:type="spellEnd"/>
      <w:r w:rsidR="00A001A8">
        <w:t xml:space="preserve"> adquirida) </w:t>
      </w:r>
      <w:r>
        <w:t>surg</w:t>
      </w:r>
      <w:r w:rsidR="00B964A1">
        <w:t>irán</w:t>
      </w:r>
      <w:r>
        <w:t xml:space="preserve"> debido a la con</w:t>
      </w:r>
      <w:r w:rsidR="009C5E27">
        <w:t>s</w:t>
      </w:r>
      <w:r>
        <w:t>ciencia o</w:t>
      </w:r>
      <w:r w:rsidR="009C5E27">
        <w:t xml:space="preserve"> </w:t>
      </w:r>
      <w:r>
        <w:t>a la temperatura. O</w:t>
      </w:r>
      <w:r w:rsidR="002D19D0">
        <w:t xml:space="preserve"> </w:t>
      </w:r>
      <w:r>
        <w:t>alternativamente, '</w:t>
      </w:r>
      <w:proofErr w:type="spellStart"/>
      <w:r w:rsidR="00B964A1">
        <w:t>aherido</w:t>
      </w:r>
      <w:proofErr w:type="spellEnd"/>
      <w:r w:rsidR="00B964A1">
        <w:t xml:space="preserve"> </w:t>
      </w:r>
      <w:r>
        <w:t>a' se entiende como toda materia que est</w:t>
      </w:r>
      <w:r w:rsidR="009C5E27">
        <w:t>é</w:t>
      </w:r>
      <w:r>
        <w:t xml:space="preserve"> </w:t>
      </w:r>
      <w:r w:rsidR="00B964A1">
        <w:t xml:space="preserve">adherida </w:t>
      </w:r>
      <w:r>
        <w:t xml:space="preserve">a </w:t>
      </w:r>
      <w:r w:rsidR="009C5E27">
        <w:t xml:space="preserve">las </w:t>
      </w:r>
      <w:r>
        <w:t>facultades (es decir, '</w:t>
      </w:r>
      <w:r w:rsidR="00A814ED">
        <w:t>sensible</w:t>
      </w:r>
      <w:r>
        <w:t>'). Y as</w:t>
      </w:r>
      <w:r w:rsidR="002D19D0">
        <w:t>í</w:t>
      </w:r>
      <w:r>
        <w:t xml:space="preserve"> </w:t>
      </w:r>
    </w:p>
    <w:p w14:paraId="00BF4762" w14:textId="77777777" w:rsidR="00D5105E" w:rsidRDefault="00D5105E">
      <w:pPr>
        <w:tabs>
          <w:tab w:val="clear" w:pos="425"/>
        </w:tabs>
        <w:spacing w:after="160"/>
      </w:pPr>
      <w:r>
        <w:br w:type="page"/>
      </w:r>
    </w:p>
    <w:p w14:paraId="61408A14" w14:textId="524935BB" w:rsidR="00A968A1" w:rsidRDefault="00A968A1" w:rsidP="00855AEE"/>
    <w:p w14:paraId="0D611361" w14:textId="3A7C20C5" w:rsidR="00A968A1" w:rsidRDefault="00A968A1" w:rsidP="00A968A1">
      <w:r>
        <w:t xml:space="preserve">118. </w:t>
      </w:r>
      <w:r w:rsidR="00B603CC">
        <w:tab/>
      </w:r>
      <w:r>
        <w:t>Y cuando ha</w:t>
      </w:r>
      <w:r w:rsidR="00941554">
        <w:t>ya</w:t>
      </w:r>
      <w:r>
        <w:t xml:space="preserve"> hecho esto, no sólo toca</w:t>
      </w:r>
      <w:r w:rsidR="00EA0D8C">
        <w:t>rá</w:t>
      </w:r>
      <w:r>
        <w:t xml:space="preserve"> la </w:t>
      </w:r>
      <w:r w:rsidR="00EA0D8C">
        <w:t xml:space="preserve">Luna </w:t>
      </w:r>
      <w:r>
        <w:t xml:space="preserve">y el </w:t>
      </w:r>
      <w:r w:rsidR="00EA0D8C">
        <w:t>Sol</w:t>
      </w:r>
      <w:r>
        <w:t>, sino que si qui</w:t>
      </w:r>
      <w:r w:rsidR="00EA0D8C">
        <w:t>sie</w:t>
      </w:r>
      <w:r>
        <w:t>r</w:t>
      </w:r>
      <w:r w:rsidR="00EA0D8C">
        <w:t>a</w:t>
      </w:r>
      <w:r>
        <w:t xml:space="preserve">, </w:t>
      </w:r>
      <w:r w:rsidR="00EA0D8C">
        <w:t xml:space="preserve">podrá </w:t>
      </w:r>
      <w:r>
        <w:t>ha</w:t>
      </w:r>
      <w:r w:rsidR="00EA0D8C">
        <w:t>cer</w:t>
      </w:r>
      <w:r>
        <w:t xml:space="preserve"> un escabel de ellos y pone</w:t>
      </w:r>
      <w:r w:rsidR="00EA0D8C">
        <w:t>r</w:t>
      </w:r>
      <w:r>
        <w:t xml:space="preserve"> sus pies sobre él, hace</w:t>
      </w:r>
      <w:r w:rsidR="00EA0D8C">
        <w:t>r</w:t>
      </w:r>
      <w:r>
        <w:t xml:space="preserve"> una silla de ellos y senta</w:t>
      </w:r>
      <w:r w:rsidR="00EA0D8C">
        <w:t>rse</w:t>
      </w:r>
      <w:r>
        <w:t xml:space="preserve"> </w:t>
      </w:r>
      <w:r w:rsidR="00EA0D8C">
        <w:t>sobre</w:t>
      </w:r>
      <w:r>
        <w:t xml:space="preserve"> </w:t>
      </w:r>
      <w:r w:rsidR="00DC2D38">
        <w:t>ell</w:t>
      </w:r>
      <w:r w:rsidR="006A6CC6">
        <w:t>a</w:t>
      </w:r>
      <w:r>
        <w:t>, hace</w:t>
      </w:r>
      <w:r w:rsidR="00DC2D38">
        <w:t>r</w:t>
      </w:r>
      <w:r>
        <w:t xml:space="preserve"> una cama de ellos y c</w:t>
      </w:r>
      <w:r w:rsidR="00DC2D38">
        <w:t>o</w:t>
      </w:r>
      <w:r>
        <w:t>sta</w:t>
      </w:r>
      <w:r w:rsidR="00DC2D38">
        <w:t>rse</w:t>
      </w:r>
      <w:r>
        <w:t xml:space="preserve"> en ella, hace</w:t>
      </w:r>
      <w:r w:rsidR="00DC2D38">
        <w:t>r</w:t>
      </w:r>
      <w:r>
        <w:t xml:space="preserve"> un tablón de ellos y apoya</w:t>
      </w:r>
      <w:r w:rsidR="00DC2D38">
        <w:t>rse</w:t>
      </w:r>
      <w:r>
        <w:t xml:space="preserve"> en él. Y como lo ha</w:t>
      </w:r>
      <w:r w:rsidR="00DC2D38">
        <w:t>ga</w:t>
      </w:r>
      <w:r>
        <w:t xml:space="preserve"> uno, también lo ha</w:t>
      </w:r>
      <w:r w:rsidR="00DC2D38">
        <w:t>rán</w:t>
      </w:r>
      <w:r>
        <w:t xml:space="preserve"> los demás. Inclus</w:t>
      </w:r>
      <w:r w:rsidR="00B77E30">
        <w:t>ive</w:t>
      </w:r>
      <w:r>
        <w:t xml:space="preserve"> cuando varios cientos de miles de </w:t>
      </w:r>
      <w:proofErr w:type="spellStart"/>
      <w:r w:rsidR="00057BF4" w:rsidRPr="00057BF4">
        <w:rPr>
          <w:i/>
        </w:rPr>
        <w:t>bhikkhu</w:t>
      </w:r>
      <w:r>
        <w:t>s</w:t>
      </w:r>
      <w:proofErr w:type="spellEnd"/>
      <w:r>
        <w:t xml:space="preserve"> </w:t>
      </w:r>
      <w:r w:rsidR="00B77E30">
        <w:t>hagan</w:t>
      </w:r>
      <w:r>
        <w:t xml:space="preserve"> esto y cada uno ten</w:t>
      </w:r>
      <w:r w:rsidR="00B77E30">
        <w:t>ga</w:t>
      </w:r>
      <w:r>
        <w:t xml:space="preserve"> éxito, los movimientos de la </w:t>
      </w:r>
      <w:r w:rsidR="00B77E30">
        <w:t xml:space="preserve">Luna </w:t>
      </w:r>
      <w:r>
        <w:t xml:space="preserve">y el </w:t>
      </w:r>
      <w:r w:rsidR="00B77E30">
        <w:t xml:space="preserve">Sol </w:t>
      </w:r>
      <w:r>
        <w:t xml:space="preserve">y su resplandor </w:t>
      </w:r>
      <w:r w:rsidR="00B77E30">
        <w:t xml:space="preserve">seguirán </w:t>
      </w:r>
      <w:r>
        <w:t xml:space="preserve">siendo los mismos. </w:t>
      </w:r>
      <w:r w:rsidR="00B77E30">
        <w:t xml:space="preserve">Ya </w:t>
      </w:r>
      <w:r>
        <w:t xml:space="preserve">que así como </w:t>
      </w:r>
      <w:r w:rsidR="00503609">
        <w:t xml:space="preserve">en </w:t>
      </w:r>
      <w:r>
        <w:t xml:space="preserve">mil platos </w:t>
      </w:r>
      <w:r w:rsidR="00E316A6">
        <w:t>con</w:t>
      </w:r>
      <w:r>
        <w:t xml:space="preserve"> agua se ve</w:t>
      </w:r>
      <w:r w:rsidR="005C35ED">
        <w:t>rá</w:t>
      </w:r>
      <w:r>
        <w:t xml:space="preserve">n </w:t>
      </w:r>
      <w:r w:rsidR="00503609">
        <w:t xml:space="preserve">reflejados los </w:t>
      </w:r>
      <w:r>
        <w:t xml:space="preserve">discos lunares, el movimiento de la </w:t>
      </w:r>
      <w:r w:rsidR="00503609">
        <w:t xml:space="preserve">Luna </w:t>
      </w:r>
      <w:r>
        <w:t>s</w:t>
      </w:r>
      <w:r w:rsidR="00503609">
        <w:t>e</w:t>
      </w:r>
      <w:r>
        <w:t>gu</w:t>
      </w:r>
      <w:r w:rsidR="00503609">
        <w:t>irá</w:t>
      </w:r>
      <w:r>
        <w:t xml:space="preserve"> siendo normal y también lo </w:t>
      </w:r>
      <w:r w:rsidR="00503609">
        <w:t xml:space="preserve">será </w:t>
      </w:r>
      <w:r>
        <w:t>su resplandor. Y este milagro se parece</w:t>
      </w:r>
      <w:r w:rsidR="00CA4243">
        <w:t>rá</w:t>
      </w:r>
      <w:r>
        <w:t xml:space="preserve"> a e</w:t>
      </w:r>
      <w:r w:rsidR="0081560E">
        <w:t>ll</w:t>
      </w:r>
      <w:r>
        <w:t>o.</w:t>
      </w:r>
    </w:p>
    <w:p w14:paraId="603129A2" w14:textId="72BA89EB" w:rsidR="00A968A1" w:rsidRDefault="00A968A1" w:rsidP="00A968A1">
      <w:r>
        <w:t xml:space="preserve">119. </w:t>
      </w:r>
      <w:r>
        <w:tab/>
      </w:r>
      <w:r w:rsidRPr="0049550D">
        <w:rPr>
          <w:i/>
          <w:iCs/>
        </w:rPr>
        <w:t>Inclus</w:t>
      </w:r>
      <w:r w:rsidR="0081560E">
        <w:rPr>
          <w:i/>
          <w:iCs/>
        </w:rPr>
        <w:t>ive</w:t>
      </w:r>
      <w:r w:rsidRPr="0049550D">
        <w:rPr>
          <w:i/>
          <w:iCs/>
        </w:rPr>
        <w:t xml:space="preserve"> </w:t>
      </w:r>
      <w:r w:rsidR="0088323B">
        <w:rPr>
          <w:i/>
          <w:iCs/>
        </w:rPr>
        <w:t>hasta</w:t>
      </w:r>
      <w:r w:rsidRPr="0049550D">
        <w:rPr>
          <w:i/>
          <w:iCs/>
        </w:rPr>
        <w:t xml:space="preserve"> el mundo </w:t>
      </w:r>
      <w:r w:rsidR="00057BF4" w:rsidRPr="00057BF4">
        <w:rPr>
          <w:i/>
        </w:rPr>
        <w:t>Brahmā</w:t>
      </w:r>
      <w:r>
        <w:t xml:space="preserve">: habiendo hecho </w:t>
      </w:r>
      <w:r w:rsidR="0081560E">
        <w:t xml:space="preserve">como límite </w:t>
      </w:r>
      <w:r>
        <w:t xml:space="preserve">incluso el mundo </w:t>
      </w:r>
      <w:r w:rsidR="00057BF4" w:rsidRPr="00057BF4">
        <w:rPr>
          <w:i/>
        </w:rPr>
        <w:t>Brahmā</w:t>
      </w:r>
      <w:r>
        <w:t>. Ejerce</w:t>
      </w:r>
      <w:r w:rsidR="0081560E">
        <w:t>rá</w:t>
      </w:r>
      <w:r>
        <w:t xml:space="preserve"> dominio corporal: </w:t>
      </w:r>
      <w:r w:rsidR="0081560E">
        <w:t>al respecto</w:t>
      </w:r>
      <w:r>
        <w:t>, ejerce</w:t>
      </w:r>
      <w:r w:rsidR="0081560E">
        <w:t>rá</w:t>
      </w:r>
      <w:r>
        <w:t xml:space="preserve"> dominio propio en el mundo </w:t>
      </w:r>
      <w:r w:rsidR="00057BF4" w:rsidRPr="00057BF4">
        <w:rPr>
          <w:i/>
        </w:rPr>
        <w:t>Brahmā</w:t>
      </w:r>
      <w:r>
        <w:t xml:space="preserve"> por medio del cuerpo. El significado de esto debe</w:t>
      </w:r>
      <w:r w:rsidR="0081560E">
        <w:t>rá</w:t>
      </w:r>
      <w:r>
        <w:t xml:space="preserve"> entenderse de acuerdo con el texto.</w:t>
      </w:r>
    </w:p>
    <w:p w14:paraId="59170AEF" w14:textId="36E6AFBF" w:rsidR="00A968A1" w:rsidRDefault="00A968A1" w:rsidP="00A968A1">
      <w:pPr>
        <w:pStyle w:val="NormalConSangria"/>
      </w:pPr>
      <w:r>
        <w:t xml:space="preserve"> Aquí el texto: “'Él maneja</w:t>
      </w:r>
      <w:r w:rsidR="0003373A">
        <w:t>rá</w:t>
      </w:r>
      <w:r>
        <w:t xml:space="preserve"> el dominio corporal incluso tan </w:t>
      </w:r>
      <w:r w:rsidR="00251E4F">
        <w:t>distantemente</w:t>
      </w:r>
      <w:r>
        <w:t xml:space="preserve"> como el mundo </w:t>
      </w:r>
      <w:r w:rsidR="00057BF4" w:rsidRPr="00057BF4">
        <w:rPr>
          <w:i/>
        </w:rPr>
        <w:t>Brahmā</w:t>
      </w:r>
      <w:r>
        <w:t xml:space="preserve">': si este poseedor de poderes sobrenaturales, habiendo </w:t>
      </w:r>
      <w:r w:rsidR="00251E4F">
        <w:t>desarrollado</w:t>
      </w:r>
      <w:r>
        <w:t xml:space="preserve"> el dominio mental, qui</w:t>
      </w:r>
      <w:r w:rsidR="0003373A">
        <w:t>siera</w:t>
      </w:r>
      <w:r>
        <w:t xml:space="preserve"> ir al mundo </w:t>
      </w:r>
      <w:r w:rsidR="00057BF4" w:rsidRPr="00057BF4">
        <w:rPr>
          <w:i/>
        </w:rPr>
        <w:t>Brahmā</w:t>
      </w:r>
      <w:r>
        <w:t xml:space="preserve">, aunque esté </w:t>
      </w:r>
      <w:r w:rsidR="0003373A">
        <w:t xml:space="preserve">así de </w:t>
      </w:r>
      <w:r>
        <w:t xml:space="preserve">lejos, </w:t>
      </w:r>
      <w:r w:rsidR="000B786B">
        <w:t xml:space="preserve">y </w:t>
      </w:r>
      <w:r>
        <w:t>decid</w:t>
      </w:r>
      <w:r w:rsidR="0003373A">
        <w:t>a</w:t>
      </w:r>
      <w:r>
        <w:t xml:space="preserve"> acercarse, </w:t>
      </w:r>
      <w:r w:rsidR="000B786B">
        <w:t>“</w:t>
      </w:r>
      <w:r>
        <w:t>Qu</w:t>
      </w:r>
      <w:r w:rsidR="000B786B">
        <w:t>é</w:t>
      </w:r>
      <w:r>
        <w:t xml:space="preserve"> </w:t>
      </w:r>
      <w:r w:rsidR="000B786B">
        <w:t>me acerque”</w:t>
      </w:r>
      <w:r>
        <w:t xml:space="preserve">. [402] </w:t>
      </w:r>
      <w:r w:rsidR="000B786B">
        <w:t>Entonces se acercará</w:t>
      </w:r>
      <w:r>
        <w:t>. Aunque est</w:t>
      </w:r>
      <w:r w:rsidR="000B786B">
        <w:t>é</w:t>
      </w:r>
      <w:r>
        <w:t xml:space="preserve"> cerca, </w:t>
      </w:r>
      <w:r w:rsidR="00783C16">
        <w:t xml:space="preserve">si </w:t>
      </w:r>
      <w:r>
        <w:t>decid</w:t>
      </w:r>
      <w:r w:rsidR="00A76796">
        <w:t>iese</w:t>
      </w:r>
      <w:r>
        <w:t xml:space="preserve"> </w:t>
      </w:r>
      <w:r w:rsidR="00A76796">
        <w:t>por la</w:t>
      </w:r>
      <w:r>
        <w:t xml:space="preserve"> lejanía: </w:t>
      </w:r>
      <w:r w:rsidR="00783C16">
        <w:t>“</w:t>
      </w:r>
      <w:r>
        <w:t xml:space="preserve">Que </w:t>
      </w:r>
      <w:r w:rsidR="00783C16">
        <w:t>me aleje”</w:t>
      </w:r>
      <w:r>
        <w:t xml:space="preserve">. </w:t>
      </w:r>
      <w:r w:rsidR="00783C16">
        <w:t>Entonces se alejará</w:t>
      </w:r>
      <w:r>
        <w:t xml:space="preserve">. Aunque </w:t>
      </w:r>
      <w:r w:rsidR="00A76796">
        <w:t xml:space="preserve">haya </w:t>
      </w:r>
      <w:r>
        <w:t>muchos, él decid</w:t>
      </w:r>
      <w:r w:rsidR="00783C16">
        <w:t>irá</w:t>
      </w:r>
      <w:r>
        <w:t xml:space="preserve"> sobre unos pocos, 'Que sean pocos.' </w:t>
      </w:r>
      <w:r w:rsidR="00783C16">
        <w:t>Entonces h</w:t>
      </w:r>
      <w:r>
        <w:t>a</w:t>
      </w:r>
      <w:r w:rsidR="00783C16">
        <w:t>brá</w:t>
      </w:r>
      <w:r>
        <w:t xml:space="preserve"> pocos. Aunque </w:t>
      </w:r>
      <w:r w:rsidR="00783C16">
        <w:t xml:space="preserve">haya </w:t>
      </w:r>
      <w:r>
        <w:t xml:space="preserve">pocos, </w:t>
      </w:r>
      <w:r w:rsidR="00783C16">
        <w:t xml:space="preserve">si </w:t>
      </w:r>
      <w:r>
        <w:t>él decid</w:t>
      </w:r>
      <w:r w:rsidR="00783C16">
        <w:t>iese</w:t>
      </w:r>
      <w:r>
        <w:t xml:space="preserve"> sobre muchos, 'Que haya muchos'. </w:t>
      </w:r>
      <w:r w:rsidR="00783C16">
        <w:t xml:space="preserve">Entonces habrá </w:t>
      </w:r>
      <w:r>
        <w:t>muchos. Con el ojo divino ve</w:t>
      </w:r>
      <w:r w:rsidR="00783C16">
        <w:t>rá</w:t>
      </w:r>
      <w:r>
        <w:t xml:space="preserve"> la forma visible de </w:t>
      </w:r>
      <w:r w:rsidR="007463E8">
        <w:t xml:space="preserve">la </w:t>
      </w:r>
      <w:r>
        <w:t xml:space="preserve">materia </w:t>
      </w:r>
      <w:r w:rsidR="007463E8">
        <w:t>sutil</w:t>
      </w:r>
      <w:r>
        <w:t xml:space="preserve"> de </w:t>
      </w:r>
      <w:r w:rsidR="00E34301">
        <w:t xml:space="preserve">un ser </w:t>
      </w:r>
      <w:r w:rsidR="00057BF4" w:rsidRPr="00057BF4">
        <w:rPr>
          <w:i/>
        </w:rPr>
        <w:t>Brahmā</w:t>
      </w:r>
      <w:r>
        <w:t>. Con el elemento del oído divino escucha</w:t>
      </w:r>
      <w:r w:rsidR="007463E8">
        <w:t>rá</w:t>
      </w:r>
      <w:r>
        <w:t xml:space="preserve"> la voz de </w:t>
      </w:r>
      <w:r w:rsidR="00E34301">
        <w:t xml:space="preserve">un ser </w:t>
      </w:r>
      <w:r w:rsidR="00057BF4" w:rsidRPr="00057BF4">
        <w:rPr>
          <w:i/>
        </w:rPr>
        <w:t>Brahmā</w:t>
      </w:r>
      <w:r>
        <w:t>. Con el conocimiento de la penetración ment</w:t>
      </w:r>
      <w:r w:rsidR="007463E8">
        <w:t>al</w:t>
      </w:r>
      <w:r>
        <w:t>, comprende</w:t>
      </w:r>
      <w:r w:rsidR="007463E8">
        <w:t>rá</w:t>
      </w:r>
      <w:r>
        <w:t xml:space="preserve"> la mente de </w:t>
      </w:r>
      <w:r w:rsidR="00E34301">
        <w:t xml:space="preserve">un ser </w:t>
      </w:r>
      <w:r w:rsidR="00057BF4" w:rsidRPr="00057BF4">
        <w:rPr>
          <w:i/>
        </w:rPr>
        <w:t>Brahmā</w:t>
      </w:r>
      <w:r>
        <w:t>. Si este poseedor de</w:t>
      </w:r>
      <w:r w:rsidR="00C95F54">
        <w:t>l</w:t>
      </w:r>
      <w:r>
        <w:t xml:space="preserve"> poder sobrenatural, habiendo </w:t>
      </w:r>
      <w:r w:rsidR="00C95F54">
        <w:t>desarrollado</w:t>
      </w:r>
      <w:r>
        <w:t xml:space="preserve"> el dominio mental, qui</w:t>
      </w:r>
      <w:r w:rsidR="007463E8">
        <w:t>siera</w:t>
      </w:r>
      <w:r>
        <w:t xml:space="preserve"> ir al mundo </w:t>
      </w:r>
      <w:r w:rsidR="00057BF4" w:rsidRPr="00057BF4">
        <w:rPr>
          <w:i/>
        </w:rPr>
        <w:t>Brahmā</w:t>
      </w:r>
      <w:r>
        <w:t xml:space="preserve"> con un cuerpo visible, convert</w:t>
      </w:r>
      <w:r w:rsidR="007463E8">
        <w:t>irá</w:t>
      </w:r>
      <w:r>
        <w:t xml:space="preserve"> su mente para que esté de acuerdo con su cuerpo, </w:t>
      </w:r>
      <w:r w:rsidR="00E34301">
        <w:t xml:space="preserve">resolverá </w:t>
      </w:r>
      <w:r>
        <w:t>que su mente esté de acuerdo con su cuerpo. Habiendo convertido su mente para estar de acuerdo con su cuerpo, resolviendo su mente de acuerdo con su cuerpo, llega</w:t>
      </w:r>
      <w:r w:rsidR="0082189F">
        <w:t>rá</w:t>
      </w:r>
      <w:r>
        <w:t xml:space="preserve"> a la percepción </w:t>
      </w:r>
      <w:r w:rsidR="00C95F54">
        <w:t xml:space="preserve">de la </w:t>
      </w:r>
      <w:r w:rsidR="00B77590">
        <w:t>felicidad</w:t>
      </w:r>
      <w:r>
        <w:t xml:space="preserve"> (fácil) y</w:t>
      </w:r>
      <w:r w:rsidR="00A252F8">
        <w:t xml:space="preserve"> </w:t>
      </w:r>
      <w:r>
        <w:t xml:space="preserve">a la percepción </w:t>
      </w:r>
      <w:r w:rsidR="00E45A34">
        <w:t xml:space="preserve">de </w:t>
      </w:r>
      <w:r>
        <w:t>liger</w:t>
      </w:r>
      <w:r w:rsidR="00E45A34">
        <w:t>eza</w:t>
      </w:r>
      <w:r>
        <w:t xml:space="preserve"> (rápida), </w:t>
      </w:r>
      <w:r w:rsidR="0081629D">
        <w:t xml:space="preserve">y se dirigirá </w:t>
      </w:r>
      <w:r>
        <w:t xml:space="preserve">al mundo </w:t>
      </w:r>
      <w:r w:rsidR="00057BF4" w:rsidRPr="00057BF4">
        <w:rPr>
          <w:i/>
        </w:rPr>
        <w:t>Brahmā</w:t>
      </w:r>
      <w:r>
        <w:t xml:space="preserve"> con un cuerpo visible. Si este poseedor de</w:t>
      </w:r>
      <w:r w:rsidR="0081629D">
        <w:t>l</w:t>
      </w:r>
      <w:r>
        <w:t xml:space="preserve"> poder sobrenatural, habiendo alcanzado el dominio mental, </w:t>
      </w:r>
      <w:r w:rsidR="00A252F8">
        <w:t xml:space="preserve">quisiera </w:t>
      </w:r>
      <w:r>
        <w:t xml:space="preserve">ir al mundo </w:t>
      </w:r>
      <w:r w:rsidR="00A252F8">
        <w:rPr>
          <w:i/>
          <w:iCs/>
        </w:rPr>
        <w:t>Brahmā</w:t>
      </w:r>
      <w:r>
        <w:t xml:space="preserve"> con un cuerpo invisible, convert</w:t>
      </w:r>
      <w:r w:rsidR="00A252F8">
        <w:t>irá</w:t>
      </w:r>
      <w:r>
        <w:t xml:space="preserve"> su cuerpo para que esté de acuerdo con su mente, res</w:t>
      </w:r>
      <w:r w:rsidR="00A252F8">
        <w:t>olve</w:t>
      </w:r>
      <w:r w:rsidR="0026659F">
        <w:t>rá</w:t>
      </w:r>
      <w:r>
        <w:t xml:space="preserve"> su cuerpo para que esté de acuerdo con su mente. Habiendo convertido su cuerpo de acuerdo con su mente, </w:t>
      </w:r>
      <w:r w:rsidR="0026659F">
        <w:t xml:space="preserve">resolverá </w:t>
      </w:r>
      <w:r>
        <w:t>su cuerpo de acuerdo con su mente, llega</w:t>
      </w:r>
      <w:r w:rsidR="0026659F">
        <w:t>rá</w:t>
      </w:r>
      <w:r>
        <w:t xml:space="preserve"> a la percepción </w:t>
      </w:r>
      <w:r w:rsidR="001E2C61">
        <w:t xml:space="preserve">de la </w:t>
      </w:r>
      <w:r w:rsidR="00941DB5">
        <w:t>felicidad</w:t>
      </w:r>
      <w:r>
        <w:t xml:space="preserve"> (fácil) y</w:t>
      </w:r>
      <w:r w:rsidR="0026659F">
        <w:t xml:space="preserve"> </w:t>
      </w:r>
      <w:r>
        <w:t xml:space="preserve">a la percepción ligera (rápida), </w:t>
      </w:r>
      <w:r w:rsidR="0026659F">
        <w:t xml:space="preserve">e </w:t>
      </w:r>
      <w:r w:rsidR="001E2C61">
        <w:t>acud</w:t>
      </w:r>
      <w:r w:rsidR="0026659F">
        <w:t xml:space="preserve">irá </w:t>
      </w:r>
      <w:r>
        <w:t xml:space="preserve">al mundo </w:t>
      </w:r>
      <w:r w:rsidR="00057BF4" w:rsidRPr="00057BF4">
        <w:rPr>
          <w:i/>
        </w:rPr>
        <w:t>Brahmā</w:t>
      </w:r>
      <w:r>
        <w:t xml:space="preserve"> con un cuerpo invisible. Él crea</w:t>
      </w:r>
      <w:r w:rsidR="0026659F">
        <w:t>rá</w:t>
      </w:r>
      <w:r>
        <w:t xml:space="preserve"> una forma visible de </w:t>
      </w:r>
      <w:r w:rsidR="0026659F">
        <w:t xml:space="preserve">la </w:t>
      </w:r>
      <w:r>
        <w:t xml:space="preserve">materia </w:t>
      </w:r>
      <w:r w:rsidR="0026659F">
        <w:t xml:space="preserve">sutil </w:t>
      </w:r>
      <w:r>
        <w:t xml:space="preserve">ante </w:t>
      </w:r>
      <w:r w:rsidR="0026659F">
        <w:t xml:space="preserve">un ser </w:t>
      </w:r>
      <w:r w:rsidR="00057BF4" w:rsidRPr="00057BF4">
        <w:rPr>
          <w:i/>
        </w:rPr>
        <w:t>Brahmā</w:t>
      </w:r>
      <w:r>
        <w:t>, hecha por la mente con todos sus miembros, sin ninguna facultad. Si ese poseedor de poderes sobrenaturales camina</w:t>
      </w:r>
      <w:r w:rsidR="00612671">
        <w:t>se</w:t>
      </w:r>
      <w:r>
        <w:t xml:space="preserve"> </w:t>
      </w:r>
      <w:r w:rsidR="00612671">
        <w:t xml:space="preserve">de </w:t>
      </w:r>
      <w:r>
        <w:t xml:space="preserve">arriba </w:t>
      </w:r>
      <w:r w:rsidR="00612671">
        <w:t>hacia</w:t>
      </w:r>
      <w:r>
        <w:t xml:space="preserve"> abajo,</w:t>
      </w:r>
      <w:r w:rsidR="00066345" w:rsidRPr="00066345">
        <w:t xml:space="preserve"> </w:t>
      </w:r>
      <w:r w:rsidR="00066345">
        <w:t>la creación también irá de</w:t>
      </w:r>
      <w:r w:rsidR="001E2C61" w:rsidRPr="001E2C61">
        <w:t xml:space="preserve"> </w:t>
      </w:r>
      <w:r w:rsidR="001E2C61">
        <w:t>arriba hacia abajo. Si ese poseedor de poderes</w:t>
      </w:r>
    </w:p>
    <w:p w14:paraId="640B5FEB" w14:textId="4001F95C" w:rsidR="00A968A1" w:rsidRPr="00A968A1" w:rsidRDefault="00A968A1" w:rsidP="00A968A1">
      <w:pPr>
        <w:pStyle w:val="PiedepginaLegal"/>
        <w:rPr>
          <w:u w:val="single"/>
        </w:rPr>
      </w:pPr>
      <w:r w:rsidRPr="00A968A1">
        <w:rPr>
          <w:u w:val="single"/>
        </w:rPr>
        <w:t xml:space="preserve">                                                                                                                                                       .</w:t>
      </w:r>
    </w:p>
    <w:p w14:paraId="236BA632" w14:textId="77777777" w:rsidR="00A968A1" w:rsidRDefault="00A968A1" w:rsidP="00A968A1">
      <w:pPr>
        <w:pStyle w:val="PiedepginaLegal"/>
      </w:pPr>
      <w:r>
        <w:t>…</w:t>
      </w:r>
    </w:p>
    <w:p w14:paraId="4874CE2F" w14:textId="70689926" w:rsidR="00B603CC" w:rsidRDefault="00A968A1" w:rsidP="00A968A1">
      <w:pPr>
        <w:pStyle w:val="PiedepginaLegal"/>
      </w:pPr>
      <w:r>
        <w:tab/>
      </w:r>
      <w:r w:rsidR="002D19D0">
        <w:t>tomar</w:t>
      </w:r>
      <w:r w:rsidR="008958F9">
        <w:t>lo</w:t>
      </w:r>
      <w:r>
        <w:t xml:space="preserve"> como una </w:t>
      </w:r>
      <w:r w:rsidR="00C53357">
        <w:t>extensión</w:t>
      </w:r>
      <w:r>
        <w:t xml:space="preserve"> de e</w:t>
      </w:r>
      <w:r w:rsidR="008958F9">
        <w:t>ll</w:t>
      </w:r>
      <w:r>
        <w:t xml:space="preserve">o tampoco </w:t>
      </w:r>
      <w:r w:rsidR="00104466">
        <w:t xml:space="preserve">será </w:t>
      </w:r>
      <w:r>
        <w:t xml:space="preserve">correcto. En consecuencia, la </w:t>
      </w:r>
      <w:r w:rsidR="006E2B4B">
        <w:t xml:space="preserve">extensión </w:t>
      </w:r>
      <w:r>
        <w:t>debe</w:t>
      </w:r>
      <w:r w:rsidR="008958F9">
        <w:t>rá</w:t>
      </w:r>
      <w:r>
        <w:t xml:space="preserve"> entenderse sólo en la forma enunciada. Aunque </w:t>
      </w:r>
      <w:r w:rsidR="00C967F0">
        <w:t>e</w:t>
      </w:r>
      <w:r>
        <w:t xml:space="preserve">l </w:t>
      </w:r>
      <w:r w:rsidR="008958F9">
        <w:t xml:space="preserve">apegarse </w:t>
      </w:r>
      <w:r>
        <w:t xml:space="preserve">y </w:t>
      </w:r>
      <w:r w:rsidR="00C967F0">
        <w:t>e</w:t>
      </w:r>
      <w:r>
        <w:t xml:space="preserve">l desapegarse se presenten, por así decirlo, mezclados en una sola continuidad, </w:t>
      </w:r>
      <w:r w:rsidR="00C967F0">
        <w:t>no obstante</w:t>
      </w:r>
      <w:r>
        <w:t>, no est</w:t>
      </w:r>
      <w:r w:rsidR="00C967F0">
        <w:t>ar</w:t>
      </w:r>
      <w:r>
        <w:t>án mezclados en significado. Aquí, al igual que cuando se vierte una pinta (</w:t>
      </w:r>
      <w:proofErr w:type="spellStart"/>
      <w:r w:rsidRPr="0049550D">
        <w:rPr>
          <w:i/>
          <w:iCs/>
        </w:rPr>
        <w:t>āḷhaka</w:t>
      </w:r>
      <w:proofErr w:type="spellEnd"/>
      <w:r>
        <w:t xml:space="preserve">) de leche en una cantidad de pintas de agua, aunque la leche se mezcle completamente con el agua y esté presente de manera apreciable </w:t>
      </w:r>
      <w:r w:rsidR="00746FCA">
        <w:t>por</w:t>
      </w:r>
      <w:r>
        <w:t xml:space="preserve"> todos, no </w:t>
      </w:r>
      <w:r w:rsidR="00746FCA">
        <w:t xml:space="preserve">será, </w:t>
      </w:r>
      <w:r>
        <w:t>sin embargo</w:t>
      </w:r>
      <w:r w:rsidR="00746FCA">
        <w:t>,</w:t>
      </w:r>
      <w:r>
        <w:t xml:space="preserve"> la leche la que ha</w:t>
      </w:r>
      <w:r w:rsidR="00746FCA">
        <w:t>ya</w:t>
      </w:r>
      <w:r>
        <w:t xml:space="preserve"> aumentado</w:t>
      </w:r>
      <w:r w:rsidR="00746FCA">
        <w:t>,</w:t>
      </w:r>
      <w:r>
        <w:t xml:space="preserve"> </w:t>
      </w:r>
      <w:r w:rsidR="00746FCA">
        <w:t>sino</w:t>
      </w:r>
      <w:r>
        <w:t xml:space="preserve"> sólo el agua. Y así también, aunque el </w:t>
      </w:r>
      <w:r w:rsidR="002C7352">
        <w:t xml:space="preserve">apegarse </w:t>
      </w:r>
      <w:r>
        <w:t>y el desapega</w:t>
      </w:r>
      <w:r w:rsidR="002C7352">
        <w:t>rse</w:t>
      </w:r>
      <w:r>
        <w:t xml:space="preserve"> se presenten mezclados, no </w:t>
      </w:r>
      <w:r w:rsidR="002C7352">
        <w:t xml:space="preserve">será, </w:t>
      </w:r>
      <w:r>
        <w:t>sin embargo</w:t>
      </w:r>
      <w:r w:rsidR="002C7352">
        <w:t>,</w:t>
      </w:r>
      <w:r>
        <w:t xml:space="preserve"> el </w:t>
      </w:r>
      <w:r w:rsidR="002C7352">
        <w:t xml:space="preserve">apegarse </w:t>
      </w:r>
      <w:r>
        <w:t xml:space="preserve">lo que se </w:t>
      </w:r>
      <w:r w:rsidR="00B8230F">
        <w:t>extienda</w:t>
      </w:r>
      <w:r>
        <w:t>. Debe</w:t>
      </w:r>
      <w:r w:rsidR="00966450">
        <w:t>rá</w:t>
      </w:r>
      <w:r>
        <w:t xml:space="preserve"> </w:t>
      </w:r>
      <w:r w:rsidR="00966450">
        <w:t xml:space="preserve">adoptarse </w:t>
      </w:r>
      <w:r>
        <w:t xml:space="preserve">que es la materia </w:t>
      </w:r>
      <w:r w:rsidR="00966450">
        <w:t xml:space="preserve">surgida </w:t>
      </w:r>
      <w:r>
        <w:t xml:space="preserve">de la </w:t>
      </w:r>
      <w:r w:rsidR="00305E12">
        <w:t>consciencia</w:t>
      </w:r>
      <w:r>
        <w:t xml:space="preserve"> la que se agranda</w:t>
      </w:r>
      <w:r w:rsidR="00966450">
        <w:t>rá</w:t>
      </w:r>
      <w:r>
        <w:t xml:space="preserve"> </w:t>
      </w:r>
      <w:r w:rsidR="00966450">
        <w:t xml:space="preserve">mediante </w:t>
      </w:r>
      <w:r>
        <w:t xml:space="preserve">la influencia del poder sobrenatural, y </w:t>
      </w:r>
      <w:r w:rsidR="0010662A">
        <w:t xml:space="preserve">lo surgido </w:t>
      </w:r>
      <w:r>
        <w:t xml:space="preserve">de la temperatura </w:t>
      </w:r>
      <w:r w:rsidR="00FC2418">
        <w:t>corresponderá a</w:t>
      </w:r>
      <w:r w:rsidR="00B8230F">
        <w:t xml:space="preserve"> </w:t>
      </w:r>
      <w:r w:rsidR="000B4325">
        <w:t xml:space="preserve">lo que </w:t>
      </w:r>
      <w:r>
        <w:t xml:space="preserve">se </w:t>
      </w:r>
      <w:r w:rsidR="000B4325">
        <w:t>ext</w:t>
      </w:r>
      <w:r w:rsidR="00FC2418">
        <w:t>ienda</w:t>
      </w:r>
      <w:r w:rsidR="000B4325">
        <w:t xml:space="preserve"> </w:t>
      </w:r>
      <w:proofErr w:type="spellStart"/>
      <w:r w:rsidRPr="0049550D">
        <w:rPr>
          <w:i/>
          <w:iCs/>
        </w:rPr>
        <w:t>pari</w:t>
      </w:r>
      <w:proofErr w:type="spellEnd"/>
      <w:r w:rsidRPr="0049550D">
        <w:rPr>
          <w:i/>
          <w:iCs/>
        </w:rPr>
        <w:t xml:space="preserve"> </w:t>
      </w:r>
      <w:proofErr w:type="spellStart"/>
      <w:r w:rsidRPr="0049550D">
        <w:rPr>
          <w:i/>
          <w:iCs/>
        </w:rPr>
        <w:t>passu</w:t>
      </w:r>
      <w:proofErr w:type="spellEnd"/>
      <w:r>
        <w:t>” (</w:t>
      </w:r>
      <w:proofErr w:type="spellStart"/>
      <w:r>
        <w:t>Vism-mhṭ</w:t>
      </w:r>
      <w:proofErr w:type="spellEnd"/>
      <w:r>
        <w:t xml:space="preserve"> 395).</w:t>
      </w:r>
    </w:p>
    <w:p w14:paraId="01929DBF" w14:textId="77777777" w:rsidR="00B603CC" w:rsidRDefault="00B603CC">
      <w:pPr>
        <w:tabs>
          <w:tab w:val="clear" w:pos="425"/>
        </w:tabs>
        <w:spacing w:after="160"/>
      </w:pPr>
      <w:r>
        <w:br w:type="page"/>
      </w:r>
    </w:p>
    <w:p w14:paraId="37DEC4E8" w14:textId="77777777" w:rsidR="00B603CC" w:rsidRDefault="00B603CC" w:rsidP="00B603CC"/>
    <w:p w14:paraId="2F816307" w14:textId="73FBDAD3" w:rsidR="00E52679" w:rsidRDefault="00E52679" w:rsidP="00E52679">
      <w:r>
        <w:t>sobrenaturales se para</w:t>
      </w:r>
      <w:r w:rsidR="00066345">
        <w:t>se</w:t>
      </w:r>
      <w:r>
        <w:t>... se senta</w:t>
      </w:r>
      <w:r w:rsidR="00066345">
        <w:t>se</w:t>
      </w:r>
      <w:r>
        <w:t xml:space="preserve">... se </w:t>
      </w:r>
      <w:r w:rsidR="00066345">
        <w:t>re</w:t>
      </w:r>
      <w:r>
        <w:t>c</w:t>
      </w:r>
      <w:r w:rsidR="00066345">
        <w:t>o</w:t>
      </w:r>
      <w:r>
        <w:t>sta</w:t>
      </w:r>
      <w:r w:rsidR="00066345">
        <w:t>se</w:t>
      </w:r>
      <w:r>
        <w:t xml:space="preserve">, la creación también se </w:t>
      </w:r>
      <w:r w:rsidR="00066345">
        <w:t>recostará en su lugar</w:t>
      </w:r>
      <w:r>
        <w:t>. Si ese poseedor de</w:t>
      </w:r>
      <w:r w:rsidR="001E2C61">
        <w:t>l</w:t>
      </w:r>
      <w:r>
        <w:t xml:space="preserve"> poder sobrenatural produ</w:t>
      </w:r>
      <w:r w:rsidR="00066345">
        <w:t>jese</w:t>
      </w:r>
      <w:r>
        <w:t xml:space="preserve"> humo... produ</w:t>
      </w:r>
      <w:r w:rsidR="00066345">
        <w:t>jese</w:t>
      </w:r>
      <w:r>
        <w:t xml:space="preserve"> llamas... predica</w:t>
      </w:r>
      <w:r w:rsidR="00066345">
        <w:t>se</w:t>
      </w:r>
      <w:r>
        <w:t xml:space="preserve"> el </w:t>
      </w:r>
      <w:r w:rsidR="00057BF4" w:rsidRPr="00057BF4">
        <w:rPr>
          <w:i/>
        </w:rPr>
        <w:t>Dhamma</w:t>
      </w:r>
      <w:r>
        <w:t>... h</w:t>
      </w:r>
      <w:r w:rsidR="00066345">
        <w:t>iciese</w:t>
      </w:r>
      <w:r>
        <w:t xml:space="preserve"> una pregunta... cuando se le </w:t>
      </w:r>
      <w:r w:rsidR="00DA7615">
        <w:t>hiciese</w:t>
      </w:r>
      <w:r>
        <w:t xml:space="preserve"> una pregunta, respond</w:t>
      </w:r>
      <w:r w:rsidR="00066345">
        <w:t>iese</w:t>
      </w:r>
      <w:r>
        <w:t xml:space="preserve">, </w:t>
      </w:r>
      <w:r w:rsidR="00892E5E">
        <w:t xml:space="preserve">entonces </w:t>
      </w:r>
      <w:r>
        <w:t>la creación, cuando se le h</w:t>
      </w:r>
      <w:r w:rsidR="000C2424">
        <w:t>i</w:t>
      </w:r>
      <w:r>
        <w:t>c</w:t>
      </w:r>
      <w:r w:rsidR="000C2424">
        <w:t>iese</w:t>
      </w:r>
      <w:r>
        <w:t xml:space="preserve"> </w:t>
      </w:r>
      <w:r w:rsidR="00892E5E">
        <w:t>una</w:t>
      </w:r>
      <w:r w:rsidR="000C2424">
        <w:t xml:space="preserve"> </w:t>
      </w:r>
      <w:r>
        <w:t xml:space="preserve">pregunta, también </w:t>
      </w:r>
      <w:r w:rsidR="000C2424">
        <w:t xml:space="preserve">la </w:t>
      </w:r>
      <w:r>
        <w:t>responde</w:t>
      </w:r>
      <w:r w:rsidR="000C2424">
        <w:t>rá</w:t>
      </w:r>
      <w:r>
        <w:t xml:space="preserve">. Si ese poseedor de poder sobrenatural </w:t>
      </w:r>
      <w:r w:rsidR="00892E5E">
        <w:t xml:space="preserve">estuviese con </w:t>
      </w:r>
      <w:r>
        <w:t xml:space="preserve">ese </w:t>
      </w:r>
      <w:r w:rsidR="00057BF4" w:rsidRPr="00057BF4">
        <w:rPr>
          <w:i/>
        </w:rPr>
        <w:t>Brahmā</w:t>
      </w:r>
      <w:r>
        <w:t>, conversa</w:t>
      </w:r>
      <w:r w:rsidR="00892E5E">
        <w:t>se</w:t>
      </w:r>
      <w:r>
        <w:t>, entra</w:t>
      </w:r>
      <w:r w:rsidR="00892E5E">
        <w:t>se</w:t>
      </w:r>
      <w:r>
        <w:t xml:space="preserve"> en comunicación con ese </w:t>
      </w:r>
      <w:r w:rsidR="00057BF4" w:rsidRPr="00057BF4">
        <w:rPr>
          <w:i/>
        </w:rPr>
        <w:t>Brahmā</w:t>
      </w:r>
      <w:r>
        <w:t xml:space="preserve">, la creación </w:t>
      </w:r>
      <w:r w:rsidR="00E32013">
        <w:t>también estará</w:t>
      </w:r>
      <w:r>
        <w:t xml:space="preserve"> con ese </w:t>
      </w:r>
      <w:r w:rsidR="00057BF4" w:rsidRPr="00057BF4">
        <w:rPr>
          <w:i/>
        </w:rPr>
        <w:t>Brahmā</w:t>
      </w:r>
      <w:r>
        <w:t>, conversa</w:t>
      </w:r>
      <w:r w:rsidR="00E32013">
        <w:t>rá</w:t>
      </w:r>
      <w:r>
        <w:t>, entra</w:t>
      </w:r>
      <w:r w:rsidR="00E32013">
        <w:t>rá</w:t>
      </w:r>
      <w:r>
        <w:t xml:space="preserve"> </w:t>
      </w:r>
      <w:r w:rsidR="00E32013">
        <w:t xml:space="preserve">también </w:t>
      </w:r>
      <w:r>
        <w:t xml:space="preserve">en comunicación con ese </w:t>
      </w:r>
      <w:r w:rsidR="00057BF4" w:rsidRPr="00057BF4">
        <w:rPr>
          <w:i/>
        </w:rPr>
        <w:t>Brahmā</w:t>
      </w:r>
      <w:r>
        <w:t>. Cualquier cosa que haga ese poseedor de poder sobrenatural, la creación ha</w:t>
      </w:r>
      <w:r w:rsidR="00E32013">
        <w:t>rá</w:t>
      </w:r>
      <w:r>
        <w:t xml:space="preserve"> lo mismo’” (</w:t>
      </w:r>
      <w:proofErr w:type="spellStart"/>
      <w:r w:rsidRPr="0049550D">
        <w:rPr>
          <w:i/>
          <w:iCs/>
        </w:rPr>
        <w:t>Paṭis</w:t>
      </w:r>
      <w:proofErr w:type="spellEnd"/>
      <w:r>
        <w:t xml:space="preserve"> II 209).</w:t>
      </w:r>
    </w:p>
    <w:p w14:paraId="11C0D704" w14:textId="2B4FEBB9" w:rsidR="00E52679" w:rsidRDefault="00E52679" w:rsidP="00E52679">
      <w:r>
        <w:t xml:space="preserve">120. </w:t>
      </w:r>
      <w:r>
        <w:tab/>
        <w:t xml:space="preserve">Aquí, </w:t>
      </w:r>
      <w:r w:rsidRPr="0049550D">
        <w:rPr>
          <w:i/>
          <w:iCs/>
        </w:rPr>
        <w:t xml:space="preserve">aunque lejos, </w:t>
      </w:r>
      <w:r w:rsidR="0065669E">
        <w:rPr>
          <w:i/>
          <w:iCs/>
        </w:rPr>
        <w:t>determinará</w:t>
      </w:r>
      <w:r w:rsidRPr="0049550D">
        <w:rPr>
          <w:i/>
          <w:iCs/>
        </w:rPr>
        <w:t xml:space="preserve"> la cercanía:</w:t>
      </w:r>
      <w:r>
        <w:t xml:space="preserve"> habiendo emergido del </w:t>
      </w:r>
      <w:proofErr w:type="spellStart"/>
      <w:r w:rsidR="00057BF4" w:rsidRPr="00057BF4">
        <w:rPr>
          <w:i/>
          <w:iCs/>
        </w:rPr>
        <w:t>jhāna</w:t>
      </w:r>
      <w:proofErr w:type="spellEnd"/>
      <w:r>
        <w:t xml:space="preserve"> básico, advert</w:t>
      </w:r>
      <w:r w:rsidR="0065669E">
        <w:t>irá</w:t>
      </w:r>
      <w:r>
        <w:t xml:space="preserve"> a un mundo lejano de los dioses o al mundo </w:t>
      </w:r>
      <w:r w:rsidR="00057BF4" w:rsidRPr="00057BF4">
        <w:rPr>
          <w:i/>
        </w:rPr>
        <w:t>Brahmā</w:t>
      </w:r>
      <w:r>
        <w:t xml:space="preserve"> </w:t>
      </w:r>
      <w:r w:rsidR="0065669E">
        <w:t>así</w:t>
      </w:r>
      <w:r>
        <w:t>, “Qu</w:t>
      </w:r>
      <w:r w:rsidR="0065669E">
        <w:t>é</w:t>
      </w:r>
      <w:r>
        <w:t xml:space="preserve"> esté cerca”. Habiendo advertido y hecho el trabajo preliminar, </w:t>
      </w:r>
      <w:r w:rsidR="00B5372F">
        <w:t xml:space="preserve">lo </w:t>
      </w:r>
      <w:r>
        <w:t>alcanza</w:t>
      </w:r>
      <w:r w:rsidR="0065669E">
        <w:t>rá</w:t>
      </w:r>
      <w:r>
        <w:t xml:space="preserve"> de nuevo, y luego </w:t>
      </w:r>
      <w:r w:rsidR="0065669E">
        <w:t xml:space="preserve">resolverá </w:t>
      </w:r>
      <w:r>
        <w:t>con conocimiento: “Qu</w:t>
      </w:r>
      <w:r w:rsidR="0065669E">
        <w:t>é</w:t>
      </w:r>
      <w:r>
        <w:t xml:space="preserve"> esté cerca”. </w:t>
      </w:r>
      <w:r w:rsidR="00AC11F8">
        <w:t>Entonces s</w:t>
      </w:r>
      <w:r>
        <w:t xml:space="preserve">e </w:t>
      </w:r>
      <w:r w:rsidR="00EE4456">
        <w:t xml:space="preserve">hará </w:t>
      </w:r>
      <w:r>
        <w:t>cercano. El mismo método de explicación se aplica</w:t>
      </w:r>
      <w:r w:rsidR="00EE4456">
        <w:t>rá</w:t>
      </w:r>
      <w:r>
        <w:t xml:space="preserve"> </w:t>
      </w:r>
      <w:r w:rsidR="00EE4456">
        <w:t xml:space="preserve">también </w:t>
      </w:r>
      <w:r>
        <w:t>a las otras cláusulas.</w:t>
      </w:r>
    </w:p>
    <w:p w14:paraId="2E057544" w14:textId="4E868002" w:rsidR="00E52679" w:rsidRDefault="00E52679" w:rsidP="00E52679">
      <w:r>
        <w:t xml:space="preserve">121. </w:t>
      </w:r>
      <w:r>
        <w:tab/>
      </w:r>
      <w:r w:rsidR="00EE4456">
        <w:t>Al respecto</w:t>
      </w:r>
      <w:r>
        <w:t xml:space="preserve">, ¿quién </w:t>
      </w:r>
      <w:r w:rsidR="001C5A2C">
        <w:t>hizo que</w:t>
      </w:r>
      <w:r>
        <w:t xml:space="preserve"> lo que est</w:t>
      </w:r>
      <w:r w:rsidR="001C5A2C">
        <w:t>uviese</w:t>
      </w:r>
      <w:r>
        <w:t xml:space="preserve"> lejos </w:t>
      </w:r>
      <w:r w:rsidR="001C5A2C">
        <w:t xml:space="preserve">estuviese </w:t>
      </w:r>
      <w:r>
        <w:t xml:space="preserve">cerca? El </w:t>
      </w:r>
      <w:r w:rsidR="001C5A2C" w:rsidRPr="001C5A2C">
        <w:rPr>
          <w:i/>
          <w:iCs/>
        </w:rPr>
        <w:t>Bhagavā</w:t>
      </w:r>
      <w:r>
        <w:t xml:space="preserve">. </w:t>
      </w:r>
      <w:r w:rsidR="001C5A2C">
        <w:t xml:space="preserve">Ya </w:t>
      </w:r>
      <w:r>
        <w:t xml:space="preserve">que cuando el </w:t>
      </w:r>
      <w:r w:rsidR="001C5A2C" w:rsidRPr="001C5A2C">
        <w:rPr>
          <w:i/>
          <w:iCs/>
        </w:rPr>
        <w:t>Bhagavā</w:t>
      </w:r>
      <w:r w:rsidR="001C5A2C">
        <w:t xml:space="preserve"> fue </w:t>
      </w:r>
      <w:r>
        <w:t xml:space="preserve">al mundo divino después del Milagro Gemelo, hizo que </w:t>
      </w:r>
      <w:proofErr w:type="spellStart"/>
      <w:r>
        <w:t>Yugandhara</w:t>
      </w:r>
      <w:proofErr w:type="spellEnd"/>
      <w:r>
        <w:t xml:space="preserve"> y </w:t>
      </w:r>
      <w:proofErr w:type="spellStart"/>
      <w:r>
        <w:t>Sineru</w:t>
      </w:r>
      <w:proofErr w:type="spellEnd"/>
      <w:r>
        <w:t xml:space="preserve"> se acercaran, y desde la superficie de la tierra puso un pie [403] sobre </w:t>
      </w:r>
      <w:proofErr w:type="spellStart"/>
      <w:r w:rsidRPr="00F53D34">
        <w:rPr>
          <w:i/>
          <w:iCs/>
        </w:rPr>
        <w:t>Yugandhara</w:t>
      </w:r>
      <w:proofErr w:type="spellEnd"/>
      <w:r>
        <w:t xml:space="preserve">, y luego puso el otro </w:t>
      </w:r>
      <w:r w:rsidR="00F53D34">
        <w:t xml:space="preserve">sobre </w:t>
      </w:r>
      <w:r>
        <w:t xml:space="preserve">la cima de </w:t>
      </w:r>
      <w:proofErr w:type="spellStart"/>
      <w:r w:rsidRPr="00F53D34">
        <w:rPr>
          <w:i/>
          <w:iCs/>
        </w:rPr>
        <w:t>Sineru</w:t>
      </w:r>
      <w:proofErr w:type="spellEnd"/>
      <w:r>
        <w:t>.</w:t>
      </w:r>
    </w:p>
    <w:p w14:paraId="2270901D" w14:textId="5AB8FA1E" w:rsidR="00E52679" w:rsidRDefault="00E52679" w:rsidP="00E52679">
      <w:r>
        <w:t xml:space="preserve">122. </w:t>
      </w:r>
      <w:r>
        <w:tab/>
        <w:t xml:space="preserve">¿Quién más lo </w:t>
      </w:r>
      <w:r w:rsidR="001C5A2C">
        <w:t>hizo</w:t>
      </w:r>
      <w:r>
        <w:t xml:space="preserve">? El </w:t>
      </w:r>
      <w:r w:rsidR="001C5A2C">
        <w:t xml:space="preserve">Venerable </w:t>
      </w:r>
      <w:r>
        <w:t xml:space="preserve">Mahā Moggallāna. Porque cuando el </w:t>
      </w:r>
      <w:r w:rsidR="001C5A2C">
        <w:t xml:space="preserve">Venerable </w:t>
      </w:r>
      <w:r>
        <w:t xml:space="preserve">se </w:t>
      </w:r>
      <w:r w:rsidR="00632A11">
        <w:t xml:space="preserve">retiraba </w:t>
      </w:r>
      <w:r>
        <w:t xml:space="preserve">de </w:t>
      </w:r>
      <w:proofErr w:type="spellStart"/>
      <w:r>
        <w:t>Sāvatthī</w:t>
      </w:r>
      <w:proofErr w:type="spellEnd"/>
      <w:r>
        <w:t xml:space="preserve"> después de terminar su comida, </w:t>
      </w:r>
      <w:r w:rsidR="009E3A55">
        <w:t>redujo</w:t>
      </w:r>
      <w:r>
        <w:t xml:space="preserve"> </w:t>
      </w:r>
      <w:r w:rsidR="00F53D34">
        <w:t>un</w:t>
      </w:r>
      <w:r>
        <w:t xml:space="preserve">a </w:t>
      </w:r>
      <w:r w:rsidR="009E3A55">
        <w:t xml:space="preserve">longitud </w:t>
      </w:r>
      <w:r>
        <w:t xml:space="preserve">de doce leguas y el camino de treinta leguas hasta la ciudad de </w:t>
      </w:r>
      <w:proofErr w:type="spellStart"/>
      <w:r>
        <w:t>Saṅkassa</w:t>
      </w:r>
      <w:proofErr w:type="spellEnd"/>
      <w:r>
        <w:t xml:space="preserve">, y llegó </w:t>
      </w:r>
      <w:r w:rsidR="00FF5AF3">
        <w:t>al ins</w:t>
      </w:r>
      <w:r w:rsidR="00E06E53">
        <w:t>tante</w:t>
      </w:r>
      <w:r>
        <w:t>.</w:t>
      </w:r>
    </w:p>
    <w:p w14:paraId="53557D47" w14:textId="4BA6F7A2" w:rsidR="00E52679" w:rsidRDefault="00E52679" w:rsidP="00E52679">
      <w:r>
        <w:t xml:space="preserve">123. </w:t>
      </w:r>
      <w:r>
        <w:tab/>
        <w:t xml:space="preserve">Además, el </w:t>
      </w:r>
      <w:r w:rsidR="00E06E53">
        <w:t xml:space="preserve">Venerable </w:t>
      </w:r>
      <w:proofErr w:type="spellStart"/>
      <w:r>
        <w:t>Cūḷa</w:t>
      </w:r>
      <w:proofErr w:type="spellEnd"/>
      <w:r>
        <w:t xml:space="preserve"> </w:t>
      </w:r>
      <w:proofErr w:type="spellStart"/>
      <w:r>
        <w:t>Samudda</w:t>
      </w:r>
      <w:proofErr w:type="spellEnd"/>
      <w:r>
        <w:t xml:space="preserve"> también lo hizo en la isla </w:t>
      </w:r>
      <w:proofErr w:type="spellStart"/>
      <w:r>
        <w:t>Tambapaṇṇi</w:t>
      </w:r>
      <w:proofErr w:type="spellEnd"/>
      <w:r>
        <w:t xml:space="preserve">. Durante un tiempo de escasez, al parecer, setecientos monjes </w:t>
      </w:r>
      <w:r w:rsidR="00E06E53">
        <w:t>llegaron</w:t>
      </w:r>
      <w:r>
        <w:t xml:space="preserve"> a ver al </w:t>
      </w:r>
      <w:r w:rsidR="00E06E53">
        <w:t xml:space="preserve">Venerable </w:t>
      </w:r>
      <w:r>
        <w:t xml:space="preserve">una mañana. El </w:t>
      </w:r>
      <w:r w:rsidR="00E06E53">
        <w:t xml:space="preserve">Venerable </w:t>
      </w:r>
      <w:r>
        <w:t>pensó: “¿</w:t>
      </w:r>
      <w:r w:rsidR="00E06E53">
        <w:t>Por d</w:t>
      </w:r>
      <w:r>
        <w:t xml:space="preserve">ónde </w:t>
      </w:r>
      <w:r w:rsidR="00E06E53">
        <w:t xml:space="preserve">podría peregrinar </w:t>
      </w:r>
      <w:r>
        <w:t xml:space="preserve">una gran comunidad de </w:t>
      </w:r>
      <w:proofErr w:type="spellStart"/>
      <w:r w:rsidR="00057BF4" w:rsidRPr="00057BF4">
        <w:rPr>
          <w:i/>
        </w:rPr>
        <w:t>bhikkhu</w:t>
      </w:r>
      <w:r>
        <w:t>s</w:t>
      </w:r>
      <w:proofErr w:type="spellEnd"/>
      <w:r>
        <w:t xml:space="preserve"> en busca de </w:t>
      </w:r>
      <w:r w:rsidR="00E06E53">
        <w:t>ofrendas</w:t>
      </w:r>
      <w:r>
        <w:t xml:space="preserve">?”. No vio ningún lugar en la isla de </w:t>
      </w:r>
      <w:proofErr w:type="spellStart"/>
      <w:r w:rsidR="00E06E53">
        <w:t>Tambapaṇṇi</w:t>
      </w:r>
      <w:proofErr w:type="spellEnd"/>
      <w:r>
        <w:t xml:space="preserve">, </w:t>
      </w:r>
      <w:r w:rsidR="00A95FC6">
        <w:t>no obstante,</w:t>
      </w:r>
      <w:r>
        <w:t xml:space="preserve"> vio que sería posible en la otra orilla en </w:t>
      </w:r>
      <w:proofErr w:type="spellStart"/>
      <w:r>
        <w:t>Pāṭaliputta</w:t>
      </w:r>
      <w:proofErr w:type="spellEnd"/>
      <w:r>
        <w:t xml:space="preserve"> (Patna). Hizo que los </w:t>
      </w:r>
      <w:proofErr w:type="spellStart"/>
      <w:r w:rsidR="00057BF4" w:rsidRPr="00057BF4">
        <w:rPr>
          <w:i/>
        </w:rPr>
        <w:t>bhikkhu</w:t>
      </w:r>
      <w:r>
        <w:t>s</w:t>
      </w:r>
      <w:proofErr w:type="spellEnd"/>
      <w:r>
        <w:t xml:space="preserve"> tomaran sus </w:t>
      </w:r>
      <w:r w:rsidR="00E06E53">
        <w:t>cuencos</w:t>
      </w:r>
      <w:r>
        <w:t xml:space="preserve"> y sus </w:t>
      </w:r>
      <w:r w:rsidR="00E06E53">
        <w:t xml:space="preserve">ropajes </w:t>
      </w:r>
      <w:r w:rsidR="001D1CE4">
        <w:t>superiores</w:t>
      </w:r>
      <w:r>
        <w:t xml:space="preserve">, y dijo: “Vengan amigos, vamos a </w:t>
      </w:r>
      <w:r w:rsidR="00F968BC">
        <w:t>peregrinar</w:t>
      </w:r>
      <w:r>
        <w:t xml:space="preserve"> por </w:t>
      </w:r>
      <w:r w:rsidR="00F968BC">
        <w:t>ofrendas</w:t>
      </w:r>
      <w:r>
        <w:t xml:space="preserve">”. Luego </w:t>
      </w:r>
      <w:r w:rsidR="00F968BC">
        <w:t xml:space="preserve">redujo </w:t>
      </w:r>
      <w:r>
        <w:t xml:space="preserve">la tierra y fue a </w:t>
      </w:r>
      <w:proofErr w:type="spellStart"/>
      <w:r>
        <w:t>P</w:t>
      </w:r>
      <w:r w:rsidR="0049550D">
        <w:t>āṭ</w:t>
      </w:r>
      <w:r>
        <w:t>aliputta</w:t>
      </w:r>
      <w:proofErr w:type="spellEnd"/>
      <w:r>
        <w:t xml:space="preserve">. Los </w:t>
      </w:r>
      <w:proofErr w:type="spellStart"/>
      <w:r w:rsidR="00057BF4" w:rsidRPr="00057BF4">
        <w:rPr>
          <w:i/>
        </w:rPr>
        <w:t>bhikkhu</w:t>
      </w:r>
      <w:r>
        <w:t>s</w:t>
      </w:r>
      <w:proofErr w:type="spellEnd"/>
      <w:r>
        <w:t xml:space="preserve"> preguntaron, “¿Qué ciudad</w:t>
      </w:r>
      <w:r w:rsidR="00F968BC">
        <w:t xml:space="preserve"> es ésta</w:t>
      </w:r>
      <w:r>
        <w:t xml:space="preserve">, </w:t>
      </w:r>
      <w:r w:rsidR="00F968BC">
        <w:t>Venerable Señor</w:t>
      </w:r>
      <w:r>
        <w:t xml:space="preserve">?”—“Es </w:t>
      </w:r>
      <w:proofErr w:type="spellStart"/>
      <w:r>
        <w:t>Pāṭaliputta</w:t>
      </w:r>
      <w:proofErr w:type="spellEnd"/>
      <w:r>
        <w:t>, amigos.”—“</w:t>
      </w:r>
      <w:proofErr w:type="spellStart"/>
      <w:r>
        <w:t>Pāṭaliputta</w:t>
      </w:r>
      <w:proofErr w:type="spellEnd"/>
      <w:r>
        <w:t xml:space="preserve"> está muy lejos, </w:t>
      </w:r>
      <w:r w:rsidR="00B81349">
        <w:t>Venerable Señor</w:t>
      </w:r>
      <w:r>
        <w:t xml:space="preserve">.”—“Amigos, los </w:t>
      </w:r>
      <w:r w:rsidR="00B81349">
        <w:t xml:space="preserve">Venerables </w:t>
      </w:r>
      <w:r>
        <w:t xml:space="preserve">experimentados </w:t>
      </w:r>
      <w:r w:rsidR="00B81349">
        <w:t>pueden hacer que</w:t>
      </w:r>
      <w:r>
        <w:t xml:space="preserve"> lo que est</w:t>
      </w:r>
      <w:r w:rsidR="00A95FC6">
        <w:t>é</w:t>
      </w:r>
      <w:r>
        <w:t xml:space="preserve"> lejos </w:t>
      </w:r>
      <w:r w:rsidR="00B81349">
        <w:t xml:space="preserve">esté </w:t>
      </w:r>
      <w:r>
        <w:t>cerca.”—“Dónde es</w:t>
      </w:r>
      <w:r w:rsidR="003B5EF5">
        <w:t>tá</w:t>
      </w:r>
      <w:r>
        <w:t xml:space="preserve"> el océano (</w:t>
      </w:r>
      <w:proofErr w:type="spellStart"/>
      <w:r w:rsidRPr="0049550D">
        <w:rPr>
          <w:i/>
          <w:iCs/>
        </w:rPr>
        <w:t>mahā-samudda</w:t>
      </w:r>
      <w:proofErr w:type="spellEnd"/>
      <w:r>
        <w:t xml:space="preserve">), </w:t>
      </w:r>
      <w:r w:rsidR="003B5EF5">
        <w:t xml:space="preserve">Venerable </w:t>
      </w:r>
      <w:r w:rsidR="001D1CE4">
        <w:t>Señor</w:t>
      </w:r>
      <w:r>
        <w:t>?”—“Amigos, ¿no cruza</w:t>
      </w:r>
      <w:r w:rsidR="001D1CE4">
        <w:t>mos</w:t>
      </w:r>
      <w:r>
        <w:t xml:space="preserve"> un arroyo azul en el camino por donde llega</w:t>
      </w:r>
      <w:r w:rsidR="001D1CE4">
        <w:t>mos</w:t>
      </w:r>
      <w:r>
        <w:t xml:space="preserve">?”—“Sí, </w:t>
      </w:r>
      <w:r w:rsidR="001D1CE4">
        <w:t>Venerable Señor</w:t>
      </w:r>
      <w:r>
        <w:t xml:space="preserve">, pero el océano es vasto.”—“Amigos, los </w:t>
      </w:r>
      <w:r w:rsidR="001D1CE4">
        <w:t>Venerable</w:t>
      </w:r>
      <w:r w:rsidR="00E83904">
        <w:t>s</w:t>
      </w:r>
      <w:r w:rsidR="001D1CE4">
        <w:t xml:space="preserve"> </w:t>
      </w:r>
      <w:r>
        <w:t>experimentados también hacen pequeño lo que s</w:t>
      </w:r>
      <w:r w:rsidR="001D1CE4">
        <w:t>ea</w:t>
      </w:r>
      <w:r>
        <w:t xml:space="preserve"> vasto”.</w:t>
      </w:r>
    </w:p>
    <w:p w14:paraId="11B3F758" w14:textId="3F0B05FD" w:rsidR="00E52679" w:rsidRDefault="00E52679" w:rsidP="00E52679">
      <w:r>
        <w:t xml:space="preserve">124. </w:t>
      </w:r>
      <w:r>
        <w:tab/>
        <w:t xml:space="preserve">Y el </w:t>
      </w:r>
      <w:r w:rsidR="0049550D">
        <w:t xml:space="preserve">Venerable </w:t>
      </w:r>
      <w:proofErr w:type="spellStart"/>
      <w:r>
        <w:t>Tissadatta</w:t>
      </w:r>
      <w:proofErr w:type="spellEnd"/>
      <w:r>
        <w:t xml:space="preserve"> hizo lo mismo, cuando se había puesto sus </w:t>
      </w:r>
      <w:r w:rsidR="001D1CE4">
        <w:t xml:space="preserve">ropajes </w:t>
      </w:r>
      <w:r>
        <w:t xml:space="preserve">superiores después de bañarse por la noche, y </w:t>
      </w:r>
      <w:r w:rsidR="001D1CE4">
        <w:t xml:space="preserve">cuando </w:t>
      </w:r>
      <w:r>
        <w:t xml:space="preserve">la idea de rendir </w:t>
      </w:r>
      <w:r w:rsidR="001D1CE4">
        <w:t>reverencia</w:t>
      </w:r>
      <w:r>
        <w:t xml:space="preserve"> al Gran Árbol de la Iluminación surgió en él.</w:t>
      </w:r>
    </w:p>
    <w:p w14:paraId="4024A9AF" w14:textId="237BD3F4" w:rsidR="00E52679" w:rsidRDefault="00E52679" w:rsidP="00E52679">
      <w:r>
        <w:t xml:space="preserve">125. </w:t>
      </w:r>
      <w:r>
        <w:tab/>
        <w:t xml:space="preserve">¿Quién </w:t>
      </w:r>
      <w:r w:rsidR="00EF4C86">
        <w:t>hizo que</w:t>
      </w:r>
      <w:r>
        <w:t xml:space="preserve"> lo que estaba cerca </w:t>
      </w:r>
      <w:r w:rsidR="00EF4C86">
        <w:t xml:space="preserve">pareciese </w:t>
      </w:r>
      <w:r>
        <w:t xml:space="preserve">lejos? El </w:t>
      </w:r>
      <w:r w:rsidR="00790252">
        <w:rPr>
          <w:i/>
          <w:iCs/>
        </w:rPr>
        <w:t>Bhagavā</w:t>
      </w:r>
      <w:r>
        <w:t xml:space="preserve">. </w:t>
      </w:r>
      <w:r w:rsidR="00790252">
        <w:t xml:space="preserve">Ya </w:t>
      </w:r>
      <w:r>
        <w:t xml:space="preserve">que aunque Aṅgulimāla </w:t>
      </w:r>
      <w:r w:rsidR="00790252">
        <w:t>se encontrase</w:t>
      </w:r>
      <w:r>
        <w:t xml:space="preserve"> cerca del </w:t>
      </w:r>
      <w:r w:rsidR="00790252">
        <w:rPr>
          <w:i/>
          <w:iCs/>
        </w:rPr>
        <w:t>Bhagavā</w:t>
      </w:r>
      <w:r>
        <w:t xml:space="preserve">, él hizo </w:t>
      </w:r>
      <w:r w:rsidR="00790252">
        <w:t xml:space="preserve">que pareciera </w:t>
      </w:r>
      <w:r>
        <w:t>lejos (ver M II 99).</w:t>
      </w:r>
    </w:p>
    <w:p w14:paraId="65D2CEFD" w14:textId="507F5DEE" w:rsidR="00E52679" w:rsidRDefault="00E52679" w:rsidP="00E52679">
      <w:r>
        <w:t xml:space="preserve">126. </w:t>
      </w:r>
      <w:r>
        <w:tab/>
        <w:t xml:space="preserve">¿Quién </w:t>
      </w:r>
      <w:r w:rsidR="005F3812">
        <w:t>hizo</w:t>
      </w:r>
      <w:r>
        <w:t xml:space="preserve"> </w:t>
      </w:r>
      <w:r w:rsidR="005F3812">
        <w:t>de algo grande algo pequeño</w:t>
      </w:r>
      <w:r>
        <w:t xml:space="preserve">? El </w:t>
      </w:r>
      <w:r w:rsidR="0049550D">
        <w:t>Venerable Mahā</w:t>
      </w:r>
      <w:r>
        <w:t xml:space="preserve"> Kassapa. Un día de fiesta en </w:t>
      </w:r>
      <w:proofErr w:type="spellStart"/>
      <w:r>
        <w:t>Rājagaha</w:t>
      </w:r>
      <w:proofErr w:type="spellEnd"/>
      <w:r>
        <w:t xml:space="preserve">, al parecer, había quinientas </w:t>
      </w:r>
      <w:r w:rsidR="00F30446">
        <w:t>jóvenes</w:t>
      </w:r>
      <w:r>
        <w:t xml:space="preserve"> en camino para disfrutar del festival, y se habían llevado pasteles de </w:t>
      </w:r>
      <w:r w:rsidR="00F30446">
        <w:t xml:space="preserve">Luna </w:t>
      </w:r>
      <w:r>
        <w:t xml:space="preserve">con ellas. Vieron al </w:t>
      </w:r>
      <w:r w:rsidR="00F30446">
        <w:rPr>
          <w:i/>
          <w:iCs/>
        </w:rPr>
        <w:t>Bhagavā</w:t>
      </w:r>
      <w:r w:rsidR="00F30446">
        <w:t xml:space="preserve"> </w:t>
      </w:r>
      <w:r>
        <w:t xml:space="preserve">pero no le dieron nada. En su camino de </w:t>
      </w:r>
    </w:p>
    <w:p w14:paraId="23726BA2" w14:textId="77777777" w:rsidR="00CA4A02" w:rsidRDefault="00CA4A02">
      <w:pPr>
        <w:tabs>
          <w:tab w:val="clear" w:pos="425"/>
        </w:tabs>
        <w:spacing w:after="160"/>
      </w:pPr>
      <w:r>
        <w:br w:type="page"/>
      </w:r>
    </w:p>
    <w:p w14:paraId="19BDE311" w14:textId="77777777" w:rsidR="00CA4A02" w:rsidRDefault="00CA4A02" w:rsidP="00E52679"/>
    <w:p w14:paraId="74B4AA78" w14:textId="2693212F" w:rsidR="00272A2B" w:rsidRDefault="00F30446" w:rsidP="00272A2B">
      <w:r>
        <w:t xml:space="preserve">regreso, sin </w:t>
      </w:r>
      <w:r w:rsidR="005F3812">
        <w:t xml:space="preserve">embargo, ellos </w:t>
      </w:r>
      <w:r w:rsidR="00272A2B">
        <w:t>vi</w:t>
      </w:r>
      <w:r w:rsidR="005F3812">
        <w:t>eron</w:t>
      </w:r>
      <w:r w:rsidR="00272A2B">
        <w:t xml:space="preserve"> al </w:t>
      </w:r>
      <w:r>
        <w:t>Venerable</w:t>
      </w:r>
      <w:r w:rsidR="00C276E9" w:rsidRPr="00C276E9">
        <w:t xml:space="preserve"> </w:t>
      </w:r>
      <w:r w:rsidR="00C276E9">
        <w:t>Mahā Kassapa</w:t>
      </w:r>
      <w:r w:rsidR="00272A2B">
        <w:t xml:space="preserve">. Pensando: “Él es nuestro </w:t>
      </w:r>
      <w:r>
        <w:t>Venerable</w:t>
      </w:r>
      <w:r w:rsidR="00272A2B">
        <w:t xml:space="preserve">”, cada uno tomó un pastel y se acercó al </w:t>
      </w:r>
      <w:r>
        <w:t>Venerable</w:t>
      </w:r>
      <w:r w:rsidR="00272A2B">
        <w:t xml:space="preserve">. El </w:t>
      </w:r>
      <w:r>
        <w:t xml:space="preserve">Venerable </w:t>
      </w:r>
      <w:r w:rsidR="00272A2B">
        <w:t xml:space="preserve">sacó su </w:t>
      </w:r>
      <w:r>
        <w:t>cuenco</w:t>
      </w:r>
      <w:r w:rsidR="00272A2B">
        <w:t xml:space="preserve"> e hizo </w:t>
      </w:r>
      <w:r>
        <w:t xml:space="preserve">de él </w:t>
      </w:r>
      <w:r w:rsidR="00272A2B">
        <w:t xml:space="preserve">un solo </w:t>
      </w:r>
      <w:r>
        <w:t xml:space="preserve">cuenco </w:t>
      </w:r>
      <w:r w:rsidR="00272A2B">
        <w:t xml:space="preserve">lleno de todos ellos. El </w:t>
      </w:r>
      <w:r>
        <w:rPr>
          <w:i/>
          <w:iCs/>
        </w:rPr>
        <w:t>Bhagavā</w:t>
      </w:r>
      <w:r>
        <w:t xml:space="preserve"> </w:t>
      </w:r>
      <w:r w:rsidR="00272A2B">
        <w:t xml:space="preserve">se había sentado </w:t>
      </w:r>
      <w:r w:rsidR="00A00452">
        <w:t>inicialmente</w:t>
      </w:r>
      <w:r w:rsidR="00272A2B">
        <w:t xml:space="preserve"> para esperar al </w:t>
      </w:r>
      <w:r>
        <w:t>Venerable</w:t>
      </w:r>
      <w:r w:rsidR="00272A2B">
        <w:t xml:space="preserve">. </w:t>
      </w:r>
      <w:r w:rsidR="00A00452">
        <w:t>Cuando e</w:t>
      </w:r>
      <w:r w:rsidR="00272A2B">
        <w:t xml:space="preserve">l </w:t>
      </w:r>
      <w:r>
        <w:t xml:space="preserve">Venerable se </w:t>
      </w:r>
      <w:r w:rsidR="00272A2B">
        <w:t xml:space="preserve">los </w:t>
      </w:r>
      <w:r>
        <w:t xml:space="preserve">llevó </w:t>
      </w:r>
      <w:r w:rsidR="00C276E9">
        <w:t xml:space="preserve">se los </w:t>
      </w:r>
      <w:r>
        <w:t xml:space="preserve">ofreció </w:t>
      </w:r>
      <w:r w:rsidR="00272A2B">
        <w:t xml:space="preserve">al </w:t>
      </w:r>
      <w:r>
        <w:rPr>
          <w:i/>
          <w:iCs/>
        </w:rPr>
        <w:t>Bhagavā</w:t>
      </w:r>
      <w:r w:rsidR="00272A2B">
        <w:t>.</w:t>
      </w:r>
    </w:p>
    <w:p w14:paraId="51FCB674" w14:textId="1A052A2F" w:rsidR="00272A2B" w:rsidRDefault="00272A2B" w:rsidP="00272A2B">
      <w:r>
        <w:t xml:space="preserve">127. </w:t>
      </w:r>
      <w:r>
        <w:tab/>
        <w:t xml:space="preserve">En la historia del hombre rico </w:t>
      </w:r>
      <w:proofErr w:type="spellStart"/>
      <w:r>
        <w:t>Illīsa</w:t>
      </w:r>
      <w:proofErr w:type="spellEnd"/>
      <w:r>
        <w:t xml:space="preserve">, sin embargo, (J-a I 348; </w:t>
      </w:r>
      <w:proofErr w:type="spellStart"/>
      <w:r>
        <w:t>Dhp</w:t>
      </w:r>
      <w:proofErr w:type="spellEnd"/>
      <w:r>
        <w:t xml:space="preserve">-a I 372) el </w:t>
      </w:r>
      <w:r w:rsidR="00A53D2B">
        <w:t xml:space="preserve">Venerable </w:t>
      </w:r>
      <w:r w:rsidR="0049550D">
        <w:t>Mahā</w:t>
      </w:r>
      <w:r>
        <w:t xml:space="preserve"> Moggallāna hizo </w:t>
      </w:r>
      <w:r w:rsidR="00A53D2B">
        <w:t>de algo pequeño algo grande</w:t>
      </w:r>
      <w:r>
        <w:t xml:space="preserve">. Y en la historia de </w:t>
      </w:r>
      <w:proofErr w:type="spellStart"/>
      <w:r>
        <w:t>Kākavaḷiya</w:t>
      </w:r>
      <w:proofErr w:type="spellEnd"/>
      <w:r>
        <w:t xml:space="preserve"> el </w:t>
      </w:r>
      <w:r w:rsidR="00A53D2B">
        <w:rPr>
          <w:i/>
          <w:iCs/>
        </w:rPr>
        <w:t>Bhagavā</w:t>
      </w:r>
      <w:r w:rsidR="00A53D2B">
        <w:t xml:space="preserve"> </w:t>
      </w:r>
      <w:r w:rsidR="00271CD2">
        <w:t xml:space="preserve">también </w:t>
      </w:r>
      <w:r>
        <w:t>así lo hizo. Parec</w:t>
      </w:r>
      <w:r w:rsidR="00A53D2B">
        <w:t>iera</w:t>
      </w:r>
      <w:r>
        <w:t xml:space="preserve"> que el </w:t>
      </w:r>
      <w:r w:rsidR="00A53D2B">
        <w:t xml:space="preserve">Venerable </w:t>
      </w:r>
      <w:r>
        <w:t xml:space="preserve">Mahā Kassapa, después de pasar siete días en </w:t>
      </w:r>
      <w:r w:rsidR="00252405">
        <w:t>absorción mental</w:t>
      </w:r>
      <w:r>
        <w:t xml:space="preserve">, se paró en la puerta de la casa de un hombre </w:t>
      </w:r>
      <w:r w:rsidR="00252405">
        <w:t>de pobre condición,</w:t>
      </w:r>
      <w:r>
        <w:t xml:space="preserve"> llamado </w:t>
      </w:r>
      <w:proofErr w:type="spellStart"/>
      <w:r>
        <w:t>Kākavaḷiya</w:t>
      </w:r>
      <w:proofErr w:type="spellEnd"/>
      <w:r>
        <w:t xml:space="preserve"> para mostrar favor a los pobres. [404] Su mujer vio al </w:t>
      </w:r>
      <w:r w:rsidR="00252405">
        <w:t xml:space="preserve">Venerable </w:t>
      </w:r>
      <w:r>
        <w:t xml:space="preserve">y echó en su cuenco las gachas agrias sin sal que había preparado para su marido. El </w:t>
      </w:r>
      <w:r w:rsidR="00252405">
        <w:t xml:space="preserve">Venerable </w:t>
      </w:r>
      <w:r>
        <w:t xml:space="preserve">lo tomó y lo colocó en la mano del </w:t>
      </w:r>
      <w:r w:rsidR="00252405">
        <w:rPr>
          <w:i/>
          <w:iCs/>
        </w:rPr>
        <w:t>Bhagavā</w:t>
      </w:r>
      <w:r>
        <w:t xml:space="preserve">. El </w:t>
      </w:r>
      <w:r w:rsidR="00252405">
        <w:rPr>
          <w:i/>
          <w:iCs/>
        </w:rPr>
        <w:t>Bhagavā</w:t>
      </w:r>
      <w:r w:rsidR="00252405">
        <w:t xml:space="preserve"> </w:t>
      </w:r>
      <w:r>
        <w:t xml:space="preserve">resolvió hacerlo suficiente para la </w:t>
      </w:r>
      <w:r w:rsidR="00252405">
        <w:t xml:space="preserve">Venerable </w:t>
      </w:r>
      <w:r>
        <w:t xml:space="preserve">Comunidad </w:t>
      </w:r>
      <w:r w:rsidR="00252405">
        <w:t xml:space="preserve">de </w:t>
      </w:r>
      <w:proofErr w:type="spellStart"/>
      <w:r w:rsidR="00057BF4" w:rsidRPr="00057BF4">
        <w:rPr>
          <w:i/>
        </w:rPr>
        <w:t>Bhikkhu</w:t>
      </w:r>
      <w:r>
        <w:t>s</w:t>
      </w:r>
      <w:proofErr w:type="spellEnd"/>
      <w:r>
        <w:t xml:space="preserve">. Lo que se trajo en un solo </w:t>
      </w:r>
      <w:r w:rsidR="00252405">
        <w:t xml:space="preserve">cuenco </w:t>
      </w:r>
      <w:r>
        <w:t xml:space="preserve">se convirtió en </w:t>
      </w:r>
      <w:r w:rsidR="00252405">
        <w:t xml:space="preserve">comida </w:t>
      </w:r>
      <w:r>
        <w:t xml:space="preserve">suficiente para todos. Y al séptimo día, </w:t>
      </w:r>
      <w:proofErr w:type="spellStart"/>
      <w:r>
        <w:t>Kākavaḷiya</w:t>
      </w:r>
      <w:proofErr w:type="spellEnd"/>
      <w:r>
        <w:t xml:space="preserve"> se hizo rico.</w:t>
      </w:r>
    </w:p>
    <w:p w14:paraId="66F05987" w14:textId="1C6D4000" w:rsidR="00272A2B" w:rsidRDefault="00272A2B" w:rsidP="00272A2B">
      <w:r>
        <w:t xml:space="preserve">128. </w:t>
      </w:r>
      <w:r>
        <w:tab/>
        <w:t xml:space="preserve">Y no sólo en el caso de hacer </w:t>
      </w:r>
      <w:r w:rsidR="00252405">
        <w:t xml:space="preserve">de </w:t>
      </w:r>
      <w:r>
        <w:t>poco mucho, sino todo lo que el poseedor del poder sobrenatural desee, ya sea hacer que lo dulce no sea dulce, etc., ten</w:t>
      </w:r>
      <w:r w:rsidR="00252405">
        <w:t>drá</w:t>
      </w:r>
      <w:r>
        <w:t xml:space="preserve"> éxito </w:t>
      </w:r>
      <w:r w:rsidR="00252405">
        <w:t>en</w:t>
      </w:r>
      <w:r>
        <w:t xml:space="preserve"> él. Así fue </w:t>
      </w:r>
      <w:r w:rsidR="00271CD2">
        <w:t xml:space="preserve">cómo </w:t>
      </w:r>
      <w:r>
        <w:t xml:space="preserve">el </w:t>
      </w:r>
      <w:r w:rsidR="00252405">
        <w:t xml:space="preserve">Venerable </w:t>
      </w:r>
      <w:r>
        <w:t xml:space="preserve">Mahā Anula vio a muchos </w:t>
      </w:r>
      <w:proofErr w:type="spellStart"/>
      <w:r w:rsidR="00057BF4" w:rsidRPr="00057BF4">
        <w:rPr>
          <w:i/>
        </w:rPr>
        <w:t>bhikkhu</w:t>
      </w:r>
      <w:r>
        <w:t>s</w:t>
      </w:r>
      <w:proofErr w:type="spellEnd"/>
      <w:r>
        <w:t xml:space="preserve"> sentados a orillas del río </w:t>
      </w:r>
      <w:proofErr w:type="spellStart"/>
      <w:r>
        <w:t>Gaṅgā</w:t>
      </w:r>
      <w:proofErr w:type="spellEnd"/>
      <w:r w:rsidR="00252405">
        <w:t>,</w:t>
      </w:r>
      <w:r>
        <w:t xml:space="preserve"> en Sri Lanka</w:t>
      </w:r>
      <w:r w:rsidR="00252405">
        <w:t>,</w:t>
      </w:r>
      <w:r>
        <w:t xml:space="preserve"> comiendo arroz simple, que era todo lo que </w:t>
      </w:r>
      <w:r w:rsidR="00271CD2">
        <w:t xml:space="preserve">disponía </w:t>
      </w:r>
      <w:r>
        <w:t xml:space="preserve">después de </w:t>
      </w:r>
      <w:r w:rsidR="00252405">
        <w:t>haber solicitado</w:t>
      </w:r>
      <w:r>
        <w:t xml:space="preserve"> sus </w:t>
      </w:r>
      <w:r w:rsidR="00252405">
        <w:t>ofrendas</w:t>
      </w:r>
      <w:r>
        <w:t xml:space="preserve">, </w:t>
      </w:r>
      <w:r w:rsidR="00271CD2">
        <w:t xml:space="preserve">entonces </w:t>
      </w:r>
      <w:r>
        <w:t>decidió: “Qu</w:t>
      </w:r>
      <w:r w:rsidR="00271CD2">
        <w:t>é</w:t>
      </w:r>
      <w:r>
        <w:t xml:space="preserve"> </w:t>
      </w:r>
      <w:r w:rsidR="00271CD2">
        <w:t>e</w:t>
      </w:r>
      <w:r>
        <w:t xml:space="preserve">l agua del río </w:t>
      </w:r>
      <w:proofErr w:type="spellStart"/>
      <w:r w:rsidR="00252405">
        <w:t>Gaṅgā</w:t>
      </w:r>
      <w:proofErr w:type="spellEnd"/>
      <w:r w:rsidR="00252405">
        <w:t xml:space="preserve"> </w:t>
      </w:r>
      <w:r>
        <w:t>se</w:t>
      </w:r>
      <w:r w:rsidR="00DF1B9B">
        <w:t xml:space="preserve"> convierta en</w:t>
      </w:r>
      <w:r>
        <w:t xml:space="preserve"> crema de </w:t>
      </w:r>
      <w:proofErr w:type="spellStart"/>
      <w:r w:rsidRPr="00DF1B9B">
        <w:rPr>
          <w:i/>
          <w:iCs/>
        </w:rPr>
        <w:t>ghee</w:t>
      </w:r>
      <w:proofErr w:type="spellEnd"/>
      <w:r>
        <w:t xml:space="preserve">”, </w:t>
      </w:r>
      <w:r w:rsidR="00DF1B9B">
        <w:t xml:space="preserve">así que </w:t>
      </w:r>
      <w:r>
        <w:t xml:space="preserve">les hizo una señal a los novicios. Lo recogieron en sus vasijas y se lo dieron a la Comunidad de </w:t>
      </w:r>
      <w:proofErr w:type="spellStart"/>
      <w:r w:rsidR="00057BF4" w:rsidRPr="00057BF4">
        <w:rPr>
          <w:i/>
        </w:rPr>
        <w:t>Bhikkhu</w:t>
      </w:r>
      <w:r>
        <w:t>s</w:t>
      </w:r>
      <w:proofErr w:type="spellEnd"/>
      <w:r>
        <w:t xml:space="preserve">. Todos ellos comieron su comida con dulce crema de </w:t>
      </w:r>
      <w:proofErr w:type="spellStart"/>
      <w:r w:rsidRPr="00DF1B9B">
        <w:rPr>
          <w:i/>
          <w:iCs/>
        </w:rPr>
        <w:t>ghee</w:t>
      </w:r>
      <w:proofErr w:type="spellEnd"/>
      <w:r>
        <w:t>.</w:t>
      </w:r>
    </w:p>
    <w:p w14:paraId="2DA784A2" w14:textId="152076AF" w:rsidR="00272A2B" w:rsidRDefault="00272A2B" w:rsidP="00272A2B">
      <w:r>
        <w:t xml:space="preserve">129. </w:t>
      </w:r>
      <w:r>
        <w:tab/>
      </w:r>
      <w:r w:rsidRPr="0049550D">
        <w:rPr>
          <w:i/>
          <w:iCs/>
        </w:rPr>
        <w:t>Con el ojo divino</w:t>
      </w:r>
      <w:r>
        <w:t>: permaneciendo aquí y extendiendo la luz, ve</w:t>
      </w:r>
      <w:r w:rsidR="00DF1B9B">
        <w:t>rá</w:t>
      </w:r>
      <w:r>
        <w:t xml:space="preserve"> la forma visible de </w:t>
      </w:r>
      <w:r w:rsidR="00A565E4">
        <w:t xml:space="preserve">un ser </w:t>
      </w:r>
      <w:r w:rsidR="00057BF4" w:rsidRPr="00057BF4">
        <w:rPr>
          <w:i/>
        </w:rPr>
        <w:t>Brahmā</w:t>
      </w:r>
      <w:r>
        <w:t xml:space="preserve">. Y permaneciendo aquí, también </w:t>
      </w:r>
      <w:r w:rsidR="00A565E4">
        <w:t xml:space="preserve">oirá </w:t>
      </w:r>
      <w:r>
        <w:t>el sonido de su discurso y entende</w:t>
      </w:r>
      <w:r w:rsidR="00A565E4">
        <w:t>rá</w:t>
      </w:r>
      <w:r>
        <w:t xml:space="preserve"> su mente.</w:t>
      </w:r>
    </w:p>
    <w:p w14:paraId="0E98069B" w14:textId="3ECA18DE" w:rsidR="00272A2B" w:rsidRDefault="00272A2B" w:rsidP="00272A2B">
      <w:r>
        <w:t xml:space="preserve">130. </w:t>
      </w:r>
      <w:r>
        <w:tab/>
      </w:r>
      <w:r w:rsidRPr="0049550D">
        <w:rPr>
          <w:i/>
          <w:iCs/>
        </w:rPr>
        <w:t>Convert</w:t>
      </w:r>
      <w:r w:rsidR="00A565E4">
        <w:rPr>
          <w:i/>
          <w:iCs/>
        </w:rPr>
        <w:t>irá</w:t>
      </w:r>
      <w:r w:rsidRPr="0049550D">
        <w:rPr>
          <w:i/>
          <w:iCs/>
        </w:rPr>
        <w:t xml:space="preserve"> su mente de acuerdo con su cuerpo</w:t>
      </w:r>
      <w:r>
        <w:t>: convert</w:t>
      </w:r>
      <w:r w:rsidR="00A565E4">
        <w:t>irá</w:t>
      </w:r>
      <w:r>
        <w:t xml:space="preserve"> la mente de acuerdo con el cuerpo material; tomando la con</w:t>
      </w:r>
      <w:r w:rsidR="009A3401">
        <w:t>s</w:t>
      </w:r>
      <w:r>
        <w:t xml:space="preserve">ciencia del </w:t>
      </w:r>
      <w:proofErr w:type="spellStart"/>
      <w:r w:rsidR="00057BF4" w:rsidRPr="00057BF4">
        <w:rPr>
          <w:i/>
        </w:rPr>
        <w:t>jhāna</w:t>
      </w:r>
      <w:proofErr w:type="spellEnd"/>
      <w:r>
        <w:t xml:space="preserve"> básico, lo monta</w:t>
      </w:r>
      <w:r w:rsidR="009A3401">
        <w:t>rá</w:t>
      </w:r>
      <w:r>
        <w:t xml:space="preserve"> sobre el cuerpo, ha</w:t>
      </w:r>
      <w:r w:rsidR="009A3401">
        <w:t xml:space="preserve">rá </w:t>
      </w:r>
      <w:r>
        <w:t xml:space="preserve">que su marcha sea lenta para que coincida con la del cuerpo; </w:t>
      </w:r>
      <w:r w:rsidR="00F82191">
        <w:t xml:space="preserve">ya </w:t>
      </w:r>
      <w:r>
        <w:t xml:space="preserve">que el modo de andar del cuerpo </w:t>
      </w:r>
      <w:r w:rsidR="009A3401">
        <w:t xml:space="preserve">será </w:t>
      </w:r>
      <w:r>
        <w:t>lento.</w:t>
      </w:r>
    </w:p>
    <w:p w14:paraId="79423448" w14:textId="38E44461" w:rsidR="00272A2B" w:rsidRDefault="00272A2B" w:rsidP="00272A2B">
      <w:r>
        <w:t xml:space="preserve">131. </w:t>
      </w:r>
      <w:r>
        <w:tab/>
      </w:r>
      <w:r w:rsidR="00B42465">
        <w:rPr>
          <w:i/>
          <w:iCs/>
        </w:rPr>
        <w:t>Él l</w:t>
      </w:r>
      <w:r w:rsidRPr="0049550D">
        <w:rPr>
          <w:i/>
          <w:iCs/>
        </w:rPr>
        <w:t>lega</w:t>
      </w:r>
      <w:r w:rsidR="00B42465">
        <w:rPr>
          <w:i/>
          <w:iCs/>
        </w:rPr>
        <w:t>rá</w:t>
      </w:r>
      <w:r w:rsidRPr="0049550D">
        <w:rPr>
          <w:i/>
          <w:iCs/>
        </w:rPr>
        <w:t xml:space="preserve"> a la percepción dichosa y </w:t>
      </w:r>
      <w:r w:rsidR="00B42465">
        <w:rPr>
          <w:i/>
          <w:iCs/>
        </w:rPr>
        <w:t xml:space="preserve">a </w:t>
      </w:r>
      <w:r w:rsidRPr="0049550D">
        <w:rPr>
          <w:i/>
          <w:iCs/>
        </w:rPr>
        <w:t>la percepción de la luz</w:t>
      </w:r>
      <w:r>
        <w:t>: llega</w:t>
      </w:r>
      <w:r w:rsidR="00B42465">
        <w:t>rá</w:t>
      </w:r>
      <w:r>
        <w:t>, entra</w:t>
      </w:r>
      <w:r w:rsidR="00B42465">
        <w:t>rá</w:t>
      </w:r>
      <w:r>
        <w:t>, ha</w:t>
      </w:r>
      <w:r w:rsidR="00B42465">
        <w:t xml:space="preserve">rá </w:t>
      </w:r>
      <w:r>
        <w:t>contacto, alcanza</w:t>
      </w:r>
      <w:r w:rsidR="00B42465">
        <w:t>rá</w:t>
      </w:r>
      <w:r>
        <w:t>, la percepción de la dicha y la percepción de la ligereza que est</w:t>
      </w:r>
      <w:r w:rsidR="00727DFA">
        <w:t>ar</w:t>
      </w:r>
      <w:r>
        <w:t>án en consonancia con la con</w:t>
      </w:r>
      <w:r w:rsidR="00727DFA">
        <w:t>s</w:t>
      </w:r>
      <w:r>
        <w:t xml:space="preserve">ciencia cuyo objeto </w:t>
      </w:r>
      <w:r w:rsidR="00727DFA">
        <w:t xml:space="preserve">será </w:t>
      </w:r>
      <w:r>
        <w:t xml:space="preserve">el </w:t>
      </w:r>
      <w:proofErr w:type="spellStart"/>
      <w:r w:rsidR="00057BF4" w:rsidRPr="00057BF4">
        <w:rPr>
          <w:i/>
        </w:rPr>
        <w:t>jhāna</w:t>
      </w:r>
      <w:proofErr w:type="spellEnd"/>
      <w:r>
        <w:t xml:space="preserve"> básico. Y </w:t>
      </w:r>
      <w:r w:rsidR="00727DFA">
        <w:t xml:space="preserve">a </w:t>
      </w:r>
      <w:r>
        <w:t xml:space="preserve">la percepción asociada con la ecuanimidad se </w:t>
      </w:r>
      <w:r w:rsidR="00727DFA">
        <w:t xml:space="preserve">le </w:t>
      </w:r>
      <w:r>
        <w:t>llama</w:t>
      </w:r>
      <w:r w:rsidR="00727DFA">
        <w:t>rá</w:t>
      </w:r>
      <w:r>
        <w:t xml:space="preserve"> “percepción de </w:t>
      </w:r>
      <w:r w:rsidR="00727DFA">
        <w:t xml:space="preserve">la </w:t>
      </w:r>
      <w:r>
        <w:t xml:space="preserve">dicha”; </w:t>
      </w:r>
      <w:r w:rsidR="00727DFA">
        <w:t xml:space="preserve">ya </w:t>
      </w:r>
      <w:r>
        <w:t xml:space="preserve">que </w:t>
      </w:r>
      <w:r w:rsidR="00727DFA">
        <w:t xml:space="preserve">a </w:t>
      </w:r>
      <w:r>
        <w:t xml:space="preserve">la ecuanimidad se </w:t>
      </w:r>
      <w:r w:rsidR="00727DFA">
        <w:t xml:space="preserve">le </w:t>
      </w:r>
      <w:r>
        <w:t>llama</w:t>
      </w:r>
      <w:r w:rsidR="00727DFA">
        <w:t>rá</w:t>
      </w:r>
      <w:r>
        <w:t xml:space="preserve"> “</w:t>
      </w:r>
      <w:r w:rsidR="00727DFA">
        <w:t>dicha</w:t>
      </w:r>
      <w:r>
        <w:t xml:space="preserve">” ya que </w:t>
      </w:r>
      <w:r w:rsidR="00727DFA">
        <w:t>será apacible</w:t>
      </w:r>
      <w:r>
        <w:t xml:space="preserve">. Y </w:t>
      </w:r>
      <w:r w:rsidR="00F82191">
        <w:t xml:space="preserve">a </w:t>
      </w:r>
      <w:r>
        <w:t>esa misma percepción debe</w:t>
      </w:r>
      <w:r w:rsidR="00727DFA">
        <w:t>rá</w:t>
      </w:r>
      <w:r>
        <w:t xml:space="preserve"> entenderse también </w:t>
      </w:r>
      <w:r w:rsidR="00F82191">
        <w:t xml:space="preserve">como </w:t>
      </w:r>
      <w:r>
        <w:t xml:space="preserve">“percepción de la ligereza” </w:t>
      </w:r>
      <w:r w:rsidR="00727DFA">
        <w:t xml:space="preserve">ya </w:t>
      </w:r>
      <w:r>
        <w:t>que est</w:t>
      </w:r>
      <w:r w:rsidR="00727DFA">
        <w:t>ar</w:t>
      </w:r>
      <w:r>
        <w:t>á liberada de obstáculos y de cosas que se le opon</w:t>
      </w:r>
      <w:r w:rsidR="00727DFA">
        <w:t>ga</w:t>
      </w:r>
      <w:r>
        <w:t xml:space="preserve">n a partir </w:t>
      </w:r>
      <w:r w:rsidR="00727DFA">
        <w:t>de la aplicación mental</w:t>
      </w:r>
      <w:r>
        <w:t xml:space="preserve">. </w:t>
      </w:r>
      <w:r w:rsidR="00BC6C0F">
        <w:t xml:space="preserve">No obstante, </w:t>
      </w:r>
      <w:r>
        <w:t>cuando lleg</w:t>
      </w:r>
      <w:r w:rsidR="00BC6C0F">
        <w:t>ue</w:t>
      </w:r>
      <w:r>
        <w:t xml:space="preserve"> a ese estado, su cuerpo físico también se </w:t>
      </w:r>
      <w:r w:rsidR="00BC6C0F">
        <w:t xml:space="preserve">volverá </w:t>
      </w:r>
      <w:r>
        <w:t xml:space="preserve">tan ligero como un manojo de algodón. </w:t>
      </w:r>
      <w:r w:rsidR="00BC6C0F">
        <w:t xml:space="preserve">Se dirigirá </w:t>
      </w:r>
      <w:r>
        <w:t xml:space="preserve">así al mundo </w:t>
      </w:r>
      <w:r w:rsidR="00057BF4" w:rsidRPr="00057BF4">
        <w:rPr>
          <w:i/>
        </w:rPr>
        <w:t>Brahmā</w:t>
      </w:r>
      <w:r>
        <w:t xml:space="preserve"> con un cuerpo visible tan ligero como un penacho de algodón arrastrado por el viento.</w:t>
      </w:r>
    </w:p>
    <w:p w14:paraId="32010A7E" w14:textId="37D93DFA" w:rsidR="00272A2B" w:rsidRDefault="00272A2B" w:rsidP="00272A2B">
      <w:r>
        <w:t xml:space="preserve">132. </w:t>
      </w:r>
      <w:r>
        <w:tab/>
      </w:r>
      <w:r w:rsidR="00A01D2F">
        <w:t>Así como</w:t>
      </w:r>
      <w:r>
        <w:t xml:space="preserve"> </w:t>
      </w:r>
      <w:r w:rsidR="00BC6C0F">
        <w:t>vaya</w:t>
      </w:r>
      <w:r>
        <w:t>, si lo desea</w:t>
      </w:r>
      <w:r w:rsidR="00A01D2F">
        <w:t>ra</w:t>
      </w:r>
      <w:r>
        <w:t>, crea</w:t>
      </w:r>
      <w:r w:rsidR="00BC6C0F">
        <w:t>rá</w:t>
      </w:r>
      <w:r>
        <w:t xml:space="preserve"> un camino </w:t>
      </w:r>
      <w:r w:rsidR="00BC6C0F">
        <w:t xml:space="preserve">por </w:t>
      </w:r>
      <w:r>
        <w:t>el espacio por medio de</w:t>
      </w:r>
      <w:r w:rsidR="00F11709">
        <w:t xml:space="preserve">l </w:t>
      </w:r>
      <w:proofErr w:type="spellStart"/>
      <w:r w:rsidR="00057BF4" w:rsidRPr="00057BF4">
        <w:rPr>
          <w:i/>
        </w:rPr>
        <w:t>kasiṇa</w:t>
      </w:r>
      <w:proofErr w:type="spellEnd"/>
      <w:r>
        <w:t xml:space="preserve"> </w:t>
      </w:r>
      <w:r w:rsidR="00F11709">
        <w:t xml:space="preserve">tierra e irá </w:t>
      </w:r>
      <w:r>
        <w:t>a pie. Si lo desea</w:t>
      </w:r>
      <w:r w:rsidR="00A01D2F">
        <w:t>ra</w:t>
      </w:r>
      <w:r>
        <w:t>, decid</w:t>
      </w:r>
      <w:r w:rsidR="00F11709">
        <w:t>irá</w:t>
      </w:r>
      <w:r>
        <w:t xml:space="preserve"> por medio del </w:t>
      </w:r>
      <w:proofErr w:type="spellStart"/>
      <w:r w:rsidR="00057BF4" w:rsidRPr="00057BF4">
        <w:rPr>
          <w:i/>
        </w:rPr>
        <w:t>kasiṇa</w:t>
      </w:r>
      <w:proofErr w:type="spellEnd"/>
      <w:r>
        <w:t xml:space="preserve"> </w:t>
      </w:r>
      <w:r w:rsidR="00F11709">
        <w:t xml:space="preserve">aire </w:t>
      </w:r>
      <w:r>
        <w:t>que ha</w:t>
      </w:r>
      <w:r w:rsidR="00F11709">
        <w:t>ya</w:t>
      </w:r>
      <w:r>
        <w:t xml:space="preserve"> aire, </w:t>
      </w:r>
      <w:r w:rsidR="00F11709">
        <w:t xml:space="preserve">e irá </w:t>
      </w:r>
      <w:r>
        <w:t xml:space="preserve">por el aire como un mechón de algodón. Además, el deseo de ir </w:t>
      </w:r>
      <w:r w:rsidR="006632A2">
        <w:t xml:space="preserve">será </w:t>
      </w:r>
      <w:r>
        <w:t>la medida aquí. Cuando exist</w:t>
      </w:r>
      <w:r w:rsidR="006632A2">
        <w:t>a</w:t>
      </w:r>
      <w:r>
        <w:t xml:space="preserve"> el deseo de ir, el que ha</w:t>
      </w:r>
      <w:r w:rsidR="006632A2">
        <w:t>ya</w:t>
      </w:r>
      <w:r>
        <w:t xml:space="preserve"> tomado </w:t>
      </w:r>
      <w:r w:rsidR="006632A2">
        <w:t xml:space="preserve">así </w:t>
      </w:r>
      <w:r>
        <w:t xml:space="preserve">su resolución mental </w:t>
      </w:r>
      <w:r w:rsidR="006632A2">
        <w:t xml:space="preserve">irá </w:t>
      </w:r>
      <w:r>
        <w:t>visiblemente, llevado por la fuerza de la resolución como una flecha disparada por un arquero. [405]</w:t>
      </w:r>
    </w:p>
    <w:p w14:paraId="357D9E2C" w14:textId="2F29CB29" w:rsidR="00272A2B" w:rsidRDefault="00272A2B">
      <w:pPr>
        <w:tabs>
          <w:tab w:val="clear" w:pos="425"/>
        </w:tabs>
        <w:spacing w:after="160"/>
      </w:pPr>
      <w:r>
        <w:br w:type="page"/>
      </w:r>
    </w:p>
    <w:p w14:paraId="7163C12D" w14:textId="20336027" w:rsidR="00272A2B" w:rsidRDefault="00752C15" w:rsidP="00272A2B">
      <w:r>
        <w:lastRenderedPageBreak/>
        <w:br/>
      </w:r>
    </w:p>
    <w:p w14:paraId="667D405A" w14:textId="62D37E77" w:rsidR="00752C15" w:rsidRDefault="00752C15" w:rsidP="00752C15">
      <w:r>
        <w:t xml:space="preserve">133. </w:t>
      </w:r>
      <w:r>
        <w:tab/>
      </w:r>
      <w:r w:rsidRPr="0049550D">
        <w:rPr>
          <w:i/>
          <w:iCs/>
        </w:rPr>
        <w:t>Convert</w:t>
      </w:r>
      <w:r w:rsidR="006632A2">
        <w:rPr>
          <w:i/>
          <w:iCs/>
        </w:rPr>
        <w:t>irá</w:t>
      </w:r>
      <w:r w:rsidRPr="0049550D">
        <w:rPr>
          <w:i/>
          <w:iCs/>
        </w:rPr>
        <w:t xml:space="preserve"> su cuerpo de acuerdo con su mente</w:t>
      </w:r>
      <w:r>
        <w:t>: toma</w:t>
      </w:r>
      <w:r w:rsidR="0027609D">
        <w:t>rá</w:t>
      </w:r>
      <w:r>
        <w:t xml:space="preserve"> el cuerpo y lo monta</w:t>
      </w:r>
      <w:r w:rsidR="0027609D">
        <w:t>rá</w:t>
      </w:r>
      <w:r>
        <w:t xml:space="preserve"> sobre la mente. Él ha</w:t>
      </w:r>
      <w:r w:rsidR="0027609D">
        <w:t>rá</w:t>
      </w:r>
      <w:r>
        <w:t xml:space="preserve"> que su marcha coincida con la de la mente; pues el modo de andar de la mente es veloz.</w:t>
      </w:r>
    </w:p>
    <w:p w14:paraId="6E1AA5BE" w14:textId="5639CD6D" w:rsidR="00752C15" w:rsidRDefault="00752C15" w:rsidP="00752C15">
      <w:pPr>
        <w:pStyle w:val="NormalConSangria"/>
      </w:pPr>
      <w:r w:rsidRPr="0049550D">
        <w:rPr>
          <w:i/>
          <w:iCs/>
        </w:rPr>
        <w:t>Llega</w:t>
      </w:r>
      <w:r w:rsidR="0027609D">
        <w:rPr>
          <w:i/>
          <w:iCs/>
        </w:rPr>
        <w:t>rá</w:t>
      </w:r>
      <w:r w:rsidRPr="0049550D">
        <w:rPr>
          <w:i/>
          <w:iCs/>
        </w:rPr>
        <w:t xml:space="preserve"> a la percepción </w:t>
      </w:r>
      <w:r w:rsidR="00A01D2F">
        <w:rPr>
          <w:i/>
          <w:iCs/>
        </w:rPr>
        <w:t>de la dicha</w:t>
      </w:r>
      <w:r w:rsidR="0027609D">
        <w:rPr>
          <w:i/>
          <w:iCs/>
        </w:rPr>
        <w:t xml:space="preserve"> </w:t>
      </w:r>
      <w:r w:rsidRPr="0049550D">
        <w:rPr>
          <w:i/>
          <w:iCs/>
        </w:rPr>
        <w:t>y</w:t>
      </w:r>
      <w:r w:rsidR="0027609D">
        <w:rPr>
          <w:i/>
          <w:iCs/>
        </w:rPr>
        <w:t xml:space="preserve"> </w:t>
      </w:r>
      <w:r w:rsidRPr="0049550D">
        <w:rPr>
          <w:i/>
          <w:iCs/>
        </w:rPr>
        <w:t>a la percepción de la luz</w:t>
      </w:r>
      <w:r>
        <w:t>: llega</w:t>
      </w:r>
      <w:r w:rsidR="0027609D">
        <w:t>rá</w:t>
      </w:r>
      <w:r>
        <w:t xml:space="preserve"> a la percepción de</w:t>
      </w:r>
      <w:r w:rsidR="0027609D">
        <w:t xml:space="preserve"> </w:t>
      </w:r>
      <w:r>
        <w:t>l</w:t>
      </w:r>
      <w:r w:rsidR="0027609D">
        <w:t>a</w:t>
      </w:r>
      <w:r>
        <w:t xml:space="preserve"> </w:t>
      </w:r>
      <w:r w:rsidR="0027609D">
        <w:t xml:space="preserve">dicha </w:t>
      </w:r>
      <w:r>
        <w:t xml:space="preserve">y </w:t>
      </w:r>
      <w:r w:rsidR="0027609D">
        <w:t xml:space="preserve">a </w:t>
      </w:r>
      <w:r>
        <w:t>la percepción de la ligereza que son consecuentes con la con</w:t>
      </w:r>
      <w:r w:rsidR="0027609D">
        <w:t>s</w:t>
      </w:r>
      <w:r>
        <w:t>ciencia del poder sobrenatural cuyo objeto s</w:t>
      </w:r>
      <w:r w:rsidR="00A01D2F">
        <w:t>ea</w:t>
      </w:r>
      <w:r>
        <w:t xml:space="preserve"> el cuerpo material. El resto debe</w:t>
      </w:r>
      <w:r w:rsidR="0027609D">
        <w:t>rá</w:t>
      </w:r>
      <w:r>
        <w:t xml:space="preserve"> entenderse </w:t>
      </w:r>
      <w:r w:rsidR="0027609D">
        <w:t xml:space="preserve">de </w:t>
      </w:r>
      <w:r>
        <w:t xml:space="preserve">la forma ya descrita. </w:t>
      </w:r>
      <w:r w:rsidR="00A01D2F">
        <w:t xml:space="preserve">No obstante, </w:t>
      </w:r>
      <w:r>
        <w:t>aquí sólo exist</w:t>
      </w:r>
      <w:r w:rsidR="00125961">
        <w:t>irá</w:t>
      </w:r>
      <w:r>
        <w:t xml:space="preserve"> el ir de la </w:t>
      </w:r>
      <w:r w:rsidR="00305E12">
        <w:t>consciencia</w:t>
      </w:r>
      <w:r>
        <w:t>.</w:t>
      </w:r>
      <w:r w:rsidRPr="009C7A89">
        <w:rPr>
          <w:vertAlign w:val="superscript"/>
        </w:rPr>
        <w:t>21</w:t>
      </w:r>
    </w:p>
    <w:p w14:paraId="0F555D31" w14:textId="6B99DEDF" w:rsidR="00752C15" w:rsidRDefault="00752C15" w:rsidP="00752C15">
      <w:r>
        <w:t xml:space="preserve">134. </w:t>
      </w:r>
      <w:r>
        <w:tab/>
        <w:t xml:space="preserve">Cuando se preguntó: "Así como </w:t>
      </w:r>
      <w:r w:rsidR="00A01D2F">
        <w:t xml:space="preserve">él </w:t>
      </w:r>
      <w:r>
        <w:t>va con un cuerpo invisible, ¿</w:t>
      </w:r>
      <w:r w:rsidR="008275E2">
        <w:t xml:space="preserve">así </w:t>
      </w:r>
      <w:r>
        <w:t>va en el momento en que surge la con</w:t>
      </w:r>
      <w:r w:rsidR="008275E2">
        <w:t>s</w:t>
      </w:r>
      <w:r>
        <w:t xml:space="preserve">ciencia de resolución o en el momento de su presencia o en el momento de su disolución?", Un </w:t>
      </w:r>
      <w:r w:rsidR="008275E2">
        <w:t xml:space="preserve">Venerable </w:t>
      </w:r>
      <w:r>
        <w:t xml:space="preserve">respondió: “Él </w:t>
      </w:r>
      <w:r w:rsidR="008275E2">
        <w:t>irá</w:t>
      </w:r>
      <w:r>
        <w:t xml:space="preserve"> en los tres momentos.”—“Pero ¿él mismo </w:t>
      </w:r>
      <w:r w:rsidR="008275E2">
        <w:t>irá</w:t>
      </w:r>
      <w:r>
        <w:t>, o env</w:t>
      </w:r>
      <w:r w:rsidR="008275E2">
        <w:t>iará</w:t>
      </w:r>
      <w:r>
        <w:t xml:space="preserve"> una creación?”—“Él ha</w:t>
      </w:r>
      <w:r w:rsidR="008275E2">
        <w:t>rá</w:t>
      </w:r>
      <w:r>
        <w:t xml:space="preserve"> lo que le pla</w:t>
      </w:r>
      <w:r w:rsidR="008275E2">
        <w:t>zca</w:t>
      </w:r>
      <w:r>
        <w:t xml:space="preserve">. Pero aquí </w:t>
      </w:r>
      <w:r w:rsidR="008275E2">
        <w:t xml:space="preserve">será </w:t>
      </w:r>
      <w:r>
        <w:t xml:space="preserve">solo el ir mismo lo que se ha </w:t>
      </w:r>
      <w:r w:rsidR="002B3F4C">
        <w:t xml:space="preserve">manifestado </w:t>
      </w:r>
      <w:r>
        <w:t>en el texto”.</w:t>
      </w:r>
    </w:p>
    <w:p w14:paraId="58E4DB52" w14:textId="2BA20025" w:rsidR="00752C15" w:rsidRDefault="00752C15" w:rsidP="00752C15">
      <w:r>
        <w:t xml:space="preserve">135. </w:t>
      </w:r>
      <w:r>
        <w:tab/>
      </w:r>
      <w:r w:rsidR="00F742A1">
        <w:rPr>
          <w:i/>
          <w:iCs/>
        </w:rPr>
        <w:t xml:space="preserve">Producido </w:t>
      </w:r>
      <w:r w:rsidRPr="0049550D">
        <w:rPr>
          <w:i/>
          <w:iCs/>
        </w:rPr>
        <w:t>por la mente</w:t>
      </w:r>
      <w:r>
        <w:t xml:space="preserve">: </w:t>
      </w:r>
      <w:r w:rsidR="0095430D">
        <w:t>creado</w:t>
      </w:r>
      <w:r>
        <w:t xml:space="preserve"> por la mente porque </w:t>
      </w:r>
      <w:r w:rsidR="002B3F4C">
        <w:t xml:space="preserve">será </w:t>
      </w:r>
      <w:r>
        <w:t xml:space="preserve">creado por la mente </w:t>
      </w:r>
      <w:r w:rsidR="002B3F4C">
        <w:t xml:space="preserve">mediante </w:t>
      </w:r>
      <w:r w:rsidR="00132FA9">
        <w:t xml:space="preserve">la </w:t>
      </w:r>
      <w:r w:rsidR="002B3F4C">
        <w:t>determinación</w:t>
      </w:r>
      <w:r>
        <w:t xml:space="preserve">. </w:t>
      </w:r>
      <w:r w:rsidRPr="00C96FDC">
        <w:rPr>
          <w:i/>
          <w:iCs/>
        </w:rPr>
        <w:t>Sin facultad</w:t>
      </w:r>
      <w:r>
        <w:t>: se refer</w:t>
      </w:r>
      <w:r w:rsidR="00E67640">
        <w:t>irá</w:t>
      </w:r>
      <w:r>
        <w:t xml:space="preserve"> a la forma del ojo, del oído, etc.; </w:t>
      </w:r>
      <w:r w:rsidR="00983457">
        <w:t xml:space="preserve">pero </w:t>
      </w:r>
      <w:r>
        <w:t xml:space="preserve">no </w:t>
      </w:r>
      <w:r w:rsidR="00983457">
        <w:t>existirá</w:t>
      </w:r>
      <w:r>
        <w:t xml:space="preserve"> </w:t>
      </w:r>
    </w:p>
    <w:p w14:paraId="7DC0E908" w14:textId="77777777" w:rsidR="00752C15" w:rsidRDefault="00752C15" w:rsidP="00752C15"/>
    <w:p w14:paraId="5EBEAD4E" w14:textId="416AB974" w:rsidR="00752C15" w:rsidRPr="00752C15" w:rsidRDefault="00752C15" w:rsidP="00752C15">
      <w:pPr>
        <w:pStyle w:val="PiedepginaLegal"/>
        <w:rPr>
          <w:u w:val="single"/>
        </w:rPr>
      </w:pPr>
      <w:r w:rsidRPr="00752C15">
        <w:rPr>
          <w:u w:val="single"/>
        </w:rPr>
        <w:t xml:space="preserve">                                                                                                                                                         .</w:t>
      </w:r>
    </w:p>
    <w:p w14:paraId="0C235875" w14:textId="1CA06009" w:rsidR="00272A2B" w:rsidRDefault="00752C15" w:rsidP="00752C15">
      <w:pPr>
        <w:pStyle w:val="PiedepginaLegal"/>
        <w:tabs>
          <w:tab w:val="clear" w:pos="6804"/>
        </w:tabs>
        <w:ind w:right="617"/>
      </w:pPr>
      <w:r w:rsidRPr="00752C15">
        <w:t xml:space="preserve">21. </w:t>
      </w:r>
      <w:r>
        <w:tab/>
      </w:r>
      <w:r w:rsidRPr="00752C15">
        <w:t>“‘</w:t>
      </w:r>
      <w:r w:rsidRPr="00C96FDC">
        <w:rPr>
          <w:i/>
          <w:iCs/>
        </w:rPr>
        <w:t>Solo exist</w:t>
      </w:r>
      <w:r w:rsidR="00C87D42">
        <w:rPr>
          <w:i/>
          <w:iCs/>
        </w:rPr>
        <w:t>irá</w:t>
      </w:r>
      <w:r w:rsidRPr="00C96FDC">
        <w:rPr>
          <w:i/>
          <w:iCs/>
        </w:rPr>
        <w:t xml:space="preserve"> el </w:t>
      </w:r>
      <w:r w:rsidR="00D01646">
        <w:rPr>
          <w:i/>
          <w:iCs/>
        </w:rPr>
        <w:t xml:space="preserve">fluir </w:t>
      </w:r>
      <w:r w:rsidRPr="00C96FDC">
        <w:rPr>
          <w:i/>
          <w:iCs/>
        </w:rPr>
        <w:t xml:space="preserve">de la </w:t>
      </w:r>
      <w:r w:rsidR="00305E12">
        <w:rPr>
          <w:i/>
          <w:iCs/>
        </w:rPr>
        <w:t>consciencia</w:t>
      </w:r>
      <w:r w:rsidRPr="00C96FDC">
        <w:rPr>
          <w:i/>
          <w:iCs/>
        </w:rPr>
        <w:t>’</w:t>
      </w:r>
      <w:r w:rsidRPr="00752C15">
        <w:t>: solo ha</w:t>
      </w:r>
      <w:r w:rsidR="00D01646">
        <w:t>brá</w:t>
      </w:r>
      <w:r w:rsidRPr="00752C15">
        <w:t xml:space="preserve"> un </w:t>
      </w:r>
      <w:r w:rsidR="00D01646">
        <w:t>flu</w:t>
      </w:r>
      <w:r w:rsidR="00815308">
        <w:t>ir</w:t>
      </w:r>
      <w:r w:rsidRPr="00752C15">
        <w:t xml:space="preserve"> que </w:t>
      </w:r>
      <w:r w:rsidR="00D01646">
        <w:t xml:space="preserve">será </w:t>
      </w:r>
      <w:r w:rsidRPr="00752C15">
        <w:t>el mismo que el de la mente. Pero ¿cómo el cuerpo, [</w:t>
      </w:r>
      <w:r w:rsidR="00622022">
        <w:t>correspondiente a</w:t>
      </w:r>
      <w:r w:rsidRPr="00752C15">
        <w:t xml:space="preserve"> la materia] </w:t>
      </w:r>
      <w:r w:rsidR="00622022" w:rsidRPr="00752C15">
        <w:t xml:space="preserve">cuyo </w:t>
      </w:r>
      <w:r w:rsidR="00622022">
        <w:t xml:space="preserve">fluir </w:t>
      </w:r>
      <w:r w:rsidR="00CF6CDB">
        <w:t>sea</w:t>
      </w:r>
      <w:r w:rsidRPr="00752C15">
        <w:t xml:space="preserve"> lento, llega a tener el mismo </w:t>
      </w:r>
      <w:r w:rsidR="003F1155">
        <w:t xml:space="preserve">fluir </w:t>
      </w:r>
      <w:r w:rsidRPr="00752C15">
        <w:t xml:space="preserve">que la mente, </w:t>
      </w:r>
      <w:r w:rsidR="003F1155">
        <w:t xml:space="preserve">la cual </w:t>
      </w:r>
      <w:r w:rsidR="00CF6CDB">
        <w:t>ocurre</w:t>
      </w:r>
      <w:r w:rsidRPr="00752C15">
        <w:t xml:space="preserve"> rápidamente? Su marcha no </w:t>
      </w:r>
      <w:r w:rsidR="0095482B">
        <w:t xml:space="preserve">será </w:t>
      </w:r>
      <w:r w:rsidRPr="00752C15">
        <w:t xml:space="preserve">la misma en todos los aspectos; </w:t>
      </w:r>
      <w:r w:rsidR="00D875CE">
        <w:t xml:space="preserve">ya </w:t>
      </w:r>
      <w:r w:rsidRPr="00752C15">
        <w:t xml:space="preserve">que en el caso de </w:t>
      </w:r>
      <w:r w:rsidR="00074313">
        <w:t xml:space="preserve">la </w:t>
      </w:r>
      <w:r w:rsidRPr="00752C15">
        <w:t>conver</w:t>
      </w:r>
      <w:r w:rsidR="00074313">
        <w:t>sión de</w:t>
      </w:r>
      <w:r w:rsidRPr="00752C15">
        <w:t xml:space="preserve"> la mente para conformarse con el cuerpo, la mente no llega</w:t>
      </w:r>
      <w:r w:rsidR="003F1155">
        <w:t>rá</w:t>
      </w:r>
      <w:r w:rsidRPr="00752C15">
        <w:t xml:space="preserve"> a tener el mismo </w:t>
      </w:r>
      <w:r w:rsidR="00564614">
        <w:t>fluir</w:t>
      </w:r>
      <w:r w:rsidRPr="00752C15">
        <w:t xml:space="preserve"> que el cuerpo en todos los aspectos. </w:t>
      </w:r>
      <w:r w:rsidR="00564614">
        <w:t xml:space="preserve">Ya que </w:t>
      </w:r>
      <w:r w:rsidRPr="00752C15">
        <w:t xml:space="preserve">no </w:t>
      </w:r>
      <w:r w:rsidR="00F50199">
        <w:t>se dará el caso de</w:t>
      </w:r>
      <w:r w:rsidR="00074313">
        <w:t xml:space="preserve"> </w:t>
      </w:r>
      <w:r w:rsidRPr="00752C15">
        <w:t xml:space="preserve">que la mente ocurra </w:t>
      </w:r>
      <w:r w:rsidR="0095482B" w:rsidRPr="00752C15">
        <w:t xml:space="preserve">entonces </w:t>
      </w:r>
      <w:r w:rsidRPr="00752C15">
        <w:t xml:space="preserve">con el momento de un estado material, </w:t>
      </w:r>
      <w:r w:rsidR="0095482B">
        <w:t>el cual</w:t>
      </w:r>
      <w:r w:rsidRPr="00752C15">
        <w:t xml:space="preserve"> </w:t>
      </w:r>
      <w:r w:rsidR="00F50199">
        <w:t xml:space="preserve">ocurre </w:t>
      </w:r>
      <w:r w:rsidRPr="00752C15">
        <w:t xml:space="preserve">lentamente, </w:t>
      </w:r>
      <w:r w:rsidR="008B789F">
        <w:t xml:space="preserve">sino que </w:t>
      </w:r>
      <w:r w:rsidRPr="00752C15">
        <w:t>pasar</w:t>
      </w:r>
      <w:r w:rsidR="0095482B">
        <w:t>á</w:t>
      </w:r>
      <w:r w:rsidRPr="00752C15">
        <w:t xml:space="preserve"> con su propio tipo de momento, que </w:t>
      </w:r>
      <w:r w:rsidR="008B789F">
        <w:t xml:space="preserve">será </w:t>
      </w:r>
      <w:r w:rsidRPr="00752C15">
        <w:t>lo que establece</w:t>
      </w:r>
      <w:r w:rsidR="00564614">
        <w:t>rá</w:t>
      </w:r>
      <w:r w:rsidRPr="00752C15">
        <w:t xml:space="preserve"> su esencia individual. </w:t>
      </w:r>
      <w:r w:rsidR="00D30345">
        <w:t xml:space="preserve">No obstante, </w:t>
      </w:r>
      <w:r w:rsidR="0095482B">
        <w:t>a</w:t>
      </w:r>
      <w:r w:rsidRPr="00752C15">
        <w:t xml:space="preserve"> la mente se </w:t>
      </w:r>
      <w:r w:rsidR="0095482B">
        <w:t xml:space="preserve">le </w:t>
      </w:r>
      <w:r w:rsidRPr="00752C15">
        <w:t>llama</w:t>
      </w:r>
      <w:r w:rsidR="0095482B">
        <w:t>rá</w:t>
      </w:r>
      <w:r w:rsidRPr="00752C15">
        <w:t xml:space="preserve"> 'convertida de acuerdo con el </w:t>
      </w:r>
      <w:r w:rsidR="00127E23">
        <w:t>fluir</w:t>
      </w:r>
      <w:r w:rsidRPr="00752C15">
        <w:t xml:space="preserve"> del cuerpo' mientras continú</w:t>
      </w:r>
      <w:r w:rsidR="0095482B">
        <w:t>e</w:t>
      </w:r>
      <w:r w:rsidRPr="00752C15">
        <w:t xml:space="preserve"> ocurriendo en una continuidad que se conform</w:t>
      </w:r>
      <w:r w:rsidR="0095482B">
        <w:t>e</w:t>
      </w:r>
      <w:r w:rsidRPr="00752C15">
        <w:t xml:space="preserve"> con el cuerpo hasta que se </w:t>
      </w:r>
      <w:r w:rsidR="00D30345">
        <w:t xml:space="preserve">arribe </w:t>
      </w:r>
      <w:r w:rsidRPr="00752C15">
        <w:t>al lugar deseado. Esto se debe a que su paso se produc</w:t>
      </w:r>
      <w:r w:rsidR="0095482B">
        <w:t>irá</w:t>
      </w:r>
      <w:r w:rsidRPr="00752C15">
        <w:t xml:space="preserve"> paralelamente al del cuerpo, cuyo </w:t>
      </w:r>
      <w:r w:rsidR="0095482B">
        <w:t xml:space="preserve">fluir será </w:t>
      </w:r>
      <w:r w:rsidRPr="00752C15">
        <w:t>lento, debido a la resolución: "Que la mente sea como este cuerpo"</w:t>
      </w:r>
      <w:r w:rsidR="0095482B">
        <w:t>.</w:t>
      </w:r>
      <w:r w:rsidRPr="00752C15">
        <w:t xml:space="preserve"> </w:t>
      </w:r>
      <w:r w:rsidR="0095482B" w:rsidRPr="0095482B">
        <w:t xml:space="preserve">Y asimismo, </w:t>
      </w:r>
      <w:r w:rsidR="0095482B">
        <w:t xml:space="preserve">será </w:t>
      </w:r>
      <w:r w:rsidR="0095482B" w:rsidRPr="0095482B">
        <w:t>mientras el cuerpo sig</w:t>
      </w:r>
      <w:r w:rsidR="0095482B">
        <w:t>a</w:t>
      </w:r>
      <w:r w:rsidR="0095482B" w:rsidRPr="0095482B">
        <w:t xml:space="preserve"> ocurriendo de tal manera que su </w:t>
      </w:r>
      <w:r w:rsidR="00D30345">
        <w:t xml:space="preserve">arribo </w:t>
      </w:r>
      <w:r w:rsidR="0095482B" w:rsidRPr="0095482B">
        <w:t>al lugar deseado se produc</w:t>
      </w:r>
      <w:r w:rsidR="0095482B">
        <w:t>irá</w:t>
      </w:r>
      <w:r w:rsidR="0095482B" w:rsidRPr="0095482B">
        <w:t xml:space="preserve"> en unos pocos pasos rápidos de la mente</w:t>
      </w:r>
      <w:r w:rsidR="0095482B">
        <w:t>,</w:t>
      </w:r>
      <w:r w:rsidR="0095482B" w:rsidRPr="0095482B">
        <w:t xml:space="preserve"> en lugar de </w:t>
      </w:r>
      <w:r w:rsidR="00D30345">
        <w:t xml:space="preserve">ocurrir </w:t>
      </w:r>
      <w:r w:rsidR="0095482B" w:rsidRPr="0095482B">
        <w:t xml:space="preserve">lentamente, como en aquellos que no han desarrollado los </w:t>
      </w:r>
      <w:r w:rsidR="00D30345">
        <w:t xml:space="preserve">senderos </w:t>
      </w:r>
      <w:r w:rsidR="0095482B" w:rsidRPr="0095482B">
        <w:t>hacia el poder</w:t>
      </w:r>
      <w:r w:rsidR="00676DE2">
        <w:t xml:space="preserve"> –</w:t>
      </w:r>
      <w:r w:rsidR="0095482B" w:rsidRPr="0095482B">
        <w:t xml:space="preserve"> y este modo de ocurrencia se debe</w:t>
      </w:r>
      <w:r w:rsidR="0095482B">
        <w:t>rá</w:t>
      </w:r>
      <w:r w:rsidR="0095482B" w:rsidRPr="0095482B">
        <w:t xml:space="preserve"> a la posesión de la percepción de la ligereza, por no </w:t>
      </w:r>
      <w:r w:rsidR="00127E23">
        <w:t>decir</w:t>
      </w:r>
      <w:r w:rsidR="0095482B" w:rsidRPr="0095482B">
        <w:t xml:space="preserve"> de la resolución, 'Que este cuerpo sea como esta mente', </w:t>
      </w:r>
      <w:r w:rsidR="0095482B">
        <w:t xml:space="preserve">– </w:t>
      </w:r>
      <w:r w:rsidR="0095482B" w:rsidRPr="0095482B">
        <w:t xml:space="preserve">que </w:t>
      </w:r>
      <w:r w:rsidR="0095482B">
        <w:t>a</w:t>
      </w:r>
      <w:r w:rsidR="0095482B" w:rsidRPr="0095482B">
        <w:t xml:space="preserve">l cuerpo se </w:t>
      </w:r>
      <w:r w:rsidR="0095482B">
        <w:t xml:space="preserve">le </w:t>
      </w:r>
      <w:r w:rsidR="0095482B" w:rsidRPr="0095482B">
        <w:t>llam</w:t>
      </w:r>
      <w:r w:rsidR="002D6673">
        <w:t>e</w:t>
      </w:r>
      <w:r w:rsidR="0095482B" w:rsidRPr="0095482B">
        <w:t xml:space="preserve"> 'convertido de acuerdo con el </w:t>
      </w:r>
      <w:r w:rsidR="0095482B">
        <w:t>fluir</w:t>
      </w:r>
      <w:r w:rsidR="0095482B" w:rsidRPr="0095482B">
        <w:t xml:space="preserve"> de la mente', no </w:t>
      </w:r>
      <w:r w:rsidR="002D6673">
        <w:t xml:space="preserve">será </w:t>
      </w:r>
      <w:r w:rsidR="0095482B" w:rsidRPr="0095482B">
        <w:t>porque se</w:t>
      </w:r>
      <w:r w:rsidR="0095482B">
        <w:t xml:space="preserve"> </w:t>
      </w:r>
      <w:r w:rsidR="002D6673">
        <w:t xml:space="preserve">arribe </w:t>
      </w:r>
      <w:r w:rsidR="0095482B" w:rsidRPr="0095482B">
        <w:t>al lugar deseado en un solo momento de con</w:t>
      </w:r>
      <w:r w:rsidR="0095482B">
        <w:t>s</w:t>
      </w:r>
      <w:r w:rsidR="0095482B" w:rsidRPr="0095482B">
        <w:t>ciencia</w:t>
      </w:r>
      <w:r w:rsidRPr="00752C15">
        <w:t xml:space="preserve">. Y </w:t>
      </w:r>
      <w:r w:rsidR="005561C5">
        <w:t>cuando</w:t>
      </w:r>
      <w:r w:rsidR="00C87CD6">
        <w:t xml:space="preserve"> </w:t>
      </w:r>
      <w:r w:rsidRPr="00752C15">
        <w:t xml:space="preserve">se </w:t>
      </w:r>
      <w:r w:rsidR="0095482B">
        <w:t>adopte</w:t>
      </w:r>
      <w:r w:rsidRPr="00752C15">
        <w:t xml:space="preserve"> el símil</w:t>
      </w:r>
      <w:r w:rsidR="001C3B9D" w:rsidRPr="001C3B9D">
        <w:t xml:space="preserve"> </w:t>
      </w:r>
      <w:r w:rsidR="001C3B9D" w:rsidRPr="00752C15">
        <w:t>así</w:t>
      </w:r>
      <w:r w:rsidRPr="00752C15">
        <w:t xml:space="preserve">, 'Así como un hombre fuerte puede estirar su brazo </w:t>
      </w:r>
      <w:r w:rsidR="0095482B">
        <w:t>flexionado</w:t>
      </w:r>
      <w:r w:rsidRPr="00752C15">
        <w:t xml:space="preserve">, o </w:t>
      </w:r>
      <w:r w:rsidR="0095482B">
        <w:t xml:space="preserve">flexionar </w:t>
      </w:r>
      <w:r w:rsidRPr="00752C15">
        <w:t>su brazo extendido' (</w:t>
      </w:r>
      <w:proofErr w:type="spellStart"/>
      <w:r w:rsidRPr="00752C15">
        <w:t>Vin</w:t>
      </w:r>
      <w:proofErr w:type="spellEnd"/>
      <w:r w:rsidRPr="00752C15">
        <w:t xml:space="preserve"> I 5) </w:t>
      </w:r>
      <w:r w:rsidR="0095482B">
        <w:t xml:space="preserve">podrá </w:t>
      </w:r>
      <w:r w:rsidR="005561C5">
        <w:t xml:space="preserve">adoptarse </w:t>
      </w:r>
      <w:r w:rsidRPr="00752C15">
        <w:t>literalmente. Y esto debe</w:t>
      </w:r>
      <w:r w:rsidR="005561C5">
        <w:t>rá</w:t>
      </w:r>
      <w:r w:rsidRPr="00752C15">
        <w:t xml:space="preserve"> acep</w:t>
      </w:r>
      <w:r>
        <w:t xml:space="preserve">tarse </w:t>
      </w:r>
      <w:r w:rsidR="005561C5">
        <w:t xml:space="preserve">así </w:t>
      </w:r>
      <w:r>
        <w:t>sin reservas, de lo contrario, ha</w:t>
      </w:r>
      <w:r w:rsidR="0095482B">
        <w:t>brá</w:t>
      </w:r>
      <w:r>
        <w:t xml:space="preserve"> conflicto </w:t>
      </w:r>
      <w:r w:rsidR="005561C5">
        <w:t xml:space="preserve">entre </w:t>
      </w:r>
      <w:r>
        <w:t xml:space="preserve">los </w:t>
      </w:r>
      <w:r w:rsidRPr="0095482B">
        <w:rPr>
          <w:i/>
          <w:iCs/>
        </w:rPr>
        <w:t>Suttas</w:t>
      </w:r>
      <w:r>
        <w:t xml:space="preserve">, el </w:t>
      </w:r>
      <w:proofErr w:type="spellStart"/>
      <w:r w:rsidRPr="00C96FDC">
        <w:rPr>
          <w:i/>
          <w:iCs/>
        </w:rPr>
        <w:t>Abhi</w:t>
      </w:r>
      <w:r w:rsidR="00057BF4" w:rsidRPr="00057BF4">
        <w:rPr>
          <w:i/>
          <w:iCs/>
        </w:rPr>
        <w:t>dhamma</w:t>
      </w:r>
      <w:proofErr w:type="spellEnd"/>
      <w:r>
        <w:t xml:space="preserve"> y el </w:t>
      </w:r>
      <w:r w:rsidRPr="0095482B">
        <w:rPr>
          <w:i/>
          <w:iCs/>
        </w:rPr>
        <w:t>Comentario</w:t>
      </w:r>
      <w:r>
        <w:t>, así como una contradicción de la ley natural (</w:t>
      </w:r>
      <w:proofErr w:type="spellStart"/>
      <w:r w:rsidR="00057BF4" w:rsidRPr="00057BF4">
        <w:rPr>
          <w:i/>
        </w:rPr>
        <w:t>dhamma</w:t>
      </w:r>
      <w:r>
        <w:t>tā</w:t>
      </w:r>
      <w:proofErr w:type="spellEnd"/>
      <w:r>
        <w:t>). “</w:t>
      </w:r>
      <w:proofErr w:type="spellStart"/>
      <w:r w:rsidR="00057BF4" w:rsidRPr="00057BF4">
        <w:rPr>
          <w:i/>
        </w:rPr>
        <w:t>Bhikkhu</w:t>
      </w:r>
      <w:r>
        <w:t>s</w:t>
      </w:r>
      <w:proofErr w:type="spellEnd"/>
      <w:r>
        <w:t>, no veo otra cosa que se transforme tan rápidamente como la mente” (A I 10)—</w:t>
      </w:r>
      <w:r w:rsidR="005561C5">
        <w:t xml:space="preserve"> </w:t>
      </w:r>
      <w:r>
        <w:t>aquí se hace referencia a los estados materiales con la palabra “otr</w:t>
      </w:r>
      <w:r w:rsidR="0095482B">
        <w:t>a</w:t>
      </w:r>
      <w:r>
        <w:t xml:space="preserve">” </w:t>
      </w:r>
      <w:r w:rsidR="00271B30">
        <w:t xml:space="preserve">ya </w:t>
      </w:r>
      <w:r>
        <w:t>que no pas</w:t>
      </w:r>
      <w:r w:rsidR="00271B30">
        <w:t>a</w:t>
      </w:r>
      <w:r>
        <w:t xml:space="preserve">n </w:t>
      </w:r>
      <w:r w:rsidR="00773B66">
        <w:t xml:space="preserve">tan </w:t>
      </w:r>
      <w:r>
        <w:t xml:space="preserve">rápidamente. Y en el </w:t>
      </w:r>
      <w:proofErr w:type="spellStart"/>
      <w:r w:rsidRPr="00C96FDC">
        <w:rPr>
          <w:i/>
          <w:iCs/>
        </w:rPr>
        <w:t>Abhi</w:t>
      </w:r>
      <w:r w:rsidR="00057BF4" w:rsidRPr="00057BF4">
        <w:rPr>
          <w:i/>
          <w:iCs/>
        </w:rPr>
        <w:t>dhamma</w:t>
      </w:r>
      <w:proofErr w:type="spellEnd"/>
      <w:r>
        <w:t xml:space="preserve"> sólo </w:t>
      </w:r>
      <w:r w:rsidR="0095482B">
        <w:t xml:space="preserve">a </w:t>
      </w:r>
      <w:r>
        <w:t xml:space="preserve">la materia se </w:t>
      </w:r>
      <w:r w:rsidR="0095482B">
        <w:t xml:space="preserve">le </w:t>
      </w:r>
      <w:r>
        <w:t xml:space="preserve">llama condición </w:t>
      </w:r>
      <w:r w:rsidR="008201A8">
        <w:t>coetánea</w:t>
      </w:r>
      <w:r>
        <w:t xml:space="preserve"> y sólo </w:t>
      </w:r>
      <w:r w:rsidR="0095482B">
        <w:t xml:space="preserve">a la </w:t>
      </w:r>
      <w:r>
        <w:t>con</w:t>
      </w:r>
      <w:r w:rsidR="0095482B">
        <w:t>s</w:t>
      </w:r>
      <w:r>
        <w:t>ciencia condición pos</w:t>
      </w:r>
      <w:r w:rsidR="008201A8">
        <w:t xml:space="preserve">t </w:t>
      </w:r>
      <w:r>
        <w:t>naci</w:t>
      </w:r>
      <w:r w:rsidR="0095482B">
        <w:t>ente</w:t>
      </w:r>
      <w:r>
        <w:t xml:space="preserve">. Y dondequiera que surjan </w:t>
      </w:r>
      <w:r w:rsidR="0095482B">
        <w:t xml:space="preserve">los </w:t>
      </w:r>
      <w:r>
        <w:t>estados (</w:t>
      </w:r>
      <w:r w:rsidR="00057BF4" w:rsidRPr="00057BF4">
        <w:rPr>
          <w:i/>
        </w:rPr>
        <w:t>dhamma</w:t>
      </w:r>
      <w:r>
        <w:t>), allí se dis</w:t>
      </w:r>
      <w:r w:rsidR="0095482B">
        <w:t>o</w:t>
      </w:r>
      <w:r>
        <w:t>lve</w:t>
      </w:r>
      <w:r w:rsidR="0095482B">
        <w:t>rá</w:t>
      </w:r>
      <w:r>
        <w:t xml:space="preserve">n. No </w:t>
      </w:r>
      <w:r w:rsidR="0095482B">
        <w:t xml:space="preserve">existirá </w:t>
      </w:r>
      <w:r>
        <w:t xml:space="preserve">transmigración </w:t>
      </w:r>
      <w:r w:rsidR="0095482B">
        <w:t>hacia</w:t>
      </w:r>
      <w:r>
        <w:t xml:space="preserve"> un lugar adyacente (</w:t>
      </w:r>
      <w:proofErr w:type="spellStart"/>
      <w:r w:rsidRPr="00C96FDC">
        <w:rPr>
          <w:i/>
          <w:iCs/>
        </w:rPr>
        <w:t>desantara</w:t>
      </w:r>
      <w:r>
        <w:t>-</w:t>
      </w:r>
      <w:r w:rsidRPr="00C96FDC">
        <w:rPr>
          <w:i/>
          <w:iCs/>
        </w:rPr>
        <w:t>saṅkamana</w:t>
      </w:r>
      <w:proofErr w:type="spellEnd"/>
      <w:r>
        <w:t>), ni la esencia individual se v</w:t>
      </w:r>
      <w:r w:rsidR="0095482B">
        <w:t>o</w:t>
      </w:r>
      <w:r>
        <w:t>lve</w:t>
      </w:r>
      <w:r w:rsidR="0095482B">
        <w:t>rá</w:t>
      </w:r>
      <w:r>
        <w:t xml:space="preserve"> otra</w:t>
      </w:r>
      <w:r w:rsidR="008201A8">
        <w:t xml:space="preserve"> </w:t>
      </w:r>
      <w:r w:rsidR="00251FD8">
        <w:t>esencia</w:t>
      </w:r>
      <w:r>
        <w:t xml:space="preserve">. </w:t>
      </w:r>
      <w:r w:rsidR="0095482B">
        <w:t xml:space="preserve">Ya </w:t>
      </w:r>
      <w:r>
        <w:t xml:space="preserve">que no </w:t>
      </w:r>
      <w:r w:rsidR="00251FD8">
        <w:t xml:space="preserve">será </w:t>
      </w:r>
      <w:r>
        <w:t xml:space="preserve">posible efectuar ninguna alteración de las características de los </w:t>
      </w:r>
      <w:r w:rsidR="00057BF4" w:rsidRPr="00057BF4">
        <w:rPr>
          <w:i/>
        </w:rPr>
        <w:t>dhamma</w:t>
      </w:r>
      <w:r>
        <w:t xml:space="preserve">s </w:t>
      </w:r>
      <w:r w:rsidR="0095482B">
        <w:t xml:space="preserve">mediante </w:t>
      </w:r>
      <w:r>
        <w:t xml:space="preserve">la fuerza de los </w:t>
      </w:r>
      <w:r w:rsidR="00251FD8">
        <w:t xml:space="preserve">senderos </w:t>
      </w:r>
      <w:r>
        <w:t xml:space="preserve">hacia el poder. </w:t>
      </w:r>
      <w:r w:rsidR="0095482B">
        <w:t xml:space="preserve">No obstante, será </w:t>
      </w:r>
      <w:r>
        <w:t>posible alterar el modo en que est</w:t>
      </w:r>
      <w:r w:rsidR="0095482B">
        <w:t>é</w:t>
      </w:r>
      <w:r>
        <w:t>n presentes (</w:t>
      </w:r>
      <w:proofErr w:type="spellStart"/>
      <w:r w:rsidRPr="00C96FDC">
        <w:rPr>
          <w:i/>
          <w:iCs/>
        </w:rPr>
        <w:t>bhāva</w:t>
      </w:r>
      <w:proofErr w:type="spellEnd"/>
      <w:r>
        <w:t>)” (</w:t>
      </w:r>
      <w:proofErr w:type="spellStart"/>
      <w:r>
        <w:t>Vism-mhṭ</w:t>
      </w:r>
      <w:proofErr w:type="spellEnd"/>
      <w:r>
        <w:t xml:space="preserve"> 397).</w:t>
      </w:r>
    </w:p>
    <w:p w14:paraId="6F70514B" w14:textId="77777777" w:rsidR="00670FDD" w:rsidRDefault="00670FDD">
      <w:pPr>
        <w:tabs>
          <w:tab w:val="clear" w:pos="425"/>
        </w:tabs>
        <w:spacing w:after="160"/>
      </w:pPr>
      <w:r>
        <w:br w:type="page"/>
      </w:r>
    </w:p>
    <w:p w14:paraId="63CC088F" w14:textId="690D35EE" w:rsidR="00670FDD" w:rsidRDefault="00670FDD" w:rsidP="00E52679"/>
    <w:p w14:paraId="61A82383" w14:textId="048A4664" w:rsidR="00670FDD" w:rsidRDefault="00983457" w:rsidP="00670FDD">
      <w:r w:rsidRPr="00983457">
        <w:t xml:space="preserve">sensibilidad en </w:t>
      </w:r>
      <w:r w:rsidR="009F7FFC">
        <w:t>la</w:t>
      </w:r>
      <w:r w:rsidR="00670FDD">
        <w:t xml:space="preserve"> forma visible creada.</w:t>
      </w:r>
      <w:r w:rsidR="00670FDD" w:rsidRPr="00C96FDC">
        <w:rPr>
          <w:i/>
          <w:iCs/>
          <w:vertAlign w:val="superscript"/>
        </w:rPr>
        <w:t>22</w:t>
      </w:r>
      <w:r w:rsidR="00670FDD" w:rsidRPr="00C96FDC">
        <w:rPr>
          <w:i/>
          <w:iCs/>
        </w:rPr>
        <w:t xml:space="preserve"> Si el poseedor del poder sobrenatural camina</w:t>
      </w:r>
      <w:r w:rsidR="009F7FFC">
        <w:rPr>
          <w:i/>
          <w:iCs/>
        </w:rPr>
        <w:t>se</w:t>
      </w:r>
      <w:r w:rsidR="00670FDD" w:rsidRPr="00C96FDC">
        <w:rPr>
          <w:i/>
          <w:iCs/>
        </w:rPr>
        <w:t xml:space="preserve"> </w:t>
      </w:r>
      <w:r w:rsidR="009F7FFC">
        <w:rPr>
          <w:i/>
          <w:iCs/>
        </w:rPr>
        <w:t xml:space="preserve">de </w:t>
      </w:r>
      <w:r w:rsidR="00670FDD" w:rsidRPr="00C96FDC">
        <w:rPr>
          <w:i/>
          <w:iCs/>
        </w:rPr>
        <w:t xml:space="preserve">arriba </w:t>
      </w:r>
      <w:r w:rsidR="009F7FFC">
        <w:rPr>
          <w:i/>
          <w:iCs/>
        </w:rPr>
        <w:t>hacia</w:t>
      </w:r>
      <w:r w:rsidR="00670FDD" w:rsidRPr="00C96FDC">
        <w:rPr>
          <w:i/>
          <w:iCs/>
        </w:rPr>
        <w:t xml:space="preserve"> abajo, la creación también camina</w:t>
      </w:r>
      <w:r w:rsidR="009F7FFC">
        <w:rPr>
          <w:i/>
          <w:iCs/>
        </w:rPr>
        <w:t>rá</w:t>
      </w:r>
      <w:r w:rsidR="00670FDD" w:rsidRPr="00C96FDC">
        <w:rPr>
          <w:i/>
          <w:iCs/>
        </w:rPr>
        <w:t xml:space="preserve"> </w:t>
      </w:r>
      <w:r w:rsidR="009F7FFC">
        <w:rPr>
          <w:i/>
          <w:iCs/>
        </w:rPr>
        <w:t xml:space="preserve">de </w:t>
      </w:r>
      <w:r w:rsidR="00670FDD" w:rsidRPr="00C96FDC">
        <w:rPr>
          <w:i/>
          <w:iCs/>
        </w:rPr>
        <w:t xml:space="preserve">arriba </w:t>
      </w:r>
      <w:r w:rsidR="009F7FFC">
        <w:rPr>
          <w:i/>
          <w:iCs/>
        </w:rPr>
        <w:t xml:space="preserve">hacia </w:t>
      </w:r>
      <w:r w:rsidR="00670FDD" w:rsidRPr="00C96FDC">
        <w:rPr>
          <w:i/>
          <w:iCs/>
        </w:rPr>
        <w:t>abajo</w:t>
      </w:r>
      <w:r w:rsidR="00670FDD">
        <w:t>, etc., todo se refiere a lo que cre</w:t>
      </w:r>
      <w:r w:rsidR="00D31F8B">
        <w:t>e</w:t>
      </w:r>
      <w:r w:rsidR="00670FDD">
        <w:t xml:space="preserve"> </w:t>
      </w:r>
      <w:r w:rsidR="00D31F8B">
        <w:t xml:space="preserve">el </w:t>
      </w:r>
      <w:r w:rsidR="00670FDD">
        <w:t xml:space="preserve">discípulo; pero lo que el </w:t>
      </w:r>
      <w:r w:rsidR="00D31F8B">
        <w:rPr>
          <w:i/>
          <w:iCs/>
        </w:rPr>
        <w:t>Bhagavā</w:t>
      </w:r>
      <w:r w:rsidR="00D31F8B">
        <w:t xml:space="preserve"> </w:t>
      </w:r>
      <w:r w:rsidR="00670FDD">
        <w:t>cre</w:t>
      </w:r>
      <w:r w:rsidR="00D31F8B">
        <w:t>e</w:t>
      </w:r>
      <w:r w:rsidR="00670FDD">
        <w:t xml:space="preserve"> ha</w:t>
      </w:r>
      <w:r w:rsidR="00D31F8B">
        <w:t>rá</w:t>
      </w:r>
      <w:r w:rsidR="00670FDD">
        <w:t xml:space="preserve"> lo que ha</w:t>
      </w:r>
      <w:r w:rsidR="00D31F8B">
        <w:t>ga</w:t>
      </w:r>
      <w:r w:rsidR="00670FDD">
        <w:t xml:space="preserve"> el </w:t>
      </w:r>
      <w:r w:rsidR="00D31F8B">
        <w:rPr>
          <w:i/>
          <w:iCs/>
        </w:rPr>
        <w:t>Bhagavā</w:t>
      </w:r>
      <w:r w:rsidR="00670FDD">
        <w:t>, y también ha</w:t>
      </w:r>
      <w:r w:rsidR="00D31F8B">
        <w:t>rá</w:t>
      </w:r>
      <w:r w:rsidR="00670FDD">
        <w:t xml:space="preserve"> otras cosas según el </w:t>
      </w:r>
      <w:r w:rsidR="00D31F8B">
        <w:t xml:space="preserve">deseo </w:t>
      </w:r>
      <w:r w:rsidR="00670FDD">
        <w:t xml:space="preserve">del </w:t>
      </w:r>
      <w:r w:rsidR="00D31F8B">
        <w:rPr>
          <w:i/>
          <w:iCs/>
        </w:rPr>
        <w:t>Bhagavā</w:t>
      </w:r>
      <w:r w:rsidR="00670FDD">
        <w:t>.</w:t>
      </w:r>
    </w:p>
    <w:p w14:paraId="0A67308F" w14:textId="1F18D1B8" w:rsidR="00670FDD" w:rsidRDefault="00670FDD" w:rsidP="00670FDD">
      <w:r>
        <w:t xml:space="preserve">136. </w:t>
      </w:r>
      <w:r>
        <w:tab/>
        <w:t>Cuando este poseedor de</w:t>
      </w:r>
      <w:r w:rsidR="00C2670D">
        <w:t>l</w:t>
      </w:r>
      <w:r>
        <w:t xml:space="preserve"> poder sobrenatural, mientras permane</w:t>
      </w:r>
      <w:r w:rsidR="00D31F8B">
        <w:t>zca</w:t>
      </w:r>
      <w:r>
        <w:t xml:space="preserve"> </w:t>
      </w:r>
      <w:r w:rsidR="00C2670D">
        <w:t>ahí</w:t>
      </w:r>
      <w:r>
        <w:t xml:space="preserve">, </w:t>
      </w:r>
      <w:r w:rsidR="00C2670D">
        <w:t xml:space="preserve">y </w:t>
      </w:r>
      <w:r>
        <w:t>ve</w:t>
      </w:r>
      <w:r w:rsidR="00547591">
        <w:t>a</w:t>
      </w:r>
      <w:r>
        <w:t xml:space="preserve"> un objeto visible con el ojo divino, escuch</w:t>
      </w:r>
      <w:r w:rsidR="00107F9C">
        <w:t>e</w:t>
      </w:r>
      <w:r>
        <w:t xml:space="preserve"> un sonido con el elemento del oído divino, cono</w:t>
      </w:r>
      <w:r w:rsidR="00107F9C">
        <w:t>zca</w:t>
      </w:r>
      <w:r>
        <w:t xml:space="preserve"> </w:t>
      </w:r>
      <w:r w:rsidR="00810E42">
        <w:t>un</w:t>
      </w:r>
      <w:r>
        <w:t>a con</w:t>
      </w:r>
      <w:r w:rsidR="00C2670D">
        <w:t>s</w:t>
      </w:r>
      <w:r>
        <w:t xml:space="preserve">ciencia con la penetración de </w:t>
      </w:r>
      <w:r w:rsidR="00CA168F">
        <w:t xml:space="preserve">otras </w:t>
      </w:r>
      <w:r>
        <w:t>mentes, no ejerce</w:t>
      </w:r>
      <w:r w:rsidR="00810E42">
        <w:t>rá</w:t>
      </w:r>
      <w:r>
        <w:t xml:space="preserve"> poder corporal al hacer e</w:t>
      </w:r>
      <w:r w:rsidR="00C2670D">
        <w:t>ll</w:t>
      </w:r>
      <w:r>
        <w:t>o. Y mientras permane</w:t>
      </w:r>
      <w:r w:rsidR="00810E42">
        <w:t>zca</w:t>
      </w:r>
      <w:r>
        <w:t xml:space="preserve"> a</w:t>
      </w:r>
      <w:r w:rsidR="00C2670D">
        <w:t>h</w:t>
      </w:r>
      <w:r>
        <w:t>í, est</w:t>
      </w:r>
      <w:r w:rsidR="00810E42">
        <w:t>ar</w:t>
      </w:r>
      <w:r>
        <w:t xml:space="preserve">á con </w:t>
      </w:r>
      <w:r w:rsidR="00810E42">
        <w:t xml:space="preserve">un ser </w:t>
      </w:r>
      <w:r w:rsidR="00057BF4" w:rsidRPr="00057BF4">
        <w:rPr>
          <w:i/>
        </w:rPr>
        <w:t>Brahmā</w:t>
      </w:r>
      <w:r>
        <w:t>, conversa</w:t>
      </w:r>
      <w:r w:rsidR="00810E42">
        <w:t>rá</w:t>
      </w:r>
      <w:r>
        <w:t>, entra</w:t>
      </w:r>
      <w:r w:rsidR="00810E42">
        <w:t>rá</w:t>
      </w:r>
      <w:r>
        <w:t xml:space="preserve"> en comunicación con ese </w:t>
      </w:r>
      <w:r w:rsidR="00057BF4" w:rsidRPr="00057BF4">
        <w:rPr>
          <w:i/>
        </w:rPr>
        <w:t>Brahmā</w:t>
      </w:r>
      <w:r>
        <w:t>, no ejerce</w:t>
      </w:r>
      <w:r w:rsidR="00810E42">
        <w:t>rá</w:t>
      </w:r>
      <w:r>
        <w:t xml:space="preserve"> poder corporal al hacerlo. Y cuando ha</w:t>
      </w:r>
      <w:r w:rsidR="00810E42">
        <w:t>ga</w:t>
      </w:r>
      <w:r>
        <w:t xml:space="preserve"> su resolución descrita </w:t>
      </w:r>
      <w:r w:rsidR="00810E42">
        <w:t xml:space="preserve">mediante el pasaje </w:t>
      </w:r>
      <w:r>
        <w:t xml:space="preserve">que comienza </w:t>
      </w:r>
      <w:r w:rsidR="00C2670D">
        <w:t>c</w:t>
      </w:r>
      <w:r w:rsidR="00810E42">
        <w:t xml:space="preserve">on </w:t>
      </w:r>
      <w:r>
        <w:t xml:space="preserve">"aunque lejos, </w:t>
      </w:r>
      <w:r w:rsidR="00810E42">
        <w:t xml:space="preserve">determinará </w:t>
      </w:r>
      <w:r>
        <w:t>cercanía", no ejerce</w:t>
      </w:r>
      <w:r w:rsidR="00810E42">
        <w:t>rá</w:t>
      </w:r>
      <w:r>
        <w:t xml:space="preserve"> poder corporal al hacerlo. Y cuando va</w:t>
      </w:r>
      <w:r w:rsidR="00810E42">
        <w:t>ya</w:t>
      </w:r>
      <w:r>
        <w:t xml:space="preserve"> al </w:t>
      </w:r>
      <w:r w:rsidR="006C0C9E">
        <w:t>plano</w:t>
      </w:r>
      <w:r w:rsidR="006C0C9E">
        <w:rPr>
          <w:i/>
          <w:iCs/>
        </w:rPr>
        <w:t>–</w:t>
      </w:r>
      <w:r w:rsidR="00057BF4" w:rsidRPr="00057BF4">
        <w:rPr>
          <w:i/>
        </w:rPr>
        <w:t>Brahmā</w:t>
      </w:r>
      <w:r>
        <w:t xml:space="preserve"> con un cuerpo visible o invisible, no ejerce</w:t>
      </w:r>
      <w:r w:rsidR="00810E42">
        <w:t>rá</w:t>
      </w:r>
      <w:r>
        <w:t xml:space="preserve"> poder corporal al hacerlo. Pero cuando entr</w:t>
      </w:r>
      <w:r w:rsidR="00810E42">
        <w:t>e</w:t>
      </w:r>
      <w:r>
        <w:t xml:space="preserve"> en el proceso </w:t>
      </w:r>
      <w:r w:rsidR="00AF5214">
        <w:t>mediante e</w:t>
      </w:r>
      <w:r>
        <w:t xml:space="preserve">l </w:t>
      </w:r>
      <w:r w:rsidR="00AF5214">
        <w:t>pasaje que comienza con</w:t>
      </w:r>
      <w:r>
        <w:t>, “Él crea</w:t>
      </w:r>
      <w:r w:rsidR="00AF5214">
        <w:t>rá</w:t>
      </w:r>
      <w:r>
        <w:t xml:space="preserve"> una forma visible ante ese </w:t>
      </w:r>
      <w:r w:rsidR="00057BF4" w:rsidRPr="00057BF4">
        <w:rPr>
          <w:i/>
        </w:rPr>
        <w:t>Brahmā</w:t>
      </w:r>
      <w:r>
        <w:t>, hecha por la mente”, entonces ejerce</w:t>
      </w:r>
      <w:r w:rsidR="00AF5214">
        <w:t>rá</w:t>
      </w:r>
      <w:r>
        <w:t xml:space="preserve"> el poder corporal al hacerlo. El resto, sin embargo, se </w:t>
      </w:r>
      <w:r w:rsidR="00783A78">
        <w:t>menciona</w:t>
      </w:r>
      <w:r>
        <w:t xml:space="preserve"> aquí con el propósito de </w:t>
      </w:r>
      <w:r w:rsidR="00475BF3">
        <w:t xml:space="preserve">exponer </w:t>
      </w:r>
      <w:r>
        <w:t xml:space="preserve">la etapa </w:t>
      </w:r>
      <w:r w:rsidR="00475BF3">
        <w:t xml:space="preserve">previa </w:t>
      </w:r>
      <w:r>
        <w:t xml:space="preserve">al ejercicio del poder corporal. Esto, en primer lugar, </w:t>
      </w:r>
      <w:r w:rsidR="00783A78">
        <w:t xml:space="preserve">será </w:t>
      </w:r>
      <w:r>
        <w:t xml:space="preserve">(i) </w:t>
      </w:r>
      <w:r w:rsidR="00475BF3">
        <w:t xml:space="preserve">el </w:t>
      </w:r>
      <w:r>
        <w:t xml:space="preserve">éxito </w:t>
      </w:r>
      <w:r w:rsidR="00475BF3">
        <w:t xml:space="preserve">mediante la </w:t>
      </w:r>
      <w:r>
        <w:t>determinación (§45).</w:t>
      </w:r>
    </w:p>
    <w:p w14:paraId="33BE9ADE" w14:textId="2AA66C64" w:rsidR="00670FDD" w:rsidRDefault="00670FDD" w:rsidP="00670FDD">
      <w:r>
        <w:t xml:space="preserve">137. </w:t>
      </w:r>
      <w:r>
        <w:tab/>
        <w:t xml:space="preserve">La diferencia entre (i) el éxito </w:t>
      </w:r>
      <w:r w:rsidR="00475BF3">
        <w:t>mediante la</w:t>
      </w:r>
      <w:r>
        <w:t xml:space="preserve"> transformación y (</w:t>
      </w:r>
      <w:proofErr w:type="spellStart"/>
      <w:r>
        <w:t>ii</w:t>
      </w:r>
      <w:proofErr w:type="spellEnd"/>
      <w:r>
        <w:t xml:space="preserve">) el éxito </w:t>
      </w:r>
      <w:r w:rsidR="00783A78">
        <w:t>mediante</w:t>
      </w:r>
      <w:r>
        <w:t xml:space="preserve"> </w:t>
      </w:r>
      <w:r w:rsidR="001500C3">
        <w:t xml:space="preserve">un </w:t>
      </w:r>
      <w:r>
        <w:t xml:space="preserve">cuerpo creado por la mente es </w:t>
      </w:r>
      <w:r w:rsidR="001500C3">
        <w:t>e</w:t>
      </w:r>
      <w:r>
        <w:t>l siguiente (ver §22, 24, 25, 45).</w:t>
      </w:r>
    </w:p>
    <w:p w14:paraId="324803FA" w14:textId="668552B3" w:rsidR="00670FDD" w:rsidRDefault="00670FDD" w:rsidP="00670FDD">
      <w:pPr>
        <w:pStyle w:val="NormalConSangria"/>
      </w:pPr>
      <w:r>
        <w:t>(i) En primer lugar, quien reali</w:t>
      </w:r>
      <w:r w:rsidR="001500C3">
        <w:t>ce</w:t>
      </w:r>
      <w:r>
        <w:t xml:space="preserve"> una transformación [406] debe</w:t>
      </w:r>
      <w:r w:rsidR="006A7AC2">
        <w:t>rá</w:t>
      </w:r>
      <w:r>
        <w:t xml:space="preserve"> decidir sobre lo que elija entre las cosas que comien</w:t>
      </w:r>
      <w:r w:rsidR="00595E83">
        <w:t>za</w:t>
      </w:r>
      <w:r>
        <w:t>n con la apariencia de un niño, descritas de la siguiente manera: “Él abandona</w:t>
      </w:r>
      <w:r w:rsidR="006A7AC2">
        <w:t>rá</w:t>
      </w:r>
      <w:r>
        <w:t xml:space="preserve"> su apariencia normal y </w:t>
      </w:r>
      <w:r w:rsidR="006A7AC2">
        <w:t xml:space="preserve">mostrará </w:t>
      </w:r>
      <w:r>
        <w:t xml:space="preserve">la apariencia de un niño o la aparición de un </w:t>
      </w:r>
      <w:proofErr w:type="spellStart"/>
      <w:r w:rsidR="00C96FDC">
        <w:rPr>
          <w:i/>
          <w:iCs/>
        </w:rPr>
        <w:t>Nāga</w:t>
      </w:r>
      <w:proofErr w:type="spellEnd"/>
      <w:r w:rsidR="00C96FDC">
        <w:t xml:space="preserve"> </w:t>
      </w:r>
      <w:r>
        <w:t xml:space="preserve">(serpiente), o la aparición de un </w:t>
      </w:r>
      <w:proofErr w:type="spellStart"/>
      <w:r w:rsidRPr="00C96FDC">
        <w:rPr>
          <w:i/>
          <w:iCs/>
        </w:rPr>
        <w:t>supaṇṇa</w:t>
      </w:r>
      <w:proofErr w:type="spellEnd"/>
      <w:r>
        <w:t xml:space="preserve"> (demonio alado), o la aparición de un </w:t>
      </w:r>
      <w:r w:rsidRPr="00595E83">
        <w:rPr>
          <w:i/>
          <w:iCs/>
        </w:rPr>
        <w:t>asura</w:t>
      </w:r>
      <w:r>
        <w:t xml:space="preserve"> (demonio), o la aparición del Gobernante de los Dioses (</w:t>
      </w:r>
      <w:r w:rsidRPr="00C3138C">
        <w:rPr>
          <w:i/>
          <w:iCs/>
        </w:rPr>
        <w:t>Indra</w:t>
      </w:r>
      <w:r>
        <w:t>), o la aparición de algún deidad</w:t>
      </w:r>
      <w:r w:rsidR="00C3138C">
        <w:t xml:space="preserve"> de otra esfera sensual</w:t>
      </w:r>
      <w:r>
        <w:t xml:space="preserve">, o la apariencia de un </w:t>
      </w:r>
      <w:r w:rsidR="00057BF4" w:rsidRPr="00057BF4">
        <w:rPr>
          <w:i/>
        </w:rPr>
        <w:t>Brahmā</w:t>
      </w:r>
      <w:r>
        <w:t xml:space="preserve">, o la apariencia del mar, o la apariencia de una roca, o la apariencia de un león, o la apariencia de un tigre, o la apariencia de un leopardo, o </w:t>
      </w:r>
      <w:r w:rsidR="00B509A0">
        <w:t>mostrará</w:t>
      </w:r>
      <w:r>
        <w:t xml:space="preserve"> un elefante, o </w:t>
      </w:r>
      <w:r w:rsidR="00B509A0">
        <w:t xml:space="preserve">mostrará </w:t>
      </w:r>
      <w:r>
        <w:t>un caballo, un</w:t>
      </w:r>
      <w:r w:rsidR="00595E83">
        <w:t>a</w:t>
      </w:r>
      <w:r>
        <w:t xml:space="preserve"> carro</w:t>
      </w:r>
      <w:r w:rsidR="00595E83">
        <w:t>za</w:t>
      </w:r>
      <w:r>
        <w:t>, un soldado de a pie, una formación militar múltiple” (</w:t>
      </w:r>
      <w:proofErr w:type="spellStart"/>
      <w:r w:rsidRPr="00C96FDC">
        <w:rPr>
          <w:i/>
          <w:iCs/>
        </w:rPr>
        <w:t>Paṭis</w:t>
      </w:r>
      <w:proofErr w:type="spellEnd"/>
      <w:r>
        <w:t xml:space="preserve"> II 210).</w:t>
      </w:r>
    </w:p>
    <w:p w14:paraId="0FCD52AF" w14:textId="751B2AF6" w:rsidR="00670FDD" w:rsidRDefault="00670FDD" w:rsidP="00670FDD">
      <w:r>
        <w:t xml:space="preserve">138. </w:t>
      </w:r>
      <w:r>
        <w:tab/>
        <w:t xml:space="preserve">Y cuando </w:t>
      </w:r>
      <w:r w:rsidR="00B509A0">
        <w:t>él lo</w:t>
      </w:r>
      <w:r>
        <w:t xml:space="preserve"> resuelva, debe</w:t>
      </w:r>
      <w:r w:rsidR="00B509A0">
        <w:t>rá</w:t>
      </w:r>
      <w:r>
        <w:t xml:space="preserve"> emerger del cuarto </w:t>
      </w:r>
      <w:proofErr w:type="spellStart"/>
      <w:r w:rsidR="00057BF4" w:rsidRPr="00057BF4">
        <w:rPr>
          <w:i/>
        </w:rPr>
        <w:t>jhāna</w:t>
      </w:r>
      <w:proofErr w:type="spellEnd"/>
      <w:r w:rsidR="00595E83">
        <w:rPr>
          <w:i/>
        </w:rPr>
        <w:t>,</w:t>
      </w:r>
      <w:r>
        <w:t xml:space="preserve"> base para el conocimiento directo</w:t>
      </w:r>
      <w:r w:rsidR="00595E83">
        <w:t>,</w:t>
      </w:r>
      <w:r>
        <w:t xml:space="preserve"> y </w:t>
      </w:r>
      <w:r w:rsidR="005A1534">
        <w:t xml:space="preserve">tendrá </w:t>
      </w:r>
      <w:r>
        <w:t xml:space="preserve">una de las cosas que comienzan con </w:t>
      </w:r>
      <w:r w:rsidR="005A1534">
        <w:t xml:space="preserve">el </w:t>
      </w:r>
      <w:proofErr w:type="spellStart"/>
      <w:r w:rsidR="00057BF4" w:rsidRPr="00057BF4">
        <w:rPr>
          <w:i/>
        </w:rPr>
        <w:t>kasiṇa</w:t>
      </w:r>
      <w:proofErr w:type="spellEnd"/>
      <w:r>
        <w:t xml:space="preserve"> </w:t>
      </w:r>
      <w:r w:rsidR="005A1534">
        <w:t xml:space="preserve">tierra </w:t>
      </w:r>
      <w:r>
        <w:t>como su objeto, y advertir</w:t>
      </w:r>
      <w:r w:rsidR="005A1534">
        <w:t>á</w:t>
      </w:r>
      <w:r>
        <w:t xml:space="preserve"> su propia apariencia como </w:t>
      </w:r>
      <w:r w:rsidR="005A1534">
        <w:t xml:space="preserve">la de </w:t>
      </w:r>
      <w:r>
        <w:t>un niño. Después de advertir y terminar el trabajo preliminar, debe</w:t>
      </w:r>
      <w:r w:rsidR="005A1534">
        <w:t>rá</w:t>
      </w:r>
      <w:r>
        <w:t xml:space="preserve"> alcanzar de nuevo y emerger, y debe</w:t>
      </w:r>
      <w:r w:rsidR="005A1534">
        <w:t>rá</w:t>
      </w:r>
      <w:r>
        <w:t xml:space="preserve"> resolver así: “</w:t>
      </w:r>
      <w:r w:rsidR="005A1534">
        <w:t xml:space="preserve">Que yo </w:t>
      </w:r>
      <w:r>
        <w:t>se</w:t>
      </w:r>
      <w:r w:rsidR="005A1534">
        <w:t>a</w:t>
      </w:r>
      <w:r>
        <w:t xml:space="preserve"> un niño de tal o cual tipo”. Simultáneamente con la con</w:t>
      </w:r>
      <w:r w:rsidR="005A1534">
        <w:t>s</w:t>
      </w:r>
      <w:r>
        <w:t>ciencia resuelta, se convert</w:t>
      </w:r>
      <w:r w:rsidR="005A1534">
        <w:t>irá</w:t>
      </w:r>
      <w:r>
        <w:t xml:space="preserve"> en el niño</w:t>
      </w:r>
      <w:r w:rsidR="006451E6">
        <w:t xml:space="preserve"> en cuestión</w:t>
      </w:r>
      <w:r>
        <w:t xml:space="preserve">, tal como lo hizo </w:t>
      </w:r>
      <w:r w:rsidR="00057BF4" w:rsidRPr="006451E6">
        <w:rPr>
          <w:iCs/>
        </w:rPr>
        <w:t>Deva</w:t>
      </w:r>
      <w:r w:rsidRPr="006451E6">
        <w:rPr>
          <w:iCs/>
        </w:rPr>
        <w:t>datta</w:t>
      </w:r>
      <w:r>
        <w:t xml:space="preserve"> (</w:t>
      </w:r>
      <w:proofErr w:type="spellStart"/>
      <w:r>
        <w:t>Vin</w:t>
      </w:r>
      <w:proofErr w:type="spellEnd"/>
      <w:r>
        <w:t xml:space="preserve"> I 185; </w:t>
      </w:r>
      <w:proofErr w:type="spellStart"/>
      <w:r>
        <w:t>Dhp</w:t>
      </w:r>
      <w:proofErr w:type="spellEnd"/>
      <w:r>
        <w:t xml:space="preserve">-a I 139). </w:t>
      </w:r>
      <w:r w:rsidR="006451E6">
        <w:t>É</w:t>
      </w:r>
      <w:r>
        <w:t xml:space="preserve">ste </w:t>
      </w:r>
      <w:r w:rsidR="00595E83">
        <w:t xml:space="preserve">será </w:t>
      </w:r>
      <w:r>
        <w:t xml:space="preserve">el método en todos los casos. </w:t>
      </w:r>
      <w:r w:rsidR="006451E6">
        <w:t xml:space="preserve">No obstante, </w:t>
      </w:r>
      <w:r>
        <w:t xml:space="preserve">él </w:t>
      </w:r>
      <w:r w:rsidR="006451E6">
        <w:t xml:space="preserve">mostrará </w:t>
      </w:r>
      <w:r>
        <w:t>un elefante, etc., se dice aquí con respecto a mostrar un elefante, etc., externamente. Aquí, en lugar de resolver, "</w:t>
      </w:r>
      <w:r w:rsidR="00035A75">
        <w:t xml:space="preserve">Qué yo </w:t>
      </w:r>
      <w:r>
        <w:t>se</w:t>
      </w:r>
      <w:r w:rsidR="00035A75">
        <w:t>a</w:t>
      </w:r>
      <w:r>
        <w:t xml:space="preserve"> un elefante", res</w:t>
      </w:r>
      <w:r w:rsidR="00035A75">
        <w:t>o</w:t>
      </w:r>
      <w:r>
        <w:t>lve</w:t>
      </w:r>
      <w:r w:rsidR="00035A75">
        <w:t>rá</w:t>
      </w:r>
      <w:r>
        <w:t>, "</w:t>
      </w:r>
      <w:r w:rsidR="00595E83">
        <w:t xml:space="preserve">Hágase </w:t>
      </w:r>
      <w:r>
        <w:t>un elefante". El mismo método se aplica</w:t>
      </w:r>
      <w:r w:rsidR="00035A75">
        <w:t>rá</w:t>
      </w:r>
      <w:r>
        <w:t xml:space="preserve"> </w:t>
      </w:r>
      <w:r w:rsidR="00035A75">
        <w:t>a</w:t>
      </w:r>
      <w:r>
        <w:t>l caso del caballo</w:t>
      </w:r>
      <w:r w:rsidR="008B3CA7">
        <w:t>, etc</w:t>
      </w:r>
      <w:r>
        <w:t>.</w:t>
      </w:r>
    </w:p>
    <w:p w14:paraId="52E9B447" w14:textId="0F0FFCA6" w:rsidR="00670FDD" w:rsidRPr="00670FDD" w:rsidRDefault="00670FDD" w:rsidP="00670FDD">
      <w:pPr>
        <w:pStyle w:val="PiedepginaLegal"/>
        <w:rPr>
          <w:u w:val="single"/>
        </w:rPr>
      </w:pPr>
      <w:r w:rsidRPr="00670FDD">
        <w:rPr>
          <w:u w:val="single"/>
        </w:rPr>
        <w:t xml:space="preserve">                                                                                                                                                      .</w:t>
      </w:r>
    </w:p>
    <w:p w14:paraId="1FDC1B90" w14:textId="2DD9D425" w:rsidR="00670FDD" w:rsidRDefault="00670FDD" w:rsidP="00670FDD">
      <w:pPr>
        <w:pStyle w:val="PiedepginaLegal"/>
      </w:pPr>
      <w:r>
        <w:t xml:space="preserve"> 22. </w:t>
      </w:r>
      <w:r>
        <w:tab/>
        <w:t>“Esto debe</w:t>
      </w:r>
      <w:r w:rsidR="00911BFA">
        <w:t>rá</w:t>
      </w:r>
      <w:r>
        <w:t xml:space="preserve"> considerarse como </w:t>
      </w:r>
      <w:r w:rsidR="00BF0D8A">
        <w:t>una implicancia</w:t>
      </w:r>
      <w:r>
        <w:t xml:space="preserve"> </w:t>
      </w:r>
      <w:r w:rsidR="00BF0D8A">
        <w:t xml:space="preserve">de </w:t>
      </w:r>
      <w:r>
        <w:t xml:space="preserve">que tampoco </w:t>
      </w:r>
      <w:r w:rsidR="00BF0D8A">
        <w:t>existirá ni</w:t>
      </w:r>
      <w:r w:rsidR="0040152F">
        <w:t xml:space="preserve"> </w:t>
      </w:r>
      <w:r w:rsidR="00BF0D8A">
        <w:t xml:space="preserve">el </w:t>
      </w:r>
      <w:r>
        <w:t xml:space="preserve">sexo </w:t>
      </w:r>
      <w:r w:rsidR="00BF0D8A">
        <w:t>ni</w:t>
      </w:r>
      <w:r>
        <w:t xml:space="preserve"> </w:t>
      </w:r>
      <w:r w:rsidR="00BF0D8A">
        <w:t xml:space="preserve">la </w:t>
      </w:r>
      <w:r>
        <w:t xml:space="preserve">facultad de </w:t>
      </w:r>
      <w:r w:rsidR="00BF0D8A">
        <w:t xml:space="preserve">la </w:t>
      </w:r>
      <w:r>
        <w:t>vida en él”. (</w:t>
      </w:r>
      <w:proofErr w:type="spellStart"/>
      <w:r>
        <w:t>Vism-mhṭ</w:t>
      </w:r>
      <w:proofErr w:type="spellEnd"/>
      <w:r>
        <w:t xml:space="preserve"> 398).</w:t>
      </w:r>
    </w:p>
    <w:p w14:paraId="4C5C14A2" w14:textId="77777777" w:rsidR="00670FDD" w:rsidRDefault="00670FDD">
      <w:pPr>
        <w:tabs>
          <w:tab w:val="clear" w:pos="425"/>
        </w:tabs>
        <w:spacing w:after="160"/>
      </w:pPr>
      <w:r>
        <w:br w:type="page"/>
      </w:r>
    </w:p>
    <w:p w14:paraId="54657821" w14:textId="6CAEE6B0" w:rsidR="00670FDD" w:rsidRDefault="00525328" w:rsidP="00670FDD">
      <w:r>
        <w:lastRenderedPageBreak/>
        <w:br/>
      </w:r>
    </w:p>
    <w:p w14:paraId="210A9E4C" w14:textId="4E348658" w:rsidR="003450AA" w:rsidRDefault="008B3CA7" w:rsidP="00525328">
      <w:pPr>
        <w:pStyle w:val="NormalConSangria"/>
      </w:pPr>
      <w:r>
        <w:t>É</w:t>
      </w:r>
      <w:r w:rsidR="003450AA">
        <w:t xml:space="preserve">ste </w:t>
      </w:r>
      <w:r w:rsidR="00595E83">
        <w:t xml:space="preserve">será </w:t>
      </w:r>
      <w:r w:rsidR="003450AA">
        <w:t xml:space="preserve">el éxito </w:t>
      </w:r>
      <w:r w:rsidR="00595E83">
        <w:t xml:space="preserve">mediante la </w:t>
      </w:r>
      <w:r w:rsidR="003450AA">
        <w:t>transformación.</w:t>
      </w:r>
    </w:p>
    <w:p w14:paraId="2F67816F" w14:textId="14B73208" w:rsidR="003450AA" w:rsidRDefault="003450AA" w:rsidP="003450AA">
      <w:r>
        <w:t xml:space="preserve">139. </w:t>
      </w:r>
      <w:r w:rsidR="00595E83">
        <w:tab/>
      </w:r>
      <w:r>
        <w:t>(</w:t>
      </w:r>
      <w:proofErr w:type="spellStart"/>
      <w:r>
        <w:t>ii</w:t>
      </w:r>
      <w:proofErr w:type="spellEnd"/>
      <w:r>
        <w:t xml:space="preserve">) Aquel que </w:t>
      </w:r>
      <w:r w:rsidR="00AF75A0">
        <w:t>desee</w:t>
      </w:r>
      <w:r>
        <w:t xml:space="preserve"> </w:t>
      </w:r>
      <w:r w:rsidR="00AF75A0">
        <w:t>crear</w:t>
      </w:r>
      <w:r>
        <w:t xml:space="preserve"> </w:t>
      </w:r>
      <w:r w:rsidR="00AF75A0">
        <w:t>un</w:t>
      </w:r>
      <w:r>
        <w:t xml:space="preserve"> cuerpo creado por la mente debe</w:t>
      </w:r>
      <w:r w:rsidR="008B3CA7">
        <w:t>rá</w:t>
      </w:r>
      <w:r>
        <w:t xml:space="preserve"> emerger del </w:t>
      </w:r>
      <w:proofErr w:type="spellStart"/>
      <w:r w:rsidR="00057BF4" w:rsidRPr="00057BF4">
        <w:rPr>
          <w:i/>
        </w:rPr>
        <w:t>jhāna</w:t>
      </w:r>
      <w:proofErr w:type="spellEnd"/>
      <w:r>
        <w:t xml:space="preserve"> básico y primero dirigirse al cuerpo de la manera ya descrita, y luego debe</w:t>
      </w:r>
      <w:r w:rsidR="008B3CA7">
        <w:t>rá</w:t>
      </w:r>
      <w:r>
        <w:t xml:space="preserve"> decidir, “Que </w:t>
      </w:r>
      <w:r w:rsidR="00AD4EF1">
        <w:t>aparezca un</w:t>
      </w:r>
      <w:r>
        <w:t xml:space="preserve"> hueco”. </w:t>
      </w:r>
      <w:r w:rsidR="00AD4EF1">
        <w:t xml:space="preserve">Y aparecerá un </w:t>
      </w:r>
      <w:r>
        <w:t>hueco. Luego advert</w:t>
      </w:r>
      <w:r w:rsidR="00AD4EF1">
        <w:t>irá</w:t>
      </w:r>
      <w:r>
        <w:t xml:space="preserve"> otro cuerpo dentro de él, y habiendo hecho el trabajo preliminar de la manera ya descrita, </w:t>
      </w:r>
      <w:r w:rsidR="0046680B">
        <w:t>resolverá</w:t>
      </w:r>
      <w:r>
        <w:t>: “Que haya otro cuerpo dentro de él”. Entonces l</w:t>
      </w:r>
      <w:r w:rsidR="0046680B">
        <w:t>o</w:t>
      </w:r>
      <w:r>
        <w:t xml:space="preserve"> saca</w:t>
      </w:r>
      <w:r w:rsidR="0046680B">
        <w:t>rá</w:t>
      </w:r>
      <w:r>
        <w:t xml:space="preserve"> como una caña de su vaina, como una espada de su vaina, como una serpiente de su lodazal. Por eso se dice: “Aquí un </w:t>
      </w:r>
      <w:proofErr w:type="spellStart"/>
      <w:r w:rsidR="00057BF4" w:rsidRPr="00057BF4">
        <w:rPr>
          <w:i/>
        </w:rPr>
        <w:t>bhikkhu</w:t>
      </w:r>
      <w:proofErr w:type="spellEnd"/>
      <w:r>
        <w:t xml:space="preserve"> crea</w:t>
      </w:r>
      <w:r w:rsidR="0046680B">
        <w:t>rá</w:t>
      </w:r>
      <w:r>
        <w:t xml:space="preserve"> a partir de este cuerpo otro cuerpo que posee</w:t>
      </w:r>
      <w:r w:rsidR="0046680B">
        <w:t>rá</w:t>
      </w:r>
      <w:r>
        <w:t xml:space="preserve"> una forma visible, </w:t>
      </w:r>
      <w:r w:rsidR="003F2A76">
        <w:t>creado</w:t>
      </w:r>
      <w:r>
        <w:t xml:space="preserve"> por la mente, con todos sus miembros, sin ninguna facultad. Como si un hombre sacara una caña de su vaina y pensara así: '</w:t>
      </w:r>
      <w:r w:rsidR="00D86271">
        <w:t>É</w:t>
      </w:r>
      <w:r>
        <w:t xml:space="preserve">sta es la vaina; </w:t>
      </w:r>
      <w:r w:rsidR="00D86271">
        <w:t>é</w:t>
      </w:r>
      <w:r>
        <w:t xml:space="preserve">sta es la caña; la vaina es una, la caña es otra, fue de la vaina que se </w:t>
      </w:r>
      <w:r w:rsidR="008F2918">
        <w:t xml:space="preserve">extrajo </w:t>
      </w:r>
      <w:r>
        <w:t>la caña’” (</w:t>
      </w:r>
      <w:proofErr w:type="spellStart"/>
      <w:r w:rsidRPr="00C96FDC">
        <w:rPr>
          <w:i/>
          <w:iCs/>
        </w:rPr>
        <w:t>Paṭis</w:t>
      </w:r>
      <w:proofErr w:type="spellEnd"/>
      <w:r>
        <w:t xml:space="preserve"> II 210), </w:t>
      </w:r>
      <w:r w:rsidR="00EA5B63">
        <w:t>etc</w:t>
      </w:r>
      <w:r>
        <w:t xml:space="preserve">. Y aquí, así como la caña, etc., son similares a la vaina, etc., así también la forma visible </w:t>
      </w:r>
      <w:r w:rsidR="00D86271">
        <w:t>producida</w:t>
      </w:r>
      <w:r>
        <w:t xml:space="preserve"> por la mente </w:t>
      </w:r>
      <w:r w:rsidR="00EA5B63">
        <w:t xml:space="preserve">será </w:t>
      </w:r>
      <w:r>
        <w:t xml:space="preserve">similar al poseedor del poder sobrenatural, y este símil se da </w:t>
      </w:r>
      <w:r w:rsidR="00F76A79">
        <w:t>con el objeto de</w:t>
      </w:r>
      <w:r>
        <w:t xml:space="preserve"> </w:t>
      </w:r>
      <w:r w:rsidR="00F76A79">
        <w:t>exponerlo apropiadamente</w:t>
      </w:r>
      <w:r>
        <w:t>.</w:t>
      </w:r>
    </w:p>
    <w:p w14:paraId="30DD3F2A" w14:textId="4B6CFD1F" w:rsidR="003450AA" w:rsidRDefault="003450AA" w:rsidP="003450AA">
      <w:pPr>
        <w:pStyle w:val="NormalConSangria"/>
      </w:pPr>
      <w:r>
        <w:t xml:space="preserve">Este </w:t>
      </w:r>
      <w:r w:rsidR="00E34B6D">
        <w:t xml:space="preserve">será </w:t>
      </w:r>
      <w:r>
        <w:t xml:space="preserve">el éxito </w:t>
      </w:r>
      <w:r w:rsidR="00E34B6D">
        <w:t>en cuanto a</w:t>
      </w:r>
      <w:r>
        <w:t xml:space="preserve">l cuerpo </w:t>
      </w:r>
      <w:r w:rsidR="00CB6DFE">
        <w:t xml:space="preserve">producido </w:t>
      </w:r>
      <w:r>
        <w:t>por la mente.</w:t>
      </w:r>
    </w:p>
    <w:p w14:paraId="1843C013" w14:textId="109D389E" w:rsidR="003450AA" w:rsidRDefault="00E34B6D" w:rsidP="003450AA">
      <w:pPr>
        <w:ind w:left="708" w:right="901"/>
      </w:pPr>
      <w:r>
        <w:t>Éste ha sido e</w:t>
      </w:r>
      <w:r w:rsidR="003450AA">
        <w:t xml:space="preserve">l </w:t>
      </w:r>
      <w:r w:rsidR="009B6724">
        <w:t xml:space="preserve">Décimo Segundo </w:t>
      </w:r>
      <w:r w:rsidR="009E585B">
        <w:t xml:space="preserve">Capítulo </w:t>
      </w:r>
      <w:r w:rsidR="003450AA">
        <w:t>llamado “</w:t>
      </w:r>
      <w:r w:rsidR="00685814">
        <w:t xml:space="preserve">Los </w:t>
      </w:r>
      <w:r w:rsidR="003450AA">
        <w:t xml:space="preserve">Poderes Sobrenaturales” </w:t>
      </w:r>
      <w:r w:rsidR="009E585B">
        <w:t>d</w:t>
      </w:r>
      <w:r w:rsidR="003450AA">
        <w:t xml:space="preserve">el </w:t>
      </w:r>
      <w:r w:rsidR="003450AA" w:rsidRPr="003450AA">
        <w:rPr>
          <w:i/>
          <w:iCs/>
        </w:rPr>
        <w:t xml:space="preserve">Sendero de </w:t>
      </w:r>
      <w:r w:rsidR="00685814">
        <w:rPr>
          <w:i/>
          <w:iCs/>
        </w:rPr>
        <w:t xml:space="preserve">la </w:t>
      </w:r>
      <w:r w:rsidR="003450AA" w:rsidRPr="003450AA">
        <w:rPr>
          <w:i/>
          <w:iCs/>
        </w:rPr>
        <w:t>Purificación</w:t>
      </w:r>
      <w:r w:rsidR="003450AA">
        <w:t xml:space="preserve"> compuesto </w:t>
      </w:r>
      <w:r w:rsidR="009E585B">
        <w:t xml:space="preserve">para </w:t>
      </w:r>
      <w:r w:rsidR="003450AA">
        <w:t>alegr</w:t>
      </w:r>
      <w:r w:rsidR="009E585B">
        <w:t>ía</w:t>
      </w:r>
      <w:r w:rsidR="003450AA">
        <w:t xml:space="preserve"> </w:t>
      </w:r>
      <w:r w:rsidR="009E585B">
        <w:t>de</w:t>
      </w:r>
      <w:r w:rsidR="003450AA">
        <w:t xml:space="preserve"> buenas personas.</w:t>
      </w:r>
    </w:p>
    <w:p w14:paraId="0F4D247E" w14:textId="77777777" w:rsidR="003450AA" w:rsidRDefault="003450AA" w:rsidP="003450AA">
      <w:pPr>
        <w:ind w:left="708" w:right="901"/>
        <w:sectPr w:rsidR="003450AA" w:rsidSect="00305694">
          <w:pgSz w:w="8641" w:h="12962"/>
          <w:pgMar w:top="851" w:right="964" w:bottom="964" w:left="964" w:header="709" w:footer="709" w:gutter="0"/>
          <w:pgNumType w:start="171"/>
          <w:cols w:space="708"/>
          <w:docGrid w:linePitch="360"/>
        </w:sectPr>
      </w:pPr>
    </w:p>
    <w:p w14:paraId="07533082" w14:textId="77777777" w:rsidR="00525328" w:rsidRDefault="00525328" w:rsidP="003450AA">
      <w:pPr>
        <w:ind w:left="708" w:right="901"/>
      </w:pPr>
    </w:p>
    <w:p w14:paraId="7FC67BEE" w14:textId="77777777" w:rsidR="00CF1517" w:rsidRDefault="00CF1517" w:rsidP="003450AA">
      <w:pPr>
        <w:ind w:left="708" w:right="901"/>
      </w:pPr>
    </w:p>
    <w:p w14:paraId="5387F998" w14:textId="77777777" w:rsidR="00CF1517" w:rsidRDefault="00CF1517" w:rsidP="003450AA">
      <w:pPr>
        <w:ind w:left="708" w:right="901"/>
      </w:pPr>
    </w:p>
    <w:p w14:paraId="008F4E59" w14:textId="77777777" w:rsidR="00CF1517" w:rsidRDefault="00CF1517" w:rsidP="003450AA">
      <w:pPr>
        <w:ind w:left="708" w:right="901"/>
      </w:pPr>
    </w:p>
    <w:p w14:paraId="57DB1E93" w14:textId="36E313BF" w:rsidR="008E0D4D" w:rsidRDefault="008E0D4D" w:rsidP="009C7898">
      <w:pPr>
        <w:pStyle w:val="Ttulo2"/>
        <w:jc w:val="center"/>
      </w:pPr>
      <w:r>
        <w:t xml:space="preserve">Capítulo </w:t>
      </w:r>
      <w:r w:rsidR="00E23C1F">
        <w:t>XIII</w:t>
      </w:r>
      <w:r>
        <w:br/>
        <w:t>Otros Conocimientos</w:t>
      </w:r>
      <w:r w:rsidR="002B1335">
        <w:t>–</w:t>
      </w:r>
      <w:r>
        <w:t>Directos</w:t>
      </w:r>
    </w:p>
    <w:p w14:paraId="616D8315" w14:textId="77777777" w:rsidR="009C7898" w:rsidRDefault="009C7898" w:rsidP="008E0D4D"/>
    <w:p w14:paraId="0C30D7F4" w14:textId="275E22E5" w:rsidR="008E0D4D" w:rsidRPr="009C7898" w:rsidRDefault="008E0D4D" w:rsidP="009C7898">
      <w:pPr>
        <w:jc w:val="center"/>
        <w:rPr>
          <w:sz w:val="22"/>
          <w:szCs w:val="28"/>
        </w:rPr>
      </w:pPr>
      <w:r w:rsidRPr="009C7898">
        <w:rPr>
          <w:sz w:val="22"/>
          <w:szCs w:val="28"/>
        </w:rPr>
        <w:t>(</w:t>
      </w:r>
      <w:proofErr w:type="spellStart"/>
      <w:r w:rsidRPr="009C7898">
        <w:rPr>
          <w:i/>
          <w:iCs/>
          <w:sz w:val="22"/>
          <w:szCs w:val="28"/>
        </w:rPr>
        <w:t>Abhiññā-niddesa</w:t>
      </w:r>
      <w:proofErr w:type="spellEnd"/>
      <w:r w:rsidRPr="009C7898">
        <w:rPr>
          <w:sz w:val="22"/>
          <w:szCs w:val="28"/>
        </w:rPr>
        <w:t>)</w:t>
      </w:r>
    </w:p>
    <w:p w14:paraId="48D96A5B" w14:textId="5065833C" w:rsidR="008E0D4D" w:rsidRDefault="009C7898" w:rsidP="009C7898">
      <w:pPr>
        <w:pStyle w:val="Ttulo3"/>
        <w:ind w:left="708"/>
      </w:pPr>
      <w:r>
        <w:t>[(2) El Elemento del Oído Divino]</w:t>
      </w:r>
    </w:p>
    <w:p w14:paraId="57D2002C" w14:textId="166274E0" w:rsidR="008E0D4D" w:rsidRDefault="008E0D4D" w:rsidP="008E0D4D">
      <w:r>
        <w:t xml:space="preserve">1. </w:t>
      </w:r>
      <w:r w:rsidR="009C7898">
        <w:tab/>
      </w:r>
      <w:r>
        <w:t xml:space="preserve">[407] Ahora es el turno de la descripción del elemento </w:t>
      </w:r>
      <w:r w:rsidR="00C06381">
        <w:t xml:space="preserve">del </w:t>
      </w:r>
      <w:r>
        <w:t xml:space="preserve">oído divino. Aquí, y también en el caso de los tres tipos restantes de conocimiento directo, el significado del pasaje que comienza, "Cuando su mente </w:t>
      </w:r>
      <w:r w:rsidR="00FD6420">
        <w:t xml:space="preserve">esté </w:t>
      </w:r>
      <w:r>
        <w:t>concentrada..." (D I 79) debe</w:t>
      </w:r>
      <w:r w:rsidR="00C06381">
        <w:t>rá</w:t>
      </w:r>
      <w:r>
        <w:t xml:space="preserve"> entenderse </w:t>
      </w:r>
      <w:r w:rsidR="00C06381">
        <w:t xml:space="preserve">de </w:t>
      </w:r>
      <w:r>
        <w:t>la forma ya establecida (XII.13f.); y en cada caso sólo comentaremos lo que s</w:t>
      </w:r>
      <w:r w:rsidR="00C06381">
        <w:t>ea</w:t>
      </w:r>
      <w:r>
        <w:t xml:space="preserve"> diferente. [El texto es el siguiente: “Él dirig</w:t>
      </w:r>
      <w:r w:rsidR="00C06381">
        <w:t>irá</w:t>
      </w:r>
      <w:r>
        <w:t>, inclina</w:t>
      </w:r>
      <w:r w:rsidR="00C06381">
        <w:t>rá</w:t>
      </w:r>
      <w:r>
        <w:t>, su mente hacia el elemento del oído</w:t>
      </w:r>
      <w:r w:rsidR="00461007" w:rsidRPr="00461007">
        <w:t xml:space="preserve"> </w:t>
      </w:r>
      <w:r w:rsidR="00461007">
        <w:t>divino</w:t>
      </w:r>
      <w:r>
        <w:t xml:space="preserve">. Con el </w:t>
      </w:r>
      <w:r w:rsidR="00461007">
        <w:t>elemento del oído</w:t>
      </w:r>
      <w:r w:rsidR="00461007" w:rsidRPr="00461007">
        <w:t xml:space="preserve"> </w:t>
      </w:r>
      <w:r w:rsidR="00461007">
        <w:t>divino</w:t>
      </w:r>
      <w:r>
        <w:t>, purifica</w:t>
      </w:r>
      <w:r w:rsidR="00461007">
        <w:t>do</w:t>
      </w:r>
      <w:r>
        <w:t xml:space="preserve"> y</w:t>
      </w:r>
      <w:r w:rsidR="00461007">
        <w:t xml:space="preserve"> que</w:t>
      </w:r>
      <w:r>
        <w:t xml:space="preserve"> supera al humano, o</w:t>
      </w:r>
      <w:r w:rsidR="00461007">
        <w:t>irá</w:t>
      </w:r>
      <w:r>
        <w:t xml:space="preserve"> las dos clases de sonidos, los divinos y los humanos, tanto lejanos como cercanos” (D I 79).]</w:t>
      </w:r>
    </w:p>
    <w:p w14:paraId="2E5D6D08" w14:textId="5FA6CAF1" w:rsidR="008E0D4D" w:rsidRDefault="008E0D4D" w:rsidP="008E0D4D">
      <w:r>
        <w:t xml:space="preserve">2. </w:t>
      </w:r>
      <w:r w:rsidR="009C7898">
        <w:tab/>
      </w:r>
      <w:r>
        <w:t xml:space="preserve">Aquí, </w:t>
      </w:r>
      <w:r w:rsidRPr="00C96FDC">
        <w:rPr>
          <w:i/>
          <w:iCs/>
        </w:rPr>
        <w:t xml:space="preserve">con el elemento </w:t>
      </w:r>
      <w:r w:rsidR="00461007">
        <w:rPr>
          <w:i/>
          <w:iCs/>
        </w:rPr>
        <w:t xml:space="preserve">del </w:t>
      </w:r>
      <w:r w:rsidRPr="00C96FDC">
        <w:rPr>
          <w:i/>
          <w:iCs/>
        </w:rPr>
        <w:t>oído divino</w:t>
      </w:r>
      <w:r>
        <w:t xml:space="preserve">: </w:t>
      </w:r>
      <w:r w:rsidR="00490898">
        <w:t>será</w:t>
      </w:r>
      <w:r>
        <w:t xml:space="preserve"> divino por su similitud con lo divino; pues las deidades tienen como </w:t>
      </w:r>
      <w:r w:rsidR="00461007">
        <w:t xml:space="preserve">elemento del oído divino </w:t>
      </w:r>
      <w:r>
        <w:t xml:space="preserve">la sensibilidad que produce el </w:t>
      </w:r>
      <w:proofErr w:type="spellStart"/>
      <w:r w:rsidR="00057BF4" w:rsidRPr="00057BF4">
        <w:rPr>
          <w:i/>
        </w:rPr>
        <w:t>kamma</w:t>
      </w:r>
      <w:proofErr w:type="spellEnd"/>
      <w:r>
        <w:t xml:space="preserve"> consiste</w:t>
      </w:r>
      <w:r w:rsidR="00461007">
        <w:t>nte</w:t>
      </w:r>
      <w:r>
        <w:t xml:space="preserve"> </w:t>
      </w:r>
      <w:r w:rsidR="00461007">
        <w:t>de</w:t>
      </w:r>
      <w:r>
        <w:t xml:space="preserve"> una buena conducta y </w:t>
      </w:r>
      <w:r w:rsidR="00461007">
        <w:t xml:space="preserve">que </w:t>
      </w:r>
      <w:r>
        <w:t>no se ve</w:t>
      </w:r>
      <w:r w:rsidR="00461007">
        <w:t>rá</w:t>
      </w:r>
      <w:r>
        <w:t xml:space="preserve"> obstaculizada por la bilis, la flema, la sangre, etc., y s</w:t>
      </w:r>
      <w:r w:rsidR="00566FFB">
        <w:t>erá</w:t>
      </w:r>
      <w:r>
        <w:t xml:space="preserve"> capaz de </w:t>
      </w:r>
      <w:r w:rsidR="00566FFB">
        <w:t>pe</w:t>
      </w:r>
      <w:r>
        <w:t xml:space="preserve">rcibir un objeto aunque esté lejos </w:t>
      </w:r>
      <w:r w:rsidR="00317680">
        <w:t xml:space="preserve">ya </w:t>
      </w:r>
      <w:r>
        <w:t xml:space="preserve">que </w:t>
      </w:r>
      <w:r w:rsidR="00566FFB">
        <w:t xml:space="preserve">él </w:t>
      </w:r>
      <w:r>
        <w:t>est</w:t>
      </w:r>
      <w:r w:rsidR="00566FFB">
        <w:t>ar</w:t>
      </w:r>
      <w:r>
        <w:t xml:space="preserve">á libre de imperfecciones. Y este </w:t>
      </w:r>
      <w:r w:rsidR="00566FFB">
        <w:t xml:space="preserve">elemento del oído divino </w:t>
      </w:r>
      <w:r>
        <w:t>consiste</w:t>
      </w:r>
      <w:r w:rsidR="00566FFB">
        <w:t>nte</w:t>
      </w:r>
      <w:r>
        <w:t xml:space="preserve"> </w:t>
      </w:r>
      <w:r w:rsidR="00566FFB">
        <w:t>de</w:t>
      </w:r>
      <w:r>
        <w:t xml:space="preserve"> conocimiento, producido por el poder de la energía de este </w:t>
      </w:r>
      <w:proofErr w:type="spellStart"/>
      <w:r w:rsidR="00057BF4" w:rsidRPr="00057BF4">
        <w:rPr>
          <w:i/>
        </w:rPr>
        <w:t>bhikkhu</w:t>
      </w:r>
      <w:proofErr w:type="spellEnd"/>
      <w:r>
        <w:t xml:space="preserve"> en desarrollo, </w:t>
      </w:r>
      <w:r w:rsidR="009756C9">
        <w:t xml:space="preserve">será </w:t>
      </w:r>
      <w:r>
        <w:t>similar a e</w:t>
      </w:r>
      <w:r w:rsidR="009756C9">
        <w:t>llo</w:t>
      </w:r>
      <w:r>
        <w:t xml:space="preserve">, por lo que </w:t>
      </w:r>
      <w:r w:rsidR="009756C9">
        <w:t xml:space="preserve">será </w:t>
      </w:r>
      <w:r>
        <w:t xml:space="preserve">"divino" </w:t>
      </w:r>
      <w:r w:rsidR="009756C9">
        <w:t xml:space="preserve">ya </w:t>
      </w:r>
      <w:r>
        <w:t xml:space="preserve">que </w:t>
      </w:r>
      <w:r w:rsidR="002B2F57">
        <w:t xml:space="preserve">será </w:t>
      </w:r>
      <w:r>
        <w:t xml:space="preserve">similar a lo divino. Además, </w:t>
      </w:r>
      <w:r w:rsidR="002B2F57">
        <w:t xml:space="preserve">será </w:t>
      </w:r>
      <w:r>
        <w:t>“divino” porque se obten</w:t>
      </w:r>
      <w:r w:rsidR="002B2F57">
        <w:t>drá</w:t>
      </w:r>
      <w:r>
        <w:t xml:space="preserve"> por medio de </w:t>
      </w:r>
      <w:r w:rsidR="00930C47">
        <w:t>un estado</w:t>
      </w:r>
      <w:r>
        <w:t xml:space="preserve"> divin</w:t>
      </w:r>
      <w:r w:rsidR="00930C47">
        <w:t>o</w:t>
      </w:r>
      <w:r>
        <w:t xml:space="preserve"> y porque </w:t>
      </w:r>
      <w:r w:rsidR="002B2F57">
        <w:t xml:space="preserve">tendrá </w:t>
      </w:r>
      <w:r>
        <w:t xml:space="preserve">como soporte </w:t>
      </w:r>
      <w:r w:rsidR="00930C47">
        <w:t xml:space="preserve">a tal estado </w:t>
      </w:r>
      <w:r>
        <w:t>divin</w:t>
      </w:r>
      <w:r w:rsidR="00930C47">
        <w:t>o</w:t>
      </w:r>
      <w:r>
        <w:t xml:space="preserve">. Y </w:t>
      </w:r>
      <w:r w:rsidR="00930C47">
        <w:t xml:space="preserve">será </w:t>
      </w:r>
      <w:r>
        <w:t>un “elemento oído” (</w:t>
      </w:r>
      <w:r w:rsidRPr="0031057D">
        <w:rPr>
          <w:i/>
          <w:iCs/>
        </w:rPr>
        <w:t>sota-</w:t>
      </w:r>
      <w:proofErr w:type="spellStart"/>
      <w:r w:rsidRPr="0031057D">
        <w:rPr>
          <w:i/>
          <w:iCs/>
        </w:rPr>
        <w:t>dhātu</w:t>
      </w:r>
      <w:proofErr w:type="spellEnd"/>
      <w:r>
        <w:t xml:space="preserve">) en el </w:t>
      </w:r>
      <w:r w:rsidR="00930C47">
        <w:t xml:space="preserve">contexto </w:t>
      </w:r>
      <w:r>
        <w:t xml:space="preserve">de </w:t>
      </w:r>
      <w:r w:rsidR="00930C47">
        <w:t xml:space="preserve">la audición </w:t>
      </w:r>
      <w:r>
        <w:t>(</w:t>
      </w:r>
      <w:proofErr w:type="spellStart"/>
      <w:r w:rsidRPr="0031057D">
        <w:rPr>
          <w:i/>
          <w:iCs/>
        </w:rPr>
        <w:t>savana</w:t>
      </w:r>
      <w:proofErr w:type="spellEnd"/>
      <w:r>
        <w:t xml:space="preserve">) y en el </w:t>
      </w:r>
      <w:r w:rsidR="00930C47">
        <w:t>contexto</w:t>
      </w:r>
      <w:r>
        <w:t xml:space="preserve"> de ser un elemento </w:t>
      </w:r>
      <w:r w:rsidR="00930C47">
        <w:t xml:space="preserve">carente de </w:t>
      </w:r>
      <w:r>
        <w:t xml:space="preserve">alma. También </w:t>
      </w:r>
      <w:r w:rsidR="00125652">
        <w:t xml:space="preserve">será </w:t>
      </w:r>
      <w:r>
        <w:t xml:space="preserve">un "elemento del oído" porque </w:t>
      </w:r>
      <w:r w:rsidR="00A729CE">
        <w:t xml:space="preserve">será </w:t>
      </w:r>
      <w:r>
        <w:t xml:space="preserve">como el elemento del oído en </w:t>
      </w:r>
      <w:r w:rsidR="00A729CE">
        <w:t>su</w:t>
      </w:r>
      <w:r>
        <w:t xml:space="preserve"> desempeño </w:t>
      </w:r>
      <w:r w:rsidR="00355B8A">
        <w:t>por medio de</w:t>
      </w:r>
      <w:r>
        <w:t xml:space="preserve"> </w:t>
      </w:r>
      <w:r w:rsidR="0072030C">
        <w:t>la</w:t>
      </w:r>
      <w:r>
        <w:t xml:space="preserve"> función de</w:t>
      </w:r>
      <w:r w:rsidR="00355B8A">
        <w:t>l</w:t>
      </w:r>
      <w:r>
        <w:t xml:space="preserve"> elemento del oído. Con ese elemento divino del oído... o</w:t>
      </w:r>
      <w:r w:rsidR="00355B8A">
        <w:t>irá</w:t>
      </w:r>
      <w:r>
        <w:t>...</w:t>
      </w:r>
    </w:p>
    <w:p w14:paraId="512C859A" w14:textId="6DD65F1A" w:rsidR="008E0D4D" w:rsidRDefault="00355B8A" w:rsidP="009C7898">
      <w:pPr>
        <w:pStyle w:val="NormalConSangria"/>
      </w:pPr>
      <w:r w:rsidRPr="00C96FDC">
        <w:rPr>
          <w:i/>
          <w:iCs/>
        </w:rPr>
        <w:t>Purificado</w:t>
      </w:r>
      <w:r w:rsidR="008E0D4D">
        <w:t xml:space="preserve">: bastante puro </w:t>
      </w:r>
      <w:r>
        <w:t>por carecer de impurezas</w:t>
      </w:r>
      <w:r w:rsidR="008E0D4D">
        <w:t xml:space="preserve">. </w:t>
      </w:r>
      <w:r w:rsidR="008E0D4D" w:rsidRPr="006A0885">
        <w:rPr>
          <w:i/>
          <w:iCs/>
        </w:rPr>
        <w:t>Y supera</w:t>
      </w:r>
      <w:r w:rsidRPr="006A0885">
        <w:rPr>
          <w:i/>
          <w:iCs/>
        </w:rPr>
        <w:t>rá</w:t>
      </w:r>
      <w:r w:rsidR="008E0D4D" w:rsidRPr="006A0885">
        <w:rPr>
          <w:i/>
          <w:iCs/>
        </w:rPr>
        <w:t xml:space="preserve"> al humano</w:t>
      </w:r>
      <w:r w:rsidR="008E0D4D">
        <w:t xml:space="preserve">: </w:t>
      </w:r>
      <w:r w:rsidR="00B914ED">
        <w:t>el cual</w:t>
      </w:r>
      <w:r w:rsidR="008E0D4D">
        <w:t xml:space="preserve"> en la audición de sonidos supera, está más allá, </w:t>
      </w:r>
      <w:r w:rsidR="006A0885">
        <w:t>d</w:t>
      </w:r>
      <w:r w:rsidR="008E0D4D">
        <w:t>el elemento del oído humano al superar el entorno humano.</w:t>
      </w:r>
    </w:p>
    <w:p w14:paraId="340E398A" w14:textId="265D3175" w:rsidR="008E0D4D" w:rsidRDefault="008E0D4D" w:rsidP="008E0D4D">
      <w:r>
        <w:t xml:space="preserve">3. </w:t>
      </w:r>
      <w:r w:rsidR="009C7898">
        <w:tab/>
      </w:r>
      <w:r w:rsidRPr="00C96FDC">
        <w:rPr>
          <w:i/>
          <w:iCs/>
        </w:rPr>
        <w:t>Oye ambos tipos de sonidos</w:t>
      </w:r>
      <w:r>
        <w:t>: oye los dos tipos de sonidos. ¿</w:t>
      </w:r>
      <w:r w:rsidR="006A0885">
        <w:t>Cuáles</w:t>
      </w:r>
      <w:r>
        <w:t xml:space="preserve"> dos? Lo divino y lo humano: </w:t>
      </w:r>
      <w:r w:rsidR="006A0885">
        <w:t xml:space="preserve">lo que se quiere decir es que </w:t>
      </w:r>
      <w:r w:rsidR="002C161E">
        <w:t xml:space="preserve">él oirá </w:t>
      </w:r>
      <w:r>
        <w:t xml:space="preserve">los sonidos de las deidades y de los seres humanos. Esto debe entenderse como parcialmente inclusivo. </w:t>
      </w:r>
      <w:r w:rsidRPr="00C96FDC">
        <w:rPr>
          <w:i/>
          <w:iCs/>
        </w:rPr>
        <w:t xml:space="preserve">Tanto los que </w:t>
      </w:r>
      <w:r w:rsidRPr="002C161E">
        <w:rPr>
          <w:i/>
          <w:iCs/>
        </w:rPr>
        <w:t>est</w:t>
      </w:r>
      <w:r w:rsidR="002C161E" w:rsidRPr="002C161E">
        <w:rPr>
          <w:i/>
          <w:iCs/>
        </w:rPr>
        <w:t>é</w:t>
      </w:r>
      <w:r w:rsidRPr="002C161E">
        <w:rPr>
          <w:i/>
          <w:iCs/>
        </w:rPr>
        <w:t>n</w:t>
      </w:r>
      <w:r w:rsidRPr="00C96FDC">
        <w:rPr>
          <w:i/>
          <w:iCs/>
        </w:rPr>
        <w:t xml:space="preserve"> lejos como los que están cerca</w:t>
      </w:r>
      <w:r>
        <w:t xml:space="preserve">: lo que </w:t>
      </w:r>
      <w:r w:rsidR="002C161E">
        <w:t xml:space="preserve">se </w:t>
      </w:r>
      <w:r>
        <w:t>quiere decir es que escucha</w:t>
      </w:r>
      <w:r w:rsidR="002C161E">
        <w:t>rá</w:t>
      </w:r>
      <w:r>
        <w:t xml:space="preserve"> sonidos que est</w:t>
      </w:r>
      <w:r w:rsidR="002C161E">
        <w:t>é</w:t>
      </w:r>
      <w:r>
        <w:t xml:space="preserve">n lejos, incluso en otra esfera </w:t>
      </w:r>
      <w:r w:rsidR="002C161E">
        <w:t>estelar</w:t>
      </w:r>
      <w:r>
        <w:t>, y los que est</w:t>
      </w:r>
      <w:r w:rsidR="002C161E">
        <w:t>é</w:t>
      </w:r>
      <w:r>
        <w:t>n cerca, inclus</w:t>
      </w:r>
      <w:r w:rsidR="002C161E">
        <w:t>ive</w:t>
      </w:r>
      <w:r>
        <w:t xml:space="preserve"> los sonidos de las criaturas que </w:t>
      </w:r>
      <w:r w:rsidR="002C161E">
        <w:t xml:space="preserve">habiten </w:t>
      </w:r>
      <w:r>
        <w:t>en su propio cuerpo. Esto debe entenderse como completamente inclusivo.</w:t>
      </w:r>
    </w:p>
    <w:p w14:paraId="4549999C" w14:textId="2D3FC511" w:rsidR="00602B0E" w:rsidRDefault="008E0D4D" w:rsidP="008E0D4D">
      <w:r>
        <w:t xml:space="preserve">4. </w:t>
      </w:r>
      <w:r w:rsidR="009C7898">
        <w:tab/>
      </w:r>
      <w:r>
        <w:t xml:space="preserve">Pero ¿cómo se despierta este elemento del oído divino? El </w:t>
      </w:r>
      <w:proofErr w:type="spellStart"/>
      <w:r w:rsidR="00057BF4" w:rsidRPr="00057BF4">
        <w:rPr>
          <w:i/>
        </w:rPr>
        <w:t>bhikkhu</w:t>
      </w:r>
      <w:proofErr w:type="spellEnd"/>
      <w:r>
        <w:t xml:space="preserve"> [408] </w:t>
      </w:r>
      <w:r w:rsidRPr="004E6C80">
        <w:t>debe</w:t>
      </w:r>
      <w:r w:rsidR="004E6C80">
        <w:t xml:space="preserve">rá </w:t>
      </w:r>
      <w:r w:rsidR="00087D69">
        <w:t>desarrollar</w:t>
      </w:r>
      <w:r>
        <w:t xml:space="preserve"> </w:t>
      </w:r>
      <w:r w:rsidR="004E6C80">
        <w:t xml:space="preserve">el </w:t>
      </w:r>
      <w:proofErr w:type="spellStart"/>
      <w:r w:rsidR="00057BF4" w:rsidRPr="00057BF4">
        <w:rPr>
          <w:i/>
        </w:rPr>
        <w:t>jhāna</w:t>
      </w:r>
      <w:proofErr w:type="spellEnd"/>
      <w:r>
        <w:t xml:space="preserve"> como base para el conocimiento directo y emerger. Entonces, con la con</w:t>
      </w:r>
      <w:r w:rsidR="004E6C80">
        <w:t>s</w:t>
      </w:r>
      <w:r>
        <w:t xml:space="preserve">ciencia </w:t>
      </w:r>
    </w:p>
    <w:p w14:paraId="3B02AD81" w14:textId="77777777" w:rsidR="00602B0E" w:rsidRDefault="00602B0E">
      <w:pPr>
        <w:tabs>
          <w:tab w:val="clear" w:pos="425"/>
        </w:tabs>
        <w:spacing w:after="160"/>
      </w:pPr>
      <w:r>
        <w:br w:type="page"/>
      </w:r>
    </w:p>
    <w:p w14:paraId="364DB216" w14:textId="77777777" w:rsidR="00A93E8C" w:rsidRDefault="00A93E8C" w:rsidP="008E0D4D"/>
    <w:p w14:paraId="61BEFE01" w14:textId="2CF7AADA" w:rsidR="00A93E8C" w:rsidRPr="00F562A1" w:rsidRDefault="00BA5E15" w:rsidP="00A93E8C">
      <w:pPr>
        <w:rPr>
          <w:vertAlign w:val="superscript"/>
        </w:rPr>
      </w:pPr>
      <w:r>
        <w:t>perteneciente al trabajo preliminar de la concentración</w:t>
      </w:r>
      <w:r w:rsidR="00A93E8C" w:rsidRPr="00860716">
        <w:rPr>
          <w:vertAlign w:val="superscript"/>
        </w:rPr>
        <w:t>1</w:t>
      </w:r>
      <w:r w:rsidR="00A93E8C">
        <w:t xml:space="preserve"> </w:t>
      </w:r>
      <w:r w:rsidR="00087D69">
        <w:t>d</w:t>
      </w:r>
      <w:r w:rsidR="00A93E8C">
        <w:t>ebe</w:t>
      </w:r>
      <w:r>
        <w:t>rá</w:t>
      </w:r>
      <w:r w:rsidR="00A93E8C">
        <w:t xml:space="preserve"> </w:t>
      </w:r>
      <w:r w:rsidR="0006008F">
        <w:t>advertir</w:t>
      </w:r>
      <w:r w:rsidR="00A93E8C">
        <w:t xml:space="preserve"> primero los sonidos </w:t>
      </w:r>
      <w:r w:rsidR="0006008F">
        <w:t>burdos</w:t>
      </w:r>
      <w:r w:rsidR="00A93E8C">
        <w:t xml:space="preserve"> </w:t>
      </w:r>
      <w:r w:rsidR="0006008F">
        <w:t xml:space="preserve">a </w:t>
      </w:r>
      <w:r w:rsidR="00A93E8C">
        <w:t xml:space="preserve">la distancia normalmente dentro del rango de audición: el sonido en el bosque de </w:t>
      </w:r>
      <w:r w:rsidR="0006008F">
        <w:t xml:space="preserve">los </w:t>
      </w:r>
      <w:r w:rsidR="00A93E8C">
        <w:t>leones, etc., o en el monasterio el sonido de un gong, el sonido de un tambor, el sonido de una caracola, el sonido de la recitación por parte de los nov</w:t>
      </w:r>
      <w:r w:rsidR="0006008F">
        <w:t>icios</w:t>
      </w:r>
      <w:r w:rsidR="00A93E8C">
        <w:t xml:space="preserve"> y </w:t>
      </w:r>
      <w:r w:rsidR="00592156">
        <w:t>d</w:t>
      </w:r>
      <w:r w:rsidR="00A93E8C">
        <w:t>e</w:t>
      </w:r>
      <w:r w:rsidR="00592156">
        <w:t xml:space="preserve"> </w:t>
      </w:r>
      <w:r w:rsidR="00A93E8C">
        <w:t>l</w:t>
      </w:r>
      <w:r w:rsidR="00592156">
        <w:t>os</w:t>
      </w:r>
      <w:r w:rsidR="00A93E8C">
        <w:t xml:space="preserve"> j</w:t>
      </w:r>
      <w:r w:rsidR="00592156">
        <w:t>ó</w:t>
      </w:r>
      <w:r w:rsidR="00A93E8C">
        <w:t>ven</w:t>
      </w:r>
      <w:r w:rsidR="00592156">
        <w:t>es</w:t>
      </w:r>
      <w:r w:rsidR="00A93E8C">
        <w:t xml:space="preserve"> </w:t>
      </w:r>
      <w:proofErr w:type="spellStart"/>
      <w:r w:rsidR="00087D69" w:rsidRPr="00057BF4">
        <w:rPr>
          <w:i/>
        </w:rPr>
        <w:t>bhikkhu</w:t>
      </w:r>
      <w:r w:rsidR="00087D69">
        <w:t>s</w:t>
      </w:r>
      <w:proofErr w:type="spellEnd"/>
      <w:r w:rsidR="00087D69">
        <w:t xml:space="preserve">, </w:t>
      </w:r>
      <w:r w:rsidR="00A93E8C">
        <w:t xml:space="preserve">recitando con </w:t>
      </w:r>
      <w:r w:rsidR="00087D69">
        <w:t>total</w:t>
      </w:r>
      <w:r w:rsidR="00A93E8C">
        <w:t xml:space="preserve"> vigor, el sonido de su charla ordinaria, como "¿Qué, </w:t>
      </w:r>
      <w:r w:rsidR="00592156">
        <w:t>Venerable Señor</w:t>
      </w:r>
      <w:r w:rsidR="00A93E8C">
        <w:t>?", "¿Qué amigo?", etc., el sonido de las aves, el sonido del viento, el sonido de los pasos, el sonido efervescente de</w:t>
      </w:r>
      <w:r w:rsidR="00592156">
        <w:t>l</w:t>
      </w:r>
      <w:r w:rsidR="00A93E8C">
        <w:t xml:space="preserve"> agua hirviendo, el sonido de las hojas de palma que se secan al </w:t>
      </w:r>
      <w:r w:rsidR="00592156">
        <w:t>Sol</w:t>
      </w:r>
      <w:r w:rsidR="00A93E8C">
        <w:t xml:space="preserve">, el sonido de las hormigas, etc. Comenzando de esta manera con sonidos bastante </w:t>
      </w:r>
      <w:r w:rsidR="002A5067">
        <w:t>burdos</w:t>
      </w:r>
      <w:r w:rsidR="00A93E8C">
        <w:t>, deber</w:t>
      </w:r>
      <w:r w:rsidR="002A5067">
        <w:t>á</w:t>
      </w:r>
      <w:r w:rsidR="00A93E8C">
        <w:t xml:space="preserve"> </w:t>
      </w:r>
      <w:r w:rsidR="002A5067">
        <w:t xml:space="preserve">advertir </w:t>
      </w:r>
      <w:r w:rsidR="00A93E8C">
        <w:t>sucesivamente sonidos cada vez más sutiles. Debe</w:t>
      </w:r>
      <w:r w:rsidR="002A5067">
        <w:t>rá</w:t>
      </w:r>
      <w:r w:rsidR="00A93E8C">
        <w:t xml:space="preserve"> prestar atención al signo de los sonidos en la dirección oriental, en la dirección occidental, en la dirección norte, en la dirección sur, en la dirección superior, en la dirección inferior, en la dirección intermedia </w:t>
      </w:r>
      <w:r w:rsidR="00F66955">
        <w:t>este</w:t>
      </w:r>
      <w:r w:rsidR="00A93E8C">
        <w:t xml:space="preserve">, </w:t>
      </w:r>
      <w:r w:rsidR="00FE23AA">
        <w:t>hacia</w:t>
      </w:r>
      <w:r w:rsidR="00A93E8C">
        <w:t xml:space="preserve"> </w:t>
      </w:r>
      <w:r w:rsidR="005E443E">
        <w:t xml:space="preserve">la </w:t>
      </w:r>
      <w:r w:rsidR="00A93E8C">
        <w:t>dirección intermedia</w:t>
      </w:r>
      <w:r w:rsidR="00DE4F2A">
        <w:t xml:space="preserve"> </w:t>
      </w:r>
      <w:r w:rsidR="00F66955">
        <w:t>oeste</w:t>
      </w:r>
      <w:r w:rsidR="00A93E8C">
        <w:t xml:space="preserve">, </w:t>
      </w:r>
      <w:r w:rsidR="00FE23AA">
        <w:t xml:space="preserve">hacia </w:t>
      </w:r>
      <w:r w:rsidR="00A93E8C">
        <w:t xml:space="preserve">la dirección intermedia norte, y </w:t>
      </w:r>
      <w:r w:rsidR="00FE23AA">
        <w:t xml:space="preserve">hacia </w:t>
      </w:r>
      <w:r w:rsidR="00A93E8C">
        <w:t>la dirección intermedia sur. Deber</w:t>
      </w:r>
      <w:r w:rsidR="00FE23AA">
        <w:t>á</w:t>
      </w:r>
      <w:r w:rsidR="00A93E8C">
        <w:t xml:space="preserve"> prestar atención al signo de</w:t>
      </w:r>
      <w:r w:rsidR="00F522A7">
        <w:t>l</w:t>
      </w:r>
      <w:r w:rsidR="00A93E8C">
        <w:t xml:space="preserve"> sonido </w:t>
      </w:r>
      <w:r w:rsidR="00D064A4">
        <w:t xml:space="preserve">burdo </w:t>
      </w:r>
      <w:r w:rsidR="00A93E8C">
        <w:t>y sutil</w:t>
      </w:r>
      <w:r w:rsidR="00F562A1">
        <w:t>.</w:t>
      </w:r>
      <w:r w:rsidR="00F562A1">
        <w:rPr>
          <w:vertAlign w:val="superscript"/>
        </w:rPr>
        <w:t>2</w:t>
      </w:r>
    </w:p>
    <w:p w14:paraId="77235D81" w14:textId="4122D501" w:rsidR="00A93E8C" w:rsidRDefault="00A93E8C" w:rsidP="00A93E8C">
      <w:r>
        <w:t xml:space="preserve">5. </w:t>
      </w:r>
      <w:r>
        <w:tab/>
        <w:t xml:space="preserve">Estos sonidos </w:t>
      </w:r>
      <w:r w:rsidR="00D064A4">
        <w:t xml:space="preserve">serán </w:t>
      </w:r>
      <w:r>
        <w:t>evidentes inclus</w:t>
      </w:r>
      <w:r w:rsidR="008910D0">
        <w:t>ive</w:t>
      </w:r>
      <w:r>
        <w:t xml:space="preserve"> </w:t>
      </w:r>
      <w:r w:rsidR="00D064A4">
        <w:t>a</w:t>
      </w:r>
      <w:r w:rsidR="008910D0">
        <w:t>nte</w:t>
      </w:r>
      <w:r>
        <w:t xml:space="preserve"> su con</w:t>
      </w:r>
      <w:r w:rsidR="00D064A4">
        <w:t>s</w:t>
      </w:r>
      <w:r>
        <w:t xml:space="preserve">ciencia normal; pero </w:t>
      </w:r>
      <w:r w:rsidR="00D064A4">
        <w:t xml:space="preserve">serán </w:t>
      </w:r>
      <w:r>
        <w:t>especialmente evidentes a</w:t>
      </w:r>
      <w:r w:rsidR="008910D0">
        <w:t>nte</w:t>
      </w:r>
      <w:r>
        <w:t xml:space="preserve"> </w:t>
      </w:r>
      <w:r w:rsidR="00D064A4">
        <w:t>la</w:t>
      </w:r>
      <w:r>
        <w:t xml:space="preserve"> con</w:t>
      </w:r>
      <w:r w:rsidR="00D064A4">
        <w:t>s</w:t>
      </w:r>
      <w:r>
        <w:t xml:space="preserve">ciencia </w:t>
      </w:r>
      <w:r w:rsidR="00D064A4">
        <w:t xml:space="preserve">del trabajo </w:t>
      </w:r>
      <w:r>
        <w:t xml:space="preserve">preliminar de </w:t>
      </w:r>
      <w:r w:rsidR="00D064A4">
        <w:t xml:space="preserve">su </w:t>
      </w:r>
      <w:r>
        <w:t>concentración.</w:t>
      </w:r>
      <w:r w:rsidRPr="00207128">
        <w:rPr>
          <w:vertAlign w:val="superscript"/>
        </w:rPr>
        <w:t>3</w:t>
      </w:r>
      <w:r>
        <w:t xml:space="preserve"> A medida que prest</w:t>
      </w:r>
      <w:r w:rsidR="00D064A4">
        <w:t>e</w:t>
      </w:r>
      <w:r>
        <w:t xml:space="preserve"> </w:t>
      </w:r>
      <w:r w:rsidR="00D064A4">
        <w:t xml:space="preserve">así </w:t>
      </w:r>
      <w:r>
        <w:t xml:space="preserve">atención al </w:t>
      </w:r>
      <w:r w:rsidR="00D064A4">
        <w:t>signo</w:t>
      </w:r>
      <w:r>
        <w:t xml:space="preserve"> del sonido, pensando "ahora surgirá el elemento del oído divino", surg</w:t>
      </w:r>
      <w:r w:rsidR="00D064A4">
        <w:t>irá</w:t>
      </w:r>
      <w:r>
        <w:t xml:space="preserve"> la advertencia e</w:t>
      </w:r>
      <w:r w:rsidR="00F14D9F">
        <w:t>n</w:t>
      </w:r>
      <w:r>
        <w:t xml:space="preserve"> </w:t>
      </w:r>
      <w:r w:rsidR="003F436E">
        <w:t xml:space="preserve">las </w:t>
      </w:r>
      <w:r>
        <w:t xml:space="preserve">puertas de la mente haciendo que uno de </w:t>
      </w:r>
      <w:r w:rsidR="003F436E">
        <w:t>é</w:t>
      </w:r>
      <w:r>
        <w:t>stos sea su objeto. Cuando e</w:t>
      </w:r>
      <w:r w:rsidR="003F436E">
        <w:t>ll</w:t>
      </w:r>
      <w:r>
        <w:t>o ha</w:t>
      </w:r>
      <w:r w:rsidR="003F436E">
        <w:t>ya</w:t>
      </w:r>
      <w:r>
        <w:t xml:space="preserve"> cesado, luego se impulsa</w:t>
      </w:r>
      <w:r w:rsidR="003F436E">
        <w:t>rá</w:t>
      </w:r>
      <w:r>
        <w:t xml:space="preserve">n cuatro o cinco impulsiones, </w:t>
      </w:r>
      <w:r w:rsidR="00ED3A52">
        <w:t xml:space="preserve">a </w:t>
      </w:r>
      <w:r>
        <w:t>las primeras</w:t>
      </w:r>
      <w:r w:rsidR="00A645F7" w:rsidRPr="00A645F7">
        <w:t xml:space="preserve"> </w:t>
      </w:r>
      <w:r w:rsidR="00A645F7">
        <w:t>tres</w:t>
      </w:r>
      <w:r>
        <w:t>, o cuatro, l</w:t>
      </w:r>
      <w:r w:rsidR="00E94A58">
        <w:t>a</w:t>
      </w:r>
      <w:r>
        <w:t xml:space="preserve">s cuales </w:t>
      </w:r>
      <w:r w:rsidR="00E94A58">
        <w:t>corresponderán a</w:t>
      </w:r>
      <w:r>
        <w:t xml:space="preserve"> la esfera </w:t>
      </w:r>
      <w:r w:rsidR="00E41BFF">
        <w:t>sensorial</w:t>
      </w:r>
      <w:r w:rsidR="00ED3A52">
        <w:t>,</w:t>
      </w:r>
      <w:r>
        <w:t xml:space="preserve"> se </w:t>
      </w:r>
      <w:r w:rsidR="00E41BFF">
        <w:t xml:space="preserve">le </w:t>
      </w:r>
      <w:r>
        <w:t>llama</w:t>
      </w:r>
      <w:r w:rsidR="00E41BFF">
        <w:t>rá</w:t>
      </w:r>
      <w:r>
        <w:t xml:space="preserve"> trabajo preliminar, acceso, conformidad y cambio de linaje, mientras que </w:t>
      </w:r>
      <w:r w:rsidR="00ED3A52">
        <w:t>a</w:t>
      </w:r>
      <w:r>
        <w:t xml:space="preserve">l cuarto, o quinto </w:t>
      </w:r>
      <w:r w:rsidR="00683BA0">
        <w:t xml:space="preserve">corresponderá a </w:t>
      </w:r>
      <w:r>
        <w:t>la con</w:t>
      </w:r>
      <w:r w:rsidR="00E41BFF">
        <w:t>s</w:t>
      </w:r>
      <w:r>
        <w:t xml:space="preserve">ciencia de </w:t>
      </w:r>
      <w:r w:rsidR="00ED3A52">
        <w:t xml:space="preserve">la </w:t>
      </w:r>
      <w:r>
        <w:t xml:space="preserve">absorción de la esfera de </w:t>
      </w:r>
      <w:r w:rsidR="00ED3A52">
        <w:t xml:space="preserve">la </w:t>
      </w:r>
      <w:r>
        <w:t xml:space="preserve">materia </w:t>
      </w:r>
      <w:r w:rsidR="00E41BFF">
        <w:t xml:space="preserve">sutil </w:t>
      </w:r>
      <w:r>
        <w:t>pertenec</w:t>
      </w:r>
      <w:r w:rsidR="00E41BFF">
        <w:t>iente</w:t>
      </w:r>
      <w:r>
        <w:t xml:space="preserve"> al cuarto </w:t>
      </w:r>
      <w:proofErr w:type="spellStart"/>
      <w:r w:rsidR="00057BF4" w:rsidRPr="00057BF4">
        <w:rPr>
          <w:i/>
        </w:rPr>
        <w:t>jhāna</w:t>
      </w:r>
      <w:proofErr w:type="spellEnd"/>
      <w:r>
        <w:t>.</w:t>
      </w:r>
    </w:p>
    <w:p w14:paraId="22C70258" w14:textId="0A57FE48" w:rsidR="00A93E8C" w:rsidRDefault="00A93E8C" w:rsidP="00A93E8C">
      <w:r>
        <w:t xml:space="preserve">6. </w:t>
      </w:r>
      <w:r w:rsidR="006F278C">
        <w:tab/>
      </w:r>
      <w:r>
        <w:t xml:space="preserve">Aquí, </w:t>
      </w:r>
      <w:r w:rsidR="00683BA0">
        <w:t>será</w:t>
      </w:r>
      <w:r>
        <w:t xml:space="preserve"> </w:t>
      </w:r>
      <w:r w:rsidR="00683BA0">
        <w:t>a</w:t>
      </w:r>
      <w:r>
        <w:t>l conocimiento surgido junto con la con</w:t>
      </w:r>
      <w:r w:rsidR="00683BA0">
        <w:t>s</w:t>
      </w:r>
      <w:r>
        <w:t xml:space="preserve">ciencia de </w:t>
      </w:r>
      <w:r w:rsidR="00ED3A52">
        <w:t xml:space="preserve">la </w:t>
      </w:r>
      <w:r>
        <w:t xml:space="preserve">absorción </w:t>
      </w:r>
      <w:r w:rsidR="00683BA0">
        <w:t xml:space="preserve">a lo </w:t>
      </w:r>
      <w:r>
        <w:t xml:space="preserve">que se </w:t>
      </w:r>
      <w:r w:rsidR="00ED3A52">
        <w:t xml:space="preserve">le </w:t>
      </w:r>
      <w:r>
        <w:t>llama</w:t>
      </w:r>
      <w:r w:rsidR="00683BA0">
        <w:t>rá</w:t>
      </w:r>
      <w:r>
        <w:t xml:space="preserve"> </w:t>
      </w:r>
      <w:r w:rsidR="00683BA0">
        <w:t xml:space="preserve">el </w:t>
      </w:r>
      <w:r>
        <w:t>elemento del oído divino. Después de e</w:t>
      </w:r>
      <w:r w:rsidR="00683BA0">
        <w:t>ll</w:t>
      </w:r>
      <w:r>
        <w:t>o</w:t>
      </w:r>
      <w:r w:rsidR="005362D9" w:rsidRPr="005362D9">
        <w:t xml:space="preserve"> </w:t>
      </w:r>
      <w:r w:rsidR="005362D9">
        <w:t>se fusionarán</w:t>
      </w:r>
      <w:r>
        <w:t xml:space="preserve"> la absorción</w:t>
      </w:r>
      <w:r w:rsidR="002D7581">
        <w:t xml:space="preserve"> alcanzada</w:t>
      </w:r>
      <w:r w:rsidR="005362D9">
        <w:t xml:space="preserve"> y</w:t>
      </w:r>
      <w:r>
        <w:t xml:space="preserve"> el elemento del oído divino</w:t>
      </w:r>
      <w:r w:rsidR="003F1322">
        <w:t>,</w:t>
      </w:r>
      <w:r>
        <w:t xml:space="preserve"> en ese oído de</w:t>
      </w:r>
      <w:r w:rsidR="003F1322">
        <w:t>l</w:t>
      </w:r>
      <w:r>
        <w:t xml:space="preserve"> conocimiento.</w:t>
      </w:r>
      <w:r w:rsidRPr="00207128">
        <w:rPr>
          <w:vertAlign w:val="superscript"/>
        </w:rPr>
        <w:t>4</w:t>
      </w:r>
      <w:r>
        <w:t xml:space="preserve"> Al consolidarlo, debe</w:t>
      </w:r>
      <w:r w:rsidR="003F1322">
        <w:t>rá</w:t>
      </w:r>
      <w:r>
        <w:t xml:space="preserve"> extenderlo delimitando </w:t>
      </w:r>
      <w:r w:rsidR="00D8327E">
        <w:t xml:space="preserve">la longitud de </w:t>
      </w:r>
      <w:r>
        <w:t>un solo dedo así, “Escucharé sonidos dentro de esta área, Luego dos dedo</w:t>
      </w:r>
      <w:r w:rsidR="00111E03">
        <w:t>s de ancho</w:t>
      </w:r>
      <w:r>
        <w:t xml:space="preserve">, cuatro dedos, ocho dedos, un </w:t>
      </w:r>
      <w:r w:rsidR="00533E30">
        <w:t>palmo</w:t>
      </w:r>
      <w:r>
        <w:t xml:space="preserve">, una </w:t>
      </w:r>
      <w:proofErr w:type="spellStart"/>
      <w:r w:rsidRPr="006F278C">
        <w:rPr>
          <w:i/>
          <w:iCs/>
        </w:rPr>
        <w:t>ratana</w:t>
      </w:r>
      <w:proofErr w:type="spellEnd"/>
      <w:r>
        <w:t xml:space="preserve"> (= </w:t>
      </w:r>
      <w:r w:rsidRPr="00860716">
        <w:t>2</w:t>
      </w:r>
      <w:r>
        <w:t>4 dedo</w:t>
      </w:r>
      <w:r w:rsidR="006C540D">
        <w:t>s de ancho</w:t>
      </w:r>
      <w:r>
        <w:t xml:space="preserve">), el interior </w:t>
      </w:r>
    </w:p>
    <w:p w14:paraId="47B1B3C6" w14:textId="078ED635" w:rsidR="00A93E8C" w:rsidRPr="00A93E8C" w:rsidRDefault="00A93E8C" w:rsidP="00A93E8C">
      <w:pPr>
        <w:pStyle w:val="PiedepginaLegal"/>
        <w:rPr>
          <w:u w:val="single"/>
        </w:rPr>
      </w:pPr>
      <w:r w:rsidRPr="00A93E8C">
        <w:rPr>
          <w:u w:val="single"/>
        </w:rPr>
        <w:t xml:space="preserve">                                                                                                                                                          .</w:t>
      </w:r>
    </w:p>
    <w:p w14:paraId="074A898D" w14:textId="5628E4E0" w:rsidR="00A93E8C" w:rsidRDefault="00A93E8C" w:rsidP="00A93E8C">
      <w:pPr>
        <w:pStyle w:val="PiedepginaLegal"/>
      </w:pPr>
      <w:r>
        <w:t xml:space="preserve">1. </w:t>
      </w:r>
      <w:r>
        <w:tab/>
        <w:t>“Con la con</w:t>
      </w:r>
      <w:r w:rsidR="003E1460">
        <w:t>s</w:t>
      </w:r>
      <w:r>
        <w:t>ciencia perteneciente a la concentración particular que constituye el trabajo preliminar. El significado es: por medio de la con</w:t>
      </w:r>
      <w:r w:rsidR="003E1460">
        <w:t>s</w:t>
      </w:r>
      <w:r>
        <w:t xml:space="preserve">ciencia concentrada </w:t>
      </w:r>
      <w:r w:rsidR="006F3E63">
        <w:t>mediante</w:t>
      </w:r>
      <w:r>
        <w:t xml:space="preserve"> la concentración momentánea que ocurr</w:t>
      </w:r>
      <w:r w:rsidR="00F653A2">
        <w:t>a</w:t>
      </w:r>
      <w:r>
        <w:t xml:space="preserve"> en </w:t>
      </w:r>
      <w:r w:rsidR="00FF0843">
        <w:t xml:space="preserve">la </w:t>
      </w:r>
      <w:r>
        <w:t xml:space="preserve">forma de trabajo preliminar para el conocimiento del elemento del oído divino. </w:t>
      </w:r>
      <w:r w:rsidR="006F3E63">
        <w:t>A l</w:t>
      </w:r>
      <w:r>
        <w:t xml:space="preserve">a ocasión del acceso al elemento del oído divino se </w:t>
      </w:r>
      <w:r w:rsidR="006F3E63">
        <w:t xml:space="preserve">le </w:t>
      </w:r>
      <w:r>
        <w:t>llama</w:t>
      </w:r>
      <w:r w:rsidR="006F3E63">
        <w:t>rá</w:t>
      </w:r>
      <w:r>
        <w:t xml:space="preserve"> </w:t>
      </w:r>
      <w:r w:rsidR="003F5193">
        <w:t xml:space="preserve">trabajo preliminar de la </w:t>
      </w:r>
      <w:r>
        <w:t>con</w:t>
      </w:r>
      <w:r w:rsidR="006F3E63">
        <w:t>s</w:t>
      </w:r>
      <w:r>
        <w:t>ciencia, pero que como se indica se refer</w:t>
      </w:r>
      <w:r w:rsidR="009B25AB">
        <w:t>irá</w:t>
      </w:r>
      <w:r>
        <w:t xml:space="preserve"> a múltiple</w:t>
      </w:r>
      <w:r w:rsidR="00AE701F">
        <w:t>s</w:t>
      </w:r>
      <w:r>
        <w:t xml:space="preserve"> </w:t>
      </w:r>
      <w:r w:rsidR="00000CB0">
        <w:t>percepciones</w:t>
      </w:r>
      <w:r>
        <w:t>”</w:t>
      </w:r>
      <w:r w:rsidR="006F278C">
        <w:t xml:space="preserve"> </w:t>
      </w:r>
      <w:r>
        <w:t>(</w:t>
      </w:r>
      <w:proofErr w:type="spellStart"/>
      <w:r>
        <w:t>Vism-Mhṭ</w:t>
      </w:r>
      <w:proofErr w:type="spellEnd"/>
      <w:r>
        <w:t xml:space="preserve"> 401).</w:t>
      </w:r>
    </w:p>
    <w:p w14:paraId="518B98CC" w14:textId="47763544" w:rsidR="00A93E8C" w:rsidRDefault="00A93E8C" w:rsidP="00A93E8C">
      <w:pPr>
        <w:pStyle w:val="PiedepginaLegal"/>
      </w:pPr>
      <w:r>
        <w:t xml:space="preserve">2. </w:t>
      </w:r>
      <w:r>
        <w:tab/>
        <w:t>“El signo de</w:t>
      </w:r>
      <w:r w:rsidR="007848AA">
        <w:t>l</w:t>
      </w:r>
      <w:r>
        <w:t xml:space="preserve"> sonido </w:t>
      </w:r>
      <w:r w:rsidR="007848AA">
        <w:t>será</w:t>
      </w:r>
      <w:r>
        <w:t xml:space="preserve"> el sonido en sí, ya que </w:t>
      </w:r>
      <w:r w:rsidR="007848AA">
        <w:t>será</w:t>
      </w:r>
      <w:r>
        <w:t xml:space="preserve"> la causa del surgimiento del conocimiento. O el aspecto </w:t>
      </w:r>
      <w:r w:rsidR="007848AA">
        <w:t>burdo</w:t>
      </w:r>
      <w:r w:rsidR="007A6ABC">
        <w:t>-</w:t>
      </w:r>
      <w:r>
        <w:t>sutil adquirido en la forma en que se indi</w:t>
      </w:r>
      <w:r w:rsidR="007848AA">
        <w:t>que</w:t>
      </w:r>
      <w:r>
        <w:t xml:space="preserve"> el signo de</w:t>
      </w:r>
      <w:r w:rsidR="00000CB0">
        <w:t>l</w:t>
      </w:r>
      <w:r>
        <w:t xml:space="preserve"> sonido”</w:t>
      </w:r>
      <w:r w:rsidR="006F278C">
        <w:t xml:space="preserve"> </w:t>
      </w:r>
      <w:r>
        <w:t>(</w:t>
      </w:r>
      <w:proofErr w:type="spellStart"/>
      <w:r>
        <w:t>Vism-Mhṭ</w:t>
      </w:r>
      <w:proofErr w:type="spellEnd"/>
      <w:r>
        <w:t xml:space="preserve"> 402).</w:t>
      </w:r>
    </w:p>
    <w:p w14:paraId="7371BB40" w14:textId="0FA5036D" w:rsidR="00A93E8C" w:rsidRDefault="00A93E8C" w:rsidP="00A93E8C">
      <w:pPr>
        <w:pStyle w:val="PiedepginaLegal"/>
      </w:pPr>
      <w:r>
        <w:t xml:space="preserve">3. </w:t>
      </w:r>
      <w:r>
        <w:tab/>
        <w:t xml:space="preserve">“Esta </w:t>
      </w:r>
      <w:r w:rsidR="007848AA">
        <w:t xml:space="preserve">será </w:t>
      </w:r>
      <w:r>
        <w:t>la con</w:t>
      </w:r>
      <w:r w:rsidR="007848AA">
        <w:t>s</w:t>
      </w:r>
      <w:r>
        <w:t xml:space="preserve">ciencia de </w:t>
      </w:r>
      <w:r w:rsidR="007848AA">
        <w:t xml:space="preserve">la </w:t>
      </w:r>
      <w:r>
        <w:t>concentración momentánea, que se debe</w:t>
      </w:r>
      <w:r w:rsidR="007848AA">
        <w:t>rá</w:t>
      </w:r>
      <w:r>
        <w:t xml:space="preserve"> al hecho de que se ha</w:t>
      </w:r>
      <w:r w:rsidR="007848AA">
        <w:t>br</w:t>
      </w:r>
      <w:r w:rsidR="00FB59B5">
        <w:t>á</w:t>
      </w:r>
      <w:r>
        <w:t xml:space="preserve"> realizado el trabajo preliminar contingente al sonido, se produc</w:t>
      </w:r>
      <w:r w:rsidR="00FB59B5">
        <w:t>irá</w:t>
      </w:r>
      <w:r>
        <w:t xml:space="preserve"> en alguien que ha</w:t>
      </w:r>
      <w:r w:rsidR="00FB59B5">
        <w:t xml:space="preserve">ya </w:t>
      </w:r>
      <w:r>
        <w:t xml:space="preserve">alcanzado el </w:t>
      </w:r>
      <w:proofErr w:type="spellStart"/>
      <w:r w:rsidR="00057BF4" w:rsidRPr="00057BF4">
        <w:rPr>
          <w:i/>
        </w:rPr>
        <w:t>jhāna</w:t>
      </w:r>
      <w:proofErr w:type="spellEnd"/>
      <w:r>
        <w:t xml:space="preserve"> básico y surgi</w:t>
      </w:r>
      <w:r w:rsidR="002C7493">
        <w:t>rá</w:t>
      </w:r>
      <w:r>
        <w:t xml:space="preserve"> con el propósito de despertar el elemento del oído divino" (VISM -</w:t>
      </w:r>
      <w:proofErr w:type="spellStart"/>
      <w:r>
        <w:t>mhṭ</w:t>
      </w:r>
      <w:proofErr w:type="spellEnd"/>
      <w:r>
        <w:t xml:space="preserve"> 402).</w:t>
      </w:r>
    </w:p>
    <w:p w14:paraId="6CACD760" w14:textId="66977AC2" w:rsidR="00A93E8C" w:rsidRDefault="00A93E8C" w:rsidP="00A93E8C">
      <w:pPr>
        <w:pStyle w:val="PiedepginaLegal"/>
      </w:pPr>
      <w:r>
        <w:t xml:space="preserve">4. </w:t>
      </w:r>
      <w:r>
        <w:tab/>
        <w:t>"Se fusiona</w:t>
      </w:r>
      <w:r w:rsidR="002C7493">
        <w:t>rá</w:t>
      </w:r>
      <w:r>
        <w:t>" se fusiona</w:t>
      </w:r>
      <w:r w:rsidR="000B6163">
        <w:t>rá</w:t>
      </w:r>
      <w:r>
        <w:t xml:space="preserve"> con el elemento del oído divino. </w:t>
      </w:r>
      <w:r w:rsidR="002C7493">
        <w:t>A él s</w:t>
      </w:r>
      <w:r>
        <w:t>e le llama</w:t>
      </w:r>
      <w:r w:rsidR="002C7493">
        <w:t>rá</w:t>
      </w:r>
      <w:r>
        <w:t xml:space="preserve"> obten</w:t>
      </w:r>
      <w:r w:rsidR="00A33D8F">
        <w:t>t</w:t>
      </w:r>
      <w:r>
        <w:t>or del conocimiento del oído divino tan pronto como haya surgido la con</w:t>
      </w:r>
      <w:r w:rsidR="00BA5E01">
        <w:t>s</w:t>
      </w:r>
      <w:r>
        <w:t xml:space="preserve">ciencia de absorción. El significado </w:t>
      </w:r>
      <w:r w:rsidR="00BA5E01">
        <w:t xml:space="preserve">será </w:t>
      </w:r>
      <w:r>
        <w:t xml:space="preserve">que </w:t>
      </w:r>
      <w:r w:rsidR="00BA5E01">
        <w:t>entonces</w:t>
      </w:r>
      <w:r>
        <w:t xml:space="preserve"> no ha</w:t>
      </w:r>
      <w:r w:rsidR="00BA5E01">
        <w:t>brá</w:t>
      </w:r>
      <w:r>
        <w:t xml:space="preserve"> más necesidad de desarroll</w:t>
      </w:r>
      <w:r w:rsidR="00F522A7">
        <w:t>arse</w:t>
      </w:r>
      <w:r>
        <w:t xml:space="preserve"> </w:t>
      </w:r>
      <w:r w:rsidR="00D8607E">
        <w:t>al respecto</w:t>
      </w:r>
      <w:r>
        <w:t>”</w:t>
      </w:r>
      <w:r w:rsidR="006F278C">
        <w:t xml:space="preserve"> </w:t>
      </w:r>
      <w:r>
        <w:t>(</w:t>
      </w:r>
      <w:proofErr w:type="spellStart"/>
      <w:r>
        <w:t>Vism-Mhṭ</w:t>
      </w:r>
      <w:proofErr w:type="spellEnd"/>
      <w:r>
        <w:t xml:space="preserve"> 403).</w:t>
      </w:r>
    </w:p>
    <w:p w14:paraId="6E513DD7" w14:textId="77777777" w:rsidR="00A93E8C" w:rsidRDefault="00A93E8C">
      <w:pPr>
        <w:tabs>
          <w:tab w:val="clear" w:pos="425"/>
        </w:tabs>
        <w:spacing w:after="160"/>
      </w:pPr>
      <w:r>
        <w:br w:type="page"/>
      </w:r>
    </w:p>
    <w:p w14:paraId="5188305B" w14:textId="77777777" w:rsidR="00177093" w:rsidRDefault="00177093" w:rsidP="00A93E8C"/>
    <w:p w14:paraId="71B0B071" w14:textId="277B1CA2" w:rsidR="00177093" w:rsidRDefault="00D1030F" w:rsidP="00177093">
      <w:r>
        <w:t xml:space="preserve">de </w:t>
      </w:r>
      <w:r w:rsidR="00AB0FED">
        <w:t xml:space="preserve">una </w:t>
      </w:r>
      <w:r w:rsidR="00177093">
        <w:t xml:space="preserve">habitación, </w:t>
      </w:r>
      <w:r w:rsidR="00AB0FED">
        <w:t xml:space="preserve">hasta </w:t>
      </w:r>
      <w:r w:rsidR="00177093">
        <w:t xml:space="preserve">la veranda, </w:t>
      </w:r>
      <w:r w:rsidR="00423A76">
        <w:t>toda la edificación</w:t>
      </w:r>
      <w:r w:rsidR="00177093">
        <w:t>, la caminata circundante, el parque que pertene</w:t>
      </w:r>
      <w:r w:rsidR="00423A76">
        <w:t>zca</w:t>
      </w:r>
      <w:r w:rsidR="00177093">
        <w:t xml:space="preserve"> a la comunidad, el pueblo </w:t>
      </w:r>
      <w:r w:rsidR="00BD36B7">
        <w:t xml:space="preserve">de la ronda </w:t>
      </w:r>
      <w:r w:rsidR="00177093">
        <w:t xml:space="preserve">de </w:t>
      </w:r>
      <w:r w:rsidR="00BD36B7">
        <w:t>ofrendas</w:t>
      </w:r>
      <w:r w:rsidR="00177093">
        <w:t xml:space="preserve">, </w:t>
      </w:r>
      <w:r w:rsidR="00BD36B7">
        <w:t xml:space="preserve">todo </w:t>
      </w:r>
      <w:r w:rsidR="00177093">
        <w:t xml:space="preserve">el distrito, etc. hasta el límite de la esfera </w:t>
      </w:r>
      <w:r w:rsidR="00BD36B7">
        <w:t>estelar</w:t>
      </w:r>
      <w:r w:rsidR="00177093">
        <w:t>, o inclus</w:t>
      </w:r>
      <w:r w:rsidR="00BD36B7">
        <w:t>ive</w:t>
      </w:r>
      <w:r w:rsidR="00177093">
        <w:t xml:space="preserve"> más</w:t>
      </w:r>
      <w:r w:rsidR="00BD36B7">
        <w:t xml:space="preserve"> allá</w:t>
      </w:r>
      <w:r w:rsidR="00177093">
        <w:t>. Así es como debe</w:t>
      </w:r>
      <w:r w:rsidR="00BD36B7">
        <w:t>rá</w:t>
      </w:r>
      <w:r w:rsidR="00177093">
        <w:t xml:space="preserve"> extenderlo por </w:t>
      </w:r>
      <w:r w:rsidR="00BD36B7">
        <w:t xml:space="preserve">medio de </w:t>
      </w:r>
      <w:r w:rsidR="00177093">
        <w:t>etapas delimitadas.</w:t>
      </w:r>
    </w:p>
    <w:p w14:paraId="226DCF72" w14:textId="4ABDD2CE" w:rsidR="00177093" w:rsidRDefault="00177093" w:rsidP="00177093">
      <w:r>
        <w:t xml:space="preserve">7. </w:t>
      </w:r>
      <w:r>
        <w:tab/>
      </w:r>
      <w:r w:rsidR="00533E30">
        <w:t xml:space="preserve">Alguien </w:t>
      </w:r>
      <w:r>
        <w:t>que ha</w:t>
      </w:r>
      <w:r w:rsidR="00533E30">
        <w:t>ya</w:t>
      </w:r>
      <w:r>
        <w:t xml:space="preserve"> </w:t>
      </w:r>
      <w:r w:rsidR="00533E30">
        <w:t xml:space="preserve">desarrollado </w:t>
      </w:r>
      <w:r>
        <w:t>el conocimiento directo de esta manera también escucha</w:t>
      </w:r>
      <w:r w:rsidR="00533E30">
        <w:t>rá</w:t>
      </w:r>
      <w:r>
        <w:t xml:space="preserve"> por medio del conocimiento directo</w:t>
      </w:r>
      <w:r w:rsidR="00A6733E">
        <w:t>,</w:t>
      </w:r>
      <w:r>
        <w:t xml:space="preserve"> sin </w:t>
      </w:r>
      <w:r w:rsidR="00533E30">
        <w:t xml:space="preserve">necesidad de </w:t>
      </w:r>
      <w:r>
        <w:t xml:space="preserve">volver a </w:t>
      </w:r>
      <w:r w:rsidR="00533E30">
        <w:t>penetrar e</w:t>
      </w:r>
      <w:r>
        <w:t xml:space="preserve">l </w:t>
      </w:r>
      <w:proofErr w:type="spellStart"/>
      <w:r w:rsidR="00057BF4" w:rsidRPr="00057BF4">
        <w:rPr>
          <w:i/>
        </w:rPr>
        <w:t>jhāna</w:t>
      </w:r>
      <w:proofErr w:type="spellEnd"/>
      <w:r>
        <w:t xml:space="preserve"> básico</w:t>
      </w:r>
      <w:r w:rsidR="00A6733E">
        <w:t>,</w:t>
      </w:r>
      <w:r>
        <w:t xml:space="preserve"> cualquier sonido que haya </w:t>
      </w:r>
      <w:r w:rsidR="00A6733E">
        <w:t>llegado</w:t>
      </w:r>
      <w:r>
        <w:t xml:space="preserve"> dentro del espacio </w:t>
      </w:r>
      <w:r w:rsidR="00A6733E">
        <w:t>de contacto por medio d</w:t>
      </w:r>
      <w:r>
        <w:t>el objeto básico de</w:t>
      </w:r>
      <w:r w:rsidR="00A6733E">
        <w:t>l</w:t>
      </w:r>
      <w:r>
        <w:t xml:space="preserve"> </w:t>
      </w:r>
      <w:proofErr w:type="spellStart"/>
      <w:r w:rsidR="004A6628" w:rsidRPr="004A6628">
        <w:rPr>
          <w:i/>
          <w:iCs/>
        </w:rPr>
        <w:t>j</w:t>
      </w:r>
      <w:r w:rsidR="00057BF4" w:rsidRPr="004A6628">
        <w:rPr>
          <w:i/>
          <w:iCs/>
        </w:rPr>
        <w:t>hāna</w:t>
      </w:r>
      <w:proofErr w:type="spellEnd"/>
      <w:r>
        <w:t xml:space="preserve">. Y al escuchar </w:t>
      </w:r>
      <w:r w:rsidR="00341C34">
        <w:t>así</w:t>
      </w:r>
      <w:r>
        <w:t xml:space="preserve">, incluso si </w:t>
      </w:r>
      <w:r w:rsidR="00341C34">
        <w:t>hubiese algú</w:t>
      </w:r>
      <w:r>
        <w:t xml:space="preserve">n alboroto </w:t>
      </w:r>
      <w:r w:rsidR="00341C34">
        <w:t xml:space="preserve">de </w:t>
      </w:r>
      <w:r>
        <w:t xml:space="preserve">sonidos de conchas, tambores, platillos, etc., hasta el </w:t>
      </w:r>
      <w:r w:rsidR="00CD499A">
        <w:t>plano</w:t>
      </w:r>
      <w:r w:rsidR="00CD499A">
        <w:rPr>
          <w:i/>
          <w:iCs/>
        </w:rPr>
        <w:t>–</w:t>
      </w:r>
      <w:r w:rsidR="00CD499A" w:rsidRPr="00057BF4">
        <w:rPr>
          <w:i/>
        </w:rPr>
        <w:t>Brahmā</w:t>
      </w:r>
      <w:r w:rsidR="00CD499A">
        <w:t xml:space="preserve"> </w:t>
      </w:r>
      <w:r>
        <w:t xml:space="preserve">[409] </w:t>
      </w:r>
      <w:r w:rsidR="00341C34">
        <w:t>podrá</w:t>
      </w:r>
      <w:r>
        <w:t>, si qui</w:t>
      </w:r>
      <w:r w:rsidR="00341C34">
        <w:t>siera</w:t>
      </w:r>
      <w:r>
        <w:t xml:space="preserve">, definir </w:t>
      </w:r>
      <w:r w:rsidR="00E375FE">
        <w:t xml:space="preserve">inclusive </w:t>
      </w:r>
      <w:r>
        <w:t>cada uno así, "</w:t>
      </w:r>
      <w:r w:rsidR="00E375FE">
        <w:t>É</w:t>
      </w:r>
      <w:r>
        <w:t xml:space="preserve">ste es el sonido de </w:t>
      </w:r>
      <w:proofErr w:type="gramStart"/>
      <w:r>
        <w:t>los conchas</w:t>
      </w:r>
      <w:proofErr w:type="gramEnd"/>
      <w:r>
        <w:t xml:space="preserve">, </w:t>
      </w:r>
      <w:r w:rsidR="00E375FE">
        <w:t>é</w:t>
      </w:r>
      <w:r>
        <w:t>ste es el sonido de</w:t>
      </w:r>
      <w:r w:rsidR="00E375FE">
        <w:t>l</w:t>
      </w:r>
      <w:r>
        <w:t xml:space="preserve"> </w:t>
      </w:r>
      <w:r w:rsidR="00E375FE">
        <w:t>tambor</w:t>
      </w:r>
      <w:r>
        <w:t>".</w:t>
      </w:r>
    </w:p>
    <w:p w14:paraId="69BC0D92" w14:textId="24C8CA25" w:rsidR="00177093" w:rsidRDefault="00177093" w:rsidP="00177093">
      <w:pPr>
        <w:pStyle w:val="NormalConSangria"/>
      </w:pPr>
      <w:r>
        <w:t xml:space="preserve">La explicación del elemento del oído divino </w:t>
      </w:r>
      <w:r w:rsidR="00E375FE">
        <w:t>ha</w:t>
      </w:r>
      <w:r>
        <w:t xml:space="preserve"> </w:t>
      </w:r>
      <w:r w:rsidR="00E375FE">
        <w:t>concluido</w:t>
      </w:r>
      <w:r>
        <w:t>.</w:t>
      </w:r>
    </w:p>
    <w:p w14:paraId="6E618CFA" w14:textId="3873CC54" w:rsidR="00177093" w:rsidRDefault="00177093" w:rsidP="00177093">
      <w:pPr>
        <w:pStyle w:val="Ttulo3"/>
        <w:ind w:left="708"/>
      </w:pPr>
      <w:r>
        <w:t xml:space="preserve">[(3) Penetración </w:t>
      </w:r>
      <w:r w:rsidR="004D38FD">
        <w:t>d</w:t>
      </w:r>
      <w:r>
        <w:t xml:space="preserve">e </w:t>
      </w:r>
      <w:r w:rsidR="004D38FD">
        <w:t>Otras</w:t>
      </w:r>
      <w:r w:rsidR="000D4BBC">
        <w:t xml:space="preserve"> </w:t>
      </w:r>
      <w:r>
        <w:t>Mentes]</w:t>
      </w:r>
    </w:p>
    <w:p w14:paraId="2F6A4516" w14:textId="4D2DD571" w:rsidR="00177093" w:rsidRDefault="00177093" w:rsidP="00177093">
      <w:r>
        <w:t xml:space="preserve">8. </w:t>
      </w:r>
      <w:r>
        <w:tab/>
        <w:t>En cuanto a la explicación del conocimiento de la penetración de las mentes, [el texto es el siguiente: “Él dirig</w:t>
      </w:r>
      <w:r w:rsidR="00BA6538">
        <w:t>irá</w:t>
      </w:r>
      <w:r>
        <w:t>, inclina</w:t>
      </w:r>
      <w:r w:rsidR="00BA6538">
        <w:t>rá</w:t>
      </w:r>
      <w:r>
        <w:t>, su mente al conocimiento de la penetración de las mentes. Penetra</w:t>
      </w:r>
      <w:r w:rsidR="00C844C3">
        <w:t>rá</w:t>
      </w:r>
      <w:r>
        <w:t xml:space="preserve"> con su mente las mentes de otros seres, de otras personas, y los comprende</w:t>
      </w:r>
      <w:r w:rsidR="00C844C3">
        <w:t>rá</w:t>
      </w:r>
      <w:r>
        <w:t xml:space="preserve"> así: entende</w:t>
      </w:r>
      <w:r w:rsidR="00C844C3">
        <w:t>rá</w:t>
      </w:r>
      <w:r>
        <w:t xml:space="preserve"> la forma de</w:t>
      </w:r>
      <w:r w:rsidR="00C844C3">
        <w:t xml:space="preserve"> la</w:t>
      </w:r>
      <w:r>
        <w:t xml:space="preserve"> con</w:t>
      </w:r>
      <w:r w:rsidR="0093340A">
        <w:t>s</w:t>
      </w:r>
      <w:r>
        <w:t>ciencia afectada por la codicia como afectada por la codicia, y entende</w:t>
      </w:r>
      <w:r w:rsidR="00C844C3">
        <w:t>rá</w:t>
      </w:r>
      <w:r>
        <w:t xml:space="preserve"> la forma de </w:t>
      </w:r>
      <w:r w:rsidR="00C844C3">
        <w:t xml:space="preserve">la </w:t>
      </w:r>
      <w:r>
        <w:t>con</w:t>
      </w:r>
      <w:r w:rsidR="00C844C3">
        <w:t>s</w:t>
      </w:r>
      <w:r>
        <w:t xml:space="preserve">ciencia no afectada por la codicia como no afectada por </w:t>
      </w:r>
      <w:r w:rsidR="006B3123">
        <w:t xml:space="preserve">la </w:t>
      </w:r>
      <w:r>
        <w:t>codicia; Él entende</w:t>
      </w:r>
      <w:r w:rsidR="006B3123">
        <w:t>rá</w:t>
      </w:r>
      <w:r>
        <w:t xml:space="preserve"> la con</w:t>
      </w:r>
      <w:r w:rsidR="006B3123">
        <w:t>s</w:t>
      </w:r>
      <w:r>
        <w:t>ciencia afectada por el odio como afectad</w:t>
      </w:r>
      <w:r w:rsidR="006B3123">
        <w:t>a</w:t>
      </w:r>
      <w:r>
        <w:t xml:space="preserve"> por el odio, y la con</w:t>
      </w:r>
      <w:r w:rsidR="006B3123">
        <w:t>s</w:t>
      </w:r>
      <w:r>
        <w:t>ciencia no afectada por el odio como no afectada por el odio; Él entende</w:t>
      </w:r>
      <w:r w:rsidR="006B3123">
        <w:t>rá</w:t>
      </w:r>
      <w:r>
        <w:t xml:space="preserve"> la con</w:t>
      </w:r>
      <w:r w:rsidR="006B3123">
        <w:t>s</w:t>
      </w:r>
      <w:r>
        <w:t xml:space="preserve">ciencia afectada por </w:t>
      </w:r>
      <w:r w:rsidR="00B07B57">
        <w:t xml:space="preserve">la ilusión como </w:t>
      </w:r>
      <w:r>
        <w:t>afectad</w:t>
      </w:r>
      <w:r w:rsidR="00B07B57">
        <w:t>a</w:t>
      </w:r>
      <w:r>
        <w:t xml:space="preserve"> por la ilusión, y la con</w:t>
      </w:r>
      <w:r w:rsidR="00B07B57">
        <w:t>s</w:t>
      </w:r>
      <w:r>
        <w:t xml:space="preserve">ciencia no afectada por </w:t>
      </w:r>
      <w:r w:rsidR="00B07B57">
        <w:t xml:space="preserve">la ilusión como </w:t>
      </w:r>
      <w:r>
        <w:t>no afectad</w:t>
      </w:r>
      <w:r w:rsidR="00B07B57">
        <w:t>a</w:t>
      </w:r>
      <w:r>
        <w:t xml:space="preserve"> por </w:t>
      </w:r>
      <w:r w:rsidR="00B07B57">
        <w:t>la ilusión</w:t>
      </w:r>
      <w:r>
        <w:t xml:space="preserve">; Él </w:t>
      </w:r>
      <w:r w:rsidR="00B07B57">
        <w:t xml:space="preserve">entenderá a </w:t>
      </w:r>
      <w:r>
        <w:t>la con</w:t>
      </w:r>
      <w:r w:rsidR="00B07B57">
        <w:t>s</w:t>
      </w:r>
      <w:r>
        <w:t xml:space="preserve">ciencia estrecha como </w:t>
      </w:r>
      <w:r w:rsidR="00695721">
        <w:t xml:space="preserve">una </w:t>
      </w:r>
      <w:r w:rsidR="00305E12">
        <w:t>consciencia</w:t>
      </w:r>
      <w:r>
        <w:t xml:space="preserve"> estrecha y </w:t>
      </w:r>
      <w:r w:rsidR="00B07B57">
        <w:t xml:space="preserve">a la </w:t>
      </w:r>
      <w:r>
        <w:t xml:space="preserve">distraída como </w:t>
      </w:r>
      <w:r w:rsidR="00695721">
        <w:t xml:space="preserve">una </w:t>
      </w:r>
      <w:r>
        <w:t xml:space="preserve">distraída; Él </w:t>
      </w:r>
      <w:r w:rsidR="007E4CA2">
        <w:t xml:space="preserve">entenderá </w:t>
      </w:r>
      <w:r>
        <w:t>la con</w:t>
      </w:r>
      <w:r w:rsidR="007E4CA2">
        <w:t>s</w:t>
      </w:r>
      <w:r>
        <w:t xml:space="preserve">ciencia </w:t>
      </w:r>
      <w:r w:rsidR="007E4CA2">
        <w:t>excelsa</w:t>
      </w:r>
      <w:r>
        <w:t xml:space="preserve"> como </w:t>
      </w:r>
      <w:r w:rsidR="007E4CA2">
        <w:t xml:space="preserve">excelsa </w:t>
      </w:r>
      <w:r>
        <w:t xml:space="preserve">y </w:t>
      </w:r>
      <w:r w:rsidR="00695721">
        <w:t xml:space="preserve">a la </w:t>
      </w:r>
      <w:r>
        <w:t xml:space="preserve">no </w:t>
      </w:r>
      <w:r w:rsidR="007E4CA2">
        <w:t xml:space="preserve">excelsa </w:t>
      </w:r>
      <w:r>
        <w:t xml:space="preserve">como no </w:t>
      </w:r>
      <w:r w:rsidR="007E4CA2">
        <w:t>excelsa</w:t>
      </w:r>
      <w:r>
        <w:t xml:space="preserve">; Él </w:t>
      </w:r>
      <w:r w:rsidR="007E4CA2">
        <w:t xml:space="preserve">entenderá </w:t>
      </w:r>
      <w:r>
        <w:t>la con</w:t>
      </w:r>
      <w:r w:rsidR="007E4CA2">
        <w:t>s</w:t>
      </w:r>
      <w:r>
        <w:t xml:space="preserve">ciencia superada como superada </w:t>
      </w:r>
      <w:r w:rsidR="00144EF4">
        <w:t xml:space="preserve">y a la no superada </w:t>
      </w:r>
      <w:r>
        <w:t xml:space="preserve">como </w:t>
      </w:r>
      <w:r w:rsidR="00144EF4">
        <w:t>no superada</w:t>
      </w:r>
      <w:r>
        <w:t xml:space="preserve">; Él </w:t>
      </w:r>
      <w:r w:rsidR="007E4CA2">
        <w:t xml:space="preserve">entenderá </w:t>
      </w:r>
      <w:r>
        <w:t>la con</w:t>
      </w:r>
      <w:r w:rsidR="007E4CA2">
        <w:t>s</w:t>
      </w:r>
      <w:r>
        <w:t xml:space="preserve">ciencia concentrada como concentrada y </w:t>
      </w:r>
      <w:r w:rsidR="00144EF4">
        <w:t xml:space="preserve">a la </w:t>
      </w:r>
      <w:r w:rsidR="00AA3784">
        <w:t>no concentrada</w:t>
      </w:r>
      <w:r>
        <w:t xml:space="preserve"> como </w:t>
      </w:r>
      <w:r w:rsidR="007E4CA2">
        <w:t>no</w:t>
      </w:r>
      <w:r>
        <w:t xml:space="preserve"> concentrada; Él </w:t>
      </w:r>
      <w:r w:rsidR="007E4CA2">
        <w:t xml:space="preserve">entenderá </w:t>
      </w:r>
      <w:r w:rsidR="00144EF4">
        <w:t xml:space="preserve">a </w:t>
      </w:r>
      <w:r w:rsidR="00347990">
        <w:t xml:space="preserve">la </w:t>
      </w:r>
      <w:r>
        <w:t xml:space="preserve">forma de </w:t>
      </w:r>
      <w:r w:rsidR="000B279E">
        <w:t xml:space="preserve">la </w:t>
      </w:r>
      <w:r w:rsidR="00305E12">
        <w:t>consciencia</w:t>
      </w:r>
      <w:r>
        <w:t xml:space="preserve"> </w:t>
      </w:r>
      <w:r w:rsidR="000B279E">
        <w:t xml:space="preserve">liberada </w:t>
      </w:r>
      <w:r>
        <w:t>como liberada, y la forma de la con</w:t>
      </w:r>
      <w:r w:rsidR="00AA3784">
        <w:t>s</w:t>
      </w:r>
      <w:r>
        <w:t xml:space="preserve">ciencia </w:t>
      </w:r>
      <w:r w:rsidR="00475C1F" w:rsidRPr="00347990">
        <w:t>no</w:t>
      </w:r>
      <w:r w:rsidR="00475C1F">
        <w:t xml:space="preserve"> liberada</w:t>
      </w:r>
      <w:r>
        <w:t xml:space="preserve"> como </w:t>
      </w:r>
      <w:r w:rsidR="00475C1F">
        <w:t>no liberada</w:t>
      </w:r>
      <w:r>
        <w:t xml:space="preserve">”(D I 79). Aquí, </w:t>
      </w:r>
      <w:r w:rsidR="000D6326">
        <w:t>penetrará</w:t>
      </w:r>
      <w:r w:rsidR="00590182">
        <w:t xml:space="preserve"> </w:t>
      </w:r>
      <w:r w:rsidR="000D6326">
        <w:t xml:space="preserve">en </w:t>
      </w:r>
      <w:r w:rsidR="00590182">
        <w:t xml:space="preserve">todo </w:t>
      </w:r>
      <w:r w:rsidR="000D6326">
        <w:t xml:space="preserve">ámbito mental </w:t>
      </w:r>
      <w:r>
        <w:t>(</w:t>
      </w:r>
      <w:proofErr w:type="spellStart"/>
      <w:r w:rsidRPr="00475C1F">
        <w:rPr>
          <w:i/>
          <w:iCs/>
        </w:rPr>
        <w:t>pariyāti</w:t>
      </w:r>
      <w:proofErr w:type="spellEnd"/>
      <w:r>
        <w:t xml:space="preserve">), por lo tanto, </w:t>
      </w:r>
      <w:r w:rsidR="00590182">
        <w:t xml:space="preserve">será </w:t>
      </w:r>
      <w:r>
        <w:t>penetración (</w:t>
      </w:r>
      <w:proofErr w:type="spellStart"/>
      <w:r w:rsidRPr="00887702">
        <w:rPr>
          <w:i/>
          <w:iCs/>
        </w:rPr>
        <w:t>pariya</w:t>
      </w:r>
      <w:proofErr w:type="spellEnd"/>
      <w:r>
        <w:t xml:space="preserve">); El significado es que </w:t>
      </w:r>
      <w:r w:rsidR="00887702">
        <w:t xml:space="preserve">lo </w:t>
      </w:r>
      <w:r>
        <w:t>delimita</w:t>
      </w:r>
      <w:r w:rsidR="00590182">
        <w:t>rá</w:t>
      </w:r>
      <w:r>
        <w:t xml:space="preserve"> (</w:t>
      </w:r>
      <w:proofErr w:type="spellStart"/>
      <w:r w:rsidRPr="00475C1F">
        <w:rPr>
          <w:i/>
          <w:iCs/>
        </w:rPr>
        <w:t>paricchindati</w:t>
      </w:r>
      <w:proofErr w:type="spellEnd"/>
      <w:r>
        <w:t>). La penetración del corazón (</w:t>
      </w:r>
      <w:proofErr w:type="spellStart"/>
      <w:r w:rsidR="00887702" w:rsidRPr="00887702">
        <w:rPr>
          <w:i/>
          <w:iCs/>
        </w:rPr>
        <w:t>cetaso</w:t>
      </w:r>
      <w:proofErr w:type="spellEnd"/>
      <w:r w:rsidR="00887702">
        <w:t xml:space="preserve"> </w:t>
      </w:r>
      <w:proofErr w:type="spellStart"/>
      <w:r w:rsidR="00887702" w:rsidRPr="00475C1F">
        <w:rPr>
          <w:i/>
          <w:iCs/>
        </w:rPr>
        <w:t>pariyaṃ</w:t>
      </w:r>
      <w:proofErr w:type="spellEnd"/>
      <w:r>
        <w:t xml:space="preserve">) </w:t>
      </w:r>
      <w:r w:rsidR="00887702">
        <w:t>será la</w:t>
      </w:r>
      <w:r>
        <w:t xml:space="preserve"> "penetración de </w:t>
      </w:r>
      <w:proofErr w:type="gramStart"/>
      <w:r w:rsidR="00887702">
        <w:t xml:space="preserve">la </w:t>
      </w:r>
      <w:r>
        <w:t>mentes</w:t>
      </w:r>
      <w:proofErr w:type="gramEnd"/>
      <w:r>
        <w:t>" (</w:t>
      </w:r>
      <w:proofErr w:type="spellStart"/>
      <w:r w:rsidR="00887702" w:rsidRPr="00475C1F">
        <w:rPr>
          <w:i/>
          <w:iCs/>
        </w:rPr>
        <w:t>cetopariya</w:t>
      </w:r>
      <w:proofErr w:type="spellEnd"/>
      <w:r>
        <w:t xml:space="preserve">). </w:t>
      </w:r>
      <w:r w:rsidR="000773D8">
        <w:t>Se tratará de</w:t>
      </w:r>
      <w:r>
        <w:t xml:space="preserve"> la penetración de los corazones y </w:t>
      </w:r>
      <w:r w:rsidR="00D7169B">
        <w:t>é</w:t>
      </w:r>
      <w:r>
        <w:t xml:space="preserve">se </w:t>
      </w:r>
      <w:r w:rsidR="000773D8">
        <w:t xml:space="preserve">será </w:t>
      </w:r>
      <w:r>
        <w:t>el conocimiento</w:t>
      </w:r>
      <w:r w:rsidR="00D7169B">
        <w:t xml:space="preserve"> respectivo</w:t>
      </w:r>
      <w:r>
        <w:t xml:space="preserve">, por lo tanto, </w:t>
      </w:r>
      <w:r w:rsidR="000773D8">
        <w:t xml:space="preserve">será </w:t>
      </w:r>
      <w:r>
        <w:t>el conocimiento de la penetración de las mentes (</w:t>
      </w:r>
      <w:proofErr w:type="spellStart"/>
      <w:r w:rsidR="000773D8" w:rsidRPr="00475C1F">
        <w:rPr>
          <w:i/>
          <w:iCs/>
        </w:rPr>
        <w:t>cetopariyañāṇa</w:t>
      </w:r>
      <w:proofErr w:type="spellEnd"/>
      <w:r>
        <w:t xml:space="preserve">). </w:t>
      </w:r>
      <w:r w:rsidR="00566B27">
        <w:t>Lo que se quiere decir es que é</w:t>
      </w:r>
      <w:r>
        <w:t>l dirig</w:t>
      </w:r>
      <w:r w:rsidR="00D7169B">
        <w:t>irá</w:t>
      </w:r>
      <w:r>
        <w:t xml:space="preserve"> su con</w:t>
      </w:r>
      <w:r w:rsidR="00D7169B">
        <w:t>s</w:t>
      </w:r>
      <w:r>
        <w:t xml:space="preserve">ciencia </w:t>
      </w:r>
      <w:r w:rsidR="00D7169B">
        <w:t>hacia ello</w:t>
      </w:r>
      <w:r>
        <w:t>.</w:t>
      </w:r>
    </w:p>
    <w:p w14:paraId="1AE936FC" w14:textId="3A30DB27" w:rsidR="00177093" w:rsidRDefault="00177093" w:rsidP="00177093">
      <w:pPr>
        <w:pStyle w:val="NormalConSangria"/>
      </w:pPr>
      <w:r w:rsidRPr="00475C1F">
        <w:rPr>
          <w:i/>
          <w:iCs/>
        </w:rPr>
        <w:t>De otros seres</w:t>
      </w:r>
      <w:r>
        <w:t>: del resto de los seres, exclu</w:t>
      </w:r>
      <w:r w:rsidR="00D7169B">
        <w:t>yéndolo a</w:t>
      </w:r>
      <w:r w:rsidR="00D7169B" w:rsidRPr="00D7169B">
        <w:t xml:space="preserve"> </w:t>
      </w:r>
      <w:r w:rsidR="00D7169B">
        <w:t>él mismo</w:t>
      </w:r>
      <w:r>
        <w:t xml:space="preserve">. </w:t>
      </w:r>
      <w:r w:rsidRPr="00C17412">
        <w:rPr>
          <w:i/>
          <w:iCs/>
        </w:rPr>
        <w:t>De otras personas</w:t>
      </w:r>
      <w:r>
        <w:t xml:space="preserve">: esto tiene el mismo significado que </w:t>
      </w:r>
      <w:r w:rsidR="00D7169B">
        <w:t xml:space="preserve">lo </w:t>
      </w:r>
      <w:r>
        <w:t xml:space="preserve">último, la redacción varía para adaptarse a aquellos susceptibles de enseñar </w:t>
      </w:r>
      <w:r w:rsidR="00D7169B">
        <w:t xml:space="preserve">las cosas </w:t>
      </w:r>
      <w:r>
        <w:t>de otra manera, y en aras de la elegancia exposi</w:t>
      </w:r>
      <w:r w:rsidR="00D7169B">
        <w:t>tiva</w:t>
      </w:r>
      <w:r>
        <w:t xml:space="preserve">. </w:t>
      </w:r>
      <w:r w:rsidRPr="00C17412">
        <w:rPr>
          <w:i/>
          <w:iCs/>
        </w:rPr>
        <w:t>Con su mente las mentes</w:t>
      </w:r>
      <w:r>
        <w:t>: con su forma de con</w:t>
      </w:r>
      <w:r w:rsidR="00D7169B">
        <w:t>s</w:t>
      </w:r>
      <w:r>
        <w:t>ciencia la forma de</w:t>
      </w:r>
      <w:r w:rsidR="00D7169B">
        <w:t xml:space="preserve"> la</w:t>
      </w:r>
      <w:r>
        <w:t xml:space="preserve"> con</w:t>
      </w:r>
      <w:r w:rsidR="00D7169B">
        <w:t>s</w:t>
      </w:r>
      <w:r>
        <w:t xml:space="preserve">ciencia de otros seres. </w:t>
      </w:r>
      <w:r w:rsidRPr="00C17412">
        <w:rPr>
          <w:i/>
          <w:iCs/>
        </w:rPr>
        <w:t>Habiendo penetrado</w:t>
      </w:r>
      <w:r>
        <w:t xml:space="preserve"> (</w:t>
      </w:r>
      <w:proofErr w:type="spellStart"/>
      <w:r w:rsidR="00D7169B" w:rsidRPr="00475C1F">
        <w:rPr>
          <w:i/>
          <w:iCs/>
        </w:rPr>
        <w:t>paricca</w:t>
      </w:r>
      <w:proofErr w:type="spellEnd"/>
      <w:r>
        <w:t xml:space="preserve">): habiendo delimitado por todos lados. </w:t>
      </w:r>
      <w:r w:rsidRPr="00C17412">
        <w:rPr>
          <w:i/>
          <w:iCs/>
        </w:rPr>
        <w:t>Él entende</w:t>
      </w:r>
      <w:r w:rsidR="00D7169B">
        <w:rPr>
          <w:i/>
          <w:iCs/>
        </w:rPr>
        <w:t>rá</w:t>
      </w:r>
      <w:r>
        <w:t>: entende</w:t>
      </w:r>
      <w:r w:rsidR="00D7169B">
        <w:t>rá</w:t>
      </w:r>
      <w:r>
        <w:t xml:space="preserve"> </w:t>
      </w:r>
      <w:r w:rsidR="00C55CD7">
        <w:t xml:space="preserve">las mentes </w:t>
      </w:r>
      <w:r>
        <w:t>de diversos tipos que comienzan con los afectados por la codicia.</w:t>
      </w:r>
    </w:p>
    <w:p w14:paraId="5FEEDD8B" w14:textId="504BD547" w:rsidR="00317588" w:rsidRDefault="00177093" w:rsidP="00177093">
      <w:r>
        <w:t xml:space="preserve">9. </w:t>
      </w:r>
      <w:r>
        <w:tab/>
        <w:t xml:space="preserve">Pero ¿cómo </w:t>
      </w:r>
      <w:r w:rsidR="00C55CD7">
        <w:t>surgirá</w:t>
      </w:r>
      <w:r>
        <w:t xml:space="preserve"> este conocimiento? </w:t>
      </w:r>
      <w:r w:rsidR="00E5500E">
        <w:t xml:space="preserve">Surgirá </w:t>
      </w:r>
      <w:r w:rsidR="00B54ED0">
        <w:t>e</w:t>
      </w:r>
      <w:r>
        <w:t>xito</w:t>
      </w:r>
      <w:r w:rsidR="00B54ED0">
        <w:t>samente</w:t>
      </w:r>
      <w:r>
        <w:t xml:space="preserve"> a través del ojo divino, </w:t>
      </w:r>
      <w:r w:rsidR="00B347E0">
        <w:t>lo cual</w:t>
      </w:r>
      <w:r>
        <w:t xml:space="preserve"> constitu</w:t>
      </w:r>
      <w:r w:rsidR="00B54ED0">
        <w:t>irá</w:t>
      </w:r>
      <w:r>
        <w:t xml:space="preserve"> su trabajo preliminar. Por lo tanto, el </w:t>
      </w:r>
      <w:proofErr w:type="spellStart"/>
      <w:r w:rsidR="00B54ED0" w:rsidRPr="00057BF4">
        <w:rPr>
          <w:i/>
        </w:rPr>
        <w:t>bhikkhu</w:t>
      </w:r>
      <w:proofErr w:type="spellEnd"/>
      <w:r w:rsidR="00B54ED0">
        <w:t xml:space="preserve"> </w:t>
      </w:r>
      <w:r>
        <w:t>debe</w:t>
      </w:r>
      <w:r w:rsidR="00B54ED0">
        <w:t>rá</w:t>
      </w:r>
      <w:r>
        <w:t xml:space="preserve"> extender la luz, y </w:t>
      </w:r>
      <w:r w:rsidR="00B347E0">
        <w:t>procurar</w:t>
      </w:r>
      <w:r>
        <w:t xml:space="preserve"> (</w:t>
      </w:r>
      <w:proofErr w:type="spellStart"/>
      <w:r w:rsidRPr="00475C1F">
        <w:rPr>
          <w:i/>
          <w:iCs/>
        </w:rPr>
        <w:t>pariyesitabba</w:t>
      </w:r>
      <w:proofErr w:type="spellEnd"/>
      <w:r>
        <w:t xml:space="preserve">) </w:t>
      </w:r>
      <w:r w:rsidR="00C90D9C">
        <w:t>la</w:t>
      </w:r>
      <w:r w:rsidR="000141FF">
        <w:t xml:space="preserve"> </w:t>
      </w:r>
      <w:r>
        <w:t xml:space="preserve">forma de </w:t>
      </w:r>
      <w:r w:rsidR="003B16CA">
        <w:t xml:space="preserve">la </w:t>
      </w:r>
      <w:r>
        <w:t>con</w:t>
      </w:r>
      <w:r w:rsidR="00590E26">
        <w:t>s</w:t>
      </w:r>
      <w:r>
        <w:t>ciencia de</w:t>
      </w:r>
      <w:r w:rsidR="00C90D9C">
        <w:t>l</w:t>
      </w:r>
      <w:r>
        <w:t xml:space="preserve"> otro </w:t>
      </w:r>
      <w:r w:rsidR="00C90D9C">
        <w:t xml:space="preserve">conocimiento, </w:t>
      </w:r>
      <w:r>
        <w:t xml:space="preserve">manteniendo bajo observación </w:t>
      </w:r>
    </w:p>
    <w:p w14:paraId="05DC296A" w14:textId="1C64BE8D" w:rsidR="00835C9B" w:rsidRPr="004F23CA" w:rsidRDefault="00835C9B" w:rsidP="00177093">
      <w:r w:rsidRPr="004F23CA">
        <w:br w:type="page"/>
      </w:r>
    </w:p>
    <w:p w14:paraId="7B463684" w14:textId="77777777" w:rsidR="00FC73BB" w:rsidRDefault="00FC73BB" w:rsidP="00E209A0"/>
    <w:p w14:paraId="5B6282E4" w14:textId="15BB66CE" w:rsidR="00317588" w:rsidRDefault="00B347E0" w:rsidP="00317588">
      <w:r>
        <w:t>mediante</w:t>
      </w:r>
      <w:r w:rsidR="00C90D9C">
        <w:t xml:space="preserve"> el ojo divino </w:t>
      </w:r>
      <w:r w:rsidR="00BE098C">
        <w:t xml:space="preserve">el color de la sangre presente con la </w:t>
      </w:r>
      <w:r w:rsidR="001B1B0B">
        <w:t>materia</w:t>
      </w:r>
      <w:r w:rsidR="00BE098C">
        <w:t xml:space="preserve"> de</w:t>
      </w:r>
      <w:r w:rsidR="00317588">
        <w:t xml:space="preserve">l corazón físico como </w:t>
      </w:r>
      <w:r w:rsidR="00024380">
        <w:t>soporte</w:t>
      </w:r>
      <w:r w:rsidR="00317588">
        <w:t>.</w:t>
      </w:r>
      <w:r w:rsidR="00317588" w:rsidRPr="00207128">
        <w:rPr>
          <w:vertAlign w:val="superscript"/>
        </w:rPr>
        <w:t>5</w:t>
      </w:r>
      <w:r w:rsidR="00317588">
        <w:t xml:space="preserve"> </w:t>
      </w:r>
      <w:r w:rsidR="0037271E">
        <w:t>Ya que</w:t>
      </w:r>
      <w:r w:rsidR="00317588">
        <w:t xml:space="preserve"> cuando una forma de con</w:t>
      </w:r>
      <w:r w:rsidR="0022043B">
        <w:t>s</w:t>
      </w:r>
      <w:r w:rsidR="00317588">
        <w:t xml:space="preserve">ciencia acompañada de </w:t>
      </w:r>
      <w:r w:rsidR="00482674">
        <w:t>dicha</w:t>
      </w:r>
      <w:r w:rsidR="00317588">
        <w:t xml:space="preserve"> est</w:t>
      </w:r>
      <w:r w:rsidR="0022043B">
        <w:t>é</w:t>
      </w:r>
      <w:r w:rsidR="00317588">
        <w:t xml:space="preserve"> presente, la sangre </w:t>
      </w:r>
      <w:r w:rsidR="00283832">
        <w:t xml:space="preserve">será </w:t>
      </w:r>
      <w:r w:rsidR="00317588">
        <w:t xml:space="preserve">roja como </w:t>
      </w:r>
      <w:r w:rsidR="007E022C">
        <w:t>e</w:t>
      </w:r>
      <w:r w:rsidR="00536281">
        <w:t>l</w:t>
      </w:r>
      <w:r w:rsidR="00317588">
        <w:t xml:space="preserve"> frut</w:t>
      </w:r>
      <w:r w:rsidR="007E022C">
        <w:t>o</w:t>
      </w:r>
      <w:r w:rsidR="00317588">
        <w:t xml:space="preserve"> de </w:t>
      </w:r>
      <w:r w:rsidR="00536281">
        <w:t xml:space="preserve">una higuera </w:t>
      </w:r>
      <w:proofErr w:type="spellStart"/>
      <w:r w:rsidR="00317588" w:rsidRPr="00536281">
        <w:rPr>
          <w:i/>
          <w:iCs/>
        </w:rPr>
        <w:t>banyan</w:t>
      </w:r>
      <w:proofErr w:type="spellEnd"/>
      <w:r w:rsidR="00317588">
        <w:t>; Cuando una forma de con</w:t>
      </w:r>
      <w:r w:rsidR="00536281">
        <w:t>s</w:t>
      </w:r>
      <w:r w:rsidR="00317588">
        <w:t xml:space="preserve">ciencia acompañada de </w:t>
      </w:r>
      <w:r w:rsidR="00270693">
        <w:t>aflicción</w:t>
      </w:r>
      <w:r w:rsidR="00317588">
        <w:t xml:space="preserve"> est</w:t>
      </w:r>
      <w:r w:rsidR="00536281">
        <w:t>é</w:t>
      </w:r>
      <w:r w:rsidR="00317588">
        <w:t xml:space="preserve"> presente, </w:t>
      </w:r>
      <w:r w:rsidR="00536281">
        <w:t xml:space="preserve">será </w:t>
      </w:r>
      <w:r w:rsidR="00317588">
        <w:t>negruzc</w:t>
      </w:r>
      <w:r w:rsidR="00E71E6A">
        <w:t>a</w:t>
      </w:r>
      <w:r w:rsidR="00317588">
        <w:t xml:space="preserve"> como </w:t>
      </w:r>
      <w:r w:rsidR="00270693">
        <w:t xml:space="preserve">el </w:t>
      </w:r>
      <w:r w:rsidR="00317588">
        <w:t>frut</w:t>
      </w:r>
      <w:r w:rsidR="00270693">
        <w:t>o</w:t>
      </w:r>
      <w:r w:rsidR="00317588">
        <w:t xml:space="preserve"> de </w:t>
      </w:r>
      <w:r w:rsidR="00270693">
        <w:t xml:space="preserve">un </w:t>
      </w:r>
      <w:r w:rsidR="00317588">
        <w:t>manzan</w:t>
      </w:r>
      <w:r w:rsidR="00270693">
        <w:t>o</w:t>
      </w:r>
      <w:r w:rsidR="00317588">
        <w:t xml:space="preserve"> </w:t>
      </w:r>
      <w:r w:rsidR="00536281">
        <w:t>pomarrosa</w:t>
      </w:r>
      <w:r w:rsidR="00317588">
        <w:t xml:space="preserve">; </w:t>
      </w:r>
      <w:r w:rsidR="00536281">
        <w:t xml:space="preserve">cuando </w:t>
      </w:r>
      <w:r w:rsidR="00317588">
        <w:t>una forma de con</w:t>
      </w:r>
      <w:r w:rsidR="00536281">
        <w:t>s</w:t>
      </w:r>
      <w:r w:rsidR="00317588">
        <w:t>ciencia acompañada de serenidad est</w:t>
      </w:r>
      <w:r w:rsidR="0022043B">
        <w:t>é</w:t>
      </w:r>
      <w:r w:rsidR="00317588">
        <w:t xml:space="preserve"> presente, </w:t>
      </w:r>
      <w:r w:rsidR="00536281">
        <w:t xml:space="preserve">será </w:t>
      </w:r>
      <w:r w:rsidR="00317588">
        <w:t>clar</w:t>
      </w:r>
      <w:r w:rsidR="00536281">
        <w:t>a</w:t>
      </w:r>
      <w:r w:rsidR="00317588">
        <w:t xml:space="preserve"> como el aceite de sésamo. Por lo tanto, </w:t>
      </w:r>
      <w:r w:rsidR="00536281">
        <w:t xml:space="preserve">él </w:t>
      </w:r>
      <w:r w:rsidR="00317588">
        <w:t>debe</w:t>
      </w:r>
      <w:r w:rsidR="00536281">
        <w:t>rá</w:t>
      </w:r>
      <w:r w:rsidR="00317588">
        <w:t xml:space="preserve"> buscar la forma de con</w:t>
      </w:r>
      <w:r w:rsidR="00536281">
        <w:t>s</w:t>
      </w:r>
      <w:r w:rsidR="00317588">
        <w:t>ciencia de</w:t>
      </w:r>
      <w:r w:rsidR="00536281">
        <w:t>l</w:t>
      </w:r>
      <w:r w:rsidR="00317588">
        <w:t xml:space="preserve"> otro al observar el color de la sangre en el corazón físico así: “Este asunto </w:t>
      </w:r>
      <w:r w:rsidR="007C3310">
        <w:t>ha sido</w:t>
      </w:r>
      <w:r w:rsidR="00317588">
        <w:t xml:space="preserve"> originado por la facultad de</w:t>
      </w:r>
      <w:r w:rsidR="00536281">
        <w:t xml:space="preserve"> la</w:t>
      </w:r>
      <w:r w:rsidR="00317588">
        <w:t xml:space="preserve"> alegría; Esto </w:t>
      </w:r>
      <w:r w:rsidR="00536281">
        <w:t>ha sido</w:t>
      </w:r>
      <w:r w:rsidR="00317588">
        <w:t xml:space="preserve"> originado por la facultad de </w:t>
      </w:r>
      <w:r w:rsidR="003744A6">
        <w:t>la aflicción</w:t>
      </w:r>
      <w:r w:rsidR="00317588">
        <w:t xml:space="preserve">; </w:t>
      </w:r>
      <w:r w:rsidR="003744A6">
        <w:t xml:space="preserve">esto </w:t>
      </w:r>
      <w:r w:rsidR="007C3310">
        <w:t xml:space="preserve">ha sido </w:t>
      </w:r>
      <w:r w:rsidR="00317588">
        <w:t>origina</w:t>
      </w:r>
      <w:r w:rsidR="007C3310">
        <w:t>do</w:t>
      </w:r>
      <w:r w:rsidR="00317588">
        <w:t xml:space="preserve"> </w:t>
      </w:r>
      <w:r w:rsidR="007C3310">
        <w:t xml:space="preserve">mediante </w:t>
      </w:r>
      <w:r w:rsidR="00317588">
        <w:t xml:space="preserve">la facultad de </w:t>
      </w:r>
      <w:r w:rsidR="003744A6">
        <w:t xml:space="preserve">la </w:t>
      </w:r>
      <w:r w:rsidR="00317588">
        <w:t xml:space="preserve">ecuanimidad", y </w:t>
      </w:r>
      <w:r w:rsidR="007C3310">
        <w:t xml:space="preserve">así él </w:t>
      </w:r>
      <w:r w:rsidR="00317588">
        <w:t>consolid</w:t>
      </w:r>
      <w:r w:rsidR="003744A6">
        <w:t>a</w:t>
      </w:r>
      <w:r w:rsidR="007C3310">
        <w:t>rá</w:t>
      </w:r>
      <w:r w:rsidR="003744A6">
        <w:t xml:space="preserve"> </w:t>
      </w:r>
      <w:r w:rsidR="00317588">
        <w:t>su conocimiento penetra</w:t>
      </w:r>
      <w:r w:rsidR="00930151">
        <w:t>tivo</w:t>
      </w:r>
      <w:r w:rsidR="00317588">
        <w:t xml:space="preserve"> de los corazones.</w:t>
      </w:r>
    </w:p>
    <w:p w14:paraId="6D445AFD" w14:textId="3B46FD7E" w:rsidR="00317588" w:rsidRDefault="00317588" w:rsidP="00317588">
      <w:r>
        <w:t xml:space="preserve">10. </w:t>
      </w:r>
      <w:r>
        <w:tab/>
        <w:t>Es cuando se ha</w:t>
      </w:r>
      <w:r w:rsidR="00930151">
        <w:t>ya</w:t>
      </w:r>
      <w:r>
        <w:t xml:space="preserve"> consolidado </w:t>
      </w:r>
      <w:r w:rsidR="00930151">
        <w:t>así</w:t>
      </w:r>
      <w:r>
        <w:t xml:space="preserve"> </w:t>
      </w:r>
      <w:r w:rsidR="00AF45B2">
        <w:t xml:space="preserve">él </w:t>
      </w:r>
      <w:r>
        <w:t xml:space="preserve">gradualmente </w:t>
      </w:r>
      <w:r w:rsidR="00930151">
        <w:t xml:space="preserve">podrá </w:t>
      </w:r>
      <w:r>
        <w:t>comprender no solo todo tipo de con</w:t>
      </w:r>
      <w:r w:rsidR="00930151">
        <w:t>s</w:t>
      </w:r>
      <w:r>
        <w:t xml:space="preserve">ciencia de </w:t>
      </w:r>
      <w:r w:rsidR="00930151">
        <w:t xml:space="preserve">la </w:t>
      </w:r>
      <w:r>
        <w:t>esfera sensorial, sino también con</w:t>
      </w:r>
      <w:r w:rsidR="00930151">
        <w:t>s</w:t>
      </w:r>
      <w:r>
        <w:t>ciencia</w:t>
      </w:r>
      <w:r w:rsidR="00CC41B0">
        <w:t>s</w:t>
      </w:r>
      <w:r>
        <w:t xml:space="preserve"> de </w:t>
      </w:r>
      <w:r w:rsidR="00930151">
        <w:t xml:space="preserve">la </w:t>
      </w:r>
      <w:r>
        <w:t xml:space="preserve">material </w:t>
      </w:r>
      <w:r w:rsidR="00930151">
        <w:t xml:space="preserve">sutil </w:t>
      </w:r>
      <w:r>
        <w:t>e inmaterial, rastrea</w:t>
      </w:r>
      <w:r w:rsidR="003D29F3">
        <w:t>r</w:t>
      </w:r>
      <w:r>
        <w:t xml:space="preserve"> </w:t>
      </w:r>
      <w:r w:rsidR="00CC41B0">
        <w:t xml:space="preserve">también </w:t>
      </w:r>
      <w:r>
        <w:t>una forma de con</w:t>
      </w:r>
      <w:r w:rsidR="00930151">
        <w:t>s</w:t>
      </w:r>
      <w:r>
        <w:t xml:space="preserve">ciencia de otro </w:t>
      </w:r>
      <w:r w:rsidR="00450D54">
        <w:t xml:space="preserve">ser </w:t>
      </w:r>
      <w:r>
        <w:t xml:space="preserve">sin ver </w:t>
      </w:r>
      <w:r w:rsidR="00893028">
        <w:t xml:space="preserve">más </w:t>
      </w:r>
      <w:r>
        <w:t>el asunto del corazón físico. Porque esto se dice en el comentario: "Cuando quier</w:t>
      </w:r>
      <w:r w:rsidR="00893028">
        <w:t>a</w:t>
      </w:r>
      <w:r>
        <w:t xml:space="preserve"> conocer la forma de</w:t>
      </w:r>
      <w:r w:rsidR="00893028">
        <w:t xml:space="preserve"> la</w:t>
      </w:r>
      <w:r>
        <w:t xml:space="preserve"> con</w:t>
      </w:r>
      <w:r w:rsidR="00893028">
        <w:t>s</w:t>
      </w:r>
      <w:r>
        <w:t xml:space="preserve">ciencia de otro </w:t>
      </w:r>
      <w:r w:rsidR="00450D54">
        <w:t xml:space="preserve">ser </w:t>
      </w:r>
      <w:r>
        <w:t>en los modos inmateriales</w:t>
      </w:r>
      <w:r w:rsidR="00BA6EB0">
        <w:t xml:space="preserve"> </w:t>
      </w:r>
      <w:r w:rsidR="00F01D3F">
        <w:t>¿</w:t>
      </w:r>
      <w:r w:rsidR="0081050F">
        <w:t xml:space="preserve">de quién podrá observar </w:t>
      </w:r>
      <w:r w:rsidR="00C84A38">
        <w:t xml:space="preserve">el </w:t>
      </w:r>
      <w:r w:rsidR="0081050F">
        <w:t xml:space="preserve">asunto del </w:t>
      </w:r>
      <w:r w:rsidR="00C84A38">
        <w:t xml:space="preserve">corazón físico? </w:t>
      </w:r>
      <w:r>
        <w:t>¿</w:t>
      </w:r>
      <w:r w:rsidR="0081050F">
        <w:t xml:space="preserve">de quién podrá observar la </w:t>
      </w:r>
      <w:r>
        <w:t>alteración material origina</w:t>
      </w:r>
      <w:r w:rsidR="002E4F44">
        <w:t>da</w:t>
      </w:r>
      <w:r>
        <w:t xml:space="preserve"> </w:t>
      </w:r>
      <w:r w:rsidR="002E4F44">
        <w:t>mediante</w:t>
      </w:r>
      <w:r>
        <w:t xml:space="preserve"> las facultades? </w:t>
      </w:r>
      <w:r w:rsidR="008B7F1D">
        <w:t>De nadie</w:t>
      </w:r>
      <w:r>
        <w:t>. La provincia de un poseedor de</w:t>
      </w:r>
      <w:r w:rsidR="00EF39C9">
        <w:t>l</w:t>
      </w:r>
      <w:r>
        <w:t xml:space="preserve"> poder supernormal </w:t>
      </w:r>
      <w:r w:rsidR="00C7732B">
        <w:t xml:space="preserve">será </w:t>
      </w:r>
      <w:r>
        <w:t xml:space="preserve">simplemente eso, </w:t>
      </w:r>
      <w:r w:rsidR="008B7F1D">
        <w:t>es decir</w:t>
      </w:r>
      <w:r>
        <w:t>, donde se</w:t>
      </w:r>
      <w:r w:rsidR="0054335A">
        <w:t xml:space="preserve"> dé</w:t>
      </w:r>
      <w:r>
        <w:t xml:space="preserve"> la forma de </w:t>
      </w:r>
      <w:r w:rsidR="00305E12">
        <w:t>consciencia</w:t>
      </w:r>
      <w:r>
        <w:t xml:space="preserve"> que </w:t>
      </w:r>
      <w:r w:rsidR="00736669">
        <w:t>advierta</w:t>
      </w:r>
      <w:r>
        <w:t xml:space="preserve">, allí lo </w:t>
      </w:r>
      <w:r w:rsidR="00D71C32">
        <w:t>conocerá</w:t>
      </w:r>
      <w:r>
        <w:t xml:space="preserve"> de acuerdo con estas dieciséis clases". </w:t>
      </w:r>
      <w:r w:rsidR="002A59B9">
        <w:t xml:space="preserve">No obstante, </w:t>
      </w:r>
      <w:r>
        <w:t xml:space="preserve">esta explicación por medio del corazón físico </w:t>
      </w:r>
      <w:r w:rsidR="002A59B9">
        <w:t xml:space="preserve">será </w:t>
      </w:r>
      <w:r w:rsidR="00F522A7">
        <w:t xml:space="preserve">destinada </w:t>
      </w:r>
      <w:r w:rsidR="00D71C32">
        <w:t>para</w:t>
      </w:r>
      <w:r>
        <w:t xml:space="preserve"> alguien que no ha</w:t>
      </w:r>
      <w:r w:rsidR="002A59B9">
        <w:t>ya</w:t>
      </w:r>
      <w:r>
        <w:t xml:space="preserve"> </w:t>
      </w:r>
      <w:r w:rsidR="002A59B9">
        <w:t>hecho</w:t>
      </w:r>
      <w:r w:rsidR="001A73F6">
        <w:t xml:space="preserve"> </w:t>
      </w:r>
      <w:r>
        <w:t>todavía ninguna interpretación.</w:t>
      </w:r>
      <w:r w:rsidRPr="00207128">
        <w:rPr>
          <w:vertAlign w:val="superscript"/>
        </w:rPr>
        <w:t>6</w:t>
      </w:r>
    </w:p>
    <w:p w14:paraId="726386E8" w14:textId="5FFEC335" w:rsidR="00317588" w:rsidRDefault="00317588" w:rsidP="00317588">
      <w:r>
        <w:t xml:space="preserve">11. </w:t>
      </w:r>
      <w:r>
        <w:tab/>
        <w:t xml:space="preserve">En cuanto a </w:t>
      </w:r>
      <w:r w:rsidRPr="00C17412">
        <w:rPr>
          <w:i/>
          <w:iCs/>
        </w:rPr>
        <w:t>la forma de</w:t>
      </w:r>
      <w:r>
        <w:t xml:space="preserve"> </w:t>
      </w:r>
      <w:r w:rsidRPr="00C17412">
        <w:rPr>
          <w:i/>
          <w:iCs/>
        </w:rPr>
        <w:t>con</w:t>
      </w:r>
      <w:r w:rsidR="001A73F6">
        <w:rPr>
          <w:i/>
          <w:iCs/>
        </w:rPr>
        <w:t>s</w:t>
      </w:r>
      <w:r w:rsidRPr="00C17412">
        <w:rPr>
          <w:i/>
          <w:iCs/>
        </w:rPr>
        <w:t>ciencia afectada por la codicia</w:t>
      </w:r>
      <w:r>
        <w:t>, etc., l</w:t>
      </w:r>
      <w:r w:rsidR="00363B55">
        <w:t>a</w:t>
      </w:r>
      <w:r>
        <w:t xml:space="preserve">s </w:t>
      </w:r>
      <w:r w:rsidR="00683991">
        <w:t>8</w:t>
      </w:r>
      <w:r>
        <w:t xml:space="preserve"> </w:t>
      </w:r>
      <w:r w:rsidR="00363B55">
        <w:t>formas</w:t>
      </w:r>
      <w:r>
        <w:t xml:space="preserve"> de con</w:t>
      </w:r>
      <w:r w:rsidR="00363B55">
        <w:t>s</w:t>
      </w:r>
      <w:r>
        <w:t>ciencia</w:t>
      </w:r>
      <w:r w:rsidR="008756EC">
        <w:t>s</w:t>
      </w:r>
      <w:r>
        <w:t xml:space="preserve"> acompañad</w:t>
      </w:r>
      <w:r w:rsidR="00363B55">
        <w:t>a</w:t>
      </w:r>
      <w:r>
        <w:t xml:space="preserve">s </w:t>
      </w:r>
      <w:r w:rsidR="00363B55">
        <w:t xml:space="preserve">por </w:t>
      </w:r>
      <w:r>
        <w:t>la codicia (ver Tabla III, Nos. (22) - (29)) [410] debe</w:t>
      </w:r>
      <w:r w:rsidR="00363B55">
        <w:t>rá</w:t>
      </w:r>
      <w:r>
        <w:t xml:space="preserve"> entenderse como </w:t>
      </w:r>
      <w:r w:rsidR="00363B55">
        <w:t>l</w:t>
      </w:r>
      <w:r>
        <w:t>a forma de con</w:t>
      </w:r>
      <w:r w:rsidR="008756EC">
        <w:t>s</w:t>
      </w:r>
      <w:r>
        <w:t>ciencia afectada por la codicia. L</w:t>
      </w:r>
      <w:r w:rsidR="00AE3B44">
        <w:t>a</w:t>
      </w:r>
      <w:r>
        <w:t xml:space="preserve">s restantes </w:t>
      </w:r>
      <w:r w:rsidR="0074548F">
        <w:t xml:space="preserve">formas </w:t>
      </w:r>
      <w:r w:rsidR="00683991">
        <w:t xml:space="preserve">de </w:t>
      </w:r>
      <w:r w:rsidR="00A97BBF">
        <w:t xml:space="preserve">consciencias </w:t>
      </w:r>
      <w:r w:rsidR="008F2326">
        <w:t xml:space="preserve">indeterminadas </w:t>
      </w:r>
      <w:r w:rsidR="006445C6">
        <w:t>y productivas</w:t>
      </w:r>
      <w:r>
        <w:t xml:space="preserve"> en los </w:t>
      </w:r>
      <w:r w:rsidR="00683991">
        <w:t>4</w:t>
      </w:r>
      <w:r>
        <w:t xml:space="preserve"> planos </w:t>
      </w:r>
      <w:r w:rsidRPr="00C17412">
        <w:rPr>
          <w:i/>
          <w:iCs/>
        </w:rPr>
        <w:t>no se ve</w:t>
      </w:r>
      <w:r w:rsidR="00AE3B44">
        <w:rPr>
          <w:i/>
          <w:iCs/>
        </w:rPr>
        <w:t>rá</w:t>
      </w:r>
      <w:r w:rsidRPr="00C17412">
        <w:rPr>
          <w:i/>
          <w:iCs/>
        </w:rPr>
        <w:t>n afectados por la codicia</w:t>
      </w:r>
      <w:r>
        <w:t>. L</w:t>
      </w:r>
      <w:r w:rsidR="006445C6">
        <w:t>a</w:t>
      </w:r>
      <w:r>
        <w:t>s cuatro</w:t>
      </w:r>
      <w:r w:rsidR="00DC66AA" w:rsidRPr="00DC66AA">
        <w:t xml:space="preserve"> </w:t>
      </w:r>
      <w:r w:rsidR="00DC66AA">
        <w:t>consciencias</w:t>
      </w:r>
      <w:r>
        <w:t xml:space="preserve">, </w:t>
      </w:r>
      <w:r w:rsidR="00DC66AA">
        <w:t>es decir</w:t>
      </w:r>
      <w:r>
        <w:t>, las dos acompañadas de dolor (</w:t>
      </w:r>
      <w:r w:rsidR="006445C6">
        <w:t>N0</w:t>
      </w:r>
      <w:r>
        <w:t>. (30) y (31)), y las dos con</w:t>
      </w:r>
      <w:r w:rsidR="00DC66AA">
        <w:t>s</w:t>
      </w:r>
      <w:r>
        <w:t xml:space="preserve">ciencias acompañadas respectivamente por </w:t>
      </w:r>
      <w:r w:rsidR="00DC66AA">
        <w:t xml:space="preserve">la </w:t>
      </w:r>
      <w:r>
        <w:t xml:space="preserve">incertidumbre (32) y </w:t>
      </w:r>
      <w:r w:rsidR="00DC66AA">
        <w:t xml:space="preserve">la </w:t>
      </w:r>
      <w:r>
        <w:t>agitación (33) no est</w:t>
      </w:r>
      <w:r w:rsidR="00DC66AA">
        <w:t>ar</w:t>
      </w:r>
      <w:r>
        <w:t>án incluidas en esta diada, aunque algun</w:t>
      </w:r>
      <w:r w:rsidR="00AF48AD">
        <w:t>o</w:t>
      </w:r>
      <w:r>
        <w:t xml:space="preserve">s </w:t>
      </w:r>
      <w:r w:rsidR="00AF48AD">
        <w:t xml:space="preserve">Venerables </w:t>
      </w:r>
      <w:r>
        <w:t>también l</w:t>
      </w:r>
      <w:r w:rsidR="00AF48AD">
        <w:t>a</w:t>
      </w:r>
      <w:r>
        <w:t>s incluy</w:t>
      </w:r>
      <w:r w:rsidR="00AF48AD">
        <w:t>a</w:t>
      </w:r>
      <w:r>
        <w:t xml:space="preserve">n. </w:t>
      </w:r>
      <w:r w:rsidR="00217459">
        <w:t xml:space="preserve">Las </w:t>
      </w:r>
      <w:r>
        <w:t xml:space="preserve">dos </w:t>
      </w:r>
      <w:r w:rsidR="00305E12">
        <w:t>consciencia</w:t>
      </w:r>
      <w:r>
        <w:t xml:space="preserve">s acompañadas de dolor </w:t>
      </w:r>
      <w:r w:rsidR="00217459">
        <w:t>corresponderán a las</w:t>
      </w:r>
      <w:r>
        <w:t xml:space="preserve"> </w:t>
      </w:r>
      <w:r w:rsidRPr="00C17412">
        <w:rPr>
          <w:i/>
          <w:iCs/>
        </w:rPr>
        <w:t>con</w:t>
      </w:r>
      <w:r w:rsidR="00090E6B">
        <w:rPr>
          <w:i/>
          <w:iCs/>
        </w:rPr>
        <w:t>s</w:t>
      </w:r>
      <w:r w:rsidRPr="00C17412">
        <w:rPr>
          <w:i/>
          <w:iCs/>
        </w:rPr>
        <w:t>ciencia</w:t>
      </w:r>
      <w:r w:rsidR="00090E6B">
        <w:rPr>
          <w:i/>
          <w:iCs/>
        </w:rPr>
        <w:t>s</w:t>
      </w:r>
      <w:r w:rsidRPr="00C17412">
        <w:rPr>
          <w:i/>
          <w:iCs/>
        </w:rPr>
        <w:t xml:space="preserve"> afectadas por el odio</w:t>
      </w:r>
      <w:r>
        <w:t>. Y todas las con</w:t>
      </w:r>
      <w:r w:rsidR="00090E6B">
        <w:t>s</w:t>
      </w:r>
      <w:r>
        <w:t xml:space="preserve">ciencias </w:t>
      </w:r>
      <w:r w:rsidR="00090E6B">
        <w:t>productivas</w:t>
      </w:r>
      <w:r>
        <w:t xml:space="preserve"> e indeterminadas en los </w:t>
      </w:r>
      <w:r w:rsidR="00217459">
        <w:t>4</w:t>
      </w:r>
      <w:r>
        <w:t xml:space="preserve"> planos no se ve</w:t>
      </w:r>
      <w:r w:rsidR="008F2326">
        <w:t>rá</w:t>
      </w:r>
      <w:r>
        <w:t>n afectad</w:t>
      </w:r>
      <w:r w:rsidR="008F2326">
        <w:t>a</w:t>
      </w:r>
      <w:r>
        <w:t>s por el odio. Los diez tipos restantes de con</w:t>
      </w:r>
      <w:r w:rsidR="008F2326">
        <w:t>s</w:t>
      </w:r>
      <w:r>
        <w:t xml:space="preserve">ciencias </w:t>
      </w:r>
      <w:r w:rsidR="00DD4F11">
        <w:t>im</w:t>
      </w:r>
      <w:r w:rsidR="008F2326">
        <w:t xml:space="preserve">productivas </w:t>
      </w:r>
      <w:r>
        <w:t>(Nos. (22) - (29) y (32) y (33)) no est</w:t>
      </w:r>
      <w:r w:rsidR="008F2326">
        <w:t>ar</w:t>
      </w:r>
      <w:r>
        <w:t>án incluid</w:t>
      </w:r>
      <w:r w:rsidR="008F2326">
        <w:t>a</w:t>
      </w:r>
      <w:r>
        <w:t xml:space="preserve">s en esta díada, aunque algunos </w:t>
      </w:r>
      <w:r w:rsidR="008F2326">
        <w:t xml:space="preserve">Venerables </w:t>
      </w:r>
      <w:r>
        <w:t>también l</w:t>
      </w:r>
      <w:r w:rsidR="008F2326">
        <w:t>a</w:t>
      </w:r>
      <w:r>
        <w:t xml:space="preserve">s incluyen. </w:t>
      </w:r>
      <w:r w:rsidRPr="00C17412">
        <w:rPr>
          <w:i/>
          <w:iCs/>
        </w:rPr>
        <w:t>Afectad</w:t>
      </w:r>
      <w:r w:rsidR="008F2326">
        <w:rPr>
          <w:i/>
          <w:iCs/>
        </w:rPr>
        <w:t>a</w:t>
      </w:r>
      <w:r w:rsidRPr="00C17412">
        <w:rPr>
          <w:i/>
          <w:iCs/>
        </w:rPr>
        <w:t xml:space="preserve">s por </w:t>
      </w:r>
      <w:r w:rsidR="008F2326">
        <w:rPr>
          <w:i/>
          <w:iCs/>
        </w:rPr>
        <w:t>la ilusión</w:t>
      </w:r>
      <w:r>
        <w:t xml:space="preserve">... </w:t>
      </w:r>
      <w:r w:rsidRPr="00C17412">
        <w:rPr>
          <w:i/>
          <w:iCs/>
        </w:rPr>
        <w:t>no afectad</w:t>
      </w:r>
      <w:r w:rsidR="008F2326">
        <w:rPr>
          <w:i/>
          <w:iCs/>
        </w:rPr>
        <w:t>as</w:t>
      </w:r>
      <w:r w:rsidRPr="00C17412">
        <w:rPr>
          <w:i/>
          <w:iCs/>
        </w:rPr>
        <w:t xml:space="preserve"> </w:t>
      </w:r>
      <w:r w:rsidR="00DD4F11">
        <w:rPr>
          <w:i/>
          <w:iCs/>
        </w:rPr>
        <w:t xml:space="preserve">por </w:t>
      </w:r>
      <w:r w:rsidR="008F2326">
        <w:rPr>
          <w:i/>
          <w:iCs/>
        </w:rPr>
        <w:t>la ilusión</w:t>
      </w:r>
      <w:r>
        <w:t>: aquí solo l</w:t>
      </w:r>
      <w:r w:rsidR="008F2326">
        <w:t>a</w:t>
      </w:r>
      <w:r>
        <w:t xml:space="preserve">s dos, </w:t>
      </w:r>
      <w:r w:rsidR="008F2326">
        <w:t>es decir</w:t>
      </w:r>
      <w:r>
        <w:t xml:space="preserve">, </w:t>
      </w:r>
      <w:r w:rsidR="008F2326">
        <w:t xml:space="preserve">las </w:t>
      </w:r>
      <w:r>
        <w:t>acompañad</w:t>
      </w:r>
      <w:r w:rsidR="008F2326">
        <w:t>a</w:t>
      </w:r>
      <w:r>
        <w:t xml:space="preserve">s </w:t>
      </w:r>
      <w:r w:rsidR="00502712">
        <w:t xml:space="preserve">por </w:t>
      </w:r>
      <w:r w:rsidR="00DD4F11">
        <w:t xml:space="preserve">la </w:t>
      </w:r>
      <w:r>
        <w:t>incertidumbre y acompañad</w:t>
      </w:r>
      <w:r w:rsidR="00502712">
        <w:t>as</w:t>
      </w:r>
      <w:r>
        <w:t xml:space="preserve"> </w:t>
      </w:r>
      <w:r w:rsidR="00502712">
        <w:t xml:space="preserve">por </w:t>
      </w:r>
      <w:r w:rsidR="00DD4F11">
        <w:t xml:space="preserve">la </w:t>
      </w:r>
      <w:r>
        <w:t>agitación, se ve</w:t>
      </w:r>
      <w:r w:rsidR="00502712">
        <w:t>rá</w:t>
      </w:r>
      <w:r>
        <w:t>n afectad</w:t>
      </w:r>
      <w:r w:rsidR="00502712">
        <w:t>a</w:t>
      </w:r>
      <w:r>
        <w:t>s solo por la ilusión</w:t>
      </w:r>
      <w:r w:rsidR="00DD4F11">
        <w:t>,</w:t>
      </w:r>
      <w:r>
        <w:t xml:space="preserve"> sin estar acompañados por las otras dos raíces </w:t>
      </w:r>
      <w:r w:rsidR="00DD4F11">
        <w:t>im</w:t>
      </w:r>
      <w:r w:rsidR="00502712">
        <w:t>productivas</w:t>
      </w:r>
      <w:r>
        <w:t xml:space="preserve">. Pero los </w:t>
      </w:r>
      <w:r w:rsidR="00DD4F11">
        <w:t>12</w:t>
      </w:r>
      <w:r>
        <w:t xml:space="preserve"> tipos de con</w:t>
      </w:r>
      <w:r w:rsidR="00502712">
        <w:t>s</w:t>
      </w:r>
      <w:r>
        <w:t xml:space="preserve">ciencias no </w:t>
      </w:r>
      <w:r w:rsidR="00502712">
        <w:t xml:space="preserve">productivas en total </w:t>
      </w:r>
      <w:r>
        <w:t xml:space="preserve">(Nos. (22) - (33)) también </w:t>
      </w:r>
    </w:p>
    <w:p w14:paraId="6F3B5ACE" w14:textId="5DB6E951" w:rsidR="00317588" w:rsidRPr="00317588" w:rsidRDefault="00317588" w:rsidP="00317588">
      <w:pPr>
        <w:pStyle w:val="PiedepginaLegal"/>
        <w:rPr>
          <w:u w:val="single"/>
        </w:rPr>
      </w:pPr>
      <w:r w:rsidRPr="00317588">
        <w:rPr>
          <w:u w:val="single"/>
        </w:rPr>
        <w:t xml:space="preserve">                                                                                                                                                       .</w:t>
      </w:r>
    </w:p>
    <w:p w14:paraId="531779A9" w14:textId="7E747C07" w:rsidR="00317588" w:rsidRDefault="00317588" w:rsidP="00317588">
      <w:pPr>
        <w:pStyle w:val="PiedepginaLegal"/>
      </w:pPr>
      <w:r>
        <w:t xml:space="preserve">5. </w:t>
      </w:r>
      <w:r>
        <w:tab/>
        <w:t xml:space="preserve">La "materia del corazón" no </w:t>
      </w:r>
      <w:r w:rsidR="00F522A7">
        <w:t xml:space="preserve">será </w:t>
      </w:r>
      <w:r>
        <w:t xml:space="preserve">la base del corazón, sino el corazón como </w:t>
      </w:r>
      <w:r w:rsidR="00B6486C">
        <w:t>un</w:t>
      </w:r>
      <w:r>
        <w:t>a pieza de carne descrita parecid</w:t>
      </w:r>
      <w:r w:rsidR="00F522A7">
        <w:t>a</w:t>
      </w:r>
      <w:r>
        <w:t xml:space="preserve"> a un brote de loto en forma </w:t>
      </w:r>
      <w:r w:rsidR="00F522A7">
        <w:t>externa</w:t>
      </w:r>
      <w:r>
        <w:t xml:space="preserve"> y </w:t>
      </w:r>
      <w:r w:rsidR="00F522A7">
        <w:t>al</w:t>
      </w:r>
      <w:r>
        <w:t xml:space="preserve"> frut</w:t>
      </w:r>
      <w:r w:rsidR="00F522A7">
        <w:t>o</w:t>
      </w:r>
      <w:r>
        <w:t xml:space="preserve"> </w:t>
      </w:r>
      <w:proofErr w:type="spellStart"/>
      <w:r w:rsidRPr="00C17412">
        <w:rPr>
          <w:i/>
          <w:iCs/>
        </w:rPr>
        <w:t>kosātakī</w:t>
      </w:r>
      <w:proofErr w:type="spellEnd"/>
      <w:r>
        <w:t xml:space="preserve"> inter</w:t>
      </w:r>
      <w:r w:rsidR="00681F37">
        <w:t>namente</w:t>
      </w:r>
      <w:r>
        <w:t xml:space="preserve"> (</w:t>
      </w:r>
      <w:r w:rsidR="00F522A7">
        <w:t>VIII</w:t>
      </w:r>
      <w:r>
        <w:t xml:space="preserve">.111). </w:t>
      </w:r>
      <w:r w:rsidR="00D4380E">
        <w:t xml:space="preserve">Ya </w:t>
      </w:r>
      <w:r>
        <w:t>que la sangre mencionada aquí se enc</w:t>
      </w:r>
      <w:r w:rsidR="00F522A7">
        <w:t>o</w:t>
      </w:r>
      <w:r>
        <w:t>ntra</w:t>
      </w:r>
      <w:r w:rsidR="00F522A7">
        <w:t>rá</w:t>
      </w:r>
      <w:r>
        <w:t xml:space="preserve"> con e</w:t>
      </w:r>
      <w:r w:rsidR="00F522A7">
        <w:t>ll</w:t>
      </w:r>
      <w:r>
        <w:t xml:space="preserve">o como su </w:t>
      </w:r>
      <w:r w:rsidR="000172AC">
        <w:t>soporte</w:t>
      </w:r>
      <w:r>
        <w:t xml:space="preserve">. </w:t>
      </w:r>
      <w:r w:rsidR="00F522A7">
        <w:t xml:space="preserve">No obstante, </w:t>
      </w:r>
      <w:r>
        <w:t>la base del corazón ocurr</w:t>
      </w:r>
      <w:r w:rsidR="00F522A7">
        <w:t>irá</w:t>
      </w:r>
      <w:r>
        <w:t xml:space="preserve"> con esta sangre como su </w:t>
      </w:r>
      <w:r w:rsidR="00F522A7">
        <w:t>soporte</w:t>
      </w:r>
      <w:r>
        <w:t>”</w:t>
      </w:r>
      <w:r w:rsidR="00C17412">
        <w:t xml:space="preserve"> </w:t>
      </w:r>
      <w:r>
        <w:t>(</w:t>
      </w:r>
      <w:proofErr w:type="spellStart"/>
      <w:r>
        <w:t>Vism-Mhṭ</w:t>
      </w:r>
      <w:proofErr w:type="spellEnd"/>
      <w:r>
        <w:t xml:space="preserve"> 403).</w:t>
      </w:r>
    </w:p>
    <w:p w14:paraId="08D52244" w14:textId="6F09B4C3" w:rsidR="00317588" w:rsidRDefault="00317588" w:rsidP="00317588">
      <w:pPr>
        <w:pStyle w:val="PiedepginaLegal"/>
      </w:pPr>
      <w:r>
        <w:t>6.</w:t>
      </w:r>
      <w:r>
        <w:tab/>
        <w:t>"De alguien que no ha</w:t>
      </w:r>
      <w:r w:rsidR="00F522A7">
        <w:t>ya</w:t>
      </w:r>
      <w:r>
        <w:t xml:space="preserve"> hecho ninguna interpretación (</w:t>
      </w:r>
      <w:proofErr w:type="spellStart"/>
      <w:r w:rsidRPr="00C17412">
        <w:rPr>
          <w:i/>
          <w:iCs/>
        </w:rPr>
        <w:t>abhiniva</w:t>
      </w:r>
      <w:proofErr w:type="spellEnd"/>
      <w:r>
        <w:t xml:space="preserve">) considerada como </w:t>
      </w:r>
      <w:r w:rsidR="00F522A7">
        <w:t xml:space="preserve">parte del </w:t>
      </w:r>
      <w:r>
        <w:t>estudio para el conocimiento directo" (</w:t>
      </w:r>
      <w:proofErr w:type="spellStart"/>
      <w:r>
        <w:t>Vism-Mhṭ</w:t>
      </w:r>
      <w:proofErr w:type="spellEnd"/>
      <w:r>
        <w:t xml:space="preserve"> 407). Un uso </w:t>
      </w:r>
      <w:r w:rsidR="00F522A7">
        <w:t xml:space="preserve">bastante </w:t>
      </w:r>
      <w:r>
        <w:t xml:space="preserve">especial de la palabra </w:t>
      </w:r>
      <w:r w:rsidR="00F522A7">
        <w:br/>
      </w:r>
      <w:proofErr w:type="spellStart"/>
      <w:r w:rsidRPr="00C17412">
        <w:rPr>
          <w:i/>
          <w:iCs/>
        </w:rPr>
        <w:t>abhinivesa</w:t>
      </w:r>
      <w:proofErr w:type="spellEnd"/>
      <w:r>
        <w:t xml:space="preserve">, quizás más libremente </w:t>
      </w:r>
      <w:r w:rsidR="00F522A7">
        <w:t xml:space="preserve">representativo </w:t>
      </w:r>
      <w:r>
        <w:t xml:space="preserve">aquí </w:t>
      </w:r>
      <w:r w:rsidR="00F522A7">
        <w:t xml:space="preserve">como </w:t>
      </w:r>
      <w:r>
        <w:t>"práctica".</w:t>
      </w:r>
    </w:p>
    <w:p w14:paraId="7EEBAF0B" w14:textId="77777777" w:rsidR="00317588" w:rsidRDefault="00317588">
      <w:pPr>
        <w:tabs>
          <w:tab w:val="clear" w:pos="425"/>
        </w:tabs>
        <w:spacing w:after="160"/>
      </w:pPr>
      <w:r>
        <w:br w:type="page"/>
      </w:r>
    </w:p>
    <w:p w14:paraId="562D158C" w14:textId="77777777" w:rsidR="00317588" w:rsidRDefault="00317588">
      <w:pPr>
        <w:tabs>
          <w:tab w:val="clear" w:pos="425"/>
        </w:tabs>
        <w:spacing w:after="160"/>
      </w:pPr>
    </w:p>
    <w:p w14:paraId="265D125F" w14:textId="102E14F4" w:rsidR="004B586C" w:rsidRDefault="00502712" w:rsidP="004B586C">
      <w:pPr>
        <w:tabs>
          <w:tab w:val="clear" w:pos="425"/>
        </w:tabs>
        <w:spacing w:after="160"/>
      </w:pPr>
      <w:r>
        <w:t xml:space="preserve">podrán entenderse como la forma de </w:t>
      </w:r>
      <w:r w:rsidR="004B586C">
        <w:t>con</w:t>
      </w:r>
      <w:r>
        <w:t>s</w:t>
      </w:r>
      <w:r w:rsidR="004B586C">
        <w:t xml:space="preserve">ciencia afectada por </w:t>
      </w:r>
      <w:r w:rsidRPr="00502712">
        <w:t>la ilusión</w:t>
      </w:r>
      <w:r>
        <w:t xml:space="preserve"> </w:t>
      </w:r>
      <w:r w:rsidR="004B586C">
        <w:t xml:space="preserve">ya que </w:t>
      </w:r>
      <w:r w:rsidR="00AF4B20" w:rsidRPr="00502712">
        <w:t>la ilusión</w:t>
      </w:r>
      <w:r w:rsidR="004B586C">
        <w:t xml:space="preserve"> est</w:t>
      </w:r>
      <w:r w:rsidR="00AF4B20">
        <w:t>ar</w:t>
      </w:r>
      <w:r w:rsidR="004B586C">
        <w:t>á presente en todo tipo de con</w:t>
      </w:r>
      <w:r w:rsidR="00AF4B20">
        <w:t>s</w:t>
      </w:r>
      <w:r w:rsidR="004B586C">
        <w:t xml:space="preserve">ciencia </w:t>
      </w:r>
      <w:r w:rsidR="001A5D28">
        <w:t>im</w:t>
      </w:r>
      <w:r w:rsidR="00AF4B20">
        <w:t>productiva</w:t>
      </w:r>
      <w:r w:rsidR="004B586C">
        <w:t xml:space="preserve">. El resto </w:t>
      </w:r>
      <w:r w:rsidR="004B586C" w:rsidRPr="00C17412">
        <w:rPr>
          <w:i/>
          <w:iCs/>
        </w:rPr>
        <w:t>no se ve</w:t>
      </w:r>
      <w:r w:rsidR="001A5D28">
        <w:rPr>
          <w:i/>
          <w:iCs/>
        </w:rPr>
        <w:t>rá</w:t>
      </w:r>
      <w:r w:rsidR="004B586C" w:rsidRPr="00C17412">
        <w:rPr>
          <w:i/>
          <w:iCs/>
        </w:rPr>
        <w:t xml:space="preserve"> afectad</w:t>
      </w:r>
      <w:r w:rsidR="001A5D28">
        <w:rPr>
          <w:i/>
          <w:iCs/>
        </w:rPr>
        <w:t>a</w:t>
      </w:r>
      <w:r w:rsidR="004B586C" w:rsidRPr="00C17412">
        <w:rPr>
          <w:i/>
          <w:iCs/>
        </w:rPr>
        <w:t xml:space="preserve"> por </w:t>
      </w:r>
      <w:r w:rsidR="001A5D28">
        <w:rPr>
          <w:i/>
          <w:iCs/>
        </w:rPr>
        <w:t>la ilusión</w:t>
      </w:r>
      <w:r w:rsidR="004B586C">
        <w:t>.</w:t>
      </w:r>
    </w:p>
    <w:p w14:paraId="5B968E11" w14:textId="65B068CA" w:rsidR="004B586C" w:rsidRDefault="004B586C" w:rsidP="004B586C">
      <w:r>
        <w:t>12</w:t>
      </w:r>
      <w:r w:rsidRPr="004B586C">
        <w:t xml:space="preserve">. </w:t>
      </w:r>
      <w:r>
        <w:tab/>
      </w:r>
      <w:r w:rsidR="00515F27">
        <w:rPr>
          <w:i/>
          <w:iCs/>
        </w:rPr>
        <w:t>Estrecha</w:t>
      </w:r>
      <w:r w:rsidRPr="004B586C">
        <w:t xml:space="preserve"> </w:t>
      </w:r>
      <w:r w:rsidR="00D248B9">
        <w:t>corresponderá a la consciencia</w:t>
      </w:r>
      <w:r w:rsidR="00515F27">
        <w:t xml:space="preserve"> </w:t>
      </w:r>
      <w:r w:rsidRPr="004B586C">
        <w:t>asistid</w:t>
      </w:r>
      <w:r w:rsidR="00515F27">
        <w:t>a</w:t>
      </w:r>
      <w:r w:rsidRPr="004B586C">
        <w:t xml:space="preserve"> por </w:t>
      </w:r>
      <w:r w:rsidR="00515F27">
        <w:t xml:space="preserve">la </w:t>
      </w:r>
      <w:r w:rsidRPr="004B586C">
        <w:t xml:space="preserve">rigidez y </w:t>
      </w:r>
      <w:r w:rsidR="00515F27">
        <w:t xml:space="preserve">el </w:t>
      </w:r>
      <w:r w:rsidRPr="004B586C">
        <w:t xml:space="preserve">letargo. </w:t>
      </w:r>
      <w:r w:rsidR="00035A3E">
        <w:t>La d</w:t>
      </w:r>
      <w:r w:rsidRPr="004B586C">
        <w:t>istraíd</w:t>
      </w:r>
      <w:r w:rsidR="00035A3E">
        <w:t>a</w:t>
      </w:r>
      <w:r w:rsidRPr="004B586C">
        <w:t xml:space="preserve"> </w:t>
      </w:r>
      <w:r w:rsidR="00035A3E">
        <w:t xml:space="preserve">será la </w:t>
      </w:r>
      <w:r w:rsidRPr="004B586C">
        <w:t xml:space="preserve">que </w:t>
      </w:r>
      <w:r w:rsidR="00BD4B7F">
        <w:t xml:space="preserve">sea asistida mediante </w:t>
      </w:r>
      <w:r w:rsidRPr="004B586C">
        <w:t xml:space="preserve">la agitación. </w:t>
      </w:r>
      <w:r w:rsidRPr="00E72CF5">
        <w:rPr>
          <w:i/>
          <w:iCs/>
        </w:rPr>
        <w:t>Ex</w:t>
      </w:r>
      <w:r w:rsidR="00BD4B7F" w:rsidRPr="00E72CF5">
        <w:rPr>
          <w:i/>
          <w:iCs/>
        </w:rPr>
        <w:t>celsa</w:t>
      </w:r>
      <w:r w:rsidR="00BD4B7F">
        <w:t xml:space="preserve"> será</w:t>
      </w:r>
      <w:r w:rsidRPr="004B586C">
        <w:t xml:space="preserve"> </w:t>
      </w:r>
      <w:r w:rsidR="00BD4B7F">
        <w:t xml:space="preserve">la </w:t>
      </w:r>
      <w:r w:rsidRPr="004B586C">
        <w:t xml:space="preserve">de las esferas de </w:t>
      </w:r>
      <w:r w:rsidR="00E72CF5">
        <w:t xml:space="preserve">la </w:t>
      </w:r>
      <w:r w:rsidRPr="004B586C">
        <w:t xml:space="preserve">material </w:t>
      </w:r>
      <w:r w:rsidR="00BD4B7F">
        <w:t xml:space="preserve">sutil </w:t>
      </w:r>
      <w:r w:rsidRPr="004B586C">
        <w:t xml:space="preserve">e inmaterial. </w:t>
      </w:r>
      <w:r w:rsidR="00D21256">
        <w:rPr>
          <w:i/>
          <w:iCs/>
        </w:rPr>
        <w:t xml:space="preserve">No excelsa </w:t>
      </w:r>
      <w:r w:rsidR="00D21256">
        <w:t>será</w:t>
      </w:r>
      <w:r w:rsidRPr="004B586C">
        <w:t xml:space="preserve"> </w:t>
      </w:r>
      <w:r w:rsidR="00D21256">
        <w:t>las restantes</w:t>
      </w:r>
      <w:r w:rsidRPr="004B586C">
        <w:t xml:space="preserve">. </w:t>
      </w:r>
      <w:r w:rsidR="005F7A15">
        <w:rPr>
          <w:i/>
          <w:iCs/>
        </w:rPr>
        <w:t>Superada</w:t>
      </w:r>
      <w:r w:rsidRPr="004B586C">
        <w:t xml:space="preserve"> </w:t>
      </w:r>
      <w:r w:rsidR="00D21256">
        <w:t xml:space="preserve">será </w:t>
      </w:r>
      <w:r w:rsidRPr="004B586C">
        <w:t>tod</w:t>
      </w:r>
      <w:r w:rsidR="00D21256">
        <w:t>a</w:t>
      </w:r>
      <w:r w:rsidRPr="004B586C">
        <w:t xml:space="preserve"> </w:t>
      </w:r>
      <w:r w:rsidR="00C17412">
        <w:t>aquell</w:t>
      </w:r>
      <w:r w:rsidR="005F7A15">
        <w:t>a</w:t>
      </w:r>
      <w:r w:rsidRPr="004B586C">
        <w:t xml:space="preserve"> </w:t>
      </w:r>
      <w:r w:rsidR="00AF160C">
        <w:t xml:space="preserve">consciencia </w:t>
      </w:r>
      <w:r w:rsidR="005F7A15">
        <w:t xml:space="preserve">perteneciente a </w:t>
      </w:r>
      <w:r w:rsidRPr="004B586C">
        <w:t xml:space="preserve">los tres planos mundanos. </w:t>
      </w:r>
      <w:r w:rsidR="00CF677D" w:rsidRPr="00EC2FF2">
        <w:rPr>
          <w:i/>
          <w:iCs/>
        </w:rPr>
        <w:t xml:space="preserve">No </w:t>
      </w:r>
      <w:r w:rsidR="005F7A15">
        <w:rPr>
          <w:i/>
          <w:iCs/>
        </w:rPr>
        <w:t xml:space="preserve">superada </w:t>
      </w:r>
      <w:r w:rsidR="005F7A15">
        <w:t xml:space="preserve">será </w:t>
      </w:r>
      <w:r w:rsidR="00FF33B2">
        <w:t xml:space="preserve">la </w:t>
      </w:r>
      <w:r w:rsidRPr="004B586C">
        <w:t>supramundan</w:t>
      </w:r>
      <w:r w:rsidR="00FF33B2">
        <w:t>a</w:t>
      </w:r>
      <w:r w:rsidRPr="004B586C">
        <w:t xml:space="preserve">. </w:t>
      </w:r>
      <w:r w:rsidRPr="00EC2FF2">
        <w:rPr>
          <w:i/>
          <w:iCs/>
        </w:rPr>
        <w:t>Concentrad</w:t>
      </w:r>
      <w:r w:rsidR="00FF33B2">
        <w:rPr>
          <w:i/>
          <w:iCs/>
        </w:rPr>
        <w:t>a</w:t>
      </w:r>
      <w:r w:rsidRPr="004B586C">
        <w:t xml:space="preserve"> </w:t>
      </w:r>
      <w:r w:rsidR="00FF33B2">
        <w:t xml:space="preserve">será la </w:t>
      </w:r>
      <w:r w:rsidR="00F350C9">
        <w:t xml:space="preserve">conseguida </w:t>
      </w:r>
      <w:r w:rsidR="00A442F1">
        <w:t xml:space="preserve">para </w:t>
      </w:r>
      <w:r w:rsidR="00F350C9">
        <w:t xml:space="preserve">el acceso </w:t>
      </w:r>
      <w:r w:rsidRPr="004B586C">
        <w:t xml:space="preserve">y </w:t>
      </w:r>
      <w:r w:rsidR="00F350C9">
        <w:t xml:space="preserve">aquella conseguida </w:t>
      </w:r>
      <w:r w:rsidR="00A442F1">
        <w:t>para</w:t>
      </w:r>
      <w:r w:rsidRPr="004B586C">
        <w:t xml:space="preserve">la absorción. </w:t>
      </w:r>
      <w:r w:rsidRPr="00EC2FF2">
        <w:rPr>
          <w:i/>
          <w:iCs/>
        </w:rPr>
        <w:t>No concentrad</w:t>
      </w:r>
      <w:r w:rsidR="00201925">
        <w:rPr>
          <w:i/>
          <w:iCs/>
        </w:rPr>
        <w:t>a</w:t>
      </w:r>
      <w:r w:rsidRPr="004B586C">
        <w:t xml:space="preserve"> </w:t>
      </w:r>
      <w:r w:rsidR="00201925">
        <w:t>será aquella no conseguida p</w:t>
      </w:r>
      <w:r w:rsidR="00A442F1">
        <w:t>a</w:t>
      </w:r>
      <w:r w:rsidR="00201925">
        <w:t>r</w:t>
      </w:r>
      <w:r w:rsidR="00A442F1">
        <w:t>a</w:t>
      </w:r>
      <w:r w:rsidR="00201925">
        <w:t xml:space="preserve"> ninguna</w:t>
      </w:r>
      <w:r w:rsidRPr="004B586C">
        <w:t xml:space="preserve">. </w:t>
      </w:r>
      <w:r w:rsidRPr="00EC2FF2">
        <w:rPr>
          <w:i/>
          <w:iCs/>
        </w:rPr>
        <w:t>Liberad</w:t>
      </w:r>
      <w:r w:rsidR="00201925">
        <w:rPr>
          <w:i/>
          <w:iCs/>
        </w:rPr>
        <w:t>a</w:t>
      </w:r>
      <w:r w:rsidRPr="004B586C">
        <w:t xml:space="preserve"> </w:t>
      </w:r>
      <w:r w:rsidR="00201925">
        <w:t xml:space="preserve">será </w:t>
      </w:r>
      <w:r w:rsidRPr="004B586C">
        <w:t>l</w:t>
      </w:r>
      <w:r w:rsidR="00201925">
        <w:t>a</w:t>
      </w:r>
      <w:r w:rsidRPr="004B586C">
        <w:t xml:space="preserve"> que se logr</w:t>
      </w:r>
      <w:r w:rsidR="00201925">
        <w:t>e</w:t>
      </w:r>
      <w:r w:rsidRPr="004B586C">
        <w:t xml:space="preserve"> </w:t>
      </w:r>
      <w:r w:rsidR="002E4357">
        <w:t xml:space="preserve">hacia </w:t>
      </w:r>
      <w:r w:rsidRPr="004B586C">
        <w:t>cualquier</w:t>
      </w:r>
      <w:r w:rsidR="002E4357">
        <w:t>a</w:t>
      </w:r>
      <w:r w:rsidRPr="004B586C">
        <w:t xml:space="preserve"> de los </w:t>
      </w:r>
      <w:r w:rsidR="00A8448E">
        <w:t>5</w:t>
      </w:r>
      <w:r w:rsidRPr="004B586C">
        <w:t xml:space="preserve"> tipos de liberación, es decir, </w:t>
      </w:r>
      <w:r w:rsidR="001E3503" w:rsidRPr="001E3503">
        <w:rPr>
          <w:color w:val="833C0B" w:themeColor="accent2" w:themeShade="80"/>
        </w:rPr>
        <w:t xml:space="preserve">(1) </w:t>
      </w:r>
      <w:r w:rsidRPr="004B586C">
        <w:t>la liberación por sustitución de los opuestos</w:t>
      </w:r>
      <w:r w:rsidR="002E4357">
        <w:t>,</w:t>
      </w:r>
      <w:r w:rsidRPr="004B586C">
        <w:t xml:space="preserve"> a través de la </w:t>
      </w:r>
      <w:r w:rsidR="00DA4F0A">
        <w:t>sabiduría revelativa</w:t>
      </w:r>
      <w:r w:rsidR="002E4357">
        <w:t>;</w:t>
      </w:r>
      <w:r w:rsidRPr="004B586C">
        <w:t xml:space="preserve"> </w:t>
      </w:r>
      <w:r w:rsidR="001E3503" w:rsidRPr="001E3503">
        <w:rPr>
          <w:color w:val="833C0B" w:themeColor="accent2" w:themeShade="80"/>
        </w:rPr>
        <w:t>(</w:t>
      </w:r>
      <w:r w:rsidR="001E3503">
        <w:rPr>
          <w:color w:val="833C0B" w:themeColor="accent2" w:themeShade="80"/>
        </w:rPr>
        <w:t>2</w:t>
      </w:r>
      <w:r w:rsidR="001E3503" w:rsidRPr="001E3503">
        <w:rPr>
          <w:color w:val="833C0B" w:themeColor="accent2" w:themeShade="80"/>
        </w:rPr>
        <w:t xml:space="preserve">) </w:t>
      </w:r>
      <w:r w:rsidRPr="004B586C">
        <w:t>por supresión</w:t>
      </w:r>
      <w:r w:rsidR="002E4357">
        <w:t>,</w:t>
      </w:r>
      <w:r w:rsidRPr="004B586C">
        <w:t xml:space="preserve"> a través de la concentración</w:t>
      </w:r>
      <w:r w:rsidR="002E4357">
        <w:t>;</w:t>
      </w:r>
      <w:r w:rsidRPr="004B586C">
        <w:t xml:space="preserve"> </w:t>
      </w:r>
      <w:r w:rsidR="001E3503" w:rsidRPr="001E3503">
        <w:rPr>
          <w:color w:val="833C0B" w:themeColor="accent2" w:themeShade="80"/>
        </w:rPr>
        <w:t>(</w:t>
      </w:r>
      <w:r w:rsidR="001E3503">
        <w:rPr>
          <w:color w:val="833C0B" w:themeColor="accent2" w:themeShade="80"/>
        </w:rPr>
        <w:t>3</w:t>
      </w:r>
      <w:r w:rsidR="001E3503" w:rsidRPr="001E3503">
        <w:rPr>
          <w:color w:val="833C0B" w:themeColor="accent2" w:themeShade="80"/>
        </w:rPr>
        <w:t xml:space="preserve">) </w:t>
      </w:r>
      <w:r w:rsidR="007A3131">
        <w:t xml:space="preserve">mediante erradicación, </w:t>
      </w:r>
      <w:r w:rsidRPr="004B586C">
        <w:t xml:space="preserve">por medio del </w:t>
      </w:r>
      <w:r w:rsidR="007A3131">
        <w:t>sendero;</w:t>
      </w:r>
      <w:r w:rsidRPr="004B586C">
        <w:t xml:space="preserve"> </w:t>
      </w:r>
      <w:r w:rsidR="001E3503" w:rsidRPr="001E3503">
        <w:rPr>
          <w:color w:val="833C0B" w:themeColor="accent2" w:themeShade="80"/>
        </w:rPr>
        <w:t>(</w:t>
      </w:r>
      <w:r w:rsidR="001E3503">
        <w:rPr>
          <w:color w:val="833C0B" w:themeColor="accent2" w:themeShade="80"/>
        </w:rPr>
        <w:t>4</w:t>
      </w:r>
      <w:r w:rsidR="001E3503" w:rsidRPr="001E3503">
        <w:rPr>
          <w:color w:val="833C0B" w:themeColor="accent2" w:themeShade="80"/>
        </w:rPr>
        <w:t xml:space="preserve">) </w:t>
      </w:r>
      <w:r w:rsidR="007A3131">
        <w:t xml:space="preserve">a través de la </w:t>
      </w:r>
      <w:r w:rsidRPr="004B586C">
        <w:t>tranquilización</w:t>
      </w:r>
      <w:r w:rsidR="007A3131">
        <w:t>,</w:t>
      </w:r>
      <w:r w:rsidRPr="004B586C">
        <w:t xml:space="preserve"> por medio de fruto</w:t>
      </w:r>
      <w:r w:rsidR="007A3131">
        <w:t>;</w:t>
      </w:r>
      <w:r w:rsidRPr="004B586C">
        <w:t xml:space="preserve"> </w:t>
      </w:r>
      <w:r w:rsidR="001E3503" w:rsidRPr="001E3503">
        <w:rPr>
          <w:color w:val="833C0B" w:themeColor="accent2" w:themeShade="80"/>
        </w:rPr>
        <w:t>(</w:t>
      </w:r>
      <w:r w:rsidR="001E3503">
        <w:rPr>
          <w:i/>
          <w:iCs/>
          <w:color w:val="833C0B" w:themeColor="accent2" w:themeShade="80"/>
        </w:rPr>
        <w:t>5</w:t>
      </w:r>
      <w:r w:rsidR="001E3503" w:rsidRPr="001E3503">
        <w:rPr>
          <w:color w:val="833C0B" w:themeColor="accent2" w:themeShade="80"/>
        </w:rPr>
        <w:t xml:space="preserve">) </w:t>
      </w:r>
      <w:r w:rsidRPr="004B586C">
        <w:t xml:space="preserve">y </w:t>
      </w:r>
      <w:r w:rsidR="007A3131">
        <w:t xml:space="preserve">a través de la </w:t>
      </w:r>
      <w:r w:rsidRPr="004B586C">
        <w:t>renuncia</w:t>
      </w:r>
      <w:r w:rsidR="007A3131">
        <w:t>ción,</w:t>
      </w:r>
      <w:r w:rsidRPr="004B586C">
        <w:t xml:space="preserve"> como </w:t>
      </w:r>
      <w:r w:rsidR="001E3503">
        <w:t xml:space="preserve">el </w:t>
      </w:r>
      <w:r w:rsidR="00EC2FF2" w:rsidRPr="00EC2FF2">
        <w:rPr>
          <w:i/>
          <w:iCs/>
        </w:rPr>
        <w:t>Nibbāna</w:t>
      </w:r>
      <w:r w:rsidRPr="004B586C">
        <w:t xml:space="preserve"> (ver </w:t>
      </w:r>
      <w:proofErr w:type="spellStart"/>
      <w:r w:rsidRPr="00EC2FF2">
        <w:rPr>
          <w:i/>
          <w:iCs/>
        </w:rPr>
        <w:t>Paṭis</w:t>
      </w:r>
      <w:proofErr w:type="spellEnd"/>
      <w:r>
        <w:t xml:space="preserve"> i 26 bajo "abandono"). </w:t>
      </w:r>
      <w:r w:rsidR="007864D0">
        <w:rPr>
          <w:i/>
          <w:iCs/>
        </w:rPr>
        <w:t>No liberada</w:t>
      </w:r>
      <w:r>
        <w:t xml:space="preserve"> </w:t>
      </w:r>
      <w:r w:rsidR="007864D0">
        <w:t xml:space="preserve">será </w:t>
      </w:r>
      <w:r>
        <w:t>l</w:t>
      </w:r>
      <w:r w:rsidR="007864D0">
        <w:t>a</w:t>
      </w:r>
      <w:r>
        <w:t xml:space="preserve"> que no ha</w:t>
      </w:r>
      <w:r w:rsidR="007864D0">
        <w:t xml:space="preserve">ya </w:t>
      </w:r>
      <w:r w:rsidR="000D0E0B">
        <w:t>consumado</w:t>
      </w:r>
      <w:r>
        <w:t xml:space="preserve"> ninguno de los cinco tipos de liberación.</w:t>
      </w:r>
    </w:p>
    <w:p w14:paraId="39D50DEC" w14:textId="6E19175D" w:rsidR="004B586C" w:rsidRDefault="001E3503" w:rsidP="004B586C">
      <w:pPr>
        <w:pStyle w:val="NormalConSangria"/>
      </w:pPr>
      <w:r>
        <w:t>Por tanto</w:t>
      </w:r>
      <w:r w:rsidR="004B586C">
        <w:t xml:space="preserve">, el </w:t>
      </w:r>
      <w:proofErr w:type="spellStart"/>
      <w:r w:rsidR="000D0E0B" w:rsidRPr="00057BF4">
        <w:rPr>
          <w:i/>
        </w:rPr>
        <w:t>bhikkhu</w:t>
      </w:r>
      <w:proofErr w:type="spellEnd"/>
      <w:r w:rsidR="000D0E0B">
        <w:t xml:space="preserve"> </w:t>
      </w:r>
      <w:r w:rsidR="004B586C">
        <w:t>que ha</w:t>
      </w:r>
      <w:r w:rsidR="000D0E0B">
        <w:t>ya</w:t>
      </w:r>
      <w:r w:rsidR="004B586C">
        <w:t xml:space="preserve"> adquirido el conocimiento de la penetración de los corazones </w:t>
      </w:r>
      <w:r w:rsidR="000D0E0B">
        <w:t>comprenderá</w:t>
      </w:r>
      <w:r w:rsidR="004B586C">
        <w:t xml:space="preserve"> tod</w:t>
      </w:r>
      <w:r>
        <w:t>a</w:t>
      </w:r>
      <w:r w:rsidR="004B586C">
        <w:t>s est</w:t>
      </w:r>
      <w:r w:rsidR="00860936">
        <w:t>a</w:t>
      </w:r>
      <w:r w:rsidR="004B586C">
        <w:t xml:space="preserve">s </w:t>
      </w:r>
      <w:r w:rsidR="00860936">
        <w:t xml:space="preserve">formas </w:t>
      </w:r>
      <w:r w:rsidR="004B586C">
        <w:t>de con</w:t>
      </w:r>
      <w:r w:rsidR="00860936">
        <w:t>s</w:t>
      </w:r>
      <w:r w:rsidR="004B586C">
        <w:t xml:space="preserve">ciencia, </w:t>
      </w:r>
      <w:r w:rsidR="00860936">
        <w:t>es decir</w:t>
      </w:r>
      <w:r w:rsidR="004B586C">
        <w:t>, la forma de con</w:t>
      </w:r>
      <w:r w:rsidR="00860936">
        <w:t>s</w:t>
      </w:r>
      <w:r w:rsidR="004B586C">
        <w:t>ciencia afectada por la codicia como afectada por la codicia ... la forma de con</w:t>
      </w:r>
      <w:r w:rsidR="00860936">
        <w:t>s</w:t>
      </w:r>
      <w:r w:rsidR="004B586C">
        <w:t xml:space="preserve">ciencia </w:t>
      </w:r>
      <w:r w:rsidR="00860936">
        <w:t xml:space="preserve">no liberada </w:t>
      </w:r>
      <w:r w:rsidR="004B586C">
        <w:t>como no liberada.</w:t>
      </w:r>
    </w:p>
    <w:p w14:paraId="3D83F837" w14:textId="27FBD78D" w:rsidR="004B586C" w:rsidRDefault="004B586C" w:rsidP="004B586C">
      <w:pPr>
        <w:pStyle w:val="Ttulo3"/>
        <w:ind w:left="283" w:firstLine="425"/>
      </w:pPr>
      <w:r>
        <w:t>[(4) Recuerdo De Vidas Pasadas]</w:t>
      </w:r>
    </w:p>
    <w:p w14:paraId="0AD63BE3" w14:textId="7B4233EE" w:rsidR="004B586C" w:rsidRDefault="004B586C" w:rsidP="004B586C">
      <w:r>
        <w:t xml:space="preserve">13. </w:t>
      </w:r>
      <w:r>
        <w:tab/>
        <w:t xml:space="preserve">En cuanto a la explicación del conocimiento del recuerdo de vidas pasadas, el texto es el siguiente: </w:t>
      </w:r>
      <w:r w:rsidR="00860936">
        <w:t>Él d</w:t>
      </w:r>
      <w:r>
        <w:t>irig</w:t>
      </w:r>
      <w:r w:rsidR="00860936">
        <w:t>irá</w:t>
      </w:r>
      <w:r>
        <w:t>, inclina</w:t>
      </w:r>
      <w:r w:rsidR="00860936">
        <w:t>rá</w:t>
      </w:r>
      <w:r>
        <w:t xml:space="preserve"> su mente </w:t>
      </w:r>
      <w:r w:rsidR="00ED5052">
        <w:t>hacia e</w:t>
      </w:r>
      <w:r>
        <w:t>l conocimiento del recuerdo de vidas pasadas. Rec</w:t>
      </w:r>
      <w:r w:rsidR="00860936">
        <w:t>o</w:t>
      </w:r>
      <w:r>
        <w:t>rda</w:t>
      </w:r>
      <w:r w:rsidR="00860936">
        <w:t>rá</w:t>
      </w:r>
      <w:r>
        <w:t xml:space="preserve"> sus múltiples vidas pasadas, es decir, un nacimiento, dos nacimientos, tres nacimientos, cuatro nacimientos, cinco nacimientos, diez nacimientos, veinte nacimientos, treinta nacimientos, cuarenta nacimientos, cincuenta nacimientos, cien nacimientos, mil nacimientos, </w:t>
      </w:r>
      <w:r w:rsidR="00ED5052">
        <w:t>c</w:t>
      </w:r>
      <w:r>
        <w:t xml:space="preserve">ien mil nacimientos, muchos eones de contracción </w:t>
      </w:r>
      <w:r w:rsidR="009338E6">
        <w:t>estelar</w:t>
      </w:r>
      <w:r>
        <w:t xml:space="preserve">, muchos eones de expansión </w:t>
      </w:r>
      <w:r w:rsidR="009338E6">
        <w:t>estelar</w:t>
      </w:r>
      <w:r>
        <w:t xml:space="preserve">: muchos eones de contracción y expansión </w:t>
      </w:r>
      <w:r w:rsidR="009338E6">
        <w:t>estelar</w:t>
      </w:r>
      <w:r>
        <w:t>: “</w:t>
      </w:r>
      <w:r w:rsidR="009338E6">
        <w:t>Entonces</w:t>
      </w:r>
      <w:r>
        <w:t xml:space="preserve"> me llama</w:t>
      </w:r>
      <w:r w:rsidR="009338E6">
        <w:t>ba</w:t>
      </w:r>
      <w:r>
        <w:t>n así, de tal raza, con tal apariencia, tal fue mi comida, tal</w:t>
      </w:r>
      <w:r w:rsidR="009338E6">
        <w:t>es</w:t>
      </w:r>
      <w:r>
        <w:t xml:space="preserve"> </w:t>
      </w:r>
      <w:r w:rsidR="009338E6">
        <w:t xml:space="preserve">mi </w:t>
      </w:r>
      <w:r>
        <w:t>experiencia</w:t>
      </w:r>
      <w:r w:rsidR="009338E6">
        <w:t>s</w:t>
      </w:r>
      <w:r>
        <w:t xml:space="preserve"> de placer y dolor, </w:t>
      </w:r>
      <w:r w:rsidR="00CA6845">
        <w:t xml:space="preserve">así </w:t>
      </w:r>
      <w:r>
        <w:t xml:space="preserve">el final de mi vida; y </w:t>
      </w:r>
      <w:r w:rsidR="00CA6845">
        <w:t xml:space="preserve">al fallecer </w:t>
      </w:r>
      <w:r>
        <w:t xml:space="preserve">allí, reaparecí en otro lugar; </w:t>
      </w:r>
      <w:r w:rsidR="00CA6845">
        <w:t>y</w:t>
      </w:r>
      <w:r>
        <w:t xml:space="preserve"> allí también fui llamado así, de tal raza, con tal apariencia, tal comida, tal</w:t>
      </w:r>
      <w:r w:rsidR="00CA6845">
        <w:t>es</w:t>
      </w:r>
      <w:r>
        <w:t xml:space="preserve"> </w:t>
      </w:r>
      <w:r w:rsidR="00CA6845">
        <w:t xml:space="preserve">mis </w:t>
      </w:r>
      <w:r>
        <w:t>experiencia</w:t>
      </w:r>
      <w:r w:rsidR="00CA6845">
        <w:t>s</w:t>
      </w:r>
      <w:r>
        <w:t xml:space="preserve"> de placer y dolor, tal el final de mi vida; Y </w:t>
      </w:r>
      <w:r w:rsidR="00CA6845">
        <w:t xml:space="preserve">al fallecer </w:t>
      </w:r>
      <w:r>
        <w:t>allí, reaparecí aquí ". Así, con sus aspectos y detalles, rec</w:t>
      </w:r>
      <w:r w:rsidR="00CA6845">
        <w:t>o</w:t>
      </w:r>
      <w:r>
        <w:t>rda</w:t>
      </w:r>
      <w:r w:rsidR="00CA6845">
        <w:t>rá</w:t>
      </w:r>
      <w:r>
        <w:t xml:space="preserve"> sus múltiples vidas pasadas”</w:t>
      </w:r>
      <w:r w:rsidR="00CA6845">
        <w:t xml:space="preserve"> </w:t>
      </w:r>
      <w:r>
        <w:t xml:space="preserve">(D I 81). [Aquí,] </w:t>
      </w:r>
      <w:r w:rsidR="007B30E0">
        <w:rPr>
          <w:i/>
          <w:iCs/>
        </w:rPr>
        <w:t>e</w:t>
      </w:r>
      <w:r w:rsidRPr="00EC2FF2">
        <w:rPr>
          <w:i/>
          <w:iCs/>
        </w:rPr>
        <w:t>l conocimiento del recuerdo de vidas pasadas</w:t>
      </w:r>
      <w:r>
        <w:t xml:space="preserve"> </w:t>
      </w:r>
      <w:r w:rsidR="00147AE5">
        <w:t xml:space="preserve">se </w:t>
      </w:r>
      <w:r w:rsidR="00147AE5" w:rsidRPr="0012221A">
        <w:t>refer</w:t>
      </w:r>
      <w:r w:rsidR="0012221A">
        <w:t>irá</w:t>
      </w:r>
      <w:r w:rsidR="00147AE5">
        <w:t xml:space="preserve"> a</w:t>
      </w:r>
      <w:r>
        <w:t xml:space="preserve">l conocimiento </w:t>
      </w:r>
      <w:r w:rsidR="007B30E0">
        <w:t>proveniente</w:t>
      </w:r>
      <w:r>
        <w:t xml:space="preserve"> </w:t>
      </w:r>
      <w:r w:rsidR="007B30E0">
        <w:t xml:space="preserve">de haber </w:t>
      </w:r>
      <w:r>
        <w:t>rec</w:t>
      </w:r>
      <w:r w:rsidR="007B30E0">
        <w:t>o</w:t>
      </w:r>
      <w:r>
        <w:t>rd</w:t>
      </w:r>
      <w:r w:rsidR="007B30E0">
        <w:t>ado</w:t>
      </w:r>
      <w:r>
        <w:t xml:space="preserve"> </w:t>
      </w:r>
      <w:r w:rsidR="007B30E0">
        <w:t xml:space="preserve">sus </w:t>
      </w:r>
      <w:r>
        <w:t xml:space="preserve">vidas pasadas. </w:t>
      </w:r>
      <w:r w:rsidRPr="00EC2FF2">
        <w:rPr>
          <w:i/>
          <w:iCs/>
        </w:rPr>
        <w:t>Las vidas pasadas</w:t>
      </w:r>
      <w:r>
        <w:t xml:space="preserve"> </w:t>
      </w:r>
      <w:r w:rsidR="008A7C5B">
        <w:t>corresponderán a</w:t>
      </w:r>
      <w:r>
        <w:t xml:space="preserve"> los agregados </w:t>
      </w:r>
      <w:r w:rsidR="005D04FD">
        <w:t>vividos</w:t>
      </w:r>
      <w:r>
        <w:t xml:space="preserve"> en el pasado</w:t>
      </w:r>
      <w:r w:rsidR="00147AE5">
        <w:t>,</w:t>
      </w:r>
      <w:r>
        <w:t xml:space="preserve"> en </w:t>
      </w:r>
      <w:r w:rsidR="008A7C5B">
        <w:t>re</w:t>
      </w:r>
      <w:r>
        <w:t xml:space="preserve">nacimientos </w:t>
      </w:r>
      <w:r w:rsidR="00147AE5">
        <w:t>pasados</w:t>
      </w:r>
      <w:r>
        <w:t>. "Viv</w:t>
      </w:r>
      <w:r w:rsidR="005D04FD">
        <w:t>idos</w:t>
      </w:r>
      <w:proofErr w:type="gramStart"/>
      <w:r>
        <w:t>"</w:t>
      </w:r>
      <w:r w:rsidR="00EA7C04">
        <w:t xml:space="preserve">, </w:t>
      </w:r>
      <w:r>
        <w:t xml:space="preserve"> en</w:t>
      </w:r>
      <w:proofErr w:type="gramEnd"/>
      <w:r>
        <w:t xml:space="preserve"> es</w:t>
      </w:r>
      <w:r w:rsidR="003C30DB">
        <w:t>t</w:t>
      </w:r>
      <w:r>
        <w:t xml:space="preserve">e caso </w:t>
      </w:r>
      <w:r w:rsidR="00BF6C98">
        <w:t xml:space="preserve">se </w:t>
      </w:r>
      <w:r w:rsidR="008A7C5B">
        <w:t xml:space="preserve">referirá </w:t>
      </w:r>
      <w:r w:rsidR="00BF6C98">
        <w:t xml:space="preserve">a lo </w:t>
      </w:r>
      <w:r>
        <w:t>vivido</w:t>
      </w:r>
      <w:r w:rsidR="006A363B">
        <w:t xml:space="preserve"> por el </w:t>
      </w:r>
      <w:r w:rsidR="003B7165">
        <w:t>practicante</w:t>
      </w:r>
      <w:r>
        <w:t xml:space="preserve">, experimentado, surgido y cesado </w:t>
      </w:r>
      <w:r w:rsidR="003B7165">
        <w:t xml:space="preserve">a través de </w:t>
      </w:r>
      <w:r>
        <w:t xml:space="preserve">la propia continuidad subjetiva. O alternativamente, </w:t>
      </w:r>
      <w:r w:rsidR="005F06E9">
        <w:t xml:space="preserve">las </w:t>
      </w:r>
      <w:r>
        <w:t>vidas pasadas s</w:t>
      </w:r>
      <w:r w:rsidR="005F06E9">
        <w:t>erá</w:t>
      </w:r>
      <w:r>
        <w:t xml:space="preserve">n </w:t>
      </w:r>
      <w:r w:rsidR="003B7165">
        <w:t xml:space="preserve">los </w:t>
      </w:r>
      <w:r>
        <w:t>​​objetos mentales vividos en el pasado</w:t>
      </w:r>
      <w:r w:rsidR="005F06E9">
        <w:t>,</w:t>
      </w:r>
      <w:r>
        <w:t xml:space="preserve"> en los nacimientos </w:t>
      </w:r>
      <w:r w:rsidR="005F06E9">
        <w:t>pasados</w:t>
      </w:r>
      <w:r>
        <w:t xml:space="preserve">; y "vivido" en ese caso significa </w:t>
      </w:r>
      <w:r w:rsidR="006F7F55">
        <w:t xml:space="preserve">haberlos vividos </w:t>
      </w:r>
      <w:r>
        <w:t xml:space="preserve">en el </w:t>
      </w:r>
      <w:r w:rsidR="00014053">
        <w:t>alcance</w:t>
      </w:r>
      <w:r>
        <w:t xml:space="preserve"> </w:t>
      </w:r>
      <w:r w:rsidR="003B7165">
        <w:t xml:space="preserve">del </w:t>
      </w:r>
      <w:r>
        <w:t>objetivo</w:t>
      </w:r>
      <w:r w:rsidR="00014053">
        <w:t xml:space="preserve"> personal</w:t>
      </w:r>
      <w:r>
        <w:t>, que ha</w:t>
      </w:r>
      <w:r w:rsidR="00014053">
        <w:t>ya</w:t>
      </w:r>
      <w:r>
        <w:t xml:space="preserve"> sido </w:t>
      </w:r>
      <w:r w:rsidR="00014053">
        <w:t xml:space="preserve">aprehendido </w:t>
      </w:r>
      <w:r>
        <w:t>y delimitado por la propia con</w:t>
      </w:r>
      <w:r w:rsidR="00014053">
        <w:t>s</w:t>
      </w:r>
      <w:r>
        <w:t>ciencia, o también conocido por la con</w:t>
      </w:r>
      <w:r w:rsidR="00014053">
        <w:t>s</w:t>
      </w:r>
      <w:r>
        <w:t>ciencia de otro</w:t>
      </w:r>
      <w:r w:rsidR="003B7165">
        <w:t xml:space="preserve"> ser</w:t>
      </w:r>
      <w:r>
        <w:t>. En el caso del recuerdo de aquellos ​​</w:t>
      </w:r>
      <w:r w:rsidR="00092B9E">
        <w:t xml:space="preserve">Iluminados pasados </w:t>
      </w:r>
      <w:r>
        <w:t xml:space="preserve">que </w:t>
      </w:r>
      <w:r w:rsidR="00097B71">
        <w:t xml:space="preserve">rompieron </w:t>
      </w:r>
      <w:r>
        <w:t>el ciclo</w:t>
      </w:r>
      <w:r w:rsidR="00097B71">
        <w:t xml:space="preserve"> </w:t>
      </w:r>
      <w:r w:rsidR="00092B9E">
        <w:t xml:space="preserve">de </w:t>
      </w:r>
      <w:r w:rsidR="00097B71">
        <w:t>renacimientos</w:t>
      </w:r>
      <w:r>
        <w:t xml:space="preserve">, y así sucesivamente, </w:t>
      </w:r>
      <w:r w:rsidRPr="00207128">
        <w:rPr>
          <w:vertAlign w:val="superscript"/>
        </w:rPr>
        <w:t>7</w:t>
      </w:r>
      <w:r>
        <w:t xml:space="preserve"> estos últimos solo s</w:t>
      </w:r>
      <w:r w:rsidR="00097B71">
        <w:t>erá</w:t>
      </w:r>
      <w:r>
        <w:t xml:space="preserve">n accesibles para los iluminados. </w:t>
      </w:r>
      <w:r w:rsidR="00097B71">
        <w:t xml:space="preserve">El </w:t>
      </w:r>
      <w:r w:rsidR="00097B71">
        <w:rPr>
          <w:i/>
          <w:iCs/>
        </w:rPr>
        <w:t>r</w:t>
      </w:r>
      <w:r w:rsidRPr="008C63AE">
        <w:rPr>
          <w:i/>
          <w:iCs/>
        </w:rPr>
        <w:t>ecuerdo de vidas pasadas</w:t>
      </w:r>
      <w:r>
        <w:t xml:space="preserve">: la atención plena (memoria) por medio de la cual </w:t>
      </w:r>
      <w:r w:rsidR="00092B9E">
        <w:t xml:space="preserve">se </w:t>
      </w:r>
      <w:r>
        <w:t>recuerd</w:t>
      </w:r>
      <w:r w:rsidR="00684697">
        <w:t>e</w:t>
      </w:r>
      <w:r>
        <w:t xml:space="preserve"> las vidas pasadas </w:t>
      </w:r>
      <w:r w:rsidR="00A45147">
        <w:t>también corresponderá</w:t>
      </w:r>
      <w:r>
        <w:t xml:space="preserve"> </w:t>
      </w:r>
      <w:r w:rsidR="00A45147">
        <w:t>a</w:t>
      </w:r>
      <w:r>
        <w:t xml:space="preserve">l recuerdo de vidas pasadas. El conocimiento </w:t>
      </w:r>
      <w:r w:rsidR="00684697">
        <w:t>será</w:t>
      </w:r>
      <w:r>
        <w:t xml:space="preserve"> el conocimiento asociado con esa atención plena. [411] </w:t>
      </w:r>
      <w:r w:rsidR="009942D5" w:rsidRPr="009942D5">
        <w:rPr>
          <w:i/>
          <w:iCs/>
        </w:rPr>
        <w:t xml:space="preserve">Para </w:t>
      </w:r>
      <w:r w:rsidR="00A45147">
        <w:rPr>
          <w:i/>
          <w:iCs/>
        </w:rPr>
        <w:t xml:space="preserve">el </w:t>
      </w:r>
      <w:r w:rsidRPr="008C63AE">
        <w:rPr>
          <w:i/>
          <w:iCs/>
        </w:rPr>
        <w:t>conocimiento del recuerdo de vidas</w:t>
      </w:r>
      <w:r>
        <w:t xml:space="preserve"> </w:t>
      </w:r>
    </w:p>
    <w:p w14:paraId="57C42823" w14:textId="6A0593BC" w:rsidR="004B586C" w:rsidRPr="004B586C" w:rsidRDefault="004B586C" w:rsidP="004B586C">
      <w:pPr>
        <w:pStyle w:val="PiedepginaLegal"/>
        <w:rPr>
          <w:u w:val="single"/>
        </w:rPr>
      </w:pPr>
      <w:r w:rsidRPr="004B586C">
        <w:rPr>
          <w:u w:val="single"/>
        </w:rPr>
        <w:t xml:space="preserve">                                                                                                                                                           .</w:t>
      </w:r>
    </w:p>
    <w:p w14:paraId="2D7BCFCF" w14:textId="50818FD2" w:rsidR="004B586C" w:rsidRDefault="004B586C" w:rsidP="000320BB">
      <w:pPr>
        <w:pStyle w:val="PiedepginaLegal"/>
      </w:pPr>
      <w:r>
        <w:t xml:space="preserve">7. </w:t>
      </w:r>
      <w:r>
        <w:tab/>
        <w:t xml:space="preserve">Para el término </w:t>
      </w:r>
      <w:proofErr w:type="spellStart"/>
      <w:r w:rsidRPr="008C63AE">
        <w:rPr>
          <w:i/>
          <w:iCs/>
        </w:rPr>
        <w:t>chinna-vaṭumaka</w:t>
      </w:r>
      <w:proofErr w:type="spellEnd"/>
      <w:r>
        <w:t xml:space="preserve"> ("</w:t>
      </w:r>
      <w:r w:rsidR="00F522A7">
        <w:t>alguien</w:t>
      </w:r>
      <w:r>
        <w:t xml:space="preserve"> que </w:t>
      </w:r>
      <w:r w:rsidR="00F522A7">
        <w:t>ha</w:t>
      </w:r>
      <w:r w:rsidR="0092147B">
        <w:t>ya</w:t>
      </w:r>
      <w:r w:rsidR="00F522A7">
        <w:t xml:space="preserve"> </w:t>
      </w:r>
      <w:r w:rsidR="00013A0E">
        <w:t>destruido</w:t>
      </w:r>
      <w:r w:rsidR="00F522A7">
        <w:t xml:space="preserve"> </w:t>
      </w:r>
      <w:r>
        <w:t xml:space="preserve">el ciclo de renacimientos") como epíteto de </w:t>
      </w:r>
      <w:r w:rsidR="0092147B">
        <w:t xml:space="preserve">los </w:t>
      </w:r>
      <w:r w:rsidR="008C63AE" w:rsidRPr="008C63AE">
        <w:rPr>
          <w:i/>
        </w:rPr>
        <w:t>Buddha</w:t>
      </w:r>
      <w:r>
        <w:t>s</w:t>
      </w:r>
      <w:r w:rsidR="00F522A7">
        <w:t xml:space="preserve"> del pasado</w:t>
      </w:r>
      <w:r>
        <w:t>, ver M III 118.</w:t>
      </w:r>
      <w:r>
        <w:br w:type="page"/>
      </w:r>
    </w:p>
    <w:p w14:paraId="48334D3B" w14:textId="77777777" w:rsidR="004B586C" w:rsidRDefault="004B586C" w:rsidP="004B586C"/>
    <w:p w14:paraId="76E83543" w14:textId="7CA5623C" w:rsidR="00CB6F02" w:rsidRDefault="009942D5" w:rsidP="00CB6F02">
      <w:r w:rsidRPr="008C63AE">
        <w:rPr>
          <w:i/>
          <w:iCs/>
        </w:rPr>
        <w:t>pasadas</w:t>
      </w:r>
      <w:r>
        <w:rPr>
          <w:i/>
          <w:iCs/>
        </w:rPr>
        <w:t>:</w:t>
      </w:r>
      <w:r>
        <w:t xml:space="preserve"> </w:t>
      </w:r>
      <w:r w:rsidR="00CF4792">
        <w:t xml:space="preserve">lo que se quiere decir es </w:t>
      </w:r>
      <w:r w:rsidR="00684697">
        <w:t xml:space="preserve">para </w:t>
      </w:r>
      <w:r w:rsidR="00CB6F02">
        <w:t>el propósito del conoc</w:t>
      </w:r>
      <w:r w:rsidR="000320BB">
        <w:t>er</w:t>
      </w:r>
      <w:r w:rsidR="00CB6F02">
        <w:t xml:space="preserve"> el recuerdo de vidas pasadas; </w:t>
      </w:r>
      <w:r w:rsidR="00673E91">
        <w:t>p</w:t>
      </w:r>
      <w:r w:rsidR="00CB6F02">
        <w:t xml:space="preserve">ara </w:t>
      </w:r>
      <w:r w:rsidR="000320BB">
        <w:t xml:space="preserve">la </w:t>
      </w:r>
      <w:r w:rsidR="00CF4792">
        <w:t>consuma</w:t>
      </w:r>
      <w:r w:rsidR="000320BB">
        <w:t>rl</w:t>
      </w:r>
      <w:r w:rsidR="00AC0DBC">
        <w:t>o</w:t>
      </w:r>
      <w:r w:rsidR="00CB6F02">
        <w:t xml:space="preserve">, para </w:t>
      </w:r>
      <w:r w:rsidR="00CF4792">
        <w:t>desarroll</w:t>
      </w:r>
      <w:r w:rsidR="00AC0DBC">
        <w:t>ar</w:t>
      </w:r>
      <w:r w:rsidR="00CB6F02">
        <w:t xml:space="preserve"> ese conocimiento.</w:t>
      </w:r>
    </w:p>
    <w:p w14:paraId="45503AAF" w14:textId="74FB0D06" w:rsidR="00CB6F02" w:rsidRDefault="00CB6F02" w:rsidP="00CB6F02">
      <w:r>
        <w:t xml:space="preserve">14. </w:t>
      </w:r>
      <w:r>
        <w:tab/>
      </w:r>
      <w:r w:rsidR="00CE70F5" w:rsidRPr="00CE70F5">
        <w:rPr>
          <w:i/>
          <w:iCs/>
        </w:rPr>
        <w:t>Muchas</w:t>
      </w:r>
      <w:r>
        <w:t xml:space="preserve">: de muchos tipos: o </w:t>
      </w:r>
      <w:r w:rsidR="002B5055">
        <w:t>para aquello que</w:t>
      </w:r>
      <w:r>
        <w:t xml:space="preserve"> ha</w:t>
      </w:r>
      <w:r w:rsidR="002B5055">
        <w:t>ya</w:t>
      </w:r>
      <w:r>
        <w:t xml:space="preserve"> ocurrido de muchas maneras. </w:t>
      </w:r>
      <w:r w:rsidR="002B5055">
        <w:t>Ofrecido</w:t>
      </w:r>
      <w:r>
        <w:t xml:space="preserve"> en detalle, es el significado.</w:t>
      </w:r>
      <w:r w:rsidRPr="00207128">
        <w:rPr>
          <w:vertAlign w:val="superscript"/>
        </w:rPr>
        <w:t>8</w:t>
      </w:r>
      <w:r>
        <w:t xml:space="preserve"> </w:t>
      </w:r>
      <w:r w:rsidRPr="002B5055">
        <w:rPr>
          <w:i/>
          <w:iCs/>
        </w:rPr>
        <w:t>Vidas pasadas</w:t>
      </w:r>
      <w:r>
        <w:t xml:space="preserve"> </w:t>
      </w:r>
      <w:r w:rsidR="00007053">
        <w:t>corresponderá a</w:t>
      </w:r>
      <w:r>
        <w:t xml:space="preserve"> la continuidad vivida aquí y allá, tomando la existencia inmediatamente </w:t>
      </w:r>
      <w:r w:rsidR="00F80571">
        <w:t>pasada</w:t>
      </w:r>
      <w:r>
        <w:t xml:space="preserve"> como el comienzo y </w:t>
      </w:r>
      <w:r w:rsidR="00F80571">
        <w:t>prosiguiendo</w:t>
      </w:r>
      <w:r>
        <w:t xml:space="preserve"> hacia atrás. </w:t>
      </w:r>
      <w:r w:rsidRPr="00F80571">
        <w:rPr>
          <w:i/>
          <w:iCs/>
        </w:rPr>
        <w:t>Él recuerda</w:t>
      </w:r>
      <w:r>
        <w:t xml:space="preserve">: </w:t>
      </w:r>
      <w:r w:rsidR="00F80571">
        <w:t xml:space="preserve">él </w:t>
      </w:r>
      <w:r>
        <w:t xml:space="preserve">lo recuerda, </w:t>
      </w:r>
      <w:r w:rsidR="00412431">
        <w:t>rastreándolos</w:t>
      </w:r>
      <w:r>
        <w:t xml:space="preserve"> </w:t>
      </w:r>
      <w:r w:rsidR="00F80571">
        <w:t xml:space="preserve">mediante </w:t>
      </w:r>
      <w:r>
        <w:t xml:space="preserve">la sucesión de </w:t>
      </w:r>
      <w:r w:rsidR="00412431">
        <w:t xml:space="preserve">los </w:t>
      </w:r>
      <w:r>
        <w:t xml:space="preserve">agregados, o </w:t>
      </w:r>
      <w:r w:rsidR="00F80571">
        <w:t>mediante la</w:t>
      </w:r>
      <w:r>
        <w:t xml:space="preserve"> muerte y el </w:t>
      </w:r>
      <w:r w:rsidR="00244520" w:rsidRPr="00C71EC8">
        <w:t>vín</w:t>
      </w:r>
      <w:r w:rsidR="00244520">
        <w:t>culo</w:t>
      </w:r>
      <w:r w:rsidR="00244520" w:rsidRPr="00C71EC8">
        <w:t>–</w:t>
      </w:r>
      <w:r w:rsidR="00244520">
        <w:t>de</w:t>
      </w:r>
      <w:r w:rsidR="00244520" w:rsidRPr="00C71EC8">
        <w:t>–</w:t>
      </w:r>
      <w:r w:rsidR="00244520">
        <w:t>renacimiento</w:t>
      </w:r>
      <w:r>
        <w:t>.</w:t>
      </w:r>
    </w:p>
    <w:p w14:paraId="31E8226B" w14:textId="349D243A" w:rsidR="00CB6F02" w:rsidRDefault="00CB6F02" w:rsidP="00CB6F02">
      <w:r>
        <w:t xml:space="preserve">15. </w:t>
      </w:r>
      <w:r>
        <w:tab/>
      </w:r>
      <w:r w:rsidR="00412431">
        <w:t>Existe</w:t>
      </w:r>
      <w:r w:rsidR="00007053">
        <w:t>n</w:t>
      </w:r>
      <w:r w:rsidR="00412431">
        <w:t xml:space="preserve"> </w:t>
      </w:r>
      <w:r w:rsidR="00007053">
        <w:t>6</w:t>
      </w:r>
      <w:r>
        <w:t xml:space="preserve"> tipos de personas que recuerdan estas vidas pasadas. </w:t>
      </w:r>
      <w:r w:rsidR="00147F77">
        <w:t xml:space="preserve">Éstas </w:t>
      </w:r>
      <w:r>
        <w:t xml:space="preserve">son: </w:t>
      </w:r>
      <w:r w:rsidR="00DE62D9">
        <w:t>personas de otras sectas</w:t>
      </w:r>
      <w:r>
        <w:t xml:space="preserve">, </w:t>
      </w:r>
      <w:r w:rsidR="00DE62D9">
        <w:t xml:space="preserve">los </w:t>
      </w:r>
      <w:r>
        <w:t xml:space="preserve">discípulos comunes, </w:t>
      </w:r>
      <w:r w:rsidR="00DE62D9">
        <w:t xml:space="preserve">lo </w:t>
      </w:r>
      <w:r>
        <w:t xml:space="preserve">grandes discípulos, </w:t>
      </w:r>
      <w:r w:rsidR="00DE62D9">
        <w:t xml:space="preserve">los </w:t>
      </w:r>
      <w:r>
        <w:t>discípulos</w:t>
      </w:r>
      <w:r w:rsidR="00DE62D9">
        <w:t xml:space="preserve"> principales</w:t>
      </w:r>
      <w:r>
        <w:t xml:space="preserve">, </w:t>
      </w:r>
      <w:r w:rsidR="00DE62D9">
        <w:t xml:space="preserve">los </w:t>
      </w:r>
      <w:proofErr w:type="spellStart"/>
      <w:r w:rsidRPr="008C63AE">
        <w:rPr>
          <w:i/>
          <w:iCs/>
        </w:rPr>
        <w:t>Pacceka</w:t>
      </w:r>
      <w:r w:rsidR="00057BF4" w:rsidRPr="008C63AE">
        <w:rPr>
          <w:i/>
          <w:iCs/>
        </w:rPr>
        <w:t>buddha</w:t>
      </w:r>
      <w:r w:rsidRPr="008C63AE">
        <w:rPr>
          <w:i/>
          <w:iCs/>
        </w:rPr>
        <w:t>s</w:t>
      </w:r>
      <w:proofErr w:type="spellEnd"/>
      <w:r>
        <w:t xml:space="preserve"> y </w:t>
      </w:r>
      <w:r w:rsidR="00DE62D9">
        <w:t xml:space="preserve">los </w:t>
      </w:r>
      <w:r w:rsidR="00057BF4" w:rsidRPr="00057BF4">
        <w:rPr>
          <w:i/>
        </w:rPr>
        <w:t>Buddha</w:t>
      </w:r>
      <w:r>
        <w:t>s.</w:t>
      </w:r>
    </w:p>
    <w:p w14:paraId="317D2A5B" w14:textId="152B42C7" w:rsidR="00CB6F02" w:rsidRDefault="00CB6F02" w:rsidP="00CB6F02">
      <w:r>
        <w:t xml:space="preserve">16. </w:t>
      </w:r>
      <w:r>
        <w:tab/>
      </w:r>
      <w:r w:rsidR="00007053">
        <w:t>Aquí</w:t>
      </w:r>
      <w:r>
        <w:t xml:space="preserve">, otros sectarios </w:t>
      </w:r>
      <w:r w:rsidR="004C1178">
        <w:t>podrán</w:t>
      </w:r>
      <w:r w:rsidR="00351215">
        <w:t xml:space="preserve"> recordar </w:t>
      </w:r>
      <w:r>
        <w:t xml:space="preserve">solo hasta </w:t>
      </w:r>
      <w:r w:rsidR="00351215">
        <w:t>40</w:t>
      </w:r>
      <w:r>
        <w:t xml:space="preserve"> eones, pero no más allá de e</w:t>
      </w:r>
      <w:r w:rsidR="00DE62D9">
        <w:t>ll</w:t>
      </w:r>
      <w:r>
        <w:t xml:space="preserve">o. ¿Por qué? Porque su comprensión </w:t>
      </w:r>
      <w:r w:rsidR="00F0447E">
        <w:t>será d</w:t>
      </w:r>
      <w:r>
        <w:t xml:space="preserve">ébil por falta de delimitación de la mente y la materia (ver Ch. XVIII). Los discípulos ordinarios </w:t>
      </w:r>
      <w:r w:rsidR="004C1178">
        <w:t xml:space="preserve">podrán </w:t>
      </w:r>
      <w:r w:rsidR="00F0447E">
        <w:t xml:space="preserve">recordar </w:t>
      </w:r>
      <w:r w:rsidR="00351215">
        <w:t>entre</w:t>
      </w:r>
      <w:r>
        <w:t xml:space="preserve"> </w:t>
      </w:r>
      <w:r w:rsidR="00351215">
        <w:t>100</w:t>
      </w:r>
      <w:r>
        <w:t xml:space="preserve"> y hasta </w:t>
      </w:r>
      <w:r w:rsidR="00351215">
        <w:t>1,000</w:t>
      </w:r>
      <w:r>
        <w:t xml:space="preserve"> eones porque su comprensión </w:t>
      </w:r>
      <w:r w:rsidR="00F0447E">
        <w:t xml:space="preserve">será </w:t>
      </w:r>
      <w:r>
        <w:t xml:space="preserve">fuerte. Los ochenta grandes discípulos </w:t>
      </w:r>
      <w:r w:rsidR="004C1178">
        <w:t xml:space="preserve">podrán </w:t>
      </w:r>
      <w:r w:rsidR="0012578E">
        <w:t>recordar</w:t>
      </w:r>
      <w:r>
        <w:t xml:space="preserve"> hasta </w:t>
      </w:r>
      <w:r w:rsidR="00351215">
        <w:t>100,000</w:t>
      </w:r>
      <w:r>
        <w:t xml:space="preserve"> eones. Los dos discípulos recuerdan </w:t>
      </w:r>
      <w:r w:rsidR="0012578E">
        <w:t xml:space="preserve">principales </w:t>
      </w:r>
      <w:r>
        <w:t xml:space="preserve">desde </w:t>
      </w:r>
      <w:r w:rsidR="00351215">
        <w:t>1</w:t>
      </w:r>
      <w:r>
        <w:t xml:space="preserve"> </w:t>
      </w:r>
      <w:r w:rsidR="0012578E">
        <w:t xml:space="preserve">era </w:t>
      </w:r>
      <w:r>
        <w:t>incalculable</w:t>
      </w:r>
      <w:r w:rsidR="00351215">
        <w:t xml:space="preserve"> más</w:t>
      </w:r>
      <w:r>
        <w:t xml:space="preserve"> </w:t>
      </w:r>
      <w:r w:rsidR="00351215">
        <w:t xml:space="preserve">100,000 </w:t>
      </w:r>
      <w:r>
        <w:t xml:space="preserve">mil eones. </w:t>
      </w:r>
      <w:r w:rsidR="0012578E">
        <w:t xml:space="preserve">Los </w:t>
      </w:r>
      <w:proofErr w:type="spellStart"/>
      <w:r w:rsidRPr="008C63AE">
        <w:rPr>
          <w:i/>
          <w:iCs/>
        </w:rPr>
        <w:t>Pacceka</w:t>
      </w:r>
      <w:r w:rsidR="00057BF4" w:rsidRPr="008C63AE">
        <w:rPr>
          <w:i/>
          <w:iCs/>
        </w:rPr>
        <w:t>buddha</w:t>
      </w:r>
      <w:r w:rsidRPr="008C63AE">
        <w:rPr>
          <w:i/>
          <w:iCs/>
        </w:rPr>
        <w:t>s</w:t>
      </w:r>
      <w:proofErr w:type="spellEnd"/>
      <w:r>
        <w:t xml:space="preserve"> </w:t>
      </w:r>
      <w:r w:rsidR="0012578E">
        <w:t xml:space="preserve">pueden recordar </w:t>
      </w:r>
      <w:r>
        <w:t xml:space="preserve">desde </w:t>
      </w:r>
      <w:r w:rsidR="00351215">
        <w:t>2</w:t>
      </w:r>
      <w:r>
        <w:t xml:space="preserve"> </w:t>
      </w:r>
      <w:r w:rsidR="0012578E">
        <w:t>eras</w:t>
      </w:r>
      <w:r>
        <w:t xml:space="preserve"> incalculables </w:t>
      </w:r>
      <w:r w:rsidR="00351215">
        <w:t>más</w:t>
      </w:r>
      <w:r>
        <w:t xml:space="preserve"> cien mil eones. </w:t>
      </w:r>
      <w:r w:rsidR="0012578E">
        <w:t xml:space="preserve">Ya </w:t>
      </w:r>
      <w:r>
        <w:t xml:space="preserve">que tal es la medida en </w:t>
      </w:r>
      <w:r w:rsidR="0012578E">
        <w:t xml:space="preserve">la </w:t>
      </w:r>
      <w:r>
        <w:t xml:space="preserve">que </w:t>
      </w:r>
      <w:r w:rsidR="00F03DA3">
        <w:t>podrán</w:t>
      </w:r>
      <w:r>
        <w:t xml:space="preserve"> </w:t>
      </w:r>
      <w:r w:rsidR="0059521E">
        <w:t xml:space="preserve">dirigir </w:t>
      </w:r>
      <w:r>
        <w:t xml:space="preserve">sus mentes hacia atrás respectivamente. </w:t>
      </w:r>
      <w:r w:rsidR="00D13970">
        <w:t xml:space="preserve">No obstante, </w:t>
      </w:r>
      <w:r>
        <w:t xml:space="preserve">no </w:t>
      </w:r>
      <w:r w:rsidR="001B4A75">
        <w:t xml:space="preserve">habrá </w:t>
      </w:r>
      <w:r>
        <w:t>límite</w:t>
      </w:r>
      <w:r w:rsidR="001B4A75">
        <w:t>s</w:t>
      </w:r>
      <w:r>
        <w:t xml:space="preserve"> </w:t>
      </w:r>
      <w:r w:rsidR="001B4A75">
        <w:t xml:space="preserve">para </w:t>
      </w:r>
      <w:r>
        <w:t xml:space="preserve">el caso de </w:t>
      </w:r>
      <w:r w:rsidR="001B4A75">
        <w:t xml:space="preserve">los </w:t>
      </w:r>
      <w:r w:rsidR="00057BF4" w:rsidRPr="00057BF4">
        <w:rPr>
          <w:i/>
        </w:rPr>
        <w:t>Buddha</w:t>
      </w:r>
      <w:r>
        <w:t>s.</w:t>
      </w:r>
    </w:p>
    <w:p w14:paraId="29CEA37A" w14:textId="3B2403E4" w:rsidR="00CB6F02" w:rsidRDefault="00CB6F02" w:rsidP="00CB6F02">
      <w:r>
        <w:t xml:space="preserve">17. </w:t>
      </w:r>
      <w:r>
        <w:tab/>
        <w:t>Nuevamente, otros sectarios solo rec</w:t>
      </w:r>
      <w:r w:rsidR="001B4A75">
        <w:t>o</w:t>
      </w:r>
      <w:r>
        <w:t>rda</w:t>
      </w:r>
      <w:r w:rsidR="001B4A75">
        <w:t>rá</w:t>
      </w:r>
      <w:r>
        <w:t xml:space="preserve">n la sucesión de </w:t>
      </w:r>
      <w:r w:rsidR="001B4A75">
        <w:t xml:space="preserve">los </w:t>
      </w:r>
      <w:r>
        <w:t xml:space="preserve">agregados; </w:t>
      </w:r>
      <w:r w:rsidR="001B4A75">
        <w:t>n</w:t>
      </w:r>
      <w:r>
        <w:t xml:space="preserve">o </w:t>
      </w:r>
      <w:r w:rsidR="001B4A75">
        <w:t xml:space="preserve">podrán </w:t>
      </w:r>
      <w:r>
        <w:t xml:space="preserve">recordar de acuerdo solo a la muerte y al </w:t>
      </w:r>
      <w:r w:rsidR="00047816" w:rsidRPr="00C71EC8">
        <w:t>vín</w:t>
      </w:r>
      <w:r w:rsidR="00047816">
        <w:t>culo</w:t>
      </w:r>
      <w:r w:rsidR="00047816" w:rsidRPr="00C71EC8">
        <w:t>–</w:t>
      </w:r>
      <w:r w:rsidR="00047816">
        <w:t>de</w:t>
      </w:r>
      <w:r w:rsidR="00047816" w:rsidRPr="00C71EC8">
        <w:t>–</w:t>
      </w:r>
      <w:r w:rsidR="00047816">
        <w:t>renacimiento</w:t>
      </w:r>
      <w:r>
        <w:t xml:space="preserve">, dejando ir la sucesión de agregados. </w:t>
      </w:r>
      <w:r w:rsidR="00DC5114">
        <w:t xml:space="preserve">Estos </w:t>
      </w:r>
      <w:r w:rsidR="00E41ED7">
        <w:t xml:space="preserve">serán </w:t>
      </w:r>
      <w:r>
        <w:t xml:space="preserve">como los ciegos porque no </w:t>
      </w:r>
      <w:r w:rsidR="00E41ED7">
        <w:t>podrán</w:t>
      </w:r>
      <w:r>
        <w:t xml:space="preserve"> descender sobre ningún lugar que elijan; </w:t>
      </w:r>
      <w:r w:rsidR="00E41ED7">
        <w:t xml:space="preserve">irán </w:t>
      </w:r>
      <w:r>
        <w:t xml:space="preserve">como los ciegos sin dejar ir sus palos. Entonces </w:t>
      </w:r>
      <w:r w:rsidR="00E638A2">
        <w:t xml:space="preserve">ellos </w:t>
      </w:r>
      <w:r w:rsidR="00E41ED7">
        <w:t xml:space="preserve">recordarán </w:t>
      </w:r>
      <w:r>
        <w:t xml:space="preserve">sin dejar ir la sucesión de agregados. Los discípulos ordinarios </w:t>
      </w:r>
      <w:r w:rsidR="002A5E4E">
        <w:t>pueden recordar</w:t>
      </w:r>
      <w:r>
        <w:t xml:space="preserve"> por medio de la sucesión de </w:t>
      </w:r>
      <w:r w:rsidR="002A5E4E">
        <w:t xml:space="preserve">los </w:t>
      </w:r>
      <w:r>
        <w:t xml:space="preserve">agregados y rastrean </w:t>
      </w:r>
      <w:r w:rsidR="00E638A2">
        <w:t xml:space="preserve">su pasado </w:t>
      </w:r>
      <w:r>
        <w:t xml:space="preserve">por medio de la muerte y el </w:t>
      </w:r>
      <w:r w:rsidR="007F4F39" w:rsidRPr="00C71EC8">
        <w:t>vín</w:t>
      </w:r>
      <w:r w:rsidR="007F4F39">
        <w:t>culo</w:t>
      </w:r>
      <w:r w:rsidR="007F4F39" w:rsidRPr="00C71EC8">
        <w:t>–</w:t>
      </w:r>
      <w:r w:rsidR="007F4F39">
        <w:t>de</w:t>
      </w:r>
      <w:r w:rsidR="007F4F39" w:rsidRPr="00C71EC8">
        <w:t>–</w:t>
      </w:r>
      <w:r w:rsidR="007F4F39">
        <w:t>renacimiento</w:t>
      </w:r>
      <w:r>
        <w:t xml:space="preserve">. Del mismo modo, los ochenta grandes discípulos. </w:t>
      </w:r>
      <w:r w:rsidR="00CD1976">
        <w:t xml:space="preserve">No obstante, </w:t>
      </w:r>
      <w:r>
        <w:t xml:space="preserve">los discípulos </w:t>
      </w:r>
      <w:r w:rsidR="003770C4">
        <w:t xml:space="preserve">principales </w:t>
      </w:r>
      <w:r>
        <w:t xml:space="preserve">no tienen nada que ver con la sucesión de </w:t>
      </w:r>
      <w:r w:rsidR="00CD1976">
        <w:t xml:space="preserve">los </w:t>
      </w:r>
      <w:r>
        <w:t xml:space="preserve">agregados. Cuando ven la muerte de una persona, ven el </w:t>
      </w:r>
      <w:r w:rsidR="0021484C">
        <w:t xml:space="preserve">nexo del </w:t>
      </w:r>
      <w:r>
        <w:t xml:space="preserve">renacimiento, y nuevamente cuando ven la muerte de otra, ven el </w:t>
      </w:r>
      <w:r w:rsidR="0021484C">
        <w:t xml:space="preserve">nexo del </w:t>
      </w:r>
      <w:r w:rsidR="00C031D9" w:rsidRPr="00C71EC8">
        <w:t>vín</w:t>
      </w:r>
      <w:r w:rsidR="00C031D9">
        <w:t>culo</w:t>
      </w:r>
      <w:r w:rsidR="00C031D9" w:rsidRPr="00C71EC8">
        <w:t>–</w:t>
      </w:r>
      <w:r w:rsidR="00C031D9">
        <w:t>de</w:t>
      </w:r>
      <w:r w:rsidR="00C031D9" w:rsidRPr="00C71EC8">
        <w:t>–</w:t>
      </w:r>
      <w:r w:rsidR="00C031D9">
        <w:t>renacimiento</w:t>
      </w:r>
      <w:r>
        <w:t xml:space="preserve">. Entonces </w:t>
      </w:r>
      <w:r w:rsidR="00BB6D45">
        <w:t>prosiguen mediante</w:t>
      </w:r>
      <w:r>
        <w:t xml:space="preserve"> </w:t>
      </w:r>
      <w:r w:rsidR="00BB6D45">
        <w:t>e</w:t>
      </w:r>
      <w:r>
        <w:t>l rastre</w:t>
      </w:r>
      <w:r w:rsidR="00BB6D45">
        <w:t>o</w:t>
      </w:r>
      <w:r>
        <w:t xml:space="preserve"> a través de la muerte y el pensamiento del renacimiento. Del mismo modo, </w:t>
      </w:r>
      <w:r w:rsidR="00726E7F">
        <w:t xml:space="preserve">los </w:t>
      </w:r>
      <w:proofErr w:type="spellStart"/>
      <w:r w:rsidRPr="008C63AE">
        <w:rPr>
          <w:i/>
          <w:iCs/>
        </w:rPr>
        <w:t>Pacceka</w:t>
      </w:r>
      <w:r w:rsidR="00057BF4" w:rsidRPr="008C63AE">
        <w:rPr>
          <w:i/>
          <w:iCs/>
        </w:rPr>
        <w:t>buddha</w:t>
      </w:r>
      <w:r w:rsidRPr="008C63AE">
        <w:rPr>
          <w:i/>
          <w:iCs/>
        </w:rPr>
        <w:t>s</w:t>
      </w:r>
      <w:proofErr w:type="spellEnd"/>
      <w:r>
        <w:t>.</w:t>
      </w:r>
    </w:p>
    <w:p w14:paraId="77623E8F" w14:textId="5F4762F4" w:rsidR="00CB6F02" w:rsidRDefault="00CB6F02" w:rsidP="00CB6F02">
      <w:r>
        <w:t xml:space="preserve">18. </w:t>
      </w:r>
      <w:r>
        <w:tab/>
        <w:t xml:space="preserve">Los </w:t>
      </w:r>
      <w:r w:rsidR="008C63AE" w:rsidRPr="008C63AE">
        <w:rPr>
          <w:i/>
        </w:rPr>
        <w:t>Buddha</w:t>
      </w:r>
      <w:r>
        <w:t xml:space="preserve">s, sin embargo, no tienen nada que </w:t>
      </w:r>
      <w:r w:rsidR="00BB6D45">
        <w:t>ver</w:t>
      </w:r>
      <w:r>
        <w:t xml:space="preserve"> ni con la sucesión de </w:t>
      </w:r>
      <w:r w:rsidR="00BB6D45">
        <w:t xml:space="preserve">los </w:t>
      </w:r>
      <w:r>
        <w:t xml:space="preserve">agregados o con el rastreo a través de la muerte y el </w:t>
      </w:r>
      <w:r w:rsidR="00C031D9" w:rsidRPr="00C71EC8">
        <w:t>vín</w:t>
      </w:r>
      <w:r w:rsidR="00C031D9">
        <w:t>culo</w:t>
      </w:r>
      <w:r w:rsidR="00C031D9" w:rsidRPr="00C71EC8">
        <w:t>–</w:t>
      </w:r>
      <w:r w:rsidR="00C031D9">
        <w:t>de</w:t>
      </w:r>
      <w:r w:rsidR="00C031D9" w:rsidRPr="00C71EC8">
        <w:t>–</w:t>
      </w:r>
      <w:r w:rsidR="00C031D9">
        <w:t>renacimiento</w:t>
      </w:r>
      <w:r>
        <w:t xml:space="preserve">; </w:t>
      </w:r>
      <w:r w:rsidR="00441017">
        <w:t>en</w:t>
      </w:r>
      <w:r>
        <w:t xml:space="preserve"> cualquier caso que elijan en muchos millones de eones, más o menos, </w:t>
      </w:r>
      <w:r w:rsidR="00441017">
        <w:t xml:space="preserve">ello será </w:t>
      </w:r>
      <w:r>
        <w:t xml:space="preserve">evidente para ellos. Entonces </w:t>
      </w:r>
      <w:r w:rsidR="0077602C">
        <w:t xml:space="preserve">así </w:t>
      </w:r>
      <w:r w:rsidR="00441017">
        <w:t>irán</w:t>
      </w:r>
      <w:r>
        <w:t xml:space="preserve">, y así </w:t>
      </w:r>
      <w:r w:rsidR="003832A2">
        <w:t>descenderán</w:t>
      </w:r>
      <w:r>
        <w:t xml:space="preserve"> con el descenso de</w:t>
      </w:r>
      <w:r w:rsidR="00207128">
        <w:t>l</w:t>
      </w:r>
      <w:r>
        <w:t xml:space="preserve"> L</w:t>
      </w:r>
      <w:r w:rsidR="00207128">
        <w:t>eó</w:t>
      </w:r>
      <w:r>
        <w:t>n</w:t>
      </w:r>
      <w:r w:rsidRPr="00207128">
        <w:rPr>
          <w:vertAlign w:val="superscript"/>
        </w:rPr>
        <w:t>9</w:t>
      </w:r>
      <w:r>
        <w:t xml:space="preserve"> </w:t>
      </w:r>
      <w:r w:rsidR="002B55C9">
        <w:t xml:space="preserve">hacia </w:t>
      </w:r>
      <w:r>
        <w:t xml:space="preserve">donde quieran, incluso saltando más de muchos millones de eones como si fueran una elisión en un texto. Y así como una flecha disparada por un maestro experto en </w:t>
      </w:r>
      <w:r w:rsidR="000A180E">
        <w:t xml:space="preserve">el </w:t>
      </w:r>
      <w:r>
        <w:t xml:space="preserve">tiro con arco </w:t>
      </w:r>
      <w:r w:rsidR="000A180E">
        <w:t xml:space="preserve">para atinarle a un </w:t>
      </w:r>
      <w:r>
        <w:t xml:space="preserve">cabello como </w:t>
      </w:r>
      <w:proofErr w:type="spellStart"/>
      <w:r w:rsidRPr="008C63AE">
        <w:rPr>
          <w:i/>
          <w:iCs/>
        </w:rPr>
        <w:t>Sarabha</w:t>
      </w:r>
      <w:r w:rsidR="008C63AE" w:rsidRPr="008C63AE">
        <w:rPr>
          <w:i/>
          <w:iCs/>
        </w:rPr>
        <w:t>ṅ</w:t>
      </w:r>
      <w:r w:rsidRPr="008C63AE">
        <w:rPr>
          <w:i/>
          <w:iCs/>
        </w:rPr>
        <w:t>ga</w:t>
      </w:r>
      <w:proofErr w:type="spellEnd"/>
      <w:r>
        <w:t xml:space="preserve"> (ver J-A V 129) </w:t>
      </w:r>
      <w:r w:rsidR="000A180E">
        <w:t xml:space="preserve">que </w:t>
      </w:r>
      <w:r>
        <w:t>siempre</w:t>
      </w:r>
      <w:r w:rsidR="000A180E">
        <w:t xml:space="preserve"> le</w:t>
      </w:r>
      <w:r>
        <w:t xml:space="preserve"> </w:t>
      </w:r>
      <w:r w:rsidR="000A180E">
        <w:t>da</w:t>
      </w:r>
      <w:r>
        <w:t xml:space="preserve"> al objetivo sin ser </w:t>
      </w:r>
      <w:r w:rsidR="00B25E48">
        <w:t xml:space="preserve">interrumpido por </w:t>
      </w:r>
      <w:r>
        <w:t xml:space="preserve">árboles, enredades, etc., en su camino, por lo que </w:t>
      </w:r>
      <w:r w:rsidR="00442315">
        <w:t>ni se detendrá</w:t>
      </w:r>
      <w:r>
        <w:t xml:space="preserve"> </w:t>
      </w:r>
      <w:r w:rsidR="00442315">
        <w:t>ni fallará</w:t>
      </w:r>
      <w:r>
        <w:t>, así también,</w:t>
      </w:r>
      <w:r w:rsidR="00442315" w:rsidRPr="00442315">
        <w:t xml:space="preserve"> </w:t>
      </w:r>
      <w:r w:rsidR="00442315">
        <w:t xml:space="preserve">dado que los </w:t>
      </w:r>
      <w:r w:rsidR="00442315" w:rsidRPr="008C63AE">
        <w:rPr>
          <w:i/>
        </w:rPr>
        <w:t>Buddha</w:t>
      </w:r>
      <w:r w:rsidR="00442315">
        <w:t>s van de esta manera,</w:t>
      </w:r>
    </w:p>
    <w:p w14:paraId="0F06D97B" w14:textId="705ADDCD" w:rsidR="00CB6F02" w:rsidRPr="00CB6F02" w:rsidRDefault="00CB6F02" w:rsidP="00CB6F02">
      <w:pPr>
        <w:pStyle w:val="PiedepginaLegal"/>
        <w:rPr>
          <w:u w:val="single"/>
        </w:rPr>
      </w:pPr>
      <w:r w:rsidRPr="00CB6F02">
        <w:rPr>
          <w:u w:val="single"/>
        </w:rPr>
        <w:t xml:space="preserve">                                                                                                                                                           .</w:t>
      </w:r>
    </w:p>
    <w:p w14:paraId="14D1FBF5" w14:textId="142084ED" w:rsidR="00CB6F02" w:rsidRDefault="00CB6F02" w:rsidP="00CB6F02">
      <w:pPr>
        <w:pStyle w:val="PiedepginaLegal"/>
      </w:pPr>
      <w:r>
        <w:t xml:space="preserve">8. </w:t>
      </w:r>
      <w:r>
        <w:tab/>
      </w:r>
      <w:proofErr w:type="spellStart"/>
      <w:r w:rsidRPr="008C63AE">
        <w:rPr>
          <w:i/>
          <w:iCs/>
        </w:rPr>
        <w:t>Saṃvaṇ</w:t>
      </w:r>
      <w:r w:rsidR="008C63AE" w:rsidRPr="008C63AE">
        <w:rPr>
          <w:i/>
          <w:iCs/>
        </w:rPr>
        <w:t>ṇ</w:t>
      </w:r>
      <w:r w:rsidR="008C63AE">
        <w:rPr>
          <w:i/>
          <w:iCs/>
        </w:rPr>
        <w:t>i</w:t>
      </w:r>
      <w:r w:rsidRPr="008C63AE">
        <w:rPr>
          <w:i/>
          <w:iCs/>
        </w:rPr>
        <w:t>ta</w:t>
      </w:r>
      <w:proofErr w:type="spellEnd"/>
      <w:r>
        <w:t xml:space="preserve">— "Dado en detalle"; VISM-MH 4 </w:t>
      </w:r>
      <w:r w:rsidR="008C63AE">
        <w:t>glo</w:t>
      </w:r>
      <w:r w:rsidR="006D6CBB">
        <w:t>s</w:t>
      </w:r>
      <w:r w:rsidR="008C63AE">
        <w:t xml:space="preserve">ado por </w:t>
      </w:r>
      <w:proofErr w:type="spellStart"/>
      <w:r w:rsidR="008C63AE" w:rsidRPr="008C63AE">
        <w:rPr>
          <w:i/>
          <w:iCs/>
        </w:rPr>
        <w:t>vittharitan</w:t>
      </w:r>
      <w:proofErr w:type="spellEnd"/>
      <w:r w:rsidR="008C63AE" w:rsidRPr="008C63AE">
        <w:rPr>
          <w:i/>
          <w:iCs/>
        </w:rPr>
        <w:t xml:space="preserve"> ti </w:t>
      </w:r>
      <w:proofErr w:type="spellStart"/>
      <w:r w:rsidR="008C63AE" w:rsidRPr="008C63AE">
        <w:rPr>
          <w:i/>
          <w:iCs/>
        </w:rPr>
        <w:t>attho</w:t>
      </w:r>
      <w:proofErr w:type="spellEnd"/>
      <w:r>
        <w:t xml:space="preserve">. No </w:t>
      </w:r>
      <w:r w:rsidR="004644C9">
        <w:t>con</w:t>
      </w:r>
      <w:r>
        <w:t xml:space="preserve"> este significado en </w:t>
      </w:r>
      <w:r w:rsidR="004644C9">
        <w:t xml:space="preserve">el </w:t>
      </w:r>
      <w:r>
        <w:t xml:space="preserve">PED. Ver versos de prólogo a los cuatro </w:t>
      </w:r>
      <w:proofErr w:type="spellStart"/>
      <w:r w:rsidRPr="008C63AE">
        <w:rPr>
          <w:i/>
          <w:iCs/>
        </w:rPr>
        <w:t>Nikāyas</w:t>
      </w:r>
      <w:proofErr w:type="spellEnd"/>
      <w:r>
        <w:t>.</w:t>
      </w:r>
    </w:p>
    <w:p w14:paraId="034EE31A" w14:textId="5609D40C" w:rsidR="004B586C" w:rsidRDefault="00CB6F02" w:rsidP="00CB6F02">
      <w:pPr>
        <w:pStyle w:val="PiedepginaLegal"/>
      </w:pPr>
      <w:r>
        <w:t xml:space="preserve">9. </w:t>
      </w:r>
      <w:r>
        <w:tab/>
        <w:t xml:space="preserve">Se encontrará un relato de </w:t>
      </w:r>
      <w:r w:rsidR="00E507A6">
        <w:t xml:space="preserve">los </w:t>
      </w:r>
      <w:r>
        <w:t xml:space="preserve">comentarios </w:t>
      </w:r>
      <w:r w:rsidR="00E507A6">
        <w:t xml:space="preserve">sobre </w:t>
      </w:r>
      <w:r>
        <w:t xml:space="preserve">el comportamiento de los leones en el </w:t>
      </w:r>
      <w:proofErr w:type="spellStart"/>
      <w:r w:rsidRPr="008C63AE">
        <w:rPr>
          <w:i/>
          <w:iCs/>
        </w:rPr>
        <w:t>Manorathapurāṇī</w:t>
      </w:r>
      <w:proofErr w:type="spellEnd"/>
      <w:r>
        <w:t>, comentario a</w:t>
      </w:r>
      <w:r w:rsidR="004D1E01">
        <w:t>l AN</w:t>
      </w:r>
      <w:r>
        <w:t xml:space="preserve"> 4:33. </w:t>
      </w:r>
      <w:proofErr w:type="spellStart"/>
      <w:r>
        <w:t>Vism-Mhṭ</w:t>
      </w:r>
      <w:proofErr w:type="spellEnd"/>
      <w:r>
        <w:t xml:space="preserve"> dice: </w:t>
      </w:r>
      <w:proofErr w:type="spellStart"/>
      <w:r w:rsidRPr="008C63AE">
        <w:rPr>
          <w:i/>
          <w:iCs/>
        </w:rPr>
        <w:t>Sīh</w:t>
      </w:r>
      <w:proofErr w:type="spellEnd"/>
      <w:r w:rsidRPr="008C63AE">
        <w:rPr>
          <w:i/>
          <w:iCs/>
        </w:rPr>
        <w:t>-</w:t>
      </w:r>
      <w:proofErr w:type="spellStart"/>
      <w:r w:rsidRPr="008C63AE">
        <w:rPr>
          <w:i/>
          <w:iCs/>
        </w:rPr>
        <w:t>Okkamana</w:t>
      </w:r>
      <w:proofErr w:type="spellEnd"/>
      <w:r w:rsidRPr="008C63AE">
        <w:rPr>
          <w:i/>
          <w:iCs/>
        </w:rPr>
        <w:t xml:space="preserve">-Vasena </w:t>
      </w:r>
      <w:proofErr w:type="spellStart"/>
      <w:r w:rsidRPr="008C63AE">
        <w:rPr>
          <w:i/>
          <w:iCs/>
        </w:rPr>
        <w:t>Sīhātipatanavasena</w:t>
      </w:r>
      <w:proofErr w:type="spellEnd"/>
      <w:r w:rsidRPr="008C63AE">
        <w:rPr>
          <w:i/>
          <w:iCs/>
        </w:rPr>
        <w:t xml:space="preserve"> </w:t>
      </w:r>
      <w:proofErr w:type="spellStart"/>
      <w:r w:rsidRPr="008C63AE">
        <w:rPr>
          <w:i/>
          <w:iCs/>
        </w:rPr>
        <w:t>ñāṇagatiyā</w:t>
      </w:r>
      <w:proofErr w:type="spellEnd"/>
      <w:r w:rsidRPr="008C63AE">
        <w:rPr>
          <w:i/>
          <w:iCs/>
        </w:rPr>
        <w:t xml:space="preserve"> </w:t>
      </w:r>
      <w:proofErr w:type="spellStart"/>
      <w:r w:rsidRPr="008C63AE">
        <w:rPr>
          <w:i/>
          <w:iCs/>
        </w:rPr>
        <w:t>Gacchati</w:t>
      </w:r>
      <w:proofErr w:type="spellEnd"/>
      <w:r>
        <w:t xml:space="preserve"> (p. 408).</w:t>
      </w:r>
    </w:p>
    <w:p w14:paraId="0BA26100" w14:textId="23D71614" w:rsidR="00CB6F02" w:rsidRDefault="00CB6F02">
      <w:pPr>
        <w:tabs>
          <w:tab w:val="clear" w:pos="425"/>
        </w:tabs>
        <w:spacing w:after="160"/>
      </w:pPr>
      <w:r>
        <w:br w:type="page"/>
      </w:r>
    </w:p>
    <w:p w14:paraId="7464B467" w14:textId="0C926C25" w:rsidR="001B5496" w:rsidRDefault="001B5496" w:rsidP="001B5496">
      <w:r>
        <w:lastRenderedPageBreak/>
        <w:t xml:space="preserve">su conocimiento no se </w:t>
      </w:r>
      <w:r w:rsidR="00442315">
        <w:t>detendrá por</w:t>
      </w:r>
      <w:r>
        <w:t xml:space="preserve"> </w:t>
      </w:r>
      <w:r w:rsidR="00442315">
        <w:t>re</w:t>
      </w:r>
      <w:r>
        <w:t>nacimientos intermedios [412] o falla</w:t>
      </w:r>
      <w:r w:rsidR="00442315">
        <w:t>rá</w:t>
      </w:r>
      <w:r>
        <w:t xml:space="preserve">; </w:t>
      </w:r>
      <w:r w:rsidR="00442315">
        <w:t>s</w:t>
      </w:r>
      <w:r>
        <w:t xml:space="preserve">in ser </w:t>
      </w:r>
      <w:r w:rsidR="00442315">
        <w:t>d</w:t>
      </w:r>
      <w:r>
        <w:t xml:space="preserve">etenido o </w:t>
      </w:r>
      <w:r w:rsidR="009D2939">
        <w:t>desviado</w:t>
      </w:r>
      <w:r>
        <w:t xml:space="preserve">, </w:t>
      </w:r>
      <w:r w:rsidR="009D2939">
        <w:t xml:space="preserve">alcanzará </w:t>
      </w:r>
      <w:r>
        <w:t>cualquier instancia requerida.</w:t>
      </w:r>
    </w:p>
    <w:p w14:paraId="5669BF50" w14:textId="318BC0AD" w:rsidR="001B5496" w:rsidRDefault="001B5496" w:rsidP="001B5496">
      <w:r>
        <w:t xml:space="preserve">19. </w:t>
      </w:r>
      <w:r>
        <w:tab/>
        <w:t xml:space="preserve">Entre estos seres </w:t>
      </w:r>
      <w:r w:rsidR="000F2355">
        <w:t xml:space="preserve">que </w:t>
      </w:r>
      <w:r>
        <w:t>recuerd</w:t>
      </w:r>
      <w:r w:rsidR="006C1D0D">
        <w:t>en</w:t>
      </w:r>
      <w:r>
        <w:t xml:space="preserve"> vidas pasadas, la visión de los sectarios de </w:t>
      </w:r>
      <w:r w:rsidR="00356878">
        <w:t>sus</w:t>
      </w:r>
      <w:r>
        <w:t xml:space="preserve"> vidas pasadas </w:t>
      </w:r>
      <w:r w:rsidR="00151D37">
        <w:t xml:space="preserve">se </w:t>
      </w:r>
      <w:r>
        <w:t>parece</w:t>
      </w:r>
      <w:r w:rsidR="00151D37">
        <w:t>rá a</w:t>
      </w:r>
      <w:r>
        <w:t xml:space="preserve"> la luz de un gusano brill</w:t>
      </w:r>
      <w:r w:rsidR="006C1D0D">
        <w:t>ante</w:t>
      </w:r>
      <w:r>
        <w:t xml:space="preserve">, la de los discípulos ordinarios </w:t>
      </w:r>
      <w:r w:rsidR="00151D37">
        <w:t xml:space="preserve">a </w:t>
      </w:r>
      <w:r>
        <w:t xml:space="preserve">la luz de una vela, la de los grandes discípulos </w:t>
      </w:r>
      <w:r w:rsidR="00151D37">
        <w:t xml:space="preserve">a </w:t>
      </w:r>
      <w:r>
        <w:t xml:space="preserve">la luz de una antorcha, La de los discípulos </w:t>
      </w:r>
      <w:r w:rsidR="006C1D0D">
        <w:t xml:space="preserve">principales </w:t>
      </w:r>
      <w:r w:rsidR="00151D37">
        <w:t xml:space="preserve">a </w:t>
      </w:r>
      <w:r>
        <w:t xml:space="preserve">la luz de la estrella de la mañana, la de </w:t>
      </w:r>
      <w:r w:rsidR="005F1E14">
        <w:t xml:space="preserve">los </w:t>
      </w:r>
      <w:proofErr w:type="spellStart"/>
      <w:r w:rsidRPr="005F1E14">
        <w:rPr>
          <w:i/>
          <w:iCs/>
        </w:rPr>
        <w:t>Pacceka</w:t>
      </w:r>
      <w:r w:rsidR="00057BF4" w:rsidRPr="005F1E14">
        <w:rPr>
          <w:i/>
          <w:iCs/>
        </w:rPr>
        <w:t>buddha</w:t>
      </w:r>
      <w:r w:rsidRPr="005F1E14">
        <w:rPr>
          <w:i/>
          <w:iCs/>
        </w:rPr>
        <w:t>s</w:t>
      </w:r>
      <w:proofErr w:type="spellEnd"/>
      <w:r>
        <w:t xml:space="preserve"> </w:t>
      </w:r>
      <w:r w:rsidR="00151D37">
        <w:t xml:space="preserve">a </w:t>
      </w:r>
      <w:r>
        <w:t xml:space="preserve">la luz de la </w:t>
      </w:r>
      <w:r w:rsidR="005F1E14">
        <w:t>Luna</w:t>
      </w:r>
      <w:r>
        <w:t xml:space="preserve">, y la de </w:t>
      </w:r>
      <w:r w:rsidR="008C63AE" w:rsidRPr="008C63AE">
        <w:rPr>
          <w:i/>
        </w:rPr>
        <w:t>Buddha</w:t>
      </w:r>
      <w:r>
        <w:t xml:space="preserve">s </w:t>
      </w:r>
      <w:r w:rsidR="00151D37">
        <w:t>a</w:t>
      </w:r>
      <w:r>
        <w:t>l glorioso disco de</w:t>
      </w:r>
      <w:r w:rsidR="00AE5DEE">
        <w:t xml:space="preserve">l Sol de otoño, </w:t>
      </w:r>
      <w:r>
        <w:t>con sus mil rayos.</w:t>
      </w:r>
    </w:p>
    <w:p w14:paraId="31DD4F7B" w14:textId="70D2B4C0" w:rsidR="001B5496" w:rsidRDefault="001B5496" w:rsidP="001B5496">
      <w:r>
        <w:t xml:space="preserve">20. </w:t>
      </w:r>
      <w:r>
        <w:tab/>
        <w:t xml:space="preserve">Otros sectarios </w:t>
      </w:r>
      <w:r w:rsidR="00AE5DEE">
        <w:t>pueden</w:t>
      </w:r>
      <w:r>
        <w:t xml:space="preserve"> </w:t>
      </w:r>
      <w:r w:rsidR="00AE5DEE">
        <w:t xml:space="preserve">ver </w:t>
      </w:r>
      <w:r>
        <w:t xml:space="preserve">vidas pasadas </w:t>
      </w:r>
      <w:r w:rsidR="00AE5DEE">
        <w:t xml:space="preserve">como </w:t>
      </w:r>
      <w:r>
        <w:t xml:space="preserve">los hombres ciegos </w:t>
      </w:r>
      <w:r w:rsidR="00AE5DEE">
        <w:t xml:space="preserve">que </w:t>
      </w:r>
      <w:r>
        <w:t xml:space="preserve">van </w:t>
      </w:r>
      <w:r w:rsidR="00FA7082">
        <w:t>tanteando</w:t>
      </w:r>
      <w:r>
        <w:t xml:space="preserve"> </w:t>
      </w:r>
      <w:r w:rsidR="00EA1E9B">
        <w:t xml:space="preserve">el camino </w:t>
      </w:r>
      <w:r>
        <w:t xml:space="preserve">con </w:t>
      </w:r>
      <w:r w:rsidR="00FA7082">
        <w:t>la</w:t>
      </w:r>
      <w:r>
        <w:t xml:space="preserve"> punt</w:t>
      </w:r>
      <w:r w:rsidR="00FA7082">
        <w:t>a</w:t>
      </w:r>
      <w:r>
        <w:t xml:space="preserve"> de un palo. Los discípulos ordinarios lo hacen como </w:t>
      </w:r>
      <w:r w:rsidR="00EA1E9B">
        <w:t xml:space="preserve">los </w:t>
      </w:r>
      <w:r>
        <w:t xml:space="preserve">hombres que </w:t>
      </w:r>
      <w:r w:rsidR="00B52560">
        <w:t xml:space="preserve">caminan a través de </w:t>
      </w:r>
      <w:r>
        <w:t xml:space="preserve">un puente de troncos. Los grandes discípulos lo hacen como </w:t>
      </w:r>
      <w:r w:rsidR="006B6E00">
        <w:t xml:space="preserve">aquellos </w:t>
      </w:r>
      <w:r>
        <w:t xml:space="preserve">hombres que van </w:t>
      </w:r>
      <w:r w:rsidR="006B6E00">
        <w:t>a través de puentes peatonales</w:t>
      </w:r>
      <w:r>
        <w:t xml:space="preserve">. Los discípulos </w:t>
      </w:r>
      <w:r w:rsidR="00597A56">
        <w:t xml:space="preserve">principales </w:t>
      </w:r>
      <w:r>
        <w:t xml:space="preserve">lo hacen como hombres que van </w:t>
      </w:r>
      <w:r w:rsidR="00597A56">
        <w:t xml:space="preserve">por </w:t>
      </w:r>
      <w:r>
        <w:t>un puente</w:t>
      </w:r>
      <w:r w:rsidR="00597A56">
        <w:t xml:space="preserve"> </w:t>
      </w:r>
      <w:r w:rsidR="00D72FDC">
        <w:t xml:space="preserve">para </w:t>
      </w:r>
      <w:r w:rsidR="00597A56">
        <w:t>carreta</w:t>
      </w:r>
      <w:r w:rsidR="00D72FDC">
        <w:t>s</w:t>
      </w:r>
      <w:r>
        <w:t xml:space="preserve">. </w:t>
      </w:r>
      <w:r w:rsidR="00597A56">
        <w:t xml:space="preserve">Los </w:t>
      </w:r>
      <w:proofErr w:type="spellStart"/>
      <w:r w:rsidRPr="00597A56">
        <w:rPr>
          <w:i/>
          <w:iCs/>
        </w:rPr>
        <w:t>Pacceka</w:t>
      </w:r>
      <w:r w:rsidR="00057BF4" w:rsidRPr="00597A56">
        <w:rPr>
          <w:i/>
          <w:iCs/>
        </w:rPr>
        <w:t>buddha</w:t>
      </w:r>
      <w:r w:rsidRPr="00597A56">
        <w:rPr>
          <w:i/>
          <w:iCs/>
        </w:rPr>
        <w:t>s</w:t>
      </w:r>
      <w:proofErr w:type="spellEnd"/>
      <w:r>
        <w:t xml:space="preserve"> lo hace</w:t>
      </w:r>
      <w:r w:rsidR="00597A56">
        <w:t>n</w:t>
      </w:r>
      <w:r>
        <w:t xml:space="preserve"> como </w:t>
      </w:r>
      <w:r w:rsidR="00525F16">
        <w:t xml:space="preserve">los </w:t>
      </w:r>
      <w:r>
        <w:t xml:space="preserve">hombres que van por un </w:t>
      </w:r>
      <w:r w:rsidR="00525F16">
        <w:t xml:space="preserve">camino </w:t>
      </w:r>
      <w:r w:rsidR="00E97785">
        <w:t>principal</w:t>
      </w:r>
      <w:r>
        <w:t xml:space="preserve">. Y los </w:t>
      </w:r>
      <w:r w:rsidR="008C63AE" w:rsidRPr="008C63AE">
        <w:rPr>
          <w:i/>
        </w:rPr>
        <w:t>Buddha</w:t>
      </w:r>
      <w:r>
        <w:t xml:space="preserve">s lo hacen como hombres que van </w:t>
      </w:r>
      <w:r w:rsidR="005A4D43">
        <w:t>por las grandes carreteras sobre carruajes</w:t>
      </w:r>
      <w:r>
        <w:t>.</w:t>
      </w:r>
    </w:p>
    <w:p w14:paraId="123EFF59" w14:textId="7109A02E" w:rsidR="001B5496" w:rsidRDefault="001B5496" w:rsidP="001B5496">
      <w:r>
        <w:t xml:space="preserve">21. </w:t>
      </w:r>
      <w:r w:rsidR="00E97785">
        <w:tab/>
      </w:r>
      <w:r>
        <w:t>A</w:t>
      </w:r>
      <w:r w:rsidR="00E97785">
        <w:t>l</w:t>
      </w:r>
      <w:r>
        <w:t xml:space="preserve"> respecto, es el recuerdo de las vidas pasadas de los discípulos</w:t>
      </w:r>
      <w:r w:rsidR="005903F9">
        <w:t xml:space="preserve"> lo que se pretende describir aquí</w:t>
      </w:r>
      <w:r>
        <w:t>. Por lo tanto, se dijo anteriormente: "</w:t>
      </w:r>
      <w:r w:rsidR="007A5443">
        <w:t>‘</w:t>
      </w:r>
      <w:r w:rsidR="005903F9">
        <w:t>Él</w:t>
      </w:r>
      <w:r>
        <w:t xml:space="preserve"> </w:t>
      </w:r>
      <w:r w:rsidR="005903F9">
        <w:t>r</w:t>
      </w:r>
      <w:r>
        <w:t>ecuerda</w:t>
      </w:r>
      <w:r w:rsidR="007A5443">
        <w:t>’</w:t>
      </w:r>
      <w:r>
        <w:t xml:space="preserve">: lo recuerda </w:t>
      </w:r>
      <w:r w:rsidR="00AA3778">
        <w:t>mediante</w:t>
      </w:r>
      <w:r>
        <w:t xml:space="preserve"> </w:t>
      </w:r>
      <w:r w:rsidR="00AA3778">
        <w:t>a</w:t>
      </w:r>
      <w:r>
        <w:t xml:space="preserve"> la sucesión de </w:t>
      </w:r>
      <w:r w:rsidR="00AA3778">
        <w:t xml:space="preserve">los </w:t>
      </w:r>
      <w:r>
        <w:t xml:space="preserve">agregados, o </w:t>
      </w:r>
      <w:r w:rsidR="00AA3778">
        <w:t xml:space="preserve">a través de </w:t>
      </w:r>
      <w:r>
        <w:t xml:space="preserve">la muerte y el </w:t>
      </w:r>
      <w:r w:rsidR="0038674B" w:rsidRPr="00C71EC8">
        <w:t>vín</w:t>
      </w:r>
      <w:r w:rsidR="0038674B">
        <w:t>culo</w:t>
      </w:r>
      <w:r w:rsidR="0038674B" w:rsidRPr="00C71EC8">
        <w:t>–</w:t>
      </w:r>
      <w:r w:rsidR="0038674B">
        <w:t>de</w:t>
      </w:r>
      <w:r w:rsidR="0038674B" w:rsidRPr="00C71EC8">
        <w:t>–</w:t>
      </w:r>
      <w:r w:rsidR="0038674B">
        <w:t>renacimiento</w:t>
      </w:r>
      <w:r w:rsidR="0038674B" w:rsidRPr="00C71EC8">
        <w:t xml:space="preserve"> </w:t>
      </w:r>
      <w:r>
        <w:t>" (§14).</w:t>
      </w:r>
    </w:p>
    <w:p w14:paraId="15D6AEC2" w14:textId="532FC785" w:rsidR="001B5496" w:rsidRDefault="001B5496" w:rsidP="001B5496">
      <w:r>
        <w:t xml:space="preserve">22. </w:t>
      </w:r>
      <w:r>
        <w:tab/>
        <w:t xml:space="preserve">Entonces, un </w:t>
      </w:r>
      <w:proofErr w:type="spellStart"/>
      <w:r w:rsidR="00D72FDC" w:rsidRPr="00057BF4">
        <w:rPr>
          <w:i/>
        </w:rPr>
        <w:t>bhikkhu</w:t>
      </w:r>
      <w:proofErr w:type="spellEnd"/>
      <w:r w:rsidR="00D72FDC">
        <w:t xml:space="preserve"> </w:t>
      </w:r>
      <w:r>
        <w:t xml:space="preserve">que </w:t>
      </w:r>
      <w:r w:rsidR="00B1329C">
        <w:t>sea</w:t>
      </w:r>
      <w:r>
        <w:t xml:space="preserve"> principiante y quier</w:t>
      </w:r>
      <w:r w:rsidR="00B1329C">
        <w:t>a</w:t>
      </w:r>
      <w:r>
        <w:t xml:space="preserve"> recordar de esta manera debería ir a un retiro solitario al regresar de su ronda de </w:t>
      </w:r>
      <w:r w:rsidR="00B1329C">
        <w:t>ofrendas</w:t>
      </w:r>
      <w:r>
        <w:t xml:space="preserve"> después de su comida. Luego debería alcanzar los cuatro </w:t>
      </w:r>
      <w:proofErr w:type="spellStart"/>
      <w:r w:rsidR="00057BF4" w:rsidRPr="00057BF4">
        <w:rPr>
          <w:i/>
        </w:rPr>
        <w:t>jhāna</w:t>
      </w:r>
      <w:r>
        <w:t>s</w:t>
      </w:r>
      <w:proofErr w:type="spellEnd"/>
      <w:r>
        <w:t xml:space="preserve"> en sucesión y emerger del cuarto </w:t>
      </w:r>
      <w:proofErr w:type="spellStart"/>
      <w:r w:rsidR="00057BF4" w:rsidRPr="00057BF4">
        <w:rPr>
          <w:i/>
        </w:rPr>
        <w:t>jhāna</w:t>
      </w:r>
      <w:proofErr w:type="spellEnd"/>
      <w:r>
        <w:t xml:space="preserve"> como base para el conocimiento directo. Luego debe</w:t>
      </w:r>
      <w:r w:rsidR="00BE102F">
        <w:t>rá</w:t>
      </w:r>
      <w:r>
        <w:t xml:space="preserve"> </w:t>
      </w:r>
      <w:r w:rsidR="00B1329C">
        <w:t>advertir</w:t>
      </w:r>
      <w:r>
        <w:t xml:space="preserve"> a su acto más reciente de sentarse para este propósito, a continuación, a la preparación del asiento, a la entrada al alojamiento, a la guardia del </w:t>
      </w:r>
      <w:r w:rsidR="004370CB">
        <w:t xml:space="preserve">cuenco </w:t>
      </w:r>
      <w:r>
        <w:t xml:space="preserve">y </w:t>
      </w:r>
      <w:r w:rsidR="004370CB">
        <w:t xml:space="preserve">el ropaje </w:t>
      </w:r>
      <w:r>
        <w:t xml:space="preserve">exterior, hasta el momento de comer, </w:t>
      </w:r>
      <w:r w:rsidR="004370CB">
        <w:t>hasta e</w:t>
      </w:r>
      <w:r>
        <w:t xml:space="preserve">l momento de regresar del pueblo, </w:t>
      </w:r>
      <w:r w:rsidR="004370CB">
        <w:t>hasta e</w:t>
      </w:r>
      <w:r>
        <w:t xml:space="preserve">l momento de deambular por </w:t>
      </w:r>
      <w:r w:rsidR="004370CB">
        <w:t xml:space="preserve">ofrendas </w:t>
      </w:r>
      <w:r>
        <w:t xml:space="preserve">en el pueblo, hasta el momento de ingresar al pueblo, </w:t>
      </w:r>
      <w:r w:rsidR="004370CB">
        <w:t>hasta e</w:t>
      </w:r>
      <w:r>
        <w:t xml:space="preserve">l momento de salir del monasterio, hasta el momento de rendir </w:t>
      </w:r>
      <w:r w:rsidR="004370CB">
        <w:t xml:space="preserve">reverencia </w:t>
      </w:r>
      <w:r>
        <w:t xml:space="preserve">en el santuario terraza y la terraza del árbol de la iluminación, hasta el momento de lavar el </w:t>
      </w:r>
      <w:r w:rsidR="00C86824">
        <w:t>cuenco</w:t>
      </w:r>
      <w:r>
        <w:t xml:space="preserve">, hasta el momento de recoger el </w:t>
      </w:r>
      <w:r w:rsidR="00C86824">
        <w:t>cuenco</w:t>
      </w:r>
      <w:r>
        <w:t xml:space="preserve">, hasta las cosas hechas desde el momento de recoger el </w:t>
      </w:r>
      <w:r w:rsidR="00C86824">
        <w:t xml:space="preserve">cuenco </w:t>
      </w:r>
      <w:r>
        <w:t xml:space="preserve">de regreso al lavado de la boca, hasta las cosas hechas temprano </w:t>
      </w:r>
      <w:r w:rsidR="00C86824">
        <w:t>por la ma</w:t>
      </w:r>
      <w:r>
        <w:t xml:space="preserve">ñana, </w:t>
      </w:r>
      <w:r w:rsidR="009F4888">
        <w:t>hasta</w:t>
      </w:r>
      <w:r>
        <w:t xml:space="preserve"> las cosas hechas </w:t>
      </w:r>
      <w:r w:rsidR="00CA5BE8">
        <w:t xml:space="preserve">durante </w:t>
      </w:r>
      <w:r w:rsidR="009F4888">
        <w:t>la vigilia</w:t>
      </w:r>
      <w:r w:rsidR="00CA5BE8" w:rsidRPr="00CA5BE8">
        <w:t xml:space="preserve"> </w:t>
      </w:r>
      <w:r w:rsidR="00CA5BE8">
        <w:t>intermedia</w:t>
      </w:r>
      <w:r>
        <w:t xml:space="preserve">, </w:t>
      </w:r>
      <w:r w:rsidR="00CA5BE8">
        <w:t xml:space="preserve">durante </w:t>
      </w:r>
      <w:r w:rsidR="00ED4472">
        <w:t>la primera vigilia</w:t>
      </w:r>
      <w:r>
        <w:t>. De esta manera, debe</w:t>
      </w:r>
      <w:r w:rsidR="00ED4472">
        <w:t>rá</w:t>
      </w:r>
      <w:r>
        <w:t xml:space="preserve"> </w:t>
      </w:r>
      <w:r w:rsidR="00ED4472">
        <w:t>advertir to</w:t>
      </w:r>
      <w:r>
        <w:t>das las cosas hechas durante toda la noche y el día en orden inverso.</w:t>
      </w:r>
    </w:p>
    <w:p w14:paraId="67FB0F82" w14:textId="0F126283" w:rsidR="001B5496" w:rsidRDefault="001B5496" w:rsidP="001B5496">
      <w:r>
        <w:t xml:space="preserve">23. </w:t>
      </w:r>
      <w:r>
        <w:tab/>
        <w:t xml:space="preserve">Si bien esto, sin embargo, </w:t>
      </w:r>
      <w:r w:rsidR="00ED4472">
        <w:t xml:space="preserve">sería </w:t>
      </w:r>
      <w:r>
        <w:t>evidente inclus</w:t>
      </w:r>
      <w:r w:rsidR="00ED4472">
        <w:t>ive</w:t>
      </w:r>
      <w:r>
        <w:t xml:space="preserve"> para su con</w:t>
      </w:r>
      <w:r w:rsidR="00ED4472">
        <w:t>s</w:t>
      </w:r>
      <w:r>
        <w:t xml:space="preserve">ciencia normal, </w:t>
      </w:r>
      <w:r w:rsidR="00A721F0">
        <w:t>será</w:t>
      </w:r>
      <w:r>
        <w:t xml:space="preserve"> especialmente evidente para </w:t>
      </w:r>
      <w:r w:rsidR="00CA5BE8">
        <w:t>la</w:t>
      </w:r>
      <w:r>
        <w:t xml:space="preserve"> con</w:t>
      </w:r>
      <w:r w:rsidR="00D26732">
        <w:t>s</w:t>
      </w:r>
      <w:r>
        <w:t xml:space="preserve">ciencia de </w:t>
      </w:r>
      <w:r w:rsidR="00CA5BE8">
        <w:t xml:space="preserve">su </w:t>
      </w:r>
      <w:r>
        <w:t xml:space="preserve">trabajo preliminar. Pero si algo no </w:t>
      </w:r>
      <w:r w:rsidR="00D26732">
        <w:t>fuese</w:t>
      </w:r>
      <w:r>
        <w:t xml:space="preserve"> evidente, debe</w:t>
      </w:r>
      <w:r w:rsidR="00D26732">
        <w:t>rá</w:t>
      </w:r>
      <w:r>
        <w:t xml:space="preserve"> nuevamente alcanzar </w:t>
      </w:r>
      <w:r w:rsidR="00D26732">
        <w:t>e</w:t>
      </w:r>
      <w:r>
        <w:t xml:space="preserve">l </w:t>
      </w:r>
      <w:proofErr w:type="spellStart"/>
      <w:r w:rsidR="00057BF4" w:rsidRPr="00057BF4">
        <w:rPr>
          <w:i/>
        </w:rPr>
        <w:t>jhāna</w:t>
      </w:r>
      <w:proofErr w:type="spellEnd"/>
      <w:r>
        <w:t xml:space="preserve"> básic</w:t>
      </w:r>
      <w:r w:rsidR="00D26732">
        <w:t>o</w:t>
      </w:r>
      <w:r>
        <w:t xml:space="preserve">, emerger y </w:t>
      </w:r>
      <w:r w:rsidR="00D26732">
        <w:t>advertirlo</w:t>
      </w:r>
      <w:r>
        <w:t xml:space="preserve">. Al hacerlo, </w:t>
      </w:r>
      <w:r w:rsidR="008C03F7">
        <w:t xml:space="preserve">ello </w:t>
      </w:r>
      <w:r>
        <w:t>se ha</w:t>
      </w:r>
      <w:r w:rsidR="00D26732">
        <w:t>rá</w:t>
      </w:r>
      <w:r>
        <w:t xml:space="preserve"> tan evidente como </w:t>
      </w:r>
      <w:r w:rsidR="00CA5BE8">
        <w:t>al</w:t>
      </w:r>
      <w:r>
        <w:t xml:space="preserve"> encende</w:t>
      </w:r>
      <w:r w:rsidR="00CA5BE8">
        <w:t>r</w:t>
      </w:r>
      <w:r>
        <w:t xml:space="preserve"> una lámpara. Y así, </w:t>
      </w:r>
      <w:r w:rsidR="008C03F7">
        <w:t xml:space="preserve">también </w:t>
      </w:r>
      <w:r>
        <w:t>en orden inverso, debe</w:t>
      </w:r>
      <w:r w:rsidR="008C03F7">
        <w:t>rá</w:t>
      </w:r>
      <w:r>
        <w:t xml:space="preserve"> </w:t>
      </w:r>
      <w:r w:rsidR="008C03F7">
        <w:t xml:space="preserve">advertirse </w:t>
      </w:r>
      <w:r>
        <w:t xml:space="preserve">las cosas hechas en el segundo día </w:t>
      </w:r>
      <w:r w:rsidR="008C03F7">
        <w:t xml:space="preserve">hacia </w:t>
      </w:r>
      <w:r>
        <w:t>atrás, y el tercer</w:t>
      </w:r>
      <w:r w:rsidR="008C03F7">
        <w:t>o</w:t>
      </w:r>
      <w:r>
        <w:t xml:space="preserve">, </w:t>
      </w:r>
      <w:r w:rsidR="008C03F7">
        <w:t xml:space="preserve">el </w:t>
      </w:r>
      <w:r>
        <w:t xml:space="preserve">cuarto y </w:t>
      </w:r>
      <w:r w:rsidR="008C03F7">
        <w:t xml:space="preserve">el </w:t>
      </w:r>
      <w:r>
        <w:t xml:space="preserve">quinto día, y en los diez días, y en la quincena, y desde </w:t>
      </w:r>
      <w:r w:rsidR="008C03F7">
        <w:t xml:space="preserve">hace </w:t>
      </w:r>
      <w:r>
        <w:t>un año</w:t>
      </w:r>
      <w:r w:rsidR="008C03F7">
        <w:t xml:space="preserve"> atrás</w:t>
      </w:r>
      <w:r>
        <w:t>.</w:t>
      </w:r>
    </w:p>
    <w:p w14:paraId="258ECF8F" w14:textId="547B07D0" w:rsidR="001B5496" w:rsidRDefault="001B5496" w:rsidP="001B5496">
      <w:r>
        <w:t xml:space="preserve">24. </w:t>
      </w:r>
      <w:r>
        <w:tab/>
        <w:t xml:space="preserve">Cuando por estos medios </w:t>
      </w:r>
      <w:r w:rsidR="008C03F7">
        <w:t>advierta</w:t>
      </w:r>
      <w:r>
        <w:t xml:space="preserve"> diez años, veinte años, y así </w:t>
      </w:r>
      <w:r w:rsidR="00A67242">
        <w:t xml:space="preserve">un tiempo </w:t>
      </w:r>
      <w:r>
        <w:t xml:space="preserve">más </w:t>
      </w:r>
      <w:r w:rsidR="00A67242">
        <w:t xml:space="preserve">distante </w:t>
      </w:r>
      <w:r>
        <w:t xml:space="preserve">como su propio </w:t>
      </w:r>
      <w:r w:rsidR="0038674B" w:rsidRPr="00C71EC8">
        <w:t>vín</w:t>
      </w:r>
      <w:r w:rsidR="0038674B">
        <w:t>culo</w:t>
      </w:r>
      <w:r w:rsidR="0038674B" w:rsidRPr="00C71EC8">
        <w:t>–</w:t>
      </w:r>
      <w:r w:rsidR="0038674B">
        <w:t>de</w:t>
      </w:r>
      <w:r w:rsidR="0038674B" w:rsidRPr="00C71EC8">
        <w:t>–</w:t>
      </w:r>
      <w:r w:rsidR="0038674B">
        <w:t>renacimiento</w:t>
      </w:r>
      <w:r>
        <w:t xml:space="preserve"> en esta existencia, [413] debe</w:t>
      </w:r>
      <w:r w:rsidR="008C03F7">
        <w:t>rá</w:t>
      </w:r>
      <w:r>
        <w:t xml:space="preserve"> </w:t>
      </w:r>
      <w:r w:rsidR="008C03F7">
        <w:t xml:space="preserve">advertir </w:t>
      </w:r>
      <w:r>
        <w:t xml:space="preserve">la </w:t>
      </w:r>
      <w:r w:rsidR="000C5ECF">
        <w:t xml:space="preserve">materialidad-mentalidad </w:t>
      </w:r>
      <w:r>
        <w:t>que ocurr</w:t>
      </w:r>
      <w:r w:rsidR="00C06119">
        <w:t>ió</w:t>
      </w:r>
      <w:r>
        <w:t xml:space="preserve"> en el momento de la muerte </w:t>
      </w:r>
      <w:r w:rsidR="00C06119">
        <w:t xml:space="preserve">de la </w:t>
      </w:r>
      <w:r>
        <w:t xml:space="preserve">existencia anterior; </w:t>
      </w:r>
      <w:r w:rsidR="00111198">
        <w:t xml:space="preserve">ya </w:t>
      </w:r>
      <w:r>
        <w:t xml:space="preserve">que un sabio </w:t>
      </w:r>
      <w:proofErr w:type="spellStart"/>
      <w:r w:rsidR="00111198" w:rsidRPr="00057BF4">
        <w:rPr>
          <w:i/>
        </w:rPr>
        <w:t>bhikkhu</w:t>
      </w:r>
      <w:proofErr w:type="spellEnd"/>
      <w:r w:rsidR="00111198">
        <w:t xml:space="preserve"> </w:t>
      </w:r>
      <w:r w:rsidR="00FC196C">
        <w:t>podrá</w:t>
      </w:r>
      <w:r>
        <w:t xml:space="preserve"> en el primer intento eliminar</w:t>
      </w:r>
      <w:r w:rsidRPr="00207128">
        <w:rPr>
          <w:vertAlign w:val="superscript"/>
        </w:rPr>
        <w:t>10</w:t>
      </w:r>
      <w:r>
        <w:t xml:space="preserve"> el </w:t>
      </w:r>
      <w:r w:rsidR="00777156" w:rsidRPr="00C71EC8">
        <w:t>vín</w:t>
      </w:r>
      <w:r w:rsidR="00777156">
        <w:t>culo</w:t>
      </w:r>
      <w:r w:rsidR="00777156" w:rsidRPr="00C71EC8">
        <w:t>–</w:t>
      </w:r>
      <w:r w:rsidR="00777156">
        <w:t>de</w:t>
      </w:r>
      <w:r w:rsidR="00777156" w:rsidRPr="00C71EC8">
        <w:t>–</w:t>
      </w:r>
      <w:r w:rsidR="00777156">
        <w:t>renacimiento</w:t>
      </w:r>
      <w:r w:rsidR="00777156" w:rsidRPr="00C71EC8">
        <w:t xml:space="preserve"> </w:t>
      </w:r>
      <w:r>
        <w:t xml:space="preserve">y hacer </w:t>
      </w:r>
      <w:r w:rsidR="000C5ECF">
        <w:t xml:space="preserve">de su objeto </w:t>
      </w:r>
      <w:r>
        <w:t xml:space="preserve">la </w:t>
      </w:r>
      <w:r w:rsidR="00FC196C">
        <w:t>materialidad</w:t>
      </w:r>
      <w:r w:rsidR="000C5ECF">
        <w:t>-</w:t>
      </w:r>
      <w:r>
        <w:t>mentalidad en el momento de la muerte.</w:t>
      </w:r>
    </w:p>
    <w:p w14:paraId="72BD78EA" w14:textId="706E36EC" w:rsidR="001B5496" w:rsidRPr="001B5496" w:rsidRDefault="001B5496" w:rsidP="001B5496">
      <w:pPr>
        <w:pStyle w:val="PiedepginaLegal"/>
        <w:rPr>
          <w:u w:val="single"/>
        </w:rPr>
      </w:pPr>
      <w:r w:rsidRPr="001B5496">
        <w:rPr>
          <w:u w:val="single"/>
        </w:rPr>
        <w:t xml:space="preserve">                                                                                                                                                        .</w:t>
      </w:r>
    </w:p>
    <w:p w14:paraId="31A452A7" w14:textId="307D0CDA" w:rsidR="001B5496" w:rsidRDefault="001B5496" w:rsidP="001B5496">
      <w:pPr>
        <w:pStyle w:val="PiedepginaLegal"/>
      </w:pPr>
      <w:r>
        <w:t xml:space="preserve">10. </w:t>
      </w:r>
      <w:r>
        <w:tab/>
      </w:r>
      <w:proofErr w:type="spellStart"/>
      <w:r w:rsidRPr="00224666">
        <w:rPr>
          <w:i/>
          <w:iCs/>
        </w:rPr>
        <w:t>Ugghaṭetvā</w:t>
      </w:r>
      <w:proofErr w:type="spellEnd"/>
      <w:r>
        <w:t xml:space="preserve">: ver </w:t>
      </w:r>
      <w:r w:rsidR="001047A2">
        <w:t>X</w:t>
      </w:r>
      <w:r>
        <w:t xml:space="preserve">.6; La palabra </w:t>
      </w:r>
      <w:r w:rsidR="008F15DE">
        <w:t xml:space="preserve">en cuestión </w:t>
      </w:r>
      <w:r>
        <w:t xml:space="preserve">se usa aquí </w:t>
      </w:r>
      <w:r w:rsidR="008F15DE">
        <w:t xml:space="preserve">obviamente </w:t>
      </w:r>
      <w:r>
        <w:t>en el mismo sentido.</w:t>
      </w:r>
    </w:p>
    <w:p w14:paraId="012C2F74" w14:textId="77777777" w:rsidR="001B5496" w:rsidRDefault="001B5496">
      <w:pPr>
        <w:tabs>
          <w:tab w:val="clear" w:pos="425"/>
        </w:tabs>
        <w:spacing w:after="160"/>
        <w:rPr>
          <w:color w:val="000000" w:themeColor="text1"/>
          <w:spacing w:val="10"/>
          <w:sz w:val="14"/>
        </w:rPr>
      </w:pPr>
      <w:r>
        <w:br w:type="page"/>
      </w:r>
    </w:p>
    <w:p w14:paraId="7BE40AB5" w14:textId="77777777" w:rsidR="00CB6F02" w:rsidRDefault="00CB6F02" w:rsidP="001B5496"/>
    <w:p w14:paraId="3CC2C95C" w14:textId="088130FC" w:rsidR="0027731D" w:rsidRDefault="0027731D" w:rsidP="0027731D">
      <w:r>
        <w:t xml:space="preserve">25. </w:t>
      </w:r>
      <w:r w:rsidR="000C5ECF">
        <w:tab/>
      </w:r>
      <w:r w:rsidR="00117F03">
        <w:t xml:space="preserve">No obstante, </w:t>
      </w:r>
      <w:r>
        <w:t xml:space="preserve">la </w:t>
      </w:r>
      <w:r w:rsidR="000C5ECF">
        <w:t xml:space="preserve">materialidad-mentalidad </w:t>
      </w:r>
      <w:r w:rsidR="007E63C5">
        <w:t>de</w:t>
      </w:r>
      <w:r>
        <w:t xml:space="preserve"> la existencia anterior ha</w:t>
      </w:r>
      <w:r w:rsidR="007432E0">
        <w:t>brá</w:t>
      </w:r>
      <w:r>
        <w:t xml:space="preserve"> cesado sin resto y otro ha</w:t>
      </w:r>
      <w:r w:rsidR="007432E0">
        <w:t>brá</w:t>
      </w:r>
      <w:r>
        <w:t xml:space="preserve"> surgido, y en consecuencia esa instancia es</w:t>
      </w:r>
      <w:r w:rsidR="007E63C5">
        <w:t>t</w:t>
      </w:r>
      <w:r w:rsidR="007432E0">
        <w:t>ar</w:t>
      </w:r>
      <w:r w:rsidR="007E63C5">
        <w:t>á</w:t>
      </w:r>
      <w:r>
        <w:t xml:space="preserve">, por así decirlo, cerrada en la oscuridad, y </w:t>
      </w:r>
      <w:r w:rsidR="007E63C5">
        <w:t xml:space="preserve">será </w:t>
      </w:r>
      <w:r>
        <w:t xml:space="preserve">difícil para </w:t>
      </w:r>
      <w:r w:rsidR="007E63C5">
        <w:t xml:space="preserve">alguien </w:t>
      </w:r>
      <w:r>
        <w:t>de poc</w:t>
      </w:r>
      <w:r w:rsidR="007E63C5">
        <w:t>a</w:t>
      </w:r>
      <w:r>
        <w:t xml:space="preserve"> comprensión verl</w:t>
      </w:r>
      <w:r w:rsidR="007432E0">
        <w:t>a</w:t>
      </w:r>
      <w:r>
        <w:t xml:space="preserve">. </w:t>
      </w:r>
      <w:proofErr w:type="spellStart"/>
      <w:r>
        <w:t>Aún</w:t>
      </w:r>
      <w:proofErr w:type="spellEnd"/>
      <w:r>
        <w:t xml:space="preserve"> así, no debe</w:t>
      </w:r>
      <w:r w:rsidR="007E63C5">
        <w:t>rá</w:t>
      </w:r>
      <w:r>
        <w:t xml:space="preserve"> renunciar a la tarea, pensando: "No puedo eliminar el </w:t>
      </w:r>
      <w:r w:rsidR="00777156" w:rsidRPr="00C71EC8">
        <w:t>vín</w:t>
      </w:r>
      <w:r w:rsidR="00777156">
        <w:t>culo</w:t>
      </w:r>
      <w:r w:rsidR="00777156" w:rsidRPr="00C71EC8">
        <w:t>–</w:t>
      </w:r>
      <w:r w:rsidR="00777156">
        <w:t>de</w:t>
      </w:r>
      <w:r w:rsidR="00777156" w:rsidRPr="00C71EC8">
        <w:t>–</w:t>
      </w:r>
      <w:r w:rsidR="00777156">
        <w:t>renacimiento</w:t>
      </w:r>
      <w:r w:rsidR="00777156" w:rsidRPr="00C71EC8">
        <w:t xml:space="preserve"> </w:t>
      </w:r>
      <w:r>
        <w:t xml:space="preserve">y hacer </w:t>
      </w:r>
      <w:r w:rsidR="004C688D">
        <w:t xml:space="preserve">de mi objeto </w:t>
      </w:r>
      <w:r>
        <w:t xml:space="preserve">la </w:t>
      </w:r>
      <w:r w:rsidR="004C688D">
        <w:t xml:space="preserve">materialidad-mentalidad </w:t>
      </w:r>
      <w:r>
        <w:t>ocurri</w:t>
      </w:r>
      <w:r w:rsidR="004C688D">
        <w:t>da</w:t>
      </w:r>
      <w:r>
        <w:t xml:space="preserve"> en el momento de la muerte". Por el contrario, deber</w:t>
      </w:r>
      <w:r w:rsidR="004C688D">
        <w:t>á</w:t>
      </w:r>
      <w:r>
        <w:t xml:space="preserve"> alcanzar una y otra vez ese mismo </w:t>
      </w:r>
      <w:proofErr w:type="spellStart"/>
      <w:r w:rsidR="00057BF4" w:rsidRPr="00057BF4">
        <w:rPr>
          <w:i/>
        </w:rPr>
        <w:t>jhāna</w:t>
      </w:r>
      <w:proofErr w:type="spellEnd"/>
      <w:r>
        <w:t xml:space="preserve"> básico, y cada vez que emer</w:t>
      </w:r>
      <w:r w:rsidR="004C688D">
        <w:t>ja</w:t>
      </w:r>
      <w:r>
        <w:t xml:space="preserve"> debe</w:t>
      </w:r>
      <w:r w:rsidR="004C688D">
        <w:t>rá</w:t>
      </w:r>
      <w:r>
        <w:t xml:space="preserve"> </w:t>
      </w:r>
      <w:r w:rsidR="00FB24F2">
        <w:t>advertir</w:t>
      </w:r>
      <w:r>
        <w:t xml:space="preserve"> es</w:t>
      </w:r>
      <w:r w:rsidR="00FB24F2">
        <w:t>a</w:t>
      </w:r>
      <w:r>
        <w:t xml:space="preserve"> </w:t>
      </w:r>
      <w:r w:rsidR="00FB24F2">
        <w:t>instancia</w:t>
      </w:r>
      <w:r>
        <w:t>.</w:t>
      </w:r>
    </w:p>
    <w:p w14:paraId="17B3A857" w14:textId="50C4032B" w:rsidR="0027731D" w:rsidRDefault="0027731D" w:rsidP="0027731D">
      <w:r>
        <w:t xml:space="preserve">26. </w:t>
      </w:r>
      <w:r>
        <w:tab/>
        <w:t xml:space="preserve">Al igual que cuando un hombre fuerte está talando un gran árbol con el fin de hacer el pico de un aguilón, pero no </w:t>
      </w:r>
      <w:r w:rsidR="00EB68BD">
        <w:t xml:space="preserve">podría hacer </w:t>
      </w:r>
      <w:r>
        <w:t xml:space="preserve">caer </w:t>
      </w:r>
      <w:r w:rsidR="00EB68BD">
        <w:t xml:space="preserve">un </w:t>
      </w:r>
      <w:r>
        <w:t xml:space="preserve">gran árbol con una cuchilla de hachas que se </w:t>
      </w:r>
      <w:r w:rsidR="00A01AA5">
        <w:t>utilice para cortar</w:t>
      </w:r>
      <w:r>
        <w:t xml:space="preserve"> ramas y follaje, </w:t>
      </w:r>
      <w:proofErr w:type="spellStart"/>
      <w:r>
        <w:t>aún</w:t>
      </w:r>
      <w:proofErr w:type="spellEnd"/>
      <w:r>
        <w:t xml:space="preserve"> </w:t>
      </w:r>
      <w:r w:rsidR="00A77B7B">
        <w:t xml:space="preserve">así </w:t>
      </w:r>
      <w:r>
        <w:t xml:space="preserve">no se </w:t>
      </w:r>
      <w:r w:rsidR="00A01AA5">
        <w:t xml:space="preserve">rendirá en </w:t>
      </w:r>
      <w:r>
        <w:t xml:space="preserve">la tarea; </w:t>
      </w:r>
      <w:r w:rsidR="00A01AA5">
        <w:t>p</w:t>
      </w:r>
      <w:r>
        <w:t xml:space="preserve">or el contrario, </w:t>
      </w:r>
      <w:r w:rsidR="00A01AA5">
        <w:t xml:space="preserve">él irá </w:t>
      </w:r>
      <w:r>
        <w:t xml:space="preserve">a una herrería y </w:t>
      </w:r>
      <w:r w:rsidR="00A01AA5">
        <w:t xml:space="preserve">obtendrá una </w:t>
      </w:r>
      <w:r>
        <w:t>hacha afilada, después de lo cual regresa</w:t>
      </w:r>
      <w:r w:rsidR="00A01AA5">
        <w:t>rá</w:t>
      </w:r>
      <w:r>
        <w:t xml:space="preserve"> y contin</w:t>
      </w:r>
      <w:r w:rsidR="00A01AA5">
        <w:t>u</w:t>
      </w:r>
      <w:r>
        <w:t>a</w:t>
      </w:r>
      <w:r w:rsidR="00A01AA5">
        <w:t>rá</w:t>
      </w:r>
      <w:r>
        <w:t xml:space="preserve"> cortando el árbol; Y cuando el hacha</w:t>
      </w:r>
      <w:r w:rsidR="00A01AA5">
        <w:t xml:space="preserve"> se</w:t>
      </w:r>
      <w:r>
        <w:t xml:space="preserve"> vuelv</w:t>
      </w:r>
      <w:r w:rsidR="00A01AA5">
        <w:t>a</w:t>
      </w:r>
      <w:r>
        <w:t xml:space="preserve"> contundente, lo ha</w:t>
      </w:r>
      <w:r w:rsidR="00A01AA5">
        <w:t>rá</w:t>
      </w:r>
      <w:r>
        <w:t xml:space="preserve"> como antes y contin</w:t>
      </w:r>
      <w:r w:rsidR="00A01AA5">
        <w:t>uará</w:t>
      </w:r>
      <w:r>
        <w:t xml:space="preserve"> cortándolo; </w:t>
      </w:r>
      <w:r w:rsidR="00A01AA5">
        <w:t>y</w:t>
      </w:r>
      <w:r>
        <w:t xml:space="preserve"> a medida que continú</w:t>
      </w:r>
      <w:r w:rsidR="00A01AA5">
        <w:t>e</w:t>
      </w:r>
      <w:r>
        <w:t xml:space="preserve"> </w:t>
      </w:r>
      <w:r w:rsidR="00A01AA5">
        <w:t xml:space="preserve">así </w:t>
      </w:r>
      <w:r>
        <w:t>cortándolo, el árbol cae</w:t>
      </w:r>
      <w:r w:rsidR="00A01AA5">
        <w:t>rá</w:t>
      </w:r>
      <w:r>
        <w:t xml:space="preserve"> extensamente, </w:t>
      </w:r>
      <w:r w:rsidR="00EF024C">
        <w:t xml:space="preserve">ya </w:t>
      </w:r>
      <w:r>
        <w:t>que cada vez no ha</w:t>
      </w:r>
      <w:r w:rsidR="003F755B">
        <w:t>brá</w:t>
      </w:r>
      <w:r>
        <w:t xml:space="preserve"> necesidad de cortar nuevamente lo que ya se ha</w:t>
      </w:r>
      <w:r w:rsidR="00A01AA5">
        <w:t>ya</w:t>
      </w:r>
      <w:r>
        <w:t xml:space="preserve"> picado y </w:t>
      </w:r>
      <w:r w:rsidR="003F755B">
        <w:t xml:space="preserve">que </w:t>
      </w:r>
      <w:r>
        <w:t>lo que aún no se ha</w:t>
      </w:r>
      <w:r w:rsidR="00A01AA5">
        <w:t>ya</w:t>
      </w:r>
      <w:r>
        <w:t xml:space="preserve"> cortado se </w:t>
      </w:r>
      <w:r w:rsidR="003F755B">
        <w:t>corte</w:t>
      </w:r>
      <w:r>
        <w:t>; Así también, cuando emer</w:t>
      </w:r>
      <w:r w:rsidR="00A01AA5">
        <w:t>ja</w:t>
      </w:r>
      <w:r>
        <w:t xml:space="preserve"> del </w:t>
      </w:r>
      <w:proofErr w:type="spellStart"/>
      <w:r w:rsidR="00A01AA5" w:rsidRPr="00057BF4">
        <w:rPr>
          <w:i/>
        </w:rPr>
        <w:t>jhāna</w:t>
      </w:r>
      <w:proofErr w:type="spellEnd"/>
      <w:r w:rsidR="00A01AA5">
        <w:t xml:space="preserve"> </w:t>
      </w:r>
      <w:r>
        <w:t>básico, en lugar de advertir lo que ya ha advertido, debe</w:t>
      </w:r>
      <w:r w:rsidR="00A01AA5">
        <w:t>rá</w:t>
      </w:r>
      <w:r>
        <w:t xml:space="preserve"> </w:t>
      </w:r>
      <w:r w:rsidR="00A01AA5">
        <w:t xml:space="preserve">advertir </w:t>
      </w:r>
      <w:r>
        <w:t xml:space="preserve">solo </w:t>
      </w:r>
      <w:r w:rsidR="00365415">
        <w:t xml:space="preserve">el </w:t>
      </w:r>
      <w:r w:rsidR="00777156" w:rsidRPr="00C71EC8">
        <w:t>vín</w:t>
      </w:r>
      <w:r w:rsidR="00777156">
        <w:t>culo</w:t>
      </w:r>
      <w:r w:rsidR="00777156" w:rsidRPr="00C71EC8">
        <w:t>–</w:t>
      </w:r>
      <w:r w:rsidR="00777156">
        <w:t>de</w:t>
      </w:r>
      <w:r w:rsidR="00777156" w:rsidRPr="00C71EC8">
        <w:t>–</w:t>
      </w:r>
      <w:r w:rsidR="00777156">
        <w:t>renacimiento</w:t>
      </w:r>
      <w:r>
        <w:t>, y finalmente elimina</w:t>
      </w:r>
      <w:r w:rsidR="00365415">
        <w:t>r</w:t>
      </w:r>
      <w:r>
        <w:t xml:space="preserve"> </w:t>
      </w:r>
      <w:r w:rsidR="00A7181D">
        <w:t xml:space="preserve">dicho </w:t>
      </w:r>
      <w:r w:rsidR="00777156" w:rsidRPr="00C71EC8">
        <w:t>vín</w:t>
      </w:r>
      <w:r w:rsidR="00777156">
        <w:t>culo</w:t>
      </w:r>
      <w:r w:rsidR="00777156" w:rsidRPr="00C71EC8">
        <w:t>–</w:t>
      </w:r>
      <w:r w:rsidR="00777156">
        <w:t>de</w:t>
      </w:r>
      <w:r w:rsidR="00777156" w:rsidRPr="00C71EC8">
        <w:t>–</w:t>
      </w:r>
      <w:r w:rsidR="00777156">
        <w:t>renacimiento</w:t>
      </w:r>
      <w:r w:rsidR="00777156" w:rsidRPr="00C71EC8">
        <w:t xml:space="preserve"> </w:t>
      </w:r>
      <w:r>
        <w:t>y hace</w:t>
      </w:r>
      <w:r w:rsidR="00A7181D">
        <w:t>r</w:t>
      </w:r>
      <w:r>
        <w:t xml:space="preserve"> </w:t>
      </w:r>
      <w:r w:rsidR="00A7181D">
        <w:t xml:space="preserve">su objeto </w:t>
      </w:r>
      <w:r>
        <w:t xml:space="preserve">la </w:t>
      </w:r>
      <w:r w:rsidR="00A7181D">
        <w:t xml:space="preserve">materialidad-mentalidad </w:t>
      </w:r>
      <w:r>
        <w:t>ocurri</w:t>
      </w:r>
      <w:r w:rsidR="00A7181D">
        <w:t>da</w:t>
      </w:r>
      <w:r>
        <w:t xml:space="preserve"> en </w:t>
      </w:r>
      <w:r w:rsidR="00A7181D">
        <w:t>e</w:t>
      </w:r>
      <w:r>
        <w:t>l momento de la muerte. Y este significado también debe</w:t>
      </w:r>
      <w:r w:rsidR="00A7181D">
        <w:t>rá</w:t>
      </w:r>
      <w:r>
        <w:t xml:space="preserve"> ilustrarse mediante el cortador de madera y el cortador de cabello.</w:t>
      </w:r>
    </w:p>
    <w:p w14:paraId="624DC3E1" w14:textId="1F018469" w:rsidR="0027731D" w:rsidRDefault="0027731D" w:rsidP="0027731D">
      <w:r>
        <w:t xml:space="preserve">27. </w:t>
      </w:r>
      <w:r>
        <w:tab/>
      </w:r>
      <w:r w:rsidR="009F240D">
        <w:t>Aquí</w:t>
      </w:r>
      <w:r>
        <w:t xml:space="preserve">, </w:t>
      </w:r>
      <w:r w:rsidR="008E5688">
        <w:t>a</w:t>
      </w:r>
      <w:r>
        <w:t>l conocimiento que ocurr</w:t>
      </w:r>
      <w:r w:rsidR="001866AC">
        <w:t>a</w:t>
      </w:r>
      <w:r>
        <w:t xml:space="preserve"> haciendo que su objeto sea el período desde </w:t>
      </w:r>
      <w:r w:rsidR="0086147A">
        <w:t>su</w:t>
      </w:r>
      <w:r w:rsidR="009F240D">
        <w:t xml:space="preserve"> </w:t>
      </w:r>
      <w:r>
        <w:t>últim</w:t>
      </w:r>
      <w:r w:rsidR="009F240D">
        <w:t>a</w:t>
      </w:r>
      <w:r>
        <w:t xml:space="preserve"> </w:t>
      </w:r>
      <w:r w:rsidR="009F240D">
        <w:t xml:space="preserve">sesión </w:t>
      </w:r>
      <w:r>
        <w:t xml:space="preserve">para este propósito hasta el </w:t>
      </w:r>
      <w:r w:rsidR="00224B24" w:rsidRPr="00C71EC8">
        <w:t>vín</w:t>
      </w:r>
      <w:r w:rsidR="00224B24">
        <w:t>culo</w:t>
      </w:r>
      <w:r w:rsidR="00224B24" w:rsidRPr="00C71EC8">
        <w:t>–</w:t>
      </w:r>
      <w:r w:rsidR="00224B24">
        <w:t>de</w:t>
      </w:r>
      <w:r w:rsidR="00224B24" w:rsidRPr="00C71EC8">
        <w:t>–</w:t>
      </w:r>
      <w:r w:rsidR="00224B24">
        <w:t>renacimiento</w:t>
      </w:r>
      <w:r w:rsidR="006E7E9D">
        <w:t>,</w:t>
      </w:r>
      <w:r>
        <w:t xml:space="preserve"> no se llama</w:t>
      </w:r>
      <w:r w:rsidR="009F240D">
        <w:t>rá</w:t>
      </w:r>
      <w:r>
        <w:t xml:space="preserve"> conocimiento del recuerdo de vidas pasadas; </w:t>
      </w:r>
      <w:r w:rsidR="009F240D">
        <w:t xml:space="preserve">no obstante, </w:t>
      </w:r>
      <w:r>
        <w:t xml:space="preserve">se </w:t>
      </w:r>
      <w:r w:rsidR="009F240D">
        <w:t xml:space="preserve">le </w:t>
      </w:r>
      <w:r>
        <w:t>llama</w:t>
      </w:r>
      <w:r w:rsidR="009F240D">
        <w:t>rá</w:t>
      </w:r>
      <w:r>
        <w:t xml:space="preserve"> conocimiento preliminar de </w:t>
      </w:r>
      <w:r w:rsidR="008E5688">
        <w:t xml:space="preserve">la </w:t>
      </w:r>
      <w:r>
        <w:t>concentración de trabajo; y algunos lo llaman "conocimiento del pasado" (</w:t>
      </w:r>
      <w:proofErr w:type="spellStart"/>
      <w:r w:rsidRPr="00224666">
        <w:rPr>
          <w:i/>
          <w:iCs/>
        </w:rPr>
        <w:t>atītaṃsa</w:t>
      </w:r>
      <w:proofErr w:type="spellEnd"/>
      <w:r w:rsidRPr="00224666">
        <w:rPr>
          <w:i/>
          <w:iCs/>
        </w:rPr>
        <w:t xml:space="preserve"> -ñāṇa</w:t>
      </w:r>
      <w:r>
        <w:t xml:space="preserve">), </w:t>
      </w:r>
      <w:r w:rsidR="008E5688">
        <w:t>no obstante,</w:t>
      </w:r>
      <w:r>
        <w:t xml:space="preserve"> e</w:t>
      </w:r>
      <w:r w:rsidR="009F240D">
        <w:t>ll</w:t>
      </w:r>
      <w:r>
        <w:t xml:space="preserve">o </w:t>
      </w:r>
      <w:r w:rsidR="009F240D">
        <w:t xml:space="preserve">será </w:t>
      </w:r>
      <w:r>
        <w:t xml:space="preserve">inapropiado para la esfera de </w:t>
      </w:r>
      <w:r w:rsidR="009F240D">
        <w:t xml:space="preserve">la </w:t>
      </w:r>
      <w:r>
        <w:t xml:space="preserve">materia </w:t>
      </w:r>
      <w:r w:rsidR="009F240D">
        <w:t>sutil</w:t>
      </w:r>
      <w:r>
        <w:t>.</w:t>
      </w:r>
    </w:p>
    <w:p w14:paraId="5C608A5E" w14:textId="57795522" w:rsidR="0027731D" w:rsidRDefault="0027731D" w:rsidP="0027731D">
      <w:pPr>
        <w:pStyle w:val="NormalConSangria"/>
      </w:pPr>
      <w:r>
        <w:t xml:space="preserve">Sin embargo, cuando este </w:t>
      </w:r>
      <w:proofErr w:type="spellStart"/>
      <w:r w:rsidR="006E7E9D" w:rsidRPr="00057BF4">
        <w:rPr>
          <w:i/>
        </w:rPr>
        <w:t>bhikkhu</w:t>
      </w:r>
      <w:proofErr w:type="spellEnd"/>
      <w:r w:rsidR="006E7E9D">
        <w:t xml:space="preserve"> </w:t>
      </w:r>
      <w:r>
        <w:t>ha</w:t>
      </w:r>
      <w:r w:rsidR="006E7E9D">
        <w:t>ya</w:t>
      </w:r>
      <w:r>
        <w:t xml:space="preserve"> </w:t>
      </w:r>
      <w:r w:rsidR="0017035C">
        <w:t>hecho la regresión más</w:t>
      </w:r>
      <w:r>
        <w:t xml:space="preserve"> allá de</w:t>
      </w:r>
      <w:r w:rsidR="00224B24">
        <w:t>l</w:t>
      </w:r>
      <w:r>
        <w:t xml:space="preserve"> </w:t>
      </w:r>
      <w:r w:rsidR="00224B24" w:rsidRPr="00C71EC8">
        <w:t>vín</w:t>
      </w:r>
      <w:r w:rsidR="00224B24">
        <w:t>culo</w:t>
      </w:r>
      <w:r w:rsidR="00224B24" w:rsidRPr="00C71EC8">
        <w:t>–</w:t>
      </w:r>
      <w:r w:rsidR="00224B24">
        <w:t>de</w:t>
      </w:r>
      <w:r w:rsidR="00224B24" w:rsidRPr="00C71EC8">
        <w:t>–</w:t>
      </w:r>
      <w:r w:rsidR="00224B24">
        <w:t>renacimiento</w:t>
      </w:r>
      <w:r>
        <w:t>, surg</w:t>
      </w:r>
      <w:r w:rsidR="0017035C">
        <w:t>irá</w:t>
      </w:r>
      <w:r>
        <w:t xml:space="preserve"> en él la advertencia haciendo su objeto la </w:t>
      </w:r>
      <w:r w:rsidR="00675AA5">
        <w:t xml:space="preserve">materialidad-mentalidad </w:t>
      </w:r>
      <w:r>
        <w:t>ocurri</w:t>
      </w:r>
      <w:r w:rsidR="00675AA5">
        <w:t>da</w:t>
      </w:r>
      <w:r>
        <w:t xml:space="preserve"> en el momento de la muerte. Y cuando eso ha</w:t>
      </w:r>
      <w:r w:rsidR="00831D7E">
        <w:t>ya</w:t>
      </w:r>
      <w:r>
        <w:t xml:space="preserve"> cesado, entonces cuatro o cinco impulsiones impulsa</w:t>
      </w:r>
      <w:r w:rsidR="00831D7E">
        <w:t>rá</w:t>
      </w:r>
      <w:r>
        <w:t xml:space="preserve">n </w:t>
      </w:r>
      <w:r w:rsidR="00C32098">
        <w:t xml:space="preserve">para </w:t>
      </w:r>
      <w:r>
        <w:t xml:space="preserve">hacer </w:t>
      </w:r>
      <w:r w:rsidR="00C32098">
        <w:t xml:space="preserve">de ello también </w:t>
      </w:r>
      <w:r>
        <w:t xml:space="preserve">su objeto. El primero de estos, llamado "trabajo preliminar", etc., de la manera ya descrita (§5), </w:t>
      </w:r>
      <w:r w:rsidR="00A2580B">
        <w:t>corresponderá</w:t>
      </w:r>
      <w:r>
        <w:t xml:space="preserve"> </w:t>
      </w:r>
      <w:r w:rsidR="00A2580B">
        <w:t>a</w:t>
      </w:r>
      <w:r>
        <w:t xml:space="preserve"> la esfera de </w:t>
      </w:r>
      <w:r w:rsidR="00A2580B">
        <w:t xml:space="preserve">los </w:t>
      </w:r>
      <w:r>
        <w:t>sentido</w:t>
      </w:r>
      <w:r w:rsidR="00A2580B">
        <w:t>s</w:t>
      </w:r>
      <w:r>
        <w:t xml:space="preserve">. El último </w:t>
      </w:r>
      <w:r w:rsidR="00A2580B">
        <w:t xml:space="preserve">será </w:t>
      </w:r>
      <w:r>
        <w:t>una con</w:t>
      </w:r>
      <w:r w:rsidR="00A2580B">
        <w:t>s</w:t>
      </w:r>
      <w:r>
        <w:t xml:space="preserve">ciencia de absorción </w:t>
      </w:r>
      <w:proofErr w:type="gramStart"/>
      <w:r>
        <w:t xml:space="preserve">de </w:t>
      </w:r>
      <w:r w:rsidR="00A2580B">
        <w:t xml:space="preserve">la </w:t>
      </w:r>
      <w:r>
        <w:t xml:space="preserve">material </w:t>
      </w:r>
      <w:r w:rsidR="00A2580B">
        <w:t>sutil</w:t>
      </w:r>
      <w:proofErr w:type="gramEnd"/>
      <w:r w:rsidR="00A2580B">
        <w:t xml:space="preserve"> </w:t>
      </w:r>
      <w:r>
        <w:t xml:space="preserve">del </w:t>
      </w:r>
      <w:r w:rsidR="00A2580B">
        <w:t xml:space="preserve">cuarto </w:t>
      </w:r>
      <w:proofErr w:type="spellStart"/>
      <w:r w:rsidR="00A2580B" w:rsidRPr="00057BF4">
        <w:rPr>
          <w:i/>
        </w:rPr>
        <w:t>jhāna</w:t>
      </w:r>
      <w:proofErr w:type="spellEnd"/>
      <w:r>
        <w:t>. El conocimiento que sur</w:t>
      </w:r>
      <w:r w:rsidR="00A2580B">
        <w:t>ja</w:t>
      </w:r>
      <w:r>
        <w:t xml:space="preserve"> en él entonces, junto con esa con</w:t>
      </w:r>
      <w:r w:rsidR="0069056B">
        <w:t>s</w:t>
      </w:r>
      <w:r>
        <w:t xml:space="preserve">ciencia, </w:t>
      </w:r>
      <w:r w:rsidR="008F2C10">
        <w:t xml:space="preserve">corresponderá a </w:t>
      </w:r>
      <w:r>
        <w:t>lo que se llam</w:t>
      </w:r>
      <w:r w:rsidR="0069056B">
        <w:t>e</w:t>
      </w:r>
      <w:r>
        <w:t>, "conocimiento del recuerdo de vidas pasadas". Es con la atención plena (memoria) asociada con ese conocimiento que "rec</w:t>
      </w:r>
      <w:r w:rsidR="0069056B">
        <w:t>o</w:t>
      </w:r>
      <w:r>
        <w:t>rda</w:t>
      </w:r>
      <w:r w:rsidR="0069056B">
        <w:t>rá</w:t>
      </w:r>
      <w:r>
        <w:t xml:space="preserve"> sus múltiples vidas pasadas, es decir, un </w:t>
      </w:r>
      <w:r w:rsidR="0069056B">
        <w:t>re</w:t>
      </w:r>
      <w:r>
        <w:t xml:space="preserve">nacimiento, dos </w:t>
      </w:r>
      <w:r w:rsidR="0069056B">
        <w:t>re</w:t>
      </w:r>
      <w:r>
        <w:t xml:space="preserve">nacimientos, ..." [414] Por lo tanto, con detalles y </w:t>
      </w:r>
      <w:r w:rsidR="0069056B">
        <w:t>particularidades</w:t>
      </w:r>
      <w:r>
        <w:t>, rec</w:t>
      </w:r>
      <w:r w:rsidR="0069056B">
        <w:t>o</w:t>
      </w:r>
      <w:r>
        <w:t>rda</w:t>
      </w:r>
      <w:r w:rsidR="0069056B">
        <w:t>rá</w:t>
      </w:r>
      <w:r>
        <w:t xml:space="preserve"> sus múltiples vidas pasadas (D I 81).</w:t>
      </w:r>
    </w:p>
    <w:p w14:paraId="7EA92D1C" w14:textId="12E6893D" w:rsidR="0027731D" w:rsidRDefault="0027731D" w:rsidP="0027731D">
      <w:r>
        <w:t xml:space="preserve">28. </w:t>
      </w:r>
      <w:r>
        <w:tab/>
        <w:t xml:space="preserve">Aquí, </w:t>
      </w:r>
      <w:r w:rsidRPr="00224666">
        <w:rPr>
          <w:i/>
          <w:iCs/>
        </w:rPr>
        <w:t xml:space="preserve">un </w:t>
      </w:r>
      <w:r w:rsidR="00DB714D">
        <w:rPr>
          <w:i/>
          <w:iCs/>
        </w:rPr>
        <w:t>re</w:t>
      </w:r>
      <w:r w:rsidRPr="00224666">
        <w:rPr>
          <w:i/>
          <w:iCs/>
        </w:rPr>
        <w:t>nacimiento</w:t>
      </w:r>
      <w:r>
        <w:t xml:space="preserve"> </w:t>
      </w:r>
      <w:r w:rsidR="00DB714D">
        <w:t xml:space="preserve">será </w:t>
      </w:r>
      <w:r>
        <w:t xml:space="preserve">la continuidad de los agregados incluidos en un solo </w:t>
      </w:r>
      <w:r w:rsidR="00DB714D">
        <w:t xml:space="preserve">devenir </w:t>
      </w:r>
      <w:r>
        <w:t>comenza</w:t>
      </w:r>
      <w:r w:rsidR="001A17EB">
        <w:t>ndo</w:t>
      </w:r>
      <w:r>
        <w:t xml:space="preserve"> con </w:t>
      </w:r>
      <w:r w:rsidR="00DB714D">
        <w:t xml:space="preserve">el nexo </w:t>
      </w:r>
      <w:r>
        <w:t>de</w:t>
      </w:r>
      <w:r w:rsidR="00DB714D">
        <w:t>l</w:t>
      </w:r>
      <w:r>
        <w:t xml:space="preserve"> renacimiento y </w:t>
      </w:r>
      <w:r w:rsidR="00503310">
        <w:t>terminando</w:t>
      </w:r>
      <w:r>
        <w:t xml:space="preserve"> con la muerte. Así también con dos </w:t>
      </w:r>
      <w:r w:rsidR="001D3345">
        <w:t>re</w:t>
      </w:r>
      <w:r>
        <w:t xml:space="preserve">nacimientos y </w:t>
      </w:r>
      <w:r w:rsidR="001D3345">
        <w:t>los restantes</w:t>
      </w:r>
      <w:r>
        <w:t>.</w:t>
      </w:r>
    </w:p>
    <w:p w14:paraId="3B3479C4" w14:textId="3A8433D9" w:rsidR="0027731D" w:rsidRDefault="0027731D" w:rsidP="0027731D">
      <w:pPr>
        <w:pStyle w:val="NormalConSangria"/>
      </w:pPr>
      <w:r>
        <w:t xml:space="preserve">Pero en el caso de </w:t>
      </w:r>
      <w:r w:rsidRPr="00224666">
        <w:rPr>
          <w:i/>
          <w:iCs/>
        </w:rPr>
        <w:t xml:space="preserve">muchos eones de contracción </w:t>
      </w:r>
      <w:r w:rsidR="00224666">
        <w:rPr>
          <w:i/>
          <w:iCs/>
        </w:rPr>
        <w:t>estelar</w:t>
      </w:r>
      <w:r>
        <w:t>, etc., debe</w:t>
      </w:r>
      <w:r w:rsidR="001D3345">
        <w:t>rá</w:t>
      </w:r>
      <w:r>
        <w:t xml:space="preserve"> entenderse que el eón de la contracción </w:t>
      </w:r>
      <w:r w:rsidR="001D3345">
        <w:t xml:space="preserve">estelar </w:t>
      </w:r>
      <w:r w:rsidR="00503310">
        <w:t xml:space="preserve">corresponderá a </w:t>
      </w:r>
      <w:r>
        <w:t xml:space="preserve">un eón de disminución y el eón de la expansión </w:t>
      </w:r>
      <w:r w:rsidR="001D3345">
        <w:t xml:space="preserve">estelar </w:t>
      </w:r>
      <w:r w:rsidR="00503310">
        <w:t xml:space="preserve">a </w:t>
      </w:r>
      <w:r>
        <w:t xml:space="preserve">un eón de </w:t>
      </w:r>
      <w:r w:rsidR="00B84C66">
        <w:t>incremento</w:t>
      </w:r>
      <w:r>
        <w:t>.</w:t>
      </w:r>
    </w:p>
    <w:p w14:paraId="126426B6" w14:textId="109659AE" w:rsidR="0027731D" w:rsidRDefault="0027731D" w:rsidP="0027731D">
      <w:r>
        <w:t xml:space="preserve">29. </w:t>
      </w:r>
      <w:r>
        <w:tab/>
        <w:t>Aquí, lo que reempla</w:t>
      </w:r>
      <w:r w:rsidR="00FB10BD">
        <w:t>ce a</w:t>
      </w:r>
      <w:r>
        <w:t xml:space="preserve"> la contracción se inclu</w:t>
      </w:r>
      <w:r w:rsidR="00AA1C9C">
        <w:t>irá</w:t>
      </w:r>
      <w:r>
        <w:t xml:space="preserve"> en la contracción ya que est</w:t>
      </w:r>
      <w:r w:rsidR="00AA1C9C">
        <w:t>ar</w:t>
      </w:r>
      <w:r>
        <w:t xml:space="preserve">á enraizada en ella; </w:t>
      </w:r>
      <w:r w:rsidR="00AA1C9C">
        <w:t>y</w:t>
      </w:r>
      <w:r>
        <w:t xml:space="preserve"> también lo que reempla</w:t>
      </w:r>
      <w:r w:rsidR="00AA1C9C">
        <w:t>ce</w:t>
      </w:r>
      <w:r>
        <w:t xml:space="preserve"> la expansión se inclu</w:t>
      </w:r>
      <w:r w:rsidR="00AA1C9C">
        <w:t>irá</w:t>
      </w:r>
      <w:r>
        <w:t xml:space="preserve"> en la expansión. Siendo esto, inclu</w:t>
      </w:r>
      <w:r w:rsidR="00BB28D7">
        <w:t>irá</w:t>
      </w:r>
      <w:r>
        <w:t xml:space="preserve"> lo que se di</w:t>
      </w:r>
      <w:r w:rsidR="00BB28D7">
        <w:t>ga</w:t>
      </w:r>
      <w:r>
        <w:t xml:space="preserve"> así: “</w:t>
      </w:r>
      <w:proofErr w:type="spellStart"/>
      <w:r w:rsidR="00057BF4" w:rsidRPr="00057BF4">
        <w:rPr>
          <w:i/>
        </w:rPr>
        <w:t>Bhikkhu</w:t>
      </w:r>
      <w:r>
        <w:t>s</w:t>
      </w:r>
      <w:proofErr w:type="spellEnd"/>
      <w:r>
        <w:t xml:space="preserve">, </w:t>
      </w:r>
      <w:r w:rsidR="00BB28D7">
        <w:t>existen</w:t>
      </w:r>
      <w:r>
        <w:t xml:space="preserve"> cuatro incalculables </w:t>
      </w:r>
      <w:r w:rsidR="00E4534F">
        <w:t xml:space="preserve">en un </w:t>
      </w:r>
      <w:r>
        <w:t>eón.</w:t>
      </w:r>
    </w:p>
    <w:p w14:paraId="58D94C51" w14:textId="77777777" w:rsidR="0027731D" w:rsidRDefault="0027731D">
      <w:pPr>
        <w:tabs>
          <w:tab w:val="clear" w:pos="425"/>
        </w:tabs>
        <w:spacing w:after="160"/>
      </w:pPr>
      <w:r>
        <w:br w:type="page"/>
      </w:r>
    </w:p>
    <w:p w14:paraId="257A9D13" w14:textId="77777777" w:rsidR="001B5496" w:rsidRDefault="001B5496" w:rsidP="0027731D"/>
    <w:p w14:paraId="23D3E792" w14:textId="42EF9696" w:rsidR="00CD19AF" w:rsidRDefault="00CD19AF" w:rsidP="00CD19AF">
      <w:r>
        <w:t>¿</w:t>
      </w:r>
      <w:r w:rsidR="00413C6B">
        <w:t xml:space="preserve">Cuáles </w:t>
      </w:r>
      <w:r>
        <w:t>cuatro? La contracción, lo que reempla</w:t>
      </w:r>
      <w:r w:rsidR="00413C6B">
        <w:t>ce</w:t>
      </w:r>
      <w:r>
        <w:t xml:space="preserve"> la contracción, la expansión y lo que reempla</w:t>
      </w:r>
      <w:r w:rsidR="00413C6B">
        <w:t>ce</w:t>
      </w:r>
      <w:r>
        <w:t xml:space="preserve"> la expansión”</w:t>
      </w:r>
      <w:r w:rsidR="00413C6B">
        <w:t xml:space="preserve"> </w:t>
      </w:r>
      <w:r>
        <w:t>(A II 142 abreviado).</w:t>
      </w:r>
    </w:p>
    <w:p w14:paraId="13679639" w14:textId="4CFA251E" w:rsidR="00CD19AF" w:rsidRDefault="00CD19AF" w:rsidP="00CD19AF">
      <w:r>
        <w:t xml:space="preserve">30. </w:t>
      </w:r>
      <w:r>
        <w:tab/>
      </w:r>
      <w:r w:rsidR="00D43C7E">
        <w:t>Al respecto</w:t>
      </w:r>
      <w:r>
        <w:t xml:space="preserve">, </w:t>
      </w:r>
      <w:r w:rsidR="00413C6B">
        <w:t xml:space="preserve">existen </w:t>
      </w:r>
      <w:r w:rsidR="00D43C7E">
        <w:t>3</w:t>
      </w:r>
      <w:r>
        <w:t xml:space="preserve"> tipos de contracción: </w:t>
      </w:r>
      <w:r w:rsidR="00413C6B">
        <w:t xml:space="preserve">la </w:t>
      </w:r>
      <w:r>
        <w:t xml:space="preserve">contracción debido al agua, la contracción debido al fuego y la contracción debido al aire (ver Mn 28). También </w:t>
      </w:r>
      <w:r w:rsidR="008360D0">
        <w:t>existen</w:t>
      </w:r>
      <w:r>
        <w:t xml:space="preserve"> </w:t>
      </w:r>
      <w:r w:rsidR="00D43C7E">
        <w:t xml:space="preserve">3 </w:t>
      </w:r>
      <w:r>
        <w:t xml:space="preserve">límites a la </w:t>
      </w:r>
      <w:r w:rsidR="008360D0">
        <w:t>er</w:t>
      </w:r>
      <w:r w:rsidR="005F028C">
        <w:t xml:space="preserve">a de </w:t>
      </w:r>
      <w:r>
        <w:t xml:space="preserve">contracción; El </w:t>
      </w:r>
      <w:r w:rsidR="00961272">
        <w:t xml:space="preserve">plano </w:t>
      </w:r>
      <w:r w:rsidR="00961272" w:rsidRPr="0096552C">
        <w:rPr>
          <w:i/>
          <w:iCs/>
        </w:rPr>
        <w:t xml:space="preserve">Brahmā </w:t>
      </w:r>
      <w:proofErr w:type="spellStart"/>
      <w:r w:rsidR="0096552C" w:rsidRPr="0096552C">
        <w:rPr>
          <w:i/>
          <w:iCs/>
        </w:rPr>
        <w:t>Ābhassara</w:t>
      </w:r>
      <w:proofErr w:type="spellEnd"/>
      <w:r w:rsidR="0096552C">
        <w:t xml:space="preserve"> </w:t>
      </w:r>
      <w:r>
        <w:t>(</w:t>
      </w:r>
      <w:r w:rsidR="00707FC5">
        <w:t>corriente radiante</w:t>
      </w:r>
      <w:r>
        <w:t xml:space="preserve">), el </w:t>
      </w:r>
      <w:proofErr w:type="spellStart"/>
      <w:r w:rsidR="0096552C" w:rsidRPr="0096552C">
        <w:rPr>
          <w:i/>
          <w:iCs/>
        </w:rPr>
        <w:t>Subhakiṇha</w:t>
      </w:r>
      <w:proofErr w:type="spellEnd"/>
      <w:r w:rsidR="0096552C">
        <w:t xml:space="preserve"> </w:t>
      </w:r>
      <w:r>
        <w:t xml:space="preserve">(gloria refulgente), y la del </w:t>
      </w:r>
      <w:proofErr w:type="spellStart"/>
      <w:r w:rsidR="002769BA" w:rsidRPr="00CA144F">
        <w:rPr>
          <w:i/>
          <w:iCs/>
        </w:rPr>
        <w:t>Vehapphala</w:t>
      </w:r>
      <w:proofErr w:type="spellEnd"/>
      <w:r w:rsidR="002769BA" w:rsidRPr="002769BA">
        <w:t xml:space="preserve"> </w:t>
      </w:r>
      <w:r>
        <w:t>(gran frui</w:t>
      </w:r>
      <w:r w:rsidR="006601A2">
        <w:t>ción</w:t>
      </w:r>
      <w:r>
        <w:t xml:space="preserve">). Cuando el </w:t>
      </w:r>
      <w:r w:rsidR="0096552C">
        <w:t>eón</w:t>
      </w:r>
      <w:r>
        <w:t xml:space="preserve"> se contra</w:t>
      </w:r>
      <w:r w:rsidR="006601A2">
        <w:t>iga debido</w:t>
      </w:r>
      <w:r>
        <w:t xml:space="preserve"> al fuego, todo debajo del </w:t>
      </w:r>
      <w:r w:rsidR="00137EB4">
        <w:t xml:space="preserve">del mundo </w:t>
      </w:r>
      <w:r w:rsidR="00137EB4" w:rsidRPr="0096552C">
        <w:rPr>
          <w:i/>
          <w:iCs/>
        </w:rPr>
        <w:t xml:space="preserve">Brahmā </w:t>
      </w:r>
      <w:proofErr w:type="spellStart"/>
      <w:r w:rsidR="0096552C" w:rsidRPr="0096552C">
        <w:rPr>
          <w:i/>
          <w:iCs/>
        </w:rPr>
        <w:t>Ābhassara</w:t>
      </w:r>
      <w:proofErr w:type="spellEnd"/>
      <w:r w:rsidR="0096552C">
        <w:t xml:space="preserve"> </w:t>
      </w:r>
      <w:r w:rsidR="006601A2">
        <w:t xml:space="preserve">será </w:t>
      </w:r>
      <w:r>
        <w:t>quemado por el fuego. Cuando se contra</w:t>
      </w:r>
      <w:r w:rsidR="006601A2">
        <w:t>iga</w:t>
      </w:r>
      <w:r>
        <w:t xml:space="preserve"> </w:t>
      </w:r>
      <w:r w:rsidR="006601A2">
        <w:t>por e</w:t>
      </w:r>
      <w:r>
        <w:t>l agua, todo se dis</w:t>
      </w:r>
      <w:r w:rsidR="006601A2">
        <w:t>o</w:t>
      </w:r>
      <w:r>
        <w:t>lve</w:t>
      </w:r>
      <w:r w:rsidR="006601A2">
        <w:t>rá</w:t>
      </w:r>
      <w:r>
        <w:t xml:space="preserve"> </w:t>
      </w:r>
      <w:r w:rsidR="00137EB4">
        <w:t xml:space="preserve">mediante el </w:t>
      </w:r>
      <w:r>
        <w:t xml:space="preserve">agua hasta el </w:t>
      </w:r>
      <w:r w:rsidR="0096552C">
        <w:t xml:space="preserve">mundo </w:t>
      </w:r>
      <w:r w:rsidR="0096552C" w:rsidRPr="0096552C">
        <w:rPr>
          <w:i/>
          <w:iCs/>
        </w:rPr>
        <w:t>Brahmā</w:t>
      </w:r>
      <w:r w:rsidR="00137EB4" w:rsidRPr="00137EB4">
        <w:rPr>
          <w:i/>
          <w:iCs/>
        </w:rPr>
        <w:t xml:space="preserve"> </w:t>
      </w:r>
      <w:proofErr w:type="spellStart"/>
      <w:r w:rsidR="00137EB4" w:rsidRPr="0096552C">
        <w:rPr>
          <w:i/>
          <w:iCs/>
        </w:rPr>
        <w:t>Subhakiṇha</w:t>
      </w:r>
      <w:proofErr w:type="spellEnd"/>
      <w:r>
        <w:t>. Cuando se contra</w:t>
      </w:r>
      <w:r w:rsidR="00137EB4">
        <w:t>iga por</w:t>
      </w:r>
      <w:r>
        <w:t xml:space="preserve"> al aire, todo </w:t>
      </w:r>
      <w:r w:rsidR="00137EB4">
        <w:t xml:space="preserve">será </w:t>
      </w:r>
      <w:r>
        <w:t xml:space="preserve">demolido por </w:t>
      </w:r>
      <w:r w:rsidR="00CA144F">
        <w:t>el aire</w:t>
      </w:r>
      <w:r>
        <w:t xml:space="preserve"> hasta el </w:t>
      </w:r>
      <w:r w:rsidR="0096552C">
        <w:t xml:space="preserve">mundo </w:t>
      </w:r>
      <w:r w:rsidR="0096552C" w:rsidRPr="0096552C">
        <w:rPr>
          <w:i/>
          <w:iCs/>
        </w:rPr>
        <w:t>Brahmā</w:t>
      </w:r>
      <w:r w:rsidR="00CA144F">
        <w:rPr>
          <w:i/>
          <w:iCs/>
        </w:rPr>
        <w:t xml:space="preserve"> </w:t>
      </w:r>
      <w:proofErr w:type="spellStart"/>
      <w:r w:rsidR="00CA144F" w:rsidRPr="00CA144F">
        <w:rPr>
          <w:i/>
          <w:iCs/>
        </w:rPr>
        <w:t>Vehapphala</w:t>
      </w:r>
      <w:proofErr w:type="spellEnd"/>
      <w:r>
        <w:t>.</w:t>
      </w:r>
    </w:p>
    <w:p w14:paraId="07FAB571" w14:textId="3E9CAE0B" w:rsidR="00CD19AF" w:rsidRDefault="00CD19AF" w:rsidP="00CD19AF">
      <w:r>
        <w:t xml:space="preserve">31. </w:t>
      </w:r>
      <w:r>
        <w:tab/>
        <w:t xml:space="preserve">En amplitud, siempre </w:t>
      </w:r>
      <w:r w:rsidR="00CB2990">
        <w:t xml:space="preserve">será </w:t>
      </w:r>
      <w:r>
        <w:t>un</w:t>
      </w:r>
      <w:r w:rsidR="00CB2990">
        <w:t>a</w:t>
      </w:r>
      <w:r>
        <w:t xml:space="preserve"> de </w:t>
      </w:r>
      <w:r w:rsidR="00CA144F">
        <w:t>la</w:t>
      </w:r>
      <w:r w:rsidR="00CB2990">
        <w:t>s</w:t>
      </w:r>
      <w:r w:rsidR="00CA144F">
        <w:t xml:space="preserve"> esfera</w:t>
      </w:r>
      <w:r w:rsidR="00CB2990">
        <w:t>s</w:t>
      </w:r>
      <w:r w:rsidR="00CA144F">
        <w:t xml:space="preserve"> </w:t>
      </w:r>
      <w:r>
        <w:t>de</w:t>
      </w:r>
      <w:r w:rsidR="00CA144F">
        <w:t>l</w:t>
      </w:r>
      <w:r>
        <w:t xml:space="preserve"> </w:t>
      </w:r>
      <w:r w:rsidR="008C63AE" w:rsidRPr="008C63AE">
        <w:rPr>
          <w:i/>
        </w:rPr>
        <w:t>Buddha</w:t>
      </w:r>
      <w:r>
        <w:t xml:space="preserve"> </w:t>
      </w:r>
      <w:r w:rsidR="00074EC4">
        <w:t>l</w:t>
      </w:r>
      <w:r w:rsidR="008E1EF8">
        <w:t xml:space="preserve">a </w:t>
      </w:r>
      <w:r>
        <w:t>que se destru</w:t>
      </w:r>
      <w:r w:rsidR="008E1EF8">
        <w:t>irá</w:t>
      </w:r>
      <w:r>
        <w:t xml:space="preserve">. </w:t>
      </w:r>
      <w:r w:rsidR="008E1EF8">
        <w:t xml:space="preserve">Respecto a </w:t>
      </w:r>
      <w:r>
        <w:t>l</w:t>
      </w:r>
      <w:r w:rsidR="008E1EF8">
        <w:t>a</w:t>
      </w:r>
      <w:r>
        <w:t xml:space="preserve">s </w:t>
      </w:r>
      <w:r w:rsidR="008E1EF8">
        <w:t xml:space="preserve">esferas </w:t>
      </w:r>
      <w:r>
        <w:t xml:space="preserve">de </w:t>
      </w:r>
      <w:r w:rsidR="008E1EF8">
        <w:t xml:space="preserve">un </w:t>
      </w:r>
      <w:r w:rsidR="008C63AE" w:rsidRPr="008C63AE">
        <w:rPr>
          <w:i/>
        </w:rPr>
        <w:t>Buddha</w:t>
      </w:r>
      <w:r>
        <w:t xml:space="preserve"> son de </w:t>
      </w:r>
      <w:r w:rsidR="00D43C7E">
        <w:t>3</w:t>
      </w:r>
      <w:r>
        <w:t xml:space="preserve"> tipos, es decir, </w:t>
      </w:r>
      <w:r w:rsidR="008E1EF8">
        <w:t xml:space="preserve">la esfera </w:t>
      </w:r>
      <w:r>
        <w:t>de</w:t>
      </w:r>
      <w:r w:rsidR="008E0ED8">
        <w:t xml:space="preserve"> su</w:t>
      </w:r>
      <w:r>
        <w:t xml:space="preserve"> nacimiento, </w:t>
      </w:r>
      <w:r w:rsidR="008E1EF8">
        <w:t xml:space="preserve">la esfera </w:t>
      </w:r>
      <w:r>
        <w:t xml:space="preserve">de </w:t>
      </w:r>
      <w:r w:rsidR="008E1EF8">
        <w:t xml:space="preserve">su </w:t>
      </w:r>
      <w:r>
        <w:t xml:space="preserve">autoridad y </w:t>
      </w:r>
      <w:r w:rsidR="008E1EF8">
        <w:t xml:space="preserve">la esfera </w:t>
      </w:r>
      <w:r>
        <w:t xml:space="preserve">de </w:t>
      </w:r>
      <w:r w:rsidR="008E1EF8">
        <w:t xml:space="preserve">su </w:t>
      </w:r>
      <w:r>
        <w:t>alcance.</w:t>
      </w:r>
    </w:p>
    <w:p w14:paraId="380F7463" w14:textId="1D335868" w:rsidR="00CD19AF" w:rsidRDefault="00CD19AF" w:rsidP="00CD19AF">
      <w:pPr>
        <w:pStyle w:val="NormalConSangria"/>
      </w:pPr>
      <w:r>
        <w:t xml:space="preserve">Aquí, </w:t>
      </w:r>
      <w:r w:rsidR="008E0ED8">
        <w:t>la esfera</w:t>
      </w:r>
      <w:r>
        <w:t xml:space="preserve"> de </w:t>
      </w:r>
      <w:r w:rsidR="008E0ED8">
        <w:t xml:space="preserve">su </w:t>
      </w:r>
      <w:r>
        <w:t>nacimiento est</w:t>
      </w:r>
      <w:r w:rsidR="008E0ED8">
        <w:t>ar</w:t>
      </w:r>
      <w:r>
        <w:t>á limitad</w:t>
      </w:r>
      <w:r w:rsidR="008E0ED8">
        <w:t>a</w:t>
      </w:r>
      <w:r>
        <w:t xml:space="preserve"> por las </w:t>
      </w:r>
      <w:r w:rsidR="00DD1074">
        <w:t xml:space="preserve">10,000 </w:t>
      </w:r>
      <w:r w:rsidR="0002755B">
        <w:t>esferas</w:t>
      </w:r>
      <w:r>
        <w:t xml:space="preserve"> </w:t>
      </w:r>
      <w:r w:rsidR="0002755B">
        <w:t xml:space="preserve">estelares </w:t>
      </w:r>
      <w:r>
        <w:t xml:space="preserve">que temblaron </w:t>
      </w:r>
      <w:r w:rsidR="00A6582F">
        <w:t xml:space="preserve">al momento de que el Perfecto </w:t>
      </w:r>
      <w:r w:rsidR="00E85FAC">
        <w:t xml:space="preserve">asumiera su </w:t>
      </w:r>
      <w:r w:rsidR="00EB4686" w:rsidRPr="00C71EC8">
        <w:t>vín</w:t>
      </w:r>
      <w:r w:rsidR="00EB4686">
        <w:t>culo</w:t>
      </w:r>
      <w:r w:rsidR="00EB4686" w:rsidRPr="00C71EC8">
        <w:t>–</w:t>
      </w:r>
      <w:r w:rsidR="00EB4686">
        <w:t>de</w:t>
      </w:r>
      <w:r w:rsidR="00EB4686" w:rsidRPr="00C71EC8">
        <w:t>–</w:t>
      </w:r>
      <w:r w:rsidR="00EB4686">
        <w:t>renacimiento</w:t>
      </w:r>
      <w:r>
        <w:t xml:space="preserve">, y así sucesivamente. </w:t>
      </w:r>
      <w:r w:rsidR="008E0ED8">
        <w:t xml:space="preserve">La esfera </w:t>
      </w:r>
      <w:r>
        <w:t xml:space="preserve">de </w:t>
      </w:r>
      <w:r w:rsidR="008E0ED8">
        <w:t>su</w:t>
      </w:r>
      <w:r>
        <w:t xml:space="preserve"> autoridad est</w:t>
      </w:r>
      <w:r w:rsidR="00E85FAC">
        <w:t>ará</w:t>
      </w:r>
      <w:r>
        <w:t xml:space="preserve"> limitad</w:t>
      </w:r>
      <w:r w:rsidR="008E0ED8">
        <w:t>a</w:t>
      </w:r>
      <w:r>
        <w:t xml:space="preserve"> por los </w:t>
      </w:r>
      <w:r w:rsidR="00593694">
        <w:t>100,000</w:t>
      </w:r>
      <w:r w:rsidR="007C43A6">
        <w:t>’</w:t>
      </w:r>
      <w:r w:rsidR="00593694">
        <w:t xml:space="preserve">000,000 </w:t>
      </w:r>
      <w:r>
        <w:t xml:space="preserve">de </w:t>
      </w:r>
      <w:r w:rsidR="00E85FAC">
        <w:t>esfera</w:t>
      </w:r>
      <w:r w:rsidR="00593694">
        <w:t>s</w:t>
      </w:r>
      <w:r w:rsidR="00E85FAC">
        <w:t xml:space="preserve"> est</w:t>
      </w:r>
      <w:r w:rsidR="0061052B">
        <w:t>e</w:t>
      </w:r>
      <w:r w:rsidR="00E85FAC">
        <w:t>l</w:t>
      </w:r>
      <w:r w:rsidR="0061052B">
        <w:t>a</w:t>
      </w:r>
      <w:r w:rsidR="00E85FAC">
        <w:t xml:space="preserve">res </w:t>
      </w:r>
      <w:r>
        <w:t xml:space="preserve">donde las siguientes </w:t>
      </w:r>
      <w:r w:rsidR="0061052B">
        <w:t>protecciones</w:t>
      </w:r>
      <w:r>
        <w:t xml:space="preserve"> (</w:t>
      </w:r>
      <w:proofErr w:type="spellStart"/>
      <w:r w:rsidRPr="0096552C">
        <w:rPr>
          <w:i/>
          <w:iCs/>
        </w:rPr>
        <w:t>paritta</w:t>
      </w:r>
      <w:r w:rsidR="008E0ED8" w:rsidRPr="008E0ED8">
        <w:t>s</w:t>
      </w:r>
      <w:proofErr w:type="spellEnd"/>
      <w:r>
        <w:t xml:space="preserve">) son eficaces, es decir, el </w:t>
      </w:r>
      <w:proofErr w:type="spellStart"/>
      <w:r w:rsidRPr="0096552C">
        <w:rPr>
          <w:i/>
          <w:iCs/>
        </w:rPr>
        <w:t>Ratana</w:t>
      </w:r>
      <w:proofErr w:type="spellEnd"/>
      <w:r w:rsidRPr="0096552C">
        <w:rPr>
          <w:i/>
          <w:iCs/>
        </w:rPr>
        <w:t xml:space="preserve"> Sutta</w:t>
      </w:r>
      <w:r>
        <w:t xml:space="preserve"> (SN P.39), el </w:t>
      </w:r>
      <w:proofErr w:type="spellStart"/>
      <w:r w:rsidRPr="00656D1C">
        <w:rPr>
          <w:i/>
          <w:iCs/>
        </w:rPr>
        <w:t>Khandha</w:t>
      </w:r>
      <w:proofErr w:type="spellEnd"/>
      <w:r w:rsidRPr="00656D1C">
        <w:rPr>
          <w:i/>
          <w:iCs/>
        </w:rPr>
        <w:t xml:space="preserve"> </w:t>
      </w:r>
      <w:proofErr w:type="spellStart"/>
      <w:r w:rsidRPr="00656D1C">
        <w:rPr>
          <w:i/>
          <w:iCs/>
        </w:rPr>
        <w:t>Paritta</w:t>
      </w:r>
      <w:proofErr w:type="spellEnd"/>
      <w:r>
        <w:t xml:space="preserve"> (</w:t>
      </w:r>
      <w:proofErr w:type="spellStart"/>
      <w:r>
        <w:t>Vin</w:t>
      </w:r>
      <w:proofErr w:type="spellEnd"/>
      <w:r>
        <w:t xml:space="preserve"> II 109; A II 72), El </w:t>
      </w:r>
      <w:proofErr w:type="spellStart"/>
      <w:r w:rsidRPr="00656D1C">
        <w:rPr>
          <w:i/>
          <w:iCs/>
        </w:rPr>
        <w:t>Dhajagga</w:t>
      </w:r>
      <w:proofErr w:type="spellEnd"/>
      <w:r w:rsidRPr="00656D1C">
        <w:rPr>
          <w:i/>
          <w:iCs/>
        </w:rPr>
        <w:t xml:space="preserve"> </w:t>
      </w:r>
      <w:proofErr w:type="spellStart"/>
      <w:r w:rsidRPr="00656D1C">
        <w:rPr>
          <w:i/>
          <w:iCs/>
        </w:rPr>
        <w:t>paritta</w:t>
      </w:r>
      <w:proofErr w:type="spellEnd"/>
      <w:r>
        <w:t xml:space="preserve"> (S I 218), el </w:t>
      </w:r>
      <w:proofErr w:type="spellStart"/>
      <w:r w:rsidR="00656D1C" w:rsidRPr="00656D1C">
        <w:rPr>
          <w:i/>
          <w:iCs/>
        </w:rPr>
        <w:t>Āṭānāṭiya</w:t>
      </w:r>
      <w:proofErr w:type="spellEnd"/>
      <w:r w:rsidR="00656D1C" w:rsidRPr="00656D1C">
        <w:rPr>
          <w:i/>
          <w:iCs/>
        </w:rPr>
        <w:t xml:space="preserve"> </w:t>
      </w:r>
      <w:proofErr w:type="spellStart"/>
      <w:r w:rsidRPr="00656D1C">
        <w:rPr>
          <w:i/>
          <w:iCs/>
        </w:rPr>
        <w:t>paritta</w:t>
      </w:r>
      <w:proofErr w:type="spellEnd"/>
      <w:r>
        <w:t xml:space="preserve"> (D III 194) y </w:t>
      </w:r>
      <w:r w:rsidR="0061052B">
        <w:t>e</w:t>
      </w:r>
      <w:r>
        <w:t xml:space="preserve">l </w:t>
      </w:r>
      <w:r w:rsidR="00656D1C" w:rsidRPr="00656D1C">
        <w:rPr>
          <w:i/>
          <w:iCs/>
        </w:rPr>
        <w:t xml:space="preserve">Mora </w:t>
      </w:r>
      <w:proofErr w:type="spellStart"/>
      <w:r w:rsidR="00656D1C" w:rsidRPr="00656D1C">
        <w:rPr>
          <w:i/>
          <w:iCs/>
        </w:rPr>
        <w:t>Paritta</w:t>
      </w:r>
      <w:proofErr w:type="spellEnd"/>
      <w:r w:rsidR="00656D1C">
        <w:t xml:space="preserve"> </w:t>
      </w:r>
      <w:r>
        <w:t xml:space="preserve">(J-A II 33). </w:t>
      </w:r>
      <w:r w:rsidR="0061052B">
        <w:t>La esfera</w:t>
      </w:r>
      <w:r>
        <w:t xml:space="preserve"> de</w:t>
      </w:r>
      <w:r w:rsidR="0061052B">
        <w:t xml:space="preserve"> </w:t>
      </w:r>
      <w:r>
        <w:t xml:space="preserve">alcance </w:t>
      </w:r>
      <w:r w:rsidR="006939E2">
        <w:t xml:space="preserve">será </w:t>
      </w:r>
      <w:r>
        <w:t>ilimitad</w:t>
      </w:r>
      <w:r w:rsidR="006939E2">
        <w:t>a</w:t>
      </w:r>
      <w:r>
        <w:t xml:space="preserve">, inconmensurable: "en lo que respecta a él" (A I 228), </w:t>
      </w:r>
      <w:r w:rsidR="0061052B">
        <w:t xml:space="preserve">así </w:t>
      </w:r>
      <w:r>
        <w:t xml:space="preserve">se dice. El </w:t>
      </w:r>
      <w:r w:rsidR="0061052B">
        <w:t xml:space="preserve">Perfecto puede </w:t>
      </w:r>
      <w:r w:rsidR="006855F2">
        <w:t xml:space="preserve">conocer </w:t>
      </w:r>
      <w:r>
        <w:t xml:space="preserve">cualquier cosa </w:t>
      </w:r>
      <w:r w:rsidR="006855F2">
        <w:t xml:space="preserve">hacia </w:t>
      </w:r>
      <w:r>
        <w:t xml:space="preserve">cualquier </w:t>
      </w:r>
      <w:r w:rsidR="006855F2">
        <w:t xml:space="preserve">dirección </w:t>
      </w:r>
      <w:r>
        <w:t>que desee. Entonces, un</w:t>
      </w:r>
      <w:r w:rsidR="006939E2">
        <w:t>a</w:t>
      </w:r>
      <w:r>
        <w:t xml:space="preserve"> de est</w:t>
      </w:r>
      <w:r w:rsidR="006855F2">
        <w:t>a</w:t>
      </w:r>
      <w:r>
        <w:t xml:space="preserve">s tres </w:t>
      </w:r>
      <w:r w:rsidR="006855F2">
        <w:t xml:space="preserve">esferas </w:t>
      </w:r>
      <w:r>
        <w:t>de</w:t>
      </w:r>
      <w:r w:rsidR="006939E2">
        <w:t xml:space="preserve"> un</w:t>
      </w:r>
      <w:r w:rsidR="006855F2">
        <w:t xml:space="preserve"> </w:t>
      </w:r>
      <w:r w:rsidR="008C63AE" w:rsidRPr="008C63AE">
        <w:rPr>
          <w:i/>
        </w:rPr>
        <w:t>Buddha</w:t>
      </w:r>
      <w:r>
        <w:t xml:space="preserve">, es decir, </w:t>
      </w:r>
      <w:r w:rsidR="006855F2">
        <w:t xml:space="preserve">la esfera </w:t>
      </w:r>
      <w:r>
        <w:t xml:space="preserve">de la autoridad </w:t>
      </w:r>
      <w:r w:rsidR="00D622CC">
        <w:t xml:space="preserve">será </w:t>
      </w:r>
      <w:r>
        <w:t>destruid</w:t>
      </w:r>
      <w:r w:rsidR="00D622CC">
        <w:t>a</w:t>
      </w:r>
      <w:r>
        <w:t>. Pero cuando e</w:t>
      </w:r>
      <w:r w:rsidR="00D622CC">
        <w:t>ll</w:t>
      </w:r>
      <w:r>
        <w:t>o est</w:t>
      </w:r>
      <w:r w:rsidR="00D622CC">
        <w:t>é</w:t>
      </w:r>
      <w:r>
        <w:t xml:space="preserve"> siendo destruid</w:t>
      </w:r>
      <w:r w:rsidR="00F670F6">
        <w:t>o</w:t>
      </w:r>
      <w:r>
        <w:t xml:space="preserve">, </w:t>
      </w:r>
      <w:r w:rsidR="00D622CC">
        <w:t xml:space="preserve">la esfera </w:t>
      </w:r>
      <w:r>
        <w:t xml:space="preserve">de </w:t>
      </w:r>
      <w:r w:rsidR="00D622CC">
        <w:t xml:space="preserve">su </w:t>
      </w:r>
      <w:r>
        <w:t>nacimiento también se destru</w:t>
      </w:r>
      <w:r w:rsidR="00D622CC">
        <w:t>irá</w:t>
      </w:r>
      <w:r>
        <w:t>. Y e</w:t>
      </w:r>
      <w:r w:rsidR="006939E2">
        <w:t>ll</w:t>
      </w:r>
      <w:r>
        <w:t>o sucede</w:t>
      </w:r>
      <w:r w:rsidR="00D622CC">
        <w:t>rá</w:t>
      </w:r>
      <w:r>
        <w:t xml:space="preserve"> simultáneamente; y cuando se reconstituy</w:t>
      </w:r>
      <w:r w:rsidR="00D622CC">
        <w:t>a</w:t>
      </w:r>
      <w:r>
        <w:t>, e</w:t>
      </w:r>
      <w:r w:rsidR="00D622CC">
        <w:t>ll</w:t>
      </w:r>
      <w:r>
        <w:t>o ocurr</w:t>
      </w:r>
      <w:r w:rsidR="00D622CC">
        <w:t>irá</w:t>
      </w:r>
      <w:r>
        <w:t xml:space="preserve"> simultáneamente (cf. M-A IV 114).</w:t>
      </w:r>
    </w:p>
    <w:p w14:paraId="43F0C69E" w14:textId="0ADC895A" w:rsidR="00CD19AF" w:rsidRDefault="00CD19AF" w:rsidP="00CD19AF">
      <w:r>
        <w:t xml:space="preserve">32. </w:t>
      </w:r>
      <w:r>
        <w:tab/>
        <w:t>Ahora, debe entenderse cómo surgen su destrucción y reconstitución así. En la ocasión en que el eón s</w:t>
      </w:r>
      <w:r w:rsidR="007432E8">
        <w:t>ea</w:t>
      </w:r>
      <w:r>
        <w:t xml:space="preserve"> destruido por </w:t>
      </w:r>
      <w:r w:rsidR="007432E8">
        <w:t xml:space="preserve">el </w:t>
      </w:r>
      <w:r w:rsidR="00656D1C">
        <w:t>fuego</w:t>
      </w:r>
      <w:r>
        <w:t xml:space="preserve"> [415] en primer lugar, aparece</w:t>
      </w:r>
      <w:r w:rsidR="007432E8">
        <w:t>rá</w:t>
      </w:r>
      <w:r>
        <w:t xml:space="preserve"> una gran nube que anunci</w:t>
      </w:r>
      <w:r w:rsidR="007432E8">
        <w:t>e</w:t>
      </w:r>
      <w:r>
        <w:t xml:space="preserve"> la destrucción del eón, y ha</w:t>
      </w:r>
      <w:r w:rsidR="007432E8">
        <w:t>brá</w:t>
      </w:r>
      <w:r>
        <w:t xml:space="preserve"> un gran aguacero en los </w:t>
      </w:r>
      <w:r w:rsidR="00821E11">
        <w:t xml:space="preserve">100,000’000,000 </w:t>
      </w:r>
      <w:r>
        <w:t xml:space="preserve">de </w:t>
      </w:r>
      <w:r w:rsidR="00EA6C5A">
        <w:t>esferas</w:t>
      </w:r>
      <w:r>
        <w:t xml:space="preserve"> </w:t>
      </w:r>
      <w:r w:rsidR="00A1213D">
        <w:t>estelares</w:t>
      </w:r>
      <w:r>
        <w:t>. La gente est</w:t>
      </w:r>
      <w:r w:rsidR="001E3769">
        <w:t>ar</w:t>
      </w:r>
      <w:r>
        <w:t>á encantada y saca</w:t>
      </w:r>
      <w:r w:rsidR="001E3769">
        <w:t>rá</w:t>
      </w:r>
      <w:r>
        <w:t>n todas sus semillas y las sembra</w:t>
      </w:r>
      <w:r w:rsidR="001E3769">
        <w:t>rá</w:t>
      </w:r>
      <w:r>
        <w:t>n. Pero cuando los brotes ha</w:t>
      </w:r>
      <w:r w:rsidR="001E3769">
        <w:t>ya</w:t>
      </w:r>
      <w:r>
        <w:t xml:space="preserve">n crecido lo suficiente como para que un buey </w:t>
      </w:r>
      <w:r w:rsidR="00580FF6">
        <w:t>los roce</w:t>
      </w:r>
      <w:r>
        <w:t>, entonces ya no cae</w:t>
      </w:r>
      <w:r w:rsidR="00580FF6">
        <w:t>rá</w:t>
      </w:r>
      <w:r>
        <w:t xml:space="preserve"> </w:t>
      </w:r>
      <w:r w:rsidR="00580FF6">
        <w:t xml:space="preserve">ni </w:t>
      </w:r>
      <w:r>
        <w:t>una gota de lluvia inclus</w:t>
      </w:r>
      <w:r w:rsidR="00A130B8">
        <w:t>ive</w:t>
      </w:r>
      <w:r>
        <w:t xml:space="preserve"> cuando </w:t>
      </w:r>
      <w:r w:rsidR="00A130B8">
        <w:t>un asno rebuzne</w:t>
      </w:r>
      <w:r>
        <w:t>. La lluvia se reten</w:t>
      </w:r>
      <w:r w:rsidR="00A130B8">
        <w:t>drá</w:t>
      </w:r>
      <w:r>
        <w:t xml:space="preserve"> a partir de entonces. Esto </w:t>
      </w:r>
      <w:r w:rsidR="007E6FA7">
        <w:t>fue</w:t>
      </w:r>
      <w:r>
        <w:t xml:space="preserve"> a lo que el </w:t>
      </w:r>
      <w:r w:rsidR="00FA7A54" w:rsidRPr="00FA7A54">
        <w:rPr>
          <w:i/>
          <w:iCs/>
        </w:rPr>
        <w:t>Bhagavā</w:t>
      </w:r>
      <w:r w:rsidR="00FA7A54">
        <w:t xml:space="preserve"> </w:t>
      </w:r>
      <w:r>
        <w:t>se refirió cuando dijo: "</w:t>
      </w:r>
      <w:proofErr w:type="spellStart"/>
      <w:r w:rsidR="00057BF4" w:rsidRPr="00057BF4">
        <w:rPr>
          <w:i/>
        </w:rPr>
        <w:t>Bhikkhu</w:t>
      </w:r>
      <w:r>
        <w:t>s</w:t>
      </w:r>
      <w:proofErr w:type="spellEnd"/>
      <w:r>
        <w:t xml:space="preserve">, </w:t>
      </w:r>
      <w:r w:rsidR="00FA7A54">
        <w:t xml:space="preserve">llegará </w:t>
      </w:r>
      <w:r>
        <w:t>una ocasión cuando durante muchos años, durante muchos cientos de años, durante muchos miles de años, durante muchos cientos de miles de años, no ha</w:t>
      </w:r>
      <w:r w:rsidR="000122E0">
        <w:t>brá</w:t>
      </w:r>
      <w:r>
        <w:t xml:space="preserve"> lluvia" (A </w:t>
      </w:r>
      <w:r w:rsidR="00EA6C5A">
        <w:t xml:space="preserve">IV </w:t>
      </w:r>
      <w:r>
        <w:t>100). Los seres que viv</w:t>
      </w:r>
      <w:r w:rsidR="00FA7A54">
        <w:t>a</w:t>
      </w:r>
      <w:r>
        <w:t xml:space="preserve">n </w:t>
      </w:r>
      <w:r w:rsidR="00FA7A54">
        <w:t>de</w:t>
      </w:r>
      <w:r>
        <w:t xml:space="preserve"> la lluvia </w:t>
      </w:r>
      <w:r w:rsidR="00FA7A54">
        <w:t>morirá</w:t>
      </w:r>
      <w:r w:rsidR="000122E0">
        <w:t>n</w:t>
      </w:r>
      <w:r w:rsidR="00FA7A54">
        <w:t xml:space="preserve"> </w:t>
      </w:r>
      <w:r>
        <w:t>y renace</w:t>
      </w:r>
      <w:r w:rsidR="00FA7A54">
        <w:t>rá</w:t>
      </w:r>
      <w:r>
        <w:t xml:space="preserve">n en el </w:t>
      </w:r>
      <w:r w:rsidR="00EB66BF">
        <w:t>plano</w:t>
      </w:r>
      <w:r w:rsidR="00EB66BF">
        <w:rPr>
          <w:i/>
          <w:iCs/>
        </w:rPr>
        <w:t>–</w:t>
      </w:r>
      <w:r w:rsidR="00057BF4" w:rsidRPr="00057BF4">
        <w:rPr>
          <w:i/>
        </w:rPr>
        <w:t>Brahmā</w:t>
      </w:r>
      <w:r>
        <w:t>, y también las deidades que viv</w:t>
      </w:r>
      <w:r w:rsidR="00FA7A54">
        <w:t>a</w:t>
      </w:r>
      <w:r>
        <w:t>n de flores y frutas.</w:t>
      </w:r>
    </w:p>
    <w:p w14:paraId="07006E46" w14:textId="49615E0B" w:rsidR="00CD19AF" w:rsidRDefault="00CD19AF" w:rsidP="00CD19AF">
      <w:r>
        <w:t>33.</w:t>
      </w:r>
      <w:r>
        <w:tab/>
        <w:t xml:space="preserve"> Cuando ha</w:t>
      </w:r>
      <w:r w:rsidR="00190168">
        <w:t>ya</w:t>
      </w:r>
      <w:r>
        <w:t xml:space="preserve"> pasado un largo período </w:t>
      </w:r>
      <w:r w:rsidR="000122E0">
        <w:t>de tiempo así</w:t>
      </w:r>
      <w:r>
        <w:t xml:space="preserve">, el agua </w:t>
      </w:r>
      <w:r w:rsidR="00190168">
        <w:t>se verterá</w:t>
      </w:r>
      <w:r>
        <w:t xml:space="preserve"> aquí y allá. Luego, a su debido tiempo, los peces y tortugas </w:t>
      </w:r>
      <w:r w:rsidR="00190168">
        <w:t xml:space="preserve">morirán </w:t>
      </w:r>
      <w:r>
        <w:t>y renace</w:t>
      </w:r>
      <w:r w:rsidR="00190168">
        <w:t>rá</w:t>
      </w:r>
      <w:r>
        <w:t xml:space="preserve">n en el mundo </w:t>
      </w:r>
      <w:r w:rsidR="00057BF4" w:rsidRPr="00057BF4">
        <w:rPr>
          <w:i/>
        </w:rPr>
        <w:t>Brahmā</w:t>
      </w:r>
      <w:r>
        <w:t xml:space="preserve">, y también lo </w:t>
      </w:r>
      <w:r w:rsidR="00190168">
        <w:t>harán</w:t>
      </w:r>
      <w:r>
        <w:t xml:space="preserve"> los seres </w:t>
      </w:r>
      <w:r w:rsidR="000122E0">
        <w:t>d</w:t>
      </w:r>
      <w:r>
        <w:t>el infierno. Algunos dicen que los habitantes del infierno perece</w:t>
      </w:r>
      <w:r w:rsidR="00B25C4D">
        <w:t>rá</w:t>
      </w:r>
      <w:r>
        <w:t xml:space="preserve">n allí </w:t>
      </w:r>
      <w:r w:rsidR="00B25C4D">
        <w:t xml:space="preserve">hasta </w:t>
      </w:r>
      <w:r>
        <w:t xml:space="preserve">la aparición </w:t>
      </w:r>
      <w:proofErr w:type="spellStart"/>
      <w:r>
        <w:t>del</w:t>
      </w:r>
      <w:proofErr w:type="spellEnd"/>
      <w:r>
        <w:t xml:space="preserve"> </w:t>
      </w:r>
      <w:r w:rsidR="00B25C4D">
        <w:t xml:space="preserve">un </w:t>
      </w:r>
      <w:r>
        <w:t>Séptimo Sol (§41).</w:t>
      </w:r>
    </w:p>
    <w:p w14:paraId="0F17F8DB" w14:textId="5B0CA485" w:rsidR="0027731D" w:rsidRDefault="00CD19AF" w:rsidP="00CD19AF">
      <w:pPr>
        <w:pStyle w:val="NormalConSangria"/>
      </w:pPr>
      <w:r>
        <w:t xml:space="preserve">Ahora, no </w:t>
      </w:r>
      <w:r w:rsidR="004C1247">
        <w:t xml:space="preserve">puede </w:t>
      </w:r>
      <w:r w:rsidR="00B25C4D">
        <w:t>haber</w:t>
      </w:r>
      <w:r>
        <w:t xml:space="preserve"> renacimiento en el mundo </w:t>
      </w:r>
      <w:proofErr w:type="spellStart"/>
      <w:r w:rsidR="00057BF4" w:rsidRPr="00057BF4">
        <w:rPr>
          <w:i/>
        </w:rPr>
        <w:t>brahmā</w:t>
      </w:r>
      <w:proofErr w:type="spellEnd"/>
      <w:r>
        <w:t xml:space="preserve"> sin </w:t>
      </w:r>
      <w:proofErr w:type="spellStart"/>
      <w:r w:rsidR="00057BF4" w:rsidRPr="00057BF4">
        <w:rPr>
          <w:i/>
        </w:rPr>
        <w:t>jhāna</w:t>
      </w:r>
      <w:r w:rsidR="00B25C4D">
        <w:rPr>
          <w:iCs/>
        </w:rPr>
        <w:t>s</w:t>
      </w:r>
      <w:proofErr w:type="spellEnd"/>
      <w:r>
        <w:t xml:space="preserve">; Y algunos de ellos, </w:t>
      </w:r>
      <w:r w:rsidR="00B45F0D">
        <w:t xml:space="preserve">al estar </w:t>
      </w:r>
      <w:r>
        <w:t xml:space="preserve">obsesionados con la escasez de comida, no </w:t>
      </w:r>
      <w:r w:rsidR="00B25C4D">
        <w:t xml:space="preserve">podrán </w:t>
      </w:r>
      <w:r>
        <w:t xml:space="preserve">alcanzar </w:t>
      </w:r>
      <w:r w:rsidR="00B25C4D">
        <w:t>ningún</w:t>
      </w:r>
      <w:r>
        <w:t xml:space="preserve"> </w:t>
      </w:r>
      <w:proofErr w:type="spellStart"/>
      <w:r w:rsidR="00B25C4D" w:rsidRPr="00057BF4">
        <w:rPr>
          <w:i/>
        </w:rPr>
        <w:t>jhāna</w:t>
      </w:r>
      <w:proofErr w:type="spellEnd"/>
      <w:r>
        <w:t>, entonces, ¿cómo renace</w:t>
      </w:r>
      <w:r w:rsidR="00B25C4D">
        <w:t>rá</w:t>
      </w:r>
      <w:r>
        <w:t>n allí? Por medio de</w:t>
      </w:r>
      <w:r w:rsidR="00B25C4D">
        <w:t>l</w:t>
      </w:r>
      <w:r>
        <w:t xml:space="preserve"> </w:t>
      </w:r>
      <w:proofErr w:type="spellStart"/>
      <w:r w:rsidR="00057BF4" w:rsidRPr="00057BF4">
        <w:rPr>
          <w:i/>
        </w:rPr>
        <w:t>jhāna</w:t>
      </w:r>
      <w:proofErr w:type="spellEnd"/>
      <w:r>
        <w:t xml:space="preserve"> obtenido en el mundo divino de la esfera sensorial.</w:t>
      </w:r>
    </w:p>
    <w:p w14:paraId="110B70C8" w14:textId="7EF274A1" w:rsidR="00CD19AF" w:rsidRDefault="00CD19AF">
      <w:pPr>
        <w:tabs>
          <w:tab w:val="clear" w:pos="425"/>
        </w:tabs>
        <w:spacing w:after="160"/>
      </w:pPr>
      <w:r>
        <w:br w:type="page"/>
      </w:r>
    </w:p>
    <w:p w14:paraId="36714BBC" w14:textId="77777777" w:rsidR="00CD19AF" w:rsidRDefault="00CD19AF" w:rsidP="00CD19AF">
      <w:pPr>
        <w:pStyle w:val="NormalConSangria"/>
      </w:pPr>
    </w:p>
    <w:p w14:paraId="31BFE77B" w14:textId="0A7CA380" w:rsidR="001032DA" w:rsidRDefault="001032DA" w:rsidP="001032DA">
      <w:r>
        <w:t xml:space="preserve">34. </w:t>
      </w:r>
      <w:r>
        <w:tab/>
        <w:t xml:space="preserve">Para entonces, las deidades de la esfera </w:t>
      </w:r>
      <w:r w:rsidR="00022F81">
        <w:t xml:space="preserve">sensorial </w:t>
      </w:r>
      <w:r>
        <w:t xml:space="preserve">llamadas deidades </w:t>
      </w:r>
      <w:r w:rsidR="0077672D">
        <w:t>comandantes</w:t>
      </w:r>
      <w:r w:rsidR="002006CC">
        <w:t xml:space="preserve"> del mundo </w:t>
      </w:r>
      <w:r>
        <w:t>(</w:t>
      </w:r>
      <w:r w:rsidR="00EA6C5A" w:rsidRPr="00EA6C5A">
        <w:rPr>
          <w:i/>
          <w:iCs/>
        </w:rPr>
        <w:t>loka</w:t>
      </w:r>
      <w:r w:rsidRPr="00EA6C5A">
        <w:rPr>
          <w:i/>
          <w:iCs/>
        </w:rPr>
        <w:t>-</w:t>
      </w:r>
      <w:proofErr w:type="spellStart"/>
      <w:r w:rsidRPr="00EA6C5A">
        <w:rPr>
          <w:i/>
          <w:iCs/>
        </w:rPr>
        <w:t>byūha</w:t>
      </w:r>
      <w:proofErr w:type="spellEnd"/>
      <w:r>
        <w:t>) lleg</w:t>
      </w:r>
      <w:r w:rsidR="002006CC">
        <w:t>arán</w:t>
      </w:r>
      <w:r>
        <w:t xml:space="preserve"> a </w:t>
      </w:r>
      <w:r w:rsidR="002006CC">
        <w:t xml:space="preserve">conocer </w:t>
      </w:r>
      <w:r>
        <w:t xml:space="preserve">que al </w:t>
      </w:r>
      <w:r w:rsidR="00FD09C1">
        <w:t xml:space="preserve">término </w:t>
      </w:r>
      <w:r>
        <w:t xml:space="preserve">de </w:t>
      </w:r>
      <w:r w:rsidR="00FD09C1">
        <w:t>100,000 añ</w:t>
      </w:r>
      <w:r>
        <w:t xml:space="preserve">os </w:t>
      </w:r>
      <w:r w:rsidR="00FD09C1">
        <w:t xml:space="preserve">aparecerá </w:t>
      </w:r>
      <w:r>
        <w:t xml:space="preserve">el surgimiento de un eón, y </w:t>
      </w:r>
      <w:r w:rsidR="00FD09C1">
        <w:t xml:space="preserve">así que </w:t>
      </w:r>
      <w:r>
        <w:t>viaj</w:t>
      </w:r>
      <w:r w:rsidR="00FD09C1">
        <w:t>ará</w:t>
      </w:r>
      <w:r>
        <w:t xml:space="preserve">n </w:t>
      </w:r>
      <w:r w:rsidR="009A463D">
        <w:t xml:space="preserve">de </w:t>
      </w:r>
      <w:r>
        <w:t xml:space="preserve">arriba </w:t>
      </w:r>
      <w:r w:rsidR="009A463D">
        <w:t>hacia</w:t>
      </w:r>
      <w:r>
        <w:t xml:space="preserve"> abajo </w:t>
      </w:r>
      <w:r w:rsidR="00FD09C1">
        <w:t xml:space="preserve">entre </w:t>
      </w:r>
      <w:r>
        <w:t xml:space="preserve">los hombres, </w:t>
      </w:r>
      <w:r w:rsidR="00FD09C1">
        <w:t xml:space="preserve">con </w:t>
      </w:r>
      <w:r>
        <w:t>sus cabezas descubiert</w:t>
      </w:r>
      <w:r w:rsidR="009A463D">
        <w:t>a</w:t>
      </w:r>
      <w:r>
        <w:t>s, su pelo despeinado, con caras pobres, limpiando las lágrimas con las manos, vestid</w:t>
      </w:r>
      <w:r w:rsidR="00FD09C1">
        <w:t>os</w:t>
      </w:r>
      <w:r>
        <w:t xml:space="preserve"> con tela teñida</w:t>
      </w:r>
      <w:r w:rsidR="00FD09C1">
        <w:t>s</w:t>
      </w:r>
      <w:r>
        <w:t xml:space="preserve"> y con su vestido </w:t>
      </w:r>
      <w:r w:rsidR="009A463D">
        <w:t xml:space="preserve">en </w:t>
      </w:r>
      <w:r>
        <w:t>un gran desorden. Ha</w:t>
      </w:r>
      <w:r w:rsidR="009A463D">
        <w:t>rá</w:t>
      </w:r>
      <w:r>
        <w:t xml:space="preserve">n este anuncio: “Buenos </w:t>
      </w:r>
      <w:r w:rsidR="00FD09C1">
        <w:t>Señores</w:t>
      </w:r>
      <w:r>
        <w:t xml:space="preserve">, buenos </w:t>
      </w:r>
      <w:r w:rsidR="00A73B71">
        <w:t>Señores</w:t>
      </w:r>
      <w:r>
        <w:t xml:space="preserve">, </w:t>
      </w:r>
      <w:r w:rsidR="0031550E">
        <w:t xml:space="preserve">al término de 100,000 años, </w:t>
      </w:r>
      <w:r>
        <w:t>a partir de ahora</w:t>
      </w:r>
      <w:r w:rsidR="0031550E">
        <w:t>,</w:t>
      </w:r>
      <w:r>
        <w:t xml:space="preserve"> </w:t>
      </w:r>
      <w:r w:rsidR="0031550E">
        <w:t xml:space="preserve">aparecerá el surgimiento </w:t>
      </w:r>
      <w:r>
        <w:t xml:space="preserve">de un eón. Este mundo será destruido. Incluso el océano se secará. Esta gran tierra, y el rey de las montañas </w:t>
      </w:r>
      <w:proofErr w:type="spellStart"/>
      <w:r w:rsidRPr="0031550E">
        <w:rPr>
          <w:i/>
          <w:iCs/>
        </w:rPr>
        <w:t>Sineru</w:t>
      </w:r>
      <w:proofErr w:type="spellEnd"/>
      <w:r>
        <w:t xml:space="preserve">, serán consumidos y destruidos. La destrucción de la tierra se extenderá hasta el mundo </w:t>
      </w:r>
      <w:r w:rsidR="00057BF4" w:rsidRPr="00057BF4">
        <w:rPr>
          <w:i/>
        </w:rPr>
        <w:t>Brahmā</w:t>
      </w:r>
      <w:r>
        <w:t>. Desarrolle</w:t>
      </w:r>
      <w:r w:rsidR="009A463D">
        <w:t>n</w:t>
      </w:r>
      <w:r>
        <w:t xml:space="preserve"> amor</w:t>
      </w:r>
      <w:r w:rsidR="00430B37">
        <w:t xml:space="preserve"> bondadoso</w:t>
      </w:r>
      <w:r>
        <w:t xml:space="preserve">, buenos </w:t>
      </w:r>
      <w:r w:rsidR="0031550E">
        <w:t>Señores</w:t>
      </w:r>
      <w:r>
        <w:t>, desarrolle</w:t>
      </w:r>
      <w:r w:rsidR="00430B37">
        <w:t>n</w:t>
      </w:r>
      <w:r>
        <w:t xml:space="preserve"> compasión, alegría</w:t>
      </w:r>
      <w:r w:rsidR="00430B37">
        <w:t xml:space="preserve"> altruista</w:t>
      </w:r>
      <w:r>
        <w:t xml:space="preserve">, ecuanimidad, buenos </w:t>
      </w:r>
      <w:r w:rsidR="0031550E">
        <w:t>Señores</w:t>
      </w:r>
      <w:r>
        <w:t>. Cuid</w:t>
      </w:r>
      <w:r w:rsidR="00430B37">
        <w:t>e</w:t>
      </w:r>
      <w:r w:rsidR="0031550E">
        <w:t>n</w:t>
      </w:r>
      <w:r>
        <w:t xml:space="preserve"> </w:t>
      </w:r>
      <w:r w:rsidR="00430B37">
        <w:t>de</w:t>
      </w:r>
      <w:r>
        <w:t xml:space="preserve"> </w:t>
      </w:r>
      <w:r w:rsidR="00430B37">
        <w:t>s</w:t>
      </w:r>
      <w:r>
        <w:t>us madres, cuid</w:t>
      </w:r>
      <w:r w:rsidR="00430B37">
        <w:t>en</w:t>
      </w:r>
      <w:r>
        <w:t xml:space="preserve"> a </w:t>
      </w:r>
      <w:r w:rsidR="00430B37">
        <w:t>s</w:t>
      </w:r>
      <w:r>
        <w:t>us padres, honr</w:t>
      </w:r>
      <w:r w:rsidR="00430B37">
        <w:t>en</w:t>
      </w:r>
      <w:r>
        <w:t xml:space="preserve"> a los ancianos de </w:t>
      </w:r>
      <w:r w:rsidR="00430B37">
        <w:t>s</w:t>
      </w:r>
      <w:r>
        <w:t>us clanes”.</w:t>
      </w:r>
    </w:p>
    <w:p w14:paraId="2A2017F3" w14:textId="13043C12" w:rsidR="001032DA" w:rsidRDefault="001032DA" w:rsidP="001032DA">
      <w:r>
        <w:t xml:space="preserve">35. </w:t>
      </w:r>
      <w:r>
        <w:tab/>
        <w:t>Cuando los seres humanos y las deidades de la tierra escuch</w:t>
      </w:r>
      <w:r w:rsidR="00430B37">
        <w:t>e</w:t>
      </w:r>
      <w:r>
        <w:t>n sus palabras, en su mayoría est</w:t>
      </w:r>
      <w:r w:rsidR="00430B37">
        <w:t>ar</w:t>
      </w:r>
      <w:r>
        <w:t xml:space="preserve">án llenos de un sentido de urgencia. Se </w:t>
      </w:r>
      <w:r w:rsidR="00430B37">
        <w:t>volverán</w:t>
      </w:r>
      <w:r>
        <w:t xml:space="preserve"> amables el uno con el otro y </w:t>
      </w:r>
      <w:r w:rsidR="00214401">
        <w:t xml:space="preserve">obrarán con los </w:t>
      </w:r>
      <w:r>
        <w:t>mérito</w:t>
      </w:r>
      <w:r w:rsidR="00214401">
        <w:t>s</w:t>
      </w:r>
      <w:r>
        <w:t xml:space="preserve"> </w:t>
      </w:r>
      <w:r w:rsidR="00214401">
        <w:t>del</w:t>
      </w:r>
      <w:r>
        <w:t xml:space="preserve"> amor</w:t>
      </w:r>
      <w:r w:rsidR="00214401">
        <w:t xml:space="preserve"> bondadoso</w:t>
      </w:r>
      <w:r>
        <w:t>, etc., por lo que renace</w:t>
      </w:r>
      <w:r w:rsidR="00214401">
        <w:t>rá</w:t>
      </w:r>
      <w:r>
        <w:t>n en el mundo divino. Allí come</w:t>
      </w:r>
      <w:r w:rsidR="00214401">
        <w:t>rá</w:t>
      </w:r>
      <w:r>
        <w:t>n comida divina, y ha</w:t>
      </w:r>
      <w:r w:rsidR="00214401">
        <w:t>rán</w:t>
      </w:r>
      <w:r>
        <w:t xml:space="preserve"> el trabajo preliminar en el </w:t>
      </w:r>
      <w:proofErr w:type="spellStart"/>
      <w:r w:rsidR="00057BF4" w:rsidRPr="00057BF4">
        <w:rPr>
          <w:i/>
        </w:rPr>
        <w:t>kasiṇa</w:t>
      </w:r>
      <w:proofErr w:type="spellEnd"/>
      <w:r>
        <w:t xml:space="preserve"> </w:t>
      </w:r>
      <w:r w:rsidR="00214401">
        <w:t xml:space="preserve">aire </w:t>
      </w:r>
      <w:r>
        <w:t>y adquir</w:t>
      </w:r>
      <w:r w:rsidR="00214401">
        <w:t>irá</w:t>
      </w:r>
      <w:r>
        <w:t xml:space="preserve">n </w:t>
      </w:r>
      <w:r w:rsidR="00214401">
        <w:t xml:space="preserve">los </w:t>
      </w:r>
      <w:proofErr w:type="spellStart"/>
      <w:r w:rsidR="00057BF4" w:rsidRPr="00057BF4">
        <w:rPr>
          <w:i/>
        </w:rPr>
        <w:t>jhāna</w:t>
      </w:r>
      <w:r w:rsidR="00214401">
        <w:rPr>
          <w:iCs/>
        </w:rPr>
        <w:t>s</w:t>
      </w:r>
      <w:proofErr w:type="spellEnd"/>
      <w:r>
        <w:t>. Otros, sin embargo, renace</w:t>
      </w:r>
      <w:r w:rsidR="00214401">
        <w:t>rá</w:t>
      </w:r>
      <w:r>
        <w:t>n en un mundo divino de la esfera de</w:t>
      </w:r>
      <w:r w:rsidR="00214401">
        <w:t xml:space="preserve"> </w:t>
      </w:r>
      <w:r>
        <w:t>l</w:t>
      </w:r>
      <w:r w:rsidR="00214401">
        <w:t>os</w:t>
      </w:r>
      <w:r>
        <w:t xml:space="preserve"> sentido</w:t>
      </w:r>
      <w:r w:rsidR="00214401">
        <w:t>s</w:t>
      </w:r>
      <w:r>
        <w:t xml:space="preserve"> a través de </w:t>
      </w:r>
      <w:proofErr w:type="spellStart"/>
      <w:r w:rsidR="00214401" w:rsidRPr="00057BF4">
        <w:rPr>
          <w:i/>
        </w:rPr>
        <w:t>kamma</w:t>
      </w:r>
      <w:proofErr w:type="spellEnd"/>
      <w:r w:rsidR="00214401">
        <w:t xml:space="preserve"> </w:t>
      </w:r>
      <w:r>
        <w:t xml:space="preserve">para ser experimentado en una vida futura. </w:t>
      </w:r>
      <w:r w:rsidR="009F0077">
        <w:t xml:space="preserve">Ya </w:t>
      </w:r>
      <w:r>
        <w:t xml:space="preserve">que no se </w:t>
      </w:r>
      <w:r w:rsidR="009F0077">
        <w:t xml:space="preserve">podrá </w:t>
      </w:r>
      <w:r>
        <w:t xml:space="preserve">atravesar </w:t>
      </w:r>
      <w:r w:rsidR="00A36ADF">
        <w:t xml:space="preserve">un </w:t>
      </w:r>
      <w:r w:rsidR="009F0077">
        <w:t>ciclo</w:t>
      </w:r>
      <w:r>
        <w:t xml:space="preserve"> de renacimientos que </w:t>
      </w:r>
      <w:r w:rsidR="00B62C77">
        <w:t xml:space="preserve">sea </w:t>
      </w:r>
      <w:r>
        <w:t xml:space="preserve">indigente de </w:t>
      </w:r>
      <w:proofErr w:type="spellStart"/>
      <w:r w:rsidR="00B62C77" w:rsidRPr="00057BF4">
        <w:rPr>
          <w:i/>
        </w:rPr>
        <w:t>kamma</w:t>
      </w:r>
      <w:proofErr w:type="spellEnd"/>
      <w:r w:rsidR="00B62C77">
        <w:t xml:space="preserve"> </w:t>
      </w:r>
      <w:r>
        <w:t xml:space="preserve">para ser experimentado en una vida futura. Ellos también </w:t>
      </w:r>
      <w:r w:rsidR="00B62C77">
        <w:t xml:space="preserve">adquirirán los </w:t>
      </w:r>
      <w:proofErr w:type="spellStart"/>
      <w:r w:rsidR="00AE601A" w:rsidRPr="00057BF4">
        <w:rPr>
          <w:i/>
        </w:rPr>
        <w:t>jhāna</w:t>
      </w:r>
      <w:r w:rsidR="00B62C77">
        <w:rPr>
          <w:i/>
        </w:rPr>
        <w:t>s</w:t>
      </w:r>
      <w:proofErr w:type="spellEnd"/>
      <w:r w:rsidR="00AE601A">
        <w:t xml:space="preserve"> </w:t>
      </w:r>
      <w:r>
        <w:t>allí de la misma manera. [416] Todos finalmente renacer</w:t>
      </w:r>
      <w:r w:rsidR="00B62C77">
        <w:t>á</w:t>
      </w:r>
      <w:r>
        <w:t xml:space="preserve">n en el mundo </w:t>
      </w:r>
      <w:r w:rsidR="00AE601A" w:rsidRPr="00AE601A">
        <w:rPr>
          <w:i/>
          <w:iCs/>
        </w:rPr>
        <w:t>Brahmā</w:t>
      </w:r>
      <w:r>
        <w:t xml:space="preserve"> al adquirir </w:t>
      </w:r>
      <w:r w:rsidR="00B62C77">
        <w:t xml:space="preserve">tales </w:t>
      </w:r>
      <w:proofErr w:type="spellStart"/>
      <w:r w:rsidR="00AE601A" w:rsidRPr="00057BF4">
        <w:rPr>
          <w:i/>
        </w:rPr>
        <w:t>jhāna</w:t>
      </w:r>
      <w:r w:rsidR="00B62C77">
        <w:rPr>
          <w:iCs/>
        </w:rPr>
        <w:t>s</w:t>
      </w:r>
      <w:proofErr w:type="spellEnd"/>
      <w:r w:rsidR="00AE601A">
        <w:t xml:space="preserve"> </w:t>
      </w:r>
      <w:r>
        <w:t xml:space="preserve">en un mundo divino de </w:t>
      </w:r>
      <w:r w:rsidR="00B62C77">
        <w:t xml:space="preserve">la </w:t>
      </w:r>
      <w:r>
        <w:t>esfera sensorial de esta manera.</w:t>
      </w:r>
    </w:p>
    <w:p w14:paraId="2C439CF2" w14:textId="009E2E4E" w:rsidR="001032DA" w:rsidRDefault="001032DA" w:rsidP="001032DA">
      <w:r>
        <w:t xml:space="preserve">36. </w:t>
      </w:r>
      <w:r>
        <w:tab/>
        <w:t>Sin embargo, al final de un largo período después de la retención de la lluvia, aparece</w:t>
      </w:r>
      <w:r w:rsidR="00B62C77">
        <w:t>rá</w:t>
      </w:r>
      <w:r>
        <w:t xml:space="preserve"> un segundo </w:t>
      </w:r>
      <w:r w:rsidR="00B62C77">
        <w:t>Sol</w:t>
      </w:r>
      <w:r>
        <w:t xml:space="preserve">. Y esto es descrito por el </w:t>
      </w:r>
      <w:r w:rsidR="00F15B27" w:rsidRPr="00F15B27">
        <w:rPr>
          <w:i/>
          <w:iCs/>
        </w:rPr>
        <w:t>Bhagavā</w:t>
      </w:r>
      <w:r w:rsidR="00F15B27">
        <w:t xml:space="preserve"> </w:t>
      </w:r>
      <w:r>
        <w:t xml:space="preserve">en el </w:t>
      </w:r>
      <w:r w:rsidR="00F15B27">
        <w:t>pasaje que comienza con</w:t>
      </w:r>
      <w:r>
        <w:t>, "</w:t>
      </w:r>
      <w:proofErr w:type="spellStart"/>
      <w:r w:rsidR="00057BF4" w:rsidRPr="00057BF4">
        <w:rPr>
          <w:i/>
        </w:rPr>
        <w:t>Bhikkhu</w:t>
      </w:r>
      <w:r>
        <w:t>s</w:t>
      </w:r>
      <w:proofErr w:type="spellEnd"/>
      <w:r>
        <w:t xml:space="preserve">, existe la ocasión en que ..." (un IV 100), y el </w:t>
      </w:r>
      <w:proofErr w:type="spellStart"/>
      <w:r w:rsidR="000D13A2" w:rsidRPr="000D13A2">
        <w:rPr>
          <w:i/>
          <w:iCs/>
        </w:rPr>
        <w:t>Sattasuriya</w:t>
      </w:r>
      <w:proofErr w:type="spellEnd"/>
      <w:r w:rsidR="000D13A2" w:rsidRPr="000D13A2">
        <w:rPr>
          <w:i/>
          <w:iCs/>
        </w:rPr>
        <w:t xml:space="preserve"> Sutta</w:t>
      </w:r>
      <w:r w:rsidR="000D13A2">
        <w:t xml:space="preserve"> </w:t>
      </w:r>
      <w:r>
        <w:t xml:space="preserve">debe </w:t>
      </w:r>
      <w:r w:rsidR="004311C2">
        <w:t xml:space="preserve">aquí </w:t>
      </w:r>
      <w:r>
        <w:t>administrarse en su totalidad. Ahora</w:t>
      </w:r>
      <w:r w:rsidR="004311C2">
        <w:t xml:space="preserve"> bien</w:t>
      </w:r>
      <w:r>
        <w:t>, cuando eso ha</w:t>
      </w:r>
      <w:r w:rsidR="00D40A74">
        <w:t>ya</w:t>
      </w:r>
      <w:r>
        <w:t xml:space="preserve"> aparecido, no </w:t>
      </w:r>
      <w:r w:rsidR="00436842">
        <w:t xml:space="preserve">se pondrá </w:t>
      </w:r>
      <w:r>
        <w:t xml:space="preserve">más </w:t>
      </w:r>
      <w:r w:rsidR="00436842">
        <w:t xml:space="preserve">distinguir la </w:t>
      </w:r>
      <w:r>
        <w:t xml:space="preserve">noche </w:t>
      </w:r>
      <w:r w:rsidR="00D40A74">
        <w:t>d</w:t>
      </w:r>
      <w:r>
        <w:t xml:space="preserve">el día; </w:t>
      </w:r>
      <w:r w:rsidR="00436842">
        <w:t xml:space="preserve">cuando </w:t>
      </w:r>
      <w:r>
        <w:t>se pon</w:t>
      </w:r>
      <w:r w:rsidR="00436842">
        <w:t>ga</w:t>
      </w:r>
      <w:r>
        <w:t xml:space="preserve"> un </w:t>
      </w:r>
      <w:r w:rsidR="008B4053">
        <w:t>Sol</w:t>
      </w:r>
      <w:r>
        <w:t xml:space="preserve">, </w:t>
      </w:r>
      <w:r w:rsidR="00107FD2">
        <w:t>saldrá otro</w:t>
      </w:r>
      <w:r>
        <w:t>. El mundo est</w:t>
      </w:r>
      <w:r w:rsidR="00107FD2">
        <w:t>ar</w:t>
      </w:r>
      <w:r>
        <w:t xml:space="preserve">á ininterrumpidamente quemado por </w:t>
      </w:r>
      <w:r w:rsidR="008B4053">
        <w:t>2</w:t>
      </w:r>
      <w:r>
        <w:t xml:space="preserve"> </w:t>
      </w:r>
      <w:r w:rsidR="000D13A2">
        <w:t>soles</w:t>
      </w:r>
      <w:r>
        <w:t xml:space="preserve">. </w:t>
      </w:r>
      <w:r w:rsidR="00107FD2">
        <w:t xml:space="preserve">No obstante, </w:t>
      </w:r>
      <w:r>
        <w:t>no ha</w:t>
      </w:r>
      <w:r w:rsidR="00107FD2">
        <w:t>brá</w:t>
      </w:r>
      <w:r>
        <w:t xml:space="preserve"> una deidad solar en el </w:t>
      </w:r>
      <w:r w:rsidR="00107FD2">
        <w:t xml:space="preserve">Sol en el momento de </w:t>
      </w:r>
      <w:r w:rsidR="000238F6">
        <w:t xml:space="preserve">la </w:t>
      </w:r>
      <w:r>
        <w:t>destrucción de</w:t>
      </w:r>
      <w:r w:rsidR="00107FD2">
        <w:t>l</w:t>
      </w:r>
      <w:r>
        <w:t xml:space="preserve"> eón, </w:t>
      </w:r>
      <w:r w:rsidR="000238F6">
        <w:t xml:space="preserve">como </w:t>
      </w:r>
      <w:r w:rsidR="002600DB">
        <w:t xml:space="preserve">el que </w:t>
      </w:r>
      <w:r>
        <w:t xml:space="preserve">ya </w:t>
      </w:r>
      <w:r w:rsidR="008B4053">
        <w:t>existe</w:t>
      </w:r>
      <w:r>
        <w:t xml:space="preserve"> </w:t>
      </w:r>
      <w:r w:rsidR="008B4053">
        <w:t xml:space="preserve">actualmente </w:t>
      </w:r>
      <w:r>
        <w:t xml:space="preserve">en el </w:t>
      </w:r>
      <w:r w:rsidR="008B4053">
        <w:t xml:space="preserve">Sol </w:t>
      </w:r>
      <w:r>
        <w:t>ordinario.</w:t>
      </w:r>
      <w:r w:rsidRPr="00207128">
        <w:rPr>
          <w:vertAlign w:val="superscript"/>
        </w:rPr>
        <w:t>11</w:t>
      </w:r>
      <w:r>
        <w:t xml:space="preserve"> Ahora</w:t>
      </w:r>
      <w:r w:rsidR="008B4053">
        <w:t xml:space="preserve"> bien</w:t>
      </w:r>
      <w:r>
        <w:t xml:space="preserve">, cuando el </w:t>
      </w:r>
      <w:r w:rsidR="002600DB">
        <w:t xml:space="preserve">Sol </w:t>
      </w:r>
      <w:r>
        <w:t>ordinario est</w:t>
      </w:r>
      <w:r w:rsidR="008B4053">
        <w:t>é</w:t>
      </w:r>
      <w:r>
        <w:t xml:space="preserve"> presente, </w:t>
      </w:r>
      <w:r w:rsidR="00403AF0" w:rsidRPr="00403AF0">
        <w:t>nubes de tormenta y vapores de cola de yegua cruza</w:t>
      </w:r>
      <w:r w:rsidR="008B4053">
        <w:t>rá</w:t>
      </w:r>
      <w:r w:rsidR="00403AF0" w:rsidRPr="00403AF0">
        <w:t>n los cielos</w:t>
      </w:r>
      <w:r>
        <w:t xml:space="preserve">. Pero cuando el </w:t>
      </w:r>
      <w:r w:rsidR="008B4053">
        <w:t xml:space="preserve">Sol </w:t>
      </w:r>
      <w:r>
        <w:t>de la protección de</w:t>
      </w:r>
      <w:r w:rsidR="00403AF0">
        <w:t>l</w:t>
      </w:r>
      <w:r>
        <w:t xml:space="preserve"> </w:t>
      </w:r>
      <w:r w:rsidR="00403AF0">
        <w:t>eón</w:t>
      </w:r>
      <w:r>
        <w:t xml:space="preserve"> est</w:t>
      </w:r>
      <w:r w:rsidR="008B4053">
        <w:t>é</w:t>
      </w:r>
      <w:r>
        <w:t xml:space="preserve"> presente, el cielo est</w:t>
      </w:r>
      <w:r w:rsidR="008B4053">
        <w:t>ar</w:t>
      </w:r>
      <w:r>
        <w:t xml:space="preserve">á tan en blanco como el disco de un espejo </w:t>
      </w:r>
      <w:r w:rsidR="00C60039">
        <w:t>e</w:t>
      </w:r>
      <w:r>
        <w:t xml:space="preserve"> indigente de nubes y vapor. Comenzando con </w:t>
      </w:r>
      <w:r w:rsidR="000539BB">
        <w:t xml:space="preserve">los </w:t>
      </w:r>
      <w:r>
        <w:t>riachuelo</w:t>
      </w:r>
      <w:r w:rsidR="000539BB">
        <w:t>s</w:t>
      </w:r>
      <w:r>
        <w:t xml:space="preserve">, el agua </w:t>
      </w:r>
      <w:r w:rsidR="008B4053">
        <w:t>de</w:t>
      </w:r>
      <w:r>
        <w:t xml:space="preserve"> todos los ríos, excepto los cinco grandes ríos</w:t>
      </w:r>
      <w:r w:rsidRPr="00207128">
        <w:rPr>
          <w:vertAlign w:val="superscript"/>
        </w:rPr>
        <w:t>12</w:t>
      </w:r>
      <w:r>
        <w:t>, se seca</w:t>
      </w:r>
      <w:r w:rsidR="00C60039">
        <w:t>rá</w:t>
      </w:r>
      <w:r w:rsidR="008B4053">
        <w:t>n</w:t>
      </w:r>
      <w:r>
        <w:t>.</w:t>
      </w:r>
    </w:p>
    <w:p w14:paraId="38E8B752" w14:textId="4F632580" w:rsidR="001032DA" w:rsidRDefault="001032DA" w:rsidP="001032DA">
      <w:r>
        <w:t xml:space="preserve">37. </w:t>
      </w:r>
      <w:r>
        <w:tab/>
        <w:t>Después de e</w:t>
      </w:r>
      <w:r w:rsidR="006F48EC">
        <w:t>ll</w:t>
      </w:r>
      <w:r>
        <w:t xml:space="preserve">o, al final de un </w:t>
      </w:r>
      <w:r w:rsidR="000539BB">
        <w:t xml:space="preserve">largo </w:t>
      </w:r>
      <w:r>
        <w:t>período, aparece</w:t>
      </w:r>
      <w:r w:rsidR="006F48EC">
        <w:t>rá</w:t>
      </w:r>
      <w:r>
        <w:t xml:space="preserve"> un tercer </w:t>
      </w:r>
      <w:r w:rsidR="006F48EC">
        <w:t>Sol</w:t>
      </w:r>
      <w:r>
        <w:t>. Y cuando ha</w:t>
      </w:r>
      <w:r w:rsidR="006F48EC">
        <w:t>ya</w:t>
      </w:r>
      <w:r>
        <w:t xml:space="preserve"> aparecido, los grandes ríos también se seca</w:t>
      </w:r>
      <w:r w:rsidR="006F48EC">
        <w:t>rá</w:t>
      </w:r>
      <w:r>
        <w:t>n.</w:t>
      </w:r>
    </w:p>
    <w:p w14:paraId="52CDA299" w14:textId="2CB3D829" w:rsidR="001032DA" w:rsidRDefault="001032DA" w:rsidP="001032DA">
      <w:r>
        <w:t>38.</w:t>
      </w:r>
      <w:r>
        <w:tab/>
        <w:t xml:space="preserve"> Después de eso, al final de un largo período, aparece un cuarto </w:t>
      </w:r>
      <w:r w:rsidR="008B4053">
        <w:t>Sol</w:t>
      </w:r>
      <w:r>
        <w:t>. Y cuando ha</w:t>
      </w:r>
      <w:r w:rsidR="000539BB">
        <w:t>ya</w:t>
      </w:r>
      <w:r>
        <w:t xml:space="preserve"> aparecido, los siete Grandes Lagos </w:t>
      </w:r>
      <w:r w:rsidR="008B4053">
        <w:t>de</w:t>
      </w:r>
      <w:r>
        <w:t xml:space="preserve"> l</w:t>
      </w:r>
      <w:r w:rsidR="000539BB">
        <w:t>o</w:t>
      </w:r>
      <w:r w:rsidR="008B4053">
        <w:t>s</w:t>
      </w:r>
      <w:r>
        <w:t xml:space="preserve"> Himalaya</w:t>
      </w:r>
      <w:r w:rsidR="000539BB">
        <w:t>s</w:t>
      </w:r>
      <w:r>
        <w:t xml:space="preserve">, las fuentes de los grandes </w:t>
      </w:r>
      <w:proofErr w:type="gramStart"/>
      <w:r w:rsidR="00207128">
        <w:t>ríos,</w:t>
      </w:r>
      <w:proofErr w:type="gramEnd"/>
      <w:r>
        <w:t xml:space="preserve"> se seca</w:t>
      </w:r>
      <w:r w:rsidR="000539BB">
        <w:t>rá</w:t>
      </w:r>
      <w:r>
        <w:t>n, es decir:</w:t>
      </w:r>
    </w:p>
    <w:p w14:paraId="35E3B14F" w14:textId="0F61AC9F" w:rsidR="001032DA" w:rsidRPr="001032DA" w:rsidRDefault="001032DA" w:rsidP="001032DA">
      <w:pPr>
        <w:pStyle w:val="PiedepginaLegal"/>
        <w:rPr>
          <w:u w:val="single"/>
        </w:rPr>
      </w:pPr>
      <w:r w:rsidRPr="001032DA">
        <w:rPr>
          <w:u w:val="single"/>
        </w:rPr>
        <w:t xml:space="preserve">                                                                                                                                                           .</w:t>
      </w:r>
    </w:p>
    <w:p w14:paraId="7B15E27C" w14:textId="5519A6F3" w:rsidR="001032DA" w:rsidRDefault="001032DA" w:rsidP="001032DA">
      <w:pPr>
        <w:pStyle w:val="PiedepginaLegal"/>
      </w:pPr>
      <w:r>
        <w:t xml:space="preserve">11. </w:t>
      </w:r>
      <w:r>
        <w:tab/>
        <w:t xml:space="preserve">"El </w:t>
      </w:r>
      <w:r w:rsidR="00E2256B">
        <w:t xml:space="preserve">‘Sol </w:t>
      </w:r>
      <w:r>
        <w:t>ordinario</w:t>
      </w:r>
      <w:r w:rsidR="00E2256B">
        <w:t xml:space="preserve">’ </w:t>
      </w:r>
      <w:r>
        <w:t xml:space="preserve">es el palacio divino del </w:t>
      </w:r>
      <w:r w:rsidR="00E2256B">
        <w:t xml:space="preserve">Sol </w:t>
      </w:r>
      <w:r>
        <w:t xml:space="preserve">que surgió antes de la aparición del eón. Pero al igual que las otras deidades de la esfera sensorial en el momento del surgimiento del eón, la deidad del </w:t>
      </w:r>
      <w:r w:rsidR="00E2256B">
        <w:t xml:space="preserve">Sol </w:t>
      </w:r>
      <w:r>
        <w:t>también produ</w:t>
      </w:r>
      <w:r w:rsidR="00E2256B">
        <w:t>jo un</w:t>
      </w:r>
      <w:r>
        <w:t xml:space="preserve"> </w:t>
      </w:r>
      <w:proofErr w:type="spellStart"/>
      <w:r w:rsidR="00057BF4" w:rsidRPr="00057BF4">
        <w:rPr>
          <w:i/>
        </w:rPr>
        <w:t>jhāna</w:t>
      </w:r>
      <w:proofErr w:type="spellEnd"/>
      <w:r>
        <w:t xml:space="preserve"> y reaparec</w:t>
      </w:r>
      <w:r w:rsidR="00E2256B">
        <w:t>ió</w:t>
      </w:r>
      <w:r>
        <w:t xml:space="preserve"> en el mundo </w:t>
      </w:r>
      <w:proofErr w:type="spellStart"/>
      <w:r w:rsidR="00057BF4" w:rsidRPr="00057BF4">
        <w:rPr>
          <w:i/>
        </w:rPr>
        <w:t>brahmā</w:t>
      </w:r>
      <w:proofErr w:type="spellEnd"/>
      <w:r>
        <w:t xml:space="preserve">. </w:t>
      </w:r>
      <w:r w:rsidR="00411A6F">
        <w:t xml:space="preserve">No obstante, </w:t>
      </w:r>
      <w:r>
        <w:t xml:space="preserve">el disco real del </w:t>
      </w:r>
      <w:r w:rsidR="00E2256B">
        <w:t xml:space="preserve">Sol </w:t>
      </w:r>
      <w:r>
        <w:t>se v</w:t>
      </w:r>
      <w:r w:rsidR="00E2256B">
        <w:t>o</w:t>
      </w:r>
      <w:r>
        <w:t>lv</w:t>
      </w:r>
      <w:r w:rsidR="00E2256B">
        <w:t>ió</w:t>
      </w:r>
      <w:r>
        <w:t xml:space="preserve"> más brillante y ardiente. Otros dicen que desaparec</w:t>
      </w:r>
      <w:r w:rsidR="00E2256B">
        <w:t>ió</w:t>
      </w:r>
      <w:r>
        <w:t xml:space="preserve"> y </w:t>
      </w:r>
      <w:r w:rsidR="00411A6F">
        <w:t xml:space="preserve">entonces </w:t>
      </w:r>
      <w:r>
        <w:t>aparec</w:t>
      </w:r>
      <w:r w:rsidR="00E2256B">
        <w:t>ió</w:t>
      </w:r>
      <w:r>
        <w:t xml:space="preserve"> </w:t>
      </w:r>
      <w:r w:rsidR="00411A6F">
        <w:t xml:space="preserve">otro </w:t>
      </w:r>
      <w:r>
        <w:t>en su lugar”</w:t>
      </w:r>
      <w:r w:rsidR="00207128">
        <w:t xml:space="preserve">. </w:t>
      </w:r>
      <w:r>
        <w:t>(</w:t>
      </w:r>
      <w:proofErr w:type="spellStart"/>
      <w:r>
        <w:t>Vism-Mhṭ</w:t>
      </w:r>
      <w:proofErr w:type="spellEnd"/>
      <w:r>
        <w:t xml:space="preserve"> 412).</w:t>
      </w:r>
    </w:p>
    <w:p w14:paraId="4C3ACF4B" w14:textId="06C67409" w:rsidR="001032DA" w:rsidRDefault="001032DA" w:rsidP="001032DA">
      <w:pPr>
        <w:pStyle w:val="PiedepginaLegal"/>
      </w:pPr>
      <w:r>
        <w:t xml:space="preserve">12. </w:t>
      </w:r>
      <w:r>
        <w:tab/>
        <w:t xml:space="preserve">Los cinco </w:t>
      </w:r>
      <w:r w:rsidR="008020F6">
        <w:t xml:space="preserve">ríos </w:t>
      </w:r>
      <w:r>
        <w:t xml:space="preserve">son </w:t>
      </w:r>
      <w:r w:rsidR="008020F6">
        <w:t xml:space="preserve">el </w:t>
      </w:r>
      <w:r w:rsidRPr="008020F6">
        <w:rPr>
          <w:i/>
          <w:iCs/>
        </w:rPr>
        <w:t>Ganges</w:t>
      </w:r>
      <w:r>
        <w:t xml:space="preserve">, </w:t>
      </w:r>
      <w:proofErr w:type="spellStart"/>
      <w:r w:rsidRPr="000D13A2">
        <w:rPr>
          <w:i/>
          <w:iCs/>
        </w:rPr>
        <w:t>Yamunā</w:t>
      </w:r>
      <w:proofErr w:type="spellEnd"/>
      <w:r>
        <w:t xml:space="preserve"> (</w:t>
      </w:r>
      <w:proofErr w:type="spellStart"/>
      <w:r w:rsidRPr="000D13A2">
        <w:rPr>
          <w:i/>
          <w:iCs/>
        </w:rPr>
        <w:t>Jumma</w:t>
      </w:r>
      <w:proofErr w:type="spellEnd"/>
      <w:r>
        <w:t xml:space="preserve">), </w:t>
      </w:r>
      <w:proofErr w:type="spellStart"/>
      <w:r w:rsidRPr="000D13A2">
        <w:rPr>
          <w:i/>
          <w:iCs/>
        </w:rPr>
        <w:t>Sarabhu</w:t>
      </w:r>
      <w:proofErr w:type="spellEnd"/>
      <w:r>
        <w:t xml:space="preserve">, </w:t>
      </w:r>
      <w:proofErr w:type="spellStart"/>
      <w:r w:rsidRPr="000D13A2">
        <w:rPr>
          <w:i/>
          <w:iCs/>
        </w:rPr>
        <w:t>Sarassatī</w:t>
      </w:r>
      <w:proofErr w:type="spellEnd"/>
      <w:r>
        <w:t xml:space="preserve"> y </w:t>
      </w:r>
      <w:r w:rsidR="00267F4D">
        <w:t xml:space="preserve">el </w:t>
      </w:r>
      <w:proofErr w:type="spellStart"/>
      <w:r w:rsidRPr="000D13A2">
        <w:rPr>
          <w:i/>
          <w:iCs/>
        </w:rPr>
        <w:t>Mahī</w:t>
      </w:r>
      <w:proofErr w:type="spellEnd"/>
      <w:r>
        <w:t xml:space="preserve"> (</w:t>
      </w:r>
      <w:proofErr w:type="spellStart"/>
      <w:r>
        <w:t>Vism-Mhṭ</w:t>
      </w:r>
      <w:proofErr w:type="spellEnd"/>
      <w:r>
        <w:t xml:space="preserve"> 412).</w:t>
      </w:r>
    </w:p>
    <w:p w14:paraId="5E8A67AE" w14:textId="668BBB43" w:rsidR="001032DA" w:rsidRDefault="001032DA">
      <w:pPr>
        <w:tabs>
          <w:tab w:val="clear" w:pos="425"/>
        </w:tabs>
        <w:spacing w:after="160"/>
      </w:pPr>
      <w:r>
        <w:br w:type="page"/>
      </w:r>
    </w:p>
    <w:p w14:paraId="199BF44D" w14:textId="77777777" w:rsidR="001032DA" w:rsidRDefault="001032DA" w:rsidP="001032DA"/>
    <w:p w14:paraId="69B5ADE1" w14:textId="41D3369A" w:rsidR="00857A3C" w:rsidRDefault="00857A3C" w:rsidP="00857A3C">
      <w:proofErr w:type="spellStart"/>
      <w:r>
        <w:t>S</w:t>
      </w:r>
      <w:r w:rsidR="008B4053">
        <w:t>ī</w:t>
      </w:r>
      <w:r>
        <w:t>hapapāta</w:t>
      </w:r>
      <w:proofErr w:type="spellEnd"/>
      <w:r>
        <w:t>, Haṃsapātana,</w:t>
      </w:r>
      <w:r w:rsidRPr="00207128">
        <w:rPr>
          <w:vertAlign w:val="superscript"/>
        </w:rPr>
        <w:t>13</w:t>
      </w:r>
      <w:r>
        <w:t xml:space="preserve"> </w:t>
      </w:r>
      <w:proofErr w:type="spellStart"/>
      <w:r>
        <w:t>Kaṇṇamuṇḍaka</w:t>
      </w:r>
      <w:proofErr w:type="spellEnd"/>
      <w:r>
        <w:t xml:space="preserve">, </w:t>
      </w:r>
      <w:proofErr w:type="spellStart"/>
      <w:r>
        <w:t>Rathakāra</w:t>
      </w:r>
      <w:proofErr w:type="spellEnd"/>
      <w:r>
        <w:t xml:space="preserve">, </w:t>
      </w:r>
      <w:proofErr w:type="spellStart"/>
      <w:r>
        <w:t>Anotatta</w:t>
      </w:r>
      <w:proofErr w:type="spellEnd"/>
      <w:r>
        <w:t xml:space="preserve">, </w:t>
      </w:r>
      <w:proofErr w:type="spellStart"/>
      <w:r>
        <w:t>Chaddanta</w:t>
      </w:r>
      <w:proofErr w:type="spellEnd"/>
      <w:r>
        <w:t xml:space="preserve"> y </w:t>
      </w:r>
      <w:proofErr w:type="spellStart"/>
      <w:r>
        <w:t>Kuṇāla</w:t>
      </w:r>
      <w:proofErr w:type="spellEnd"/>
      <w:r>
        <w:t>.</w:t>
      </w:r>
    </w:p>
    <w:p w14:paraId="79DC895F" w14:textId="6DB106C7" w:rsidR="00857A3C" w:rsidRDefault="00857A3C" w:rsidP="00857A3C">
      <w:r>
        <w:t xml:space="preserve">39. </w:t>
      </w:r>
      <w:r w:rsidR="00964971">
        <w:tab/>
      </w:r>
      <w:r>
        <w:t>Después de eso, al final de un largo período, aparece</w:t>
      </w:r>
      <w:r w:rsidR="000539BB">
        <w:t>rá</w:t>
      </w:r>
      <w:r>
        <w:t xml:space="preserve"> un quinto sol, y cuando h</w:t>
      </w:r>
      <w:r w:rsidR="005C3C9C">
        <w:t>ay</w:t>
      </w:r>
      <w:r w:rsidR="008B4053">
        <w:t>a</w:t>
      </w:r>
      <w:r>
        <w:t xml:space="preserve"> aparecido, finalmente no queda</w:t>
      </w:r>
      <w:r w:rsidR="005C3C9C">
        <w:t>rá</w:t>
      </w:r>
      <w:r>
        <w:t xml:space="preserve"> suficiente agua en el gran océano para mojar </w:t>
      </w:r>
      <w:r w:rsidR="008B4053">
        <w:t xml:space="preserve">siquiera la </w:t>
      </w:r>
      <w:r>
        <w:t>articulación de los dedos.</w:t>
      </w:r>
    </w:p>
    <w:p w14:paraId="1C8EEC49" w14:textId="3E577D11" w:rsidR="00857A3C" w:rsidRDefault="00857A3C" w:rsidP="00857A3C">
      <w:r>
        <w:t xml:space="preserve">40. </w:t>
      </w:r>
      <w:r w:rsidR="00964971">
        <w:tab/>
      </w:r>
      <w:r>
        <w:t>Después de eso, al final de un largo período, aparece</w:t>
      </w:r>
      <w:r w:rsidR="005C3C9C">
        <w:t>rá</w:t>
      </w:r>
      <w:r>
        <w:t xml:space="preserve"> un sexto </w:t>
      </w:r>
      <w:r w:rsidR="00113CCF">
        <w:t>Sol</w:t>
      </w:r>
      <w:r>
        <w:t>, y cuando ha</w:t>
      </w:r>
      <w:r w:rsidR="005C3C9C">
        <w:t>ya</w:t>
      </w:r>
      <w:r>
        <w:t xml:space="preserve"> aparecido, toda la esfera </w:t>
      </w:r>
      <w:r w:rsidR="005C3C9C">
        <w:t xml:space="preserve">estelar </w:t>
      </w:r>
      <w:r>
        <w:t>se convert</w:t>
      </w:r>
      <w:r w:rsidR="005C3C9C">
        <w:t>irá</w:t>
      </w:r>
      <w:r>
        <w:t xml:space="preserve"> en nada más que vapor, toda su humedad se evapora</w:t>
      </w:r>
      <w:r w:rsidR="005C3C9C">
        <w:t>rá</w:t>
      </w:r>
      <w:r>
        <w:t>.</w:t>
      </w:r>
    </w:p>
    <w:p w14:paraId="320B8037" w14:textId="522C7DF7" w:rsidR="00857A3C" w:rsidRDefault="00857A3C" w:rsidP="000D13A2">
      <w:pPr>
        <w:pStyle w:val="NormalConSangria"/>
      </w:pPr>
      <w:r>
        <w:t xml:space="preserve">Y </w:t>
      </w:r>
      <w:r w:rsidR="00D423DF">
        <w:t xml:space="preserve">en </w:t>
      </w:r>
      <w:r>
        <w:t xml:space="preserve">los cien </w:t>
      </w:r>
      <w:r w:rsidR="00113CCF">
        <w:t xml:space="preserve">100,000’000,000 </w:t>
      </w:r>
      <w:r>
        <w:t xml:space="preserve">de esferas </w:t>
      </w:r>
      <w:r w:rsidR="005C3C9C">
        <w:t xml:space="preserve">estelares </w:t>
      </w:r>
      <w:r w:rsidR="00D423DF">
        <w:t>ocurrirá lo</w:t>
      </w:r>
      <w:r>
        <w:t xml:space="preserve"> mismo que </w:t>
      </w:r>
      <w:r w:rsidR="00D423DF">
        <w:t>en é</w:t>
      </w:r>
      <w:r>
        <w:t>st</w:t>
      </w:r>
      <w:r w:rsidR="00D423DF">
        <w:t>a</w:t>
      </w:r>
      <w:r>
        <w:t>.</w:t>
      </w:r>
    </w:p>
    <w:p w14:paraId="7E4293B2" w14:textId="411F8CAA" w:rsidR="00857A3C" w:rsidRDefault="00857A3C" w:rsidP="00857A3C">
      <w:r>
        <w:t xml:space="preserve">41. </w:t>
      </w:r>
      <w:r w:rsidR="00964971">
        <w:tab/>
      </w:r>
      <w:r>
        <w:t>Después de eso, al final de un largo período, aparece</w:t>
      </w:r>
      <w:r w:rsidR="00D423DF">
        <w:t>rá</w:t>
      </w:r>
      <w:r>
        <w:t xml:space="preserve"> un séptimo </w:t>
      </w:r>
      <w:r w:rsidR="00D423DF">
        <w:t>Sol</w:t>
      </w:r>
      <w:r>
        <w:t>. Y cuando ha</w:t>
      </w:r>
      <w:r w:rsidR="00D423DF">
        <w:t>ya</w:t>
      </w:r>
      <w:r>
        <w:t xml:space="preserve"> aparecido, toda la esfera </w:t>
      </w:r>
      <w:r w:rsidR="00D423DF">
        <w:t xml:space="preserve">estelar </w:t>
      </w:r>
      <w:r>
        <w:t>junto con los cien mil millones de otr</w:t>
      </w:r>
      <w:r w:rsidR="00113CCF">
        <w:t>a</w:t>
      </w:r>
      <w:r>
        <w:t xml:space="preserve">s </w:t>
      </w:r>
      <w:r w:rsidR="00D423DF">
        <w:t>esferas estelares combustionará</w:t>
      </w:r>
      <w:r>
        <w:t xml:space="preserve">. Incluso las cumbres de </w:t>
      </w:r>
      <w:proofErr w:type="spellStart"/>
      <w:r w:rsidRPr="00113CCF">
        <w:rPr>
          <w:i/>
          <w:iCs/>
        </w:rPr>
        <w:t>Sineru</w:t>
      </w:r>
      <w:proofErr w:type="spellEnd"/>
      <w:r>
        <w:t xml:space="preserve">, </w:t>
      </w:r>
      <w:r w:rsidR="000A3BFC">
        <w:t xml:space="preserve">de </w:t>
      </w:r>
      <w:r>
        <w:t xml:space="preserve">cien leguas y más altas, se </w:t>
      </w:r>
      <w:r w:rsidR="003F3F68">
        <w:t xml:space="preserve">destruirán </w:t>
      </w:r>
      <w:r>
        <w:t>y desaparece</w:t>
      </w:r>
      <w:r w:rsidR="003F3F68">
        <w:t>rá</w:t>
      </w:r>
      <w:r>
        <w:t xml:space="preserve">n </w:t>
      </w:r>
      <w:r w:rsidR="000A3BFC">
        <w:t>en e</w:t>
      </w:r>
      <w:r>
        <w:t>l espacio. La conflagración aumenta</w:t>
      </w:r>
      <w:r w:rsidR="003F3F68">
        <w:t>rá</w:t>
      </w:r>
      <w:r>
        <w:t xml:space="preserve"> e invad</w:t>
      </w:r>
      <w:r w:rsidR="003F3F68">
        <w:t>irá</w:t>
      </w:r>
      <w:r>
        <w:t xml:space="preserve"> el reino de los </w:t>
      </w:r>
      <w:r w:rsidR="000A3BFC">
        <w:t>Cuatro Reyes</w:t>
      </w:r>
      <w:r>
        <w:t>. Cuando ha</w:t>
      </w:r>
      <w:r w:rsidR="003F3F68">
        <w:t>ya</w:t>
      </w:r>
      <w:r>
        <w:t xml:space="preserve"> quemado todos los palacios dorados, los palacios </w:t>
      </w:r>
      <w:r w:rsidR="003F3F68">
        <w:t xml:space="preserve">de gemas </w:t>
      </w:r>
      <w:r>
        <w:t>y los palacios de cristal allí, invad</w:t>
      </w:r>
      <w:r w:rsidR="003F3F68">
        <w:t>irá</w:t>
      </w:r>
      <w:r>
        <w:t xml:space="preserve"> el reino de los </w:t>
      </w:r>
      <w:r w:rsidR="00992F66">
        <w:t xml:space="preserve">Treinta </w:t>
      </w:r>
      <w:r>
        <w:t xml:space="preserve">y </w:t>
      </w:r>
      <w:r w:rsidR="00992F66">
        <w:t>Tres</w:t>
      </w:r>
      <w:r>
        <w:t>. Y así se dirig</w:t>
      </w:r>
      <w:r w:rsidR="003F3F68">
        <w:t>irá</w:t>
      </w:r>
      <w:r>
        <w:t xml:space="preserve"> hasta el plano del primer </w:t>
      </w:r>
      <w:proofErr w:type="spellStart"/>
      <w:r w:rsidR="00057BF4" w:rsidRPr="00057BF4">
        <w:rPr>
          <w:i/>
        </w:rPr>
        <w:t>Jhāna</w:t>
      </w:r>
      <w:proofErr w:type="spellEnd"/>
      <w:r>
        <w:t>. Cuando ha</w:t>
      </w:r>
      <w:r w:rsidR="003F3F68">
        <w:t>ya</w:t>
      </w:r>
      <w:r>
        <w:t xml:space="preserve"> quemado </w:t>
      </w:r>
      <w:r w:rsidR="003F3F68">
        <w:t xml:space="preserve">los </w:t>
      </w:r>
      <w:r>
        <w:t xml:space="preserve">tres </w:t>
      </w:r>
      <w:r w:rsidR="000D13A2">
        <w:t>mundo</w:t>
      </w:r>
      <w:r w:rsidR="007833E8">
        <w:t>s</w:t>
      </w:r>
      <w:r w:rsidR="000D13A2">
        <w:t xml:space="preserve"> </w:t>
      </w:r>
      <w:r w:rsidR="000D13A2">
        <w:rPr>
          <w:i/>
          <w:iCs/>
        </w:rPr>
        <w:t>Brahmā</w:t>
      </w:r>
      <w:r w:rsidR="003F3F68">
        <w:rPr>
          <w:i/>
          <w:iCs/>
        </w:rPr>
        <w:t xml:space="preserve"> </w:t>
      </w:r>
      <w:r w:rsidR="003F3F68">
        <w:t>inferiores</w:t>
      </w:r>
      <w:r>
        <w:t>, se deten</w:t>
      </w:r>
      <w:r w:rsidR="003F3F68">
        <w:t>drá</w:t>
      </w:r>
      <w:r>
        <w:t xml:space="preserve"> allí en el </w:t>
      </w:r>
      <w:r w:rsidR="001250AF">
        <w:t xml:space="preserve">mundo </w:t>
      </w:r>
      <w:proofErr w:type="spellStart"/>
      <w:r w:rsidR="000D13A2" w:rsidRPr="003F3F68">
        <w:rPr>
          <w:i/>
          <w:iCs/>
        </w:rPr>
        <w:t>Ābhassara</w:t>
      </w:r>
      <w:proofErr w:type="spellEnd"/>
      <w:r>
        <w:t xml:space="preserve">. [417] Mientras cualquier cosa formada (formación) todavía exista </w:t>
      </w:r>
      <w:r w:rsidR="00C73B1D">
        <w:t>d</w:t>
      </w:r>
      <w:r>
        <w:t xml:space="preserve">el tamaño de un átomo, </w:t>
      </w:r>
      <w:r w:rsidR="00877C31">
        <w:t>perdurará</w:t>
      </w:r>
      <w:r>
        <w:t xml:space="preserve">; </w:t>
      </w:r>
      <w:r w:rsidR="00877C31">
        <w:t>no obstante,</w:t>
      </w:r>
      <w:r>
        <w:t xml:space="preserve"> </w:t>
      </w:r>
      <w:r w:rsidR="00877C31">
        <w:t>perecerán cu</w:t>
      </w:r>
      <w:r>
        <w:t>ando todas las cosas formadas se ha</w:t>
      </w:r>
      <w:r w:rsidR="00C73B1D">
        <w:t>ya</w:t>
      </w:r>
      <w:r>
        <w:t>n consumido. Y al igual que la llama que quema</w:t>
      </w:r>
      <w:r w:rsidR="00115612">
        <w:t xml:space="preserve"> el</w:t>
      </w:r>
      <w:r>
        <w:t xml:space="preserve"> </w:t>
      </w:r>
      <w:proofErr w:type="spellStart"/>
      <w:r w:rsidRPr="001250AF">
        <w:rPr>
          <w:i/>
          <w:iCs/>
        </w:rPr>
        <w:t>ghee</w:t>
      </w:r>
      <w:proofErr w:type="spellEnd"/>
      <w:r>
        <w:t xml:space="preserve"> y </w:t>
      </w:r>
      <w:r w:rsidR="00115612">
        <w:t xml:space="preserve">el </w:t>
      </w:r>
      <w:r>
        <w:t xml:space="preserve">aceite, no </w:t>
      </w:r>
      <w:r w:rsidR="00F164A1">
        <w:t>quedarán</w:t>
      </w:r>
      <w:r>
        <w:t xml:space="preserve"> cenizas.</w:t>
      </w:r>
    </w:p>
    <w:p w14:paraId="5B290C13" w14:textId="7FA779BB" w:rsidR="00857A3C" w:rsidRDefault="00857A3C" w:rsidP="00857A3C">
      <w:r>
        <w:t xml:space="preserve">42. </w:t>
      </w:r>
      <w:r w:rsidR="00964971">
        <w:tab/>
      </w:r>
      <w:r>
        <w:t xml:space="preserve">El espacio superior ahora </w:t>
      </w:r>
      <w:r w:rsidR="00F164A1">
        <w:t xml:space="preserve">será </w:t>
      </w:r>
      <w:r>
        <w:t>todo con el espacio inferior en una vasta oscuridad sombría. Luego, al final de un largo período, surg</w:t>
      </w:r>
      <w:r w:rsidR="00F164A1">
        <w:t>irá</w:t>
      </w:r>
      <w:r>
        <w:t xml:space="preserve"> una gran nube, y al principio ll</w:t>
      </w:r>
      <w:r w:rsidR="00F164A1">
        <w:t>o</w:t>
      </w:r>
      <w:r>
        <w:t>ve</w:t>
      </w:r>
      <w:r w:rsidR="00F164A1">
        <w:t>rá</w:t>
      </w:r>
      <w:r>
        <w:t xml:space="preserve"> suavemente, </w:t>
      </w:r>
      <w:r w:rsidR="00F164A1">
        <w:t>para</w:t>
      </w:r>
      <w:r>
        <w:t xml:space="preserve"> luego ll</w:t>
      </w:r>
      <w:r w:rsidR="00F164A1">
        <w:t>o</w:t>
      </w:r>
      <w:r>
        <w:t>ve</w:t>
      </w:r>
      <w:r w:rsidR="00F164A1">
        <w:t>r</w:t>
      </w:r>
      <w:r>
        <w:t xml:space="preserve"> con inundaciones cada vez más pesad</w:t>
      </w:r>
      <w:r w:rsidR="00F164A1">
        <w:t>a</w:t>
      </w:r>
      <w:r>
        <w:t>s, como tallos de loto, como varillas, como mazos, como troncos de palma, cada vez más</w:t>
      </w:r>
      <w:r w:rsidR="001E16AB">
        <w:t xml:space="preserve"> voluminosamente</w:t>
      </w:r>
      <w:r>
        <w:t>. Y así, se derrama</w:t>
      </w:r>
      <w:r w:rsidR="008E7FC8">
        <w:t>rá</w:t>
      </w:r>
      <w:r>
        <w:t xml:space="preserve"> sobre todas las áreas quemadas en los cien mil millones de </w:t>
      </w:r>
      <w:r w:rsidR="00F164A1">
        <w:t xml:space="preserve">esferas estelares </w:t>
      </w:r>
      <w:r>
        <w:t>hasta que desapare</w:t>
      </w:r>
      <w:r w:rsidR="008E7FC8">
        <w:t>zca</w:t>
      </w:r>
      <w:r>
        <w:t>n. Luego, los vientos (fuerzas) debajo y alrededor de es</w:t>
      </w:r>
      <w:r w:rsidR="008E7FC8">
        <w:t>a</w:t>
      </w:r>
      <w:r>
        <w:t xml:space="preserve"> agua se eleva</w:t>
      </w:r>
      <w:r w:rsidR="008E7FC8">
        <w:t>rá</w:t>
      </w:r>
      <w:r>
        <w:t>n y lo compac</w:t>
      </w:r>
      <w:r w:rsidR="001250AF">
        <w:t>ta</w:t>
      </w:r>
      <w:r w:rsidR="008E7FC8">
        <w:t>rá</w:t>
      </w:r>
      <w:r>
        <w:t>n y lo rodea</w:t>
      </w:r>
      <w:r w:rsidR="008E7FC8">
        <w:t>rá</w:t>
      </w:r>
      <w:r>
        <w:t xml:space="preserve">n, como gotas de agua en una hoja de loto. ¿Cómo </w:t>
      </w:r>
      <w:r w:rsidR="001250AF">
        <w:t>compacta</w:t>
      </w:r>
      <w:r w:rsidR="008E7FC8">
        <w:t>rán</w:t>
      </w:r>
      <w:r w:rsidR="001250AF">
        <w:t xml:space="preserve"> </w:t>
      </w:r>
      <w:r>
        <w:t>la gran masa de agua? Haciendo huecos; porque el viento ha</w:t>
      </w:r>
      <w:r w:rsidR="00374C33">
        <w:t>rá</w:t>
      </w:r>
      <w:r>
        <w:t xml:space="preserve"> brechas en él y allá.</w:t>
      </w:r>
    </w:p>
    <w:p w14:paraId="50C10AD8" w14:textId="6035DA2B" w:rsidR="00857A3C" w:rsidRDefault="00857A3C" w:rsidP="00857A3C">
      <w:r>
        <w:t xml:space="preserve">43. </w:t>
      </w:r>
      <w:r w:rsidR="00964971">
        <w:tab/>
      </w:r>
      <w:r>
        <w:t>Al ser comprimido por el aire, compactado y reducido, disminu</w:t>
      </w:r>
      <w:r w:rsidR="00374C33">
        <w:t>irá</w:t>
      </w:r>
      <w:r>
        <w:t xml:space="preserve"> gradualmente. A medida que se hund</w:t>
      </w:r>
      <w:r w:rsidR="00374C33">
        <w:t>a</w:t>
      </w:r>
      <w:r>
        <w:t xml:space="preserve">, el mundo </w:t>
      </w:r>
      <w:r w:rsidR="00374C33">
        <w:t xml:space="preserve">menor </w:t>
      </w:r>
      <w:r w:rsidR="00057BF4" w:rsidRPr="00057BF4">
        <w:rPr>
          <w:i/>
        </w:rPr>
        <w:t>Brahmā</w:t>
      </w:r>
      <w:r>
        <w:t xml:space="preserve"> reaparece</w:t>
      </w:r>
      <w:r w:rsidR="00374C33">
        <w:t>rá</w:t>
      </w:r>
      <w:r>
        <w:t xml:space="preserve"> en su lugar, y los mundos divin</w:t>
      </w:r>
      <w:r w:rsidR="00374C33">
        <w:t>os</w:t>
      </w:r>
      <w:r>
        <w:t xml:space="preserve"> reaparecen en los lugares de los cuatro mundos divinos superiores de la esfera sensual.</w:t>
      </w:r>
      <w:r w:rsidRPr="00207128">
        <w:rPr>
          <w:vertAlign w:val="superscript"/>
        </w:rPr>
        <w:t>14</w:t>
      </w:r>
      <w:r>
        <w:t xml:space="preserve"> Pero cuando se ha</w:t>
      </w:r>
      <w:r w:rsidR="00374C33">
        <w:t>ya</w:t>
      </w:r>
      <w:r>
        <w:t xml:space="preserve"> hundido al nivel de la tierra anterior, fuertes vientos (fuerzas) surg</w:t>
      </w:r>
      <w:r w:rsidR="00374C33">
        <w:t>irá</w:t>
      </w:r>
      <w:r>
        <w:t xml:space="preserve"> y lo deten</w:t>
      </w:r>
      <w:r w:rsidR="00374C33">
        <w:t>drá</w:t>
      </w:r>
      <w:r>
        <w:t>n y lo sosten</w:t>
      </w:r>
      <w:r w:rsidR="00374C33">
        <w:t>drán</w:t>
      </w:r>
      <w:r>
        <w:t xml:space="preserve"> estaciona</w:t>
      </w:r>
      <w:r w:rsidR="005B131B">
        <w:t>riamente</w:t>
      </w:r>
      <w:r>
        <w:t xml:space="preserve">, como el agua en una olla cuando la salida está </w:t>
      </w:r>
      <w:r w:rsidR="005B131B">
        <w:t>conectada</w:t>
      </w:r>
      <w:r>
        <w:t>. A medida que el agua fresca se us</w:t>
      </w:r>
      <w:r w:rsidR="005B131B">
        <w:t>e</w:t>
      </w:r>
      <w:r>
        <w:t>, el humus esencial ha</w:t>
      </w:r>
      <w:r w:rsidR="005B131B">
        <w:t>rá</w:t>
      </w:r>
      <w:r>
        <w:t xml:space="preserve"> su aparición. E</w:t>
      </w:r>
      <w:r w:rsidR="005B131B">
        <w:t>ll</w:t>
      </w:r>
      <w:r>
        <w:t>o posee</w:t>
      </w:r>
      <w:r w:rsidR="005B131B">
        <w:t>rá</w:t>
      </w:r>
      <w:r>
        <w:t xml:space="preserve"> color, olor y sabor, como la película superficial en el arroz con leche cuando se seca.</w:t>
      </w:r>
    </w:p>
    <w:p w14:paraId="18C9E76C" w14:textId="4FE5B721" w:rsidR="00857A3C" w:rsidRDefault="00857A3C" w:rsidP="00857A3C">
      <w:r>
        <w:t xml:space="preserve">44. </w:t>
      </w:r>
      <w:r w:rsidR="00964971">
        <w:tab/>
      </w:r>
      <w:r>
        <w:t xml:space="preserve">Luego, los seres que renacieron primero en el mundo </w:t>
      </w:r>
      <w:r w:rsidR="00057BF4" w:rsidRPr="00057BF4">
        <w:rPr>
          <w:i/>
        </w:rPr>
        <w:t>Brahmā</w:t>
      </w:r>
      <w:r>
        <w:t xml:space="preserve"> de la </w:t>
      </w:r>
      <w:r w:rsidR="006A342C">
        <w:t>radiación brillante</w:t>
      </w:r>
      <w:r>
        <w:t xml:space="preserve"> (</w:t>
      </w:r>
      <w:proofErr w:type="spellStart"/>
      <w:r w:rsidR="001250AF" w:rsidRPr="001250AF">
        <w:rPr>
          <w:i/>
          <w:iCs/>
        </w:rPr>
        <w:t>Ābhassara</w:t>
      </w:r>
      <w:proofErr w:type="spellEnd"/>
      <w:r>
        <w:t xml:space="preserve">) </w:t>
      </w:r>
      <w:r w:rsidR="006A342C">
        <w:t xml:space="preserve">perecerán </w:t>
      </w:r>
      <w:r>
        <w:t xml:space="preserve">allí con el agotamiento de su vida, o cuando su mérito </w:t>
      </w:r>
      <w:r w:rsidR="006A342C">
        <w:t xml:space="preserve">se haya </w:t>
      </w:r>
      <w:r>
        <w:t>agotado, y reaparece</w:t>
      </w:r>
      <w:r w:rsidR="006A342C">
        <w:t>rá</w:t>
      </w:r>
      <w:r>
        <w:t>n aquí. S</w:t>
      </w:r>
      <w:r w:rsidR="006A342C">
        <w:t>erá</w:t>
      </w:r>
      <w:r>
        <w:t xml:space="preserve">n </w:t>
      </w:r>
      <w:proofErr w:type="spellStart"/>
      <w:r>
        <w:t>auto</w:t>
      </w:r>
      <w:r w:rsidR="001250AF">
        <w:t>-</w:t>
      </w:r>
      <w:r>
        <w:t>luminosos</w:t>
      </w:r>
      <w:proofErr w:type="spellEnd"/>
      <w:r>
        <w:t xml:space="preserve"> y deambula</w:t>
      </w:r>
      <w:r w:rsidR="006A342C">
        <w:t>rá</w:t>
      </w:r>
      <w:r>
        <w:t xml:space="preserve">n </w:t>
      </w:r>
      <w:r w:rsidR="006A342C">
        <w:t>por</w:t>
      </w:r>
      <w:r>
        <w:t xml:space="preserve"> el cielo. Al comer</w:t>
      </w:r>
    </w:p>
    <w:p w14:paraId="14BFE3BE" w14:textId="77A2E5EC" w:rsidR="00857A3C" w:rsidRPr="00964971" w:rsidRDefault="00857A3C" w:rsidP="00964971">
      <w:pPr>
        <w:pStyle w:val="PiedepginaLegal"/>
        <w:rPr>
          <w:u w:val="single"/>
        </w:rPr>
      </w:pPr>
      <w:r w:rsidRPr="00964971">
        <w:rPr>
          <w:u w:val="single"/>
        </w:rPr>
        <w:t xml:space="preserve">                                                                                                                                                            .</w:t>
      </w:r>
    </w:p>
    <w:p w14:paraId="2090AAC5" w14:textId="18E000C6" w:rsidR="00857A3C" w:rsidRDefault="00857A3C" w:rsidP="00964971">
      <w:pPr>
        <w:pStyle w:val="PiedepginaLegal"/>
      </w:pPr>
      <w:r>
        <w:t xml:space="preserve">13. </w:t>
      </w:r>
      <w:r w:rsidR="00964971">
        <w:tab/>
      </w:r>
      <w:proofErr w:type="spellStart"/>
      <w:r w:rsidRPr="001250AF">
        <w:rPr>
          <w:i/>
          <w:iCs/>
        </w:rPr>
        <w:t>Haṃsapātana</w:t>
      </w:r>
      <w:proofErr w:type="spellEnd"/>
      <w:r>
        <w:t xml:space="preserve"> es otro nombre para </w:t>
      </w:r>
      <w:proofErr w:type="spellStart"/>
      <w:r w:rsidRPr="001250AF">
        <w:rPr>
          <w:i/>
          <w:iCs/>
        </w:rPr>
        <w:t>Maṇḍākinī</w:t>
      </w:r>
      <w:proofErr w:type="spellEnd"/>
      <w:r>
        <w:t>. (VISM-</w:t>
      </w:r>
      <w:proofErr w:type="spellStart"/>
      <w:r>
        <w:t>MHṭ</w:t>
      </w:r>
      <w:proofErr w:type="spellEnd"/>
      <w:r>
        <w:t xml:space="preserve">) Para </w:t>
      </w:r>
      <w:r w:rsidR="00050B0F">
        <w:t xml:space="preserve">los </w:t>
      </w:r>
      <w:r>
        <w:t xml:space="preserve">siete Grandes Lagos, ver </w:t>
      </w:r>
      <w:r w:rsidR="00050B0F">
        <w:t>A</w:t>
      </w:r>
      <w:r>
        <w:t xml:space="preserve"> IV 101.</w:t>
      </w:r>
    </w:p>
    <w:p w14:paraId="2E96CB25" w14:textId="555C646A" w:rsidR="00CB2385" w:rsidRDefault="00857A3C" w:rsidP="00964971">
      <w:pPr>
        <w:pStyle w:val="PiedepginaLegal"/>
      </w:pPr>
      <w:r>
        <w:t xml:space="preserve">14. </w:t>
      </w:r>
      <w:r w:rsidR="00964971">
        <w:tab/>
      </w:r>
      <w:r>
        <w:t xml:space="preserve">“En el lugar donde se establecen las deidades </w:t>
      </w:r>
      <w:proofErr w:type="spellStart"/>
      <w:r>
        <w:t>Yāma</w:t>
      </w:r>
      <w:proofErr w:type="spellEnd"/>
      <w:r>
        <w:t xml:space="preserve">. Los lugares donde los cielos </w:t>
      </w:r>
      <w:proofErr w:type="spellStart"/>
      <w:r w:rsidRPr="001250AF">
        <w:rPr>
          <w:i/>
          <w:iCs/>
        </w:rPr>
        <w:t>Cātumahārājika</w:t>
      </w:r>
      <w:proofErr w:type="spellEnd"/>
      <w:r>
        <w:t xml:space="preserve"> y </w:t>
      </w:r>
      <w:proofErr w:type="spellStart"/>
      <w:r w:rsidRPr="001250AF">
        <w:rPr>
          <w:i/>
          <w:iCs/>
        </w:rPr>
        <w:t>Tāvatiṃsa</w:t>
      </w:r>
      <w:proofErr w:type="spellEnd"/>
      <w:r>
        <w:t xml:space="preserve"> se establecen no reaparece</w:t>
      </w:r>
      <w:r w:rsidR="0024512C">
        <w:t>rán</w:t>
      </w:r>
      <w:r>
        <w:t xml:space="preserve"> al principio porque est</w:t>
      </w:r>
      <w:r w:rsidR="00333C19">
        <w:t>ar</w:t>
      </w:r>
      <w:r>
        <w:t>án conectados con la tierra”</w:t>
      </w:r>
      <w:r w:rsidR="00F017B1">
        <w:t xml:space="preserve"> </w:t>
      </w:r>
      <w:r>
        <w:t>(</w:t>
      </w:r>
      <w:proofErr w:type="spellStart"/>
      <w:r>
        <w:t>Vism-Mhṭ</w:t>
      </w:r>
      <w:proofErr w:type="spellEnd"/>
      <w:r>
        <w:t xml:space="preserve"> 412).</w:t>
      </w:r>
    </w:p>
    <w:p w14:paraId="7C6485D2" w14:textId="54C35BB0" w:rsidR="00964971" w:rsidRDefault="00964971">
      <w:pPr>
        <w:tabs>
          <w:tab w:val="clear" w:pos="425"/>
        </w:tabs>
        <w:spacing w:after="160"/>
      </w:pPr>
      <w:r>
        <w:br w:type="page"/>
      </w:r>
    </w:p>
    <w:p w14:paraId="65A151FE" w14:textId="77777777" w:rsidR="00CB2385" w:rsidRDefault="00CB2385" w:rsidP="00964971"/>
    <w:p w14:paraId="485B95DC" w14:textId="66869581" w:rsidR="00D3077E" w:rsidRDefault="00D3077E" w:rsidP="00D3077E">
      <w:r>
        <w:t xml:space="preserve">El humus esencial, como se dice en el </w:t>
      </w:r>
      <w:proofErr w:type="spellStart"/>
      <w:r w:rsidRPr="001250AF">
        <w:rPr>
          <w:i/>
          <w:iCs/>
        </w:rPr>
        <w:t>Aggañaña</w:t>
      </w:r>
      <w:proofErr w:type="spellEnd"/>
      <w:r w:rsidRPr="001250AF">
        <w:rPr>
          <w:i/>
          <w:iCs/>
        </w:rPr>
        <w:t xml:space="preserve"> Sutta</w:t>
      </w:r>
      <w:r>
        <w:t xml:space="preserve"> (D III 85), se</w:t>
      </w:r>
      <w:r w:rsidR="006151D9">
        <w:t>rán</w:t>
      </w:r>
      <w:r>
        <w:t xml:space="preserve"> supera</w:t>
      </w:r>
      <w:r w:rsidR="006151D9">
        <w:t>dos</w:t>
      </w:r>
      <w:r>
        <w:t xml:space="preserve"> </w:t>
      </w:r>
      <w:r w:rsidR="006151D9">
        <w:t>por el deseo</w:t>
      </w:r>
      <w:r>
        <w:t>, y se ocupa</w:t>
      </w:r>
      <w:r w:rsidR="006151D9">
        <w:t>rá</w:t>
      </w:r>
      <w:r>
        <w:t xml:space="preserve">n de hacer </w:t>
      </w:r>
      <w:r w:rsidR="00531C21">
        <w:t>bocados</w:t>
      </w:r>
      <w:r>
        <w:t xml:space="preserve"> </w:t>
      </w:r>
      <w:r w:rsidR="006151D9">
        <w:t xml:space="preserve">al </w:t>
      </w:r>
      <w:r>
        <w:t xml:space="preserve">comer. Entonces su </w:t>
      </w:r>
      <w:proofErr w:type="spellStart"/>
      <w:r>
        <w:t>auto-luminosidad</w:t>
      </w:r>
      <w:proofErr w:type="spellEnd"/>
      <w:r>
        <w:t xml:space="preserve"> desaparece</w:t>
      </w:r>
      <w:r w:rsidR="006151D9">
        <w:t>rá</w:t>
      </w:r>
      <w:r>
        <w:t xml:space="preserve">, y </w:t>
      </w:r>
      <w:r w:rsidR="006151D9">
        <w:t xml:space="preserve">habrá </w:t>
      </w:r>
      <w:r>
        <w:t>oscur</w:t>
      </w:r>
      <w:r w:rsidR="006151D9">
        <w:t>idad</w:t>
      </w:r>
      <w:r>
        <w:t xml:space="preserve">. </w:t>
      </w:r>
      <w:r w:rsidR="00465EF0">
        <w:t>Ellos s</w:t>
      </w:r>
      <w:r w:rsidR="006151D9">
        <w:t xml:space="preserve">e sentirán </w:t>
      </w:r>
      <w:r>
        <w:t>asustados cuando ve</w:t>
      </w:r>
      <w:r w:rsidR="006151D9">
        <w:t>a</w:t>
      </w:r>
      <w:r>
        <w:t>n la oscuridad.</w:t>
      </w:r>
    </w:p>
    <w:p w14:paraId="7C90F8FA" w14:textId="790D5C52" w:rsidR="00D3077E" w:rsidRDefault="00D3077E" w:rsidP="00D3077E">
      <w:r>
        <w:t xml:space="preserve">45. </w:t>
      </w:r>
      <w:r>
        <w:tab/>
        <w:t xml:space="preserve">Luego, para eliminar sus miedos y darles coraje, el disco del </w:t>
      </w:r>
      <w:r w:rsidR="006151D9">
        <w:t xml:space="preserve">Sol </w:t>
      </w:r>
      <w:r>
        <w:t>aparece</w:t>
      </w:r>
      <w:r w:rsidR="006151D9">
        <w:t>rá</w:t>
      </w:r>
      <w:r>
        <w:t xml:space="preserve"> lleno de cincuenta leguas. Est</w:t>
      </w:r>
      <w:r w:rsidR="006151D9">
        <w:t>ar</w:t>
      </w:r>
      <w:r>
        <w:t>án encantados de verlo, pensando: "Tenemos luz", y di</w:t>
      </w:r>
      <w:r w:rsidR="006151D9">
        <w:t>rá</w:t>
      </w:r>
      <w:r>
        <w:t>n: "Ha aparecido para aliviar nuestros miedos y darnos coraje (</w:t>
      </w:r>
      <w:proofErr w:type="spellStart"/>
      <w:r w:rsidRPr="001250AF">
        <w:rPr>
          <w:i/>
          <w:iCs/>
        </w:rPr>
        <w:t>Sūrabhāva</w:t>
      </w:r>
      <w:proofErr w:type="spellEnd"/>
      <w:r>
        <w:t xml:space="preserve">), así que </w:t>
      </w:r>
      <w:r w:rsidR="006151D9">
        <w:t xml:space="preserve">harán </w:t>
      </w:r>
      <w:r>
        <w:t>que se llame" Sol "(</w:t>
      </w:r>
      <w:proofErr w:type="spellStart"/>
      <w:r w:rsidRPr="001250AF">
        <w:rPr>
          <w:i/>
          <w:iCs/>
        </w:rPr>
        <w:t>Suriya</w:t>
      </w:r>
      <w:proofErr w:type="spellEnd"/>
      <w:r>
        <w:t>)". Entonces le da</w:t>
      </w:r>
      <w:r w:rsidR="006151D9">
        <w:t>rá</w:t>
      </w:r>
      <w:r>
        <w:t>n el nombre de "Sol" (</w:t>
      </w:r>
      <w:proofErr w:type="spellStart"/>
      <w:r w:rsidRPr="001250AF">
        <w:rPr>
          <w:i/>
          <w:iCs/>
        </w:rPr>
        <w:t>Suriya</w:t>
      </w:r>
      <w:proofErr w:type="spellEnd"/>
      <w:r>
        <w:t xml:space="preserve">). Ahora, cuando el </w:t>
      </w:r>
      <w:r w:rsidR="006151D9">
        <w:t xml:space="preserve">Sol </w:t>
      </w:r>
      <w:r>
        <w:t>ha</w:t>
      </w:r>
      <w:r w:rsidR="006151D9">
        <w:t>y</w:t>
      </w:r>
      <w:r w:rsidR="00F043B1">
        <w:t>a</w:t>
      </w:r>
      <w:r>
        <w:t xml:space="preserve"> dado luz por un día, se </w:t>
      </w:r>
      <w:r w:rsidR="004B2B97">
        <w:t>ocultará</w:t>
      </w:r>
      <w:r>
        <w:t xml:space="preserve">. Luego </w:t>
      </w:r>
      <w:r w:rsidR="00F043B1">
        <w:t xml:space="preserve">ellos se </w:t>
      </w:r>
      <w:r w:rsidR="002609C1">
        <w:t xml:space="preserve">sentirán </w:t>
      </w:r>
      <w:r>
        <w:t xml:space="preserve">asustados nuevamente, pensando: "Hemos perdido la luz que </w:t>
      </w:r>
      <w:r w:rsidR="002609C1">
        <w:t>teníamos</w:t>
      </w:r>
      <w:r>
        <w:t>", y pensa</w:t>
      </w:r>
      <w:r w:rsidR="002609C1">
        <w:t>rá</w:t>
      </w:r>
      <w:r>
        <w:t>n: "¡Qué bueno</w:t>
      </w:r>
      <w:r w:rsidR="002609C1">
        <w:t xml:space="preserve"> sería</w:t>
      </w:r>
      <w:r>
        <w:t xml:space="preserve"> si tuviéramos otra luz!" [418]</w:t>
      </w:r>
    </w:p>
    <w:p w14:paraId="60AC89C7" w14:textId="6A1C38F0" w:rsidR="00D3077E" w:rsidRDefault="00D3077E" w:rsidP="00D3077E">
      <w:r>
        <w:t>46. ​​</w:t>
      </w:r>
      <w:r>
        <w:tab/>
        <w:t xml:space="preserve">Como si </w:t>
      </w:r>
      <w:r w:rsidR="006B724D">
        <w:t xml:space="preserve">se </w:t>
      </w:r>
      <w:r>
        <w:t>supiera su pensamiento, aparece</w:t>
      </w:r>
      <w:r w:rsidR="006B724D">
        <w:t>rá</w:t>
      </w:r>
      <w:r>
        <w:t xml:space="preserve"> el disco de la </w:t>
      </w:r>
      <w:r w:rsidR="001250AF">
        <w:t>Luna</w:t>
      </w:r>
      <w:r>
        <w:t xml:space="preserve">, </w:t>
      </w:r>
      <w:r w:rsidR="006B724D">
        <w:t xml:space="preserve">de </w:t>
      </w:r>
      <w:r>
        <w:t xml:space="preserve">cuarenta y nueve leguas de ancho. Al verlo, </w:t>
      </w:r>
      <w:r w:rsidR="002768F3">
        <w:t xml:space="preserve">se sentirán </w:t>
      </w:r>
      <w:r>
        <w:t>aún más encantados, y di</w:t>
      </w:r>
      <w:r w:rsidR="002768F3">
        <w:t>rá</w:t>
      </w:r>
      <w:r>
        <w:t>n: "Ha parecido, como si supiera nuestro deseo (</w:t>
      </w:r>
      <w:r w:rsidRPr="001250AF">
        <w:rPr>
          <w:i/>
          <w:iCs/>
        </w:rPr>
        <w:t>Chanda</w:t>
      </w:r>
      <w:r>
        <w:t>), así que se llam</w:t>
      </w:r>
      <w:r w:rsidR="000F42A4">
        <w:t xml:space="preserve">ará </w:t>
      </w:r>
      <w:r>
        <w:t>"Luna "(</w:t>
      </w:r>
      <w:proofErr w:type="spellStart"/>
      <w:r w:rsidRPr="001250AF">
        <w:rPr>
          <w:i/>
          <w:iCs/>
        </w:rPr>
        <w:t>Canda</w:t>
      </w:r>
      <w:proofErr w:type="spellEnd"/>
      <w:r>
        <w:t>)". Entonces le da</w:t>
      </w:r>
      <w:r w:rsidR="000F42A4">
        <w:t>rá</w:t>
      </w:r>
      <w:r>
        <w:t xml:space="preserve">n el nombre </w:t>
      </w:r>
      <w:r w:rsidR="000F42A4">
        <w:t xml:space="preserve">de </w:t>
      </w:r>
      <w:r>
        <w:t>"Luna" (</w:t>
      </w:r>
      <w:proofErr w:type="spellStart"/>
      <w:r w:rsidRPr="001250AF">
        <w:rPr>
          <w:i/>
          <w:iCs/>
        </w:rPr>
        <w:t>Canda</w:t>
      </w:r>
      <w:proofErr w:type="spellEnd"/>
      <w:r>
        <w:t>).</w:t>
      </w:r>
    </w:p>
    <w:p w14:paraId="562E73FA" w14:textId="24607F35" w:rsidR="00D3077E" w:rsidRDefault="00D3077E" w:rsidP="00D3077E">
      <w:r>
        <w:t xml:space="preserve">47. </w:t>
      </w:r>
      <w:r>
        <w:tab/>
      </w:r>
      <w:r w:rsidR="000F42A4">
        <w:t>Así, d</w:t>
      </w:r>
      <w:r>
        <w:t xml:space="preserve">espués de la aparición de la </w:t>
      </w:r>
      <w:r w:rsidR="000F42A4">
        <w:t xml:space="preserve">Luna </w:t>
      </w:r>
      <w:r>
        <w:t xml:space="preserve">y el </w:t>
      </w:r>
      <w:r w:rsidR="000F42A4">
        <w:t>Sol</w:t>
      </w:r>
      <w:r>
        <w:t>, las estrellas aparece</w:t>
      </w:r>
      <w:r w:rsidR="000F42A4">
        <w:t>rá</w:t>
      </w:r>
      <w:r>
        <w:t>n en sus constelaciones. Después de e</w:t>
      </w:r>
      <w:r w:rsidR="00095C8A">
        <w:t>ll</w:t>
      </w:r>
      <w:r>
        <w:t>o, la noche y el día se da</w:t>
      </w:r>
      <w:r w:rsidR="00095C8A">
        <w:t>rá</w:t>
      </w:r>
      <w:r>
        <w:t xml:space="preserve">n a conocer, y a su debido tiempo, el mes y </w:t>
      </w:r>
      <w:r w:rsidR="00095C8A">
        <w:t xml:space="preserve">el </w:t>
      </w:r>
      <w:r>
        <w:t>medio mes, la temporada y el año.</w:t>
      </w:r>
    </w:p>
    <w:p w14:paraId="4F24321C" w14:textId="79B5DFF6" w:rsidR="00D3077E" w:rsidRDefault="00D3077E" w:rsidP="00D3077E">
      <w:r>
        <w:t xml:space="preserve">48. </w:t>
      </w:r>
      <w:r>
        <w:tab/>
        <w:t>El día en que apare</w:t>
      </w:r>
      <w:r w:rsidR="006B724D">
        <w:t>zca</w:t>
      </w:r>
      <w:r>
        <w:t xml:space="preserve">n la </w:t>
      </w:r>
      <w:r w:rsidR="00095C8A">
        <w:t xml:space="preserve">Luna </w:t>
      </w:r>
      <w:r>
        <w:t xml:space="preserve">y el </w:t>
      </w:r>
      <w:r w:rsidR="00095C8A">
        <w:t>Sol</w:t>
      </w:r>
      <w:r>
        <w:t xml:space="preserve">, las montañas </w:t>
      </w:r>
      <w:proofErr w:type="spellStart"/>
      <w:r>
        <w:t>Sineru</w:t>
      </w:r>
      <w:proofErr w:type="spellEnd"/>
      <w:r>
        <w:t xml:space="preserve">, de la esfera </w:t>
      </w:r>
      <w:r w:rsidR="00095C8A">
        <w:t xml:space="preserve">estelar </w:t>
      </w:r>
      <w:r>
        <w:t>y l</w:t>
      </w:r>
      <w:r w:rsidR="000E13CF">
        <w:t>os</w:t>
      </w:r>
      <w:r>
        <w:t xml:space="preserve"> Himalaya</w:t>
      </w:r>
      <w:r w:rsidR="000E13CF">
        <w:t>s</w:t>
      </w:r>
      <w:r>
        <w:t xml:space="preserve"> también aparece</w:t>
      </w:r>
      <w:r w:rsidR="000E13CF">
        <w:t>rá</w:t>
      </w:r>
      <w:r>
        <w:t>n. Y aparece</w:t>
      </w:r>
      <w:r w:rsidR="000E13CF">
        <w:t>rá</w:t>
      </w:r>
      <w:r>
        <w:t xml:space="preserve">n en el día de </w:t>
      </w:r>
      <w:r w:rsidR="000E13CF">
        <w:t xml:space="preserve">Luna </w:t>
      </w:r>
      <w:r>
        <w:t xml:space="preserve">llena del mes de </w:t>
      </w:r>
      <w:proofErr w:type="spellStart"/>
      <w:r w:rsidRPr="001250AF">
        <w:rPr>
          <w:i/>
          <w:iCs/>
        </w:rPr>
        <w:t>Phagguuna</w:t>
      </w:r>
      <w:proofErr w:type="spellEnd"/>
      <w:r>
        <w:t xml:space="preserve"> (marzo), ni antes ni después. ¿Cómo? Al igual que, cuando el mijo </w:t>
      </w:r>
      <w:r w:rsidR="000E13CF">
        <w:t xml:space="preserve">se </w:t>
      </w:r>
      <w:r>
        <w:t>está cocinando y surgen burbujas, luego simultáneamente, algunas partes son cúpulas, algunas huecas y algunas planas, también, ha</w:t>
      </w:r>
      <w:r w:rsidR="005F2B43">
        <w:t>brá</w:t>
      </w:r>
      <w:r>
        <w:t xml:space="preserve"> montañas en los lugares abovedados, mares en los lugares huecos y continentes (islas) en </w:t>
      </w:r>
      <w:proofErr w:type="gramStart"/>
      <w:r>
        <w:t xml:space="preserve">el </w:t>
      </w:r>
      <w:r w:rsidR="005F2B43">
        <w:t xml:space="preserve">lugares </w:t>
      </w:r>
      <w:r>
        <w:t>planos</w:t>
      </w:r>
      <w:proofErr w:type="gramEnd"/>
      <w:r>
        <w:t>.</w:t>
      </w:r>
    </w:p>
    <w:p w14:paraId="3AA3326A" w14:textId="07717E57" w:rsidR="00D3077E" w:rsidRDefault="00D3077E" w:rsidP="00D3077E">
      <w:r>
        <w:t xml:space="preserve">49. </w:t>
      </w:r>
      <w:r>
        <w:tab/>
        <w:t>Luego, a medida que estos seres ha</w:t>
      </w:r>
      <w:r w:rsidR="005F2B43">
        <w:t>ga</w:t>
      </w:r>
      <w:r>
        <w:t>n uso del humus esencial, gradualmente algunos se v</w:t>
      </w:r>
      <w:r w:rsidR="005F2B43">
        <w:t>o</w:t>
      </w:r>
      <w:r>
        <w:t>lve</w:t>
      </w:r>
      <w:r w:rsidR="005F2B43">
        <w:t>rá</w:t>
      </w:r>
      <w:r>
        <w:t xml:space="preserve">n guapos y </w:t>
      </w:r>
      <w:r w:rsidR="005F2B43">
        <w:t xml:space="preserve">otros </w:t>
      </w:r>
      <w:r>
        <w:t>feos. Los guapos desprecia</w:t>
      </w:r>
      <w:r w:rsidR="005F2B43">
        <w:t>rá</w:t>
      </w:r>
      <w:r>
        <w:t xml:space="preserve">n a los feos. Debido al desprecio, el humus esencial </w:t>
      </w:r>
      <w:r w:rsidR="00DD6C37">
        <w:t>desaparecerá</w:t>
      </w:r>
      <w:r>
        <w:t xml:space="preserve"> y aparece</w:t>
      </w:r>
      <w:r w:rsidR="005F2B43">
        <w:t>rá</w:t>
      </w:r>
      <w:r>
        <w:t xml:space="preserve"> un </w:t>
      </w:r>
      <w:r w:rsidR="005F2B43">
        <w:t>brote</w:t>
      </w:r>
      <w:r>
        <w:t xml:space="preserve"> del suelo. Entonces eso desaparece</w:t>
      </w:r>
      <w:r w:rsidR="005F2B43">
        <w:t>rá</w:t>
      </w:r>
      <w:r>
        <w:t xml:space="preserve"> de la misma manera y aparece</w:t>
      </w:r>
      <w:r w:rsidR="005F2B43">
        <w:t>rá</w:t>
      </w:r>
      <w:r>
        <w:t xml:space="preserve"> la</w:t>
      </w:r>
      <w:r w:rsidR="00DD6C37">
        <w:t>s</w:t>
      </w:r>
      <w:r>
        <w:t xml:space="preserve"> enredadera</w:t>
      </w:r>
      <w:r w:rsidR="00DD6C37">
        <w:t>s</w:t>
      </w:r>
      <w:r>
        <w:t xml:space="preserve"> </w:t>
      </w:r>
      <w:proofErr w:type="spellStart"/>
      <w:r w:rsidRPr="001250AF">
        <w:rPr>
          <w:i/>
          <w:iCs/>
        </w:rPr>
        <w:t>Badālatā</w:t>
      </w:r>
      <w:r w:rsidR="00DD6C37" w:rsidRPr="00DD6C37">
        <w:t>s</w:t>
      </w:r>
      <w:proofErr w:type="spellEnd"/>
      <w:r>
        <w:t>. Eso también desaparece</w:t>
      </w:r>
      <w:r w:rsidR="005F2B43">
        <w:t>rá</w:t>
      </w:r>
      <w:r>
        <w:t xml:space="preserve"> de la misma manera y el arroz sin polvo rojo o cáscara que madura sin labranza, aparece</w:t>
      </w:r>
      <w:r w:rsidR="000C3CD5">
        <w:t>rá</w:t>
      </w:r>
      <w:r>
        <w:t xml:space="preserve"> un frut</w:t>
      </w:r>
      <w:r w:rsidR="000C3CD5">
        <w:t>o</w:t>
      </w:r>
      <w:r>
        <w:t xml:space="preserve"> de arroz de olor dulce </w:t>
      </w:r>
      <w:r w:rsidR="000C3CD5">
        <w:t xml:space="preserve">y </w:t>
      </w:r>
      <w:r>
        <w:t>limpi</w:t>
      </w:r>
      <w:r w:rsidR="000C3CD5">
        <w:t>o</w:t>
      </w:r>
      <w:r>
        <w:t>.</w:t>
      </w:r>
    </w:p>
    <w:p w14:paraId="21D1E8F9" w14:textId="338D4A68" w:rsidR="00D3077E" w:rsidRDefault="00D3077E" w:rsidP="00D3077E">
      <w:r>
        <w:t xml:space="preserve">50. </w:t>
      </w:r>
      <w:r>
        <w:tab/>
        <w:t>Luego aparece</w:t>
      </w:r>
      <w:r w:rsidR="000C3CD5">
        <w:t>rá</w:t>
      </w:r>
      <w:r>
        <w:t xml:space="preserve">n los </w:t>
      </w:r>
      <w:r w:rsidR="000C3CD5">
        <w:t>recipientes</w:t>
      </w:r>
      <w:r>
        <w:t>. Estos seres colocar</w:t>
      </w:r>
      <w:r w:rsidR="000C3CD5">
        <w:t>á</w:t>
      </w:r>
      <w:r>
        <w:t xml:space="preserve">n el arroz en </w:t>
      </w:r>
      <w:r w:rsidR="000C3CD5">
        <w:t>estos recipientes</w:t>
      </w:r>
      <w:r>
        <w:t xml:space="preserve">, que </w:t>
      </w:r>
      <w:r w:rsidR="00B34BA4">
        <w:t xml:space="preserve">colocarán </w:t>
      </w:r>
      <w:r>
        <w:t>en la parte superior de las piedras. Una llama aparece</w:t>
      </w:r>
      <w:r w:rsidR="00B34BA4">
        <w:t>rá</w:t>
      </w:r>
      <w:r>
        <w:t xml:space="preserve"> espontáneamente y </w:t>
      </w:r>
      <w:r w:rsidR="00B34BA4">
        <w:t xml:space="preserve">se creará </w:t>
      </w:r>
      <w:r>
        <w:t>la cocina. El arroz cocido se asemeja</w:t>
      </w:r>
      <w:r w:rsidR="00B34BA4">
        <w:t>rá</w:t>
      </w:r>
      <w:r>
        <w:t xml:space="preserve"> a las flores de jazmín. No </w:t>
      </w:r>
      <w:r w:rsidR="00B34BA4">
        <w:t xml:space="preserve">habrá </w:t>
      </w:r>
      <w:r>
        <w:t xml:space="preserve">necesidad de salsas </w:t>
      </w:r>
      <w:r w:rsidR="00B34BA4">
        <w:t>ni</w:t>
      </w:r>
      <w:r>
        <w:t xml:space="preserve"> curry, ya que ten</w:t>
      </w:r>
      <w:r w:rsidR="00B34BA4">
        <w:t>drá</w:t>
      </w:r>
      <w:r>
        <w:t xml:space="preserve"> el sabor que quieran </w:t>
      </w:r>
      <w:r w:rsidR="00A9252B">
        <w:t>degustar</w:t>
      </w:r>
      <w:r>
        <w:t>.</w:t>
      </w:r>
    </w:p>
    <w:p w14:paraId="0CE3517B" w14:textId="1429E7F0" w:rsidR="00D3077E" w:rsidRDefault="00D3077E" w:rsidP="00D3077E">
      <w:r>
        <w:t xml:space="preserve">51. </w:t>
      </w:r>
      <w:r>
        <w:tab/>
        <w:t>Tan pronto como com</w:t>
      </w:r>
      <w:r w:rsidR="00A9252B">
        <w:t>a</w:t>
      </w:r>
      <w:r>
        <w:t>n este alimento bruto, la orina y los excrementos aparece</w:t>
      </w:r>
      <w:r w:rsidR="00A9252B">
        <w:t>rá</w:t>
      </w:r>
      <w:r>
        <w:t>n en ellos. Luego, los orificios de las heridas se abr</w:t>
      </w:r>
      <w:r w:rsidR="00A9252B">
        <w:t>irá</w:t>
      </w:r>
      <w:r>
        <w:t>n en ellos para dejar salir estas cosas. El sexo masculino aparece</w:t>
      </w:r>
      <w:r w:rsidR="00A9252B">
        <w:t>rá</w:t>
      </w:r>
      <w:r>
        <w:t xml:space="preserve"> en el hombre y el sexo femenino en la mujer. Luego las hembras </w:t>
      </w:r>
      <w:r w:rsidR="00F73872">
        <w:t>observarán</w:t>
      </w:r>
      <w:r>
        <w:t xml:space="preserve"> </w:t>
      </w:r>
      <w:r w:rsidR="00F73872">
        <w:t xml:space="preserve">a </w:t>
      </w:r>
      <w:r>
        <w:t xml:space="preserve">los machos, y los machos </w:t>
      </w:r>
      <w:r w:rsidR="00F73872">
        <w:t xml:space="preserve">a </w:t>
      </w:r>
      <w:r>
        <w:t xml:space="preserve">las hembras durante mucho tiempo. Debido a este largo período de </w:t>
      </w:r>
      <w:r w:rsidR="00F73872">
        <w:t>inspección mutua</w:t>
      </w:r>
      <w:r>
        <w:t>, surg</w:t>
      </w:r>
      <w:r w:rsidR="00A835DD">
        <w:t>irá</w:t>
      </w:r>
      <w:r>
        <w:t xml:space="preserve"> la fiebre del sentido de los deseos. Después de e</w:t>
      </w:r>
      <w:r w:rsidR="00A835DD">
        <w:t>ll</w:t>
      </w:r>
      <w:r>
        <w:t>o practica</w:t>
      </w:r>
      <w:r w:rsidR="00A835DD">
        <w:t>rá</w:t>
      </w:r>
      <w:r>
        <w:t>n relaciones sexuales.</w:t>
      </w:r>
    </w:p>
    <w:p w14:paraId="17C5DA99" w14:textId="2FD539C7" w:rsidR="00D3077E" w:rsidRDefault="00D3077E" w:rsidP="00D3077E">
      <w:r>
        <w:t xml:space="preserve">52. </w:t>
      </w:r>
      <w:r>
        <w:tab/>
        <w:t xml:space="preserve">[419] Por su práctica abierta del mal, </w:t>
      </w:r>
      <w:r w:rsidR="00F73872">
        <w:t xml:space="preserve">serán </w:t>
      </w:r>
      <w:r>
        <w:t>censurados y castigados por los sabios, por lo que constru</w:t>
      </w:r>
      <w:r w:rsidR="00F73872">
        <w:t>irá</w:t>
      </w:r>
      <w:r>
        <w:t xml:space="preserve">n casas con el propósito de ocultar </w:t>
      </w:r>
      <w:r w:rsidR="00F73872">
        <w:t>tal</w:t>
      </w:r>
      <w:r>
        <w:t xml:space="preserve"> mal. Cuando viv</w:t>
      </w:r>
      <w:r w:rsidR="00F73872">
        <w:t>a</w:t>
      </w:r>
      <w:r>
        <w:t>n en casas, eventualmente cae</w:t>
      </w:r>
      <w:r w:rsidR="00F73872">
        <w:t>rá</w:t>
      </w:r>
      <w:r>
        <w:t xml:space="preserve">n </w:t>
      </w:r>
      <w:r w:rsidR="00047A3E">
        <w:t>en</w:t>
      </w:r>
      <w:r>
        <w:t xml:space="preserve"> </w:t>
      </w:r>
      <w:r w:rsidR="00F73872">
        <w:t>puntos de vista ociosos</w:t>
      </w:r>
      <w:r>
        <w:t>, y ha</w:t>
      </w:r>
      <w:r w:rsidR="00F73872">
        <w:t>rá</w:t>
      </w:r>
      <w:r>
        <w:t>n tiendas de comida. Tan pronto como</w:t>
      </w:r>
    </w:p>
    <w:p w14:paraId="752DE831" w14:textId="77777777" w:rsidR="00D3077E" w:rsidRDefault="00D3077E">
      <w:pPr>
        <w:tabs>
          <w:tab w:val="clear" w:pos="425"/>
        </w:tabs>
        <w:spacing w:after="160"/>
      </w:pPr>
      <w:r>
        <w:br w:type="page"/>
      </w:r>
    </w:p>
    <w:p w14:paraId="024EFBA7" w14:textId="77777777" w:rsidR="00D3077E" w:rsidRDefault="00D3077E" w:rsidP="00D3077E"/>
    <w:p w14:paraId="3D20E643" w14:textId="26DDE3EC" w:rsidR="00C52B30" w:rsidRDefault="00F73872" w:rsidP="00C52B30">
      <w:r>
        <w:t>l</w:t>
      </w:r>
      <w:r w:rsidR="00C52B30">
        <w:t>o ha</w:t>
      </w:r>
      <w:r>
        <w:t>ga</w:t>
      </w:r>
      <w:r w:rsidR="00C52B30">
        <w:t xml:space="preserve">n, el arroz se </w:t>
      </w:r>
      <w:r>
        <w:t>cubrirá de</w:t>
      </w:r>
      <w:r w:rsidR="00C52B30">
        <w:t xml:space="preserve"> polvo rojo y cáscaras y ya no v</w:t>
      </w:r>
      <w:r>
        <w:t>o</w:t>
      </w:r>
      <w:r w:rsidR="00C52B30">
        <w:t>lve</w:t>
      </w:r>
      <w:r>
        <w:t>rá</w:t>
      </w:r>
      <w:r w:rsidR="00C52B30">
        <w:t xml:space="preserve"> a crecer en el lugar donde se cosech</w:t>
      </w:r>
      <w:r>
        <w:t>aba</w:t>
      </w:r>
      <w:r w:rsidR="00C52B30">
        <w:t xml:space="preserve">. </w:t>
      </w:r>
      <w:r w:rsidR="000910FB">
        <w:t>Ellos s</w:t>
      </w:r>
      <w:r w:rsidR="00C52B30">
        <w:t>e re</w:t>
      </w:r>
      <w:r w:rsidR="000910FB">
        <w:t>u</w:t>
      </w:r>
      <w:r w:rsidR="00C52B30">
        <w:t>n</w:t>
      </w:r>
      <w:r w:rsidR="000910FB">
        <w:t>irá</w:t>
      </w:r>
      <w:r w:rsidR="00C52B30">
        <w:t>n y lamenta</w:t>
      </w:r>
      <w:r w:rsidR="000910FB">
        <w:t>rá</w:t>
      </w:r>
      <w:r w:rsidR="00C52B30">
        <w:t xml:space="preserve">n el hecho: “El mal seguramente ha hecho su aparición entre los seres; </w:t>
      </w:r>
      <w:r w:rsidR="000910FB">
        <w:t xml:space="preserve">ya </w:t>
      </w:r>
      <w:r w:rsidR="00C52B30">
        <w:t xml:space="preserve">que anteriormente estábamos hechos </w:t>
      </w:r>
      <w:r w:rsidR="000910FB">
        <w:t xml:space="preserve">de </w:t>
      </w:r>
      <w:r w:rsidR="00C52B30">
        <w:t>mente</w:t>
      </w:r>
      <w:r w:rsidR="000910FB">
        <w:t xml:space="preserve"> </w:t>
      </w:r>
      <w:proofErr w:type="gramStart"/>
      <w:r w:rsidR="00C52B30">
        <w:t>... ”</w:t>
      </w:r>
      <w:proofErr w:type="gramEnd"/>
      <w:r w:rsidR="00C52B30">
        <w:t xml:space="preserve">(D III 90), y todo esto debería administrarse en su totalidad </w:t>
      </w:r>
      <w:r w:rsidR="00047A3E">
        <w:t xml:space="preserve">según la </w:t>
      </w:r>
      <w:r w:rsidR="00C52B30">
        <w:t>descri</w:t>
      </w:r>
      <w:r w:rsidR="00047A3E">
        <w:t>pción</w:t>
      </w:r>
      <w:r w:rsidR="00C52B30">
        <w:t xml:space="preserve"> </w:t>
      </w:r>
      <w:r w:rsidR="00047A3E">
        <w:t>d</w:t>
      </w:r>
      <w:r w:rsidR="00C52B30">
        <w:t xml:space="preserve">el </w:t>
      </w:r>
      <w:proofErr w:type="spellStart"/>
      <w:r w:rsidR="00C52B30" w:rsidRPr="001250AF">
        <w:rPr>
          <w:i/>
          <w:iCs/>
        </w:rPr>
        <w:t>Aggañaña</w:t>
      </w:r>
      <w:proofErr w:type="spellEnd"/>
      <w:r w:rsidR="00C52B30" w:rsidRPr="001250AF">
        <w:rPr>
          <w:i/>
          <w:iCs/>
        </w:rPr>
        <w:t xml:space="preserve"> Sutta</w:t>
      </w:r>
      <w:r w:rsidR="00C52B30">
        <w:t>.</w:t>
      </w:r>
    </w:p>
    <w:p w14:paraId="322E6CC9" w14:textId="7E637B78" w:rsidR="00C52B30" w:rsidRDefault="00C52B30" w:rsidP="00C52B30">
      <w:r>
        <w:t xml:space="preserve">53. </w:t>
      </w:r>
      <w:r>
        <w:tab/>
        <w:t>Después de e</w:t>
      </w:r>
      <w:r w:rsidR="000910FB">
        <w:t>ll</w:t>
      </w:r>
      <w:r>
        <w:t xml:space="preserve">o, </w:t>
      </w:r>
      <w:r w:rsidR="000910FB">
        <w:t xml:space="preserve">se </w:t>
      </w:r>
      <w:r>
        <w:t>establecer</w:t>
      </w:r>
      <w:r w:rsidR="000A23B7">
        <w:t>á</w:t>
      </w:r>
      <w:r>
        <w:t xml:space="preserve">n </w:t>
      </w:r>
      <w:r w:rsidR="000910FB">
        <w:t xml:space="preserve">los </w:t>
      </w:r>
      <w:r>
        <w:t>límites</w:t>
      </w:r>
      <w:r w:rsidR="000910FB">
        <w:t xml:space="preserve"> de propiedad</w:t>
      </w:r>
      <w:r>
        <w:t>. Luego, algunos se lleva</w:t>
      </w:r>
      <w:r w:rsidR="00407278">
        <w:t>r</w:t>
      </w:r>
      <w:r w:rsidR="002209E5">
        <w:t>á</w:t>
      </w:r>
      <w:r>
        <w:t xml:space="preserve">n una porción dada </w:t>
      </w:r>
      <w:r w:rsidR="002209E5">
        <w:t>de la</w:t>
      </w:r>
      <w:r>
        <w:t xml:space="preserve"> otra. Después de haber sido reprendido dos veces, por tercera vez </w:t>
      </w:r>
      <w:r w:rsidR="00407278">
        <w:t xml:space="preserve">se </w:t>
      </w:r>
      <w:r>
        <w:t>llega</w:t>
      </w:r>
      <w:r w:rsidR="00407278">
        <w:t>r</w:t>
      </w:r>
      <w:r w:rsidR="002209E5">
        <w:t>á</w:t>
      </w:r>
      <w:r>
        <w:t xml:space="preserve">n a golpear con puños, terrones, palos, etc. Al robar, censurar, mentir, recurrir a palos, etc., </w:t>
      </w:r>
      <w:r w:rsidR="004F2938">
        <w:t xml:space="preserve">y al </w:t>
      </w:r>
      <w:r>
        <w:t>ha</w:t>
      </w:r>
      <w:r w:rsidR="004F2938">
        <w:t>ber</w:t>
      </w:r>
      <w:r>
        <w:t xml:space="preserve"> aparecido </w:t>
      </w:r>
      <w:r w:rsidR="004F2938">
        <w:t>así</w:t>
      </w:r>
      <w:r>
        <w:t>, se enc</w:t>
      </w:r>
      <w:r w:rsidR="004F2938">
        <w:t>o</w:t>
      </w:r>
      <w:r>
        <w:t>ntra</w:t>
      </w:r>
      <w:r w:rsidR="004F2938">
        <w:t>rá</w:t>
      </w:r>
      <w:r>
        <w:t>n juntos, pensando: “Suponga que eli</w:t>
      </w:r>
      <w:r w:rsidR="009D0D1C">
        <w:t>ja</w:t>
      </w:r>
      <w:r>
        <w:t xml:space="preserve">mos </w:t>
      </w:r>
      <w:r w:rsidR="004F2938">
        <w:t xml:space="preserve">a </w:t>
      </w:r>
      <w:r>
        <w:t>un ser que reprendi</w:t>
      </w:r>
      <w:r w:rsidR="009D0D1C">
        <w:t>e</w:t>
      </w:r>
      <w:r>
        <w:t xml:space="preserve">ra a los que deberían ser reprendidos, censurar a aquellos que </w:t>
      </w:r>
      <w:r w:rsidR="00D6346A">
        <w:t xml:space="preserve">deberían </w:t>
      </w:r>
      <w:r>
        <w:t>ser censurados y desterra</w:t>
      </w:r>
      <w:r w:rsidR="000570B2">
        <w:t>r a</w:t>
      </w:r>
      <w:r>
        <w:t xml:space="preserve"> </w:t>
      </w:r>
      <w:r w:rsidR="000570B2">
        <w:t>a</w:t>
      </w:r>
      <w:r>
        <w:t>quellos que deb</w:t>
      </w:r>
      <w:r w:rsidR="000570B2">
        <w:t>a</w:t>
      </w:r>
      <w:r>
        <w:t>n ser desterrados y supongamos que lo manten</w:t>
      </w:r>
      <w:r w:rsidR="000570B2">
        <w:t>ga</w:t>
      </w:r>
      <w:r>
        <w:t>mos suministr</w:t>
      </w:r>
      <w:r w:rsidR="000570B2">
        <w:t>án</w:t>
      </w:r>
      <w:r>
        <w:t>do</w:t>
      </w:r>
      <w:r w:rsidR="000570B2">
        <w:t>le</w:t>
      </w:r>
      <w:r>
        <w:t xml:space="preserve"> una parte del arroz? (D III 92).</w:t>
      </w:r>
    </w:p>
    <w:p w14:paraId="3A1029B2" w14:textId="72B5F392" w:rsidR="00C52B30" w:rsidRDefault="00C52B30" w:rsidP="00C52B30">
      <w:r>
        <w:t xml:space="preserve">54. </w:t>
      </w:r>
      <w:r>
        <w:tab/>
        <w:t>Cuando los seres lleg</w:t>
      </w:r>
      <w:r w:rsidR="00B56B98">
        <w:t>aro</w:t>
      </w:r>
      <w:r w:rsidR="002B73DB">
        <w:t>n</w:t>
      </w:r>
      <w:r>
        <w:t xml:space="preserve"> a un acuerdo </w:t>
      </w:r>
      <w:r w:rsidR="00E36991">
        <w:t>así</w:t>
      </w:r>
      <w:r>
        <w:t xml:space="preserve"> en est</w:t>
      </w:r>
      <w:r w:rsidR="002B73DB">
        <w:t>e</w:t>
      </w:r>
      <w:r>
        <w:t xml:space="preserve"> </w:t>
      </w:r>
      <w:r w:rsidR="00B56B98">
        <w:t xml:space="preserve">presente </w:t>
      </w:r>
      <w:r>
        <w:t xml:space="preserve">eón, en primer lugar, este </w:t>
      </w:r>
      <w:r w:rsidR="00B56B98" w:rsidRPr="00786123">
        <w:rPr>
          <w:i/>
          <w:iCs/>
        </w:rPr>
        <w:t>Bhagavā</w:t>
      </w:r>
      <w:r w:rsidR="00B56B98">
        <w:t xml:space="preserve"> </w:t>
      </w:r>
      <w:r>
        <w:t xml:space="preserve">mismo, que entonces era </w:t>
      </w:r>
      <w:r w:rsidR="00E36991">
        <w:t>un</w:t>
      </w:r>
      <w:r>
        <w:t xml:space="preserve"> </w:t>
      </w:r>
      <w:r w:rsidR="00057BF4" w:rsidRPr="00057BF4">
        <w:rPr>
          <w:i/>
        </w:rPr>
        <w:t>Bodhisatta</w:t>
      </w:r>
      <w:r>
        <w:t xml:space="preserve"> (</w:t>
      </w:r>
      <w:r w:rsidR="00786123">
        <w:t>aquel a ser</w:t>
      </w:r>
      <w:r>
        <w:t xml:space="preserve"> iluminado), era el más guapo, el más honorable, y era inteligente</w:t>
      </w:r>
      <w:r w:rsidR="00E36991">
        <w:t>,</w:t>
      </w:r>
      <w:r>
        <w:t xml:space="preserve"> capaz de ejercer el esfuerzo de </w:t>
      </w:r>
      <w:r w:rsidR="00E36991">
        <w:t xml:space="preserve">la </w:t>
      </w:r>
      <w:r>
        <w:t xml:space="preserve">restricción. Se acercaron a él, le </w:t>
      </w:r>
      <w:r w:rsidR="00786123">
        <w:t>solicitaron</w:t>
      </w:r>
      <w:r>
        <w:t xml:space="preserve"> y lo eligieron. Desde que fue reconocido (</w:t>
      </w:r>
      <w:proofErr w:type="spellStart"/>
      <w:r w:rsidRPr="009D0D1C">
        <w:rPr>
          <w:i/>
          <w:iCs/>
        </w:rPr>
        <w:t>Sammata</w:t>
      </w:r>
      <w:proofErr w:type="spellEnd"/>
      <w:r>
        <w:t>) por la mayoría (</w:t>
      </w:r>
      <w:r w:rsidRPr="00786123">
        <w:rPr>
          <w:i/>
          <w:iCs/>
        </w:rPr>
        <w:t>Mahā-Jana</w:t>
      </w:r>
      <w:r>
        <w:t xml:space="preserve">) fue llamado </w:t>
      </w:r>
      <w:r w:rsidRPr="00786123">
        <w:rPr>
          <w:i/>
          <w:iCs/>
        </w:rPr>
        <w:t xml:space="preserve">Mahā </w:t>
      </w:r>
      <w:proofErr w:type="spellStart"/>
      <w:r w:rsidRPr="00786123">
        <w:rPr>
          <w:i/>
          <w:iCs/>
        </w:rPr>
        <w:t>Sammata</w:t>
      </w:r>
      <w:proofErr w:type="spellEnd"/>
      <w:r>
        <w:t xml:space="preserve">. Desde que </w:t>
      </w:r>
      <w:r w:rsidR="00E36991">
        <w:t xml:space="preserve">fue </w:t>
      </w:r>
      <w:r>
        <w:t>señor de los campos (</w:t>
      </w:r>
      <w:proofErr w:type="spellStart"/>
      <w:r w:rsidRPr="009D0D1C">
        <w:rPr>
          <w:i/>
          <w:iCs/>
        </w:rPr>
        <w:t>Khetta</w:t>
      </w:r>
      <w:proofErr w:type="spellEnd"/>
      <w:r>
        <w:t xml:space="preserve">), se </w:t>
      </w:r>
      <w:r w:rsidR="00E36991">
        <w:t xml:space="preserve">le </w:t>
      </w:r>
      <w:r>
        <w:t>llam</w:t>
      </w:r>
      <w:r w:rsidR="00E36991">
        <w:t>ó</w:t>
      </w:r>
      <w:r>
        <w:t xml:space="preserve"> </w:t>
      </w:r>
      <w:proofErr w:type="spellStart"/>
      <w:r w:rsidRPr="009D0D1C">
        <w:rPr>
          <w:i/>
          <w:iCs/>
        </w:rPr>
        <w:t>Khattiya</w:t>
      </w:r>
      <w:proofErr w:type="spellEnd"/>
      <w:r>
        <w:t xml:space="preserve"> (Noble</w:t>
      </w:r>
      <w:r w:rsidR="00786123">
        <w:t xml:space="preserve"> Guerrero</w:t>
      </w:r>
      <w:r>
        <w:t>). Desde que promov</w:t>
      </w:r>
      <w:r w:rsidR="00786123">
        <w:t>ía</w:t>
      </w:r>
      <w:r>
        <w:t xml:space="preserve"> el bien (</w:t>
      </w:r>
      <w:proofErr w:type="spellStart"/>
      <w:r w:rsidRPr="009D0D1C">
        <w:rPr>
          <w:i/>
          <w:iCs/>
        </w:rPr>
        <w:t>rameti</w:t>
      </w:r>
      <w:proofErr w:type="spellEnd"/>
      <w:r>
        <w:t xml:space="preserve">) de los demás, </w:t>
      </w:r>
      <w:r w:rsidR="00517EF2">
        <w:t xml:space="preserve">se le llamó </w:t>
      </w:r>
      <w:r>
        <w:t>rey (</w:t>
      </w:r>
      <w:proofErr w:type="spellStart"/>
      <w:r w:rsidRPr="009D0D1C">
        <w:rPr>
          <w:i/>
          <w:iCs/>
        </w:rPr>
        <w:t>rājā</w:t>
      </w:r>
      <w:proofErr w:type="spellEnd"/>
      <w:r>
        <w:t xml:space="preserve">). Así es como llegó a ser conocido por estos nombres. </w:t>
      </w:r>
      <w:r w:rsidR="00D7570A">
        <w:t xml:space="preserve">Ya que es </w:t>
      </w:r>
      <w:r w:rsidR="00517EF2">
        <w:t xml:space="preserve">un </w:t>
      </w:r>
      <w:r w:rsidR="00057BF4" w:rsidRPr="00057BF4">
        <w:rPr>
          <w:i/>
        </w:rPr>
        <w:t>Bodhisatta</w:t>
      </w:r>
      <w:r>
        <w:t xml:space="preserve"> el primer hombre preocupado en cualquier innovación maravillosa en el mundo. Entonces, después de que se estableció el círculo de </w:t>
      </w:r>
      <w:proofErr w:type="spellStart"/>
      <w:r w:rsidRPr="009D0D1C">
        <w:rPr>
          <w:i/>
          <w:iCs/>
        </w:rPr>
        <w:t>Khattiya</w:t>
      </w:r>
      <w:proofErr w:type="spellEnd"/>
      <w:r>
        <w:t xml:space="preserve"> haciendo que el </w:t>
      </w:r>
      <w:r w:rsidR="00057BF4" w:rsidRPr="00057BF4">
        <w:rPr>
          <w:i/>
        </w:rPr>
        <w:t>Bodhisatta</w:t>
      </w:r>
      <w:r>
        <w:t xml:space="preserve"> sea el primero de esta manera, los </w:t>
      </w:r>
      <w:r w:rsidRPr="00D7570A">
        <w:rPr>
          <w:i/>
          <w:iCs/>
        </w:rPr>
        <w:t>brahmanes</w:t>
      </w:r>
      <w:r>
        <w:t xml:space="preserve"> y las otras castas se fundaron en debid</w:t>
      </w:r>
      <w:r w:rsidR="00D7570A">
        <w:t>a</w:t>
      </w:r>
      <w:r>
        <w:t xml:space="preserve"> sucesión.</w:t>
      </w:r>
    </w:p>
    <w:p w14:paraId="191C60DE" w14:textId="01CE2F53" w:rsidR="00C52B30" w:rsidRDefault="00C52B30" w:rsidP="00C52B30">
      <w:r>
        <w:t xml:space="preserve">55. </w:t>
      </w:r>
      <w:r>
        <w:tab/>
        <w:t xml:space="preserve">Aquí, el período desde la época de la Gran </w:t>
      </w:r>
      <w:r w:rsidR="00D7570A">
        <w:t>Nube</w:t>
      </w:r>
      <w:r>
        <w:t xml:space="preserve"> que anuncia</w:t>
      </w:r>
      <w:r w:rsidR="00D7570A">
        <w:t>ba</w:t>
      </w:r>
      <w:r>
        <w:t xml:space="preserve"> la destrucción del eón hasta que cesa</w:t>
      </w:r>
      <w:r w:rsidR="00D7570A">
        <w:t>n</w:t>
      </w:r>
      <w:r>
        <w:t xml:space="preserve"> las llamas constituye un incalculable, y </w:t>
      </w:r>
      <w:r w:rsidR="00D7570A">
        <w:t xml:space="preserve">a </w:t>
      </w:r>
      <w:r>
        <w:t xml:space="preserve">eso se llama "contracción". </w:t>
      </w:r>
      <w:r w:rsidR="00D7570A">
        <w:t>Desde</w:t>
      </w:r>
      <w:r>
        <w:t xml:space="preserve"> la cesa</w:t>
      </w:r>
      <w:r w:rsidR="00D7570A">
        <w:t>ción</w:t>
      </w:r>
      <w:r>
        <w:t xml:space="preserve"> de las llamas de la destrucción de</w:t>
      </w:r>
      <w:r w:rsidR="00B77063">
        <w:t>l</w:t>
      </w:r>
      <w:r>
        <w:t xml:space="preserve"> </w:t>
      </w:r>
      <w:r w:rsidR="00B77063">
        <w:t xml:space="preserve">eón </w:t>
      </w:r>
      <w:r>
        <w:t xml:space="preserve">hasta la gran nube de rehabilitación, que </w:t>
      </w:r>
      <w:r w:rsidR="00E62EA8">
        <w:t xml:space="preserve">es cuando </w:t>
      </w:r>
      <w:r>
        <w:t xml:space="preserve">llueve sobre los </w:t>
      </w:r>
      <w:r w:rsidR="00770122">
        <w:t xml:space="preserve">100,000’000,000 </w:t>
      </w:r>
      <w:r>
        <w:t xml:space="preserve">de esferas </w:t>
      </w:r>
      <w:r w:rsidR="00E62EA8">
        <w:t>estelares</w:t>
      </w:r>
      <w:r>
        <w:t xml:space="preserve">, constituye </w:t>
      </w:r>
      <w:r w:rsidR="00E62EA8">
        <w:t>e</w:t>
      </w:r>
      <w:r>
        <w:t>l segund</w:t>
      </w:r>
      <w:r w:rsidR="00E62EA8">
        <w:t>o</w:t>
      </w:r>
      <w:r>
        <w:t xml:space="preserve"> incalculable, y </w:t>
      </w:r>
      <w:r w:rsidR="00130CAB">
        <w:t xml:space="preserve">a </w:t>
      </w:r>
      <w:r>
        <w:t xml:space="preserve">eso se </w:t>
      </w:r>
      <w:r w:rsidR="00130CAB">
        <w:t xml:space="preserve">le </w:t>
      </w:r>
      <w:r>
        <w:t xml:space="preserve">llama "lo que reemplaza </w:t>
      </w:r>
      <w:r w:rsidR="00770122">
        <w:t xml:space="preserve">a </w:t>
      </w:r>
      <w:r>
        <w:t xml:space="preserve">la contracción". </w:t>
      </w:r>
      <w:r w:rsidR="00130CAB">
        <w:t>Lo que corresponde</w:t>
      </w:r>
      <w:r>
        <w:t xml:space="preserve"> </w:t>
      </w:r>
      <w:r w:rsidR="00770122">
        <w:t>a</w:t>
      </w:r>
      <w:r>
        <w:t xml:space="preserve"> la época de</w:t>
      </w:r>
      <w:r w:rsidR="00770122">
        <w:t>sde</w:t>
      </w:r>
      <w:r>
        <w:t xml:space="preserve"> la gran nube de rehabilitación hasta la aparición de la </w:t>
      </w:r>
      <w:r w:rsidR="00130CAB">
        <w:t xml:space="preserve">Luna </w:t>
      </w:r>
      <w:r>
        <w:t xml:space="preserve">y el </w:t>
      </w:r>
      <w:r w:rsidR="00130CAB">
        <w:t xml:space="preserve">Sol </w:t>
      </w:r>
      <w:r>
        <w:t>constituye el tercer</w:t>
      </w:r>
      <w:r w:rsidR="00130CAB">
        <w:t xml:space="preserve"> </w:t>
      </w:r>
      <w:r>
        <w:t xml:space="preserve">incalculable, y </w:t>
      </w:r>
      <w:r w:rsidR="00130CAB">
        <w:t xml:space="preserve">a </w:t>
      </w:r>
      <w:r>
        <w:t>e</w:t>
      </w:r>
      <w:r w:rsidR="00130CAB">
        <w:t>ll</w:t>
      </w:r>
      <w:r>
        <w:t xml:space="preserve">o se </w:t>
      </w:r>
      <w:r w:rsidR="00770122">
        <w:t xml:space="preserve">le </w:t>
      </w:r>
      <w:r>
        <w:t xml:space="preserve">llama "expansión". </w:t>
      </w:r>
      <w:r w:rsidR="00130CAB">
        <w:t xml:space="preserve">Aquel </w:t>
      </w:r>
      <w:r w:rsidR="003E31A8">
        <w:t>periodo desde</w:t>
      </w:r>
      <w:r>
        <w:t xml:space="preserve"> la aparición de la </w:t>
      </w:r>
      <w:r w:rsidR="003E31A8">
        <w:t xml:space="preserve">Luna </w:t>
      </w:r>
      <w:r>
        <w:t xml:space="preserve">y el </w:t>
      </w:r>
      <w:r w:rsidR="003E31A8">
        <w:t xml:space="preserve">Sol </w:t>
      </w:r>
      <w:r>
        <w:t>hasta [420] la reaparición de la gran nube de la destrucción de</w:t>
      </w:r>
      <w:r w:rsidR="003E31A8">
        <w:t>l</w:t>
      </w:r>
      <w:r>
        <w:t xml:space="preserve"> </w:t>
      </w:r>
      <w:r w:rsidR="00B77063">
        <w:t xml:space="preserve">eón </w:t>
      </w:r>
      <w:r w:rsidR="00770122">
        <w:t>corresponde a</w:t>
      </w:r>
      <w:r>
        <w:t>l cuart</w:t>
      </w:r>
      <w:r w:rsidR="003E31A8">
        <w:t>o</w:t>
      </w:r>
      <w:r>
        <w:t xml:space="preserve"> incalculable, y </w:t>
      </w:r>
      <w:r w:rsidR="003E31A8">
        <w:t xml:space="preserve">a </w:t>
      </w:r>
      <w:r>
        <w:t>e</w:t>
      </w:r>
      <w:r w:rsidR="003E31A8">
        <w:t>ll</w:t>
      </w:r>
      <w:r>
        <w:t xml:space="preserve">o se </w:t>
      </w:r>
      <w:r w:rsidR="00E058C1">
        <w:t xml:space="preserve">le </w:t>
      </w:r>
      <w:r>
        <w:t xml:space="preserve">llama "lo que reemplaza </w:t>
      </w:r>
      <w:r w:rsidR="00770122">
        <w:t xml:space="preserve">a </w:t>
      </w:r>
      <w:r>
        <w:t xml:space="preserve">la expansión". Estos cuatro incalculables constituyen un gran eón. Esto, en primer lugar, es cómo se debe entender </w:t>
      </w:r>
      <w:r w:rsidR="00770122">
        <w:t xml:space="preserve">a </w:t>
      </w:r>
      <w:r>
        <w:t xml:space="preserve">la destrucción </w:t>
      </w:r>
      <w:r w:rsidR="00770122">
        <w:t xml:space="preserve">mediante </w:t>
      </w:r>
      <w:proofErr w:type="spellStart"/>
      <w:r w:rsidR="00770122">
        <w:t>el</w:t>
      </w:r>
      <w:r>
        <w:t>fuego</w:t>
      </w:r>
      <w:proofErr w:type="spellEnd"/>
      <w:r>
        <w:t xml:space="preserve"> y </w:t>
      </w:r>
      <w:r w:rsidR="00770122">
        <w:t>la</w:t>
      </w:r>
      <w:r w:rsidR="00993FD5">
        <w:t xml:space="preserve"> </w:t>
      </w:r>
      <w:r>
        <w:t>reconstitución.</w:t>
      </w:r>
    </w:p>
    <w:p w14:paraId="70BCD7E6" w14:textId="730C063B" w:rsidR="00C52B30" w:rsidRDefault="00C52B30" w:rsidP="00C52B30">
      <w:r>
        <w:t xml:space="preserve">56. </w:t>
      </w:r>
      <w:r>
        <w:tab/>
        <w:t xml:space="preserve">La ocasión en que el eón es destruido por el agua debe tratarse de la manera que ya se </w:t>
      </w:r>
      <w:r w:rsidR="00993FD5">
        <w:t xml:space="preserve">ha </w:t>
      </w:r>
      <w:r>
        <w:t>descri</w:t>
      </w:r>
      <w:r w:rsidR="00993FD5">
        <w:t>to</w:t>
      </w:r>
      <w:r>
        <w:t xml:space="preserve"> al comienzo, "en primer lugar, </w:t>
      </w:r>
      <w:r w:rsidR="00D328DA">
        <w:t>aparece</w:t>
      </w:r>
      <w:r w:rsidR="00993FD5">
        <w:t>rá</w:t>
      </w:r>
      <w:r w:rsidR="00D328DA">
        <w:t xml:space="preserve"> </w:t>
      </w:r>
      <w:r>
        <w:t>una gran nube que anuncia</w:t>
      </w:r>
      <w:r w:rsidR="00993FD5">
        <w:t>rá</w:t>
      </w:r>
      <w:r>
        <w:t xml:space="preserve"> la destrucción del eón..." (§32).</w:t>
      </w:r>
    </w:p>
    <w:p w14:paraId="17B375B0" w14:textId="55A9A129" w:rsidR="00C52B30" w:rsidRDefault="00C52B30" w:rsidP="00C52B30">
      <w:r>
        <w:t xml:space="preserve">57. </w:t>
      </w:r>
      <w:r>
        <w:tab/>
        <w:t xml:space="preserve">Sin embargo, existe esta diferencia. Mientras que en el primer caso apareció un segundo </w:t>
      </w:r>
      <w:r w:rsidR="00D328DA">
        <w:t>Sol</w:t>
      </w:r>
      <w:r>
        <w:t>, en este caso aparece</w:t>
      </w:r>
      <w:r w:rsidR="00993FD5">
        <w:t>rá</w:t>
      </w:r>
      <w:r>
        <w:t xml:space="preserve"> una gran nube de aguas cáusticas</w:t>
      </w:r>
      <w:r w:rsidRPr="00207128">
        <w:rPr>
          <w:vertAlign w:val="superscript"/>
        </w:rPr>
        <w:t>15</w:t>
      </w:r>
      <w:r>
        <w:t xml:space="preserve">. Al principio </w:t>
      </w:r>
      <w:r w:rsidR="00993FD5">
        <w:t xml:space="preserve">lloverá </w:t>
      </w:r>
      <w:r>
        <w:t xml:space="preserve">muy </w:t>
      </w:r>
    </w:p>
    <w:p w14:paraId="5AB6A067" w14:textId="5D2005C4" w:rsidR="00C52B30" w:rsidRPr="00C52B30" w:rsidRDefault="00C52B30" w:rsidP="00C52B30">
      <w:pPr>
        <w:pStyle w:val="PiedepginaLegal"/>
        <w:rPr>
          <w:u w:val="single"/>
        </w:rPr>
      </w:pPr>
      <w:r w:rsidRPr="00C52B30">
        <w:rPr>
          <w:u w:val="single"/>
        </w:rPr>
        <w:t xml:space="preserve">                                                                                                                                            .</w:t>
      </w:r>
    </w:p>
    <w:p w14:paraId="71BD7029" w14:textId="6F5D5FCB" w:rsidR="00D3077E" w:rsidRDefault="00C52B30" w:rsidP="00C52B30">
      <w:pPr>
        <w:pStyle w:val="PiedepginaLegal"/>
      </w:pPr>
      <w:r>
        <w:t xml:space="preserve">15. </w:t>
      </w:r>
      <w:r>
        <w:tab/>
      </w:r>
      <w:proofErr w:type="spellStart"/>
      <w:r w:rsidRPr="00B77063">
        <w:rPr>
          <w:i/>
          <w:iCs/>
        </w:rPr>
        <w:t>Khārudaka</w:t>
      </w:r>
      <w:proofErr w:type="spellEnd"/>
      <w:r>
        <w:t xml:space="preserve">— "Aguas cáusticas": el nombre </w:t>
      </w:r>
      <w:r w:rsidR="00F017B1">
        <w:t>asignado</w:t>
      </w:r>
      <w:r>
        <w:t xml:space="preserve"> a las aguas en las que descansan las esferas </w:t>
      </w:r>
      <w:r w:rsidR="00F13E66">
        <w:t>estelares</w:t>
      </w:r>
      <w:r>
        <w:t xml:space="preserve"> (ver M-A IV 178).</w:t>
      </w:r>
    </w:p>
    <w:p w14:paraId="5F7F7CAB" w14:textId="6FC5F869" w:rsidR="00C52B30" w:rsidRDefault="00C52B30">
      <w:pPr>
        <w:tabs>
          <w:tab w:val="clear" w:pos="425"/>
        </w:tabs>
        <w:spacing w:after="160"/>
      </w:pPr>
      <w:r>
        <w:br w:type="page"/>
      </w:r>
    </w:p>
    <w:p w14:paraId="18D7C297" w14:textId="77777777" w:rsidR="00964971" w:rsidRDefault="00964971" w:rsidP="00964971"/>
    <w:p w14:paraId="20663F2B" w14:textId="0117AFF3" w:rsidR="00812D58" w:rsidRDefault="00302B2E" w:rsidP="00812D58">
      <w:r>
        <w:t xml:space="preserve">suavemente, pero </w:t>
      </w:r>
      <w:r w:rsidR="003A5E0B">
        <w:t xml:space="preserve">luego </w:t>
      </w:r>
      <w:r w:rsidR="00E86C4D">
        <w:t>le pros</w:t>
      </w:r>
      <w:r w:rsidR="003A5E0B">
        <w:t>e</w:t>
      </w:r>
      <w:r w:rsidR="00E86C4D">
        <w:t>gu</w:t>
      </w:r>
      <w:r w:rsidR="003A5E0B">
        <w:t>irá</w:t>
      </w:r>
      <w:r>
        <w:t xml:space="preserve"> </w:t>
      </w:r>
      <w:r w:rsidR="00812D58">
        <w:t>ll</w:t>
      </w:r>
      <w:r w:rsidR="00E86C4D">
        <w:t>uvia</w:t>
      </w:r>
      <w:r w:rsidR="009C2522">
        <w:t>s</w:t>
      </w:r>
      <w:r w:rsidR="00812D58">
        <w:t xml:space="preserve"> gradualmente mayores</w:t>
      </w:r>
      <w:r w:rsidR="009C2522">
        <w:t xml:space="preserve"> a modalidad de diluvios</w:t>
      </w:r>
      <w:r w:rsidR="00812D58">
        <w:t xml:space="preserve">, </w:t>
      </w:r>
      <w:r w:rsidR="00E86C4D">
        <w:t>los cuales s</w:t>
      </w:r>
      <w:r w:rsidR="009C2522">
        <w:t>erá</w:t>
      </w:r>
      <w:r w:rsidR="00E86C4D">
        <w:t xml:space="preserve">n vertidos </w:t>
      </w:r>
      <w:r w:rsidR="00812D58">
        <w:t xml:space="preserve">sobre los </w:t>
      </w:r>
      <w:r w:rsidR="003964DF">
        <w:t>100,000’</w:t>
      </w:r>
      <w:r w:rsidR="006C2BC3">
        <w:t>000,000</w:t>
      </w:r>
      <w:r w:rsidR="00812D58">
        <w:t xml:space="preserve"> de esferas </w:t>
      </w:r>
      <w:r w:rsidR="00E86C4D">
        <w:t>estelares</w:t>
      </w:r>
      <w:r w:rsidR="00812D58">
        <w:t xml:space="preserve">. Tan pronto como </w:t>
      </w:r>
      <w:r w:rsidR="00DB5DB5">
        <w:t xml:space="preserve">la tierra </w:t>
      </w:r>
      <w:r w:rsidR="008E2115">
        <w:t>ha</w:t>
      </w:r>
      <w:r w:rsidR="006C2BC3">
        <w:t>ga</w:t>
      </w:r>
      <w:r w:rsidR="008E2115">
        <w:t xml:space="preserve"> contacto</w:t>
      </w:r>
      <w:r w:rsidR="00812D58">
        <w:t xml:space="preserve"> </w:t>
      </w:r>
      <w:r w:rsidR="00DB5DB5">
        <w:t xml:space="preserve">con </w:t>
      </w:r>
      <w:r w:rsidR="00812D58">
        <w:t>las aguas cáusticas, la tierra, las montañas, etc., se derr</w:t>
      </w:r>
      <w:r w:rsidR="006C2BC3">
        <w:t>e</w:t>
      </w:r>
      <w:r w:rsidR="00812D58">
        <w:t>t</w:t>
      </w:r>
      <w:r w:rsidR="006C2BC3">
        <w:t>irá</w:t>
      </w:r>
      <w:r w:rsidR="00812D58">
        <w:t xml:space="preserve">n, y las aguas </w:t>
      </w:r>
      <w:r w:rsidR="006C2BC3">
        <w:t>serán soportadas</w:t>
      </w:r>
      <w:r w:rsidR="00812D58">
        <w:t xml:space="preserve"> por </w:t>
      </w:r>
      <w:r w:rsidR="0028640E">
        <w:t xml:space="preserve">los </w:t>
      </w:r>
      <w:r w:rsidR="00812D58">
        <w:t>vientos. Las aguas toma</w:t>
      </w:r>
      <w:r w:rsidR="006C2BC3">
        <w:t>rá</w:t>
      </w:r>
      <w:r w:rsidR="00812D58">
        <w:t xml:space="preserve">n posesión de la tierra hasta el plano del segundo </w:t>
      </w:r>
      <w:proofErr w:type="spellStart"/>
      <w:r w:rsidR="00057BF4" w:rsidRPr="00057BF4">
        <w:rPr>
          <w:i/>
        </w:rPr>
        <w:t>jhāna</w:t>
      </w:r>
      <w:proofErr w:type="spellEnd"/>
      <w:r w:rsidR="00812D58">
        <w:t>. Cuando se ha</w:t>
      </w:r>
      <w:r w:rsidR="006C2BC3">
        <w:t>ya</w:t>
      </w:r>
      <w:r w:rsidR="00812D58">
        <w:t xml:space="preserve">n disuelto los tres mundos </w:t>
      </w:r>
      <w:r w:rsidR="00057BF4" w:rsidRPr="00057BF4">
        <w:rPr>
          <w:i/>
        </w:rPr>
        <w:t>Brahmā</w:t>
      </w:r>
      <w:r w:rsidR="00812D58">
        <w:t xml:space="preserve">, </w:t>
      </w:r>
      <w:r w:rsidR="006C2BC3">
        <w:t xml:space="preserve">esto </w:t>
      </w:r>
      <w:r w:rsidR="00812D58">
        <w:t>se deten</w:t>
      </w:r>
      <w:r w:rsidR="006C2BC3">
        <w:t>drá</w:t>
      </w:r>
      <w:r w:rsidR="00812D58">
        <w:t xml:space="preserve"> en el mundo </w:t>
      </w:r>
      <w:proofErr w:type="spellStart"/>
      <w:r w:rsidR="00B77063" w:rsidRPr="00B77063">
        <w:rPr>
          <w:i/>
          <w:iCs/>
        </w:rPr>
        <w:t>Subhakiṇha</w:t>
      </w:r>
      <w:proofErr w:type="spellEnd"/>
      <w:r w:rsidR="00812D58">
        <w:t xml:space="preserve">. Mientras cualquier cosa formada </w:t>
      </w:r>
      <w:r w:rsidR="00E10CF3">
        <w:t>del</w:t>
      </w:r>
      <w:r w:rsidR="00812D58">
        <w:t xml:space="preserve"> tamaño de un átomo</w:t>
      </w:r>
      <w:r w:rsidR="00AE52AD" w:rsidRPr="00AE52AD">
        <w:t xml:space="preserve"> </w:t>
      </w:r>
      <w:r w:rsidR="00AE52AD">
        <w:t>exista</w:t>
      </w:r>
      <w:r w:rsidR="00812D58">
        <w:t xml:space="preserve">, no </w:t>
      </w:r>
      <w:r w:rsidR="00E84274">
        <w:t>se destruirá</w:t>
      </w:r>
      <w:r w:rsidR="00812D58">
        <w:t xml:space="preserve">; </w:t>
      </w:r>
      <w:r w:rsidR="00E112E2">
        <w:t xml:space="preserve">no obstante, </w:t>
      </w:r>
      <w:r w:rsidR="00812D58">
        <w:t>repent</w:t>
      </w:r>
      <w:r w:rsidR="00E84274">
        <w:t>inamente</w:t>
      </w:r>
      <w:r w:rsidR="00812D58">
        <w:t xml:space="preserve"> disminu</w:t>
      </w:r>
      <w:r w:rsidR="00E112E2">
        <w:t>irá</w:t>
      </w:r>
      <w:r w:rsidR="00812D58">
        <w:t xml:space="preserve"> y desaparece</w:t>
      </w:r>
      <w:r w:rsidR="00E112E2">
        <w:t>rá</w:t>
      </w:r>
      <w:r w:rsidR="00812D58">
        <w:t xml:space="preserve"> cuando todas las cosas formadas ha</w:t>
      </w:r>
      <w:r w:rsidR="00E112E2">
        <w:t>ya</w:t>
      </w:r>
      <w:r w:rsidR="00812D58">
        <w:t xml:space="preserve">n sido abrumadas por ellas. Todo comenzando con: "El espacio superior </w:t>
      </w:r>
      <w:r w:rsidR="002B3EBD">
        <w:t>y</w:t>
      </w:r>
      <w:r w:rsidR="00812D58">
        <w:t xml:space="preserve"> el espacio inferior </w:t>
      </w:r>
      <w:r w:rsidR="002B3EBD">
        <w:t xml:space="preserve">serán uno solo </w:t>
      </w:r>
      <w:r w:rsidR="00812D58">
        <w:t xml:space="preserve">en una vasta oscuridad sombría ..." (§42) </w:t>
      </w:r>
      <w:r w:rsidR="00A66A36">
        <w:t xml:space="preserve">será </w:t>
      </w:r>
      <w:r w:rsidR="00812D58">
        <w:t xml:space="preserve">como ya se </w:t>
      </w:r>
      <w:r w:rsidR="00A66A36">
        <w:t xml:space="preserve">ha </w:t>
      </w:r>
      <w:r w:rsidR="00812D58">
        <w:t>descri</w:t>
      </w:r>
      <w:r w:rsidR="00A66A36">
        <w:t>to</w:t>
      </w:r>
      <w:r w:rsidR="00812D58">
        <w:t xml:space="preserve">, excepto que aquí el mundo </w:t>
      </w:r>
      <w:r w:rsidR="00A66A36">
        <w:t xml:space="preserve">comenzará </w:t>
      </w:r>
      <w:r w:rsidR="00812D58">
        <w:t xml:space="preserve">su reaparición con el </w:t>
      </w:r>
      <w:r w:rsidR="00B77063">
        <w:t xml:space="preserve">mundo </w:t>
      </w:r>
      <w:proofErr w:type="spellStart"/>
      <w:r w:rsidR="00B77063" w:rsidRPr="00B77063">
        <w:rPr>
          <w:i/>
          <w:iCs/>
        </w:rPr>
        <w:t>Ābhassara</w:t>
      </w:r>
      <w:proofErr w:type="spellEnd"/>
      <w:r w:rsidR="00B77063">
        <w:t xml:space="preserve"> </w:t>
      </w:r>
      <w:r w:rsidR="00057BF4" w:rsidRPr="00057BF4">
        <w:rPr>
          <w:i/>
        </w:rPr>
        <w:t>Brahmā</w:t>
      </w:r>
      <w:r w:rsidR="00812D58">
        <w:t>. Y los seres que ca</w:t>
      </w:r>
      <w:r w:rsidR="0096090C">
        <w:t>iga</w:t>
      </w:r>
      <w:r w:rsidR="00812D58">
        <w:t xml:space="preserve">n del </w:t>
      </w:r>
      <w:r w:rsidR="00B77063">
        <w:t xml:space="preserve">mundo </w:t>
      </w:r>
      <w:proofErr w:type="spellStart"/>
      <w:r w:rsidR="00B77063" w:rsidRPr="00B77063">
        <w:rPr>
          <w:i/>
          <w:iCs/>
        </w:rPr>
        <w:t>Subhakiṇha</w:t>
      </w:r>
      <w:proofErr w:type="spellEnd"/>
      <w:r w:rsidR="00B77063">
        <w:t xml:space="preserve"> </w:t>
      </w:r>
      <w:r w:rsidR="00B77063" w:rsidRPr="00057BF4">
        <w:rPr>
          <w:i/>
        </w:rPr>
        <w:t>Brahmā</w:t>
      </w:r>
      <w:r w:rsidR="00812D58">
        <w:t xml:space="preserve"> renace</w:t>
      </w:r>
      <w:r w:rsidR="0096090C">
        <w:t>rá</w:t>
      </w:r>
      <w:r w:rsidR="00812D58">
        <w:t>n en los lugares que comenza</w:t>
      </w:r>
      <w:r w:rsidR="0096090C">
        <w:t>rá</w:t>
      </w:r>
      <w:r w:rsidR="00812D58">
        <w:t xml:space="preserve">n con el </w:t>
      </w:r>
      <w:r w:rsidR="00B77063">
        <w:t xml:space="preserve">mundo </w:t>
      </w:r>
      <w:proofErr w:type="spellStart"/>
      <w:r w:rsidR="00B77063" w:rsidRPr="00B77063">
        <w:rPr>
          <w:i/>
          <w:iCs/>
        </w:rPr>
        <w:t>Ābhassara</w:t>
      </w:r>
      <w:proofErr w:type="spellEnd"/>
      <w:r w:rsidR="00B77063">
        <w:t xml:space="preserve"> </w:t>
      </w:r>
      <w:r w:rsidR="00057BF4" w:rsidRPr="00057BF4">
        <w:rPr>
          <w:i/>
        </w:rPr>
        <w:t>Brahmā</w:t>
      </w:r>
      <w:r w:rsidR="00812D58">
        <w:t>.</w:t>
      </w:r>
    </w:p>
    <w:p w14:paraId="0D921609" w14:textId="3450D926" w:rsidR="00812D58" w:rsidRDefault="00812D58" w:rsidP="00812D58">
      <w:r>
        <w:t xml:space="preserve">58. </w:t>
      </w:r>
      <w:r>
        <w:tab/>
      </w:r>
      <w:r w:rsidR="00063A79">
        <w:t>Aquí</w:t>
      </w:r>
      <w:r>
        <w:t xml:space="preserve">, el período </w:t>
      </w:r>
      <w:r w:rsidR="00FD46BD">
        <w:t xml:space="preserve">que va </w:t>
      </w:r>
      <w:r>
        <w:t xml:space="preserve">desde la época </w:t>
      </w:r>
      <w:r w:rsidR="00637972">
        <w:t>en la que</w:t>
      </w:r>
      <w:r>
        <w:t xml:space="preserve"> la gran nube anunci</w:t>
      </w:r>
      <w:r w:rsidR="00FD46BD">
        <w:t>a</w:t>
      </w:r>
      <w:r>
        <w:t xml:space="preserve"> la destrucción del eón hasta que la cesa</w:t>
      </w:r>
      <w:r w:rsidR="00637972">
        <w:t>ción</w:t>
      </w:r>
      <w:r>
        <w:t xml:space="preserve"> de las aguas destruy</w:t>
      </w:r>
      <w:r w:rsidR="00637972">
        <w:t>a</w:t>
      </w:r>
      <w:r>
        <w:t xml:space="preserve"> </w:t>
      </w:r>
      <w:r w:rsidR="00637972">
        <w:t>tal</w:t>
      </w:r>
      <w:r>
        <w:t xml:space="preserve"> eón</w:t>
      </w:r>
      <w:r w:rsidR="00FD46BD">
        <w:t>,</w:t>
      </w:r>
      <w:r>
        <w:t xml:space="preserve"> constitu</w:t>
      </w:r>
      <w:r w:rsidR="00637972">
        <w:t>irá</w:t>
      </w:r>
      <w:r>
        <w:t xml:space="preserve"> un incalculable. </w:t>
      </w:r>
      <w:r w:rsidR="00637972">
        <w:t xml:space="preserve">Aquel </w:t>
      </w:r>
      <w:r w:rsidR="009960E8">
        <w:t xml:space="preserve">periodo </w:t>
      </w:r>
      <w:r w:rsidR="00637972">
        <w:t>que va</w:t>
      </w:r>
      <w:r w:rsidR="009960E8">
        <w:t>ya</w:t>
      </w:r>
      <w:r w:rsidR="00637972">
        <w:t xml:space="preserve"> </w:t>
      </w:r>
      <w:r>
        <w:t>de</w:t>
      </w:r>
      <w:r w:rsidR="00637972">
        <w:t>sde</w:t>
      </w:r>
      <w:r>
        <w:t xml:space="preserve"> la cesa</w:t>
      </w:r>
      <w:r w:rsidR="00637972">
        <w:t>ción</w:t>
      </w:r>
      <w:r>
        <w:t xml:space="preserve"> de las aguas hasta la gran nube de rehabilitación constitu</w:t>
      </w:r>
      <w:r w:rsidR="00637972">
        <w:t>irá</w:t>
      </w:r>
      <w:r>
        <w:t xml:space="preserve"> </w:t>
      </w:r>
      <w:r w:rsidR="00637972">
        <w:t xml:space="preserve">el segundo </w:t>
      </w:r>
      <w:r>
        <w:t xml:space="preserve">incalculable. </w:t>
      </w:r>
      <w:r w:rsidR="00637972">
        <w:t xml:space="preserve">Aquel </w:t>
      </w:r>
      <w:r w:rsidR="009960E8">
        <w:t xml:space="preserve">periodo </w:t>
      </w:r>
      <w:r w:rsidR="00637972">
        <w:t>que va</w:t>
      </w:r>
      <w:r w:rsidR="009960E8">
        <w:t>ya</w:t>
      </w:r>
      <w:r w:rsidR="00637972">
        <w:t xml:space="preserve"> desde</w:t>
      </w:r>
      <w:r>
        <w:t xml:space="preserve"> la gran nube de rehabilitación ... estos cuatro incalculables constitu</w:t>
      </w:r>
      <w:r w:rsidR="005513B3">
        <w:t>irán</w:t>
      </w:r>
      <w:r>
        <w:t xml:space="preserve"> un gran eón. Así es c</w:t>
      </w:r>
      <w:r w:rsidR="005513B3">
        <w:t>ó</w:t>
      </w:r>
      <w:r>
        <w:t xml:space="preserve">mo se debe entender la destrucción </w:t>
      </w:r>
      <w:r w:rsidR="00BF0C90">
        <w:t xml:space="preserve">mediante </w:t>
      </w:r>
      <w:r>
        <w:t>el agua y la reconstitución.</w:t>
      </w:r>
    </w:p>
    <w:p w14:paraId="386420B3" w14:textId="02330FC2" w:rsidR="00812D58" w:rsidRDefault="00812D58" w:rsidP="00812D58">
      <w:r>
        <w:t xml:space="preserve">59. </w:t>
      </w:r>
      <w:r>
        <w:tab/>
        <w:t xml:space="preserve">La ocasión en que </w:t>
      </w:r>
      <w:r w:rsidR="005513B3">
        <w:t>un</w:t>
      </w:r>
      <w:r>
        <w:t xml:space="preserve"> eón s</w:t>
      </w:r>
      <w:r w:rsidR="005513B3">
        <w:t>ea</w:t>
      </w:r>
      <w:r>
        <w:t xml:space="preserve"> destruido por el aire debe</w:t>
      </w:r>
      <w:r w:rsidR="005513B3">
        <w:t>rá</w:t>
      </w:r>
      <w:r>
        <w:t xml:space="preserve"> tratarse de la manera ya descrita comenza</w:t>
      </w:r>
      <w:r w:rsidR="00661F52">
        <w:t>ndo</w:t>
      </w:r>
      <w:r>
        <w:t xml:space="preserve"> con "en primer lugar, </w:t>
      </w:r>
      <w:r w:rsidR="004422DE">
        <w:t>aparecerá</w:t>
      </w:r>
      <w:r w:rsidR="005513B3">
        <w:t xml:space="preserve"> </w:t>
      </w:r>
      <w:r>
        <w:t xml:space="preserve">una gran nube </w:t>
      </w:r>
      <w:r w:rsidR="004422DE">
        <w:t xml:space="preserve">anunciando </w:t>
      </w:r>
      <w:r>
        <w:t>la destrucción del eón..." (§32).</w:t>
      </w:r>
    </w:p>
    <w:p w14:paraId="74474D2A" w14:textId="1F8EDE66" w:rsidR="00812D58" w:rsidRDefault="00812D58" w:rsidP="00812D58">
      <w:r>
        <w:t xml:space="preserve">60. </w:t>
      </w:r>
      <w:r>
        <w:tab/>
        <w:t>Sin embargo, exist</w:t>
      </w:r>
      <w:r w:rsidR="00661F52">
        <w:t>irá</w:t>
      </w:r>
      <w:r>
        <w:t xml:space="preserve"> esta diferencia. Mientras que en el primer caso hubo un segundo </w:t>
      </w:r>
      <w:r w:rsidR="004422DE">
        <w:t>Sol</w:t>
      </w:r>
      <w:r>
        <w:t>, aquí surg</w:t>
      </w:r>
      <w:r w:rsidR="004422DE">
        <w:t>irá</w:t>
      </w:r>
      <w:r>
        <w:t xml:space="preserve"> un viento </w:t>
      </w:r>
      <w:r w:rsidR="004422DE">
        <w:t xml:space="preserve">que </w:t>
      </w:r>
      <w:r>
        <w:t>destruir</w:t>
      </w:r>
      <w:r w:rsidR="004422DE">
        <w:t>á</w:t>
      </w:r>
      <w:r>
        <w:t xml:space="preserve"> </w:t>
      </w:r>
      <w:r w:rsidR="001C6735">
        <w:t>e</w:t>
      </w:r>
      <w:r>
        <w:t xml:space="preserve">l eón. En primer lugar, </w:t>
      </w:r>
      <w:r w:rsidR="004422DE">
        <w:t xml:space="preserve">se </w:t>
      </w:r>
      <w:r>
        <w:t>levanta</w:t>
      </w:r>
      <w:r w:rsidR="00F07860">
        <w:t>rá</w:t>
      </w:r>
      <w:r>
        <w:t xml:space="preserve"> </w:t>
      </w:r>
      <w:r w:rsidR="00F07860">
        <w:t>un</w:t>
      </w:r>
      <w:r w:rsidR="006E6B6D">
        <w:t>a torre de</w:t>
      </w:r>
      <w:r>
        <w:t xml:space="preserve"> </w:t>
      </w:r>
      <w:r w:rsidR="006E6B6D">
        <w:t>humo</w:t>
      </w:r>
      <w:r>
        <w:t xml:space="preserve"> grues</w:t>
      </w:r>
      <w:r w:rsidR="006E6B6D">
        <w:t>o</w:t>
      </w:r>
      <w:r>
        <w:t xml:space="preserve">, </w:t>
      </w:r>
      <w:r w:rsidR="006E6B6D">
        <w:t>luego una torre de humo fino</w:t>
      </w:r>
      <w:r>
        <w:t>,</w:t>
      </w:r>
      <w:r w:rsidR="006E6B6D">
        <w:t xml:space="preserve"> luego de</w:t>
      </w:r>
      <w:r>
        <w:t xml:space="preserve"> arena gruesa, grava, piedras, etc., [421] hasta que </w:t>
      </w:r>
      <w:r w:rsidR="001C6735">
        <w:t xml:space="preserve">asciendan </w:t>
      </w:r>
      <w:r>
        <w:t>piedras tan grandes como un catafal</w:t>
      </w:r>
      <w:r w:rsidR="002D4A6A">
        <w:t>co</w:t>
      </w:r>
      <w:r>
        <w:t>,</w:t>
      </w:r>
      <w:r w:rsidRPr="00207128">
        <w:rPr>
          <w:vertAlign w:val="superscript"/>
        </w:rPr>
        <w:t>16</w:t>
      </w:r>
      <w:r>
        <w:t xml:space="preserve"> y grandes árboles en lugares desiguales. </w:t>
      </w:r>
      <w:r w:rsidR="00384866">
        <w:t xml:space="preserve">Ellos serán </w:t>
      </w:r>
      <w:r>
        <w:t>barridos de</w:t>
      </w:r>
      <w:r w:rsidR="00384866">
        <w:t>sde</w:t>
      </w:r>
      <w:r>
        <w:t xml:space="preserve"> la tierra </w:t>
      </w:r>
      <w:r w:rsidR="003941AC">
        <w:t xml:space="preserve">hasta </w:t>
      </w:r>
      <w:r>
        <w:t xml:space="preserve">el cielo, y en lugar de volver a caer, </w:t>
      </w:r>
      <w:r w:rsidR="00384866">
        <w:t xml:space="preserve">serán destruidos a </w:t>
      </w:r>
      <w:r>
        <w:t>pedazos y deja</w:t>
      </w:r>
      <w:r w:rsidR="00384866">
        <w:t>rá</w:t>
      </w:r>
      <w:r>
        <w:t>n de existir.</w:t>
      </w:r>
    </w:p>
    <w:p w14:paraId="6E6831CD" w14:textId="045D3178" w:rsidR="00812D58" w:rsidRDefault="00812D58" w:rsidP="00812D58">
      <w:r>
        <w:t xml:space="preserve">61. </w:t>
      </w:r>
      <w:r>
        <w:tab/>
        <w:t>Luego, finalmente, el viento surg</w:t>
      </w:r>
      <w:r w:rsidR="000F5419">
        <w:t>irá</w:t>
      </w:r>
      <w:r>
        <w:t xml:space="preserve"> debajo de la </w:t>
      </w:r>
      <w:r w:rsidR="000F5419">
        <w:t>gran tier</w:t>
      </w:r>
      <w:r>
        <w:t xml:space="preserve">ra y </w:t>
      </w:r>
      <w:r w:rsidR="000F5419">
        <w:t>la volcará</w:t>
      </w:r>
      <w:r>
        <w:t xml:space="preserve">, arrojándola al espacio. La </w:t>
      </w:r>
      <w:r w:rsidR="006E5AE5">
        <w:t xml:space="preserve">tierra </w:t>
      </w:r>
      <w:r>
        <w:t>se divid</w:t>
      </w:r>
      <w:r w:rsidR="006E5AE5">
        <w:t>irá</w:t>
      </w:r>
      <w:r>
        <w:t xml:space="preserve"> en fragmentos que </w:t>
      </w:r>
      <w:r w:rsidR="003941AC">
        <w:t xml:space="preserve">medirán </w:t>
      </w:r>
      <w:r>
        <w:t>cien, dos</w:t>
      </w:r>
      <w:r w:rsidR="003941AC">
        <w:t>cientas</w:t>
      </w:r>
      <w:r>
        <w:t>, tres</w:t>
      </w:r>
      <w:r w:rsidR="006E5AE5">
        <w:t>cientas</w:t>
      </w:r>
      <w:r>
        <w:t>, cuatro</w:t>
      </w:r>
      <w:r w:rsidR="006E5AE5">
        <w:t>cientas</w:t>
      </w:r>
      <w:r>
        <w:t xml:space="preserve">, quinientas leguas, y también </w:t>
      </w:r>
      <w:r w:rsidR="006E5AE5">
        <w:t xml:space="preserve">serán </w:t>
      </w:r>
      <w:r>
        <w:t xml:space="preserve">arrojados al espacio, y allí </w:t>
      </w:r>
      <w:r w:rsidR="0075455A">
        <w:t>serán destruidos a</w:t>
      </w:r>
      <w:r>
        <w:t xml:space="preserve"> pedazos y deja</w:t>
      </w:r>
      <w:r w:rsidR="0075455A">
        <w:t>rá</w:t>
      </w:r>
      <w:r>
        <w:t xml:space="preserve">n de existir. Las montañas de la esfera </w:t>
      </w:r>
      <w:r w:rsidR="0075455A">
        <w:t xml:space="preserve">estelar </w:t>
      </w:r>
      <w:r>
        <w:t xml:space="preserve">y el Monte </w:t>
      </w:r>
      <w:proofErr w:type="spellStart"/>
      <w:r w:rsidRPr="003941AC">
        <w:rPr>
          <w:i/>
          <w:iCs/>
        </w:rPr>
        <w:t>Sineru</w:t>
      </w:r>
      <w:proofErr w:type="spellEnd"/>
      <w:r>
        <w:t xml:space="preserve"> </w:t>
      </w:r>
      <w:r w:rsidR="0075455A">
        <w:t xml:space="preserve">serán </w:t>
      </w:r>
      <w:r>
        <w:t>desgarrados y arrojados al espacio, donde se estrella</w:t>
      </w:r>
      <w:r w:rsidR="0075455A">
        <w:t>rá</w:t>
      </w:r>
      <w:r>
        <w:t xml:space="preserve">n entre sí hasta que se </w:t>
      </w:r>
      <w:r w:rsidR="00E03CDF">
        <w:t>destruyan</w:t>
      </w:r>
      <w:r>
        <w:t xml:space="preserve"> </w:t>
      </w:r>
      <w:r w:rsidR="00E03CDF">
        <w:t xml:space="preserve">a </w:t>
      </w:r>
      <w:r>
        <w:t>pedazos y desapare</w:t>
      </w:r>
      <w:r w:rsidR="00E03CDF">
        <w:t>zcan</w:t>
      </w:r>
      <w:r>
        <w:t xml:space="preserve">. De esta manera, </w:t>
      </w:r>
      <w:r w:rsidR="00C31C09">
        <w:t xml:space="preserve">ello </w:t>
      </w:r>
      <w:r>
        <w:t>destru</w:t>
      </w:r>
      <w:r w:rsidR="00E03CDF">
        <w:t>irá</w:t>
      </w:r>
      <w:r>
        <w:t xml:space="preserve"> los palacios divinos construidos </w:t>
      </w:r>
      <w:r w:rsidR="00140D07">
        <w:t>sobre</w:t>
      </w:r>
      <w:r>
        <w:t xml:space="preserve"> la </w:t>
      </w:r>
      <w:r w:rsidR="00140D07">
        <w:t>t</w:t>
      </w:r>
      <w:r>
        <w:t xml:space="preserve">ierra del Monte </w:t>
      </w:r>
      <w:proofErr w:type="spellStart"/>
      <w:r w:rsidRPr="00C31C09">
        <w:rPr>
          <w:i/>
          <w:iCs/>
        </w:rPr>
        <w:t>Sineru</w:t>
      </w:r>
      <w:proofErr w:type="spellEnd"/>
      <w:r>
        <w:t xml:space="preserve"> y los construidos en el espacio, </w:t>
      </w:r>
      <w:r w:rsidR="00C31C09">
        <w:t xml:space="preserve">serán destruidos </w:t>
      </w:r>
      <w:r>
        <w:t xml:space="preserve">los seis mundos divinos de la esfera sensual, y </w:t>
      </w:r>
      <w:r w:rsidR="00C31C09">
        <w:t xml:space="preserve">también </w:t>
      </w:r>
      <w:r>
        <w:t>los cien mil millones de esf</w:t>
      </w:r>
      <w:r w:rsidR="00B77063">
        <w:t>e</w:t>
      </w:r>
      <w:r>
        <w:t>r</w:t>
      </w:r>
      <w:r w:rsidR="00B77063">
        <w:t>a</w:t>
      </w:r>
      <w:r>
        <w:t xml:space="preserve">s </w:t>
      </w:r>
      <w:r w:rsidR="00140D07">
        <w:t>estelares</w:t>
      </w:r>
      <w:r>
        <w:t xml:space="preserve">. Luego, </w:t>
      </w:r>
      <w:r w:rsidR="00C31C09">
        <w:t xml:space="preserve">una </w:t>
      </w:r>
      <w:r>
        <w:t xml:space="preserve">esfera </w:t>
      </w:r>
      <w:r w:rsidR="00140D07">
        <w:t>estelar colisionará</w:t>
      </w:r>
      <w:r>
        <w:t xml:space="preserve"> con </w:t>
      </w:r>
      <w:r w:rsidR="00C31C09">
        <w:t xml:space="preserve">otra </w:t>
      </w:r>
      <w:r>
        <w:t xml:space="preserve">esfera </w:t>
      </w:r>
      <w:r w:rsidR="00140D07">
        <w:t>estelar</w:t>
      </w:r>
      <w:r>
        <w:t>, la montaña de</w:t>
      </w:r>
      <w:r w:rsidR="00140D07">
        <w:t xml:space="preserve"> </w:t>
      </w:r>
      <w:r>
        <w:t>l</w:t>
      </w:r>
      <w:r w:rsidR="00140D07">
        <w:t>os</w:t>
      </w:r>
      <w:r>
        <w:t xml:space="preserve"> Himalaya</w:t>
      </w:r>
      <w:r w:rsidR="00140D07">
        <w:t>s</w:t>
      </w:r>
      <w:r>
        <w:t xml:space="preserve"> con </w:t>
      </w:r>
      <w:r w:rsidR="008A25ED">
        <w:t>otras</w:t>
      </w:r>
      <w:r>
        <w:t xml:space="preserve"> montaña</w:t>
      </w:r>
      <w:r w:rsidR="008A25ED">
        <w:t>s</w:t>
      </w:r>
      <w:r>
        <w:t xml:space="preserve"> </w:t>
      </w:r>
      <w:r w:rsidR="00140D07">
        <w:t xml:space="preserve">de los </w:t>
      </w:r>
      <w:r>
        <w:t>Himalaya</w:t>
      </w:r>
      <w:r w:rsidR="00140D07">
        <w:t>s</w:t>
      </w:r>
      <w:r>
        <w:t xml:space="preserve">, </w:t>
      </w:r>
      <w:proofErr w:type="spellStart"/>
      <w:r>
        <w:t>Sineru</w:t>
      </w:r>
      <w:proofErr w:type="spellEnd"/>
      <w:r>
        <w:t xml:space="preserve"> con </w:t>
      </w:r>
      <w:proofErr w:type="spellStart"/>
      <w:r>
        <w:t>Sineru</w:t>
      </w:r>
      <w:proofErr w:type="spellEnd"/>
      <w:r>
        <w:t xml:space="preserve">, hasta que se </w:t>
      </w:r>
      <w:r w:rsidR="00140D07">
        <w:t xml:space="preserve">destruyan a </w:t>
      </w:r>
      <w:r>
        <w:t>pedazos y desapare</w:t>
      </w:r>
      <w:r w:rsidR="00140D07">
        <w:t>zcan</w:t>
      </w:r>
      <w:r>
        <w:t>.</w:t>
      </w:r>
    </w:p>
    <w:p w14:paraId="2E4B74E4" w14:textId="75FAA709" w:rsidR="00812D58" w:rsidRDefault="00812D58" w:rsidP="00812D58">
      <w:r>
        <w:t xml:space="preserve">62. </w:t>
      </w:r>
      <w:r>
        <w:tab/>
        <w:t>El viento toma</w:t>
      </w:r>
      <w:r w:rsidR="00140D07">
        <w:t>rá</w:t>
      </w:r>
      <w:r>
        <w:t xml:space="preserve"> posesión desde la tierra hasta el plano del tercer </w:t>
      </w:r>
      <w:proofErr w:type="spellStart"/>
      <w:r w:rsidR="00057BF4" w:rsidRPr="00057BF4">
        <w:rPr>
          <w:i/>
        </w:rPr>
        <w:t>jhāna</w:t>
      </w:r>
      <w:proofErr w:type="spellEnd"/>
      <w:r>
        <w:t xml:space="preserve">. Allí, después de destruir tres mundos </w:t>
      </w:r>
      <w:r w:rsidR="00057BF4" w:rsidRPr="00057BF4">
        <w:rPr>
          <w:i/>
        </w:rPr>
        <w:t>Brahmā</w:t>
      </w:r>
      <w:r>
        <w:t>, se det</w:t>
      </w:r>
      <w:r w:rsidR="00EC5DA8">
        <w:t>endrá</w:t>
      </w:r>
      <w:r>
        <w:t xml:space="preserve"> en el mundo </w:t>
      </w:r>
      <w:proofErr w:type="spellStart"/>
      <w:r w:rsidRPr="00B77063">
        <w:rPr>
          <w:i/>
          <w:iCs/>
        </w:rPr>
        <w:t>Vehapphala</w:t>
      </w:r>
      <w:proofErr w:type="spellEnd"/>
      <w:r>
        <w:t>. Cuando ha</w:t>
      </w:r>
      <w:r w:rsidR="00EC5DA8">
        <w:t>ya</w:t>
      </w:r>
      <w:r>
        <w:t xml:space="preserve"> destruido </w:t>
      </w:r>
      <w:r w:rsidR="00EC5DA8">
        <w:t xml:space="preserve">así </w:t>
      </w:r>
      <w:r>
        <w:t xml:space="preserve">todas las cosas formadas, </w:t>
      </w:r>
      <w:r w:rsidR="008E1304">
        <w:t xml:space="preserve">éste </w:t>
      </w:r>
      <w:r>
        <w:t xml:space="preserve">también se </w:t>
      </w:r>
      <w:r w:rsidR="00BF5404">
        <w:t>consumirá</w:t>
      </w:r>
      <w:r>
        <w:t xml:space="preserve">. Entonces todo </w:t>
      </w:r>
      <w:r w:rsidR="00BF5404">
        <w:t>ocurrirá</w:t>
      </w:r>
      <w:r>
        <w:t xml:space="preserve"> como ya se </w:t>
      </w:r>
    </w:p>
    <w:p w14:paraId="1FD02C91" w14:textId="79FC4A4F" w:rsidR="00812D58" w:rsidRPr="00812D58" w:rsidRDefault="00812D58" w:rsidP="00812D58">
      <w:pPr>
        <w:pStyle w:val="PiedepginaLegal"/>
        <w:rPr>
          <w:u w:val="single"/>
        </w:rPr>
      </w:pPr>
      <w:r w:rsidRPr="00812D58">
        <w:rPr>
          <w:u w:val="single"/>
        </w:rPr>
        <w:t xml:space="preserve">                                                                                                                                                         .</w:t>
      </w:r>
    </w:p>
    <w:p w14:paraId="48516D70" w14:textId="3B6FC253" w:rsidR="00812D58" w:rsidRDefault="00812D58" w:rsidP="008E1304">
      <w:pPr>
        <w:pStyle w:val="PiedepginaLegal"/>
      </w:pPr>
      <w:r>
        <w:t xml:space="preserve">16. </w:t>
      </w:r>
      <w:r>
        <w:tab/>
      </w:r>
      <w:proofErr w:type="spellStart"/>
      <w:r w:rsidRPr="00B77063">
        <w:rPr>
          <w:i/>
          <w:iCs/>
        </w:rPr>
        <w:t>Kū</w:t>
      </w:r>
      <w:r w:rsidR="00AB3047">
        <w:rPr>
          <w:i/>
          <w:iCs/>
        </w:rPr>
        <w:t>ṭ</w:t>
      </w:r>
      <w:r w:rsidRPr="00B77063">
        <w:rPr>
          <w:i/>
          <w:iCs/>
        </w:rPr>
        <w:t>āgāra</w:t>
      </w:r>
      <w:proofErr w:type="spellEnd"/>
      <w:r>
        <w:t xml:space="preserve">: ver Ch. </w:t>
      </w:r>
      <w:r w:rsidR="00B77063">
        <w:t>XII</w:t>
      </w:r>
      <w:r>
        <w:t xml:space="preserve">, n.14; Aquí </w:t>
      </w:r>
      <w:r w:rsidR="00993719">
        <w:t>é</w:t>
      </w:r>
      <w:r>
        <w:t>st</w:t>
      </w:r>
      <w:r w:rsidR="00993719">
        <w:t>e</w:t>
      </w:r>
      <w:r>
        <w:t xml:space="preserve"> parec</w:t>
      </w:r>
      <w:r w:rsidR="00993719">
        <w:t>iera ser</w:t>
      </w:r>
      <w:r>
        <w:t xml:space="preserve"> </w:t>
      </w:r>
      <w:r w:rsidR="00993719">
        <w:t xml:space="preserve">el </w:t>
      </w:r>
      <w:r w:rsidR="00AB3047">
        <w:t xml:space="preserve">significado </w:t>
      </w:r>
      <w:r>
        <w:t xml:space="preserve">más probable </w:t>
      </w:r>
      <w:r w:rsidR="00993719">
        <w:t xml:space="preserve">entre </w:t>
      </w:r>
      <w:r>
        <w:t>l</w:t>
      </w:r>
      <w:r w:rsidR="00993719">
        <w:t>a</w:t>
      </w:r>
      <w:r>
        <w:t>s divers</w:t>
      </w:r>
      <w:r w:rsidR="00993719">
        <w:t>a</w:t>
      </w:r>
      <w:r>
        <w:t>s</w:t>
      </w:r>
      <w:r w:rsidR="00993719">
        <w:t xml:space="preserve"> posibilidades</w:t>
      </w:r>
      <w:r>
        <w:t>.</w:t>
      </w:r>
      <w:r>
        <w:br w:type="page"/>
      </w:r>
    </w:p>
    <w:p w14:paraId="44977334" w14:textId="77777777" w:rsidR="001B5496" w:rsidRDefault="001B5496" w:rsidP="001B5496"/>
    <w:p w14:paraId="463EF17A" w14:textId="401CCD6A" w:rsidR="00E53A7F" w:rsidRDefault="008E1304" w:rsidP="00E53A7F">
      <w:r>
        <w:t xml:space="preserve">describió en </w:t>
      </w:r>
      <w:r w:rsidR="00BF5404">
        <w:t>el pasaje</w:t>
      </w:r>
      <w:r w:rsidR="00E53A7F">
        <w:t xml:space="preserve"> que comienza, "El espacio superior con el espacio inferior </w:t>
      </w:r>
      <w:r w:rsidR="00BF5404">
        <w:t xml:space="preserve">será uno solo, </w:t>
      </w:r>
      <w:r w:rsidR="00E53A7F">
        <w:t xml:space="preserve">en una vasta oscuridad sombría ..." (§42). </w:t>
      </w:r>
      <w:r>
        <w:t xml:space="preserve">No obstante, </w:t>
      </w:r>
      <w:r w:rsidR="00E53A7F">
        <w:t xml:space="preserve">aquí el mundo </w:t>
      </w:r>
      <w:r w:rsidR="00004189">
        <w:t xml:space="preserve">comenzará </w:t>
      </w:r>
      <w:r w:rsidR="00E53A7F">
        <w:t xml:space="preserve">su reaparición con el </w:t>
      </w:r>
      <w:r w:rsidR="00A96014">
        <w:t xml:space="preserve">mundo </w:t>
      </w:r>
      <w:proofErr w:type="spellStart"/>
      <w:r w:rsidR="00E53A7F" w:rsidRPr="00B77063">
        <w:rPr>
          <w:i/>
          <w:iCs/>
        </w:rPr>
        <w:t>Subhakiṇha</w:t>
      </w:r>
      <w:proofErr w:type="spellEnd"/>
      <w:r w:rsidR="00E53A7F">
        <w:t xml:space="preserve"> </w:t>
      </w:r>
      <w:r w:rsidR="00057BF4" w:rsidRPr="00057BF4">
        <w:rPr>
          <w:i/>
        </w:rPr>
        <w:t>Brahmā</w:t>
      </w:r>
      <w:r w:rsidR="00E53A7F">
        <w:t>. Y los seres que ca</w:t>
      </w:r>
      <w:r w:rsidR="00004189">
        <w:t>iga</w:t>
      </w:r>
      <w:r w:rsidR="00E53A7F">
        <w:t xml:space="preserve">n del mundo </w:t>
      </w:r>
      <w:proofErr w:type="spellStart"/>
      <w:r w:rsidR="00E53A7F" w:rsidRPr="00A96014">
        <w:rPr>
          <w:i/>
          <w:iCs/>
        </w:rPr>
        <w:t>Vehapphala</w:t>
      </w:r>
      <w:proofErr w:type="spellEnd"/>
      <w:r w:rsidR="00E53A7F">
        <w:t xml:space="preserve"> </w:t>
      </w:r>
      <w:r w:rsidR="00057BF4" w:rsidRPr="00057BF4">
        <w:rPr>
          <w:i/>
        </w:rPr>
        <w:t>Brahmā</w:t>
      </w:r>
      <w:r w:rsidR="00E53A7F">
        <w:t xml:space="preserve"> renacer</w:t>
      </w:r>
      <w:r w:rsidR="00004189">
        <w:t>á</w:t>
      </w:r>
      <w:r w:rsidR="00E53A7F">
        <w:t xml:space="preserve">n en los lugares que comienzan con el </w:t>
      </w:r>
      <w:r w:rsidR="00A96014">
        <w:t xml:space="preserve">mundo </w:t>
      </w:r>
      <w:proofErr w:type="spellStart"/>
      <w:r w:rsidR="00E53A7F" w:rsidRPr="00A96014">
        <w:rPr>
          <w:i/>
          <w:iCs/>
        </w:rPr>
        <w:t>Subhakiṇha</w:t>
      </w:r>
      <w:proofErr w:type="spellEnd"/>
      <w:r w:rsidR="00E53A7F">
        <w:t xml:space="preserve"> </w:t>
      </w:r>
      <w:r w:rsidR="00057BF4" w:rsidRPr="00057BF4">
        <w:rPr>
          <w:i/>
        </w:rPr>
        <w:t>Brahmā</w:t>
      </w:r>
      <w:r w:rsidR="00E53A7F">
        <w:t>.</w:t>
      </w:r>
    </w:p>
    <w:p w14:paraId="77C2A32B" w14:textId="47354FBE" w:rsidR="00E53A7F" w:rsidRDefault="00E53A7F" w:rsidP="00E53A7F">
      <w:r>
        <w:t xml:space="preserve">63. </w:t>
      </w:r>
      <w:r>
        <w:tab/>
        <w:t xml:space="preserve">Aquí, el período </w:t>
      </w:r>
      <w:r w:rsidR="008E4F68">
        <w:t xml:space="preserve">que va </w:t>
      </w:r>
      <w:r>
        <w:t xml:space="preserve">desde la época de la gran nube que anuncia la destrucción del eón hasta </w:t>
      </w:r>
      <w:r w:rsidR="009D18E6">
        <w:t>la cesación</w:t>
      </w:r>
      <w:r>
        <w:t xml:space="preserve"> del viento que destru</w:t>
      </w:r>
      <w:r w:rsidR="009D18E6">
        <w:t>irá</w:t>
      </w:r>
      <w:r>
        <w:t xml:space="preserve"> el eón </w:t>
      </w:r>
      <w:r w:rsidR="008E4F68">
        <w:t xml:space="preserve">corresponderá a </w:t>
      </w:r>
      <w:r w:rsidR="009D18E6">
        <w:t xml:space="preserve">un </w:t>
      </w:r>
      <w:r>
        <w:t xml:space="preserve">incalculable. </w:t>
      </w:r>
      <w:r w:rsidR="009D18E6">
        <w:t xml:space="preserve">Aquel </w:t>
      </w:r>
      <w:r w:rsidR="008E4F68">
        <w:t xml:space="preserve">periodo </w:t>
      </w:r>
      <w:r w:rsidR="009D18E6">
        <w:t xml:space="preserve">que va </w:t>
      </w:r>
      <w:r>
        <w:t xml:space="preserve">desde </w:t>
      </w:r>
      <w:r w:rsidR="009D18E6">
        <w:t xml:space="preserve">la cesación </w:t>
      </w:r>
      <w:r>
        <w:t xml:space="preserve">del </w:t>
      </w:r>
      <w:r w:rsidR="00094D28">
        <w:t xml:space="preserve">viento </w:t>
      </w:r>
      <w:r>
        <w:t xml:space="preserve">hasta la gran nube de rehabilitación </w:t>
      </w:r>
      <w:r w:rsidR="001D4D65">
        <w:t>corresponderá a</w:t>
      </w:r>
      <w:r>
        <w:t>l segund</w:t>
      </w:r>
      <w:r w:rsidR="001D4D65">
        <w:t>o</w:t>
      </w:r>
      <w:r>
        <w:t xml:space="preserve"> incalculable ... estos cuatro incalculables constitu</w:t>
      </w:r>
      <w:r w:rsidR="001D4D65">
        <w:t>irán</w:t>
      </w:r>
      <w:r>
        <w:t xml:space="preserve"> un gran eón. Así es c</w:t>
      </w:r>
      <w:r w:rsidR="000E51BD">
        <w:t>ó</w:t>
      </w:r>
      <w:r>
        <w:t xml:space="preserve">mo se debe entender la destrucción </w:t>
      </w:r>
      <w:r w:rsidR="00094D28">
        <w:t xml:space="preserve">mediante </w:t>
      </w:r>
      <w:r>
        <w:t>el viento y la reconstitución.</w:t>
      </w:r>
    </w:p>
    <w:p w14:paraId="00FA9E43" w14:textId="4EAE3612" w:rsidR="00E53A7F" w:rsidRDefault="00E53A7F" w:rsidP="00E53A7F">
      <w:r>
        <w:t xml:space="preserve">64. </w:t>
      </w:r>
      <w:r>
        <w:tab/>
        <w:t>¿Cuál es la razón de la destrucción del mundo de esta manera? Las tres raíces de l</w:t>
      </w:r>
      <w:r w:rsidR="007A0C25">
        <w:t>a improductividad</w:t>
      </w:r>
      <w:r>
        <w:t xml:space="preserve"> son la razón. Cuando </w:t>
      </w:r>
      <w:proofErr w:type="gramStart"/>
      <w:r>
        <w:t xml:space="preserve">cualquiera de las raíces </w:t>
      </w:r>
      <w:r w:rsidR="007A0C25">
        <w:t xml:space="preserve">improductivas </w:t>
      </w:r>
      <w:r>
        <w:t>se</w:t>
      </w:r>
      <w:r w:rsidR="005D3539">
        <w:t xml:space="preserve"> hagan</w:t>
      </w:r>
      <w:proofErr w:type="gramEnd"/>
      <w:r>
        <w:t xml:space="preserve"> </w:t>
      </w:r>
      <w:r w:rsidR="005D3539">
        <w:t>conspicuas</w:t>
      </w:r>
      <w:r>
        <w:t xml:space="preserve">, </w:t>
      </w:r>
      <w:r w:rsidR="005D3539">
        <w:t xml:space="preserve">consecuentemente </w:t>
      </w:r>
      <w:r>
        <w:t>el mundo se destru</w:t>
      </w:r>
      <w:r w:rsidR="005D3539">
        <w:t>irá</w:t>
      </w:r>
      <w:r>
        <w:t xml:space="preserve">. Cuando la codicia </w:t>
      </w:r>
      <w:r w:rsidR="005D3539">
        <w:t>sea lo</w:t>
      </w:r>
      <w:r>
        <w:t xml:space="preserve"> más </w:t>
      </w:r>
      <w:r w:rsidR="005D3539">
        <w:t>conspicuo</w:t>
      </w:r>
      <w:r>
        <w:t xml:space="preserve">, </w:t>
      </w:r>
      <w:r w:rsidR="009B7EA7">
        <w:t xml:space="preserve">el mundo </w:t>
      </w:r>
      <w:r w:rsidR="005D3539">
        <w:t xml:space="preserve">será </w:t>
      </w:r>
      <w:r>
        <w:t>destruid</w:t>
      </w:r>
      <w:r w:rsidR="009B7EA7">
        <w:t>o</w:t>
      </w:r>
      <w:r>
        <w:t xml:space="preserve"> por el fuego. Cuando el odio </w:t>
      </w:r>
      <w:r w:rsidR="00A0408F">
        <w:t xml:space="preserve">sea </w:t>
      </w:r>
      <w:r>
        <w:t xml:space="preserve">más conspicuo, </w:t>
      </w:r>
      <w:r w:rsidR="00A0408F">
        <w:t xml:space="preserve">será </w:t>
      </w:r>
      <w:r>
        <w:t xml:space="preserve">destruido por el agua, aunque algunos dicen que </w:t>
      </w:r>
      <w:r w:rsidR="00A0408F">
        <w:t xml:space="preserve">será </w:t>
      </w:r>
      <w:r>
        <w:t xml:space="preserve">destruido por el fuego cuando el odio </w:t>
      </w:r>
      <w:r w:rsidR="00A0408F">
        <w:t>sea</w:t>
      </w:r>
      <w:r>
        <w:t xml:space="preserve"> más conspicuo y por el agua cuando la codicia </w:t>
      </w:r>
      <w:r w:rsidR="00A0408F">
        <w:t>sea</w:t>
      </w:r>
      <w:r>
        <w:t xml:space="preserve"> más </w:t>
      </w:r>
      <w:r w:rsidR="00A0408F">
        <w:t>conspicua</w:t>
      </w:r>
      <w:r>
        <w:t xml:space="preserve">. Y cuando </w:t>
      </w:r>
      <w:r w:rsidR="009B7EA7">
        <w:t>la ilusión</w:t>
      </w:r>
      <w:r>
        <w:t xml:space="preserve"> </w:t>
      </w:r>
      <w:r w:rsidR="00000AFF">
        <w:t xml:space="preserve">sea </w:t>
      </w:r>
      <w:r>
        <w:t>más conspicu</w:t>
      </w:r>
      <w:r w:rsidR="009B7EA7">
        <w:t>a</w:t>
      </w:r>
      <w:r>
        <w:t xml:space="preserve">, </w:t>
      </w:r>
      <w:r w:rsidR="00000AFF">
        <w:t xml:space="preserve">será </w:t>
      </w:r>
      <w:r>
        <w:t>destruido por el viento.</w:t>
      </w:r>
    </w:p>
    <w:p w14:paraId="29962AB6" w14:textId="418C8163" w:rsidR="00E53A7F" w:rsidRDefault="00E53A7F" w:rsidP="00E53A7F">
      <w:r>
        <w:t xml:space="preserve">65. </w:t>
      </w:r>
      <w:r>
        <w:tab/>
      </w:r>
      <w:r w:rsidR="009C1DAF">
        <w:t xml:space="preserve">Tal </w:t>
      </w:r>
      <w:r w:rsidR="00D350DF">
        <w:t xml:space="preserve">y </w:t>
      </w:r>
      <w:r w:rsidR="009C1DAF">
        <w:t xml:space="preserve">como es </w:t>
      </w:r>
      <w:r w:rsidR="00D350DF">
        <w:t xml:space="preserve">así </w:t>
      </w:r>
      <w:r w:rsidR="009C1DAF">
        <w:t>destruido</w:t>
      </w:r>
      <w:r>
        <w:t xml:space="preserve">, </w:t>
      </w:r>
      <w:r w:rsidR="00D350DF">
        <w:t xml:space="preserve">a su vez </w:t>
      </w:r>
      <w:r>
        <w:t>se destru</w:t>
      </w:r>
      <w:r w:rsidR="006113B9">
        <w:t>irá</w:t>
      </w:r>
      <w:r>
        <w:t xml:space="preserve"> durante siete </w:t>
      </w:r>
      <w:r w:rsidR="006113B9">
        <w:t>veces</w:t>
      </w:r>
      <w:r>
        <w:t xml:space="preserve"> en sucesión por el fuego y el octavo turno </w:t>
      </w:r>
      <w:r w:rsidR="005A04C1">
        <w:t xml:space="preserve">será mediante </w:t>
      </w:r>
      <w:r w:rsidR="006113B9">
        <w:t xml:space="preserve">el </w:t>
      </w:r>
      <w:r>
        <w:t xml:space="preserve">agua; Luego, de nuevo, siete </w:t>
      </w:r>
      <w:r w:rsidR="006113B9">
        <w:t xml:space="preserve">veces </w:t>
      </w:r>
      <w:r w:rsidR="005A04C1">
        <w:t xml:space="preserve">a través </w:t>
      </w:r>
      <w:r>
        <w:t xml:space="preserve">fuego </w:t>
      </w:r>
      <w:r w:rsidR="006113B9">
        <w:t>con</w:t>
      </w:r>
      <w:r>
        <w:t xml:space="preserve"> l</w:t>
      </w:r>
      <w:r w:rsidR="006113B9">
        <w:t>a</w:t>
      </w:r>
      <w:r>
        <w:t xml:space="preserve"> octav</w:t>
      </w:r>
      <w:r w:rsidR="006113B9">
        <w:t>a</w:t>
      </w:r>
      <w:r>
        <w:t xml:space="preserve"> </w:t>
      </w:r>
      <w:r w:rsidR="006113B9">
        <w:t xml:space="preserve">vez </w:t>
      </w:r>
      <w:r w:rsidR="005A04C1">
        <w:t xml:space="preserve">mediante </w:t>
      </w:r>
      <w:r w:rsidR="006113B9">
        <w:t xml:space="preserve">el </w:t>
      </w:r>
      <w:r>
        <w:t>agua; Luego, cuando ha</w:t>
      </w:r>
      <w:r w:rsidR="006113B9">
        <w:t>ya</w:t>
      </w:r>
      <w:r>
        <w:t xml:space="preserve"> sido destruido siete veces por el agua en cada octav</w:t>
      </w:r>
      <w:r w:rsidR="00CB1A09">
        <w:t>a</w:t>
      </w:r>
      <w:r>
        <w:t xml:space="preserve"> [422] </w:t>
      </w:r>
      <w:r w:rsidR="00CB1A09">
        <w:t>vez</w:t>
      </w:r>
      <w:r>
        <w:t>, nuevamente se destru</w:t>
      </w:r>
      <w:r w:rsidR="00CB1A09">
        <w:t>irá</w:t>
      </w:r>
      <w:r>
        <w:t xml:space="preserve"> siete </w:t>
      </w:r>
      <w:r w:rsidR="00CB1A09">
        <w:t xml:space="preserve">veces </w:t>
      </w:r>
      <w:r>
        <w:t xml:space="preserve">por </w:t>
      </w:r>
      <w:r w:rsidR="00CB1A09">
        <w:t xml:space="preserve">el </w:t>
      </w:r>
      <w:r>
        <w:t>fuego. Sesenta y tres eones pasa</w:t>
      </w:r>
      <w:r w:rsidR="00CB1A09">
        <w:t>rá</w:t>
      </w:r>
      <w:r>
        <w:t xml:space="preserve">n </w:t>
      </w:r>
      <w:r w:rsidR="00CB1A09">
        <w:t>así</w:t>
      </w:r>
      <w:r>
        <w:t xml:space="preserve">. </w:t>
      </w:r>
      <w:r w:rsidR="00CB1A09">
        <w:t xml:space="preserve">Entonces </w:t>
      </w:r>
      <w:r>
        <w:t>el aire aprovecha</w:t>
      </w:r>
      <w:r w:rsidR="00CB1A09">
        <w:t>rá</w:t>
      </w:r>
      <w:r>
        <w:t xml:space="preserve"> </w:t>
      </w:r>
      <w:r w:rsidR="00267690">
        <w:t>su</w:t>
      </w:r>
      <w:r>
        <w:t xml:space="preserve"> oportunidad para usurpar el </w:t>
      </w:r>
      <w:r w:rsidR="00546679">
        <w:t xml:space="preserve">turno </w:t>
      </w:r>
      <w:r>
        <w:t xml:space="preserve">del agua para la </w:t>
      </w:r>
      <w:r w:rsidR="00546679">
        <w:t xml:space="preserve">correspondiente </w:t>
      </w:r>
      <w:r>
        <w:t xml:space="preserve">destrucción, y </w:t>
      </w:r>
      <w:r w:rsidR="00267690">
        <w:t>así</w:t>
      </w:r>
      <w:r>
        <w:t xml:space="preserve"> destruir </w:t>
      </w:r>
      <w:r w:rsidR="004F03C6">
        <w:t>a</w:t>
      </w:r>
      <w:r>
        <w:t xml:space="preserve">l mundo </w:t>
      </w:r>
      <w:r w:rsidR="00EB2D02">
        <w:t xml:space="preserve">hasta </w:t>
      </w:r>
      <w:r>
        <w:t xml:space="preserve">el </w:t>
      </w:r>
      <w:r w:rsidR="00EB2D02">
        <w:t xml:space="preserve">plano </w:t>
      </w:r>
      <w:proofErr w:type="spellStart"/>
      <w:r w:rsidRPr="00A96014">
        <w:rPr>
          <w:i/>
          <w:iCs/>
        </w:rPr>
        <w:t>Subhakiṇha</w:t>
      </w:r>
      <w:proofErr w:type="spellEnd"/>
      <w:r>
        <w:t xml:space="preserve"> </w:t>
      </w:r>
      <w:r w:rsidR="00057BF4" w:rsidRPr="00057BF4">
        <w:rPr>
          <w:i/>
        </w:rPr>
        <w:t>Brahmā</w:t>
      </w:r>
      <w:r>
        <w:t xml:space="preserve">, donde </w:t>
      </w:r>
      <w:r w:rsidR="00546679">
        <w:t xml:space="preserve">el lapso de </w:t>
      </w:r>
      <w:r>
        <w:t xml:space="preserve">vida </w:t>
      </w:r>
      <w:r w:rsidR="00546679">
        <w:t xml:space="preserve">será </w:t>
      </w:r>
      <w:r>
        <w:t>de sesenta y cuatro eones.</w:t>
      </w:r>
    </w:p>
    <w:p w14:paraId="00F14EB4" w14:textId="171FF6D1" w:rsidR="00E53A7F" w:rsidRDefault="00E53A7F" w:rsidP="00E53A7F">
      <w:r>
        <w:t xml:space="preserve">66. </w:t>
      </w:r>
      <w:r>
        <w:tab/>
        <w:t>Ahora</w:t>
      </w:r>
      <w:r w:rsidR="00546679">
        <w:t xml:space="preserve"> bien</w:t>
      </w:r>
      <w:r>
        <w:t xml:space="preserve">, cuando un </w:t>
      </w:r>
      <w:proofErr w:type="spellStart"/>
      <w:r w:rsidR="00057BF4" w:rsidRPr="00057BF4">
        <w:rPr>
          <w:i/>
        </w:rPr>
        <w:t>bhikkhu</w:t>
      </w:r>
      <w:proofErr w:type="spellEnd"/>
      <w:r>
        <w:t xml:space="preserve"> </w:t>
      </w:r>
      <w:r w:rsidR="00EB2D02">
        <w:t xml:space="preserve">sea </w:t>
      </w:r>
      <w:r>
        <w:t xml:space="preserve">capaz de recordar </w:t>
      </w:r>
      <w:r w:rsidR="00EB2D02">
        <w:t xml:space="preserve">estos </w:t>
      </w:r>
      <w:r>
        <w:t>eones est</w:t>
      </w:r>
      <w:r w:rsidR="00EB2D02">
        <w:t>ará</w:t>
      </w:r>
      <w:r>
        <w:t xml:space="preserve"> recordando sus vidas </w:t>
      </w:r>
      <w:r w:rsidR="00B16892">
        <w:t>pasadas</w:t>
      </w:r>
      <w:r>
        <w:t xml:space="preserve">, entonces </w:t>
      </w:r>
      <w:r w:rsidR="00EB2D02">
        <w:t xml:space="preserve">en </w:t>
      </w:r>
      <w:r>
        <w:t xml:space="preserve">tales eones </w:t>
      </w:r>
      <w:r w:rsidR="000A27F0" w:rsidRPr="000A27F0">
        <w:rPr>
          <w:i/>
          <w:iCs/>
        </w:rPr>
        <w:t>él</w:t>
      </w:r>
      <w:r w:rsidRPr="000A27F0">
        <w:rPr>
          <w:i/>
          <w:iCs/>
        </w:rPr>
        <w:t xml:space="preserve"> </w:t>
      </w:r>
      <w:r w:rsidR="00B16892">
        <w:rPr>
          <w:i/>
          <w:iCs/>
        </w:rPr>
        <w:t xml:space="preserve">recordará </w:t>
      </w:r>
      <w:r w:rsidRPr="000A27F0">
        <w:rPr>
          <w:i/>
          <w:iCs/>
        </w:rPr>
        <w:t xml:space="preserve">muchos eones de contracción </w:t>
      </w:r>
      <w:r w:rsidR="00B16892">
        <w:rPr>
          <w:i/>
          <w:iCs/>
        </w:rPr>
        <w:t>estelar</w:t>
      </w:r>
      <w:r w:rsidRPr="000A27F0">
        <w:rPr>
          <w:i/>
          <w:iCs/>
        </w:rPr>
        <w:t xml:space="preserve">, muchos eones de expansión </w:t>
      </w:r>
      <w:r w:rsidR="00B16892">
        <w:rPr>
          <w:i/>
          <w:iCs/>
        </w:rPr>
        <w:t>estelar</w:t>
      </w:r>
      <w:r w:rsidRPr="000A27F0">
        <w:rPr>
          <w:i/>
          <w:iCs/>
        </w:rPr>
        <w:t xml:space="preserve">, muchos eones de contracción y expansión </w:t>
      </w:r>
      <w:r w:rsidR="00B16892">
        <w:rPr>
          <w:i/>
          <w:iCs/>
        </w:rPr>
        <w:t>estela</w:t>
      </w:r>
      <w:r w:rsidR="007249E0">
        <w:rPr>
          <w:i/>
          <w:iCs/>
        </w:rPr>
        <w:t>res</w:t>
      </w:r>
      <w:r>
        <w:t xml:space="preserve">. ¿Cómo? En la forma en que comienza, </w:t>
      </w:r>
      <w:r w:rsidRPr="000A27F0">
        <w:rPr>
          <w:i/>
          <w:iCs/>
        </w:rPr>
        <w:t xml:space="preserve">allí </w:t>
      </w:r>
      <w:r w:rsidR="000A27F0">
        <w:rPr>
          <w:i/>
          <w:iCs/>
        </w:rPr>
        <w:t>era</w:t>
      </w:r>
      <w:r>
        <w:t xml:space="preserve"> ...</w:t>
      </w:r>
    </w:p>
    <w:p w14:paraId="4465126A" w14:textId="751D4889" w:rsidR="00E53A7F" w:rsidRDefault="00E53A7F" w:rsidP="007249E0">
      <w:pPr>
        <w:pStyle w:val="NormalConSangria"/>
      </w:pPr>
      <w:r>
        <w:t xml:space="preserve">Aquí, </w:t>
      </w:r>
      <w:r w:rsidRPr="00877C2C">
        <w:rPr>
          <w:i/>
          <w:iCs/>
        </w:rPr>
        <w:t>allí</w:t>
      </w:r>
      <w:r>
        <w:t xml:space="preserve"> </w:t>
      </w:r>
      <w:r w:rsidR="007249E0" w:rsidRPr="007249E0">
        <w:rPr>
          <w:i/>
          <w:iCs/>
        </w:rPr>
        <w:t>yo</w:t>
      </w:r>
      <w:r w:rsidR="007249E0">
        <w:t xml:space="preserve"> </w:t>
      </w:r>
      <w:r w:rsidR="00877C2C">
        <w:rPr>
          <w:i/>
          <w:iCs/>
        </w:rPr>
        <w:t>era</w:t>
      </w:r>
      <w:r>
        <w:t xml:space="preserve">: en ese eón de contracción, </w:t>
      </w:r>
      <w:r w:rsidR="00EB2D02">
        <w:t>en esa</w:t>
      </w:r>
      <w:r>
        <w:t xml:space="preserve"> generación</w:t>
      </w:r>
      <w:r w:rsidR="00EB2D02">
        <w:t>,</w:t>
      </w:r>
      <w:r>
        <w:t xml:space="preserve"> destino</w:t>
      </w:r>
      <w:r w:rsidR="00EB2D02">
        <w:t xml:space="preserve">, </w:t>
      </w:r>
      <w:r>
        <w:t>estación de con</w:t>
      </w:r>
      <w:r w:rsidR="00665453">
        <w:t>s</w:t>
      </w:r>
      <w:r>
        <w:t>ciencia</w:t>
      </w:r>
      <w:r w:rsidR="00EB2D02">
        <w:t>,</w:t>
      </w:r>
      <w:r>
        <w:t xml:space="preserve"> </w:t>
      </w:r>
      <w:r w:rsidR="00665453">
        <w:t>plano</w:t>
      </w:r>
      <w:r w:rsidR="00EB2D02">
        <w:t xml:space="preserve"> de la</w:t>
      </w:r>
      <w:r>
        <w:t xml:space="preserve"> </w:t>
      </w:r>
      <w:r w:rsidR="00665453">
        <w:t xml:space="preserve">existencia </w:t>
      </w:r>
      <w:r>
        <w:t>u orden de seres</w:t>
      </w:r>
      <w:r w:rsidR="00EB2D02">
        <w:t>,</w:t>
      </w:r>
      <w:r w:rsidR="00665453" w:rsidRPr="00665453">
        <w:t xml:space="preserve"> </w:t>
      </w:r>
      <w:r w:rsidR="00665453">
        <w:t xml:space="preserve">me convertí en </w:t>
      </w:r>
      <w:r w:rsidR="00530C53">
        <w:t xml:space="preserve">alguien de tal </w:t>
      </w:r>
      <w:r w:rsidR="00665453">
        <w:t>tipo</w:t>
      </w:r>
      <w:r>
        <w:t>.</w:t>
      </w:r>
    </w:p>
    <w:p w14:paraId="7480457C" w14:textId="207D08D6" w:rsidR="00E53A7F" w:rsidRDefault="00E53A7F" w:rsidP="00E53A7F">
      <w:r>
        <w:t>67.</w:t>
      </w:r>
      <w:r>
        <w:tab/>
        <w:t xml:space="preserve"> </w:t>
      </w:r>
      <w:r w:rsidRPr="00877C2C">
        <w:rPr>
          <w:i/>
          <w:iCs/>
        </w:rPr>
        <w:t>Llamado así</w:t>
      </w:r>
      <w:r>
        <w:t xml:space="preserve">: </w:t>
      </w:r>
      <w:r w:rsidR="00530C53">
        <w:t xml:space="preserve">con </w:t>
      </w:r>
      <w:r w:rsidR="0023643A">
        <w:t>nombres tales</w:t>
      </w:r>
      <w:r>
        <w:t xml:space="preserve"> como</w:t>
      </w:r>
      <w:r w:rsidR="00530C53">
        <w:t xml:space="preserve"> </w:t>
      </w:r>
      <w:r w:rsidR="001377A6">
        <w:t xml:space="preserve">digamos </w:t>
      </w:r>
      <w:proofErr w:type="spellStart"/>
      <w:r w:rsidR="0023643A">
        <w:t>Tissa</w:t>
      </w:r>
      <w:proofErr w:type="spellEnd"/>
      <w:r>
        <w:t xml:space="preserve">, o </w:t>
      </w:r>
      <w:proofErr w:type="spellStart"/>
      <w:r w:rsidR="0023643A">
        <w:t>Phussa</w:t>
      </w:r>
      <w:proofErr w:type="spellEnd"/>
      <w:r>
        <w:t xml:space="preserve">. </w:t>
      </w:r>
      <w:r w:rsidRPr="00877C2C">
        <w:rPr>
          <w:i/>
          <w:iCs/>
        </w:rPr>
        <w:t>De tal raza</w:t>
      </w:r>
      <w:r>
        <w:t xml:space="preserve">: </w:t>
      </w:r>
      <w:r w:rsidR="001377A6">
        <w:t xml:space="preserve">con </w:t>
      </w:r>
      <w:r>
        <w:t xml:space="preserve">apellidos </w:t>
      </w:r>
      <w:r w:rsidR="001377A6">
        <w:t xml:space="preserve">tales </w:t>
      </w:r>
      <w:r>
        <w:t xml:space="preserve">como </w:t>
      </w:r>
      <w:r w:rsidR="001377A6">
        <w:t xml:space="preserve">digamos </w:t>
      </w:r>
      <w:proofErr w:type="spellStart"/>
      <w:r w:rsidR="0023643A">
        <w:t>Kaccāna</w:t>
      </w:r>
      <w:proofErr w:type="spellEnd"/>
      <w:r>
        <w:t xml:space="preserve">, o </w:t>
      </w:r>
      <w:r w:rsidR="0023643A">
        <w:t>Kassapa</w:t>
      </w:r>
      <w:r>
        <w:t>. Esto se dice sobre el recuerdo de su propio nombre y raza (apellido) en su existencia pasada. Pero si qui</w:t>
      </w:r>
      <w:r w:rsidR="006F1801">
        <w:t>si</w:t>
      </w:r>
      <w:r>
        <w:t>er</w:t>
      </w:r>
      <w:r w:rsidR="006F1801">
        <w:t>a</w:t>
      </w:r>
      <w:r>
        <w:t xml:space="preserve"> recordar su propia apariencia en ese momento, o si su vida era </w:t>
      </w:r>
      <w:r w:rsidR="006F1801">
        <w:t xml:space="preserve">humilde </w:t>
      </w:r>
      <w:r>
        <w:t xml:space="preserve">o refinada, o si el placer o el dolor prevalecían, o si su </w:t>
      </w:r>
      <w:r w:rsidR="006F1801">
        <w:t xml:space="preserve">lapso de </w:t>
      </w:r>
      <w:r>
        <w:t>vida era cort</w:t>
      </w:r>
      <w:r w:rsidR="006F1801">
        <w:t>o</w:t>
      </w:r>
      <w:r>
        <w:t xml:space="preserve"> o larg</w:t>
      </w:r>
      <w:r w:rsidR="006F1801">
        <w:t>o</w:t>
      </w:r>
      <w:r>
        <w:t xml:space="preserve">, </w:t>
      </w:r>
      <w:r w:rsidR="006F1801">
        <w:t xml:space="preserve">también </w:t>
      </w:r>
      <w:r>
        <w:t xml:space="preserve">lo </w:t>
      </w:r>
      <w:r w:rsidR="006F1801">
        <w:t>recordará</w:t>
      </w:r>
      <w:r>
        <w:t xml:space="preserve">. Por lo tanto, </w:t>
      </w:r>
      <w:r w:rsidR="005C0AF4">
        <w:t xml:space="preserve">él dirá </w:t>
      </w:r>
      <w:r w:rsidR="005C0AF4">
        <w:rPr>
          <w:i/>
          <w:iCs/>
        </w:rPr>
        <w:t xml:space="preserve">mi </w:t>
      </w:r>
      <w:r w:rsidRPr="00B174E0">
        <w:rPr>
          <w:i/>
          <w:iCs/>
        </w:rPr>
        <w:t>apariencia</w:t>
      </w:r>
      <w:r>
        <w:t xml:space="preserve"> </w:t>
      </w:r>
      <w:r w:rsidR="005C0AF4">
        <w:rPr>
          <w:i/>
          <w:iCs/>
        </w:rPr>
        <w:t>era sí</w:t>
      </w:r>
      <w:r>
        <w:t xml:space="preserve">... </w:t>
      </w:r>
      <w:r w:rsidR="001377A6" w:rsidRPr="001377A6">
        <w:rPr>
          <w:i/>
          <w:iCs/>
        </w:rPr>
        <w:t xml:space="preserve">y </w:t>
      </w:r>
      <w:r w:rsidR="00B174E0">
        <w:rPr>
          <w:i/>
          <w:iCs/>
        </w:rPr>
        <w:t xml:space="preserve">así </w:t>
      </w:r>
      <w:r w:rsidR="005C0AF4">
        <w:rPr>
          <w:i/>
          <w:iCs/>
        </w:rPr>
        <w:t>a</w:t>
      </w:r>
      <w:r w:rsidRPr="00B174E0">
        <w:rPr>
          <w:i/>
          <w:iCs/>
        </w:rPr>
        <w:t>l final de mi vida</w:t>
      </w:r>
      <w:r>
        <w:t>.</w:t>
      </w:r>
    </w:p>
    <w:p w14:paraId="30A91803" w14:textId="0FDD9893" w:rsidR="00E53A7F" w:rsidRDefault="00E53A7F" w:rsidP="00E53A7F">
      <w:r>
        <w:t xml:space="preserve">68. </w:t>
      </w:r>
      <w:r>
        <w:tab/>
        <w:t xml:space="preserve">Aquí, </w:t>
      </w:r>
      <w:r w:rsidRPr="00B174E0">
        <w:rPr>
          <w:i/>
          <w:iCs/>
        </w:rPr>
        <w:t>con tal apariencia</w:t>
      </w:r>
      <w:r>
        <w:t xml:space="preserve"> significa </w:t>
      </w:r>
      <w:r w:rsidR="003D4D07">
        <w:t xml:space="preserve">blanco </w:t>
      </w:r>
      <w:r>
        <w:t xml:space="preserve">u oscuro. </w:t>
      </w:r>
      <w:r w:rsidRPr="00B174E0">
        <w:rPr>
          <w:i/>
          <w:iCs/>
        </w:rPr>
        <w:t>Tal era mi comida</w:t>
      </w:r>
      <w:r>
        <w:t xml:space="preserve">: </w:t>
      </w:r>
      <w:r w:rsidR="003D4D07">
        <w:t xml:space="preserve">si la comida </w:t>
      </w:r>
      <w:proofErr w:type="gramStart"/>
      <w:r w:rsidR="003D4D07">
        <w:t>consistía de</w:t>
      </w:r>
      <w:proofErr w:type="gramEnd"/>
      <w:r w:rsidR="003D4D07">
        <w:t xml:space="preserve"> </w:t>
      </w:r>
      <w:r>
        <w:t xml:space="preserve">arroz blanco y platos </w:t>
      </w:r>
      <w:r w:rsidR="003D4D07">
        <w:t xml:space="preserve">con </w:t>
      </w:r>
      <w:r>
        <w:t>carne o con frut</w:t>
      </w:r>
      <w:r w:rsidR="00D35F02">
        <w:t>o</w:t>
      </w:r>
      <w:r>
        <w:t xml:space="preserve">s </w:t>
      </w:r>
      <w:r w:rsidR="00D35F02">
        <w:t>caídos</w:t>
      </w:r>
      <w:r>
        <w:t xml:space="preserve">. </w:t>
      </w:r>
      <w:r w:rsidRPr="00B174E0">
        <w:rPr>
          <w:i/>
          <w:iCs/>
        </w:rPr>
        <w:t>Tal mi experiencia de placer y dolor</w:t>
      </w:r>
      <w:r>
        <w:t>: con una experiencia variada de placer y dolor corporal y mental</w:t>
      </w:r>
      <w:r w:rsidR="00D35F02">
        <w:t>,</w:t>
      </w:r>
      <w:r>
        <w:t xml:space="preserve"> clasificados como mundanos y no mundanos, y así sucesivamente. </w:t>
      </w:r>
      <w:r w:rsidRPr="00B174E0">
        <w:rPr>
          <w:i/>
          <w:iCs/>
        </w:rPr>
        <w:t>Tal el final de mi vida</w:t>
      </w:r>
      <w:r>
        <w:t xml:space="preserve">: con </w:t>
      </w:r>
      <w:r w:rsidR="00512478">
        <w:t xml:space="preserve">una </w:t>
      </w:r>
      <w:r>
        <w:t>vida de un siglo o un</w:t>
      </w:r>
      <w:r w:rsidR="00512478">
        <w:t xml:space="preserve"> lapso de </w:t>
      </w:r>
      <w:r>
        <w:t>vida de ochenta y cuatro mil eones.</w:t>
      </w:r>
    </w:p>
    <w:p w14:paraId="37EF5B23" w14:textId="74881EA2" w:rsidR="00E53A7F" w:rsidRDefault="00E53A7F">
      <w:pPr>
        <w:tabs>
          <w:tab w:val="clear" w:pos="425"/>
        </w:tabs>
        <w:spacing w:after="160"/>
      </w:pPr>
      <w:r>
        <w:br w:type="page"/>
      </w:r>
    </w:p>
    <w:p w14:paraId="250C33A6" w14:textId="77777777" w:rsidR="00E53A7F" w:rsidRDefault="00E53A7F" w:rsidP="00E53A7F"/>
    <w:p w14:paraId="22212FA1" w14:textId="1FE71B59" w:rsidR="00301BC9" w:rsidRDefault="00301BC9" w:rsidP="00301BC9">
      <w:r>
        <w:t xml:space="preserve">69. </w:t>
      </w:r>
      <w:r w:rsidR="00B10B66">
        <w:tab/>
      </w:r>
      <w:r w:rsidRPr="00B174E0">
        <w:rPr>
          <w:i/>
          <w:iCs/>
        </w:rPr>
        <w:t xml:space="preserve">Y </w:t>
      </w:r>
      <w:r w:rsidR="00512478">
        <w:rPr>
          <w:i/>
          <w:iCs/>
        </w:rPr>
        <w:t>al fallecer</w:t>
      </w:r>
      <w:r w:rsidRPr="00B174E0">
        <w:rPr>
          <w:i/>
          <w:iCs/>
        </w:rPr>
        <w:t xml:space="preserve"> allí, reaparecí en otro lugar</w:t>
      </w:r>
      <w:r>
        <w:t>: después de haber fallecido e</w:t>
      </w:r>
      <w:r w:rsidR="000B6A87">
        <w:t>n</w:t>
      </w:r>
      <w:r>
        <w:t xml:space="preserve"> </w:t>
      </w:r>
      <w:r w:rsidR="00431E87">
        <w:t xml:space="preserve">tal </w:t>
      </w:r>
      <w:r w:rsidR="00DE19DB">
        <w:t>devenir</w:t>
      </w:r>
      <w:r>
        <w:t xml:space="preserve">, generación, destino, </w:t>
      </w:r>
      <w:r w:rsidR="000377BB">
        <w:t>estado</w:t>
      </w:r>
      <w:r>
        <w:t xml:space="preserve"> de con</w:t>
      </w:r>
      <w:r w:rsidR="00431E87">
        <w:t>s</w:t>
      </w:r>
      <w:r>
        <w:t xml:space="preserve">ciencia, </w:t>
      </w:r>
      <w:r w:rsidR="00431E87">
        <w:t xml:space="preserve">planos existencial </w:t>
      </w:r>
      <w:r>
        <w:t xml:space="preserve">u orden de seres, nuevamente </w:t>
      </w:r>
      <w:r w:rsidR="00431E87">
        <w:t>re</w:t>
      </w:r>
      <w:r>
        <w:t>aparecí en es</w:t>
      </w:r>
      <w:r w:rsidR="00431E87">
        <w:t>a</w:t>
      </w:r>
      <w:r>
        <w:t xml:space="preserve"> otr</w:t>
      </w:r>
      <w:r w:rsidR="00431E87">
        <w:t>a</w:t>
      </w:r>
      <w:r>
        <w:t xml:space="preserve"> </w:t>
      </w:r>
      <w:r w:rsidR="00431E87">
        <w:t>existencia</w:t>
      </w:r>
      <w:r>
        <w:t>, generación, destino, estación de con</w:t>
      </w:r>
      <w:r w:rsidR="00A65DAF">
        <w:t>s</w:t>
      </w:r>
      <w:r>
        <w:t xml:space="preserve">ciencia, </w:t>
      </w:r>
      <w:r w:rsidR="00A65DAF">
        <w:t xml:space="preserve">plano existencial </w:t>
      </w:r>
      <w:r>
        <w:t xml:space="preserve">u orden de seres. </w:t>
      </w:r>
      <w:r w:rsidRPr="00B174E0">
        <w:rPr>
          <w:i/>
          <w:iCs/>
        </w:rPr>
        <w:t xml:space="preserve">Y allí también </w:t>
      </w:r>
      <w:r w:rsidR="00B174E0">
        <w:rPr>
          <w:i/>
          <w:iCs/>
        </w:rPr>
        <w:t>fui</w:t>
      </w:r>
      <w:r w:rsidR="00542DC4">
        <w:rPr>
          <w:i/>
          <w:iCs/>
        </w:rPr>
        <w:t xml:space="preserve"> así</w:t>
      </w:r>
      <w:r>
        <w:t>: de nuevo, estuve allí en es</w:t>
      </w:r>
      <w:r w:rsidR="00A65DAF">
        <w:t>a</w:t>
      </w:r>
      <w:r>
        <w:t xml:space="preserve"> </w:t>
      </w:r>
      <w:r w:rsidR="00A65DAF">
        <w:t>existencia</w:t>
      </w:r>
      <w:r>
        <w:t>, generación, destino, estación de con</w:t>
      </w:r>
      <w:r w:rsidR="00A65DAF">
        <w:t>s</w:t>
      </w:r>
      <w:r>
        <w:t xml:space="preserve">ciencia, </w:t>
      </w:r>
      <w:r w:rsidR="00A65DAF">
        <w:t xml:space="preserve">plano existencial </w:t>
      </w:r>
      <w:r>
        <w:t xml:space="preserve">u orden de seres. </w:t>
      </w:r>
      <w:r w:rsidR="00542DC4">
        <w:rPr>
          <w:i/>
          <w:iCs/>
        </w:rPr>
        <w:t xml:space="preserve">Así </w:t>
      </w:r>
      <w:r w:rsidR="00BD21CA">
        <w:rPr>
          <w:i/>
          <w:iCs/>
        </w:rPr>
        <w:t xml:space="preserve">fue </w:t>
      </w:r>
      <w:r w:rsidR="00542DC4">
        <w:rPr>
          <w:i/>
          <w:iCs/>
        </w:rPr>
        <w:t>mi nombre</w:t>
      </w:r>
      <w:r>
        <w:t xml:space="preserve">, etc., </w:t>
      </w:r>
      <w:r w:rsidR="00BD21CA">
        <w:t>será</w:t>
      </w:r>
      <w:r>
        <w:t xml:space="preserve"> como ya se </w:t>
      </w:r>
      <w:r w:rsidR="00BD21CA">
        <w:t>describió anteriormente</w:t>
      </w:r>
      <w:r>
        <w:t>.</w:t>
      </w:r>
    </w:p>
    <w:p w14:paraId="6E2D00E3" w14:textId="49067963" w:rsidR="00301BC9" w:rsidRDefault="00301BC9" w:rsidP="00301BC9">
      <w:r>
        <w:t xml:space="preserve">70. </w:t>
      </w:r>
      <w:r w:rsidR="00B10B66">
        <w:tab/>
      </w:r>
      <w:r>
        <w:t xml:space="preserve">Además, las palabras </w:t>
      </w:r>
      <w:r w:rsidRPr="00542DC4">
        <w:rPr>
          <w:i/>
          <w:iCs/>
        </w:rPr>
        <w:t xml:space="preserve">allí </w:t>
      </w:r>
      <w:r w:rsidR="006C254F">
        <w:rPr>
          <w:i/>
          <w:iCs/>
        </w:rPr>
        <w:t xml:space="preserve">yo </w:t>
      </w:r>
      <w:r w:rsidR="00E65571">
        <w:rPr>
          <w:i/>
          <w:iCs/>
        </w:rPr>
        <w:t>era</w:t>
      </w:r>
      <w:r w:rsidRPr="00542DC4">
        <w:rPr>
          <w:i/>
          <w:iCs/>
        </w:rPr>
        <w:t xml:space="preserve"> </w:t>
      </w:r>
      <w:r w:rsidR="002E47A4">
        <w:t>se refiere</w:t>
      </w:r>
      <w:r w:rsidR="004110EB">
        <w:t>n</w:t>
      </w:r>
      <w:r>
        <w:t xml:space="preserve"> al recuerdo de alguien que ha</w:t>
      </w:r>
      <w:r w:rsidR="00755155">
        <w:t>ya</w:t>
      </w:r>
      <w:r>
        <w:t xml:space="preserve"> </w:t>
      </w:r>
      <w:r w:rsidR="001D245F">
        <w:t xml:space="preserve">hecho su regresión </w:t>
      </w:r>
      <w:r>
        <w:t xml:space="preserve">retrospectivamente </w:t>
      </w:r>
      <w:r w:rsidR="001D245F">
        <w:t xml:space="preserve">hasta </w:t>
      </w:r>
      <w:r>
        <w:t xml:space="preserve">lo que </w:t>
      </w:r>
      <w:r w:rsidR="001D245F">
        <w:t xml:space="preserve">haya </w:t>
      </w:r>
      <w:r>
        <w:t>de</w:t>
      </w:r>
      <w:r w:rsidR="001D245F">
        <w:t>cidido</w:t>
      </w:r>
      <w:r>
        <w:t xml:space="preserve">, y las palabras </w:t>
      </w:r>
      <w:r w:rsidR="00C13BDB" w:rsidRPr="00C13BDB">
        <w:rPr>
          <w:i/>
          <w:iCs/>
        </w:rPr>
        <w:t xml:space="preserve">y </w:t>
      </w:r>
      <w:r w:rsidRPr="00E65571">
        <w:rPr>
          <w:i/>
          <w:iCs/>
        </w:rPr>
        <w:t>fallec</w:t>
      </w:r>
      <w:r w:rsidR="00C13BDB">
        <w:rPr>
          <w:i/>
          <w:iCs/>
        </w:rPr>
        <w:t>í</w:t>
      </w:r>
      <w:r w:rsidRPr="00E65571">
        <w:rPr>
          <w:i/>
          <w:iCs/>
        </w:rPr>
        <w:t xml:space="preserve"> allí</w:t>
      </w:r>
      <w:r>
        <w:t xml:space="preserve"> se refer</w:t>
      </w:r>
      <w:r w:rsidR="00A64051">
        <w:t>irá</w:t>
      </w:r>
      <w:r>
        <w:t xml:space="preserve">n a su revisión después de </w:t>
      </w:r>
      <w:r w:rsidR="00AB11B9">
        <w:t xml:space="preserve">reaparecer </w:t>
      </w:r>
      <w:r>
        <w:t xml:space="preserve">nuevamente; </w:t>
      </w:r>
      <w:r w:rsidR="00AB11B9">
        <w:t>e</w:t>
      </w:r>
      <w:r>
        <w:t xml:space="preserve">n consecuencia, las palabras </w:t>
      </w:r>
      <w:r w:rsidR="00BC6EF3">
        <w:rPr>
          <w:i/>
          <w:iCs/>
        </w:rPr>
        <w:t>surgí</w:t>
      </w:r>
      <w:r w:rsidRPr="00E65571">
        <w:rPr>
          <w:i/>
          <w:iCs/>
        </w:rPr>
        <w:t xml:space="preserve"> en otro lugar</w:t>
      </w:r>
      <w:r>
        <w:t xml:space="preserve"> se pueden entender que se dicen con referencia al lugar de su reaparición después de su </w:t>
      </w:r>
      <w:r w:rsidR="006C254F">
        <w:t>última re</w:t>
      </w:r>
      <w:r>
        <w:t xml:space="preserve">aparición, a las que se hace referencia por las palabras </w:t>
      </w:r>
      <w:r w:rsidRPr="00BC6EF3">
        <w:rPr>
          <w:i/>
          <w:iCs/>
        </w:rPr>
        <w:t>aparecí aquí</w:t>
      </w:r>
      <w:r>
        <w:t xml:space="preserve">. Pero las </w:t>
      </w:r>
      <w:r w:rsidRPr="006C254F">
        <w:rPr>
          <w:i/>
          <w:iCs/>
        </w:rPr>
        <w:t xml:space="preserve">palabras allí también </w:t>
      </w:r>
      <w:r w:rsidR="006C254F">
        <w:rPr>
          <w:i/>
          <w:iCs/>
        </w:rPr>
        <w:t>yo fui</w:t>
      </w:r>
      <w:r>
        <w:t xml:space="preserve">, etc., [423] se dicen para </w:t>
      </w:r>
      <w:r w:rsidR="001A73D0">
        <w:t xml:space="preserve">exponer </w:t>
      </w:r>
      <w:r>
        <w:t>el recuerdo de su nombre, raza, etc., allí</w:t>
      </w:r>
      <w:r w:rsidR="001A73D0">
        <w:t>,</w:t>
      </w:r>
      <w:r>
        <w:t xml:space="preserve"> en el lugar de su reaparición a continuación antes de </w:t>
      </w:r>
      <w:r w:rsidR="001A73D0">
        <w:t>la última re</w:t>
      </w:r>
      <w:r>
        <w:t xml:space="preserve">aparición. Y </w:t>
      </w:r>
      <w:r w:rsidR="004110EB">
        <w:t xml:space="preserve">al </w:t>
      </w:r>
      <w:r w:rsidR="001A73D0">
        <w:rPr>
          <w:i/>
          <w:iCs/>
        </w:rPr>
        <w:t>fallec</w:t>
      </w:r>
      <w:r w:rsidR="004110EB">
        <w:rPr>
          <w:i/>
          <w:iCs/>
        </w:rPr>
        <w:t>er</w:t>
      </w:r>
      <w:r w:rsidR="001A73D0">
        <w:rPr>
          <w:i/>
          <w:iCs/>
        </w:rPr>
        <w:t xml:space="preserve"> </w:t>
      </w:r>
      <w:r w:rsidRPr="00BC6EF3">
        <w:rPr>
          <w:i/>
          <w:iCs/>
        </w:rPr>
        <w:t xml:space="preserve">allí, </w:t>
      </w:r>
      <w:r w:rsidR="00FA1AC7" w:rsidRPr="00BC6EF3">
        <w:rPr>
          <w:i/>
          <w:iCs/>
        </w:rPr>
        <w:t>reaparecí a</w:t>
      </w:r>
      <w:r w:rsidR="00FA1AC7">
        <w:rPr>
          <w:i/>
          <w:iCs/>
        </w:rPr>
        <w:t>qu</w:t>
      </w:r>
      <w:r w:rsidR="00FA1AC7" w:rsidRPr="00BC6EF3">
        <w:rPr>
          <w:i/>
          <w:iCs/>
        </w:rPr>
        <w:t>í</w:t>
      </w:r>
      <w:r>
        <w:t>: después de haber fallecido de</w:t>
      </w:r>
      <w:r w:rsidR="001A73D0">
        <w:t>l</w:t>
      </w:r>
      <w:r>
        <w:t xml:space="preserve"> siguiente lugar de reaparición, renací aquí</w:t>
      </w:r>
      <w:r w:rsidR="004110EB">
        <w:t>,</w:t>
      </w:r>
      <w:r>
        <w:t xml:space="preserve"> en este clan </w:t>
      </w:r>
      <w:proofErr w:type="spellStart"/>
      <w:r w:rsidR="00780BEB" w:rsidRPr="00780BEB">
        <w:rPr>
          <w:i/>
          <w:iCs/>
        </w:rPr>
        <w:t>khattiya</w:t>
      </w:r>
      <w:proofErr w:type="spellEnd"/>
      <w:r w:rsidR="00780BEB">
        <w:t xml:space="preserve"> </w:t>
      </w:r>
      <w:r>
        <w:t xml:space="preserve">o clan </w:t>
      </w:r>
      <w:proofErr w:type="spellStart"/>
      <w:r w:rsidR="00780BEB" w:rsidRPr="00780BEB">
        <w:rPr>
          <w:i/>
          <w:iCs/>
        </w:rPr>
        <w:t>brahman</w:t>
      </w:r>
      <w:proofErr w:type="spellEnd"/>
      <w:r>
        <w:t>.</w:t>
      </w:r>
    </w:p>
    <w:p w14:paraId="4F87F6A8" w14:textId="2BF1AA09" w:rsidR="00301BC9" w:rsidRDefault="00301BC9" w:rsidP="00301BC9">
      <w:r>
        <w:t xml:space="preserve">71. </w:t>
      </w:r>
      <w:r w:rsidR="00B10B66">
        <w:tab/>
      </w:r>
      <w:r w:rsidRPr="00FA1AC7">
        <w:rPr>
          <w:i/>
          <w:iCs/>
        </w:rPr>
        <w:t>Así</w:t>
      </w:r>
      <w:r>
        <w:t xml:space="preserve">: </w:t>
      </w:r>
      <w:r w:rsidR="00697F40">
        <w:t>de esta manera</w:t>
      </w:r>
      <w:r>
        <w:t xml:space="preserve">. </w:t>
      </w:r>
      <w:r w:rsidRPr="00FA1AC7">
        <w:rPr>
          <w:i/>
          <w:iCs/>
        </w:rPr>
        <w:t>Con sus aspectos y detalles</w:t>
      </w:r>
      <w:r>
        <w:t xml:space="preserve">: con sus detalles </w:t>
      </w:r>
      <w:r w:rsidR="00697F40">
        <w:t xml:space="preserve">comprendidos </w:t>
      </w:r>
      <w:r w:rsidR="004110EB">
        <w:t>por su</w:t>
      </w:r>
      <w:r w:rsidR="00697F40">
        <w:t xml:space="preserve"> </w:t>
      </w:r>
      <w:r>
        <w:t xml:space="preserve">nombre y raza; con sus aspectos </w:t>
      </w:r>
      <w:r w:rsidR="00697F40">
        <w:t>consistente</w:t>
      </w:r>
      <w:r w:rsidR="00F13DA3">
        <w:t>s</w:t>
      </w:r>
      <w:r w:rsidR="00697F40">
        <w:t xml:space="preserve"> de tal </w:t>
      </w:r>
      <w:r>
        <w:t xml:space="preserve">apariencia, </w:t>
      </w:r>
      <w:r w:rsidR="00697F40">
        <w:t>etc</w:t>
      </w:r>
      <w:r>
        <w:t xml:space="preserve">. </w:t>
      </w:r>
      <w:r w:rsidR="00F13DA3">
        <w:t xml:space="preserve">Ya </w:t>
      </w:r>
      <w:r>
        <w:t xml:space="preserve">que </w:t>
      </w:r>
      <w:r w:rsidR="00F13DA3">
        <w:t xml:space="preserve">será </w:t>
      </w:r>
      <w:r>
        <w:t>por medio de</w:t>
      </w:r>
      <w:r w:rsidR="00F13DA3">
        <w:t xml:space="preserve"> su</w:t>
      </w:r>
      <w:r>
        <w:t xml:space="preserve"> nombre y raza que un ser </w:t>
      </w:r>
      <w:r w:rsidR="00697F40">
        <w:t xml:space="preserve">será </w:t>
      </w:r>
      <w:r>
        <w:t xml:space="preserve">particularizado como, digamos </w:t>
      </w:r>
      <w:proofErr w:type="spellStart"/>
      <w:r>
        <w:t>Tissa</w:t>
      </w:r>
      <w:proofErr w:type="spellEnd"/>
      <w:r>
        <w:t xml:space="preserve"> Kassapa; </w:t>
      </w:r>
      <w:r w:rsidR="00697F40">
        <w:t xml:space="preserve">No obstante, </w:t>
      </w:r>
      <w:r>
        <w:t>su personalidad distintiva se da</w:t>
      </w:r>
      <w:r w:rsidR="00F13DA3">
        <w:t>rá</w:t>
      </w:r>
      <w:r>
        <w:t xml:space="preserve"> a conocer por medio de </w:t>
      </w:r>
      <w:r w:rsidR="00F13DA3">
        <w:t xml:space="preserve">la </w:t>
      </w:r>
      <w:r>
        <w:t xml:space="preserve">apariencia, etc., como oscura o </w:t>
      </w:r>
      <w:r w:rsidR="00697F40">
        <w:t>clara</w:t>
      </w:r>
      <w:r>
        <w:t xml:space="preserve">. Entonces, el nombre y la raza </w:t>
      </w:r>
      <w:r w:rsidR="00697F40">
        <w:t xml:space="preserve">serán </w:t>
      </w:r>
      <w:r>
        <w:t xml:space="preserve">los detalles, mientras que los otros </w:t>
      </w:r>
      <w:r w:rsidR="00697F40">
        <w:t xml:space="preserve">serán </w:t>
      </w:r>
      <w:r>
        <w:t xml:space="preserve">los aspectos. </w:t>
      </w:r>
      <w:r w:rsidR="001706FC">
        <w:rPr>
          <w:i/>
          <w:iCs/>
        </w:rPr>
        <w:t xml:space="preserve">Él recordará </w:t>
      </w:r>
      <w:r w:rsidRPr="00FA1AC7">
        <w:rPr>
          <w:i/>
          <w:iCs/>
        </w:rPr>
        <w:t>sus múltiples vidas</w:t>
      </w:r>
      <w:r>
        <w:t xml:space="preserve"> </w:t>
      </w:r>
      <w:r w:rsidRPr="00F13DA3">
        <w:rPr>
          <w:i/>
          <w:iCs/>
        </w:rPr>
        <w:t>pasadas</w:t>
      </w:r>
      <w:r>
        <w:t xml:space="preserve">: el significado de esto es </w:t>
      </w:r>
      <w:r w:rsidR="00F13DA3">
        <w:t>evidente</w:t>
      </w:r>
      <w:r>
        <w:t>.</w:t>
      </w:r>
    </w:p>
    <w:p w14:paraId="2E0E5DFA" w14:textId="49CA3ED7" w:rsidR="00301BC9" w:rsidRDefault="00F13DA3" w:rsidP="00FA1AC7">
      <w:pPr>
        <w:pStyle w:val="NormalConSangria"/>
      </w:pPr>
      <w:r>
        <w:t xml:space="preserve">La </w:t>
      </w:r>
      <w:r w:rsidR="00301BC9">
        <w:t>explicación del conocimiento del recuerdo de vidas pasadas</w:t>
      </w:r>
      <w:r w:rsidR="001706FC" w:rsidRPr="001706FC">
        <w:t xml:space="preserve"> </w:t>
      </w:r>
      <w:r w:rsidR="001706FC">
        <w:t>termina aquí</w:t>
      </w:r>
      <w:r w:rsidR="00301BC9">
        <w:t>.</w:t>
      </w:r>
    </w:p>
    <w:p w14:paraId="78381C94" w14:textId="030A7D8A" w:rsidR="00301BC9" w:rsidRDefault="00301BC9" w:rsidP="00B10B66">
      <w:pPr>
        <w:pStyle w:val="Ttulo3"/>
        <w:ind w:left="708"/>
      </w:pPr>
      <w:r>
        <w:t xml:space="preserve">[(5) El Ojo Divino: </w:t>
      </w:r>
      <w:r w:rsidR="00EF6905">
        <w:t xml:space="preserve">el </w:t>
      </w:r>
      <w:r>
        <w:t xml:space="preserve">Conocimiento Del Fallecimiento </w:t>
      </w:r>
      <w:r w:rsidR="00B10B66">
        <w:t xml:space="preserve">y </w:t>
      </w:r>
      <w:r w:rsidR="00B10B66">
        <w:br/>
      </w:r>
      <w:r>
        <w:t xml:space="preserve">Reaparición </w:t>
      </w:r>
      <w:r w:rsidR="00B10B66">
        <w:t xml:space="preserve">de los </w:t>
      </w:r>
      <w:r>
        <w:t>Seres]</w:t>
      </w:r>
    </w:p>
    <w:p w14:paraId="3550891E" w14:textId="221CEC4D" w:rsidR="00E53A7F" w:rsidRDefault="00301BC9" w:rsidP="00301BC9">
      <w:r>
        <w:t xml:space="preserve">72. </w:t>
      </w:r>
      <w:r w:rsidR="00B10B66">
        <w:tab/>
      </w:r>
      <w:r>
        <w:t xml:space="preserve">En cuanto a la explicación del conocimiento del fallecimiento y la reaparición de los seres, [Aquí el texto: </w:t>
      </w:r>
      <w:r w:rsidRPr="000D7FC3">
        <w:rPr>
          <w:i/>
          <w:iCs/>
        </w:rPr>
        <w:t>“</w:t>
      </w:r>
      <w:r w:rsidR="00CF78E7" w:rsidRPr="000D7FC3">
        <w:rPr>
          <w:i/>
          <w:iCs/>
        </w:rPr>
        <w:t>Él d</w:t>
      </w:r>
      <w:r w:rsidRPr="000D7FC3">
        <w:rPr>
          <w:i/>
          <w:iCs/>
        </w:rPr>
        <w:t>irig</w:t>
      </w:r>
      <w:r w:rsidR="00CF78E7" w:rsidRPr="000D7FC3">
        <w:rPr>
          <w:i/>
          <w:iCs/>
        </w:rPr>
        <w:t>irá</w:t>
      </w:r>
      <w:r w:rsidRPr="000D7FC3">
        <w:rPr>
          <w:i/>
          <w:iCs/>
        </w:rPr>
        <w:t>, inclina</w:t>
      </w:r>
      <w:r w:rsidR="00CF78E7" w:rsidRPr="000D7FC3">
        <w:rPr>
          <w:i/>
          <w:iCs/>
        </w:rPr>
        <w:t>rá</w:t>
      </w:r>
      <w:r w:rsidRPr="000D7FC3">
        <w:rPr>
          <w:i/>
          <w:iCs/>
        </w:rPr>
        <w:t xml:space="preserve">, su mente </w:t>
      </w:r>
      <w:r w:rsidR="00CF78E7" w:rsidRPr="000D7FC3">
        <w:rPr>
          <w:i/>
          <w:iCs/>
        </w:rPr>
        <w:t>hacia e</w:t>
      </w:r>
      <w:r w:rsidRPr="000D7FC3">
        <w:rPr>
          <w:i/>
          <w:iCs/>
        </w:rPr>
        <w:t>l conocimiento del fallecimiento y la reaparición de los seres. Con el ojo divino, purifi</w:t>
      </w:r>
      <w:r w:rsidR="00CE138B">
        <w:rPr>
          <w:i/>
          <w:iCs/>
        </w:rPr>
        <w:t>cado</w:t>
      </w:r>
      <w:r w:rsidRPr="000D7FC3">
        <w:rPr>
          <w:i/>
          <w:iCs/>
        </w:rPr>
        <w:t xml:space="preserve"> y </w:t>
      </w:r>
      <w:r w:rsidR="00170153" w:rsidRPr="000D7FC3">
        <w:rPr>
          <w:i/>
          <w:iCs/>
        </w:rPr>
        <w:t xml:space="preserve">que </w:t>
      </w:r>
      <w:r w:rsidRPr="000D7FC3">
        <w:rPr>
          <w:i/>
          <w:iCs/>
        </w:rPr>
        <w:t>supera al humano, ve</w:t>
      </w:r>
      <w:r w:rsidR="00CF78E7" w:rsidRPr="000D7FC3">
        <w:rPr>
          <w:i/>
          <w:iCs/>
        </w:rPr>
        <w:t>rá</w:t>
      </w:r>
      <w:r w:rsidRPr="000D7FC3">
        <w:rPr>
          <w:i/>
          <w:iCs/>
        </w:rPr>
        <w:t xml:space="preserve"> a los seres </w:t>
      </w:r>
      <w:r w:rsidR="00CF78E7" w:rsidRPr="000D7FC3">
        <w:rPr>
          <w:i/>
          <w:iCs/>
        </w:rPr>
        <w:t>falle</w:t>
      </w:r>
      <w:r w:rsidR="00B7250E">
        <w:rPr>
          <w:i/>
          <w:iCs/>
        </w:rPr>
        <w:t>ciendo</w:t>
      </w:r>
      <w:r w:rsidR="00CF78E7" w:rsidRPr="000D7FC3">
        <w:rPr>
          <w:i/>
          <w:iCs/>
        </w:rPr>
        <w:t xml:space="preserve"> </w:t>
      </w:r>
      <w:r w:rsidRPr="000D7FC3">
        <w:rPr>
          <w:i/>
          <w:iCs/>
        </w:rPr>
        <w:t>y reapare</w:t>
      </w:r>
      <w:r w:rsidR="00B7250E">
        <w:rPr>
          <w:i/>
          <w:iCs/>
        </w:rPr>
        <w:t>ciendo</w:t>
      </w:r>
      <w:r w:rsidRPr="000D7FC3">
        <w:rPr>
          <w:i/>
          <w:iCs/>
        </w:rPr>
        <w:t xml:space="preserve">, inferiores y superiores, </w:t>
      </w:r>
      <w:r w:rsidR="009E27B4" w:rsidRPr="000D7FC3">
        <w:rPr>
          <w:i/>
          <w:iCs/>
        </w:rPr>
        <w:t xml:space="preserve">agraciados </w:t>
      </w:r>
      <w:r w:rsidRPr="000D7FC3">
        <w:rPr>
          <w:i/>
          <w:iCs/>
        </w:rPr>
        <w:t xml:space="preserve">y feos, felices o infelices en su destino; </w:t>
      </w:r>
      <w:r w:rsidR="00A1477C" w:rsidRPr="000D7FC3">
        <w:rPr>
          <w:i/>
          <w:iCs/>
        </w:rPr>
        <w:t>é</w:t>
      </w:r>
      <w:r w:rsidRPr="000D7FC3">
        <w:rPr>
          <w:i/>
          <w:iCs/>
        </w:rPr>
        <w:t xml:space="preserve">l </w:t>
      </w:r>
      <w:r w:rsidR="009E27B4" w:rsidRPr="000D7FC3">
        <w:rPr>
          <w:i/>
          <w:iCs/>
        </w:rPr>
        <w:t xml:space="preserve">reconocerá </w:t>
      </w:r>
      <w:r w:rsidR="00AB4B04">
        <w:rPr>
          <w:i/>
          <w:iCs/>
        </w:rPr>
        <w:t>su</w:t>
      </w:r>
      <w:r w:rsidR="009E27B4" w:rsidRPr="000D7FC3">
        <w:rPr>
          <w:i/>
          <w:iCs/>
        </w:rPr>
        <w:t xml:space="preserve"> destino </w:t>
      </w:r>
      <w:r w:rsidRPr="000D7FC3">
        <w:rPr>
          <w:i/>
          <w:iCs/>
        </w:rPr>
        <w:t xml:space="preserve">los seres de acuerdo </w:t>
      </w:r>
      <w:r w:rsidR="00A1477C" w:rsidRPr="000D7FC3">
        <w:rPr>
          <w:i/>
          <w:iCs/>
        </w:rPr>
        <w:t xml:space="preserve">a </w:t>
      </w:r>
      <w:r w:rsidRPr="000D7FC3">
        <w:rPr>
          <w:i/>
          <w:iCs/>
        </w:rPr>
        <w:t xml:space="preserve">sus </w:t>
      </w:r>
      <w:r w:rsidR="009E27B4" w:rsidRPr="000D7FC3">
        <w:rPr>
          <w:i/>
          <w:iCs/>
        </w:rPr>
        <w:t>acciones</w:t>
      </w:r>
      <w:r w:rsidRPr="000D7FC3">
        <w:rPr>
          <w:i/>
          <w:iCs/>
        </w:rPr>
        <w:t xml:space="preserve">: 'Estos </w:t>
      </w:r>
      <w:r w:rsidR="00A1477C" w:rsidRPr="000D7FC3">
        <w:rPr>
          <w:i/>
          <w:iCs/>
        </w:rPr>
        <w:t xml:space="preserve">dignos </w:t>
      </w:r>
      <w:r w:rsidRPr="000D7FC3">
        <w:rPr>
          <w:i/>
          <w:iCs/>
        </w:rPr>
        <w:t xml:space="preserve">seres que fueron mal conducidos en cuerpo, </w:t>
      </w:r>
      <w:r w:rsidR="00A1477C" w:rsidRPr="000D7FC3">
        <w:rPr>
          <w:i/>
          <w:iCs/>
        </w:rPr>
        <w:t>lenguaje</w:t>
      </w:r>
      <w:r w:rsidRPr="000D7FC3">
        <w:rPr>
          <w:i/>
          <w:iCs/>
        </w:rPr>
        <w:t xml:space="preserve"> y mente, </w:t>
      </w:r>
      <w:r w:rsidR="005E0D08" w:rsidRPr="000D7FC3">
        <w:rPr>
          <w:i/>
          <w:iCs/>
        </w:rPr>
        <w:t xml:space="preserve">rivales </w:t>
      </w:r>
      <w:r w:rsidRPr="000D7FC3">
        <w:rPr>
          <w:i/>
          <w:iCs/>
        </w:rPr>
        <w:t xml:space="preserve">de los </w:t>
      </w:r>
      <w:r w:rsidR="00EE2F8B" w:rsidRPr="000D7FC3">
        <w:rPr>
          <w:i/>
          <w:iCs/>
        </w:rPr>
        <w:t>Nobles</w:t>
      </w:r>
      <w:r w:rsidRPr="000D7FC3">
        <w:rPr>
          <w:i/>
          <w:iCs/>
        </w:rPr>
        <w:t xml:space="preserve">, incorrectos en sus puntos de vista, adquirentes de </w:t>
      </w:r>
      <w:proofErr w:type="spellStart"/>
      <w:r w:rsidR="00FA1AC7" w:rsidRPr="000D7FC3">
        <w:rPr>
          <w:i/>
          <w:iCs/>
        </w:rPr>
        <w:t>kamma</w:t>
      </w:r>
      <w:proofErr w:type="spellEnd"/>
      <w:r w:rsidR="00FA1AC7" w:rsidRPr="000D7FC3">
        <w:rPr>
          <w:i/>
          <w:iCs/>
        </w:rPr>
        <w:t xml:space="preserve"> </w:t>
      </w:r>
      <w:r w:rsidRPr="000D7FC3">
        <w:rPr>
          <w:i/>
          <w:iCs/>
        </w:rPr>
        <w:t xml:space="preserve">debido a una visión incorrecta, </w:t>
      </w:r>
      <w:r w:rsidR="00257737" w:rsidRPr="000D7FC3">
        <w:rPr>
          <w:i/>
          <w:iCs/>
        </w:rPr>
        <w:t>a</w:t>
      </w:r>
      <w:r w:rsidRPr="000D7FC3">
        <w:rPr>
          <w:i/>
          <w:iCs/>
        </w:rPr>
        <w:t xml:space="preserve"> la ruptura de</w:t>
      </w:r>
      <w:r w:rsidR="007657B2">
        <w:rPr>
          <w:i/>
          <w:iCs/>
        </w:rPr>
        <w:t xml:space="preserve"> sus</w:t>
      </w:r>
      <w:r w:rsidRPr="000D7FC3">
        <w:rPr>
          <w:i/>
          <w:iCs/>
        </w:rPr>
        <w:t xml:space="preserve"> cuerpo</w:t>
      </w:r>
      <w:r w:rsidR="007657B2">
        <w:rPr>
          <w:i/>
          <w:iCs/>
        </w:rPr>
        <w:t>s</w:t>
      </w:r>
      <w:r w:rsidRPr="000D7FC3">
        <w:rPr>
          <w:i/>
          <w:iCs/>
        </w:rPr>
        <w:t>, después de la muerte,</w:t>
      </w:r>
      <w:r w:rsidR="00257737" w:rsidRPr="000D7FC3">
        <w:rPr>
          <w:i/>
          <w:iCs/>
        </w:rPr>
        <w:t xml:space="preserve"> </w:t>
      </w:r>
      <w:r w:rsidR="0044050B" w:rsidRPr="000D7FC3">
        <w:rPr>
          <w:i/>
          <w:iCs/>
        </w:rPr>
        <w:t>han reaparecido</w:t>
      </w:r>
      <w:r w:rsidRPr="000D7FC3">
        <w:rPr>
          <w:i/>
          <w:iCs/>
        </w:rPr>
        <w:t xml:space="preserve"> en un estado de p</w:t>
      </w:r>
      <w:r w:rsidR="00492637" w:rsidRPr="000D7FC3">
        <w:rPr>
          <w:i/>
          <w:iCs/>
        </w:rPr>
        <w:t>e</w:t>
      </w:r>
      <w:r w:rsidRPr="000D7FC3">
        <w:rPr>
          <w:i/>
          <w:iCs/>
        </w:rPr>
        <w:t>rdi</w:t>
      </w:r>
      <w:r w:rsidR="00492637" w:rsidRPr="000D7FC3">
        <w:rPr>
          <w:i/>
          <w:iCs/>
        </w:rPr>
        <w:t>ción</w:t>
      </w:r>
      <w:r w:rsidRPr="000D7FC3">
        <w:rPr>
          <w:i/>
          <w:iCs/>
        </w:rPr>
        <w:t>, en un destino infeliz, en la perdición</w:t>
      </w:r>
      <w:r w:rsidR="00492637" w:rsidRPr="000D7FC3">
        <w:rPr>
          <w:i/>
          <w:iCs/>
        </w:rPr>
        <w:t>,</w:t>
      </w:r>
      <w:r w:rsidRPr="000D7FC3">
        <w:rPr>
          <w:i/>
          <w:iCs/>
        </w:rPr>
        <w:t xml:space="preserve"> en el infierno; </w:t>
      </w:r>
      <w:r w:rsidR="00492637" w:rsidRPr="000D7FC3">
        <w:rPr>
          <w:i/>
          <w:iCs/>
        </w:rPr>
        <w:t xml:space="preserve">no obstante, </w:t>
      </w:r>
      <w:r w:rsidRPr="000D7FC3">
        <w:rPr>
          <w:i/>
          <w:iCs/>
        </w:rPr>
        <w:t xml:space="preserve">estos seres dignos, bien </w:t>
      </w:r>
      <w:r w:rsidR="0044050B" w:rsidRPr="000D7FC3">
        <w:rPr>
          <w:i/>
          <w:iCs/>
        </w:rPr>
        <w:t xml:space="preserve">conducidos en </w:t>
      </w:r>
      <w:r w:rsidRPr="000D7FC3">
        <w:rPr>
          <w:i/>
          <w:iCs/>
        </w:rPr>
        <w:t xml:space="preserve">cuerpo, </w:t>
      </w:r>
      <w:r w:rsidR="0044050B" w:rsidRPr="000D7FC3">
        <w:rPr>
          <w:i/>
          <w:iCs/>
        </w:rPr>
        <w:t xml:space="preserve">lenguaje </w:t>
      </w:r>
      <w:r w:rsidRPr="000D7FC3">
        <w:rPr>
          <w:i/>
          <w:iCs/>
        </w:rPr>
        <w:t xml:space="preserve">y mente, no </w:t>
      </w:r>
      <w:r w:rsidR="005E0D08" w:rsidRPr="000D7FC3">
        <w:rPr>
          <w:i/>
          <w:iCs/>
        </w:rPr>
        <w:t>rivales</w:t>
      </w:r>
      <w:r w:rsidRPr="000D7FC3">
        <w:rPr>
          <w:i/>
          <w:iCs/>
        </w:rPr>
        <w:t xml:space="preserve"> de los </w:t>
      </w:r>
      <w:r w:rsidR="00EE2F8B" w:rsidRPr="000D7FC3">
        <w:rPr>
          <w:i/>
          <w:iCs/>
        </w:rPr>
        <w:t>Nobles</w:t>
      </w:r>
      <w:r w:rsidRPr="000D7FC3">
        <w:rPr>
          <w:i/>
          <w:iCs/>
        </w:rPr>
        <w:t xml:space="preserve">, </w:t>
      </w:r>
      <w:r w:rsidR="0044050B" w:rsidRPr="000D7FC3">
        <w:rPr>
          <w:i/>
          <w:iCs/>
        </w:rPr>
        <w:t xml:space="preserve">correctos </w:t>
      </w:r>
      <w:r w:rsidRPr="000D7FC3">
        <w:rPr>
          <w:i/>
          <w:iCs/>
        </w:rPr>
        <w:t xml:space="preserve">en sus puntos de vista, adquirentes de </w:t>
      </w:r>
      <w:proofErr w:type="spellStart"/>
      <w:r w:rsidR="00FA1AC7" w:rsidRPr="000D7FC3">
        <w:rPr>
          <w:i/>
          <w:iCs/>
        </w:rPr>
        <w:t>kamma</w:t>
      </w:r>
      <w:proofErr w:type="spellEnd"/>
      <w:r w:rsidR="00FA1AC7" w:rsidRPr="000D7FC3">
        <w:rPr>
          <w:i/>
          <w:iCs/>
        </w:rPr>
        <w:t xml:space="preserve"> </w:t>
      </w:r>
      <w:r w:rsidRPr="000D7FC3">
        <w:rPr>
          <w:i/>
          <w:iCs/>
        </w:rPr>
        <w:t xml:space="preserve">debido a </w:t>
      </w:r>
      <w:r w:rsidR="0044050B" w:rsidRPr="000D7FC3">
        <w:rPr>
          <w:i/>
          <w:iCs/>
        </w:rPr>
        <w:t xml:space="preserve">una </w:t>
      </w:r>
      <w:r w:rsidRPr="000D7FC3">
        <w:rPr>
          <w:i/>
          <w:iCs/>
        </w:rPr>
        <w:t xml:space="preserve">opinión correcta, </w:t>
      </w:r>
      <w:r w:rsidR="0044050B" w:rsidRPr="000D7FC3">
        <w:rPr>
          <w:i/>
          <w:iCs/>
        </w:rPr>
        <w:t xml:space="preserve">a </w:t>
      </w:r>
      <w:r w:rsidRPr="000D7FC3">
        <w:rPr>
          <w:i/>
          <w:iCs/>
        </w:rPr>
        <w:t>la ruptura de</w:t>
      </w:r>
      <w:r w:rsidR="007657B2">
        <w:rPr>
          <w:i/>
          <w:iCs/>
        </w:rPr>
        <w:t xml:space="preserve"> sus</w:t>
      </w:r>
      <w:r w:rsidRPr="000D7FC3">
        <w:rPr>
          <w:i/>
          <w:iCs/>
        </w:rPr>
        <w:t xml:space="preserve"> cuerpo</w:t>
      </w:r>
      <w:r w:rsidR="007657B2">
        <w:rPr>
          <w:i/>
          <w:iCs/>
        </w:rPr>
        <w:t>s</w:t>
      </w:r>
      <w:r w:rsidRPr="000D7FC3">
        <w:rPr>
          <w:i/>
          <w:iCs/>
        </w:rPr>
        <w:t xml:space="preserve">, después de la muerte, </w:t>
      </w:r>
      <w:r w:rsidR="0044050B" w:rsidRPr="000D7FC3">
        <w:rPr>
          <w:i/>
          <w:iCs/>
        </w:rPr>
        <w:t xml:space="preserve">han reaparecido </w:t>
      </w:r>
      <w:r w:rsidRPr="000D7FC3">
        <w:rPr>
          <w:i/>
          <w:iCs/>
        </w:rPr>
        <w:t xml:space="preserve">en </w:t>
      </w:r>
      <w:r w:rsidR="00EE2F8B" w:rsidRPr="000D7FC3">
        <w:rPr>
          <w:i/>
          <w:iCs/>
        </w:rPr>
        <w:t>destinos felices</w:t>
      </w:r>
      <w:r w:rsidRPr="000D7FC3">
        <w:rPr>
          <w:i/>
          <w:iCs/>
        </w:rPr>
        <w:t xml:space="preserve">, en </w:t>
      </w:r>
      <w:r w:rsidR="0044050B" w:rsidRPr="000D7FC3">
        <w:rPr>
          <w:i/>
          <w:iCs/>
        </w:rPr>
        <w:t xml:space="preserve">un </w:t>
      </w:r>
      <w:r w:rsidRPr="000D7FC3">
        <w:rPr>
          <w:i/>
          <w:iCs/>
        </w:rPr>
        <w:t xml:space="preserve">mundo </w:t>
      </w:r>
      <w:r w:rsidRPr="007657B2">
        <w:rPr>
          <w:i/>
          <w:iCs/>
        </w:rPr>
        <w:t>celestial</w:t>
      </w:r>
      <w:r>
        <w:t>"</w:t>
      </w:r>
      <w:r w:rsidR="0044050B">
        <w:t xml:space="preserve">. </w:t>
      </w:r>
      <w:r>
        <w:t>Así</w:t>
      </w:r>
      <w:r w:rsidR="0044050B">
        <w:t>,</w:t>
      </w:r>
      <w:r>
        <w:t xml:space="preserve"> con el ojo divino, </w:t>
      </w:r>
      <w:r w:rsidR="007657B2">
        <w:t xml:space="preserve">purificado </w:t>
      </w:r>
      <w:r>
        <w:t xml:space="preserve">y </w:t>
      </w:r>
      <w:r w:rsidR="00170153">
        <w:t xml:space="preserve">que </w:t>
      </w:r>
      <w:r>
        <w:t>supera al humano, ve</w:t>
      </w:r>
      <w:r w:rsidR="00170153">
        <w:t>rá</w:t>
      </w:r>
      <w:r>
        <w:t xml:space="preserve"> a los seres falleci</w:t>
      </w:r>
      <w:r w:rsidR="00B7250E">
        <w:t>endo</w:t>
      </w:r>
      <w:r>
        <w:t xml:space="preserve"> y reapareci</w:t>
      </w:r>
      <w:r w:rsidR="00B7250E">
        <w:t>endo</w:t>
      </w:r>
      <w:r>
        <w:t xml:space="preserve">, inferiores y superiores, </w:t>
      </w:r>
      <w:r w:rsidR="001F7294">
        <w:t xml:space="preserve">bonitos </w:t>
      </w:r>
      <w:r>
        <w:t xml:space="preserve">y feos, felices o infelices en su destino; Él </w:t>
      </w:r>
      <w:r w:rsidR="001F7294">
        <w:t xml:space="preserve">reconocerá el destino de </w:t>
      </w:r>
      <w:r>
        <w:t xml:space="preserve">los seres </w:t>
      </w:r>
      <w:proofErr w:type="gramStart"/>
      <w:r>
        <w:t xml:space="preserve">de acuerdo </w:t>
      </w:r>
      <w:r w:rsidR="001F7294">
        <w:t>a</w:t>
      </w:r>
      <w:proofErr w:type="gramEnd"/>
      <w:r w:rsidR="001F7294">
        <w:t xml:space="preserve"> </w:t>
      </w:r>
      <w:r>
        <w:t xml:space="preserve">sus </w:t>
      </w:r>
      <w:r w:rsidR="001F7294">
        <w:t>acciones</w:t>
      </w:r>
      <w:r>
        <w:t>”</w:t>
      </w:r>
      <w:r w:rsidR="001F7294">
        <w:t xml:space="preserve"> </w:t>
      </w:r>
      <w:r>
        <w:t xml:space="preserve">(D I 82). Aquí,] </w:t>
      </w:r>
      <w:r w:rsidRPr="00EE2F8B">
        <w:rPr>
          <w:i/>
          <w:iCs/>
        </w:rPr>
        <w:t>al conocimiento del fallecimiento y la reaparición</w:t>
      </w:r>
      <w:r>
        <w:t xml:space="preserve">: </w:t>
      </w:r>
      <w:proofErr w:type="spellStart"/>
      <w:r w:rsidRPr="005E0D08">
        <w:rPr>
          <w:i/>
          <w:iCs/>
        </w:rPr>
        <w:t>cutūpapātañāṇāya</w:t>
      </w:r>
      <w:proofErr w:type="spellEnd"/>
      <w:r>
        <w:t xml:space="preserve"> = </w:t>
      </w:r>
      <w:proofErr w:type="spellStart"/>
      <w:r w:rsidRPr="005E0D08">
        <w:rPr>
          <w:i/>
          <w:iCs/>
        </w:rPr>
        <w:t>cutiyā</w:t>
      </w:r>
      <w:proofErr w:type="spellEnd"/>
      <w:r w:rsidRPr="005E0D08">
        <w:rPr>
          <w:i/>
          <w:iCs/>
        </w:rPr>
        <w:t xml:space="preserve"> ca </w:t>
      </w:r>
      <w:proofErr w:type="spellStart"/>
      <w:r w:rsidRPr="005E0D08">
        <w:rPr>
          <w:i/>
          <w:iCs/>
        </w:rPr>
        <w:t>upapāte</w:t>
      </w:r>
      <w:proofErr w:type="spellEnd"/>
      <w:r w:rsidRPr="005E0D08">
        <w:rPr>
          <w:i/>
          <w:iCs/>
        </w:rPr>
        <w:t xml:space="preserve"> ca </w:t>
      </w:r>
      <w:proofErr w:type="spellStart"/>
      <w:r w:rsidRPr="005E0D08">
        <w:rPr>
          <w:i/>
          <w:iCs/>
        </w:rPr>
        <w:t>ñāṇāya</w:t>
      </w:r>
      <w:proofErr w:type="spellEnd"/>
      <w:r>
        <w:t xml:space="preserve"> (resolución del compuesto); [el significado </w:t>
      </w:r>
      <w:r w:rsidR="00B1747A">
        <w:t>se refiere</w:t>
      </w:r>
      <w:r>
        <w:t>,]</w:t>
      </w:r>
    </w:p>
    <w:p w14:paraId="1E5ACF2B" w14:textId="07212D6C" w:rsidR="0047672A" w:rsidRDefault="0047672A">
      <w:pPr>
        <w:tabs>
          <w:tab w:val="clear" w:pos="425"/>
        </w:tabs>
        <w:spacing w:after="160"/>
      </w:pPr>
      <w:r>
        <w:br w:type="page"/>
      </w:r>
    </w:p>
    <w:p w14:paraId="1ED82B14" w14:textId="77777777" w:rsidR="00B10B66" w:rsidRDefault="00B10B66" w:rsidP="00301BC9"/>
    <w:p w14:paraId="46ECF211" w14:textId="74156239" w:rsidR="00842DB2" w:rsidRDefault="00B1747A" w:rsidP="00842DB2">
      <w:r>
        <w:t>a</w:t>
      </w:r>
      <w:r w:rsidR="00842DB2">
        <w:t xml:space="preserve">l tipo de conocimiento por medio del </w:t>
      </w:r>
      <w:r w:rsidR="007770B7">
        <w:t xml:space="preserve">cual se conocen </w:t>
      </w:r>
      <w:r w:rsidR="00842DB2">
        <w:t xml:space="preserve">los seres </w:t>
      </w:r>
      <w:r w:rsidR="007770B7">
        <w:t xml:space="preserve">que </w:t>
      </w:r>
      <w:r w:rsidR="00A92062">
        <w:t>fallecen</w:t>
      </w:r>
      <w:r w:rsidR="00842DB2">
        <w:t xml:space="preserve"> y reaparecen; </w:t>
      </w:r>
      <w:r w:rsidR="00F2485C">
        <w:t xml:space="preserve">lo que debe entenderse </w:t>
      </w:r>
      <w:r w:rsidR="00AB3577">
        <w:t>debe referirse</w:t>
      </w:r>
      <w:r w:rsidR="003D216F">
        <w:t xml:space="preserve"> </w:t>
      </w:r>
      <w:r w:rsidR="00AB3577">
        <w:t>a</w:t>
      </w:r>
      <w:r w:rsidR="00842DB2">
        <w:t xml:space="preserve">l conocimiento del ojo divino. </w:t>
      </w:r>
      <w:r w:rsidR="00842DB2" w:rsidRPr="00EE2F8B">
        <w:rPr>
          <w:i/>
          <w:iCs/>
        </w:rPr>
        <w:t>Dirig</w:t>
      </w:r>
      <w:r w:rsidR="00717C9F">
        <w:rPr>
          <w:i/>
          <w:iCs/>
        </w:rPr>
        <w:t>irá</w:t>
      </w:r>
      <w:r w:rsidR="00842DB2" w:rsidRPr="00EE2F8B">
        <w:rPr>
          <w:i/>
          <w:iCs/>
        </w:rPr>
        <w:t>, inclina</w:t>
      </w:r>
      <w:r w:rsidR="00717C9F">
        <w:rPr>
          <w:i/>
          <w:iCs/>
        </w:rPr>
        <w:t>rá</w:t>
      </w:r>
      <w:r w:rsidR="00842DB2" w:rsidRPr="00EE2F8B">
        <w:rPr>
          <w:i/>
          <w:iCs/>
        </w:rPr>
        <w:t xml:space="preserve"> su mente</w:t>
      </w:r>
      <w:r w:rsidR="00842DB2">
        <w:t>: dirig</w:t>
      </w:r>
      <w:r w:rsidR="00717C9F">
        <w:t>irá</w:t>
      </w:r>
      <w:r w:rsidR="00842DB2">
        <w:t xml:space="preserve"> e inclina</w:t>
      </w:r>
      <w:r w:rsidR="00717C9F">
        <w:t>rá</w:t>
      </w:r>
      <w:r w:rsidR="00842DB2">
        <w:t xml:space="preserve"> la con</w:t>
      </w:r>
      <w:r w:rsidR="00717C9F">
        <w:t>s</w:t>
      </w:r>
      <w:r w:rsidR="00842DB2">
        <w:t xml:space="preserve">ciencia preliminar del trabajo. Él </w:t>
      </w:r>
      <w:r w:rsidR="00AB3577">
        <w:t>será un</w:t>
      </w:r>
      <w:r w:rsidR="00842DB2">
        <w:t xml:space="preserve"> </w:t>
      </w:r>
      <w:proofErr w:type="spellStart"/>
      <w:r w:rsidR="00717C9F" w:rsidRPr="00057BF4">
        <w:rPr>
          <w:i/>
        </w:rPr>
        <w:t>bhikkhu</w:t>
      </w:r>
      <w:proofErr w:type="spellEnd"/>
      <w:r w:rsidR="00717C9F">
        <w:t xml:space="preserve"> </w:t>
      </w:r>
      <w:r w:rsidR="00842DB2">
        <w:t xml:space="preserve">que </w:t>
      </w:r>
      <w:r w:rsidR="00915367">
        <w:t>diri</w:t>
      </w:r>
      <w:r w:rsidR="00AB3577">
        <w:t>ja</w:t>
      </w:r>
      <w:r w:rsidR="00915367">
        <w:t xml:space="preserve"> </w:t>
      </w:r>
      <w:r w:rsidR="00842DB2">
        <w:t>su mente.</w:t>
      </w:r>
    </w:p>
    <w:p w14:paraId="0B0F3FFC" w14:textId="595E82D1" w:rsidR="00842DB2" w:rsidRDefault="00842DB2" w:rsidP="00842DB2">
      <w:r>
        <w:t xml:space="preserve">73. </w:t>
      </w:r>
      <w:r>
        <w:tab/>
      </w:r>
      <w:r w:rsidR="00AB3577">
        <w:t xml:space="preserve">No obstante, </w:t>
      </w:r>
      <w:r>
        <w:t xml:space="preserve">con respecto al ojo divino, etc., </w:t>
      </w:r>
      <w:r w:rsidR="003D216F">
        <w:t xml:space="preserve">será </w:t>
      </w:r>
      <w:r>
        <w:t xml:space="preserve">divino debido a su similitud con lo divino; </w:t>
      </w:r>
      <w:r w:rsidR="00AB3577">
        <w:t xml:space="preserve">ya </w:t>
      </w:r>
      <w:r w:rsidR="003D216F">
        <w:t xml:space="preserve">que </w:t>
      </w:r>
      <w:r>
        <w:t xml:space="preserve">las deidades tienen como ojo divino la sensibilidad producida por </w:t>
      </w:r>
      <w:r w:rsidR="003D216F">
        <w:t xml:space="preserve">el </w:t>
      </w:r>
      <w:proofErr w:type="spellStart"/>
      <w:r w:rsidR="00EE2F8B" w:rsidRPr="00057BF4">
        <w:rPr>
          <w:i/>
        </w:rPr>
        <w:t>kamma</w:t>
      </w:r>
      <w:proofErr w:type="spellEnd"/>
      <w:r w:rsidR="00EE2F8B">
        <w:t xml:space="preserve"> </w:t>
      </w:r>
      <w:r>
        <w:t>consiste</w:t>
      </w:r>
      <w:r w:rsidR="003D216F">
        <w:t>nte</w:t>
      </w:r>
      <w:r>
        <w:t xml:space="preserve"> </w:t>
      </w:r>
      <w:r w:rsidR="003D216F">
        <w:t xml:space="preserve">de la </w:t>
      </w:r>
      <w:r>
        <w:t xml:space="preserve">buena conducta y </w:t>
      </w:r>
      <w:r w:rsidR="003D216F">
        <w:t xml:space="preserve">que </w:t>
      </w:r>
      <w:r>
        <w:t xml:space="preserve">no se ve obstaculizada por la bilis, la flema, la sangre, etc., y </w:t>
      </w:r>
      <w:r w:rsidR="003D216F">
        <w:t xml:space="preserve">que es </w:t>
      </w:r>
      <w:r>
        <w:t xml:space="preserve">capaz de </w:t>
      </w:r>
      <w:r w:rsidR="008A5F95">
        <w:t>per</w:t>
      </w:r>
      <w:r>
        <w:t xml:space="preserve">cibir un objeto a pesar de </w:t>
      </w:r>
      <w:r w:rsidR="00CE2ECF">
        <w:t xml:space="preserve">encontrarse </w:t>
      </w:r>
      <w:r>
        <w:t xml:space="preserve">muy lejos </w:t>
      </w:r>
      <w:r w:rsidR="00CE2ECF">
        <w:t xml:space="preserve">ya </w:t>
      </w:r>
      <w:r>
        <w:t>que est</w:t>
      </w:r>
      <w:r w:rsidR="001741DC">
        <w:t>ar</w:t>
      </w:r>
      <w:r>
        <w:t>á liberad</w:t>
      </w:r>
      <w:r w:rsidR="001741DC">
        <w:t>o</w:t>
      </w:r>
      <w:r>
        <w:t xml:space="preserve"> de imperfecciones. Y este ojo, consisten</w:t>
      </w:r>
      <w:r w:rsidR="001741DC">
        <w:t>te</w:t>
      </w:r>
      <w:r>
        <w:t xml:space="preserve"> </w:t>
      </w:r>
      <w:r w:rsidR="001741DC">
        <w:t>d</w:t>
      </w:r>
      <w:r>
        <w:t>el conocimiento producido por el poder de la energía de</w:t>
      </w:r>
      <w:r w:rsidR="002300F8">
        <w:t>l</w:t>
      </w:r>
      <w:r>
        <w:t xml:space="preserve"> </w:t>
      </w:r>
      <w:proofErr w:type="spellStart"/>
      <w:r w:rsidR="00EE2F8B" w:rsidRPr="00057BF4">
        <w:rPr>
          <w:i/>
        </w:rPr>
        <w:t>bhikkhu</w:t>
      </w:r>
      <w:proofErr w:type="spellEnd"/>
      <w:r w:rsidR="00EE2F8B">
        <w:t xml:space="preserve"> </w:t>
      </w:r>
      <w:r w:rsidR="00022969">
        <w:t xml:space="preserve">que </w:t>
      </w:r>
      <w:r w:rsidR="002300F8">
        <w:t xml:space="preserve">lo esté </w:t>
      </w:r>
      <w:r>
        <w:t>desarroll</w:t>
      </w:r>
      <w:r w:rsidR="00022969">
        <w:t>ando</w:t>
      </w:r>
      <w:r>
        <w:t xml:space="preserve">, </w:t>
      </w:r>
      <w:r w:rsidR="00022969">
        <w:t xml:space="preserve">será </w:t>
      </w:r>
      <w:r>
        <w:t>similar a es</w:t>
      </w:r>
      <w:r w:rsidR="00022969">
        <w:t>t</w:t>
      </w:r>
      <w:r>
        <w:t xml:space="preserve">o, por lo que </w:t>
      </w:r>
      <w:r w:rsidR="00022969">
        <w:t xml:space="preserve">será </w:t>
      </w:r>
      <w:r>
        <w:t xml:space="preserve">"divino" </w:t>
      </w:r>
      <w:r w:rsidR="002300F8">
        <w:t xml:space="preserve">ya </w:t>
      </w:r>
      <w:r>
        <w:t xml:space="preserve">que </w:t>
      </w:r>
      <w:r w:rsidR="00022969">
        <w:t xml:space="preserve">será </w:t>
      </w:r>
      <w:r>
        <w:t xml:space="preserve">similar a lo divino. También </w:t>
      </w:r>
      <w:r w:rsidR="00022969">
        <w:t xml:space="preserve">será </w:t>
      </w:r>
      <w:r>
        <w:t>"divino" porque se obten</w:t>
      </w:r>
      <w:r w:rsidR="00022969">
        <w:t>drá</w:t>
      </w:r>
      <w:r>
        <w:t xml:space="preserve"> por medio del </w:t>
      </w:r>
      <w:r w:rsidR="00C6278D">
        <w:t>estado</w:t>
      </w:r>
      <w:r>
        <w:t xml:space="preserve"> divin</w:t>
      </w:r>
      <w:r w:rsidR="00C6278D">
        <w:t>o</w:t>
      </w:r>
      <w:r>
        <w:t xml:space="preserve">, y porque </w:t>
      </w:r>
      <w:r w:rsidR="00022969">
        <w:t xml:space="preserve">tendrá </w:t>
      </w:r>
      <w:r w:rsidR="00C6278D">
        <w:t xml:space="preserve">al estado </w:t>
      </w:r>
      <w:r>
        <w:t>divin</w:t>
      </w:r>
      <w:r w:rsidR="00C6278D">
        <w:t>o</w:t>
      </w:r>
      <w:r>
        <w:t xml:space="preserve"> como su </w:t>
      </w:r>
      <w:r w:rsidR="00022969">
        <w:t>soporte</w:t>
      </w:r>
      <w:r>
        <w:t xml:space="preserve">. Y </w:t>
      </w:r>
      <w:r w:rsidR="00C6278D">
        <w:t xml:space="preserve">será </w:t>
      </w:r>
      <w:r>
        <w:t>"divino" porque se ilumina</w:t>
      </w:r>
      <w:r w:rsidR="00C6278D">
        <w:t>rá</w:t>
      </w:r>
      <w:r>
        <w:t xml:space="preserve"> enormemente al discernir </w:t>
      </w:r>
      <w:r w:rsidR="00790E33">
        <w:t xml:space="preserve">sobre </w:t>
      </w:r>
      <w:r>
        <w:t xml:space="preserve">la luz. Y </w:t>
      </w:r>
      <w:r w:rsidR="00790E33">
        <w:t xml:space="preserve">será </w:t>
      </w:r>
      <w:r>
        <w:t xml:space="preserve">"divino" porque </w:t>
      </w:r>
      <w:r w:rsidR="002300F8">
        <w:t xml:space="preserve">poseerá </w:t>
      </w:r>
      <w:r>
        <w:t xml:space="preserve">un gran rango </w:t>
      </w:r>
      <w:r w:rsidR="00D309D0">
        <w:t xml:space="preserve">de visión </w:t>
      </w:r>
      <w:r>
        <w:t xml:space="preserve">al ver objetos visibles que </w:t>
      </w:r>
      <w:r w:rsidR="00D309D0">
        <w:t xml:space="preserve">se encuentren </w:t>
      </w:r>
      <w:r>
        <w:t>detrás de las paredes,</w:t>
      </w:r>
      <w:r w:rsidR="00790E33">
        <w:t xml:space="preserve"> etc</w:t>
      </w:r>
      <w:r>
        <w:t>. Todo e</w:t>
      </w:r>
      <w:r w:rsidR="00790E33">
        <w:t>ll</w:t>
      </w:r>
      <w:r>
        <w:t>o debe</w:t>
      </w:r>
      <w:r w:rsidR="00D309D0">
        <w:t>rá</w:t>
      </w:r>
      <w:r>
        <w:t xml:space="preserve"> entenderse de acuerdo con la ciencia de la gramática. </w:t>
      </w:r>
      <w:r w:rsidR="00790E33">
        <w:t xml:space="preserve">Será </w:t>
      </w:r>
      <w:r>
        <w:t xml:space="preserve">un ojo en el sentido de </w:t>
      </w:r>
      <w:r w:rsidR="000F36CF">
        <w:t>que podrá ver</w:t>
      </w:r>
      <w:r>
        <w:t xml:space="preserve">. También </w:t>
      </w:r>
      <w:r w:rsidR="00790E33">
        <w:t xml:space="preserve">será </w:t>
      </w:r>
      <w:r>
        <w:t xml:space="preserve">un ojo ya que </w:t>
      </w:r>
      <w:r w:rsidR="00790E33">
        <w:t xml:space="preserve">será </w:t>
      </w:r>
      <w:r>
        <w:t xml:space="preserve">como un ojo en </w:t>
      </w:r>
      <w:r w:rsidR="000F36CF">
        <w:t xml:space="preserve">el </w:t>
      </w:r>
      <w:r>
        <w:t xml:space="preserve">rendimiento de la función de un ojo. </w:t>
      </w:r>
      <w:r w:rsidR="009B6BED">
        <w:rPr>
          <w:i/>
          <w:iCs/>
        </w:rPr>
        <w:t>Que está p</w:t>
      </w:r>
      <w:r w:rsidR="000F36CF" w:rsidRPr="003A6B15">
        <w:rPr>
          <w:i/>
          <w:iCs/>
        </w:rPr>
        <w:t>urificado</w:t>
      </w:r>
      <w:r w:rsidR="003A6B15">
        <w:t xml:space="preserve">, </w:t>
      </w:r>
      <w:r>
        <w:t xml:space="preserve">ya que </w:t>
      </w:r>
      <w:r w:rsidR="000F36CF">
        <w:t xml:space="preserve">será </w:t>
      </w:r>
      <w:r>
        <w:t xml:space="preserve">una causa de </w:t>
      </w:r>
      <w:r w:rsidR="000F36CF">
        <w:t xml:space="preserve">la </w:t>
      </w:r>
      <w:r>
        <w:t xml:space="preserve">purificación de </w:t>
      </w:r>
      <w:r w:rsidR="009B41D4">
        <w:t xml:space="preserve">la </w:t>
      </w:r>
      <w:r>
        <w:t xml:space="preserve">visión, debido a </w:t>
      </w:r>
      <w:r w:rsidR="003B1DD8">
        <w:t xml:space="preserve">la visión de ver </w:t>
      </w:r>
      <w:r>
        <w:t>fallecer y reaparecer</w:t>
      </w:r>
      <w:r w:rsidR="003164F3">
        <w:t xml:space="preserve"> a los seres</w:t>
      </w:r>
      <w:r>
        <w:t>.</w:t>
      </w:r>
    </w:p>
    <w:p w14:paraId="631656CD" w14:textId="31DA19B9" w:rsidR="00842DB2" w:rsidRDefault="00842DB2" w:rsidP="00842DB2">
      <w:r>
        <w:t xml:space="preserve">74. </w:t>
      </w:r>
      <w:r>
        <w:tab/>
      </w:r>
      <w:r w:rsidR="002442A3">
        <w:t xml:space="preserve">Alguien </w:t>
      </w:r>
      <w:r>
        <w:t>que solo ve</w:t>
      </w:r>
      <w:r w:rsidR="002442A3">
        <w:t>a</w:t>
      </w:r>
      <w:r>
        <w:t xml:space="preserve"> fallecer y no reapar</w:t>
      </w:r>
      <w:r w:rsidR="003164F3">
        <w:t>e</w:t>
      </w:r>
      <w:r>
        <w:t>c</w:t>
      </w:r>
      <w:r w:rsidR="003164F3">
        <w:t>er</w:t>
      </w:r>
      <w:r>
        <w:t xml:space="preserve"> </w:t>
      </w:r>
      <w:r w:rsidR="003164F3">
        <w:t xml:space="preserve">a los seres </w:t>
      </w:r>
      <w:r>
        <w:t>asum</w:t>
      </w:r>
      <w:r w:rsidR="002442A3">
        <w:t>irá</w:t>
      </w:r>
      <w:r>
        <w:t xml:space="preserve"> </w:t>
      </w:r>
      <w:r w:rsidR="002442A3">
        <w:t xml:space="preserve">una </w:t>
      </w:r>
      <w:r w:rsidR="003F4A9A">
        <w:t>visión</w:t>
      </w:r>
      <w:r>
        <w:t xml:space="preserve"> </w:t>
      </w:r>
      <w:r w:rsidR="002442A3">
        <w:t>nihilista</w:t>
      </w:r>
      <w:r>
        <w:t xml:space="preserve">; Y </w:t>
      </w:r>
      <w:r w:rsidR="002442A3">
        <w:t xml:space="preserve">alguien </w:t>
      </w:r>
      <w:r>
        <w:t>que solo ve</w:t>
      </w:r>
      <w:r w:rsidR="002442A3">
        <w:t>a</w:t>
      </w:r>
      <w:r>
        <w:t xml:space="preserve"> </w:t>
      </w:r>
      <w:r w:rsidR="002442A3">
        <w:t xml:space="preserve">la </w:t>
      </w:r>
      <w:r>
        <w:t xml:space="preserve">reaparición y no </w:t>
      </w:r>
      <w:r w:rsidR="003164F3">
        <w:t xml:space="preserve">el </w:t>
      </w:r>
      <w:r>
        <w:t>fallec</w:t>
      </w:r>
      <w:r w:rsidR="003164F3">
        <w:t>imiento</w:t>
      </w:r>
      <w:r>
        <w:t xml:space="preserve"> asum</w:t>
      </w:r>
      <w:r w:rsidR="00DE2EAC">
        <w:t>irá</w:t>
      </w:r>
      <w:r>
        <w:t xml:space="preserve"> la opinión de </w:t>
      </w:r>
      <w:r w:rsidR="00DE2EAC">
        <w:t>la re</w:t>
      </w:r>
      <w:r>
        <w:t>apar</w:t>
      </w:r>
      <w:r w:rsidR="00DE2EAC">
        <w:t>i</w:t>
      </w:r>
      <w:r>
        <w:t>c</w:t>
      </w:r>
      <w:r w:rsidR="00DE2EAC">
        <w:t>ión</w:t>
      </w:r>
      <w:r>
        <w:t xml:space="preserve"> </w:t>
      </w:r>
      <w:r w:rsidR="00DE2EAC">
        <w:t xml:space="preserve">de </w:t>
      </w:r>
      <w:r>
        <w:t xml:space="preserve">un nuevo ser. </w:t>
      </w:r>
      <w:r w:rsidR="004349ED">
        <w:t xml:space="preserve">No obstante, si </w:t>
      </w:r>
      <w:r w:rsidR="00DE2EAC">
        <w:t xml:space="preserve">alguien </w:t>
      </w:r>
      <w:r w:rsidR="003164F3">
        <w:t xml:space="preserve">puede ver </w:t>
      </w:r>
      <w:r>
        <w:t xml:space="preserve">ambos </w:t>
      </w:r>
      <w:r w:rsidR="00C806DD">
        <w:t>aspectos</w:t>
      </w:r>
      <w:r>
        <w:t xml:space="preserve"> </w:t>
      </w:r>
      <w:r w:rsidR="00C806DD">
        <w:t xml:space="preserve">de </w:t>
      </w:r>
      <w:r>
        <w:t>es</w:t>
      </w:r>
      <w:r w:rsidR="008A7446">
        <w:t>t</w:t>
      </w:r>
      <w:r>
        <w:t xml:space="preserve">a doble visión </w:t>
      </w:r>
      <w:r w:rsidR="008A7446">
        <w:t>incorrecta</w:t>
      </w:r>
      <w:r>
        <w:t xml:space="preserve">, </w:t>
      </w:r>
      <w:r w:rsidR="008A7446">
        <w:t xml:space="preserve">su </w:t>
      </w:r>
      <w:r>
        <w:t xml:space="preserve">visión </w:t>
      </w:r>
      <w:r w:rsidR="00C806DD">
        <w:t>será</w:t>
      </w:r>
      <w:r>
        <w:t xml:space="preserve">, por lo tanto, una causa </w:t>
      </w:r>
      <w:r w:rsidR="009B6BED">
        <w:t xml:space="preserve">para la </w:t>
      </w:r>
      <w:r>
        <w:t xml:space="preserve">purificación de </w:t>
      </w:r>
      <w:r w:rsidR="00C806DD">
        <w:t xml:space="preserve">la </w:t>
      </w:r>
      <w:r>
        <w:t>visión</w:t>
      </w:r>
      <w:r w:rsidR="003B2536">
        <w:t xml:space="preserve"> </w:t>
      </w:r>
      <w:r w:rsidR="003B2536" w:rsidRPr="00741172">
        <w:rPr>
          <w:color w:val="833C0B" w:themeColor="accent2" w:themeShade="80"/>
        </w:rPr>
        <w:t>correcta</w:t>
      </w:r>
      <w:r>
        <w:t xml:space="preserve">. Y los hijos de los </w:t>
      </w:r>
      <w:r w:rsidR="008C63AE" w:rsidRPr="008C63AE">
        <w:rPr>
          <w:i/>
        </w:rPr>
        <w:t>Buddha</w:t>
      </w:r>
      <w:r>
        <w:t>s ve</w:t>
      </w:r>
      <w:r w:rsidR="00C806DD">
        <w:t>rá</w:t>
      </w:r>
      <w:r>
        <w:t>n ambos. Por lo tanto, se dijo anteriormente: [424] "</w:t>
      </w:r>
      <w:r w:rsidR="00C806DD">
        <w:t xml:space="preserve">Que </w:t>
      </w:r>
      <w:r>
        <w:t>está</w:t>
      </w:r>
      <w:r w:rsidR="00C806DD">
        <w:t xml:space="preserve"> </w:t>
      </w:r>
      <w:r>
        <w:t xml:space="preserve">purificado", ya que </w:t>
      </w:r>
      <w:r w:rsidR="00C806DD">
        <w:t xml:space="preserve">será </w:t>
      </w:r>
      <w:r>
        <w:t xml:space="preserve">una causa </w:t>
      </w:r>
      <w:r w:rsidR="009B6BED">
        <w:t>para la</w:t>
      </w:r>
      <w:r>
        <w:t xml:space="preserve"> purificación de </w:t>
      </w:r>
      <w:r w:rsidR="00C806DD">
        <w:t xml:space="preserve">la </w:t>
      </w:r>
      <w:r>
        <w:t>visión</w:t>
      </w:r>
      <w:r w:rsidR="00CA4503">
        <w:t xml:space="preserve"> </w:t>
      </w:r>
      <w:r w:rsidR="00CA4503" w:rsidRPr="00CA4503">
        <w:rPr>
          <w:color w:val="833C0B" w:themeColor="accent2" w:themeShade="80"/>
        </w:rPr>
        <w:t>co</w:t>
      </w:r>
      <w:r w:rsidR="00CA4503">
        <w:rPr>
          <w:color w:val="833C0B" w:themeColor="accent2" w:themeShade="80"/>
        </w:rPr>
        <w:t>r</w:t>
      </w:r>
      <w:r w:rsidR="00CA4503" w:rsidRPr="00CA4503">
        <w:rPr>
          <w:color w:val="833C0B" w:themeColor="accent2" w:themeShade="80"/>
        </w:rPr>
        <w:t>recta</w:t>
      </w:r>
      <w:r>
        <w:t xml:space="preserve">, debido a </w:t>
      </w:r>
      <w:r w:rsidR="00C806DD">
        <w:t xml:space="preserve">que </w:t>
      </w:r>
      <w:r>
        <w:t>ve</w:t>
      </w:r>
      <w:r w:rsidR="009B6BED">
        <w:t>rá</w:t>
      </w:r>
      <w:r>
        <w:t xml:space="preserve"> fallecer y reaparecer</w:t>
      </w:r>
      <w:r w:rsidR="009B6BED">
        <w:t xml:space="preserve"> a los seres</w:t>
      </w:r>
      <w:r>
        <w:t>".</w:t>
      </w:r>
    </w:p>
    <w:p w14:paraId="6B0CCF69" w14:textId="3438E71D" w:rsidR="00842DB2" w:rsidRDefault="00842DB2" w:rsidP="00842DB2">
      <w:r>
        <w:t xml:space="preserve">75. </w:t>
      </w:r>
      <w:r>
        <w:tab/>
      </w:r>
      <w:r w:rsidR="004349ED">
        <w:rPr>
          <w:i/>
          <w:iCs/>
        </w:rPr>
        <w:t>Que s</w:t>
      </w:r>
      <w:r w:rsidRPr="00EE2F8B">
        <w:rPr>
          <w:i/>
          <w:iCs/>
        </w:rPr>
        <w:t>upera al humano</w:t>
      </w:r>
      <w:r>
        <w:t xml:space="preserve"> en la </w:t>
      </w:r>
      <w:r w:rsidR="00447C93">
        <w:t>visión</w:t>
      </w:r>
      <w:r>
        <w:t xml:space="preserve"> de </w:t>
      </w:r>
      <w:r w:rsidR="009B6BED">
        <w:t xml:space="preserve">los </w:t>
      </w:r>
      <w:r>
        <w:t xml:space="preserve">objetos visibles </w:t>
      </w:r>
      <w:r w:rsidR="009B6BED">
        <w:t>que supera a</w:t>
      </w:r>
      <w:r>
        <w:t>l entorno humano. O se puede entender que supera</w:t>
      </w:r>
      <w:r w:rsidR="009B6BED">
        <w:t>rá</w:t>
      </w:r>
      <w:r>
        <w:t xml:space="preserve"> al humano </w:t>
      </w:r>
      <w:r w:rsidR="00447C93">
        <w:t xml:space="preserve">por </w:t>
      </w:r>
      <w:r w:rsidRPr="00EE2F8B">
        <w:rPr>
          <w:i/>
          <w:iCs/>
        </w:rPr>
        <w:t xml:space="preserve">superar </w:t>
      </w:r>
      <w:r w:rsidR="009B6BED">
        <w:rPr>
          <w:i/>
          <w:iCs/>
        </w:rPr>
        <w:t>a</w:t>
      </w:r>
      <w:r w:rsidRPr="00EE2F8B">
        <w:rPr>
          <w:i/>
          <w:iCs/>
        </w:rPr>
        <w:t xml:space="preserve">l ojo </w:t>
      </w:r>
      <w:r w:rsidR="00447C93">
        <w:rPr>
          <w:i/>
          <w:iCs/>
        </w:rPr>
        <w:t xml:space="preserve">físico </w:t>
      </w:r>
      <w:r w:rsidRPr="00EE2F8B">
        <w:rPr>
          <w:i/>
          <w:iCs/>
        </w:rPr>
        <w:t>humano</w:t>
      </w:r>
      <w:r>
        <w:t xml:space="preserve">. Con ese </w:t>
      </w:r>
      <w:r w:rsidRPr="00FF7B7B">
        <w:rPr>
          <w:i/>
          <w:iCs/>
        </w:rPr>
        <w:t xml:space="preserve">ojo divino, que está purificado y </w:t>
      </w:r>
      <w:r w:rsidR="007503E3">
        <w:rPr>
          <w:i/>
          <w:iCs/>
        </w:rPr>
        <w:t xml:space="preserve">es </w:t>
      </w:r>
      <w:r w:rsidRPr="00FF7B7B">
        <w:rPr>
          <w:i/>
          <w:iCs/>
        </w:rPr>
        <w:t>sobrehumano, ve</w:t>
      </w:r>
      <w:r w:rsidR="007503E3">
        <w:rPr>
          <w:i/>
          <w:iCs/>
        </w:rPr>
        <w:t>rá</w:t>
      </w:r>
      <w:r w:rsidRPr="00FF7B7B">
        <w:rPr>
          <w:i/>
          <w:iCs/>
        </w:rPr>
        <w:t xml:space="preserve"> a los seres,</w:t>
      </w:r>
      <w:r>
        <w:t xml:space="preserve"> observa</w:t>
      </w:r>
      <w:r w:rsidR="007503E3">
        <w:t>rá</w:t>
      </w:r>
      <w:r>
        <w:t xml:space="preserve"> a los seres como lo hacen los hombres con el ojo </w:t>
      </w:r>
      <w:r w:rsidR="007503E3">
        <w:t>físico</w:t>
      </w:r>
      <w:r>
        <w:t>.</w:t>
      </w:r>
    </w:p>
    <w:p w14:paraId="62AE1AFF" w14:textId="7856C669" w:rsidR="00F644D9" w:rsidRDefault="00842DB2" w:rsidP="00842DB2">
      <w:r>
        <w:t xml:space="preserve">76. </w:t>
      </w:r>
      <w:r>
        <w:tab/>
      </w:r>
      <w:r w:rsidR="00E43351">
        <w:rPr>
          <w:i/>
          <w:iCs/>
        </w:rPr>
        <w:t xml:space="preserve">Falleciendo </w:t>
      </w:r>
      <w:r w:rsidRPr="00FF7B7B">
        <w:rPr>
          <w:i/>
          <w:iCs/>
        </w:rPr>
        <w:t>y reapareciendo</w:t>
      </w:r>
      <w:r>
        <w:t xml:space="preserve">: </w:t>
      </w:r>
      <w:r w:rsidR="008D4529">
        <w:t xml:space="preserve">en realidad </w:t>
      </w:r>
      <w:r>
        <w:t>no p</w:t>
      </w:r>
      <w:r w:rsidR="008D4529">
        <w:t>o</w:t>
      </w:r>
      <w:r>
        <w:t>d</w:t>
      </w:r>
      <w:r w:rsidR="008D4529">
        <w:t>rá</w:t>
      </w:r>
      <w:r>
        <w:t xml:space="preserve"> verlos con el ojo divino en el momento </w:t>
      </w:r>
      <w:r w:rsidR="00C80FDE">
        <w:t>mortal</w:t>
      </w:r>
      <w:r>
        <w:t xml:space="preserve"> de la reaparición.</w:t>
      </w:r>
      <w:r w:rsidRPr="00207128">
        <w:rPr>
          <w:vertAlign w:val="superscript"/>
        </w:rPr>
        <w:t>17</w:t>
      </w:r>
      <w:r>
        <w:t xml:space="preserve"> </w:t>
      </w:r>
      <w:r w:rsidR="0087269D">
        <w:t xml:space="preserve">No obstante, </w:t>
      </w:r>
      <w:r>
        <w:t>son aquellos quienes, al borde de la muerte, morirán ahora</w:t>
      </w:r>
      <w:r w:rsidR="00C024E8">
        <w:t>,</w:t>
      </w:r>
      <w:r>
        <w:t xml:space="preserve"> </w:t>
      </w:r>
      <w:r w:rsidR="00C024E8">
        <w:t xml:space="preserve">con </w:t>
      </w:r>
      <w:r w:rsidR="0087269D">
        <w:t xml:space="preserve">lo que se quiere decir </w:t>
      </w:r>
      <w:r>
        <w:t>"falleci</w:t>
      </w:r>
      <w:r w:rsidR="00F62E6A">
        <w:t>endo</w:t>
      </w:r>
      <w:r>
        <w:t>"</w:t>
      </w:r>
      <w:r w:rsidR="00C024E8">
        <w:t>;</w:t>
      </w:r>
      <w:r>
        <w:t xml:space="preserve"> y aquellos que ha</w:t>
      </w:r>
      <w:r w:rsidR="008D4529">
        <w:t>ya</w:t>
      </w:r>
      <w:r>
        <w:t xml:space="preserve">n tomado el </w:t>
      </w:r>
    </w:p>
    <w:p w14:paraId="657DE049" w14:textId="25DE77FE" w:rsidR="00842DB2" w:rsidRDefault="00842DB2" w:rsidP="00842DB2">
      <w:r>
        <w:t xml:space="preserve">  </w:t>
      </w:r>
    </w:p>
    <w:p w14:paraId="29123526" w14:textId="3CAFCAB1" w:rsidR="00842DB2" w:rsidRPr="00842DB2" w:rsidRDefault="00842DB2" w:rsidP="00842DB2">
      <w:pPr>
        <w:pStyle w:val="PiedepginaLegal"/>
        <w:rPr>
          <w:u w:val="single"/>
        </w:rPr>
      </w:pPr>
      <w:r w:rsidRPr="00842DB2">
        <w:rPr>
          <w:u w:val="single"/>
        </w:rPr>
        <w:t xml:space="preserve">                                                                                                                                                      .</w:t>
      </w:r>
    </w:p>
    <w:p w14:paraId="2B6AF90C" w14:textId="78DAD515" w:rsidR="0047672A" w:rsidRDefault="00842DB2" w:rsidP="00842DB2">
      <w:pPr>
        <w:pStyle w:val="PiedepginaLegal"/>
      </w:pPr>
      <w:r>
        <w:t xml:space="preserve">17. </w:t>
      </w:r>
      <w:r>
        <w:tab/>
        <w:t>"</w:t>
      </w:r>
      <w:r w:rsidRPr="001A0473">
        <w:rPr>
          <w:i/>
          <w:iCs/>
        </w:rPr>
        <w:t xml:space="preserve">No </w:t>
      </w:r>
      <w:r w:rsidR="00F918AC">
        <w:rPr>
          <w:i/>
          <w:iCs/>
        </w:rPr>
        <w:t>podrá</w:t>
      </w:r>
      <w:r w:rsidRPr="001A0473">
        <w:rPr>
          <w:i/>
          <w:iCs/>
        </w:rPr>
        <w:t xml:space="preserve"> verlos con el ojo divino</w:t>
      </w:r>
      <w:r>
        <w:t xml:space="preserve">", </w:t>
      </w:r>
      <w:r w:rsidR="00CE2462" w:rsidRPr="00CE2462">
        <w:t xml:space="preserve">— </w:t>
      </w:r>
      <w:r>
        <w:t>con el conocimiento del ojo divino</w:t>
      </w:r>
      <w:r w:rsidR="00F918AC" w:rsidRPr="00F918AC">
        <w:t xml:space="preserve"> —</w:t>
      </w:r>
      <w:r>
        <w:t xml:space="preserve"> debido a la extrema brevedad y </w:t>
      </w:r>
      <w:r w:rsidR="008D32BA">
        <w:t xml:space="preserve">a </w:t>
      </w:r>
      <w:r w:rsidR="00A52B62">
        <w:t xml:space="preserve">la </w:t>
      </w:r>
      <w:r>
        <w:t>sutileza extrema del momento material en cualquier</w:t>
      </w:r>
      <w:r w:rsidR="00F918AC">
        <w:t xml:space="preserve"> ser</w:t>
      </w:r>
      <w:r>
        <w:t xml:space="preserve">. Además, </w:t>
      </w:r>
      <w:r w:rsidR="00F918AC">
        <w:t xml:space="preserve">será </w:t>
      </w:r>
      <w:r>
        <w:t xml:space="preserve">la materialidad </w:t>
      </w:r>
      <w:r w:rsidR="001622F7">
        <w:t xml:space="preserve">presente </w:t>
      </w:r>
      <w:r w:rsidR="00341BEA">
        <w:t>l</w:t>
      </w:r>
      <w:r w:rsidR="008D32BA">
        <w:t>a</w:t>
      </w:r>
      <w:r w:rsidR="00341BEA">
        <w:t xml:space="preserve"> que corresponderá a</w:t>
      </w:r>
      <w:r>
        <w:t xml:space="preserve">l objeto del ojo divino, y es por condición </w:t>
      </w:r>
      <w:proofErr w:type="spellStart"/>
      <w:r>
        <w:t>pre</w:t>
      </w:r>
      <w:r w:rsidR="008D32BA">
        <w:t>-</w:t>
      </w:r>
      <w:r>
        <w:t>nac</w:t>
      </w:r>
      <w:r w:rsidR="00FF7B7B">
        <w:t>i</w:t>
      </w:r>
      <w:r>
        <w:t>en</w:t>
      </w:r>
      <w:r w:rsidR="00004E68">
        <w:t>t</w:t>
      </w:r>
      <w:r>
        <w:t>e</w:t>
      </w:r>
      <w:proofErr w:type="spellEnd"/>
      <w:r>
        <w:t xml:space="preserve">. Y no </w:t>
      </w:r>
      <w:r w:rsidR="004C1C1D">
        <w:t>existirá</w:t>
      </w:r>
      <w:r>
        <w:t xml:space="preserve"> ocurrencia de </w:t>
      </w:r>
      <w:r w:rsidR="004C1C1D">
        <w:t xml:space="preserve">ninguna </w:t>
      </w:r>
      <w:r>
        <w:t>con</w:t>
      </w:r>
      <w:r w:rsidR="004C1C1D">
        <w:t>s</w:t>
      </w:r>
      <w:r>
        <w:t>ciencia ex</w:t>
      </w:r>
      <w:r w:rsidR="004C1C1D">
        <w:t>ce</w:t>
      </w:r>
      <w:r>
        <w:t>l</w:t>
      </w:r>
      <w:r w:rsidR="004C1C1D">
        <w:t>s</w:t>
      </w:r>
      <w:r>
        <w:t xml:space="preserve">a sin </w:t>
      </w:r>
      <w:r w:rsidR="008D32BA">
        <w:t>percepción</w:t>
      </w:r>
      <w:r>
        <w:t xml:space="preserve"> ni trabajo preliminar. Tampoco la materialidad que </w:t>
      </w:r>
      <w:r w:rsidR="000838EA">
        <w:t>simplemente</w:t>
      </w:r>
      <w:r>
        <w:t xml:space="preserve"> sur</w:t>
      </w:r>
      <w:r w:rsidR="00D34F57">
        <w:t>ja</w:t>
      </w:r>
      <w:r>
        <w:t xml:space="preserve"> </w:t>
      </w:r>
      <w:r w:rsidR="00D34F57">
        <w:t>podrá</w:t>
      </w:r>
      <w:r>
        <w:t xml:space="preserve"> servir como condición de</w:t>
      </w:r>
      <w:r w:rsidR="00D34F57">
        <w:t>l</w:t>
      </w:r>
      <w:r>
        <w:t xml:space="preserve"> objeto, ni la que se est</w:t>
      </w:r>
      <w:r w:rsidR="00D34F57">
        <w:t>é</w:t>
      </w:r>
      <w:r>
        <w:t xml:space="preserve"> disolviendo. Por lo tanto, se di</w:t>
      </w:r>
      <w:r w:rsidR="00D34F57">
        <w:t>rá</w:t>
      </w:r>
      <w:r>
        <w:t xml:space="preserve"> correctamente que no </w:t>
      </w:r>
      <w:r w:rsidR="00A22D72">
        <w:t>podrá</w:t>
      </w:r>
      <w:r>
        <w:t xml:space="preserve"> ver con la materialidad del ojo divino en los momentos de </w:t>
      </w:r>
      <w:r w:rsidR="00F644D9">
        <w:t xml:space="preserve">la </w:t>
      </w:r>
      <w:r>
        <w:t xml:space="preserve">muerte y </w:t>
      </w:r>
      <w:r w:rsidR="00F644D9">
        <w:t xml:space="preserve">la </w:t>
      </w:r>
      <w:r>
        <w:t xml:space="preserve">reaparición. Si el conocimiento del ojo divino solo </w:t>
      </w:r>
      <w:r w:rsidR="00F644D9">
        <w:t xml:space="preserve">tuviese </w:t>
      </w:r>
      <w:r>
        <w:t xml:space="preserve">materialidad como objeto, ¿por qué se </w:t>
      </w:r>
      <w:r w:rsidR="00F644D9">
        <w:t xml:space="preserve">diría </w:t>
      </w:r>
      <w:r>
        <w:t xml:space="preserve">que "ve a los seres"? Se dice </w:t>
      </w:r>
      <w:r w:rsidR="00F644D9">
        <w:t>así</w:t>
      </w:r>
      <w:r>
        <w:t xml:space="preserve">, ya que se refiere principalmente a </w:t>
      </w:r>
      <w:r w:rsidR="00F644D9">
        <w:t xml:space="preserve">los </w:t>
      </w:r>
      <w:r>
        <w:t xml:space="preserve">casos de materialidad en la continuidad de un ser, o porque esa materialidad </w:t>
      </w:r>
      <w:r w:rsidR="00F644D9">
        <w:t xml:space="preserve">será </w:t>
      </w:r>
      <w:r>
        <w:t xml:space="preserve">una razón para </w:t>
      </w:r>
      <w:r w:rsidR="009E3F63">
        <w:t>percibir</w:t>
      </w:r>
      <w:r>
        <w:t xml:space="preserve"> a los seres. Algunos dicen que esto se dice </w:t>
      </w:r>
      <w:proofErr w:type="gramStart"/>
      <w:r>
        <w:t xml:space="preserve">de acuerdo </w:t>
      </w:r>
      <w:r w:rsidR="00F644D9">
        <w:t>a</w:t>
      </w:r>
      <w:proofErr w:type="gramEnd"/>
      <w:r w:rsidR="00474E32">
        <w:t xml:space="preserve"> un</w:t>
      </w:r>
      <w:r>
        <w:t xml:space="preserve"> uso convencional”</w:t>
      </w:r>
      <w:r w:rsidR="00004E68">
        <w:t xml:space="preserve"> </w:t>
      </w:r>
      <w:r>
        <w:t>(</w:t>
      </w:r>
      <w:proofErr w:type="spellStart"/>
      <w:r>
        <w:t>Vism-Mhṭ</w:t>
      </w:r>
      <w:proofErr w:type="spellEnd"/>
      <w:r>
        <w:t xml:space="preserve"> 417).</w:t>
      </w:r>
    </w:p>
    <w:p w14:paraId="2B516501" w14:textId="2F318817" w:rsidR="00EC61C4" w:rsidRDefault="00EC61C4">
      <w:pPr>
        <w:tabs>
          <w:tab w:val="clear" w:pos="425"/>
        </w:tabs>
        <w:spacing w:after="160"/>
      </w:pPr>
      <w:r>
        <w:br w:type="page"/>
      </w:r>
    </w:p>
    <w:p w14:paraId="29A0A35B" w14:textId="7D26DC7E" w:rsidR="004E23CA" w:rsidRDefault="001C039B" w:rsidP="004E23CA">
      <w:r w:rsidRPr="00C71EC8">
        <w:lastRenderedPageBreak/>
        <w:t>vín</w:t>
      </w:r>
      <w:r>
        <w:t>culo</w:t>
      </w:r>
      <w:r w:rsidRPr="00C71EC8">
        <w:t>–</w:t>
      </w:r>
      <w:r>
        <w:t>de</w:t>
      </w:r>
      <w:r w:rsidRPr="00C71EC8">
        <w:t>–</w:t>
      </w:r>
      <w:r>
        <w:t>renacimiento</w:t>
      </w:r>
      <w:r w:rsidRPr="00C71EC8">
        <w:t xml:space="preserve"> </w:t>
      </w:r>
      <w:r w:rsidR="00993719">
        <w:t xml:space="preserve">y </w:t>
      </w:r>
      <w:r w:rsidR="000B733E">
        <w:t>haya</w:t>
      </w:r>
      <w:r w:rsidR="00A93E54">
        <w:t>n acabado de reaparecer</w:t>
      </w:r>
      <w:r w:rsidR="004E23CA">
        <w:t xml:space="preserve"> </w:t>
      </w:r>
      <w:r w:rsidR="00C024E8">
        <w:t xml:space="preserve">con </w:t>
      </w:r>
      <w:r w:rsidR="00604713">
        <w:t xml:space="preserve">lo </w:t>
      </w:r>
      <w:r w:rsidR="004E23CA">
        <w:t xml:space="preserve">que se </w:t>
      </w:r>
      <w:r w:rsidR="00604713">
        <w:t xml:space="preserve">quiere decir </w:t>
      </w:r>
      <w:r w:rsidR="004E23CA">
        <w:t>"reapar</w:t>
      </w:r>
      <w:r w:rsidR="00C024E8">
        <w:t>e</w:t>
      </w:r>
      <w:r w:rsidR="004E23CA">
        <w:t>c</w:t>
      </w:r>
      <w:r w:rsidR="00604713">
        <w:t>i</w:t>
      </w:r>
      <w:r w:rsidR="00C024E8">
        <w:t>endo</w:t>
      </w:r>
      <w:r w:rsidR="004E23CA">
        <w:t>". Lo que se señala es que los ve</w:t>
      </w:r>
      <w:r w:rsidR="00A93E54">
        <w:t>rá</w:t>
      </w:r>
      <w:r w:rsidR="004E23CA">
        <w:t xml:space="preserve"> </w:t>
      </w:r>
      <w:r w:rsidR="006900B7">
        <w:t xml:space="preserve">precisamente </w:t>
      </w:r>
      <w:r w:rsidR="004E23CA">
        <w:t>fallecien</w:t>
      </w:r>
      <w:r w:rsidR="00C024E8">
        <w:t>d</w:t>
      </w:r>
      <w:r w:rsidR="004E23CA">
        <w:t>o y reapar</w:t>
      </w:r>
      <w:r w:rsidR="00C024E8">
        <w:t>eciendo</w:t>
      </w:r>
      <w:r w:rsidR="004E23CA">
        <w:t>.</w:t>
      </w:r>
    </w:p>
    <w:p w14:paraId="12A79841" w14:textId="5559CDFD" w:rsidR="004E23CA" w:rsidRDefault="004E23CA" w:rsidP="004E23CA">
      <w:r>
        <w:t xml:space="preserve">77. </w:t>
      </w:r>
      <w:r>
        <w:tab/>
      </w:r>
      <w:r w:rsidRPr="000019A9">
        <w:rPr>
          <w:i/>
          <w:iCs/>
        </w:rPr>
        <w:t>Inferior</w:t>
      </w:r>
      <w:r>
        <w:t xml:space="preserve">: </w:t>
      </w:r>
      <w:r w:rsidR="00A07569">
        <w:t>desdeñable</w:t>
      </w:r>
      <w:r>
        <w:t>, desprecia</w:t>
      </w:r>
      <w:r w:rsidR="00A07569">
        <w:t>ble</w:t>
      </w:r>
      <w:r>
        <w:t xml:space="preserve">, </w:t>
      </w:r>
      <w:r w:rsidR="00C470C7">
        <w:t>ordinario</w:t>
      </w:r>
      <w:r>
        <w:t xml:space="preserve">, </w:t>
      </w:r>
      <w:r w:rsidR="00C470C7">
        <w:t>común</w:t>
      </w:r>
      <w:r>
        <w:t xml:space="preserve">, debido al nacimiento, </w:t>
      </w:r>
      <w:r w:rsidR="00C470C7">
        <w:t>a</w:t>
      </w:r>
      <w:r>
        <w:t xml:space="preserve">l clan, </w:t>
      </w:r>
      <w:r w:rsidR="00C470C7">
        <w:t xml:space="preserve">a </w:t>
      </w:r>
      <w:r>
        <w:t>la riqueza, etc., debido a</w:t>
      </w:r>
      <w:r w:rsidR="00AE0EF9">
        <w:t xml:space="preserve"> </w:t>
      </w:r>
      <w:r>
        <w:t>l</w:t>
      </w:r>
      <w:r w:rsidR="00AE0EF9">
        <w:t>a</w:t>
      </w:r>
      <w:r>
        <w:t xml:space="preserve"> </w:t>
      </w:r>
      <w:r w:rsidR="00AE0EF9">
        <w:t xml:space="preserve">maduración </w:t>
      </w:r>
      <w:r>
        <w:t xml:space="preserve">del resultado de la ilusión. </w:t>
      </w:r>
      <w:r w:rsidRPr="000019A9">
        <w:rPr>
          <w:i/>
          <w:iCs/>
        </w:rPr>
        <w:t>Superior</w:t>
      </w:r>
      <w:r>
        <w:t>: lo contrario de e</w:t>
      </w:r>
      <w:r w:rsidR="00AE0EF9">
        <w:t>ll</w:t>
      </w:r>
      <w:r>
        <w:t>o debido a</w:t>
      </w:r>
      <w:r w:rsidR="00AE0EF9">
        <w:t xml:space="preserve"> </w:t>
      </w:r>
      <w:r w:rsidR="00D7391E">
        <w:t xml:space="preserve">la maduración </w:t>
      </w:r>
      <w:r>
        <w:t>del resultado de la no</w:t>
      </w:r>
      <w:r w:rsidR="00D7391E">
        <w:t>-i</w:t>
      </w:r>
      <w:r>
        <w:t xml:space="preserve">lusión. </w:t>
      </w:r>
      <w:r w:rsidR="00D7391E">
        <w:rPr>
          <w:i/>
          <w:iCs/>
        </w:rPr>
        <w:t>Bello</w:t>
      </w:r>
      <w:r>
        <w:t xml:space="preserve">: </w:t>
      </w:r>
      <w:r w:rsidR="00D7391E">
        <w:t>que posee</w:t>
      </w:r>
      <w:r w:rsidR="006900B7">
        <w:t>rá</w:t>
      </w:r>
      <w:r w:rsidR="00D7391E">
        <w:t xml:space="preserve"> </w:t>
      </w:r>
      <w:r>
        <w:t xml:space="preserve">una apariencia deseable, agradable y </w:t>
      </w:r>
      <w:r w:rsidR="00D7391E">
        <w:t>atractiv</w:t>
      </w:r>
      <w:r w:rsidR="006900B7">
        <w:t>a</w:t>
      </w:r>
      <w:r w:rsidR="00D7391E">
        <w:t xml:space="preserve"> </w:t>
      </w:r>
      <w:r>
        <w:t xml:space="preserve">debido a </w:t>
      </w:r>
      <w:r w:rsidR="00D7391E">
        <w:t xml:space="preserve">la maduración </w:t>
      </w:r>
      <w:r>
        <w:t>del resultado de</w:t>
      </w:r>
      <w:r w:rsidR="00D7391E">
        <w:t>l</w:t>
      </w:r>
      <w:r>
        <w:t xml:space="preserve"> no</w:t>
      </w:r>
      <w:r w:rsidR="00D7391E">
        <w:t>-</w:t>
      </w:r>
      <w:r>
        <w:t xml:space="preserve">odio. </w:t>
      </w:r>
      <w:r w:rsidRPr="000019A9">
        <w:rPr>
          <w:i/>
          <w:iCs/>
        </w:rPr>
        <w:t>Feo</w:t>
      </w:r>
      <w:r>
        <w:t xml:space="preserve">: </w:t>
      </w:r>
      <w:r w:rsidR="003A0FF1">
        <w:t>que posee</w:t>
      </w:r>
      <w:r w:rsidR="006900B7">
        <w:t>rá</w:t>
      </w:r>
      <w:r w:rsidR="003A0FF1">
        <w:t xml:space="preserve"> </w:t>
      </w:r>
      <w:r>
        <w:t xml:space="preserve">una apariencia indeseable, desagradable y </w:t>
      </w:r>
      <w:r w:rsidR="003A0FF1">
        <w:t>no</w:t>
      </w:r>
      <w:r w:rsidR="006900B7">
        <w:t>-</w:t>
      </w:r>
      <w:r w:rsidR="003A0FF1">
        <w:t>atractiva</w:t>
      </w:r>
      <w:r>
        <w:t xml:space="preserve"> debido a </w:t>
      </w:r>
      <w:r w:rsidR="003A0FF1">
        <w:t xml:space="preserve">la maduración </w:t>
      </w:r>
      <w:r>
        <w:t xml:space="preserve">del resultado del odio; </w:t>
      </w:r>
      <w:r w:rsidR="00133A46">
        <w:t xml:space="preserve">el significado es </w:t>
      </w:r>
      <w:r>
        <w:t>antiestétic</w:t>
      </w:r>
      <w:r w:rsidR="00B809DE">
        <w:t>o</w:t>
      </w:r>
      <w:r>
        <w:t xml:space="preserve">, mal </w:t>
      </w:r>
      <w:r w:rsidR="00133A46">
        <w:t>favorecido</w:t>
      </w:r>
      <w:r>
        <w:t xml:space="preserve">. </w:t>
      </w:r>
      <w:r w:rsidRPr="000019A9">
        <w:rPr>
          <w:i/>
          <w:iCs/>
        </w:rPr>
        <w:t>Feliz en su destino</w:t>
      </w:r>
      <w:r>
        <w:t xml:space="preserve">: </w:t>
      </w:r>
      <w:r w:rsidR="00914219">
        <w:t>en dirección hacia</w:t>
      </w:r>
      <w:r>
        <w:t xml:space="preserve"> un destino feliz; </w:t>
      </w:r>
      <w:r w:rsidR="00914219">
        <w:t>de riqueza</w:t>
      </w:r>
      <w:r>
        <w:t xml:space="preserve">, </w:t>
      </w:r>
      <w:r w:rsidR="00914219">
        <w:t>de mucha riqueza</w:t>
      </w:r>
      <w:r>
        <w:t xml:space="preserve">, debido a </w:t>
      </w:r>
      <w:r w:rsidR="00914219">
        <w:t xml:space="preserve">la maduración </w:t>
      </w:r>
      <w:r>
        <w:t>del resultado de la no</w:t>
      </w:r>
      <w:r w:rsidR="00AD4074">
        <w:t>-codicia</w:t>
      </w:r>
      <w:r>
        <w:t xml:space="preserve">. </w:t>
      </w:r>
      <w:r w:rsidRPr="00AD4074">
        <w:rPr>
          <w:i/>
          <w:iCs/>
        </w:rPr>
        <w:t>Infeliz</w:t>
      </w:r>
      <w:r>
        <w:t xml:space="preserve"> en </w:t>
      </w:r>
      <w:r w:rsidRPr="00AD4074">
        <w:rPr>
          <w:i/>
          <w:iCs/>
        </w:rPr>
        <w:t>su destino</w:t>
      </w:r>
      <w:r>
        <w:t xml:space="preserve">: </w:t>
      </w:r>
      <w:r w:rsidR="00AD4074">
        <w:t>en dirección hacia</w:t>
      </w:r>
      <w:r>
        <w:t xml:space="preserve"> un destino infeliz; pobre</w:t>
      </w:r>
      <w:r w:rsidR="00AD4074">
        <w:t>,</w:t>
      </w:r>
      <w:r>
        <w:t xml:space="preserve"> con poca comida y bebida debido a </w:t>
      </w:r>
      <w:r w:rsidR="00AD4074">
        <w:t xml:space="preserve">la maduración </w:t>
      </w:r>
      <w:r>
        <w:t>del resultado de la codicia.</w:t>
      </w:r>
    </w:p>
    <w:p w14:paraId="42889FF3" w14:textId="6D14D4EB" w:rsidR="004E23CA" w:rsidRDefault="004E23CA" w:rsidP="004E23CA">
      <w:r>
        <w:t xml:space="preserve">78. </w:t>
      </w:r>
      <w:r>
        <w:tab/>
      </w:r>
      <w:r w:rsidR="00F97077">
        <w:rPr>
          <w:i/>
          <w:iCs/>
        </w:rPr>
        <w:t>Destino</w:t>
      </w:r>
      <w:r w:rsidR="00152C07">
        <w:rPr>
          <w:i/>
          <w:iCs/>
        </w:rPr>
        <w:t>s</w:t>
      </w:r>
      <w:r w:rsidRPr="000019A9">
        <w:rPr>
          <w:i/>
          <w:iCs/>
        </w:rPr>
        <w:t xml:space="preserve"> </w:t>
      </w:r>
      <w:proofErr w:type="gramStart"/>
      <w:r w:rsidRPr="000019A9">
        <w:rPr>
          <w:i/>
          <w:iCs/>
        </w:rPr>
        <w:t xml:space="preserve">de acuerdo </w:t>
      </w:r>
      <w:r w:rsidR="001370AA">
        <w:rPr>
          <w:i/>
          <w:iCs/>
        </w:rPr>
        <w:t>a</w:t>
      </w:r>
      <w:proofErr w:type="gramEnd"/>
      <w:r w:rsidRPr="000019A9">
        <w:rPr>
          <w:i/>
          <w:iCs/>
        </w:rPr>
        <w:t xml:space="preserve"> sus </w:t>
      </w:r>
      <w:r w:rsidR="00902638">
        <w:rPr>
          <w:i/>
          <w:iCs/>
        </w:rPr>
        <w:t>acciones</w:t>
      </w:r>
      <w:r>
        <w:t xml:space="preserve">: </w:t>
      </w:r>
      <w:r w:rsidR="00C17CC6">
        <w:t>la cual se dirigirá</w:t>
      </w:r>
      <w:r w:rsidR="001370AA">
        <w:t xml:space="preserve"> hacia una dirección</w:t>
      </w:r>
      <w:r>
        <w:t xml:space="preserve"> de acuerdo con cualquier</w:t>
      </w:r>
      <w:r w:rsidR="00077DBE">
        <w:t xml:space="preserve">a </w:t>
      </w:r>
      <w:r w:rsidR="00C17CC6">
        <w:t xml:space="preserve">de </w:t>
      </w:r>
      <w:r w:rsidR="00077DBE">
        <w:t>sus acciones</w:t>
      </w:r>
      <w:r>
        <w:t xml:space="preserve"> (</w:t>
      </w:r>
      <w:proofErr w:type="spellStart"/>
      <w:r w:rsidR="00057BF4" w:rsidRPr="00057BF4">
        <w:rPr>
          <w:i/>
        </w:rPr>
        <w:t>kamma</w:t>
      </w:r>
      <w:proofErr w:type="spellEnd"/>
      <w:r>
        <w:t>) acumulad</w:t>
      </w:r>
      <w:r w:rsidR="00C17CC6">
        <w:t>as</w:t>
      </w:r>
      <w:r>
        <w:t>. Aquí, la función del ojo divino se describ</w:t>
      </w:r>
      <w:r w:rsidR="00077DBE">
        <w:t>irá</w:t>
      </w:r>
      <w:r>
        <w:t xml:space="preserve"> mediante las primeras expresiones que comienzan con "falleci</w:t>
      </w:r>
      <w:r w:rsidR="00C17CC6">
        <w:t>endo</w:t>
      </w:r>
      <w:r>
        <w:t>". Pero esta última expresión describ</w:t>
      </w:r>
      <w:r w:rsidR="007776F4">
        <w:t>irá</w:t>
      </w:r>
      <w:r>
        <w:t xml:space="preserve"> la función del conocimiento de </w:t>
      </w:r>
      <w:r w:rsidR="007776F4">
        <w:t xml:space="preserve">aquello que </w:t>
      </w:r>
      <w:r w:rsidR="00C17CC6">
        <w:t xml:space="preserve">se dirija </w:t>
      </w:r>
      <w:r w:rsidR="007776F4">
        <w:t xml:space="preserve">hacia una dirección </w:t>
      </w:r>
      <w:proofErr w:type="gramStart"/>
      <w:r w:rsidR="007776F4">
        <w:t>de acuerdo a</w:t>
      </w:r>
      <w:proofErr w:type="gramEnd"/>
      <w:r w:rsidR="007776F4">
        <w:t xml:space="preserve"> sus acciones</w:t>
      </w:r>
      <w:r>
        <w:t>.</w:t>
      </w:r>
    </w:p>
    <w:p w14:paraId="0E6CF8CF" w14:textId="5B6B2D60" w:rsidR="004E23CA" w:rsidRDefault="004E23CA" w:rsidP="004E23CA">
      <w:r>
        <w:t xml:space="preserve">79. </w:t>
      </w:r>
      <w:r>
        <w:tab/>
        <w:t>El orden en el que sur</w:t>
      </w:r>
      <w:r w:rsidR="00C17CC6">
        <w:t>girá</w:t>
      </w:r>
      <w:r>
        <w:t xml:space="preserve"> es</w:t>
      </w:r>
      <w:r w:rsidR="00F20A00">
        <w:t>t</w:t>
      </w:r>
      <w:r>
        <w:t xml:space="preserve">e conocimiento es </w:t>
      </w:r>
      <w:r w:rsidR="00F20A00">
        <w:t>el siguiente:</w:t>
      </w:r>
      <w:r>
        <w:t xml:space="preserve"> </w:t>
      </w:r>
      <w:r w:rsidR="00F20A00">
        <w:t>a</w:t>
      </w:r>
      <w:r>
        <w:t xml:space="preserve">quí un </w:t>
      </w:r>
      <w:proofErr w:type="spellStart"/>
      <w:r w:rsidR="00F20A00" w:rsidRPr="00057BF4">
        <w:rPr>
          <w:i/>
        </w:rPr>
        <w:t>bhikkhu</w:t>
      </w:r>
      <w:proofErr w:type="spellEnd"/>
      <w:r w:rsidR="00F20A00">
        <w:t xml:space="preserve"> </w:t>
      </w:r>
      <w:r>
        <w:t>extende</w:t>
      </w:r>
      <w:r w:rsidR="00F20A00">
        <w:t>rá</w:t>
      </w:r>
      <w:r>
        <w:t xml:space="preserve"> la luz hacia abajo en dirección </w:t>
      </w:r>
      <w:r w:rsidR="00F20A00">
        <w:t>hacia e</w:t>
      </w:r>
      <w:r>
        <w:t>l infierno, y ve</w:t>
      </w:r>
      <w:r w:rsidR="00F20A00">
        <w:t>rá</w:t>
      </w:r>
      <w:r>
        <w:t xml:space="preserve"> a los seres en el infierno sufriendo un gran sufrimiento. Esa visión </w:t>
      </w:r>
      <w:r w:rsidR="00EF2031">
        <w:t xml:space="preserve">será </w:t>
      </w:r>
      <w:r>
        <w:t>solo función del ojo divino. Él le presta</w:t>
      </w:r>
      <w:r w:rsidR="00EF2031">
        <w:t>rá</w:t>
      </w:r>
      <w:r>
        <w:t xml:space="preserve"> atención </w:t>
      </w:r>
      <w:r w:rsidR="00EF2031">
        <w:t>así</w:t>
      </w:r>
      <w:r>
        <w:t xml:space="preserve">: "¿Después de hacer qué </w:t>
      </w:r>
      <w:r w:rsidR="00EF2031">
        <w:t>acciones</w:t>
      </w:r>
      <w:r>
        <w:t xml:space="preserve"> estos seres</w:t>
      </w:r>
      <w:r w:rsidR="006842BF">
        <w:t xml:space="preserve"> se encuentran así sometidos</w:t>
      </w:r>
      <w:r>
        <w:t xml:space="preserve">?" Luego, el conocimiento que </w:t>
      </w:r>
      <w:r w:rsidR="00A810F4">
        <w:t>pose</w:t>
      </w:r>
      <w:r w:rsidR="006842BF">
        <w:t>a</w:t>
      </w:r>
      <w:r w:rsidR="00A810F4">
        <w:t xml:space="preserve"> a </w:t>
      </w:r>
      <w:r>
        <w:t>es</w:t>
      </w:r>
      <w:r w:rsidR="00A810F4">
        <w:t>a</w:t>
      </w:r>
      <w:r>
        <w:t xml:space="preserve">s </w:t>
      </w:r>
      <w:r w:rsidR="00A810F4">
        <w:t xml:space="preserve">acciones </w:t>
      </w:r>
      <w:r>
        <w:t>como su objeto surg</w:t>
      </w:r>
      <w:r w:rsidR="00A810F4">
        <w:t>irá</w:t>
      </w:r>
      <w:r>
        <w:t xml:space="preserve"> en él </w:t>
      </w:r>
      <w:r w:rsidR="00A810F4">
        <w:t>así</w:t>
      </w:r>
      <w:r>
        <w:t xml:space="preserve">, "fue después de </w:t>
      </w:r>
      <w:r w:rsidR="006842BF">
        <w:t xml:space="preserve">haber hecho </w:t>
      </w:r>
      <w:r>
        <w:t>esto". Del mismo modo, extende</w:t>
      </w:r>
      <w:r w:rsidR="00A810F4">
        <w:t>rá</w:t>
      </w:r>
      <w:r>
        <w:t xml:space="preserve"> la luz hacia la dirección </w:t>
      </w:r>
      <w:r w:rsidR="00A810F4">
        <w:t xml:space="preserve">superior </w:t>
      </w:r>
      <w:r>
        <w:t>del mundo divino de la esfera sensual, y ve</w:t>
      </w:r>
      <w:r w:rsidR="00A810F4">
        <w:t>rá</w:t>
      </w:r>
      <w:r>
        <w:t xml:space="preserve"> seres en el bosque </w:t>
      </w:r>
      <w:proofErr w:type="spellStart"/>
      <w:r w:rsidRPr="006842BF">
        <w:rPr>
          <w:i/>
          <w:iCs/>
        </w:rPr>
        <w:t>Nandana</w:t>
      </w:r>
      <w:proofErr w:type="spellEnd"/>
      <w:r>
        <w:t xml:space="preserve">, </w:t>
      </w:r>
      <w:r w:rsidR="00A810F4">
        <w:t xml:space="preserve">en </w:t>
      </w:r>
      <w:r>
        <w:t xml:space="preserve">el bosque </w:t>
      </w:r>
      <w:proofErr w:type="spellStart"/>
      <w:r w:rsidRPr="006842BF">
        <w:rPr>
          <w:i/>
          <w:iCs/>
        </w:rPr>
        <w:t>Missaka</w:t>
      </w:r>
      <w:proofErr w:type="spellEnd"/>
      <w:r>
        <w:t xml:space="preserve">, </w:t>
      </w:r>
      <w:r w:rsidR="00A810F4">
        <w:t xml:space="preserve">en </w:t>
      </w:r>
      <w:r w:rsidR="000019A9">
        <w:t xml:space="preserve">el bosque </w:t>
      </w:r>
      <w:proofErr w:type="spellStart"/>
      <w:r w:rsidRPr="006842BF">
        <w:rPr>
          <w:i/>
          <w:iCs/>
        </w:rPr>
        <w:t>Phārusaka</w:t>
      </w:r>
      <w:proofErr w:type="spellEnd"/>
      <w:r>
        <w:t xml:space="preserve">, etc., disfrutando de una gran fortuna. Esa visión también </w:t>
      </w:r>
      <w:r w:rsidR="00A810F4">
        <w:t xml:space="preserve">será </w:t>
      </w:r>
      <w:r>
        <w:t>solo función del ojo divino. L</w:t>
      </w:r>
      <w:r w:rsidR="00A810F4">
        <w:t>e</w:t>
      </w:r>
      <w:r>
        <w:t xml:space="preserve"> presta</w:t>
      </w:r>
      <w:r w:rsidR="00A810F4">
        <w:t>rá</w:t>
      </w:r>
      <w:r>
        <w:t xml:space="preserve"> atención </w:t>
      </w:r>
      <w:r w:rsidR="00A810F4">
        <w:t>así</w:t>
      </w:r>
      <w:r>
        <w:t>: "</w:t>
      </w:r>
      <w:r w:rsidR="00A13F3D">
        <w:t>¿</w:t>
      </w:r>
      <w:r>
        <w:t xml:space="preserve">Después de hacer qué </w:t>
      </w:r>
      <w:r w:rsidR="00A810F4">
        <w:t xml:space="preserve">acciones </w:t>
      </w:r>
      <w:r>
        <w:t xml:space="preserve">estos seres </w:t>
      </w:r>
      <w:r w:rsidR="006842BF">
        <w:t xml:space="preserve">han llegado a disfrutar </w:t>
      </w:r>
      <w:r w:rsidR="00A810F4">
        <w:t xml:space="preserve">de </w:t>
      </w:r>
      <w:r>
        <w:t xml:space="preserve">esta buena fortuna?" </w:t>
      </w:r>
      <w:r w:rsidR="00A13F3D">
        <w:t>Entonces</w:t>
      </w:r>
      <w:r>
        <w:t xml:space="preserve">, el conocimiento que </w:t>
      </w:r>
      <w:r w:rsidR="002548FC">
        <w:t xml:space="preserve">posea a </w:t>
      </w:r>
      <w:r>
        <w:t>es</w:t>
      </w:r>
      <w:r w:rsidR="002548FC">
        <w:t>a</w:t>
      </w:r>
      <w:r>
        <w:t xml:space="preserve">s </w:t>
      </w:r>
      <w:r w:rsidR="002548FC">
        <w:t xml:space="preserve">acciones </w:t>
      </w:r>
      <w:r>
        <w:t>como su objeto surg</w:t>
      </w:r>
      <w:r w:rsidR="002548FC">
        <w:t>irá</w:t>
      </w:r>
      <w:r>
        <w:t xml:space="preserve"> en él </w:t>
      </w:r>
      <w:r w:rsidR="002548FC">
        <w:t>así</w:t>
      </w:r>
      <w:r>
        <w:t xml:space="preserve">, "fue después de </w:t>
      </w:r>
      <w:r w:rsidR="00A13F3D">
        <w:t xml:space="preserve">haber </w:t>
      </w:r>
      <w:r>
        <w:t>h</w:t>
      </w:r>
      <w:r w:rsidR="00A13F3D">
        <w:t>echo</w:t>
      </w:r>
      <w:r>
        <w:t xml:space="preserve"> esto". Esto es </w:t>
      </w:r>
      <w:r w:rsidR="002548FC">
        <w:t xml:space="preserve">a </w:t>
      </w:r>
      <w:r>
        <w:t xml:space="preserve">lo que se </w:t>
      </w:r>
      <w:r w:rsidR="002548FC">
        <w:t xml:space="preserve">le </w:t>
      </w:r>
      <w:r>
        <w:t>llama</w:t>
      </w:r>
      <w:r w:rsidR="00A13F3D">
        <w:t>rá</w:t>
      </w:r>
      <w:r>
        <w:t xml:space="preserve"> </w:t>
      </w:r>
      <w:r w:rsidR="002548FC">
        <w:t xml:space="preserve">el </w:t>
      </w:r>
      <w:r>
        <w:t>conocimiento d</w:t>
      </w:r>
      <w:r w:rsidR="009D6A80">
        <w:t>el destino</w:t>
      </w:r>
      <w:r>
        <w:t xml:space="preserve"> </w:t>
      </w:r>
      <w:proofErr w:type="gramStart"/>
      <w:r w:rsidR="00BF0AAC">
        <w:t>de acuerdo a</w:t>
      </w:r>
      <w:proofErr w:type="gramEnd"/>
      <w:r w:rsidR="00BF0AAC">
        <w:t xml:space="preserve"> sus acciones.</w:t>
      </w:r>
    </w:p>
    <w:p w14:paraId="0591D447" w14:textId="3038CDFF" w:rsidR="004E23CA" w:rsidRDefault="004E23CA" w:rsidP="004E23CA">
      <w:r>
        <w:t xml:space="preserve">80. </w:t>
      </w:r>
      <w:r w:rsidR="000019A9">
        <w:tab/>
      </w:r>
      <w:r>
        <w:t>No ha</w:t>
      </w:r>
      <w:r w:rsidR="00BF0AAC">
        <w:t>brá</w:t>
      </w:r>
      <w:r>
        <w:t xml:space="preserve"> un trabajo preliminar especial para esto. Y como en este caso, </w:t>
      </w:r>
      <w:r w:rsidR="00BF0AAC">
        <w:t xml:space="preserve">así </w:t>
      </w:r>
      <w:r>
        <w:t xml:space="preserve">también </w:t>
      </w:r>
      <w:r w:rsidR="00BF0AAC">
        <w:t xml:space="preserve">será </w:t>
      </w:r>
      <w:r>
        <w:t xml:space="preserve">en el caso del conocimiento del futuro; porque estos </w:t>
      </w:r>
      <w:r w:rsidR="00BF0AAC">
        <w:t xml:space="preserve">tendrán </w:t>
      </w:r>
      <w:r w:rsidR="009D6A80">
        <w:t>a</w:t>
      </w:r>
      <w:r>
        <w:t xml:space="preserve">l ojo divino como </w:t>
      </w:r>
      <w:r w:rsidR="009D6A80">
        <w:t xml:space="preserve">su </w:t>
      </w:r>
      <w:r>
        <w:t>base y su éxito depende</w:t>
      </w:r>
      <w:r w:rsidR="00BF0AAC">
        <w:t>rá</w:t>
      </w:r>
      <w:r>
        <w:t xml:space="preserve"> del ojo divino. [425]</w:t>
      </w:r>
    </w:p>
    <w:p w14:paraId="46894850" w14:textId="4E616409" w:rsidR="004E23CA" w:rsidRDefault="004E23CA" w:rsidP="004E23CA">
      <w:r>
        <w:t xml:space="preserve">81. </w:t>
      </w:r>
      <w:r>
        <w:tab/>
        <w:t xml:space="preserve">En cuanto </w:t>
      </w:r>
      <w:r w:rsidRPr="000019A9">
        <w:rPr>
          <w:i/>
          <w:iCs/>
        </w:rPr>
        <w:t>a mal condu</w:t>
      </w:r>
      <w:r w:rsidR="00582177">
        <w:rPr>
          <w:i/>
          <w:iCs/>
        </w:rPr>
        <w:t>cidos</w:t>
      </w:r>
      <w:r w:rsidRPr="000019A9">
        <w:rPr>
          <w:i/>
          <w:iCs/>
        </w:rPr>
        <w:t xml:space="preserve"> en cuerpo</w:t>
      </w:r>
      <w:r>
        <w:t xml:space="preserve">, etc., </w:t>
      </w:r>
      <w:r w:rsidR="007E15E1">
        <w:t>se refiere a la</w:t>
      </w:r>
      <w:r>
        <w:t xml:space="preserve"> mala conducta (</w:t>
      </w:r>
      <w:proofErr w:type="spellStart"/>
      <w:r w:rsidRPr="000019A9">
        <w:rPr>
          <w:i/>
          <w:iCs/>
        </w:rPr>
        <w:t>duṭṭhu</w:t>
      </w:r>
      <w:proofErr w:type="spellEnd"/>
      <w:r w:rsidRPr="000019A9">
        <w:rPr>
          <w:i/>
          <w:iCs/>
        </w:rPr>
        <w:t xml:space="preserve"> </w:t>
      </w:r>
      <w:proofErr w:type="spellStart"/>
      <w:r w:rsidRPr="000019A9">
        <w:rPr>
          <w:i/>
          <w:iCs/>
        </w:rPr>
        <w:t>caritaṃ</w:t>
      </w:r>
      <w:proofErr w:type="spellEnd"/>
      <w:r>
        <w:t xml:space="preserve">), o </w:t>
      </w:r>
      <w:r w:rsidR="007E15E1">
        <w:t xml:space="preserve">a </w:t>
      </w:r>
      <w:r>
        <w:t>una conducta corrupta (</w:t>
      </w:r>
      <w:proofErr w:type="spellStart"/>
      <w:r w:rsidRPr="000019A9">
        <w:rPr>
          <w:i/>
          <w:iCs/>
        </w:rPr>
        <w:t>duṭṭhaṃ</w:t>
      </w:r>
      <w:proofErr w:type="spellEnd"/>
      <w:r w:rsidRPr="000019A9">
        <w:rPr>
          <w:i/>
          <w:iCs/>
        </w:rPr>
        <w:t xml:space="preserve"> </w:t>
      </w:r>
      <w:proofErr w:type="spellStart"/>
      <w:r w:rsidRPr="000019A9">
        <w:rPr>
          <w:i/>
          <w:iCs/>
        </w:rPr>
        <w:t>caritaṃ</w:t>
      </w:r>
      <w:proofErr w:type="spellEnd"/>
      <w:r>
        <w:t>) podrid</w:t>
      </w:r>
      <w:r w:rsidR="007E15E1">
        <w:t>a</w:t>
      </w:r>
      <w:r>
        <w:t xml:space="preserve"> </w:t>
      </w:r>
      <w:r w:rsidR="007E15E1">
        <w:t xml:space="preserve">de </w:t>
      </w:r>
      <w:r>
        <w:t xml:space="preserve">impulsos, por lo tanto, </w:t>
      </w:r>
      <w:r w:rsidR="00A87854">
        <w:t>se refer</w:t>
      </w:r>
      <w:r w:rsidR="00582177">
        <w:t>irá</w:t>
      </w:r>
      <w:r w:rsidR="00A87854">
        <w:t xml:space="preserve"> a una </w:t>
      </w:r>
      <w:r>
        <w:t>mal</w:t>
      </w:r>
      <w:r w:rsidR="00A87854">
        <w:t>a</w:t>
      </w:r>
      <w:r>
        <w:t xml:space="preserve"> conducta (</w:t>
      </w:r>
      <w:proofErr w:type="spellStart"/>
      <w:r w:rsidRPr="000019A9">
        <w:rPr>
          <w:i/>
          <w:iCs/>
        </w:rPr>
        <w:t>duccarita</w:t>
      </w:r>
      <w:proofErr w:type="spellEnd"/>
      <w:r>
        <w:t>). La mala conducta se produc</w:t>
      </w:r>
      <w:r w:rsidR="00A87854">
        <w:t>irá</w:t>
      </w:r>
      <w:r>
        <w:t xml:space="preserve"> por medio del cuerpo, o la mala conducta ha</w:t>
      </w:r>
      <w:r w:rsidR="00A87854">
        <w:t>brá</w:t>
      </w:r>
      <w:r>
        <w:t xml:space="preserve"> surgido debido al cuerpo, por lo tanto, </w:t>
      </w:r>
      <w:r w:rsidR="00A87854">
        <w:t xml:space="preserve">será una </w:t>
      </w:r>
      <w:r>
        <w:t>mal</w:t>
      </w:r>
      <w:r w:rsidR="00A87854">
        <w:t>a</w:t>
      </w:r>
      <w:r>
        <w:t xml:space="preserve"> conducta en cuerpo; Así también con </w:t>
      </w:r>
      <w:r w:rsidR="00A87854">
        <w:t>las malas conductas restantes</w:t>
      </w:r>
      <w:r>
        <w:t xml:space="preserve">. </w:t>
      </w:r>
      <w:r w:rsidR="002F78B7" w:rsidRPr="000A5C1C">
        <w:rPr>
          <w:i/>
          <w:iCs/>
        </w:rPr>
        <w:t xml:space="preserve">Mal </w:t>
      </w:r>
      <w:r w:rsidR="000A5C1C" w:rsidRPr="000A5C1C">
        <w:rPr>
          <w:i/>
          <w:iCs/>
        </w:rPr>
        <w:t>conduc</w:t>
      </w:r>
      <w:r w:rsidR="002F78B7">
        <w:rPr>
          <w:i/>
          <w:iCs/>
        </w:rPr>
        <w:t>ido</w:t>
      </w:r>
      <w:r>
        <w:t xml:space="preserve"> dotad</w:t>
      </w:r>
      <w:r w:rsidR="002F78B7">
        <w:t>o</w:t>
      </w:r>
      <w:r>
        <w:t xml:space="preserve"> de mal</w:t>
      </w:r>
      <w:r w:rsidR="000A5C1C">
        <w:t>as</w:t>
      </w:r>
      <w:r>
        <w:t xml:space="preserve"> conducta</w:t>
      </w:r>
      <w:r w:rsidR="000A5C1C">
        <w:t>s</w:t>
      </w:r>
      <w:r>
        <w:t>.</w:t>
      </w:r>
    </w:p>
    <w:p w14:paraId="1BA7F876" w14:textId="4EE0FA76" w:rsidR="004E23CA" w:rsidRDefault="004E23CA" w:rsidP="004E23CA">
      <w:r>
        <w:t xml:space="preserve">82. </w:t>
      </w:r>
      <w:r>
        <w:tab/>
      </w:r>
      <w:r w:rsidR="000019A9" w:rsidRPr="000019A9">
        <w:rPr>
          <w:i/>
          <w:iCs/>
        </w:rPr>
        <w:t>Rivales</w:t>
      </w:r>
      <w:r w:rsidRPr="000019A9">
        <w:rPr>
          <w:i/>
          <w:iCs/>
        </w:rPr>
        <w:t xml:space="preserve"> de los </w:t>
      </w:r>
      <w:r w:rsidR="00EC7885" w:rsidRPr="000019A9">
        <w:rPr>
          <w:i/>
          <w:iCs/>
        </w:rPr>
        <w:t>Nobles</w:t>
      </w:r>
      <w:r>
        <w:t xml:space="preserve">: </w:t>
      </w:r>
      <w:r w:rsidR="002F78B7">
        <w:t xml:space="preserve">los </w:t>
      </w:r>
      <w:r>
        <w:t xml:space="preserve">deseosos del </w:t>
      </w:r>
      <w:r w:rsidR="000A5C1C">
        <w:t>perjuicio</w:t>
      </w:r>
      <w:r>
        <w:t xml:space="preserve"> </w:t>
      </w:r>
      <w:r w:rsidR="006635B5">
        <w:t xml:space="preserve">de </w:t>
      </w:r>
      <w:r>
        <w:t xml:space="preserve">los </w:t>
      </w:r>
      <w:r w:rsidR="00EC7885">
        <w:t xml:space="preserve">Nobles </w:t>
      </w:r>
      <w:r>
        <w:t>consisten</w:t>
      </w:r>
      <w:r w:rsidR="000019A9">
        <w:t>te</w:t>
      </w:r>
      <w:r>
        <w:t xml:space="preserve"> </w:t>
      </w:r>
      <w:r w:rsidR="000019A9">
        <w:t>de</w:t>
      </w:r>
      <w:r>
        <w:t xml:space="preserve"> </w:t>
      </w:r>
      <w:r w:rsidR="00057BF4" w:rsidRPr="00057BF4">
        <w:rPr>
          <w:i/>
        </w:rPr>
        <w:t>Buddha</w:t>
      </w:r>
      <w:r>
        <w:t xml:space="preserve">s, </w:t>
      </w:r>
      <w:proofErr w:type="spellStart"/>
      <w:r w:rsidRPr="000019A9">
        <w:rPr>
          <w:i/>
          <w:iCs/>
        </w:rPr>
        <w:t>Pacceka</w:t>
      </w:r>
      <w:r w:rsidR="00057BF4" w:rsidRPr="000019A9">
        <w:rPr>
          <w:i/>
          <w:iCs/>
        </w:rPr>
        <w:t>buddha</w:t>
      </w:r>
      <w:r w:rsidRPr="000019A9">
        <w:rPr>
          <w:i/>
          <w:iCs/>
        </w:rPr>
        <w:t>s</w:t>
      </w:r>
      <w:proofErr w:type="spellEnd"/>
      <w:r>
        <w:t xml:space="preserve"> y Discípulos, y también de los </w:t>
      </w:r>
      <w:r w:rsidR="006635B5">
        <w:t>laicos</w:t>
      </w:r>
      <w:r w:rsidR="00C20AD0">
        <w:t xml:space="preserve"> </w:t>
      </w:r>
      <w:r w:rsidR="003E7338" w:rsidRPr="00F1111C">
        <w:t>en</w:t>
      </w:r>
      <w:r w:rsidR="003E7338">
        <w:t>trantes</w:t>
      </w:r>
      <w:r w:rsidR="003E7338">
        <w:rPr>
          <w:rFonts w:cs="Cormorant"/>
        </w:rPr>
        <w:t>‒</w:t>
      </w:r>
      <w:r w:rsidR="003E7338">
        <w:t>a</w:t>
      </w:r>
      <w:r w:rsidR="003E7338">
        <w:rPr>
          <w:rFonts w:cs="Cormorant"/>
        </w:rPr>
        <w:t>‒</w:t>
      </w:r>
      <w:r w:rsidR="003E7338">
        <w:t>la</w:t>
      </w:r>
      <w:r w:rsidR="003E7338">
        <w:rPr>
          <w:rFonts w:cs="Cormorant"/>
        </w:rPr>
        <w:t>‒</w:t>
      </w:r>
      <w:r w:rsidR="003E7338">
        <w:t>corriente</w:t>
      </w:r>
      <w:r w:rsidR="002F78B7">
        <w:t xml:space="preserve">, </w:t>
      </w:r>
      <w:proofErr w:type="spellStart"/>
      <w:r w:rsidR="002F78B7">
        <w:t>etc</w:t>
      </w:r>
      <w:proofErr w:type="spellEnd"/>
      <w:r w:rsidR="00C20AD0">
        <w:t xml:space="preserve"> </w:t>
      </w:r>
      <w:r w:rsidR="00445042">
        <w:t xml:space="preserve">(Ver Ud. </w:t>
      </w:r>
      <w:r>
        <w:t>44 y Mn</w:t>
      </w:r>
      <w:r w:rsidR="00445042">
        <w:t>.</w:t>
      </w:r>
      <w:r>
        <w:t xml:space="preserve"> 12); </w:t>
      </w:r>
      <w:r w:rsidR="006635B5">
        <w:t>Lo que se quiere decir es que l</w:t>
      </w:r>
      <w:r>
        <w:t xml:space="preserve">os </w:t>
      </w:r>
      <w:r w:rsidR="006635B5">
        <w:t xml:space="preserve">insultan </w:t>
      </w:r>
      <w:r>
        <w:t xml:space="preserve">y </w:t>
      </w:r>
      <w:r w:rsidR="006635B5">
        <w:t>recriminan</w:t>
      </w:r>
      <w:r>
        <w:t>.</w:t>
      </w:r>
    </w:p>
    <w:p w14:paraId="22DC6DC7" w14:textId="644FF675" w:rsidR="00D241EE" w:rsidRDefault="004E23CA" w:rsidP="000A5C1C">
      <w:r>
        <w:t xml:space="preserve">83. </w:t>
      </w:r>
      <w:r>
        <w:tab/>
      </w:r>
      <w:r w:rsidR="008D2EC8">
        <w:t>Aquí</w:t>
      </w:r>
      <w:r>
        <w:t>, debe</w:t>
      </w:r>
      <w:r w:rsidR="008D2EC8">
        <w:t>rá</w:t>
      </w:r>
      <w:r>
        <w:t xml:space="preserve"> entenderse que </w:t>
      </w:r>
      <w:r w:rsidR="00A51007">
        <w:t>al decir</w:t>
      </w:r>
      <w:r>
        <w:t>: "</w:t>
      </w:r>
      <w:r w:rsidR="002F78B7">
        <w:t>Ellos n</w:t>
      </w:r>
      <w:r>
        <w:t xml:space="preserve">o </w:t>
      </w:r>
      <w:r w:rsidR="00A51007">
        <w:t xml:space="preserve">practican el </w:t>
      </w:r>
      <w:r>
        <w:t xml:space="preserve">ascetismo, no son ascetas", </w:t>
      </w:r>
      <w:r w:rsidR="008D2EC8">
        <w:t xml:space="preserve">ellos rivalizan con los nobles </w:t>
      </w:r>
      <w:r>
        <w:t xml:space="preserve">con la peor acusación; y cuando dicen: “No </w:t>
      </w:r>
      <w:r w:rsidR="008D2EC8">
        <w:t xml:space="preserve">han desarrollado lo </w:t>
      </w:r>
      <w:r w:rsidR="00D241EE">
        <w:br w:type="page"/>
      </w:r>
    </w:p>
    <w:p w14:paraId="3CC4C51D" w14:textId="77777777" w:rsidR="00D241EE" w:rsidRDefault="00D241EE" w:rsidP="004E23CA"/>
    <w:p w14:paraId="0E51A642" w14:textId="62805541" w:rsidR="004B4795" w:rsidRDefault="00A51007" w:rsidP="004B4795">
      <w:proofErr w:type="spellStart"/>
      <w:r w:rsidRPr="00057BF4">
        <w:rPr>
          <w:i/>
        </w:rPr>
        <w:t>jhāna</w:t>
      </w:r>
      <w:r>
        <w:rPr>
          <w:iCs/>
        </w:rPr>
        <w:t>s</w:t>
      </w:r>
      <w:proofErr w:type="spellEnd"/>
      <w:r>
        <w:rPr>
          <w:iCs/>
        </w:rPr>
        <w:t>,</w:t>
      </w:r>
      <w:r>
        <w:t xml:space="preserve"> </w:t>
      </w:r>
      <w:r w:rsidR="008D2EC8">
        <w:t>la l</w:t>
      </w:r>
      <w:r w:rsidR="004B4795">
        <w:t xml:space="preserve">iberación o </w:t>
      </w:r>
      <w:r w:rsidR="008D2EC8">
        <w:t>el sendero de la fruición</w:t>
      </w:r>
      <w:r w:rsidR="004B4795">
        <w:t>, etc."</w:t>
      </w:r>
      <w:r w:rsidR="00672175">
        <w:t xml:space="preserve"> </w:t>
      </w:r>
      <w:r w:rsidR="000F441D">
        <w:t>ellos rivalizan</w:t>
      </w:r>
      <w:r w:rsidR="000019A9">
        <w:t xml:space="preserve"> </w:t>
      </w:r>
      <w:r w:rsidR="00672175">
        <w:t>mediante alusión a</w:t>
      </w:r>
      <w:r w:rsidR="004B4795">
        <w:t xml:space="preserve"> la negación de sus </w:t>
      </w:r>
      <w:r>
        <w:t xml:space="preserve">más </w:t>
      </w:r>
      <w:r w:rsidR="004B4795">
        <w:t>especiales</w:t>
      </w:r>
      <w:r w:rsidRPr="00A51007">
        <w:t xml:space="preserve"> </w:t>
      </w:r>
      <w:r>
        <w:t>cualidades</w:t>
      </w:r>
      <w:r w:rsidR="004B4795">
        <w:t xml:space="preserve">. Y ya sea que se haga </w:t>
      </w:r>
      <w:r w:rsidR="00672175">
        <w:t xml:space="preserve">conscientemente </w:t>
      </w:r>
      <w:r w:rsidR="004B4795">
        <w:t xml:space="preserve">o </w:t>
      </w:r>
      <w:r w:rsidR="00672175">
        <w:t>no</w:t>
      </w:r>
      <w:r w:rsidR="004B4795">
        <w:t xml:space="preserve">, en cualquier </w:t>
      </w:r>
      <w:r w:rsidR="00672175">
        <w:t xml:space="preserve">de los </w:t>
      </w:r>
      <w:r w:rsidR="004B4795">
        <w:t>caso</w:t>
      </w:r>
      <w:r w:rsidR="00672175">
        <w:t>s</w:t>
      </w:r>
      <w:r>
        <w:t>,</w:t>
      </w:r>
      <w:r w:rsidR="004B4795">
        <w:t xml:space="preserve"> </w:t>
      </w:r>
      <w:r w:rsidR="00EE3D85">
        <w:t xml:space="preserve">la intención </w:t>
      </w:r>
      <w:r w:rsidR="00EC7885">
        <w:t>consiste en</w:t>
      </w:r>
      <w:r w:rsidR="00EE3D85">
        <w:t xml:space="preserve"> rivalizar</w:t>
      </w:r>
      <w:r w:rsidR="004B4795">
        <w:t xml:space="preserve"> </w:t>
      </w:r>
      <w:r w:rsidR="00EE3D85">
        <w:t xml:space="preserve">con </w:t>
      </w:r>
      <w:r w:rsidR="004B4795">
        <w:t xml:space="preserve">los </w:t>
      </w:r>
      <w:r w:rsidR="00EC7885">
        <w:t>Nobles</w:t>
      </w:r>
      <w:r w:rsidR="004B4795">
        <w:t xml:space="preserve">; </w:t>
      </w:r>
      <w:r w:rsidR="00445042">
        <w:t>é</w:t>
      </w:r>
      <w:r w:rsidR="004B4795">
        <w:t>s</w:t>
      </w:r>
      <w:r w:rsidR="00445042">
        <w:t>te</w:t>
      </w:r>
      <w:r w:rsidR="004B4795">
        <w:t xml:space="preserve"> </w:t>
      </w:r>
      <w:r w:rsidR="00445042">
        <w:t xml:space="preserve">es </w:t>
      </w:r>
      <w:r w:rsidR="004B4795">
        <w:t xml:space="preserve">un </w:t>
      </w:r>
      <w:proofErr w:type="spellStart"/>
      <w:r w:rsidR="00057BF4" w:rsidRPr="00057BF4">
        <w:rPr>
          <w:i/>
        </w:rPr>
        <w:t>kamma</w:t>
      </w:r>
      <w:proofErr w:type="spellEnd"/>
      <w:r w:rsidR="004B4795">
        <w:t xml:space="preserve"> </w:t>
      </w:r>
      <w:r>
        <w:t xml:space="preserve">muy pesado </w:t>
      </w:r>
      <w:r w:rsidR="004B4795">
        <w:t xml:space="preserve">que se asemeja al </w:t>
      </w:r>
      <w:r w:rsidR="00E15450">
        <w:t xml:space="preserve">del </w:t>
      </w:r>
      <w:r w:rsidR="004B4795">
        <w:t xml:space="preserve">resultado inmediato, y </w:t>
      </w:r>
      <w:r w:rsidR="00E15450">
        <w:t xml:space="preserve">será </w:t>
      </w:r>
      <w:r w:rsidR="004B4795">
        <w:t xml:space="preserve">un obstáculo tanto para </w:t>
      </w:r>
      <w:r w:rsidR="00425576">
        <w:t xml:space="preserve">dirigirse hacia el </w:t>
      </w:r>
      <w:r w:rsidR="004B4795">
        <w:t xml:space="preserve">cielo como para </w:t>
      </w:r>
      <w:r w:rsidR="00425576">
        <w:t xml:space="preserve">entrar en </w:t>
      </w:r>
      <w:r w:rsidR="004B4795">
        <w:t xml:space="preserve">el </w:t>
      </w:r>
      <w:r w:rsidR="00445042">
        <w:t>sendero</w:t>
      </w:r>
      <w:r w:rsidR="004B4795">
        <w:t xml:space="preserve">. </w:t>
      </w:r>
      <w:r w:rsidR="00445042">
        <w:t xml:space="preserve">No obstante, </w:t>
      </w:r>
      <w:r w:rsidR="004B4795">
        <w:t>es remediable.</w:t>
      </w:r>
    </w:p>
    <w:p w14:paraId="6D63E8E6" w14:textId="029F8F60" w:rsidR="004B4795" w:rsidRDefault="004B4795" w:rsidP="004B4795">
      <w:r>
        <w:t xml:space="preserve">84. </w:t>
      </w:r>
      <w:r>
        <w:tab/>
        <w:t>La siguiente historia debe</w:t>
      </w:r>
      <w:r w:rsidR="00425576">
        <w:t>rá</w:t>
      </w:r>
      <w:r>
        <w:t xml:space="preserve"> entenderse para dejar esto </w:t>
      </w:r>
      <w:r w:rsidR="008A1781">
        <w:t xml:space="preserve">en </w:t>
      </w:r>
      <w:r>
        <w:t xml:space="preserve">claro. Un </w:t>
      </w:r>
      <w:r w:rsidR="00425576">
        <w:t xml:space="preserve">Venerable </w:t>
      </w:r>
      <w:r>
        <w:t xml:space="preserve">y un joven </w:t>
      </w:r>
      <w:r w:rsidR="000F441D">
        <w:br/>
      </w:r>
      <w:proofErr w:type="spellStart"/>
      <w:r w:rsidR="00425576" w:rsidRPr="00057BF4">
        <w:rPr>
          <w:i/>
        </w:rPr>
        <w:t>bhikkhu</w:t>
      </w:r>
      <w:proofErr w:type="spellEnd"/>
      <w:r>
        <w:t>, al parecer, deambul</w:t>
      </w:r>
      <w:r w:rsidR="00425576">
        <w:t>aban</w:t>
      </w:r>
      <w:r>
        <w:t xml:space="preserve"> por </w:t>
      </w:r>
      <w:r w:rsidR="00A56EFD">
        <w:t>ofrendas</w:t>
      </w:r>
      <w:r>
        <w:t xml:space="preserve"> en cierto pueblo. En la primera casa solo obtuvieron una cucharada de </w:t>
      </w:r>
      <w:r w:rsidR="00425576">
        <w:t>atole</w:t>
      </w:r>
      <w:r>
        <w:t xml:space="preserve">. El estómago del </w:t>
      </w:r>
      <w:r w:rsidR="00425576">
        <w:t xml:space="preserve">Venerable </w:t>
      </w:r>
      <w:r>
        <w:t>l</w:t>
      </w:r>
      <w:r w:rsidR="00425576">
        <w:t>e</w:t>
      </w:r>
      <w:r>
        <w:t xml:space="preserve"> estaba doliendo </w:t>
      </w:r>
      <w:r w:rsidR="00425576">
        <w:t>debido a los gases</w:t>
      </w:r>
      <w:r>
        <w:t xml:space="preserve">. </w:t>
      </w:r>
      <w:r w:rsidR="00425576">
        <w:t>Él p</w:t>
      </w:r>
      <w:r>
        <w:t>ensó: “Est</w:t>
      </w:r>
      <w:r w:rsidR="00425576">
        <w:t>e</w:t>
      </w:r>
      <w:r>
        <w:t xml:space="preserve"> </w:t>
      </w:r>
      <w:r w:rsidR="00425576">
        <w:t>atole</w:t>
      </w:r>
      <w:r>
        <w:t xml:space="preserve"> </w:t>
      </w:r>
      <w:r w:rsidR="00425576">
        <w:t xml:space="preserve">será </w:t>
      </w:r>
      <w:r>
        <w:t>buen</w:t>
      </w:r>
      <w:r w:rsidR="00425576">
        <w:t>o</w:t>
      </w:r>
      <w:r>
        <w:t xml:space="preserve"> para mí; Lo beberé antes de que se enfríe ". La gente trajo </w:t>
      </w:r>
      <w:r w:rsidR="008A1781">
        <w:t xml:space="preserve">una mesa </w:t>
      </w:r>
      <w:r>
        <w:t xml:space="preserve">de madera a la puerta, y él se sentó y lo bebió. El otro </w:t>
      </w:r>
      <w:r w:rsidR="00425576">
        <w:t xml:space="preserve">se </w:t>
      </w:r>
      <w:r>
        <w:t>disgust</w:t>
      </w:r>
      <w:r w:rsidR="00425576">
        <w:t>ó</w:t>
      </w:r>
      <w:r>
        <w:t xml:space="preserve"> y comentó: "El </w:t>
      </w:r>
      <w:r w:rsidR="00425576">
        <w:t xml:space="preserve">Venerable </w:t>
      </w:r>
      <w:r>
        <w:t xml:space="preserve">ha dejado que su hambre lo supere y haya hecho </w:t>
      </w:r>
      <w:r w:rsidR="00425576">
        <w:t xml:space="preserve">algo de </w:t>
      </w:r>
      <w:r>
        <w:t xml:space="preserve">lo que debería estar avergonzado </w:t>
      </w:r>
      <w:r w:rsidR="00A56EFD">
        <w:t xml:space="preserve">de </w:t>
      </w:r>
      <w:r>
        <w:t>hacer". E</w:t>
      </w:r>
      <w:r w:rsidR="006E7FA7">
        <w:t>ste</w:t>
      </w:r>
      <w:r>
        <w:t xml:space="preserve"> </w:t>
      </w:r>
      <w:r w:rsidR="00A56EFD">
        <w:t xml:space="preserve">Venerable </w:t>
      </w:r>
      <w:r>
        <w:t xml:space="preserve">deambuló por </w:t>
      </w:r>
      <w:r w:rsidR="00A56EFD">
        <w:t>ofrendas</w:t>
      </w:r>
      <w:r>
        <w:t xml:space="preserve">, y al regresar al monasterio le preguntó al joven </w:t>
      </w:r>
      <w:proofErr w:type="spellStart"/>
      <w:r w:rsidR="00A56EFD" w:rsidRPr="00057BF4">
        <w:rPr>
          <w:i/>
        </w:rPr>
        <w:t>bhikkhu</w:t>
      </w:r>
      <w:proofErr w:type="spellEnd"/>
      <w:r>
        <w:t>: "¿Tiene alg</w:t>
      </w:r>
      <w:r w:rsidR="00966A49">
        <w:t>u</w:t>
      </w:r>
      <w:r>
        <w:t>n</w:t>
      </w:r>
      <w:r w:rsidR="00966A49">
        <w:t>a</w:t>
      </w:r>
      <w:r>
        <w:t xml:space="preserve"> </w:t>
      </w:r>
      <w:r w:rsidR="00A56EAD">
        <w:t>posición</w:t>
      </w:r>
      <w:r>
        <w:t xml:space="preserve"> en esta dispensación, amigo?"-"Sí, </w:t>
      </w:r>
      <w:r w:rsidR="00A56EAD">
        <w:t>Venerable Señor</w:t>
      </w:r>
      <w:r>
        <w:t xml:space="preserve">, soy un </w:t>
      </w:r>
      <w:r w:rsidR="00A56EAD">
        <w:t>entrante</w:t>
      </w:r>
      <w:r>
        <w:t xml:space="preserve"> </w:t>
      </w:r>
      <w:r w:rsidR="00A56EAD">
        <w:t>a la</w:t>
      </w:r>
      <w:r>
        <w:t xml:space="preserve"> corriente". "Entonces, amigo, no intente los </w:t>
      </w:r>
      <w:r w:rsidR="00A56EAD">
        <w:t>senderos superiores</w:t>
      </w:r>
      <w:r>
        <w:t xml:space="preserve">; </w:t>
      </w:r>
      <w:r w:rsidR="00EE0232">
        <w:t xml:space="preserve">ya que </w:t>
      </w:r>
      <w:r w:rsidR="00A56EAD">
        <w:t xml:space="preserve">alguien </w:t>
      </w:r>
      <w:r>
        <w:t>cuy</w:t>
      </w:r>
      <w:r w:rsidR="00A56EAD">
        <w:t>a</w:t>
      </w:r>
      <w:r>
        <w:t xml:space="preserve">s </w:t>
      </w:r>
      <w:r w:rsidR="00A56EAD">
        <w:t xml:space="preserve">corrupciones </w:t>
      </w:r>
      <w:r>
        <w:t>est</w:t>
      </w:r>
      <w:r w:rsidR="00EE0232">
        <w:t>á</w:t>
      </w:r>
      <w:r>
        <w:t>n destruid</w:t>
      </w:r>
      <w:r w:rsidR="00A56EAD">
        <w:t>a</w:t>
      </w:r>
      <w:r>
        <w:t xml:space="preserve">s ha sido vilipendiado por </w:t>
      </w:r>
      <w:r w:rsidR="00966A49">
        <w:t xml:space="preserve">su </w:t>
      </w:r>
      <w:r w:rsidR="00EE0232">
        <w:t>persona</w:t>
      </w:r>
      <w:r>
        <w:t xml:space="preserve">". El joven </w:t>
      </w:r>
      <w:proofErr w:type="spellStart"/>
      <w:r w:rsidR="00AD3D16" w:rsidRPr="00057BF4">
        <w:rPr>
          <w:i/>
        </w:rPr>
        <w:t>bhikkhu</w:t>
      </w:r>
      <w:proofErr w:type="spellEnd"/>
      <w:r w:rsidR="00AD3D16">
        <w:t xml:space="preserve"> </w:t>
      </w:r>
      <w:r>
        <w:t xml:space="preserve">solicitó el perdón del </w:t>
      </w:r>
      <w:r w:rsidR="00AD3D16">
        <w:t xml:space="preserve">Venerable </w:t>
      </w:r>
      <w:r>
        <w:t>y, por lo tanto, fue restaurado a su antiguo estado.</w:t>
      </w:r>
    </w:p>
    <w:p w14:paraId="2CEA9EDD" w14:textId="6B179096" w:rsidR="004B4795" w:rsidRDefault="004B4795" w:rsidP="004B4795">
      <w:r>
        <w:t xml:space="preserve">85. </w:t>
      </w:r>
      <w:r>
        <w:tab/>
        <w:t xml:space="preserve">Entonces, </w:t>
      </w:r>
      <w:r w:rsidR="00AD3D16">
        <w:t>alguien</w:t>
      </w:r>
      <w:r>
        <w:t xml:space="preserve"> que </w:t>
      </w:r>
      <w:r w:rsidR="00AD3D16">
        <w:t xml:space="preserve">rivalice con </w:t>
      </w:r>
      <w:r>
        <w:t>un noble, inclus</w:t>
      </w:r>
      <w:r w:rsidR="0089427C">
        <w:t>ive</w:t>
      </w:r>
      <w:r>
        <w:t xml:space="preserve"> si </w:t>
      </w:r>
      <w:r w:rsidR="009955C7">
        <w:t>fuese</w:t>
      </w:r>
      <w:r>
        <w:t xml:space="preserve"> uno mismo, debe</w:t>
      </w:r>
      <w:r w:rsidR="0089427C">
        <w:t>rá</w:t>
      </w:r>
      <w:r>
        <w:t xml:space="preserve"> </w:t>
      </w:r>
      <w:r w:rsidR="0089427C">
        <w:t xml:space="preserve">acudir </w:t>
      </w:r>
      <w:r>
        <w:t>a él; Si él mismo es senior, [426] debe</w:t>
      </w:r>
      <w:r w:rsidR="0089427C">
        <w:t>rá</w:t>
      </w:r>
      <w:r>
        <w:t xml:space="preserve"> sentarse en la posición </w:t>
      </w:r>
      <w:r w:rsidR="0012738B">
        <w:t>de</w:t>
      </w:r>
      <w:r>
        <w:t xml:space="preserve"> cuclillas y obtener su perdón de esta manera: “He dicho tal y tal </w:t>
      </w:r>
      <w:r w:rsidR="0089427C">
        <w:t>cosa a</w:t>
      </w:r>
      <w:r>
        <w:t xml:space="preserve">l </w:t>
      </w:r>
      <w:r w:rsidR="0089427C">
        <w:t>Venerable</w:t>
      </w:r>
      <w:r>
        <w:t>; Qu</w:t>
      </w:r>
      <w:r w:rsidR="0089427C">
        <w:t>é</w:t>
      </w:r>
      <w:r>
        <w:t xml:space="preserve"> me </w:t>
      </w:r>
      <w:r w:rsidR="009955C7">
        <w:t xml:space="preserve">lo </w:t>
      </w:r>
      <w:r>
        <w:t>perdone. Si él mismo es junior, debe</w:t>
      </w:r>
      <w:r w:rsidR="0089427C">
        <w:t>rá</w:t>
      </w:r>
      <w:r>
        <w:t xml:space="preserve"> rendir </w:t>
      </w:r>
      <w:r w:rsidR="0089427C">
        <w:t>reverencia</w:t>
      </w:r>
      <w:r>
        <w:t xml:space="preserve">, y sentarse en la posición </w:t>
      </w:r>
      <w:r w:rsidR="0089427C">
        <w:t xml:space="preserve">de </w:t>
      </w:r>
      <w:r>
        <w:t>cuclillas y extender las palmas de las manos juntas, deber</w:t>
      </w:r>
      <w:r w:rsidR="0089427C">
        <w:t>á</w:t>
      </w:r>
      <w:r>
        <w:t xml:space="preserve"> obtener su perdón </w:t>
      </w:r>
      <w:r w:rsidR="0089427C">
        <w:t>así</w:t>
      </w:r>
      <w:r>
        <w:t>: “</w:t>
      </w:r>
      <w:r w:rsidR="0089427C">
        <w:t>L</w:t>
      </w:r>
      <w:r>
        <w:t xml:space="preserve">e he dicho tal y </w:t>
      </w:r>
      <w:r w:rsidR="0089427C">
        <w:t>tal cosa</w:t>
      </w:r>
      <w:r>
        <w:t xml:space="preserve">, </w:t>
      </w:r>
      <w:r w:rsidR="0089427C">
        <w:t>Venerable Señor</w:t>
      </w:r>
      <w:r>
        <w:t>; perdón</w:t>
      </w:r>
      <w:r w:rsidR="0089427C">
        <w:t>e</w:t>
      </w:r>
      <w:r>
        <w:t>me." Si el otro se h</w:t>
      </w:r>
      <w:r w:rsidR="009035FD">
        <w:t>ubiese</w:t>
      </w:r>
      <w:r>
        <w:t xml:space="preserve"> </w:t>
      </w:r>
      <w:r w:rsidR="009035FD">
        <w:t>marchado</w:t>
      </w:r>
      <w:r>
        <w:t>, deber</w:t>
      </w:r>
      <w:r w:rsidR="009035FD">
        <w:t>á</w:t>
      </w:r>
      <w:r>
        <w:t xml:space="preserve"> obtener su perdón, ya sea yendo él mismo o enviando a alguien como </w:t>
      </w:r>
      <w:r w:rsidR="0012738B">
        <w:t xml:space="preserve">a </w:t>
      </w:r>
      <w:r>
        <w:t xml:space="preserve">un </w:t>
      </w:r>
      <w:proofErr w:type="spellStart"/>
      <w:r w:rsidR="00AB2CDE">
        <w:t>co-residente</w:t>
      </w:r>
      <w:proofErr w:type="spellEnd"/>
      <w:r>
        <w:t>.</w:t>
      </w:r>
    </w:p>
    <w:p w14:paraId="3FDD5FEC" w14:textId="30267B73" w:rsidR="004B4795" w:rsidRDefault="004B4795" w:rsidP="004B4795">
      <w:r>
        <w:t xml:space="preserve">86. </w:t>
      </w:r>
      <w:r>
        <w:tab/>
        <w:t xml:space="preserve">Si no </w:t>
      </w:r>
      <w:r w:rsidR="0012738B">
        <w:t xml:space="preserve">pudiese </w:t>
      </w:r>
      <w:r>
        <w:t xml:space="preserve">ir </w:t>
      </w:r>
      <w:r w:rsidR="00AB2CDE">
        <w:t xml:space="preserve">tras él </w:t>
      </w:r>
      <w:r>
        <w:t>ni enviar</w:t>
      </w:r>
      <w:r w:rsidR="00AB2CDE">
        <w:t xml:space="preserve"> a nadie</w:t>
      </w:r>
      <w:r>
        <w:t>, debe</w:t>
      </w:r>
      <w:r w:rsidR="00AB2CDE">
        <w:t>rá</w:t>
      </w:r>
      <w:r>
        <w:t xml:space="preserve"> </w:t>
      </w:r>
      <w:r w:rsidR="0012738B">
        <w:t>acudi</w:t>
      </w:r>
      <w:r>
        <w:t xml:space="preserve">r </w:t>
      </w:r>
      <w:r w:rsidR="00AB2CDE">
        <w:t xml:space="preserve">con </w:t>
      </w:r>
      <w:r>
        <w:t>l</w:t>
      </w:r>
      <w:r w:rsidR="00AB2CDE">
        <w:t>os</w:t>
      </w:r>
      <w:r>
        <w:t xml:space="preserve"> </w:t>
      </w:r>
      <w:proofErr w:type="spellStart"/>
      <w:r w:rsidR="00AB2CDE" w:rsidRPr="00057BF4">
        <w:rPr>
          <w:i/>
        </w:rPr>
        <w:t>bhikkhu</w:t>
      </w:r>
      <w:r w:rsidR="00AB2CDE">
        <w:t>s</w:t>
      </w:r>
      <w:proofErr w:type="spellEnd"/>
      <w:r w:rsidR="00AB2CDE">
        <w:t xml:space="preserve"> </w:t>
      </w:r>
      <w:r>
        <w:t>que viv</w:t>
      </w:r>
      <w:r w:rsidR="00AB2CDE">
        <w:t>an</w:t>
      </w:r>
      <w:r>
        <w:t xml:space="preserve"> en ese monasterio y, sentado en la posición </w:t>
      </w:r>
      <w:r w:rsidR="0012738B">
        <w:t>de</w:t>
      </w:r>
      <w:r>
        <w:t xml:space="preserve"> cuclillas si son junior</w:t>
      </w:r>
      <w:r w:rsidR="00AB2CDE">
        <w:t>s</w:t>
      </w:r>
      <w:r>
        <w:t>, o actuar de la manera ya descrit</w:t>
      </w:r>
      <w:r w:rsidR="00696FED">
        <w:t>a</w:t>
      </w:r>
      <w:r>
        <w:t xml:space="preserve"> si son senior</w:t>
      </w:r>
      <w:r w:rsidR="00696FED">
        <w:t>s</w:t>
      </w:r>
      <w:r>
        <w:t>, debe</w:t>
      </w:r>
      <w:r w:rsidR="00696FED">
        <w:t>rá</w:t>
      </w:r>
      <w:r>
        <w:t xml:space="preserve"> obtener </w:t>
      </w:r>
      <w:r w:rsidR="0012738B">
        <w:t xml:space="preserve">el </w:t>
      </w:r>
      <w:r w:rsidR="00696FED">
        <w:t xml:space="preserve">perdón </w:t>
      </w:r>
      <w:r>
        <w:t xml:space="preserve">diciendo: “Venerables Señores, he dicho tal y </w:t>
      </w:r>
      <w:r w:rsidR="00696FED">
        <w:t xml:space="preserve">tal cosa </w:t>
      </w:r>
      <w:r>
        <w:t xml:space="preserve">al </w:t>
      </w:r>
      <w:r w:rsidR="00696FED">
        <w:t xml:space="preserve">Venerable </w:t>
      </w:r>
      <w:r>
        <w:t xml:space="preserve">llamado </w:t>
      </w:r>
      <w:r w:rsidR="00696FED">
        <w:t xml:space="preserve">así </w:t>
      </w:r>
      <w:r>
        <w:t xml:space="preserve">y </w:t>
      </w:r>
      <w:r w:rsidR="00696FED">
        <w:t>así</w:t>
      </w:r>
      <w:r>
        <w:t>; Qu</w:t>
      </w:r>
      <w:r w:rsidR="00495EB2">
        <w:t>é</w:t>
      </w:r>
      <w:r>
        <w:t xml:space="preserve"> ese </w:t>
      </w:r>
      <w:r w:rsidR="00495EB2">
        <w:t xml:space="preserve">Venerable </w:t>
      </w:r>
      <w:r>
        <w:t>me perdone. Y e</w:t>
      </w:r>
      <w:r w:rsidR="00495EB2">
        <w:t>ll</w:t>
      </w:r>
      <w:r>
        <w:t>o también debe</w:t>
      </w:r>
      <w:r w:rsidR="00495EB2">
        <w:t>rá</w:t>
      </w:r>
      <w:r>
        <w:t xml:space="preserve"> hacerse cuando no se </w:t>
      </w:r>
      <w:r w:rsidR="00495EB2">
        <w:t>consiga el perdón</w:t>
      </w:r>
      <w:r>
        <w:t xml:space="preserve"> </w:t>
      </w:r>
      <w:r w:rsidR="00495EB2">
        <w:t xml:space="preserve">ante </w:t>
      </w:r>
      <w:r>
        <w:t>su presencia.</w:t>
      </w:r>
    </w:p>
    <w:p w14:paraId="2AB5C032" w14:textId="3A0D2875" w:rsidR="004B4795" w:rsidRDefault="004B4795" w:rsidP="004B4795">
      <w:r>
        <w:t>87.</w:t>
      </w:r>
      <w:r>
        <w:tab/>
        <w:t xml:space="preserve"> Si se trata</w:t>
      </w:r>
      <w:r w:rsidR="00E65C19">
        <w:t>se</w:t>
      </w:r>
      <w:r>
        <w:t xml:space="preserve"> de un </w:t>
      </w:r>
      <w:proofErr w:type="spellStart"/>
      <w:r w:rsidR="00E65C19" w:rsidRPr="00057BF4">
        <w:rPr>
          <w:i/>
        </w:rPr>
        <w:t>bhikkhu</w:t>
      </w:r>
      <w:proofErr w:type="spellEnd"/>
      <w:r w:rsidR="00E65C19">
        <w:t xml:space="preserve"> </w:t>
      </w:r>
      <w:r>
        <w:t>que deambula</w:t>
      </w:r>
      <w:r w:rsidR="00E65C19">
        <w:t>se</w:t>
      </w:r>
      <w:r>
        <w:t xml:space="preserve"> solo y no se </w:t>
      </w:r>
      <w:r w:rsidR="00E65C19">
        <w:t>pudiese</w:t>
      </w:r>
      <w:r>
        <w:t xml:space="preserve"> descubrir </w:t>
      </w:r>
      <w:r w:rsidR="00E2454E">
        <w:t xml:space="preserve">en </w:t>
      </w:r>
      <w:r>
        <w:t>dónde viv</w:t>
      </w:r>
      <w:r w:rsidR="00E2454E">
        <w:t>e</w:t>
      </w:r>
      <w:r>
        <w:t xml:space="preserve"> o </w:t>
      </w:r>
      <w:r w:rsidR="00336341">
        <w:t xml:space="preserve">hacia </w:t>
      </w:r>
      <w:r>
        <w:t>dónde ha</w:t>
      </w:r>
      <w:r w:rsidR="00336341">
        <w:t>ya</w:t>
      </w:r>
      <w:r>
        <w:t xml:space="preserve"> ido, debe</w:t>
      </w:r>
      <w:r w:rsidR="00336341">
        <w:t>rá</w:t>
      </w:r>
      <w:r>
        <w:t xml:space="preserve"> </w:t>
      </w:r>
      <w:r w:rsidR="00336341">
        <w:t>acud</w:t>
      </w:r>
      <w:r>
        <w:t>ir a</w:t>
      </w:r>
      <w:r w:rsidR="00336341">
        <w:t>nte</w:t>
      </w:r>
      <w:r>
        <w:t xml:space="preserve"> un sabio </w:t>
      </w:r>
      <w:proofErr w:type="spellStart"/>
      <w:r w:rsidR="00E65C19" w:rsidRPr="00057BF4">
        <w:rPr>
          <w:i/>
        </w:rPr>
        <w:t>bhikkhu</w:t>
      </w:r>
      <w:proofErr w:type="spellEnd"/>
      <w:r w:rsidR="00E65C19">
        <w:t xml:space="preserve"> </w:t>
      </w:r>
      <w:r>
        <w:t>y decir</w:t>
      </w:r>
      <w:r w:rsidR="00336341">
        <w:t>le</w:t>
      </w:r>
      <w:r>
        <w:t xml:space="preserve">: “Venerable </w:t>
      </w:r>
      <w:r w:rsidR="00336341">
        <w:t>Señor</w:t>
      </w:r>
      <w:r>
        <w:t xml:space="preserve">, he dicho tal y </w:t>
      </w:r>
      <w:r w:rsidR="00336341">
        <w:t xml:space="preserve">tal cosa </w:t>
      </w:r>
      <w:r>
        <w:t xml:space="preserve">al </w:t>
      </w:r>
      <w:r w:rsidR="00336341">
        <w:t xml:space="preserve">Venerable llamado así </w:t>
      </w:r>
      <w:r>
        <w:t xml:space="preserve">y así. Cuando lo recuerdo, </w:t>
      </w:r>
      <w:r w:rsidR="00336341">
        <w:t>me arrepiento</w:t>
      </w:r>
      <w:r>
        <w:t>. ¿Qué debo hacer?" Debería dec</w:t>
      </w:r>
      <w:r w:rsidR="00E2454E">
        <w:t>í</w:t>
      </w:r>
      <w:r>
        <w:t>r</w:t>
      </w:r>
      <w:r w:rsidR="00E2454E">
        <w:t>se</w:t>
      </w:r>
      <w:r>
        <w:t xml:space="preserve">le: "No piense más en ello; El </w:t>
      </w:r>
      <w:r w:rsidR="00336341">
        <w:t xml:space="preserve">Venerable </w:t>
      </w:r>
      <w:r w:rsidR="0086203E">
        <w:t xml:space="preserve">lo </w:t>
      </w:r>
      <w:r>
        <w:t>perdona. Pon</w:t>
      </w:r>
      <w:r w:rsidR="0086203E">
        <w:t>ga</w:t>
      </w:r>
      <w:r>
        <w:t xml:space="preserve"> </w:t>
      </w:r>
      <w:r w:rsidR="0086203E">
        <w:t>s</w:t>
      </w:r>
      <w:r>
        <w:t>u mente en reposo". Luego debe</w:t>
      </w:r>
      <w:r w:rsidR="0086203E">
        <w:t>rá</w:t>
      </w:r>
      <w:r>
        <w:t xml:space="preserve"> extender sus manos </w:t>
      </w:r>
      <w:r w:rsidR="0086203E">
        <w:t xml:space="preserve">con </w:t>
      </w:r>
      <w:r>
        <w:t xml:space="preserve">las palmas juntas en la dirección tomada por </w:t>
      </w:r>
      <w:r w:rsidR="0086203E">
        <w:t>e</w:t>
      </w:r>
      <w:r>
        <w:t xml:space="preserve">l </w:t>
      </w:r>
      <w:r w:rsidR="0086203E">
        <w:t xml:space="preserve">Noble </w:t>
      </w:r>
      <w:r>
        <w:t>y decir: "Perdón</w:t>
      </w:r>
      <w:r w:rsidR="0086203E">
        <w:t>e</w:t>
      </w:r>
      <w:r>
        <w:t>me".</w:t>
      </w:r>
    </w:p>
    <w:p w14:paraId="199B0161" w14:textId="0C9E30A8" w:rsidR="004B4795" w:rsidRDefault="004B4795" w:rsidP="004B4795">
      <w:r>
        <w:t xml:space="preserve">88. </w:t>
      </w:r>
      <w:r w:rsidR="000F441D">
        <w:tab/>
      </w:r>
      <w:r>
        <w:t xml:space="preserve">Si el </w:t>
      </w:r>
      <w:r w:rsidR="0086203E">
        <w:t xml:space="preserve">Noble </w:t>
      </w:r>
      <w:r>
        <w:t xml:space="preserve">ha alcanzado el </w:t>
      </w:r>
      <w:r w:rsidRPr="000F441D">
        <w:rPr>
          <w:i/>
          <w:iCs/>
        </w:rPr>
        <w:t>Nibbāna</w:t>
      </w:r>
      <w:r>
        <w:t xml:space="preserve"> final, debe</w:t>
      </w:r>
      <w:r w:rsidR="0086203E">
        <w:t>rá</w:t>
      </w:r>
      <w:r>
        <w:t xml:space="preserve"> </w:t>
      </w:r>
      <w:r w:rsidR="0086203E">
        <w:t>acud</w:t>
      </w:r>
      <w:r>
        <w:t>ir al lugar donde est</w:t>
      </w:r>
      <w:r w:rsidR="0086203E">
        <w:t>é</w:t>
      </w:r>
      <w:r>
        <w:t xml:space="preserve"> </w:t>
      </w:r>
      <w:r w:rsidR="0086203E">
        <w:t>su</w:t>
      </w:r>
      <w:r>
        <w:t xml:space="preserve"> cama, en el que </w:t>
      </w:r>
      <w:r w:rsidR="0086203E">
        <w:t xml:space="preserve">consumó </w:t>
      </w:r>
      <w:r>
        <w:t xml:space="preserve">el </w:t>
      </w:r>
      <w:r w:rsidRPr="000F441D">
        <w:rPr>
          <w:i/>
          <w:iCs/>
        </w:rPr>
        <w:t>Nibbāna</w:t>
      </w:r>
      <w:r>
        <w:t xml:space="preserve"> final, y debe</w:t>
      </w:r>
      <w:r w:rsidR="0086203E">
        <w:t>rá</w:t>
      </w:r>
      <w:r>
        <w:t xml:space="preserve"> </w:t>
      </w:r>
      <w:r w:rsidR="00D3704F">
        <w:t>ir</w:t>
      </w:r>
      <w:r>
        <w:t xml:space="preserve"> tan lejos como </w:t>
      </w:r>
      <w:r w:rsidR="00D3704F">
        <w:t xml:space="preserve">hasta </w:t>
      </w:r>
      <w:r>
        <w:t xml:space="preserve">el </w:t>
      </w:r>
      <w:r w:rsidR="00C57945">
        <w:t xml:space="preserve">osario </w:t>
      </w:r>
      <w:r>
        <w:t xml:space="preserve">para </w:t>
      </w:r>
      <w:r w:rsidR="00C57945">
        <w:t xml:space="preserve">solicitar </w:t>
      </w:r>
      <w:r w:rsidR="00D3704F">
        <w:t xml:space="preserve">su </w:t>
      </w:r>
      <w:r>
        <w:t>perdón. Cuando e</w:t>
      </w:r>
      <w:r w:rsidR="00C57945">
        <w:t>ll</w:t>
      </w:r>
      <w:r>
        <w:t>o se ha</w:t>
      </w:r>
      <w:r w:rsidR="00C57945">
        <w:t>ya</w:t>
      </w:r>
      <w:r>
        <w:t xml:space="preserve"> hecho, no ha</w:t>
      </w:r>
      <w:r w:rsidR="00C57945">
        <w:t>brá</w:t>
      </w:r>
      <w:r>
        <w:t xml:space="preserve"> obstrucción ni </w:t>
      </w:r>
      <w:r w:rsidR="00C57945">
        <w:t>hacia e</w:t>
      </w:r>
      <w:r>
        <w:t xml:space="preserve">l cielo ni </w:t>
      </w:r>
      <w:r w:rsidR="000C57C9">
        <w:t>para entrar en e</w:t>
      </w:r>
      <w:r>
        <w:t xml:space="preserve">l </w:t>
      </w:r>
      <w:r w:rsidR="000C57C9">
        <w:t>sendero</w:t>
      </w:r>
      <w:r>
        <w:t>. Se convert</w:t>
      </w:r>
      <w:r w:rsidR="000C57C9">
        <w:t>irá</w:t>
      </w:r>
      <w:r>
        <w:t xml:space="preserve"> en </w:t>
      </w:r>
      <w:r w:rsidR="000C57C9">
        <w:t xml:space="preserve">quien </w:t>
      </w:r>
      <w:r>
        <w:t>era antes.</w:t>
      </w:r>
    </w:p>
    <w:p w14:paraId="77D5FCD4" w14:textId="7BF89D83" w:rsidR="004B4795" w:rsidRDefault="004B4795" w:rsidP="004B4795">
      <w:r>
        <w:t xml:space="preserve">89. </w:t>
      </w:r>
      <w:r>
        <w:tab/>
      </w:r>
      <w:r w:rsidRPr="00E21CCD">
        <w:rPr>
          <w:i/>
          <w:iCs/>
        </w:rPr>
        <w:t>Incorrecto en sus puntos de vista</w:t>
      </w:r>
      <w:r>
        <w:t xml:space="preserve">: </w:t>
      </w:r>
      <w:r w:rsidR="00E21CCD">
        <w:t>de los que tienen</w:t>
      </w:r>
      <w:r>
        <w:t xml:space="preserve"> una visión distorsionada. </w:t>
      </w:r>
      <w:r w:rsidRPr="000F441D">
        <w:rPr>
          <w:i/>
          <w:iCs/>
        </w:rPr>
        <w:t>Adquirentes de</w:t>
      </w:r>
      <w:r>
        <w:t xml:space="preserve"> </w:t>
      </w:r>
      <w:proofErr w:type="spellStart"/>
      <w:r w:rsidR="00D3704F" w:rsidRPr="00057BF4">
        <w:rPr>
          <w:i/>
        </w:rPr>
        <w:t>kamma</w:t>
      </w:r>
      <w:proofErr w:type="spellEnd"/>
      <w:r w:rsidR="00D3704F">
        <w:t xml:space="preserve"> </w:t>
      </w:r>
      <w:r w:rsidRPr="000F441D">
        <w:rPr>
          <w:i/>
          <w:iCs/>
        </w:rPr>
        <w:t>debido a una visión incorrecta</w:t>
      </w:r>
      <w:r>
        <w:t xml:space="preserve">: aquellos que tienen </w:t>
      </w:r>
      <w:r w:rsidR="00E21CCD">
        <w:t xml:space="preserve">un </w:t>
      </w:r>
      <w:proofErr w:type="spellStart"/>
      <w:r w:rsidR="00057BF4" w:rsidRPr="00057BF4">
        <w:rPr>
          <w:i/>
        </w:rPr>
        <w:t>kamma</w:t>
      </w:r>
      <w:proofErr w:type="spellEnd"/>
      <w:r>
        <w:t xml:space="preserve"> de los diversos tipos adquiridos a través de una visión incorrecta, y también aquellos que incitan a otros a </w:t>
      </w:r>
      <w:r w:rsidR="00D3704F">
        <w:t xml:space="preserve">un </w:t>
      </w:r>
      <w:proofErr w:type="spellStart"/>
      <w:r w:rsidR="000F441D" w:rsidRPr="00057BF4">
        <w:rPr>
          <w:i/>
        </w:rPr>
        <w:t>kamma</w:t>
      </w:r>
      <w:proofErr w:type="spellEnd"/>
      <w:r w:rsidR="000F441D">
        <w:t xml:space="preserve"> </w:t>
      </w:r>
      <w:r>
        <w:t>corporal, etc., arraigados en una visión incorrecta. Y aquí, aunque</w:t>
      </w:r>
      <w:r w:rsidR="00D3704F" w:rsidRPr="00D3704F">
        <w:t xml:space="preserve"> </w:t>
      </w:r>
      <w:r w:rsidR="00D3704F">
        <w:t>rivalizar con los Nobles ya se</w:t>
      </w:r>
    </w:p>
    <w:p w14:paraId="55823A7F" w14:textId="36990927" w:rsidR="008E1F7A" w:rsidRDefault="008E1F7A">
      <w:pPr>
        <w:tabs>
          <w:tab w:val="clear" w:pos="425"/>
        </w:tabs>
        <w:spacing w:after="160"/>
      </w:pPr>
      <w:r>
        <w:br w:type="page"/>
      </w:r>
    </w:p>
    <w:p w14:paraId="2800FF67" w14:textId="77777777" w:rsidR="004B4795" w:rsidRDefault="004B4795" w:rsidP="004B4795"/>
    <w:p w14:paraId="3BD47363" w14:textId="2F55BADF" w:rsidR="008E1F7A" w:rsidRDefault="008E1F7A" w:rsidP="008E1F7A">
      <w:r>
        <w:t>ha</w:t>
      </w:r>
      <w:r w:rsidR="00B30D3F">
        <w:t>ya</w:t>
      </w:r>
      <w:r>
        <w:t xml:space="preserve"> incluido </w:t>
      </w:r>
      <w:r w:rsidR="00B30D3F">
        <w:t>en</w:t>
      </w:r>
      <w:r>
        <w:t xml:space="preserve"> la mención de </w:t>
      </w:r>
      <w:r w:rsidR="00B30D3F">
        <w:t xml:space="preserve">la </w:t>
      </w:r>
      <w:r>
        <w:t>mala conducta verbal, y aunque la visión incorrecta ya se ha</w:t>
      </w:r>
      <w:r w:rsidR="00B30D3F">
        <w:t>ya</w:t>
      </w:r>
      <w:r>
        <w:t xml:space="preserve"> incluido </w:t>
      </w:r>
      <w:r w:rsidR="00B30D3F">
        <w:t xml:space="preserve">en </w:t>
      </w:r>
      <w:r>
        <w:t xml:space="preserve">la mención de </w:t>
      </w:r>
      <w:r w:rsidR="00B30D3F">
        <w:t xml:space="preserve">la </w:t>
      </w:r>
      <w:r>
        <w:t xml:space="preserve">mala conducta mental, se </w:t>
      </w:r>
      <w:r w:rsidR="00303A7C">
        <w:t>podrá</w:t>
      </w:r>
      <w:r>
        <w:t xml:space="preserve"> entender, sin embargo, que los dos se mencionan nuevamente </w:t>
      </w:r>
      <w:r w:rsidR="00222C4B">
        <w:t>con el objeto de</w:t>
      </w:r>
      <w:r>
        <w:t xml:space="preserve"> enfatizar </w:t>
      </w:r>
      <w:r w:rsidR="007F7F58">
        <w:t xml:space="preserve">lo considerablemente </w:t>
      </w:r>
      <w:r w:rsidR="009F307C">
        <w:t xml:space="preserve">inconveniente </w:t>
      </w:r>
      <w:r w:rsidR="007F7F58">
        <w:t xml:space="preserve">que </w:t>
      </w:r>
      <w:r w:rsidR="00D3704F">
        <w:t>resulta rivalizar con ellos</w:t>
      </w:r>
      <w:r>
        <w:t>.</w:t>
      </w:r>
    </w:p>
    <w:p w14:paraId="605B7A66" w14:textId="0DDAC95D" w:rsidR="008E1F7A" w:rsidRDefault="008E1F7A" w:rsidP="008E1F7A">
      <w:r>
        <w:t xml:space="preserve">90. </w:t>
      </w:r>
      <w:r>
        <w:tab/>
      </w:r>
      <w:r w:rsidR="00B457D7">
        <w:t>Rivalizar</w:t>
      </w:r>
      <w:r>
        <w:t xml:space="preserve"> </w:t>
      </w:r>
      <w:r w:rsidR="007F7F58">
        <w:t>con</w:t>
      </w:r>
      <w:r>
        <w:t xml:space="preserve"> los nobles </w:t>
      </w:r>
      <w:r w:rsidR="007F7F58">
        <w:t xml:space="preserve">será </w:t>
      </w:r>
      <w:r>
        <w:t xml:space="preserve">muy </w:t>
      </w:r>
      <w:r w:rsidR="003B517C">
        <w:t>censurable</w:t>
      </w:r>
      <w:r>
        <w:t xml:space="preserve"> debido a su semejanza con </w:t>
      </w:r>
      <w:r w:rsidR="007F7F58">
        <w:t xml:space="preserve">el </w:t>
      </w:r>
      <w:proofErr w:type="spellStart"/>
      <w:r w:rsidR="00B457D7" w:rsidRPr="00057BF4">
        <w:rPr>
          <w:i/>
        </w:rPr>
        <w:t>kamma</w:t>
      </w:r>
      <w:proofErr w:type="spellEnd"/>
      <w:r w:rsidR="00B457D7">
        <w:t xml:space="preserve"> </w:t>
      </w:r>
      <w:r w:rsidR="001E138D">
        <w:t>de</w:t>
      </w:r>
      <w:r>
        <w:t xml:space="preserve"> resultado</w:t>
      </w:r>
      <w:r w:rsidR="001E138D">
        <w:t>s</w:t>
      </w:r>
      <w:r>
        <w:t xml:space="preserve"> inmediato</w:t>
      </w:r>
      <w:r w:rsidR="001E138D">
        <w:t>s</w:t>
      </w:r>
      <w:r>
        <w:t xml:space="preserve">. </w:t>
      </w:r>
      <w:r w:rsidR="001E138D">
        <w:t xml:space="preserve">Ya </w:t>
      </w:r>
      <w:r>
        <w:t xml:space="preserve">que esto </w:t>
      </w:r>
      <w:r w:rsidR="001E138D">
        <w:t>está dicho</w:t>
      </w:r>
      <w:r>
        <w:t xml:space="preserve">: “Sāriputta, al igual que un </w:t>
      </w:r>
      <w:proofErr w:type="spellStart"/>
      <w:r w:rsidR="00B457D7" w:rsidRPr="00057BF4">
        <w:rPr>
          <w:i/>
        </w:rPr>
        <w:t>bhikkhu</w:t>
      </w:r>
      <w:proofErr w:type="spellEnd"/>
      <w:r w:rsidR="00B457D7">
        <w:t xml:space="preserve"> </w:t>
      </w:r>
      <w:r>
        <w:t xml:space="preserve">que posee una conducta, concentración y comprensión virtuosa podría aquí y ahora alcanzar el conocimiento final, por lo que en este caso, </w:t>
      </w:r>
      <w:r w:rsidR="003B2068">
        <w:t>afirmo</w:t>
      </w:r>
      <w:r>
        <w:t>; Si no abandona esa charla y tales pensamientos y renuncia a tales puntos de vista, se encontrará en el infierno tan seguramente como si hubie</w:t>
      </w:r>
      <w:r w:rsidR="00955481">
        <w:t>se</w:t>
      </w:r>
      <w:r>
        <w:t xml:space="preserve"> sido llevado y puesto allí </w:t>
      </w:r>
      <w:r w:rsidR="003B517C">
        <w:t>mismo</w:t>
      </w:r>
      <w:r>
        <w:t>”(M I 71).</w:t>
      </w:r>
      <w:r w:rsidRPr="00207128">
        <w:rPr>
          <w:vertAlign w:val="superscript"/>
        </w:rPr>
        <w:t>18</w:t>
      </w:r>
      <w:r>
        <w:t xml:space="preserve"> [427] y no ha</w:t>
      </w:r>
      <w:r w:rsidR="003B517C">
        <w:t>brá</w:t>
      </w:r>
      <w:r>
        <w:t xml:space="preserve"> nada más reprensible que </w:t>
      </w:r>
      <w:r w:rsidR="003B517C">
        <w:t xml:space="preserve">una visión </w:t>
      </w:r>
      <w:r>
        <w:t>incorrecta, según se dice: "</w:t>
      </w:r>
      <w:proofErr w:type="spellStart"/>
      <w:r w:rsidR="00057BF4" w:rsidRPr="00057BF4">
        <w:rPr>
          <w:i/>
        </w:rPr>
        <w:t>Bhikkhu</w:t>
      </w:r>
      <w:r>
        <w:t>s</w:t>
      </w:r>
      <w:proofErr w:type="spellEnd"/>
      <w:r>
        <w:t xml:space="preserve">, no veo nada tan </w:t>
      </w:r>
      <w:r w:rsidR="009F307C">
        <w:t>inconveniente</w:t>
      </w:r>
      <w:r>
        <w:t xml:space="preserve"> como una vis</w:t>
      </w:r>
      <w:r w:rsidR="009F307C">
        <w:t>ión</w:t>
      </w:r>
      <w:r>
        <w:t xml:space="preserve"> incorrecta" (A I 33).</w:t>
      </w:r>
    </w:p>
    <w:p w14:paraId="3073884D" w14:textId="3C16F450" w:rsidR="008E1F7A" w:rsidRDefault="008E1F7A" w:rsidP="008E1F7A">
      <w:r>
        <w:t xml:space="preserve">91. </w:t>
      </w:r>
      <w:r>
        <w:tab/>
      </w:r>
      <w:r w:rsidR="008316FD">
        <w:rPr>
          <w:i/>
          <w:iCs/>
        </w:rPr>
        <w:t>A la</w:t>
      </w:r>
      <w:r w:rsidRPr="00B457D7">
        <w:rPr>
          <w:i/>
          <w:iCs/>
        </w:rPr>
        <w:t xml:space="preserve"> ruptura de</w:t>
      </w:r>
      <w:r w:rsidR="00B6490D">
        <w:rPr>
          <w:i/>
          <w:iCs/>
        </w:rPr>
        <w:t xml:space="preserve"> sus</w:t>
      </w:r>
      <w:r w:rsidRPr="00B457D7">
        <w:rPr>
          <w:i/>
          <w:iCs/>
        </w:rPr>
        <w:t xml:space="preserve"> cuerpo</w:t>
      </w:r>
      <w:r w:rsidR="00B6490D">
        <w:rPr>
          <w:i/>
          <w:iCs/>
        </w:rPr>
        <w:t>s</w:t>
      </w:r>
      <w:r>
        <w:t>: al renunciar a</w:t>
      </w:r>
      <w:r w:rsidR="008A677F">
        <w:t>l</w:t>
      </w:r>
      <w:r>
        <w:t xml:space="preserve"> </w:t>
      </w:r>
      <w:r w:rsidR="008A677F">
        <w:t xml:space="preserve">apego hacia los </w:t>
      </w:r>
      <w:r>
        <w:t>agregados. Después de la muerte: en la toma de los agregados generados a continuación después de e</w:t>
      </w:r>
      <w:r w:rsidR="008A677F">
        <w:t>l</w:t>
      </w:r>
      <w:r w:rsidR="008316FD">
        <w:t>l</w:t>
      </w:r>
      <w:r>
        <w:t xml:space="preserve">o. O alternativamente, </w:t>
      </w:r>
      <w:r w:rsidR="00B6490D">
        <w:rPr>
          <w:i/>
          <w:iCs/>
        </w:rPr>
        <w:t>a</w:t>
      </w:r>
      <w:r w:rsidRPr="00B457D7">
        <w:rPr>
          <w:i/>
          <w:iCs/>
        </w:rPr>
        <w:t xml:space="preserve"> la ruptura de</w:t>
      </w:r>
      <w:r w:rsidR="001A1E96">
        <w:rPr>
          <w:i/>
          <w:iCs/>
        </w:rPr>
        <w:t xml:space="preserve"> sus</w:t>
      </w:r>
      <w:r w:rsidRPr="00B457D7">
        <w:rPr>
          <w:i/>
          <w:iCs/>
        </w:rPr>
        <w:t xml:space="preserve"> cuerpo</w:t>
      </w:r>
      <w:r w:rsidR="001A1E96">
        <w:rPr>
          <w:i/>
          <w:iCs/>
        </w:rPr>
        <w:t>s</w:t>
      </w:r>
      <w:r>
        <w:t xml:space="preserve"> </w:t>
      </w:r>
      <w:r w:rsidR="000A2AA6">
        <w:t xml:space="preserve">se refiere a </w:t>
      </w:r>
      <w:r>
        <w:t xml:space="preserve">la interrupción de la facultad </w:t>
      </w:r>
      <w:r w:rsidR="00EF6C7F">
        <w:t>vital</w:t>
      </w:r>
      <w:r>
        <w:t xml:space="preserve">, y </w:t>
      </w:r>
      <w:r w:rsidRPr="00486FC6">
        <w:rPr>
          <w:i/>
          <w:iCs/>
        </w:rPr>
        <w:t>después de la muerte</w:t>
      </w:r>
      <w:r>
        <w:t xml:space="preserve"> </w:t>
      </w:r>
      <w:r w:rsidR="00486FC6">
        <w:t xml:space="preserve">se refiere al </w:t>
      </w:r>
      <w:r>
        <w:t>más allá de la con</w:t>
      </w:r>
      <w:r w:rsidR="00486FC6">
        <w:t>s</w:t>
      </w:r>
      <w:r>
        <w:t>ciencia de la muerte.</w:t>
      </w:r>
    </w:p>
    <w:p w14:paraId="5B40C55E" w14:textId="1BEC4851" w:rsidR="008E1F7A" w:rsidRDefault="008E1F7A" w:rsidP="008E1F7A">
      <w:r>
        <w:t xml:space="preserve">92. </w:t>
      </w:r>
      <w:r>
        <w:tab/>
      </w:r>
      <w:r w:rsidRPr="00AE35B8">
        <w:rPr>
          <w:i/>
          <w:iCs/>
        </w:rPr>
        <w:t>Un estado de p</w:t>
      </w:r>
      <w:r w:rsidR="008B7F07" w:rsidRPr="00AE35B8">
        <w:rPr>
          <w:i/>
          <w:iCs/>
        </w:rPr>
        <w:t>e</w:t>
      </w:r>
      <w:r w:rsidRPr="00AE35B8">
        <w:rPr>
          <w:i/>
          <w:iCs/>
        </w:rPr>
        <w:t>rdi</w:t>
      </w:r>
      <w:r w:rsidR="008B7F07" w:rsidRPr="00AE35B8">
        <w:rPr>
          <w:i/>
          <w:iCs/>
        </w:rPr>
        <w:t>ción</w:t>
      </w:r>
      <w:r>
        <w:t xml:space="preserve"> y el resto </w:t>
      </w:r>
      <w:r w:rsidR="00547498">
        <w:t>serán</w:t>
      </w:r>
      <w:r>
        <w:t xml:space="preserve"> todos sinónimos </w:t>
      </w:r>
      <w:r w:rsidR="00AE35B8">
        <w:t>d</w:t>
      </w:r>
      <w:r>
        <w:t xml:space="preserve">el infierno. El infierno es un </w:t>
      </w:r>
      <w:r w:rsidRPr="000C7181">
        <w:rPr>
          <w:i/>
          <w:iCs/>
        </w:rPr>
        <w:t xml:space="preserve">estado de </w:t>
      </w:r>
      <w:r w:rsidR="00AE35B8" w:rsidRPr="000C7181">
        <w:rPr>
          <w:i/>
          <w:iCs/>
        </w:rPr>
        <w:t>perdición</w:t>
      </w:r>
      <w:r w:rsidR="00AE35B8" w:rsidRPr="00AE35B8">
        <w:t xml:space="preserve"> </w:t>
      </w:r>
      <w:r>
        <w:t>(</w:t>
      </w:r>
      <w:proofErr w:type="spellStart"/>
      <w:r w:rsidRPr="00B457D7">
        <w:rPr>
          <w:i/>
          <w:iCs/>
        </w:rPr>
        <w:t>apāya</w:t>
      </w:r>
      <w:proofErr w:type="spellEnd"/>
      <w:r>
        <w:t xml:space="preserve">) porque </w:t>
      </w:r>
      <w:r w:rsidR="001932C3">
        <w:t>está privado</w:t>
      </w:r>
      <w:r>
        <w:t xml:space="preserve"> (</w:t>
      </w:r>
      <w:proofErr w:type="spellStart"/>
      <w:r w:rsidRPr="00B457D7">
        <w:rPr>
          <w:i/>
          <w:iCs/>
        </w:rPr>
        <w:t>apeta</w:t>
      </w:r>
      <w:proofErr w:type="spellEnd"/>
      <w:r>
        <w:t>) de la razón (</w:t>
      </w:r>
      <w:proofErr w:type="spellStart"/>
      <w:r w:rsidRPr="00B457D7">
        <w:rPr>
          <w:i/>
          <w:iCs/>
        </w:rPr>
        <w:t>aya</w:t>
      </w:r>
      <w:proofErr w:type="spellEnd"/>
      <w:r>
        <w:t>)</w:t>
      </w:r>
      <w:r w:rsidRPr="00207128">
        <w:rPr>
          <w:vertAlign w:val="superscript"/>
        </w:rPr>
        <w:t>19</w:t>
      </w:r>
      <w:r>
        <w:t xml:space="preserve"> </w:t>
      </w:r>
      <w:r w:rsidR="00547498">
        <w:t>re</w:t>
      </w:r>
      <w:r>
        <w:t xml:space="preserve">conocido como </w:t>
      </w:r>
      <w:r w:rsidR="00547498">
        <w:t xml:space="preserve">un </w:t>
      </w:r>
      <w:r>
        <w:t xml:space="preserve">mérito, que </w:t>
      </w:r>
      <w:r w:rsidR="000117DE">
        <w:t xml:space="preserve">representa </w:t>
      </w:r>
      <w:r>
        <w:t xml:space="preserve">la causa </w:t>
      </w:r>
      <w:r w:rsidR="00547498">
        <w:t>para</w:t>
      </w:r>
      <w:r>
        <w:t xml:space="preserve"> alcanzar el cielo y la liberación; o </w:t>
      </w:r>
      <w:r w:rsidR="000117DE">
        <w:t xml:space="preserve">de </w:t>
      </w:r>
      <w:r>
        <w:t>la ausencia (</w:t>
      </w:r>
      <w:proofErr w:type="spellStart"/>
      <w:r w:rsidRPr="00B457D7">
        <w:rPr>
          <w:i/>
          <w:iCs/>
        </w:rPr>
        <w:t>abhāva</w:t>
      </w:r>
      <w:proofErr w:type="spellEnd"/>
      <w:r>
        <w:t>) de cualquier origen (</w:t>
      </w:r>
      <w:proofErr w:type="spellStart"/>
      <w:r w:rsidRPr="00B457D7">
        <w:rPr>
          <w:i/>
          <w:iCs/>
        </w:rPr>
        <w:t>āya</w:t>
      </w:r>
      <w:proofErr w:type="spellEnd"/>
      <w:r>
        <w:t xml:space="preserve">) </w:t>
      </w:r>
      <w:r w:rsidR="000117DE">
        <w:t xml:space="preserve">para los </w:t>
      </w:r>
      <w:r>
        <w:t>placeres. El destino (</w:t>
      </w:r>
      <w:proofErr w:type="spellStart"/>
      <w:r w:rsidR="00B457D7" w:rsidRPr="00B457D7">
        <w:rPr>
          <w:i/>
          <w:iCs/>
        </w:rPr>
        <w:t>gati</w:t>
      </w:r>
      <w:proofErr w:type="spellEnd"/>
      <w:r>
        <w:t xml:space="preserve">, </w:t>
      </w:r>
      <w:r w:rsidR="000C7181">
        <w:t>plano</w:t>
      </w:r>
      <w:r>
        <w:t>), el refugio, del sufrimiento (</w:t>
      </w:r>
      <w:r w:rsidR="00057BF4" w:rsidRPr="00057BF4">
        <w:rPr>
          <w:i/>
        </w:rPr>
        <w:t>dukkha</w:t>
      </w:r>
      <w:r>
        <w:t xml:space="preserve">) </w:t>
      </w:r>
      <w:r w:rsidR="000C7181">
        <w:t>se refiere a</w:t>
      </w:r>
      <w:r w:rsidR="00146206">
        <w:t xml:space="preserve"> un</w:t>
      </w:r>
      <w:r>
        <w:t xml:space="preserve"> </w:t>
      </w:r>
      <w:r w:rsidRPr="005F5FEA">
        <w:rPr>
          <w:i/>
          <w:iCs/>
        </w:rPr>
        <w:t>destino infeliz</w:t>
      </w:r>
      <w:r>
        <w:t xml:space="preserve"> (</w:t>
      </w:r>
      <w:proofErr w:type="spellStart"/>
      <w:r w:rsidRPr="00B457D7">
        <w:rPr>
          <w:i/>
          <w:iCs/>
        </w:rPr>
        <w:t>duggati</w:t>
      </w:r>
      <w:proofErr w:type="spellEnd"/>
      <w:r>
        <w:t>); o el destino (</w:t>
      </w:r>
      <w:proofErr w:type="spellStart"/>
      <w:r w:rsidR="00B457D7" w:rsidRPr="00B457D7">
        <w:rPr>
          <w:i/>
          <w:iCs/>
        </w:rPr>
        <w:t>gati</w:t>
      </w:r>
      <w:proofErr w:type="spellEnd"/>
      <w:r>
        <w:t xml:space="preserve">) producido por </w:t>
      </w:r>
      <w:r w:rsidR="000C7181">
        <w:t xml:space="preserve">un </w:t>
      </w:r>
      <w:proofErr w:type="spellStart"/>
      <w:r w:rsidR="000C7181" w:rsidRPr="00057BF4">
        <w:rPr>
          <w:i/>
        </w:rPr>
        <w:t>kamma</w:t>
      </w:r>
      <w:proofErr w:type="spellEnd"/>
      <w:r w:rsidR="000C7181">
        <w:t xml:space="preserve"> </w:t>
      </w:r>
      <w:r>
        <w:t>corrompido (</w:t>
      </w:r>
      <w:proofErr w:type="spellStart"/>
      <w:r w:rsidRPr="00B457D7">
        <w:rPr>
          <w:i/>
          <w:iCs/>
        </w:rPr>
        <w:t>duṭṭha</w:t>
      </w:r>
      <w:proofErr w:type="spellEnd"/>
      <w:r>
        <w:t xml:space="preserve">) por mucho odio (dosa) </w:t>
      </w:r>
      <w:r w:rsidR="000C7181">
        <w:t xml:space="preserve">será </w:t>
      </w:r>
      <w:r>
        <w:t xml:space="preserve">un </w:t>
      </w:r>
      <w:r w:rsidRPr="000C7181">
        <w:rPr>
          <w:i/>
          <w:iCs/>
        </w:rPr>
        <w:t>destino infeliz</w:t>
      </w:r>
      <w:r>
        <w:t xml:space="preserve"> (</w:t>
      </w:r>
      <w:proofErr w:type="spellStart"/>
      <w:r w:rsidRPr="00B457D7">
        <w:rPr>
          <w:i/>
          <w:iCs/>
        </w:rPr>
        <w:t>duggati</w:t>
      </w:r>
      <w:proofErr w:type="spellEnd"/>
      <w:r>
        <w:t>). Aquellos que comet</w:t>
      </w:r>
      <w:r w:rsidR="000C7181">
        <w:t>a</w:t>
      </w:r>
      <w:r>
        <w:t xml:space="preserve">n </w:t>
      </w:r>
      <w:r w:rsidR="005F5FEA">
        <w:t>acciones incorrectas</w:t>
      </w:r>
      <w:r>
        <w:t xml:space="preserve">, </w:t>
      </w:r>
      <w:r w:rsidR="001265D6">
        <w:t xml:space="preserve">al ser </w:t>
      </w:r>
      <w:r>
        <w:t>separados (</w:t>
      </w:r>
      <w:proofErr w:type="spellStart"/>
      <w:r w:rsidRPr="00B457D7">
        <w:rPr>
          <w:i/>
          <w:iCs/>
        </w:rPr>
        <w:t>vivasa</w:t>
      </w:r>
      <w:proofErr w:type="spellEnd"/>
      <w:r>
        <w:t>) cae</w:t>
      </w:r>
      <w:r w:rsidR="000C7181">
        <w:t>rá</w:t>
      </w:r>
      <w:r>
        <w:t>n (</w:t>
      </w:r>
      <w:proofErr w:type="spellStart"/>
      <w:r w:rsidRPr="00B457D7">
        <w:rPr>
          <w:i/>
          <w:iCs/>
        </w:rPr>
        <w:t>nipatanti</w:t>
      </w:r>
      <w:proofErr w:type="spellEnd"/>
      <w:r>
        <w:t xml:space="preserve">) aquí, por lo tanto, </w:t>
      </w:r>
      <w:r w:rsidR="005F5FEA">
        <w:t xml:space="preserve">será </w:t>
      </w:r>
      <w:proofErr w:type="gramStart"/>
      <w:r w:rsidR="005F5FEA">
        <w:t>un</w:t>
      </w:r>
      <w:r>
        <w:t xml:space="preserve"> </w:t>
      </w:r>
      <w:r w:rsidRPr="007B1BB7">
        <w:rPr>
          <w:i/>
          <w:iCs/>
        </w:rPr>
        <w:t>perdición</w:t>
      </w:r>
      <w:proofErr w:type="gramEnd"/>
      <w:r>
        <w:t xml:space="preserve"> (</w:t>
      </w:r>
      <w:proofErr w:type="spellStart"/>
      <w:r w:rsidRPr="00B457D7">
        <w:rPr>
          <w:i/>
          <w:iCs/>
        </w:rPr>
        <w:t>vinipāta</w:t>
      </w:r>
      <w:proofErr w:type="spellEnd"/>
      <w:r>
        <w:t xml:space="preserve">); </w:t>
      </w:r>
      <w:r w:rsidR="007B1BB7">
        <w:t>o</w:t>
      </w:r>
      <w:r>
        <w:t xml:space="preserve"> alternativamente, cuando s</w:t>
      </w:r>
      <w:r w:rsidR="007B1BB7">
        <w:t xml:space="preserve">ean </w:t>
      </w:r>
      <w:r>
        <w:t>destruidos (</w:t>
      </w:r>
      <w:proofErr w:type="spellStart"/>
      <w:r w:rsidR="00B457D7" w:rsidRPr="00B457D7">
        <w:rPr>
          <w:i/>
          <w:iCs/>
        </w:rPr>
        <w:t>vinassanto</w:t>
      </w:r>
      <w:proofErr w:type="spellEnd"/>
      <w:r>
        <w:t>), cae</w:t>
      </w:r>
      <w:r w:rsidR="007B1BB7">
        <w:t>rá</w:t>
      </w:r>
      <w:r>
        <w:t>n (</w:t>
      </w:r>
      <w:proofErr w:type="spellStart"/>
      <w:r w:rsidRPr="00B457D7">
        <w:rPr>
          <w:i/>
          <w:iCs/>
        </w:rPr>
        <w:t>patanti</w:t>
      </w:r>
      <w:proofErr w:type="spellEnd"/>
      <w:r>
        <w:t>) aquí, todas sus extremidades se rompe</w:t>
      </w:r>
      <w:r w:rsidR="007B1BB7">
        <w:t>rá</w:t>
      </w:r>
      <w:r>
        <w:t xml:space="preserve">n, por lo tanto, </w:t>
      </w:r>
      <w:r w:rsidR="007B1BB7">
        <w:t>será una</w:t>
      </w:r>
      <w:r>
        <w:t xml:space="preserve"> perdición (</w:t>
      </w:r>
      <w:proofErr w:type="spellStart"/>
      <w:r w:rsidRPr="00B457D7">
        <w:rPr>
          <w:i/>
          <w:iCs/>
        </w:rPr>
        <w:t>vinipāta</w:t>
      </w:r>
      <w:proofErr w:type="spellEnd"/>
      <w:r>
        <w:t xml:space="preserve">). No </w:t>
      </w:r>
      <w:r w:rsidR="008330E0">
        <w:t xml:space="preserve">existirá aquí ninguna </w:t>
      </w:r>
      <w:r>
        <w:t>razón (</w:t>
      </w:r>
      <w:proofErr w:type="spellStart"/>
      <w:r w:rsidR="008330E0" w:rsidRPr="008330E0">
        <w:rPr>
          <w:i/>
          <w:iCs/>
        </w:rPr>
        <w:t>aya</w:t>
      </w:r>
      <w:proofErr w:type="spellEnd"/>
      <w:r>
        <w:t xml:space="preserve">) satisfactoria, por lo que </w:t>
      </w:r>
      <w:r w:rsidR="005E0F54">
        <w:t xml:space="preserve">corresponderá </w:t>
      </w:r>
      <w:r>
        <w:t>el infierno (</w:t>
      </w:r>
      <w:proofErr w:type="spellStart"/>
      <w:r w:rsidR="00B457D7" w:rsidRPr="00B457D7">
        <w:rPr>
          <w:i/>
          <w:iCs/>
        </w:rPr>
        <w:t>niraya</w:t>
      </w:r>
      <w:proofErr w:type="spellEnd"/>
      <w:r>
        <w:t>).</w:t>
      </w:r>
    </w:p>
    <w:p w14:paraId="5EE0875B" w14:textId="0E473EAF" w:rsidR="008E1F7A" w:rsidRDefault="008E1F7A" w:rsidP="008E1F7A">
      <w:r>
        <w:t xml:space="preserve">93. </w:t>
      </w:r>
      <w:r>
        <w:tab/>
        <w:t xml:space="preserve">O alternativamente, la generación animal se </w:t>
      </w:r>
      <w:r w:rsidR="009D3903">
        <w:t>alude</w:t>
      </w:r>
      <w:r>
        <w:t xml:space="preserve"> mediante la mención de </w:t>
      </w:r>
      <w:r w:rsidRPr="00B457D7">
        <w:rPr>
          <w:i/>
          <w:iCs/>
        </w:rPr>
        <w:t xml:space="preserve">estados de </w:t>
      </w:r>
      <w:r w:rsidR="00B457D7">
        <w:rPr>
          <w:i/>
          <w:iCs/>
        </w:rPr>
        <w:br/>
      </w:r>
      <w:r w:rsidRPr="00B457D7">
        <w:rPr>
          <w:i/>
          <w:iCs/>
        </w:rPr>
        <w:t>p</w:t>
      </w:r>
      <w:r w:rsidR="00B457D7">
        <w:rPr>
          <w:i/>
          <w:iCs/>
        </w:rPr>
        <w:t>e</w:t>
      </w:r>
      <w:r w:rsidRPr="00B457D7">
        <w:rPr>
          <w:i/>
          <w:iCs/>
        </w:rPr>
        <w:t>rdi</w:t>
      </w:r>
      <w:r w:rsidR="00B457D7">
        <w:rPr>
          <w:i/>
          <w:iCs/>
        </w:rPr>
        <w:t>ción</w:t>
      </w:r>
      <w:r>
        <w:t xml:space="preserve">; </w:t>
      </w:r>
      <w:r w:rsidR="003D6480">
        <w:t xml:space="preserve">ya que </w:t>
      </w:r>
      <w:r>
        <w:t xml:space="preserve">la generación animal es un estado de </w:t>
      </w:r>
      <w:r w:rsidR="003D6480">
        <w:t xml:space="preserve">perdición </w:t>
      </w:r>
      <w:r>
        <w:t xml:space="preserve">porque </w:t>
      </w:r>
      <w:r w:rsidR="000F1078">
        <w:t xml:space="preserve">se encuentra sustraído </w:t>
      </w:r>
      <w:r>
        <w:t>de</w:t>
      </w:r>
      <w:r w:rsidR="005E0F54">
        <w:t xml:space="preserve"> un</w:t>
      </w:r>
      <w:r>
        <w:t xml:space="preserve"> destino feliz; </w:t>
      </w:r>
      <w:r w:rsidR="000F1078">
        <w:t xml:space="preserve">no obstante, </w:t>
      </w:r>
      <w:r>
        <w:t xml:space="preserve">no es </w:t>
      </w:r>
      <w:r w:rsidR="0032747B">
        <w:t xml:space="preserve">necesariamente </w:t>
      </w:r>
      <w:r>
        <w:t xml:space="preserve">un destino infeliz </w:t>
      </w:r>
      <w:r w:rsidR="009D38C9">
        <w:t xml:space="preserve">ya </w:t>
      </w:r>
      <w:r>
        <w:t xml:space="preserve">que permite la existencia de </w:t>
      </w:r>
      <w:r w:rsidR="0032747B">
        <w:t xml:space="preserve">los </w:t>
      </w:r>
      <w:proofErr w:type="spellStart"/>
      <w:r w:rsidRPr="00B457D7">
        <w:rPr>
          <w:i/>
          <w:iCs/>
        </w:rPr>
        <w:t>Nāgas</w:t>
      </w:r>
      <w:proofErr w:type="spellEnd"/>
      <w:r>
        <w:t xml:space="preserve"> (serpientes) </w:t>
      </w:r>
      <w:r w:rsidR="0032747B">
        <w:t xml:space="preserve">Royales </w:t>
      </w:r>
      <w:r>
        <w:t xml:space="preserve">que son muy honrados. El reino de los fantasmas </w:t>
      </w:r>
      <w:r w:rsidR="0032747B">
        <w:t>alude a</w:t>
      </w:r>
      <w:r>
        <w:t xml:space="preserve"> la mención del destino infeliz; </w:t>
      </w:r>
      <w:r w:rsidR="009D38C9">
        <w:t xml:space="preserve">Ya </w:t>
      </w:r>
      <w:r>
        <w:t xml:space="preserve">que </w:t>
      </w:r>
      <w:r w:rsidR="009D38C9">
        <w:t xml:space="preserve">se tratará </w:t>
      </w:r>
      <w:r>
        <w:t xml:space="preserve">tanto un estado de </w:t>
      </w:r>
      <w:r w:rsidR="0032747B">
        <w:t xml:space="preserve">perdición </w:t>
      </w:r>
      <w:r>
        <w:t xml:space="preserve">como </w:t>
      </w:r>
      <w:r w:rsidR="009D38C9">
        <w:t xml:space="preserve">de </w:t>
      </w:r>
      <w:r>
        <w:t xml:space="preserve">un destino infeliz porque </w:t>
      </w:r>
      <w:r w:rsidR="009D3903">
        <w:t xml:space="preserve">se encuentra sustraído </w:t>
      </w:r>
      <w:r>
        <w:t>de</w:t>
      </w:r>
      <w:r w:rsidR="009D38C9">
        <w:t xml:space="preserve"> un</w:t>
      </w:r>
      <w:r>
        <w:t xml:space="preserve"> destino feliz y porque </w:t>
      </w:r>
      <w:r w:rsidR="009D3903">
        <w:t>será un</w:t>
      </w:r>
      <w:r>
        <w:t xml:space="preserve"> destino del sufrimiento; </w:t>
      </w:r>
      <w:r w:rsidR="00EE1164">
        <w:t xml:space="preserve">no obstante, </w:t>
      </w:r>
      <w:r>
        <w:t xml:space="preserve">no </w:t>
      </w:r>
      <w:r w:rsidR="00EE1164">
        <w:t>será</w:t>
      </w:r>
      <w:r>
        <w:t xml:space="preserve"> </w:t>
      </w:r>
      <w:r w:rsidR="009D3903">
        <w:t xml:space="preserve">una </w:t>
      </w:r>
      <w:r>
        <w:t xml:space="preserve">perdición porque no </w:t>
      </w:r>
      <w:r w:rsidR="00EE1164">
        <w:t xml:space="preserve">será </w:t>
      </w:r>
      <w:r>
        <w:t xml:space="preserve">un estado de perdición como el de los demonios </w:t>
      </w:r>
      <w:r w:rsidRPr="009D3903">
        <w:rPr>
          <w:i/>
          <w:iCs/>
        </w:rPr>
        <w:t>Asura</w:t>
      </w:r>
      <w:r>
        <w:t xml:space="preserve">. La raza de los demonios </w:t>
      </w:r>
      <w:r w:rsidRPr="009D3903">
        <w:rPr>
          <w:i/>
          <w:iCs/>
        </w:rPr>
        <w:t>Asura</w:t>
      </w:r>
      <w:r>
        <w:t xml:space="preserve"> </w:t>
      </w:r>
      <w:r w:rsidR="009D3903">
        <w:t>alude a</w:t>
      </w:r>
      <w:r>
        <w:t xml:space="preserve"> la mención de la perdición; </w:t>
      </w:r>
      <w:r w:rsidR="009D3903">
        <w:t>ya que</w:t>
      </w:r>
      <w:r>
        <w:t xml:space="preserve"> e</w:t>
      </w:r>
      <w:r w:rsidR="009D3903">
        <w:t>ll</w:t>
      </w:r>
      <w:r>
        <w:t xml:space="preserve">o </w:t>
      </w:r>
      <w:r w:rsidR="009D3903">
        <w:t xml:space="preserve">será </w:t>
      </w:r>
      <w:r>
        <w:t xml:space="preserve">tanto un estado de </w:t>
      </w:r>
      <w:r w:rsidR="009D3903" w:rsidRPr="009D3903">
        <w:t>perdición</w:t>
      </w:r>
      <w:r w:rsidR="009D3903">
        <w:t xml:space="preserve"> </w:t>
      </w:r>
      <w:r>
        <w:t>como un destino infeliz en la forma ya descrita, y se llama</w:t>
      </w:r>
      <w:r w:rsidR="006D66B5">
        <w:t>rá</w:t>
      </w:r>
      <w:r>
        <w:t xml:space="preserve"> </w:t>
      </w:r>
      <w:r w:rsidR="006D66B5">
        <w:t xml:space="preserve">la </w:t>
      </w:r>
      <w:r>
        <w:t xml:space="preserve">"perdición" (privación) de todas las oportunidades. El infierno mismo en los diversos aspectos </w:t>
      </w:r>
      <w:r w:rsidR="009D3903">
        <w:t>como el</w:t>
      </w:r>
      <w:r>
        <w:t xml:space="preserve"> </w:t>
      </w:r>
      <w:proofErr w:type="spellStart"/>
      <w:r w:rsidRPr="00B457D7">
        <w:rPr>
          <w:i/>
          <w:iCs/>
        </w:rPr>
        <w:t>Avīci</w:t>
      </w:r>
      <w:proofErr w:type="spellEnd"/>
      <w:r>
        <w:t xml:space="preserve">, etc., </w:t>
      </w:r>
      <w:r w:rsidR="009D3903">
        <w:t>aluden a</w:t>
      </w:r>
      <w:r>
        <w:t xml:space="preserve"> la mención del </w:t>
      </w:r>
      <w:r w:rsidRPr="00B457D7">
        <w:rPr>
          <w:i/>
          <w:iCs/>
        </w:rPr>
        <w:t>infierno</w:t>
      </w:r>
      <w:r>
        <w:t>.</w:t>
      </w:r>
    </w:p>
    <w:p w14:paraId="66B59096" w14:textId="1FD06FFA" w:rsidR="008E1F7A" w:rsidRPr="008E1F7A" w:rsidRDefault="008E1F7A" w:rsidP="008E1F7A">
      <w:pPr>
        <w:pStyle w:val="PiedepginaLegal"/>
        <w:rPr>
          <w:u w:val="single"/>
        </w:rPr>
      </w:pPr>
      <w:r w:rsidRPr="008E1F7A">
        <w:rPr>
          <w:u w:val="single"/>
        </w:rPr>
        <w:t xml:space="preserve">                                                                                                                                                        .</w:t>
      </w:r>
    </w:p>
    <w:p w14:paraId="5E78C539" w14:textId="7C9F3FAF" w:rsidR="008E1F7A" w:rsidRDefault="008E1F7A" w:rsidP="008E1F7A">
      <w:pPr>
        <w:pStyle w:val="PiedepginaLegal"/>
      </w:pPr>
      <w:r>
        <w:t xml:space="preserve">18. </w:t>
      </w:r>
      <w:r>
        <w:tab/>
        <w:t xml:space="preserve">Al representar </w:t>
      </w:r>
      <w:proofErr w:type="spellStart"/>
      <w:r w:rsidRPr="00B457D7">
        <w:rPr>
          <w:i/>
          <w:iCs/>
        </w:rPr>
        <w:t>yathābhataṃ</w:t>
      </w:r>
      <w:proofErr w:type="spellEnd"/>
      <w:r>
        <w:t xml:space="preserve"> aquí ha sido consultado</w:t>
      </w:r>
      <w:r w:rsidR="00474E32" w:rsidRPr="00474E32">
        <w:t xml:space="preserve"> </w:t>
      </w:r>
      <w:r w:rsidR="00474E32">
        <w:t xml:space="preserve">en este pasaje muy idiomático </w:t>
      </w:r>
      <w:r w:rsidR="00D84F46">
        <w:t xml:space="preserve">el </w:t>
      </w:r>
      <w:r w:rsidR="00474E32">
        <w:t>M- II 32</w:t>
      </w:r>
      <w:r>
        <w:t>.</w:t>
      </w:r>
    </w:p>
    <w:p w14:paraId="083F4B34" w14:textId="737DFE96" w:rsidR="008E1F7A" w:rsidRDefault="008E1F7A" w:rsidP="008E1F7A">
      <w:pPr>
        <w:pStyle w:val="PiedepginaLegal"/>
      </w:pPr>
      <w:r>
        <w:t>19.</w:t>
      </w:r>
      <w:r>
        <w:tab/>
        <w:t xml:space="preserve">Para la palabra </w:t>
      </w:r>
      <w:proofErr w:type="spellStart"/>
      <w:r w:rsidRPr="00B457D7">
        <w:rPr>
          <w:i/>
          <w:iCs/>
        </w:rPr>
        <w:t>aya</w:t>
      </w:r>
      <w:proofErr w:type="spellEnd"/>
      <w:r>
        <w:t xml:space="preserve"> </w:t>
      </w:r>
      <w:r w:rsidR="00DD072D">
        <w:t>consultar</w:t>
      </w:r>
      <w:r>
        <w:t xml:space="preserve"> </w:t>
      </w:r>
      <w:r w:rsidR="00C42834">
        <w:t>XVI</w:t>
      </w:r>
      <w:r>
        <w:t>.17.</w:t>
      </w:r>
    </w:p>
    <w:p w14:paraId="15FF93C6" w14:textId="209AD416" w:rsidR="008E1F7A" w:rsidRDefault="008E1F7A">
      <w:pPr>
        <w:tabs>
          <w:tab w:val="clear" w:pos="425"/>
        </w:tabs>
        <w:spacing w:after="160"/>
      </w:pPr>
      <w:r>
        <w:br w:type="page"/>
      </w:r>
    </w:p>
    <w:p w14:paraId="6EC71AC5" w14:textId="77777777" w:rsidR="008E1F7A" w:rsidRDefault="008E1F7A" w:rsidP="008E1F7A"/>
    <w:p w14:paraId="01FF7790" w14:textId="586D633C" w:rsidR="00C83BA7" w:rsidRDefault="00C83BA7" w:rsidP="00B457D7">
      <w:pPr>
        <w:pStyle w:val="NormalConSangria"/>
      </w:pPr>
      <w:r w:rsidRPr="00B457D7">
        <w:rPr>
          <w:i/>
          <w:iCs/>
        </w:rPr>
        <w:t xml:space="preserve">Han ... </w:t>
      </w:r>
      <w:r w:rsidR="007E10B2">
        <w:rPr>
          <w:i/>
          <w:iCs/>
        </w:rPr>
        <w:t>re</w:t>
      </w:r>
      <w:r w:rsidRPr="00B457D7">
        <w:rPr>
          <w:i/>
          <w:iCs/>
        </w:rPr>
        <w:t>aparecido</w:t>
      </w:r>
      <w:r>
        <w:t xml:space="preserve">: </w:t>
      </w:r>
      <w:r w:rsidR="007E10B2">
        <w:t xml:space="preserve">lo que se quiere decir es que </w:t>
      </w:r>
      <w:r w:rsidR="00C22AB4">
        <w:t xml:space="preserve">se </w:t>
      </w:r>
      <w:r>
        <w:t>h</w:t>
      </w:r>
      <w:r w:rsidR="00C22AB4">
        <w:t>an</w:t>
      </w:r>
      <w:r>
        <w:t xml:space="preserve"> </w:t>
      </w:r>
      <w:r w:rsidR="00C22AB4">
        <w:t>dirig</w:t>
      </w:r>
      <w:r>
        <w:t xml:space="preserve">ido </w:t>
      </w:r>
      <w:r w:rsidR="00C22AB4">
        <w:t>hacia</w:t>
      </w:r>
      <w:r>
        <w:t xml:space="preserve">; </w:t>
      </w:r>
      <w:r w:rsidR="007E10B2">
        <w:t xml:space="preserve">que </w:t>
      </w:r>
      <w:r>
        <w:t>han renacido allí.</w:t>
      </w:r>
    </w:p>
    <w:p w14:paraId="409A8988" w14:textId="34F736C2" w:rsidR="00C83BA7" w:rsidRDefault="00C83BA7" w:rsidP="00C83BA7">
      <w:r>
        <w:t xml:space="preserve">94. </w:t>
      </w:r>
      <w:r>
        <w:tab/>
        <w:t xml:space="preserve">El lado positivo </w:t>
      </w:r>
      <w:r w:rsidR="00EC624E">
        <w:t>de los destinos</w:t>
      </w:r>
      <w:r w:rsidR="0098617B">
        <w:t xml:space="preserve"> </w:t>
      </w:r>
      <w:r>
        <w:t>debe</w:t>
      </w:r>
      <w:r w:rsidR="00C22AB4">
        <w:t>rá</w:t>
      </w:r>
      <w:r>
        <w:t xml:space="preserve"> entenderse de manera opuesta. </w:t>
      </w:r>
      <w:r w:rsidR="00C22AB4">
        <w:t xml:space="preserve">No obstante, </w:t>
      </w:r>
      <w:r>
        <w:t>exist</w:t>
      </w:r>
      <w:r w:rsidR="00C22AB4">
        <w:t>irá</w:t>
      </w:r>
      <w:r>
        <w:t xml:space="preserve"> esta diferencia. Aquí la mención del destino feliz incluye </w:t>
      </w:r>
      <w:r w:rsidR="0098617B">
        <w:t>a</w:t>
      </w:r>
      <w:r>
        <w:t xml:space="preserve">l destino humano, y solo el destino divino se incluye con la mención de </w:t>
      </w:r>
      <w:r w:rsidR="00C22AB4">
        <w:t>Celestial</w:t>
      </w:r>
      <w:r>
        <w:t>. Aquí, un buen destino (</w:t>
      </w:r>
      <w:proofErr w:type="spellStart"/>
      <w:r w:rsidR="00531589" w:rsidRPr="00531589">
        <w:rPr>
          <w:i/>
          <w:iCs/>
        </w:rPr>
        <w:t>sundara</w:t>
      </w:r>
      <w:proofErr w:type="spellEnd"/>
      <w:r>
        <w:t>) (</w:t>
      </w:r>
      <w:proofErr w:type="spellStart"/>
      <w:r w:rsidR="00531589" w:rsidRPr="00531589">
        <w:rPr>
          <w:i/>
          <w:iCs/>
        </w:rPr>
        <w:t>gati</w:t>
      </w:r>
      <w:proofErr w:type="spellEnd"/>
      <w:r>
        <w:t xml:space="preserve">) </w:t>
      </w:r>
      <w:r w:rsidR="0098617B">
        <w:t>corresponderá a</w:t>
      </w:r>
      <w:r>
        <w:t xml:space="preserve"> un </w:t>
      </w:r>
      <w:r w:rsidRPr="00B86382">
        <w:rPr>
          <w:i/>
          <w:iCs/>
        </w:rPr>
        <w:t>destino feliz</w:t>
      </w:r>
      <w:r>
        <w:t xml:space="preserve"> (</w:t>
      </w:r>
      <w:proofErr w:type="spellStart"/>
      <w:r w:rsidR="00531589" w:rsidRPr="00531589">
        <w:rPr>
          <w:i/>
          <w:iCs/>
        </w:rPr>
        <w:t>sugati</w:t>
      </w:r>
      <w:proofErr w:type="spellEnd"/>
      <w:r>
        <w:t xml:space="preserve">). </w:t>
      </w:r>
      <w:r w:rsidR="00A4493F">
        <w:t xml:space="preserve">Será </w:t>
      </w:r>
      <w:r>
        <w:t xml:space="preserve">el más </w:t>
      </w:r>
      <w:r w:rsidR="00C22AB4">
        <w:t>elevado</w:t>
      </w:r>
      <w:r>
        <w:t xml:space="preserve"> (</w:t>
      </w:r>
      <w:proofErr w:type="spellStart"/>
      <w:r w:rsidR="00531589" w:rsidRPr="00531589">
        <w:rPr>
          <w:i/>
          <w:iCs/>
        </w:rPr>
        <w:t>suṭṭhu</w:t>
      </w:r>
      <w:proofErr w:type="spellEnd"/>
      <w:r w:rsidR="00531589">
        <w:t xml:space="preserve"> </w:t>
      </w:r>
      <w:proofErr w:type="spellStart"/>
      <w:r w:rsidR="00531589" w:rsidRPr="00531589">
        <w:rPr>
          <w:i/>
          <w:iCs/>
        </w:rPr>
        <w:t>aggo</w:t>
      </w:r>
      <w:proofErr w:type="spellEnd"/>
      <w:r>
        <w:t xml:space="preserve">) en cosas como los campos objetivos que comprenden objetos visibles, etc., por lo tanto, </w:t>
      </w:r>
      <w:r w:rsidR="00A4493F">
        <w:t xml:space="preserve">será </w:t>
      </w:r>
      <w:r w:rsidRPr="00B86382">
        <w:rPr>
          <w:i/>
          <w:iCs/>
        </w:rPr>
        <w:t>celestial</w:t>
      </w:r>
      <w:r>
        <w:t xml:space="preserve"> (</w:t>
      </w:r>
      <w:proofErr w:type="spellStart"/>
      <w:r w:rsidRPr="00531589">
        <w:rPr>
          <w:i/>
          <w:iCs/>
        </w:rPr>
        <w:t>sagga</w:t>
      </w:r>
      <w:proofErr w:type="spellEnd"/>
      <w:r>
        <w:t>). Todo e</w:t>
      </w:r>
      <w:r w:rsidR="00B86382">
        <w:t>llo</w:t>
      </w:r>
      <w:r>
        <w:t xml:space="preserve"> </w:t>
      </w:r>
      <w:r w:rsidR="00B86382">
        <w:t>corresponde</w:t>
      </w:r>
      <w:r w:rsidR="00A4493F">
        <w:t>rá</w:t>
      </w:r>
      <w:r w:rsidR="00B86382">
        <w:t xml:space="preserve"> al</w:t>
      </w:r>
      <w:r>
        <w:t xml:space="preserve"> mundo (</w:t>
      </w:r>
      <w:r w:rsidR="00B86382" w:rsidRPr="00B86382">
        <w:rPr>
          <w:i/>
          <w:iCs/>
        </w:rPr>
        <w:t>loka</w:t>
      </w:r>
      <w:r>
        <w:t>) en el sentido de desmoronarse y desintegrarse (</w:t>
      </w:r>
      <w:proofErr w:type="spellStart"/>
      <w:r w:rsidR="00531589" w:rsidRPr="00531589">
        <w:rPr>
          <w:i/>
          <w:iCs/>
        </w:rPr>
        <w:t>lujjana-palujjana</w:t>
      </w:r>
      <w:proofErr w:type="spellEnd"/>
      <w:r>
        <w:t xml:space="preserve">). </w:t>
      </w:r>
      <w:r w:rsidR="0096181D">
        <w:t>É</w:t>
      </w:r>
      <w:r>
        <w:t>st</w:t>
      </w:r>
      <w:r w:rsidR="0096181D">
        <w:t>e</w:t>
      </w:r>
      <w:r>
        <w:t xml:space="preserve"> es </w:t>
      </w:r>
      <w:r w:rsidR="00CA6828">
        <w:t xml:space="preserve">el significado de </w:t>
      </w:r>
      <w:r>
        <w:t>la palabra.</w:t>
      </w:r>
    </w:p>
    <w:p w14:paraId="039B056C" w14:textId="283229A1" w:rsidR="00C83BA7" w:rsidRDefault="00C83BA7" w:rsidP="00C83BA7">
      <w:pPr>
        <w:pStyle w:val="NormalConSangria"/>
      </w:pPr>
      <w:r w:rsidRPr="00531589">
        <w:rPr>
          <w:i/>
          <w:iCs/>
        </w:rPr>
        <w:t>Así, con el ojo divino</w:t>
      </w:r>
      <w:r>
        <w:t xml:space="preserve">, etc., </w:t>
      </w:r>
      <w:r w:rsidR="00CA6828">
        <w:t xml:space="preserve">será </w:t>
      </w:r>
      <w:r>
        <w:t>tod</w:t>
      </w:r>
      <w:r w:rsidR="00CA6828">
        <w:t>a</w:t>
      </w:r>
      <w:r>
        <w:t xml:space="preserve"> una frase </w:t>
      </w:r>
      <w:r w:rsidR="009A137F">
        <w:t>agregada</w:t>
      </w:r>
      <w:r>
        <w:t>; El significado aquí en resumen es este: así con el ojo divino ... él ve</w:t>
      </w:r>
      <w:r w:rsidR="009A137F">
        <w:t>rá</w:t>
      </w:r>
      <w:r>
        <w:t>.</w:t>
      </w:r>
    </w:p>
    <w:p w14:paraId="6D2BB0A3" w14:textId="34BA6647" w:rsidR="00C83BA7" w:rsidRDefault="00C83BA7" w:rsidP="00C83BA7">
      <w:r>
        <w:t xml:space="preserve">95. </w:t>
      </w:r>
      <w:r>
        <w:tab/>
        <w:t>Ahora</w:t>
      </w:r>
      <w:r w:rsidR="009A137F">
        <w:t xml:space="preserve"> bien</w:t>
      </w:r>
      <w:r>
        <w:t xml:space="preserve">, un </w:t>
      </w:r>
      <w:r w:rsidR="00137BCC">
        <w:t xml:space="preserve">hombre de clan </w:t>
      </w:r>
      <w:r>
        <w:t xml:space="preserve">que </w:t>
      </w:r>
      <w:r w:rsidR="00137BCC">
        <w:t xml:space="preserve">sea </w:t>
      </w:r>
      <w:r w:rsidR="009A137F">
        <w:t xml:space="preserve">todavía </w:t>
      </w:r>
      <w:r>
        <w:t>principiante y quier</w:t>
      </w:r>
      <w:r w:rsidR="009A137F">
        <w:t>a</w:t>
      </w:r>
      <w:r>
        <w:t xml:space="preserve"> </w:t>
      </w:r>
      <w:r w:rsidR="006D074A">
        <w:t>observar</w:t>
      </w:r>
      <w:r>
        <w:t xml:space="preserve"> </w:t>
      </w:r>
      <w:r w:rsidR="009A137F">
        <w:t>así</w:t>
      </w:r>
      <w:r w:rsidR="006D074A">
        <w:t>,</w:t>
      </w:r>
      <w:r w:rsidR="009A137F">
        <w:t xml:space="preserve"> </w:t>
      </w:r>
      <w:r>
        <w:t>debe</w:t>
      </w:r>
      <w:r w:rsidR="009A137F">
        <w:t>rá</w:t>
      </w:r>
      <w:r>
        <w:t xml:space="preserve"> asegurarse de que el </w:t>
      </w:r>
      <w:proofErr w:type="spellStart"/>
      <w:r w:rsidR="00057BF4" w:rsidRPr="00057BF4">
        <w:rPr>
          <w:i/>
        </w:rPr>
        <w:t>jhāna</w:t>
      </w:r>
      <w:proofErr w:type="spellEnd"/>
      <w:r>
        <w:t xml:space="preserve">, que tenga </w:t>
      </w:r>
      <w:r w:rsidR="009A137F">
        <w:t xml:space="preserve">algún </w:t>
      </w:r>
      <w:proofErr w:type="spellStart"/>
      <w:r w:rsidR="00057BF4" w:rsidRPr="00057BF4">
        <w:rPr>
          <w:i/>
        </w:rPr>
        <w:t>kasiṇa</w:t>
      </w:r>
      <w:proofErr w:type="spellEnd"/>
      <w:r>
        <w:t xml:space="preserve"> como objeto y </w:t>
      </w:r>
      <w:r w:rsidR="009A137F">
        <w:t xml:space="preserve">sea </w:t>
      </w:r>
      <w:r>
        <w:t xml:space="preserve">la base del conocimiento directo, se </w:t>
      </w:r>
      <w:r w:rsidR="000309B4">
        <w:t xml:space="preserve">someta </w:t>
      </w:r>
      <w:r>
        <w:t xml:space="preserve">de todas las formas susceptibles </w:t>
      </w:r>
      <w:r w:rsidR="000309B4">
        <w:t xml:space="preserve">bajo su </w:t>
      </w:r>
      <w:r>
        <w:t xml:space="preserve">orientación. Entonces, </w:t>
      </w:r>
      <w:r w:rsidR="009A137F">
        <w:t>alguien</w:t>
      </w:r>
      <w:r>
        <w:t xml:space="preserve"> </w:t>
      </w:r>
      <w:r w:rsidR="007C7B93">
        <w:t>con</w:t>
      </w:r>
      <w:r>
        <w:t xml:space="preserve"> estos tres </w:t>
      </w:r>
      <w:proofErr w:type="spellStart"/>
      <w:r w:rsidR="007C7B93" w:rsidRPr="00057BF4">
        <w:rPr>
          <w:i/>
        </w:rPr>
        <w:t>kasiṇa</w:t>
      </w:r>
      <w:r w:rsidR="007C7B93">
        <w:t>s</w:t>
      </w:r>
      <w:proofErr w:type="spellEnd"/>
      <w:r>
        <w:t xml:space="preserve">, es decir, el </w:t>
      </w:r>
      <w:proofErr w:type="spellStart"/>
      <w:r w:rsidR="00137BCC" w:rsidRPr="00057BF4">
        <w:rPr>
          <w:i/>
        </w:rPr>
        <w:t>kasiṇa</w:t>
      </w:r>
      <w:proofErr w:type="spellEnd"/>
      <w:r w:rsidR="007C7B93" w:rsidRPr="007C7B93">
        <w:t xml:space="preserve"> </w:t>
      </w:r>
      <w:r w:rsidR="007C7B93">
        <w:t>fuego</w:t>
      </w:r>
      <w:r>
        <w:t xml:space="preserve">, </w:t>
      </w:r>
      <w:r w:rsidR="006C2A55">
        <w:t xml:space="preserve">el </w:t>
      </w:r>
      <w:proofErr w:type="spellStart"/>
      <w:r w:rsidR="00137BCC" w:rsidRPr="00057BF4">
        <w:rPr>
          <w:i/>
        </w:rPr>
        <w:t>kasiṇa</w:t>
      </w:r>
      <w:proofErr w:type="spellEnd"/>
      <w:r w:rsidR="00137BCC">
        <w:t xml:space="preserve"> </w:t>
      </w:r>
      <w:r>
        <w:t xml:space="preserve">blanco, [428] o </w:t>
      </w:r>
      <w:r w:rsidR="007C7B93">
        <w:t xml:space="preserve">el </w:t>
      </w:r>
      <w:proofErr w:type="spellStart"/>
      <w:r w:rsidR="00137BCC" w:rsidRPr="00057BF4">
        <w:rPr>
          <w:i/>
        </w:rPr>
        <w:t>kasiṇa</w:t>
      </w:r>
      <w:proofErr w:type="spellEnd"/>
      <w:r w:rsidR="00137BCC">
        <w:t xml:space="preserve"> </w:t>
      </w:r>
      <w:r w:rsidR="007C7B93">
        <w:t>luz</w:t>
      </w:r>
      <w:r>
        <w:t>, debe</w:t>
      </w:r>
      <w:r w:rsidR="007C7B93">
        <w:t>rá</w:t>
      </w:r>
      <w:r>
        <w:t xml:space="preserve"> </w:t>
      </w:r>
      <w:r w:rsidR="006970DB">
        <w:t>conduci</w:t>
      </w:r>
      <w:r w:rsidR="006C2A55">
        <w:t>r</w:t>
      </w:r>
      <w:r w:rsidR="00D22D26">
        <w:t>se</w:t>
      </w:r>
      <w:r w:rsidR="006970DB">
        <w:t xml:space="preserve"> </w:t>
      </w:r>
      <w:r w:rsidR="00D22D26">
        <w:t xml:space="preserve">hacia </w:t>
      </w:r>
      <w:r>
        <w:t>l</w:t>
      </w:r>
      <w:r w:rsidR="006970DB">
        <w:t>a</w:t>
      </w:r>
      <w:r>
        <w:t xml:space="preserve"> vecinda</w:t>
      </w:r>
      <w:r w:rsidR="006970DB">
        <w:t>d</w:t>
      </w:r>
      <w:r>
        <w:t xml:space="preserve"> del conocimiento del ojo divino. Deber</w:t>
      </w:r>
      <w:r w:rsidR="00732EFC">
        <w:t>á</w:t>
      </w:r>
      <w:r>
        <w:t xml:space="preserve"> hacer este acceso a</w:t>
      </w:r>
      <w:r w:rsidR="00732EFC">
        <w:t>l</w:t>
      </w:r>
      <w:r>
        <w:t xml:space="preserve"> </w:t>
      </w:r>
      <w:proofErr w:type="spellStart"/>
      <w:r w:rsidR="00137BCC" w:rsidRPr="00057BF4">
        <w:rPr>
          <w:i/>
        </w:rPr>
        <w:t>jhāna</w:t>
      </w:r>
      <w:proofErr w:type="spellEnd"/>
      <w:r w:rsidR="00137BCC">
        <w:t xml:space="preserve"> </w:t>
      </w:r>
      <w:r>
        <w:t xml:space="preserve">su </w:t>
      </w:r>
      <w:r w:rsidR="00732EFC">
        <w:t xml:space="preserve">estación </w:t>
      </w:r>
      <w:r>
        <w:t xml:space="preserve">y detenerse allí para extender el </w:t>
      </w:r>
      <w:proofErr w:type="spellStart"/>
      <w:r w:rsidR="00137BCC" w:rsidRPr="00057BF4">
        <w:rPr>
          <w:i/>
        </w:rPr>
        <w:t>kasiṇa</w:t>
      </w:r>
      <w:proofErr w:type="spellEnd"/>
      <w:r>
        <w:t xml:space="preserve">; </w:t>
      </w:r>
      <w:r w:rsidR="00732EFC">
        <w:t>l</w:t>
      </w:r>
      <w:r>
        <w:t>a intención es que la absorción no deb</w:t>
      </w:r>
      <w:r w:rsidR="00732EFC">
        <w:t>a</w:t>
      </w:r>
      <w:r>
        <w:t xml:space="preserve"> despertarse aquí; </w:t>
      </w:r>
      <w:r w:rsidR="00732EFC">
        <w:t>p</w:t>
      </w:r>
      <w:r>
        <w:t>orque si indu</w:t>
      </w:r>
      <w:r w:rsidR="00732EFC">
        <w:t>jese</w:t>
      </w:r>
      <w:r>
        <w:t xml:space="preserve"> </w:t>
      </w:r>
      <w:r w:rsidR="00732EFC">
        <w:t xml:space="preserve">hacia </w:t>
      </w:r>
      <w:r>
        <w:t xml:space="preserve">la absorción, el </w:t>
      </w:r>
      <w:proofErr w:type="spellStart"/>
      <w:r w:rsidR="00137BCC" w:rsidRPr="00057BF4">
        <w:rPr>
          <w:i/>
        </w:rPr>
        <w:t>kasiṇa</w:t>
      </w:r>
      <w:proofErr w:type="spellEnd"/>
      <w:r>
        <w:t xml:space="preserve"> se convertir</w:t>
      </w:r>
      <w:r w:rsidR="00D22D26">
        <w:t>ía</w:t>
      </w:r>
      <w:r>
        <w:t xml:space="preserve"> en el </w:t>
      </w:r>
      <w:r w:rsidR="00732EFC">
        <w:t xml:space="preserve">soporte </w:t>
      </w:r>
      <w:r>
        <w:t>de</w:t>
      </w:r>
      <w:r w:rsidR="00732EFC">
        <w:t>l</w:t>
      </w:r>
      <w:r>
        <w:t xml:space="preserve"> </w:t>
      </w:r>
      <w:proofErr w:type="spellStart"/>
      <w:r w:rsidR="00137BCC" w:rsidRPr="00057BF4">
        <w:rPr>
          <w:i/>
        </w:rPr>
        <w:t>jhāna</w:t>
      </w:r>
      <w:proofErr w:type="spellEnd"/>
      <w:r w:rsidR="00137BCC">
        <w:t xml:space="preserve"> </w:t>
      </w:r>
      <w:r>
        <w:t xml:space="preserve">básico, pero no </w:t>
      </w:r>
      <w:r w:rsidR="00D22D26">
        <w:t>de</w:t>
      </w:r>
      <w:r>
        <w:t>l trabajo preliminar</w:t>
      </w:r>
      <w:r w:rsidR="008D762D">
        <w:t>,</w:t>
      </w:r>
      <w:r>
        <w:t xml:space="preserve"> </w:t>
      </w:r>
      <w:r w:rsidR="00D22D26">
        <w:t>d</w:t>
      </w:r>
      <w:r w:rsidR="008D762D">
        <w:t>el c</w:t>
      </w:r>
      <w:r>
        <w:t xml:space="preserve">onocimiento directo. </w:t>
      </w:r>
      <w:r w:rsidR="008D762D">
        <w:t xml:space="preserve">El </w:t>
      </w:r>
      <w:proofErr w:type="spellStart"/>
      <w:r w:rsidR="00137BCC" w:rsidRPr="00057BF4">
        <w:rPr>
          <w:i/>
        </w:rPr>
        <w:t>kasiṇa</w:t>
      </w:r>
      <w:proofErr w:type="spellEnd"/>
      <w:r w:rsidR="00137BCC">
        <w:t xml:space="preserve"> </w:t>
      </w:r>
      <w:r w:rsidR="008D762D">
        <w:t>luz será</w:t>
      </w:r>
      <w:r>
        <w:t xml:space="preserve"> </w:t>
      </w:r>
      <w:r w:rsidR="008D762D">
        <w:t>e</w:t>
      </w:r>
      <w:r>
        <w:t xml:space="preserve">l mejor de los tres. Entonces, </w:t>
      </w:r>
      <w:r w:rsidR="004D02FE">
        <w:t xml:space="preserve">ya sea con éste o </w:t>
      </w:r>
      <w:r w:rsidR="008D762D">
        <w:t xml:space="preserve">con </w:t>
      </w:r>
      <w:r>
        <w:t>uno de los otros</w:t>
      </w:r>
      <w:r w:rsidR="004D02FE">
        <w:t>,</w:t>
      </w:r>
      <w:r>
        <w:t xml:space="preserve"> debe</w:t>
      </w:r>
      <w:r w:rsidR="004D02FE">
        <w:t>rá</w:t>
      </w:r>
      <w:r>
        <w:t xml:space="preserve"> trabajar en la forma establecida en la descripción de los </w:t>
      </w:r>
      <w:proofErr w:type="spellStart"/>
      <w:r w:rsidR="00137BCC" w:rsidRPr="00057BF4">
        <w:rPr>
          <w:i/>
        </w:rPr>
        <w:t>kasiṇa</w:t>
      </w:r>
      <w:r w:rsidR="00137BCC">
        <w:t>s</w:t>
      </w:r>
      <w:proofErr w:type="spellEnd"/>
      <w:r>
        <w:t>, y debe</w:t>
      </w:r>
      <w:r w:rsidR="004D02FE">
        <w:t>rá</w:t>
      </w:r>
      <w:r>
        <w:t xml:space="preserve"> detenerse </w:t>
      </w:r>
      <w:r w:rsidR="004D02FE">
        <w:t>en e</w:t>
      </w:r>
      <w:r>
        <w:t>l nivel de acceso y extenderse allí. Y el método para extenderlo debe</w:t>
      </w:r>
      <w:r w:rsidR="004D02FE">
        <w:t>rá</w:t>
      </w:r>
      <w:r>
        <w:t xml:space="preserve"> entenderse de la manera ya descrita allí también. </w:t>
      </w:r>
      <w:r w:rsidR="009B378B">
        <w:t xml:space="preserve">Será </w:t>
      </w:r>
      <w:r>
        <w:t xml:space="preserve">solo lo que </w:t>
      </w:r>
      <w:r w:rsidR="009B378B">
        <w:t xml:space="preserve">sea </w:t>
      </w:r>
      <w:r>
        <w:t xml:space="preserve">visible dentro del área </w:t>
      </w:r>
      <w:r w:rsidR="009B378B">
        <w:t>en el</w:t>
      </w:r>
      <w:r>
        <w:t xml:space="preserve"> que se ha</w:t>
      </w:r>
      <w:r w:rsidR="00E34CAA">
        <w:t>ya</w:t>
      </w:r>
      <w:r>
        <w:t xml:space="preserve"> extendido el </w:t>
      </w:r>
      <w:proofErr w:type="spellStart"/>
      <w:r w:rsidR="00137BCC" w:rsidRPr="00057BF4">
        <w:rPr>
          <w:i/>
        </w:rPr>
        <w:t>kasiṇa</w:t>
      </w:r>
      <w:proofErr w:type="spellEnd"/>
      <w:r w:rsidR="00137BCC">
        <w:t xml:space="preserve"> </w:t>
      </w:r>
      <w:r>
        <w:t xml:space="preserve">lo que se </w:t>
      </w:r>
      <w:r w:rsidR="00E34CAA">
        <w:t>podrá</w:t>
      </w:r>
      <w:r>
        <w:t xml:space="preserve"> </w:t>
      </w:r>
      <w:r w:rsidR="00D9517C">
        <w:t>observar</w:t>
      </w:r>
      <w:r>
        <w:t>.</w:t>
      </w:r>
    </w:p>
    <w:p w14:paraId="40244417" w14:textId="373D8582" w:rsidR="00C83BA7" w:rsidRDefault="00C83BA7" w:rsidP="00C83BA7">
      <w:r>
        <w:t xml:space="preserve">96. </w:t>
      </w:r>
      <w:r>
        <w:tab/>
        <w:t>Sin embargo, mientras ve</w:t>
      </w:r>
      <w:r w:rsidR="00E34CAA">
        <w:t>a</w:t>
      </w:r>
      <w:r>
        <w:t xml:space="preserve"> lo que s</w:t>
      </w:r>
      <w:r w:rsidR="00E34CAA">
        <w:t>ea</w:t>
      </w:r>
      <w:r>
        <w:t xml:space="preserve"> visible, se agota</w:t>
      </w:r>
      <w:r w:rsidR="00E34CAA">
        <w:t>rá</w:t>
      </w:r>
      <w:r>
        <w:t xml:space="preserve"> el </w:t>
      </w:r>
      <w:r w:rsidR="00D93609">
        <w:t>turno</w:t>
      </w:r>
      <w:r>
        <w:t xml:space="preserve"> del trabajo preliminar. Entonces la luz desaparece</w:t>
      </w:r>
      <w:r w:rsidR="00D93609">
        <w:t>rá</w:t>
      </w:r>
      <w:r>
        <w:t>. Cuando ha</w:t>
      </w:r>
      <w:r w:rsidR="00D93609">
        <w:t>ya</w:t>
      </w:r>
      <w:r>
        <w:t xml:space="preserve"> desaparecido, ya no ve</w:t>
      </w:r>
      <w:r w:rsidR="00D93609">
        <w:t>rá</w:t>
      </w:r>
      <w:r>
        <w:t xml:space="preserve"> lo que s</w:t>
      </w:r>
      <w:r w:rsidR="00D93609">
        <w:t>ea</w:t>
      </w:r>
      <w:r>
        <w:t xml:space="preserve"> visible (cf. M III 158). Luego deber</w:t>
      </w:r>
      <w:r w:rsidR="00D93609">
        <w:t>á</w:t>
      </w:r>
      <w:r>
        <w:t xml:space="preserve"> alcanzar</w:t>
      </w:r>
      <w:r w:rsidR="00D93609">
        <w:t>se</w:t>
      </w:r>
      <w:r>
        <w:t xml:space="preserve"> una y otra vez </w:t>
      </w:r>
      <w:r w:rsidR="00D93609">
        <w:t>e</w:t>
      </w:r>
      <w:r>
        <w:t xml:space="preserve">l </w:t>
      </w:r>
      <w:proofErr w:type="spellStart"/>
      <w:r w:rsidR="003863F4" w:rsidRPr="00057BF4">
        <w:rPr>
          <w:i/>
        </w:rPr>
        <w:t>jhāna</w:t>
      </w:r>
      <w:proofErr w:type="spellEnd"/>
      <w:r w:rsidR="003863F4">
        <w:t xml:space="preserve"> </w:t>
      </w:r>
      <w:r>
        <w:t>básic</w:t>
      </w:r>
      <w:r w:rsidR="00D93609">
        <w:t>o</w:t>
      </w:r>
      <w:r>
        <w:t xml:space="preserve">, emerger y penetrar </w:t>
      </w:r>
      <w:r w:rsidR="004844FD">
        <w:t xml:space="preserve">en </w:t>
      </w:r>
      <w:r>
        <w:t>la luz. De esta manera, la luz se consolida</w:t>
      </w:r>
      <w:r w:rsidR="0033233A">
        <w:t>rá</w:t>
      </w:r>
      <w:r>
        <w:t xml:space="preserve"> gradualmente hasta finalmente permanece</w:t>
      </w:r>
      <w:r w:rsidR="0033233A">
        <w:t>r</w:t>
      </w:r>
      <w:r>
        <w:t xml:space="preserve"> en cualquier área de</w:t>
      </w:r>
      <w:r w:rsidR="0033233A">
        <w:t>l</w:t>
      </w:r>
      <w:r>
        <w:t xml:space="preserve"> tamaño que haya sido delimitada por él </w:t>
      </w:r>
      <w:r w:rsidR="0033233A">
        <w:t>así</w:t>
      </w:r>
      <w:r>
        <w:t>, "que haya luz aquí". Inclus</w:t>
      </w:r>
      <w:r w:rsidR="0033233A">
        <w:t>ive</w:t>
      </w:r>
      <w:r>
        <w:t xml:space="preserve"> si se senta</w:t>
      </w:r>
      <w:r w:rsidR="0033233A">
        <w:t>se</w:t>
      </w:r>
      <w:r>
        <w:t xml:space="preserve"> </w:t>
      </w:r>
      <w:r w:rsidR="0033233A">
        <w:t xml:space="preserve">observando </w:t>
      </w:r>
      <w:r>
        <w:t xml:space="preserve">todo el día, todavía </w:t>
      </w:r>
      <w:r w:rsidR="0033233A">
        <w:t xml:space="preserve">podrá </w:t>
      </w:r>
      <w:r>
        <w:t>ver objetos visibles.</w:t>
      </w:r>
    </w:p>
    <w:p w14:paraId="4A550F54" w14:textId="6EDBC1DF" w:rsidR="00C83BA7" w:rsidRDefault="00C83BA7" w:rsidP="00C83BA7">
      <w:r>
        <w:t xml:space="preserve">97. </w:t>
      </w:r>
      <w:r>
        <w:tab/>
        <w:t>Y aquí está el símil del hombre que emprendió un viaje de noche con una antorcha de hierba</w:t>
      </w:r>
      <w:r w:rsidR="0033233A">
        <w:t>s</w:t>
      </w:r>
      <w:r>
        <w:t>. Alguien emprendió un viaje de noche, al parecer, con una antorcha de hierba</w:t>
      </w:r>
      <w:r w:rsidR="0033233A">
        <w:t>s</w:t>
      </w:r>
      <w:r>
        <w:t xml:space="preserve">. Su antorcha </w:t>
      </w:r>
      <w:r w:rsidR="003C3324">
        <w:t>se apagó</w:t>
      </w:r>
      <w:r>
        <w:t xml:space="preserve">. Entonces los lugares </w:t>
      </w:r>
      <w:r w:rsidR="00C544DB">
        <w:t xml:space="preserve">llanos </w:t>
      </w:r>
      <w:r>
        <w:t xml:space="preserve">y desiguales no </w:t>
      </w:r>
      <w:r w:rsidR="00C544DB">
        <w:t xml:space="preserve">fueron </w:t>
      </w:r>
      <w:r>
        <w:t xml:space="preserve">más evidentes para él. </w:t>
      </w:r>
      <w:r w:rsidR="00072D45">
        <w:t>Puso</w:t>
      </w:r>
      <w:r>
        <w:t xml:space="preserve"> la antorcha en el suelo y nuevamente </w:t>
      </w:r>
      <w:r w:rsidR="00C544DB">
        <w:t xml:space="preserve">la </w:t>
      </w:r>
      <w:r>
        <w:t xml:space="preserve">encendió. Al hacerlo dio más luz que antes. A medida que </w:t>
      </w:r>
      <w:r w:rsidR="00072D45">
        <w:t xml:space="preserve">la antorcha </w:t>
      </w:r>
      <w:r w:rsidR="00654F7A">
        <w:t xml:space="preserve">moría </w:t>
      </w:r>
      <w:r>
        <w:t xml:space="preserve">y </w:t>
      </w:r>
      <w:r w:rsidR="00654F7A">
        <w:t xml:space="preserve">se encendía </w:t>
      </w:r>
      <w:r>
        <w:t xml:space="preserve">de nuevo, finalmente salió el </w:t>
      </w:r>
      <w:r w:rsidR="00C544DB">
        <w:t>Sol</w:t>
      </w:r>
      <w:r>
        <w:t xml:space="preserve">. Cuando salió el </w:t>
      </w:r>
      <w:r w:rsidR="00C544DB">
        <w:t>Sol</w:t>
      </w:r>
      <w:r>
        <w:t>, pensó: "No ha</w:t>
      </w:r>
      <w:r w:rsidR="00C544DB">
        <w:t>brá</w:t>
      </w:r>
      <w:r>
        <w:t xml:space="preserve"> más necesidad de </w:t>
      </w:r>
      <w:r w:rsidR="00C544DB">
        <w:t xml:space="preserve">encender la </w:t>
      </w:r>
      <w:r>
        <w:t>antorcha", y l</w:t>
      </w:r>
      <w:r w:rsidR="00C544DB">
        <w:t>a</w:t>
      </w:r>
      <w:r>
        <w:t xml:space="preserve"> tiró y continuó </w:t>
      </w:r>
      <w:r w:rsidR="003D7FFA">
        <w:t xml:space="preserve">su viaje </w:t>
      </w:r>
      <w:r>
        <w:t xml:space="preserve">a </w:t>
      </w:r>
      <w:r w:rsidR="003C3324">
        <w:t xml:space="preserve">plena </w:t>
      </w:r>
      <w:r>
        <w:t>luz del día.</w:t>
      </w:r>
    </w:p>
    <w:p w14:paraId="45283CAE" w14:textId="62E6057F" w:rsidR="00C83BA7" w:rsidRDefault="00C83BA7" w:rsidP="00C83BA7">
      <w:r>
        <w:t xml:space="preserve">98. </w:t>
      </w:r>
      <w:r>
        <w:tab/>
        <w:t xml:space="preserve">Aquí, </w:t>
      </w:r>
      <w:r w:rsidR="00654F7A">
        <w:t>el</w:t>
      </w:r>
      <w:r>
        <w:t xml:space="preserve"> </w:t>
      </w:r>
      <w:proofErr w:type="spellStart"/>
      <w:r w:rsidR="00057BF4" w:rsidRPr="00057BF4">
        <w:rPr>
          <w:i/>
          <w:iCs/>
        </w:rPr>
        <w:t>kasiṇa</w:t>
      </w:r>
      <w:proofErr w:type="spellEnd"/>
      <w:r w:rsidR="00CA612F">
        <w:t xml:space="preserve"> </w:t>
      </w:r>
      <w:r w:rsidR="00654F7A">
        <w:t xml:space="preserve">luz </w:t>
      </w:r>
      <w:r>
        <w:t xml:space="preserve">en el momento del trabajo preliminar </w:t>
      </w:r>
      <w:r w:rsidR="00654F7A">
        <w:t xml:space="preserve">será </w:t>
      </w:r>
      <w:r>
        <w:t xml:space="preserve">como la luz de la antorcha. </w:t>
      </w:r>
      <w:r w:rsidR="00433CAD">
        <w:t xml:space="preserve">Su </w:t>
      </w:r>
      <w:r w:rsidR="00F4656B">
        <w:t>detenimiento</w:t>
      </w:r>
      <w:r w:rsidR="00433CAD">
        <w:t xml:space="preserve"> de ver</w:t>
      </w:r>
      <w:r>
        <w:t xml:space="preserve"> lo que </w:t>
      </w:r>
      <w:r w:rsidR="00433CAD">
        <w:t xml:space="preserve">sea </w:t>
      </w:r>
      <w:r>
        <w:t>visible cuando la luz ha</w:t>
      </w:r>
      <w:r w:rsidR="00433CAD">
        <w:t>ya</w:t>
      </w:r>
      <w:r>
        <w:t xml:space="preserve"> desaparecido debido al </w:t>
      </w:r>
      <w:r w:rsidR="00433CAD">
        <w:t>turno</w:t>
      </w:r>
      <w:r>
        <w:t xml:space="preserve"> del trabajo preliminar que se agota</w:t>
      </w:r>
      <w:r w:rsidR="00433CAD">
        <w:t>rá</w:t>
      </w:r>
      <w:r>
        <w:t xml:space="preserve"> mientras ve</w:t>
      </w:r>
      <w:r w:rsidR="00433CAD">
        <w:t>a</w:t>
      </w:r>
      <w:r>
        <w:t xml:space="preserve"> lo que s</w:t>
      </w:r>
      <w:r w:rsidR="00433CAD">
        <w:t>ea</w:t>
      </w:r>
      <w:r>
        <w:t xml:space="preserve"> visible </w:t>
      </w:r>
      <w:r w:rsidR="00433CAD">
        <w:t xml:space="preserve">será </w:t>
      </w:r>
      <w:r>
        <w:t xml:space="preserve">como el hombre </w:t>
      </w:r>
      <w:r w:rsidR="00433CAD">
        <w:t xml:space="preserve">cuando </w:t>
      </w:r>
      <w:r>
        <w:t xml:space="preserve">no haya visto los lugares </w:t>
      </w:r>
      <w:r w:rsidR="00433CAD">
        <w:t xml:space="preserve">llanos </w:t>
      </w:r>
      <w:r>
        <w:t xml:space="preserve">y desiguales debido a que la antorcha </w:t>
      </w:r>
      <w:r w:rsidR="00433CAD">
        <w:t>se h</w:t>
      </w:r>
      <w:r w:rsidR="00617BFB">
        <w:t>ubo apagado</w:t>
      </w:r>
      <w:r>
        <w:t xml:space="preserve">. Su </w:t>
      </w:r>
      <w:r w:rsidR="00617BFB">
        <w:t>repetida consumación</w:t>
      </w:r>
      <w:r>
        <w:t xml:space="preserve"> </w:t>
      </w:r>
      <w:r w:rsidR="00617BFB">
        <w:t xml:space="preserve">será </w:t>
      </w:r>
      <w:r>
        <w:t xml:space="preserve">como </w:t>
      </w:r>
      <w:r w:rsidR="00617BFB">
        <w:t>la operación repetida de prender</w:t>
      </w:r>
      <w:r>
        <w:t xml:space="preserve"> la antorcha. Su dominio más poderoso con la luz repitiendo el trabajo preliminar </w:t>
      </w:r>
      <w:r w:rsidR="00D03C9D">
        <w:t xml:space="preserve">será </w:t>
      </w:r>
      <w:r>
        <w:t>como la antorcha que d</w:t>
      </w:r>
      <w:r w:rsidR="00D03C9D">
        <w:t>io</w:t>
      </w:r>
      <w:r>
        <w:t xml:space="preserve"> más luz que antes. La fuerte luz </w:t>
      </w:r>
      <w:r w:rsidR="00D03C9D">
        <w:t>restante</w:t>
      </w:r>
      <w:r>
        <w:t xml:space="preserve"> tan grande</w:t>
      </w:r>
      <w:r w:rsidR="00D03C9D">
        <w:t xml:space="preserve"> como el área delimitada será como el ascenso del Sol.</w:t>
      </w:r>
    </w:p>
    <w:p w14:paraId="5AE0B78F" w14:textId="79EED85D" w:rsidR="00C83BA7" w:rsidRDefault="00C83BA7">
      <w:pPr>
        <w:tabs>
          <w:tab w:val="clear" w:pos="425"/>
        </w:tabs>
        <w:spacing w:after="160"/>
      </w:pPr>
      <w:r>
        <w:br w:type="page"/>
      </w:r>
    </w:p>
    <w:p w14:paraId="5AEF6BCF" w14:textId="77777777" w:rsidR="00C83BA7" w:rsidRDefault="00C83BA7" w:rsidP="00C83BA7"/>
    <w:p w14:paraId="3FB3D408" w14:textId="4CAB765F" w:rsidR="00BA526B" w:rsidRDefault="00BA526B" w:rsidP="00BA526B">
      <w:r>
        <w:t>Su visión inclus</w:t>
      </w:r>
      <w:r w:rsidR="00D03C9D">
        <w:t>ive</w:t>
      </w:r>
      <w:r>
        <w:t xml:space="preserve"> durante un día entero </w:t>
      </w:r>
      <w:r w:rsidR="00FB4E5A">
        <w:t xml:space="preserve">de </w:t>
      </w:r>
      <w:r>
        <w:t>lo que s</w:t>
      </w:r>
      <w:r w:rsidR="00FB4E5A">
        <w:t>ea</w:t>
      </w:r>
      <w:r>
        <w:t xml:space="preserve"> visible a la luz fuerte </w:t>
      </w:r>
      <w:r w:rsidR="0074092C">
        <w:t xml:space="preserve">del día </w:t>
      </w:r>
      <w:r>
        <w:t xml:space="preserve">después de </w:t>
      </w:r>
      <w:r w:rsidR="009E4FD5">
        <w:t>deshacerse</w:t>
      </w:r>
      <w:r w:rsidR="00FB4E5A">
        <w:t xml:space="preserve"> de</w:t>
      </w:r>
      <w:r>
        <w:t xml:space="preserve"> la luz limitada </w:t>
      </w:r>
      <w:r w:rsidR="00FB4E5A">
        <w:t xml:space="preserve">será </w:t>
      </w:r>
      <w:r>
        <w:t xml:space="preserve">como el hombre </w:t>
      </w:r>
      <w:r w:rsidR="009E4FD5">
        <w:t xml:space="preserve">que </w:t>
      </w:r>
      <w:r w:rsidR="00FB4E5A">
        <w:t>continu</w:t>
      </w:r>
      <w:r w:rsidR="009E4FD5">
        <w:t>ó</w:t>
      </w:r>
      <w:r w:rsidR="00FB4E5A">
        <w:t xml:space="preserve"> caminando</w:t>
      </w:r>
      <w:r>
        <w:t xml:space="preserve"> </w:t>
      </w:r>
      <w:r w:rsidR="0074092C">
        <w:t xml:space="preserve">su viaje </w:t>
      </w:r>
      <w:r>
        <w:t>d</w:t>
      </w:r>
      <w:r w:rsidR="0074092C">
        <w:t>urante el</w:t>
      </w:r>
      <w:r>
        <w:t xml:space="preserve"> día después de tirar la antorcha.</w:t>
      </w:r>
    </w:p>
    <w:p w14:paraId="70DA1B02" w14:textId="29C25306" w:rsidR="00BA526B" w:rsidRDefault="00BA526B" w:rsidP="00BA526B">
      <w:r>
        <w:t xml:space="preserve">99. </w:t>
      </w:r>
      <w:r>
        <w:tab/>
        <w:t xml:space="preserve">Aquí, cuando los objetos visibles que no </w:t>
      </w:r>
      <w:r w:rsidR="009E4FD5">
        <w:t>se</w:t>
      </w:r>
      <w:r w:rsidR="00EF6E83">
        <w:t xml:space="preserve"> e</w:t>
      </w:r>
      <w:r w:rsidR="009E4FD5">
        <w:t>ncuentren</w:t>
      </w:r>
      <w:r>
        <w:t xml:space="preserve"> dentro del </w:t>
      </w:r>
      <w:r w:rsidR="008F1E0F">
        <w:t>foco</w:t>
      </w:r>
      <w:r>
        <w:t xml:space="preserve"> del ojo </w:t>
      </w:r>
      <w:r w:rsidR="00EF6E83">
        <w:t>físico</w:t>
      </w:r>
      <w:r>
        <w:t xml:space="preserve"> de</w:t>
      </w:r>
      <w:r w:rsidR="00EF6E83">
        <w:t>l</w:t>
      </w:r>
      <w:r>
        <w:t xml:space="preserve"> </w:t>
      </w:r>
      <w:proofErr w:type="spellStart"/>
      <w:r w:rsidR="003863F4" w:rsidRPr="00057BF4">
        <w:rPr>
          <w:i/>
        </w:rPr>
        <w:t>bhikkhu</w:t>
      </w:r>
      <w:proofErr w:type="spellEnd"/>
      <w:r w:rsidR="003863F4">
        <w:t xml:space="preserve"> </w:t>
      </w:r>
      <w:r>
        <w:t>entr</w:t>
      </w:r>
      <w:r w:rsidR="00EF6E83">
        <w:t>e</w:t>
      </w:r>
      <w:r>
        <w:t xml:space="preserve">n en el </w:t>
      </w:r>
      <w:r w:rsidR="00AA415F">
        <w:t>foco</w:t>
      </w:r>
      <w:r>
        <w:t xml:space="preserve"> de su ojo de</w:t>
      </w:r>
      <w:r w:rsidR="00EF6E83">
        <w:t>l</w:t>
      </w:r>
      <w:r>
        <w:t xml:space="preserve"> conocimiento, es decir, </w:t>
      </w:r>
      <w:r w:rsidR="00EF6E83">
        <w:t xml:space="preserve">los </w:t>
      </w:r>
      <w:r>
        <w:t>objetos visibles que est</w:t>
      </w:r>
      <w:r w:rsidR="001D3235">
        <w:t>é</w:t>
      </w:r>
      <w:r>
        <w:t xml:space="preserve">n dentro de su vientre, </w:t>
      </w:r>
      <w:r w:rsidR="000E28F0">
        <w:t xml:space="preserve">aquellos </w:t>
      </w:r>
      <w:r>
        <w:t>pertenecientes al corazón, perteneciente a lo que est</w:t>
      </w:r>
      <w:r w:rsidR="00EF6E83">
        <w:t>é</w:t>
      </w:r>
      <w:r>
        <w:t xml:space="preserve"> debajo de la superficie de la tierra, detrás de las paredes, montañas y recintos, o en otra esfera </w:t>
      </w:r>
      <w:r w:rsidR="00EF6E83">
        <w:t>estelar</w:t>
      </w:r>
      <w:r>
        <w:t>: [429] y s</w:t>
      </w:r>
      <w:r w:rsidR="00E94541">
        <w:t>erá</w:t>
      </w:r>
      <w:r>
        <w:t>n como si se ve</w:t>
      </w:r>
      <w:r w:rsidR="00E94541">
        <w:t>a</w:t>
      </w:r>
      <w:r>
        <w:t xml:space="preserve"> con el ojo </w:t>
      </w:r>
      <w:r w:rsidR="0087679B">
        <w:t>físico</w:t>
      </w:r>
      <w:r>
        <w:t>, entonces debe</w:t>
      </w:r>
      <w:r w:rsidR="0087679B">
        <w:t>rá</w:t>
      </w:r>
      <w:r>
        <w:t xml:space="preserve"> entenderse que ha</w:t>
      </w:r>
      <w:r w:rsidR="0087679B">
        <w:t>brá</w:t>
      </w:r>
      <w:r>
        <w:t xml:space="preserve"> surgido el ojo divino. Y solo e</w:t>
      </w:r>
      <w:r w:rsidR="0087679B">
        <w:t>ll</w:t>
      </w:r>
      <w:r>
        <w:t xml:space="preserve">o </w:t>
      </w:r>
      <w:r w:rsidR="0087679B">
        <w:t xml:space="preserve">será </w:t>
      </w:r>
      <w:r>
        <w:t>capaz de ver los objetos visibles aquí, no las con</w:t>
      </w:r>
      <w:r w:rsidR="0087679B">
        <w:t>s</w:t>
      </w:r>
      <w:r>
        <w:t>ciencias del trabajo</w:t>
      </w:r>
      <w:r w:rsidR="003B22D3">
        <w:t xml:space="preserve"> preliminar</w:t>
      </w:r>
      <w:r>
        <w:t>.</w:t>
      </w:r>
    </w:p>
    <w:p w14:paraId="7A4B0F56" w14:textId="1A2466DE" w:rsidR="00BA526B" w:rsidRDefault="00BA526B" w:rsidP="00BA526B">
      <w:r>
        <w:t xml:space="preserve">100. </w:t>
      </w:r>
      <w:r>
        <w:tab/>
      </w:r>
      <w:r w:rsidR="003B22D3">
        <w:t>No obstante, é</w:t>
      </w:r>
      <w:r>
        <w:t xml:space="preserve">ste </w:t>
      </w:r>
      <w:r w:rsidR="003B22D3">
        <w:t xml:space="preserve">será </w:t>
      </w:r>
      <w:r>
        <w:t>un obstáculo para un hombre común. ¿Por qué? Porque donde sea que determine: "Que haya luz", se convert</w:t>
      </w:r>
      <w:r w:rsidR="003B22D3">
        <w:t>irá</w:t>
      </w:r>
      <w:r>
        <w:t xml:space="preserve"> en </w:t>
      </w:r>
      <w:r w:rsidR="000E28F0">
        <w:t>total</w:t>
      </w:r>
      <w:r>
        <w:t xml:space="preserve"> luz, incluso después de penetrar a través de la tierra, el mar y las montañas. Entonces</w:t>
      </w:r>
      <w:r w:rsidR="00DD3826">
        <w:t>,</w:t>
      </w:r>
      <w:r>
        <w:t xml:space="preserve"> el miedo surg</w:t>
      </w:r>
      <w:r w:rsidR="006D3DFF">
        <w:t>irá</w:t>
      </w:r>
      <w:r>
        <w:t xml:space="preserve"> en él cuando ve</w:t>
      </w:r>
      <w:r w:rsidR="006D3DFF">
        <w:t>a</w:t>
      </w:r>
      <w:r>
        <w:t xml:space="preserve"> las formas </w:t>
      </w:r>
      <w:r w:rsidR="006D3DFF">
        <w:t xml:space="preserve">temibles </w:t>
      </w:r>
      <w:r>
        <w:t xml:space="preserve">de </w:t>
      </w:r>
      <w:r w:rsidR="006D3DFF">
        <w:t xml:space="preserve">los </w:t>
      </w:r>
      <w:r>
        <w:t>espíritus, ogros, etc., que est</w:t>
      </w:r>
      <w:r w:rsidR="006D3DFF">
        <w:t>é</w:t>
      </w:r>
      <w:r>
        <w:t xml:space="preserve">n allí, debido a lo </w:t>
      </w:r>
      <w:r w:rsidR="006D3DFF">
        <w:t xml:space="preserve">cual </w:t>
      </w:r>
      <w:r>
        <w:t>su mente se distrae</w:t>
      </w:r>
      <w:r w:rsidR="006D3DFF">
        <w:t>rá</w:t>
      </w:r>
      <w:r>
        <w:t xml:space="preserve"> y perde</w:t>
      </w:r>
      <w:r w:rsidR="006D3DFF">
        <w:t>rá</w:t>
      </w:r>
      <w:r>
        <w:t xml:space="preserve"> su</w:t>
      </w:r>
      <w:r w:rsidR="006D3DFF">
        <w:t>s</w:t>
      </w:r>
      <w:r>
        <w:t xml:space="preserve"> </w:t>
      </w:r>
      <w:proofErr w:type="spellStart"/>
      <w:r w:rsidR="00057BF4" w:rsidRPr="00057BF4">
        <w:rPr>
          <w:i/>
        </w:rPr>
        <w:t>jhāna</w:t>
      </w:r>
      <w:r w:rsidR="006D3DFF">
        <w:rPr>
          <w:iCs/>
        </w:rPr>
        <w:t>s</w:t>
      </w:r>
      <w:proofErr w:type="spellEnd"/>
      <w:r>
        <w:t>. Por lo tanto, debe</w:t>
      </w:r>
      <w:r w:rsidR="006D3DFF">
        <w:t>rá</w:t>
      </w:r>
      <w:r>
        <w:t xml:space="preserve"> tener cuidado al ver lo que </w:t>
      </w:r>
      <w:r w:rsidR="006D3DFF">
        <w:t>sea</w:t>
      </w:r>
      <w:r>
        <w:t xml:space="preserve"> visible (ver M III 158).</w:t>
      </w:r>
    </w:p>
    <w:p w14:paraId="2C9860F0" w14:textId="7DA69762" w:rsidR="00BA526B" w:rsidRDefault="00BA526B" w:rsidP="00BA526B">
      <w:r>
        <w:t xml:space="preserve">101. </w:t>
      </w:r>
      <w:r>
        <w:tab/>
        <w:t>Aquí está el orden de surgi</w:t>
      </w:r>
      <w:r w:rsidR="006D3DFF">
        <w:t>miento</w:t>
      </w:r>
      <w:r>
        <w:t xml:space="preserve"> del ojo divino: cuando la advertencia de </w:t>
      </w:r>
      <w:r w:rsidR="001276ED">
        <w:t xml:space="preserve">las </w:t>
      </w:r>
      <w:r>
        <w:t>puertas mentales, que ha</w:t>
      </w:r>
      <w:r w:rsidR="006D3DFF">
        <w:t>ya</w:t>
      </w:r>
      <w:r>
        <w:t xml:space="preserve"> hecho su objeto el </w:t>
      </w:r>
      <w:r w:rsidR="006D3DFF">
        <w:t xml:space="preserve">objeto </w:t>
      </w:r>
      <w:r>
        <w:t>visible del tipo ya descrito, ha</w:t>
      </w:r>
      <w:r w:rsidR="006D3DFF">
        <w:t>ya</w:t>
      </w:r>
      <w:r>
        <w:t xml:space="preserve"> surgido y cesado, entonces, haciendo que el mismo </w:t>
      </w:r>
      <w:r w:rsidR="006D3DFF">
        <w:t xml:space="preserve">objeto </w:t>
      </w:r>
      <w:r>
        <w:t>visible sea el objeto, todo debería entende</w:t>
      </w:r>
      <w:r w:rsidR="00F5708A">
        <w:t>rse</w:t>
      </w:r>
      <w:r>
        <w:t xml:space="preserve"> de la manera que ya se describ</w:t>
      </w:r>
      <w:r w:rsidR="00F5708A">
        <w:t>ió</w:t>
      </w:r>
      <w:r>
        <w:t xml:space="preserve"> al comienzo, "Cuatro o cinco impulsiones impulsa</w:t>
      </w:r>
      <w:r w:rsidR="00F5708A">
        <w:t>rá</w:t>
      </w:r>
      <w:r>
        <w:t xml:space="preserve">n ..." (§5) Aquí también las tres o cuatro </w:t>
      </w:r>
      <w:r w:rsidR="00305E12">
        <w:t>consciencia</w:t>
      </w:r>
      <w:r>
        <w:t xml:space="preserve">s previas </w:t>
      </w:r>
      <w:r w:rsidR="00F5708A">
        <w:t xml:space="preserve">serán </w:t>
      </w:r>
      <w:r>
        <w:t xml:space="preserve">de la esfera de </w:t>
      </w:r>
      <w:r w:rsidR="00F5708A">
        <w:t xml:space="preserve">los </w:t>
      </w:r>
      <w:r>
        <w:t>sentido</w:t>
      </w:r>
      <w:r w:rsidR="00F5708A">
        <w:t>s</w:t>
      </w:r>
      <w:r>
        <w:t xml:space="preserve"> y </w:t>
      </w:r>
      <w:r w:rsidR="001276ED">
        <w:t xml:space="preserve">se dará la </w:t>
      </w:r>
      <w:r>
        <w:t>aplica</w:t>
      </w:r>
      <w:r w:rsidR="00B44666">
        <w:t>ción</w:t>
      </w:r>
      <w:r>
        <w:t xml:space="preserve"> </w:t>
      </w:r>
      <w:r w:rsidR="006E5677">
        <w:t xml:space="preserve">mental </w:t>
      </w:r>
      <w:r>
        <w:t xml:space="preserve">y </w:t>
      </w:r>
      <w:r w:rsidR="00B44666">
        <w:t>sustentación mental</w:t>
      </w:r>
      <w:r>
        <w:t>. La última de estas con</w:t>
      </w:r>
      <w:r w:rsidR="00B44666">
        <w:t>s</w:t>
      </w:r>
      <w:r>
        <w:t>ciencias, que logr</w:t>
      </w:r>
      <w:r w:rsidR="00B44666">
        <w:t>e</w:t>
      </w:r>
      <w:r>
        <w:t xml:space="preserve"> el objetivo, </w:t>
      </w:r>
      <w:r w:rsidR="00B44666">
        <w:t xml:space="preserve">será </w:t>
      </w:r>
      <w:r>
        <w:t xml:space="preserve">de la esfera de </w:t>
      </w:r>
      <w:r w:rsidR="006E5677">
        <w:t xml:space="preserve">la </w:t>
      </w:r>
      <w:r>
        <w:t xml:space="preserve">materia </w:t>
      </w:r>
      <w:r w:rsidR="00B44666">
        <w:t xml:space="preserve">sutil </w:t>
      </w:r>
      <w:r>
        <w:t>que pertenece</w:t>
      </w:r>
      <w:r w:rsidR="00B44666">
        <w:t>rá</w:t>
      </w:r>
      <w:r>
        <w:t xml:space="preserve"> al cuarto </w:t>
      </w:r>
      <w:proofErr w:type="spellStart"/>
      <w:r w:rsidR="00057BF4" w:rsidRPr="00057BF4">
        <w:rPr>
          <w:i/>
        </w:rPr>
        <w:t>jhāna</w:t>
      </w:r>
      <w:proofErr w:type="spellEnd"/>
      <w:r>
        <w:t xml:space="preserve">. </w:t>
      </w:r>
      <w:r w:rsidR="000534DB">
        <w:t>Al c</w:t>
      </w:r>
      <w:r>
        <w:t xml:space="preserve">onocimiento </w:t>
      </w:r>
      <w:r w:rsidR="000534DB">
        <w:t xml:space="preserve">coetáneo a ello </w:t>
      </w:r>
      <w:r>
        <w:t xml:space="preserve">se </w:t>
      </w:r>
      <w:r w:rsidR="000534DB">
        <w:t xml:space="preserve">le </w:t>
      </w:r>
      <w:r>
        <w:t>llama</w:t>
      </w:r>
      <w:r w:rsidR="000534DB">
        <w:t>rá</w:t>
      </w:r>
      <w:r>
        <w:t xml:space="preserve"> "Conocimiento del fallecimiento y la reaparición de los seres" y "Conocimiento del ojo divino".</w:t>
      </w:r>
    </w:p>
    <w:p w14:paraId="6CCB930E" w14:textId="5E7ABD01" w:rsidR="00BA526B" w:rsidRDefault="001F1799" w:rsidP="001F1799">
      <w:pPr>
        <w:pStyle w:val="NormalConSangria"/>
      </w:pPr>
      <w:r>
        <w:t>Aquí</w:t>
      </w:r>
      <w:r w:rsidR="00BA526B">
        <w:t xml:space="preserve"> termina la explicación del conocimiento del fallecimiento y la reaparición</w:t>
      </w:r>
      <w:r>
        <w:t xml:space="preserve"> de los seres</w:t>
      </w:r>
      <w:r w:rsidR="00BA526B">
        <w:t>.</w:t>
      </w:r>
    </w:p>
    <w:p w14:paraId="58D55EF2" w14:textId="0D8ACD99" w:rsidR="00BA526B" w:rsidRDefault="00BA526B" w:rsidP="00BA526B">
      <w:pPr>
        <w:pStyle w:val="Ttulo3"/>
        <w:ind w:left="708"/>
      </w:pPr>
      <w:r>
        <w:t>[General]</w:t>
      </w:r>
    </w:p>
    <w:p w14:paraId="0CA84242" w14:textId="2EEB2745" w:rsidR="00BA526B" w:rsidRPr="003778D1" w:rsidRDefault="00BA526B" w:rsidP="001F1799">
      <w:pPr>
        <w:pStyle w:val="VersoIngls01Sangria"/>
        <w:tabs>
          <w:tab w:val="clear" w:pos="425"/>
          <w:tab w:val="left" w:pos="1414"/>
        </w:tabs>
        <w:ind w:left="0"/>
        <w:rPr>
          <w:sz w:val="16"/>
          <w:szCs w:val="20"/>
        </w:rPr>
      </w:pPr>
      <w:r>
        <w:t xml:space="preserve">102. </w:t>
      </w:r>
      <w:r w:rsidR="001F1799">
        <w:tab/>
      </w:r>
      <w:r w:rsidRPr="003778D1">
        <w:rPr>
          <w:sz w:val="16"/>
          <w:szCs w:val="20"/>
        </w:rPr>
        <w:t xml:space="preserve">El </w:t>
      </w:r>
      <w:r w:rsidR="003D2991" w:rsidRPr="003778D1">
        <w:rPr>
          <w:sz w:val="16"/>
          <w:szCs w:val="20"/>
        </w:rPr>
        <w:t>Servidor</w:t>
      </w:r>
      <w:r w:rsidRPr="003778D1">
        <w:rPr>
          <w:sz w:val="16"/>
          <w:szCs w:val="20"/>
        </w:rPr>
        <w:t xml:space="preserve">, </w:t>
      </w:r>
      <w:r w:rsidR="003778D1">
        <w:rPr>
          <w:sz w:val="16"/>
          <w:szCs w:val="20"/>
        </w:rPr>
        <w:t xml:space="preserve">el </w:t>
      </w:r>
      <w:r w:rsidRPr="003778D1">
        <w:rPr>
          <w:sz w:val="16"/>
          <w:szCs w:val="20"/>
        </w:rPr>
        <w:t xml:space="preserve">conocedor de </w:t>
      </w:r>
      <w:r w:rsidR="003D2991" w:rsidRPr="003778D1">
        <w:rPr>
          <w:sz w:val="16"/>
          <w:szCs w:val="20"/>
        </w:rPr>
        <w:t xml:space="preserve">los </w:t>
      </w:r>
      <w:r w:rsidRPr="003778D1">
        <w:rPr>
          <w:sz w:val="16"/>
          <w:szCs w:val="20"/>
        </w:rPr>
        <w:t>cinco agregados,</w:t>
      </w:r>
    </w:p>
    <w:p w14:paraId="2E029760" w14:textId="7BF42985" w:rsidR="00BA526B" w:rsidRPr="003778D1" w:rsidRDefault="003778D1" w:rsidP="00BA526B">
      <w:pPr>
        <w:pStyle w:val="VersoIngls01Sangria"/>
        <w:rPr>
          <w:sz w:val="16"/>
          <w:szCs w:val="20"/>
        </w:rPr>
      </w:pPr>
      <w:r>
        <w:rPr>
          <w:sz w:val="16"/>
          <w:szCs w:val="20"/>
        </w:rPr>
        <w:t xml:space="preserve">Dispuso de </w:t>
      </w:r>
      <w:r w:rsidR="00BA526B" w:rsidRPr="003778D1">
        <w:rPr>
          <w:sz w:val="16"/>
          <w:szCs w:val="20"/>
        </w:rPr>
        <w:t xml:space="preserve">estos cinco conocimientos directos para </w:t>
      </w:r>
      <w:r w:rsidR="00AF74B0">
        <w:rPr>
          <w:sz w:val="16"/>
          <w:szCs w:val="20"/>
        </w:rPr>
        <w:t>transmitirlos</w:t>
      </w:r>
      <w:r w:rsidR="00BA526B" w:rsidRPr="003778D1">
        <w:rPr>
          <w:sz w:val="16"/>
          <w:szCs w:val="20"/>
        </w:rPr>
        <w:t>;</w:t>
      </w:r>
    </w:p>
    <w:p w14:paraId="3475F699" w14:textId="739A2F16" w:rsidR="00BA526B" w:rsidRPr="003778D1" w:rsidRDefault="00BA526B" w:rsidP="00BA526B">
      <w:pPr>
        <w:pStyle w:val="VersoIngls01Sangria"/>
        <w:rPr>
          <w:sz w:val="16"/>
          <w:szCs w:val="20"/>
        </w:rPr>
      </w:pPr>
      <w:r w:rsidRPr="003778D1">
        <w:rPr>
          <w:sz w:val="16"/>
          <w:szCs w:val="20"/>
        </w:rPr>
        <w:t xml:space="preserve">Cuando </w:t>
      </w:r>
      <w:r w:rsidR="003D2991" w:rsidRPr="003778D1">
        <w:rPr>
          <w:sz w:val="16"/>
          <w:szCs w:val="20"/>
        </w:rPr>
        <w:t xml:space="preserve">estos </w:t>
      </w:r>
      <w:r w:rsidRPr="003778D1">
        <w:rPr>
          <w:sz w:val="16"/>
          <w:szCs w:val="20"/>
        </w:rPr>
        <w:t>s</w:t>
      </w:r>
      <w:r w:rsidR="001E56CE">
        <w:rPr>
          <w:sz w:val="16"/>
          <w:szCs w:val="20"/>
        </w:rPr>
        <w:t>ea</w:t>
      </w:r>
      <w:r w:rsidRPr="003778D1">
        <w:rPr>
          <w:sz w:val="16"/>
          <w:szCs w:val="20"/>
        </w:rPr>
        <w:t xml:space="preserve">n </w:t>
      </w:r>
      <w:r w:rsidR="003778D1">
        <w:rPr>
          <w:sz w:val="16"/>
          <w:szCs w:val="20"/>
        </w:rPr>
        <w:t>re</w:t>
      </w:r>
      <w:r w:rsidRPr="003778D1">
        <w:rPr>
          <w:sz w:val="16"/>
          <w:szCs w:val="20"/>
        </w:rPr>
        <w:t xml:space="preserve">conocidos, </w:t>
      </w:r>
      <w:r w:rsidR="00856396" w:rsidRPr="003778D1">
        <w:rPr>
          <w:sz w:val="16"/>
          <w:szCs w:val="20"/>
        </w:rPr>
        <w:t>les serán concernientes</w:t>
      </w:r>
    </w:p>
    <w:p w14:paraId="2C821251" w14:textId="398E7DB2" w:rsidR="00BA526B" w:rsidRPr="003778D1" w:rsidRDefault="001E56CE" w:rsidP="00BA526B">
      <w:pPr>
        <w:pStyle w:val="VersoIngls01Sangria"/>
        <w:spacing w:after="100"/>
        <w:ind w:left="1418"/>
        <w:rPr>
          <w:sz w:val="16"/>
          <w:szCs w:val="20"/>
        </w:rPr>
      </w:pPr>
      <w:r w:rsidRPr="003778D1">
        <w:rPr>
          <w:sz w:val="16"/>
          <w:szCs w:val="20"/>
        </w:rPr>
        <w:t xml:space="preserve">También </w:t>
      </w:r>
      <w:r>
        <w:rPr>
          <w:sz w:val="16"/>
          <w:szCs w:val="20"/>
        </w:rPr>
        <w:t>e</w:t>
      </w:r>
      <w:r w:rsidR="00BA526B" w:rsidRPr="003778D1">
        <w:rPr>
          <w:sz w:val="16"/>
          <w:szCs w:val="20"/>
        </w:rPr>
        <w:t xml:space="preserve">stos asuntos generales </w:t>
      </w:r>
      <w:r w:rsidR="00A50371" w:rsidRPr="003778D1">
        <w:rPr>
          <w:sz w:val="16"/>
          <w:szCs w:val="20"/>
        </w:rPr>
        <w:t>a ser</w:t>
      </w:r>
      <w:r w:rsidR="00BA526B" w:rsidRPr="003778D1">
        <w:rPr>
          <w:sz w:val="16"/>
          <w:szCs w:val="20"/>
        </w:rPr>
        <w:t xml:space="preserve"> </w:t>
      </w:r>
      <w:r>
        <w:rPr>
          <w:sz w:val="16"/>
          <w:szCs w:val="20"/>
        </w:rPr>
        <w:t>re</w:t>
      </w:r>
      <w:r w:rsidR="00BA526B" w:rsidRPr="003778D1">
        <w:rPr>
          <w:sz w:val="16"/>
          <w:szCs w:val="20"/>
        </w:rPr>
        <w:t>conoc</w:t>
      </w:r>
      <w:r w:rsidR="00A50371" w:rsidRPr="003778D1">
        <w:rPr>
          <w:sz w:val="16"/>
          <w:szCs w:val="20"/>
        </w:rPr>
        <w:t>idos</w:t>
      </w:r>
      <w:r w:rsidR="00BA526B" w:rsidRPr="003778D1">
        <w:rPr>
          <w:sz w:val="16"/>
          <w:szCs w:val="20"/>
        </w:rPr>
        <w:t>.</w:t>
      </w:r>
    </w:p>
    <w:p w14:paraId="150572E3" w14:textId="0D766F7A" w:rsidR="00BA526B" w:rsidRDefault="00BA526B" w:rsidP="00BA526B">
      <w:r>
        <w:t xml:space="preserve">103. </w:t>
      </w:r>
      <w:r>
        <w:tab/>
        <w:t>Entre estos, el ojo divino, llamado conocimiento de</w:t>
      </w:r>
      <w:r w:rsidR="00D23510">
        <w:t>l</w:t>
      </w:r>
      <w:r>
        <w:t xml:space="preserve"> fallecimiento y </w:t>
      </w:r>
      <w:r w:rsidR="00D23510">
        <w:t xml:space="preserve">la </w:t>
      </w:r>
      <w:r>
        <w:t>reaparición</w:t>
      </w:r>
      <w:r w:rsidR="00AF74B0">
        <w:t xml:space="preserve"> de los seres</w:t>
      </w:r>
      <w:r>
        <w:t xml:space="preserve">, </w:t>
      </w:r>
      <w:r w:rsidR="00D23510">
        <w:t xml:space="preserve">tendrá </w:t>
      </w:r>
      <w:r>
        <w:t xml:space="preserve">dos tipos </w:t>
      </w:r>
      <w:r w:rsidR="00911371">
        <w:t xml:space="preserve">accesorios </w:t>
      </w:r>
      <w:r>
        <w:t xml:space="preserve">de conocimiento, es decir, </w:t>
      </w:r>
      <w:r w:rsidR="00D23510">
        <w:t xml:space="preserve">el </w:t>
      </w:r>
      <w:r>
        <w:t xml:space="preserve">"conocimiento del futuro" y </w:t>
      </w:r>
      <w:r w:rsidR="00D23510">
        <w:t xml:space="preserve">el </w:t>
      </w:r>
      <w:r>
        <w:t>"conocimiento de</w:t>
      </w:r>
      <w:r w:rsidR="00D23510">
        <w:t xml:space="preserve">l destino </w:t>
      </w:r>
      <w:r>
        <w:t>según l</w:t>
      </w:r>
      <w:r w:rsidR="00D23510">
        <w:t>a</w:t>
      </w:r>
      <w:r>
        <w:t xml:space="preserve">s </w:t>
      </w:r>
      <w:r w:rsidR="00D23510">
        <w:t>acciones</w:t>
      </w:r>
      <w:r>
        <w:t xml:space="preserve">". Entonces, estos dos junto con los cinco </w:t>
      </w:r>
      <w:r w:rsidR="00176BEF">
        <w:t xml:space="preserve">que </w:t>
      </w:r>
      <w:r>
        <w:t xml:space="preserve">comienzan con los tipos de poder supernormal </w:t>
      </w:r>
      <w:r w:rsidR="00DE3D97">
        <w:t>sumarán</w:t>
      </w:r>
      <w:r>
        <w:t xml:space="preserve"> siete tipos de conocimiento directo </w:t>
      </w:r>
      <w:r w:rsidR="00DE3D97">
        <w:t xml:space="preserve">los cuales </w:t>
      </w:r>
      <w:r>
        <w:t>se d</w:t>
      </w:r>
      <w:r w:rsidR="00DE3D97">
        <w:t>a</w:t>
      </w:r>
      <w:r>
        <w:t xml:space="preserve">n </w:t>
      </w:r>
      <w:r w:rsidR="00DE3D97">
        <w:t>a continuación</w:t>
      </w:r>
      <w:r>
        <w:t>.</w:t>
      </w:r>
    </w:p>
    <w:p w14:paraId="0D15308E" w14:textId="7A98F96F" w:rsidR="00BA526B" w:rsidRDefault="00BA526B" w:rsidP="00BA526B">
      <w:r>
        <w:t xml:space="preserve">104. </w:t>
      </w:r>
      <w:r>
        <w:tab/>
        <w:t>Ahora</w:t>
      </w:r>
      <w:r w:rsidR="00176BEF">
        <w:t xml:space="preserve"> bien</w:t>
      </w:r>
      <w:r>
        <w:t>, para evitar confusiones sobre la clasificación de sus objetos:</w:t>
      </w:r>
    </w:p>
    <w:p w14:paraId="00F47302" w14:textId="2F9B6D88" w:rsidR="00BA526B" w:rsidRPr="003778D1" w:rsidRDefault="00BA526B" w:rsidP="00BA526B">
      <w:pPr>
        <w:pStyle w:val="VersoIngls01Sangria"/>
        <w:rPr>
          <w:sz w:val="16"/>
          <w:szCs w:val="20"/>
        </w:rPr>
      </w:pPr>
      <w:r w:rsidRPr="003778D1">
        <w:rPr>
          <w:sz w:val="16"/>
          <w:szCs w:val="20"/>
        </w:rPr>
        <w:t xml:space="preserve">El </w:t>
      </w:r>
      <w:r w:rsidR="001F0A85" w:rsidRPr="003778D1">
        <w:rPr>
          <w:sz w:val="16"/>
          <w:szCs w:val="20"/>
        </w:rPr>
        <w:t xml:space="preserve">Sabio </w:t>
      </w:r>
      <w:r w:rsidRPr="003778D1">
        <w:rPr>
          <w:sz w:val="16"/>
          <w:szCs w:val="20"/>
        </w:rPr>
        <w:t xml:space="preserve">ha </w:t>
      </w:r>
      <w:r w:rsidR="001F0A85" w:rsidRPr="003778D1">
        <w:rPr>
          <w:sz w:val="16"/>
          <w:szCs w:val="20"/>
        </w:rPr>
        <w:t>mencionado las tríadas de los</w:t>
      </w:r>
      <w:r w:rsidRPr="003778D1">
        <w:rPr>
          <w:sz w:val="16"/>
          <w:szCs w:val="20"/>
        </w:rPr>
        <w:t xml:space="preserve"> cuatro de objetos</w:t>
      </w:r>
    </w:p>
    <w:p w14:paraId="3CECC8C7" w14:textId="2D01A8D6" w:rsidR="00BA526B" w:rsidRPr="003778D1" w:rsidRDefault="00BA526B" w:rsidP="00BA526B">
      <w:pPr>
        <w:pStyle w:val="VersoIngls01Sangria"/>
        <w:rPr>
          <w:sz w:val="16"/>
          <w:szCs w:val="20"/>
        </w:rPr>
      </w:pPr>
      <w:r w:rsidRPr="003778D1">
        <w:rPr>
          <w:sz w:val="16"/>
          <w:szCs w:val="20"/>
        </w:rPr>
        <w:t xml:space="preserve">Mediante </w:t>
      </w:r>
      <w:r w:rsidR="001F0A85" w:rsidRPr="003778D1">
        <w:rPr>
          <w:sz w:val="16"/>
          <w:szCs w:val="20"/>
        </w:rPr>
        <w:t>las</w:t>
      </w:r>
      <w:r w:rsidRPr="003778D1">
        <w:rPr>
          <w:sz w:val="16"/>
          <w:szCs w:val="20"/>
        </w:rPr>
        <w:t xml:space="preserve"> cual</w:t>
      </w:r>
      <w:r w:rsidR="001F0A85" w:rsidRPr="003778D1">
        <w:rPr>
          <w:sz w:val="16"/>
          <w:szCs w:val="20"/>
        </w:rPr>
        <w:t>es</w:t>
      </w:r>
      <w:r w:rsidRPr="003778D1">
        <w:rPr>
          <w:sz w:val="16"/>
          <w:szCs w:val="20"/>
        </w:rPr>
        <w:t xml:space="preserve"> uno </w:t>
      </w:r>
      <w:r w:rsidR="001F0A85" w:rsidRPr="003778D1">
        <w:rPr>
          <w:sz w:val="16"/>
          <w:szCs w:val="20"/>
        </w:rPr>
        <w:t xml:space="preserve">podrá </w:t>
      </w:r>
      <w:r w:rsidRPr="003778D1">
        <w:rPr>
          <w:sz w:val="16"/>
          <w:szCs w:val="20"/>
        </w:rPr>
        <w:t>inferir</w:t>
      </w:r>
    </w:p>
    <w:p w14:paraId="62DF44D9" w14:textId="77777777" w:rsidR="00BA526B" w:rsidRPr="003778D1" w:rsidRDefault="00BA526B" w:rsidP="00BA526B">
      <w:pPr>
        <w:pStyle w:val="VersoIngls01Sangria"/>
        <w:rPr>
          <w:sz w:val="16"/>
          <w:szCs w:val="20"/>
        </w:rPr>
      </w:pPr>
      <w:r w:rsidRPr="003778D1">
        <w:rPr>
          <w:sz w:val="16"/>
          <w:szCs w:val="20"/>
        </w:rPr>
        <w:t>Como estos siete tipos diferentes</w:t>
      </w:r>
    </w:p>
    <w:p w14:paraId="1DDD2B3F" w14:textId="4DB94718" w:rsidR="00BA526B" w:rsidRPr="003778D1" w:rsidRDefault="00BA526B" w:rsidP="00BA526B">
      <w:pPr>
        <w:pStyle w:val="VersoIngls01Sangria"/>
        <w:rPr>
          <w:sz w:val="16"/>
          <w:szCs w:val="20"/>
        </w:rPr>
      </w:pPr>
      <w:r w:rsidRPr="003778D1">
        <w:rPr>
          <w:sz w:val="16"/>
          <w:szCs w:val="20"/>
        </w:rPr>
        <w:t>De conocimientos directos ocurr</w:t>
      </w:r>
      <w:r w:rsidR="00A62D69" w:rsidRPr="003778D1">
        <w:rPr>
          <w:sz w:val="16"/>
          <w:szCs w:val="20"/>
        </w:rPr>
        <w:t>irá</w:t>
      </w:r>
      <w:r w:rsidRPr="003778D1">
        <w:rPr>
          <w:sz w:val="16"/>
          <w:szCs w:val="20"/>
        </w:rPr>
        <w:t>n.</w:t>
      </w:r>
    </w:p>
    <w:p w14:paraId="6AE3D9F9" w14:textId="3EBFA708" w:rsidR="009B6EA5" w:rsidRDefault="009B6EA5">
      <w:pPr>
        <w:tabs>
          <w:tab w:val="clear" w:pos="425"/>
        </w:tabs>
        <w:spacing w:after="160"/>
      </w:pPr>
      <w:r>
        <w:br w:type="page"/>
      </w:r>
    </w:p>
    <w:p w14:paraId="3D20A758" w14:textId="77777777" w:rsidR="00885B57" w:rsidRDefault="00885B57" w:rsidP="009B6EA5"/>
    <w:p w14:paraId="12B06C47" w14:textId="500EB391" w:rsidR="00885B57" w:rsidRDefault="00885B57" w:rsidP="00885B57">
      <w:r>
        <w:t xml:space="preserve">105. </w:t>
      </w:r>
      <w:r>
        <w:tab/>
      </w:r>
      <w:r w:rsidR="006F0F77">
        <w:t>A continuación</w:t>
      </w:r>
      <w:r>
        <w:t xml:space="preserve"> la explicación. Cuatro tríadas de objetos han sido </w:t>
      </w:r>
      <w:r w:rsidR="00232EB7">
        <w:t>mencionadas</w:t>
      </w:r>
      <w:r>
        <w:t xml:space="preserve"> por el mejor de los sabios. ¿</w:t>
      </w:r>
      <w:r w:rsidR="00232EB7">
        <w:t xml:space="preserve">Cuáles </w:t>
      </w:r>
      <w:r>
        <w:t>cuatro? La tríada de</w:t>
      </w:r>
      <w:r w:rsidR="00232EB7">
        <w:t>l</w:t>
      </w:r>
      <w:r>
        <w:t xml:space="preserve"> objeto limitado, la tríada de</w:t>
      </w:r>
      <w:r w:rsidR="00232EB7">
        <w:t>l</w:t>
      </w:r>
      <w:r>
        <w:t xml:space="preserve"> objeto de</w:t>
      </w:r>
      <w:r w:rsidR="00DC659B">
        <w:t>l</w:t>
      </w:r>
      <w:r>
        <w:t xml:space="preserve"> </w:t>
      </w:r>
      <w:r w:rsidR="00DC659B">
        <w:t>sendero</w:t>
      </w:r>
      <w:r>
        <w:t>, la tríada del objeto pasado y la tríada de objeto interno.</w:t>
      </w:r>
      <w:r w:rsidRPr="00207128">
        <w:rPr>
          <w:vertAlign w:val="superscript"/>
        </w:rPr>
        <w:t>20</w:t>
      </w:r>
    </w:p>
    <w:p w14:paraId="1536AC26" w14:textId="3F5F37F3" w:rsidR="00885B57" w:rsidRDefault="00885B57" w:rsidP="00885B57">
      <w:r>
        <w:t xml:space="preserve">106. </w:t>
      </w:r>
      <w:r>
        <w:tab/>
        <w:t xml:space="preserve">(1) </w:t>
      </w:r>
      <w:r w:rsidR="00DE399C">
        <w:t>Aquí</w:t>
      </w:r>
      <w:r>
        <w:t xml:space="preserve">, el </w:t>
      </w:r>
      <w:r w:rsidRPr="003863F4">
        <w:rPr>
          <w:i/>
          <w:iCs/>
        </w:rPr>
        <w:t>conocimiento del poder supernormal</w:t>
      </w:r>
      <w:r>
        <w:t xml:space="preserve"> [430] ocurr</w:t>
      </w:r>
      <w:r w:rsidR="00DE399C">
        <w:t>irá</w:t>
      </w:r>
      <w:r>
        <w:t xml:space="preserve"> con respecto a siete tipos de objetos, es decir, </w:t>
      </w:r>
      <w:r w:rsidR="002A3517">
        <w:t>a</w:t>
      </w:r>
      <w:r>
        <w:t xml:space="preserve"> un objeto limitado</w:t>
      </w:r>
      <w:r w:rsidR="002C3FF0">
        <w:t>,</w:t>
      </w:r>
      <w:r>
        <w:t xml:space="preserve"> </w:t>
      </w:r>
      <w:r w:rsidR="002A3517">
        <w:t xml:space="preserve">a </w:t>
      </w:r>
      <w:r w:rsidR="002C3FF0">
        <w:t>otro</w:t>
      </w:r>
      <w:r>
        <w:t xml:space="preserve"> </w:t>
      </w:r>
      <w:r w:rsidR="00DE399C">
        <w:t>excelso</w:t>
      </w:r>
      <w:r>
        <w:t xml:space="preserve">, </w:t>
      </w:r>
      <w:r w:rsidR="002A3517">
        <w:t xml:space="preserve">a </w:t>
      </w:r>
      <w:r w:rsidR="009A76EE">
        <w:t xml:space="preserve">otro </w:t>
      </w:r>
      <w:r>
        <w:t xml:space="preserve">pasado, </w:t>
      </w:r>
      <w:r w:rsidR="002A3517">
        <w:t xml:space="preserve">a </w:t>
      </w:r>
      <w:r w:rsidR="009A76EE">
        <w:t xml:space="preserve">otro </w:t>
      </w:r>
      <w:r>
        <w:t xml:space="preserve">futuro </w:t>
      </w:r>
      <w:r w:rsidR="009A76EE">
        <w:t xml:space="preserve">y </w:t>
      </w:r>
      <w:r w:rsidR="002A3517">
        <w:t xml:space="preserve">a </w:t>
      </w:r>
      <w:r w:rsidR="009A76EE">
        <w:t>otro</w:t>
      </w:r>
      <w:r>
        <w:t xml:space="preserve"> presente, </w:t>
      </w:r>
      <w:r w:rsidR="009A76EE">
        <w:t xml:space="preserve">además </w:t>
      </w:r>
      <w:r w:rsidR="002A3517">
        <w:t>con respecto a</w:t>
      </w:r>
      <w:r w:rsidR="009A76EE">
        <w:t xml:space="preserve"> </w:t>
      </w:r>
      <w:r>
        <w:t xml:space="preserve">un objeto interno </w:t>
      </w:r>
      <w:r w:rsidR="002A3517">
        <w:t>o</w:t>
      </w:r>
      <w:r w:rsidR="009A76EE">
        <w:t xml:space="preserve"> </w:t>
      </w:r>
      <w:r>
        <w:t>externo. ¿Cómo?</w:t>
      </w:r>
    </w:p>
    <w:p w14:paraId="6D76E4CD" w14:textId="209FA61C" w:rsidR="00885B57" w:rsidRDefault="00885B57" w:rsidP="00885B57">
      <w:pPr>
        <w:pStyle w:val="NormalConSangria"/>
      </w:pPr>
      <w:r>
        <w:t>Cuando quier</w:t>
      </w:r>
      <w:r w:rsidR="009A76EE">
        <w:t>a</w:t>
      </w:r>
      <w:r>
        <w:t xml:space="preserve"> </w:t>
      </w:r>
      <w:r w:rsidR="009A76EE">
        <w:t>desplazarse</w:t>
      </w:r>
      <w:r>
        <w:t xml:space="preserve"> con un cuerpo invisible después de hacer que el cuerpo dependa de la mente, y conviert</w:t>
      </w:r>
      <w:r w:rsidR="009A76EE">
        <w:t>a</w:t>
      </w:r>
      <w:r>
        <w:t xml:space="preserve"> el cuerpo para que concuerd</w:t>
      </w:r>
      <w:r w:rsidR="009A76EE">
        <w:t>e</w:t>
      </w:r>
      <w:r>
        <w:t xml:space="preserve"> con la mente (xii.119), y lo </w:t>
      </w:r>
      <w:r w:rsidR="002D5F46">
        <w:t>dis</w:t>
      </w:r>
      <w:r>
        <w:t>pon</w:t>
      </w:r>
      <w:r w:rsidR="009A76EE">
        <w:t>ga</w:t>
      </w:r>
      <w:r>
        <w:t>, lo mont</w:t>
      </w:r>
      <w:r w:rsidR="009A76EE">
        <w:t>e</w:t>
      </w:r>
      <w:r>
        <w:t xml:space="preserve">, </w:t>
      </w:r>
      <w:r w:rsidR="002D5F46">
        <w:t>sobre</w:t>
      </w:r>
      <w:r>
        <w:t xml:space="preserve"> la con</w:t>
      </w:r>
      <w:r w:rsidR="003F50D4">
        <w:t>s</w:t>
      </w:r>
      <w:r>
        <w:t>ciencia ex</w:t>
      </w:r>
      <w:r w:rsidR="003F50D4">
        <w:t xml:space="preserve">celsa </w:t>
      </w:r>
      <w:r>
        <w:t>y luego la tom</w:t>
      </w:r>
      <w:r w:rsidR="003F50D4">
        <w:t>e</w:t>
      </w:r>
      <w:r>
        <w:t xml:space="preserve"> </w:t>
      </w:r>
      <w:r w:rsidR="003701E7">
        <w:t>de tal forma que</w:t>
      </w:r>
      <w:r>
        <w:t xml:space="preserve"> </w:t>
      </w:r>
      <w:r w:rsidR="003F4AF5">
        <w:t xml:space="preserve">la </w:t>
      </w:r>
      <w:r>
        <w:t>palabra en el caso acusa</w:t>
      </w:r>
      <w:r w:rsidR="009F4786">
        <w:t>tivo</w:t>
      </w:r>
      <w:r>
        <w:t xml:space="preserve"> </w:t>
      </w:r>
      <w:r w:rsidR="003701E7">
        <w:t xml:space="preserve">sea </w:t>
      </w:r>
      <w:r>
        <w:t>el objeto apropiado,</w:t>
      </w:r>
      <w:r w:rsidRPr="00207128">
        <w:rPr>
          <w:vertAlign w:val="superscript"/>
        </w:rPr>
        <w:t>21</w:t>
      </w:r>
      <w:r>
        <w:t xml:space="preserve"> </w:t>
      </w:r>
      <w:r w:rsidRPr="003863F4">
        <w:rPr>
          <w:i/>
          <w:iCs/>
        </w:rPr>
        <w:t>ten</w:t>
      </w:r>
      <w:r w:rsidR="003F50D4">
        <w:rPr>
          <w:i/>
          <w:iCs/>
        </w:rPr>
        <w:t>drá</w:t>
      </w:r>
      <w:r w:rsidRPr="003863F4">
        <w:rPr>
          <w:i/>
          <w:iCs/>
        </w:rPr>
        <w:t xml:space="preserve"> un objeto limitado</w:t>
      </w:r>
      <w:r>
        <w:t xml:space="preserve"> porque su objeto </w:t>
      </w:r>
      <w:r w:rsidR="006C5AD2">
        <w:t xml:space="preserve">será </w:t>
      </w:r>
      <w:r w:rsidR="003F4AF5">
        <w:t>un</w:t>
      </w:r>
      <w:r>
        <w:t xml:space="preserve"> cuerpo material. Cuando quier</w:t>
      </w:r>
      <w:r w:rsidR="006C5AD2">
        <w:t>a</w:t>
      </w:r>
      <w:r>
        <w:t xml:space="preserve"> </w:t>
      </w:r>
      <w:r w:rsidR="006C5AD2">
        <w:t xml:space="preserve">desplazarse </w:t>
      </w:r>
      <w:r>
        <w:t>con un cuerpo visible después de hacer que la mente dependa del cuerpo y conviert</w:t>
      </w:r>
      <w:r w:rsidR="006C5AD2">
        <w:t>a</w:t>
      </w:r>
      <w:r>
        <w:t xml:space="preserve"> la mente para </w:t>
      </w:r>
      <w:r w:rsidR="00333A02">
        <w:t xml:space="preserve">que </w:t>
      </w:r>
      <w:r>
        <w:t>conc</w:t>
      </w:r>
      <w:r w:rsidR="00333A02">
        <w:t>ue</w:t>
      </w:r>
      <w:r>
        <w:t>rd</w:t>
      </w:r>
      <w:r w:rsidR="00333A02">
        <w:t>e</w:t>
      </w:r>
      <w:r>
        <w:t xml:space="preserve"> </w:t>
      </w:r>
      <w:r w:rsidR="00333A02">
        <w:t xml:space="preserve">con </w:t>
      </w:r>
      <w:r>
        <w:t>el cuerpo y lo estable</w:t>
      </w:r>
      <w:r w:rsidR="00333A02">
        <w:t>zca</w:t>
      </w:r>
      <w:r>
        <w:t>, lo mont</w:t>
      </w:r>
      <w:r w:rsidR="00333A02">
        <w:t>e</w:t>
      </w:r>
      <w:r>
        <w:t xml:space="preserve">, </w:t>
      </w:r>
      <w:r w:rsidR="009E5A99">
        <w:t>sobre</w:t>
      </w:r>
      <w:r>
        <w:t xml:space="preserve"> el cuerpo material, luego </w:t>
      </w:r>
      <w:r w:rsidR="009E5A99">
        <w:t xml:space="preserve">lo </w:t>
      </w:r>
      <w:r>
        <w:t>tom</w:t>
      </w:r>
      <w:r w:rsidR="00333A02">
        <w:t>e</w:t>
      </w:r>
      <w:r>
        <w:t xml:space="preserve"> </w:t>
      </w:r>
      <w:r w:rsidR="0035376D">
        <w:t>de tal forma que la</w:t>
      </w:r>
      <w:r>
        <w:t xml:space="preserve"> palabra acusativa </w:t>
      </w:r>
      <w:r w:rsidR="001E0F00">
        <w:t>s</w:t>
      </w:r>
      <w:r w:rsidR="0035376D">
        <w:t>ea</w:t>
      </w:r>
      <w:r w:rsidR="001E0F00">
        <w:t xml:space="preserve"> e</w:t>
      </w:r>
      <w:r>
        <w:t xml:space="preserve">l caso </w:t>
      </w:r>
      <w:r w:rsidR="001E0F00">
        <w:t>d</w:t>
      </w:r>
      <w:r>
        <w:t xml:space="preserve">el objeto apropiado, </w:t>
      </w:r>
      <w:r w:rsidRPr="00B8292B">
        <w:rPr>
          <w:i/>
          <w:iCs/>
        </w:rPr>
        <w:t>ten</w:t>
      </w:r>
      <w:r w:rsidR="001E0F00">
        <w:rPr>
          <w:i/>
          <w:iCs/>
        </w:rPr>
        <w:t>drá</w:t>
      </w:r>
      <w:r w:rsidRPr="00B8292B">
        <w:rPr>
          <w:i/>
          <w:iCs/>
        </w:rPr>
        <w:t xml:space="preserve"> un objeto ex</w:t>
      </w:r>
      <w:r w:rsidR="001E0F00">
        <w:rPr>
          <w:i/>
          <w:iCs/>
        </w:rPr>
        <w:t xml:space="preserve">celso </w:t>
      </w:r>
      <w:r w:rsidR="005C3577">
        <w:t xml:space="preserve">ya </w:t>
      </w:r>
      <w:r>
        <w:t xml:space="preserve">que su objeto </w:t>
      </w:r>
      <w:r w:rsidR="001E0F00">
        <w:t xml:space="preserve">será </w:t>
      </w:r>
      <w:r w:rsidR="005C3577">
        <w:t>un</w:t>
      </w:r>
      <w:r>
        <w:t>a con</w:t>
      </w:r>
      <w:r w:rsidR="00043F94">
        <w:t>s</w:t>
      </w:r>
      <w:r>
        <w:t>ciencia ex</w:t>
      </w:r>
      <w:r w:rsidR="00A256D3">
        <w:t>celsa</w:t>
      </w:r>
      <w:r>
        <w:t>.</w:t>
      </w:r>
    </w:p>
    <w:p w14:paraId="053472C1" w14:textId="32C1396B" w:rsidR="00885B57" w:rsidRDefault="00885B57" w:rsidP="00885B57">
      <w:r>
        <w:t xml:space="preserve">107. </w:t>
      </w:r>
      <w:r>
        <w:tab/>
        <w:t>Pero esa misma con</w:t>
      </w:r>
      <w:r w:rsidR="00726ABA">
        <w:t>s</w:t>
      </w:r>
      <w:r>
        <w:t>ciencia toma</w:t>
      </w:r>
      <w:r w:rsidR="00726ABA">
        <w:t>rá</w:t>
      </w:r>
      <w:r>
        <w:t xml:space="preserve"> </w:t>
      </w:r>
      <w:r w:rsidR="00726ABA">
        <w:t xml:space="preserve">como su objeto </w:t>
      </w:r>
      <w:r>
        <w:t>lo que ha</w:t>
      </w:r>
      <w:r w:rsidR="00726ABA">
        <w:t>ya</w:t>
      </w:r>
      <w:r>
        <w:t xml:space="preserve"> pasado, ha</w:t>
      </w:r>
      <w:r w:rsidR="00726ABA">
        <w:t>ya</w:t>
      </w:r>
      <w:r>
        <w:t xml:space="preserve"> cesado, por lo tanto, </w:t>
      </w:r>
      <w:r w:rsidRPr="00B8292B">
        <w:rPr>
          <w:i/>
          <w:iCs/>
        </w:rPr>
        <w:t>ten</w:t>
      </w:r>
      <w:r w:rsidR="00726ABA">
        <w:rPr>
          <w:i/>
          <w:iCs/>
        </w:rPr>
        <w:t>drá</w:t>
      </w:r>
      <w:r w:rsidRPr="00B8292B">
        <w:rPr>
          <w:i/>
          <w:iCs/>
        </w:rPr>
        <w:t xml:space="preserve"> un objeto pasado</w:t>
      </w:r>
      <w:r>
        <w:t>. En aquellos que resuelv</w:t>
      </w:r>
      <w:r w:rsidR="00BA24AC">
        <w:t>a</w:t>
      </w:r>
      <w:r>
        <w:t xml:space="preserve">n sobre el futuro, como en el caso del </w:t>
      </w:r>
      <w:r w:rsidR="00BA24AC">
        <w:t xml:space="preserve">Venerable </w:t>
      </w:r>
      <w:r>
        <w:t xml:space="preserve">Mahā Kassapa </w:t>
      </w:r>
      <w:r w:rsidR="00744802">
        <w:t xml:space="preserve">durante </w:t>
      </w:r>
      <w:r>
        <w:t>el gran almacenamiento de las reliquias y otr</w:t>
      </w:r>
      <w:r w:rsidR="00281914">
        <w:t>o</w:t>
      </w:r>
      <w:r>
        <w:t>s, ten</w:t>
      </w:r>
      <w:r w:rsidR="00BA24AC">
        <w:t>drá</w:t>
      </w:r>
      <w:r>
        <w:t xml:space="preserve"> un objeto futuro. Cuando el </w:t>
      </w:r>
      <w:r w:rsidR="00BA24AC">
        <w:t xml:space="preserve">Venerable </w:t>
      </w:r>
      <w:r>
        <w:t xml:space="preserve">Mahā Kassapa estaba haciendo la gran tienda de reliquias, al parecer, resolvió </w:t>
      </w:r>
      <w:r w:rsidR="00281914">
        <w:t>lo siguiente</w:t>
      </w:r>
      <w:r>
        <w:t xml:space="preserve">, "durante los siguientes </w:t>
      </w:r>
      <w:r w:rsidR="00744802">
        <w:t>218</w:t>
      </w:r>
      <w:r>
        <w:t xml:space="preserve"> años en el futuro, </w:t>
      </w:r>
      <w:r w:rsidR="006C35FE">
        <w:t xml:space="preserve">que </w:t>
      </w:r>
      <w:r>
        <w:t xml:space="preserve">no se </w:t>
      </w:r>
      <w:r w:rsidR="006C35FE">
        <w:t xml:space="preserve">extingan </w:t>
      </w:r>
      <w:r>
        <w:t xml:space="preserve">estos perfumes o </w:t>
      </w:r>
      <w:r w:rsidR="006C35FE">
        <w:t>se marchit</w:t>
      </w:r>
      <w:r w:rsidR="00550209">
        <w:t>e</w:t>
      </w:r>
      <w:r w:rsidR="006C35FE">
        <w:t xml:space="preserve">n </w:t>
      </w:r>
      <w:r>
        <w:t xml:space="preserve">estas flores o </w:t>
      </w:r>
      <w:r w:rsidR="006C35FE">
        <w:t xml:space="preserve">se apaguen </w:t>
      </w:r>
      <w:r>
        <w:t xml:space="preserve">estas lámparas", y </w:t>
      </w:r>
      <w:r w:rsidR="006C35FE">
        <w:t>t</w:t>
      </w:r>
      <w:r>
        <w:t xml:space="preserve">odo </w:t>
      </w:r>
      <w:r w:rsidR="006C35FE">
        <w:t xml:space="preserve">esto </w:t>
      </w:r>
      <w:r>
        <w:t>sucedió</w:t>
      </w:r>
      <w:r w:rsidR="00744802" w:rsidRPr="00744802">
        <w:t xml:space="preserve"> </w:t>
      </w:r>
      <w:r w:rsidR="00744802">
        <w:t>exactamente así</w:t>
      </w:r>
      <w:r>
        <w:t xml:space="preserve">. Cuando el </w:t>
      </w:r>
      <w:r w:rsidR="00B8292B">
        <w:t>Venerable</w:t>
      </w:r>
      <w:r>
        <w:t xml:space="preserve"> </w:t>
      </w:r>
      <w:proofErr w:type="spellStart"/>
      <w:r>
        <w:t>Assagutta</w:t>
      </w:r>
      <w:proofErr w:type="spellEnd"/>
      <w:r>
        <w:t xml:space="preserve"> vio a la comunidad de </w:t>
      </w:r>
      <w:proofErr w:type="spellStart"/>
      <w:r w:rsidR="00B8292B" w:rsidRPr="00057BF4">
        <w:rPr>
          <w:i/>
        </w:rPr>
        <w:t>bhikkhu</w:t>
      </w:r>
      <w:r w:rsidR="00B8292B">
        <w:t>s</w:t>
      </w:r>
      <w:proofErr w:type="spellEnd"/>
      <w:r w:rsidR="00B8292B">
        <w:t xml:space="preserve"> </w:t>
      </w:r>
      <w:r>
        <w:t xml:space="preserve">comiendo comida seca en el alojamiento de </w:t>
      </w:r>
      <w:proofErr w:type="spellStart"/>
      <w:r w:rsidRPr="00B8292B">
        <w:rPr>
          <w:i/>
          <w:iCs/>
        </w:rPr>
        <w:t>Vattaniya</w:t>
      </w:r>
      <w:proofErr w:type="spellEnd"/>
      <w:r>
        <w:t>, resolvió así: "</w:t>
      </w:r>
      <w:r w:rsidR="006C35FE">
        <w:t xml:space="preserve">Que </w:t>
      </w:r>
      <w:r>
        <w:t xml:space="preserve">la </w:t>
      </w:r>
      <w:r w:rsidR="006275C4">
        <w:t>fuente</w:t>
      </w:r>
      <w:r w:rsidR="0049145A">
        <w:t xml:space="preserve"> </w:t>
      </w:r>
      <w:r>
        <w:t xml:space="preserve">de agua se </w:t>
      </w:r>
      <w:r w:rsidR="0049145A">
        <w:t xml:space="preserve">convierta en </w:t>
      </w:r>
      <w:r>
        <w:t xml:space="preserve">crema de </w:t>
      </w:r>
      <w:r w:rsidR="0049145A">
        <w:t xml:space="preserve">requesón </w:t>
      </w:r>
      <w:r>
        <w:t>todos los días antes de la comida"</w:t>
      </w:r>
      <w:r w:rsidR="0087140F">
        <w:t>;</w:t>
      </w:r>
      <w:r>
        <w:t xml:space="preserve"> cuando se tom</w:t>
      </w:r>
      <w:r w:rsidR="00197568">
        <w:t>aba</w:t>
      </w:r>
      <w:r>
        <w:t xml:space="preserve"> </w:t>
      </w:r>
      <w:r w:rsidR="006275C4">
        <w:t xml:space="preserve">el </w:t>
      </w:r>
      <w:r>
        <w:t xml:space="preserve">agua antes de la comida, </w:t>
      </w:r>
      <w:r w:rsidR="0087140F">
        <w:t xml:space="preserve">ésta </w:t>
      </w:r>
      <w:r>
        <w:t xml:space="preserve">era </w:t>
      </w:r>
      <w:r w:rsidR="006275C4">
        <w:t xml:space="preserve">una </w:t>
      </w:r>
      <w:r>
        <w:t xml:space="preserve">crema de </w:t>
      </w:r>
      <w:r w:rsidR="006275C4">
        <w:t>requesón</w:t>
      </w:r>
      <w:r>
        <w:t xml:space="preserve">; </w:t>
      </w:r>
      <w:r w:rsidR="00197568">
        <w:t xml:space="preserve">no obstante, </w:t>
      </w:r>
      <w:r>
        <w:t xml:space="preserve">después de la comida solo </w:t>
      </w:r>
      <w:r w:rsidR="00197568">
        <w:t xml:space="preserve">se podía </w:t>
      </w:r>
      <w:r w:rsidR="00046580">
        <w:t xml:space="preserve">obtener </w:t>
      </w:r>
      <w:r>
        <w:t>agua normal.</w:t>
      </w:r>
      <w:r w:rsidRPr="00207128">
        <w:rPr>
          <w:vertAlign w:val="superscript"/>
        </w:rPr>
        <w:t>22</w:t>
      </w:r>
    </w:p>
    <w:p w14:paraId="48230757" w14:textId="5ED819E6" w:rsidR="00885B57" w:rsidRPr="00885B57" w:rsidRDefault="00885B57" w:rsidP="00885B57">
      <w:pPr>
        <w:pStyle w:val="PiedepginaLegal"/>
        <w:rPr>
          <w:u w:val="single"/>
        </w:rPr>
      </w:pPr>
      <w:r w:rsidRPr="00885B57">
        <w:rPr>
          <w:u w:val="single"/>
        </w:rPr>
        <w:t xml:space="preserve">                                                                                                                                                    .</w:t>
      </w:r>
    </w:p>
    <w:p w14:paraId="02DD7B69" w14:textId="0B3072EB" w:rsidR="00885B57" w:rsidRDefault="00885B57" w:rsidP="00885B57">
      <w:pPr>
        <w:pStyle w:val="PiedepginaLegal"/>
      </w:pPr>
      <w:r>
        <w:t xml:space="preserve">20. </w:t>
      </w:r>
      <w:r>
        <w:tab/>
        <w:t xml:space="preserve">Ver </w:t>
      </w:r>
      <w:r w:rsidR="0057263E">
        <w:t xml:space="preserve">el </w:t>
      </w:r>
      <w:proofErr w:type="spellStart"/>
      <w:r w:rsidRPr="00B8292B">
        <w:rPr>
          <w:i/>
          <w:iCs/>
        </w:rPr>
        <w:t>Abhi</w:t>
      </w:r>
      <w:r w:rsidR="00057BF4" w:rsidRPr="00B8292B">
        <w:rPr>
          <w:i/>
          <w:iCs/>
        </w:rPr>
        <w:t>dhamma</w:t>
      </w:r>
      <w:proofErr w:type="spellEnd"/>
      <w:r>
        <w:t xml:space="preserve"> </w:t>
      </w:r>
      <w:proofErr w:type="spellStart"/>
      <w:r w:rsidRPr="00B8292B">
        <w:rPr>
          <w:i/>
          <w:iCs/>
        </w:rPr>
        <w:t>Mātikā</w:t>
      </w:r>
      <w:proofErr w:type="spellEnd"/>
      <w:r>
        <w:t xml:space="preserve"> ("</w:t>
      </w:r>
      <w:r w:rsidR="008B0F7D">
        <w:t>apéndice</w:t>
      </w:r>
      <w:r>
        <w:t xml:space="preserve">"), </w:t>
      </w:r>
      <w:proofErr w:type="spellStart"/>
      <w:r w:rsidR="007A17C4">
        <w:t>Dhs</w:t>
      </w:r>
      <w:proofErr w:type="spellEnd"/>
      <w:r w:rsidR="007A17C4">
        <w:t xml:space="preserve"> </w:t>
      </w:r>
      <w:r w:rsidR="000C400F">
        <w:t>1f</w:t>
      </w:r>
      <w:r>
        <w:t xml:space="preserve">. </w:t>
      </w:r>
      <w:r w:rsidR="00AD78DB">
        <w:t>É</w:t>
      </w:r>
      <w:r>
        <w:t>st</w:t>
      </w:r>
      <w:r w:rsidR="00AD78DB">
        <w:t>e</w:t>
      </w:r>
      <w:r>
        <w:t xml:space="preserve"> consta de 22 conjuntos de clasificaciones triples (</w:t>
      </w:r>
      <w:proofErr w:type="spellStart"/>
      <w:r w:rsidR="00DC659B" w:rsidRPr="00DC659B">
        <w:rPr>
          <w:i/>
          <w:iCs/>
        </w:rPr>
        <w:t>tika</w:t>
      </w:r>
      <w:proofErr w:type="spellEnd"/>
      <w:r>
        <w:t>) y 100 conjuntos doble</w:t>
      </w:r>
      <w:r w:rsidR="00DC659B">
        <w:t>s</w:t>
      </w:r>
      <w:r>
        <w:t xml:space="preserve"> (</w:t>
      </w:r>
      <w:proofErr w:type="spellStart"/>
      <w:r w:rsidRPr="00DC659B">
        <w:rPr>
          <w:i/>
          <w:iCs/>
        </w:rPr>
        <w:t>duka</w:t>
      </w:r>
      <w:proofErr w:type="spellEnd"/>
      <w:r>
        <w:t>). La primera tríada "</w:t>
      </w:r>
      <w:r w:rsidR="000C400F">
        <w:t>productiva</w:t>
      </w:r>
      <w:r>
        <w:t xml:space="preserve">, </w:t>
      </w:r>
      <w:r w:rsidR="000C400F">
        <w:t xml:space="preserve">improductiva </w:t>
      </w:r>
      <w:r>
        <w:t xml:space="preserve">y moralmente indeterminada", y la primera díada </w:t>
      </w:r>
      <w:r w:rsidR="00752C2B">
        <w:t xml:space="preserve">será la </w:t>
      </w:r>
      <w:r>
        <w:t>"causa</w:t>
      </w:r>
      <w:r w:rsidR="00CA57E6">
        <w:t>–</w:t>
      </w:r>
      <w:r>
        <w:t xml:space="preserve">raíz, </w:t>
      </w:r>
      <w:r w:rsidR="006A4ABC">
        <w:t xml:space="preserve">la </w:t>
      </w:r>
      <w:r>
        <w:t>no causa</w:t>
      </w:r>
      <w:r w:rsidR="00CA57E6">
        <w:t>–</w:t>
      </w:r>
      <w:r w:rsidR="006A4ABC">
        <w:t>raíz</w:t>
      </w:r>
      <w:r>
        <w:t xml:space="preserve">". El </w:t>
      </w:r>
      <w:proofErr w:type="spellStart"/>
      <w:r w:rsidR="00B8292B" w:rsidRPr="00B8292B">
        <w:rPr>
          <w:i/>
          <w:iCs/>
        </w:rPr>
        <w:t>Mātikā</w:t>
      </w:r>
      <w:proofErr w:type="spellEnd"/>
      <w:r w:rsidR="00B8292B">
        <w:t xml:space="preserve"> </w:t>
      </w:r>
      <w:r w:rsidR="00A3355C">
        <w:t xml:space="preserve">es utilizado </w:t>
      </w:r>
      <w:r>
        <w:t xml:space="preserve">en el </w:t>
      </w:r>
      <w:proofErr w:type="spellStart"/>
      <w:r w:rsidR="00057BF4" w:rsidRPr="00FF37B2">
        <w:rPr>
          <w:i/>
          <w:iCs/>
        </w:rPr>
        <w:t>Dhamma</w:t>
      </w:r>
      <w:r w:rsidRPr="00FF37B2">
        <w:rPr>
          <w:i/>
          <w:iCs/>
        </w:rPr>
        <w:t>saṅgaṇī</w:t>
      </w:r>
      <w:proofErr w:type="spellEnd"/>
      <w:r>
        <w:t xml:space="preserve"> (</w:t>
      </w:r>
      <w:r w:rsidR="00FF37B2">
        <w:t>el</w:t>
      </w:r>
      <w:r>
        <w:t xml:space="preserve"> cual s</w:t>
      </w:r>
      <w:r w:rsidR="00FF37B2">
        <w:t>e</w:t>
      </w:r>
      <w:r>
        <w:t>rv</w:t>
      </w:r>
      <w:r w:rsidR="00FF37B2">
        <w:t>irá</w:t>
      </w:r>
      <w:r>
        <w:t xml:space="preserve"> como </w:t>
      </w:r>
      <w:r w:rsidR="002A220C">
        <w:t xml:space="preserve">una </w:t>
      </w:r>
      <w:r>
        <w:t xml:space="preserve">estructura básica), en el </w:t>
      </w:r>
      <w:proofErr w:type="spellStart"/>
      <w:r w:rsidRPr="00B8292B">
        <w:rPr>
          <w:i/>
          <w:iCs/>
        </w:rPr>
        <w:t>Vibhaṅga</w:t>
      </w:r>
      <w:proofErr w:type="spellEnd"/>
      <w:r>
        <w:t xml:space="preserve"> (en algunas de las "secciones de</w:t>
      </w:r>
      <w:r w:rsidR="006A4ABC">
        <w:t>l</w:t>
      </w:r>
      <w:r>
        <w:t xml:space="preserve"> </w:t>
      </w:r>
      <w:proofErr w:type="spellStart"/>
      <w:r w:rsidRPr="00B8292B">
        <w:rPr>
          <w:i/>
          <w:iCs/>
        </w:rPr>
        <w:t>Abhi</w:t>
      </w:r>
      <w:r w:rsidR="00057BF4" w:rsidRPr="00B8292B">
        <w:rPr>
          <w:i/>
          <w:iCs/>
        </w:rPr>
        <w:t>dhamma</w:t>
      </w:r>
      <w:proofErr w:type="spellEnd"/>
      <w:r>
        <w:t xml:space="preserve">" y en los "cuestionarios") y en el </w:t>
      </w:r>
      <w:proofErr w:type="spellStart"/>
      <w:r w:rsidRPr="00B8292B">
        <w:rPr>
          <w:i/>
          <w:iCs/>
        </w:rPr>
        <w:t>Paṭṭlandhāna</w:t>
      </w:r>
      <w:proofErr w:type="spellEnd"/>
      <w:r>
        <w:t>. Todas l</w:t>
      </w:r>
      <w:r w:rsidR="006052E2">
        <w:t>o</w:t>
      </w:r>
      <w:r>
        <w:t xml:space="preserve">s </w:t>
      </w:r>
      <w:r w:rsidR="00057BF4" w:rsidRPr="00057BF4">
        <w:rPr>
          <w:i/>
        </w:rPr>
        <w:t>dhamma</w:t>
      </w:r>
      <w:r>
        <w:t xml:space="preserve">s son clasificables de acuerdo con estas tríadas y díadas, bajo uno de </w:t>
      </w:r>
      <w:r w:rsidR="006052E2">
        <w:t>estos títulos</w:t>
      </w:r>
      <w:r>
        <w:t xml:space="preserve">, si la tríada o la díada es </w:t>
      </w:r>
      <w:r w:rsidR="006052E2">
        <w:t>totalmente abarcable</w:t>
      </w:r>
      <w:r>
        <w:t xml:space="preserve">, o se </w:t>
      </w:r>
      <w:r w:rsidR="006052E2">
        <w:t xml:space="preserve">le </w:t>
      </w:r>
      <w:r w:rsidRPr="00FF37B2">
        <w:t>denominan</w:t>
      </w:r>
      <w:r>
        <w:t xml:space="preserve"> "no tan clasificables" (</w:t>
      </w:r>
      <w:proofErr w:type="spellStart"/>
      <w:r w:rsidRPr="00B8292B">
        <w:rPr>
          <w:i/>
          <w:iCs/>
        </w:rPr>
        <w:t>na-vattabba</w:t>
      </w:r>
      <w:proofErr w:type="spellEnd"/>
      <w:r>
        <w:t xml:space="preserve">), </w:t>
      </w:r>
      <w:r w:rsidR="00134026">
        <w:t xml:space="preserve">o </w:t>
      </w:r>
      <w:r>
        <w:t xml:space="preserve">si la tríada o la diada no. Las cuatro tríadas mencionadas aquí son: </w:t>
      </w:r>
      <w:r w:rsidR="005138FD">
        <w:t>N</w:t>
      </w:r>
      <w:r>
        <w:t>o. 13, "</w:t>
      </w:r>
      <w:r w:rsidR="002D63EB" w:rsidRPr="00057BF4">
        <w:rPr>
          <w:i/>
        </w:rPr>
        <w:t>dhamma</w:t>
      </w:r>
      <w:r w:rsidR="002D63EB">
        <w:t xml:space="preserve">s </w:t>
      </w:r>
      <w:r>
        <w:t>con un objeto limitado, con un objeto ex</w:t>
      </w:r>
      <w:r w:rsidR="005138FD">
        <w:t>cels</w:t>
      </w:r>
      <w:r>
        <w:t xml:space="preserve">o, con un objeto </w:t>
      </w:r>
      <w:r w:rsidR="005138FD">
        <w:t>inmensurable</w:t>
      </w:r>
      <w:r>
        <w:t xml:space="preserve">"; </w:t>
      </w:r>
      <w:r w:rsidR="005138FD">
        <w:t>N</w:t>
      </w:r>
      <w:r>
        <w:t>o. 16, "</w:t>
      </w:r>
      <w:r w:rsidR="002D63EB" w:rsidRPr="00057BF4">
        <w:rPr>
          <w:i/>
        </w:rPr>
        <w:t>dhamma</w:t>
      </w:r>
      <w:r w:rsidR="002D63EB">
        <w:t xml:space="preserve">s </w:t>
      </w:r>
      <w:r>
        <w:t xml:space="preserve">con </w:t>
      </w:r>
      <w:r w:rsidR="003F0D32">
        <w:t xml:space="preserve">el </w:t>
      </w:r>
      <w:r w:rsidR="002D63EB">
        <w:t>sendero</w:t>
      </w:r>
      <w:r>
        <w:t xml:space="preserve"> como </w:t>
      </w:r>
      <w:r w:rsidR="003F0D32">
        <w:t xml:space="preserve">su </w:t>
      </w:r>
      <w:r>
        <w:t xml:space="preserve">objeto, con </w:t>
      </w:r>
      <w:r w:rsidR="002D63EB">
        <w:t>el sendero</w:t>
      </w:r>
      <w:r>
        <w:t xml:space="preserve"> como </w:t>
      </w:r>
      <w:r w:rsidR="00EE16AF">
        <w:t>causa–raíz</w:t>
      </w:r>
      <w:r>
        <w:t xml:space="preserve">, con </w:t>
      </w:r>
      <w:r w:rsidR="002D63EB">
        <w:t xml:space="preserve">el sendero </w:t>
      </w:r>
      <w:r>
        <w:t xml:space="preserve">como predominio"; </w:t>
      </w:r>
      <w:r w:rsidR="002D63EB">
        <w:t>N</w:t>
      </w:r>
      <w:r>
        <w:t>o. 19, "</w:t>
      </w:r>
      <w:r w:rsidR="002D63EB" w:rsidRPr="00057BF4">
        <w:rPr>
          <w:i/>
        </w:rPr>
        <w:t>dhamma</w:t>
      </w:r>
      <w:r w:rsidR="002D63EB">
        <w:t xml:space="preserve">s </w:t>
      </w:r>
      <w:r>
        <w:t xml:space="preserve">con un objeto pasado, con un objeto futuro, con un objeto presente"; y </w:t>
      </w:r>
      <w:r w:rsidR="002D63EB">
        <w:t>N</w:t>
      </w:r>
      <w:r>
        <w:t>o. 21, "</w:t>
      </w:r>
      <w:r w:rsidR="002D63EB" w:rsidRPr="00057BF4">
        <w:rPr>
          <w:i/>
        </w:rPr>
        <w:t>dhamma</w:t>
      </w:r>
      <w:r w:rsidR="002D63EB">
        <w:t xml:space="preserve">s </w:t>
      </w:r>
      <w:r>
        <w:t>con un objeto interno, con un objeto externo, con un objeto interno-externo".</w:t>
      </w:r>
    </w:p>
    <w:p w14:paraId="05D426B7" w14:textId="2D1C43B7" w:rsidR="00885B57" w:rsidRDefault="00885B57" w:rsidP="00885B57">
      <w:pPr>
        <w:pStyle w:val="PiedepginaLegal"/>
      </w:pPr>
      <w:r>
        <w:t xml:space="preserve">21. </w:t>
      </w:r>
      <w:r>
        <w:tab/>
        <w:t>La "palabra en el caso acusativo" es en primera instancia "cuerpo", gobernada por el verbo "convertir" (</w:t>
      </w:r>
      <w:proofErr w:type="spellStart"/>
      <w:r w:rsidRPr="00B8292B">
        <w:rPr>
          <w:i/>
          <w:iCs/>
        </w:rPr>
        <w:t>kāyaṃ</w:t>
      </w:r>
      <w:proofErr w:type="spellEnd"/>
      <w:r w:rsidRPr="00B8292B">
        <w:rPr>
          <w:i/>
          <w:iCs/>
        </w:rPr>
        <w:t xml:space="preserve"> </w:t>
      </w:r>
      <w:proofErr w:type="spellStart"/>
      <w:r w:rsidRPr="00B8292B">
        <w:rPr>
          <w:i/>
          <w:iCs/>
        </w:rPr>
        <w:t>pariṇāmeti</w:t>
      </w:r>
      <w:proofErr w:type="spellEnd"/>
      <w:r>
        <w:t xml:space="preserve">); Ver </w:t>
      </w:r>
      <w:proofErr w:type="spellStart"/>
      <w:r>
        <w:t>Vism-Mhṭ</w:t>
      </w:r>
      <w:proofErr w:type="spellEnd"/>
      <w:r>
        <w:t>.</w:t>
      </w:r>
    </w:p>
    <w:p w14:paraId="15F7C700" w14:textId="177DE606" w:rsidR="00885B57" w:rsidRDefault="00885B57" w:rsidP="00885B57">
      <w:pPr>
        <w:pStyle w:val="PiedepginaLegal"/>
      </w:pPr>
      <w:r>
        <w:t xml:space="preserve">22. </w:t>
      </w:r>
      <w:r>
        <w:tab/>
      </w:r>
      <w:proofErr w:type="spellStart"/>
      <w:r w:rsidR="0099108E">
        <w:t>Vism</w:t>
      </w:r>
      <w:r>
        <w:t>-</w:t>
      </w:r>
      <w:r w:rsidR="0099108E">
        <w:t>mhṭ</w:t>
      </w:r>
      <w:proofErr w:type="spellEnd"/>
      <w:r w:rsidR="0099108E">
        <w:t xml:space="preserve"> </w:t>
      </w:r>
      <w:r>
        <w:t xml:space="preserve">comenta: “Aunque con las palabras: </w:t>
      </w:r>
      <w:r w:rsidRPr="0099108E">
        <w:rPr>
          <w:i/>
          <w:iCs/>
        </w:rPr>
        <w:t>'Estos perfumes'</w:t>
      </w:r>
      <w:r>
        <w:t xml:space="preserve">, etc., </w:t>
      </w:r>
      <w:r w:rsidR="0099108E">
        <w:t xml:space="preserve">él </w:t>
      </w:r>
      <w:r w:rsidR="003F0D32">
        <w:t>percib</w:t>
      </w:r>
      <w:r w:rsidR="009735FF">
        <w:t>a</w:t>
      </w:r>
      <w:r>
        <w:t xml:space="preserve"> los perfumes </w:t>
      </w:r>
      <w:r w:rsidR="00135283">
        <w:t>presentes</w:t>
      </w:r>
      <w:r>
        <w:t xml:space="preserve">, etc., </w:t>
      </w:r>
      <w:r w:rsidR="00135283">
        <w:t>no obstante</w:t>
      </w:r>
      <w:r>
        <w:t>, el objeto de su con</w:t>
      </w:r>
      <w:r w:rsidR="00135283">
        <w:t>s</w:t>
      </w:r>
      <w:r>
        <w:t>ciencia resolu</w:t>
      </w:r>
      <w:r w:rsidR="005E0CA0">
        <w:t>tiva</w:t>
      </w:r>
      <w:r>
        <w:t xml:space="preserve"> </w:t>
      </w:r>
      <w:r w:rsidR="005E0CA0">
        <w:t>será</w:t>
      </w:r>
      <w:r>
        <w:t xml:space="preserve"> en realidad </w:t>
      </w:r>
      <w:r w:rsidR="005E0CA0">
        <w:t>la</w:t>
      </w:r>
      <w:r>
        <w:t xml:space="preserve"> materialidad futura que se asoci</w:t>
      </w:r>
      <w:r w:rsidR="005E0CA0">
        <w:t>e</w:t>
      </w:r>
      <w:r>
        <w:t xml:space="preserve"> con la distinción de </w:t>
      </w:r>
      <w:r w:rsidR="00135283">
        <w:t>n</w:t>
      </w:r>
      <w:r>
        <w:t xml:space="preserve">o </w:t>
      </w:r>
      <w:r w:rsidR="0000529D">
        <w:t>secarse</w:t>
      </w:r>
      <w:r>
        <w:t xml:space="preserve">. Esto se debe a que la resolución se </w:t>
      </w:r>
      <w:r w:rsidR="00135283">
        <w:t>refer</w:t>
      </w:r>
      <w:r w:rsidR="00064D3B">
        <w:t>irá</w:t>
      </w:r>
      <w:r>
        <w:t xml:space="preserve"> al futuro ... "</w:t>
      </w:r>
      <w:r w:rsidRPr="005C248C">
        <w:rPr>
          <w:i/>
          <w:iCs/>
        </w:rPr>
        <w:t xml:space="preserve">crema de </w:t>
      </w:r>
      <w:r w:rsidR="005C248C" w:rsidRPr="005C248C">
        <w:rPr>
          <w:i/>
          <w:iCs/>
        </w:rPr>
        <w:t>requesón</w:t>
      </w:r>
      <w:r>
        <w:t xml:space="preserve">": al </w:t>
      </w:r>
      <w:r w:rsidR="0000529D">
        <w:t>hacer la determinación</w:t>
      </w:r>
      <w:r>
        <w:t xml:space="preserve">, su objeto </w:t>
      </w:r>
      <w:r w:rsidR="00552B07">
        <w:t xml:space="preserve">será </w:t>
      </w:r>
      <w:r w:rsidR="0000529D">
        <w:t>una</w:t>
      </w:r>
      <w:r>
        <w:t xml:space="preserve"> aparición futura de</w:t>
      </w:r>
      <w:r w:rsidR="0085198F">
        <w:t>l requesón</w:t>
      </w:r>
      <w:r>
        <w:t>".</w:t>
      </w:r>
    </w:p>
    <w:p w14:paraId="30EE6067" w14:textId="5D02E980" w:rsidR="00491D67" w:rsidRDefault="00491D67">
      <w:pPr>
        <w:tabs>
          <w:tab w:val="clear" w:pos="425"/>
        </w:tabs>
        <w:spacing w:after="160"/>
      </w:pPr>
      <w:r>
        <w:br w:type="page"/>
      </w:r>
    </w:p>
    <w:p w14:paraId="53C4B847" w14:textId="77777777" w:rsidR="00491D67" w:rsidRDefault="00491D67" w:rsidP="00491D67"/>
    <w:p w14:paraId="7F7661AD" w14:textId="6BD646BF" w:rsidR="00491D67" w:rsidRDefault="00491D67" w:rsidP="00491D67">
      <w:r>
        <w:t xml:space="preserve">108. </w:t>
      </w:r>
      <w:r w:rsidR="00204AF0">
        <w:tab/>
      </w:r>
      <w:r w:rsidR="00B17FD3">
        <w:t>A</w:t>
      </w:r>
      <w:r>
        <w:t xml:space="preserve">l momento de ir con un cuerpo invisible después de hacer que el cuerpo dependa de la mente, </w:t>
      </w:r>
      <w:r w:rsidR="00B42C8D">
        <w:t xml:space="preserve">ello </w:t>
      </w:r>
      <w:r w:rsidR="0087140F">
        <w:t xml:space="preserve">se </w:t>
      </w:r>
      <w:r w:rsidR="00B17FD3">
        <w:rPr>
          <w:i/>
          <w:iCs/>
        </w:rPr>
        <w:t>dará respecto a</w:t>
      </w:r>
      <w:r w:rsidRPr="00B8292B">
        <w:rPr>
          <w:i/>
          <w:iCs/>
        </w:rPr>
        <w:t xml:space="preserve"> un objeto presente</w:t>
      </w:r>
      <w:r>
        <w:t>.</w:t>
      </w:r>
    </w:p>
    <w:p w14:paraId="7B8E1DFC" w14:textId="2AB475A9" w:rsidR="00491D67" w:rsidRDefault="00B42C8D" w:rsidP="00204AF0">
      <w:pPr>
        <w:pStyle w:val="NormalConSangria"/>
      </w:pPr>
      <w:r>
        <w:t>A</w:t>
      </w:r>
      <w:r w:rsidR="00491D67">
        <w:t xml:space="preserve"> momento de convertir la mente para </w:t>
      </w:r>
      <w:r w:rsidR="00046580">
        <w:t xml:space="preserve">que </w:t>
      </w:r>
      <w:r w:rsidR="00491D67">
        <w:t>conc</w:t>
      </w:r>
      <w:r w:rsidR="00046580">
        <w:t>uer</w:t>
      </w:r>
      <w:r w:rsidR="00491D67">
        <w:t>d</w:t>
      </w:r>
      <w:r w:rsidR="00046580">
        <w:t>e</w:t>
      </w:r>
      <w:r w:rsidR="00491D67">
        <w:t xml:space="preserve"> con el cuerpo, o </w:t>
      </w:r>
      <w:r>
        <w:t xml:space="preserve">para que </w:t>
      </w:r>
      <w:r w:rsidR="00491D67">
        <w:t xml:space="preserve">el cuerpo </w:t>
      </w:r>
      <w:r w:rsidR="0087140F">
        <w:t>concuerde con</w:t>
      </w:r>
      <w:r w:rsidR="00491D67">
        <w:t xml:space="preserve"> la mente, y </w:t>
      </w:r>
      <w:r>
        <w:t>a</w:t>
      </w:r>
      <w:r w:rsidR="00491D67">
        <w:t xml:space="preserve">l momento de crear la propia apariencia </w:t>
      </w:r>
      <w:r w:rsidR="00001568">
        <w:t>como un</w:t>
      </w:r>
      <w:r w:rsidR="002F63DC">
        <w:t xml:space="preserve"> </w:t>
      </w:r>
      <w:r w:rsidR="00491D67">
        <w:t xml:space="preserve">niño, etc., </w:t>
      </w:r>
      <w:r w:rsidR="00CB796B">
        <w:t>ello se dará con respecto a</w:t>
      </w:r>
      <w:r w:rsidR="00491D67" w:rsidRPr="00530A53">
        <w:t xml:space="preserve"> un</w:t>
      </w:r>
      <w:r w:rsidR="00491D67" w:rsidRPr="00B8292B">
        <w:rPr>
          <w:i/>
          <w:iCs/>
        </w:rPr>
        <w:t xml:space="preserve"> objeto interno </w:t>
      </w:r>
      <w:r w:rsidR="0087140F">
        <w:t xml:space="preserve">ya </w:t>
      </w:r>
      <w:r w:rsidR="00491D67">
        <w:t>que ha</w:t>
      </w:r>
      <w:r w:rsidR="002F63DC">
        <w:t>rá</w:t>
      </w:r>
      <w:r w:rsidR="00491D67">
        <w:t xml:space="preserve"> </w:t>
      </w:r>
      <w:r w:rsidR="008A57E4">
        <w:t>d</w:t>
      </w:r>
      <w:r w:rsidR="00491D67">
        <w:t>el cuerpo y l</w:t>
      </w:r>
      <w:r w:rsidR="008A57E4">
        <w:t>a</w:t>
      </w:r>
      <w:r w:rsidR="00491D67">
        <w:t xml:space="preserve"> </w:t>
      </w:r>
      <w:r w:rsidR="008A57E4">
        <w:t>mente</w:t>
      </w:r>
      <w:r w:rsidR="00491D67">
        <w:t xml:space="preserve"> su objeto. Pero en el momento de mostrar </w:t>
      </w:r>
      <w:r w:rsidR="000211A5">
        <w:t xml:space="preserve">externamente </w:t>
      </w:r>
      <w:r w:rsidR="00491D67">
        <w:t xml:space="preserve">elefantes, caballos, etc., </w:t>
      </w:r>
      <w:r w:rsidR="00CB796B">
        <w:t>se dará con respecto a</w:t>
      </w:r>
      <w:r w:rsidR="000211A5">
        <w:t xml:space="preserve"> </w:t>
      </w:r>
      <w:r w:rsidR="00491D67">
        <w:t xml:space="preserve">un </w:t>
      </w:r>
      <w:r w:rsidR="00491D67" w:rsidRPr="00530A53">
        <w:rPr>
          <w:i/>
          <w:iCs/>
        </w:rPr>
        <w:t>objeto externo</w:t>
      </w:r>
      <w:r w:rsidR="00491D67">
        <w:t>.</w:t>
      </w:r>
    </w:p>
    <w:p w14:paraId="16213B5E" w14:textId="29B81864" w:rsidR="00491D67" w:rsidRDefault="00491D67" w:rsidP="00204AF0">
      <w:pPr>
        <w:pStyle w:val="NormalConSangria"/>
      </w:pPr>
      <w:r>
        <w:t>Así es como, en primer lugar, los tipos de poder supernormal debe</w:t>
      </w:r>
      <w:r w:rsidR="000211A5">
        <w:t>rá</w:t>
      </w:r>
      <w:r>
        <w:t xml:space="preserve">n </w:t>
      </w:r>
      <w:r w:rsidR="002A3517">
        <w:t xml:space="preserve">entenderse al ocurrir </w:t>
      </w:r>
      <w:r>
        <w:t>con respecto a los siete tipos de objetos.</w:t>
      </w:r>
    </w:p>
    <w:p w14:paraId="13EF5181" w14:textId="152D16F5" w:rsidR="00491D67" w:rsidRDefault="00491D67" w:rsidP="00491D67">
      <w:r>
        <w:t xml:space="preserve">109. </w:t>
      </w:r>
      <w:r w:rsidR="00204AF0">
        <w:tab/>
      </w:r>
      <w:r>
        <w:t xml:space="preserve">(2) </w:t>
      </w:r>
      <w:r w:rsidRPr="00B8292B">
        <w:rPr>
          <w:i/>
          <w:iCs/>
        </w:rPr>
        <w:t>El conocimiento del elemento del oído divino</w:t>
      </w:r>
      <w:r>
        <w:t xml:space="preserve"> ocurr</w:t>
      </w:r>
      <w:r w:rsidR="00530A53">
        <w:t>irá</w:t>
      </w:r>
      <w:r>
        <w:t xml:space="preserve"> con respecto a cuatro tipos de objeto, es decir, </w:t>
      </w:r>
      <w:r w:rsidR="00F61ACA">
        <w:t>con respecto a</w:t>
      </w:r>
      <w:r>
        <w:t xml:space="preserve"> un objeto limitado</w:t>
      </w:r>
      <w:r w:rsidR="00F61ACA">
        <w:t xml:space="preserve">, </w:t>
      </w:r>
      <w:r w:rsidR="00CB796B">
        <w:t xml:space="preserve">a </w:t>
      </w:r>
      <w:r w:rsidR="00F61ACA">
        <w:t>uno</w:t>
      </w:r>
      <w:r>
        <w:t xml:space="preserve"> presente</w:t>
      </w:r>
      <w:r w:rsidR="00F61ACA">
        <w:t xml:space="preserve">, </w:t>
      </w:r>
      <w:r w:rsidR="00CB796B">
        <w:t xml:space="preserve">a </w:t>
      </w:r>
      <w:r w:rsidR="00F61ACA">
        <w:t>uno</w:t>
      </w:r>
      <w:r>
        <w:t xml:space="preserve"> interno </w:t>
      </w:r>
      <w:r w:rsidR="00F61ACA">
        <w:t>u otro</w:t>
      </w:r>
      <w:r>
        <w:t xml:space="preserve"> externo. ¿Cómo?</w:t>
      </w:r>
    </w:p>
    <w:p w14:paraId="5F1678DC" w14:textId="41CC2E02" w:rsidR="00491D67" w:rsidRDefault="00491D67" w:rsidP="00204AF0">
      <w:pPr>
        <w:pStyle w:val="NormalConSangria"/>
      </w:pPr>
      <w:r>
        <w:t>Dado que ha</w:t>
      </w:r>
      <w:r w:rsidR="00F61ACA">
        <w:t>rá</w:t>
      </w:r>
      <w:r>
        <w:t xml:space="preserve"> que el sonido sea su objeto y dado que el sonido </w:t>
      </w:r>
      <w:r w:rsidR="00F61ACA">
        <w:t xml:space="preserve">será </w:t>
      </w:r>
      <w:r>
        <w:t xml:space="preserve">limitado (ver </w:t>
      </w:r>
      <w:proofErr w:type="spellStart"/>
      <w:r>
        <w:t>Vibh</w:t>
      </w:r>
      <w:proofErr w:type="spellEnd"/>
      <w:r>
        <w:t xml:space="preserve"> 74), por lo tanto, </w:t>
      </w:r>
      <w:r w:rsidR="00541AC1">
        <w:t>ocurrirá con respecto a</w:t>
      </w:r>
      <w:r>
        <w:t xml:space="preserve"> un objeto limitado.</w:t>
      </w:r>
      <w:r w:rsidRPr="00207128">
        <w:rPr>
          <w:vertAlign w:val="superscript"/>
        </w:rPr>
        <w:t>23</w:t>
      </w:r>
      <w:r>
        <w:t xml:space="preserve"> Pero como ocurr</w:t>
      </w:r>
      <w:r w:rsidR="00541AC1">
        <w:t>irá</w:t>
      </w:r>
      <w:r>
        <w:t xml:space="preserve"> solo haciendo que el sonido existente sea su objeto, </w:t>
      </w:r>
      <w:r w:rsidR="00133E5D">
        <w:t xml:space="preserve">será </w:t>
      </w:r>
      <w:r w:rsidR="00133E5D" w:rsidRPr="00133E5D">
        <w:rPr>
          <w:i/>
          <w:iCs/>
        </w:rPr>
        <w:t>respecto a</w:t>
      </w:r>
      <w:r w:rsidRPr="00B8292B">
        <w:rPr>
          <w:i/>
          <w:iCs/>
        </w:rPr>
        <w:t xml:space="preserve"> un objeto presente</w:t>
      </w:r>
      <w:r>
        <w:t xml:space="preserve">. En el momento de la audición, los sonidos en </w:t>
      </w:r>
      <w:r w:rsidR="00FD3044">
        <w:t>e</w:t>
      </w:r>
      <w:r>
        <w:t xml:space="preserve">l </w:t>
      </w:r>
      <w:r w:rsidR="00FD3044">
        <w:t>propio vientre</w:t>
      </w:r>
      <w:r>
        <w:t xml:space="preserve">, </w:t>
      </w:r>
      <w:r w:rsidR="00FD3044">
        <w:t xml:space="preserve">será respecto a </w:t>
      </w:r>
      <w:r>
        <w:t xml:space="preserve">un objeto interno. Al momento de escuchar los sonidos de los demás, </w:t>
      </w:r>
      <w:r w:rsidR="00FD3044" w:rsidRPr="00FD3044">
        <w:t>será</w:t>
      </w:r>
      <w:r w:rsidR="00FD3044">
        <w:rPr>
          <w:i/>
          <w:iCs/>
        </w:rPr>
        <w:t xml:space="preserve"> respecto a</w:t>
      </w:r>
      <w:r w:rsidRPr="00B8292B">
        <w:rPr>
          <w:i/>
          <w:iCs/>
        </w:rPr>
        <w:t xml:space="preserve"> un objeto externo</w:t>
      </w:r>
      <w:r>
        <w:t>. [431] Así es como se debe</w:t>
      </w:r>
      <w:r w:rsidR="00FD3044">
        <w:t>rá</w:t>
      </w:r>
      <w:r>
        <w:t xml:space="preserve"> entender el conocimiento del elemento del oído divino con respecto a los cuatro tipos de objetos.</w:t>
      </w:r>
    </w:p>
    <w:p w14:paraId="7C277632" w14:textId="07B7F83F" w:rsidR="00491D67" w:rsidRDefault="00491D67" w:rsidP="00491D67">
      <w:r>
        <w:t>110.</w:t>
      </w:r>
      <w:r w:rsidR="00204AF0">
        <w:tab/>
      </w:r>
      <w:r>
        <w:t xml:space="preserve">(3) </w:t>
      </w:r>
      <w:r w:rsidRPr="00B8292B">
        <w:rPr>
          <w:i/>
          <w:iCs/>
        </w:rPr>
        <w:t xml:space="preserve">El conocimiento de la penetración de </w:t>
      </w:r>
      <w:r w:rsidR="00462877">
        <w:rPr>
          <w:i/>
          <w:iCs/>
        </w:rPr>
        <w:t>otras</w:t>
      </w:r>
      <w:r w:rsidRPr="00B8292B">
        <w:rPr>
          <w:i/>
          <w:iCs/>
        </w:rPr>
        <w:t xml:space="preserve"> mentes</w:t>
      </w:r>
      <w:r>
        <w:t xml:space="preserve"> ocurr</w:t>
      </w:r>
      <w:r w:rsidR="00FD3044">
        <w:t>irá</w:t>
      </w:r>
      <w:r>
        <w:t xml:space="preserve"> con respecto a ocho tipos de objeto, es decir, </w:t>
      </w:r>
      <w:r w:rsidR="00AC61F4">
        <w:t>con respecto a</w:t>
      </w:r>
      <w:r>
        <w:t xml:space="preserve"> un objeto limitado, </w:t>
      </w:r>
      <w:r w:rsidR="008913B7">
        <w:t>a un objeto</w:t>
      </w:r>
      <w:r w:rsidR="00AC61F4">
        <w:t xml:space="preserve"> excelso </w:t>
      </w:r>
      <w:r>
        <w:t xml:space="preserve">o </w:t>
      </w:r>
      <w:r w:rsidR="00AC61F4">
        <w:t>inmensurable</w:t>
      </w:r>
      <w:r>
        <w:t xml:space="preserve">, </w:t>
      </w:r>
      <w:r w:rsidR="005C53E6">
        <w:t xml:space="preserve">con el sendero como </w:t>
      </w:r>
      <w:r>
        <w:t xml:space="preserve">objeto y </w:t>
      </w:r>
      <w:r w:rsidR="009D425E">
        <w:t xml:space="preserve">a </w:t>
      </w:r>
      <w:r>
        <w:t xml:space="preserve">un objeto pasado, futuro o presente, y </w:t>
      </w:r>
      <w:r w:rsidR="009D425E">
        <w:t xml:space="preserve">a </w:t>
      </w:r>
      <w:r>
        <w:t>un objeto externo. ¿Cómo?</w:t>
      </w:r>
    </w:p>
    <w:p w14:paraId="10EE5A0C" w14:textId="56E69F78" w:rsidR="00491D67" w:rsidRDefault="00491D67" w:rsidP="00204AF0">
      <w:pPr>
        <w:pStyle w:val="NormalConSangria"/>
      </w:pPr>
      <w:r>
        <w:t>En el momento de conocer la con</w:t>
      </w:r>
      <w:r w:rsidR="009D425E">
        <w:t>s</w:t>
      </w:r>
      <w:r>
        <w:t xml:space="preserve">ciencia de la esfera sensorial de los demás, </w:t>
      </w:r>
      <w:r w:rsidR="009D425E" w:rsidRPr="009D425E">
        <w:t>será</w:t>
      </w:r>
      <w:r w:rsidR="009D425E">
        <w:rPr>
          <w:i/>
          <w:iCs/>
        </w:rPr>
        <w:t xml:space="preserve"> respecto a</w:t>
      </w:r>
      <w:r w:rsidRPr="00A176E0">
        <w:rPr>
          <w:i/>
          <w:iCs/>
        </w:rPr>
        <w:t xml:space="preserve"> un objeto limitado</w:t>
      </w:r>
      <w:r>
        <w:t xml:space="preserve">. En el momento de conocer </w:t>
      </w:r>
      <w:r w:rsidR="001F3396">
        <w:t>la</w:t>
      </w:r>
      <w:r>
        <w:t xml:space="preserve"> esfera de </w:t>
      </w:r>
      <w:r w:rsidR="001F3396">
        <w:t xml:space="preserve">la </w:t>
      </w:r>
      <w:r>
        <w:t xml:space="preserve">materia </w:t>
      </w:r>
      <w:r w:rsidR="009D425E">
        <w:t xml:space="preserve">sutil </w:t>
      </w:r>
      <w:r>
        <w:t>o la con</w:t>
      </w:r>
      <w:r w:rsidR="009D425E">
        <w:t>s</w:t>
      </w:r>
      <w:r>
        <w:t xml:space="preserve">ciencia de la esfera inmaterial, </w:t>
      </w:r>
      <w:r w:rsidR="001F3396">
        <w:rPr>
          <w:i/>
          <w:iCs/>
        </w:rPr>
        <w:t xml:space="preserve">será con respecto a </w:t>
      </w:r>
      <w:r w:rsidRPr="00A176E0">
        <w:rPr>
          <w:i/>
          <w:iCs/>
        </w:rPr>
        <w:t>un objeto ex</w:t>
      </w:r>
      <w:r w:rsidR="009D425E">
        <w:rPr>
          <w:i/>
          <w:iCs/>
        </w:rPr>
        <w:t>celso</w:t>
      </w:r>
      <w:r>
        <w:t xml:space="preserve">. En el momento de conocer </w:t>
      </w:r>
      <w:r w:rsidR="009D425E">
        <w:t xml:space="preserve">el sendero </w:t>
      </w:r>
      <w:r>
        <w:t>y la fru</w:t>
      </w:r>
      <w:r w:rsidR="009D425E">
        <w:t>ición</w:t>
      </w:r>
      <w:r>
        <w:t xml:space="preserve">, </w:t>
      </w:r>
      <w:r w:rsidR="009D425E">
        <w:t xml:space="preserve">se dará </w:t>
      </w:r>
      <w:r w:rsidR="009D425E" w:rsidRPr="00581F55">
        <w:rPr>
          <w:i/>
          <w:iCs/>
        </w:rPr>
        <w:t xml:space="preserve">respecto a </w:t>
      </w:r>
      <w:r w:rsidRPr="00581F55">
        <w:rPr>
          <w:i/>
          <w:iCs/>
        </w:rPr>
        <w:t xml:space="preserve">un objeto </w:t>
      </w:r>
      <w:r w:rsidR="009D425E" w:rsidRPr="00581F55">
        <w:rPr>
          <w:i/>
          <w:iCs/>
        </w:rPr>
        <w:t>inmensurable</w:t>
      </w:r>
      <w:r>
        <w:t xml:space="preserve">. Y aquí un hombre ordinario no </w:t>
      </w:r>
      <w:r w:rsidR="009C0073">
        <w:t xml:space="preserve">podrá </w:t>
      </w:r>
      <w:r>
        <w:t>conoce</w:t>
      </w:r>
      <w:r w:rsidR="00BF268E">
        <w:t>r</w:t>
      </w:r>
      <w:r>
        <w:t xml:space="preserve"> la con</w:t>
      </w:r>
      <w:r w:rsidR="00BF268E">
        <w:t>s</w:t>
      </w:r>
      <w:r>
        <w:t xml:space="preserve">ciencia de un </w:t>
      </w:r>
      <w:r w:rsidR="004976AA" w:rsidRPr="00F1111C">
        <w:t>en</w:t>
      </w:r>
      <w:r w:rsidR="004976AA">
        <w:t>trante</w:t>
      </w:r>
      <w:r w:rsidR="004976AA">
        <w:rPr>
          <w:rFonts w:cs="Cormorant"/>
        </w:rPr>
        <w:t>‒</w:t>
      </w:r>
      <w:r w:rsidR="004976AA">
        <w:t>a</w:t>
      </w:r>
      <w:r w:rsidR="004976AA">
        <w:rPr>
          <w:rFonts w:cs="Cormorant"/>
        </w:rPr>
        <w:t>‒</w:t>
      </w:r>
      <w:r w:rsidR="004976AA">
        <w:t>la</w:t>
      </w:r>
      <w:r w:rsidR="004976AA">
        <w:rPr>
          <w:rFonts w:cs="Cormorant"/>
        </w:rPr>
        <w:t>‒</w:t>
      </w:r>
      <w:r w:rsidR="004976AA">
        <w:t>corriente</w:t>
      </w:r>
      <w:r>
        <w:t xml:space="preserve">, ni un entrante </w:t>
      </w:r>
      <w:r w:rsidR="009C0073">
        <w:t>a</w:t>
      </w:r>
      <w:r>
        <w:t xml:space="preserve"> la corriente </w:t>
      </w:r>
      <w:r w:rsidR="009C0073">
        <w:t xml:space="preserve">podrá </w:t>
      </w:r>
      <w:r>
        <w:t>conoce</w:t>
      </w:r>
      <w:r w:rsidR="009C0073">
        <w:t>r</w:t>
      </w:r>
      <w:r>
        <w:t xml:space="preserve"> </w:t>
      </w:r>
      <w:r w:rsidR="009C0073">
        <w:t xml:space="preserve">la de </w:t>
      </w:r>
      <w:r>
        <w:t>un ret</w:t>
      </w:r>
      <w:r w:rsidR="009C0073">
        <w:t>o</w:t>
      </w:r>
      <w:r>
        <w:t>rnante</w:t>
      </w:r>
      <w:r w:rsidR="009C0073">
        <w:t xml:space="preserve"> por única vez</w:t>
      </w:r>
      <w:r>
        <w:t>, y así hasta la con</w:t>
      </w:r>
      <w:r w:rsidR="009C0073">
        <w:t>s</w:t>
      </w:r>
      <w:r>
        <w:t xml:space="preserve">ciencia del </w:t>
      </w:r>
      <w:r w:rsidR="00057BF4" w:rsidRPr="00057BF4">
        <w:rPr>
          <w:i/>
        </w:rPr>
        <w:t>Arahant</w:t>
      </w:r>
      <w:r>
        <w:t xml:space="preserve">. </w:t>
      </w:r>
      <w:r w:rsidR="009C0073">
        <w:t xml:space="preserve">No obstante, </w:t>
      </w:r>
      <w:r>
        <w:t xml:space="preserve">un </w:t>
      </w:r>
      <w:r w:rsidR="00057BF4" w:rsidRPr="00057BF4">
        <w:rPr>
          <w:i/>
        </w:rPr>
        <w:t>arahant</w:t>
      </w:r>
      <w:r>
        <w:t xml:space="preserve"> </w:t>
      </w:r>
      <w:r w:rsidR="009C0073">
        <w:t xml:space="preserve">podrá </w:t>
      </w:r>
      <w:r>
        <w:t>conoce</w:t>
      </w:r>
      <w:r w:rsidR="009C0073">
        <w:t>r</w:t>
      </w:r>
      <w:r>
        <w:t xml:space="preserve"> la con</w:t>
      </w:r>
      <w:r w:rsidR="009C0073">
        <w:t>s</w:t>
      </w:r>
      <w:r>
        <w:t>ciencia de todos los demás. Y cada uno superior conoce</w:t>
      </w:r>
      <w:r w:rsidR="00A7724C">
        <w:t>rá</w:t>
      </w:r>
      <w:r>
        <w:t xml:space="preserve"> las con</w:t>
      </w:r>
      <w:r w:rsidR="00A7724C">
        <w:t>s</w:t>
      </w:r>
      <w:r>
        <w:t xml:space="preserve">ciencias de todos los que </w:t>
      </w:r>
      <w:r w:rsidR="00A7724C">
        <w:t xml:space="preserve">se encuentren por </w:t>
      </w:r>
      <w:r>
        <w:t xml:space="preserve">debajo de él. </w:t>
      </w:r>
      <w:r w:rsidR="00A7724C">
        <w:t>É</w:t>
      </w:r>
      <w:r>
        <w:t xml:space="preserve">sta es </w:t>
      </w:r>
      <w:proofErr w:type="gramStart"/>
      <w:r>
        <w:t>la diferencia a entenderse</w:t>
      </w:r>
      <w:proofErr w:type="gramEnd"/>
      <w:r>
        <w:t xml:space="preserve">. En el momento en que </w:t>
      </w:r>
      <w:r w:rsidR="00A7724C">
        <w:t xml:space="preserve">posea </w:t>
      </w:r>
      <w:r>
        <w:t>la con</w:t>
      </w:r>
      <w:r w:rsidR="00A7724C">
        <w:t>s</w:t>
      </w:r>
      <w:r>
        <w:t>ciencia de</w:t>
      </w:r>
      <w:r w:rsidR="00A7724C">
        <w:t>l</w:t>
      </w:r>
      <w:r>
        <w:t xml:space="preserve"> </w:t>
      </w:r>
      <w:r w:rsidR="00A7724C">
        <w:t xml:space="preserve">sendero </w:t>
      </w:r>
      <w:r>
        <w:t xml:space="preserve">como objeto, </w:t>
      </w:r>
      <w:r w:rsidR="00863A04" w:rsidRPr="00863A04">
        <w:t>será con</w:t>
      </w:r>
      <w:r w:rsidR="00863A04">
        <w:rPr>
          <w:i/>
          <w:iCs/>
        </w:rPr>
        <w:t xml:space="preserve"> respecto </w:t>
      </w:r>
      <w:r w:rsidR="00A176E0">
        <w:rPr>
          <w:i/>
          <w:iCs/>
        </w:rPr>
        <w:t>al sendero</w:t>
      </w:r>
      <w:r w:rsidRPr="00A176E0">
        <w:rPr>
          <w:i/>
          <w:iCs/>
        </w:rPr>
        <w:t xml:space="preserve"> como objeto</w:t>
      </w:r>
      <w:r>
        <w:t>. Pero cuando uno cono</w:t>
      </w:r>
      <w:r w:rsidR="00863A04">
        <w:t>zca</w:t>
      </w:r>
      <w:r>
        <w:t xml:space="preserve"> la con</w:t>
      </w:r>
      <w:r w:rsidR="00863A04">
        <w:t>s</w:t>
      </w:r>
      <w:r>
        <w:t>ciencia de otro en los últimos siete días, o en l</w:t>
      </w:r>
      <w:r w:rsidR="00863A04">
        <w:t>os</w:t>
      </w:r>
      <w:r>
        <w:t xml:space="preserve"> futuro</w:t>
      </w:r>
      <w:r w:rsidR="00821F38">
        <w:t>s</w:t>
      </w:r>
      <w:r>
        <w:t xml:space="preserve"> siete días, entonces </w:t>
      </w:r>
      <w:r w:rsidR="00821F38">
        <w:t xml:space="preserve">será </w:t>
      </w:r>
      <w:r w:rsidR="00CA0E18">
        <w:t xml:space="preserve">con </w:t>
      </w:r>
      <w:r w:rsidR="00821F38">
        <w:t xml:space="preserve">respecto a </w:t>
      </w:r>
      <w:r w:rsidRPr="00A176E0">
        <w:rPr>
          <w:i/>
          <w:iCs/>
        </w:rPr>
        <w:t>un objeto pasado</w:t>
      </w:r>
      <w:r>
        <w:t xml:space="preserve"> y </w:t>
      </w:r>
      <w:r w:rsidR="00821F38" w:rsidRPr="00821F38">
        <w:t>a</w:t>
      </w:r>
      <w:r w:rsidR="00821F38">
        <w:rPr>
          <w:i/>
          <w:iCs/>
        </w:rPr>
        <w:t xml:space="preserve"> </w:t>
      </w:r>
      <w:r w:rsidRPr="00A87514">
        <w:rPr>
          <w:i/>
          <w:iCs/>
        </w:rPr>
        <w:t>un objeto futuro</w:t>
      </w:r>
      <w:r w:rsidR="00821F38">
        <w:rPr>
          <w:i/>
          <w:iCs/>
        </w:rPr>
        <w:t>,</w:t>
      </w:r>
      <w:r>
        <w:t xml:space="preserve"> respectivamente.</w:t>
      </w:r>
    </w:p>
    <w:p w14:paraId="230137D5" w14:textId="56FCDD4D" w:rsidR="00491D67" w:rsidRDefault="00491D67" w:rsidP="00491D67">
      <w:r>
        <w:t xml:space="preserve">111. </w:t>
      </w:r>
      <w:r w:rsidR="00204AF0">
        <w:tab/>
      </w:r>
      <w:r>
        <w:t xml:space="preserve">¿Cómo </w:t>
      </w:r>
      <w:r w:rsidR="00821F38">
        <w:t>será respecto a</w:t>
      </w:r>
      <w:r>
        <w:t xml:space="preserve"> un objeto presente? </w:t>
      </w:r>
      <w:r w:rsidR="00E32ED8">
        <w:t xml:space="preserve">El </w:t>
      </w:r>
      <w:r>
        <w:t>"</w:t>
      </w:r>
      <w:r w:rsidR="00E32ED8">
        <w:t>p</w:t>
      </w:r>
      <w:r>
        <w:t>resente" (</w:t>
      </w:r>
      <w:proofErr w:type="spellStart"/>
      <w:r w:rsidR="00A87514" w:rsidRPr="00A87514">
        <w:rPr>
          <w:i/>
          <w:iCs/>
        </w:rPr>
        <w:t>paccuppanna</w:t>
      </w:r>
      <w:proofErr w:type="spellEnd"/>
      <w:r>
        <w:t xml:space="preserve">) </w:t>
      </w:r>
      <w:r w:rsidR="00E32ED8">
        <w:t xml:space="preserve">será </w:t>
      </w:r>
      <w:r>
        <w:t xml:space="preserve">de </w:t>
      </w:r>
      <w:r w:rsidR="00C179D0">
        <w:t xml:space="preserve">3 </w:t>
      </w:r>
      <w:r>
        <w:t xml:space="preserve">tipos, es decir, presente </w:t>
      </w:r>
      <w:r w:rsidR="002C5DA0">
        <w:t xml:space="preserve">mediante el </w:t>
      </w:r>
      <w:r>
        <w:t xml:space="preserve">momento, presente </w:t>
      </w:r>
      <w:r w:rsidR="002C5DA0">
        <w:t xml:space="preserve">mediante la </w:t>
      </w:r>
      <w:r>
        <w:t xml:space="preserve">continuidad y presente </w:t>
      </w:r>
      <w:r w:rsidR="002C5DA0">
        <w:t xml:space="preserve">mediante la </w:t>
      </w:r>
      <w:r w:rsidR="00C933EA">
        <w:t>longitud</w:t>
      </w:r>
      <w:r>
        <w:t>. Aquí, lo que ha</w:t>
      </w:r>
      <w:r w:rsidR="002C5DA0">
        <w:t>ya</w:t>
      </w:r>
      <w:r>
        <w:t xml:space="preserve"> alcanzado el surgimiento (</w:t>
      </w:r>
      <w:proofErr w:type="spellStart"/>
      <w:r w:rsidRPr="00A87514">
        <w:rPr>
          <w:i/>
          <w:iCs/>
        </w:rPr>
        <w:t>uppāda</w:t>
      </w:r>
      <w:proofErr w:type="spellEnd"/>
      <w:r>
        <w:t>), la presencia (</w:t>
      </w:r>
      <w:proofErr w:type="spellStart"/>
      <w:r w:rsidRPr="00A87514">
        <w:rPr>
          <w:i/>
          <w:iCs/>
        </w:rPr>
        <w:t>ṭhiti</w:t>
      </w:r>
      <w:proofErr w:type="spellEnd"/>
      <w:r>
        <w:t>) y la disolución (</w:t>
      </w:r>
      <w:proofErr w:type="spellStart"/>
      <w:r w:rsidRPr="00A87514">
        <w:rPr>
          <w:i/>
          <w:iCs/>
        </w:rPr>
        <w:t>bhaṇga</w:t>
      </w:r>
      <w:proofErr w:type="spellEnd"/>
      <w:r>
        <w:t xml:space="preserve">) </w:t>
      </w:r>
      <w:r w:rsidR="00C37034">
        <w:t>corresponderá al</w:t>
      </w:r>
      <w:r>
        <w:t xml:space="preserve"> </w:t>
      </w:r>
      <w:r w:rsidRPr="00E75E6E">
        <w:rPr>
          <w:i/>
          <w:iCs/>
        </w:rPr>
        <w:t xml:space="preserve">presente </w:t>
      </w:r>
      <w:r w:rsidR="00C37034" w:rsidRPr="00E75E6E">
        <w:rPr>
          <w:i/>
          <w:iCs/>
        </w:rPr>
        <w:t xml:space="preserve">mediante </w:t>
      </w:r>
      <w:r w:rsidRPr="00E75E6E">
        <w:rPr>
          <w:i/>
          <w:iCs/>
        </w:rPr>
        <w:t>el momento</w:t>
      </w:r>
      <w:r>
        <w:t>. Lo que se inclu</w:t>
      </w:r>
      <w:r w:rsidR="00C37034">
        <w:t>ya</w:t>
      </w:r>
      <w:r>
        <w:t xml:space="preserve"> en un</w:t>
      </w:r>
      <w:r w:rsidR="002434D7">
        <w:t>o</w:t>
      </w:r>
      <w:r>
        <w:t xml:space="preserve"> o dos </w:t>
      </w:r>
      <w:r w:rsidR="002434D7">
        <w:t xml:space="preserve">ciclos </w:t>
      </w:r>
      <w:r>
        <w:t xml:space="preserve">de continuidad </w:t>
      </w:r>
      <w:r w:rsidR="002434D7">
        <w:t>corresponderá al</w:t>
      </w:r>
      <w:r>
        <w:t xml:space="preserve"> </w:t>
      </w:r>
      <w:r w:rsidRPr="00A87514">
        <w:rPr>
          <w:i/>
          <w:iCs/>
        </w:rPr>
        <w:t xml:space="preserve">presente </w:t>
      </w:r>
      <w:r w:rsidR="002434D7">
        <w:rPr>
          <w:i/>
          <w:iCs/>
        </w:rPr>
        <w:t xml:space="preserve">mediante </w:t>
      </w:r>
      <w:r w:rsidR="003A1C27">
        <w:rPr>
          <w:i/>
          <w:iCs/>
        </w:rPr>
        <w:t xml:space="preserve">la </w:t>
      </w:r>
      <w:r w:rsidRPr="00A87514">
        <w:rPr>
          <w:i/>
          <w:iCs/>
        </w:rPr>
        <w:t>continuidad</w:t>
      </w:r>
      <w:r>
        <w:t>.</w:t>
      </w:r>
    </w:p>
    <w:p w14:paraId="00C7A612" w14:textId="5C54ADCD" w:rsidR="00491D67" w:rsidRDefault="00491D67" w:rsidP="00491D67">
      <w:r>
        <w:t xml:space="preserve">112. </w:t>
      </w:r>
      <w:r w:rsidR="00204AF0">
        <w:tab/>
      </w:r>
      <w:r>
        <w:t xml:space="preserve">Aquí, cuando alguien </w:t>
      </w:r>
      <w:r w:rsidR="000316A3">
        <w:t>acuda</w:t>
      </w:r>
      <w:r w:rsidR="00C37034">
        <w:t xml:space="preserve"> </w:t>
      </w:r>
      <w:r>
        <w:t>a un lugar bien iluminado después de sentarse en la oscuridad, un objeto no est</w:t>
      </w:r>
      <w:r w:rsidR="00EA1AA6">
        <w:t>ar</w:t>
      </w:r>
      <w:r>
        <w:t xml:space="preserve">á claro al principio; </w:t>
      </w:r>
      <w:r w:rsidR="00EA1AA6">
        <w:t>h</w:t>
      </w:r>
      <w:r>
        <w:t xml:space="preserve">asta que quede claro, un o dos </w:t>
      </w:r>
      <w:r w:rsidR="000316A3">
        <w:t xml:space="preserve">ciclos </w:t>
      </w:r>
      <w:r>
        <w:t xml:space="preserve">de </w:t>
      </w:r>
    </w:p>
    <w:p w14:paraId="063AC327" w14:textId="7A2C21AD" w:rsidR="00491D67" w:rsidRPr="00491D67" w:rsidRDefault="00491D67" w:rsidP="00491D67">
      <w:pPr>
        <w:pStyle w:val="PiedepginaLegal"/>
        <w:rPr>
          <w:u w:val="single"/>
        </w:rPr>
      </w:pPr>
      <w:r w:rsidRPr="00491D67">
        <w:rPr>
          <w:u w:val="single"/>
        </w:rPr>
        <w:t xml:space="preserve">                                                                                                                                                       .</w:t>
      </w:r>
    </w:p>
    <w:p w14:paraId="775E716C" w14:textId="14986EA0" w:rsidR="00491D67" w:rsidRDefault="00491D67" w:rsidP="00491D67">
      <w:pPr>
        <w:pStyle w:val="PiedepginaLegal"/>
      </w:pPr>
      <w:r>
        <w:t>…</w:t>
      </w:r>
      <w:r>
        <w:tab/>
      </w:r>
      <w:proofErr w:type="spellStart"/>
      <w:r w:rsidRPr="00A87514">
        <w:rPr>
          <w:i/>
          <w:iCs/>
        </w:rPr>
        <w:t>Vattanīyasenāsana</w:t>
      </w:r>
      <w:proofErr w:type="spellEnd"/>
      <w:r>
        <w:t xml:space="preserve"> fue aparentemente un monasterio en las colinas de </w:t>
      </w:r>
      <w:proofErr w:type="spellStart"/>
      <w:r>
        <w:t>Vindhya</w:t>
      </w:r>
      <w:proofErr w:type="spellEnd"/>
      <w:r>
        <w:t xml:space="preserve"> (</w:t>
      </w:r>
      <w:proofErr w:type="spellStart"/>
      <w:r w:rsidRPr="00A87514">
        <w:rPr>
          <w:i/>
          <w:iCs/>
        </w:rPr>
        <w:t>viñja</w:t>
      </w:r>
      <w:r w:rsidR="00A87514" w:rsidRPr="00A87514">
        <w:rPr>
          <w:i/>
          <w:iCs/>
        </w:rPr>
        <w:t>ṭ</w:t>
      </w:r>
      <w:r w:rsidRPr="00A87514">
        <w:rPr>
          <w:i/>
          <w:iCs/>
        </w:rPr>
        <w:t>avì</w:t>
      </w:r>
      <w:proofErr w:type="spellEnd"/>
      <w:r>
        <w:t xml:space="preserve">): ver </w:t>
      </w:r>
      <w:proofErr w:type="spellStart"/>
      <w:r w:rsidR="002662AC">
        <w:t>Mhv</w:t>
      </w:r>
      <w:proofErr w:type="spellEnd"/>
      <w:r w:rsidR="002662AC">
        <w:t xml:space="preserve"> XIX</w:t>
      </w:r>
      <w:r>
        <w:t xml:space="preserve">.6; </w:t>
      </w:r>
      <w:proofErr w:type="spellStart"/>
      <w:r w:rsidR="002662AC">
        <w:t>Dhs</w:t>
      </w:r>
      <w:proofErr w:type="spellEnd"/>
      <w:r>
        <w:t xml:space="preserve">-A 419. Los </w:t>
      </w:r>
      <w:r w:rsidR="00A87514">
        <w:t>Venerables</w:t>
      </w:r>
      <w:r>
        <w:t xml:space="preserve"> </w:t>
      </w:r>
      <w:proofErr w:type="spellStart"/>
      <w:r w:rsidRPr="00A87514">
        <w:t>Assagutta</w:t>
      </w:r>
      <w:proofErr w:type="spellEnd"/>
      <w:r>
        <w:t xml:space="preserve"> y </w:t>
      </w:r>
      <w:proofErr w:type="spellStart"/>
      <w:r>
        <w:t>Rohaṇa</w:t>
      </w:r>
      <w:proofErr w:type="spellEnd"/>
      <w:r>
        <w:t xml:space="preserve"> instruyeron a </w:t>
      </w:r>
      <w:proofErr w:type="spellStart"/>
      <w:r>
        <w:t>Kajaṅgala</w:t>
      </w:r>
      <w:proofErr w:type="spellEnd"/>
      <w:r>
        <w:t xml:space="preserve"> que fue enviado a convertir a </w:t>
      </w:r>
      <w:proofErr w:type="spellStart"/>
      <w:r>
        <w:t>Menander</w:t>
      </w:r>
      <w:proofErr w:type="spellEnd"/>
      <w:r>
        <w:t xml:space="preserve"> (</w:t>
      </w:r>
      <w:proofErr w:type="spellStart"/>
      <w:r>
        <w:t>Lamotte</w:t>
      </w:r>
      <w:proofErr w:type="spellEnd"/>
      <w:r>
        <w:t xml:space="preserve">, </w:t>
      </w:r>
      <w:proofErr w:type="spellStart"/>
      <w:r w:rsidRPr="00860716">
        <w:rPr>
          <w:i/>
          <w:iCs/>
        </w:rPr>
        <w:t>Histoire</w:t>
      </w:r>
      <w:proofErr w:type="spellEnd"/>
      <w:r w:rsidRPr="00860716">
        <w:rPr>
          <w:i/>
          <w:iCs/>
        </w:rPr>
        <w:t xml:space="preserve"> de la </w:t>
      </w:r>
      <w:proofErr w:type="spellStart"/>
      <w:r w:rsidRPr="00860716">
        <w:rPr>
          <w:i/>
          <w:iCs/>
        </w:rPr>
        <w:t>Bouddhisme</w:t>
      </w:r>
      <w:proofErr w:type="spellEnd"/>
      <w:r w:rsidRPr="00860716">
        <w:rPr>
          <w:i/>
          <w:iCs/>
        </w:rPr>
        <w:t xml:space="preserve"> </w:t>
      </w:r>
      <w:proofErr w:type="spellStart"/>
      <w:r w:rsidRPr="00860716">
        <w:rPr>
          <w:i/>
          <w:iCs/>
        </w:rPr>
        <w:t>Indien</w:t>
      </w:r>
      <w:proofErr w:type="spellEnd"/>
      <w:r>
        <w:t>, p. 440).</w:t>
      </w:r>
    </w:p>
    <w:p w14:paraId="4A063A7F" w14:textId="11705E0F" w:rsidR="007959E5" w:rsidRDefault="00491D67" w:rsidP="000316A3">
      <w:pPr>
        <w:pStyle w:val="PiedepginaLegal"/>
      </w:pPr>
      <w:r>
        <w:t>23.</w:t>
      </w:r>
      <w:r>
        <w:tab/>
        <w:t xml:space="preserve">Cf. también </w:t>
      </w:r>
      <w:proofErr w:type="spellStart"/>
      <w:r>
        <w:t>Vibh</w:t>
      </w:r>
      <w:proofErr w:type="spellEnd"/>
      <w:r>
        <w:t xml:space="preserve"> 62 y 91</w:t>
      </w:r>
      <w:r w:rsidR="007959E5">
        <w:br w:type="page"/>
      </w:r>
    </w:p>
    <w:p w14:paraId="74858A28" w14:textId="77777777" w:rsidR="00491D67" w:rsidRDefault="00491D67" w:rsidP="007959E5"/>
    <w:p w14:paraId="093F72D1" w14:textId="2EBBB2A5" w:rsidR="00204AF0" w:rsidRDefault="000316A3" w:rsidP="00204AF0">
      <w:r w:rsidRPr="00904D27">
        <w:rPr>
          <w:i/>
          <w:iCs/>
        </w:rPr>
        <w:t>continuidad</w:t>
      </w:r>
      <w:r>
        <w:t xml:space="preserve"> </w:t>
      </w:r>
      <w:r w:rsidR="00204AF0">
        <w:t>debe</w:t>
      </w:r>
      <w:r w:rsidR="007B0B3B">
        <w:t>rá</w:t>
      </w:r>
      <w:r w:rsidR="00204AF0">
        <w:t xml:space="preserve"> entenderse </w:t>
      </w:r>
      <w:r w:rsidR="007F0595">
        <w:t xml:space="preserve">que deben </w:t>
      </w:r>
      <w:r w:rsidR="00204AF0">
        <w:t>pasar mientras pase. Y cuando entr</w:t>
      </w:r>
      <w:r w:rsidR="00A5721A">
        <w:t>e</w:t>
      </w:r>
      <w:r w:rsidR="00204AF0">
        <w:t xml:space="preserve"> </w:t>
      </w:r>
      <w:r w:rsidR="00A5721A">
        <w:t>a</w:t>
      </w:r>
      <w:r w:rsidR="00204AF0">
        <w:t xml:space="preserve"> un armario interno después de </w:t>
      </w:r>
      <w:r w:rsidR="00A5721A">
        <w:t>acud</w:t>
      </w:r>
      <w:r w:rsidR="00204AF0">
        <w:t xml:space="preserve">ir </w:t>
      </w:r>
      <w:r w:rsidR="00E75E6E">
        <w:t xml:space="preserve">a </w:t>
      </w:r>
      <w:r w:rsidR="00204AF0">
        <w:t xml:space="preserve">un lugar bien iluminado, un objeto visible no </w:t>
      </w:r>
      <w:r w:rsidR="00A5721A">
        <w:t xml:space="preserve">será </w:t>
      </w:r>
      <w:r w:rsidR="00204AF0">
        <w:t xml:space="preserve">evidente de inmediato al principio; </w:t>
      </w:r>
      <w:r w:rsidR="00A5721A">
        <w:t>h</w:t>
      </w:r>
      <w:r w:rsidR="00204AF0">
        <w:t>asta que se aclare, un</w:t>
      </w:r>
      <w:r w:rsidR="00A5721A">
        <w:t>o</w:t>
      </w:r>
      <w:r w:rsidR="00204AF0">
        <w:t xml:space="preserve"> o dos </w:t>
      </w:r>
      <w:r w:rsidR="00A5721A">
        <w:t xml:space="preserve">ciclos </w:t>
      </w:r>
      <w:r w:rsidR="00204AF0">
        <w:t xml:space="preserve">de </w:t>
      </w:r>
      <w:r w:rsidR="00204AF0" w:rsidRPr="00904D27">
        <w:rPr>
          <w:i/>
          <w:iCs/>
        </w:rPr>
        <w:t>continuidad</w:t>
      </w:r>
      <w:r w:rsidR="00204AF0">
        <w:t xml:space="preserve"> debe</w:t>
      </w:r>
      <w:r w:rsidR="00A5721A">
        <w:t>rá</w:t>
      </w:r>
      <w:r w:rsidR="00204AF0">
        <w:t xml:space="preserve">n entenderse </w:t>
      </w:r>
      <w:r w:rsidR="00656C73">
        <w:t xml:space="preserve">que deben </w:t>
      </w:r>
      <w:r w:rsidR="006F47DE">
        <w:t xml:space="preserve">pasar </w:t>
      </w:r>
      <w:r w:rsidR="00204AF0">
        <w:t>mientras pas</w:t>
      </w:r>
      <w:r w:rsidR="006F47DE">
        <w:t>e</w:t>
      </w:r>
      <w:r w:rsidR="00204AF0">
        <w:t>. Cuando se encuentr</w:t>
      </w:r>
      <w:r w:rsidR="006F47DE">
        <w:t>e</w:t>
      </w:r>
      <w:r w:rsidR="00204AF0">
        <w:t xml:space="preserve"> a </w:t>
      </w:r>
      <w:r w:rsidR="006F47DE">
        <w:t xml:space="preserve">una </w:t>
      </w:r>
      <w:r w:rsidR="00204AF0">
        <w:t>distancia, aunque ve</w:t>
      </w:r>
      <w:r w:rsidR="006F47DE">
        <w:t>a</w:t>
      </w:r>
      <w:r w:rsidR="00204AF0">
        <w:t xml:space="preserve"> las alteraciones (movimientos) de las manos de</w:t>
      </w:r>
      <w:r w:rsidR="002971C7">
        <w:t>l</w:t>
      </w:r>
      <w:r w:rsidR="00204AF0">
        <w:t xml:space="preserve"> lavavajillas y las alteraciones (movimientos) de los golpes de </w:t>
      </w:r>
      <w:r w:rsidR="002971C7">
        <w:t xml:space="preserve">los </w:t>
      </w:r>
      <w:r w:rsidR="00204AF0">
        <w:t>gongs, tambores, etc., pero no escuch</w:t>
      </w:r>
      <w:r w:rsidR="00656C73">
        <w:t>e</w:t>
      </w:r>
      <w:r w:rsidR="00204AF0">
        <w:t xml:space="preserve"> el sonido al principio (ver Ch. </w:t>
      </w:r>
      <w:proofErr w:type="spellStart"/>
      <w:r w:rsidR="00204AF0">
        <w:t>Xiv</w:t>
      </w:r>
      <w:proofErr w:type="spellEnd"/>
      <w:r w:rsidR="00204AF0">
        <w:t xml:space="preserve"> n. 22); </w:t>
      </w:r>
      <w:r w:rsidR="002971C7">
        <w:t>h</w:t>
      </w:r>
      <w:r w:rsidR="00204AF0">
        <w:t>asta que lo escuche, se debe</w:t>
      </w:r>
      <w:r w:rsidR="002971C7">
        <w:t>rá</w:t>
      </w:r>
      <w:r w:rsidR="00204AF0">
        <w:t xml:space="preserve"> entender </w:t>
      </w:r>
      <w:r w:rsidR="00D51B50">
        <w:t xml:space="preserve">que deberán pasar </w:t>
      </w:r>
      <w:r w:rsidR="00204AF0">
        <w:t>un</w:t>
      </w:r>
      <w:r w:rsidR="002971C7">
        <w:t>o</w:t>
      </w:r>
      <w:r w:rsidR="00204AF0">
        <w:t xml:space="preserve"> o dos </w:t>
      </w:r>
      <w:r w:rsidR="002971C7">
        <w:t xml:space="preserve">ciclos </w:t>
      </w:r>
      <w:r w:rsidR="00204AF0">
        <w:t xml:space="preserve">de </w:t>
      </w:r>
      <w:r w:rsidR="00204AF0" w:rsidRPr="00A759C1">
        <w:rPr>
          <w:i/>
          <w:iCs/>
        </w:rPr>
        <w:t>continuidad</w:t>
      </w:r>
      <w:r w:rsidR="00204AF0">
        <w:t xml:space="preserve"> mientras </w:t>
      </w:r>
      <w:r w:rsidR="002971C7">
        <w:t>pase</w:t>
      </w:r>
      <w:r w:rsidR="00204AF0">
        <w:t xml:space="preserve">. Esto, en primer lugar, </w:t>
      </w:r>
      <w:r w:rsidR="002971C7">
        <w:t xml:space="preserve">es así </w:t>
      </w:r>
      <w:r w:rsidR="00204AF0">
        <w:t xml:space="preserve">según los recitadores de </w:t>
      </w:r>
      <w:proofErr w:type="spellStart"/>
      <w:r w:rsidR="00204AF0" w:rsidRPr="00860716">
        <w:rPr>
          <w:i/>
          <w:iCs/>
        </w:rPr>
        <w:t>Majjhima</w:t>
      </w:r>
      <w:proofErr w:type="spellEnd"/>
      <w:r w:rsidR="00204AF0">
        <w:t>.</w:t>
      </w:r>
    </w:p>
    <w:p w14:paraId="6224752B" w14:textId="517B9839" w:rsidR="00204AF0" w:rsidRDefault="00204AF0" w:rsidP="00204AF0">
      <w:r>
        <w:t xml:space="preserve">113. </w:t>
      </w:r>
      <w:r>
        <w:tab/>
        <w:t xml:space="preserve">Los recitadores de </w:t>
      </w:r>
      <w:proofErr w:type="spellStart"/>
      <w:r w:rsidRPr="00860716">
        <w:rPr>
          <w:i/>
          <w:iCs/>
        </w:rPr>
        <w:t>Saṃyutta</w:t>
      </w:r>
      <w:proofErr w:type="spellEnd"/>
      <w:r>
        <w:t xml:space="preserve">, sin embargo, dicen que </w:t>
      </w:r>
      <w:r w:rsidR="00DB5818">
        <w:t>existen</w:t>
      </w:r>
      <w:r>
        <w:t xml:space="preserve"> dos tipos de </w:t>
      </w:r>
      <w:r w:rsidRPr="00A759C1">
        <w:rPr>
          <w:i/>
          <w:iCs/>
        </w:rPr>
        <w:t>continuidad</w:t>
      </w:r>
      <w:r>
        <w:t xml:space="preserve">, es decir, </w:t>
      </w:r>
      <w:r w:rsidR="00DB5818">
        <w:t xml:space="preserve">la </w:t>
      </w:r>
      <w:r w:rsidRPr="001952FB">
        <w:rPr>
          <w:i/>
          <w:iCs/>
        </w:rPr>
        <w:t>continuidad</w:t>
      </w:r>
      <w:r>
        <w:t xml:space="preserve"> </w:t>
      </w:r>
      <w:r w:rsidRPr="001952FB">
        <w:rPr>
          <w:i/>
          <w:iCs/>
        </w:rPr>
        <w:t>material</w:t>
      </w:r>
      <w:r>
        <w:t xml:space="preserve"> y </w:t>
      </w:r>
      <w:r w:rsidR="00DB5818">
        <w:t xml:space="preserve">la </w:t>
      </w:r>
      <w:r w:rsidRPr="001952FB">
        <w:rPr>
          <w:i/>
          <w:iCs/>
        </w:rPr>
        <w:t>continuidad</w:t>
      </w:r>
      <w:r>
        <w:t xml:space="preserve"> </w:t>
      </w:r>
      <w:r w:rsidRPr="001952FB">
        <w:rPr>
          <w:i/>
          <w:iCs/>
        </w:rPr>
        <w:t>inmaterial</w:t>
      </w:r>
      <w:r>
        <w:t xml:space="preserve">: que </w:t>
      </w:r>
      <w:r w:rsidR="00DB5818">
        <w:t xml:space="preserve">la </w:t>
      </w:r>
      <w:r w:rsidRPr="00A759C1">
        <w:rPr>
          <w:i/>
          <w:iCs/>
        </w:rPr>
        <w:t>continuidad</w:t>
      </w:r>
      <w:r>
        <w:t xml:space="preserve"> </w:t>
      </w:r>
      <w:r w:rsidRPr="00753333">
        <w:rPr>
          <w:i/>
          <w:iCs/>
        </w:rPr>
        <w:t>material</w:t>
      </w:r>
      <w:r>
        <w:t xml:space="preserve"> dura</w:t>
      </w:r>
      <w:r w:rsidR="00801B34">
        <w:t>rá</w:t>
      </w:r>
      <w:r>
        <w:t xml:space="preserve"> tanto como la línea de agua </w:t>
      </w:r>
      <w:r w:rsidR="00801B34">
        <w:t xml:space="preserve">fangosa </w:t>
      </w:r>
      <w:r w:rsidR="00DB5818">
        <w:t>que to</w:t>
      </w:r>
      <w:r w:rsidR="001F5CD2">
        <w:t>que</w:t>
      </w:r>
      <w:r w:rsidR="00DB5818">
        <w:t xml:space="preserve"> </w:t>
      </w:r>
      <w:r w:rsidR="00435F9D">
        <w:t>la orilla</w:t>
      </w:r>
      <w:r>
        <w:t xml:space="preserve"> cuando uno pis</w:t>
      </w:r>
      <w:r w:rsidR="00435F9D">
        <w:t>e</w:t>
      </w:r>
      <w:r>
        <w:t xml:space="preserve"> </w:t>
      </w:r>
      <w:r w:rsidR="00F83402">
        <w:t>e</w:t>
      </w:r>
      <w:r>
        <w:t xml:space="preserve">l agua </w:t>
      </w:r>
      <w:r w:rsidR="000E1BF6">
        <w:t xml:space="preserve">que </w:t>
      </w:r>
      <w:r>
        <w:t>tom</w:t>
      </w:r>
      <w:r w:rsidR="001F5CD2">
        <w:t>e</w:t>
      </w:r>
      <w:r>
        <w:t xml:space="preserve"> </w:t>
      </w:r>
      <w:r w:rsidR="00FC1553">
        <w:t xml:space="preserve">para </w:t>
      </w:r>
      <w:r w:rsidR="000E1BF6">
        <w:t>aclararla</w:t>
      </w:r>
      <w:r>
        <w:t>,</w:t>
      </w:r>
      <w:r w:rsidRPr="00753333">
        <w:rPr>
          <w:vertAlign w:val="superscript"/>
        </w:rPr>
        <w:t>24</w:t>
      </w:r>
      <w:r>
        <w:t xml:space="preserve"> </w:t>
      </w:r>
      <w:r w:rsidR="005823CF">
        <w:t xml:space="preserve">tanto como </w:t>
      </w:r>
      <w:r w:rsidR="00434425">
        <w:t xml:space="preserve">para que </w:t>
      </w:r>
      <w:r>
        <w:t xml:space="preserve">el calor del cuerpo en </w:t>
      </w:r>
      <w:r w:rsidR="00885B58">
        <w:t>alguien</w:t>
      </w:r>
      <w:r>
        <w:t xml:space="preserve"> que haya caminado ciert</w:t>
      </w:r>
      <w:r w:rsidR="0098361A">
        <w:t>a</w:t>
      </w:r>
      <w:r>
        <w:t xml:space="preserve"> </w:t>
      </w:r>
      <w:r w:rsidR="0098361A">
        <w:t xml:space="preserve">longitud </w:t>
      </w:r>
      <w:r w:rsidR="00885B58">
        <w:t xml:space="preserve">requiera para </w:t>
      </w:r>
      <w:r>
        <w:t xml:space="preserve">desaparecer, </w:t>
      </w:r>
      <w:r w:rsidR="001E7F2F">
        <w:t xml:space="preserve">tanto como </w:t>
      </w:r>
      <w:r>
        <w:t xml:space="preserve">la ceguera en </w:t>
      </w:r>
      <w:r w:rsidR="003B1391">
        <w:t>alguien</w:t>
      </w:r>
      <w:r>
        <w:t xml:space="preserve"> que haya </w:t>
      </w:r>
      <w:r w:rsidR="003B1391">
        <w:t>pro</w:t>
      </w:r>
      <w:r>
        <w:t>venido de</w:t>
      </w:r>
      <w:r w:rsidR="003B1391">
        <w:t xml:space="preserve"> estar expuesto al</w:t>
      </w:r>
      <w:r>
        <w:t xml:space="preserve"> </w:t>
      </w:r>
      <w:r w:rsidR="003B1391">
        <w:t xml:space="preserve">Sol </w:t>
      </w:r>
      <w:r w:rsidR="00830C47">
        <w:t xml:space="preserve">al entrar a </w:t>
      </w:r>
      <w:r>
        <w:t xml:space="preserve">una habitación </w:t>
      </w:r>
      <w:r w:rsidR="001E7F2F">
        <w:t xml:space="preserve">hasta que </w:t>
      </w:r>
      <w:r>
        <w:t>se va</w:t>
      </w:r>
      <w:r w:rsidR="00657474">
        <w:t>ya</w:t>
      </w:r>
      <w:r>
        <w:t xml:space="preserve">, </w:t>
      </w:r>
      <w:r w:rsidR="001E7F2F">
        <w:t>tanto como</w:t>
      </w:r>
      <w:r>
        <w:t xml:space="preserve"> después de que alguien ha</w:t>
      </w:r>
      <w:r w:rsidR="003E0029">
        <w:t>ya</w:t>
      </w:r>
      <w:r>
        <w:t xml:space="preserve"> estado prestando atención a su </w:t>
      </w:r>
      <w:r w:rsidR="003E0029">
        <w:t>objeto</w:t>
      </w:r>
      <w:r>
        <w:t xml:space="preserve"> de meditación en una habitación y luego abr</w:t>
      </w:r>
      <w:r w:rsidR="003E0029">
        <w:t>a</w:t>
      </w:r>
      <w:r>
        <w:t xml:space="preserve"> las persianas d</w:t>
      </w:r>
      <w:r w:rsidR="003E0029">
        <w:t>urante el</w:t>
      </w:r>
      <w:r>
        <w:t xml:space="preserve"> día y mir</w:t>
      </w:r>
      <w:r w:rsidR="003E0029">
        <w:t>e hacia</w:t>
      </w:r>
      <w:r>
        <w:t xml:space="preserve"> fuera, </w:t>
      </w:r>
      <w:r w:rsidR="009D398A">
        <w:t xml:space="preserve">hasta que </w:t>
      </w:r>
      <w:r w:rsidR="00257552">
        <w:t>el</w:t>
      </w:r>
      <w:r>
        <w:t xml:space="preserve"> deslumbra</w:t>
      </w:r>
      <w:r w:rsidR="00257552">
        <w:t>miento</w:t>
      </w:r>
      <w:r>
        <w:t xml:space="preserve"> </w:t>
      </w:r>
      <w:r w:rsidR="00257552">
        <w:t>de</w:t>
      </w:r>
      <w:r>
        <w:t xml:space="preserve"> sus ojos no </w:t>
      </w:r>
      <w:r w:rsidR="00257552">
        <w:t>cese</w:t>
      </w:r>
      <w:r>
        <w:t>; y que una continuidad inmaterial consist</w:t>
      </w:r>
      <w:r w:rsidR="00CD2733">
        <w:t>a</w:t>
      </w:r>
      <w:r>
        <w:t xml:space="preserve"> </w:t>
      </w:r>
      <w:r w:rsidR="009D398A">
        <w:t xml:space="preserve">de </w:t>
      </w:r>
      <w:r>
        <w:t xml:space="preserve">dos o tres </w:t>
      </w:r>
      <w:r w:rsidR="00257552">
        <w:t>ciclos</w:t>
      </w:r>
      <w:r>
        <w:t xml:space="preserve"> de impulsiones. Ambos</w:t>
      </w:r>
      <w:r w:rsidR="00257552">
        <w:t>,</w:t>
      </w:r>
      <w:r>
        <w:t xml:space="preserve"> según ellos</w:t>
      </w:r>
      <w:r w:rsidR="00257552">
        <w:t>,</w:t>
      </w:r>
      <w:r>
        <w:t xml:space="preserve"> </w:t>
      </w:r>
      <w:r w:rsidR="001F5CD2">
        <w:t xml:space="preserve">son </w:t>
      </w:r>
      <w:r>
        <w:t xml:space="preserve">llamados "presentes </w:t>
      </w:r>
      <w:r w:rsidR="001F5CD2">
        <w:t xml:space="preserve">mediante la </w:t>
      </w:r>
      <w:r w:rsidRPr="00565F50">
        <w:rPr>
          <w:i/>
          <w:iCs/>
        </w:rPr>
        <w:t>continuidad</w:t>
      </w:r>
      <w:r>
        <w:t>". [432]</w:t>
      </w:r>
    </w:p>
    <w:p w14:paraId="2BAFEA22" w14:textId="5C372CB5" w:rsidR="00204AF0" w:rsidRDefault="00204AF0" w:rsidP="00204AF0">
      <w:r>
        <w:t xml:space="preserve">114. </w:t>
      </w:r>
      <w:r>
        <w:tab/>
      </w:r>
      <w:r w:rsidR="006C1DFA">
        <w:t>A l</w:t>
      </w:r>
      <w:r>
        <w:t xml:space="preserve">o que </w:t>
      </w:r>
      <w:r w:rsidR="006C1DFA">
        <w:t xml:space="preserve">esté </w:t>
      </w:r>
      <w:r>
        <w:t>delimita</w:t>
      </w:r>
      <w:r w:rsidR="006C1DFA">
        <w:t>do</w:t>
      </w:r>
      <w:r>
        <w:t xml:space="preserve"> por un solo </w:t>
      </w:r>
      <w:r w:rsidR="006C1DFA">
        <w:t>devenir</w:t>
      </w:r>
      <w:r>
        <w:t xml:space="preserve"> (existencia) se </w:t>
      </w:r>
      <w:r w:rsidR="006C1DFA">
        <w:t xml:space="preserve">le </w:t>
      </w:r>
      <w:r>
        <w:t xml:space="preserve">llama </w:t>
      </w:r>
      <w:r w:rsidRPr="00860716">
        <w:rPr>
          <w:i/>
          <w:iCs/>
        </w:rPr>
        <w:t xml:space="preserve">presente </w:t>
      </w:r>
      <w:r w:rsidR="006C1DFA">
        <w:rPr>
          <w:i/>
          <w:iCs/>
        </w:rPr>
        <w:t xml:space="preserve">mediante la </w:t>
      </w:r>
      <w:r w:rsidRPr="00860716">
        <w:rPr>
          <w:i/>
          <w:iCs/>
        </w:rPr>
        <w:t>extensión</w:t>
      </w:r>
      <w:r>
        <w:t>, con referencia a l</w:t>
      </w:r>
      <w:r w:rsidR="006C1DFA">
        <w:t>o</w:t>
      </w:r>
      <w:r>
        <w:t xml:space="preserve"> cual se dice en el </w:t>
      </w:r>
      <w:proofErr w:type="spellStart"/>
      <w:r w:rsidRPr="00860716">
        <w:rPr>
          <w:i/>
          <w:iCs/>
        </w:rPr>
        <w:t>Bhaddekaratta</w:t>
      </w:r>
      <w:proofErr w:type="spellEnd"/>
      <w:r w:rsidRPr="00860716">
        <w:rPr>
          <w:i/>
          <w:iCs/>
        </w:rPr>
        <w:t xml:space="preserve"> Sutta</w:t>
      </w:r>
      <w:r>
        <w:t xml:space="preserve">: “Los amigos, la mente y los objetos mentales </w:t>
      </w:r>
      <w:r w:rsidR="006C1DFA">
        <w:t>corresponde</w:t>
      </w:r>
      <w:r w:rsidR="00565F50">
        <w:t>rán</w:t>
      </w:r>
      <w:r w:rsidR="006C1DFA">
        <w:t xml:space="preserve"> a </w:t>
      </w:r>
      <w:r>
        <w:t>lo que</w:t>
      </w:r>
      <w:r w:rsidR="00FC3B3C">
        <w:t xml:space="preserve"> se encuentre</w:t>
      </w:r>
      <w:r>
        <w:t xml:space="preserve"> presente. La con</w:t>
      </w:r>
      <w:r w:rsidR="006C1DFA">
        <w:t>s</w:t>
      </w:r>
      <w:r>
        <w:t xml:space="preserve">ciencia está obligada por el deseo y la codicia </w:t>
      </w:r>
      <w:r w:rsidR="00FC3B3C">
        <w:t xml:space="preserve">de orientarse </w:t>
      </w:r>
      <w:r w:rsidR="006C1DFA">
        <w:t xml:space="preserve">hacia </w:t>
      </w:r>
      <w:r>
        <w:t>lo que est</w:t>
      </w:r>
      <w:r w:rsidR="006C1DFA">
        <w:t>é</w:t>
      </w:r>
      <w:r>
        <w:t xml:space="preserve"> presente. </w:t>
      </w:r>
      <w:r w:rsidR="006C1DFA">
        <w:t xml:space="preserve">Ya </w:t>
      </w:r>
      <w:r>
        <w:t xml:space="preserve">que la </w:t>
      </w:r>
      <w:r w:rsidR="00305E12">
        <w:t>consciencia</w:t>
      </w:r>
      <w:r>
        <w:t xml:space="preserve"> est</w:t>
      </w:r>
      <w:r w:rsidR="006C1DFA">
        <w:t>ar</w:t>
      </w:r>
      <w:r>
        <w:t xml:space="preserve">á obligada por el deseo y la codicia, se </w:t>
      </w:r>
      <w:r w:rsidR="006C1DFA">
        <w:t xml:space="preserve">´complacerá </w:t>
      </w:r>
      <w:r>
        <w:t>en e</w:t>
      </w:r>
      <w:r w:rsidR="006C1DFA">
        <w:t>ll</w:t>
      </w:r>
      <w:r>
        <w:t xml:space="preserve">o. Cuando se </w:t>
      </w:r>
      <w:r w:rsidR="006C1DFA">
        <w:t xml:space="preserve">complazca </w:t>
      </w:r>
      <w:r>
        <w:t>en e</w:t>
      </w:r>
      <w:r w:rsidR="006C1DFA">
        <w:t>ll</w:t>
      </w:r>
      <w:r>
        <w:t xml:space="preserve">o, entonces </w:t>
      </w:r>
      <w:r w:rsidR="006C1DFA">
        <w:t xml:space="preserve">será </w:t>
      </w:r>
      <w:r>
        <w:t>vencido con respecto a los estados actuales”</w:t>
      </w:r>
      <w:r w:rsidR="00860716">
        <w:t xml:space="preserve"> </w:t>
      </w:r>
      <w:r>
        <w:t>(M III 197).</w:t>
      </w:r>
    </w:p>
    <w:p w14:paraId="16B5E954" w14:textId="67554EEF" w:rsidR="00204AF0" w:rsidRDefault="00204AF0" w:rsidP="00204AF0">
      <w:pPr>
        <w:pStyle w:val="NormalConSangria"/>
      </w:pPr>
      <w:r>
        <w:t xml:space="preserve">Y aquí, "presente </w:t>
      </w:r>
      <w:r w:rsidR="00BE3A45">
        <w:t xml:space="preserve">mediante la </w:t>
      </w:r>
      <w:r>
        <w:t xml:space="preserve">continuidad" se </w:t>
      </w:r>
      <w:r w:rsidR="00BE3A45">
        <w:t xml:space="preserve">utiliza </w:t>
      </w:r>
      <w:r>
        <w:t xml:space="preserve">en los </w:t>
      </w:r>
      <w:proofErr w:type="spellStart"/>
      <w:r w:rsidRPr="00BE3A45">
        <w:rPr>
          <w:i/>
          <w:iCs/>
        </w:rPr>
        <w:t>comenta</w:t>
      </w:r>
      <w:r w:rsidR="00565F50">
        <w:rPr>
          <w:i/>
          <w:iCs/>
        </w:rPr>
        <w:t>n</w:t>
      </w:r>
      <w:r w:rsidRPr="00BE3A45">
        <w:rPr>
          <w:i/>
          <w:iCs/>
        </w:rPr>
        <w:t>rios</w:t>
      </w:r>
      <w:proofErr w:type="spellEnd"/>
      <w:r>
        <w:t xml:space="preserve">, mientras que "presente </w:t>
      </w:r>
      <w:r w:rsidR="00BE3A45">
        <w:t xml:space="preserve">mediante la </w:t>
      </w:r>
      <w:r>
        <w:t xml:space="preserve">extensión" en los </w:t>
      </w:r>
      <w:r w:rsidRPr="00BE3A45">
        <w:rPr>
          <w:i/>
          <w:iCs/>
        </w:rPr>
        <w:t>Suttas</w:t>
      </w:r>
      <w:r>
        <w:t>.</w:t>
      </w:r>
    </w:p>
    <w:p w14:paraId="5BC50039" w14:textId="3290E447" w:rsidR="00204AF0" w:rsidRDefault="00204AF0" w:rsidP="00204AF0">
      <w:r>
        <w:t xml:space="preserve">115. </w:t>
      </w:r>
      <w:r>
        <w:tab/>
        <w:t>Aquí, unos</w:t>
      </w:r>
      <w:r w:rsidRPr="00207128">
        <w:rPr>
          <w:vertAlign w:val="superscript"/>
        </w:rPr>
        <w:t>25</w:t>
      </w:r>
      <w:r>
        <w:t xml:space="preserve"> dicen que la con</w:t>
      </w:r>
      <w:r w:rsidR="00BE3A45">
        <w:t>s</w:t>
      </w:r>
      <w:r>
        <w:t xml:space="preserve">ciencia "presente </w:t>
      </w:r>
      <w:r w:rsidR="00BE3A45">
        <w:t>mediante el</w:t>
      </w:r>
      <w:r>
        <w:t xml:space="preserve"> momento" </w:t>
      </w:r>
      <w:r w:rsidR="00BE3A45">
        <w:t xml:space="preserve">será el </w:t>
      </w:r>
      <w:r>
        <w:t>objeto del conocimiento de la penetración de las mentes. ¿Qué razón dan</w:t>
      </w:r>
      <w:r w:rsidR="00BE3A45">
        <w:t xml:space="preserve"> para esto</w:t>
      </w:r>
      <w:r>
        <w:t xml:space="preserve">? </w:t>
      </w:r>
      <w:r w:rsidR="005931D6">
        <w:t xml:space="preserve">La razón yace que </w:t>
      </w:r>
      <w:r>
        <w:t>la con</w:t>
      </w:r>
      <w:r w:rsidR="00BE3A45">
        <w:t>s</w:t>
      </w:r>
      <w:r>
        <w:t>ciencia del poseedor de</w:t>
      </w:r>
      <w:r w:rsidR="00A44A00">
        <w:t>l</w:t>
      </w:r>
      <w:r>
        <w:t xml:space="preserve"> poder supernormal y del otro surg</w:t>
      </w:r>
      <w:r w:rsidR="00072B66">
        <w:t>irá</w:t>
      </w:r>
      <w:r>
        <w:t xml:space="preserve">n en un solo momento. Su símil es </w:t>
      </w:r>
      <w:r w:rsidR="00072B66">
        <w:t>é</w:t>
      </w:r>
      <w:r>
        <w:t>ste: al igual que un puñado de flores arroja</w:t>
      </w:r>
      <w:r w:rsidR="00072B66">
        <w:t>dos</w:t>
      </w:r>
      <w:r>
        <w:t xml:space="preserve"> al aire, el tallo de una flor probablemente se</w:t>
      </w:r>
      <w:r w:rsidR="00A44A00">
        <w:t>rá</w:t>
      </w:r>
      <w:r>
        <w:t xml:space="preserve"> golpeado por el tallo de otr</w:t>
      </w:r>
      <w:r w:rsidR="005931D6">
        <w:t>a</w:t>
      </w:r>
      <w:r>
        <w:t xml:space="preserve">, así también, cuando con el pensamiento, "sabré la mente de otro", </w:t>
      </w:r>
      <w:r w:rsidR="009E5ADD">
        <w:t>l</w:t>
      </w:r>
      <w:r>
        <w:t>a mente de una multitud se advert</w:t>
      </w:r>
      <w:r w:rsidR="009E5ADD">
        <w:t>irá</w:t>
      </w:r>
      <w:r>
        <w:t xml:space="preserve"> como una masa, entonces la mente de un</w:t>
      </w:r>
      <w:r w:rsidR="005931D6">
        <w:t>o</w:t>
      </w:r>
      <w:r>
        <w:t xml:space="preserve"> probablemente </w:t>
      </w:r>
      <w:r w:rsidR="005F6726">
        <w:t xml:space="preserve">será </w:t>
      </w:r>
      <w:r>
        <w:t>penetrada por la mente del otr</w:t>
      </w:r>
      <w:r w:rsidR="005931D6">
        <w:t>o</w:t>
      </w:r>
      <w:r>
        <w:t xml:space="preserve">, ya sea en el momento de surgir o en el momento de </w:t>
      </w:r>
      <w:r w:rsidR="009E5ADD">
        <w:t xml:space="preserve">la </w:t>
      </w:r>
      <w:r>
        <w:t>presencia o en el momento de la disolución.</w:t>
      </w:r>
    </w:p>
    <w:p w14:paraId="4D33F11C" w14:textId="08CB2AED" w:rsidR="00C023A3" w:rsidRDefault="00204AF0" w:rsidP="00204AF0">
      <w:r>
        <w:t xml:space="preserve">116. </w:t>
      </w:r>
      <w:r>
        <w:tab/>
        <w:t>Sin embargo, e</w:t>
      </w:r>
      <w:r w:rsidR="009E5ADD">
        <w:t>ll</w:t>
      </w:r>
      <w:r>
        <w:t xml:space="preserve">o es rechazado </w:t>
      </w:r>
      <w:r w:rsidR="009E5ADD">
        <w:t xml:space="preserve">por </w:t>
      </w:r>
      <w:r>
        <w:t xml:space="preserve">los </w:t>
      </w:r>
      <w:r w:rsidRPr="009E5ADD">
        <w:rPr>
          <w:i/>
          <w:iCs/>
        </w:rPr>
        <w:t>comentarios</w:t>
      </w:r>
      <w:r w:rsidR="00E168AB">
        <w:rPr>
          <w:i/>
          <w:iCs/>
        </w:rPr>
        <w:t xml:space="preserve">, </w:t>
      </w:r>
      <w:r w:rsidR="00EE0279" w:rsidRPr="00EE0279">
        <w:t>y son</w:t>
      </w:r>
      <w:r w:rsidR="00EE0279">
        <w:rPr>
          <w:i/>
          <w:iCs/>
        </w:rPr>
        <w:t xml:space="preserve"> </w:t>
      </w:r>
      <w:r w:rsidR="00E168AB" w:rsidRPr="00E168AB">
        <w:t>considerados</w:t>
      </w:r>
      <w:r>
        <w:t xml:space="preserve"> como </w:t>
      </w:r>
      <w:r w:rsidR="00E168AB">
        <w:t>incorrectos</w:t>
      </w:r>
      <w:r>
        <w:t>, porque inclus</w:t>
      </w:r>
      <w:r w:rsidR="005931D6">
        <w:t>ive</w:t>
      </w:r>
      <w:r>
        <w:t xml:space="preserve"> si uno </w:t>
      </w:r>
      <w:r w:rsidR="00EE0279">
        <w:t>prosiguiese</w:t>
      </w:r>
      <w:r>
        <w:t xml:space="preserve"> </w:t>
      </w:r>
      <w:r w:rsidR="00CE4A4D">
        <w:t xml:space="preserve">advirtiendo </w:t>
      </w:r>
      <w:r>
        <w:t xml:space="preserve">durante cien o mil años, nunca </w:t>
      </w:r>
      <w:r w:rsidR="00E168AB">
        <w:t xml:space="preserve">existirá </w:t>
      </w:r>
      <w:r w:rsidR="00CE4A4D">
        <w:t xml:space="preserve">una </w:t>
      </w:r>
      <w:r w:rsidR="00530528">
        <w:br/>
      </w:r>
      <w:proofErr w:type="spellStart"/>
      <w:r>
        <w:t>co</w:t>
      </w:r>
      <w:proofErr w:type="spellEnd"/>
      <w:r w:rsidR="008A1AD0">
        <w:t>–</w:t>
      </w:r>
      <w:r>
        <w:t>presencia de las dos con</w:t>
      </w:r>
      <w:r w:rsidR="00E168AB">
        <w:t>s</w:t>
      </w:r>
      <w:r>
        <w:t xml:space="preserve">ciencias, es decir, </w:t>
      </w:r>
      <w:r w:rsidR="00F24F79">
        <w:t>aquello con lo cual</w:t>
      </w:r>
      <w:r>
        <w:t xml:space="preserve"> </w:t>
      </w:r>
      <w:r w:rsidR="00172CAA">
        <w:t>él</w:t>
      </w:r>
      <w:r w:rsidR="00E168AB">
        <w:t xml:space="preserve"> advierta </w:t>
      </w:r>
      <w:r>
        <w:t xml:space="preserve">y </w:t>
      </w:r>
      <w:r w:rsidR="00622A64">
        <w:t xml:space="preserve">aquello </w:t>
      </w:r>
      <w:r w:rsidR="004E6003">
        <w:t xml:space="preserve">con </w:t>
      </w:r>
    </w:p>
    <w:p w14:paraId="20AADB29" w14:textId="794BAD6F" w:rsidR="00204AF0" w:rsidRPr="00204AF0" w:rsidRDefault="00204AF0" w:rsidP="00204AF0">
      <w:pPr>
        <w:pStyle w:val="PiedepginaLegal"/>
        <w:rPr>
          <w:u w:val="single"/>
        </w:rPr>
      </w:pPr>
      <w:r w:rsidRPr="00204AF0">
        <w:rPr>
          <w:u w:val="single"/>
        </w:rPr>
        <w:t xml:space="preserve">                                                                                                                                                            .</w:t>
      </w:r>
    </w:p>
    <w:p w14:paraId="55A66532" w14:textId="717D85D6" w:rsidR="00204AF0" w:rsidRDefault="00204AF0" w:rsidP="00204AF0">
      <w:pPr>
        <w:pStyle w:val="PiedepginaLegal"/>
      </w:pPr>
      <w:r>
        <w:t xml:space="preserve">24. </w:t>
      </w:r>
      <w:r>
        <w:tab/>
      </w:r>
      <w:proofErr w:type="spellStart"/>
      <w:r w:rsidR="00DC22BB">
        <w:t>Vism</w:t>
      </w:r>
      <w:r>
        <w:t>-</w:t>
      </w:r>
      <w:r w:rsidR="00DC22BB">
        <w:t>mhṭ</w:t>
      </w:r>
      <w:proofErr w:type="spellEnd"/>
      <w:r w:rsidR="00DC22BB">
        <w:t xml:space="preserve"> </w:t>
      </w:r>
      <w:r>
        <w:t xml:space="preserve">agrega: "Algunos, sin embargo, explican el significado de esta manera: </w:t>
      </w:r>
      <w:r w:rsidR="00FF5454">
        <w:t>durará tanto como</w:t>
      </w:r>
      <w:r>
        <w:t xml:space="preserve"> </w:t>
      </w:r>
      <w:r w:rsidR="00202006">
        <w:t>al pisar</w:t>
      </w:r>
      <w:r>
        <w:t xml:space="preserve"> la orilla seca con un pie húmedo</w:t>
      </w:r>
      <w:r w:rsidR="0000220A">
        <w:t xml:space="preserve"> hasta que</w:t>
      </w:r>
      <w:r>
        <w:t xml:space="preserve"> la línea de</w:t>
      </w:r>
      <w:r w:rsidR="00DC22BB">
        <w:t>l</w:t>
      </w:r>
      <w:r>
        <w:t xml:space="preserve"> agua del pie no desapare</w:t>
      </w:r>
      <w:r w:rsidR="00DC22BB">
        <w:t>zca</w:t>
      </w:r>
      <w:r>
        <w:t>".</w:t>
      </w:r>
    </w:p>
    <w:p w14:paraId="6A85689A" w14:textId="1C8463A4" w:rsidR="00C023A3" w:rsidRDefault="00204AF0" w:rsidP="00204AF0">
      <w:pPr>
        <w:pStyle w:val="PiedepginaLegal"/>
      </w:pPr>
      <w:r>
        <w:t>25.</w:t>
      </w:r>
      <w:r>
        <w:tab/>
        <w:t xml:space="preserve">Los residentes del monasterio </w:t>
      </w:r>
      <w:proofErr w:type="spellStart"/>
      <w:r w:rsidRPr="00860716">
        <w:t>Abhayagiri</w:t>
      </w:r>
      <w:proofErr w:type="spellEnd"/>
      <w:r>
        <w:t xml:space="preserve"> en </w:t>
      </w:r>
      <w:proofErr w:type="spellStart"/>
      <w:r w:rsidRPr="00860716">
        <w:t>Anurādhapura</w:t>
      </w:r>
      <w:proofErr w:type="spellEnd"/>
      <w:r>
        <w:t xml:space="preserve"> (</w:t>
      </w:r>
      <w:proofErr w:type="spellStart"/>
      <w:r>
        <w:t>Vism-Mhṭ</w:t>
      </w:r>
      <w:proofErr w:type="spellEnd"/>
      <w:r>
        <w:t>).</w:t>
      </w:r>
    </w:p>
    <w:p w14:paraId="4D553110" w14:textId="77777777" w:rsidR="00C023A3" w:rsidRDefault="00C023A3">
      <w:pPr>
        <w:tabs>
          <w:tab w:val="clear" w:pos="425"/>
        </w:tabs>
        <w:spacing w:after="160"/>
        <w:rPr>
          <w:color w:val="000000" w:themeColor="text1"/>
          <w:spacing w:val="10"/>
          <w:sz w:val="14"/>
        </w:rPr>
      </w:pPr>
      <w:r>
        <w:br w:type="page"/>
      </w:r>
    </w:p>
    <w:p w14:paraId="59435498" w14:textId="41692A65" w:rsidR="00332FB4" w:rsidRDefault="00530528" w:rsidP="00332FB4">
      <w:r>
        <w:lastRenderedPageBreak/>
        <w:t xml:space="preserve">carácter </w:t>
      </w:r>
      <w:r w:rsidR="004E6003">
        <w:t xml:space="preserve">de impulsión </w:t>
      </w:r>
      <w:r w:rsidR="00CE4A4D">
        <w:t xml:space="preserve">con lo </w:t>
      </w:r>
      <w:r w:rsidR="00EE0279">
        <w:t xml:space="preserve">cual </w:t>
      </w:r>
      <w:r w:rsidR="00471128">
        <w:t>él conozca</w:t>
      </w:r>
      <w:r w:rsidR="00332FB4">
        <w:t xml:space="preserve">, y </w:t>
      </w:r>
      <w:r w:rsidR="005422C0">
        <w:t>debido a que</w:t>
      </w:r>
      <w:r w:rsidR="00332FB4">
        <w:t xml:space="preserve"> </w:t>
      </w:r>
      <w:r w:rsidR="007F053D">
        <w:t xml:space="preserve">se dará </w:t>
      </w:r>
      <w:r w:rsidR="00251D51">
        <w:t>el defecto</w:t>
      </w:r>
      <w:r w:rsidR="00332FB4">
        <w:t xml:space="preserve"> de la pluralidad de los objetos si </w:t>
      </w:r>
      <w:r w:rsidR="00FA5D63">
        <w:t xml:space="preserve">la </w:t>
      </w:r>
      <w:r w:rsidR="00332FB4">
        <w:t>presencia del mismo objet</w:t>
      </w:r>
      <w:r w:rsidR="00EE0279">
        <w:t>o</w:t>
      </w:r>
      <w:r w:rsidR="00332FB4">
        <w:t xml:space="preserve"> </w:t>
      </w:r>
      <w:r w:rsidR="007F094B">
        <w:t xml:space="preserve">tanto </w:t>
      </w:r>
      <w:r w:rsidR="00774F61">
        <w:t xml:space="preserve">del </w:t>
      </w:r>
      <w:r w:rsidR="00332FB4">
        <w:t>adverti</w:t>
      </w:r>
      <w:r w:rsidR="00774F61">
        <w:t>miento</w:t>
      </w:r>
      <w:r w:rsidR="00332FB4">
        <w:t xml:space="preserve"> como </w:t>
      </w:r>
      <w:r w:rsidR="00774F61">
        <w:t xml:space="preserve">de la </w:t>
      </w:r>
      <w:r w:rsidR="00332FB4">
        <w:t>impulsión</w:t>
      </w:r>
      <w:r w:rsidR="00054D5E" w:rsidRPr="00054D5E">
        <w:t xml:space="preserve"> </w:t>
      </w:r>
      <w:r w:rsidR="00054D5E">
        <w:t>no insistiese</w:t>
      </w:r>
      <w:r w:rsidR="00251D51">
        <w:t xml:space="preserve"> al respecto</w:t>
      </w:r>
      <w:r w:rsidR="00332FB4">
        <w:t>. Lo que debe</w:t>
      </w:r>
      <w:r w:rsidR="00EE0279">
        <w:t>rá</w:t>
      </w:r>
      <w:r w:rsidR="00332FB4">
        <w:t xml:space="preserve"> entenderse es que el objeto est</w:t>
      </w:r>
      <w:r w:rsidR="00EE0279">
        <w:t>ar</w:t>
      </w:r>
      <w:r w:rsidR="00332FB4">
        <w:t xml:space="preserve">á presente </w:t>
      </w:r>
      <w:r w:rsidR="00EE0279">
        <w:t xml:space="preserve">mediante la </w:t>
      </w:r>
      <w:r w:rsidR="00332FB4" w:rsidRPr="00E04CC3">
        <w:rPr>
          <w:i/>
          <w:iCs/>
        </w:rPr>
        <w:t>continuidad</w:t>
      </w:r>
      <w:r w:rsidR="00332FB4">
        <w:t xml:space="preserve"> y presente </w:t>
      </w:r>
      <w:r w:rsidR="00EE0279">
        <w:t xml:space="preserve">mediante la </w:t>
      </w:r>
      <w:r w:rsidR="00332FB4" w:rsidRPr="00E04CC3">
        <w:rPr>
          <w:i/>
          <w:iCs/>
        </w:rPr>
        <w:t>extensión</w:t>
      </w:r>
      <w:r w:rsidR="00332FB4">
        <w:t>.</w:t>
      </w:r>
    </w:p>
    <w:p w14:paraId="071143EF" w14:textId="10BCE988" w:rsidR="00332FB4" w:rsidRDefault="00332FB4" w:rsidP="00332FB4">
      <w:r>
        <w:t xml:space="preserve">117. </w:t>
      </w:r>
      <w:r>
        <w:tab/>
      </w:r>
      <w:r w:rsidR="00D465BB">
        <w:t>Aquí</w:t>
      </w:r>
      <w:r>
        <w:t xml:space="preserve">, </w:t>
      </w:r>
      <w:r w:rsidR="00013A05">
        <w:t xml:space="preserve">a </w:t>
      </w:r>
      <w:r>
        <w:t>la con</w:t>
      </w:r>
      <w:r w:rsidR="00C50861">
        <w:t>s</w:t>
      </w:r>
      <w:r>
        <w:t>ciencia de</w:t>
      </w:r>
      <w:r w:rsidR="00CB5A4B">
        <w:t>l</w:t>
      </w:r>
      <w:r>
        <w:t xml:space="preserve"> otro </w:t>
      </w:r>
      <w:r w:rsidR="005F64D1">
        <w:t xml:space="preserve">que dure </w:t>
      </w:r>
      <w:r>
        <w:t xml:space="preserve">un </w:t>
      </w:r>
      <w:r w:rsidR="00CB5A4B">
        <w:t>lapso</w:t>
      </w:r>
      <w:r>
        <w:t xml:space="preserve"> </w:t>
      </w:r>
      <w:r w:rsidR="008923DC">
        <w:t xml:space="preserve">de </w:t>
      </w:r>
      <w:r>
        <w:t>dos o tres series cognitivas con impulsiones que se extiend</w:t>
      </w:r>
      <w:r w:rsidR="00C50861">
        <w:t>a</w:t>
      </w:r>
      <w:r>
        <w:t xml:space="preserve">n antes y después de la serie </w:t>
      </w:r>
      <w:r w:rsidR="00771114">
        <w:t xml:space="preserve">estrictamente </w:t>
      </w:r>
      <w:r>
        <w:t>cognitiva</w:t>
      </w:r>
      <w:r w:rsidR="00232ACC">
        <w:t>,</w:t>
      </w:r>
      <w:r>
        <w:t xml:space="preserve"> </w:t>
      </w:r>
      <w:r w:rsidR="0057609E">
        <w:t>presente</w:t>
      </w:r>
      <w:r>
        <w:t xml:space="preserve"> </w:t>
      </w:r>
      <w:r w:rsidR="00232ACC">
        <w:t xml:space="preserve">y </w:t>
      </w:r>
      <w:r>
        <w:t xml:space="preserve">existente con impulsiones, se </w:t>
      </w:r>
      <w:r w:rsidR="00013A05">
        <w:t xml:space="preserve">le </w:t>
      </w:r>
      <w:r>
        <w:t>llama</w:t>
      </w:r>
      <w:r w:rsidR="00013A05">
        <w:t>rá</w:t>
      </w:r>
      <w:r>
        <w:t xml:space="preserve"> "presente </w:t>
      </w:r>
      <w:r w:rsidR="00013A05">
        <w:t>mediante</w:t>
      </w:r>
      <w:r>
        <w:t xml:space="preserve"> </w:t>
      </w:r>
      <w:r w:rsidR="007B2B9D">
        <w:t xml:space="preserve">la </w:t>
      </w:r>
      <w:r w:rsidRPr="00CB5A4B">
        <w:rPr>
          <w:i/>
          <w:iCs/>
        </w:rPr>
        <w:t>continuidad</w:t>
      </w:r>
      <w:r>
        <w:t xml:space="preserve">". Pero en el </w:t>
      </w:r>
      <w:r w:rsidR="008568B7" w:rsidRPr="008568B7">
        <w:rPr>
          <w:i/>
          <w:iCs/>
        </w:rPr>
        <w:t>Comentario</w:t>
      </w:r>
      <w:r w:rsidR="008568B7">
        <w:t xml:space="preserve"> </w:t>
      </w:r>
      <w:proofErr w:type="spellStart"/>
      <w:r w:rsidRPr="008568B7">
        <w:rPr>
          <w:i/>
          <w:iCs/>
        </w:rPr>
        <w:t>Saṃyutta</w:t>
      </w:r>
      <w:proofErr w:type="spellEnd"/>
      <w:r>
        <w:t xml:space="preserve"> se dice que </w:t>
      </w:r>
      <w:r w:rsidR="007B2B9D">
        <w:t xml:space="preserve">el </w:t>
      </w:r>
      <w:r>
        <w:t xml:space="preserve">"presente </w:t>
      </w:r>
      <w:r w:rsidR="007B2B9D">
        <w:t>mediante la</w:t>
      </w:r>
      <w:r>
        <w:t xml:space="preserve"> </w:t>
      </w:r>
      <w:r w:rsidRPr="00CB5A4B">
        <w:rPr>
          <w:i/>
          <w:iCs/>
        </w:rPr>
        <w:t>extensión</w:t>
      </w:r>
      <w:r>
        <w:t>" debe</w:t>
      </w:r>
      <w:r w:rsidR="007B2B9D">
        <w:t>rá</w:t>
      </w:r>
      <w:r>
        <w:t xml:space="preserve"> ilustrarse mediante </w:t>
      </w:r>
      <w:r w:rsidR="007B2B9D">
        <w:t xml:space="preserve">un ciclo </w:t>
      </w:r>
      <w:r>
        <w:t>de impulsiones.</w:t>
      </w:r>
    </w:p>
    <w:p w14:paraId="3C67CCD7" w14:textId="47ED8C5D" w:rsidR="00332FB4" w:rsidRDefault="00332FB4" w:rsidP="00332FB4">
      <w:r>
        <w:t xml:space="preserve">118. </w:t>
      </w:r>
      <w:r>
        <w:tab/>
        <w:t>E</w:t>
      </w:r>
      <w:r w:rsidR="00A25024">
        <w:t>ll</w:t>
      </w:r>
      <w:r>
        <w:t xml:space="preserve">o se </w:t>
      </w:r>
      <w:r w:rsidR="00A25024">
        <w:t>afirma</w:t>
      </w:r>
      <w:r>
        <w:t xml:space="preserve"> </w:t>
      </w:r>
      <w:r w:rsidR="00267CE4">
        <w:t>razonablemente</w:t>
      </w:r>
      <w:r>
        <w:t xml:space="preserve">. Aquí la ilustración. El poseedor de </w:t>
      </w:r>
      <w:r w:rsidR="00267CE4">
        <w:t xml:space="preserve">la </w:t>
      </w:r>
      <w:r>
        <w:t>fuerza supernormal que quier</w:t>
      </w:r>
      <w:r w:rsidR="00267CE4">
        <w:t>a</w:t>
      </w:r>
      <w:r>
        <w:t xml:space="preserve"> conocer </w:t>
      </w:r>
      <w:r w:rsidR="00373C86">
        <w:t xml:space="preserve">la </w:t>
      </w:r>
      <w:r>
        <w:t>ment</w:t>
      </w:r>
      <w:r w:rsidR="00373C86">
        <w:t>e</w:t>
      </w:r>
      <w:r>
        <w:t xml:space="preserve"> de otro</w:t>
      </w:r>
      <w:r w:rsidR="00373C86">
        <w:t xml:space="preserve"> ser la advertirá</w:t>
      </w:r>
      <w:r>
        <w:t xml:space="preserve">. </w:t>
      </w:r>
      <w:r w:rsidR="006233B4">
        <w:t>El advertir</w:t>
      </w:r>
      <w:r>
        <w:t xml:space="preserve"> </w:t>
      </w:r>
      <w:r w:rsidR="006233B4">
        <w:t xml:space="preserve">la </w:t>
      </w:r>
      <w:r>
        <w:t>con</w:t>
      </w:r>
      <w:r w:rsidR="006233B4">
        <w:t>s</w:t>
      </w:r>
      <w:r>
        <w:t>ciencia</w:t>
      </w:r>
      <w:r w:rsidR="00A61688">
        <w:t xml:space="preserve">, </w:t>
      </w:r>
      <w:r w:rsidR="00060F27">
        <w:t>la cual</w:t>
      </w:r>
      <w:r w:rsidR="00A61688">
        <w:t xml:space="preserve"> será la consciencia del otro,</w:t>
      </w:r>
      <w:r>
        <w:t xml:space="preserve"> ha</w:t>
      </w:r>
      <w:r w:rsidR="006233B4">
        <w:t>rá</w:t>
      </w:r>
      <w:r>
        <w:t xml:space="preserve"> </w:t>
      </w:r>
      <w:r w:rsidR="00B73137">
        <w:t xml:space="preserve">del </w:t>
      </w:r>
      <w:r>
        <w:t xml:space="preserve">presente </w:t>
      </w:r>
      <w:r w:rsidR="00626116">
        <w:t>mediante el</w:t>
      </w:r>
      <w:r>
        <w:t xml:space="preserve"> momento su objeto y cesa</w:t>
      </w:r>
      <w:r w:rsidR="00626116">
        <w:t>rá</w:t>
      </w:r>
      <w:r>
        <w:t xml:space="preserve"> junto con él. Después de e</w:t>
      </w:r>
      <w:r w:rsidR="005F54F5">
        <w:t>ll</w:t>
      </w:r>
      <w:r>
        <w:t xml:space="preserve">o, </w:t>
      </w:r>
      <w:r w:rsidR="005F54F5">
        <w:t xml:space="preserve">habrá </w:t>
      </w:r>
      <w:r>
        <w:t xml:space="preserve">cuatro o cinco impulsiones, de las cuales la última </w:t>
      </w:r>
      <w:r w:rsidR="00A25024">
        <w:t xml:space="preserve">será </w:t>
      </w:r>
      <w:r>
        <w:t>la con</w:t>
      </w:r>
      <w:r w:rsidR="005F54F5">
        <w:t>s</w:t>
      </w:r>
      <w:r>
        <w:t xml:space="preserve">ciencia de </w:t>
      </w:r>
      <w:r w:rsidR="00A25024">
        <w:t xml:space="preserve">la </w:t>
      </w:r>
      <w:r>
        <w:t xml:space="preserve">fuerza supernormal, el resto </w:t>
      </w:r>
      <w:r w:rsidR="005F54F5">
        <w:t xml:space="preserve">corresponderá a </w:t>
      </w:r>
      <w:r>
        <w:t xml:space="preserve">la esfera de </w:t>
      </w:r>
      <w:r w:rsidR="005F54F5">
        <w:t xml:space="preserve">los </w:t>
      </w:r>
      <w:r>
        <w:t>sentido</w:t>
      </w:r>
      <w:r w:rsidR="005F54F5">
        <w:t>s</w:t>
      </w:r>
      <w:r>
        <w:t>. Esa misma con</w:t>
      </w:r>
      <w:r w:rsidR="005F54F5">
        <w:t>s</w:t>
      </w:r>
      <w:r>
        <w:t>ciencia de</w:t>
      </w:r>
      <w:r w:rsidR="00A25024">
        <w:t>l</w:t>
      </w:r>
      <w:r>
        <w:t xml:space="preserve"> otro, que ha</w:t>
      </w:r>
      <w:r w:rsidR="000F1A05">
        <w:t>ya</w:t>
      </w:r>
      <w:r>
        <w:t xml:space="preserve"> cesado, </w:t>
      </w:r>
      <w:r w:rsidR="001A4699">
        <w:t xml:space="preserve">será </w:t>
      </w:r>
      <w:r>
        <w:t xml:space="preserve">el objeto de todos estos también, por lo que no </w:t>
      </w:r>
      <w:r w:rsidR="001A4699">
        <w:t>tendrán</w:t>
      </w:r>
      <w:r>
        <w:t xml:space="preserve"> objetos diferentes porque </w:t>
      </w:r>
      <w:r w:rsidR="001A4699">
        <w:t xml:space="preserve">tendrán </w:t>
      </w:r>
      <w:r>
        <w:t>un objeto que est</w:t>
      </w:r>
      <w:r w:rsidR="001A4699">
        <w:t>ar</w:t>
      </w:r>
      <w:r>
        <w:t xml:space="preserve">á "presente </w:t>
      </w:r>
      <w:r w:rsidR="001A4699">
        <w:t>mediante la</w:t>
      </w:r>
      <w:r>
        <w:t xml:space="preserve"> extensión". Y aunque </w:t>
      </w:r>
      <w:r w:rsidR="001A4699">
        <w:t xml:space="preserve">tengan </w:t>
      </w:r>
      <w:r>
        <w:t xml:space="preserve">un solo objeto, </w:t>
      </w:r>
      <w:r w:rsidR="001A4699">
        <w:t xml:space="preserve">será </w:t>
      </w:r>
      <w:r>
        <w:t>solo la con</w:t>
      </w:r>
      <w:r w:rsidR="001A4699">
        <w:t>s</w:t>
      </w:r>
      <w:r>
        <w:t>ciencia de</w:t>
      </w:r>
      <w:r w:rsidR="00A25024">
        <w:t xml:space="preserve">l </w:t>
      </w:r>
      <w:r w:rsidR="00562B2C">
        <w:t xml:space="preserve">poder </w:t>
      </w:r>
      <w:r>
        <w:t>supernormal qu</w:t>
      </w:r>
      <w:r w:rsidR="00562B2C">
        <w:t>ien</w:t>
      </w:r>
      <w:r>
        <w:t xml:space="preserve"> en realidad conoce</w:t>
      </w:r>
      <w:r w:rsidR="001A4699">
        <w:t>rá</w:t>
      </w:r>
      <w:r>
        <w:t xml:space="preserve"> la con</w:t>
      </w:r>
      <w:r w:rsidR="001A4699">
        <w:t>s</w:t>
      </w:r>
      <w:r>
        <w:t>ciencia de</w:t>
      </w:r>
      <w:r w:rsidR="00F61910">
        <w:t>l</w:t>
      </w:r>
      <w:r>
        <w:t xml:space="preserve"> otro, no </w:t>
      </w:r>
      <w:r w:rsidR="00F61910">
        <w:t xml:space="preserve">de </w:t>
      </w:r>
      <w:r>
        <w:t xml:space="preserve">los </w:t>
      </w:r>
      <w:r w:rsidR="002E0D1E">
        <w:t>otros</w:t>
      </w:r>
      <w:r>
        <w:t xml:space="preserve">, al igual que en la puerta </w:t>
      </w:r>
      <w:r w:rsidR="00D910DD">
        <w:t>visual</w:t>
      </w:r>
      <w:r>
        <w:t>, es solo la con</w:t>
      </w:r>
      <w:r w:rsidR="002E0D1E">
        <w:t>s</w:t>
      </w:r>
      <w:r>
        <w:t xml:space="preserve">ciencia </w:t>
      </w:r>
      <w:r w:rsidR="00F61910">
        <w:t xml:space="preserve">visual </w:t>
      </w:r>
      <w:r>
        <w:t>l</w:t>
      </w:r>
      <w:r w:rsidR="00F61910">
        <w:t>a</w:t>
      </w:r>
      <w:r>
        <w:t xml:space="preserve"> que realmente</w:t>
      </w:r>
      <w:r w:rsidR="002D4FFB">
        <w:t xml:space="preserve"> </w:t>
      </w:r>
      <w:r>
        <w:t>ve</w:t>
      </w:r>
      <w:r w:rsidR="00F61910">
        <w:t>rá</w:t>
      </w:r>
      <w:r>
        <w:t xml:space="preserve"> </w:t>
      </w:r>
      <w:r w:rsidR="00F61910">
        <w:t>a</w:t>
      </w:r>
      <w:r>
        <w:t xml:space="preserve">l </w:t>
      </w:r>
      <w:r w:rsidR="002E0D1E">
        <w:t xml:space="preserve">objeto </w:t>
      </w:r>
      <w:r>
        <w:t>visible, no l</w:t>
      </w:r>
      <w:r w:rsidR="006F5DA0">
        <w:t>a</w:t>
      </w:r>
      <w:r>
        <w:t>s demás</w:t>
      </w:r>
      <w:r w:rsidR="002E0D1E">
        <w:t xml:space="preserve"> consciencias</w:t>
      </w:r>
      <w:r>
        <w:t>.</w:t>
      </w:r>
    </w:p>
    <w:p w14:paraId="752A239A" w14:textId="5C616500" w:rsidR="00332FB4" w:rsidRDefault="00332FB4" w:rsidP="00332FB4">
      <w:r>
        <w:t xml:space="preserve">119. </w:t>
      </w:r>
      <w:r>
        <w:tab/>
        <w:t xml:space="preserve">Entonces esto </w:t>
      </w:r>
      <w:r w:rsidR="0095757A">
        <w:t xml:space="preserve">tendrá </w:t>
      </w:r>
      <w:r>
        <w:t xml:space="preserve">un objeto presente </w:t>
      </w:r>
      <w:r w:rsidR="00A62E20">
        <w:t>de</w:t>
      </w:r>
      <w:r>
        <w:t xml:space="preserve"> lo que </w:t>
      </w:r>
      <w:r w:rsidR="00A62E20">
        <w:t>haya de</w:t>
      </w:r>
      <w:r>
        <w:t xml:space="preserve"> presente </w:t>
      </w:r>
      <w:r w:rsidR="004D6DDC">
        <w:t xml:space="preserve">mediante la </w:t>
      </w:r>
      <w:r>
        <w:t xml:space="preserve">continuidad y </w:t>
      </w:r>
      <w:r w:rsidR="00A62E20">
        <w:t xml:space="preserve">de </w:t>
      </w:r>
      <w:r>
        <w:t xml:space="preserve">lo que </w:t>
      </w:r>
      <w:r w:rsidR="00A62E20">
        <w:t xml:space="preserve">haya </w:t>
      </w:r>
      <w:r>
        <w:t xml:space="preserve">presente </w:t>
      </w:r>
      <w:r w:rsidR="004D6DDC">
        <w:t xml:space="preserve">mediante la </w:t>
      </w:r>
      <w:r>
        <w:t xml:space="preserve">extensión. [433] </w:t>
      </w:r>
      <w:r w:rsidR="004D6DDC">
        <w:t xml:space="preserve">O </w:t>
      </w:r>
      <w:r>
        <w:t>dado que lo que est</w:t>
      </w:r>
      <w:r w:rsidR="004D6DDC">
        <w:t>é</w:t>
      </w:r>
      <w:r>
        <w:t xml:space="preserve"> presente </w:t>
      </w:r>
      <w:r w:rsidR="004D6DDC">
        <w:t xml:space="preserve">mediante </w:t>
      </w:r>
      <w:r>
        <w:t>la continuidad cae</w:t>
      </w:r>
      <w:r w:rsidR="004D6DDC">
        <w:t>rá</w:t>
      </w:r>
      <w:r>
        <w:t xml:space="preserve"> dentro de lo que est</w:t>
      </w:r>
      <w:r w:rsidR="004D6DDC">
        <w:t>é</w:t>
      </w:r>
      <w:r>
        <w:t xml:space="preserve"> presente </w:t>
      </w:r>
      <w:r w:rsidR="004D6DDC">
        <w:t xml:space="preserve">mediante la </w:t>
      </w:r>
      <w:r>
        <w:t>extensión, por lo tanto</w:t>
      </w:r>
      <w:r w:rsidR="00A62E20">
        <w:t>,</w:t>
      </w:r>
      <w:r>
        <w:t xml:space="preserve"> se </w:t>
      </w:r>
      <w:r w:rsidR="004D6DDC">
        <w:t xml:space="preserve">podrá </w:t>
      </w:r>
      <w:r>
        <w:t xml:space="preserve">entender que </w:t>
      </w:r>
      <w:r w:rsidR="004D6DDC">
        <w:t xml:space="preserve">tendrá </w:t>
      </w:r>
      <w:r>
        <w:t xml:space="preserve">un objeto presente simplemente </w:t>
      </w:r>
      <w:r w:rsidR="00A62E20">
        <w:t xml:space="preserve">de </w:t>
      </w:r>
      <w:r>
        <w:t xml:space="preserve">lo que </w:t>
      </w:r>
      <w:r w:rsidR="00A62E20">
        <w:t xml:space="preserve">haya de </w:t>
      </w:r>
      <w:r>
        <w:t xml:space="preserve">presente </w:t>
      </w:r>
      <w:r w:rsidR="004D6DDC">
        <w:t xml:space="preserve">mediante la </w:t>
      </w:r>
      <w:r>
        <w:t>extensión.</w:t>
      </w:r>
    </w:p>
    <w:p w14:paraId="6CA4C06E" w14:textId="53A1743E" w:rsidR="00332FB4" w:rsidRDefault="00A03C77" w:rsidP="00332FB4">
      <w:pPr>
        <w:pStyle w:val="NormalConSangria"/>
      </w:pPr>
      <w:r>
        <w:rPr>
          <w:i/>
          <w:iCs/>
        </w:rPr>
        <w:t>Se dará respecto a</w:t>
      </w:r>
      <w:r w:rsidR="00332FB4" w:rsidRPr="008568B7">
        <w:rPr>
          <w:i/>
          <w:iCs/>
        </w:rPr>
        <w:t xml:space="preserve"> un objeto externo</w:t>
      </w:r>
      <w:r w:rsidR="00332FB4">
        <w:t xml:space="preserve"> porque solo </w:t>
      </w:r>
      <w:r>
        <w:t xml:space="preserve">tendrá a </w:t>
      </w:r>
      <w:r w:rsidR="00332FB4">
        <w:t xml:space="preserve">la mente de otro como </w:t>
      </w:r>
      <w:r>
        <w:t xml:space="preserve">su </w:t>
      </w:r>
      <w:r w:rsidR="00332FB4">
        <w:t>objeto.</w:t>
      </w:r>
    </w:p>
    <w:p w14:paraId="077734F9" w14:textId="77777777" w:rsidR="00332FB4" w:rsidRDefault="00332FB4" w:rsidP="00332FB4">
      <w:pPr>
        <w:pStyle w:val="NormalConSangria"/>
      </w:pPr>
      <w:r>
        <w:t>Así es como se debe entender el conocimiento de la penetración de las mentes con respecto a los ocho tipos de objetos.</w:t>
      </w:r>
    </w:p>
    <w:p w14:paraId="0337F56D" w14:textId="2B3EB7E5" w:rsidR="00332FB4" w:rsidRDefault="00332FB4" w:rsidP="00332FB4">
      <w:r>
        <w:t xml:space="preserve">120. </w:t>
      </w:r>
      <w:r>
        <w:tab/>
        <w:t xml:space="preserve">(4) El </w:t>
      </w:r>
      <w:r w:rsidRPr="008568B7">
        <w:rPr>
          <w:i/>
          <w:iCs/>
        </w:rPr>
        <w:t>conocimiento de las vidas pasadas</w:t>
      </w:r>
      <w:r>
        <w:t xml:space="preserve"> ocurr</w:t>
      </w:r>
      <w:r w:rsidR="00A141AD">
        <w:t>irá</w:t>
      </w:r>
      <w:r>
        <w:t xml:space="preserve"> con respecto a ocho tipos de objeto</w:t>
      </w:r>
      <w:r w:rsidR="00F862DA">
        <w:t xml:space="preserve"> </w:t>
      </w:r>
      <w:r w:rsidR="00F862DA" w:rsidRPr="00F862DA">
        <w:t>{</w:t>
      </w:r>
      <w:r w:rsidR="00F862DA" w:rsidRPr="00F862DA">
        <w:rPr>
          <w:color w:val="833C0B" w:themeColor="accent2" w:themeShade="80"/>
        </w:rPr>
        <w:t>no excluyente</w:t>
      </w:r>
      <w:r w:rsidR="00F862DA">
        <w:rPr>
          <w:color w:val="833C0B" w:themeColor="accent2" w:themeShade="80"/>
        </w:rPr>
        <w:t>mente</w:t>
      </w:r>
      <w:r w:rsidR="00F862DA" w:rsidRPr="00F862DA">
        <w:t>}</w:t>
      </w:r>
      <w:r>
        <w:t xml:space="preserve">, es decir, </w:t>
      </w:r>
      <w:r w:rsidR="00B06EBF">
        <w:t>con respecto a</w:t>
      </w:r>
      <w:r>
        <w:t xml:space="preserve"> un objeto limitado, ex</w:t>
      </w:r>
      <w:r w:rsidR="00B759B0">
        <w:t>celso</w:t>
      </w:r>
      <w:r>
        <w:t xml:space="preserve"> o </w:t>
      </w:r>
      <w:r w:rsidR="00B759B0">
        <w:t>inmensurable</w:t>
      </w:r>
      <w:r>
        <w:t xml:space="preserve">, </w:t>
      </w:r>
      <w:r w:rsidR="00B759B0">
        <w:t xml:space="preserve">al sendero </w:t>
      </w:r>
      <w:r>
        <w:t xml:space="preserve">como objeto, </w:t>
      </w:r>
      <w:r w:rsidR="00B759B0">
        <w:t xml:space="preserve">a </w:t>
      </w:r>
      <w:r>
        <w:t xml:space="preserve">un objeto pasado y </w:t>
      </w:r>
      <w:r w:rsidR="00B759B0">
        <w:t xml:space="preserve">a </w:t>
      </w:r>
      <w:r>
        <w:t>un</w:t>
      </w:r>
      <w:r w:rsidR="006C2881">
        <w:t>o</w:t>
      </w:r>
      <w:r>
        <w:t xml:space="preserve"> interno, </w:t>
      </w:r>
      <w:r w:rsidR="006C2881">
        <w:t xml:space="preserve">a otro </w:t>
      </w:r>
      <w:r>
        <w:t xml:space="preserve">externo o </w:t>
      </w:r>
      <w:r w:rsidR="006C2881">
        <w:t>a otro objeto no</w:t>
      </w:r>
      <w:r w:rsidR="00EF7E29">
        <w:t>-</w:t>
      </w:r>
      <w:r w:rsidR="006C2881">
        <w:t>tan</w:t>
      </w:r>
      <w:r w:rsidR="00EF7E29">
        <w:t>-</w:t>
      </w:r>
      <w:r w:rsidR="006C2881">
        <w:t>clasificable</w:t>
      </w:r>
      <w:r>
        <w:t>. ¿Cómo?</w:t>
      </w:r>
    </w:p>
    <w:p w14:paraId="14CEF638" w14:textId="47948CC3" w:rsidR="00332FB4" w:rsidRDefault="009F3C17" w:rsidP="00332FB4">
      <w:pPr>
        <w:pStyle w:val="NormalConSangria"/>
      </w:pPr>
      <w:r>
        <w:t xml:space="preserve">El </w:t>
      </w:r>
      <w:r w:rsidR="00332FB4">
        <w:t xml:space="preserve">momento de recordar los agregados de la esfera sensorial, </w:t>
      </w:r>
      <w:r w:rsidR="00EF7E29">
        <w:rPr>
          <w:i/>
          <w:iCs/>
        </w:rPr>
        <w:t xml:space="preserve">se dará </w:t>
      </w:r>
      <w:r w:rsidR="000472D1">
        <w:rPr>
          <w:i/>
          <w:iCs/>
        </w:rPr>
        <w:t xml:space="preserve">con </w:t>
      </w:r>
      <w:r w:rsidR="00EF7E29">
        <w:rPr>
          <w:i/>
          <w:iCs/>
        </w:rPr>
        <w:t>respecto a</w:t>
      </w:r>
      <w:r w:rsidR="00332FB4" w:rsidRPr="008568B7">
        <w:rPr>
          <w:i/>
          <w:iCs/>
        </w:rPr>
        <w:t xml:space="preserve"> un objeto limitado</w:t>
      </w:r>
      <w:r w:rsidR="00332FB4">
        <w:t xml:space="preserve">. </w:t>
      </w:r>
      <w:r w:rsidR="000472D1">
        <w:t xml:space="preserve">El </w:t>
      </w:r>
      <w:r w:rsidR="00332FB4">
        <w:t xml:space="preserve">momento del recuerdo de la esfera de </w:t>
      </w:r>
      <w:r w:rsidR="00EF7E29">
        <w:t xml:space="preserve">la </w:t>
      </w:r>
      <w:r w:rsidR="00332FB4">
        <w:t xml:space="preserve">materia </w:t>
      </w:r>
      <w:r w:rsidR="00EF7E29">
        <w:t xml:space="preserve">sutil </w:t>
      </w:r>
      <w:r w:rsidR="00332FB4">
        <w:t xml:space="preserve">o </w:t>
      </w:r>
      <w:r w:rsidR="007E082B">
        <w:t xml:space="preserve">de </w:t>
      </w:r>
      <w:r w:rsidR="00332FB4">
        <w:t>los agregados de la esfera inmaterial,</w:t>
      </w:r>
      <w:r w:rsidR="00332FB4" w:rsidRPr="008568B7">
        <w:rPr>
          <w:i/>
          <w:iCs/>
        </w:rPr>
        <w:t xml:space="preserve"> </w:t>
      </w:r>
      <w:r w:rsidR="007E082B">
        <w:rPr>
          <w:i/>
          <w:iCs/>
        </w:rPr>
        <w:t xml:space="preserve">se dará </w:t>
      </w:r>
      <w:r w:rsidR="000472D1">
        <w:rPr>
          <w:i/>
          <w:iCs/>
        </w:rPr>
        <w:t xml:space="preserve">con </w:t>
      </w:r>
      <w:r w:rsidR="007E082B">
        <w:rPr>
          <w:i/>
          <w:iCs/>
        </w:rPr>
        <w:t xml:space="preserve">respecto a </w:t>
      </w:r>
      <w:r w:rsidR="00332FB4" w:rsidRPr="008568B7">
        <w:rPr>
          <w:i/>
          <w:iCs/>
        </w:rPr>
        <w:t xml:space="preserve">un objeto </w:t>
      </w:r>
      <w:r w:rsidR="007E082B">
        <w:rPr>
          <w:i/>
          <w:iCs/>
        </w:rPr>
        <w:t>excelso</w:t>
      </w:r>
      <w:r w:rsidR="00332FB4">
        <w:t xml:space="preserve">. </w:t>
      </w:r>
      <w:r w:rsidR="000472D1">
        <w:t xml:space="preserve">El </w:t>
      </w:r>
      <w:r w:rsidR="00332FB4">
        <w:t xml:space="preserve">momento de recordar </w:t>
      </w:r>
      <w:r w:rsidR="007E082B">
        <w:t xml:space="preserve">un sendero </w:t>
      </w:r>
      <w:r w:rsidR="00332FB4">
        <w:t>desarrollad</w:t>
      </w:r>
      <w:r w:rsidR="007E082B">
        <w:t>o</w:t>
      </w:r>
      <w:r w:rsidR="00332FB4">
        <w:t>, o una fru</w:t>
      </w:r>
      <w:r w:rsidR="007E082B">
        <w:t>ición</w:t>
      </w:r>
      <w:r w:rsidR="00332FB4">
        <w:t xml:space="preserve"> </w:t>
      </w:r>
      <w:r w:rsidR="00A0420E">
        <w:t>consumada</w:t>
      </w:r>
      <w:r w:rsidR="00332FB4">
        <w:t xml:space="preserve">, en el pasado, ya sea por uno mismo o por otros, </w:t>
      </w:r>
      <w:r w:rsidR="008B7195">
        <w:rPr>
          <w:i/>
          <w:iCs/>
        </w:rPr>
        <w:t xml:space="preserve">se dará respecto </w:t>
      </w:r>
      <w:r w:rsidR="000472D1">
        <w:rPr>
          <w:i/>
          <w:iCs/>
        </w:rPr>
        <w:t xml:space="preserve">con </w:t>
      </w:r>
      <w:r w:rsidR="008B7195">
        <w:rPr>
          <w:i/>
          <w:iCs/>
        </w:rPr>
        <w:t xml:space="preserve">a </w:t>
      </w:r>
      <w:r w:rsidR="00332FB4" w:rsidRPr="00EB61C9">
        <w:rPr>
          <w:i/>
          <w:iCs/>
        </w:rPr>
        <w:t xml:space="preserve">un objeto </w:t>
      </w:r>
      <w:r w:rsidR="008B7195">
        <w:rPr>
          <w:i/>
          <w:iCs/>
        </w:rPr>
        <w:t>inmensurable</w:t>
      </w:r>
      <w:r w:rsidR="00332FB4">
        <w:t xml:space="preserve">. En el momento de recordar un </w:t>
      </w:r>
      <w:r w:rsidR="008B7195">
        <w:t xml:space="preserve">sendero </w:t>
      </w:r>
      <w:r w:rsidR="00332FB4">
        <w:t>desarrollad</w:t>
      </w:r>
      <w:r w:rsidR="008B7195">
        <w:t>o</w:t>
      </w:r>
      <w:r w:rsidR="00332FB4">
        <w:t xml:space="preserve">, </w:t>
      </w:r>
      <w:r w:rsidR="008B7195">
        <w:rPr>
          <w:i/>
          <w:iCs/>
        </w:rPr>
        <w:t xml:space="preserve">se dará </w:t>
      </w:r>
      <w:r w:rsidR="000472D1">
        <w:rPr>
          <w:i/>
          <w:iCs/>
        </w:rPr>
        <w:t xml:space="preserve">con </w:t>
      </w:r>
      <w:r w:rsidR="008B7195">
        <w:rPr>
          <w:i/>
          <w:iCs/>
        </w:rPr>
        <w:t xml:space="preserve">respecto </w:t>
      </w:r>
      <w:r w:rsidR="00EB61C9">
        <w:rPr>
          <w:i/>
          <w:iCs/>
        </w:rPr>
        <w:t>al sendero</w:t>
      </w:r>
      <w:r w:rsidR="00332FB4" w:rsidRPr="00EB61C9">
        <w:rPr>
          <w:i/>
          <w:iCs/>
        </w:rPr>
        <w:t xml:space="preserve"> como objeto</w:t>
      </w:r>
      <w:r w:rsidR="00332FB4">
        <w:t xml:space="preserve">. </w:t>
      </w:r>
      <w:r w:rsidR="00A42EAF">
        <w:t xml:space="preserve">No obstante, esto </w:t>
      </w:r>
      <w:r w:rsidR="00332FB4">
        <w:t xml:space="preserve">invariablemente </w:t>
      </w:r>
      <w:r w:rsidR="00A42EAF">
        <w:rPr>
          <w:i/>
          <w:iCs/>
        </w:rPr>
        <w:t xml:space="preserve">se dará </w:t>
      </w:r>
      <w:r w:rsidR="000472D1">
        <w:rPr>
          <w:i/>
          <w:iCs/>
        </w:rPr>
        <w:t xml:space="preserve">con </w:t>
      </w:r>
      <w:r w:rsidR="00A42EAF">
        <w:rPr>
          <w:i/>
          <w:iCs/>
        </w:rPr>
        <w:t xml:space="preserve">respecto a </w:t>
      </w:r>
      <w:r w:rsidR="00332FB4" w:rsidRPr="00EB61C9">
        <w:rPr>
          <w:i/>
          <w:iCs/>
        </w:rPr>
        <w:t>un objeto pasado</w:t>
      </w:r>
      <w:r w:rsidR="00332FB4">
        <w:t>.</w:t>
      </w:r>
    </w:p>
    <w:p w14:paraId="056AA84D" w14:textId="2C76D7D6" w:rsidR="00332FB4" w:rsidRDefault="00332FB4" w:rsidP="00751BE7">
      <w:r>
        <w:t xml:space="preserve">121. </w:t>
      </w:r>
      <w:r>
        <w:tab/>
      </w:r>
      <w:r w:rsidR="00A42EAF">
        <w:t>Aquí</w:t>
      </w:r>
      <w:r>
        <w:t xml:space="preserve">, aunque el conocimiento de la penetración de </w:t>
      </w:r>
      <w:r w:rsidR="00180C5D">
        <w:t>otras</w:t>
      </w:r>
      <w:r>
        <w:t xml:space="preserve"> mentes y el conocimiento de l</w:t>
      </w:r>
      <w:r w:rsidR="00B902EC">
        <w:t>o</w:t>
      </w:r>
      <w:r>
        <w:t xml:space="preserve">s </w:t>
      </w:r>
      <w:r w:rsidR="00B902EC">
        <w:t xml:space="preserve">destinos </w:t>
      </w:r>
      <w:proofErr w:type="gramStart"/>
      <w:r>
        <w:t xml:space="preserve">de acuerdo </w:t>
      </w:r>
      <w:r w:rsidR="00B902EC">
        <w:t>a</w:t>
      </w:r>
      <w:proofErr w:type="gramEnd"/>
      <w:r w:rsidR="00B902EC">
        <w:t xml:space="preserve"> las acciones, </w:t>
      </w:r>
      <w:r>
        <w:t xml:space="preserve">también </w:t>
      </w:r>
      <w:r w:rsidR="00B902EC">
        <w:t xml:space="preserve">se dará respecto a </w:t>
      </w:r>
      <w:r>
        <w:t xml:space="preserve">un objeto pasado, </w:t>
      </w:r>
      <w:r w:rsidR="00AD7112">
        <w:t>inclusive</w:t>
      </w:r>
      <w:r>
        <w:t xml:space="preserve">, </w:t>
      </w:r>
      <w:r w:rsidR="00367CCB">
        <w:t xml:space="preserve">de estos </w:t>
      </w:r>
      <w:r>
        <w:t xml:space="preserve">dos, el objeto del conocimiento de la penetración de las mentes </w:t>
      </w:r>
      <w:r w:rsidR="00920FA4">
        <w:t>se dar</w:t>
      </w:r>
      <w:r w:rsidR="00920FA4">
        <w:rPr>
          <w:lang w:val="es-MX"/>
        </w:rPr>
        <w:t>á</w:t>
      </w:r>
      <w:r w:rsidR="00367CCB">
        <w:t xml:space="preserve"> </w:t>
      </w:r>
      <w:r>
        <w:t xml:space="preserve">solo </w:t>
      </w:r>
      <w:r w:rsidR="00367CCB">
        <w:t xml:space="preserve">de </w:t>
      </w:r>
      <w:r>
        <w:t>la con</w:t>
      </w:r>
      <w:r w:rsidR="00367CCB">
        <w:t>s</w:t>
      </w:r>
      <w:r>
        <w:t xml:space="preserve">ciencia </w:t>
      </w:r>
      <w:r w:rsidR="00920FA4">
        <w:t>de</w:t>
      </w:r>
      <w:r>
        <w:t xml:space="preserve"> los últimos siete días. No conoce</w:t>
      </w:r>
      <w:r w:rsidR="00367CCB">
        <w:t>rá</w:t>
      </w:r>
      <w:r>
        <w:t xml:space="preserve"> otros agregados ni de lo que est</w:t>
      </w:r>
      <w:r w:rsidR="0067593D">
        <w:t>é</w:t>
      </w:r>
      <w:r>
        <w:t xml:space="preserve"> vinculado </w:t>
      </w:r>
      <w:r w:rsidR="0067593D">
        <w:t>con</w:t>
      </w:r>
      <w:r>
        <w:t xml:space="preserve"> los agregados [es decir, </w:t>
      </w:r>
      <w:r w:rsidR="0067593D">
        <w:t xml:space="preserve">el </w:t>
      </w:r>
      <w:r>
        <w:t xml:space="preserve">nombre, </w:t>
      </w:r>
      <w:r w:rsidR="0067593D">
        <w:t xml:space="preserve">el </w:t>
      </w:r>
      <w:r>
        <w:t xml:space="preserve">apellido, etc.]. Se dice indirectamente que </w:t>
      </w:r>
      <w:r w:rsidR="0067593D">
        <w:t xml:space="preserve">se dará respecto a un sendero </w:t>
      </w:r>
      <w:r>
        <w:t xml:space="preserve">como objeto ya que </w:t>
      </w:r>
      <w:r w:rsidR="0067593D">
        <w:t xml:space="preserve">se dará respecto a </w:t>
      </w:r>
      <w:r>
        <w:t>la con</w:t>
      </w:r>
      <w:r w:rsidR="0067593D">
        <w:t>s</w:t>
      </w:r>
      <w:r>
        <w:t xml:space="preserve">ciencia asociada con </w:t>
      </w:r>
      <w:r w:rsidR="0067593D">
        <w:t>el sendero</w:t>
      </w:r>
      <w:r>
        <w:t xml:space="preserve"> como ​​ </w:t>
      </w:r>
      <w:r>
        <w:br w:type="page"/>
      </w:r>
    </w:p>
    <w:p w14:paraId="5522A88E" w14:textId="73E5AEE2" w:rsidR="005A3377" w:rsidRDefault="00920FA4" w:rsidP="005A3377">
      <w:r>
        <w:lastRenderedPageBreak/>
        <w:t>su objeto. Además, el objeto del conocimiento de</w:t>
      </w:r>
      <w:r w:rsidR="003C6170">
        <w:t xml:space="preserve"> los renacimiento</w:t>
      </w:r>
      <w:r w:rsidR="00024A2B">
        <w:t>s</w:t>
      </w:r>
      <w:r>
        <w:t xml:space="preserve"> según las acciones cometidas será </w:t>
      </w:r>
      <w:r w:rsidR="00751BE7">
        <w:t xml:space="preserve">simplemente una volición pasada. No obstante, no habrá nada, ya sean como agregados pasados o lo que esté vinculado a los </w:t>
      </w:r>
      <w:r w:rsidR="005A3377">
        <w:t xml:space="preserve">agregados, </w:t>
      </w:r>
      <w:r w:rsidR="00311342">
        <w:t>que no</w:t>
      </w:r>
      <w:r w:rsidR="005A3377">
        <w:t xml:space="preserve"> </w:t>
      </w:r>
      <w:r w:rsidR="00751BE7">
        <w:t xml:space="preserve">será </w:t>
      </w:r>
      <w:r w:rsidR="005A3377">
        <w:t xml:space="preserve">objeto del conocimiento de las vidas pasadas; </w:t>
      </w:r>
      <w:r w:rsidR="00311342">
        <w:t xml:space="preserve">ya </w:t>
      </w:r>
      <w:r w:rsidR="005A3377">
        <w:t>que e</w:t>
      </w:r>
      <w:r w:rsidR="00311342">
        <w:t>ll</w:t>
      </w:r>
      <w:r w:rsidR="005A3377">
        <w:t>o está a la par con el conocimiento omnisciente con respecto a los agregados y los estados pasados ​​</w:t>
      </w:r>
      <w:r w:rsidR="002C4EB2">
        <w:t>atados</w:t>
      </w:r>
      <w:r w:rsidR="005A3377">
        <w:t xml:space="preserve"> a los agregados. </w:t>
      </w:r>
      <w:r w:rsidR="002C4EB2">
        <w:t>É</w:t>
      </w:r>
      <w:r w:rsidR="005A3377">
        <w:t xml:space="preserve">sta es </w:t>
      </w:r>
      <w:proofErr w:type="gramStart"/>
      <w:r w:rsidR="005A3377">
        <w:t>la diferencia a entenderse aquí</w:t>
      </w:r>
      <w:proofErr w:type="gramEnd"/>
      <w:r w:rsidR="005A3377">
        <w:t>.</w:t>
      </w:r>
    </w:p>
    <w:p w14:paraId="2DA922FC" w14:textId="7AED1132" w:rsidR="005A3377" w:rsidRDefault="005A3377" w:rsidP="005A3377">
      <w:r>
        <w:t xml:space="preserve">122. </w:t>
      </w:r>
      <w:r>
        <w:tab/>
      </w:r>
      <w:r w:rsidR="006564AB">
        <w:t>É</w:t>
      </w:r>
      <w:r>
        <w:t xml:space="preserve">ste es el método según los comentarios aquí. </w:t>
      </w:r>
      <w:r w:rsidR="006564AB">
        <w:t xml:space="preserve">No obstante, </w:t>
      </w:r>
      <w:r>
        <w:t xml:space="preserve">se dice en el </w:t>
      </w:r>
      <w:proofErr w:type="spellStart"/>
      <w:r w:rsidRPr="00EB61C9">
        <w:rPr>
          <w:i/>
          <w:iCs/>
        </w:rPr>
        <w:t>Paṭṭhāna</w:t>
      </w:r>
      <w:proofErr w:type="spellEnd"/>
      <w:r>
        <w:t xml:space="preserve"> </w:t>
      </w:r>
      <w:r w:rsidR="00B861CA" w:rsidRPr="00B861CA">
        <w:t xml:space="preserve">"Los agregados </w:t>
      </w:r>
      <w:r w:rsidR="006564AB">
        <w:t xml:space="preserve">productivos </w:t>
      </w:r>
      <w:r w:rsidR="00B861CA" w:rsidRPr="00B861CA">
        <w:t xml:space="preserve">son una condición, como condición de objeto, para el conocimiento del poder supernormal, para el conocimiento de la penetración de las mentes, </w:t>
      </w:r>
      <w:r w:rsidR="005A753E">
        <w:t xml:space="preserve">para </w:t>
      </w:r>
      <w:r w:rsidR="00B861CA" w:rsidRPr="00B861CA">
        <w:t xml:space="preserve">el conocimiento de las vidas pasadas, </w:t>
      </w:r>
      <w:r w:rsidR="005A753E">
        <w:t xml:space="preserve">para </w:t>
      </w:r>
      <w:r w:rsidR="00B861CA" w:rsidRPr="00B861CA">
        <w:t>el conocimiento de</w:t>
      </w:r>
      <w:r w:rsidR="001C5034">
        <w:t xml:space="preserve"> </w:t>
      </w:r>
      <w:r w:rsidR="00B861CA" w:rsidRPr="00B861CA">
        <w:t>l</w:t>
      </w:r>
      <w:r w:rsidR="001C5034">
        <w:t>os</w:t>
      </w:r>
      <w:r w:rsidR="005A753E">
        <w:t xml:space="preserve"> </w:t>
      </w:r>
      <w:r w:rsidR="001C5034">
        <w:t xml:space="preserve">renacimientos </w:t>
      </w:r>
      <w:r w:rsidR="00B861CA" w:rsidRPr="00B861CA">
        <w:t>según l</w:t>
      </w:r>
      <w:r w:rsidR="005A753E">
        <w:t>a</w:t>
      </w:r>
      <w:r w:rsidR="00B861CA" w:rsidRPr="00B861CA">
        <w:t xml:space="preserve">s </w:t>
      </w:r>
      <w:r w:rsidR="005A753E">
        <w:t xml:space="preserve">acciones cometidas </w:t>
      </w:r>
      <w:r w:rsidR="00B861CA" w:rsidRPr="00B861CA">
        <w:t>y el conocimiento del futuro"</w:t>
      </w:r>
      <w:r w:rsidR="0031145C">
        <w:t xml:space="preserve"> </w:t>
      </w:r>
      <w:r>
        <w:t>(</w:t>
      </w:r>
      <w:proofErr w:type="spellStart"/>
      <w:r w:rsidRPr="00F03AC8">
        <w:rPr>
          <w:i/>
          <w:iCs/>
        </w:rPr>
        <w:t>Paṭṭh</w:t>
      </w:r>
      <w:proofErr w:type="spellEnd"/>
      <w:r>
        <w:t xml:space="preserve"> I 154), y por lo tanto, cuatro agregados también s</w:t>
      </w:r>
      <w:r w:rsidR="00F03AC8">
        <w:t>erá</w:t>
      </w:r>
      <w:r>
        <w:t>n los objetos del conocimiento de la penetración de las mentes y del conocimiento de</w:t>
      </w:r>
      <w:r w:rsidR="00F03AC8">
        <w:t>l</w:t>
      </w:r>
      <w:r>
        <w:t xml:space="preserve"> </w:t>
      </w:r>
      <w:r w:rsidR="00F03AC8">
        <w:t xml:space="preserve">destinos </w:t>
      </w:r>
      <w:r>
        <w:t>según l</w:t>
      </w:r>
      <w:r w:rsidR="00F03AC8">
        <w:t>a</w:t>
      </w:r>
      <w:r>
        <w:t xml:space="preserve">s </w:t>
      </w:r>
      <w:r w:rsidR="00F03AC8">
        <w:t>acciones cometidas</w:t>
      </w:r>
      <w:r>
        <w:t xml:space="preserve">. Y allí </w:t>
      </w:r>
      <w:r w:rsidR="008E54C2">
        <w:t xml:space="preserve">también los agregados productivos e improductivos serán </w:t>
      </w:r>
      <w:r>
        <w:t xml:space="preserve">el objeto del conocimiento del </w:t>
      </w:r>
      <w:r w:rsidR="008E54C2">
        <w:t xml:space="preserve">destino </w:t>
      </w:r>
      <w:proofErr w:type="gramStart"/>
      <w:r>
        <w:t xml:space="preserve">de acuerdo </w:t>
      </w:r>
      <w:r w:rsidR="008E54C2">
        <w:t>a</w:t>
      </w:r>
      <w:proofErr w:type="gramEnd"/>
      <w:r w:rsidR="008E54C2">
        <w:t xml:space="preserve"> </w:t>
      </w:r>
      <w:r>
        <w:t>l</w:t>
      </w:r>
      <w:r w:rsidR="008E54C2">
        <w:t>a</w:t>
      </w:r>
      <w:r>
        <w:t xml:space="preserve">s </w:t>
      </w:r>
      <w:r w:rsidR="008E54C2">
        <w:t>acciones cometidas</w:t>
      </w:r>
      <w:r>
        <w:t>.</w:t>
      </w:r>
    </w:p>
    <w:p w14:paraId="4CAFD764" w14:textId="738E5DF6" w:rsidR="005A3377" w:rsidRDefault="005A3377" w:rsidP="002643ED">
      <w:pPr>
        <w:spacing w:after="60"/>
      </w:pPr>
      <w:r>
        <w:t xml:space="preserve">123. </w:t>
      </w:r>
      <w:r>
        <w:tab/>
        <w:t xml:space="preserve">En el momento de recordar los propios agregados, </w:t>
      </w:r>
      <w:r w:rsidR="000247EB" w:rsidRPr="004C0770">
        <w:rPr>
          <w:i/>
          <w:iCs/>
        </w:rPr>
        <w:t>se dará respecto a</w:t>
      </w:r>
      <w:r w:rsidRPr="004C0770">
        <w:rPr>
          <w:i/>
          <w:iCs/>
        </w:rPr>
        <w:t xml:space="preserve"> un objeto interno</w:t>
      </w:r>
      <w:r>
        <w:t>. En el momento de recordar los agregados de otro</w:t>
      </w:r>
      <w:r w:rsidR="000247EB">
        <w:t>s</w:t>
      </w:r>
      <w:r>
        <w:t xml:space="preserve">, </w:t>
      </w:r>
      <w:r w:rsidR="000247EB" w:rsidRPr="004C0770">
        <w:rPr>
          <w:i/>
          <w:iCs/>
        </w:rPr>
        <w:t xml:space="preserve">se dará respecto a </w:t>
      </w:r>
      <w:r w:rsidRPr="004C0770">
        <w:rPr>
          <w:i/>
          <w:iCs/>
        </w:rPr>
        <w:t>un objeto externo</w:t>
      </w:r>
      <w:r>
        <w:t>. En el momento de recordar conceptos consisten</w:t>
      </w:r>
      <w:r w:rsidR="00312906">
        <w:t>tes</w:t>
      </w:r>
      <w:r>
        <w:t xml:space="preserve"> </w:t>
      </w:r>
      <w:r w:rsidR="00312906">
        <w:t>d</w:t>
      </w:r>
      <w:r>
        <w:t xml:space="preserve">e nombre, </w:t>
      </w:r>
      <w:r w:rsidR="00312906">
        <w:t xml:space="preserve">apellido, </w:t>
      </w:r>
      <w:r>
        <w:t>raza</w:t>
      </w:r>
      <w:r w:rsidR="00312906">
        <w:t>, etc.,</w:t>
      </w:r>
      <w:r>
        <w:t xml:space="preserve"> </w:t>
      </w:r>
      <w:r w:rsidR="001D3A80">
        <w:t>de</w:t>
      </w:r>
      <w:r>
        <w:t xml:space="preserve"> la forma que </w:t>
      </w:r>
      <w:r w:rsidR="001D3A80">
        <w:t>se describe en</w:t>
      </w:r>
      <w:r w:rsidR="00BD5A39">
        <w:t xml:space="preserve"> el pasaje</w:t>
      </w:r>
      <w:r w:rsidR="001D3A80">
        <w:t xml:space="preserve"> que comienza con</w:t>
      </w:r>
      <w:r>
        <w:t xml:space="preserve">: “En el pasado </w:t>
      </w:r>
      <w:r w:rsidR="00BD5A39">
        <w:t xml:space="preserve">existió un </w:t>
      </w:r>
      <w:r w:rsidR="00BD5A39" w:rsidRPr="00767EE6">
        <w:rPr>
          <w:i/>
          <w:iCs/>
        </w:rPr>
        <w:t>Bhagavā</w:t>
      </w:r>
      <w:r w:rsidR="00BD5A39">
        <w:t xml:space="preserve"> </w:t>
      </w:r>
      <w:r w:rsidR="00767EE6">
        <w:t xml:space="preserve">llamado </w:t>
      </w:r>
      <w:proofErr w:type="spellStart"/>
      <w:r w:rsidR="00A43F92">
        <w:rPr>
          <w:i/>
          <w:iCs/>
        </w:rPr>
        <w:t>Vipassī</w:t>
      </w:r>
      <w:proofErr w:type="spellEnd"/>
      <w:r>
        <w:t xml:space="preserve">. Su madre era </w:t>
      </w:r>
      <w:proofErr w:type="spellStart"/>
      <w:r w:rsidRPr="0031145C">
        <w:t>Bhandumatī</w:t>
      </w:r>
      <w:proofErr w:type="spellEnd"/>
      <w:r>
        <w:t xml:space="preserve">. Su padre era </w:t>
      </w:r>
      <w:proofErr w:type="spellStart"/>
      <w:proofErr w:type="gramStart"/>
      <w:r w:rsidR="0031145C" w:rsidRPr="0031145C">
        <w:t>Bhandumant</w:t>
      </w:r>
      <w:proofErr w:type="spellEnd"/>
      <w:r w:rsidR="0031145C">
        <w:t xml:space="preserve"> </w:t>
      </w:r>
      <w:r>
        <w:t>”</w:t>
      </w:r>
      <w:proofErr w:type="gramEnd"/>
      <w:r>
        <w:t>(ver D II 6–7), y el concepto consiste</w:t>
      </w:r>
      <w:r w:rsidR="00184AE4">
        <w:t>nte</w:t>
      </w:r>
      <w:r>
        <w:t xml:space="preserve"> </w:t>
      </w:r>
      <w:r w:rsidR="00184AE4">
        <w:t>d</w:t>
      </w:r>
      <w:r>
        <w:t xml:space="preserve">el signo de la tierra, etc., </w:t>
      </w:r>
      <w:r w:rsidR="00184AE4">
        <w:t xml:space="preserve">se dará </w:t>
      </w:r>
      <w:r w:rsidR="00184AE4" w:rsidRPr="001554BD">
        <w:rPr>
          <w:i/>
          <w:iCs/>
        </w:rPr>
        <w:t>respecto a</w:t>
      </w:r>
      <w:r w:rsidRPr="0031145C">
        <w:rPr>
          <w:i/>
          <w:iCs/>
        </w:rPr>
        <w:t xml:space="preserve"> un objeto no</w:t>
      </w:r>
      <w:r w:rsidR="00184AE4">
        <w:rPr>
          <w:i/>
          <w:iCs/>
        </w:rPr>
        <w:t>-</w:t>
      </w:r>
      <w:r w:rsidRPr="0031145C">
        <w:rPr>
          <w:i/>
          <w:iCs/>
        </w:rPr>
        <w:t>tan</w:t>
      </w:r>
      <w:r w:rsidR="00184AE4">
        <w:rPr>
          <w:i/>
          <w:iCs/>
        </w:rPr>
        <w:t>-</w:t>
      </w:r>
      <w:r w:rsidRPr="0031145C">
        <w:rPr>
          <w:i/>
          <w:iCs/>
        </w:rPr>
        <w:t>clasificable.</w:t>
      </w:r>
      <w:r>
        <w:t xml:space="preserve"> Y aquí el nombre</w:t>
      </w:r>
      <w:r w:rsidR="00184AE4">
        <w:t>,</w:t>
      </w:r>
      <w:r>
        <w:t xml:space="preserve"> raza (apellido, linaje</w:t>
      </w:r>
      <w:r w:rsidR="004C0770">
        <w:t>, etc.</w:t>
      </w:r>
      <w:r>
        <w:t>) debe</w:t>
      </w:r>
      <w:r w:rsidR="009C75CF">
        <w:t>rá</w:t>
      </w:r>
      <w:r>
        <w:t xml:space="preserve">n considerarse no </w:t>
      </w:r>
      <w:r w:rsidR="001D3A80">
        <w:t>mediante</w:t>
      </w:r>
      <w:r>
        <w:t xml:space="preserve"> las palabras reales, sino </w:t>
      </w:r>
      <w:r w:rsidR="001D3A80">
        <w:t xml:space="preserve">mediante </w:t>
      </w:r>
      <w:r>
        <w:t xml:space="preserve">el significado de las palabras, que se establece por convención y se une a los agregados. </w:t>
      </w:r>
      <w:r w:rsidR="009C75CF">
        <w:t xml:space="preserve">Ya que </w:t>
      </w:r>
      <w:r>
        <w:t>las palabras reales [434] s</w:t>
      </w:r>
      <w:r w:rsidR="009C75CF">
        <w:t>erá</w:t>
      </w:r>
      <w:r>
        <w:t xml:space="preserve">n ​​"limitadas" </w:t>
      </w:r>
      <w:r w:rsidR="00E7646C">
        <w:t xml:space="preserve">por </w:t>
      </w:r>
      <w:r>
        <w:t>est</w:t>
      </w:r>
      <w:r w:rsidR="00E7646C">
        <w:t>ar</w:t>
      </w:r>
      <w:r>
        <w:t xml:space="preserve"> incluidas </w:t>
      </w:r>
      <w:r w:rsidR="00136DD4">
        <w:t xml:space="preserve">en </w:t>
      </w:r>
      <w:r>
        <w:t>la base de</w:t>
      </w:r>
      <w:r w:rsidR="00E7646C">
        <w:t>l</w:t>
      </w:r>
      <w:r>
        <w:t xml:space="preserve"> sonido, según se dice: "La discriminación del lenguaje </w:t>
      </w:r>
      <w:r w:rsidR="00136DD4">
        <w:t xml:space="preserve">tendrá </w:t>
      </w:r>
      <w:r>
        <w:t xml:space="preserve">un objeto limitado" (VIBH 304). Nuestra preferencia aquí es </w:t>
      </w:r>
      <w:r w:rsidR="00136DD4">
        <w:t>é</w:t>
      </w:r>
      <w:r>
        <w:t>sta.</w:t>
      </w:r>
    </w:p>
    <w:p w14:paraId="10E6F9DD" w14:textId="1698BF99" w:rsidR="005A3377" w:rsidRDefault="005A3377" w:rsidP="002643ED">
      <w:pPr>
        <w:pStyle w:val="NormalConSangria"/>
        <w:spacing w:after="60"/>
      </w:pPr>
      <w:r>
        <w:t>Así es como se debe</w:t>
      </w:r>
      <w:r w:rsidR="00136DD4">
        <w:t>rá</w:t>
      </w:r>
      <w:r>
        <w:t xml:space="preserve"> entender el conocimiento de las vidas pasadas con respecto a los ocho tipos de objetos.</w:t>
      </w:r>
    </w:p>
    <w:p w14:paraId="080C414B" w14:textId="40C30B12" w:rsidR="005A3377" w:rsidRDefault="005A3377" w:rsidP="005A3377">
      <w:r>
        <w:t xml:space="preserve">124. </w:t>
      </w:r>
      <w:r w:rsidR="008568B7">
        <w:tab/>
      </w:r>
      <w:r>
        <w:t xml:space="preserve">(5) </w:t>
      </w:r>
      <w:r w:rsidRPr="0031145C">
        <w:rPr>
          <w:i/>
          <w:iCs/>
        </w:rPr>
        <w:t>El conocimiento del ojo divino</w:t>
      </w:r>
      <w:r>
        <w:t xml:space="preserve"> ocurr</w:t>
      </w:r>
      <w:r w:rsidR="00E7646C">
        <w:t>irá</w:t>
      </w:r>
      <w:r>
        <w:t xml:space="preserve"> con respecto a cuatro tipos de objeto, es decir, </w:t>
      </w:r>
      <w:r w:rsidR="003E2544">
        <w:t xml:space="preserve">respecto a </w:t>
      </w:r>
      <w:r>
        <w:t xml:space="preserve">un objeto limitado, </w:t>
      </w:r>
      <w:r w:rsidR="003E2544">
        <w:t xml:space="preserve">otro </w:t>
      </w:r>
      <w:r>
        <w:t>presente</w:t>
      </w:r>
      <w:r w:rsidR="003E2544">
        <w:t>,</w:t>
      </w:r>
      <w:r>
        <w:t xml:space="preserve"> </w:t>
      </w:r>
      <w:r w:rsidR="003E2544">
        <w:t>otro</w:t>
      </w:r>
      <w:r>
        <w:t xml:space="preserve"> interno </w:t>
      </w:r>
      <w:r w:rsidR="003E2544">
        <w:t>u otro</w:t>
      </w:r>
      <w:r>
        <w:t xml:space="preserve"> externo. ¿Cómo? Dado que ha</w:t>
      </w:r>
      <w:r w:rsidR="00B636F5">
        <w:t>rá de la</w:t>
      </w:r>
      <w:r>
        <w:t xml:space="preserve"> materialidad su objeto y </w:t>
      </w:r>
      <w:r w:rsidR="00B636F5">
        <w:t xml:space="preserve">la </w:t>
      </w:r>
      <w:r>
        <w:t xml:space="preserve">materialidad </w:t>
      </w:r>
      <w:r w:rsidR="00B636F5">
        <w:t xml:space="preserve">será </w:t>
      </w:r>
      <w:r>
        <w:t>limitad</w:t>
      </w:r>
      <w:r w:rsidR="00B636F5">
        <w:t>a</w:t>
      </w:r>
      <w:r>
        <w:t xml:space="preserve"> (ver </w:t>
      </w:r>
      <w:proofErr w:type="spellStart"/>
      <w:r>
        <w:t>Vibh</w:t>
      </w:r>
      <w:proofErr w:type="spellEnd"/>
      <w:r>
        <w:t xml:space="preserve"> 62), por lo tanto, </w:t>
      </w:r>
      <w:r w:rsidR="00B636F5">
        <w:rPr>
          <w:i/>
          <w:iCs/>
        </w:rPr>
        <w:t xml:space="preserve">se dará respecto a </w:t>
      </w:r>
      <w:r w:rsidRPr="0031145C">
        <w:rPr>
          <w:i/>
          <w:iCs/>
        </w:rPr>
        <w:t>un objeto limitado</w:t>
      </w:r>
      <w:r>
        <w:t>. Dado que ocurr</w:t>
      </w:r>
      <w:r w:rsidR="00B636F5">
        <w:t>irá</w:t>
      </w:r>
      <w:r>
        <w:t xml:space="preserve"> solo respecto a la materialidad existente, </w:t>
      </w:r>
      <w:r w:rsidR="00B636F5">
        <w:t xml:space="preserve">se </w:t>
      </w:r>
      <w:r w:rsidR="00B636F5" w:rsidRPr="008155F9">
        <w:rPr>
          <w:i/>
          <w:iCs/>
        </w:rPr>
        <w:t xml:space="preserve">dará respecto </w:t>
      </w:r>
      <w:r w:rsidR="008155F9" w:rsidRPr="008155F9">
        <w:rPr>
          <w:i/>
          <w:iCs/>
        </w:rPr>
        <w:t xml:space="preserve">a </w:t>
      </w:r>
      <w:r w:rsidRPr="008155F9">
        <w:rPr>
          <w:i/>
          <w:iCs/>
        </w:rPr>
        <w:t>un objeto presente</w:t>
      </w:r>
      <w:r>
        <w:t xml:space="preserve">. En el momento de </w:t>
      </w:r>
      <w:r w:rsidR="008155F9">
        <w:t xml:space="preserve">observar </w:t>
      </w:r>
      <w:r>
        <w:t xml:space="preserve">la materialidad dentro de la propia barriga, etc., </w:t>
      </w:r>
      <w:r w:rsidR="008155F9">
        <w:rPr>
          <w:i/>
          <w:iCs/>
        </w:rPr>
        <w:t xml:space="preserve">se dará respecto a </w:t>
      </w:r>
      <w:r w:rsidRPr="0031145C">
        <w:rPr>
          <w:i/>
          <w:iCs/>
        </w:rPr>
        <w:t>un objeto interno</w:t>
      </w:r>
      <w:r>
        <w:t xml:space="preserve">. En el momento de </w:t>
      </w:r>
      <w:r w:rsidR="008155F9">
        <w:t xml:space="preserve">observar </w:t>
      </w:r>
      <w:r>
        <w:t xml:space="preserve">la materialidad de </w:t>
      </w:r>
      <w:r w:rsidRPr="008155F9">
        <w:t>otro</w:t>
      </w:r>
      <w:r w:rsidR="005B706A">
        <w:t xml:space="preserve"> ser</w:t>
      </w:r>
      <w:r w:rsidRPr="0031145C">
        <w:rPr>
          <w:i/>
          <w:iCs/>
        </w:rPr>
        <w:t xml:space="preserve">, </w:t>
      </w:r>
      <w:r w:rsidR="008155F9">
        <w:rPr>
          <w:i/>
          <w:iCs/>
        </w:rPr>
        <w:t xml:space="preserve">se dará respecto a </w:t>
      </w:r>
      <w:r w:rsidRPr="0031145C">
        <w:rPr>
          <w:i/>
          <w:iCs/>
        </w:rPr>
        <w:t>un objeto externo</w:t>
      </w:r>
      <w:r>
        <w:t>. Así es c</w:t>
      </w:r>
      <w:r w:rsidR="005B706A">
        <w:t>ó</w:t>
      </w:r>
      <w:r>
        <w:t>mo se debe</w:t>
      </w:r>
      <w:r w:rsidR="008155F9">
        <w:t>rá</w:t>
      </w:r>
      <w:r>
        <w:t xml:space="preserve"> entender el conocimiento del ojo divino respecto a los cuatro tipos de objetos.</w:t>
      </w:r>
    </w:p>
    <w:p w14:paraId="5931A1F4" w14:textId="5BEB4100" w:rsidR="005A3377" w:rsidRDefault="005A3377" w:rsidP="005A3377">
      <w:r>
        <w:t xml:space="preserve">125. </w:t>
      </w:r>
      <w:r>
        <w:tab/>
        <w:t xml:space="preserve">(6) </w:t>
      </w:r>
      <w:r w:rsidRPr="0031145C">
        <w:rPr>
          <w:i/>
          <w:iCs/>
        </w:rPr>
        <w:t>El conocimiento del futuro</w:t>
      </w:r>
      <w:r>
        <w:t xml:space="preserve"> ocurr</w:t>
      </w:r>
      <w:r w:rsidR="008155F9">
        <w:t>irá</w:t>
      </w:r>
      <w:r>
        <w:t xml:space="preserve"> respecto a ocho tipos de objeto</w:t>
      </w:r>
      <w:r w:rsidR="008155F9">
        <w:t>s</w:t>
      </w:r>
      <w:r>
        <w:t xml:space="preserve">, es decir, </w:t>
      </w:r>
      <w:r w:rsidR="00653FEE">
        <w:t>se dará respecto a</w:t>
      </w:r>
      <w:r>
        <w:t xml:space="preserve"> un objeto limitado, ex</w:t>
      </w:r>
      <w:r w:rsidR="00653FEE">
        <w:t xml:space="preserve">celso </w:t>
      </w:r>
      <w:r>
        <w:t xml:space="preserve">o inconmensurable, </w:t>
      </w:r>
      <w:r w:rsidR="00653FEE">
        <w:t xml:space="preserve">al sendero </w:t>
      </w:r>
      <w:r>
        <w:t xml:space="preserve">como </w:t>
      </w:r>
      <w:r w:rsidR="00653FEE">
        <w:t xml:space="preserve">su </w:t>
      </w:r>
      <w:r>
        <w:t xml:space="preserve">objeto, </w:t>
      </w:r>
      <w:r w:rsidR="00653FEE">
        <w:t xml:space="preserve">a </w:t>
      </w:r>
      <w:r>
        <w:t xml:space="preserve">un objeto futuro y </w:t>
      </w:r>
      <w:r w:rsidR="00653FEE">
        <w:t xml:space="preserve">a </w:t>
      </w:r>
      <w:r>
        <w:t>un</w:t>
      </w:r>
      <w:r w:rsidR="00653FEE">
        <w:t>o</w:t>
      </w:r>
      <w:r>
        <w:t xml:space="preserve"> interno, </w:t>
      </w:r>
      <w:r w:rsidR="00653FEE">
        <w:t xml:space="preserve">a otro </w:t>
      </w:r>
      <w:r>
        <w:t xml:space="preserve">externo o </w:t>
      </w:r>
      <w:r w:rsidR="00653FEE">
        <w:t>respecto a un objeto no-tan-clasificable</w:t>
      </w:r>
      <w:r>
        <w:t xml:space="preserve">. ¿Cómo? En el momento de </w:t>
      </w:r>
      <w:r w:rsidR="00653FEE">
        <w:t xml:space="preserve">conocer </w:t>
      </w:r>
      <w:r>
        <w:t>esto, "</w:t>
      </w:r>
      <w:r w:rsidR="00B47403">
        <w:t>e</w:t>
      </w:r>
      <w:r>
        <w:t xml:space="preserve">ste </w:t>
      </w:r>
      <w:r w:rsidR="00B47403">
        <w:t xml:space="preserve">ser </w:t>
      </w:r>
      <w:r>
        <w:t>renacerá en el futuro en la esfera de</w:t>
      </w:r>
      <w:r w:rsidR="00653FEE">
        <w:t xml:space="preserve"> </w:t>
      </w:r>
      <w:r>
        <w:t>l</w:t>
      </w:r>
      <w:r w:rsidR="00653FEE">
        <w:t>os</w:t>
      </w:r>
      <w:r>
        <w:t xml:space="preserve"> sentido</w:t>
      </w:r>
      <w:r w:rsidR="00653FEE">
        <w:t>s</w:t>
      </w:r>
      <w:r>
        <w:t xml:space="preserve">", </w:t>
      </w:r>
      <w:r w:rsidR="00653FEE">
        <w:rPr>
          <w:i/>
          <w:iCs/>
        </w:rPr>
        <w:t xml:space="preserve">se dará respecto a </w:t>
      </w:r>
      <w:r w:rsidRPr="0031145C">
        <w:rPr>
          <w:i/>
          <w:iCs/>
        </w:rPr>
        <w:t>un objeto limitado</w:t>
      </w:r>
      <w:r>
        <w:t xml:space="preserve">. En el momento de </w:t>
      </w:r>
      <w:r w:rsidR="00653FEE">
        <w:t>conocer</w:t>
      </w:r>
      <w:r>
        <w:t>, "</w:t>
      </w:r>
      <w:r w:rsidR="00F73687">
        <w:t xml:space="preserve">éste </w:t>
      </w:r>
      <w:r>
        <w:t xml:space="preserve">renacerá en la esfera de </w:t>
      </w:r>
      <w:r w:rsidR="00F73687">
        <w:t xml:space="preserve">la </w:t>
      </w:r>
      <w:r>
        <w:t xml:space="preserve">material </w:t>
      </w:r>
      <w:r w:rsidR="00F73687">
        <w:t xml:space="preserve">sutil </w:t>
      </w:r>
      <w:r>
        <w:t xml:space="preserve">o inmaterial", </w:t>
      </w:r>
      <w:r w:rsidR="00F73687">
        <w:rPr>
          <w:i/>
          <w:iCs/>
        </w:rPr>
        <w:t xml:space="preserve">se dará </w:t>
      </w:r>
      <w:r w:rsidRPr="0031145C">
        <w:rPr>
          <w:i/>
          <w:iCs/>
        </w:rPr>
        <w:t xml:space="preserve">un objeto </w:t>
      </w:r>
      <w:r w:rsidR="00F73687">
        <w:rPr>
          <w:i/>
          <w:iCs/>
        </w:rPr>
        <w:t>excelso</w:t>
      </w:r>
      <w:r>
        <w:t xml:space="preserve">. En el momento de </w:t>
      </w:r>
      <w:r w:rsidR="00F73687">
        <w:t>conocer</w:t>
      </w:r>
      <w:r>
        <w:t>: "</w:t>
      </w:r>
      <w:r w:rsidR="00B47403">
        <w:t xml:space="preserve">este ser </w:t>
      </w:r>
      <w:r w:rsidR="00F73687">
        <w:t>d</w:t>
      </w:r>
      <w:r>
        <w:t xml:space="preserve">esarrollará el </w:t>
      </w:r>
      <w:r w:rsidR="00F73687">
        <w:t>sendero</w:t>
      </w:r>
      <w:r>
        <w:t xml:space="preserve">, </w:t>
      </w:r>
      <w:r w:rsidR="000573A0">
        <w:t xml:space="preserve">consumará </w:t>
      </w:r>
      <w:r>
        <w:t>la fru</w:t>
      </w:r>
      <w:r w:rsidR="000573A0">
        <w:t>ición</w:t>
      </w:r>
      <w:r>
        <w:t xml:space="preserve">", </w:t>
      </w:r>
      <w:r w:rsidR="000573A0">
        <w:rPr>
          <w:i/>
          <w:iCs/>
        </w:rPr>
        <w:t xml:space="preserve">se dará respecto a </w:t>
      </w:r>
      <w:r w:rsidRPr="0031145C">
        <w:rPr>
          <w:i/>
          <w:iCs/>
        </w:rPr>
        <w:t>un objeto inconmensurable</w:t>
      </w:r>
      <w:r>
        <w:t xml:space="preserve">. En el momento de </w:t>
      </w:r>
      <w:r w:rsidR="000573A0">
        <w:t>conocer</w:t>
      </w:r>
      <w:r>
        <w:t>, "</w:t>
      </w:r>
      <w:r w:rsidR="00B47403">
        <w:t xml:space="preserve">este ser </w:t>
      </w:r>
      <w:r>
        <w:t xml:space="preserve">desarrollará el </w:t>
      </w:r>
      <w:r w:rsidR="000573A0">
        <w:t>sendero</w:t>
      </w:r>
      <w:r>
        <w:t xml:space="preserve">", también </w:t>
      </w:r>
      <w:r w:rsidR="000573A0">
        <w:rPr>
          <w:i/>
          <w:iCs/>
        </w:rPr>
        <w:t xml:space="preserve">se dará respecto </w:t>
      </w:r>
      <w:r w:rsidR="0031145C">
        <w:rPr>
          <w:i/>
          <w:iCs/>
        </w:rPr>
        <w:t>al</w:t>
      </w:r>
      <w:r w:rsidRPr="0031145C">
        <w:rPr>
          <w:i/>
          <w:iCs/>
        </w:rPr>
        <w:t xml:space="preserve"> </w:t>
      </w:r>
      <w:r w:rsidR="0031145C">
        <w:rPr>
          <w:i/>
          <w:iCs/>
        </w:rPr>
        <w:t>sendero</w:t>
      </w:r>
      <w:r w:rsidRPr="0031145C">
        <w:rPr>
          <w:i/>
          <w:iCs/>
        </w:rPr>
        <w:t xml:space="preserve"> como objeto</w:t>
      </w:r>
      <w:r>
        <w:t xml:space="preserve">. </w:t>
      </w:r>
      <w:r w:rsidR="002A4E45">
        <w:t xml:space="preserve">No obstante, </w:t>
      </w:r>
      <w:r>
        <w:t xml:space="preserve">invariablemente </w:t>
      </w:r>
      <w:r w:rsidR="002A4E45">
        <w:rPr>
          <w:i/>
          <w:iCs/>
        </w:rPr>
        <w:t xml:space="preserve">se dará respecto </w:t>
      </w:r>
      <w:r w:rsidRPr="0031145C">
        <w:rPr>
          <w:i/>
          <w:iCs/>
        </w:rPr>
        <w:t>un objeto futuro</w:t>
      </w:r>
      <w:r>
        <w:t>.</w:t>
      </w:r>
    </w:p>
    <w:p w14:paraId="280021A3" w14:textId="2E48D489" w:rsidR="005A3377" w:rsidRDefault="005A3377" w:rsidP="00C1526C">
      <w:r>
        <w:t xml:space="preserve">126. </w:t>
      </w:r>
      <w:r>
        <w:tab/>
      </w:r>
      <w:r w:rsidR="002A4E45">
        <w:t>Aquí</w:t>
      </w:r>
      <w:r>
        <w:t xml:space="preserve">, aunque el conocimiento de la penetración de las mentes también </w:t>
      </w:r>
      <w:r w:rsidR="002A4E45">
        <w:t xml:space="preserve">tendrá </w:t>
      </w:r>
      <w:r>
        <w:t xml:space="preserve">un objeto futuro, sin embargo, su objeto </w:t>
      </w:r>
      <w:r w:rsidR="002A4E45">
        <w:t xml:space="preserve">será </w:t>
      </w:r>
      <w:r>
        <w:t xml:space="preserve">solo </w:t>
      </w:r>
      <w:r w:rsidR="006328DC">
        <w:t xml:space="preserve">de </w:t>
      </w:r>
      <w:r>
        <w:t>una con</w:t>
      </w:r>
      <w:r w:rsidR="006328DC">
        <w:t>s</w:t>
      </w:r>
      <w:r>
        <w:t>ciencia futura que se encuentr</w:t>
      </w:r>
      <w:r w:rsidR="006328DC">
        <w:t>e</w:t>
      </w:r>
      <w:r>
        <w:t xml:space="preserve"> dentro de</w:t>
      </w:r>
      <w:r w:rsidR="002643ED">
        <w:t>l</w:t>
      </w:r>
      <w:r>
        <w:t xml:space="preserve"> </w:t>
      </w:r>
      <w:r>
        <w:br w:type="page"/>
      </w:r>
    </w:p>
    <w:p w14:paraId="408392F5" w14:textId="11258860" w:rsidR="008568B7" w:rsidRDefault="002643ED" w:rsidP="008568B7">
      <w:r>
        <w:lastRenderedPageBreak/>
        <w:t xml:space="preserve">rango de siete días; </w:t>
      </w:r>
      <w:r w:rsidR="00755204">
        <w:t xml:space="preserve">ya </w:t>
      </w:r>
      <w:r>
        <w:t xml:space="preserve">que no conocerá ningún otro agregado ni lo que esté vinculado a los agregados. </w:t>
      </w:r>
      <w:r w:rsidR="00C1526C">
        <w:t xml:space="preserve">No obstante, no </w:t>
      </w:r>
      <w:r w:rsidR="00755204">
        <w:t>existirá nada</w:t>
      </w:r>
      <w:r w:rsidR="008568B7">
        <w:t xml:space="preserve"> en el futuro, </w:t>
      </w:r>
      <w:r w:rsidR="00193F17">
        <w:t xml:space="preserve">tal </w:t>
      </w:r>
      <w:r w:rsidR="008568B7">
        <w:t xml:space="preserve">como se describe en el conocimiento de vidas pasadas (§121), que no </w:t>
      </w:r>
      <w:r w:rsidR="00C1526C">
        <w:t>se</w:t>
      </w:r>
      <w:r w:rsidR="009274D6">
        <w:t>rá</w:t>
      </w:r>
      <w:r w:rsidR="00C1526C">
        <w:t xml:space="preserve"> </w:t>
      </w:r>
      <w:r w:rsidR="008568B7">
        <w:t>objeto de</w:t>
      </w:r>
      <w:r w:rsidR="00755204">
        <w:t>l</w:t>
      </w:r>
      <w:r w:rsidR="008568B7">
        <w:t xml:space="preserve"> conocimiento del futuro.</w:t>
      </w:r>
    </w:p>
    <w:p w14:paraId="12A99B25" w14:textId="6773634D" w:rsidR="008568B7" w:rsidRDefault="008568B7" w:rsidP="008568B7">
      <w:r>
        <w:t xml:space="preserve">127. </w:t>
      </w:r>
      <w:r>
        <w:tab/>
        <w:t xml:space="preserve">En el momento de </w:t>
      </w:r>
      <w:r w:rsidR="009274D6">
        <w:t>conocer</w:t>
      </w:r>
      <w:r>
        <w:t>: "Re</w:t>
      </w:r>
      <w:r w:rsidR="0031145C">
        <w:t>nacer</w:t>
      </w:r>
      <w:r>
        <w:t xml:space="preserve">é allí", </w:t>
      </w:r>
      <w:r w:rsidR="009274D6">
        <w:rPr>
          <w:i/>
          <w:iCs/>
        </w:rPr>
        <w:t>se dará respecto a</w:t>
      </w:r>
      <w:r w:rsidRPr="0031145C">
        <w:rPr>
          <w:i/>
          <w:iCs/>
        </w:rPr>
        <w:t xml:space="preserve"> un objeto interno</w:t>
      </w:r>
      <w:r>
        <w:t xml:space="preserve">. En el momento de </w:t>
      </w:r>
      <w:r w:rsidR="009274D6">
        <w:t>conocer</w:t>
      </w:r>
      <w:r>
        <w:t>, "tal y tal renacerá all</w:t>
      </w:r>
      <w:r w:rsidR="00755204">
        <w:t>á</w:t>
      </w:r>
      <w:r>
        <w:t xml:space="preserve">", </w:t>
      </w:r>
      <w:r w:rsidR="009274D6">
        <w:rPr>
          <w:i/>
          <w:iCs/>
        </w:rPr>
        <w:t xml:space="preserve">se dará respecto a </w:t>
      </w:r>
      <w:r w:rsidRPr="0031145C">
        <w:rPr>
          <w:i/>
          <w:iCs/>
        </w:rPr>
        <w:t>un objeto externo</w:t>
      </w:r>
      <w:r>
        <w:t xml:space="preserve">. </w:t>
      </w:r>
      <w:r w:rsidR="009274D6">
        <w:t xml:space="preserve">No obstante, </w:t>
      </w:r>
      <w:r>
        <w:t>en el momento de conocer el nombre</w:t>
      </w:r>
      <w:r w:rsidR="009274D6">
        <w:t>,</w:t>
      </w:r>
      <w:r>
        <w:t xml:space="preserve"> raza (apellido) en la forma que comienza</w:t>
      </w:r>
      <w:r w:rsidR="009274D6">
        <w:t xml:space="preserve"> con el pasaje</w:t>
      </w:r>
      <w:r>
        <w:t xml:space="preserve">, “En el futuro surgirá el </w:t>
      </w:r>
      <w:r w:rsidR="009274D6" w:rsidRPr="00755204">
        <w:rPr>
          <w:i/>
          <w:iCs/>
        </w:rPr>
        <w:t>Buddha</w:t>
      </w:r>
      <w:r>
        <w:t xml:space="preserve"> </w:t>
      </w:r>
      <w:proofErr w:type="spellStart"/>
      <w:r w:rsidRPr="009274D6">
        <w:t>Metteyya</w:t>
      </w:r>
      <w:proofErr w:type="spellEnd"/>
      <w:r>
        <w:t xml:space="preserve">. Su padre será el </w:t>
      </w:r>
      <w:r w:rsidRPr="00755204">
        <w:rPr>
          <w:i/>
          <w:iCs/>
        </w:rPr>
        <w:t>Brahman</w:t>
      </w:r>
      <w:r>
        <w:t xml:space="preserve"> </w:t>
      </w:r>
      <w:proofErr w:type="spellStart"/>
      <w:r>
        <w:t>Subrahmā</w:t>
      </w:r>
      <w:proofErr w:type="spellEnd"/>
      <w:r>
        <w:t>. Su madre será l</w:t>
      </w:r>
      <w:r w:rsidR="00F07B97">
        <w:t>a</w:t>
      </w:r>
      <w:r>
        <w:t xml:space="preserve"> </w:t>
      </w:r>
      <w:proofErr w:type="spellStart"/>
      <w:r w:rsidRPr="00F07B97">
        <w:rPr>
          <w:i/>
          <w:iCs/>
        </w:rPr>
        <w:t>Brahmani</w:t>
      </w:r>
      <w:proofErr w:type="spellEnd"/>
      <w:r w:rsidRPr="0031145C">
        <w:t xml:space="preserve"> </w:t>
      </w:r>
      <w:proofErr w:type="spellStart"/>
      <w:proofErr w:type="gramStart"/>
      <w:r w:rsidRPr="0031145C">
        <w:t>Brahmavatī</w:t>
      </w:r>
      <w:proofErr w:type="spellEnd"/>
      <w:r>
        <w:t xml:space="preserve"> ”</w:t>
      </w:r>
      <w:proofErr w:type="gramEnd"/>
      <w:r>
        <w:t xml:space="preserve">(ver D III 76), </w:t>
      </w:r>
      <w:r w:rsidR="009274D6" w:rsidRPr="009274D6">
        <w:t xml:space="preserve">se dará </w:t>
      </w:r>
      <w:r w:rsidR="009274D6" w:rsidRPr="00F07B97">
        <w:rPr>
          <w:i/>
          <w:iCs/>
        </w:rPr>
        <w:t xml:space="preserve">respecto a </w:t>
      </w:r>
      <w:r w:rsidRPr="00F07B97">
        <w:rPr>
          <w:i/>
          <w:iCs/>
        </w:rPr>
        <w:t>un objeto no</w:t>
      </w:r>
      <w:r w:rsidR="009274D6" w:rsidRPr="00F07B97">
        <w:rPr>
          <w:i/>
          <w:iCs/>
        </w:rPr>
        <w:t>-</w:t>
      </w:r>
      <w:r w:rsidRPr="00F07B97">
        <w:rPr>
          <w:i/>
          <w:iCs/>
        </w:rPr>
        <w:t>tan</w:t>
      </w:r>
      <w:r w:rsidR="009274D6" w:rsidRPr="00F07B97">
        <w:rPr>
          <w:i/>
          <w:iCs/>
        </w:rPr>
        <w:t>-</w:t>
      </w:r>
      <w:r w:rsidRPr="00F07B97">
        <w:rPr>
          <w:i/>
          <w:iCs/>
        </w:rPr>
        <w:t>clasificable</w:t>
      </w:r>
      <w:r>
        <w:t xml:space="preserve"> en la forma descrita bajo el conocimiento de las vidas pasadas (§123).</w:t>
      </w:r>
    </w:p>
    <w:p w14:paraId="0FB1A1A0" w14:textId="42EAB1CE" w:rsidR="008568B7" w:rsidRDefault="008568B7" w:rsidP="008568B7">
      <w:pPr>
        <w:pStyle w:val="NormalConSangria"/>
      </w:pPr>
      <w:r>
        <w:t>Así es como se debe</w:t>
      </w:r>
      <w:r w:rsidR="009274D6">
        <w:t>rá</w:t>
      </w:r>
      <w:r>
        <w:t xml:space="preserve"> entender el conocimiento del futuro.</w:t>
      </w:r>
    </w:p>
    <w:p w14:paraId="2C924008" w14:textId="3059D670" w:rsidR="008568B7" w:rsidRDefault="008568B7" w:rsidP="008568B7">
      <w:r>
        <w:t xml:space="preserve">128. </w:t>
      </w:r>
      <w:r>
        <w:tab/>
        <w:t xml:space="preserve">(7) </w:t>
      </w:r>
      <w:r w:rsidRPr="0031145C">
        <w:rPr>
          <w:i/>
          <w:iCs/>
        </w:rPr>
        <w:t>El conocimiento d</w:t>
      </w:r>
      <w:r w:rsidR="009274D6">
        <w:rPr>
          <w:i/>
          <w:iCs/>
        </w:rPr>
        <w:t>e</w:t>
      </w:r>
      <w:r w:rsidR="00A024BC">
        <w:rPr>
          <w:i/>
          <w:iCs/>
        </w:rPr>
        <w:t xml:space="preserve"> </w:t>
      </w:r>
      <w:r w:rsidRPr="0031145C">
        <w:rPr>
          <w:i/>
          <w:iCs/>
        </w:rPr>
        <w:t>l</w:t>
      </w:r>
      <w:r w:rsidR="00A024BC">
        <w:rPr>
          <w:i/>
          <w:iCs/>
        </w:rPr>
        <w:t>os</w:t>
      </w:r>
      <w:r w:rsidRPr="0031145C">
        <w:rPr>
          <w:i/>
          <w:iCs/>
        </w:rPr>
        <w:t xml:space="preserve"> </w:t>
      </w:r>
      <w:r w:rsidR="00A024BC">
        <w:rPr>
          <w:i/>
          <w:iCs/>
        </w:rPr>
        <w:t xml:space="preserve">renacimientos </w:t>
      </w:r>
      <w:r w:rsidRPr="0031145C">
        <w:rPr>
          <w:i/>
          <w:iCs/>
        </w:rPr>
        <w:t xml:space="preserve">según las </w:t>
      </w:r>
      <w:r w:rsidR="009274D6">
        <w:rPr>
          <w:i/>
          <w:iCs/>
        </w:rPr>
        <w:t>acciones cometidas</w:t>
      </w:r>
      <w:r>
        <w:t xml:space="preserve"> ocurr</w:t>
      </w:r>
      <w:r w:rsidR="009274D6">
        <w:t>irá</w:t>
      </w:r>
      <w:r>
        <w:t xml:space="preserve"> respecto a cinco tipos de objetos, es decir, </w:t>
      </w:r>
      <w:r w:rsidR="009274D6" w:rsidRPr="009274D6">
        <w:t xml:space="preserve">se dará respecto </w:t>
      </w:r>
      <w:r w:rsidR="009274D6">
        <w:t xml:space="preserve">a </w:t>
      </w:r>
      <w:r>
        <w:t>un objeto limitado</w:t>
      </w:r>
      <w:r w:rsidR="009274D6">
        <w:t>,</w:t>
      </w:r>
      <w:r>
        <w:t xml:space="preserve"> </w:t>
      </w:r>
      <w:r w:rsidR="009274D6">
        <w:t>a uno excelso</w:t>
      </w:r>
      <w:r>
        <w:t xml:space="preserve">, </w:t>
      </w:r>
      <w:r w:rsidR="009274D6">
        <w:t xml:space="preserve">a </w:t>
      </w:r>
      <w:r>
        <w:t>un</w:t>
      </w:r>
      <w:r w:rsidR="009274D6">
        <w:t>o</w:t>
      </w:r>
      <w:r>
        <w:t xml:space="preserve"> pasado y </w:t>
      </w:r>
      <w:r w:rsidR="0057176E">
        <w:t xml:space="preserve">a </w:t>
      </w:r>
      <w:r>
        <w:t xml:space="preserve">un objeto interno </w:t>
      </w:r>
      <w:r w:rsidR="0057176E">
        <w:t>u otro</w:t>
      </w:r>
      <w:r>
        <w:t xml:space="preserve"> externo. ¿Cómo? En el momento de conocer </w:t>
      </w:r>
      <w:proofErr w:type="spellStart"/>
      <w:r w:rsidR="0031145C" w:rsidRPr="0031145C">
        <w:rPr>
          <w:i/>
          <w:iCs/>
        </w:rPr>
        <w:t>kamma</w:t>
      </w:r>
      <w:proofErr w:type="spellEnd"/>
      <w:r w:rsidR="0031145C">
        <w:t xml:space="preserve"> </w:t>
      </w:r>
      <w:r>
        <w:t>(hechos)</w:t>
      </w:r>
      <w:r w:rsidR="00E05B05">
        <w:t xml:space="preserve"> de la esfera de los sentidos</w:t>
      </w:r>
      <w:r>
        <w:t xml:space="preserve">, </w:t>
      </w:r>
      <w:r w:rsidR="00E05B05">
        <w:rPr>
          <w:i/>
          <w:iCs/>
        </w:rPr>
        <w:t xml:space="preserve">se dará respecto a </w:t>
      </w:r>
      <w:r w:rsidRPr="0031145C">
        <w:rPr>
          <w:i/>
          <w:iCs/>
        </w:rPr>
        <w:t>un objeto limitado</w:t>
      </w:r>
      <w:r>
        <w:t xml:space="preserve">. [435] En el momento de conocer la esfera de la materia </w:t>
      </w:r>
      <w:r w:rsidR="00FA5E9F">
        <w:t>sutil</w:t>
      </w:r>
      <w:r>
        <w:t xml:space="preserve"> o el </w:t>
      </w:r>
      <w:proofErr w:type="spellStart"/>
      <w:r w:rsidR="0031145C" w:rsidRPr="0031145C">
        <w:rPr>
          <w:i/>
          <w:iCs/>
        </w:rPr>
        <w:t>kamma</w:t>
      </w:r>
      <w:proofErr w:type="spellEnd"/>
      <w:r w:rsidR="0031145C">
        <w:t xml:space="preserve"> </w:t>
      </w:r>
      <w:r>
        <w:t xml:space="preserve">de la esfera inmaterial, </w:t>
      </w:r>
      <w:r w:rsidR="00FA5E9F" w:rsidRPr="00FA5E9F">
        <w:rPr>
          <w:i/>
          <w:iCs/>
        </w:rPr>
        <w:t xml:space="preserve">se dará respecto </w:t>
      </w:r>
      <w:r w:rsidR="00FA5E9F">
        <w:rPr>
          <w:i/>
          <w:iCs/>
        </w:rPr>
        <w:t xml:space="preserve">a </w:t>
      </w:r>
      <w:r w:rsidRPr="0031145C">
        <w:rPr>
          <w:i/>
          <w:iCs/>
        </w:rPr>
        <w:t xml:space="preserve">un objeto </w:t>
      </w:r>
      <w:r w:rsidR="00FA5E9F">
        <w:rPr>
          <w:i/>
          <w:iCs/>
        </w:rPr>
        <w:t>excelso</w:t>
      </w:r>
      <w:r>
        <w:t xml:space="preserve">. Ya que solo </w:t>
      </w:r>
      <w:r w:rsidR="00FA5E9F">
        <w:t>conocerá</w:t>
      </w:r>
      <w:r>
        <w:t xml:space="preserve"> lo que ha</w:t>
      </w:r>
      <w:r w:rsidR="00FA5E9F">
        <w:t>ya</w:t>
      </w:r>
      <w:r>
        <w:t xml:space="preserve"> pasado, </w:t>
      </w:r>
      <w:r w:rsidR="00FA5E9F">
        <w:rPr>
          <w:i/>
          <w:iCs/>
        </w:rPr>
        <w:t xml:space="preserve">se dará respecto a </w:t>
      </w:r>
      <w:r w:rsidRPr="00D03FCB">
        <w:rPr>
          <w:i/>
          <w:iCs/>
        </w:rPr>
        <w:t>un objeto pasado</w:t>
      </w:r>
      <w:r>
        <w:t xml:space="preserve">. En el momento de conocer </w:t>
      </w:r>
      <w:r w:rsidR="00D03FCB">
        <w:t>e</w:t>
      </w:r>
      <w:r>
        <w:t>l propi</w:t>
      </w:r>
      <w:r w:rsidR="00D03FCB">
        <w:t>o</w:t>
      </w:r>
      <w:r>
        <w:t xml:space="preserve"> </w:t>
      </w:r>
      <w:proofErr w:type="spellStart"/>
      <w:r w:rsidRPr="0031145C">
        <w:rPr>
          <w:i/>
          <w:iCs/>
        </w:rPr>
        <w:t>kamma</w:t>
      </w:r>
      <w:proofErr w:type="spellEnd"/>
      <w:r>
        <w:t xml:space="preserve">, </w:t>
      </w:r>
      <w:r w:rsidR="00D03FCB" w:rsidRPr="00A9698B">
        <w:rPr>
          <w:i/>
          <w:iCs/>
        </w:rPr>
        <w:t>se dará respecto a</w:t>
      </w:r>
      <w:r w:rsidR="00D03FCB">
        <w:t xml:space="preserve"> </w:t>
      </w:r>
      <w:r w:rsidRPr="0031145C">
        <w:rPr>
          <w:i/>
          <w:iCs/>
        </w:rPr>
        <w:t>un objeto interno</w:t>
      </w:r>
      <w:r>
        <w:t xml:space="preserve">. En el momento de conocer el </w:t>
      </w:r>
      <w:proofErr w:type="spellStart"/>
      <w:r w:rsidRPr="0031145C">
        <w:rPr>
          <w:i/>
          <w:iCs/>
        </w:rPr>
        <w:t>kamma</w:t>
      </w:r>
      <w:proofErr w:type="spellEnd"/>
      <w:r>
        <w:t xml:space="preserve"> de otro, </w:t>
      </w:r>
      <w:r w:rsidR="00A9698B" w:rsidRPr="00A9698B">
        <w:rPr>
          <w:i/>
          <w:iCs/>
        </w:rPr>
        <w:t xml:space="preserve">se dará respecto a </w:t>
      </w:r>
      <w:r w:rsidRPr="00A9698B">
        <w:rPr>
          <w:i/>
          <w:iCs/>
        </w:rPr>
        <w:t>un objeto externo</w:t>
      </w:r>
      <w:r>
        <w:t>. Así es como se debe</w:t>
      </w:r>
      <w:r w:rsidR="00A9698B">
        <w:t>rá</w:t>
      </w:r>
      <w:r>
        <w:t xml:space="preserve"> entender el conocimiento del</w:t>
      </w:r>
      <w:r w:rsidR="00A9698B">
        <w:t xml:space="preserve"> destino </w:t>
      </w:r>
      <w:r>
        <w:t xml:space="preserve">de acuerdo con </w:t>
      </w:r>
      <w:r w:rsidR="00A9698B">
        <w:t xml:space="preserve">a las acciones cometidas </w:t>
      </w:r>
      <w:r>
        <w:t>con respecto a los cinco tipos de objetos.</w:t>
      </w:r>
    </w:p>
    <w:p w14:paraId="01AF42A2" w14:textId="23E20FBD" w:rsidR="008568B7" w:rsidRDefault="008568B7" w:rsidP="008568B7">
      <w:r>
        <w:t xml:space="preserve">113. </w:t>
      </w:r>
      <w:r>
        <w:tab/>
        <w:t>Y cuando el conocimiento descrito aquí</w:t>
      </w:r>
      <w:r w:rsidR="00A9698B">
        <w:t>,</w:t>
      </w:r>
      <w:r>
        <w:t xml:space="preserve"> tanto como "</w:t>
      </w:r>
      <w:r w:rsidR="00A9698B" w:rsidRPr="00A9698B">
        <w:t xml:space="preserve">respecto </w:t>
      </w:r>
      <w:r w:rsidR="00A9698B">
        <w:t xml:space="preserve">a </w:t>
      </w:r>
      <w:r>
        <w:t>un objeto interno" y "</w:t>
      </w:r>
      <w:r w:rsidR="00A9698B" w:rsidRPr="00A9698B">
        <w:t xml:space="preserve"> respecto </w:t>
      </w:r>
      <w:r w:rsidR="00A9698B">
        <w:t xml:space="preserve">a </w:t>
      </w:r>
      <w:r>
        <w:t xml:space="preserve">un objeto externo" </w:t>
      </w:r>
      <w:r w:rsidR="00D44721">
        <w:t>cono</w:t>
      </w:r>
      <w:r w:rsidR="003C1CAE">
        <w:t>zca</w:t>
      </w:r>
      <w:r>
        <w:t xml:space="preserve"> estos objetos ahora internamente y ahora externamente, se di</w:t>
      </w:r>
      <w:r w:rsidR="003C1CAE">
        <w:t>rá</w:t>
      </w:r>
      <w:r>
        <w:t xml:space="preserve"> que también </w:t>
      </w:r>
      <w:r w:rsidR="00694689">
        <w:t xml:space="preserve">que </w:t>
      </w:r>
      <w:r w:rsidR="003C1CAE">
        <w:t xml:space="preserve">se habrá dado </w:t>
      </w:r>
      <w:r w:rsidR="003C1CAE" w:rsidRPr="003C1CAE">
        <w:rPr>
          <w:i/>
          <w:iCs/>
        </w:rPr>
        <w:t>respecto</w:t>
      </w:r>
      <w:r w:rsidR="003C1CAE">
        <w:t xml:space="preserve"> </w:t>
      </w:r>
      <w:r w:rsidRPr="00C867D1">
        <w:rPr>
          <w:i/>
          <w:iCs/>
        </w:rPr>
        <w:t>un objeto interno-externo</w:t>
      </w:r>
      <w:r>
        <w:t>.</w:t>
      </w:r>
    </w:p>
    <w:p w14:paraId="1CAC6084" w14:textId="61DA947F" w:rsidR="00DE4D61" w:rsidRDefault="006D7F31" w:rsidP="008568B7">
      <w:pPr>
        <w:ind w:left="708" w:right="1751"/>
      </w:pPr>
      <w:r>
        <w:t>Éste ha sido e</w:t>
      </w:r>
      <w:r w:rsidR="008568B7">
        <w:t xml:space="preserve">l </w:t>
      </w:r>
      <w:r>
        <w:t xml:space="preserve">Capítulo Trece </w:t>
      </w:r>
      <w:r w:rsidR="008568B7">
        <w:t xml:space="preserve">que concluye "la </w:t>
      </w:r>
      <w:r>
        <w:t xml:space="preserve">Descripción </w:t>
      </w:r>
      <w:r w:rsidR="008568B7">
        <w:t xml:space="preserve">del </w:t>
      </w:r>
      <w:r>
        <w:t>Conocimiento Directo</w:t>
      </w:r>
      <w:r w:rsidR="008568B7">
        <w:t xml:space="preserve">" </w:t>
      </w:r>
      <w:r>
        <w:t>d</w:t>
      </w:r>
      <w:r w:rsidR="008568B7">
        <w:t xml:space="preserve">el </w:t>
      </w:r>
      <w:r w:rsidR="008568B7" w:rsidRPr="008568B7">
        <w:rPr>
          <w:i/>
          <w:iCs/>
        </w:rPr>
        <w:t>Sendero de la Purificación</w:t>
      </w:r>
      <w:r w:rsidR="008568B7">
        <w:t xml:space="preserve"> compuesto </w:t>
      </w:r>
      <w:r>
        <w:t>para</w:t>
      </w:r>
      <w:r w:rsidR="008568B7">
        <w:t xml:space="preserve"> alegr</w:t>
      </w:r>
      <w:r>
        <w:t>ía</w:t>
      </w:r>
      <w:r w:rsidR="008568B7">
        <w:t xml:space="preserve"> </w:t>
      </w:r>
      <w:r>
        <w:t xml:space="preserve">de </w:t>
      </w:r>
      <w:r w:rsidR="008568B7">
        <w:t>buenas personas.</w:t>
      </w:r>
    </w:p>
    <w:p w14:paraId="197FC72C" w14:textId="77777777" w:rsidR="00DE4D61" w:rsidRDefault="00DE4D61">
      <w:pPr>
        <w:tabs>
          <w:tab w:val="clear" w:pos="425"/>
        </w:tabs>
        <w:spacing w:after="160"/>
      </w:pPr>
      <w:r>
        <w:br w:type="page"/>
      </w:r>
    </w:p>
    <w:p w14:paraId="351E2E14" w14:textId="77777777" w:rsidR="005A3377" w:rsidRDefault="005A3377" w:rsidP="008568B7">
      <w:pPr>
        <w:ind w:left="708" w:right="1751"/>
      </w:pPr>
    </w:p>
    <w:p w14:paraId="308665EB" w14:textId="77777777" w:rsidR="00304BE6" w:rsidRDefault="00304BE6" w:rsidP="008568B7">
      <w:pPr>
        <w:ind w:left="708" w:right="1751"/>
      </w:pPr>
    </w:p>
    <w:p w14:paraId="410A4C42" w14:textId="77777777" w:rsidR="00304BE6" w:rsidRDefault="00304BE6" w:rsidP="008568B7">
      <w:pPr>
        <w:ind w:left="708" w:right="1751"/>
        <w:sectPr w:rsidR="00304BE6" w:rsidSect="00305694">
          <w:pgSz w:w="8641" w:h="12962"/>
          <w:pgMar w:top="851" w:right="964" w:bottom="964" w:left="964" w:header="709" w:footer="709" w:gutter="0"/>
          <w:cols w:space="708"/>
          <w:docGrid w:linePitch="360"/>
        </w:sectPr>
      </w:pPr>
    </w:p>
    <w:p w14:paraId="20E181E2" w14:textId="77777777" w:rsidR="00597DE2" w:rsidRPr="00DC1A5F" w:rsidRDefault="00597DE2" w:rsidP="00597DE2"/>
    <w:p w14:paraId="064091CC" w14:textId="77777777" w:rsidR="00597DE2" w:rsidRPr="00DC1A5F" w:rsidRDefault="00597DE2" w:rsidP="00597DE2"/>
    <w:p w14:paraId="7625F8A7" w14:textId="77777777" w:rsidR="00597DE2" w:rsidRPr="00DC1A5F" w:rsidRDefault="00597DE2" w:rsidP="00597DE2">
      <w:pPr>
        <w:pStyle w:val="Ttulo1"/>
      </w:pPr>
      <w:bookmarkStart w:id="0" w:name="_Toc142334408"/>
      <w:r w:rsidRPr="00DC1A5F">
        <w:t xml:space="preserve">Parte III </w:t>
      </w:r>
      <w:r w:rsidRPr="00DC1A5F">
        <w:br/>
        <w:t>La Sabiduría (</w:t>
      </w:r>
      <w:r w:rsidRPr="00DC1A5F">
        <w:rPr>
          <w:i/>
          <w:iCs/>
        </w:rPr>
        <w:t>Paññā</w:t>
      </w:r>
      <w:r w:rsidRPr="00DC1A5F">
        <w:t>)</w:t>
      </w:r>
      <w:bookmarkEnd w:id="0"/>
    </w:p>
    <w:p w14:paraId="29C10BB1" w14:textId="77777777" w:rsidR="00597DE2" w:rsidRPr="00DC1A5F" w:rsidRDefault="00597DE2" w:rsidP="00597DE2"/>
    <w:p w14:paraId="6DEA43DD" w14:textId="77777777" w:rsidR="00597DE2" w:rsidRPr="00DC1A5F" w:rsidRDefault="00597DE2" w:rsidP="00597DE2">
      <w:r w:rsidRPr="00DC1A5F">
        <w:br w:type="page"/>
      </w:r>
    </w:p>
    <w:p w14:paraId="4F3A68D3" w14:textId="77777777" w:rsidR="00597DE2" w:rsidRPr="00DC1A5F" w:rsidRDefault="00597DE2" w:rsidP="00597DE2"/>
    <w:p w14:paraId="0ED44417" w14:textId="77777777" w:rsidR="00597DE2" w:rsidRPr="00DC1A5F" w:rsidRDefault="00597DE2" w:rsidP="00597DE2"/>
    <w:p w14:paraId="0044ED3E" w14:textId="77777777" w:rsidR="00597DE2" w:rsidRPr="00DC1A5F" w:rsidRDefault="00597DE2" w:rsidP="00597DE2">
      <w:pPr>
        <w:pStyle w:val="Textoindependiente"/>
        <w:sectPr w:rsidR="00597DE2" w:rsidRPr="00DC1A5F" w:rsidSect="00305694">
          <w:footerReference w:type="default" r:id="rId22"/>
          <w:pgSz w:w="8641" w:h="12962"/>
          <w:pgMar w:top="851" w:right="964" w:bottom="964" w:left="964" w:header="709" w:footer="709" w:gutter="0"/>
          <w:pgNumType w:start="487"/>
          <w:cols w:space="708"/>
          <w:docGrid w:linePitch="360"/>
        </w:sectPr>
      </w:pPr>
    </w:p>
    <w:p w14:paraId="6F4E108E" w14:textId="77777777" w:rsidR="00597DE2" w:rsidRPr="00DC1A5F" w:rsidRDefault="00597DE2" w:rsidP="00597DE2"/>
    <w:p w14:paraId="20DDF7CC" w14:textId="77777777" w:rsidR="00597DE2" w:rsidRPr="00DC1A5F" w:rsidRDefault="00597DE2" w:rsidP="00597DE2"/>
    <w:p w14:paraId="7E7817A9" w14:textId="77777777" w:rsidR="00597DE2" w:rsidRPr="00DC1A5F" w:rsidRDefault="00597DE2" w:rsidP="00597DE2">
      <w:pPr>
        <w:pStyle w:val="Ttulo2"/>
        <w:jc w:val="center"/>
      </w:pPr>
      <w:bookmarkStart w:id="1" w:name="_Toc142334409"/>
      <w:r w:rsidRPr="00DC1A5F">
        <w:t>Capítulo XIV</w:t>
      </w:r>
      <w:r w:rsidRPr="00DC1A5F">
        <w:br/>
        <w:t>Los Agregados</w:t>
      </w:r>
      <w:bookmarkEnd w:id="1"/>
    </w:p>
    <w:p w14:paraId="6030A454" w14:textId="77777777" w:rsidR="00597DE2" w:rsidRPr="00DC1A5F" w:rsidRDefault="00597DE2" w:rsidP="00597DE2"/>
    <w:p w14:paraId="451D271F" w14:textId="77777777" w:rsidR="00597DE2" w:rsidRPr="00DC1A5F" w:rsidRDefault="00597DE2" w:rsidP="00597DE2">
      <w:pPr>
        <w:pStyle w:val="Textoindependiente"/>
        <w:jc w:val="center"/>
        <w:rPr>
          <w:b/>
          <w:i/>
          <w:sz w:val="20"/>
          <w:szCs w:val="24"/>
        </w:rPr>
      </w:pPr>
      <w:r w:rsidRPr="00DC1A5F">
        <w:rPr>
          <w:b/>
          <w:i/>
          <w:sz w:val="20"/>
          <w:szCs w:val="24"/>
        </w:rPr>
        <w:t>(</w:t>
      </w:r>
      <w:proofErr w:type="spellStart"/>
      <w:r w:rsidRPr="00DC1A5F">
        <w:rPr>
          <w:b/>
          <w:i/>
          <w:sz w:val="20"/>
          <w:szCs w:val="24"/>
        </w:rPr>
        <w:t>Khandha</w:t>
      </w:r>
      <w:proofErr w:type="spellEnd"/>
      <w:r w:rsidRPr="00DC1A5F">
        <w:rPr>
          <w:b/>
          <w:i/>
          <w:sz w:val="20"/>
          <w:szCs w:val="24"/>
        </w:rPr>
        <w:t>–</w:t>
      </w:r>
      <w:proofErr w:type="spellStart"/>
      <w:r w:rsidRPr="00DC1A5F">
        <w:rPr>
          <w:b/>
          <w:i/>
          <w:sz w:val="20"/>
          <w:szCs w:val="24"/>
        </w:rPr>
        <w:t>niddesa</w:t>
      </w:r>
      <w:proofErr w:type="spellEnd"/>
      <w:r w:rsidRPr="00DC1A5F">
        <w:rPr>
          <w:b/>
          <w:i/>
          <w:sz w:val="20"/>
          <w:szCs w:val="24"/>
        </w:rPr>
        <w:t>)</w:t>
      </w:r>
    </w:p>
    <w:p w14:paraId="0A72ACBA" w14:textId="77777777" w:rsidR="00597DE2" w:rsidRPr="00DC1A5F" w:rsidRDefault="00597DE2" w:rsidP="00597DE2">
      <w:pPr>
        <w:pStyle w:val="Ttulo3"/>
        <w:ind w:left="708"/>
      </w:pPr>
      <w:r w:rsidRPr="00DC1A5F">
        <w:t>[A. Entendimiento]</w:t>
      </w:r>
    </w:p>
    <w:p w14:paraId="6C591497" w14:textId="77777777" w:rsidR="00597DE2" w:rsidRPr="00DC1A5F" w:rsidRDefault="00597DE2" w:rsidP="00597DE2">
      <w:pPr>
        <w:pStyle w:val="Textoindependiente"/>
      </w:pPr>
      <w:r w:rsidRPr="00DC1A5F">
        <w:t xml:space="preserve">1. </w:t>
      </w:r>
      <w:r w:rsidRPr="00DC1A5F">
        <w:tab/>
        <w:t xml:space="preserve">[436] Ahora bien, la concentración fue descrita bajo el término de </w:t>
      </w:r>
      <w:r w:rsidRPr="00DC1A5F">
        <w:rPr>
          <w:i/>
          <w:iCs/>
        </w:rPr>
        <w:t>consciencia</w:t>
      </w:r>
      <w:r w:rsidRPr="00DC1A5F">
        <w:t xml:space="preserve"> en la estrofa:</w:t>
      </w:r>
    </w:p>
    <w:p w14:paraId="3077C776" w14:textId="77777777" w:rsidR="00597DE2" w:rsidRPr="00DC1A5F" w:rsidRDefault="00597DE2" w:rsidP="00597DE2">
      <w:pPr>
        <w:pStyle w:val="VersoIngls01Sangria"/>
        <w:rPr>
          <w:sz w:val="16"/>
          <w:szCs w:val="20"/>
        </w:rPr>
      </w:pPr>
      <w:r w:rsidRPr="00DC1A5F">
        <w:rPr>
          <w:sz w:val="16"/>
          <w:szCs w:val="20"/>
        </w:rPr>
        <w:t>Cuando un hombre sabio, bien establecido en la virtud,</w:t>
      </w:r>
    </w:p>
    <w:p w14:paraId="7E2BD534" w14:textId="77777777" w:rsidR="00597DE2" w:rsidRPr="00DC1A5F" w:rsidRDefault="00597DE2" w:rsidP="00597DE2">
      <w:pPr>
        <w:pStyle w:val="VersoIngls01Sangria"/>
        <w:spacing w:after="100"/>
        <w:ind w:left="1418"/>
        <w:rPr>
          <w:sz w:val="16"/>
          <w:szCs w:val="20"/>
        </w:rPr>
      </w:pPr>
      <w:r w:rsidRPr="00DC1A5F">
        <w:rPr>
          <w:sz w:val="16"/>
          <w:szCs w:val="20"/>
        </w:rPr>
        <w:t>Desarrolle consciencia y sabiduría (I.1).</w:t>
      </w:r>
    </w:p>
    <w:p w14:paraId="729F15D6" w14:textId="77777777" w:rsidR="00597DE2" w:rsidRPr="00DC1A5F" w:rsidRDefault="00597DE2" w:rsidP="00597DE2">
      <w:pPr>
        <w:pStyle w:val="NormalConSangria"/>
      </w:pPr>
      <w:r w:rsidRPr="00DC1A5F">
        <w:t xml:space="preserve">Y ello habrá sido desarrollado en todos sus aspectos por el </w:t>
      </w:r>
      <w:proofErr w:type="spellStart"/>
      <w:r w:rsidRPr="00DC1A5F">
        <w:rPr>
          <w:i/>
        </w:rPr>
        <w:t>bhikkhu</w:t>
      </w:r>
      <w:proofErr w:type="spellEnd"/>
      <w:r w:rsidRPr="00DC1A5F">
        <w:t xml:space="preserve"> que posea así el desarrollo más avanzado de la concentración y que haya adquirido con conocimiento directo los beneficios respectivos [descritos en los Caps. XII y XIII]. No obstante, el </w:t>
      </w:r>
      <w:r w:rsidRPr="00DC1A5F">
        <w:rPr>
          <w:i/>
          <w:iCs/>
        </w:rPr>
        <w:t>entendimiento,</w:t>
      </w:r>
      <w:r w:rsidRPr="00DC1A5F">
        <w:t xml:space="preserve"> </w:t>
      </w:r>
      <w:r w:rsidRPr="00DC1A5F">
        <w:rPr>
          <w:color w:val="833C0B" w:themeColor="accent2" w:themeShade="80"/>
        </w:rPr>
        <w:t xml:space="preserve">la </w:t>
      </w:r>
      <w:r w:rsidRPr="00DC1A5F">
        <w:rPr>
          <w:i/>
          <w:iCs/>
          <w:color w:val="833C0B" w:themeColor="accent2" w:themeShade="80"/>
        </w:rPr>
        <w:t>sabiduría</w:t>
      </w:r>
      <w:r w:rsidRPr="00DC1A5F">
        <w:rPr>
          <w:color w:val="833C0B" w:themeColor="accent2" w:themeShade="80"/>
        </w:rPr>
        <w:t xml:space="preserve"> </w:t>
      </w:r>
      <w:r w:rsidRPr="00DC1A5F">
        <w:rPr>
          <w:i/>
          <w:iCs/>
          <w:color w:val="833C0B" w:themeColor="accent2" w:themeShade="80"/>
        </w:rPr>
        <w:t>penetrativa de la meditación Vipassana,</w:t>
      </w:r>
      <w:r w:rsidRPr="00DC1A5F">
        <w:t xml:space="preserve"> se tratará a continuación e inclusive tendrá que desarrollarse </w:t>
      </w:r>
      <w:r w:rsidRPr="00DC1A5F">
        <w:rPr>
          <w:i/>
          <w:iCs/>
          <w:color w:val="833C0B" w:themeColor="accent2" w:themeShade="80"/>
        </w:rPr>
        <w:t>meditativamente</w:t>
      </w:r>
      <w:r w:rsidRPr="00DC1A5F">
        <w:t xml:space="preserve">. Ahora bien, no es fácil, en primer lugar, inclusive desarrollar un conocimiento </w:t>
      </w:r>
      <w:r w:rsidRPr="00DC1A5F">
        <w:rPr>
          <w:i/>
          <w:iCs/>
          <w:color w:val="833C0B" w:themeColor="accent2" w:themeShade="80"/>
        </w:rPr>
        <w:t>intelectual</w:t>
      </w:r>
      <w:r w:rsidRPr="00DC1A5F">
        <w:t xml:space="preserve"> al respecto y mucho menos desarrollarlo </w:t>
      </w:r>
      <w:r w:rsidRPr="00DC1A5F">
        <w:rPr>
          <w:i/>
          <w:iCs/>
          <w:color w:val="833C0B" w:themeColor="accent2" w:themeShade="80"/>
        </w:rPr>
        <w:t>meditativamente</w:t>
      </w:r>
      <w:r w:rsidRPr="00DC1A5F">
        <w:t xml:space="preserve"> cuando esto se exponga muy brevemente. Por lo tanto, para tratar el método detallado de su desarrollo, existe el siguiente conjunto de preguntas:</w:t>
      </w:r>
    </w:p>
    <w:p w14:paraId="5C15ACF3" w14:textId="77777777" w:rsidR="00597DE2" w:rsidRPr="00DC1A5F" w:rsidRDefault="00597DE2" w:rsidP="00597DE2">
      <w:pPr>
        <w:pStyle w:val="NumeracinReload"/>
        <w:tabs>
          <w:tab w:val="clear" w:pos="425"/>
          <w:tab w:val="clear" w:pos="567"/>
          <w:tab w:val="right" w:pos="709"/>
          <w:tab w:val="left" w:pos="851"/>
        </w:tabs>
        <w:ind w:left="851"/>
      </w:pPr>
      <w:r w:rsidRPr="00DC1A5F">
        <w:tab/>
        <w:t xml:space="preserve">(i). </w:t>
      </w:r>
      <w:r w:rsidRPr="00DC1A5F">
        <w:tab/>
        <w:t>¿Qué es el entendimiento?</w:t>
      </w:r>
    </w:p>
    <w:p w14:paraId="4698CA02" w14:textId="77777777" w:rsidR="00597DE2" w:rsidRPr="00DC1A5F" w:rsidRDefault="00597DE2" w:rsidP="00597DE2">
      <w:pPr>
        <w:pStyle w:val="NumeracinReload"/>
        <w:tabs>
          <w:tab w:val="clear" w:pos="425"/>
          <w:tab w:val="clear" w:pos="567"/>
          <w:tab w:val="right" w:pos="709"/>
          <w:tab w:val="left" w:pos="851"/>
        </w:tabs>
        <w:ind w:left="851"/>
      </w:pPr>
      <w:r w:rsidRPr="00DC1A5F">
        <w:tab/>
        <w:t>(</w:t>
      </w:r>
      <w:proofErr w:type="spellStart"/>
      <w:r w:rsidRPr="00DC1A5F">
        <w:t>ii</w:t>
      </w:r>
      <w:proofErr w:type="spellEnd"/>
      <w:r w:rsidRPr="00DC1A5F">
        <w:t xml:space="preserve">). </w:t>
      </w:r>
      <w:r w:rsidRPr="00DC1A5F">
        <w:tab/>
        <w:t>¿En qué sentido es entendimiento?</w:t>
      </w:r>
    </w:p>
    <w:p w14:paraId="6E8A7F7F" w14:textId="77777777" w:rsidR="00597DE2" w:rsidRPr="00DC1A5F" w:rsidRDefault="00597DE2" w:rsidP="00597DE2">
      <w:pPr>
        <w:pStyle w:val="NumeracinReload"/>
        <w:tabs>
          <w:tab w:val="clear" w:pos="425"/>
          <w:tab w:val="clear" w:pos="567"/>
          <w:tab w:val="right" w:pos="709"/>
          <w:tab w:val="left" w:pos="851"/>
        </w:tabs>
        <w:ind w:left="851"/>
      </w:pPr>
      <w:r w:rsidRPr="00DC1A5F">
        <w:tab/>
        <w:t>(</w:t>
      </w:r>
      <w:proofErr w:type="spellStart"/>
      <w:r w:rsidRPr="00DC1A5F">
        <w:t>iii</w:t>
      </w:r>
      <w:proofErr w:type="spellEnd"/>
      <w:r w:rsidRPr="00DC1A5F">
        <w:t xml:space="preserve">). </w:t>
      </w:r>
      <w:r w:rsidRPr="00DC1A5F">
        <w:tab/>
        <w:t>¿Cuáles son sus características, función, manifestación y causa próxima?</w:t>
      </w:r>
    </w:p>
    <w:p w14:paraId="524A23FF" w14:textId="77777777" w:rsidR="00597DE2" w:rsidRPr="00DC1A5F" w:rsidRDefault="00597DE2" w:rsidP="00597DE2">
      <w:pPr>
        <w:pStyle w:val="NumeracinReload"/>
        <w:tabs>
          <w:tab w:val="clear" w:pos="425"/>
          <w:tab w:val="clear" w:pos="567"/>
          <w:tab w:val="right" w:pos="709"/>
          <w:tab w:val="left" w:pos="851"/>
        </w:tabs>
        <w:ind w:left="851"/>
      </w:pPr>
      <w:r w:rsidRPr="00DC1A5F">
        <w:tab/>
        <w:t>(</w:t>
      </w:r>
      <w:proofErr w:type="spellStart"/>
      <w:r w:rsidRPr="00DC1A5F">
        <w:t>iv</w:t>
      </w:r>
      <w:proofErr w:type="spellEnd"/>
      <w:r w:rsidRPr="00DC1A5F">
        <w:t xml:space="preserve">). </w:t>
      </w:r>
      <w:r w:rsidRPr="00DC1A5F">
        <w:tab/>
        <w:t>¿Cuántos tipos de entendimiento existen?</w:t>
      </w:r>
    </w:p>
    <w:p w14:paraId="0153C708" w14:textId="77777777" w:rsidR="00597DE2" w:rsidRPr="00DC1A5F" w:rsidRDefault="00597DE2" w:rsidP="00597DE2">
      <w:pPr>
        <w:pStyle w:val="NumeracinReload"/>
        <w:tabs>
          <w:tab w:val="clear" w:pos="425"/>
          <w:tab w:val="clear" w:pos="567"/>
          <w:tab w:val="right" w:pos="709"/>
          <w:tab w:val="left" w:pos="851"/>
        </w:tabs>
        <w:ind w:left="851"/>
      </w:pPr>
      <w:r w:rsidRPr="00DC1A5F">
        <w:tab/>
        <w:t xml:space="preserve">(v). </w:t>
      </w:r>
      <w:r w:rsidRPr="00DC1A5F">
        <w:tab/>
        <w:t>¿Cómo se desarrolla?</w:t>
      </w:r>
    </w:p>
    <w:p w14:paraId="060725C6" w14:textId="77777777" w:rsidR="00597DE2" w:rsidRPr="00DC1A5F" w:rsidRDefault="00597DE2" w:rsidP="00597DE2">
      <w:pPr>
        <w:pStyle w:val="NumeracinReload"/>
        <w:tabs>
          <w:tab w:val="clear" w:pos="425"/>
          <w:tab w:val="clear" w:pos="567"/>
          <w:tab w:val="right" w:pos="709"/>
          <w:tab w:val="left" w:pos="851"/>
        </w:tabs>
        <w:spacing w:after="100"/>
        <w:ind w:left="851"/>
      </w:pPr>
      <w:r w:rsidRPr="00DC1A5F">
        <w:tab/>
        <w:t xml:space="preserve">(vi). </w:t>
      </w:r>
      <w:r w:rsidRPr="00DC1A5F">
        <w:tab/>
        <w:t>¿Cuáles son los beneficios de desarrollar el entendimiento?</w:t>
      </w:r>
    </w:p>
    <w:p w14:paraId="5B40C252" w14:textId="77777777" w:rsidR="00597DE2" w:rsidRPr="00DC1A5F" w:rsidRDefault="00597DE2" w:rsidP="00597DE2">
      <w:r w:rsidRPr="00DC1A5F">
        <w:t xml:space="preserve">2. </w:t>
      </w:r>
      <w:r w:rsidRPr="00DC1A5F">
        <w:tab/>
        <w:t>Aquí las respuestas:</w:t>
      </w:r>
    </w:p>
    <w:p w14:paraId="5E6B9B43" w14:textId="77777777" w:rsidR="00597DE2" w:rsidRPr="00DC1A5F" w:rsidRDefault="00597DE2" w:rsidP="00597DE2">
      <w:pPr>
        <w:pStyle w:val="NormalConSangria"/>
      </w:pPr>
      <w:r w:rsidRPr="00DC1A5F">
        <w:tab/>
        <w:t>(i) ¿</w:t>
      </w:r>
      <w:r w:rsidRPr="00DC1A5F">
        <w:rPr>
          <w:rStyle w:val="Ttulo4Car"/>
        </w:rPr>
        <w:t>Qué es el Entendimiento</w:t>
      </w:r>
      <w:r w:rsidRPr="00DC1A5F">
        <w:t>? El entendimiento (</w:t>
      </w:r>
      <w:r w:rsidRPr="00DC1A5F">
        <w:rPr>
          <w:i/>
        </w:rPr>
        <w:t>paññā</w:t>
      </w:r>
      <w:r w:rsidRPr="00DC1A5F">
        <w:t xml:space="preserve">) puede ser de muchas clases y posee varios aspectos. Una respuesta que intentase explicarlo en su totalidad no lograría ni su intención ni su propósito y, además, conduciría hacia cierta distracción; de modo que nos limitaremos al tipo de entendimiento al que nos referimos aquí, al entendimiento consistente del </w:t>
      </w:r>
      <w:r w:rsidRPr="00DC1A5F">
        <w:rPr>
          <w:color w:val="833C0B" w:themeColor="accent2" w:themeShade="80"/>
          <w:u w:color="000000"/>
        </w:rPr>
        <w:t>conocimiento o sabiduría revelativ</w:t>
      </w:r>
      <w:r w:rsidRPr="00DC1A5F">
        <w:t>a asociada con una consciencia productiva.</w:t>
      </w:r>
    </w:p>
    <w:p w14:paraId="61304144" w14:textId="77777777" w:rsidR="00597DE2" w:rsidRPr="00DC1A5F" w:rsidRDefault="00597DE2" w:rsidP="00597DE2">
      <w:r w:rsidRPr="00DC1A5F">
        <w:t xml:space="preserve">3. </w:t>
      </w:r>
      <w:r w:rsidRPr="00DC1A5F">
        <w:tab/>
        <w:t>(</w:t>
      </w:r>
      <w:proofErr w:type="spellStart"/>
      <w:r w:rsidRPr="00DC1A5F">
        <w:t>ii</w:t>
      </w:r>
      <w:proofErr w:type="spellEnd"/>
      <w:r w:rsidRPr="00DC1A5F">
        <w:t>) ¿</w:t>
      </w:r>
      <w:r w:rsidRPr="00DC1A5F">
        <w:rPr>
          <w:rStyle w:val="Ttulo4Car"/>
        </w:rPr>
        <w:t>En Qué Sentido Es Entendimiento?</w:t>
      </w:r>
      <w:r w:rsidRPr="00DC1A5F">
        <w:t xml:space="preserve"> Es entendimiento (</w:t>
      </w:r>
      <w:r w:rsidRPr="00DC1A5F">
        <w:rPr>
          <w:i/>
        </w:rPr>
        <w:t>paññā</w:t>
      </w:r>
      <w:r w:rsidRPr="00DC1A5F">
        <w:t>) en el sentido de ser un acto de entendimiento (</w:t>
      </w:r>
      <w:proofErr w:type="spellStart"/>
      <w:r w:rsidRPr="00DC1A5F">
        <w:rPr>
          <w:i/>
          <w:iCs/>
        </w:rPr>
        <w:t>pajānana</w:t>
      </w:r>
      <w:proofErr w:type="spellEnd"/>
      <w:r w:rsidRPr="00DC1A5F">
        <w:t>).</w:t>
      </w:r>
      <w:r w:rsidRPr="00DC1A5F">
        <w:rPr>
          <w:vertAlign w:val="superscript"/>
        </w:rPr>
        <w:t>1</w:t>
      </w:r>
      <w:r w:rsidRPr="00DC1A5F">
        <w:t xml:space="preserve"> ¿Qué significa este acto de entendimiento? Significa conocer (</w:t>
      </w:r>
      <w:proofErr w:type="spellStart"/>
      <w:r w:rsidRPr="00DC1A5F">
        <w:rPr>
          <w:i/>
          <w:iCs/>
        </w:rPr>
        <w:t>jānana</w:t>
      </w:r>
      <w:proofErr w:type="spellEnd"/>
      <w:r w:rsidRPr="00DC1A5F">
        <w:t>) en un modo particular independientemente de los modos de percibir (</w:t>
      </w:r>
      <w:proofErr w:type="spellStart"/>
      <w:r w:rsidRPr="00DC1A5F">
        <w:rPr>
          <w:i/>
          <w:iCs/>
        </w:rPr>
        <w:t>sañjānana</w:t>
      </w:r>
      <w:proofErr w:type="spellEnd"/>
      <w:r w:rsidRPr="00DC1A5F">
        <w:t>) y conocer (</w:t>
      </w:r>
      <w:proofErr w:type="spellStart"/>
      <w:r w:rsidRPr="00DC1A5F">
        <w:rPr>
          <w:i/>
          <w:iCs/>
        </w:rPr>
        <w:t>vijānana</w:t>
      </w:r>
      <w:proofErr w:type="spellEnd"/>
      <w:r w:rsidRPr="00DC1A5F">
        <w:t>). [437] Ya que, aunque el estado de conocimiento (</w:t>
      </w:r>
      <w:proofErr w:type="spellStart"/>
      <w:r w:rsidRPr="00DC1A5F">
        <w:rPr>
          <w:i/>
          <w:iCs/>
        </w:rPr>
        <w:t>jānana</w:t>
      </w:r>
      <w:proofErr w:type="spellEnd"/>
      <w:r w:rsidRPr="00DC1A5F">
        <w:t>–</w:t>
      </w:r>
      <w:proofErr w:type="spellStart"/>
      <w:r w:rsidRPr="00DC1A5F">
        <w:rPr>
          <w:i/>
          <w:iCs/>
        </w:rPr>
        <w:t>bhāva</w:t>
      </w:r>
      <w:proofErr w:type="spellEnd"/>
      <w:r w:rsidRPr="00DC1A5F">
        <w:t>) está igualmente presente en la percepción (</w:t>
      </w:r>
      <w:proofErr w:type="spellStart"/>
      <w:r w:rsidRPr="00DC1A5F">
        <w:rPr>
          <w:i/>
        </w:rPr>
        <w:t>saññā</w:t>
      </w:r>
      <w:proofErr w:type="spellEnd"/>
      <w:r w:rsidRPr="00DC1A5F">
        <w:t>), en la consciencia (</w:t>
      </w:r>
      <w:r w:rsidRPr="00DC1A5F">
        <w:rPr>
          <w:i/>
        </w:rPr>
        <w:t>viññāṇa</w:t>
      </w:r>
      <w:r w:rsidRPr="00DC1A5F">
        <w:t>) y en el entendimiento (</w:t>
      </w:r>
      <w:r w:rsidRPr="00DC1A5F">
        <w:rPr>
          <w:i/>
        </w:rPr>
        <w:t>paññā</w:t>
      </w:r>
      <w:r w:rsidRPr="00DC1A5F">
        <w:t>),</w:t>
      </w:r>
    </w:p>
    <w:p w14:paraId="1344A51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B7D756F" w14:textId="77777777" w:rsidR="00597DE2" w:rsidRPr="00DC1A5F" w:rsidRDefault="00597DE2" w:rsidP="00597DE2">
      <w:pPr>
        <w:pStyle w:val="PiedepginaLegal"/>
        <w:numPr>
          <w:ilvl w:val="0"/>
          <w:numId w:val="3"/>
        </w:numPr>
        <w:tabs>
          <w:tab w:val="clear" w:pos="425"/>
        </w:tabs>
        <w:ind w:left="284"/>
      </w:pPr>
      <w:r w:rsidRPr="00DC1A5F">
        <w:t xml:space="preserve">Cf. </w:t>
      </w:r>
      <w:proofErr w:type="spellStart"/>
      <w:r w:rsidRPr="00DC1A5F">
        <w:rPr>
          <w:i/>
          <w:iCs/>
        </w:rPr>
        <w:t>Paṭis</w:t>
      </w:r>
      <w:proofErr w:type="spellEnd"/>
      <w:r w:rsidRPr="00DC1A5F">
        <w:t xml:space="preserve"> I 42, etc.; Muy comúnmente, las definiciones del </w:t>
      </w:r>
      <w:proofErr w:type="spellStart"/>
      <w:r w:rsidRPr="00DC1A5F">
        <w:rPr>
          <w:i/>
          <w:iCs/>
        </w:rPr>
        <w:t>Abhidhamma</w:t>
      </w:r>
      <w:proofErr w:type="spellEnd"/>
      <w:r w:rsidRPr="00DC1A5F">
        <w:t xml:space="preserve"> hacen uso de las formas </w:t>
      </w:r>
      <w:r w:rsidRPr="00DC1A5F">
        <w:rPr>
          <w:i/>
          <w:iCs/>
        </w:rPr>
        <w:t xml:space="preserve">Pāḷi </w:t>
      </w:r>
      <w:r w:rsidRPr="00DC1A5F">
        <w:t xml:space="preserve">de los sustantivos verbales, aquí ejemplificados por </w:t>
      </w:r>
      <w:r w:rsidRPr="00DC1A5F">
        <w:rPr>
          <w:i/>
        </w:rPr>
        <w:t>paññā</w:t>
      </w:r>
      <w:r w:rsidRPr="00DC1A5F">
        <w:t xml:space="preserve"> (entendimiento = estado de entendimiento) y </w:t>
      </w:r>
      <w:proofErr w:type="spellStart"/>
      <w:r w:rsidRPr="00DC1A5F">
        <w:rPr>
          <w:i/>
          <w:iCs/>
        </w:rPr>
        <w:t>pajānana</w:t>
      </w:r>
      <w:proofErr w:type="spellEnd"/>
      <w:r w:rsidRPr="00DC1A5F">
        <w:t xml:space="preserve"> (entendimiento = acto de entendimiento), ambos provenientes del verbo</w:t>
      </w:r>
    </w:p>
    <w:p w14:paraId="270F119F" w14:textId="77777777" w:rsidR="00597DE2" w:rsidRPr="00DC1A5F" w:rsidRDefault="00597DE2" w:rsidP="00597DE2">
      <w:pPr>
        <w:tabs>
          <w:tab w:val="clear" w:pos="425"/>
        </w:tabs>
        <w:spacing w:after="160"/>
      </w:pPr>
      <w:r w:rsidRPr="00DC1A5F">
        <w:br w:type="page"/>
      </w:r>
    </w:p>
    <w:p w14:paraId="0823C2A1" w14:textId="77777777" w:rsidR="00597DE2" w:rsidRPr="00DC1A5F" w:rsidRDefault="00597DE2" w:rsidP="00597DE2">
      <w:pPr>
        <w:pStyle w:val="Textoindependiente"/>
      </w:pPr>
      <w:r w:rsidRPr="00DC1A5F">
        <w:lastRenderedPageBreak/>
        <w:t>no obstante, la percepción corresponderá sólo a la simple percepción de un objeto como, digamos, azul o amarillo; no puede provocar la penetración de sus características como impermanente, insatisfactorio y no–alma. La consciencia conocerá los objetos como azules o amarillos, y producirá la penetración de sus características, pero no podrá reproducir, a través del esfuerzo, la manifestación del sendero supramundano. El entendimiento, por otro lado, conocerá al objeto del modo ya dicho y ello permitirá penetrar en sus características y, mediante el esfuerzo, la manifestación del sendero.</w:t>
      </w:r>
    </w:p>
    <w:p w14:paraId="5EEE4100" w14:textId="77777777" w:rsidR="00597DE2" w:rsidRPr="00DC1A5F" w:rsidRDefault="00597DE2" w:rsidP="00597DE2">
      <w:r w:rsidRPr="00DC1A5F">
        <w:t xml:space="preserve">4. </w:t>
      </w:r>
      <w:r w:rsidRPr="00DC1A5F">
        <w:tab/>
        <w:t>Supongamos que existan tres personas, un niño sin discreción, un aldeano y un cambista, y que ellos vean un montón de monedas sobre el mostrador de una casa de cambios. El niño, sin discreción, sabrá simplemente que las monedas están talladas y ornamentadas, que son largas, cuadradas o redondas; no sabrá si se consideran valiosas para el uso y los placeres mundanos. Por otro lado, el aldeano sabrá que están talladas, ornamentadas, etc., y que se las considera valiosas para el uso y los placeres mundanos; no obstante, él no conocerá distinciones tales como: “Ésta es genuina, ésta es falsa, ésta posee un valor medio”. Por otro lado, el cambista conocerá todas esas clases de atributos y lo hace observando la moneda y escuchando su sonido al golpearla, al olerla, al saborearla y al pesarla en su mano; así sabrá que fue hecha en cierto pueblo, ciudad, aldea, en cierta montaña o fue fabricada por cierto maestro. Esto debe entenderse como una ilustración al respecto.</w:t>
      </w:r>
    </w:p>
    <w:p w14:paraId="754084C6" w14:textId="77777777" w:rsidR="00597DE2" w:rsidRPr="00DC1A5F" w:rsidRDefault="00597DE2" w:rsidP="00597DE2">
      <w:r w:rsidRPr="00DC1A5F">
        <w:t xml:space="preserve">5. </w:t>
      </w:r>
      <w:r w:rsidRPr="00DC1A5F">
        <w:tab/>
        <w:t>La percepción es como el niño sin discreción que vea una moneda, porque aprehenderá sólo el simple modo de aparición del objeto como azul, amarillo, etc. La consciencia será como el aldeano que vea la moneda, ya que aprehenderá la modalidad del objeto como azul, etc., y porque él se extenderá más al respecto, alcanzando la penetración de sus características. El entendimiento será como el cambista que observe la moneda, ya que después de aprehenderla bajo el modo de objeto como azul, etc., y se extienda hasta la penetración de sus características, se extenderá aún más, alcanzando la manifestación del sendero.</w:t>
      </w:r>
    </w:p>
    <w:p w14:paraId="47328FB9" w14:textId="77777777" w:rsidR="00597DE2" w:rsidRPr="00DC1A5F" w:rsidRDefault="00597DE2" w:rsidP="00597DE2">
      <w:pPr>
        <w:pStyle w:val="NormalConSangria"/>
      </w:pPr>
      <w:r w:rsidRPr="00DC1A5F">
        <w:t>Es por eso por lo que este acto de entendimiento debe entenderse como “</w:t>
      </w:r>
      <w:proofErr w:type="spellStart"/>
      <w:r w:rsidRPr="00DC1A5F">
        <w:t>conocimineto</w:t>
      </w:r>
      <w:proofErr w:type="spellEnd"/>
      <w:r w:rsidRPr="00DC1A5F">
        <w:t xml:space="preserve"> en un modo particular independiente de los modos de percepción y cognición”. Pues a eso se refieren las palabras “es entendimiento en el sentido del acto de entender”.</w:t>
      </w:r>
    </w:p>
    <w:p w14:paraId="79C08658" w14:textId="77777777" w:rsidR="00597DE2" w:rsidRPr="00DC1A5F" w:rsidRDefault="00597DE2" w:rsidP="00597DE2">
      <w:r w:rsidRPr="00DC1A5F">
        <w:t xml:space="preserve">6. </w:t>
      </w:r>
      <w:r w:rsidRPr="00DC1A5F">
        <w:tab/>
        <w:t>Sin embargo, no siempre se encontrará donde se encuentren la percepción y la consciencia.</w:t>
      </w:r>
      <w:r w:rsidRPr="00DC1A5F">
        <w:rPr>
          <w:vertAlign w:val="superscript"/>
        </w:rPr>
        <w:t xml:space="preserve">2 </w:t>
      </w:r>
      <w:r w:rsidRPr="00DC1A5F">
        <w:t xml:space="preserve">[438] No obstante, cuando estos se encuentren presentes, el entendimiento no estará desconectado de estos estados. Y debido a que no podrá adoptarse </w:t>
      </w:r>
      <w:proofErr w:type="spellStart"/>
      <w:r w:rsidRPr="00DC1A5F">
        <w:t>desconectadamente</w:t>
      </w:r>
      <w:proofErr w:type="spellEnd"/>
      <w:r w:rsidRPr="00DC1A5F">
        <w:t xml:space="preserve"> así: “Esto es percepción, esto es consciencia, esto es entendimiento”, su diferencia es, en consecuencia, sutil y difícil de apreciar. Por lo tanto, el Venerable </w:t>
      </w:r>
      <w:proofErr w:type="spellStart"/>
      <w:r w:rsidRPr="00DC1A5F">
        <w:rPr>
          <w:i/>
          <w:iCs/>
        </w:rPr>
        <w:t>Nāgasena</w:t>
      </w:r>
      <w:proofErr w:type="spellEnd"/>
      <w:r w:rsidRPr="00DC1A5F">
        <w:t xml:space="preserve"> afirmó: “Algo difícil, ¡Oh! Rey, ha sido hecho por el </w:t>
      </w:r>
      <w:r w:rsidRPr="00DC1A5F">
        <w:rPr>
          <w:i/>
          <w:iCs/>
        </w:rPr>
        <w:t>Bhagavā</w:t>
      </w:r>
      <w:r w:rsidRPr="00DC1A5F">
        <w:t xml:space="preserve">”. —“¿Qué cosa, Venerable </w:t>
      </w:r>
      <w:proofErr w:type="spellStart"/>
      <w:r w:rsidRPr="00DC1A5F">
        <w:rPr>
          <w:i/>
          <w:iCs/>
        </w:rPr>
        <w:t>Nāgasena</w:t>
      </w:r>
      <w:proofErr w:type="spellEnd"/>
      <w:r w:rsidRPr="00DC1A5F">
        <w:t xml:space="preserve">, es aquello difícil que ha sido hecho el </w:t>
      </w:r>
    </w:p>
    <w:p w14:paraId="69EECB8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9025003" w14:textId="77777777" w:rsidR="00597DE2" w:rsidRPr="00DC1A5F" w:rsidRDefault="00597DE2" w:rsidP="00597DE2">
      <w:pPr>
        <w:pStyle w:val="PiedepginaLegal"/>
      </w:pPr>
      <w:r w:rsidRPr="00DC1A5F">
        <w:t>…</w:t>
      </w:r>
      <w:r w:rsidRPr="00DC1A5F">
        <w:rPr>
          <w:i/>
          <w:iCs/>
        </w:rPr>
        <w:tab/>
      </w:r>
      <w:proofErr w:type="spellStart"/>
      <w:r w:rsidRPr="00DC1A5F">
        <w:rPr>
          <w:i/>
          <w:iCs/>
        </w:rPr>
        <w:t>pajānāti</w:t>
      </w:r>
      <w:proofErr w:type="spellEnd"/>
      <w:r w:rsidRPr="00DC1A5F">
        <w:t xml:space="preserve"> (él entiende). El inglés no siempre distingue, como en este caso, entre ambos. Del mismo modo, por ejemplo, es el verbo </w:t>
      </w:r>
      <w:proofErr w:type="spellStart"/>
      <w:r w:rsidRPr="00DC1A5F">
        <w:rPr>
          <w:i/>
          <w:iCs/>
        </w:rPr>
        <w:t>socati</w:t>
      </w:r>
      <w:proofErr w:type="spellEnd"/>
      <w:r w:rsidRPr="00DC1A5F">
        <w:t xml:space="preserve"> (él se aflige) encontramos </w:t>
      </w:r>
      <w:proofErr w:type="spellStart"/>
      <w:r w:rsidRPr="00DC1A5F">
        <w:rPr>
          <w:i/>
          <w:iCs/>
        </w:rPr>
        <w:t>soka</w:t>
      </w:r>
      <w:proofErr w:type="spellEnd"/>
      <w:r w:rsidRPr="00DC1A5F">
        <w:t xml:space="preserve"> (aflicción, estado de aflicción) y </w:t>
      </w:r>
      <w:proofErr w:type="spellStart"/>
      <w:r w:rsidRPr="00DC1A5F">
        <w:rPr>
          <w:i/>
          <w:iCs/>
        </w:rPr>
        <w:t>socana</w:t>
      </w:r>
      <w:proofErr w:type="spellEnd"/>
      <w:r w:rsidRPr="00DC1A5F">
        <w:t xml:space="preserve"> (aflicción, acto de aflicción), y aquí el inglés lo diferencia. Cf. tratamiento paralelo de </w:t>
      </w:r>
      <w:r w:rsidRPr="00DC1A5F">
        <w:rPr>
          <w:i/>
          <w:iCs/>
        </w:rPr>
        <w:t>paññā</w:t>
      </w:r>
      <w:r w:rsidRPr="00DC1A5F">
        <w:t xml:space="preserve"> en M–a II 343f.</w:t>
      </w:r>
    </w:p>
    <w:p w14:paraId="38C43A63" w14:textId="77777777" w:rsidR="00597DE2" w:rsidRPr="00DC1A5F" w:rsidRDefault="00597DE2" w:rsidP="00597DE2">
      <w:pPr>
        <w:pStyle w:val="PiedepginaLegal"/>
        <w:numPr>
          <w:ilvl w:val="0"/>
          <w:numId w:val="3"/>
        </w:numPr>
        <w:tabs>
          <w:tab w:val="clear" w:pos="425"/>
        </w:tabs>
        <w:ind w:left="284"/>
      </w:pPr>
      <w:r w:rsidRPr="00DC1A5F">
        <w:t xml:space="preserve">“En los surgimientos de consciencia con dos causas fundamentales [es decir, sin codicia y sin odio, pero sin ilusión], o sin </w:t>
      </w:r>
      <w:r w:rsidRPr="00DC1A5F">
        <w:rPr>
          <w:i/>
          <w:iCs/>
        </w:rPr>
        <w:t>causa–raíz</w:t>
      </w:r>
      <w:r w:rsidRPr="00DC1A5F">
        <w:t>, la aflicción no ocurrirá” (</w:t>
      </w:r>
      <w:proofErr w:type="spellStart"/>
      <w:r w:rsidRPr="00DC1A5F">
        <w:t>Vism</w:t>
      </w:r>
      <w:proofErr w:type="spellEnd"/>
      <w:r w:rsidRPr="00DC1A5F">
        <w:t>–</w:t>
      </w:r>
      <w:proofErr w:type="spellStart"/>
      <w:r w:rsidRPr="00DC1A5F">
        <w:t>mhṭ</w:t>
      </w:r>
      <w:proofErr w:type="spellEnd"/>
      <w:r w:rsidRPr="00DC1A5F">
        <w:t xml:space="preserve"> 432). “Así como el placer no es invariablemente inseparable de la felicidad, así la percepción y la consciencia no son invariablemente inseparables del entendimiento. No obstante, así como la felicidad es inseparable del placer, el entendimiento será inseparable de la percepción y la consciencia” (</w:t>
      </w:r>
      <w:proofErr w:type="spellStart"/>
      <w:r w:rsidRPr="00DC1A5F">
        <w:t>Vism</w:t>
      </w:r>
      <w:proofErr w:type="spellEnd"/>
      <w:r w:rsidRPr="00DC1A5F">
        <w:t>–</w:t>
      </w:r>
      <w:proofErr w:type="spellStart"/>
      <w:r w:rsidRPr="00DC1A5F">
        <w:t>mhṭ</w:t>
      </w:r>
      <w:proofErr w:type="spellEnd"/>
      <w:r w:rsidRPr="00DC1A5F">
        <w:t xml:space="preserve"> 432).</w:t>
      </w:r>
      <w:r w:rsidRPr="00DC1A5F">
        <w:br w:type="page"/>
      </w:r>
    </w:p>
    <w:p w14:paraId="5B00C3C0" w14:textId="77777777" w:rsidR="00597DE2" w:rsidRPr="00DC1A5F" w:rsidRDefault="00597DE2" w:rsidP="00597DE2">
      <w:pPr>
        <w:pStyle w:val="Textoindependiente"/>
        <w:rPr>
          <w:i/>
          <w:iCs/>
        </w:rPr>
      </w:pPr>
    </w:p>
    <w:p w14:paraId="47628A25" w14:textId="77777777" w:rsidR="00597DE2" w:rsidRPr="00DC1A5F" w:rsidRDefault="00597DE2" w:rsidP="00597DE2">
      <w:pPr>
        <w:pStyle w:val="Textoindependiente"/>
      </w:pPr>
      <w:r w:rsidRPr="00DC1A5F">
        <w:rPr>
          <w:i/>
          <w:iCs/>
        </w:rPr>
        <w:t>Bhagavā”.</w:t>
      </w:r>
      <w:r w:rsidRPr="00DC1A5F">
        <w:t xml:space="preserve"> —“Lo difícil, ¡Oh! Rey, hecho por el </w:t>
      </w:r>
      <w:r w:rsidRPr="00DC1A5F">
        <w:rPr>
          <w:i/>
          <w:iCs/>
        </w:rPr>
        <w:t>Bhagavā</w:t>
      </w:r>
      <w:r w:rsidRPr="00DC1A5F">
        <w:t xml:space="preserve"> ha sido la definición de los estados inmateriales de la consciencia y sus concomitantes, los cuales</w:t>
      </w:r>
      <w:r w:rsidRPr="00DC1A5F">
        <w:rPr>
          <w:vertAlign w:val="superscript"/>
        </w:rPr>
        <w:t>3</w:t>
      </w:r>
      <w:r w:rsidRPr="00DC1A5F">
        <w:t xml:space="preserve"> ocurren con un único objeto y que él lo declaró así: ‘Éste es el contacto, ésta la sensación, ésta la percepción, ésta la volición, ésta la consciencia’” (Mil 87).</w:t>
      </w:r>
    </w:p>
    <w:p w14:paraId="2A5A8EC6" w14:textId="77777777" w:rsidR="00597DE2" w:rsidRPr="00DC1A5F" w:rsidRDefault="00597DE2" w:rsidP="00597DE2">
      <w:r w:rsidRPr="00DC1A5F">
        <w:t>7.</w:t>
      </w:r>
      <w:r w:rsidRPr="00DC1A5F">
        <w:tab/>
        <w:t xml:space="preserve"> (</w:t>
      </w:r>
      <w:proofErr w:type="spellStart"/>
      <w:r w:rsidRPr="00DC1A5F">
        <w:t>iii</w:t>
      </w:r>
      <w:proofErr w:type="spellEnd"/>
      <w:r w:rsidRPr="00DC1A5F">
        <w:t>) ¿</w:t>
      </w:r>
      <w:r w:rsidRPr="00DC1A5F">
        <w:rPr>
          <w:rStyle w:val="Ttulo4Car"/>
        </w:rPr>
        <w:t>Cuáles son su Característica, Función, Manifestación y Causa Próxima?</w:t>
      </w:r>
      <w:r w:rsidRPr="00DC1A5F">
        <w:t xml:space="preserve"> El entendimiento tiene la </w:t>
      </w:r>
      <w:r w:rsidRPr="00DC1A5F">
        <w:rPr>
          <w:i/>
          <w:iCs/>
        </w:rPr>
        <w:t>característica</w:t>
      </w:r>
      <w:r w:rsidRPr="00DC1A5F">
        <w:t xml:space="preserve"> de penetrar en las esencias individuales de los estados.</w:t>
      </w:r>
      <w:r w:rsidRPr="00DC1A5F">
        <w:rPr>
          <w:vertAlign w:val="superscript"/>
        </w:rPr>
        <w:t>3</w:t>
      </w:r>
      <w:r w:rsidRPr="00DC1A5F">
        <w:t xml:space="preserve"> Su </w:t>
      </w:r>
      <w:r w:rsidRPr="00DC1A5F">
        <w:rPr>
          <w:i/>
          <w:iCs/>
        </w:rPr>
        <w:t>función</w:t>
      </w:r>
      <w:r w:rsidRPr="00DC1A5F">
        <w:t xml:space="preserve"> es disipar la oscuridad de la ilusión que oculta tales esencias individuales de los estados. Se </w:t>
      </w:r>
      <w:r w:rsidRPr="00DC1A5F">
        <w:rPr>
          <w:i/>
          <w:iCs/>
        </w:rPr>
        <w:t>manifiesta</w:t>
      </w:r>
      <w:r w:rsidRPr="00DC1A5F">
        <w:t xml:space="preserve"> como no–ilusión. Debido a las palabras, “El que esté concentrado conocerá y observará correctamente” (A V 3), su </w:t>
      </w:r>
      <w:r w:rsidRPr="00DC1A5F">
        <w:rPr>
          <w:i/>
          <w:iCs/>
        </w:rPr>
        <w:t>causa próxima</w:t>
      </w:r>
      <w:r w:rsidRPr="00DC1A5F">
        <w:t xml:space="preserve"> es la concentración.</w:t>
      </w:r>
    </w:p>
    <w:p w14:paraId="6F2419E5" w14:textId="77777777" w:rsidR="00597DE2" w:rsidRPr="00DC1A5F" w:rsidRDefault="00597DE2" w:rsidP="00597DE2">
      <w:r w:rsidRPr="00DC1A5F">
        <w:t xml:space="preserve">8. </w:t>
      </w:r>
      <w:r w:rsidRPr="00DC1A5F">
        <w:tab/>
        <w:t>(</w:t>
      </w:r>
      <w:proofErr w:type="spellStart"/>
      <w:r w:rsidRPr="00DC1A5F">
        <w:t>iv</w:t>
      </w:r>
      <w:proofErr w:type="spellEnd"/>
      <w:r w:rsidRPr="00DC1A5F">
        <w:t xml:space="preserve">) </w:t>
      </w:r>
      <w:r w:rsidRPr="00DC1A5F">
        <w:rPr>
          <w:rStyle w:val="Ttulo4Car"/>
        </w:rPr>
        <w:t>¿Cuántas Clases de Entendimiento Existen?</w:t>
      </w:r>
    </w:p>
    <w:p w14:paraId="57024978" w14:textId="77777777" w:rsidR="00597DE2" w:rsidRPr="00DC1A5F" w:rsidRDefault="00597DE2" w:rsidP="00597DE2">
      <w:pPr>
        <w:pStyle w:val="NumeracinReload"/>
        <w:spacing w:after="60"/>
        <w:ind w:left="992"/>
        <w:rPr>
          <w:sz w:val="16"/>
          <w:szCs w:val="20"/>
        </w:rPr>
      </w:pPr>
      <w:r w:rsidRPr="00DC1A5F">
        <w:tab/>
      </w:r>
      <w:r w:rsidRPr="00DC1A5F">
        <w:rPr>
          <w:sz w:val="16"/>
          <w:szCs w:val="20"/>
        </w:rPr>
        <w:t xml:space="preserve">1. </w:t>
      </w:r>
      <w:r w:rsidRPr="00DC1A5F">
        <w:rPr>
          <w:sz w:val="16"/>
          <w:szCs w:val="20"/>
        </w:rPr>
        <w:tab/>
        <w:t>En primer lugar, por poseer la característica de penetrar en las esencias individuales de los estados, es de una clase.</w:t>
      </w:r>
    </w:p>
    <w:p w14:paraId="0DC9745D" w14:textId="77777777" w:rsidR="00597DE2" w:rsidRPr="00DC1A5F" w:rsidRDefault="00597DE2" w:rsidP="00597DE2">
      <w:pPr>
        <w:pStyle w:val="NumeracinReload"/>
        <w:spacing w:after="60"/>
        <w:ind w:left="992"/>
        <w:rPr>
          <w:sz w:val="16"/>
          <w:szCs w:val="20"/>
        </w:rPr>
      </w:pPr>
      <w:r w:rsidRPr="00DC1A5F">
        <w:rPr>
          <w:sz w:val="16"/>
          <w:szCs w:val="20"/>
        </w:rPr>
        <w:tab/>
        <w:t xml:space="preserve">2. </w:t>
      </w:r>
      <w:r w:rsidRPr="00DC1A5F">
        <w:rPr>
          <w:sz w:val="16"/>
          <w:szCs w:val="20"/>
        </w:rPr>
        <w:tab/>
        <w:t>Como mundano y supramundano, es de dos clases.</w:t>
      </w:r>
    </w:p>
    <w:p w14:paraId="0481B941" w14:textId="77777777" w:rsidR="00597DE2" w:rsidRPr="00DC1A5F" w:rsidRDefault="00597DE2" w:rsidP="00597DE2">
      <w:pPr>
        <w:pStyle w:val="NumeracinReload"/>
        <w:spacing w:after="60"/>
        <w:ind w:left="992"/>
        <w:rPr>
          <w:sz w:val="16"/>
          <w:szCs w:val="20"/>
        </w:rPr>
      </w:pPr>
      <w:r w:rsidRPr="00DC1A5F">
        <w:rPr>
          <w:sz w:val="16"/>
          <w:szCs w:val="20"/>
        </w:rPr>
        <w:tab/>
        <w:t xml:space="preserve">3. </w:t>
      </w:r>
      <w:r w:rsidRPr="00DC1A5F">
        <w:rPr>
          <w:sz w:val="16"/>
          <w:szCs w:val="20"/>
        </w:rPr>
        <w:tab/>
        <w:t>Asimismo, como sujeto a corrupciones y libre de corrupciones, etc.,</w:t>
      </w:r>
    </w:p>
    <w:p w14:paraId="7FAC9F31" w14:textId="77777777" w:rsidR="00597DE2" w:rsidRPr="00DC1A5F" w:rsidRDefault="00597DE2" w:rsidP="00597DE2">
      <w:pPr>
        <w:pStyle w:val="NumeracinReload"/>
        <w:spacing w:after="60"/>
        <w:ind w:left="992"/>
        <w:rPr>
          <w:sz w:val="16"/>
          <w:szCs w:val="20"/>
        </w:rPr>
      </w:pPr>
      <w:r w:rsidRPr="00DC1A5F">
        <w:rPr>
          <w:sz w:val="16"/>
          <w:szCs w:val="20"/>
        </w:rPr>
        <w:tab/>
        <w:t xml:space="preserve">4. </w:t>
      </w:r>
      <w:r w:rsidRPr="00DC1A5F">
        <w:rPr>
          <w:sz w:val="16"/>
          <w:szCs w:val="20"/>
        </w:rPr>
        <w:tab/>
        <w:t>Como definición de la mentalidad y de la materialidad,</w:t>
      </w:r>
    </w:p>
    <w:p w14:paraId="1C641DEE" w14:textId="77777777" w:rsidR="00597DE2" w:rsidRPr="00DC1A5F" w:rsidRDefault="00597DE2" w:rsidP="00597DE2">
      <w:pPr>
        <w:pStyle w:val="NumeracinReload"/>
        <w:spacing w:after="60"/>
        <w:ind w:left="992"/>
        <w:rPr>
          <w:sz w:val="16"/>
          <w:szCs w:val="20"/>
        </w:rPr>
      </w:pPr>
      <w:r w:rsidRPr="00DC1A5F">
        <w:rPr>
          <w:sz w:val="16"/>
          <w:szCs w:val="20"/>
        </w:rPr>
        <w:tab/>
        <w:t xml:space="preserve">5. </w:t>
      </w:r>
      <w:r w:rsidRPr="00DC1A5F">
        <w:rPr>
          <w:sz w:val="16"/>
          <w:szCs w:val="20"/>
        </w:rPr>
        <w:tab/>
        <w:t>Como acompañado de alegría o de ecuanimidad,</w:t>
      </w:r>
    </w:p>
    <w:p w14:paraId="47DCE224" w14:textId="77777777" w:rsidR="00597DE2" w:rsidRPr="00DC1A5F" w:rsidRDefault="00597DE2" w:rsidP="00597DE2">
      <w:pPr>
        <w:pStyle w:val="NumeracinReload"/>
        <w:spacing w:after="60"/>
        <w:ind w:left="992"/>
        <w:rPr>
          <w:sz w:val="16"/>
          <w:szCs w:val="20"/>
        </w:rPr>
      </w:pPr>
      <w:r w:rsidRPr="00DC1A5F">
        <w:rPr>
          <w:sz w:val="16"/>
          <w:szCs w:val="20"/>
        </w:rPr>
        <w:tab/>
        <w:t>6.</w:t>
      </w:r>
      <w:r w:rsidRPr="00DC1A5F">
        <w:rPr>
          <w:sz w:val="16"/>
          <w:szCs w:val="20"/>
        </w:rPr>
        <w:tab/>
        <w:t>Como planos de la observación y del desarrollo.</w:t>
      </w:r>
    </w:p>
    <w:p w14:paraId="7FDC5F22" w14:textId="77777777" w:rsidR="00597DE2" w:rsidRPr="00DC1A5F" w:rsidRDefault="00597DE2" w:rsidP="00597DE2">
      <w:pPr>
        <w:pStyle w:val="NumeracinReload"/>
        <w:spacing w:after="60"/>
        <w:ind w:left="992"/>
        <w:rPr>
          <w:sz w:val="16"/>
          <w:szCs w:val="20"/>
        </w:rPr>
      </w:pPr>
      <w:r w:rsidRPr="00DC1A5F">
        <w:rPr>
          <w:sz w:val="16"/>
          <w:szCs w:val="20"/>
        </w:rPr>
        <w:tab/>
        <w:t xml:space="preserve">7. </w:t>
      </w:r>
      <w:r w:rsidRPr="00DC1A5F">
        <w:rPr>
          <w:sz w:val="16"/>
          <w:szCs w:val="20"/>
        </w:rPr>
        <w:tab/>
        <w:t xml:space="preserve">Es de tres clases: consistente de lo que se razone, lo que se sepa (se oiga, </w:t>
      </w:r>
      <w:r w:rsidRPr="00DC1A5F">
        <w:rPr>
          <w:color w:val="833C0B" w:themeColor="accent2" w:themeShade="80"/>
          <w:sz w:val="16"/>
          <w:szCs w:val="20"/>
        </w:rPr>
        <w:t>se lea</w:t>
      </w:r>
      <w:r w:rsidRPr="00DC1A5F">
        <w:rPr>
          <w:sz w:val="16"/>
          <w:szCs w:val="20"/>
        </w:rPr>
        <w:t xml:space="preserve">) y lo que se desarrolle </w:t>
      </w:r>
      <w:r w:rsidRPr="00DC1A5F">
        <w:rPr>
          <w:color w:val="833C0B" w:themeColor="accent2" w:themeShade="80"/>
        </w:rPr>
        <w:t>{</w:t>
      </w:r>
      <w:r w:rsidRPr="00DC1A5F">
        <w:rPr>
          <w:i/>
          <w:iCs/>
          <w:color w:val="833C0B" w:themeColor="accent2" w:themeShade="80"/>
        </w:rPr>
        <w:t>meditativamente</w:t>
      </w:r>
      <w:r w:rsidRPr="00DC1A5F">
        <w:rPr>
          <w:color w:val="833C0B" w:themeColor="accent2" w:themeShade="80"/>
        </w:rPr>
        <w:t>}</w:t>
      </w:r>
      <w:r w:rsidRPr="00DC1A5F">
        <w:t>,</w:t>
      </w:r>
    </w:p>
    <w:p w14:paraId="443A964F" w14:textId="77777777" w:rsidR="00597DE2" w:rsidRPr="00DC1A5F" w:rsidRDefault="00597DE2" w:rsidP="00597DE2">
      <w:pPr>
        <w:pStyle w:val="NumeracinReload"/>
        <w:spacing w:after="60"/>
        <w:ind w:left="992"/>
        <w:rPr>
          <w:sz w:val="16"/>
          <w:szCs w:val="20"/>
        </w:rPr>
      </w:pPr>
      <w:r w:rsidRPr="00DC1A5F">
        <w:rPr>
          <w:sz w:val="16"/>
          <w:szCs w:val="20"/>
        </w:rPr>
        <w:tab/>
        <w:t xml:space="preserve">8. </w:t>
      </w:r>
      <w:r w:rsidRPr="00DC1A5F">
        <w:rPr>
          <w:sz w:val="16"/>
          <w:szCs w:val="20"/>
        </w:rPr>
        <w:tab/>
        <w:t>Del mismo modo como poseedor de un objeto limitado, excelso o inconmensurable,</w:t>
      </w:r>
    </w:p>
    <w:p w14:paraId="16A53163" w14:textId="77777777" w:rsidR="00597DE2" w:rsidRPr="00DC1A5F" w:rsidRDefault="00597DE2" w:rsidP="00597DE2">
      <w:pPr>
        <w:pStyle w:val="NumeracinReload"/>
        <w:spacing w:after="60"/>
        <w:ind w:left="992"/>
        <w:rPr>
          <w:sz w:val="16"/>
          <w:szCs w:val="20"/>
        </w:rPr>
      </w:pPr>
      <w:r w:rsidRPr="00DC1A5F">
        <w:rPr>
          <w:sz w:val="16"/>
          <w:szCs w:val="20"/>
        </w:rPr>
        <w:tab/>
        <w:t xml:space="preserve">9. </w:t>
      </w:r>
      <w:r w:rsidRPr="00DC1A5F">
        <w:rPr>
          <w:sz w:val="16"/>
          <w:szCs w:val="20"/>
        </w:rPr>
        <w:tab/>
        <w:t>Como lucidez para distinguir el desarrollo, el detrimento y los recursos,</w:t>
      </w:r>
    </w:p>
    <w:p w14:paraId="5A6470E4" w14:textId="77777777" w:rsidR="00597DE2" w:rsidRPr="00DC1A5F" w:rsidRDefault="00597DE2" w:rsidP="00597DE2">
      <w:pPr>
        <w:pStyle w:val="NumeracinReload"/>
        <w:spacing w:after="60"/>
        <w:ind w:left="992"/>
        <w:rPr>
          <w:sz w:val="16"/>
          <w:szCs w:val="20"/>
        </w:rPr>
      </w:pPr>
      <w:r w:rsidRPr="00DC1A5F">
        <w:rPr>
          <w:sz w:val="16"/>
          <w:szCs w:val="20"/>
        </w:rPr>
        <w:tab/>
        <w:t xml:space="preserve">10. </w:t>
      </w:r>
      <w:r w:rsidRPr="00DC1A5F">
        <w:rPr>
          <w:sz w:val="16"/>
          <w:szCs w:val="20"/>
        </w:rPr>
        <w:tab/>
        <w:t>Como interpretación de lo interno, etc.</w:t>
      </w:r>
    </w:p>
    <w:p w14:paraId="5A4BB112" w14:textId="77777777" w:rsidR="00597DE2" w:rsidRPr="00DC1A5F" w:rsidRDefault="00597DE2" w:rsidP="00597DE2">
      <w:pPr>
        <w:pStyle w:val="NumeracinReload"/>
        <w:spacing w:after="60"/>
        <w:ind w:left="992"/>
        <w:rPr>
          <w:sz w:val="16"/>
          <w:szCs w:val="20"/>
        </w:rPr>
      </w:pPr>
      <w:r w:rsidRPr="00DC1A5F">
        <w:rPr>
          <w:sz w:val="16"/>
          <w:szCs w:val="20"/>
        </w:rPr>
        <w:tab/>
        <w:t xml:space="preserve">11. </w:t>
      </w:r>
      <w:r w:rsidRPr="00DC1A5F">
        <w:rPr>
          <w:sz w:val="16"/>
          <w:szCs w:val="20"/>
        </w:rPr>
        <w:tab/>
        <w:t xml:space="preserve">Es de cuatro clases como conocimiento de las cuatro </w:t>
      </w:r>
      <w:r w:rsidRPr="00DC1A5F">
        <w:rPr>
          <w:i/>
          <w:iCs/>
          <w:color w:val="833C0B" w:themeColor="accent2" w:themeShade="80"/>
          <w:sz w:val="16"/>
          <w:szCs w:val="20"/>
        </w:rPr>
        <w:t>nobles</w:t>
      </w:r>
      <w:r w:rsidRPr="00DC1A5F">
        <w:rPr>
          <w:color w:val="833C0B" w:themeColor="accent2" w:themeShade="80"/>
          <w:sz w:val="16"/>
          <w:szCs w:val="20"/>
        </w:rPr>
        <w:t xml:space="preserve"> </w:t>
      </w:r>
      <w:r w:rsidRPr="00DC1A5F">
        <w:rPr>
          <w:sz w:val="16"/>
          <w:szCs w:val="20"/>
        </w:rPr>
        <w:t>verdades,</w:t>
      </w:r>
    </w:p>
    <w:p w14:paraId="24D4DC01" w14:textId="77777777" w:rsidR="00597DE2" w:rsidRPr="00DC1A5F" w:rsidRDefault="00597DE2" w:rsidP="00597DE2">
      <w:pPr>
        <w:pStyle w:val="NumeracinReload"/>
        <w:spacing w:after="60"/>
        <w:ind w:left="992"/>
        <w:rPr>
          <w:sz w:val="16"/>
          <w:szCs w:val="20"/>
          <w:vertAlign w:val="superscript"/>
        </w:rPr>
      </w:pPr>
      <w:r w:rsidRPr="00DC1A5F">
        <w:rPr>
          <w:sz w:val="16"/>
          <w:szCs w:val="20"/>
        </w:rPr>
        <w:tab/>
        <w:t xml:space="preserve">12. </w:t>
      </w:r>
      <w:r w:rsidRPr="00DC1A5F">
        <w:rPr>
          <w:sz w:val="16"/>
          <w:szCs w:val="20"/>
        </w:rPr>
        <w:tab/>
        <w:t>Y también como las cuatro discriminaciones.</w:t>
      </w:r>
      <w:r w:rsidRPr="00DC1A5F">
        <w:rPr>
          <w:sz w:val="16"/>
          <w:szCs w:val="20"/>
          <w:vertAlign w:val="superscript"/>
        </w:rPr>
        <w:t>4</w:t>
      </w:r>
    </w:p>
    <w:p w14:paraId="1508CB63" w14:textId="77777777" w:rsidR="00597DE2" w:rsidRPr="00DC1A5F" w:rsidRDefault="00597DE2" w:rsidP="00597DE2">
      <w:pPr>
        <w:pStyle w:val="NumeracinReload"/>
        <w:rPr>
          <w:sz w:val="16"/>
          <w:szCs w:val="20"/>
        </w:rPr>
      </w:pPr>
    </w:p>
    <w:p w14:paraId="0D6F5136" w14:textId="77777777" w:rsidR="00597DE2" w:rsidRPr="00DC1A5F" w:rsidRDefault="00597DE2" w:rsidP="00597DE2">
      <w:r w:rsidRPr="00DC1A5F">
        <w:t xml:space="preserve">9. </w:t>
      </w:r>
      <w:r w:rsidRPr="00DC1A5F">
        <w:tab/>
      </w:r>
      <w:r w:rsidRPr="00DC1A5F">
        <w:rPr>
          <w:i/>
          <w:iCs/>
        </w:rPr>
        <w:t>1</w:t>
      </w:r>
      <w:r w:rsidRPr="00DC1A5F">
        <w:t>. Aquí, la sección de una sola clase posee un significado obvio.</w:t>
      </w:r>
    </w:p>
    <w:p w14:paraId="028B3998" w14:textId="77777777" w:rsidR="00597DE2" w:rsidRPr="00DC1A5F" w:rsidRDefault="00597DE2" w:rsidP="00597DE2">
      <w:r w:rsidRPr="00DC1A5F">
        <w:tab/>
      </w:r>
      <w:r w:rsidRPr="00DC1A5F">
        <w:rPr>
          <w:i/>
          <w:iCs/>
        </w:rPr>
        <w:t>2</w:t>
      </w:r>
      <w:r w:rsidRPr="00DC1A5F">
        <w:t xml:space="preserve">. En cuanto a la sección de las dos clases, lo </w:t>
      </w:r>
      <w:r w:rsidRPr="00DC1A5F">
        <w:rPr>
          <w:i/>
          <w:iCs/>
        </w:rPr>
        <w:t>mundano</w:t>
      </w:r>
      <w:r w:rsidRPr="00DC1A5F">
        <w:t xml:space="preserve"> corresponderá a lo asociado con el sendero mundano y lo </w:t>
      </w:r>
      <w:r w:rsidRPr="00DC1A5F">
        <w:rPr>
          <w:i/>
          <w:iCs/>
        </w:rPr>
        <w:t>supramundano</w:t>
      </w:r>
      <w:r w:rsidRPr="00DC1A5F">
        <w:t xml:space="preserve"> al asociado con el sendero supramundano. Así será de dos clases, como </w:t>
      </w:r>
      <w:r w:rsidRPr="00DC1A5F">
        <w:rPr>
          <w:i/>
          <w:iCs/>
        </w:rPr>
        <w:t>mundano</w:t>
      </w:r>
      <w:r w:rsidRPr="00DC1A5F">
        <w:t xml:space="preserve"> y </w:t>
      </w:r>
      <w:r w:rsidRPr="00DC1A5F">
        <w:rPr>
          <w:i/>
          <w:iCs/>
        </w:rPr>
        <w:t>supramundano</w:t>
      </w:r>
      <w:r w:rsidRPr="00DC1A5F">
        <w:t>.</w:t>
      </w:r>
    </w:p>
    <w:p w14:paraId="322D3FC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CF59589" w14:textId="77777777" w:rsidR="00597DE2" w:rsidRPr="00DC1A5F" w:rsidRDefault="00597DE2" w:rsidP="00597DE2">
      <w:pPr>
        <w:pStyle w:val="PiedepginaLegal"/>
        <w:numPr>
          <w:ilvl w:val="0"/>
          <w:numId w:val="3"/>
        </w:numPr>
        <w:tabs>
          <w:tab w:val="clear" w:pos="425"/>
        </w:tabs>
        <w:ind w:left="284"/>
      </w:pPr>
      <w:r w:rsidRPr="00DC1A5F">
        <w:t>“La esencia propia de un fenómeno (</w:t>
      </w:r>
      <w:proofErr w:type="spellStart"/>
      <w:r w:rsidRPr="00DC1A5F">
        <w:rPr>
          <w:i/>
          <w:iCs/>
        </w:rPr>
        <w:t>sako</w:t>
      </w:r>
      <w:proofErr w:type="spellEnd"/>
      <w:r w:rsidRPr="00DC1A5F">
        <w:rPr>
          <w:i/>
          <w:iCs/>
        </w:rPr>
        <w:t xml:space="preserve"> </w:t>
      </w:r>
      <w:proofErr w:type="spellStart"/>
      <w:r w:rsidRPr="00DC1A5F">
        <w:rPr>
          <w:i/>
          <w:iCs/>
        </w:rPr>
        <w:t>bhāvo</w:t>
      </w:r>
      <w:proofErr w:type="spellEnd"/>
      <w:r w:rsidRPr="00DC1A5F">
        <w:t>) o esencia existente (</w:t>
      </w:r>
      <w:proofErr w:type="spellStart"/>
      <w:r w:rsidRPr="00DC1A5F">
        <w:rPr>
          <w:i/>
          <w:iCs/>
        </w:rPr>
        <w:t>samāno</w:t>
      </w:r>
      <w:proofErr w:type="spellEnd"/>
      <w:r w:rsidRPr="00DC1A5F">
        <w:t xml:space="preserve"> </w:t>
      </w:r>
      <w:proofErr w:type="spellStart"/>
      <w:r w:rsidRPr="00DC1A5F">
        <w:rPr>
          <w:i/>
          <w:iCs/>
        </w:rPr>
        <w:t>vā</w:t>
      </w:r>
      <w:proofErr w:type="spellEnd"/>
      <w:r w:rsidRPr="00DC1A5F">
        <w:rPr>
          <w:i/>
          <w:iCs/>
        </w:rPr>
        <w:t xml:space="preserve"> </w:t>
      </w:r>
      <w:proofErr w:type="spellStart"/>
      <w:r w:rsidRPr="00DC1A5F">
        <w:rPr>
          <w:i/>
          <w:iCs/>
        </w:rPr>
        <w:t>bhāva</w:t>
      </w:r>
      <w:proofErr w:type="spellEnd"/>
      <w:r w:rsidRPr="00DC1A5F">
        <w:t>) corresponderá a su esencia individual (</w:t>
      </w:r>
      <w:proofErr w:type="spellStart"/>
      <w:r w:rsidRPr="00DC1A5F">
        <w:rPr>
          <w:i/>
          <w:iCs/>
        </w:rPr>
        <w:t>sabhāva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433). Cf. Cap. VIII, nota 68, donde </w:t>
      </w:r>
      <w:proofErr w:type="spellStart"/>
      <w:r w:rsidRPr="00DC1A5F">
        <w:t>Vism</w:t>
      </w:r>
      <w:proofErr w:type="spellEnd"/>
      <w:r w:rsidRPr="00DC1A5F">
        <w:t>–</w:t>
      </w:r>
      <w:proofErr w:type="spellStart"/>
      <w:r w:rsidRPr="00DC1A5F">
        <w:t>mhṭ</w:t>
      </w:r>
      <w:proofErr w:type="spellEnd"/>
      <w:r w:rsidRPr="00DC1A5F">
        <w:t xml:space="preserve"> muestra la definición de </w:t>
      </w:r>
      <w:r w:rsidRPr="00DC1A5F">
        <w:rPr>
          <w:i/>
          <w:iCs/>
        </w:rPr>
        <w:t>saha</w:t>
      </w:r>
      <w:r w:rsidRPr="00DC1A5F">
        <w:t>–</w:t>
      </w:r>
      <w:proofErr w:type="spellStart"/>
      <w:r w:rsidRPr="00DC1A5F">
        <w:rPr>
          <w:i/>
          <w:iCs/>
        </w:rPr>
        <w:t>bhāva</w:t>
      </w:r>
      <w:proofErr w:type="spellEnd"/>
      <w:r w:rsidRPr="00DC1A5F">
        <w:t xml:space="preserve"> (con esencia).</w:t>
      </w:r>
    </w:p>
    <w:p w14:paraId="44766F21" w14:textId="77777777" w:rsidR="00597DE2" w:rsidRPr="00DC1A5F" w:rsidRDefault="00597DE2" w:rsidP="00597DE2">
      <w:pPr>
        <w:pStyle w:val="PiedepginaLegal"/>
        <w:numPr>
          <w:ilvl w:val="0"/>
          <w:numId w:val="3"/>
        </w:numPr>
        <w:tabs>
          <w:tab w:val="clear" w:pos="425"/>
        </w:tabs>
        <w:ind w:left="284"/>
      </w:pPr>
      <w:proofErr w:type="spellStart"/>
      <w:r w:rsidRPr="00DC1A5F">
        <w:rPr>
          <w:i/>
          <w:iCs/>
        </w:rPr>
        <w:t>Paṭisambhidā</w:t>
      </w:r>
      <w:proofErr w:type="spellEnd"/>
      <w:r w:rsidRPr="00DC1A5F">
        <w:t xml:space="preserve"> generalmente se traduce como “análisis” (ver, por ejemplo, </w:t>
      </w:r>
      <w:r w:rsidRPr="00DC1A5F">
        <w:rPr>
          <w:i/>
          <w:iCs/>
        </w:rPr>
        <w:t>Puntos de Controversia</w:t>
      </w:r>
      <w:r w:rsidRPr="00DC1A5F">
        <w:t xml:space="preserve">, traducción del </w:t>
      </w:r>
      <w:proofErr w:type="spellStart"/>
      <w:r w:rsidRPr="00DC1A5F">
        <w:rPr>
          <w:i/>
          <w:iCs/>
        </w:rPr>
        <w:t>Kathāvatthu</w:t>
      </w:r>
      <w:proofErr w:type="spellEnd"/>
      <w:r w:rsidRPr="00DC1A5F">
        <w:t xml:space="preserve">, págs. 377ff). No obstante, las explicaciones del </w:t>
      </w:r>
      <w:r w:rsidRPr="00DC1A5F">
        <w:rPr>
          <w:i/>
          <w:iCs/>
        </w:rPr>
        <w:t>Tipiṭaka</w:t>
      </w:r>
      <w:r w:rsidRPr="00DC1A5F">
        <w:t xml:space="preserve"> de los cuatro </w:t>
      </w:r>
      <w:proofErr w:type="spellStart"/>
      <w:r w:rsidRPr="00DC1A5F">
        <w:rPr>
          <w:i/>
          <w:iCs/>
        </w:rPr>
        <w:t>paṭisambhidā</w:t>
      </w:r>
      <w:proofErr w:type="spellEnd"/>
      <w:r w:rsidRPr="00DC1A5F">
        <w:t xml:space="preserve"> no sugieren ningún énfasis en el análisis en lugar de síntesis. </w:t>
      </w:r>
      <w:proofErr w:type="spellStart"/>
      <w:r w:rsidRPr="00DC1A5F">
        <w:t>Vism</w:t>
      </w:r>
      <w:proofErr w:type="spellEnd"/>
      <w:r w:rsidRPr="00DC1A5F">
        <w:t>–</w:t>
      </w:r>
      <w:proofErr w:type="spellStart"/>
      <w:r w:rsidRPr="00DC1A5F">
        <w:t>mhṭ</w:t>
      </w:r>
      <w:proofErr w:type="spellEnd"/>
      <w:r w:rsidRPr="00DC1A5F">
        <w:t xml:space="preserve"> muestra la siguiente definición del término: “Al conocimiento clasificado (</w:t>
      </w:r>
      <w:proofErr w:type="spellStart"/>
      <w:r w:rsidRPr="00DC1A5F">
        <w:rPr>
          <w:i/>
          <w:iCs/>
        </w:rPr>
        <w:t>pabheda</w:t>
      </w:r>
      <w:proofErr w:type="spellEnd"/>
      <w:r w:rsidRPr="00DC1A5F">
        <w:t>–</w:t>
      </w:r>
      <w:r w:rsidRPr="00DC1A5F">
        <w:rPr>
          <w:i/>
          <w:iCs/>
        </w:rPr>
        <w:t>gata</w:t>
      </w:r>
      <w:r w:rsidRPr="00DC1A5F">
        <w:t xml:space="preserve"> = dispuesto en una división) bajo el significado (</w:t>
      </w:r>
      <w:proofErr w:type="spellStart"/>
      <w:r w:rsidRPr="00DC1A5F">
        <w:rPr>
          <w:i/>
          <w:iCs/>
        </w:rPr>
        <w:t>attha</w:t>
      </w:r>
      <w:proofErr w:type="spellEnd"/>
      <w:r w:rsidRPr="00DC1A5F">
        <w:t xml:space="preserve">) de ser capaz de efectuar una explicación y definición de las características de la clase de significado (o división del significado) se le denomina </w:t>
      </w:r>
      <w:proofErr w:type="spellStart"/>
      <w:r w:rsidRPr="00DC1A5F">
        <w:rPr>
          <w:i/>
          <w:iCs/>
        </w:rPr>
        <w:t>attha</w:t>
      </w:r>
      <w:proofErr w:type="spellEnd"/>
      <w:r w:rsidRPr="00DC1A5F">
        <w:rPr>
          <w:i/>
          <w:iCs/>
        </w:rPr>
        <w:t>–</w:t>
      </w:r>
      <w:proofErr w:type="spellStart"/>
      <w:r w:rsidRPr="00DC1A5F">
        <w:rPr>
          <w:i/>
          <w:iCs/>
        </w:rPr>
        <w:t>paṭisambhidā</w:t>
      </w:r>
      <w:proofErr w:type="spellEnd"/>
      <w:r w:rsidRPr="00DC1A5F">
        <w:t>; y así será con los otros tres” (</w:t>
      </w:r>
      <w:proofErr w:type="spellStart"/>
      <w:r w:rsidRPr="00DC1A5F">
        <w:t>Vism</w:t>
      </w:r>
      <w:proofErr w:type="spellEnd"/>
      <w:r w:rsidRPr="00DC1A5F">
        <w:t>–</w:t>
      </w:r>
      <w:proofErr w:type="spellStart"/>
      <w:r w:rsidRPr="00DC1A5F">
        <w:t>mhṭ</w:t>
      </w:r>
      <w:proofErr w:type="spellEnd"/>
      <w:r w:rsidRPr="00DC1A5F">
        <w:t xml:space="preserve"> 436). …</w:t>
      </w:r>
    </w:p>
    <w:p w14:paraId="0E920DF9" w14:textId="77777777" w:rsidR="00597DE2" w:rsidRPr="00DC1A5F" w:rsidRDefault="00597DE2" w:rsidP="00597DE2">
      <w:pPr>
        <w:pStyle w:val="PiedepginaLegal"/>
      </w:pPr>
      <w:r w:rsidRPr="00DC1A5F">
        <w:br w:type="page"/>
      </w:r>
    </w:p>
    <w:p w14:paraId="142EB9CA" w14:textId="77777777" w:rsidR="00597DE2" w:rsidRPr="00DC1A5F" w:rsidRDefault="00597DE2" w:rsidP="00597DE2">
      <w:r w:rsidRPr="00DC1A5F">
        <w:lastRenderedPageBreak/>
        <w:t xml:space="preserve">10. </w:t>
      </w:r>
      <w:r w:rsidRPr="00DC1A5F">
        <w:tab/>
      </w:r>
      <w:r w:rsidRPr="00DC1A5F">
        <w:rPr>
          <w:i/>
          <w:iCs/>
        </w:rPr>
        <w:t>3</w:t>
      </w:r>
      <w:r w:rsidRPr="00DC1A5F">
        <w:t xml:space="preserve">. En la segunda díada, aquel </w:t>
      </w:r>
      <w:r w:rsidRPr="00DC1A5F">
        <w:rPr>
          <w:i/>
          <w:iCs/>
        </w:rPr>
        <w:t xml:space="preserve">sujeto a las corrupciones </w:t>
      </w:r>
      <w:r w:rsidRPr="00DC1A5F">
        <w:t xml:space="preserve">corresponderá al entendimiento quesea objeto de corrupciones.  Aquel </w:t>
      </w:r>
      <w:r w:rsidRPr="00DC1A5F">
        <w:rPr>
          <w:i/>
          <w:iCs/>
        </w:rPr>
        <w:t>libre de</w:t>
      </w:r>
      <w:r w:rsidRPr="00DC1A5F">
        <w:t xml:space="preserve"> </w:t>
      </w:r>
      <w:r w:rsidRPr="00DC1A5F">
        <w:rPr>
          <w:i/>
          <w:iCs/>
        </w:rPr>
        <w:t>corrupciones</w:t>
      </w:r>
      <w:r w:rsidRPr="00DC1A5F">
        <w:t xml:space="preserve"> no será objeto corrupciones. Esta díada tiene el mismo significado que lo mundano y lo supramundano. El mismo método se aplicará a las díadas sujetas a corrupciones y libres de corrupciones, asociadas a corrupciones y no asociadas a corrupciones (</w:t>
      </w:r>
      <w:proofErr w:type="spellStart"/>
      <w:r w:rsidRPr="00DC1A5F">
        <w:t>Dhs</w:t>
      </w:r>
      <w:proofErr w:type="spellEnd"/>
      <w:r w:rsidRPr="00DC1A5F">
        <w:t xml:space="preserve"> 3), etc. Por lo tanto, es así cómo serán de dos tipos, sujeto a corrupciones y libre de corrupciones, etc.</w:t>
      </w:r>
    </w:p>
    <w:p w14:paraId="5F9A33ED" w14:textId="77777777" w:rsidR="00597DE2" w:rsidRPr="00DC1A5F" w:rsidRDefault="00597DE2" w:rsidP="00597DE2">
      <w:r w:rsidRPr="00DC1A5F">
        <w:t>11.</w:t>
      </w:r>
      <w:r w:rsidRPr="00DC1A5F">
        <w:tab/>
        <w:t xml:space="preserve"> </w:t>
      </w:r>
      <w:r w:rsidRPr="00DC1A5F">
        <w:rPr>
          <w:i/>
          <w:iCs/>
        </w:rPr>
        <w:t>4</w:t>
      </w:r>
      <w:r w:rsidRPr="00DC1A5F">
        <w:t xml:space="preserve">. En la tercera díada, cuando un hombre quiera comenzar a desarrollar la sabiduría </w:t>
      </w:r>
      <w:r w:rsidRPr="00DC1A5F">
        <w:rPr>
          <w:i/>
          <w:iCs/>
          <w:color w:val="833C0B" w:themeColor="accent2" w:themeShade="80"/>
        </w:rPr>
        <w:t>penetrativa</w:t>
      </w:r>
      <w:r w:rsidRPr="00DC1A5F">
        <w:t xml:space="preserve">, su entendimiento sobre la definición de los cuatro agregados inmateriales corresponderá al entendimiento como </w:t>
      </w:r>
      <w:r w:rsidRPr="00DC1A5F">
        <w:rPr>
          <w:i/>
          <w:iCs/>
        </w:rPr>
        <w:t>definición de la mentalidad</w:t>
      </w:r>
      <w:r w:rsidRPr="00DC1A5F">
        <w:t xml:space="preserve">, [439] y su entendimiento de la definición del agregado material corresponderá al entendimiento como </w:t>
      </w:r>
      <w:r w:rsidRPr="00DC1A5F">
        <w:rPr>
          <w:i/>
          <w:iCs/>
        </w:rPr>
        <w:t>definición de la materialidad</w:t>
      </w:r>
      <w:r w:rsidRPr="00DC1A5F">
        <w:t xml:space="preserve">. Por lo tanto, será de dos tipos como </w:t>
      </w:r>
      <w:r w:rsidRPr="00DC1A5F">
        <w:rPr>
          <w:i/>
          <w:iCs/>
        </w:rPr>
        <w:t>definición de la mentalidad</w:t>
      </w:r>
      <w:r w:rsidRPr="00DC1A5F">
        <w:t xml:space="preserve"> </w:t>
      </w:r>
      <w:r w:rsidRPr="00DC1A5F">
        <w:rPr>
          <w:i/>
          <w:iCs/>
        </w:rPr>
        <w:t>y de la materialidad</w:t>
      </w:r>
      <w:r w:rsidRPr="00DC1A5F">
        <w:t>.</w:t>
      </w:r>
    </w:p>
    <w:p w14:paraId="39C6F81E" w14:textId="77777777" w:rsidR="00597DE2" w:rsidRPr="00DC1A5F" w:rsidRDefault="00597DE2" w:rsidP="00597DE2">
      <w:r w:rsidRPr="00DC1A5F">
        <w:t xml:space="preserve">12. </w:t>
      </w:r>
      <w:r w:rsidRPr="00DC1A5F">
        <w:tab/>
      </w:r>
      <w:r w:rsidRPr="00DC1A5F">
        <w:rPr>
          <w:i/>
          <w:iCs/>
        </w:rPr>
        <w:t>5.</w:t>
      </w:r>
      <w:r w:rsidRPr="00DC1A5F">
        <w:t xml:space="preserve"> En la cuarta díada, con respecto al entendimiento perteneciente a dos de los tipos de consciencia productiva de la esfera sensorial y correspondiente a los 16 tipos de consciencia del sendero</w:t>
      </w:r>
      <w:r w:rsidRPr="00DC1A5F">
        <w:rPr>
          <w:vertAlign w:val="superscript"/>
        </w:rPr>
        <w:t>5</w:t>
      </w:r>
      <w:r w:rsidRPr="00DC1A5F">
        <w:t xml:space="preserve"> con cuatro de los </w:t>
      </w:r>
      <w:proofErr w:type="spellStart"/>
      <w:r w:rsidRPr="00DC1A5F">
        <w:rPr>
          <w:i/>
        </w:rPr>
        <w:t>jhāna</w:t>
      </w:r>
      <w:r w:rsidRPr="00DC1A5F">
        <w:t>s</w:t>
      </w:r>
      <w:proofErr w:type="spellEnd"/>
      <w:r w:rsidRPr="00DC1A5F">
        <w:t xml:space="preserve"> del cómputo quíntuple, está </w:t>
      </w:r>
      <w:r w:rsidRPr="00DC1A5F">
        <w:rPr>
          <w:i/>
          <w:iCs/>
        </w:rPr>
        <w:t>acompañado de dicha</w:t>
      </w:r>
      <w:r w:rsidRPr="00DC1A5F">
        <w:t xml:space="preserve">. El entendimiento perteneciente a dos de los tipos de consciencia productiva de la esfera sensorial y perteneciente a (los restantes) cuatro tipos de consciencia del sendero con el </w:t>
      </w:r>
      <w:r w:rsidRPr="00DC1A5F">
        <w:rPr>
          <w:color w:val="1F3864" w:themeColor="accent1" w:themeShade="80"/>
        </w:rPr>
        <w:t xml:space="preserve">5° </w:t>
      </w:r>
      <w:proofErr w:type="spellStart"/>
      <w:r w:rsidRPr="00DC1A5F">
        <w:rPr>
          <w:i/>
          <w:color w:val="1F3864" w:themeColor="accent1" w:themeShade="80"/>
        </w:rPr>
        <w:t>jhāna</w:t>
      </w:r>
      <w:r w:rsidRPr="00DC1A5F">
        <w:rPr>
          <w:color w:val="1F3864" w:themeColor="accent1" w:themeShade="80"/>
        </w:rPr>
        <w:t>s</w:t>
      </w:r>
      <w:proofErr w:type="spellEnd"/>
      <w:r w:rsidRPr="00DC1A5F">
        <w:rPr>
          <w:color w:val="1F3864" w:themeColor="accent1" w:themeShade="80"/>
        </w:rPr>
        <w:t xml:space="preserve"> </w:t>
      </w:r>
      <w:r w:rsidRPr="00DC1A5F">
        <w:t xml:space="preserve">está </w:t>
      </w:r>
      <w:r w:rsidRPr="00DC1A5F">
        <w:rPr>
          <w:i/>
          <w:iCs/>
        </w:rPr>
        <w:t>acompañado de ecuanimidad</w:t>
      </w:r>
      <w:r w:rsidRPr="00DC1A5F">
        <w:t>. Por lo tanto, será de dos tipos, acompañado de dicha o de ecuanimidad.</w:t>
      </w:r>
    </w:p>
    <w:p w14:paraId="21297BC1" w14:textId="77777777" w:rsidR="00597DE2" w:rsidRPr="00DC1A5F" w:rsidRDefault="00597DE2" w:rsidP="00597DE2">
      <w:r w:rsidRPr="00DC1A5F">
        <w:t xml:space="preserve">13. </w:t>
      </w:r>
      <w:r w:rsidRPr="00DC1A5F">
        <w:tab/>
      </w:r>
      <w:r w:rsidRPr="00DC1A5F">
        <w:rPr>
          <w:i/>
          <w:iCs/>
        </w:rPr>
        <w:t>6</w:t>
      </w:r>
      <w:r w:rsidRPr="00DC1A5F">
        <w:t xml:space="preserve">. En la quinta díada, el entendimiento perteneciente al 1° sendero corresponderá al </w:t>
      </w:r>
      <w:r w:rsidRPr="00DC1A5F">
        <w:rPr>
          <w:i/>
          <w:iCs/>
        </w:rPr>
        <w:t>plano de la observación</w:t>
      </w:r>
      <w:r w:rsidRPr="00DC1A5F">
        <w:t xml:space="preserve">. El entendimiento perteneciente a los 3 senderos restantes corresponderá al plano del </w:t>
      </w:r>
      <w:r w:rsidRPr="00DC1A5F">
        <w:rPr>
          <w:i/>
          <w:iCs/>
        </w:rPr>
        <w:t>desarrollo</w:t>
      </w:r>
      <w:r w:rsidRPr="00DC1A5F">
        <w:t xml:space="preserve"> (ver XXII.127). De modo que será de dos clases como planos de la observación y del desarrollo.</w:t>
      </w:r>
    </w:p>
    <w:p w14:paraId="4F7D6152" w14:textId="77777777" w:rsidR="00597DE2" w:rsidRPr="00DC1A5F" w:rsidRDefault="00597DE2" w:rsidP="00597DE2">
      <w:r w:rsidRPr="00DC1A5F">
        <w:t xml:space="preserve">14. </w:t>
      </w:r>
      <w:r w:rsidRPr="00DC1A5F">
        <w:tab/>
      </w:r>
      <w:r w:rsidRPr="00DC1A5F">
        <w:rPr>
          <w:i/>
          <w:iCs/>
        </w:rPr>
        <w:t>7</w:t>
      </w:r>
      <w:r w:rsidRPr="00DC1A5F">
        <w:t xml:space="preserve">. En cuanto a las triadas, el entendimiento adquirido sin haberlo oírlo </w:t>
      </w:r>
      <w:r w:rsidRPr="00DC1A5F">
        <w:rPr>
          <w:i/>
          <w:iCs/>
          <w:color w:val="833C0B" w:themeColor="accent2" w:themeShade="80"/>
        </w:rPr>
        <w:t>o leído</w:t>
      </w:r>
      <w:r w:rsidRPr="00DC1A5F">
        <w:rPr>
          <w:color w:val="833C0B" w:themeColor="accent2" w:themeShade="80"/>
        </w:rPr>
        <w:t xml:space="preserve"> </w:t>
      </w:r>
      <w:r w:rsidRPr="00DC1A5F">
        <w:t xml:space="preserve">de otro autor corresponderá al </w:t>
      </w:r>
      <w:r w:rsidRPr="00DC1A5F">
        <w:rPr>
          <w:i/>
          <w:iCs/>
        </w:rPr>
        <w:t>consistente de lo que se razone</w:t>
      </w:r>
      <w:r w:rsidRPr="00DC1A5F">
        <w:t xml:space="preserve"> porque será producto del propio razonamiento. El entendimiento adquirido al oírlo </w:t>
      </w:r>
      <w:r w:rsidRPr="00DC1A5F">
        <w:rPr>
          <w:i/>
          <w:iCs/>
          <w:color w:val="833C0B" w:themeColor="accent2" w:themeShade="80"/>
        </w:rPr>
        <w:t>o leerlo</w:t>
      </w:r>
      <w:r w:rsidRPr="00DC1A5F">
        <w:t xml:space="preserve"> de otro corresponderá al </w:t>
      </w:r>
      <w:r w:rsidRPr="00DC1A5F">
        <w:rPr>
          <w:i/>
          <w:iCs/>
        </w:rPr>
        <w:t xml:space="preserve">consistente de lo oído </w:t>
      </w:r>
      <w:r w:rsidRPr="00DC1A5F">
        <w:rPr>
          <w:i/>
          <w:iCs/>
          <w:color w:val="833C0B" w:themeColor="accent2" w:themeShade="80"/>
        </w:rPr>
        <w:t>o leído</w:t>
      </w:r>
      <w:r w:rsidRPr="00DC1A5F">
        <w:t xml:space="preserve">, porque se producirá al oír </w:t>
      </w:r>
      <w:r w:rsidRPr="00DC1A5F">
        <w:rPr>
          <w:i/>
          <w:iCs/>
          <w:color w:val="833C0B" w:themeColor="accent2" w:themeShade="80"/>
        </w:rPr>
        <w:t>o leer</w:t>
      </w:r>
      <w:r w:rsidRPr="00DC1A5F">
        <w:t xml:space="preserve"> a otro. El entendimiento que haya llegado a la absorción, habiendo sido de algún modo producida por el desarrollo (meditativo), corresponderá al </w:t>
      </w:r>
      <w:r w:rsidRPr="00DC1A5F">
        <w:rPr>
          <w:i/>
          <w:iCs/>
        </w:rPr>
        <w:t xml:space="preserve">consistente del desarrollo </w:t>
      </w:r>
      <w:r w:rsidRPr="00DC1A5F">
        <w:rPr>
          <w:i/>
          <w:iCs/>
          <w:color w:val="833C0B" w:themeColor="accent2" w:themeShade="80"/>
        </w:rPr>
        <w:t>meditativo</w:t>
      </w:r>
      <w:r w:rsidRPr="00DC1A5F">
        <w:t>. Y esto se dice al respecto: ¿En qué consiste el entendimiento consistente de lo que se razone? En las esferas del trabajo inventadas por la inteligencia, o en las esferas del oficio inventadas por la inteligencia, o en las especies de las ciencias inventadas por la inteligencia, cualquier preferencia, punto de vista, elección, opinión, juicio, gusto por reflexionar sobre las cosas que se refiera a la propiedad de las acciones (</w:t>
      </w:r>
      <w:proofErr w:type="spellStart"/>
      <w:r w:rsidRPr="00DC1A5F">
        <w:rPr>
          <w:i/>
        </w:rPr>
        <w:t>kamma</w:t>
      </w:r>
      <w:proofErr w:type="spellEnd"/>
      <w:r w:rsidRPr="00DC1A5F">
        <w:t>) o que estén en conformidad con la verdad o que sean de tal tipo que se ajusten a (los axiomas) ‘La materialidad es impermanente’ o ‘la sensación... la percepción... formación... la consciencia es impermanente’ que uno adquiera sin haberlo escuchado de nadie —corresponderá a lo que se considere entendimiento consistente de lo que se razone.</w:t>
      </w:r>
    </w:p>
    <w:p w14:paraId="180B683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8A9251A" w14:textId="77777777" w:rsidR="00597DE2" w:rsidRPr="00DC1A5F" w:rsidRDefault="00597DE2" w:rsidP="00597DE2">
      <w:pPr>
        <w:pStyle w:val="PiedepginaLegal"/>
      </w:pPr>
      <w:r w:rsidRPr="00DC1A5F">
        <w:t>…</w:t>
      </w:r>
      <w:r w:rsidRPr="00DC1A5F">
        <w:tab/>
        <w:t xml:space="preserve">Se ha elegido “discriminación” para </w:t>
      </w:r>
      <w:proofErr w:type="spellStart"/>
      <w:r w:rsidRPr="00DC1A5F">
        <w:rPr>
          <w:i/>
          <w:iCs/>
        </w:rPr>
        <w:t>paṭisambhidā</w:t>
      </w:r>
      <w:proofErr w:type="spellEnd"/>
      <w:r w:rsidRPr="00DC1A5F">
        <w:t xml:space="preserve"> porque, si bien tiene un sentido de “división”, no implica un proceso opuesto al que implicaría el término “análisis”. También podría cuestionarse que si los cuatro están bien descritos como “enteramente lógicos”: “enteramente epistemológicos” quizás sería tanto menos rígido como más cercano; ya que estos parecieran cubrir cuatro campos interconectados, es decir: el significado de los enunciados y los efectos de las causas (etc.), los enunciados de los significados y las causas de los efectos (etc.), un lenguaje como restricto a reglas etimológicas de expresión verbal y claridad (o perspicua inspiración) en la organización de los otros tres.</w:t>
      </w:r>
    </w:p>
    <w:p w14:paraId="5C010F3D" w14:textId="77777777" w:rsidR="00597DE2" w:rsidRPr="00DC1A5F" w:rsidRDefault="00597DE2" w:rsidP="00597DE2">
      <w:pPr>
        <w:pStyle w:val="PiedepginaLegal"/>
        <w:numPr>
          <w:ilvl w:val="0"/>
          <w:numId w:val="3"/>
        </w:numPr>
        <w:tabs>
          <w:tab w:val="clear" w:pos="425"/>
        </w:tabs>
        <w:ind w:left="284"/>
      </w:pPr>
      <w:r w:rsidRPr="00DC1A5F">
        <w:t xml:space="preserve">Es decir. los 4 senderos con (i) el primer </w:t>
      </w:r>
      <w:proofErr w:type="spellStart"/>
      <w:r w:rsidRPr="00DC1A5F">
        <w:rPr>
          <w:i/>
        </w:rPr>
        <w:t>jhāna</w:t>
      </w:r>
      <w:proofErr w:type="spellEnd"/>
      <w:r w:rsidRPr="00DC1A5F">
        <w:t xml:space="preserve"> y aquellos con (</w:t>
      </w:r>
      <w:proofErr w:type="spellStart"/>
      <w:r w:rsidRPr="00DC1A5F">
        <w:t>ii</w:t>
      </w:r>
      <w:proofErr w:type="spellEnd"/>
      <w:r w:rsidRPr="00DC1A5F">
        <w:t>) el segundo, (</w:t>
      </w:r>
      <w:proofErr w:type="spellStart"/>
      <w:r w:rsidRPr="00DC1A5F">
        <w:t>iii</w:t>
      </w:r>
      <w:proofErr w:type="spellEnd"/>
      <w:r w:rsidRPr="00DC1A5F">
        <w:t>) el tercero y (</w:t>
      </w:r>
      <w:proofErr w:type="spellStart"/>
      <w:r w:rsidRPr="00DC1A5F">
        <w:t>iv</w:t>
      </w:r>
      <w:proofErr w:type="spellEnd"/>
      <w:r w:rsidRPr="00DC1A5F">
        <w:t xml:space="preserve">) el cuarto, correspondiente al cómputo de los cinco </w:t>
      </w:r>
      <w:proofErr w:type="spellStart"/>
      <w:r w:rsidRPr="00DC1A5F">
        <w:rPr>
          <w:i/>
        </w:rPr>
        <w:t>jhāna</w:t>
      </w:r>
      <w:r w:rsidRPr="00DC1A5F">
        <w:rPr>
          <w:iCs/>
        </w:rPr>
        <w:t>s</w:t>
      </w:r>
      <w:proofErr w:type="spellEnd"/>
      <w:r w:rsidRPr="00DC1A5F">
        <w:t xml:space="preserve"> (</w:t>
      </w:r>
      <w:proofErr w:type="spellStart"/>
      <w:r w:rsidRPr="00DC1A5F">
        <w:t>Vism</w:t>
      </w:r>
      <w:proofErr w:type="spellEnd"/>
      <w:r w:rsidRPr="00DC1A5F">
        <w:t>–</w:t>
      </w:r>
      <w:proofErr w:type="spellStart"/>
      <w:r w:rsidRPr="00DC1A5F">
        <w:t>mh</w:t>
      </w:r>
      <w:proofErr w:type="spellEnd"/>
      <w:r w:rsidRPr="00DC1A5F">
        <w:t xml:space="preserve"> 434).</w:t>
      </w:r>
      <w:r w:rsidRPr="00DC1A5F">
        <w:br w:type="page"/>
      </w:r>
    </w:p>
    <w:p w14:paraId="2FB28B3A" w14:textId="77777777" w:rsidR="00597DE2" w:rsidRPr="00DC1A5F" w:rsidRDefault="00597DE2" w:rsidP="00597DE2">
      <w:pPr>
        <w:pStyle w:val="NormalConSangria"/>
      </w:pPr>
      <w:r w:rsidRPr="00DC1A5F">
        <w:lastRenderedPageBreak/>
        <w:t xml:space="preserve">(En las esferas) que uno adquiere oyendo </w:t>
      </w:r>
      <w:r w:rsidRPr="00DC1A5F">
        <w:rPr>
          <w:i/>
          <w:iCs/>
          <w:color w:val="833C0B" w:themeColor="accent2" w:themeShade="80"/>
        </w:rPr>
        <w:t>o leyendo</w:t>
      </w:r>
      <w:r w:rsidRPr="00DC1A5F">
        <w:rPr>
          <w:color w:val="833C0B" w:themeColor="accent2" w:themeShade="80"/>
        </w:rPr>
        <w:t xml:space="preserve"> </w:t>
      </w:r>
      <w:r w:rsidRPr="00DC1A5F">
        <w:t xml:space="preserve">a otro, a ello se le denominará entendimiento consistente en lo que se aprende (se escuche, </w:t>
      </w:r>
      <w:r w:rsidRPr="00DC1A5F">
        <w:rPr>
          <w:i/>
          <w:iCs/>
          <w:color w:val="833C0B" w:themeColor="accent2" w:themeShade="80"/>
        </w:rPr>
        <w:t>se lea</w:t>
      </w:r>
      <w:r w:rsidRPr="00DC1A5F">
        <w:t>).</w:t>
      </w:r>
    </w:p>
    <w:p w14:paraId="6F93F168" w14:textId="77777777" w:rsidR="00597DE2" w:rsidRPr="00DC1A5F" w:rsidRDefault="00597DE2" w:rsidP="00597DE2">
      <w:pPr>
        <w:pStyle w:val="NormalConSangria"/>
      </w:pPr>
      <w:r w:rsidRPr="00DC1A5F">
        <w:t xml:space="preserve">Y todo entendimiento en cualquier ser que haya consumado (logrado) corresponderá al entendimiento consistente del desarrollo </w:t>
      </w:r>
      <w:r w:rsidRPr="00DC1A5F">
        <w:rPr>
          <w:i/>
          <w:iCs/>
          <w:color w:val="833C0B" w:themeColor="accent2" w:themeShade="80"/>
        </w:rPr>
        <w:t>meditativo</w:t>
      </w:r>
      <w:r w:rsidRPr="00DC1A5F">
        <w:t xml:space="preserve"> (</w:t>
      </w:r>
      <w:proofErr w:type="spellStart"/>
      <w:r w:rsidRPr="00DC1A5F">
        <w:t>Vibh</w:t>
      </w:r>
      <w:proofErr w:type="spellEnd"/>
      <w:r w:rsidRPr="00DC1A5F">
        <w:t xml:space="preserve"> 324–25).</w:t>
      </w:r>
    </w:p>
    <w:p w14:paraId="19A10B9C" w14:textId="77777777" w:rsidR="00597DE2" w:rsidRPr="00DC1A5F" w:rsidRDefault="00597DE2" w:rsidP="00597DE2">
      <w:pPr>
        <w:pStyle w:val="NormalConSangria"/>
      </w:pPr>
      <w:r w:rsidRPr="00DC1A5F">
        <w:t>Por lo tanto, será de 3 tipos consistentes de lo que se razone, se escuche o se desarrolle.</w:t>
      </w:r>
    </w:p>
    <w:p w14:paraId="524717A4" w14:textId="77777777" w:rsidR="00597DE2" w:rsidRPr="00DC1A5F" w:rsidRDefault="00597DE2" w:rsidP="00597DE2">
      <w:r w:rsidRPr="00DC1A5F">
        <w:t xml:space="preserve">15. </w:t>
      </w:r>
      <w:r w:rsidRPr="00DC1A5F">
        <w:tab/>
      </w:r>
      <w:r w:rsidRPr="00DC1A5F">
        <w:rPr>
          <w:i/>
          <w:iCs/>
        </w:rPr>
        <w:t>8</w:t>
      </w:r>
      <w:r w:rsidRPr="00DC1A5F">
        <w:t xml:space="preserve">. En la segunda tríada, el entendimiento que ocurra dependiente de los estados de la esfera sensorial poseerá un objeto </w:t>
      </w:r>
      <w:r w:rsidRPr="00DC1A5F">
        <w:rPr>
          <w:i/>
          <w:iCs/>
        </w:rPr>
        <w:t>limitado</w:t>
      </w:r>
      <w:r w:rsidRPr="00DC1A5F">
        <w:t xml:space="preserve">. Lo que ocurra dependiente de los estados de la esfera de la materia sutil o a los estados de la esfera inmaterial poseerá un objeto </w:t>
      </w:r>
      <w:r w:rsidRPr="00DC1A5F">
        <w:rPr>
          <w:i/>
          <w:iCs/>
        </w:rPr>
        <w:t>excelso</w:t>
      </w:r>
      <w:r w:rsidRPr="00DC1A5F">
        <w:t xml:space="preserve">. Ésa corresponderá a una percepción mundana. Lo que ocurra dependiente del </w:t>
      </w:r>
      <w:r w:rsidRPr="00DC1A5F">
        <w:rPr>
          <w:i/>
          <w:iCs/>
        </w:rPr>
        <w:t>Nibbāna</w:t>
      </w:r>
      <w:r w:rsidRPr="00DC1A5F">
        <w:t xml:space="preserve"> poseerá un objeto </w:t>
      </w:r>
      <w:r w:rsidRPr="00DC1A5F">
        <w:rPr>
          <w:i/>
          <w:iCs/>
        </w:rPr>
        <w:t>inmensurable</w:t>
      </w:r>
      <w:r w:rsidRPr="00DC1A5F">
        <w:t>. Ésa corresponderá a una visión supramundana. Por lo tanto, será de tres clases según sea dependiente de un objeto limitado, excelso o inmensurable.</w:t>
      </w:r>
    </w:p>
    <w:p w14:paraId="0C62E2B8" w14:textId="77777777" w:rsidR="00597DE2" w:rsidRPr="00DC1A5F" w:rsidRDefault="00597DE2" w:rsidP="00597DE2">
      <w:r w:rsidRPr="00DC1A5F">
        <w:t xml:space="preserve">16. </w:t>
      </w:r>
      <w:r w:rsidRPr="00DC1A5F">
        <w:tab/>
      </w:r>
      <w:r w:rsidRPr="00DC1A5F">
        <w:rPr>
          <w:i/>
          <w:iCs/>
        </w:rPr>
        <w:t>9</w:t>
      </w:r>
      <w:r w:rsidRPr="00DC1A5F">
        <w:t xml:space="preserve">. En la tercera tríada, es al incremento a lo que se denominará una mejora. Ésta podrá ser de dos clases: como la eliminación de un perjuicio y como el despertar de un bien. Una habilidad para mejorar algo corresponderá a la habilidad al respecto, según se dice: Aquí, ¿qué significa una habilidad para mejorar algo? Cuando un hombre trae a la mente estas cosas, tanto las cosas inútiles no surgidas no surgirán en él, como las cosas inútiles surgidas se abandonarán en él; o cuando traiga estas cosas a la mente [440] tanto las cosas productivas no surgidas surgirán en él, como las cosas productivas surgidas continuarán surgiendo, desarrollándose y perfeccionándose en él. Todo lo que aquí corresponda al entendimiento, al acto de entendimiento [para las palabras elididas ver </w:t>
      </w:r>
      <w:proofErr w:type="spellStart"/>
      <w:r w:rsidRPr="00DC1A5F">
        <w:t>Dhs</w:t>
      </w:r>
      <w:proofErr w:type="spellEnd"/>
      <w:r w:rsidRPr="00DC1A5F">
        <w:t xml:space="preserve"> 16] a la no ilusión, a la investigación de los estados, a la visión correcta, se le llamará habilidad para mejorar algo (</w:t>
      </w:r>
      <w:proofErr w:type="spellStart"/>
      <w:r w:rsidRPr="00DC1A5F">
        <w:t>Vibh</w:t>
      </w:r>
      <w:proofErr w:type="spellEnd"/>
      <w:r w:rsidRPr="00DC1A5F">
        <w:t xml:space="preserve"> 325–26).</w:t>
      </w:r>
    </w:p>
    <w:p w14:paraId="48A07526" w14:textId="77777777" w:rsidR="00597DE2" w:rsidRPr="00DC1A5F" w:rsidRDefault="00597DE2" w:rsidP="00597DE2">
      <w:r w:rsidRPr="00DC1A5F">
        <w:t xml:space="preserve">17. </w:t>
      </w:r>
      <w:r w:rsidRPr="00DC1A5F">
        <w:tab/>
        <w:t xml:space="preserve">El no–incremento corresponderá a lo que se denomine </w:t>
      </w:r>
      <w:r w:rsidRPr="00DC1A5F">
        <w:rPr>
          <w:i/>
          <w:iCs/>
        </w:rPr>
        <w:t>detrimento</w:t>
      </w:r>
      <w:r w:rsidRPr="00DC1A5F">
        <w:t>. Éste también podrá ser de dos clases, como reducción de algo bueno y como el despertar de algo malo. Una habilidad en detrimento corresponderá a una habilidad bajo estos modos, según lo que se dice al respecto: “¿qué es una habilidad en detrimento? Cuando un hombre traiga a la mente estas cosas, ambas cosas productivas no surgidas en él no surgirán…” (</w:t>
      </w:r>
      <w:proofErr w:type="spellStart"/>
      <w:r w:rsidRPr="00DC1A5F">
        <w:t>Vibh</w:t>
      </w:r>
      <w:proofErr w:type="spellEnd"/>
      <w:r w:rsidRPr="00DC1A5F">
        <w:t xml:space="preserve"> 326), etc.</w:t>
      </w:r>
    </w:p>
    <w:p w14:paraId="4EBB1782" w14:textId="77777777" w:rsidR="00597DE2" w:rsidRPr="00DC1A5F" w:rsidRDefault="00597DE2" w:rsidP="00597DE2">
      <w:r w:rsidRPr="00DC1A5F">
        <w:t xml:space="preserve">18. </w:t>
      </w:r>
      <w:r w:rsidRPr="00DC1A5F">
        <w:tab/>
        <w:t xml:space="preserve">No obstante, en cualquiera de estos casos, cualquier habilidad o lucidez en los recursos para hacer producir tal o cual cosa, habilidad que se produzca en ese momento y se despierte en esa ocasión, corresponderá a lo que se denomine </w:t>
      </w:r>
      <w:r w:rsidRPr="00DC1A5F">
        <w:rPr>
          <w:i/>
          <w:iCs/>
        </w:rPr>
        <w:t>lucidez en los recursos</w:t>
      </w:r>
      <w:r w:rsidRPr="00DC1A5F">
        <w:t xml:space="preserve">, según se dice al respecto: “Y todo entendimiento de los medios para ello corresponderá a la </w:t>
      </w:r>
      <w:r w:rsidRPr="00DC1A5F">
        <w:rPr>
          <w:i/>
          <w:iCs/>
        </w:rPr>
        <w:t>lucidez en los recursos</w:t>
      </w:r>
      <w:r w:rsidRPr="00DC1A5F">
        <w:t>” (</w:t>
      </w:r>
      <w:proofErr w:type="spellStart"/>
      <w:r w:rsidRPr="00DC1A5F">
        <w:t>Vibh</w:t>
      </w:r>
      <w:proofErr w:type="spellEnd"/>
      <w:r w:rsidRPr="00DC1A5F">
        <w:t xml:space="preserve"> 326).</w:t>
      </w:r>
    </w:p>
    <w:p w14:paraId="7A81B4DC" w14:textId="77777777" w:rsidR="00597DE2" w:rsidRPr="00DC1A5F" w:rsidRDefault="00597DE2" w:rsidP="00597DE2">
      <w:pPr>
        <w:pStyle w:val="NormalConSangria"/>
      </w:pPr>
      <w:r w:rsidRPr="00DC1A5F">
        <w:t>Así que corresponderá a tres clases como una lucidez para distinguir el desarrollo, el detrimento y los recursos.</w:t>
      </w:r>
    </w:p>
    <w:p w14:paraId="5D044592" w14:textId="77777777" w:rsidR="00597DE2" w:rsidRPr="00DC1A5F" w:rsidRDefault="00597DE2" w:rsidP="00597DE2">
      <w:r w:rsidRPr="00DC1A5F">
        <w:t xml:space="preserve">19. </w:t>
      </w:r>
      <w:r w:rsidRPr="00DC1A5F">
        <w:tab/>
      </w:r>
      <w:r w:rsidRPr="00DC1A5F">
        <w:rPr>
          <w:i/>
          <w:iCs/>
        </w:rPr>
        <w:t>10</w:t>
      </w:r>
      <w:r w:rsidRPr="00DC1A5F">
        <w:t xml:space="preserve">. En la cuarta tríada, la sabiduría penetrativa iniciada por la aprehensión de los propios agregados corresponderá a una </w:t>
      </w:r>
      <w:r w:rsidRPr="00DC1A5F">
        <w:rPr>
          <w:i/>
          <w:iCs/>
        </w:rPr>
        <w:t>interpretación de lo interno</w:t>
      </w:r>
      <w:r w:rsidRPr="00DC1A5F">
        <w:t>.</w:t>
      </w:r>
      <w:r w:rsidRPr="00DC1A5F">
        <w:rPr>
          <w:vertAlign w:val="superscript"/>
        </w:rPr>
        <w:t>6</w:t>
      </w:r>
      <w:r w:rsidRPr="00DC1A5F">
        <w:t xml:space="preserve"> La sabiduría penetrativa que se inicie al aprehender los agregados de otro o la materialidad externa no ligada a las facultades, [es decir, a la materia inanimada], </w:t>
      </w:r>
      <w:r w:rsidRPr="00DC1A5F">
        <w:rPr>
          <w:i/>
          <w:iCs/>
        </w:rPr>
        <w:t>corresponderá a una interpretación de lo externo</w:t>
      </w:r>
      <w:r w:rsidRPr="00DC1A5F">
        <w:t xml:space="preserve">. La sabiduría penetrativa iniciada para aprehender ambos corresponderá a una </w:t>
      </w:r>
      <w:r w:rsidRPr="00DC1A5F">
        <w:rPr>
          <w:i/>
          <w:iCs/>
        </w:rPr>
        <w:t>interpretación de lo interno</w:t>
      </w:r>
      <w:r w:rsidRPr="00DC1A5F">
        <w:t xml:space="preserve"> </w:t>
      </w:r>
      <w:r w:rsidRPr="00DC1A5F">
        <w:rPr>
          <w:i/>
          <w:iCs/>
        </w:rPr>
        <w:t>y lo externo</w:t>
      </w:r>
      <w:r w:rsidRPr="00DC1A5F">
        <w:t>. Por lo tanto, corresponderá a tres tipos en cuanto a la interpretación de lo interno, etc.</w:t>
      </w:r>
    </w:p>
    <w:p w14:paraId="07EDD06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95FC0A6" w14:textId="77777777" w:rsidR="00597DE2" w:rsidRPr="00DC1A5F" w:rsidRDefault="00597DE2" w:rsidP="00597DE2">
      <w:pPr>
        <w:pStyle w:val="PiedepginaLegal"/>
        <w:numPr>
          <w:ilvl w:val="0"/>
          <w:numId w:val="3"/>
        </w:numPr>
        <w:tabs>
          <w:tab w:val="clear" w:pos="425"/>
        </w:tabs>
        <w:spacing w:after="160"/>
        <w:ind w:left="284"/>
      </w:pPr>
      <w:r w:rsidRPr="00DC1A5F">
        <w:t xml:space="preserve">La palabra </w:t>
      </w:r>
      <w:proofErr w:type="spellStart"/>
      <w:r w:rsidRPr="00DC1A5F">
        <w:rPr>
          <w:i/>
          <w:iCs/>
        </w:rPr>
        <w:t>abhinivisati</w:t>
      </w:r>
      <w:proofErr w:type="spellEnd"/>
      <w:r w:rsidRPr="00DC1A5F">
        <w:t xml:space="preserve"> con su sustantivo </w:t>
      </w:r>
      <w:proofErr w:type="spellStart"/>
      <w:r w:rsidRPr="00DC1A5F">
        <w:rPr>
          <w:i/>
          <w:iCs/>
        </w:rPr>
        <w:t>abhinivesa</w:t>
      </w:r>
      <w:proofErr w:type="spellEnd"/>
      <w:r w:rsidRPr="00DC1A5F">
        <w:t xml:space="preserve"> significa literalmente “habitar en”, y por lo tanto “adherirse” o “insistir”. En el </w:t>
      </w:r>
      <w:r w:rsidRPr="00DC1A5F">
        <w:rPr>
          <w:i/>
          <w:iCs/>
        </w:rPr>
        <w:t>Tipiṭaka</w:t>
      </w:r>
      <w:r w:rsidRPr="00DC1A5F">
        <w:t xml:space="preserve"> siempre aparece en un sentido negativo y aparece</w:t>
      </w:r>
      <w:r w:rsidRPr="00DC1A5F">
        <w:br w:type="page"/>
      </w:r>
    </w:p>
    <w:p w14:paraId="796E8EF8" w14:textId="77777777" w:rsidR="00597DE2" w:rsidRPr="00DC1A5F" w:rsidRDefault="00597DE2" w:rsidP="00597DE2"/>
    <w:p w14:paraId="216FCB2A" w14:textId="77777777" w:rsidR="00597DE2" w:rsidRPr="00DC1A5F" w:rsidRDefault="00597DE2" w:rsidP="00597DE2">
      <w:r w:rsidRPr="00DC1A5F">
        <w:t>20.</w:t>
      </w:r>
      <w:r w:rsidRPr="00DC1A5F">
        <w:tab/>
        <w:t xml:space="preserve"> </w:t>
      </w:r>
      <w:r w:rsidRPr="00DC1A5F">
        <w:rPr>
          <w:i/>
          <w:iCs/>
        </w:rPr>
        <w:t>11.</w:t>
      </w:r>
      <w:r w:rsidRPr="00DC1A5F">
        <w:t xml:space="preserve"> Con respecto a las tétradas, en la primera tétrada, el conocimiento que ocurra dependiente de la verdad del sufrimiento corresponderá al </w:t>
      </w:r>
      <w:r w:rsidRPr="00DC1A5F">
        <w:rPr>
          <w:i/>
          <w:iCs/>
        </w:rPr>
        <w:t>conocimiento del sufrimiento</w:t>
      </w:r>
      <w:r w:rsidRPr="00DC1A5F">
        <w:t xml:space="preserve">; el conocimiento que ocurre dependiente del origen del sufrimiento corresponderá al </w:t>
      </w:r>
      <w:r w:rsidRPr="00DC1A5F">
        <w:rPr>
          <w:i/>
          <w:iCs/>
        </w:rPr>
        <w:t>conocimiento del origen del sufrimiento</w:t>
      </w:r>
      <w:r w:rsidRPr="00DC1A5F">
        <w:t xml:space="preserve">; el conocimiento que ocurra en función de la cesación del sufrimiento corresponderá al </w:t>
      </w:r>
      <w:r w:rsidRPr="00DC1A5F">
        <w:rPr>
          <w:i/>
          <w:iCs/>
        </w:rPr>
        <w:t>conocimiento de la cesación del sufrimiento</w:t>
      </w:r>
      <w:r w:rsidRPr="00DC1A5F">
        <w:t xml:space="preserve">; y el conocimiento que ocurra dependiente del sendero que conduce a la cesación del sufrimiento corresponderá al </w:t>
      </w:r>
      <w:r w:rsidRPr="00DC1A5F">
        <w:rPr>
          <w:i/>
          <w:iCs/>
        </w:rPr>
        <w:t>conocimiento del sendero que conduce a la cesación del sufrimiento</w:t>
      </w:r>
      <w:r w:rsidRPr="00DC1A5F">
        <w:t>. Así es cómo el entendimiento podrá ser de cuatro clases como el conocimiento correspondiente a las cuatro nobles verdades.</w:t>
      </w:r>
    </w:p>
    <w:p w14:paraId="58D1C287" w14:textId="77777777" w:rsidR="00597DE2" w:rsidRPr="00DC1A5F" w:rsidRDefault="00597DE2" w:rsidP="00597DE2">
      <w:r w:rsidRPr="00DC1A5F">
        <w:t xml:space="preserve">21. </w:t>
      </w:r>
      <w:r w:rsidRPr="00DC1A5F">
        <w:tab/>
      </w:r>
      <w:r w:rsidRPr="00DC1A5F">
        <w:rPr>
          <w:i/>
          <w:iCs/>
        </w:rPr>
        <w:t>12</w:t>
      </w:r>
      <w:r w:rsidRPr="00DC1A5F">
        <w:t xml:space="preserve">. En la segunda tétrada, las cuatro clases de conocimiento clasificadas como aquellas relacionadas con el significado, etc., se denominarán las </w:t>
      </w:r>
      <w:r w:rsidRPr="00DC1A5F">
        <w:rPr>
          <w:i/>
          <w:iCs/>
        </w:rPr>
        <w:t>cuatro discriminaciones</w:t>
      </w:r>
      <w:r w:rsidRPr="00DC1A5F">
        <w:t xml:space="preserve">. Ya que esto se dice al respecto: “El conocimiento sobre el </w:t>
      </w:r>
      <w:r w:rsidRPr="00DC1A5F">
        <w:rPr>
          <w:i/>
          <w:iCs/>
        </w:rPr>
        <w:t>significado</w:t>
      </w:r>
      <w:r w:rsidRPr="00DC1A5F">
        <w:t xml:space="preserve"> corresponderá a la discriminación del significado (</w:t>
      </w:r>
      <w:proofErr w:type="spellStart"/>
      <w:r w:rsidRPr="00DC1A5F">
        <w:rPr>
          <w:i/>
          <w:iCs/>
        </w:rPr>
        <w:t>atthapaṭisambhidā</w:t>
      </w:r>
      <w:proofErr w:type="spellEnd"/>
      <w:r w:rsidRPr="00DC1A5F">
        <w:t xml:space="preserve">). El conocimiento sobre la </w:t>
      </w:r>
      <w:r w:rsidRPr="00DC1A5F">
        <w:rPr>
          <w:i/>
          <w:iCs/>
        </w:rPr>
        <w:t>ley</w:t>
      </w:r>
      <w:r w:rsidRPr="00DC1A5F">
        <w:t xml:space="preserve"> corresponderá a la discriminación de la ley (</w:t>
      </w:r>
      <w:proofErr w:type="spellStart"/>
      <w:r w:rsidRPr="00DC1A5F">
        <w:rPr>
          <w:i/>
          <w:iCs/>
        </w:rPr>
        <w:t>dhammapaṭisambhidā</w:t>
      </w:r>
      <w:proofErr w:type="spellEnd"/>
      <w:r w:rsidRPr="00DC1A5F">
        <w:t xml:space="preserve">). El conocimiento sobre la enunciación del lenguaje relacionado con el </w:t>
      </w:r>
      <w:r w:rsidRPr="00DC1A5F">
        <w:rPr>
          <w:i/>
          <w:iCs/>
        </w:rPr>
        <w:t>significado</w:t>
      </w:r>
      <w:r w:rsidRPr="00DC1A5F">
        <w:t xml:space="preserve"> y la </w:t>
      </w:r>
      <w:r w:rsidRPr="00DC1A5F">
        <w:rPr>
          <w:i/>
          <w:iCs/>
        </w:rPr>
        <w:t>ley</w:t>
      </w:r>
      <w:r w:rsidRPr="00DC1A5F">
        <w:t xml:space="preserve"> corresponderá a la discriminación del </w:t>
      </w:r>
      <w:r w:rsidRPr="00DC1A5F">
        <w:rPr>
          <w:i/>
          <w:iCs/>
        </w:rPr>
        <w:t>lenguaje</w:t>
      </w:r>
      <w:r w:rsidRPr="00DC1A5F">
        <w:t xml:space="preserve"> (</w:t>
      </w:r>
      <w:proofErr w:type="spellStart"/>
      <w:r w:rsidRPr="00DC1A5F">
        <w:rPr>
          <w:i/>
          <w:iCs/>
        </w:rPr>
        <w:t>nirutti</w:t>
      </w:r>
      <w:proofErr w:type="spellEnd"/>
      <w:r w:rsidRPr="00DC1A5F">
        <w:t>–</w:t>
      </w:r>
      <w:proofErr w:type="spellStart"/>
      <w:r w:rsidRPr="00DC1A5F">
        <w:rPr>
          <w:i/>
          <w:iCs/>
        </w:rPr>
        <w:t>paṭisambhidā</w:t>
      </w:r>
      <w:proofErr w:type="spellEnd"/>
      <w:r w:rsidRPr="00DC1A5F">
        <w:t xml:space="preserve">). El conocimiento sobre los </w:t>
      </w:r>
      <w:r w:rsidRPr="00DC1A5F">
        <w:rPr>
          <w:i/>
          <w:iCs/>
        </w:rPr>
        <w:t>tipos de conocimiento</w:t>
      </w:r>
      <w:r w:rsidRPr="00DC1A5F">
        <w:t xml:space="preserve"> corresponderá a la discriminación de la perspicuidad (</w:t>
      </w:r>
      <w:proofErr w:type="spellStart"/>
      <w:r w:rsidRPr="00DC1A5F">
        <w:rPr>
          <w:i/>
          <w:iCs/>
        </w:rPr>
        <w:t>paṭibhānapaṭisambhidā</w:t>
      </w:r>
      <w:proofErr w:type="spellEnd"/>
      <w:r w:rsidRPr="00DC1A5F">
        <w:t>)” (</w:t>
      </w:r>
      <w:proofErr w:type="spellStart"/>
      <w:r w:rsidRPr="00DC1A5F">
        <w:t>Vibh</w:t>
      </w:r>
      <w:proofErr w:type="spellEnd"/>
      <w:r w:rsidRPr="00DC1A5F">
        <w:t xml:space="preserve"> 293).</w:t>
      </w:r>
    </w:p>
    <w:p w14:paraId="02209EB2" w14:textId="77777777" w:rsidR="00597DE2" w:rsidRPr="00DC1A5F" w:rsidRDefault="00597DE2" w:rsidP="00597DE2">
      <w:r w:rsidRPr="00DC1A5F">
        <w:t xml:space="preserve">22. </w:t>
      </w:r>
      <w:r w:rsidRPr="00DC1A5F">
        <w:tab/>
        <w:t xml:space="preserve">Aquí, el </w:t>
      </w:r>
      <w:r w:rsidRPr="00DC1A5F">
        <w:rPr>
          <w:i/>
          <w:iCs/>
        </w:rPr>
        <w:t>significado</w:t>
      </w:r>
      <w:r w:rsidRPr="00DC1A5F">
        <w:t xml:space="preserve"> (</w:t>
      </w:r>
      <w:proofErr w:type="spellStart"/>
      <w:r w:rsidRPr="00DC1A5F">
        <w:rPr>
          <w:i/>
          <w:iCs/>
        </w:rPr>
        <w:t>attkha</w:t>
      </w:r>
      <w:proofErr w:type="spellEnd"/>
      <w:r w:rsidRPr="00DC1A5F">
        <w:t>) corresponderá brevemente a un término para el efecto de una causa (</w:t>
      </w:r>
      <w:proofErr w:type="spellStart"/>
      <w:r w:rsidRPr="00DC1A5F">
        <w:rPr>
          <w:i/>
          <w:iCs/>
        </w:rPr>
        <w:t>hetu</w:t>
      </w:r>
      <w:proofErr w:type="spellEnd"/>
      <w:r w:rsidRPr="00DC1A5F">
        <w:t xml:space="preserve">). Pues </w:t>
      </w:r>
      <w:proofErr w:type="gramStart"/>
      <w:r w:rsidRPr="00DC1A5F">
        <w:t>de acuerdo a</w:t>
      </w:r>
      <w:proofErr w:type="gramEnd"/>
      <w:r w:rsidRPr="00DC1A5F">
        <w:t xml:space="preserve"> la causa de la que se sirva</w:t>
      </w:r>
      <w:r w:rsidRPr="00DC1A5F">
        <w:rPr>
          <w:vertAlign w:val="superscript"/>
        </w:rPr>
        <w:t>7</w:t>
      </w:r>
      <w:r w:rsidRPr="00DC1A5F">
        <w:t xml:space="preserve"> se llegará a, se alcanzará, por ello se le denominará “significado” (o “propósito”). No obstante, en particular cinco cosas, es decir, (i) cualquier cosa producida condicionalmente, [441] (</w:t>
      </w:r>
      <w:proofErr w:type="spellStart"/>
      <w:r w:rsidRPr="00DC1A5F">
        <w:t>ii</w:t>
      </w:r>
      <w:proofErr w:type="spellEnd"/>
      <w:r w:rsidRPr="00DC1A5F">
        <w:t xml:space="preserve">) el </w:t>
      </w:r>
      <w:r w:rsidRPr="00DC1A5F">
        <w:rPr>
          <w:i/>
          <w:iCs/>
        </w:rPr>
        <w:t>Nibbāna</w:t>
      </w:r>
      <w:r w:rsidRPr="00DC1A5F">
        <w:t>, (</w:t>
      </w:r>
      <w:proofErr w:type="spellStart"/>
      <w:r w:rsidRPr="00DC1A5F">
        <w:t>iii</w:t>
      </w:r>
      <w:proofErr w:type="spellEnd"/>
      <w:r w:rsidRPr="00DC1A5F">
        <w:t>) el significado de lo que se diga, (</w:t>
      </w:r>
      <w:proofErr w:type="spellStart"/>
      <w:r w:rsidRPr="00DC1A5F">
        <w:t>iv</w:t>
      </w:r>
      <w:proofErr w:type="spellEnd"/>
      <w:r w:rsidRPr="00DC1A5F">
        <w:t xml:space="preserve">) el resultado (del </w:t>
      </w:r>
      <w:proofErr w:type="spellStart"/>
      <w:r w:rsidRPr="00DC1A5F">
        <w:rPr>
          <w:i/>
        </w:rPr>
        <w:t>kamma</w:t>
      </w:r>
      <w:proofErr w:type="spellEnd"/>
      <w:r w:rsidRPr="00DC1A5F">
        <w:t xml:space="preserve">), y (v) la consciencia funcional, deberán entenderse </w:t>
      </w:r>
      <w:proofErr w:type="gramStart"/>
      <w:r w:rsidRPr="00DC1A5F">
        <w:t>de acuerdo a</w:t>
      </w:r>
      <w:proofErr w:type="gramEnd"/>
      <w:r w:rsidRPr="00DC1A5F">
        <w:t xml:space="preserve"> su </w:t>
      </w:r>
      <w:r w:rsidRPr="00DC1A5F">
        <w:rPr>
          <w:i/>
          <w:iCs/>
        </w:rPr>
        <w:t>significado</w:t>
      </w:r>
      <w:r w:rsidRPr="00DC1A5F">
        <w:t>. Cuando alguien revise ese significado, cualquier conocimiento suyo que caiga dentro de la categoría (</w:t>
      </w:r>
      <w:proofErr w:type="spellStart"/>
      <w:r w:rsidRPr="00DC1A5F">
        <w:rPr>
          <w:i/>
          <w:iCs/>
        </w:rPr>
        <w:t>pabheda</w:t>
      </w:r>
      <w:proofErr w:type="spellEnd"/>
      <w:r w:rsidRPr="00DC1A5F">
        <w:t xml:space="preserve">) relacionada con tal significado, corresponderá a la </w:t>
      </w:r>
      <w:r w:rsidRPr="00DC1A5F">
        <w:rPr>
          <w:i/>
          <w:iCs/>
        </w:rPr>
        <w:t>discriminación del significado</w:t>
      </w:r>
      <w:r w:rsidRPr="00DC1A5F">
        <w:t>.</w:t>
      </w:r>
    </w:p>
    <w:p w14:paraId="3874CA7D" w14:textId="77777777" w:rsidR="00597DE2" w:rsidRPr="00DC1A5F" w:rsidRDefault="00597DE2" w:rsidP="00597DE2">
      <w:r w:rsidRPr="00DC1A5F">
        <w:t xml:space="preserve">23. </w:t>
      </w:r>
      <w:r w:rsidRPr="00DC1A5F">
        <w:tab/>
        <w:t xml:space="preserve">La </w:t>
      </w:r>
      <w:r w:rsidRPr="00DC1A5F">
        <w:rPr>
          <w:i/>
          <w:iCs/>
        </w:rPr>
        <w:t>Ley</w:t>
      </w:r>
      <w:r w:rsidRPr="00DC1A5F">
        <w:t xml:space="preserve"> (el </w:t>
      </w:r>
      <w:r w:rsidRPr="00DC1A5F">
        <w:rPr>
          <w:i/>
        </w:rPr>
        <w:t>dhamma</w:t>
      </w:r>
      <w:r w:rsidRPr="00DC1A5F">
        <w:t>) corresponderá brevemente al término vinculado con una condición (</w:t>
      </w:r>
      <w:proofErr w:type="spellStart"/>
      <w:r w:rsidRPr="00DC1A5F">
        <w:rPr>
          <w:i/>
          <w:iCs/>
        </w:rPr>
        <w:t>paccaya</w:t>
      </w:r>
      <w:proofErr w:type="spellEnd"/>
      <w:r w:rsidRPr="00DC1A5F">
        <w:t>). Ya que una condición requerirá (</w:t>
      </w:r>
      <w:proofErr w:type="spellStart"/>
      <w:r w:rsidRPr="00DC1A5F">
        <w:rPr>
          <w:i/>
          <w:iCs/>
        </w:rPr>
        <w:t>dahati</w:t>
      </w:r>
      <w:proofErr w:type="spellEnd"/>
      <w:r w:rsidRPr="00DC1A5F">
        <w:t>) cualquiera cosa, hará que ocurra o permita la ocurrencia de algo, por lo tanto se le denominará “ley” (</w:t>
      </w:r>
      <w:r w:rsidRPr="00DC1A5F">
        <w:rPr>
          <w:i/>
        </w:rPr>
        <w:t>dhamma</w:t>
      </w:r>
      <w:r w:rsidRPr="00DC1A5F">
        <w:t>). No obstante, en particular deberán entenderse cinco cosas, es decir, (i) toda causa que produzca un efecto, (</w:t>
      </w:r>
      <w:proofErr w:type="spellStart"/>
      <w:r w:rsidRPr="00DC1A5F">
        <w:t>ii</w:t>
      </w:r>
      <w:proofErr w:type="spellEnd"/>
      <w:r w:rsidRPr="00DC1A5F">
        <w:t>) el noble sendero, (</w:t>
      </w:r>
      <w:proofErr w:type="spellStart"/>
      <w:r w:rsidRPr="00DC1A5F">
        <w:t>iii</w:t>
      </w:r>
      <w:proofErr w:type="spellEnd"/>
      <w:r w:rsidRPr="00DC1A5F">
        <w:t>) lo que se diga, (</w:t>
      </w:r>
      <w:proofErr w:type="spellStart"/>
      <w:r w:rsidRPr="00DC1A5F">
        <w:t>iv</w:t>
      </w:r>
      <w:proofErr w:type="spellEnd"/>
      <w:r w:rsidRPr="00DC1A5F">
        <w:t xml:space="preserve">) lo que sea productivo, y (v) lo que sea improductivo, todo ello deberá entenderse como </w:t>
      </w:r>
      <w:r w:rsidRPr="00DC1A5F">
        <w:rPr>
          <w:i/>
          <w:iCs/>
        </w:rPr>
        <w:t>ley.</w:t>
      </w:r>
      <w:r w:rsidRPr="00DC1A5F">
        <w:t xml:space="preserve"> Cuando alguien revise esta ley, cualquier conocimiento suyo que caiga dentro de la categoría relacionada con tal </w:t>
      </w:r>
      <w:r w:rsidRPr="00DC1A5F">
        <w:rPr>
          <w:i/>
          <w:iCs/>
        </w:rPr>
        <w:t>ley</w:t>
      </w:r>
      <w:r w:rsidRPr="00DC1A5F">
        <w:t xml:space="preserve">, corresponderá a la </w:t>
      </w:r>
      <w:r w:rsidRPr="00DC1A5F">
        <w:rPr>
          <w:i/>
          <w:iCs/>
        </w:rPr>
        <w:t>discriminación de la ley</w:t>
      </w:r>
      <w:r w:rsidRPr="00DC1A5F">
        <w:t xml:space="preserve">. </w:t>
      </w:r>
    </w:p>
    <w:p w14:paraId="7388DD4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49CC7CD" w14:textId="77777777" w:rsidR="00597DE2" w:rsidRPr="00DC1A5F" w:rsidRDefault="00597DE2" w:rsidP="00597DE2">
      <w:pPr>
        <w:pStyle w:val="PiedepginaLegal"/>
      </w:pPr>
      <w:r w:rsidRPr="00DC1A5F">
        <w:t>…</w:t>
      </w:r>
      <w:r w:rsidRPr="00DC1A5F">
        <w:tab/>
        <w:t xml:space="preserve">también y siempre en contextos con una visión incorrecta y apego (ver, por ejemplo, M III 30–31, </w:t>
      </w:r>
      <w:proofErr w:type="spellStart"/>
      <w:r w:rsidRPr="00DC1A5F">
        <w:t>Nidd</w:t>
      </w:r>
      <w:proofErr w:type="spellEnd"/>
      <w:r w:rsidRPr="00DC1A5F">
        <w:t xml:space="preserve"> I 436, y de forma análoga, el </w:t>
      </w:r>
      <w:proofErr w:type="spellStart"/>
      <w:r w:rsidRPr="00DC1A5F">
        <w:t>Vism</w:t>
      </w:r>
      <w:proofErr w:type="spellEnd"/>
      <w:r w:rsidRPr="00DC1A5F">
        <w:t>–</w:t>
      </w:r>
      <w:proofErr w:type="spellStart"/>
      <w:r w:rsidRPr="00DC1A5F">
        <w:t>mhṭ</w:t>
      </w:r>
      <w:proofErr w:type="spellEnd"/>
      <w:r w:rsidRPr="00DC1A5F">
        <w:t xml:space="preserve"> citado anteriormente en I. 140). Sin embargo, en los </w:t>
      </w:r>
      <w:r w:rsidRPr="00DC1A5F">
        <w:rPr>
          <w:i/>
          <w:iCs/>
        </w:rPr>
        <w:t>Comentarios</w:t>
      </w:r>
      <w:r w:rsidRPr="00DC1A5F">
        <w:t xml:space="preserve">, la palabra aparece también en un buen sentido como en el Cap. XIV.130, XXI.73 y 83f., y en M–a I 250 (cf. </w:t>
      </w:r>
      <w:proofErr w:type="spellStart"/>
      <w:r w:rsidRPr="00DC1A5F">
        <w:rPr>
          <w:i/>
          <w:iCs/>
        </w:rPr>
        <w:t>saddhaṃ</w:t>
      </w:r>
      <w:proofErr w:type="spellEnd"/>
      <w:r w:rsidRPr="00DC1A5F">
        <w:rPr>
          <w:i/>
          <w:iCs/>
        </w:rPr>
        <w:t xml:space="preserve"> </w:t>
      </w:r>
      <w:proofErr w:type="spellStart"/>
      <w:r w:rsidRPr="00DC1A5F">
        <w:rPr>
          <w:i/>
          <w:iCs/>
        </w:rPr>
        <w:t>nivisati</w:t>
      </w:r>
      <w:proofErr w:type="spellEnd"/>
      <w:r w:rsidRPr="00DC1A5F">
        <w:t xml:space="preserve">, M II 173). En este sentido positivo es sinónimo de interpretación </w:t>
      </w:r>
      <w:r w:rsidRPr="00DC1A5F">
        <w:rPr>
          <w:i/>
          <w:iCs/>
        </w:rPr>
        <w:t>correcta</w:t>
      </w:r>
      <w:r w:rsidRPr="00DC1A5F">
        <w:t xml:space="preserve"> de la experiencia. Toda la experiencia exclusiva de la percepción es interpretada por la mente en el sentido de permanencia, placer, alma, lo cual es incorrecto porque no está confirmada por la experiencia; no está confirmada en el sentido de impermanencia, etc., lo cual sería correcto porque ésta sí está confirmada por la experiencia (ver XIV. 130). No existirá la experiencia interpretativa y será una función de la mente que la interpretación adoptada sea “meditada”, es decir, insistida. Y así será esta insistencia o interpretación de acuerdo con la realidad confirmada por la experiencia a lo que se denomine </w:t>
      </w:r>
      <w:proofErr w:type="spellStart"/>
      <w:r w:rsidRPr="00DC1A5F">
        <w:rPr>
          <w:i/>
          <w:iCs/>
        </w:rPr>
        <w:t>abhinivesa</w:t>
      </w:r>
      <w:proofErr w:type="spellEnd"/>
      <w:r w:rsidRPr="00DC1A5F">
        <w:t xml:space="preserve"> en los </w:t>
      </w:r>
      <w:r w:rsidRPr="00DC1A5F">
        <w:rPr>
          <w:i/>
          <w:iCs/>
        </w:rPr>
        <w:t>Comentarios</w:t>
      </w:r>
      <w:r w:rsidRPr="00DC1A5F">
        <w:t xml:space="preserve"> en el sentido positivo. Por estas razones se han elegido aquí las palabras interpretación, interpretación negativa e insistencia.</w:t>
      </w:r>
    </w:p>
    <w:p w14:paraId="6DA9DE82" w14:textId="77777777" w:rsidR="00597DE2" w:rsidRPr="00DC1A5F" w:rsidRDefault="00597DE2" w:rsidP="00597DE2">
      <w:pPr>
        <w:pStyle w:val="PiedepginaLegal"/>
        <w:numPr>
          <w:ilvl w:val="0"/>
          <w:numId w:val="3"/>
        </w:numPr>
        <w:tabs>
          <w:tab w:val="clear" w:pos="425"/>
        </w:tabs>
        <w:ind w:left="284"/>
      </w:pPr>
      <w:proofErr w:type="spellStart"/>
      <w:r w:rsidRPr="00DC1A5F">
        <w:rPr>
          <w:i/>
          <w:iCs/>
        </w:rPr>
        <w:t>Arīyati</w:t>
      </w:r>
      <w:proofErr w:type="spellEnd"/>
      <w:r w:rsidRPr="00DC1A5F">
        <w:t xml:space="preserve">—“honrar, servir”. No así en el PED. Cf. Ger. </w:t>
      </w:r>
      <w:proofErr w:type="spellStart"/>
      <w:r w:rsidRPr="00DC1A5F">
        <w:rPr>
          <w:i/>
          <w:iCs/>
        </w:rPr>
        <w:t>araṇīya</w:t>
      </w:r>
      <w:proofErr w:type="spellEnd"/>
      <w:r w:rsidRPr="00DC1A5F">
        <w:t xml:space="preserve"> (M–a I 21,173), tampoco se encuentra así en el PED, lo cual es explicado por el </w:t>
      </w:r>
      <w:proofErr w:type="spellStart"/>
      <w:r w:rsidRPr="00DC1A5F">
        <w:rPr>
          <w:i/>
          <w:iCs/>
        </w:rPr>
        <w:t>Majjhima</w:t>
      </w:r>
      <w:proofErr w:type="spellEnd"/>
      <w:r w:rsidRPr="00DC1A5F">
        <w:rPr>
          <w:i/>
          <w:iCs/>
        </w:rPr>
        <w:t xml:space="preserve"> </w:t>
      </w:r>
      <w:proofErr w:type="spellStart"/>
      <w:r w:rsidRPr="00DC1A5F">
        <w:rPr>
          <w:i/>
          <w:iCs/>
        </w:rPr>
        <w:t>Nidāya</w:t>
      </w:r>
      <w:proofErr w:type="spellEnd"/>
      <w:r w:rsidRPr="00DC1A5F">
        <w:t xml:space="preserve"> </w:t>
      </w:r>
      <w:proofErr w:type="spellStart"/>
      <w:r w:rsidRPr="00DC1A5F">
        <w:rPr>
          <w:i/>
          <w:iCs/>
        </w:rPr>
        <w:t>ṭīkā</w:t>
      </w:r>
      <w:proofErr w:type="spellEnd"/>
      <w:r w:rsidRPr="00DC1A5F">
        <w:t xml:space="preserve"> como “a ser honrado” (</w:t>
      </w:r>
      <w:proofErr w:type="spellStart"/>
      <w:r w:rsidRPr="00DC1A5F">
        <w:rPr>
          <w:i/>
        </w:rPr>
        <w:t>payirūpasitabba</w:t>
      </w:r>
      <w:proofErr w:type="spellEnd"/>
      <w:r w:rsidRPr="00DC1A5F">
        <w:rPr>
          <w:iCs/>
        </w:rPr>
        <w:t>).</w:t>
      </w:r>
    </w:p>
    <w:p w14:paraId="28CA15AB" w14:textId="77777777" w:rsidR="00597DE2" w:rsidRPr="00DC1A5F" w:rsidRDefault="00597DE2" w:rsidP="00597DE2">
      <w:pPr>
        <w:tabs>
          <w:tab w:val="clear" w:pos="425"/>
        </w:tabs>
        <w:spacing w:after="160"/>
      </w:pPr>
      <w:r w:rsidRPr="00DC1A5F">
        <w:br w:type="page"/>
      </w:r>
    </w:p>
    <w:p w14:paraId="6BADFF16" w14:textId="77777777" w:rsidR="00597DE2" w:rsidRPr="00DC1A5F" w:rsidRDefault="00597DE2" w:rsidP="00597DE2">
      <w:r w:rsidRPr="00DC1A5F">
        <w:lastRenderedPageBreak/>
        <w:t xml:space="preserve">24. </w:t>
      </w:r>
      <w:r w:rsidRPr="00DC1A5F">
        <w:tab/>
        <w:t xml:space="preserve">Este mismo significado se muestra en el </w:t>
      </w:r>
      <w:proofErr w:type="spellStart"/>
      <w:r w:rsidRPr="00DC1A5F">
        <w:rPr>
          <w:i/>
          <w:iCs/>
        </w:rPr>
        <w:t>Abhidhamma</w:t>
      </w:r>
      <w:proofErr w:type="spellEnd"/>
      <w:r w:rsidRPr="00DC1A5F">
        <w:t xml:space="preserve"> mediante el siguiente análisis:</w:t>
      </w:r>
    </w:p>
    <w:p w14:paraId="0D1FD127" w14:textId="77777777" w:rsidR="00597DE2" w:rsidRPr="00DC1A5F" w:rsidRDefault="00597DE2" w:rsidP="00597DE2">
      <w:pPr>
        <w:pStyle w:val="NormalConSangria"/>
      </w:pPr>
      <w:r w:rsidRPr="00DC1A5F">
        <w:t xml:space="preserve">(a). “El conocimiento sobre el sufrimiento corresponderá a la </w:t>
      </w:r>
      <w:r w:rsidRPr="00DC1A5F">
        <w:rPr>
          <w:i/>
          <w:iCs/>
        </w:rPr>
        <w:t>discriminación del significado</w:t>
      </w:r>
      <w:r w:rsidRPr="00DC1A5F">
        <w:t xml:space="preserve">. El conocimiento sobre el origen del sufrimiento corresponderá a la </w:t>
      </w:r>
      <w:r w:rsidRPr="00DC1A5F">
        <w:rPr>
          <w:i/>
          <w:iCs/>
        </w:rPr>
        <w:t>discriminación de la ley</w:t>
      </w:r>
      <w:r w:rsidRPr="00DC1A5F">
        <w:t xml:space="preserve">. [El conocimiento sobre la cesación del sufrimiento a la </w:t>
      </w:r>
      <w:r w:rsidRPr="00DC1A5F">
        <w:rPr>
          <w:i/>
          <w:iCs/>
        </w:rPr>
        <w:t>discriminación del significado</w:t>
      </w:r>
      <w:r w:rsidRPr="00DC1A5F">
        <w:t xml:space="preserve">. El conocimiento sobre el sendero que conduce hacia la cesación del sufrimiento corresponderá la </w:t>
      </w:r>
      <w:r w:rsidRPr="00DC1A5F">
        <w:rPr>
          <w:i/>
          <w:iCs/>
        </w:rPr>
        <w:t>discriminación de la ley</w:t>
      </w:r>
      <w:r w:rsidRPr="00DC1A5F">
        <w:t>]...</w:t>
      </w:r>
    </w:p>
    <w:p w14:paraId="18A776D9" w14:textId="77777777" w:rsidR="00597DE2" w:rsidRPr="00DC1A5F" w:rsidRDefault="00597DE2" w:rsidP="00597DE2">
      <w:pPr>
        <w:pStyle w:val="NormalConSangria"/>
      </w:pPr>
      <w:r w:rsidRPr="00DC1A5F">
        <w:t xml:space="preserve">(b). “El conocimiento sobre la causa corresponderá a la </w:t>
      </w:r>
      <w:r w:rsidRPr="00DC1A5F">
        <w:rPr>
          <w:i/>
          <w:iCs/>
        </w:rPr>
        <w:t>discriminación de la ley</w:t>
      </w:r>
      <w:r w:rsidRPr="00DC1A5F">
        <w:t xml:space="preserve">. El conocimiento sobre la Fruición de la causa corresponderá a la </w:t>
      </w:r>
      <w:r w:rsidRPr="00DC1A5F">
        <w:rPr>
          <w:i/>
          <w:iCs/>
        </w:rPr>
        <w:t>discriminación del significado</w:t>
      </w:r>
      <w:r w:rsidRPr="00DC1A5F">
        <w:t>…</w:t>
      </w:r>
    </w:p>
    <w:p w14:paraId="6B8726B7" w14:textId="77777777" w:rsidR="00597DE2" w:rsidRPr="00DC1A5F" w:rsidRDefault="00597DE2" w:rsidP="00597DE2">
      <w:pPr>
        <w:pStyle w:val="NormalConSangria"/>
      </w:pPr>
      <w:r w:rsidRPr="00DC1A5F">
        <w:t xml:space="preserve">(c). “El conocimiento acerca de cualquier cosa que nazca, mute, se conduzca a renacer, se produzca, se complete, se manifieste, corresponderá a la </w:t>
      </w:r>
      <w:r w:rsidRPr="00DC1A5F">
        <w:rPr>
          <w:i/>
          <w:iCs/>
        </w:rPr>
        <w:t>discriminación del significado</w:t>
      </w:r>
      <w:r w:rsidRPr="00DC1A5F">
        <w:t xml:space="preserve">. El conocimiento sobre las cosas de las cuales esas cosas nacieron, </w:t>
      </w:r>
      <w:proofErr w:type="gramStart"/>
      <w:r w:rsidRPr="00DC1A5F">
        <w:t>mutaron</w:t>
      </w:r>
      <w:proofErr w:type="gramEnd"/>
      <w:r w:rsidRPr="00DC1A5F">
        <w:t xml:space="preserve">, renacieron, se produjeron, se completaron, se manifestaron, corresponderá a la </w:t>
      </w:r>
      <w:r w:rsidRPr="00DC1A5F">
        <w:rPr>
          <w:i/>
          <w:iCs/>
        </w:rPr>
        <w:t>discriminación de la ley</w:t>
      </w:r>
      <w:r w:rsidRPr="00DC1A5F">
        <w:t>...</w:t>
      </w:r>
    </w:p>
    <w:p w14:paraId="3AE52A0D" w14:textId="77777777" w:rsidR="00597DE2" w:rsidRPr="00DC1A5F" w:rsidRDefault="00597DE2" w:rsidP="00597DE2">
      <w:pPr>
        <w:pStyle w:val="NormalConSangria"/>
      </w:pPr>
      <w:r w:rsidRPr="00DC1A5F">
        <w:t xml:space="preserve">(d). “El conocimiento sobre el envejecimiento y la muerte corresponderá a la </w:t>
      </w:r>
      <w:r w:rsidRPr="00DC1A5F">
        <w:rPr>
          <w:i/>
          <w:iCs/>
        </w:rPr>
        <w:t>discriminación del significado</w:t>
      </w:r>
      <w:r w:rsidRPr="00DC1A5F">
        <w:t xml:space="preserve">. El conocimiento sobre el origen del envejecimiento y la muerte a la </w:t>
      </w:r>
      <w:r w:rsidRPr="00DC1A5F">
        <w:rPr>
          <w:i/>
          <w:iCs/>
        </w:rPr>
        <w:t>discriminación de la ley</w:t>
      </w:r>
      <w:r w:rsidRPr="00DC1A5F">
        <w:t xml:space="preserve">. [El conocimiento sobre la cesación del envejecimiento y la muerte corresponderá a la </w:t>
      </w:r>
      <w:r w:rsidRPr="00DC1A5F">
        <w:rPr>
          <w:i/>
          <w:iCs/>
        </w:rPr>
        <w:t>discriminación del significado</w:t>
      </w:r>
      <w:r w:rsidRPr="00DC1A5F">
        <w:t xml:space="preserve">. El conocimiento sobre el sendero que conduce a la cesación del envejecimiento y la muerte a la </w:t>
      </w:r>
      <w:r w:rsidRPr="00DC1A5F">
        <w:rPr>
          <w:i/>
          <w:iCs/>
        </w:rPr>
        <w:t>discriminación de la ley</w:t>
      </w:r>
      <w:r w:rsidRPr="00DC1A5F">
        <w:t xml:space="preserve">. El conocimiento sobre el nacimiento... el devenir... el apego... el deseo... la sensación... el contacto... la base séxtuple... la mentalidad–materialidad... la consciencia... el conocimiento sobre las formaciones, todo ello corresponderá a la </w:t>
      </w:r>
      <w:r w:rsidRPr="00DC1A5F">
        <w:rPr>
          <w:i/>
          <w:iCs/>
        </w:rPr>
        <w:t>discriminación del significado</w:t>
      </w:r>
      <w:r w:rsidRPr="00DC1A5F">
        <w:t xml:space="preserve">. El conocimiento sobre el origen de las formaciones a la </w:t>
      </w:r>
      <w:r w:rsidRPr="00DC1A5F">
        <w:rPr>
          <w:i/>
          <w:iCs/>
        </w:rPr>
        <w:t>discriminación de la ley</w:t>
      </w:r>
      <w:r w:rsidRPr="00DC1A5F">
        <w:t xml:space="preserve">.] El conocimiento sobre la cesación de las formaciones corresponderá a la </w:t>
      </w:r>
      <w:r w:rsidRPr="00DC1A5F">
        <w:rPr>
          <w:i/>
          <w:iCs/>
        </w:rPr>
        <w:t>discriminación del significado</w:t>
      </w:r>
      <w:r w:rsidRPr="00DC1A5F">
        <w:t xml:space="preserve">. El conocimiento sobre el sendero que conduzca a la cesación de las formaciones corresponderá a la </w:t>
      </w:r>
      <w:r w:rsidRPr="00DC1A5F">
        <w:rPr>
          <w:i/>
          <w:iCs/>
        </w:rPr>
        <w:t>discriminación de la ley</w:t>
      </w:r>
      <w:r w:rsidRPr="00DC1A5F">
        <w:t>…</w:t>
      </w:r>
    </w:p>
    <w:p w14:paraId="048AFA09" w14:textId="77777777" w:rsidR="00597DE2" w:rsidRPr="00DC1A5F" w:rsidRDefault="00597DE2" w:rsidP="00597DE2">
      <w:pPr>
        <w:pStyle w:val="NormalConSangria"/>
      </w:pPr>
      <w:r w:rsidRPr="00DC1A5F">
        <w:t xml:space="preserve">(e). “Aquí un </w:t>
      </w:r>
      <w:proofErr w:type="spellStart"/>
      <w:r w:rsidRPr="00DC1A5F">
        <w:rPr>
          <w:i/>
        </w:rPr>
        <w:t>bhikkhu</w:t>
      </w:r>
      <w:proofErr w:type="spellEnd"/>
      <w:r w:rsidRPr="00DC1A5F">
        <w:t xml:space="preserve"> conoce el </w:t>
      </w:r>
      <w:r w:rsidRPr="00DC1A5F">
        <w:rPr>
          <w:i/>
        </w:rPr>
        <w:t>Dhamma</w:t>
      </w:r>
      <w:r w:rsidRPr="00DC1A5F">
        <w:t xml:space="preserve"> (Ley)— los Discursos, los Cantos, [las Exposiciones, Estrofas, Exclamaciones, Frases, Historias de Renacimiento, las Maravillas y] las Respuestas a las Preguntas — a esto se le denominará </w:t>
      </w:r>
      <w:r w:rsidRPr="00DC1A5F">
        <w:rPr>
          <w:i/>
          <w:iCs/>
        </w:rPr>
        <w:t>discriminación de la ley</w:t>
      </w:r>
      <w:r w:rsidRPr="00DC1A5F">
        <w:t xml:space="preserve">. Él conocerá el significado de todo lo que se diga así: ‘Este es el significado respecto a esto que se dijo; éste es el significado respecto a esto que se dijo’— a esto se le denominará la </w:t>
      </w:r>
      <w:r w:rsidRPr="00DC1A5F">
        <w:rPr>
          <w:i/>
          <w:iCs/>
        </w:rPr>
        <w:t>discriminación del significado</w:t>
      </w:r>
      <w:r w:rsidRPr="00DC1A5F">
        <w:t>…</w:t>
      </w:r>
    </w:p>
    <w:p w14:paraId="62A6DF6B" w14:textId="77777777" w:rsidR="00597DE2" w:rsidRPr="00DC1A5F" w:rsidRDefault="00597DE2" w:rsidP="00597DE2">
      <w:pPr>
        <w:pStyle w:val="NormalConSangria"/>
        <w:rPr>
          <w:vertAlign w:val="superscript"/>
        </w:rPr>
      </w:pPr>
      <w:r w:rsidRPr="00DC1A5F">
        <w:t xml:space="preserve">(f). “¿Cuáles son los estados productivos? En una ocasión en la que haya surgido una consciencia productiva de la esfera sensorial [que vaya acompañada de dicha y asociada con el conocimiento, teniendo como su objeto un objeto visible... o como su objeto un objeto mental, o dependiente de cualquiera cosa posible, en esa ocasión habrá contacto... (para la elisión ver </w:t>
      </w:r>
      <w:proofErr w:type="spellStart"/>
      <w:r w:rsidRPr="00DC1A5F">
        <w:t>Dhs</w:t>
      </w:r>
      <w:proofErr w:type="spellEnd"/>
      <w:r w:rsidRPr="00DC1A5F">
        <w:t xml:space="preserve"> §1) ... habrá no–vacilación] — estas cosas serán productivas. El conocimiento sobre estas cosas corresponderá a la </w:t>
      </w:r>
      <w:r w:rsidRPr="00DC1A5F">
        <w:rPr>
          <w:i/>
          <w:iCs/>
        </w:rPr>
        <w:t>discriminación de la le</w:t>
      </w:r>
      <w:r w:rsidRPr="00DC1A5F">
        <w:t xml:space="preserve">y. El conocimiento sobre su resultado </w:t>
      </w:r>
      <w:r w:rsidRPr="00DC1A5F">
        <w:rPr>
          <w:i/>
          <w:iCs/>
        </w:rPr>
        <w:t>a la discriminación del significado</w:t>
      </w:r>
      <w:r w:rsidRPr="00DC1A5F">
        <w:t>” … (</w:t>
      </w:r>
      <w:proofErr w:type="spellStart"/>
      <w:r w:rsidRPr="00DC1A5F">
        <w:t>Vibh</w:t>
      </w:r>
      <w:proofErr w:type="spellEnd"/>
      <w:r w:rsidRPr="00DC1A5F">
        <w:t xml:space="preserve"> 293–95).</w:t>
      </w:r>
      <w:r w:rsidRPr="00DC1A5F">
        <w:rPr>
          <w:vertAlign w:val="superscript"/>
        </w:rPr>
        <w:t>8</w:t>
      </w:r>
    </w:p>
    <w:p w14:paraId="36D5F5E5" w14:textId="77777777" w:rsidR="00597DE2" w:rsidRPr="00DC1A5F" w:rsidRDefault="00597DE2" w:rsidP="00597DE2">
      <w:r w:rsidRPr="00DC1A5F">
        <w:t xml:space="preserve">25. </w:t>
      </w:r>
      <w:r w:rsidRPr="00DC1A5F">
        <w:tab/>
      </w:r>
      <w:r w:rsidRPr="00DC1A5F">
        <w:rPr>
          <w:i/>
          <w:iCs/>
        </w:rPr>
        <w:t>Conocimiento sobre la enunciación del lenguaje que trate del significado y de la ley</w:t>
      </w:r>
      <w:r w:rsidRPr="00DC1A5F">
        <w:t xml:space="preserve"> (§21): existirá un lenguaje que corresponderá a la esencia individual, a un uso que no posea excepciones</w:t>
      </w:r>
      <w:r w:rsidRPr="00DC1A5F">
        <w:rPr>
          <w:vertAlign w:val="superscript"/>
        </w:rPr>
        <w:t>9</w:t>
      </w:r>
      <w:r w:rsidRPr="00DC1A5F">
        <w:t xml:space="preserve"> y que tratará de ese significado y de esa ley. Cualquier conocimiento que caiga dentro de la categoría relacionada con la enunciación al respecto, con el lenguaje, con la pronunciación al respecto, relacionado con la raíz del lenguaje de todos los seres, en el idioma </w:t>
      </w:r>
      <w:proofErr w:type="spellStart"/>
      <w:r w:rsidRPr="00DC1A5F">
        <w:rPr>
          <w:i/>
          <w:iCs/>
        </w:rPr>
        <w:t>Magadhan</w:t>
      </w:r>
      <w:proofErr w:type="spellEnd"/>
      <w:r w:rsidRPr="00DC1A5F">
        <w:t xml:space="preserve"> que es la esencia </w:t>
      </w:r>
    </w:p>
    <w:p w14:paraId="49472CD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A909F28" w14:textId="77777777" w:rsidR="00597DE2" w:rsidRPr="00DC1A5F" w:rsidRDefault="00597DE2" w:rsidP="00597DE2">
      <w:pPr>
        <w:pStyle w:val="PiedepginaLegal"/>
        <w:numPr>
          <w:ilvl w:val="0"/>
          <w:numId w:val="3"/>
        </w:numPr>
        <w:tabs>
          <w:tab w:val="clear" w:pos="425"/>
        </w:tabs>
        <w:ind w:left="284"/>
      </w:pPr>
      <w:r w:rsidRPr="00DC1A5F">
        <w:t xml:space="preserve">Esta cita se ha enriquecido a partir del texto </w:t>
      </w:r>
      <w:proofErr w:type="spellStart"/>
      <w:r w:rsidRPr="00DC1A5F">
        <w:rPr>
          <w:i/>
          <w:iCs/>
        </w:rPr>
        <w:t>Vibhaṅga</w:t>
      </w:r>
      <w:proofErr w:type="spellEnd"/>
      <w:r w:rsidRPr="00DC1A5F">
        <w:t xml:space="preserve"> para una mayor claridad.</w:t>
      </w:r>
    </w:p>
    <w:p w14:paraId="293693F4" w14:textId="77777777" w:rsidR="00597DE2" w:rsidRPr="00DC1A5F" w:rsidRDefault="00597DE2" w:rsidP="00597DE2">
      <w:pPr>
        <w:pStyle w:val="PiedepginaLegal"/>
        <w:numPr>
          <w:ilvl w:val="0"/>
          <w:numId w:val="3"/>
        </w:numPr>
        <w:tabs>
          <w:tab w:val="clear" w:pos="425"/>
        </w:tabs>
        <w:spacing w:after="160"/>
        <w:ind w:left="284"/>
      </w:pPr>
      <w:proofErr w:type="spellStart"/>
      <w:r w:rsidRPr="00DC1A5F">
        <w:rPr>
          <w:i/>
          <w:iCs/>
        </w:rPr>
        <w:t>Byabhicāra</w:t>
      </w:r>
      <w:proofErr w:type="spellEnd"/>
      <w:r w:rsidRPr="00DC1A5F">
        <w:t xml:space="preserve"> (</w:t>
      </w:r>
      <w:proofErr w:type="spellStart"/>
      <w:r w:rsidRPr="00DC1A5F">
        <w:rPr>
          <w:i/>
          <w:iCs/>
        </w:rPr>
        <w:t>vyabhicāra</w:t>
      </w:r>
      <w:proofErr w:type="spellEnd"/>
      <w:r w:rsidRPr="00DC1A5F">
        <w:t>): no así en el PED; término de una gramática regular para “excepción”.</w:t>
      </w:r>
      <w:r w:rsidRPr="00DC1A5F">
        <w:br w:type="page"/>
      </w:r>
    </w:p>
    <w:p w14:paraId="2DD6C9FD" w14:textId="77777777" w:rsidR="00597DE2" w:rsidRPr="00DC1A5F" w:rsidRDefault="00597DE2" w:rsidP="00597DE2"/>
    <w:p w14:paraId="240FBA4A" w14:textId="77777777" w:rsidR="00597DE2" w:rsidRPr="00DC1A5F" w:rsidRDefault="00597DE2" w:rsidP="00597DE2">
      <w:r w:rsidRPr="00DC1A5F">
        <w:t>individual, en palabras, del lenguaje de la ley (</w:t>
      </w:r>
      <w:r w:rsidRPr="00DC1A5F">
        <w:rPr>
          <w:i/>
        </w:rPr>
        <w:t>dhamma</w:t>
      </w:r>
      <w:r w:rsidRPr="00DC1A5F">
        <w:t xml:space="preserve">), [cualquier conocimiento que] tan pronto como se oiga, se hable, se pronuncie,  se sepa: “Éste es el lenguaje de la esencia individual; éste no es el lenguaje de la esencia individual”— tal conocimiento corresponderá a la </w:t>
      </w:r>
      <w:r w:rsidRPr="00DC1A5F">
        <w:rPr>
          <w:i/>
          <w:iCs/>
        </w:rPr>
        <w:t>discriminación del lenguaje</w:t>
      </w:r>
      <w:r w:rsidRPr="00DC1A5F">
        <w:t>.</w:t>
      </w:r>
      <w:r w:rsidRPr="00DC1A5F">
        <w:rPr>
          <w:vertAlign w:val="superscript"/>
        </w:rPr>
        <w:t>10</w:t>
      </w:r>
      <w:r w:rsidRPr="00DC1A5F">
        <w:t xml:space="preserve"> [442] Aquel que haya alcanzado la discriminación del lenguaje sabrá, al escuchar las palabras “</w:t>
      </w:r>
      <w:proofErr w:type="spellStart"/>
      <w:r w:rsidRPr="00DC1A5F">
        <w:rPr>
          <w:i/>
          <w:iCs/>
        </w:rPr>
        <w:t>phasso</w:t>
      </w:r>
      <w:proofErr w:type="spellEnd"/>
      <w:r w:rsidRPr="00DC1A5F">
        <w:t xml:space="preserve">, </w:t>
      </w:r>
      <w:proofErr w:type="spellStart"/>
      <w:r w:rsidRPr="00DC1A5F">
        <w:rPr>
          <w:i/>
        </w:rPr>
        <w:t>vedanā</w:t>
      </w:r>
      <w:proofErr w:type="spellEnd"/>
      <w:r w:rsidRPr="00DC1A5F">
        <w:t xml:space="preserve">”, </w:t>
      </w:r>
      <w:r w:rsidRPr="00DC1A5F">
        <w:rPr>
          <w:i/>
          <w:iCs/>
        </w:rPr>
        <w:t>etc</w:t>
      </w:r>
      <w:r w:rsidRPr="00DC1A5F">
        <w:t>., que ése será el lenguaje de la esencia individual y al escuchar “</w:t>
      </w:r>
      <w:proofErr w:type="spellStart"/>
      <w:r w:rsidRPr="00DC1A5F">
        <w:rPr>
          <w:i/>
          <w:iCs/>
        </w:rPr>
        <w:t>phassā</w:t>
      </w:r>
      <w:proofErr w:type="spellEnd"/>
      <w:r w:rsidRPr="00DC1A5F">
        <w:t xml:space="preserve">, </w:t>
      </w:r>
      <w:proofErr w:type="spellStart"/>
      <w:r w:rsidRPr="00DC1A5F">
        <w:rPr>
          <w:i/>
          <w:iCs/>
        </w:rPr>
        <w:t>vedano</w:t>
      </w:r>
      <w:proofErr w:type="spellEnd"/>
      <w:r w:rsidRPr="00DC1A5F">
        <w:t>”, etc., sabrá que ése no será el lenguaje de la esencia individual.</w:t>
      </w:r>
    </w:p>
    <w:p w14:paraId="0A6A7863" w14:textId="77777777" w:rsidR="00597DE2" w:rsidRPr="00DC1A5F" w:rsidRDefault="00597DE2" w:rsidP="00597DE2">
      <w:r w:rsidRPr="00DC1A5F">
        <w:t xml:space="preserve">26. </w:t>
      </w:r>
      <w:r w:rsidRPr="00DC1A5F">
        <w:tab/>
      </w:r>
      <w:r w:rsidRPr="00DC1A5F">
        <w:rPr>
          <w:i/>
          <w:iCs/>
        </w:rPr>
        <w:t>Conocimiento sobre los tipos de conocimiento</w:t>
      </w:r>
      <w:r w:rsidRPr="00DC1A5F">
        <w:t xml:space="preserve"> (§21): cuando un hombre se esté examinando y haga de cualquiera de las clases de conocimiento anteriores el objeto de su conocimiento, entonces cualquier conocimiento en él, que posea al conocimiento como su objeto, corresponderá a la </w:t>
      </w:r>
      <w:r w:rsidRPr="00DC1A5F">
        <w:rPr>
          <w:i/>
          <w:iCs/>
        </w:rPr>
        <w:t>discriminación de su lucidez</w:t>
      </w:r>
      <w:r w:rsidRPr="00DC1A5F">
        <w:t xml:space="preserve"> y también lo será cualquier conocimiento sobre estos tipos de conocimiento antes mencionados, el cual se ocupará de los detalles de sus dominios individuales, funciones, etc.</w:t>
      </w:r>
    </w:p>
    <w:p w14:paraId="319916BA" w14:textId="77777777" w:rsidR="00597DE2" w:rsidRPr="00DC1A5F" w:rsidRDefault="00597DE2" w:rsidP="00597DE2">
      <w:r w:rsidRPr="00DC1A5F">
        <w:t xml:space="preserve">27. </w:t>
      </w:r>
      <w:r w:rsidRPr="00DC1A5F">
        <w:tab/>
        <w:t xml:space="preserve">Y estos 4 tipos de discriminación se podrán clasificar en 2 categorías: una en el plano del instructor y otra en el plano del no–instructor. Aquí, los de los discípulos principales y los grandes discípulos entran en la categoría del plano del no–instructor. Los del Venerable Ānanda, el laico </w:t>
      </w:r>
      <w:proofErr w:type="spellStart"/>
      <w:r w:rsidRPr="00DC1A5F">
        <w:t>Citta</w:t>
      </w:r>
      <w:proofErr w:type="spellEnd"/>
      <w:r w:rsidRPr="00DC1A5F">
        <w:t xml:space="preserve">, el laico </w:t>
      </w:r>
      <w:proofErr w:type="spellStart"/>
      <w:r w:rsidRPr="00DC1A5F">
        <w:t>Dhammika</w:t>
      </w:r>
      <w:proofErr w:type="spellEnd"/>
      <w:r w:rsidRPr="00DC1A5F">
        <w:t xml:space="preserve">, el laico </w:t>
      </w:r>
      <w:proofErr w:type="spellStart"/>
      <w:r w:rsidRPr="00DC1A5F">
        <w:t>Upāli</w:t>
      </w:r>
      <w:proofErr w:type="spellEnd"/>
      <w:r w:rsidRPr="00DC1A5F">
        <w:t xml:space="preserve">, la laica </w:t>
      </w:r>
      <w:proofErr w:type="spellStart"/>
      <w:r w:rsidRPr="00DC1A5F">
        <w:t>Khujjuttarā</w:t>
      </w:r>
      <w:proofErr w:type="spellEnd"/>
      <w:r w:rsidRPr="00DC1A5F">
        <w:t>, etc., entran en la categoría del plano del instructor.</w:t>
      </w:r>
    </w:p>
    <w:p w14:paraId="5909B037" w14:textId="77777777" w:rsidR="00597DE2" w:rsidRPr="00DC1A5F" w:rsidRDefault="00597DE2" w:rsidP="00597DE2">
      <w:pPr>
        <w:rPr>
          <w:vertAlign w:val="superscript"/>
        </w:rPr>
      </w:pPr>
      <w:r w:rsidRPr="00DC1A5F">
        <w:t xml:space="preserve">28. </w:t>
      </w:r>
      <w:r w:rsidRPr="00DC1A5F">
        <w:tab/>
        <w:t xml:space="preserve">Y aunque entren así en la categoría de dos planos, sin embargo, se distinguirán en 5 aspectos, es decir, como (1) consumación, (2) dominio de las escrituras, (3) audición, (4) cuestionamiento y (5) esfuerzo previo. Aquí, la </w:t>
      </w:r>
      <w:r w:rsidRPr="00DC1A5F">
        <w:rPr>
          <w:i/>
          <w:iCs/>
        </w:rPr>
        <w:t xml:space="preserve">consumación </w:t>
      </w:r>
      <w:r w:rsidRPr="00DC1A5F">
        <w:t xml:space="preserve">significa consumar el estado de </w:t>
      </w:r>
      <w:r w:rsidRPr="00DC1A5F">
        <w:rPr>
          <w:i/>
        </w:rPr>
        <w:t>Arahant</w:t>
      </w:r>
      <w:r w:rsidRPr="00DC1A5F">
        <w:t xml:space="preserve">. El </w:t>
      </w:r>
      <w:r w:rsidRPr="00DC1A5F">
        <w:rPr>
          <w:i/>
          <w:iCs/>
        </w:rPr>
        <w:t>dominio</w:t>
      </w:r>
      <w:r w:rsidRPr="00DC1A5F">
        <w:t xml:space="preserve"> de las escrituras corresponderá al dominio de la palabra del </w:t>
      </w:r>
      <w:r w:rsidRPr="00DC1A5F">
        <w:rPr>
          <w:i/>
        </w:rPr>
        <w:t>Buddha</w:t>
      </w:r>
      <w:r w:rsidRPr="00DC1A5F">
        <w:t xml:space="preserve">. </w:t>
      </w:r>
      <w:r w:rsidRPr="00DC1A5F">
        <w:rPr>
          <w:i/>
          <w:iCs/>
        </w:rPr>
        <w:t xml:space="preserve">Audición </w:t>
      </w:r>
      <w:r w:rsidRPr="00DC1A5F">
        <w:t xml:space="preserve">es aprender el </w:t>
      </w:r>
      <w:r w:rsidRPr="00DC1A5F">
        <w:rPr>
          <w:i/>
        </w:rPr>
        <w:t>Dhamma</w:t>
      </w:r>
      <w:r w:rsidRPr="00DC1A5F">
        <w:t xml:space="preserve"> escuchándolo cuidadosa y atentamente. El </w:t>
      </w:r>
      <w:r w:rsidRPr="00DC1A5F">
        <w:rPr>
          <w:i/>
          <w:iCs/>
        </w:rPr>
        <w:t>cuestionamiento</w:t>
      </w:r>
      <w:r w:rsidRPr="00DC1A5F">
        <w:t xml:space="preserve"> es la discusión de pasajes complicados y pasajes explicativos de los textos, comentarios, etc. El </w:t>
      </w:r>
      <w:r w:rsidRPr="00DC1A5F">
        <w:rPr>
          <w:i/>
          <w:iCs/>
        </w:rPr>
        <w:t>esfuerzo previo</w:t>
      </w:r>
      <w:r w:rsidRPr="00DC1A5F">
        <w:t xml:space="preserve"> corresponderá a la devoción hacia la sabiduría en la dispensación de los </w:t>
      </w:r>
      <w:r w:rsidRPr="00DC1A5F">
        <w:rPr>
          <w:i/>
        </w:rPr>
        <w:t>Buddha</w:t>
      </w:r>
      <w:r w:rsidRPr="00DC1A5F">
        <w:t>s del pasado, hasta la vecindad de las etapas de conformidad y el cambio de linaje por parte de alguien que haya practicado el deber de peregrinar con el objeto de meditación en la ronda de ofrendas y regresar de vuelta con él.</w:t>
      </w:r>
      <w:r w:rsidRPr="00DC1A5F">
        <w:rPr>
          <w:vertAlign w:val="superscript"/>
        </w:rPr>
        <w:t>11</w:t>
      </w:r>
    </w:p>
    <w:p w14:paraId="63BA153B" w14:textId="77777777" w:rsidR="00597DE2" w:rsidRPr="00DC1A5F" w:rsidRDefault="00597DE2" w:rsidP="00597DE2">
      <w:r w:rsidRPr="00DC1A5F">
        <w:t xml:space="preserve">29. </w:t>
      </w:r>
      <w:r w:rsidRPr="00DC1A5F">
        <w:tab/>
        <w:t>Otros han dicho al respecto:</w:t>
      </w:r>
    </w:p>
    <w:p w14:paraId="74CD5DCF" w14:textId="77777777" w:rsidR="00597DE2" w:rsidRPr="00DC1A5F" w:rsidRDefault="00597DE2" w:rsidP="00597DE2">
      <w:pPr>
        <w:pStyle w:val="VersoIngls01Sangria"/>
        <w:rPr>
          <w:sz w:val="16"/>
          <w:szCs w:val="20"/>
        </w:rPr>
      </w:pPr>
      <w:r w:rsidRPr="00DC1A5F">
        <w:rPr>
          <w:sz w:val="16"/>
          <w:szCs w:val="20"/>
        </w:rPr>
        <w:t>Un esfuerzo previo y un gran conocimiento,</w:t>
      </w:r>
    </w:p>
    <w:p w14:paraId="0594C530" w14:textId="77777777" w:rsidR="00597DE2" w:rsidRPr="00DC1A5F" w:rsidRDefault="00597DE2" w:rsidP="00597DE2">
      <w:pPr>
        <w:pStyle w:val="VersoIngls01Sangria"/>
        <w:rPr>
          <w:sz w:val="16"/>
          <w:szCs w:val="20"/>
        </w:rPr>
      </w:pPr>
      <w:r w:rsidRPr="00DC1A5F">
        <w:rPr>
          <w:sz w:val="16"/>
          <w:szCs w:val="20"/>
        </w:rPr>
        <w:t>Conocimiento de los dialectos, las escrituras,</w:t>
      </w:r>
    </w:p>
    <w:p w14:paraId="375D86FF" w14:textId="77777777" w:rsidR="00597DE2" w:rsidRPr="00DC1A5F" w:rsidRDefault="00597DE2" w:rsidP="00597DE2">
      <w:pPr>
        <w:pStyle w:val="VersoIngls01Sangria"/>
        <w:rPr>
          <w:sz w:val="16"/>
          <w:szCs w:val="20"/>
        </w:rPr>
      </w:pPr>
      <w:r w:rsidRPr="00DC1A5F">
        <w:rPr>
          <w:sz w:val="16"/>
          <w:szCs w:val="20"/>
        </w:rPr>
        <w:t>Y el cuestionamiento, y luego la consumación,</w:t>
      </w:r>
    </w:p>
    <w:p w14:paraId="1A10C632" w14:textId="77777777" w:rsidR="00597DE2" w:rsidRPr="00DC1A5F" w:rsidRDefault="00597DE2" w:rsidP="00597DE2">
      <w:pPr>
        <w:pStyle w:val="VersoIngls01Sangria"/>
        <w:rPr>
          <w:sz w:val="16"/>
          <w:szCs w:val="20"/>
        </w:rPr>
      </w:pPr>
      <w:r w:rsidRPr="00DC1A5F">
        <w:rPr>
          <w:sz w:val="16"/>
          <w:szCs w:val="20"/>
        </w:rPr>
        <w:t xml:space="preserve">Y asimismo aguardar por un maestro, </w:t>
      </w:r>
    </w:p>
    <w:p w14:paraId="109032AD" w14:textId="77777777" w:rsidR="00597DE2" w:rsidRPr="00DC1A5F" w:rsidRDefault="00597DE2" w:rsidP="00597DE2">
      <w:pPr>
        <w:pStyle w:val="VersoIngls01Sangria"/>
        <w:rPr>
          <w:sz w:val="16"/>
          <w:szCs w:val="20"/>
        </w:rPr>
      </w:pPr>
      <w:r w:rsidRPr="00DC1A5F">
        <w:rPr>
          <w:sz w:val="16"/>
          <w:szCs w:val="20"/>
        </w:rPr>
        <w:t>Éxito en los amigos: éstas son las condiciones</w:t>
      </w:r>
    </w:p>
    <w:p w14:paraId="06F4C768" w14:textId="77777777" w:rsidR="00597DE2" w:rsidRPr="00DC1A5F" w:rsidRDefault="00597DE2" w:rsidP="00597DE2">
      <w:pPr>
        <w:pStyle w:val="VersoIngls01Sangria"/>
        <w:rPr>
          <w:sz w:val="16"/>
          <w:szCs w:val="20"/>
        </w:rPr>
      </w:pPr>
      <w:r w:rsidRPr="00DC1A5F">
        <w:rPr>
          <w:sz w:val="16"/>
          <w:szCs w:val="20"/>
        </w:rPr>
        <w:t>Productivas de las discriminaciones.</w:t>
      </w:r>
    </w:p>
    <w:p w14:paraId="779288DD" w14:textId="77777777" w:rsidR="00597DE2" w:rsidRPr="00DC1A5F" w:rsidRDefault="00597DE2" w:rsidP="00597DE2">
      <w:pPr>
        <w:pStyle w:val="VersoIngls01Sangria"/>
        <w:rPr>
          <w:sz w:val="16"/>
          <w:szCs w:val="20"/>
        </w:rPr>
      </w:pPr>
    </w:p>
    <w:p w14:paraId="4B998D4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CCECF76" w14:textId="77777777" w:rsidR="00597DE2" w:rsidRPr="00DC1A5F" w:rsidRDefault="00597DE2" w:rsidP="00597DE2">
      <w:pPr>
        <w:pStyle w:val="PiedepginaLegal"/>
        <w:numPr>
          <w:ilvl w:val="0"/>
          <w:numId w:val="3"/>
        </w:numPr>
        <w:tabs>
          <w:tab w:val="clear" w:pos="425"/>
        </w:tabs>
        <w:ind w:left="284"/>
      </w:pPr>
      <w:r w:rsidRPr="00DC1A5F">
        <w:t>La idea detrás del término “lenguaje de esencia individual” (</w:t>
      </w:r>
      <w:proofErr w:type="spellStart"/>
      <w:r w:rsidRPr="00DC1A5F">
        <w:rPr>
          <w:i/>
          <w:iCs/>
        </w:rPr>
        <w:t>sabhāvanirutti</w:t>
      </w:r>
      <w:proofErr w:type="spellEnd"/>
      <w:r w:rsidRPr="00DC1A5F">
        <w:t xml:space="preserve">), es decir, que existe un nombre real para cada cosa que sea parte de la esencia individual de dicha cosa, esto se trata en el </w:t>
      </w:r>
      <w:proofErr w:type="spellStart"/>
      <w:r w:rsidRPr="00DC1A5F">
        <w:t>Dhs</w:t>
      </w:r>
      <w:proofErr w:type="spellEnd"/>
      <w:r w:rsidRPr="00DC1A5F">
        <w:t xml:space="preserve">–a 391–92. </w:t>
      </w:r>
      <w:proofErr w:type="spellStart"/>
      <w:r w:rsidRPr="00DC1A5F">
        <w:rPr>
          <w:i/>
          <w:iCs/>
        </w:rPr>
        <w:t>Magadhan</w:t>
      </w:r>
      <w:proofErr w:type="spellEnd"/>
      <w:r w:rsidRPr="00DC1A5F">
        <w:t xml:space="preserve"> como “lenguaje raíz de todos los seres” y “lenguaje de la esencia individual” se trata con mayor detalle en el </w:t>
      </w:r>
      <w:proofErr w:type="spellStart"/>
      <w:r w:rsidRPr="00DC1A5F">
        <w:t>Vibh</w:t>
      </w:r>
      <w:proofErr w:type="spellEnd"/>
      <w:r w:rsidRPr="00DC1A5F">
        <w:t>–a 387</w:t>
      </w:r>
    </w:p>
    <w:p w14:paraId="04F9D1D0" w14:textId="77777777" w:rsidR="00597DE2" w:rsidRPr="00DC1A5F" w:rsidRDefault="00597DE2" w:rsidP="00597DE2">
      <w:pPr>
        <w:pStyle w:val="PiedepginaLegal"/>
        <w:numPr>
          <w:ilvl w:val="0"/>
          <w:numId w:val="3"/>
        </w:numPr>
        <w:tabs>
          <w:tab w:val="clear" w:pos="425"/>
        </w:tabs>
        <w:ind w:left="284"/>
      </w:pPr>
      <w:r w:rsidRPr="00DC1A5F">
        <w:t xml:space="preserve">La expresión </w:t>
      </w:r>
      <w:proofErr w:type="spellStart"/>
      <w:r w:rsidRPr="00DC1A5F">
        <w:rPr>
          <w:i/>
          <w:iCs/>
        </w:rPr>
        <w:t>garapaccāgatikabhāva</w:t>
      </w:r>
      <w:proofErr w:type="spellEnd"/>
      <w:r w:rsidRPr="00DC1A5F">
        <w:t xml:space="preserve"> se refiere a la práctica de “llevar el objeto de meditación yendo hacia y desde la ronda de solicitud de ofrendas”, que se describe en detalle en el M–a I 257. La misma expresión también es utilizada para cierto tipo de meditador que suela utilizar ropajes desechados (Ver. II. 17).</w:t>
      </w:r>
    </w:p>
    <w:p w14:paraId="7EF2DA45" w14:textId="77777777" w:rsidR="00597DE2" w:rsidRPr="00DC1A5F" w:rsidRDefault="00597DE2" w:rsidP="00597DE2">
      <w:pPr>
        <w:tabs>
          <w:tab w:val="clear" w:pos="425"/>
        </w:tabs>
        <w:spacing w:after="160"/>
      </w:pPr>
      <w:r w:rsidRPr="00DC1A5F">
        <w:br w:type="page"/>
      </w:r>
    </w:p>
    <w:p w14:paraId="45AC94BC" w14:textId="77777777" w:rsidR="00597DE2" w:rsidRPr="00DC1A5F" w:rsidRDefault="00597DE2" w:rsidP="00597DE2">
      <w:r w:rsidRPr="00DC1A5F">
        <w:lastRenderedPageBreak/>
        <w:t xml:space="preserve">30. </w:t>
      </w:r>
      <w:r w:rsidRPr="00DC1A5F">
        <w:tab/>
        <w:t xml:space="preserve">Aquí, el </w:t>
      </w:r>
      <w:r w:rsidRPr="00DC1A5F">
        <w:rPr>
          <w:i/>
          <w:iCs/>
        </w:rPr>
        <w:t>esfuerzo previo</w:t>
      </w:r>
      <w:r w:rsidRPr="00DC1A5F">
        <w:t xml:space="preserve"> será el mismo que ya se ha mencionado. </w:t>
      </w:r>
      <w:r w:rsidRPr="00DC1A5F">
        <w:rPr>
          <w:i/>
          <w:iCs/>
        </w:rPr>
        <w:t>Gran aprendizaje</w:t>
      </w:r>
      <w:r w:rsidRPr="00DC1A5F">
        <w:t xml:space="preserve"> corresponderá a la habilidad en alguna ciencia o esfera del oficio. </w:t>
      </w:r>
      <w:r w:rsidRPr="00DC1A5F">
        <w:rPr>
          <w:i/>
          <w:iCs/>
        </w:rPr>
        <w:t>Dialectos</w:t>
      </w:r>
      <w:r w:rsidRPr="00DC1A5F">
        <w:t xml:space="preserve"> significa habilidad en las 101 lenguas, particularmente en el </w:t>
      </w:r>
      <w:r w:rsidRPr="00DC1A5F">
        <w:rPr>
          <w:i/>
          <w:iCs/>
        </w:rPr>
        <w:t>Magadha</w:t>
      </w:r>
      <w:r w:rsidRPr="00DC1A5F">
        <w:t xml:space="preserve">. </w:t>
      </w:r>
      <w:r w:rsidRPr="00DC1A5F">
        <w:rPr>
          <w:i/>
          <w:iCs/>
        </w:rPr>
        <w:t>Escrituras</w:t>
      </w:r>
      <w:r w:rsidRPr="00DC1A5F">
        <w:t xml:space="preserve"> significa dominio sobre las palabras del </w:t>
      </w:r>
      <w:r w:rsidRPr="00DC1A5F">
        <w:rPr>
          <w:i/>
        </w:rPr>
        <w:t>Buddha</w:t>
      </w:r>
      <w:r w:rsidRPr="00DC1A5F">
        <w:t>, aunque sólo sea del Capítulo de los Símiles.</w:t>
      </w:r>
      <w:r w:rsidRPr="00DC1A5F">
        <w:rPr>
          <w:vertAlign w:val="superscript"/>
        </w:rPr>
        <w:t>12</w:t>
      </w:r>
      <w:r w:rsidRPr="00DC1A5F">
        <w:t xml:space="preserve"> </w:t>
      </w:r>
      <w:r w:rsidRPr="00DC1A5F">
        <w:rPr>
          <w:i/>
          <w:iCs/>
        </w:rPr>
        <w:t>Cuestionar</w:t>
      </w:r>
      <w:r w:rsidRPr="00DC1A5F">
        <w:t xml:space="preserve"> es hacer preguntas acerca de la definición del significado de incluso una sola estrofa. La </w:t>
      </w:r>
      <w:r w:rsidRPr="00DC1A5F">
        <w:rPr>
          <w:i/>
          <w:iCs/>
        </w:rPr>
        <w:t>consumación</w:t>
      </w:r>
      <w:r w:rsidRPr="00DC1A5F">
        <w:t xml:space="preserve"> corresponderá a la 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o al estado de </w:t>
      </w:r>
      <w:r w:rsidRPr="00DC1A5F">
        <w:rPr>
          <w:i/>
        </w:rPr>
        <w:t>Arahant</w:t>
      </w:r>
      <w:r w:rsidRPr="00DC1A5F">
        <w:rPr>
          <w:i/>
          <w:iCs/>
        </w:rPr>
        <w:t>. Aguardar por un maestro</w:t>
      </w:r>
      <w:r w:rsidRPr="00DC1A5F">
        <w:t xml:space="preserve"> corresponderá a vivir con maestros inteligentes y muy eruditos. El </w:t>
      </w:r>
      <w:r w:rsidRPr="00DC1A5F">
        <w:rPr>
          <w:i/>
          <w:iCs/>
        </w:rPr>
        <w:t>éxito en los amigos</w:t>
      </w:r>
      <w:r w:rsidRPr="00DC1A5F">
        <w:t xml:space="preserve"> corresponderá a la adquisición de amigos como éstos. [443]</w:t>
      </w:r>
    </w:p>
    <w:p w14:paraId="08D2B9F5" w14:textId="77777777" w:rsidR="00597DE2" w:rsidRPr="00DC1A5F" w:rsidRDefault="00597DE2" w:rsidP="00597DE2">
      <w:r w:rsidRPr="00DC1A5F">
        <w:t xml:space="preserve">31. </w:t>
      </w:r>
      <w:r w:rsidRPr="00DC1A5F">
        <w:tab/>
        <w:t xml:space="preserve">Aquí, los </w:t>
      </w:r>
      <w:r w:rsidRPr="00DC1A5F">
        <w:rPr>
          <w:i/>
        </w:rPr>
        <w:t>Buddha</w:t>
      </w:r>
      <w:r w:rsidRPr="00DC1A5F">
        <w:t xml:space="preserve">s y </w:t>
      </w:r>
      <w:proofErr w:type="spellStart"/>
      <w:r w:rsidRPr="00DC1A5F">
        <w:rPr>
          <w:i/>
          <w:iCs/>
        </w:rPr>
        <w:t>Paccekabuddhas</w:t>
      </w:r>
      <w:proofErr w:type="spellEnd"/>
      <w:r w:rsidRPr="00DC1A5F">
        <w:t xml:space="preserve"> alcanzan las discriminaciones a través del esfuerzo previo y a través de la consumación. Los discípulos lo harán a través de todos estos medios. Y no existirá una forma especial para desarrollar un objeto de meditación y lograr así las discriminaciones. No obstante, en los instructores, el logro de las discriminaciones se producirá después de la liberación consistente de la fruición de los instructores y en los no–instructores lo harán después de la liberación consistente de la fruición de los no–instructores. Ya que las discriminaciones llegarán a su éxito en los Nobles sólo a través de la noble Fruición tal como ocurren con los diez poderes en los Perfectos.</w:t>
      </w:r>
    </w:p>
    <w:p w14:paraId="17348E53" w14:textId="77777777" w:rsidR="00597DE2" w:rsidRPr="00DC1A5F" w:rsidRDefault="00597DE2" w:rsidP="00597DE2">
      <w:pPr>
        <w:pStyle w:val="NormalConSangria"/>
      </w:pPr>
      <w:r w:rsidRPr="00DC1A5F">
        <w:t>Así que estas fueron las discriminaciones a las que se hicieron referencia cuando se dijo anteriormente: “Es de cuatro clases… como las cuatro discriminaciones” (§8).</w:t>
      </w:r>
    </w:p>
    <w:p w14:paraId="5644C0F8" w14:textId="77777777" w:rsidR="00597DE2" w:rsidRPr="00DC1A5F" w:rsidRDefault="00597DE2" w:rsidP="00597DE2">
      <w:r w:rsidRPr="00DC1A5F">
        <w:t xml:space="preserve">32. </w:t>
      </w:r>
      <w:r w:rsidRPr="00DC1A5F">
        <w:tab/>
        <w:t xml:space="preserve">(v) </w:t>
      </w:r>
      <w:r w:rsidRPr="00DC1A5F">
        <w:rPr>
          <w:rStyle w:val="Ttulo4Car"/>
        </w:rPr>
        <w:t>¿Cómo Se Desarrolla?</w:t>
      </w:r>
      <w:r w:rsidRPr="00DC1A5F">
        <w:t xml:space="preserve"> Ahora bien, </w:t>
      </w:r>
      <w:r w:rsidRPr="00DC1A5F">
        <w:rPr>
          <w:smallCaps/>
        </w:rPr>
        <w:t>las cosas</w:t>
      </w:r>
      <w:r w:rsidRPr="00DC1A5F">
        <w:t xml:space="preserve"> </w:t>
      </w:r>
      <w:r w:rsidRPr="00DC1A5F">
        <w:rPr>
          <w:smallCaps/>
        </w:rPr>
        <w:t>clasificadas</w:t>
      </w:r>
      <w:r w:rsidRPr="00DC1A5F">
        <w:t xml:space="preserve"> como agregados, bases, elementos, facultades, verdades, originación dependiente, etc., representan el fundamento de este </w:t>
      </w:r>
      <w:r w:rsidRPr="00DC1A5F">
        <w:rPr>
          <w:i/>
          <w:iCs/>
        </w:rPr>
        <w:t>entendimiento</w:t>
      </w:r>
      <w:r w:rsidRPr="00DC1A5F">
        <w:t xml:space="preserve"> y las 2 primeras purificaciones, es decir, la purificación de la virtud y la purificación de la consciencia, representan sus raíces, mientras que las otras 5 purificaciones, es decir, purificación de la visión, purificación por la disipación de la duda </w:t>
      </w:r>
      <w:r w:rsidRPr="00DC1A5F">
        <w:rPr>
          <w:color w:val="833C0B" w:themeColor="accent2" w:themeShade="80"/>
        </w:rPr>
        <w:t>recurrente</w:t>
      </w:r>
      <w:r w:rsidRPr="00DC1A5F">
        <w:t>, purificación mediante el conocimiento y la visión sobre lo que es el sendero y lo que no es el sendero, la purificación mediante el conocimiento y la visión del sendero; y finalmente la purificación mediante el conocimiento y la visión, representan el tronco de la purificación. En consecuencia, quien esté perfeccionando estas purificaciones deberá primero fortalecer su conocimiento aprendiendo y cuestionando aquellas cosas que correspondan al “fundamento”, después de haber perfeccionado las dos purificaciones que correspondan a las “raíces”, entonces podrán desarrollar las 5 purificaciones que representen el “tronco.” Esto es en resumen, el detalle es el siguiente.</w:t>
      </w:r>
    </w:p>
    <w:p w14:paraId="26ABDA7D" w14:textId="77777777" w:rsidR="00597DE2" w:rsidRPr="00DC1A5F" w:rsidRDefault="00597DE2" w:rsidP="00597DE2">
      <w:pPr>
        <w:pStyle w:val="Ttulo3"/>
        <w:ind w:left="708"/>
      </w:pPr>
      <w:r w:rsidRPr="00DC1A5F">
        <w:t>[B. Descripción de los 5 Agregados]</w:t>
      </w:r>
    </w:p>
    <w:p w14:paraId="29E9B292" w14:textId="77777777" w:rsidR="00597DE2" w:rsidRPr="00DC1A5F" w:rsidRDefault="00597DE2" w:rsidP="00597DE2">
      <w:pPr>
        <w:pStyle w:val="Textoindependiente"/>
      </w:pPr>
      <w:r w:rsidRPr="00DC1A5F">
        <w:t xml:space="preserve">33. </w:t>
      </w:r>
      <w:r w:rsidRPr="00DC1A5F">
        <w:tab/>
        <w:t>Cuando se dijo arriba “las cosas clasificadas como agregados, bases, elementos, facultades, verdades, originación dependiente, etc., corresponderá al fundamento”, los agregados aquí son los cinco agregados, es decir, el agregado de la materialidad, el agregado de la sensación, el agregado de la percepción, el agregado de las formaciones y el agregado de la consciencia.</w:t>
      </w:r>
    </w:p>
    <w:p w14:paraId="0574579F" w14:textId="77777777" w:rsidR="00597DE2" w:rsidRPr="00DC1A5F" w:rsidRDefault="00597DE2" w:rsidP="00597DE2">
      <w:pPr>
        <w:pStyle w:val="Ttulo5"/>
      </w:pPr>
      <w:r w:rsidRPr="00DC1A5F">
        <w:t>[El Agregado de la Materialidad]</w:t>
      </w:r>
    </w:p>
    <w:p w14:paraId="5B52144D" w14:textId="77777777" w:rsidR="00597DE2" w:rsidRPr="00DC1A5F" w:rsidRDefault="00597DE2" w:rsidP="00597DE2">
      <w:r w:rsidRPr="00DC1A5F">
        <w:t xml:space="preserve">34. </w:t>
      </w:r>
      <w:r w:rsidRPr="00DC1A5F">
        <w:tab/>
        <w:t>Aquí, todos los tipos de estados que posean la característica de “ser molestados” (</w:t>
      </w:r>
      <w:proofErr w:type="spellStart"/>
      <w:r w:rsidRPr="00DC1A5F">
        <w:rPr>
          <w:i/>
          <w:iCs/>
        </w:rPr>
        <w:t>ruppana</w:t>
      </w:r>
      <w:proofErr w:type="spellEnd"/>
      <w:r w:rsidRPr="00DC1A5F">
        <w:t>) por el frío, etc., adoptados en conjunto deberán entenderse como el agregado de la materialidad (</w:t>
      </w:r>
      <w:r w:rsidRPr="00DC1A5F">
        <w:rPr>
          <w:i/>
        </w:rPr>
        <w:t>rūpa</w:t>
      </w:r>
      <w:r w:rsidRPr="00DC1A5F">
        <w:t>).</w:t>
      </w:r>
    </w:p>
    <w:p w14:paraId="76E1A7E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9F2881B" w14:textId="77777777" w:rsidR="00597DE2" w:rsidRPr="00DC1A5F" w:rsidRDefault="00597DE2" w:rsidP="00597DE2">
      <w:pPr>
        <w:pStyle w:val="PiedepginaLegal"/>
        <w:numPr>
          <w:ilvl w:val="0"/>
          <w:numId w:val="3"/>
        </w:numPr>
        <w:tabs>
          <w:tab w:val="clear" w:pos="425"/>
        </w:tabs>
        <w:spacing w:after="160"/>
        <w:ind w:left="284"/>
      </w:pPr>
      <w:r w:rsidRPr="00DC1A5F">
        <w:t xml:space="preserve">“El ‘Capítulo de los Símiles’ se encuentra en el Capítulo de los </w:t>
      </w:r>
      <w:r w:rsidRPr="00DC1A5F">
        <w:rPr>
          <w:i/>
          <w:iCs/>
        </w:rPr>
        <w:t>Versos Gemelos</w:t>
      </w:r>
      <w:r w:rsidRPr="00DC1A5F">
        <w:t xml:space="preserve"> del </w:t>
      </w:r>
      <w:proofErr w:type="spellStart"/>
      <w:r w:rsidRPr="00DC1A5F">
        <w:rPr>
          <w:i/>
        </w:rPr>
        <w:t>Dhamma</w:t>
      </w:r>
      <w:r w:rsidRPr="00DC1A5F">
        <w:t>pada</w:t>
      </w:r>
      <w:proofErr w:type="spellEnd"/>
      <w:r w:rsidRPr="00DC1A5F">
        <w:t xml:space="preserve"> (</w:t>
      </w:r>
      <w:proofErr w:type="spellStart"/>
      <w:r w:rsidRPr="00DC1A5F">
        <w:t>Dhp</w:t>
      </w:r>
      <w:proofErr w:type="spellEnd"/>
      <w:r w:rsidRPr="00DC1A5F">
        <w:t xml:space="preserve"> 1–20), así dicen. Otros dicen que se encuentra en el </w:t>
      </w:r>
      <w:r w:rsidRPr="00DC1A5F">
        <w:rPr>
          <w:i/>
          <w:iCs/>
        </w:rPr>
        <w:t>Libro de los Pares</w:t>
      </w:r>
      <w:r w:rsidRPr="00DC1A5F">
        <w:t xml:space="preserve"> en los </w:t>
      </w:r>
      <w:r w:rsidRPr="00DC1A5F">
        <w:rPr>
          <w:i/>
          <w:iCs/>
        </w:rPr>
        <w:t xml:space="preserve">Primeros Cincuenta </w:t>
      </w:r>
      <w:r w:rsidRPr="00DC1A5F">
        <w:t>(MN 31– 40)” (</w:t>
      </w:r>
      <w:proofErr w:type="spellStart"/>
      <w:r w:rsidRPr="00DC1A5F">
        <w:t>Vism</w:t>
      </w:r>
      <w:proofErr w:type="spellEnd"/>
      <w:r w:rsidRPr="00DC1A5F">
        <w:t>–</w:t>
      </w:r>
      <w:proofErr w:type="spellStart"/>
      <w:r w:rsidRPr="00DC1A5F">
        <w:t>mhṭ</w:t>
      </w:r>
      <w:proofErr w:type="spellEnd"/>
      <w:r w:rsidRPr="00DC1A5F">
        <w:t xml:space="preserve"> 436).</w:t>
      </w:r>
      <w:r w:rsidRPr="00DC1A5F">
        <w:br w:type="page"/>
      </w:r>
    </w:p>
    <w:p w14:paraId="785C4926" w14:textId="77777777" w:rsidR="00597DE2" w:rsidRPr="00DC1A5F" w:rsidRDefault="00597DE2" w:rsidP="00597DE2"/>
    <w:p w14:paraId="076F32BD" w14:textId="77777777" w:rsidR="00597DE2" w:rsidRPr="00DC1A5F" w:rsidRDefault="00597DE2" w:rsidP="00597DE2">
      <w:pPr>
        <w:pStyle w:val="NumeracinReload"/>
        <w:tabs>
          <w:tab w:val="clear" w:pos="425"/>
          <w:tab w:val="right" w:pos="851"/>
        </w:tabs>
        <w:ind w:left="993" w:hanging="426"/>
      </w:pPr>
      <w:r w:rsidRPr="00DC1A5F">
        <w:rPr>
          <w:sz w:val="20"/>
          <w:szCs w:val="24"/>
        </w:rPr>
        <w:tab/>
      </w:r>
      <w:r w:rsidRPr="00DC1A5F">
        <w:rPr>
          <w:sz w:val="20"/>
          <w:szCs w:val="24"/>
        </w:rPr>
        <w:tab/>
      </w:r>
      <w:r w:rsidRPr="00DC1A5F">
        <w:t xml:space="preserve">1. </w:t>
      </w:r>
      <w:r w:rsidRPr="00DC1A5F">
        <w:tab/>
        <w:t>Ésa corresponderá a la de una clase con la característica de “ser molestado”.</w:t>
      </w:r>
    </w:p>
    <w:p w14:paraId="4FFA40EB" w14:textId="77777777" w:rsidR="00597DE2" w:rsidRPr="00DC1A5F" w:rsidRDefault="00597DE2" w:rsidP="00597DE2">
      <w:pPr>
        <w:pStyle w:val="NumeracinReload"/>
        <w:tabs>
          <w:tab w:val="clear" w:pos="425"/>
          <w:tab w:val="right" w:pos="851"/>
        </w:tabs>
        <w:ind w:left="993" w:hanging="426"/>
      </w:pPr>
      <w:r w:rsidRPr="00DC1A5F">
        <w:tab/>
      </w:r>
      <w:r w:rsidRPr="00DC1A5F">
        <w:tab/>
        <w:t xml:space="preserve">2. </w:t>
      </w:r>
      <w:r w:rsidRPr="00DC1A5F">
        <w:tab/>
        <w:t>También será de dos clases cuando se clasifique como (a) entidad primaria (</w:t>
      </w:r>
      <w:r w:rsidRPr="00DC1A5F">
        <w:rPr>
          <w:i/>
          <w:iCs/>
        </w:rPr>
        <w:t>bhūta</w:t>
      </w:r>
      <w:r w:rsidRPr="00DC1A5F">
        <w:t>) y (b) derivada [por el apego] (</w:t>
      </w:r>
      <w:proofErr w:type="spellStart"/>
      <w:r w:rsidRPr="00DC1A5F">
        <w:rPr>
          <w:i/>
          <w:iCs/>
        </w:rPr>
        <w:t>upādāya</w:t>
      </w:r>
      <w:proofErr w:type="spellEnd"/>
      <w:r w:rsidRPr="00DC1A5F">
        <w:t>).</w:t>
      </w:r>
    </w:p>
    <w:p w14:paraId="4E99636B" w14:textId="77777777" w:rsidR="00597DE2" w:rsidRPr="00DC1A5F" w:rsidRDefault="00597DE2" w:rsidP="00597DE2">
      <w:pPr>
        <w:pStyle w:val="NumeracinReload"/>
      </w:pPr>
    </w:p>
    <w:p w14:paraId="6D87D6DC" w14:textId="77777777" w:rsidR="00597DE2" w:rsidRPr="00DC1A5F" w:rsidRDefault="00597DE2" w:rsidP="00597DE2">
      <w:r w:rsidRPr="00DC1A5F">
        <w:t xml:space="preserve">35. </w:t>
      </w:r>
      <w:r w:rsidRPr="00DC1A5F">
        <w:tab/>
        <w:t xml:space="preserve">Aquí (a) la </w:t>
      </w:r>
      <w:r w:rsidRPr="00DC1A5F">
        <w:rPr>
          <w:i/>
          <w:iCs/>
        </w:rPr>
        <w:t>materialidad primaria</w:t>
      </w:r>
      <w:r w:rsidRPr="00DC1A5F">
        <w:t xml:space="preserve"> será de 4 clases como elemento tierra, agua, fuego y el elemento aire. Su característica, función y manifestación se han dado bajo la definición de los cuatro elementos (XI. 87, 93); no obstante, en cuanto a la causa próxima, cada una tendrá a las otras tres como su causa próxima. [444]</w:t>
      </w:r>
    </w:p>
    <w:p w14:paraId="0F4AB1B5" w14:textId="77777777" w:rsidR="00597DE2" w:rsidRPr="00DC1A5F" w:rsidRDefault="00597DE2" w:rsidP="00597DE2">
      <w:r w:rsidRPr="00DC1A5F">
        <w:t xml:space="preserve">36. </w:t>
      </w:r>
      <w:r w:rsidRPr="00DC1A5F">
        <w:tab/>
        <w:t xml:space="preserve">(b) La </w:t>
      </w:r>
      <w:r w:rsidRPr="00DC1A5F">
        <w:rPr>
          <w:i/>
          <w:iCs/>
        </w:rPr>
        <w:t>materialidad derivada</w:t>
      </w:r>
      <w:r w:rsidRPr="00DC1A5F">
        <w:t xml:space="preserve"> será  de 24 clases </w:t>
      </w:r>
      <w:r>
        <w:t>en término del</w:t>
      </w:r>
      <w:r w:rsidRPr="00DC1A5F">
        <w:t xml:space="preserve"> ojo, oído, nariz, lengua, cuerpo, objeto visible, sonido, olor, sabor;</w:t>
      </w:r>
      <w:r w:rsidRPr="00DC1A5F">
        <w:rPr>
          <w:vertAlign w:val="superscript"/>
        </w:rPr>
        <w:t>13</w:t>
      </w:r>
      <w:r w:rsidRPr="00DC1A5F">
        <w:t xml:space="preserve"> facultad de la feminidad, facultad de la masculinidad, facultad vital, la base del corazón; intimación corporal, intimación verbal; el elemento espacial; la ligereza de la materia, la maleabilidad de la materia, la manejabilidad de la materia, crecimiento de la materia, la continuidad de la materia, el envejecimiento de la materia, impermanencia de la materia y finalmente la nutrimento física.</w:t>
      </w:r>
    </w:p>
    <w:p w14:paraId="3F9022ED" w14:textId="77777777" w:rsidR="00597DE2" w:rsidRPr="00DC1A5F" w:rsidRDefault="00597DE2" w:rsidP="00597DE2">
      <w:r w:rsidRPr="00DC1A5F">
        <w:t xml:space="preserve">37. </w:t>
      </w:r>
      <w:r w:rsidRPr="00DC1A5F">
        <w:tab/>
        <w:t xml:space="preserve">1. Aquí, la </w:t>
      </w:r>
      <w:r w:rsidRPr="00DC1A5F">
        <w:rPr>
          <w:i/>
          <w:iCs/>
        </w:rPr>
        <w:t>característica</w:t>
      </w:r>
      <w:r w:rsidRPr="00DC1A5F">
        <w:t xml:space="preserve"> del </w:t>
      </w:r>
      <w:r w:rsidRPr="00DC1A5F">
        <w:rPr>
          <w:i/>
          <w:iCs/>
        </w:rPr>
        <w:t>ojo</w:t>
      </w:r>
      <w:r w:rsidRPr="00DC1A5F">
        <w:t xml:space="preserve"> corresponderá a la sensibilidad hacia los elementos primarios de encontrarse lista para el impacto con los objetos </w:t>
      </w:r>
      <w:r w:rsidRPr="00DC1A5F">
        <w:rPr>
          <w:i/>
          <w:iCs/>
        </w:rPr>
        <w:t>visibles</w:t>
      </w:r>
      <w:r w:rsidRPr="00DC1A5F">
        <w:t xml:space="preserve">; o su </w:t>
      </w:r>
      <w:r w:rsidRPr="00DC1A5F">
        <w:rPr>
          <w:i/>
          <w:iCs/>
        </w:rPr>
        <w:t>característica</w:t>
      </w:r>
      <w:r w:rsidRPr="00DC1A5F">
        <w:t xml:space="preserve"> corresponderá a la sensibilidad hacia los elementos primarios originados por el </w:t>
      </w:r>
      <w:proofErr w:type="spellStart"/>
      <w:r w:rsidRPr="00DC1A5F">
        <w:rPr>
          <w:i/>
        </w:rPr>
        <w:t>kamma</w:t>
      </w:r>
      <w:proofErr w:type="spellEnd"/>
      <w:r w:rsidRPr="00DC1A5F">
        <w:t xml:space="preserve"> proveniente del deseo de ver.</w:t>
      </w:r>
      <w:r w:rsidRPr="00DC1A5F">
        <w:rPr>
          <w:vertAlign w:val="superscript"/>
        </w:rPr>
        <w:t>14</w:t>
      </w:r>
      <w:r w:rsidRPr="00DC1A5F">
        <w:t xml:space="preserve"> Su </w:t>
      </w:r>
      <w:r w:rsidRPr="00DC1A5F">
        <w:rPr>
          <w:i/>
          <w:iCs/>
        </w:rPr>
        <w:t>función</w:t>
      </w:r>
      <w:r w:rsidRPr="00DC1A5F">
        <w:t xml:space="preserve"> es captar un objeto</w:t>
      </w:r>
      <w:r w:rsidRPr="00DC1A5F">
        <w:rPr>
          <w:vertAlign w:val="superscript"/>
        </w:rPr>
        <w:t>15</w:t>
      </w:r>
      <w:r w:rsidRPr="00DC1A5F">
        <w:t xml:space="preserve"> entre los objetos visibles. Se </w:t>
      </w:r>
      <w:r w:rsidRPr="00DC1A5F">
        <w:rPr>
          <w:i/>
          <w:iCs/>
        </w:rPr>
        <w:t>manifiesta</w:t>
      </w:r>
      <w:r w:rsidRPr="00DC1A5F">
        <w:t xml:space="preserve"> como la base de </w:t>
      </w:r>
    </w:p>
    <w:p w14:paraId="1798C47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AB54E43" w14:textId="77777777" w:rsidR="00597DE2" w:rsidRPr="00DC1A5F" w:rsidRDefault="00597DE2" w:rsidP="00597DE2">
      <w:pPr>
        <w:pStyle w:val="PiedepginaLegal"/>
        <w:numPr>
          <w:ilvl w:val="0"/>
          <w:numId w:val="3"/>
        </w:numPr>
        <w:tabs>
          <w:tab w:val="clear" w:pos="425"/>
        </w:tabs>
        <w:ind w:left="284"/>
      </w:pPr>
      <w:r w:rsidRPr="00DC1A5F">
        <w:t>“Los objetos tangibles se omiten de esta lista porque, al no ser una materia derivada, se incluyen en los elementos primarios” (</w:t>
      </w:r>
      <w:proofErr w:type="spellStart"/>
      <w:r w:rsidRPr="00DC1A5F">
        <w:t>Vism</w:t>
      </w:r>
      <w:proofErr w:type="spellEnd"/>
      <w:r w:rsidRPr="00DC1A5F">
        <w:t>–</w:t>
      </w:r>
      <w:proofErr w:type="spellStart"/>
      <w:r w:rsidRPr="00DC1A5F">
        <w:t>mhṭ</w:t>
      </w:r>
      <w:proofErr w:type="spellEnd"/>
      <w:r w:rsidRPr="00DC1A5F">
        <w:t xml:space="preserve"> 442). Se describen como compuestos por tres de los cuatro primarios, excluyendo al elemento agua (cohesión). “¿Cuál es la materialidad de los grandes primarios? Es la base de los objetos tangibles y el elemento agua” (</w:t>
      </w:r>
      <w:proofErr w:type="spellStart"/>
      <w:r w:rsidRPr="00DC1A5F">
        <w:t>Dhs</w:t>
      </w:r>
      <w:proofErr w:type="spellEnd"/>
      <w:r w:rsidRPr="00DC1A5F">
        <w:t xml:space="preserve"> 663). Para ver la lista completa, véase </w:t>
      </w:r>
      <w:proofErr w:type="spellStart"/>
      <w:r w:rsidRPr="00DC1A5F">
        <w:t>Dhs</w:t>
      </w:r>
      <w:proofErr w:type="spellEnd"/>
      <w:r w:rsidRPr="00DC1A5F">
        <w:t xml:space="preserve"> 596, en la que (N.B.) no aparece la base del corazón. Véase también la nota 32 y el Cap. XV, n. 15</w:t>
      </w:r>
    </w:p>
    <w:p w14:paraId="78883C0D" w14:textId="77777777" w:rsidR="00597DE2" w:rsidRPr="00DC1A5F" w:rsidRDefault="00597DE2" w:rsidP="00597DE2">
      <w:pPr>
        <w:pStyle w:val="PiedepginaLegal"/>
        <w:numPr>
          <w:ilvl w:val="0"/>
          <w:numId w:val="3"/>
        </w:numPr>
        <w:tabs>
          <w:tab w:val="clear" w:pos="425"/>
        </w:tabs>
        <w:ind w:left="284"/>
      </w:pPr>
      <w:r w:rsidRPr="00DC1A5F">
        <w:t xml:space="preserve"> “Aquí la característica del ojo mencionada en primer lugar se describe de acuerdo con el </w:t>
      </w:r>
      <w:proofErr w:type="spellStart"/>
      <w:r w:rsidRPr="00DC1A5F">
        <w:rPr>
          <w:i/>
        </w:rPr>
        <w:t>kamma</w:t>
      </w:r>
      <w:proofErr w:type="spellEnd"/>
      <w:r w:rsidRPr="00DC1A5F">
        <w:t xml:space="preserve"> que produzca una ipseidad, común a todo ello, y esto sin tocar la diferenciación corresponderá a la causa. La segunda característica se describirá de acuerdo con el </w:t>
      </w:r>
      <w:proofErr w:type="spellStart"/>
      <w:r w:rsidRPr="00DC1A5F">
        <w:rPr>
          <w:i/>
        </w:rPr>
        <w:t>kamma</w:t>
      </w:r>
      <w:proofErr w:type="spellEnd"/>
      <w:r w:rsidRPr="00DC1A5F">
        <w:t xml:space="preserve"> especializado generado así: “Que mi ojo sea así”. Esto es lo que ellos dicen. No obstante, puede entenderse que la característica mencionada en primer lugar se enuncia como un interés de la sensibilidad para iluminar sus propios campos objetivos, adoptándose el estado de la sensibilidad de los cinco sentidos como una generalidad; y en segundo lugar, la característica se enuncia como el ver que se deba a la división particular de su propia causa, adoptándose como una generalidad la causa de las sensibilidades como un estado </w:t>
      </w:r>
      <w:proofErr w:type="spellStart"/>
      <w:r w:rsidRPr="00DC1A5F">
        <w:rPr>
          <w:i/>
          <w:iCs/>
        </w:rPr>
        <w:t>kammico</w:t>
      </w:r>
      <w:proofErr w:type="spellEnd"/>
      <w:r w:rsidRPr="00DC1A5F">
        <w:t xml:space="preserve"> o como una unidad. El mismo método se aplica a la oreja, etc.</w:t>
      </w:r>
    </w:p>
    <w:p w14:paraId="1D74A527" w14:textId="77777777" w:rsidR="00597DE2" w:rsidRPr="00DC1A5F" w:rsidRDefault="00597DE2" w:rsidP="00597DE2">
      <w:pPr>
        <w:pStyle w:val="PiedepginaLegal"/>
      </w:pPr>
      <w:r w:rsidRPr="00DC1A5F">
        <w:tab/>
      </w:r>
      <w:r w:rsidRPr="00DC1A5F">
        <w:tab/>
        <w:t xml:space="preserve">“Aquí puede preguntarse: ‘¿El surgimiento de las facultades del ojo, etc., se debe al </w:t>
      </w:r>
      <w:proofErr w:type="spellStart"/>
      <w:r w:rsidRPr="00DC1A5F">
        <w:rPr>
          <w:i/>
          <w:iCs/>
        </w:rPr>
        <w:t>kamma</w:t>
      </w:r>
      <w:proofErr w:type="spellEnd"/>
      <w:r w:rsidRPr="00DC1A5F">
        <w:t xml:space="preserve"> que sea uno o al </w:t>
      </w:r>
      <w:proofErr w:type="spellStart"/>
      <w:r w:rsidRPr="00DC1A5F">
        <w:rPr>
          <w:i/>
        </w:rPr>
        <w:t>kamma</w:t>
      </w:r>
      <w:proofErr w:type="spellEnd"/>
      <w:r w:rsidRPr="00DC1A5F">
        <w:t xml:space="preserve"> que sea diferente?’ Ahora bien, los Venerables decían: “se debe a ambos”. Aquí, en primer lugar, en el caso del surgimiento de un ojo, etc., debido al </w:t>
      </w:r>
      <w:proofErr w:type="spellStart"/>
      <w:r w:rsidRPr="00DC1A5F">
        <w:rPr>
          <w:i/>
          <w:iCs/>
        </w:rPr>
        <w:t>kamma</w:t>
      </w:r>
      <w:proofErr w:type="spellEnd"/>
      <w:r w:rsidRPr="00DC1A5F">
        <w:t xml:space="preserve"> que sea diferente, no hay nada que explicar, ya que la causa estará dividida. No obstante, cuando su surgimiento se deba al </w:t>
      </w:r>
      <w:proofErr w:type="spellStart"/>
      <w:r w:rsidRPr="00DC1A5F">
        <w:rPr>
          <w:i/>
          <w:iCs/>
        </w:rPr>
        <w:t>kamma</w:t>
      </w:r>
      <w:proofErr w:type="spellEnd"/>
      <w:r w:rsidRPr="00DC1A5F">
        <w:t xml:space="preserve"> que sea uno, ¿cómo llegará a haber diferenciación entre ellos? Se deberá también a la divisibilidad de la causa. Pues será el deseo, bajo la forma de deseo correspondiente a este o aquel tipo de devenir, teniendo él mismo formas específicas debido al deseo de las bases sensoriales incluidas en tal tipo de devenir, que éste ideará, actuando como soporte decisivo, las divisiones específicas en el </w:t>
      </w:r>
      <w:proofErr w:type="spellStart"/>
      <w:r w:rsidRPr="00DC1A5F">
        <w:rPr>
          <w:i/>
          <w:iCs/>
        </w:rPr>
        <w:t>kamma</w:t>
      </w:r>
      <w:proofErr w:type="spellEnd"/>
      <w:r w:rsidRPr="00DC1A5F">
        <w:t xml:space="preserve"> que genere tal tipo de devenir. Tan pronto como el </w:t>
      </w:r>
      <w:proofErr w:type="spellStart"/>
      <w:r w:rsidRPr="00DC1A5F">
        <w:rPr>
          <w:i/>
          <w:iCs/>
        </w:rPr>
        <w:t>kamma</w:t>
      </w:r>
      <w:proofErr w:type="spellEnd"/>
      <w:r w:rsidRPr="00DC1A5F">
        <w:t xml:space="preserve"> haya adquirido la diferenciación inducida por ese deseo, generará a través del esfuerzo consistente de una habilidad apropiada un fruto múltiple con esencias individuales diferenciadas, como si él mismo hubiese adoptado una forma múltiple. Y la habilidad aquí no requerirá ser entendida como algo más que un estado capaz; ya que será simplemente el esfuerzo de producir un fruto que se diferencie mediante la diferenciación debida a la diferenciación en su causa. Y el hecho de que este esfuerzo de diferenciación por parte del </w:t>
      </w:r>
      <w:proofErr w:type="spellStart"/>
      <w:r w:rsidRPr="00DC1A5F">
        <w:rPr>
          <w:i/>
          <w:iCs/>
        </w:rPr>
        <w:t>kamma</w:t>
      </w:r>
      <w:proofErr w:type="spellEnd"/>
      <w:r w:rsidRPr="00DC1A5F">
        <w:t xml:space="preserve"> sea uno, siendo causa de múltiples facultades, se tratará más adelante en cuanto a lógica y los textos (nota 21). </w:t>
      </w:r>
      <w:r w:rsidRPr="00DC1A5F">
        <w:br w:type="page"/>
      </w:r>
    </w:p>
    <w:p w14:paraId="1EF08856" w14:textId="77777777" w:rsidR="00597DE2" w:rsidRPr="00DC1A5F" w:rsidRDefault="00597DE2" w:rsidP="00597DE2">
      <w:pPr>
        <w:pStyle w:val="Textoindependiente"/>
      </w:pPr>
      <w:r w:rsidRPr="00DC1A5F">
        <w:lastRenderedPageBreak/>
        <w:br/>
        <w:t xml:space="preserve">la consciencia visual. Su </w:t>
      </w:r>
      <w:r w:rsidRPr="00DC1A5F">
        <w:rPr>
          <w:i/>
          <w:iCs/>
        </w:rPr>
        <w:t>causa próxima</w:t>
      </w:r>
      <w:r w:rsidRPr="00DC1A5F">
        <w:t xml:space="preserve"> corresponderán a los elementos primarios surgidos del </w:t>
      </w:r>
      <w:proofErr w:type="spellStart"/>
      <w:r w:rsidRPr="00DC1A5F">
        <w:rPr>
          <w:i/>
        </w:rPr>
        <w:t>kamma</w:t>
      </w:r>
      <w:proofErr w:type="spellEnd"/>
      <w:r w:rsidRPr="00DC1A5F">
        <w:t xml:space="preserve"> proveniente del deseo de ver.</w:t>
      </w:r>
    </w:p>
    <w:p w14:paraId="0CAB0371" w14:textId="77777777" w:rsidR="00597DE2" w:rsidRPr="00DC1A5F" w:rsidRDefault="00597DE2" w:rsidP="00597DE2">
      <w:r w:rsidRPr="00DC1A5F">
        <w:t xml:space="preserve">38. </w:t>
      </w:r>
      <w:r w:rsidRPr="00DC1A5F">
        <w:tab/>
        <w:t xml:space="preserve">2. La </w:t>
      </w:r>
      <w:r w:rsidRPr="00DC1A5F">
        <w:rPr>
          <w:i/>
          <w:iCs/>
        </w:rPr>
        <w:t>característica</w:t>
      </w:r>
      <w:r w:rsidRPr="00DC1A5F">
        <w:t xml:space="preserve"> del </w:t>
      </w:r>
      <w:r w:rsidRPr="00DC1A5F">
        <w:rPr>
          <w:i/>
          <w:iCs/>
        </w:rPr>
        <w:t>oído</w:t>
      </w:r>
      <w:r w:rsidRPr="00DC1A5F">
        <w:t xml:space="preserve"> corresponderá a la sensibilidad hacia los elementos primarios de encontrarse lista para el impacto con los sonidos; o su </w:t>
      </w:r>
      <w:r w:rsidRPr="00DC1A5F">
        <w:rPr>
          <w:i/>
          <w:iCs/>
        </w:rPr>
        <w:t>característica</w:t>
      </w:r>
      <w:r w:rsidRPr="00DC1A5F">
        <w:t xml:space="preserve"> es la sensibilidad de los elementos primarios originados por el </w:t>
      </w:r>
      <w:proofErr w:type="spellStart"/>
      <w:r w:rsidRPr="00DC1A5F">
        <w:rPr>
          <w:i/>
        </w:rPr>
        <w:t>kamma</w:t>
      </w:r>
      <w:proofErr w:type="spellEnd"/>
      <w:r w:rsidRPr="00DC1A5F">
        <w:t xml:space="preserve"> proveniente del deseo de escuchar. Su </w:t>
      </w:r>
      <w:r w:rsidRPr="00DC1A5F">
        <w:rPr>
          <w:i/>
          <w:iCs/>
        </w:rPr>
        <w:t>función</w:t>
      </w:r>
      <w:r w:rsidRPr="00DC1A5F">
        <w:t xml:space="preserve"> es captar un objeto entre los objetos audibles. Se </w:t>
      </w:r>
      <w:r w:rsidRPr="00DC1A5F">
        <w:rPr>
          <w:i/>
          <w:iCs/>
        </w:rPr>
        <w:t>manifiesta</w:t>
      </w:r>
      <w:r w:rsidRPr="00DC1A5F">
        <w:t xml:space="preserve"> como el fundamento de la consciencia auditiva. Su </w:t>
      </w:r>
      <w:r w:rsidRPr="00DC1A5F">
        <w:rPr>
          <w:i/>
          <w:iCs/>
        </w:rPr>
        <w:t>causa próxima</w:t>
      </w:r>
      <w:r w:rsidRPr="00DC1A5F">
        <w:t xml:space="preserve"> corresponderán a los elementos primarios surgidos del </w:t>
      </w:r>
      <w:proofErr w:type="spellStart"/>
      <w:r w:rsidRPr="00DC1A5F">
        <w:rPr>
          <w:i/>
        </w:rPr>
        <w:t>kamma</w:t>
      </w:r>
      <w:proofErr w:type="spellEnd"/>
      <w:r w:rsidRPr="00DC1A5F">
        <w:t xml:space="preserve"> proveniente del deseo de escuchar.</w:t>
      </w:r>
    </w:p>
    <w:p w14:paraId="17AFC25F" w14:textId="77777777" w:rsidR="00597DE2" w:rsidRPr="00DC1A5F" w:rsidRDefault="00597DE2" w:rsidP="00597DE2">
      <w:r w:rsidRPr="00DC1A5F">
        <w:t xml:space="preserve">39. </w:t>
      </w:r>
      <w:r w:rsidRPr="00DC1A5F">
        <w:tab/>
      </w:r>
      <w:r w:rsidRPr="00DC1A5F">
        <w:rPr>
          <w:i/>
          <w:iCs/>
        </w:rPr>
        <w:t>3</w:t>
      </w:r>
      <w:r w:rsidRPr="00DC1A5F">
        <w:t xml:space="preserve">. La </w:t>
      </w:r>
      <w:r w:rsidRPr="00DC1A5F">
        <w:rPr>
          <w:i/>
          <w:iCs/>
        </w:rPr>
        <w:t>característica</w:t>
      </w:r>
      <w:r w:rsidRPr="00DC1A5F">
        <w:t xml:space="preserve"> de la </w:t>
      </w:r>
      <w:r w:rsidRPr="00DC1A5F">
        <w:rPr>
          <w:i/>
          <w:iCs/>
        </w:rPr>
        <w:t>nariz</w:t>
      </w:r>
      <w:r w:rsidRPr="00DC1A5F">
        <w:t xml:space="preserve"> corresponderá a la sensibilidad hacia los elementos primarios de encontrarse lista para el impacto con los olores; o su </w:t>
      </w:r>
      <w:r w:rsidRPr="00DC1A5F">
        <w:rPr>
          <w:i/>
          <w:iCs/>
        </w:rPr>
        <w:t>característica</w:t>
      </w:r>
      <w:r w:rsidRPr="00DC1A5F">
        <w:t xml:space="preserve"> es la sensibilidad de los elementos primarios originados por el </w:t>
      </w:r>
      <w:proofErr w:type="spellStart"/>
      <w:r w:rsidRPr="00DC1A5F">
        <w:rPr>
          <w:i/>
        </w:rPr>
        <w:t>kamma</w:t>
      </w:r>
      <w:proofErr w:type="spellEnd"/>
      <w:r w:rsidRPr="00DC1A5F">
        <w:t xml:space="preserve"> proveniente del deseo de oler. Su </w:t>
      </w:r>
      <w:r w:rsidRPr="00DC1A5F">
        <w:rPr>
          <w:i/>
          <w:iCs/>
        </w:rPr>
        <w:t>función</w:t>
      </w:r>
      <w:r w:rsidRPr="00DC1A5F">
        <w:t xml:space="preserve"> es captar un objeto olfativo entre los diversos olores. Se </w:t>
      </w:r>
      <w:r w:rsidRPr="00DC1A5F">
        <w:rPr>
          <w:i/>
          <w:iCs/>
        </w:rPr>
        <w:t>manifiesta</w:t>
      </w:r>
      <w:r w:rsidRPr="00DC1A5F">
        <w:t xml:space="preserve"> como la base de la consciencia olfativa. Su </w:t>
      </w:r>
      <w:r w:rsidRPr="00DC1A5F">
        <w:rPr>
          <w:i/>
          <w:iCs/>
        </w:rPr>
        <w:t>causa próxima</w:t>
      </w:r>
      <w:r w:rsidRPr="00DC1A5F">
        <w:t xml:space="preserve"> corresponderán a los elementos primarios surgidos del </w:t>
      </w:r>
      <w:proofErr w:type="spellStart"/>
      <w:r w:rsidRPr="00DC1A5F">
        <w:rPr>
          <w:i/>
        </w:rPr>
        <w:t>kamma</w:t>
      </w:r>
      <w:proofErr w:type="spellEnd"/>
      <w:r w:rsidRPr="00DC1A5F">
        <w:t xml:space="preserve"> proveniente del deseo de oler.</w:t>
      </w:r>
    </w:p>
    <w:p w14:paraId="4CC07274" w14:textId="77777777" w:rsidR="00597DE2" w:rsidRPr="00DC1A5F" w:rsidRDefault="00597DE2" w:rsidP="00597DE2">
      <w:r w:rsidRPr="00DC1A5F">
        <w:t xml:space="preserve">40. </w:t>
      </w:r>
      <w:r w:rsidRPr="00DC1A5F">
        <w:tab/>
      </w:r>
      <w:r w:rsidRPr="00DC1A5F">
        <w:rPr>
          <w:i/>
          <w:iCs/>
        </w:rPr>
        <w:t>4</w:t>
      </w:r>
      <w:r w:rsidRPr="00DC1A5F">
        <w:t xml:space="preserve">. La </w:t>
      </w:r>
      <w:r w:rsidRPr="00DC1A5F">
        <w:rPr>
          <w:i/>
          <w:iCs/>
        </w:rPr>
        <w:t>característica</w:t>
      </w:r>
      <w:r w:rsidRPr="00DC1A5F">
        <w:t xml:space="preserve"> de la </w:t>
      </w:r>
      <w:r w:rsidRPr="00DC1A5F">
        <w:rPr>
          <w:i/>
          <w:iCs/>
        </w:rPr>
        <w:t>lengua</w:t>
      </w:r>
      <w:r w:rsidRPr="00DC1A5F">
        <w:t xml:space="preserve"> corresponderá a la sensibilidad hacia los elementos primarios de encontrarse lista para el impacto con los sabores; o su </w:t>
      </w:r>
      <w:r w:rsidRPr="00DC1A5F">
        <w:rPr>
          <w:i/>
          <w:iCs/>
        </w:rPr>
        <w:t>característica</w:t>
      </w:r>
      <w:r w:rsidRPr="00DC1A5F">
        <w:t xml:space="preserve"> es la sensibilidad de los elementos primarios originados por el </w:t>
      </w:r>
      <w:proofErr w:type="spellStart"/>
      <w:r w:rsidRPr="00DC1A5F">
        <w:rPr>
          <w:i/>
        </w:rPr>
        <w:t>kamma</w:t>
      </w:r>
      <w:proofErr w:type="spellEnd"/>
      <w:r w:rsidRPr="00DC1A5F">
        <w:t xml:space="preserve"> proveniente del deseo de degustar. Su </w:t>
      </w:r>
      <w:r w:rsidRPr="00DC1A5F">
        <w:rPr>
          <w:i/>
          <w:iCs/>
        </w:rPr>
        <w:t>función</w:t>
      </w:r>
      <w:r w:rsidRPr="00DC1A5F">
        <w:t xml:space="preserve"> es captar un objeto gustativo entre los diversos sabores. Se </w:t>
      </w:r>
      <w:r w:rsidRPr="00DC1A5F">
        <w:rPr>
          <w:i/>
          <w:iCs/>
        </w:rPr>
        <w:t>manifiesta</w:t>
      </w:r>
      <w:r w:rsidRPr="00DC1A5F">
        <w:t xml:space="preserve"> como la base de la consciencia gustativa. Su </w:t>
      </w:r>
      <w:r w:rsidRPr="00DC1A5F">
        <w:rPr>
          <w:i/>
          <w:iCs/>
        </w:rPr>
        <w:t>causa próxima</w:t>
      </w:r>
      <w:r w:rsidRPr="00DC1A5F">
        <w:t xml:space="preserve"> corresponderán a los elementos primarios surgidos del </w:t>
      </w:r>
      <w:proofErr w:type="spellStart"/>
      <w:r w:rsidRPr="00DC1A5F">
        <w:rPr>
          <w:i/>
        </w:rPr>
        <w:t>kamma</w:t>
      </w:r>
      <w:proofErr w:type="spellEnd"/>
      <w:r w:rsidRPr="00DC1A5F">
        <w:t xml:space="preserve"> proveniente del deseo de degustar.</w:t>
      </w:r>
    </w:p>
    <w:p w14:paraId="0DF3B1F9" w14:textId="77777777" w:rsidR="00597DE2" w:rsidRPr="00DC1A5F" w:rsidRDefault="00597DE2" w:rsidP="00597DE2">
      <w:r w:rsidRPr="00DC1A5F">
        <w:t xml:space="preserve">41. </w:t>
      </w:r>
      <w:r w:rsidRPr="00DC1A5F">
        <w:tab/>
      </w:r>
      <w:r w:rsidRPr="00DC1A5F">
        <w:rPr>
          <w:i/>
          <w:iCs/>
        </w:rPr>
        <w:t>5</w:t>
      </w:r>
      <w:r w:rsidRPr="00DC1A5F">
        <w:t xml:space="preserve">. La </w:t>
      </w:r>
      <w:r w:rsidRPr="00DC1A5F">
        <w:rPr>
          <w:i/>
          <w:iCs/>
        </w:rPr>
        <w:t>característica</w:t>
      </w:r>
      <w:r w:rsidRPr="00DC1A5F">
        <w:t xml:space="preserve"> del </w:t>
      </w:r>
      <w:r w:rsidRPr="00DC1A5F">
        <w:rPr>
          <w:i/>
          <w:iCs/>
        </w:rPr>
        <w:t>cuerpo</w:t>
      </w:r>
      <w:r w:rsidRPr="00DC1A5F">
        <w:t xml:space="preserve"> corresponderá a la sensibilidad hacia los elementos primarios de encontrarse lista para el impacto con los objetos táctiles; o su </w:t>
      </w:r>
      <w:r w:rsidRPr="00DC1A5F">
        <w:rPr>
          <w:i/>
          <w:iCs/>
        </w:rPr>
        <w:t>característica</w:t>
      </w:r>
      <w:r w:rsidRPr="00DC1A5F">
        <w:t xml:space="preserve"> es la sensibilidad de los elementos primarios originados por el </w:t>
      </w:r>
      <w:proofErr w:type="spellStart"/>
      <w:r w:rsidRPr="00DC1A5F">
        <w:rPr>
          <w:i/>
        </w:rPr>
        <w:t>kamma</w:t>
      </w:r>
      <w:proofErr w:type="spellEnd"/>
      <w:r w:rsidRPr="00DC1A5F">
        <w:t xml:space="preserve"> proveniente del deseo de </w:t>
      </w:r>
      <w:r w:rsidRPr="00DC1A5F">
        <w:rPr>
          <w:i/>
          <w:iCs/>
        </w:rPr>
        <w:t>sentir</w:t>
      </w:r>
      <w:r w:rsidRPr="00DC1A5F">
        <w:t xml:space="preserve">. Su </w:t>
      </w:r>
      <w:r w:rsidRPr="00DC1A5F">
        <w:rPr>
          <w:i/>
          <w:iCs/>
        </w:rPr>
        <w:t>función</w:t>
      </w:r>
      <w:r w:rsidRPr="00DC1A5F">
        <w:t xml:space="preserve"> es captar un objeto táctil entre los diversos objetos táctiles. Se </w:t>
      </w:r>
      <w:r w:rsidRPr="00DC1A5F">
        <w:rPr>
          <w:i/>
          <w:iCs/>
        </w:rPr>
        <w:t>manifiesta</w:t>
      </w:r>
      <w:r w:rsidRPr="00DC1A5F">
        <w:t xml:space="preserve"> como la base de la consciencia táctil. Su </w:t>
      </w:r>
      <w:r w:rsidRPr="00DC1A5F">
        <w:rPr>
          <w:i/>
        </w:rPr>
        <w:t xml:space="preserve">causa próxima </w:t>
      </w:r>
      <w:r w:rsidRPr="00DC1A5F">
        <w:t xml:space="preserve">corresponderán a los elementos primarios surgidos del </w:t>
      </w:r>
      <w:proofErr w:type="spellStart"/>
      <w:r w:rsidRPr="00DC1A5F">
        <w:rPr>
          <w:i/>
        </w:rPr>
        <w:t>kamma</w:t>
      </w:r>
      <w:proofErr w:type="spellEnd"/>
      <w:r w:rsidRPr="00DC1A5F">
        <w:t xml:space="preserve"> proveniente del deseo de </w:t>
      </w:r>
      <w:r w:rsidRPr="00DC1A5F">
        <w:rPr>
          <w:i/>
          <w:iCs/>
        </w:rPr>
        <w:t>sentir</w:t>
      </w:r>
      <w:r w:rsidRPr="00DC1A5F">
        <w:t>.</w:t>
      </w:r>
    </w:p>
    <w:p w14:paraId="58FF4B29" w14:textId="77777777" w:rsidR="00597DE2" w:rsidRPr="00DC1A5F" w:rsidRDefault="00597DE2" w:rsidP="00597DE2">
      <w:r w:rsidRPr="00DC1A5F">
        <w:t xml:space="preserve">42. </w:t>
      </w:r>
      <w:r w:rsidRPr="00DC1A5F">
        <w:tab/>
        <w:t>Algunos,</w:t>
      </w:r>
      <w:r w:rsidRPr="00DC1A5F">
        <w:rPr>
          <w:vertAlign w:val="superscript"/>
        </w:rPr>
        <w:t>16</w:t>
      </w:r>
      <w:r w:rsidRPr="00DC1A5F">
        <w:t xml:space="preserve"> sin embargo, dicen que el ojo corresponderá a la sensibilidad hacia los elementos primarios que posean fuego en exceso, y que el oído, la nariz y la lengua corresponderán a las sensibilidades hacia los elementos primarios que posean en exceso, respectivamente, el elemento aire, tierra y agua, y que el cuerpo corresponderá a la sensibilidad que posea a todos en exceso [a los cuatro elementos por igual]. Otros dicen que el ojo corresponderá a la sensibilidad de los que posean en exceso fuego, y que el oído, la nariz, la lengua y el cuerpo corresponderán a las sensibilidades hacia los que posean, respectivamente, apertura, aire, agua y tierra en exceso. Se les debería invocar que citen algún </w:t>
      </w:r>
      <w:proofErr w:type="spellStart"/>
      <w:r w:rsidRPr="00DC1A5F">
        <w:rPr>
          <w:i/>
          <w:iCs/>
        </w:rPr>
        <w:t>sutta</w:t>
      </w:r>
      <w:proofErr w:type="spellEnd"/>
      <w:r w:rsidRPr="00DC1A5F">
        <w:t>. Ciertamente no se encontrará ninguno al respecto.</w:t>
      </w:r>
    </w:p>
    <w:p w14:paraId="54F35C7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72EB1F3" w14:textId="77777777" w:rsidR="00597DE2" w:rsidRPr="00DC1A5F" w:rsidRDefault="00597DE2" w:rsidP="00597DE2">
      <w:pPr>
        <w:pStyle w:val="PiedepginaLegal"/>
      </w:pPr>
      <w:r w:rsidRPr="00DC1A5F">
        <w:t>…</w:t>
      </w:r>
      <w:r w:rsidRPr="00DC1A5F">
        <w:tab/>
        <w:t xml:space="preserve">Además, se expone cómo un solo tipo de consciencia será la causa de la generación de dieciséis tipos de consciencia resultantes, etc.; y en el mundo también se encuentra que una sola semilla de arroz corresponderá a la causa de la generación de frutos maduros, inmaduros, con cáscara y sin cáscara. No obstante, ¿cuál es el uso del pensamiento lógico? Sirve para entender que el ojo, la nariz, etc., son fruto del </w:t>
      </w:r>
      <w:proofErr w:type="spellStart"/>
      <w:r w:rsidRPr="00DC1A5F">
        <w:rPr>
          <w:i/>
          <w:iCs/>
        </w:rPr>
        <w:t>kamma</w:t>
      </w:r>
      <w:proofErr w:type="spellEnd"/>
      <w:r w:rsidRPr="00DC1A5F">
        <w:t xml:space="preserve">; y que el </w:t>
      </w:r>
      <w:proofErr w:type="spellStart"/>
      <w:r w:rsidRPr="00DC1A5F">
        <w:rPr>
          <w:i/>
          <w:iCs/>
        </w:rPr>
        <w:t>kamma</w:t>
      </w:r>
      <w:proofErr w:type="spellEnd"/>
      <w:r w:rsidRPr="00DC1A5F">
        <w:t xml:space="preserve">–resultante corresponderá exclusivamente al dominio del conocimiento de un </w:t>
      </w:r>
      <w:r w:rsidRPr="00DC1A5F">
        <w:rPr>
          <w:i/>
        </w:rPr>
        <w:t>Buddha</w:t>
      </w:r>
      <w:r w:rsidRPr="00DC1A5F">
        <w:t>” (</w:t>
      </w:r>
      <w:proofErr w:type="spellStart"/>
      <w:r w:rsidRPr="00DC1A5F">
        <w:t>Vism</w:t>
      </w:r>
      <w:proofErr w:type="spellEnd"/>
      <w:r w:rsidRPr="00DC1A5F">
        <w:t>–</w:t>
      </w:r>
      <w:proofErr w:type="spellStart"/>
      <w:r w:rsidRPr="00DC1A5F">
        <w:t>mhṭ</w:t>
      </w:r>
      <w:proofErr w:type="spellEnd"/>
      <w:r w:rsidRPr="00DC1A5F">
        <w:t xml:space="preserve"> 444).</w:t>
      </w:r>
    </w:p>
    <w:p w14:paraId="756D68A7" w14:textId="77777777" w:rsidR="00597DE2" w:rsidRPr="00DC1A5F" w:rsidRDefault="00597DE2" w:rsidP="00597DE2">
      <w:pPr>
        <w:pStyle w:val="PiedepginaLegal"/>
        <w:numPr>
          <w:ilvl w:val="0"/>
          <w:numId w:val="3"/>
        </w:numPr>
        <w:tabs>
          <w:tab w:val="clear" w:pos="425"/>
        </w:tabs>
        <w:ind w:left="284"/>
      </w:pPr>
      <w:proofErr w:type="spellStart"/>
      <w:r w:rsidRPr="00DC1A5F">
        <w:rPr>
          <w:i/>
          <w:iCs/>
        </w:rPr>
        <w:t>Āviñjana</w:t>
      </w:r>
      <w:proofErr w:type="spellEnd"/>
      <w:r w:rsidRPr="00DC1A5F">
        <w:t xml:space="preserve">—“recolectar”: ver </w:t>
      </w:r>
      <w:proofErr w:type="spellStart"/>
      <w:r w:rsidRPr="00DC1A5F">
        <w:rPr>
          <w:i/>
          <w:iCs/>
        </w:rPr>
        <w:t>āvijjhati</w:t>
      </w:r>
      <w:proofErr w:type="spellEnd"/>
      <w:r w:rsidRPr="00DC1A5F">
        <w:t xml:space="preserve"> en el PED.</w:t>
      </w:r>
    </w:p>
    <w:p w14:paraId="0154C369" w14:textId="77777777" w:rsidR="00597DE2" w:rsidRPr="00DC1A5F" w:rsidRDefault="00597DE2" w:rsidP="00597DE2">
      <w:pPr>
        <w:pStyle w:val="PiedepginaLegal"/>
        <w:numPr>
          <w:ilvl w:val="0"/>
          <w:numId w:val="3"/>
        </w:numPr>
        <w:tabs>
          <w:tab w:val="clear" w:pos="425"/>
        </w:tabs>
        <w:ind w:left="284"/>
      </w:pPr>
      <w:r w:rsidRPr="00DC1A5F">
        <w:t xml:space="preserve">“‘Algunos’ corresponderán a ciertos </w:t>
      </w:r>
      <w:proofErr w:type="spellStart"/>
      <w:r w:rsidRPr="00DC1A5F">
        <w:rPr>
          <w:i/>
          <w:iCs/>
        </w:rPr>
        <w:t>Mahāsaṅghikas</w:t>
      </w:r>
      <w:proofErr w:type="spellEnd"/>
      <w:r w:rsidRPr="00DC1A5F">
        <w:t xml:space="preserve">; porque entre estos </w:t>
      </w:r>
      <w:proofErr w:type="spellStart"/>
      <w:r w:rsidRPr="00DC1A5F">
        <w:rPr>
          <w:i/>
          <w:iCs/>
        </w:rPr>
        <w:t>Vasudhamma</w:t>
      </w:r>
      <w:proofErr w:type="spellEnd"/>
      <w:r w:rsidRPr="00DC1A5F">
        <w:t xml:space="preserve"> se dice al respecto: ‘En el ojo existe fuego en exceso; en el oído, aire; en la nariz, tierra; en la lengua, agua; en el cuerpo todos son iguales’” (</w:t>
      </w:r>
      <w:proofErr w:type="spellStart"/>
      <w:r w:rsidRPr="00DC1A5F">
        <w:t>Vism</w:t>
      </w:r>
      <w:proofErr w:type="spellEnd"/>
      <w:r w:rsidRPr="00DC1A5F">
        <w:t>–</w:t>
      </w:r>
      <w:proofErr w:type="spellStart"/>
      <w:r w:rsidRPr="00DC1A5F">
        <w:t>mhṭ</w:t>
      </w:r>
      <w:proofErr w:type="spellEnd"/>
      <w:r w:rsidRPr="00DC1A5F">
        <w:t xml:space="preserve"> 444).</w:t>
      </w:r>
      <w:r w:rsidRPr="00DC1A5F">
        <w:br w:type="page"/>
      </w:r>
    </w:p>
    <w:p w14:paraId="2BD9469F" w14:textId="77777777" w:rsidR="00597DE2" w:rsidRPr="00DC1A5F" w:rsidRDefault="00597DE2" w:rsidP="00597DE2"/>
    <w:p w14:paraId="4977136F" w14:textId="77777777" w:rsidR="00597DE2" w:rsidRPr="00DC1A5F" w:rsidRDefault="00597DE2" w:rsidP="00597DE2">
      <w:r w:rsidRPr="00DC1A5F">
        <w:t xml:space="preserve">43. </w:t>
      </w:r>
      <w:r w:rsidRPr="00DC1A5F">
        <w:tab/>
        <w:t>No obstante, algunos alegan como razón que es porque estas varias sensibilidades son ​​asistidas respectivamente por los objetos visibles, etc., como cualidades del fuego, etc.</w:t>
      </w:r>
      <w:r w:rsidRPr="00DC1A5F">
        <w:rPr>
          <w:vertAlign w:val="superscript"/>
        </w:rPr>
        <w:t>17</w:t>
      </w:r>
      <w:r w:rsidRPr="00DC1A5F">
        <w:t xml:space="preserve"> Se les debería preguntar: “Pero ¿quién ha dicho que los objetos visibles, etc., son cualidades del fuego, etc.? [445] Pues no se puede decir de los elementos primarios, que permanecerán siempre inseparables,</w:t>
      </w:r>
      <w:r w:rsidRPr="00DC1A5F">
        <w:rPr>
          <w:vertAlign w:val="superscript"/>
        </w:rPr>
        <w:t>18</w:t>
      </w:r>
      <w:r w:rsidRPr="00DC1A5F">
        <w:t xml:space="preserve"> que ‘ésta sea una cualidad de éste, que aquella sea una cualidad de aquella otra’”.</w:t>
      </w:r>
    </w:p>
    <w:p w14:paraId="78316E36" w14:textId="77777777" w:rsidR="00597DE2" w:rsidRPr="00DC1A5F" w:rsidRDefault="00597DE2" w:rsidP="00597DE2">
      <w:r w:rsidRPr="00DC1A5F">
        <w:t xml:space="preserve">44. </w:t>
      </w:r>
      <w:r w:rsidRPr="00DC1A5F">
        <w:tab/>
        <w:t>Entonces ellos podrían decir: “Así como asume, que del exceso de algún elemento primario en tales o cuales cosas materiales, las respectivas funciones de sostener (</w:t>
      </w:r>
      <w:proofErr w:type="spellStart"/>
      <w:r w:rsidRPr="00DC1A5F">
        <w:rPr>
          <w:i/>
          <w:iCs/>
        </w:rPr>
        <w:t>sandhāraṇa</w:t>
      </w:r>
      <w:proofErr w:type="spellEnd"/>
      <w:r w:rsidRPr="00DC1A5F">
        <w:t>), etc., para la tierra, etc., así como de encontrar visibilidad, etc., respectivamente, en un estado de exceso</w:t>
      </w:r>
      <w:r w:rsidRPr="00DC1A5F">
        <w:rPr>
          <w:vertAlign w:val="superscript"/>
        </w:rPr>
        <w:t>19</w:t>
      </w:r>
      <w:r w:rsidRPr="00DC1A5F">
        <w:t xml:space="preserve"> en cosas materiales que posean en exceso fuego, se podría suponer que los objetos visibles, etc., son, respectivamente, las cualidades de estos”. Se les debe decir: “Podríamos asumirlo si hubiese más olor en el algodón, que posee tierra en exceso, que en el licor fermentado, que posee agua en exceso; y si el color del agua fría fuera más débil que el color del agua caliente, que tiene calor en exceso”.</w:t>
      </w:r>
    </w:p>
    <w:p w14:paraId="1B5E10E5" w14:textId="77777777" w:rsidR="00597DE2" w:rsidRPr="00DC1A5F" w:rsidRDefault="00597DE2" w:rsidP="00597DE2">
      <w:r w:rsidRPr="00DC1A5F">
        <w:t>45.</w:t>
      </w:r>
      <w:r w:rsidRPr="00DC1A5F">
        <w:tab/>
        <w:t xml:space="preserve"> “Pero dado que ninguno de estos corresponderá a ningún hecho factual, por lo tanto, debería dejarse de conjeturar que la diferencia se encuentre en los elementos primarios de soporte. Así como las naturalezas de los objetos visibles, etc., son diferentes entre sí aunque no existe diferencia entre los elementos primarios que conformen un solo grupo, así también lo serán la sensibilidad visual, etc., aunque no exista otra causa para su diferencia”.</w:t>
      </w:r>
      <w:r w:rsidRPr="00DC1A5F">
        <w:rPr>
          <w:vertAlign w:val="superscript"/>
        </w:rPr>
        <w:t>20</w:t>
      </w:r>
      <w:r w:rsidRPr="00DC1A5F">
        <w:t xml:space="preserve"> Así es cómo debe entenderse.</w:t>
      </w:r>
    </w:p>
    <w:p w14:paraId="02BADDA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5D66646" w14:textId="77777777" w:rsidR="00597DE2" w:rsidRPr="00DC1A5F" w:rsidRDefault="00597DE2" w:rsidP="00597DE2">
      <w:pPr>
        <w:pStyle w:val="PiedepginaLegal"/>
        <w:numPr>
          <w:ilvl w:val="0"/>
          <w:numId w:val="3"/>
        </w:numPr>
        <w:tabs>
          <w:tab w:val="clear" w:pos="425"/>
        </w:tabs>
        <w:ind w:left="284"/>
      </w:pPr>
      <w:r w:rsidRPr="00DC1A5F">
        <w:t>“‘</w:t>
      </w:r>
      <w:r w:rsidRPr="00DC1A5F">
        <w:rPr>
          <w:i/>
          <w:iCs/>
        </w:rPr>
        <w:t>Como las cualidades del fuego, etc.’</w:t>
      </w:r>
      <w:r w:rsidRPr="00DC1A5F">
        <w:t>: asistido por los objetos visibles como una cualidad iluminadora del calor, denominado iluminar; por el sonido, como una cualidad del aire; por el olor, como una cualidad de la tierra; por el sabor, como una cualidad del agua llamada saliva— así será según la primera teoría [la de ‘algunos’]; y podrá ajustarse adecuadamente para estar de acuerdo con la segunda teoría [la de los ‘otros’] porque ellas requerirán ser asistidas por tales y tales cualidades de los primarios, lo que significará que tendrán que ser asistidos en la aprehensión de los objetos visibles, etc. Esta teoría sostiene que la cualidad es la capacidad del ojo, etc., para iluminar, respectivamente, los objetos visibles, etc., solo cuando se asocie con las causas correspondientes a sus accesorios consistentes de la luz, etc., y al estado de apertura de soporte decisivo para la consciencia auditiva. La apertura se adoptará en el debido orden, al igual que el fuego, etc., ya que corresponderá a la ausencia de elementos primarios. O alternativamente, cuando otros pretendan que la apertura sea una cualidad de los primarios, como lo son los objetos visibles, etc., entonces las cualidades de los primarios se podrán construir en su orden así: asistidos por objetos visibles y la luz, como una cualidad del fuego; por el sonido, como una cualidad de la apertura llamada espacio; por el olor, como una cualidad del aire; por el sabor, como una cualidad del agua; por los objetos tangibles, como una cualidad de la tierra” (</w:t>
      </w:r>
      <w:proofErr w:type="spellStart"/>
      <w:r w:rsidRPr="00DC1A5F">
        <w:t>Vism</w:t>
      </w:r>
      <w:proofErr w:type="spellEnd"/>
      <w:r w:rsidRPr="00DC1A5F">
        <w:t>–</w:t>
      </w:r>
      <w:proofErr w:type="spellStart"/>
      <w:r w:rsidRPr="00DC1A5F">
        <w:t>mhṭ</w:t>
      </w:r>
      <w:proofErr w:type="spellEnd"/>
      <w:r w:rsidRPr="00DC1A5F">
        <w:t xml:space="preserve"> 445).</w:t>
      </w:r>
    </w:p>
    <w:p w14:paraId="1D1E6905" w14:textId="77777777" w:rsidR="00597DE2" w:rsidRPr="00DC1A5F" w:rsidRDefault="00597DE2" w:rsidP="00597DE2">
      <w:pPr>
        <w:pStyle w:val="PiedepginaLegal"/>
        <w:numPr>
          <w:ilvl w:val="0"/>
          <w:numId w:val="3"/>
        </w:numPr>
        <w:tabs>
          <w:tab w:val="clear" w:pos="425"/>
        </w:tabs>
        <w:ind w:left="284"/>
      </w:pPr>
      <w:r w:rsidRPr="00DC1A5F">
        <w:t xml:space="preserve">Se considera que los cuatro primarios son inseparables y ninguno existe independientemente del otro; cf. cita de los “Venerables” en §45. El </w:t>
      </w:r>
      <w:proofErr w:type="spellStart"/>
      <w:r w:rsidRPr="00DC1A5F">
        <w:t>Vism</w:t>
      </w:r>
      <w:proofErr w:type="spellEnd"/>
      <w:r w:rsidRPr="00DC1A5F">
        <w:t>–</w:t>
      </w:r>
      <w:proofErr w:type="spellStart"/>
      <w:r w:rsidRPr="00DC1A5F">
        <w:t>mhṭ</w:t>
      </w:r>
      <w:proofErr w:type="spellEnd"/>
      <w:r w:rsidRPr="00DC1A5F">
        <w:t xml:space="preserve"> dice al respecto: “El exceso está en la capacidad, no en la cantidad, de lo contrario su inseparabilidad sería ilógica” (</w:t>
      </w:r>
      <w:proofErr w:type="spellStart"/>
      <w:r w:rsidRPr="00DC1A5F">
        <w:t>Vism</w:t>
      </w:r>
      <w:proofErr w:type="spellEnd"/>
      <w:r w:rsidRPr="00DC1A5F">
        <w:t>–</w:t>
      </w:r>
      <w:proofErr w:type="spellStart"/>
      <w:r w:rsidRPr="00DC1A5F">
        <w:t>mhṭ</w:t>
      </w:r>
      <w:proofErr w:type="spellEnd"/>
      <w:r w:rsidRPr="00DC1A5F">
        <w:t xml:space="preserve"> 451).</w:t>
      </w:r>
    </w:p>
    <w:p w14:paraId="32AFAA47" w14:textId="77777777" w:rsidR="00597DE2" w:rsidRPr="00DC1A5F" w:rsidRDefault="00597DE2" w:rsidP="00597DE2">
      <w:pPr>
        <w:pStyle w:val="PiedepginaLegal"/>
        <w:numPr>
          <w:ilvl w:val="0"/>
          <w:numId w:val="3"/>
        </w:numPr>
        <w:tabs>
          <w:tab w:val="clear" w:pos="425"/>
        </w:tabs>
        <w:ind w:left="284"/>
      </w:pPr>
      <w:r w:rsidRPr="00DC1A5F">
        <w:t xml:space="preserve"> “</w:t>
      </w:r>
      <w:r w:rsidRPr="00DC1A5F">
        <w:rPr>
          <w:i/>
          <w:iCs/>
        </w:rPr>
        <w:t>’De encontrar visibilidad</w:t>
      </w:r>
      <w:r w:rsidRPr="00DC1A5F">
        <w:t>, etc., [</w:t>
      </w:r>
      <w:r w:rsidRPr="00DC1A5F">
        <w:rPr>
          <w:i/>
          <w:iCs/>
        </w:rPr>
        <w:t>respectivamente</w:t>
      </w:r>
      <w:r w:rsidRPr="00DC1A5F">
        <w:t xml:space="preserve">] </w:t>
      </w:r>
      <w:r w:rsidRPr="00DC1A5F">
        <w:rPr>
          <w:i/>
          <w:iCs/>
        </w:rPr>
        <w:t>en un estado de exceso’</w:t>
      </w:r>
      <w:r w:rsidRPr="00DC1A5F">
        <w:t xml:space="preserve">: de encontrarlos asociados con estas diferencias, es decir, el objeto brillantemente visible en el fuego, el sonido audible a través de su esencia individual en el aire, el olor que comienza con la fragancia </w:t>
      </w:r>
      <w:proofErr w:type="spellStart"/>
      <w:r w:rsidRPr="00DC1A5F">
        <w:rPr>
          <w:i/>
          <w:iCs/>
        </w:rPr>
        <w:t>surabhi</w:t>
      </w:r>
      <w:proofErr w:type="spellEnd"/>
      <w:r w:rsidRPr="00DC1A5F">
        <w:t xml:space="preserve"> de la tierra y el sabor dulce del agua; por lo tanto, ‘los objetos visibles, audibles, etc., corresponderán a las cualidades [respectivas] de estos’. Esto se da de acuerdo con la primera teoría y él ha declarado la conclusión (</w:t>
      </w:r>
      <w:proofErr w:type="spellStart"/>
      <w:r w:rsidRPr="00DC1A5F">
        <w:rPr>
          <w:i/>
          <w:iCs/>
        </w:rPr>
        <w:t>uttara</w:t>
      </w:r>
      <w:proofErr w:type="spellEnd"/>
      <w:r w:rsidRPr="00DC1A5F">
        <w:t>) que le siga, comenzando con ‘</w:t>
      </w:r>
      <w:r w:rsidRPr="00DC1A5F">
        <w:rPr>
          <w:i/>
          <w:iCs/>
        </w:rPr>
        <w:t>podríamos asumir’</w:t>
      </w:r>
      <w:r w:rsidRPr="00DC1A5F">
        <w:t xml:space="preserve"> en términos de eso. La segunda es refutada de la misma manera. O alternativamente, ‘</w:t>
      </w:r>
      <w:r w:rsidRPr="00DC1A5F">
        <w:rPr>
          <w:i/>
          <w:iCs/>
        </w:rPr>
        <w:t>Entonces ellos pueden decir</w:t>
      </w:r>
      <w:r w:rsidRPr="00DC1A5F">
        <w:t xml:space="preserve">,’ etc., puede adoptarse como si fuera dicho enfáticamente, para refutar la teoría de </w:t>
      </w:r>
      <w:proofErr w:type="spellStart"/>
      <w:r w:rsidRPr="00DC1A5F">
        <w:rPr>
          <w:i/>
          <w:iCs/>
        </w:rPr>
        <w:t>Kaṇāda</w:t>
      </w:r>
      <w:proofErr w:type="spellEnd"/>
      <w:r w:rsidRPr="00DC1A5F">
        <w:t>, que afirma que el ojo, el oído, etc., están hechos respectivamente de fuego, espacio, tierra, agua y aire, que poseen a los objetos visibles, etc., como sus respectivas cualidades” (</w:t>
      </w:r>
      <w:proofErr w:type="spellStart"/>
      <w:r w:rsidRPr="00DC1A5F">
        <w:t>Vism</w:t>
      </w:r>
      <w:proofErr w:type="spellEnd"/>
      <w:r w:rsidRPr="00DC1A5F">
        <w:t>–</w:t>
      </w:r>
      <w:proofErr w:type="spellStart"/>
      <w:r w:rsidRPr="00DC1A5F">
        <w:t>mhṭ</w:t>
      </w:r>
      <w:proofErr w:type="spellEnd"/>
      <w:r w:rsidRPr="00DC1A5F">
        <w:t xml:space="preserve"> 445).</w:t>
      </w:r>
    </w:p>
    <w:p w14:paraId="182427E2" w14:textId="77777777" w:rsidR="00597DE2" w:rsidRPr="00DC1A5F" w:rsidRDefault="00597DE2" w:rsidP="00597DE2">
      <w:pPr>
        <w:pStyle w:val="PiedepginaLegal"/>
        <w:numPr>
          <w:ilvl w:val="0"/>
          <w:numId w:val="3"/>
        </w:numPr>
        <w:tabs>
          <w:tab w:val="clear" w:pos="425"/>
        </w:tabs>
        <w:ind w:left="284"/>
      </w:pPr>
      <w:r w:rsidRPr="00DC1A5F">
        <w:t xml:space="preserve">En el texto P.T.S. y el texto cingalés </w:t>
      </w:r>
      <w:proofErr w:type="spellStart"/>
      <w:r w:rsidRPr="00DC1A5F">
        <w:t>Hewavitarne</w:t>
      </w:r>
      <w:proofErr w:type="spellEnd"/>
      <w:r w:rsidRPr="00DC1A5F">
        <w:t xml:space="preserve"> la palabra </w:t>
      </w:r>
      <w:proofErr w:type="spellStart"/>
      <w:r w:rsidRPr="00DC1A5F">
        <w:rPr>
          <w:i/>
          <w:iCs/>
        </w:rPr>
        <w:t>ekakalāpe</w:t>
      </w:r>
      <w:proofErr w:type="spellEnd"/>
      <w:r w:rsidRPr="00DC1A5F">
        <w:t>, “que forman un solo grupo”, aparece en esta oración pero no se encuentra en el texto de Harvard.</w:t>
      </w:r>
    </w:p>
    <w:p w14:paraId="3E1AC485" w14:textId="77777777" w:rsidR="00597DE2" w:rsidRPr="00DC1A5F" w:rsidRDefault="00597DE2" w:rsidP="00597DE2">
      <w:pPr>
        <w:tabs>
          <w:tab w:val="clear" w:pos="425"/>
        </w:tabs>
        <w:spacing w:after="160"/>
      </w:pPr>
      <w:r w:rsidRPr="00DC1A5F">
        <w:br w:type="page"/>
      </w:r>
    </w:p>
    <w:p w14:paraId="23F1FDBB" w14:textId="77777777" w:rsidR="00597DE2" w:rsidRPr="00DC1A5F" w:rsidRDefault="00597DE2" w:rsidP="00597DE2"/>
    <w:p w14:paraId="159FB97D" w14:textId="77777777" w:rsidR="00597DE2" w:rsidRPr="00DC1A5F" w:rsidRDefault="00597DE2" w:rsidP="00597DE2">
      <w:pPr>
        <w:pStyle w:val="NormalConSangria"/>
      </w:pPr>
      <w:r w:rsidRPr="00DC1A5F">
        <w:t>No obstante, ¿qué es lo que no es común a todos ellos?</w:t>
      </w:r>
      <w:r w:rsidRPr="00DC1A5F">
        <w:rPr>
          <w:vertAlign w:val="superscript"/>
        </w:rPr>
        <w:t>21</w:t>
      </w:r>
      <w:r w:rsidRPr="00DC1A5F">
        <w:t xml:space="preserve"> Es el </w:t>
      </w:r>
      <w:proofErr w:type="spellStart"/>
      <w:r w:rsidRPr="00DC1A5F">
        <w:rPr>
          <w:i/>
        </w:rPr>
        <w:t>kamma</w:t>
      </w:r>
      <w:proofErr w:type="spellEnd"/>
      <w:r w:rsidRPr="00DC1A5F">
        <w:t xml:space="preserve"> mismo la razón de su diferencia. Por lo tanto, su diferencia se debe a la diferencia de </w:t>
      </w:r>
      <w:proofErr w:type="spellStart"/>
      <w:r w:rsidRPr="00DC1A5F">
        <w:rPr>
          <w:i/>
        </w:rPr>
        <w:t>kamma</w:t>
      </w:r>
      <w:proofErr w:type="spellEnd"/>
      <w:r w:rsidRPr="00DC1A5F">
        <w:t xml:space="preserve">, no a la diferencia de los elementos primarios; porque si hubiera diferencia de elementos primarios, la sensibilidad misma no surgiría, ya que hay Venerables del pasado que han afirmado al respecto: “La sensibilidad corresponderá a lo que </w:t>
      </w:r>
      <w:r w:rsidRPr="00DC1A5F">
        <w:rPr>
          <w:i/>
          <w:iCs/>
        </w:rPr>
        <w:t xml:space="preserve">sean </w:t>
      </w:r>
      <w:r w:rsidRPr="00DC1A5F">
        <w:t xml:space="preserve">iguales, no a lo que </w:t>
      </w:r>
      <w:r w:rsidRPr="00DC1A5F">
        <w:rPr>
          <w:i/>
          <w:iCs/>
        </w:rPr>
        <w:t>sean</w:t>
      </w:r>
      <w:r w:rsidRPr="00DC1A5F">
        <w:t xml:space="preserve"> desiguales”.</w:t>
      </w:r>
    </w:p>
    <w:p w14:paraId="2B9BBFFC" w14:textId="77777777" w:rsidR="00597DE2" w:rsidRPr="00DC1A5F" w:rsidRDefault="00597DE2" w:rsidP="00597DE2">
      <w:r w:rsidRPr="00DC1A5F">
        <w:t>46. ​​</w:t>
      </w:r>
      <w:r w:rsidRPr="00DC1A5F">
        <w:tab/>
        <w:t xml:space="preserve">Ahora bien, entre estas sensibilidades así caracterizadas por sus diferencias debido a la diferencia del </w:t>
      </w:r>
      <w:proofErr w:type="spellStart"/>
      <w:r w:rsidRPr="00DC1A5F">
        <w:rPr>
          <w:i/>
        </w:rPr>
        <w:t>kamma</w:t>
      </w:r>
      <w:proofErr w:type="spellEnd"/>
      <w:r w:rsidRPr="00DC1A5F">
        <w:t>, el ojo y el oído percibirán campos objetivos no contiguos, ya que la consciencia será causada inclusive si los soportes primarios de los campos objetivos no se adhiriesen a las facultades propias primarias de soporte.</w:t>
      </w:r>
      <w:r w:rsidRPr="00DC1A5F">
        <w:rPr>
          <w:vertAlign w:val="superscript"/>
        </w:rPr>
        <w:t>22</w:t>
      </w:r>
      <w:r w:rsidRPr="00DC1A5F">
        <w:t xml:space="preserve"> La nariz, la lengua y el cuerpo percibirán los campos objetivos contiguos, porque la consciencia sólo será causada si sus campos objetivos primarios se adhiriesen a sus propios soportes primarios, es decir, si los campos objetivos primarios se adhiriesen, como soporte en el caso de los olores y sabores, y ellos mismos directamente, en el caso de los objetos táctiles, que serán idénticos, a los tres primarios excluyendo al agua.</w:t>
      </w:r>
    </w:p>
    <w:p w14:paraId="1120FCA5"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988EE1B" w14:textId="77777777" w:rsidR="00597DE2" w:rsidRPr="00DC1A5F" w:rsidRDefault="00597DE2" w:rsidP="00597DE2">
      <w:pPr>
        <w:pStyle w:val="PiedepginaLegal"/>
        <w:numPr>
          <w:ilvl w:val="0"/>
          <w:numId w:val="3"/>
        </w:numPr>
        <w:tabs>
          <w:tab w:val="clear" w:pos="425"/>
          <w:tab w:val="clear" w:pos="6804"/>
          <w:tab w:val="right" w:pos="6379"/>
        </w:tabs>
        <w:ind w:left="284" w:right="334"/>
      </w:pPr>
      <w:r w:rsidRPr="00DC1A5F">
        <w:t xml:space="preserve">“Si no existe diferenciación según los primarios, ¿cuál sería entonces la razón de la diferenciación del ojo, el oído, etc.? Aunque el </w:t>
      </w:r>
      <w:proofErr w:type="spellStart"/>
      <w:r w:rsidRPr="00DC1A5F">
        <w:rPr>
          <w:i/>
        </w:rPr>
        <w:t>kamma</w:t>
      </w:r>
      <w:proofErr w:type="spellEnd"/>
      <w:r w:rsidRPr="00DC1A5F">
        <w:t xml:space="preserve"> que se produzca por el deseo de una individualidad (personalidad individual) con las cinco bases sensoriales será uno solo, deberá adoptarse como ‘no común a todos ellos’ y ‘la diferencia del </w:t>
      </w:r>
      <w:proofErr w:type="spellStart"/>
      <w:r w:rsidRPr="00DC1A5F">
        <w:rPr>
          <w:i/>
        </w:rPr>
        <w:t>kamma</w:t>
      </w:r>
      <w:proofErr w:type="spellEnd"/>
      <w:r w:rsidRPr="00DC1A5F">
        <w:t xml:space="preserve">’ ya que será la causa de la diferenciación del ojo, el oído, etc. Pues no será una condición para el oído por la misma diferencia particular por la que será una condición para el ojo, ya que, si lo fuera, le seguiría que no existiría distinción entre las facultades. Debido a las palabras, ‘En el momento del vínculo–de–renacimiento, la volición excelsa será una condición, como condición de </w:t>
      </w:r>
      <w:proofErr w:type="spellStart"/>
      <w:r w:rsidRPr="00DC1A5F">
        <w:rPr>
          <w:i/>
        </w:rPr>
        <w:t>kamma</w:t>
      </w:r>
      <w:proofErr w:type="spellEnd"/>
      <w:r w:rsidRPr="00DC1A5F">
        <w:t xml:space="preserve">, para los tipos de materialidad debido al </w:t>
      </w:r>
      <w:proofErr w:type="spellStart"/>
      <w:r w:rsidRPr="00DC1A5F">
        <w:rPr>
          <w:i/>
        </w:rPr>
        <w:t>kamma</w:t>
      </w:r>
      <w:proofErr w:type="spellEnd"/>
      <w:r w:rsidRPr="00DC1A5F">
        <w:t xml:space="preserve"> cometido’ (</w:t>
      </w:r>
      <w:proofErr w:type="spellStart"/>
      <w:r w:rsidRPr="00DC1A5F">
        <w:t>Paṭṭh</w:t>
      </w:r>
      <w:proofErr w:type="spellEnd"/>
      <w:r w:rsidRPr="00DC1A5F">
        <w:t xml:space="preserve">), deberá reconocerse que una sola volición será una condición de </w:t>
      </w:r>
      <w:proofErr w:type="spellStart"/>
      <w:r w:rsidRPr="00DC1A5F">
        <w:rPr>
          <w:i/>
        </w:rPr>
        <w:t>kamma</w:t>
      </w:r>
      <w:proofErr w:type="spellEnd"/>
      <w:r w:rsidRPr="00DC1A5F">
        <w:t xml:space="preserve"> para todos los tipos de materialidad debido al </w:t>
      </w:r>
      <w:proofErr w:type="spellStart"/>
      <w:r w:rsidRPr="00DC1A5F">
        <w:rPr>
          <w:i/>
        </w:rPr>
        <w:t>kamma</w:t>
      </w:r>
      <w:proofErr w:type="spellEnd"/>
      <w:r w:rsidRPr="00DC1A5F">
        <w:t xml:space="preserve"> cometido que </w:t>
      </w:r>
      <w:proofErr w:type="spellStart"/>
      <w:r w:rsidRPr="00DC1A5F">
        <w:t>lleguea</w:t>
      </w:r>
      <w:proofErr w:type="spellEnd"/>
      <w:r w:rsidRPr="00DC1A5F">
        <w:t xml:space="preserve"> existir en el momento del vínculo–de–renacimiento. Ya que si la volición fuera diferente, entonces, cuando llegase el surgimiento de las facultades, le seguiría que la materialidad debida al </w:t>
      </w:r>
      <w:proofErr w:type="spellStart"/>
      <w:r w:rsidRPr="00DC1A5F">
        <w:rPr>
          <w:i/>
        </w:rPr>
        <w:t>kamma</w:t>
      </w:r>
      <w:proofErr w:type="spellEnd"/>
      <w:r w:rsidRPr="00DC1A5F">
        <w:t xml:space="preserve"> cometido fue generada por el </w:t>
      </w:r>
      <w:proofErr w:type="spellStart"/>
      <w:r w:rsidRPr="00DC1A5F">
        <w:rPr>
          <w:i/>
        </w:rPr>
        <w:t>kamma</w:t>
      </w:r>
      <w:proofErr w:type="spellEnd"/>
      <w:r w:rsidRPr="00DC1A5F">
        <w:t xml:space="preserve"> limitado y excelso. Y el vínculo–de–renacimiento, que es uno, no será generado por una pluralidad de tipos de </w:t>
      </w:r>
      <w:proofErr w:type="spellStart"/>
      <w:r w:rsidRPr="00DC1A5F">
        <w:rPr>
          <w:i/>
        </w:rPr>
        <w:t>kamma</w:t>
      </w:r>
      <w:proofErr w:type="spellEnd"/>
      <w:r w:rsidRPr="00DC1A5F">
        <w:t xml:space="preserve">. Así se establece que el surgimiento de la pluralidad de las facultades se deberá a un solo </w:t>
      </w:r>
      <w:proofErr w:type="spellStart"/>
      <w:r w:rsidRPr="00DC1A5F">
        <w:rPr>
          <w:i/>
        </w:rPr>
        <w:t>kamma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446).</w:t>
      </w:r>
    </w:p>
    <w:p w14:paraId="55234312" w14:textId="77777777" w:rsidR="00597DE2" w:rsidRPr="00DC1A5F" w:rsidRDefault="00597DE2" w:rsidP="00597DE2">
      <w:pPr>
        <w:pStyle w:val="PiedepginaLegal"/>
        <w:numPr>
          <w:ilvl w:val="0"/>
          <w:numId w:val="3"/>
        </w:numPr>
        <w:tabs>
          <w:tab w:val="clear" w:pos="425"/>
          <w:tab w:val="clear" w:pos="6804"/>
          <w:tab w:val="right" w:pos="6379"/>
        </w:tabs>
        <w:ind w:left="284" w:right="334"/>
      </w:pPr>
      <w:r w:rsidRPr="00DC1A5F">
        <w:t xml:space="preserve">Ver también §134 y notas 60, 61. La ampliación en este párrafo corresponde a </w:t>
      </w:r>
      <w:proofErr w:type="spellStart"/>
      <w:r w:rsidRPr="00DC1A5F">
        <w:t>Vism</w:t>
      </w:r>
      <w:proofErr w:type="spellEnd"/>
      <w:r w:rsidRPr="00DC1A5F">
        <w:t>–</w:t>
      </w:r>
      <w:proofErr w:type="spellStart"/>
      <w:r w:rsidRPr="00DC1A5F">
        <w:t>mhṭ</w:t>
      </w:r>
      <w:proofErr w:type="spellEnd"/>
      <w:r w:rsidRPr="00DC1A5F">
        <w:t>, que continúa así: “Existe otro método: el ojo y el oído tienen campos objetivos no contiguos porque el surgimiento de la consciencia se producirá mientras que sus campos objetivos estén separados por un intervalo e independientemente (</w:t>
      </w:r>
      <w:proofErr w:type="spellStart"/>
      <w:r w:rsidRPr="00DC1A5F">
        <w:rPr>
          <w:i/>
          <w:iCs/>
        </w:rPr>
        <w:t>adhika</w:t>
      </w:r>
      <w:proofErr w:type="spellEnd"/>
      <w:r w:rsidRPr="00DC1A5F">
        <w:t>). Algunos dicen que el oído posee un campo objetivo contiguo. Si lo poseyera, entonces el sonido surgido de la consciencia no sería objeto de la consciencia del oído, porque no existiría un surgimiento externo de lo que sea consciencia originada. Y en los textos se habla del sonido como un objeto como si éste fuera objeto de la consciencia del oído sin hacer ninguna distinción. Además, no habría que definir la dirección y posición del sonido porque entonces habría que aprehenderlo en el lugar que ocupase el poseedor del campo objetivo, como sucede en el caso de un olor. En consecuencia, permanecerá en el mismo lugar donde surgió, si se enfocase en el tránsito del oído (así es en la ed. Birmana). ¿No son los sonidos de los lavanderos que friegan su ropa sobre las piedras escuchados más tarde por aquellos que se quedan a la distancia? No; porque existe una diferencia en la forma de aprehender un sonido según las formas en que se haga evidente para alguien cercano y otro lejano. Porque así como, debido a la diferencia en la forma de aprehender el sonido de las palabras según las formas en que se haga evidente para alguien que esté lejos y para otros que estén cerca, llegará a haber, respectivamente, no–aprehensión y aprehensión de las diferencias entre las sílabas, así también, cuando el sonido de los lavanderos (a) se convierta en una ocurrencia que será evidente de principio a fin para alguien que esté cerca, y (b) se convierta en una ocurrencia que será evidente en forma comprimida al final o en el medio para alguien que esté lejos, será porque existirá una diferencia entre la</w:t>
      </w:r>
    </w:p>
    <w:p w14:paraId="44D0EB65" w14:textId="77777777" w:rsidR="00597DE2" w:rsidRPr="00DC1A5F" w:rsidRDefault="00597DE2" w:rsidP="00597DE2">
      <w:pPr>
        <w:tabs>
          <w:tab w:val="clear" w:pos="425"/>
        </w:tabs>
        <w:spacing w:after="160"/>
      </w:pPr>
      <w:r w:rsidRPr="00DC1A5F">
        <w:br w:type="page"/>
      </w:r>
    </w:p>
    <w:p w14:paraId="1DE36413" w14:textId="77777777" w:rsidR="00597DE2" w:rsidRPr="00DC1A5F" w:rsidRDefault="00597DE2" w:rsidP="00597DE2"/>
    <w:p w14:paraId="3782F356" w14:textId="77777777" w:rsidR="00597DE2" w:rsidRPr="00DC1A5F" w:rsidRDefault="00597DE2" w:rsidP="00597DE2">
      <w:r w:rsidRPr="00DC1A5F">
        <w:t xml:space="preserve">47. </w:t>
      </w:r>
      <w:r w:rsidRPr="00DC1A5F">
        <w:tab/>
      </w:r>
      <w:r w:rsidRPr="00DC1A5F">
        <w:rPr>
          <w:i/>
          <w:iCs/>
        </w:rPr>
        <w:t>1</w:t>
      </w:r>
      <w:r w:rsidRPr="00DC1A5F">
        <w:t xml:space="preserve">. Existe lo que se conoce en el mundo como el “ojo”. Parecido a un pétalo de loto azul y rodeado de pestañas negras y variadas por medio de círculos oscuros y claros. El ojo, la sensibilidad visual como se entiende aquí, se encuentra en el lugar central del círculo negro rodeado por el círculo blanco en ese rasgo del ojo, con sus accesorios correspondientes, donde aparece la imagen de los cuerpos que se encuentren frente a él. Esta imagen penetra las siete capas del ojo como un aceite rociado sobre siete capas de algodón. Es asistida por los cuatro elementos primarios cuyas funciones respectivas consisten en ​​sostener, cohesionar, madurar y mover; como un príncipe guerrero sería asistido por cuatro nodrizas cuyas funciones serían la de cargar, bañar, vestir y abanicarlo. Se consolida mediante la temperatura, la consciencia y el nutrimento; es mantenido por la vida; está provisto de color, olor, sabor, etc. (ver Cap. XVIII, §5); es del tamaño de la cabeza de un simple piojo; y sirve debidamente como base física y como puerta para la consciencia visual </w:t>
      </w:r>
      <w:r w:rsidRPr="00DC1A5F">
        <w:rPr>
          <w:color w:val="1F3864" w:themeColor="accent1" w:themeShade="80"/>
        </w:rPr>
        <w:t>y el resto de las consciencias de la serie cognitiva</w:t>
      </w:r>
      <w:r w:rsidRPr="00DC1A5F">
        <w:t>. [446]</w:t>
      </w:r>
    </w:p>
    <w:p w14:paraId="35BDFA31" w14:textId="77777777" w:rsidR="00597DE2" w:rsidRPr="00DC1A5F" w:rsidRDefault="00597DE2" w:rsidP="00597DE2">
      <w:r w:rsidRPr="00DC1A5F">
        <w:t xml:space="preserve">48. </w:t>
      </w:r>
      <w:r w:rsidRPr="00DC1A5F">
        <w:tab/>
        <w:t xml:space="preserve">Y esto lo dice el General del </w:t>
      </w:r>
      <w:r w:rsidRPr="00DC1A5F">
        <w:rPr>
          <w:i/>
        </w:rPr>
        <w:t>Dhamma</w:t>
      </w:r>
      <w:r w:rsidRPr="00DC1A5F">
        <w:t>:</w:t>
      </w:r>
    </w:p>
    <w:p w14:paraId="5433FC5F" w14:textId="77777777" w:rsidR="00597DE2" w:rsidRPr="00DC1A5F" w:rsidRDefault="00597DE2" w:rsidP="00597DE2">
      <w:pPr>
        <w:pStyle w:val="VersoIngls01Sangria"/>
        <w:rPr>
          <w:sz w:val="16"/>
          <w:szCs w:val="20"/>
        </w:rPr>
      </w:pPr>
      <w:r w:rsidRPr="00DC1A5F">
        <w:rPr>
          <w:sz w:val="16"/>
          <w:szCs w:val="20"/>
        </w:rPr>
        <w:t>“La sensibilidad con la que se ve un objeto visible</w:t>
      </w:r>
    </w:p>
    <w:p w14:paraId="6965A8CB" w14:textId="77777777" w:rsidR="00597DE2" w:rsidRPr="00DC1A5F" w:rsidRDefault="00597DE2" w:rsidP="00597DE2">
      <w:pPr>
        <w:pStyle w:val="VersoIngls01Sangria"/>
        <w:rPr>
          <w:sz w:val="16"/>
          <w:szCs w:val="20"/>
        </w:rPr>
      </w:pPr>
      <w:r w:rsidRPr="00DC1A5F">
        <w:rPr>
          <w:sz w:val="16"/>
          <w:szCs w:val="20"/>
        </w:rPr>
        <w:t>Es pequeña y también sutil, no más grande que la cabeza de un piojo”. (?)</w:t>
      </w:r>
    </w:p>
    <w:p w14:paraId="7C095D3E" w14:textId="77777777" w:rsidR="00597DE2" w:rsidRPr="00DC1A5F" w:rsidRDefault="00597DE2" w:rsidP="00597DE2">
      <w:pPr>
        <w:pStyle w:val="VersoIngls01Sangria"/>
      </w:pPr>
    </w:p>
    <w:p w14:paraId="0E4B0A23" w14:textId="77777777" w:rsidR="00597DE2" w:rsidRPr="00DC1A5F" w:rsidRDefault="00597DE2" w:rsidP="00597DE2">
      <w:r w:rsidRPr="00DC1A5F">
        <w:t xml:space="preserve">49. </w:t>
      </w:r>
      <w:r w:rsidRPr="00DC1A5F">
        <w:tab/>
        <w:t xml:space="preserve">2. El </w:t>
      </w:r>
      <w:r w:rsidRPr="00DC1A5F">
        <w:rPr>
          <w:i/>
          <w:iCs/>
        </w:rPr>
        <w:t>oído</w:t>
      </w:r>
      <w:r w:rsidRPr="00DC1A5F">
        <w:t>, la sensibilidad auditiva, se encuentra dentro de la característica del orificio del oído con sus accesorios en el lugar que posee la forma de un dedo y está rodeado de finos cabellos castaños. Es asistido por los elementos en la forma antedicha. Se consolida por la temperatura, la consciencia y el nutrimento; es mantenido por la vida; está provisto de color, etc.; y sirve debidamente como base física y como puerta para la consciencia auditiva y el resto.</w:t>
      </w:r>
    </w:p>
    <w:p w14:paraId="6FD0A8DE" w14:textId="77777777" w:rsidR="00597DE2" w:rsidRPr="00DC1A5F" w:rsidRDefault="00597DE2" w:rsidP="00597DE2">
      <w:r w:rsidRPr="00DC1A5F">
        <w:t xml:space="preserve">50. </w:t>
      </w:r>
      <w:r w:rsidRPr="00DC1A5F">
        <w:tab/>
        <w:t xml:space="preserve">3. La </w:t>
      </w:r>
      <w:r w:rsidRPr="00DC1A5F">
        <w:rPr>
          <w:i/>
          <w:iCs/>
        </w:rPr>
        <w:t>nariz,</w:t>
      </w:r>
      <w:r w:rsidRPr="00DC1A5F">
        <w:t xml:space="preserve"> la sensibilidad olfativa, se encuentra dentro de la característica del orificio de la nariz con sus accesorios en el lugar con forma de una pezuña de cabra. Tiene asistencia, consolidación y mantenimiento en la forma antes mencionada; y sirve debidamente como base física y como puerta para la consciencia olfativa y el resto.</w:t>
      </w:r>
    </w:p>
    <w:p w14:paraId="32EB49C8" w14:textId="77777777" w:rsidR="00597DE2" w:rsidRPr="00DC1A5F" w:rsidRDefault="00597DE2" w:rsidP="00597DE2">
      <w:r w:rsidRPr="00DC1A5F">
        <w:t xml:space="preserve">51. </w:t>
      </w:r>
      <w:r w:rsidRPr="00DC1A5F">
        <w:tab/>
        <w:t xml:space="preserve">4. La </w:t>
      </w:r>
      <w:r w:rsidRPr="00DC1A5F">
        <w:rPr>
          <w:i/>
          <w:iCs/>
        </w:rPr>
        <w:t>lengua,</w:t>
      </w:r>
      <w:r w:rsidRPr="00DC1A5F">
        <w:t xml:space="preserve"> la sensibilidad gustativa, se encuentra en el medio del órgano de la lengua con sus accesorios en el lugar con la forma de una punta del pétalo de un loto. Tiene asistencia, consolidación y mantenimiento en la forma antes mencionada; y sirve debidamente como base física y como puerta para la consciencia de la lengua y el resto.</w:t>
      </w:r>
    </w:p>
    <w:p w14:paraId="077A3E53" w14:textId="77777777" w:rsidR="00597DE2" w:rsidRPr="00DC1A5F" w:rsidRDefault="00597DE2" w:rsidP="00597DE2"/>
    <w:p w14:paraId="77B5A04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DD20754" w14:textId="77777777" w:rsidR="00597DE2" w:rsidRPr="00DC1A5F" w:rsidRDefault="00597DE2" w:rsidP="00597DE2">
      <w:pPr>
        <w:pStyle w:val="PiedepginaLegal"/>
        <w:tabs>
          <w:tab w:val="clear" w:pos="6804"/>
          <w:tab w:val="right" w:pos="6379"/>
        </w:tabs>
        <w:ind w:right="334"/>
      </w:pPr>
      <w:r w:rsidRPr="00DC1A5F">
        <w:t>…</w:t>
      </w:r>
      <w:r w:rsidRPr="00DC1A5F">
        <w:tab/>
        <w:t>aprehensión y la definición, que ocurrirá más adelante en la serie cognitiva de la consciencia del oído, por la que llegará a haber suposición (</w:t>
      </w:r>
      <w:proofErr w:type="spellStart"/>
      <w:r w:rsidRPr="00DC1A5F">
        <w:rPr>
          <w:i/>
          <w:iCs/>
        </w:rPr>
        <w:t>abhimāna</w:t>
      </w:r>
      <w:proofErr w:type="spellEnd"/>
      <w:r w:rsidRPr="00DC1A5F">
        <w:t xml:space="preserve">) ‘Lo escuchado débilmente se escuchará posteriormente’. No obstante, ese sonido entrará en el foco del oído en el momento de su propia existencia y en dependencia con el lugar de donde surja (ver XIII. 112; </w:t>
      </w:r>
      <w:proofErr w:type="spellStart"/>
      <w:r w:rsidRPr="00DC1A5F">
        <w:t>Dhs</w:t>
      </w:r>
      <w:proofErr w:type="spellEnd"/>
      <w:r w:rsidRPr="00DC1A5F">
        <w:t>–a 313). Si no existiese absolutamente ningún devenir sucesivo del sonido, ¿cómo surgiría un eco? El sonido, aunque permanezca a cierta distancia, será una condición para el surgimiento de un eco y para la vibración de los vasos, etc., en otros lugares como lo serían un imán (</w:t>
      </w:r>
      <w:proofErr w:type="spellStart"/>
      <w:r w:rsidRPr="00DC1A5F">
        <w:rPr>
          <w:i/>
          <w:iCs/>
        </w:rPr>
        <w:t>ayo</w:t>
      </w:r>
      <w:proofErr w:type="spellEnd"/>
      <w:r w:rsidRPr="00DC1A5F">
        <w:rPr>
          <w:i/>
          <w:iCs/>
        </w:rPr>
        <w:t>–</w:t>
      </w:r>
      <w:proofErr w:type="spellStart"/>
      <w:r w:rsidRPr="00DC1A5F">
        <w:rPr>
          <w:i/>
          <w:iCs/>
        </w:rPr>
        <w:t>kanta</w:t>
      </w:r>
      <w:proofErr w:type="spellEnd"/>
      <w:r w:rsidRPr="00DC1A5F">
        <w:t>) para el movimiento del hierro” (</w:t>
      </w:r>
      <w:proofErr w:type="spellStart"/>
      <w:r w:rsidRPr="00DC1A5F">
        <w:t>Vism</w:t>
      </w:r>
      <w:proofErr w:type="spellEnd"/>
      <w:r w:rsidRPr="00DC1A5F">
        <w:t>–</w:t>
      </w:r>
      <w:proofErr w:type="spellStart"/>
      <w:r w:rsidRPr="00DC1A5F">
        <w:t>mhṭ</w:t>
      </w:r>
      <w:proofErr w:type="spellEnd"/>
      <w:r w:rsidRPr="00DC1A5F">
        <w:t xml:space="preserve"> 446 –47).</w:t>
      </w:r>
    </w:p>
    <w:p w14:paraId="4D6FE507" w14:textId="77777777" w:rsidR="00597DE2" w:rsidRPr="00DC1A5F" w:rsidRDefault="00597DE2" w:rsidP="00597DE2">
      <w:pPr>
        <w:tabs>
          <w:tab w:val="clear" w:pos="425"/>
        </w:tabs>
        <w:spacing w:after="160"/>
      </w:pPr>
      <w:r w:rsidRPr="00DC1A5F">
        <w:br w:type="page"/>
      </w:r>
    </w:p>
    <w:p w14:paraId="58B20A45" w14:textId="77777777" w:rsidR="00597DE2" w:rsidRPr="00DC1A5F" w:rsidRDefault="00597DE2" w:rsidP="00597DE2"/>
    <w:p w14:paraId="4140D2E8" w14:textId="77777777" w:rsidR="00597DE2" w:rsidRPr="00DC1A5F" w:rsidRDefault="00597DE2" w:rsidP="00597DE2">
      <w:r w:rsidRPr="00DC1A5F">
        <w:t xml:space="preserve">52. </w:t>
      </w:r>
      <w:r w:rsidRPr="00DC1A5F">
        <w:tab/>
        <w:t xml:space="preserve">5. El </w:t>
      </w:r>
      <w:r w:rsidRPr="00DC1A5F">
        <w:rPr>
          <w:i/>
          <w:iCs/>
        </w:rPr>
        <w:t xml:space="preserve">cuerpo, </w:t>
      </w:r>
      <w:r w:rsidRPr="00DC1A5F">
        <w:t>la sensibilidad táctil, se encuentra en todo el organismo, como un líquido que empapase una capa de algodón alrededor del cuerpo físico donde haya materia adherida.</w:t>
      </w:r>
      <w:r w:rsidRPr="00DC1A5F">
        <w:rPr>
          <w:vertAlign w:val="superscript"/>
        </w:rPr>
        <w:t>23</w:t>
      </w:r>
      <w:r w:rsidRPr="00DC1A5F">
        <w:t xml:space="preserve"> Tiene asistencia, consolidación y mantenimiento en la forma antes mencionada; y sirve debidamente como base física y como puerta para la consciencia táctil y el resto.</w:t>
      </w:r>
    </w:p>
    <w:p w14:paraId="6EE7DFF3" w14:textId="77777777" w:rsidR="00597DE2" w:rsidRPr="00DC1A5F" w:rsidRDefault="00597DE2" w:rsidP="00597DE2">
      <w:r w:rsidRPr="00DC1A5F">
        <w:t xml:space="preserve">53. </w:t>
      </w:r>
      <w:r w:rsidRPr="00DC1A5F">
        <w:tab/>
        <w:t xml:space="preserve">Al igual que las serpientes, los cocodrilos, los pájaros, los perros y los chacales que gravitan hacia sus respectivos lugares de descanso, es decir, hacia los montículos de termitas, el agua, el espacio, las aldeas y los cementerios, así debe considerarse al ojo, etc. como gravitando hacia sus propios recursos respectivos, es decir, los objetos visibles, etc. (cf. </w:t>
      </w:r>
      <w:proofErr w:type="spellStart"/>
      <w:r w:rsidRPr="00DC1A5F">
        <w:t>Dhs</w:t>
      </w:r>
      <w:proofErr w:type="spellEnd"/>
      <w:r w:rsidRPr="00DC1A5F">
        <w:t>–a 314).</w:t>
      </w:r>
    </w:p>
    <w:p w14:paraId="50876D08" w14:textId="77777777" w:rsidR="00597DE2" w:rsidRPr="00DC1A5F" w:rsidRDefault="00597DE2" w:rsidP="00597DE2">
      <w:r w:rsidRPr="00DC1A5F">
        <w:t xml:space="preserve">54. </w:t>
      </w:r>
      <w:r w:rsidRPr="00DC1A5F">
        <w:tab/>
      </w:r>
      <w:r w:rsidRPr="00DC1A5F">
        <w:rPr>
          <w:i/>
          <w:iCs/>
        </w:rPr>
        <w:t>6.</w:t>
      </w:r>
      <w:r w:rsidRPr="00DC1A5F">
        <w:t xml:space="preserve"> En cuanto a los objetos visibles, etc., que vienen a continuación, un </w:t>
      </w:r>
      <w:r w:rsidRPr="00DC1A5F">
        <w:rPr>
          <w:i/>
          <w:iCs/>
        </w:rPr>
        <w:t>objeto visible</w:t>
      </w:r>
      <w:r w:rsidRPr="00DC1A5F">
        <w:t xml:space="preserve"> tendrá la </w:t>
      </w:r>
      <w:r w:rsidRPr="00DC1A5F">
        <w:rPr>
          <w:i/>
          <w:iCs/>
        </w:rPr>
        <w:t>característica</w:t>
      </w:r>
      <w:r w:rsidRPr="00DC1A5F">
        <w:t xml:space="preserve"> de incidir en el ojo. Su </w:t>
      </w:r>
      <w:r w:rsidRPr="00DC1A5F">
        <w:rPr>
          <w:i/>
          <w:iCs/>
        </w:rPr>
        <w:t>función</w:t>
      </w:r>
      <w:r w:rsidRPr="00DC1A5F">
        <w:t xml:space="preserve"> consistirá en ser el campo objetivo de la consciencia visual. Se </w:t>
      </w:r>
      <w:r w:rsidRPr="00DC1A5F">
        <w:rPr>
          <w:i/>
          <w:iCs/>
        </w:rPr>
        <w:t>manifiesta</w:t>
      </w:r>
      <w:r w:rsidRPr="00DC1A5F">
        <w:t xml:space="preserve"> como un recurso de también eso. Su </w:t>
      </w:r>
      <w:r w:rsidRPr="00DC1A5F">
        <w:rPr>
          <w:i/>
          <w:iCs/>
        </w:rPr>
        <w:t>causa próxima</w:t>
      </w:r>
      <w:r w:rsidRPr="00DC1A5F">
        <w:t xml:space="preserve"> serán los cuatro grandes primarios. Y todos los siguientes tipos de materialidad derivada serán iguales a éste. Donde haya una diferencia la mencionaremos. Este objeto visible será de varios tipos como por ejemplo, “azul, amarillo” (</w:t>
      </w:r>
      <w:proofErr w:type="spellStart"/>
      <w:r w:rsidRPr="00DC1A5F">
        <w:t>Dhs</w:t>
      </w:r>
      <w:proofErr w:type="spellEnd"/>
      <w:r w:rsidRPr="00DC1A5F">
        <w:t xml:space="preserve"> §617) etc.</w:t>
      </w:r>
    </w:p>
    <w:p w14:paraId="766E9A34" w14:textId="77777777" w:rsidR="00597DE2" w:rsidRPr="00DC1A5F" w:rsidRDefault="00597DE2" w:rsidP="00597DE2">
      <w:r w:rsidRPr="00DC1A5F">
        <w:t xml:space="preserve">55. </w:t>
      </w:r>
      <w:r w:rsidRPr="00DC1A5F">
        <w:tab/>
      </w:r>
      <w:r w:rsidRPr="00DC1A5F">
        <w:rPr>
          <w:i/>
          <w:iCs/>
        </w:rPr>
        <w:t>7</w:t>
      </w:r>
      <w:r w:rsidRPr="00DC1A5F">
        <w:t xml:space="preserve">. El </w:t>
      </w:r>
      <w:r w:rsidRPr="00DC1A5F">
        <w:rPr>
          <w:i/>
          <w:iCs/>
        </w:rPr>
        <w:t>sonido</w:t>
      </w:r>
      <w:r w:rsidRPr="00DC1A5F">
        <w:t xml:space="preserve"> posee la </w:t>
      </w:r>
      <w:r w:rsidRPr="00DC1A5F">
        <w:rPr>
          <w:i/>
          <w:iCs/>
        </w:rPr>
        <w:t>característica</w:t>
      </w:r>
      <w:r w:rsidRPr="00DC1A5F">
        <w:t xml:space="preserve"> de incidir en el oído. Su </w:t>
      </w:r>
      <w:r w:rsidRPr="00DC1A5F">
        <w:rPr>
          <w:i/>
          <w:iCs/>
        </w:rPr>
        <w:t>función</w:t>
      </w:r>
      <w:r w:rsidRPr="00DC1A5F">
        <w:t xml:space="preserve"> consistirá en ser objeto de la consciencia auditiva. Se </w:t>
      </w:r>
      <w:r w:rsidRPr="00DC1A5F">
        <w:rPr>
          <w:i/>
          <w:iCs/>
        </w:rPr>
        <w:t>manifiesta</w:t>
      </w:r>
      <w:r w:rsidRPr="00DC1A5F">
        <w:t xml:space="preserve"> como un recurso de también eso. Es de varios tipos como “el sonido del tambor, el sonido del tabor” (</w:t>
      </w:r>
      <w:proofErr w:type="spellStart"/>
      <w:r w:rsidRPr="00DC1A5F">
        <w:t>Dhs</w:t>
      </w:r>
      <w:proofErr w:type="spellEnd"/>
      <w:r w:rsidRPr="00DC1A5F">
        <w:t xml:space="preserve"> §621) etc. [447]</w:t>
      </w:r>
    </w:p>
    <w:p w14:paraId="0C1EB5FA" w14:textId="77777777" w:rsidR="00597DE2" w:rsidRPr="00DC1A5F" w:rsidRDefault="00597DE2" w:rsidP="00597DE2">
      <w:r w:rsidRPr="00DC1A5F">
        <w:t xml:space="preserve">56. </w:t>
      </w:r>
      <w:r w:rsidRPr="00DC1A5F">
        <w:tab/>
      </w:r>
      <w:r w:rsidRPr="00DC1A5F">
        <w:rPr>
          <w:i/>
          <w:iCs/>
        </w:rPr>
        <w:t>8.</w:t>
      </w:r>
      <w:r w:rsidRPr="00DC1A5F">
        <w:t xml:space="preserve"> El </w:t>
      </w:r>
      <w:r w:rsidRPr="00DC1A5F">
        <w:rPr>
          <w:i/>
          <w:iCs/>
        </w:rPr>
        <w:t>olor</w:t>
      </w:r>
      <w:r w:rsidRPr="00DC1A5F">
        <w:t xml:space="preserve"> tiene la característica de incidir en la nariz. Su </w:t>
      </w:r>
      <w:r w:rsidRPr="00DC1A5F">
        <w:rPr>
          <w:i/>
          <w:iCs/>
        </w:rPr>
        <w:t>función</w:t>
      </w:r>
      <w:r w:rsidRPr="00DC1A5F">
        <w:t xml:space="preserve"> consistirá en ser objeto de la consciencia olfativa. Se </w:t>
      </w:r>
      <w:r w:rsidRPr="00DC1A5F">
        <w:rPr>
          <w:i/>
          <w:iCs/>
        </w:rPr>
        <w:t>manifiesta</w:t>
      </w:r>
      <w:r w:rsidRPr="00DC1A5F">
        <w:t xml:space="preserve"> como el recurso de también eso. Es de varios tipos como “olor a raíz, olor a duramen” (</w:t>
      </w:r>
      <w:proofErr w:type="spellStart"/>
      <w:r w:rsidRPr="00DC1A5F">
        <w:t>Dhs</w:t>
      </w:r>
      <w:proofErr w:type="spellEnd"/>
      <w:r w:rsidRPr="00DC1A5F">
        <w:t xml:space="preserve"> §625) etc.</w:t>
      </w:r>
    </w:p>
    <w:p w14:paraId="1137FFAE" w14:textId="77777777" w:rsidR="00597DE2" w:rsidRPr="00DC1A5F" w:rsidRDefault="00597DE2" w:rsidP="00597DE2">
      <w:r w:rsidRPr="00DC1A5F">
        <w:t xml:space="preserve">57. </w:t>
      </w:r>
      <w:r w:rsidRPr="00DC1A5F">
        <w:tab/>
      </w:r>
      <w:r w:rsidRPr="00DC1A5F">
        <w:rPr>
          <w:i/>
          <w:iCs/>
        </w:rPr>
        <w:t>9.</w:t>
      </w:r>
      <w:r w:rsidRPr="00DC1A5F">
        <w:t xml:space="preserve"> El </w:t>
      </w:r>
      <w:r w:rsidRPr="00DC1A5F">
        <w:rPr>
          <w:i/>
          <w:iCs/>
        </w:rPr>
        <w:t>sabor</w:t>
      </w:r>
      <w:r w:rsidRPr="00DC1A5F">
        <w:t xml:space="preserve"> tiene la </w:t>
      </w:r>
      <w:r w:rsidRPr="00DC1A5F">
        <w:rPr>
          <w:i/>
          <w:iCs/>
        </w:rPr>
        <w:t>característica</w:t>
      </w:r>
      <w:r w:rsidRPr="00DC1A5F">
        <w:t xml:space="preserve"> de incidir en la lengua. Su </w:t>
      </w:r>
      <w:r w:rsidRPr="00DC1A5F">
        <w:rPr>
          <w:i/>
          <w:iCs/>
        </w:rPr>
        <w:t>función</w:t>
      </w:r>
      <w:r w:rsidRPr="00DC1A5F">
        <w:t xml:space="preserve"> consistirá en ser objeto de la consciencia gustativa. Se </w:t>
      </w:r>
      <w:r w:rsidRPr="00DC1A5F">
        <w:rPr>
          <w:i/>
          <w:iCs/>
        </w:rPr>
        <w:t>manifiesta</w:t>
      </w:r>
      <w:r w:rsidRPr="00DC1A5F">
        <w:t xml:space="preserve"> como el recurso de también eso. Es de varios tipos como “sabor a raíz, sabor a tronco” (</w:t>
      </w:r>
      <w:proofErr w:type="spellStart"/>
      <w:r w:rsidRPr="00DC1A5F">
        <w:t>Dhs</w:t>
      </w:r>
      <w:proofErr w:type="spellEnd"/>
      <w:r w:rsidRPr="00DC1A5F">
        <w:t xml:space="preserve"> §629) y así sucesivamente.</w:t>
      </w:r>
    </w:p>
    <w:p w14:paraId="2C58711B" w14:textId="77777777" w:rsidR="00597DE2" w:rsidRPr="00DC1A5F" w:rsidRDefault="00597DE2" w:rsidP="00597DE2">
      <w:r w:rsidRPr="00DC1A5F">
        <w:t xml:space="preserve">58. </w:t>
      </w:r>
      <w:r w:rsidRPr="00DC1A5F">
        <w:tab/>
      </w:r>
      <w:r w:rsidRPr="00DC1A5F">
        <w:rPr>
          <w:i/>
          <w:iCs/>
        </w:rPr>
        <w:t>10</w:t>
      </w:r>
      <w:r w:rsidRPr="00DC1A5F">
        <w:t xml:space="preserve">. La </w:t>
      </w:r>
      <w:r w:rsidRPr="00DC1A5F">
        <w:rPr>
          <w:i/>
          <w:iCs/>
        </w:rPr>
        <w:t>facultad de la feminidad</w:t>
      </w:r>
      <w:r w:rsidRPr="00DC1A5F">
        <w:t xml:space="preserve"> tiene como característica del sexo femenino. Su función es exponer que “aquello sea una fémina”. Se manifiesta como la razón de la marca, el signo, la acción y los senderos de una fémina (cf. </w:t>
      </w:r>
      <w:proofErr w:type="spellStart"/>
      <w:r w:rsidRPr="00DC1A5F">
        <w:t>Dhs</w:t>
      </w:r>
      <w:proofErr w:type="spellEnd"/>
      <w:r w:rsidRPr="00DC1A5F">
        <w:t xml:space="preserve"> §633).</w:t>
      </w:r>
    </w:p>
    <w:p w14:paraId="57F7E9CE" w14:textId="77777777" w:rsidR="00597DE2" w:rsidRPr="00DC1A5F" w:rsidRDefault="00597DE2" w:rsidP="00597DE2">
      <w:r w:rsidRPr="00DC1A5F">
        <w:tab/>
      </w:r>
      <w:r w:rsidRPr="00DC1A5F">
        <w:rPr>
          <w:i/>
          <w:iCs/>
        </w:rPr>
        <w:t>11.</w:t>
      </w:r>
      <w:r w:rsidRPr="00DC1A5F">
        <w:t xml:space="preserve"> La </w:t>
      </w:r>
      <w:r w:rsidRPr="00DC1A5F">
        <w:rPr>
          <w:i/>
          <w:iCs/>
        </w:rPr>
        <w:t>facultad de la masculinidad</w:t>
      </w:r>
      <w:r w:rsidRPr="00DC1A5F">
        <w:t xml:space="preserve"> tiene como característica del sexo masculino. Su función es exponer que “aquello sea un hombre”. Se manifiesta como la razón de la marca, el signo, la acción y los senderos de un varón (cf. </w:t>
      </w:r>
      <w:proofErr w:type="spellStart"/>
      <w:r w:rsidRPr="00DC1A5F">
        <w:t>Dhs</w:t>
      </w:r>
      <w:proofErr w:type="spellEnd"/>
      <w:r w:rsidRPr="00DC1A5F">
        <w:t xml:space="preserve"> §634).</w:t>
      </w:r>
    </w:p>
    <w:p w14:paraId="5CD16B3C" w14:textId="77777777" w:rsidR="00597DE2" w:rsidRPr="00DC1A5F" w:rsidRDefault="00597DE2" w:rsidP="00597DE2">
      <w:pPr>
        <w:pStyle w:val="NormalConSangria"/>
        <w:rPr>
          <w:vertAlign w:val="superscript"/>
        </w:rPr>
      </w:pPr>
      <w:r w:rsidRPr="00DC1A5F">
        <w:t xml:space="preserve">Estos dos últimos son </w:t>
      </w:r>
      <w:proofErr w:type="spellStart"/>
      <w:r w:rsidRPr="00DC1A5F">
        <w:t>co</w:t>
      </w:r>
      <w:proofErr w:type="spellEnd"/>
      <w:r w:rsidRPr="00DC1A5F">
        <w:t>–extensivos en todo el cuerpo, como lo es la sensibilidad del cuerpo. Pero de ello no le sigue que deban llamarse “ubicados en el espacio donde se ubica la sensibilidad del cuerpo” o “ubicados en el espacio donde eso no se ubica”. Al igual que las naturalezas de los objetos visibles, etc., no se pueden confundir unos con otros.</w:t>
      </w:r>
      <w:r w:rsidRPr="00DC1A5F">
        <w:rPr>
          <w:vertAlign w:val="superscript"/>
        </w:rPr>
        <w:t>24</w:t>
      </w:r>
    </w:p>
    <w:p w14:paraId="690BD01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53BB0EB" w14:textId="77777777" w:rsidR="00597DE2" w:rsidRPr="00DC1A5F" w:rsidRDefault="00597DE2" w:rsidP="00597DE2">
      <w:pPr>
        <w:pStyle w:val="PiedepginaLegal"/>
        <w:numPr>
          <w:ilvl w:val="0"/>
          <w:numId w:val="3"/>
        </w:numPr>
        <w:tabs>
          <w:tab w:val="clear" w:pos="425"/>
        </w:tabs>
        <w:ind w:left="284"/>
      </w:pPr>
      <w:proofErr w:type="spellStart"/>
      <w:r w:rsidRPr="00DC1A5F">
        <w:rPr>
          <w:i/>
          <w:iCs/>
        </w:rPr>
        <w:t>Upādiṇṇa</w:t>
      </w:r>
      <w:proofErr w:type="spellEnd"/>
      <w:r w:rsidRPr="00DC1A5F">
        <w:t xml:space="preserve"> (también </w:t>
      </w:r>
      <w:proofErr w:type="spellStart"/>
      <w:r w:rsidRPr="00DC1A5F">
        <w:rPr>
          <w:i/>
          <w:iCs/>
        </w:rPr>
        <w:t>upādiṇṇaka</w:t>
      </w:r>
      <w:proofErr w:type="spellEnd"/>
      <w:r w:rsidRPr="00DC1A5F">
        <w:t xml:space="preserve">) es pp. de </w:t>
      </w:r>
      <w:proofErr w:type="spellStart"/>
      <w:r w:rsidRPr="00DC1A5F">
        <w:rPr>
          <w:i/>
          <w:iCs/>
        </w:rPr>
        <w:t>upādiyati</w:t>
      </w:r>
      <w:proofErr w:type="spellEnd"/>
      <w:r w:rsidRPr="00DC1A5F">
        <w:t xml:space="preserve"> (él se aferra), de donde también proviene el sustantivo </w:t>
      </w:r>
      <w:proofErr w:type="spellStart"/>
      <w:r w:rsidRPr="00DC1A5F">
        <w:rPr>
          <w:i/>
          <w:iCs/>
        </w:rPr>
        <w:t>upādāna</w:t>
      </w:r>
      <w:proofErr w:type="spellEnd"/>
      <w:r w:rsidRPr="00DC1A5F">
        <w:t xml:space="preserve"> (apego). </w:t>
      </w:r>
      <w:proofErr w:type="spellStart"/>
      <w:r w:rsidRPr="00DC1A5F">
        <w:rPr>
          <w:i/>
          <w:iCs/>
        </w:rPr>
        <w:t>Upādiṇṇa</w:t>
      </w:r>
      <w:proofErr w:type="spellEnd"/>
      <w:r w:rsidRPr="00DC1A5F">
        <w:t>–(</w:t>
      </w:r>
      <w:proofErr w:type="spellStart"/>
      <w:r w:rsidRPr="00DC1A5F">
        <w:rPr>
          <w:i/>
          <w:iCs/>
        </w:rPr>
        <w:t>ka</w:t>
      </w:r>
      <w:proofErr w:type="spellEnd"/>
      <w:r w:rsidRPr="00DC1A5F">
        <w:t xml:space="preserve">–) </w:t>
      </w:r>
      <w:r w:rsidRPr="00DC1A5F">
        <w:rPr>
          <w:i/>
        </w:rPr>
        <w:t>rūpa</w:t>
      </w:r>
      <w:r w:rsidRPr="00DC1A5F">
        <w:t xml:space="preserve"> (aferrado a la materia) = </w:t>
      </w:r>
      <w:proofErr w:type="spellStart"/>
      <w:r w:rsidRPr="00DC1A5F">
        <w:rPr>
          <w:i/>
        </w:rPr>
        <w:t>kammaja</w:t>
      </w:r>
      <w:proofErr w:type="spellEnd"/>
      <w:r w:rsidRPr="00DC1A5F">
        <w:t>–</w:t>
      </w:r>
      <w:r w:rsidRPr="00DC1A5F">
        <w:rPr>
          <w:i/>
        </w:rPr>
        <w:t>rūpa</w:t>
      </w:r>
      <w:r w:rsidRPr="00DC1A5F">
        <w:t xml:space="preserve"> (materia nacida del </w:t>
      </w:r>
      <w:proofErr w:type="spellStart"/>
      <w:r w:rsidRPr="00DC1A5F">
        <w:rPr>
          <w:i/>
        </w:rPr>
        <w:t>kamma</w:t>
      </w:r>
      <w:proofErr w:type="spellEnd"/>
      <w:r w:rsidRPr="00DC1A5F">
        <w:t xml:space="preserve">): ver </w:t>
      </w:r>
      <w:proofErr w:type="spellStart"/>
      <w:r w:rsidRPr="00DC1A5F">
        <w:t>Dhs</w:t>
      </w:r>
      <w:proofErr w:type="spellEnd"/>
      <w:r w:rsidRPr="00DC1A5F">
        <w:t xml:space="preserve"> §653. Se puede traducir vagamente por “materia orgánica, consciente o viva”; técnicamente, se trata de los cuatro primarios que se “apegue” (</w:t>
      </w:r>
      <w:proofErr w:type="spellStart"/>
      <w:r w:rsidRPr="00DC1A5F">
        <w:rPr>
          <w:i/>
          <w:iCs/>
        </w:rPr>
        <w:t>upādiṇṇa</w:t>
      </w:r>
      <w:proofErr w:type="spellEnd"/>
      <w:r w:rsidRPr="00DC1A5F">
        <w:t>) o se “derive” (</w:t>
      </w:r>
      <w:proofErr w:type="spellStart"/>
      <w:r w:rsidRPr="00DC1A5F">
        <w:rPr>
          <w:i/>
          <w:iCs/>
        </w:rPr>
        <w:t>upādāya</w:t>
      </w:r>
      <w:proofErr w:type="spellEnd"/>
      <w:r w:rsidRPr="00DC1A5F">
        <w:t xml:space="preserve">) del </w:t>
      </w:r>
      <w:proofErr w:type="spellStart"/>
      <w:r w:rsidRPr="00DC1A5F">
        <w:rPr>
          <w:i/>
        </w:rPr>
        <w:t>kamma</w:t>
      </w:r>
      <w:proofErr w:type="spellEnd"/>
      <w:r w:rsidRPr="00DC1A5F">
        <w:t xml:space="preserve">. Generalmente adoptado como un término puramente </w:t>
      </w:r>
      <w:proofErr w:type="spellStart"/>
      <w:r w:rsidRPr="00DC1A5F">
        <w:rPr>
          <w:i/>
          <w:iCs/>
        </w:rPr>
        <w:t>Abhidhamma</w:t>
      </w:r>
      <w:proofErr w:type="spellEnd"/>
      <w:r w:rsidRPr="00DC1A5F">
        <w:t xml:space="preserve"> (</w:t>
      </w:r>
      <w:proofErr w:type="spellStart"/>
      <w:r w:rsidRPr="00DC1A5F">
        <w:t>Dhs</w:t>
      </w:r>
      <w:proofErr w:type="spellEnd"/>
      <w:r w:rsidRPr="00DC1A5F">
        <w:t xml:space="preserve"> 1), sin embargo, aparece en los </w:t>
      </w:r>
      <w:r w:rsidRPr="00DC1A5F">
        <w:rPr>
          <w:i/>
          <w:iCs/>
        </w:rPr>
        <w:t>Suttas</w:t>
      </w:r>
      <w:r w:rsidRPr="00DC1A5F">
        <w:t xml:space="preserve"> en el M I 185, en el mismo sentido.</w:t>
      </w:r>
    </w:p>
    <w:p w14:paraId="5DFEECAE" w14:textId="77777777" w:rsidR="00597DE2" w:rsidRPr="00DC1A5F" w:rsidRDefault="00597DE2" w:rsidP="00597DE2">
      <w:pPr>
        <w:pStyle w:val="PiedepginaLegal"/>
        <w:numPr>
          <w:ilvl w:val="0"/>
          <w:numId w:val="3"/>
        </w:numPr>
        <w:tabs>
          <w:tab w:val="clear" w:pos="425"/>
        </w:tabs>
        <w:ind w:left="284"/>
      </w:pPr>
      <w:r w:rsidRPr="00DC1A5F">
        <w:t xml:space="preserve">La </w:t>
      </w:r>
      <w:proofErr w:type="spellStart"/>
      <w:r w:rsidRPr="00DC1A5F">
        <w:t>Ee</w:t>
      </w:r>
      <w:proofErr w:type="spellEnd"/>
      <w:r w:rsidRPr="00DC1A5F">
        <w:rPr>
          <w:i/>
          <w:iCs/>
        </w:rPr>
        <w:t xml:space="preserve"> </w:t>
      </w:r>
      <w:r w:rsidRPr="00DC1A5F">
        <w:t>considera</w:t>
      </w:r>
      <w:r w:rsidRPr="00DC1A5F">
        <w:rPr>
          <w:i/>
          <w:iCs/>
        </w:rPr>
        <w:t xml:space="preserve"> </w:t>
      </w:r>
      <w:proofErr w:type="spellStart"/>
      <w:r w:rsidRPr="00DC1A5F">
        <w:rPr>
          <w:i/>
          <w:iCs/>
        </w:rPr>
        <w:t>añnamaññaṃ</w:t>
      </w:r>
      <w:proofErr w:type="spellEnd"/>
      <w:r w:rsidRPr="00DC1A5F">
        <w:rPr>
          <w:i/>
          <w:iCs/>
        </w:rPr>
        <w:t xml:space="preserve"> </w:t>
      </w:r>
      <w:proofErr w:type="spellStart"/>
      <w:r w:rsidRPr="00DC1A5F">
        <w:rPr>
          <w:i/>
          <w:iCs/>
        </w:rPr>
        <w:t>saṅkaro</w:t>
      </w:r>
      <w:proofErr w:type="spellEnd"/>
      <w:r w:rsidRPr="00DC1A5F">
        <w:rPr>
          <w:i/>
          <w:iCs/>
        </w:rPr>
        <w:t xml:space="preserve"> </w:t>
      </w:r>
      <w:proofErr w:type="spellStart"/>
      <w:r w:rsidRPr="00DC1A5F">
        <w:rPr>
          <w:i/>
          <w:iCs/>
        </w:rPr>
        <w:t>natthi</w:t>
      </w:r>
      <w:proofErr w:type="spellEnd"/>
      <w:r w:rsidRPr="00DC1A5F">
        <w:t xml:space="preserve">. La </w:t>
      </w:r>
      <w:proofErr w:type="spellStart"/>
      <w:r w:rsidRPr="00DC1A5F">
        <w:t>Ae</w:t>
      </w:r>
      <w:proofErr w:type="spellEnd"/>
      <w:r w:rsidRPr="00DC1A5F">
        <w:rPr>
          <w:i/>
          <w:iCs/>
        </w:rPr>
        <w:t xml:space="preserve"> </w:t>
      </w:r>
      <w:r w:rsidRPr="00DC1A5F">
        <w:t>omite</w:t>
      </w:r>
      <w:r w:rsidRPr="00DC1A5F">
        <w:rPr>
          <w:i/>
          <w:iCs/>
        </w:rPr>
        <w:t xml:space="preserve"> </w:t>
      </w:r>
      <w:proofErr w:type="spellStart"/>
      <w:r w:rsidRPr="00DC1A5F">
        <w:rPr>
          <w:i/>
          <w:iCs/>
        </w:rPr>
        <w:t>saṅkaro</w:t>
      </w:r>
      <w:proofErr w:type="spellEnd"/>
      <w:r w:rsidRPr="00DC1A5F">
        <w:rPr>
          <w:i/>
          <w:iCs/>
        </w:rPr>
        <w:t xml:space="preserve"> </w:t>
      </w:r>
      <w:proofErr w:type="spellStart"/>
      <w:r w:rsidRPr="00DC1A5F">
        <w:rPr>
          <w:i/>
          <w:iCs/>
        </w:rPr>
        <w:t>natthi</w:t>
      </w:r>
      <w:proofErr w:type="spellEnd"/>
      <w:r w:rsidRPr="00DC1A5F">
        <w:t xml:space="preserve">. La palabra </w:t>
      </w:r>
      <w:proofErr w:type="spellStart"/>
      <w:r w:rsidRPr="00DC1A5F">
        <w:rPr>
          <w:i/>
          <w:iCs/>
        </w:rPr>
        <w:t>saṅkara</w:t>
      </w:r>
      <w:proofErr w:type="spellEnd"/>
      <w:r w:rsidRPr="00DC1A5F">
        <w:t xml:space="preserve"> en el sentido de “confusión” o “error” no figura en el PED; véanse los versos finales del </w:t>
      </w:r>
      <w:proofErr w:type="spellStart"/>
      <w:r w:rsidRPr="00DC1A5F">
        <w:t>Vism</w:t>
      </w:r>
      <w:proofErr w:type="spellEnd"/>
      <w:r w:rsidRPr="00DC1A5F">
        <w:t>, PTS ed., p.711:</w:t>
      </w:r>
    </w:p>
    <w:p w14:paraId="17CAA9BA" w14:textId="77777777" w:rsidR="00597DE2" w:rsidRPr="00DC1A5F" w:rsidRDefault="00597DE2" w:rsidP="00597DE2">
      <w:pPr>
        <w:tabs>
          <w:tab w:val="clear" w:pos="425"/>
        </w:tabs>
        <w:spacing w:after="160"/>
      </w:pPr>
      <w:r w:rsidRPr="00DC1A5F">
        <w:br w:type="page"/>
      </w:r>
    </w:p>
    <w:p w14:paraId="54DE083B" w14:textId="77777777" w:rsidR="00597DE2" w:rsidRPr="00DC1A5F" w:rsidRDefault="00597DE2" w:rsidP="00597DE2"/>
    <w:p w14:paraId="64EE9A18" w14:textId="77777777" w:rsidR="00597DE2" w:rsidRPr="00DC1A5F" w:rsidRDefault="00597DE2" w:rsidP="00597DE2">
      <w:pPr>
        <w:rPr>
          <w:vertAlign w:val="superscript"/>
        </w:rPr>
      </w:pPr>
      <w:r w:rsidRPr="00DC1A5F">
        <w:t xml:space="preserve">59. </w:t>
      </w:r>
      <w:r w:rsidRPr="00DC1A5F">
        <w:tab/>
        <w:t xml:space="preserve">12. La </w:t>
      </w:r>
      <w:r w:rsidRPr="00DC1A5F">
        <w:rPr>
          <w:i/>
          <w:iCs/>
        </w:rPr>
        <w:t>facultad vital</w:t>
      </w:r>
      <w:r w:rsidRPr="00DC1A5F">
        <w:t xml:space="preserve"> posee la característica de sostener diversas clases de la materia consciente. Su función es hacer que se produzcan. Se manifiesta en el establecimiento de su presencia. Su causa próxima son los elementos primarios que han de sustentarse. Y aunque tiene la capacidad consistente de la característica de mantener, etc., sin embargo, sólo mantiene clases de materia coetáneas en el momento de la presencia, como el agua hace con los lotos, etc. Aunque los estados (</w:t>
      </w:r>
      <w:r w:rsidRPr="00DC1A5F">
        <w:rPr>
          <w:i/>
        </w:rPr>
        <w:t>dhamma</w:t>
      </w:r>
      <w:r w:rsidRPr="00DC1A5F">
        <w:t xml:space="preserve">) surgen debido a sus propias condiciones, los mantiene, como una nodriza lo haría con un príncipe. Y ocurren sólo a través de su conexión con los estados que ocurran, como un piloto; no provocará ninguna ocurrencia después de la disolución, debido a su propia ausencia y a lo que haya que hacer que ocurra. No prolongará la presencia en el momento de la disolución porque ella misma se estará disolviendo, como la llama de una lámpara cuando la mecha y el aceite se estén agotando. No obstante, no debe considerarse como destituido del poder de mantener, hacer ocurrir y hacer presente, porque cumplirá cada una de esas funciones en el momento indicado (cf. </w:t>
      </w:r>
      <w:proofErr w:type="spellStart"/>
      <w:r w:rsidRPr="00DC1A5F">
        <w:t>Dhs</w:t>
      </w:r>
      <w:proofErr w:type="spellEnd"/>
      <w:r w:rsidRPr="00DC1A5F">
        <w:t xml:space="preserve"> §635).</w:t>
      </w:r>
      <w:r w:rsidRPr="00DC1A5F">
        <w:rPr>
          <w:vertAlign w:val="superscript"/>
        </w:rPr>
        <w:t>25</w:t>
      </w:r>
    </w:p>
    <w:p w14:paraId="309A82AE" w14:textId="77777777" w:rsidR="00597DE2" w:rsidRPr="00DC1A5F" w:rsidRDefault="00597DE2" w:rsidP="00597DE2"/>
    <w:p w14:paraId="32941FA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78E5C32" w14:textId="77777777" w:rsidR="00597DE2" w:rsidRPr="00DC1A5F" w:rsidRDefault="00597DE2" w:rsidP="00597DE2">
      <w:pPr>
        <w:pStyle w:val="PiedepginaLegal"/>
      </w:pPr>
      <w:r w:rsidRPr="00DC1A5F">
        <w:t>…</w:t>
      </w:r>
    </w:p>
    <w:p w14:paraId="2B73DBE8" w14:textId="77777777" w:rsidR="00597DE2" w:rsidRPr="00DC1A5F" w:rsidRDefault="00597DE2" w:rsidP="00597DE2">
      <w:pPr>
        <w:pStyle w:val="PiedepginaLegal"/>
      </w:pPr>
      <w:r w:rsidRPr="00DC1A5F">
        <w:tab/>
      </w:r>
      <w:r w:rsidRPr="00DC1A5F">
        <w:tab/>
        <w:t xml:space="preserve">“Aunque estas cosas, es decir, la ‘marca... de la feminidad, etc., surjan cada una debido a su propia condición consistente de </w:t>
      </w:r>
      <w:proofErr w:type="spellStart"/>
      <w:r w:rsidRPr="00DC1A5F">
        <w:rPr>
          <w:i/>
        </w:rPr>
        <w:t>kamma</w:t>
      </w:r>
      <w:proofErr w:type="spellEnd"/>
      <w:r w:rsidRPr="00DC1A5F">
        <w:t>, etc., en su mayoría solo lo harán como modos en una continuidad acompañada por la facultad de la feminidad. Y similarmente ‘se manifiesta como una razón para la marca’, etc., se dirá al hacer de la facultad de la feminidad su causa.</w:t>
      </w:r>
    </w:p>
    <w:p w14:paraId="16C822EF" w14:textId="77777777" w:rsidR="00597DE2" w:rsidRPr="00DC1A5F" w:rsidRDefault="00597DE2" w:rsidP="00597DE2">
      <w:pPr>
        <w:pStyle w:val="PiedepginaLegal"/>
      </w:pPr>
      <w:r w:rsidRPr="00DC1A5F">
        <w:tab/>
      </w:r>
      <w:r w:rsidRPr="00DC1A5F">
        <w:tab/>
        <w:t>“Con respecto a la ‘marca de la feminidad’, etc., también, su ‘facultad’ se enuncia como predominio, en otras palabras, como un estado de causa, porque las condiciones para la materia modal (</w:t>
      </w:r>
      <w:proofErr w:type="spellStart"/>
      <w:r w:rsidRPr="00DC1A5F">
        <w:rPr>
          <w:i/>
          <w:iCs/>
        </w:rPr>
        <w:t>ākāra</w:t>
      </w:r>
      <w:proofErr w:type="spellEnd"/>
      <w:r w:rsidRPr="00DC1A5F">
        <w:t>–</w:t>
      </w:r>
      <w:r w:rsidRPr="00DC1A5F">
        <w:rPr>
          <w:i/>
        </w:rPr>
        <w:t>rūpa</w:t>
      </w:r>
      <w:r w:rsidRPr="00DC1A5F">
        <w:t>) consistente de la marca de la feminidad, etc., en una continuidad acompañada de facultades no surgirán de otro modo y porque este tipo de materialidad será una condición para la aprehensión de la feminidad. No obstante, debido a que la facultad de la feminidad no generará ni siquiera las instancias materiales en su propio grupo ni las mantendrá o consolidará y como no actuará así para las instancias materiales de otros grupos, no se le denominará en el texto, por lo tanto, facultad, presencia y condición de no–desaparición, como lo es la facultad vital para las instancias materiales de su grupo y como lo es el nutrimento para las instancias materiales de los grupos sucesivos. Y será porque la marca, etc., dependerán de otras condiciones que dondequiera que tengan predominio se encontrará su forma, incluso en la materia muerta y esculpida que se le asemeje. Y así también con la facultad de la masculinidad.</w:t>
      </w:r>
    </w:p>
    <w:p w14:paraId="16F0E186" w14:textId="77777777" w:rsidR="00597DE2" w:rsidRPr="00DC1A5F" w:rsidRDefault="00597DE2" w:rsidP="00597DE2">
      <w:pPr>
        <w:pStyle w:val="PiedepginaLegal"/>
      </w:pPr>
      <w:r w:rsidRPr="00DC1A5F">
        <w:tab/>
      </w:r>
      <w:r w:rsidRPr="00DC1A5F">
        <w:tab/>
        <w:t>“Y dado que estos dos no ocurrirán conjuntamente en una sola continuidad, debido a las palabras, ‘¿Aparecerá la facultad de la masculinidad en alguien en quien surja la facultad de la feminidad? —No’ (</w:t>
      </w:r>
      <w:proofErr w:type="spellStart"/>
      <w:r w:rsidRPr="00DC1A5F">
        <w:rPr>
          <w:i/>
          <w:iCs/>
        </w:rPr>
        <w:t>Yamaka</w:t>
      </w:r>
      <w:proofErr w:type="spellEnd"/>
      <w:r w:rsidRPr="00DC1A5F">
        <w:t xml:space="preserve">), etc., por lo tanto, incluso en un hermafrodita habrá solo uno de ellos en un momento dado (ver también </w:t>
      </w:r>
      <w:proofErr w:type="spellStart"/>
      <w:r w:rsidRPr="00DC1A5F">
        <w:t>Dhs</w:t>
      </w:r>
      <w:proofErr w:type="spellEnd"/>
      <w:r w:rsidRPr="00DC1A5F">
        <w:t>–a 323)” (</w:t>
      </w:r>
      <w:proofErr w:type="spellStart"/>
      <w:r w:rsidRPr="00DC1A5F">
        <w:t>Vism</w:t>
      </w:r>
      <w:proofErr w:type="spellEnd"/>
      <w:r w:rsidRPr="00DC1A5F">
        <w:t>–</w:t>
      </w:r>
      <w:proofErr w:type="spellStart"/>
      <w:r w:rsidRPr="00DC1A5F">
        <w:t>mhṭ</w:t>
      </w:r>
      <w:proofErr w:type="spellEnd"/>
      <w:r w:rsidRPr="00DC1A5F">
        <w:t xml:space="preserve"> 448).</w:t>
      </w:r>
    </w:p>
    <w:p w14:paraId="32089C16" w14:textId="77777777" w:rsidR="00597DE2" w:rsidRPr="00DC1A5F" w:rsidRDefault="00597DE2" w:rsidP="00597DE2">
      <w:pPr>
        <w:pStyle w:val="PiedepginaLegal"/>
        <w:numPr>
          <w:ilvl w:val="0"/>
          <w:numId w:val="3"/>
        </w:numPr>
        <w:tabs>
          <w:tab w:val="clear" w:pos="425"/>
        </w:tabs>
        <w:ind w:left="284"/>
      </w:pPr>
      <w:r w:rsidRPr="00DC1A5F">
        <w:t xml:space="preserve">“Puesto que la facultad vital será en sí misma enteramente surgida del </w:t>
      </w:r>
      <w:proofErr w:type="spellStart"/>
      <w:r w:rsidRPr="00DC1A5F">
        <w:rPr>
          <w:i/>
        </w:rPr>
        <w:t>kamma</w:t>
      </w:r>
      <w:proofErr w:type="spellEnd"/>
      <w:r w:rsidRPr="00DC1A5F">
        <w:t xml:space="preserve">, se establecerá, adoptándola como consiente, que las cosas que deban estar protegidas por ella también serán surgidas del </w:t>
      </w:r>
      <w:proofErr w:type="spellStart"/>
      <w:r w:rsidRPr="00DC1A5F">
        <w:rPr>
          <w:i/>
        </w:rPr>
        <w:t>kamma</w:t>
      </w:r>
      <w:proofErr w:type="spellEnd"/>
      <w:r w:rsidRPr="00DC1A5F">
        <w:t>; por eso no se incluye el término nacido–del–</w:t>
      </w:r>
      <w:proofErr w:type="spellStart"/>
      <w:r w:rsidRPr="00DC1A5F">
        <w:rPr>
          <w:i/>
        </w:rPr>
        <w:t>kamma</w:t>
      </w:r>
      <w:proofErr w:type="spellEnd"/>
      <w:r w:rsidRPr="00DC1A5F">
        <w:t>. Ésta mantendrá como propia esa materia nacida–del–</w:t>
      </w:r>
      <w:proofErr w:type="spellStart"/>
      <w:r w:rsidRPr="00DC1A5F">
        <w:rPr>
          <w:i/>
        </w:rPr>
        <w:t>kamma</w:t>
      </w:r>
      <w:proofErr w:type="spellEnd"/>
      <w:r w:rsidRPr="00DC1A5F">
        <w:t xml:space="preserve"> al ser la causa de su ocurrencia aunque sólo dure un momento; por eso tendrán la característica de mantener diversas clases de materia consciente. Ya que el solo </w:t>
      </w:r>
      <w:proofErr w:type="spellStart"/>
      <w:r w:rsidRPr="00DC1A5F">
        <w:rPr>
          <w:i/>
        </w:rPr>
        <w:t>kamma</w:t>
      </w:r>
      <w:proofErr w:type="spellEnd"/>
      <w:r w:rsidRPr="00DC1A5F">
        <w:t xml:space="preserve"> no será competente para ser la causa de la presencia de las cosas nacidas–del–</w:t>
      </w:r>
      <w:proofErr w:type="spellStart"/>
      <w:r w:rsidRPr="00DC1A5F">
        <w:rPr>
          <w:i/>
        </w:rPr>
        <w:t>kamma</w:t>
      </w:r>
      <w:proofErr w:type="spellEnd"/>
      <w:r w:rsidRPr="00DC1A5F">
        <w:t>, como el nutrimento, etc., lo son para lo nacido–del–nutrimento. ¿Por qué? Porque ya no existirá en ese momento.</w:t>
      </w:r>
    </w:p>
    <w:p w14:paraId="0F58B9A2" w14:textId="77777777" w:rsidR="00597DE2" w:rsidRPr="00DC1A5F" w:rsidRDefault="00597DE2" w:rsidP="00597DE2">
      <w:pPr>
        <w:pStyle w:val="PiedepginaLegal"/>
      </w:pPr>
      <w:r w:rsidRPr="00DC1A5F">
        <w:tab/>
      </w:r>
      <w:r w:rsidRPr="00DC1A5F">
        <w:tab/>
        <w:t>“‘Ya que si cumple cada una de esas funciones’: lo hará debido a que será una condición para distinguir lo que se encuentre vivo. Porque será la facultad vital la que distinguirá la materia ligada con las facultades de la materia muerta, la materia nacida–del–</w:t>
      </w:r>
      <w:proofErr w:type="spellStart"/>
      <w:r w:rsidRPr="00DC1A5F">
        <w:rPr>
          <w:i/>
        </w:rPr>
        <w:t>kamma</w:t>
      </w:r>
      <w:proofErr w:type="spellEnd"/>
      <w:r w:rsidRPr="00DC1A5F">
        <w:t xml:space="preserve"> y lo que esté ligado con aquello de la materia que se origine de la temperatura, etc.</w:t>
      </w:r>
      <w:r w:rsidRPr="00DC1A5F">
        <w:br w:type="page"/>
      </w:r>
    </w:p>
    <w:p w14:paraId="59D633D2" w14:textId="77777777" w:rsidR="00597DE2" w:rsidRPr="00DC1A5F" w:rsidRDefault="00597DE2" w:rsidP="00597DE2">
      <w:r w:rsidRPr="00DC1A5F">
        <w:lastRenderedPageBreak/>
        <w:br/>
      </w:r>
    </w:p>
    <w:p w14:paraId="098EF36E" w14:textId="77777777" w:rsidR="00597DE2" w:rsidRPr="00DC1A5F" w:rsidRDefault="00597DE2" w:rsidP="00597DE2">
      <w:pPr>
        <w:rPr>
          <w:vertAlign w:val="superscript"/>
        </w:rPr>
      </w:pPr>
      <w:r w:rsidRPr="00DC1A5F">
        <w:t xml:space="preserve">60. </w:t>
      </w:r>
      <w:r w:rsidRPr="00DC1A5F">
        <w:tab/>
      </w:r>
      <w:r w:rsidRPr="00DC1A5F">
        <w:rPr>
          <w:i/>
          <w:iCs/>
        </w:rPr>
        <w:t>13</w:t>
      </w:r>
      <w:r w:rsidRPr="00DC1A5F">
        <w:t xml:space="preserve">. La </w:t>
      </w:r>
      <w:r w:rsidRPr="00DC1A5F">
        <w:rPr>
          <w:i/>
          <w:iCs/>
        </w:rPr>
        <w:t>base del corazón</w:t>
      </w:r>
      <w:r w:rsidRPr="00DC1A5F">
        <w:t xml:space="preserve"> tiene la característica de ser el soporte (material) para el elemento mental y para el elemento de la consciencia mental. Su función es observarlos. Se manifiesta como portador de ellos. Se encuentra en dependencia con la sangre, del tipo descrito en el tratado sobre la atención plena del cuerpo (VIII.111), dentro del corazón. Es asistido por los primarios en sus funciones de sustentación, etc.; se consolida mediante la temperatura, la consciencia y el nutrimento; es mantenido por la vida; y sirve como base física para el elemento mental y el elemento mental–consciente, y para los estados asociados a ellos.</w:t>
      </w:r>
      <w:r w:rsidRPr="00DC1A5F">
        <w:rPr>
          <w:vertAlign w:val="superscript"/>
        </w:rPr>
        <w:t>26</w:t>
      </w:r>
    </w:p>
    <w:p w14:paraId="4C1D8B4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4749469" w14:textId="77777777" w:rsidR="00597DE2" w:rsidRPr="00DC1A5F" w:rsidRDefault="00597DE2" w:rsidP="00597DE2">
      <w:pPr>
        <w:pStyle w:val="PiedepginaLegal"/>
      </w:pPr>
      <w:r w:rsidRPr="00DC1A5F">
        <w:t>…</w:t>
      </w:r>
    </w:p>
    <w:p w14:paraId="276E386B" w14:textId="77777777" w:rsidR="00597DE2" w:rsidRPr="00DC1A5F" w:rsidRDefault="00597DE2" w:rsidP="00597DE2">
      <w:pPr>
        <w:pStyle w:val="PiedepginaLegal"/>
      </w:pPr>
      <w:r w:rsidRPr="00DC1A5F">
        <w:tab/>
      </w:r>
      <w:r w:rsidRPr="00DC1A5F">
        <w:tab/>
        <w:t>“Y la facultad vital deberá ser considerada como la razón no sólo de la presencia durante un momento sino también durante la no–interrupción de la conexión; de lo contrario, la muerte como terminación de una vida sería ilógica” (</w:t>
      </w:r>
      <w:proofErr w:type="spellStart"/>
      <w:r w:rsidRPr="00DC1A5F">
        <w:t>Vism</w:t>
      </w:r>
      <w:proofErr w:type="spellEnd"/>
      <w:r w:rsidRPr="00DC1A5F">
        <w:t>–</w:t>
      </w:r>
      <w:proofErr w:type="spellStart"/>
      <w:r w:rsidRPr="00DC1A5F">
        <w:t>mhṭ</w:t>
      </w:r>
      <w:proofErr w:type="spellEnd"/>
      <w:r w:rsidRPr="00DC1A5F">
        <w:t xml:space="preserve"> 448).</w:t>
      </w:r>
    </w:p>
    <w:p w14:paraId="4A772428" w14:textId="77777777" w:rsidR="00597DE2" w:rsidRPr="00DC1A5F" w:rsidRDefault="00597DE2" w:rsidP="00597DE2">
      <w:pPr>
        <w:pStyle w:val="PiedepginaLegal"/>
        <w:numPr>
          <w:ilvl w:val="0"/>
          <w:numId w:val="3"/>
        </w:numPr>
        <w:tabs>
          <w:tab w:val="clear" w:pos="425"/>
        </w:tabs>
        <w:ind w:left="284"/>
      </w:pPr>
      <w:r w:rsidRPr="00DC1A5F">
        <w:t>“‘La base del corazón… el soporte para el elemento mental y para el elemento mental–consciente’: ¿cómo se puede saber ello? (i) De las escrituras y (</w:t>
      </w:r>
      <w:proofErr w:type="spellStart"/>
      <w:r w:rsidRPr="00DC1A5F">
        <w:t>ii</w:t>
      </w:r>
      <w:proofErr w:type="spellEnd"/>
      <w:r w:rsidRPr="00DC1A5F">
        <w:t>) del razonamiento lógico.</w:t>
      </w:r>
    </w:p>
    <w:p w14:paraId="57B2F0B7" w14:textId="77777777" w:rsidR="00597DE2" w:rsidRPr="00DC1A5F" w:rsidRDefault="00597DE2" w:rsidP="00597DE2">
      <w:pPr>
        <w:pStyle w:val="PiedepginaLegal"/>
      </w:pPr>
      <w:r w:rsidRPr="00DC1A5F">
        <w:tab/>
      </w:r>
      <w:r w:rsidRPr="00DC1A5F">
        <w:tab/>
        <w:t>“(i) Con respecto a las escrituras es lo siguiente: ‘La materialidad dependiente de la cual ocurran el elemento mental y el elemento mental–consciente será una condición, como condición de soporte, para el elemento mental y el elemento mental–consciente y lo que esté asociado con ellos’ (</w:t>
      </w:r>
      <w:proofErr w:type="spellStart"/>
      <w:r w:rsidRPr="00DC1A5F">
        <w:rPr>
          <w:i/>
          <w:iCs/>
        </w:rPr>
        <w:t>Paṭṭh</w:t>
      </w:r>
      <w:proofErr w:type="spellEnd"/>
      <w:r w:rsidRPr="00DC1A5F">
        <w:t xml:space="preserve"> I.4). Si es así, ¿por qué no se menciona ello en el </w:t>
      </w:r>
      <w:proofErr w:type="spellStart"/>
      <w:r w:rsidRPr="00DC1A5F">
        <w:rPr>
          <w:i/>
          <w:iCs/>
        </w:rPr>
        <w:t>Rūpakaṇḍa</w:t>
      </w:r>
      <w:proofErr w:type="spellEnd"/>
      <w:r w:rsidRPr="00DC1A5F">
        <w:t xml:space="preserve"> del </w:t>
      </w:r>
      <w:proofErr w:type="spellStart"/>
      <w:r w:rsidRPr="00DC1A5F">
        <w:rPr>
          <w:i/>
          <w:iCs/>
        </w:rPr>
        <w:t>Dhammasaṅgaṇi</w:t>
      </w:r>
      <w:proofErr w:type="spellEnd"/>
      <w:r w:rsidRPr="00DC1A5F">
        <w:t>? (</w:t>
      </w:r>
      <w:proofErr w:type="spellStart"/>
      <w:r w:rsidRPr="00DC1A5F">
        <w:t>Dhs</w:t>
      </w:r>
      <w:proofErr w:type="spellEnd"/>
      <w:r w:rsidRPr="00DC1A5F">
        <w:t xml:space="preserve"> §583ff.). No se menciona allí por otra razón. ¿Cuál es esa razón? En virtud de la no–inconsistencia de la enseñanza. Pues mientras que la consciencia del ojo, el oído, etc., poseen al ojo, al oído, etc., como sus respectivos soportes, absolutamente, la consciencia de la mente no tiene de la misma manera la base del corazón como su soporte absoluto. Y la enseñanza de la díada de la base física (</w:t>
      </w:r>
      <w:proofErr w:type="spellStart"/>
      <w:r w:rsidRPr="00DC1A5F">
        <w:rPr>
          <w:i/>
          <w:iCs/>
        </w:rPr>
        <w:t>vatthu</w:t>
      </w:r>
      <w:proofErr w:type="spellEnd"/>
      <w:r w:rsidRPr="00DC1A5F">
        <w:t>–</w:t>
      </w:r>
      <w:proofErr w:type="spellStart"/>
      <w:r w:rsidRPr="00DC1A5F">
        <w:rPr>
          <w:i/>
          <w:iCs/>
        </w:rPr>
        <w:t>duka</w:t>
      </w:r>
      <w:proofErr w:type="spellEnd"/>
      <w:r w:rsidRPr="00DC1A5F">
        <w:t>) se da a través del soporte material, así: ‘Existe la materia, base física de la consciencia del ojo, existe la materia, no base física de la consciencia del ojo’, etc. (</w:t>
      </w:r>
      <w:proofErr w:type="spellStart"/>
      <w:r w:rsidRPr="00DC1A5F">
        <w:t>Dhs</w:t>
      </w:r>
      <w:proofErr w:type="spellEnd"/>
      <w:r w:rsidRPr="00DC1A5F">
        <w:t xml:space="preserve"> §585); y si las díadas se establecieran por medio de lo que tenga la base del corazón absolutamente como su soporte así, ‘Existe la materia, base física de la consciencia de la mente’ etc., entonces los objetos díadas (</w:t>
      </w:r>
      <w:proofErr w:type="spellStart"/>
      <w:r w:rsidRPr="00DC1A5F">
        <w:rPr>
          <w:i/>
          <w:iCs/>
        </w:rPr>
        <w:t>ārammaṇa</w:t>
      </w:r>
      <w:proofErr w:type="spellEnd"/>
      <w:r w:rsidRPr="00DC1A5F">
        <w:t>–</w:t>
      </w:r>
      <w:proofErr w:type="spellStart"/>
      <w:r w:rsidRPr="00DC1A5F">
        <w:rPr>
          <w:i/>
          <w:iCs/>
        </w:rPr>
        <w:t>duka</w:t>
      </w:r>
      <w:proofErr w:type="spellEnd"/>
      <w:r w:rsidRPr="00DC1A5F">
        <w:t>) no caerían en línea: ya que uno no podría decir: “Existe la materia, objeto de la consciencia mental; existe la materia, no–objeto de la consciencia mental”, carecería de unidad, y el deseo del Maestro consistía en exponer la enseñanza aquí de forma que tuviera unidad. Por eso no se menciona la base del corazón, no porque sea inaprensible.</w:t>
      </w:r>
    </w:p>
    <w:p w14:paraId="06C982B0" w14:textId="77777777" w:rsidR="00597DE2" w:rsidRPr="00DC1A5F" w:rsidRDefault="00597DE2" w:rsidP="00597DE2">
      <w:pPr>
        <w:pStyle w:val="PiedepginaLegal"/>
      </w:pPr>
      <w:r w:rsidRPr="00DC1A5F">
        <w:tab/>
      </w:r>
      <w:r w:rsidRPr="00DC1A5F">
        <w:tab/>
        <w:t>“(</w:t>
      </w:r>
      <w:proofErr w:type="spellStart"/>
      <w:r w:rsidRPr="00DC1A5F">
        <w:t>ii</w:t>
      </w:r>
      <w:proofErr w:type="spellEnd"/>
      <w:r w:rsidRPr="00DC1A5F">
        <w:t>) No obstante, del razonamiento lógico deberá entenderse así. En el devenir de los cinco constituyentes, [es decir, en la esfera sensorial y la esfera de la materia sutil], estos dos elementos tienen como soporte producido (</w:t>
      </w:r>
      <w:proofErr w:type="spellStart"/>
      <w:r w:rsidRPr="00DC1A5F">
        <w:rPr>
          <w:i/>
          <w:iCs/>
        </w:rPr>
        <w:t>nipphanna</w:t>
      </w:r>
      <w:proofErr w:type="spellEnd"/>
      <w:r w:rsidRPr="00DC1A5F">
        <w:t xml:space="preserve">) a la materia derivada. Al respecto, dado que la base de los objetos visibles, etc., y la esencia nutritiva se encuentran al margen de lo que esté ligado a las facultades, sería ilógico convertirlos en si soporte. Y dado que estos dos elementos se encuentran en una continuidad que está desprovista de facultades de feminidad y masculinidad [es decir, en el mundo </w:t>
      </w:r>
      <w:r w:rsidRPr="00DC1A5F">
        <w:rPr>
          <w:i/>
        </w:rPr>
        <w:t>Brahmā</w:t>
      </w:r>
      <w:r w:rsidRPr="00DC1A5F">
        <w:t xml:space="preserve">], convertirlos en su soporte también sería ilógico. Y en el caso de la facultad vital, ésta </w:t>
      </w:r>
      <w:proofErr w:type="gramStart"/>
      <w:r w:rsidRPr="00DC1A5F">
        <w:t>tendría que tener</w:t>
      </w:r>
      <w:proofErr w:type="gramEnd"/>
      <w:r w:rsidRPr="00DC1A5F">
        <w:t xml:space="preserve"> otra función, por lo que hacerla su soporte sería también ilógico. Así que es la base del corazón la que quedará por reconocer como su soporte. Ya que será posible decir que estos dos elementos tienen como su soporte producido una materia derivada, ya que la existencia estará ligada a la materia del devenir de los cinco constituyentes. Se encuentra que todo lo que tenga su existencia ligada a la materia tendrá como su soporte producido a la materia derivada, como lo haría el elemento de la consciencia visual. Y la distinción ‘en el devenir de los cinco constituyentes’ se dará a causa del elemento mente–consciencia; en el devenir de los cuatro constituyentes, [es decir, de la esfera inmaterial] no existirá el elemento mental.</w:t>
      </w:r>
    </w:p>
    <w:p w14:paraId="7BA7441E" w14:textId="77777777" w:rsidR="00597DE2" w:rsidRPr="00DC1A5F" w:rsidRDefault="00597DE2" w:rsidP="00597DE2"/>
    <w:p w14:paraId="5AED3D37" w14:textId="77777777" w:rsidR="00597DE2" w:rsidRPr="00DC1A5F" w:rsidRDefault="00597DE2" w:rsidP="00597DE2">
      <w:pPr>
        <w:tabs>
          <w:tab w:val="clear" w:pos="425"/>
        </w:tabs>
        <w:spacing w:after="160"/>
      </w:pPr>
      <w:r w:rsidRPr="00DC1A5F">
        <w:br w:type="page"/>
      </w:r>
    </w:p>
    <w:p w14:paraId="5A524CCF" w14:textId="77777777" w:rsidR="00597DE2" w:rsidRPr="00DC1A5F" w:rsidRDefault="00597DE2" w:rsidP="00597DE2">
      <w:r w:rsidRPr="00DC1A5F">
        <w:lastRenderedPageBreak/>
        <w:br/>
      </w:r>
    </w:p>
    <w:p w14:paraId="22597545" w14:textId="77777777" w:rsidR="00597DE2" w:rsidRPr="00DC1A5F" w:rsidRDefault="00597DE2" w:rsidP="00597DE2">
      <w:r w:rsidRPr="00DC1A5F">
        <w:t xml:space="preserve">61. </w:t>
      </w:r>
      <w:r w:rsidRPr="00DC1A5F">
        <w:tab/>
      </w:r>
      <w:r w:rsidRPr="00DC1A5F">
        <w:rPr>
          <w:i/>
          <w:iCs/>
        </w:rPr>
        <w:t>14</w:t>
      </w:r>
      <w:r w:rsidRPr="00DC1A5F">
        <w:t xml:space="preserve">. La </w:t>
      </w:r>
      <w:r w:rsidRPr="00DC1A5F">
        <w:rPr>
          <w:i/>
          <w:iCs/>
        </w:rPr>
        <w:t>intimación corporal</w:t>
      </w:r>
      <w:r w:rsidRPr="00DC1A5F">
        <w:t xml:space="preserve"> es el modo (conformación) y la alteración (deformación) del elemento aire originado–en–la–consciencia causante de la ocurrencia de avanzar, etc., cuyo modo y alteración son una condición para la </w:t>
      </w:r>
      <w:proofErr w:type="spellStart"/>
      <w:r w:rsidRPr="00DC1A5F">
        <w:t>rigidización</w:t>
      </w:r>
      <w:proofErr w:type="spellEnd"/>
      <w:r w:rsidRPr="00DC1A5F">
        <w:t xml:space="preserve">, mantenimiento y movimiento del cuerpo material consciente. [448] Su </w:t>
      </w:r>
      <w:r w:rsidRPr="00DC1A5F">
        <w:rPr>
          <w:i/>
          <w:iCs/>
        </w:rPr>
        <w:t>función</w:t>
      </w:r>
      <w:r w:rsidRPr="00DC1A5F">
        <w:t xml:space="preserve"> es mostrar una intención. Se </w:t>
      </w:r>
      <w:r w:rsidRPr="00DC1A5F">
        <w:rPr>
          <w:i/>
          <w:iCs/>
        </w:rPr>
        <w:t>manifiesta</w:t>
      </w:r>
      <w:r w:rsidRPr="00DC1A5F">
        <w:t xml:space="preserve"> como una causa de la excitación corporal. Su </w:t>
      </w:r>
      <w:r w:rsidRPr="00DC1A5F">
        <w:rPr>
          <w:i/>
          <w:iCs/>
        </w:rPr>
        <w:t>causa próxima</w:t>
      </w:r>
      <w:r w:rsidRPr="00DC1A5F">
        <w:t xml:space="preserve"> es el elemento aire originado–en–la–consciencia. No obstante, se le llama “intimación corporal” (</w:t>
      </w:r>
      <w:proofErr w:type="spellStart"/>
      <w:r w:rsidRPr="00DC1A5F">
        <w:rPr>
          <w:i/>
          <w:iCs/>
        </w:rPr>
        <w:t>kāyaviññatti</w:t>
      </w:r>
      <w:proofErr w:type="spellEnd"/>
      <w:r w:rsidRPr="00DC1A5F">
        <w:t>) porque representa la causa de la intimación (</w:t>
      </w:r>
      <w:proofErr w:type="spellStart"/>
      <w:r w:rsidRPr="00DC1A5F">
        <w:rPr>
          <w:i/>
          <w:iCs/>
        </w:rPr>
        <w:t>viññāpana</w:t>
      </w:r>
      <w:proofErr w:type="spellEnd"/>
      <w:r w:rsidRPr="00DC1A5F">
        <w:t xml:space="preserve">) de la intención por medio de la excitación corporal y porque ella misma será </w:t>
      </w:r>
      <w:proofErr w:type="spellStart"/>
      <w:r w:rsidRPr="00DC1A5F">
        <w:t>intimable</w:t>
      </w:r>
      <w:proofErr w:type="spellEnd"/>
      <w:r w:rsidRPr="00DC1A5F">
        <w:t xml:space="preserve"> por el cuerpo, es decir, por esa excitación corporal. Debe entenderse que avanzar, etc., ocurrirán debido al movimiento de los tipos de materia originados por la temperatura, etc., que estarán entrelazados con los tipos de surgimiento de consciencia movidos por esa intimación</w:t>
      </w:r>
      <w:r w:rsidRPr="00DC1A5F">
        <w:rPr>
          <w:vertAlign w:val="superscript"/>
        </w:rPr>
        <w:t>27</w:t>
      </w:r>
      <w:r w:rsidRPr="00DC1A5F">
        <w:t xml:space="preserve"> (Ver </w:t>
      </w:r>
      <w:proofErr w:type="spellStart"/>
      <w:r w:rsidRPr="00DC1A5F">
        <w:t>Dhs</w:t>
      </w:r>
      <w:proofErr w:type="spellEnd"/>
      <w:r w:rsidRPr="00DC1A5F">
        <w:t xml:space="preserve"> § 636).</w:t>
      </w:r>
    </w:p>
    <w:p w14:paraId="5CF4AA4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134B025" w14:textId="77777777" w:rsidR="00597DE2" w:rsidRPr="00DC1A5F" w:rsidRDefault="00597DE2" w:rsidP="00597DE2">
      <w:pPr>
        <w:pStyle w:val="PiedepginaLegal"/>
      </w:pPr>
      <w:r w:rsidRPr="00DC1A5F">
        <w:t>…</w:t>
      </w:r>
    </w:p>
    <w:p w14:paraId="4D56532F" w14:textId="77777777" w:rsidR="00597DE2" w:rsidRPr="00DC1A5F" w:rsidRDefault="00597DE2" w:rsidP="00597DE2">
      <w:pPr>
        <w:pStyle w:val="PiedepginaLegal"/>
      </w:pPr>
      <w:r w:rsidRPr="00DC1A5F">
        <w:tab/>
        <w:t>¿No le seguiría una contradicción del término medio (</w:t>
      </w:r>
      <w:proofErr w:type="spellStart"/>
      <w:r w:rsidRPr="00DC1A5F">
        <w:rPr>
          <w:i/>
          <w:iCs/>
        </w:rPr>
        <w:t>hetu</w:t>
      </w:r>
      <w:proofErr w:type="spellEnd"/>
      <w:r w:rsidRPr="00DC1A5F">
        <w:t>) debido al establecimiento de las facultades como su soporte? No; porque eso se desmentirá por lo que se observe. Ya que estos dos elementos no estarán, como en el caso de la consciencia visual, controlados por la laxitud y la agudeza, etc., de su base física; y por consiguiente no se dice en los textos que tendrán a las facultades como su condición. Por lo tanto, se desmentirá que éstos poseerán a las facultades como su soporte, es decir, que serán controlados por ellas.</w:t>
      </w:r>
    </w:p>
    <w:p w14:paraId="03C20074" w14:textId="77777777" w:rsidR="00597DE2" w:rsidRPr="00DC1A5F" w:rsidRDefault="00597DE2" w:rsidP="00597DE2">
      <w:pPr>
        <w:pStyle w:val="PiedepginaLegal"/>
      </w:pPr>
      <w:r w:rsidRPr="00DC1A5F">
        <w:tab/>
      </w:r>
      <w:r w:rsidRPr="00DC1A5F">
        <w:tab/>
        <w:t xml:space="preserve">“Concediendo que estos dos elementos poseen como soporte a la materia derivada consistente de la base del corazón, ¿cómo se podrá saber que se origina del </w:t>
      </w:r>
      <w:proofErr w:type="spellStart"/>
      <w:r w:rsidRPr="00DC1A5F">
        <w:rPr>
          <w:i/>
        </w:rPr>
        <w:t>kamma</w:t>
      </w:r>
      <w:proofErr w:type="spellEnd"/>
      <w:r w:rsidRPr="00DC1A5F">
        <w:t xml:space="preserve">, que tiene una función invariable y que se encuentra ubicada en el corazón? Podrá decirse que se origina del </w:t>
      </w:r>
      <w:proofErr w:type="spellStart"/>
      <w:r w:rsidRPr="00DC1A5F">
        <w:rPr>
          <w:i/>
        </w:rPr>
        <w:t>kamma</w:t>
      </w:r>
      <w:proofErr w:type="spellEnd"/>
      <w:r w:rsidRPr="00DC1A5F">
        <w:t xml:space="preserve"> porque, como el ojo, corresponderá a la materialidad de una base física; y por eso tendrá una función invariable; ya que será la materialidad de una base física y porque será un soporte para la consciencia, éste es el significado. Se sabe que su ubicación estará allí debido al agotamiento del corazón (</w:t>
      </w:r>
      <w:proofErr w:type="spellStart"/>
      <w:r w:rsidRPr="00DC1A5F">
        <w:rPr>
          <w:i/>
          <w:iCs/>
        </w:rPr>
        <w:t>khijjana</w:t>
      </w:r>
      <w:proofErr w:type="spellEnd"/>
      <w:r w:rsidRPr="00DC1A5F">
        <w:t>) quien pensará en cualquier cosa, recordándola atentamente y dirigiendo toda su mente hacia ella” (</w:t>
      </w:r>
      <w:proofErr w:type="spellStart"/>
      <w:r w:rsidRPr="00DC1A5F">
        <w:t>Vism</w:t>
      </w:r>
      <w:proofErr w:type="spellEnd"/>
      <w:r w:rsidRPr="00DC1A5F">
        <w:t>–</w:t>
      </w:r>
      <w:proofErr w:type="spellStart"/>
      <w:r w:rsidRPr="00DC1A5F">
        <w:t>mhṭ</w:t>
      </w:r>
      <w:proofErr w:type="spellEnd"/>
      <w:r w:rsidRPr="00DC1A5F">
        <w:t xml:space="preserve"> 449–50).</w:t>
      </w:r>
    </w:p>
    <w:p w14:paraId="44981577" w14:textId="77777777" w:rsidR="00597DE2" w:rsidRPr="00DC1A5F" w:rsidRDefault="00597DE2" w:rsidP="00597DE2">
      <w:pPr>
        <w:pStyle w:val="PiedepginaLegal"/>
      </w:pPr>
      <w:r w:rsidRPr="00DC1A5F">
        <w:tab/>
      </w:r>
      <w:r w:rsidRPr="00DC1A5F">
        <w:tab/>
        <w:t xml:space="preserve">La palabra </w:t>
      </w:r>
      <w:proofErr w:type="spellStart"/>
      <w:r w:rsidRPr="00DC1A5F">
        <w:rPr>
          <w:i/>
          <w:iCs/>
        </w:rPr>
        <w:t>hadaya</w:t>
      </w:r>
      <w:proofErr w:type="spellEnd"/>
      <w:r w:rsidRPr="00DC1A5F">
        <w:t xml:space="preserve"> (corazón), utilizada en un sentido puramente mental y no físico, aparece en las definiciones de elemento mental y elemento de la consciencia mental en el </w:t>
      </w:r>
      <w:proofErr w:type="spellStart"/>
      <w:r w:rsidRPr="00DC1A5F">
        <w:t>Vibhaṅga</w:t>
      </w:r>
      <w:proofErr w:type="spellEnd"/>
      <w:r w:rsidRPr="00DC1A5F">
        <w:t xml:space="preserve"> (</w:t>
      </w:r>
      <w:proofErr w:type="spellStart"/>
      <w:r w:rsidRPr="00DC1A5F">
        <w:t>Vibh</w:t>
      </w:r>
      <w:proofErr w:type="spellEnd"/>
      <w:r w:rsidRPr="00DC1A5F">
        <w:t xml:space="preserve"> 88–89). El cerebro (</w:t>
      </w:r>
      <w:proofErr w:type="spellStart"/>
      <w:r w:rsidRPr="00DC1A5F">
        <w:rPr>
          <w:i/>
          <w:iCs/>
        </w:rPr>
        <w:t>matthaluṅga</w:t>
      </w:r>
      <w:proofErr w:type="spellEnd"/>
      <w:r w:rsidRPr="00DC1A5F">
        <w:t xml:space="preserve">), que pareciera haber sido agregado por primera vez como la parte 32 del cuerpo en el </w:t>
      </w:r>
      <w:proofErr w:type="spellStart"/>
      <w:r w:rsidRPr="00DC1A5F">
        <w:rPr>
          <w:i/>
          <w:iCs/>
        </w:rPr>
        <w:t>Paṭisambhidā</w:t>
      </w:r>
      <w:proofErr w:type="spellEnd"/>
      <w:r w:rsidRPr="00DC1A5F">
        <w:t xml:space="preserve"> (</w:t>
      </w:r>
      <w:proofErr w:type="spellStart"/>
      <w:r w:rsidRPr="00DC1A5F">
        <w:rPr>
          <w:i/>
          <w:iCs/>
        </w:rPr>
        <w:t>Paṭis</w:t>
      </w:r>
      <w:proofErr w:type="spellEnd"/>
      <w:r w:rsidRPr="00DC1A5F">
        <w:t xml:space="preserve"> I 7), fue ignorado, y el </w:t>
      </w:r>
      <w:r w:rsidRPr="00DC1A5F">
        <w:rPr>
          <w:i/>
          <w:iCs/>
        </w:rPr>
        <w:t>Visuddhimagga</w:t>
      </w:r>
      <w:r w:rsidRPr="00DC1A5F">
        <w:t xml:space="preserve"> tiene dificultades para encontrarle un lugar. Los </w:t>
      </w:r>
      <w:proofErr w:type="spellStart"/>
      <w:r w:rsidRPr="00DC1A5F">
        <w:rPr>
          <w:i/>
          <w:iCs/>
        </w:rPr>
        <w:t>Piṭakas</w:t>
      </w:r>
      <w:proofErr w:type="spellEnd"/>
      <w:r w:rsidRPr="00DC1A5F">
        <w:t xml:space="preserve"> (por ejemplo, </w:t>
      </w:r>
      <w:proofErr w:type="spellStart"/>
      <w:r w:rsidRPr="00DC1A5F">
        <w:rPr>
          <w:i/>
          <w:iCs/>
        </w:rPr>
        <w:t>Paṭṭh</w:t>
      </w:r>
      <w:proofErr w:type="spellEnd"/>
      <w:r w:rsidRPr="00DC1A5F">
        <w:t xml:space="preserve"> 1,4 citado anteriormente) conectan la mente con la materia del cuerpo sin especificar nada al respecto.</w:t>
      </w:r>
      <w:r w:rsidRPr="00DC1A5F">
        <w:tab/>
      </w:r>
      <w:r w:rsidRPr="00DC1A5F">
        <w:tab/>
      </w:r>
    </w:p>
    <w:p w14:paraId="197C6055" w14:textId="77777777" w:rsidR="00597DE2" w:rsidRPr="00DC1A5F" w:rsidRDefault="00597DE2" w:rsidP="00597DE2">
      <w:pPr>
        <w:pStyle w:val="PiedepginaLegal"/>
        <w:numPr>
          <w:ilvl w:val="0"/>
          <w:numId w:val="3"/>
        </w:numPr>
        <w:tabs>
          <w:tab w:val="clear" w:pos="425"/>
        </w:tabs>
        <w:ind w:left="284"/>
      </w:pPr>
      <w:r w:rsidRPr="00DC1A5F">
        <w:t>“¿Es el modo y la alteración de qué? De los elementos primarios originados–en–la–consciencia que poseerán al elemento aire en exceso de capacidad. ¿cuál será esa capacidad? Corresponderá al estado de ser surgido de la consciencia y al estado de ser materia derivada. O alternativamente, podrá adoptarse como la alteración del modo del elemento aire. Si es así, entonces la intimación sería ilógica como materia derivada, pues no habría materia derivada con un solo elemento primario como soporte, ya que se le refiere como ‘materia derivada de los cuatro grandes primarios’ (M I 53). Eso no es incorrecto. La alteración de uno de los cuatro será la de los cuatro, como en la riqueza compartida entre cuatro. Y el exceso de elemento aire en un grupo material (</w:t>
      </w:r>
      <w:proofErr w:type="spellStart"/>
      <w:r w:rsidRPr="00DC1A5F">
        <w:rPr>
          <w:i/>
          <w:iCs/>
        </w:rPr>
        <w:t>kalāpa</w:t>
      </w:r>
      <w:proofErr w:type="spellEnd"/>
      <w:r w:rsidRPr="00DC1A5F">
        <w:t>) no contradecirá las palabras ‘del elemento aire’; y el exceso estará en la capacidad, no en la cantidad, de lo contrario sería ilógica su inseparabilidad. Según algunos, corresponderá esto sólo al elemento aire. En opinión de ellos, el estado de la materia derivada será inaplicable (</w:t>
      </w:r>
      <w:proofErr w:type="spellStart"/>
      <w:r w:rsidRPr="00DC1A5F">
        <w:rPr>
          <w:i/>
          <w:iCs/>
        </w:rPr>
        <w:t>durupapāda</w:t>
      </w:r>
      <w:proofErr w:type="spellEnd"/>
      <w:r w:rsidRPr="00DC1A5F">
        <w:t>) a la intimación, ya que la alteración de uno no será la de todos. No obstante, este elemento aire será aprehendido por el impulso de la puerta mental que esté próximo a la aprehensión no–</w:t>
      </w:r>
      <w:proofErr w:type="spellStart"/>
      <w:r w:rsidRPr="00DC1A5F">
        <w:t>intimante</w:t>
      </w:r>
      <w:proofErr w:type="spellEnd"/>
      <w:r w:rsidRPr="00DC1A5F">
        <w:t xml:space="preserve"> que estará a su vez próxima a </w:t>
      </w:r>
    </w:p>
    <w:p w14:paraId="53885825" w14:textId="77777777" w:rsidR="00597DE2" w:rsidRPr="00DC1A5F" w:rsidRDefault="00597DE2" w:rsidP="00597DE2">
      <w:pPr>
        <w:pStyle w:val="PiedepginaLegal"/>
        <w:tabs>
          <w:tab w:val="clear" w:pos="425"/>
        </w:tabs>
        <w:ind w:left="-76" w:firstLine="0"/>
      </w:pPr>
      <w:r w:rsidRPr="00DC1A5F">
        <w:t xml:space="preserve"> </w:t>
      </w:r>
      <w:r w:rsidRPr="00DC1A5F">
        <w:br w:type="page"/>
      </w:r>
    </w:p>
    <w:p w14:paraId="30AA7748" w14:textId="77777777" w:rsidR="00597DE2" w:rsidRPr="00DC1A5F" w:rsidRDefault="00597DE2" w:rsidP="00597DE2">
      <w:r w:rsidRPr="00DC1A5F">
        <w:lastRenderedPageBreak/>
        <w:br/>
      </w:r>
    </w:p>
    <w:p w14:paraId="16AED7F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C9F7A77" w14:textId="77777777" w:rsidR="00597DE2" w:rsidRPr="00DC1A5F" w:rsidRDefault="00597DE2" w:rsidP="00597DE2">
      <w:pPr>
        <w:pStyle w:val="PiedepginaLegal"/>
      </w:pPr>
      <w:r w:rsidRPr="00DC1A5F">
        <w:t>…</w:t>
      </w:r>
    </w:p>
    <w:p w14:paraId="1D2A045E" w14:textId="77777777" w:rsidR="00597DE2" w:rsidRPr="00DC1A5F" w:rsidRDefault="00597DE2" w:rsidP="00597DE2">
      <w:pPr>
        <w:pStyle w:val="PiedepginaLegal"/>
      </w:pPr>
      <w:r w:rsidRPr="00DC1A5F">
        <w:tab/>
        <w:t>la aprehensión de la apariencia del desplazamiento en el movimiento de las manos, etc. Existirá cierto tipo de alteración que será independiente de la apariencia de desplazamiento. Y la aprehensión del primero estará al lado de la aprehensión del segundo. ¿Cómo se va a saber eso? Por la aprehensión de la intención. Ya que ninguna aprehensión de la intención, como “Parece que él está haciendo esto”, se encontrará en el caso del movimiento de los árboles, etc., que están desprovistos de intención. No obstante, se encontrará en el caso del movimiento de las manos, etc. Por lo tanto, existirá cierto tipo de alteración que será independiente de la apariencia del movimiento y se conocerá como el “</w:t>
      </w:r>
      <w:proofErr w:type="spellStart"/>
      <w:r w:rsidRPr="00DC1A5F">
        <w:t>intimador</w:t>
      </w:r>
      <w:proofErr w:type="spellEnd"/>
      <w:r w:rsidRPr="00DC1A5F">
        <w:t xml:space="preserve"> de la intención”. También se sabrá por inferencia que la aprehensión de la alteración estará próximo a la aprehensión de la apariencia. así: El </w:t>
      </w:r>
      <w:proofErr w:type="spellStart"/>
      <w:r w:rsidRPr="00DC1A5F">
        <w:t>intimador</w:t>
      </w:r>
      <w:proofErr w:type="spellEnd"/>
      <w:r w:rsidRPr="00DC1A5F">
        <w:t xml:space="preserve"> insinuará el significado a ser intimado sólo cuando sea aprehendido como una causa, no simplemente como presente. Ya que dice al respecto:</w:t>
      </w:r>
    </w:p>
    <w:p w14:paraId="6FF65B85" w14:textId="77777777" w:rsidR="00597DE2" w:rsidRPr="00DC1A5F" w:rsidRDefault="00597DE2" w:rsidP="00597DE2">
      <w:pPr>
        <w:pStyle w:val="PiedepginaLegal"/>
        <w:spacing w:after="0"/>
        <w:ind w:left="1986"/>
        <w:rPr>
          <w:sz w:val="12"/>
          <w:szCs w:val="20"/>
        </w:rPr>
      </w:pPr>
      <w:r w:rsidRPr="00DC1A5F">
        <w:rPr>
          <w:sz w:val="12"/>
          <w:szCs w:val="20"/>
        </w:rPr>
        <w:t>Los sonidos que no hayan entrado en ningún campo objetivo</w:t>
      </w:r>
    </w:p>
    <w:p w14:paraId="5921E132" w14:textId="77777777" w:rsidR="00597DE2" w:rsidRPr="00DC1A5F" w:rsidRDefault="00597DE2" w:rsidP="00597DE2">
      <w:pPr>
        <w:pStyle w:val="PiedepginaLegal"/>
        <w:spacing w:after="0"/>
        <w:ind w:left="1986"/>
        <w:rPr>
          <w:sz w:val="12"/>
          <w:szCs w:val="20"/>
        </w:rPr>
      </w:pPr>
      <w:r w:rsidRPr="00DC1A5F">
        <w:rPr>
          <w:sz w:val="12"/>
          <w:szCs w:val="20"/>
        </w:rPr>
        <w:t xml:space="preserve">No despertarán ningún tipo de significado; </w:t>
      </w:r>
    </w:p>
    <w:p w14:paraId="03C919F4" w14:textId="77777777" w:rsidR="00597DE2" w:rsidRPr="00DC1A5F" w:rsidRDefault="00597DE2" w:rsidP="00597DE2">
      <w:pPr>
        <w:pStyle w:val="PiedepginaLegal"/>
        <w:spacing w:after="0"/>
        <w:ind w:left="1986"/>
        <w:rPr>
          <w:sz w:val="12"/>
          <w:szCs w:val="20"/>
        </w:rPr>
      </w:pPr>
      <w:r w:rsidRPr="00DC1A5F">
        <w:rPr>
          <w:sz w:val="12"/>
          <w:szCs w:val="20"/>
        </w:rPr>
        <w:t>Y también los seres simplemente reconocidos</w:t>
      </w:r>
    </w:p>
    <w:p w14:paraId="54F55080" w14:textId="77777777" w:rsidR="00597DE2" w:rsidRPr="00DC1A5F" w:rsidRDefault="00597DE2" w:rsidP="00597DE2">
      <w:pPr>
        <w:pStyle w:val="PiedepginaLegal"/>
        <w:ind w:left="1986"/>
      </w:pPr>
      <w:r w:rsidRPr="00DC1A5F">
        <w:rPr>
          <w:sz w:val="12"/>
          <w:szCs w:val="20"/>
        </w:rPr>
        <w:t>Como tales, tampoco transmitirán ningún significado</w:t>
      </w:r>
      <w:r w:rsidRPr="00DC1A5F">
        <w:t>.</w:t>
      </w:r>
    </w:p>
    <w:p w14:paraId="621E1471" w14:textId="77777777" w:rsidR="00597DE2" w:rsidRPr="00DC1A5F" w:rsidRDefault="00597DE2" w:rsidP="00597DE2">
      <w:pPr>
        <w:pStyle w:val="PiedepginaLegal"/>
      </w:pPr>
      <w:r w:rsidRPr="00DC1A5F">
        <w:tab/>
      </w:r>
      <w:r w:rsidRPr="00DC1A5F">
        <w:tab/>
        <w:t>“Si solo la aprehensión de la alteración fuese la razón para la aprehensión de la intensión, ¿por qué no se manifiesta la aprehensión de la intimación en la comunicación no aprehendida (</w:t>
      </w:r>
      <w:proofErr w:type="spellStart"/>
      <w:r w:rsidRPr="00DC1A5F">
        <w:rPr>
          <w:i/>
          <w:iCs/>
        </w:rPr>
        <w:t>saṅketa</w:t>
      </w:r>
      <w:proofErr w:type="spellEnd"/>
      <w:r w:rsidRPr="00DC1A5F">
        <w:t>)ī? No es solo la aprehensión de la alteración razón para la aprehensión de la intención; por el contrario, debería entenderse que la aprehensión de la conexión previamente establecida será el soporte decisivo de ésta. El endurecimiento, la sustentación y el movimiento se deberán al elemento aire asociado con la alteración perteneciente a la intimación, es lo que se dice al respecto. ¿Qué?, ¿es el elemento aire el que hace todas esas cosas? No es así. Ya que es el elemento aire originado por el séptimo impulso el que, al adquirir como sus condiciones de refuerzo los elementos aire originados por los impulsos anteriores, desplazará la materia originada–en–la–consciencia al actuar como causa de su aparición sucesiva en lugares adyacentes, (</w:t>
      </w:r>
      <w:proofErr w:type="spellStart"/>
      <w:r w:rsidRPr="00DC1A5F">
        <w:rPr>
          <w:i/>
          <w:iCs/>
        </w:rPr>
        <w:t>desantaruppatti</w:t>
      </w:r>
      <w:proofErr w:type="spellEnd"/>
      <w:r w:rsidRPr="00DC1A5F">
        <w:t xml:space="preserve">—cf. Capítulo VIII, n.54) no los otros elementos. Los otros, sin embargo, lo asistirán rigidizando y sosteniendo, siendo el surgimiento sucesivo en lugares adyacentes el movimiento mismo. Así que la instrumentalidad deberá darse por atribuida cuando surja el signo del movimiento; de lo contrario no existirá desinterés y momentaneidad de los </w:t>
      </w:r>
      <w:r w:rsidRPr="00DC1A5F">
        <w:rPr>
          <w:i/>
        </w:rPr>
        <w:t>dhamma</w:t>
      </w:r>
      <w:r w:rsidRPr="00DC1A5F">
        <w:t xml:space="preserve">s. Y aquí el carro que deberá ser tirado por siete yugos se da como símil en el </w:t>
      </w:r>
      <w:r w:rsidRPr="00DC1A5F">
        <w:rPr>
          <w:i/>
          <w:iCs/>
        </w:rPr>
        <w:t>Comentario</w:t>
      </w:r>
      <w:r w:rsidRPr="00DC1A5F">
        <w:t xml:space="preserve">. No obstante, cuando la materia nacida de la consciencia se mueva, los tipos de materia surgida de la temperatura, del </w:t>
      </w:r>
      <w:proofErr w:type="spellStart"/>
      <w:r w:rsidRPr="00DC1A5F">
        <w:rPr>
          <w:i/>
        </w:rPr>
        <w:t>kamma</w:t>
      </w:r>
      <w:proofErr w:type="spellEnd"/>
      <w:r w:rsidRPr="00DC1A5F">
        <w:t xml:space="preserve"> y los nutrientes también se moverán porque estarán ligados a ella, como un trozo de estiércol seco de vaca arrojado a la corriente de un río.</w:t>
      </w:r>
    </w:p>
    <w:p w14:paraId="37031A01" w14:textId="77777777" w:rsidR="00597DE2" w:rsidRPr="00DC1A5F" w:rsidRDefault="00597DE2" w:rsidP="00597DE2">
      <w:pPr>
        <w:pStyle w:val="PiedepginaLegal"/>
      </w:pPr>
      <w:r w:rsidRPr="00DC1A5F">
        <w:tab/>
      </w:r>
      <w:r w:rsidRPr="00DC1A5F">
        <w:tab/>
        <w:t>“Puesto que se ha dicho que la aprehensión de la intimación es próxima a la aprehensión de la apariencia del movimiento, ¿cómo, pues, el elemento aire mismo, como hacedor del movimiento, se acompaña de la alteración consistente de la intimación? No es así</w:t>
      </w:r>
      <w:r w:rsidRPr="00DC1A5F">
        <w:rPr>
          <w:color w:val="auto"/>
        </w:rPr>
        <w:t>. Son los elementos aire originados por la primera impulsión, etc., y los que serán incapaces de causar movimiento de esa manera y solo realizar endurecimiento y mantenimiento, los que deberán adoptarse como solo acompañados por la alteración perteneciente a la intimación. Ya que es la alteración coexistente con la intención lo que corresponderá a la intimación, debido a que dará lugar a la alteración en cualquier dirección que desee causar la ocurrencia de avanzar, etc. Tomándolo de esta manera, es perfectamente lógico decir que el origen de la intimación pertenecerá a la advertencia de la puerta mental</w:t>
      </w:r>
      <w:r w:rsidRPr="00DC1A5F">
        <w:t xml:space="preserve">. </w:t>
      </w:r>
      <w:r w:rsidRPr="00DC1A5F">
        <w:rPr>
          <w:color w:val="833C0B" w:themeColor="accent2" w:themeShade="80"/>
        </w:rPr>
        <w:t>Dado que la intención que se posea de la alteración antedicha se insinúa a través de la aprehensión de esa alteración, se dirá que “Su función es exponer a la intención”. Siendo el elemento aire la causa del movimiento de la intimación corporal, se dirá figurativamente, como estado de alteración, que es ‘manifestado como causa del movimiento corporal’.</w:t>
      </w:r>
      <w:r w:rsidRPr="00DC1A5F">
        <w:t xml:space="preserve"> Se dice ‘Su causa próxima será el elemento aire de la consciencia originado’ ya que la función excesiva del elemento aire será la causa de la intención </w:t>
      </w:r>
      <w:proofErr w:type="spellStart"/>
      <w:r w:rsidRPr="00DC1A5F">
        <w:t>íntimante</w:t>
      </w:r>
      <w:proofErr w:type="spellEnd"/>
      <w:r w:rsidRPr="00DC1A5F">
        <w:t xml:space="preserve"> para el movimiento corporal” (</w:t>
      </w:r>
      <w:proofErr w:type="spellStart"/>
      <w:r w:rsidRPr="00DC1A5F">
        <w:t>Vism</w:t>
      </w:r>
      <w:proofErr w:type="spellEnd"/>
      <w:r w:rsidRPr="00DC1A5F">
        <w:t>–</w:t>
      </w:r>
      <w:proofErr w:type="spellStart"/>
      <w:r w:rsidRPr="00DC1A5F">
        <w:t>mhṭ</w:t>
      </w:r>
      <w:proofErr w:type="spellEnd"/>
      <w:r w:rsidRPr="00DC1A5F">
        <w:t xml:space="preserve"> 450–52). Cf. </w:t>
      </w:r>
      <w:proofErr w:type="spellStart"/>
      <w:r w:rsidRPr="00DC1A5F">
        <w:t>Dhs</w:t>
      </w:r>
      <w:proofErr w:type="spellEnd"/>
      <w:r w:rsidRPr="00DC1A5F">
        <w:t>–a 83f.</w:t>
      </w:r>
    </w:p>
    <w:p w14:paraId="0D0961DF" w14:textId="77777777" w:rsidR="00597DE2" w:rsidRPr="00DC1A5F" w:rsidRDefault="00597DE2" w:rsidP="00597DE2">
      <w:pPr>
        <w:jc w:val="center"/>
        <w:rPr>
          <w:i/>
          <w:iCs/>
        </w:rPr>
      </w:pPr>
    </w:p>
    <w:p w14:paraId="3BFC62C2" w14:textId="77777777" w:rsidR="00597DE2" w:rsidRPr="00DC1A5F" w:rsidRDefault="00597DE2" w:rsidP="00597DE2">
      <w:pPr>
        <w:tabs>
          <w:tab w:val="clear" w:pos="425"/>
        </w:tabs>
        <w:spacing w:after="160"/>
      </w:pPr>
      <w:r w:rsidRPr="00DC1A5F">
        <w:br w:type="page"/>
      </w:r>
    </w:p>
    <w:p w14:paraId="5C656F89" w14:textId="77777777" w:rsidR="00597DE2" w:rsidRPr="00DC1A5F" w:rsidRDefault="00597DE2" w:rsidP="00597DE2">
      <w:pPr>
        <w:tabs>
          <w:tab w:val="clear" w:pos="425"/>
        </w:tabs>
        <w:spacing w:after="160"/>
      </w:pPr>
    </w:p>
    <w:p w14:paraId="3A74CA6A" w14:textId="77777777" w:rsidR="00597DE2" w:rsidRPr="00DC1A5F" w:rsidRDefault="00597DE2" w:rsidP="00597DE2">
      <w:r w:rsidRPr="00DC1A5F">
        <w:t xml:space="preserve">62. </w:t>
      </w:r>
      <w:r w:rsidRPr="00DC1A5F">
        <w:tab/>
      </w:r>
      <w:r w:rsidRPr="00DC1A5F">
        <w:rPr>
          <w:i/>
          <w:iCs/>
        </w:rPr>
        <w:t>15.</w:t>
      </w:r>
      <w:r w:rsidRPr="00DC1A5F">
        <w:t xml:space="preserve"> La </w:t>
      </w:r>
      <w:r w:rsidRPr="00DC1A5F">
        <w:rPr>
          <w:i/>
          <w:iCs/>
        </w:rPr>
        <w:t>intimación verbal</w:t>
      </w:r>
      <w:r w:rsidRPr="00DC1A5F">
        <w:t xml:space="preserve"> es el modo (conformación) y la alteración (deformación) del elemento tierra originado en la consciencia causante de la ocurrencia de un lenguaje expresivo, cuyo modo y alteración representen una condición para el impacto de la materia adherida.</w:t>
      </w:r>
      <w:r w:rsidRPr="00DC1A5F">
        <w:rPr>
          <w:vertAlign w:val="superscript"/>
        </w:rPr>
        <w:t>28</w:t>
      </w:r>
      <w:r w:rsidRPr="00DC1A5F">
        <w:t xml:space="preserve"> Su </w:t>
      </w:r>
      <w:r w:rsidRPr="00DC1A5F">
        <w:rPr>
          <w:i/>
          <w:iCs/>
        </w:rPr>
        <w:t>función</w:t>
      </w:r>
      <w:r w:rsidRPr="00DC1A5F">
        <w:t xml:space="preserve"> es mostrar la intención. Se </w:t>
      </w:r>
      <w:r w:rsidRPr="00DC1A5F">
        <w:rPr>
          <w:i/>
          <w:iCs/>
        </w:rPr>
        <w:t>manifiesta</w:t>
      </w:r>
      <w:r w:rsidRPr="00DC1A5F">
        <w:t xml:space="preserve"> como la causa de la voz en el lenguaje. Su </w:t>
      </w:r>
      <w:r w:rsidRPr="00DC1A5F">
        <w:rPr>
          <w:i/>
          <w:iCs/>
        </w:rPr>
        <w:t>causa próxima</w:t>
      </w:r>
      <w:r w:rsidRPr="00DC1A5F">
        <w:t xml:space="preserve"> es el elemento tierra originado en la consciencia. No obstante, se llama “intimación verbal” porque corresponderá a la causa de la insinuación de la intención por medio de la voz en el lenguaje y porque ella misma será </w:t>
      </w:r>
      <w:proofErr w:type="spellStart"/>
      <w:r w:rsidRPr="00DC1A5F">
        <w:t>intimable</w:t>
      </w:r>
      <w:proofErr w:type="spellEnd"/>
      <w:r w:rsidRPr="00DC1A5F">
        <w:t xml:space="preserve"> por el lenguaje, es decir, por esa voz en el lenguaje. Porque, así como, al ver un signo del agua consistente de cráneo de un buey, etc., colgado en el bosque, se insinúa que “aquí hay agua”, así también, al notar la vibración corporal o la voz en el lenguaje, ellos intiman.</w:t>
      </w:r>
      <w:r w:rsidRPr="00DC1A5F">
        <w:rPr>
          <w:vertAlign w:val="superscript"/>
        </w:rPr>
        <w:t>29</w:t>
      </w:r>
      <w:r w:rsidRPr="00DC1A5F">
        <w:t xml:space="preserve"> (Ver </w:t>
      </w:r>
      <w:proofErr w:type="spellStart"/>
      <w:r w:rsidRPr="00DC1A5F">
        <w:t>Dhs</w:t>
      </w:r>
      <w:proofErr w:type="spellEnd"/>
      <w:r w:rsidRPr="00DC1A5F">
        <w:t xml:space="preserve"> §637.)</w:t>
      </w:r>
    </w:p>
    <w:p w14:paraId="2D8610B6" w14:textId="77777777" w:rsidR="00597DE2" w:rsidRPr="00DC1A5F" w:rsidRDefault="00597DE2" w:rsidP="00597DE2">
      <w:r w:rsidRPr="00DC1A5F">
        <w:t xml:space="preserve">63. </w:t>
      </w:r>
      <w:r w:rsidRPr="00DC1A5F">
        <w:tab/>
      </w:r>
      <w:r w:rsidRPr="00DC1A5F">
        <w:rPr>
          <w:i/>
          <w:iCs/>
        </w:rPr>
        <w:t>16</w:t>
      </w:r>
      <w:r w:rsidRPr="00DC1A5F">
        <w:t xml:space="preserve">. El </w:t>
      </w:r>
      <w:r w:rsidRPr="00DC1A5F">
        <w:rPr>
          <w:i/>
          <w:iCs/>
        </w:rPr>
        <w:t>elemento espacio</w:t>
      </w:r>
      <w:r w:rsidRPr="00DC1A5F">
        <w:t xml:space="preserve"> tiene la </w:t>
      </w:r>
      <w:r w:rsidRPr="00DC1A5F">
        <w:rPr>
          <w:i/>
          <w:iCs/>
        </w:rPr>
        <w:t>característica</w:t>
      </w:r>
      <w:r w:rsidRPr="00DC1A5F">
        <w:t xml:space="preserve"> de delimitar la materia. Su </w:t>
      </w:r>
      <w:r w:rsidRPr="00DC1A5F">
        <w:rPr>
          <w:i/>
          <w:iCs/>
        </w:rPr>
        <w:t>función</w:t>
      </w:r>
      <w:r w:rsidRPr="00DC1A5F">
        <w:t xml:space="preserve"> es mostrar los límites de la materia. Se </w:t>
      </w:r>
      <w:r w:rsidRPr="00DC1A5F">
        <w:rPr>
          <w:i/>
          <w:iCs/>
        </w:rPr>
        <w:t>manifiesta</w:t>
      </w:r>
      <w:r w:rsidRPr="00DC1A5F">
        <w:t xml:space="preserve"> como los confines de la materia; o se </w:t>
      </w:r>
      <w:r w:rsidRPr="00DC1A5F">
        <w:rPr>
          <w:i/>
          <w:iCs/>
        </w:rPr>
        <w:t>manifiesta</w:t>
      </w:r>
      <w:r w:rsidRPr="00DC1A5F">
        <w:t xml:space="preserve"> como intocabilidad, como estado de vacío y apertura (cf. </w:t>
      </w:r>
      <w:proofErr w:type="spellStart"/>
      <w:r w:rsidRPr="00DC1A5F">
        <w:t>Dhs</w:t>
      </w:r>
      <w:proofErr w:type="spellEnd"/>
      <w:r w:rsidRPr="00DC1A5F">
        <w:t xml:space="preserve"> §638). Su </w:t>
      </w:r>
      <w:r w:rsidRPr="00DC1A5F">
        <w:rPr>
          <w:i/>
          <w:iCs/>
        </w:rPr>
        <w:t>causa próxima</w:t>
      </w:r>
      <w:r w:rsidRPr="00DC1A5F">
        <w:t xml:space="preserve"> es la materia delimitada. Y es por eso </w:t>
      </w:r>
      <w:proofErr w:type="gramStart"/>
      <w:r w:rsidRPr="00DC1A5F">
        <w:t>que</w:t>
      </w:r>
      <w:proofErr w:type="gramEnd"/>
      <w:r w:rsidRPr="00DC1A5F">
        <w:t xml:space="preserve"> se puede decir de las cosas materiales delimitadas que “se encuentran arriba, abajo, alrededor, es aquello”.</w:t>
      </w:r>
    </w:p>
    <w:p w14:paraId="0B3BE58B" w14:textId="77777777" w:rsidR="00597DE2" w:rsidRPr="00DC1A5F" w:rsidRDefault="00597DE2" w:rsidP="00597DE2">
      <w:r w:rsidRPr="00DC1A5F">
        <w:t xml:space="preserve">64. </w:t>
      </w:r>
      <w:r w:rsidRPr="00DC1A5F">
        <w:tab/>
      </w:r>
      <w:r w:rsidRPr="00DC1A5F">
        <w:rPr>
          <w:i/>
          <w:iCs/>
        </w:rPr>
        <w:t>17</w:t>
      </w:r>
      <w:r w:rsidRPr="00DC1A5F">
        <w:t xml:space="preserve">. La </w:t>
      </w:r>
      <w:r w:rsidRPr="00DC1A5F">
        <w:rPr>
          <w:i/>
          <w:iCs/>
        </w:rPr>
        <w:t>ligereza de la materia</w:t>
      </w:r>
      <w:r w:rsidRPr="00DC1A5F">
        <w:t xml:space="preserve"> tiene la </w:t>
      </w:r>
      <w:r w:rsidRPr="00DC1A5F">
        <w:rPr>
          <w:i/>
          <w:iCs/>
        </w:rPr>
        <w:t>característica</w:t>
      </w:r>
      <w:r w:rsidRPr="00DC1A5F">
        <w:t xml:space="preserve"> de la no–pesadez. Su </w:t>
      </w:r>
      <w:r w:rsidRPr="00DC1A5F">
        <w:rPr>
          <w:i/>
          <w:iCs/>
        </w:rPr>
        <w:t>función</w:t>
      </w:r>
      <w:r w:rsidRPr="00DC1A5F">
        <w:t xml:space="preserve"> es disipar la pesadez de la materia. Se </w:t>
      </w:r>
      <w:r w:rsidRPr="00DC1A5F">
        <w:rPr>
          <w:i/>
          <w:iCs/>
        </w:rPr>
        <w:t>manifiesta</w:t>
      </w:r>
      <w:r w:rsidRPr="00DC1A5F">
        <w:t xml:space="preserve"> como </w:t>
      </w:r>
      <w:proofErr w:type="spellStart"/>
      <w:r w:rsidRPr="00DC1A5F">
        <w:t>transformabilidad</w:t>
      </w:r>
      <w:proofErr w:type="spellEnd"/>
      <w:r w:rsidRPr="00DC1A5F">
        <w:t xml:space="preserve"> de la ligereza. Su </w:t>
      </w:r>
      <w:r w:rsidRPr="00DC1A5F">
        <w:rPr>
          <w:i/>
          <w:iCs/>
        </w:rPr>
        <w:t>causa próxima</w:t>
      </w:r>
      <w:r w:rsidRPr="00DC1A5F">
        <w:t xml:space="preserve"> es la materia ligera (cf. </w:t>
      </w:r>
      <w:proofErr w:type="spellStart"/>
      <w:r w:rsidRPr="00DC1A5F">
        <w:t>Dhs</w:t>
      </w:r>
      <w:proofErr w:type="spellEnd"/>
      <w:r w:rsidRPr="00DC1A5F">
        <w:t xml:space="preserve"> §639).</w:t>
      </w:r>
    </w:p>
    <w:p w14:paraId="13E1CDA8" w14:textId="77777777" w:rsidR="00597DE2" w:rsidRPr="00DC1A5F" w:rsidRDefault="00597DE2" w:rsidP="00597DE2">
      <w:pPr>
        <w:pStyle w:val="NormalConSangria"/>
      </w:pPr>
      <w:r w:rsidRPr="00DC1A5F">
        <w:tab/>
      </w:r>
      <w:r w:rsidRPr="00DC1A5F">
        <w:rPr>
          <w:i/>
          <w:iCs/>
        </w:rPr>
        <w:t>18</w:t>
      </w:r>
      <w:r w:rsidRPr="00DC1A5F">
        <w:t xml:space="preserve">. La </w:t>
      </w:r>
      <w:r w:rsidRPr="00DC1A5F">
        <w:rPr>
          <w:i/>
          <w:iCs/>
        </w:rPr>
        <w:t>maleabilidad de la materia</w:t>
      </w:r>
      <w:r w:rsidRPr="00DC1A5F">
        <w:t xml:space="preserve"> tiene la </w:t>
      </w:r>
      <w:r w:rsidRPr="00DC1A5F">
        <w:rPr>
          <w:i/>
          <w:iCs/>
        </w:rPr>
        <w:t>característica</w:t>
      </w:r>
      <w:r w:rsidRPr="00DC1A5F">
        <w:t xml:space="preserve"> de la no–rigidez. Su </w:t>
      </w:r>
      <w:r w:rsidRPr="00DC1A5F">
        <w:rPr>
          <w:i/>
          <w:iCs/>
        </w:rPr>
        <w:t>función</w:t>
      </w:r>
      <w:r w:rsidRPr="00DC1A5F">
        <w:t xml:space="preserve"> es disipar la rigidez de la materia. Se </w:t>
      </w:r>
      <w:r w:rsidRPr="00DC1A5F">
        <w:rPr>
          <w:i/>
          <w:iCs/>
        </w:rPr>
        <w:t>manifiesta</w:t>
      </w:r>
      <w:r w:rsidRPr="00DC1A5F">
        <w:t xml:space="preserve"> como no oposición a ningún tipo de deformación. Su </w:t>
      </w:r>
      <w:r w:rsidRPr="00DC1A5F">
        <w:rPr>
          <w:i/>
          <w:iCs/>
        </w:rPr>
        <w:t>causa próxima</w:t>
      </w:r>
      <w:r w:rsidRPr="00DC1A5F">
        <w:t xml:space="preserve"> es la materia maleable (cf. </w:t>
      </w:r>
      <w:proofErr w:type="spellStart"/>
      <w:r w:rsidRPr="00DC1A5F">
        <w:t>Dhs</w:t>
      </w:r>
      <w:proofErr w:type="spellEnd"/>
      <w:r w:rsidRPr="00DC1A5F">
        <w:t xml:space="preserve"> §640).</w:t>
      </w:r>
    </w:p>
    <w:p w14:paraId="589B566F" w14:textId="77777777" w:rsidR="00597DE2" w:rsidRPr="00DC1A5F" w:rsidRDefault="00597DE2" w:rsidP="00597DE2">
      <w:r w:rsidRPr="00DC1A5F">
        <w:tab/>
      </w:r>
      <w:r w:rsidRPr="00DC1A5F">
        <w:rPr>
          <w:i/>
          <w:iCs/>
        </w:rPr>
        <w:t>19</w:t>
      </w:r>
      <w:r w:rsidRPr="00DC1A5F">
        <w:t xml:space="preserve">. </w:t>
      </w:r>
      <w:r w:rsidRPr="00DC1A5F">
        <w:tab/>
        <w:t xml:space="preserve">La </w:t>
      </w:r>
      <w:r w:rsidRPr="00DC1A5F">
        <w:rPr>
          <w:i/>
          <w:iCs/>
        </w:rPr>
        <w:t>manejabilidad de la materia</w:t>
      </w:r>
      <w:r w:rsidRPr="00DC1A5F">
        <w:t xml:space="preserve"> tiene la </w:t>
      </w:r>
      <w:r w:rsidRPr="00DC1A5F">
        <w:rPr>
          <w:i/>
          <w:iCs/>
        </w:rPr>
        <w:t>característica</w:t>
      </w:r>
      <w:r w:rsidRPr="00DC1A5F">
        <w:t xml:space="preserve"> del dominio que sea favorable a la acción corporal. Su </w:t>
      </w:r>
      <w:r w:rsidRPr="00DC1A5F">
        <w:rPr>
          <w:i/>
          <w:iCs/>
        </w:rPr>
        <w:t>función</w:t>
      </w:r>
      <w:r w:rsidRPr="00DC1A5F">
        <w:t xml:space="preserve"> es disipar lo no–dominable. Se </w:t>
      </w:r>
      <w:r w:rsidRPr="00DC1A5F">
        <w:rPr>
          <w:i/>
          <w:iCs/>
        </w:rPr>
        <w:t>manifiesta</w:t>
      </w:r>
      <w:r w:rsidRPr="00DC1A5F">
        <w:t xml:space="preserve"> como no–debilidad. Su </w:t>
      </w:r>
      <w:r w:rsidRPr="00DC1A5F">
        <w:rPr>
          <w:i/>
          <w:iCs/>
        </w:rPr>
        <w:t>causa próxima</w:t>
      </w:r>
      <w:r w:rsidRPr="00DC1A5F">
        <w:t xml:space="preserve"> es la materia dominable (cf. </w:t>
      </w:r>
      <w:proofErr w:type="spellStart"/>
      <w:r w:rsidRPr="00DC1A5F">
        <w:t>Dhs</w:t>
      </w:r>
      <w:proofErr w:type="spellEnd"/>
      <w:r w:rsidRPr="00DC1A5F">
        <w:t xml:space="preserve"> §641).</w:t>
      </w:r>
    </w:p>
    <w:p w14:paraId="5A4FC733" w14:textId="77777777" w:rsidR="00597DE2" w:rsidRPr="00DC1A5F" w:rsidRDefault="00597DE2" w:rsidP="00597DE2">
      <w:r w:rsidRPr="00DC1A5F">
        <w:t xml:space="preserve">65. </w:t>
      </w:r>
      <w:r w:rsidRPr="00DC1A5F">
        <w:tab/>
        <w:t>Estos tres, sin embargo, no se encuentran independientes uno del otro. No obstante, su diferencia puede entenderse como sigue</w:t>
      </w:r>
      <w:r w:rsidRPr="00DC1A5F">
        <w:rPr>
          <w:color w:val="833C0B" w:themeColor="accent2" w:themeShade="80"/>
          <w:spacing w:val="10"/>
          <w:u w:color="000000"/>
        </w:rPr>
        <w:t>.</w:t>
      </w:r>
      <w:r w:rsidRPr="00DC1A5F">
        <w:t xml:space="preserve"> La </w:t>
      </w:r>
      <w:r w:rsidRPr="00DC1A5F">
        <w:rPr>
          <w:i/>
          <w:iCs/>
        </w:rPr>
        <w:t>ligereza de la materia</w:t>
      </w:r>
      <w:r w:rsidRPr="00DC1A5F">
        <w:t xml:space="preserve"> es la alteración de la materia, como cualquier estado </w:t>
      </w:r>
      <w:r w:rsidRPr="00DC1A5F">
        <w:rPr>
          <w:u w:color="000000"/>
        </w:rPr>
        <w:t>ligero</w:t>
      </w:r>
      <w:r w:rsidRPr="00DC1A5F">
        <w:rPr>
          <w:color w:val="FF0000"/>
        </w:rPr>
        <w:t xml:space="preserve"> </w:t>
      </w:r>
      <w:r w:rsidRPr="00DC1A5F">
        <w:t>(ágil) en instancias materiales, como en alguien que esté sano, como cualquier no–pesadez, como cualquier forma de mutabilidad de la ligereza en ellos,</w:t>
      </w:r>
    </w:p>
    <w:p w14:paraId="4199D86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610B2D3" w14:textId="77777777" w:rsidR="00597DE2" w:rsidRPr="00DC1A5F" w:rsidRDefault="00597DE2" w:rsidP="00597DE2">
      <w:pPr>
        <w:pStyle w:val="PiedepginaLegal"/>
        <w:numPr>
          <w:ilvl w:val="0"/>
          <w:numId w:val="3"/>
        </w:numPr>
        <w:tabs>
          <w:tab w:val="clear" w:pos="425"/>
        </w:tabs>
        <w:ind w:left="284"/>
      </w:pPr>
      <w:proofErr w:type="spellStart"/>
      <w:r w:rsidRPr="00DC1A5F">
        <w:rPr>
          <w:i/>
          <w:iCs/>
        </w:rPr>
        <w:t>Vacībheda</w:t>
      </w:r>
      <w:proofErr w:type="spellEnd"/>
      <w:r w:rsidRPr="00DC1A5F">
        <w:t xml:space="preserve">—“expresión verbal”, no se encuentra así en el PED, el cual no asigna este uso de </w:t>
      </w:r>
      <w:proofErr w:type="spellStart"/>
      <w:r w:rsidRPr="00DC1A5F">
        <w:rPr>
          <w:i/>
          <w:iCs/>
        </w:rPr>
        <w:t>bheda</w:t>
      </w:r>
      <w:proofErr w:type="spellEnd"/>
      <w:r w:rsidRPr="00DC1A5F">
        <w:t xml:space="preserve">. El </w:t>
      </w:r>
      <w:proofErr w:type="spellStart"/>
      <w:r w:rsidRPr="00DC1A5F">
        <w:t>Vism</w:t>
      </w:r>
      <w:proofErr w:type="spellEnd"/>
      <w:r w:rsidRPr="00DC1A5F">
        <w:t>–</w:t>
      </w:r>
      <w:proofErr w:type="spellStart"/>
      <w:r w:rsidRPr="00DC1A5F">
        <w:t>mhṭ</w:t>
      </w:r>
      <w:proofErr w:type="spellEnd"/>
      <w:r w:rsidRPr="00DC1A5F">
        <w:t xml:space="preserve"> (pág. 452) lo explica así: “Función (—‘del contacto mutuo) de un mecanismo vocal (—‘aferrarse a la materia’)”.</w:t>
      </w:r>
    </w:p>
    <w:p w14:paraId="09A931B5" w14:textId="77777777" w:rsidR="00597DE2" w:rsidRPr="00DC1A5F" w:rsidRDefault="00597DE2" w:rsidP="00597DE2">
      <w:pPr>
        <w:pStyle w:val="PiedepginaLegal"/>
        <w:numPr>
          <w:ilvl w:val="0"/>
          <w:numId w:val="3"/>
        </w:numPr>
        <w:tabs>
          <w:tab w:val="clear" w:pos="425"/>
        </w:tabs>
        <w:ind w:left="284"/>
      </w:pPr>
      <w:r w:rsidRPr="00DC1A5F">
        <w:rPr>
          <w:color w:val="auto"/>
          <w:u w:color="000000"/>
        </w:rPr>
        <w:t>“La pregunta, ‘¿Éste es el modo y la alteración de qué?’, debe ser tratada de la misma manera que en el caso de la intimación corporal, con esta diferencia: para ‘junto a la aprehensión de la apariencia de movimiento’ sustituir ‘´próximo al oír de un sonido audible.” Y aquí, debido a la ausencia de rigidez, etc., el argumento que comienza con, “Como se trata del elemento aire originado por el séptimo impulso” no se aplicará; porque el sonido surgirá junto con el impacto mutuo y este impacto mutuo solo se aplicará al caso del primer impulso, etc. El contacto mutuo corresponderá al surgimiento de los grupos primarios (</w:t>
      </w:r>
      <w:r w:rsidRPr="00DC1A5F">
        <w:rPr>
          <w:i/>
          <w:iCs/>
          <w:color w:val="auto"/>
          <w:u w:color="000000"/>
        </w:rPr>
        <w:t>bhūta–</w:t>
      </w:r>
      <w:proofErr w:type="spellStart"/>
      <w:r w:rsidRPr="00DC1A5F">
        <w:rPr>
          <w:i/>
          <w:iCs/>
          <w:color w:val="auto"/>
          <w:u w:color="000000"/>
        </w:rPr>
        <w:t>kalāpa</w:t>
      </w:r>
      <w:proofErr w:type="spellEnd"/>
      <w:r w:rsidRPr="00DC1A5F">
        <w:rPr>
          <w:color w:val="auto"/>
          <w:u w:color="000000"/>
        </w:rPr>
        <w:t>) con proximidad entre sí, debido a sus condiciones. El movimiento corresponderá a la progresión del surgimiento sucesivo en lugares adyacentes. Ésta es la diferencia.</w:t>
      </w:r>
      <w:r w:rsidRPr="00DC1A5F">
        <w:t xml:space="preserve"> El contacto mutuo del elemento tierra será paralelo al movimiento del elemento aire en cuanto a su función” (</w:t>
      </w:r>
      <w:proofErr w:type="spellStart"/>
      <w:r w:rsidRPr="00DC1A5F">
        <w:t>Vism</w:t>
      </w:r>
      <w:proofErr w:type="spellEnd"/>
      <w:r w:rsidRPr="00DC1A5F">
        <w:t>–</w:t>
      </w:r>
      <w:proofErr w:type="spellStart"/>
      <w:r w:rsidRPr="00DC1A5F">
        <w:t>mhṭ</w:t>
      </w:r>
      <w:proofErr w:type="spellEnd"/>
      <w:r w:rsidRPr="00DC1A5F">
        <w:t xml:space="preserve"> 452).</w:t>
      </w:r>
    </w:p>
    <w:p w14:paraId="3AE49331" w14:textId="77777777" w:rsidR="00597DE2" w:rsidRPr="00DC1A5F" w:rsidRDefault="00597DE2" w:rsidP="00597DE2">
      <w:pPr>
        <w:tabs>
          <w:tab w:val="clear" w:pos="425"/>
        </w:tabs>
        <w:spacing w:after="160"/>
      </w:pPr>
      <w:r w:rsidRPr="00DC1A5F">
        <w:br w:type="page"/>
      </w:r>
    </w:p>
    <w:p w14:paraId="6DEF9F9B" w14:textId="77777777" w:rsidR="00597DE2" w:rsidRPr="00DC1A5F" w:rsidRDefault="00597DE2" w:rsidP="00597DE2">
      <w:pPr>
        <w:pStyle w:val="Textoindependiente"/>
      </w:pPr>
      <w:r w:rsidRPr="00DC1A5F">
        <w:lastRenderedPageBreak/>
        <w:t xml:space="preserve">que se originará en condiciones que impedirán cualquier perturbación de los elementos capaces de crear pesadez en la materia. La </w:t>
      </w:r>
      <w:r w:rsidRPr="00DC1A5F">
        <w:rPr>
          <w:i/>
          <w:iCs/>
        </w:rPr>
        <w:t>maleabilidad de la materia</w:t>
      </w:r>
      <w:r w:rsidRPr="00DC1A5F">
        <w:t xml:space="preserve"> corresponderá a la alteración de la materia, como cualquier estado maleable en manifestaciones materiales, como en una piel bien tundida, como cualquier manera flexible consistente de la posibilidad de ejercer poder sobre ellos en todo tipo de trabajo sin distinción, que [449] se origina por condiciones que impidan cualquier perturbación de los elementos capaces de crear rigidez en la materia. El </w:t>
      </w:r>
      <w:r w:rsidRPr="00DC1A5F">
        <w:rPr>
          <w:i/>
          <w:iCs/>
        </w:rPr>
        <w:t>dominio de la materia</w:t>
      </w:r>
      <w:r w:rsidRPr="00DC1A5F">
        <w:t xml:space="preserve"> corresponderá a la alteración de la materia tal como en cualquier estado dominable de manifestaciones materiales, como en el oro bien refinado, donde cualquier manera en ellos consiste en el favorecimiento del trabajo del cuerpo, que se origine mediante la propiciación de condiciones que prevengan de cualquier perturbación de los elementos capaces de crear alguna dificultad para el trabajo del cuerpo.</w:t>
      </w:r>
    </w:p>
    <w:p w14:paraId="1CCAF13A" w14:textId="77777777" w:rsidR="00597DE2" w:rsidRPr="00DC1A5F" w:rsidRDefault="00597DE2" w:rsidP="00597DE2">
      <w:r w:rsidRPr="00DC1A5F">
        <w:t xml:space="preserve">66. </w:t>
      </w:r>
      <w:r w:rsidRPr="00DC1A5F">
        <w:tab/>
      </w:r>
      <w:r w:rsidRPr="00DC1A5F">
        <w:rPr>
          <w:i/>
          <w:iCs/>
        </w:rPr>
        <w:t>20</w:t>
      </w:r>
      <w:r w:rsidRPr="00DC1A5F">
        <w:t xml:space="preserve">. El </w:t>
      </w:r>
      <w:r w:rsidRPr="00DC1A5F">
        <w:rPr>
          <w:i/>
          <w:iCs/>
        </w:rPr>
        <w:t>desarrollo de la materia</w:t>
      </w:r>
      <w:r w:rsidRPr="00DC1A5F">
        <w:t xml:space="preserve"> tiene la </w:t>
      </w:r>
      <w:r w:rsidRPr="00DC1A5F">
        <w:rPr>
          <w:i/>
          <w:iCs/>
        </w:rPr>
        <w:t>característica</w:t>
      </w:r>
      <w:r w:rsidRPr="00DC1A5F">
        <w:t xml:space="preserve"> de establecerse. Su </w:t>
      </w:r>
      <w:r w:rsidRPr="00DC1A5F">
        <w:rPr>
          <w:i/>
          <w:iCs/>
        </w:rPr>
        <w:t>función</w:t>
      </w:r>
      <w:r w:rsidRPr="00DC1A5F">
        <w:t xml:space="preserve"> es hacer emerger manifestaciones materiales en primera instancia. Se </w:t>
      </w:r>
      <w:r w:rsidRPr="00DC1A5F">
        <w:rPr>
          <w:i/>
          <w:iCs/>
        </w:rPr>
        <w:t>manifiesta</w:t>
      </w:r>
      <w:r w:rsidRPr="00DC1A5F">
        <w:t xml:space="preserve"> como lanzamiento; o se </w:t>
      </w:r>
      <w:r w:rsidRPr="00DC1A5F">
        <w:rPr>
          <w:i/>
          <w:iCs/>
        </w:rPr>
        <w:t>manifiesta</w:t>
      </w:r>
      <w:r w:rsidRPr="00DC1A5F">
        <w:t xml:space="preserve"> como un estado completo. Su </w:t>
      </w:r>
      <w:r w:rsidRPr="00DC1A5F">
        <w:rPr>
          <w:i/>
          <w:iCs/>
        </w:rPr>
        <w:t>causa próxima</w:t>
      </w:r>
      <w:r w:rsidRPr="00DC1A5F">
        <w:t xml:space="preserve"> es la materia desarrollada.</w:t>
      </w:r>
    </w:p>
    <w:p w14:paraId="3094F18C" w14:textId="77777777" w:rsidR="00597DE2" w:rsidRPr="00DC1A5F" w:rsidRDefault="00597DE2" w:rsidP="00597DE2">
      <w:pPr>
        <w:pStyle w:val="NormalConSangria"/>
      </w:pPr>
      <w:r w:rsidRPr="00DC1A5F">
        <w:tab/>
      </w:r>
      <w:r w:rsidRPr="00DC1A5F">
        <w:rPr>
          <w:i/>
          <w:iCs/>
        </w:rPr>
        <w:t>21</w:t>
      </w:r>
      <w:r w:rsidRPr="00DC1A5F">
        <w:t xml:space="preserve">. La </w:t>
      </w:r>
      <w:r w:rsidRPr="00DC1A5F">
        <w:rPr>
          <w:i/>
          <w:iCs/>
        </w:rPr>
        <w:t>continuidad de la materia</w:t>
      </w:r>
      <w:r w:rsidRPr="00DC1A5F">
        <w:t xml:space="preserve"> tiene la </w:t>
      </w:r>
      <w:r w:rsidRPr="00DC1A5F">
        <w:rPr>
          <w:i/>
          <w:iCs/>
        </w:rPr>
        <w:t>característica</w:t>
      </w:r>
      <w:r w:rsidRPr="00DC1A5F">
        <w:t xml:space="preserve"> de la ocurrencia. Su función es </w:t>
      </w:r>
      <w:r w:rsidRPr="00DC1A5F">
        <w:rPr>
          <w:i/>
          <w:iCs/>
        </w:rPr>
        <w:t>anclar</w:t>
      </w:r>
      <w:r w:rsidRPr="00DC1A5F">
        <w:t xml:space="preserve">. Se </w:t>
      </w:r>
      <w:r w:rsidRPr="00DC1A5F">
        <w:rPr>
          <w:i/>
          <w:iCs/>
        </w:rPr>
        <w:t>manifiesta</w:t>
      </w:r>
      <w:r w:rsidRPr="00DC1A5F">
        <w:t xml:space="preserve"> como no–interrupción. Su </w:t>
      </w:r>
      <w:r w:rsidRPr="00DC1A5F">
        <w:rPr>
          <w:i/>
          <w:iCs/>
        </w:rPr>
        <w:t>causa próxima</w:t>
      </w:r>
      <w:r w:rsidRPr="00DC1A5F">
        <w:t xml:space="preserve"> es la materia que se vaya a anclar.</w:t>
      </w:r>
    </w:p>
    <w:p w14:paraId="5D035988" w14:textId="77777777" w:rsidR="00597DE2" w:rsidRPr="00DC1A5F" w:rsidRDefault="00597DE2" w:rsidP="00597DE2">
      <w:pPr>
        <w:pStyle w:val="NormalConSangria"/>
      </w:pPr>
      <w:r w:rsidRPr="00DC1A5F">
        <w:t>Ambos son términos vinculados con la materia para el momento de su nacimiento; no obstante, debido a la diferencia del modo y a la susceptibilidad de diferentes personas a la instrucción, la enseñanza en resumen (</w:t>
      </w:r>
      <w:proofErr w:type="spellStart"/>
      <w:r w:rsidRPr="00DC1A5F">
        <w:rPr>
          <w:i/>
          <w:iCs/>
        </w:rPr>
        <w:t>uddesa</w:t>
      </w:r>
      <w:proofErr w:type="spellEnd"/>
      <w:r w:rsidRPr="00DC1A5F">
        <w:t xml:space="preserve">) del </w:t>
      </w:r>
      <w:proofErr w:type="spellStart"/>
      <w:r w:rsidRPr="00DC1A5F">
        <w:rPr>
          <w:i/>
          <w:iCs/>
        </w:rPr>
        <w:t>Dhammasaṅgaṇī</w:t>
      </w:r>
      <w:proofErr w:type="spellEnd"/>
      <w:r w:rsidRPr="00DC1A5F">
        <w:t xml:space="preserve"> se expone como “crecimiento y continuidad” (cf. </w:t>
      </w:r>
      <w:proofErr w:type="spellStart"/>
      <w:r w:rsidRPr="00DC1A5F">
        <w:t>Dhs</w:t>
      </w:r>
      <w:proofErr w:type="spellEnd"/>
      <w:r w:rsidRPr="00DC1A5F">
        <w:t xml:space="preserve"> §596); pero como aquí no existe ninguna diferencia de significado, en consecuencia, se dice en la descripción (</w:t>
      </w:r>
      <w:proofErr w:type="spellStart"/>
      <w:r w:rsidRPr="00DC1A5F">
        <w:rPr>
          <w:i/>
          <w:iCs/>
        </w:rPr>
        <w:t>niddesa</w:t>
      </w:r>
      <w:proofErr w:type="spellEnd"/>
      <w:r w:rsidRPr="00DC1A5F">
        <w:t>) de estas palabras “el establecimiento de las bases sensoriales corresponderá al desarrollo de la materia” y “el desarrollo de la materia corresponderá a la continuidad de la materia” (</w:t>
      </w:r>
      <w:proofErr w:type="spellStart"/>
      <w:r w:rsidRPr="00DC1A5F">
        <w:t>Dhs</w:t>
      </w:r>
      <w:proofErr w:type="spellEnd"/>
      <w:r w:rsidRPr="00DC1A5F">
        <w:t xml:space="preserve"> §642, 732, 865).</w:t>
      </w:r>
    </w:p>
    <w:p w14:paraId="648E8FCB" w14:textId="77777777" w:rsidR="00597DE2" w:rsidRPr="00DC1A5F" w:rsidRDefault="00597DE2" w:rsidP="00597DE2">
      <w:r w:rsidRPr="00DC1A5F">
        <w:t xml:space="preserve">67. </w:t>
      </w:r>
      <w:r w:rsidRPr="00DC1A5F">
        <w:tab/>
        <w:t xml:space="preserve">Y en el </w:t>
      </w:r>
      <w:r w:rsidRPr="00DC1A5F">
        <w:rPr>
          <w:i/>
          <w:iCs/>
        </w:rPr>
        <w:t>Comentario</w:t>
      </w:r>
      <w:r w:rsidRPr="00DC1A5F">
        <w:t xml:space="preserve">, después de decir: “Es a la génesis llamada crecimiento del ‘establecimiento’, a lo que se le llama ‘crecimiento’, es a la ocurrencia a lo que se le llama ‘continuidad’”, al respecto, se da este símil: “La génesis como establecimiento es como aquella situación en la que sale agua hacia un hoyo cavado en la orilla de un río; el crecimiento como desarrollo es como el tiempo requerido para el llenado de dicho hoyo; la ocurrencia como continuidad es como el tiempo trascurrido hasta que llega el momento del desborde”. Y al final del símil se dice: “¿Entonces qué es lo que se afirma? El establecimiento es establecido por la base sensorial; la base sensorial es establecida por el establecimiento”. En consecuencia, el primer génesis de las manifestaciones materiales corresponderá a su </w:t>
      </w:r>
      <w:r w:rsidRPr="00DC1A5F">
        <w:rPr>
          <w:i/>
          <w:iCs/>
        </w:rPr>
        <w:t xml:space="preserve">establecimiento; </w:t>
      </w:r>
      <w:r w:rsidRPr="00DC1A5F">
        <w:t xml:space="preserve">la génesis también de otras manifestaciones que se generen además de aquéllas corresponderá a su </w:t>
      </w:r>
      <w:r w:rsidRPr="00DC1A5F">
        <w:rPr>
          <w:i/>
          <w:iCs/>
        </w:rPr>
        <w:t>desarrollo,</w:t>
      </w:r>
      <w:r w:rsidRPr="00DC1A5F">
        <w:t xml:space="preserve"> ya que aparecerá bajo el aspecto de crecimiento; la génesis repetida también de otras manifestaciones que se generen además de aquellas corresponderá a la </w:t>
      </w:r>
      <w:r w:rsidRPr="00DC1A5F">
        <w:rPr>
          <w:i/>
          <w:iCs/>
        </w:rPr>
        <w:t>continuidad</w:t>
      </w:r>
      <w:r w:rsidRPr="00DC1A5F">
        <w:t xml:space="preserve"> ya que aparecerá bajo el aspecto de anclaje. Es así cómo debe entenderse lo que ha sido declarado aquí.</w:t>
      </w:r>
    </w:p>
    <w:p w14:paraId="4C2F5356" w14:textId="77777777" w:rsidR="00597DE2" w:rsidRPr="00DC1A5F" w:rsidRDefault="00597DE2" w:rsidP="00597DE2">
      <w:r w:rsidRPr="00DC1A5F">
        <w:t xml:space="preserve">68. </w:t>
      </w:r>
      <w:r w:rsidRPr="00DC1A5F">
        <w:tab/>
        <w:t xml:space="preserve">22. La </w:t>
      </w:r>
      <w:r w:rsidRPr="00DC1A5F">
        <w:rPr>
          <w:i/>
          <w:iCs/>
        </w:rPr>
        <w:t>vejez</w:t>
      </w:r>
      <w:r w:rsidRPr="00DC1A5F">
        <w:t xml:space="preserve"> tendrá la característica de madurar (madurar) manifestaciones materiales. Su función es conducirla hacia su terminación. Se manifiesta como la pérdida de novedad sin pérdida de esencia individual, como la maduración de un arrozal. Su </w:t>
      </w:r>
      <w:r w:rsidRPr="00DC1A5F">
        <w:rPr>
          <w:i/>
          <w:iCs/>
        </w:rPr>
        <w:t>causa próxima</w:t>
      </w:r>
      <w:r w:rsidRPr="00DC1A5F">
        <w:t xml:space="preserve"> es la materia que esté madurando (envejeciendo). Esto se dice con referencia al tipo de envejecimiento que sea evidente al </w:t>
      </w:r>
      <w:r w:rsidRPr="00DC1A5F">
        <w:rPr>
          <w:i/>
          <w:iCs/>
        </w:rPr>
        <w:t>observar</w:t>
      </w:r>
      <w:r w:rsidRPr="00DC1A5F">
        <w:t xml:space="preserve"> la alteración en los dientes, etc., como su rotura, etc. (cf. </w:t>
      </w:r>
      <w:proofErr w:type="spellStart"/>
      <w:r w:rsidRPr="00DC1A5F">
        <w:t>Dhs</w:t>
      </w:r>
      <w:proofErr w:type="spellEnd"/>
      <w:r w:rsidRPr="00DC1A5F">
        <w:t xml:space="preserve"> §644). No obstante, al de los estados inmateriales, que no posee tal alteración visible, se le llama envejecimiento oculto. Y ello en la tierra, el agua, las rocas, la Luna, el Sol, etc., se le llama envejecimiento incesante. [450]</w:t>
      </w:r>
      <w:r w:rsidRPr="00DC1A5F">
        <w:br w:type="page"/>
      </w:r>
    </w:p>
    <w:p w14:paraId="4E9CD5FE" w14:textId="77777777" w:rsidR="00597DE2" w:rsidRPr="00DC1A5F" w:rsidRDefault="00597DE2" w:rsidP="00597DE2"/>
    <w:p w14:paraId="71CA639C" w14:textId="77777777" w:rsidR="00597DE2" w:rsidRPr="00DC1A5F" w:rsidRDefault="00597DE2" w:rsidP="00597DE2">
      <w:r w:rsidRPr="00DC1A5F">
        <w:t xml:space="preserve">69. </w:t>
      </w:r>
      <w:r w:rsidRPr="00DC1A5F">
        <w:tab/>
        <w:t xml:space="preserve">23. La </w:t>
      </w:r>
      <w:r w:rsidRPr="00DC1A5F">
        <w:rPr>
          <w:i/>
          <w:iCs/>
        </w:rPr>
        <w:t>impermanencia de la materia</w:t>
      </w:r>
      <w:r w:rsidRPr="00DC1A5F">
        <w:t xml:space="preserve"> tendrá la </w:t>
      </w:r>
      <w:r w:rsidRPr="00DC1A5F">
        <w:rPr>
          <w:i/>
          <w:iCs/>
        </w:rPr>
        <w:t>característica</w:t>
      </w:r>
      <w:r w:rsidRPr="00DC1A5F">
        <w:t xml:space="preserve"> de una destrucción completa. Su </w:t>
      </w:r>
      <w:r w:rsidRPr="00DC1A5F">
        <w:rPr>
          <w:i/>
          <w:iCs/>
        </w:rPr>
        <w:t>función</w:t>
      </w:r>
      <w:r w:rsidRPr="00DC1A5F">
        <w:t xml:space="preserve"> será reducir las manifestaciones materiales. Se </w:t>
      </w:r>
      <w:r w:rsidRPr="00DC1A5F">
        <w:rPr>
          <w:i/>
          <w:iCs/>
        </w:rPr>
        <w:t>manifiesta</w:t>
      </w:r>
      <w:r w:rsidRPr="00DC1A5F">
        <w:t xml:space="preserve"> como destrucción y desaparición (cf. </w:t>
      </w:r>
      <w:proofErr w:type="spellStart"/>
      <w:r w:rsidRPr="00DC1A5F">
        <w:t>Dhs</w:t>
      </w:r>
      <w:proofErr w:type="spellEnd"/>
      <w:r w:rsidRPr="00DC1A5F">
        <w:t xml:space="preserve"> §645). Su </w:t>
      </w:r>
      <w:r w:rsidRPr="00DC1A5F">
        <w:rPr>
          <w:i/>
          <w:iCs/>
        </w:rPr>
        <w:t>causa próxima</w:t>
      </w:r>
      <w:r w:rsidRPr="00DC1A5F">
        <w:t xml:space="preserve"> es la materia que se esté deteriorando por completo.</w:t>
      </w:r>
    </w:p>
    <w:p w14:paraId="7C5C5EEA" w14:textId="77777777" w:rsidR="00597DE2" w:rsidRPr="00DC1A5F" w:rsidRDefault="00597DE2" w:rsidP="00597DE2">
      <w:r w:rsidRPr="00DC1A5F">
        <w:t xml:space="preserve">70. </w:t>
      </w:r>
      <w:r w:rsidRPr="00DC1A5F">
        <w:tab/>
        <w:t xml:space="preserve">24. El </w:t>
      </w:r>
      <w:r w:rsidRPr="00DC1A5F">
        <w:rPr>
          <w:i/>
          <w:iCs/>
        </w:rPr>
        <w:t>nutrimento físico</w:t>
      </w:r>
      <w:r w:rsidRPr="00DC1A5F">
        <w:t xml:space="preserve"> posee la </w:t>
      </w:r>
      <w:r w:rsidRPr="00DC1A5F">
        <w:rPr>
          <w:i/>
          <w:iCs/>
        </w:rPr>
        <w:t>característica</w:t>
      </w:r>
      <w:r w:rsidRPr="00DC1A5F">
        <w:t xml:space="preserve"> de la esencia nutritiva. Su </w:t>
      </w:r>
      <w:r w:rsidRPr="00DC1A5F">
        <w:rPr>
          <w:i/>
          <w:iCs/>
        </w:rPr>
        <w:t>función</w:t>
      </w:r>
      <w:r w:rsidRPr="00DC1A5F">
        <w:t xml:space="preserve"> es alimentar diferentes clases de materia. Se </w:t>
      </w:r>
      <w:r w:rsidRPr="00DC1A5F">
        <w:rPr>
          <w:i/>
          <w:iCs/>
        </w:rPr>
        <w:t>manifiesta</w:t>
      </w:r>
      <w:r w:rsidRPr="00DC1A5F">
        <w:t xml:space="preserve"> como consolidación. Su </w:t>
      </w:r>
      <w:r w:rsidRPr="00DC1A5F">
        <w:rPr>
          <w:i/>
          <w:iCs/>
        </w:rPr>
        <w:t>causa próxima</w:t>
      </w:r>
      <w:r w:rsidRPr="00DC1A5F">
        <w:t xml:space="preserve"> es una base física que deba ser alimentada con nutrimento físico. Corresponderá a un término para la esencia nutriente por medio de la cual los seres vivos se sustenten a sí mismos (cf. </w:t>
      </w:r>
      <w:proofErr w:type="spellStart"/>
      <w:r w:rsidRPr="00DC1A5F">
        <w:t>Dhs</w:t>
      </w:r>
      <w:proofErr w:type="spellEnd"/>
      <w:r w:rsidRPr="00DC1A5F">
        <w:t xml:space="preserve"> §646).</w:t>
      </w:r>
    </w:p>
    <w:p w14:paraId="7EB231F6" w14:textId="77777777" w:rsidR="00597DE2" w:rsidRPr="00DC1A5F" w:rsidRDefault="00597DE2" w:rsidP="00597DE2">
      <w:pPr>
        <w:rPr>
          <w:vertAlign w:val="superscript"/>
        </w:rPr>
      </w:pPr>
      <w:r w:rsidRPr="00DC1A5F">
        <w:t xml:space="preserve">71. </w:t>
      </w:r>
      <w:r w:rsidRPr="00DC1A5F">
        <w:tab/>
        <w:t>Estos, en primer lugar, corresponderán a las manifestaciones materiales que se han ido transmitiendo en los textos.</w:t>
      </w:r>
      <w:r w:rsidRPr="00DC1A5F">
        <w:rPr>
          <w:vertAlign w:val="superscript"/>
        </w:rPr>
        <w:t>30</w:t>
      </w:r>
      <w:r w:rsidRPr="00DC1A5F">
        <w:t xml:space="preserve"> No obstante, en el </w:t>
      </w:r>
      <w:r w:rsidRPr="00DC1A5F">
        <w:rPr>
          <w:i/>
          <w:iCs/>
        </w:rPr>
        <w:t>Comentario</w:t>
      </w:r>
      <w:r w:rsidRPr="00DC1A5F">
        <w:t xml:space="preserve"> se han añadido otras manifestaciones como sigue a continuación: materia como poder, materia como procreación, materia como nacimiento, materia como enfermedad; y, en opinión de algunos, materia como letargo.</w:t>
      </w:r>
      <w:r w:rsidRPr="00DC1A5F">
        <w:rPr>
          <w:vertAlign w:val="superscript"/>
        </w:rPr>
        <w:t>31</w:t>
      </w:r>
    </w:p>
    <w:p w14:paraId="1533AD6B" w14:textId="77777777" w:rsidR="00597DE2" w:rsidRPr="00DC1A5F" w:rsidRDefault="00597DE2" w:rsidP="00597DE2">
      <w:pPr>
        <w:pStyle w:val="NormalConSangria"/>
      </w:pPr>
      <w:r w:rsidRPr="00DC1A5F">
        <w:t xml:space="preserve">En primer lugar, la </w:t>
      </w:r>
      <w:r w:rsidRPr="00DC1A5F">
        <w:rPr>
          <w:i/>
          <w:iCs/>
        </w:rPr>
        <w:t>materia como letargo</w:t>
      </w:r>
      <w:r w:rsidRPr="00DC1A5F">
        <w:t xml:space="preserve"> es rechazada como inexistente por las palabras:</w:t>
      </w:r>
    </w:p>
    <w:p w14:paraId="7A90AFDE" w14:textId="77777777" w:rsidR="00597DE2" w:rsidRPr="00DC1A5F" w:rsidRDefault="00597DE2" w:rsidP="00597DE2">
      <w:pPr>
        <w:pStyle w:val="VersoIngls01Sangria"/>
        <w:rPr>
          <w:sz w:val="16"/>
          <w:szCs w:val="20"/>
        </w:rPr>
      </w:pPr>
      <w:r w:rsidRPr="00DC1A5F">
        <w:rPr>
          <w:sz w:val="16"/>
          <w:szCs w:val="20"/>
        </w:rPr>
        <w:t>Seguramente su Reverencia es un sabio iluminado,</w:t>
      </w:r>
    </w:p>
    <w:p w14:paraId="1BB7DB3A" w14:textId="77777777" w:rsidR="00597DE2" w:rsidRPr="00DC1A5F" w:rsidRDefault="00597DE2" w:rsidP="00597DE2">
      <w:pPr>
        <w:pStyle w:val="VersoIngls01Sangria"/>
        <w:spacing w:after="100"/>
        <w:ind w:left="1418"/>
        <w:rPr>
          <w:sz w:val="16"/>
          <w:szCs w:val="20"/>
        </w:rPr>
      </w:pPr>
      <w:r w:rsidRPr="00DC1A5F">
        <w:rPr>
          <w:sz w:val="16"/>
          <w:szCs w:val="20"/>
        </w:rPr>
        <w:t>No existen los obstáculos en su Reverencia (Sn 541).</w:t>
      </w:r>
    </w:p>
    <w:p w14:paraId="7761F20B" w14:textId="77777777" w:rsidR="00597DE2" w:rsidRPr="00DC1A5F" w:rsidRDefault="00597DE2" w:rsidP="00597DE2">
      <w:pPr>
        <w:pStyle w:val="Textoindependiente"/>
      </w:pPr>
      <w:r w:rsidRPr="00DC1A5F">
        <w:t xml:space="preserve">En cuanto al resto, la </w:t>
      </w:r>
      <w:r w:rsidRPr="00DC1A5F">
        <w:rPr>
          <w:i/>
          <w:iCs/>
        </w:rPr>
        <w:t>materia como enfermedad</w:t>
      </w:r>
      <w:r w:rsidRPr="00DC1A5F">
        <w:t xml:space="preserve"> está incluida en el envejecimiento y la impermanencia; la </w:t>
      </w:r>
      <w:r w:rsidRPr="00DC1A5F">
        <w:rPr>
          <w:i/>
          <w:iCs/>
        </w:rPr>
        <w:t>materia como nacimiento</w:t>
      </w:r>
      <w:r w:rsidRPr="00DC1A5F">
        <w:t xml:space="preserve"> en el crecimiento y la continuidad; la </w:t>
      </w:r>
      <w:r w:rsidRPr="00DC1A5F">
        <w:rPr>
          <w:i/>
          <w:iCs/>
        </w:rPr>
        <w:t>materia como procreación</w:t>
      </w:r>
      <w:r w:rsidRPr="00DC1A5F">
        <w:t xml:space="preserve">, está incluida en el elemento agua; y la </w:t>
      </w:r>
      <w:r w:rsidRPr="00DC1A5F">
        <w:rPr>
          <w:i/>
          <w:iCs/>
        </w:rPr>
        <w:t>materia como poder</w:t>
      </w:r>
      <w:r w:rsidRPr="00DC1A5F">
        <w:t xml:space="preserve"> en el elemento aire. Así que adoptados independientemente no existirán ninguno de éstos como manifestación: éste fue el acuerdo al que se llegó.</w:t>
      </w:r>
    </w:p>
    <w:p w14:paraId="038F961F" w14:textId="77777777" w:rsidR="00597DE2" w:rsidRPr="00DC1A5F" w:rsidRDefault="00597DE2" w:rsidP="00597DE2">
      <w:pPr>
        <w:pStyle w:val="NormalConSangria"/>
      </w:pPr>
      <w:r w:rsidRPr="00DC1A5F">
        <w:t>Así que esta materia derivada de 24 clases y la materia antedicha de los elementos primarios, que es de 4 clases, juntas suman 28 clases, ni más ni menos.</w:t>
      </w:r>
    </w:p>
    <w:p w14:paraId="367EDC22" w14:textId="77777777" w:rsidR="00597DE2" w:rsidRPr="00DC1A5F" w:rsidRDefault="00597DE2" w:rsidP="00597DE2">
      <w:r w:rsidRPr="00DC1A5F">
        <w:t xml:space="preserve">72. </w:t>
      </w:r>
      <w:r w:rsidRPr="00DC1A5F">
        <w:tab/>
        <w:t>Y todo ese asunto de 28 clases de materia será de una clase como “sin–causa–raíz, con–raíz–sin–causa, disociado de una causa–raíz, con condiciones, mundanas, sujeto a corrupciones” (</w:t>
      </w:r>
      <w:proofErr w:type="spellStart"/>
      <w:r w:rsidRPr="00DC1A5F">
        <w:t>Dhs</w:t>
      </w:r>
      <w:proofErr w:type="spellEnd"/>
      <w:r w:rsidRPr="00DC1A5F">
        <w:t xml:space="preserve"> §584), etc.</w:t>
      </w:r>
    </w:p>
    <w:p w14:paraId="3BCFD905" w14:textId="77777777" w:rsidR="00597DE2" w:rsidRPr="00DC1A5F" w:rsidRDefault="00597DE2" w:rsidP="00597DE2">
      <w:pPr>
        <w:pStyle w:val="NormalConSangria"/>
      </w:pPr>
      <w:r w:rsidRPr="00DC1A5F">
        <w:t>Y será de 2 clases: como materia interna o externa, densa o sutil, lejana o cercana, producida (</w:t>
      </w:r>
      <w:proofErr w:type="spellStart"/>
      <w:r w:rsidRPr="00DC1A5F">
        <w:rPr>
          <w:i/>
          <w:iCs/>
        </w:rPr>
        <w:t>nipphanna</w:t>
      </w:r>
      <w:proofErr w:type="spellEnd"/>
      <w:r w:rsidRPr="00DC1A5F">
        <w:t>) y no–producida, sensible e insensible, como facultad o no–facultad, adherida o no–adherido, etc.</w:t>
      </w:r>
    </w:p>
    <w:p w14:paraId="2FC57866" w14:textId="77777777" w:rsidR="00597DE2" w:rsidRPr="00DC1A5F" w:rsidRDefault="00597DE2" w:rsidP="00597DE2">
      <w:r w:rsidRPr="00DC1A5F">
        <w:t xml:space="preserve">73. </w:t>
      </w:r>
      <w:r w:rsidRPr="00DC1A5F">
        <w:tab/>
        <w:t xml:space="preserve">Aquí, las 5 clases que comienzan con el ojo será </w:t>
      </w:r>
      <w:r w:rsidRPr="00DC1A5F">
        <w:rPr>
          <w:i/>
          <w:iCs/>
        </w:rPr>
        <w:t>internas</w:t>
      </w:r>
      <w:r w:rsidRPr="00DC1A5F">
        <w:t xml:space="preserve"> porque ocurrirán como una parte integral de la individualidad (de uno mismo); las restantes serán </w:t>
      </w:r>
      <w:r w:rsidRPr="00DC1A5F">
        <w:rPr>
          <w:i/>
          <w:iCs/>
        </w:rPr>
        <w:t>externas</w:t>
      </w:r>
      <w:r w:rsidRPr="00DC1A5F">
        <w:t xml:space="preserve"> porque serán externas a esa individualidad (personalidad). Las 9 que comienzan con el ojo y los 3 elementos excepto el elemento agua, que suman 12 clases en total, deben tomarse como </w:t>
      </w:r>
      <w:r w:rsidRPr="00DC1A5F">
        <w:rPr>
          <w:i/>
          <w:iCs/>
        </w:rPr>
        <w:t xml:space="preserve">densas </w:t>
      </w:r>
      <w:r w:rsidRPr="00DC1A5F">
        <w:t xml:space="preserve">debido a su afectación; las restantes serán </w:t>
      </w:r>
      <w:r w:rsidRPr="00DC1A5F">
        <w:rPr>
          <w:i/>
          <w:iCs/>
        </w:rPr>
        <w:t>sutiles</w:t>
      </w:r>
      <w:r w:rsidRPr="00DC1A5F">
        <w:t xml:space="preserve"> porque serán lo opuesto a ello. La que sea sutil será </w:t>
      </w:r>
      <w:r w:rsidRPr="00DC1A5F">
        <w:rPr>
          <w:i/>
          <w:iCs/>
        </w:rPr>
        <w:t>lejana</w:t>
      </w:r>
      <w:r w:rsidRPr="00DC1A5F">
        <w:t xml:space="preserve"> porque será difícil de penetrar, la otra estará </w:t>
      </w:r>
      <w:r w:rsidRPr="00DC1A5F">
        <w:rPr>
          <w:i/>
          <w:iCs/>
        </w:rPr>
        <w:t>cerca</w:t>
      </w:r>
      <w:r w:rsidRPr="00DC1A5F">
        <w:t xml:space="preserve"> porque será fácil de penetrar. Las 18 clases de la materia, es decir, los 4 elementos, los 13 comenzando por el ojo más el nutrimento físico, son </w:t>
      </w:r>
      <w:r w:rsidRPr="00DC1A5F">
        <w:rPr>
          <w:i/>
          <w:iCs/>
        </w:rPr>
        <w:t>producidas</w:t>
      </w:r>
      <w:r w:rsidRPr="00DC1A5F">
        <w:t xml:space="preserve"> porque se pueden discernir a través de sus propias esencias individuales, habiendo superado los estados puramente conceptuales de la materia como delimitación, materia como alteración, y materia como característica (ver §77); el resto, siendo lo contrario, serán</w:t>
      </w:r>
      <w:r w:rsidRPr="00DC1A5F">
        <w:rPr>
          <w:i/>
          <w:iCs/>
        </w:rPr>
        <w:t xml:space="preserve"> no–producidas</w:t>
      </w:r>
      <w:r w:rsidRPr="00DC1A5F">
        <w:t xml:space="preserve">. Las 5 especies, comenzando por el ojo, corresponderán a la </w:t>
      </w:r>
      <w:r w:rsidRPr="00DC1A5F">
        <w:rPr>
          <w:i/>
          <w:iCs/>
        </w:rPr>
        <w:t>materia sensible</w:t>
      </w:r>
      <w:r w:rsidRPr="00DC1A5F">
        <w:t xml:space="preserve"> por representar condiciones </w:t>
      </w:r>
    </w:p>
    <w:p w14:paraId="45A8A3E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1A43C90" w14:textId="77777777" w:rsidR="00597DE2" w:rsidRPr="00DC1A5F" w:rsidRDefault="00597DE2" w:rsidP="00597DE2">
      <w:pPr>
        <w:pStyle w:val="PiedepginaLegal"/>
        <w:numPr>
          <w:ilvl w:val="0"/>
          <w:numId w:val="3"/>
        </w:numPr>
        <w:tabs>
          <w:tab w:val="clear" w:pos="425"/>
        </w:tabs>
        <w:ind w:left="284"/>
      </w:pPr>
      <w:r w:rsidRPr="00DC1A5F">
        <w:t xml:space="preserve">De hecho, la base del corazón no se encuentra en los </w:t>
      </w:r>
      <w:proofErr w:type="spellStart"/>
      <w:r w:rsidRPr="00DC1A5F">
        <w:rPr>
          <w:i/>
          <w:iCs/>
        </w:rPr>
        <w:t>Piṭakas</w:t>
      </w:r>
      <w:proofErr w:type="spellEnd"/>
      <w:r w:rsidRPr="00DC1A5F">
        <w:t xml:space="preserve"> como tal.</w:t>
      </w:r>
    </w:p>
    <w:p w14:paraId="44B45F3E" w14:textId="77777777" w:rsidR="00597DE2" w:rsidRPr="00DC1A5F" w:rsidRDefault="00597DE2" w:rsidP="00597DE2">
      <w:pPr>
        <w:pStyle w:val="PiedepginaLegal"/>
        <w:numPr>
          <w:ilvl w:val="0"/>
          <w:numId w:val="3"/>
        </w:numPr>
        <w:tabs>
          <w:tab w:val="clear" w:pos="425"/>
        </w:tabs>
        <w:ind w:left="284"/>
      </w:pPr>
      <w:r w:rsidRPr="00DC1A5F">
        <w:t>“‘</w:t>
      </w:r>
      <w:r w:rsidRPr="00DC1A5F">
        <w:rPr>
          <w:i/>
          <w:iCs/>
        </w:rPr>
        <w:t>Algunos’</w:t>
      </w:r>
      <w:r w:rsidRPr="00DC1A5F">
        <w:t xml:space="preserve"> se refiere a los monjes del Monasterio </w:t>
      </w:r>
      <w:proofErr w:type="spellStart"/>
      <w:r w:rsidRPr="00DC1A5F">
        <w:t>Abhayagiri</w:t>
      </w:r>
      <w:proofErr w:type="spellEnd"/>
      <w:r w:rsidRPr="00DC1A5F">
        <w:t xml:space="preserve"> en </w:t>
      </w:r>
      <w:proofErr w:type="spellStart"/>
      <w:r w:rsidRPr="00DC1A5F">
        <w:t>Anurādhapura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455). Una larga discusión al respecto se sigue en el </w:t>
      </w:r>
      <w:proofErr w:type="spellStart"/>
      <w:r w:rsidRPr="00DC1A5F">
        <w:t>Vism</w:t>
      </w:r>
      <w:proofErr w:type="spellEnd"/>
      <w:r w:rsidRPr="00DC1A5F">
        <w:t>–</w:t>
      </w:r>
      <w:proofErr w:type="spellStart"/>
      <w:r w:rsidRPr="00DC1A5F">
        <w:t>mhṭ</w:t>
      </w:r>
      <w:proofErr w:type="spellEnd"/>
      <w:r w:rsidRPr="00DC1A5F">
        <w:t>, la cual no se da aquí.</w:t>
      </w:r>
      <w:r w:rsidRPr="00DC1A5F">
        <w:br w:type="page"/>
      </w:r>
    </w:p>
    <w:p w14:paraId="56B69BF9" w14:textId="77777777" w:rsidR="00597DE2" w:rsidRPr="00DC1A5F" w:rsidRDefault="00597DE2" w:rsidP="00597DE2">
      <w:pPr>
        <w:pStyle w:val="Textoindependiente"/>
      </w:pPr>
      <w:r w:rsidRPr="00DC1A5F">
        <w:lastRenderedPageBreak/>
        <w:t xml:space="preserve">para la aprehensión de los objetos visibles, etc., ya que serán, por así decirlo, brillantes como la superficie de un espejo; el resto corresponderá a la </w:t>
      </w:r>
      <w:r w:rsidRPr="00DC1A5F">
        <w:rPr>
          <w:i/>
          <w:iCs/>
        </w:rPr>
        <w:t>materia insensible</w:t>
      </w:r>
      <w:r w:rsidRPr="00DC1A5F">
        <w:t xml:space="preserve"> porque representarán lo contrario de lo anterior. [451] La </w:t>
      </w:r>
      <w:r w:rsidRPr="00DC1A5F">
        <w:rPr>
          <w:i/>
          <w:iCs/>
        </w:rPr>
        <w:t>materia sensible</w:t>
      </w:r>
      <w:r w:rsidRPr="00DC1A5F">
        <w:t xml:space="preserve"> misma, junto con las 3 que comienzan con la facultad de feminidad, serán </w:t>
      </w:r>
      <w:r w:rsidRPr="00DC1A5F">
        <w:rPr>
          <w:i/>
          <w:iCs/>
        </w:rPr>
        <w:t xml:space="preserve">facultativos </w:t>
      </w:r>
      <w:r w:rsidRPr="00DC1A5F">
        <w:t xml:space="preserve">en el sentido de predominio; el resto </w:t>
      </w:r>
      <w:r w:rsidRPr="00DC1A5F">
        <w:rPr>
          <w:i/>
          <w:iCs/>
        </w:rPr>
        <w:t>serán no–facultativos</w:t>
      </w:r>
      <w:r w:rsidRPr="00DC1A5F">
        <w:t xml:space="preserve"> porque corresponderán a lo contrario a ello. Lo que más adelante describiremos como “surgido del </w:t>
      </w:r>
      <w:proofErr w:type="spellStart"/>
      <w:r w:rsidRPr="00DC1A5F">
        <w:rPr>
          <w:i/>
        </w:rPr>
        <w:t>kamma</w:t>
      </w:r>
      <w:proofErr w:type="spellEnd"/>
      <w:r w:rsidRPr="00DC1A5F">
        <w:t xml:space="preserve">” (§75 y XX.27) se </w:t>
      </w:r>
      <w:r w:rsidRPr="00DC1A5F">
        <w:rPr>
          <w:i/>
          <w:iCs/>
        </w:rPr>
        <w:t>apegará a</w:t>
      </w:r>
      <w:r w:rsidRPr="00DC1A5F">
        <w:t xml:space="preserve"> porque estará “apegado”, es decir, adquirido por el </w:t>
      </w:r>
      <w:proofErr w:type="spellStart"/>
      <w:r w:rsidRPr="00DC1A5F">
        <w:rPr>
          <w:i/>
        </w:rPr>
        <w:t>kamma</w:t>
      </w:r>
      <w:proofErr w:type="spellEnd"/>
      <w:r w:rsidRPr="00DC1A5F">
        <w:t xml:space="preserve">. Los demás </w:t>
      </w:r>
      <w:r w:rsidRPr="00DC1A5F">
        <w:rPr>
          <w:i/>
          <w:iCs/>
        </w:rPr>
        <w:t>no se apegarán a</w:t>
      </w:r>
      <w:r w:rsidRPr="00DC1A5F">
        <w:t xml:space="preserve"> nada porque son lo contrario al respecto.</w:t>
      </w:r>
    </w:p>
    <w:p w14:paraId="368A801E" w14:textId="77777777" w:rsidR="00597DE2" w:rsidRPr="00DC1A5F" w:rsidRDefault="00597DE2" w:rsidP="00597DE2">
      <w:r w:rsidRPr="00DC1A5F">
        <w:t xml:space="preserve">74. </w:t>
      </w:r>
      <w:r w:rsidRPr="00DC1A5F">
        <w:tab/>
        <w:t>Una vez más, toda materia será de 3 clases según la tríada visible (</w:t>
      </w:r>
      <w:proofErr w:type="spellStart"/>
      <w:r w:rsidRPr="00DC1A5F">
        <w:rPr>
          <w:i/>
          <w:iCs/>
        </w:rPr>
        <w:t>sanidassana</w:t>
      </w:r>
      <w:proofErr w:type="spellEnd"/>
      <w:r w:rsidRPr="00DC1A5F">
        <w:t xml:space="preserve">), la tríada nacida del </w:t>
      </w:r>
      <w:proofErr w:type="spellStart"/>
      <w:r w:rsidRPr="00DC1A5F">
        <w:rPr>
          <w:i/>
        </w:rPr>
        <w:t>kamma</w:t>
      </w:r>
      <w:proofErr w:type="spellEnd"/>
      <w:r w:rsidRPr="00DC1A5F">
        <w:t xml:space="preserve">, etc. (ver </w:t>
      </w:r>
      <w:proofErr w:type="spellStart"/>
      <w:r w:rsidRPr="00DC1A5F">
        <w:t>Dhs</w:t>
      </w:r>
      <w:proofErr w:type="spellEnd"/>
      <w:r w:rsidRPr="00DC1A5F">
        <w:t xml:space="preserve"> 2). Aquí, en lo que se refiera a lo denso, un objeto visible será visible con impacto; el resto serán invisibles con impacto; todos los tipos sutiles serán invisibles sin impacto. Entonces, en primer lugar, será de tres tipos según la tríada visible.</w:t>
      </w:r>
    </w:p>
    <w:p w14:paraId="7A61BE82" w14:textId="77777777" w:rsidR="00597DE2" w:rsidRPr="00DC1A5F" w:rsidRDefault="00597DE2" w:rsidP="00597DE2">
      <w:r w:rsidRPr="00DC1A5F">
        <w:t xml:space="preserve">75. </w:t>
      </w:r>
      <w:r w:rsidRPr="00DC1A5F">
        <w:tab/>
        <w:t xml:space="preserve">De acuerdo con la tríada surgida del </w:t>
      </w:r>
      <w:proofErr w:type="spellStart"/>
      <w:r w:rsidRPr="00DC1A5F">
        <w:rPr>
          <w:i/>
        </w:rPr>
        <w:t>kamma</w:t>
      </w:r>
      <w:proofErr w:type="spellEnd"/>
      <w:r w:rsidRPr="00DC1A5F">
        <w:t xml:space="preserve">, etc., sin embargo, lo que surja del </w:t>
      </w:r>
      <w:proofErr w:type="spellStart"/>
      <w:r w:rsidRPr="00DC1A5F">
        <w:rPr>
          <w:i/>
        </w:rPr>
        <w:t>kamma</w:t>
      </w:r>
      <w:proofErr w:type="spellEnd"/>
      <w:r w:rsidRPr="00DC1A5F">
        <w:t xml:space="preserve"> corresponderá a lo </w:t>
      </w:r>
      <w:r w:rsidRPr="00DC1A5F">
        <w:rPr>
          <w:i/>
          <w:iCs/>
        </w:rPr>
        <w:t>surgido del</w:t>
      </w:r>
      <w:r w:rsidRPr="00DC1A5F">
        <w:t xml:space="preserve"> </w:t>
      </w:r>
      <w:proofErr w:type="spellStart"/>
      <w:r w:rsidRPr="00DC1A5F">
        <w:rPr>
          <w:i/>
        </w:rPr>
        <w:t>kamma</w:t>
      </w:r>
      <w:proofErr w:type="spellEnd"/>
      <w:r w:rsidRPr="00DC1A5F">
        <w:t xml:space="preserve">; lo que surja de una condición distinta corresponderá a lo </w:t>
      </w:r>
      <w:r w:rsidRPr="00DC1A5F">
        <w:rPr>
          <w:i/>
          <w:iCs/>
        </w:rPr>
        <w:t>no–surgido–del–</w:t>
      </w:r>
      <w:proofErr w:type="spellStart"/>
      <w:r w:rsidRPr="00DC1A5F">
        <w:rPr>
          <w:i/>
        </w:rPr>
        <w:t>kamma</w:t>
      </w:r>
      <w:proofErr w:type="spellEnd"/>
      <w:r w:rsidRPr="00DC1A5F">
        <w:t xml:space="preserve">; lo que no haya surgido de nada corresponderá a lo </w:t>
      </w:r>
      <w:r w:rsidRPr="00DC1A5F">
        <w:rPr>
          <w:i/>
          <w:iCs/>
        </w:rPr>
        <w:t>no–surgido–ni–no–surgido–del–</w:t>
      </w:r>
      <w:proofErr w:type="spellStart"/>
      <w:r w:rsidRPr="00DC1A5F">
        <w:rPr>
          <w:i/>
          <w:iCs/>
        </w:rPr>
        <w:t>kamma</w:t>
      </w:r>
      <w:proofErr w:type="spellEnd"/>
      <w:r w:rsidRPr="00DC1A5F">
        <w:t>.</w:t>
      </w:r>
    </w:p>
    <w:p w14:paraId="12D68999" w14:textId="77777777" w:rsidR="00597DE2" w:rsidRPr="00DC1A5F" w:rsidRDefault="00597DE2" w:rsidP="00597DE2">
      <w:pPr>
        <w:pStyle w:val="NormalConSangria"/>
      </w:pPr>
      <w:r w:rsidRPr="00DC1A5F">
        <w:t xml:space="preserve">Lo que surja de la consciencia corresponderá a lo </w:t>
      </w:r>
      <w:r w:rsidRPr="00DC1A5F">
        <w:rPr>
          <w:i/>
          <w:iCs/>
        </w:rPr>
        <w:t>surgido–de–la–consciencia</w:t>
      </w:r>
      <w:r w:rsidRPr="00DC1A5F">
        <w:t xml:space="preserve">; lo que surja de una condición distinta de la consciencia corresponderá a lo </w:t>
      </w:r>
      <w:r w:rsidRPr="00DC1A5F">
        <w:rPr>
          <w:i/>
          <w:iCs/>
        </w:rPr>
        <w:t>no–surgido–de–la–consciencia</w:t>
      </w:r>
      <w:r w:rsidRPr="00DC1A5F">
        <w:t xml:space="preserve">; lo que no surja de nada corresponderá a lo </w:t>
      </w:r>
      <w:r w:rsidRPr="00DC1A5F">
        <w:rPr>
          <w:i/>
          <w:iCs/>
        </w:rPr>
        <w:t>no–surgido–ni–no–surgido–de–la–consciencia</w:t>
      </w:r>
      <w:r w:rsidRPr="00DC1A5F">
        <w:t>.</w:t>
      </w:r>
    </w:p>
    <w:p w14:paraId="4B697C89" w14:textId="77777777" w:rsidR="00597DE2" w:rsidRPr="00DC1A5F" w:rsidRDefault="00597DE2" w:rsidP="00597DE2">
      <w:pPr>
        <w:pStyle w:val="NormalConSangria"/>
      </w:pPr>
      <w:r w:rsidRPr="00DC1A5F">
        <w:t xml:space="preserve">Lo que surja del nutrimento corresponderá a lo </w:t>
      </w:r>
      <w:r w:rsidRPr="00DC1A5F">
        <w:rPr>
          <w:i/>
          <w:iCs/>
        </w:rPr>
        <w:t>surgido del nutrimento</w:t>
      </w:r>
      <w:r w:rsidRPr="00DC1A5F">
        <w:t xml:space="preserve">; lo que surja de una condición distinta corresponderá a lo </w:t>
      </w:r>
      <w:r w:rsidRPr="00DC1A5F">
        <w:rPr>
          <w:i/>
          <w:iCs/>
        </w:rPr>
        <w:t>no–surgido–del–alimento</w:t>
      </w:r>
      <w:r w:rsidRPr="00DC1A5F">
        <w:t>; lo que no surja de nada corresponderá a lo n</w:t>
      </w:r>
      <w:r w:rsidRPr="00DC1A5F">
        <w:rPr>
          <w:i/>
          <w:iCs/>
        </w:rPr>
        <w:t>o–surgido–ni–no–surgido–del–alimento</w:t>
      </w:r>
      <w:r w:rsidRPr="00DC1A5F">
        <w:t>.</w:t>
      </w:r>
    </w:p>
    <w:p w14:paraId="28DB7853" w14:textId="77777777" w:rsidR="00597DE2" w:rsidRPr="00DC1A5F" w:rsidRDefault="00597DE2" w:rsidP="00597DE2">
      <w:pPr>
        <w:pStyle w:val="NormalConSangria"/>
      </w:pPr>
      <w:r w:rsidRPr="00DC1A5F">
        <w:t xml:space="preserve">Lo originado por la temperatura corresponderá a lo </w:t>
      </w:r>
      <w:r w:rsidRPr="00DC1A5F">
        <w:rPr>
          <w:i/>
          <w:iCs/>
        </w:rPr>
        <w:t>surgido de la temperatura</w:t>
      </w:r>
      <w:r w:rsidRPr="00DC1A5F">
        <w:t xml:space="preserve">; lo que surja de una condición distinta corresponderá a lo </w:t>
      </w:r>
      <w:r w:rsidRPr="00DC1A5F">
        <w:rPr>
          <w:i/>
          <w:iCs/>
        </w:rPr>
        <w:t>no</w:t>
      </w:r>
      <w:r w:rsidRPr="00DC1A5F">
        <w:t>–</w:t>
      </w:r>
      <w:r w:rsidRPr="00DC1A5F">
        <w:rPr>
          <w:i/>
          <w:iCs/>
        </w:rPr>
        <w:t>surgido–de–la–temperatura</w:t>
      </w:r>
      <w:r w:rsidRPr="00DC1A5F">
        <w:t xml:space="preserve">; lo que no surja de nada corresponderá a lo </w:t>
      </w:r>
      <w:r w:rsidRPr="00DC1A5F">
        <w:rPr>
          <w:i/>
          <w:iCs/>
        </w:rPr>
        <w:t>no–surgido–ni–no–surgido–de–la–temperatura</w:t>
      </w:r>
      <w:r w:rsidRPr="00DC1A5F">
        <w:t>.</w:t>
      </w:r>
    </w:p>
    <w:p w14:paraId="06A3D8DB" w14:textId="77777777" w:rsidR="00597DE2" w:rsidRPr="00DC1A5F" w:rsidRDefault="00597DE2" w:rsidP="00597DE2">
      <w:pPr>
        <w:pStyle w:val="NormalConSangria"/>
      </w:pPr>
      <w:r w:rsidRPr="00DC1A5F">
        <w:t xml:space="preserve">Así que será de tres clases según la tríada surgida del </w:t>
      </w:r>
      <w:proofErr w:type="spellStart"/>
      <w:r w:rsidRPr="00DC1A5F">
        <w:rPr>
          <w:i/>
        </w:rPr>
        <w:t>kamma</w:t>
      </w:r>
      <w:proofErr w:type="spellEnd"/>
      <w:r w:rsidRPr="00DC1A5F">
        <w:t>, y ​​así sucesivamente.</w:t>
      </w:r>
    </w:p>
    <w:p w14:paraId="56C2EEB9" w14:textId="77777777" w:rsidR="00597DE2" w:rsidRPr="00DC1A5F" w:rsidRDefault="00597DE2" w:rsidP="00597DE2">
      <w:r w:rsidRPr="00DC1A5F">
        <w:t xml:space="preserve">76. </w:t>
      </w:r>
      <w:r w:rsidRPr="00DC1A5F">
        <w:tab/>
        <w:t xml:space="preserve">Además, será de </w:t>
      </w:r>
      <w:r w:rsidRPr="00DC1A5F">
        <w:rPr>
          <w:color w:val="833C0B" w:themeColor="accent2" w:themeShade="80"/>
        </w:rPr>
        <w:t>5</w:t>
      </w:r>
      <w:r w:rsidRPr="00DC1A5F">
        <w:t xml:space="preserve"> tipos según sean vistos, etc., como materia concreta, etc., y como las tétradas de base física, et.</w:t>
      </w:r>
    </w:p>
    <w:p w14:paraId="0F4D0CA5" w14:textId="77777777" w:rsidR="00597DE2" w:rsidRPr="00DC1A5F" w:rsidRDefault="00597DE2" w:rsidP="00597DE2">
      <w:pPr>
        <w:pStyle w:val="NormalConSangria"/>
        <w:rPr>
          <w:vertAlign w:val="superscript"/>
        </w:rPr>
      </w:pPr>
      <w:r w:rsidRPr="00DC1A5F">
        <w:t xml:space="preserve">Aquí, la base de los objetos visibles será </w:t>
      </w:r>
      <w:r w:rsidRPr="00DC1A5F">
        <w:rPr>
          <w:i/>
          <w:iCs/>
        </w:rPr>
        <w:t>vista</w:t>
      </w:r>
      <w:r w:rsidRPr="00DC1A5F">
        <w:t xml:space="preserve"> porque corresponderá al campo objetivo de la vista. La base auditiva se </w:t>
      </w:r>
      <w:r w:rsidRPr="00DC1A5F">
        <w:rPr>
          <w:i/>
          <w:iCs/>
        </w:rPr>
        <w:t>escuchará</w:t>
      </w:r>
      <w:r w:rsidRPr="00DC1A5F">
        <w:t xml:space="preserve"> porque corresponderá al campo objetivo de la audición. Los tres sentidos restantes, es decir, los olores, los sabores y los objetos táctiles, serán </w:t>
      </w:r>
      <w:r w:rsidRPr="00DC1A5F">
        <w:rPr>
          <w:i/>
          <w:iCs/>
        </w:rPr>
        <w:t>sentidos</w:t>
      </w:r>
      <w:r w:rsidRPr="00DC1A5F">
        <w:t xml:space="preserve"> (</w:t>
      </w:r>
      <w:proofErr w:type="spellStart"/>
      <w:r w:rsidRPr="00DC1A5F">
        <w:t>lit.</w:t>
      </w:r>
      <w:proofErr w:type="spellEnd"/>
      <w:r w:rsidRPr="00DC1A5F">
        <w:t xml:space="preserve"> contactados) porque corresponderán a los campos objetivos de las facultades que lleven contiguos campos objetivos. El resto serán </w:t>
      </w:r>
      <w:r w:rsidRPr="00DC1A5F">
        <w:rPr>
          <w:i/>
          <w:iCs/>
        </w:rPr>
        <w:t>conocidos</w:t>
      </w:r>
      <w:r w:rsidRPr="00DC1A5F">
        <w:t xml:space="preserve"> porque corresponderá al campo objetivo de la consciencia (a la cognición) solamente. Entonces, en primer lugar, serán de 5 tipos según sean vistas, escuchadas, etc.</w:t>
      </w:r>
      <w:r w:rsidRPr="00DC1A5F">
        <w:rPr>
          <w:vertAlign w:val="superscript"/>
        </w:rPr>
        <w:t>32</w:t>
      </w:r>
    </w:p>
    <w:p w14:paraId="19EADCD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2265E0C" w14:textId="77777777" w:rsidR="00597DE2" w:rsidRPr="00DC1A5F" w:rsidRDefault="00597DE2" w:rsidP="00597DE2">
      <w:pPr>
        <w:pStyle w:val="PiedepginaLegal"/>
        <w:numPr>
          <w:ilvl w:val="0"/>
          <w:numId w:val="3"/>
        </w:numPr>
        <w:tabs>
          <w:tab w:val="clear" w:pos="425"/>
        </w:tabs>
        <w:spacing w:after="160"/>
        <w:ind w:left="284"/>
      </w:pPr>
      <w:r w:rsidRPr="00DC1A5F">
        <w:rPr>
          <w:color w:val="auto"/>
          <w:u w:color="000000"/>
        </w:rPr>
        <w:t>“‘</w:t>
      </w:r>
      <w:r w:rsidRPr="00DC1A5F">
        <w:rPr>
          <w:i/>
          <w:iCs/>
          <w:color w:val="auto"/>
          <w:u w:color="000000"/>
        </w:rPr>
        <w:t>Sentido</w:t>
      </w:r>
      <w:r w:rsidRPr="00DC1A5F">
        <w:rPr>
          <w:color w:val="auto"/>
          <w:u w:color="000000"/>
        </w:rPr>
        <w:t xml:space="preserve"> (</w:t>
      </w:r>
      <w:r w:rsidRPr="00DC1A5F">
        <w:rPr>
          <w:i/>
          <w:iCs/>
          <w:color w:val="auto"/>
          <w:u w:color="000000"/>
        </w:rPr>
        <w:t>muta</w:t>
      </w:r>
      <w:r w:rsidRPr="00DC1A5F">
        <w:rPr>
          <w:color w:val="auto"/>
          <w:u w:color="000000"/>
        </w:rPr>
        <w:t>)’ significa aprehensible mediante la sensación (</w:t>
      </w:r>
      <w:proofErr w:type="spellStart"/>
      <w:r w:rsidRPr="00DC1A5F">
        <w:rPr>
          <w:i/>
          <w:iCs/>
          <w:color w:val="auto"/>
          <w:u w:color="000000"/>
        </w:rPr>
        <w:t>mutvā</w:t>
      </w:r>
      <w:proofErr w:type="spellEnd"/>
      <w:r w:rsidRPr="00DC1A5F">
        <w:rPr>
          <w:color w:val="auto"/>
          <w:u w:color="000000"/>
        </w:rPr>
        <w:t>), a través de lo alcanzable; por eso se dice al respecto “</w:t>
      </w:r>
      <w:r w:rsidRPr="00DC1A5F">
        <w:rPr>
          <w:i/>
          <w:iCs/>
          <w:color w:val="auto"/>
          <w:u w:color="000000"/>
        </w:rPr>
        <w:t>debido a que estos son campos objetivos correspondientes a las facultades que tomen campos objetivos contiguos</w:t>
      </w:r>
      <w:r w:rsidRPr="00DC1A5F">
        <w:rPr>
          <w:color w:val="auto"/>
          <w:u w:color="000000"/>
        </w:rPr>
        <w:t>”</w:t>
      </w:r>
      <w:r w:rsidRPr="00DC1A5F">
        <w:t xml:space="preserve"> (cf. §46). Pero ¿qué es aquello a lo que se llama objeto tangible? Son los tres elementos, tierra, calor y aire. </w:t>
      </w:r>
      <w:r w:rsidRPr="00DC1A5F">
        <w:rPr>
          <w:color w:val="auto"/>
          <w:u w:color="000000"/>
        </w:rPr>
        <w:t>No obstante, ¿por qué no se incluye aquí al elemento agua? ¿No se aprehende el frío al tocarlo y no es ese el elemento agua? Ciertamente el elemento agua es aprehendido, pero no es el elemento agua</w:t>
      </w:r>
      <w:r w:rsidRPr="00DC1A5F">
        <w:rPr>
          <w:color w:val="833C0B" w:themeColor="accent2" w:themeShade="80"/>
          <w:u w:color="000000"/>
        </w:rPr>
        <w:t xml:space="preserve">. </w:t>
      </w:r>
      <w:r w:rsidRPr="00DC1A5F">
        <w:rPr>
          <w:color w:val="auto"/>
          <w:u w:color="000000"/>
        </w:rPr>
        <w:t>¿Entonces que es? Es solo el elemento fuego. Ya que existirá la sensación (</w:t>
      </w:r>
      <w:proofErr w:type="spellStart"/>
      <w:r w:rsidRPr="00DC1A5F">
        <w:rPr>
          <w:i/>
          <w:iCs/>
          <w:color w:val="auto"/>
          <w:u w:color="000000"/>
        </w:rPr>
        <w:t>buddhi</w:t>
      </w:r>
      <w:proofErr w:type="spellEnd"/>
      <w:r w:rsidRPr="00DC1A5F">
        <w:rPr>
          <w:color w:val="auto"/>
          <w:u w:color="000000"/>
        </w:rPr>
        <w:t>) de frío cuando la transferencia de calor sea lenta. No existe una cualidad que se llame frío; sólo existe la suposición (</w:t>
      </w:r>
      <w:proofErr w:type="spellStart"/>
      <w:r w:rsidRPr="00DC1A5F">
        <w:rPr>
          <w:i/>
          <w:iCs/>
          <w:color w:val="auto"/>
          <w:u w:color="000000"/>
        </w:rPr>
        <w:t>abhimāna</w:t>
      </w:r>
      <w:proofErr w:type="spellEnd"/>
      <w:r w:rsidRPr="00DC1A5F">
        <w:rPr>
          <w:color w:val="auto"/>
          <w:u w:color="000000"/>
        </w:rPr>
        <w:t>) de frialdad debido a la lentitud del estado de calor. ¿Cómo se va a saber esto? Debido a la falta de fiabilidad de la sensación de frío, como ‘más allá y no más allá’.</w:t>
      </w:r>
      <w:r w:rsidRPr="00DC1A5F">
        <w:t xml:space="preserve"> </w:t>
      </w:r>
      <w:r w:rsidRPr="00DC1A5F">
        <w:br w:type="page"/>
      </w:r>
    </w:p>
    <w:p w14:paraId="74F2D290" w14:textId="77777777" w:rsidR="00597DE2" w:rsidRPr="00DC1A5F" w:rsidRDefault="00597DE2" w:rsidP="00597DE2">
      <w:r w:rsidRPr="00DC1A5F">
        <w:lastRenderedPageBreak/>
        <w:t xml:space="preserve">77. </w:t>
      </w:r>
      <w:r w:rsidRPr="00DC1A5F">
        <w:tab/>
        <w:t xml:space="preserve">Aquí, sin embargo, la “materia producida” corresponderá a la </w:t>
      </w:r>
      <w:r w:rsidRPr="00DC1A5F">
        <w:rPr>
          <w:i/>
          <w:iCs/>
        </w:rPr>
        <w:t>materia concreta</w:t>
      </w:r>
      <w:r w:rsidRPr="00DC1A5F">
        <w:t xml:space="preserve">; el </w:t>
      </w:r>
      <w:r w:rsidRPr="00DC1A5F">
        <w:br/>
        <w:t xml:space="preserve">elemento–espacio corresponderá a la </w:t>
      </w:r>
      <w:r w:rsidRPr="00DC1A5F">
        <w:rPr>
          <w:i/>
          <w:iCs/>
        </w:rPr>
        <w:t>materia delimitante</w:t>
      </w:r>
      <w:r w:rsidRPr="00DC1A5F">
        <w:t xml:space="preserve">; lo que vaya desde la “intimación corporal” hasta la “manejabilidad” corresponderá a la </w:t>
      </w:r>
      <w:r w:rsidRPr="00DC1A5F">
        <w:rPr>
          <w:i/>
          <w:iCs/>
        </w:rPr>
        <w:t>materia como alteración</w:t>
      </w:r>
      <w:r w:rsidRPr="00DC1A5F">
        <w:t xml:space="preserve">; el nacimiento, el envejecimiento y la disolución corresponderá a la </w:t>
      </w:r>
      <w:r w:rsidRPr="00DC1A5F">
        <w:rPr>
          <w:i/>
          <w:iCs/>
        </w:rPr>
        <w:t>materia como característica</w:t>
      </w:r>
      <w:r w:rsidRPr="00DC1A5F">
        <w:t>. Así que será de 4 clases como materia concreta y así sucesivamente.</w:t>
      </w:r>
    </w:p>
    <w:p w14:paraId="2284E735" w14:textId="77777777" w:rsidR="00597DE2" w:rsidRPr="00DC1A5F" w:rsidRDefault="00597DE2" w:rsidP="00597DE2">
      <w:r w:rsidRPr="00DC1A5F">
        <w:t xml:space="preserve">78. </w:t>
      </w:r>
      <w:r w:rsidRPr="00DC1A5F">
        <w:tab/>
        <w:t xml:space="preserve">Aquí, sin embargo, a lo que se considere la materialidad del corazón corresponderá a la </w:t>
      </w:r>
      <w:r w:rsidRPr="00DC1A5F">
        <w:rPr>
          <w:i/>
          <w:iCs/>
        </w:rPr>
        <w:t>base física</w:t>
      </w:r>
      <w:r w:rsidRPr="00DC1A5F">
        <w:t xml:space="preserve">, </w:t>
      </w:r>
      <w:r w:rsidRPr="00DC1A5F">
        <w:rPr>
          <w:i/>
          <w:iCs/>
        </w:rPr>
        <w:t>no</w:t>
      </w:r>
      <w:r w:rsidRPr="00DC1A5F">
        <w:t xml:space="preserve"> </w:t>
      </w:r>
      <w:r w:rsidRPr="00DC1A5F">
        <w:rPr>
          <w:i/>
          <w:iCs/>
        </w:rPr>
        <w:t>a</w:t>
      </w:r>
      <w:r w:rsidRPr="00DC1A5F">
        <w:t xml:space="preserve"> </w:t>
      </w:r>
      <w:r w:rsidRPr="00DC1A5F">
        <w:rPr>
          <w:i/>
          <w:iCs/>
        </w:rPr>
        <w:t>la puerta</w:t>
      </w:r>
      <w:r w:rsidRPr="00DC1A5F">
        <w:t xml:space="preserve"> (ver </w:t>
      </w:r>
      <w:proofErr w:type="spellStart"/>
      <w:r w:rsidRPr="00DC1A5F">
        <w:t>Dhs</w:t>
      </w:r>
      <w:proofErr w:type="spellEnd"/>
      <w:r w:rsidRPr="00DC1A5F">
        <w:t xml:space="preserve">–a 82f.); las dos intimaciones corresponderán a las </w:t>
      </w:r>
      <w:r w:rsidRPr="00DC1A5F">
        <w:rPr>
          <w:i/>
          <w:iCs/>
        </w:rPr>
        <w:t>puertas</w:t>
      </w:r>
      <w:r w:rsidRPr="00DC1A5F">
        <w:t xml:space="preserve">, </w:t>
      </w:r>
      <w:r w:rsidRPr="00DC1A5F">
        <w:rPr>
          <w:i/>
          <w:iCs/>
        </w:rPr>
        <w:t>no a la base física</w:t>
      </w:r>
      <w:r w:rsidRPr="00DC1A5F">
        <w:t xml:space="preserve">; la materia sensible corresponderá tanto a </w:t>
      </w:r>
      <w:r w:rsidRPr="00DC1A5F">
        <w:rPr>
          <w:i/>
          <w:iCs/>
        </w:rPr>
        <w:t>la</w:t>
      </w:r>
      <w:r w:rsidRPr="00DC1A5F">
        <w:t xml:space="preserve"> </w:t>
      </w:r>
      <w:r w:rsidRPr="00DC1A5F">
        <w:rPr>
          <w:i/>
          <w:iCs/>
        </w:rPr>
        <w:t xml:space="preserve">base física </w:t>
      </w:r>
      <w:r w:rsidRPr="00DC1A5F">
        <w:t>como</w:t>
      </w:r>
      <w:r w:rsidRPr="00DC1A5F">
        <w:rPr>
          <w:i/>
          <w:iCs/>
        </w:rPr>
        <w:t xml:space="preserve"> la puerta</w:t>
      </w:r>
      <w:r w:rsidRPr="00DC1A5F">
        <w:t xml:space="preserve">; el resto no corresponderá </w:t>
      </w:r>
      <w:r w:rsidRPr="00DC1A5F">
        <w:rPr>
          <w:i/>
          <w:iCs/>
        </w:rPr>
        <w:t>ni a la base física ni a la puerta</w:t>
      </w:r>
      <w:r w:rsidRPr="00DC1A5F">
        <w:t>. Así que serán de 4 clases según la tétrada de base física.</w:t>
      </w:r>
    </w:p>
    <w:p w14:paraId="5FA6B0B2" w14:textId="77777777" w:rsidR="00597DE2" w:rsidRPr="00DC1A5F" w:rsidRDefault="00597DE2" w:rsidP="00597DE2">
      <w:r w:rsidRPr="00DC1A5F">
        <w:t xml:space="preserve">79. </w:t>
      </w:r>
      <w:r w:rsidRPr="00DC1A5F">
        <w:tab/>
        <w:t>Además, serán de 5 clases: surgidos de uno, surgidos de dos, surgidos de tres, surgidos de cuatro y no surgidos de nada.</w:t>
      </w:r>
    </w:p>
    <w:p w14:paraId="18D591B4" w14:textId="77777777" w:rsidR="00597DE2" w:rsidRPr="00DC1A5F" w:rsidRDefault="00597DE2" w:rsidP="00597DE2">
      <w:pPr>
        <w:pStyle w:val="NormalConSangria"/>
      </w:pPr>
      <w:r w:rsidRPr="00DC1A5F">
        <w:t xml:space="preserve">Aquí, lo que corresponderá a lo surgido solo del </w:t>
      </w:r>
      <w:proofErr w:type="spellStart"/>
      <w:r w:rsidRPr="00DC1A5F">
        <w:rPr>
          <w:i/>
        </w:rPr>
        <w:t>kamma</w:t>
      </w:r>
      <w:proofErr w:type="spellEnd"/>
      <w:r w:rsidRPr="00DC1A5F">
        <w:t xml:space="preserve"> o solo surgido de la consciencia se le llamará </w:t>
      </w:r>
      <w:r w:rsidRPr="00DC1A5F">
        <w:rPr>
          <w:i/>
          <w:iCs/>
        </w:rPr>
        <w:t>surgido de uno</w:t>
      </w:r>
      <w:r w:rsidRPr="00DC1A5F">
        <w:t xml:space="preserve">. De estos, la materialidad de las facultades, junto con la base del corazón, corresponderá a lo surgido del </w:t>
      </w:r>
      <w:proofErr w:type="spellStart"/>
      <w:r w:rsidRPr="00DC1A5F">
        <w:rPr>
          <w:i/>
        </w:rPr>
        <w:t>kamma</w:t>
      </w:r>
      <w:proofErr w:type="spellEnd"/>
      <w:r w:rsidRPr="00DC1A5F">
        <w:t xml:space="preserve"> solamente; las dos intimaciones surgirán únicamente de la consciencia. No obstante, lo que surja ahora de la consciencia y ahora de la temperatura se le llamará surgido de los dos. Eso corresponderá a la base del sonido solamente.</w:t>
      </w:r>
      <w:r w:rsidRPr="00DC1A5F">
        <w:rPr>
          <w:vertAlign w:val="superscript"/>
        </w:rPr>
        <w:t>33</w:t>
      </w:r>
      <w:r w:rsidRPr="00DC1A5F">
        <w:t xml:space="preserve"> A lo que surja de la temperatura, la consciencia y el nutrimento [452] se le llamará </w:t>
      </w:r>
      <w:r w:rsidRPr="00DC1A5F">
        <w:rPr>
          <w:i/>
          <w:iCs/>
        </w:rPr>
        <w:t>surgido de los tres</w:t>
      </w:r>
      <w:r w:rsidRPr="00DC1A5F">
        <w:t>.</w:t>
      </w:r>
    </w:p>
    <w:p w14:paraId="54437597" w14:textId="77777777" w:rsidR="00597DE2" w:rsidRPr="00DC1A5F" w:rsidRDefault="00597DE2" w:rsidP="00597DE2">
      <w:pPr>
        <w:pStyle w:val="NormalConSangria"/>
      </w:pPr>
    </w:p>
    <w:p w14:paraId="3B02FB7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C760DB8" w14:textId="77777777" w:rsidR="00597DE2" w:rsidRPr="00DC1A5F" w:rsidRDefault="00597DE2" w:rsidP="00597DE2">
      <w:pPr>
        <w:pStyle w:val="PiedepginaLegal"/>
        <w:rPr>
          <w:color w:val="833C0B" w:themeColor="accent2" w:themeShade="80"/>
          <w:u w:color="000000"/>
        </w:rPr>
      </w:pPr>
      <w:r w:rsidRPr="00DC1A5F">
        <w:t>…</w:t>
      </w:r>
      <w:r w:rsidRPr="00DC1A5F">
        <w:tab/>
        <w:t xml:space="preserve">Ya que en tiempo de calor, mientras que los que estén al Sol y vayan a la sombra tendrán una sensación de frescor, no obstante, los que vayan al mismo lugar desde una cueva subterránea tendrán una sensación de calor. </w:t>
      </w:r>
      <w:r w:rsidRPr="00DC1A5F">
        <w:rPr>
          <w:color w:val="auto"/>
          <w:u w:color="000000"/>
        </w:rPr>
        <w:t>Y si el frescor fuera el elemento agua, se encontraría en un solo grupo (</w:t>
      </w:r>
      <w:proofErr w:type="spellStart"/>
      <w:r w:rsidRPr="00DC1A5F">
        <w:rPr>
          <w:i/>
          <w:iCs/>
          <w:color w:val="auto"/>
          <w:u w:color="000000"/>
        </w:rPr>
        <w:t>kalāpa</w:t>
      </w:r>
      <w:proofErr w:type="spellEnd"/>
      <w:r w:rsidRPr="00DC1A5F">
        <w:rPr>
          <w:color w:val="auto"/>
          <w:u w:color="000000"/>
        </w:rPr>
        <w:t>) junto con el calor; pero no se encuentra así. Por eso se puede saber que el frescor no es el elemento agua. Y eso será concluyente (</w:t>
      </w:r>
      <w:proofErr w:type="spellStart"/>
      <w:r w:rsidRPr="00DC1A5F">
        <w:rPr>
          <w:i/>
          <w:iCs/>
          <w:color w:val="auto"/>
          <w:u w:color="000000"/>
        </w:rPr>
        <w:t>uttara</w:t>
      </w:r>
      <w:proofErr w:type="spellEnd"/>
      <w:r w:rsidRPr="00DC1A5F">
        <w:rPr>
          <w:color w:val="auto"/>
          <w:u w:color="000000"/>
        </w:rPr>
        <w:t>) para aquellos que estén de acuerdo con la existencia inseparable de los elementos primarios; y será concluyente también incluso para aquellos que no estén de acuerdo con esto, ya que será refutado mediante la existencia asociada al ver las funciones de los cuatro primarios en un solo grupo. Esto será concluyente también para aquellos que digan que el frescor es la característica del elemento aire; porque si la temperatura fría fuese el elemento aire, la frialdad se encontraría en un solo grupo, junto con el calor, y no se encuentra así. Por eso se puede saber que la temperatura fría tampoco es el elemento aire.</w:t>
      </w:r>
      <w:r w:rsidRPr="00DC1A5F">
        <w:t xml:space="preserve"> </w:t>
      </w:r>
      <w:r w:rsidRPr="00DC1A5F">
        <w:rPr>
          <w:color w:val="auto"/>
          <w:u w:color="000000"/>
        </w:rPr>
        <w:t>No obstante, para aquellos que sostengan la opinión de que la fluidez (</w:t>
      </w:r>
      <w:proofErr w:type="spellStart"/>
      <w:r w:rsidRPr="00DC1A5F">
        <w:rPr>
          <w:i/>
          <w:iCs/>
          <w:color w:val="auto"/>
          <w:u w:color="000000"/>
        </w:rPr>
        <w:t>dravatā</w:t>
      </w:r>
      <w:proofErr w:type="spellEnd"/>
      <w:r w:rsidRPr="00DC1A5F">
        <w:rPr>
          <w:color w:val="auto"/>
          <w:u w:color="000000"/>
        </w:rPr>
        <w:t>) corresponderá al elemento agua y que eso se aprehende sintiendo, se les debe decir: ‘Esa fluidez sentida es meramente una suposición de algunos Venerables, como es el caso de la forma’. Ya que esto fue dicho por algunos Venerables:</w:t>
      </w:r>
    </w:p>
    <w:p w14:paraId="57F957F5" w14:textId="77777777" w:rsidR="00597DE2" w:rsidRPr="00DC1A5F" w:rsidRDefault="00597DE2" w:rsidP="00597DE2">
      <w:pPr>
        <w:pStyle w:val="PiedepginaLegal"/>
        <w:spacing w:after="0"/>
        <w:ind w:left="1276"/>
        <w:rPr>
          <w:color w:val="auto"/>
          <w:u w:color="000000"/>
        </w:rPr>
      </w:pPr>
      <w:r w:rsidRPr="00DC1A5F">
        <w:rPr>
          <w:color w:val="auto"/>
          <w:u w:color="000000"/>
        </w:rPr>
        <w:t>‘Tres elementos coexistentes con la fluidez</w:t>
      </w:r>
    </w:p>
    <w:p w14:paraId="13B0459F" w14:textId="77777777" w:rsidR="00597DE2" w:rsidRPr="00DC1A5F" w:rsidRDefault="00597DE2" w:rsidP="00597DE2">
      <w:pPr>
        <w:pStyle w:val="PiedepginaLegal"/>
        <w:spacing w:after="0"/>
        <w:ind w:left="1276"/>
        <w:rPr>
          <w:color w:val="auto"/>
          <w:u w:color="000000"/>
        </w:rPr>
      </w:pPr>
      <w:r w:rsidRPr="00DC1A5F">
        <w:rPr>
          <w:color w:val="auto"/>
          <w:u w:color="000000"/>
        </w:rPr>
        <w:t xml:space="preserve">Conforman conjuntamente lo que constituye un </w:t>
      </w:r>
      <w:r w:rsidRPr="00DC1A5F">
        <w:rPr>
          <w:color w:val="833C0B" w:themeColor="accent2" w:themeShade="80"/>
          <w:u w:color="000000"/>
        </w:rPr>
        <w:t>objeto</w:t>
      </w:r>
      <w:r w:rsidRPr="00DC1A5F">
        <w:rPr>
          <w:color w:val="auto"/>
          <w:u w:color="000000"/>
        </w:rPr>
        <w:t xml:space="preserve"> tangible; </w:t>
      </w:r>
    </w:p>
    <w:p w14:paraId="6C6BA2A6" w14:textId="77777777" w:rsidR="00597DE2" w:rsidRPr="00DC1A5F" w:rsidRDefault="00597DE2" w:rsidP="00597DE2">
      <w:pPr>
        <w:pStyle w:val="PiedepginaLegal"/>
        <w:spacing w:after="0"/>
        <w:ind w:left="1276"/>
        <w:rPr>
          <w:color w:val="auto"/>
          <w:u w:color="000000"/>
        </w:rPr>
      </w:pPr>
      <w:r w:rsidRPr="00DC1A5F">
        <w:rPr>
          <w:color w:val="auto"/>
          <w:u w:color="000000"/>
        </w:rPr>
        <w:t xml:space="preserve">Que “yo logre tocar esta fluidez” </w:t>
      </w:r>
    </w:p>
    <w:p w14:paraId="784BBBDA" w14:textId="77777777" w:rsidR="00597DE2" w:rsidRPr="00DC1A5F" w:rsidRDefault="00597DE2" w:rsidP="00597DE2">
      <w:pPr>
        <w:pStyle w:val="PiedepginaLegal"/>
        <w:spacing w:after="0"/>
        <w:ind w:left="1276"/>
        <w:rPr>
          <w:color w:val="auto"/>
          <w:u w:color="000000"/>
        </w:rPr>
      </w:pPr>
      <w:r w:rsidRPr="00DC1A5F">
        <w:rPr>
          <w:color w:val="auto"/>
          <w:u w:color="000000"/>
        </w:rPr>
        <w:t>Será un error común en el mundo.</w:t>
      </w:r>
    </w:p>
    <w:p w14:paraId="0C729CA6" w14:textId="77777777" w:rsidR="00597DE2" w:rsidRPr="00DC1A5F" w:rsidRDefault="00597DE2" w:rsidP="00597DE2">
      <w:pPr>
        <w:pStyle w:val="PiedepginaLegal"/>
        <w:spacing w:after="0"/>
        <w:ind w:left="1276"/>
        <w:rPr>
          <w:color w:val="auto"/>
          <w:u w:color="000000"/>
        </w:rPr>
      </w:pPr>
      <w:r w:rsidRPr="00DC1A5F">
        <w:rPr>
          <w:color w:val="auto"/>
          <w:u w:color="000000"/>
        </w:rPr>
        <w:t>Y como un hombre que tocase los elementos,</w:t>
      </w:r>
    </w:p>
    <w:p w14:paraId="23F048EC" w14:textId="77777777" w:rsidR="00597DE2" w:rsidRPr="00DC1A5F" w:rsidRDefault="00597DE2" w:rsidP="00597DE2">
      <w:pPr>
        <w:pStyle w:val="PiedepginaLegal"/>
        <w:spacing w:after="0"/>
        <w:ind w:left="1276"/>
        <w:rPr>
          <w:color w:val="auto"/>
          <w:u w:color="000000"/>
        </w:rPr>
      </w:pPr>
      <w:r w:rsidRPr="00DC1A5F">
        <w:rPr>
          <w:color w:val="auto"/>
          <w:u w:color="000000"/>
        </w:rPr>
        <w:t>Y aprehendiese una forma entonces con su mente,</w:t>
      </w:r>
    </w:p>
    <w:p w14:paraId="542A5D8D" w14:textId="77777777" w:rsidR="00597DE2" w:rsidRPr="00DC1A5F" w:rsidRDefault="00597DE2" w:rsidP="00597DE2">
      <w:pPr>
        <w:pStyle w:val="PiedepginaLegal"/>
        <w:spacing w:after="0"/>
        <w:ind w:left="1276"/>
        <w:rPr>
          <w:color w:val="auto"/>
          <w:u w:color="000000"/>
        </w:rPr>
      </w:pPr>
      <w:r w:rsidRPr="00DC1A5F">
        <w:rPr>
          <w:color w:val="auto"/>
          <w:u w:color="000000"/>
        </w:rPr>
        <w:t>Fantasearía “He estado tocando realmente una forma”,</w:t>
      </w:r>
    </w:p>
    <w:p w14:paraId="7853BF90" w14:textId="77777777" w:rsidR="00597DE2" w:rsidRPr="00DC1A5F" w:rsidRDefault="00597DE2" w:rsidP="00597DE2">
      <w:pPr>
        <w:pStyle w:val="PiedepginaLegal"/>
        <w:spacing w:after="0"/>
        <w:ind w:left="1276"/>
        <w:rPr>
          <w:color w:val="auto"/>
          <w:u w:color="000000"/>
        </w:rPr>
      </w:pPr>
      <w:r w:rsidRPr="00DC1A5F">
        <w:rPr>
          <w:color w:val="auto"/>
          <w:u w:color="000000"/>
        </w:rPr>
        <w:t>Así mismo se reconocerá la fluidez’”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459).</w:t>
      </w:r>
    </w:p>
    <w:p w14:paraId="3FE8F33F" w14:textId="77777777" w:rsidR="00597DE2" w:rsidRPr="00DC1A5F" w:rsidRDefault="00597DE2" w:rsidP="00597DE2">
      <w:pPr>
        <w:pStyle w:val="PiedepginaLegal"/>
        <w:spacing w:after="0"/>
        <w:ind w:left="1276"/>
      </w:pPr>
    </w:p>
    <w:p w14:paraId="66C87C25" w14:textId="77777777" w:rsidR="00597DE2" w:rsidRPr="00DC1A5F" w:rsidRDefault="00597DE2" w:rsidP="00597DE2">
      <w:pPr>
        <w:pStyle w:val="PiedepginaLegal"/>
        <w:numPr>
          <w:ilvl w:val="0"/>
          <w:numId w:val="3"/>
        </w:numPr>
        <w:tabs>
          <w:tab w:val="clear" w:pos="425"/>
        </w:tabs>
        <w:ind w:left="284"/>
        <w:rPr>
          <w:color w:val="auto"/>
          <w:u w:color="000000"/>
        </w:rPr>
      </w:pPr>
      <w:r w:rsidRPr="00DC1A5F">
        <w:t>“</w:t>
      </w:r>
      <w:r w:rsidRPr="00DC1A5F">
        <w:rPr>
          <w:i/>
          <w:iCs/>
        </w:rPr>
        <w:t>’Solo la base del sonido’</w:t>
      </w:r>
      <w:r w:rsidRPr="00DC1A5F">
        <w:t xml:space="preserve">: aquí algunos dicen, ‘Lo surgido de la consciencia siempre será </w:t>
      </w:r>
      <w:proofErr w:type="spellStart"/>
      <w:r w:rsidRPr="00DC1A5F">
        <w:t>intimativo</w:t>
      </w:r>
      <w:proofErr w:type="spellEnd"/>
      <w:r w:rsidRPr="00DC1A5F">
        <w:t xml:space="preserve"> </w:t>
      </w:r>
      <w:r w:rsidRPr="00DC1A5F">
        <w:br/>
        <w:t>(</w:t>
      </w:r>
      <w:proofErr w:type="spellStart"/>
      <w:r w:rsidRPr="00DC1A5F">
        <w:rPr>
          <w:i/>
          <w:iCs/>
        </w:rPr>
        <w:t>saviññattika</w:t>
      </w:r>
      <w:proofErr w:type="spellEnd"/>
      <w:r w:rsidRPr="00DC1A5F">
        <w:t xml:space="preserve">).’ </w:t>
      </w:r>
      <w:r w:rsidRPr="00DC1A5F">
        <w:rPr>
          <w:color w:val="auto"/>
          <w:u w:color="000000"/>
        </w:rPr>
        <w:t>Los Venerables dicen al respecto, ‘Existe el sonido debido a la intervención (</w:t>
      </w:r>
      <w:proofErr w:type="spellStart"/>
      <w:r w:rsidRPr="00DC1A5F">
        <w:rPr>
          <w:i/>
          <w:iCs/>
          <w:color w:val="auto"/>
          <w:u w:color="000000"/>
        </w:rPr>
        <w:t>vipphāra</w:t>
      </w:r>
      <w:proofErr w:type="spellEnd"/>
      <w:r w:rsidRPr="00DC1A5F">
        <w:rPr>
          <w:color w:val="auto"/>
          <w:u w:color="000000"/>
        </w:rPr>
        <w:t>) de la aplicación mental que no intime’.</w:t>
      </w:r>
      <w:r w:rsidRPr="00DC1A5F">
        <w:rPr>
          <w:color w:val="833C0B" w:themeColor="accent2" w:themeShade="80"/>
          <w:u w:color="000000"/>
        </w:rPr>
        <w:t xml:space="preserve"> </w:t>
      </w:r>
      <w:r w:rsidRPr="00DC1A5F">
        <w:rPr>
          <w:color w:val="auto"/>
          <w:u w:color="000000"/>
        </w:rPr>
        <w:t xml:space="preserve">Mientras que sujetos a la palabra del </w:t>
      </w:r>
      <w:r w:rsidRPr="00DC1A5F">
        <w:rPr>
          <w:i/>
          <w:iCs/>
          <w:color w:val="auto"/>
          <w:u w:color="000000"/>
        </w:rPr>
        <w:t>Gran Comentario</w:t>
      </w:r>
      <w:r w:rsidRPr="00DC1A5F">
        <w:rPr>
          <w:color w:val="auto"/>
          <w:u w:color="000000"/>
        </w:rPr>
        <w:t xml:space="preserve"> al respecto se expresa así, ‘</w:t>
      </w:r>
      <w:proofErr w:type="spellStart"/>
      <w:r w:rsidRPr="00DC1A5F">
        <w:rPr>
          <w:color w:val="auto"/>
          <w:u w:color="000000"/>
        </w:rPr>
        <w:t>Intimable</w:t>
      </w:r>
      <w:proofErr w:type="spellEnd"/>
      <w:r w:rsidRPr="00DC1A5F">
        <w:rPr>
          <w:color w:val="auto"/>
          <w:u w:color="000000"/>
        </w:rPr>
        <w:t xml:space="preserve"> (cognoscible) a través del oído por medio del sonido debido a la intervención del pensamiento aplicado’, también existe la necesidad del surgimiento del sonido de la consciencia originada sin intimación (cognición) ya que debido a las palabras, ‘Ya que la intimación (cognición) no se debe al lenguaje insinuante’ (?), surgirá </w:t>
      </w:r>
      <w:proofErr w:type="gramStart"/>
      <w:r w:rsidRPr="00DC1A5F">
        <w:rPr>
          <w:color w:val="auto"/>
          <w:u w:color="000000"/>
        </w:rPr>
        <w:t>conjuntamente con</w:t>
      </w:r>
      <w:proofErr w:type="gramEnd"/>
      <w:r w:rsidRPr="00DC1A5F">
        <w:rPr>
          <w:color w:val="auto"/>
          <w:u w:color="000000"/>
        </w:rPr>
        <w:t xml:space="preserve"> el sonido no </w:t>
      </w:r>
      <w:proofErr w:type="spellStart"/>
      <w:r w:rsidRPr="00DC1A5F">
        <w:rPr>
          <w:color w:val="auto"/>
          <w:u w:color="000000"/>
        </w:rPr>
        <w:t>intimable</w:t>
      </w:r>
      <w:proofErr w:type="spellEnd"/>
      <w:r w:rsidRPr="00DC1A5F">
        <w:rPr>
          <w:color w:val="auto"/>
          <w:u w:color="000000"/>
        </w:rPr>
        <w:t xml:space="preserve"> (cognoscible) a través del oído. Siendo así, tendrá que haber una </w:t>
      </w:r>
      <w:proofErr w:type="spellStart"/>
      <w:r w:rsidRPr="00DC1A5F">
        <w:rPr>
          <w:color w:val="auto"/>
          <w:u w:color="000000"/>
        </w:rPr>
        <w:t>enéada</w:t>
      </w:r>
      <w:proofErr w:type="spellEnd"/>
      <w:r w:rsidRPr="00DC1A5F">
        <w:rPr>
          <w:color w:val="auto"/>
          <w:u w:color="000000"/>
        </w:rPr>
        <w:t xml:space="preserve"> sonora surgida de la consciencia.</w:t>
      </w:r>
    </w:p>
    <w:p w14:paraId="344F837D" w14:textId="77777777" w:rsidR="00597DE2" w:rsidRPr="00DC1A5F" w:rsidRDefault="00597DE2" w:rsidP="00597DE2">
      <w:pPr>
        <w:tabs>
          <w:tab w:val="clear" w:pos="425"/>
        </w:tabs>
        <w:spacing w:after="160"/>
      </w:pPr>
      <w:r w:rsidRPr="00DC1A5F">
        <w:br w:type="page"/>
      </w:r>
    </w:p>
    <w:p w14:paraId="69742966" w14:textId="77777777" w:rsidR="00597DE2" w:rsidRPr="00DC1A5F" w:rsidRDefault="00597DE2" w:rsidP="00597DE2">
      <w:pPr>
        <w:tabs>
          <w:tab w:val="clear" w:pos="425"/>
        </w:tabs>
        <w:spacing w:after="160"/>
      </w:pPr>
    </w:p>
    <w:p w14:paraId="286529D7" w14:textId="77777777" w:rsidR="00597DE2" w:rsidRPr="00DC1A5F" w:rsidRDefault="00597DE2" w:rsidP="00597DE2">
      <w:pPr>
        <w:pStyle w:val="Textoindependiente"/>
      </w:pPr>
      <w:r w:rsidRPr="00DC1A5F">
        <w:t xml:space="preserve">No obstante, estos son los tres que comienzan con “ligereza” solamente. Lo que surja de los cuatro comenzando con el </w:t>
      </w:r>
      <w:proofErr w:type="spellStart"/>
      <w:r w:rsidRPr="00DC1A5F">
        <w:rPr>
          <w:i/>
        </w:rPr>
        <w:t>kamma</w:t>
      </w:r>
      <w:proofErr w:type="spellEnd"/>
      <w:r w:rsidRPr="00DC1A5F">
        <w:t xml:space="preserve"> se le llamará </w:t>
      </w:r>
      <w:r w:rsidRPr="00DC1A5F">
        <w:rPr>
          <w:i/>
          <w:iCs/>
        </w:rPr>
        <w:t>surgido de los cuatro</w:t>
      </w:r>
      <w:r w:rsidRPr="00DC1A5F">
        <w:t>. Ello corresponderá a todo lo demás excepto a “la materia como característica”.</w:t>
      </w:r>
    </w:p>
    <w:p w14:paraId="4C02D347" w14:textId="77777777" w:rsidR="00597DE2" w:rsidRPr="00DC1A5F" w:rsidRDefault="00597DE2" w:rsidP="00597DE2">
      <w:pPr>
        <w:tabs>
          <w:tab w:val="clear" w:pos="425"/>
          <w:tab w:val="left" w:pos="426"/>
        </w:tabs>
        <w:spacing w:after="160"/>
      </w:pPr>
      <w:r w:rsidRPr="00DC1A5F">
        <w:t xml:space="preserve">80. </w:t>
      </w:r>
      <w:r w:rsidRPr="00DC1A5F">
        <w:tab/>
        <w:t xml:space="preserve">No obstante, a “la materia como característica” se le llamará </w:t>
      </w:r>
      <w:r w:rsidRPr="00DC1A5F">
        <w:rPr>
          <w:i/>
          <w:iCs/>
        </w:rPr>
        <w:t>no surgida de nada</w:t>
      </w:r>
      <w:r w:rsidRPr="00DC1A5F">
        <w:t xml:space="preserve">. ¿Por qué? Porque no habrá surgimiento del surgimiento y los otros dos corresponderán a la mera maduración y ruptura de lo que haya surgido. Aunque en el pasaje, “La base de los objetos visibles, la base de los sonidos, la base de los olores, la base de los sabores, la base de objetos táctiles, el elemento espacial, el elemento agua, la ligereza de la materia, la maleabilidad de la materia, la manejabilidad de la materia, el crecimiento de la materia, la continuidad de la materia y el nutrimento físico: estos estados se originarán de la consciencia” (cf. </w:t>
      </w:r>
      <w:proofErr w:type="spellStart"/>
      <w:r w:rsidRPr="00DC1A5F">
        <w:t>Dhs</w:t>
      </w:r>
      <w:proofErr w:type="spellEnd"/>
      <w:r w:rsidRPr="00DC1A5F">
        <w:t xml:space="preserve"> §667) etc., un estado de nacimiento, es decir, de crecimiento, que nazca de algún lugar podrá ser entendido como permisible ya que el punto de vista aquí corresponderá al momento en el que las condiciones que estén dando origen a los tipos de materialidad estarán ejerciendo su función.</w:t>
      </w:r>
    </w:p>
    <w:p w14:paraId="23703126" w14:textId="77777777" w:rsidR="00597DE2" w:rsidRPr="00DC1A5F" w:rsidRDefault="00597DE2" w:rsidP="00597DE2">
      <w:pPr>
        <w:pStyle w:val="NormalConSangria"/>
      </w:pPr>
      <w:r w:rsidRPr="00DC1A5F">
        <w:t>Ésta, en primer lugar, es la sección de la explicación detallada que trata sobre el agregado de la materialidad.</w:t>
      </w:r>
    </w:p>
    <w:p w14:paraId="221A36EE" w14:textId="77777777" w:rsidR="00597DE2" w:rsidRPr="00DC1A5F" w:rsidRDefault="00597DE2" w:rsidP="00597DE2">
      <w:pPr>
        <w:pStyle w:val="Ttulo5"/>
      </w:pPr>
      <w:r w:rsidRPr="00DC1A5F">
        <w:t>[El Agregado De la Consciencia]</w:t>
      </w:r>
    </w:p>
    <w:p w14:paraId="62B9FDCF" w14:textId="77777777" w:rsidR="00597DE2" w:rsidRPr="00DC1A5F" w:rsidRDefault="00597DE2" w:rsidP="00597DE2">
      <w:r w:rsidRPr="00DC1A5F">
        <w:t xml:space="preserve">81. </w:t>
      </w:r>
      <w:r w:rsidRPr="00DC1A5F">
        <w:tab/>
        <w:t>Entre los agregados restantes, sin embargo, todo lo que tenga la característica de ser sentido</w:t>
      </w:r>
      <w:r w:rsidRPr="00DC1A5F">
        <w:rPr>
          <w:vertAlign w:val="superscript"/>
        </w:rPr>
        <w:t>34</w:t>
      </w:r>
      <w:r w:rsidRPr="00DC1A5F">
        <w:t xml:space="preserve"> debe entenderse, en conjunto, como el agregado de la sensación; y cualquier cosa que posea la característica de percibirse, en conjunto, deberá entenderse como el agregado de la percepción; y todo lo que posea la característica de formarse, en conjunto, deberá entenderse como el agregado de las formaciones; y cualquier cosa que posea la característica de conocerse, en conjunto, deberá entenderse como como el agregado de la consciencia. Aquí, dado que el resto será fácil de entender cuando se haya entendido el agregado de la consciencia, comenzaremos, por lo tanto, con el comentario sobre el agregado de consciencia.</w:t>
      </w:r>
    </w:p>
    <w:p w14:paraId="144AD4A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5CBE395" w14:textId="77777777" w:rsidR="00597DE2" w:rsidRPr="00DC1A5F" w:rsidRDefault="00597DE2" w:rsidP="00597DE2">
      <w:pPr>
        <w:pStyle w:val="PiedepginaLegal"/>
        <w:rPr>
          <w:color w:val="auto"/>
          <w:u w:color="000000"/>
        </w:rPr>
      </w:pPr>
      <w:r w:rsidRPr="00DC1A5F">
        <w:t>…</w:t>
      </w:r>
      <w:r w:rsidRPr="00DC1A5F">
        <w:tab/>
      </w:r>
      <w:r w:rsidRPr="00DC1A5F">
        <w:rPr>
          <w:color w:val="auto"/>
          <w:u w:color="000000"/>
        </w:rPr>
        <w:t xml:space="preserve">Y esa teoría es rechazada por los </w:t>
      </w:r>
      <w:proofErr w:type="spellStart"/>
      <w:r w:rsidRPr="00DC1A5F">
        <w:rPr>
          <w:i/>
          <w:iCs/>
          <w:color w:val="auto"/>
          <w:u w:color="000000"/>
        </w:rPr>
        <w:t>Saṅghakaras</w:t>
      </w:r>
      <w:proofErr w:type="spellEnd"/>
      <w:r w:rsidRPr="00DC1A5F">
        <w:rPr>
          <w:color w:val="auto"/>
          <w:u w:color="000000"/>
        </w:rPr>
        <w:t xml:space="preserve"> quienes creen que es contradictorio decir que exista un sonido no </w:t>
      </w:r>
      <w:proofErr w:type="spellStart"/>
      <w:r w:rsidRPr="00DC1A5F">
        <w:rPr>
          <w:color w:val="auto"/>
          <w:u w:color="000000"/>
        </w:rPr>
        <w:t>intimable</w:t>
      </w:r>
      <w:proofErr w:type="spellEnd"/>
      <w:r w:rsidRPr="00DC1A5F">
        <w:rPr>
          <w:color w:val="auto"/>
          <w:u w:color="000000"/>
        </w:rPr>
        <w:t xml:space="preserve"> (cognoscible) a través del oído. Otros, sin embargo, no rechazan la afirmación del </w:t>
      </w:r>
      <w:r w:rsidRPr="00DC1A5F">
        <w:rPr>
          <w:i/>
          <w:iCs/>
          <w:color w:val="auto"/>
          <w:u w:color="000000"/>
        </w:rPr>
        <w:t>Gran Comentario</w:t>
      </w:r>
      <w:r w:rsidRPr="00DC1A5F">
        <w:rPr>
          <w:color w:val="auto"/>
          <w:u w:color="000000"/>
        </w:rPr>
        <w:t xml:space="preserve"> y comentan su intención.</w:t>
      </w:r>
      <w:r w:rsidRPr="00DC1A5F">
        <w:rPr>
          <w:color w:val="833C0B" w:themeColor="accent2" w:themeShade="80"/>
          <w:u w:color="000000"/>
        </w:rPr>
        <w:t xml:space="preserve"> ¿</w:t>
      </w:r>
      <w:r w:rsidRPr="00DC1A5F">
        <w:rPr>
          <w:color w:val="auto"/>
          <w:u w:color="000000"/>
        </w:rPr>
        <w:t xml:space="preserve">Cómo? Dicen que la no–intimación (no–cognición) a través del oído del sonido activado debido a la intervención de la aplicación mental se establece en los </w:t>
      </w:r>
      <w:r w:rsidRPr="00DC1A5F">
        <w:rPr>
          <w:i/>
          <w:iCs/>
          <w:color w:val="auto"/>
          <w:u w:color="000000"/>
        </w:rPr>
        <w:t>Suttas</w:t>
      </w:r>
      <w:r w:rsidRPr="00DC1A5F">
        <w:rPr>
          <w:color w:val="auto"/>
          <w:u w:color="000000"/>
        </w:rPr>
        <w:t xml:space="preserve"> con esta intención, ‘Él habla al escuchar con el oído divino el sonido sutil coetáneo con la intimación originada por la aplicación mental y que consiste del movimiento de la lengua y el paladar, etc.’ (cf. A I 171), y que en el </w:t>
      </w:r>
      <w:proofErr w:type="spellStart"/>
      <w:r w:rsidRPr="00DC1A5F">
        <w:rPr>
          <w:i/>
          <w:iCs/>
          <w:color w:val="auto"/>
          <w:u w:color="000000"/>
        </w:rPr>
        <w:t>Paṭṭhāna</w:t>
      </w:r>
      <w:proofErr w:type="spellEnd"/>
      <w:r w:rsidRPr="00DC1A5F">
        <w:rPr>
          <w:color w:val="auto"/>
          <w:u w:color="000000"/>
        </w:rPr>
        <w:t xml:space="preserve"> (</w:t>
      </w:r>
      <w:proofErr w:type="spellStart"/>
      <w:r w:rsidRPr="00DC1A5F">
        <w:rPr>
          <w:color w:val="auto"/>
          <w:u w:color="000000"/>
        </w:rPr>
        <w:t>Paṭṭh</w:t>
      </w:r>
      <w:proofErr w:type="spellEnd"/>
      <w:r w:rsidRPr="00DC1A5F">
        <w:rPr>
          <w:color w:val="auto"/>
          <w:u w:color="000000"/>
        </w:rPr>
        <w:t xml:space="preserve"> 1, 7) el estado de condición de un objeto para la consciencia del oído se establece con referencia al sonido burdo”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460).</w:t>
      </w:r>
    </w:p>
    <w:p w14:paraId="49E67C5B" w14:textId="77777777" w:rsidR="00597DE2" w:rsidRPr="00DC1A5F" w:rsidRDefault="00597DE2" w:rsidP="00597DE2">
      <w:pPr>
        <w:pStyle w:val="PiedepginaLegal"/>
        <w:numPr>
          <w:ilvl w:val="0"/>
          <w:numId w:val="3"/>
        </w:numPr>
        <w:tabs>
          <w:tab w:val="clear" w:pos="425"/>
        </w:tabs>
        <w:ind w:left="284"/>
        <w:rPr>
          <w:color w:val="833C0B" w:themeColor="accent2" w:themeShade="80"/>
          <w:u w:color="000000"/>
        </w:rPr>
      </w:pPr>
      <w:r w:rsidRPr="00DC1A5F">
        <w:rPr>
          <w:color w:val="auto"/>
          <w:u w:color="000000"/>
        </w:rPr>
        <w:t>“‘</w:t>
      </w:r>
      <w:r w:rsidRPr="00DC1A5F">
        <w:rPr>
          <w:i/>
          <w:iCs/>
          <w:color w:val="auto"/>
          <w:u w:color="000000"/>
        </w:rPr>
        <w:t>Tiene la característica de ser sentido’</w:t>
      </w:r>
      <w:r w:rsidRPr="00DC1A5F">
        <w:rPr>
          <w:color w:val="auto"/>
          <w:u w:color="000000"/>
        </w:rPr>
        <w:t xml:space="preserve"> significa que posee como característica aquello que se sienta, aquello que se experimente como el ‘sabor (estimulo)’ del objeto. La ‘</w:t>
      </w:r>
      <w:r w:rsidRPr="00DC1A5F">
        <w:rPr>
          <w:i/>
          <w:iCs/>
          <w:color w:val="auto"/>
          <w:u w:color="000000"/>
        </w:rPr>
        <w:t>característica de percibir’</w:t>
      </w:r>
      <w:r w:rsidRPr="00DC1A5F">
        <w:rPr>
          <w:color w:val="auto"/>
          <w:u w:color="000000"/>
        </w:rPr>
        <w:t xml:space="preserve"> significa que tiene como característica percibir un objeto clasificado como azul, etc., y conocerlo, aprehenderlo despertando la percepción de él como azul, amarillo, largo, corto, etc. Formar (</w:t>
      </w:r>
      <w:proofErr w:type="spellStart"/>
      <w:r w:rsidRPr="00DC1A5F">
        <w:rPr>
          <w:i/>
          <w:iCs/>
          <w:color w:val="auto"/>
          <w:u w:color="000000"/>
        </w:rPr>
        <w:t>abhisaṅkharaṇa</w:t>
      </w:r>
      <w:proofErr w:type="spellEnd"/>
      <w:r w:rsidRPr="00DC1A5F">
        <w:rPr>
          <w:color w:val="auto"/>
          <w:u w:color="000000"/>
        </w:rPr>
        <w:t xml:space="preserve">) significa acumular, o significa idear algo al interesarse al respecto. Y debido a que la volición será básica en ambos sentidos, se dice que el agregado de las formaciones tendrá la </w:t>
      </w:r>
      <w:r w:rsidRPr="00DC1A5F">
        <w:rPr>
          <w:i/>
          <w:iCs/>
          <w:color w:val="auto"/>
          <w:u w:color="000000"/>
        </w:rPr>
        <w:t>característica de formar</w:t>
      </w:r>
      <w:r w:rsidRPr="00DC1A5F">
        <w:rPr>
          <w:color w:val="auto"/>
          <w:u w:color="000000"/>
        </w:rPr>
        <w:t xml:space="preserve">. Ya que al exponer el agregado de las formaciones, en el </w:t>
      </w:r>
      <w:proofErr w:type="spellStart"/>
      <w:r w:rsidRPr="00DC1A5F">
        <w:rPr>
          <w:i/>
          <w:iCs/>
          <w:color w:val="auto"/>
          <w:u w:color="000000"/>
        </w:rPr>
        <w:t>Suttanta</w:t>
      </w:r>
      <w:proofErr w:type="spellEnd"/>
      <w:r w:rsidRPr="00DC1A5F">
        <w:rPr>
          <w:i/>
          <w:iCs/>
          <w:color w:val="auto"/>
          <w:u w:color="000000"/>
        </w:rPr>
        <w:t>–</w:t>
      </w:r>
      <w:proofErr w:type="spellStart"/>
      <w:r w:rsidRPr="00DC1A5F">
        <w:rPr>
          <w:i/>
          <w:iCs/>
          <w:color w:val="auto"/>
          <w:u w:color="000000"/>
        </w:rPr>
        <w:t>Bhājaniya</w:t>
      </w:r>
      <w:proofErr w:type="spellEnd"/>
      <w:r w:rsidRPr="00DC1A5F">
        <w:rPr>
          <w:color w:val="auto"/>
          <w:u w:color="000000"/>
        </w:rPr>
        <w:t xml:space="preserve"> del </w:t>
      </w:r>
      <w:proofErr w:type="spellStart"/>
      <w:r w:rsidRPr="00DC1A5F">
        <w:rPr>
          <w:i/>
          <w:iCs/>
          <w:color w:val="auto"/>
          <w:u w:color="000000"/>
        </w:rPr>
        <w:t>Vibhaṅga</w:t>
      </w:r>
      <w:proofErr w:type="spellEnd"/>
      <w:r w:rsidRPr="00DC1A5F">
        <w:rPr>
          <w:color w:val="auto"/>
          <w:u w:color="000000"/>
        </w:rPr>
        <w:t xml:space="preserve">, el </w:t>
      </w:r>
      <w:r w:rsidRPr="00DC1A5F">
        <w:rPr>
          <w:i/>
          <w:iCs/>
          <w:color w:val="auto"/>
          <w:u w:color="000000"/>
        </w:rPr>
        <w:t>Bhagavā</w:t>
      </w:r>
      <w:r w:rsidRPr="00DC1A5F">
        <w:rPr>
          <w:color w:val="auto"/>
          <w:u w:color="000000"/>
        </w:rPr>
        <w:t xml:space="preserve"> expuso así la volición, ‘Volición surgida del contacto con los ojos’ (</w:t>
      </w:r>
      <w:proofErr w:type="spellStart"/>
      <w:r w:rsidRPr="00DC1A5F">
        <w:rPr>
          <w:color w:val="auto"/>
          <w:u w:color="000000"/>
        </w:rPr>
        <w:t>Vibh</w:t>
      </w:r>
      <w:proofErr w:type="spellEnd"/>
      <w:r w:rsidRPr="00DC1A5F">
        <w:rPr>
          <w:color w:val="auto"/>
          <w:u w:color="000000"/>
        </w:rPr>
        <w:t xml:space="preserve"> 8) etc.</w:t>
      </w:r>
      <w:r w:rsidRPr="00DC1A5F">
        <w:t xml:space="preserve"> </w:t>
      </w:r>
      <w:r w:rsidRPr="00DC1A5F">
        <w:rPr>
          <w:color w:val="auto"/>
          <w:u w:color="000000"/>
        </w:rPr>
        <w:t>‘</w:t>
      </w:r>
      <w:r w:rsidRPr="00DC1A5F">
        <w:rPr>
          <w:i/>
          <w:iCs/>
          <w:color w:val="auto"/>
          <w:u w:color="000000"/>
        </w:rPr>
        <w:t>Tiene la característica de conoce</w:t>
      </w:r>
      <w:r w:rsidRPr="00DC1A5F">
        <w:rPr>
          <w:color w:val="auto"/>
          <w:u w:color="000000"/>
        </w:rPr>
        <w:t>r’ significa que posee como característica ese tipo de conocimiento llamado aprehensión de un objeto en un modo en el que el campo objetivo es aprehendido de manera diferente al modo de percibir”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462).</w:t>
      </w:r>
    </w:p>
    <w:p w14:paraId="2A3D95DD" w14:textId="77777777" w:rsidR="00597DE2" w:rsidRPr="00DC1A5F" w:rsidRDefault="00597DE2" w:rsidP="00597DE2">
      <w:pPr>
        <w:tabs>
          <w:tab w:val="clear" w:pos="425"/>
        </w:tabs>
        <w:spacing w:after="160"/>
      </w:pPr>
      <w:r w:rsidRPr="00DC1A5F">
        <w:br w:type="page"/>
      </w:r>
    </w:p>
    <w:p w14:paraId="17AAFADB" w14:textId="77777777" w:rsidR="00597DE2" w:rsidRPr="00DC1A5F" w:rsidRDefault="00597DE2" w:rsidP="00597DE2"/>
    <w:p w14:paraId="1566668C" w14:textId="77777777" w:rsidR="00597DE2" w:rsidRPr="00DC1A5F" w:rsidRDefault="00597DE2" w:rsidP="00597DE2">
      <w:pPr>
        <w:pStyle w:val="Textoindependiente"/>
      </w:pPr>
      <w:r w:rsidRPr="00DC1A5F">
        <w:t xml:space="preserve">82. </w:t>
      </w:r>
      <w:r w:rsidRPr="00DC1A5F">
        <w:tab/>
        <w:t xml:space="preserve">“Todo lo que posea la característica de </w:t>
      </w:r>
      <w:r w:rsidRPr="00DC1A5F">
        <w:rPr>
          <w:i/>
          <w:iCs/>
        </w:rPr>
        <w:t>conocerse</w:t>
      </w:r>
      <w:r w:rsidRPr="00DC1A5F">
        <w:t xml:space="preserve"> deberá entenderse, en su conjunto, como el agregado de la consciencia”, se dijo anteriormente. ¿Y qué posee la característica de ser conocido (</w:t>
      </w:r>
      <w:proofErr w:type="spellStart"/>
      <w:r w:rsidRPr="00DC1A5F">
        <w:rPr>
          <w:i/>
          <w:iCs/>
        </w:rPr>
        <w:t>vijānana</w:t>
      </w:r>
      <w:proofErr w:type="spellEnd"/>
      <w:r w:rsidRPr="00DC1A5F">
        <w:t>)? La consciencia (</w:t>
      </w:r>
      <w:r w:rsidRPr="00DC1A5F">
        <w:rPr>
          <w:i/>
        </w:rPr>
        <w:t>viññāṇa</w:t>
      </w:r>
      <w:r w:rsidRPr="00DC1A5F">
        <w:t xml:space="preserve">); según se dice al respecto, “Ello conoce, amigo, por eso se dice ‘consciencia’” (M I 292). Las palabras </w:t>
      </w:r>
      <w:r w:rsidRPr="00DC1A5F">
        <w:rPr>
          <w:i/>
        </w:rPr>
        <w:t>viññāṇa</w:t>
      </w:r>
      <w:r w:rsidRPr="00DC1A5F">
        <w:t xml:space="preserve"> (consciencia), </w:t>
      </w:r>
      <w:proofErr w:type="spellStart"/>
      <w:r w:rsidRPr="00DC1A5F">
        <w:rPr>
          <w:i/>
          <w:iCs/>
        </w:rPr>
        <w:t>citta</w:t>
      </w:r>
      <w:proofErr w:type="spellEnd"/>
      <w:r w:rsidRPr="00DC1A5F">
        <w:t xml:space="preserve"> (mente, consciencia) y </w:t>
      </w:r>
      <w:r w:rsidRPr="00DC1A5F">
        <w:rPr>
          <w:i/>
          <w:iCs/>
        </w:rPr>
        <w:t>mano</w:t>
      </w:r>
      <w:r w:rsidRPr="00DC1A5F">
        <w:t xml:space="preserve"> (mente) son una en significado.</w:t>
      </w:r>
    </w:p>
    <w:p w14:paraId="1478CB2D" w14:textId="77777777" w:rsidR="00597DE2" w:rsidRPr="00DC1A5F" w:rsidRDefault="00597DE2" w:rsidP="00597DE2">
      <w:pPr>
        <w:pStyle w:val="Textoindependiente"/>
      </w:pPr>
    </w:p>
    <w:p w14:paraId="7917274E" w14:textId="77777777" w:rsidR="00597DE2" w:rsidRPr="00DC1A5F" w:rsidRDefault="00597DE2" w:rsidP="00597DE2">
      <w:pPr>
        <w:pStyle w:val="Ttulo6"/>
      </w:pPr>
      <w:r w:rsidRPr="00DC1A5F">
        <w:t xml:space="preserve">[Las 89 Clases De Consciencia—Ver Tabla </w:t>
      </w:r>
      <w:proofErr w:type="spellStart"/>
      <w:r w:rsidRPr="00DC1A5F">
        <w:t>Iii</w:t>
      </w:r>
      <w:proofErr w:type="spellEnd"/>
      <w:r w:rsidRPr="00DC1A5F">
        <w:t>]</w:t>
      </w:r>
    </w:p>
    <w:p w14:paraId="084BD0C1" w14:textId="77777777" w:rsidR="00597DE2" w:rsidRPr="00DC1A5F" w:rsidRDefault="00597DE2" w:rsidP="00597DE2">
      <w:pPr>
        <w:pStyle w:val="Textoindependiente"/>
        <w:rPr>
          <w:vertAlign w:val="superscript"/>
        </w:rPr>
      </w:pPr>
      <w:r w:rsidRPr="00DC1A5F">
        <w:t>Esa misma consciencia, aunque una en su esencia individual con la característica de conocer, es triple según su clase, es decir, (I) productiva, (II) improductiva e (III) indeterminada.</w:t>
      </w:r>
      <w:r w:rsidRPr="00DC1A5F">
        <w:rPr>
          <w:vertAlign w:val="superscript"/>
        </w:rPr>
        <w:t>35</w:t>
      </w:r>
    </w:p>
    <w:p w14:paraId="5F942180" w14:textId="77777777" w:rsidR="00597DE2" w:rsidRPr="00DC1A5F" w:rsidRDefault="00597DE2" w:rsidP="00597DE2">
      <w:pPr>
        <w:rPr>
          <w:vertAlign w:val="superscript"/>
        </w:rPr>
      </w:pPr>
      <w:r w:rsidRPr="00DC1A5F">
        <w:t>83.</w:t>
      </w:r>
      <w:r w:rsidRPr="00DC1A5F">
        <w:tab/>
        <w:t xml:space="preserve">I. Aquí, la </w:t>
      </w:r>
      <w:r w:rsidRPr="00DC1A5F">
        <w:rPr>
          <w:i/>
          <w:iCs/>
        </w:rPr>
        <w:t>consciencia productiva</w:t>
      </w:r>
      <w:r w:rsidRPr="00DC1A5F">
        <w:t xml:space="preserve"> es cuádruple según el plano o esfera, es decir, (A) la esfera sensorial, (B) la esfera material sutil, (C) la esfera inmaterial y (D) la esfera supramundana.</w:t>
      </w:r>
      <w:r w:rsidRPr="00DC1A5F">
        <w:rPr>
          <w:vertAlign w:val="superscript"/>
        </w:rPr>
        <w:t>36</w:t>
      </w:r>
    </w:p>
    <w:p w14:paraId="50D61DD7"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143A1FD"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 xml:space="preserve">Será </w:t>
      </w:r>
      <w:r w:rsidRPr="00DC1A5F">
        <w:rPr>
          <w:i/>
          <w:iCs/>
          <w:color w:val="auto"/>
          <w:u w:color="000000"/>
        </w:rPr>
        <w:t>productivo</w:t>
      </w:r>
      <w:r w:rsidRPr="00DC1A5F">
        <w:rPr>
          <w:color w:val="auto"/>
          <w:u w:color="000000"/>
        </w:rPr>
        <w:t xml:space="preserve"> en el sentido de salud, inocencia y resultado agradable (ver </w:t>
      </w:r>
      <w:proofErr w:type="spellStart"/>
      <w:r w:rsidRPr="00DC1A5F">
        <w:rPr>
          <w:color w:val="auto"/>
          <w:u w:color="000000"/>
        </w:rPr>
        <w:t>Vismmhṭ</w:t>
      </w:r>
      <w:proofErr w:type="spellEnd"/>
      <w:r w:rsidRPr="00DC1A5F">
        <w:rPr>
          <w:color w:val="auto"/>
          <w:u w:color="000000"/>
        </w:rPr>
        <w:t xml:space="preserve"> 463). </w:t>
      </w:r>
      <w:r w:rsidRPr="00DC1A5F">
        <w:rPr>
          <w:i/>
          <w:iCs/>
          <w:color w:val="auto"/>
          <w:u w:color="000000"/>
        </w:rPr>
        <w:t>Improductivo</w:t>
      </w:r>
      <w:r w:rsidRPr="00DC1A5F">
        <w:rPr>
          <w:color w:val="auto"/>
          <w:u w:color="000000"/>
        </w:rPr>
        <w:t xml:space="preserve"> en sentido contrario. </w:t>
      </w:r>
      <w:r w:rsidRPr="00DC1A5F">
        <w:rPr>
          <w:i/>
          <w:iCs/>
          <w:color w:val="auto"/>
          <w:u w:color="000000"/>
        </w:rPr>
        <w:t>Indeterminado</w:t>
      </w:r>
      <w:r w:rsidRPr="00DC1A5F">
        <w:rPr>
          <w:color w:val="auto"/>
          <w:u w:color="000000"/>
        </w:rPr>
        <w:t xml:space="preserve"> porque no se puede describir como productivo o improductivo (ver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464). </w:t>
      </w:r>
      <w:proofErr w:type="spellStart"/>
      <w:r w:rsidRPr="00DC1A5F">
        <w:rPr>
          <w:color w:val="auto"/>
          <w:u w:color="000000"/>
        </w:rPr>
        <w:t>pEsta</w:t>
      </w:r>
      <w:proofErr w:type="spellEnd"/>
      <w:r w:rsidRPr="00DC1A5F">
        <w:rPr>
          <w:color w:val="auto"/>
          <w:u w:color="000000"/>
        </w:rPr>
        <w:t xml:space="preserve"> es la primera de las 22 tríadas del </w:t>
      </w:r>
      <w:proofErr w:type="spellStart"/>
      <w:r w:rsidRPr="00DC1A5F">
        <w:rPr>
          <w:color w:val="auto"/>
          <w:u w:color="000000"/>
        </w:rPr>
        <w:t>Abhi</w:t>
      </w:r>
      <w:r w:rsidRPr="00DC1A5F">
        <w:rPr>
          <w:i/>
          <w:color w:val="auto"/>
          <w:u w:color="000000"/>
        </w:rPr>
        <w:t>dhamma</w:t>
      </w:r>
      <w:proofErr w:type="spellEnd"/>
      <w:r w:rsidRPr="00DC1A5F">
        <w:rPr>
          <w:color w:val="auto"/>
          <w:u w:color="000000"/>
        </w:rPr>
        <w:t xml:space="preserve"> </w:t>
      </w:r>
      <w:proofErr w:type="spellStart"/>
      <w:r w:rsidRPr="00DC1A5F">
        <w:rPr>
          <w:i/>
          <w:iCs/>
          <w:color w:val="auto"/>
          <w:u w:color="000000"/>
        </w:rPr>
        <w:t>Mātikā</w:t>
      </w:r>
      <w:proofErr w:type="spellEnd"/>
      <w:r w:rsidRPr="00DC1A5F">
        <w:rPr>
          <w:color w:val="auto"/>
          <w:u w:color="000000"/>
        </w:rPr>
        <w:t xml:space="preserve"> (</w:t>
      </w:r>
      <w:proofErr w:type="spellStart"/>
      <w:r w:rsidRPr="00DC1A5F">
        <w:rPr>
          <w:color w:val="auto"/>
          <w:u w:color="000000"/>
        </w:rPr>
        <w:t>Dhs</w:t>
      </w:r>
      <w:proofErr w:type="spellEnd"/>
      <w:r w:rsidRPr="00DC1A5F">
        <w:rPr>
          <w:color w:val="auto"/>
          <w:u w:color="000000"/>
        </w:rPr>
        <w:t xml:space="preserve"> 1).</w:t>
      </w:r>
    </w:p>
    <w:p w14:paraId="5AAA3B6E" w14:textId="77777777" w:rsidR="00597DE2" w:rsidRPr="00DC1A5F" w:rsidRDefault="00597DE2" w:rsidP="00597DE2">
      <w:pPr>
        <w:pStyle w:val="PiedepginaLegal"/>
        <w:ind w:firstLine="0"/>
        <w:rPr>
          <w:color w:val="auto"/>
          <w:u w:color="000000"/>
        </w:rPr>
      </w:pPr>
      <w:r w:rsidRPr="00DC1A5F">
        <w:rPr>
          <w:color w:val="auto"/>
          <w:u w:color="000000"/>
        </w:rPr>
        <w:tab/>
        <w:t xml:space="preserve">El </w:t>
      </w:r>
      <w:r w:rsidRPr="00DC1A5F">
        <w:rPr>
          <w:i/>
          <w:iCs/>
          <w:color w:val="auto"/>
          <w:u w:color="000000"/>
        </w:rPr>
        <w:t>Pali</w:t>
      </w:r>
      <w:r w:rsidRPr="00DC1A5F">
        <w:rPr>
          <w:color w:val="auto"/>
          <w:u w:color="000000"/>
        </w:rPr>
        <w:t xml:space="preserve"> posee cinco palabras principales, </w:t>
      </w:r>
      <w:proofErr w:type="spellStart"/>
      <w:r w:rsidRPr="00DC1A5F">
        <w:rPr>
          <w:i/>
          <w:color w:val="auto"/>
          <w:u w:color="000000"/>
        </w:rPr>
        <w:t>nāma</w:t>
      </w:r>
      <w:proofErr w:type="spellEnd"/>
      <w:r w:rsidRPr="00DC1A5F">
        <w:rPr>
          <w:color w:val="auto"/>
          <w:u w:color="000000"/>
        </w:rPr>
        <w:t xml:space="preserve">, </w:t>
      </w:r>
      <w:r w:rsidRPr="00DC1A5F">
        <w:rPr>
          <w:i/>
          <w:color w:val="auto"/>
          <w:u w:color="000000"/>
        </w:rPr>
        <w:t>viññāṇa</w:t>
      </w:r>
      <w:r w:rsidRPr="00DC1A5F">
        <w:rPr>
          <w:color w:val="auto"/>
          <w:u w:color="000000"/>
        </w:rPr>
        <w:t xml:space="preserve">, </w:t>
      </w:r>
      <w:r w:rsidRPr="00DC1A5F">
        <w:rPr>
          <w:i/>
          <w:iCs/>
          <w:color w:val="auto"/>
          <w:u w:color="000000"/>
        </w:rPr>
        <w:t>mano</w:t>
      </w:r>
      <w:r w:rsidRPr="00DC1A5F">
        <w:rPr>
          <w:color w:val="auto"/>
          <w:u w:color="000000"/>
        </w:rPr>
        <w:t xml:space="preserve">, </w:t>
      </w:r>
      <w:proofErr w:type="spellStart"/>
      <w:r w:rsidRPr="00DC1A5F">
        <w:rPr>
          <w:i/>
          <w:iCs/>
          <w:color w:val="auto"/>
          <w:u w:color="000000"/>
        </w:rPr>
        <w:t>citta</w:t>
      </w:r>
      <w:proofErr w:type="spellEnd"/>
      <w:r w:rsidRPr="00DC1A5F">
        <w:rPr>
          <w:color w:val="auto"/>
          <w:u w:color="000000"/>
        </w:rPr>
        <w:t xml:space="preserve"> y </w:t>
      </w:r>
      <w:proofErr w:type="spellStart"/>
      <w:r w:rsidRPr="00DC1A5F">
        <w:rPr>
          <w:i/>
          <w:iCs/>
          <w:color w:val="auto"/>
          <w:u w:color="000000"/>
        </w:rPr>
        <w:t>ceto</w:t>
      </w:r>
      <w:proofErr w:type="spellEnd"/>
      <w:r w:rsidRPr="00DC1A5F">
        <w:rPr>
          <w:color w:val="auto"/>
          <w:u w:color="000000"/>
        </w:rPr>
        <w:t xml:space="preserve">, en contraposición a los términos convencionales de </w:t>
      </w:r>
      <w:r w:rsidRPr="00DC1A5F">
        <w:rPr>
          <w:i/>
          <w:iCs/>
          <w:color w:val="auto"/>
          <w:u w:color="000000"/>
        </w:rPr>
        <w:t>consciencia</w:t>
      </w:r>
      <w:r w:rsidRPr="00DC1A5F">
        <w:rPr>
          <w:color w:val="auto"/>
          <w:u w:color="000000"/>
        </w:rPr>
        <w:t xml:space="preserve"> y </w:t>
      </w:r>
      <w:r w:rsidRPr="00DC1A5F">
        <w:rPr>
          <w:i/>
          <w:iCs/>
          <w:color w:val="auto"/>
          <w:u w:color="000000"/>
        </w:rPr>
        <w:t>mente</w:t>
      </w:r>
      <w:r w:rsidRPr="00DC1A5F">
        <w:rPr>
          <w:color w:val="auto"/>
          <w:u w:color="000000"/>
        </w:rPr>
        <w:t xml:space="preserve"> del </w:t>
      </w:r>
      <w:r w:rsidRPr="00DC1A5F">
        <w:rPr>
          <w:i/>
          <w:iCs/>
          <w:color w:val="auto"/>
          <w:u w:color="000000"/>
        </w:rPr>
        <w:t>inglés</w:t>
      </w:r>
      <w:r w:rsidRPr="00DC1A5F">
        <w:rPr>
          <w:color w:val="auto"/>
          <w:u w:color="000000"/>
        </w:rPr>
        <w:t>. Si bien su etimología se puede buscar en el diccionario, es necesario señalar aquí uno o dos puntos.</w:t>
      </w:r>
      <w:r w:rsidRPr="00DC1A5F">
        <w:t xml:space="preserve"> </w:t>
      </w:r>
      <w:proofErr w:type="spellStart"/>
      <w:r w:rsidRPr="00DC1A5F">
        <w:rPr>
          <w:i/>
          <w:color w:val="auto"/>
          <w:u w:color="000000"/>
        </w:rPr>
        <w:t>Nāma</w:t>
      </w:r>
      <w:proofErr w:type="spellEnd"/>
      <w:r w:rsidRPr="00DC1A5F">
        <w:rPr>
          <w:color w:val="auto"/>
          <w:u w:color="000000"/>
        </w:rPr>
        <w:t xml:space="preserve"> (traducido como “mentalidad” cuando no se usa para referirse a un nombre) está casi confinado al sentido considerado en la expresión </w:t>
      </w:r>
      <w:proofErr w:type="spellStart"/>
      <w:r w:rsidRPr="00DC1A5F">
        <w:rPr>
          <w:i/>
          <w:color w:val="auto"/>
          <w:u w:color="000000"/>
        </w:rPr>
        <w:t>nāma</w:t>
      </w:r>
      <w:proofErr w:type="spellEnd"/>
      <w:r w:rsidRPr="00DC1A5F">
        <w:rPr>
          <w:color w:val="auto"/>
          <w:u w:color="000000"/>
        </w:rPr>
        <w:t>–</w:t>
      </w:r>
      <w:r w:rsidRPr="00DC1A5F">
        <w:rPr>
          <w:i/>
          <w:color w:val="auto"/>
          <w:u w:color="000000"/>
        </w:rPr>
        <w:t>rūpa</w:t>
      </w:r>
      <w:r w:rsidRPr="00DC1A5F">
        <w:rPr>
          <w:color w:val="auto"/>
          <w:u w:color="000000"/>
        </w:rPr>
        <w:t xml:space="preserve"> (“mentalidad–materialidad”) como el cuarto elemento de la originación dependiente, donde está comprendido por los tres agregados mentales de la sensación, percepción y formación; no obstante, no por la consciencia (</w:t>
      </w:r>
      <w:r w:rsidRPr="00DC1A5F">
        <w:rPr>
          <w:i/>
          <w:color w:val="auto"/>
          <w:u w:color="000000"/>
        </w:rPr>
        <w:t>viññāṇa</w:t>
      </w:r>
      <w:r w:rsidRPr="00DC1A5F">
        <w:rPr>
          <w:color w:val="auto"/>
          <w:u w:color="000000"/>
        </w:rPr>
        <w:t>).</w:t>
      </w:r>
      <w:r w:rsidRPr="00DC1A5F">
        <w:t xml:space="preserve"> </w:t>
      </w:r>
      <w:r w:rsidRPr="00DC1A5F">
        <w:rPr>
          <w:i/>
          <w:color w:val="auto"/>
          <w:u w:color="000000"/>
        </w:rPr>
        <w:t>Viññāṇa</w:t>
      </w:r>
      <w:r w:rsidRPr="00DC1A5F">
        <w:rPr>
          <w:color w:val="auto"/>
          <w:u w:color="000000"/>
        </w:rPr>
        <w:t xml:space="preserve"> (traducido como “consciencia”) es, vagamente, más o menos un sinónimo de </w:t>
      </w:r>
      <w:r w:rsidRPr="00DC1A5F">
        <w:rPr>
          <w:i/>
          <w:iCs/>
          <w:color w:val="auto"/>
          <w:u w:color="000000"/>
        </w:rPr>
        <w:t>mano</w:t>
      </w:r>
      <w:r w:rsidRPr="00DC1A5F">
        <w:rPr>
          <w:color w:val="auto"/>
          <w:u w:color="000000"/>
        </w:rPr>
        <w:t xml:space="preserve"> y </w:t>
      </w:r>
      <w:proofErr w:type="spellStart"/>
      <w:r w:rsidRPr="00DC1A5F">
        <w:rPr>
          <w:i/>
          <w:iCs/>
          <w:color w:val="auto"/>
          <w:u w:color="000000"/>
        </w:rPr>
        <w:t>citta</w:t>
      </w:r>
      <w:proofErr w:type="spellEnd"/>
      <w:r w:rsidRPr="00DC1A5F">
        <w:rPr>
          <w:color w:val="auto"/>
          <w:u w:color="000000"/>
        </w:rPr>
        <w:t xml:space="preserve">; técnicamente, es una mera cognición considerada aparte de la sensación, la percepción o las formaciones. </w:t>
      </w:r>
      <w:r w:rsidRPr="00DC1A5F">
        <w:rPr>
          <w:i/>
          <w:iCs/>
          <w:color w:val="auto"/>
          <w:u w:color="000000"/>
        </w:rPr>
        <w:t>Mano</w:t>
      </w:r>
      <w:r w:rsidRPr="00DC1A5F">
        <w:rPr>
          <w:color w:val="auto"/>
          <w:u w:color="000000"/>
        </w:rPr>
        <w:t xml:space="preserve"> (traducido como “mente”), cuando se usa técnicamente, se limita a la sexta base interna para el contacto (Cap. XV).</w:t>
      </w:r>
      <w:r w:rsidRPr="00DC1A5F">
        <w:t xml:space="preserve"> </w:t>
      </w:r>
      <w:proofErr w:type="spellStart"/>
      <w:r w:rsidRPr="00DC1A5F">
        <w:rPr>
          <w:i/>
          <w:iCs/>
          <w:color w:val="auto"/>
          <w:u w:color="000000"/>
        </w:rPr>
        <w:t>Citta</w:t>
      </w:r>
      <w:proofErr w:type="spellEnd"/>
      <w:r w:rsidRPr="00DC1A5F">
        <w:rPr>
          <w:color w:val="auto"/>
          <w:u w:color="000000"/>
        </w:rPr>
        <w:t xml:space="preserve"> (traducido como “mente” y “consciencia” o “forma de consciencia”), cuando se use técnicamente, se referirá a una situación de tipo momentánea considerada como </w:t>
      </w:r>
      <w:r w:rsidRPr="00DC1A5F">
        <w:rPr>
          <w:i/>
          <w:color w:val="auto"/>
          <w:u w:color="000000"/>
        </w:rPr>
        <w:t>viññāṇa</w:t>
      </w:r>
      <w:r w:rsidRPr="00DC1A5F">
        <w:rPr>
          <w:color w:val="auto"/>
          <w:u w:color="000000"/>
        </w:rPr>
        <w:t xml:space="preserve"> en relación con el tono de su sensación, percepción y sus formaciones concomitantes. Posiblemente, una mejor interpretación hubiese sido en todo momento “conocimiento”. Lleva un sabor de su pariente etimológico, </w:t>
      </w:r>
      <w:proofErr w:type="spellStart"/>
      <w:r w:rsidRPr="00DC1A5F">
        <w:rPr>
          <w:i/>
          <w:iCs/>
          <w:color w:val="auto"/>
          <w:u w:color="000000"/>
        </w:rPr>
        <w:t>cetanā</w:t>
      </w:r>
      <w:proofErr w:type="spellEnd"/>
      <w:r w:rsidRPr="00DC1A5F">
        <w:rPr>
          <w:color w:val="auto"/>
          <w:u w:color="000000"/>
        </w:rPr>
        <w:t xml:space="preserve"> (“volición”). </w:t>
      </w:r>
      <w:proofErr w:type="spellStart"/>
      <w:r w:rsidRPr="00DC1A5F">
        <w:rPr>
          <w:i/>
          <w:iCs/>
          <w:color w:val="auto"/>
          <w:u w:color="000000"/>
        </w:rPr>
        <w:t>Ceto</w:t>
      </w:r>
      <w:proofErr w:type="spellEnd"/>
      <w:r w:rsidRPr="00DC1A5F">
        <w:rPr>
          <w:color w:val="auto"/>
          <w:u w:color="000000"/>
        </w:rPr>
        <w:t xml:space="preserve"> (otro pariente etimológico, traducido como “corazón” — es decir, “asiento de las emociones” — “voluntad” o “mente”), cuando se use libremente se acercará mucho a </w:t>
      </w:r>
      <w:proofErr w:type="spellStart"/>
      <w:r w:rsidRPr="00DC1A5F">
        <w:rPr>
          <w:i/>
          <w:iCs/>
          <w:color w:val="auto"/>
          <w:u w:color="000000"/>
        </w:rPr>
        <w:t>citta</w:t>
      </w:r>
      <w:proofErr w:type="spellEnd"/>
      <w:r w:rsidRPr="00DC1A5F">
        <w:rPr>
          <w:color w:val="auto"/>
          <w:u w:color="000000"/>
        </w:rPr>
        <w:t xml:space="preserve">; no obstante, estará restringido técnicamente a una o dos expresiones como </w:t>
      </w:r>
      <w:proofErr w:type="spellStart"/>
      <w:r w:rsidRPr="00DC1A5F">
        <w:rPr>
          <w:i/>
          <w:iCs/>
          <w:color w:val="auto"/>
          <w:u w:color="000000"/>
        </w:rPr>
        <w:t>cetovimutti</w:t>
      </w:r>
      <w:proofErr w:type="spellEnd"/>
      <w:r w:rsidRPr="00DC1A5F">
        <w:rPr>
          <w:color w:val="auto"/>
          <w:u w:color="000000"/>
        </w:rPr>
        <w:t xml:space="preserve"> (“liberación de la mente” o “liberación del corazón”).</w:t>
      </w:r>
    </w:p>
    <w:p w14:paraId="4FB6C09A"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“‘Esfera sensorial’ (</w:t>
      </w:r>
      <w:proofErr w:type="spellStart"/>
      <w:r w:rsidRPr="00DC1A5F">
        <w:rPr>
          <w:i/>
          <w:iCs/>
          <w:color w:val="auto"/>
          <w:u w:color="000000"/>
        </w:rPr>
        <w:t>kāmāvacara</w:t>
      </w:r>
      <w:proofErr w:type="spellEnd"/>
      <w:r w:rsidRPr="00DC1A5F">
        <w:rPr>
          <w:color w:val="auto"/>
          <w:u w:color="000000"/>
        </w:rPr>
        <w:t>): aquí se encuentran las dos clases de deseo sensorial (</w:t>
      </w:r>
      <w:proofErr w:type="spellStart"/>
      <w:r w:rsidRPr="00DC1A5F">
        <w:rPr>
          <w:i/>
          <w:iCs/>
          <w:color w:val="auto"/>
          <w:u w:color="000000"/>
        </w:rPr>
        <w:t>kāma</w:t>
      </w:r>
      <w:proofErr w:type="spellEnd"/>
      <w:r w:rsidRPr="00DC1A5F">
        <w:rPr>
          <w:color w:val="auto"/>
          <w:u w:color="000000"/>
        </w:rPr>
        <w:t>), el deseo sensorial como base (</w:t>
      </w:r>
      <w:proofErr w:type="spellStart"/>
      <w:r w:rsidRPr="00DC1A5F">
        <w:rPr>
          <w:i/>
          <w:iCs/>
          <w:color w:val="auto"/>
          <w:u w:color="000000"/>
        </w:rPr>
        <w:t>vatthu</w:t>
      </w:r>
      <w:proofErr w:type="spellEnd"/>
      <w:r w:rsidRPr="00DC1A5F">
        <w:rPr>
          <w:i/>
          <w:iCs/>
          <w:color w:val="auto"/>
          <w:u w:color="000000"/>
        </w:rPr>
        <w:t>–</w:t>
      </w:r>
      <w:proofErr w:type="spellStart"/>
      <w:r w:rsidRPr="00DC1A5F">
        <w:rPr>
          <w:i/>
          <w:iCs/>
          <w:color w:val="auto"/>
          <w:u w:color="000000"/>
        </w:rPr>
        <w:t>kāma</w:t>
      </w:r>
      <w:proofErr w:type="spellEnd"/>
      <w:r w:rsidRPr="00DC1A5F">
        <w:rPr>
          <w:color w:val="auto"/>
          <w:u w:color="000000"/>
        </w:rPr>
        <w:t>) y el deseo sensorial como contaminación (</w:t>
      </w:r>
      <w:proofErr w:type="spellStart"/>
      <w:r w:rsidRPr="00DC1A5F">
        <w:rPr>
          <w:i/>
          <w:iCs/>
          <w:color w:val="auto"/>
          <w:u w:color="000000"/>
        </w:rPr>
        <w:t>kilesakāma</w:t>
      </w:r>
      <w:proofErr w:type="spellEnd"/>
      <w:r w:rsidRPr="00DC1A5F">
        <w:rPr>
          <w:color w:val="auto"/>
          <w:u w:color="000000"/>
        </w:rPr>
        <w:t>). De estos, el deseo sensorial, como base [objetiva] particularizada, como las cinco cuerdas del deseo sensorial (</w:t>
      </w:r>
      <w:proofErr w:type="spellStart"/>
      <w:r w:rsidRPr="00DC1A5F">
        <w:rPr>
          <w:i/>
          <w:iCs/>
          <w:color w:val="auto"/>
          <w:u w:color="000000"/>
        </w:rPr>
        <w:t>pañca</w:t>
      </w:r>
      <w:proofErr w:type="spellEnd"/>
      <w:r w:rsidRPr="00DC1A5F">
        <w:rPr>
          <w:i/>
          <w:iCs/>
          <w:color w:val="auto"/>
          <w:u w:color="000000"/>
        </w:rPr>
        <w:t>–</w:t>
      </w:r>
      <w:proofErr w:type="spellStart"/>
      <w:r w:rsidRPr="00DC1A5F">
        <w:rPr>
          <w:i/>
          <w:iCs/>
          <w:color w:val="auto"/>
          <w:u w:color="000000"/>
        </w:rPr>
        <w:t>kāma</w:t>
      </w:r>
      <w:proofErr w:type="spellEnd"/>
      <w:r w:rsidRPr="00DC1A5F">
        <w:rPr>
          <w:i/>
          <w:iCs/>
          <w:color w:val="auto"/>
          <w:u w:color="000000"/>
        </w:rPr>
        <w:t>–</w:t>
      </w:r>
      <w:proofErr w:type="spellStart"/>
      <w:r w:rsidRPr="00DC1A5F">
        <w:rPr>
          <w:i/>
          <w:iCs/>
          <w:color w:val="auto"/>
          <w:u w:color="000000"/>
        </w:rPr>
        <w:t>guṇa</w:t>
      </w:r>
      <w:proofErr w:type="spellEnd"/>
      <w:r w:rsidRPr="00DC1A5F">
        <w:rPr>
          <w:color w:val="auto"/>
          <w:u w:color="000000"/>
        </w:rPr>
        <w:t xml:space="preserve"> = dimensiones de los deseos sensoriales), corresponderá a lo deseado (</w:t>
      </w:r>
      <w:proofErr w:type="spellStart"/>
      <w:r w:rsidRPr="00DC1A5F">
        <w:rPr>
          <w:i/>
          <w:iCs/>
          <w:color w:val="auto"/>
          <w:u w:color="000000"/>
        </w:rPr>
        <w:t>kāmiyati</w:t>
      </w:r>
      <w:proofErr w:type="spellEnd"/>
      <w:r w:rsidRPr="00DC1A5F">
        <w:rPr>
          <w:color w:val="auto"/>
          <w:u w:color="000000"/>
        </w:rPr>
        <w:t>). Al deseo sensorial como contaminación, lo cual corresponderá al deseo, a la avidez (</w:t>
      </w:r>
      <w:proofErr w:type="spellStart"/>
      <w:r w:rsidRPr="00DC1A5F">
        <w:rPr>
          <w:i/>
          <w:iCs/>
          <w:color w:val="auto"/>
          <w:u w:color="000000"/>
        </w:rPr>
        <w:t>kāmeti</w:t>
      </w:r>
      <w:proofErr w:type="spellEnd"/>
      <w:r w:rsidRPr="00DC1A5F">
        <w:rPr>
          <w:color w:val="auto"/>
          <w:u w:color="000000"/>
        </w:rPr>
        <w:t>).</w:t>
      </w:r>
      <w:r w:rsidRPr="00DC1A5F">
        <w:t xml:space="preserve"> </w:t>
      </w:r>
      <w:r w:rsidRPr="00DC1A5F">
        <w:rPr>
          <w:color w:val="auto"/>
          <w:u w:color="000000"/>
        </w:rPr>
        <w:t>La esfera sensorial (</w:t>
      </w:r>
      <w:proofErr w:type="spellStart"/>
      <w:r w:rsidRPr="00DC1A5F">
        <w:rPr>
          <w:i/>
          <w:iCs/>
          <w:color w:val="auto"/>
          <w:u w:color="000000"/>
        </w:rPr>
        <w:t>kāmāvacara</w:t>
      </w:r>
      <w:proofErr w:type="spellEnd"/>
      <w:r w:rsidRPr="00DC1A5F">
        <w:rPr>
          <w:color w:val="auto"/>
          <w:u w:color="000000"/>
        </w:rPr>
        <w:t>) será donde estos dos operen (</w:t>
      </w:r>
      <w:proofErr w:type="spellStart"/>
      <w:r w:rsidRPr="00DC1A5F">
        <w:rPr>
          <w:i/>
          <w:iCs/>
          <w:color w:val="auto"/>
          <w:u w:color="000000"/>
        </w:rPr>
        <w:t>avacaranti</w:t>
      </w:r>
      <w:proofErr w:type="spellEnd"/>
      <w:r w:rsidRPr="00DC1A5F">
        <w:rPr>
          <w:color w:val="auto"/>
          <w:u w:color="000000"/>
        </w:rPr>
        <w:t>) conjuntamente. No obstante, ¿qué es eso? Corresponde al devenir de los 11 sentidos del deseo, es decir, (i) el infierno, (</w:t>
      </w:r>
      <w:proofErr w:type="spellStart"/>
      <w:r w:rsidRPr="00DC1A5F">
        <w:rPr>
          <w:color w:val="auto"/>
          <w:u w:color="000000"/>
        </w:rPr>
        <w:t>ii</w:t>
      </w:r>
      <w:proofErr w:type="spellEnd"/>
      <w:r w:rsidRPr="00DC1A5F">
        <w:rPr>
          <w:color w:val="auto"/>
          <w:u w:color="000000"/>
        </w:rPr>
        <w:t xml:space="preserve">) los demonios </w:t>
      </w:r>
      <w:r w:rsidRPr="00DC1A5F">
        <w:rPr>
          <w:i/>
          <w:iCs/>
          <w:color w:val="auto"/>
          <w:u w:color="000000"/>
        </w:rPr>
        <w:t>asuras</w:t>
      </w:r>
      <w:r w:rsidRPr="00DC1A5F">
        <w:rPr>
          <w:color w:val="auto"/>
          <w:u w:color="000000"/>
        </w:rPr>
        <w:t>, (</w:t>
      </w:r>
      <w:proofErr w:type="spellStart"/>
      <w:r w:rsidRPr="00DC1A5F">
        <w:rPr>
          <w:color w:val="auto"/>
          <w:u w:color="000000"/>
        </w:rPr>
        <w:t>iii</w:t>
      </w:r>
      <w:proofErr w:type="spellEnd"/>
      <w:r w:rsidRPr="00DC1A5F">
        <w:rPr>
          <w:color w:val="auto"/>
          <w:u w:color="000000"/>
        </w:rPr>
        <w:t>) los fantasmas, (</w:t>
      </w:r>
      <w:proofErr w:type="spellStart"/>
      <w:r w:rsidRPr="00DC1A5F">
        <w:rPr>
          <w:color w:val="auto"/>
          <w:u w:color="000000"/>
        </w:rPr>
        <w:t>iv</w:t>
      </w:r>
      <w:proofErr w:type="spellEnd"/>
      <w:r w:rsidRPr="00DC1A5F">
        <w:rPr>
          <w:color w:val="auto"/>
          <w:u w:color="000000"/>
        </w:rPr>
        <w:t>) los animales, (v) los seres humanos y (vi–xi) los cielos de las 6 esferas sensuales</w:t>
      </w:r>
      <w:r w:rsidRPr="00DC1A5F">
        <w:rPr>
          <w:color w:val="833C0B" w:themeColor="accent2" w:themeShade="80"/>
          <w:u w:color="000000"/>
        </w:rPr>
        <w:t>.</w:t>
      </w:r>
      <w:r w:rsidRPr="00DC1A5F">
        <w:t xml:space="preserve"> </w:t>
      </w:r>
      <w:r w:rsidRPr="00DC1A5F">
        <w:rPr>
          <w:color w:val="auto"/>
          <w:u w:color="000000"/>
        </w:rPr>
        <w:t>Lo mismo ocurre con la esfera de la materia sutil y la esfera inmaterial, considerando también “material sutil” como el deseo de la materia sutil, e “inmaterial” como deseo hacia lo inmaterial. Esto atraviesa (</w:t>
      </w:r>
      <w:proofErr w:type="spellStart"/>
      <w:r w:rsidRPr="00DC1A5F">
        <w:rPr>
          <w:i/>
          <w:iCs/>
          <w:color w:val="auto"/>
          <w:u w:color="000000"/>
        </w:rPr>
        <w:t>uttarati</w:t>
      </w:r>
      <w:proofErr w:type="spellEnd"/>
      <w:r w:rsidRPr="00DC1A5F">
        <w:rPr>
          <w:color w:val="auto"/>
          <w:u w:color="000000"/>
        </w:rPr>
        <w:t>) el mundo (</w:t>
      </w:r>
      <w:r w:rsidRPr="00DC1A5F">
        <w:rPr>
          <w:i/>
          <w:iCs/>
          <w:color w:val="auto"/>
          <w:u w:color="000000"/>
        </w:rPr>
        <w:t>loka</w:t>
      </w:r>
      <w:r w:rsidRPr="00DC1A5F">
        <w:rPr>
          <w:color w:val="auto"/>
          <w:u w:color="000000"/>
        </w:rPr>
        <w:t>), por lo que es supramundano (</w:t>
      </w:r>
      <w:proofErr w:type="spellStart"/>
      <w:r w:rsidRPr="00DC1A5F">
        <w:rPr>
          <w:i/>
          <w:iCs/>
          <w:color w:val="auto"/>
          <w:u w:color="000000"/>
        </w:rPr>
        <w:t>lokuttara</w:t>
      </w:r>
      <w:proofErr w:type="spellEnd"/>
      <w:r w:rsidRPr="00DC1A5F">
        <w:rPr>
          <w:color w:val="auto"/>
          <w:u w:color="000000"/>
        </w:rPr>
        <w:t>)”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464).</w:t>
      </w:r>
    </w:p>
    <w:p w14:paraId="3107C563" w14:textId="77777777" w:rsidR="00597DE2" w:rsidRPr="00DC1A5F" w:rsidRDefault="00597DE2" w:rsidP="00597DE2">
      <w:pPr>
        <w:tabs>
          <w:tab w:val="clear" w:pos="425"/>
        </w:tabs>
        <w:spacing w:after="160"/>
      </w:pPr>
      <w:r w:rsidRPr="00DC1A5F">
        <w:br w:type="page"/>
      </w:r>
    </w:p>
    <w:p w14:paraId="122C40F5" w14:textId="77777777" w:rsidR="00597DE2" w:rsidRPr="00DC1A5F" w:rsidRDefault="00597DE2" w:rsidP="00597DE2">
      <w:pPr>
        <w:pStyle w:val="NormalConSangria"/>
      </w:pPr>
      <w:r w:rsidRPr="00DC1A5F">
        <w:lastRenderedPageBreak/>
        <w:t xml:space="preserve">I. A. Aquí, las consciencias la de la </w:t>
      </w:r>
      <w:r w:rsidRPr="00DC1A5F">
        <w:rPr>
          <w:i/>
          <w:iCs/>
        </w:rPr>
        <w:t>esfera sensorial</w:t>
      </w:r>
      <w:r w:rsidRPr="00DC1A5F">
        <w:t xml:space="preserve"> es óctuple (1)–(8), clasificándose de acuerdo a la alegría, la ecuanimidad, el conocimiento y la incitación, es decir: (1) cuando va acompañada de dicha está asociada con conocimiento y es espontánea, o (2) lo mismo e incitada; o (3) está disociado–del–conocimiento y del mismo modo es espontánea, o (4) lo mismo e incitada; y (5) cuando va acompañada de ecuanimidad, o bien está asociada con el conocimiento y es incitada, o (6) lo mismo y no es incitada; o (7) está disociada–del–conocimiento [453] y del mismo modo es espontánea, o (8) lo mismo pero es incitada.</w:t>
      </w:r>
    </w:p>
    <w:p w14:paraId="46C4B040" w14:textId="77777777" w:rsidR="00597DE2" w:rsidRPr="00DC1A5F" w:rsidRDefault="00597DE2" w:rsidP="00597DE2">
      <w:r w:rsidRPr="00DC1A5F">
        <w:t xml:space="preserve">84. </w:t>
      </w:r>
      <w:r w:rsidRPr="00DC1A5F">
        <w:tab/>
        <w:t xml:space="preserve">(1) Cuando un hombre está feliz al encontrar un excelente presente para ser ofrecido o un receptor, etc., o alguna causa de dicha y al activar la visión correcta en primer lugar, la cual ocurre en el pasaje que comienza “Existe el mérito en dar” (M I 288), él sin vacilar y sin insistencia por parte de otros realiza méritos tales como la </w:t>
      </w:r>
      <w:proofErr w:type="spellStart"/>
      <w:r w:rsidRPr="00DC1A5F">
        <w:t>generosidd</w:t>
      </w:r>
      <w:proofErr w:type="spellEnd"/>
      <w:r w:rsidRPr="00DC1A5F">
        <w:t>, etc., entonces su consciencia s</w:t>
      </w:r>
      <w:r w:rsidRPr="00DC1A5F">
        <w:rPr>
          <w:i/>
          <w:iCs/>
        </w:rPr>
        <w:t>e acompaña de alegría, asociada con el conocimiento y espontánea.</w:t>
      </w:r>
      <w:r w:rsidRPr="00DC1A5F">
        <w:t xml:space="preserve"> (2) No obstante, cuando un hombre sea feliz y esté contento de la manera antedicha y, aunque active la visión correcta por encima de todo, lo haga vacilantemente por falta de espontánea generosidad, etc., o sea instado por otros, entonces su consciencia será del mismo tipo que la anterior pero será </w:t>
      </w:r>
      <w:r w:rsidRPr="00DC1A5F">
        <w:rPr>
          <w:i/>
          <w:iCs/>
        </w:rPr>
        <w:t>incitada</w:t>
      </w:r>
      <w:r w:rsidRPr="00DC1A5F">
        <w:t>; porque en este sentido, “incitada” corresponderá a un término para un refuerzo previo ejercido por él mismo o por otros.</w:t>
      </w:r>
    </w:p>
    <w:p w14:paraId="02AA5867" w14:textId="77777777" w:rsidR="00597DE2" w:rsidRPr="00DC1A5F" w:rsidRDefault="00597DE2" w:rsidP="00597DE2">
      <w:r w:rsidRPr="00DC1A5F">
        <w:t xml:space="preserve">85. </w:t>
      </w:r>
      <w:r w:rsidRPr="00DC1A5F">
        <w:tab/>
        <w:t xml:space="preserve">(3) No obstante, cuando los niños pequeños tienen un hábito natural virtuoso debido a ser influenciado por el comportamiento de sus padres y se alegran al ver a los </w:t>
      </w:r>
      <w:proofErr w:type="spellStart"/>
      <w:r w:rsidRPr="00DC1A5F">
        <w:rPr>
          <w:i/>
        </w:rPr>
        <w:t>bhikkhu</w:t>
      </w:r>
      <w:r w:rsidRPr="00DC1A5F">
        <w:t>s</w:t>
      </w:r>
      <w:proofErr w:type="spellEnd"/>
      <w:r w:rsidRPr="00DC1A5F">
        <w:t xml:space="preserve"> y de inmediato les da lo que tengan en sus manos o les rinden reverencia, entonces surgirá el tercer tipo de consciencia. (4) No obstante, cuando se comporten así al ser instados por sus parientes: “Dad; rinde reverencia”, entonces surgirá el cuarto tipo de consciencia. (5)–(8) Sin embargo, cuando las consciencias estén desprovistas de alegría en estos </w:t>
      </w:r>
      <w:r w:rsidRPr="00DC1A5F">
        <w:rPr>
          <w:i/>
          <w:iCs/>
        </w:rPr>
        <w:t>cuatro casos</w:t>
      </w:r>
      <w:r w:rsidRPr="00DC1A5F">
        <w:t xml:space="preserve"> por no encontrar excelencia en el presente que se vaya a dar o en el receptor, etc., o por falta de tal motivación para el surgimiento de la alegría, entonces surgirán las cuatro restantes, que irán </w:t>
      </w:r>
      <w:r w:rsidRPr="00DC1A5F">
        <w:rPr>
          <w:i/>
          <w:iCs/>
        </w:rPr>
        <w:t>acompañados</w:t>
      </w:r>
      <w:r w:rsidRPr="00DC1A5F">
        <w:t xml:space="preserve"> </w:t>
      </w:r>
      <w:r w:rsidRPr="00DC1A5F">
        <w:rPr>
          <w:i/>
          <w:iCs/>
        </w:rPr>
        <w:t>de ecuanimidad</w:t>
      </w:r>
      <w:r w:rsidRPr="00DC1A5F">
        <w:t>.</w:t>
      </w:r>
    </w:p>
    <w:p w14:paraId="5C0E1007" w14:textId="77777777" w:rsidR="00597DE2" w:rsidRPr="00DC1A5F" w:rsidRDefault="00597DE2" w:rsidP="00597DE2">
      <w:pPr>
        <w:pStyle w:val="NormalConSangria"/>
      </w:pPr>
      <w:r w:rsidRPr="00DC1A5F">
        <w:t>Por lo tanto, la consciencia productiva de la esfera sensorial deberá entenderse como de 8 tipos, clasificándose de acuerdo con la dicha, la ecuanimidad, el conocimiento y la presencia o ausencia de espontaneidad.</w:t>
      </w:r>
    </w:p>
    <w:p w14:paraId="2289C79F" w14:textId="77777777" w:rsidR="00597DE2" w:rsidRPr="00DC1A5F" w:rsidRDefault="00597DE2" w:rsidP="00597DE2">
      <w:r w:rsidRPr="00DC1A5F">
        <w:t xml:space="preserve">86. </w:t>
      </w:r>
      <w:r w:rsidRPr="00DC1A5F">
        <w:tab/>
        <w:t xml:space="preserve">I. B. La consciencia de la esfera de la materia sutil serán 5 y se clasificará de acuerdo con la asociación con los factores </w:t>
      </w:r>
      <w:proofErr w:type="spellStart"/>
      <w:r w:rsidRPr="00DC1A5F">
        <w:rPr>
          <w:i/>
        </w:rPr>
        <w:t>jhānicos</w:t>
      </w:r>
      <w:proofErr w:type="spellEnd"/>
      <w:r w:rsidRPr="00DC1A5F">
        <w:t>. Es decir, (9) la 1° estará asociada con la aplicación mental, la sustentación mental, la felicidad, la dicha y la concentración, (10) la 2° excluirá la aplicación mental, (11) la 3° excluirá además la sustentación mental, (12) la 4° hará que la dicha se reduzca, (13) la 5° estará asociada con la ecuanimidad y la concentración, habiéndose reducido la dicha.</w:t>
      </w:r>
    </w:p>
    <w:p w14:paraId="1ABBD889" w14:textId="77777777" w:rsidR="00597DE2" w:rsidRPr="00DC1A5F" w:rsidRDefault="00597DE2" w:rsidP="00597DE2">
      <w:pPr>
        <w:rPr>
          <w:color w:val="833C0B" w:themeColor="accent2" w:themeShade="80"/>
        </w:rPr>
      </w:pPr>
      <w:r w:rsidRPr="00DC1A5F">
        <w:t xml:space="preserve">87. </w:t>
      </w:r>
      <w:r w:rsidRPr="00DC1A5F">
        <w:tab/>
        <w:t xml:space="preserve">I. C. Las consciencias de la </w:t>
      </w:r>
      <w:r w:rsidRPr="00DC1A5F">
        <w:rPr>
          <w:i/>
          <w:iCs/>
        </w:rPr>
        <w:t>esfera inmaterial</w:t>
      </w:r>
      <w:r w:rsidRPr="00DC1A5F">
        <w:t xml:space="preserve"> serán cuádruple por asociación con los 4 estados inmateriales; porque (14) la primera estará asociada con el </w:t>
      </w:r>
      <w:proofErr w:type="spellStart"/>
      <w:r w:rsidRPr="00DC1A5F">
        <w:rPr>
          <w:i/>
        </w:rPr>
        <w:t>jhāna</w:t>
      </w:r>
      <w:proofErr w:type="spellEnd"/>
      <w:r w:rsidRPr="00DC1A5F">
        <w:t xml:space="preserve"> de la base consistente del espacio infinito en la forma antes mencionada, mientras que (15)–(17) el segundo, tercero y cuarto, estarán [respectivamente] asociadas con los de la base consistentes de la consciencia infinita, etc. </w:t>
      </w:r>
      <w:r w:rsidRPr="00DC1A5F">
        <w:rPr>
          <w:color w:val="833C0B" w:themeColor="accent2" w:themeShade="80"/>
        </w:rPr>
        <w:t>{ver Cap. X}</w:t>
      </w:r>
    </w:p>
    <w:p w14:paraId="336EB4F8" w14:textId="77777777" w:rsidR="00597DE2" w:rsidRPr="00DC1A5F" w:rsidRDefault="00597DE2" w:rsidP="00597DE2">
      <w:r w:rsidRPr="00DC1A5F">
        <w:t xml:space="preserve">88. </w:t>
      </w:r>
      <w:r w:rsidRPr="00DC1A5F">
        <w:tab/>
        <w:t xml:space="preserve">I. D. Las </w:t>
      </w:r>
      <w:r w:rsidRPr="00DC1A5F">
        <w:rPr>
          <w:i/>
          <w:iCs/>
        </w:rPr>
        <w:t>supramundanas</w:t>
      </w:r>
      <w:r w:rsidRPr="00DC1A5F">
        <w:t xml:space="preserve"> serán 4 (18)–(21) en </w:t>
      </w:r>
      <w:r w:rsidRPr="00DC1A5F">
        <w:rPr>
          <w:i/>
          <w:iCs/>
        </w:rPr>
        <w:t>asociación</w:t>
      </w:r>
      <w:r w:rsidRPr="00DC1A5F">
        <w:t xml:space="preserve"> con los cuatro senderos.</w:t>
      </w:r>
    </w:p>
    <w:p w14:paraId="39216696" w14:textId="77777777" w:rsidR="00597DE2" w:rsidRPr="00DC1A5F" w:rsidRDefault="00597DE2" w:rsidP="00597DE2">
      <w:pPr>
        <w:pStyle w:val="PiedepginaLegal"/>
        <w:rPr>
          <w:u w:val="single"/>
        </w:rPr>
      </w:pPr>
      <w:r w:rsidRPr="00DC1A5F">
        <w:t xml:space="preserve"> </w:t>
      </w:r>
      <w:r w:rsidRPr="00DC1A5F">
        <w:rPr>
          <w:u w:val="single"/>
        </w:rPr>
        <w:tab/>
      </w:r>
      <w:r w:rsidRPr="00DC1A5F">
        <w:rPr>
          <w:u w:val="single"/>
        </w:rPr>
        <w:tab/>
      </w:r>
      <w:r w:rsidRPr="00DC1A5F">
        <w:rPr>
          <w:u w:val="single"/>
        </w:rPr>
        <w:tab/>
      </w:r>
      <w:r w:rsidRPr="00DC1A5F">
        <w:rPr>
          <w:u w:val="single"/>
        </w:rPr>
        <w:tab/>
        <w:t>.</w:t>
      </w:r>
    </w:p>
    <w:p w14:paraId="51694FD3" w14:textId="77777777" w:rsidR="00597DE2" w:rsidRPr="00DC1A5F" w:rsidRDefault="00597DE2" w:rsidP="00597DE2">
      <w:pPr>
        <w:pStyle w:val="PiedepginaLegal"/>
      </w:pPr>
      <w:r w:rsidRPr="00DC1A5F">
        <w:t>…</w:t>
      </w:r>
      <w:r w:rsidRPr="00DC1A5F">
        <w:tab/>
      </w:r>
      <w:r w:rsidRPr="00DC1A5F">
        <w:sym w:font="Symbol" w:char="F0AD"/>
      </w:r>
      <w:r w:rsidRPr="00DC1A5F">
        <w:br w:type="page"/>
      </w:r>
    </w:p>
    <w:p w14:paraId="5028287E" w14:textId="77777777" w:rsidR="00597DE2" w:rsidRPr="00DC1A5F" w:rsidRDefault="00597DE2" w:rsidP="00597DE2">
      <w:pPr>
        <w:pStyle w:val="Textoindependiente"/>
      </w:pPr>
      <w:r w:rsidRPr="00DC1A5F">
        <w:lastRenderedPageBreak/>
        <w:t>Entonces, en primer lugar, las consciencias productivas serán de 21 clases. [454]</w:t>
      </w:r>
    </w:p>
    <w:p w14:paraId="2FA6579F" w14:textId="77777777" w:rsidR="00597DE2" w:rsidRPr="00DC1A5F" w:rsidRDefault="00597DE2" w:rsidP="00597DE2">
      <w:r w:rsidRPr="00DC1A5F">
        <w:t xml:space="preserve">89. </w:t>
      </w:r>
      <w:r w:rsidRPr="00DC1A5F">
        <w:tab/>
        <w:t xml:space="preserve">II. Las consciencias </w:t>
      </w:r>
      <w:r w:rsidRPr="00DC1A5F">
        <w:rPr>
          <w:i/>
          <w:iCs/>
        </w:rPr>
        <w:t>improductivas</w:t>
      </w:r>
      <w:r w:rsidRPr="00DC1A5F">
        <w:t xml:space="preserve"> serán de 1 clase según el plano, correspondiendo sólo a la esfera sensorial, de 3 clases según la raíz, como (A) arraigada en la codicia, (B) arraigada en el odio, y (C) arraigada en la ilusión.</w:t>
      </w:r>
    </w:p>
    <w:p w14:paraId="1B7C2D2E" w14:textId="77777777" w:rsidR="00597DE2" w:rsidRPr="00DC1A5F" w:rsidRDefault="00597DE2" w:rsidP="00597DE2">
      <w:r w:rsidRPr="00DC1A5F">
        <w:t xml:space="preserve">90. </w:t>
      </w:r>
      <w:r w:rsidRPr="00DC1A5F">
        <w:tab/>
        <w:t xml:space="preserve">II.A. Aquí, las consciencias (22)–(29) </w:t>
      </w:r>
      <w:r w:rsidRPr="00DC1A5F">
        <w:rPr>
          <w:i/>
          <w:iCs/>
        </w:rPr>
        <w:t>arraigadas en la codicia</w:t>
      </w:r>
      <w:r w:rsidRPr="00DC1A5F">
        <w:t xml:space="preserve"> serán de 8 clases, siendo clasificadas de acuerdo con la dicha, la ecuanimidad, la visión incorrecta y la espontaneidad, es decir: (22) acompañada de dicha y asociada con una visión incorrecta y espontánea, o (23) lo mismo pero incitada; o (24) disociada de la visión incorrecta y de la misma manera espontánea o (25) lo mismo pero incitada; y (26) acompañada de ecuanimidad, asociada con una visión incorrecta y espontánea, o (27) lo mismo pero incitada; o (28) disociada de la visión incorrecta y de la misma manera espontánea, o (29) lo mismo pero incitada.</w:t>
      </w:r>
    </w:p>
    <w:p w14:paraId="05DDFCF4" w14:textId="77777777" w:rsidR="00597DE2" w:rsidRPr="00DC1A5F" w:rsidRDefault="00597DE2" w:rsidP="00597DE2">
      <w:r w:rsidRPr="00DC1A5F">
        <w:t xml:space="preserve">91. </w:t>
      </w:r>
      <w:r w:rsidRPr="00DC1A5F">
        <w:tab/>
        <w:t>(22) Cuando un hombre es feliz y se contenta con anteponer un punto de vista incorrecto del tipo que comienza con “no existe peligro en los deseos sensoriales” (M I 307), y disfruta de los deseos sensoriales con la consciencia de que su propia esencia individual estará animada sin ser urgida, o cree que las visiones auspiciosas, etc., poseen un núcleo [una sustancial real], entonces surgirá la primera clase de consciencia improductiva; (23) cuando se trate de una consciencia perezosa o excitada, entonces será de la segunda clase. (24) No obstante, cuando un hombre sea feliz y esté contento solamente, sin dar prioridad a una visión incorrecta y se entregue a las relaciones sexuales, o hacia la codicia de la buena fortuna de otros, o robe los bienes de otros, con consciencia de que en su propia esencia individual estará ansiosa sin ser apremiada, entonces será de la tercera clase. (25) Cuando se trate de una consciencia perezosa o excitada, entonces serán de la cuarta clase. (26)–(29) No obstante, cuando las consciencias estén desprovistas de dicha en estos 4 casos por no encontrar excelencia en los deseos sensoriales, o por falta de tal motivo de alegría, entonces surgirán las 4 consciencias restantes, acompañadas de ecuanimidad.</w:t>
      </w:r>
    </w:p>
    <w:p w14:paraId="303DDBCE" w14:textId="77777777" w:rsidR="00597DE2" w:rsidRPr="00DC1A5F" w:rsidRDefault="00597DE2" w:rsidP="00597DE2">
      <w:pPr>
        <w:pStyle w:val="NormalConSangria"/>
      </w:pPr>
      <w:r w:rsidRPr="00DC1A5F">
        <w:t xml:space="preserve">De modo que la raíz de la codicia deberá entenderse como de 8 clases, clasificándose </w:t>
      </w:r>
      <w:proofErr w:type="gramStart"/>
      <w:r w:rsidRPr="00DC1A5F">
        <w:t>de acuerdo a</w:t>
      </w:r>
      <w:proofErr w:type="gramEnd"/>
      <w:r w:rsidRPr="00DC1A5F">
        <w:t xml:space="preserve"> la dicha, la ecuanimidad, la visión incorrecta y la espontaneidad.</w:t>
      </w:r>
    </w:p>
    <w:p w14:paraId="50264C65" w14:textId="77777777" w:rsidR="00597DE2" w:rsidRPr="00DC1A5F" w:rsidRDefault="00597DE2" w:rsidP="00597DE2">
      <w:r w:rsidRPr="00DC1A5F">
        <w:t xml:space="preserve">92. </w:t>
      </w:r>
      <w:r w:rsidRPr="00DC1A5F">
        <w:tab/>
        <w:t xml:space="preserve">II.B. Las que estén </w:t>
      </w:r>
      <w:r w:rsidRPr="00DC1A5F">
        <w:rPr>
          <w:i/>
          <w:iCs/>
        </w:rPr>
        <w:t>arraigadas en el odio</w:t>
      </w:r>
      <w:r w:rsidRPr="00DC1A5F">
        <w:t xml:space="preserve"> serán de 2 clases: (30)–(31) </w:t>
      </w:r>
      <w:r w:rsidRPr="00DC1A5F">
        <w:rPr>
          <w:i/>
          <w:iCs/>
        </w:rPr>
        <w:t>acompañada</w:t>
      </w:r>
      <w:r w:rsidRPr="00DC1A5F">
        <w:t>–</w:t>
      </w:r>
      <w:r w:rsidRPr="00DC1A5F">
        <w:rPr>
          <w:i/>
          <w:iCs/>
        </w:rPr>
        <w:t>de</w:t>
      </w:r>
      <w:r w:rsidRPr="00DC1A5F">
        <w:t>–</w:t>
      </w:r>
      <w:r w:rsidRPr="00DC1A5F">
        <w:rPr>
          <w:i/>
          <w:iCs/>
        </w:rPr>
        <w:t xml:space="preserve">aflicción </w:t>
      </w:r>
      <w:r w:rsidRPr="00DC1A5F">
        <w:t xml:space="preserve">y </w:t>
      </w:r>
      <w:r w:rsidRPr="00DC1A5F">
        <w:rPr>
          <w:i/>
          <w:iCs/>
        </w:rPr>
        <w:t>asociada</w:t>
      </w:r>
      <w:r w:rsidRPr="00DC1A5F">
        <w:t>–</w:t>
      </w:r>
      <w:r w:rsidRPr="00DC1A5F">
        <w:rPr>
          <w:i/>
          <w:iCs/>
        </w:rPr>
        <w:t>con</w:t>
      </w:r>
      <w:r w:rsidRPr="00DC1A5F">
        <w:t>–</w:t>
      </w:r>
      <w:r w:rsidRPr="00DC1A5F">
        <w:rPr>
          <w:i/>
          <w:iCs/>
        </w:rPr>
        <w:t>resentimiento</w:t>
      </w:r>
      <w:r w:rsidRPr="00DC1A5F">
        <w:t xml:space="preserve">, </w:t>
      </w:r>
      <w:r w:rsidRPr="00DC1A5F">
        <w:rPr>
          <w:i/>
          <w:iCs/>
        </w:rPr>
        <w:t>incitada</w:t>
      </w:r>
      <w:r w:rsidRPr="00DC1A5F">
        <w:t xml:space="preserve"> o </w:t>
      </w:r>
      <w:r w:rsidRPr="00DC1A5F">
        <w:rPr>
          <w:i/>
          <w:iCs/>
        </w:rPr>
        <w:t>espontánea</w:t>
      </w:r>
      <w:r w:rsidRPr="00DC1A5F">
        <w:t xml:space="preserve">. Debe </w:t>
      </w:r>
      <w:r w:rsidRPr="00DC1A5F">
        <w:rPr>
          <w:i/>
          <w:iCs/>
        </w:rPr>
        <w:t>entenderse</w:t>
      </w:r>
      <w:r w:rsidRPr="00DC1A5F">
        <w:t xml:space="preserve"> que ocurrirán en los momentos en que la consciencia sea aguda, si es espontánea o no sea incitada; o será perezosa si se le incitara en la matanza de seres vivos, etc.</w:t>
      </w:r>
    </w:p>
    <w:p w14:paraId="684DA15F" w14:textId="77777777" w:rsidR="00597DE2" w:rsidRPr="00DC1A5F" w:rsidRDefault="00597DE2" w:rsidP="00597DE2">
      <w:r w:rsidRPr="00DC1A5F">
        <w:t xml:space="preserve">93. </w:t>
      </w:r>
      <w:r w:rsidRPr="00DC1A5F">
        <w:tab/>
        <w:t xml:space="preserve">II.C Las consciencias </w:t>
      </w:r>
      <w:r w:rsidRPr="00DC1A5F">
        <w:rPr>
          <w:i/>
          <w:iCs/>
        </w:rPr>
        <w:t>arraigadas en la ilusión</w:t>
      </w:r>
      <w:r w:rsidRPr="00DC1A5F">
        <w:t xml:space="preserve"> serán de 2 clases: (32)–(33) </w:t>
      </w:r>
      <w:r w:rsidRPr="00DC1A5F">
        <w:rPr>
          <w:i/>
          <w:iCs/>
        </w:rPr>
        <w:t>acompañada–de–ecuanimidad</w:t>
      </w:r>
      <w:r w:rsidRPr="00DC1A5F">
        <w:t xml:space="preserve">, asociada–con–incertidumbre o asociado–con–agitación. Debe </w:t>
      </w:r>
      <w:r w:rsidRPr="00DC1A5F">
        <w:rPr>
          <w:i/>
          <w:iCs/>
        </w:rPr>
        <w:t>entenderse</w:t>
      </w:r>
      <w:r w:rsidRPr="00DC1A5F">
        <w:t xml:space="preserve"> que ocurre en el momento de la indecisión o de la distracción.</w:t>
      </w:r>
    </w:p>
    <w:p w14:paraId="05349BD2" w14:textId="77777777" w:rsidR="00597DE2" w:rsidRPr="00DC1A5F" w:rsidRDefault="00597DE2" w:rsidP="00597DE2">
      <w:pPr>
        <w:pStyle w:val="NormalConSangria"/>
      </w:pPr>
      <w:r w:rsidRPr="00DC1A5F">
        <w:t>De modo que las consciencias improductivas serán de 12 clases.</w:t>
      </w:r>
    </w:p>
    <w:p w14:paraId="4E4A86C1" w14:textId="77777777" w:rsidR="00597DE2" w:rsidRPr="00DC1A5F" w:rsidRDefault="00597DE2" w:rsidP="00597DE2">
      <w:r w:rsidRPr="00DC1A5F">
        <w:t xml:space="preserve">94. </w:t>
      </w:r>
      <w:r w:rsidRPr="00DC1A5F">
        <w:tab/>
        <w:t xml:space="preserve">III. Las consciencias </w:t>
      </w:r>
      <w:r w:rsidRPr="00DC1A5F">
        <w:rPr>
          <w:i/>
          <w:iCs/>
        </w:rPr>
        <w:t>indeterminadas</w:t>
      </w:r>
      <w:r w:rsidRPr="00DC1A5F">
        <w:t xml:space="preserve"> serán de 2 clases: (i) resultantes y (</w:t>
      </w:r>
      <w:proofErr w:type="spellStart"/>
      <w:r w:rsidRPr="00DC1A5F">
        <w:t>ii</w:t>
      </w:r>
      <w:proofErr w:type="spellEnd"/>
      <w:r w:rsidRPr="00DC1A5F">
        <w:t xml:space="preserve">) funcionales. Aquí, III. i. las </w:t>
      </w:r>
      <w:r w:rsidRPr="00DC1A5F">
        <w:rPr>
          <w:i/>
          <w:iCs/>
        </w:rPr>
        <w:t>resultantes</w:t>
      </w:r>
      <w:r w:rsidRPr="00DC1A5F">
        <w:t xml:space="preserve"> serán de cuatro clases </w:t>
      </w:r>
      <w:proofErr w:type="gramStart"/>
      <w:r w:rsidRPr="00DC1A5F">
        <w:t>de acuerdo a</w:t>
      </w:r>
      <w:proofErr w:type="gramEnd"/>
      <w:r w:rsidRPr="00DC1A5F">
        <w:t xml:space="preserve"> su plano; es decir, (A) de la esfera de los sentidos, (B) de la esfera de la materia sutil, (C) de la esfera inmaterial y (D) supramundana. Aquí, III. i. A. las consciencias de la </w:t>
      </w:r>
      <w:r w:rsidRPr="00DC1A5F">
        <w:rPr>
          <w:i/>
          <w:iCs/>
        </w:rPr>
        <w:t>esfera sensorial</w:t>
      </w:r>
      <w:r w:rsidRPr="00DC1A5F">
        <w:t xml:space="preserve"> serán de 2 clases, es decir, (a) resultantes productivas y (b) resultantes improductivas. y III. i. R. (a) las </w:t>
      </w:r>
      <w:r w:rsidRPr="00DC1A5F">
        <w:rPr>
          <w:i/>
          <w:iCs/>
        </w:rPr>
        <w:t>resultantes productivas</w:t>
      </w:r>
      <w:r w:rsidRPr="00DC1A5F">
        <w:t xml:space="preserve"> serán de 2 tipos, es decir, (1) sin causa–raíz y (2) con causa–raíz.</w:t>
      </w:r>
    </w:p>
    <w:p w14:paraId="1C206E2F" w14:textId="77777777" w:rsidR="00597DE2" w:rsidRPr="00DC1A5F" w:rsidRDefault="00597DE2" w:rsidP="00597DE2">
      <w:r w:rsidRPr="00DC1A5F">
        <w:t xml:space="preserve">95. </w:t>
      </w:r>
      <w:r w:rsidRPr="00DC1A5F">
        <w:tab/>
        <w:t xml:space="preserve">III. i. R. (a). i. Aquí, lo que </w:t>
      </w:r>
      <w:r w:rsidRPr="00DC1A5F">
        <w:rPr>
          <w:i/>
          <w:iCs/>
        </w:rPr>
        <w:t xml:space="preserve">no posea causa–raíz </w:t>
      </w:r>
      <w:r w:rsidRPr="00DC1A5F">
        <w:t xml:space="preserve">corresponderá a la que esté desprovista de no–codicia, etc., como causa del resultado. Éstas serán de 8 clases (34) consciencia visual </w:t>
      </w:r>
      <w:r w:rsidRPr="00DC1A5F">
        <w:br w:type="page"/>
      </w:r>
    </w:p>
    <w:p w14:paraId="232FD346" w14:textId="77777777" w:rsidR="00597DE2" w:rsidRPr="00DC1A5F" w:rsidRDefault="00597DE2" w:rsidP="00597DE2">
      <w:pPr>
        <w:pStyle w:val="Textoindependiente"/>
      </w:pPr>
      <w:r w:rsidRPr="00DC1A5F">
        <w:lastRenderedPageBreak/>
        <w:t>(35)–(38), consciencia del oído, la nariz, la lengua y el cuerpo (39), elemento mental con la función de la recepción (40)–(41), los 2 elementos de la consciencia mental con las funciones de investigar, etc. [455]</w:t>
      </w:r>
    </w:p>
    <w:p w14:paraId="7CC8E1DE" w14:textId="77777777" w:rsidR="00597DE2" w:rsidRPr="00DC1A5F" w:rsidRDefault="00597DE2" w:rsidP="00597DE2">
      <w:r w:rsidRPr="00DC1A5F">
        <w:t xml:space="preserve">96. </w:t>
      </w:r>
      <w:r w:rsidRPr="00DC1A5F">
        <w:tab/>
        <w:t xml:space="preserve">Aquí, (34) la </w:t>
      </w:r>
      <w:r w:rsidRPr="00DC1A5F">
        <w:rPr>
          <w:i/>
          <w:iCs/>
        </w:rPr>
        <w:t>consciencia del ojo</w:t>
      </w:r>
      <w:r w:rsidRPr="00DC1A5F">
        <w:t xml:space="preserve"> poseerá la </w:t>
      </w:r>
      <w:r w:rsidRPr="00DC1A5F">
        <w:rPr>
          <w:i/>
          <w:iCs/>
        </w:rPr>
        <w:t>característica</w:t>
      </w:r>
      <w:r w:rsidRPr="00DC1A5F">
        <w:t xml:space="preserve"> de ser asistida por el ojo y la de conocer objetos visibles. Su </w:t>
      </w:r>
      <w:r w:rsidRPr="00DC1A5F">
        <w:rPr>
          <w:i/>
          <w:iCs/>
        </w:rPr>
        <w:t>función</w:t>
      </w:r>
      <w:r w:rsidRPr="00DC1A5F">
        <w:t xml:space="preserve"> será captar solo objetos visibles como su objeto. Se </w:t>
      </w:r>
      <w:r w:rsidRPr="00DC1A5F">
        <w:rPr>
          <w:i/>
          <w:iCs/>
        </w:rPr>
        <w:t>manifiesta</w:t>
      </w:r>
      <w:r w:rsidRPr="00DC1A5F">
        <w:t xml:space="preserve"> como una ocupación en los objetos visibles. Su </w:t>
      </w:r>
      <w:r w:rsidRPr="00DC1A5F">
        <w:rPr>
          <w:i/>
          <w:iCs/>
        </w:rPr>
        <w:t>causa próxima</w:t>
      </w:r>
      <w:r w:rsidRPr="00DC1A5F">
        <w:t xml:space="preserve"> se encuentra en el ítem (70) el elemento mental funcional que tiene a los objetos visibles como su objeto.</w:t>
      </w:r>
    </w:p>
    <w:p w14:paraId="418DFFC1" w14:textId="77777777" w:rsidR="00597DE2" w:rsidRPr="00DC1A5F" w:rsidRDefault="00597DE2" w:rsidP="00597DE2">
      <w:pPr>
        <w:pStyle w:val="NormalConSangria"/>
      </w:pPr>
      <w:r w:rsidRPr="00DC1A5F">
        <w:t xml:space="preserve">(35)–(38) </w:t>
      </w:r>
      <w:r w:rsidRPr="00DC1A5F">
        <w:rPr>
          <w:i/>
          <w:iCs/>
        </w:rPr>
        <w:t xml:space="preserve">La consciencia del oído, la nariz, la lengua y el cuerpo, </w:t>
      </w:r>
      <w:r w:rsidRPr="00DC1A5F">
        <w:t xml:space="preserve">respectivamente, tienen la </w:t>
      </w:r>
      <w:r w:rsidRPr="00DC1A5F">
        <w:rPr>
          <w:i/>
          <w:iCs/>
        </w:rPr>
        <w:t>característica</w:t>
      </w:r>
      <w:r w:rsidRPr="00DC1A5F">
        <w:t xml:space="preserve"> de asistir al oído, a la nariz, etc., y de reconocer los sonidos, olores, etc. Su </w:t>
      </w:r>
      <w:r w:rsidRPr="00DC1A5F">
        <w:rPr>
          <w:i/>
          <w:iCs/>
        </w:rPr>
        <w:t>función</w:t>
      </w:r>
      <w:r w:rsidRPr="00DC1A5F">
        <w:t xml:space="preserve"> consiste en captar solo sonidos, etc., como sus respectivos objetos. Se </w:t>
      </w:r>
      <w:r w:rsidRPr="00DC1A5F">
        <w:rPr>
          <w:i/>
          <w:iCs/>
        </w:rPr>
        <w:t>manifiestan</w:t>
      </w:r>
      <w:r w:rsidRPr="00DC1A5F">
        <w:t xml:space="preserve"> como ocupación, respectivamente, en los sonidos, etc. Su </w:t>
      </w:r>
      <w:r w:rsidRPr="00DC1A5F">
        <w:rPr>
          <w:i/>
          <w:iCs/>
        </w:rPr>
        <w:t>causa próxima</w:t>
      </w:r>
      <w:r w:rsidRPr="00DC1A5F">
        <w:t xml:space="preserve"> se encuentra en el ítem (70) el elemento mental funcional que tiene, respectivamente, a los sonidos, etc., como su objeto.</w:t>
      </w:r>
    </w:p>
    <w:p w14:paraId="7F995D8F" w14:textId="77777777" w:rsidR="00597DE2" w:rsidRPr="00DC1A5F" w:rsidRDefault="00597DE2" w:rsidP="00597DE2">
      <w:r w:rsidRPr="00DC1A5F">
        <w:t xml:space="preserve">97. </w:t>
      </w:r>
      <w:r w:rsidRPr="00DC1A5F">
        <w:tab/>
        <w:t xml:space="preserve">(39) El </w:t>
      </w:r>
      <w:r w:rsidRPr="00DC1A5F">
        <w:rPr>
          <w:i/>
          <w:iCs/>
        </w:rPr>
        <w:t>elemento mental</w:t>
      </w:r>
      <w:r w:rsidRPr="00DC1A5F">
        <w:t xml:space="preserve"> </w:t>
      </w:r>
      <w:r w:rsidRPr="00DC1A5F">
        <w:rPr>
          <w:i/>
          <w:iCs/>
        </w:rPr>
        <w:t>resultante</w:t>
      </w:r>
      <w:r w:rsidRPr="00DC1A5F">
        <w:t xml:space="preserve"> tiene la </w:t>
      </w:r>
      <w:r w:rsidRPr="00DC1A5F">
        <w:rPr>
          <w:i/>
          <w:iCs/>
        </w:rPr>
        <w:t>característica</w:t>
      </w:r>
      <w:r w:rsidRPr="00DC1A5F">
        <w:t xml:space="preserve"> de conocer, respectivamente, los objetos visibles, etc., inmediatamente después de (34)–(38), es decir, la consciencia ocular, etc. Su </w:t>
      </w:r>
      <w:r w:rsidRPr="00DC1A5F">
        <w:rPr>
          <w:i/>
          <w:iCs/>
        </w:rPr>
        <w:t>función</w:t>
      </w:r>
      <w:r w:rsidRPr="00DC1A5F">
        <w:t xml:space="preserve"> es recepcionar objetos visibles, etc. Se </w:t>
      </w:r>
      <w:r w:rsidRPr="00DC1A5F">
        <w:rPr>
          <w:i/>
          <w:iCs/>
        </w:rPr>
        <w:t>manifiesta</w:t>
      </w:r>
      <w:r w:rsidRPr="00DC1A5F">
        <w:t xml:space="preserve"> como el estado de recepcionar correspondientemente esa última función mencionada.</w:t>
      </w:r>
      <w:r w:rsidRPr="00DC1A5F">
        <w:rPr>
          <w:vertAlign w:val="superscript"/>
        </w:rPr>
        <w:t>37</w:t>
      </w:r>
      <w:r w:rsidRPr="00DC1A5F">
        <w:t xml:space="preserve"> Su </w:t>
      </w:r>
      <w:r w:rsidRPr="00DC1A5F">
        <w:rPr>
          <w:i/>
          <w:iCs/>
        </w:rPr>
        <w:t>causa próxima</w:t>
      </w:r>
      <w:r w:rsidRPr="00DC1A5F">
        <w:t xml:space="preserve"> se encuentra en el ítem de la consciencia del ojo, etc.</w:t>
      </w:r>
    </w:p>
    <w:p w14:paraId="39A73DF9" w14:textId="77777777" w:rsidR="00597DE2" w:rsidRPr="00DC1A5F" w:rsidRDefault="00597DE2" w:rsidP="00597DE2">
      <w:pPr>
        <w:pStyle w:val="NormalConSangria"/>
      </w:pPr>
      <w:r w:rsidRPr="00DC1A5F">
        <w:t xml:space="preserve">(40)–(41) También la consciencia doble resultante </w:t>
      </w:r>
      <w:r w:rsidRPr="00DC1A5F">
        <w:rPr>
          <w:i/>
          <w:iCs/>
        </w:rPr>
        <w:t xml:space="preserve">del elemento de la consciencia mental sin causa–raíz </w:t>
      </w:r>
      <w:r w:rsidRPr="00DC1A5F">
        <w:t xml:space="preserve">con la función de investigar, etc., tiene como </w:t>
      </w:r>
      <w:r w:rsidRPr="00DC1A5F">
        <w:rPr>
          <w:i/>
          <w:iCs/>
        </w:rPr>
        <w:t>característica</w:t>
      </w:r>
      <w:r w:rsidRPr="00DC1A5F">
        <w:t xml:space="preserve"> el conocimiento de las 6 clases de objetos. Su </w:t>
      </w:r>
      <w:r w:rsidRPr="00DC1A5F">
        <w:rPr>
          <w:i/>
          <w:iCs/>
        </w:rPr>
        <w:t>función</w:t>
      </w:r>
      <w:r w:rsidRPr="00DC1A5F">
        <w:t xml:space="preserve"> es la de investigar, etc. Se </w:t>
      </w:r>
      <w:r w:rsidRPr="00DC1A5F">
        <w:rPr>
          <w:i/>
          <w:iCs/>
        </w:rPr>
        <w:t>manifiesta</w:t>
      </w:r>
      <w:r w:rsidRPr="00DC1A5F">
        <w:t xml:space="preserve"> como el estado de investigar correspondientemente esa última función mencionada. Su </w:t>
      </w:r>
      <w:r w:rsidRPr="00DC1A5F">
        <w:rPr>
          <w:i/>
          <w:iCs/>
        </w:rPr>
        <w:t>causa próxima</w:t>
      </w:r>
      <w:r w:rsidRPr="00DC1A5F">
        <w:t xml:space="preserve"> es la base del corazón.</w:t>
      </w:r>
    </w:p>
    <w:p w14:paraId="60013938" w14:textId="77777777" w:rsidR="00597DE2" w:rsidRPr="00DC1A5F" w:rsidRDefault="00597DE2" w:rsidP="00597DE2">
      <w:r w:rsidRPr="00DC1A5F">
        <w:t xml:space="preserve">98. </w:t>
      </w:r>
      <w:r w:rsidRPr="00DC1A5F">
        <w:tab/>
        <w:t>No obstante, se clasifica según su asociación con la dicha o con la ecuanimidad, y según sea divisible en el de dos posiciones y el de cinco posiciones de la serie cognitiva. Porque de estos, el (40) está asociado con la dicha debido a su presencia cuando ocurren objetos enteramente deseables; y tiene dos posiciones en la serie cognitiva porque se dará como indagador en las cinco puertas y como registro al final de la impulsión. La clase (41) está asociada con la ecuanimidad debido a su presencia cuando ocurran objetos neutrales deseables y posee cinco posiciones ya que ocurre como investigación, registro, vínculo–de–renacimiento, continuum vital y la muerte.</w:t>
      </w:r>
    </w:p>
    <w:p w14:paraId="29FD094A" w14:textId="77777777" w:rsidR="00597DE2" w:rsidRPr="00DC1A5F" w:rsidRDefault="00597DE2" w:rsidP="00597DE2">
      <w:r w:rsidRPr="00DC1A5F">
        <w:t xml:space="preserve">99. </w:t>
      </w:r>
      <w:r w:rsidRPr="00DC1A5F">
        <w:tab/>
        <w:t xml:space="preserve">Y estas 8 consciencias resultantes sin causa–raíz serán también de 2 tipos debido a que poseerá un objeto invariable y un objeto variable. Será de tres tipos según se clasifiquen en placer corporal, alegría mental y ecuanimidad. Para las clases (34)–(38) las 5 consciencias tienen cada una un objeto invariable ya que ocurren respectivamente solo con respecto a los objetos visibles, y así sucesivamente. Las otras (39)–(41) poseerán un objeto variable. Porque aquí la (39), el elemento mental ocurrirá con respecto a los cinco que comienzan con objetos visibles, y las (40)–(41), los dos elementos de consciencia mental ocurrirán con respecto a los seis en total. </w:t>
      </w:r>
    </w:p>
    <w:p w14:paraId="6B5A1D9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B2E3585"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 xml:space="preserve">El significado de la expresión </w:t>
      </w:r>
      <w:proofErr w:type="spellStart"/>
      <w:r w:rsidRPr="00DC1A5F">
        <w:rPr>
          <w:i/>
          <w:iCs/>
          <w:color w:val="auto"/>
          <w:u w:color="000000"/>
        </w:rPr>
        <w:t>tathābhāva</w:t>
      </w:r>
      <w:proofErr w:type="spellEnd"/>
      <w:r w:rsidRPr="00DC1A5F">
        <w:rPr>
          <w:i/>
          <w:iCs/>
          <w:color w:val="auto"/>
          <w:u w:color="000000"/>
        </w:rPr>
        <w:t>–</w:t>
      </w:r>
      <w:proofErr w:type="spellStart"/>
      <w:r w:rsidRPr="00DC1A5F">
        <w:rPr>
          <w:i/>
          <w:iCs/>
          <w:color w:val="auto"/>
          <w:u w:color="000000"/>
        </w:rPr>
        <w:t>paccupaṭṭhāna</w:t>
      </w:r>
      <w:proofErr w:type="spellEnd"/>
      <w:r w:rsidRPr="00DC1A5F">
        <w:rPr>
          <w:color w:val="auto"/>
          <w:u w:color="000000"/>
        </w:rPr>
        <w:t xml:space="preserve"> aparece más claramente en la sección §108 donde éste utiliza nuevamente. En esta definición (</w:t>
      </w:r>
      <w:proofErr w:type="spellStart"/>
      <w:r w:rsidRPr="00DC1A5F">
        <w:rPr>
          <w:i/>
          <w:iCs/>
          <w:color w:val="auto"/>
          <w:u w:color="000000"/>
        </w:rPr>
        <w:t>sādhana</w:t>
      </w:r>
      <w:proofErr w:type="spellEnd"/>
      <w:r w:rsidRPr="00DC1A5F">
        <w:rPr>
          <w:color w:val="auto"/>
          <w:u w:color="000000"/>
        </w:rPr>
        <w:t>), la función (</w:t>
      </w:r>
      <w:proofErr w:type="spellStart"/>
      <w:r w:rsidRPr="00DC1A5F">
        <w:rPr>
          <w:i/>
          <w:iCs/>
          <w:color w:val="auto"/>
          <w:u w:color="000000"/>
        </w:rPr>
        <w:t>kicca</w:t>
      </w:r>
      <w:proofErr w:type="spellEnd"/>
      <w:r w:rsidRPr="00DC1A5F">
        <w:rPr>
          <w:i/>
          <w:iCs/>
          <w:color w:val="auto"/>
          <w:u w:color="000000"/>
        </w:rPr>
        <w:t>–rasa</w:t>
      </w:r>
      <w:r w:rsidRPr="00DC1A5F">
        <w:rPr>
          <w:color w:val="auto"/>
          <w:u w:color="000000"/>
        </w:rPr>
        <w:t>), de hecho, describe la acción del verbo (</w:t>
      </w:r>
      <w:proofErr w:type="spellStart"/>
      <w:r w:rsidRPr="00DC1A5F">
        <w:rPr>
          <w:i/>
          <w:iCs/>
          <w:color w:val="auto"/>
          <w:u w:color="000000"/>
        </w:rPr>
        <w:t>kicca</w:t>
      </w:r>
      <w:proofErr w:type="spellEnd"/>
      <w:r w:rsidRPr="00DC1A5F">
        <w:rPr>
          <w:color w:val="auto"/>
          <w:u w:color="000000"/>
        </w:rPr>
        <w:t>) mientras que la manifestación (</w:t>
      </w:r>
      <w:proofErr w:type="spellStart"/>
      <w:r w:rsidRPr="00DC1A5F">
        <w:rPr>
          <w:i/>
          <w:iCs/>
          <w:color w:val="auto"/>
          <w:u w:color="000000"/>
        </w:rPr>
        <w:t>paccupaṭṭhāna</w:t>
      </w:r>
      <w:proofErr w:type="spellEnd"/>
      <w:r w:rsidRPr="00DC1A5F">
        <w:rPr>
          <w:color w:val="auto"/>
          <w:u w:color="000000"/>
        </w:rPr>
        <w:t>) describe el estado nominal relevante (</w:t>
      </w:r>
      <w:proofErr w:type="spellStart"/>
      <w:r w:rsidRPr="00DC1A5F">
        <w:rPr>
          <w:i/>
          <w:iCs/>
          <w:color w:val="auto"/>
          <w:u w:color="000000"/>
        </w:rPr>
        <w:t>bhāva</w:t>
      </w:r>
      <w:proofErr w:type="spellEnd"/>
      <w:r w:rsidRPr="00DC1A5F">
        <w:rPr>
          <w:color w:val="auto"/>
          <w:u w:color="000000"/>
        </w:rPr>
        <w:t>). Entonces, “</w:t>
      </w:r>
      <w:proofErr w:type="spellStart"/>
      <w:r w:rsidRPr="00DC1A5F">
        <w:rPr>
          <w:i/>
          <w:iCs/>
          <w:color w:val="auto"/>
          <w:u w:color="000000"/>
        </w:rPr>
        <w:t>tathābhāva</w:t>
      </w:r>
      <w:proofErr w:type="spellEnd"/>
      <w:r w:rsidRPr="00DC1A5F">
        <w:rPr>
          <w:color w:val="auto"/>
          <w:u w:color="000000"/>
        </w:rPr>
        <w:t>” significa que lo que se acabe de tomar como una función (por ejemplo, “recibir”) deberá adoptarse también como un estado (“recepción”).</w:t>
      </w:r>
    </w:p>
    <w:p w14:paraId="36C81F56" w14:textId="77777777" w:rsidR="00597DE2" w:rsidRPr="00DC1A5F" w:rsidRDefault="00597DE2" w:rsidP="00597DE2">
      <w:pPr>
        <w:tabs>
          <w:tab w:val="clear" w:pos="425"/>
        </w:tabs>
        <w:spacing w:after="160"/>
      </w:pPr>
      <w:r w:rsidRPr="00DC1A5F">
        <w:br w:type="page"/>
      </w:r>
    </w:p>
    <w:p w14:paraId="3666EF00" w14:textId="77777777" w:rsidR="00597DE2" w:rsidRPr="00DC1A5F" w:rsidRDefault="00597DE2" w:rsidP="00597DE2"/>
    <w:p w14:paraId="25EB94CA" w14:textId="77777777" w:rsidR="00597DE2" w:rsidRPr="00DC1A5F" w:rsidRDefault="00597DE2" w:rsidP="00597DE2">
      <w:pPr>
        <w:pStyle w:val="Textoindependiente"/>
      </w:pPr>
      <w:r w:rsidRPr="00DC1A5F">
        <w:t>Aquí, sin embargo, la consciencia del cuerpo se asociará con el placer corporal. El elemento mente–consciencia con dos posiciones: (40) asociada con dicha mental; la otra, la (41) está asociada con la ecuanimidad.</w:t>
      </w:r>
    </w:p>
    <w:p w14:paraId="59B7CF4A" w14:textId="77777777" w:rsidR="00597DE2" w:rsidRPr="00DC1A5F" w:rsidRDefault="00597DE2" w:rsidP="00597DE2">
      <w:pPr>
        <w:pStyle w:val="NormalConSangria"/>
      </w:pPr>
      <w:r w:rsidRPr="00DC1A5F">
        <w:t>Entonces, en primer lugar, la resultante productiva sin causa–raíz debe entenderse como de ocho tipos.</w:t>
      </w:r>
    </w:p>
    <w:p w14:paraId="7B9835C7" w14:textId="77777777" w:rsidR="00597DE2" w:rsidRPr="00DC1A5F" w:rsidRDefault="00597DE2" w:rsidP="00597DE2">
      <w:r w:rsidRPr="00DC1A5F">
        <w:t xml:space="preserve">100. </w:t>
      </w:r>
      <w:r w:rsidRPr="00DC1A5F">
        <w:tab/>
        <w:t>III. i. R. (a) 2. No obstante, las consciencias con causa–raíz corresponderán a las clases (42)–(49) asociadas con la no–codicia, etc., como la causa del resultado. Es de ocho clases porque se clasifica según la dicha, etc., como la esfera productiva sensorial (1)–(8). No obstante, no ocurrirán con respecto a los 6 objetos a través de la generosidad, etc., como lo haría la consciencia productiva; ya que ocurrirá sólo con respecto a los 6 objetos</w:t>
      </w:r>
      <w:r w:rsidRPr="00DC1A5F">
        <w:rPr>
          <w:vertAlign w:val="superscript"/>
        </w:rPr>
        <w:t>38</w:t>
      </w:r>
      <w:r w:rsidRPr="00DC1A5F">
        <w:t xml:space="preserve"> que se incluyen entre los estados limitados,</w:t>
      </w:r>
      <w:r w:rsidRPr="00DC1A5F">
        <w:rPr>
          <w:vertAlign w:val="superscript"/>
        </w:rPr>
        <w:t>39</w:t>
      </w:r>
      <w:r w:rsidRPr="00DC1A5F">
        <w:t xml:space="preserve"> como el vínculo–de–renacimiento, el continuum vital, la muerte y el registro. No obstante, los estados incitados y espontáneos deben entenderse aquí como debidos a la fuente de la que provienen, etc.</w:t>
      </w:r>
      <w:r w:rsidRPr="00DC1A5F">
        <w:rPr>
          <w:vertAlign w:val="superscript"/>
        </w:rPr>
        <w:t>40</w:t>
      </w:r>
      <w:r w:rsidRPr="00DC1A5F">
        <w:t xml:space="preserve"> [456] Y mientras no haya diferencia en los estados asociados, la resultante debe entenderse como pasiva como el reflejo de un rostro en un espejo mientras que la productiva activa como el rostro.</w:t>
      </w:r>
    </w:p>
    <w:p w14:paraId="195402B7" w14:textId="77777777" w:rsidR="00597DE2" w:rsidRPr="00DC1A5F" w:rsidRDefault="00597DE2" w:rsidP="00597DE2">
      <w:r w:rsidRPr="00DC1A5F">
        <w:t xml:space="preserve">101. </w:t>
      </w:r>
      <w:r w:rsidRPr="00DC1A5F">
        <w:tab/>
        <w:t xml:space="preserve">III. i. R. (b) Sin embargo, las consciencias resultantes improductivas no poseen una causa–raíz solamente. Son de 7 clases: (50) consciencia visual, (51)–(54) consciencia del oído, la nariz, la lengua y el cuerpo, (55) </w:t>
      </w:r>
      <w:r w:rsidRPr="00DC1A5F">
        <w:rPr>
          <w:i/>
          <w:iCs/>
        </w:rPr>
        <w:t>elemento</w:t>
      </w:r>
      <w:r w:rsidRPr="00DC1A5F">
        <w:t xml:space="preserve"> de la mente con la función de la recepción, y (56) elemento mente–consciencia con la función de investigar, etc., y que posee 5 posiciones. Deberán entenderse en cuanto a su característica, etc., de la misma manera que las consciencias resultantes productivas sin causa–raíz (34)–(41).</w:t>
      </w:r>
    </w:p>
    <w:p w14:paraId="46F8DDDA" w14:textId="77777777" w:rsidR="00597DE2" w:rsidRPr="00DC1A5F" w:rsidRDefault="00597DE2" w:rsidP="00597DE2">
      <w:r w:rsidRPr="00DC1A5F">
        <w:t xml:space="preserve">102. </w:t>
      </w:r>
      <w:r w:rsidRPr="00DC1A5F">
        <w:tab/>
        <w:t>Sin embargo, las resultantes productivas solo poseen objetos deseables o neutrales–deseables, mientras que estos poseen solo objetos indeseables o neutrales–indeseables. Los primeros son de tres clases, clasificados según la ecuanimidad, el placer corporal y la dicha mental, mientras que estos son de 2 clases, clasificados según el dolor corporal y la ecuanimidad. Porque aquí es sólo la consciencia corporal la que está acompañada por el dolor corporal; el resto van acompañados de ecuanimidad. Y la ecuanimidad en estas es inferior y no muy aguda como lo es el dolor; mientras que en el primero es superior y no muy agudo como lo es el placer.</w:t>
      </w:r>
    </w:p>
    <w:p w14:paraId="5463D6F3" w14:textId="77777777" w:rsidR="00597DE2" w:rsidRPr="00DC1A5F" w:rsidRDefault="00597DE2" w:rsidP="00597DE2">
      <w:pPr>
        <w:pStyle w:val="NormalConSangria"/>
      </w:pPr>
      <w:r w:rsidRPr="00DC1A5F">
        <w:t>Entonces, con estas 7 clases de resultantes improductivas y las 16 clases anteriores de resultantes productivos, la consciencia resultante de la esfera sensorial es de 23 clases.</w:t>
      </w:r>
    </w:p>
    <w:p w14:paraId="153A118E" w14:textId="77777777" w:rsidR="00597DE2" w:rsidRPr="00DC1A5F" w:rsidRDefault="00597DE2" w:rsidP="00597DE2">
      <w:pPr>
        <w:pStyle w:val="NormalConSangria"/>
      </w:pPr>
    </w:p>
    <w:p w14:paraId="6FC02FE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AFB91E8" w14:textId="77777777" w:rsidR="00597DE2" w:rsidRPr="00DC1A5F" w:rsidRDefault="00597DE2" w:rsidP="00597DE2">
      <w:pPr>
        <w:pStyle w:val="PiedepginaLegal"/>
        <w:numPr>
          <w:ilvl w:val="0"/>
          <w:numId w:val="3"/>
        </w:numPr>
        <w:tabs>
          <w:tab w:val="clear" w:pos="425"/>
        </w:tabs>
        <w:ind w:left="284"/>
      </w:pPr>
      <w:r w:rsidRPr="00DC1A5F">
        <w:t xml:space="preserve"> Con respecto “A los seis tipos de objetos, todos clasificados como limitados, etc., pasados, etc., internos, etc.” (</w:t>
      </w:r>
      <w:proofErr w:type="spellStart"/>
      <w:r w:rsidRPr="00DC1A5F">
        <w:t>Vism</w:t>
      </w:r>
      <w:proofErr w:type="spellEnd"/>
      <w:r w:rsidRPr="00DC1A5F">
        <w:t>–</w:t>
      </w:r>
      <w:proofErr w:type="spellStart"/>
      <w:r w:rsidRPr="00DC1A5F">
        <w:t>mhṭ</w:t>
      </w:r>
      <w:proofErr w:type="spellEnd"/>
      <w:r w:rsidRPr="00DC1A5F">
        <w:t xml:space="preserve"> 474).</w:t>
      </w:r>
    </w:p>
    <w:p w14:paraId="60194007" w14:textId="77777777" w:rsidR="00597DE2" w:rsidRPr="00DC1A5F" w:rsidRDefault="00597DE2" w:rsidP="00597DE2">
      <w:pPr>
        <w:pStyle w:val="PiedepginaLegal"/>
        <w:numPr>
          <w:ilvl w:val="0"/>
          <w:numId w:val="3"/>
        </w:numPr>
        <w:tabs>
          <w:tab w:val="clear" w:pos="425"/>
        </w:tabs>
        <w:ind w:left="284"/>
      </w:pPr>
      <w:r w:rsidRPr="00DC1A5F">
        <w:t xml:space="preserve">Se afirma que la consciencia del registro no ocurrirá con un objeto de consciencia excelsa; véase </w:t>
      </w:r>
      <w:proofErr w:type="spellStart"/>
      <w:r w:rsidRPr="00DC1A5F">
        <w:t>Vibh</w:t>
      </w:r>
      <w:proofErr w:type="spellEnd"/>
      <w:r w:rsidRPr="00DC1A5F">
        <w:t>–a 154.</w:t>
      </w:r>
    </w:p>
    <w:p w14:paraId="43BA4913" w14:textId="77777777" w:rsidR="00597DE2" w:rsidRPr="00DC1A5F" w:rsidRDefault="00597DE2" w:rsidP="00597DE2">
      <w:pPr>
        <w:pStyle w:val="PiedepginaLegal"/>
        <w:numPr>
          <w:ilvl w:val="0"/>
          <w:numId w:val="3"/>
        </w:numPr>
        <w:tabs>
          <w:tab w:val="clear" w:pos="425"/>
        </w:tabs>
        <w:ind w:left="284"/>
      </w:pPr>
      <w:r w:rsidRPr="00DC1A5F">
        <w:rPr>
          <w:color w:val="auto"/>
          <w:u w:color="000000"/>
        </w:rPr>
        <w:t>“‘</w:t>
      </w:r>
      <w:r w:rsidRPr="00DC1A5F">
        <w:rPr>
          <w:i/>
          <w:iCs/>
          <w:color w:val="auto"/>
          <w:u w:color="000000"/>
        </w:rPr>
        <w:t>La fuente de donde provengan</w:t>
      </w:r>
      <w:r w:rsidRPr="00DC1A5F">
        <w:rPr>
          <w:color w:val="auto"/>
          <w:u w:color="000000"/>
        </w:rPr>
        <w:t xml:space="preserve">, </w:t>
      </w:r>
      <w:r w:rsidRPr="00DC1A5F">
        <w:rPr>
          <w:i/>
          <w:iCs/>
          <w:color w:val="auto"/>
          <w:u w:color="000000"/>
        </w:rPr>
        <w:t>etc</w:t>
      </w:r>
      <w:r w:rsidRPr="00DC1A5F">
        <w:rPr>
          <w:color w:val="auto"/>
          <w:u w:color="000000"/>
        </w:rPr>
        <w:t>.’ significa la fuente de donde provengan y su condición. Aquí, en opinión de ciertos maestros, el resultado de lo productivo espontáneo será espontáneo y el resultado de lo incitado será incitado, como el movimiento del reflejo del rostro en un espejo cuando el rostro se mueva; por lo tanto, se deberá a la fuente de la que haya provenido</w:t>
      </w:r>
      <w:r w:rsidRPr="00DC1A5F">
        <w:rPr>
          <w:color w:val="833C0B" w:themeColor="accent2" w:themeShade="80"/>
          <w:u w:color="000000"/>
        </w:rPr>
        <w:t>.</w:t>
      </w:r>
      <w:r w:rsidRPr="00DC1A5F">
        <w:t xml:space="preserve"> No obstante, en opinión de otros maestros, lo espontáneo surgirá debido a un </w:t>
      </w:r>
      <w:proofErr w:type="spellStart"/>
      <w:r w:rsidRPr="00DC1A5F">
        <w:rPr>
          <w:i/>
        </w:rPr>
        <w:t>kamma</w:t>
      </w:r>
      <w:proofErr w:type="spellEnd"/>
      <w:r w:rsidRPr="00DC1A5F">
        <w:t xml:space="preserve"> poderoso como su condición y lo incitado lo hará debido a un </w:t>
      </w:r>
      <w:proofErr w:type="spellStart"/>
      <w:r w:rsidRPr="00DC1A5F">
        <w:rPr>
          <w:i/>
        </w:rPr>
        <w:t>kamma</w:t>
      </w:r>
      <w:proofErr w:type="spellEnd"/>
      <w:r w:rsidRPr="00DC1A5F">
        <w:t xml:space="preserve"> débil; así será </w:t>
      </w:r>
      <w:r w:rsidRPr="00DC1A5F">
        <w:rPr>
          <w:i/>
          <w:iCs/>
        </w:rPr>
        <w:t>debido a su condición</w:t>
      </w:r>
      <w:r w:rsidRPr="00DC1A5F">
        <w:t>” (</w:t>
      </w:r>
      <w:proofErr w:type="spellStart"/>
      <w:r w:rsidRPr="00DC1A5F">
        <w:t>Vism</w:t>
      </w:r>
      <w:proofErr w:type="spellEnd"/>
      <w:r w:rsidRPr="00DC1A5F">
        <w:t>–</w:t>
      </w:r>
      <w:proofErr w:type="spellStart"/>
      <w:r w:rsidRPr="00DC1A5F">
        <w:t>mhṭ</w:t>
      </w:r>
      <w:proofErr w:type="spellEnd"/>
      <w:r w:rsidRPr="00DC1A5F">
        <w:t xml:space="preserve"> 474).</w:t>
      </w:r>
    </w:p>
    <w:p w14:paraId="5C923365" w14:textId="77777777" w:rsidR="00597DE2" w:rsidRPr="00DC1A5F" w:rsidRDefault="00597DE2" w:rsidP="00597DE2">
      <w:pPr>
        <w:tabs>
          <w:tab w:val="clear" w:pos="425"/>
        </w:tabs>
        <w:spacing w:after="160"/>
      </w:pPr>
      <w:r w:rsidRPr="00DC1A5F">
        <w:br w:type="page"/>
      </w:r>
    </w:p>
    <w:p w14:paraId="6FCA8D32" w14:textId="77777777" w:rsidR="00597DE2" w:rsidRPr="00DC1A5F" w:rsidRDefault="00597DE2" w:rsidP="00597DE2">
      <w:r w:rsidRPr="00DC1A5F">
        <w:lastRenderedPageBreak/>
        <w:t xml:space="preserve">103. </w:t>
      </w:r>
      <w:r w:rsidRPr="00DC1A5F">
        <w:tab/>
        <w:t xml:space="preserve">III. i. B. Las consciencias de la </w:t>
      </w:r>
      <w:r w:rsidRPr="00DC1A5F">
        <w:rPr>
          <w:i/>
          <w:iCs/>
        </w:rPr>
        <w:t>esfera de la</w:t>
      </w:r>
      <w:r w:rsidRPr="00DC1A5F">
        <w:t xml:space="preserve"> </w:t>
      </w:r>
      <w:r w:rsidRPr="00DC1A5F">
        <w:rPr>
          <w:i/>
          <w:iCs/>
        </w:rPr>
        <w:t>materia sutil</w:t>
      </w:r>
      <w:r w:rsidRPr="00DC1A5F">
        <w:t>, sin embargo, son de 5 clases (57)–(61) como la provechosa (9)–(13). No obstante, la consciencia productiva ocurre en una serie cognitiva con los impulsos como una absorción [</w:t>
      </w:r>
      <w:proofErr w:type="spellStart"/>
      <w:r w:rsidRPr="00DC1A5F">
        <w:rPr>
          <w:i/>
        </w:rPr>
        <w:t>jhāna</w:t>
      </w:r>
      <w:proofErr w:type="spellEnd"/>
      <w:r w:rsidRPr="00DC1A5F">
        <w:t>], mientras que esto ocurrirá en una existencia de la esfera de la materia sutil como vínculo–de–renacimiento, continuum vital y muerte.</w:t>
      </w:r>
    </w:p>
    <w:p w14:paraId="48979965" w14:textId="77777777" w:rsidR="00597DE2" w:rsidRPr="00DC1A5F" w:rsidRDefault="00597DE2" w:rsidP="00597DE2">
      <w:r w:rsidRPr="00DC1A5F">
        <w:t xml:space="preserve">104. </w:t>
      </w:r>
      <w:r w:rsidRPr="00DC1A5F">
        <w:tab/>
        <w:t xml:space="preserve">III. i. C. Y así como la esfera de la materia sutil [era como la de esa esfera productiva] así las de la </w:t>
      </w:r>
      <w:r w:rsidRPr="00DC1A5F">
        <w:rPr>
          <w:i/>
          <w:iCs/>
        </w:rPr>
        <w:t>esfera inmaterial</w:t>
      </w:r>
      <w:r w:rsidRPr="00DC1A5F">
        <w:t xml:space="preserve"> (62)–(65) serán de 4 clases también como las productivas (14)–(17). Y su aparición se clasificará de la misma manera que las de la esfera de la materia sutil.</w:t>
      </w:r>
    </w:p>
    <w:p w14:paraId="7AE4969F" w14:textId="77777777" w:rsidR="00597DE2" w:rsidRPr="00DC1A5F" w:rsidRDefault="00597DE2" w:rsidP="00597DE2">
      <w:r w:rsidRPr="00DC1A5F">
        <w:t xml:space="preserve">105. </w:t>
      </w:r>
      <w:r w:rsidRPr="00DC1A5F">
        <w:tab/>
        <w:t xml:space="preserve">III. i. D. Las consciencias </w:t>
      </w:r>
      <w:r w:rsidRPr="00DC1A5F">
        <w:rPr>
          <w:i/>
          <w:iCs/>
        </w:rPr>
        <w:t>resultantes supramundanas</w:t>
      </w:r>
      <w:r w:rsidRPr="00DC1A5F">
        <w:t xml:space="preserve"> serán de 4 clases (66)–(69) ya que serán, respectivamente, las fruiciones de las consciencias asociadas con los cuatro senderos (18)–(21). Ocurrirán de dos maneras, es decir, como fruición en la serie cognitiva del sendero y como consumación de la fruición (ver Capítulo XXII).</w:t>
      </w:r>
    </w:p>
    <w:p w14:paraId="2E735749" w14:textId="77777777" w:rsidR="00597DE2" w:rsidRPr="00DC1A5F" w:rsidRDefault="00597DE2" w:rsidP="00597DE2">
      <w:pPr>
        <w:pStyle w:val="NormalConSangria"/>
      </w:pPr>
      <w:r w:rsidRPr="00DC1A5F">
        <w:t>De modo que las consciencias resultantes en los cuatro planos serán de 36 clases.</w:t>
      </w:r>
    </w:p>
    <w:p w14:paraId="19E8595F" w14:textId="77777777" w:rsidR="00597DE2" w:rsidRPr="00DC1A5F" w:rsidRDefault="00597DE2" w:rsidP="00597DE2">
      <w:r w:rsidRPr="00DC1A5F">
        <w:t>106.</w:t>
      </w:r>
      <w:r w:rsidRPr="00DC1A5F">
        <w:tab/>
        <w:t xml:space="preserve">III. </w:t>
      </w:r>
      <w:proofErr w:type="spellStart"/>
      <w:r w:rsidRPr="00DC1A5F">
        <w:t>ii</w:t>
      </w:r>
      <w:proofErr w:type="spellEnd"/>
      <w:r w:rsidRPr="00DC1A5F">
        <w:t xml:space="preserve">. Las funcionales, sin embargo, serán de tres clases según el plano: (A) de la esfera sensorial, (B) de la esfera de la materia sutil, (C) de la esfera inmaterial. Aquí, III. </w:t>
      </w:r>
      <w:proofErr w:type="spellStart"/>
      <w:r w:rsidRPr="00DC1A5F">
        <w:t>ii</w:t>
      </w:r>
      <w:proofErr w:type="spellEnd"/>
      <w:r w:rsidRPr="00DC1A5F">
        <w:t>. A., las de la esfera sensorial, serán de 2 tipos, a saber, (1) sin causa–raíz, y (2) con causa–raíz.</w:t>
      </w:r>
    </w:p>
    <w:p w14:paraId="01B960CA" w14:textId="77777777" w:rsidR="00597DE2" w:rsidRPr="00DC1A5F" w:rsidRDefault="00597DE2" w:rsidP="00597DE2">
      <w:pPr>
        <w:pStyle w:val="NormalConSangria"/>
      </w:pPr>
      <w:r w:rsidRPr="00DC1A5F">
        <w:tab/>
        <w:t>III.ii.A.1. Al respecto, las consciencias sin causa–raíz serán aquellas desprovistas de no codicia, etc., como causa del resultado. Ellas serán a su vez de dos clases, se clasificarán como (70) elemento mental y (71)–(72) elemento mental–consciente.</w:t>
      </w:r>
    </w:p>
    <w:p w14:paraId="3FC2DF9A" w14:textId="77777777" w:rsidR="00597DE2" w:rsidRPr="00DC1A5F" w:rsidRDefault="00597DE2" w:rsidP="00597DE2">
      <w:r w:rsidRPr="00DC1A5F">
        <w:t xml:space="preserve">107. </w:t>
      </w:r>
      <w:r w:rsidRPr="00DC1A5F">
        <w:tab/>
        <w:t xml:space="preserve">Aquí, (70) el </w:t>
      </w:r>
      <w:r w:rsidRPr="00DC1A5F">
        <w:rPr>
          <w:i/>
          <w:iCs/>
        </w:rPr>
        <w:t>elemento mental</w:t>
      </w:r>
      <w:r w:rsidRPr="00DC1A5F">
        <w:t xml:space="preserve"> posee la </w:t>
      </w:r>
      <w:r w:rsidRPr="00DC1A5F">
        <w:rPr>
          <w:i/>
          <w:iCs/>
        </w:rPr>
        <w:t>característica</w:t>
      </w:r>
      <w:r w:rsidRPr="00DC1A5F">
        <w:t xml:space="preserve"> de ser el precursor de la consciencia visual, etc., y de conocer los objetos visibles, etc. Su </w:t>
      </w:r>
      <w:r w:rsidRPr="00DC1A5F">
        <w:rPr>
          <w:i/>
          <w:iCs/>
        </w:rPr>
        <w:t>función</w:t>
      </w:r>
      <w:r w:rsidRPr="00DC1A5F">
        <w:t xml:space="preserve"> es advertir. Se </w:t>
      </w:r>
      <w:r w:rsidRPr="00DC1A5F">
        <w:rPr>
          <w:i/>
          <w:iCs/>
        </w:rPr>
        <w:t>manifiesta</w:t>
      </w:r>
      <w:r w:rsidRPr="00DC1A5F">
        <w:t xml:space="preserve"> como confrontación de objetos visibles, etc. Su </w:t>
      </w:r>
      <w:r w:rsidRPr="00DC1A5F">
        <w:rPr>
          <w:i/>
          <w:iCs/>
        </w:rPr>
        <w:t>causa próxima</w:t>
      </w:r>
      <w:r w:rsidRPr="00DC1A5F">
        <w:t xml:space="preserve"> es la interrupción de la continuación de la consciencia como continuum vital. Solamente se asocia con la ecuanimidad.</w:t>
      </w:r>
    </w:p>
    <w:p w14:paraId="3208F5F5" w14:textId="77777777" w:rsidR="00597DE2" w:rsidRPr="00DC1A5F" w:rsidRDefault="00597DE2" w:rsidP="00597DE2">
      <w:r w:rsidRPr="00DC1A5F">
        <w:t xml:space="preserve">108. </w:t>
      </w:r>
      <w:r w:rsidRPr="00DC1A5F">
        <w:tab/>
        <w:t>No obstante, el elemento de la consciencia mental será de 2 clases, es decir, compartido por todos y no</w:t>
      </w:r>
      <w:r w:rsidRPr="00DC1A5F">
        <w:rPr>
          <w:i/>
          <w:iCs/>
        </w:rPr>
        <w:t>–</w:t>
      </w:r>
      <w:r w:rsidRPr="00DC1A5F">
        <w:t xml:space="preserve">compartido por todos. [457] Aquí, la (71), </w:t>
      </w:r>
      <w:r w:rsidRPr="00DC1A5F">
        <w:rPr>
          <w:i/>
          <w:iCs/>
        </w:rPr>
        <w:t>el compartido por todos</w:t>
      </w:r>
      <w:r w:rsidRPr="00DC1A5F">
        <w:t xml:space="preserve"> corresponderá al elemento de la consciencia mental funcional acompañada de ecuanimidad sin causa–raíz. Tiene la </w:t>
      </w:r>
      <w:r w:rsidRPr="00DC1A5F">
        <w:rPr>
          <w:i/>
          <w:iCs/>
        </w:rPr>
        <w:t>característica</w:t>
      </w:r>
      <w:r w:rsidRPr="00DC1A5F">
        <w:t xml:space="preserve"> de conocer los 6 tipos de objetos. Su </w:t>
      </w:r>
      <w:r w:rsidRPr="00DC1A5F">
        <w:rPr>
          <w:i/>
          <w:iCs/>
        </w:rPr>
        <w:t>función</w:t>
      </w:r>
      <w:r w:rsidRPr="00DC1A5F">
        <w:t xml:space="preserve"> consiste en la determinación de las 5 puertas y de advertir la puerta mental. Se </w:t>
      </w:r>
      <w:r w:rsidRPr="00DC1A5F">
        <w:rPr>
          <w:i/>
          <w:iCs/>
        </w:rPr>
        <w:t>manifiesta</w:t>
      </w:r>
      <w:r w:rsidRPr="00DC1A5F">
        <w:t xml:space="preserve"> como estados de determinación y percepción, correspondientes a esas dos funciones mencionadas en último lugar. Su </w:t>
      </w:r>
      <w:r w:rsidRPr="00DC1A5F">
        <w:rPr>
          <w:i/>
          <w:iCs/>
        </w:rPr>
        <w:t>causa próxima</w:t>
      </w:r>
      <w:r w:rsidRPr="00DC1A5F">
        <w:t xml:space="preserve"> es la partida del elemento resultante de la consciencia mental sin causa–raíz (40)–(41), en el primer caso, o de uno de los tipos del continuum vital, en el segundo caso. (72) El </w:t>
      </w:r>
      <w:r w:rsidRPr="00DC1A5F">
        <w:rPr>
          <w:i/>
          <w:iCs/>
        </w:rPr>
        <w:t>no–compartido por todos</w:t>
      </w:r>
      <w:r w:rsidRPr="00DC1A5F">
        <w:t xml:space="preserve"> es elemento de la consciencia mental funcional acompañada de dicha sin causa–raíz. Tiene la </w:t>
      </w:r>
      <w:r w:rsidRPr="00DC1A5F">
        <w:rPr>
          <w:i/>
          <w:iCs/>
        </w:rPr>
        <w:t>característica</w:t>
      </w:r>
      <w:r w:rsidRPr="00DC1A5F">
        <w:t xml:space="preserve"> de conocer los 6 tipos de objetos. Su </w:t>
      </w:r>
      <w:r w:rsidRPr="00DC1A5F">
        <w:rPr>
          <w:i/>
          <w:iCs/>
        </w:rPr>
        <w:t>función</w:t>
      </w:r>
      <w:r w:rsidRPr="00DC1A5F">
        <w:t xml:space="preserve"> es provocar la sonrisa</w:t>
      </w:r>
      <w:r w:rsidRPr="00DC1A5F">
        <w:rPr>
          <w:vertAlign w:val="superscript"/>
        </w:rPr>
        <w:t>41</w:t>
      </w:r>
      <w:r w:rsidRPr="00DC1A5F">
        <w:t xml:space="preserve"> en los </w:t>
      </w:r>
      <w:r w:rsidRPr="00DC1A5F">
        <w:rPr>
          <w:i/>
        </w:rPr>
        <w:t>Arahant</w:t>
      </w:r>
      <w:r w:rsidRPr="00DC1A5F">
        <w:t xml:space="preserve">s sobre cosas que no sean sublimes. Se </w:t>
      </w:r>
      <w:r w:rsidRPr="00DC1A5F">
        <w:rPr>
          <w:i/>
          <w:iCs/>
        </w:rPr>
        <w:t>manifiesta</w:t>
      </w:r>
      <w:r w:rsidRPr="00DC1A5F">
        <w:t xml:space="preserve"> como el estado correspondiente a esa última función mencionada. Su </w:t>
      </w:r>
      <w:r w:rsidRPr="00DC1A5F">
        <w:rPr>
          <w:i/>
          <w:iCs/>
        </w:rPr>
        <w:t>causa próxima</w:t>
      </w:r>
      <w:r w:rsidRPr="00DC1A5F">
        <w:t xml:space="preserve"> corresponderá siempre a la base del corazón.</w:t>
      </w:r>
    </w:p>
    <w:p w14:paraId="1CD08EC6" w14:textId="77777777" w:rsidR="00597DE2" w:rsidRPr="00DC1A5F" w:rsidRDefault="00597DE2" w:rsidP="00597DE2">
      <w:pPr>
        <w:pStyle w:val="NormalConSangria"/>
      </w:pPr>
      <w:r w:rsidRPr="00DC1A5F">
        <w:t xml:space="preserve">De modo que las consciencias </w:t>
      </w:r>
      <w:r w:rsidRPr="00DC1A5F">
        <w:rPr>
          <w:color w:val="833C0B" w:themeColor="accent2" w:themeShade="80"/>
        </w:rPr>
        <w:t xml:space="preserve">indeterminadas </w:t>
      </w:r>
      <w:r w:rsidRPr="00DC1A5F">
        <w:t>de la esfera sensorial funcional sin causa–raíz serán de 3 clases.</w:t>
      </w:r>
    </w:p>
    <w:p w14:paraId="08020272" w14:textId="77777777" w:rsidR="00597DE2" w:rsidRPr="00DC1A5F" w:rsidRDefault="00597DE2" w:rsidP="00597DE2">
      <w:r w:rsidRPr="00DC1A5F">
        <w:t>109.</w:t>
      </w:r>
      <w:r w:rsidRPr="00DC1A5F">
        <w:tab/>
        <w:t xml:space="preserve">III. </w:t>
      </w:r>
      <w:proofErr w:type="spellStart"/>
      <w:r w:rsidRPr="00DC1A5F">
        <w:t>ii</w:t>
      </w:r>
      <w:proofErr w:type="spellEnd"/>
      <w:r w:rsidRPr="00DC1A5F">
        <w:t xml:space="preserve">. A. 2. Sin embargo, las consciencias funcionales similares a las anteriores pero </w:t>
      </w:r>
      <w:r w:rsidRPr="00DC1A5F">
        <w:rPr>
          <w:i/>
          <w:iCs/>
        </w:rPr>
        <w:t xml:space="preserve">con causa–raíz </w:t>
      </w:r>
      <w:r w:rsidRPr="00DC1A5F">
        <w:t xml:space="preserve">serán de 8 clases (73)–(80), como las consciencias productivas (1)–(8), clasificándose según la dicha, etc. Mientras que las productivas surgen sólo en instructores y hombres ordinarios, éstas surgirán solo en los </w:t>
      </w:r>
      <w:r w:rsidRPr="00DC1A5F">
        <w:rPr>
          <w:i/>
        </w:rPr>
        <w:t>Arahant</w:t>
      </w:r>
      <w:r w:rsidRPr="00DC1A5F">
        <w:t>s. Ésta es la diferencia aquí.</w:t>
      </w:r>
    </w:p>
    <w:p w14:paraId="502491F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5FFFC82" w14:textId="77777777" w:rsidR="00597DE2" w:rsidRPr="00DC1A5F" w:rsidRDefault="00597DE2" w:rsidP="00597DE2">
      <w:pPr>
        <w:pStyle w:val="PiedepginaLegal"/>
        <w:numPr>
          <w:ilvl w:val="0"/>
          <w:numId w:val="3"/>
        </w:numPr>
        <w:tabs>
          <w:tab w:val="clear" w:pos="425"/>
        </w:tabs>
        <w:ind w:left="284"/>
      </w:pPr>
      <w:r w:rsidRPr="00DC1A5F">
        <w:t>“Con respecto a objetos horrendos como las formas de los esqueletos o los fantasmas” (</w:t>
      </w:r>
      <w:proofErr w:type="spellStart"/>
      <w:r w:rsidRPr="00DC1A5F">
        <w:t>Vism</w:t>
      </w:r>
      <w:proofErr w:type="spellEnd"/>
      <w:r w:rsidRPr="00DC1A5F">
        <w:t>–</w:t>
      </w:r>
      <w:proofErr w:type="spellStart"/>
      <w:r w:rsidRPr="00DC1A5F">
        <w:t>mhṭ</w:t>
      </w:r>
      <w:proofErr w:type="spellEnd"/>
      <w:r w:rsidRPr="00DC1A5F">
        <w:t xml:space="preserve"> 476). Véase, por ejemplo. </w:t>
      </w:r>
      <w:proofErr w:type="spellStart"/>
      <w:r w:rsidRPr="00DC1A5F">
        <w:t>Vin</w:t>
      </w:r>
      <w:proofErr w:type="spellEnd"/>
      <w:r w:rsidRPr="00DC1A5F">
        <w:t xml:space="preserve"> III 104.</w:t>
      </w:r>
      <w:r w:rsidRPr="00DC1A5F">
        <w:br w:type="page"/>
      </w:r>
    </w:p>
    <w:p w14:paraId="15FCE2D0" w14:textId="77777777" w:rsidR="00597DE2" w:rsidRPr="00DC1A5F" w:rsidRDefault="00597DE2" w:rsidP="00597DE2">
      <w:pPr>
        <w:pStyle w:val="NormalConSangria"/>
      </w:pPr>
      <w:r w:rsidRPr="00DC1A5F">
        <w:lastRenderedPageBreak/>
        <w:t xml:space="preserve">Así, en primer lugar, las </w:t>
      </w:r>
      <w:r w:rsidRPr="00DC1A5F">
        <w:rPr>
          <w:color w:val="833C0B" w:themeColor="accent2" w:themeShade="80"/>
        </w:rPr>
        <w:t xml:space="preserve">consciencias indeterminadas funcionales </w:t>
      </w:r>
      <w:r w:rsidRPr="00DC1A5F">
        <w:t>de la esfera sensorial serán de 11 clases.</w:t>
      </w:r>
    </w:p>
    <w:p w14:paraId="21960002" w14:textId="77777777" w:rsidR="00597DE2" w:rsidRPr="00DC1A5F" w:rsidRDefault="00597DE2" w:rsidP="00597DE2">
      <w:pPr>
        <w:pStyle w:val="NormalConSangria"/>
      </w:pPr>
      <w:r w:rsidRPr="00DC1A5F">
        <w:t xml:space="preserve">III </w:t>
      </w:r>
      <w:proofErr w:type="spellStart"/>
      <w:r w:rsidRPr="00DC1A5F">
        <w:t>ii</w:t>
      </w:r>
      <w:proofErr w:type="spellEnd"/>
      <w:r w:rsidRPr="00DC1A5F">
        <w:t xml:space="preserve">. B. y III. </w:t>
      </w:r>
      <w:proofErr w:type="spellStart"/>
      <w:r w:rsidRPr="00DC1A5F">
        <w:t>ii</w:t>
      </w:r>
      <w:proofErr w:type="spellEnd"/>
      <w:r w:rsidRPr="00DC1A5F">
        <w:t xml:space="preserve">. C. Sin embargo, las de la </w:t>
      </w:r>
      <w:r w:rsidRPr="00DC1A5F">
        <w:rPr>
          <w:i/>
          <w:iCs/>
        </w:rPr>
        <w:t>esfera material sutil</w:t>
      </w:r>
      <w:r w:rsidRPr="00DC1A5F">
        <w:t xml:space="preserve"> (81)–(85) y la de la </w:t>
      </w:r>
      <w:r w:rsidRPr="00DC1A5F">
        <w:rPr>
          <w:i/>
          <w:iCs/>
        </w:rPr>
        <w:t>esfera inmaterial</w:t>
      </w:r>
      <w:r w:rsidRPr="00DC1A5F">
        <w:t xml:space="preserve"> (86)–(89) son de 5 y de 4 clases, respectivamente, como en las consciencias productivas. No obstante, debe entenderse que difieren de las productivas en el sentido de que surgen solo en los </w:t>
      </w:r>
      <w:r w:rsidRPr="00DC1A5F">
        <w:rPr>
          <w:i/>
        </w:rPr>
        <w:t>Arahant</w:t>
      </w:r>
      <w:r w:rsidRPr="00DC1A5F">
        <w:t>s.</w:t>
      </w:r>
    </w:p>
    <w:p w14:paraId="128B1A48" w14:textId="77777777" w:rsidR="00597DE2" w:rsidRPr="00DC1A5F" w:rsidRDefault="00597DE2" w:rsidP="00597DE2">
      <w:pPr>
        <w:pStyle w:val="NormalConSangria"/>
      </w:pPr>
      <w:r w:rsidRPr="00DC1A5F">
        <w:t xml:space="preserve">De modo que las consciencias </w:t>
      </w:r>
      <w:r w:rsidRPr="00DC1A5F">
        <w:rPr>
          <w:color w:val="833C0B" w:themeColor="accent2" w:themeShade="80"/>
        </w:rPr>
        <w:t xml:space="preserve">indeterminadas </w:t>
      </w:r>
      <w:r w:rsidRPr="00DC1A5F">
        <w:t>funcionales en los tres planos serán de 20 clases en total.</w:t>
      </w:r>
    </w:p>
    <w:p w14:paraId="7D7BEF8E" w14:textId="77777777" w:rsidR="00597DE2" w:rsidRPr="00DC1A5F" w:rsidRDefault="00597DE2" w:rsidP="00597DE2">
      <w:pPr>
        <w:pStyle w:val="Textoindependiente"/>
      </w:pPr>
      <w:r w:rsidRPr="00DC1A5F">
        <w:t xml:space="preserve">110. </w:t>
      </w:r>
      <w:r w:rsidRPr="00DC1A5F">
        <w:tab/>
        <w:t>Entonces, las 21 clases de consciencias productivas, más las 12 clases improductivas, las 36 clases resultantes y las 20 clases funcionales, suman en total 89 clases de consciencias. Y éstas ocurrirán bajo 14 modos de ocurrencia: durante (a) el vínculo–de–renacimiento, (b) el continuum vital, (c) advertencia, (d) vista, (e) oído, (f) olfato, (g) gusto, (h) tacto, (i) recepción, (j) investigación, (k) determinación, (l) impulsión, (m) registro, y (n) muerte.</w:t>
      </w:r>
    </w:p>
    <w:p w14:paraId="16A20BA8" w14:textId="77777777" w:rsidR="00597DE2" w:rsidRPr="00DC1A5F" w:rsidRDefault="00597DE2" w:rsidP="00597DE2">
      <w:pPr>
        <w:pStyle w:val="Textoindependiente"/>
      </w:pPr>
    </w:p>
    <w:p w14:paraId="61A5E340" w14:textId="77777777" w:rsidR="00597DE2" w:rsidRPr="00DC1A5F" w:rsidRDefault="00597DE2" w:rsidP="00597DE2">
      <w:pPr>
        <w:pStyle w:val="Ttulo6"/>
      </w:pPr>
      <w:r w:rsidRPr="00DC1A5F">
        <w:t>[Los 14 Modos De Ocurrencia De La Consciencia]</w:t>
      </w:r>
    </w:p>
    <w:p w14:paraId="340C096F" w14:textId="77777777" w:rsidR="00597DE2" w:rsidRPr="00DC1A5F" w:rsidRDefault="00597DE2" w:rsidP="00597DE2">
      <w:pPr>
        <w:rPr>
          <w:vertAlign w:val="superscript"/>
        </w:rPr>
      </w:pPr>
      <w:r w:rsidRPr="00DC1A5F">
        <w:t xml:space="preserve">111. </w:t>
      </w:r>
      <w:r w:rsidRPr="00DC1A5F">
        <w:tab/>
        <w:t xml:space="preserve">¿Cómo es eso? (a). Cuando, a través de la influencia de las 8 clases de consciencias productivas de la esfera sensorial, (1)–(8), los seres lleguen a renacer como deidades y seres humanos, entonces ocurrirán las 8 clases de consciencias de la esfera sensorial resultante </w:t>
      </w:r>
      <w:r w:rsidRPr="00DC1A5F">
        <w:rPr>
          <w:color w:val="833C0B" w:themeColor="accent2" w:themeShade="80"/>
        </w:rPr>
        <w:t xml:space="preserve">indeterminada </w:t>
      </w:r>
      <w:r w:rsidRPr="00DC1A5F">
        <w:t xml:space="preserve">con causa–raíz (42)– (49), y también el elemento–mente–consciencia resultante sin causa–raíz asociado con la ecuanimidad (41), el cual será de una productividad débil con 2 causas–raíz en aquellos que estén entrando en el estado de eunucos , etc., entre seres humanos—así, 9 clases de consciencia resultantes en total ocurrirán como </w:t>
      </w:r>
      <w:r w:rsidRPr="00DC1A5F">
        <w:rPr>
          <w:i/>
          <w:iCs/>
        </w:rPr>
        <w:t>vínculo–de–renacimiento</w:t>
      </w:r>
      <w:r w:rsidRPr="00DC1A5F">
        <w:t xml:space="preserve">; y lo harán haciendo su objeto cualquiera objeto del </w:t>
      </w:r>
      <w:proofErr w:type="spellStart"/>
      <w:r w:rsidRPr="00DC1A5F">
        <w:rPr>
          <w:i/>
        </w:rPr>
        <w:t>kamma</w:t>
      </w:r>
      <w:proofErr w:type="spellEnd"/>
      <w:r w:rsidRPr="00DC1A5F">
        <w:t xml:space="preserve">, del signo del </w:t>
      </w:r>
      <w:proofErr w:type="spellStart"/>
      <w:r w:rsidRPr="00DC1A5F">
        <w:rPr>
          <w:i/>
        </w:rPr>
        <w:t>kamma</w:t>
      </w:r>
      <w:proofErr w:type="spellEnd"/>
      <w:r w:rsidRPr="00DC1A5F">
        <w:t xml:space="preserve"> o del signo del destino que haya aparecido al momento de la muerte (ver también XVII.120).</w:t>
      </w:r>
      <w:r w:rsidRPr="00DC1A5F">
        <w:rPr>
          <w:vertAlign w:val="superscript"/>
        </w:rPr>
        <w:t>42</w:t>
      </w:r>
    </w:p>
    <w:p w14:paraId="4CD2B27A" w14:textId="77777777" w:rsidR="00597DE2" w:rsidRPr="00DC1A5F" w:rsidRDefault="00597DE2" w:rsidP="00597DE2">
      <w:pPr>
        <w:rPr>
          <w:vertAlign w:val="superscript"/>
        </w:rPr>
      </w:pPr>
      <w:r w:rsidRPr="00DC1A5F">
        <w:t xml:space="preserve">112. </w:t>
      </w:r>
      <w:r w:rsidRPr="00DC1A5F">
        <w:tab/>
        <w:t xml:space="preserve">Cuando, a través de la influencia de los beneficios de la esfera de la materia sutil (9)–(13) y la esfera inmaterial (14)–(17), los seres renazcan en el devenir de las clases de la materia sutil e inmaterial, respectivamente, entonces las 9 clases de consciencia de la materia sutil (57)–(61) e inmateriales (62)–(65) </w:t>
      </w:r>
      <w:r w:rsidRPr="00DC1A5F">
        <w:rPr>
          <w:color w:val="833C0B" w:themeColor="accent2" w:themeShade="80"/>
        </w:rPr>
        <w:t xml:space="preserve">indeterminadas </w:t>
      </w:r>
      <w:r w:rsidRPr="00DC1A5F">
        <w:t xml:space="preserve">resultantes ocurrirán como </w:t>
      </w:r>
      <w:r w:rsidRPr="00DC1A5F">
        <w:rPr>
          <w:i/>
          <w:iCs/>
        </w:rPr>
        <w:t>vínculo–de–renacimiento</w:t>
      </w:r>
      <w:r w:rsidRPr="00DC1A5F">
        <w:t xml:space="preserve">; y lo harán haciendo que su objeto sea únicamente el signo del </w:t>
      </w:r>
      <w:proofErr w:type="spellStart"/>
      <w:r w:rsidRPr="00DC1A5F">
        <w:rPr>
          <w:i/>
        </w:rPr>
        <w:t>kamma</w:t>
      </w:r>
      <w:proofErr w:type="spellEnd"/>
      <w:r w:rsidRPr="00DC1A5F">
        <w:t xml:space="preserve"> que haya aparecido al momento de la muerte.</w:t>
      </w:r>
      <w:r w:rsidRPr="00DC1A5F">
        <w:rPr>
          <w:vertAlign w:val="superscript"/>
        </w:rPr>
        <w:t>43</w:t>
      </w:r>
    </w:p>
    <w:p w14:paraId="4A15D347" w14:textId="77777777" w:rsidR="00597DE2" w:rsidRPr="00DC1A5F" w:rsidRDefault="00597DE2" w:rsidP="00597DE2">
      <w:r w:rsidRPr="00DC1A5F">
        <w:t xml:space="preserve">113. </w:t>
      </w:r>
      <w:r w:rsidRPr="00DC1A5F">
        <w:tab/>
        <w:t xml:space="preserve">Cuando, a través de la influencia de las 12 consciencias improductivas (22)–(33), los seres renazcan en un estado de perdición, entonces el único tipo de elemento de consciencia mental resultante </w:t>
      </w:r>
      <w:r w:rsidRPr="00DC1A5F">
        <w:rPr>
          <w:color w:val="1F3864" w:themeColor="accent1" w:themeShade="80"/>
        </w:rPr>
        <w:t xml:space="preserve">improductiva </w:t>
      </w:r>
      <w:r w:rsidRPr="00DC1A5F">
        <w:t xml:space="preserve">sin causa–raíz (56) ocurrirá como </w:t>
      </w:r>
      <w:r w:rsidRPr="00DC1A5F">
        <w:rPr>
          <w:i/>
          <w:iCs/>
        </w:rPr>
        <w:t>vínculo–de–renacimiento</w:t>
      </w:r>
      <w:r w:rsidRPr="00DC1A5F">
        <w:t xml:space="preserve">; y lo hará haciendo de su objeto cualquiera objeto correspondiente al </w:t>
      </w:r>
      <w:proofErr w:type="spellStart"/>
      <w:r w:rsidRPr="00DC1A5F">
        <w:rPr>
          <w:i/>
        </w:rPr>
        <w:t>kamma</w:t>
      </w:r>
      <w:proofErr w:type="spellEnd"/>
      <w:r w:rsidRPr="00DC1A5F">
        <w:rPr>
          <w:i/>
        </w:rPr>
        <w:t xml:space="preserve"> </w:t>
      </w:r>
      <w:r w:rsidRPr="00DC1A5F">
        <w:rPr>
          <w:iCs/>
        </w:rPr>
        <w:t>pasado</w:t>
      </w:r>
      <w:r w:rsidRPr="00DC1A5F">
        <w:t xml:space="preserve">, al signo del </w:t>
      </w:r>
      <w:proofErr w:type="spellStart"/>
      <w:r w:rsidRPr="00DC1A5F">
        <w:rPr>
          <w:i/>
        </w:rPr>
        <w:t>kamma</w:t>
      </w:r>
      <w:proofErr w:type="spellEnd"/>
      <w:r w:rsidRPr="00DC1A5F">
        <w:t xml:space="preserve"> o al signo del destino que haya aparecido al momento de la muerte. [458]</w:t>
      </w:r>
    </w:p>
    <w:p w14:paraId="4257264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46469AE" w14:textId="77777777" w:rsidR="00597DE2" w:rsidRPr="00DC1A5F" w:rsidRDefault="00597DE2" w:rsidP="00597DE2">
      <w:pPr>
        <w:pStyle w:val="PiedepginaLegal"/>
        <w:numPr>
          <w:ilvl w:val="0"/>
          <w:numId w:val="3"/>
        </w:numPr>
        <w:tabs>
          <w:tab w:val="clear" w:pos="425"/>
        </w:tabs>
        <w:ind w:left="284"/>
        <w:rPr>
          <w:color w:val="auto"/>
          <w:u w:color="000000"/>
        </w:rPr>
      </w:pPr>
      <w:r w:rsidRPr="00DC1A5F">
        <w:t>Véase también M–a IV 124f. “Aquí ‘</w:t>
      </w:r>
      <w:proofErr w:type="spellStart"/>
      <w:r w:rsidRPr="00DC1A5F">
        <w:rPr>
          <w:i/>
        </w:rPr>
        <w:t>kamma</w:t>
      </w:r>
      <w:proofErr w:type="spellEnd"/>
      <w:r w:rsidRPr="00DC1A5F">
        <w:t xml:space="preserve">’ se refiere al </w:t>
      </w:r>
      <w:proofErr w:type="spellStart"/>
      <w:r w:rsidRPr="00DC1A5F">
        <w:rPr>
          <w:i/>
        </w:rPr>
        <w:t>kamma</w:t>
      </w:r>
      <w:proofErr w:type="spellEnd"/>
      <w:r w:rsidRPr="00DC1A5F">
        <w:t xml:space="preserve"> productivo acumulado de la esfera de sensorial el cual tendrá la oportunidad de madurar; por lo tanto, él dijo ‘eso ha aparecido’. </w:t>
      </w:r>
      <w:r w:rsidRPr="00DC1A5F">
        <w:rPr>
          <w:color w:val="auto"/>
          <w:u w:color="000000"/>
        </w:rPr>
        <w:t xml:space="preserve">El ‘Signo del </w:t>
      </w:r>
      <w:proofErr w:type="spellStart"/>
      <w:r w:rsidRPr="00DC1A5F">
        <w:rPr>
          <w:i/>
          <w:color w:val="auto"/>
          <w:u w:color="000000"/>
        </w:rPr>
        <w:t>kamma</w:t>
      </w:r>
      <w:proofErr w:type="spellEnd"/>
      <w:r w:rsidRPr="00DC1A5F">
        <w:rPr>
          <w:color w:val="auto"/>
          <w:u w:color="000000"/>
        </w:rPr>
        <w:t xml:space="preserve">’ corresponderá al presente a ser ofrecido y a la condición de la volición en el momento de acumular el </w:t>
      </w:r>
      <w:proofErr w:type="spellStart"/>
      <w:r w:rsidRPr="00DC1A5F">
        <w:rPr>
          <w:i/>
          <w:color w:val="auto"/>
          <w:u w:color="000000"/>
        </w:rPr>
        <w:t>kamma</w:t>
      </w:r>
      <w:proofErr w:type="spellEnd"/>
      <w:r w:rsidRPr="00DC1A5F">
        <w:rPr>
          <w:color w:val="auto"/>
          <w:u w:color="000000"/>
        </w:rPr>
        <w:t>. El ‘Signo del destino’ corresponderá a la base de los objetos visibles ubicada en el destino en el que uno esté a punto de renacer”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477). Véase XVII. 136ss.</w:t>
      </w:r>
    </w:p>
    <w:p w14:paraId="4894673A" w14:textId="6B0BB781" w:rsidR="00597DE2" w:rsidRPr="00DC1A5F" w:rsidRDefault="00597DE2" w:rsidP="004C594A">
      <w:pPr>
        <w:pStyle w:val="PiedepginaLegal"/>
        <w:numPr>
          <w:ilvl w:val="0"/>
          <w:numId w:val="3"/>
        </w:numPr>
        <w:tabs>
          <w:tab w:val="clear" w:pos="425"/>
        </w:tabs>
        <w:spacing w:after="160"/>
        <w:ind w:left="284"/>
      </w:pPr>
      <w:r w:rsidRPr="00DC1A5F">
        <w:t xml:space="preserve">“‘El signo del </w:t>
      </w:r>
      <w:proofErr w:type="spellStart"/>
      <w:r w:rsidRPr="00721018">
        <w:rPr>
          <w:i/>
        </w:rPr>
        <w:t>kamma</w:t>
      </w:r>
      <w:proofErr w:type="spellEnd"/>
      <w:r w:rsidRPr="00DC1A5F">
        <w:t xml:space="preserve">” aquí se refiere sólo el propio objeto del </w:t>
      </w:r>
      <w:proofErr w:type="spellStart"/>
      <w:r w:rsidRPr="00721018">
        <w:rPr>
          <w:i/>
        </w:rPr>
        <w:t>kamma</w:t>
      </w:r>
      <w:proofErr w:type="spellEnd"/>
      <w:r w:rsidRPr="00DC1A5F">
        <w:t xml:space="preserve"> consistente del </w:t>
      </w:r>
      <w:proofErr w:type="spellStart"/>
      <w:r w:rsidRPr="00721018">
        <w:rPr>
          <w:i/>
        </w:rPr>
        <w:t>kasiṇa</w:t>
      </w:r>
      <w:proofErr w:type="spellEnd"/>
      <w:r w:rsidRPr="00DC1A5F">
        <w:t xml:space="preserve"> tierra, etc.” (</w:t>
      </w:r>
      <w:proofErr w:type="spellStart"/>
      <w:r w:rsidRPr="00DC1A5F">
        <w:t>Vism</w:t>
      </w:r>
      <w:proofErr w:type="spellEnd"/>
      <w:r w:rsidRPr="00DC1A5F">
        <w:t>–</w:t>
      </w:r>
      <w:proofErr w:type="spellStart"/>
      <w:r w:rsidRPr="00DC1A5F">
        <w:t>mhṭ</w:t>
      </w:r>
      <w:proofErr w:type="spellEnd"/>
      <w:r w:rsidRPr="00DC1A5F">
        <w:t xml:space="preserve"> 478).</w:t>
      </w:r>
      <w:r w:rsidRPr="00DC1A5F">
        <w:br w:type="page"/>
      </w:r>
    </w:p>
    <w:p w14:paraId="0048E714" w14:textId="77777777" w:rsidR="00597DE2" w:rsidRPr="00DC1A5F" w:rsidRDefault="00597DE2" w:rsidP="00597DE2"/>
    <w:p w14:paraId="07D596ED" w14:textId="77777777" w:rsidR="00597DE2" w:rsidRPr="00DC1A5F" w:rsidRDefault="00597DE2" w:rsidP="00597DE2">
      <w:pPr>
        <w:pStyle w:val="NormalConSangria"/>
      </w:pPr>
      <w:r w:rsidRPr="00DC1A5F">
        <w:t xml:space="preserve">En primer lugar, así es como la ocurrencia de las 19 clases de consciencias resultantes deberán entenderse como </w:t>
      </w:r>
      <w:r w:rsidRPr="00DC1A5F">
        <w:rPr>
          <w:i/>
          <w:iCs/>
        </w:rPr>
        <w:t>vínculo–de–renacimiento</w:t>
      </w:r>
      <w:r w:rsidRPr="00DC1A5F">
        <w:t>.</w:t>
      </w:r>
    </w:p>
    <w:p w14:paraId="280BBF78" w14:textId="77777777" w:rsidR="00597DE2" w:rsidRPr="00DC1A5F" w:rsidRDefault="00597DE2" w:rsidP="00597DE2">
      <w:r w:rsidRPr="00DC1A5F">
        <w:t xml:space="preserve">114. </w:t>
      </w:r>
      <w:r w:rsidRPr="00DC1A5F">
        <w:tab/>
        <w:t xml:space="preserve">(b). Cuando la consciencia del vínculo–de–renacimiento haya cesado, entonces, siguiendo cualquier tipo de vínculo–de–renacimiento que pueda ocurrir, las mismas clases, siendo resultados de ese mismo </w:t>
      </w:r>
      <w:proofErr w:type="spellStart"/>
      <w:r w:rsidRPr="00DC1A5F">
        <w:rPr>
          <w:i/>
        </w:rPr>
        <w:t>kamma</w:t>
      </w:r>
      <w:proofErr w:type="spellEnd"/>
      <w:r w:rsidRPr="00DC1A5F">
        <w:t>, cualesquiera que sean, ocurrirán como consciencias del continuum vital con ese mismo objeto; y otra vez esas mismas clases.</w:t>
      </w:r>
      <w:r w:rsidRPr="00DC1A5F">
        <w:rPr>
          <w:vertAlign w:val="superscript"/>
        </w:rPr>
        <w:t>44</w:t>
      </w:r>
      <w:r w:rsidRPr="00DC1A5F">
        <w:t xml:space="preserve"> Y mientras no haya otro tipo de surgimiento de consciencias que interrumpan esta continuidad, también seguirán ocurriendo interminablemente en períodos de sueño sin dormir, vigilia, etc., como la corriente de un río.</w:t>
      </w:r>
    </w:p>
    <w:p w14:paraId="65BD1761" w14:textId="77777777" w:rsidR="00597DE2" w:rsidRPr="00DC1A5F" w:rsidRDefault="00597DE2" w:rsidP="00597DE2">
      <w:pPr>
        <w:pStyle w:val="NormalConSangria"/>
      </w:pPr>
      <w:r w:rsidRPr="00DC1A5F">
        <w:t xml:space="preserve">Así es cómo las ocurrencias de esas mismas 19 clases de consciencias deberán entenderse como </w:t>
      </w:r>
      <w:r w:rsidRPr="00DC1A5F">
        <w:rPr>
          <w:i/>
          <w:iCs/>
        </w:rPr>
        <w:t>continuum vital</w:t>
      </w:r>
      <w:r w:rsidRPr="00DC1A5F">
        <w:t>.</w:t>
      </w:r>
    </w:p>
    <w:p w14:paraId="2236C90E" w14:textId="77777777" w:rsidR="00597DE2" w:rsidRPr="00DC1A5F" w:rsidRDefault="00597DE2" w:rsidP="00597DE2">
      <w:r w:rsidRPr="00DC1A5F">
        <w:t xml:space="preserve">115. </w:t>
      </w:r>
      <w:r w:rsidRPr="00DC1A5F">
        <w:tab/>
        <w:t>(c). Con la continuidad del continuum vital ocurriendo así, cuando las facultades de los seres vivos se hayan vuelto capaces de aprehender un objeto, entonces, cuando un objeto visible haya entrado en el foco visual, estará afectando la sensibilidad visual debido al objeto visible. Entonces, debido a la influencia del impacto, llegará a haber una perturbación en la continuidad del continuum vital.</w:t>
      </w:r>
      <w:r w:rsidRPr="00DC1A5F">
        <w:rPr>
          <w:vertAlign w:val="superscript"/>
        </w:rPr>
        <w:t>46</w:t>
      </w:r>
      <w:r w:rsidRPr="00DC1A5F">
        <w:t xml:space="preserve"> Entonces, cuando el continuum vital haya cesado, el elemento mental funcional (70) ocurrirá haciendo de ese mismo objeto visible su objeto, por así decirlo, truncando el continuum vital y cumpliendo la función de </w:t>
      </w:r>
      <w:r w:rsidRPr="00DC1A5F">
        <w:rPr>
          <w:i/>
          <w:iCs/>
        </w:rPr>
        <w:t>advertir</w:t>
      </w:r>
      <w:r w:rsidRPr="00DC1A5F">
        <w:t>. Así también en el caso de la puerta del oído, el gusto, etc.</w:t>
      </w:r>
    </w:p>
    <w:p w14:paraId="2ACBF3F5" w14:textId="77777777" w:rsidR="00597DE2" w:rsidRPr="00DC1A5F" w:rsidRDefault="00597DE2" w:rsidP="00597DE2">
      <w:r w:rsidRPr="00DC1A5F">
        <w:t xml:space="preserve">116. </w:t>
      </w:r>
      <w:r w:rsidRPr="00DC1A5F">
        <w:tab/>
        <w:t>Cuando un objeto de cualquiera de las 6 clases haya entrado en el foco de la puerta mental, entonces, junto a la perturbación del continuum vital, ocurrirá el elemento de la consciencia mental funcional sin causa–</w:t>
      </w:r>
      <w:proofErr w:type="gramStart"/>
      <w:r w:rsidRPr="00DC1A5F">
        <w:t>raíz acompañado</w:t>
      </w:r>
      <w:proofErr w:type="gramEnd"/>
      <w:r w:rsidRPr="00DC1A5F">
        <w:t xml:space="preserve"> de ecuanimidad (71), por así decirlo, truncando el continuum vital y cumpliendo la función de </w:t>
      </w:r>
      <w:r w:rsidRPr="00DC1A5F">
        <w:rPr>
          <w:i/>
          <w:iCs/>
        </w:rPr>
        <w:t>advertir</w:t>
      </w:r>
      <w:r w:rsidRPr="00DC1A5F">
        <w:t>.</w:t>
      </w:r>
    </w:p>
    <w:p w14:paraId="6D5AB79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C4342C0" w14:textId="77777777" w:rsidR="00597DE2" w:rsidRPr="00DC1A5F" w:rsidRDefault="00597DE2" w:rsidP="00597DE2">
      <w:pPr>
        <w:pStyle w:val="PiedepginaLegal"/>
        <w:numPr>
          <w:ilvl w:val="0"/>
          <w:numId w:val="3"/>
        </w:numPr>
        <w:tabs>
          <w:tab w:val="clear" w:pos="425"/>
        </w:tabs>
        <w:ind w:left="284"/>
      </w:pPr>
      <w:r w:rsidRPr="00DC1A5F">
        <w:t>“‘</w:t>
      </w:r>
      <w:r w:rsidRPr="00DC1A5F">
        <w:rPr>
          <w:i/>
          <w:iCs/>
        </w:rPr>
        <w:t>Con ese mismo objeto’</w:t>
      </w:r>
      <w:r w:rsidRPr="00DC1A5F">
        <w:t xml:space="preserve">: si el </w:t>
      </w:r>
      <w:proofErr w:type="spellStart"/>
      <w:r w:rsidRPr="00DC1A5F">
        <w:rPr>
          <w:i/>
        </w:rPr>
        <w:t>kamma</w:t>
      </w:r>
      <w:proofErr w:type="spellEnd"/>
      <w:r w:rsidRPr="00DC1A5F">
        <w:t xml:space="preserve"> es el objeto del continuum vital, entonces será ese </w:t>
      </w:r>
      <w:proofErr w:type="spellStart"/>
      <w:r w:rsidRPr="00DC1A5F">
        <w:rPr>
          <w:i/>
        </w:rPr>
        <w:t>kamma</w:t>
      </w:r>
      <w:proofErr w:type="spellEnd"/>
      <w:r w:rsidRPr="00DC1A5F">
        <w:t xml:space="preserve">; si es el signo del </w:t>
      </w:r>
      <w:proofErr w:type="spellStart"/>
      <w:r w:rsidRPr="00DC1A5F">
        <w:rPr>
          <w:i/>
        </w:rPr>
        <w:t>kamma</w:t>
      </w:r>
      <w:proofErr w:type="spellEnd"/>
      <w:r w:rsidRPr="00DC1A5F">
        <w:t xml:space="preserve"> o el signo del destino, entonces será uno de ellos” (</w:t>
      </w:r>
      <w:proofErr w:type="spellStart"/>
      <w:r w:rsidRPr="00DC1A5F">
        <w:t>Vism</w:t>
      </w:r>
      <w:proofErr w:type="spellEnd"/>
      <w:r w:rsidRPr="00DC1A5F">
        <w:t>–</w:t>
      </w:r>
      <w:proofErr w:type="spellStart"/>
      <w:r w:rsidRPr="00DC1A5F">
        <w:t>mhṭ</w:t>
      </w:r>
      <w:proofErr w:type="spellEnd"/>
      <w:r w:rsidRPr="00DC1A5F">
        <w:t xml:space="preserve"> 478).</w:t>
      </w:r>
    </w:p>
    <w:p w14:paraId="4B64A07B"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w:t>
      </w:r>
      <w:r w:rsidRPr="00DC1A5F">
        <w:rPr>
          <w:i/>
          <w:iCs/>
          <w:color w:val="auto"/>
          <w:u w:color="000000"/>
        </w:rPr>
        <w:t>’Ocurriendo sin cesar’</w:t>
      </w:r>
      <w:r w:rsidRPr="00DC1A5F">
        <w:rPr>
          <w:color w:val="auto"/>
          <w:u w:color="000000"/>
        </w:rPr>
        <w:t xml:space="preserve">: A esto, de hecho, se le llama </w:t>
      </w:r>
      <w:r w:rsidRPr="00DC1A5F">
        <w:rPr>
          <w:i/>
          <w:iCs/>
          <w:color w:val="auto"/>
          <w:u w:color="000000"/>
        </w:rPr>
        <w:t>‘</w:t>
      </w:r>
      <w:proofErr w:type="spellStart"/>
      <w:r w:rsidRPr="00DC1A5F">
        <w:rPr>
          <w:i/>
          <w:iCs/>
          <w:color w:val="auto"/>
          <w:u w:color="000000"/>
        </w:rPr>
        <w:t>bhavaṅga</w:t>
      </w:r>
      <w:proofErr w:type="spellEnd"/>
      <w:r w:rsidRPr="00DC1A5F">
        <w:rPr>
          <w:i/>
          <w:iCs/>
          <w:color w:val="auto"/>
          <w:u w:color="000000"/>
        </w:rPr>
        <w:t>’</w:t>
      </w:r>
      <w:r w:rsidRPr="00DC1A5F">
        <w:rPr>
          <w:color w:val="auto"/>
          <w:u w:color="000000"/>
        </w:rPr>
        <w:t xml:space="preserve"> (continuum vital, literalmente ‘componente’ (o ‘práctica’—ver II. 11) del devenir) debido a que ocurrirá como el estado de un </w:t>
      </w:r>
      <w:proofErr w:type="spellStart"/>
      <w:r w:rsidRPr="00DC1A5F">
        <w:rPr>
          <w:i/>
          <w:iCs/>
          <w:color w:val="auto"/>
          <w:u w:color="000000"/>
        </w:rPr>
        <w:t>aṅga</w:t>
      </w:r>
      <w:proofErr w:type="spellEnd"/>
      <w:r w:rsidRPr="00DC1A5F">
        <w:rPr>
          <w:color w:val="auto"/>
          <w:u w:color="000000"/>
        </w:rPr>
        <w:t xml:space="preserve"> (‘componente’ o ‘práctica’) del devenir del proceso de renacimiento (</w:t>
      </w:r>
      <w:proofErr w:type="spellStart"/>
      <w:r w:rsidRPr="00DC1A5F">
        <w:rPr>
          <w:i/>
          <w:iCs/>
          <w:color w:val="auto"/>
          <w:u w:color="000000"/>
        </w:rPr>
        <w:t>uppatti</w:t>
      </w:r>
      <w:proofErr w:type="spellEnd"/>
      <w:r w:rsidRPr="00DC1A5F">
        <w:rPr>
          <w:i/>
          <w:iCs/>
          <w:color w:val="auto"/>
          <w:u w:color="000000"/>
        </w:rPr>
        <w:t>–</w:t>
      </w:r>
      <w:proofErr w:type="spellStart"/>
      <w:r w:rsidRPr="00DC1A5F">
        <w:rPr>
          <w:i/>
          <w:iCs/>
          <w:color w:val="auto"/>
          <w:u w:color="000000"/>
        </w:rPr>
        <w:t>bhava</w:t>
      </w:r>
      <w:proofErr w:type="spellEnd"/>
      <w:r w:rsidRPr="00DC1A5F">
        <w:rPr>
          <w:color w:val="auto"/>
          <w:u w:color="000000"/>
        </w:rPr>
        <w:t>)”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478).</w:t>
      </w:r>
    </w:p>
    <w:p w14:paraId="6E6D7BA0" w14:textId="77777777" w:rsidR="00597DE2" w:rsidRPr="00DC1A5F" w:rsidRDefault="00597DE2" w:rsidP="00597DE2">
      <w:pPr>
        <w:pStyle w:val="PiedepginaLegal"/>
        <w:rPr>
          <w:color w:val="auto"/>
          <w:u w:color="000000"/>
        </w:rPr>
      </w:pPr>
      <w:r w:rsidRPr="00DC1A5F">
        <w:tab/>
      </w:r>
      <w:r w:rsidRPr="00DC1A5F">
        <w:tab/>
      </w:r>
      <w:r w:rsidRPr="00DC1A5F">
        <w:rPr>
          <w:color w:val="auto"/>
          <w:u w:color="000000"/>
        </w:rPr>
        <w:t xml:space="preserve">Para la descripción del comentario sobre la consciencia del sueño y el </w:t>
      </w:r>
      <w:proofErr w:type="spellStart"/>
      <w:r w:rsidRPr="00DC1A5F">
        <w:rPr>
          <w:i/>
          <w:color w:val="auto"/>
          <w:u w:color="000000"/>
        </w:rPr>
        <w:t>kamma</w:t>
      </w:r>
      <w:proofErr w:type="spellEnd"/>
      <w:r w:rsidRPr="00DC1A5F">
        <w:rPr>
          <w:color w:val="auto"/>
          <w:u w:color="000000"/>
        </w:rPr>
        <w:t xml:space="preserve"> efectuado durante los sueños, véase </w:t>
      </w:r>
      <w:proofErr w:type="spellStart"/>
      <w:r w:rsidRPr="00DC1A5F">
        <w:rPr>
          <w:color w:val="auto"/>
          <w:u w:color="000000"/>
        </w:rPr>
        <w:t>Vibh</w:t>
      </w:r>
      <w:proofErr w:type="spellEnd"/>
      <w:r w:rsidRPr="00DC1A5F">
        <w:rPr>
          <w:color w:val="auto"/>
          <w:u w:color="000000"/>
        </w:rPr>
        <w:t>–a (</w:t>
      </w:r>
      <w:r w:rsidRPr="00DC1A5F">
        <w:rPr>
          <w:i/>
          <w:iCs/>
          <w:color w:val="auto"/>
          <w:u w:color="000000"/>
        </w:rPr>
        <w:t>Comentario</w:t>
      </w:r>
      <w:r w:rsidRPr="00DC1A5F">
        <w:rPr>
          <w:color w:val="auto"/>
          <w:u w:color="000000"/>
        </w:rPr>
        <w:t xml:space="preserve"> </w:t>
      </w:r>
      <w:r w:rsidRPr="00DC1A5F">
        <w:rPr>
          <w:i/>
          <w:iCs/>
          <w:color w:val="auto"/>
          <w:u w:color="000000"/>
        </w:rPr>
        <w:t>Ñāṇa–</w:t>
      </w:r>
      <w:proofErr w:type="spellStart"/>
      <w:r w:rsidRPr="00DC1A5F">
        <w:rPr>
          <w:i/>
          <w:iCs/>
          <w:color w:val="auto"/>
          <w:u w:color="000000"/>
        </w:rPr>
        <w:t>Vibhaṅga</w:t>
      </w:r>
      <w:proofErr w:type="spellEnd"/>
      <w:r w:rsidRPr="00DC1A5F">
        <w:rPr>
          <w:color w:val="auto"/>
          <w:u w:color="000000"/>
        </w:rPr>
        <w:t xml:space="preserve">, </w:t>
      </w:r>
      <w:proofErr w:type="spellStart"/>
      <w:r w:rsidRPr="00DC1A5F">
        <w:rPr>
          <w:i/>
          <w:iCs/>
          <w:color w:val="auto"/>
          <w:u w:color="000000"/>
        </w:rPr>
        <w:t>Ekaka</w:t>
      </w:r>
      <w:proofErr w:type="spellEnd"/>
      <w:r w:rsidRPr="00DC1A5F">
        <w:rPr>
          <w:color w:val="auto"/>
          <w:u w:color="000000"/>
        </w:rPr>
        <w:t xml:space="preserve">) y A–a, (comentario del AN 5:196), que se superponen en gran medida, pero no del todo.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dice al respecto: “La visión de los sueños se hace con la consciencia consistente sólo de lo funcional”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478).</w:t>
      </w:r>
    </w:p>
    <w:p w14:paraId="792CAD5F" w14:textId="77777777" w:rsidR="00597DE2" w:rsidRPr="00DC1A5F" w:rsidRDefault="00597DE2" w:rsidP="00597DE2">
      <w:pPr>
        <w:pStyle w:val="PiedepginaLegal"/>
        <w:numPr>
          <w:ilvl w:val="0"/>
          <w:numId w:val="3"/>
        </w:numPr>
        <w:tabs>
          <w:tab w:val="clear" w:pos="425"/>
        </w:tabs>
        <w:ind w:left="284"/>
      </w:pPr>
      <w:r w:rsidRPr="00DC1A5F">
        <w:rPr>
          <w:color w:val="auto"/>
          <w:u w:color="000000"/>
        </w:rPr>
        <w:t>“‘</w:t>
      </w:r>
      <w:r w:rsidRPr="00DC1A5F">
        <w:rPr>
          <w:i/>
          <w:iCs/>
          <w:color w:val="auto"/>
          <w:u w:color="000000"/>
        </w:rPr>
        <w:t>Una perturbación en el continuum vital’</w:t>
      </w:r>
      <w:r w:rsidRPr="00DC1A5F">
        <w:rPr>
          <w:color w:val="auto"/>
          <w:u w:color="000000"/>
        </w:rPr>
        <w:t xml:space="preserve"> se refiere a una vacilación de la consciencia del continuum vital; el significado es que existirá la llegada a un estado que será motivo de </w:t>
      </w:r>
      <w:proofErr w:type="spellStart"/>
      <w:r w:rsidRPr="00DC1A5F">
        <w:rPr>
          <w:color w:val="auto"/>
          <w:u w:color="000000"/>
        </w:rPr>
        <w:t>disimilaridad</w:t>
      </w:r>
      <w:proofErr w:type="spellEnd"/>
      <w:r w:rsidRPr="00DC1A5F">
        <w:rPr>
          <w:color w:val="auto"/>
          <w:u w:color="000000"/>
        </w:rPr>
        <w:t xml:space="preserve"> en su ocurrencia dos veces y de esa manera. Ya que se le denominará perturbación (</w:t>
      </w:r>
      <w:proofErr w:type="spellStart"/>
      <w:r w:rsidRPr="00DC1A5F">
        <w:rPr>
          <w:i/>
          <w:iCs/>
          <w:color w:val="auto"/>
          <w:u w:color="000000"/>
        </w:rPr>
        <w:t>calana</w:t>
      </w:r>
      <w:proofErr w:type="spellEnd"/>
      <w:r w:rsidRPr="00DC1A5F">
        <w:rPr>
          <w:color w:val="auto"/>
          <w:u w:color="000000"/>
        </w:rPr>
        <w:t>) porque será como un disturbio (movimiento) debido a que parecerá existir una causa para una ocasión (</w:t>
      </w:r>
      <w:proofErr w:type="spellStart"/>
      <w:r w:rsidRPr="00DC1A5F">
        <w:rPr>
          <w:i/>
          <w:iCs/>
          <w:color w:val="auto"/>
          <w:u w:color="000000"/>
        </w:rPr>
        <w:t>avatthā</w:t>
      </w:r>
      <w:proofErr w:type="spellEnd"/>
      <w:r w:rsidRPr="00DC1A5F">
        <w:rPr>
          <w:color w:val="auto"/>
          <w:u w:color="000000"/>
        </w:rPr>
        <w:t>) en la continuidad de la mente diferente de la ocasión anterior.</w:t>
      </w:r>
      <w:r w:rsidRPr="00DC1A5F">
        <w:t xml:space="preserve"> </w:t>
      </w:r>
      <w:r w:rsidRPr="00DC1A5F">
        <w:rPr>
          <w:color w:val="auto"/>
          <w:u w:color="000000"/>
        </w:rPr>
        <w:t>Dado por hecho, en primer lugar, de que exista un impacto en la sensibilidad debido a la confrontación con un objeto, ya que la necesidad de ello estará establecida por la existencia del campo objetivo y el poseedor del campo objetivo, no obstante, ¿cómo llegará a haber una perturbación (movimiento) del continuum vital que posea un soporte diferente? Al estar conectado a él.</w:t>
      </w:r>
      <w:r w:rsidRPr="00DC1A5F">
        <w:rPr>
          <w:color w:val="833C0B" w:themeColor="accent2" w:themeShade="80"/>
          <w:u w:color="000000"/>
        </w:rPr>
        <w:t xml:space="preserve"> </w:t>
      </w:r>
      <w:r w:rsidRPr="00DC1A5F">
        <w:t>Y aquí el ejemplo será éste: cuando se ponen los granos de azúcar sobre la superficie de un tambor y se golpee uno de los granos de azúcar, una mosca posada en éste se moverá hacia otro grano de azúcar” (</w:t>
      </w:r>
      <w:proofErr w:type="spellStart"/>
      <w:r w:rsidRPr="00DC1A5F">
        <w:t>Vism</w:t>
      </w:r>
      <w:proofErr w:type="spellEnd"/>
      <w:r w:rsidRPr="00DC1A5F">
        <w:t>–</w:t>
      </w:r>
      <w:proofErr w:type="spellStart"/>
      <w:r w:rsidRPr="00DC1A5F">
        <w:t>mhṭ</w:t>
      </w:r>
      <w:proofErr w:type="spellEnd"/>
      <w:r w:rsidRPr="00DC1A5F">
        <w:t xml:space="preserve"> 478).</w:t>
      </w:r>
      <w:r w:rsidRPr="00DC1A5F">
        <w:br w:type="page"/>
      </w:r>
    </w:p>
    <w:p w14:paraId="42040647" w14:textId="77777777" w:rsidR="00597DE2" w:rsidRPr="00DC1A5F" w:rsidRDefault="00597DE2" w:rsidP="00597DE2">
      <w:pPr>
        <w:pStyle w:val="PiedepginaLegal"/>
      </w:pPr>
    </w:p>
    <w:p w14:paraId="2F71B9DF" w14:textId="77777777" w:rsidR="00597DE2" w:rsidRPr="00DC1A5F" w:rsidRDefault="00597DE2" w:rsidP="00597DE2">
      <w:pPr>
        <w:pStyle w:val="NormalConSangria"/>
      </w:pPr>
      <w:r w:rsidRPr="00DC1A5F">
        <w:t xml:space="preserve">Así es cómo deberá entenderse la ocurrencia de 2 clases de consciencia funcional como </w:t>
      </w:r>
      <w:r w:rsidRPr="00DC1A5F">
        <w:rPr>
          <w:i/>
          <w:iCs/>
        </w:rPr>
        <w:t>advertencia</w:t>
      </w:r>
      <w:r w:rsidRPr="00DC1A5F">
        <w:t>.</w:t>
      </w:r>
    </w:p>
    <w:p w14:paraId="38F45EF4" w14:textId="77777777" w:rsidR="00597DE2" w:rsidRPr="00DC1A5F" w:rsidRDefault="00597DE2" w:rsidP="00597DE2">
      <w:r w:rsidRPr="00DC1A5F">
        <w:t xml:space="preserve">117. </w:t>
      </w:r>
      <w:r w:rsidRPr="00DC1A5F">
        <w:tab/>
        <w:t>(d)–(h) Siguiente a la advertencia,</w:t>
      </w:r>
      <w:r w:rsidRPr="00DC1A5F">
        <w:rPr>
          <w:vertAlign w:val="superscript"/>
        </w:rPr>
        <w:t>47</w:t>
      </w:r>
      <w:r w:rsidRPr="00DC1A5F">
        <w:t xml:space="preserve"> tomando primero la puerta del ojo, surgirá la consciencia</w:t>
      </w:r>
      <w:r w:rsidRPr="00DC1A5F">
        <w:rPr>
          <w:i/>
          <w:iCs/>
        </w:rPr>
        <w:t xml:space="preserve"> del ojo </w:t>
      </w:r>
      <w:r w:rsidRPr="00DC1A5F">
        <w:t xml:space="preserve">(d) que cumplirá la función de la </w:t>
      </w:r>
      <w:r w:rsidRPr="00DC1A5F">
        <w:rPr>
          <w:i/>
          <w:iCs/>
        </w:rPr>
        <w:t>observación</w:t>
      </w:r>
      <w:r w:rsidRPr="00DC1A5F">
        <w:t xml:space="preserve"> en la puerta del ojo y tendrá la sensibilidad del ojo como su base física. Y, así mismo, surgirá (e) la </w:t>
      </w:r>
      <w:r w:rsidRPr="00DC1A5F">
        <w:rPr>
          <w:i/>
          <w:iCs/>
        </w:rPr>
        <w:t>consciencia del</w:t>
      </w:r>
      <w:r w:rsidRPr="00DC1A5F">
        <w:t xml:space="preserve"> </w:t>
      </w:r>
      <w:r w:rsidRPr="00DC1A5F">
        <w:rPr>
          <w:i/>
          <w:iCs/>
        </w:rPr>
        <w:t>oído</w:t>
      </w:r>
      <w:r w:rsidRPr="00DC1A5F">
        <w:t xml:space="preserve">, (f) la </w:t>
      </w:r>
      <w:r w:rsidRPr="00DC1A5F">
        <w:rPr>
          <w:i/>
          <w:iCs/>
        </w:rPr>
        <w:t>nariz</w:t>
      </w:r>
      <w:r w:rsidRPr="00DC1A5F">
        <w:t xml:space="preserve">, (g) la </w:t>
      </w:r>
      <w:r w:rsidRPr="00DC1A5F">
        <w:rPr>
          <w:i/>
          <w:iCs/>
        </w:rPr>
        <w:t>lengua</w:t>
      </w:r>
      <w:r w:rsidRPr="00DC1A5F">
        <w:t xml:space="preserve"> y (h) el </w:t>
      </w:r>
      <w:r w:rsidRPr="00DC1A5F">
        <w:rPr>
          <w:i/>
          <w:iCs/>
        </w:rPr>
        <w:t>cuerpo</w:t>
      </w:r>
      <w:r w:rsidRPr="00DC1A5F">
        <w:t xml:space="preserve">, cumpliendo las funciones de </w:t>
      </w:r>
      <w:r w:rsidRPr="00DC1A5F">
        <w:rPr>
          <w:i/>
          <w:iCs/>
        </w:rPr>
        <w:t>oír</w:t>
      </w:r>
      <w:r w:rsidRPr="00DC1A5F">
        <w:t xml:space="preserve">, </w:t>
      </w:r>
      <w:r w:rsidRPr="00DC1A5F">
        <w:rPr>
          <w:i/>
          <w:iCs/>
        </w:rPr>
        <w:t>oler</w:t>
      </w:r>
      <w:r w:rsidRPr="00DC1A5F">
        <w:t xml:space="preserve">, etc., en la puerta del oído, la nariz, etc., </w:t>
      </w:r>
      <w:r w:rsidRPr="00DC1A5F">
        <w:rPr>
          <w:color w:val="833C0B" w:themeColor="accent2" w:themeShade="80"/>
        </w:rPr>
        <w:t>respectivamente</w:t>
      </w:r>
      <w:r w:rsidRPr="00DC1A5F">
        <w:t>.</w:t>
      </w:r>
    </w:p>
    <w:p w14:paraId="11EB804C" w14:textId="77777777" w:rsidR="00597DE2" w:rsidRPr="00DC1A5F" w:rsidRDefault="00597DE2" w:rsidP="00597DE2">
      <w:pPr>
        <w:pStyle w:val="NormalConSangria"/>
      </w:pPr>
      <w:r w:rsidRPr="00DC1A5F">
        <w:t>Estos comprenderán las consciencias resultantes productivas (34)–(38) con respecto a los campos objetivos deseables y neutrales–deseables, y las resultantes improductivas (50)–(54) con respecto a los campos objetivos indeseables y neutrales</w:t>
      </w:r>
      <w:r w:rsidRPr="00DC1A5F">
        <w:rPr>
          <w:i/>
          <w:iCs/>
        </w:rPr>
        <w:t>–</w:t>
      </w:r>
      <w:r w:rsidRPr="00DC1A5F">
        <w:t>indeseables.</w:t>
      </w:r>
    </w:p>
    <w:p w14:paraId="12A5AC4B" w14:textId="77777777" w:rsidR="00597DE2" w:rsidRPr="00DC1A5F" w:rsidRDefault="00597DE2" w:rsidP="00597DE2">
      <w:pPr>
        <w:pStyle w:val="NormalConSangria"/>
      </w:pPr>
      <w:r w:rsidRPr="00DC1A5F">
        <w:t xml:space="preserve">Así es cómo deberá entenderse la ocurrencia de las 10 clases de consciencias resultantes como </w:t>
      </w:r>
      <w:r w:rsidRPr="00DC1A5F">
        <w:rPr>
          <w:i/>
          <w:iCs/>
        </w:rPr>
        <w:t>ver, oír, oler, gustar y sentir</w:t>
      </w:r>
      <w:r w:rsidRPr="00DC1A5F">
        <w:t>.</w:t>
      </w:r>
    </w:p>
    <w:p w14:paraId="78CF7410" w14:textId="77777777" w:rsidR="00597DE2" w:rsidRPr="00DC1A5F" w:rsidRDefault="00597DE2" w:rsidP="00597DE2">
      <w:r w:rsidRPr="00DC1A5F">
        <w:t xml:space="preserve">118. </w:t>
      </w:r>
      <w:r w:rsidRPr="00DC1A5F">
        <w:tab/>
        <w:t>(i) Debido a las palabras, “Habiendo surgido y cesado la consciencia visual, junto a ello surgirá la consciencia, la mente, la mención… que corresponderá al elemento mental correspondiente” (</w:t>
      </w:r>
      <w:proofErr w:type="spellStart"/>
      <w:r w:rsidRPr="00DC1A5F">
        <w:t>Vibh</w:t>
      </w:r>
      <w:proofErr w:type="spellEnd"/>
      <w:r w:rsidRPr="00DC1A5F">
        <w:t xml:space="preserve"> 88), etc., junto a las consciencias visual, olfativa, etc., y </w:t>
      </w:r>
      <w:r w:rsidRPr="00DC1A5F">
        <w:rPr>
          <w:i/>
          <w:iCs/>
        </w:rPr>
        <w:t>recibiendo</w:t>
      </w:r>
      <w:r w:rsidRPr="00DC1A5F">
        <w:t xml:space="preserve"> los mismos campos objetivos con los que traten, ocurrirá el elemento mental como una consciencia resultante productiva, (39), junto a las consciencias resultantes productivas visual, olfativa, etc. y como resultante improductiva (55) junto a [459] las consciencias resultantes improductivas visual, olfativa, etc..</w:t>
      </w:r>
    </w:p>
    <w:p w14:paraId="49A47A34" w14:textId="77777777" w:rsidR="00597DE2" w:rsidRPr="00DC1A5F" w:rsidRDefault="00597DE2" w:rsidP="00597DE2">
      <w:pPr>
        <w:pStyle w:val="NormalConSangria"/>
      </w:pPr>
      <w:r w:rsidRPr="00DC1A5F">
        <w:t xml:space="preserve">Así es cómo deberá entenderse la ocurrencia de las 2 clases de consciencia resultante como </w:t>
      </w:r>
      <w:r w:rsidRPr="00DC1A5F">
        <w:rPr>
          <w:i/>
          <w:iCs/>
        </w:rPr>
        <w:t>recepción</w:t>
      </w:r>
      <w:r w:rsidRPr="00DC1A5F">
        <w:t>.</w:t>
      </w:r>
    </w:p>
    <w:p w14:paraId="45F1086A" w14:textId="77777777" w:rsidR="00597DE2" w:rsidRPr="00DC1A5F" w:rsidRDefault="00597DE2" w:rsidP="00597DE2">
      <w:r w:rsidRPr="00DC1A5F">
        <w:t xml:space="preserve">119. </w:t>
      </w:r>
      <w:r w:rsidRPr="00DC1A5F">
        <w:tab/>
        <w:t>(j) Debido a las palabras, “Habiendo surgido y cesado el elemento mental, también, junto a ello surgirá la consciencia, la mente, la mención… que corresponderá a su elemento mental apropiado” (</w:t>
      </w:r>
      <w:proofErr w:type="spellStart"/>
      <w:r w:rsidRPr="00DC1A5F">
        <w:t>Vibh</w:t>
      </w:r>
      <w:proofErr w:type="spellEnd"/>
      <w:r w:rsidRPr="00DC1A5F">
        <w:t xml:space="preserve"> 89),</w:t>
      </w:r>
      <w:r w:rsidRPr="00DC1A5F">
        <w:rPr>
          <w:vertAlign w:val="superscript"/>
        </w:rPr>
        <w:t>48</w:t>
      </w:r>
      <w:r w:rsidRPr="00DC1A5F">
        <w:t xml:space="preserve"> entonces el elemento de la consciencia mental resultante sin causa–raíz surgirá </w:t>
      </w:r>
      <w:r w:rsidRPr="00DC1A5F">
        <w:rPr>
          <w:i/>
          <w:iCs/>
        </w:rPr>
        <w:t>investigando</w:t>
      </w:r>
      <w:r w:rsidRPr="00DC1A5F">
        <w:t xml:space="preserve"> el mismo campo objetivo que el recepcionando por el elemento–mental. Cuando esté junto al elemento mental resultante improductivo (55), corresponderá a la resultante improductiva (56), y cuando esté junto al elemento mental resultante productivo (39), estará acompañado de dicha en el caso de un objeto deseable (40), o acompañado de ecuanimidad en el caso de un objeto neutral</w:t>
      </w:r>
      <w:r w:rsidRPr="00DC1A5F">
        <w:rPr>
          <w:i/>
          <w:iCs/>
        </w:rPr>
        <w:t>–</w:t>
      </w:r>
      <w:r w:rsidRPr="00DC1A5F">
        <w:t>deseable (41).</w:t>
      </w:r>
    </w:p>
    <w:p w14:paraId="4ADC9716" w14:textId="77777777" w:rsidR="00597DE2" w:rsidRPr="00DC1A5F" w:rsidRDefault="00597DE2" w:rsidP="00597DE2">
      <w:pPr>
        <w:pStyle w:val="NormalConSangria"/>
      </w:pPr>
      <w:r w:rsidRPr="00DC1A5F">
        <w:t xml:space="preserve">Así es cómo deberá entenderse la ocurrencia de estas 3 clases de consciencia resultante como </w:t>
      </w:r>
      <w:r w:rsidRPr="00DC1A5F">
        <w:rPr>
          <w:i/>
          <w:iCs/>
        </w:rPr>
        <w:t>investigación</w:t>
      </w:r>
      <w:r w:rsidRPr="00DC1A5F">
        <w:t>.</w:t>
      </w:r>
    </w:p>
    <w:p w14:paraId="0B9CF2E6" w14:textId="77777777" w:rsidR="00597DE2" w:rsidRPr="00DC1A5F" w:rsidRDefault="00597DE2" w:rsidP="00597DE2">
      <w:r w:rsidRPr="00DC1A5F">
        <w:t xml:space="preserve">120. </w:t>
      </w:r>
      <w:r w:rsidRPr="00DC1A5F">
        <w:tab/>
        <w:t>(k) Junto a la investigación, ocurrirá el elemento de la consciencia mental funcional sin causa–raíz (71) acompañada de ecuanimidad que determinará ese mismo campo objetivo.</w:t>
      </w:r>
    </w:p>
    <w:p w14:paraId="1F1F151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6798574" w14:textId="77777777" w:rsidR="00597DE2" w:rsidRPr="00DC1A5F" w:rsidRDefault="00597DE2" w:rsidP="00597DE2">
      <w:pPr>
        <w:pStyle w:val="PiedepginaLegal"/>
        <w:numPr>
          <w:ilvl w:val="0"/>
          <w:numId w:val="3"/>
        </w:numPr>
        <w:tabs>
          <w:tab w:val="clear" w:pos="425"/>
        </w:tabs>
        <w:ind w:left="284"/>
      </w:pPr>
      <w:r w:rsidRPr="00DC1A5F">
        <w:rPr>
          <w:color w:val="auto"/>
          <w:u w:color="000000"/>
        </w:rPr>
        <w:t>“</w:t>
      </w:r>
      <w:r w:rsidRPr="00DC1A5F">
        <w:rPr>
          <w:i/>
          <w:iCs/>
          <w:color w:val="auto"/>
          <w:u w:color="000000"/>
        </w:rPr>
        <w:t>’Próximo a la advertencia’</w:t>
      </w:r>
      <w:r w:rsidRPr="00DC1A5F">
        <w:rPr>
          <w:color w:val="auto"/>
          <w:u w:color="000000"/>
        </w:rPr>
        <w:t xml:space="preserve"> significa junto a la advertencia de las cinco puertas. Para aquellos que no admitan la serie cognitiva que comienza con la recepción, así como que no admitan la base del corazón, los textos </w:t>
      </w:r>
      <w:r w:rsidRPr="00DC1A5F">
        <w:rPr>
          <w:i/>
          <w:iCs/>
          <w:color w:val="auto"/>
          <w:u w:color="000000"/>
        </w:rPr>
        <w:t>Pāḷi</w:t>
      </w:r>
      <w:r w:rsidRPr="00DC1A5F">
        <w:rPr>
          <w:color w:val="auto"/>
          <w:u w:color="000000"/>
        </w:rPr>
        <w:t xml:space="preserve"> lo han mencionado en varios lugares mediante el pasaje que comienza,</w:t>
      </w:r>
      <w:r w:rsidRPr="00DC1A5F">
        <w:t xml:space="preserve"> ‘Para el elemento de la consciencia del ojo como recepción (</w:t>
      </w:r>
      <w:proofErr w:type="spellStart"/>
      <w:r w:rsidRPr="00DC1A5F">
        <w:rPr>
          <w:i/>
          <w:iCs/>
        </w:rPr>
        <w:t>sampaṭicchanāya</w:t>
      </w:r>
      <w:proofErr w:type="spellEnd"/>
      <w:r w:rsidRPr="00DC1A5F">
        <w:rPr>
          <w:i/>
          <w:iCs/>
        </w:rPr>
        <w:t xml:space="preserve"> </w:t>
      </w:r>
      <w:proofErr w:type="spellStart"/>
      <w:proofErr w:type="gramStart"/>
      <w:r w:rsidRPr="00DC1A5F">
        <w:rPr>
          <w:i/>
          <w:iCs/>
        </w:rPr>
        <w:t>cakkhuviññāṇadhātuyā</w:t>
      </w:r>
      <w:proofErr w:type="spellEnd"/>
      <w:r w:rsidRPr="00DC1A5F">
        <w:t>)‘</w:t>
      </w:r>
      <w:proofErr w:type="gramEnd"/>
      <w:r w:rsidRPr="00DC1A5F">
        <w:t xml:space="preserve"> (ver Cap. IV, n. 13); ya que los textos </w:t>
      </w:r>
      <w:r w:rsidRPr="00DC1A5F">
        <w:rPr>
          <w:i/>
          <w:iCs/>
        </w:rPr>
        <w:t>Pāḷi</w:t>
      </w:r>
      <w:r w:rsidRPr="00DC1A5F">
        <w:t xml:space="preserve"> no pueden contradecirse” (</w:t>
      </w:r>
      <w:proofErr w:type="spellStart"/>
      <w:r w:rsidRPr="00DC1A5F">
        <w:t>Vism</w:t>
      </w:r>
      <w:proofErr w:type="spellEnd"/>
      <w:r w:rsidRPr="00DC1A5F">
        <w:t>–</w:t>
      </w:r>
      <w:proofErr w:type="spellStart"/>
      <w:r w:rsidRPr="00DC1A5F">
        <w:t>mhṭ</w:t>
      </w:r>
      <w:proofErr w:type="spellEnd"/>
      <w:r w:rsidRPr="00DC1A5F">
        <w:t xml:space="preserve"> 479). La cita, tal como se presenta, no es rastreable en los </w:t>
      </w:r>
      <w:proofErr w:type="spellStart"/>
      <w:r w:rsidRPr="00DC1A5F">
        <w:rPr>
          <w:i/>
          <w:iCs/>
        </w:rPr>
        <w:t>Piṭakas</w:t>
      </w:r>
      <w:proofErr w:type="spellEnd"/>
      <w:r w:rsidRPr="00DC1A5F">
        <w:t>.</w:t>
      </w:r>
    </w:p>
    <w:p w14:paraId="7F01620B" w14:textId="77777777" w:rsidR="00597DE2" w:rsidRPr="00DC1A5F" w:rsidRDefault="00597DE2" w:rsidP="00597DE2">
      <w:pPr>
        <w:pStyle w:val="PiedepginaLegal"/>
        <w:numPr>
          <w:ilvl w:val="0"/>
          <w:numId w:val="3"/>
        </w:numPr>
        <w:tabs>
          <w:tab w:val="clear" w:pos="425"/>
        </w:tabs>
        <w:ind w:left="284"/>
      </w:pPr>
      <w:r w:rsidRPr="00DC1A5F">
        <w:t>Ver cap. IV, nota 13.</w:t>
      </w:r>
    </w:p>
    <w:p w14:paraId="731B34F5" w14:textId="77777777" w:rsidR="00597DE2" w:rsidRPr="00DC1A5F" w:rsidRDefault="00597DE2" w:rsidP="00597DE2">
      <w:pPr>
        <w:tabs>
          <w:tab w:val="clear" w:pos="425"/>
        </w:tabs>
        <w:spacing w:after="160"/>
      </w:pPr>
      <w:r w:rsidRPr="00DC1A5F">
        <w:br w:type="page"/>
      </w:r>
    </w:p>
    <w:p w14:paraId="75CB89AC" w14:textId="77777777" w:rsidR="00597DE2" w:rsidRPr="00DC1A5F" w:rsidRDefault="00597DE2" w:rsidP="00597DE2"/>
    <w:p w14:paraId="1C6D7044" w14:textId="77777777" w:rsidR="00597DE2" w:rsidRPr="00DC1A5F" w:rsidRDefault="00597DE2" w:rsidP="00597DE2">
      <w:pPr>
        <w:pStyle w:val="NormalConSangria"/>
      </w:pPr>
      <w:r w:rsidRPr="00DC1A5F">
        <w:t xml:space="preserve">Así es cómo deberá entenderse la ocurrencia de 1 tipo de consciencia resultante como </w:t>
      </w:r>
      <w:r w:rsidRPr="00DC1A5F">
        <w:rPr>
          <w:i/>
          <w:iCs/>
        </w:rPr>
        <w:t>determinante</w:t>
      </w:r>
      <w:r w:rsidRPr="00DC1A5F">
        <w:t>.</w:t>
      </w:r>
    </w:p>
    <w:p w14:paraId="2D78A005" w14:textId="77777777" w:rsidR="00597DE2" w:rsidRPr="00DC1A5F" w:rsidRDefault="00597DE2" w:rsidP="00597DE2">
      <w:r w:rsidRPr="00DC1A5F">
        <w:t xml:space="preserve">121. </w:t>
      </w:r>
      <w:r w:rsidRPr="00DC1A5F">
        <w:tab/>
        <w:t>(l) Además de determinar si el objeto visible, olfativo, etc., como objeto es vívido,</w:t>
      </w:r>
      <w:r w:rsidRPr="00DC1A5F">
        <w:rPr>
          <w:vertAlign w:val="superscript"/>
        </w:rPr>
        <w:t>49</w:t>
      </w:r>
      <w:r w:rsidRPr="00DC1A5F">
        <w:t xml:space="preserve"> luego 6 o 7 </w:t>
      </w:r>
      <w:r w:rsidRPr="00DC1A5F">
        <w:rPr>
          <w:i/>
          <w:iCs/>
        </w:rPr>
        <w:t>impulsos</w:t>
      </w:r>
      <w:r w:rsidRPr="00DC1A5F">
        <w:t xml:space="preserve"> impulsarán con respecto a los campos objetivos como determinados. Estos corresponderán a una de las clases (1)–(8), de las 8 clases de la esfera sensorial productiva, o a las 12 clases improductivas (22)– (33), o a las 9 consciencias funcionales de la esfera sensorial restantes (72)–(80). Éste, en primer lugar, será el curso de ocurrencia en el caso de las 5 puertas.</w:t>
      </w:r>
    </w:p>
    <w:p w14:paraId="079FA5F4" w14:textId="77777777" w:rsidR="00597DE2" w:rsidRPr="00DC1A5F" w:rsidRDefault="00597DE2" w:rsidP="00597DE2">
      <w:pPr>
        <w:pStyle w:val="NormalConSangria"/>
      </w:pPr>
      <w:r w:rsidRPr="00DC1A5F">
        <w:t>No obstante, en el caso de la puerta mental, esos mismos impulsos surgirán junto a la consciencia a la advertencia de la puerta mental (71).</w:t>
      </w:r>
    </w:p>
    <w:p w14:paraId="12AE35B8" w14:textId="77777777" w:rsidR="00597DE2" w:rsidRPr="00DC1A5F" w:rsidRDefault="00597DE2" w:rsidP="00597DE2">
      <w:pPr>
        <w:pStyle w:val="NormalConSangria"/>
      </w:pPr>
      <w:r w:rsidRPr="00DC1A5F">
        <w:t>Más allá de la etapa del cambio de linaje</w:t>
      </w:r>
      <w:r w:rsidRPr="00DC1A5F">
        <w:rPr>
          <w:vertAlign w:val="superscript"/>
        </w:rPr>
        <w:t>50</w:t>
      </w:r>
      <w:r w:rsidRPr="00DC1A5F">
        <w:t xml:space="preserve"> cualquiera de las siguientes 26 clases de impulsión que obtenga una condición</w:t>
      </w:r>
      <w:r w:rsidRPr="00DC1A5F">
        <w:rPr>
          <w:vertAlign w:val="superscript"/>
        </w:rPr>
        <w:t>51</w:t>
      </w:r>
      <w:r w:rsidRPr="00DC1A5F">
        <w:t xml:space="preserve"> impulsarán; es decir, cualquiera de las 5 clases productivas (9)–(13), de las 5 clases funcionales también de la esfera de la materia sutil (81)–(85), de las 4 clases productivas (14)–(17), de las 4 clases funcionales también de la esfera inmaterial (86)–(89), de las 4 consciencias del sendero (18)–(21) y de las 4 consciencias de la fruición supramundana </w:t>
      </w:r>
      <w:r w:rsidRPr="00DC1A5F">
        <w:rPr>
          <w:color w:val="833C0B" w:themeColor="accent2" w:themeShade="80"/>
        </w:rPr>
        <w:t>resultante</w:t>
      </w:r>
      <w:r w:rsidRPr="00DC1A5F">
        <w:t xml:space="preserve"> e indeterminada (66)–(69), </w:t>
      </w:r>
      <w:r w:rsidRPr="00DC1A5F">
        <w:rPr>
          <w:color w:val="833C0B" w:themeColor="accent2" w:themeShade="80"/>
        </w:rPr>
        <w:t>todas éstas impulsarán</w:t>
      </w:r>
      <w:r w:rsidRPr="00DC1A5F">
        <w:t>.</w:t>
      </w:r>
    </w:p>
    <w:p w14:paraId="404F9089" w14:textId="77777777" w:rsidR="00597DE2" w:rsidRPr="00DC1A5F" w:rsidRDefault="00597DE2" w:rsidP="00597DE2">
      <w:pPr>
        <w:pStyle w:val="NormalConSangria"/>
      </w:pPr>
      <w:r w:rsidRPr="00DC1A5F">
        <w:t xml:space="preserve">Así es cómo deberá entenderse la ocurrencia de estas 55 clases de consciencias productivas, improductivas, funcionales y resultantes como </w:t>
      </w:r>
      <w:r w:rsidRPr="00DC1A5F">
        <w:rPr>
          <w:i/>
          <w:iCs/>
        </w:rPr>
        <w:t>impulsión</w:t>
      </w:r>
      <w:r w:rsidRPr="00DC1A5F">
        <w:t>.</w:t>
      </w:r>
    </w:p>
    <w:p w14:paraId="4768B68E" w14:textId="77777777" w:rsidR="00597DE2" w:rsidRPr="00DC1A5F" w:rsidRDefault="00597DE2" w:rsidP="00597DE2">
      <w:r w:rsidRPr="00DC1A5F">
        <w:t xml:space="preserve">122. </w:t>
      </w:r>
      <w:r w:rsidRPr="00DC1A5F">
        <w:tab/>
        <w:t>(m) Al término de estos impulsos, si el objeto es muy vívido</w:t>
      </w:r>
      <w:r w:rsidRPr="00DC1A5F">
        <w:rPr>
          <w:vertAlign w:val="superscript"/>
        </w:rPr>
        <w:t>52</w:t>
      </w:r>
      <w:r w:rsidRPr="00DC1A5F">
        <w:t xml:space="preserve"> en las 5 puertas o es </w:t>
      </w:r>
      <w:r w:rsidRPr="00DC1A5F">
        <w:rPr>
          <w:color w:val="833C0B" w:themeColor="accent2" w:themeShade="80"/>
        </w:rPr>
        <w:t xml:space="preserve">distinguiblemente </w:t>
      </w:r>
      <w:r w:rsidRPr="00DC1A5F">
        <w:t xml:space="preserve">claro en la puerta mental, entonces en los seres de la esfera sensorial, al final de los impulsos de esta esfera sensorial, se producirá una consciencia resultante a través de cualquier condición que se haya obtenido del </w:t>
      </w:r>
      <w:proofErr w:type="spellStart"/>
      <w:r w:rsidRPr="00DC1A5F">
        <w:rPr>
          <w:i/>
        </w:rPr>
        <w:t>kamma</w:t>
      </w:r>
      <w:proofErr w:type="spellEnd"/>
      <w:r w:rsidRPr="00DC1A5F">
        <w:t xml:space="preserve"> pasado, será una consciencia de impulsión, etc., con un objeto deseable,</w:t>
      </w:r>
      <w:r w:rsidRPr="00DC1A5F">
        <w:rPr>
          <w:vertAlign w:val="superscript"/>
        </w:rPr>
        <w:t>53</w:t>
      </w:r>
      <w:r w:rsidRPr="00DC1A5F">
        <w:t xml:space="preserve"> etc. Ocurrirá así como una de las 8 clases de consciencia resultantes de la esfera sensorial con causa–raíz (42)–(49) o como los 3 elementos de la consciencia mental resultantes sin causa–raíz (40), (41), (56), y lo hará una o [460] dos veces, siguiendo los impulsos que haya impulsado y con respecto a un objeto distinto del objeto del continuum vital,</w:t>
      </w:r>
    </w:p>
    <w:p w14:paraId="173036D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FB37925" w14:textId="77777777" w:rsidR="00597DE2" w:rsidRPr="00DC1A5F" w:rsidRDefault="00597DE2" w:rsidP="00597DE2">
      <w:pPr>
        <w:pStyle w:val="PiedepginaLegal"/>
        <w:numPr>
          <w:ilvl w:val="0"/>
          <w:numId w:val="3"/>
        </w:numPr>
        <w:tabs>
          <w:tab w:val="clear" w:pos="425"/>
        </w:tabs>
        <w:ind w:left="284"/>
      </w:pPr>
      <w:r w:rsidRPr="00DC1A5F">
        <w:rPr>
          <w:color w:val="auto"/>
          <w:u w:color="000000"/>
        </w:rPr>
        <w:t>“‘</w:t>
      </w:r>
      <w:r w:rsidRPr="00DC1A5F">
        <w:rPr>
          <w:i/>
          <w:iCs/>
          <w:color w:val="auto"/>
          <w:u w:color="000000"/>
        </w:rPr>
        <w:t>Si… vívido</w:t>
      </w:r>
      <w:r w:rsidRPr="00DC1A5F">
        <w:rPr>
          <w:color w:val="auto"/>
          <w:u w:color="000000"/>
        </w:rPr>
        <w:t xml:space="preserve"> (</w:t>
      </w:r>
      <w:proofErr w:type="spellStart"/>
      <w:r w:rsidRPr="00DC1A5F">
        <w:rPr>
          <w:i/>
          <w:iCs/>
          <w:color w:val="auto"/>
          <w:u w:color="000000"/>
        </w:rPr>
        <w:t>lit</w:t>
      </w:r>
      <w:r w:rsidRPr="00DC1A5F">
        <w:rPr>
          <w:color w:val="auto"/>
          <w:u w:color="000000"/>
        </w:rPr>
        <w:t>.</w:t>
      </w:r>
      <w:proofErr w:type="spellEnd"/>
      <w:r w:rsidRPr="00DC1A5F">
        <w:rPr>
          <w:color w:val="auto"/>
          <w:u w:color="000000"/>
        </w:rPr>
        <w:t xml:space="preserve"> </w:t>
      </w:r>
      <w:r w:rsidRPr="00DC1A5F">
        <w:rPr>
          <w:i/>
          <w:iCs/>
          <w:color w:val="auto"/>
          <w:u w:color="000000"/>
        </w:rPr>
        <w:t>grande</w:t>
      </w:r>
      <w:r w:rsidRPr="00DC1A5F">
        <w:rPr>
          <w:color w:val="auto"/>
          <w:u w:color="000000"/>
        </w:rPr>
        <w:t>)’: esto se dice porque corresponderá a la ocurrencia de la consciencia al final de los impulsos lo que se esté discutiendo</w:t>
      </w:r>
      <w:r w:rsidRPr="00DC1A5F">
        <w:rPr>
          <w:color w:val="833C0B" w:themeColor="accent2" w:themeShade="80"/>
          <w:u w:color="000000"/>
        </w:rPr>
        <w:t>.</w:t>
      </w:r>
      <w:r w:rsidRPr="00DC1A5F">
        <w:t xml:space="preserve"> Porque aquí se entenderá que un objeto será ‘vívido’ cuando su vida conste de catorce momentos conscientes; y eso deberá entenderse como que llegará a enfocarse cuando haya surgido y hayan cesado dos o tres momentos” (</w:t>
      </w:r>
      <w:proofErr w:type="spellStart"/>
      <w:r w:rsidRPr="00DC1A5F">
        <w:t>Vism</w:t>
      </w:r>
      <w:proofErr w:type="spellEnd"/>
      <w:r w:rsidRPr="00DC1A5F">
        <w:t>–</w:t>
      </w:r>
      <w:proofErr w:type="spellStart"/>
      <w:r w:rsidRPr="00DC1A5F">
        <w:t>mhṭ</w:t>
      </w:r>
      <w:proofErr w:type="spellEnd"/>
      <w:r w:rsidRPr="00DC1A5F">
        <w:t xml:space="preserve"> 479).</w:t>
      </w:r>
    </w:p>
    <w:p w14:paraId="133B4108"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“Esto incluirá también el trabajo preliminar y la purificación (ver Cap. XXII, nota 7), no solo el cambio de linaje”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479). Ver también IV.74 y XXI. 129.</w:t>
      </w:r>
    </w:p>
    <w:p w14:paraId="633A9969"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w:t>
      </w:r>
      <w:r w:rsidRPr="00DC1A5F">
        <w:rPr>
          <w:i/>
          <w:iCs/>
          <w:color w:val="auto"/>
          <w:u w:color="000000"/>
        </w:rPr>
        <w:t>Eso obtendrá una condición’</w:t>
      </w:r>
      <w:r w:rsidRPr="00DC1A5F">
        <w:rPr>
          <w:color w:val="auto"/>
          <w:u w:color="000000"/>
        </w:rPr>
        <w:t>: cualquier impulso que haya obtenido una condición para su surgimiento junto al cambio de linaje, como el de la esfera de la materia sutil, etc.”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479).</w:t>
      </w:r>
    </w:p>
    <w:p w14:paraId="5A1C3240"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w:t>
      </w:r>
      <w:r w:rsidRPr="00DC1A5F">
        <w:rPr>
          <w:i/>
          <w:iCs/>
          <w:color w:val="auto"/>
          <w:u w:color="000000"/>
        </w:rPr>
        <w:t>Uno muy vívido’</w:t>
      </w:r>
      <w:r w:rsidRPr="00DC1A5F">
        <w:rPr>
          <w:color w:val="auto"/>
          <w:u w:color="000000"/>
        </w:rPr>
        <w:t xml:space="preserve"> corresponderá a una consciencia con una vida de 16 momentos de consciencia. Pues la consciencia de registro surgirá con respecto a ello, no con respecto a ninguna otra. ‘Claro’ significa muy evidente y eso se manifestará solo en la esfera sensorial; porque el registro surgirá con respecto a ella”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479).</w:t>
      </w:r>
    </w:p>
    <w:p w14:paraId="06C0AAAE" w14:textId="77777777" w:rsidR="00597DE2" w:rsidRPr="00DC1A5F" w:rsidRDefault="00597DE2" w:rsidP="00597DE2">
      <w:pPr>
        <w:pStyle w:val="PiedepginaLegal"/>
        <w:numPr>
          <w:ilvl w:val="0"/>
          <w:numId w:val="3"/>
        </w:numPr>
        <w:tabs>
          <w:tab w:val="clear" w:pos="425"/>
        </w:tabs>
        <w:spacing w:after="160"/>
        <w:ind w:left="284"/>
        <w:rPr>
          <w:color w:val="auto"/>
          <w:u w:color="000000"/>
        </w:rPr>
      </w:pPr>
      <w:r w:rsidRPr="00DC1A5F">
        <w:rPr>
          <w:color w:val="auto"/>
          <w:u w:color="000000"/>
        </w:rPr>
        <w:t>“‘</w:t>
      </w:r>
      <w:proofErr w:type="spellStart"/>
      <w:r w:rsidRPr="00DC1A5F">
        <w:rPr>
          <w:i/>
          <w:color w:val="auto"/>
          <w:u w:color="000000"/>
        </w:rPr>
        <w:t>Kamma</w:t>
      </w:r>
      <w:proofErr w:type="spellEnd"/>
      <w:r w:rsidRPr="00DC1A5F">
        <w:rPr>
          <w:color w:val="auto"/>
          <w:u w:color="000000"/>
        </w:rPr>
        <w:t xml:space="preserve"> </w:t>
      </w:r>
      <w:r w:rsidRPr="00DC1A5F">
        <w:rPr>
          <w:i/>
          <w:iCs/>
          <w:color w:val="auto"/>
          <w:u w:color="000000"/>
        </w:rPr>
        <w:t>del pasado’</w:t>
      </w:r>
      <w:r w:rsidRPr="00DC1A5F">
        <w:rPr>
          <w:color w:val="auto"/>
          <w:u w:color="000000"/>
        </w:rPr>
        <w:t xml:space="preserve">: esto se dice para exponer las diferencias entre los tipos de registro; pues el </w:t>
      </w:r>
      <w:proofErr w:type="spellStart"/>
      <w:r w:rsidRPr="00DC1A5F">
        <w:rPr>
          <w:i/>
          <w:color w:val="auto"/>
          <w:u w:color="000000"/>
        </w:rPr>
        <w:t>kamma</w:t>
      </w:r>
      <w:proofErr w:type="spellEnd"/>
      <w:r w:rsidRPr="00DC1A5F">
        <w:rPr>
          <w:color w:val="auto"/>
          <w:u w:color="000000"/>
        </w:rPr>
        <w:t xml:space="preserve"> que genere un vínculo–de–renacimiento no será el único que genere un registro; otros tipos de </w:t>
      </w:r>
      <w:proofErr w:type="spellStart"/>
      <w:r w:rsidRPr="00DC1A5F">
        <w:rPr>
          <w:i/>
          <w:color w:val="auto"/>
          <w:u w:color="000000"/>
        </w:rPr>
        <w:t>kamma</w:t>
      </w:r>
      <w:proofErr w:type="spellEnd"/>
      <w:r w:rsidRPr="00DC1A5F">
        <w:rPr>
          <w:color w:val="auto"/>
          <w:u w:color="000000"/>
        </w:rPr>
        <w:t xml:space="preserve"> también lo harán.</w:t>
      </w:r>
      <w:r w:rsidRPr="00DC1A5F">
        <w:t xml:space="preserve"> </w:t>
      </w:r>
      <w:r w:rsidRPr="00DC1A5F">
        <w:rPr>
          <w:color w:val="auto"/>
          <w:u w:color="000000"/>
        </w:rPr>
        <w:t xml:space="preserve">No obstante, este último generará un registro a diferencia del que generaría un </w:t>
      </w:r>
      <w:proofErr w:type="spellStart"/>
      <w:r w:rsidRPr="00DC1A5F">
        <w:rPr>
          <w:i/>
          <w:color w:val="auto"/>
          <w:u w:color="000000"/>
        </w:rPr>
        <w:t>kamma</w:t>
      </w:r>
      <w:proofErr w:type="spellEnd"/>
      <w:r w:rsidRPr="00DC1A5F">
        <w:rPr>
          <w:color w:val="auto"/>
          <w:u w:color="000000"/>
        </w:rPr>
        <w:t xml:space="preserve"> que produciría un vínculo–de–renacimiento. ‘</w:t>
      </w:r>
      <w:r w:rsidRPr="00DC1A5F">
        <w:rPr>
          <w:i/>
          <w:iCs/>
          <w:color w:val="auto"/>
          <w:u w:color="000000"/>
        </w:rPr>
        <w:t>Consciencia de impulsión’</w:t>
      </w:r>
      <w:r w:rsidRPr="00DC1A5F">
        <w:rPr>
          <w:color w:val="auto"/>
          <w:u w:color="000000"/>
        </w:rPr>
        <w:t>: esto se nombra para exponer lo que definirá el registro; pues se dice al respecto: ‘El registro será definible por la impulsión’</w:t>
      </w:r>
      <w:r w:rsidRPr="00DC1A5F">
        <w:t xml:space="preserve"> (?). </w:t>
      </w:r>
      <w:r w:rsidRPr="00DC1A5F">
        <w:rPr>
          <w:color w:val="auto"/>
          <w:u w:color="000000"/>
        </w:rPr>
        <w:t>Sin embargo, la palabra ‘etc.’ incluirá al vínculo–de–renacimiento; ya que éste no será una condición para el registro que sea más sobresaliente que él mismo. ‘</w:t>
      </w:r>
      <w:r w:rsidRPr="00DC1A5F">
        <w:rPr>
          <w:i/>
          <w:iCs/>
          <w:color w:val="auto"/>
          <w:u w:color="000000"/>
        </w:rPr>
        <w:t>Cualquier condición’</w:t>
      </w:r>
      <w:r w:rsidRPr="00DC1A5F">
        <w:rPr>
          <w:color w:val="auto"/>
          <w:u w:color="000000"/>
        </w:rPr>
        <w:t>: cualquier condición de entre los objetos deseables, etc., que se haya combinado (</w:t>
      </w:r>
      <w:proofErr w:type="spellStart"/>
      <w:r w:rsidRPr="00DC1A5F">
        <w:rPr>
          <w:i/>
          <w:iCs/>
          <w:color w:val="auto"/>
          <w:u w:color="000000"/>
        </w:rPr>
        <w:t>samaveta</w:t>
      </w:r>
      <w:proofErr w:type="spellEnd"/>
      <w:r w:rsidRPr="00DC1A5F">
        <w:rPr>
          <w:color w:val="auto"/>
          <w:u w:color="000000"/>
        </w:rPr>
        <w:t>) para producir el surgimiento del registro”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479).</w:t>
      </w:r>
    </w:p>
    <w:p w14:paraId="28607821" w14:textId="77777777" w:rsidR="00597DE2" w:rsidRPr="00DC1A5F" w:rsidRDefault="00597DE2" w:rsidP="00597DE2"/>
    <w:p w14:paraId="17ED5631" w14:textId="77777777" w:rsidR="00597DE2" w:rsidRPr="00DC1A5F" w:rsidRDefault="00597DE2" w:rsidP="00597DE2">
      <w:pPr>
        <w:pStyle w:val="Textoindependiente"/>
      </w:pPr>
      <w:r w:rsidRPr="00DC1A5F">
        <w:t xml:space="preserve">similarmente a esa parte del agua de un río que sigue un poco a un bote cuando éste va río arriba. Aunque esté listo para ocurrir con el objeto del continuum vital, después de que los impulsos hayan terminado, sin embargo, ocurrirá haciendo que el objeto de los impulsos sea su objeto. Por ello se le llama </w:t>
      </w:r>
      <w:r w:rsidRPr="00DC1A5F">
        <w:rPr>
          <w:i/>
          <w:iCs/>
        </w:rPr>
        <w:t>registro</w:t>
      </w:r>
      <w:r w:rsidRPr="00DC1A5F">
        <w:t xml:space="preserve"> (</w:t>
      </w:r>
      <w:proofErr w:type="spellStart"/>
      <w:r w:rsidRPr="00DC1A5F">
        <w:rPr>
          <w:i/>
          <w:iCs/>
        </w:rPr>
        <w:t>tadārammaṇa</w:t>
      </w:r>
      <w:proofErr w:type="spellEnd"/>
      <w:r w:rsidRPr="00DC1A5F">
        <w:t>—</w:t>
      </w:r>
      <w:proofErr w:type="spellStart"/>
      <w:r w:rsidRPr="00DC1A5F">
        <w:t>lit.</w:t>
      </w:r>
      <w:proofErr w:type="spellEnd"/>
      <w:r w:rsidRPr="00DC1A5F">
        <w:t xml:space="preserve"> “teniendo–eso–como–su–objeto”).</w:t>
      </w:r>
    </w:p>
    <w:p w14:paraId="0710653B" w14:textId="77777777" w:rsidR="00597DE2" w:rsidRPr="00DC1A5F" w:rsidRDefault="00597DE2" w:rsidP="00597DE2">
      <w:pPr>
        <w:pStyle w:val="NormalConSangria"/>
      </w:pPr>
      <w:r w:rsidRPr="00DC1A5F">
        <w:t xml:space="preserve">Así es cómo deberá entenderse la ocurrencia de estas 11 clases de consciencia resultantes como </w:t>
      </w:r>
      <w:r w:rsidRPr="00DC1A5F">
        <w:rPr>
          <w:i/>
          <w:iCs/>
        </w:rPr>
        <w:t>registro</w:t>
      </w:r>
      <w:r w:rsidRPr="00DC1A5F">
        <w:t>.</w:t>
      </w:r>
    </w:p>
    <w:p w14:paraId="1B082A3B" w14:textId="77777777" w:rsidR="00597DE2" w:rsidRPr="00DC1A5F" w:rsidRDefault="00597DE2" w:rsidP="00597DE2">
      <w:r w:rsidRPr="00DC1A5F">
        <w:t xml:space="preserve">123. </w:t>
      </w:r>
      <w:r w:rsidRPr="00DC1A5F">
        <w:tab/>
        <w:t>(n) Al final de este registro, el continuum vital reanudará su ocurrencia. Cuando la reaparición del continuum vital se interrumpa nuevamente, entonces volverá a ocurrir la advertencia, etc.</w:t>
      </w:r>
      <w:proofErr w:type="gramStart"/>
      <w:r w:rsidRPr="00DC1A5F">
        <w:t>, ,</w:t>
      </w:r>
      <w:proofErr w:type="gramEnd"/>
      <w:r w:rsidRPr="00DC1A5F">
        <w:t xml:space="preserve"> y cuando se den las condiciones, la continuidad de la consciencia repetirá su ocurrencia como advertencia, y junto a la advertencia, el ver, etc., de acuerdo con la ley de la consciencia, una y otra vez, hasta que se agote el continuum vital de un devenir. Ya que a la última consciencia del continuum vital de todo devenir se le llamará muerte (</w:t>
      </w:r>
      <w:proofErr w:type="spellStart"/>
      <w:r w:rsidRPr="00DC1A5F">
        <w:rPr>
          <w:i/>
          <w:iCs/>
        </w:rPr>
        <w:t>cuti</w:t>
      </w:r>
      <w:proofErr w:type="spellEnd"/>
      <w:r w:rsidRPr="00DC1A5F">
        <w:t>) debido al colapso (</w:t>
      </w:r>
      <w:proofErr w:type="spellStart"/>
      <w:r w:rsidRPr="00DC1A5F">
        <w:rPr>
          <w:i/>
          <w:iCs/>
        </w:rPr>
        <w:t>cavanatta</w:t>
      </w:r>
      <w:proofErr w:type="spellEnd"/>
      <w:r w:rsidRPr="00DC1A5F">
        <w:t>) de ese devenir. Así que esto también será de 19 clases, como vínculo–de–renacimiento y continuum vital.</w:t>
      </w:r>
    </w:p>
    <w:p w14:paraId="2348C9D7" w14:textId="77777777" w:rsidR="00597DE2" w:rsidRPr="00DC1A5F" w:rsidRDefault="00597DE2" w:rsidP="00597DE2">
      <w:pPr>
        <w:pStyle w:val="NormalConSangria"/>
      </w:pPr>
      <w:r w:rsidRPr="00DC1A5F">
        <w:t xml:space="preserve">Así es cómo deberá entenderse la ocurrencia de estas 19 clases de consciencia resultante como </w:t>
      </w:r>
      <w:r w:rsidRPr="00DC1A5F">
        <w:rPr>
          <w:i/>
          <w:iCs/>
        </w:rPr>
        <w:t>muerte</w:t>
      </w:r>
      <w:r w:rsidRPr="00DC1A5F">
        <w:t>.</w:t>
      </w:r>
    </w:p>
    <w:p w14:paraId="3A73FD9F" w14:textId="77777777" w:rsidR="00597DE2" w:rsidRPr="00DC1A5F" w:rsidRDefault="00597DE2" w:rsidP="00597DE2">
      <w:r w:rsidRPr="00DC1A5F">
        <w:t xml:space="preserve">124. </w:t>
      </w:r>
      <w:r w:rsidRPr="00DC1A5F">
        <w:tab/>
        <w:t xml:space="preserve">Y después de la muerte se manifestará un vínculo–de–renacimiento nuevamente y después del vínculo–de–renacimiento, el continuum vital. Así, la continuidad de la consciencia de los seres que se apresuren a través de los tipos de devenir, destino, estación de consciencia y plano existencial ocurrirá sin interrupción. No obstante, cuando un hombre alcance aquí el estado de </w:t>
      </w:r>
      <w:r w:rsidRPr="00DC1A5F">
        <w:rPr>
          <w:i/>
        </w:rPr>
        <w:t>Arahant</w:t>
      </w:r>
      <w:r w:rsidRPr="00DC1A5F">
        <w:t>, cesará con la cesación de la consciencia de su muerte.</w:t>
      </w:r>
    </w:p>
    <w:p w14:paraId="0ED57F4D" w14:textId="77777777" w:rsidR="00597DE2" w:rsidRPr="00DC1A5F" w:rsidRDefault="00597DE2" w:rsidP="00597DE2">
      <w:pPr>
        <w:pStyle w:val="NumReload2"/>
      </w:pPr>
      <w:r w:rsidRPr="00DC1A5F">
        <w:t>Ésta es la sección de la explicación detallada que trata sobre el agregado de la consciencia.</w:t>
      </w:r>
    </w:p>
    <w:p w14:paraId="2F816BD7" w14:textId="77777777" w:rsidR="00597DE2" w:rsidRPr="00DC1A5F" w:rsidRDefault="00597DE2" w:rsidP="00597DE2">
      <w:pPr>
        <w:pStyle w:val="NumReload2"/>
      </w:pPr>
    </w:p>
    <w:p w14:paraId="1312D9CB" w14:textId="77777777" w:rsidR="00597DE2" w:rsidRPr="00DC1A5F" w:rsidRDefault="00597DE2" w:rsidP="00597DE2">
      <w:pPr>
        <w:pStyle w:val="Ttulo5"/>
      </w:pPr>
      <w:r w:rsidRPr="00DC1A5F">
        <w:t>[El Agregado de la Sensación]</w:t>
      </w:r>
    </w:p>
    <w:p w14:paraId="553A0D8C" w14:textId="77777777" w:rsidR="00597DE2" w:rsidRPr="00DC1A5F" w:rsidRDefault="00597DE2" w:rsidP="00597DE2">
      <w:r w:rsidRPr="00DC1A5F">
        <w:t xml:space="preserve">125. </w:t>
      </w:r>
      <w:r w:rsidRPr="00DC1A5F">
        <w:tab/>
        <w:t>Ahora bien, se dijo anteriormente: “Todo lo que posea la característica de ser sentido deberá entenderse, en su conjunto, como el agregado de la sensación” (§81). Y aquí también lo que se diga que posea la característica de ser sentido corresponderá a la sensación misma, según lo que se dice al respecto: “Se siente, amigo, por eso se llama sensación” (M I 293).</w:t>
      </w:r>
    </w:p>
    <w:p w14:paraId="2F2694AB" w14:textId="77777777" w:rsidR="00597DE2" w:rsidRPr="00DC1A5F" w:rsidRDefault="00597DE2" w:rsidP="00597DE2">
      <w:r w:rsidRPr="00DC1A5F">
        <w:t xml:space="preserve">126. </w:t>
      </w:r>
      <w:r w:rsidRPr="00DC1A5F">
        <w:tab/>
        <w:t xml:space="preserve">No obstante, aunque sea única según su esencia individual como la característica de ser sentida, no obstante, será de 3 clases en cuanto a su género, es decir, como productiva, improductiva e indeterminada. Aquí, deberá entenderse que cuando se asocie con la consciencia productiva descrita mediante el pasaje que comienza “(1)–(8) Las consciencias de la esfera sensorial serán 8, y al estar clasificadas según la dicha, la ecuanimidad, el conocimiento y la incitación” (§83), serán </w:t>
      </w:r>
      <w:r w:rsidRPr="00DC1A5F">
        <w:rPr>
          <w:i/>
          <w:iCs/>
        </w:rPr>
        <w:t>productivas</w:t>
      </w:r>
      <w:r w:rsidRPr="00DC1A5F">
        <w:rPr>
          <w:i/>
          <w:iCs/>
          <w:vertAlign w:val="superscript"/>
        </w:rPr>
        <w:t>54</w:t>
      </w:r>
      <w:r w:rsidRPr="00DC1A5F">
        <w:t xml:space="preserve">; las asociadas con la consciencia improductiva serán </w:t>
      </w:r>
      <w:r w:rsidRPr="00DC1A5F">
        <w:rPr>
          <w:i/>
          <w:iCs/>
        </w:rPr>
        <w:t>improductivas</w:t>
      </w:r>
      <w:r w:rsidRPr="00DC1A5F">
        <w:t xml:space="preserve">; las asociadas con la consciencia indeterminada serán </w:t>
      </w:r>
      <w:r w:rsidRPr="00DC1A5F">
        <w:rPr>
          <w:i/>
          <w:iCs/>
        </w:rPr>
        <w:t>indeterminadas</w:t>
      </w:r>
      <w:r w:rsidRPr="00DC1A5F">
        <w:t>. [461]</w:t>
      </w:r>
    </w:p>
    <w:p w14:paraId="762231A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8D86D40" w14:textId="77777777" w:rsidR="00597DE2" w:rsidRPr="00DC1A5F" w:rsidRDefault="00597DE2" w:rsidP="00597DE2">
      <w:pPr>
        <w:pStyle w:val="PiedepginaLegal"/>
        <w:numPr>
          <w:ilvl w:val="0"/>
          <w:numId w:val="3"/>
        </w:numPr>
        <w:tabs>
          <w:tab w:val="clear" w:pos="425"/>
        </w:tabs>
        <w:ind w:left="284"/>
      </w:pPr>
      <w:r w:rsidRPr="00DC1A5F">
        <w:rPr>
          <w:color w:val="auto"/>
          <w:u w:color="000000"/>
        </w:rPr>
        <w:t>“Este aspecto deberá ser considerado como una característica secundaria (</w:t>
      </w:r>
      <w:proofErr w:type="spellStart"/>
      <w:r w:rsidRPr="00DC1A5F">
        <w:rPr>
          <w:i/>
          <w:iCs/>
          <w:color w:val="auto"/>
          <w:u w:color="000000"/>
        </w:rPr>
        <w:t>upalakkhaṇa</w:t>
      </w:r>
      <w:proofErr w:type="spellEnd"/>
      <w:r w:rsidRPr="00DC1A5F">
        <w:rPr>
          <w:color w:val="auto"/>
          <w:u w:color="000000"/>
        </w:rPr>
        <w:t xml:space="preserve">) de la sensación productiva, es decir, el hecho de que cualquier sensación productiva </w:t>
      </w:r>
      <w:proofErr w:type="gramStart"/>
      <w:r w:rsidRPr="00DC1A5F">
        <w:rPr>
          <w:color w:val="auto"/>
          <w:u w:color="000000"/>
        </w:rPr>
        <w:t>surja,</w:t>
      </w:r>
      <w:proofErr w:type="gramEnd"/>
      <w:r w:rsidRPr="00DC1A5F">
        <w:rPr>
          <w:color w:val="auto"/>
          <w:u w:color="000000"/>
        </w:rPr>
        <w:t xml:space="preserve"> estará asociada absolutamente con la consciencia productiva.</w:t>
      </w:r>
      <w:r w:rsidRPr="00DC1A5F">
        <w:t xml:space="preserve"> </w:t>
      </w:r>
      <w:r w:rsidRPr="00DC1A5F">
        <w:rPr>
          <w:color w:val="auto"/>
          <w:u w:color="000000"/>
        </w:rPr>
        <w:t>Ésta, sin embargo, no se dará con el propósito de establecer su productividad. Ya que la productividad de la sensación productiva no se deberá a su asociación con la consciencia productiva, sino y más bien, a una atención sabia, etc</w:t>
      </w:r>
      <w:r w:rsidRPr="00DC1A5F">
        <w:rPr>
          <w:color w:val="833C0B" w:themeColor="accent2" w:themeShade="80"/>
          <w:u w:color="000000"/>
        </w:rPr>
        <w:t>.</w:t>
      </w:r>
      <w:r w:rsidRPr="00DC1A5F">
        <w:t xml:space="preserve"> Es por eso </w:t>
      </w:r>
      <w:proofErr w:type="gramStart"/>
      <w:r w:rsidRPr="00DC1A5F">
        <w:t>que</w:t>
      </w:r>
      <w:proofErr w:type="gramEnd"/>
      <w:r w:rsidRPr="00DC1A5F">
        <w:t xml:space="preserve"> se dijo ‘</w:t>
      </w:r>
      <w:r w:rsidRPr="00DC1A5F">
        <w:rPr>
          <w:i/>
          <w:iCs/>
        </w:rPr>
        <w:t>en cuanto a la clase</w:t>
      </w:r>
      <w:r w:rsidRPr="00DC1A5F">
        <w:t>’. Así también en el caso de las improductivas, etc.” (</w:t>
      </w:r>
      <w:proofErr w:type="spellStart"/>
      <w:r w:rsidRPr="00DC1A5F">
        <w:t>Vism</w:t>
      </w:r>
      <w:proofErr w:type="spellEnd"/>
      <w:r w:rsidRPr="00DC1A5F">
        <w:t>–</w:t>
      </w:r>
      <w:proofErr w:type="spellStart"/>
      <w:r w:rsidRPr="00DC1A5F">
        <w:t>mhṭ</w:t>
      </w:r>
      <w:proofErr w:type="spellEnd"/>
      <w:r w:rsidRPr="00DC1A5F">
        <w:t xml:space="preserve"> 481).</w:t>
      </w:r>
    </w:p>
    <w:p w14:paraId="41E3FB1B" w14:textId="77777777" w:rsidR="00597DE2" w:rsidRPr="00DC1A5F" w:rsidRDefault="00597DE2" w:rsidP="00597DE2">
      <w:pPr>
        <w:tabs>
          <w:tab w:val="clear" w:pos="425"/>
        </w:tabs>
        <w:spacing w:after="160"/>
      </w:pPr>
      <w:r w:rsidRPr="00DC1A5F">
        <w:br w:type="page"/>
      </w:r>
    </w:p>
    <w:p w14:paraId="6224FFE4" w14:textId="77777777" w:rsidR="00597DE2" w:rsidRPr="00DC1A5F" w:rsidRDefault="00597DE2" w:rsidP="00597DE2">
      <w:r w:rsidRPr="00DC1A5F">
        <w:lastRenderedPageBreak/>
        <w:br/>
      </w:r>
      <w:r w:rsidRPr="00DC1A5F">
        <w:br/>
        <w:t xml:space="preserve">127. </w:t>
      </w:r>
      <w:r w:rsidRPr="00DC1A5F">
        <w:tab/>
        <w:t>Según el análisis de su esencia individual, la sensación será de 5 clases: como placer [corporal], dolor [corporal], dicha [mental], la aflicción [mental] y ecuanimidad.</w:t>
      </w:r>
    </w:p>
    <w:p w14:paraId="4079B9CD" w14:textId="77777777" w:rsidR="00597DE2" w:rsidRPr="00DC1A5F" w:rsidRDefault="00597DE2" w:rsidP="00597DE2">
      <w:pPr>
        <w:pStyle w:val="NormalConSangria"/>
      </w:pPr>
      <w:r w:rsidRPr="00DC1A5F">
        <w:t xml:space="preserve">Aquí, el </w:t>
      </w:r>
      <w:r w:rsidRPr="00DC1A5F">
        <w:rPr>
          <w:i/>
          <w:iCs/>
        </w:rPr>
        <w:t>placer</w:t>
      </w:r>
      <w:r w:rsidRPr="00DC1A5F">
        <w:t xml:space="preserve"> estará asociado con la consciencia corporal resultante productiva (38) y el </w:t>
      </w:r>
      <w:r w:rsidRPr="00DC1A5F">
        <w:rPr>
          <w:i/>
          <w:iCs/>
        </w:rPr>
        <w:t>dolor</w:t>
      </w:r>
      <w:r w:rsidRPr="00DC1A5F">
        <w:t xml:space="preserve"> con la consciencia corporal resultante improductiva (54). La </w:t>
      </w:r>
      <w:r w:rsidRPr="00DC1A5F">
        <w:rPr>
          <w:i/>
          <w:iCs/>
        </w:rPr>
        <w:t>dicha</w:t>
      </w:r>
      <w:r w:rsidRPr="00DC1A5F">
        <w:t xml:space="preserve"> estará asociada con 62 clases de consciencia, es decir, en cuanto a la esfera sensorial, con las 4 clases de consciencia productiva (1)–(4), las 4 resultantes con causa–raíz (42)–(45), con 1 resultante sin causa–raíz (40), con 4 funcionales con causa–raíz (73)–(76), con 1 funcional sin causa–raíz (72), y con 4 improductiva (22)–(25); y en cuanto a la esfera de la materia sutil, con 4 clases de consciencia productiva (9)–(12), 4 resultantes (57)–(60) y 4 funcionales (81)–(84), dejando fuera la del quinto </w:t>
      </w:r>
      <w:proofErr w:type="spellStart"/>
      <w:r w:rsidRPr="00DC1A5F">
        <w:rPr>
          <w:i/>
        </w:rPr>
        <w:t>jhāna</w:t>
      </w:r>
      <w:proofErr w:type="spellEnd"/>
      <w:r w:rsidRPr="00DC1A5F">
        <w:t xml:space="preserve"> en cada caso; no obstante, como no existe consciencia supramundana sin </w:t>
      </w:r>
      <w:proofErr w:type="spellStart"/>
      <w:r w:rsidRPr="00DC1A5F">
        <w:rPr>
          <w:i/>
        </w:rPr>
        <w:t>jhāna</w:t>
      </w:r>
      <w:proofErr w:type="spellEnd"/>
      <w:r w:rsidRPr="00DC1A5F">
        <w:t xml:space="preserve"> y, en consecuencia, las 8 clases de consciencia supramundana (18)–(21) y (66)–(69) multiplicados por los cinco </w:t>
      </w:r>
      <w:proofErr w:type="spellStart"/>
      <w:r w:rsidRPr="00DC1A5F">
        <w:rPr>
          <w:i/>
        </w:rPr>
        <w:t>jhāna</w:t>
      </w:r>
      <w:proofErr w:type="spellEnd"/>
      <w:r w:rsidRPr="00DC1A5F">
        <w:t xml:space="preserve"> hacen 40 clases; dejando fuera los 8 asociados con el quinto </w:t>
      </w:r>
      <w:proofErr w:type="spellStart"/>
      <w:r w:rsidRPr="00DC1A5F">
        <w:rPr>
          <w:i/>
        </w:rPr>
        <w:t>jhāna</w:t>
      </w:r>
      <w:proofErr w:type="spellEnd"/>
      <w:r w:rsidRPr="00DC1A5F">
        <w:t xml:space="preserve">, la dicha se asociará también con las restantes 32 clases de consciencias resultantes productivas. La </w:t>
      </w:r>
      <w:r w:rsidRPr="00DC1A5F">
        <w:rPr>
          <w:i/>
          <w:iCs/>
        </w:rPr>
        <w:t>aflicción</w:t>
      </w:r>
      <w:r w:rsidRPr="00DC1A5F">
        <w:t xml:space="preserve"> estará asociada con 2 clases de consciencia improductiva (30)–(31). La </w:t>
      </w:r>
      <w:r w:rsidRPr="00DC1A5F">
        <w:rPr>
          <w:i/>
          <w:iCs/>
        </w:rPr>
        <w:t>ecuanimidad</w:t>
      </w:r>
      <w:r w:rsidRPr="00DC1A5F">
        <w:t xml:space="preserve"> estará asociada con las restantes 55 clases de consciencia.</w:t>
      </w:r>
    </w:p>
    <w:p w14:paraId="18D9BD80" w14:textId="77777777" w:rsidR="00597DE2" w:rsidRPr="00DC1A5F" w:rsidRDefault="00597DE2" w:rsidP="00597DE2">
      <w:r w:rsidRPr="00DC1A5F">
        <w:t xml:space="preserve">128. </w:t>
      </w:r>
      <w:r w:rsidRPr="00DC1A5F">
        <w:tab/>
        <w:t xml:space="preserve">Aquí, el </w:t>
      </w:r>
      <w:r w:rsidRPr="00DC1A5F">
        <w:rPr>
          <w:i/>
          <w:iCs/>
        </w:rPr>
        <w:t>placer</w:t>
      </w:r>
      <w:r w:rsidRPr="00DC1A5F">
        <w:t xml:space="preserve"> tiene la </w:t>
      </w:r>
      <w:r w:rsidRPr="00DC1A5F">
        <w:rPr>
          <w:i/>
          <w:iCs/>
        </w:rPr>
        <w:t>característica</w:t>
      </w:r>
      <w:r w:rsidRPr="00DC1A5F">
        <w:t xml:space="preserve"> de experimentar un objeto táctil deseable. Su </w:t>
      </w:r>
      <w:r w:rsidRPr="00DC1A5F">
        <w:rPr>
          <w:i/>
          <w:iCs/>
        </w:rPr>
        <w:t>función</w:t>
      </w:r>
      <w:r w:rsidRPr="00DC1A5F">
        <w:t xml:space="preserve"> es intensificar los estados asociados. Se </w:t>
      </w:r>
      <w:r w:rsidRPr="00DC1A5F">
        <w:rPr>
          <w:i/>
          <w:iCs/>
        </w:rPr>
        <w:t>manifiesta</w:t>
      </w:r>
      <w:r w:rsidRPr="00DC1A5F">
        <w:t xml:space="preserve"> como disfrute corporal. Su </w:t>
      </w:r>
      <w:r w:rsidRPr="00DC1A5F">
        <w:rPr>
          <w:i/>
          <w:iCs/>
        </w:rPr>
        <w:t>causa próxima</w:t>
      </w:r>
      <w:r w:rsidRPr="00DC1A5F">
        <w:t xml:space="preserve"> es la facultad corporal.</w:t>
      </w:r>
    </w:p>
    <w:p w14:paraId="74478AAC" w14:textId="77777777" w:rsidR="00597DE2" w:rsidRPr="00DC1A5F" w:rsidRDefault="00597DE2" w:rsidP="00597DE2">
      <w:pPr>
        <w:pStyle w:val="NormalConSangria"/>
      </w:pPr>
      <w:r w:rsidRPr="00DC1A5F">
        <w:t xml:space="preserve">El </w:t>
      </w:r>
      <w:r w:rsidRPr="00DC1A5F">
        <w:rPr>
          <w:i/>
          <w:iCs/>
        </w:rPr>
        <w:t>dolor</w:t>
      </w:r>
      <w:r w:rsidRPr="00DC1A5F">
        <w:t xml:space="preserve"> tiene la </w:t>
      </w:r>
      <w:r w:rsidRPr="00DC1A5F">
        <w:rPr>
          <w:i/>
          <w:iCs/>
        </w:rPr>
        <w:t>característica</w:t>
      </w:r>
      <w:r w:rsidRPr="00DC1A5F">
        <w:t xml:space="preserve"> de experimentar un objeto tangible indeseable. Su </w:t>
      </w:r>
      <w:r w:rsidRPr="00DC1A5F">
        <w:rPr>
          <w:i/>
          <w:iCs/>
        </w:rPr>
        <w:t>función</w:t>
      </w:r>
      <w:r w:rsidRPr="00DC1A5F">
        <w:t xml:space="preserve"> es marchitar los estados asociados. Se </w:t>
      </w:r>
      <w:r w:rsidRPr="00DC1A5F">
        <w:rPr>
          <w:i/>
          <w:iCs/>
        </w:rPr>
        <w:t>manifiesta</w:t>
      </w:r>
      <w:r w:rsidRPr="00DC1A5F">
        <w:t xml:space="preserve"> como aflicción corporal. Su </w:t>
      </w:r>
      <w:r w:rsidRPr="00DC1A5F">
        <w:rPr>
          <w:i/>
          <w:iCs/>
        </w:rPr>
        <w:t>causa próxima</w:t>
      </w:r>
      <w:r w:rsidRPr="00DC1A5F">
        <w:t xml:space="preserve"> es la facultad del cuerpo.</w:t>
      </w:r>
    </w:p>
    <w:p w14:paraId="779FEB02" w14:textId="77777777" w:rsidR="00597DE2" w:rsidRPr="00DC1A5F" w:rsidRDefault="00597DE2" w:rsidP="00597DE2">
      <w:pPr>
        <w:pStyle w:val="NormalConSangria"/>
      </w:pPr>
      <w:r w:rsidRPr="00DC1A5F">
        <w:t xml:space="preserve">La </w:t>
      </w:r>
      <w:r w:rsidRPr="00DC1A5F">
        <w:rPr>
          <w:i/>
          <w:iCs/>
        </w:rPr>
        <w:t>dicha</w:t>
      </w:r>
      <w:r w:rsidRPr="00DC1A5F">
        <w:t xml:space="preserve"> tiene la </w:t>
      </w:r>
      <w:r w:rsidRPr="00DC1A5F">
        <w:rPr>
          <w:i/>
          <w:iCs/>
        </w:rPr>
        <w:t>característica</w:t>
      </w:r>
      <w:r w:rsidRPr="00DC1A5F">
        <w:t xml:space="preserve"> de experimentar un objeto deseable. Su </w:t>
      </w:r>
      <w:r w:rsidRPr="00DC1A5F">
        <w:rPr>
          <w:i/>
          <w:iCs/>
        </w:rPr>
        <w:t>función</w:t>
      </w:r>
      <w:r w:rsidRPr="00DC1A5F">
        <w:t xml:space="preserve"> es explotar</w:t>
      </w:r>
      <w:r w:rsidRPr="00DC1A5F">
        <w:rPr>
          <w:vertAlign w:val="superscript"/>
        </w:rPr>
        <w:t>55</w:t>
      </w:r>
      <w:r w:rsidRPr="00DC1A5F">
        <w:t xml:space="preserve"> de una forma u otra el aspecto deseable de los objetos. Se </w:t>
      </w:r>
      <w:r w:rsidRPr="00DC1A5F">
        <w:rPr>
          <w:i/>
          <w:iCs/>
        </w:rPr>
        <w:t>manifiesta</w:t>
      </w:r>
      <w:r w:rsidRPr="00DC1A5F">
        <w:t xml:space="preserve"> como disfrute mental. Su </w:t>
      </w:r>
      <w:r w:rsidRPr="00DC1A5F">
        <w:rPr>
          <w:i/>
          <w:iCs/>
        </w:rPr>
        <w:t>causa próxima</w:t>
      </w:r>
      <w:r w:rsidRPr="00DC1A5F">
        <w:t xml:space="preserve"> es la tranquilidad.</w:t>
      </w:r>
    </w:p>
    <w:p w14:paraId="4D0795C0" w14:textId="77777777" w:rsidR="00597DE2" w:rsidRPr="00DC1A5F" w:rsidRDefault="00597DE2" w:rsidP="00597DE2">
      <w:pPr>
        <w:pStyle w:val="NormalConSangria"/>
      </w:pPr>
      <w:r w:rsidRPr="00DC1A5F">
        <w:t xml:space="preserve">La </w:t>
      </w:r>
      <w:r w:rsidRPr="00DC1A5F">
        <w:rPr>
          <w:i/>
          <w:iCs/>
        </w:rPr>
        <w:t>aflicción</w:t>
      </w:r>
      <w:r w:rsidRPr="00DC1A5F">
        <w:t xml:space="preserve"> tiene la </w:t>
      </w:r>
      <w:r w:rsidRPr="00DC1A5F">
        <w:rPr>
          <w:i/>
          <w:iCs/>
        </w:rPr>
        <w:t>característica</w:t>
      </w:r>
      <w:r w:rsidRPr="00DC1A5F">
        <w:t xml:space="preserve"> de experimentar un objeto indeseable. Su </w:t>
      </w:r>
      <w:r w:rsidRPr="00DC1A5F">
        <w:rPr>
          <w:i/>
          <w:iCs/>
        </w:rPr>
        <w:t>función</w:t>
      </w:r>
      <w:r w:rsidRPr="00DC1A5F">
        <w:t xml:space="preserve"> es explotar de una forma u otra el aspecto indeseable de los objetos. Se </w:t>
      </w:r>
      <w:r w:rsidRPr="00DC1A5F">
        <w:rPr>
          <w:i/>
          <w:iCs/>
        </w:rPr>
        <w:t>manifiesta</w:t>
      </w:r>
      <w:r w:rsidRPr="00DC1A5F">
        <w:t xml:space="preserve"> como aflicción mental. Su </w:t>
      </w:r>
      <w:r w:rsidRPr="00DC1A5F">
        <w:rPr>
          <w:i/>
          <w:iCs/>
        </w:rPr>
        <w:t>causa próxima</w:t>
      </w:r>
      <w:r w:rsidRPr="00DC1A5F">
        <w:t xml:space="preserve"> es invariablemente la base del corazón.</w:t>
      </w:r>
    </w:p>
    <w:p w14:paraId="3708C17D" w14:textId="77777777" w:rsidR="00597DE2" w:rsidRPr="00DC1A5F" w:rsidRDefault="00597DE2" w:rsidP="00597DE2">
      <w:pPr>
        <w:pStyle w:val="NormalConSangria"/>
        <w:rPr>
          <w:vertAlign w:val="superscript"/>
        </w:rPr>
      </w:pPr>
      <w:r w:rsidRPr="00DC1A5F">
        <w:t xml:space="preserve">La </w:t>
      </w:r>
      <w:r w:rsidRPr="00DC1A5F">
        <w:rPr>
          <w:i/>
          <w:iCs/>
        </w:rPr>
        <w:t>ecuanimidad</w:t>
      </w:r>
      <w:r w:rsidRPr="00DC1A5F">
        <w:t xml:space="preserve"> tiene la </w:t>
      </w:r>
      <w:r w:rsidRPr="00DC1A5F">
        <w:rPr>
          <w:i/>
          <w:iCs/>
        </w:rPr>
        <w:t>característica</w:t>
      </w:r>
      <w:r w:rsidRPr="00DC1A5F">
        <w:t xml:space="preserve"> de sentirse neutral. Su </w:t>
      </w:r>
      <w:r w:rsidRPr="00DC1A5F">
        <w:rPr>
          <w:i/>
          <w:iCs/>
        </w:rPr>
        <w:t>función</w:t>
      </w:r>
      <w:r w:rsidRPr="00DC1A5F">
        <w:t xml:space="preserve"> consiste en no intensificar o marchitar mucho los estados asociados. Se </w:t>
      </w:r>
      <w:r w:rsidRPr="00DC1A5F">
        <w:rPr>
          <w:i/>
          <w:iCs/>
        </w:rPr>
        <w:t>manifiesta</w:t>
      </w:r>
      <w:r w:rsidRPr="00DC1A5F">
        <w:t xml:space="preserve"> como paz. Su </w:t>
      </w:r>
      <w:r w:rsidRPr="00DC1A5F">
        <w:rPr>
          <w:i/>
          <w:iCs/>
        </w:rPr>
        <w:t>causa próxima</w:t>
      </w:r>
      <w:r w:rsidRPr="00DC1A5F">
        <w:t xml:space="preserve"> es la consciencia sin dicha.</w:t>
      </w:r>
      <w:r w:rsidRPr="00DC1A5F">
        <w:rPr>
          <w:vertAlign w:val="superscript"/>
        </w:rPr>
        <w:t>56</w:t>
      </w:r>
    </w:p>
    <w:p w14:paraId="65F3B0F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0D9351F" w14:textId="77777777" w:rsidR="00597DE2" w:rsidRPr="00DC1A5F" w:rsidRDefault="00597DE2" w:rsidP="00597DE2">
      <w:pPr>
        <w:pStyle w:val="PiedepginaLegal"/>
        <w:numPr>
          <w:ilvl w:val="0"/>
          <w:numId w:val="3"/>
        </w:numPr>
        <w:tabs>
          <w:tab w:val="clear" w:pos="425"/>
        </w:tabs>
        <w:ind w:left="284"/>
      </w:pPr>
      <w:proofErr w:type="spellStart"/>
      <w:r w:rsidRPr="00DC1A5F">
        <w:rPr>
          <w:i/>
          <w:iCs/>
        </w:rPr>
        <w:t>Sambhoga</w:t>
      </w:r>
      <w:proofErr w:type="spellEnd"/>
      <w:r w:rsidRPr="00DC1A5F">
        <w:rPr>
          <w:i/>
          <w:iCs/>
        </w:rPr>
        <w:t xml:space="preserve"> </w:t>
      </w:r>
      <w:r w:rsidRPr="00DC1A5F">
        <w:t>— “</w:t>
      </w:r>
      <w:r w:rsidRPr="00DC1A5F">
        <w:rPr>
          <w:i/>
          <w:iCs/>
        </w:rPr>
        <w:t>explotar</w:t>
      </w:r>
      <w:r w:rsidRPr="00DC1A5F">
        <w:t>”: no se encuentra en este sentido en el PED (ver también XVII.51).</w:t>
      </w:r>
    </w:p>
    <w:p w14:paraId="37D7B8FC"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“El placer y el dolor gratifican y afligen, respectivamente, actuando de una manera sobre el cuerpo y, de otra, sobre la mente, pero no así la ecuanimidad, por lo que esta última se describe como de una clase.</w:t>
      </w:r>
    </w:p>
    <w:p w14:paraId="69E06367" w14:textId="77777777" w:rsidR="00597DE2" w:rsidRPr="00DC1A5F" w:rsidRDefault="00597DE2" w:rsidP="00597DE2">
      <w:pPr>
        <w:pStyle w:val="PiedepginaLegal"/>
      </w:pPr>
      <w:r w:rsidRPr="00DC1A5F">
        <w:tab/>
      </w:r>
      <w:r w:rsidRPr="00DC1A5F">
        <w:tab/>
        <w:t xml:space="preserve">“Así como en el caso de un hombre que colocase un trozo de algodón sobre un yunque y lo golpease con un martillo de hierro y su martillo atravesaría el algodón y en realidad impactaría contra al yunque, la violencia del impacto será grande, así también debido a que la violencia del impacto será grande, la consciencia del cuerpo se acompañará de placer cuando el objeto sea deseable o deseable–neutral y de dolor cuando el objeto sea indeseable o indeseable–neutro. [Éste será el impacto de la materia primaria (objeto tangible) sobre los </w:t>
      </w:r>
      <w:r w:rsidRPr="00DC1A5F">
        <w:rPr>
          <w:color w:val="833C0B" w:themeColor="accent2" w:themeShade="80"/>
        </w:rPr>
        <w:t xml:space="preserve">elementos </w:t>
      </w:r>
      <w:r w:rsidRPr="00DC1A5F">
        <w:t>primarios del cuerpo.]</w:t>
      </w:r>
    </w:p>
    <w:p w14:paraId="605247AC" w14:textId="77777777" w:rsidR="00597DE2" w:rsidRPr="00DC1A5F" w:rsidRDefault="00597DE2" w:rsidP="00597DE2">
      <w:pPr>
        <w:tabs>
          <w:tab w:val="clear" w:pos="425"/>
        </w:tabs>
        <w:spacing w:after="160"/>
      </w:pPr>
      <w:r w:rsidRPr="00DC1A5F">
        <w:br w:type="page"/>
      </w:r>
    </w:p>
    <w:p w14:paraId="4F9488D8" w14:textId="77777777" w:rsidR="00597DE2" w:rsidRPr="00DC1A5F" w:rsidRDefault="00597DE2" w:rsidP="00597DE2"/>
    <w:p w14:paraId="1052ADDF" w14:textId="77777777" w:rsidR="00597DE2" w:rsidRPr="00DC1A5F" w:rsidRDefault="00597DE2" w:rsidP="00597DE2">
      <w:pPr>
        <w:pStyle w:val="NormalConSangria"/>
      </w:pPr>
      <w:r w:rsidRPr="00DC1A5F">
        <w:t>Ésta es la sección de la exposición detallada que trata sobre el agregado de la sensación.</w:t>
      </w:r>
    </w:p>
    <w:p w14:paraId="4EE510F6" w14:textId="77777777" w:rsidR="00597DE2" w:rsidRPr="00DC1A5F" w:rsidRDefault="00597DE2" w:rsidP="00597DE2">
      <w:pPr>
        <w:pStyle w:val="Ttulo5"/>
      </w:pPr>
      <w:r w:rsidRPr="00DC1A5F">
        <w:t>[El Agregado De La Percepción]</w:t>
      </w:r>
    </w:p>
    <w:p w14:paraId="44C89C1C" w14:textId="77777777" w:rsidR="00597DE2" w:rsidRPr="00DC1A5F" w:rsidRDefault="00597DE2" w:rsidP="00597DE2">
      <w:r w:rsidRPr="00DC1A5F">
        <w:t xml:space="preserve">129. </w:t>
      </w:r>
      <w:r w:rsidRPr="00DC1A5F">
        <w:tab/>
        <w:t>Ahora bien, se dijo anteriormente: “Todo lo que tenga la característica de percibirse deberá entenderse, en conjunto, como el conjunto de la percepción” (§81). Y aquí también, lo que se diga posea la característica de percibir corresponderá a la percepción misma, según se dice al respecto: “Se percibe, amigo, por eso se le llama percepción” (M I 293).</w:t>
      </w:r>
    </w:p>
    <w:p w14:paraId="5F19C9D8" w14:textId="77777777" w:rsidR="00597DE2" w:rsidRPr="00DC1A5F" w:rsidRDefault="00597DE2" w:rsidP="00597DE2">
      <w:pPr>
        <w:pStyle w:val="NormalConSangria"/>
      </w:pPr>
      <w:r w:rsidRPr="00DC1A5F">
        <w:t xml:space="preserve">No obstante, aunque sea singular según su esencia individual como característica de la percepción, serán de tres clases en cuanto a su género, es decir, como productiva, improductiva e indeterminada. Aquí, [462] la percepción asociada con la consciencia productiva será </w:t>
      </w:r>
      <w:r w:rsidRPr="00DC1A5F">
        <w:rPr>
          <w:i/>
          <w:iCs/>
        </w:rPr>
        <w:t>productiva</w:t>
      </w:r>
      <w:r w:rsidRPr="00DC1A5F">
        <w:t>, la asociada con la consciencia improductiva será improductiva, la asociada con la consciencia indeterminada será indeterminada. Como no existe consciencia disociada de la percepción, la percepción poseerá por tanto el mismo número de divisiones que la consciencia [es decir, 89].</w:t>
      </w:r>
    </w:p>
    <w:p w14:paraId="7B613DFB" w14:textId="77777777" w:rsidR="00597DE2" w:rsidRPr="00DC1A5F" w:rsidRDefault="00597DE2" w:rsidP="00597DE2">
      <w:r w:rsidRPr="00DC1A5F">
        <w:t xml:space="preserve">130. </w:t>
      </w:r>
      <w:r w:rsidRPr="00DC1A5F">
        <w:tab/>
        <w:t xml:space="preserve">No obstante, aunque clasificada de la misma manera que la consciencia, sin embargo, en cuanto a la característica, etc., toda percepción tiene precisamente la </w:t>
      </w:r>
      <w:r w:rsidRPr="00DC1A5F">
        <w:rPr>
          <w:i/>
          <w:iCs/>
        </w:rPr>
        <w:t>característica</w:t>
      </w:r>
      <w:r w:rsidRPr="00DC1A5F">
        <w:t xml:space="preserve"> de percibir. Su </w:t>
      </w:r>
      <w:r w:rsidRPr="00DC1A5F">
        <w:rPr>
          <w:i/>
          <w:iCs/>
        </w:rPr>
        <w:t>función</w:t>
      </w:r>
      <w:r w:rsidRPr="00DC1A5F">
        <w:t xml:space="preserve"> es hacer un signo como condición para volver a percibir que “esto es lo mismo”, como hacen los carpinteros, etc., en el caso de la madera, etc. Se </w:t>
      </w:r>
      <w:r w:rsidRPr="00DC1A5F">
        <w:rPr>
          <w:i/>
          <w:iCs/>
        </w:rPr>
        <w:t>manifiesta</w:t>
      </w:r>
      <w:r w:rsidRPr="00DC1A5F">
        <w:t xml:space="preserve"> como la acción de interpretar por medio del signo aprehendido, como los ciegos que “vean” un elefante (</w:t>
      </w:r>
      <w:proofErr w:type="spellStart"/>
      <w:r w:rsidRPr="00DC1A5F">
        <w:t>Ud</w:t>
      </w:r>
      <w:proofErr w:type="spellEnd"/>
      <w:r w:rsidRPr="00DC1A5F">
        <w:t xml:space="preserve"> 68–69). Su </w:t>
      </w:r>
      <w:r w:rsidRPr="00DC1A5F">
        <w:rPr>
          <w:i/>
          <w:iCs/>
        </w:rPr>
        <w:t>causa próxima</w:t>
      </w:r>
      <w:r w:rsidRPr="00DC1A5F">
        <w:t xml:space="preserve"> corresponderá a un campo objetivo en cualquier forma que aparezca, como la percepción que surja en los cervatillos que ven a los espantapájaros como hombres.</w:t>
      </w:r>
    </w:p>
    <w:p w14:paraId="5C93B035" w14:textId="77777777" w:rsidR="00597DE2" w:rsidRPr="00DC1A5F" w:rsidRDefault="00597DE2" w:rsidP="00597DE2">
      <w:pPr>
        <w:pStyle w:val="NormalConSangria"/>
      </w:pPr>
      <w:r w:rsidRPr="00DC1A5F">
        <w:t xml:space="preserve">Esta es la sección de la </w:t>
      </w:r>
      <w:proofErr w:type="spellStart"/>
      <w:r w:rsidRPr="00DC1A5F">
        <w:t>espocisción</w:t>
      </w:r>
      <w:proofErr w:type="spellEnd"/>
      <w:r w:rsidRPr="00DC1A5F">
        <w:t xml:space="preserve"> detallada que trata sobre el agregado de percepción.</w:t>
      </w:r>
    </w:p>
    <w:p w14:paraId="28DBBBFE" w14:textId="77777777" w:rsidR="00597DE2" w:rsidRPr="00DC1A5F" w:rsidRDefault="00597DE2" w:rsidP="00597DE2">
      <w:pPr>
        <w:pStyle w:val="Ttulo5"/>
      </w:pPr>
      <w:r w:rsidRPr="00DC1A5F">
        <w:t>[El Agregado De Las Formaciones—Ver Tablas II y IV]</w:t>
      </w:r>
    </w:p>
    <w:p w14:paraId="10C7D7D8" w14:textId="77777777" w:rsidR="00597DE2" w:rsidRPr="00DC1A5F" w:rsidRDefault="00597DE2" w:rsidP="00597DE2">
      <w:r w:rsidRPr="00DC1A5F">
        <w:t xml:space="preserve">131. </w:t>
      </w:r>
      <w:r w:rsidRPr="00DC1A5F">
        <w:tab/>
        <w:t>Ahora bien, se dijo anteriormente: “Todo lo que posea la característica de formarse mentalmente debe entenderse, en su conjunto, como el conjunto de las formaciones” (§81). Aquí también, lo que se diga que posea la característica de formarse corresponderá a lo que posea la característica de aglomerarse.</w:t>
      </w:r>
      <w:r w:rsidRPr="00DC1A5F">
        <w:rPr>
          <w:vertAlign w:val="superscript"/>
        </w:rPr>
        <w:t>57</w:t>
      </w:r>
      <w:r w:rsidRPr="00DC1A5F">
        <w:t xml:space="preserve"> ¿Qué es eso? Son las formaciones mismas, según lo que se dice al respecto, “Ellas conforman lo formado, </w:t>
      </w:r>
      <w:proofErr w:type="spellStart"/>
      <w:r w:rsidRPr="00DC1A5F">
        <w:rPr>
          <w:i/>
        </w:rPr>
        <w:t>bhikkhu</w:t>
      </w:r>
      <w:r w:rsidRPr="00DC1A5F">
        <w:t>s</w:t>
      </w:r>
      <w:proofErr w:type="spellEnd"/>
      <w:r w:rsidRPr="00DC1A5F">
        <w:t>, por eso se les llama formaciones” (S III 87).</w:t>
      </w:r>
    </w:p>
    <w:p w14:paraId="5DB02167" w14:textId="77777777" w:rsidR="00597DE2" w:rsidRPr="00DC1A5F" w:rsidRDefault="00597DE2" w:rsidP="00597DE2">
      <w:r w:rsidRPr="00DC1A5F">
        <w:t xml:space="preserve">132. </w:t>
      </w:r>
      <w:r w:rsidRPr="00DC1A5F">
        <w:tab/>
        <w:t xml:space="preserve">Éstas poseen la </w:t>
      </w:r>
      <w:r w:rsidRPr="00DC1A5F">
        <w:rPr>
          <w:i/>
          <w:iCs/>
        </w:rPr>
        <w:t>característica</w:t>
      </w:r>
      <w:r w:rsidRPr="00DC1A5F">
        <w:t xml:space="preserve"> de conformarse. Su función es </w:t>
      </w:r>
      <w:r w:rsidRPr="00DC1A5F">
        <w:rPr>
          <w:i/>
          <w:iCs/>
        </w:rPr>
        <w:t>acumularse</w:t>
      </w:r>
      <w:r w:rsidRPr="00DC1A5F">
        <w:t xml:space="preserve">. Se </w:t>
      </w:r>
      <w:r w:rsidRPr="00DC1A5F">
        <w:rPr>
          <w:i/>
          <w:iCs/>
        </w:rPr>
        <w:t>manifiestan</w:t>
      </w:r>
      <w:r w:rsidRPr="00DC1A5F">
        <w:t xml:space="preserve"> como intervinientes.</w:t>
      </w:r>
      <w:r w:rsidRPr="00DC1A5F">
        <w:rPr>
          <w:vertAlign w:val="superscript"/>
        </w:rPr>
        <w:t>58</w:t>
      </w:r>
      <w:r w:rsidRPr="00DC1A5F">
        <w:t xml:space="preserve"> Su </w:t>
      </w:r>
      <w:r w:rsidRPr="00DC1A5F">
        <w:rPr>
          <w:i/>
          <w:iCs/>
        </w:rPr>
        <w:t>causa próxima</w:t>
      </w:r>
      <w:r w:rsidRPr="00DC1A5F">
        <w:t xml:space="preserve"> son los tres agregados inmateriales restantes. Entonces, de acuerdo con su característica, etc., son una sola. No obstante, según sus clases son 3, es decir,</w:t>
      </w:r>
    </w:p>
    <w:p w14:paraId="48FE658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288CDB8" w14:textId="77777777" w:rsidR="00597DE2" w:rsidRPr="00DC1A5F" w:rsidRDefault="00597DE2" w:rsidP="00597DE2">
      <w:pPr>
        <w:pStyle w:val="PiedepginaLegal"/>
      </w:pPr>
      <w:r w:rsidRPr="00DC1A5F">
        <w:t>…</w:t>
      </w:r>
    </w:p>
    <w:p w14:paraId="3548ED1A" w14:textId="77777777" w:rsidR="00597DE2" w:rsidRPr="00DC1A5F" w:rsidRDefault="00597DE2" w:rsidP="00597DE2">
      <w:pPr>
        <w:pStyle w:val="PiedepginaLegal"/>
      </w:pPr>
      <w:r w:rsidRPr="00DC1A5F">
        <w:tab/>
      </w:r>
      <w:r w:rsidRPr="00DC1A5F">
        <w:rPr>
          <w:color w:val="auto"/>
          <w:u w:color="000000"/>
        </w:rPr>
        <w:tab/>
        <w:t>“Aquí, aunque la consciencia resultante productiva y la resultante improductiva discriminada de acuerdo con lo deseable e indeseable podría asociarse lógicamente con el placer y el dolor, respectivamente, sin embargo, los 8 tipos de consciencia que tengan al ojo, etc., como su soporte ((34)– (37) y (50)–(53)) se asociarán invariablemente solo con la ecuanimidad, debido a la suavidad del contacto del impacto en el caso de las dos instancias de la materia derivada, como la de dos trozos de algodón”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482).</w:t>
      </w:r>
      <w:r w:rsidRPr="00DC1A5F">
        <w:t xml:space="preserve"> Para un símil al respecto consultar </w:t>
      </w:r>
      <w:proofErr w:type="spellStart"/>
      <w:r w:rsidRPr="00DC1A5F">
        <w:t>Dhs</w:t>
      </w:r>
      <w:proofErr w:type="spellEnd"/>
      <w:r w:rsidRPr="00DC1A5F">
        <w:t>–a 263.</w:t>
      </w:r>
    </w:p>
    <w:p w14:paraId="49BCCF71"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w:t>
      </w:r>
      <w:r w:rsidRPr="00DC1A5F">
        <w:rPr>
          <w:i/>
          <w:iCs/>
          <w:color w:val="auto"/>
          <w:u w:color="000000"/>
        </w:rPr>
        <w:t>La característica de aglomerarse’</w:t>
      </w:r>
      <w:r w:rsidRPr="00DC1A5F">
        <w:rPr>
          <w:color w:val="auto"/>
          <w:u w:color="000000"/>
        </w:rPr>
        <w:t xml:space="preserve"> significa la característica de sumarse (</w:t>
      </w:r>
      <w:proofErr w:type="spellStart"/>
      <w:r w:rsidRPr="00DC1A5F">
        <w:rPr>
          <w:i/>
          <w:iCs/>
          <w:color w:val="auto"/>
          <w:u w:color="000000"/>
        </w:rPr>
        <w:t>sampióḍana</w:t>
      </w:r>
      <w:proofErr w:type="spellEnd"/>
      <w:r w:rsidRPr="00DC1A5F">
        <w:rPr>
          <w:color w:val="auto"/>
          <w:u w:color="000000"/>
        </w:rPr>
        <w:t xml:space="preserve">); entonces se dirá que éstas poseerán la función de acumularse, ya que los </w:t>
      </w:r>
      <w:r w:rsidRPr="00DC1A5F">
        <w:rPr>
          <w:i/>
          <w:color w:val="auto"/>
          <w:u w:color="000000"/>
        </w:rPr>
        <w:t>dhamma</w:t>
      </w:r>
      <w:r w:rsidRPr="00DC1A5F">
        <w:rPr>
          <w:color w:val="auto"/>
          <w:u w:color="000000"/>
        </w:rPr>
        <w:t>s en el agregado de las formaciones se describirán así debido a que la volición corresponderá a su base” (</w:t>
      </w:r>
      <w:proofErr w:type="spellStart"/>
      <w:r w:rsidRPr="00DC1A5F">
        <w:rPr>
          <w:color w:val="auto"/>
          <w:u w:color="000000"/>
        </w:rPr>
        <w:t>Vismmhṭ</w:t>
      </w:r>
      <w:proofErr w:type="spellEnd"/>
      <w:r w:rsidRPr="00DC1A5F">
        <w:rPr>
          <w:color w:val="auto"/>
          <w:u w:color="000000"/>
        </w:rPr>
        <w:t xml:space="preserve"> 484).</w:t>
      </w:r>
    </w:p>
    <w:p w14:paraId="6B6F0973" w14:textId="77777777" w:rsidR="00597DE2" w:rsidRPr="00DC1A5F" w:rsidRDefault="00597DE2" w:rsidP="00597DE2">
      <w:pPr>
        <w:pStyle w:val="PiedepginaLegal"/>
        <w:numPr>
          <w:ilvl w:val="0"/>
          <w:numId w:val="3"/>
        </w:numPr>
        <w:tabs>
          <w:tab w:val="clear" w:pos="425"/>
        </w:tabs>
        <w:ind w:left="284"/>
        <w:rPr>
          <w:color w:val="auto"/>
          <w:u w:color="000000"/>
        </w:rPr>
      </w:pPr>
      <w:proofErr w:type="spellStart"/>
      <w:r w:rsidRPr="00DC1A5F">
        <w:rPr>
          <w:i/>
          <w:iCs/>
          <w:color w:val="auto"/>
          <w:u w:color="000000"/>
        </w:rPr>
        <w:t>Vipphāra</w:t>
      </w:r>
      <w:proofErr w:type="spellEnd"/>
      <w:r w:rsidRPr="00DC1A5F">
        <w:rPr>
          <w:color w:val="auto"/>
          <w:u w:color="000000"/>
        </w:rPr>
        <w:t xml:space="preserve">—“intervenir” aquí es explicado por el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(pág. 484) como </w:t>
      </w:r>
      <w:proofErr w:type="spellStart"/>
      <w:r w:rsidRPr="00DC1A5F">
        <w:rPr>
          <w:i/>
          <w:iCs/>
          <w:color w:val="auto"/>
          <w:u w:color="000000"/>
        </w:rPr>
        <w:t>vyāpāra</w:t>
      </w:r>
      <w:proofErr w:type="spellEnd"/>
      <w:r w:rsidRPr="00DC1A5F">
        <w:rPr>
          <w:color w:val="auto"/>
          <w:u w:color="000000"/>
        </w:rPr>
        <w:t xml:space="preserve"> (interés o trabajo); no se encuentra en ese sentido en el PED. Ver Cap. VI, nota 6</w:t>
      </w:r>
    </w:p>
    <w:p w14:paraId="1DCA7418" w14:textId="77777777" w:rsidR="00597DE2" w:rsidRPr="00DC1A5F" w:rsidRDefault="00597DE2" w:rsidP="00597DE2">
      <w:pPr>
        <w:tabs>
          <w:tab w:val="clear" w:pos="425"/>
        </w:tabs>
        <w:spacing w:after="160"/>
      </w:pPr>
      <w:r w:rsidRPr="00DC1A5F">
        <w:br w:type="page"/>
      </w:r>
    </w:p>
    <w:p w14:paraId="7AD4852C" w14:textId="77777777" w:rsidR="00597DE2" w:rsidRPr="00DC1A5F" w:rsidRDefault="00597DE2" w:rsidP="00597DE2"/>
    <w:p w14:paraId="4605DBA0" w14:textId="77777777" w:rsidR="00597DE2" w:rsidRPr="00DC1A5F" w:rsidRDefault="00597DE2" w:rsidP="00597DE2">
      <w:pPr>
        <w:pStyle w:val="Textoindependiente"/>
      </w:pPr>
      <w:r w:rsidRPr="00DC1A5F">
        <w:t>(I) productiva, (II) improductiva e (III) indeterminada. En cuanto a éstas, cuando se asocien con la consciencia productiva serán productivas, cuando se asocien con la consciencia improductiva serán improductivas, cuando se asocien con la consciencia indeterminada serán indeterminadas.</w:t>
      </w:r>
    </w:p>
    <w:p w14:paraId="69C75FAA" w14:textId="77777777" w:rsidR="00597DE2" w:rsidRPr="00DC1A5F" w:rsidRDefault="00597DE2" w:rsidP="00597DE2">
      <w:pPr>
        <w:pStyle w:val="Ttulo6"/>
      </w:pPr>
      <w:r w:rsidRPr="00DC1A5F">
        <w:t>[Según Su Asociación Con La Consciencia]</w:t>
      </w:r>
    </w:p>
    <w:p w14:paraId="20ADF518" w14:textId="77777777" w:rsidR="00597DE2" w:rsidRPr="00DC1A5F" w:rsidRDefault="00597DE2" w:rsidP="00597DE2">
      <w:r w:rsidRPr="00DC1A5F">
        <w:t xml:space="preserve">133. </w:t>
      </w:r>
      <w:r w:rsidRPr="00DC1A5F">
        <w:tab/>
        <w:t>I. (1) Aquí, en primer lugar, las formaciones asociadas con la primera consciencia productiva de la esfera sensorial (1) ascienden a 36, es decir, las constantes, que son las 27 formaciones expuestas en los textos como tal, y los 4 “o–cualquier–estado”,</w:t>
      </w:r>
      <w:r w:rsidRPr="00DC1A5F">
        <w:rPr>
          <w:vertAlign w:val="superscript"/>
        </w:rPr>
        <w:t>59</w:t>
      </w:r>
      <w:r w:rsidRPr="00DC1A5F">
        <w:t xml:space="preserve"> y también las 5 inconstantes (cf. </w:t>
      </w:r>
      <w:proofErr w:type="spellStart"/>
      <w:r w:rsidRPr="00DC1A5F">
        <w:t>Dhs</w:t>
      </w:r>
      <w:proofErr w:type="spellEnd"/>
      <w:r w:rsidRPr="00DC1A5F">
        <w:t xml:space="preserve"> §1).</w:t>
      </w:r>
    </w:p>
    <w:p w14:paraId="4CA0689E" w14:textId="77777777" w:rsidR="00597DE2" w:rsidRPr="00DC1A5F" w:rsidRDefault="00597DE2" w:rsidP="00597DE2">
      <w:pPr>
        <w:pStyle w:val="NormalConSangria"/>
      </w:pPr>
      <w:r w:rsidRPr="00DC1A5F">
        <w:t>Aquí, las 27 formaciones constantes como tales son éstas:</w:t>
      </w:r>
    </w:p>
    <w:p w14:paraId="40DA5981" w14:textId="77777777" w:rsidR="00597DE2" w:rsidRPr="00DC1A5F" w:rsidRDefault="00597DE2" w:rsidP="00597DE2">
      <w:pPr>
        <w:pStyle w:val="NumeracinReload"/>
        <w:tabs>
          <w:tab w:val="clear" w:pos="425"/>
          <w:tab w:val="clear" w:pos="567"/>
          <w:tab w:val="right" w:pos="993"/>
        </w:tabs>
        <w:ind w:left="1134" w:hanging="1134"/>
      </w:pPr>
      <w:r w:rsidRPr="00DC1A5F">
        <w:tab/>
        <w:t xml:space="preserve">(i). </w:t>
      </w:r>
      <w:r w:rsidRPr="00DC1A5F">
        <w:tab/>
        <w:t>contacto,</w:t>
      </w:r>
    </w:p>
    <w:p w14:paraId="13A8771E"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ii</w:t>
      </w:r>
      <w:proofErr w:type="spellEnd"/>
      <w:r w:rsidRPr="00DC1A5F">
        <w:t>).</w:t>
      </w:r>
      <w:r w:rsidRPr="00DC1A5F">
        <w:tab/>
        <w:t>volición,</w:t>
      </w:r>
    </w:p>
    <w:p w14:paraId="40EE77CA"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iii</w:t>
      </w:r>
      <w:proofErr w:type="spellEnd"/>
      <w:r w:rsidRPr="00DC1A5F">
        <w:t xml:space="preserve">). </w:t>
      </w:r>
      <w:r w:rsidRPr="00DC1A5F">
        <w:tab/>
        <w:t>aplicación mental, [463]</w:t>
      </w:r>
    </w:p>
    <w:p w14:paraId="17765B93"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iv</w:t>
      </w:r>
      <w:proofErr w:type="spellEnd"/>
      <w:r w:rsidRPr="00DC1A5F">
        <w:t xml:space="preserve">). </w:t>
      </w:r>
      <w:r w:rsidRPr="00DC1A5F">
        <w:tab/>
        <w:t>sustentación mental,</w:t>
      </w:r>
    </w:p>
    <w:p w14:paraId="32A3CC0D" w14:textId="77777777" w:rsidR="00597DE2" w:rsidRPr="00DC1A5F" w:rsidRDefault="00597DE2" w:rsidP="00597DE2">
      <w:pPr>
        <w:pStyle w:val="NumeracinReload"/>
        <w:tabs>
          <w:tab w:val="clear" w:pos="425"/>
          <w:tab w:val="clear" w:pos="567"/>
          <w:tab w:val="right" w:pos="993"/>
        </w:tabs>
        <w:ind w:left="1134" w:hanging="1134"/>
      </w:pPr>
      <w:r w:rsidRPr="00DC1A5F">
        <w:tab/>
        <w:t xml:space="preserve">(v). </w:t>
      </w:r>
      <w:r w:rsidRPr="00DC1A5F">
        <w:tab/>
        <w:t>felicidad (interés),</w:t>
      </w:r>
    </w:p>
    <w:p w14:paraId="50D7EAA9" w14:textId="77777777" w:rsidR="00597DE2" w:rsidRPr="00DC1A5F" w:rsidRDefault="00597DE2" w:rsidP="00597DE2">
      <w:pPr>
        <w:pStyle w:val="NumeracinReload"/>
        <w:tabs>
          <w:tab w:val="clear" w:pos="425"/>
          <w:tab w:val="clear" w:pos="567"/>
          <w:tab w:val="right" w:pos="993"/>
        </w:tabs>
        <w:ind w:left="1134" w:hanging="1134"/>
      </w:pPr>
      <w:r w:rsidRPr="00DC1A5F">
        <w:tab/>
        <w:t xml:space="preserve">(vi). </w:t>
      </w:r>
      <w:r w:rsidRPr="00DC1A5F">
        <w:tab/>
        <w:t>energía,</w:t>
      </w:r>
    </w:p>
    <w:p w14:paraId="06522A5E"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vii</w:t>
      </w:r>
      <w:proofErr w:type="spellEnd"/>
      <w:r w:rsidRPr="00DC1A5F">
        <w:t xml:space="preserve">). </w:t>
      </w:r>
      <w:r w:rsidRPr="00DC1A5F">
        <w:tab/>
        <w:t>vitalidad,</w:t>
      </w:r>
    </w:p>
    <w:p w14:paraId="19300AE1"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viii</w:t>
      </w:r>
      <w:proofErr w:type="spellEnd"/>
      <w:r w:rsidRPr="00DC1A5F">
        <w:t xml:space="preserve">). </w:t>
      </w:r>
      <w:r w:rsidRPr="00DC1A5F">
        <w:tab/>
        <w:t>concentración,</w:t>
      </w:r>
    </w:p>
    <w:p w14:paraId="631E0C17"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ix</w:t>
      </w:r>
      <w:proofErr w:type="spellEnd"/>
      <w:r w:rsidRPr="00DC1A5F">
        <w:t xml:space="preserve">). </w:t>
      </w:r>
      <w:r w:rsidRPr="00DC1A5F">
        <w:tab/>
        <w:t>fe,</w:t>
      </w:r>
    </w:p>
    <w:p w14:paraId="12C2AA98" w14:textId="77777777" w:rsidR="00597DE2" w:rsidRPr="00DC1A5F" w:rsidRDefault="00597DE2" w:rsidP="00597DE2">
      <w:pPr>
        <w:pStyle w:val="NumeracinReload"/>
        <w:tabs>
          <w:tab w:val="clear" w:pos="425"/>
          <w:tab w:val="clear" w:pos="567"/>
          <w:tab w:val="right" w:pos="993"/>
        </w:tabs>
        <w:ind w:left="1134" w:hanging="1134"/>
      </w:pPr>
      <w:r w:rsidRPr="00DC1A5F">
        <w:tab/>
        <w:t xml:space="preserve">(x). </w:t>
      </w:r>
      <w:r w:rsidRPr="00DC1A5F">
        <w:tab/>
        <w:t>atención plena,</w:t>
      </w:r>
    </w:p>
    <w:p w14:paraId="511753B2" w14:textId="77777777" w:rsidR="00597DE2" w:rsidRPr="00DC1A5F" w:rsidRDefault="00597DE2" w:rsidP="00597DE2">
      <w:pPr>
        <w:pStyle w:val="NumeracinReload"/>
        <w:tabs>
          <w:tab w:val="clear" w:pos="425"/>
          <w:tab w:val="clear" w:pos="567"/>
          <w:tab w:val="right" w:pos="993"/>
        </w:tabs>
        <w:ind w:left="1134" w:hanging="1134"/>
      </w:pPr>
      <w:r w:rsidRPr="00DC1A5F">
        <w:tab/>
        <w:t xml:space="preserve">(xi). </w:t>
      </w:r>
      <w:r w:rsidRPr="00DC1A5F">
        <w:tab/>
        <w:t>temor moral,</w:t>
      </w:r>
    </w:p>
    <w:p w14:paraId="06F2C2A3"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xii</w:t>
      </w:r>
      <w:proofErr w:type="spellEnd"/>
      <w:r w:rsidRPr="00DC1A5F">
        <w:t xml:space="preserve">). </w:t>
      </w:r>
      <w:r w:rsidRPr="00DC1A5F">
        <w:tab/>
        <w:t>vergüenza moral,</w:t>
      </w:r>
    </w:p>
    <w:p w14:paraId="2A219B11"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xiii</w:t>
      </w:r>
      <w:proofErr w:type="spellEnd"/>
      <w:r w:rsidRPr="00DC1A5F">
        <w:t xml:space="preserve">). </w:t>
      </w:r>
      <w:r w:rsidRPr="00DC1A5F">
        <w:tab/>
        <w:t>no–codicia,</w:t>
      </w:r>
    </w:p>
    <w:p w14:paraId="6646A953"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xiv</w:t>
      </w:r>
      <w:proofErr w:type="spellEnd"/>
      <w:r w:rsidRPr="00DC1A5F">
        <w:t xml:space="preserve">). </w:t>
      </w:r>
      <w:r w:rsidRPr="00DC1A5F">
        <w:tab/>
        <w:t>no–odio,</w:t>
      </w:r>
    </w:p>
    <w:p w14:paraId="3FDAC04D"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xv</w:t>
      </w:r>
      <w:proofErr w:type="spellEnd"/>
      <w:r w:rsidRPr="00DC1A5F">
        <w:t xml:space="preserve">). </w:t>
      </w:r>
      <w:r w:rsidRPr="00DC1A5F">
        <w:tab/>
        <w:t>no–ilusión,</w:t>
      </w:r>
    </w:p>
    <w:p w14:paraId="46101A12"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xvi</w:t>
      </w:r>
      <w:proofErr w:type="spellEnd"/>
      <w:r w:rsidRPr="00DC1A5F">
        <w:t xml:space="preserve">). </w:t>
      </w:r>
      <w:r w:rsidRPr="00DC1A5F">
        <w:tab/>
        <w:t>tranquilidad del cuerpo mental,</w:t>
      </w:r>
    </w:p>
    <w:p w14:paraId="72C5050B"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xvii</w:t>
      </w:r>
      <w:proofErr w:type="spellEnd"/>
      <w:r w:rsidRPr="00DC1A5F">
        <w:t xml:space="preserve">). </w:t>
      </w:r>
      <w:r w:rsidRPr="00DC1A5F">
        <w:tab/>
        <w:t>tranquilidad de la consciencia,</w:t>
      </w:r>
    </w:p>
    <w:p w14:paraId="0B5F7567"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xviii</w:t>
      </w:r>
      <w:proofErr w:type="spellEnd"/>
      <w:r w:rsidRPr="00DC1A5F">
        <w:t xml:space="preserve">). </w:t>
      </w:r>
      <w:r w:rsidRPr="00DC1A5F">
        <w:tab/>
        <w:t>ligereza del cuerpo [mental],</w:t>
      </w:r>
    </w:p>
    <w:p w14:paraId="6827B460"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xix</w:t>
      </w:r>
      <w:proofErr w:type="spellEnd"/>
      <w:r w:rsidRPr="00DC1A5F">
        <w:t>).</w:t>
      </w:r>
      <w:r w:rsidRPr="00DC1A5F">
        <w:tab/>
        <w:t>ligereza de la consciencia,</w:t>
      </w:r>
    </w:p>
    <w:p w14:paraId="563FBD69"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w:t>
      </w:r>
      <w:proofErr w:type="spellEnd"/>
      <w:r w:rsidRPr="00DC1A5F">
        <w:t xml:space="preserve">). </w:t>
      </w:r>
      <w:r w:rsidRPr="00DC1A5F">
        <w:tab/>
        <w:t>maleabilidad del cuerpo [mental],</w:t>
      </w:r>
    </w:p>
    <w:p w14:paraId="66524C9E"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xxi</w:t>
      </w:r>
      <w:proofErr w:type="spellEnd"/>
      <w:r w:rsidRPr="00DC1A5F">
        <w:t xml:space="preserve">). </w:t>
      </w:r>
      <w:r w:rsidRPr="00DC1A5F">
        <w:tab/>
        <w:t>maleabilidad de la consciencia,</w:t>
      </w:r>
    </w:p>
    <w:p w14:paraId="7E5243AE"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xxii</w:t>
      </w:r>
      <w:proofErr w:type="spellEnd"/>
      <w:r w:rsidRPr="00DC1A5F">
        <w:t xml:space="preserve">). </w:t>
      </w:r>
      <w:r w:rsidRPr="00DC1A5F">
        <w:tab/>
        <w:t>manejabilidad del cuerpo [mental],</w:t>
      </w:r>
    </w:p>
    <w:p w14:paraId="34FB54D6"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xxiii</w:t>
      </w:r>
      <w:proofErr w:type="spellEnd"/>
      <w:r w:rsidRPr="00DC1A5F">
        <w:t xml:space="preserve">). </w:t>
      </w:r>
      <w:r w:rsidRPr="00DC1A5F">
        <w:tab/>
        <w:t>dominio de la consciencia,</w:t>
      </w:r>
    </w:p>
    <w:p w14:paraId="28F25B81"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xxiv</w:t>
      </w:r>
      <w:proofErr w:type="spellEnd"/>
      <w:r w:rsidRPr="00DC1A5F">
        <w:t xml:space="preserve">). </w:t>
      </w:r>
      <w:r w:rsidRPr="00DC1A5F">
        <w:tab/>
        <w:t>competencia del cuerpo [mental],</w:t>
      </w:r>
    </w:p>
    <w:p w14:paraId="74AD1B75"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xxv</w:t>
      </w:r>
      <w:proofErr w:type="spellEnd"/>
      <w:r w:rsidRPr="00DC1A5F">
        <w:t xml:space="preserve">). </w:t>
      </w:r>
      <w:r w:rsidRPr="00DC1A5F">
        <w:tab/>
        <w:t>competencia de la consciencia,</w:t>
      </w:r>
    </w:p>
    <w:p w14:paraId="30034F2A"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xxvi</w:t>
      </w:r>
      <w:proofErr w:type="spellEnd"/>
      <w:r w:rsidRPr="00DC1A5F">
        <w:t xml:space="preserve">). </w:t>
      </w:r>
      <w:r w:rsidRPr="00DC1A5F">
        <w:tab/>
        <w:t>rectitud del cuerpo [mental],</w:t>
      </w:r>
    </w:p>
    <w:p w14:paraId="0A00DB3F" w14:textId="77777777" w:rsidR="00597DE2" w:rsidRPr="00DC1A5F" w:rsidRDefault="00597DE2" w:rsidP="00597DE2">
      <w:pPr>
        <w:tabs>
          <w:tab w:val="clear" w:pos="425"/>
          <w:tab w:val="right" w:pos="993"/>
        </w:tabs>
        <w:ind w:left="1134" w:hanging="1134"/>
      </w:pPr>
      <w:r w:rsidRPr="00DC1A5F">
        <w:tab/>
        <w:t>(</w:t>
      </w:r>
      <w:proofErr w:type="spellStart"/>
      <w:r w:rsidRPr="00DC1A5F">
        <w:t>xxvii</w:t>
      </w:r>
      <w:proofErr w:type="spellEnd"/>
      <w:r w:rsidRPr="00DC1A5F">
        <w:t xml:space="preserve">). </w:t>
      </w:r>
      <w:r w:rsidRPr="00DC1A5F">
        <w:tab/>
        <w:t>rectitud de la consciencia.</w:t>
      </w:r>
    </w:p>
    <w:p w14:paraId="5DE7C35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F3D0CEA" w14:textId="77777777" w:rsidR="00597DE2" w:rsidRPr="00DC1A5F" w:rsidRDefault="00597DE2" w:rsidP="00597DE2">
      <w:pPr>
        <w:pStyle w:val="PiedepginaLegal"/>
        <w:numPr>
          <w:ilvl w:val="0"/>
          <w:numId w:val="3"/>
        </w:numPr>
        <w:tabs>
          <w:tab w:val="clear" w:pos="425"/>
        </w:tabs>
        <w:ind w:left="284"/>
        <w:rPr>
          <w:color w:val="auto"/>
          <w:u w:color="000000"/>
        </w:rPr>
      </w:pPr>
      <w:proofErr w:type="spellStart"/>
      <w:r w:rsidRPr="00DC1A5F">
        <w:rPr>
          <w:i/>
          <w:iCs/>
          <w:color w:val="auto"/>
          <w:u w:color="000000"/>
        </w:rPr>
        <w:t>Yevāpanaka</w:t>
      </w:r>
      <w:proofErr w:type="spellEnd"/>
      <w:r w:rsidRPr="00DC1A5F">
        <w:rPr>
          <w:color w:val="auto"/>
          <w:u w:color="000000"/>
        </w:rPr>
        <w:t xml:space="preserve"> (</w:t>
      </w:r>
      <w:r w:rsidRPr="00DC1A5F">
        <w:rPr>
          <w:i/>
          <w:iCs/>
          <w:color w:val="auto"/>
          <w:u w:color="000000"/>
        </w:rPr>
        <w:t>ye–</w:t>
      </w:r>
      <w:proofErr w:type="spellStart"/>
      <w:r w:rsidRPr="00DC1A5F">
        <w:rPr>
          <w:i/>
          <w:iCs/>
          <w:color w:val="auto"/>
          <w:u w:color="000000"/>
        </w:rPr>
        <w:t>vā</w:t>
      </w:r>
      <w:proofErr w:type="spellEnd"/>
      <w:r w:rsidRPr="00DC1A5F">
        <w:rPr>
          <w:i/>
          <w:iCs/>
          <w:color w:val="auto"/>
          <w:u w:color="000000"/>
        </w:rPr>
        <w:t>–pana–</w:t>
      </w:r>
      <w:proofErr w:type="spellStart"/>
      <w:r w:rsidRPr="00DC1A5F">
        <w:rPr>
          <w:i/>
          <w:iCs/>
          <w:color w:val="auto"/>
          <w:u w:color="000000"/>
        </w:rPr>
        <w:t>ka</w:t>
      </w:r>
      <w:proofErr w:type="spellEnd"/>
      <w:r w:rsidRPr="00DC1A5F">
        <w:rPr>
          <w:color w:val="auto"/>
          <w:u w:color="000000"/>
        </w:rPr>
        <w:t xml:space="preserve">) corresponderá a una abreviación del </w:t>
      </w:r>
      <w:r w:rsidRPr="00DC1A5F">
        <w:rPr>
          <w:i/>
          <w:iCs/>
          <w:color w:val="auto"/>
          <w:u w:color="000000"/>
        </w:rPr>
        <w:t>Comentario</w:t>
      </w:r>
      <w:r w:rsidRPr="00DC1A5F">
        <w:rPr>
          <w:color w:val="auto"/>
          <w:u w:color="000000"/>
        </w:rPr>
        <w:t xml:space="preserve"> derivada de una frase </w:t>
      </w:r>
      <w:proofErr w:type="spellStart"/>
      <w:r w:rsidRPr="00DC1A5F">
        <w:rPr>
          <w:i/>
          <w:iCs/>
          <w:color w:val="auto"/>
          <w:u w:color="000000"/>
        </w:rPr>
        <w:t>Dhammasaṇgaṇī</w:t>
      </w:r>
      <w:proofErr w:type="spellEnd"/>
      <w:r w:rsidRPr="00DC1A5F">
        <w:rPr>
          <w:color w:val="auto"/>
          <w:u w:color="000000"/>
        </w:rPr>
        <w:t xml:space="preserve"> “</w:t>
      </w:r>
      <w:r w:rsidRPr="00DC1A5F">
        <w:rPr>
          <w:i/>
          <w:iCs/>
          <w:color w:val="auto"/>
          <w:u w:color="000000"/>
        </w:rPr>
        <w:t>ye–</w:t>
      </w:r>
      <w:proofErr w:type="spellStart"/>
      <w:r w:rsidRPr="00DC1A5F">
        <w:rPr>
          <w:i/>
          <w:iCs/>
          <w:color w:val="auto"/>
          <w:u w:color="000000"/>
        </w:rPr>
        <w:t>vā</w:t>
      </w:r>
      <w:proofErr w:type="spellEnd"/>
      <w:r w:rsidRPr="00DC1A5F">
        <w:rPr>
          <w:i/>
          <w:iCs/>
          <w:color w:val="auto"/>
          <w:u w:color="000000"/>
        </w:rPr>
        <w:t xml:space="preserve">–pana </w:t>
      </w:r>
      <w:proofErr w:type="spellStart"/>
      <w:r w:rsidRPr="00DC1A5F">
        <w:rPr>
          <w:i/>
          <w:iCs/>
          <w:color w:val="auto"/>
          <w:u w:color="000000"/>
        </w:rPr>
        <w:t>tasmií</w:t>
      </w:r>
      <w:proofErr w:type="spellEnd"/>
      <w:r w:rsidRPr="00DC1A5F">
        <w:rPr>
          <w:i/>
          <w:iCs/>
          <w:color w:val="auto"/>
          <w:u w:color="000000"/>
        </w:rPr>
        <w:t xml:space="preserve"> </w:t>
      </w:r>
      <w:proofErr w:type="spellStart"/>
      <w:r w:rsidRPr="00DC1A5F">
        <w:rPr>
          <w:i/>
          <w:iCs/>
          <w:color w:val="auto"/>
          <w:u w:color="000000"/>
        </w:rPr>
        <w:t>samaye</w:t>
      </w:r>
      <w:proofErr w:type="spellEnd"/>
      <w:r w:rsidRPr="00DC1A5F">
        <w:rPr>
          <w:i/>
          <w:iCs/>
          <w:color w:val="auto"/>
          <w:u w:color="000000"/>
        </w:rPr>
        <w:t xml:space="preserve"> </w:t>
      </w:r>
      <w:proofErr w:type="spellStart"/>
      <w:r w:rsidRPr="00DC1A5F">
        <w:rPr>
          <w:i/>
          <w:iCs/>
          <w:color w:val="auto"/>
          <w:u w:color="000000"/>
        </w:rPr>
        <w:t>aññe</w:t>
      </w:r>
      <w:proofErr w:type="spellEnd"/>
      <w:r w:rsidRPr="00DC1A5F">
        <w:rPr>
          <w:i/>
          <w:iCs/>
          <w:color w:val="auto"/>
          <w:u w:color="000000"/>
        </w:rPr>
        <w:t xml:space="preserve"> pi </w:t>
      </w:r>
      <w:proofErr w:type="spellStart"/>
      <w:r w:rsidRPr="00DC1A5F">
        <w:rPr>
          <w:i/>
          <w:iCs/>
          <w:color w:val="auto"/>
          <w:u w:color="000000"/>
        </w:rPr>
        <w:t>atthi</w:t>
      </w:r>
      <w:proofErr w:type="spellEnd"/>
      <w:r w:rsidRPr="00DC1A5F">
        <w:rPr>
          <w:i/>
          <w:iCs/>
          <w:color w:val="auto"/>
          <w:u w:color="000000"/>
        </w:rPr>
        <w:t xml:space="preserve"> </w:t>
      </w:r>
      <w:proofErr w:type="spellStart"/>
      <w:r w:rsidRPr="00DC1A5F">
        <w:rPr>
          <w:i/>
          <w:iCs/>
          <w:color w:val="auto"/>
          <w:u w:color="000000"/>
        </w:rPr>
        <w:t>paṭiccasamuppannā</w:t>
      </w:r>
      <w:proofErr w:type="spellEnd"/>
      <w:r w:rsidRPr="00DC1A5F">
        <w:rPr>
          <w:i/>
          <w:iCs/>
          <w:color w:val="auto"/>
          <w:u w:color="000000"/>
        </w:rPr>
        <w:t xml:space="preserve"> </w:t>
      </w:r>
      <w:proofErr w:type="spellStart"/>
      <w:r w:rsidRPr="00DC1A5F">
        <w:rPr>
          <w:i/>
          <w:iCs/>
          <w:color w:val="auto"/>
          <w:u w:color="000000"/>
        </w:rPr>
        <w:t>arūpino</w:t>
      </w:r>
      <w:proofErr w:type="spellEnd"/>
      <w:r w:rsidRPr="00DC1A5F">
        <w:rPr>
          <w:i/>
          <w:iCs/>
          <w:color w:val="auto"/>
          <w:u w:color="000000"/>
        </w:rPr>
        <w:t xml:space="preserve"> </w:t>
      </w:r>
      <w:proofErr w:type="spellStart"/>
      <w:r w:rsidRPr="00DC1A5F">
        <w:rPr>
          <w:i/>
          <w:iCs/>
          <w:color w:val="auto"/>
          <w:u w:color="000000"/>
        </w:rPr>
        <w:t>dhammā</w:t>
      </w:r>
      <w:proofErr w:type="spellEnd"/>
      <w:r w:rsidRPr="00DC1A5F">
        <w:rPr>
          <w:color w:val="auto"/>
          <w:u w:color="000000"/>
        </w:rPr>
        <w:t>”— “O cualquiera de los estados (fenómenos) inmateriales surgidos condicionalmente que existan también en tal ocasión” (</w:t>
      </w:r>
      <w:proofErr w:type="spellStart"/>
      <w:r w:rsidRPr="00DC1A5F">
        <w:rPr>
          <w:color w:val="auto"/>
          <w:u w:color="000000"/>
        </w:rPr>
        <w:t>Dhs</w:t>
      </w:r>
      <w:proofErr w:type="spellEnd"/>
      <w:r w:rsidRPr="00DC1A5F">
        <w:rPr>
          <w:color w:val="auto"/>
          <w:u w:color="000000"/>
        </w:rPr>
        <w:t xml:space="preserve"> 1). Cf. también con M I 85.</w:t>
      </w:r>
    </w:p>
    <w:p w14:paraId="0425249C" w14:textId="77777777" w:rsidR="00597DE2" w:rsidRPr="00DC1A5F" w:rsidRDefault="00597DE2" w:rsidP="00597DE2">
      <w:pPr>
        <w:pStyle w:val="PiedepginaLegal"/>
      </w:pPr>
      <w:r w:rsidRPr="00DC1A5F">
        <w:br w:type="page"/>
      </w:r>
    </w:p>
    <w:p w14:paraId="1FFA1F9C" w14:textId="77777777" w:rsidR="00597DE2" w:rsidRPr="00DC1A5F" w:rsidRDefault="00597DE2" w:rsidP="00597DE2">
      <w:pPr>
        <w:pStyle w:val="Textoindependiente"/>
      </w:pPr>
      <w:r w:rsidRPr="00DC1A5F">
        <w:lastRenderedPageBreak/>
        <w:t>Los 4 ‘o–cualquier–estado’ son estos:</w:t>
      </w:r>
    </w:p>
    <w:p w14:paraId="599B5A38"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xxviii</w:t>
      </w:r>
      <w:proofErr w:type="spellEnd"/>
      <w:r w:rsidRPr="00DC1A5F">
        <w:t xml:space="preserve">). </w:t>
      </w:r>
      <w:r w:rsidRPr="00DC1A5F">
        <w:tab/>
        <w:t>celo (deseo),</w:t>
      </w:r>
    </w:p>
    <w:p w14:paraId="37E0F92D"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xxix</w:t>
      </w:r>
      <w:proofErr w:type="spellEnd"/>
      <w:r w:rsidRPr="00DC1A5F">
        <w:t>).</w:t>
      </w:r>
      <w:r w:rsidRPr="00DC1A5F">
        <w:tab/>
        <w:t>resolución,</w:t>
      </w:r>
    </w:p>
    <w:p w14:paraId="4CC3FD3A"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xxx</w:t>
      </w:r>
      <w:proofErr w:type="spellEnd"/>
      <w:r w:rsidRPr="00DC1A5F">
        <w:t xml:space="preserve">). </w:t>
      </w:r>
      <w:r w:rsidRPr="00DC1A5F">
        <w:tab/>
        <w:t xml:space="preserve">atención (traer a la mente), </w:t>
      </w:r>
    </w:p>
    <w:p w14:paraId="15D677A9"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xxxi</w:t>
      </w:r>
      <w:proofErr w:type="spellEnd"/>
      <w:r w:rsidRPr="00DC1A5F">
        <w:t xml:space="preserve">). </w:t>
      </w:r>
      <w:r w:rsidRPr="00DC1A5F">
        <w:tab/>
        <w:t>neutralidad especifica.</w:t>
      </w:r>
    </w:p>
    <w:p w14:paraId="5FB93CD9" w14:textId="77777777" w:rsidR="00597DE2" w:rsidRPr="00DC1A5F" w:rsidRDefault="00597DE2" w:rsidP="00597DE2">
      <w:pPr>
        <w:pStyle w:val="Textoindependiente"/>
      </w:pPr>
      <w:r w:rsidRPr="00DC1A5F">
        <w:t>Y las 5 inconstantes son éstas:</w:t>
      </w:r>
    </w:p>
    <w:p w14:paraId="60604259"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xxxii</w:t>
      </w:r>
      <w:proofErr w:type="spellEnd"/>
      <w:r w:rsidRPr="00DC1A5F">
        <w:t xml:space="preserve">). </w:t>
      </w:r>
      <w:r w:rsidRPr="00DC1A5F">
        <w:tab/>
        <w:t>compasión,</w:t>
      </w:r>
    </w:p>
    <w:p w14:paraId="67DE314A"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xxxiii</w:t>
      </w:r>
      <w:proofErr w:type="spellEnd"/>
      <w:r w:rsidRPr="00DC1A5F">
        <w:t xml:space="preserve">). </w:t>
      </w:r>
      <w:r w:rsidRPr="00DC1A5F">
        <w:tab/>
        <w:t>Alegría altruista,</w:t>
      </w:r>
    </w:p>
    <w:p w14:paraId="5215BF5F"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xxxiv</w:t>
      </w:r>
      <w:proofErr w:type="spellEnd"/>
      <w:r w:rsidRPr="00DC1A5F">
        <w:t xml:space="preserve">). </w:t>
      </w:r>
      <w:r w:rsidRPr="00DC1A5F">
        <w:tab/>
        <w:t>abstinencia de una conducta corporal incorrecta,</w:t>
      </w:r>
    </w:p>
    <w:p w14:paraId="275B7109" w14:textId="77777777" w:rsidR="00597DE2" w:rsidRPr="00DC1A5F" w:rsidRDefault="00597DE2" w:rsidP="00597DE2">
      <w:pPr>
        <w:pStyle w:val="NumeracinReload"/>
        <w:tabs>
          <w:tab w:val="clear" w:pos="425"/>
          <w:tab w:val="clear" w:pos="567"/>
          <w:tab w:val="right" w:pos="993"/>
        </w:tabs>
        <w:ind w:left="1134" w:hanging="1134"/>
      </w:pPr>
      <w:r w:rsidRPr="00DC1A5F">
        <w:tab/>
        <w:t>(</w:t>
      </w:r>
      <w:proofErr w:type="spellStart"/>
      <w:r w:rsidRPr="00DC1A5F">
        <w:t>xxxv</w:t>
      </w:r>
      <w:proofErr w:type="spellEnd"/>
      <w:r w:rsidRPr="00DC1A5F">
        <w:t xml:space="preserve">). </w:t>
      </w:r>
      <w:r w:rsidRPr="00DC1A5F">
        <w:tab/>
        <w:t>abstinencia de una conducta verbal incorrecta,</w:t>
      </w:r>
    </w:p>
    <w:p w14:paraId="7A0C31B8" w14:textId="77777777" w:rsidR="00597DE2" w:rsidRPr="00DC1A5F" w:rsidRDefault="00597DE2" w:rsidP="00597DE2">
      <w:pPr>
        <w:pStyle w:val="NumeracinReload"/>
        <w:tabs>
          <w:tab w:val="clear" w:pos="425"/>
          <w:tab w:val="clear" w:pos="567"/>
          <w:tab w:val="right" w:pos="993"/>
        </w:tabs>
        <w:spacing w:after="100"/>
        <w:ind w:left="1134" w:hanging="1134"/>
      </w:pPr>
      <w:r w:rsidRPr="00DC1A5F">
        <w:tab/>
        <w:t>(</w:t>
      </w:r>
      <w:proofErr w:type="spellStart"/>
      <w:r w:rsidRPr="00DC1A5F">
        <w:t>xxxvi</w:t>
      </w:r>
      <w:proofErr w:type="spellEnd"/>
      <w:r w:rsidRPr="00DC1A5F">
        <w:t xml:space="preserve">). </w:t>
      </w:r>
      <w:r w:rsidRPr="00DC1A5F">
        <w:tab/>
        <w:t>abstinencia de un sustento vital incorrecto.</w:t>
      </w:r>
    </w:p>
    <w:p w14:paraId="40DC5CAD" w14:textId="77777777" w:rsidR="00597DE2" w:rsidRPr="00DC1A5F" w:rsidRDefault="00597DE2" w:rsidP="00597DE2">
      <w:pPr>
        <w:pStyle w:val="NormalConSangria"/>
      </w:pPr>
      <w:r w:rsidRPr="00DC1A5F">
        <w:t>Estas últimas surgirán a veces, pero no siempre y, cuando surjan, no lo harán conjuntamente.</w:t>
      </w:r>
    </w:p>
    <w:p w14:paraId="60DC2400" w14:textId="77777777" w:rsidR="00597DE2" w:rsidRPr="00DC1A5F" w:rsidRDefault="00597DE2" w:rsidP="00597DE2">
      <w:r w:rsidRPr="00DC1A5F">
        <w:t xml:space="preserve">134. </w:t>
      </w:r>
      <w:r w:rsidRPr="00DC1A5F">
        <w:tab/>
        <w:t>Aquí, (i) hará contacto (</w:t>
      </w:r>
      <w:proofErr w:type="spellStart"/>
      <w:r w:rsidRPr="00DC1A5F">
        <w:rPr>
          <w:i/>
          <w:iCs/>
        </w:rPr>
        <w:t>phusati</w:t>
      </w:r>
      <w:proofErr w:type="spellEnd"/>
      <w:r w:rsidRPr="00DC1A5F">
        <w:t>), por lo tanto se referirá al contacto (</w:t>
      </w:r>
      <w:proofErr w:type="spellStart"/>
      <w:r w:rsidRPr="00DC1A5F">
        <w:rPr>
          <w:i/>
          <w:iCs/>
        </w:rPr>
        <w:t>phassa</w:t>
      </w:r>
      <w:proofErr w:type="spellEnd"/>
      <w:r w:rsidRPr="00DC1A5F">
        <w:t xml:space="preserve">). Éste tiene la </w:t>
      </w:r>
      <w:r w:rsidRPr="00DC1A5F">
        <w:rPr>
          <w:i/>
          <w:iCs/>
        </w:rPr>
        <w:t>característica</w:t>
      </w:r>
      <w:r w:rsidRPr="00DC1A5F">
        <w:t xml:space="preserve"> de hacer contacto. Su </w:t>
      </w:r>
      <w:r w:rsidRPr="00DC1A5F">
        <w:rPr>
          <w:i/>
          <w:iCs/>
        </w:rPr>
        <w:t>función</w:t>
      </w:r>
      <w:r w:rsidRPr="00DC1A5F">
        <w:t xml:space="preserve"> es el acto de incidir. Se </w:t>
      </w:r>
      <w:r w:rsidRPr="00DC1A5F">
        <w:rPr>
          <w:i/>
          <w:iCs/>
        </w:rPr>
        <w:t>manifiesta</w:t>
      </w:r>
      <w:r w:rsidRPr="00DC1A5F">
        <w:t xml:space="preserve"> como una concurrencia. Su </w:t>
      </w:r>
      <w:r w:rsidRPr="00DC1A5F">
        <w:rPr>
          <w:i/>
          <w:iCs/>
        </w:rPr>
        <w:t>causa próxima</w:t>
      </w:r>
      <w:r w:rsidRPr="00DC1A5F">
        <w:t xml:space="preserve"> es un campo objetivo que haya entrado en su foco.</w:t>
      </w:r>
    </w:p>
    <w:p w14:paraId="785DF4F4" w14:textId="77777777" w:rsidR="00597DE2" w:rsidRPr="00DC1A5F" w:rsidRDefault="00597DE2" w:rsidP="00597DE2">
      <w:pPr>
        <w:pStyle w:val="NormalConSangria"/>
      </w:pPr>
      <w:r w:rsidRPr="00DC1A5F">
        <w:t xml:space="preserve">En cuanto a su </w:t>
      </w:r>
      <w:r w:rsidRPr="00DC1A5F">
        <w:rPr>
          <w:i/>
          <w:iCs/>
        </w:rPr>
        <w:t>característica</w:t>
      </w:r>
      <w:r w:rsidRPr="00DC1A5F">
        <w:t>, aunque éste corresponda a un estado inmaterial, se dará con respecto a un objeto a través del acto de también hacer contacto.</w:t>
      </w:r>
      <w:r w:rsidRPr="00DC1A5F">
        <w:rPr>
          <w:vertAlign w:val="superscript"/>
        </w:rPr>
        <w:t>60</w:t>
      </w:r>
      <w:r w:rsidRPr="00DC1A5F">
        <w:t xml:space="preserve"> Y en cuanto a su </w:t>
      </w:r>
      <w:r w:rsidRPr="00DC1A5F">
        <w:rPr>
          <w:i/>
          <w:iCs/>
        </w:rPr>
        <w:t>función</w:t>
      </w:r>
      <w:r w:rsidRPr="00DC1A5F">
        <w:t>, aunque no se adhiera a nada</w:t>
      </w:r>
      <w:r w:rsidRPr="00DC1A5F">
        <w:rPr>
          <w:vertAlign w:val="superscript"/>
        </w:rPr>
        <w:t>61</w:t>
      </w:r>
      <w:r w:rsidRPr="00DC1A5F">
        <w:t xml:space="preserve"> como lo son el ojo y el objeto visible, el oído y el sonido, corresponderá a lo que hará que la consciencia y el objeto hagan se perturben. Se dice que se manifestará como una conjunción porque se ha descrito como su propia acción, es decir, como la conjunción de 3 elementos [(cf. M I 111), es decir, la conjunción del ojo, el objeto visible y la consciencia visual]. Y se dice que tiene como </w:t>
      </w:r>
      <w:r w:rsidRPr="00DC1A5F">
        <w:rPr>
          <w:i/>
          <w:iCs/>
        </w:rPr>
        <w:t>causa próxima</w:t>
      </w:r>
      <w:r w:rsidRPr="00DC1A5F">
        <w:t xml:space="preserve"> un campo objetivo que se haya enfocado ya que surgirá automáticamente a través de la reacción consciente apropiada y con una facultad cuando se presente el campo objetivo. No obstante, deberá ser considerado como una </w:t>
      </w:r>
      <w:r w:rsidRPr="00DC1A5F">
        <w:rPr>
          <w:color w:val="1F3864" w:themeColor="accent1" w:themeShade="80"/>
        </w:rPr>
        <w:t xml:space="preserve">vaca sin piel </w:t>
      </w:r>
      <w:r w:rsidRPr="00DC1A5F">
        <w:t>(S II 99) ya que corresponderá al hábitat</w:t>
      </w:r>
      <w:r w:rsidRPr="00DC1A5F">
        <w:rPr>
          <w:vertAlign w:val="superscript"/>
        </w:rPr>
        <w:t>62</w:t>
      </w:r>
      <w:r w:rsidRPr="00DC1A5F">
        <w:t xml:space="preserve"> de la sensación.</w:t>
      </w:r>
    </w:p>
    <w:p w14:paraId="478B367E" w14:textId="77777777" w:rsidR="00597DE2" w:rsidRPr="00DC1A5F" w:rsidRDefault="00597DE2" w:rsidP="00597DE2">
      <w:r w:rsidRPr="00DC1A5F">
        <w:t xml:space="preserve">135. </w:t>
      </w:r>
      <w:r w:rsidRPr="00DC1A5F">
        <w:tab/>
        <w:t>(</w:t>
      </w:r>
      <w:proofErr w:type="spellStart"/>
      <w:r w:rsidRPr="00DC1A5F">
        <w:t>ii</w:t>
      </w:r>
      <w:proofErr w:type="spellEnd"/>
      <w:r w:rsidRPr="00DC1A5F">
        <w:t>) Quiere (</w:t>
      </w:r>
      <w:proofErr w:type="spellStart"/>
      <w:r w:rsidRPr="00DC1A5F">
        <w:rPr>
          <w:i/>
          <w:iCs/>
        </w:rPr>
        <w:t>cetayati</w:t>
      </w:r>
      <w:proofErr w:type="spellEnd"/>
      <w:r w:rsidRPr="00DC1A5F">
        <w:t>), por lo tanto, es una volición (</w:t>
      </w:r>
      <w:proofErr w:type="spellStart"/>
      <w:r w:rsidRPr="00DC1A5F">
        <w:rPr>
          <w:i/>
          <w:iCs/>
        </w:rPr>
        <w:t>cetanā</w:t>
      </w:r>
      <w:proofErr w:type="spellEnd"/>
      <w:r w:rsidRPr="00DC1A5F">
        <w:t xml:space="preserve">); recolecta, es el sentido. Su </w:t>
      </w:r>
      <w:r w:rsidRPr="00DC1A5F">
        <w:rPr>
          <w:i/>
          <w:iCs/>
        </w:rPr>
        <w:t>característica</w:t>
      </w:r>
      <w:r w:rsidRPr="00DC1A5F">
        <w:t xml:space="preserve"> es el estado de voluntad. Su </w:t>
      </w:r>
      <w:r w:rsidRPr="00DC1A5F">
        <w:rPr>
          <w:i/>
          <w:iCs/>
        </w:rPr>
        <w:t>función</w:t>
      </w:r>
      <w:r w:rsidRPr="00DC1A5F">
        <w:t xml:space="preserve"> es acumular. Se </w:t>
      </w:r>
      <w:r w:rsidRPr="00DC1A5F">
        <w:rPr>
          <w:i/>
          <w:iCs/>
        </w:rPr>
        <w:t>manifiesta</w:t>
      </w:r>
      <w:r w:rsidRPr="00DC1A5F">
        <w:t xml:space="preserve"> como coordinador. Cumple </w:t>
      </w:r>
      <w:r w:rsidRPr="00DC1A5F">
        <w:rPr>
          <w:i/>
          <w:iCs/>
        </w:rPr>
        <w:t>funciones</w:t>
      </w:r>
      <w:r w:rsidRPr="00DC1A5F">
        <w:t xml:space="preserve"> propias y ajenas, como lo hiciera un discípulo avanzado, un líder carpintero, etc. No obstante, es evidente cuando ocurre en la organización (conducción) de los estados asociados en relación con el trabajo urgente, el recuerdo, etc. [464]</w:t>
      </w:r>
    </w:p>
    <w:p w14:paraId="42B6515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75C7BEE" w14:textId="77777777" w:rsidR="00597DE2" w:rsidRPr="00DC1A5F" w:rsidRDefault="00597DE2" w:rsidP="00597DE2">
      <w:pPr>
        <w:pStyle w:val="PiedepginaLegal"/>
        <w:numPr>
          <w:ilvl w:val="0"/>
          <w:numId w:val="3"/>
        </w:numPr>
        <w:tabs>
          <w:tab w:val="clear" w:pos="425"/>
        </w:tabs>
        <w:ind w:left="284"/>
      </w:pPr>
      <w:r w:rsidRPr="00DC1A5F">
        <w:rPr>
          <w:color w:val="auto"/>
          <w:u w:color="000000"/>
        </w:rPr>
        <w:t>“‘</w:t>
      </w:r>
      <w:r w:rsidRPr="00DC1A5F">
        <w:rPr>
          <w:i/>
          <w:iCs/>
          <w:color w:val="auto"/>
          <w:u w:color="000000"/>
        </w:rPr>
        <w:t>Como el acto de hacer contacto también’</w:t>
      </w:r>
      <w:r w:rsidRPr="00DC1A5F">
        <w:rPr>
          <w:color w:val="auto"/>
          <w:u w:color="000000"/>
        </w:rPr>
        <w:t>: mediante esto él expone que ésta corresponderá a su esencia individual aunque sea inmaterial.</w:t>
      </w:r>
      <w:r w:rsidRPr="00DC1A5F">
        <w:rPr>
          <w:color w:val="833C0B" w:themeColor="accent2" w:themeShade="80"/>
          <w:u w:color="000000"/>
        </w:rPr>
        <w:t xml:space="preserve"> </w:t>
      </w:r>
      <w:r w:rsidRPr="00DC1A5F">
        <w:rPr>
          <w:color w:val="auto"/>
          <w:u w:color="000000"/>
        </w:rPr>
        <w:t xml:space="preserve">Y la característica de hacer contacto será obvia en su ocurrencia en casos como, digamos, en la segregación de la boca en alguien que vea a otro saboreando vinagre o un mango maduro; en el estremecimiento corporal de una persona compasiva que vea a otro herido; en el temblor de las rodillas de un hombre tímido parado en el suelo al ver a un hombre en un precario equilibrio sobre la rama de un árbol alto; en la pérdida de la fuerza de las piernas en alguien que vea algo aterrador, como un </w:t>
      </w:r>
      <w:proofErr w:type="spellStart"/>
      <w:r w:rsidRPr="00DC1A5F">
        <w:rPr>
          <w:i/>
          <w:iCs/>
          <w:color w:val="auto"/>
          <w:u w:color="000000"/>
        </w:rPr>
        <w:t>pisāca</w:t>
      </w:r>
      <w:proofErr w:type="spellEnd"/>
      <w:r w:rsidRPr="00DC1A5F">
        <w:rPr>
          <w:color w:val="auto"/>
          <w:u w:color="000000"/>
        </w:rPr>
        <w:t xml:space="preserve"> (un duende)”</w:t>
      </w:r>
      <w:r w:rsidRPr="00DC1A5F">
        <w:t xml:space="preserve"> (</w:t>
      </w:r>
      <w:proofErr w:type="spellStart"/>
      <w:r w:rsidRPr="00DC1A5F">
        <w:t>Vism</w:t>
      </w:r>
      <w:proofErr w:type="spellEnd"/>
      <w:r w:rsidRPr="00DC1A5F">
        <w:t>–</w:t>
      </w:r>
      <w:proofErr w:type="spellStart"/>
      <w:r w:rsidRPr="00DC1A5F">
        <w:t>mhṭ</w:t>
      </w:r>
      <w:proofErr w:type="spellEnd"/>
      <w:r w:rsidRPr="00DC1A5F">
        <w:t xml:space="preserve"> 484– 85).</w:t>
      </w:r>
    </w:p>
    <w:p w14:paraId="620B522B" w14:textId="77777777" w:rsidR="00597DE2" w:rsidRPr="00DC1A5F" w:rsidRDefault="00597DE2" w:rsidP="00597DE2">
      <w:pPr>
        <w:pStyle w:val="PiedepginaLegal"/>
        <w:numPr>
          <w:ilvl w:val="0"/>
          <w:numId w:val="3"/>
        </w:numPr>
        <w:tabs>
          <w:tab w:val="clear" w:pos="425"/>
        </w:tabs>
        <w:ind w:left="284"/>
      </w:pPr>
      <w:r w:rsidRPr="00DC1A5F">
        <w:rPr>
          <w:color w:val="auto"/>
          <w:u w:color="000000"/>
        </w:rPr>
        <w:t>Para “no–adherente” ver §46. “‘</w:t>
      </w:r>
      <w:r w:rsidRPr="00DC1A5F">
        <w:rPr>
          <w:i/>
          <w:iCs/>
          <w:color w:val="auto"/>
          <w:u w:color="000000"/>
        </w:rPr>
        <w:t>En cualquier lado’</w:t>
      </w:r>
      <w:r w:rsidRPr="00DC1A5F">
        <w:rPr>
          <w:color w:val="auto"/>
          <w:u w:color="000000"/>
        </w:rPr>
        <w:t xml:space="preserve"> significará en cualquier lado de sí mismo, como un par de tablones, etc. ‘No–adherente’ significa no pegajoso (</w:t>
      </w:r>
      <w:proofErr w:type="spellStart"/>
      <w:r w:rsidRPr="00DC1A5F">
        <w:rPr>
          <w:i/>
          <w:iCs/>
          <w:color w:val="auto"/>
          <w:u w:color="000000"/>
        </w:rPr>
        <w:t>asaṃsilissamāna</w:t>
      </w:r>
      <w:proofErr w:type="spellEnd"/>
      <w:r w:rsidRPr="00DC1A5F">
        <w:rPr>
          <w:color w:val="auto"/>
          <w:u w:color="000000"/>
        </w:rPr>
        <w:t>). Corresponderá sólo al impacto sin adherencia que el contacto compartirá con los objetos visibles y el sonido, no al campo objetivo.</w:t>
      </w:r>
      <w:r w:rsidRPr="00DC1A5F">
        <w:t xml:space="preserve"> </w:t>
      </w:r>
      <w:r w:rsidRPr="00DC1A5F">
        <w:rPr>
          <w:color w:val="auto"/>
          <w:u w:color="000000"/>
        </w:rPr>
        <w:t>Así como, aunque el ojo y el oído no se adherirían, respectivamente, a los objetos visibles y a los sonidos, pero todavía se les asignaría la palabra de ‘tocado’ que se utilizaría para ellos, así también se podrá decir que el contacto tocará e incidirá en el objeto. El impacto del contacto será la concurrencia real (el encuentro) entre la consciencia y el objeto”</w:t>
      </w:r>
      <w:r w:rsidRPr="00DC1A5F">
        <w:t xml:space="preserve"> (</w:t>
      </w:r>
      <w:proofErr w:type="spellStart"/>
      <w:r w:rsidRPr="00DC1A5F">
        <w:t>Vism</w:t>
      </w:r>
      <w:proofErr w:type="spellEnd"/>
      <w:r w:rsidRPr="00DC1A5F">
        <w:t>–</w:t>
      </w:r>
      <w:proofErr w:type="spellStart"/>
      <w:r w:rsidRPr="00DC1A5F">
        <w:t>mhṭ</w:t>
      </w:r>
      <w:proofErr w:type="spellEnd"/>
      <w:r w:rsidRPr="00DC1A5F">
        <w:t xml:space="preserve"> 485).</w:t>
      </w:r>
    </w:p>
    <w:p w14:paraId="675C2D5C" w14:textId="77777777" w:rsidR="00597DE2" w:rsidRPr="00DC1A5F" w:rsidRDefault="00597DE2" w:rsidP="00597DE2">
      <w:pPr>
        <w:pStyle w:val="PiedepginaLegal"/>
        <w:numPr>
          <w:ilvl w:val="0"/>
          <w:numId w:val="3"/>
        </w:numPr>
        <w:tabs>
          <w:tab w:val="clear" w:pos="425"/>
        </w:tabs>
        <w:spacing w:after="160"/>
        <w:ind w:left="284"/>
      </w:pPr>
      <w:r w:rsidRPr="00DC1A5F">
        <w:rPr>
          <w:i/>
          <w:iCs/>
        </w:rPr>
        <w:t>Adhiṭṭhāna</w:t>
      </w:r>
      <w:r w:rsidRPr="00DC1A5F">
        <w:t>—“hábitat” (o sitio, ubicación o fundación): este significado no se da en el PED.</w:t>
      </w:r>
      <w:r w:rsidRPr="00DC1A5F">
        <w:br w:type="page"/>
      </w:r>
    </w:p>
    <w:p w14:paraId="56451848" w14:textId="77777777" w:rsidR="00597DE2" w:rsidRPr="00DC1A5F" w:rsidRDefault="00597DE2" w:rsidP="00597DE2"/>
    <w:p w14:paraId="33C177A5" w14:textId="77777777" w:rsidR="00597DE2" w:rsidRPr="00DC1A5F" w:rsidRDefault="00597DE2" w:rsidP="00597DE2"/>
    <w:p w14:paraId="2017C797" w14:textId="77777777" w:rsidR="00597DE2" w:rsidRPr="00DC1A5F" w:rsidRDefault="00597DE2" w:rsidP="00597DE2">
      <w:r w:rsidRPr="00DC1A5F">
        <w:t xml:space="preserve">136. </w:t>
      </w:r>
      <w:r w:rsidRPr="00DC1A5F">
        <w:tab/>
        <w:t>(</w:t>
      </w:r>
      <w:proofErr w:type="spellStart"/>
      <w:r w:rsidRPr="00DC1A5F">
        <w:t>iii</w:t>
      </w:r>
      <w:proofErr w:type="spellEnd"/>
      <w:r w:rsidRPr="00DC1A5F">
        <w:t xml:space="preserve">)–(v) Lo que debe decirse sobre </w:t>
      </w:r>
      <w:r w:rsidRPr="00DC1A5F">
        <w:rPr>
          <w:i/>
          <w:iCs/>
        </w:rPr>
        <w:t>la</w:t>
      </w:r>
      <w:r w:rsidRPr="00DC1A5F">
        <w:t xml:space="preserve"> </w:t>
      </w:r>
      <w:r w:rsidRPr="00DC1A5F">
        <w:rPr>
          <w:i/>
          <w:iCs/>
        </w:rPr>
        <w:t>aplicación mental</w:t>
      </w:r>
      <w:r w:rsidRPr="00DC1A5F">
        <w:t xml:space="preserve">, </w:t>
      </w:r>
      <w:r w:rsidRPr="00DC1A5F">
        <w:rPr>
          <w:i/>
          <w:iCs/>
        </w:rPr>
        <w:t>la</w:t>
      </w:r>
      <w:r w:rsidRPr="00DC1A5F">
        <w:t xml:space="preserve"> </w:t>
      </w:r>
      <w:r w:rsidRPr="00DC1A5F">
        <w:rPr>
          <w:i/>
          <w:iCs/>
        </w:rPr>
        <w:t>sustentación mental</w:t>
      </w:r>
      <w:r w:rsidRPr="00DC1A5F">
        <w:t xml:space="preserve"> y </w:t>
      </w:r>
      <w:r w:rsidRPr="00DC1A5F">
        <w:rPr>
          <w:i/>
          <w:iCs/>
        </w:rPr>
        <w:t>la felicidad</w:t>
      </w:r>
      <w:r w:rsidRPr="00DC1A5F">
        <w:t xml:space="preserve"> ya se ha mencionado en el comentario sobre el primer </w:t>
      </w:r>
      <w:proofErr w:type="spellStart"/>
      <w:r w:rsidRPr="00DC1A5F">
        <w:rPr>
          <w:i/>
        </w:rPr>
        <w:t>jhāna</w:t>
      </w:r>
      <w:proofErr w:type="spellEnd"/>
      <w:r w:rsidRPr="00DC1A5F">
        <w:t xml:space="preserve"> en la Descripción del </w:t>
      </w:r>
      <w:proofErr w:type="spellStart"/>
      <w:r w:rsidRPr="00DC1A5F">
        <w:rPr>
          <w:i/>
        </w:rPr>
        <w:t>kasiṇa</w:t>
      </w:r>
      <w:proofErr w:type="spellEnd"/>
      <w:r w:rsidRPr="00DC1A5F">
        <w:t xml:space="preserve"> tierra (IV.88–98).</w:t>
      </w:r>
    </w:p>
    <w:p w14:paraId="4B50ACBE" w14:textId="77777777" w:rsidR="00597DE2" w:rsidRPr="00DC1A5F" w:rsidRDefault="00597DE2" w:rsidP="00597DE2">
      <w:r w:rsidRPr="00DC1A5F">
        <w:t xml:space="preserve">137. </w:t>
      </w:r>
      <w:r w:rsidRPr="00DC1A5F">
        <w:tab/>
        <w:t xml:space="preserve">(vi) La </w:t>
      </w:r>
      <w:r w:rsidRPr="00DC1A5F">
        <w:rPr>
          <w:i/>
          <w:iCs/>
        </w:rPr>
        <w:t>energía</w:t>
      </w:r>
      <w:r w:rsidRPr="00DC1A5F">
        <w:t xml:space="preserve"> (</w:t>
      </w:r>
      <w:proofErr w:type="spellStart"/>
      <w:r w:rsidRPr="00DC1A5F">
        <w:rPr>
          <w:i/>
          <w:iCs/>
        </w:rPr>
        <w:t>viriya</w:t>
      </w:r>
      <w:proofErr w:type="spellEnd"/>
      <w:r w:rsidRPr="00DC1A5F">
        <w:t>) es el estado de alguien que sea vigoroso (</w:t>
      </w:r>
      <w:proofErr w:type="spellStart"/>
      <w:r w:rsidRPr="00DC1A5F">
        <w:rPr>
          <w:i/>
          <w:iCs/>
        </w:rPr>
        <w:t>vīra</w:t>
      </w:r>
      <w:proofErr w:type="spellEnd"/>
      <w:r w:rsidRPr="00DC1A5F">
        <w:t xml:space="preserve">). Su </w:t>
      </w:r>
      <w:r w:rsidRPr="00DC1A5F">
        <w:rPr>
          <w:i/>
          <w:iCs/>
        </w:rPr>
        <w:t>característica</w:t>
      </w:r>
      <w:r w:rsidRPr="00DC1A5F">
        <w:t xml:space="preserve"> es la organización (conducción). Su </w:t>
      </w:r>
      <w:r w:rsidRPr="00DC1A5F">
        <w:rPr>
          <w:i/>
          <w:iCs/>
        </w:rPr>
        <w:t>función</w:t>
      </w:r>
      <w:r w:rsidRPr="00DC1A5F">
        <w:t xml:space="preserve"> es consolidar estados consensuales. Se </w:t>
      </w:r>
      <w:r w:rsidRPr="00DC1A5F">
        <w:rPr>
          <w:i/>
          <w:iCs/>
        </w:rPr>
        <w:t>manifiesta</w:t>
      </w:r>
      <w:r w:rsidRPr="00DC1A5F">
        <w:t xml:space="preserve"> como no–colapso. Debido a las palabras: “Diligente, se esfuerza sabiamente” (A II 115), su </w:t>
      </w:r>
      <w:r w:rsidRPr="00DC1A5F">
        <w:rPr>
          <w:i/>
          <w:iCs/>
        </w:rPr>
        <w:t>causa próxima</w:t>
      </w:r>
      <w:r w:rsidRPr="00DC1A5F">
        <w:t xml:space="preserve"> es un sentido de urgencia; o su </w:t>
      </w:r>
      <w:r w:rsidRPr="00DC1A5F">
        <w:rPr>
          <w:i/>
          <w:iCs/>
        </w:rPr>
        <w:t>causa próxima</w:t>
      </w:r>
      <w:r w:rsidRPr="00DC1A5F">
        <w:t xml:space="preserve"> es la base para la activación de la energía. Cuando se activa correctamente, debe considerarse como la raíz de todos los logros.</w:t>
      </w:r>
    </w:p>
    <w:p w14:paraId="70FFDA66" w14:textId="77777777" w:rsidR="00597DE2" w:rsidRPr="00DC1A5F" w:rsidRDefault="00597DE2" w:rsidP="00597DE2">
      <w:r w:rsidRPr="00DC1A5F">
        <w:t xml:space="preserve">138. </w:t>
      </w:r>
      <w:r w:rsidRPr="00DC1A5F">
        <w:tab/>
        <w:t>(</w:t>
      </w:r>
      <w:proofErr w:type="spellStart"/>
      <w:r w:rsidRPr="00DC1A5F">
        <w:t>vii</w:t>
      </w:r>
      <w:proofErr w:type="spellEnd"/>
      <w:r w:rsidRPr="00DC1A5F">
        <w:t xml:space="preserve">) Por su medio ellos viven, o él mismo vive, o es sólo un llano vivir, por lo tanto, es vitalidad. No obstante, su </w:t>
      </w:r>
      <w:r w:rsidRPr="00DC1A5F">
        <w:rPr>
          <w:i/>
          <w:iCs/>
        </w:rPr>
        <w:t>característica</w:t>
      </w:r>
      <w:r w:rsidRPr="00DC1A5F">
        <w:t>, etc., debe entenderse en la forma expresada en la vitalidad material (§59); ya que ésa es la vitalidad de las cosas materiales y ésta es la vitalidad de las cosas inmateriales. Ésta es la única diferencia aquí.</w:t>
      </w:r>
    </w:p>
    <w:p w14:paraId="226A720B" w14:textId="77777777" w:rsidR="00597DE2" w:rsidRPr="00DC1A5F" w:rsidRDefault="00597DE2" w:rsidP="00597DE2">
      <w:r w:rsidRPr="00DC1A5F">
        <w:t xml:space="preserve">139. </w:t>
      </w:r>
      <w:r w:rsidRPr="00DC1A5F">
        <w:tab/>
        <w:t>(</w:t>
      </w:r>
      <w:proofErr w:type="spellStart"/>
      <w:r w:rsidRPr="00DC1A5F">
        <w:t>viii</w:t>
      </w:r>
      <w:proofErr w:type="spellEnd"/>
      <w:r w:rsidRPr="00DC1A5F">
        <w:t>) Dispone (</w:t>
      </w:r>
      <w:proofErr w:type="spellStart"/>
      <w:r w:rsidRPr="00DC1A5F">
        <w:rPr>
          <w:i/>
          <w:iCs/>
        </w:rPr>
        <w:t>ādhiyati</w:t>
      </w:r>
      <w:proofErr w:type="spellEnd"/>
      <w:r w:rsidRPr="00DC1A5F">
        <w:t>) la consciencia uniformemente (</w:t>
      </w:r>
      <w:proofErr w:type="spellStart"/>
      <w:r w:rsidRPr="00DC1A5F">
        <w:rPr>
          <w:i/>
          <w:iCs/>
        </w:rPr>
        <w:t>samaí</w:t>
      </w:r>
      <w:proofErr w:type="spellEnd"/>
      <w:r w:rsidRPr="00DC1A5F">
        <w:t>) sobre un objeto, o la dispone correctamente (</w:t>
      </w:r>
      <w:proofErr w:type="spellStart"/>
      <w:r w:rsidRPr="00DC1A5F">
        <w:rPr>
          <w:i/>
        </w:rPr>
        <w:t>sammā</w:t>
      </w:r>
      <w:proofErr w:type="spellEnd"/>
      <w:r w:rsidRPr="00DC1A5F">
        <w:t>) sobre él, o simplemente es la mera recolección (</w:t>
      </w:r>
      <w:proofErr w:type="spellStart"/>
      <w:r w:rsidRPr="00DC1A5F">
        <w:rPr>
          <w:i/>
          <w:iCs/>
        </w:rPr>
        <w:t>samādhāna</w:t>
      </w:r>
      <w:proofErr w:type="spellEnd"/>
      <w:r w:rsidRPr="00DC1A5F">
        <w:t>) de la mente, por lo que corresponderá al término concentración (</w:t>
      </w:r>
      <w:r w:rsidRPr="00DC1A5F">
        <w:rPr>
          <w:i/>
        </w:rPr>
        <w:t>samādhi</w:t>
      </w:r>
      <w:r w:rsidRPr="00DC1A5F">
        <w:t xml:space="preserve">). Su </w:t>
      </w:r>
      <w:r w:rsidRPr="00DC1A5F">
        <w:rPr>
          <w:i/>
          <w:iCs/>
        </w:rPr>
        <w:t>característica</w:t>
      </w:r>
      <w:r w:rsidRPr="00DC1A5F">
        <w:t xml:space="preserve"> es la no–deambulación, o su </w:t>
      </w:r>
      <w:r w:rsidRPr="00DC1A5F">
        <w:rPr>
          <w:i/>
          <w:iCs/>
        </w:rPr>
        <w:t>característica</w:t>
      </w:r>
      <w:r w:rsidRPr="00DC1A5F">
        <w:t xml:space="preserve"> es no distraerse. Su </w:t>
      </w:r>
      <w:r w:rsidRPr="00DC1A5F">
        <w:rPr>
          <w:i/>
          <w:iCs/>
        </w:rPr>
        <w:t>función</w:t>
      </w:r>
      <w:r w:rsidRPr="00DC1A5F">
        <w:t xml:space="preserve"> es conglomerar los estados conscientes como lo hace el agua con los polvos de baño. Se </w:t>
      </w:r>
      <w:r w:rsidRPr="00DC1A5F">
        <w:rPr>
          <w:i/>
          <w:iCs/>
        </w:rPr>
        <w:t>manifiesta</w:t>
      </w:r>
      <w:r w:rsidRPr="00DC1A5F">
        <w:t xml:space="preserve"> como paz. Por lo general, su </w:t>
      </w:r>
      <w:r w:rsidRPr="00DC1A5F">
        <w:rPr>
          <w:i/>
          <w:iCs/>
        </w:rPr>
        <w:t>causa próxima</w:t>
      </w:r>
      <w:r w:rsidRPr="00DC1A5F">
        <w:t xml:space="preserve"> es la dicha. Debe considerarse como firmeza mental, como la estabilidad de la llama de una lámpara cuando no haya corrientes de aire.</w:t>
      </w:r>
    </w:p>
    <w:p w14:paraId="68A5D48E" w14:textId="77777777" w:rsidR="00597DE2" w:rsidRPr="00DC1A5F" w:rsidRDefault="00597DE2" w:rsidP="00597DE2">
      <w:r w:rsidRPr="00DC1A5F">
        <w:t xml:space="preserve">140. </w:t>
      </w:r>
      <w:r w:rsidRPr="00DC1A5F">
        <w:tab/>
        <w:t>(</w:t>
      </w:r>
      <w:proofErr w:type="spellStart"/>
      <w:r w:rsidRPr="00DC1A5F">
        <w:t>ix</w:t>
      </w:r>
      <w:proofErr w:type="spellEnd"/>
      <w:r w:rsidRPr="00DC1A5F">
        <w:t>) Por su medio ellos desarrollan fe (</w:t>
      </w:r>
      <w:proofErr w:type="spellStart"/>
      <w:r w:rsidRPr="00DC1A5F">
        <w:rPr>
          <w:i/>
          <w:iCs/>
        </w:rPr>
        <w:t>saddahanti</w:t>
      </w:r>
      <w:proofErr w:type="spellEnd"/>
      <w:r w:rsidRPr="00DC1A5F">
        <w:t>), o es, en sí mismo, poseer fe, o es simplemente el acto de tener fe (</w:t>
      </w:r>
      <w:proofErr w:type="spellStart"/>
      <w:r w:rsidRPr="00DC1A5F">
        <w:rPr>
          <w:i/>
          <w:iCs/>
        </w:rPr>
        <w:t>saddahana</w:t>
      </w:r>
      <w:proofErr w:type="spellEnd"/>
      <w:r w:rsidRPr="00DC1A5F">
        <w:t>), por lo tanto es fe (</w:t>
      </w:r>
      <w:proofErr w:type="spellStart"/>
      <w:r w:rsidRPr="00DC1A5F">
        <w:rPr>
          <w:i/>
          <w:iCs/>
        </w:rPr>
        <w:t>saddhā</w:t>
      </w:r>
      <w:proofErr w:type="spellEnd"/>
      <w:r w:rsidRPr="00DC1A5F">
        <w:t xml:space="preserve">). Su </w:t>
      </w:r>
      <w:r w:rsidRPr="00DC1A5F">
        <w:rPr>
          <w:i/>
          <w:iCs/>
        </w:rPr>
        <w:t>característica</w:t>
      </w:r>
      <w:r w:rsidRPr="00DC1A5F">
        <w:t xml:space="preserve"> es el desarrollo de la fe, o su </w:t>
      </w:r>
      <w:r w:rsidRPr="00DC1A5F">
        <w:rPr>
          <w:i/>
          <w:iCs/>
        </w:rPr>
        <w:t>característica</w:t>
      </w:r>
      <w:r w:rsidRPr="00DC1A5F">
        <w:t xml:space="preserve"> es confiar en algo. Su </w:t>
      </w:r>
      <w:r w:rsidRPr="00DC1A5F">
        <w:rPr>
          <w:i/>
          <w:iCs/>
        </w:rPr>
        <w:t>función</w:t>
      </w:r>
      <w:r w:rsidRPr="00DC1A5F">
        <w:t xml:space="preserve"> es clarificar, como una gema que limpia las aguas, o su </w:t>
      </w:r>
      <w:r w:rsidRPr="00DC1A5F">
        <w:rPr>
          <w:i/>
          <w:iCs/>
        </w:rPr>
        <w:t>función</w:t>
      </w:r>
      <w:r w:rsidRPr="00DC1A5F">
        <w:t xml:space="preserve"> es entrar, como la entrada a través de una inundación (cf. Sn 184). Se </w:t>
      </w:r>
      <w:r w:rsidRPr="00DC1A5F">
        <w:rPr>
          <w:i/>
          <w:iCs/>
        </w:rPr>
        <w:t>manifiesta</w:t>
      </w:r>
      <w:r w:rsidRPr="00DC1A5F">
        <w:t xml:space="preserve"> como ausencia de tinieblas, o se </w:t>
      </w:r>
      <w:r w:rsidRPr="00DC1A5F">
        <w:rPr>
          <w:i/>
          <w:iCs/>
        </w:rPr>
        <w:t>manifiesta</w:t>
      </w:r>
      <w:r w:rsidRPr="00DC1A5F">
        <w:t xml:space="preserve"> como resolución. Su </w:t>
      </w:r>
      <w:r w:rsidRPr="00DC1A5F">
        <w:rPr>
          <w:i/>
          <w:iCs/>
        </w:rPr>
        <w:t>causa próxima</w:t>
      </w:r>
      <w:r w:rsidRPr="00DC1A5F">
        <w:t xml:space="preserve"> es algo en qué tener fe, o su </w:t>
      </w:r>
      <w:r w:rsidRPr="00DC1A5F">
        <w:rPr>
          <w:i/>
          <w:iCs/>
        </w:rPr>
        <w:t>causa próxima</w:t>
      </w:r>
      <w:r w:rsidRPr="00DC1A5F">
        <w:t xml:space="preserve"> son las cosas que comienzan con escuchar el Buen </w:t>
      </w:r>
      <w:r w:rsidRPr="00DC1A5F">
        <w:rPr>
          <w:i/>
        </w:rPr>
        <w:t>Dhamma</w:t>
      </w:r>
      <w:r w:rsidRPr="00DC1A5F">
        <w:t xml:space="preserve"> (</w:t>
      </w:r>
      <w:proofErr w:type="spellStart"/>
      <w:r w:rsidRPr="00DC1A5F">
        <w:rPr>
          <w:i/>
        </w:rPr>
        <w:t>saddhamma</w:t>
      </w:r>
      <w:proofErr w:type="spellEnd"/>
      <w:r w:rsidRPr="00DC1A5F">
        <w:t>) que constituyan los factores de la entrada a la corriente.</w:t>
      </w:r>
      <w:r w:rsidRPr="00DC1A5F">
        <w:rPr>
          <w:vertAlign w:val="superscript"/>
        </w:rPr>
        <w:t>63</w:t>
      </w:r>
      <w:r w:rsidRPr="00DC1A5F">
        <w:t xml:space="preserve"> Debe ser considerado como una utilidad, ya que se apodera de las cosas productivas, como la riqueza (Sn 182), o como una semilla (Sn 77).</w:t>
      </w:r>
    </w:p>
    <w:p w14:paraId="3CD82D25" w14:textId="77777777" w:rsidR="00597DE2" w:rsidRPr="00DC1A5F" w:rsidRDefault="00597DE2" w:rsidP="00597DE2">
      <w:r w:rsidRPr="00DC1A5F">
        <w:t xml:space="preserve">141. </w:t>
      </w:r>
      <w:r w:rsidRPr="00DC1A5F">
        <w:tab/>
        <w:t>(x) Por su medio ellos recuerdan (</w:t>
      </w:r>
      <w:proofErr w:type="spellStart"/>
      <w:r w:rsidRPr="00DC1A5F">
        <w:rPr>
          <w:i/>
          <w:iCs/>
        </w:rPr>
        <w:t>saranti</w:t>
      </w:r>
      <w:proofErr w:type="spellEnd"/>
      <w:r w:rsidRPr="00DC1A5F">
        <w:t>), o ello mismo recuerda, o es simplemente mero recuerdo (</w:t>
      </w:r>
      <w:proofErr w:type="spellStart"/>
      <w:r w:rsidRPr="00DC1A5F">
        <w:rPr>
          <w:i/>
          <w:iCs/>
        </w:rPr>
        <w:t>saraṇa</w:t>
      </w:r>
      <w:proofErr w:type="spellEnd"/>
      <w:r w:rsidRPr="00DC1A5F">
        <w:t>), por lo tanto es así cómo es atención plena (</w:t>
      </w:r>
      <w:proofErr w:type="spellStart"/>
      <w:r w:rsidRPr="00DC1A5F">
        <w:rPr>
          <w:i/>
          <w:iCs/>
        </w:rPr>
        <w:t>sati</w:t>
      </w:r>
      <w:proofErr w:type="spellEnd"/>
      <w:r w:rsidRPr="00DC1A5F">
        <w:t xml:space="preserve">). Tiene la </w:t>
      </w:r>
      <w:r w:rsidRPr="00DC1A5F">
        <w:rPr>
          <w:i/>
          <w:iCs/>
        </w:rPr>
        <w:t>característica</w:t>
      </w:r>
      <w:r w:rsidRPr="00DC1A5F">
        <w:t xml:space="preserve"> de no oscilar.</w:t>
      </w:r>
      <w:r w:rsidRPr="00DC1A5F">
        <w:rPr>
          <w:vertAlign w:val="superscript"/>
        </w:rPr>
        <w:t>64</w:t>
      </w:r>
      <w:r w:rsidRPr="00DC1A5F">
        <w:t xml:space="preserve"> Su </w:t>
      </w:r>
      <w:r w:rsidRPr="00DC1A5F">
        <w:rPr>
          <w:i/>
          <w:iCs/>
        </w:rPr>
        <w:t>función</w:t>
      </w:r>
      <w:r w:rsidRPr="00DC1A5F">
        <w:t xml:space="preserve"> es no olvidar. Se </w:t>
      </w:r>
      <w:r w:rsidRPr="00DC1A5F">
        <w:rPr>
          <w:i/>
          <w:iCs/>
        </w:rPr>
        <w:t>manifiesta</w:t>
      </w:r>
      <w:r w:rsidRPr="00DC1A5F">
        <w:t xml:space="preserve"> como vigilancia, o se </w:t>
      </w:r>
      <w:r w:rsidRPr="00DC1A5F">
        <w:rPr>
          <w:i/>
          <w:iCs/>
        </w:rPr>
        <w:t>manifiesta</w:t>
      </w:r>
      <w:r w:rsidRPr="00DC1A5F">
        <w:t xml:space="preserve"> como el estado de confrontación contra un campo objetivo. Su </w:t>
      </w:r>
      <w:r w:rsidRPr="00DC1A5F">
        <w:rPr>
          <w:i/>
          <w:iCs/>
        </w:rPr>
        <w:t>causa próxima</w:t>
      </w:r>
      <w:r w:rsidRPr="00DC1A5F">
        <w:t xml:space="preserve"> es una fuerte percepción, o su</w:t>
      </w:r>
    </w:p>
    <w:p w14:paraId="4C48AAF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AD30332"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 xml:space="preserve">Los 4 factores de la </w:t>
      </w:r>
      <w:r w:rsidRPr="00DC1A5F">
        <w:t>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w:t>
      </w:r>
      <w:r w:rsidRPr="00DC1A5F">
        <w:rPr>
          <w:color w:val="auto"/>
          <w:u w:color="000000"/>
        </w:rPr>
        <w:t xml:space="preserve">(ver S V 347) son: aguardar por las buenas personas, escuchar el Buen </w:t>
      </w:r>
      <w:r w:rsidRPr="00DC1A5F">
        <w:rPr>
          <w:i/>
          <w:color w:val="auto"/>
          <w:u w:color="000000"/>
        </w:rPr>
        <w:t>Dhamma</w:t>
      </w:r>
      <w:r w:rsidRPr="00DC1A5F">
        <w:rPr>
          <w:color w:val="auto"/>
          <w:u w:color="000000"/>
        </w:rPr>
        <w:t xml:space="preserve">, atención sabia y practicar de acuerdo con el </w:t>
      </w:r>
      <w:r w:rsidRPr="00DC1A5F">
        <w:rPr>
          <w:i/>
          <w:color w:val="auto"/>
          <w:u w:color="000000"/>
        </w:rPr>
        <w:t>Dhamma</w:t>
      </w:r>
      <w:r w:rsidRPr="00DC1A5F">
        <w:rPr>
          <w:color w:val="auto"/>
          <w:u w:color="000000"/>
        </w:rPr>
        <w:t xml:space="preserve">. De nuevo son: confianza absoluta en el </w:t>
      </w:r>
      <w:r w:rsidRPr="00DC1A5F">
        <w:rPr>
          <w:i/>
          <w:color w:val="auto"/>
          <w:u w:color="000000"/>
        </w:rPr>
        <w:t>Buddha</w:t>
      </w:r>
      <w:r w:rsidRPr="00DC1A5F">
        <w:rPr>
          <w:color w:val="auto"/>
          <w:u w:color="000000"/>
        </w:rPr>
        <w:t xml:space="preserve">, el </w:t>
      </w:r>
      <w:r w:rsidRPr="00DC1A5F">
        <w:rPr>
          <w:i/>
          <w:color w:val="auto"/>
          <w:u w:color="000000"/>
        </w:rPr>
        <w:t>Dhamma</w:t>
      </w:r>
      <w:r w:rsidRPr="00DC1A5F">
        <w:rPr>
          <w:color w:val="auto"/>
          <w:u w:color="000000"/>
        </w:rPr>
        <w:t xml:space="preserve"> y el </w:t>
      </w:r>
      <w:r w:rsidRPr="00DC1A5F">
        <w:rPr>
          <w:i/>
          <w:iCs/>
          <w:color w:val="auto"/>
          <w:u w:color="000000"/>
        </w:rPr>
        <w:t>Saṅgha</w:t>
      </w:r>
      <w:r w:rsidRPr="00DC1A5F">
        <w:rPr>
          <w:color w:val="auto"/>
          <w:u w:color="000000"/>
        </w:rPr>
        <w:t>, y la posesión de virtudes nobles (S V 343).</w:t>
      </w:r>
    </w:p>
    <w:p w14:paraId="2C2E639E" w14:textId="77777777" w:rsidR="00597DE2" w:rsidRPr="00DC1A5F" w:rsidRDefault="00597DE2" w:rsidP="00597DE2">
      <w:pPr>
        <w:pStyle w:val="PiedepginaLegal"/>
        <w:numPr>
          <w:ilvl w:val="0"/>
          <w:numId w:val="3"/>
        </w:numPr>
        <w:tabs>
          <w:tab w:val="clear" w:pos="425"/>
        </w:tabs>
        <w:ind w:left="284"/>
      </w:pPr>
      <w:r w:rsidRPr="00DC1A5F">
        <w:t>“</w:t>
      </w:r>
      <w:proofErr w:type="spellStart"/>
      <w:r w:rsidRPr="00DC1A5F">
        <w:rPr>
          <w:i/>
          <w:iCs/>
        </w:rPr>
        <w:t>Apilāpana</w:t>
      </w:r>
      <w:proofErr w:type="spellEnd"/>
      <w:r w:rsidRPr="00DC1A5F">
        <w:t xml:space="preserve"> (‘sin oscilación) significa la estabilización de un objeto, recordarlo y no olvidarlo, manteniéndolo tan sujeto como una piedra en el suelo en lugar de dejar que se balancee como una calabaza en el agua” (</w:t>
      </w:r>
      <w:proofErr w:type="spellStart"/>
      <w:r w:rsidRPr="00DC1A5F">
        <w:t>Vism</w:t>
      </w:r>
      <w:proofErr w:type="spellEnd"/>
      <w:r w:rsidRPr="00DC1A5F">
        <w:t>–</w:t>
      </w:r>
      <w:proofErr w:type="spellStart"/>
      <w:r w:rsidRPr="00DC1A5F">
        <w:t>mhṭ</w:t>
      </w:r>
      <w:proofErr w:type="spellEnd"/>
      <w:r w:rsidRPr="00DC1A5F">
        <w:t xml:space="preserve"> 487).</w:t>
      </w:r>
    </w:p>
    <w:p w14:paraId="0AB05EB2" w14:textId="77777777" w:rsidR="00597DE2" w:rsidRPr="00DC1A5F" w:rsidRDefault="00597DE2" w:rsidP="00597DE2">
      <w:pPr>
        <w:tabs>
          <w:tab w:val="clear" w:pos="425"/>
        </w:tabs>
        <w:spacing w:after="160"/>
      </w:pPr>
      <w:r w:rsidRPr="00DC1A5F">
        <w:br w:type="page"/>
      </w:r>
    </w:p>
    <w:p w14:paraId="2B2D9248" w14:textId="77777777" w:rsidR="00597DE2" w:rsidRPr="00DC1A5F" w:rsidRDefault="00597DE2" w:rsidP="00597DE2"/>
    <w:p w14:paraId="0E518FCD" w14:textId="77777777" w:rsidR="00597DE2" w:rsidRPr="00DC1A5F" w:rsidRDefault="00597DE2" w:rsidP="00597DE2">
      <w:pPr>
        <w:pStyle w:val="Textoindependiente"/>
      </w:pPr>
      <w:r w:rsidRPr="00DC1A5F">
        <w:rPr>
          <w:i/>
          <w:iCs/>
        </w:rPr>
        <w:t>causa próxima</w:t>
      </w:r>
      <w:r w:rsidRPr="00DC1A5F">
        <w:t xml:space="preserve"> son los fundamentos de la atención plena relacionada con el cuerpo, etc. (ver MN 10). Debe ser considerado, sin embargo, como un pilar porque está firmemente cimentado, o como el guardián de una puerta porque protegerá la puerta del ojo, etc.</w:t>
      </w:r>
    </w:p>
    <w:p w14:paraId="6A06756D" w14:textId="77777777" w:rsidR="00597DE2" w:rsidRPr="00DC1A5F" w:rsidRDefault="00597DE2" w:rsidP="00597DE2">
      <w:r w:rsidRPr="00DC1A5F">
        <w:t xml:space="preserve">142. </w:t>
      </w:r>
      <w:r w:rsidRPr="00DC1A5F">
        <w:tab/>
        <w:t>(xi)–(</w:t>
      </w:r>
      <w:proofErr w:type="spellStart"/>
      <w:r w:rsidRPr="00DC1A5F">
        <w:t>xii</w:t>
      </w:r>
      <w:proofErr w:type="spellEnd"/>
      <w:r w:rsidRPr="00DC1A5F">
        <w:t>) Posee escrúpulos de vergüenza moral (</w:t>
      </w:r>
      <w:proofErr w:type="spellStart"/>
      <w:r w:rsidRPr="00DC1A5F">
        <w:rPr>
          <w:i/>
          <w:iCs/>
        </w:rPr>
        <w:t>hiriyati</w:t>
      </w:r>
      <w:proofErr w:type="spellEnd"/>
      <w:r w:rsidRPr="00DC1A5F">
        <w:t>) sobre la mala conducta corporal, etc., por lo que alude a la vergüenza (</w:t>
      </w:r>
      <w:proofErr w:type="spellStart"/>
      <w:r w:rsidRPr="00DC1A5F">
        <w:rPr>
          <w:i/>
          <w:iCs/>
        </w:rPr>
        <w:t>hirī</w:t>
      </w:r>
      <w:proofErr w:type="spellEnd"/>
      <w:r w:rsidRPr="00DC1A5F">
        <w:t>). Este será un término correspondiente a la modestia. Se atemoriza (</w:t>
      </w:r>
      <w:proofErr w:type="spellStart"/>
      <w:r w:rsidRPr="00DC1A5F">
        <w:rPr>
          <w:i/>
          <w:iCs/>
        </w:rPr>
        <w:t>ottappati</w:t>
      </w:r>
      <w:proofErr w:type="spellEnd"/>
      <w:r w:rsidRPr="00DC1A5F">
        <w:t>) de esas mismas cosas, por lo que alude al temor (</w:t>
      </w:r>
      <w:proofErr w:type="spellStart"/>
      <w:r w:rsidRPr="00DC1A5F">
        <w:rPr>
          <w:i/>
          <w:iCs/>
        </w:rPr>
        <w:t>ottappa</w:t>
      </w:r>
      <w:proofErr w:type="spellEnd"/>
      <w:r w:rsidRPr="00DC1A5F">
        <w:t xml:space="preserve">). Éste será un término correspondiente para la ansiedad debido al mal. Al respecto, la vergüenza moral posee la </w:t>
      </w:r>
      <w:r w:rsidRPr="00DC1A5F">
        <w:rPr>
          <w:i/>
          <w:iCs/>
        </w:rPr>
        <w:t>característica</w:t>
      </w:r>
      <w:r w:rsidRPr="00DC1A5F">
        <w:t xml:space="preserve"> de la repugnancia hacia el mal, mientras que el temor posee la </w:t>
      </w:r>
      <w:r w:rsidRPr="00DC1A5F">
        <w:rPr>
          <w:i/>
          <w:iCs/>
        </w:rPr>
        <w:t>característica</w:t>
      </w:r>
      <w:r w:rsidRPr="00DC1A5F">
        <w:t xml:space="preserve"> del miedo hacia ello. La vergüenza moral tiene la </w:t>
      </w:r>
      <w:r w:rsidRPr="00DC1A5F">
        <w:rPr>
          <w:i/>
          <w:iCs/>
        </w:rPr>
        <w:t>función</w:t>
      </w:r>
      <w:r w:rsidRPr="00DC1A5F">
        <w:t xml:space="preserve"> de no obrar con el mal y en modalidad de pudor, mientras que el temor moral posee la </w:t>
      </w:r>
      <w:r w:rsidRPr="00DC1A5F">
        <w:rPr>
          <w:i/>
          <w:iCs/>
        </w:rPr>
        <w:t>función</w:t>
      </w:r>
      <w:r w:rsidRPr="00DC1A5F">
        <w:t xml:space="preserve"> de no hacerlo en modalidad del pavor. Estos dos se </w:t>
      </w:r>
      <w:r w:rsidRPr="00DC1A5F">
        <w:rPr>
          <w:i/>
          <w:iCs/>
        </w:rPr>
        <w:t>manifiestan</w:t>
      </w:r>
      <w:r w:rsidRPr="00DC1A5F">
        <w:t xml:space="preserve"> como una retracción del mal en la forma ya indicada. Sus </w:t>
      </w:r>
      <w:r w:rsidRPr="00DC1A5F">
        <w:rPr>
          <w:i/>
          <w:iCs/>
        </w:rPr>
        <w:t>causas próximas</w:t>
      </w:r>
      <w:r w:rsidRPr="00DC1A5F">
        <w:t xml:space="preserve"> son el respeto hacia uno mismo y el respeto hacia los demás, respectivamente. [465] El hombre rechazará el mal por medio de la </w:t>
      </w:r>
      <w:r w:rsidRPr="00DC1A5F">
        <w:rPr>
          <w:i/>
          <w:iCs/>
        </w:rPr>
        <w:t>vergüenza</w:t>
      </w:r>
      <w:r w:rsidRPr="00DC1A5F">
        <w:t xml:space="preserve">, por respeto hacia sí mismo, como lo haría la hija de una buena familia; él rechazará el mal por </w:t>
      </w:r>
      <w:r w:rsidRPr="00DC1A5F">
        <w:rPr>
          <w:i/>
          <w:iCs/>
        </w:rPr>
        <w:t xml:space="preserve">temor, </w:t>
      </w:r>
      <w:r w:rsidRPr="00DC1A5F">
        <w:t>lleno de respeto hacia el otro, como lo haría una cortesana. De cualquier forma, estos dos estados deben ser considerados como los guardianes del mundo (ver A I 51).</w:t>
      </w:r>
    </w:p>
    <w:p w14:paraId="14D3BB28" w14:textId="77777777" w:rsidR="00597DE2" w:rsidRPr="00DC1A5F" w:rsidRDefault="00597DE2" w:rsidP="00597DE2">
      <w:r w:rsidRPr="00DC1A5F">
        <w:t xml:space="preserve">143. </w:t>
      </w:r>
      <w:r w:rsidRPr="00DC1A5F">
        <w:tab/>
        <w:t>(</w:t>
      </w:r>
      <w:proofErr w:type="spellStart"/>
      <w:r w:rsidRPr="00DC1A5F">
        <w:t>xiii</w:t>
      </w:r>
      <w:proofErr w:type="spellEnd"/>
      <w:r w:rsidRPr="00DC1A5F">
        <w:t>)–(</w:t>
      </w:r>
      <w:proofErr w:type="spellStart"/>
      <w:r w:rsidRPr="00DC1A5F">
        <w:t>xv</w:t>
      </w:r>
      <w:proofErr w:type="spellEnd"/>
      <w:r w:rsidRPr="00DC1A5F">
        <w:t>) Por su medio, ellos no serán codiciosos (</w:t>
      </w:r>
      <w:proofErr w:type="spellStart"/>
      <w:r w:rsidRPr="00DC1A5F">
        <w:rPr>
          <w:i/>
          <w:iCs/>
        </w:rPr>
        <w:t>na</w:t>
      </w:r>
      <w:proofErr w:type="spellEnd"/>
      <w:r w:rsidRPr="00DC1A5F">
        <w:rPr>
          <w:i/>
          <w:iCs/>
        </w:rPr>
        <w:t xml:space="preserve"> </w:t>
      </w:r>
      <w:proofErr w:type="spellStart"/>
      <w:r w:rsidRPr="00DC1A5F">
        <w:rPr>
          <w:i/>
          <w:iCs/>
        </w:rPr>
        <w:t>lubbhanti</w:t>
      </w:r>
      <w:proofErr w:type="spellEnd"/>
      <w:r w:rsidRPr="00DC1A5F">
        <w:t>), o es, en sí mismo, no–codicia, o simplemente corresponde a ser no–codicia (</w:t>
      </w:r>
      <w:proofErr w:type="spellStart"/>
      <w:r w:rsidRPr="00DC1A5F">
        <w:rPr>
          <w:i/>
          <w:iCs/>
        </w:rPr>
        <w:t>alubbhana</w:t>
      </w:r>
      <w:proofErr w:type="spellEnd"/>
      <w:r w:rsidRPr="00DC1A5F">
        <w:t>), por lo tanto, es así como será no–codicia (</w:t>
      </w:r>
      <w:proofErr w:type="spellStart"/>
      <w:r w:rsidRPr="00DC1A5F">
        <w:rPr>
          <w:i/>
          <w:iCs/>
        </w:rPr>
        <w:t>alobha</w:t>
      </w:r>
      <w:proofErr w:type="spellEnd"/>
      <w:proofErr w:type="gramStart"/>
      <w:r w:rsidRPr="00DC1A5F">
        <w:t>) .</w:t>
      </w:r>
      <w:proofErr w:type="gramEnd"/>
      <w:r w:rsidRPr="00DC1A5F">
        <w:t xml:space="preserve"> El mismo método se aplica al no–odio (</w:t>
      </w:r>
      <w:r w:rsidRPr="00DC1A5F">
        <w:rPr>
          <w:i/>
          <w:iCs/>
        </w:rPr>
        <w:t>adosa</w:t>
      </w:r>
      <w:r w:rsidRPr="00DC1A5F">
        <w:t>) y a la no–ilusión (</w:t>
      </w:r>
      <w:proofErr w:type="spellStart"/>
      <w:r w:rsidRPr="00DC1A5F">
        <w:rPr>
          <w:i/>
          <w:iCs/>
        </w:rPr>
        <w:t>amoha</w:t>
      </w:r>
      <w:proofErr w:type="spellEnd"/>
      <w:r w:rsidRPr="00DC1A5F">
        <w:t>) [</w:t>
      </w:r>
      <w:proofErr w:type="spellStart"/>
      <w:r w:rsidRPr="00DC1A5F">
        <w:rPr>
          <w:i/>
          <w:iCs/>
        </w:rPr>
        <w:t>na</w:t>
      </w:r>
      <w:proofErr w:type="spellEnd"/>
      <w:r w:rsidRPr="00DC1A5F">
        <w:rPr>
          <w:i/>
          <w:iCs/>
        </w:rPr>
        <w:t xml:space="preserve"> </w:t>
      </w:r>
      <w:proofErr w:type="spellStart"/>
      <w:r w:rsidRPr="00DC1A5F">
        <w:rPr>
          <w:i/>
          <w:iCs/>
        </w:rPr>
        <w:t>dussanti</w:t>
      </w:r>
      <w:proofErr w:type="spellEnd"/>
      <w:r w:rsidRPr="00DC1A5F">
        <w:rPr>
          <w:i/>
          <w:iCs/>
        </w:rPr>
        <w:t xml:space="preserve">, </w:t>
      </w:r>
      <w:proofErr w:type="spellStart"/>
      <w:r w:rsidRPr="00DC1A5F">
        <w:rPr>
          <w:i/>
          <w:iCs/>
        </w:rPr>
        <w:t>adussana</w:t>
      </w:r>
      <w:proofErr w:type="spellEnd"/>
      <w:r w:rsidRPr="00DC1A5F">
        <w:t xml:space="preserve"> = </w:t>
      </w:r>
      <w:r w:rsidRPr="00DC1A5F">
        <w:rPr>
          <w:i/>
          <w:iCs/>
        </w:rPr>
        <w:t>adosa</w:t>
      </w:r>
      <w:r w:rsidRPr="00DC1A5F">
        <w:t xml:space="preserve"> y </w:t>
      </w:r>
      <w:proofErr w:type="spellStart"/>
      <w:r w:rsidRPr="00DC1A5F">
        <w:rPr>
          <w:i/>
          <w:iCs/>
        </w:rPr>
        <w:t>na</w:t>
      </w:r>
      <w:proofErr w:type="spellEnd"/>
      <w:r w:rsidRPr="00DC1A5F">
        <w:t xml:space="preserve"> </w:t>
      </w:r>
      <w:proofErr w:type="spellStart"/>
      <w:r w:rsidRPr="00DC1A5F">
        <w:rPr>
          <w:i/>
          <w:iCs/>
        </w:rPr>
        <w:t>muyhanti</w:t>
      </w:r>
      <w:proofErr w:type="spellEnd"/>
      <w:r w:rsidRPr="00DC1A5F">
        <w:t xml:space="preserve">, </w:t>
      </w:r>
      <w:proofErr w:type="spellStart"/>
      <w:r w:rsidRPr="00DC1A5F">
        <w:rPr>
          <w:i/>
          <w:iCs/>
        </w:rPr>
        <w:t>amuyhana</w:t>
      </w:r>
      <w:proofErr w:type="spellEnd"/>
      <w:r w:rsidRPr="00DC1A5F">
        <w:t xml:space="preserve"> = </w:t>
      </w:r>
      <w:proofErr w:type="spellStart"/>
      <w:r w:rsidRPr="00DC1A5F">
        <w:rPr>
          <w:i/>
          <w:iCs/>
        </w:rPr>
        <w:t>amoha</w:t>
      </w:r>
      <w:proofErr w:type="spellEnd"/>
      <w:r w:rsidRPr="00DC1A5F">
        <w:t xml:space="preserve"> (ver §§171,161)]. De estos, la no–codicia tiene la </w:t>
      </w:r>
      <w:r w:rsidRPr="00DC1A5F">
        <w:rPr>
          <w:i/>
          <w:iCs/>
        </w:rPr>
        <w:t>característica</w:t>
      </w:r>
      <w:r w:rsidRPr="00DC1A5F">
        <w:t xml:space="preserve"> de una falta de deseo mental hacia un objeto, o tiene la característica de una falta de adherencia, como una gota de agua sobre una hoja de loto. Su </w:t>
      </w:r>
      <w:r w:rsidRPr="00DC1A5F">
        <w:rPr>
          <w:i/>
          <w:iCs/>
        </w:rPr>
        <w:t>función</w:t>
      </w:r>
      <w:r w:rsidRPr="00DC1A5F">
        <w:t xml:space="preserve"> es no aferrarse, como un </w:t>
      </w:r>
      <w:proofErr w:type="spellStart"/>
      <w:r w:rsidRPr="00DC1A5F">
        <w:rPr>
          <w:i/>
        </w:rPr>
        <w:t>bhikkhu</w:t>
      </w:r>
      <w:proofErr w:type="spellEnd"/>
      <w:r w:rsidRPr="00DC1A5F">
        <w:t xml:space="preserve"> liberado. Se </w:t>
      </w:r>
      <w:r w:rsidRPr="00DC1A5F">
        <w:rPr>
          <w:i/>
          <w:iCs/>
        </w:rPr>
        <w:t>manifiesta</w:t>
      </w:r>
      <w:r w:rsidRPr="00DC1A5F">
        <w:t xml:space="preserve"> como un estado de tratar como un refugio, como el de un hombre que haya caído en la inmundicia. El </w:t>
      </w:r>
      <w:r w:rsidRPr="00DC1A5F">
        <w:rPr>
          <w:i/>
          <w:iCs/>
        </w:rPr>
        <w:t>no–odio</w:t>
      </w:r>
      <w:r w:rsidRPr="00DC1A5F">
        <w:t xml:space="preserve"> tiene la </w:t>
      </w:r>
      <w:r w:rsidRPr="00DC1A5F">
        <w:rPr>
          <w:i/>
          <w:iCs/>
        </w:rPr>
        <w:t>característica</w:t>
      </w:r>
      <w:r w:rsidRPr="00DC1A5F">
        <w:t xml:space="preserve"> de ausencia de salvajismo, o la </w:t>
      </w:r>
      <w:r w:rsidRPr="00DC1A5F">
        <w:rPr>
          <w:i/>
          <w:iCs/>
        </w:rPr>
        <w:t>característica</w:t>
      </w:r>
      <w:r w:rsidRPr="00DC1A5F">
        <w:t xml:space="preserve"> de no oponerse, como un amable amigo. Su </w:t>
      </w:r>
      <w:r w:rsidRPr="00DC1A5F">
        <w:rPr>
          <w:i/>
          <w:iCs/>
        </w:rPr>
        <w:t>función</w:t>
      </w:r>
      <w:r w:rsidRPr="00DC1A5F">
        <w:t xml:space="preserve"> es despojar la molestia, o su </w:t>
      </w:r>
      <w:r w:rsidRPr="00DC1A5F">
        <w:rPr>
          <w:i/>
          <w:iCs/>
        </w:rPr>
        <w:t>función</w:t>
      </w:r>
      <w:r w:rsidRPr="00DC1A5F">
        <w:t xml:space="preserve"> es curar la fiebre, como lo haría el sándalo. Se </w:t>
      </w:r>
      <w:r w:rsidRPr="00DC1A5F">
        <w:rPr>
          <w:i/>
          <w:iCs/>
        </w:rPr>
        <w:t>manifiesta</w:t>
      </w:r>
      <w:r w:rsidRPr="00DC1A5F">
        <w:t xml:space="preserve"> como amabilidad, como la </w:t>
      </w:r>
      <w:r w:rsidRPr="00DC1A5F">
        <w:rPr>
          <w:i/>
          <w:iCs/>
        </w:rPr>
        <w:t>Luna</w:t>
      </w:r>
      <w:r w:rsidRPr="00DC1A5F">
        <w:t xml:space="preserve"> llena. La </w:t>
      </w:r>
      <w:r w:rsidRPr="00DC1A5F">
        <w:rPr>
          <w:i/>
          <w:iCs/>
        </w:rPr>
        <w:t>no–ilusión</w:t>
      </w:r>
      <w:r w:rsidRPr="00DC1A5F">
        <w:t xml:space="preserve"> tiene la </w:t>
      </w:r>
      <w:r w:rsidRPr="00DC1A5F">
        <w:rPr>
          <w:i/>
          <w:iCs/>
        </w:rPr>
        <w:t>característica</w:t>
      </w:r>
      <w:r w:rsidRPr="00DC1A5F">
        <w:t xml:space="preserve"> de penetrar en las cosas según sus esencias individuales, o tiene la </w:t>
      </w:r>
      <w:r w:rsidRPr="00DC1A5F">
        <w:rPr>
          <w:i/>
          <w:iCs/>
        </w:rPr>
        <w:t>característica</w:t>
      </w:r>
      <w:r w:rsidRPr="00DC1A5F">
        <w:t xml:space="preserve"> de una penetración segura, como la penetración de una flecha disparada por un hábil arquero. Su </w:t>
      </w:r>
      <w:r w:rsidRPr="00DC1A5F">
        <w:rPr>
          <w:i/>
          <w:iCs/>
        </w:rPr>
        <w:t>función</w:t>
      </w:r>
      <w:r w:rsidRPr="00DC1A5F">
        <w:t xml:space="preserve"> es iluminar el campo objetivo, como una lámpara. Se </w:t>
      </w:r>
      <w:r w:rsidRPr="00DC1A5F">
        <w:rPr>
          <w:i/>
          <w:iCs/>
        </w:rPr>
        <w:t>manifiesta</w:t>
      </w:r>
      <w:r w:rsidRPr="00DC1A5F">
        <w:t xml:space="preserve"> como no–desconcierto, como un guía en un bosque. Los tres deben ser considerados como raíces de todo lo que sea productivo.</w:t>
      </w:r>
    </w:p>
    <w:p w14:paraId="19BF97DE" w14:textId="77777777" w:rsidR="00597DE2" w:rsidRPr="00DC1A5F" w:rsidRDefault="00597DE2" w:rsidP="00597DE2">
      <w:r w:rsidRPr="00DC1A5F">
        <w:t xml:space="preserve">144. </w:t>
      </w:r>
      <w:r w:rsidRPr="00DC1A5F">
        <w:tab/>
        <w:t>(</w:t>
      </w:r>
      <w:proofErr w:type="spellStart"/>
      <w:r w:rsidRPr="00DC1A5F">
        <w:t>xvi</w:t>
      </w:r>
      <w:proofErr w:type="spellEnd"/>
      <w:r w:rsidRPr="00DC1A5F">
        <w:t>)–(</w:t>
      </w:r>
      <w:proofErr w:type="spellStart"/>
      <w:r w:rsidRPr="00DC1A5F">
        <w:t>xvii</w:t>
      </w:r>
      <w:proofErr w:type="spellEnd"/>
      <w:r w:rsidRPr="00DC1A5F">
        <w:t xml:space="preserve">) El apaciguamiento corporal corresponderá a la </w:t>
      </w:r>
      <w:r w:rsidRPr="00DC1A5F">
        <w:rPr>
          <w:i/>
          <w:iCs/>
        </w:rPr>
        <w:t>tranquilidad corporal</w:t>
      </w:r>
      <w:r w:rsidRPr="00DC1A5F">
        <w:t xml:space="preserve">. Tranquilizar la consciencia corresponderá a la </w:t>
      </w:r>
      <w:r w:rsidRPr="00DC1A5F">
        <w:rPr>
          <w:i/>
          <w:iCs/>
        </w:rPr>
        <w:t>tranquilidad de la consciencia</w:t>
      </w:r>
      <w:r w:rsidRPr="00DC1A5F">
        <w:t xml:space="preserve">. Y aquí, cuerpo significará los tres agregados mentales, sensación, la percepción y las formaciones mentales (ver </w:t>
      </w:r>
      <w:proofErr w:type="spellStart"/>
      <w:r w:rsidRPr="00DC1A5F">
        <w:t>Dhs</w:t>
      </w:r>
      <w:proofErr w:type="spellEnd"/>
      <w:r w:rsidRPr="00DC1A5F">
        <w:t xml:space="preserve"> 40). No obstante, tanto la tranquilidad de ese cuerpo como la de la consciencia tendrán, juntas, la </w:t>
      </w:r>
      <w:r w:rsidRPr="00DC1A5F">
        <w:rPr>
          <w:i/>
          <w:iCs/>
        </w:rPr>
        <w:t>característica</w:t>
      </w:r>
      <w:r w:rsidRPr="00DC1A5F">
        <w:t xml:space="preserve"> de aquietar la perturbación de ese cuerpo y de esa consciencia. Su </w:t>
      </w:r>
      <w:r w:rsidRPr="00DC1A5F">
        <w:rPr>
          <w:i/>
          <w:iCs/>
        </w:rPr>
        <w:t>función</w:t>
      </w:r>
      <w:r w:rsidRPr="00DC1A5F">
        <w:t xml:space="preserve"> es disipar la perturbación del cuerpo mental y de la consciencia. Se </w:t>
      </w:r>
      <w:r w:rsidRPr="00DC1A5F">
        <w:rPr>
          <w:i/>
          <w:iCs/>
        </w:rPr>
        <w:t>manifiestan</w:t>
      </w:r>
      <w:r w:rsidRPr="00DC1A5F">
        <w:t xml:space="preserve"> como inactividad y frescura del cuerpo mental y la consciencia. Su </w:t>
      </w:r>
      <w:r w:rsidRPr="00DC1A5F">
        <w:rPr>
          <w:i/>
          <w:iCs/>
        </w:rPr>
        <w:t>causa próxima</w:t>
      </w:r>
      <w:r w:rsidRPr="00DC1A5F">
        <w:t xml:space="preserve"> es el cuerpo mental y la consciencia. Deben ser considerados como opuestos a las impurezas de la agitación, etc., que causan ausencia de paz en el cuerpo mental y en la consciencia.</w:t>
      </w:r>
    </w:p>
    <w:p w14:paraId="6631EB2D" w14:textId="77777777" w:rsidR="00597DE2" w:rsidRPr="00DC1A5F" w:rsidRDefault="00597DE2" w:rsidP="00597DE2">
      <w:r w:rsidRPr="00DC1A5F">
        <w:t xml:space="preserve">145. </w:t>
      </w:r>
      <w:r w:rsidRPr="00DC1A5F">
        <w:tab/>
        <w:t>(</w:t>
      </w:r>
      <w:proofErr w:type="spellStart"/>
      <w:r w:rsidRPr="00DC1A5F">
        <w:t>xviii</w:t>
      </w:r>
      <w:proofErr w:type="spellEnd"/>
      <w:r w:rsidRPr="00DC1A5F">
        <w:t>)–(</w:t>
      </w:r>
      <w:proofErr w:type="spellStart"/>
      <w:r w:rsidRPr="00DC1A5F">
        <w:t>xix</w:t>
      </w:r>
      <w:proofErr w:type="spellEnd"/>
      <w:r w:rsidRPr="00DC1A5F">
        <w:t xml:space="preserve">) El estado ligero (rápido) del cuerpo mental es la ligereza del cuerpo. El estado ligero (rápido) de la consciencia es la ligereza de la consciencia. Tienen la </w:t>
      </w:r>
      <w:r w:rsidRPr="00DC1A5F">
        <w:rPr>
          <w:i/>
          <w:iCs/>
        </w:rPr>
        <w:t>característica</w:t>
      </w:r>
      <w:r w:rsidRPr="00DC1A5F">
        <w:t xml:space="preserve"> </w:t>
      </w:r>
    </w:p>
    <w:p w14:paraId="2417FAC9" w14:textId="77777777" w:rsidR="00597DE2" w:rsidRPr="00DC1A5F" w:rsidRDefault="00597DE2" w:rsidP="00597DE2">
      <w:pPr>
        <w:tabs>
          <w:tab w:val="clear" w:pos="425"/>
        </w:tabs>
        <w:spacing w:after="160"/>
      </w:pPr>
      <w:r w:rsidRPr="00DC1A5F">
        <w:br w:type="page"/>
      </w:r>
    </w:p>
    <w:p w14:paraId="46FCB7E7" w14:textId="77777777" w:rsidR="00597DE2" w:rsidRPr="00DC1A5F" w:rsidRDefault="00597DE2" w:rsidP="00597DE2"/>
    <w:p w14:paraId="6827EC50" w14:textId="77777777" w:rsidR="00597DE2" w:rsidRPr="00DC1A5F" w:rsidRDefault="00597DE2" w:rsidP="00597DE2">
      <w:pPr>
        <w:pStyle w:val="Textoindependiente"/>
      </w:pPr>
      <w:r w:rsidRPr="00DC1A5F">
        <w:t xml:space="preserve">de aquietar la pesadez en el cuerpo mental y en la consciencia. Su </w:t>
      </w:r>
      <w:r w:rsidRPr="00DC1A5F">
        <w:rPr>
          <w:i/>
          <w:iCs/>
        </w:rPr>
        <w:t>función</w:t>
      </w:r>
      <w:r w:rsidRPr="00DC1A5F">
        <w:t xml:space="preserve"> es disipar la pesadez en el cuerpo mental y en la consciencia. Se manifiestan como no–pereza del cuerpo mental y de la consciencia. Su </w:t>
      </w:r>
      <w:r w:rsidRPr="00DC1A5F">
        <w:rPr>
          <w:i/>
          <w:iCs/>
        </w:rPr>
        <w:t>causa próxima</w:t>
      </w:r>
      <w:r w:rsidRPr="00DC1A5F">
        <w:t xml:space="preserve"> es el cuerpo mental y la consciencia. Deben ser considerados como opuestos a las impurezas de la rigidez y el letargo, causantes de pesadez en el cuerpo mental y en la consciencia.</w:t>
      </w:r>
    </w:p>
    <w:p w14:paraId="5EA19945" w14:textId="77777777" w:rsidR="00597DE2" w:rsidRPr="00DC1A5F" w:rsidRDefault="00597DE2" w:rsidP="00597DE2">
      <w:r w:rsidRPr="00DC1A5F">
        <w:t xml:space="preserve">146. </w:t>
      </w:r>
      <w:r w:rsidRPr="00DC1A5F">
        <w:tab/>
        <w:t>(</w:t>
      </w:r>
      <w:proofErr w:type="spellStart"/>
      <w:r w:rsidRPr="00DC1A5F">
        <w:t>xx</w:t>
      </w:r>
      <w:proofErr w:type="spellEnd"/>
      <w:r w:rsidRPr="00DC1A5F">
        <w:t>)–(</w:t>
      </w:r>
      <w:proofErr w:type="spellStart"/>
      <w:r w:rsidRPr="00DC1A5F">
        <w:t>xxi</w:t>
      </w:r>
      <w:proofErr w:type="spellEnd"/>
      <w:r w:rsidRPr="00DC1A5F">
        <w:t xml:space="preserve">) El estado maleable del cuerpo mental corresponderá a la </w:t>
      </w:r>
      <w:r w:rsidRPr="00DC1A5F">
        <w:rPr>
          <w:i/>
          <w:iCs/>
        </w:rPr>
        <w:t>maleabilidad del cuerpo</w:t>
      </w:r>
      <w:r w:rsidRPr="00DC1A5F">
        <w:t xml:space="preserve">. El estado maleable de la consciencia corresponderá a la </w:t>
      </w:r>
      <w:r w:rsidRPr="00DC1A5F">
        <w:rPr>
          <w:i/>
          <w:iCs/>
        </w:rPr>
        <w:t>maleabilidad de la consciencia</w:t>
      </w:r>
      <w:r w:rsidRPr="00DC1A5F">
        <w:t xml:space="preserve">. Tienen la característica de aquietar la rigidez del cuerpo mental y de la consciencia. Su </w:t>
      </w:r>
      <w:r w:rsidRPr="00DC1A5F">
        <w:rPr>
          <w:i/>
          <w:iCs/>
        </w:rPr>
        <w:t>función</w:t>
      </w:r>
      <w:r w:rsidRPr="00DC1A5F">
        <w:t xml:space="preserve"> es disipar la rigidez del cuerpo mental y de la consciencia. Se </w:t>
      </w:r>
      <w:r w:rsidRPr="00DC1A5F">
        <w:rPr>
          <w:i/>
          <w:iCs/>
        </w:rPr>
        <w:t>manifiestan</w:t>
      </w:r>
      <w:r w:rsidRPr="00DC1A5F">
        <w:t xml:space="preserve"> como no–resistencia. Su </w:t>
      </w:r>
      <w:r w:rsidRPr="00DC1A5F">
        <w:rPr>
          <w:i/>
          <w:iCs/>
        </w:rPr>
        <w:t>causa próxima</w:t>
      </w:r>
      <w:r w:rsidRPr="00DC1A5F">
        <w:t xml:space="preserve"> es el cuerpo mental y la consciencia. Deben ser considerados como opuestos a las impurezas de las visiones incorrectas, la presunción (el orgullo), etc., las cuales causan rigidez del cuerpo mental y de la consciencia.</w:t>
      </w:r>
    </w:p>
    <w:p w14:paraId="7881CE98" w14:textId="77777777" w:rsidR="00597DE2" w:rsidRPr="00DC1A5F" w:rsidRDefault="00597DE2" w:rsidP="00597DE2">
      <w:r w:rsidRPr="00DC1A5F">
        <w:t xml:space="preserve">147. </w:t>
      </w:r>
      <w:r w:rsidRPr="00DC1A5F">
        <w:tab/>
        <w:t>(</w:t>
      </w:r>
      <w:proofErr w:type="spellStart"/>
      <w:r w:rsidRPr="00DC1A5F">
        <w:t>xxii</w:t>
      </w:r>
      <w:proofErr w:type="spellEnd"/>
      <w:r w:rsidRPr="00DC1A5F">
        <w:t>)–(</w:t>
      </w:r>
      <w:proofErr w:type="spellStart"/>
      <w:r w:rsidRPr="00DC1A5F">
        <w:t>xxiii</w:t>
      </w:r>
      <w:proofErr w:type="spellEnd"/>
      <w:r w:rsidRPr="00DC1A5F">
        <w:t xml:space="preserve">) El estado manejable del cuerpo mental corresponderá a la </w:t>
      </w:r>
      <w:r w:rsidRPr="00DC1A5F">
        <w:rPr>
          <w:i/>
          <w:iCs/>
        </w:rPr>
        <w:t>manejabilidad del cuerpo</w:t>
      </w:r>
      <w:r w:rsidRPr="00DC1A5F">
        <w:t xml:space="preserve">. El estado manejable de la consciencia corresponderá a la </w:t>
      </w:r>
      <w:r w:rsidRPr="00DC1A5F">
        <w:rPr>
          <w:i/>
          <w:iCs/>
        </w:rPr>
        <w:t>manejabilidad de la consciencia</w:t>
      </w:r>
      <w:r w:rsidRPr="00DC1A5F">
        <w:t xml:space="preserve">. Posees la </w:t>
      </w:r>
      <w:r w:rsidRPr="00DC1A5F">
        <w:rPr>
          <w:i/>
          <w:iCs/>
        </w:rPr>
        <w:t>característica</w:t>
      </w:r>
      <w:r w:rsidRPr="00DC1A5F">
        <w:t xml:space="preserve"> de aquietar la dificultad de manejo del cuerpo mental y de la consciencia. [466] Su </w:t>
      </w:r>
      <w:r w:rsidRPr="00DC1A5F">
        <w:rPr>
          <w:i/>
          <w:iCs/>
        </w:rPr>
        <w:t>función</w:t>
      </w:r>
      <w:r w:rsidRPr="00DC1A5F">
        <w:t xml:space="preserve"> es disipar la </w:t>
      </w:r>
      <w:proofErr w:type="spellStart"/>
      <w:r w:rsidRPr="00DC1A5F">
        <w:t>inmanejabilidad</w:t>
      </w:r>
      <w:proofErr w:type="spellEnd"/>
      <w:r w:rsidRPr="00DC1A5F">
        <w:t xml:space="preserve"> del cuerpo mental y de la consciencia. Se </w:t>
      </w:r>
      <w:r w:rsidRPr="00DC1A5F">
        <w:rPr>
          <w:i/>
          <w:iCs/>
        </w:rPr>
        <w:t>manifiestan</w:t>
      </w:r>
      <w:r w:rsidRPr="00DC1A5F">
        <w:t xml:space="preserve"> como éxito en hacer de algo un objeto del cuerpo mental y la consciencia. Su </w:t>
      </w:r>
      <w:r w:rsidRPr="00DC1A5F">
        <w:rPr>
          <w:i/>
          <w:iCs/>
        </w:rPr>
        <w:t>causa próxima</w:t>
      </w:r>
      <w:r w:rsidRPr="00DC1A5F">
        <w:t xml:space="preserve"> es el cuerpo mental y la consciencia. Como conllevan confianza en cosas en las que se debe confiar y como conllevan susceptibilidad de aplicación en acciones beneficiosas, como la refinación del oro, deben considerarse como opuestos a los obstáculos restantes, etc., los cuales causan </w:t>
      </w:r>
      <w:r w:rsidRPr="00DC1A5F">
        <w:rPr>
          <w:color w:val="833C0B" w:themeColor="accent2" w:themeShade="80"/>
        </w:rPr>
        <w:t xml:space="preserve">o producen </w:t>
      </w:r>
      <w:r w:rsidRPr="00DC1A5F">
        <w:t>dificultad en el cuerpo mental y en la consciencia.</w:t>
      </w:r>
    </w:p>
    <w:p w14:paraId="26DF97F4" w14:textId="77777777" w:rsidR="00597DE2" w:rsidRPr="00DC1A5F" w:rsidRDefault="00597DE2" w:rsidP="00597DE2">
      <w:r w:rsidRPr="00DC1A5F">
        <w:t xml:space="preserve">148. </w:t>
      </w:r>
      <w:r w:rsidRPr="00DC1A5F">
        <w:tab/>
        <w:t>(</w:t>
      </w:r>
      <w:proofErr w:type="spellStart"/>
      <w:r w:rsidRPr="00DC1A5F">
        <w:t>xxiv</w:t>
      </w:r>
      <w:proofErr w:type="spellEnd"/>
      <w:r w:rsidRPr="00DC1A5F">
        <w:t>)–(</w:t>
      </w:r>
      <w:proofErr w:type="spellStart"/>
      <w:r w:rsidRPr="00DC1A5F">
        <w:t>xxv</w:t>
      </w:r>
      <w:proofErr w:type="spellEnd"/>
      <w:r w:rsidRPr="00DC1A5F">
        <w:t xml:space="preserve">) El estado competente del cuerpo mental corresponderá a la </w:t>
      </w:r>
      <w:r w:rsidRPr="00DC1A5F">
        <w:rPr>
          <w:i/>
          <w:iCs/>
        </w:rPr>
        <w:t>competencia del cuerpo</w:t>
      </w:r>
      <w:r w:rsidRPr="00DC1A5F">
        <w:t xml:space="preserve">. El estado competente de la consciencia corresponderá a la </w:t>
      </w:r>
      <w:r w:rsidRPr="00DC1A5F">
        <w:rPr>
          <w:i/>
          <w:iCs/>
        </w:rPr>
        <w:t>competencia de la consciencia</w:t>
      </w:r>
      <w:r w:rsidRPr="00DC1A5F">
        <w:t xml:space="preserve">. Tienen la </w:t>
      </w:r>
      <w:r w:rsidRPr="00DC1A5F">
        <w:rPr>
          <w:i/>
          <w:iCs/>
        </w:rPr>
        <w:t>característica</w:t>
      </w:r>
      <w:r w:rsidRPr="00DC1A5F">
        <w:t xml:space="preserve"> de la salud del cuerpo mental y de la consciencia. Su </w:t>
      </w:r>
      <w:r w:rsidRPr="00DC1A5F">
        <w:rPr>
          <w:i/>
          <w:iCs/>
        </w:rPr>
        <w:t>función</w:t>
      </w:r>
      <w:r w:rsidRPr="00DC1A5F">
        <w:t xml:space="preserve"> es aplastar la insanidad del cuerpo mental y de la consciencia. Se </w:t>
      </w:r>
      <w:r w:rsidRPr="00DC1A5F">
        <w:rPr>
          <w:i/>
          <w:iCs/>
        </w:rPr>
        <w:t>manifiestan</w:t>
      </w:r>
      <w:r w:rsidRPr="00DC1A5F">
        <w:t xml:space="preserve"> como ausencia de discapacidad. Su </w:t>
      </w:r>
      <w:r w:rsidRPr="00DC1A5F">
        <w:rPr>
          <w:i/>
          <w:iCs/>
        </w:rPr>
        <w:t>causa próxima</w:t>
      </w:r>
      <w:r w:rsidRPr="00DC1A5F">
        <w:t xml:space="preserve"> es el cuerpo mental y la consciencia. Deben ser considerados como opuestos a la falta de fe, etc., que </w:t>
      </w:r>
      <w:r w:rsidRPr="00DC1A5F">
        <w:rPr>
          <w:color w:val="833C0B" w:themeColor="accent2" w:themeShade="80"/>
        </w:rPr>
        <w:t xml:space="preserve">producen y </w:t>
      </w:r>
      <w:r w:rsidRPr="00DC1A5F">
        <w:t>causan insanidad en el cuerpo mental y en la consciencia.</w:t>
      </w:r>
    </w:p>
    <w:p w14:paraId="6AD5337F" w14:textId="77777777" w:rsidR="00597DE2" w:rsidRPr="00DC1A5F" w:rsidRDefault="00597DE2" w:rsidP="00597DE2">
      <w:pPr>
        <w:rPr>
          <w:vertAlign w:val="superscript"/>
        </w:rPr>
      </w:pPr>
      <w:r w:rsidRPr="00DC1A5F">
        <w:t xml:space="preserve">149. </w:t>
      </w:r>
      <w:r w:rsidRPr="00DC1A5F">
        <w:tab/>
        <w:t>(</w:t>
      </w:r>
      <w:proofErr w:type="spellStart"/>
      <w:r w:rsidRPr="00DC1A5F">
        <w:t>xxvi</w:t>
      </w:r>
      <w:proofErr w:type="spellEnd"/>
      <w:r w:rsidRPr="00DC1A5F">
        <w:t>)–(</w:t>
      </w:r>
      <w:proofErr w:type="spellStart"/>
      <w:r w:rsidRPr="00DC1A5F">
        <w:t>xxvii</w:t>
      </w:r>
      <w:proofErr w:type="spellEnd"/>
      <w:r w:rsidRPr="00DC1A5F">
        <w:t xml:space="preserve">) El estado recto del cuerpo mental corresponderá a la </w:t>
      </w:r>
      <w:r w:rsidRPr="00DC1A5F">
        <w:rPr>
          <w:i/>
          <w:iCs/>
        </w:rPr>
        <w:t>rectitud del cuerpo</w:t>
      </w:r>
      <w:r w:rsidRPr="00DC1A5F">
        <w:t xml:space="preserve">. El estado recto de la consciencia corresponderá a la </w:t>
      </w:r>
      <w:r w:rsidRPr="00DC1A5F">
        <w:rPr>
          <w:i/>
          <w:iCs/>
        </w:rPr>
        <w:t>rectitud de la consciencia</w:t>
      </w:r>
      <w:r w:rsidRPr="00DC1A5F">
        <w:t xml:space="preserve">. Tienen la </w:t>
      </w:r>
      <w:r w:rsidRPr="00DC1A5F">
        <w:rPr>
          <w:i/>
          <w:iCs/>
        </w:rPr>
        <w:t>característica</w:t>
      </w:r>
      <w:r w:rsidRPr="00DC1A5F">
        <w:t xml:space="preserve"> de rectitud en el cuerpo mental y la consciencia. Su </w:t>
      </w:r>
      <w:r w:rsidRPr="00DC1A5F">
        <w:rPr>
          <w:i/>
          <w:iCs/>
        </w:rPr>
        <w:t>función</w:t>
      </w:r>
      <w:r w:rsidRPr="00DC1A5F">
        <w:t xml:space="preserve"> es disipar la tortuosidad en el cuerpo mental y en la consciencia. Se manifiestan como no–torcidos. Su </w:t>
      </w:r>
      <w:r w:rsidRPr="00DC1A5F">
        <w:rPr>
          <w:i/>
          <w:iCs/>
        </w:rPr>
        <w:t>causa próxima</w:t>
      </w:r>
      <w:r w:rsidRPr="00DC1A5F">
        <w:t xml:space="preserve"> es el cuerpo mental y la consciencia. Deben ser considerados como opuestos a la ilusión, el timo, etc., que causan tortuosidades en el cuerpo mental y en la consciencia.</w:t>
      </w:r>
      <w:r w:rsidRPr="00DC1A5F">
        <w:rPr>
          <w:vertAlign w:val="superscript"/>
        </w:rPr>
        <w:t>65</w:t>
      </w:r>
    </w:p>
    <w:p w14:paraId="10257066" w14:textId="77777777" w:rsidR="00597DE2" w:rsidRPr="00DC1A5F" w:rsidRDefault="00597DE2" w:rsidP="00597DE2">
      <w:r w:rsidRPr="00DC1A5F">
        <w:t xml:space="preserve">150. </w:t>
      </w:r>
      <w:r w:rsidRPr="00DC1A5F">
        <w:tab/>
        <w:t>(</w:t>
      </w:r>
      <w:proofErr w:type="spellStart"/>
      <w:r w:rsidRPr="00DC1A5F">
        <w:t>xxviii</w:t>
      </w:r>
      <w:proofErr w:type="spellEnd"/>
      <w:r w:rsidRPr="00DC1A5F">
        <w:t xml:space="preserve">) El </w:t>
      </w:r>
      <w:r w:rsidRPr="00DC1A5F">
        <w:rPr>
          <w:i/>
          <w:iCs/>
        </w:rPr>
        <w:t>celo</w:t>
      </w:r>
      <w:r w:rsidRPr="00DC1A5F">
        <w:t xml:space="preserve"> (</w:t>
      </w:r>
      <w:r w:rsidRPr="00DC1A5F">
        <w:rPr>
          <w:i/>
          <w:iCs/>
        </w:rPr>
        <w:t>deseo</w:t>
      </w:r>
      <w:r w:rsidRPr="00DC1A5F">
        <w:t xml:space="preserve">) corresponderá a un término para el deseo de actuar. De modo que ese celo tendrá la </w:t>
      </w:r>
      <w:r w:rsidRPr="00DC1A5F">
        <w:rPr>
          <w:i/>
          <w:iCs/>
        </w:rPr>
        <w:t>característica</w:t>
      </w:r>
      <w:r w:rsidRPr="00DC1A5F">
        <w:t xml:space="preserve"> de desear actuar. Su </w:t>
      </w:r>
      <w:r w:rsidRPr="00DC1A5F">
        <w:rPr>
          <w:i/>
          <w:iCs/>
        </w:rPr>
        <w:t>función</w:t>
      </w:r>
      <w:r w:rsidRPr="00DC1A5F">
        <w:t xml:space="preserve"> será buscar un objeto. Se </w:t>
      </w:r>
      <w:r w:rsidRPr="00DC1A5F">
        <w:rPr>
          <w:i/>
          <w:iCs/>
        </w:rPr>
        <w:t>manifiesta</w:t>
      </w:r>
    </w:p>
    <w:p w14:paraId="0755A3D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B7B3E14" w14:textId="77777777" w:rsidR="00597DE2" w:rsidRPr="00DC1A5F" w:rsidRDefault="00597DE2" w:rsidP="00597DE2">
      <w:pPr>
        <w:pStyle w:val="PiedepginaLegal"/>
        <w:numPr>
          <w:ilvl w:val="0"/>
          <w:numId w:val="3"/>
        </w:numPr>
        <w:tabs>
          <w:tab w:val="clear" w:pos="425"/>
        </w:tabs>
        <w:ind w:left="284"/>
      </w:pPr>
      <w:r w:rsidRPr="00DC1A5F">
        <w:t xml:space="preserve">“Y aquí por tranquilización, etc., de la consciencia, la consciencia sólo se tranquilizará y se volverá liviana, maleable, manejable, competente y erguida. No obstante, con la tranquilización, etc., del cuerpo mental también se tranquilizará el cuerpo material, etc. Es por eso </w:t>
      </w:r>
      <w:proofErr w:type="gramStart"/>
      <w:r w:rsidRPr="00DC1A5F">
        <w:t>que</w:t>
      </w:r>
      <w:proofErr w:type="gramEnd"/>
      <w:r w:rsidRPr="00DC1A5F">
        <w:t xml:space="preserve"> el </w:t>
      </w:r>
      <w:r w:rsidRPr="00DC1A5F">
        <w:rPr>
          <w:i/>
          <w:iCs/>
        </w:rPr>
        <w:t>Bhagavā</w:t>
      </w:r>
      <w:r w:rsidRPr="00DC1A5F">
        <w:t xml:space="preserve"> expone la dualidad de los estados aquí, pero no en todos los lugares” (</w:t>
      </w:r>
      <w:proofErr w:type="spellStart"/>
      <w:r w:rsidRPr="00DC1A5F">
        <w:t>Vism</w:t>
      </w:r>
      <w:proofErr w:type="spellEnd"/>
      <w:r w:rsidRPr="00DC1A5F">
        <w:t>–</w:t>
      </w:r>
      <w:proofErr w:type="spellStart"/>
      <w:r w:rsidRPr="00DC1A5F">
        <w:t>mhṭ</w:t>
      </w:r>
      <w:proofErr w:type="spellEnd"/>
      <w:r w:rsidRPr="00DC1A5F">
        <w:t xml:space="preserve"> 489).</w:t>
      </w:r>
    </w:p>
    <w:p w14:paraId="42097057" w14:textId="77777777" w:rsidR="00597DE2" w:rsidRPr="00DC1A5F" w:rsidRDefault="00597DE2" w:rsidP="00597DE2">
      <w:pPr>
        <w:tabs>
          <w:tab w:val="clear" w:pos="425"/>
        </w:tabs>
        <w:spacing w:after="160"/>
      </w:pPr>
      <w:r w:rsidRPr="00DC1A5F">
        <w:br w:type="page"/>
      </w:r>
    </w:p>
    <w:p w14:paraId="7F2782CF" w14:textId="77777777" w:rsidR="00597DE2" w:rsidRPr="00DC1A5F" w:rsidRDefault="00597DE2" w:rsidP="00597DE2"/>
    <w:p w14:paraId="29D22ACC" w14:textId="77777777" w:rsidR="00597DE2" w:rsidRPr="00DC1A5F" w:rsidRDefault="00597DE2" w:rsidP="00597DE2">
      <w:r w:rsidRPr="00DC1A5F">
        <w:t xml:space="preserve">como la necesidad por un objeto. Ese mismo objeto es su </w:t>
      </w:r>
      <w:r w:rsidRPr="00DC1A5F">
        <w:rPr>
          <w:i/>
          <w:iCs/>
        </w:rPr>
        <w:t>causa próxima</w:t>
      </w:r>
      <w:r w:rsidRPr="00DC1A5F">
        <w:t>. Debe considerarse como la extensión de una herramienta mental en la aprehensión de un objeto.</w:t>
      </w:r>
    </w:p>
    <w:p w14:paraId="7EC0A7A7" w14:textId="77777777" w:rsidR="00597DE2" w:rsidRPr="00DC1A5F" w:rsidRDefault="00597DE2" w:rsidP="00597DE2">
      <w:r w:rsidRPr="00DC1A5F">
        <w:t xml:space="preserve">151. </w:t>
      </w:r>
      <w:r w:rsidRPr="00DC1A5F">
        <w:tab/>
        <w:t>(</w:t>
      </w:r>
      <w:proofErr w:type="spellStart"/>
      <w:r w:rsidRPr="00DC1A5F">
        <w:t>xxix</w:t>
      </w:r>
      <w:proofErr w:type="spellEnd"/>
      <w:r w:rsidRPr="00DC1A5F">
        <w:t>) El acto de determinación</w:t>
      </w:r>
      <w:r w:rsidRPr="00DC1A5F">
        <w:rPr>
          <w:vertAlign w:val="superscript"/>
        </w:rPr>
        <w:t>66</w:t>
      </w:r>
      <w:r w:rsidRPr="00DC1A5F">
        <w:t xml:space="preserve"> corresponderá a la </w:t>
      </w:r>
      <w:r w:rsidRPr="00DC1A5F">
        <w:rPr>
          <w:i/>
          <w:iCs/>
        </w:rPr>
        <w:t>resolución</w:t>
      </w:r>
      <w:r w:rsidRPr="00DC1A5F">
        <w:t xml:space="preserve">. Tendrá la </w:t>
      </w:r>
      <w:r w:rsidRPr="00DC1A5F">
        <w:rPr>
          <w:i/>
          <w:iCs/>
        </w:rPr>
        <w:t>característica</w:t>
      </w:r>
      <w:r w:rsidRPr="00DC1A5F">
        <w:t xml:space="preserve"> de una convicción. Su </w:t>
      </w:r>
      <w:r w:rsidRPr="00DC1A5F">
        <w:rPr>
          <w:i/>
          <w:iCs/>
        </w:rPr>
        <w:t>función</w:t>
      </w:r>
      <w:r w:rsidRPr="00DC1A5F">
        <w:t xml:space="preserve"> será la de no–andar a tientas. Se </w:t>
      </w:r>
      <w:r w:rsidRPr="00DC1A5F">
        <w:rPr>
          <w:i/>
          <w:iCs/>
        </w:rPr>
        <w:t>manifiesta</w:t>
      </w:r>
      <w:r w:rsidRPr="00DC1A5F">
        <w:t xml:space="preserve"> como decisión. Su </w:t>
      </w:r>
      <w:r w:rsidRPr="00DC1A5F">
        <w:rPr>
          <w:i/>
          <w:iCs/>
        </w:rPr>
        <w:t>causa próxima</w:t>
      </w:r>
      <w:r w:rsidRPr="00DC1A5F">
        <w:t xml:space="preserve"> es algo de lo que haya que estar convencido. Debe considerarse como un poste fronterizo debido a su inmovilidad con respecto al objeto.</w:t>
      </w:r>
    </w:p>
    <w:p w14:paraId="3FEC9FD0" w14:textId="77777777" w:rsidR="00597DE2" w:rsidRPr="00DC1A5F" w:rsidRDefault="00597DE2" w:rsidP="00597DE2">
      <w:r w:rsidRPr="00DC1A5F">
        <w:t xml:space="preserve">152. </w:t>
      </w:r>
      <w:r w:rsidRPr="00DC1A5F">
        <w:tab/>
        <w:t>(</w:t>
      </w:r>
      <w:proofErr w:type="spellStart"/>
      <w:r w:rsidRPr="00DC1A5F">
        <w:t>xxx</w:t>
      </w:r>
      <w:proofErr w:type="spellEnd"/>
      <w:r w:rsidRPr="00DC1A5F">
        <w:t xml:space="preserve">) La </w:t>
      </w:r>
      <w:r w:rsidRPr="00DC1A5F">
        <w:rPr>
          <w:i/>
          <w:iCs/>
        </w:rPr>
        <w:t>atención</w:t>
      </w:r>
      <w:r w:rsidRPr="00DC1A5F">
        <w:t xml:space="preserve"> referida aquí corresponderá al autor de lo que se vaya a hacer, al autor de la mente (</w:t>
      </w:r>
      <w:proofErr w:type="spellStart"/>
      <w:r w:rsidRPr="00DC1A5F">
        <w:rPr>
          <w:i/>
          <w:iCs/>
        </w:rPr>
        <w:t>manamhi</w:t>
      </w:r>
      <w:proofErr w:type="spellEnd"/>
      <w:r w:rsidRPr="00DC1A5F">
        <w:rPr>
          <w:i/>
          <w:iCs/>
        </w:rPr>
        <w:t xml:space="preserve"> </w:t>
      </w:r>
      <w:proofErr w:type="spellStart"/>
      <w:r w:rsidRPr="00DC1A5F">
        <w:rPr>
          <w:i/>
          <w:iCs/>
        </w:rPr>
        <w:t>kāro</w:t>
      </w:r>
      <w:proofErr w:type="spellEnd"/>
      <w:r w:rsidRPr="00DC1A5F">
        <w:t>), por lo tanto, es así como será atención (</w:t>
      </w:r>
      <w:r w:rsidRPr="00DC1A5F">
        <w:rPr>
          <w:i/>
          <w:iCs/>
        </w:rPr>
        <w:t>trayendo a la mente</w:t>
      </w:r>
      <w:r w:rsidRPr="00DC1A5F">
        <w:t>—</w:t>
      </w:r>
      <w:proofErr w:type="spellStart"/>
      <w:r w:rsidRPr="00DC1A5F">
        <w:rPr>
          <w:i/>
          <w:iCs/>
        </w:rPr>
        <w:t>manasi</w:t>
      </w:r>
      <w:proofErr w:type="spellEnd"/>
      <w:r w:rsidRPr="00DC1A5F">
        <w:rPr>
          <w:i/>
          <w:iCs/>
        </w:rPr>
        <w:t>–</w:t>
      </w:r>
      <w:proofErr w:type="spellStart"/>
      <w:r w:rsidRPr="00DC1A5F">
        <w:rPr>
          <w:i/>
          <w:iCs/>
        </w:rPr>
        <w:t>kāra</w:t>
      </w:r>
      <w:proofErr w:type="spellEnd"/>
      <w:r w:rsidRPr="00DC1A5F">
        <w:t xml:space="preserve">). Hace que la mente presente sea diferente de la mente previa [continuum vital], por lo que será así atención. Tiene tres formas de hacerlo: como controlador del objeto, como controlador de la serie cognitiva y como controlador de las impulsiones. Aquí, como controlador del objeto corresponderá al autor de la mente, por lo tanto, es también así </w:t>
      </w:r>
      <w:r w:rsidRPr="00DC1A5F">
        <w:rPr>
          <w:i/>
          <w:iCs/>
        </w:rPr>
        <w:t>atención</w:t>
      </w:r>
      <w:r w:rsidRPr="00DC1A5F">
        <w:t xml:space="preserve">. Tiene la </w:t>
      </w:r>
      <w:r w:rsidRPr="00DC1A5F">
        <w:rPr>
          <w:i/>
          <w:iCs/>
        </w:rPr>
        <w:t>característica</w:t>
      </w:r>
      <w:r w:rsidRPr="00DC1A5F">
        <w:t xml:space="preserve"> de conducir (</w:t>
      </w:r>
      <w:proofErr w:type="spellStart"/>
      <w:r w:rsidRPr="00DC1A5F">
        <w:rPr>
          <w:i/>
          <w:iCs/>
        </w:rPr>
        <w:t>sāraṇa</w:t>
      </w:r>
      <w:proofErr w:type="spellEnd"/>
      <w:r w:rsidRPr="00DC1A5F">
        <w:t xml:space="preserve">). Su </w:t>
      </w:r>
      <w:r w:rsidRPr="00DC1A5F">
        <w:rPr>
          <w:i/>
          <w:iCs/>
        </w:rPr>
        <w:t>función</w:t>
      </w:r>
      <w:r w:rsidRPr="00DC1A5F">
        <w:t xml:space="preserve"> es el de unir estados </w:t>
      </w:r>
      <w:r w:rsidRPr="00DC1A5F">
        <w:rPr>
          <w:color w:val="833C0B" w:themeColor="accent2" w:themeShade="80"/>
        </w:rPr>
        <w:t xml:space="preserve">mentales </w:t>
      </w:r>
      <w:r w:rsidRPr="00DC1A5F">
        <w:t xml:space="preserve">asociados al objeto. Se </w:t>
      </w:r>
      <w:r w:rsidRPr="00DC1A5F">
        <w:rPr>
          <w:i/>
          <w:iCs/>
        </w:rPr>
        <w:t>manifiesta</w:t>
      </w:r>
      <w:r w:rsidRPr="00DC1A5F">
        <w:t xml:space="preserve"> como confrontación hacia el objeto de atención. Su </w:t>
      </w:r>
      <w:r w:rsidRPr="00DC1A5F">
        <w:rPr>
          <w:i/>
          <w:iCs/>
        </w:rPr>
        <w:t>causa próxima</w:t>
      </w:r>
      <w:r w:rsidRPr="00DC1A5F">
        <w:t xml:space="preserve"> es un objeto de atención. Debe ser considerado como el conductor (</w:t>
      </w:r>
      <w:proofErr w:type="spellStart"/>
      <w:r w:rsidRPr="00DC1A5F">
        <w:rPr>
          <w:i/>
          <w:iCs/>
        </w:rPr>
        <w:t>sārathi</w:t>
      </w:r>
      <w:proofErr w:type="spellEnd"/>
      <w:r w:rsidRPr="00DC1A5F">
        <w:t xml:space="preserve">) de los estados </w:t>
      </w:r>
      <w:r w:rsidRPr="00DC1A5F">
        <w:rPr>
          <w:color w:val="833C0B" w:themeColor="accent2" w:themeShade="80"/>
        </w:rPr>
        <w:t xml:space="preserve">mentales </w:t>
      </w:r>
      <w:r w:rsidRPr="00DC1A5F">
        <w:t xml:space="preserve">asociados mediante el control el objeto, estando él mismo incluido en el agregado de las formaciones. </w:t>
      </w:r>
      <w:r w:rsidRPr="00DC1A5F">
        <w:rPr>
          <w:i/>
          <w:iCs/>
        </w:rPr>
        <w:t>Controlador de la serie cognitiva</w:t>
      </w:r>
      <w:r w:rsidRPr="00DC1A5F">
        <w:t xml:space="preserve"> corresponderá a un término para la advertencia de las cinco puertas (70). </w:t>
      </w:r>
      <w:r w:rsidRPr="00DC1A5F">
        <w:rPr>
          <w:i/>
          <w:iCs/>
        </w:rPr>
        <w:t>Controlador de las impulsiones</w:t>
      </w:r>
      <w:r w:rsidRPr="00DC1A5F">
        <w:t xml:space="preserve"> corresponderá a un término para la advertencia de la puerta de la mente (71). Estos dos últimos no están incluidos aquí.</w:t>
      </w:r>
    </w:p>
    <w:p w14:paraId="73BBC900" w14:textId="77777777" w:rsidR="00597DE2" w:rsidRPr="00DC1A5F" w:rsidRDefault="00597DE2" w:rsidP="00597DE2">
      <w:r w:rsidRPr="00DC1A5F">
        <w:t xml:space="preserve">153. </w:t>
      </w:r>
      <w:r w:rsidRPr="00DC1A5F">
        <w:tab/>
        <w:t>(</w:t>
      </w:r>
      <w:proofErr w:type="spellStart"/>
      <w:r w:rsidRPr="00DC1A5F">
        <w:t>xxxi</w:t>
      </w:r>
      <w:proofErr w:type="spellEnd"/>
      <w:r w:rsidRPr="00DC1A5F">
        <w:t xml:space="preserve">) La formación de </w:t>
      </w:r>
      <w:r w:rsidRPr="00DC1A5F">
        <w:rPr>
          <w:i/>
          <w:iCs/>
        </w:rPr>
        <w:t>la neutralidad específica</w:t>
      </w:r>
      <w:r w:rsidRPr="00DC1A5F">
        <w:t xml:space="preserve"> (</w:t>
      </w:r>
      <w:proofErr w:type="spellStart"/>
      <w:r w:rsidRPr="00DC1A5F">
        <w:rPr>
          <w:i/>
          <w:iCs/>
        </w:rPr>
        <w:t>tatra</w:t>
      </w:r>
      <w:proofErr w:type="spellEnd"/>
      <w:r w:rsidRPr="00DC1A5F">
        <w:rPr>
          <w:i/>
          <w:iCs/>
        </w:rPr>
        <w:t>–</w:t>
      </w:r>
      <w:proofErr w:type="spellStart"/>
      <w:r w:rsidRPr="00DC1A5F">
        <w:rPr>
          <w:i/>
          <w:iCs/>
        </w:rPr>
        <w:t>majjhattatā</w:t>
      </w:r>
      <w:proofErr w:type="spellEnd"/>
      <w:r w:rsidRPr="00DC1A5F">
        <w:t>—</w:t>
      </w:r>
      <w:proofErr w:type="spellStart"/>
      <w:r w:rsidRPr="00DC1A5F">
        <w:t>lit.</w:t>
      </w:r>
      <w:proofErr w:type="spellEnd"/>
      <w:r w:rsidRPr="00DC1A5F">
        <w:t xml:space="preserve"> “neutralidad con respecto a algo”) corresponderá a la neutralidad (</w:t>
      </w:r>
      <w:proofErr w:type="spellStart"/>
      <w:r w:rsidRPr="00DC1A5F">
        <w:rPr>
          <w:i/>
          <w:iCs/>
        </w:rPr>
        <w:t>majjhattatā</w:t>
      </w:r>
      <w:proofErr w:type="spellEnd"/>
      <w:r w:rsidRPr="00DC1A5F">
        <w:t xml:space="preserve">) con respecto a aquellos estados de consciencia y concomitantes de la consciencia surgidos en asociación con ella. Tiene la </w:t>
      </w:r>
      <w:r w:rsidRPr="00DC1A5F">
        <w:rPr>
          <w:i/>
          <w:iCs/>
        </w:rPr>
        <w:t>característica</w:t>
      </w:r>
      <w:r w:rsidRPr="00DC1A5F">
        <w:t xml:space="preserve"> de transmitir la consciencia y los concomitantes de la consciencia uniformemente. Su </w:t>
      </w:r>
      <w:r w:rsidRPr="00DC1A5F">
        <w:rPr>
          <w:i/>
          <w:iCs/>
        </w:rPr>
        <w:t>función</w:t>
      </w:r>
      <w:r w:rsidRPr="00DC1A5F">
        <w:t xml:space="preserve"> es prevenir la deficiencia y el exceso, [467] o su </w:t>
      </w:r>
      <w:r w:rsidRPr="00DC1A5F">
        <w:rPr>
          <w:i/>
          <w:iCs/>
        </w:rPr>
        <w:t>función</w:t>
      </w:r>
      <w:r w:rsidRPr="00DC1A5F">
        <w:t xml:space="preserve"> es inhibir la parcialidad. Se </w:t>
      </w:r>
      <w:r w:rsidRPr="00DC1A5F">
        <w:rPr>
          <w:i/>
          <w:iCs/>
        </w:rPr>
        <w:t>manifiesta</w:t>
      </w:r>
      <w:r w:rsidRPr="00DC1A5F">
        <w:t xml:space="preserve"> como neutralidad. Debe ser considerado como un conductor (un auriga) que observa con ecuanimidad a los purasangres avanzando su marcha uniformemente.</w:t>
      </w:r>
    </w:p>
    <w:p w14:paraId="061AE80F" w14:textId="77777777" w:rsidR="00597DE2" w:rsidRPr="00DC1A5F" w:rsidRDefault="00597DE2" w:rsidP="00597DE2">
      <w:r w:rsidRPr="00DC1A5F">
        <w:t xml:space="preserve">154. </w:t>
      </w:r>
      <w:r w:rsidRPr="00DC1A5F">
        <w:tab/>
        <w:t>(</w:t>
      </w:r>
      <w:proofErr w:type="spellStart"/>
      <w:r w:rsidRPr="00DC1A5F">
        <w:t>xxxii</w:t>
      </w:r>
      <w:proofErr w:type="spellEnd"/>
      <w:r w:rsidRPr="00DC1A5F">
        <w:t>)–(</w:t>
      </w:r>
      <w:proofErr w:type="spellStart"/>
      <w:r w:rsidRPr="00DC1A5F">
        <w:t>xxxiii</w:t>
      </w:r>
      <w:proofErr w:type="spellEnd"/>
      <w:r w:rsidRPr="00DC1A5F">
        <w:t xml:space="preserve">) La </w:t>
      </w:r>
      <w:r w:rsidRPr="00DC1A5F">
        <w:rPr>
          <w:i/>
          <w:iCs/>
        </w:rPr>
        <w:t>compasión</w:t>
      </w:r>
      <w:r w:rsidRPr="00DC1A5F">
        <w:t xml:space="preserve"> y la </w:t>
      </w:r>
      <w:r w:rsidRPr="00DC1A5F">
        <w:rPr>
          <w:i/>
          <w:iCs/>
        </w:rPr>
        <w:t xml:space="preserve">alegría altruista </w:t>
      </w:r>
      <w:r w:rsidRPr="00DC1A5F">
        <w:t xml:space="preserve">deben entenderse como lo expuesto en la Descripción de las Estados Divinos (IX. § 92, 94, 95), excepto que aquellos estados corresponderán a la esfera de la materia sutil y habrán alcanzado la absorción, mientras que estas </w:t>
      </w:r>
      <w:r w:rsidRPr="00DC1A5F">
        <w:rPr>
          <w:color w:val="833C0B" w:themeColor="accent2" w:themeShade="80"/>
        </w:rPr>
        <w:t xml:space="preserve">formaciones </w:t>
      </w:r>
      <w:r w:rsidRPr="00DC1A5F">
        <w:t xml:space="preserve">corresponderán a la esfera sensorial. Ésta será la única diferencia. Algunos, sin embargo, quieren incluir entre las inconstantes tanto al amor bondadoso como a la ecuanimidad. Eso no podrá aceptarse porque, en cuanto al significado, el </w:t>
      </w:r>
      <w:r w:rsidRPr="00DC1A5F">
        <w:rPr>
          <w:i/>
          <w:iCs/>
        </w:rPr>
        <w:t>no–odio</w:t>
      </w:r>
      <w:r w:rsidRPr="00DC1A5F">
        <w:t xml:space="preserve"> </w:t>
      </w:r>
      <w:r w:rsidRPr="00DC1A5F">
        <w:rPr>
          <w:color w:val="833C0B" w:themeColor="accent2" w:themeShade="80"/>
        </w:rPr>
        <w:t>(</w:t>
      </w:r>
      <w:proofErr w:type="spellStart"/>
      <w:r w:rsidRPr="00DC1A5F">
        <w:rPr>
          <w:color w:val="833C0B" w:themeColor="accent2" w:themeShade="80"/>
        </w:rPr>
        <w:t>xiv</w:t>
      </w:r>
      <w:proofErr w:type="spellEnd"/>
      <w:r w:rsidRPr="00DC1A5F">
        <w:rPr>
          <w:color w:val="833C0B" w:themeColor="accent2" w:themeShade="80"/>
        </w:rPr>
        <w:t xml:space="preserve">) </w:t>
      </w:r>
      <w:r w:rsidRPr="00DC1A5F">
        <w:t xml:space="preserve">en sí mismo corresponde al amor bondadoso y la </w:t>
      </w:r>
      <w:r w:rsidRPr="00DC1A5F">
        <w:rPr>
          <w:i/>
          <w:iCs/>
        </w:rPr>
        <w:t>neutralidad específica</w:t>
      </w:r>
      <w:r w:rsidRPr="00DC1A5F">
        <w:t xml:space="preserve"> </w:t>
      </w:r>
      <w:r w:rsidRPr="00DC1A5F">
        <w:rPr>
          <w:color w:val="833C0B" w:themeColor="accent2" w:themeShade="80"/>
        </w:rPr>
        <w:t>(</w:t>
      </w:r>
      <w:proofErr w:type="spellStart"/>
      <w:r w:rsidRPr="00DC1A5F">
        <w:rPr>
          <w:color w:val="833C0B" w:themeColor="accent2" w:themeShade="80"/>
        </w:rPr>
        <w:t>xxxi</w:t>
      </w:r>
      <w:proofErr w:type="spellEnd"/>
      <w:r w:rsidRPr="00DC1A5F">
        <w:rPr>
          <w:color w:val="833C0B" w:themeColor="accent2" w:themeShade="80"/>
        </w:rPr>
        <w:t>)</w:t>
      </w:r>
      <w:r w:rsidRPr="00DC1A5F">
        <w:t xml:space="preserve"> a la ecuanimidad.</w:t>
      </w:r>
    </w:p>
    <w:p w14:paraId="51454005" w14:textId="77777777" w:rsidR="00597DE2" w:rsidRPr="00DC1A5F" w:rsidRDefault="00597DE2" w:rsidP="00597DE2">
      <w:r w:rsidRPr="00DC1A5F">
        <w:t xml:space="preserve">155. </w:t>
      </w:r>
      <w:r w:rsidRPr="00DC1A5F">
        <w:tab/>
        <w:t>(</w:t>
      </w:r>
      <w:proofErr w:type="spellStart"/>
      <w:r w:rsidRPr="00DC1A5F">
        <w:t>xxxiv</w:t>
      </w:r>
      <w:proofErr w:type="spellEnd"/>
      <w:r w:rsidRPr="00DC1A5F">
        <w:t>)–(</w:t>
      </w:r>
      <w:proofErr w:type="spellStart"/>
      <w:r w:rsidRPr="00DC1A5F">
        <w:t>xxxvi</w:t>
      </w:r>
      <w:proofErr w:type="spellEnd"/>
      <w:r w:rsidRPr="00DC1A5F">
        <w:t xml:space="preserve">) </w:t>
      </w:r>
      <w:r w:rsidRPr="00DC1A5F">
        <w:rPr>
          <w:i/>
          <w:iCs/>
        </w:rPr>
        <w:t>Abstinencia de la conducta corporal incorrecta</w:t>
      </w:r>
      <w:r w:rsidRPr="00DC1A5F">
        <w:t xml:space="preserve">: el compuesto </w:t>
      </w:r>
      <w:proofErr w:type="spellStart"/>
      <w:r w:rsidRPr="00DC1A5F">
        <w:rPr>
          <w:i/>
          <w:iCs/>
        </w:rPr>
        <w:t>kāyaduccaritavirati</w:t>
      </w:r>
      <w:proofErr w:type="spellEnd"/>
      <w:r w:rsidRPr="00DC1A5F">
        <w:t xml:space="preserve"> se resuelve como </w:t>
      </w:r>
      <w:proofErr w:type="spellStart"/>
      <w:r w:rsidRPr="00DC1A5F">
        <w:rPr>
          <w:i/>
          <w:iCs/>
        </w:rPr>
        <w:t>kāyaduccaritato</w:t>
      </w:r>
      <w:proofErr w:type="spellEnd"/>
      <w:r w:rsidRPr="00DC1A5F">
        <w:rPr>
          <w:i/>
          <w:iCs/>
        </w:rPr>
        <w:t xml:space="preserve"> </w:t>
      </w:r>
      <w:proofErr w:type="spellStart"/>
      <w:r w:rsidRPr="00DC1A5F">
        <w:rPr>
          <w:i/>
          <w:iCs/>
        </w:rPr>
        <w:t>virati</w:t>
      </w:r>
      <w:proofErr w:type="spellEnd"/>
      <w:r w:rsidRPr="00DC1A5F">
        <w:t xml:space="preserve">; así también con los otros dos. No obstante, en cuanto a la </w:t>
      </w:r>
      <w:r w:rsidRPr="00DC1A5F">
        <w:rPr>
          <w:i/>
          <w:iCs/>
        </w:rPr>
        <w:t>característica</w:t>
      </w:r>
      <w:r w:rsidRPr="00DC1A5F">
        <w:t xml:space="preserve">, etc., estos tres tienen la característica de la no–transgresión en los campos respectivos de la conducta corporal, etc.; tienen la </w:t>
      </w:r>
      <w:r w:rsidRPr="00DC1A5F">
        <w:rPr>
          <w:i/>
          <w:iCs/>
        </w:rPr>
        <w:t>característica</w:t>
      </w:r>
      <w:r w:rsidRPr="00DC1A5F">
        <w:t xml:space="preserve"> de no pisar ahí, es lo que se dice al respecto. Su </w:t>
      </w:r>
      <w:r w:rsidRPr="00DC1A5F">
        <w:rPr>
          <w:i/>
          <w:iCs/>
        </w:rPr>
        <w:t>función</w:t>
      </w:r>
      <w:r w:rsidRPr="00DC1A5F">
        <w:t xml:space="preserve"> es retirarse de la región de conducta corporal incorrecta, etc. Se manifiestan como el no–obrar con esas cosas. Sus </w:t>
      </w:r>
      <w:r w:rsidRPr="00DC1A5F">
        <w:rPr>
          <w:i/>
          <w:iCs/>
        </w:rPr>
        <w:t>causas próximas</w:t>
      </w:r>
      <w:r w:rsidRPr="00DC1A5F">
        <w:t xml:space="preserve"> son las cualidades especiales como </w:t>
      </w:r>
    </w:p>
    <w:p w14:paraId="68B5DEF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437EA86" w14:textId="77777777" w:rsidR="00597DE2" w:rsidRPr="00DC1A5F" w:rsidRDefault="00597DE2" w:rsidP="00597DE2">
      <w:pPr>
        <w:pStyle w:val="PiedepginaLegal"/>
        <w:numPr>
          <w:ilvl w:val="0"/>
          <w:numId w:val="3"/>
        </w:numPr>
        <w:tabs>
          <w:tab w:val="clear" w:pos="425"/>
        </w:tabs>
        <w:spacing w:after="160"/>
        <w:ind w:left="284"/>
      </w:pPr>
      <w:r w:rsidRPr="00DC1A5F">
        <w:t>“‘</w:t>
      </w:r>
      <w:r w:rsidRPr="00DC1A5F">
        <w:rPr>
          <w:i/>
          <w:iCs/>
        </w:rPr>
        <w:t>El acto de determinación’</w:t>
      </w:r>
      <w:r w:rsidRPr="00DC1A5F">
        <w:t xml:space="preserve"> deberá entenderse como el acto de estar convencido (</w:t>
      </w:r>
      <w:proofErr w:type="spellStart"/>
      <w:r w:rsidRPr="00DC1A5F">
        <w:rPr>
          <w:i/>
          <w:iCs/>
        </w:rPr>
        <w:t>sanniṭṭhāna</w:t>
      </w:r>
      <w:proofErr w:type="spellEnd"/>
      <w:r w:rsidRPr="00DC1A5F">
        <w:t>) con respecto a un objeto, no como confiando (</w:t>
      </w:r>
      <w:proofErr w:type="spellStart"/>
      <w:r w:rsidRPr="00DC1A5F">
        <w:rPr>
          <w:i/>
          <w:iCs/>
        </w:rPr>
        <w:t>pasādana</w:t>
      </w:r>
      <w:proofErr w:type="spellEnd"/>
      <w:r w:rsidRPr="00DC1A5F">
        <w:t xml:space="preserve">) </w:t>
      </w:r>
      <w:r w:rsidRPr="00DC1A5F">
        <w:rPr>
          <w:color w:val="833C0B" w:themeColor="accent2" w:themeShade="80"/>
          <w:u w:color="000000"/>
        </w:rPr>
        <w:t>en ello</w:t>
      </w:r>
      <w:r w:rsidRPr="00DC1A5F">
        <w:t>” (</w:t>
      </w:r>
      <w:proofErr w:type="spellStart"/>
      <w:r w:rsidRPr="00DC1A5F">
        <w:t>Vism</w:t>
      </w:r>
      <w:proofErr w:type="spellEnd"/>
      <w:r w:rsidRPr="00DC1A5F">
        <w:t>–</w:t>
      </w:r>
      <w:proofErr w:type="spellStart"/>
      <w:r w:rsidRPr="00DC1A5F">
        <w:t>mhṭ</w:t>
      </w:r>
      <w:proofErr w:type="spellEnd"/>
      <w:r w:rsidRPr="00DC1A5F">
        <w:t xml:space="preserve"> 489). Ver §140.</w:t>
      </w:r>
      <w:r w:rsidRPr="00DC1A5F">
        <w:br w:type="page"/>
      </w:r>
    </w:p>
    <w:p w14:paraId="102CD805" w14:textId="77777777" w:rsidR="00597DE2" w:rsidRPr="00DC1A5F" w:rsidRDefault="00597DE2" w:rsidP="00597DE2">
      <w:pPr>
        <w:pStyle w:val="Textoindependiente"/>
      </w:pPr>
      <w:r w:rsidRPr="00DC1A5F">
        <w:lastRenderedPageBreak/>
        <w:t>la fe, la consciencia, el temor moral, la carencia de deseos, etc. Deben considerarse como aversión mental de obrar con el mal.</w:t>
      </w:r>
    </w:p>
    <w:p w14:paraId="2367FA48" w14:textId="77777777" w:rsidR="00597DE2" w:rsidRPr="00DC1A5F" w:rsidRDefault="00597DE2" w:rsidP="00597DE2">
      <w:r w:rsidRPr="00DC1A5F">
        <w:t xml:space="preserve">156. </w:t>
      </w:r>
      <w:r w:rsidRPr="00DC1A5F">
        <w:tab/>
        <w:t>Así que éstas corresponden a las 36 formaciones mentales que deberán entenderse como asociadas a la primera consciencia productiva de la esfera sensorial (1). Y como con la primera, así también con la segunda (2), la única diferencia aquí será si se refieren a la espontaneidad o no.</w:t>
      </w:r>
    </w:p>
    <w:p w14:paraId="66F9540D" w14:textId="77777777" w:rsidR="00597DE2" w:rsidRPr="00DC1A5F" w:rsidRDefault="00597DE2" w:rsidP="00597DE2">
      <w:pPr>
        <w:pStyle w:val="NormalConSangria"/>
      </w:pPr>
      <w:r w:rsidRPr="00DC1A5F">
        <w:t>(3)–(4) Las asociadas con la tercera clase (3) deberán entenderse como todas las anteriores excepto la no–ilusión (</w:t>
      </w:r>
      <w:proofErr w:type="spellStart"/>
      <w:r w:rsidRPr="00DC1A5F">
        <w:t>xv</w:t>
      </w:r>
      <w:proofErr w:type="spellEnd"/>
      <w:r w:rsidRPr="00DC1A5F">
        <w:t>). Del mismo modo con la cuarta (4), la única diferencia aquí será la espontaneidad.</w:t>
      </w:r>
    </w:p>
    <w:p w14:paraId="061A63E6" w14:textId="77777777" w:rsidR="00597DE2" w:rsidRPr="00DC1A5F" w:rsidRDefault="00597DE2" w:rsidP="00597DE2">
      <w:pPr>
        <w:pStyle w:val="NormalConSangria"/>
      </w:pPr>
      <w:r w:rsidRPr="00DC1A5F">
        <w:t xml:space="preserve">(5)–(6) Todas las </w:t>
      </w:r>
      <w:r w:rsidRPr="00DC1A5F">
        <w:rPr>
          <w:color w:val="833C0B" w:themeColor="accent2" w:themeShade="80"/>
        </w:rPr>
        <w:t xml:space="preserve">formaciones </w:t>
      </w:r>
      <w:r w:rsidRPr="00DC1A5F">
        <w:t xml:space="preserve">enunciadas en la primera instancia, excepto la felicidad (v), se asocian con la </w:t>
      </w:r>
      <w:r w:rsidRPr="00DC1A5F">
        <w:softHyphen/>
        <w:t>quinta (5). Del mismo modo con la sexta (6), la única diferencia aquí será la espontaneidad.</w:t>
      </w:r>
    </w:p>
    <w:p w14:paraId="3D77149E" w14:textId="77777777" w:rsidR="00597DE2" w:rsidRPr="00DC1A5F" w:rsidRDefault="00597DE2" w:rsidP="00597DE2">
      <w:pPr>
        <w:pStyle w:val="NormalConSangria"/>
      </w:pPr>
      <w:r w:rsidRPr="00DC1A5F">
        <w:t>(7)–(8) Aquellas asociadas con la séptima (7) deberán entenderse como la última excepto la no–ilusión (</w:t>
      </w:r>
      <w:proofErr w:type="spellStart"/>
      <w:r w:rsidRPr="00DC1A5F">
        <w:t>xv</w:t>
      </w:r>
      <w:proofErr w:type="spellEnd"/>
      <w:r w:rsidRPr="00DC1A5F">
        <w:t>). Del mismo modo con la octavo (8), la única diferencia aquí será la espontaneidad.</w:t>
      </w:r>
    </w:p>
    <w:p w14:paraId="1C5ED5BB" w14:textId="77777777" w:rsidR="00597DE2" w:rsidRPr="00DC1A5F" w:rsidRDefault="00597DE2" w:rsidP="00597DE2">
      <w:r w:rsidRPr="00DC1A5F">
        <w:t xml:space="preserve">157. </w:t>
      </w:r>
      <w:r w:rsidRPr="00DC1A5F">
        <w:tab/>
        <w:t xml:space="preserve">(9)–(13) Todas las </w:t>
      </w:r>
      <w:r w:rsidRPr="00DC1A5F">
        <w:rPr>
          <w:color w:val="833C0B" w:themeColor="accent2" w:themeShade="80"/>
        </w:rPr>
        <w:t xml:space="preserve">formaciones </w:t>
      </w:r>
      <w:r w:rsidRPr="00DC1A5F">
        <w:t>enunciadas en la primera instancia, excepto las tres abstinencias (</w:t>
      </w:r>
      <w:proofErr w:type="spellStart"/>
      <w:r w:rsidRPr="00DC1A5F">
        <w:t>xxxiv</w:t>
      </w:r>
      <w:proofErr w:type="spellEnd"/>
      <w:r w:rsidRPr="00DC1A5F">
        <w:t>–</w:t>
      </w:r>
      <w:proofErr w:type="spellStart"/>
      <w:r w:rsidRPr="00DC1A5F">
        <w:t>xxxvi</w:t>
      </w:r>
      <w:proofErr w:type="spellEnd"/>
      <w:r w:rsidRPr="00DC1A5F">
        <w:t>), se asocian con la primera de las clases de consciencia productiva de la materia sutil (9). Con la segunda (10) también se omitirá la aplicación mental (</w:t>
      </w:r>
      <w:proofErr w:type="spellStart"/>
      <w:r w:rsidRPr="00DC1A5F">
        <w:t>iii</w:t>
      </w:r>
      <w:proofErr w:type="spellEnd"/>
      <w:r w:rsidRPr="00DC1A5F">
        <w:t>). Con la tercera (11) también se omitirá la sustentación mental (</w:t>
      </w:r>
      <w:proofErr w:type="spellStart"/>
      <w:r w:rsidRPr="00DC1A5F">
        <w:t>iv</w:t>
      </w:r>
      <w:proofErr w:type="spellEnd"/>
      <w:r w:rsidRPr="00DC1A5F">
        <w:t>). Con la cuarta (12) también se omitirá la felicidad (v). Con la quinta (13) se omitirán también la compasión (</w:t>
      </w:r>
      <w:proofErr w:type="spellStart"/>
      <w:r w:rsidRPr="00DC1A5F">
        <w:t>xxxii</w:t>
      </w:r>
      <w:proofErr w:type="spellEnd"/>
      <w:r w:rsidRPr="00DC1A5F">
        <w:t>) y la alegría (</w:t>
      </w:r>
      <w:proofErr w:type="spellStart"/>
      <w:r w:rsidRPr="00DC1A5F">
        <w:t>xxxiii</w:t>
      </w:r>
      <w:proofErr w:type="spellEnd"/>
      <w:r w:rsidRPr="00DC1A5F">
        <w:t>), entre las inconstantes.</w:t>
      </w:r>
    </w:p>
    <w:p w14:paraId="7D3A22B9" w14:textId="77777777" w:rsidR="00597DE2" w:rsidRPr="00DC1A5F" w:rsidRDefault="00597DE2" w:rsidP="00597DE2">
      <w:pPr>
        <w:pStyle w:val="NormalConSangria"/>
      </w:pPr>
      <w:r w:rsidRPr="00DC1A5F">
        <w:t xml:space="preserve">(14)–(17) En el caso de las cuatro clases de consciencia productiva inmaterial, estas </w:t>
      </w:r>
      <w:r w:rsidRPr="00DC1A5F">
        <w:rPr>
          <w:color w:val="833C0B" w:themeColor="accent2" w:themeShade="80"/>
        </w:rPr>
        <w:t xml:space="preserve">formaciones </w:t>
      </w:r>
      <w:r w:rsidRPr="00DC1A5F">
        <w:t>serán las mismas que las mencionadas en último lugar, ya que aquí la diferencia corresponderá solo a la inmaterialidad.</w:t>
      </w:r>
    </w:p>
    <w:p w14:paraId="3A531176" w14:textId="77777777" w:rsidR="00597DE2" w:rsidRPr="00DC1A5F" w:rsidRDefault="00597DE2" w:rsidP="00597DE2">
      <w:r w:rsidRPr="00DC1A5F">
        <w:t xml:space="preserve">158. </w:t>
      </w:r>
      <w:r w:rsidRPr="00DC1A5F">
        <w:tab/>
        <w:t xml:space="preserve">(18)–(21) Con respecto a las formaciones supramundanas, en primer lugar, en el caso de la consciencia del sendero que posea el primer </w:t>
      </w:r>
      <w:proofErr w:type="spellStart"/>
      <w:r w:rsidRPr="00DC1A5F">
        <w:rPr>
          <w:i/>
        </w:rPr>
        <w:t>jhāna</w:t>
      </w:r>
      <w:proofErr w:type="spellEnd"/>
      <w:r w:rsidRPr="00DC1A5F">
        <w:t xml:space="preserve">, deberá entenderse como se establece en el caso de la primera consciencia de la esfera de la materia sutil (9). Los senderos clasificados como pertenecientes al segundo </w:t>
      </w:r>
      <w:proofErr w:type="spellStart"/>
      <w:r w:rsidRPr="00DC1A5F">
        <w:rPr>
          <w:i/>
        </w:rPr>
        <w:t>jhāna</w:t>
      </w:r>
      <w:proofErr w:type="spellEnd"/>
      <w:r w:rsidRPr="00DC1A5F">
        <w:t xml:space="preserve">, etc., deberán entenderse como establecidos en los casos, respectivamente, del segundo </w:t>
      </w:r>
      <w:proofErr w:type="spellStart"/>
      <w:r w:rsidRPr="00DC1A5F">
        <w:rPr>
          <w:i/>
        </w:rPr>
        <w:t>jhāna</w:t>
      </w:r>
      <w:proofErr w:type="spellEnd"/>
      <w:r w:rsidRPr="00DC1A5F">
        <w:t xml:space="preserve"> de la esfera de la materia sutil, y así sucesivamente (10)–(13). No obstante, la diferencia aquí será la omisión de la compasión (</w:t>
      </w:r>
      <w:proofErr w:type="spellStart"/>
      <w:r w:rsidRPr="00DC1A5F">
        <w:t>xxxii</w:t>
      </w:r>
      <w:proofErr w:type="spellEnd"/>
      <w:r w:rsidRPr="00DC1A5F">
        <w:t>) y la alegría (</w:t>
      </w:r>
      <w:proofErr w:type="spellStart"/>
      <w:r w:rsidRPr="00DC1A5F">
        <w:t>xxxiii</w:t>
      </w:r>
      <w:proofErr w:type="spellEnd"/>
      <w:r w:rsidRPr="00DC1A5F">
        <w:t>),</w:t>
      </w:r>
      <w:r w:rsidRPr="00DC1A5F">
        <w:rPr>
          <w:vertAlign w:val="superscript"/>
        </w:rPr>
        <w:t>67</w:t>
      </w:r>
      <w:r w:rsidRPr="00DC1A5F">
        <w:t xml:space="preserve"> la constancia de las abstinencias (</w:t>
      </w:r>
      <w:proofErr w:type="spellStart"/>
      <w:r w:rsidRPr="00DC1A5F">
        <w:t>xxxiv</w:t>
      </w:r>
      <w:proofErr w:type="spellEnd"/>
      <w:r w:rsidRPr="00DC1A5F">
        <w:t>–</w:t>
      </w:r>
      <w:proofErr w:type="spellStart"/>
      <w:r w:rsidRPr="00DC1A5F">
        <w:t>xxxvi</w:t>
      </w:r>
      <w:proofErr w:type="spellEnd"/>
      <w:r w:rsidRPr="00DC1A5F">
        <w:t xml:space="preserve">) y la </w:t>
      </w:r>
      <w:proofErr w:type="spellStart"/>
      <w:r w:rsidRPr="00DC1A5F">
        <w:t>supramundaneidad</w:t>
      </w:r>
      <w:proofErr w:type="spellEnd"/>
      <w:r w:rsidRPr="00DC1A5F">
        <w:t>. [468]</w:t>
      </w:r>
    </w:p>
    <w:p w14:paraId="1FD1B842" w14:textId="77777777" w:rsidR="00597DE2" w:rsidRPr="00DC1A5F" w:rsidRDefault="00597DE2" w:rsidP="00597DE2">
      <w:r w:rsidRPr="00DC1A5F">
        <w:t xml:space="preserve">159. </w:t>
      </w:r>
      <w:r w:rsidRPr="00DC1A5F">
        <w:tab/>
        <w:t xml:space="preserve">II. (22) En cuanto a las clases de formaciones </w:t>
      </w:r>
      <w:r w:rsidRPr="00DC1A5F">
        <w:rPr>
          <w:i/>
          <w:iCs/>
        </w:rPr>
        <w:t>improductivas</w:t>
      </w:r>
      <w:r w:rsidRPr="00DC1A5F">
        <w:t xml:space="preserve">, existirán primero 17 asociadas con la primera consciencia improductiva arraigada en la codicia (22), es decir, 13 constantes dadas en los textos como tales (ver </w:t>
      </w:r>
      <w:proofErr w:type="spellStart"/>
      <w:r w:rsidRPr="00DC1A5F">
        <w:t>Dhs</w:t>
      </w:r>
      <w:proofErr w:type="spellEnd"/>
      <w:r w:rsidRPr="00DC1A5F">
        <w:t xml:space="preserve"> § 365) y 4 o–de–cualquier–estado.</w:t>
      </w:r>
    </w:p>
    <w:p w14:paraId="4B966E07" w14:textId="77777777" w:rsidR="00597DE2" w:rsidRPr="00DC1A5F" w:rsidRDefault="00597DE2" w:rsidP="00597DE2">
      <w:pPr>
        <w:pStyle w:val="NormalConSangria"/>
      </w:pPr>
      <w:r w:rsidRPr="00DC1A5F">
        <w:t xml:space="preserve">Aquí, las 13 </w:t>
      </w:r>
      <w:r w:rsidRPr="00DC1A5F">
        <w:rPr>
          <w:color w:val="833C0B" w:themeColor="accent2" w:themeShade="80"/>
        </w:rPr>
        <w:t xml:space="preserve">formaciones constantes </w:t>
      </w:r>
      <w:r w:rsidRPr="00DC1A5F">
        <w:t xml:space="preserve">expuestas como tales son éstas: </w:t>
      </w:r>
    </w:p>
    <w:p w14:paraId="6507E945" w14:textId="77777777" w:rsidR="00597DE2" w:rsidRPr="00DC1A5F" w:rsidRDefault="00597DE2" w:rsidP="00597DE2">
      <w:pPr>
        <w:pStyle w:val="VersoIngls01Sangria"/>
        <w:tabs>
          <w:tab w:val="right" w:pos="4253"/>
        </w:tabs>
        <w:ind w:left="1418"/>
      </w:pPr>
      <w:r w:rsidRPr="00DC1A5F">
        <w:t xml:space="preserve">contacto </w:t>
      </w:r>
      <w:r w:rsidRPr="00DC1A5F">
        <w:tab/>
        <w:t>(i),</w:t>
      </w:r>
    </w:p>
    <w:p w14:paraId="7B8CD707" w14:textId="77777777" w:rsidR="00597DE2" w:rsidRPr="00DC1A5F" w:rsidRDefault="00597DE2" w:rsidP="00597DE2">
      <w:pPr>
        <w:pStyle w:val="VersoIngls01Sangria"/>
        <w:tabs>
          <w:tab w:val="right" w:pos="4253"/>
        </w:tabs>
        <w:ind w:left="1418"/>
      </w:pPr>
      <w:r w:rsidRPr="00DC1A5F">
        <w:t xml:space="preserve">volición </w:t>
      </w:r>
      <w:r w:rsidRPr="00DC1A5F">
        <w:tab/>
        <w:t>(</w:t>
      </w:r>
      <w:proofErr w:type="spellStart"/>
      <w:r w:rsidRPr="00DC1A5F">
        <w:t>ii</w:t>
      </w:r>
      <w:proofErr w:type="spellEnd"/>
      <w:r w:rsidRPr="00DC1A5F">
        <w:t xml:space="preserve">), </w:t>
      </w:r>
    </w:p>
    <w:p w14:paraId="65221503" w14:textId="77777777" w:rsidR="00597DE2" w:rsidRPr="00DC1A5F" w:rsidRDefault="00597DE2" w:rsidP="00597DE2">
      <w:pPr>
        <w:pStyle w:val="VersoIngls01Sangria"/>
        <w:tabs>
          <w:tab w:val="right" w:pos="4253"/>
        </w:tabs>
        <w:ind w:left="1418"/>
      </w:pPr>
      <w:r w:rsidRPr="00DC1A5F">
        <w:t xml:space="preserve">aplicación mental </w:t>
      </w:r>
      <w:r w:rsidRPr="00DC1A5F">
        <w:tab/>
        <w:t>(</w:t>
      </w:r>
      <w:proofErr w:type="spellStart"/>
      <w:r w:rsidRPr="00DC1A5F">
        <w:t>iii</w:t>
      </w:r>
      <w:proofErr w:type="spellEnd"/>
      <w:r w:rsidRPr="00DC1A5F">
        <w:t xml:space="preserve">), </w:t>
      </w:r>
    </w:p>
    <w:p w14:paraId="678CFC76" w14:textId="77777777" w:rsidR="00597DE2" w:rsidRPr="00DC1A5F" w:rsidRDefault="00597DE2" w:rsidP="00597DE2">
      <w:pPr>
        <w:pStyle w:val="VersoIngls01Sangria"/>
        <w:tabs>
          <w:tab w:val="right" w:pos="4253"/>
        </w:tabs>
        <w:ind w:left="1418"/>
      </w:pPr>
      <w:r w:rsidRPr="00DC1A5F">
        <w:t>sustentación mental</w:t>
      </w:r>
      <w:r w:rsidRPr="00DC1A5F">
        <w:tab/>
        <w:t>(</w:t>
      </w:r>
      <w:proofErr w:type="spellStart"/>
      <w:r w:rsidRPr="00DC1A5F">
        <w:t>iv</w:t>
      </w:r>
      <w:proofErr w:type="spellEnd"/>
      <w:r w:rsidRPr="00DC1A5F">
        <w:t xml:space="preserve">), </w:t>
      </w:r>
    </w:p>
    <w:p w14:paraId="26BE3C0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B125187" w14:textId="77777777" w:rsidR="00597DE2" w:rsidRPr="00DC1A5F" w:rsidRDefault="00597DE2" w:rsidP="00597DE2">
      <w:pPr>
        <w:pStyle w:val="PiedepginaLegal"/>
        <w:numPr>
          <w:ilvl w:val="0"/>
          <w:numId w:val="3"/>
        </w:numPr>
        <w:tabs>
          <w:tab w:val="clear" w:pos="425"/>
        </w:tabs>
        <w:spacing w:after="160"/>
        <w:ind w:left="284"/>
        <w:rPr>
          <w:color w:val="833C0B" w:themeColor="accent2" w:themeShade="80"/>
          <w:u w:color="000000"/>
        </w:rPr>
      </w:pPr>
      <w:r w:rsidRPr="00DC1A5F">
        <w:rPr>
          <w:color w:val="833C0B" w:themeColor="accent2" w:themeShade="80"/>
          <w:u w:color="000000"/>
        </w:rPr>
        <w:t xml:space="preserve">“Debido a que las consciencias del sendero poseerán al </w:t>
      </w:r>
      <w:r w:rsidRPr="00DC1A5F">
        <w:rPr>
          <w:i/>
          <w:iCs/>
          <w:color w:val="833C0B" w:themeColor="accent2" w:themeShade="80"/>
          <w:u w:color="000000"/>
        </w:rPr>
        <w:t>Nibbāna</w:t>
      </w:r>
      <w:r w:rsidRPr="00DC1A5F">
        <w:rPr>
          <w:color w:val="833C0B" w:themeColor="accent2" w:themeShade="80"/>
          <w:u w:color="000000"/>
        </w:rPr>
        <w:t xml:space="preserve"> como su objeto y debido a que la compasión, la alegría, etc., tendrán a los seres vivos como su objeto, no habrá compasión, etc., en el sendero” (</w:t>
      </w:r>
      <w:proofErr w:type="spellStart"/>
      <w:r w:rsidRPr="00DC1A5F">
        <w:rPr>
          <w:color w:val="833C0B" w:themeColor="accent2" w:themeShade="80"/>
          <w:u w:color="000000"/>
        </w:rPr>
        <w:t>Vism</w:t>
      </w:r>
      <w:proofErr w:type="spellEnd"/>
      <w:r w:rsidRPr="00DC1A5F">
        <w:rPr>
          <w:color w:val="833C0B" w:themeColor="accent2" w:themeShade="80"/>
          <w:u w:color="000000"/>
        </w:rPr>
        <w:t>–</w:t>
      </w:r>
      <w:proofErr w:type="spellStart"/>
      <w:r w:rsidRPr="00DC1A5F">
        <w:rPr>
          <w:color w:val="833C0B" w:themeColor="accent2" w:themeShade="80"/>
          <w:u w:color="000000"/>
        </w:rPr>
        <w:t>mhṭ</w:t>
      </w:r>
      <w:proofErr w:type="spellEnd"/>
      <w:r w:rsidRPr="00DC1A5F">
        <w:rPr>
          <w:color w:val="833C0B" w:themeColor="accent2" w:themeShade="80"/>
          <w:u w:color="000000"/>
        </w:rPr>
        <w:t xml:space="preserve"> 491).</w:t>
      </w:r>
      <w:r w:rsidRPr="00DC1A5F">
        <w:rPr>
          <w:color w:val="833C0B" w:themeColor="accent2" w:themeShade="80"/>
          <w:u w:color="000000"/>
        </w:rPr>
        <w:br w:type="page"/>
      </w:r>
    </w:p>
    <w:p w14:paraId="38CE9896" w14:textId="77777777" w:rsidR="00597DE2" w:rsidRPr="00DC1A5F" w:rsidRDefault="00597DE2" w:rsidP="00597DE2">
      <w:pPr>
        <w:pStyle w:val="VersoIngls01Sangria"/>
        <w:tabs>
          <w:tab w:val="clear" w:pos="425"/>
          <w:tab w:val="right" w:pos="4253"/>
        </w:tabs>
        <w:ind w:left="1418"/>
        <w:rPr>
          <w:sz w:val="16"/>
          <w:szCs w:val="20"/>
        </w:rPr>
      </w:pPr>
      <w:r w:rsidRPr="00DC1A5F">
        <w:rPr>
          <w:sz w:val="16"/>
          <w:szCs w:val="20"/>
        </w:rPr>
        <w:lastRenderedPageBreak/>
        <w:t xml:space="preserve">felicidad </w:t>
      </w:r>
      <w:r w:rsidRPr="00DC1A5F">
        <w:rPr>
          <w:sz w:val="16"/>
          <w:szCs w:val="20"/>
        </w:rPr>
        <w:tab/>
        <w:t>(v),</w:t>
      </w:r>
    </w:p>
    <w:p w14:paraId="68C085BC" w14:textId="77777777" w:rsidR="00597DE2" w:rsidRPr="00DC1A5F" w:rsidRDefault="00597DE2" w:rsidP="00597DE2">
      <w:pPr>
        <w:pStyle w:val="VersoIngls01Sangria"/>
        <w:tabs>
          <w:tab w:val="clear" w:pos="425"/>
          <w:tab w:val="right" w:pos="4253"/>
        </w:tabs>
        <w:ind w:left="1418"/>
        <w:rPr>
          <w:sz w:val="16"/>
          <w:szCs w:val="20"/>
        </w:rPr>
      </w:pPr>
      <w:r w:rsidRPr="00DC1A5F">
        <w:rPr>
          <w:sz w:val="16"/>
          <w:szCs w:val="20"/>
        </w:rPr>
        <w:t xml:space="preserve">energía </w:t>
      </w:r>
      <w:r w:rsidRPr="00DC1A5F">
        <w:rPr>
          <w:sz w:val="16"/>
          <w:szCs w:val="20"/>
        </w:rPr>
        <w:tab/>
        <w:t xml:space="preserve">(vi), </w:t>
      </w:r>
    </w:p>
    <w:p w14:paraId="3CD775EF" w14:textId="77777777" w:rsidR="00597DE2" w:rsidRPr="00DC1A5F" w:rsidRDefault="00597DE2" w:rsidP="00597DE2">
      <w:pPr>
        <w:pStyle w:val="VersoIngls01Sangria"/>
        <w:tabs>
          <w:tab w:val="clear" w:pos="425"/>
          <w:tab w:val="right" w:pos="4253"/>
        </w:tabs>
        <w:ind w:left="1418"/>
        <w:rPr>
          <w:sz w:val="16"/>
          <w:szCs w:val="20"/>
        </w:rPr>
      </w:pPr>
      <w:r w:rsidRPr="00DC1A5F">
        <w:rPr>
          <w:sz w:val="16"/>
          <w:szCs w:val="20"/>
        </w:rPr>
        <w:t xml:space="preserve">vitalidad </w:t>
      </w:r>
      <w:r w:rsidRPr="00DC1A5F">
        <w:rPr>
          <w:sz w:val="16"/>
          <w:szCs w:val="20"/>
        </w:rPr>
        <w:tab/>
        <w:t>(</w:t>
      </w:r>
      <w:proofErr w:type="spellStart"/>
      <w:r w:rsidRPr="00DC1A5F">
        <w:rPr>
          <w:sz w:val="16"/>
          <w:szCs w:val="20"/>
        </w:rPr>
        <w:t>vii</w:t>
      </w:r>
      <w:proofErr w:type="spellEnd"/>
      <w:r w:rsidRPr="00DC1A5F">
        <w:rPr>
          <w:sz w:val="16"/>
          <w:szCs w:val="20"/>
        </w:rPr>
        <w:t xml:space="preserve">), </w:t>
      </w:r>
    </w:p>
    <w:p w14:paraId="30D4163C" w14:textId="77777777" w:rsidR="00597DE2" w:rsidRPr="00DC1A5F" w:rsidRDefault="00597DE2" w:rsidP="00597DE2">
      <w:pPr>
        <w:pStyle w:val="VersoIngls01Sangria"/>
        <w:tabs>
          <w:tab w:val="right" w:pos="4253"/>
        </w:tabs>
        <w:ind w:left="1418"/>
        <w:rPr>
          <w:sz w:val="16"/>
          <w:szCs w:val="20"/>
        </w:rPr>
      </w:pPr>
      <w:r w:rsidRPr="00DC1A5F">
        <w:rPr>
          <w:sz w:val="16"/>
          <w:szCs w:val="20"/>
        </w:rPr>
        <w:t xml:space="preserve">concentración </w:t>
      </w:r>
      <w:r w:rsidRPr="00DC1A5F">
        <w:rPr>
          <w:sz w:val="16"/>
          <w:szCs w:val="20"/>
        </w:rPr>
        <w:tab/>
        <w:t>(</w:t>
      </w:r>
      <w:proofErr w:type="spellStart"/>
      <w:r w:rsidRPr="00DC1A5F">
        <w:rPr>
          <w:sz w:val="16"/>
          <w:szCs w:val="20"/>
        </w:rPr>
        <w:t>viii</w:t>
      </w:r>
      <w:proofErr w:type="spellEnd"/>
      <w:r w:rsidRPr="00DC1A5F">
        <w:rPr>
          <w:sz w:val="16"/>
          <w:szCs w:val="20"/>
        </w:rPr>
        <w:t>),</w:t>
      </w:r>
    </w:p>
    <w:p w14:paraId="5365CF6A" w14:textId="77777777" w:rsidR="00597DE2" w:rsidRPr="00DC1A5F" w:rsidRDefault="00597DE2" w:rsidP="00597DE2">
      <w:pPr>
        <w:pStyle w:val="VersoIngls01Sangria"/>
        <w:ind w:hanging="849"/>
        <w:rPr>
          <w:sz w:val="16"/>
          <w:szCs w:val="20"/>
        </w:rPr>
      </w:pPr>
      <w:r w:rsidRPr="00DC1A5F">
        <w:rPr>
          <w:sz w:val="16"/>
          <w:szCs w:val="20"/>
        </w:rPr>
        <w:t>(</w:t>
      </w:r>
      <w:proofErr w:type="spellStart"/>
      <w:r w:rsidRPr="00DC1A5F">
        <w:rPr>
          <w:sz w:val="16"/>
          <w:szCs w:val="20"/>
        </w:rPr>
        <w:t>xxxvii</w:t>
      </w:r>
      <w:proofErr w:type="spellEnd"/>
      <w:r w:rsidRPr="00DC1A5F">
        <w:rPr>
          <w:sz w:val="16"/>
          <w:szCs w:val="20"/>
        </w:rPr>
        <w:t xml:space="preserve">). </w:t>
      </w:r>
      <w:r w:rsidRPr="00DC1A5F">
        <w:rPr>
          <w:sz w:val="16"/>
          <w:szCs w:val="20"/>
        </w:rPr>
        <w:tab/>
        <w:t>falta de consciencia,</w:t>
      </w:r>
    </w:p>
    <w:p w14:paraId="03D30AA0" w14:textId="77777777" w:rsidR="00597DE2" w:rsidRPr="00DC1A5F" w:rsidRDefault="00597DE2" w:rsidP="00597DE2">
      <w:pPr>
        <w:pStyle w:val="VersoIngls01Sangria"/>
        <w:ind w:hanging="849"/>
        <w:rPr>
          <w:sz w:val="16"/>
          <w:szCs w:val="20"/>
        </w:rPr>
      </w:pPr>
      <w:r w:rsidRPr="00DC1A5F">
        <w:rPr>
          <w:sz w:val="16"/>
          <w:szCs w:val="20"/>
        </w:rPr>
        <w:t>(</w:t>
      </w:r>
      <w:proofErr w:type="spellStart"/>
      <w:r w:rsidRPr="00DC1A5F">
        <w:rPr>
          <w:sz w:val="16"/>
          <w:szCs w:val="20"/>
        </w:rPr>
        <w:t>xxxviii</w:t>
      </w:r>
      <w:proofErr w:type="spellEnd"/>
      <w:r w:rsidRPr="00DC1A5F">
        <w:rPr>
          <w:sz w:val="16"/>
          <w:szCs w:val="20"/>
        </w:rPr>
        <w:t xml:space="preserve">). </w:t>
      </w:r>
      <w:r w:rsidRPr="00DC1A5F">
        <w:rPr>
          <w:sz w:val="16"/>
          <w:szCs w:val="20"/>
        </w:rPr>
        <w:tab/>
        <w:t>ausencia de temor moral,</w:t>
      </w:r>
    </w:p>
    <w:p w14:paraId="524B4BEE" w14:textId="77777777" w:rsidR="00597DE2" w:rsidRPr="00DC1A5F" w:rsidRDefault="00597DE2" w:rsidP="00597DE2">
      <w:pPr>
        <w:pStyle w:val="VersoIngls01Sangria"/>
        <w:ind w:hanging="849"/>
        <w:rPr>
          <w:sz w:val="16"/>
          <w:szCs w:val="20"/>
        </w:rPr>
      </w:pPr>
      <w:r w:rsidRPr="00DC1A5F">
        <w:rPr>
          <w:sz w:val="16"/>
          <w:szCs w:val="20"/>
        </w:rPr>
        <w:t>(</w:t>
      </w:r>
      <w:proofErr w:type="spellStart"/>
      <w:r w:rsidRPr="00DC1A5F">
        <w:rPr>
          <w:sz w:val="16"/>
          <w:szCs w:val="20"/>
        </w:rPr>
        <w:t>xxxix</w:t>
      </w:r>
      <w:proofErr w:type="spellEnd"/>
      <w:r w:rsidRPr="00DC1A5F">
        <w:rPr>
          <w:sz w:val="16"/>
          <w:szCs w:val="20"/>
        </w:rPr>
        <w:t>).</w:t>
      </w:r>
      <w:r w:rsidRPr="00DC1A5F">
        <w:rPr>
          <w:sz w:val="16"/>
          <w:szCs w:val="20"/>
        </w:rPr>
        <w:tab/>
        <w:t xml:space="preserve">codicia, </w:t>
      </w:r>
    </w:p>
    <w:p w14:paraId="2DACBEF5" w14:textId="77777777" w:rsidR="00597DE2" w:rsidRPr="00DC1A5F" w:rsidRDefault="00597DE2" w:rsidP="00597DE2">
      <w:pPr>
        <w:pStyle w:val="VersoIngls01Sangria"/>
        <w:ind w:hanging="849"/>
        <w:rPr>
          <w:sz w:val="16"/>
          <w:szCs w:val="20"/>
        </w:rPr>
      </w:pPr>
      <w:r w:rsidRPr="00DC1A5F">
        <w:rPr>
          <w:sz w:val="16"/>
          <w:szCs w:val="20"/>
        </w:rPr>
        <w:t>(</w:t>
      </w:r>
      <w:proofErr w:type="spellStart"/>
      <w:r w:rsidRPr="00DC1A5F">
        <w:rPr>
          <w:sz w:val="16"/>
          <w:szCs w:val="20"/>
        </w:rPr>
        <w:t>xl</w:t>
      </w:r>
      <w:proofErr w:type="spellEnd"/>
      <w:r w:rsidRPr="00DC1A5F">
        <w:rPr>
          <w:sz w:val="16"/>
          <w:szCs w:val="20"/>
        </w:rPr>
        <w:t xml:space="preserve">). </w:t>
      </w:r>
      <w:r w:rsidRPr="00DC1A5F">
        <w:rPr>
          <w:sz w:val="16"/>
          <w:szCs w:val="20"/>
        </w:rPr>
        <w:tab/>
        <w:t>ilusión,</w:t>
      </w:r>
    </w:p>
    <w:p w14:paraId="57267A25" w14:textId="77777777" w:rsidR="00597DE2" w:rsidRPr="00DC1A5F" w:rsidRDefault="00597DE2" w:rsidP="00597DE2">
      <w:pPr>
        <w:pStyle w:val="VersoIngls01Sangria"/>
        <w:spacing w:after="100"/>
        <w:ind w:left="1418" w:hanging="851"/>
        <w:rPr>
          <w:sz w:val="16"/>
          <w:szCs w:val="20"/>
        </w:rPr>
      </w:pPr>
      <w:r w:rsidRPr="00DC1A5F">
        <w:rPr>
          <w:sz w:val="16"/>
          <w:szCs w:val="20"/>
        </w:rPr>
        <w:t>(</w:t>
      </w:r>
      <w:proofErr w:type="spellStart"/>
      <w:r w:rsidRPr="00DC1A5F">
        <w:rPr>
          <w:sz w:val="16"/>
          <w:szCs w:val="20"/>
        </w:rPr>
        <w:t>xli</w:t>
      </w:r>
      <w:proofErr w:type="spellEnd"/>
      <w:r w:rsidRPr="00DC1A5F">
        <w:rPr>
          <w:sz w:val="16"/>
          <w:szCs w:val="20"/>
        </w:rPr>
        <w:t xml:space="preserve">). </w:t>
      </w:r>
      <w:r w:rsidRPr="00DC1A5F">
        <w:rPr>
          <w:sz w:val="16"/>
          <w:szCs w:val="20"/>
        </w:rPr>
        <w:tab/>
        <w:t>visión incorrecta.</w:t>
      </w:r>
    </w:p>
    <w:p w14:paraId="7A28BFAB" w14:textId="77777777" w:rsidR="00597DE2" w:rsidRPr="00DC1A5F" w:rsidRDefault="00597DE2" w:rsidP="00597DE2">
      <w:pPr>
        <w:pStyle w:val="Textoindependiente"/>
      </w:pPr>
      <w:r w:rsidRPr="00DC1A5F">
        <w:t xml:space="preserve">Los 4 estados, o–de–cualquier–estado, son estos: </w:t>
      </w:r>
    </w:p>
    <w:p w14:paraId="084E0859" w14:textId="77777777" w:rsidR="00597DE2" w:rsidRPr="00DC1A5F" w:rsidRDefault="00597DE2" w:rsidP="00597DE2">
      <w:pPr>
        <w:pStyle w:val="VersoIngls01Sangria"/>
        <w:tabs>
          <w:tab w:val="right" w:pos="4253"/>
        </w:tabs>
        <w:ind w:left="1418"/>
        <w:rPr>
          <w:sz w:val="16"/>
          <w:szCs w:val="20"/>
        </w:rPr>
      </w:pPr>
      <w:r w:rsidRPr="00DC1A5F">
        <w:rPr>
          <w:sz w:val="16"/>
          <w:szCs w:val="20"/>
        </w:rPr>
        <w:t xml:space="preserve">celo </w:t>
      </w:r>
      <w:r w:rsidRPr="00DC1A5F">
        <w:rPr>
          <w:sz w:val="16"/>
          <w:szCs w:val="20"/>
        </w:rPr>
        <w:tab/>
        <w:t>(</w:t>
      </w:r>
      <w:proofErr w:type="spellStart"/>
      <w:r w:rsidRPr="00DC1A5F">
        <w:rPr>
          <w:sz w:val="16"/>
          <w:szCs w:val="20"/>
        </w:rPr>
        <w:t>xxviii</w:t>
      </w:r>
      <w:proofErr w:type="spellEnd"/>
      <w:r w:rsidRPr="00DC1A5F">
        <w:rPr>
          <w:sz w:val="16"/>
          <w:szCs w:val="20"/>
        </w:rPr>
        <w:t>),</w:t>
      </w:r>
    </w:p>
    <w:p w14:paraId="34A2F04F" w14:textId="77777777" w:rsidR="00597DE2" w:rsidRPr="00DC1A5F" w:rsidRDefault="00597DE2" w:rsidP="00597DE2">
      <w:pPr>
        <w:pStyle w:val="VersoIngls01Sangria"/>
        <w:tabs>
          <w:tab w:val="right" w:pos="4253"/>
        </w:tabs>
        <w:ind w:left="1418"/>
        <w:rPr>
          <w:sz w:val="16"/>
          <w:szCs w:val="20"/>
        </w:rPr>
      </w:pPr>
      <w:r w:rsidRPr="00DC1A5F">
        <w:rPr>
          <w:sz w:val="16"/>
          <w:szCs w:val="20"/>
        </w:rPr>
        <w:t xml:space="preserve">resolución </w:t>
      </w:r>
      <w:r w:rsidRPr="00DC1A5F">
        <w:rPr>
          <w:sz w:val="16"/>
          <w:szCs w:val="20"/>
        </w:rPr>
        <w:tab/>
        <w:t>(</w:t>
      </w:r>
      <w:proofErr w:type="spellStart"/>
      <w:r w:rsidRPr="00DC1A5F">
        <w:rPr>
          <w:sz w:val="16"/>
          <w:szCs w:val="20"/>
        </w:rPr>
        <w:t>xxix</w:t>
      </w:r>
      <w:proofErr w:type="spellEnd"/>
      <w:r w:rsidRPr="00DC1A5F">
        <w:rPr>
          <w:sz w:val="16"/>
          <w:szCs w:val="20"/>
        </w:rPr>
        <w:t>),</w:t>
      </w:r>
    </w:p>
    <w:p w14:paraId="69E9E675" w14:textId="77777777" w:rsidR="00597DE2" w:rsidRPr="00DC1A5F" w:rsidRDefault="00597DE2" w:rsidP="00597DE2">
      <w:pPr>
        <w:pStyle w:val="VersoIngls01Sangria"/>
        <w:ind w:hanging="849"/>
        <w:rPr>
          <w:sz w:val="16"/>
          <w:szCs w:val="20"/>
        </w:rPr>
      </w:pPr>
      <w:r w:rsidRPr="00DC1A5F">
        <w:rPr>
          <w:sz w:val="16"/>
          <w:szCs w:val="20"/>
        </w:rPr>
        <w:t>(</w:t>
      </w:r>
      <w:proofErr w:type="spellStart"/>
      <w:r w:rsidRPr="00DC1A5F">
        <w:rPr>
          <w:sz w:val="16"/>
          <w:szCs w:val="20"/>
        </w:rPr>
        <w:t>xlii</w:t>
      </w:r>
      <w:proofErr w:type="spellEnd"/>
      <w:r w:rsidRPr="00DC1A5F">
        <w:rPr>
          <w:sz w:val="16"/>
          <w:szCs w:val="20"/>
        </w:rPr>
        <w:t xml:space="preserve">). </w:t>
      </w:r>
      <w:r w:rsidRPr="00DC1A5F">
        <w:rPr>
          <w:sz w:val="16"/>
          <w:szCs w:val="20"/>
        </w:rPr>
        <w:tab/>
        <w:t xml:space="preserve">agitación, </w:t>
      </w:r>
    </w:p>
    <w:p w14:paraId="4D3AF596" w14:textId="77777777" w:rsidR="00597DE2" w:rsidRPr="00DC1A5F" w:rsidRDefault="00597DE2" w:rsidP="00597DE2">
      <w:pPr>
        <w:pStyle w:val="VersoIngls01Sangria"/>
        <w:tabs>
          <w:tab w:val="right" w:pos="4253"/>
        </w:tabs>
        <w:ind w:left="1418"/>
        <w:rPr>
          <w:sz w:val="16"/>
          <w:szCs w:val="20"/>
        </w:rPr>
      </w:pPr>
      <w:r w:rsidRPr="00DC1A5F">
        <w:rPr>
          <w:sz w:val="16"/>
          <w:szCs w:val="20"/>
        </w:rPr>
        <w:t xml:space="preserve">atención </w:t>
      </w:r>
      <w:r w:rsidRPr="00DC1A5F">
        <w:rPr>
          <w:sz w:val="16"/>
          <w:szCs w:val="20"/>
        </w:rPr>
        <w:tab/>
        <w:t>(</w:t>
      </w:r>
      <w:proofErr w:type="spellStart"/>
      <w:r w:rsidRPr="00DC1A5F">
        <w:rPr>
          <w:sz w:val="16"/>
          <w:szCs w:val="20"/>
        </w:rPr>
        <w:t>xxx</w:t>
      </w:r>
      <w:proofErr w:type="spellEnd"/>
      <w:r w:rsidRPr="00DC1A5F">
        <w:rPr>
          <w:sz w:val="16"/>
          <w:szCs w:val="20"/>
        </w:rPr>
        <w:t>).</w:t>
      </w:r>
    </w:p>
    <w:p w14:paraId="69EC6896" w14:textId="77777777" w:rsidR="00597DE2" w:rsidRPr="00DC1A5F" w:rsidRDefault="00597DE2" w:rsidP="00597DE2">
      <w:r w:rsidRPr="00DC1A5F">
        <w:t xml:space="preserve">160. </w:t>
      </w:r>
      <w:r w:rsidRPr="00DC1A5F">
        <w:tab/>
        <w:t>Aquí, la formación (</w:t>
      </w:r>
      <w:proofErr w:type="spellStart"/>
      <w:r w:rsidRPr="00DC1A5F">
        <w:t>xxxvii</w:t>
      </w:r>
      <w:proofErr w:type="spellEnd"/>
      <w:r w:rsidRPr="00DC1A5F">
        <w:t>) no poseerá escrúpulos de consciencia, por lo que corresponderá a una falta de consciencia. (</w:t>
      </w:r>
      <w:proofErr w:type="spellStart"/>
      <w:r w:rsidRPr="00DC1A5F">
        <w:t>xxxviii</w:t>
      </w:r>
      <w:proofErr w:type="spellEnd"/>
      <w:r w:rsidRPr="00DC1A5F">
        <w:t xml:space="preserve">) No poseerá vergüenza, por lo tanto, estará carente de vergüenza. De éstas, la falta de consciencia tiene la </w:t>
      </w:r>
      <w:r w:rsidRPr="00DC1A5F">
        <w:rPr>
          <w:i/>
          <w:iCs/>
        </w:rPr>
        <w:t>característica</w:t>
      </w:r>
      <w:r w:rsidRPr="00DC1A5F">
        <w:t xml:space="preserve"> de la ausencia de repugnancia hacia la mala conducta corporal, etc., o tiene la </w:t>
      </w:r>
      <w:r w:rsidRPr="00DC1A5F">
        <w:rPr>
          <w:i/>
          <w:iCs/>
        </w:rPr>
        <w:t>característica</w:t>
      </w:r>
      <w:r w:rsidRPr="00DC1A5F">
        <w:t xml:space="preserve"> de la inmodestia. La </w:t>
      </w:r>
      <w:r w:rsidRPr="00DC1A5F">
        <w:rPr>
          <w:i/>
          <w:iCs/>
        </w:rPr>
        <w:t>desvergüenza</w:t>
      </w:r>
      <w:r w:rsidRPr="00DC1A5F">
        <w:t xml:space="preserve"> tiene la </w:t>
      </w:r>
      <w:r w:rsidRPr="00DC1A5F">
        <w:rPr>
          <w:i/>
          <w:iCs/>
        </w:rPr>
        <w:t>característica</w:t>
      </w:r>
      <w:r w:rsidRPr="00DC1A5F">
        <w:t xml:space="preserve"> de ausencia de pavor hacia su responsabilidad, o posee la </w:t>
      </w:r>
      <w:r w:rsidRPr="00DC1A5F">
        <w:rPr>
          <w:i/>
          <w:iCs/>
        </w:rPr>
        <w:t>característica</w:t>
      </w:r>
      <w:r w:rsidRPr="00DC1A5F">
        <w:t xml:space="preserve"> de ausencia de ansiedad hacia ella. Ésta está resumida aquí. El detalle, sin embargo, será lo contrario de lo que se dijo anteriormente bajo la consciencia (xi) y la vergüenza (</w:t>
      </w:r>
      <w:proofErr w:type="spellStart"/>
      <w:r w:rsidRPr="00DC1A5F">
        <w:t>xii</w:t>
      </w:r>
      <w:proofErr w:type="spellEnd"/>
      <w:r w:rsidRPr="00DC1A5F">
        <w:t>).</w:t>
      </w:r>
    </w:p>
    <w:p w14:paraId="2D752E51" w14:textId="77777777" w:rsidR="00597DE2" w:rsidRPr="00DC1A5F" w:rsidRDefault="00597DE2" w:rsidP="00597DE2">
      <w:r w:rsidRPr="00DC1A5F">
        <w:t xml:space="preserve">161. </w:t>
      </w:r>
      <w:r w:rsidRPr="00DC1A5F">
        <w:tab/>
        <w:t>(</w:t>
      </w:r>
      <w:proofErr w:type="spellStart"/>
      <w:r w:rsidRPr="00DC1A5F">
        <w:t>xxxix</w:t>
      </w:r>
      <w:proofErr w:type="spellEnd"/>
      <w:r w:rsidRPr="00DC1A5F">
        <w:t xml:space="preserve">) Por medio de la codicia, ellos serán codiciosos, o será en sí mismo codicia, o será el simple y solo hecho de ser codicioso, por lo tanto, es así como será </w:t>
      </w:r>
      <w:r w:rsidRPr="00DC1A5F">
        <w:rPr>
          <w:i/>
          <w:iCs/>
        </w:rPr>
        <w:t>codicia</w:t>
      </w:r>
      <w:r w:rsidRPr="00DC1A5F">
        <w:t>. (</w:t>
      </w:r>
      <w:proofErr w:type="spellStart"/>
      <w:r w:rsidRPr="00DC1A5F">
        <w:t>xl</w:t>
      </w:r>
      <w:proofErr w:type="spellEnd"/>
      <w:r w:rsidRPr="00DC1A5F">
        <w:t xml:space="preserve">) Por su intermedio ellos serán engañados, o será en sí mismo ilusión, o será el simple y solo hecho de ser engañado, por lo tanto, corresponderá a la </w:t>
      </w:r>
      <w:r w:rsidRPr="00DC1A5F">
        <w:rPr>
          <w:i/>
          <w:iCs/>
        </w:rPr>
        <w:t>ilusión</w:t>
      </w:r>
      <w:r w:rsidRPr="00DC1A5F">
        <w:t>.</w:t>
      </w:r>
    </w:p>
    <w:p w14:paraId="037E9B84" w14:textId="77777777" w:rsidR="00597DE2" w:rsidRPr="00DC1A5F" w:rsidRDefault="00597DE2" w:rsidP="00597DE2">
      <w:r w:rsidRPr="00DC1A5F">
        <w:t xml:space="preserve">162. </w:t>
      </w:r>
      <w:r w:rsidRPr="00DC1A5F">
        <w:tab/>
        <w:t xml:space="preserve">De estos, la </w:t>
      </w:r>
      <w:r w:rsidRPr="00DC1A5F">
        <w:rPr>
          <w:i/>
          <w:iCs/>
        </w:rPr>
        <w:t>codicia</w:t>
      </w:r>
      <w:r w:rsidRPr="00DC1A5F">
        <w:t xml:space="preserve"> tiene la </w:t>
      </w:r>
      <w:r w:rsidRPr="00DC1A5F">
        <w:rPr>
          <w:i/>
          <w:iCs/>
        </w:rPr>
        <w:t>característica</w:t>
      </w:r>
      <w:r w:rsidRPr="00DC1A5F">
        <w:t xml:space="preserve"> de aferrarse a un objeto, como la lima de pájaro (literalmente, “la lima de mono”). Su </w:t>
      </w:r>
      <w:r w:rsidRPr="00DC1A5F">
        <w:rPr>
          <w:i/>
          <w:iCs/>
        </w:rPr>
        <w:t>función</w:t>
      </w:r>
      <w:r w:rsidRPr="00DC1A5F">
        <w:t xml:space="preserve"> es la de adherirse, como la carne puesta sobre una sartén caliente. Se </w:t>
      </w:r>
      <w:r w:rsidRPr="00DC1A5F">
        <w:rPr>
          <w:i/>
          <w:iCs/>
        </w:rPr>
        <w:t>manifiesta</w:t>
      </w:r>
      <w:r w:rsidRPr="00DC1A5F">
        <w:t xml:space="preserve"> como no darse por vencido, como el tinte de una lampara negra. Su </w:t>
      </w:r>
      <w:r w:rsidRPr="00DC1A5F">
        <w:rPr>
          <w:i/>
          <w:iCs/>
        </w:rPr>
        <w:t>causa próxima</w:t>
      </w:r>
      <w:r w:rsidRPr="00DC1A5F">
        <w:t xml:space="preserve"> es apreciar el placer en las cosas que conducen hacia la esclavitud. Hinchándose con la corriente del deseo, debe considerarse que conduce a los seres consigo hacia los estados de perdición, como lo hace un río que fluye rápidamente hacia el gran océano.</w:t>
      </w:r>
    </w:p>
    <w:p w14:paraId="2B20D25F" w14:textId="77777777" w:rsidR="00597DE2" w:rsidRPr="00DC1A5F" w:rsidRDefault="00597DE2" w:rsidP="00597DE2">
      <w:r w:rsidRPr="00DC1A5F">
        <w:t xml:space="preserve">163. </w:t>
      </w:r>
      <w:r w:rsidRPr="00DC1A5F">
        <w:tab/>
        <w:t xml:space="preserve">La </w:t>
      </w:r>
      <w:r w:rsidRPr="00DC1A5F">
        <w:rPr>
          <w:i/>
          <w:iCs/>
        </w:rPr>
        <w:t>ilusión</w:t>
      </w:r>
      <w:r w:rsidRPr="00DC1A5F">
        <w:t xml:space="preserve"> tiene la </w:t>
      </w:r>
      <w:r w:rsidRPr="00DC1A5F">
        <w:rPr>
          <w:i/>
          <w:iCs/>
        </w:rPr>
        <w:t>característica</w:t>
      </w:r>
      <w:r w:rsidRPr="00DC1A5F">
        <w:t xml:space="preserve"> de la ceguera, o tiene la </w:t>
      </w:r>
      <w:r w:rsidRPr="00DC1A5F">
        <w:rPr>
          <w:i/>
          <w:iCs/>
        </w:rPr>
        <w:t>característica</w:t>
      </w:r>
      <w:r w:rsidRPr="00DC1A5F">
        <w:t xml:space="preserve"> del desconocimiento. Su </w:t>
      </w:r>
      <w:r w:rsidRPr="00DC1A5F">
        <w:rPr>
          <w:i/>
          <w:iCs/>
        </w:rPr>
        <w:t>función</w:t>
      </w:r>
      <w:r w:rsidRPr="00DC1A5F">
        <w:t xml:space="preserve"> es la no–penetración, o su </w:t>
      </w:r>
      <w:r w:rsidRPr="00DC1A5F">
        <w:rPr>
          <w:i/>
          <w:iCs/>
        </w:rPr>
        <w:t>función</w:t>
      </w:r>
      <w:r w:rsidRPr="00DC1A5F">
        <w:t xml:space="preserve"> es ocultar la esencia individual de un objeto. Se </w:t>
      </w:r>
      <w:r w:rsidRPr="00DC1A5F">
        <w:rPr>
          <w:i/>
          <w:iCs/>
        </w:rPr>
        <w:t>manifiesta</w:t>
      </w:r>
      <w:r w:rsidRPr="00DC1A5F">
        <w:t xml:space="preserve"> como la ausencia de una teoría correcta (ver Cap. XVII, §52), o se </w:t>
      </w:r>
      <w:r w:rsidRPr="00DC1A5F">
        <w:rPr>
          <w:i/>
          <w:iCs/>
        </w:rPr>
        <w:t>manifiesta</w:t>
      </w:r>
      <w:r w:rsidRPr="00DC1A5F">
        <w:t xml:space="preserve"> como oscuridad. Su </w:t>
      </w:r>
      <w:r w:rsidRPr="00DC1A5F">
        <w:rPr>
          <w:i/>
          <w:iCs/>
        </w:rPr>
        <w:t>causa próxima</w:t>
      </w:r>
      <w:r w:rsidRPr="00DC1A5F">
        <w:t xml:space="preserve"> es la atención insensata (injustificada). Debe ser considerado como la raíz de todo lo que sea improductivo.</w:t>
      </w:r>
    </w:p>
    <w:p w14:paraId="253361ED" w14:textId="77777777" w:rsidR="00597DE2" w:rsidRPr="00DC1A5F" w:rsidRDefault="00597DE2" w:rsidP="00597DE2">
      <w:r w:rsidRPr="00DC1A5F">
        <w:t xml:space="preserve">164. </w:t>
      </w:r>
      <w:r w:rsidRPr="00DC1A5F">
        <w:tab/>
        <w:t>(</w:t>
      </w:r>
      <w:proofErr w:type="spellStart"/>
      <w:r w:rsidRPr="00DC1A5F">
        <w:t>xli</w:t>
      </w:r>
      <w:proofErr w:type="spellEnd"/>
      <w:r w:rsidRPr="00DC1A5F">
        <w:t xml:space="preserve">) Por su medio se observa incorrectamente u observa por sí mismo incorrectamente, o es solo el simple hecho de observar incorrectamente, por lo tanto, es así cómo será una </w:t>
      </w:r>
      <w:r w:rsidRPr="00DC1A5F">
        <w:rPr>
          <w:i/>
          <w:iCs/>
        </w:rPr>
        <w:t>visión incorrecta</w:t>
      </w:r>
      <w:r w:rsidRPr="00DC1A5F">
        <w:t xml:space="preserve">. Su característica [469] es la interpretación insensata (injustificada). Su </w:t>
      </w:r>
      <w:r w:rsidRPr="00DC1A5F">
        <w:rPr>
          <w:i/>
          <w:iCs/>
        </w:rPr>
        <w:t>función</w:t>
      </w:r>
      <w:r w:rsidRPr="00DC1A5F">
        <w:t xml:space="preserve"> es presumir. Se </w:t>
      </w:r>
      <w:r w:rsidRPr="00DC1A5F">
        <w:rPr>
          <w:i/>
          <w:iCs/>
        </w:rPr>
        <w:t>manifiesta</w:t>
      </w:r>
      <w:r w:rsidRPr="00DC1A5F">
        <w:t xml:space="preserve"> como una mala interpretación. Su </w:t>
      </w:r>
      <w:r w:rsidRPr="00DC1A5F">
        <w:rPr>
          <w:i/>
          <w:iCs/>
        </w:rPr>
        <w:t>causa próxima</w:t>
      </w:r>
      <w:r w:rsidRPr="00DC1A5F">
        <w:t xml:space="preserve"> es la falta de voluntad para apreciar a los Nobles, etc. Deberá ser considerado como lo más censurable entre todo.</w:t>
      </w:r>
    </w:p>
    <w:p w14:paraId="3F408BA7" w14:textId="77777777" w:rsidR="00597DE2" w:rsidRPr="00DC1A5F" w:rsidRDefault="00597DE2" w:rsidP="00597DE2">
      <w:r w:rsidRPr="00DC1A5F">
        <w:t xml:space="preserve">165. </w:t>
      </w:r>
      <w:r w:rsidRPr="00DC1A5F">
        <w:tab/>
        <w:t>(</w:t>
      </w:r>
      <w:proofErr w:type="spellStart"/>
      <w:r w:rsidRPr="00DC1A5F">
        <w:t>xlii</w:t>
      </w:r>
      <w:proofErr w:type="spellEnd"/>
      <w:r w:rsidRPr="00DC1A5F">
        <w:t xml:space="preserve">) La </w:t>
      </w:r>
      <w:r w:rsidRPr="00DC1A5F">
        <w:rPr>
          <w:i/>
          <w:iCs/>
        </w:rPr>
        <w:t>agitación</w:t>
      </w:r>
      <w:r w:rsidRPr="00DC1A5F">
        <w:t xml:space="preserve"> corresponderá a la intranquilidad. Tiene la </w:t>
      </w:r>
      <w:r w:rsidRPr="00DC1A5F">
        <w:rPr>
          <w:i/>
          <w:iCs/>
        </w:rPr>
        <w:t>característica</w:t>
      </w:r>
      <w:r w:rsidRPr="00DC1A5F">
        <w:t xml:space="preserve"> de la inquietud, como el agua azotada por el viento. Su </w:t>
      </w:r>
      <w:r w:rsidRPr="00DC1A5F">
        <w:rPr>
          <w:i/>
          <w:iCs/>
        </w:rPr>
        <w:t>función</w:t>
      </w:r>
      <w:r w:rsidRPr="00DC1A5F">
        <w:t xml:space="preserve"> es la inestabilidad, como una bandera o pendón azotado por el viento. Se </w:t>
      </w:r>
      <w:r w:rsidRPr="00DC1A5F">
        <w:rPr>
          <w:i/>
          <w:iCs/>
        </w:rPr>
        <w:t>manifiesta</w:t>
      </w:r>
      <w:r w:rsidRPr="00DC1A5F">
        <w:t xml:space="preserve"> como agitación, como el polvo esparcido al tirar una piedra.</w:t>
      </w:r>
    </w:p>
    <w:p w14:paraId="2A3A553E" w14:textId="77777777" w:rsidR="00597DE2" w:rsidRPr="00DC1A5F" w:rsidRDefault="00597DE2" w:rsidP="00597DE2">
      <w:pPr>
        <w:tabs>
          <w:tab w:val="clear" w:pos="425"/>
        </w:tabs>
        <w:spacing w:after="160"/>
      </w:pPr>
      <w:r w:rsidRPr="00DC1A5F">
        <w:br w:type="page"/>
      </w:r>
    </w:p>
    <w:p w14:paraId="1AE5019E" w14:textId="77777777" w:rsidR="00597DE2" w:rsidRPr="00DC1A5F" w:rsidRDefault="00597DE2" w:rsidP="00597DE2">
      <w:pPr>
        <w:spacing w:after="60"/>
      </w:pPr>
      <w:r w:rsidRPr="00DC1A5F">
        <w:lastRenderedPageBreak/>
        <w:t xml:space="preserve">Su </w:t>
      </w:r>
      <w:r w:rsidRPr="00DC1A5F">
        <w:rPr>
          <w:i/>
          <w:iCs/>
        </w:rPr>
        <w:t>causa próxima</w:t>
      </w:r>
      <w:r w:rsidRPr="00DC1A5F">
        <w:t xml:space="preserve"> es la atención insensata hacia la inquietud mental. Debe ser considerada como una distracción de la consciencia.</w:t>
      </w:r>
    </w:p>
    <w:p w14:paraId="5E7BD8EC" w14:textId="77777777" w:rsidR="00597DE2" w:rsidRPr="00DC1A5F" w:rsidRDefault="00597DE2" w:rsidP="00597DE2">
      <w:pPr>
        <w:spacing w:after="60"/>
      </w:pPr>
      <w:r w:rsidRPr="00DC1A5F">
        <w:t xml:space="preserve">166. </w:t>
      </w:r>
      <w:r w:rsidRPr="00DC1A5F">
        <w:tab/>
        <w:t>Las restantes formaciones aquí deben entenderse como las que ya han sido enunciadas bajo las clases productivas. Porque será sólo la ausencia de productividad lo que las diferenciará como negativas.</w:t>
      </w:r>
    </w:p>
    <w:p w14:paraId="503DBD5C" w14:textId="77777777" w:rsidR="00597DE2" w:rsidRPr="00DC1A5F" w:rsidRDefault="00597DE2" w:rsidP="00597DE2">
      <w:pPr>
        <w:pStyle w:val="NormalConSangria"/>
        <w:spacing w:after="60"/>
      </w:pPr>
      <w:r w:rsidRPr="00DC1A5F">
        <w:t>Así que éstas serán las 17 formaciones que deberán entenderse como asociadas con la primera consciencia improductiva (22).</w:t>
      </w:r>
    </w:p>
    <w:p w14:paraId="6B965447" w14:textId="77777777" w:rsidR="00597DE2" w:rsidRPr="00DC1A5F" w:rsidRDefault="00597DE2" w:rsidP="00597DE2">
      <w:pPr>
        <w:pStyle w:val="NormalConSangria"/>
        <w:spacing w:after="60"/>
      </w:pPr>
      <w:r w:rsidRPr="00DC1A5F">
        <w:t>(23) Y lo mismo que con la primera, así también será con la segunda (23), no obstante, aquí la diferencia corresponderá a la incitación y la inconstante ocurrencia de (</w:t>
      </w:r>
      <w:proofErr w:type="spellStart"/>
      <w:r w:rsidRPr="00DC1A5F">
        <w:t>xliii</w:t>
      </w:r>
      <w:proofErr w:type="spellEnd"/>
      <w:r w:rsidRPr="00DC1A5F">
        <w:t>) la pereza</w:t>
      </w:r>
      <w:r w:rsidRPr="00DC1A5F">
        <w:rPr>
          <w:rFonts w:cs="Cormorant"/>
        </w:rPr>
        <w:t>‒</w:t>
      </w:r>
      <w:r w:rsidRPr="00DC1A5F">
        <w:t>y</w:t>
      </w:r>
      <w:r w:rsidRPr="00DC1A5F">
        <w:rPr>
          <w:rFonts w:cs="Cormorant"/>
        </w:rPr>
        <w:t>‒</w:t>
      </w:r>
      <w:r w:rsidRPr="00DC1A5F">
        <w:t>letargo.</w:t>
      </w:r>
    </w:p>
    <w:p w14:paraId="012C0A2E" w14:textId="77777777" w:rsidR="00597DE2" w:rsidRPr="00DC1A5F" w:rsidRDefault="00597DE2" w:rsidP="00597DE2">
      <w:pPr>
        <w:spacing w:after="60"/>
      </w:pPr>
      <w:r w:rsidRPr="00DC1A5F">
        <w:t xml:space="preserve">167. </w:t>
      </w:r>
      <w:r w:rsidRPr="00DC1A5F">
        <w:tab/>
        <w:t>Aquí, (</w:t>
      </w:r>
      <w:proofErr w:type="spellStart"/>
      <w:r w:rsidRPr="00DC1A5F">
        <w:t>xliii</w:t>
      </w:r>
      <w:proofErr w:type="spellEnd"/>
      <w:r w:rsidRPr="00DC1A5F">
        <w:t>) el endurecimiento (</w:t>
      </w:r>
      <w:proofErr w:type="spellStart"/>
      <w:r w:rsidRPr="00DC1A5F">
        <w:rPr>
          <w:i/>
          <w:iCs/>
        </w:rPr>
        <w:t>thīnanatā</w:t>
      </w:r>
      <w:proofErr w:type="spellEnd"/>
      <w:r w:rsidRPr="00DC1A5F">
        <w:t>) corresponderá a la rigidez (</w:t>
      </w:r>
      <w:proofErr w:type="spellStart"/>
      <w:r w:rsidRPr="00DC1A5F">
        <w:rPr>
          <w:i/>
          <w:iCs/>
        </w:rPr>
        <w:t>thīna</w:t>
      </w:r>
      <w:proofErr w:type="spellEnd"/>
      <w:r w:rsidRPr="00DC1A5F">
        <w:t>); el entorpecimiento (</w:t>
      </w:r>
      <w:proofErr w:type="spellStart"/>
      <w:r w:rsidRPr="00DC1A5F">
        <w:rPr>
          <w:i/>
          <w:iCs/>
        </w:rPr>
        <w:t>middhanatā</w:t>
      </w:r>
      <w:proofErr w:type="spellEnd"/>
      <w:r w:rsidRPr="00DC1A5F">
        <w:t>) al letargo (</w:t>
      </w:r>
      <w:proofErr w:type="spellStart"/>
      <w:r w:rsidRPr="00DC1A5F">
        <w:rPr>
          <w:i/>
          <w:iCs/>
        </w:rPr>
        <w:t>middha</w:t>
      </w:r>
      <w:proofErr w:type="spellEnd"/>
      <w:r w:rsidRPr="00DC1A5F">
        <w:t xml:space="preserve">). El significado es parálisis por falta de urgencia y pérdida de vigor. El compuesto </w:t>
      </w:r>
      <w:proofErr w:type="spellStart"/>
      <w:r w:rsidRPr="00DC1A5F">
        <w:rPr>
          <w:i/>
          <w:iCs/>
        </w:rPr>
        <w:t>thīnamiddha</w:t>
      </w:r>
      <w:proofErr w:type="spellEnd"/>
      <w:r w:rsidRPr="00DC1A5F">
        <w:t xml:space="preserve"> (</w:t>
      </w:r>
      <w:r w:rsidRPr="00DC1A5F">
        <w:rPr>
          <w:i/>
          <w:iCs/>
        </w:rPr>
        <w:t>rigidez y letargo</w:t>
      </w:r>
      <w:r w:rsidRPr="00DC1A5F">
        <w:t xml:space="preserve">) debe resolverse en </w:t>
      </w:r>
      <w:proofErr w:type="spellStart"/>
      <w:r w:rsidRPr="00DC1A5F">
        <w:rPr>
          <w:i/>
          <w:iCs/>
        </w:rPr>
        <w:t>thīnañ</w:t>
      </w:r>
      <w:proofErr w:type="spellEnd"/>
      <w:r w:rsidRPr="00DC1A5F">
        <w:rPr>
          <w:i/>
          <w:iCs/>
        </w:rPr>
        <w:t xml:space="preserve"> ca </w:t>
      </w:r>
      <w:proofErr w:type="spellStart"/>
      <w:r w:rsidRPr="00DC1A5F">
        <w:rPr>
          <w:i/>
          <w:iCs/>
        </w:rPr>
        <w:t>middhañ</w:t>
      </w:r>
      <w:proofErr w:type="spellEnd"/>
      <w:r w:rsidRPr="00DC1A5F">
        <w:rPr>
          <w:i/>
          <w:iCs/>
        </w:rPr>
        <w:t xml:space="preserve"> ca</w:t>
      </w:r>
      <w:r w:rsidRPr="00DC1A5F">
        <w:t xml:space="preserve">. Aquí, la rigidez tendrá la </w:t>
      </w:r>
      <w:r w:rsidRPr="00DC1A5F">
        <w:rPr>
          <w:i/>
          <w:iCs/>
        </w:rPr>
        <w:t>característica</w:t>
      </w:r>
      <w:r w:rsidRPr="00DC1A5F">
        <w:t xml:space="preserve"> de la falta de fuerza impulsora. Su </w:t>
      </w:r>
      <w:r w:rsidRPr="00DC1A5F">
        <w:rPr>
          <w:i/>
          <w:iCs/>
        </w:rPr>
        <w:t>función</w:t>
      </w:r>
      <w:r w:rsidRPr="00DC1A5F">
        <w:t xml:space="preserve"> es sustraer la energía. Se </w:t>
      </w:r>
      <w:r w:rsidRPr="00DC1A5F">
        <w:rPr>
          <w:i/>
          <w:iCs/>
        </w:rPr>
        <w:t>manifiesta</w:t>
      </w:r>
      <w:r w:rsidRPr="00DC1A5F">
        <w:t xml:space="preserve"> como hundimiento. El </w:t>
      </w:r>
      <w:r w:rsidRPr="00DC1A5F">
        <w:rPr>
          <w:i/>
          <w:iCs/>
        </w:rPr>
        <w:t>letargo</w:t>
      </w:r>
      <w:r w:rsidRPr="00DC1A5F">
        <w:t xml:space="preserve"> tiene la </w:t>
      </w:r>
      <w:r w:rsidRPr="00DC1A5F">
        <w:rPr>
          <w:i/>
          <w:iCs/>
        </w:rPr>
        <w:t>característica</w:t>
      </w:r>
      <w:r w:rsidRPr="00DC1A5F">
        <w:t xml:space="preserve"> de la </w:t>
      </w:r>
      <w:proofErr w:type="spellStart"/>
      <w:r w:rsidRPr="00DC1A5F">
        <w:t>inmanejabilidad</w:t>
      </w:r>
      <w:proofErr w:type="spellEnd"/>
      <w:r w:rsidRPr="00DC1A5F">
        <w:t xml:space="preserve">. Su </w:t>
      </w:r>
      <w:r w:rsidRPr="00DC1A5F">
        <w:rPr>
          <w:i/>
          <w:iCs/>
        </w:rPr>
        <w:t>función</w:t>
      </w:r>
      <w:r w:rsidRPr="00DC1A5F">
        <w:t xml:space="preserve"> es sofocar. Se </w:t>
      </w:r>
      <w:r w:rsidRPr="00DC1A5F">
        <w:rPr>
          <w:i/>
          <w:iCs/>
        </w:rPr>
        <w:t>manifiesta</w:t>
      </w:r>
      <w:r w:rsidRPr="00DC1A5F">
        <w:t xml:space="preserve"> como pereza, o se </w:t>
      </w:r>
      <w:r w:rsidRPr="00DC1A5F">
        <w:rPr>
          <w:i/>
          <w:iCs/>
        </w:rPr>
        <w:t>manifiesta</w:t>
      </w:r>
      <w:r w:rsidRPr="00DC1A5F">
        <w:t xml:space="preserve"> como cabeceo y sueño.</w:t>
      </w:r>
      <w:r w:rsidRPr="00DC1A5F">
        <w:rPr>
          <w:vertAlign w:val="superscript"/>
        </w:rPr>
        <w:t>68</w:t>
      </w:r>
      <w:r w:rsidRPr="00DC1A5F">
        <w:t xml:space="preserve"> La causa inmediata de ambos será la atención insensata hacia el aburrimiento, la pereza, etc.</w:t>
      </w:r>
    </w:p>
    <w:p w14:paraId="118F26DC" w14:textId="77777777" w:rsidR="00597DE2" w:rsidRPr="00DC1A5F" w:rsidRDefault="00597DE2" w:rsidP="00597DE2">
      <w:pPr>
        <w:spacing w:after="60"/>
      </w:pPr>
      <w:r w:rsidRPr="00DC1A5F">
        <w:t xml:space="preserve">168. </w:t>
      </w:r>
      <w:r w:rsidRPr="00DC1A5F">
        <w:tab/>
        <w:t xml:space="preserve">(24) Con la tercera consciencia improductiva (24) deberá entenderse que </w:t>
      </w:r>
      <w:r w:rsidRPr="00DC1A5F">
        <w:rPr>
          <w:color w:val="833C0B" w:themeColor="accent2" w:themeShade="80"/>
        </w:rPr>
        <w:t xml:space="preserve">todas las formaciones </w:t>
      </w:r>
      <w:r w:rsidRPr="00DC1A5F">
        <w:t>están asociadas con las mencionadas a la primera (22), excepto la visión incorrecta (</w:t>
      </w:r>
      <w:proofErr w:type="spellStart"/>
      <w:r w:rsidRPr="00DC1A5F">
        <w:t>xli</w:t>
      </w:r>
      <w:proofErr w:type="spellEnd"/>
      <w:r w:rsidRPr="00DC1A5F">
        <w:t>). No obstante, aquí la diferencia será que se manifestará una inconstante ocurrencia del (</w:t>
      </w:r>
      <w:proofErr w:type="spellStart"/>
      <w:r w:rsidRPr="00DC1A5F">
        <w:t>xliv</w:t>
      </w:r>
      <w:proofErr w:type="spellEnd"/>
      <w:r w:rsidRPr="00DC1A5F">
        <w:t>) orgullo (presunción).</w:t>
      </w:r>
    </w:p>
    <w:p w14:paraId="3BD2767A" w14:textId="77777777" w:rsidR="00597DE2" w:rsidRPr="00DC1A5F" w:rsidRDefault="00597DE2" w:rsidP="00597DE2">
      <w:pPr>
        <w:pStyle w:val="NormalConSangria"/>
        <w:spacing w:after="60"/>
      </w:pPr>
      <w:r w:rsidRPr="00DC1A5F">
        <w:t xml:space="preserve">Ese orgullo o presunción tendrá la </w:t>
      </w:r>
      <w:r w:rsidRPr="00DC1A5F">
        <w:rPr>
          <w:i/>
          <w:iCs/>
        </w:rPr>
        <w:t>característica</w:t>
      </w:r>
      <w:r w:rsidRPr="00DC1A5F">
        <w:t xml:space="preserve"> de la altivez. Su </w:t>
      </w:r>
      <w:r w:rsidRPr="00DC1A5F">
        <w:rPr>
          <w:i/>
          <w:iCs/>
        </w:rPr>
        <w:t>función</w:t>
      </w:r>
      <w:r w:rsidRPr="00DC1A5F">
        <w:t xml:space="preserve"> es la arrogancia. Se </w:t>
      </w:r>
      <w:r w:rsidRPr="00DC1A5F">
        <w:rPr>
          <w:i/>
          <w:iCs/>
        </w:rPr>
        <w:t>manifiesta</w:t>
      </w:r>
      <w:r w:rsidRPr="00DC1A5F">
        <w:t xml:space="preserve"> como vanagloria. Su </w:t>
      </w:r>
      <w:r w:rsidRPr="00DC1A5F">
        <w:rPr>
          <w:i/>
          <w:iCs/>
        </w:rPr>
        <w:t>causa próxima</w:t>
      </w:r>
      <w:r w:rsidRPr="00DC1A5F">
        <w:t xml:space="preserve"> es la codicia disociada de las visiones. Debería ser considerada como una locura.</w:t>
      </w:r>
    </w:p>
    <w:p w14:paraId="14180046" w14:textId="77777777" w:rsidR="00597DE2" w:rsidRPr="00DC1A5F" w:rsidRDefault="00597DE2" w:rsidP="00597DE2">
      <w:pPr>
        <w:pStyle w:val="NormalConSangria"/>
        <w:spacing w:after="60"/>
      </w:pPr>
      <w:r w:rsidRPr="00DC1A5F">
        <w:t xml:space="preserve">(25) Con la cuarta (25) deberán entenderse como </w:t>
      </w:r>
      <w:r w:rsidRPr="00DC1A5F">
        <w:rPr>
          <w:color w:val="833C0B" w:themeColor="accent2" w:themeShade="80"/>
        </w:rPr>
        <w:t xml:space="preserve">las formaciones </w:t>
      </w:r>
      <w:r w:rsidRPr="00DC1A5F">
        <w:t>asociadas con las mencionadas en la segunda (23), salvo la visión incorrecta (</w:t>
      </w:r>
      <w:proofErr w:type="spellStart"/>
      <w:r w:rsidRPr="00DC1A5F">
        <w:t>xli</w:t>
      </w:r>
      <w:proofErr w:type="spellEnd"/>
      <w:r w:rsidRPr="00DC1A5F">
        <w:t>). Y aquí el orgullo (</w:t>
      </w:r>
      <w:proofErr w:type="spellStart"/>
      <w:r w:rsidRPr="00DC1A5F">
        <w:t>xliv</w:t>
      </w:r>
      <w:proofErr w:type="spellEnd"/>
      <w:r w:rsidRPr="00DC1A5F">
        <w:t>) también estará entre las inconstantes.</w:t>
      </w:r>
    </w:p>
    <w:p w14:paraId="77CF4668" w14:textId="77777777" w:rsidR="00597DE2" w:rsidRPr="00DC1A5F" w:rsidRDefault="00597DE2" w:rsidP="00597DE2">
      <w:pPr>
        <w:spacing w:after="60"/>
      </w:pPr>
      <w:r w:rsidRPr="00DC1A5F">
        <w:t xml:space="preserve">169. </w:t>
      </w:r>
      <w:r w:rsidRPr="00DC1A5F">
        <w:tab/>
        <w:t xml:space="preserve">(26) Las </w:t>
      </w:r>
      <w:r w:rsidRPr="00DC1A5F">
        <w:rPr>
          <w:color w:val="833C0B" w:themeColor="accent2" w:themeShade="80"/>
        </w:rPr>
        <w:t xml:space="preserve">formaciones </w:t>
      </w:r>
      <w:r w:rsidRPr="00DC1A5F">
        <w:t>mencionadas para la primera (22), excepto la felicidad (v), se asociarán con la quinta (26).</w:t>
      </w:r>
    </w:p>
    <w:p w14:paraId="65CD00D6" w14:textId="77777777" w:rsidR="00597DE2" w:rsidRPr="00DC1A5F" w:rsidRDefault="00597DE2" w:rsidP="00597DE2">
      <w:pPr>
        <w:pStyle w:val="NormalConSangria"/>
        <w:spacing w:after="60"/>
      </w:pPr>
      <w:r w:rsidRPr="00DC1A5F">
        <w:tab/>
        <w:t>(27) Y como con la quinta (26), así también será con la sexta (27); pero la diferencia aquí corresponderá a la incitación y a la inconstante ocurrencia de la rigidez y el letargo (</w:t>
      </w:r>
      <w:proofErr w:type="spellStart"/>
      <w:r w:rsidRPr="00DC1A5F">
        <w:t>xliii</w:t>
      </w:r>
      <w:proofErr w:type="spellEnd"/>
      <w:r w:rsidRPr="00DC1A5F">
        <w:t>).</w:t>
      </w:r>
    </w:p>
    <w:p w14:paraId="04A5F1BB" w14:textId="77777777" w:rsidR="00597DE2" w:rsidRPr="00DC1A5F" w:rsidRDefault="00597DE2" w:rsidP="00597DE2">
      <w:pPr>
        <w:spacing w:after="60"/>
      </w:pPr>
      <w:r w:rsidRPr="00DC1A5F">
        <w:tab/>
        <w:t xml:space="preserve">(28) Con la séptima (28) deberán entenderse las </w:t>
      </w:r>
      <w:r w:rsidRPr="00DC1A5F">
        <w:rPr>
          <w:color w:val="833C0B" w:themeColor="accent2" w:themeShade="80"/>
        </w:rPr>
        <w:t xml:space="preserve">formaciones </w:t>
      </w:r>
      <w:r w:rsidRPr="00DC1A5F">
        <w:t>asociadas para la quinta (26), excepto las visiones incorrectas (</w:t>
      </w:r>
      <w:proofErr w:type="spellStart"/>
      <w:r w:rsidRPr="00DC1A5F">
        <w:t>xli</w:t>
      </w:r>
      <w:proofErr w:type="spellEnd"/>
      <w:r w:rsidRPr="00DC1A5F">
        <w:t>); no obstante, el orgullo (</w:t>
      </w:r>
      <w:proofErr w:type="spellStart"/>
      <w:r w:rsidRPr="00DC1A5F">
        <w:t>xliv</w:t>
      </w:r>
      <w:proofErr w:type="spellEnd"/>
      <w:r w:rsidRPr="00DC1A5F">
        <w:t xml:space="preserve">) aquí será inconstante. (29) Con la octava (29) deberá entenderse las </w:t>
      </w:r>
      <w:r w:rsidRPr="00DC1A5F">
        <w:rPr>
          <w:color w:val="833C0B" w:themeColor="accent2" w:themeShade="80"/>
        </w:rPr>
        <w:t xml:space="preserve">formaciones </w:t>
      </w:r>
      <w:r w:rsidRPr="00DC1A5F">
        <w:t>asociadas mencionadas con la sexta (27), excepto las visiones incorrectas (</w:t>
      </w:r>
      <w:proofErr w:type="spellStart"/>
      <w:r w:rsidRPr="00DC1A5F">
        <w:t>xli</w:t>
      </w:r>
      <w:proofErr w:type="spellEnd"/>
      <w:r w:rsidRPr="00DC1A5F">
        <w:t>); y aquí también el orgullo (</w:t>
      </w:r>
      <w:proofErr w:type="spellStart"/>
      <w:r w:rsidRPr="00DC1A5F">
        <w:t>xliv</w:t>
      </w:r>
      <w:proofErr w:type="spellEnd"/>
      <w:r w:rsidRPr="00DC1A5F">
        <w:t>) estará entre las inconstantes.</w:t>
      </w:r>
    </w:p>
    <w:p w14:paraId="6D373A32" w14:textId="77777777" w:rsidR="00597DE2" w:rsidRPr="00DC1A5F" w:rsidRDefault="00597DE2" w:rsidP="00597DE2">
      <w:r w:rsidRPr="00DC1A5F">
        <w:t xml:space="preserve">170. </w:t>
      </w:r>
      <w:r w:rsidRPr="00DC1A5F">
        <w:tab/>
        <w:t xml:space="preserve">(30)–(31) En cuanto a las 2 clases de consciencia improductiva enraizados en el odio, [470] habrá, en primer lugar, 18 </w:t>
      </w:r>
      <w:r w:rsidRPr="00DC1A5F">
        <w:rPr>
          <w:color w:val="833C0B" w:themeColor="accent2" w:themeShade="80"/>
        </w:rPr>
        <w:t xml:space="preserve">formaciones </w:t>
      </w:r>
      <w:r w:rsidRPr="00DC1A5F">
        <w:t xml:space="preserve">asociados con la primera (30), es decir, </w:t>
      </w:r>
    </w:p>
    <w:p w14:paraId="7AC070E5"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3B7EE36" w14:textId="77777777" w:rsidR="00597DE2" w:rsidRPr="00DC1A5F" w:rsidRDefault="00597DE2" w:rsidP="00597DE2">
      <w:pPr>
        <w:pStyle w:val="PiedepginaLegal"/>
        <w:numPr>
          <w:ilvl w:val="0"/>
          <w:numId w:val="3"/>
        </w:numPr>
        <w:tabs>
          <w:tab w:val="clear" w:pos="425"/>
        </w:tabs>
        <w:spacing w:after="160"/>
        <w:ind w:left="284"/>
      </w:pPr>
      <w:r w:rsidRPr="00DC1A5F">
        <w:t>“Debido a que la parálisis (</w:t>
      </w:r>
      <w:proofErr w:type="spellStart"/>
      <w:r w:rsidRPr="00DC1A5F">
        <w:rPr>
          <w:i/>
          <w:iCs/>
        </w:rPr>
        <w:t>saíhanana</w:t>
      </w:r>
      <w:proofErr w:type="spellEnd"/>
      <w:r w:rsidRPr="00DC1A5F">
        <w:t>) de la consciencia se producirá a través de la rigidez, pero la de la materia a través del letargo como el de los tres agregados que comienzan con la sensación, por lo tanto, el letargo se manifestará como cabeceo y sueño” (</w:t>
      </w:r>
      <w:proofErr w:type="spellStart"/>
      <w:r w:rsidRPr="00DC1A5F">
        <w:t>Vism</w:t>
      </w:r>
      <w:proofErr w:type="spellEnd"/>
      <w:r w:rsidRPr="00DC1A5F">
        <w:t>–</w:t>
      </w:r>
      <w:proofErr w:type="spellStart"/>
      <w:r w:rsidRPr="00DC1A5F">
        <w:t>mhṭ</w:t>
      </w:r>
      <w:proofErr w:type="spellEnd"/>
      <w:r w:rsidRPr="00DC1A5F">
        <w:t xml:space="preserve"> 493).</w:t>
      </w:r>
      <w:r w:rsidRPr="00DC1A5F">
        <w:br w:type="page"/>
      </w:r>
    </w:p>
    <w:p w14:paraId="023A728D" w14:textId="77777777" w:rsidR="00597DE2" w:rsidRPr="00DC1A5F" w:rsidRDefault="00597DE2" w:rsidP="00597DE2">
      <w:pPr>
        <w:spacing w:after="0"/>
      </w:pPr>
      <w:r w:rsidRPr="00DC1A5F">
        <w:lastRenderedPageBreak/>
        <w:t xml:space="preserve">11 </w:t>
      </w:r>
      <w:r w:rsidRPr="00DC1A5F">
        <w:rPr>
          <w:color w:val="833C0B" w:themeColor="accent2" w:themeShade="80"/>
        </w:rPr>
        <w:t xml:space="preserve">formaciones </w:t>
      </w:r>
      <w:r w:rsidRPr="00DC1A5F">
        <w:t xml:space="preserve">constantes dadas en los textos como tales (ver </w:t>
      </w:r>
      <w:proofErr w:type="spellStart"/>
      <w:r w:rsidRPr="00DC1A5F">
        <w:t>Dhs</w:t>
      </w:r>
      <w:proofErr w:type="spellEnd"/>
      <w:r w:rsidRPr="00DC1A5F">
        <w:t xml:space="preserve"> § 413), 4 o–de–cualquier–estado, y 3 inconstantes. Aquí las 11 formaciones dadas como tales son estos:</w:t>
      </w:r>
    </w:p>
    <w:p w14:paraId="1749320A" w14:textId="77777777" w:rsidR="00597DE2" w:rsidRPr="00DC1A5F" w:rsidRDefault="00597DE2" w:rsidP="00597DE2">
      <w:pPr>
        <w:pStyle w:val="VersoIngls01Sangria"/>
        <w:tabs>
          <w:tab w:val="right" w:pos="4253"/>
        </w:tabs>
        <w:ind w:left="1418"/>
      </w:pPr>
      <w:r w:rsidRPr="00DC1A5F">
        <w:t xml:space="preserve">contacto </w:t>
      </w:r>
      <w:r w:rsidRPr="00DC1A5F">
        <w:tab/>
        <w:t>(i),</w:t>
      </w:r>
    </w:p>
    <w:p w14:paraId="6E11608E" w14:textId="77777777" w:rsidR="00597DE2" w:rsidRPr="00DC1A5F" w:rsidRDefault="00597DE2" w:rsidP="00597DE2">
      <w:pPr>
        <w:pStyle w:val="VersoIngls01Sangria"/>
        <w:tabs>
          <w:tab w:val="right" w:pos="4253"/>
        </w:tabs>
        <w:ind w:left="1418"/>
      </w:pPr>
      <w:r w:rsidRPr="00DC1A5F">
        <w:t xml:space="preserve">volición </w:t>
      </w:r>
      <w:r w:rsidRPr="00DC1A5F">
        <w:tab/>
        <w:t>(</w:t>
      </w:r>
      <w:proofErr w:type="spellStart"/>
      <w:r w:rsidRPr="00DC1A5F">
        <w:t>ii</w:t>
      </w:r>
      <w:proofErr w:type="spellEnd"/>
      <w:r w:rsidRPr="00DC1A5F">
        <w:t>),</w:t>
      </w:r>
    </w:p>
    <w:p w14:paraId="2BB21DE6" w14:textId="77777777" w:rsidR="00597DE2" w:rsidRPr="00DC1A5F" w:rsidRDefault="00597DE2" w:rsidP="00597DE2">
      <w:pPr>
        <w:pStyle w:val="VersoIngls01Sangria"/>
        <w:tabs>
          <w:tab w:val="right" w:pos="4253"/>
        </w:tabs>
        <w:ind w:left="1418"/>
      </w:pPr>
      <w:r w:rsidRPr="00DC1A5F">
        <w:t xml:space="preserve">aplicación mental </w:t>
      </w:r>
      <w:r w:rsidRPr="00DC1A5F">
        <w:tab/>
        <w:t>(</w:t>
      </w:r>
      <w:proofErr w:type="spellStart"/>
      <w:r w:rsidRPr="00DC1A5F">
        <w:t>iii</w:t>
      </w:r>
      <w:proofErr w:type="spellEnd"/>
      <w:r w:rsidRPr="00DC1A5F">
        <w:t>),</w:t>
      </w:r>
    </w:p>
    <w:p w14:paraId="6B31D333" w14:textId="77777777" w:rsidR="00597DE2" w:rsidRPr="00DC1A5F" w:rsidRDefault="00597DE2" w:rsidP="00597DE2">
      <w:pPr>
        <w:pStyle w:val="VersoIngls01Sangria"/>
        <w:tabs>
          <w:tab w:val="right" w:pos="4253"/>
        </w:tabs>
        <w:ind w:left="1418"/>
      </w:pPr>
      <w:r w:rsidRPr="00DC1A5F">
        <w:t xml:space="preserve">sustentación mental </w:t>
      </w:r>
      <w:r w:rsidRPr="00DC1A5F">
        <w:tab/>
        <w:t>(</w:t>
      </w:r>
      <w:proofErr w:type="spellStart"/>
      <w:r w:rsidRPr="00DC1A5F">
        <w:t>iv</w:t>
      </w:r>
      <w:proofErr w:type="spellEnd"/>
      <w:r w:rsidRPr="00DC1A5F">
        <w:t>),</w:t>
      </w:r>
    </w:p>
    <w:p w14:paraId="718032C7" w14:textId="77777777" w:rsidR="00597DE2" w:rsidRPr="00DC1A5F" w:rsidRDefault="00597DE2" w:rsidP="00597DE2">
      <w:pPr>
        <w:pStyle w:val="VersoIngls01Sangria"/>
        <w:tabs>
          <w:tab w:val="right" w:pos="4253"/>
        </w:tabs>
        <w:ind w:left="1418"/>
      </w:pPr>
      <w:r w:rsidRPr="00DC1A5F">
        <w:t xml:space="preserve">energía </w:t>
      </w:r>
      <w:r w:rsidRPr="00DC1A5F">
        <w:tab/>
        <w:t>(v),</w:t>
      </w:r>
    </w:p>
    <w:p w14:paraId="5E28E1D2" w14:textId="77777777" w:rsidR="00597DE2" w:rsidRPr="00DC1A5F" w:rsidRDefault="00597DE2" w:rsidP="00597DE2">
      <w:pPr>
        <w:pStyle w:val="VersoIngls01Sangria"/>
        <w:tabs>
          <w:tab w:val="right" w:pos="4253"/>
        </w:tabs>
        <w:ind w:left="1418"/>
      </w:pPr>
      <w:r w:rsidRPr="00DC1A5F">
        <w:t xml:space="preserve">vitalidad </w:t>
      </w:r>
      <w:r w:rsidRPr="00DC1A5F">
        <w:tab/>
        <w:t>(</w:t>
      </w:r>
      <w:proofErr w:type="spellStart"/>
      <w:r w:rsidRPr="00DC1A5F">
        <w:t>viii</w:t>
      </w:r>
      <w:proofErr w:type="spellEnd"/>
      <w:r w:rsidRPr="00DC1A5F">
        <w:t>),</w:t>
      </w:r>
    </w:p>
    <w:p w14:paraId="616C13EC" w14:textId="77777777" w:rsidR="00597DE2" w:rsidRPr="00DC1A5F" w:rsidRDefault="00597DE2" w:rsidP="00597DE2">
      <w:pPr>
        <w:pStyle w:val="VersoIngls01Sangria"/>
        <w:tabs>
          <w:tab w:val="right" w:pos="4253"/>
        </w:tabs>
        <w:ind w:left="1418"/>
      </w:pPr>
      <w:r w:rsidRPr="00DC1A5F">
        <w:t xml:space="preserve">concentración </w:t>
      </w:r>
      <w:r w:rsidRPr="00DC1A5F">
        <w:tab/>
        <w:t>(</w:t>
      </w:r>
      <w:proofErr w:type="spellStart"/>
      <w:r w:rsidRPr="00DC1A5F">
        <w:t>viii</w:t>
      </w:r>
      <w:proofErr w:type="spellEnd"/>
      <w:r w:rsidRPr="00DC1A5F">
        <w:t>),</w:t>
      </w:r>
    </w:p>
    <w:p w14:paraId="0A452E63" w14:textId="77777777" w:rsidR="00597DE2" w:rsidRPr="00DC1A5F" w:rsidRDefault="00597DE2" w:rsidP="00597DE2">
      <w:pPr>
        <w:pStyle w:val="VersoIngls01Sangria"/>
        <w:tabs>
          <w:tab w:val="right" w:pos="4253"/>
        </w:tabs>
        <w:ind w:left="1418"/>
      </w:pPr>
      <w:r w:rsidRPr="00DC1A5F">
        <w:t xml:space="preserve">falta de consciencia </w:t>
      </w:r>
      <w:r w:rsidRPr="00DC1A5F">
        <w:tab/>
        <w:t>(</w:t>
      </w:r>
      <w:proofErr w:type="spellStart"/>
      <w:r w:rsidRPr="00DC1A5F">
        <w:t>xxxvii</w:t>
      </w:r>
      <w:proofErr w:type="spellEnd"/>
      <w:r w:rsidRPr="00DC1A5F">
        <w:t>),</w:t>
      </w:r>
    </w:p>
    <w:p w14:paraId="1B1143CA" w14:textId="77777777" w:rsidR="00597DE2" w:rsidRPr="00DC1A5F" w:rsidRDefault="00597DE2" w:rsidP="00597DE2">
      <w:pPr>
        <w:pStyle w:val="VersoIngls01Sangria"/>
        <w:tabs>
          <w:tab w:val="right" w:pos="4253"/>
        </w:tabs>
        <w:ind w:left="1418"/>
      </w:pPr>
      <w:r w:rsidRPr="00DC1A5F">
        <w:t xml:space="preserve">negligencia moral </w:t>
      </w:r>
      <w:r w:rsidRPr="00DC1A5F">
        <w:tab/>
        <w:t>(</w:t>
      </w:r>
      <w:proofErr w:type="spellStart"/>
      <w:r w:rsidRPr="00DC1A5F">
        <w:t>xxxviii</w:t>
      </w:r>
      <w:proofErr w:type="spellEnd"/>
      <w:r w:rsidRPr="00DC1A5F">
        <w:t>),</w:t>
      </w:r>
    </w:p>
    <w:p w14:paraId="00625C3A" w14:textId="77777777" w:rsidR="00597DE2" w:rsidRPr="00DC1A5F" w:rsidRDefault="00597DE2" w:rsidP="00597DE2">
      <w:pPr>
        <w:pStyle w:val="VersoIngls01Sangria"/>
        <w:ind w:hanging="707"/>
      </w:pPr>
      <w:r w:rsidRPr="00DC1A5F">
        <w:t>(</w:t>
      </w:r>
      <w:proofErr w:type="spellStart"/>
      <w:r w:rsidRPr="00DC1A5F">
        <w:t>xiv</w:t>
      </w:r>
      <w:proofErr w:type="spellEnd"/>
      <w:r w:rsidRPr="00DC1A5F">
        <w:t xml:space="preserve">) </w:t>
      </w:r>
      <w:r w:rsidRPr="00DC1A5F">
        <w:tab/>
        <w:t>odio,</w:t>
      </w:r>
    </w:p>
    <w:p w14:paraId="5878C741" w14:textId="77777777" w:rsidR="00597DE2" w:rsidRPr="00DC1A5F" w:rsidRDefault="00597DE2" w:rsidP="00597DE2">
      <w:pPr>
        <w:pStyle w:val="VersoIngls01Sangria"/>
        <w:tabs>
          <w:tab w:val="right" w:pos="4253"/>
        </w:tabs>
        <w:ind w:left="1418"/>
      </w:pPr>
      <w:r w:rsidRPr="00DC1A5F">
        <w:t xml:space="preserve">ilusión </w:t>
      </w:r>
      <w:r w:rsidRPr="00DC1A5F">
        <w:tab/>
        <w:t>(</w:t>
      </w:r>
      <w:proofErr w:type="spellStart"/>
      <w:r w:rsidRPr="00DC1A5F">
        <w:t>xl</w:t>
      </w:r>
      <w:proofErr w:type="spellEnd"/>
      <w:r w:rsidRPr="00DC1A5F">
        <w:t>).</w:t>
      </w:r>
    </w:p>
    <w:p w14:paraId="2C80EC92" w14:textId="77777777" w:rsidR="00597DE2" w:rsidRPr="00DC1A5F" w:rsidRDefault="00597DE2" w:rsidP="00597DE2">
      <w:pPr>
        <w:pStyle w:val="Textoindependiente"/>
        <w:spacing w:after="0"/>
      </w:pPr>
      <w:r w:rsidRPr="00DC1A5F">
        <w:t>Las 4 o–de–cualquier–estado, son:</w:t>
      </w:r>
    </w:p>
    <w:p w14:paraId="69006ABD" w14:textId="77777777" w:rsidR="00597DE2" w:rsidRPr="00DC1A5F" w:rsidRDefault="00597DE2" w:rsidP="00597DE2">
      <w:pPr>
        <w:pStyle w:val="VersoIngls01Sangria"/>
        <w:tabs>
          <w:tab w:val="right" w:pos="4253"/>
        </w:tabs>
        <w:ind w:left="1418"/>
      </w:pPr>
      <w:r w:rsidRPr="00DC1A5F">
        <w:t xml:space="preserve">celo </w:t>
      </w:r>
      <w:r w:rsidRPr="00DC1A5F">
        <w:tab/>
        <w:t>(</w:t>
      </w:r>
      <w:proofErr w:type="spellStart"/>
      <w:r w:rsidRPr="00DC1A5F">
        <w:t>xxviii</w:t>
      </w:r>
      <w:proofErr w:type="spellEnd"/>
      <w:r w:rsidRPr="00DC1A5F">
        <w:t>),</w:t>
      </w:r>
    </w:p>
    <w:p w14:paraId="500BBC5C" w14:textId="77777777" w:rsidR="00597DE2" w:rsidRPr="00DC1A5F" w:rsidRDefault="00597DE2" w:rsidP="00597DE2">
      <w:pPr>
        <w:pStyle w:val="VersoIngls01Sangria"/>
        <w:tabs>
          <w:tab w:val="right" w:pos="4253"/>
        </w:tabs>
        <w:ind w:left="1418"/>
      </w:pPr>
      <w:r w:rsidRPr="00DC1A5F">
        <w:t xml:space="preserve">resolución </w:t>
      </w:r>
      <w:r w:rsidRPr="00DC1A5F">
        <w:tab/>
        <w:t>(</w:t>
      </w:r>
      <w:proofErr w:type="spellStart"/>
      <w:r w:rsidRPr="00DC1A5F">
        <w:t>xxix</w:t>
      </w:r>
      <w:proofErr w:type="spellEnd"/>
      <w:r w:rsidRPr="00DC1A5F">
        <w:t>),</w:t>
      </w:r>
    </w:p>
    <w:p w14:paraId="6D45FE3E" w14:textId="77777777" w:rsidR="00597DE2" w:rsidRPr="00DC1A5F" w:rsidRDefault="00597DE2" w:rsidP="00597DE2">
      <w:pPr>
        <w:pStyle w:val="VersoIngls01Sangria"/>
        <w:tabs>
          <w:tab w:val="right" w:pos="4253"/>
        </w:tabs>
        <w:ind w:left="1418"/>
      </w:pPr>
      <w:r w:rsidRPr="00DC1A5F">
        <w:t xml:space="preserve">agitación </w:t>
      </w:r>
      <w:r w:rsidRPr="00DC1A5F">
        <w:tab/>
        <w:t>(</w:t>
      </w:r>
      <w:proofErr w:type="spellStart"/>
      <w:r w:rsidRPr="00DC1A5F">
        <w:t>xlii</w:t>
      </w:r>
      <w:proofErr w:type="spellEnd"/>
      <w:r w:rsidRPr="00DC1A5F">
        <w:t>),</w:t>
      </w:r>
    </w:p>
    <w:p w14:paraId="31379526" w14:textId="77777777" w:rsidR="00597DE2" w:rsidRPr="00DC1A5F" w:rsidRDefault="00597DE2" w:rsidP="00597DE2">
      <w:pPr>
        <w:pStyle w:val="VersoIngls01Sangria"/>
        <w:tabs>
          <w:tab w:val="right" w:pos="4253"/>
        </w:tabs>
        <w:ind w:left="1418"/>
      </w:pPr>
      <w:r w:rsidRPr="00DC1A5F">
        <w:t xml:space="preserve">atención </w:t>
      </w:r>
      <w:r w:rsidRPr="00DC1A5F">
        <w:tab/>
        <w:t>(</w:t>
      </w:r>
      <w:proofErr w:type="spellStart"/>
      <w:r w:rsidRPr="00DC1A5F">
        <w:t>xxx</w:t>
      </w:r>
      <w:proofErr w:type="spellEnd"/>
      <w:r w:rsidRPr="00DC1A5F">
        <w:t>).</w:t>
      </w:r>
    </w:p>
    <w:p w14:paraId="3C6199C3" w14:textId="77777777" w:rsidR="00597DE2" w:rsidRPr="00DC1A5F" w:rsidRDefault="00597DE2" w:rsidP="00597DE2">
      <w:pPr>
        <w:pStyle w:val="Textoindependiente"/>
        <w:spacing w:after="0"/>
      </w:pPr>
      <w:r w:rsidRPr="00DC1A5F">
        <w:t xml:space="preserve">Las 3 </w:t>
      </w:r>
      <w:r w:rsidRPr="00DC1A5F">
        <w:rPr>
          <w:color w:val="833C0B" w:themeColor="accent2" w:themeShade="80"/>
        </w:rPr>
        <w:t xml:space="preserve">formaciones </w:t>
      </w:r>
      <w:r w:rsidRPr="00DC1A5F">
        <w:t>inconstantes son:</w:t>
      </w:r>
    </w:p>
    <w:p w14:paraId="0754A835" w14:textId="77777777" w:rsidR="00597DE2" w:rsidRPr="00DC1A5F" w:rsidRDefault="00597DE2" w:rsidP="00597DE2">
      <w:pPr>
        <w:pStyle w:val="VersoIngls01Sangria"/>
        <w:ind w:hanging="707"/>
      </w:pPr>
      <w:r w:rsidRPr="00DC1A5F">
        <w:t>(</w:t>
      </w:r>
      <w:proofErr w:type="spellStart"/>
      <w:r w:rsidRPr="00DC1A5F">
        <w:t>xlvi</w:t>
      </w:r>
      <w:proofErr w:type="spellEnd"/>
      <w:r w:rsidRPr="00DC1A5F">
        <w:t xml:space="preserve">) </w:t>
      </w:r>
      <w:r w:rsidRPr="00DC1A5F">
        <w:tab/>
        <w:t>envidia,</w:t>
      </w:r>
    </w:p>
    <w:p w14:paraId="55C5AEFA" w14:textId="77777777" w:rsidR="00597DE2" w:rsidRPr="00DC1A5F" w:rsidRDefault="00597DE2" w:rsidP="00597DE2">
      <w:pPr>
        <w:pStyle w:val="VersoIngls01Sangria"/>
        <w:ind w:hanging="707"/>
      </w:pPr>
      <w:r w:rsidRPr="00DC1A5F">
        <w:t>(</w:t>
      </w:r>
      <w:proofErr w:type="spellStart"/>
      <w:r w:rsidRPr="00DC1A5F">
        <w:t>xlvii</w:t>
      </w:r>
      <w:proofErr w:type="spellEnd"/>
      <w:r w:rsidRPr="00DC1A5F">
        <w:t xml:space="preserve">) </w:t>
      </w:r>
      <w:r w:rsidRPr="00DC1A5F">
        <w:tab/>
        <w:t>avaricia,</w:t>
      </w:r>
    </w:p>
    <w:p w14:paraId="1BD68FBA" w14:textId="77777777" w:rsidR="00597DE2" w:rsidRPr="00DC1A5F" w:rsidRDefault="00597DE2" w:rsidP="00597DE2">
      <w:pPr>
        <w:pStyle w:val="VersoIngls01Sangria"/>
        <w:spacing w:after="100"/>
        <w:ind w:left="1418" w:hanging="709"/>
      </w:pPr>
      <w:r w:rsidRPr="00DC1A5F">
        <w:t>(</w:t>
      </w:r>
      <w:proofErr w:type="spellStart"/>
      <w:r w:rsidRPr="00DC1A5F">
        <w:t>xlviii</w:t>
      </w:r>
      <w:proofErr w:type="spellEnd"/>
      <w:r w:rsidRPr="00DC1A5F">
        <w:t xml:space="preserve">) </w:t>
      </w:r>
      <w:r w:rsidRPr="00DC1A5F">
        <w:tab/>
        <w:t>preocupación.</w:t>
      </w:r>
    </w:p>
    <w:p w14:paraId="1154A36C" w14:textId="77777777" w:rsidR="00597DE2" w:rsidRPr="00DC1A5F" w:rsidRDefault="00597DE2" w:rsidP="00597DE2">
      <w:r w:rsidRPr="00DC1A5F">
        <w:t xml:space="preserve">171. </w:t>
      </w:r>
      <w:r w:rsidRPr="00DC1A5F">
        <w:tab/>
        <w:t>Aquí, por medio de (</w:t>
      </w:r>
      <w:proofErr w:type="spellStart"/>
      <w:r w:rsidRPr="00DC1A5F">
        <w:t>xlv</w:t>
      </w:r>
      <w:proofErr w:type="spellEnd"/>
      <w:r w:rsidRPr="00DC1A5F">
        <w:t xml:space="preserve">) ellos odian, o en sí mismo odio, o simplemente es solo odio, por lo que es así cómo será </w:t>
      </w:r>
      <w:r w:rsidRPr="00DC1A5F">
        <w:rPr>
          <w:i/>
          <w:iCs/>
        </w:rPr>
        <w:t>odio</w:t>
      </w:r>
      <w:r w:rsidRPr="00DC1A5F">
        <w:t xml:space="preserve"> (</w:t>
      </w:r>
      <w:r w:rsidRPr="00DC1A5F">
        <w:rPr>
          <w:i/>
          <w:iCs/>
        </w:rPr>
        <w:t>dosa</w:t>
      </w:r>
      <w:r w:rsidRPr="00DC1A5F">
        <w:t xml:space="preserve">). Tiene la </w:t>
      </w:r>
      <w:r w:rsidRPr="00DC1A5F">
        <w:rPr>
          <w:i/>
          <w:iCs/>
        </w:rPr>
        <w:t>característica</w:t>
      </w:r>
      <w:r w:rsidRPr="00DC1A5F">
        <w:t xml:space="preserve"> de la ferocidad, como una serpiente provocada. Su </w:t>
      </w:r>
      <w:r w:rsidRPr="00DC1A5F">
        <w:rPr>
          <w:i/>
          <w:iCs/>
        </w:rPr>
        <w:t>función</w:t>
      </w:r>
      <w:r w:rsidRPr="00DC1A5F">
        <w:t xml:space="preserve"> es esparcirse, como una gota de veneno, o su </w:t>
      </w:r>
      <w:r w:rsidRPr="00DC1A5F">
        <w:rPr>
          <w:i/>
          <w:iCs/>
        </w:rPr>
        <w:t>función</w:t>
      </w:r>
      <w:r w:rsidRPr="00DC1A5F">
        <w:t xml:space="preserve"> es quemar su propio soporte, como un incendio forestal. Se </w:t>
      </w:r>
      <w:r w:rsidRPr="00DC1A5F">
        <w:rPr>
          <w:i/>
          <w:iCs/>
        </w:rPr>
        <w:t>manifiesta</w:t>
      </w:r>
      <w:r w:rsidRPr="00DC1A5F">
        <w:t xml:space="preserve"> como una persecución (</w:t>
      </w:r>
      <w:proofErr w:type="spellStart"/>
      <w:r w:rsidRPr="00DC1A5F">
        <w:rPr>
          <w:i/>
          <w:iCs/>
        </w:rPr>
        <w:t>dūsana</w:t>
      </w:r>
      <w:proofErr w:type="spellEnd"/>
      <w:r w:rsidRPr="00DC1A5F">
        <w:t xml:space="preserve">), como un enemigo que ha encontrado una oportunidad. Su </w:t>
      </w:r>
      <w:r w:rsidRPr="00DC1A5F">
        <w:rPr>
          <w:i/>
          <w:iCs/>
        </w:rPr>
        <w:t>causa próxima</w:t>
      </w:r>
      <w:r w:rsidRPr="00DC1A5F">
        <w:t xml:space="preserve"> será el motivo de una molestia (ver A V 150). Debe considerarse como una orina rancia mezclada con veneno.</w:t>
      </w:r>
    </w:p>
    <w:p w14:paraId="770E1955" w14:textId="77777777" w:rsidR="00597DE2" w:rsidRPr="00DC1A5F" w:rsidRDefault="00597DE2" w:rsidP="00597DE2">
      <w:r w:rsidRPr="00DC1A5F">
        <w:t>172.</w:t>
      </w:r>
      <w:r w:rsidRPr="00DC1A5F">
        <w:tab/>
        <w:t>(</w:t>
      </w:r>
      <w:proofErr w:type="spellStart"/>
      <w:r w:rsidRPr="00DC1A5F">
        <w:t>xlvi</w:t>
      </w:r>
      <w:proofErr w:type="spellEnd"/>
      <w:r w:rsidRPr="00DC1A5F">
        <w:t xml:space="preserve">) Envidiar significa </w:t>
      </w:r>
      <w:r w:rsidRPr="00DC1A5F">
        <w:rPr>
          <w:i/>
          <w:iCs/>
        </w:rPr>
        <w:t>envidia</w:t>
      </w:r>
      <w:r w:rsidRPr="00DC1A5F">
        <w:t xml:space="preserve">. Tiene la </w:t>
      </w:r>
      <w:r w:rsidRPr="00DC1A5F">
        <w:rPr>
          <w:i/>
          <w:iCs/>
        </w:rPr>
        <w:t>característica</w:t>
      </w:r>
      <w:r w:rsidRPr="00DC1A5F">
        <w:t xml:space="preserve"> de estar celoso del éxito de los demás. Su </w:t>
      </w:r>
      <w:r w:rsidRPr="00DC1A5F">
        <w:rPr>
          <w:i/>
          <w:iCs/>
        </w:rPr>
        <w:t>función</w:t>
      </w:r>
      <w:r w:rsidRPr="00DC1A5F">
        <w:t xml:space="preserve"> es sentirse insatisfecho con ello. Se </w:t>
      </w:r>
      <w:r w:rsidRPr="00DC1A5F">
        <w:rPr>
          <w:i/>
          <w:iCs/>
        </w:rPr>
        <w:t>manifiesta</w:t>
      </w:r>
      <w:r w:rsidRPr="00DC1A5F">
        <w:t xml:space="preserve"> como aversión a ello. Su </w:t>
      </w:r>
      <w:r w:rsidRPr="00DC1A5F">
        <w:rPr>
          <w:i/>
          <w:iCs/>
        </w:rPr>
        <w:t>causa próxima</w:t>
      </w:r>
      <w:r w:rsidRPr="00DC1A5F">
        <w:t xml:space="preserve"> es el éxito de los demás. Debe ser considerado como un grillete.</w:t>
      </w:r>
    </w:p>
    <w:p w14:paraId="72EECD6F" w14:textId="77777777" w:rsidR="00597DE2" w:rsidRPr="00DC1A5F" w:rsidRDefault="00597DE2" w:rsidP="00597DE2">
      <w:r w:rsidRPr="00DC1A5F">
        <w:t xml:space="preserve">173. </w:t>
      </w:r>
      <w:r w:rsidRPr="00DC1A5F">
        <w:tab/>
        <w:t>(</w:t>
      </w:r>
      <w:proofErr w:type="spellStart"/>
      <w:r w:rsidRPr="00DC1A5F">
        <w:t>xlvii</w:t>
      </w:r>
      <w:proofErr w:type="spellEnd"/>
      <w:r w:rsidRPr="00DC1A5F">
        <w:t xml:space="preserve">) Mezquindad significa </w:t>
      </w:r>
      <w:r w:rsidRPr="00DC1A5F">
        <w:rPr>
          <w:i/>
          <w:iCs/>
        </w:rPr>
        <w:t>avaricia</w:t>
      </w:r>
      <w:r w:rsidRPr="00DC1A5F">
        <w:t xml:space="preserve">. Su característica es el ocultamiento del propio éxito que se haya obtenido o se pueda obtener. Su </w:t>
      </w:r>
      <w:r w:rsidRPr="00DC1A5F">
        <w:rPr>
          <w:i/>
          <w:iCs/>
        </w:rPr>
        <w:t>función</w:t>
      </w:r>
      <w:r w:rsidRPr="00DC1A5F">
        <w:t xml:space="preserve"> es no soportar compartirlos con los demás. Se </w:t>
      </w:r>
      <w:r w:rsidRPr="00DC1A5F">
        <w:rPr>
          <w:i/>
          <w:iCs/>
        </w:rPr>
        <w:t>manifiesta</w:t>
      </w:r>
      <w:r w:rsidRPr="00DC1A5F">
        <w:t xml:space="preserve"> como recogimiento, o se manifiesta como mezquindad. Su causa próxima es el propio éxito. Deberá considerarse como una desfiguración mental.</w:t>
      </w:r>
    </w:p>
    <w:p w14:paraId="4E4C0965" w14:textId="77777777" w:rsidR="00597DE2" w:rsidRPr="00DC1A5F" w:rsidRDefault="00597DE2" w:rsidP="00597DE2">
      <w:r w:rsidRPr="00DC1A5F">
        <w:t>174.</w:t>
      </w:r>
      <w:r w:rsidRPr="00DC1A5F">
        <w:tab/>
        <w:t xml:space="preserve"> (</w:t>
      </w:r>
      <w:proofErr w:type="spellStart"/>
      <w:r w:rsidRPr="00DC1A5F">
        <w:t>xlviii</w:t>
      </w:r>
      <w:proofErr w:type="spellEnd"/>
      <w:r w:rsidRPr="00DC1A5F">
        <w:t>) La vileza (</w:t>
      </w:r>
      <w:proofErr w:type="spellStart"/>
      <w:r w:rsidRPr="00DC1A5F">
        <w:rPr>
          <w:i/>
          <w:iCs/>
        </w:rPr>
        <w:t>kucchita</w:t>
      </w:r>
      <w:proofErr w:type="spellEnd"/>
      <w:r w:rsidRPr="00DC1A5F">
        <w:t>) que se realice (</w:t>
      </w:r>
      <w:r w:rsidRPr="00DC1A5F">
        <w:rPr>
          <w:i/>
          <w:iCs/>
        </w:rPr>
        <w:t>kata</w:t>
      </w:r>
      <w:r w:rsidRPr="00DC1A5F">
        <w:t>) corresponderá a una villanía (</w:t>
      </w:r>
      <w:proofErr w:type="spellStart"/>
      <w:r w:rsidRPr="00DC1A5F">
        <w:rPr>
          <w:i/>
          <w:iCs/>
        </w:rPr>
        <w:t>kukata</w:t>
      </w:r>
      <w:proofErr w:type="spellEnd"/>
      <w:r w:rsidRPr="00DC1A5F">
        <w:t>).</w:t>
      </w:r>
      <w:r w:rsidRPr="00DC1A5F">
        <w:rPr>
          <w:vertAlign w:val="superscript"/>
        </w:rPr>
        <w:t>69</w:t>
      </w:r>
      <w:r w:rsidRPr="00DC1A5F">
        <w:t xml:space="preserve"> El estado al respecto corresponderá a la </w:t>
      </w:r>
      <w:r w:rsidRPr="00DC1A5F">
        <w:rPr>
          <w:i/>
          <w:iCs/>
        </w:rPr>
        <w:t>preocupación</w:t>
      </w:r>
      <w:r w:rsidRPr="00DC1A5F">
        <w:t xml:space="preserve"> (</w:t>
      </w:r>
      <w:proofErr w:type="spellStart"/>
      <w:r w:rsidRPr="00DC1A5F">
        <w:rPr>
          <w:i/>
          <w:iCs/>
        </w:rPr>
        <w:t>kukkucca</w:t>
      </w:r>
      <w:proofErr w:type="spellEnd"/>
      <w:r w:rsidRPr="00DC1A5F">
        <w:t xml:space="preserve">). Tiene como </w:t>
      </w:r>
      <w:r w:rsidRPr="00DC1A5F">
        <w:rPr>
          <w:i/>
          <w:iCs/>
        </w:rPr>
        <w:t>característica</w:t>
      </w:r>
      <w:r w:rsidRPr="00DC1A5F">
        <w:t xml:space="preserve"> el arrepentimiento posterior. Su </w:t>
      </w:r>
      <w:r w:rsidRPr="00DC1A5F">
        <w:rPr>
          <w:i/>
          <w:iCs/>
        </w:rPr>
        <w:t>función</w:t>
      </w:r>
      <w:r w:rsidRPr="00DC1A5F">
        <w:t xml:space="preserve"> es lamentarse por lo que se haya hecho o lo que no se haya hecho. Se </w:t>
      </w:r>
      <w:r w:rsidRPr="00DC1A5F">
        <w:rPr>
          <w:i/>
          <w:iCs/>
        </w:rPr>
        <w:t>manifiesta</w:t>
      </w:r>
      <w:r w:rsidRPr="00DC1A5F">
        <w:t xml:space="preserve"> como remordimiento. Su </w:t>
      </w:r>
      <w:r w:rsidRPr="00DC1A5F">
        <w:rPr>
          <w:i/>
          <w:iCs/>
        </w:rPr>
        <w:t>causa próxima</w:t>
      </w:r>
      <w:r w:rsidRPr="00DC1A5F">
        <w:t xml:space="preserve"> es lo que se haya hecho o lo que no se haya hecho. Deberá ser considerado como una esclavitud.</w:t>
      </w:r>
    </w:p>
    <w:p w14:paraId="56113B1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E149B33" w14:textId="77777777" w:rsidR="00597DE2" w:rsidRPr="00DC1A5F" w:rsidRDefault="00597DE2" w:rsidP="00597DE2">
      <w:pPr>
        <w:pStyle w:val="PiedepginaLegal"/>
        <w:numPr>
          <w:ilvl w:val="0"/>
          <w:numId w:val="3"/>
        </w:numPr>
        <w:tabs>
          <w:tab w:val="clear" w:pos="425"/>
        </w:tabs>
        <w:ind w:left="284"/>
        <w:rPr>
          <w:color w:val="auto"/>
          <w:u w:color="000000"/>
        </w:rPr>
      </w:pPr>
      <w:proofErr w:type="spellStart"/>
      <w:r w:rsidRPr="00DC1A5F">
        <w:rPr>
          <w:i/>
          <w:iCs/>
          <w:color w:val="auto"/>
          <w:u w:color="000000"/>
        </w:rPr>
        <w:t>Kukata</w:t>
      </w:r>
      <w:proofErr w:type="spellEnd"/>
      <w:r w:rsidRPr="00DC1A5F">
        <w:rPr>
          <w:color w:val="auto"/>
          <w:u w:color="000000"/>
        </w:rPr>
        <w:t xml:space="preserve"> no se encuentra en el PED. Es imposible traducir al inglés esta etimología de “baúl de viaje”, es decir. </w:t>
      </w:r>
      <w:proofErr w:type="spellStart"/>
      <w:r w:rsidRPr="00DC1A5F">
        <w:rPr>
          <w:i/>
          <w:iCs/>
          <w:color w:val="auto"/>
          <w:u w:color="000000"/>
        </w:rPr>
        <w:t>kucchita</w:t>
      </w:r>
      <w:proofErr w:type="spellEnd"/>
      <w:r w:rsidRPr="00DC1A5F">
        <w:rPr>
          <w:i/>
          <w:iCs/>
          <w:color w:val="auto"/>
          <w:u w:color="000000"/>
        </w:rPr>
        <w:t>–kata</w:t>
      </w:r>
      <w:r w:rsidRPr="00DC1A5F">
        <w:rPr>
          <w:color w:val="auto"/>
          <w:u w:color="000000"/>
        </w:rPr>
        <w:t>—</w:t>
      </w:r>
      <w:proofErr w:type="spellStart"/>
      <w:r w:rsidRPr="00DC1A5F">
        <w:rPr>
          <w:i/>
          <w:iCs/>
          <w:color w:val="auto"/>
          <w:u w:color="000000"/>
        </w:rPr>
        <w:t>kukata</w:t>
      </w:r>
      <w:proofErr w:type="spellEnd"/>
      <w:r w:rsidRPr="00DC1A5F">
        <w:rPr>
          <w:i/>
          <w:iCs/>
          <w:color w:val="auto"/>
          <w:u w:color="000000"/>
        </w:rPr>
        <w:t xml:space="preserve">, </w:t>
      </w:r>
      <w:proofErr w:type="spellStart"/>
      <w:r w:rsidRPr="00DC1A5F">
        <w:rPr>
          <w:i/>
          <w:iCs/>
          <w:color w:val="auto"/>
          <w:u w:color="000000"/>
        </w:rPr>
        <w:t>kukutatā</w:t>
      </w:r>
      <w:proofErr w:type="spellEnd"/>
      <w:r w:rsidRPr="00DC1A5F">
        <w:rPr>
          <w:color w:val="auto"/>
          <w:u w:color="000000"/>
        </w:rPr>
        <w:t xml:space="preserve">… </w:t>
      </w:r>
      <w:proofErr w:type="spellStart"/>
      <w:r w:rsidRPr="00DC1A5F">
        <w:rPr>
          <w:i/>
          <w:iCs/>
          <w:color w:val="auto"/>
          <w:u w:color="000000"/>
        </w:rPr>
        <w:t>kukkucca</w:t>
      </w:r>
      <w:proofErr w:type="spellEnd"/>
      <w:r w:rsidRPr="00DC1A5F">
        <w:rPr>
          <w:color w:val="auto"/>
          <w:u w:color="000000"/>
        </w:rPr>
        <w:t xml:space="preserve">, que dependerá principalmente de un paralelismo fortuito del significado y formas verbales del </w:t>
      </w:r>
      <w:r w:rsidRPr="00DC1A5F">
        <w:rPr>
          <w:i/>
          <w:iCs/>
          <w:color w:val="auto"/>
          <w:u w:color="000000"/>
        </w:rPr>
        <w:t>Pāḷi</w:t>
      </w:r>
      <w:r w:rsidRPr="00DC1A5F">
        <w:rPr>
          <w:color w:val="auto"/>
          <w:u w:color="000000"/>
        </w:rPr>
        <w:t>. Si bien será inútil para los estrictos etimólogos modernos, poseerá un uso semántico y mnemotécnico definido.</w:t>
      </w:r>
    </w:p>
    <w:p w14:paraId="2792D60F" w14:textId="77777777" w:rsidR="00597DE2" w:rsidRPr="00DC1A5F" w:rsidRDefault="00597DE2" w:rsidP="00597DE2">
      <w:pPr>
        <w:tabs>
          <w:tab w:val="clear" w:pos="425"/>
        </w:tabs>
        <w:spacing w:after="160"/>
      </w:pPr>
      <w:r w:rsidRPr="00DC1A5F">
        <w:br w:type="page"/>
      </w:r>
    </w:p>
    <w:p w14:paraId="472AD1E5" w14:textId="77777777" w:rsidR="00597DE2" w:rsidRPr="00DC1A5F" w:rsidRDefault="00597DE2" w:rsidP="00597DE2">
      <w:r w:rsidRPr="00DC1A5F">
        <w:lastRenderedPageBreak/>
        <w:t xml:space="preserve">175. </w:t>
      </w:r>
      <w:r w:rsidRPr="00DC1A5F">
        <w:tab/>
        <w:t>El resto serán de la clase ya descrita.</w:t>
      </w:r>
    </w:p>
    <w:p w14:paraId="50C30CDE" w14:textId="77777777" w:rsidR="00597DE2" w:rsidRPr="00DC1A5F" w:rsidRDefault="00597DE2" w:rsidP="00597DE2">
      <w:pPr>
        <w:pStyle w:val="NormalConSangria"/>
      </w:pPr>
      <w:r w:rsidRPr="00DC1A5F">
        <w:t>Entonces, estas 18 formaciones deberán entenderse como asociadas con la primera consciencia improductiva arraigada en el odio (30).</w:t>
      </w:r>
    </w:p>
    <w:p w14:paraId="65D16FD8" w14:textId="77777777" w:rsidR="00597DE2" w:rsidRPr="00DC1A5F" w:rsidRDefault="00597DE2" w:rsidP="00597DE2">
      <w:pPr>
        <w:pStyle w:val="NormalConSangria"/>
      </w:pPr>
      <w:r w:rsidRPr="00DC1A5F">
        <w:t>(31) Y como con la primera (30), así serán con la segunda (31), la única diferencia, sin embargo, será si es incitada y la presencia de la pereza</w:t>
      </w:r>
      <w:r w:rsidRPr="00DC1A5F">
        <w:rPr>
          <w:rFonts w:cs="Cormorant"/>
        </w:rPr>
        <w:t>‒</w:t>
      </w:r>
      <w:r w:rsidRPr="00DC1A5F">
        <w:t>y</w:t>
      </w:r>
      <w:r w:rsidRPr="00DC1A5F">
        <w:rPr>
          <w:rFonts w:cs="Cormorant"/>
        </w:rPr>
        <w:t>‒</w:t>
      </w:r>
      <w:r w:rsidRPr="00DC1A5F">
        <w:t>letargo (</w:t>
      </w:r>
      <w:proofErr w:type="spellStart"/>
      <w:r w:rsidRPr="00DC1A5F">
        <w:t>xliii</w:t>
      </w:r>
      <w:proofErr w:type="spellEnd"/>
      <w:r w:rsidRPr="00DC1A5F">
        <w:t>) entre las inconstantes.</w:t>
      </w:r>
    </w:p>
    <w:p w14:paraId="2EBCB173" w14:textId="77777777" w:rsidR="00597DE2" w:rsidRPr="00DC1A5F" w:rsidRDefault="00597DE2" w:rsidP="00597DE2">
      <w:r w:rsidRPr="00DC1A5F">
        <w:t xml:space="preserve">176. </w:t>
      </w:r>
      <w:r w:rsidRPr="00DC1A5F">
        <w:tab/>
        <w:t xml:space="preserve">(32)–(33) Con respecto a las 2 arraigadas en la ilusión, en primer lugar: las </w:t>
      </w:r>
      <w:r w:rsidRPr="00DC1A5F">
        <w:rPr>
          <w:color w:val="833C0B" w:themeColor="accent2" w:themeShade="80"/>
        </w:rPr>
        <w:t>formaciones</w:t>
      </w:r>
      <w:r w:rsidRPr="00DC1A5F">
        <w:t xml:space="preserve"> con las consciencias asociadas a la incertidumbre (32) [471] corresponderán a ​​las 11 dadas en los textos así:</w:t>
      </w:r>
    </w:p>
    <w:p w14:paraId="17F0458C" w14:textId="77777777" w:rsidR="00597DE2" w:rsidRPr="00DC1A5F" w:rsidRDefault="00597DE2" w:rsidP="00597DE2">
      <w:pPr>
        <w:pStyle w:val="VersoIngls01Sangria"/>
        <w:tabs>
          <w:tab w:val="right" w:pos="4253"/>
        </w:tabs>
        <w:ind w:left="1418"/>
      </w:pPr>
      <w:r w:rsidRPr="00DC1A5F">
        <w:t xml:space="preserve">contacto </w:t>
      </w:r>
      <w:r w:rsidRPr="00DC1A5F">
        <w:tab/>
        <w:t>(i),</w:t>
      </w:r>
    </w:p>
    <w:p w14:paraId="77A8CB3F" w14:textId="77777777" w:rsidR="00597DE2" w:rsidRPr="00DC1A5F" w:rsidRDefault="00597DE2" w:rsidP="00597DE2">
      <w:pPr>
        <w:pStyle w:val="VersoIngls01Sangria"/>
        <w:tabs>
          <w:tab w:val="right" w:pos="4253"/>
        </w:tabs>
        <w:ind w:left="1418"/>
      </w:pPr>
      <w:r w:rsidRPr="00DC1A5F">
        <w:t xml:space="preserve">voluntad </w:t>
      </w:r>
      <w:r w:rsidRPr="00DC1A5F">
        <w:tab/>
        <w:t>(</w:t>
      </w:r>
      <w:proofErr w:type="spellStart"/>
      <w:r w:rsidRPr="00DC1A5F">
        <w:t>ii</w:t>
      </w:r>
      <w:proofErr w:type="spellEnd"/>
      <w:r w:rsidRPr="00DC1A5F">
        <w:t>),</w:t>
      </w:r>
    </w:p>
    <w:p w14:paraId="218A235A" w14:textId="77777777" w:rsidR="00597DE2" w:rsidRPr="00DC1A5F" w:rsidRDefault="00597DE2" w:rsidP="00597DE2">
      <w:pPr>
        <w:pStyle w:val="VersoIngls01Sangria"/>
        <w:tabs>
          <w:tab w:val="right" w:pos="4253"/>
        </w:tabs>
        <w:ind w:left="1418"/>
      </w:pPr>
      <w:r w:rsidRPr="00DC1A5F">
        <w:t xml:space="preserve">aplicación mental </w:t>
      </w:r>
      <w:r w:rsidRPr="00DC1A5F">
        <w:tab/>
        <w:t>(</w:t>
      </w:r>
      <w:proofErr w:type="spellStart"/>
      <w:r w:rsidRPr="00DC1A5F">
        <w:t>iii</w:t>
      </w:r>
      <w:proofErr w:type="spellEnd"/>
      <w:r w:rsidRPr="00DC1A5F">
        <w:t>),</w:t>
      </w:r>
    </w:p>
    <w:p w14:paraId="4B7B0A16" w14:textId="77777777" w:rsidR="00597DE2" w:rsidRPr="00DC1A5F" w:rsidRDefault="00597DE2" w:rsidP="00597DE2">
      <w:pPr>
        <w:pStyle w:val="VersoIngls01Sangria"/>
        <w:tabs>
          <w:tab w:val="right" w:pos="4253"/>
        </w:tabs>
        <w:ind w:left="1418"/>
      </w:pPr>
      <w:r w:rsidRPr="00DC1A5F">
        <w:t>sustentación mental</w:t>
      </w:r>
      <w:r w:rsidRPr="00DC1A5F">
        <w:tab/>
        <w:t>(</w:t>
      </w:r>
      <w:proofErr w:type="spellStart"/>
      <w:r w:rsidRPr="00DC1A5F">
        <w:t>iv</w:t>
      </w:r>
      <w:proofErr w:type="spellEnd"/>
      <w:r w:rsidRPr="00DC1A5F">
        <w:t>),</w:t>
      </w:r>
    </w:p>
    <w:p w14:paraId="4A3ED864" w14:textId="77777777" w:rsidR="00597DE2" w:rsidRPr="00DC1A5F" w:rsidRDefault="00597DE2" w:rsidP="00597DE2">
      <w:pPr>
        <w:pStyle w:val="VersoIngls01Sangria"/>
        <w:tabs>
          <w:tab w:val="right" w:pos="4253"/>
        </w:tabs>
        <w:ind w:left="1418"/>
      </w:pPr>
      <w:r w:rsidRPr="00DC1A5F">
        <w:t xml:space="preserve">energía </w:t>
      </w:r>
      <w:r w:rsidRPr="00DC1A5F">
        <w:tab/>
        <w:t xml:space="preserve">(vi), </w:t>
      </w:r>
    </w:p>
    <w:p w14:paraId="68004B78" w14:textId="77777777" w:rsidR="00597DE2" w:rsidRPr="00DC1A5F" w:rsidRDefault="00597DE2" w:rsidP="00597DE2">
      <w:pPr>
        <w:pStyle w:val="VersoIngls01Sangria"/>
        <w:tabs>
          <w:tab w:val="right" w:pos="4253"/>
        </w:tabs>
        <w:ind w:left="1418"/>
      </w:pPr>
      <w:r w:rsidRPr="00DC1A5F">
        <w:t xml:space="preserve">vitalidad </w:t>
      </w:r>
      <w:r w:rsidRPr="00DC1A5F">
        <w:tab/>
        <w:t>(</w:t>
      </w:r>
      <w:proofErr w:type="spellStart"/>
      <w:r w:rsidRPr="00DC1A5F">
        <w:t>vii</w:t>
      </w:r>
      <w:proofErr w:type="spellEnd"/>
      <w:r w:rsidRPr="00DC1A5F">
        <w:t>),</w:t>
      </w:r>
    </w:p>
    <w:p w14:paraId="6E5C1DF2" w14:textId="77777777" w:rsidR="00597DE2" w:rsidRPr="00DC1A5F" w:rsidRDefault="00597DE2" w:rsidP="00597DE2">
      <w:pPr>
        <w:pStyle w:val="VersoIngls01Sangria"/>
        <w:ind w:hanging="849"/>
      </w:pPr>
      <w:r w:rsidRPr="00DC1A5F">
        <w:t>(</w:t>
      </w:r>
      <w:proofErr w:type="spellStart"/>
      <w:r w:rsidRPr="00DC1A5F">
        <w:t>xlix</w:t>
      </w:r>
      <w:proofErr w:type="spellEnd"/>
      <w:r w:rsidRPr="00DC1A5F">
        <w:t xml:space="preserve">) </w:t>
      </w:r>
      <w:r w:rsidRPr="00DC1A5F">
        <w:tab/>
        <w:t>firmeza de consciencia,</w:t>
      </w:r>
    </w:p>
    <w:p w14:paraId="5EF5C792" w14:textId="77777777" w:rsidR="00597DE2" w:rsidRPr="00DC1A5F" w:rsidRDefault="00597DE2" w:rsidP="00597DE2">
      <w:pPr>
        <w:pStyle w:val="VersoIngls01Sangria"/>
        <w:tabs>
          <w:tab w:val="right" w:pos="4253"/>
        </w:tabs>
        <w:ind w:left="1418"/>
      </w:pPr>
      <w:r w:rsidRPr="00DC1A5F">
        <w:t xml:space="preserve">inconsciencia </w:t>
      </w:r>
      <w:r w:rsidRPr="00DC1A5F">
        <w:tab/>
        <w:t>(</w:t>
      </w:r>
      <w:proofErr w:type="spellStart"/>
      <w:r w:rsidRPr="00DC1A5F">
        <w:t>xxxvii</w:t>
      </w:r>
      <w:proofErr w:type="spellEnd"/>
      <w:r w:rsidRPr="00DC1A5F">
        <w:t>),</w:t>
      </w:r>
    </w:p>
    <w:p w14:paraId="15F61338" w14:textId="77777777" w:rsidR="00597DE2" w:rsidRPr="00DC1A5F" w:rsidRDefault="00597DE2" w:rsidP="00597DE2">
      <w:pPr>
        <w:pStyle w:val="VersoIngls01Sangria"/>
        <w:tabs>
          <w:tab w:val="right" w:pos="4253"/>
        </w:tabs>
        <w:ind w:left="1418"/>
      </w:pPr>
      <w:r w:rsidRPr="00DC1A5F">
        <w:t xml:space="preserve">negligencia moral </w:t>
      </w:r>
      <w:r w:rsidRPr="00DC1A5F">
        <w:tab/>
        <w:t>(</w:t>
      </w:r>
      <w:proofErr w:type="spellStart"/>
      <w:r w:rsidRPr="00DC1A5F">
        <w:t>xxxviii</w:t>
      </w:r>
      <w:proofErr w:type="spellEnd"/>
      <w:r w:rsidRPr="00DC1A5F">
        <w:t>),</w:t>
      </w:r>
    </w:p>
    <w:p w14:paraId="1C4C0365" w14:textId="77777777" w:rsidR="00597DE2" w:rsidRPr="00DC1A5F" w:rsidRDefault="00597DE2" w:rsidP="00597DE2">
      <w:pPr>
        <w:pStyle w:val="VersoIngls01Sangria"/>
        <w:tabs>
          <w:tab w:val="right" w:pos="4253"/>
        </w:tabs>
        <w:ind w:left="1418"/>
      </w:pPr>
      <w:r w:rsidRPr="00DC1A5F">
        <w:t xml:space="preserve">ilusión </w:t>
      </w:r>
      <w:r w:rsidRPr="00DC1A5F">
        <w:tab/>
        <w:t>(</w:t>
      </w:r>
      <w:proofErr w:type="spellStart"/>
      <w:r w:rsidRPr="00DC1A5F">
        <w:t>xl</w:t>
      </w:r>
      <w:proofErr w:type="spellEnd"/>
      <w:r w:rsidRPr="00DC1A5F">
        <w:t>),</w:t>
      </w:r>
    </w:p>
    <w:p w14:paraId="2B2AE813" w14:textId="77777777" w:rsidR="00597DE2" w:rsidRPr="00DC1A5F" w:rsidRDefault="00597DE2" w:rsidP="00597DE2">
      <w:pPr>
        <w:pStyle w:val="VersoIngls01Sangria"/>
        <w:spacing w:after="100"/>
        <w:ind w:left="1418" w:hanging="851"/>
      </w:pPr>
      <w:r w:rsidRPr="00DC1A5F">
        <w:t xml:space="preserve">(l) </w:t>
      </w:r>
      <w:r w:rsidRPr="00DC1A5F">
        <w:tab/>
        <w:t>incertidumbre.</w:t>
      </w:r>
    </w:p>
    <w:p w14:paraId="2815E517" w14:textId="77777777" w:rsidR="00597DE2" w:rsidRPr="00DC1A5F" w:rsidRDefault="00597DE2" w:rsidP="00597DE2">
      <w:pPr>
        <w:pStyle w:val="NormalConSangria"/>
      </w:pPr>
      <w:r w:rsidRPr="00DC1A5F">
        <w:t xml:space="preserve">Las </w:t>
      </w:r>
      <w:r w:rsidRPr="00DC1A5F">
        <w:rPr>
          <w:color w:val="833C0B" w:themeColor="accent2" w:themeShade="80"/>
        </w:rPr>
        <w:t xml:space="preserve">formaciones </w:t>
      </w:r>
      <w:r w:rsidRPr="00DC1A5F">
        <w:t>o–de–cualquier–estado son 2:</w:t>
      </w:r>
    </w:p>
    <w:p w14:paraId="6B026211" w14:textId="77777777" w:rsidR="00597DE2" w:rsidRPr="00DC1A5F" w:rsidRDefault="00597DE2" w:rsidP="00597DE2">
      <w:pPr>
        <w:pStyle w:val="VersoIngls01Sangria"/>
        <w:tabs>
          <w:tab w:val="right" w:pos="4253"/>
        </w:tabs>
        <w:ind w:left="1418"/>
      </w:pPr>
      <w:r w:rsidRPr="00DC1A5F">
        <w:t xml:space="preserve">agitación </w:t>
      </w:r>
      <w:r w:rsidRPr="00DC1A5F">
        <w:tab/>
        <w:t>(</w:t>
      </w:r>
      <w:proofErr w:type="spellStart"/>
      <w:r w:rsidRPr="00DC1A5F">
        <w:t>xlii</w:t>
      </w:r>
      <w:proofErr w:type="spellEnd"/>
      <w:r w:rsidRPr="00DC1A5F">
        <w:t>),</w:t>
      </w:r>
    </w:p>
    <w:p w14:paraId="557927A7" w14:textId="77777777" w:rsidR="00597DE2" w:rsidRPr="00DC1A5F" w:rsidRDefault="00597DE2" w:rsidP="00597DE2">
      <w:pPr>
        <w:pStyle w:val="VersoIngls01Sangria"/>
        <w:tabs>
          <w:tab w:val="right" w:pos="4253"/>
        </w:tabs>
        <w:ind w:left="1418"/>
      </w:pPr>
      <w:r w:rsidRPr="00DC1A5F">
        <w:t xml:space="preserve">atención </w:t>
      </w:r>
      <w:r w:rsidRPr="00DC1A5F">
        <w:tab/>
        <w:t>(</w:t>
      </w:r>
      <w:proofErr w:type="spellStart"/>
      <w:r w:rsidRPr="00DC1A5F">
        <w:t>xxx</w:t>
      </w:r>
      <w:proofErr w:type="spellEnd"/>
      <w:r w:rsidRPr="00DC1A5F">
        <w:t>).</w:t>
      </w:r>
    </w:p>
    <w:p w14:paraId="23F306B7" w14:textId="77777777" w:rsidR="00597DE2" w:rsidRPr="00DC1A5F" w:rsidRDefault="00597DE2" w:rsidP="00597DE2">
      <w:pPr>
        <w:pStyle w:val="NormalConSangria"/>
      </w:pPr>
      <w:r w:rsidRPr="00DC1A5F">
        <w:t>Y estos conjuntamente suman 13.</w:t>
      </w:r>
    </w:p>
    <w:p w14:paraId="3D55542D" w14:textId="77777777" w:rsidR="00597DE2" w:rsidRPr="00DC1A5F" w:rsidRDefault="00597DE2" w:rsidP="00597DE2">
      <w:pPr>
        <w:rPr>
          <w:vertAlign w:val="superscript"/>
        </w:rPr>
      </w:pPr>
      <w:r w:rsidRPr="00DC1A5F">
        <w:t xml:space="preserve">177. </w:t>
      </w:r>
      <w:r w:rsidRPr="00DC1A5F">
        <w:tab/>
        <w:t>Aquí, (</w:t>
      </w:r>
      <w:proofErr w:type="spellStart"/>
      <w:r w:rsidRPr="00DC1A5F">
        <w:t>xlix</w:t>
      </w:r>
      <w:proofErr w:type="spellEnd"/>
      <w:r w:rsidRPr="00DC1A5F">
        <w:t xml:space="preserve">) la </w:t>
      </w:r>
      <w:r w:rsidRPr="00DC1A5F">
        <w:rPr>
          <w:i/>
          <w:iCs/>
        </w:rPr>
        <w:t>firmeza de la consciencia</w:t>
      </w:r>
      <w:r w:rsidRPr="00DC1A5F">
        <w:t xml:space="preserve"> corresponderá a una concentración débil (</w:t>
      </w:r>
      <w:proofErr w:type="spellStart"/>
      <w:r w:rsidRPr="00DC1A5F">
        <w:t>viii</w:t>
      </w:r>
      <w:proofErr w:type="spellEnd"/>
      <w:r w:rsidRPr="00DC1A5F">
        <w:t>) consistente de una mera firmeza en la ocurrencia.</w:t>
      </w:r>
      <w:r w:rsidRPr="00DC1A5F">
        <w:rPr>
          <w:vertAlign w:val="superscript"/>
        </w:rPr>
        <w:t>70</w:t>
      </w:r>
    </w:p>
    <w:p w14:paraId="0D8B16F2" w14:textId="77777777" w:rsidR="00597DE2" w:rsidRPr="00DC1A5F" w:rsidRDefault="00597DE2" w:rsidP="00597DE2">
      <w:pPr>
        <w:pStyle w:val="NormalConSangria"/>
      </w:pPr>
      <w:r w:rsidRPr="00DC1A5F">
        <w:t>(1) Será una ausencia de deseo de curar (</w:t>
      </w:r>
      <w:proofErr w:type="spellStart"/>
      <w:r w:rsidRPr="00DC1A5F">
        <w:rPr>
          <w:i/>
          <w:iCs/>
        </w:rPr>
        <w:t>vigatā</w:t>
      </w:r>
      <w:proofErr w:type="spellEnd"/>
      <w:r w:rsidRPr="00DC1A5F">
        <w:rPr>
          <w:i/>
          <w:iCs/>
        </w:rPr>
        <w:t xml:space="preserve"> </w:t>
      </w:r>
      <w:proofErr w:type="spellStart"/>
      <w:r w:rsidRPr="00DC1A5F">
        <w:rPr>
          <w:i/>
          <w:iCs/>
        </w:rPr>
        <w:t>cikicchā</w:t>
      </w:r>
      <w:proofErr w:type="spellEnd"/>
      <w:r w:rsidRPr="00DC1A5F">
        <w:t>), por lo tanto corresponderá a una incertidumbre (</w:t>
      </w:r>
      <w:r w:rsidRPr="00DC1A5F">
        <w:rPr>
          <w:i/>
          <w:iCs/>
        </w:rPr>
        <w:t>vicikicchā</w:t>
      </w:r>
      <w:r w:rsidRPr="00DC1A5F">
        <w:t xml:space="preserve">). Tiene la </w:t>
      </w:r>
      <w:r w:rsidRPr="00DC1A5F">
        <w:rPr>
          <w:i/>
          <w:iCs/>
        </w:rPr>
        <w:t>característica</w:t>
      </w:r>
      <w:r w:rsidRPr="00DC1A5F">
        <w:t xml:space="preserve"> de la duda. Su </w:t>
      </w:r>
      <w:r w:rsidRPr="00DC1A5F">
        <w:rPr>
          <w:i/>
          <w:iCs/>
        </w:rPr>
        <w:t>función</w:t>
      </w:r>
      <w:r w:rsidRPr="00DC1A5F">
        <w:t xml:space="preserve"> es vacilar. Se </w:t>
      </w:r>
      <w:r w:rsidRPr="00DC1A5F">
        <w:rPr>
          <w:i/>
          <w:iCs/>
        </w:rPr>
        <w:t>manifiesta</w:t>
      </w:r>
      <w:r w:rsidRPr="00DC1A5F">
        <w:t xml:space="preserve"> como indecisión, o se manifiesta al adoptar varias posiciones. Su </w:t>
      </w:r>
      <w:r w:rsidRPr="00DC1A5F">
        <w:rPr>
          <w:i/>
          <w:iCs/>
        </w:rPr>
        <w:t>causa próxima</w:t>
      </w:r>
      <w:r w:rsidRPr="00DC1A5F">
        <w:t xml:space="preserve"> es la atención insensata. Debería ser considerada como una obstrucción de la teoría (ver XVII.52).</w:t>
      </w:r>
    </w:p>
    <w:p w14:paraId="2BFBF82A" w14:textId="77777777" w:rsidR="00597DE2" w:rsidRPr="00DC1A5F" w:rsidRDefault="00597DE2" w:rsidP="00597DE2">
      <w:pPr>
        <w:pStyle w:val="NormalConSangria"/>
      </w:pPr>
      <w:r w:rsidRPr="00DC1A5F">
        <w:t xml:space="preserve">El resto de las </w:t>
      </w:r>
      <w:r w:rsidRPr="00DC1A5F">
        <w:rPr>
          <w:color w:val="833C0B" w:themeColor="accent2" w:themeShade="80"/>
        </w:rPr>
        <w:t>formaciones</w:t>
      </w:r>
      <w:r w:rsidRPr="00DC1A5F">
        <w:t xml:space="preserve"> serán como las que ya se han descrito.</w:t>
      </w:r>
    </w:p>
    <w:p w14:paraId="7C6C2A36" w14:textId="77777777" w:rsidR="00597DE2" w:rsidRPr="00DC1A5F" w:rsidRDefault="00597DE2" w:rsidP="00597DE2">
      <w:r w:rsidRPr="00DC1A5F">
        <w:t xml:space="preserve">178. </w:t>
      </w:r>
      <w:r w:rsidRPr="00DC1A5F">
        <w:tab/>
        <w:t>(33) La consciencia asociada con la agitación (33) poseerá las mismas formaciones que la consciencia asociada con la incertidumbre (32), excepto la incertidumbre (1). No obstante, ante la ausencia de incertidumbre surgirá aquí la resolución (</w:t>
      </w:r>
      <w:proofErr w:type="spellStart"/>
      <w:r w:rsidRPr="00DC1A5F">
        <w:t>xxix</w:t>
      </w:r>
      <w:proofErr w:type="spellEnd"/>
      <w:r w:rsidRPr="00DC1A5F">
        <w:t>). Entonces con ello también serán 13 y la concentración (</w:t>
      </w:r>
      <w:proofErr w:type="spellStart"/>
      <w:r w:rsidRPr="00DC1A5F">
        <w:t>viii</w:t>
      </w:r>
      <w:proofErr w:type="spellEnd"/>
      <w:r w:rsidRPr="00DC1A5F">
        <w:t>) será más fuerte debido a la presencia de la resolución. También se da agitación en los textos como tal, mientras que la resolución (</w:t>
      </w:r>
      <w:proofErr w:type="spellStart"/>
      <w:r w:rsidRPr="00DC1A5F">
        <w:t>xxix</w:t>
      </w:r>
      <w:proofErr w:type="spellEnd"/>
      <w:r w:rsidRPr="00DC1A5F">
        <w:t>) y la atención (</w:t>
      </w:r>
      <w:proofErr w:type="spellStart"/>
      <w:r w:rsidRPr="00DC1A5F">
        <w:t>xxx</w:t>
      </w:r>
      <w:proofErr w:type="spellEnd"/>
      <w:r w:rsidRPr="00DC1A5F">
        <w:t xml:space="preserve">) se encontrarán entre las </w:t>
      </w:r>
      <w:r w:rsidRPr="00DC1A5F">
        <w:rPr>
          <w:color w:val="833C0B" w:themeColor="accent2" w:themeShade="80"/>
        </w:rPr>
        <w:t>formaciones</w:t>
      </w:r>
      <w:r w:rsidRPr="00DC1A5F">
        <w:t xml:space="preserve"> o–de–cualquier–estado.</w:t>
      </w:r>
    </w:p>
    <w:p w14:paraId="5C9C5A5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542BE34" w14:textId="77777777" w:rsidR="00597DE2" w:rsidRPr="00DC1A5F" w:rsidRDefault="00597DE2" w:rsidP="00597DE2">
      <w:pPr>
        <w:pStyle w:val="PiedepginaLegal"/>
        <w:numPr>
          <w:ilvl w:val="0"/>
          <w:numId w:val="3"/>
        </w:numPr>
        <w:tabs>
          <w:tab w:val="clear" w:pos="425"/>
        </w:tabs>
        <w:spacing w:after="160"/>
        <w:ind w:left="284"/>
        <w:rPr>
          <w:color w:val="auto"/>
          <w:u w:color="000000"/>
        </w:rPr>
      </w:pPr>
      <w:r w:rsidRPr="00DC1A5F">
        <w:rPr>
          <w:color w:val="auto"/>
          <w:u w:color="000000"/>
        </w:rPr>
        <w:t>“‘</w:t>
      </w:r>
      <w:r w:rsidRPr="00DC1A5F">
        <w:rPr>
          <w:i/>
          <w:iCs/>
          <w:color w:val="auto"/>
          <w:u w:color="000000"/>
        </w:rPr>
        <w:t>Simple firmeza de ocurrencia’</w:t>
      </w:r>
      <w:r w:rsidRPr="00DC1A5F">
        <w:rPr>
          <w:color w:val="auto"/>
          <w:u w:color="000000"/>
        </w:rPr>
        <w:t xml:space="preserve"> significará una presencia simple y por un momento. Que sea sólo una “simple estabilidad de la ocurrencia” debido a la simple condición para la estabilidad mental (</w:t>
      </w:r>
      <w:proofErr w:type="spellStart"/>
      <w:r w:rsidRPr="00DC1A5F">
        <w:rPr>
          <w:i/>
          <w:iCs/>
          <w:color w:val="auto"/>
          <w:u w:color="000000"/>
        </w:rPr>
        <w:t>ceto</w:t>
      </w:r>
      <w:proofErr w:type="spellEnd"/>
      <w:r w:rsidRPr="00DC1A5F">
        <w:rPr>
          <w:color w:val="auto"/>
          <w:u w:color="000000"/>
        </w:rPr>
        <w:t>) se deberá a la falta de firmeza real debido a la ausencia de decisión (</w:t>
      </w:r>
      <w:proofErr w:type="spellStart"/>
      <w:r w:rsidRPr="00DC1A5F">
        <w:rPr>
          <w:i/>
          <w:iCs/>
          <w:color w:val="auto"/>
          <w:u w:color="000000"/>
        </w:rPr>
        <w:t>nicchaya</w:t>
      </w:r>
      <w:proofErr w:type="spellEnd"/>
      <w:r w:rsidRPr="00DC1A5F">
        <w:rPr>
          <w:color w:val="auto"/>
          <w:u w:color="000000"/>
        </w:rPr>
        <w:t>) y será incapaz de ser una condición para tal estabilidad a través de la continuidad (ver §188), como la firmeza de la consciencia que se expresa así: ‘como la firmeza de una llama protegida de una corriente de aire’ (XIV.139)”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495).</w:t>
      </w:r>
      <w:r w:rsidRPr="00DC1A5F">
        <w:rPr>
          <w:color w:val="auto"/>
          <w:u w:color="000000"/>
        </w:rPr>
        <w:br w:type="page"/>
      </w:r>
    </w:p>
    <w:p w14:paraId="1C87C1BC" w14:textId="77777777" w:rsidR="00597DE2" w:rsidRPr="00DC1A5F" w:rsidRDefault="00597DE2" w:rsidP="00597DE2">
      <w:pPr>
        <w:pStyle w:val="NumeracinconSangra"/>
      </w:pPr>
      <w:r w:rsidRPr="00DC1A5F">
        <w:lastRenderedPageBreak/>
        <w:t>Así deben entenderse las formaciones improductivas.</w:t>
      </w:r>
    </w:p>
    <w:p w14:paraId="1F20120E" w14:textId="77777777" w:rsidR="00597DE2" w:rsidRPr="00DC1A5F" w:rsidRDefault="00597DE2" w:rsidP="00597DE2">
      <w:r w:rsidRPr="00DC1A5F">
        <w:t>179.</w:t>
      </w:r>
      <w:r w:rsidRPr="00DC1A5F">
        <w:tab/>
        <w:t xml:space="preserve">III. En cuanto a las </w:t>
      </w:r>
      <w:r w:rsidRPr="00DC1A5F">
        <w:rPr>
          <w:i/>
          <w:iCs/>
        </w:rPr>
        <w:t>indeterminadas</w:t>
      </w:r>
      <w:r w:rsidRPr="00DC1A5F">
        <w:t xml:space="preserve">, en primer lugar, las </w:t>
      </w:r>
      <w:r w:rsidRPr="00DC1A5F">
        <w:rPr>
          <w:i/>
          <w:iCs/>
        </w:rPr>
        <w:t>resultantes indeterminadas</w:t>
      </w:r>
      <w:r w:rsidRPr="00DC1A5F">
        <w:t xml:space="preserve"> (34)–(69) serán 2, clasificadas como aquellas sin causa–raíz y aquellas con causa–raíz. Aquellas asociadas con la consciencia resultante sin causa–raíz (34)–(41), (50)–(56) corresponderán a aquellas </w:t>
      </w:r>
      <w:r w:rsidRPr="00DC1A5F">
        <w:rPr>
          <w:color w:val="833C0B" w:themeColor="accent2" w:themeShade="80"/>
        </w:rPr>
        <w:t xml:space="preserve">formaciones </w:t>
      </w:r>
      <w:r w:rsidRPr="00DC1A5F">
        <w:t>sin causa–raíz.</w:t>
      </w:r>
    </w:p>
    <w:p w14:paraId="2C6164E0" w14:textId="77777777" w:rsidR="00597DE2" w:rsidRPr="00DC1A5F" w:rsidRDefault="00597DE2" w:rsidP="00597DE2">
      <w:pPr>
        <w:pStyle w:val="NormalConSangria"/>
      </w:pPr>
      <w:r w:rsidRPr="00DC1A5F">
        <w:t xml:space="preserve">Aquí, en primer lugar, las </w:t>
      </w:r>
      <w:r w:rsidRPr="00DC1A5F">
        <w:rPr>
          <w:color w:val="833C0B" w:themeColor="accent2" w:themeShade="80"/>
        </w:rPr>
        <w:t xml:space="preserve">formaciones </w:t>
      </w:r>
      <w:r w:rsidRPr="00DC1A5F">
        <w:t>asociadas con la resultante productiva (34) y la resultante improductiva (50) de la consciencia visual serán las cuatro que se dan en los textos como tales, es decir:</w:t>
      </w:r>
    </w:p>
    <w:p w14:paraId="2F67AB49" w14:textId="77777777" w:rsidR="00597DE2" w:rsidRPr="00DC1A5F" w:rsidRDefault="00597DE2" w:rsidP="00597DE2">
      <w:pPr>
        <w:pStyle w:val="VersoIngls01Sangria"/>
        <w:tabs>
          <w:tab w:val="right" w:pos="4253"/>
        </w:tabs>
        <w:ind w:left="1418"/>
      </w:pPr>
      <w:r w:rsidRPr="00DC1A5F">
        <w:t xml:space="preserve">contacto </w:t>
      </w:r>
      <w:r w:rsidRPr="00DC1A5F">
        <w:tab/>
        <w:t xml:space="preserve">(i), </w:t>
      </w:r>
    </w:p>
    <w:p w14:paraId="3722D50E" w14:textId="77777777" w:rsidR="00597DE2" w:rsidRPr="00DC1A5F" w:rsidRDefault="00597DE2" w:rsidP="00597DE2">
      <w:pPr>
        <w:pStyle w:val="VersoIngls01Sangria"/>
        <w:tabs>
          <w:tab w:val="right" w:pos="4253"/>
        </w:tabs>
        <w:ind w:left="1418"/>
      </w:pPr>
      <w:r w:rsidRPr="00DC1A5F">
        <w:t xml:space="preserve">volición </w:t>
      </w:r>
      <w:r w:rsidRPr="00DC1A5F">
        <w:tab/>
        <w:t>(</w:t>
      </w:r>
      <w:proofErr w:type="spellStart"/>
      <w:r w:rsidRPr="00DC1A5F">
        <w:t>ii</w:t>
      </w:r>
      <w:proofErr w:type="spellEnd"/>
      <w:r w:rsidRPr="00DC1A5F">
        <w:t>),</w:t>
      </w:r>
    </w:p>
    <w:p w14:paraId="4E544324" w14:textId="77777777" w:rsidR="00597DE2" w:rsidRPr="00DC1A5F" w:rsidRDefault="00597DE2" w:rsidP="00597DE2">
      <w:pPr>
        <w:pStyle w:val="VersoIngls01Sangria"/>
        <w:tabs>
          <w:tab w:val="right" w:pos="4253"/>
        </w:tabs>
        <w:ind w:left="1418"/>
      </w:pPr>
      <w:r w:rsidRPr="00DC1A5F">
        <w:t xml:space="preserve">vitalidad </w:t>
      </w:r>
      <w:r w:rsidRPr="00DC1A5F">
        <w:tab/>
        <w:t>(</w:t>
      </w:r>
      <w:proofErr w:type="spellStart"/>
      <w:r w:rsidRPr="00DC1A5F">
        <w:t>viii</w:t>
      </w:r>
      <w:proofErr w:type="spellEnd"/>
      <w:r w:rsidRPr="00DC1A5F">
        <w:t>),</w:t>
      </w:r>
    </w:p>
    <w:p w14:paraId="11A099BE" w14:textId="77777777" w:rsidR="00597DE2" w:rsidRPr="00DC1A5F" w:rsidRDefault="00597DE2" w:rsidP="00597DE2">
      <w:pPr>
        <w:pStyle w:val="VersoIngls01Sangria"/>
        <w:tabs>
          <w:tab w:val="right" w:pos="4253"/>
        </w:tabs>
        <w:ind w:left="1418"/>
      </w:pPr>
      <w:r w:rsidRPr="00DC1A5F">
        <w:t xml:space="preserve">firmeza de consciencia </w:t>
      </w:r>
      <w:r w:rsidRPr="00DC1A5F">
        <w:tab/>
        <w:t>(</w:t>
      </w:r>
      <w:proofErr w:type="spellStart"/>
      <w:r w:rsidRPr="00DC1A5F">
        <w:t>xlix</w:t>
      </w:r>
      <w:proofErr w:type="spellEnd"/>
      <w:r w:rsidRPr="00DC1A5F">
        <w:t>),</w:t>
      </w:r>
    </w:p>
    <w:p w14:paraId="5936C372" w14:textId="77777777" w:rsidR="00597DE2" w:rsidRPr="00DC1A5F" w:rsidRDefault="00597DE2" w:rsidP="00597DE2">
      <w:pPr>
        <w:pStyle w:val="NormalConSangria"/>
      </w:pPr>
      <w:r w:rsidRPr="00DC1A5F">
        <w:t xml:space="preserve">que suman 5 con </w:t>
      </w:r>
    </w:p>
    <w:p w14:paraId="24F4D9D0" w14:textId="77777777" w:rsidR="00597DE2" w:rsidRPr="00DC1A5F" w:rsidRDefault="00597DE2" w:rsidP="00597DE2">
      <w:pPr>
        <w:pStyle w:val="VersoIngls01Sangria"/>
        <w:tabs>
          <w:tab w:val="right" w:pos="4253"/>
        </w:tabs>
        <w:ind w:left="1418"/>
      </w:pPr>
      <w:r w:rsidRPr="00DC1A5F">
        <w:t xml:space="preserve">atención </w:t>
      </w:r>
      <w:r w:rsidRPr="00DC1A5F">
        <w:tab/>
        <w:t>(</w:t>
      </w:r>
      <w:proofErr w:type="spellStart"/>
      <w:r w:rsidRPr="00DC1A5F">
        <w:t>xxx</w:t>
      </w:r>
      <w:proofErr w:type="spellEnd"/>
      <w:r w:rsidRPr="00DC1A5F">
        <w:t>),</w:t>
      </w:r>
    </w:p>
    <w:p w14:paraId="6054BB88" w14:textId="77777777" w:rsidR="00597DE2" w:rsidRPr="00DC1A5F" w:rsidRDefault="00597DE2" w:rsidP="00597DE2">
      <w:pPr>
        <w:pStyle w:val="NormalConSangria"/>
      </w:pPr>
      <w:r w:rsidRPr="00DC1A5F">
        <w:t xml:space="preserve">como la única </w:t>
      </w:r>
      <w:r w:rsidRPr="00DC1A5F">
        <w:rPr>
          <w:color w:val="833C0B" w:themeColor="accent2" w:themeShade="80"/>
        </w:rPr>
        <w:t>formación</w:t>
      </w:r>
      <w:r w:rsidRPr="00DC1A5F">
        <w:t xml:space="preserve"> o–de–cualquier–estado.</w:t>
      </w:r>
    </w:p>
    <w:p w14:paraId="2DAB2860" w14:textId="77777777" w:rsidR="00597DE2" w:rsidRPr="00DC1A5F" w:rsidRDefault="00597DE2" w:rsidP="00597DE2">
      <w:pPr>
        <w:pStyle w:val="NormalConSangria"/>
      </w:pPr>
      <w:r w:rsidRPr="00DC1A5F">
        <w:t xml:space="preserve">Estas mismas clases de </w:t>
      </w:r>
      <w:r w:rsidRPr="00DC1A5F">
        <w:rPr>
          <w:color w:val="833C0B" w:themeColor="accent2" w:themeShade="80"/>
        </w:rPr>
        <w:t xml:space="preserve">formaciones </w:t>
      </w:r>
      <w:r w:rsidRPr="00DC1A5F">
        <w:t>estarán asociadas con la consciencia del oído, la nariz, la lengua y el cuerpo (35)–(38), (51)–(54).</w:t>
      </w:r>
    </w:p>
    <w:p w14:paraId="1A38A7CB" w14:textId="77777777" w:rsidR="00597DE2" w:rsidRPr="00DC1A5F" w:rsidRDefault="00597DE2" w:rsidP="00597DE2">
      <w:r w:rsidRPr="00DC1A5F">
        <w:t xml:space="preserve">180. </w:t>
      </w:r>
      <w:r w:rsidRPr="00DC1A5F">
        <w:tab/>
        <w:t>Aquellas asociadas con ambas clases de elementos mentales resultantes (39), (55) llegarán a 8 al agregar la aplicación mental (</w:t>
      </w:r>
      <w:proofErr w:type="spellStart"/>
      <w:r w:rsidRPr="00DC1A5F">
        <w:t>iii</w:t>
      </w:r>
      <w:proofErr w:type="spellEnd"/>
      <w:r w:rsidRPr="00DC1A5F">
        <w:t>), la sustentación mental (</w:t>
      </w:r>
      <w:proofErr w:type="spellStart"/>
      <w:r w:rsidRPr="00DC1A5F">
        <w:t>iv</w:t>
      </w:r>
      <w:proofErr w:type="spellEnd"/>
      <w:r w:rsidRPr="00DC1A5F">
        <w:t>) y la resolución (</w:t>
      </w:r>
      <w:proofErr w:type="spellStart"/>
      <w:r w:rsidRPr="00DC1A5F">
        <w:t>xxix</w:t>
      </w:r>
      <w:proofErr w:type="spellEnd"/>
      <w:r w:rsidRPr="00DC1A5F">
        <w:t>). Del mismo modo, aquellas asociadas con el triple elemento de la consciencia mental con causa–raíz (40), (41), (56). No obstante, aquí (40) ésta acompañada de dicha deberá entenderse como poseedora de felicidad (v) en adición también a ella.</w:t>
      </w:r>
    </w:p>
    <w:p w14:paraId="0A89E413" w14:textId="77777777" w:rsidR="00597DE2" w:rsidRPr="00DC1A5F" w:rsidRDefault="00597DE2" w:rsidP="00597DE2">
      <w:r w:rsidRPr="00DC1A5F">
        <w:t xml:space="preserve">181. </w:t>
      </w:r>
      <w:r w:rsidRPr="00DC1A5F">
        <w:tab/>
        <w:t>Las formaciones asociadas con la consciencia resultante con causa–raíz (42)–(49) serán aquellas con causa–raíz. De éstas, en primer lugar, las asociadas con la consciencia resultante de la esfera sensorial con causa–raíz serán similares a las formaciones asociadas con las 8 esferas de las consciencias sensoriales (1)–(8). No obstante, de las inconstantes, la compasión (</w:t>
      </w:r>
      <w:proofErr w:type="spellStart"/>
      <w:r w:rsidRPr="00DC1A5F">
        <w:t>xxxii</w:t>
      </w:r>
      <w:proofErr w:type="spellEnd"/>
      <w:r w:rsidRPr="00DC1A5F">
        <w:t>) y la alegría altruista (</w:t>
      </w:r>
      <w:proofErr w:type="spellStart"/>
      <w:r w:rsidRPr="00DC1A5F">
        <w:t>xxxiii</w:t>
      </w:r>
      <w:proofErr w:type="spellEnd"/>
      <w:r w:rsidRPr="00DC1A5F">
        <w:t>) no estarán entre las resultantes porque tendrán por objeto a los seres vivos. Ya que las resultantes de la esfera sensorial tendrán sólo objetos limitados. Y no sólo la compasión y la alegría, sino también las tres abstinencias (</w:t>
      </w:r>
      <w:proofErr w:type="spellStart"/>
      <w:r w:rsidRPr="00DC1A5F">
        <w:t>xxxiv</w:t>
      </w:r>
      <w:proofErr w:type="spellEnd"/>
      <w:r w:rsidRPr="00DC1A5F">
        <w:t>)–(</w:t>
      </w:r>
      <w:proofErr w:type="spellStart"/>
      <w:r w:rsidRPr="00DC1A5F">
        <w:t>xxxvi</w:t>
      </w:r>
      <w:proofErr w:type="spellEnd"/>
      <w:r w:rsidRPr="00DC1A5F">
        <w:t>) no estarán entre las resultantes; [472] porque se dice que “los cinco preceptos de entrenamiento serán solamente productivos” (</w:t>
      </w:r>
      <w:proofErr w:type="spellStart"/>
      <w:r w:rsidRPr="00DC1A5F">
        <w:t>Vibh</w:t>
      </w:r>
      <w:proofErr w:type="spellEnd"/>
      <w:r w:rsidRPr="00DC1A5F">
        <w:t xml:space="preserve"> 291).</w:t>
      </w:r>
    </w:p>
    <w:p w14:paraId="66FF71C2" w14:textId="77777777" w:rsidR="00597DE2" w:rsidRPr="00DC1A5F" w:rsidRDefault="00597DE2" w:rsidP="00597DE2">
      <w:r w:rsidRPr="00DC1A5F">
        <w:t xml:space="preserve">182. </w:t>
      </w:r>
      <w:r w:rsidRPr="00DC1A5F">
        <w:tab/>
        <w:t>(57)–(69) Aquellas asociadas con la consciencia resultante de la esfera material sutil (57)–(61), la esfera inmaterial (62)–(65) y la esfera supramundana (66)–(69) serán también similares a las formaciones asociadas con las consciencias productivas de esas clases (9)–(21).</w:t>
      </w:r>
    </w:p>
    <w:p w14:paraId="70BC1CE7" w14:textId="77777777" w:rsidR="00597DE2" w:rsidRPr="00DC1A5F" w:rsidRDefault="00597DE2" w:rsidP="00597DE2">
      <w:r w:rsidRPr="00DC1A5F">
        <w:t xml:space="preserve">183. </w:t>
      </w:r>
      <w:r w:rsidRPr="00DC1A5F">
        <w:tab/>
        <w:t>(70)–(89) Las formaciones</w:t>
      </w:r>
      <w:r w:rsidRPr="00DC1A5F">
        <w:rPr>
          <w:i/>
          <w:iCs/>
        </w:rPr>
        <w:t xml:space="preserve"> funcionales indeterminadas</w:t>
      </w:r>
      <w:r w:rsidRPr="00DC1A5F">
        <w:t xml:space="preserve"> también se clasificarán en 2, como aquellas sin causa–raíz (70)–(72) y aquellas con causa–raíz (73)–(80). Aquellas sin causa–raíz estarán asociadas con la consciencia funcional sin causa–raíz; y serán las mismas que las asociadas con el elemento mental resultante productivo (39) y el par de elementos consciencia menta sin causa–raíz (40)–(41), respectivamente. No obstante, en el caso de los 2 elementos de consciencia mental (71)–(72), la energía (vi) será adicional y debido a la presencia de la energía, la concentración (</w:t>
      </w:r>
      <w:proofErr w:type="spellStart"/>
      <w:r w:rsidRPr="00DC1A5F">
        <w:t>viii</w:t>
      </w:r>
      <w:proofErr w:type="spellEnd"/>
      <w:r w:rsidRPr="00DC1A5F">
        <w:t>) será fuerte. Esta será la diferencia aquí.</w:t>
      </w:r>
    </w:p>
    <w:p w14:paraId="7BADCCAA" w14:textId="77777777" w:rsidR="00597DE2" w:rsidRPr="00DC1A5F" w:rsidRDefault="00597DE2" w:rsidP="00597DE2">
      <w:pPr>
        <w:tabs>
          <w:tab w:val="clear" w:pos="425"/>
        </w:tabs>
        <w:spacing w:after="160"/>
      </w:pPr>
      <w:r w:rsidRPr="00DC1A5F">
        <w:br w:type="page"/>
      </w:r>
    </w:p>
    <w:p w14:paraId="5591949C" w14:textId="77777777" w:rsidR="00597DE2" w:rsidRPr="00DC1A5F" w:rsidRDefault="00597DE2" w:rsidP="00597DE2"/>
    <w:p w14:paraId="4CFF1271" w14:textId="77777777" w:rsidR="00597DE2" w:rsidRPr="00DC1A5F" w:rsidRDefault="00597DE2" w:rsidP="00597DE2">
      <w:r w:rsidRPr="00DC1A5F">
        <w:t xml:space="preserve">184. </w:t>
      </w:r>
      <w:r w:rsidRPr="00DC1A5F">
        <w:tab/>
        <w:t xml:space="preserve">Aquellas asociadas con una consciencia funcional con causa–raíz (73)–(80) corresponderán a aquellas formaciones con causa–raíz. De éstas, en primer lugar, las asociadas con las consciencias funcionales de las 8 esferas sensoriales (73)–(80) serán similares a las formaciones asociadas con las 8 esferas sensoriales productivas (1)–(8), excepto por </w:t>
      </w:r>
      <w:r w:rsidRPr="00DC1A5F">
        <w:rPr>
          <w:color w:val="833C0B" w:themeColor="accent2" w:themeShade="80"/>
        </w:rPr>
        <w:t xml:space="preserve">formaciones de </w:t>
      </w:r>
      <w:r w:rsidRPr="00DC1A5F">
        <w:t>las abstinencias (</w:t>
      </w:r>
      <w:proofErr w:type="spellStart"/>
      <w:r w:rsidRPr="00DC1A5F">
        <w:t>xxxiv</w:t>
      </w:r>
      <w:proofErr w:type="spellEnd"/>
      <w:r w:rsidRPr="00DC1A5F">
        <w:t>)–(</w:t>
      </w:r>
      <w:proofErr w:type="spellStart"/>
      <w:r w:rsidRPr="00DC1A5F">
        <w:t>xxxvi</w:t>
      </w:r>
      <w:proofErr w:type="spellEnd"/>
      <w:r w:rsidRPr="00DC1A5F">
        <w:t>).</w:t>
      </w:r>
    </w:p>
    <w:p w14:paraId="707356DC" w14:textId="77777777" w:rsidR="00597DE2" w:rsidRPr="00DC1A5F" w:rsidRDefault="00597DE2" w:rsidP="00597DE2">
      <w:pPr>
        <w:pStyle w:val="NormalConSangria"/>
      </w:pPr>
      <w:r w:rsidRPr="00DC1A5F">
        <w:t xml:space="preserve">Aquellas </w:t>
      </w:r>
      <w:r w:rsidRPr="00DC1A5F">
        <w:rPr>
          <w:color w:val="833C0B" w:themeColor="accent2" w:themeShade="80"/>
        </w:rPr>
        <w:t xml:space="preserve">formaciones </w:t>
      </w:r>
      <w:r w:rsidRPr="00DC1A5F">
        <w:t>asociadas con las consciencias funcionales de la esfera material sutil (81)–(85) y la esfera inmaterial (86)–(89) serán en todos los aspectos similares a aquellas asociadas con la consciencia productiva (9)–(17</w:t>
      </w:r>
      <w:proofErr w:type="gramStart"/>
      <w:r w:rsidRPr="00DC1A5F">
        <w:t>) .</w:t>
      </w:r>
      <w:proofErr w:type="gramEnd"/>
    </w:p>
    <w:p w14:paraId="13D81FA6" w14:textId="77777777" w:rsidR="00597DE2" w:rsidRPr="00DC1A5F" w:rsidRDefault="00597DE2" w:rsidP="00597DE2">
      <w:pPr>
        <w:pStyle w:val="NormalConSangria"/>
      </w:pPr>
      <w:r w:rsidRPr="00DC1A5F">
        <w:t>Así es cómo deben entenderse las formaciones como indeterminadas.</w:t>
      </w:r>
    </w:p>
    <w:p w14:paraId="6542E22B" w14:textId="77777777" w:rsidR="00597DE2" w:rsidRPr="00DC1A5F" w:rsidRDefault="00597DE2" w:rsidP="00597DE2">
      <w:pPr>
        <w:pStyle w:val="NormalConSangria"/>
      </w:pPr>
      <w:r w:rsidRPr="00DC1A5F">
        <w:t>Ésta es la sección de la explicación detallada que trata sobre el agregado de las formaciones.</w:t>
      </w:r>
    </w:p>
    <w:p w14:paraId="51EB74AB" w14:textId="77777777" w:rsidR="00597DE2" w:rsidRPr="00DC1A5F" w:rsidRDefault="00597DE2" w:rsidP="00597DE2">
      <w:pPr>
        <w:pStyle w:val="Ttulo3"/>
        <w:ind w:left="708"/>
      </w:pPr>
      <w:r w:rsidRPr="00DC1A5F">
        <w:t>[C. Clasificación de los Agregados]</w:t>
      </w:r>
    </w:p>
    <w:p w14:paraId="50E7B749" w14:textId="77777777" w:rsidR="00597DE2" w:rsidRPr="00DC1A5F" w:rsidRDefault="00597DE2" w:rsidP="00597DE2">
      <w:pPr>
        <w:pStyle w:val="Textoindependiente"/>
      </w:pPr>
      <w:r w:rsidRPr="00DC1A5F">
        <w:t xml:space="preserve">185. </w:t>
      </w:r>
      <w:r w:rsidRPr="00DC1A5F">
        <w:tab/>
        <w:t xml:space="preserve">La sección anterior, en primer lugar, tiene por objeto explicar detalladamente los agregados según el </w:t>
      </w:r>
      <w:proofErr w:type="spellStart"/>
      <w:r w:rsidRPr="00DC1A5F">
        <w:rPr>
          <w:i/>
          <w:iCs/>
        </w:rPr>
        <w:t>Abhidhamma</w:t>
      </w:r>
      <w:proofErr w:type="spellEnd"/>
      <w:r w:rsidRPr="00DC1A5F">
        <w:t>–</w:t>
      </w:r>
      <w:proofErr w:type="spellStart"/>
      <w:r w:rsidRPr="00DC1A5F">
        <w:rPr>
          <w:i/>
          <w:iCs/>
        </w:rPr>
        <w:t>Bhājaniya</w:t>
      </w:r>
      <w:proofErr w:type="spellEnd"/>
      <w:r w:rsidRPr="00DC1A5F">
        <w:t xml:space="preserve"> [del </w:t>
      </w:r>
      <w:proofErr w:type="spellStart"/>
      <w:r w:rsidRPr="00DC1A5F">
        <w:rPr>
          <w:i/>
          <w:iCs/>
        </w:rPr>
        <w:t>Vibhaṅga</w:t>
      </w:r>
      <w:proofErr w:type="spellEnd"/>
      <w:r w:rsidRPr="00DC1A5F">
        <w:t xml:space="preserve">]. No obstante, los agregados han sido expuestos en detalle por el </w:t>
      </w:r>
      <w:r w:rsidRPr="00DC1A5F">
        <w:rPr>
          <w:i/>
          <w:iCs/>
        </w:rPr>
        <w:t>Bhagavā</w:t>
      </w:r>
      <w:r w:rsidRPr="00DC1A5F">
        <w:t xml:space="preserve"> [en el </w:t>
      </w:r>
      <w:proofErr w:type="spellStart"/>
      <w:r w:rsidRPr="00DC1A5F">
        <w:rPr>
          <w:i/>
          <w:iCs/>
        </w:rPr>
        <w:t>Suttanta</w:t>
      </w:r>
      <w:proofErr w:type="spellEnd"/>
      <w:r w:rsidRPr="00DC1A5F">
        <w:rPr>
          <w:i/>
          <w:iCs/>
        </w:rPr>
        <w:t xml:space="preserve"> </w:t>
      </w:r>
      <w:proofErr w:type="spellStart"/>
      <w:r w:rsidRPr="00DC1A5F">
        <w:rPr>
          <w:i/>
          <w:iCs/>
        </w:rPr>
        <w:t>Bhājaniya</w:t>
      </w:r>
      <w:proofErr w:type="spellEnd"/>
      <w:r w:rsidRPr="00DC1A5F">
        <w:t>] de esta manera: “Cualquier materialidad, ya sea pasada, presente o futura, interna o externa, densa o sutil, inferior o superior, lejana o cercana: a todo ello, de manera conjunta, en masa y en su totalidad se le denominará el agregado de la materialidad. Cualquier sensación, cualquiera que sea... Cualquier percepción, cualquiera que sea... Cualquier formación, ya sea pasada..., a cualquier consciencia, ya sea pasada, presente o futura... a todo ello de manera conjunta, en masa y en su totalidad se le denominará el agregado de consciencia” (</w:t>
      </w:r>
      <w:proofErr w:type="spellStart"/>
      <w:r w:rsidRPr="00DC1A5F">
        <w:t>Vibh</w:t>
      </w:r>
      <w:proofErr w:type="spellEnd"/>
      <w:r w:rsidRPr="00DC1A5F">
        <w:t xml:space="preserve"> 1–9; cf. M III 17).</w:t>
      </w:r>
    </w:p>
    <w:p w14:paraId="646F4C53" w14:textId="77777777" w:rsidR="00597DE2" w:rsidRPr="00DC1A5F" w:rsidRDefault="00597DE2" w:rsidP="00597DE2">
      <w:pPr>
        <w:pStyle w:val="Ttulo5"/>
      </w:pPr>
      <w:r w:rsidRPr="00DC1A5F">
        <w:t>[Materialidad]</w:t>
      </w:r>
    </w:p>
    <w:p w14:paraId="1CD00012" w14:textId="77777777" w:rsidR="00597DE2" w:rsidRPr="00DC1A5F" w:rsidRDefault="00597DE2" w:rsidP="00597DE2">
      <w:r w:rsidRPr="00DC1A5F">
        <w:t xml:space="preserve">186. </w:t>
      </w:r>
      <w:r w:rsidRPr="00DC1A5F">
        <w:tab/>
        <w:t xml:space="preserve">Aquí, la palabra </w:t>
      </w:r>
      <w:r w:rsidRPr="00DC1A5F">
        <w:rPr>
          <w:i/>
          <w:iCs/>
        </w:rPr>
        <w:t>cualquier</w:t>
      </w:r>
      <w:r w:rsidRPr="00DC1A5F">
        <w:t xml:space="preserve"> incluye su totalidad sin excepción. La </w:t>
      </w:r>
      <w:r w:rsidRPr="00DC1A5F">
        <w:rPr>
          <w:i/>
          <w:iCs/>
        </w:rPr>
        <w:t>materialidad</w:t>
      </w:r>
      <w:r w:rsidRPr="00DC1A5F">
        <w:t xml:space="preserve"> evitará </w:t>
      </w:r>
      <w:proofErr w:type="gramStart"/>
      <w:r w:rsidRPr="00DC1A5F">
        <w:t>la sobre</w:t>
      </w:r>
      <w:proofErr w:type="gramEnd"/>
      <w:r w:rsidRPr="00DC1A5F">
        <w:t xml:space="preserve">–generalización. Así, la materialidad está comprendida sin excepción por las dos expresiones. Luego el </w:t>
      </w:r>
      <w:r w:rsidRPr="00DC1A5F">
        <w:rPr>
          <w:i/>
          <w:iCs/>
        </w:rPr>
        <w:t>Bhagavā</w:t>
      </w:r>
      <w:r w:rsidRPr="00DC1A5F">
        <w:t xml:space="preserve"> emprende su exposición como </w:t>
      </w:r>
      <w:r w:rsidRPr="00DC1A5F">
        <w:rPr>
          <w:i/>
          <w:iCs/>
        </w:rPr>
        <w:t xml:space="preserve">pasada, presente </w:t>
      </w:r>
      <w:r w:rsidRPr="00DC1A5F">
        <w:t>y</w:t>
      </w:r>
      <w:r w:rsidRPr="00DC1A5F">
        <w:rPr>
          <w:i/>
          <w:iCs/>
        </w:rPr>
        <w:t xml:space="preserve"> futura</w:t>
      </w:r>
      <w:r w:rsidRPr="00DC1A5F">
        <w:t>, etc.; porque una parte se clasifica como pasada y otra como futura, etc. Así también en el caso de la sensación, la percepción, etc.</w:t>
      </w:r>
    </w:p>
    <w:p w14:paraId="729F65F0" w14:textId="77777777" w:rsidR="00597DE2" w:rsidRPr="00DC1A5F" w:rsidRDefault="00597DE2" w:rsidP="00597DE2">
      <w:pPr>
        <w:pStyle w:val="NormalConSangria"/>
      </w:pPr>
      <w:r w:rsidRPr="00DC1A5F">
        <w:t xml:space="preserve">Aquí, la materialidad denominada (i) </w:t>
      </w:r>
      <w:r w:rsidRPr="00DC1A5F">
        <w:rPr>
          <w:i/>
          <w:iCs/>
        </w:rPr>
        <w:t>pasada</w:t>
      </w:r>
      <w:r w:rsidRPr="00DC1A5F">
        <w:t xml:space="preserve"> será de 4 clases </w:t>
      </w:r>
      <w:proofErr w:type="gramStart"/>
      <w:r w:rsidRPr="00DC1A5F">
        <w:t>de acuerdo a</w:t>
      </w:r>
      <w:proofErr w:type="gramEnd"/>
      <w:r w:rsidRPr="00DC1A5F">
        <w:t xml:space="preserve"> su: (a) longitud, (b) continuidad, (c) periodo y (d) momento. Asimismo será con la </w:t>
      </w:r>
      <w:r w:rsidRPr="00DC1A5F">
        <w:rPr>
          <w:color w:val="833C0B" w:themeColor="accent2" w:themeShade="80"/>
        </w:rPr>
        <w:t xml:space="preserve">materialidad </w:t>
      </w:r>
      <w:r w:rsidRPr="00DC1A5F">
        <w:t>(</w:t>
      </w:r>
      <w:proofErr w:type="spellStart"/>
      <w:r w:rsidRPr="00DC1A5F">
        <w:t>ii</w:t>
      </w:r>
      <w:proofErr w:type="spellEnd"/>
      <w:r w:rsidRPr="00DC1A5F">
        <w:t xml:space="preserve">) </w:t>
      </w:r>
      <w:r w:rsidRPr="00DC1A5F">
        <w:rPr>
          <w:i/>
          <w:iCs/>
        </w:rPr>
        <w:t>futura</w:t>
      </w:r>
      <w:r w:rsidRPr="00DC1A5F">
        <w:t xml:space="preserve"> y (</w:t>
      </w:r>
      <w:proofErr w:type="spellStart"/>
      <w:r w:rsidRPr="00DC1A5F">
        <w:t>iii</w:t>
      </w:r>
      <w:proofErr w:type="spellEnd"/>
      <w:r w:rsidRPr="00DC1A5F">
        <w:t xml:space="preserve">) </w:t>
      </w:r>
      <w:r w:rsidRPr="00DC1A5F">
        <w:rPr>
          <w:i/>
          <w:iCs/>
        </w:rPr>
        <w:t>presente</w:t>
      </w:r>
      <w:r w:rsidRPr="00DC1A5F">
        <w:t>.</w:t>
      </w:r>
      <w:r w:rsidRPr="00DC1A5F">
        <w:rPr>
          <w:vertAlign w:val="superscript"/>
        </w:rPr>
        <w:t>71</w:t>
      </w:r>
      <w:r w:rsidRPr="00DC1A5F">
        <w:br/>
      </w:r>
    </w:p>
    <w:p w14:paraId="6816994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6023033" w14:textId="77777777" w:rsidR="00597DE2" w:rsidRPr="00DC1A5F" w:rsidRDefault="00597DE2" w:rsidP="00597DE2">
      <w:pPr>
        <w:pStyle w:val="PiedepginaLegal"/>
        <w:numPr>
          <w:ilvl w:val="0"/>
          <w:numId w:val="3"/>
        </w:numPr>
        <w:tabs>
          <w:tab w:val="clear" w:pos="425"/>
        </w:tabs>
        <w:ind w:left="284"/>
      </w:pPr>
      <w:r w:rsidRPr="00DC1A5F">
        <w:t xml:space="preserve">“Aquí, cuando el tiempo esté delimitado por la muerte y el renacimiento, se aplicará el término ‘extensión’. Se dará a conocer a través de los </w:t>
      </w:r>
      <w:r w:rsidRPr="00DC1A5F">
        <w:rPr>
          <w:i/>
          <w:iCs/>
        </w:rPr>
        <w:t>Suttas</w:t>
      </w:r>
      <w:r w:rsidRPr="00DC1A5F">
        <w:t xml:space="preserve"> mediante el pasaje que comienza “¿Fui yo en el pasado?” (M I 8); ya que el estado pasado también se menciona como ‘extensión’ en el </w:t>
      </w:r>
      <w:proofErr w:type="spellStart"/>
      <w:r w:rsidRPr="00DC1A5F">
        <w:rPr>
          <w:i/>
          <w:iCs/>
        </w:rPr>
        <w:t>Bhaddekaratta</w:t>
      </w:r>
      <w:proofErr w:type="spellEnd"/>
      <w:r w:rsidRPr="00DC1A5F">
        <w:t xml:space="preserve"> </w:t>
      </w:r>
      <w:r w:rsidRPr="00DC1A5F">
        <w:rPr>
          <w:i/>
          <w:iCs/>
        </w:rPr>
        <w:t>Sutta</w:t>
      </w:r>
      <w:r w:rsidRPr="00DC1A5F">
        <w:t xml:space="preserve"> también durante el comienzo del pasaje, ‘Él no sigue lo que sea pasado (la extensión pasada)’ (M III 1 88). No obstante, cuando esté delimitado en el sentido último como en el </w:t>
      </w:r>
      <w:proofErr w:type="spellStart"/>
      <w:r w:rsidRPr="00DC1A5F">
        <w:rPr>
          <w:i/>
          <w:iCs/>
        </w:rPr>
        <w:t>Addhāniruttipatha</w:t>
      </w:r>
      <w:proofErr w:type="spellEnd"/>
      <w:r w:rsidRPr="00DC1A5F">
        <w:rPr>
          <w:i/>
          <w:iCs/>
        </w:rPr>
        <w:t xml:space="preserve"> Sutta</w:t>
      </w:r>
      <w:r w:rsidRPr="00DC1A5F">
        <w:t xml:space="preserve"> así, ‘</w:t>
      </w:r>
      <w:proofErr w:type="spellStart"/>
      <w:r w:rsidRPr="00DC1A5F">
        <w:rPr>
          <w:i/>
        </w:rPr>
        <w:t>Bhikkhu</w:t>
      </w:r>
      <w:r w:rsidRPr="00DC1A5F">
        <w:t>s</w:t>
      </w:r>
      <w:proofErr w:type="spellEnd"/>
      <w:r w:rsidRPr="00DC1A5F">
        <w:t>, existen tres extensiones: la extensión pasada, la extensión futura y la extensión presente’ (It 53), entonces será apropiado como delimitado por el momento. Aquí, la existencia del presente se establecerá así, ‘</w:t>
      </w:r>
      <w:proofErr w:type="spellStart"/>
      <w:r w:rsidRPr="00DC1A5F">
        <w:rPr>
          <w:i/>
        </w:rPr>
        <w:t>Bhikkhu</w:t>
      </w:r>
      <w:r w:rsidRPr="00DC1A5F">
        <w:t>s</w:t>
      </w:r>
      <w:proofErr w:type="spellEnd"/>
      <w:r w:rsidRPr="00DC1A5F">
        <w:t>, de la materia que surja... que se manifieste, se dirá que: ‘Existe” (S IV 72), y al pasado y al futuro se le denominarán respectivamente el antes y el después de ello”. (</w:t>
      </w:r>
      <w:proofErr w:type="spellStart"/>
      <w:r w:rsidRPr="00DC1A5F">
        <w:t>Vism</w:t>
      </w:r>
      <w:proofErr w:type="spellEnd"/>
      <w:r w:rsidRPr="00DC1A5F">
        <w:t>–</w:t>
      </w:r>
      <w:proofErr w:type="spellStart"/>
      <w:r w:rsidRPr="00DC1A5F">
        <w:t>mhṭ</w:t>
      </w:r>
      <w:proofErr w:type="spellEnd"/>
      <w:r w:rsidRPr="00DC1A5F">
        <w:t xml:space="preserve"> 496).</w:t>
      </w:r>
    </w:p>
    <w:p w14:paraId="5CFFE958" w14:textId="77777777" w:rsidR="00597DE2" w:rsidRPr="00DC1A5F" w:rsidRDefault="00597DE2" w:rsidP="00597DE2">
      <w:pPr>
        <w:tabs>
          <w:tab w:val="clear" w:pos="425"/>
        </w:tabs>
        <w:spacing w:after="160"/>
      </w:pPr>
      <w:r w:rsidRPr="00DC1A5F">
        <w:br w:type="page"/>
      </w:r>
    </w:p>
    <w:p w14:paraId="60A7C67C" w14:textId="77777777" w:rsidR="00597DE2" w:rsidRPr="00DC1A5F" w:rsidRDefault="00597DE2" w:rsidP="00597DE2">
      <w:pPr>
        <w:pStyle w:val="NormalConSangria"/>
      </w:pPr>
    </w:p>
    <w:p w14:paraId="1F766402" w14:textId="77777777" w:rsidR="00597DE2" w:rsidRPr="00DC1A5F" w:rsidRDefault="00597DE2" w:rsidP="00597DE2">
      <w:r w:rsidRPr="00DC1A5F">
        <w:t xml:space="preserve">187. </w:t>
      </w:r>
      <w:r w:rsidRPr="00DC1A5F">
        <w:tab/>
        <w:t xml:space="preserve">Aquí, (a) en primer lugar, </w:t>
      </w:r>
      <w:proofErr w:type="gramStart"/>
      <w:r w:rsidRPr="00DC1A5F">
        <w:rPr>
          <w:i/>
          <w:iCs/>
        </w:rPr>
        <w:t>de acuerdo a</w:t>
      </w:r>
      <w:proofErr w:type="gramEnd"/>
      <w:r w:rsidRPr="00DC1A5F">
        <w:rPr>
          <w:i/>
          <w:iCs/>
        </w:rPr>
        <w:t xml:space="preserve"> la extensión</w:t>
      </w:r>
      <w:r w:rsidRPr="00DC1A5F">
        <w:t xml:space="preserve">: en el caso de un solo devenir correspondiente a un ser vivo, la </w:t>
      </w:r>
      <w:r w:rsidRPr="00DC1A5F">
        <w:rPr>
          <w:color w:val="833C0B" w:themeColor="accent2" w:themeShade="80"/>
        </w:rPr>
        <w:t xml:space="preserve">materialidad </w:t>
      </w:r>
      <w:r w:rsidRPr="00DC1A5F">
        <w:t xml:space="preserve">previa al vínculo–de–renacimiento será </w:t>
      </w:r>
      <w:r w:rsidRPr="00DC1A5F">
        <w:rPr>
          <w:i/>
          <w:iCs/>
        </w:rPr>
        <w:t>pasada</w:t>
      </w:r>
      <w:r w:rsidRPr="00DC1A5F">
        <w:t xml:space="preserve">, posterior a la muerte será </w:t>
      </w:r>
      <w:r w:rsidRPr="00DC1A5F">
        <w:rPr>
          <w:i/>
          <w:iCs/>
        </w:rPr>
        <w:t>futura</w:t>
      </w:r>
      <w:r w:rsidRPr="00DC1A5F">
        <w:t xml:space="preserve">, entre estos dos será </w:t>
      </w:r>
      <w:r w:rsidRPr="00DC1A5F">
        <w:rPr>
          <w:i/>
          <w:iCs/>
        </w:rPr>
        <w:t>presente</w:t>
      </w:r>
      <w:r w:rsidRPr="00DC1A5F">
        <w:t>.</w:t>
      </w:r>
    </w:p>
    <w:p w14:paraId="1BE755DA" w14:textId="77777777" w:rsidR="00597DE2" w:rsidRPr="00DC1A5F" w:rsidRDefault="00597DE2" w:rsidP="00597DE2">
      <w:r w:rsidRPr="00DC1A5F">
        <w:t xml:space="preserve">188. </w:t>
      </w:r>
      <w:r w:rsidRPr="00DC1A5F">
        <w:tab/>
        <w:t xml:space="preserve">(b) </w:t>
      </w:r>
      <w:proofErr w:type="gramStart"/>
      <w:r w:rsidRPr="00DC1A5F">
        <w:rPr>
          <w:i/>
          <w:iCs/>
        </w:rPr>
        <w:t>De acuerdo a</w:t>
      </w:r>
      <w:proofErr w:type="gramEnd"/>
      <w:r w:rsidRPr="00DC1A5F">
        <w:rPr>
          <w:i/>
          <w:iCs/>
        </w:rPr>
        <w:t xml:space="preserve"> la continuidad</w:t>
      </w:r>
      <w:r w:rsidRPr="00DC1A5F">
        <w:t>: aquella materialidad que posea una originación similar o única</w:t>
      </w:r>
      <w:r w:rsidRPr="00DC1A5F">
        <w:rPr>
          <w:vertAlign w:val="superscript"/>
        </w:rPr>
        <w:t>72</w:t>
      </w:r>
      <w:r w:rsidRPr="00DC1A5F">
        <w:t xml:space="preserve"> mediante la temperatura y una originación única mediante el nutrimento, aunque ocurra sucesivamente, [473] será </w:t>
      </w:r>
      <w:r w:rsidRPr="00DC1A5F">
        <w:rPr>
          <w:i/>
          <w:iCs/>
        </w:rPr>
        <w:t>presente</w:t>
      </w:r>
      <w:r w:rsidRPr="00DC1A5F">
        <w:t xml:space="preserve">. Aquella </w:t>
      </w:r>
      <w:r w:rsidRPr="00DC1A5F">
        <w:rPr>
          <w:color w:val="833C0B" w:themeColor="accent2" w:themeShade="80"/>
        </w:rPr>
        <w:t xml:space="preserve">materialidad </w:t>
      </w:r>
      <w:r w:rsidRPr="00DC1A5F">
        <w:t xml:space="preserve">que, previa a la anterior, que sea de diferente originación mediante temperatura y nutrimento, </w:t>
      </w:r>
      <w:r w:rsidRPr="00DC1A5F">
        <w:rPr>
          <w:i/>
          <w:iCs/>
        </w:rPr>
        <w:t>será pasada</w:t>
      </w:r>
      <w:r w:rsidRPr="00DC1A5F">
        <w:t xml:space="preserve">. La que sea posterior será </w:t>
      </w:r>
      <w:r w:rsidRPr="00DC1A5F">
        <w:rPr>
          <w:i/>
          <w:iCs/>
        </w:rPr>
        <w:t>futura</w:t>
      </w:r>
      <w:r w:rsidRPr="00DC1A5F">
        <w:t xml:space="preserve">. La que surja de la consciencia y posea su originación en una serie cognitiva, en un impulso, en una absorción, será </w:t>
      </w:r>
      <w:r w:rsidRPr="00DC1A5F">
        <w:rPr>
          <w:i/>
          <w:iCs/>
        </w:rPr>
        <w:t>presente</w:t>
      </w:r>
      <w:r w:rsidRPr="00DC1A5F">
        <w:t xml:space="preserve">. La previa a ella será </w:t>
      </w:r>
      <w:r w:rsidRPr="00DC1A5F">
        <w:rPr>
          <w:i/>
          <w:iCs/>
        </w:rPr>
        <w:t>pasada</w:t>
      </w:r>
      <w:r w:rsidRPr="00DC1A5F">
        <w:t xml:space="preserve">. Posterior a ella será </w:t>
      </w:r>
      <w:r w:rsidRPr="00DC1A5F">
        <w:rPr>
          <w:i/>
          <w:iCs/>
        </w:rPr>
        <w:t>futura</w:t>
      </w:r>
      <w:r w:rsidRPr="00DC1A5F">
        <w:t xml:space="preserve">. No existirá una clasificación especial en la continuidad pasada, etc., que posea su origen en el </w:t>
      </w:r>
      <w:proofErr w:type="spellStart"/>
      <w:r w:rsidRPr="00DC1A5F">
        <w:rPr>
          <w:i/>
        </w:rPr>
        <w:t>kamma</w:t>
      </w:r>
      <w:proofErr w:type="spellEnd"/>
      <w:r w:rsidRPr="00DC1A5F">
        <w:t xml:space="preserve">, pero su pasado, etc., deberá entenderse </w:t>
      </w:r>
      <w:proofErr w:type="gramStart"/>
      <w:r w:rsidRPr="00DC1A5F">
        <w:t>de acuerdo al</w:t>
      </w:r>
      <w:proofErr w:type="gramEnd"/>
      <w:r w:rsidRPr="00DC1A5F">
        <w:t xml:space="preserve"> soporte que posea su origen a través de la temperatura, el nutrimento y la consciencia.</w:t>
      </w:r>
    </w:p>
    <w:p w14:paraId="14D55DB8" w14:textId="77777777" w:rsidR="00597DE2" w:rsidRPr="00DC1A5F" w:rsidRDefault="00597DE2" w:rsidP="00597DE2">
      <w:r w:rsidRPr="00DC1A5F">
        <w:t xml:space="preserve">189. </w:t>
      </w:r>
      <w:r w:rsidRPr="00DC1A5F">
        <w:tab/>
        <w:t xml:space="preserve">(c) </w:t>
      </w:r>
      <w:proofErr w:type="gramStart"/>
      <w:r w:rsidRPr="00DC1A5F">
        <w:rPr>
          <w:i/>
          <w:iCs/>
        </w:rPr>
        <w:t>De acuerdo al</w:t>
      </w:r>
      <w:proofErr w:type="gramEnd"/>
      <w:r w:rsidRPr="00DC1A5F">
        <w:rPr>
          <w:i/>
          <w:iCs/>
        </w:rPr>
        <w:t xml:space="preserve"> período</w:t>
      </w:r>
      <w:r w:rsidRPr="00DC1A5F">
        <w:t xml:space="preserve">: cualquier periodo entre aquellas materialidades tales como un minuto, mañana, tarde, día y noche, etc., que ocurra como una continuidad, se le llamará </w:t>
      </w:r>
      <w:r w:rsidRPr="00DC1A5F">
        <w:rPr>
          <w:i/>
          <w:iCs/>
        </w:rPr>
        <w:t>presente</w:t>
      </w:r>
      <w:r w:rsidRPr="00DC1A5F">
        <w:t xml:space="preserve">. Previa a ella será </w:t>
      </w:r>
      <w:r w:rsidRPr="00DC1A5F">
        <w:rPr>
          <w:i/>
          <w:iCs/>
        </w:rPr>
        <w:t>pasada</w:t>
      </w:r>
      <w:r w:rsidRPr="00DC1A5F">
        <w:t xml:space="preserve">. Posterior a ello será </w:t>
      </w:r>
      <w:r w:rsidRPr="00DC1A5F">
        <w:rPr>
          <w:i/>
          <w:iCs/>
        </w:rPr>
        <w:t>futura</w:t>
      </w:r>
      <w:r w:rsidRPr="00DC1A5F">
        <w:t>.</w:t>
      </w:r>
    </w:p>
    <w:p w14:paraId="5879274C" w14:textId="77777777" w:rsidR="00597DE2" w:rsidRPr="00DC1A5F" w:rsidRDefault="00597DE2" w:rsidP="00597DE2">
      <w:pPr>
        <w:rPr>
          <w:vertAlign w:val="superscript"/>
        </w:rPr>
      </w:pPr>
      <w:r w:rsidRPr="00DC1A5F">
        <w:t xml:space="preserve">190. </w:t>
      </w:r>
      <w:r w:rsidRPr="00DC1A5F">
        <w:tab/>
        <w:t xml:space="preserve">(d) </w:t>
      </w:r>
      <w:proofErr w:type="gramStart"/>
      <w:r w:rsidRPr="00DC1A5F">
        <w:rPr>
          <w:i/>
          <w:iCs/>
        </w:rPr>
        <w:t>De acuerdo al</w:t>
      </w:r>
      <w:proofErr w:type="gramEnd"/>
      <w:r w:rsidRPr="00DC1A5F">
        <w:rPr>
          <w:i/>
          <w:iCs/>
        </w:rPr>
        <w:t xml:space="preserve"> momento</w:t>
      </w:r>
      <w:r w:rsidRPr="00DC1A5F">
        <w:t xml:space="preserve">: lo que esté incluido en los tres momentos, [es decir, en el surgimiento, la presencia y la disolución </w:t>
      </w:r>
      <w:r w:rsidRPr="00DC1A5F">
        <w:rPr>
          <w:color w:val="833C0B" w:themeColor="accent2" w:themeShade="80"/>
        </w:rPr>
        <w:t>de la materialidad</w:t>
      </w:r>
      <w:r w:rsidRPr="00DC1A5F">
        <w:t xml:space="preserve">] comenzando con el surgimiento se le llamará </w:t>
      </w:r>
      <w:r w:rsidRPr="00DC1A5F">
        <w:rPr>
          <w:i/>
          <w:iCs/>
        </w:rPr>
        <w:t>presente</w:t>
      </w:r>
      <w:r w:rsidRPr="00DC1A5F">
        <w:t xml:space="preserve">. Al momento previo a ella será </w:t>
      </w:r>
      <w:r w:rsidRPr="00DC1A5F">
        <w:rPr>
          <w:i/>
          <w:iCs/>
        </w:rPr>
        <w:t>pasada</w:t>
      </w:r>
      <w:r w:rsidRPr="00DC1A5F">
        <w:t xml:space="preserve">. Al momento posterior a ella será </w:t>
      </w:r>
      <w:r w:rsidRPr="00DC1A5F">
        <w:rPr>
          <w:i/>
          <w:iCs/>
        </w:rPr>
        <w:t>futura</w:t>
      </w:r>
      <w:r w:rsidRPr="00DC1A5F">
        <w:t>.</w:t>
      </w:r>
      <w:r w:rsidRPr="00DC1A5F">
        <w:rPr>
          <w:vertAlign w:val="superscript"/>
        </w:rPr>
        <w:t>73</w:t>
      </w:r>
    </w:p>
    <w:p w14:paraId="3AE56514" w14:textId="77777777" w:rsidR="00597DE2" w:rsidRPr="00DC1A5F" w:rsidRDefault="00597DE2" w:rsidP="00597DE2">
      <w:r w:rsidRPr="00DC1A5F">
        <w:t xml:space="preserve">191. </w:t>
      </w:r>
      <w:r w:rsidRPr="00DC1A5F">
        <w:tab/>
        <w:t xml:space="preserve">Además, aquella </w:t>
      </w:r>
      <w:r w:rsidRPr="00DC1A5F">
        <w:rPr>
          <w:color w:val="833C0B" w:themeColor="accent2" w:themeShade="80"/>
        </w:rPr>
        <w:t xml:space="preserve">materialidad </w:t>
      </w:r>
      <w:r w:rsidRPr="00DC1A5F">
        <w:t>cuyas funciones de causa y condición</w:t>
      </w:r>
      <w:r w:rsidRPr="00DC1A5F">
        <w:rPr>
          <w:vertAlign w:val="superscript"/>
        </w:rPr>
        <w:t>74</w:t>
      </w:r>
      <w:r w:rsidRPr="00DC1A5F">
        <w:t xml:space="preserve"> hayan transcurrido será </w:t>
      </w:r>
      <w:r w:rsidRPr="00DC1A5F">
        <w:rPr>
          <w:i/>
          <w:iCs/>
        </w:rPr>
        <w:t>pasada</w:t>
      </w:r>
      <w:r w:rsidRPr="00DC1A5F">
        <w:t xml:space="preserve">. Aquella cuya función de causa esté acabada y cuya función de condición esté inconclusa será </w:t>
      </w:r>
      <w:r w:rsidRPr="00DC1A5F">
        <w:rPr>
          <w:i/>
          <w:iCs/>
        </w:rPr>
        <w:t>presente</w:t>
      </w:r>
      <w:r w:rsidRPr="00DC1A5F">
        <w:t xml:space="preserve">. La </w:t>
      </w:r>
      <w:r w:rsidRPr="00DC1A5F">
        <w:rPr>
          <w:color w:val="833C0B" w:themeColor="accent2" w:themeShade="80"/>
        </w:rPr>
        <w:t xml:space="preserve">materialidad </w:t>
      </w:r>
      <w:r w:rsidRPr="00DC1A5F">
        <w:t xml:space="preserve">que no haya alcanzado ninguna de las dos funciones será </w:t>
      </w:r>
    </w:p>
    <w:p w14:paraId="0D637B4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C7CD916" w14:textId="77777777" w:rsidR="00597DE2" w:rsidRPr="00DC1A5F" w:rsidRDefault="00597DE2" w:rsidP="00597DE2">
      <w:pPr>
        <w:pStyle w:val="PiedepginaLegal"/>
        <w:numPr>
          <w:ilvl w:val="0"/>
          <w:numId w:val="3"/>
        </w:numPr>
        <w:tabs>
          <w:tab w:val="clear" w:pos="425"/>
        </w:tabs>
        <w:ind w:left="284"/>
      </w:pPr>
      <w:r w:rsidRPr="00DC1A5F">
        <w:t xml:space="preserve">“La temperatura fría se referirá a lo que se perciba como frío y el calor a lo caliente. No obstante, a la temperatura que caiga sobre el cuerpo, ya sea caliente o fría y se presente como una continuidad en un modo, no siendo ni más ni menos, se le llamará “solo temperatura”. La palabra “solo” es usada debido a la pluralidad de ‘como’ temperatura. Así también será con el nutrimento. ‘En una serie cognitiva, en una impulsión’ se referirá, respectivamente, a la consciencia de las cinco puertas más la puerta mental. Las explicaciones de la continuidad y el período se dan en los </w:t>
      </w:r>
      <w:r w:rsidRPr="00DC1A5F">
        <w:rPr>
          <w:i/>
          <w:iCs/>
        </w:rPr>
        <w:t>Comentarios</w:t>
      </w:r>
      <w:r w:rsidRPr="00DC1A5F">
        <w:t xml:space="preserve"> con el propósito de asistir a la práctica de la sabiduría </w:t>
      </w:r>
      <w:r w:rsidRPr="00DC1A5F">
        <w:rPr>
          <w:color w:val="833C0B" w:themeColor="accent2" w:themeShade="80"/>
        </w:rPr>
        <w:t>penetrativa</w:t>
      </w:r>
      <w:r w:rsidRPr="00DC1A5F">
        <w:t>” (</w:t>
      </w:r>
      <w:proofErr w:type="spellStart"/>
      <w:r w:rsidRPr="00DC1A5F">
        <w:t>Vism</w:t>
      </w:r>
      <w:proofErr w:type="spellEnd"/>
      <w:r w:rsidRPr="00DC1A5F">
        <w:t>–</w:t>
      </w:r>
      <w:proofErr w:type="spellStart"/>
      <w:r w:rsidRPr="00DC1A5F">
        <w:t>mhṭ</w:t>
      </w:r>
      <w:proofErr w:type="spellEnd"/>
      <w:r w:rsidRPr="00DC1A5F">
        <w:t xml:space="preserve"> 496).</w:t>
      </w:r>
    </w:p>
    <w:p w14:paraId="1CA104B9" w14:textId="77777777" w:rsidR="00597DE2" w:rsidRPr="00DC1A5F" w:rsidRDefault="00597DE2" w:rsidP="00597DE2">
      <w:pPr>
        <w:pStyle w:val="PiedepginaLegal"/>
        <w:numPr>
          <w:ilvl w:val="0"/>
          <w:numId w:val="3"/>
        </w:numPr>
        <w:tabs>
          <w:tab w:val="clear" w:pos="425"/>
        </w:tabs>
        <w:ind w:left="284"/>
      </w:pPr>
      <w:r w:rsidRPr="00DC1A5F">
        <w:t>En estos 2 párrafos, “pasado” y “futuro”, no se referirán al tiempo, como en los otros párrafos, sino a la materialidad.</w:t>
      </w:r>
    </w:p>
    <w:p w14:paraId="683EFDFA" w14:textId="77777777" w:rsidR="00597DE2" w:rsidRPr="00DC1A5F" w:rsidRDefault="00597DE2" w:rsidP="00597DE2">
      <w:pPr>
        <w:pStyle w:val="PiedepginaLegal"/>
        <w:numPr>
          <w:ilvl w:val="0"/>
          <w:numId w:val="3"/>
        </w:numPr>
        <w:tabs>
          <w:tab w:val="clear" w:pos="425"/>
        </w:tabs>
        <w:ind w:left="284"/>
      </w:pPr>
      <w:r w:rsidRPr="00DC1A5F">
        <w:rPr>
          <w:color w:val="auto"/>
          <w:u w:color="000000"/>
        </w:rPr>
        <w:t>“‘</w:t>
      </w:r>
      <w:r w:rsidRPr="00DC1A5F">
        <w:rPr>
          <w:i/>
          <w:iCs/>
          <w:color w:val="auto"/>
          <w:u w:color="000000"/>
        </w:rPr>
        <w:t>Causa’</w:t>
      </w:r>
      <w:r w:rsidRPr="00DC1A5F">
        <w:rPr>
          <w:color w:val="auto"/>
          <w:u w:color="000000"/>
        </w:rPr>
        <w:t xml:space="preserve"> (</w:t>
      </w:r>
      <w:proofErr w:type="spellStart"/>
      <w:r w:rsidRPr="00DC1A5F">
        <w:rPr>
          <w:i/>
          <w:iCs/>
          <w:color w:val="auto"/>
          <w:u w:color="000000"/>
        </w:rPr>
        <w:t>hetu</w:t>
      </w:r>
      <w:proofErr w:type="spellEnd"/>
      <w:r w:rsidRPr="00DC1A5F">
        <w:rPr>
          <w:color w:val="auto"/>
          <w:u w:color="000000"/>
        </w:rPr>
        <w:t>) será lo que dará lugar al nacimiento (</w:t>
      </w:r>
      <w:proofErr w:type="spellStart"/>
      <w:r w:rsidRPr="00DC1A5F">
        <w:rPr>
          <w:i/>
          <w:iCs/>
          <w:color w:val="auto"/>
          <w:u w:color="000000"/>
        </w:rPr>
        <w:t>janaka</w:t>
      </w:r>
      <w:proofErr w:type="spellEnd"/>
      <w:r w:rsidRPr="00DC1A5F">
        <w:rPr>
          <w:color w:val="auto"/>
          <w:u w:color="000000"/>
        </w:rPr>
        <w:t>); ‘</w:t>
      </w:r>
      <w:r w:rsidRPr="00DC1A5F">
        <w:rPr>
          <w:i/>
          <w:iCs/>
          <w:color w:val="auto"/>
          <w:u w:color="000000"/>
        </w:rPr>
        <w:t>condición’</w:t>
      </w:r>
      <w:r w:rsidRPr="00DC1A5F">
        <w:rPr>
          <w:color w:val="auto"/>
          <w:u w:color="000000"/>
        </w:rPr>
        <w:t xml:space="preserve"> (</w:t>
      </w:r>
      <w:proofErr w:type="spellStart"/>
      <w:r w:rsidRPr="00DC1A5F">
        <w:rPr>
          <w:i/>
          <w:iCs/>
          <w:color w:val="auto"/>
          <w:u w:color="000000"/>
        </w:rPr>
        <w:t>paccaya</w:t>
      </w:r>
      <w:proofErr w:type="spellEnd"/>
      <w:r w:rsidRPr="00DC1A5F">
        <w:rPr>
          <w:color w:val="auto"/>
          <w:u w:color="000000"/>
        </w:rPr>
        <w:t>) será lo que lo consolidará (</w:t>
      </w:r>
      <w:proofErr w:type="spellStart"/>
      <w:r w:rsidRPr="00DC1A5F">
        <w:rPr>
          <w:i/>
          <w:iCs/>
          <w:color w:val="auto"/>
          <w:u w:color="000000"/>
        </w:rPr>
        <w:t>upatthambhaka</w:t>
      </w:r>
      <w:proofErr w:type="spellEnd"/>
      <w:r w:rsidRPr="00DC1A5F">
        <w:rPr>
          <w:color w:val="auto"/>
          <w:u w:color="000000"/>
        </w:rPr>
        <w:t>). Sus funciones respectivas serán hacer surgir y consolidar.</w:t>
      </w:r>
      <w:r w:rsidRPr="00DC1A5F">
        <w:t xml:space="preserve"> Así como la función de la semilla es hacer surgir el brote y la de la tierra, etc., consolidarlo, así como la función del </w:t>
      </w:r>
      <w:proofErr w:type="spellStart"/>
      <w:r w:rsidRPr="00DC1A5F">
        <w:rPr>
          <w:i/>
        </w:rPr>
        <w:t>kamma</w:t>
      </w:r>
      <w:proofErr w:type="spellEnd"/>
      <w:r w:rsidRPr="00DC1A5F">
        <w:t xml:space="preserve"> es hacer surgir un resultado como materia que se deba al </w:t>
      </w:r>
      <w:proofErr w:type="spellStart"/>
      <w:r w:rsidRPr="00DC1A5F">
        <w:rPr>
          <w:i/>
        </w:rPr>
        <w:t>kamma</w:t>
      </w:r>
      <w:proofErr w:type="spellEnd"/>
      <w:r w:rsidRPr="00DC1A5F">
        <w:t xml:space="preserve"> cometido y la del nutrimento consolidarlo, así mismo la función de esas condiciones que den nacimiento a cada grupo material y a cada pensamiento que surja y sirva como </w:t>
      </w:r>
      <w:proofErr w:type="spellStart"/>
      <w:r w:rsidRPr="00DC1A5F">
        <w:rPr>
          <w:i/>
        </w:rPr>
        <w:t>kamma</w:t>
      </w:r>
      <w:proofErr w:type="spellEnd"/>
      <w:r w:rsidRPr="00DC1A5F">
        <w:t xml:space="preserve"> y condiciones de proximidad, etc., para ellos, y la función de aquellos que los consoliden y sirvan como condiciones de </w:t>
      </w:r>
      <w:proofErr w:type="spellStart"/>
      <w:r w:rsidRPr="00DC1A5F">
        <w:t>conascencia</w:t>
      </w:r>
      <w:proofErr w:type="spellEnd"/>
      <w:r w:rsidRPr="00DC1A5F">
        <w:t xml:space="preserve">, </w:t>
      </w:r>
      <w:proofErr w:type="spellStart"/>
      <w:r w:rsidRPr="00DC1A5F">
        <w:t>prenascencia</w:t>
      </w:r>
      <w:proofErr w:type="spellEnd"/>
      <w:r w:rsidRPr="00DC1A5F">
        <w:t xml:space="preserve"> y </w:t>
      </w:r>
      <w:proofErr w:type="spellStart"/>
      <w:r w:rsidRPr="00DC1A5F">
        <w:t>posnascencia</w:t>
      </w:r>
      <w:proofErr w:type="spellEnd"/>
      <w:r w:rsidRPr="00DC1A5F">
        <w:t xml:space="preserve"> para ellos, podrán interpretarse en consecuencia como apropiadas.</w:t>
      </w:r>
    </w:p>
    <w:p w14:paraId="53A258AE" w14:textId="77777777" w:rsidR="00597DE2" w:rsidRPr="00DC1A5F" w:rsidRDefault="00597DE2" w:rsidP="00597DE2">
      <w:pPr>
        <w:pStyle w:val="PiedepginaLegal"/>
      </w:pPr>
      <w:r w:rsidRPr="00DC1A5F">
        <w:tab/>
      </w:r>
      <w:r w:rsidRPr="00DC1A5F">
        <w:tab/>
      </w:r>
      <w:r w:rsidRPr="00DC1A5F">
        <w:rPr>
          <w:color w:val="auto"/>
          <w:u w:color="000000"/>
        </w:rPr>
        <w:t>“Debido a que existirá semejanza y desemejanza en la temperatura, etc., en la forma enunciada, el pasado, etc., de las instancias materiales originadas por ella se enunciará de acuerdo con la continuidad.</w:t>
      </w:r>
      <w:r w:rsidRPr="00DC1A5F">
        <w:t xml:space="preserve"> </w:t>
      </w:r>
      <w:r w:rsidRPr="00DC1A5F">
        <w:rPr>
          <w:color w:val="auto"/>
          <w:u w:color="000000"/>
        </w:rPr>
        <w:t xml:space="preserve">No obstante, no existirá tal semejanza y desemejanza en el </w:t>
      </w:r>
      <w:proofErr w:type="spellStart"/>
      <w:r w:rsidRPr="00DC1A5F">
        <w:rPr>
          <w:i/>
          <w:color w:val="auto"/>
          <w:u w:color="000000"/>
        </w:rPr>
        <w:t>kamma</w:t>
      </w:r>
      <w:proofErr w:type="spellEnd"/>
      <w:r w:rsidRPr="00DC1A5F">
        <w:rPr>
          <w:color w:val="auto"/>
          <w:u w:color="000000"/>
        </w:rPr>
        <w:t xml:space="preserve"> que dé origen a un único devenir, así que en lugar de establecerse según la continuidad el pasado, etc., de las instancias materiales originadas </w:t>
      </w:r>
      <w:proofErr w:type="spellStart"/>
      <w:r w:rsidRPr="00DC1A5F">
        <w:rPr>
          <w:color w:val="auto"/>
          <w:u w:color="000000"/>
        </w:rPr>
        <w:t>poe</w:t>
      </w:r>
      <w:proofErr w:type="spellEnd"/>
      <w:r w:rsidRPr="00DC1A5F">
        <w:rPr>
          <w:color w:val="auto"/>
          <w:u w:color="000000"/>
        </w:rPr>
        <w:t xml:space="preserve"> ello, se establecerá según lo que se consolide. </w:t>
      </w:r>
      <w:r w:rsidRPr="00DC1A5F">
        <w:t>Sin embargo, cuando llegue a haber inversión de sexo, entonces el sexo masculino desaparecerá debido a</w:t>
      </w:r>
      <w:r w:rsidRPr="00DC1A5F">
        <w:br w:type="page"/>
      </w:r>
    </w:p>
    <w:p w14:paraId="1630E487" w14:textId="77777777" w:rsidR="00597DE2" w:rsidRPr="00DC1A5F" w:rsidRDefault="00597DE2" w:rsidP="00597DE2">
      <w:pPr>
        <w:pStyle w:val="Textoindependiente"/>
      </w:pPr>
      <w:r w:rsidRPr="00DC1A5F">
        <w:rPr>
          <w:i/>
          <w:iCs/>
        </w:rPr>
        <w:lastRenderedPageBreak/>
        <w:t>futura</w:t>
      </w:r>
      <w:r w:rsidRPr="00DC1A5F">
        <w:t xml:space="preserve">. O alternativamente, al momento de la función será </w:t>
      </w:r>
      <w:r w:rsidRPr="00DC1A5F">
        <w:rPr>
          <w:i/>
          <w:iCs/>
        </w:rPr>
        <w:t>presente</w:t>
      </w:r>
      <w:r w:rsidRPr="00DC1A5F">
        <w:t xml:space="preserve">. El momento previo a ella será </w:t>
      </w:r>
      <w:r w:rsidRPr="00DC1A5F">
        <w:rPr>
          <w:i/>
          <w:iCs/>
        </w:rPr>
        <w:t>pasada</w:t>
      </w:r>
      <w:r w:rsidRPr="00DC1A5F">
        <w:t xml:space="preserve">. El momento subsecuente a ella será </w:t>
      </w:r>
      <w:r w:rsidRPr="00DC1A5F">
        <w:rPr>
          <w:i/>
          <w:iCs/>
        </w:rPr>
        <w:t>futura</w:t>
      </w:r>
      <w:r w:rsidRPr="00DC1A5F">
        <w:t>.</w:t>
      </w:r>
    </w:p>
    <w:p w14:paraId="6CBBD64C" w14:textId="77777777" w:rsidR="00597DE2" w:rsidRPr="00DC1A5F" w:rsidRDefault="00597DE2" w:rsidP="00597DE2">
      <w:pPr>
        <w:pStyle w:val="NormalConSangria"/>
      </w:pPr>
      <w:r w:rsidRPr="00DC1A5F">
        <w:t xml:space="preserve">Y aquí sólo las explicaciones que comiencen con el </w:t>
      </w:r>
      <w:r w:rsidRPr="00DC1A5F">
        <w:rPr>
          <w:i/>
          <w:iCs/>
        </w:rPr>
        <w:t>momento</w:t>
      </w:r>
      <w:r w:rsidRPr="00DC1A5F">
        <w:t xml:space="preserve"> serán absolutamente literales. El resto tendrán un sentido figurado o relativo.</w:t>
      </w:r>
    </w:p>
    <w:p w14:paraId="7D1917D8" w14:textId="77777777" w:rsidR="00597DE2" w:rsidRPr="00DC1A5F" w:rsidRDefault="00597DE2" w:rsidP="00597DE2">
      <w:r w:rsidRPr="00DC1A5F">
        <w:t xml:space="preserve">192. </w:t>
      </w:r>
      <w:r w:rsidRPr="00DC1A5F">
        <w:tab/>
        <w:t>(</w:t>
      </w:r>
      <w:proofErr w:type="spellStart"/>
      <w:r w:rsidRPr="00DC1A5F">
        <w:t>iv</w:t>
      </w:r>
      <w:proofErr w:type="spellEnd"/>
      <w:r w:rsidRPr="00DC1A5F">
        <w:t xml:space="preserve">)–(v) La división en </w:t>
      </w:r>
      <w:r w:rsidRPr="00DC1A5F">
        <w:rPr>
          <w:i/>
          <w:iCs/>
        </w:rPr>
        <w:t>interna o externa</w:t>
      </w:r>
      <w:r w:rsidRPr="00DC1A5F">
        <w:t xml:space="preserve"> ya ha sido expuestas en (§73). Además, será interna en el sentido de propia,</w:t>
      </w:r>
      <w:r w:rsidRPr="00DC1A5F">
        <w:rPr>
          <w:vertAlign w:val="superscript"/>
        </w:rPr>
        <w:t>75</w:t>
      </w:r>
      <w:r w:rsidRPr="00DC1A5F">
        <w:t xml:space="preserve"> que deberá entenderse aquí como interna y a la ajena en el sentido de externa.</w:t>
      </w:r>
    </w:p>
    <w:p w14:paraId="46B4AB96" w14:textId="77777777" w:rsidR="00597DE2" w:rsidRPr="00DC1A5F" w:rsidRDefault="00597DE2" w:rsidP="00597DE2">
      <w:pPr>
        <w:pStyle w:val="NormalConSangria"/>
      </w:pPr>
      <w:r w:rsidRPr="00DC1A5F">
        <w:tab/>
        <w:t>(vi)–(</w:t>
      </w:r>
      <w:proofErr w:type="spellStart"/>
      <w:r w:rsidRPr="00DC1A5F">
        <w:t>vii</w:t>
      </w:r>
      <w:proofErr w:type="spellEnd"/>
      <w:r w:rsidRPr="00DC1A5F">
        <w:t xml:space="preserve">) </w:t>
      </w:r>
      <w:r w:rsidRPr="00DC1A5F">
        <w:rPr>
          <w:i/>
          <w:iCs/>
        </w:rPr>
        <w:t>Densa o sutil</w:t>
      </w:r>
      <w:r w:rsidRPr="00DC1A5F">
        <w:t xml:space="preserve"> también serán como ya se mencionó en (§73).</w:t>
      </w:r>
    </w:p>
    <w:p w14:paraId="1C27658C" w14:textId="77777777" w:rsidR="00597DE2" w:rsidRPr="00DC1A5F" w:rsidRDefault="00597DE2" w:rsidP="00597DE2">
      <w:r w:rsidRPr="00DC1A5F">
        <w:t xml:space="preserve">193. </w:t>
      </w:r>
      <w:r w:rsidRPr="00DC1A5F">
        <w:tab/>
        <w:t>(</w:t>
      </w:r>
      <w:proofErr w:type="spellStart"/>
      <w:r w:rsidRPr="00DC1A5F">
        <w:t>viii</w:t>
      </w:r>
      <w:proofErr w:type="spellEnd"/>
      <w:r w:rsidRPr="00DC1A5F">
        <w:t>)–(</w:t>
      </w:r>
      <w:proofErr w:type="spellStart"/>
      <w:r w:rsidRPr="00DC1A5F">
        <w:t>ix</w:t>
      </w:r>
      <w:proofErr w:type="spellEnd"/>
      <w:r w:rsidRPr="00DC1A5F">
        <w:t xml:space="preserve">) </w:t>
      </w:r>
      <w:r w:rsidRPr="00DC1A5F">
        <w:rPr>
          <w:i/>
          <w:iCs/>
        </w:rPr>
        <w:t>Inferior o superior</w:t>
      </w:r>
      <w:r w:rsidRPr="00DC1A5F">
        <w:t xml:space="preserve"> tendrá dos acepciones, es decir, en sentido figurado (relativamente) y en sentido absoluto (literalmente). Aquí, la materialidad de las deidades </w:t>
      </w:r>
      <w:proofErr w:type="spellStart"/>
      <w:r w:rsidRPr="00DC1A5F">
        <w:rPr>
          <w:i/>
          <w:iCs/>
        </w:rPr>
        <w:t>Sudassin</w:t>
      </w:r>
      <w:proofErr w:type="spellEnd"/>
      <w:r w:rsidRPr="00DC1A5F">
        <w:t xml:space="preserve"> será inferior a la materialidad de las deidades </w:t>
      </w:r>
      <w:proofErr w:type="spellStart"/>
      <w:r w:rsidRPr="00DC1A5F">
        <w:rPr>
          <w:i/>
          <w:iCs/>
        </w:rPr>
        <w:t>Akaniṭṭha</w:t>
      </w:r>
      <w:proofErr w:type="spellEnd"/>
      <w:r w:rsidRPr="00DC1A5F">
        <w:t xml:space="preserve"> (elevadas). Esa misma materialidad de las deidades </w:t>
      </w:r>
      <w:proofErr w:type="spellStart"/>
      <w:r w:rsidRPr="00DC1A5F">
        <w:rPr>
          <w:i/>
          <w:iCs/>
        </w:rPr>
        <w:t>Sudassin</w:t>
      </w:r>
      <w:proofErr w:type="spellEnd"/>
      <w:r w:rsidRPr="00DC1A5F">
        <w:t xml:space="preserve"> será superior a la materialidad de las deidades </w:t>
      </w:r>
      <w:proofErr w:type="spellStart"/>
      <w:r w:rsidRPr="00DC1A5F">
        <w:rPr>
          <w:i/>
          <w:iCs/>
        </w:rPr>
        <w:t>Sudassa</w:t>
      </w:r>
      <w:proofErr w:type="spellEnd"/>
      <w:r w:rsidRPr="00DC1A5F">
        <w:t>. Así, en primer lugar, la inferioridad y la superioridad deberán entenderse en sentido figurado (relativamente) hasta los habitantes del infierno. No obstante, absolutamente (literalmente) será inferior cuando surja como un resultado improductivo y superior cuando surja como un resultado productivo.</w:t>
      </w:r>
      <w:r w:rsidRPr="00DC1A5F">
        <w:rPr>
          <w:vertAlign w:val="superscript"/>
        </w:rPr>
        <w:t>76</w:t>
      </w:r>
    </w:p>
    <w:p w14:paraId="2E6F6D59" w14:textId="77777777" w:rsidR="00597DE2" w:rsidRPr="00DC1A5F" w:rsidRDefault="00597DE2" w:rsidP="00597DE2">
      <w:r w:rsidRPr="00DC1A5F">
        <w:t xml:space="preserve">194. </w:t>
      </w:r>
      <w:r w:rsidRPr="00DC1A5F">
        <w:tab/>
        <w:t xml:space="preserve">(x)–(xi) </w:t>
      </w:r>
      <w:r w:rsidRPr="00DC1A5F">
        <w:rPr>
          <w:i/>
          <w:iCs/>
        </w:rPr>
        <w:t>Lejana o cercana</w:t>
      </w:r>
      <w:r w:rsidRPr="00DC1A5F">
        <w:t>: esto también será como ya se describió en (§73). Además, aquí deberá entenderse lejanía y cercanía relativa a la ubicación.</w:t>
      </w:r>
    </w:p>
    <w:p w14:paraId="03C2BFBC" w14:textId="77777777" w:rsidR="00597DE2" w:rsidRPr="00DC1A5F" w:rsidRDefault="00597DE2" w:rsidP="00597DE2">
      <w:r w:rsidRPr="00DC1A5F">
        <w:t xml:space="preserve">195. </w:t>
      </w:r>
      <w:r w:rsidRPr="00DC1A5F">
        <w:tab/>
      </w:r>
      <w:r w:rsidRPr="00DC1A5F">
        <w:rPr>
          <w:i/>
          <w:iCs/>
        </w:rPr>
        <w:t>Todo ello de manera conjunta, en masa y en su totalidad</w:t>
      </w:r>
      <w:r w:rsidRPr="00DC1A5F">
        <w:t>: al hacer que toda esa materialidad, descrita individualmente mediante las palabras “pasada, presente, etc.”, se aglutinen en una colección mediante el entendimiento de su unidad, en otras palabras, de su característica de ser molestada (</w:t>
      </w:r>
      <w:proofErr w:type="spellStart"/>
      <w:r w:rsidRPr="00DC1A5F">
        <w:rPr>
          <w:i/>
          <w:iCs/>
        </w:rPr>
        <w:t>ruppana</w:t>
      </w:r>
      <w:proofErr w:type="spellEnd"/>
      <w:r w:rsidRPr="00DC1A5F">
        <w:t>), llega a llamarse el agregado de la materialidad (</w:t>
      </w:r>
      <w:r w:rsidRPr="00DC1A5F">
        <w:rPr>
          <w:i/>
        </w:rPr>
        <w:t>rūpa</w:t>
      </w:r>
      <w:r w:rsidRPr="00DC1A5F">
        <w:t>). Este es el significado aquí.</w:t>
      </w:r>
    </w:p>
    <w:p w14:paraId="61423EF3" w14:textId="77777777" w:rsidR="00597DE2" w:rsidRPr="00DC1A5F" w:rsidRDefault="00597DE2" w:rsidP="00597DE2">
      <w:r w:rsidRPr="00DC1A5F">
        <w:t xml:space="preserve">196. </w:t>
      </w:r>
      <w:r w:rsidRPr="00DC1A5F">
        <w:tab/>
        <w:t>Por ello, también, se muestra que el agregado de la materialidad se refiere a toda la materialidad, la cual en su totalidad entra en la colección con la característica de ser molestada; porque no habrá un agregado de la materialidad aparte de la materialidad. [474]</w:t>
      </w:r>
    </w:p>
    <w:p w14:paraId="4575DE32" w14:textId="77777777" w:rsidR="00597DE2" w:rsidRPr="00DC1A5F" w:rsidRDefault="00597DE2" w:rsidP="00597DE2">
      <w:pPr>
        <w:pStyle w:val="NormalConSangria"/>
      </w:pPr>
      <w:r w:rsidRPr="00DC1A5F">
        <w:t xml:space="preserve">Y así como en el caso de la materialidad, así también con la sensación, </w:t>
      </w:r>
      <w:r w:rsidRPr="00DC1A5F">
        <w:rPr>
          <w:color w:val="833C0B" w:themeColor="accent2" w:themeShade="80"/>
        </w:rPr>
        <w:t>la percepción</w:t>
      </w:r>
      <w:r w:rsidRPr="00DC1A5F">
        <w:t xml:space="preserve">, etc., se mostrarán respectivamente como el agregado de la sensación, </w:t>
      </w:r>
      <w:r w:rsidRPr="00DC1A5F">
        <w:rPr>
          <w:color w:val="833C0B" w:themeColor="accent2" w:themeShade="80"/>
        </w:rPr>
        <w:t>el agregado de la percepción</w:t>
      </w:r>
      <w:r w:rsidRPr="00DC1A5F">
        <w:t>, etc., ya que pertenecen a las colecciones con sus características respectivas de ser sentidas, etc.; ya que no existirá agregado de la sensación aparte de la sensación y los agregados restantes.</w:t>
      </w:r>
    </w:p>
    <w:p w14:paraId="55DA0FE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9A13F21" w14:textId="77777777" w:rsidR="00597DE2" w:rsidRPr="00DC1A5F" w:rsidRDefault="00597DE2" w:rsidP="00597DE2">
      <w:pPr>
        <w:pStyle w:val="PiedepginaLegal"/>
      </w:pPr>
      <w:r w:rsidRPr="00DC1A5F">
        <w:t>…</w:t>
      </w:r>
    </w:p>
    <w:p w14:paraId="29FF9487" w14:textId="77777777" w:rsidR="00597DE2" w:rsidRPr="00DC1A5F" w:rsidRDefault="00597DE2" w:rsidP="00597DE2">
      <w:pPr>
        <w:pStyle w:val="PiedepginaLegal"/>
      </w:pPr>
      <w:r w:rsidRPr="00DC1A5F">
        <w:tab/>
        <w:t xml:space="preserve">a un poderoso </w:t>
      </w:r>
      <w:proofErr w:type="spellStart"/>
      <w:r w:rsidRPr="00DC1A5F">
        <w:rPr>
          <w:i/>
        </w:rPr>
        <w:t>kamma</w:t>
      </w:r>
      <w:proofErr w:type="spellEnd"/>
      <w:r w:rsidRPr="00DC1A5F">
        <w:t xml:space="preserve"> improductivo y el sexo femenino aparecerá entonces debido a un débil </w:t>
      </w:r>
      <w:proofErr w:type="spellStart"/>
      <w:r w:rsidRPr="00DC1A5F">
        <w:rPr>
          <w:i/>
        </w:rPr>
        <w:t>kamma</w:t>
      </w:r>
      <w:proofErr w:type="spellEnd"/>
      <w:r w:rsidRPr="00DC1A5F">
        <w:t xml:space="preserve"> productivo; por otro lado, el sexo femenino desaparecerá debido a un </w:t>
      </w:r>
      <w:proofErr w:type="spellStart"/>
      <w:r w:rsidRPr="00DC1A5F">
        <w:rPr>
          <w:i/>
        </w:rPr>
        <w:t>kamma</w:t>
      </w:r>
      <w:proofErr w:type="spellEnd"/>
      <w:r w:rsidRPr="00DC1A5F">
        <w:t xml:space="preserve"> débil e improductivo, mientras que el sexo masculino aparecerá debido a un </w:t>
      </w:r>
      <w:proofErr w:type="spellStart"/>
      <w:r w:rsidRPr="00DC1A5F">
        <w:rPr>
          <w:i/>
        </w:rPr>
        <w:t>kamma</w:t>
      </w:r>
      <w:proofErr w:type="spellEnd"/>
      <w:r w:rsidRPr="00DC1A5F">
        <w:t xml:space="preserve"> poderoso y productivo (ver </w:t>
      </w:r>
      <w:proofErr w:type="spellStart"/>
      <w:r w:rsidRPr="00DC1A5F">
        <w:t>Dhs</w:t>
      </w:r>
      <w:proofErr w:type="spellEnd"/>
      <w:r w:rsidRPr="00DC1A5F">
        <w:t xml:space="preserve">–a 321). Así que, de hecho, habrá desemejanza en lo que sea originado por el </w:t>
      </w:r>
      <w:proofErr w:type="spellStart"/>
      <w:r w:rsidRPr="00DC1A5F">
        <w:rPr>
          <w:i/>
        </w:rPr>
        <w:t>kamma</w:t>
      </w:r>
      <w:proofErr w:type="spellEnd"/>
      <w:r w:rsidRPr="00DC1A5F">
        <w:t xml:space="preserve"> y una consecuente desemejanza en lo que respecte al pasado, etc., de acuerdo con la continuidad también de éstos. No obstante, no estará incluido porque no siempre sucederá” (</w:t>
      </w:r>
      <w:proofErr w:type="spellStart"/>
      <w:r w:rsidRPr="00DC1A5F">
        <w:t>Vism</w:t>
      </w:r>
      <w:proofErr w:type="spellEnd"/>
      <w:r w:rsidRPr="00DC1A5F">
        <w:t>–</w:t>
      </w:r>
      <w:proofErr w:type="spellStart"/>
      <w:r w:rsidRPr="00DC1A5F">
        <w:t>mhṭ</w:t>
      </w:r>
      <w:proofErr w:type="spellEnd"/>
      <w:r w:rsidRPr="00DC1A5F">
        <w:t xml:space="preserve"> 497).</w:t>
      </w:r>
    </w:p>
    <w:p w14:paraId="4CF1DA15" w14:textId="77777777" w:rsidR="00597DE2" w:rsidRPr="00DC1A5F" w:rsidRDefault="00597DE2" w:rsidP="00597DE2">
      <w:pPr>
        <w:pStyle w:val="PiedepginaLegal"/>
        <w:numPr>
          <w:ilvl w:val="0"/>
          <w:numId w:val="3"/>
        </w:numPr>
        <w:tabs>
          <w:tab w:val="clear" w:pos="425"/>
        </w:tabs>
        <w:ind w:left="284"/>
        <w:rPr>
          <w:color w:val="auto"/>
          <w:u w:color="000000"/>
        </w:rPr>
      </w:pPr>
      <w:proofErr w:type="spellStart"/>
      <w:r w:rsidRPr="00DC1A5F">
        <w:rPr>
          <w:i/>
          <w:iCs/>
          <w:color w:val="auto"/>
          <w:u w:color="000000"/>
        </w:rPr>
        <w:t>Niyakajjhatta</w:t>
      </w:r>
      <w:proofErr w:type="spellEnd"/>
      <w:r w:rsidRPr="00DC1A5F">
        <w:rPr>
          <w:color w:val="auto"/>
          <w:u w:color="000000"/>
        </w:rPr>
        <w:t xml:space="preserve">—“internamente en el sentido de propiedad personal”: en los comentarios y </w:t>
      </w:r>
      <w:proofErr w:type="spellStart"/>
      <w:r w:rsidRPr="00DC1A5F">
        <w:rPr>
          <w:color w:val="auto"/>
          <w:u w:color="000000"/>
        </w:rPr>
        <w:t>subcomentarios</w:t>
      </w:r>
      <w:proofErr w:type="spellEnd"/>
      <w:r w:rsidRPr="00DC1A5F">
        <w:rPr>
          <w:color w:val="auto"/>
          <w:u w:color="000000"/>
        </w:rPr>
        <w:t xml:space="preserve"> (ver </w:t>
      </w:r>
      <w:proofErr w:type="spellStart"/>
      <w:r w:rsidRPr="00DC1A5F">
        <w:rPr>
          <w:color w:val="auto"/>
          <w:u w:color="000000"/>
        </w:rPr>
        <w:t>Dhs</w:t>
      </w:r>
      <w:proofErr w:type="spellEnd"/>
      <w:r w:rsidRPr="00DC1A5F">
        <w:rPr>
          <w:color w:val="auto"/>
          <w:u w:color="000000"/>
        </w:rPr>
        <w:t xml:space="preserve">–a 46) se mencionan cuatro tipos de </w:t>
      </w:r>
      <w:proofErr w:type="spellStart"/>
      <w:r w:rsidRPr="00DC1A5F">
        <w:rPr>
          <w:i/>
          <w:iCs/>
          <w:color w:val="auto"/>
          <w:u w:color="000000"/>
        </w:rPr>
        <w:t>ajjhatta</w:t>
      </w:r>
      <w:proofErr w:type="spellEnd"/>
      <w:r w:rsidRPr="00DC1A5F">
        <w:rPr>
          <w:color w:val="auto"/>
          <w:u w:color="000000"/>
        </w:rPr>
        <w:t xml:space="preserve"> (interna, </w:t>
      </w:r>
      <w:proofErr w:type="spellStart"/>
      <w:r w:rsidRPr="00DC1A5F">
        <w:rPr>
          <w:color w:val="auto"/>
          <w:u w:color="000000"/>
        </w:rPr>
        <w:t>lit.</w:t>
      </w:r>
      <w:proofErr w:type="spellEnd"/>
      <w:r w:rsidRPr="00DC1A5F">
        <w:rPr>
          <w:color w:val="auto"/>
          <w:u w:color="000000"/>
        </w:rPr>
        <w:t xml:space="preserve"> “perteneciente a uno mismo”): </w:t>
      </w:r>
      <w:proofErr w:type="spellStart"/>
      <w:r w:rsidRPr="00DC1A5F">
        <w:rPr>
          <w:i/>
          <w:iCs/>
          <w:color w:val="auto"/>
          <w:u w:color="000000"/>
        </w:rPr>
        <w:t>gocarajjhatta</w:t>
      </w:r>
      <w:proofErr w:type="spellEnd"/>
      <w:r w:rsidRPr="00DC1A5F">
        <w:rPr>
          <w:color w:val="auto"/>
          <w:u w:color="000000"/>
        </w:rPr>
        <w:t xml:space="preserve">—internamente como rango o recurso (M–a IV 161; II 90, 292), </w:t>
      </w:r>
      <w:proofErr w:type="spellStart"/>
      <w:r w:rsidRPr="00DC1A5F">
        <w:rPr>
          <w:i/>
          <w:iCs/>
          <w:color w:val="auto"/>
          <w:u w:color="000000"/>
        </w:rPr>
        <w:t>ajjhattajjhata</w:t>
      </w:r>
      <w:proofErr w:type="spellEnd"/>
      <w:r w:rsidRPr="00DC1A5F">
        <w:rPr>
          <w:color w:val="auto"/>
          <w:u w:color="000000"/>
        </w:rPr>
        <w:t>—internamente como tal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152), </w:t>
      </w:r>
      <w:proofErr w:type="spellStart"/>
      <w:r w:rsidRPr="00DC1A5F">
        <w:rPr>
          <w:i/>
          <w:iCs/>
          <w:color w:val="auto"/>
          <w:u w:color="000000"/>
        </w:rPr>
        <w:t>niyakajjhatta</w:t>
      </w:r>
      <w:proofErr w:type="spellEnd"/>
      <w:r w:rsidRPr="00DC1A5F">
        <w:rPr>
          <w:color w:val="auto"/>
          <w:u w:color="000000"/>
        </w:rPr>
        <w:t xml:space="preserve">—internamente en el sentido de uno mismo (IV.141, IX.114, esta ref.; M–a IV 161), </w:t>
      </w:r>
      <w:proofErr w:type="spellStart"/>
      <w:r w:rsidRPr="00DC1A5F">
        <w:rPr>
          <w:i/>
          <w:iCs/>
          <w:color w:val="auto"/>
          <w:u w:color="000000"/>
        </w:rPr>
        <w:t>visayajjhatta</w:t>
      </w:r>
      <w:proofErr w:type="spellEnd"/>
      <w:r w:rsidRPr="00DC1A5F">
        <w:rPr>
          <w:color w:val="auto"/>
          <w:u w:color="000000"/>
        </w:rPr>
        <w:t>—internamente como campo objetivo (M–a IV 160).</w:t>
      </w:r>
    </w:p>
    <w:p w14:paraId="754825B4" w14:textId="77777777" w:rsidR="00597DE2" w:rsidRPr="00DC1A5F" w:rsidRDefault="00597DE2" w:rsidP="00597DE2">
      <w:pPr>
        <w:pStyle w:val="PiedepginaLegal"/>
        <w:numPr>
          <w:ilvl w:val="0"/>
          <w:numId w:val="3"/>
        </w:numPr>
        <w:tabs>
          <w:tab w:val="clear" w:pos="425"/>
        </w:tabs>
        <w:ind w:left="284"/>
      </w:pPr>
      <w:r w:rsidRPr="00DC1A5F">
        <w:t xml:space="preserve">El resultado productivo será superior porque producirá un objeto deseable (ver </w:t>
      </w:r>
      <w:proofErr w:type="spellStart"/>
      <w:r w:rsidRPr="00DC1A5F">
        <w:t>Vismmhṭ</w:t>
      </w:r>
      <w:proofErr w:type="spellEnd"/>
      <w:r w:rsidRPr="00DC1A5F">
        <w:t xml:space="preserve"> 498). Esta cuestión se trata extensamente en el </w:t>
      </w:r>
      <w:proofErr w:type="spellStart"/>
      <w:r w:rsidRPr="00DC1A5F">
        <w:t>Vibh</w:t>
      </w:r>
      <w:proofErr w:type="spellEnd"/>
      <w:r w:rsidRPr="00DC1A5F">
        <w:t>–a 9s.</w:t>
      </w:r>
    </w:p>
    <w:p w14:paraId="6BDB4E91" w14:textId="77777777" w:rsidR="00597DE2" w:rsidRPr="00DC1A5F" w:rsidRDefault="00597DE2" w:rsidP="00597DE2">
      <w:pPr>
        <w:tabs>
          <w:tab w:val="clear" w:pos="425"/>
        </w:tabs>
        <w:spacing w:after="160"/>
      </w:pPr>
      <w:r w:rsidRPr="00DC1A5F">
        <w:br w:type="page"/>
      </w:r>
    </w:p>
    <w:p w14:paraId="57620B55" w14:textId="77777777" w:rsidR="00597DE2" w:rsidRPr="00DC1A5F" w:rsidRDefault="00597DE2" w:rsidP="00597DE2">
      <w:pPr>
        <w:pStyle w:val="NormalConSangria"/>
      </w:pPr>
    </w:p>
    <w:p w14:paraId="6759A30E" w14:textId="77777777" w:rsidR="00597DE2" w:rsidRPr="00DC1A5F" w:rsidRDefault="00597DE2" w:rsidP="00597DE2">
      <w:pPr>
        <w:pStyle w:val="Ttulo5"/>
      </w:pPr>
      <w:r w:rsidRPr="00DC1A5F">
        <w:t>[La Sensación]</w:t>
      </w:r>
    </w:p>
    <w:p w14:paraId="74D12E7E" w14:textId="77777777" w:rsidR="00597DE2" w:rsidRPr="00DC1A5F" w:rsidRDefault="00597DE2" w:rsidP="00597DE2">
      <w:r w:rsidRPr="00DC1A5F">
        <w:t xml:space="preserve">197. </w:t>
      </w:r>
      <w:r w:rsidRPr="00DC1A5F">
        <w:tab/>
        <w:t>En la clasificación (i)–(</w:t>
      </w:r>
      <w:proofErr w:type="spellStart"/>
      <w:r w:rsidRPr="00DC1A5F">
        <w:t>iii</w:t>
      </w:r>
      <w:proofErr w:type="spellEnd"/>
      <w:r w:rsidRPr="00DC1A5F">
        <w:t xml:space="preserve">) de </w:t>
      </w:r>
      <w:r w:rsidRPr="00DC1A5F">
        <w:rPr>
          <w:i/>
          <w:iCs/>
        </w:rPr>
        <w:t>pasada</w:t>
      </w:r>
      <w:r w:rsidRPr="00DC1A5F">
        <w:t xml:space="preserve">, etc., el estado de la sensación pasada, presente o futura deberá entenderse </w:t>
      </w:r>
      <w:proofErr w:type="gramStart"/>
      <w:r w:rsidRPr="00DC1A5F">
        <w:t>de acuerdo a</w:t>
      </w:r>
      <w:proofErr w:type="gramEnd"/>
      <w:r w:rsidRPr="00DC1A5F">
        <w:t xml:space="preserve"> la continuidad y al momento, etc.</w:t>
      </w:r>
    </w:p>
    <w:p w14:paraId="17F192E2" w14:textId="77777777" w:rsidR="00597DE2" w:rsidRPr="00DC1A5F" w:rsidRDefault="00597DE2" w:rsidP="00597DE2">
      <w:pPr>
        <w:pStyle w:val="NormalConSangria"/>
      </w:pPr>
      <w:r w:rsidRPr="00DC1A5F">
        <w:t xml:space="preserve">Aquí, </w:t>
      </w:r>
      <w:proofErr w:type="gramStart"/>
      <w:r w:rsidRPr="00DC1A5F">
        <w:t>de acuerdo a</w:t>
      </w:r>
      <w:proofErr w:type="gramEnd"/>
      <w:r w:rsidRPr="00DC1A5F">
        <w:t xml:space="preserve"> </w:t>
      </w:r>
      <w:r w:rsidRPr="00DC1A5F">
        <w:rPr>
          <w:i/>
          <w:iCs/>
        </w:rPr>
        <w:t>la continuidad</w:t>
      </w:r>
      <w:r w:rsidRPr="00DC1A5F">
        <w:t>, lo incluido en una sola serie cognitiva, en un solo impulso, en una sola absorción y lo que ocurra en asociación con un campo objetivo de una especie</w:t>
      </w:r>
      <w:r w:rsidRPr="00DC1A5F">
        <w:rPr>
          <w:vertAlign w:val="superscript"/>
        </w:rPr>
        <w:t>77</w:t>
      </w:r>
      <w:r w:rsidRPr="00DC1A5F">
        <w:t xml:space="preserve"> será </w:t>
      </w:r>
      <w:r w:rsidRPr="00DC1A5F">
        <w:rPr>
          <w:i/>
          <w:iCs/>
        </w:rPr>
        <w:t>presente</w:t>
      </w:r>
      <w:r w:rsidRPr="00DC1A5F">
        <w:t xml:space="preserve">. La previa a ella será </w:t>
      </w:r>
      <w:r w:rsidRPr="00DC1A5F">
        <w:rPr>
          <w:i/>
          <w:iCs/>
        </w:rPr>
        <w:t>pasada</w:t>
      </w:r>
      <w:r w:rsidRPr="00DC1A5F">
        <w:t xml:space="preserve">. La subsiguiente será </w:t>
      </w:r>
      <w:r w:rsidRPr="00DC1A5F">
        <w:rPr>
          <w:i/>
          <w:iCs/>
        </w:rPr>
        <w:t>futura</w:t>
      </w:r>
      <w:r w:rsidRPr="00DC1A5F">
        <w:t>.</w:t>
      </w:r>
    </w:p>
    <w:p w14:paraId="299CAC5D" w14:textId="77777777" w:rsidR="00597DE2" w:rsidRPr="00DC1A5F" w:rsidRDefault="00597DE2" w:rsidP="00597DE2">
      <w:pPr>
        <w:pStyle w:val="NormalConSangria"/>
      </w:pPr>
      <w:proofErr w:type="gramStart"/>
      <w:r w:rsidRPr="00DC1A5F">
        <w:rPr>
          <w:i/>
          <w:iCs/>
        </w:rPr>
        <w:t>De acuerdo al</w:t>
      </w:r>
      <w:proofErr w:type="gramEnd"/>
      <w:r w:rsidRPr="00DC1A5F">
        <w:rPr>
          <w:i/>
          <w:iCs/>
        </w:rPr>
        <w:t xml:space="preserve"> momento</w:t>
      </w:r>
      <w:r w:rsidRPr="00DC1A5F">
        <w:t xml:space="preserve">, etc.: esa sensación incluida en los tres momentos, que esté entre el tiempo pasado y el tiempo futuro, y que esté cumpliendo su propia función, será </w:t>
      </w:r>
      <w:r w:rsidRPr="00DC1A5F">
        <w:rPr>
          <w:i/>
          <w:iCs/>
        </w:rPr>
        <w:t>presente</w:t>
      </w:r>
      <w:r w:rsidRPr="00DC1A5F">
        <w:t xml:space="preserve">. La previa a ella será </w:t>
      </w:r>
      <w:r w:rsidRPr="00DC1A5F">
        <w:rPr>
          <w:i/>
          <w:iCs/>
        </w:rPr>
        <w:t>pasada</w:t>
      </w:r>
      <w:r w:rsidRPr="00DC1A5F">
        <w:t xml:space="preserve">. La subsiguiente será </w:t>
      </w:r>
      <w:r w:rsidRPr="00DC1A5F">
        <w:rPr>
          <w:i/>
          <w:iCs/>
        </w:rPr>
        <w:t>futura</w:t>
      </w:r>
      <w:r w:rsidRPr="00DC1A5F">
        <w:t>.</w:t>
      </w:r>
    </w:p>
    <w:p w14:paraId="7A8D3177" w14:textId="77777777" w:rsidR="00597DE2" w:rsidRPr="00DC1A5F" w:rsidRDefault="00597DE2" w:rsidP="00597DE2">
      <w:r w:rsidRPr="00DC1A5F">
        <w:t xml:space="preserve">198. </w:t>
      </w:r>
      <w:r w:rsidRPr="00DC1A5F">
        <w:tab/>
        <w:t>(</w:t>
      </w:r>
      <w:proofErr w:type="spellStart"/>
      <w:r w:rsidRPr="00DC1A5F">
        <w:t>iv</w:t>
      </w:r>
      <w:proofErr w:type="spellEnd"/>
      <w:r w:rsidRPr="00DC1A5F">
        <w:t xml:space="preserve">)–(v) La clasificación en </w:t>
      </w:r>
      <w:r w:rsidRPr="00DC1A5F">
        <w:rPr>
          <w:i/>
          <w:iCs/>
        </w:rPr>
        <w:t>interna</w:t>
      </w:r>
      <w:r w:rsidRPr="00DC1A5F">
        <w:t xml:space="preserve"> o </w:t>
      </w:r>
      <w:r w:rsidRPr="00DC1A5F">
        <w:rPr>
          <w:i/>
          <w:iCs/>
        </w:rPr>
        <w:t>externa</w:t>
      </w:r>
      <w:r w:rsidRPr="00DC1A5F">
        <w:t xml:space="preserve"> deberá entenderse según lo interno en el sentido de lo propio.</w:t>
      </w:r>
    </w:p>
    <w:p w14:paraId="15AF9F97" w14:textId="77777777" w:rsidR="00597DE2" w:rsidRPr="00DC1A5F" w:rsidRDefault="00597DE2" w:rsidP="00597DE2">
      <w:pPr>
        <w:pStyle w:val="NormalConSangria"/>
      </w:pPr>
      <w:r w:rsidRPr="00DC1A5F">
        <w:tab/>
        <w:t>(vi)–(</w:t>
      </w:r>
      <w:proofErr w:type="spellStart"/>
      <w:r w:rsidRPr="00DC1A5F">
        <w:t>vii</w:t>
      </w:r>
      <w:proofErr w:type="spellEnd"/>
      <w:r w:rsidRPr="00DC1A5F">
        <w:t xml:space="preserve">) La clasificación en </w:t>
      </w:r>
      <w:r w:rsidRPr="00DC1A5F">
        <w:rPr>
          <w:i/>
          <w:iCs/>
        </w:rPr>
        <w:t>densa</w:t>
      </w:r>
      <w:r w:rsidRPr="00DC1A5F">
        <w:t xml:space="preserve"> o </w:t>
      </w:r>
      <w:r w:rsidRPr="00DC1A5F">
        <w:rPr>
          <w:i/>
          <w:iCs/>
        </w:rPr>
        <w:t>sutil</w:t>
      </w:r>
      <w:r w:rsidRPr="00DC1A5F">
        <w:t xml:space="preserve"> deberá entenderse (a) según el tipo, (b) la esencia individual, (c) la persona y (d) lo mundano y supramundano, como se establece en el </w:t>
      </w:r>
      <w:proofErr w:type="spellStart"/>
      <w:r w:rsidRPr="00DC1A5F">
        <w:rPr>
          <w:i/>
          <w:iCs/>
        </w:rPr>
        <w:t>Vibhaṅga</w:t>
      </w:r>
      <w:proofErr w:type="spellEnd"/>
      <w:r w:rsidRPr="00DC1A5F">
        <w:t xml:space="preserve"> en el pasaje que comienza con “La sensación improductiva será densa, la sensación productiva e indeterminada será sutil, la sensación productiva e improductiva será densa, la sensación indeterminada será sutil” (</w:t>
      </w:r>
      <w:proofErr w:type="spellStart"/>
      <w:r w:rsidRPr="00DC1A5F">
        <w:t>Vibh</w:t>
      </w:r>
      <w:proofErr w:type="spellEnd"/>
      <w:r w:rsidRPr="00DC1A5F">
        <w:t xml:space="preserve"> 3), etc.</w:t>
      </w:r>
    </w:p>
    <w:p w14:paraId="0D8A12FD" w14:textId="77777777" w:rsidR="00597DE2" w:rsidRPr="00DC1A5F" w:rsidRDefault="00597DE2" w:rsidP="00597DE2">
      <w:r w:rsidRPr="00DC1A5F">
        <w:t xml:space="preserve">199. </w:t>
      </w:r>
      <w:r w:rsidRPr="00DC1A5F">
        <w:tab/>
        <w:t xml:space="preserve">(a) </w:t>
      </w:r>
      <w:proofErr w:type="gramStart"/>
      <w:r w:rsidRPr="00DC1A5F">
        <w:rPr>
          <w:i/>
          <w:iCs/>
        </w:rPr>
        <w:t>De acuerdo al</w:t>
      </w:r>
      <w:proofErr w:type="gramEnd"/>
      <w:r w:rsidRPr="00DC1A5F">
        <w:rPr>
          <w:i/>
          <w:iCs/>
        </w:rPr>
        <w:t xml:space="preserve"> tipo</w:t>
      </w:r>
      <w:r w:rsidRPr="00DC1A5F">
        <w:t xml:space="preserve">, en primer lugar: la sensación improductiva corresponderá a un estado de inquietud, porque será la causa de acciones reprensibles y porque producirá el ardor de la corrupción, por lo que será densa comparada con la sensación productiva. Y debido a que irá acompañada de interés, impulso y resultado, y debido al ardor de las impurezas, y debido a que será reprobable, será densa en comparación con la resultante indeterminada. También porque irá acompañada de resultado, por el ardor de las impurezas, y porque irá acompañada de aflicción y será censurable, será densa comparada con la sensación indeterminada funcional. No obstante, en el sentido opuesto, la sensación productiva y la indeterminada serán sutiles comparadas con la sensación improductiva. También las dos, es decir, la sensación productiva y la improductiva, implicarán interés, conducción y resultado, por lo que serán respectivamente densas comparadas con la dos indeterminadas. Y en el sentido opuesto, las dos indeterminadas serán sutiles en comparación con ellas. Esto, en primer lugar, explica cómo la </w:t>
      </w:r>
      <w:r w:rsidRPr="00DC1A5F">
        <w:rPr>
          <w:color w:val="833C0B" w:themeColor="accent2" w:themeShade="80"/>
        </w:rPr>
        <w:t xml:space="preserve">sensación </w:t>
      </w:r>
      <w:r w:rsidRPr="00DC1A5F">
        <w:t>densa y la sutil deberán entenderse según su especie.</w:t>
      </w:r>
    </w:p>
    <w:p w14:paraId="0507310E" w14:textId="77777777" w:rsidR="00597DE2" w:rsidRPr="00DC1A5F" w:rsidRDefault="00597DE2" w:rsidP="00597DE2">
      <w:pPr>
        <w:rPr>
          <w:u w:val="single"/>
        </w:rPr>
      </w:pPr>
      <w:r w:rsidRPr="00DC1A5F">
        <w:t xml:space="preserve">200. </w:t>
      </w:r>
      <w:r w:rsidRPr="00DC1A5F">
        <w:tab/>
        <w:t xml:space="preserve">(b) </w:t>
      </w:r>
      <w:proofErr w:type="gramStart"/>
      <w:r w:rsidRPr="00DC1A5F">
        <w:rPr>
          <w:i/>
          <w:iCs/>
        </w:rPr>
        <w:t>De acuerdo a</w:t>
      </w:r>
      <w:proofErr w:type="gramEnd"/>
      <w:r w:rsidRPr="00DC1A5F">
        <w:rPr>
          <w:i/>
          <w:iCs/>
        </w:rPr>
        <w:t xml:space="preserve"> su esencia individual</w:t>
      </w:r>
      <w:r w:rsidRPr="00DC1A5F">
        <w:t>: la sensación dolorosa será densa en comparación con las demás porque no tendrá dicha, implicará intervención, causará perturbación, creará ansiedad y será abrumadora. Las otras dos serán sutiles en comparación con la dolorosa porque serán satisfactorias, apacibles y superiores, y respectivamente agradables y neutrales. Tanto la agradable como la desagradable serán densas en comparación con la que no sea ni–agradable–ni–desagradable porque involucrarán intervención, causarán perturbación y serán obvias. Esta última será sutil en la forma antes mencionada en comparación con las dos primeras. Así, la densidad y la sutileza deberán entenderse de acuerdo con su esencia individual.</w:t>
      </w:r>
    </w:p>
    <w:p w14:paraId="7FF1A1F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3DEEC7F" w14:textId="77777777" w:rsidR="00597DE2" w:rsidRPr="00DC1A5F" w:rsidRDefault="00597DE2" w:rsidP="00597DE2">
      <w:pPr>
        <w:pStyle w:val="PiedepginaLegal"/>
        <w:numPr>
          <w:ilvl w:val="0"/>
          <w:numId w:val="3"/>
        </w:numPr>
        <w:tabs>
          <w:tab w:val="clear" w:pos="425"/>
        </w:tabs>
        <w:ind w:left="284"/>
      </w:pPr>
      <w:r w:rsidRPr="00DC1A5F">
        <w:t xml:space="preserve">“La sensación que acompañe a la fe, etc., la cual ocurra en alguien que vea una imagen del </w:t>
      </w:r>
      <w:r w:rsidRPr="00DC1A5F">
        <w:rPr>
          <w:i/>
        </w:rPr>
        <w:t>Buddha</w:t>
      </w:r>
      <w:r w:rsidRPr="00DC1A5F">
        <w:t xml:space="preserve"> o escuche el </w:t>
      </w:r>
      <w:r w:rsidRPr="00DC1A5F">
        <w:rPr>
          <w:i/>
        </w:rPr>
        <w:t>Dhamma</w:t>
      </w:r>
      <w:r w:rsidRPr="00DC1A5F">
        <w:t>, incluso durante todo un día estará ‘presente’” (</w:t>
      </w:r>
      <w:proofErr w:type="spellStart"/>
      <w:r w:rsidRPr="00DC1A5F">
        <w:t>Vismmhṭ</w:t>
      </w:r>
      <w:proofErr w:type="spellEnd"/>
      <w:r w:rsidRPr="00DC1A5F">
        <w:t xml:space="preserve"> 499).</w:t>
      </w:r>
    </w:p>
    <w:p w14:paraId="4A23C2D7" w14:textId="77777777" w:rsidR="00597DE2" w:rsidRPr="00DC1A5F" w:rsidRDefault="00597DE2" w:rsidP="00597DE2">
      <w:pPr>
        <w:tabs>
          <w:tab w:val="clear" w:pos="425"/>
        </w:tabs>
        <w:spacing w:after="160"/>
      </w:pPr>
      <w:r w:rsidRPr="00DC1A5F">
        <w:br w:type="page"/>
      </w:r>
    </w:p>
    <w:p w14:paraId="58F691F0" w14:textId="77777777" w:rsidR="00597DE2" w:rsidRPr="00DC1A5F" w:rsidRDefault="00597DE2" w:rsidP="00597DE2"/>
    <w:p w14:paraId="06498A3E" w14:textId="77777777" w:rsidR="00597DE2" w:rsidRPr="00DC1A5F" w:rsidRDefault="00597DE2" w:rsidP="00597DE2">
      <w:r w:rsidRPr="00DC1A5F">
        <w:t xml:space="preserve">201. </w:t>
      </w:r>
      <w:r w:rsidRPr="00DC1A5F">
        <w:tab/>
        <w:t xml:space="preserve">(c) </w:t>
      </w:r>
      <w:proofErr w:type="gramStart"/>
      <w:r w:rsidRPr="00DC1A5F">
        <w:rPr>
          <w:i/>
          <w:iCs/>
        </w:rPr>
        <w:t>De acuerdo a</w:t>
      </w:r>
      <w:proofErr w:type="gramEnd"/>
      <w:r w:rsidRPr="00DC1A5F">
        <w:rPr>
          <w:i/>
          <w:iCs/>
        </w:rPr>
        <w:t xml:space="preserve"> la persona</w:t>
      </w:r>
      <w:r w:rsidRPr="00DC1A5F">
        <w:t xml:space="preserve">: la sensación en alguien que no posea ninguna absorción será densa en comparación con alguien que sí la posea, ya que habitará distraída por un objeto múltiple. En el sentido opuesto, la otra poseerá una sensación sutil. Así deberá entenderse la densidad y sutileza </w:t>
      </w:r>
      <w:proofErr w:type="gramStart"/>
      <w:r w:rsidRPr="00DC1A5F">
        <w:t>de acuerdo a</w:t>
      </w:r>
      <w:proofErr w:type="gramEnd"/>
      <w:r w:rsidRPr="00DC1A5F">
        <w:t xml:space="preserve"> la persona. [475]</w:t>
      </w:r>
    </w:p>
    <w:p w14:paraId="4E492F22" w14:textId="77777777" w:rsidR="00597DE2" w:rsidRPr="00DC1A5F" w:rsidRDefault="00597DE2" w:rsidP="00597DE2">
      <w:r w:rsidRPr="00DC1A5F">
        <w:t xml:space="preserve">202. </w:t>
      </w:r>
      <w:r w:rsidRPr="00DC1A5F">
        <w:tab/>
        <w:t xml:space="preserve">(d) </w:t>
      </w:r>
      <w:proofErr w:type="gramStart"/>
      <w:r w:rsidRPr="00DC1A5F">
        <w:rPr>
          <w:i/>
          <w:iCs/>
        </w:rPr>
        <w:t>De acuerdo a</w:t>
      </w:r>
      <w:proofErr w:type="gramEnd"/>
      <w:r w:rsidRPr="00DC1A5F">
        <w:rPr>
          <w:i/>
          <w:iCs/>
        </w:rPr>
        <w:t xml:space="preserve"> lo mundano o supramundano</w:t>
      </w:r>
      <w:r w:rsidRPr="00DC1A5F">
        <w:t xml:space="preserve">: las sensaciones sujetas a las corrupciones serán mundanas y serán densas comparadas con las de aquel libre de corrupciones, ya que serán la causa del surgimiento de las corrupciones, sujeta a las inundaciones, a los lazos, a las ataduras, a los obstáculos, sujeta a los apegos, contaminadas y compartidas por los hombres ordinarios. Este último, en el sentido opuesto, será sutil comparada con la sensación sujeta a las corrupciones. Así es cómo la densidad y la sutileza deberán entenderse </w:t>
      </w:r>
      <w:proofErr w:type="gramStart"/>
      <w:r w:rsidRPr="00DC1A5F">
        <w:t>de acuerdo a</w:t>
      </w:r>
      <w:proofErr w:type="gramEnd"/>
      <w:r w:rsidRPr="00DC1A5F">
        <w:t xml:space="preserve"> lo mundano o supramundano.</w:t>
      </w:r>
    </w:p>
    <w:p w14:paraId="68A2178C" w14:textId="77777777" w:rsidR="00597DE2" w:rsidRPr="00DC1A5F" w:rsidRDefault="00597DE2" w:rsidP="00597DE2">
      <w:r w:rsidRPr="00DC1A5F">
        <w:t xml:space="preserve">203. </w:t>
      </w:r>
      <w:r w:rsidRPr="00DC1A5F">
        <w:tab/>
        <w:t xml:space="preserve">Aquí, uno debe tener cuidado de no mezclar las clasificaciones según las clases, etc. Porque aunque la sensación asociada con la consciencia corporal resultante improductiva será sutil según la clase, ya que será indeterminada, será, sin embargo, densa </w:t>
      </w:r>
      <w:proofErr w:type="gramStart"/>
      <w:r w:rsidRPr="00DC1A5F">
        <w:t>de acuerdo a</w:t>
      </w:r>
      <w:proofErr w:type="gramEnd"/>
      <w:r w:rsidRPr="00DC1A5F">
        <w:t xml:space="preserve"> la esencia individual, etc. Y esto se dice: “La sensación indeterminada será sutil, la sensación dolorosa densa. La sensación en alguien con alguna consumación será sutil, la de alguien sin consumación densa. La sensación libre de corrupciones será sutil, la acompañada de corrupciones densa” (</w:t>
      </w:r>
      <w:proofErr w:type="spellStart"/>
      <w:r w:rsidRPr="00DC1A5F">
        <w:t>Vibh</w:t>
      </w:r>
      <w:proofErr w:type="spellEnd"/>
      <w:r w:rsidRPr="00DC1A5F">
        <w:t xml:space="preserve"> 3). Y como la sensación dolorosa, así también será el placer, etc., será densa según la clase y sutil según su esencia individual.</w:t>
      </w:r>
    </w:p>
    <w:p w14:paraId="2D6E3ACA" w14:textId="77777777" w:rsidR="00597DE2" w:rsidRPr="00DC1A5F" w:rsidRDefault="00597DE2" w:rsidP="00597DE2">
      <w:r w:rsidRPr="00DC1A5F">
        <w:t xml:space="preserve">204. </w:t>
      </w:r>
      <w:r w:rsidRPr="00DC1A5F">
        <w:tab/>
        <w:t>Por lo tanto, la densidad y sutileza de la sensación deberán entenderse de tal manera que no se mezclen las clasificaciones según sus clases, etc. Por ejemplo, cuando se dice “La sensación indeterminada según sus clases será sutil comparada con lo productiva e improductiva”, la clase de esencia individual, etc., no se deberá insistir al respecto así: “¿Qué tipo de indeterminada es? ¿Es la desagradable? ¿Es la agradable? ¿Es aquella de alguien con una consumación? ¿Es aquella de alguien sin ninguna consumación? ¿Es aquella sujeta a las corrupciones? ¿Es aquella libre de corrupciones?” y así en cada caso.</w:t>
      </w:r>
    </w:p>
    <w:p w14:paraId="78D2248E" w14:textId="77777777" w:rsidR="00597DE2" w:rsidRPr="00DC1A5F" w:rsidRDefault="00597DE2" w:rsidP="00597DE2">
      <w:r w:rsidRPr="00DC1A5F">
        <w:t xml:space="preserve">205. </w:t>
      </w:r>
      <w:r w:rsidRPr="00DC1A5F">
        <w:tab/>
        <w:t>Además, debido a las palabras “O la sensación deberá considerarse densa o sutil en comparación con esa o aquella sensación” (</w:t>
      </w:r>
      <w:proofErr w:type="spellStart"/>
      <w:r w:rsidRPr="00DC1A5F">
        <w:t>Vibh</w:t>
      </w:r>
      <w:proofErr w:type="spellEnd"/>
      <w:r w:rsidRPr="00DC1A5F">
        <w:t xml:space="preserve"> 4), entre las improductivas, etc., la sensación acompañada de odio también será más densa en comparación con la sensación acompañada de codicia, porque la primera quema su propio soporte, como un fuego; pero esa sensación acompañada de codicia será sutil. Además, la que vaya acompañada de odio será densa cuando el odio sea constante y sutil cuando sea inconstante. Y la constante será densa cuando se dé como resultado de la duración del eón, mientras que la otra será sutil. Y la sensación que dé resultados que duren el eón y sea espontánea será densa, mientras que la otra será sutil. No obstante, la sensación acompañada por la codicia será densa cuando se asocie con una visión incorrecta, mientras que la otra será sutil. Ésa también, cuando sea constante y dé resultados que duren un eón y sea espontánea, será densa, y las demás sutiles. Y sin distinción, la improductiva con muchos resultados será densa, mientras que la que posea pocos resultados será sutil. No obstante, la sensación productiva con pocos resultados será densa, mientras que la de muchos resultados sutil.</w:t>
      </w:r>
    </w:p>
    <w:p w14:paraId="30D15F3C" w14:textId="77777777" w:rsidR="00597DE2" w:rsidRPr="00DC1A5F" w:rsidRDefault="00597DE2" w:rsidP="00597DE2">
      <w:pPr>
        <w:tabs>
          <w:tab w:val="clear" w:pos="425"/>
        </w:tabs>
        <w:spacing w:after="160"/>
      </w:pPr>
      <w:r w:rsidRPr="00DC1A5F">
        <w:br w:type="page"/>
      </w:r>
    </w:p>
    <w:p w14:paraId="6B3F602E" w14:textId="77777777" w:rsidR="00597DE2" w:rsidRPr="00DC1A5F" w:rsidRDefault="00597DE2" w:rsidP="00597DE2">
      <w:r w:rsidRPr="00DC1A5F">
        <w:lastRenderedPageBreak/>
        <w:t xml:space="preserve">206. </w:t>
      </w:r>
      <w:r w:rsidRPr="00DC1A5F">
        <w:tab/>
        <w:t xml:space="preserve">Además, la sensación productiva de la esfera sensorial será densa; la de la esfera material sutil será sutil; junto a la cual, la inmaterial y luego la supramundana deberían compararse de manera similar. La sensación de la esfera sensorial correspondiente a la generosidad será densa, mientras que la de la virtud, sutil; a continuación, corresponderá a la del desarrollo. También, aquella sensación de desarrollo será densa con dos causas–raíz mientras que con tres causas–raíz será sutil. También aquella con tres causas–raíz será densa cuando sea incitada, mientras que será sutil cuando sea espontánea. La sensación de la esfera de la materia sutil será densa en el primer </w:t>
      </w:r>
      <w:proofErr w:type="spellStart"/>
      <w:r w:rsidRPr="00DC1A5F">
        <w:rPr>
          <w:i/>
        </w:rPr>
        <w:t>jhāna</w:t>
      </w:r>
      <w:proofErr w:type="spellEnd"/>
      <w:r w:rsidRPr="00DC1A5F">
        <w:t xml:space="preserve">, mientras que será sutil en el segundo </w:t>
      </w:r>
      <w:proofErr w:type="spellStart"/>
      <w:r w:rsidRPr="00DC1A5F">
        <w:rPr>
          <w:i/>
        </w:rPr>
        <w:t>jhāna</w:t>
      </w:r>
      <w:proofErr w:type="spellEnd"/>
      <w:r w:rsidRPr="00DC1A5F">
        <w:t xml:space="preserve">. Ella también, respecto al segundo </w:t>
      </w:r>
      <w:proofErr w:type="spellStart"/>
      <w:r w:rsidRPr="00DC1A5F">
        <w:rPr>
          <w:i/>
        </w:rPr>
        <w:t>jhāna</w:t>
      </w:r>
      <w:proofErr w:type="spellEnd"/>
      <w:r w:rsidRPr="00DC1A5F">
        <w:t xml:space="preserve"> será densa … mientras que la del quinto </w:t>
      </w:r>
      <w:proofErr w:type="spellStart"/>
      <w:r w:rsidRPr="00DC1A5F">
        <w:rPr>
          <w:i/>
        </w:rPr>
        <w:t>jhāna</w:t>
      </w:r>
      <w:proofErr w:type="spellEnd"/>
      <w:r w:rsidRPr="00DC1A5F">
        <w:t xml:space="preserve"> será sutil. Y la de la esfera inmaterial asociada con la base consistente del espacio infinito será densa... [476] la asociada con la base consistente de la no–percepción–ni–no–percepción será solamente sutil. Y la supramundana asociada con 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será densa... con respecto a la asociada con el sendero del </w:t>
      </w:r>
      <w:r w:rsidRPr="00DC1A5F">
        <w:rPr>
          <w:i/>
        </w:rPr>
        <w:t>Arahant</w:t>
      </w:r>
      <w:r w:rsidRPr="00DC1A5F">
        <w:t xml:space="preserve"> el cual será sólo sutil. El mismo método se aplicará también a la sensación resultante y funcional en los diversos planos y a la sensación establecida </w:t>
      </w:r>
      <w:proofErr w:type="gramStart"/>
      <w:r w:rsidRPr="00DC1A5F">
        <w:t>de acuerdo a</w:t>
      </w:r>
      <w:proofErr w:type="gramEnd"/>
      <w:r w:rsidRPr="00DC1A5F">
        <w:t xml:space="preserve"> la sensación dolorosa, etc., de acuerdo a alguien sin ninguna consumación, etc., y de acuerdo a alguien sujeto a las corrupciones, etc.</w:t>
      </w:r>
    </w:p>
    <w:p w14:paraId="7959A750" w14:textId="77777777" w:rsidR="00597DE2" w:rsidRPr="00DC1A5F" w:rsidRDefault="00597DE2" w:rsidP="00597DE2">
      <w:r w:rsidRPr="00DC1A5F">
        <w:t xml:space="preserve">207. </w:t>
      </w:r>
      <w:r w:rsidRPr="00DC1A5F">
        <w:tab/>
        <w:t xml:space="preserve">Luego, </w:t>
      </w:r>
      <w:proofErr w:type="gramStart"/>
      <w:r w:rsidRPr="00DC1A5F">
        <w:t>de acuerdo a</w:t>
      </w:r>
      <w:proofErr w:type="gramEnd"/>
      <w:r w:rsidRPr="00DC1A5F">
        <w:t xml:space="preserve"> la ubicación, las sensaciones dolorosas en el infierno serán densas, mientras que en la generación animal serán sutiles... mientras que aquella sensación de la esfera de las Deidades </w:t>
      </w:r>
      <w:proofErr w:type="spellStart"/>
      <w:r w:rsidRPr="00DC1A5F">
        <w:rPr>
          <w:i/>
          <w:iCs/>
        </w:rPr>
        <w:t>Paranimmitavasavatti</w:t>
      </w:r>
      <w:proofErr w:type="spellEnd"/>
      <w:r w:rsidRPr="00DC1A5F">
        <w:t xml:space="preserve"> serán sólo sutiles. Y la sensación placentera deberá interpretarse como una sensación dolorosa en su totalidad cuando sea adecuado.</w:t>
      </w:r>
    </w:p>
    <w:p w14:paraId="7F74A9C3" w14:textId="77777777" w:rsidR="00597DE2" w:rsidRPr="00DC1A5F" w:rsidRDefault="00597DE2" w:rsidP="00597DE2">
      <w:r w:rsidRPr="00DC1A5F">
        <w:t xml:space="preserve">208. </w:t>
      </w:r>
      <w:r w:rsidRPr="00DC1A5F">
        <w:tab/>
        <w:t>Y de acuerdo con la base física, cualquier sensación que posea una base física inferior será densa, mientras que una con una base física superior será sutil.</w:t>
      </w:r>
    </w:p>
    <w:p w14:paraId="39A187DD" w14:textId="77777777" w:rsidR="00597DE2" w:rsidRPr="00DC1A5F" w:rsidRDefault="00597DE2" w:rsidP="00597DE2">
      <w:pPr>
        <w:pStyle w:val="NormalConSangria"/>
      </w:pPr>
      <w:r w:rsidRPr="00DC1A5F">
        <w:tab/>
        <w:t>(</w:t>
      </w:r>
      <w:proofErr w:type="spellStart"/>
      <w:r w:rsidRPr="00DC1A5F">
        <w:t>viii</w:t>
      </w:r>
      <w:proofErr w:type="spellEnd"/>
      <w:r w:rsidRPr="00DC1A5F">
        <w:t>)–(</w:t>
      </w:r>
      <w:proofErr w:type="spellStart"/>
      <w:r w:rsidRPr="00DC1A5F">
        <w:t>ix</w:t>
      </w:r>
      <w:proofErr w:type="spellEnd"/>
      <w:r w:rsidRPr="00DC1A5F">
        <w:t>) La sensación que sea densa deberá ser considerada como inferior en la clasificación inferior–superior, y la que sea sutil como superior.</w:t>
      </w:r>
    </w:p>
    <w:p w14:paraId="04E60407" w14:textId="77777777" w:rsidR="00597DE2" w:rsidRPr="00DC1A5F" w:rsidRDefault="00597DE2" w:rsidP="00597DE2">
      <w:r w:rsidRPr="00DC1A5F">
        <w:t xml:space="preserve">209. </w:t>
      </w:r>
      <w:r w:rsidRPr="00DC1A5F">
        <w:tab/>
        <w:t xml:space="preserve">[(x)–(xi) La palabra </w:t>
      </w:r>
      <w:r w:rsidRPr="00DC1A5F">
        <w:rPr>
          <w:i/>
          <w:iCs/>
        </w:rPr>
        <w:t>lejana</w:t>
      </w:r>
      <w:r w:rsidRPr="00DC1A5F">
        <w:t xml:space="preserve"> se explica en el </w:t>
      </w:r>
      <w:proofErr w:type="spellStart"/>
      <w:r w:rsidRPr="00DC1A5F">
        <w:rPr>
          <w:i/>
          <w:iCs/>
        </w:rPr>
        <w:t>Vibhaṅga</w:t>
      </w:r>
      <w:proofErr w:type="spellEnd"/>
      <w:r w:rsidRPr="00DC1A5F">
        <w:t xml:space="preserve"> por medio del pasaje que comienza con “La sensación improductiva estará lejos de la productiva e indeterminada” (</w:t>
      </w:r>
      <w:proofErr w:type="spellStart"/>
      <w:r w:rsidRPr="00DC1A5F">
        <w:t>Vibh</w:t>
      </w:r>
      <w:proofErr w:type="spellEnd"/>
      <w:r w:rsidRPr="00DC1A5F">
        <w:t xml:space="preserve"> 4) y la palabra </w:t>
      </w:r>
      <w:r w:rsidRPr="00DC1A5F">
        <w:rPr>
          <w:i/>
          <w:iCs/>
        </w:rPr>
        <w:t>cerca</w:t>
      </w:r>
      <w:r w:rsidRPr="00DC1A5F">
        <w:t xml:space="preserve"> mediante el pasaje que comienza como “La sensación improductiva será cercana a las sensaciones improductivas” (</w:t>
      </w:r>
      <w:proofErr w:type="spellStart"/>
      <w:r w:rsidRPr="00DC1A5F">
        <w:t>Vibh</w:t>
      </w:r>
      <w:proofErr w:type="spellEnd"/>
      <w:r w:rsidRPr="00DC1A5F">
        <w:t xml:space="preserve"> 4). Por lo tanto, la sensación improductiva será lejana de las productivas e indeterminadas debido a lo disimilar, a la falta de conexión y a la no–semejanza. La sensación productiva y la indeterminada serán igualmente lejanas a las improductivas. Y así en todos los casos. No obstante, la sensación improductiva será cercana de las sensaciones improductivas debido a la similitud y a la semejanza.</w:t>
      </w:r>
    </w:p>
    <w:p w14:paraId="073532C0" w14:textId="77777777" w:rsidR="00597DE2" w:rsidRPr="00DC1A5F" w:rsidRDefault="00597DE2" w:rsidP="00597DE2">
      <w:pPr>
        <w:pStyle w:val="NormalConSangria"/>
      </w:pPr>
      <w:r w:rsidRPr="00DC1A5F">
        <w:t>Ésta es la sección de la explicación detallada que trata sobre las clases referidas a pasada, presente, etc., del agregado de la sensación.</w:t>
      </w:r>
    </w:p>
    <w:p w14:paraId="1EE897B0" w14:textId="77777777" w:rsidR="00597DE2" w:rsidRPr="00DC1A5F" w:rsidRDefault="00597DE2" w:rsidP="00597DE2">
      <w:pPr>
        <w:pStyle w:val="Ttulo5"/>
      </w:pPr>
      <w:r w:rsidRPr="00DC1A5F">
        <w:t>[Percepción, Formación y Consciencia]</w:t>
      </w:r>
    </w:p>
    <w:p w14:paraId="5C100DA8" w14:textId="77777777" w:rsidR="00597DE2" w:rsidRPr="00DC1A5F" w:rsidRDefault="00597DE2" w:rsidP="00597DE2">
      <w:pPr>
        <w:pStyle w:val="Textoindependiente"/>
      </w:pPr>
      <w:r w:rsidRPr="00DC1A5F">
        <w:t xml:space="preserve">210. </w:t>
      </w:r>
      <w:r w:rsidRPr="00DC1A5F">
        <w:tab/>
        <w:t>Esto también deberá entenderse en el caso de la percepción, la formación, etc., asociada con cualquier clase de sensación.</w:t>
      </w:r>
    </w:p>
    <w:p w14:paraId="6EE8D440" w14:textId="77777777" w:rsidR="00597DE2" w:rsidRPr="00DC1A5F" w:rsidRDefault="00597DE2" w:rsidP="00597DE2">
      <w:pPr>
        <w:pStyle w:val="Ttulo3"/>
        <w:ind w:left="708"/>
      </w:pPr>
      <w:r w:rsidRPr="00DC1A5F">
        <w:t>[D. Clasificación del Conocimiento de los Agregados]</w:t>
      </w:r>
    </w:p>
    <w:p w14:paraId="75237C81" w14:textId="77777777" w:rsidR="00597DE2" w:rsidRPr="00DC1A5F" w:rsidRDefault="00597DE2" w:rsidP="00597DE2">
      <w:pPr>
        <w:pStyle w:val="NormalConSangria"/>
      </w:pPr>
      <w:r w:rsidRPr="00DC1A5F">
        <w:t>Habiendo entendido esto, de nuevo con respecto a estos mismos agregados: El conocimiento de los agregados se clasificará en cuando</w:t>
      </w:r>
    </w:p>
    <w:p w14:paraId="6D6C585F" w14:textId="77777777" w:rsidR="00597DE2" w:rsidRPr="00DC1A5F" w:rsidRDefault="00597DE2" w:rsidP="00597DE2">
      <w:pPr>
        <w:pStyle w:val="NumeracinReload"/>
        <w:tabs>
          <w:tab w:val="left" w:pos="1701"/>
        </w:tabs>
        <w:ind w:left="1276"/>
        <w:rPr>
          <w:sz w:val="16"/>
          <w:szCs w:val="20"/>
        </w:rPr>
      </w:pPr>
      <w:r w:rsidRPr="00DC1A5F">
        <w:rPr>
          <w:sz w:val="16"/>
          <w:szCs w:val="20"/>
        </w:rPr>
        <w:tab/>
        <w:t xml:space="preserve">(1), </w:t>
      </w:r>
      <w:r w:rsidRPr="00DC1A5F">
        <w:rPr>
          <w:sz w:val="16"/>
          <w:szCs w:val="20"/>
        </w:rPr>
        <w:tab/>
        <w:t xml:space="preserve">al orden,  </w:t>
      </w:r>
    </w:p>
    <w:p w14:paraId="708729EC" w14:textId="77777777" w:rsidR="00597DE2" w:rsidRPr="00DC1A5F" w:rsidRDefault="00597DE2" w:rsidP="00597DE2">
      <w:pPr>
        <w:pStyle w:val="NumeracinReload"/>
        <w:tabs>
          <w:tab w:val="left" w:pos="1701"/>
        </w:tabs>
        <w:ind w:left="1276"/>
        <w:rPr>
          <w:sz w:val="16"/>
          <w:szCs w:val="20"/>
        </w:rPr>
      </w:pPr>
      <w:r w:rsidRPr="00DC1A5F">
        <w:rPr>
          <w:sz w:val="16"/>
          <w:szCs w:val="20"/>
        </w:rPr>
        <w:tab/>
        <w:t xml:space="preserve">(2). </w:t>
      </w:r>
      <w:r w:rsidRPr="00DC1A5F">
        <w:rPr>
          <w:sz w:val="16"/>
          <w:szCs w:val="20"/>
        </w:rPr>
        <w:tab/>
        <w:t>a la distinción,</w:t>
      </w:r>
      <w:r w:rsidRPr="00DC1A5F">
        <w:rPr>
          <w:sz w:val="16"/>
          <w:szCs w:val="20"/>
        </w:rPr>
        <w:tab/>
      </w:r>
      <w:r w:rsidRPr="00DC1A5F">
        <w:rPr>
          <w:sz w:val="16"/>
          <w:szCs w:val="20"/>
        </w:rPr>
        <w:br w:type="page"/>
      </w:r>
    </w:p>
    <w:p w14:paraId="0C6034DB" w14:textId="77777777" w:rsidR="00597DE2" w:rsidRPr="00DC1A5F" w:rsidRDefault="00597DE2" w:rsidP="00597DE2">
      <w:pPr>
        <w:pStyle w:val="NumeracinReload"/>
        <w:tabs>
          <w:tab w:val="left" w:pos="1701"/>
        </w:tabs>
        <w:ind w:left="1276"/>
        <w:rPr>
          <w:sz w:val="16"/>
          <w:szCs w:val="20"/>
        </w:rPr>
      </w:pPr>
      <w:r w:rsidRPr="00DC1A5F">
        <w:rPr>
          <w:sz w:val="16"/>
          <w:szCs w:val="20"/>
        </w:rPr>
        <w:lastRenderedPageBreak/>
        <w:tab/>
        <w:t xml:space="preserve">(3), </w:t>
      </w:r>
      <w:r w:rsidRPr="00DC1A5F">
        <w:rPr>
          <w:sz w:val="16"/>
          <w:szCs w:val="20"/>
        </w:rPr>
        <w:tab/>
        <w:t>En cuanto a ni menos ni más,</w:t>
      </w:r>
      <w:r w:rsidRPr="00DC1A5F">
        <w:rPr>
          <w:sz w:val="16"/>
          <w:szCs w:val="20"/>
        </w:rPr>
        <w:tab/>
        <w:t xml:space="preserve"> </w:t>
      </w:r>
    </w:p>
    <w:p w14:paraId="61D85B3F" w14:textId="77777777" w:rsidR="00597DE2" w:rsidRPr="00DC1A5F" w:rsidRDefault="00597DE2" w:rsidP="00597DE2">
      <w:pPr>
        <w:pStyle w:val="NumeracinReload"/>
        <w:tabs>
          <w:tab w:val="left" w:pos="1701"/>
        </w:tabs>
        <w:ind w:left="1276"/>
        <w:rPr>
          <w:sz w:val="16"/>
          <w:szCs w:val="20"/>
        </w:rPr>
      </w:pPr>
      <w:r w:rsidRPr="00DC1A5F">
        <w:rPr>
          <w:sz w:val="16"/>
          <w:szCs w:val="20"/>
        </w:rPr>
        <w:tab/>
        <w:t xml:space="preserve">(4), </w:t>
      </w:r>
      <w:r w:rsidRPr="00DC1A5F">
        <w:rPr>
          <w:sz w:val="16"/>
          <w:szCs w:val="20"/>
        </w:rPr>
        <w:tab/>
        <w:t xml:space="preserve">Y del mismo modo en cuanto a la similitud, </w:t>
      </w:r>
    </w:p>
    <w:p w14:paraId="443167BD" w14:textId="77777777" w:rsidR="00597DE2" w:rsidRPr="00DC1A5F" w:rsidRDefault="00597DE2" w:rsidP="00597DE2">
      <w:pPr>
        <w:pStyle w:val="NumeracinReload"/>
        <w:tabs>
          <w:tab w:val="left" w:pos="1701"/>
        </w:tabs>
        <w:ind w:left="1276"/>
        <w:rPr>
          <w:sz w:val="16"/>
          <w:szCs w:val="20"/>
        </w:rPr>
      </w:pPr>
      <w:r w:rsidRPr="00DC1A5F">
        <w:rPr>
          <w:sz w:val="16"/>
          <w:szCs w:val="20"/>
        </w:rPr>
        <w:tab/>
        <w:t xml:space="preserve">(5), </w:t>
      </w:r>
      <w:r w:rsidRPr="00DC1A5F">
        <w:rPr>
          <w:sz w:val="16"/>
          <w:szCs w:val="20"/>
        </w:rPr>
        <w:tab/>
      </w:r>
      <w:bookmarkStart w:id="2" w:name="_Hlk133369129"/>
      <w:r w:rsidRPr="00DC1A5F">
        <w:rPr>
          <w:sz w:val="16"/>
          <w:szCs w:val="20"/>
        </w:rPr>
        <w:t>Y de dos maneras en cuanto a cómo ser apreciado</w:t>
      </w:r>
      <w:bookmarkEnd w:id="2"/>
      <w:r w:rsidRPr="00DC1A5F">
        <w:rPr>
          <w:sz w:val="16"/>
          <w:szCs w:val="20"/>
        </w:rPr>
        <w:t>,</w:t>
      </w:r>
    </w:p>
    <w:p w14:paraId="36658E0F" w14:textId="77777777" w:rsidR="00597DE2" w:rsidRPr="00DC1A5F" w:rsidRDefault="00597DE2" w:rsidP="00597DE2">
      <w:pPr>
        <w:pStyle w:val="NumeracinReload"/>
        <w:tabs>
          <w:tab w:val="left" w:pos="1701"/>
        </w:tabs>
        <w:spacing w:after="100"/>
        <w:ind w:left="1276"/>
        <w:rPr>
          <w:sz w:val="16"/>
          <w:szCs w:val="20"/>
        </w:rPr>
      </w:pPr>
      <w:r w:rsidRPr="00DC1A5F">
        <w:rPr>
          <w:sz w:val="16"/>
          <w:szCs w:val="20"/>
        </w:rPr>
        <w:tab/>
        <w:t xml:space="preserve">(6), </w:t>
      </w:r>
      <w:r w:rsidRPr="00DC1A5F">
        <w:rPr>
          <w:sz w:val="16"/>
          <w:szCs w:val="20"/>
        </w:rPr>
        <w:tab/>
        <w:t>Y en cuanto al bienestar para quien lo vea así —</w:t>
      </w:r>
    </w:p>
    <w:p w14:paraId="7107AB77" w14:textId="77777777" w:rsidR="00597DE2" w:rsidRPr="00DC1A5F" w:rsidRDefault="00597DE2" w:rsidP="00597DE2">
      <w:pPr>
        <w:pStyle w:val="VersoIngls01Sangria"/>
        <w:rPr>
          <w:sz w:val="16"/>
          <w:szCs w:val="20"/>
        </w:rPr>
      </w:pPr>
      <w:r w:rsidRPr="00DC1A5F">
        <w:rPr>
          <w:sz w:val="16"/>
          <w:szCs w:val="20"/>
        </w:rPr>
        <w:t>Ésta será la forma de la exposición.</w:t>
      </w:r>
    </w:p>
    <w:p w14:paraId="4E49E226" w14:textId="77777777" w:rsidR="00597DE2" w:rsidRPr="00DC1A5F" w:rsidRDefault="00597DE2" w:rsidP="00597DE2">
      <w:pPr>
        <w:pStyle w:val="VersoIngls01Sangria"/>
        <w:rPr>
          <w:sz w:val="12"/>
          <w:szCs w:val="16"/>
        </w:rPr>
      </w:pPr>
      <w:r w:rsidRPr="00DC1A5F">
        <w:rPr>
          <w:sz w:val="16"/>
          <w:szCs w:val="20"/>
        </w:rPr>
        <w:t>Que un hombre sabio deberá conocer correctamente.</w:t>
      </w:r>
      <w:r w:rsidRPr="00DC1A5F">
        <w:rPr>
          <w:sz w:val="16"/>
          <w:szCs w:val="20"/>
        </w:rPr>
        <w:br/>
      </w:r>
    </w:p>
    <w:p w14:paraId="0375B7A1" w14:textId="77777777" w:rsidR="00597DE2" w:rsidRPr="00DC1A5F" w:rsidRDefault="00597DE2" w:rsidP="00597DE2">
      <w:r w:rsidRPr="00DC1A5F">
        <w:t xml:space="preserve">211. </w:t>
      </w:r>
      <w:r w:rsidRPr="00DC1A5F">
        <w:tab/>
        <w:t>1. Aquí, en cuanto al orden: el orden corresponderá a varios tipos, es decir, en cuanto al orden de surgimiento, al orden de abandono, al orden de la práctica, al orden de los planos, al orden de enseñanza.</w:t>
      </w:r>
    </w:p>
    <w:p w14:paraId="56125D93" w14:textId="77777777" w:rsidR="00597DE2" w:rsidRPr="00DC1A5F" w:rsidRDefault="00597DE2" w:rsidP="00597DE2">
      <w:pPr>
        <w:pStyle w:val="NormalConSangria"/>
      </w:pPr>
      <w:r w:rsidRPr="00DC1A5F">
        <w:t xml:space="preserve">Aquí, “Primero el feto llega a existir a través de una primera etapa, luego llega a existir el feto a través de una segunda etapa” (S I 206), etc., ése corresponderá el </w:t>
      </w:r>
      <w:r w:rsidRPr="00DC1A5F">
        <w:rPr>
          <w:i/>
          <w:iCs/>
        </w:rPr>
        <w:t>orden de surgimiento</w:t>
      </w:r>
      <w:r w:rsidRPr="00DC1A5F">
        <w:t>. “Cosas a abandonar por la vista, cosas a abandonar por el desarrollo” (</w:t>
      </w:r>
      <w:proofErr w:type="spellStart"/>
      <w:r w:rsidRPr="00DC1A5F">
        <w:t>Dhs</w:t>
      </w:r>
      <w:proofErr w:type="spellEnd"/>
      <w:r w:rsidRPr="00DC1A5F">
        <w:t xml:space="preserve"> 1), etc., ése corresponderá al </w:t>
      </w:r>
      <w:r w:rsidRPr="00DC1A5F">
        <w:rPr>
          <w:i/>
          <w:iCs/>
        </w:rPr>
        <w:t>orden de abandono</w:t>
      </w:r>
      <w:r w:rsidRPr="00DC1A5F">
        <w:t xml:space="preserve">. “Purificación de la virtud [477]… purificación de la consciencia” (M I 148), etc., ése corresponderá al </w:t>
      </w:r>
      <w:r w:rsidRPr="00DC1A5F">
        <w:rPr>
          <w:i/>
          <w:iCs/>
        </w:rPr>
        <w:t>orden de la práctica</w:t>
      </w:r>
      <w:r w:rsidRPr="00DC1A5F">
        <w:t>. “La esfera sensorial, la esfera de la materia sutil” (</w:t>
      </w:r>
      <w:proofErr w:type="spellStart"/>
      <w:r w:rsidRPr="00DC1A5F">
        <w:rPr>
          <w:i/>
          <w:iCs/>
        </w:rPr>
        <w:t>Paṭis</w:t>
      </w:r>
      <w:proofErr w:type="spellEnd"/>
      <w:r w:rsidRPr="00DC1A5F">
        <w:t xml:space="preserve"> I 83), etc., ése corresponderá al orden de los planos. “Los cuatro fundamentos de la atención plena, los cuatro esfuerzos correctos” (D II 120), etc., o “Hablar de generosidad, hablar de la virtud” (M I 379), etc., ése corresponderá al </w:t>
      </w:r>
      <w:r w:rsidRPr="00DC1A5F">
        <w:rPr>
          <w:i/>
          <w:iCs/>
        </w:rPr>
        <w:t>orden de la enseñanza</w:t>
      </w:r>
      <w:r w:rsidRPr="00DC1A5F">
        <w:t>.</w:t>
      </w:r>
    </w:p>
    <w:p w14:paraId="199CB230" w14:textId="77777777" w:rsidR="00597DE2" w:rsidRPr="00DC1A5F" w:rsidRDefault="00597DE2" w:rsidP="00597DE2">
      <w:r w:rsidRPr="00DC1A5F">
        <w:t xml:space="preserve">212. </w:t>
      </w:r>
      <w:r w:rsidRPr="00DC1A5F">
        <w:tab/>
        <w:t xml:space="preserve">De éstos, en primer lugar, el </w:t>
      </w:r>
      <w:r w:rsidRPr="00DC1A5F">
        <w:rPr>
          <w:i/>
          <w:iCs/>
        </w:rPr>
        <w:t>orden de surgimiento</w:t>
      </w:r>
      <w:r w:rsidRPr="00DC1A5F">
        <w:t xml:space="preserve"> no es aplicable aquí porque los agregados no surgen en el orden en que se tratan sucesivamente, como es el caso del “feto en la primera etapa”, etc., tampoco el </w:t>
      </w:r>
      <w:r w:rsidRPr="00DC1A5F">
        <w:rPr>
          <w:i/>
          <w:iCs/>
        </w:rPr>
        <w:t>orden de abandono</w:t>
      </w:r>
      <w:r w:rsidRPr="00DC1A5F">
        <w:t xml:space="preserve"> es aplicable, porque no se abandonan las productivas e indeterminadas; ni el </w:t>
      </w:r>
      <w:r w:rsidRPr="00DC1A5F">
        <w:rPr>
          <w:i/>
          <w:iCs/>
        </w:rPr>
        <w:t>orden de la práctica</w:t>
      </w:r>
      <w:r w:rsidRPr="00DC1A5F">
        <w:t xml:space="preserve">, porque lo que no sea productivo no se habrá de practicar; tampoco se dará el </w:t>
      </w:r>
      <w:r w:rsidRPr="00DC1A5F">
        <w:rPr>
          <w:i/>
          <w:iCs/>
        </w:rPr>
        <w:t>orden de los planos</w:t>
      </w:r>
      <w:r w:rsidRPr="00DC1A5F">
        <w:t>, porque la sensación, etc., estarán incluidas en los cuatro planos.</w:t>
      </w:r>
    </w:p>
    <w:p w14:paraId="2B6C907D" w14:textId="77777777" w:rsidR="00597DE2" w:rsidRPr="00DC1A5F" w:rsidRDefault="00597DE2" w:rsidP="00597DE2">
      <w:pPr>
        <w:rPr>
          <w:vertAlign w:val="superscript"/>
        </w:rPr>
      </w:pPr>
      <w:r w:rsidRPr="00DC1A5F">
        <w:t xml:space="preserve">213. </w:t>
      </w:r>
      <w:r w:rsidRPr="00DC1A5F">
        <w:tab/>
        <w:t xml:space="preserve">Sin embargo, el </w:t>
      </w:r>
      <w:r w:rsidRPr="00DC1A5F">
        <w:rPr>
          <w:i/>
          <w:iCs/>
        </w:rPr>
        <w:t>orden de la enseñanza</w:t>
      </w:r>
      <w:r w:rsidRPr="00DC1A5F">
        <w:t xml:space="preserve"> sí será apropiado aquí; ya que hay personas que, aunque se les pueda enseñar el </w:t>
      </w:r>
      <w:r w:rsidRPr="00DC1A5F">
        <w:rPr>
          <w:i/>
          <w:iCs/>
        </w:rPr>
        <w:t>Dhamma</w:t>
      </w:r>
      <w:r w:rsidRPr="00DC1A5F">
        <w:t xml:space="preserve">, han caído en asumir un </w:t>
      </w:r>
      <w:r w:rsidRPr="00DC1A5F">
        <w:rPr>
          <w:i/>
          <w:iCs/>
        </w:rPr>
        <w:t>alma</w:t>
      </w:r>
      <w:r w:rsidRPr="00DC1A5F">
        <w:t xml:space="preserve"> entre los cinco agregados debido a que no los han analizado; y el </w:t>
      </w:r>
      <w:r w:rsidRPr="00DC1A5F">
        <w:rPr>
          <w:i/>
          <w:iCs/>
        </w:rPr>
        <w:t>Bhagavā</w:t>
      </w:r>
      <w:r w:rsidRPr="00DC1A5F">
        <w:t xml:space="preserve"> estaba deseoso de liberarlos de tal suposición haciéndoles ver cómo se resolvía la aparente compacidad de la masa de los cinco agregados; y estando deseoso por su bienestar, primero, con el propósito de un fácil entendimiento, él les expuso primero el agregado de la materialidad, el cual es denso, siendo campo objetivo del ojo, etc.; y después de ello, la sensación, que siente la materia como deseable e indeseable; luego la percepción, que aprehende los aspectos del campo objetivo de la sensación, pues “Lo que se sienta, se percibirá” (M I 293); luego las formaciones, que se formen volitivamente por medio de la percepción; y, por último, la consciencia, que estas cosas que comienzan con la sensación poseen como soporte y las domina.</w:t>
      </w:r>
      <w:r w:rsidRPr="00DC1A5F">
        <w:rPr>
          <w:vertAlign w:val="superscript"/>
        </w:rPr>
        <w:t>78</w:t>
      </w:r>
    </w:p>
    <w:p w14:paraId="7EEFD5F6" w14:textId="77777777" w:rsidR="00597DE2" w:rsidRPr="00DC1A5F" w:rsidRDefault="00597DE2" w:rsidP="00597DE2">
      <w:pPr>
        <w:pStyle w:val="NormalConSangria"/>
      </w:pPr>
      <w:r w:rsidRPr="00DC1A5F">
        <w:t>Así, en primer lugar, es cómo deberá entenderse la exposición en cuanto al orden.</w:t>
      </w:r>
    </w:p>
    <w:p w14:paraId="51F0344E" w14:textId="77777777" w:rsidR="00597DE2" w:rsidRPr="00DC1A5F" w:rsidRDefault="00597DE2" w:rsidP="00597DE2">
      <w:r w:rsidRPr="00DC1A5F">
        <w:t xml:space="preserve">214. </w:t>
      </w:r>
      <w:r w:rsidRPr="00DC1A5F">
        <w:tab/>
        <w:t xml:space="preserve">2. </w:t>
      </w:r>
      <w:r w:rsidRPr="00DC1A5F">
        <w:rPr>
          <w:i/>
          <w:iCs/>
        </w:rPr>
        <w:t>En cuanto a la distinción</w:t>
      </w:r>
      <w:r w:rsidRPr="00DC1A5F">
        <w:t xml:space="preserve">: en cuanto a la distinción entre el agregado y el agregado como objeto de apego. No obstante, ¿cuál es la distinción entre ellos? En primer lugar, se dice agregados sin distinción. </w:t>
      </w:r>
      <w:r w:rsidRPr="00DC1A5F">
        <w:rPr>
          <w:i/>
          <w:iCs/>
        </w:rPr>
        <w:t>Agregados</w:t>
      </w:r>
      <w:r w:rsidRPr="00DC1A5F">
        <w:t xml:space="preserve"> </w:t>
      </w:r>
      <w:r w:rsidRPr="00DC1A5F">
        <w:rPr>
          <w:i/>
          <w:iCs/>
        </w:rPr>
        <w:t>como objetos</w:t>
      </w:r>
      <w:r w:rsidRPr="00DC1A5F">
        <w:t xml:space="preserve"> </w:t>
      </w:r>
      <w:r w:rsidRPr="00DC1A5F">
        <w:rPr>
          <w:i/>
          <w:iCs/>
        </w:rPr>
        <w:t>de apego</w:t>
      </w:r>
      <w:r w:rsidRPr="00DC1A5F">
        <w:t xml:space="preserve"> se dice distinguiendo aquellos que están sujetos a las corrupciones y que son propensos a apegarse, de acuerdo con el pasaje: “</w:t>
      </w:r>
      <w:proofErr w:type="spellStart"/>
      <w:r w:rsidRPr="00DC1A5F">
        <w:rPr>
          <w:i/>
        </w:rPr>
        <w:t>Bhikkhu</w:t>
      </w:r>
      <w:r w:rsidRPr="00DC1A5F">
        <w:t>s</w:t>
      </w:r>
      <w:proofErr w:type="spellEnd"/>
      <w:r w:rsidRPr="00DC1A5F">
        <w:t xml:space="preserve">, les expondré los cinco agregados y los cinco agregados como objetos del apego. Escuchen... ¿Y cuáles, monjes, son los cinco agregados? Cualquier tipo de materialidad, monjes, ya sea pasada, </w:t>
      </w:r>
    </w:p>
    <w:p w14:paraId="07136A95" w14:textId="77777777" w:rsidR="00597DE2" w:rsidRPr="00DC1A5F" w:rsidRDefault="00597DE2" w:rsidP="00597DE2">
      <w:pPr>
        <w:pStyle w:val="PiedepginaLegal"/>
        <w:rPr>
          <w:sz w:val="8"/>
          <w:szCs w:val="16"/>
          <w:u w:val="single"/>
        </w:rPr>
      </w:pPr>
      <w:r w:rsidRPr="00DC1A5F">
        <w:rPr>
          <w:sz w:val="8"/>
          <w:szCs w:val="16"/>
          <w:u w:val="single"/>
        </w:rPr>
        <w:tab/>
      </w:r>
      <w:r w:rsidRPr="00DC1A5F">
        <w:rPr>
          <w:sz w:val="8"/>
          <w:szCs w:val="16"/>
          <w:u w:val="single"/>
        </w:rPr>
        <w:tab/>
      </w:r>
      <w:r w:rsidRPr="00DC1A5F">
        <w:rPr>
          <w:sz w:val="8"/>
          <w:szCs w:val="16"/>
          <w:u w:val="single"/>
        </w:rPr>
        <w:tab/>
      </w:r>
      <w:r w:rsidRPr="00DC1A5F">
        <w:rPr>
          <w:sz w:val="8"/>
          <w:szCs w:val="16"/>
          <w:u w:val="single"/>
        </w:rPr>
        <w:tab/>
        <w:t>–</w:t>
      </w:r>
    </w:p>
    <w:p w14:paraId="0EEC8C3B" w14:textId="77777777" w:rsidR="00597DE2" w:rsidRPr="00DC1A5F" w:rsidRDefault="00597DE2" w:rsidP="00597DE2">
      <w:pPr>
        <w:pStyle w:val="PiedepginaLegal"/>
        <w:numPr>
          <w:ilvl w:val="0"/>
          <w:numId w:val="3"/>
        </w:numPr>
        <w:tabs>
          <w:tab w:val="clear" w:pos="425"/>
        </w:tabs>
        <w:spacing w:after="160"/>
        <w:ind w:left="284"/>
        <w:rPr>
          <w:color w:val="auto"/>
          <w:u w:color="000000"/>
        </w:rPr>
      </w:pPr>
      <w:r w:rsidRPr="00DC1A5F">
        <w:rPr>
          <w:color w:val="auto"/>
          <w:u w:color="000000"/>
        </w:rPr>
        <w:t xml:space="preserve">“La consciencia dominará </w:t>
      </w:r>
      <w:r w:rsidRPr="00DC1A5F">
        <w:rPr>
          <w:color w:val="833C0B" w:themeColor="accent2" w:themeShade="80"/>
          <w:u w:color="000000"/>
        </w:rPr>
        <w:t>la realidad</w:t>
      </w:r>
      <w:r w:rsidRPr="00DC1A5F">
        <w:rPr>
          <w:color w:val="auto"/>
          <w:u w:color="000000"/>
        </w:rPr>
        <w:t xml:space="preserve"> debido a las palabras, ‘Los </w:t>
      </w:r>
      <w:r w:rsidRPr="00DC1A5F">
        <w:rPr>
          <w:i/>
          <w:color w:val="auto"/>
          <w:u w:color="000000"/>
        </w:rPr>
        <w:t>Dhamma</w:t>
      </w:r>
      <w:r w:rsidRPr="00DC1A5F">
        <w:rPr>
          <w:color w:val="auto"/>
          <w:u w:color="000000"/>
        </w:rPr>
        <w:t>s tienen a la mente como su precursor’ (</w:t>
      </w:r>
      <w:proofErr w:type="spellStart"/>
      <w:r w:rsidRPr="00DC1A5F">
        <w:rPr>
          <w:color w:val="auto"/>
          <w:u w:color="000000"/>
        </w:rPr>
        <w:t>Dhp</w:t>
      </w:r>
      <w:proofErr w:type="spellEnd"/>
      <w:r w:rsidRPr="00DC1A5F">
        <w:rPr>
          <w:color w:val="auto"/>
          <w:u w:color="000000"/>
        </w:rPr>
        <w:t xml:space="preserve"> l), ‘</w:t>
      </w:r>
      <w:r w:rsidRPr="00DC1A5F">
        <w:rPr>
          <w:i/>
          <w:color w:val="auto"/>
          <w:u w:color="000000"/>
        </w:rPr>
        <w:t>Dhamma</w:t>
      </w:r>
      <w:r w:rsidRPr="00DC1A5F">
        <w:rPr>
          <w:color w:val="auto"/>
          <w:u w:color="000000"/>
        </w:rPr>
        <w:t>s (estados) que poseen una rotación paralela con la consciencia’ (</w:t>
      </w:r>
      <w:proofErr w:type="spellStart"/>
      <w:r w:rsidRPr="00DC1A5F">
        <w:rPr>
          <w:color w:val="auto"/>
          <w:u w:color="000000"/>
        </w:rPr>
        <w:t>Dhs</w:t>
      </w:r>
      <w:proofErr w:type="spellEnd"/>
      <w:r w:rsidRPr="00DC1A5F">
        <w:rPr>
          <w:color w:val="auto"/>
          <w:u w:color="000000"/>
        </w:rPr>
        <w:t xml:space="preserve"> §1522), y ‘El Rey, el Señor de las seis puertas (?)’”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503).</w:t>
      </w:r>
      <w:r w:rsidRPr="00DC1A5F">
        <w:rPr>
          <w:color w:val="auto"/>
          <w:u w:color="000000"/>
        </w:rPr>
        <w:br w:type="page"/>
      </w:r>
    </w:p>
    <w:p w14:paraId="23CC6C75" w14:textId="77777777" w:rsidR="00597DE2" w:rsidRPr="00DC1A5F" w:rsidRDefault="00597DE2" w:rsidP="00597DE2">
      <w:r w:rsidRPr="00DC1A5F">
        <w:lastRenderedPageBreak/>
        <w:t xml:space="preserve">futura o presente...lejana o cercana: a esto se le llamará el agregado de materialidad. Cualquier tipo de sensación, ya sea... Cualquier tipo de percepción, ya sea... Cualquier tipo de formación, ya sea... Cualquier tipo de consciencia, ya sea... lejana o cercana: a esto se le llamará el agregado de la consciencia. Éstos, </w:t>
      </w:r>
      <w:proofErr w:type="spellStart"/>
      <w:r w:rsidRPr="00DC1A5F">
        <w:rPr>
          <w:i/>
        </w:rPr>
        <w:t>bhikkhu</w:t>
      </w:r>
      <w:r w:rsidRPr="00DC1A5F">
        <w:t>s</w:t>
      </w:r>
      <w:proofErr w:type="spellEnd"/>
      <w:r w:rsidRPr="00DC1A5F">
        <w:t xml:space="preserve">, son denominados los cinco agregados. ¿Y cuáles son, monjes, los cinco agregados como objetos del apego? Cualquier tipo de materialidad, ya sea... lejana o cercana, que esté sujeta a las corrupciones y sujeta al apego: a esto se le llamará el agregado de la materialidad como objeto del apego. Cualquier tipo de sensación, ya sea... Cualquier tipo de percepción, ya sea... Cualquier tipo de formación, ya sea... Cualquier tipo de consciencia, ya sea... lejana o cercana, que esté sujeta a las corrupciones y sujeta al apego: a éste se le denominará el agregado de la consciencia como objeto del apego. A éstos, </w:t>
      </w:r>
      <w:proofErr w:type="spellStart"/>
      <w:r w:rsidRPr="00DC1A5F">
        <w:rPr>
          <w:i/>
        </w:rPr>
        <w:t>bhikkhu</w:t>
      </w:r>
      <w:r w:rsidRPr="00DC1A5F">
        <w:t>s</w:t>
      </w:r>
      <w:proofErr w:type="spellEnd"/>
      <w:r w:rsidRPr="00DC1A5F">
        <w:t>, se les denominarán los cinco agregados como objetos del apego” (S III 47). [478]</w:t>
      </w:r>
    </w:p>
    <w:p w14:paraId="746980BE" w14:textId="77777777" w:rsidR="00597DE2" w:rsidRPr="00DC1A5F" w:rsidRDefault="00597DE2" w:rsidP="00597DE2">
      <w:r w:rsidRPr="00DC1A5F">
        <w:t xml:space="preserve">215. </w:t>
      </w:r>
      <w:r w:rsidRPr="00DC1A5F">
        <w:tab/>
        <w:t xml:space="preserve">Ahora bien, mientras exista la sensación, etc., </w:t>
      </w:r>
      <w:r w:rsidRPr="00DC1A5F">
        <w:rPr>
          <w:color w:val="1F3864" w:themeColor="accent1" w:themeShade="80"/>
        </w:rPr>
        <w:t xml:space="preserve">ambos libres de corrupciones </w:t>
      </w:r>
      <w:r w:rsidRPr="00DC1A5F">
        <w:t>y sujetos a ellos,</w:t>
      </w:r>
      <w:r w:rsidRPr="00DC1A5F">
        <w:rPr>
          <w:vertAlign w:val="superscript"/>
        </w:rPr>
        <w:t>79</w:t>
      </w:r>
      <w:r w:rsidRPr="00DC1A5F">
        <w:t xml:space="preserve"> no será así con la materialidad. Sin embargo, dado que la materialidad puede describirse como un agregado simple en el sentido de una totalidad, por lo tanto se mencionará entre los agregados simples. Y, dado que puede describirse como un agregado objeto del apego en el sentido de una totalidad y en el sentido de estar sujeto a las corrupciones, esa misma materialidad se mencionará también, por lo tanto, entre los agregados como objetos del apego. No obstante, la sensación, etc., sólo se mencionarán entre los agregados simples cuando estén libres de corrupciones. Cuando estén sujetos a corrupciones, se mencionarán entre los agregados como objetos del apego. Y aquí el significado del término “agregados como objetos del apego” deberá considerarse así: los agregados, que correspondan a los recursos del apego, serán considerados como los agregados del apego. No obstante, aquí todos estos agregados adoptados de forma conjunta se entenderán como agregados.</w:t>
      </w:r>
    </w:p>
    <w:p w14:paraId="0E7CFABA" w14:textId="77777777" w:rsidR="00597DE2" w:rsidRPr="00DC1A5F" w:rsidRDefault="00597DE2" w:rsidP="00597DE2">
      <w:r w:rsidRPr="00DC1A5F">
        <w:t xml:space="preserve">216. </w:t>
      </w:r>
      <w:r w:rsidRPr="00DC1A5F">
        <w:tab/>
        <w:t xml:space="preserve">3. </w:t>
      </w:r>
      <w:r w:rsidRPr="00DC1A5F">
        <w:rPr>
          <w:i/>
          <w:iCs/>
        </w:rPr>
        <w:t>En cuanto a ni menos ni más</w:t>
      </w:r>
      <w:r w:rsidRPr="00DC1A5F">
        <w:t xml:space="preserve">: no obstante, ¿por qué cinco agregados, por qué ni menos ni más son mencionados por el </w:t>
      </w:r>
      <w:r w:rsidRPr="00DC1A5F">
        <w:rPr>
          <w:i/>
          <w:iCs/>
        </w:rPr>
        <w:t>Bhagavā</w:t>
      </w:r>
      <w:r w:rsidRPr="00DC1A5F">
        <w:t xml:space="preserve">? (a) Porque todas las cosas formadas que se parezcan entre sí caerán en estos grupos, (b) porque ése será el límite más amplio como base para la presunción de un alma y para lo que </w:t>
      </w:r>
      <w:r w:rsidRPr="00DC1A5F">
        <w:rPr>
          <w:color w:val="833C0B" w:themeColor="accent2" w:themeShade="80"/>
        </w:rPr>
        <w:t xml:space="preserve">se presuma </w:t>
      </w:r>
      <w:r w:rsidRPr="00DC1A5F">
        <w:t>pertenezca a un alma, y (c) debido a la inclusión</w:t>
      </w:r>
      <w:r w:rsidRPr="00DC1A5F">
        <w:rPr>
          <w:vertAlign w:val="superscript"/>
        </w:rPr>
        <w:t>80</w:t>
      </w:r>
      <w:r w:rsidRPr="00DC1A5F">
        <w:t xml:space="preserve"> por medio de ellos en los otros tipos de agregados.</w:t>
      </w:r>
    </w:p>
    <w:p w14:paraId="6BAB753A" w14:textId="77777777" w:rsidR="00597DE2" w:rsidRPr="00DC1A5F" w:rsidRDefault="00597DE2" w:rsidP="00597DE2">
      <w:r w:rsidRPr="00DC1A5F">
        <w:t xml:space="preserve">217. </w:t>
      </w:r>
      <w:r w:rsidRPr="00DC1A5F">
        <w:tab/>
        <w:t>(a) Cuando las numerosas categorías de estados formados se agrupen según su similitud,</w:t>
      </w:r>
      <w:r w:rsidRPr="00DC1A5F">
        <w:rPr>
          <w:vertAlign w:val="superscript"/>
        </w:rPr>
        <w:t>81</w:t>
      </w:r>
      <w:r w:rsidRPr="00DC1A5F">
        <w:t xml:space="preserve"> la materialidad formará un agregado al agruparse según tal similitud</w:t>
      </w:r>
      <w:r w:rsidRPr="00DC1A5F">
        <w:rPr>
          <w:vertAlign w:val="superscript"/>
        </w:rPr>
        <w:t>81</w:t>
      </w:r>
      <w:r w:rsidRPr="00DC1A5F">
        <w:t xml:space="preserve"> consistente con la materialidad; la sensación formará un agregado al agruparse según la similitud consistente con </w:t>
      </w:r>
    </w:p>
    <w:p w14:paraId="2BBD331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45E17D5" w14:textId="77777777" w:rsidR="00597DE2" w:rsidRPr="00DC1A5F" w:rsidRDefault="00597DE2" w:rsidP="00597DE2">
      <w:pPr>
        <w:pStyle w:val="PiedepginaLegal"/>
        <w:numPr>
          <w:ilvl w:val="0"/>
          <w:numId w:val="3"/>
        </w:numPr>
        <w:tabs>
          <w:tab w:val="clear" w:pos="425"/>
        </w:tabs>
        <w:ind w:left="284"/>
        <w:rPr>
          <w:color w:val="auto"/>
          <w:u w:color="000000"/>
        </w:rPr>
      </w:pPr>
      <w:proofErr w:type="spellStart"/>
      <w:r w:rsidRPr="00DC1A5F">
        <w:rPr>
          <w:i/>
          <w:iCs/>
          <w:color w:val="auto"/>
          <w:u w:color="000000"/>
        </w:rPr>
        <w:t>Sammohavinodanī</w:t>
      </w:r>
      <w:proofErr w:type="spellEnd"/>
      <w:r w:rsidRPr="00DC1A5F">
        <w:rPr>
          <w:color w:val="auto"/>
          <w:u w:color="000000"/>
        </w:rPr>
        <w:t xml:space="preserve"> (Be) (</w:t>
      </w:r>
      <w:r w:rsidRPr="00DC1A5F">
        <w:rPr>
          <w:i/>
          <w:iCs/>
          <w:color w:val="auto"/>
          <w:u w:color="000000"/>
        </w:rPr>
        <w:t>Comentario</w:t>
      </w:r>
      <w:r w:rsidRPr="00DC1A5F">
        <w:rPr>
          <w:color w:val="auto"/>
          <w:u w:color="000000"/>
        </w:rPr>
        <w:t xml:space="preserve"> </w:t>
      </w:r>
      <w:proofErr w:type="spellStart"/>
      <w:r w:rsidRPr="00DC1A5F">
        <w:rPr>
          <w:i/>
          <w:iCs/>
          <w:color w:val="auto"/>
          <w:u w:color="000000"/>
        </w:rPr>
        <w:t>Khandha</w:t>
      </w:r>
      <w:proofErr w:type="spellEnd"/>
      <w:r w:rsidRPr="00DC1A5F">
        <w:rPr>
          <w:i/>
          <w:iCs/>
          <w:color w:val="auto"/>
          <w:u w:color="000000"/>
        </w:rPr>
        <w:t xml:space="preserve"> </w:t>
      </w:r>
      <w:proofErr w:type="spellStart"/>
      <w:r w:rsidRPr="00DC1A5F">
        <w:rPr>
          <w:i/>
          <w:iCs/>
          <w:color w:val="auto"/>
          <w:u w:color="000000"/>
        </w:rPr>
        <w:t>Vibhaṅga</w:t>
      </w:r>
      <w:proofErr w:type="spellEnd"/>
      <w:r w:rsidRPr="00DC1A5F">
        <w:rPr>
          <w:color w:val="auto"/>
          <w:u w:color="000000"/>
        </w:rPr>
        <w:t xml:space="preserve">) en el mismo pasaje, dice </w:t>
      </w:r>
      <w:proofErr w:type="spellStart"/>
      <w:r w:rsidRPr="00DC1A5F">
        <w:rPr>
          <w:i/>
          <w:color w:val="auto"/>
          <w:u w:color="000000"/>
        </w:rPr>
        <w:t>vedanā</w:t>
      </w:r>
      <w:r w:rsidRPr="00DC1A5F">
        <w:rPr>
          <w:color w:val="auto"/>
          <w:u w:color="000000"/>
        </w:rPr>
        <w:t>dayo</w:t>
      </w:r>
      <w:proofErr w:type="spellEnd"/>
      <w:r w:rsidRPr="00DC1A5F">
        <w:rPr>
          <w:color w:val="auto"/>
          <w:u w:color="000000"/>
        </w:rPr>
        <w:t xml:space="preserve"> </w:t>
      </w:r>
      <w:proofErr w:type="spellStart"/>
      <w:r w:rsidRPr="00DC1A5F">
        <w:rPr>
          <w:i/>
          <w:iCs/>
          <w:color w:val="auto"/>
          <w:u w:color="000000"/>
        </w:rPr>
        <w:t>anāsavā</w:t>
      </w:r>
      <w:proofErr w:type="spellEnd"/>
      <w:r w:rsidRPr="00DC1A5F">
        <w:rPr>
          <w:color w:val="auto"/>
          <w:u w:color="000000"/>
        </w:rPr>
        <w:t xml:space="preserve"> </w:t>
      </w:r>
      <w:r w:rsidRPr="00DC1A5F">
        <w:rPr>
          <w:i/>
          <w:iCs/>
          <w:color w:val="auto"/>
          <w:u w:color="000000"/>
        </w:rPr>
        <w:t xml:space="preserve">pi </w:t>
      </w:r>
      <w:proofErr w:type="spellStart"/>
      <w:r w:rsidRPr="00DC1A5F">
        <w:rPr>
          <w:i/>
          <w:iCs/>
          <w:color w:val="auto"/>
          <w:u w:color="000000"/>
        </w:rPr>
        <w:t>sāsavā</w:t>
      </w:r>
      <w:proofErr w:type="spellEnd"/>
      <w:r w:rsidRPr="00DC1A5F">
        <w:rPr>
          <w:i/>
          <w:iCs/>
          <w:color w:val="auto"/>
          <w:u w:color="000000"/>
        </w:rPr>
        <w:t xml:space="preserve"> pi </w:t>
      </w:r>
      <w:proofErr w:type="spellStart"/>
      <w:r w:rsidRPr="00DC1A5F">
        <w:rPr>
          <w:i/>
          <w:iCs/>
          <w:color w:val="auto"/>
          <w:u w:color="000000"/>
        </w:rPr>
        <w:t>atthi</w:t>
      </w:r>
      <w:proofErr w:type="spellEnd"/>
      <w:r w:rsidRPr="00DC1A5F">
        <w:rPr>
          <w:color w:val="auto"/>
          <w:u w:color="000000"/>
        </w:rPr>
        <w:t xml:space="preserve">. </w:t>
      </w:r>
      <w:proofErr w:type="spellStart"/>
      <w:r w:rsidRPr="00DC1A5F">
        <w:rPr>
          <w:color w:val="auto"/>
          <w:u w:color="000000"/>
        </w:rPr>
        <w:t>Ee</w:t>
      </w:r>
      <w:proofErr w:type="spellEnd"/>
      <w:r w:rsidRPr="00DC1A5F">
        <w:rPr>
          <w:color w:val="auto"/>
          <w:u w:color="000000"/>
        </w:rPr>
        <w:t xml:space="preserve"> y </w:t>
      </w:r>
      <w:proofErr w:type="spellStart"/>
      <w:r w:rsidRPr="00DC1A5F">
        <w:rPr>
          <w:color w:val="auto"/>
          <w:u w:color="000000"/>
        </w:rPr>
        <w:t>Ae</w:t>
      </w:r>
      <w:proofErr w:type="spellEnd"/>
      <w:r w:rsidRPr="00DC1A5F">
        <w:rPr>
          <w:color w:val="auto"/>
          <w:u w:color="000000"/>
        </w:rPr>
        <w:t xml:space="preserve"> considera </w:t>
      </w:r>
      <w:proofErr w:type="spellStart"/>
      <w:r w:rsidRPr="00DC1A5F">
        <w:rPr>
          <w:i/>
          <w:color w:val="auto"/>
          <w:u w:color="000000"/>
        </w:rPr>
        <w:t>vedanādayo</w:t>
      </w:r>
      <w:proofErr w:type="spellEnd"/>
      <w:r w:rsidRPr="00DC1A5F">
        <w:rPr>
          <w:i/>
          <w:color w:val="auto"/>
          <w:u w:color="000000"/>
        </w:rPr>
        <w:t xml:space="preserve"> </w:t>
      </w:r>
      <w:proofErr w:type="spellStart"/>
      <w:r w:rsidRPr="00DC1A5F">
        <w:rPr>
          <w:i/>
          <w:color w:val="auto"/>
          <w:u w:color="000000"/>
        </w:rPr>
        <w:t>anāsavā</w:t>
      </w:r>
      <w:proofErr w:type="spellEnd"/>
      <w:r w:rsidRPr="00DC1A5F">
        <w:rPr>
          <w:i/>
          <w:color w:val="auto"/>
          <w:u w:color="000000"/>
        </w:rPr>
        <w:t xml:space="preserve"> pi </w:t>
      </w:r>
      <w:proofErr w:type="spellStart"/>
      <w:r w:rsidRPr="00DC1A5F">
        <w:rPr>
          <w:i/>
          <w:color w:val="auto"/>
          <w:u w:color="000000"/>
        </w:rPr>
        <w:t>atthi</w:t>
      </w:r>
      <w:proofErr w:type="spellEnd"/>
      <w:r w:rsidRPr="00DC1A5F">
        <w:rPr>
          <w:color w:val="auto"/>
          <w:u w:color="000000"/>
        </w:rPr>
        <w:t>.</w:t>
      </w:r>
    </w:p>
    <w:p w14:paraId="78C5005F" w14:textId="77777777" w:rsidR="00597DE2" w:rsidRPr="00DC1A5F" w:rsidRDefault="00597DE2" w:rsidP="00597DE2">
      <w:pPr>
        <w:pStyle w:val="PiedepginaLegal"/>
        <w:numPr>
          <w:ilvl w:val="0"/>
          <w:numId w:val="3"/>
        </w:numPr>
        <w:tabs>
          <w:tab w:val="clear" w:pos="425"/>
        </w:tabs>
        <w:ind w:left="284"/>
        <w:rPr>
          <w:color w:val="auto"/>
          <w:u w:color="000000"/>
        </w:rPr>
      </w:pPr>
      <w:proofErr w:type="spellStart"/>
      <w:r w:rsidRPr="00DC1A5F">
        <w:rPr>
          <w:i/>
          <w:iCs/>
          <w:color w:val="auto"/>
          <w:u w:color="000000"/>
        </w:rPr>
        <w:t>Avarodha</w:t>
      </w:r>
      <w:proofErr w:type="spellEnd"/>
      <w:r w:rsidRPr="00DC1A5F">
        <w:rPr>
          <w:color w:val="auto"/>
          <w:u w:color="000000"/>
        </w:rPr>
        <w:t xml:space="preserve">— “inclusión”: no así en el PED. El término </w:t>
      </w:r>
      <w:proofErr w:type="spellStart"/>
      <w:r w:rsidRPr="00DC1A5F">
        <w:rPr>
          <w:i/>
          <w:iCs/>
          <w:color w:val="auto"/>
          <w:u w:color="000000"/>
        </w:rPr>
        <w:t>etaparama</w:t>
      </w:r>
      <w:proofErr w:type="spellEnd"/>
      <w:r w:rsidRPr="00DC1A5F">
        <w:rPr>
          <w:color w:val="auto"/>
          <w:u w:color="000000"/>
        </w:rPr>
        <w:t xml:space="preserve">— “el límite más extenso” no se menciona en el PED. Véase MI 80, 339; SV 119; M–a III, 281. Cf. también </w:t>
      </w:r>
      <w:proofErr w:type="spellStart"/>
      <w:r w:rsidRPr="00DC1A5F">
        <w:rPr>
          <w:i/>
          <w:iCs/>
          <w:color w:val="auto"/>
          <w:u w:color="000000"/>
        </w:rPr>
        <w:t>etāvaparama</w:t>
      </w:r>
      <w:proofErr w:type="spellEnd"/>
      <w:r w:rsidRPr="00DC1A5F">
        <w:rPr>
          <w:color w:val="auto"/>
          <w:u w:color="000000"/>
        </w:rPr>
        <w:t>, M I 246.</w:t>
      </w:r>
    </w:p>
    <w:p w14:paraId="38AC2CFB" w14:textId="77777777" w:rsidR="00597DE2" w:rsidRPr="00DC1A5F" w:rsidRDefault="00597DE2" w:rsidP="00597DE2">
      <w:pPr>
        <w:pStyle w:val="PiedepginaLegal"/>
        <w:numPr>
          <w:ilvl w:val="0"/>
          <w:numId w:val="3"/>
        </w:numPr>
        <w:tabs>
          <w:tab w:val="clear" w:pos="425"/>
        </w:tabs>
        <w:spacing w:after="160"/>
        <w:ind w:left="284"/>
      </w:pPr>
      <w:r w:rsidRPr="00DC1A5F">
        <w:rPr>
          <w:color w:val="auto"/>
          <w:u w:color="000000"/>
        </w:rPr>
        <w:t xml:space="preserve">“Cuando todos los </w:t>
      </w:r>
      <w:r w:rsidRPr="00DC1A5F">
        <w:rPr>
          <w:i/>
          <w:color w:val="auto"/>
          <w:u w:color="000000"/>
        </w:rPr>
        <w:t>dhamma</w:t>
      </w:r>
      <w:r w:rsidRPr="00DC1A5F">
        <w:rPr>
          <w:color w:val="auto"/>
          <w:u w:color="000000"/>
        </w:rPr>
        <w:t xml:space="preserve">s formados se agrupen </w:t>
      </w:r>
      <w:proofErr w:type="gramStart"/>
      <w:r w:rsidRPr="00DC1A5F">
        <w:rPr>
          <w:color w:val="auto"/>
          <w:u w:color="000000"/>
        </w:rPr>
        <w:t>de acuerdo a</w:t>
      </w:r>
      <w:proofErr w:type="gramEnd"/>
      <w:r w:rsidRPr="00DC1A5F">
        <w:rPr>
          <w:color w:val="auto"/>
          <w:u w:color="000000"/>
        </w:rPr>
        <w:t xml:space="preserve"> una semejanza, se agruparán naturalmente bajo los cinco agregados. Aquí, estos serán los elementos que sean semejantes debido a las semejanzas consistente respectivamente de ‘molestar’, etc., las que deberán entenderse como ‘semejantes.</w:t>
      </w:r>
      <w:r w:rsidRPr="00DC1A5F">
        <w:t xml:space="preserve"> </w:t>
      </w:r>
      <w:r w:rsidRPr="00DC1A5F">
        <w:rPr>
          <w:color w:val="auto"/>
          <w:u w:color="000000"/>
        </w:rPr>
        <w:t>Entre ellos, aquellos que sean fuertes en volición, cuya naturaleza sea acumular con la función de conformar lo formado, se denominarán formaciones agregadas. Y los otros, es decir, el contacto, etc., que carezcan de las características distintivas de ‘ser molestado’, etc., también podrán ser considerados bajo la generalidad de conformar lo formado.</w:t>
      </w:r>
      <w:r w:rsidRPr="00DC1A5F">
        <w:t xml:space="preserve"> </w:t>
      </w:r>
      <w:r w:rsidRPr="00DC1A5F">
        <w:rPr>
          <w:color w:val="auto"/>
          <w:u w:color="000000"/>
        </w:rPr>
        <w:t xml:space="preserve">No obstante, las semejanzas que consistan de hacer contacto no se podrán describir independientemente mediante la palabra ‘agregado’, y es por eso que el Perfecto, que conoce las semejanzas de los </w:t>
      </w:r>
      <w:r w:rsidRPr="00DC1A5F">
        <w:rPr>
          <w:i/>
          <w:color w:val="auto"/>
          <w:u w:color="000000"/>
        </w:rPr>
        <w:t>dhamma</w:t>
      </w:r>
      <w:r w:rsidRPr="00DC1A5F">
        <w:rPr>
          <w:color w:val="auto"/>
          <w:u w:color="000000"/>
        </w:rPr>
        <w:t>s, no ha declarado los agregados del contacto, etc. así</w:t>
      </w:r>
      <w:r w:rsidRPr="00DC1A5F">
        <w:t xml:space="preserve"> </w:t>
      </w:r>
      <w:r w:rsidRPr="00DC1A5F">
        <w:rPr>
          <w:color w:val="833C0B" w:themeColor="accent2" w:themeShade="80"/>
          <w:u w:color="000000"/>
        </w:rPr>
        <w:t>‘</w:t>
      </w:r>
      <w:proofErr w:type="spellStart"/>
      <w:r w:rsidRPr="00DC1A5F">
        <w:rPr>
          <w:i/>
          <w:iCs/>
          <w:color w:val="auto"/>
          <w:u w:color="000000"/>
        </w:rPr>
        <w:t>Bhikkhus</w:t>
      </w:r>
      <w:proofErr w:type="spellEnd"/>
      <w:r w:rsidRPr="00DC1A5F">
        <w:rPr>
          <w:color w:val="auto"/>
          <w:u w:color="000000"/>
        </w:rPr>
        <w:t xml:space="preserve">, sean cuales sean los ascetas o </w:t>
      </w:r>
      <w:r w:rsidRPr="00DC1A5F">
        <w:rPr>
          <w:i/>
          <w:iCs/>
          <w:color w:val="auto"/>
          <w:u w:color="000000"/>
        </w:rPr>
        <w:t>brahmanes</w:t>
      </w:r>
      <w:r w:rsidRPr="00DC1A5F">
        <w:rPr>
          <w:color w:val="auto"/>
          <w:u w:color="000000"/>
        </w:rPr>
        <w:t xml:space="preserve"> que afirmen la eternidad y declaren que el ser y el mundo son eternos, todos lo harán dependiendo y apoyándose sobre estos mismos cinco agregados o sobre uno u otro de ellos’ (cf. S IV 46), </w:t>
      </w:r>
      <w:proofErr w:type="spellStart"/>
      <w:r w:rsidRPr="00DC1A5F">
        <w:rPr>
          <w:color w:val="auto"/>
          <w:u w:color="000000"/>
        </w:rPr>
        <w:t>etc</w:t>
      </w:r>
      <w:proofErr w:type="spellEnd"/>
      <w:r w:rsidRPr="00DC1A5F">
        <w:rPr>
          <w:color w:val="auto"/>
          <w:u w:color="000000"/>
        </w:rPr>
        <w:t>”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503).</w:t>
      </w:r>
      <w:r w:rsidRPr="00DC1A5F">
        <w:br w:type="page"/>
      </w:r>
    </w:p>
    <w:p w14:paraId="40466563" w14:textId="77777777" w:rsidR="00597DE2" w:rsidRPr="00DC1A5F" w:rsidRDefault="00597DE2" w:rsidP="00597DE2">
      <w:r w:rsidRPr="00DC1A5F">
        <w:lastRenderedPageBreak/>
        <w:t>sensaciones; y así con la percepción y los dos agregados restantes. Así se expresarán como cinco agregados ya que las cosas que se formen similarmente se dividirán en grupos.</w:t>
      </w:r>
    </w:p>
    <w:p w14:paraId="67AC5663" w14:textId="77777777" w:rsidR="00597DE2" w:rsidRPr="00DC1A5F" w:rsidRDefault="00597DE2" w:rsidP="00597DE2">
      <w:r w:rsidRPr="00DC1A5F">
        <w:t xml:space="preserve">218. </w:t>
      </w:r>
      <w:r w:rsidRPr="00DC1A5F">
        <w:tab/>
        <w:t xml:space="preserve">(b) Y éste corresponderá al </w:t>
      </w:r>
      <w:r w:rsidRPr="00DC1A5F">
        <w:rPr>
          <w:color w:val="833C0B" w:themeColor="accent2" w:themeShade="80"/>
        </w:rPr>
        <w:t xml:space="preserve">número </w:t>
      </w:r>
      <w:r w:rsidRPr="00DC1A5F">
        <w:t xml:space="preserve">límite extremo como base para la presunción del alma y para lo que corresponda </w:t>
      </w:r>
      <w:r w:rsidRPr="00DC1A5F">
        <w:rPr>
          <w:color w:val="833C0B" w:themeColor="accent2" w:themeShade="80"/>
        </w:rPr>
        <w:t xml:space="preserve">presuntamente </w:t>
      </w:r>
      <w:r w:rsidRPr="00DC1A5F">
        <w:t>al alma, es decir, los cinco agregados comenzando con la materialidad. Ya que esto se dice al respecto: “</w:t>
      </w:r>
      <w:proofErr w:type="spellStart"/>
      <w:r w:rsidRPr="00DC1A5F">
        <w:rPr>
          <w:i/>
        </w:rPr>
        <w:t>Bhikkhu</w:t>
      </w:r>
      <w:r w:rsidRPr="00DC1A5F">
        <w:t>s</w:t>
      </w:r>
      <w:proofErr w:type="spellEnd"/>
      <w:r w:rsidRPr="00DC1A5F">
        <w:t xml:space="preserve">, cuando exista la materia, se manifestará aferrándose a la materia, insistiendo en interpretar a la materia, lo que hará surgir una visión </w:t>
      </w:r>
      <w:r w:rsidRPr="00DC1A5F">
        <w:rPr>
          <w:color w:val="833C0B" w:themeColor="accent2" w:themeShade="80"/>
        </w:rPr>
        <w:t>incorrecta</w:t>
      </w:r>
      <w:r w:rsidRPr="00DC1A5F">
        <w:t xml:space="preserve">, de la siguiente manera: ‘Esto es mío, esto es yo, esto es mi alma’. Cuando exista la sensación... Cuando exista la percepción... Cuando existan las formaciones... Cuando exista la consciencia se manifestará aferrándose a la consciencia, insistiendo en interpretar a la consciencia, lo que hará surgir una visión así: ‘Esto es mío, esto es yo, esto es mi alma’” (S III 181–82). Así que se expresarán como cinco agregados porque este será el límite numérico extremo como base para la presunción del alma y para lo que </w:t>
      </w:r>
      <w:r w:rsidRPr="00DC1A5F">
        <w:rPr>
          <w:color w:val="833C0B" w:themeColor="accent2" w:themeShade="80"/>
        </w:rPr>
        <w:t xml:space="preserve">presuntamente </w:t>
      </w:r>
      <w:r w:rsidRPr="00DC1A5F">
        <w:t>pertenezca al alma.</w:t>
      </w:r>
    </w:p>
    <w:p w14:paraId="597B027C" w14:textId="77777777" w:rsidR="00597DE2" w:rsidRPr="00DC1A5F" w:rsidRDefault="00597DE2" w:rsidP="00597DE2">
      <w:r w:rsidRPr="00DC1A5F">
        <w:t xml:space="preserve">219. </w:t>
      </w:r>
      <w:r w:rsidRPr="00DC1A5F">
        <w:tab/>
        <w:t>(c) Y también, dado que esos otros tipos de agregados expresados ​​como cinco agregados de cosas que comienzan con la virtud</w:t>
      </w:r>
      <w:r w:rsidRPr="00DC1A5F">
        <w:rPr>
          <w:vertAlign w:val="superscript"/>
        </w:rPr>
        <w:t>82</w:t>
      </w:r>
      <w:r w:rsidRPr="00DC1A5F">
        <w:t xml:space="preserve"> están comprendidos dentro del agregado de las formaciones, también estarán incluidos aquí. Por lo tanto, se expresan como cinco porque incluyen a los otros tipos.</w:t>
      </w:r>
    </w:p>
    <w:p w14:paraId="5F1B25D0" w14:textId="77777777" w:rsidR="00597DE2" w:rsidRPr="00DC1A5F" w:rsidRDefault="00597DE2" w:rsidP="00597DE2">
      <w:pPr>
        <w:pStyle w:val="NormalConSangria"/>
      </w:pPr>
      <w:r w:rsidRPr="00DC1A5F">
        <w:t xml:space="preserve">Así debe conocerse la exposición en cuanto a </w:t>
      </w:r>
      <w:r w:rsidRPr="00DC1A5F">
        <w:rPr>
          <w:i/>
          <w:iCs/>
        </w:rPr>
        <w:t>ni a menos ni a más.</w:t>
      </w:r>
    </w:p>
    <w:p w14:paraId="2F868371" w14:textId="77777777" w:rsidR="00597DE2" w:rsidRPr="00DC1A5F" w:rsidRDefault="00597DE2" w:rsidP="00597DE2">
      <w:r w:rsidRPr="00DC1A5F">
        <w:t xml:space="preserve">220. </w:t>
      </w:r>
      <w:r w:rsidRPr="00DC1A5F">
        <w:tab/>
        <w:t xml:space="preserve">4. </w:t>
      </w:r>
      <w:r w:rsidRPr="00DC1A5F">
        <w:rPr>
          <w:i/>
          <w:iCs/>
        </w:rPr>
        <w:t>En cuanto a la similitud</w:t>
      </w:r>
      <w:r w:rsidRPr="00DC1A5F">
        <w:t xml:space="preserve">: el agregado de la materialidad como objeto del apego será como la habitación de un enfermo porque será la morada, la base física, la puerta y el objeto del hombre enfermo, es decir, del agregado de la consciencia como objeto del apego. El agregado de la sensación como objeto del apego será como la enfermedad ya que lo afligirá. El agregado de la percepción como objeto del apego será como la provocación de la enfermedad porque dará lugar a una sensación asociada a la codicia, etc., debida a la percepción de los deseos sensoriales, etc. El agregado de las formaciones como objeto del apego será como recurrir a lo inapropiado porque será la fuente de la sensación, la cual representa a la enfermedad; [479] ya que se dice al respecto: “Sentir como sensación es la formación que ellas conforman” (S III 87), y asimismo: “Debido a que se ha realizado y almacenado un </w:t>
      </w:r>
      <w:proofErr w:type="spellStart"/>
      <w:r w:rsidRPr="00DC1A5F">
        <w:rPr>
          <w:i/>
        </w:rPr>
        <w:t>kamma</w:t>
      </w:r>
      <w:proofErr w:type="spellEnd"/>
      <w:r w:rsidRPr="00DC1A5F">
        <w:t xml:space="preserve"> improductivo, la consciencia corporal resultante ha surgido acompañada de dolor” (DHS §556). El agregado de la consciencia como objeto del apego será como el hombre enfermo porque nunca estará libre de la sensación, que representa a la enfermedad.</w:t>
      </w:r>
    </w:p>
    <w:p w14:paraId="566D4896" w14:textId="77777777" w:rsidR="00597DE2" w:rsidRPr="00DC1A5F" w:rsidRDefault="00597DE2" w:rsidP="00597DE2">
      <w:r w:rsidRPr="00DC1A5F">
        <w:t xml:space="preserve">221. </w:t>
      </w:r>
      <w:r w:rsidRPr="00DC1A5F">
        <w:tab/>
        <w:t>También ellas serán, respectivamente, como la prisión, el castigo, la ofensa, el verdugo y el ofensor. Y serán también como el plato, la comida, la salsa curry [vertida sobre la comida], el servidor y el comensal.</w:t>
      </w:r>
      <w:r w:rsidRPr="00DC1A5F">
        <w:rPr>
          <w:vertAlign w:val="superscript"/>
        </w:rPr>
        <w:t>83</w:t>
      </w:r>
    </w:p>
    <w:p w14:paraId="398687B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91186E4" w14:textId="77777777" w:rsidR="00597DE2" w:rsidRPr="00DC1A5F" w:rsidRDefault="00597DE2" w:rsidP="00597DE2">
      <w:pPr>
        <w:pStyle w:val="PiedepginaLegal"/>
      </w:pPr>
      <w:r w:rsidRPr="00DC1A5F">
        <w:t>…</w:t>
      </w:r>
      <w:r w:rsidRPr="00DC1A5F">
        <w:tab/>
      </w:r>
    </w:p>
    <w:p w14:paraId="3070CBFF"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Los agregados de la virtud, la concentración, la sabiduría penetrativa, la liberación y, finalmente, el conocimiento y la visión de la liberación (S I 99), etc.</w:t>
      </w:r>
    </w:p>
    <w:p w14:paraId="724EB027" w14:textId="77777777" w:rsidR="00597DE2" w:rsidRPr="00DC1A5F" w:rsidRDefault="00597DE2" w:rsidP="00597DE2">
      <w:pPr>
        <w:pStyle w:val="PiedepginaLegal"/>
        <w:numPr>
          <w:ilvl w:val="0"/>
          <w:numId w:val="3"/>
        </w:numPr>
        <w:tabs>
          <w:tab w:val="clear" w:pos="425"/>
        </w:tabs>
        <w:ind w:left="284"/>
        <w:rPr>
          <w:color w:val="auto"/>
          <w:u w:color="000000"/>
        </w:rPr>
      </w:pPr>
      <w:r w:rsidRPr="00DC1A5F">
        <w:rPr>
          <w:color w:val="auto"/>
          <w:u w:color="000000"/>
        </w:rPr>
        <w:t xml:space="preserve">“La materia del cuerpo es como una prisión porque es el lugar del castigo. </w:t>
      </w:r>
      <w:r w:rsidRPr="00DC1A5F">
        <w:rPr>
          <w:i/>
          <w:iCs/>
          <w:color w:val="auto"/>
          <w:u w:color="000000"/>
        </w:rPr>
        <w:t>La percepción es como la ofensa</w:t>
      </w:r>
      <w:r w:rsidRPr="00DC1A5F">
        <w:rPr>
          <w:color w:val="auto"/>
          <w:u w:color="000000"/>
        </w:rPr>
        <w:t xml:space="preserve"> porque debido a la percepción de la belleza, etc., se dará la causa del </w:t>
      </w:r>
      <w:r w:rsidRPr="00DC1A5F">
        <w:rPr>
          <w:i/>
          <w:iCs/>
          <w:color w:val="auto"/>
          <w:u w:color="000000"/>
        </w:rPr>
        <w:t>castigo</w:t>
      </w:r>
      <w:r w:rsidRPr="00DC1A5F">
        <w:rPr>
          <w:color w:val="auto"/>
          <w:u w:color="000000"/>
        </w:rPr>
        <w:t xml:space="preserve">, que se manifestará como </w:t>
      </w:r>
      <w:r w:rsidRPr="00DC1A5F">
        <w:rPr>
          <w:i/>
          <w:iCs/>
          <w:color w:val="auto"/>
          <w:u w:color="000000"/>
        </w:rPr>
        <w:t>sensación</w:t>
      </w:r>
      <w:r w:rsidRPr="00DC1A5F">
        <w:rPr>
          <w:color w:val="auto"/>
          <w:u w:color="000000"/>
        </w:rPr>
        <w:t xml:space="preserve">. El </w:t>
      </w:r>
      <w:r w:rsidRPr="00DC1A5F">
        <w:rPr>
          <w:i/>
          <w:iCs/>
          <w:color w:val="auto"/>
          <w:u w:color="000000"/>
        </w:rPr>
        <w:t>agregado de las formaciones</w:t>
      </w:r>
      <w:r w:rsidRPr="00DC1A5F">
        <w:rPr>
          <w:color w:val="auto"/>
          <w:u w:color="000000"/>
        </w:rPr>
        <w:t xml:space="preserve"> será como el verdugo porque será la causa de la sensación.</w:t>
      </w:r>
      <w:r w:rsidRPr="00DC1A5F">
        <w:t xml:space="preserve"> </w:t>
      </w:r>
      <w:r w:rsidRPr="00DC1A5F">
        <w:rPr>
          <w:color w:val="auto"/>
          <w:u w:color="000000"/>
        </w:rPr>
        <w:t xml:space="preserve">La </w:t>
      </w:r>
      <w:r w:rsidRPr="00DC1A5F">
        <w:rPr>
          <w:i/>
          <w:iCs/>
          <w:color w:val="auto"/>
          <w:u w:color="000000"/>
        </w:rPr>
        <w:t>consciencia</w:t>
      </w:r>
      <w:r w:rsidRPr="00DC1A5F">
        <w:rPr>
          <w:color w:val="auto"/>
          <w:u w:color="000000"/>
        </w:rPr>
        <w:t xml:space="preserve"> será como el </w:t>
      </w:r>
      <w:r w:rsidRPr="00DC1A5F">
        <w:rPr>
          <w:i/>
          <w:iCs/>
          <w:color w:val="auto"/>
          <w:u w:color="000000"/>
        </w:rPr>
        <w:t>ofensor</w:t>
      </w:r>
      <w:r w:rsidRPr="00DC1A5F">
        <w:rPr>
          <w:color w:val="auto"/>
          <w:u w:color="000000"/>
        </w:rPr>
        <w:t xml:space="preserve"> porque estará afligida mediante la sensación. De nuevo, la materia será como un plato porque portará la comida. La </w:t>
      </w:r>
      <w:r w:rsidRPr="00DC1A5F">
        <w:rPr>
          <w:i/>
          <w:iCs/>
          <w:color w:val="auto"/>
          <w:u w:color="000000"/>
        </w:rPr>
        <w:t>percepción</w:t>
      </w:r>
      <w:r w:rsidRPr="00DC1A5F">
        <w:rPr>
          <w:color w:val="auto"/>
          <w:u w:color="000000"/>
        </w:rPr>
        <w:t xml:space="preserve"> será como la </w:t>
      </w:r>
      <w:r w:rsidRPr="00DC1A5F">
        <w:rPr>
          <w:i/>
          <w:iCs/>
          <w:color w:val="auto"/>
          <w:u w:color="000000"/>
        </w:rPr>
        <w:t>salsa curry</w:t>
      </w:r>
      <w:r w:rsidRPr="00DC1A5F">
        <w:rPr>
          <w:color w:val="auto"/>
          <w:u w:color="000000"/>
        </w:rPr>
        <w:t xml:space="preserve"> porque, debido a la percepción de la belleza, </w:t>
      </w:r>
    </w:p>
    <w:p w14:paraId="4FC8C30D" w14:textId="77777777" w:rsidR="00597DE2" w:rsidRPr="00DC1A5F" w:rsidRDefault="00597DE2" w:rsidP="00597DE2">
      <w:pPr>
        <w:pStyle w:val="PiedepginaLegal"/>
      </w:pPr>
      <w:r w:rsidRPr="00DC1A5F">
        <w:tab/>
      </w:r>
      <w:r w:rsidRPr="00DC1A5F">
        <w:tab/>
      </w:r>
    </w:p>
    <w:p w14:paraId="63EF9F5D" w14:textId="77777777" w:rsidR="00597DE2" w:rsidRPr="00DC1A5F" w:rsidRDefault="00597DE2" w:rsidP="00597DE2">
      <w:pPr>
        <w:pStyle w:val="PiedepginaLegal"/>
      </w:pPr>
      <w:r w:rsidRPr="00DC1A5F">
        <w:br w:type="page"/>
      </w:r>
    </w:p>
    <w:p w14:paraId="7AC1A439" w14:textId="77777777" w:rsidR="00597DE2" w:rsidRPr="00DC1A5F" w:rsidRDefault="00597DE2" w:rsidP="00597DE2">
      <w:pPr>
        <w:pStyle w:val="NormalConSangria"/>
      </w:pPr>
      <w:r w:rsidRPr="00DC1A5F">
        <w:lastRenderedPageBreak/>
        <w:t xml:space="preserve">Así deberá darse el conocimiento de la exposición en cuanto a la similitud. </w:t>
      </w:r>
    </w:p>
    <w:p w14:paraId="71C61F0E" w14:textId="77777777" w:rsidR="00597DE2" w:rsidRPr="00DC1A5F" w:rsidRDefault="00597DE2" w:rsidP="00597DE2">
      <w:r w:rsidRPr="00DC1A5F">
        <w:t xml:space="preserve"> 222. </w:t>
      </w:r>
      <w:r w:rsidRPr="00DC1A5F">
        <w:tab/>
      </w:r>
      <w:r w:rsidRPr="00DC1A5F">
        <w:rPr>
          <w:i/>
          <w:iCs/>
        </w:rPr>
        <w:t>5.</w:t>
      </w:r>
      <w:r w:rsidRPr="00DC1A5F">
        <w:t xml:space="preserve"> </w:t>
      </w:r>
      <w:r w:rsidRPr="00DC1A5F">
        <w:rPr>
          <w:i/>
          <w:iCs/>
        </w:rPr>
        <w:t>De</w:t>
      </w:r>
      <w:r w:rsidRPr="00DC1A5F">
        <w:t xml:space="preserve"> d</w:t>
      </w:r>
      <w:r w:rsidRPr="00DC1A5F">
        <w:rPr>
          <w:i/>
          <w:iCs/>
        </w:rPr>
        <w:t>os veces en cuanto a cómo ser apreciado</w:t>
      </w:r>
      <w:r w:rsidRPr="00DC1A5F">
        <w:t>: la exposición deberá darse a conocer de dos maneras en cuanto a cómo ser apreciado, es decir, en resumen y en detalle.</w:t>
      </w:r>
    </w:p>
    <w:p w14:paraId="58A26222" w14:textId="77777777" w:rsidR="00597DE2" w:rsidRPr="00DC1A5F" w:rsidRDefault="00597DE2" w:rsidP="00597DE2">
      <w:r w:rsidRPr="00DC1A5F">
        <w:t xml:space="preserve">223. </w:t>
      </w:r>
      <w:r w:rsidRPr="00DC1A5F">
        <w:tab/>
        <w:t xml:space="preserve">En resumen, es decir, colectivamente, los cinco agregados como objetos del apego deben ser reconocidos como un enemigo con la espada desenvainada (S IV 174) del Símil de la Serpiente, como la carga (S III 25) del </w:t>
      </w:r>
      <w:r w:rsidRPr="00DC1A5F">
        <w:rPr>
          <w:i/>
          <w:iCs/>
        </w:rPr>
        <w:t>Sutta</w:t>
      </w:r>
      <w:r w:rsidRPr="00DC1A5F">
        <w:t xml:space="preserve"> de la Opresión, como el devorador (S III 87f) del Discurso a ser Devorado y como impermanente, doloroso, no–alma, formado y como un asesino, según el </w:t>
      </w:r>
      <w:proofErr w:type="spellStart"/>
      <w:r w:rsidRPr="00DC1A5F">
        <w:rPr>
          <w:i/>
          <w:iCs/>
        </w:rPr>
        <w:t>Yamaka</w:t>
      </w:r>
      <w:proofErr w:type="spellEnd"/>
      <w:r w:rsidRPr="00DC1A5F">
        <w:rPr>
          <w:i/>
          <w:iCs/>
        </w:rPr>
        <w:t xml:space="preserve"> Sutta</w:t>
      </w:r>
      <w:r w:rsidRPr="00DC1A5F">
        <w:t xml:space="preserve"> (S III 112f).</w:t>
      </w:r>
    </w:p>
    <w:p w14:paraId="689B8A8A" w14:textId="77777777" w:rsidR="00597DE2" w:rsidRPr="00DC1A5F" w:rsidRDefault="00597DE2" w:rsidP="00597DE2">
      <w:r w:rsidRPr="00DC1A5F">
        <w:t xml:space="preserve">224. </w:t>
      </w:r>
      <w:r w:rsidRPr="00DC1A5F">
        <w:tab/>
        <w:t>En detalle, es decir, individualmente, la materia debe ser considerada como un grumo de espuma, ya que no resiste el estrujamiento; la sensación como una burbuja en el agua, ya que sólo puede disfrutarse por un instante; la percepción como un espejismo, ya que provoca una ilusión; las formaciones como un tronco de plátano, ya que no posee núcleo; y la consciencia como un truco de prestidigitación ya que hechiza la cognición (S III 140–42).</w:t>
      </w:r>
    </w:p>
    <w:p w14:paraId="321EC852" w14:textId="77777777" w:rsidR="00597DE2" w:rsidRPr="00DC1A5F" w:rsidRDefault="00597DE2" w:rsidP="00597DE2">
      <w:pPr>
        <w:pStyle w:val="NormalConSangria"/>
      </w:pPr>
      <w:r w:rsidRPr="00DC1A5F">
        <w:t>En particular, incluso la materialidad interna y sublime</w:t>
      </w:r>
      <w:r w:rsidRPr="00DC1A5F">
        <w:rPr>
          <w:vertAlign w:val="superscript"/>
        </w:rPr>
        <w:t>84</w:t>
      </w:r>
      <w:r w:rsidRPr="00DC1A5F">
        <w:t xml:space="preserve"> deberá considerarse como repugnante (fea); la sensación deberá considerarse como dolorosa, ya que nunca estará libre de los tres tipos de sufrimiento (ver XVI.34); la percepción y las formaciones como no–alma, ya que son inmanejables; y la consciencia como impermanente ya que posee la naturaleza de surgir y desaparecer.</w:t>
      </w:r>
    </w:p>
    <w:p w14:paraId="61F7B2C0" w14:textId="77777777" w:rsidR="00597DE2" w:rsidRPr="00DC1A5F" w:rsidRDefault="00597DE2" w:rsidP="00597DE2">
      <w:r w:rsidRPr="00DC1A5F">
        <w:t xml:space="preserve">225. </w:t>
      </w:r>
      <w:r w:rsidRPr="00DC1A5F">
        <w:tab/>
      </w:r>
      <w:r w:rsidRPr="00DC1A5F">
        <w:rPr>
          <w:i/>
          <w:iCs/>
        </w:rPr>
        <w:t>6</w:t>
      </w:r>
      <w:r w:rsidRPr="00DC1A5F">
        <w:t xml:space="preserve">. </w:t>
      </w:r>
      <w:r w:rsidRPr="00DC1A5F">
        <w:rPr>
          <w:i/>
          <w:iCs/>
        </w:rPr>
        <w:t>En cuanto a bienestar para quien lo vea así</w:t>
      </w:r>
      <w:r w:rsidRPr="00DC1A5F">
        <w:t xml:space="preserve">: el bienestar llegará a consumarse en quien vea estas cosas de las dos maneras así: en resumen y en detalle. Y la forma de definición deberá ser conocida </w:t>
      </w:r>
      <w:proofErr w:type="gramStart"/>
      <w:r w:rsidRPr="00DC1A5F">
        <w:t>de acuerdo a</w:t>
      </w:r>
      <w:proofErr w:type="gramEnd"/>
      <w:r w:rsidRPr="00DC1A5F">
        <w:t xml:space="preserve"> ello, es decir, en primer lugar, quien observe a los cinco agregados como los objetos del apego bajo la forma de un enemigo con la espada desenvainada, etc., no estará preocupado por los agregados, no obstante, quien vea la materialidad, etc., en detalle, como un grumo de espuma, etc., no será alguien que perciba ningún núcleo en lo carezca de núcleo.</w:t>
      </w:r>
    </w:p>
    <w:p w14:paraId="76915C18" w14:textId="77777777" w:rsidR="00597DE2" w:rsidRPr="00DC1A5F" w:rsidRDefault="00597DE2" w:rsidP="00597DE2">
      <w:r w:rsidRPr="00DC1A5F">
        <w:t xml:space="preserve">226. </w:t>
      </w:r>
      <w:r w:rsidRPr="00DC1A5F">
        <w:tab/>
        <w:t>Y en particular, [480] aquel que observe la materialidad interna como repugnante (fea) entenderá completamente el nutrimento consistente del alimento físico. Abandonará la perversión de percibir la belleza en lo repugnante (feo), cruzará la corriente del deseo sensual, se liberará del vínculo con el deseo sensorial, se librará de la corrupción en cuanto a la corrupción de los deseos sensuales, destruirá el lazo corporal de la codicia. No se apegará con el apego hacia el deseo sensorial.</w:t>
      </w:r>
    </w:p>
    <w:p w14:paraId="4186F796" w14:textId="77777777" w:rsidR="00597DE2" w:rsidRPr="00DC1A5F" w:rsidRDefault="00597DE2" w:rsidP="00597DE2">
      <w:r w:rsidRPr="00DC1A5F">
        <w:t xml:space="preserve">227. </w:t>
      </w:r>
      <w:r w:rsidRPr="00DC1A5F">
        <w:tab/>
        <w:t>Aquel que observe la sensación como dolorosa comprenderá completamente el nutrimento consistente del contacto. Abandonará la perversión de percibir placer en lo doloroso. Cruzará la corriente del devenir. Se liberará del vínculo del devenir. Se librará de la corrupción con respecto a la corrupción del devenir. Romperá el lazo corporal de la mala voluntad. Él no se apegará a través del apego hacia los deseos sensoriales.</w:t>
      </w:r>
    </w:p>
    <w:p w14:paraId="71D4FA80" w14:textId="77777777" w:rsidR="00597DE2" w:rsidRPr="00DC1A5F" w:rsidRDefault="00597DE2" w:rsidP="00597DE2">
      <w:r w:rsidRPr="00DC1A5F">
        <w:t xml:space="preserve">228. </w:t>
      </w:r>
      <w:r w:rsidRPr="00DC1A5F">
        <w:tab/>
        <w:t xml:space="preserve">Aquel que observe la percepción y las formaciones como no–alma comprenderá completamente el nutrimento consistente de la volición mental. Abandonará la perversión de percibir </w:t>
      </w:r>
    </w:p>
    <w:p w14:paraId="129AE58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B635A02" w14:textId="77777777" w:rsidR="00597DE2" w:rsidRPr="00DC1A5F" w:rsidRDefault="00597DE2" w:rsidP="00597DE2">
      <w:pPr>
        <w:pStyle w:val="PiedepginaLegal"/>
        <w:rPr>
          <w:color w:val="auto"/>
          <w:u w:color="000000"/>
        </w:rPr>
      </w:pPr>
      <w:r w:rsidRPr="00DC1A5F">
        <w:t>…</w:t>
      </w:r>
      <w:r w:rsidRPr="00DC1A5F">
        <w:tab/>
        <w:t xml:space="preserve">etc., ocultará al alimento, que se manifestará como sensación. </w:t>
      </w:r>
      <w:r w:rsidRPr="00DC1A5F">
        <w:rPr>
          <w:color w:val="auto"/>
          <w:u w:color="000000"/>
        </w:rPr>
        <w:t xml:space="preserve">El </w:t>
      </w:r>
      <w:r w:rsidRPr="00DC1A5F">
        <w:rPr>
          <w:i/>
          <w:iCs/>
          <w:color w:val="auto"/>
          <w:u w:color="000000"/>
        </w:rPr>
        <w:t>agregado de las formaciones</w:t>
      </w:r>
      <w:r w:rsidRPr="00DC1A5F">
        <w:rPr>
          <w:color w:val="auto"/>
          <w:u w:color="000000"/>
        </w:rPr>
        <w:t xml:space="preserve"> será como el servidor porque será la causa de la sensación; y el servicio estará incluido ya que generalmente se le servirá a quien esté tomando una comida. La </w:t>
      </w:r>
      <w:r w:rsidRPr="00DC1A5F">
        <w:rPr>
          <w:i/>
          <w:iCs/>
          <w:color w:val="auto"/>
          <w:u w:color="000000"/>
        </w:rPr>
        <w:t>consciencia</w:t>
      </w:r>
      <w:r w:rsidRPr="00DC1A5F">
        <w:rPr>
          <w:color w:val="auto"/>
          <w:u w:color="000000"/>
        </w:rPr>
        <w:t xml:space="preserve"> será como el </w:t>
      </w:r>
      <w:proofErr w:type="spellStart"/>
      <w:r w:rsidRPr="00DC1A5F">
        <w:rPr>
          <w:color w:val="auto"/>
          <w:u w:color="000000"/>
        </w:rPr>
        <w:t>comenzal</w:t>
      </w:r>
      <w:proofErr w:type="spellEnd"/>
      <w:r w:rsidRPr="00DC1A5F">
        <w:rPr>
          <w:color w:val="auto"/>
          <w:u w:color="000000"/>
        </w:rPr>
        <w:t xml:space="preserve"> porque será asistido por la sensación”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504). Para </w:t>
      </w:r>
      <w:proofErr w:type="spellStart"/>
      <w:r w:rsidRPr="00DC1A5F">
        <w:rPr>
          <w:i/>
          <w:iCs/>
          <w:color w:val="auto"/>
          <w:u w:color="000000"/>
        </w:rPr>
        <w:t>cāraka</w:t>
      </w:r>
      <w:proofErr w:type="spellEnd"/>
      <w:r w:rsidRPr="00DC1A5F">
        <w:rPr>
          <w:color w:val="auto"/>
          <w:u w:color="000000"/>
        </w:rPr>
        <w:t xml:space="preserve"> (prisión) véase XVI.18. </w:t>
      </w:r>
    </w:p>
    <w:p w14:paraId="0D80D7E5" w14:textId="77777777" w:rsidR="00597DE2" w:rsidRPr="00DC1A5F" w:rsidRDefault="00597DE2" w:rsidP="00597DE2">
      <w:pPr>
        <w:pStyle w:val="PiedepginaLegal"/>
      </w:pPr>
      <w:r w:rsidRPr="00DC1A5F">
        <w:t xml:space="preserve">84. </w:t>
      </w:r>
      <w:r w:rsidRPr="00DC1A5F">
        <w:tab/>
      </w:r>
      <w:r w:rsidRPr="00DC1A5F">
        <w:rPr>
          <w:color w:val="auto"/>
          <w:u w:color="000000"/>
        </w:rPr>
        <w:t xml:space="preserve">Tanto la </w:t>
      </w:r>
      <w:proofErr w:type="spellStart"/>
      <w:r w:rsidRPr="00DC1A5F">
        <w:rPr>
          <w:color w:val="auto"/>
          <w:u w:color="000000"/>
        </w:rPr>
        <w:t>Ee</w:t>
      </w:r>
      <w:proofErr w:type="spellEnd"/>
      <w:r w:rsidRPr="00DC1A5F">
        <w:rPr>
          <w:color w:val="auto"/>
          <w:u w:color="000000"/>
        </w:rPr>
        <w:t xml:space="preserve"> como la </w:t>
      </w:r>
      <w:proofErr w:type="spellStart"/>
      <w:r w:rsidRPr="00DC1A5F">
        <w:rPr>
          <w:color w:val="auto"/>
          <w:u w:color="000000"/>
        </w:rPr>
        <w:t>Ae</w:t>
      </w:r>
      <w:proofErr w:type="spellEnd"/>
      <w:r w:rsidRPr="00DC1A5F">
        <w:rPr>
          <w:color w:val="auto"/>
          <w:u w:color="000000"/>
        </w:rPr>
        <w:t xml:space="preserve"> consideran </w:t>
      </w:r>
      <w:proofErr w:type="spellStart"/>
      <w:r w:rsidRPr="00DC1A5F">
        <w:rPr>
          <w:i/>
          <w:iCs/>
          <w:color w:val="auto"/>
          <w:u w:color="000000"/>
        </w:rPr>
        <w:t>visesato</w:t>
      </w:r>
      <w:proofErr w:type="spellEnd"/>
      <w:r w:rsidRPr="00DC1A5F">
        <w:rPr>
          <w:color w:val="auto"/>
          <w:u w:color="000000"/>
        </w:rPr>
        <w:t xml:space="preserve"> </w:t>
      </w:r>
      <w:r w:rsidRPr="00DC1A5F">
        <w:rPr>
          <w:i/>
          <w:iCs/>
          <w:color w:val="auto"/>
          <w:u w:color="000000"/>
        </w:rPr>
        <w:t>ca</w:t>
      </w:r>
      <w:r w:rsidRPr="00DC1A5F">
        <w:rPr>
          <w:color w:val="auto"/>
          <w:u w:color="000000"/>
        </w:rPr>
        <w:t xml:space="preserve"> </w:t>
      </w:r>
      <w:proofErr w:type="spellStart"/>
      <w:r w:rsidRPr="00DC1A5F">
        <w:rPr>
          <w:i/>
          <w:iCs/>
          <w:color w:val="auto"/>
          <w:u w:color="000000"/>
        </w:rPr>
        <w:t>sūḷāram</w:t>
      </w:r>
      <w:proofErr w:type="spellEnd"/>
      <w:r w:rsidRPr="00DC1A5F">
        <w:rPr>
          <w:i/>
          <w:iCs/>
          <w:color w:val="auto"/>
          <w:u w:color="000000"/>
        </w:rPr>
        <w:t xml:space="preserve"> pi </w:t>
      </w:r>
      <w:proofErr w:type="spellStart"/>
      <w:r w:rsidRPr="00DC1A5F">
        <w:rPr>
          <w:i/>
          <w:iCs/>
          <w:color w:val="auto"/>
          <w:u w:color="000000"/>
        </w:rPr>
        <w:t>ajjhattikaṃ</w:t>
      </w:r>
      <w:proofErr w:type="spellEnd"/>
      <w:r w:rsidRPr="00DC1A5F">
        <w:rPr>
          <w:i/>
          <w:iCs/>
          <w:color w:val="auto"/>
          <w:u w:color="000000"/>
        </w:rPr>
        <w:t xml:space="preserve"> </w:t>
      </w:r>
      <w:proofErr w:type="spellStart"/>
      <w:r w:rsidRPr="00DC1A5F">
        <w:rPr>
          <w:i/>
          <w:iCs/>
          <w:color w:val="auto"/>
          <w:u w:color="000000"/>
        </w:rPr>
        <w:t>rūpaṃ</w:t>
      </w:r>
      <w:proofErr w:type="spellEnd"/>
      <w:r w:rsidRPr="00DC1A5F">
        <w:rPr>
          <w:i/>
          <w:iCs/>
          <w:color w:val="auto"/>
          <w:u w:color="000000"/>
        </w:rPr>
        <w:t>.</w:t>
      </w:r>
      <w:r w:rsidRPr="00DC1A5F">
        <w:rPr>
          <w:color w:val="auto"/>
          <w:u w:color="000000"/>
        </w:rPr>
        <w:t xml:space="preserve"> No obstante, </w:t>
      </w:r>
      <w:proofErr w:type="spellStart"/>
      <w:r w:rsidRPr="00DC1A5F">
        <w:rPr>
          <w:i/>
          <w:iCs/>
          <w:color w:val="auto"/>
          <w:u w:color="000000"/>
        </w:rPr>
        <w:t>Sammohavinodanī</w:t>
      </w:r>
      <w:proofErr w:type="spellEnd"/>
      <w:r w:rsidRPr="00DC1A5F">
        <w:rPr>
          <w:color w:val="auto"/>
          <w:u w:color="000000"/>
        </w:rPr>
        <w:t xml:space="preserve"> (Be) en un pasaje idéntico dice </w:t>
      </w:r>
      <w:proofErr w:type="spellStart"/>
      <w:r w:rsidRPr="00DC1A5F">
        <w:rPr>
          <w:i/>
          <w:iCs/>
          <w:color w:val="auto"/>
          <w:u w:color="000000"/>
        </w:rPr>
        <w:t>visesato</w:t>
      </w:r>
      <w:proofErr w:type="spellEnd"/>
      <w:r w:rsidRPr="00DC1A5F">
        <w:rPr>
          <w:color w:val="auto"/>
          <w:u w:color="000000"/>
        </w:rPr>
        <w:t xml:space="preserve"> </w:t>
      </w:r>
      <w:r w:rsidRPr="00DC1A5F">
        <w:rPr>
          <w:i/>
          <w:iCs/>
          <w:color w:val="auto"/>
          <w:u w:color="000000"/>
        </w:rPr>
        <w:t xml:space="preserve">ca </w:t>
      </w:r>
      <w:proofErr w:type="spellStart"/>
      <w:r w:rsidRPr="00DC1A5F">
        <w:rPr>
          <w:i/>
          <w:iCs/>
          <w:color w:val="auto"/>
          <w:u w:color="000000"/>
        </w:rPr>
        <w:t>subhārammaṇam</w:t>
      </w:r>
      <w:proofErr w:type="spellEnd"/>
      <w:r w:rsidRPr="00DC1A5F">
        <w:rPr>
          <w:i/>
          <w:iCs/>
          <w:color w:val="auto"/>
          <w:u w:color="000000"/>
        </w:rPr>
        <w:t xml:space="preserve"> pi </w:t>
      </w:r>
      <w:proofErr w:type="spellStart"/>
      <w:proofErr w:type="gramStart"/>
      <w:r w:rsidRPr="00DC1A5F">
        <w:rPr>
          <w:i/>
          <w:iCs/>
          <w:color w:val="auto"/>
          <w:u w:color="000000"/>
        </w:rPr>
        <w:t>o¿</w:t>
      </w:r>
      <w:proofErr w:type="gramEnd"/>
      <w:r w:rsidRPr="00DC1A5F">
        <w:rPr>
          <w:i/>
          <w:iCs/>
          <w:color w:val="auto"/>
          <w:u w:color="000000"/>
        </w:rPr>
        <w:t>ārikam</w:t>
      </w:r>
      <w:proofErr w:type="spellEnd"/>
      <w:r w:rsidRPr="00DC1A5F">
        <w:rPr>
          <w:i/>
          <w:iCs/>
          <w:color w:val="auto"/>
          <w:u w:color="000000"/>
        </w:rPr>
        <w:t xml:space="preserve"> pi </w:t>
      </w:r>
      <w:proofErr w:type="spellStart"/>
      <w:r w:rsidRPr="00DC1A5F">
        <w:rPr>
          <w:i/>
          <w:iCs/>
          <w:color w:val="auto"/>
          <w:u w:color="000000"/>
        </w:rPr>
        <w:t>ajjhattika</w:t>
      </w:r>
      <w:proofErr w:type="spellEnd"/>
      <w:r w:rsidRPr="00DC1A5F">
        <w:rPr>
          <w:color w:val="auto"/>
          <w:u w:color="000000"/>
        </w:rPr>
        <w:t>–</w:t>
      </w:r>
      <w:proofErr w:type="spellStart"/>
      <w:r w:rsidRPr="00DC1A5F">
        <w:rPr>
          <w:i/>
          <w:color w:val="auto"/>
          <w:u w:color="000000"/>
        </w:rPr>
        <w:t>rūpa</w:t>
      </w:r>
      <w:r w:rsidRPr="00DC1A5F">
        <w:rPr>
          <w:color w:val="auto"/>
          <w:u w:color="000000"/>
        </w:rPr>
        <w:t>í</w:t>
      </w:r>
      <w:proofErr w:type="spellEnd"/>
      <w:r w:rsidRPr="00DC1A5F">
        <w:rPr>
          <w:color w:val="auto"/>
          <w:u w:color="000000"/>
        </w:rPr>
        <w:t>.</w:t>
      </w:r>
      <w:r w:rsidRPr="00DC1A5F">
        <w:br w:type="page"/>
      </w:r>
    </w:p>
    <w:p w14:paraId="22E72583" w14:textId="77777777" w:rsidR="00597DE2" w:rsidRPr="00DC1A5F" w:rsidRDefault="00597DE2" w:rsidP="00597DE2"/>
    <w:p w14:paraId="1896EAB5" w14:textId="77777777" w:rsidR="00597DE2" w:rsidRPr="00DC1A5F" w:rsidRDefault="00597DE2" w:rsidP="00597DE2">
      <w:r w:rsidRPr="00DC1A5F">
        <w:t>un alma en lo que sea no–alma. Atravesará la corriente de las visiones incorrectas. Se librará del vínculo de las visiones incorrectas. Destruirá el lazo corporal de las interpretaciones (insistencia) de que “Ésta es la verdad”. No se apegará con el apego hacia la teoría del alma.</w:t>
      </w:r>
    </w:p>
    <w:p w14:paraId="70B6EC9B" w14:textId="77777777" w:rsidR="00597DE2" w:rsidRPr="00DC1A5F" w:rsidRDefault="00597DE2" w:rsidP="00597DE2">
      <w:r w:rsidRPr="00DC1A5F">
        <w:t xml:space="preserve">229. </w:t>
      </w:r>
      <w:r w:rsidRPr="00DC1A5F">
        <w:tab/>
        <w:t>Aquel que observe la consciencia como impermanente comprenderá completamente el nutrimento consistente de la consciencia. Abandonará la perversión de percibir la permanencia en lo que sea impermanente. Cruzará la corriente de la ignorancia. Se liberará del vínculo de la ignorancia. Se liberará de la corrupción con respecto a la corrupción de la ignorancia. Romperá el lazo corporal de apegarse a las reglas y a los votos. Él no se apegará al apego de la visión incorrecta.</w:t>
      </w:r>
    </w:p>
    <w:p w14:paraId="349FE1C2" w14:textId="77777777" w:rsidR="00597DE2" w:rsidRPr="00DC1A5F" w:rsidRDefault="00597DE2" w:rsidP="00597DE2">
      <w:pPr>
        <w:pStyle w:val="VersoIngls01Sangria"/>
        <w:tabs>
          <w:tab w:val="clear" w:pos="425"/>
        </w:tabs>
        <w:ind w:left="1701" w:hanging="1701"/>
        <w:rPr>
          <w:sz w:val="16"/>
          <w:szCs w:val="20"/>
        </w:rPr>
      </w:pPr>
      <w:r w:rsidRPr="00DC1A5F">
        <w:t xml:space="preserve">230. </w:t>
      </w:r>
      <w:r w:rsidRPr="00DC1A5F">
        <w:tab/>
      </w:r>
      <w:r w:rsidRPr="00DC1A5F">
        <w:rPr>
          <w:sz w:val="16"/>
          <w:szCs w:val="20"/>
        </w:rPr>
        <w:t>Tales bendiciones habrá</w:t>
      </w:r>
    </w:p>
    <w:p w14:paraId="74A4953B" w14:textId="77777777" w:rsidR="00597DE2" w:rsidRPr="00DC1A5F" w:rsidRDefault="00597DE2" w:rsidP="00597DE2">
      <w:pPr>
        <w:pStyle w:val="VersoIngls01Sangria"/>
        <w:ind w:left="1701"/>
        <w:rPr>
          <w:sz w:val="16"/>
          <w:szCs w:val="20"/>
        </w:rPr>
      </w:pPr>
      <w:r w:rsidRPr="00DC1A5F">
        <w:rPr>
          <w:sz w:val="16"/>
          <w:szCs w:val="20"/>
        </w:rPr>
        <w:t>De apreciarlos como asesinos y de otra manera,</w:t>
      </w:r>
    </w:p>
    <w:p w14:paraId="68FDFCC1" w14:textId="77777777" w:rsidR="00597DE2" w:rsidRPr="00DC1A5F" w:rsidRDefault="00597DE2" w:rsidP="00597DE2">
      <w:pPr>
        <w:pStyle w:val="VersoIngls01Sangria"/>
        <w:ind w:left="1701"/>
        <w:rPr>
          <w:sz w:val="16"/>
          <w:szCs w:val="20"/>
        </w:rPr>
      </w:pPr>
      <w:r w:rsidRPr="00DC1A5F">
        <w:rPr>
          <w:sz w:val="16"/>
          <w:szCs w:val="20"/>
        </w:rPr>
        <w:t>Por lo tanto, el sabio deberá observar</w:t>
      </w:r>
    </w:p>
    <w:p w14:paraId="72D66FEC" w14:textId="77777777" w:rsidR="00597DE2" w:rsidRPr="00DC1A5F" w:rsidRDefault="00597DE2" w:rsidP="00597DE2">
      <w:pPr>
        <w:pStyle w:val="VersoIngls01Sangria"/>
        <w:spacing w:after="100"/>
        <w:ind w:left="1701"/>
        <w:rPr>
          <w:sz w:val="16"/>
          <w:szCs w:val="20"/>
        </w:rPr>
      </w:pPr>
      <w:r w:rsidRPr="00DC1A5F">
        <w:rPr>
          <w:sz w:val="16"/>
          <w:szCs w:val="20"/>
        </w:rPr>
        <w:t>Los agregados como asesinos y demás.</w:t>
      </w:r>
    </w:p>
    <w:p w14:paraId="27909B95" w14:textId="77777777" w:rsidR="00597DE2" w:rsidRPr="00DC1A5F" w:rsidRDefault="00597DE2" w:rsidP="00597DE2">
      <w:pPr>
        <w:ind w:left="709" w:right="1043"/>
      </w:pPr>
      <w:r w:rsidRPr="00DC1A5F">
        <w:t xml:space="preserve">Éste ha sido el capítulo catorce con el nombre de “Descripción de los Agregados” del Tratado sobre el Desarrollo del Entendimiento del </w:t>
      </w:r>
      <w:r w:rsidRPr="00DC1A5F">
        <w:br/>
      </w:r>
      <w:r w:rsidRPr="00DC1A5F">
        <w:rPr>
          <w:i/>
          <w:iCs/>
        </w:rPr>
        <w:t>Sendero de la Purificación</w:t>
      </w:r>
      <w:r w:rsidRPr="00DC1A5F">
        <w:t xml:space="preserve"> compuesto para alegría de buenas personas.</w:t>
      </w:r>
    </w:p>
    <w:p w14:paraId="71AD7DDD" w14:textId="77777777" w:rsidR="00597DE2" w:rsidRPr="00DC1A5F" w:rsidRDefault="00597DE2" w:rsidP="00597DE2"/>
    <w:p w14:paraId="27C28637" w14:textId="77777777" w:rsidR="00597DE2" w:rsidRPr="00DC1A5F" w:rsidRDefault="00597DE2" w:rsidP="00597DE2">
      <w:pPr>
        <w:tabs>
          <w:tab w:val="clear" w:pos="425"/>
        </w:tabs>
        <w:spacing w:after="160"/>
      </w:pPr>
      <w:r w:rsidRPr="00DC1A5F">
        <w:br w:type="page"/>
      </w:r>
    </w:p>
    <w:p w14:paraId="6CA3BA6E" w14:textId="77777777" w:rsidR="00597DE2" w:rsidRPr="00DC1A5F" w:rsidRDefault="00597DE2" w:rsidP="00597DE2"/>
    <w:p w14:paraId="6033EE9E" w14:textId="77777777" w:rsidR="00597DE2" w:rsidRPr="00DC1A5F" w:rsidRDefault="00597DE2" w:rsidP="00597DE2"/>
    <w:p w14:paraId="43560987" w14:textId="77777777" w:rsidR="00597DE2" w:rsidRPr="00DC1A5F" w:rsidRDefault="00597DE2" w:rsidP="00597DE2">
      <w:pPr>
        <w:pStyle w:val="Ttulo2"/>
        <w:jc w:val="center"/>
      </w:pPr>
      <w:bookmarkStart w:id="3" w:name="_Toc142334410"/>
      <w:r w:rsidRPr="00DC1A5F">
        <w:t>Capítulo XV</w:t>
      </w:r>
      <w:r w:rsidRPr="00DC1A5F">
        <w:br/>
        <w:t>Las Bases y los Elementos</w:t>
      </w:r>
      <w:bookmarkEnd w:id="3"/>
    </w:p>
    <w:p w14:paraId="56B8499F" w14:textId="77777777" w:rsidR="00597DE2" w:rsidRPr="00DC1A5F" w:rsidRDefault="00597DE2" w:rsidP="00597DE2"/>
    <w:p w14:paraId="76ED40D6" w14:textId="77777777" w:rsidR="00597DE2" w:rsidRPr="00DC1A5F" w:rsidRDefault="00597DE2" w:rsidP="00597DE2">
      <w:pPr>
        <w:pStyle w:val="Textoindependiente"/>
        <w:jc w:val="center"/>
        <w:rPr>
          <w:b/>
          <w:i/>
          <w:sz w:val="20"/>
          <w:szCs w:val="24"/>
        </w:rPr>
      </w:pPr>
      <w:r w:rsidRPr="00DC1A5F">
        <w:rPr>
          <w:b/>
          <w:i/>
          <w:sz w:val="20"/>
          <w:szCs w:val="24"/>
        </w:rPr>
        <w:t>(</w:t>
      </w:r>
      <w:proofErr w:type="spellStart"/>
      <w:r w:rsidRPr="00DC1A5F">
        <w:rPr>
          <w:b/>
          <w:i/>
          <w:sz w:val="20"/>
          <w:szCs w:val="24"/>
        </w:rPr>
        <w:t>Āyatana</w:t>
      </w:r>
      <w:proofErr w:type="spellEnd"/>
      <w:r w:rsidRPr="00DC1A5F">
        <w:rPr>
          <w:b/>
          <w:i/>
          <w:sz w:val="20"/>
          <w:szCs w:val="24"/>
        </w:rPr>
        <w:t>–</w:t>
      </w:r>
      <w:proofErr w:type="spellStart"/>
      <w:r w:rsidRPr="00DC1A5F">
        <w:rPr>
          <w:b/>
          <w:i/>
          <w:sz w:val="20"/>
          <w:szCs w:val="24"/>
        </w:rPr>
        <w:t>dhātu</w:t>
      </w:r>
      <w:proofErr w:type="spellEnd"/>
      <w:r w:rsidRPr="00DC1A5F">
        <w:rPr>
          <w:b/>
          <w:i/>
          <w:sz w:val="20"/>
          <w:szCs w:val="24"/>
        </w:rPr>
        <w:t>–</w:t>
      </w:r>
      <w:proofErr w:type="spellStart"/>
      <w:r w:rsidRPr="00DC1A5F">
        <w:rPr>
          <w:b/>
          <w:i/>
          <w:sz w:val="20"/>
          <w:szCs w:val="24"/>
        </w:rPr>
        <w:t>niddesa</w:t>
      </w:r>
      <w:proofErr w:type="spellEnd"/>
      <w:r w:rsidRPr="00DC1A5F">
        <w:rPr>
          <w:b/>
          <w:i/>
          <w:sz w:val="20"/>
          <w:szCs w:val="24"/>
        </w:rPr>
        <w:t>)</w:t>
      </w:r>
    </w:p>
    <w:p w14:paraId="06DD370D" w14:textId="77777777" w:rsidR="00597DE2" w:rsidRPr="00DC1A5F" w:rsidRDefault="00597DE2" w:rsidP="00597DE2">
      <w:pPr>
        <w:pStyle w:val="Ttulo3"/>
        <w:ind w:left="708"/>
      </w:pPr>
      <w:r w:rsidRPr="00DC1A5F">
        <w:t>[A. Descripción de las Bases]</w:t>
      </w:r>
    </w:p>
    <w:p w14:paraId="6F959103" w14:textId="77777777" w:rsidR="00597DE2" w:rsidRPr="00DC1A5F" w:rsidRDefault="00597DE2" w:rsidP="00597DE2">
      <w:r w:rsidRPr="00DC1A5F">
        <w:t xml:space="preserve">1. </w:t>
      </w:r>
      <w:r w:rsidRPr="00DC1A5F">
        <w:tab/>
        <w:t>[481] Las “bases” (</w:t>
      </w:r>
      <w:proofErr w:type="gramStart"/>
      <w:r w:rsidRPr="00DC1A5F">
        <w:t>XIV.§</w:t>
      </w:r>
      <w:proofErr w:type="gramEnd"/>
      <w:r w:rsidRPr="00DC1A5F">
        <w:t>32) corresponderán a las doce bases, es decir, a la base visual, la base de los objetos visibles, la base auditiva, la base de los objetos audibles, la base nasal, la base de los objetos olfativos, la base gustativa, la de los objetos gustativos, la base corporal, la base de los objetos táctiles, la base mental y la base de los objetos mentales.</w:t>
      </w:r>
    </w:p>
    <w:p w14:paraId="57E90F22" w14:textId="77777777" w:rsidR="00597DE2" w:rsidRPr="00DC1A5F" w:rsidRDefault="00597DE2" w:rsidP="00597DE2">
      <w:r w:rsidRPr="00DC1A5F">
        <w:t xml:space="preserve">2. </w:t>
      </w:r>
      <w:r w:rsidRPr="00DC1A5F">
        <w:tab/>
        <w:t>Al respecto, se expondrá las bases en cuanto a:</w:t>
      </w:r>
    </w:p>
    <w:p w14:paraId="22F66CAF" w14:textId="77777777" w:rsidR="00597DE2" w:rsidRPr="00DC1A5F" w:rsidRDefault="00597DE2" w:rsidP="00597DE2">
      <w:pPr>
        <w:pStyle w:val="VersoIngls01Sangria"/>
      </w:pPr>
      <w:r w:rsidRPr="00DC1A5F">
        <w:t>(1) El significado, (2) el carácter, (3) la cantidad,</w:t>
      </w:r>
    </w:p>
    <w:p w14:paraId="62B44D8A" w14:textId="77777777" w:rsidR="00597DE2" w:rsidRPr="00DC1A5F" w:rsidRDefault="00597DE2" w:rsidP="00597DE2">
      <w:pPr>
        <w:pStyle w:val="VersoIngls01Sangria"/>
      </w:pPr>
      <w:r w:rsidRPr="00DC1A5F">
        <w:t xml:space="preserve">(4) el orden, y (5) al resumen y al detalle, </w:t>
      </w:r>
    </w:p>
    <w:p w14:paraId="3A0F8A6A" w14:textId="77777777" w:rsidR="00597DE2" w:rsidRPr="00DC1A5F" w:rsidRDefault="00597DE2" w:rsidP="00597DE2">
      <w:pPr>
        <w:pStyle w:val="VersoIngls01Sangria"/>
      </w:pPr>
      <w:r w:rsidRPr="00DC1A5F">
        <w:t>(6) asimismo, a cómo ser apreciados, —</w:t>
      </w:r>
    </w:p>
    <w:p w14:paraId="013DD1D7" w14:textId="77777777" w:rsidR="00597DE2" w:rsidRPr="00DC1A5F" w:rsidRDefault="00597DE2" w:rsidP="00597DE2">
      <w:pPr>
        <w:pStyle w:val="Textoindependienteprimerasangra2"/>
      </w:pPr>
      <w:r w:rsidRPr="00DC1A5F">
        <w:t xml:space="preserve">Es así </w:t>
      </w:r>
      <w:proofErr w:type="spellStart"/>
      <w:r w:rsidRPr="00DC1A5F">
        <w:t>cómo</w:t>
      </w:r>
      <w:proofErr w:type="spellEnd"/>
      <w:r w:rsidRPr="00DC1A5F">
        <w:t xml:space="preserve"> deberá conocerse esta exposición.</w:t>
      </w:r>
    </w:p>
    <w:p w14:paraId="3BA7C39A" w14:textId="77777777" w:rsidR="00597DE2" w:rsidRPr="00DC1A5F" w:rsidRDefault="00597DE2" w:rsidP="00597DE2">
      <w:r w:rsidRPr="00DC1A5F">
        <w:t xml:space="preserve">3. </w:t>
      </w:r>
      <w:r w:rsidRPr="00DC1A5F">
        <w:tab/>
        <w:t xml:space="preserve">1. Aquí, </w:t>
      </w:r>
      <w:r w:rsidRPr="00DC1A5F">
        <w:rPr>
          <w:i/>
          <w:iCs/>
        </w:rPr>
        <w:t>en cuanto al significado</w:t>
      </w:r>
      <w:r w:rsidRPr="00DC1A5F">
        <w:t>, en primer lugar, e individualmente:</w:t>
      </w:r>
    </w:p>
    <w:p w14:paraId="2E07C204" w14:textId="77777777" w:rsidR="00597DE2" w:rsidRPr="00DC1A5F" w:rsidRDefault="00597DE2" w:rsidP="00597DE2">
      <w:pPr>
        <w:pStyle w:val="NormalConSangria"/>
      </w:pPr>
      <w:r w:rsidRPr="00DC1A5F">
        <w:t>Se complace (</w:t>
      </w:r>
      <w:proofErr w:type="spellStart"/>
      <w:r w:rsidRPr="00DC1A5F">
        <w:rPr>
          <w:i/>
          <w:iCs/>
        </w:rPr>
        <w:t>cakkhati</w:t>
      </w:r>
      <w:proofErr w:type="spellEnd"/>
      <w:r w:rsidRPr="00DC1A5F">
        <w:t>), por lo tanto, es un ojo (</w:t>
      </w:r>
      <w:proofErr w:type="spellStart"/>
      <w:r w:rsidRPr="00DC1A5F">
        <w:rPr>
          <w:i/>
          <w:iCs/>
        </w:rPr>
        <w:t>cakkhu</w:t>
      </w:r>
      <w:proofErr w:type="spellEnd"/>
      <w:r w:rsidRPr="00DC1A5F">
        <w:t>); el significado es que se complace con un objeto visible y lo registra.</w:t>
      </w:r>
    </w:p>
    <w:p w14:paraId="7AAAD4F0" w14:textId="77777777" w:rsidR="00597DE2" w:rsidRPr="00DC1A5F" w:rsidRDefault="00597DE2" w:rsidP="00597DE2">
      <w:pPr>
        <w:pStyle w:val="NormalConSangria"/>
      </w:pPr>
      <w:r w:rsidRPr="00DC1A5F">
        <w:t>Lo hace visible (</w:t>
      </w:r>
      <w:proofErr w:type="spellStart"/>
      <w:r w:rsidRPr="00DC1A5F">
        <w:rPr>
          <w:i/>
        </w:rPr>
        <w:t>rūpa</w:t>
      </w:r>
      <w:r w:rsidRPr="00DC1A5F">
        <w:t>yati</w:t>
      </w:r>
      <w:proofErr w:type="spellEnd"/>
      <w:r w:rsidRPr="00DC1A5F">
        <w:t>), por lo tanto, corresponderá a un objeto visible (</w:t>
      </w:r>
      <w:r w:rsidRPr="00DC1A5F">
        <w:rPr>
          <w:i/>
        </w:rPr>
        <w:t>rūpa</w:t>
      </w:r>
      <w:r w:rsidRPr="00DC1A5F">
        <w:t>); el significado es que al someterse a una alteración de su apariencia (color) evidenciará qué estado mantenía en la mente (literalmente, en el corazón).</w:t>
      </w:r>
    </w:p>
    <w:p w14:paraId="06B7F1F4" w14:textId="77777777" w:rsidR="00597DE2" w:rsidRPr="00DC1A5F" w:rsidRDefault="00597DE2" w:rsidP="00597DE2">
      <w:pPr>
        <w:pStyle w:val="VersoIngls01Sangria"/>
        <w:tabs>
          <w:tab w:val="clear" w:pos="425"/>
          <w:tab w:val="left" w:pos="426"/>
        </w:tabs>
        <w:ind w:left="426" w:right="1184" w:hanging="142"/>
      </w:pPr>
      <w:r w:rsidRPr="00DC1A5F">
        <w:t>Oye (</w:t>
      </w:r>
      <w:proofErr w:type="spellStart"/>
      <w:r w:rsidRPr="00DC1A5F">
        <w:rPr>
          <w:i/>
          <w:iCs/>
        </w:rPr>
        <w:t>suṇāti</w:t>
      </w:r>
      <w:proofErr w:type="spellEnd"/>
      <w:r w:rsidRPr="00DC1A5F">
        <w:t>), por lo tanto, es un oído (</w:t>
      </w:r>
      <w:r w:rsidRPr="00DC1A5F">
        <w:rPr>
          <w:i/>
          <w:iCs/>
        </w:rPr>
        <w:t>sota</w:t>
      </w:r>
      <w:r w:rsidRPr="00DC1A5F">
        <w:t>).</w:t>
      </w:r>
    </w:p>
    <w:p w14:paraId="59C9CD5E" w14:textId="77777777" w:rsidR="00597DE2" w:rsidRPr="00DC1A5F" w:rsidRDefault="00597DE2" w:rsidP="00597DE2">
      <w:pPr>
        <w:pStyle w:val="VersoIngls01Sangria"/>
        <w:tabs>
          <w:tab w:val="clear" w:pos="425"/>
          <w:tab w:val="left" w:pos="426"/>
        </w:tabs>
        <w:ind w:left="426" w:right="1184" w:hanging="142"/>
      </w:pPr>
      <w:r w:rsidRPr="00DC1A5F">
        <w:t>Se emite (</w:t>
      </w:r>
      <w:proofErr w:type="spellStart"/>
      <w:r w:rsidRPr="00DC1A5F">
        <w:rPr>
          <w:i/>
          <w:iCs/>
        </w:rPr>
        <w:t>sappati</w:t>
      </w:r>
      <w:proofErr w:type="spellEnd"/>
      <w:r w:rsidRPr="00DC1A5F">
        <w:t>), por lo tanto, corresponderá a un sonido (</w:t>
      </w:r>
      <w:proofErr w:type="spellStart"/>
      <w:r w:rsidRPr="00DC1A5F">
        <w:rPr>
          <w:i/>
          <w:iCs/>
        </w:rPr>
        <w:t>sadda</w:t>
      </w:r>
      <w:proofErr w:type="spellEnd"/>
      <w:r w:rsidRPr="00DC1A5F">
        <w:t>); el significado es que se expresará.</w:t>
      </w:r>
    </w:p>
    <w:p w14:paraId="2DD8840A" w14:textId="77777777" w:rsidR="00597DE2" w:rsidRPr="00DC1A5F" w:rsidRDefault="00597DE2" w:rsidP="00597DE2">
      <w:pPr>
        <w:pStyle w:val="VersoIngls01Sangria"/>
        <w:tabs>
          <w:tab w:val="clear" w:pos="425"/>
          <w:tab w:val="left" w:pos="426"/>
        </w:tabs>
        <w:ind w:left="426" w:right="1184" w:hanging="142"/>
      </w:pPr>
      <w:r w:rsidRPr="00DC1A5F">
        <w:t>Huele (</w:t>
      </w:r>
      <w:proofErr w:type="spellStart"/>
      <w:r w:rsidRPr="00DC1A5F">
        <w:rPr>
          <w:i/>
          <w:iCs/>
        </w:rPr>
        <w:t>ghāyati</w:t>
      </w:r>
      <w:proofErr w:type="spellEnd"/>
      <w:r w:rsidRPr="00DC1A5F">
        <w:t>), por lo tanto, es una nariz (</w:t>
      </w:r>
      <w:proofErr w:type="spellStart"/>
      <w:r w:rsidRPr="00DC1A5F">
        <w:rPr>
          <w:i/>
          <w:iCs/>
        </w:rPr>
        <w:t>ghāna</w:t>
      </w:r>
      <w:proofErr w:type="spellEnd"/>
      <w:r w:rsidRPr="00DC1A5F">
        <w:t>).</w:t>
      </w:r>
    </w:p>
    <w:p w14:paraId="664E34E5" w14:textId="77777777" w:rsidR="00597DE2" w:rsidRPr="00DC1A5F" w:rsidRDefault="00597DE2" w:rsidP="00597DE2">
      <w:pPr>
        <w:pStyle w:val="VersoIngls01Sangria"/>
        <w:tabs>
          <w:tab w:val="clear" w:pos="425"/>
          <w:tab w:val="left" w:pos="426"/>
        </w:tabs>
        <w:ind w:left="426" w:right="1184" w:hanging="142"/>
      </w:pPr>
      <w:r w:rsidRPr="00DC1A5F">
        <w:t>Es olido (</w:t>
      </w:r>
      <w:proofErr w:type="spellStart"/>
      <w:r w:rsidRPr="00DC1A5F">
        <w:rPr>
          <w:i/>
          <w:iCs/>
        </w:rPr>
        <w:t>gandhayati</w:t>
      </w:r>
      <w:proofErr w:type="spellEnd"/>
      <w:r w:rsidRPr="00DC1A5F">
        <w:t>), por lo tanto, corresponderá a un olor (</w:t>
      </w:r>
      <w:proofErr w:type="spellStart"/>
      <w:r w:rsidRPr="00DC1A5F">
        <w:rPr>
          <w:i/>
          <w:iCs/>
        </w:rPr>
        <w:t>gandha</w:t>
      </w:r>
      <w:proofErr w:type="spellEnd"/>
      <w:r w:rsidRPr="00DC1A5F">
        <w:t>); El significado es que traicionará su propia base física.</w:t>
      </w:r>
    </w:p>
    <w:p w14:paraId="6150170C" w14:textId="77777777" w:rsidR="00597DE2" w:rsidRPr="00DC1A5F" w:rsidRDefault="00597DE2" w:rsidP="00597DE2">
      <w:pPr>
        <w:pStyle w:val="VersoIngls01Sangria"/>
        <w:tabs>
          <w:tab w:val="clear" w:pos="425"/>
          <w:tab w:val="left" w:pos="426"/>
        </w:tabs>
        <w:ind w:left="426" w:right="1184" w:hanging="142"/>
      </w:pPr>
      <w:r w:rsidRPr="00DC1A5F">
        <w:t>Evoca (</w:t>
      </w:r>
      <w:proofErr w:type="spellStart"/>
      <w:r w:rsidRPr="00DC1A5F">
        <w:rPr>
          <w:i/>
          <w:iCs/>
        </w:rPr>
        <w:t>avhayati</w:t>
      </w:r>
      <w:proofErr w:type="spellEnd"/>
      <w:r w:rsidRPr="00DC1A5F">
        <w:t>) la vida (</w:t>
      </w:r>
      <w:proofErr w:type="spellStart"/>
      <w:r w:rsidRPr="00DC1A5F">
        <w:rPr>
          <w:i/>
          <w:iCs/>
        </w:rPr>
        <w:t>jīvita</w:t>
      </w:r>
      <w:proofErr w:type="spellEnd"/>
      <w:r w:rsidRPr="00DC1A5F">
        <w:t>), por lo tanto, es una lengua (</w:t>
      </w:r>
      <w:proofErr w:type="spellStart"/>
      <w:r w:rsidRPr="00DC1A5F">
        <w:rPr>
          <w:i/>
          <w:iCs/>
        </w:rPr>
        <w:t>jivhā</w:t>
      </w:r>
      <w:proofErr w:type="spellEnd"/>
      <w:r w:rsidRPr="00DC1A5F">
        <w:t>).</w:t>
      </w:r>
    </w:p>
    <w:p w14:paraId="589109BD" w14:textId="77777777" w:rsidR="00597DE2" w:rsidRPr="00DC1A5F" w:rsidRDefault="00597DE2" w:rsidP="00597DE2">
      <w:pPr>
        <w:pStyle w:val="VersoIngls01Sangria"/>
        <w:tabs>
          <w:tab w:val="clear" w:pos="425"/>
          <w:tab w:val="left" w:pos="426"/>
        </w:tabs>
        <w:ind w:left="426" w:right="1184" w:hanging="142"/>
      </w:pPr>
      <w:r w:rsidRPr="00DC1A5F">
        <w:t>Los seres vivos lo saborean (</w:t>
      </w:r>
      <w:proofErr w:type="spellStart"/>
      <w:r w:rsidRPr="00DC1A5F">
        <w:rPr>
          <w:i/>
          <w:iCs/>
        </w:rPr>
        <w:t>rasanti</w:t>
      </w:r>
      <w:proofErr w:type="spellEnd"/>
      <w:r w:rsidRPr="00DC1A5F">
        <w:t>), por lo tanto, corresponderá a un sabor (</w:t>
      </w:r>
      <w:r w:rsidRPr="00DC1A5F">
        <w:rPr>
          <w:i/>
          <w:iCs/>
        </w:rPr>
        <w:t>rasa</w:t>
      </w:r>
      <w:r w:rsidRPr="00DC1A5F">
        <w:t>); El significado es que ellos lo disfrutan.</w:t>
      </w:r>
    </w:p>
    <w:p w14:paraId="4F2F8475" w14:textId="77777777" w:rsidR="00597DE2" w:rsidRPr="00DC1A5F" w:rsidRDefault="00597DE2" w:rsidP="00597DE2">
      <w:pPr>
        <w:pStyle w:val="VersoIngls01Sangria"/>
        <w:tabs>
          <w:tab w:val="clear" w:pos="425"/>
          <w:tab w:val="left" w:pos="426"/>
        </w:tabs>
        <w:ind w:left="426" w:right="1184" w:hanging="142"/>
      </w:pPr>
      <w:r w:rsidRPr="00DC1A5F">
        <w:t>Es el origen (</w:t>
      </w:r>
      <w:proofErr w:type="spellStart"/>
      <w:r w:rsidRPr="00DC1A5F">
        <w:rPr>
          <w:i/>
          <w:iCs/>
        </w:rPr>
        <w:t>āya</w:t>
      </w:r>
      <w:proofErr w:type="spellEnd"/>
      <w:r w:rsidRPr="00DC1A5F">
        <w:t>) de estados viles (</w:t>
      </w:r>
      <w:proofErr w:type="spellStart"/>
      <w:r w:rsidRPr="00DC1A5F">
        <w:rPr>
          <w:i/>
          <w:iCs/>
        </w:rPr>
        <w:t>kucchita</w:t>
      </w:r>
      <w:proofErr w:type="spellEnd"/>
      <w:r w:rsidRPr="00DC1A5F">
        <w:t>) sujetos a las corrupciones, por lo tanto, corresponderá a un cuerpo (</w:t>
      </w:r>
      <w:proofErr w:type="spellStart"/>
      <w:r w:rsidRPr="00DC1A5F">
        <w:rPr>
          <w:i/>
          <w:iCs/>
        </w:rPr>
        <w:t>kāya</w:t>
      </w:r>
      <w:proofErr w:type="spellEnd"/>
      <w:r w:rsidRPr="00DC1A5F">
        <w:t>), al ser origen del lugar del surgimiento.</w:t>
      </w:r>
    </w:p>
    <w:p w14:paraId="6CF94C73" w14:textId="77777777" w:rsidR="00597DE2" w:rsidRPr="00DC1A5F" w:rsidRDefault="00597DE2" w:rsidP="00597DE2">
      <w:pPr>
        <w:pStyle w:val="VersoIngls01Sangria"/>
        <w:tabs>
          <w:tab w:val="clear" w:pos="425"/>
          <w:tab w:val="left" w:pos="426"/>
        </w:tabs>
        <w:ind w:left="426" w:right="1184" w:hanging="142"/>
      </w:pPr>
      <w:r w:rsidRPr="00DC1A5F">
        <w:t>Se siente (</w:t>
      </w:r>
      <w:proofErr w:type="spellStart"/>
      <w:r w:rsidRPr="00DC1A5F">
        <w:rPr>
          <w:i/>
          <w:iCs/>
        </w:rPr>
        <w:t>phusiyati</w:t>
      </w:r>
      <w:proofErr w:type="spellEnd"/>
      <w:r w:rsidRPr="00DC1A5F">
        <w:t>), por lo tanto, es un objeto tangible (</w:t>
      </w:r>
      <w:proofErr w:type="spellStart"/>
      <w:r w:rsidRPr="00DC1A5F">
        <w:rPr>
          <w:i/>
          <w:iCs/>
        </w:rPr>
        <w:t>phoṭṭhabba</w:t>
      </w:r>
      <w:proofErr w:type="spellEnd"/>
      <w:r w:rsidRPr="00DC1A5F">
        <w:t>).</w:t>
      </w:r>
    </w:p>
    <w:p w14:paraId="32F6D0B6" w14:textId="77777777" w:rsidR="00597DE2" w:rsidRPr="00DC1A5F" w:rsidRDefault="00597DE2" w:rsidP="00597DE2">
      <w:pPr>
        <w:pStyle w:val="VersoIngls01Sangria"/>
        <w:ind w:left="426" w:right="1184" w:hanging="142"/>
      </w:pPr>
      <w:r w:rsidRPr="00DC1A5F">
        <w:t>Discierne, avalúa (</w:t>
      </w:r>
      <w:proofErr w:type="spellStart"/>
      <w:r w:rsidRPr="00DC1A5F">
        <w:rPr>
          <w:i/>
          <w:iCs/>
        </w:rPr>
        <w:t>munāti</w:t>
      </w:r>
      <w:proofErr w:type="spellEnd"/>
      <w:r w:rsidRPr="00DC1A5F">
        <w:t>), por lo tanto, corresponderá a la mente (</w:t>
      </w:r>
      <w:r w:rsidRPr="00DC1A5F">
        <w:rPr>
          <w:i/>
          <w:iCs/>
        </w:rPr>
        <w:t>mano</w:t>
      </w:r>
      <w:r w:rsidRPr="00DC1A5F">
        <w:t>).</w:t>
      </w:r>
    </w:p>
    <w:p w14:paraId="41B1B68D" w14:textId="77777777" w:rsidR="00597DE2" w:rsidRPr="00DC1A5F" w:rsidRDefault="00597DE2" w:rsidP="00597DE2">
      <w:pPr>
        <w:pStyle w:val="VersoIngls01Sangria"/>
        <w:ind w:left="426" w:right="1184" w:hanging="142"/>
        <w:rPr>
          <w:vertAlign w:val="superscript"/>
        </w:rPr>
      </w:pPr>
      <w:r w:rsidRPr="00DC1A5F">
        <w:t>Hacen que su propia característica surja (</w:t>
      </w:r>
      <w:proofErr w:type="spellStart"/>
      <w:r w:rsidRPr="00DC1A5F">
        <w:rPr>
          <w:i/>
          <w:iCs/>
        </w:rPr>
        <w:t>dhārayanti</w:t>
      </w:r>
      <w:proofErr w:type="spellEnd"/>
      <w:r w:rsidRPr="00DC1A5F">
        <w:t>), por lo tanto, corresponderá a los objetos mentales (</w:t>
      </w:r>
      <w:proofErr w:type="spellStart"/>
      <w:r w:rsidRPr="00DC1A5F">
        <w:rPr>
          <w:i/>
          <w:iCs/>
        </w:rPr>
        <w:t>dhammā</w:t>
      </w:r>
      <w:proofErr w:type="spellEnd"/>
      <w:r w:rsidRPr="00DC1A5F">
        <w:t>).</w:t>
      </w:r>
      <w:r w:rsidRPr="00DC1A5F">
        <w:rPr>
          <w:vertAlign w:val="superscript"/>
        </w:rPr>
        <w:t>1</w:t>
      </w:r>
    </w:p>
    <w:p w14:paraId="59B5104B" w14:textId="77777777" w:rsidR="00597DE2" w:rsidRPr="00DC1A5F" w:rsidRDefault="00597DE2" w:rsidP="00597DE2">
      <w:pPr>
        <w:tabs>
          <w:tab w:val="clear" w:pos="425"/>
        </w:tabs>
        <w:spacing w:after="160"/>
      </w:pPr>
      <w:r w:rsidRPr="00DC1A5F">
        <w:br w:type="page"/>
      </w:r>
    </w:p>
    <w:p w14:paraId="123EFB9E" w14:textId="77777777" w:rsidR="00597DE2" w:rsidRPr="00DC1A5F" w:rsidRDefault="00597DE2" w:rsidP="00597DE2">
      <w:pPr>
        <w:rPr>
          <w:vertAlign w:val="superscript"/>
        </w:rPr>
      </w:pPr>
      <w:r w:rsidRPr="00DC1A5F">
        <w:lastRenderedPageBreak/>
        <w:t xml:space="preserve">4. </w:t>
      </w:r>
      <w:r w:rsidRPr="00DC1A5F">
        <w:tab/>
      </w:r>
      <w:r w:rsidRPr="00DC1A5F">
        <w:rPr>
          <w:i/>
          <w:iCs/>
        </w:rPr>
        <w:t>En cuanto al</w:t>
      </w:r>
      <w:r w:rsidRPr="00DC1A5F">
        <w:t xml:space="preserve"> </w:t>
      </w:r>
      <w:r w:rsidRPr="00DC1A5F">
        <w:rPr>
          <w:i/>
          <w:iCs/>
        </w:rPr>
        <w:t>significado</w:t>
      </w:r>
      <w:r w:rsidRPr="00DC1A5F">
        <w:t xml:space="preserve"> en general, sin embargo, la base (</w:t>
      </w:r>
      <w:proofErr w:type="spellStart"/>
      <w:r w:rsidRPr="00DC1A5F">
        <w:rPr>
          <w:i/>
          <w:iCs/>
        </w:rPr>
        <w:t>āyatana</w:t>
      </w:r>
      <w:proofErr w:type="spellEnd"/>
      <w:r w:rsidRPr="00DC1A5F">
        <w:t>) deberá entenderse como tal (a) debido a su actuación (</w:t>
      </w:r>
      <w:proofErr w:type="spellStart"/>
      <w:r w:rsidRPr="00DC1A5F">
        <w:rPr>
          <w:i/>
          <w:iCs/>
        </w:rPr>
        <w:t>āyatana</w:t>
      </w:r>
      <w:proofErr w:type="spellEnd"/>
      <w:r w:rsidRPr="00DC1A5F">
        <w:t>), (b) debido a ser el rango (</w:t>
      </w:r>
      <w:proofErr w:type="spellStart"/>
      <w:r w:rsidRPr="00DC1A5F">
        <w:rPr>
          <w:i/>
          <w:iCs/>
        </w:rPr>
        <w:t>tanana</w:t>
      </w:r>
      <w:proofErr w:type="spellEnd"/>
      <w:r w:rsidRPr="00DC1A5F">
        <w:t>) de los orígenes (</w:t>
      </w:r>
      <w:proofErr w:type="spellStart"/>
      <w:r w:rsidRPr="00DC1A5F">
        <w:rPr>
          <w:i/>
          <w:iCs/>
        </w:rPr>
        <w:t>āya</w:t>
      </w:r>
      <w:proofErr w:type="spellEnd"/>
      <w:r w:rsidRPr="00DC1A5F">
        <w:t>), y (c) debido a que liderará sobre (</w:t>
      </w:r>
      <w:proofErr w:type="spellStart"/>
      <w:r w:rsidRPr="00DC1A5F">
        <w:rPr>
          <w:i/>
          <w:iCs/>
        </w:rPr>
        <w:t>nayana</w:t>
      </w:r>
      <w:proofErr w:type="spellEnd"/>
      <w:r w:rsidRPr="00DC1A5F">
        <w:t>) lo que se actúe (</w:t>
      </w:r>
      <w:proofErr w:type="spellStart"/>
      <w:r w:rsidRPr="00DC1A5F">
        <w:rPr>
          <w:i/>
          <w:iCs/>
        </w:rPr>
        <w:t>āyata</w:t>
      </w:r>
      <w:proofErr w:type="spellEnd"/>
      <w:r w:rsidRPr="00DC1A5F">
        <w:t>).</w:t>
      </w:r>
      <w:r w:rsidRPr="00DC1A5F">
        <w:rPr>
          <w:vertAlign w:val="superscript"/>
        </w:rPr>
        <w:t>2</w:t>
      </w:r>
    </w:p>
    <w:p w14:paraId="1547A53B" w14:textId="77777777" w:rsidR="00597DE2" w:rsidRPr="00DC1A5F" w:rsidRDefault="00597DE2" w:rsidP="00597DE2">
      <w:pPr>
        <w:pStyle w:val="NormalConSangria"/>
      </w:pPr>
      <w:r w:rsidRPr="00DC1A5F">
        <w:t>Ahora bien, los diversos estados de consciencia y sus concomitantes pertenecientes a tal y cual puerta–semilla–objeto entre aquellos consistentes de ojo–semilla–objetos visibles, etc., (a) serán actuados (</w:t>
      </w:r>
      <w:proofErr w:type="spellStart"/>
      <w:r w:rsidRPr="00DC1A5F">
        <w:rPr>
          <w:i/>
          <w:iCs/>
        </w:rPr>
        <w:t>āyatanti</w:t>
      </w:r>
      <w:proofErr w:type="spellEnd"/>
      <w:r w:rsidRPr="00DC1A5F">
        <w:t xml:space="preserve">), cada uno por medio de su función individual de experimentar, etc.; serán activos, se esforzarán y se reforzarán en estos, es lo que se debe entender. Y (b) </w:t>
      </w:r>
      <w:proofErr w:type="gramStart"/>
      <w:r w:rsidRPr="00DC1A5F">
        <w:t>estas puerta</w:t>
      </w:r>
      <w:proofErr w:type="gramEnd"/>
      <w:r w:rsidRPr="00DC1A5F">
        <w:t>–semilla–objetos proporcionarán el rango para (</w:t>
      </w:r>
      <w:proofErr w:type="spellStart"/>
      <w:r w:rsidRPr="00DC1A5F">
        <w:rPr>
          <w:i/>
          <w:iCs/>
        </w:rPr>
        <w:t>tananti</w:t>
      </w:r>
      <w:proofErr w:type="spellEnd"/>
      <w:r w:rsidRPr="00DC1A5F">
        <w:t>) aquellos estados que sean orígenes (</w:t>
      </w:r>
      <w:proofErr w:type="spellStart"/>
      <w:r w:rsidRPr="00DC1A5F">
        <w:rPr>
          <w:i/>
          <w:iCs/>
        </w:rPr>
        <w:t>āya</w:t>
      </w:r>
      <w:proofErr w:type="spellEnd"/>
      <w:r w:rsidRPr="00DC1A5F">
        <w:t>); les darán alcance, es lo que se debe entender. Y (c) mientras este sufrimiento del ciclo de renacimientos, que se haya producido durante un ciclo sin comienzo de renacimientos y, por lo tanto, al cual se accede enormemente (</w:t>
      </w:r>
      <w:proofErr w:type="spellStart"/>
      <w:r w:rsidRPr="00DC1A5F">
        <w:rPr>
          <w:i/>
          <w:iCs/>
        </w:rPr>
        <w:t>āyata</w:t>
      </w:r>
      <w:proofErr w:type="spellEnd"/>
      <w:r w:rsidRPr="00DC1A5F">
        <w:t>), no retrocederá, mientras avance (</w:t>
      </w:r>
      <w:proofErr w:type="spellStart"/>
      <w:r w:rsidRPr="00DC1A5F">
        <w:rPr>
          <w:i/>
          <w:iCs/>
        </w:rPr>
        <w:t>nayanti</w:t>
      </w:r>
      <w:proofErr w:type="spellEnd"/>
      <w:r w:rsidRPr="00DC1A5F">
        <w:t>); causarán ocurrencias, es lo que se entiende.</w:t>
      </w:r>
    </w:p>
    <w:p w14:paraId="789A9130" w14:textId="77777777" w:rsidR="00597DE2" w:rsidRPr="00DC1A5F" w:rsidRDefault="00597DE2" w:rsidP="00597DE2">
      <w:pPr>
        <w:pStyle w:val="NormalConSangria"/>
      </w:pPr>
      <w:r w:rsidRPr="00DC1A5F">
        <w:t>Entonces, a todas estas cosas [482] se le llamarán “bases” porque actuarán, porque serán el rango de los orígenes y porque conducirán sobre lo que se actúe.</w:t>
      </w:r>
    </w:p>
    <w:p w14:paraId="5CC0C696" w14:textId="77777777" w:rsidR="00597DE2" w:rsidRPr="00DC1A5F" w:rsidRDefault="00597DE2" w:rsidP="00597DE2">
      <w:pPr>
        <w:pStyle w:val="NormalConSangria"/>
      </w:pPr>
    </w:p>
    <w:p w14:paraId="6A8F54E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7B9687B"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 xml:space="preserve">Las siguientes palabras en §3 no se encuentran en el PED: </w:t>
      </w:r>
      <w:proofErr w:type="spellStart"/>
      <w:r w:rsidRPr="00DC1A5F">
        <w:rPr>
          <w:i/>
          <w:iCs/>
          <w:color w:val="auto"/>
          <w:u w:color="000000"/>
        </w:rPr>
        <w:t>cakkhati</w:t>
      </w:r>
      <w:proofErr w:type="spellEnd"/>
      <w:r w:rsidRPr="00DC1A5F">
        <w:rPr>
          <w:color w:val="auto"/>
          <w:u w:color="000000"/>
        </w:rPr>
        <w:t xml:space="preserve"> (se disfruta), </w:t>
      </w:r>
      <w:proofErr w:type="spellStart"/>
      <w:r w:rsidRPr="00DC1A5F">
        <w:rPr>
          <w:i/>
          <w:iCs/>
          <w:color w:val="auto"/>
          <w:u w:color="000000"/>
        </w:rPr>
        <w:t>rūpayati</w:t>
      </w:r>
      <w:proofErr w:type="spellEnd"/>
      <w:r w:rsidRPr="00DC1A5F">
        <w:rPr>
          <w:color w:val="auto"/>
          <w:u w:color="000000"/>
        </w:rPr>
        <w:t xml:space="preserve"> (hace visible – solo lo referido bajo </w:t>
      </w:r>
      <w:r w:rsidRPr="00DC1A5F">
        <w:rPr>
          <w:i/>
          <w:color w:val="auto"/>
          <w:u w:color="000000"/>
        </w:rPr>
        <w:t>rūpa</w:t>
      </w:r>
      <w:r w:rsidRPr="00DC1A5F">
        <w:rPr>
          <w:color w:val="auto"/>
          <w:u w:color="000000"/>
        </w:rPr>
        <w:t xml:space="preserve">), </w:t>
      </w:r>
      <w:proofErr w:type="spellStart"/>
      <w:r w:rsidRPr="00DC1A5F">
        <w:rPr>
          <w:i/>
          <w:iCs/>
          <w:color w:val="auto"/>
          <w:u w:color="000000"/>
        </w:rPr>
        <w:t>sappati</w:t>
      </w:r>
      <w:proofErr w:type="spellEnd"/>
      <w:r w:rsidRPr="00DC1A5F">
        <w:rPr>
          <w:color w:val="auto"/>
          <w:u w:color="000000"/>
        </w:rPr>
        <w:t xml:space="preserve"> (se emite; pasa, de </w:t>
      </w:r>
      <w:proofErr w:type="spellStart"/>
      <w:r w:rsidRPr="00DC1A5F">
        <w:rPr>
          <w:i/>
          <w:iCs/>
          <w:color w:val="auto"/>
          <w:u w:color="000000"/>
        </w:rPr>
        <w:t>sapati</w:t>
      </w:r>
      <w:proofErr w:type="spellEnd"/>
      <w:r w:rsidRPr="00DC1A5F">
        <w:rPr>
          <w:color w:val="auto"/>
          <w:u w:color="000000"/>
        </w:rPr>
        <w:t>, jurar (</w:t>
      </w:r>
      <w:proofErr w:type="spellStart"/>
      <w:r w:rsidRPr="00DC1A5F">
        <w:rPr>
          <w:color w:val="auto"/>
          <w:u w:color="000000"/>
        </w:rPr>
        <w:t>ud</w:t>
      </w:r>
      <w:proofErr w:type="spellEnd"/>
      <w:r w:rsidRPr="00DC1A5F">
        <w:rPr>
          <w:color w:val="auto"/>
          <w:u w:color="000000"/>
        </w:rPr>
        <w:t xml:space="preserve"> 45)), </w:t>
      </w:r>
      <w:proofErr w:type="spellStart"/>
      <w:r w:rsidRPr="00DC1A5F">
        <w:rPr>
          <w:i/>
          <w:iCs/>
          <w:color w:val="auto"/>
          <w:u w:color="000000"/>
        </w:rPr>
        <w:t>udāhariyati</w:t>
      </w:r>
      <w:proofErr w:type="spellEnd"/>
      <w:r w:rsidRPr="00DC1A5F">
        <w:rPr>
          <w:color w:val="auto"/>
          <w:u w:color="000000"/>
        </w:rPr>
        <w:t xml:space="preserve"> (se pronuncia, </w:t>
      </w:r>
      <w:proofErr w:type="spellStart"/>
      <w:r w:rsidRPr="00DC1A5F">
        <w:rPr>
          <w:color w:val="auto"/>
          <w:u w:color="000000"/>
        </w:rPr>
        <w:t>lit.</w:t>
      </w:r>
      <w:proofErr w:type="spellEnd"/>
      <w:r w:rsidRPr="00DC1A5F">
        <w:rPr>
          <w:color w:val="auto"/>
          <w:u w:color="000000"/>
        </w:rPr>
        <w:t xml:space="preserve"> “se transporta a”), </w:t>
      </w:r>
      <w:proofErr w:type="spellStart"/>
      <w:r w:rsidRPr="00DC1A5F">
        <w:rPr>
          <w:i/>
          <w:iCs/>
          <w:color w:val="auto"/>
          <w:u w:color="000000"/>
        </w:rPr>
        <w:t>gandhayati</w:t>
      </w:r>
      <w:proofErr w:type="spellEnd"/>
      <w:r w:rsidRPr="00DC1A5F">
        <w:rPr>
          <w:color w:val="auto"/>
          <w:u w:color="000000"/>
        </w:rPr>
        <w:t xml:space="preserve"> (es olido), </w:t>
      </w:r>
      <w:proofErr w:type="spellStart"/>
      <w:r w:rsidRPr="00DC1A5F">
        <w:rPr>
          <w:i/>
          <w:iCs/>
          <w:color w:val="auto"/>
          <w:u w:color="000000"/>
        </w:rPr>
        <w:t>sūcayati</w:t>
      </w:r>
      <w:proofErr w:type="spellEnd"/>
      <w:r w:rsidRPr="00DC1A5F">
        <w:rPr>
          <w:color w:val="auto"/>
          <w:u w:color="000000"/>
        </w:rPr>
        <w:t xml:space="preserve"> (traiciona), </w:t>
      </w:r>
      <w:proofErr w:type="spellStart"/>
      <w:r w:rsidRPr="00DC1A5F">
        <w:rPr>
          <w:i/>
          <w:iCs/>
          <w:color w:val="auto"/>
          <w:u w:color="000000"/>
        </w:rPr>
        <w:t>rasati</w:t>
      </w:r>
      <w:proofErr w:type="spellEnd"/>
      <w:r w:rsidRPr="00DC1A5F">
        <w:rPr>
          <w:color w:val="auto"/>
          <w:u w:color="000000"/>
        </w:rPr>
        <w:t xml:space="preserve"> (se degusta). Be ed. de </w:t>
      </w:r>
      <w:proofErr w:type="spellStart"/>
      <w:r w:rsidRPr="00DC1A5F">
        <w:rPr>
          <w:color w:val="auto"/>
          <w:u w:color="000000"/>
        </w:rPr>
        <w:t>Vibh</w:t>
      </w:r>
      <w:proofErr w:type="spellEnd"/>
      <w:r w:rsidRPr="00DC1A5F">
        <w:rPr>
          <w:color w:val="auto"/>
          <w:u w:color="000000"/>
        </w:rPr>
        <w:t xml:space="preserve">–a considera </w:t>
      </w:r>
      <w:proofErr w:type="spellStart"/>
      <w:r w:rsidRPr="00DC1A5F">
        <w:rPr>
          <w:i/>
          <w:iCs/>
          <w:color w:val="auto"/>
          <w:u w:color="000000"/>
        </w:rPr>
        <w:t>manayati</w:t>
      </w:r>
      <w:proofErr w:type="spellEnd"/>
      <w:r w:rsidRPr="00DC1A5F">
        <w:rPr>
          <w:color w:val="auto"/>
          <w:u w:color="000000"/>
        </w:rPr>
        <w:t xml:space="preserve"> (no en PED) para </w:t>
      </w:r>
      <w:proofErr w:type="spellStart"/>
      <w:r w:rsidRPr="00DC1A5F">
        <w:rPr>
          <w:i/>
          <w:iCs/>
          <w:color w:val="auto"/>
          <w:u w:color="000000"/>
        </w:rPr>
        <w:t>muṇāti</w:t>
      </w:r>
      <w:proofErr w:type="spellEnd"/>
      <w:r w:rsidRPr="00DC1A5F">
        <w:rPr>
          <w:color w:val="auto"/>
          <w:u w:color="000000"/>
        </w:rPr>
        <w:t xml:space="preserve"> en un pasaje paralelo.</w:t>
      </w:r>
    </w:p>
    <w:p w14:paraId="3EE9F77F" w14:textId="77777777" w:rsidR="00597DE2" w:rsidRPr="00DC1A5F" w:rsidRDefault="00597DE2" w:rsidP="00597DE2">
      <w:pPr>
        <w:pStyle w:val="PiedepginaLegal"/>
        <w:rPr>
          <w:color w:val="auto"/>
          <w:u w:color="000000"/>
        </w:rPr>
      </w:pPr>
      <w:r w:rsidRPr="00DC1A5F">
        <w:tab/>
      </w:r>
      <w:r w:rsidRPr="00DC1A5F">
        <w:rPr>
          <w:color w:val="833C0B" w:themeColor="accent2" w:themeShade="80"/>
          <w:u w:color="000000"/>
        </w:rPr>
        <w:tab/>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(p. 508) explica </w:t>
      </w:r>
      <w:proofErr w:type="spellStart"/>
      <w:r w:rsidRPr="00DC1A5F">
        <w:rPr>
          <w:i/>
          <w:iCs/>
          <w:color w:val="auto"/>
          <w:u w:color="000000"/>
        </w:rPr>
        <w:t>cakkhati</w:t>
      </w:r>
      <w:proofErr w:type="spellEnd"/>
      <w:r w:rsidRPr="00DC1A5F">
        <w:rPr>
          <w:color w:val="auto"/>
          <w:u w:color="000000"/>
        </w:rPr>
        <w:t xml:space="preserve"> (se disfruta) semánticamente mediante “degustar un </w:t>
      </w:r>
      <w:r w:rsidRPr="00DC1A5F">
        <w:rPr>
          <w:i/>
          <w:iCs/>
          <w:color w:val="auto"/>
          <w:u w:color="000000"/>
        </w:rPr>
        <w:t>sabor</w:t>
      </w:r>
      <w:r w:rsidRPr="00DC1A5F">
        <w:rPr>
          <w:color w:val="auto"/>
          <w:u w:color="000000"/>
        </w:rPr>
        <w:t xml:space="preserve"> como al ‘saborear’ la miel o la salsa” y cita M I 503. Lingüísticamente conecta esta palabra con </w:t>
      </w:r>
      <w:proofErr w:type="spellStart"/>
      <w:r w:rsidRPr="00DC1A5F">
        <w:rPr>
          <w:i/>
          <w:iCs/>
          <w:color w:val="auto"/>
          <w:u w:color="000000"/>
        </w:rPr>
        <w:t>ācikkhati</w:t>
      </w:r>
      <w:proofErr w:type="spellEnd"/>
      <w:r w:rsidRPr="00DC1A5F">
        <w:rPr>
          <w:color w:val="auto"/>
          <w:u w:color="000000"/>
        </w:rPr>
        <w:t xml:space="preserve"> (mostrar).</w:t>
      </w:r>
    </w:p>
    <w:p w14:paraId="30C8A18C" w14:textId="77777777" w:rsidR="00597DE2" w:rsidRPr="00DC1A5F" w:rsidRDefault="00597DE2" w:rsidP="00597DE2">
      <w:pPr>
        <w:pStyle w:val="PiedepginaLegal"/>
        <w:rPr>
          <w:color w:val="auto"/>
          <w:u w:color="000000"/>
        </w:rPr>
      </w:pPr>
      <w:r w:rsidRPr="00DC1A5F">
        <w:tab/>
      </w:r>
      <w:r w:rsidRPr="00DC1A5F">
        <w:tab/>
      </w:r>
      <w:r w:rsidRPr="00DC1A5F">
        <w:rPr>
          <w:color w:val="auto"/>
          <w:u w:color="000000"/>
        </w:rPr>
        <w:t>“Cuando se produce una forma visible (</w:t>
      </w:r>
      <w:r w:rsidRPr="00DC1A5F">
        <w:rPr>
          <w:i/>
          <w:color w:val="auto"/>
          <w:u w:color="000000"/>
        </w:rPr>
        <w:t>rūpa</w:t>
      </w:r>
      <w:r w:rsidRPr="00DC1A5F">
        <w:rPr>
          <w:color w:val="auto"/>
          <w:u w:color="000000"/>
        </w:rPr>
        <w:t>), como el aspecto visible de un camaleón, una alteración en la apariencia (color) en los momentos en que la mente esté teñida de codicia o corrompida por el odio, etc., hará visible qué estado es frecuente en el corazón (es decir, en la mente) y lo hará evidente como si fuera un objeto visible y real; El significado es que lo demuestra dándole, por así decirlo, una entidad ‘comprensible’ (</w:t>
      </w:r>
      <w:proofErr w:type="spellStart"/>
      <w:r w:rsidRPr="00DC1A5F">
        <w:rPr>
          <w:i/>
          <w:iCs/>
          <w:color w:val="auto"/>
          <w:u w:color="000000"/>
        </w:rPr>
        <w:t>saviggaha</w:t>
      </w:r>
      <w:proofErr w:type="spellEnd"/>
      <w:r w:rsidRPr="00DC1A5F">
        <w:rPr>
          <w:color w:val="auto"/>
          <w:u w:color="000000"/>
        </w:rPr>
        <w:t>).</w:t>
      </w:r>
      <w:r w:rsidRPr="00DC1A5F">
        <w:t xml:space="preserve"> </w:t>
      </w:r>
      <w:r w:rsidRPr="00DC1A5F">
        <w:rPr>
          <w:color w:val="auto"/>
          <w:u w:color="000000"/>
        </w:rPr>
        <w:t xml:space="preserve">O la palabra </w:t>
      </w:r>
      <w:r w:rsidRPr="00DC1A5F">
        <w:rPr>
          <w:i/>
          <w:color w:val="auto"/>
          <w:u w:color="000000"/>
        </w:rPr>
        <w:t>rūpa</w:t>
      </w:r>
      <w:r w:rsidRPr="00DC1A5F">
        <w:rPr>
          <w:color w:val="auto"/>
          <w:u w:color="000000"/>
        </w:rPr>
        <w:t xml:space="preserve"> significará demostración y eso será lo mismo que evidenciar. O también la palabra </w:t>
      </w:r>
      <w:r w:rsidRPr="00DC1A5F">
        <w:rPr>
          <w:i/>
          <w:color w:val="auto"/>
          <w:u w:color="000000"/>
        </w:rPr>
        <w:t>rūpa</w:t>
      </w:r>
      <w:r w:rsidRPr="00DC1A5F">
        <w:rPr>
          <w:color w:val="auto"/>
          <w:u w:color="000000"/>
        </w:rPr>
        <w:t xml:space="preserve"> podrá considerarse como una evidencia de los elementos, ya que tendrá muchos significados. </w:t>
      </w:r>
      <w:proofErr w:type="spellStart"/>
      <w:r w:rsidRPr="00DC1A5F">
        <w:rPr>
          <w:i/>
          <w:iCs/>
          <w:color w:val="auto"/>
          <w:u w:color="000000"/>
        </w:rPr>
        <w:t>Rūpayati</w:t>
      </w:r>
      <w:proofErr w:type="spellEnd"/>
      <w:r w:rsidRPr="00DC1A5F">
        <w:rPr>
          <w:color w:val="auto"/>
          <w:u w:color="000000"/>
        </w:rPr>
        <w:t xml:space="preserve"> (esto hace visible) es un derivado (</w:t>
      </w:r>
      <w:proofErr w:type="spellStart"/>
      <w:r w:rsidRPr="00DC1A5F">
        <w:rPr>
          <w:i/>
          <w:iCs/>
          <w:color w:val="auto"/>
          <w:u w:color="000000"/>
        </w:rPr>
        <w:t>nibbacana</w:t>
      </w:r>
      <w:proofErr w:type="spellEnd"/>
      <w:r w:rsidRPr="00DC1A5F">
        <w:rPr>
          <w:color w:val="auto"/>
          <w:u w:color="000000"/>
        </w:rPr>
        <w:t xml:space="preserve">) de la palabra </w:t>
      </w:r>
      <w:r w:rsidRPr="00DC1A5F">
        <w:rPr>
          <w:i/>
          <w:color w:val="auto"/>
          <w:u w:color="000000"/>
        </w:rPr>
        <w:t>rūpa</w:t>
      </w:r>
      <w:r w:rsidRPr="00DC1A5F">
        <w:rPr>
          <w:color w:val="auto"/>
          <w:u w:color="000000"/>
        </w:rPr>
        <w:t xml:space="preserve"> que expresa apariencia (color), mientras que </w:t>
      </w:r>
      <w:proofErr w:type="spellStart"/>
      <w:r w:rsidRPr="00DC1A5F">
        <w:rPr>
          <w:i/>
          <w:iCs/>
          <w:color w:val="auto"/>
          <w:u w:color="000000"/>
        </w:rPr>
        <w:t>ruppati</w:t>
      </w:r>
      <w:proofErr w:type="spellEnd"/>
      <w:r w:rsidRPr="00DC1A5F">
        <w:rPr>
          <w:color w:val="auto"/>
          <w:u w:color="000000"/>
        </w:rPr>
        <w:t xml:space="preserve"> (es molestado) es un derivado que expresa al agregado de la materialidad.</w:t>
      </w:r>
      <w:r w:rsidRPr="00DC1A5F">
        <w:t xml:space="preserve"> </w:t>
      </w:r>
      <w:r w:rsidRPr="00DC1A5F">
        <w:rPr>
          <w:color w:val="auto"/>
          <w:u w:color="000000"/>
        </w:rPr>
        <w:t>En cuanto al sonido, solo el sonido de las palabras (</w:t>
      </w:r>
      <w:proofErr w:type="spellStart"/>
      <w:r w:rsidRPr="00DC1A5F">
        <w:rPr>
          <w:i/>
          <w:iCs/>
          <w:color w:val="auto"/>
          <w:u w:color="000000"/>
        </w:rPr>
        <w:t>vacana</w:t>
      </w:r>
      <w:proofErr w:type="spellEnd"/>
      <w:r w:rsidRPr="00DC1A5F">
        <w:rPr>
          <w:color w:val="auto"/>
          <w:u w:color="000000"/>
        </w:rPr>
        <w:t>–</w:t>
      </w:r>
      <w:proofErr w:type="spellStart"/>
      <w:r w:rsidRPr="00DC1A5F">
        <w:rPr>
          <w:i/>
          <w:iCs/>
          <w:color w:val="auto"/>
          <w:u w:color="000000"/>
        </w:rPr>
        <w:t>sadda</w:t>
      </w:r>
      <w:proofErr w:type="spellEnd"/>
      <w:r w:rsidRPr="00DC1A5F">
        <w:rPr>
          <w:color w:val="auto"/>
          <w:u w:color="000000"/>
        </w:rPr>
        <w:t>) estará cubierto por el significado ‘</w:t>
      </w:r>
      <w:r w:rsidRPr="00DC1A5F">
        <w:rPr>
          <w:i/>
          <w:iCs/>
          <w:color w:val="auto"/>
          <w:u w:color="000000"/>
        </w:rPr>
        <w:t>se pronuncia</w:t>
      </w:r>
      <w:r w:rsidRPr="00DC1A5F">
        <w:rPr>
          <w:color w:val="auto"/>
          <w:u w:color="000000"/>
        </w:rPr>
        <w:t xml:space="preserve"> (</w:t>
      </w:r>
      <w:proofErr w:type="spellStart"/>
      <w:r w:rsidRPr="00DC1A5F">
        <w:rPr>
          <w:i/>
          <w:iCs/>
          <w:color w:val="auto"/>
          <w:u w:color="000000"/>
        </w:rPr>
        <w:t>udāhariyati</w:t>
      </w:r>
      <w:proofErr w:type="spellEnd"/>
      <w:r w:rsidRPr="00DC1A5F">
        <w:rPr>
          <w:color w:val="auto"/>
          <w:u w:color="000000"/>
        </w:rPr>
        <w:t>)’, y aquí el sonido no corresponderá solo al sonido de las palabras, sino más bien, todo lo que pueda ser conocido por el oído será lo que “</w:t>
      </w:r>
      <w:r w:rsidRPr="00DC1A5F">
        <w:rPr>
          <w:i/>
          <w:iCs/>
          <w:color w:val="auto"/>
          <w:u w:color="000000"/>
        </w:rPr>
        <w:t>sea emitido</w:t>
      </w:r>
      <w:r w:rsidRPr="00DC1A5F">
        <w:rPr>
          <w:color w:val="auto"/>
          <w:u w:color="000000"/>
        </w:rPr>
        <w:t xml:space="preserve"> (</w:t>
      </w:r>
      <w:proofErr w:type="spellStart"/>
      <w:r w:rsidRPr="00DC1A5F">
        <w:rPr>
          <w:i/>
          <w:iCs/>
          <w:color w:val="auto"/>
          <w:u w:color="000000"/>
        </w:rPr>
        <w:t>sapati</w:t>
      </w:r>
      <w:proofErr w:type="spellEnd"/>
      <w:r w:rsidRPr="00DC1A5F">
        <w:rPr>
          <w:color w:val="auto"/>
          <w:u w:color="000000"/>
        </w:rPr>
        <w:t>)’; el significado es que, por medio de sus propias condiciones, se emite (</w:t>
      </w:r>
      <w:proofErr w:type="spellStart"/>
      <w:r w:rsidRPr="00DC1A5F">
        <w:rPr>
          <w:i/>
          <w:iCs/>
          <w:color w:val="auto"/>
          <w:u w:color="000000"/>
        </w:rPr>
        <w:t>sappiyati</w:t>
      </w:r>
      <w:proofErr w:type="spellEnd"/>
      <w:r w:rsidRPr="00DC1A5F">
        <w:rPr>
          <w:color w:val="auto"/>
          <w:u w:color="000000"/>
        </w:rPr>
        <w:t>), se hace reconocible por el oído”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508) (cf. también </w:t>
      </w:r>
      <w:proofErr w:type="spellStart"/>
      <w:r w:rsidRPr="00DC1A5F">
        <w:rPr>
          <w:i/>
          <w:iCs/>
          <w:color w:val="auto"/>
          <w:u w:color="000000"/>
        </w:rPr>
        <w:t>sappari</w:t>
      </w:r>
      <w:proofErr w:type="spellEnd"/>
      <w:r w:rsidRPr="00DC1A5F">
        <w:rPr>
          <w:color w:val="auto"/>
          <w:u w:color="000000"/>
        </w:rPr>
        <w:t>, para arrastrarse). “‘</w:t>
      </w:r>
      <w:r w:rsidRPr="00DC1A5F">
        <w:rPr>
          <w:i/>
          <w:iCs/>
          <w:color w:val="auto"/>
          <w:u w:color="000000"/>
        </w:rPr>
        <w:t>Evoca la vida</w:t>
      </w:r>
      <w:r w:rsidRPr="00DC1A5F">
        <w:rPr>
          <w:color w:val="auto"/>
          <w:u w:color="000000"/>
        </w:rPr>
        <w:t xml:space="preserve"> (</w:t>
      </w:r>
      <w:proofErr w:type="spellStart"/>
      <w:r w:rsidRPr="00DC1A5F">
        <w:rPr>
          <w:i/>
          <w:iCs/>
          <w:color w:val="auto"/>
          <w:u w:color="000000"/>
        </w:rPr>
        <w:t>Jīvitaṃ</w:t>
      </w:r>
      <w:proofErr w:type="spellEnd"/>
      <w:r w:rsidRPr="00DC1A5F">
        <w:rPr>
          <w:i/>
          <w:iCs/>
          <w:color w:val="auto"/>
          <w:u w:color="000000"/>
        </w:rPr>
        <w:t xml:space="preserve"> </w:t>
      </w:r>
      <w:proofErr w:type="spellStart"/>
      <w:r w:rsidRPr="00DC1A5F">
        <w:rPr>
          <w:i/>
          <w:iCs/>
          <w:color w:val="auto"/>
          <w:u w:color="000000"/>
        </w:rPr>
        <w:t>avhayati</w:t>
      </w:r>
      <w:proofErr w:type="spellEnd"/>
      <w:r w:rsidRPr="00DC1A5F">
        <w:rPr>
          <w:color w:val="auto"/>
          <w:u w:color="000000"/>
        </w:rPr>
        <w:t>) ’debido al apetito por los diversos sabores de la comida (</w:t>
      </w:r>
      <w:proofErr w:type="spellStart"/>
      <w:r w:rsidRPr="00DC1A5F">
        <w:rPr>
          <w:i/>
          <w:iCs/>
          <w:color w:val="auto"/>
          <w:u w:color="000000"/>
        </w:rPr>
        <w:t>āhāra</w:t>
      </w:r>
      <w:proofErr w:type="spellEnd"/>
      <w:r w:rsidRPr="00DC1A5F">
        <w:rPr>
          <w:color w:val="auto"/>
          <w:u w:color="000000"/>
        </w:rPr>
        <w:t>), lo que se convertirá en la causa de la vida (</w:t>
      </w:r>
      <w:proofErr w:type="spellStart"/>
      <w:r w:rsidRPr="00DC1A5F">
        <w:rPr>
          <w:i/>
          <w:iCs/>
          <w:color w:val="auto"/>
          <w:u w:color="000000"/>
        </w:rPr>
        <w:t>jīvita</w:t>
      </w:r>
      <w:proofErr w:type="spellEnd"/>
      <w:r w:rsidRPr="00DC1A5F">
        <w:rPr>
          <w:color w:val="auto"/>
          <w:u w:color="000000"/>
        </w:rPr>
        <w:t xml:space="preserve">), ya que el acto de tragar se basará en la aprobación de los gustos. Ésta es la característica lingüística de la palabra </w:t>
      </w:r>
      <w:proofErr w:type="spellStart"/>
      <w:r w:rsidRPr="00DC1A5F">
        <w:rPr>
          <w:i/>
          <w:iCs/>
          <w:color w:val="auto"/>
          <w:u w:color="000000"/>
        </w:rPr>
        <w:t>jivhā</w:t>
      </w:r>
      <w:proofErr w:type="spellEnd"/>
      <w:r w:rsidRPr="00DC1A5F">
        <w:rPr>
          <w:color w:val="auto"/>
          <w:u w:color="000000"/>
        </w:rPr>
        <w:t xml:space="preserve"> (lengua)”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509).</w:t>
      </w:r>
    </w:p>
    <w:p w14:paraId="1BEA4C9B"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 xml:space="preserve">Las siguientes palabras de §4 no encuentran en el PED: </w:t>
      </w:r>
      <w:proofErr w:type="spellStart"/>
      <w:r w:rsidRPr="00DC1A5F">
        <w:rPr>
          <w:i/>
          <w:iCs/>
          <w:color w:val="auto"/>
          <w:u w:color="000000"/>
        </w:rPr>
        <w:t>āyatana</w:t>
      </w:r>
      <w:proofErr w:type="spellEnd"/>
      <w:r w:rsidRPr="00DC1A5F">
        <w:rPr>
          <w:color w:val="auto"/>
          <w:u w:color="000000"/>
        </w:rPr>
        <w:t xml:space="preserve"> (actuación: sustantivo verbal. f. m. </w:t>
      </w:r>
      <w:proofErr w:type="spellStart"/>
      <w:r w:rsidRPr="00DC1A5F">
        <w:rPr>
          <w:i/>
          <w:iCs/>
          <w:color w:val="auto"/>
          <w:u w:color="000000"/>
        </w:rPr>
        <w:t>āyatati</w:t>
      </w:r>
      <w:proofErr w:type="spellEnd"/>
      <w:r w:rsidRPr="00DC1A5F">
        <w:rPr>
          <w:color w:val="auto"/>
          <w:u w:color="000000"/>
        </w:rPr>
        <w:t xml:space="preserve">, de actuar); </w:t>
      </w:r>
      <w:proofErr w:type="spellStart"/>
      <w:r w:rsidRPr="00DC1A5F">
        <w:rPr>
          <w:i/>
          <w:iCs/>
          <w:color w:val="auto"/>
          <w:u w:color="000000"/>
        </w:rPr>
        <w:t>tanana</w:t>
      </w:r>
      <w:proofErr w:type="spellEnd"/>
      <w:r w:rsidRPr="00DC1A5F">
        <w:rPr>
          <w:color w:val="auto"/>
          <w:u w:color="000000"/>
        </w:rPr>
        <w:t xml:space="preserve"> (ranquear: sustantivo verbal. f. m. </w:t>
      </w:r>
      <w:proofErr w:type="spellStart"/>
      <w:r w:rsidRPr="00DC1A5F">
        <w:rPr>
          <w:i/>
          <w:iCs/>
          <w:color w:val="auto"/>
          <w:u w:color="000000"/>
        </w:rPr>
        <w:t>tanoti</w:t>
      </w:r>
      <w:proofErr w:type="spellEnd"/>
      <w:r w:rsidRPr="00DC1A5F">
        <w:rPr>
          <w:color w:val="auto"/>
          <w:u w:color="000000"/>
        </w:rPr>
        <w:t xml:space="preserve">, de proporcionar un rango a, extender – </w:t>
      </w:r>
      <w:proofErr w:type="spellStart"/>
      <w:r w:rsidRPr="00DC1A5F">
        <w:rPr>
          <w:color w:val="auto"/>
          <w:u w:color="000000"/>
        </w:rPr>
        <w:t>q.v</w:t>
      </w:r>
      <w:proofErr w:type="spellEnd"/>
      <w:r w:rsidRPr="00DC1A5F">
        <w:rPr>
          <w:color w:val="auto"/>
          <w:u w:color="000000"/>
        </w:rPr>
        <w:t xml:space="preserve">. PED —; mencionado bajo </w:t>
      </w:r>
      <w:proofErr w:type="spellStart"/>
      <w:r w:rsidRPr="00DC1A5F">
        <w:rPr>
          <w:i/>
          <w:iCs/>
          <w:color w:val="auto"/>
          <w:u w:color="000000"/>
        </w:rPr>
        <w:t>āyatana</w:t>
      </w:r>
      <w:proofErr w:type="spellEnd"/>
      <w:r w:rsidRPr="00DC1A5F">
        <w:rPr>
          <w:color w:val="auto"/>
          <w:u w:color="000000"/>
        </w:rPr>
        <w:t xml:space="preserve">, base); </w:t>
      </w:r>
      <w:proofErr w:type="spellStart"/>
      <w:r w:rsidRPr="00DC1A5F">
        <w:rPr>
          <w:i/>
          <w:iCs/>
          <w:color w:val="auto"/>
          <w:u w:color="000000"/>
        </w:rPr>
        <w:t>nayana</w:t>
      </w:r>
      <w:proofErr w:type="spellEnd"/>
      <w:r w:rsidRPr="00DC1A5F">
        <w:rPr>
          <w:color w:val="auto"/>
          <w:u w:color="000000"/>
        </w:rPr>
        <w:t xml:space="preserve"> (conducción sobre: sustantivo verbal f. m. </w:t>
      </w:r>
      <w:proofErr w:type="spellStart"/>
      <w:r w:rsidRPr="00DC1A5F">
        <w:rPr>
          <w:i/>
          <w:iCs/>
          <w:color w:val="auto"/>
          <w:u w:color="000000"/>
        </w:rPr>
        <w:t>neti</w:t>
      </w:r>
      <w:proofErr w:type="spellEnd"/>
      <w:r w:rsidRPr="00DC1A5F">
        <w:rPr>
          <w:color w:val="auto"/>
          <w:u w:color="000000"/>
        </w:rPr>
        <w:t xml:space="preserve">, de conducir; significado literal no encontrado en el PED); </w:t>
      </w:r>
      <w:proofErr w:type="spellStart"/>
      <w:r w:rsidRPr="00DC1A5F">
        <w:rPr>
          <w:i/>
          <w:iCs/>
          <w:color w:val="auto"/>
          <w:u w:color="000000"/>
        </w:rPr>
        <w:t>āyatati</w:t>
      </w:r>
      <w:proofErr w:type="spellEnd"/>
      <w:r w:rsidRPr="00DC1A5F">
        <w:rPr>
          <w:color w:val="auto"/>
          <w:u w:color="000000"/>
        </w:rPr>
        <w:t xml:space="preserve"> (actuar–</w:t>
      </w:r>
      <w:proofErr w:type="spellStart"/>
      <w:r w:rsidRPr="00DC1A5F">
        <w:rPr>
          <w:i/>
          <w:iCs/>
          <w:color w:val="auto"/>
          <w:u w:color="000000"/>
        </w:rPr>
        <w:t>cakkhuvivimanāóādīnaṃ</w:t>
      </w:r>
      <w:proofErr w:type="spellEnd"/>
      <w:r w:rsidRPr="00DC1A5F">
        <w:rPr>
          <w:i/>
          <w:iCs/>
          <w:color w:val="auto"/>
          <w:u w:color="000000"/>
        </w:rPr>
        <w:t xml:space="preserve"> </w:t>
      </w:r>
      <w:proofErr w:type="spellStart"/>
      <w:r w:rsidRPr="00DC1A5F">
        <w:rPr>
          <w:i/>
          <w:iCs/>
          <w:color w:val="auto"/>
          <w:u w:color="000000"/>
        </w:rPr>
        <w:t>uppādanaṃ</w:t>
      </w:r>
      <w:proofErr w:type="spellEnd"/>
      <w:r w:rsidRPr="00DC1A5F">
        <w:rPr>
          <w:i/>
          <w:iCs/>
          <w:color w:val="auto"/>
          <w:u w:color="000000"/>
        </w:rPr>
        <w:t xml:space="preserve"> </w:t>
      </w:r>
      <w:proofErr w:type="spellStart"/>
      <w:r w:rsidRPr="00DC1A5F">
        <w:rPr>
          <w:i/>
          <w:iCs/>
          <w:color w:val="auto"/>
          <w:u w:color="000000"/>
        </w:rPr>
        <w:t>āyatanaí</w:t>
      </w:r>
      <w:proofErr w:type="spellEnd"/>
      <w:r w:rsidRPr="00DC1A5F">
        <w:rPr>
          <w:color w:val="auto"/>
          <w:u w:color="000000"/>
        </w:rPr>
        <w:t xml:space="preserve">,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Ver también </w:t>
      </w:r>
      <w:proofErr w:type="spellStart"/>
      <w:r w:rsidRPr="00DC1A5F">
        <w:rPr>
          <w:i/>
          <w:iCs/>
          <w:color w:val="auto"/>
          <w:u w:color="000000"/>
        </w:rPr>
        <w:t>āyāpenti</w:t>
      </w:r>
      <w:proofErr w:type="spellEnd"/>
      <w:r w:rsidRPr="00DC1A5F">
        <w:rPr>
          <w:color w:val="auto"/>
          <w:u w:color="000000"/>
        </w:rPr>
        <w:t xml:space="preserve"> </w:t>
      </w:r>
      <w:proofErr w:type="spellStart"/>
      <w:r w:rsidRPr="00DC1A5F">
        <w:rPr>
          <w:i/>
          <w:iCs/>
          <w:color w:val="auto"/>
          <w:u w:color="000000"/>
        </w:rPr>
        <w:t>Paṭis</w:t>
      </w:r>
      <w:proofErr w:type="spellEnd"/>
      <w:r w:rsidRPr="00DC1A5F">
        <w:rPr>
          <w:color w:val="auto"/>
          <w:u w:color="000000"/>
        </w:rPr>
        <w:t xml:space="preserve"> II 21</w:t>
      </w:r>
    </w:p>
    <w:p w14:paraId="06899A7F" w14:textId="77777777" w:rsidR="00597DE2" w:rsidRPr="00DC1A5F" w:rsidRDefault="00597DE2" w:rsidP="00597DE2">
      <w:pPr>
        <w:tabs>
          <w:tab w:val="clear" w:pos="425"/>
        </w:tabs>
        <w:spacing w:after="160"/>
      </w:pPr>
      <w:r w:rsidRPr="00DC1A5F">
        <w:br w:type="page"/>
      </w:r>
    </w:p>
    <w:p w14:paraId="67F8B8D9" w14:textId="77777777" w:rsidR="00597DE2" w:rsidRPr="00DC1A5F" w:rsidRDefault="00597DE2" w:rsidP="00597DE2">
      <w:pPr>
        <w:pStyle w:val="Textoindependiente"/>
      </w:pPr>
      <w:r w:rsidRPr="00DC1A5F">
        <w:lastRenderedPageBreak/>
        <w:t xml:space="preserve">5. </w:t>
      </w:r>
      <w:r w:rsidRPr="00DC1A5F">
        <w:tab/>
        <w:t>Además, “La base, (</w:t>
      </w:r>
      <w:proofErr w:type="spellStart"/>
      <w:r w:rsidRPr="00DC1A5F">
        <w:rPr>
          <w:i/>
          <w:iCs/>
        </w:rPr>
        <w:t>āyatana</w:t>
      </w:r>
      <w:proofErr w:type="spellEnd"/>
      <w:r w:rsidRPr="00DC1A5F">
        <w:t>) deberá entenderse en el sentido del lugar de residencia, de un almacén (mina)</w:t>
      </w:r>
      <w:r w:rsidRPr="00DC1A5F">
        <w:rPr>
          <w:vertAlign w:val="superscript"/>
        </w:rPr>
        <w:t>3</w:t>
      </w:r>
      <w:r w:rsidRPr="00DC1A5F">
        <w:t>, el lugar de reunión, el local del nacimiento y de la causa. Ya que en el mundo, en frases tales como la “esfera del Señor” (</w:t>
      </w:r>
      <w:proofErr w:type="spellStart"/>
      <w:r w:rsidRPr="00DC1A5F">
        <w:rPr>
          <w:i/>
          <w:iCs/>
        </w:rPr>
        <w:t>āyatana</w:t>
      </w:r>
      <w:proofErr w:type="spellEnd"/>
      <w:r w:rsidRPr="00DC1A5F">
        <w:t xml:space="preserve">) y “la esfera de </w:t>
      </w:r>
      <w:proofErr w:type="spellStart"/>
      <w:r w:rsidRPr="00DC1A5F">
        <w:rPr>
          <w:i/>
        </w:rPr>
        <w:t>Vāsudeva</w:t>
      </w:r>
      <w:proofErr w:type="spellEnd"/>
      <w:r w:rsidRPr="00DC1A5F">
        <w:t>” (</w:t>
      </w:r>
      <w:proofErr w:type="spellStart"/>
      <w:r w:rsidRPr="00DC1A5F">
        <w:rPr>
          <w:i/>
          <w:iCs/>
        </w:rPr>
        <w:t>āyatana</w:t>
      </w:r>
      <w:proofErr w:type="spellEnd"/>
      <w:r w:rsidRPr="00DC1A5F">
        <w:t>), corresponderá al lugar de residencia a lo que se le llamará “base”; y en frases como “la esfera del oro” y “la esfera de la plata” corresponderá al almacén (mina) a lo que se le llamará “base”. No obstante, en la dispensación, en pasajes como:</w:t>
      </w:r>
    </w:p>
    <w:p w14:paraId="4BD85E4F" w14:textId="77777777" w:rsidR="00597DE2" w:rsidRPr="00DC1A5F" w:rsidRDefault="00597DE2" w:rsidP="00597DE2">
      <w:pPr>
        <w:pStyle w:val="VersoIngls01Sangria"/>
        <w:rPr>
          <w:sz w:val="16"/>
          <w:szCs w:val="20"/>
        </w:rPr>
      </w:pPr>
      <w:r w:rsidRPr="00DC1A5F">
        <w:rPr>
          <w:sz w:val="16"/>
          <w:szCs w:val="20"/>
        </w:rPr>
        <w:t>“Y así, en el reino placentero (</w:t>
      </w:r>
      <w:proofErr w:type="spellStart"/>
      <w:r w:rsidRPr="00DC1A5F">
        <w:rPr>
          <w:i/>
          <w:iCs/>
          <w:sz w:val="16"/>
          <w:szCs w:val="20"/>
        </w:rPr>
        <w:t>āyatana</w:t>
      </w:r>
      <w:proofErr w:type="spellEnd"/>
      <w:r w:rsidRPr="00DC1A5F">
        <w:rPr>
          <w:sz w:val="16"/>
          <w:szCs w:val="20"/>
        </w:rPr>
        <w:t xml:space="preserve">), </w:t>
      </w:r>
    </w:p>
    <w:p w14:paraId="46A6D1BE" w14:textId="77777777" w:rsidR="00597DE2" w:rsidRPr="00DC1A5F" w:rsidRDefault="00597DE2" w:rsidP="00597DE2">
      <w:pPr>
        <w:pStyle w:val="VersoIngls01Sangria"/>
        <w:rPr>
          <w:sz w:val="16"/>
          <w:szCs w:val="20"/>
        </w:rPr>
      </w:pPr>
      <w:r w:rsidRPr="00DC1A5F">
        <w:rPr>
          <w:sz w:val="16"/>
          <w:szCs w:val="20"/>
        </w:rPr>
        <w:t>los que vuelan por el aire lo asisten” (A III 43),</w:t>
      </w:r>
    </w:p>
    <w:p w14:paraId="08C94616" w14:textId="77777777" w:rsidR="00597DE2" w:rsidRPr="00DC1A5F" w:rsidRDefault="00597DE2" w:rsidP="00597DE2">
      <w:pPr>
        <w:pStyle w:val="VersoIngls01Sangria"/>
      </w:pPr>
    </w:p>
    <w:p w14:paraId="2C926839" w14:textId="77777777" w:rsidR="00597DE2" w:rsidRPr="00DC1A5F" w:rsidRDefault="00597DE2" w:rsidP="00597DE2">
      <w:pPr>
        <w:pStyle w:val="NormalConSangria"/>
      </w:pPr>
      <w:r w:rsidRPr="00DC1A5F">
        <w:t>Corresponderá a un lugar de reunión; y en frases como “la tierra del sur es el reino (</w:t>
      </w:r>
      <w:proofErr w:type="spellStart"/>
      <w:r w:rsidRPr="00DC1A5F">
        <w:rPr>
          <w:i/>
          <w:iCs/>
        </w:rPr>
        <w:t>āyatana</w:t>
      </w:r>
      <w:proofErr w:type="spellEnd"/>
      <w:r w:rsidRPr="00DC1A5F">
        <w:t>) del ganado” (?) corresponderá al local de nacimiento; y en pasajes como “él adquiere la capacidad de ser testigo de ello... cada vez que haya una ocasión (</w:t>
      </w:r>
      <w:proofErr w:type="spellStart"/>
      <w:r w:rsidRPr="00DC1A5F">
        <w:rPr>
          <w:i/>
          <w:iCs/>
        </w:rPr>
        <w:t>āyatana</w:t>
      </w:r>
      <w:proofErr w:type="spellEnd"/>
      <w:r w:rsidRPr="00DC1A5F">
        <w:t>) al respecto” (m i 494; a i 258), corresponderá a una causa.</w:t>
      </w:r>
    </w:p>
    <w:p w14:paraId="07B52F52" w14:textId="77777777" w:rsidR="00597DE2" w:rsidRPr="00DC1A5F" w:rsidRDefault="00597DE2" w:rsidP="00597DE2">
      <w:r w:rsidRPr="00DC1A5F">
        <w:t xml:space="preserve">6. </w:t>
      </w:r>
      <w:r w:rsidRPr="00DC1A5F">
        <w:tab/>
        <w:t xml:space="preserve">Y estos diversos estados de consciencia y sus concomitantes habitarán en los ojos, etc., porque existirán en dependencia con ellos, por lo que el ojo, etc., será su </w:t>
      </w:r>
      <w:r w:rsidRPr="00DC1A5F">
        <w:rPr>
          <w:i/>
          <w:iCs/>
        </w:rPr>
        <w:t>lugar de residencia</w:t>
      </w:r>
      <w:r w:rsidRPr="00DC1A5F">
        <w:t xml:space="preserve">. Y frecuentarán al ojo, etc., porque los adoptarán, respectivamente, como su soporte material y como su objeto, así el ojo, etc., corresponderá a su </w:t>
      </w:r>
      <w:r w:rsidRPr="00DC1A5F">
        <w:rPr>
          <w:i/>
          <w:iCs/>
        </w:rPr>
        <w:t>almacén</w:t>
      </w:r>
      <w:r w:rsidRPr="00DC1A5F">
        <w:t xml:space="preserve">. Y los ojos, etc., corresponderán a su </w:t>
      </w:r>
      <w:r w:rsidRPr="00DC1A5F">
        <w:rPr>
          <w:i/>
          <w:iCs/>
        </w:rPr>
        <w:t>lugar de reunión</w:t>
      </w:r>
      <w:r w:rsidRPr="00DC1A5F">
        <w:t xml:space="preserve"> ya que se reunirán en uno u otro lugar en los que ellos estén, usándolos como una base física, puerta y objeto. Y los ojos, etc., corresponderán al </w:t>
      </w:r>
      <w:r w:rsidRPr="00DC1A5F">
        <w:rPr>
          <w:i/>
          <w:iCs/>
        </w:rPr>
        <w:t>local de su nacimiento</w:t>
      </w:r>
      <w:r w:rsidRPr="00DC1A5F">
        <w:t xml:space="preserve"> porque surgirán justo allí, teniéndolos como sus respectivos soportes y objetos. Y el ojo, etc., corresponderá a su </w:t>
      </w:r>
      <w:r w:rsidRPr="00DC1A5F">
        <w:rPr>
          <w:i/>
          <w:iCs/>
        </w:rPr>
        <w:t>razón</w:t>
      </w:r>
      <w:r w:rsidRPr="00DC1A5F">
        <w:t xml:space="preserve"> de ser porque estarán ausentes cuando el ojo, etc., esté ausente.</w:t>
      </w:r>
    </w:p>
    <w:p w14:paraId="4CE523BF" w14:textId="77777777" w:rsidR="00597DE2" w:rsidRPr="00DC1A5F" w:rsidRDefault="00597DE2" w:rsidP="00597DE2">
      <w:r w:rsidRPr="00DC1A5F">
        <w:t xml:space="preserve">7. </w:t>
      </w:r>
      <w:r w:rsidRPr="00DC1A5F">
        <w:tab/>
        <w:t>Entonces, también por estas razones, a estas cosas se les llamarán “bases” en el sentido del lugar de residencia, de almacén, de lugar de reunión, de local de nacimiento y de razón de ser.</w:t>
      </w:r>
    </w:p>
    <w:p w14:paraId="0D9930C1" w14:textId="77777777" w:rsidR="00597DE2" w:rsidRPr="00DC1A5F" w:rsidRDefault="00597DE2" w:rsidP="00597DE2">
      <w:pPr>
        <w:pStyle w:val="NormalConSangria"/>
      </w:pPr>
      <w:r w:rsidRPr="00DC1A5F">
        <w:t>En consecuencia, en el sentido ya declarado, será un ojo y eso corresponderá a una base, por lo tanto, corresponderá a la base del ojo... corresponderá a los objetos mentales y esos corresponderán s una base, por lo tanto, corresponderá a la base de los objetos mentales.</w:t>
      </w:r>
    </w:p>
    <w:p w14:paraId="48F011D6" w14:textId="77777777" w:rsidR="00597DE2" w:rsidRPr="00DC1A5F" w:rsidRDefault="00597DE2" w:rsidP="00597DE2">
      <w:pPr>
        <w:pStyle w:val="NormalConSangria"/>
      </w:pPr>
      <w:r w:rsidRPr="00DC1A5F">
        <w:t>Así es como se deberá conocerse la exposición aquí en cuanto al significado.</w:t>
      </w:r>
    </w:p>
    <w:p w14:paraId="3CE921A6" w14:textId="77777777" w:rsidR="00597DE2" w:rsidRPr="00DC1A5F" w:rsidRDefault="00597DE2" w:rsidP="00597DE2">
      <w:r w:rsidRPr="00DC1A5F">
        <w:t xml:space="preserve">8. </w:t>
      </w:r>
      <w:r w:rsidRPr="00DC1A5F">
        <w:tab/>
      </w:r>
      <w:r w:rsidRPr="00DC1A5F">
        <w:rPr>
          <w:i/>
          <w:iCs/>
        </w:rPr>
        <w:t>2</w:t>
      </w:r>
      <w:r w:rsidRPr="00DC1A5F">
        <w:t xml:space="preserve">. En cuanto al </w:t>
      </w:r>
      <w:r w:rsidRPr="00DC1A5F">
        <w:rPr>
          <w:i/>
          <w:iCs/>
        </w:rPr>
        <w:t>carácter</w:t>
      </w:r>
      <w:r w:rsidRPr="00DC1A5F">
        <w:t>: Aquí también la exposición deberá conocerse en cuanto a la característica del ojo, etc. No obstante, sus características deberán entenderse en la forma expuesta anteriormente en la descripción de los agregados (xiv.37ff.).</w:t>
      </w:r>
    </w:p>
    <w:p w14:paraId="56BCAE27" w14:textId="77777777" w:rsidR="00597DE2" w:rsidRPr="00DC1A5F" w:rsidRDefault="00597DE2" w:rsidP="00597DE2">
      <w:r w:rsidRPr="00DC1A5F">
        <w:t>9.</w:t>
      </w:r>
      <w:r w:rsidRPr="00DC1A5F">
        <w:tab/>
        <w:t xml:space="preserve"> 3. </w:t>
      </w:r>
      <w:r w:rsidRPr="00DC1A5F">
        <w:rPr>
          <w:i/>
          <w:iCs/>
        </w:rPr>
        <w:t>En cuanto a la cantidad</w:t>
      </w:r>
      <w:r w:rsidRPr="00DC1A5F">
        <w:t>: serán tantos.</w:t>
      </w:r>
      <w:r w:rsidRPr="00DC1A5F">
        <w:rPr>
          <w:vertAlign w:val="superscript"/>
        </w:rPr>
        <w:t>4</w:t>
      </w:r>
      <w:r w:rsidRPr="00DC1A5F">
        <w:t xml:space="preserve"> Lo que se entenderá es lo siguiente: el ojo, etc., también corresponderá a los objetos mentales; Siendo así, ¿por qué se dice “las doce bases” en lugar de decir simplemente “la base de los objetos mentales”? Es para definir cada objeto de puerta en puerta, para el surgimiento de los seis grupos de consciencia. Y aquí se declararán como 12, ya que es así cómo se clasificarán cuando así se definan. [483]</w:t>
      </w:r>
    </w:p>
    <w:p w14:paraId="1F71E7A2" w14:textId="77777777" w:rsidR="00597DE2" w:rsidRPr="00DC1A5F" w:rsidRDefault="00597DE2" w:rsidP="00597DE2">
      <w:r w:rsidRPr="00DC1A5F">
        <w:t xml:space="preserve">10. </w:t>
      </w:r>
      <w:r w:rsidRPr="00DC1A5F">
        <w:tab/>
        <w:t>Sólo la base de los ojos corresponderá a la puerta del surgimiento y solo la base de los objetos visibles al objeto, del grupo de consciencias compuesto de una serie cognitiva que contenga una consciencia visual. Del mismo modo serán los demás sentidos para las demás bases.</w:t>
      </w:r>
    </w:p>
    <w:p w14:paraId="6FD0070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AAB1EFE" w14:textId="77777777" w:rsidR="00597DE2" w:rsidRPr="00DC1A5F" w:rsidRDefault="00597DE2" w:rsidP="00597DE2">
      <w:pPr>
        <w:pStyle w:val="PiedepginaLegal"/>
        <w:numPr>
          <w:ilvl w:val="0"/>
          <w:numId w:val="4"/>
        </w:numPr>
        <w:tabs>
          <w:tab w:val="clear" w:pos="425"/>
        </w:tabs>
        <w:ind w:left="284" w:hanging="284"/>
      </w:pPr>
      <w:proofErr w:type="spellStart"/>
      <w:r w:rsidRPr="00DC1A5F">
        <w:rPr>
          <w:i/>
          <w:iCs/>
        </w:rPr>
        <w:t>Ākara</w:t>
      </w:r>
      <w:proofErr w:type="spellEnd"/>
      <w:r w:rsidRPr="00DC1A5F">
        <w:t xml:space="preserve"> significa una mina o un depósito (PED aparentemente cree en la minería para las perlas: ver </w:t>
      </w:r>
      <w:proofErr w:type="spellStart"/>
      <w:r w:rsidRPr="00DC1A5F">
        <w:rPr>
          <w:i/>
          <w:iCs/>
        </w:rPr>
        <w:t>ratanākara</w:t>
      </w:r>
      <w:proofErr w:type="spellEnd"/>
      <w:r w:rsidRPr="00DC1A5F">
        <w:t>).</w:t>
      </w:r>
    </w:p>
    <w:p w14:paraId="31D0C2A0" w14:textId="77777777" w:rsidR="00597DE2" w:rsidRPr="00DC1A5F" w:rsidRDefault="00597DE2" w:rsidP="00597DE2">
      <w:pPr>
        <w:pStyle w:val="PiedepginaLegal"/>
        <w:numPr>
          <w:ilvl w:val="0"/>
          <w:numId w:val="4"/>
        </w:numPr>
        <w:tabs>
          <w:tab w:val="clear" w:pos="425"/>
        </w:tabs>
        <w:ind w:left="284" w:hanging="284"/>
      </w:pPr>
      <w:r w:rsidRPr="00DC1A5F">
        <w:t>“Debido a la ausencia de cualquier cosa que no se incluya en las doce bases, no se puede argumentar que sean más de doce” (</w:t>
      </w:r>
      <w:proofErr w:type="spellStart"/>
      <w:r w:rsidRPr="00DC1A5F">
        <w:t>Vism</w:t>
      </w:r>
      <w:proofErr w:type="spellEnd"/>
      <w:r w:rsidRPr="00DC1A5F">
        <w:t>–</w:t>
      </w:r>
      <w:proofErr w:type="spellStart"/>
      <w:r w:rsidRPr="00DC1A5F">
        <w:t>Mhṭ</w:t>
      </w:r>
      <w:proofErr w:type="spellEnd"/>
      <w:r w:rsidRPr="00DC1A5F">
        <w:t xml:space="preserve"> 510).</w:t>
      </w:r>
    </w:p>
    <w:p w14:paraId="30C7517D" w14:textId="77777777" w:rsidR="00597DE2" w:rsidRPr="00DC1A5F" w:rsidRDefault="00597DE2" w:rsidP="00597DE2">
      <w:pPr>
        <w:tabs>
          <w:tab w:val="clear" w:pos="425"/>
        </w:tabs>
        <w:spacing w:after="160"/>
      </w:pPr>
      <w:r w:rsidRPr="00DC1A5F">
        <w:br w:type="page"/>
      </w:r>
    </w:p>
    <w:p w14:paraId="698DE852" w14:textId="77777777" w:rsidR="00597DE2" w:rsidRPr="00DC1A5F" w:rsidRDefault="00597DE2" w:rsidP="00597DE2">
      <w:pPr>
        <w:pStyle w:val="NormalConSangria"/>
      </w:pPr>
      <w:r w:rsidRPr="00DC1A5F">
        <w:lastRenderedPageBreak/>
        <w:t>No obstante, solo una parte de la base mental, en otras palabras, la mente del continuum vital,</w:t>
      </w:r>
      <w:r w:rsidRPr="00DC1A5F">
        <w:rPr>
          <w:vertAlign w:val="superscript"/>
        </w:rPr>
        <w:t>5</w:t>
      </w:r>
      <w:r w:rsidRPr="00DC1A5F">
        <w:t xml:space="preserve"> corresponderá a la puerta del surgimiento y solo la base de los objetos mentales no común a todos corresponderá al objeto, del sexto grupo de consciencia.</w:t>
      </w:r>
    </w:p>
    <w:p w14:paraId="04168FAC" w14:textId="77777777" w:rsidR="00597DE2" w:rsidRPr="00DC1A5F" w:rsidRDefault="00597DE2" w:rsidP="00597DE2">
      <w:pPr>
        <w:pStyle w:val="NormalConSangria"/>
      </w:pPr>
      <w:r w:rsidRPr="00DC1A5F">
        <w:t xml:space="preserve">Por lo tanto, se les llamarán “las doce bases” porque definirán al </w:t>
      </w:r>
      <w:r w:rsidRPr="00DC1A5F">
        <w:rPr>
          <w:color w:val="833C0B" w:themeColor="accent2" w:themeShade="80"/>
        </w:rPr>
        <w:t xml:space="preserve">objeto de cada puerta </w:t>
      </w:r>
      <w:r w:rsidRPr="00DC1A5F">
        <w:t xml:space="preserve">para el surgimiento de los seis grupos de consciencia. Así es cómo se deberá conocer la exposición aquí en cuanto a la </w:t>
      </w:r>
      <w:r w:rsidRPr="00DC1A5F">
        <w:rPr>
          <w:i/>
          <w:iCs/>
        </w:rPr>
        <w:t>cantidad</w:t>
      </w:r>
      <w:r w:rsidRPr="00DC1A5F">
        <w:t>.</w:t>
      </w:r>
    </w:p>
    <w:p w14:paraId="709272F4" w14:textId="77777777" w:rsidR="00597DE2" w:rsidRPr="00DC1A5F" w:rsidRDefault="00597DE2" w:rsidP="00597DE2">
      <w:r w:rsidRPr="00DC1A5F">
        <w:t xml:space="preserve">11. </w:t>
      </w:r>
      <w:r w:rsidRPr="00DC1A5F">
        <w:tab/>
        <w:t xml:space="preserve">4. </w:t>
      </w:r>
      <w:r w:rsidRPr="00DC1A5F">
        <w:rPr>
          <w:i/>
          <w:iCs/>
        </w:rPr>
        <w:t>En cuanto al orden</w:t>
      </w:r>
      <w:r w:rsidRPr="00DC1A5F">
        <w:t xml:space="preserve">: Aquí también, del “orden de surgimiento”, etc., mencionado anteriormente (XIV.211), solo será apropiado “el orden de la enseñanza”. Ya que el ojo se expondrá primero entre las bases internas, ya que será obvio debido a que posee como campo objetivo lo que se observe con resistencia (ver </w:t>
      </w:r>
      <w:proofErr w:type="spellStart"/>
      <w:r w:rsidRPr="00DC1A5F">
        <w:rPr>
          <w:i/>
          <w:iCs/>
        </w:rPr>
        <w:t>Last</w:t>
      </w:r>
      <w:proofErr w:type="spellEnd"/>
      <w:r w:rsidRPr="00DC1A5F">
        <w:rPr>
          <w:i/>
          <w:iCs/>
        </w:rPr>
        <w:t xml:space="preserve"> Triad</w:t>
      </w:r>
      <w:r w:rsidRPr="00DC1A5F">
        <w:t xml:space="preserve">, </w:t>
      </w:r>
      <w:proofErr w:type="spellStart"/>
      <w:r w:rsidRPr="00DC1A5F">
        <w:t>Dhs</w:t>
      </w:r>
      <w:proofErr w:type="spellEnd"/>
      <w:r w:rsidRPr="00DC1A5F">
        <w:t xml:space="preserve"> 2). Después de ello, la base del oído, etc., que tendrá como su objetivo lo que sea invisible con resistencia. O alternativamente, la base de los ojos y la base del oído se expondrán primero entre las bases internas debido a sus grandes contribuciones como sus respectivas causas de lo “incomparable de ver” y lo “incomparable de oír” (ver D III 250). Posteriormente, las tres bases comenzando con la base de la nariz. Y la base mental se expondrá al último porque tendrá como resort los campos objetivos de las otros cinco </w:t>
      </w:r>
      <w:r w:rsidRPr="00DC1A5F">
        <w:rPr>
          <w:color w:val="833C0B" w:themeColor="accent2" w:themeShade="80"/>
        </w:rPr>
        <w:t xml:space="preserve">bases </w:t>
      </w:r>
      <w:r w:rsidRPr="00DC1A5F">
        <w:t>(m i 295). No obstante, entre las bases externas, la base de objetos visibles, etc., se expondrá cada uno a continuación de su base interna correspondiente porque serán los respectivos resorts de la base del ojo, etc.</w:t>
      </w:r>
    </w:p>
    <w:p w14:paraId="3D50E0B2" w14:textId="77777777" w:rsidR="00597DE2" w:rsidRPr="00DC1A5F" w:rsidRDefault="00597DE2" w:rsidP="00597DE2">
      <w:r w:rsidRPr="00DC1A5F">
        <w:t xml:space="preserve">12. </w:t>
      </w:r>
      <w:r w:rsidRPr="00DC1A5F">
        <w:tab/>
        <w:t>Además, su orden podrá entenderse como aquello en donde se definan las razones de la consciencia que surjan; Y se dice al respecto: “Debido a los ojos y a los objetos visibles surge la consciencia, ... debido a la mente y los objetos mentales surge la consciencia mental” (M I 111).</w:t>
      </w:r>
    </w:p>
    <w:p w14:paraId="62C8CF6C" w14:textId="77777777" w:rsidR="00597DE2" w:rsidRPr="00DC1A5F" w:rsidRDefault="00597DE2" w:rsidP="00597DE2">
      <w:pPr>
        <w:pStyle w:val="NormalConSangria"/>
      </w:pPr>
      <w:r w:rsidRPr="00DC1A5F">
        <w:t xml:space="preserve">Así es cómo se debe conocer la exposición aquí en cuanto al </w:t>
      </w:r>
      <w:r w:rsidRPr="00DC1A5F">
        <w:rPr>
          <w:i/>
          <w:iCs/>
        </w:rPr>
        <w:t>orden</w:t>
      </w:r>
      <w:r w:rsidRPr="00DC1A5F">
        <w:t>.</w:t>
      </w:r>
    </w:p>
    <w:p w14:paraId="4CCA5C5E" w14:textId="77777777" w:rsidR="00597DE2" w:rsidRPr="00DC1A5F" w:rsidRDefault="00597DE2" w:rsidP="00597DE2">
      <w:r w:rsidRPr="00DC1A5F">
        <w:t xml:space="preserve">13. </w:t>
      </w:r>
      <w:r w:rsidRPr="00DC1A5F">
        <w:tab/>
        <w:t xml:space="preserve">5. </w:t>
      </w:r>
      <w:r w:rsidRPr="00DC1A5F">
        <w:rPr>
          <w:i/>
          <w:iCs/>
        </w:rPr>
        <w:t>En resumen y en detalle</w:t>
      </w:r>
      <w:r w:rsidRPr="00DC1A5F">
        <w:t xml:space="preserve">: en </w:t>
      </w:r>
      <w:r w:rsidRPr="00DC1A5F">
        <w:rPr>
          <w:i/>
          <w:iCs/>
        </w:rPr>
        <w:t>resumen</w:t>
      </w:r>
      <w:r w:rsidRPr="00DC1A5F">
        <w:t>, las 12 bases serán simplemente mentalidad–materialidad, ya que la base mental y una parte de la base de los objetos mentales estarán incluidos en la mentalidad, y el resto de las bases en la materialidad.</w:t>
      </w:r>
    </w:p>
    <w:p w14:paraId="0A465ED7" w14:textId="77777777" w:rsidR="00597DE2" w:rsidRPr="00DC1A5F" w:rsidRDefault="00597DE2" w:rsidP="00597DE2">
      <w:r w:rsidRPr="00DC1A5F">
        <w:t xml:space="preserve">14. </w:t>
      </w:r>
      <w:r w:rsidRPr="00DC1A5F">
        <w:tab/>
        <w:t xml:space="preserve">No obstante, en </w:t>
      </w:r>
      <w:r w:rsidRPr="00DC1A5F">
        <w:rPr>
          <w:i/>
          <w:iCs/>
        </w:rPr>
        <w:t>detalle</w:t>
      </w:r>
      <w:r w:rsidRPr="00DC1A5F">
        <w:t>, en primer lugar, con respecto a las bases internas, la base del ojo será, en cuanto a la especie, simplemente una sensibilidad ocular; no obstante, cuando se clasifiquen según la condición, el destino, el orden de los seres y la persona,</w:t>
      </w:r>
      <w:r w:rsidRPr="00DC1A5F">
        <w:rPr>
          <w:vertAlign w:val="superscript"/>
        </w:rPr>
        <w:t>6</w:t>
      </w:r>
      <w:r w:rsidRPr="00DC1A5F">
        <w:t xml:space="preserve"> será de variedad infinita. Del mismo modo, los cuatro bases que comienzan con la base del oído. Y la base mental, cuando se clasifique de acuerdo con la consciencia productiva, improductiva, resultante y funcional, corresponderán a las 89 clases o a las 121 clases de consciencia,</w:t>
      </w:r>
      <w:r w:rsidRPr="00DC1A5F">
        <w:rPr>
          <w:vertAlign w:val="superscript"/>
        </w:rPr>
        <w:t>7</w:t>
      </w:r>
      <w:r w:rsidRPr="00DC1A5F">
        <w:t xml:space="preserve"> pero serán de variedad infinita </w:t>
      </w:r>
    </w:p>
    <w:p w14:paraId="48B105A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A33475D"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w:t>
      </w:r>
      <w:r w:rsidRPr="00DC1A5F">
        <w:rPr>
          <w:i/>
          <w:iCs/>
          <w:color w:val="auto"/>
          <w:u w:color="000000"/>
        </w:rPr>
        <w:t>En otras palabras, la mente del continuum vital”</w:t>
      </w:r>
      <w:r w:rsidRPr="00DC1A5F">
        <w:rPr>
          <w:color w:val="auto"/>
          <w:u w:color="000000"/>
        </w:rPr>
        <w:t xml:space="preserve">: lo que ocurra dos veces en una perturbación (ver cap. XIV, nota 46). Sólo cuando haya habido una ocurrencia del continuum vital en un estado de perturbación (en un estado de ocurrencia diferente) se encontrará allí el surgimiento de la advertencia, no de otra manera. Tomarlo así como una razón para la advertencia, a lo que se </w:t>
      </w:r>
      <w:proofErr w:type="gramStart"/>
      <w:r w:rsidRPr="00DC1A5F">
        <w:rPr>
          <w:color w:val="auto"/>
          <w:u w:color="000000"/>
        </w:rPr>
        <w:t>denomine  “</w:t>
      </w:r>
      <w:proofErr w:type="gramEnd"/>
      <w:r w:rsidRPr="00DC1A5F">
        <w:rPr>
          <w:color w:val="auto"/>
          <w:u w:color="000000"/>
        </w:rPr>
        <w:t xml:space="preserve">mente del </w:t>
      </w:r>
      <w:r w:rsidRPr="00DC1A5F">
        <w:rPr>
          <w:i/>
          <w:iCs/>
          <w:color w:val="auto"/>
          <w:u w:color="000000"/>
        </w:rPr>
        <w:t>continuum vital</w:t>
      </w:r>
      <w:r w:rsidRPr="00DC1A5F">
        <w:rPr>
          <w:color w:val="auto"/>
          <w:u w:color="000000"/>
        </w:rPr>
        <w:t>” corresponderá a una puerta del surgimiento. “</w:t>
      </w:r>
      <w:r w:rsidRPr="00DC1A5F">
        <w:rPr>
          <w:i/>
          <w:iCs/>
          <w:color w:val="auto"/>
          <w:u w:color="000000"/>
        </w:rPr>
        <w:t>No es común a todos</w:t>
      </w:r>
      <w:r w:rsidRPr="00DC1A5F">
        <w:rPr>
          <w:color w:val="auto"/>
          <w:u w:color="000000"/>
        </w:rPr>
        <w:t>” significará no común a la consciencia y al resto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510). Ver M I 293.</w:t>
      </w:r>
    </w:p>
    <w:p w14:paraId="2C459740"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 xml:space="preserve">La “condición” corresponderá al </w:t>
      </w:r>
      <w:proofErr w:type="spellStart"/>
      <w:r w:rsidRPr="00DC1A5F">
        <w:rPr>
          <w:i/>
          <w:color w:val="auto"/>
          <w:u w:color="000000"/>
        </w:rPr>
        <w:t>kamma</w:t>
      </w:r>
      <w:proofErr w:type="spellEnd"/>
      <w:r w:rsidRPr="00DC1A5F">
        <w:rPr>
          <w:color w:val="auto"/>
          <w:u w:color="000000"/>
        </w:rPr>
        <w:t xml:space="preserve">, etc.,” El “destino” corresponderá al infierno hasta las esferas superiores; “Orden de los seres” se referirá a especies como elefantes, caballos, etc., o a las castas </w:t>
      </w:r>
      <w:proofErr w:type="spellStart"/>
      <w:r w:rsidRPr="00DC1A5F">
        <w:rPr>
          <w:i/>
          <w:iCs/>
          <w:color w:val="auto"/>
          <w:u w:color="000000"/>
        </w:rPr>
        <w:t>khattiyas</w:t>
      </w:r>
      <w:proofErr w:type="spellEnd"/>
      <w:r w:rsidRPr="00DC1A5F">
        <w:rPr>
          <w:color w:val="auto"/>
          <w:u w:color="000000"/>
        </w:rPr>
        <w:t xml:space="preserve"> (nobles guerreros), etc.; La “persona” se referirá a la continuidad de cualquier determinado ser vivo”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511).</w:t>
      </w:r>
    </w:p>
    <w:p w14:paraId="04C82B46" w14:textId="77777777" w:rsidR="00597DE2" w:rsidRPr="00DC1A5F" w:rsidRDefault="00597DE2" w:rsidP="00597DE2">
      <w:pPr>
        <w:pStyle w:val="PiedepginaLegal"/>
        <w:numPr>
          <w:ilvl w:val="0"/>
          <w:numId w:val="4"/>
        </w:numPr>
        <w:tabs>
          <w:tab w:val="clear" w:pos="425"/>
        </w:tabs>
        <w:ind w:left="284" w:hanging="284"/>
      </w:pPr>
      <w:r w:rsidRPr="00DC1A5F">
        <w:t xml:space="preserve">Existe 81 tipos de consciencias mundanas; y dado que no se puede dar el sendero o la fruición sin los </w:t>
      </w:r>
      <w:proofErr w:type="spellStart"/>
      <w:r w:rsidRPr="00DC1A5F">
        <w:rPr>
          <w:i/>
        </w:rPr>
        <w:t>jhāna</w:t>
      </w:r>
      <w:proofErr w:type="spellEnd"/>
      <w:r w:rsidRPr="00DC1A5F">
        <w:t xml:space="preserve">, cuando los cuatro senderos y las cuatro fruiciones se multipliquen por los cinco </w:t>
      </w:r>
      <w:proofErr w:type="spellStart"/>
      <w:r w:rsidRPr="00DC1A5F">
        <w:rPr>
          <w:i/>
        </w:rPr>
        <w:t>jhāna</w:t>
      </w:r>
      <w:r w:rsidRPr="00DC1A5F">
        <w:t>s</w:t>
      </w:r>
      <w:proofErr w:type="spellEnd"/>
      <w:r w:rsidRPr="00DC1A5F">
        <w:t>, darán lugar a 40 tipos de consciencias supramundanas: 81 + 40 = 121.</w:t>
      </w:r>
    </w:p>
    <w:p w14:paraId="0E30D8AD" w14:textId="77777777" w:rsidR="00597DE2" w:rsidRPr="00DC1A5F" w:rsidRDefault="00597DE2" w:rsidP="00597DE2">
      <w:pPr>
        <w:tabs>
          <w:tab w:val="clear" w:pos="425"/>
        </w:tabs>
        <w:spacing w:after="160"/>
      </w:pPr>
      <w:r w:rsidRPr="00DC1A5F">
        <w:br w:type="page"/>
      </w:r>
    </w:p>
    <w:p w14:paraId="02F519D3" w14:textId="77777777" w:rsidR="00597DE2" w:rsidRPr="00DC1A5F" w:rsidRDefault="00597DE2" w:rsidP="00597DE2">
      <w:pPr>
        <w:pStyle w:val="Textoindependiente"/>
      </w:pPr>
      <w:r w:rsidRPr="00DC1A5F">
        <w:lastRenderedPageBreak/>
        <w:t xml:space="preserve">cuando se clasifiquen </w:t>
      </w:r>
      <w:proofErr w:type="gramStart"/>
      <w:r w:rsidRPr="00DC1A5F">
        <w:t>de acuerdo a</w:t>
      </w:r>
      <w:proofErr w:type="gramEnd"/>
      <w:r w:rsidRPr="00DC1A5F">
        <w:t xml:space="preserve"> la base física, al progreso, etc.</w:t>
      </w:r>
      <w:r w:rsidRPr="00DC1A5F">
        <w:rPr>
          <w:vertAlign w:val="superscript"/>
        </w:rPr>
        <w:t>8</w:t>
      </w:r>
      <w:r w:rsidRPr="00DC1A5F">
        <w:t xml:space="preserve"> Los objetos visibles, el sonido, el olor y las bases de sabor serán de variedad infinita cuando se clasifiquen según la diferencia, la condición, etc.</w:t>
      </w:r>
      <w:r w:rsidRPr="00DC1A5F">
        <w:rPr>
          <w:vertAlign w:val="superscript"/>
        </w:rPr>
        <w:t>9</w:t>
      </w:r>
      <w:r w:rsidRPr="00DC1A5F">
        <w:t xml:space="preserve"> La base de los objetos visibles será de tres tipos que consistirán del elemento tierra, el elemento fuego y el elemento viento; [484] No obstante, cuando se clasifiquen según la condición, etc., serán de muchos tipos. La base de los objetos mentales será de muchos tipos cuando se clasifique de acuerdo con las diversas esencias individuales de la sensación, la percepción, las formaciones, la materia sutil y el </w:t>
      </w:r>
      <w:r w:rsidRPr="00DC1A5F">
        <w:rPr>
          <w:i/>
          <w:iCs/>
        </w:rPr>
        <w:t>nibbāna</w:t>
      </w:r>
      <w:r w:rsidRPr="00DC1A5F">
        <w:t xml:space="preserve"> (ver </w:t>
      </w:r>
      <w:proofErr w:type="spellStart"/>
      <w:r w:rsidRPr="00DC1A5F">
        <w:t>Vibh</w:t>
      </w:r>
      <w:proofErr w:type="spellEnd"/>
      <w:r w:rsidRPr="00DC1A5F">
        <w:t>. 72).</w:t>
      </w:r>
    </w:p>
    <w:p w14:paraId="0FEC773E" w14:textId="77777777" w:rsidR="00597DE2" w:rsidRPr="00DC1A5F" w:rsidRDefault="00597DE2" w:rsidP="00597DE2">
      <w:pPr>
        <w:pStyle w:val="NormalConSangria"/>
      </w:pPr>
      <w:r w:rsidRPr="00DC1A5F">
        <w:t>Así es cómo la exposición deberá ser conocida en resumen y en detalle.</w:t>
      </w:r>
    </w:p>
    <w:p w14:paraId="7DA732DB" w14:textId="77777777" w:rsidR="00597DE2" w:rsidRPr="00DC1A5F" w:rsidRDefault="00597DE2" w:rsidP="00597DE2">
      <w:pPr>
        <w:spacing w:after="160"/>
      </w:pPr>
      <w:r w:rsidRPr="00DC1A5F">
        <w:t xml:space="preserve">15. </w:t>
      </w:r>
      <w:r w:rsidRPr="00DC1A5F">
        <w:tab/>
        <w:t xml:space="preserve">6. </w:t>
      </w:r>
      <w:r w:rsidRPr="00DC1A5F">
        <w:rPr>
          <w:i/>
          <w:iCs/>
        </w:rPr>
        <w:t>En cuanto a cómo ser apreciado</w:t>
      </w:r>
      <w:r w:rsidRPr="00DC1A5F">
        <w:t xml:space="preserve">: aquí se deben considerar que todas las bases formadas no tienen procedencia ni destino. Ya que no vienen de ningún lado antes de su surgimiento, ni van hacia ningún lado después de su desaparición. Por el contrario, antes de su surgimiento no poseen esencia individual y después de su desaparición, sus esencias individuales se disuelven por completo. Ellas ocurren sin un dominio, son ejercidas sobre ellas, ya que existen en dependencia con las condiciones, entre el pasado y el futuro. Por lo tanto, se debe considerar que ellas no poseen procedencia ni destino. Del mismo modo, las bases deberán considerarse como incuriosas y carentes de interés. Ya que no le ocurriría al ojo ni al objeto visible, etc., “Ah, esa consciencia debe haber surgido de nuestra concurrencia”. Y como la puerta </w:t>
      </w:r>
      <w:r w:rsidRPr="00DC1A5F">
        <w:rPr>
          <w:color w:val="833C0B" w:themeColor="accent2" w:themeShade="80"/>
        </w:rPr>
        <w:t>sensorial</w:t>
      </w:r>
      <w:r w:rsidRPr="00DC1A5F">
        <w:t>, la base física y el objeto</w:t>
      </w:r>
      <w:r w:rsidRPr="00DC1A5F">
        <w:rPr>
          <w:color w:val="833C0B" w:themeColor="accent2" w:themeShade="80"/>
        </w:rPr>
        <w:t xml:space="preserve"> sensorial, </w:t>
      </w:r>
      <w:r w:rsidRPr="00DC1A5F">
        <w:t>ellas no poseen curiosidad o interés en la consciencia surgida. Por el contrario, es la regla absoluta que la consciencia negativa, etc., surja entre la unión del ojo con el objeto</w:t>
      </w:r>
      <w:r w:rsidRPr="00DC1A5F">
        <w:rPr>
          <w:color w:val="833C0B" w:themeColor="accent2" w:themeShade="80"/>
        </w:rPr>
        <w:t xml:space="preserve"> </w:t>
      </w:r>
      <w:r w:rsidRPr="00DC1A5F">
        <w:t>visible, etc. Por lo tanto, deben considerarse como incuriosas y carentes de interés.</w:t>
      </w:r>
    </w:p>
    <w:p w14:paraId="1256E848" w14:textId="77777777" w:rsidR="00597DE2" w:rsidRPr="00DC1A5F" w:rsidRDefault="00597DE2" w:rsidP="00597DE2">
      <w:pPr>
        <w:tabs>
          <w:tab w:val="clear" w:pos="425"/>
          <w:tab w:val="left" w:pos="426"/>
        </w:tabs>
        <w:spacing w:after="160"/>
      </w:pPr>
      <w:r w:rsidRPr="00DC1A5F">
        <w:t xml:space="preserve">16. </w:t>
      </w:r>
      <w:r w:rsidRPr="00DC1A5F">
        <w:tab/>
        <w:t>Además, las bases internas deben considerarse como una aldea vacía porque carecen de permanencia, placer y alma; y las bases externas como los ladrones que la ataquen (S IV 175) porque ellas atacarán a las bases internas. Y esto se dice al respecto: “</w:t>
      </w:r>
      <w:proofErr w:type="spellStart"/>
      <w:r w:rsidRPr="00DC1A5F">
        <w:rPr>
          <w:i/>
        </w:rPr>
        <w:t>Bhikkhu</w:t>
      </w:r>
      <w:r w:rsidRPr="00DC1A5F">
        <w:t>s</w:t>
      </w:r>
      <w:proofErr w:type="spellEnd"/>
      <w:r w:rsidRPr="00DC1A5F">
        <w:t>, el ojo es acosado por los objetos visibles agradables y desagradables” (S IV 175). Además, las bases internas deben considerarse como seis criaturas (S IV 198–99) y las externas como sus hospedajes.</w:t>
      </w:r>
    </w:p>
    <w:p w14:paraId="2B19DB37" w14:textId="77777777" w:rsidR="00597DE2" w:rsidRPr="00DC1A5F" w:rsidRDefault="00597DE2" w:rsidP="00597DE2">
      <w:pPr>
        <w:pStyle w:val="NormalConSangria"/>
      </w:pPr>
      <w:r w:rsidRPr="00DC1A5F">
        <w:t>Así es cómo se debe conocer la exposición aquí sobre cómo ser apreciados.</w:t>
      </w:r>
    </w:p>
    <w:p w14:paraId="19FB8448" w14:textId="77777777" w:rsidR="00597DE2" w:rsidRPr="00DC1A5F" w:rsidRDefault="00597DE2" w:rsidP="00597DE2">
      <w:pPr>
        <w:pStyle w:val="NormalConSangria"/>
      </w:pPr>
      <w:r w:rsidRPr="00DC1A5F">
        <w:t>Ésta, en primer lugar, es la sección de la explicación detallada que trata sobre las bases.</w:t>
      </w:r>
    </w:p>
    <w:p w14:paraId="610E7394" w14:textId="77777777" w:rsidR="00597DE2" w:rsidRPr="00DC1A5F" w:rsidRDefault="00597DE2" w:rsidP="00597DE2">
      <w:pPr>
        <w:pStyle w:val="Ttulo3"/>
        <w:ind w:left="708"/>
      </w:pPr>
      <w:r w:rsidRPr="00DC1A5F">
        <w:t>[B. Descripción de los Elementos]</w:t>
      </w:r>
    </w:p>
    <w:p w14:paraId="0274E22A" w14:textId="77777777" w:rsidR="00597DE2" w:rsidRPr="00DC1A5F" w:rsidRDefault="00597DE2" w:rsidP="00597DE2">
      <w:pPr>
        <w:tabs>
          <w:tab w:val="clear" w:pos="425"/>
          <w:tab w:val="left" w:pos="426"/>
        </w:tabs>
        <w:spacing w:after="160"/>
      </w:pPr>
      <w:r w:rsidRPr="00DC1A5F">
        <w:t xml:space="preserve">17. </w:t>
      </w:r>
      <w:r w:rsidRPr="00DC1A5F">
        <w:tab/>
        <w:t>Los “elementos” juntos a ellos (XIV.32) corresponderán a los 18 elementos, es decir, al elemento visual, al elemento de los objetos visibles, al elemento de la consciencia visual; al elemento del oído, al elemento audible, al elemento de la consciencia auditiva; al elemento nasal, al elemento olfatible, al elemento de la consciencia olfativa; al elemento lingual, al elemento gustativo, al elemento de la consciencia gustativa; al elemento corporal, al elemento de los objetos tangibles, al elemento de la consciencia corporal; al elemento mental, elemento de los objetos mentales, al elemento de la consciencia mental.</w:t>
      </w:r>
    </w:p>
    <w:p w14:paraId="5915203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A82290B"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w:t>
      </w:r>
      <w:r w:rsidRPr="00DC1A5F">
        <w:rPr>
          <w:i/>
          <w:iCs/>
          <w:color w:val="auto"/>
          <w:u w:color="000000"/>
        </w:rPr>
        <w:t>La base física</w:t>
      </w:r>
      <w:r w:rsidRPr="00DC1A5F">
        <w:rPr>
          <w:color w:val="auto"/>
          <w:u w:color="000000"/>
        </w:rPr>
        <w:t xml:space="preserve"> “es la consistente del ojo, etc.; </w:t>
      </w:r>
      <w:proofErr w:type="gramStart"/>
      <w:r w:rsidRPr="00DC1A5F">
        <w:rPr>
          <w:color w:val="auto"/>
          <w:u w:color="000000"/>
        </w:rPr>
        <w:t>de acuerdo a</w:t>
      </w:r>
      <w:proofErr w:type="gramEnd"/>
      <w:r w:rsidRPr="00DC1A5F">
        <w:rPr>
          <w:color w:val="auto"/>
          <w:u w:color="000000"/>
        </w:rPr>
        <w:t xml:space="preserve"> ese “</w:t>
      </w:r>
      <w:r w:rsidRPr="00DC1A5F">
        <w:rPr>
          <w:i/>
          <w:iCs/>
          <w:color w:val="auto"/>
          <w:u w:color="000000"/>
        </w:rPr>
        <w:t>progreso</w:t>
      </w:r>
      <w:r w:rsidRPr="00DC1A5F">
        <w:rPr>
          <w:color w:val="auto"/>
          <w:u w:color="000000"/>
        </w:rPr>
        <w:t>” corresponderá a un progreso doloroso y los otros tres. “</w:t>
      </w:r>
      <w:r w:rsidRPr="00DC1A5F">
        <w:rPr>
          <w:i/>
          <w:iCs/>
          <w:color w:val="auto"/>
          <w:u w:color="000000"/>
        </w:rPr>
        <w:t>etc</w:t>
      </w:r>
      <w:r w:rsidRPr="00DC1A5F">
        <w:rPr>
          <w:color w:val="auto"/>
          <w:u w:color="000000"/>
        </w:rPr>
        <w:t xml:space="preserve">.” se refiere al </w:t>
      </w:r>
      <w:proofErr w:type="spellStart"/>
      <w:r w:rsidRPr="00DC1A5F">
        <w:rPr>
          <w:i/>
          <w:color w:val="auto"/>
          <w:u w:color="000000"/>
        </w:rPr>
        <w:t>jhāna</w:t>
      </w:r>
      <w:proofErr w:type="spellEnd"/>
      <w:r w:rsidRPr="00DC1A5F">
        <w:rPr>
          <w:color w:val="auto"/>
          <w:u w:color="000000"/>
        </w:rPr>
        <w:t>, al predominio, al plano, al objeto, etc.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512).</w:t>
      </w:r>
    </w:p>
    <w:p w14:paraId="0E6D388E" w14:textId="77777777" w:rsidR="00597DE2" w:rsidRPr="00DC1A5F" w:rsidRDefault="00597DE2" w:rsidP="00597DE2">
      <w:pPr>
        <w:pStyle w:val="PiedepginaLegal"/>
        <w:numPr>
          <w:ilvl w:val="0"/>
          <w:numId w:val="4"/>
        </w:numPr>
        <w:tabs>
          <w:tab w:val="clear" w:pos="425"/>
        </w:tabs>
        <w:ind w:left="284" w:hanging="284"/>
      </w:pPr>
      <w:r w:rsidRPr="00DC1A5F">
        <w:t xml:space="preserve">“El azul es similar al azul; Es disimilar a cualquier otro color. La “condición” corresponderá al </w:t>
      </w:r>
      <w:proofErr w:type="spellStart"/>
      <w:r w:rsidRPr="00DC1A5F">
        <w:rPr>
          <w:i/>
        </w:rPr>
        <w:t>kamma</w:t>
      </w:r>
      <w:proofErr w:type="spellEnd"/>
      <w:r w:rsidRPr="00DC1A5F">
        <w:t xml:space="preserve">, </w:t>
      </w:r>
      <w:proofErr w:type="gramStart"/>
      <w:r w:rsidRPr="00DC1A5F">
        <w:t>etc.“ (</w:t>
      </w:r>
      <w:proofErr w:type="spellStart"/>
      <w:proofErr w:type="gramEnd"/>
      <w:r w:rsidRPr="00DC1A5F">
        <w:t>Vism</w:t>
      </w:r>
      <w:proofErr w:type="spellEnd"/>
      <w:r w:rsidRPr="00DC1A5F">
        <w:t>–</w:t>
      </w:r>
      <w:proofErr w:type="spellStart"/>
      <w:r w:rsidRPr="00DC1A5F">
        <w:t>Mhṭ</w:t>
      </w:r>
      <w:proofErr w:type="spellEnd"/>
      <w:r w:rsidRPr="00DC1A5F">
        <w:t xml:space="preserve"> 512).</w:t>
      </w:r>
    </w:p>
    <w:p w14:paraId="0F1F63D9" w14:textId="77777777" w:rsidR="00597DE2" w:rsidRPr="00DC1A5F" w:rsidRDefault="00597DE2" w:rsidP="00597DE2">
      <w:pPr>
        <w:tabs>
          <w:tab w:val="clear" w:pos="425"/>
        </w:tabs>
        <w:spacing w:after="160"/>
      </w:pPr>
      <w:r w:rsidRPr="00DC1A5F">
        <w:br w:type="page"/>
      </w:r>
    </w:p>
    <w:p w14:paraId="42464184" w14:textId="77777777" w:rsidR="00597DE2" w:rsidRPr="00DC1A5F" w:rsidRDefault="00597DE2" w:rsidP="00597DE2">
      <w:pPr>
        <w:pStyle w:val="Textoindependiente"/>
      </w:pPr>
      <w:r w:rsidRPr="00DC1A5F">
        <w:lastRenderedPageBreak/>
        <w:t xml:space="preserve">18. </w:t>
      </w:r>
      <w:r w:rsidRPr="00DC1A5F">
        <w:tab/>
        <w:t>Aquí, estos elementos se expondrán en cuanto:</w:t>
      </w:r>
    </w:p>
    <w:p w14:paraId="1C4C3BF3" w14:textId="77777777" w:rsidR="00597DE2" w:rsidRPr="00DC1A5F" w:rsidRDefault="00597DE2" w:rsidP="00597DE2">
      <w:pPr>
        <w:pStyle w:val="VersoIngls01Sangria"/>
        <w:rPr>
          <w:sz w:val="14"/>
          <w:szCs w:val="18"/>
        </w:rPr>
      </w:pPr>
      <w:r w:rsidRPr="00DC1A5F">
        <w:rPr>
          <w:sz w:val="14"/>
          <w:szCs w:val="18"/>
        </w:rPr>
        <w:t>(1) al significado, (2) a su característica, etc.,</w:t>
      </w:r>
    </w:p>
    <w:p w14:paraId="33A48855" w14:textId="77777777" w:rsidR="00597DE2" w:rsidRPr="00DC1A5F" w:rsidRDefault="00597DE2" w:rsidP="00597DE2">
      <w:pPr>
        <w:pStyle w:val="VersoIngls01Sangria"/>
        <w:rPr>
          <w:sz w:val="14"/>
          <w:szCs w:val="18"/>
        </w:rPr>
      </w:pPr>
      <w:r w:rsidRPr="00DC1A5F">
        <w:rPr>
          <w:sz w:val="14"/>
          <w:szCs w:val="18"/>
        </w:rPr>
        <w:t xml:space="preserve">(3) a su orden, (4) a su cantidad, y (5) a su reconocimiento, </w:t>
      </w:r>
    </w:p>
    <w:p w14:paraId="4A0F016A" w14:textId="77777777" w:rsidR="00597DE2" w:rsidRPr="00DC1A5F" w:rsidRDefault="00597DE2" w:rsidP="00597DE2">
      <w:pPr>
        <w:pStyle w:val="VersoIngls01Sangria"/>
        <w:rPr>
          <w:sz w:val="14"/>
          <w:szCs w:val="18"/>
        </w:rPr>
      </w:pPr>
      <w:r w:rsidRPr="00DC1A5F">
        <w:rPr>
          <w:sz w:val="14"/>
          <w:szCs w:val="18"/>
        </w:rPr>
        <w:t>(6) luego en cuanto a su condición y (7) a cómo ser apreciados,</w:t>
      </w:r>
    </w:p>
    <w:p w14:paraId="3CB625DC" w14:textId="77777777" w:rsidR="00597DE2" w:rsidRPr="00DC1A5F" w:rsidRDefault="00597DE2" w:rsidP="00597DE2">
      <w:pPr>
        <w:pStyle w:val="NormalConSangria"/>
      </w:pPr>
      <w:r w:rsidRPr="00DC1A5F">
        <w:t xml:space="preserve">Es así </w:t>
      </w:r>
      <w:proofErr w:type="spellStart"/>
      <w:r w:rsidRPr="00DC1A5F">
        <w:t>cómo</w:t>
      </w:r>
      <w:proofErr w:type="spellEnd"/>
      <w:r w:rsidRPr="00DC1A5F">
        <w:t xml:space="preserve"> deberá ser conocida esta exposición.</w:t>
      </w:r>
    </w:p>
    <w:p w14:paraId="32D74768" w14:textId="77777777" w:rsidR="00597DE2" w:rsidRPr="00DC1A5F" w:rsidRDefault="00597DE2" w:rsidP="00597DE2">
      <w:pPr>
        <w:spacing w:after="160"/>
      </w:pPr>
      <w:r w:rsidRPr="00DC1A5F">
        <w:t xml:space="preserve">19. </w:t>
      </w:r>
      <w:r w:rsidRPr="00DC1A5F">
        <w:tab/>
      </w:r>
      <w:r w:rsidRPr="00DC1A5F">
        <w:rPr>
          <w:i/>
          <w:iCs/>
        </w:rPr>
        <w:t>1</w:t>
      </w:r>
      <w:r w:rsidRPr="00DC1A5F">
        <w:t xml:space="preserve">. Aquí, en cuanto al </w:t>
      </w:r>
      <w:r w:rsidRPr="00DC1A5F">
        <w:rPr>
          <w:i/>
          <w:iCs/>
        </w:rPr>
        <w:t>significado</w:t>
      </w:r>
      <w:r w:rsidRPr="00DC1A5F">
        <w:t xml:space="preserve">: primero, la exposición del “ojo”, etc., deberá conocerse individualmente en cuanto al significado </w:t>
      </w:r>
      <w:proofErr w:type="gramStart"/>
      <w:r w:rsidRPr="00DC1A5F">
        <w:t>de acuerdo a</w:t>
      </w:r>
      <w:proofErr w:type="gramEnd"/>
      <w:r w:rsidRPr="00DC1A5F">
        <w:t xml:space="preserve">: se complace </w:t>
      </w:r>
      <w:r w:rsidRPr="00DC1A5F">
        <w:br/>
        <w:t>(</w:t>
      </w:r>
      <w:proofErr w:type="spellStart"/>
      <w:r w:rsidRPr="00DC1A5F">
        <w:rPr>
          <w:i/>
          <w:iCs/>
        </w:rPr>
        <w:t>cakkhati</w:t>
      </w:r>
      <w:proofErr w:type="spellEnd"/>
      <w:r w:rsidRPr="00DC1A5F">
        <w:t>), es así cómo es un ojo (</w:t>
      </w:r>
      <w:proofErr w:type="spellStart"/>
      <w:r w:rsidRPr="00DC1A5F">
        <w:rPr>
          <w:i/>
          <w:iCs/>
        </w:rPr>
        <w:t>cakkhu</w:t>
      </w:r>
      <w:proofErr w:type="spellEnd"/>
      <w:r w:rsidRPr="00DC1A5F">
        <w:t>); se hace visible (</w:t>
      </w:r>
      <w:proofErr w:type="spellStart"/>
      <w:r w:rsidRPr="00DC1A5F">
        <w:rPr>
          <w:i/>
        </w:rPr>
        <w:t>rūpayati</w:t>
      </w:r>
      <w:proofErr w:type="spellEnd"/>
      <w:r w:rsidRPr="00DC1A5F">
        <w:t>), es así cómo es un objeto visible; [485] y la consciencia visual corresponderá a la consciencia al respecto (ver §3).</w:t>
      </w:r>
    </w:p>
    <w:p w14:paraId="07DB3C7F" w14:textId="77777777" w:rsidR="00597DE2" w:rsidRPr="00DC1A5F" w:rsidRDefault="00597DE2" w:rsidP="00597DE2">
      <w:pPr>
        <w:pStyle w:val="NormalConSangria"/>
        <w:rPr>
          <w:vertAlign w:val="superscript"/>
        </w:rPr>
      </w:pPr>
      <w:r w:rsidRPr="00DC1A5F">
        <w:t>En cuanto al significado en general: (a) se ordenan (</w:t>
      </w:r>
      <w:proofErr w:type="spellStart"/>
      <w:r w:rsidRPr="00DC1A5F">
        <w:rPr>
          <w:i/>
          <w:iCs/>
        </w:rPr>
        <w:t>vidahati</w:t>
      </w:r>
      <w:proofErr w:type="spellEnd"/>
      <w:r w:rsidRPr="00DC1A5F">
        <w:t>), (b) se clasifican correctamente (</w:t>
      </w:r>
      <w:proofErr w:type="spellStart"/>
      <w:r w:rsidRPr="00DC1A5F">
        <w:rPr>
          <w:i/>
          <w:iCs/>
        </w:rPr>
        <w:t>dhīyate</w:t>
      </w:r>
      <w:proofErr w:type="spellEnd"/>
      <w:r w:rsidRPr="00DC1A5F">
        <w:t>), (c) son una clasificación (</w:t>
      </w:r>
      <w:proofErr w:type="spellStart"/>
      <w:r w:rsidRPr="00DC1A5F">
        <w:rPr>
          <w:i/>
          <w:iCs/>
        </w:rPr>
        <w:t>vidhāna</w:t>
      </w:r>
      <w:proofErr w:type="spellEnd"/>
      <w:r w:rsidRPr="00DC1A5F">
        <w:t>), (d) se encuentran clasificados (</w:t>
      </w:r>
      <w:proofErr w:type="spellStart"/>
      <w:r w:rsidRPr="00DC1A5F">
        <w:rPr>
          <w:i/>
          <w:iCs/>
        </w:rPr>
        <w:t>vidhīyate</w:t>
      </w:r>
      <w:proofErr w:type="spellEnd"/>
      <w:r w:rsidRPr="00DC1A5F">
        <w:t>) por medio de ello, o (e) produce que se clasifiquen (</w:t>
      </w:r>
      <w:proofErr w:type="spellStart"/>
      <w:r w:rsidRPr="00DC1A5F">
        <w:rPr>
          <w:i/>
          <w:iCs/>
        </w:rPr>
        <w:t>dhīyati</w:t>
      </w:r>
      <w:proofErr w:type="spellEnd"/>
      <w:r w:rsidRPr="00DC1A5F">
        <w:t xml:space="preserve">) aquí, por lo tanto, es así cómo </w:t>
      </w:r>
      <w:r w:rsidRPr="00DC1A5F">
        <w:rPr>
          <w:color w:val="833C0B" w:themeColor="accent2" w:themeShade="80"/>
        </w:rPr>
        <w:t xml:space="preserve">los elementos </w:t>
      </w:r>
      <w:r w:rsidRPr="00DC1A5F">
        <w:t>están clasificados (</w:t>
      </w:r>
      <w:proofErr w:type="spellStart"/>
      <w:r w:rsidRPr="00DC1A5F">
        <w:rPr>
          <w:i/>
          <w:iCs/>
        </w:rPr>
        <w:t>dhātu</w:t>
      </w:r>
      <w:proofErr w:type="spellEnd"/>
      <w:r w:rsidRPr="00DC1A5F">
        <w:t xml:space="preserve"> = elemento).</w:t>
      </w:r>
      <w:r w:rsidRPr="00DC1A5F">
        <w:rPr>
          <w:vertAlign w:val="superscript"/>
        </w:rPr>
        <w:t>10</w:t>
      </w:r>
    </w:p>
    <w:p w14:paraId="00AC9434" w14:textId="77777777" w:rsidR="00597DE2" w:rsidRPr="00DC1A5F" w:rsidRDefault="00597DE2" w:rsidP="00597DE2">
      <w:pPr>
        <w:spacing w:after="160"/>
      </w:pPr>
      <w:r w:rsidRPr="00DC1A5F">
        <w:t xml:space="preserve">20. </w:t>
      </w:r>
      <w:r w:rsidRPr="00DC1A5F">
        <w:tab/>
        <w:t xml:space="preserve">(a) Los tipos (de elementos) mundanos, cuando se definen de acuerdo con su instrumentalidad, </w:t>
      </w:r>
      <w:r w:rsidRPr="00DC1A5F">
        <w:rPr>
          <w:i/>
          <w:iCs/>
        </w:rPr>
        <w:t>clasifican</w:t>
      </w:r>
      <w:r w:rsidRPr="00DC1A5F">
        <w:t xml:space="preserve"> (</w:t>
      </w:r>
      <w:proofErr w:type="spellStart"/>
      <w:r w:rsidRPr="00DC1A5F">
        <w:rPr>
          <w:i/>
          <w:iCs/>
        </w:rPr>
        <w:t>vidahanti</w:t>
      </w:r>
      <w:proofErr w:type="spellEnd"/>
      <w:r w:rsidRPr="00DC1A5F">
        <w:t>) el sufrimiento del ciclo de renacimientos, el cual es de muchos tipos, al igual que las “clases” (de minerales: ver XI. 20) de oro y plata, etc., que producen oro y plata, etc. (b) Ellos surgen [correctamente] (</w:t>
      </w:r>
      <w:proofErr w:type="spellStart"/>
      <w:r w:rsidRPr="00DC1A5F">
        <w:rPr>
          <w:i/>
          <w:iCs/>
        </w:rPr>
        <w:t>dhīyante</w:t>
      </w:r>
      <w:proofErr w:type="spellEnd"/>
      <w:r w:rsidRPr="00DC1A5F">
        <w:t>) con los seres vivos, como lo haría una carga con los portadores de cargas; ellos nacen (</w:t>
      </w:r>
      <w:proofErr w:type="spellStart"/>
      <w:r w:rsidRPr="00DC1A5F">
        <w:rPr>
          <w:i/>
          <w:iCs/>
        </w:rPr>
        <w:t>dhāriyanti</w:t>
      </w:r>
      <w:proofErr w:type="spellEnd"/>
      <w:r w:rsidRPr="00DC1A5F">
        <w:t>); es el significado. (c) Y corresponden a sólo meras clasificaciones (</w:t>
      </w:r>
      <w:proofErr w:type="spellStart"/>
      <w:r w:rsidRPr="00DC1A5F">
        <w:rPr>
          <w:i/>
          <w:iCs/>
        </w:rPr>
        <w:t>vidhāna</w:t>
      </w:r>
      <w:proofErr w:type="spellEnd"/>
      <w:r w:rsidRPr="00DC1A5F">
        <w:t>) de sufrimiento ya que no se puede ejercer dominio sobre ellos. (d) y por medio de ellos como instrumentos, el sufrimiento del ciclo de renacimientos se encuentra clasificándolos continuamente (</w:t>
      </w:r>
      <w:proofErr w:type="spellStart"/>
      <w:r w:rsidRPr="00DC1A5F">
        <w:rPr>
          <w:i/>
          <w:iCs/>
        </w:rPr>
        <w:t>anuvidhīyati</w:t>
      </w:r>
      <w:proofErr w:type="spellEnd"/>
      <w:r w:rsidRPr="00DC1A5F">
        <w:t>) entre los seres vivos. (e) y ese sufrimiento, siendo resuelto (</w:t>
      </w:r>
      <w:proofErr w:type="spellStart"/>
      <w:r w:rsidRPr="00DC1A5F">
        <w:rPr>
          <w:i/>
          <w:iCs/>
        </w:rPr>
        <w:t>vihita</w:t>
      </w:r>
      <w:proofErr w:type="spellEnd"/>
      <w:r w:rsidRPr="00DC1A5F">
        <w:t>) de esa forma, se hace clasificar (</w:t>
      </w:r>
      <w:proofErr w:type="spellStart"/>
      <w:r w:rsidRPr="00DC1A5F">
        <w:rPr>
          <w:i/>
          <w:iCs/>
        </w:rPr>
        <w:t>dhīyati</w:t>
      </w:r>
      <w:proofErr w:type="spellEnd"/>
      <w:r w:rsidRPr="00DC1A5F">
        <w:t>) en esas clases de elementos; se hacen que sean impuestos sobre ellos; ése es el significado. Por lo tanto, a cada cosa (</w:t>
      </w:r>
      <w:r w:rsidRPr="00DC1A5F">
        <w:rPr>
          <w:i/>
        </w:rPr>
        <w:t>dhamma</w:t>
      </w:r>
      <w:r w:rsidRPr="00DC1A5F">
        <w:t>), entre las que comiencen con el ojo, el objeto visible, etc. se le llamará a cada una “clase” (</w:t>
      </w:r>
      <w:proofErr w:type="spellStart"/>
      <w:r w:rsidRPr="00DC1A5F">
        <w:rPr>
          <w:i/>
          <w:iCs/>
        </w:rPr>
        <w:t>dhātu</w:t>
      </w:r>
      <w:proofErr w:type="spellEnd"/>
      <w:r w:rsidRPr="00DC1A5F">
        <w:t>, de elemento) según el significado que acaba de declararse, el cual comienza con “se clasifica, surge correctamente”.</w:t>
      </w:r>
    </w:p>
    <w:p w14:paraId="77BE4DFA" w14:textId="77777777" w:rsidR="00597DE2" w:rsidRPr="00DC1A5F" w:rsidRDefault="00597DE2" w:rsidP="00597DE2">
      <w:pPr>
        <w:tabs>
          <w:tab w:val="clear" w:pos="425"/>
          <w:tab w:val="left" w:pos="426"/>
        </w:tabs>
        <w:spacing w:after="160"/>
      </w:pPr>
      <w:r w:rsidRPr="00DC1A5F">
        <w:t xml:space="preserve">21. </w:t>
      </w:r>
      <w:r w:rsidRPr="00DC1A5F">
        <w:tab/>
        <w:t>Además, como el alma de los sectarios no existe con alguna esencia individual, no así estos elementos. Éstos, por el contrario, son elementos (</w:t>
      </w:r>
      <w:proofErr w:type="spellStart"/>
      <w:r w:rsidRPr="00DC1A5F">
        <w:rPr>
          <w:i/>
          <w:iCs/>
        </w:rPr>
        <w:t>dhātu</w:t>
      </w:r>
      <w:proofErr w:type="spellEnd"/>
      <w:r w:rsidRPr="00DC1A5F">
        <w:t>), ya que causan que la esencia individual de un estado surja (</w:t>
      </w:r>
      <w:proofErr w:type="spellStart"/>
      <w:r w:rsidRPr="00DC1A5F">
        <w:rPr>
          <w:i/>
          <w:iCs/>
        </w:rPr>
        <w:t>dhārenti</w:t>
      </w:r>
      <w:proofErr w:type="spellEnd"/>
      <w:r w:rsidRPr="00DC1A5F">
        <w:t>).</w:t>
      </w:r>
      <w:r w:rsidRPr="00DC1A5F">
        <w:rPr>
          <w:vertAlign w:val="superscript"/>
        </w:rPr>
        <w:t>11</w:t>
      </w:r>
      <w:r w:rsidRPr="00DC1A5F">
        <w:t xml:space="preserve"> Y al igual que en el mundo, los componentes de varios colores del mármol, como </w:t>
      </w:r>
      <w:proofErr w:type="spellStart"/>
      <w:r w:rsidRPr="00DC1A5F">
        <w:rPr>
          <w:i/>
          <w:iCs/>
        </w:rPr>
        <w:t>malachite</w:t>
      </w:r>
      <w:proofErr w:type="spellEnd"/>
      <w:r w:rsidRPr="00DC1A5F">
        <w:t xml:space="preserve">, </w:t>
      </w:r>
      <w:proofErr w:type="spellStart"/>
      <w:r w:rsidRPr="00DC1A5F">
        <w:rPr>
          <w:i/>
          <w:iCs/>
        </w:rPr>
        <w:t>cinnabar</w:t>
      </w:r>
      <w:proofErr w:type="spellEnd"/>
      <w:r w:rsidRPr="00DC1A5F">
        <w:t>, etc., se les denominan “elementos”, también estos elementos, comenzando con el ojo, el objeto visible, etc. corresponderán a uno de estos ​​elementos</w:t>
      </w:r>
      <w:r w:rsidRPr="00DC1A5F">
        <w:rPr>
          <w:vertAlign w:val="superscript"/>
        </w:rPr>
        <w:t>12</w:t>
      </w:r>
      <w:r w:rsidRPr="00DC1A5F">
        <w:t>; ya que corresponderán a los componentes del conocimiento “de colores diversos” y a lo</w:t>
      </w:r>
    </w:p>
    <w:p w14:paraId="5AC26DC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FFA3758"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 xml:space="preserve">El verbo </w:t>
      </w:r>
      <w:proofErr w:type="spellStart"/>
      <w:r w:rsidRPr="00DC1A5F">
        <w:rPr>
          <w:i/>
          <w:iCs/>
          <w:color w:val="auto"/>
          <w:u w:color="000000"/>
        </w:rPr>
        <w:t>dahati</w:t>
      </w:r>
      <w:proofErr w:type="spellEnd"/>
      <w:r w:rsidRPr="00DC1A5F">
        <w:rPr>
          <w:color w:val="auto"/>
          <w:u w:color="000000"/>
        </w:rPr>
        <w:t xml:space="preserve">, la base de todos estos </w:t>
      </w:r>
      <w:proofErr w:type="gramStart"/>
      <w:r w:rsidRPr="00DC1A5F">
        <w:rPr>
          <w:color w:val="auto"/>
          <w:u w:color="000000"/>
        </w:rPr>
        <w:t>derivados,</w:t>
      </w:r>
      <w:proofErr w:type="gramEnd"/>
      <w:r w:rsidRPr="00DC1A5F">
        <w:rPr>
          <w:color w:val="auto"/>
          <w:u w:color="000000"/>
        </w:rPr>
        <w:t xml:space="preserve"> significa literalmente “poner”. “Existen cinco significados declarados, ya que la palabra </w:t>
      </w:r>
      <w:proofErr w:type="spellStart"/>
      <w:r w:rsidRPr="00DC1A5F">
        <w:rPr>
          <w:i/>
          <w:iCs/>
          <w:color w:val="auto"/>
          <w:u w:color="000000"/>
        </w:rPr>
        <w:t>dhātu</w:t>
      </w:r>
      <w:proofErr w:type="spellEnd"/>
      <w:r w:rsidRPr="00DC1A5F">
        <w:rPr>
          <w:color w:val="auto"/>
          <w:u w:color="000000"/>
        </w:rPr>
        <w:t xml:space="preserve"> (elemento, clasificación, ‘poner’) tiene su forma establecida (</w:t>
      </w:r>
      <w:proofErr w:type="spellStart"/>
      <w:r w:rsidRPr="00DC1A5F">
        <w:rPr>
          <w:i/>
          <w:iCs/>
          <w:color w:val="auto"/>
          <w:u w:color="000000"/>
        </w:rPr>
        <w:t>siddha</w:t>
      </w:r>
      <w:proofErr w:type="spellEnd"/>
      <w:r w:rsidRPr="00DC1A5F">
        <w:rPr>
          <w:color w:val="auto"/>
          <w:u w:color="000000"/>
        </w:rPr>
        <w:t>) aquí por medio de (a) el transitivo (</w:t>
      </w:r>
      <w:proofErr w:type="spellStart"/>
      <w:r w:rsidRPr="00DC1A5F">
        <w:rPr>
          <w:i/>
          <w:iCs/>
          <w:color w:val="auto"/>
          <w:u w:color="000000"/>
        </w:rPr>
        <w:t>kattu</w:t>
      </w:r>
      <w:proofErr w:type="spellEnd"/>
      <w:r w:rsidRPr="00DC1A5F">
        <w:rPr>
          <w:color w:val="auto"/>
          <w:u w:color="000000"/>
        </w:rPr>
        <w:t>), (b) el intransitivo (</w:t>
      </w:r>
      <w:proofErr w:type="spellStart"/>
      <w:r w:rsidRPr="00DC1A5F">
        <w:rPr>
          <w:i/>
          <w:color w:val="auto"/>
          <w:u w:color="000000"/>
        </w:rPr>
        <w:t>kamma</w:t>
      </w:r>
      <w:proofErr w:type="spellEnd"/>
      <w:r w:rsidRPr="00DC1A5F">
        <w:rPr>
          <w:color w:val="auto"/>
          <w:u w:color="000000"/>
        </w:rPr>
        <w:t>), (c) El sustantivo abstracto (</w:t>
      </w:r>
      <w:proofErr w:type="spellStart"/>
      <w:r w:rsidRPr="00DC1A5F">
        <w:rPr>
          <w:i/>
          <w:iCs/>
          <w:color w:val="auto"/>
          <w:u w:color="000000"/>
        </w:rPr>
        <w:t>bhāva</w:t>
      </w:r>
      <w:proofErr w:type="spellEnd"/>
      <w:r w:rsidRPr="00DC1A5F">
        <w:rPr>
          <w:color w:val="auto"/>
          <w:u w:color="000000"/>
        </w:rPr>
        <w:t>), (d) el caso instrumental (</w:t>
      </w:r>
      <w:proofErr w:type="spellStart"/>
      <w:r w:rsidRPr="00DC1A5F">
        <w:rPr>
          <w:i/>
          <w:iCs/>
          <w:color w:val="auto"/>
          <w:u w:color="000000"/>
        </w:rPr>
        <w:t>kāraṇa</w:t>
      </w:r>
      <w:proofErr w:type="spellEnd"/>
      <w:r w:rsidRPr="00DC1A5F">
        <w:rPr>
          <w:color w:val="auto"/>
          <w:u w:color="000000"/>
        </w:rPr>
        <w:t>) y (e) la voz causal (</w:t>
      </w:r>
      <w:proofErr w:type="spellStart"/>
      <w:r w:rsidRPr="00DC1A5F">
        <w:rPr>
          <w:i/>
          <w:iCs/>
          <w:color w:val="auto"/>
          <w:u w:color="000000"/>
        </w:rPr>
        <w:t>adhikaraṇa</w:t>
      </w:r>
      <w:proofErr w:type="spellEnd"/>
      <w:r w:rsidRPr="00DC1A5F">
        <w:rPr>
          <w:color w:val="auto"/>
          <w:u w:color="000000"/>
        </w:rPr>
        <w:t>). Los elementos supramundanos no clasifican (</w:t>
      </w:r>
      <w:proofErr w:type="spellStart"/>
      <w:r w:rsidRPr="00DC1A5F">
        <w:rPr>
          <w:i/>
          <w:iCs/>
          <w:color w:val="auto"/>
          <w:u w:color="000000"/>
        </w:rPr>
        <w:t>vidahanti</w:t>
      </w:r>
      <w:proofErr w:type="spellEnd"/>
      <w:r w:rsidRPr="00DC1A5F">
        <w:rPr>
          <w:color w:val="auto"/>
          <w:u w:color="000000"/>
        </w:rPr>
        <w:t>) el sufrimiento del ciclo de renacimientos; Por el contrario, los destruyen (</w:t>
      </w:r>
      <w:proofErr w:type="spellStart"/>
      <w:r w:rsidRPr="00DC1A5F">
        <w:rPr>
          <w:i/>
          <w:iCs/>
          <w:color w:val="auto"/>
          <w:u w:color="000000"/>
        </w:rPr>
        <w:t>vidhaísenti</w:t>
      </w:r>
      <w:proofErr w:type="spellEnd"/>
      <w:r w:rsidRPr="00DC1A5F">
        <w:rPr>
          <w:color w:val="auto"/>
          <w:u w:color="000000"/>
        </w:rPr>
        <w:t xml:space="preserve">). Es por eso </w:t>
      </w:r>
      <w:proofErr w:type="gramStart"/>
      <w:r w:rsidRPr="00DC1A5F">
        <w:rPr>
          <w:color w:val="auto"/>
          <w:u w:color="000000"/>
        </w:rPr>
        <w:t>que</w:t>
      </w:r>
      <w:proofErr w:type="gramEnd"/>
      <w:r w:rsidRPr="00DC1A5F">
        <w:rPr>
          <w:color w:val="auto"/>
          <w:u w:color="000000"/>
        </w:rPr>
        <w:t xml:space="preserve"> se especifica el término “</w:t>
      </w:r>
      <w:r w:rsidRPr="00DC1A5F">
        <w:rPr>
          <w:i/>
          <w:iCs/>
          <w:color w:val="auto"/>
          <w:u w:color="000000"/>
        </w:rPr>
        <w:t>mundano</w:t>
      </w:r>
      <w:r w:rsidRPr="00DC1A5F">
        <w:rPr>
          <w:color w:val="auto"/>
          <w:u w:color="000000"/>
        </w:rPr>
        <w:t>”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513).</w:t>
      </w:r>
    </w:p>
    <w:p w14:paraId="6D2A12D1" w14:textId="77777777" w:rsidR="00597DE2" w:rsidRPr="00DC1A5F" w:rsidRDefault="00597DE2" w:rsidP="00597DE2">
      <w:pPr>
        <w:pStyle w:val="PiedepginaLegal"/>
        <w:numPr>
          <w:ilvl w:val="0"/>
          <w:numId w:val="4"/>
        </w:numPr>
        <w:tabs>
          <w:tab w:val="clear" w:pos="425"/>
        </w:tabs>
        <w:spacing w:after="160"/>
        <w:ind w:left="284" w:hanging="284"/>
        <w:rPr>
          <w:color w:val="auto"/>
          <w:u w:color="000000"/>
        </w:rPr>
      </w:pPr>
      <w:r w:rsidRPr="00DC1A5F">
        <w:rPr>
          <w:color w:val="auto"/>
          <w:u w:color="000000"/>
        </w:rPr>
        <w:t>“</w:t>
      </w:r>
      <w:r w:rsidRPr="00DC1A5F">
        <w:rPr>
          <w:i/>
          <w:iCs/>
          <w:color w:val="auto"/>
          <w:u w:color="000000"/>
        </w:rPr>
        <w:t>’Son elementos ya que causan que se produzcan la esencia individual de un estado’</w:t>
      </w:r>
      <w:r w:rsidRPr="00DC1A5F">
        <w:rPr>
          <w:color w:val="auto"/>
          <w:u w:color="000000"/>
        </w:rPr>
        <w:t xml:space="preserve">: aquí, mientras que por un lado el establecimiento de la forma de la palabra debería entenderse como” </w:t>
      </w:r>
      <w:proofErr w:type="spellStart"/>
      <w:r w:rsidRPr="00DC1A5F">
        <w:rPr>
          <w:i/>
          <w:iCs/>
          <w:color w:val="auto"/>
          <w:u w:color="000000"/>
        </w:rPr>
        <w:t>dadhātī</w:t>
      </w:r>
      <w:proofErr w:type="spellEnd"/>
      <w:r w:rsidRPr="00DC1A5F">
        <w:rPr>
          <w:color w:val="auto"/>
          <w:u w:color="000000"/>
        </w:rPr>
        <w:t xml:space="preserve"> </w:t>
      </w:r>
      <w:r w:rsidRPr="00DC1A5F">
        <w:rPr>
          <w:i/>
          <w:iCs/>
          <w:color w:val="auto"/>
          <w:u w:color="000000"/>
        </w:rPr>
        <w:t>ti</w:t>
      </w:r>
      <w:r w:rsidRPr="00DC1A5F">
        <w:rPr>
          <w:color w:val="auto"/>
          <w:u w:color="000000"/>
        </w:rPr>
        <w:t xml:space="preserve"> </w:t>
      </w:r>
      <w:proofErr w:type="spellStart"/>
      <w:r w:rsidRPr="00DC1A5F">
        <w:rPr>
          <w:i/>
          <w:iCs/>
          <w:color w:val="auto"/>
          <w:u w:color="000000"/>
        </w:rPr>
        <w:t>dhātu</w:t>
      </w:r>
      <w:proofErr w:type="spellEnd"/>
      <w:r w:rsidRPr="00DC1A5F">
        <w:rPr>
          <w:color w:val="auto"/>
          <w:u w:color="000000"/>
        </w:rPr>
        <w:t xml:space="preserve"> (pone, clasifica, por lo tanto, es un elemento)”, todavía tomando la palabra </w:t>
      </w:r>
      <w:proofErr w:type="spellStart"/>
      <w:r w:rsidRPr="00DC1A5F">
        <w:rPr>
          <w:i/>
          <w:iCs/>
          <w:color w:val="auto"/>
          <w:u w:color="000000"/>
        </w:rPr>
        <w:t>dhā</w:t>
      </w:r>
      <w:proofErr w:type="spellEnd"/>
      <w:r w:rsidRPr="00DC1A5F">
        <w:rPr>
          <w:color w:val="auto"/>
          <w:u w:color="000000"/>
        </w:rPr>
        <w:t xml:space="preserve"> para compartir los significados de </w:t>
      </w:r>
      <w:proofErr w:type="spellStart"/>
      <w:r w:rsidRPr="00DC1A5F">
        <w:rPr>
          <w:i/>
          <w:iCs/>
          <w:color w:val="auto"/>
          <w:u w:color="000000"/>
        </w:rPr>
        <w:t>dadhāti</w:t>
      </w:r>
      <w:proofErr w:type="spellEnd"/>
      <w:r w:rsidRPr="00DC1A5F">
        <w:rPr>
          <w:color w:val="auto"/>
          <w:u w:color="000000"/>
        </w:rPr>
        <w:t xml:space="preserve"> y </w:t>
      </w:r>
      <w:proofErr w:type="spellStart"/>
      <w:r w:rsidRPr="00DC1A5F">
        <w:rPr>
          <w:i/>
          <w:iCs/>
          <w:color w:val="auto"/>
          <w:u w:color="000000"/>
        </w:rPr>
        <w:t>dhāreti</w:t>
      </w:r>
      <w:proofErr w:type="spellEnd"/>
      <w:r w:rsidRPr="00DC1A5F">
        <w:rPr>
          <w:color w:val="auto"/>
          <w:u w:color="000000"/>
        </w:rPr>
        <w:t xml:space="preserve"> (ver xi.104), también existirá el significado de la voz activa diferente de la primera, ya que los significados de </w:t>
      </w:r>
      <w:proofErr w:type="spellStart"/>
      <w:r w:rsidRPr="00DC1A5F">
        <w:rPr>
          <w:i/>
          <w:iCs/>
          <w:color w:val="auto"/>
          <w:u w:color="000000"/>
        </w:rPr>
        <w:t>vidhāna</w:t>
      </w:r>
      <w:proofErr w:type="spellEnd"/>
      <w:r w:rsidRPr="00DC1A5F">
        <w:rPr>
          <w:color w:val="auto"/>
          <w:u w:color="000000"/>
        </w:rPr>
        <w:t xml:space="preserve"> (clasificar) y </w:t>
      </w:r>
      <w:proofErr w:type="spellStart"/>
      <w:r w:rsidRPr="00DC1A5F">
        <w:rPr>
          <w:i/>
          <w:iCs/>
          <w:color w:val="auto"/>
          <w:u w:color="000000"/>
        </w:rPr>
        <w:t>dhāraṇa</w:t>
      </w:r>
      <w:proofErr w:type="spellEnd"/>
      <w:r w:rsidRPr="00DC1A5F">
        <w:rPr>
          <w:color w:val="auto"/>
          <w:u w:color="000000"/>
        </w:rPr>
        <w:t xml:space="preserve"> (causar soporte) no estarán conectados. La causa del soporte de meras esencias individuales sin ningún ser </w:t>
      </w:r>
      <w:proofErr w:type="gramStart"/>
      <w:r w:rsidRPr="00DC1A5F">
        <w:rPr>
          <w:color w:val="auto"/>
          <w:u w:color="000000"/>
        </w:rPr>
        <w:t>permanente,</w:t>
      </w:r>
      <w:proofErr w:type="gramEnd"/>
      <w:r w:rsidRPr="00DC1A5F">
        <w:rPr>
          <w:color w:val="auto"/>
          <w:u w:color="000000"/>
        </w:rPr>
        <w:t xml:space="preserve"> corresponderá a un significado básico de la palabra </w:t>
      </w:r>
      <w:proofErr w:type="spellStart"/>
      <w:r w:rsidRPr="00DC1A5F">
        <w:rPr>
          <w:i/>
          <w:iCs/>
          <w:color w:val="auto"/>
          <w:u w:color="000000"/>
        </w:rPr>
        <w:t>dhātu</w:t>
      </w:r>
      <w:proofErr w:type="spellEnd"/>
      <w:r w:rsidRPr="00DC1A5F">
        <w:rPr>
          <w:color w:val="auto"/>
          <w:u w:color="000000"/>
        </w:rPr>
        <w:t xml:space="preserve"> (elemento), por lo que se establecerá independiente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513).</w:t>
      </w:r>
      <w:r w:rsidRPr="00DC1A5F">
        <w:rPr>
          <w:color w:val="auto"/>
          <w:u w:color="000000"/>
        </w:rPr>
        <w:br w:type="page"/>
      </w:r>
    </w:p>
    <w:p w14:paraId="0220D2D7" w14:textId="77777777" w:rsidR="00597DE2" w:rsidRPr="00DC1A5F" w:rsidRDefault="00597DE2" w:rsidP="00597DE2">
      <w:pPr>
        <w:pStyle w:val="Textoindependiente"/>
      </w:pPr>
      <w:r w:rsidRPr="00DC1A5F">
        <w:lastRenderedPageBreak/>
        <w:t>cognoscible. O, así como el término general “elementos” suele usarse para estudiar los fluidos, la sangre, etc., componentes de una toda una colección denominada “cadáver”, cuando se distinguen el uno del otro por la diferencia de sus características, así también el término general “elementos” debería entenderse tal como se utilice para una individualidad (personalidad) llamada “los cinco agregados”; ya que estas cosas que comienzan con el ojo, el objeto visible, etc., se distinguirán entre sí por la diferencia de sus características.</w:t>
      </w:r>
    </w:p>
    <w:p w14:paraId="40453FC6" w14:textId="77777777" w:rsidR="00597DE2" w:rsidRPr="00DC1A5F" w:rsidRDefault="00597DE2" w:rsidP="00597DE2">
      <w:pPr>
        <w:spacing w:after="160"/>
      </w:pPr>
      <w:r w:rsidRPr="00DC1A5F">
        <w:t xml:space="preserve">22. </w:t>
      </w:r>
      <w:r w:rsidRPr="00DC1A5F">
        <w:tab/>
        <w:t xml:space="preserve">Además, el “elemento” corresponderá a un término para lo que corresponda al no–alma; y fue con el propósito de abolir la percepción de alma, que el </w:t>
      </w:r>
      <w:r w:rsidRPr="00DC1A5F">
        <w:rPr>
          <w:i/>
          <w:iCs/>
        </w:rPr>
        <w:t>Bhagavā</w:t>
      </w:r>
      <w:r w:rsidRPr="00DC1A5F">
        <w:t>, en consecuencia, expuso los elementos en pasajes como “</w:t>
      </w:r>
      <w:proofErr w:type="spellStart"/>
      <w:r w:rsidRPr="00DC1A5F">
        <w:rPr>
          <w:i/>
        </w:rPr>
        <w:t>Bhikkhu</w:t>
      </w:r>
      <w:proofErr w:type="spellEnd"/>
      <w:r w:rsidRPr="00DC1A5F">
        <w:t>, este hombre está comprendido de seis elementos” (M III 239). Por lo tanto, la exposición deberá entenderse aquí en primer lugar en cuanto al significado: éste es un ojo y éste corresponderá a un elemento, por lo tanto, es así cómo será el elemento de la consciencia visual... ésta es una mentalidad y corresponderá a un elemento mental, por lo tanto, es así como será un elemento de la consciencia mental.</w:t>
      </w:r>
    </w:p>
    <w:p w14:paraId="3BAC5537" w14:textId="77777777" w:rsidR="00597DE2" w:rsidRPr="00DC1A5F" w:rsidRDefault="00597DE2" w:rsidP="00597DE2">
      <w:pPr>
        <w:spacing w:after="160"/>
      </w:pPr>
      <w:r w:rsidRPr="00DC1A5F">
        <w:t xml:space="preserve">23. </w:t>
      </w:r>
      <w:r w:rsidRPr="00DC1A5F">
        <w:tab/>
        <w:t xml:space="preserve">2. </w:t>
      </w:r>
      <w:r w:rsidRPr="00DC1A5F">
        <w:rPr>
          <w:i/>
          <w:iCs/>
        </w:rPr>
        <w:t>En cuanto a la característica</w:t>
      </w:r>
      <w:r w:rsidRPr="00DC1A5F">
        <w:t>, etc.: aquí también la exposición deberá entenderse en cuanto a la característica, etc., del ojo, etc. Y eso también deberá entenderse en la forma expuesta anteriormente en la descripción de los agregados (XIV.37ff.).</w:t>
      </w:r>
    </w:p>
    <w:p w14:paraId="5D4DF7FE" w14:textId="77777777" w:rsidR="00597DE2" w:rsidRPr="00DC1A5F" w:rsidRDefault="00597DE2" w:rsidP="00597DE2">
      <w:pPr>
        <w:spacing w:after="160"/>
      </w:pPr>
      <w:r w:rsidRPr="00DC1A5F">
        <w:t xml:space="preserve">24. </w:t>
      </w:r>
      <w:r w:rsidRPr="00DC1A5F">
        <w:tab/>
        <w:t xml:space="preserve">3. </w:t>
      </w:r>
      <w:r w:rsidRPr="00DC1A5F">
        <w:rPr>
          <w:i/>
          <w:iCs/>
        </w:rPr>
        <w:t>En cuanto al orden</w:t>
      </w:r>
      <w:r w:rsidRPr="00DC1A5F">
        <w:t>: Aquí también, entre el “orden de surgimiento”, etc., mencionado anteriormente (XIV.211), solo será apropiado “el orden de la enseñanza”. Éste se establecerá de acuerdo con la definición sucesiva de causa y efecto.</w:t>
      </w:r>
      <w:r w:rsidRPr="00DC1A5F">
        <w:rPr>
          <w:vertAlign w:val="superscript"/>
        </w:rPr>
        <w:t>13</w:t>
      </w:r>
      <w:r w:rsidRPr="00DC1A5F">
        <w:t xml:space="preserve"> Ya que el par, el elemento ocular y elemento del objeto visible, corresponderán a la causa y el elemento de la consciencia visual al efecto. Así será en cada caso.</w:t>
      </w:r>
    </w:p>
    <w:p w14:paraId="132FC363" w14:textId="77777777" w:rsidR="00597DE2" w:rsidRPr="00DC1A5F" w:rsidRDefault="00597DE2" w:rsidP="00597DE2">
      <w:pPr>
        <w:tabs>
          <w:tab w:val="clear" w:pos="425"/>
          <w:tab w:val="left" w:pos="426"/>
        </w:tabs>
        <w:spacing w:after="160"/>
      </w:pPr>
      <w:r w:rsidRPr="00DC1A5F">
        <w:t xml:space="preserve">25. </w:t>
      </w:r>
      <w:r w:rsidRPr="00DC1A5F">
        <w:tab/>
        <w:t xml:space="preserve">4. </w:t>
      </w:r>
      <w:r w:rsidRPr="00DC1A5F">
        <w:rPr>
          <w:i/>
          <w:iCs/>
        </w:rPr>
        <w:t>En cuanto a la cantidad</w:t>
      </w:r>
      <w:r w:rsidRPr="00DC1A5F">
        <w:t xml:space="preserve">: en cuanto a cuantos son. Lo que se entiende es lo siguiente: en varios lugares de los </w:t>
      </w:r>
      <w:r w:rsidRPr="00DC1A5F">
        <w:rPr>
          <w:i/>
          <w:iCs/>
        </w:rPr>
        <w:t>Suttas</w:t>
      </w:r>
      <w:r w:rsidRPr="00DC1A5F">
        <w:t xml:space="preserve"> y del </w:t>
      </w:r>
      <w:proofErr w:type="spellStart"/>
      <w:r w:rsidRPr="00DC1A5F">
        <w:rPr>
          <w:i/>
          <w:iCs/>
        </w:rPr>
        <w:t>Abhidhamma</w:t>
      </w:r>
      <w:proofErr w:type="spellEnd"/>
      <w:r w:rsidRPr="00DC1A5F">
        <w:t>, los siguientes, así como otros elementos [486] confluyen con el elemento de la iluminación, el elemento de la belleza, el elemento–base–del–espacio–infinito, el elemento–base–de–la–consciencia–infinita, el elemento–base– de–la–consciencia –del–vacío, el elemento–base–de–la–no–percepción–ni–no–percepción, el elemento–base–de–la–cesación–de–percepción–y–sensación (S II 150); el elemento–deseo–de–los–sentidos, el elemento–mala–voluntad, el elemento–crueldad, el elemento–renunciación, elemento–no–mala–voluntad, elemento–no–crueldad (VIBH 86); El elemento–placer–corporal, el elemento–dolor–corporal, el elemento–alegría, el elemento–aflicción, el elemento–ecuanimidad, el elemento–ignorancia (VIBH 85); el elemento–iniciativa, el elemento–lanzamiento, el elemento–persistencia (S v 66); el elemento–inferior, el elemento–medio, el elemento–superior (D III 215); el elemento–tierra, el elemento–agua, el elemento–fuego, el elemento–viento, el elemento–espacial, el elemento–consciencia (</w:t>
      </w:r>
      <w:proofErr w:type="spellStart"/>
      <w:r w:rsidRPr="00DC1A5F">
        <w:t>Vibh</w:t>
      </w:r>
      <w:proofErr w:type="spellEnd"/>
      <w:r w:rsidRPr="00DC1A5F">
        <w:t xml:space="preserve"> 82); el elemento–formado, el elemento–no–formado (M III 63); </w:t>
      </w:r>
      <w:proofErr w:type="spellStart"/>
      <w:r w:rsidRPr="00DC1A5F">
        <w:t>rl</w:t>
      </w:r>
      <w:proofErr w:type="spellEnd"/>
      <w:r w:rsidRPr="00DC1A5F">
        <w:t xml:space="preserve"> mundo de los muchos elementos, de varios elementos (M I 70), ― siendo así, ¿por qué la clasificación solo se realiza de acuerdo a estos 18 en lugar de hacerlo de acuerdo a todos ellos? Porque, en lo que respecta a la esencia individual, todos los elementos existentes se incluyen en esa clasificación.</w:t>
      </w:r>
    </w:p>
    <w:p w14:paraId="2A6766F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BE5B578"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w:t>
      </w:r>
      <w:r w:rsidRPr="00DC1A5F">
        <w:rPr>
          <w:i/>
          <w:iCs/>
          <w:color w:val="auto"/>
          <w:u w:color="000000"/>
        </w:rPr>
        <w:t>’Son elementos como esos elementos’</w:t>
      </w:r>
      <w:r w:rsidRPr="00DC1A5F">
        <w:rPr>
          <w:color w:val="auto"/>
          <w:u w:color="000000"/>
        </w:rPr>
        <w:t>: aquí, así como la palabra ‘león’ (</w:t>
      </w:r>
      <w:proofErr w:type="spellStart"/>
      <w:r w:rsidRPr="00DC1A5F">
        <w:rPr>
          <w:i/>
          <w:iCs/>
          <w:color w:val="auto"/>
          <w:u w:color="000000"/>
        </w:rPr>
        <w:t>sīha</w:t>
      </w:r>
      <w:proofErr w:type="spellEnd"/>
      <w:r w:rsidRPr="00DC1A5F">
        <w:rPr>
          <w:color w:val="auto"/>
          <w:u w:color="000000"/>
        </w:rPr>
        <w:t xml:space="preserve">), que es adecuadamente aplicable al portador de una melena, es utilizada por un hombre, así también la palabra ‘elemento’, que es adecuadamente aplicable a los componentes del mármol, se utilizará con respecto al ojo, </w:t>
      </w:r>
      <w:proofErr w:type="gramStart"/>
      <w:r w:rsidRPr="00DC1A5F">
        <w:rPr>
          <w:color w:val="auto"/>
          <w:u w:color="000000"/>
        </w:rPr>
        <w:t>etc. ”</w:t>
      </w:r>
      <w:proofErr w:type="gramEnd"/>
      <w:r w:rsidRPr="00DC1A5F">
        <w:rPr>
          <w:color w:val="auto"/>
          <w:u w:color="000000"/>
        </w:rPr>
        <w:t>(</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513).</w:t>
      </w:r>
    </w:p>
    <w:p w14:paraId="166FAF16" w14:textId="77777777" w:rsidR="00597DE2" w:rsidRPr="00DC1A5F" w:rsidRDefault="00597DE2" w:rsidP="00597DE2">
      <w:pPr>
        <w:pStyle w:val="PiedepginaLegal"/>
        <w:numPr>
          <w:ilvl w:val="0"/>
          <w:numId w:val="4"/>
        </w:numPr>
        <w:tabs>
          <w:tab w:val="clear" w:pos="425"/>
        </w:tabs>
        <w:spacing w:after="160"/>
        <w:ind w:left="284" w:hanging="284"/>
      </w:pPr>
      <w:r w:rsidRPr="00DC1A5F">
        <w:t>“’</w:t>
      </w:r>
      <w:r w:rsidRPr="00DC1A5F">
        <w:rPr>
          <w:i/>
          <w:iCs/>
        </w:rPr>
        <w:t xml:space="preserve">Definición sucesiva de causa y el efecto’ </w:t>
      </w:r>
      <w:r w:rsidRPr="00DC1A5F">
        <w:t>corresponderá solo el estado de causa y efecto” (</w:t>
      </w:r>
      <w:proofErr w:type="spellStart"/>
      <w:r w:rsidRPr="00DC1A5F">
        <w:t>Vismmhṭ</w:t>
      </w:r>
      <w:proofErr w:type="spellEnd"/>
      <w:r w:rsidRPr="00DC1A5F">
        <w:t xml:space="preserve"> 514).</w:t>
      </w:r>
      <w:r w:rsidRPr="00DC1A5F">
        <w:br w:type="page"/>
      </w:r>
    </w:p>
    <w:p w14:paraId="559CA772" w14:textId="77777777" w:rsidR="00597DE2" w:rsidRPr="00DC1A5F" w:rsidRDefault="00597DE2" w:rsidP="00597DE2">
      <w:pPr>
        <w:spacing w:after="160"/>
        <w:rPr>
          <w:vertAlign w:val="superscript"/>
        </w:rPr>
      </w:pPr>
      <w:r w:rsidRPr="00DC1A5F">
        <w:lastRenderedPageBreak/>
        <w:t xml:space="preserve">26. </w:t>
      </w:r>
      <w:r w:rsidRPr="00DC1A5F">
        <w:tab/>
        <w:t xml:space="preserve">El elemento del objeto visible es en sí el elemento de la iluminación. El elemento de la belleza está vinculado con los objetos visibles, etc. ¿Por qué? Porque es el signo de la belleza. El signo de la belleza es el elemento de la belleza y que no existirá aparte de los objetos visibles, etc. O desde que los objetos visibles, etc., son objetos consistentes del resultado productivo del </w:t>
      </w:r>
      <w:proofErr w:type="spellStart"/>
      <w:r w:rsidRPr="00DC1A5F">
        <w:rPr>
          <w:i/>
        </w:rPr>
        <w:t>kamma</w:t>
      </w:r>
      <w:proofErr w:type="spellEnd"/>
      <w:r w:rsidRPr="00DC1A5F">
        <w:rPr>
          <w:i/>
        </w:rPr>
        <w:t>,</w:t>
      </w:r>
      <w:r w:rsidRPr="00DC1A5F">
        <w:t xml:space="preserve"> corresponderán al elemento de la belleza, por lo tanto, corresponderán simplemente a los objetos visibles, etc. En cuanto al elemento del espacio infinito, etc., la consciencia será solo un elemento de consciencia mental, mientras que los estados restantes corresponderán al elemento de los objetos mentales. No obstante, los elementos de la cesación de la percepción y sensación no existirán como esencia individual; Ya que ellos corresponderán simplemente a la cesación de dos elementos.</w:t>
      </w:r>
      <w:r w:rsidRPr="00DC1A5F">
        <w:rPr>
          <w:vertAlign w:val="superscript"/>
        </w:rPr>
        <w:t>14</w:t>
      </w:r>
    </w:p>
    <w:p w14:paraId="75D0B30D" w14:textId="77777777" w:rsidR="00597DE2" w:rsidRPr="00DC1A5F" w:rsidRDefault="00597DE2" w:rsidP="00597DE2">
      <w:pPr>
        <w:spacing w:after="160"/>
      </w:pPr>
      <w:r w:rsidRPr="00DC1A5F">
        <w:t xml:space="preserve">27. </w:t>
      </w:r>
      <w:r w:rsidRPr="00DC1A5F">
        <w:tab/>
        <w:t>El elemento sensorial corresponderá simplemente al elemento de los objetos mentales, según se dice al respecto: “Aquí, ¿cuál es el elemento del deseo sensorial? Es el pensamiento, la aplicación mental,... el pensamiento incorrecto, asociados con los deseos sensoriales “(</w:t>
      </w:r>
      <w:proofErr w:type="spellStart"/>
      <w:r w:rsidRPr="00DC1A5F">
        <w:t>Vibh</w:t>
      </w:r>
      <w:proofErr w:type="spellEnd"/>
      <w:r w:rsidRPr="00DC1A5F">
        <w:t xml:space="preserve"> 86), o son los 18 elementos, según se dice al respecto: “Al hacer del infierno </w:t>
      </w:r>
      <w:proofErr w:type="spellStart"/>
      <w:r w:rsidRPr="00DC1A5F">
        <w:rPr>
          <w:i/>
          <w:iCs/>
        </w:rPr>
        <w:t>Avīci</w:t>
      </w:r>
      <w:proofErr w:type="spellEnd"/>
      <w:r w:rsidRPr="00DC1A5F">
        <w:t xml:space="preserve"> el límite inferior y de las deidades del </w:t>
      </w:r>
      <w:proofErr w:type="spellStart"/>
      <w:r w:rsidRPr="00DC1A5F">
        <w:rPr>
          <w:i/>
          <w:iCs/>
        </w:rPr>
        <w:t>Paranimmitavatti</w:t>
      </w:r>
      <w:proofErr w:type="spellEnd"/>
      <w:r w:rsidRPr="00DC1A5F">
        <w:t xml:space="preserve"> el límite superior, los agregados, los elementos, las bases, la materialidad, la sensación, la percepción, las formaciones y la consciencia que están en este intervalo, pertenecientes a él, se incluirán aquí: a éstos se les denominará elementos del deseo sensorial” (</w:t>
      </w:r>
      <w:proofErr w:type="spellStart"/>
      <w:r w:rsidRPr="00DC1A5F">
        <w:t>Vibh</w:t>
      </w:r>
      <w:proofErr w:type="spellEnd"/>
      <w:r w:rsidRPr="00DC1A5F">
        <w:t>. 86). [487]</w:t>
      </w:r>
    </w:p>
    <w:p w14:paraId="6271F67A" w14:textId="77777777" w:rsidR="00597DE2" w:rsidRPr="00DC1A5F" w:rsidRDefault="00597DE2" w:rsidP="00597DE2">
      <w:pPr>
        <w:spacing w:after="160"/>
      </w:pPr>
      <w:r w:rsidRPr="00DC1A5F">
        <w:t xml:space="preserve">28. </w:t>
      </w:r>
      <w:r w:rsidRPr="00DC1A5F">
        <w:tab/>
        <w:t>El elemento de la renunciación corresponderá al elemento de los objetos mentales; además, debido al pasaje, “también todos los estados productivos corresponderán al elemento de la renunciación” (</w:t>
      </w:r>
      <w:proofErr w:type="spellStart"/>
      <w:r w:rsidRPr="00DC1A5F">
        <w:t>Vibh</w:t>
      </w:r>
      <w:proofErr w:type="spellEnd"/>
      <w:r w:rsidRPr="00DC1A5F">
        <w:t xml:space="preserve"> 86), también corresponderá al elemento de la consciencia mental. Los elementos de la mala voluntad, crueldad, no–mala–voluntad, no–crueldad, placer corporal, dolor corporal, dicha, aflicción, ecuanimidad, ignorancia, iniciativa, lanzamiento y persistencia también corresponderán al elemento de los objetos mentales.</w:t>
      </w:r>
    </w:p>
    <w:p w14:paraId="490990CB" w14:textId="77777777" w:rsidR="00597DE2" w:rsidRPr="00DC1A5F" w:rsidRDefault="00597DE2" w:rsidP="00597DE2">
      <w:pPr>
        <w:spacing w:after="160"/>
      </w:pPr>
      <w:r w:rsidRPr="00DC1A5F">
        <w:t xml:space="preserve">29. </w:t>
      </w:r>
      <w:r w:rsidRPr="00DC1A5F">
        <w:tab/>
        <w:t>Los elementos inferiores, medios y superiores corresponderán a los 18 elementos mismos; Ya que los ojos inferiores, etc., corresponderán al elemento inferior, y los ojos medios y superiores, etc., corresponderán a los elementos medios y superiores, respectivamente. No obstante, literalmente hablando, el elemento de los objetos mentales no productivos y el elemento de la consciencia mental corresponderá al elemento inferior; ambos elementos, cuando sea mundanos productivos o mundanos indeterminados y el elemento ocular, etc., corresponderán al elemento medio; No obstante, el elemento supramundano de los objetos mentales y el elemento de la consciencia mental corresponderán al elemento superior.</w:t>
      </w:r>
    </w:p>
    <w:p w14:paraId="0F0499DC" w14:textId="77777777" w:rsidR="00597DE2" w:rsidRPr="00DC1A5F" w:rsidRDefault="00597DE2" w:rsidP="00597DE2">
      <w:pPr>
        <w:spacing w:after="160"/>
      </w:pPr>
      <w:r w:rsidRPr="00DC1A5F">
        <w:t xml:space="preserve">30. </w:t>
      </w:r>
      <w:r w:rsidRPr="00DC1A5F">
        <w:tab/>
        <w:t>Los elementos tierra, fuego y aire corresponderán al elemento de los objetos tangibles; El elemento agua y el elemento espacial corresponderán solo al elemento de los objetos mentales; “El elemento de la consciencia” será un término que resuma los 7 elementos de consciencia que comienzan con la consciencia.</w:t>
      </w:r>
    </w:p>
    <w:p w14:paraId="3E8F45CB" w14:textId="77777777" w:rsidR="00597DE2" w:rsidRPr="00DC1A5F" w:rsidRDefault="00597DE2" w:rsidP="00597DE2">
      <w:pPr>
        <w:tabs>
          <w:tab w:val="clear" w:pos="425"/>
          <w:tab w:val="left" w:pos="426"/>
        </w:tabs>
        <w:spacing w:after="160"/>
      </w:pPr>
      <w:r w:rsidRPr="00DC1A5F">
        <w:t xml:space="preserve">31. </w:t>
      </w:r>
      <w:r w:rsidRPr="00DC1A5F">
        <w:tab/>
        <w:t xml:space="preserve">Los 17 elementos y una parte del elemento de los objetos mentales corresponderán al elemento formado; No obstante, el elemento no–formado </w:t>
      </w:r>
      <w:r w:rsidRPr="00DC1A5F">
        <w:rPr>
          <w:color w:val="833C0B" w:themeColor="accent2" w:themeShade="80"/>
        </w:rPr>
        <w:t xml:space="preserve">o inmaterial </w:t>
      </w:r>
      <w:r w:rsidRPr="00DC1A5F">
        <w:t>corresponderá sólo a una parte del elemento de los objetos mentales. El “mundo de los muchos elementos, de varios elementos” corresponderán simplemente a lo que se divida en los 18 elementos.</w:t>
      </w:r>
    </w:p>
    <w:p w14:paraId="1975516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4C13316" w14:textId="77777777" w:rsidR="00597DE2" w:rsidRPr="00DC1A5F" w:rsidRDefault="00597DE2" w:rsidP="00597DE2">
      <w:pPr>
        <w:pStyle w:val="PiedepginaLegal"/>
        <w:numPr>
          <w:ilvl w:val="0"/>
          <w:numId w:val="4"/>
        </w:numPr>
        <w:tabs>
          <w:tab w:val="clear" w:pos="425"/>
        </w:tabs>
        <w:spacing w:after="160"/>
        <w:ind w:left="284" w:hanging="284"/>
      </w:pPr>
      <w:r w:rsidRPr="00DC1A5F">
        <w:t>“Es la llana cesación del elemento de la consciencia mental y el elemento de los objetos mentales ya que corresponderá a la cesación del surgimiento de pensamiento en el cuarto estado inmaterial” (</w:t>
      </w:r>
      <w:proofErr w:type="spellStart"/>
      <w:r w:rsidRPr="00DC1A5F">
        <w:t>Vism</w:t>
      </w:r>
      <w:proofErr w:type="spellEnd"/>
      <w:r w:rsidRPr="00DC1A5F">
        <w:t>–</w:t>
      </w:r>
      <w:proofErr w:type="spellStart"/>
      <w:r w:rsidRPr="00DC1A5F">
        <w:t>Mhṭ</w:t>
      </w:r>
      <w:proofErr w:type="spellEnd"/>
      <w:r w:rsidRPr="00DC1A5F">
        <w:t xml:space="preserve"> 514).</w:t>
      </w:r>
      <w:r w:rsidRPr="00DC1A5F">
        <w:br w:type="page"/>
      </w:r>
    </w:p>
    <w:p w14:paraId="42D1BC31" w14:textId="77777777" w:rsidR="00597DE2" w:rsidRPr="00DC1A5F" w:rsidRDefault="00597DE2" w:rsidP="00597DE2">
      <w:pPr>
        <w:pStyle w:val="NormalConSangria"/>
      </w:pPr>
      <w:r w:rsidRPr="00DC1A5F">
        <w:lastRenderedPageBreak/>
        <w:t>Por lo tanto, se expondrán como 18 elementos porque, en cuanto a su esencia individual, todos los elementos existentes se incluirán en esa clasificación.</w:t>
      </w:r>
    </w:p>
    <w:p w14:paraId="032D7E8B" w14:textId="77777777" w:rsidR="00597DE2" w:rsidRPr="00DC1A5F" w:rsidRDefault="00597DE2" w:rsidP="00597DE2">
      <w:pPr>
        <w:spacing w:after="160"/>
      </w:pPr>
      <w:r w:rsidRPr="00DC1A5F">
        <w:t xml:space="preserve">32. </w:t>
      </w:r>
      <w:r w:rsidRPr="00DC1A5F">
        <w:tab/>
        <w:t xml:space="preserve">Además, se declaran como 18 elementos con el propósito de eliminar el tipo de percepción que se encuentre en aquellos que perciben un alma en la consciencia, cuya esencia individual es cognitiva; Ya que existen seres que perciben un alma en la consciencia, cuya esencia individual es cognitiva. Y así, el </w:t>
      </w:r>
      <w:r w:rsidRPr="00DC1A5F">
        <w:rPr>
          <w:i/>
          <w:iCs/>
        </w:rPr>
        <w:t>Bhagavā</w:t>
      </w:r>
      <w:r w:rsidRPr="00DC1A5F">
        <w:t xml:space="preserve">, que deseaba eliminar la percepción inherente de un alma a largo plazo, expuso los 18 elementos, lo que hacía evidente no solo la multiplicidad de la consciencia cuando se clasificaba como elementos de consciencia ocular, auditiva, gustativa, olfativa, táctil y mental, sino también cuando se clasificaba como impermanente, </w:t>
      </w:r>
      <w:r w:rsidRPr="00DC1A5F">
        <w:rPr>
          <w:color w:val="833C0B" w:themeColor="accent2" w:themeShade="80"/>
        </w:rPr>
        <w:t xml:space="preserve">insatisfactoria, etc. </w:t>
      </w:r>
      <w:r w:rsidRPr="00DC1A5F">
        <w:t xml:space="preserve">lo cual se debe a su existencia en dependencia con la conjunción de la vista y los objetos </w:t>
      </w:r>
      <w:proofErr w:type="gramStart"/>
      <w:r w:rsidRPr="00DC1A5F">
        <w:t>visibles,  etc.</w:t>
      </w:r>
      <w:proofErr w:type="gramEnd"/>
      <w:r w:rsidRPr="00DC1A5F">
        <w:t>, como condiciones.</w:t>
      </w:r>
    </w:p>
    <w:p w14:paraId="035C4CB4" w14:textId="77777777" w:rsidR="00597DE2" w:rsidRPr="00DC1A5F" w:rsidRDefault="00597DE2" w:rsidP="00597DE2">
      <w:pPr>
        <w:spacing w:after="160"/>
      </w:pPr>
      <w:r w:rsidRPr="00DC1A5F">
        <w:t xml:space="preserve">33. </w:t>
      </w:r>
      <w:r w:rsidRPr="00DC1A5F">
        <w:tab/>
        <w:t>Lo que es más, deberán considerarse las inclinaciones de aquellos a quienes se les pueda enseñar de esta manera; y para adaptarse a las inclinaciones de los seres a quienes se les pueda enseñar mediante una enseñanza que no sea demasiado breve ni demasiado larga, se exponen 18 elementos. Así:</w:t>
      </w:r>
    </w:p>
    <w:p w14:paraId="06F73D55" w14:textId="77777777" w:rsidR="00597DE2" w:rsidRPr="00DC1A5F" w:rsidRDefault="00597DE2" w:rsidP="00597DE2">
      <w:pPr>
        <w:pStyle w:val="VersoIngls01Sangria"/>
        <w:rPr>
          <w:sz w:val="16"/>
          <w:szCs w:val="20"/>
        </w:rPr>
      </w:pPr>
      <w:r w:rsidRPr="00DC1A5F">
        <w:rPr>
          <w:sz w:val="16"/>
          <w:szCs w:val="20"/>
        </w:rPr>
        <w:t>Por métodos breves y extensos tantos como sean necesarios</w:t>
      </w:r>
    </w:p>
    <w:p w14:paraId="55F8A93B" w14:textId="77777777" w:rsidR="00597DE2" w:rsidRPr="00DC1A5F" w:rsidRDefault="00597DE2" w:rsidP="00597DE2">
      <w:pPr>
        <w:pStyle w:val="VersoIngls01Sangria"/>
        <w:rPr>
          <w:sz w:val="16"/>
          <w:szCs w:val="20"/>
        </w:rPr>
      </w:pPr>
      <w:r w:rsidRPr="00DC1A5F">
        <w:rPr>
          <w:sz w:val="16"/>
          <w:szCs w:val="20"/>
        </w:rPr>
        <w:t xml:space="preserve">Enseñó el </w:t>
      </w:r>
      <w:r w:rsidRPr="00DC1A5F">
        <w:rPr>
          <w:i/>
          <w:sz w:val="16"/>
          <w:szCs w:val="20"/>
        </w:rPr>
        <w:t>dhamma</w:t>
      </w:r>
      <w:r w:rsidRPr="00DC1A5F">
        <w:rPr>
          <w:sz w:val="16"/>
          <w:szCs w:val="20"/>
        </w:rPr>
        <w:t xml:space="preserve">, de modo que, desde los corazones de los seres, </w:t>
      </w:r>
    </w:p>
    <w:p w14:paraId="3F811254" w14:textId="77777777" w:rsidR="00597DE2" w:rsidRPr="00DC1A5F" w:rsidRDefault="00597DE2" w:rsidP="00597DE2">
      <w:pPr>
        <w:pStyle w:val="VersoIngls01Sangria"/>
        <w:rPr>
          <w:sz w:val="16"/>
          <w:szCs w:val="20"/>
        </w:rPr>
      </w:pPr>
      <w:r w:rsidRPr="00DC1A5F">
        <w:rPr>
          <w:sz w:val="16"/>
          <w:szCs w:val="20"/>
        </w:rPr>
        <w:t>Si tuvieran inteligencia para aprender, la oscuridad se disipaba</w:t>
      </w:r>
    </w:p>
    <w:p w14:paraId="55A907EA" w14:textId="77777777" w:rsidR="00597DE2" w:rsidRPr="00DC1A5F" w:rsidRDefault="00597DE2" w:rsidP="00597DE2">
      <w:pPr>
        <w:pStyle w:val="VersoIngls01Sangria"/>
        <w:spacing w:after="100"/>
        <w:ind w:left="1418"/>
        <w:rPr>
          <w:sz w:val="16"/>
          <w:szCs w:val="20"/>
        </w:rPr>
      </w:pPr>
      <w:r w:rsidRPr="00DC1A5F">
        <w:rPr>
          <w:sz w:val="16"/>
          <w:szCs w:val="20"/>
        </w:rPr>
        <w:t xml:space="preserve">Derritiéndose con el resplandeciente brillo del </w:t>
      </w:r>
      <w:r w:rsidRPr="00DC1A5F">
        <w:rPr>
          <w:i/>
          <w:sz w:val="16"/>
          <w:szCs w:val="20"/>
        </w:rPr>
        <w:t>Dhamma</w:t>
      </w:r>
      <w:r w:rsidRPr="00DC1A5F">
        <w:rPr>
          <w:sz w:val="16"/>
          <w:szCs w:val="20"/>
        </w:rPr>
        <w:t>.</w:t>
      </w:r>
    </w:p>
    <w:p w14:paraId="50A18F52" w14:textId="77777777" w:rsidR="00597DE2" w:rsidRPr="00DC1A5F" w:rsidRDefault="00597DE2" w:rsidP="00597DE2">
      <w:pPr>
        <w:pStyle w:val="NormalConSangria"/>
      </w:pPr>
      <w:r w:rsidRPr="00DC1A5F">
        <w:t>Así es cómo la exposición de los elementos deberá entenderse aquí en cuanto a su cantidad.</w:t>
      </w:r>
    </w:p>
    <w:p w14:paraId="61042B88" w14:textId="77777777" w:rsidR="00597DE2" w:rsidRPr="00DC1A5F" w:rsidRDefault="00597DE2" w:rsidP="00597DE2">
      <w:pPr>
        <w:spacing w:after="160"/>
      </w:pPr>
      <w:r w:rsidRPr="00DC1A5F">
        <w:t xml:space="preserve">34. </w:t>
      </w:r>
      <w:r w:rsidRPr="00DC1A5F">
        <w:tab/>
        <w:t xml:space="preserve">5. </w:t>
      </w:r>
      <w:r w:rsidRPr="00DC1A5F">
        <w:rPr>
          <w:i/>
          <w:iCs/>
        </w:rPr>
        <w:t>En cuanto al reconocimiento</w:t>
      </w:r>
      <w:r w:rsidRPr="00DC1A5F">
        <w:t xml:space="preserve">: el elemento ocular, en primer lugar, será reconocido como una cosa </w:t>
      </w:r>
      <w:proofErr w:type="gramStart"/>
      <w:r w:rsidRPr="00DC1A5F">
        <w:t>de acuerdo a</w:t>
      </w:r>
      <w:proofErr w:type="gramEnd"/>
      <w:r w:rsidRPr="00DC1A5F">
        <w:t xml:space="preserve"> su clase, [488] es decir, a la sensibilidad ocular. Del mismo modo, los elementos del oído, la nariz, la lengua, el cuerpo, el objeto visible, el sonido, el olor y del sabor se considerarán como sensibilidad auditiva, olfativa, etc. (XIV.37ff.). No obstante, para el elemento de los objetos tangibles se considerarán tres cosas, es decir, tierra, fuego y aire. El elemento de la consciencia visual será reconocido como dos cosas, es decir, como resultado del (i) </w:t>
      </w:r>
      <w:proofErr w:type="spellStart"/>
      <w:r w:rsidRPr="00DC1A5F">
        <w:rPr>
          <w:i/>
        </w:rPr>
        <w:t>kamma</w:t>
      </w:r>
      <w:proofErr w:type="spellEnd"/>
      <w:r w:rsidRPr="00DC1A5F">
        <w:t xml:space="preserve"> productivo e (</w:t>
      </w:r>
      <w:proofErr w:type="spellStart"/>
      <w:r w:rsidRPr="00DC1A5F">
        <w:t>ii</w:t>
      </w:r>
      <w:proofErr w:type="spellEnd"/>
      <w:r w:rsidRPr="00DC1A5F">
        <w:t>) improductivo y, de la misma manera, los elementos de la consciencia auditiva, la olfativa, gustativa y corporal. En el elemento mental se considerará tres cosas, es decir, la advertencia de las cinco puertas (70) y la recepción productiva (39) e improductiva (55) resultante. El elemento de los objetos mentales será reconocido como 20 cosas, es decir, 3 agregados inmateriales, 16 tipos de materia sutil y el elemento no</w:t>
      </w:r>
      <w:r w:rsidRPr="00DC1A5F">
        <w:rPr>
          <w:rFonts w:cs="Cormorant"/>
        </w:rPr>
        <w:t>‒</w:t>
      </w:r>
      <w:r w:rsidRPr="00DC1A5F">
        <w:t xml:space="preserve">formado (ver </w:t>
      </w:r>
      <w:proofErr w:type="spellStart"/>
      <w:r w:rsidRPr="00DC1A5F">
        <w:t>Vibh</w:t>
      </w:r>
      <w:proofErr w:type="spellEnd"/>
      <w:r w:rsidRPr="00DC1A5F">
        <w:t xml:space="preserve"> 88).</w:t>
      </w:r>
      <w:r w:rsidRPr="00DC1A5F">
        <w:rPr>
          <w:vertAlign w:val="superscript"/>
        </w:rPr>
        <w:t>15</w:t>
      </w:r>
      <w:r w:rsidRPr="00DC1A5F">
        <w:t xml:space="preserve"> El elemento de la consciencia mental será reconocido como 76 cosas, es decir, la restantes consciencias productivas, improductivas e indeterminadas. Así es como se debe entender la exposición en cuanto a saber.</w:t>
      </w:r>
    </w:p>
    <w:p w14:paraId="7806EC13" w14:textId="77777777" w:rsidR="00597DE2" w:rsidRPr="00DC1A5F" w:rsidRDefault="00597DE2" w:rsidP="00597DE2">
      <w:pPr>
        <w:tabs>
          <w:tab w:val="clear" w:pos="425"/>
          <w:tab w:val="left" w:pos="426"/>
        </w:tabs>
        <w:spacing w:after="160"/>
      </w:pPr>
      <w:r w:rsidRPr="00DC1A5F">
        <w:t xml:space="preserve">35. </w:t>
      </w:r>
      <w:r w:rsidRPr="00DC1A5F">
        <w:tab/>
        <w:t xml:space="preserve">6. </w:t>
      </w:r>
      <w:r w:rsidRPr="00DC1A5F">
        <w:rPr>
          <w:i/>
          <w:iCs/>
        </w:rPr>
        <w:t>Condición</w:t>
      </w:r>
      <w:r w:rsidRPr="00DC1A5F">
        <w:t xml:space="preserve">: El elemento ocular, en primer lugar, será una condición, de 6 maneras, es decir, como disociación, pre–nascencia, presencia, no dispersión, soporte y facultad para el elemento consciente de los ojos. El elemento de los objetos visibles será una condición, de 4 </w:t>
      </w:r>
    </w:p>
    <w:p w14:paraId="3C9B95C8" w14:textId="77777777" w:rsidR="00597DE2" w:rsidRPr="00DC1A5F" w:rsidRDefault="00597DE2" w:rsidP="00597DE2">
      <w:pPr>
        <w:pStyle w:val="PiedepginaLegal"/>
        <w:rPr>
          <w:sz w:val="8"/>
          <w:szCs w:val="16"/>
          <w:u w:val="single"/>
        </w:rPr>
      </w:pPr>
      <w:r w:rsidRPr="00DC1A5F">
        <w:rPr>
          <w:sz w:val="8"/>
          <w:szCs w:val="16"/>
          <w:u w:val="single"/>
        </w:rPr>
        <w:tab/>
      </w:r>
      <w:r w:rsidRPr="00DC1A5F">
        <w:rPr>
          <w:sz w:val="8"/>
          <w:szCs w:val="16"/>
          <w:u w:val="single"/>
        </w:rPr>
        <w:tab/>
      </w:r>
      <w:r w:rsidRPr="00DC1A5F">
        <w:rPr>
          <w:sz w:val="8"/>
          <w:szCs w:val="16"/>
          <w:u w:val="single"/>
        </w:rPr>
        <w:tab/>
      </w:r>
      <w:r w:rsidRPr="00DC1A5F">
        <w:rPr>
          <w:sz w:val="8"/>
          <w:szCs w:val="16"/>
          <w:u w:val="single"/>
        </w:rPr>
        <w:tab/>
        <w:t>.</w:t>
      </w:r>
    </w:p>
    <w:p w14:paraId="37CDDD51" w14:textId="77777777" w:rsidR="00597DE2" w:rsidRPr="00DC1A5F" w:rsidRDefault="00597DE2" w:rsidP="00597DE2">
      <w:pPr>
        <w:pStyle w:val="PiedepginaLegal"/>
        <w:numPr>
          <w:ilvl w:val="0"/>
          <w:numId w:val="4"/>
        </w:numPr>
        <w:tabs>
          <w:tab w:val="clear" w:pos="425"/>
          <w:tab w:val="clear" w:pos="6804"/>
        </w:tabs>
        <w:spacing w:after="160"/>
        <w:ind w:left="284" w:right="-91" w:hanging="284"/>
      </w:pPr>
      <w:r w:rsidRPr="00DC1A5F">
        <w:rPr>
          <w:sz w:val="12"/>
          <w:szCs w:val="20"/>
        </w:rPr>
        <w:t>En XIV. §35–70, las instancias materiales enumeran el total de 28 elementos, es decir, los 4 elementos primarios, las 9 facultades sensoriales (excluyendo la facultad de los objetos tangibles, que son los 3 elementos exceptuando al agua) y 15 tipos de materialidad sutil que comienzan con la facultad de la feminidad (cf. Tratamiento en DHS §596). Otras listas, sin embargo, a veces dan un total de 26 tipos, es decir, 10 facultades sensoriales (incluida la facultad de los objetos tangibles, que corresponden a los 3 elementos primarios) y los 16 tipos de materialidad sutil, es decir, los 15 mencionados sumado al elemento agua, que se enumera luego después del elemento espacio (cf. tratamiento en DHS §653 y la lista en M–A II 261). Ver Tabla I.</w:t>
      </w:r>
      <w:r w:rsidRPr="00DC1A5F">
        <w:br w:type="page"/>
      </w:r>
    </w:p>
    <w:p w14:paraId="6FB04716" w14:textId="77777777" w:rsidR="00597DE2" w:rsidRPr="00DC1A5F" w:rsidRDefault="00597DE2" w:rsidP="00597DE2">
      <w:pPr>
        <w:pStyle w:val="Textoindependiente"/>
      </w:pPr>
      <w:r w:rsidRPr="00DC1A5F">
        <w:lastRenderedPageBreak/>
        <w:t>maneras, es decir, como pre–nascencia, presencia, no–dispersión y soporte, y facultad para el elemento de la consciencia visual. Del mismo modo con el elemento del oído y del sonido para el elemento de la consciencia auditiva, etc.</w:t>
      </w:r>
    </w:p>
    <w:p w14:paraId="58A40EF4" w14:textId="77777777" w:rsidR="00597DE2" w:rsidRPr="00DC1A5F" w:rsidRDefault="00597DE2" w:rsidP="00597DE2">
      <w:pPr>
        <w:spacing w:after="160"/>
      </w:pPr>
      <w:r w:rsidRPr="00DC1A5F">
        <w:t xml:space="preserve">36. </w:t>
      </w:r>
      <w:r w:rsidRPr="00DC1A5F">
        <w:tab/>
        <w:t xml:space="preserve">El elemento mental de la advertencia (70) será una </w:t>
      </w:r>
      <w:r w:rsidRPr="00DC1A5F">
        <w:rPr>
          <w:i/>
          <w:iCs/>
        </w:rPr>
        <w:t>condición</w:t>
      </w:r>
      <w:r w:rsidRPr="00DC1A5F">
        <w:t>, como cinco condiciones, es decir: para la proximidad, la contigüidad, la ausencia, la desaparición y el soporte–proximidad–decisiva, comenzando con el elemento de la consciencia. Y estos cinco también lo serán para el elemento mental receptor ((39), (55)). Y también lo será el elemento mental receptor para el elemento investigador de consciencia mental ((40), (41), (56)). Y también lo será para el elemento determinante de la consciencia mental (71). Y también lo será el elemento determinante de la consciencia mental para el elemento de consciencia mental de impulso. No obstante, el elemento de impulsión de la consciencia mental será una condición, como las seis condiciones, es decir, las cinco ya mencionadas y la condición de repetición, para el siguiente e inmediato elemento de impulsión de la consciencia mental.</w:t>
      </w:r>
    </w:p>
    <w:p w14:paraId="28DE7923" w14:textId="77777777" w:rsidR="00597DE2" w:rsidRPr="00DC1A5F" w:rsidRDefault="00597DE2" w:rsidP="00597DE2">
      <w:pPr>
        <w:pStyle w:val="NormalConSangria"/>
      </w:pPr>
      <w:r w:rsidRPr="00DC1A5F">
        <w:t>Éste, en primer lugar, corresponderá al curso en el caso de las 5 puertas.</w:t>
      </w:r>
    </w:p>
    <w:p w14:paraId="79DA0D07" w14:textId="77777777" w:rsidR="00597DE2" w:rsidRPr="00DC1A5F" w:rsidRDefault="00597DE2" w:rsidP="00597DE2">
      <w:pPr>
        <w:spacing w:after="160"/>
      </w:pPr>
      <w:r w:rsidRPr="00DC1A5F">
        <w:t xml:space="preserve">37. </w:t>
      </w:r>
      <w:r w:rsidRPr="00DC1A5F">
        <w:tab/>
        <w:t>En el caso de la puerta mental, sin embargo, el elemento mental del continuum vital corresponderá a una condición, como 5 condiciones previamente establecidas, para el elemento de advertencia de la consciencia mental (71). Y el elemento de advertencia de la mentalidad corresponderá así al elemento de impulsión de la consciencia mental.</w:t>
      </w:r>
    </w:p>
    <w:p w14:paraId="3D32B32A" w14:textId="77777777" w:rsidR="00597DE2" w:rsidRPr="00DC1A5F" w:rsidRDefault="00597DE2" w:rsidP="00597DE2">
      <w:pPr>
        <w:spacing w:after="160"/>
      </w:pPr>
      <w:r w:rsidRPr="00DC1A5F">
        <w:t xml:space="preserve">38. </w:t>
      </w:r>
      <w:r w:rsidRPr="00DC1A5F">
        <w:tab/>
        <w:t xml:space="preserve">El elemento de los objetos mentales será una condición en muchos sentidos, como la </w:t>
      </w:r>
      <w:proofErr w:type="spellStart"/>
      <w:r w:rsidRPr="00DC1A5F">
        <w:t>conascencia</w:t>
      </w:r>
      <w:proofErr w:type="spellEnd"/>
      <w:r w:rsidRPr="00DC1A5F">
        <w:t>, la mutualidad, el soporte, la asociación, la presencia, la no dispersión, etc.,</w:t>
      </w:r>
      <w:r w:rsidRPr="00DC1A5F">
        <w:rPr>
          <w:vertAlign w:val="superscript"/>
        </w:rPr>
        <w:t>16</w:t>
      </w:r>
      <w:r w:rsidRPr="00DC1A5F">
        <w:t xml:space="preserve"> para los 7 elementos de consciencia. El elemento ojo, etc., y algunos de los elementos de los objetos mentales,</w:t>
      </w:r>
      <w:r w:rsidRPr="00DC1A5F">
        <w:rPr>
          <w:vertAlign w:val="superscript"/>
        </w:rPr>
        <w:t>17</w:t>
      </w:r>
      <w:r w:rsidRPr="00DC1A5F">
        <w:t xml:space="preserve"> serán condiciones, como condición del objeto, etc., para algunos de los elementos de la consciencia mental.</w:t>
      </w:r>
    </w:p>
    <w:p w14:paraId="5D102234" w14:textId="77777777" w:rsidR="00597DE2" w:rsidRPr="00DC1A5F" w:rsidRDefault="00597DE2" w:rsidP="00597DE2">
      <w:pPr>
        <w:spacing w:after="160"/>
      </w:pPr>
      <w:r w:rsidRPr="00DC1A5F">
        <w:t xml:space="preserve">39. </w:t>
      </w:r>
      <w:r w:rsidRPr="00DC1A5F">
        <w:tab/>
        <w:t>Y no sólo los objetos ocular y visible, etc., las condiciones para el elemento del ojo, etc., respectivamente, sino también la luz, etc., también lo serán. Por lo tanto, los maestros tradicionales dijeron: “La consciencia de los ojos surgirá debido a la vista, al objeto visible, la luz y la atención. [489] La consciencia del oído surgirá debido al oído, al sonido, la apertura y la atención. La consciencia de la nariz surgirá debido a la nariz, al olor, al aire y a la atención. La consciencia de la lengua surgirá debido a la lengua, al sabor, al agua y a la atención. La consciencia del cuerpo surgirá debido al cuerpo, al objeto táctil, a la tierra y a la atención. La mentalidad surgirá debido a la mentalidad del continuum–vital,</w:t>
      </w:r>
      <w:r w:rsidRPr="00DC1A5F">
        <w:rPr>
          <w:vertAlign w:val="superscript"/>
        </w:rPr>
        <w:t>18</w:t>
      </w:r>
      <w:r w:rsidRPr="00DC1A5F">
        <w:t xml:space="preserve"> el objeto mental y la atención “.</w:t>
      </w:r>
    </w:p>
    <w:p w14:paraId="4EFD1DD3" w14:textId="77777777" w:rsidR="00597DE2" w:rsidRPr="00DC1A5F" w:rsidRDefault="00597DE2" w:rsidP="00597DE2">
      <w:pPr>
        <w:pStyle w:val="NormalConSangria"/>
      </w:pPr>
      <w:r w:rsidRPr="00DC1A5F">
        <w:t>Esto es en resumen. No obstante, las clases de condiciones se explicarán en detalle en la descripción de la originación dependiente (XVII.66ff.).</w:t>
      </w:r>
    </w:p>
    <w:p w14:paraId="5F6E07EF" w14:textId="77777777" w:rsidR="00597DE2" w:rsidRPr="00DC1A5F" w:rsidRDefault="00597DE2" w:rsidP="00597DE2">
      <w:pPr>
        <w:pStyle w:val="NormalConSangria"/>
      </w:pPr>
      <w:r w:rsidRPr="00DC1A5F">
        <w:t xml:space="preserve">Así es como la exposición deberá entenderse aquí en cuanto a su </w:t>
      </w:r>
      <w:r w:rsidRPr="00DC1A5F">
        <w:rPr>
          <w:i/>
          <w:iCs/>
        </w:rPr>
        <w:t>condición</w:t>
      </w:r>
      <w:r w:rsidRPr="00DC1A5F">
        <w:t>.</w:t>
      </w:r>
    </w:p>
    <w:p w14:paraId="1B334553" w14:textId="77777777" w:rsidR="00597DE2" w:rsidRPr="00DC1A5F" w:rsidRDefault="00597DE2" w:rsidP="00597DE2">
      <w:pPr>
        <w:tabs>
          <w:tab w:val="clear" w:pos="425"/>
          <w:tab w:val="left" w:pos="426"/>
        </w:tabs>
        <w:spacing w:after="160"/>
      </w:pPr>
      <w:r w:rsidRPr="00DC1A5F">
        <w:t xml:space="preserve">40. </w:t>
      </w:r>
      <w:r w:rsidRPr="00DC1A5F">
        <w:tab/>
        <w:t xml:space="preserve">7. </w:t>
      </w:r>
      <w:r w:rsidRPr="00DC1A5F">
        <w:rPr>
          <w:i/>
          <w:iCs/>
        </w:rPr>
        <w:t>En cuanto cómo</w:t>
      </w:r>
      <w:r w:rsidRPr="00DC1A5F">
        <w:t xml:space="preserve"> </w:t>
      </w:r>
      <w:r w:rsidRPr="00DC1A5F">
        <w:rPr>
          <w:i/>
          <w:iCs/>
        </w:rPr>
        <w:t>a ser apreciado</w:t>
      </w:r>
      <w:r w:rsidRPr="00DC1A5F">
        <w:t xml:space="preserve">: el significado es que aquí también la exposición deberá entenderse sobre cómo deben ser considerados. Para todos los elementos formados, debe </w:t>
      </w:r>
    </w:p>
    <w:p w14:paraId="18F75167" w14:textId="77777777" w:rsidR="00597DE2" w:rsidRPr="00DC1A5F" w:rsidRDefault="00597DE2" w:rsidP="00597DE2">
      <w:pPr>
        <w:pStyle w:val="PiedepginaLegal"/>
        <w:rPr>
          <w:sz w:val="6"/>
          <w:szCs w:val="14"/>
          <w:u w:val="single"/>
        </w:rPr>
      </w:pPr>
      <w:r w:rsidRPr="00DC1A5F">
        <w:rPr>
          <w:sz w:val="6"/>
          <w:szCs w:val="14"/>
          <w:u w:val="single"/>
        </w:rPr>
        <w:tab/>
      </w:r>
      <w:r w:rsidRPr="00DC1A5F">
        <w:rPr>
          <w:sz w:val="6"/>
          <w:szCs w:val="14"/>
          <w:u w:val="single"/>
        </w:rPr>
        <w:tab/>
      </w:r>
      <w:r w:rsidRPr="00DC1A5F">
        <w:rPr>
          <w:sz w:val="6"/>
          <w:szCs w:val="14"/>
          <w:u w:val="single"/>
        </w:rPr>
        <w:tab/>
      </w:r>
      <w:r w:rsidRPr="00DC1A5F">
        <w:rPr>
          <w:sz w:val="6"/>
          <w:szCs w:val="14"/>
          <w:u w:val="single"/>
        </w:rPr>
        <w:tab/>
        <w:t>.</w:t>
      </w:r>
    </w:p>
    <w:p w14:paraId="62FAA47F" w14:textId="77777777" w:rsidR="00597DE2" w:rsidRPr="00DC1A5F" w:rsidRDefault="00597DE2" w:rsidP="00597DE2">
      <w:pPr>
        <w:pStyle w:val="PiedepginaLegal"/>
        <w:numPr>
          <w:ilvl w:val="0"/>
          <w:numId w:val="4"/>
        </w:numPr>
        <w:tabs>
          <w:tab w:val="clear" w:pos="425"/>
        </w:tabs>
        <w:ind w:left="284" w:hanging="284"/>
        <w:rPr>
          <w:color w:val="auto"/>
          <w:u w:color="000000"/>
        </w:rPr>
      </w:pPr>
      <w:r w:rsidRPr="00DC1A5F">
        <w:rPr>
          <w:color w:val="auto"/>
          <w:u w:color="000000"/>
        </w:rPr>
        <w:t xml:space="preserve">“Aquí la palabra ‘etc.’ representa los estados del elemento de consciencia mental donde sean adecuados como causa–raíz, predominio, </w:t>
      </w:r>
      <w:proofErr w:type="spellStart"/>
      <w:r w:rsidRPr="00DC1A5F">
        <w:rPr>
          <w:i/>
          <w:color w:val="auto"/>
          <w:u w:color="000000"/>
        </w:rPr>
        <w:t>kamma</w:t>
      </w:r>
      <w:proofErr w:type="spellEnd"/>
      <w:r w:rsidRPr="00DC1A5F">
        <w:rPr>
          <w:color w:val="auto"/>
          <w:u w:color="000000"/>
        </w:rPr>
        <w:t xml:space="preserve">, resistencia al </w:t>
      </w:r>
      <w:proofErr w:type="spellStart"/>
      <w:r w:rsidRPr="00DC1A5F">
        <w:rPr>
          <w:i/>
          <w:color w:val="auto"/>
          <w:u w:color="000000"/>
        </w:rPr>
        <w:t>kamma</w:t>
      </w:r>
      <w:proofErr w:type="spellEnd"/>
      <w:r w:rsidRPr="00DC1A5F">
        <w:rPr>
          <w:color w:val="auto"/>
          <w:u w:color="000000"/>
        </w:rPr>
        <w:t xml:space="preserve">, nutrimento, facultad, </w:t>
      </w:r>
      <w:proofErr w:type="spellStart"/>
      <w:r w:rsidRPr="00DC1A5F">
        <w:rPr>
          <w:i/>
          <w:color w:val="auto"/>
          <w:u w:color="000000"/>
        </w:rPr>
        <w:t>jhāna</w:t>
      </w:r>
      <w:proofErr w:type="spellEnd"/>
      <w:r w:rsidRPr="00DC1A5F">
        <w:rPr>
          <w:color w:val="auto"/>
          <w:u w:color="000000"/>
        </w:rPr>
        <w:t xml:space="preserve"> y condiciones del sendero”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516).</w:t>
      </w:r>
    </w:p>
    <w:p w14:paraId="4485924C" w14:textId="77777777" w:rsidR="00597DE2" w:rsidRPr="00DC1A5F" w:rsidRDefault="00597DE2" w:rsidP="00597DE2">
      <w:pPr>
        <w:pStyle w:val="PiedepginaLegal"/>
        <w:numPr>
          <w:ilvl w:val="0"/>
          <w:numId w:val="4"/>
        </w:numPr>
        <w:tabs>
          <w:tab w:val="clear" w:pos="425"/>
        </w:tabs>
        <w:ind w:left="284" w:hanging="284"/>
      </w:pPr>
      <w:r w:rsidRPr="00DC1A5F">
        <w:t xml:space="preserve">“Es decir. materialidad sutil y </w:t>
      </w:r>
      <w:r w:rsidRPr="00DC1A5F">
        <w:rPr>
          <w:i/>
          <w:iCs/>
        </w:rPr>
        <w:t>nibbāna</w:t>
      </w:r>
      <w:r w:rsidRPr="00DC1A5F">
        <w:t>” (</w:t>
      </w:r>
      <w:proofErr w:type="spellStart"/>
      <w:r w:rsidRPr="00DC1A5F">
        <w:t>Vism</w:t>
      </w:r>
      <w:proofErr w:type="spellEnd"/>
      <w:r w:rsidRPr="00DC1A5F">
        <w:t>–</w:t>
      </w:r>
      <w:proofErr w:type="spellStart"/>
      <w:r w:rsidRPr="00DC1A5F">
        <w:t>Mhṭ</w:t>
      </w:r>
      <w:proofErr w:type="spellEnd"/>
      <w:r w:rsidRPr="00DC1A5F">
        <w:t xml:space="preserve"> 516).</w:t>
      </w:r>
    </w:p>
    <w:p w14:paraId="534A589B" w14:textId="77777777" w:rsidR="00597DE2" w:rsidRPr="00DC1A5F" w:rsidRDefault="00597DE2" w:rsidP="00597DE2">
      <w:pPr>
        <w:pStyle w:val="PiedepginaLegal"/>
        <w:numPr>
          <w:ilvl w:val="0"/>
          <w:numId w:val="4"/>
        </w:numPr>
        <w:tabs>
          <w:tab w:val="clear" w:pos="425"/>
        </w:tabs>
        <w:spacing w:after="160"/>
        <w:ind w:left="284" w:hanging="284"/>
      </w:pPr>
      <w:r w:rsidRPr="00DC1A5F">
        <w:t>“</w:t>
      </w:r>
      <w:r w:rsidRPr="00DC1A5F">
        <w:rPr>
          <w:i/>
          <w:iCs/>
        </w:rPr>
        <w:t>El continuum vital mental</w:t>
      </w:r>
      <w:r w:rsidRPr="00DC1A5F">
        <w:t>” corresponderá a la consciencia del continuum vital que ocurra dos veces en una perturbación “(</w:t>
      </w:r>
      <w:proofErr w:type="spellStart"/>
      <w:r w:rsidRPr="00DC1A5F">
        <w:t>Vism</w:t>
      </w:r>
      <w:proofErr w:type="spellEnd"/>
      <w:r w:rsidRPr="00DC1A5F">
        <w:t>–</w:t>
      </w:r>
      <w:proofErr w:type="spellStart"/>
      <w:r w:rsidRPr="00DC1A5F">
        <w:t>Mhṭ</w:t>
      </w:r>
      <w:proofErr w:type="spellEnd"/>
      <w:r w:rsidRPr="00DC1A5F">
        <w:t xml:space="preserve"> 516).</w:t>
      </w:r>
      <w:r w:rsidRPr="00DC1A5F">
        <w:br w:type="page"/>
      </w:r>
    </w:p>
    <w:p w14:paraId="66361AD5" w14:textId="77777777" w:rsidR="00597DE2" w:rsidRPr="00DC1A5F" w:rsidRDefault="00597DE2" w:rsidP="00597DE2">
      <w:pPr>
        <w:pStyle w:val="Textoindependiente"/>
      </w:pPr>
      <w:r w:rsidRPr="00DC1A5F">
        <w:lastRenderedPageBreak/>
        <w:t>considerarse como independientemente del pasado y el futuro,</w:t>
      </w:r>
      <w:r w:rsidRPr="00DC1A5F">
        <w:rPr>
          <w:vertAlign w:val="superscript"/>
        </w:rPr>
        <w:t>19</w:t>
      </w:r>
      <w:r w:rsidRPr="00DC1A5F">
        <w:t xml:space="preserve"> como carente de duración, belleza, placer, alma y como existente en dependencia de las condiciones.</w:t>
      </w:r>
    </w:p>
    <w:p w14:paraId="44B04621" w14:textId="77777777" w:rsidR="00597DE2" w:rsidRPr="00DC1A5F" w:rsidRDefault="00597DE2" w:rsidP="00597DE2">
      <w:r w:rsidRPr="00DC1A5F">
        <w:t xml:space="preserve">41. </w:t>
      </w:r>
      <w:r w:rsidRPr="00DC1A5F">
        <w:tab/>
        <w:t xml:space="preserve">Sin embargo, individualmente, el elemento ocular deberá considerarse como la superficie de un tambor, el elemento de los objetos visibles como los palos para tocarlo y el elemento de la consciencia visual como el sonido. Del mismo modo, el elemento ocular deberá considerarse como la superficie de un espejo, el elemento de los objetos visibles como el rostro y el elemento de consciencia visual como </w:t>
      </w:r>
      <w:r w:rsidRPr="00DC1A5F">
        <w:rPr>
          <w:color w:val="833C0B" w:themeColor="accent2" w:themeShade="80"/>
        </w:rPr>
        <w:t xml:space="preserve">la impresión visual </w:t>
      </w:r>
      <w:r w:rsidRPr="00DC1A5F">
        <w:t>de la imagen del rostro. O bien, el elemento ocular deberá considerarse como la caña de azúcar o el sésamo, el elemento de los objetos visibles como el molino de azúcar o la varilla de la rueda del sésamo y el elemento de la consciencia visual como el jugo de la caña de azúcar o el aceite de sésamo. Del mismo modo, el elemento ocular deberá considerarse como la leña inferior del fuego, el elemento de los objetos visibles como la leña superior del fuego y el elemento de la consciencia visual como el fuego. Así también será en el caso del oído, el olfato.</w:t>
      </w:r>
    </w:p>
    <w:p w14:paraId="397F3748" w14:textId="77777777" w:rsidR="00597DE2" w:rsidRPr="00DC1A5F" w:rsidRDefault="00597DE2" w:rsidP="00597DE2">
      <w:r w:rsidRPr="00DC1A5F">
        <w:t xml:space="preserve">42. </w:t>
      </w:r>
      <w:r w:rsidRPr="00DC1A5F">
        <w:tab/>
        <w:t>Sin embargo, el elemento mental deberá considerarse como precursor y persecutor de la consciencia, etc., a medida que surja.</w:t>
      </w:r>
    </w:p>
    <w:p w14:paraId="60789015" w14:textId="77777777" w:rsidR="00597DE2" w:rsidRPr="00DC1A5F" w:rsidRDefault="00597DE2" w:rsidP="00597DE2">
      <w:pPr>
        <w:pStyle w:val="NormalConSangria"/>
      </w:pPr>
      <w:r w:rsidRPr="00DC1A5F">
        <w:t>En cuanto al elemento de los objetos mentales, el agregado de la sensación deberá considerarse como un dardo o como una estaca, la percepción y las formaciones se sumarán como una herida debido a su conexión con el dardo o la estaca de la sensación. O la percepción del hombre ordinario deberá considerarse como un puño vacío porque producirá dolor a través del deseo [la decepción]; o como un ciervo forestal [frente a un espantapájaros] ya que aprehenderá el signo incorrectamente. Y el agregado de las formaciones deberá considerarse como a los hombres que arrojen a uno a un pozo de brasas calientes, porque lanzarán a uno al vínculo–de–renacimiento; o como a los ladrones perseguidos por los guardias del rey, porque serán perseguidos por los dolores del renacimiento; o como las semillas de un árbol venenoso, porque serán la causa de la continuidad de los agregados, lo que conllevará todo tipo de perjuicio. Y la materialidad deberá considerarse como una rueda de afeitar (ver J–A IV 3), porque corresponderá al signo de varios tipos de peligros.</w:t>
      </w:r>
    </w:p>
    <w:p w14:paraId="0C3C680C" w14:textId="77777777" w:rsidR="00597DE2" w:rsidRPr="00DC1A5F" w:rsidRDefault="00597DE2" w:rsidP="00597DE2">
      <w:pPr>
        <w:pStyle w:val="NormalConSangria"/>
      </w:pPr>
      <w:r w:rsidRPr="00DC1A5F">
        <w:t>Sin embargo, el elemento no</w:t>
      </w:r>
      <w:r w:rsidRPr="00DC1A5F">
        <w:rPr>
          <w:rFonts w:cs="Cormorant"/>
        </w:rPr>
        <w:t>‒</w:t>
      </w:r>
      <w:r w:rsidRPr="00DC1A5F">
        <w:t>formado deberá considerarse como la inmortalidad, como la paz, como la seguridad. ¿Por qué? Porque corresponderá a lo contrario de todo mal. [490]</w:t>
      </w:r>
    </w:p>
    <w:p w14:paraId="047055DA" w14:textId="77777777" w:rsidR="00597DE2" w:rsidRPr="00DC1A5F" w:rsidRDefault="00597DE2" w:rsidP="00597DE2">
      <w:r w:rsidRPr="00DC1A5F">
        <w:t xml:space="preserve">43. </w:t>
      </w:r>
      <w:r w:rsidRPr="00DC1A5F">
        <w:tab/>
        <w:t>El elemento de la consciencia mental deberá considerarse como un mono del bosque, ya que no permanece quieto en ningún objeto; o como un caballo salvaje, porque será difícil de domesticar; o como un palo arrojado al aire, porque caerá de cualquier modo; O como el bailarín en un escenario, porque adoptará la apariencia de las diversas referencias, como la codicia y el odio.</w:t>
      </w:r>
    </w:p>
    <w:p w14:paraId="649A363A" w14:textId="77777777" w:rsidR="00597DE2" w:rsidRPr="00DC1A5F" w:rsidRDefault="00597DE2" w:rsidP="00597DE2">
      <w:pPr>
        <w:ind w:left="709" w:right="1043"/>
      </w:pPr>
      <w:r w:rsidRPr="00DC1A5F">
        <w:t xml:space="preserve">Éste ha ido el decimoquinto capítulo bajo el nombre de “Descripción de las Bases y los Elementos” del tratado sobre el desarrollo del Entendimiento del </w:t>
      </w:r>
      <w:r w:rsidRPr="00DC1A5F">
        <w:rPr>
          <w:i/>
          <w:iCs/>
        </w:rPr>
        <w:t>Sendero de la Purificación</w:t>
      </w:r>
      <w:r w:rsidRPr="00DC1A5F">
        <w:t xml:space="preserve"> compuesto para alegría de buenas personas.</w:t>
      </w:r>
    </w:p>
    <w:p w14:paraId="0B1F4B7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A9E68B2" w14:textId="77777777" w:rsidR="00597DE2" w:rsidRPr="00DC1A5F" w:rsidRDefault="00597DE2" w:rsidP="00597DE2">
      <w:pPr>
        <w:pStyle w:val="PiedepginaLegal"/>
        <w:numPr>
          <w:ilvl w:val="0"/>
          <w:numId w:val="4"/>
        </w:numPr>
        <w:tabs>
          <w:tab w:val="clear" w:pos="425"/>
        </w:tabs>
        <w:ind w:left="284" w:hanging="284"/>
      </w:pPr>
      <w:r w:rsidRPr="00DC1A5F">
        <w:t>“Los elementos formados estarán aislados en ambos casos (es decir, en el pasado y futuro) porque sus esencias individuales serán entonces inapropiables” (</w:t>
      </w:r>
      <w:proofErr w:type="spellStart"/>
      <w:r w:rsidRPr="00DC1A5F">
        <w:t>Vism</w:t>
      </w:r>
      <w:proofErr w:type="spellEnd"/>
      <w:r w:rsidRPr="00DC1A5F">
        <w:t>–</w:t>
      </w:r>
      <w:proofErr w:type="spellStart"/>
      <w:r w:rsidRPr="00DC1A5F">
        <w:t>Mhṭ</w:t>
      </w:r>
      <w:proofErr w:type="spellEnd"/>
      <w:r w:rsidRPr="00DC1A5F">
        <w:t xml:space="preserve"> 516).</w:t>
      </w:r>
    </w:p>
    <w:p w14:paraId="3A236069" w14:textId="77777777" w:rsidR="00597DE2" w:rsidRPr="00DC1A5F" w:rsidRDefault="00597DE2" w:rsidP="00597DE2">
      <w:pPr>
        <w:pStyle w:val="PiedepginaLegal"/>
        <w:numPr>
          <w:ilvl w:val="0"/>
          <w:numId w:val="4"/>
        </w:numPr>
        <w:tabs>
          <w:tab w:val="clear" w:pos="425"/>
        </w:tabs>
        <w:ind w:left="284" w:hanging="284"/>
      </w:pPr>
      <w:proofErr w:type="spellStart"/>
      <w:r w:rsidRPr="00DC1A5F">
        <w:rPr>
          <w:i/>
          <w:iCs/>
        </w:rPr>
        <w:t>Adharāraṇi</w:t>
      </w:r>
      <w:proofErr w:type="spellEnd"/>
      <w:r w:rsidRPr="00DC1A5F">
        <w:t xml:space="preserve"> (</w:t>
      </w:r>
      <w:proofErr w:type="spellStart"/>
      <w:r w:rsidRPr="00DC1A5F">
        <w:rPr>
          <w:i/>
          <w:iCs/>
        </w:rPr>
        <w:t>adho</w:t>
      </w:r>
      <w:proofErr w:type="spellEnd"/>
      <w:r w:rsidRPr="00DC1A5F">
        <w:rPr>
          <w:i/>
          <w:iCs/>
        </w:rPr>
        <w:t>–</w:t>
      </w:r>
      <w:proofErr w:type="spellStart"/>
      <w:r w:rsidRPr="00DC1A5F">
        <w:rPr>
          <w:i/>
          <w:iCs/>
        </w:rPr>
        <w:t>araṇi</w:t>
      </w:r>
      <w:proofErr w:type="spellEnd"/>
      <w:r w:rsidRPr="00DC1A5F">
        <w:t xml:space="preserve">)— “leña inferior” y </w:t>
      </w:r>
      <w:proofErr w:type="spellStart"/>
      <w:r w:rsidRPr="00DC1A5F">
        <w:rPr>
          <w:i/>
          <w:iCs/>
        </w:rPr>
        <w:t>uttarāraṇi</w:t>
      </w:r>
      <w:proofErr w:type="spellEnd"/>
      <w:r w:rsidRPr="00DC1A5F">
        <w:t xml:space="preserve"> (</w:t>
      </w:r>
      <w:proofErr w:type="spellStart"/>
      <w:r w:rsidRPr="00DC1A5F">
        <w:rPr>
          <w:i/>
          <w:iCs/>
        </w:rPr>
        <w:t>uttara</w:t>
      </w:r>
      <w:proofErr w:type="spellEnd"/>
      <w:r w:rsidRPr="00DC1A5F">
        <w:rPr>
          <w:i/>
          <w:iCs/>
        </w:rPr>
        <w:t>–</w:t>
      </w:r>
      <w:proofErr w:type="spellStart"/>
      <w:r w:rsidRPr="00DC1A5F">
        <w:rPr>
          <w:i/>
          <w:iCs/>
        </w:rPr>
        <w:t>araṇi</w:t>
      </w:r>
      <w:proofErr w:type="spellEnd"/>
      <w:r w:rsidRPr="00DC1A5F">
        <w:t>)— “leña superior” no se encuentra en el PED como tal.</w:t>
      </w:r>
    </w:p>
    <w:p w14:paraId="7A367D9F" w14:textId="77777777" w:rsidR="00597DE2" w:rsidRPr="00DC1A5F" w:rsidRDefault="00597DE2" w:rsidP="00597DE2">
      <w:pPr>
        <w:tabs>
          <w:tab w:val="clear" w:pos="425"/>
        </w:tabs>
        <w:spacing w:after="160"/>
      </w:pPr>
      <w:r w:rsidRPr="00DC1A5F">
        <w:br w:type="page"/>
      </w:r>
    </w:p>
    <w:p w14:paraId="177E4908" w14:textId="77777777" w:rsidR="00597DE2" w:rsidRPr="00DC1A5F" w:rsidRDefault="00597DE2" w:rsidP="00597DE2">
      <w:pPr>
        <w:pStyle w:val="NormalConSangria"/>
        <w:ind w:left="284"/>
      </w:pPr>
    </w:p>
    <w:p w14:paraId="62C46C94" w14:textId="77777777" w:rsidR="00597DE2" w:rsidRPr="00DC1A5F" w:rsidRDefault="00597DE2" w:rsidP="00597DE2">
      <w:pPr>
        <w:pStyle w:val="NormalConSangria"/>
      </w:pPr>
    </w:p>
    <w:p w14:paraId="24865E35" w14:textId="77777777" w:rsidR="00597DE2" w:rsidRPr="00DC1A5F" w:rsidRDefault="00597DE2" w:rsidP="00597DE2">
      <w:pPr>
        <w:pStyle w:val="Ttulo2"/>
        <w:jc w:val="center"/>
      </w:pPr>
      <w:bookmarkStart w:id="4" w:name="_Toc142334411"/>
      <w:r w:rsidRPr="00DC1A5F">
        <w:t>Capítulo XVI</w:t>
      </w:r>
      <w:r w:rsidRPr="00DC1A5F">
        <w:br/>
        <w:t>Las Facultades y las Verdades</w:t>
      </w:r>
      <w:bookmarkEnd w:id="4"/>
    </w:p>
    <w:p w14:paraId="51D8D512" w14:textId="77777777" w:rsidR="00597DE2" w:rsidRPr="00DC1A5F" w:rsidRDefault="00597DE2" w:rsidP="00597DE2">
      <w:pPr>
        <w:pStyle w:val="Saludo"/>
      </w:pPr>
    </w:p>
    <w:p w14:paraId="0672E7C3" w14:textId="77777777" w:rsidR="00597DE2" w:rsidRPr="00DC1A5F" w:rsidRDefault="00597DE2" w:rsidP="00597DE2">
      <w:pPr>
        <w:pStyle w:val="Textoindependiente"/>
        <w:jc w:val="center"/>
        <w:rPr>
          <w:b/>
          <w:i/>
          <w:sz w:val="20"/>
          <w:szCs w:val="24"/>
        </w:rPr>
      </w:pPr>
      <w:r w:rsidRPr="00DC1A5F">
        <w:rPr>
          <w:b/>
          <w:iCs/>
          <w:sz w:val="20"/>
          <w:szCs w:val="24"/>
        </w:rPr>
        <w:t>(</w:t>
      </w:r>
      <w:proofErr w:type="spellStart"/>
      <w:r w:rsidRPr="00DC1A5F">
        <w:rPr>
          <w:b/>
          <w:i/>
          <w:sz w:val="20"/>
          <w:szCs w:val="24"/>
        </w:rPr>
        <w:t>Indriya</w:t>
      </w:r>
      <w:proofErr w:type="spellEnd"/>
      <w:r w:rsidRPr="00DC1A5F">
        <w:rPr>
          <w:b/>
          <w:i/>
          <w:sz w:val="20"/>
          <w:szCs w:val="24"/>
        </w:rPr>
        <w:t>–Sacca–</w:t>
      </w:r>
      <w:proofErr w:type="spellStart"/>
      <w:r w:rsidRPr="00DC1A5F">
        <w:rPr>
          <w:b/>
          <w:i/>
          <w:sz w:val="20"/>
          <w:szCs w:val="24"/>
        </w:rPr>
        <w:t>Niddesa</w:t>
      </w:r>
      <w:proofErr w:type="spellEnd"/>
      <w:r w:rsidRPr="00DC1A5F">
        <w:rPr>
          <w:b/>
          <w:iCs/>
          <w:sz w:val="20"/>
          <w:szCs w:val="24"/>
        </w:rPr>
        <w:t>)</w:t>
      </w:r>
    </w:p>
    <w:p w14:paraId="0131DD9D" w14:textId="77777777" w:rsidR="00597DE2" w:rsidRPr="00DC1A5F" w:rsidRDefault="00597DE2" w:rsidP="00597DE2">
      <w:pPr>
        <w:pStyle w:val="Ttulo3"/>
        <w:ind w:left="708"/>
      </w:pPr>
      <w:r w:rsidRPr="00DC1A5F">
        <w:t>[A. Descripción de las Facultades]</w:t>
      </w:r>
    </w:p>
    <w:p w14:paraId="710F853B" w14:textId="77777777" w:rsidR="00597DE2" w:rsidRPr="00DC1A5F" w:rsidRDefault="00597DE2" w:rsidP="00597DE2">
      <w:r w:rsidRPr="00DC1A5F">
        <w:t xml:space="preserve">1. </w:t>
      </w:r>
      <w:r w:rsidRPr="00DC1A5F">
        <w:tab/>
        <w:t>[491] Las “facultades” que han sido enumeradas junto a los elementos (XIV.32) corresponden a 22 facultades, es decir, la facultad visual, la facultad del oído, la facultad de la nariz, la facultad de la lengua, la facultad del cuerpo, la facultad mental, la facultad de la feminidad, la facultad de masculinidad, la facultad vital, facultad de placer corporal, facultad de dolor corporal, facultad de la dicha mental, facultad de la aflicción mental, facultad de la ecuanimidad, facultad de la fe, facultad de la energía, facultad de la atención plena, facultad de la concentración, facultad del entendimiento, facultad de “yo llegaré a conocer lo desconocido”, facultad de conocimiento último, facultad de conocedor último.</w:t>
      </w:r>
    </w:p>
    <w:p w14:paraId="7B772749" w14:textId="77777777" w:rsidR="00597DE2" w:rsidRPr="00DC1A5F" w:rsidRDefault="00597DE2" w:rsidP="00597DE2">
      <w:r w:rsidRPr="00DC1A5F">
        <w:t xml:space="preserve">2. </w:t>
      </w:r>
      <w:r w:rsidRPr="00DC1A5F">
        <w:tab/>
        <w:t>Aquí, la exposición se dará en cuanto a:</w:t>
      </w:r>
    </w:p>
    <w:p w14:paraId="252B14D5" w14:textId="77777777" w:rsidR="00597DE2" w:rsidRPr="00DC1A5F" w:rsidRDefault="00597DE2" w:rsidP="00597DE2">
      <w:pPr>
        <w:pStyle w:val="VersoIngls01Sangria"/>
      </w:pPr>
      <w:r w:rsidRPr="00DC1A5F">
        <w:t>(1) al significado, (2) a la característica, etc.,</w:t>
      </w:r>
    </w:p>
    <w:p w14:paraId="00CAE5DB" w14:textId="77777777" w:rsidR="00597DE2" w:rsidRPr="00DC1A5F" w:rsidRDefault="00597DE2" w:rsidP="00597DE2">
      <w:pPr>
        <w:pStyle w:val="VersoIngls01Sangria"/>
      </w:pPr>
      <w:r w:rsidRPr="00DC1A5F">
        <w:t xml:space="preserve">(3) al orden, (4) a lo divisible e indivisible, </w:t>
      </w:r>
    </w:p>
    <w:p w14:paraId="02E0B810" w14:textId="77777777" w:rsidR="00597DE2" w:rsidRPr="00DC1A5F" w:rsidRDefault="00597DE2" w:rsidP="00597DE2">
      <w:pPr>
        <w:pStyle w:val="VersoIngls01Sangria"/>
      </w:pPr>
      <w:r w:rsidRPr="00DC1A5F">
        <w:t>(5) también a su función, y (6) también a su plano —</w:t>
      </w:r>
    </w:p>
    <w:p w14:paraId="0201E574" w14:textId="77777777" w:rsidR="00597DE2" w:rsidRPr="00DC1A5F" w:rsidRDefault="00597DE2" w:rsidP="00597DE2">
      <w:pPr>
        <w:pStyle w:val="NormalConSangria"/>
        <w:ind w:left="709"/>
      </w:pPr>
      <w:r w:rsidRPr="00DC1A5F">
        <w:t>Es así como deberá conocerse esta exposición.</w:t>
      </w:r>
    </w:p>
    <w:p w14:paraId="1DCC557D" w14:textId="77777777" w:rsidR="00597DE2" w:rsidRPr="00DC1A5F" w:rsidRDefault="00597DE2" w:rsidP="00597DE2">
      <w:r w:rsidRPr="00DC1A5F">
        <w:t xml:space="preserve">3. </w:t>
      </w:r>
      <w:r w:rsidRPr="00DC1A5F">
        <w:tab/>
        <w:t xml:space="preserve">1. Aquí, en primer lugar, en cuanto al </w:t>
      </w:r>
      <w:r w:rsidRPr="00DC1A5F">
        <w:rPr>
          <w:i/>
          <w:iCs/>
        </w:rPr>
        <w:t>significado</w:t>
      </w:r>
      <w:r w:rsidRPr="00DC1A5F">
        <w:t xml:space="preserve"> del ojo, etc., se explicará según el pasaje que comienza con: “Se complace (</w:t>
      </w:r>
      <w:proofErr w:type="spellStart"/>
      <w:r w:rsidRPr="00DC1A5F">
        <w:rPr>
          <w:i/>
          <w:iCs/>
        </w:rPr>
        <w:t>cakkhati</w:t>
      </w:r>
      <w:proofErr w:type="spellEnd"/>
      <w:r w:rsidRPr="00DC1A5F">
        <w:t>), por lo tanto, es un ojo (</w:t>
      </w:r>
      <w:proofErr w:type="spellStart"/>
      <w:r w:rsidRPr="00DC1A5F">
        <w:rPr>
          <w:i/>
          <w:iCs/>
        </w:rPr>
        <w:t>cakkhu</w:t>
      </w:r>
      <w:proofErr w:type="spellEnd"/>
      <w:r w:rsidRPr="00DC1A5F">
        <w:t xml:space="preserve">)” (XV.3). No obstante, en lo que respecta a los últimos tres, al primero de éstos se le denomina la facultad de “yo llegaré a conocer lo desconocido” porque surgirá en la etapa inicial del momento del sendero de la entrada a la corriente en alguien que haya entrado en la forma de “llegaré a conocer el estado inmortal, o el </w:t>
      </w:r>
      <w:r w:rsidRPr="00DC1A5F">
        <w:rPr>
          <w:i/>
        </w:rPr>
        <w:t>Dhamma</w:t>
      </w:r>
      <w:r w:rsidRPr="00DC1A5F">
        <w:t xml:space="preserve"> de las cuatro (nobles) verdades, desconocidas por mí”,</w:t>
      </w:r>
      <w:r w:rsidRPr="00DC1A5F">
        <w:rPr>
          <w:vertAlign w:val="superscript"/>
        </w:rPr>
        <w:t>1</w:t>
      </w:r>
      <w:r w:rsidRPr="00DC1A5F">
        <w:t xml:space="preserve"> y porque conllevará el significado de la facultad (gobernación). Al segundo de estos tres últimos se le llamará la facultad del conocimiento último porque será conocido al final y porque conllevará el significado de la facultad. Al tercero de éstos se le llamará la facultad de conocedor último porque surgirá en alguien que haya destruido los contaminantes, que posea el conocimiento último y cuya tarea de conocer las cuatro verdades esté terminada y porque poseerá el significado de la facultad.</w:t>
      </w:r>
    </w:p>
    <w:p w14:paraId="42F86C68" w14:textId="77777777" w:rsidR="00597DE2" w:rsidRPr="00DC1A5F" w:rsidRDefault="00597DE2" w:rsidP="00597DE2">
      <w:r w:rsidRPr="00DC1A5F">
        <w:t xml:space="preserve">4. </w:t>
      </w:r>
      <w:r w:rsidRPr="00DC1A5F">
        <w:tab/>
        <w:t xml:space="preserve">No obstante, ¿cuál es el significado de esta facultad (gobernante – </w:t>
      </w:r>
      <w:proofErr w:type="spellStart"/>
      <w:r w:rsidRPr="00DC1A5F">
        <w:rPr>
          <w:i/>
          <w:iCs/>
        </w:rPr>
        <w:t>indriyattha</w:t>
      </w:r>
      <w:proofErr w:type="spellEnd"/>
      <w:r w:rsidRPr="00DC1A5F">
        <w:t>) que ellos poseerán? (a) El significado de la marca de ser un gobernante (</w:t>
      </w:r>
      <w:r w:rsidRPr="00DC1A5F">
        <w:rPr>
          <w:i/>
          <w:iCs/>
        </w:rPr>
        <w:t>inda</w:t>
      </w:r>
      <w:r w:rsidRPr="00DC1A5F">
        <w:t>) corresponderá al significado de la facultad (gobernación). (b) El significado de ser instruido por un gobernante corresponderá al significado de la facultad, (c) El significado de ser visto por un gobernante corresponderá al significado de la facultad, (d) El significado de haber sido preparado por un</w:t>
      </w:r>
    </w:p>
    <w:p w14:paraId="4F63A3E7"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C93B1C1" w14:textId="77777777" w:rsidR="00597DE2" w:rsidRPr="00DC1A5F" w:rsidRDefault="00597DE2" w:rsidP="00597DE2">
      <w:pPr>
        <w:pStyle w:val="PiedepginaLegal"/>
        <w:numPr>
          <w:ilvl w:val="0"/>
          <w:numId w:val="5"/>
        </w:numPr>
        <w:tabs>
          <w:tab w:val="clear" w:pos="425"/>
        </w:tabs>
        <w:ind w:left="284" w:hanging="284"/>
      </w:pPr>
      <w:r w:rsidRPr="00DC1A5F">
        <w:t>“En la etapa inicial del momento del noble sendero” (</w:t>
      </w:r>
      <w:proofErr w:type="spellStart"/>
      <w:r w:rsidRPr="00DC1A5F">
        <w:t>Vism</w:t>
      </w:r>
      <w:proofErr w:type="spellEnd"/>
      <w:r w:rsidRPr="00DC1A5F">
        <w:t>–</w:t>
      </w:r>
      <w:proofErr w:type="spellStart"/>
      <w:r w:rsidRPr="00DC1A5F">
        <w:t>Mhṭ</w:t>
      </w:r>
      <w:proofErr w:type="spellEnd"/>
      <w:r w:rsidRPr="00DC1A5F">
        <w:t xml:space="preserve"> 519).</w:t>
      </w:r>
    </w:p>
    <w:p w14:paraId="091714FB" w14:textId="77777777" w:rsidR="00597DE2" w:rsidRPr="00DC1A5F" w:rsidRDefault="00597DE2" w:rsidP="00597DE2">
      <w:pPr>
        <w:tabs>
          <w:tab w:val="clear" w:pos="425"/>
        </w:tabs>
        <w:spacing w:after="160"/>
      </w:pPr>
      <w:r w:rsidRPr="00DC1A5F">
        <w:br w:type="page"/>
      </w:r>
    </w:p>
    <w:p w14:paraId="558C88D2" w14:textId="77777777" w:rsidR="00597DE2" w:rsidRPr="00DC1A5F" w:rsidRDefault="00597DE2" w:rsidP="00597DE2">
      <w:pPr>
        <w:pStyle w:val="Textoindependiente"/>
      </w:pPr>
      <w:r w:rsidRPr="00DC1A5F">
        <w:lastRenderedPageBreak/>
        <w:t>gobernante corresponderá al significado de la facultad, (e) el significado de haber sido adoptado por un gobernante corresponderá el significado de la facultad.</w:t>
      </w:r>
      <w:r w:rsidRPr="00DC1A5F">
        <w:rPr>
          <w:vertAlign w:val="superscript"/>
        </w:rPr>
        <w:t>2</w:t>
      </w:r>
      <w:r w:rsidRPr="00DC1A5F">
        <w:t xml:space="preserve"> Y todo eso se aplicará aquí en un caso u otro.</w:t>
      </w:r>
    </w:p>
    <w:p w14:paraId="0B69BD81" w14:textId="77777777" w:rsidR="00597DE2" w:rsidRPr="00DC1A5F" w:rsidRDefault="00597DE2" w:rsidP="00597DE2">
      <w:r w:rsidRPr="00DC1A5F">
        <w:t xml:space="preserve">5. </w:t>
      </w:r>
      <w:r w:rsidRPr="00DC1A5F">
        <w:tab/>
        <w:t xml:space="preserve">El </w:t>
      </w:r>
      <w:r w:rsidRPr="00DC1A5F">
        <w:rPr>
          <w:i/>
          <w:iCs/>
        </w:rPr>
        <w:t>Bhagavā</w:t>
      </w:r>
      <w:r w:rsidRPr="00DC1A5F">
        <w:t>, Totalmente Iluminado, fue un gobernante (</w:t>
      </w:r>
      <w:r w:rsidRPr="00DC1A5F">
        <w:rPr>
          <w:i/>
          <w:iCs/>
        </w:rPr>
        <w:t>inda</w:t>
      </w:r>
      <w:r w:rsidRPr="00DC1A5F">
        <w:t xml:space="preserve">) debido a su señorío supremo. Y así lo es también el </w:t>
      </w:r>
      <w:proofErr w:type="spellStart"/>
      <w:r w:rsidRPr="00DC1A5F">
        <w:rPr>
          <w:i/>
        </w:rPr>
        <w:t>kamma</w:t>
      </w:r>
      <w:proofErr w:type="spellEnd"/>
      <w:r w:rsidRPr="00DC1A5F">
        <w:t xml:space="preserve">, productivo e improductivo; ya que nadie poseerá señorío sobre los tipos de </w:t>
      </w:r>
      <w:proofErr w:type="spellStart"/>
      <w:r w:rsidRPr="00DC1A5F">
        <w:rPr>
          <w:i/>
        </w:rPr>
        <w:t>kamma</w:t>
      </w:r>
      <w:proofErr w:type="spellEnd"/>
      <w:r w:rsidRPr="00DC1A5F">
        <w:t>. Entonces, aquí, las facultades (</w:t>
      </w:r>
      <w:proofErr w:type="spellStart"/>
      <w:r w:rsidRPr="00DC1A5F">
        <w:rPr>
          <w:i/>
          <w:iCs/>
        </w:rPr>
        <w:t>indriya</w:t>
      </w:r>
      <w:proofErr w:type="spellEnd"/>
      <w:r w:rsidRPr="00DC1A5F">
        <w:t xml:space="preserve">), [492] creadas por el </w:t>
      </w:r>
      <w:proofErr w:type="spellStart"/>
      <w:r w:rsidRPr="00DC1A5F">
        <w:rPr>
          <w:i/>
          <w:iCs/>
        </w:rPr>
        <w:t>kamma</w:t>
      </w:r>
      <w:proofErr w:type="spellEnd"/>
      <w:r w:rsidRPr="00DC1A5F">
        <w:rPr>
          <w:i/>
          <w:iCs/>
        </w:rPr>
        <w:t xml:space="preserve"> </w:t>
      </w:r>
      <w:proofErr w:type="spellStart"/>
      <w:r w:rsidRPr="00DC1A5F">
        <w:t>corresponderám</w:t>
      </w:r>
      <w:proofErr w:type="spellEnd"/>
      <w:r w:rsidRPr="00DC1A5F">
        <w:rPr>
          <w:i/>
          <w:iCs/>
        </w:rPr>
        <w:t xml:space="preserve"> a la marca del </w:t>
      </w:r>
      <w:proofErr w:type="spellStart"/>
      <w:r w:rsidRPr="00DC1A5F">
        <w:rPr>
          <w:i/>
          <w:iCs/>
        </w:rPr>
        <w:t>kamma</w:t>
      </w:r>
      <w:proofErr w:type="spellEnd"/>
      <w:r w:rsidRPr="00DC1A5F">
        <w:rPr>
          <w:i/>
          <w:iCs/>
        </w:rPr>
        <w:t xml:space="preserve"> </w:t>
      </w:r>
      <w:r w:rsidRPr="00DC1A5F">
        <w:t xml:space="preserve">productivo e improductivo. Y dado que ellas están </w:t>
      </w:r>
      <w:r w:rsidRPr="00DC1A5F">
        <w:rPr>
          <w:i/>
          <w:iCs/>
        </w:rPr>
        <w:t>preparadas</w:t>
      </w:r>
      <w:r w:rsidRPr="00DC1A5F">
        <w:t xml:space="preserve"> por el </w:t>
      </w:r>
      <w:proofErr w:type="spellStart"/>
      <w:r w:rsidRPr="00DC1A5F">
        <w:rPr>
          <w:i/>
          <w:iCs/>
        </w:rPr>
        <w:t>kamma</w:t>
      </w:r>
      <w:proofErr w:type="spellEnd"/>
      <w:r w:rsidRPr="00DC1A5F">
        <w:t xml:space="preserve">, corresponderán a las facultades en el sentido de (a) ser la marca de un gobernante y (d) en el sentido de haber sido preparado por un gobernante, pero dado que también han sido evidentes y revelados correctamente por los </w:t>
      </w:r>
      <w:proofErr w:type="spellStart"/>
      <w:r w:rsidRPr="00DC1A5F">
        <w:rPr>
          <w:i/>
          <w:iCs/>
        </w:rPr>
        <w:t>Bhagavās</w:t>
      </w:r>
      <w:proofErr w:type="spellEnd"/>
      <w:r w:rsidRPr="00DC1A5F">
        <w:t xml:space="preserve">, todas corresponderán a facultades (b) en el sentido de ser instruidas por un gobernante y (c) en el sentido de ser visto por un gobernante y dado que algunos de ellos fueron cultivados por el </w:t>
      </w:r>
      <w:r w:rsidRPr="00DC1A5F">
        <w:rPr>
          <w:i/>
          <w:iCs/>
        </w:rPr>
        <w:t>Bhagavā</w:t>
      </w:r>
      <w:r w:rsidRPr="00DC1A5F">
        <w:t>, Gobernante de los Sabios, en su cultivo del dominio y otras en su cultivo de desarrollo, corresponderá a facultades (e) en el sentido de ser adoptadas por un gobernante.</w:t>
      </w:r>
    </w:p>
    <w:p w14:paraId="7297AFD6" w14:textId="77777777" w:rsidR="00597DE2" w:rsidRPr="00DC1A5F" w:rsidRDefault="00597DE2" w:rsidP="00597DE2">
      <w:r w:rsidRPr="00DC1A5F">
        <w:t xml:space="preserve">6. </w:t>
      </w:r>
      <w:r w:rsidRPr="00DC1A5F">
        <w:tab/>
        <w:t>Además, ellas corresponderán a las facultades (gobernación) en el sentido de señorío conocido como predominio. Visto que el predominio del ojo, etc., estará implícito en la ocurrencia de la consciencia visual, etc., debido a la agudeza (de la consciencia) cuando esa facultad sea aguda y a la lentitud cuando sea lenta.</w:t>
      </w:r>
    </w:p>
    <w:p w14:paraId="4041AADD" w14:textId="77777777" w:rsidR="00597DE2" w:rsidRPr="00DC1A5F" w:rsidRDefault="00597DE2" w:rsidP="00597DE2">
      <w:pPr>
        <w:pStyle w:val="NormalConSangria"/>
      </w:pPr>
      <w:r w:rsidRPr="00DC1A5F">
        <w:t xml:space="preserve">Ésta, en primer lugar, corresponde a la exposición en cuanto al </w:t>
      </w:r>
      <w:r w:rsidRPr="00DC1A5F">
        <w:rPr>
          <w:i/>
          <w:iCs/>
        </w:rPr>
        <w:t>significado</w:t>
      </w:r>
      <w:r w:rsidRPr="00DC1A5F">
        <w:t>.</w:t>
      </w:r>
    </w:p>
    <w:p w14:paraId="3244BF85" w14:textId="77777777" w:rsidR="00597DE2" w:rsidRPr="00DC1A5F" w:rsidRDefault="00597DE2" w:rsidP="00597DE2">
      <w:r w:rsidRPr="00DC1A5F">
        <w:t xml:space="preserve">7. </w:t>
      </w:r>
      <w:r w:rsidRPr="00DC1A5F">
        <w:tab/>
      </w:r>
      <w:r w:rsidRPr="00DC1A5F">
        <w:rPr>
          <w:i/>
          <w:iCs/>
        </w:rPr>
        <w:t>2.</w:t>
      </w:r>
      <w:r w:rsidRPr="00DC1A5F">
        <w:t xml:space="preserve"> </w:t>
      </w:r>
      <w:r w:rsidRPr="00DC1A5F">
        <w:rPr>
          <w:i/>
          <w:iCs/>
        </w:rPr>
        <w:t>En cuanto a su</w:t>
      </w:r>
      <w:r w:rsidRPr="00DC1A5F">
        <w:t xml:space="preserve"> </w:t>
      </w:r>
      <w:r w:rsidRPr="00DC1A5F">
        <w:rPr>
          <w:i/>
          <w:iCs/>
        </w:rPr>
        <w:t>característica</w:t>
      </w:r>
      <w:r w:rsidRPr="00DC1A5F">
        <w:t xml:space="preserve">, etc.: el significado consistirá en que la exposición del ojo, etc., debe ser conocida </w:t>
      </w:r>
      <w:proofErr w:type="gramStart"/>
      <w:r w:rsidRPr="00DC1A5F">
        <w:t>de acuerdo a</w:t>
      </w:r>
      <w:proofErr w:type="gramEnd"/>
      <w:r w:rsidRPr="00DC1A5F">
        <w:t xml:space="preserve"> su característica, función, manifestación, causa próxima, etc. No obstante, esta característica, función, </w:t>
      </w:r>
      <w:proofErr w:type="gramStart"/>
      <w:r w:rsidRPr="00DC1A5F">
        <w:t>etc.,</w:t>
      </w:r>
      <w:proofErr w:type="gramEnd"/>
      <w:r w:rsidRPr="00DC1A5F">
        <w:t xml:space="preserve"> se describieron anteriormente en la descripción de los agregados (Cap. XIV. §37.). Ya que las cuatro facultades que comienzan con la facultad del entendimiento corresponderán simplemente a la no–ilusión en cuanto al significado. El resto se ha dado cada una como tal en la sección en cuestión.</w:t>
      </w:r>
    </w:p>
    <w:p w14:paraId="127425FD" w14:textId="77777777" w:rsidR="00597DE2" w:rsidRPr="00DC1A5F" w:rsidRDefault="00597DE2" w:rsidP="00597DE2">
      <w:r w:rsidRPr="00DC1A5F">
        <w:t xml:space="preserve">8. </w:t>
      </w:r>
      <w:r w:rsidRPr="00DC1A5F">
        <w:tab/>
      </w:r>
      <w:r w:rsidRPr="00DC1A5F">
        <w:rPr>
          <w:i/>
          <w:iCs/>
        </w:rPr>
        <w:t>3</w:t>
      </w:r>
      <w:r w:rsidRPr="00DC1A5F">
        <w:t xml:space="preserve">. </w:t>
      </w:r>
      <w:r w:rsidRPr="00DC1A5F">
        <w:rPr>
          <w:i/>
          <w:iCs/>
        </w:rPr>
        <w:t>En cuanto al</w:t>
      </w:r>
      <w:r w:rsidRPr="00DC1A5F">
        <w:t xml:space="preserve"> </w:t>
      </w:r>
      <w:r w:rsidRPr="00DC1A5F">
        <w:rPr>
          <w:i/>
          <w:iCs/>
        </w:rPr>
        <w:t>orden</w:t>
      </w:r>
      <w:r w:rsidRPr="00DC1A5F">
        <w:t xml:space="preserve">: este orden también corresponderá solo a un orden de enseñanza (ver Cap. XIV. §211). Aquí, el noble sendero, etapa de la entrada a la corriente, etc. se logrará a través del pleno entendimiento de los estados internos, por lo que la facultad de los ojos y el resto incluidos en la personalidad se enseñarán primero. Luego, la facultad de la feminidad y la facultad de la masculinidad, para exponer a razón de qué se le llama “mujer” a una mujer u “hombre” a un hombre. A continuación, la facultad vital, para exponer que, aunque esa personalidad sea doble, su existencia estará vinculada a la facultad vital. A continuación, la facultad de placer corporal, etc., para dar a saber que no habrá remisión de estas sensaciones mientras esa personalidad continúe, y que todas las sensaciones están, en última instancia, sufriendo. A continuación, la facultad de la fe, etc., para exponer el sendero, ya que estas cosas deberán desarrollarse para que ese sufrimiento cese. A continuación, la facultad de “yo llegaré a conocedor lo desconocido” para demostrar que el sendero no es estéril, ya que es de esta manera que este estado se manifestará por primera vez en uno mismo. Luego, la facultad del conocimiento último, porque corresponderá al fruto de la facultad última mencionada y que, por lo tanto, deberá desarrollarse después de ella. A continuación, la facultad de conocedor último, la recompensa suprema, </w:t>
      </w:r>
    </w:p>
    <w:p w14:paraId="0CE2182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8C46CD3" w14:textId="77777777" w:rsidR="00597DE2" w:rsidRPr="00DC1A5F" w:rsidRDefault="00597DE2" w:rsidP="00597DE2">
      <w:pPr>
        <w:pStyle w:val="PiedepginaLegal"/>
        <w:numPr>
          <w:ilvl w:val="0"/>
          <w:numId w:val="5"/>
        </w:numPr>
        <w:tabs>
          <w:tab w:val="clear" w:pos="425"/>
        </w:tabs>
        <w:spacing w:after="160"/>
        <w:ind w:left="284" w:hanging="284"/>
      </w:pPr>
      <w:r w:rsidRPr="00DC1A5F">
        <w:t xml:space="preserve">Las palabras </w:t>
      </w:r>
      <w:proofErr w:type="spellStart"/>
      <w:r w:rsidRPr="00DC1A5F">
        <w:rPr>
          <w:i/>
          <w:iCs/>
        </w:rPr>
        <w:t>siṭṭha</w:t>
      </w:r>
      <w:proofErr w:type="spellEnd"/>
      <w:r w:rsidRPr="00DC1A5F">
        <w:t xml:space="preserve"> (preparada—</w:t>
      </w:r>
      <w:proofErr w:type="spellStart"/>
      <w:r w:rsidRPr="00DC1A5F">
        <w:rPr>
          <w:i/>
          <w:iCs/>
        </w:rPr>
        <w:t>sajjita</w:t>
      </w:r>
      <w:proofErr w:type="spellEnd"/>
      <w:r w:rsidRPr="00DC1A5F">
        <w:t xml:space="preserve">, </w:t>
      </w:r>
      <w:proofErr w:type="spellStart"/>
      <w:r w:rsidRPr="00DC1A5F">
        <w:rPr>
          <w:i/>
          <w:iCs/>
        </w:rPr>
        <w:t>uppādita</w:t>
      </w:r>
      <w:proofErr w:type="spellEnd"/>
      <w:r w:rsidRPr="00DC1A5F">
        <w:t xml:space="preserve"> </w:t>
      </w:r>
      <w:proofErr w:type="spellStart"/>
      <w:r w:rsidRPr="00DC1A5F">
        <w:t>Vism</w:t>
      </w:r>
      <w:proofErr w:type="spellEnd"/>
      <w:r w:rsidRPr="00DC1A5F">
        <w:t>–</w:t>
      </w:r>
      <w:proofErr w:type="spellStart"/>
      <w:r w:rsidRPr="00DC1A5F">
        <w:t>Mhṭ</w:t>
      </w:r>
      <w:proofErr w:type="spellEnd"/>
      <w:r w:rsidRPr="00DC1A5F">
        <w:t xml:space="preserve"> 520), y </w:t>
      </w:r>
      <w:proofErr w:type="spellStart"/>
      <w:r w:rsidRPr="00DC1A5F">
        <w:rPr>
          <w:i/>
          <w:iCs/>
        </w:rPr>
        <w:t>juṭṭha</w:t>
      </w:r>
      <w:proofErr w:type="spellEnd"/>
      <w:r w:rsidRPr="00DC1A5F">
        <w:t xml:space="preserve"> (fomentada—</w:t>
      </w:r>
      <w:proofErr w:type="spellStart"/>
      <w:r w:rsidRPr="00DC1A5F">
        <w:rPr>
          <w:i/>
          <w:iCs/>
        </w:rPr>
        <w:t>sevita</w:t>
      </w:r>
      <w:proofErr w:type="spellEnd"/>
      <w:r w:rsidRPr="00DC1A5F">
        <w:t xml:space="preserve">, </w:t>
      </w:r>
      <w:proofErr w:type="spellStart"/>
      <w:r w:rsidRPr="00DC1A5F">
        <w:t>Vism</w:t>
      </w:r>
      <w:proofErr w:type="spellEnd"/>
      <w:r w:rsidRPr="00DC1A5F">
        <w:t>–</w:t>
      </w:r>
      <w:proofErr w:type="spellStart"/>
      <w:r w:rsidRPr="00DC1A5F">
        <w:t>mhṭ</w:t>
      </w:r>
      <w:proofErr w:type="spellEnd"/>
      <w:r w:rsidRPr="00DC1A5F">
        <w:t xml:space="preserve"> 520) no se encuentran en PED. el </w:t>
      </w:r>
      <w:r w:rsidRPr="00DC1A5F">
        <w:rPr>
          <w:i/>
          <w:iCs/>
        </w:rPr>
        <w:t>Pāḷi</w:t>
      </w:r>
      <w:r w:rsidRPr="00DC1A5F">
        <w:t xml:space="preserve"> es: </w:t>
      </w:r>
      <w:proofErr w:type="spellStart"/>
      <w:r w:rsidRPr="00DC1A5F">
        <w:rPr>
          <w:i/>
          <w:iCs/>
        </w:rPr>
        <w:t>indaliṅgaṭṭho</w:t>
      </w:r>
      <w:proofErr w:type="spellEnd"/>
      <w:r w:rsidRPr="00DC1A5F">
        <w:rPr>
          <w:i/>
          <w:iCs/>
        </w:rPr>
        <w:t xml:space="preserve"> </w:t>
      </w:r>
      <w:proofErr w:type="spellStart"/>
      <w:r w:rsidRPr="00DC1A5F">
        <w:rPr>
          <w:i/>
          <w:iCs/>
        </w:rPr>
        <w:t>indriyaṭṭho</w:t>
      </w:r>
      <w:proofErr w:type="spellEnd"/>
      <w:r w:rsidRPr="00DC1A5F">
        <w:rPr>
          <w:i/>
          <w:iCs/>
        </w:rPr>
        <w:t xml:space="preserve">, </w:t>
      </w:r>
      <w:proofErr w:type="spellStart"/>
      <w:r w:rsidRPr="00DC1A5F">
        <w:rPr>
          <w:i/>
          <w:iCs/>
        </w:rPr>
        <w:t>indadesitaṭṭho</w:t>
      </w:r>
      <w:proofErr w:type="spellEnd"/>
      <w:r w:rsidRPr="00DC1A5F">
        <w:rPr>
          <w:i/>
          <w:iCs/>
        </w:rPr>
        <w:t xml:space="preserve"> </w:t>
      </w:r>
      <w:proofErr w:type="spellStart"/>
      <w:r w:rsidRPr="00DC1A5F">
        <w:rPr>
          <w:i/>
          <w:iCs/>
        </w:rPr>
        <w:t>indriyaṭex</w:t>
      </w:r>
      <w:proofErr w:type="spellEnd"/>
      <w:r w:rsidRPr="00DC1A5F">
        <w:rPr>
          <w:i/>
          <w:iCs/>
        </w:rPr>
        <w:t xml:space="preserve">, </w:t>
      </w:r>
      <w:proofErr w:type="spellStart"/>
      <w:r w:rsidRPr="00DC1A5F">
        <w:rPr>
          <w:i/>
          <w:iCs/>
        </w:rPr>
        <w:t>indadiṭṭṭ</w:t>
      </w:r>
      <w:proofErr w:type="spellEnd"/>
      <w:r w:rsidRPr="00DC1A5F">
        <w:rPr>
          <w:i/>
          <w:iCs/>
        </w:rPr>
        <w:t xml:space="preserve"> como </w:t>
      </w:r>
      <w:proofErr w:type="spellStart"/>
      <w:r w:rsidRPr="00DC1A5F">
        <w:rPr>
          <w:i/>
          <w:iCs/>
        </w:rPr>
        <w:t>indriyaṭ</w:t>
      </w:r>
      <w:proofErr w:type="spellEnd"/>
      <w:r w:rsidRPr="00DC1A5F">
        <w:rPr>
          <w:i/>
          <w:iCs/>
        </w:rPr>
        <w:t xml:space="preserve"> 4, </w:t>
      </w:r>
      <w:proofErr w:type="spellStart"/>
      <w:r w:rsidRPr="00DC1A5F">
        <w:rPr>
          <w:i/>
          <w:iCs/>
        </w:rPr>
        <w:t>indasiṭṭā</w:t>
      </w:r>
      <w:proofErr w:type="spellEnd"/>
      <w:r w:rsidRPr="00DC1A5F">
        <w:rPr>
          <w:i/>
          <w:iCs/>
        </w:rPr>
        <w:t xml:space="preserve">, </w:t>
      </w:r>
      <w:proofErr w:type="spellStart"/>
      <w:r w:rsidRPr="00DC1A5F">
        <w:rPr>
          <w:i/>
          <w:iCs/>
        </w:rPr>
        <w:t>indriyaṭho</w:t>
      </w:r>
      <w:proofErr w:type="spellEnd"/>
      <w:r w:rsidRPr="00DC1A5F">
        <w:rPr>
          <w:i/>
          <w:iCs/>
        </w:rPr>
        <w:t xml:space="preserve">, </w:t>
      </w:r>
      <w:proofErr w:type="spellStart"/>
      <w:r w:rsidRPr="00DC1A5F">
        <w:rPr>
          <w:i/>
          <w:iCs/>
        </w:rPr>
        <w:t>indajuṭṭṭ</w:t>
      </w:r>
      <w:proofErr w:type="spellEnd"/>
      <w:r w:rsidRPr="00DC1A5F">
        <w:rPr>
          <w:i/>
          <w:iCs/>
        </w:rPr>
        <w:t xml:space="preserve"> ten a </w:t>
      </w:r>
      <w:proofErr w:type="spellStart"/>
      <w:r w:rsidRPr="00DC1A5F">
        <w:rPr>
          <w:i/>
          <w:iCs/>
        </w:rPr>
        <w:t>indriyaṭho</w:t>
      </w:r>
      <w:proofErr w:type="spellEnd"/>
      <w:r w:rsidRPr="00DC1A5F">
        <w:rPr>
          <w:i/>
          <w:iCs/>
        </w:rPr>
        <w:t xml:space="preserve">; </w:t>
      </w:r>
      <w:r w:rsidRPr="00DC1A5F">
        <w:t>cf</w:t>
      </w:r>
      <w:r w:rsidRPr="00DC1A5F">
        <w:rPr>
          <w:i/>
          <w:iCs/>
        </w:rPr>
        <w:t xml:space="preserve">. </w:t>
      </w:r>
      <w:proofErr w:type="spellStart"/>
      <w:r w:rsidRPr="00DC1A5F">
        <w:rPr>
          <w:i/>
          <w:iCs/>
        </w:rPr>
        <w:t>Pāṇini</w:t>
      </w:r>
      <w:proofErr w:type="spellEnd"/>
      <w:r w:rsidRPr="00DC1A5F">
        <w:rPr>
          <w:i/>
          <w:iCs/>
        </w:rPr>
        <w:t xml:space="preserve"> V 2,93: </w:t>
      </w:r>
      <w:proofErr w:type="spellStart"/>
      <w:r w:rsidRPr="00DC1A5F">
        <w:rPr>
          <w:i/>
          <w:iCs/>
        </w:rPr>
        <w:t>Indriyam</w:t>
      </w:r>
      <w:proofErr w:type="spellEnd"/>
      <w:r w:rsidRPr="00DC1A5F">
        <w:rPr>
          <w:i/>
          <w:iCs/>
        </w:rPr>
        <w:t xml:space="preserve"> </w:t>
      </w:r>
      <w:proofErr w:type="spellStart"/>
      <w:r w:rsidRPr="00DC1A5F">
        <w:rPr>
          <w:i/>
          <w:iCs/>
        </w:rPr>
        <w:t>indraliṅgam</w:t>
      </w:r>
      <w:proofErr w:type="spellEnd"/>
      <w:r w:rsidRPr="00DC1A5F">
        <w:rPr>
          <w:i/>
          <w:iCs/>
        </w:rPr>
        <w:t xml:space="preserve"> </w:t>
      </w:r>
      <w:proofErr w:type="spellStart"/>
      <w:r w:rsidRPr="00DC1A5F">
        <w:rPr>
          <w:i/>
          <w:iCs/>
        </w:rPr>
        <w:t>indradºåṭam</w:t>
      </w:r>
      <w:proofErr w:type="spellEnd"/>
      <w:r w:rsidRPr="00DC1A5F">
        <w:rPr>
          <w:i/>
          <w:iCs/>
        </w:rPr>
        <w:t xml:space="preserve"> </w:t>
      </w:r>
      <w:proofErr w:type="spellStart"/>
      <w:r w:rsidRPr="00DC1A5F">
        <w:rPr>
          <w:i/>
          <w:iCs/>
        </w:rPr>
        <w:t>indrasºåṭam</w:t>
      </w:r>
      <w:proofErr w:type="spellEnd"/>
      <w:r w:rsidRPr="00DC1A5F">
        <w:rPr>
          <w:i/>
          <w:iCs/>
        </w:rPr>
        <w:t xml:space="preserve"> </w:t>
      </w:r>
      <w:proofErr w:type="spellStart"/>
      <w:r w:rsidRPr="00DC1A5F">
        <w:rPr>
          <w:i/>
          <w:iCs/>
        </w:rPr>
        <w:t>indrajuåṭam</w:t>
      </w:r>
      <w:proofErr w:type="spellEnd"/>
      <w:r w:rsidRPr="00DC1A5F">
        <w:rPr>
          <w:i/>
          <w:iCs/>
        </w:rPr>
        <w:t xml:space="preserve"> </w:t>
      </w:r>
      <w:proofErr w:type="spellStart"/>
      <w:r w:rsidRPr="00DC1A5F">
        <w:rPr>
          <w:i/>
          <w:iCs/>
        </w:rPr>
        <w:t>indradattam</w:t>
      </w:r>
      <w:proofErr w:type="spellEnd"/>
      <w:r w:rsidRPr="00DC1A5F">
        <w:rPr>
          <w:i/>
          <w:iCs/>
        </w:rPr>
        <w:t xml:space="preserve"> </w:t>
      </w:r>
      <w:proofErr w:type="spellStart"/>
      <w:r w:rsidRPr="00DC1A5F">
        <w:rPr>
          <w:i/>
          <w:iCs/>
        </w:rPr>
        <w:t>iti</w:t>
      </w:r>
      <w:proofErr w:type="spellEnd"/>
      <w:r w:rsidRPr="00DC1A5F">
        <w:rPr>
          <w:i/>
          <w:iCs/>
        </w:rPr>
        <w:t xml:space="preserve"> </w:t>
      </w:r>
      <w:proofErr w:type="spellStart"/>
      <w:r w:rsidRPr="00DC1A5F">
        <w:rPr>
          <w:i/>
          <w:iCs/>
        </w:rPr>
        <w:t>vā</w:t>
      </w:r>
      <w:proofErr w:type="spellEnd"/>
      <w:r w:rsidRPr="00DC1A5F">
        <w:rPr>
          <w:i/>
          <w:iCs/>
        </w:rPr>
        <w:t>.</w:t>
      </w:r>
      <w:r w:rsidRPr="00DC1A5F">
        <w:br w:type="page"/>
      </w:r>
    </w:p>
    <w:p w14:paraId="028FB565" w14:textId="77777777" w:rsidR="00597DE2" w:rsidRPr="00DC1A5F" w:rsidRDefault="00597DE2" w:rsidP="00597DE2">
      <w:pPr>
        <w:pStyle w:val="Textoindependiente"/>
      </w:pPr>
      <w:r w:rsidRPr="00DC1A5F">
        <w:lastRenderedPageBreak/>
        <w:t xml:space="preserve">se expondrá al final para dar a conocer que esta facultad se habrá consumado mediante el desarrollo, y que cuando se consume no existirá nada más que hacer. Este corresponderá al orden aquí. [493] </w:t>
      </w:r>
    </w:p>
    <w:p w14:paraId="5E2E95E4" w14:textId="77777777" w:rsidR="00597DE2" w:rsidRPr="00DC1A5F" w:rsidRDefault="00597DE2" w:rsidP="00597DE2">
      <w:r w:rsidRPr="00DC1A5F">
        <w:t xml:space="preserve">9. </w:t>
      </w:r>
      <w:r w:rsidRPr="00DC1A5F">
        <w:tab/>
        <w:t xml:space="preserve">4. </w:t>
      </w:r>
      <w:r w:rsidRPr="00DC1A5F">
        <w:rPr>
          <w:i/>
          <w:iCs/>
        </w:rPr>
        <w:t>En cuanto a lo divisible e indivisible</w:t>
      </w:r>
      <w:r w:rsidRPr="00DC1A5F">
        <w:t>: aquí sólo se dará lo divisible en cuanto a la facultad vital; ya que ella será doble como facultad vital material y como facultad vital inmaterial. No existirá ninguna división en las demás facultades.</w:t>
      </w:r>
    </w:p>
    <w:p w14:paraId="3C39407F" w14:textId="77777777" w:rsidR="00597DE2" w:rsidRPr="00DC1A5F" w:rsidRDefault="00597DE2" w:rsidP="00597DE2">
      <w:pPr>
        <w:pStyle w:val="NormalConSangria"/>
      </w:pPr>
      <w:r w:rsidRPr="00DC1A5F">
        <w:t xml:space="preserve">Así es cómo la exposición deberá conocerse aquí en cuanto a lo </w:t>
      </w:r>
      <w:r w:rsidRPr="00DC1A5F">
        <w:rPr>
          <w:i/>
          <w:iCs/>
        </w:rPr>
        <w:t>divisible e indivisible</w:t>
      </w:r>
      <w:r w:rsidRPr="00DC1A5F">
        <w:t>.</w:t>
      </w:r>
    </w:p>
    <w:p w14:paraId="7B6C0B7E" w14:textId="77777777" w:rsidR="00597DE2" w:rsidRPr="00DC1A5F" w:rsidRDefault="00597DE2" w:rsidP="00597DE2">
      <w:r w:rsidRPr="00DC1A5F">
        <w:t xml:space="preserve">10. </w:t>
      </w:r>
      <w:r w:rsidRPr="00DC1A5F">
        <w:tab/>
        <w:t xml:space="preserve">5. </w:t>
      </w:r>
      <w:r w:rsidRPr="00DC1A5F">
        <w:rPr>
          <w:i/>
          <w:iCs/>
        </w:rPr>
        <w:t>En cuanto a su función</w:t>
      </w:r>
      <w:r w:rsidRPr="00DC1A5F">
        <w:t>: ¿cuál será la función de las facultades? En primer lugar, debido a las palabras “la base visual será una condición, como condición de facultad, para el elemento de la consciencia visual y para los estados asociados al respecto” (</w:t>
      </w:r>
      <w:proofErr w:type="spellStart"/>
      <w:r w:rsidRPr="00DC1A5F">
        <w:rPr>
          <w:i/>
          <w:iCs/>
        </w:rPr>
        <w:t>Paṭṭh</w:t>
      </w:r>
      <w:proofErr w:type="spellEnd"/>
      <w:r w:rsidRPr="00DC1A5F">
        <w:t xml:space="preserve"> 1.5) la función de la facultad de los ojos corresponderá a producir, causar, mediante su propia agudeza, lentitud, etc., la ocurrencia de la consciencia visual y los estados asociados, etc., en modo paralelo al suyo,</w:t>
      </w:r>
      <w:r w:rsidRPr="00DC1A5F">
        <w:rPr>
          <w:vertAlign w:val="superscript"/>
        </w:rPr>
        <w:t>3</w:t>
      </w:r>
      <w:r w:rsidRPr="00DC1A5F">
        <w:t xml:space="preserve"> que se llamará agudeza, lentitud, etc., esta función se podrá lograr a través del estado de la condición de la facultad. Así también será en el caso de la oreja, la nariz, la lengua y el cuerpo. No obstante, la función de la facultad mental consistirá en hacer que los estados coetáneos estén sujetos a su propio dominio. La de la facultad vital consistirá en mantener los estados coetáneos. La función de la facultad de la feminidad y de la facultad de la masculinidad consistirá en asignar los modos de la marca, el signo, el trabajo y las formas de las mujeres y los hombres. La función de las facultades de placer, dolor, dicha y aflicción consistirá en gobernar los estados coetáneos e impartir su propio modo particular de densidad a esos estados. La función de la facultad de la ecuanimidad consistirá en impartir el modo de tranquilidad, superioridad y neutralidad. La función de las facultades de la fe, etc., consistirá en superar la oposición e impartir a los estados asociados el modo de confianza, etc. La función de la facultad de “yo llegaré a conocer lo desconocido” consistirá en abandonar los tres grilletes y confrontar los estados asociados mediante el abandono de ellos. La de la facultad de conocimiento último consistirá en atenuar y abandonar respectivamente la pasión, la mala voluntad, etc., y someter a los estados coetáneos a su propio dominio. La función de la facultad de conocedor último consistirá tanto en abandonar el esfuerzo en todas las funciones como de condicionar a los estados asociados al confrontarlos con la inmortalidad.</w:t>
      </w:r>
    </w:p>
    <w:p w14:paraId="7B01EC49" w14:textId="77777777" w:rsidR="00597DE2" w:rsidRPr="00DC1A5F" w:rsidRDefault="00597DE2" w:rsidP="00597DE2">
      <w:pPr>
        <w:pStyle w:val="NormalConSangria"/>
      </w:pPr>
      <w:r w:rsidRPr="00DC1A5F">
        <w:t xml:space="preserve">Así es cómo deberá conocerse la exposición aquí en cuanto a su </w:t>
      </w:r>
      <w:r w:rsidRPr="00DC1A5F">
        <w:rPr>
          <w:i/>
          <w:iCs/>
        </w:rPr>
        <w:t>función</w:t>
      </w:r>
      <w:r w:rsidRPr="00DC1A5F">
        <w:t>.</w:t>
      </w:r>
    </w:p>
    <w:p w14:paraId="13D2B51E" w14:textId="77777777" w:rsidR="00597DE2" w:rsidRPr="00DC1A5F" w:rsidRDefault="00597DE2" w:rsidP="00597DE2">
      <w:r w:rsidRPr="00DC1A5F">
        <w:t xml:space="preserve">11. </w:t>
      </w:r>
      <w:r w:rsidRPr="00DC1A5F">
        <w:tab/>
        <w:t xml:space="preserve">6. </w:t>
      </w:r>
      <w:r w:rsidRPr="00DC1A5F">
        <w:rPr>
          <w:i/>
          <w:iCs/>
        </w:rPr>
        <w:t>En cuanto a su plano</w:t>
      </w:r>
      <w:r w:rsidRPr="00DC1A5F">
        <w:t>: las facultades de los ojos, el oído, la nariz, la lengua, el cuerpo, la feminidad, la masculinidad, el placer, el dolor y la aflicción corresponderán sólo a la esfera sensorial. La facultad mental, vital, de la ecuanimidad y la facultad de fe, energía, atención plena, concentración y entendimiento estarán incluidos en los cuatro planos. La facultad de la dicha estará incluida en los tres planos, es decir, en la esfera sensorial, en la esfera de la materia sutil y en la esfera supramundana. Los últimos tres corresponderán sólo a los planos supramundanos. Así es cómo se debe conocer la exposición aquí en plano.</w:t>
      </w:r>
    </w:p>
    <w:p w14:paraId="157AF879" w14:textId="77777777" w:rsidR="00597DE2" w:rsidRPr="00DC1A5F" w:rsidRDefault="00597DE2" w:rsidP="00597DE2">
      <w:pPr>
        <w:pStyle w:val="VersoIngls01Sangria"/>
        <w:rPr>
          <w:sz w:val="16"/>
          <w:szCs w:val="20"/>
        </w:rPr>
      </w:pPr>
      <w:r w:rsidRPr="00DC1A5F">
        <w:rPr>
          <w:sz w:val="16"/>
          <w:szCs w:val="20"/>
        </w:rPr>
        <w:t>El monje que conozca la necesidad urgente</w:t>
      </w:r>
    </w:p>
    <w:p w14:paraId="299AF2C1" w14:textId="77777777" w:rsidR="00597DE2" w:rsidRPr="00DC1A5F" w:rsidRDefault="00597DE2" w:rsidP="00597DE2">
      <w:pPr>
        <w:pStyle w:val="VersoIngls01Sangria"/>
        <w:rPr>
          <w:sz w:val="16"/>
          <w:szCs w:val="20"/>
        </w:rPr>
      </w:pPr>
      <w:r w:rsidRPr="00DC1A5F">
        <w:rPr>
          <w:sz w:val="16"/>
          <w:szCs w:val="20"/>
        </w:rPr>
        <w:t xml:space="preserve">De mantener las facultades restringidas </w:t>
      </w:r>
    </w:p>
    <w:p w14:paraId="385FA3D1" w14:textId="77777777" w:rsidR="00597DE2" w:rsidRPr="00DC1A5F" w:rsidRDefault="00597DE2" w:rsidP="00597DE2">
      <w:pPr>
        <w:pStyle w:val="VersoIngls01Sangria"/>
        <w:rPr>
          <w:sz w:val="16"/>
          <w:szCs w:val="20"/>
        </w:rPr>
      </w:pPr>
      <w:r w:rsidRPr="00DC1A5F">
        <w:rPr>
          <w:sz w:val="16"/>
          <w:szCs w:val="20"/>
        </w:rPr>
        <w:t>Entendiéndolas completamente</w:t>
      </w:r>
    </w:p>
    <w:p w14:paraId="481C4A43" w14:textId="77777777" w:rsidR="00597DE2" w:rsidRPr="00DC1A5F" w:rsidRDefault="00597DE2" w:rsidP="00597DE2">
      <w:pPr>
        <w:pStyle w:val="VersoIngls01Sangria"/>
        <w:spacing w:after="100"/>
        <w:ind w:left="1418"/>
      </w:pPr>
      <w:r w:rsidRPr="00DC1A5F">
        <w:rPr>
          <w:sz w:val="16"/>
          <w:szCs w:val="20"/>
        </w:rPr>
        <w:t>Consumará el final del sufrimiento.</w:t>
      </w:r>
    </w:p>
    <w:p w14:paraId="0059D52B" w14:textId="77777777" w:rsidR="00597DE2" w:rsidRPr="00DC1A5F" w:rsidRDefault="00597DE2" w:rsidP="00597DE2">
      <w:pPr>
        <w:spacing w:after="0"/>
      </w:pPr>
      <w:r w:rsidRPr="00DC1A5F">
        <w:t xml:space="preserve">12. </w:t>
      </w:r>
      <w:r w:rsidRPr="00DC1A5F">
        <w:tab/>
        <w:t xml:space="preserve">Ésta es la sección de la explicación detallada que trata sobre las </w:t>
      </w:r>
      <w:r w:rsidRPr="00DC1A5F">
        <w:rPr>
          <w:i/>
          <w:iCs/>
        </w:rPr>
        <w:t>facultades</w:t>
      </w:r>
      <w:r w:rsidRPr="00DC1A5F">
        <w:t>.</w:t>
      </w:r>
    </w:p>
    <w:p w14:paraId="11538A85"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CF5D720" w14:textId="77777777" w:rsidR="00597DE2" w:rsidRPr="00DC1A5F" w:rsidRDefault="00597DE2" w:rsidP="00597DE2">
      <w:pPr>
        <w:pStyle w:val="PiedepginaLegal"/>
        <w:numPr>
          <w:ilvl w:val="0"/>
          <w:numId w:val="5"/>
        </w:numPr>
        <w:tabs>
          <w:tab w:val="clear" w:pos="425"/>
        </w:tabs>
        <w:spacing w:after="160"/>
        <w:ind w:left="284" w:hanging="284"/>
      </w:pPr>
      <w:proofErr w:type="spellStart"/>
      <w:r w:rsidRPr="00DC1A5F">
        <w:rPr>
          <w:i/>
          <w:iCs/>
        </w:rPr>
        <w:t>Anuvattāpana</w:t>
      </w:r>
      <w:proofErr w:type="spellEnd"/>
      <w:r w:rsidRPr="00DC1A5F">
        <w:t>: “causar una ocurrencia paralela a”: no así en el PED; tampoco en el CPD.</w:t>
      </w:r>
      <w:r w:rsidRPr="00DC1A5F">
        <w:br w:type="page"/>
      </w:r>
    </w:p>
    <w:p w14:paraId="0E4AC16C" w14:textId="77777777" w:rsidR="00597DE2" w:rsidRPr="00DC1A5F" w:rsidRDefault="00597DE2" w:rsidP="00597DE2">
      <w:pPr>
        <w:pStyle w:val="Ttulo3"/>
        <w:ind w:left="708"/>
      </w:pPr>
      <w:r w:rsidRPr="00DC1A5F">
        <w:lastRenderedPageBreak/>
        <w:t>[B. Descripción de las Verdades]</w:t>
      </w:r>
    </w:p>
    <w:p w14:paraId="64EB0D45" w14:textId="77777777" w:rsidR="00597DE2" w:rsidRPr="00DC1A5F" w:rsidRDefault="00597DE2" w:rsidP="00597DE2">
      <w:pPr>
        <w:pStyle w:val="Textoindependiente"/>
      </w:pPr>
      <w:r w:rsidRPr="00DC1A5F">
        <w:t xml:space="preserve">13. </w:t>
      </w:r>
      <w:r w:rsidRPr="00DC1A5F">
        <w:tab/>
        <w:t>[494] Las “verdades” próximas a ello (Cap. XIV. §32) corresponderán a las cuatro Nobles Verdades; Es decir, a la noble verdad del sufrimiento, ala noble verdad del origen del sufrimiento, a la noble verdad de la cesación del sufrimiento y a la noble verdad del sendero que conduce a la cesación del sufrimiento.</w:t>
      </w:r>
    </w:p>
    <w:p w14:paraId="28690362" w14:textId="77777777" w:rsidR="00597DE2" w:rsidRPr="00DC1A5F" w:rsidRDefault="00597DE2" w:rsidP="00597DE2">
      <w:pPr>
        <w:pStyle w:val="Textoindependiente"/>
      </w:pPr>
      <w:r w:rsidRPr="00DC1A5F">
        <w:t xml:space="preserve">14. </w:t>
      </w:r>
      <w:r w:rsidRPr="00DC1A5F">
        <w:tab/>
        <w:t>Aquí, la exposición se impartirá en cuanto:</w:t>
      </w:r>
    </w:p>
    <w:p w14:paraId="5FB38EFB" w14:textId="77777777" w:rsidR="00597DE2" w:rsidRPr="00DC1A5F" w:rsidRDefault="00597DE2" w:rsidP="00597DE2">
      <w:pPr>
        <w:pStyle w:val="VersoIngls01Sangria"/>
        <w:rPr>
          <w:sz w:val="16"/>
          <w:szCs w:val="20"/>
        </w:rPr>
      </w:pPr>
      <w:r w:rsidRPr="00DC1A5F">
        <w:rPr>
          <w:sz w:val="16"/>
          <w:szCs w:val="20"/>
        </w:rPr>
        <w:t>(1) a sus clases, y (2) su derivación,</w:t>
      </w:r>
    </w:p>
    <w:p w14:paraId="06811EDC" w14:textId="77777777" w:rsidR="00597DE2" w:rsidRPr="00DC1A5F" w:rsidRDefault="00597DE2" w:rsidP="00597DE2">
      <w:pPr>
        <w:pStyle w:val="VersoIngls01Sangria"/>
        <w:rPr>
          <w:sz w:val="16"/>
          <w:szCs w:val="20"/>
        </w:rPr>
      </w:pPr>
      <w:r w:rsidRPr="00DC1A5F">
        <w:rPr>
          <w:sz w:val="16"/>
          <w:szCs w:val="20"/>
        </w:rPr>
        <w:t>(3) a la división mediante su característica, etc.,</w:t>
      </w:r>
    </w:p>
    <w:p w14:paraId="22899213" w14:textId="77777777" w:rsidR="00597DE2" w:rsidRPr="00DC1A5F" w:rsidRDefault="00597DE2" w:rsidP="00597DE2">
      <w:pPr>
        <w:pStyle w:val="VersoIngls01Sangria"/>
        <w:rPr>
          <w:sz w:val="16"/>
          <w:szCs w:val="20"/>
        </w:rPr>
      </w:pPr>
      <w:r w:rsidRPr="00DC1A5F">
        <w:rPr>
          <w:sz w:val="16"/>
          <w:szCs w:val="20"/>
        </w:rPr>
        <w:t>(4) al significado, (5) al rastro del significado,</w:t>
      </w:r>
    </w:p>
    <w:p w14:paraId="12B5A691" w14:textId="77777777" w:rsidR="00597DE2" w:rsidRPr="00DC1A5F" w:rsidRDefault="00597DE2" w:rsidP="00597DE2">
      <w:pPr>
        <w:pStyle w:val="VersoIngls01Sangria"/>
        <w:rPr>
          <w:sz w:val="16"/>
          <w:szCs w:val="20"/>
        </w:rPr>
      </w:pPr>
      <w:r w:rsidRPr="00DC1A5F">
        <w:rPr>
          <w:sz w:val="16"/>
          <w:szCs w:val="20"/>
        </w:rPr>
        <w:t>Y de la misma manera (6) a ni menos ni más,</w:t>
      </w:r>
    </w:p>
    <w:p w14:paraId="5DC3BCF9" w14:textId="77777777" w:rsidR="00597DE2" w:rsidRPr="00DC1A5F" w:rsidRDefault="00597DE2" w:rsidP="00597DE2">
      <w:pPr>
        <w:pStyle w:val="VersoIngls01Sangria"/>
        <w:rPr>
          <w:sz w:val="16"/>
          <w:szCs w:val="20"/>
        </w:rPr>
      </w:pPr>
      <w:r w:rsidRPr="00DC1A5F">
        <w:rPr>
          <w:sz w:val="16"/>
          <w:szCs w:val="20"/>
        </w:rPr>
        <w:t>(7) al orden, (8) a la exposición del</w:t>
      </w:r>
    </w:p>
    <w:p w14:paraId="3935946B" w14:textId="77777777" w:rsidR="00597DE2" w:rsidRPr="00DC1A5F" w:rsidRDefault="00597DE2" w:rsidP="00597DE2">
      <w:pPr>
        <w:pStyle w:val="VersoIngls01Sangria"/>
        <w:rPr>
          <w:sz w:val="16"/>
          <w:szCs w:val="20"/>
        </w:rPr>
      </w:pPr>
      <w:r w:rsidRPr="00DC1A5F">
        <w:rPr>
          <w:sz w:val="16"/>
          <w:szCs w:val="20"/>
        </w:rPr>
        <w:t>Nacimiento, etc., (9) a la función del conocimiento,</w:t>
      </w:r>
    </w:p>
    <w:p w14:paraId="578B9F4B" w14:textId="77777777" w:rsidR="00597DE2" w:rsidRPr="00DC1A5F" w:rsidRDefault="00597DE2" w:rsidP="00597DE2">
      <w:pPr>
        <w:pStyle w:val="VersoIngls01Sangria"/>
        <w:rPr>
          <w:sz w:val="16"/>
          <w:szCs w:val="20"/>
        </w:rPr>
      </w:pPr>
      <w:r w:rsidRPr="00DC1A5F">
        <w:rPr>
          <w:sz w:val="16"/>
          <w:szCs w:val="20"/>
        </w:rPr>
        <w:t>(10) a la división del contenido,</w:t>
      </w:r>
    </w:p>
    <w:p w14:paraId="226AD298" w14:textId="77777777" w:rsidR="00597DE2" w:rsidRPr="00DC1A5F" w:rsidRDefault="00597DE2" w:rsidP="00597DE2">
      <w:pPr>
        <w:pStyle w:val="VersoIngls01Sangria"/>
        <w:rPr>
          <w:sz w:val="16"/>
          <w:szCs w:val="20"/>
        </w:rPr>
      </w:pPr>
      <w:r w:rsidRPr="00DC1A5F">
        <w:rPr>
          <w:sz w:val="16"/>
          <w:szCs w:val="20"/>
        </w:rPr>
        <w:t>(11) a un símil, y (12) a la tétrada,</w:t>
      </w:r>
    </w:p>
    <w:p w14:paraId="771DDC98" w14:textId="77777777" w:rsidR="00597DE2" w:rsidRPr="00DC1A5F" w:rsidRDefault="00597DE2" w:rsidP="00597DE2">
      <w:pPr>
        <w:pStyle w:val="VersoIngls01Sangria"/>
        <w:rPr>
          <w:sz w:val="16"/>
          <w:szCs w:val="20"/>
        </w:rPr>
      </w:pPr>
      <w:r w:rsidRPr="00DC1A5F">
        <w:rPr>
          <w:sz w:val="16"/>
          <w:szCs w:val="20"/>
        </w:rPr>
        <w:t>(13) al vacío, (14) como de una, dos, etc., clases</w:t>
      </w:r>
    </w:p>
    <w:p w14:paraId="4FA4A915" w14:textId="77777777" w:rsidR="00597DE2" w:rsidRPr="00DC1A5F" w:rsidRDefault="00597DE2" w:rsidP="00597DE2">
      <w:pPr>
        <w:pStyle w:val="VersoIngls01Sangria"/>
        <w:rPr>
          <w:sz w:val="16"/>
          <w:szCs w:val="20"/>
        </w:rPr>
      </w:pPr>
      <w:r w:rsidRPr="00DC1A5F">
        <w:rPr>
          <w:sz w:val="16"/>
          <w:szCs w:val="20"/>
        </w:rPr>
        <w:t>(15) a lo similar y disimilar: es así como deberá conocerse esta exposición</w:t>
      </w:r>
    </w:p>
    <w:p w14:paraId="7AF759D3" w14:textId="77777777" w:rsidR="00597DE2" w:rsidRPr="00DC1A5F" w:rsidRDefault="00597DE2" w:rsidP="00597DE2">
      <w:pPr>
        <w:pStyle w:val="VersoIngls01Sangria"/>
        <w:spacing w:after="100"/>
        <w:ind w:left="1418"/>
        <w:rPr>
          <w:sz w:val="16"/>
          <w:szCs w:val="20"/>
        </w:rPr>
      </w:pPr>
      <w:r w:rsidRPr="00DC1A5F">
        <w:rPr>
          <w:sz w:val="16"/>
          <w:szCs w:val="20"/>
        </w:rPr>
        <w:t>Por aquellos que conozcan el orden de la enseñanza.</w:t>
      </w:r>
    </w:p>
    <w:p w14:paraId="7E3DF3A0" w14:textId="77777777" w:rsidR="00597DE2" w:rsidRPr="00DC1A5F" w:rsidRDefault="00597DE2" w:rsidP="00597DE2">
      <w:r w:rsidRPr="00DC1A5F">
        <w:t xml:space="preserve">15. </w:t>
      </w:r>
      <w:r w:rsidRPr="00DC1A5F">
        <w:tab/>
        <w:t xml:space="preserve">1. </w:t>
      </w:r>
      <w:r w:rsidRPr="00DC1A5F">
        <w:rPr>
          <w:i/>
          <w:iCs/>
        </w:rPr>
        <w:t>Aquí, en cuanto a sus clases</w:t>
      </w:r>
      <w:r w:rsidRPr="00DC1A5F">
        <w:t>: los significados de las verdades del sufrimiento, etc., se analizarán de cuatro en cada caso como “reales, no–irreales, no de otra manera” (s v 435) y deberán ser penetrados por aquellos que penetren en la verdad del sufrimiento, etc., según se dice al respecto: “</w:t>
      </w:r>
      <w:r w:rsidRPr="00DC1A5F">
        <w:rPr>
          <w:color w:val="833C0B" w:themeColor="accent2" w:themeShade="80"/>
        </w:rPr>
        <w:t xml:space="preserve">(i) </w:t>
      </w:r>
      <w:r w:rsidRPr="00DC1A5F">
        <w:t xml:space="preserve">El significado del sufrimiento como opresión, </w:t>
      </w:r>
      <w:r w:rsidRPr="00DC1A5F">
        <w:rPr>
          <w:color w:val="833C0B" w:themeColor="accent2" w:themeShade="80"/>
        </w:rPr>
        <w:t>(</w:t>
      </w:r>
      <w:proofErr w:type="spellStart"/>
      <w:r w:rsidRPr="00DC1A5F">
        <w:rPr>
          <w:color w:val="833C0B" w:themeColor="accent2" w:themeShade="80"/>
        </w:rPr>
        <w:t>ii</w:t>
      </w:r>
      <w:proofErr w:type="spellEnd"/>
      <w:r w:rsidRPr="00DC1A5F">
        <w:rPr>
          <w:color w:val="833C0B" w:themeColor="accent2" w:themeShade="80"/>
        </w:rPr>
        <w:t xml:space="preserve">) </w:t>
      </w:r>
      <w:r w:rsidRPr="00DC1A5F">
        <w:t xml:space="preserve">el significado como el de estar formado, </w:t>
      </w:r>
      <w:r w:rsidRPr="00DC1A5F">
        <w:rPr>
          <w:color w:val="833C0B" w:themeColor="accent2" w:themeShade="80"/>
        </w:rPr>
        <w:t>(</w:t>
      </w:r>
      <w:proofErr w:type="spellStart"/>
      <w:r w:rsidRPr="00DC1A5F">
        <w:rPr>
          <w:color w:val="833C0B" w:themeColor="accent2" w:themeShade="80"/>
        </w:rPr>
        <w:t>iii</w:t>
      </w:r>
      <w:proofErr w:type="spellEnd"/>
      <w:r w:rsidRPr="00DC1A5F">
        <w:rPr>
          <w:color w:val="833C0B" w:themeColor="accent2" w:themeShade="80"/>
        </w:rPr>
        <w:t xml:space="preserve">) </w:t>
      </w:r>
      <w:r w:rsidRPr="00DC1A5F">
        <w:t xml:space="preserve">el significado como el de quemar, </w:t>
      </w:r>
      <w:r w:rsidRPr="00DC1A5F">
        <w:rPr>
          <w:color w:val="833C0B" w:themeColor="accent2" w:themeShade="80"/>
        </w:rPr>
        <w:t>(</w:t>
      </w:r>
      <w:proofErr w:type="spellStart"/>
      <w:r w:rsidRPr="00DC1A5F">
        <w:rPr>
          <w:color w:val="833C0B" w:themeColor="accent2" w:themeShade="80"/>
        </w:rPr>
        <w:t>iv</w:t>
      </w:r>
      <w:proofErr w:type="spellEnd"/>
      <w:r w:rsidRPr="00DC1A5F">
        <w:rPr>
          <w:color w:val="833C0B" w:themeColor="accent2" w:themeShade="80"/>
        </w:rPr>
        <w:t xml:space="preserve">) </w:t>
      </w:r>
      <w:r w:rsidRPr="00DC1A5F">
        <w:t xml:space="preserve">el significado como el de cambiar; éstos corresponderán a los cuatro significados de </w:t>
      </w:r>
      <w:r w:rsidRPr="00DC1A5F">
        <w:rPr>
          <w:color w:val="833C0B" w:themeColor="accent2" w:themeShade="80"/>
        </w:rPr>
        <w:t xml:space="preserve">la verdad del </w:t>
      </w:r>
      <w:r w:rsidRPr="00DC1A5F">
        <w:t xml:space="preserve">sufrimiento, que son reales, no–irreales y no de otra manera. </w:t>
      </w:r>
      <w:r w:rsidRPr="00DC1A5F">
        <w:rPr>
          <w:color w:val="833C0B" w:themeColor="accent2" w:themeShade="80"/>
        </w:rPr>
        <w:t xml:space="preserve">(i) </w:t>
      </w:r>
      <w:r w:rsidRPr="00DC1A5F">
        <w:t>El significado del origen del sufrimiento de acumularse,</w:t>
      </w:r>
      <w:r w:rsidRPr="00DC1A5F">
        <w:rPr>
          <w:color w:val="833C0B" w:themeColor="accent2" w:themeShade="80"/>
        </w:rPr>
        <w:t xml:space="preserve"> (</w:t>
      </w:r>
      <w:proofErr w:type="spellStart"/>
      <w:r w:rsidRPr="00DC1A5F">
        <w:rPr>
          <w:color w:val="833C0B" w:themeColor="accent2" w:themeShade="80"/>
        </w:rPr>
        <w:t>ii</w:t>
      </w:r>
      <w:proofErr w:type="spellEnd"/>
      <w:r w:rsidRPr="00DC1A5F">
        <w:rPr>
          <w:color w:val="833C0B" w:themeColor="accent2" w:themeShade="80"/>
        </w:rPr>
        <w:t xml:space="preserve">) </w:t>
      </w:r>
      <w:r w:rsidRPr="00DC1A5F">
        <w:t xml:space="preserve">el significado de ser fuente, </w:t>
      </w:r>
      <w:r w:rsidRPr="00DC1A5F">
        <w:rPr>
          <w:color w:val="833C0B" w:themeColor="accent2" w:themeShade="80"/>
        </w:rPr>
        <w:t>(</w:t>
      </w:r>
      <w:proofErr w:type="spellStart"/>
      <w:r w:rsidRPr="00DC1A5F">
        <w:rPr>
          <w:color w:val="833C0B" w:themeColor="accent2" w:themeShade="80"/>
        </w:rPr>
        <w:t>iii</w:t>
      </w:r>
      <w:proofErr w:type="spellEnd"/>
      <w:r w:rsidRPr="00DC1A5F">
        <w:rPr>
          <w:color w:val="833C0B" w:themeColor="accent2" w:themeShade="80"/>
        </w:rPr>
        <w:t xml:space="preserve">) </w:t>
      </w:r>
      <w:r w:rsidRPr="00DC1A5F">
        <w:t xml:space="preserve">el significado de su esclavitud, </w:t>
      </w:r>
      <w:r w:rsidRPr="00DC1A5F">
        <w:rPr>
          <w:color w:val="833C0B" w:themeColor="accent2" w:themeShade="80"/>
        </w:rPr>
        <w:t>(</w:t>
      </w:r>
      <w:proofErr w:type="spellStart"/>
      <w:r w:rsidRPr="00DC1A5F">
        <w:rPr>
          <w:color w:val="833C0B" w:themeColor="accent2" w:themeShade="80"/>
        </w:rPr>
        <w:t>iv</w:t>
      </w:r>
      <w:proofErr w:type="spellEnd"/>
      <w:r w:rsidRPr="00DC1A5F">
        <w:rPr>
          <w:color w:val="833C0B" w:themeColor="accent2" w:themeShade="80"/>
        </w:rPr>
        <w:t xml:space="preserve">) </w:t>
      </w:r>
      <w:r w:rsidRPr="00DC1A5F">
        <w:t xml:space="preserve">el significado de su impedimento... </w:t>
      </w:r>
      <w:r w:rsidRPr="00DC1A5F">
        <w:rPr>
          <w:color w:val="833C0B" w:themeColor="accent2" w:themeShade="80"/>
        </w:rPr>
        <w:t xml:space="preserve">(i) </w:t>
      </w:r>
      <w:r w:rsidRPr="00DC1A5F">
        <w:t xml:space="preserve">El significado de la cesación del sufrimiento de ser un escape, </w:t>
      </w:r>
      <w:r w:rsidRPr="00DC1A5F">
        <w:rPr>
          <w:color w:val="833C0B" w:themeColor="accent2" w:themeShade="80"/>
        </w:rPr>
        <w:t>(</w:t>
      </w:r>
      <w:proofErr w:type="spellStart"/>
      <w:r w:rsidRPr="00DC1A5F">
        <w:rPr>
          <w:color w:val="833C0B" w:themeColor="accent2" w:themeShade="80"/>
        </w:rPr>
        <w:t>ii</w:t>
      </w:r>
      <w:proofErr w:type="spellEnd"/>
      <w:r w:rsidRPr="00DC1A5F">
        <w:rPr>
          <w:color w:val="833C0B" w:themeColor="accent2" w:themeShade="80"/>
        </w:rPr>
        <w:t xml:space="preserve">) </w:t>
      </w:r>
      <w:r w:rsidRPr="00DC1A5F">
        <w:t xml:space="preserve">el significado de su reclusión, </w:t>
      </w:r>
      <w:r w:rsidRPr="00DC1A5F">
        <w:rPr>
          <w:color w:val="833C0B" w:themeColor="accent2" w:themeShade="80"/>
        </w:rPr>
        <w:t>(</w:t>
      </w:r>
      <w:proofErr w:type="spellStart"/>
      <w:r w:rsidRPr="00DC1A5F">
        <w:rPr>
          <w:color w:val="833C0B" w:themeColor="accent2" w:themeShade="80"/>
        </w:rPr>
        <w:t>iii</w:t>
      </w:r>
      <w:proofErr w:type="spellEnd"/>
      <w:r w:rsidRPr="00DC1A5F">
        <w:rPr>
          <w:color w:val="833C0B" w:themeColor="accent2" w:themeShade="80"/>
        </w:rPr>
        <w:t xml:space="preserve">) </w:t>
      </w:r>
      <w:r w:rsidRPr="00DC1A5F">
        <w:t xml:space="preserve">el significado de no estar formado, </w:t>
      </w:r>
      <w:r w:rsidRPr="00DC1A5F">
        <w:rPr>
          <w:color w:val="833C0B" w:themeColor="accent2" w:themeShade="80"/>
        </w:rPr>
        <w:t>(</w:t>
      </w:r>
      <w:proofErr w:type="spellStart"/>
      <w:r w:rsidRPr="00DC1A5F">
        <w:rPr>
          <w:color w:val="833C0B" w:themeColor="accent2" w:themeShade="80"/>
        </w:rPr>
        <w:t>iv</w:t>
      </w:r>
      <w:proofErr w:type="spellEnd"/>
      <w:r w:rsidRPr="00DC1A5F">
        <w:rPr>
          <w:color w:val="833C0B" w:themeColor="accent2" w:themeShade="80"/>
        </w:rPr>
        <w:t xml:space="preserve">) </w:t>
      </w:r>
      <w:r w:rsidRPr="00DC1A5F">
        <w:t xml:space="preserve">el significado de ser inmortal... </w:t>
      </w:r>
      <w:r w:rsidRPr="00DC1A5F">
        <w:rPr>
          <w:color w:val="833C0B" w:themeColor="accent2" w:themeShade="80"/>
        </w:rPr>
        <w:t xml:space="preserve">(i) </w:t>
      </w:r>
      <w:r w:rsidRPr="00DC1A5F">
        <w:t xml:space="preserve">El significado del sendero como una salida, </w:t>
      </w:r>
      <w:r w:rsidRPr="00DC1A5F">
        <w:rPr>
          <w:color w:val="833C0B" w:themeColor="accent2" w:themeShade="80"/>
        </w:rPr>
        <w:t>(</w:t>
      </w:r>
      <w:proofErr w:type="spellStart"/>
      <w:r w:rsidRPr="00DC1A5F">
        <w:rPr>
          <w:color w:val="833C0B" w:themeColor="accent2" w:themeShade="80"/>
        </w:rPr>
        <w:t>ii</w:t>
      </w:r>
      <w:proofErr w:type="spellEnd"/>
      <w:r w:rsidRPr="00DC1A5F">
        <w:rPr>
          <w:color w:val="833C0B" w:themeColor="accent2" w:themeShade="80"/>
        </w:rPr>
        <w:t xml:space="preserve">) </w:t>
      </w:r>
      <w:r w:rsidRPr="00DC1A5F">
        <w:t xml:space="preserve">el significado como causa, </w:t>
      </w:r>
      <w:r w:rsidRPr="00DC1A5F">
        <w:rPr>
          <w:color w:val="833C0B" w:themeColor="accent2" w:themeShade="80"/>
        </w:rPr>
        <w:t>(</w:t>
      </w:r>
      <w:proofErr w:type="spellStart"/>
      <w:r w:rsidRPr="00DC1A5F">
        <w:rPr>
          <w:color w:val="833C0B" w:themeColor="accent2" w:themeShade="80"/>
        </w:rPr>
        <w:t>iii</w:t>
      </w:r>
      <w:proofErr w:type="spellEnd"/>
      <w:r w:rsidRPr="00DC1A5F">
        <w:rPr>
          <w:color w:val="833C0B" w:themeColor="accent2" w:themeShade="80"/>
        </w:rPr>
        <w:t xml:space="preserve">) </w:t>
      </w:r>
      <w:r w:rsidRPr="00DC1A5F">
        <w:t xml:space="preserve">el significado de su apreciación, </w:t>
      </w:r>
      <w:r w:rsidRPr="00DC1A5F">
        <w:rPr>
          <w:color w:val="833C0B" w:themeColor="accent2" w:themeShade="80"/>
        </w:rPr>
        <w:t>(</w:t>
      </w:r>
      <w:proofErr w:type="spellStart"/>
      <w:r w:rsidRPr="00DC1A5F">
        <w:rPr>
          <w:color w:val="833C0B" w:themeColor="accent2" w:themeShade="80"/>
        </w:rPr>
        <w:t>iv</w:t>
      </w:r>
      <w:proofErr w:type="spellEnd"/>
      <w:r w:rsidRPr="00DC1A5F">
        <w:rPr>
          <w:color w:val="833C0B" w:themeColor="accent2" w:themeShade="80"/>
        </w:rPr>
        <w:t xml:space="preserve">) </w:t>
      </w:r>
      <w:r w:rsidRPr="00DC1A5F">
        <w:t>el significado de su predominio; éstos corresponderán a los significados del sendero, que son reales, no–irreales y no de otra manera ”(</w:t>
      </w:r>
      <w:proofErr w:type="spellStart"/>
      <w:r w:rsidRPr="00DC1A5F">
        <w:rPr>
          <w:i/>
          <w:iCs/>
        </w:rPr>
        <w:t>Paṭis</w:t>
      </w:r>
      <w:proofErr w:type="spellEnd"/>
      <w:r w:rsidRPr="00DC1A5F">
        <w:t xml:space="preserve"> II 104; cf. </w:t>
      </w:r>
      <w:proofErr w:type="spellStart"/>
      <w:r w:rsidRPr="00DC1A5F">
        <w:rPr>
          <w:i/>
          <w:iCs/>
        </w:rPr>
        <w:t>Paṭis</w:t>
      </w:r>
      <w:proofErr w:type="spellEnd"/>
      <w:r w:rsidRPr="00DC1A5F">
        <w:t xml:space="preserve"> I 19). Del mismo modo, “el significado del sufrimiento de opresión, el significado de formarse, el significado de quemar, el significado del cambio, corresponderán a su significado de penetración en” (cf. </w:t>
      </w:r>
      <w:proofErr w:type="spellStart"/>
      <w:r w:rsidRPr="00DC1A5F">
        <w:rPr>
          <w:i/>
          <w:iCs/>
        </w:rPr>
        <w:t>Paṭis</w:t>
      </w:r>
      <w:proofErr w:type="spellEnd"/>
      <w:r w:rsidRPr="00DC1A5F">
        <w:t xml:space="preserve"> I 118), etc. Por lo tanto, el sufrimiento, etc., deberán entenderse de acuerdo con los cuatro significados analizados en cada caso.</w:t>
      </w:r>
    </w:p>
    <w:p w14:paraId="29B84A9F" w14:textId="77777777" w:rsidR="00597DE2" w:rsidRPr="00DC1A5F" w:rsidRDefault="00597DE2" w:rsidP="00597DE2">
      <w:r w:rsidRPr="00DC1A5F">
        <w:t xml:space="preserve">16. </w:t>
      </w:r>
      <w:r w:rsidRPr="00DC1A5F">
        <w:tab/>
        <w:t xml:space="preserve">2. </w:t>
      </w:r>
      <w:r w:rsidRPr="00DC1A5F">
        <w:rPr>
          <w:i/>
          <w:iCs/>
        </w:rPr>
        <w:t>En cuanto a la derivación</w:t>
      </w:r>
      <w:r w:rsidRPr="00DC1A5F">
        <w:t xml:space="preserve">, 3. </w:t>
      </w:r>
      <w:r w:rsidRPr="00DC1A5F">
        <w:rPr>
          <w:i/>
          <w:iCs/>
        </w:rPr>
        <w:t>su división mediante su característica, etc</w:t>
      </w:r>
      <w:r w:rsidRPr="00DC1A5F">
        <w:t xml:space="preserve">.: aquí, sin embargo, en primer lugar “en cuanto a la derivación” [de la palabra </w:t>
      </w:r>
      <w:r w:rsidRPr="00DC1A5F">
        <w:rPr>
          <w:i/>
        </w:rPr>
        <w:t>dukkha</w:t>
      </w:r>
      <w:r w:rsidRPr="00DC1A5F">
        <w:t xml:space="preserve"> (sufrimiento):] la palabra </w:t>
      </w:r>
      <w:r w:rsidRPr="00DC1A5F">
        <w:rPr>
          <w:i/>
          <w:iCs/>
        </w:rPr>
        <w:t>du</w:t>
      </w:r>
      <w:r w:rsidRPr="00DC1A5F">
        <w:t xml:space="preserve"> (“mala”) se encuentra en el sentido de vil (</w:t>
      </w:r>
      <w:proofErr w:type="spellStart"/>
      <w:r w:rsidRPr="00DC1A5F">
        <w:rPr>
          <w:i/>
          <w:iCs/>
        </w:rPr>
        <w:t>kucchita</w:t>
      </w:r>
      <w:proofErr w:type="spellEnd"/>
      <w:r w:rsidRPr="00DC1A5F">
        <w:t xml:space="preserve">); porque así se le denomina a un niño vil, </w:t>
      </w:r>
      <w:r w:rsidRPr="00DC1A5F">
        <w:rPr>
          <w:i/>
          <w:iCs/>
        </w:rPr>
        <w:t>du–</w:t>
      </w:r>
      <w:proofErr w:type="spellStart"/>
      <w:r w:rsidRPr="00DC1A5F">
        <w:rPr>
          <w:i/>
          <w:iCs/>
        </w:rPr>
        <w:t>putta</w:t>
      </w:r>
      <w:proofErr w:type="spellEnd"/>
      <w:r w:rsidRPr="00DC1A5F">
        <w:t xml:space="preserve"> (“niño malo”). Sin embargo, la palabra </w:t>
      </w:r>
      <w:proofErr w:type="spellStart"/>
      <w:r w:rsidRPr="00DC1A5F">
        <w:rPr>
          <w:i/>
          <w:iCs/>
        </w:rPr>
        <w:t>kham</w:t>
      </w:r>
      <w:proofErr w:type="spellEnd"/>
      <w:r w:rsidRPr="00DC1A5F">
        <w:t xml:space="preserve"> (objeto idiomático de la </w:t>
      </w:r>
      <w:proofErr w:type="spellStart"/>
      <w:r w:rsidRPr="00DC1A5F">
        <w:t>sustantivización</w:t>
      </w:r>
      <w:proofErr w:type="spellEnd"/>
      <w:r w:rsidRPr="00DC1A5F">
        <w:t>, aquí correspondería a “</w:t>
      </w:r>
      <w:proofErr w:type="spellStart"/>
      <w:r w:rsidRPr="00DC1A5F">
        <w:t>eza</w:t>
      </w:r>
      <w:proofErr w:type="spellEnd"/>
      <w:r w:rsidRPr="00DC1A5F">
        <w:t>” de vileza) se encuentra en el sentido de vacío (</w:t>
      </w:r>
      <w:proofErr w:type="spellStart"/>
      <w:r w:rsidRPr="00DC1A5F">
        <w:rPr>
          <w:i/>
          <w:iCs/>
        </w:rPr>
        <w:t>tuccha</w:t>
      </w:r>
      <w:proofErr w:type="spellEnd"/>
      <w:r w:rsidRPr="00DC1A5F">
        <w:t>), ya que se le denomina espacio vacío “</w:t>
      </w:r>
      <w:proofErr w:type="spellStart"/>
      <w:r w:rsidRPr="00DC1A5F">
        <w:rPr>
          <w:i/>
          <w:iCs/>
        </w:rPr>
        <w:t>kham</w:t>
      </w:r>
      <w:proofErr w:type="spellEnd"/>
      <w:r w:rsidRPr="00DC1A5F">
        <w:t xml:space="preserve">”. Y la primera verdad es vil porque es la guarida de muchos peligros y porque es vacía, al carecer de duración, belleza, placer y autoestima a través de seres imprudentes. Por lo tanto se le llama </w:t>
      </w:r>
      <w:proofErr w:type="spellStart"/>
      <w:r w:rsidRPr="00DC1A5F">
        <w:rPr>
          <w:i/>
        </w:rPr>
        <w:t>dukkhaṃ</w:t>
      </w:r>
      <w:proofErr w:type="spellEnd"/>
      <w:r w:rsidRPr="00DC1A5F">
        <w:rPr>
          <w:i/>
        </w:rPr>
        <w:t xml:space="preserve"> </w:t>
      </w:r>
      <w:r w:rsidRPr="00DC1A5F">
        <w:t>(“maldad” = sufrimiento, dolor), debido a su vileza y su vacío. [495]</w:t>
      </w:r>
    </w:p>
    <w:p w14:paraId="1E13753A" w14:textId="77777777" w:rsidR="00597DE2" w:rsidRPr="00DC1A5F" w:rsidRDefault="00597DE2" w:rsidP="00597DE2">
      <w:r w:rsidRPr="00DC1A5F">
        <w:t xml:space="preserve">17. </w:t>
      </w:r>
      <w:r w:rsidRPr="00DC1A5F">
        <w:tab/>
        <w:t>[</w:t>
      </w:r>
      <w:proofErr w:type="spellStart"/>
      <w:r w:rsidRPr="00DC1A5F">
        <w:rPr>
          <w:i/>
          <w:iCs/>
        </w:rPr>
        <w:t>Samudaya</w:t>
      </w:r>
      <w:proofErr w:type="spellEnd"/>
      <w:r w:rsidRPr="00DC1A5F">
        <w:t xml:space="preserve"> (origen):] La palabra </w:t>
      </w:r>
      <w:proofErr w:type="spellStart"/>
      <w:r w:rsidRPr="00DC1A5F">
        <w:rPr>
          <w:i/>
          <w:iCs/>
        </w:rPr>
        <w:t>sam</w:t>
      </w:r>
      <w:proofErr w:type="spellEnd"/>
      <w:r w:rsidRPr="00DC1A5F">
        <w:t xml:space="preserve"> (= prefijo “con–“) denota conexión, como en las palabras </w:t>
      </w:r>
      <w:proofErr w:type="spellStart"/>
      <w:r w:rsidRPr="00DC1A5F">
        <w:rPr>
          <w:i/>
          <w:iCs/>
        </w:rPr>
        <w:t>samāgama</w:t>
      </w:r>
      <w:proofErr w:type="spellEnd"/>
      <w:r w:rsidRPr="00DC1A5F">
        <w:t xml:space="preserve"> (concurso, unión), </w:t>
      </w:r>
      <w:proofErr w:type="spellStart"/>
      <w:r w:rsidRPr="00DC1A5F">
        <w:rPr>
          <w:i/>
          <w:iCs/>
        </w:rPr>
        <w:t>sameta</w:t>
      </w:r>
      <w:proofErr w:type="spellEnd"/>
      <w:r w:rsidRPr="00DC1A5F">
        <w:t xml:space="preserve"> (congregado, confluido), etc. La palabra </w:t>
      </w:r>
      <w:r w:rsidRPr="00DC1A5F">
        <w:rPr>
          <w:i/>
          <w:iCs/>
        </w:rPr>
        <w:t>u</w:t>
      </w:r>
      <w:r w:rsidRPr="00DC1A5F">
        <w:t xml:space="preserve"> denota </w:t>
      </w:r>
      <w:r w:rsidRPr="00DC1A5F">
        <w:br w:type="page"/>
      </w:r>
    </w:p>
    <w:p w14:paraId="6B850623" w14:textId="77777777" w:rsidR="00597DE2" w:rsidRPr="00DC1A5F" w:rsidRDefault="00597DE2" w:rsidP="00597DE2">
      <w:r w:rsidRPr="00DC1A5F">
        <w:lastRenderedPageBreak/>
        <w:t xml:space="preserve">levarse, como en las palabras </w:t>
      </w:r>
      <w:proofErr w:type="spellStart"/>
      <w:r w:rsidRPr="00DC1A5F">
        <w:rPr>
          <w:i/>
          <w:iCs/>
        </w:rPr>
        <w:t>Uppanna</w:t>
      </w:r>
      <w:proofErr w:type="spellEnd"/>
      <w:r w:rsidRPr="00DC1A5F">
        <w:t xml:space="preserve"> (surgido, emergido), </w:t>
      </w:r>
      <w:proofErr w:type="spellStart"/>
      <w:r w:rsidRPr="00DC1A5F">
        <w:rPr>
          <w:i/>
          <w:iCs/>
        </w:rPr>
        <w:t>udita</w:t>
      </w:r>
      <w:proofErr w:type="spellEnd"/>
      <w:r w:rsidRPr="00DC1A5F">
        <w:t xml:space="preserve"> (ascendido, subido), etc. La palabra </w:t>
      </w:r>
      <w:r w:rsidRPr="00DC1A5F">
        <w:rPr>
          <w:i/>
          <w:iCs/>
        </w:rPr>
        <w:t>aya</w:t>
      </w:r>
      <w:r w:rsidRPr="00DC1A5F">
        <w:rPr>
          <w:i/>
          <w:iCs/>
          <w:vertAlign w:val="superscript"/>
        </w:rPr>
        <w:t>4</w:t>
      </w:r>
      <w:r w:rsidRPr="00DC1A5F">
        <w:rPr>
          <w:vertAlign w:val="superscript"/>
        </w:rPr>
        <w:t xml:space="preserve"> </w:t>
      </w:r>
      <w:r w:rsidRPr="00DC1A5F">
        <w:t>denota razón (</w:t>
      </w:r>
      <w:proofErr w:type="spellStart"/>
      <w:r w:rsidRPr="00DC1A5F">
        <w:rPr>
          <w:i/>
          <w:iCs/>
        </w:rPr>
        <w:t>kāraṇa</w:t>
      </w:r>
      <w:proofErr w:type="spellEnd"/>
      <w:r w:rsidRPr="00DC1A5F">
        <w:t xml:space="preserve">). Por lo tanto, esta segunda verdad corresponderá a la razón del surgimiento del sufrimiento cuando se combina con las condiciones restantes. Por lo tanto, se le llama </w:t>
      </w:r>
      <w:r w:rsidRPr="00DC1A5F">
        <w:rPr>
          <w:i/>
        </w:rPr>
        <w:t>dukkha</w:t>
      </w:r>
      <w:r w:rsidRPr="00DC1A5F">
        <w:t>–</w:t>
      </w:r>
      <w:proofErr w:type="spellStart"/>
      <w:r w:rsidRPr="00DC1A5F">
        <w:rPr>
          <w:i/>
          <w:iCs/>
        </w:rPr>
        <w:t>samudaya</w:t>
      </w:r>
      <w:proofErr w:type="spellEnd"/>
      <w:r w:rsidRPr="00DC1A5F">
        <w:t xml:space="preserve"> (el origen del sufrimiento) ya que corresponde a la razón en combinación para el surgimiento del sufrimiento.</w:t>
      </w:r>
    </w:p>
    <w:p w14:paraId="69496546" w14:textId="77777777" w:rsidR="00597DE2" w:rsidRPr="00DC1A5F" w:rsidRDefault="00597DE2" w:rsidP="00597DE2">
      <w:r w:rsidRPr="00DC1A5F">
        <w:t xml:space="preserve">18. </w:t>
      </w:r>
      <w:r w:rsidRPr="00DC1A5F">
        <w:tab/>
        <w:t>[</w:t>
      </w:r>
      <w:proofErr w:type="spellStart"/>
      <w:r w:rsidRPr="00DC1A5F">
        <w:rPr>
          <w:i/>
          <w:iCs/>
        </w:rPr>
        <w:t>Nirodha</w:t>
      </w:r>
      <w:proofErr w:type="spellEnd"/>
      <w:r w:rsidRPr="00DC1A5F">
        <w:t xml:space="preserve"> (cesación):] La palabra </w:t>
      </w:r>
      <w:r w:rsidRPr="00DC1A5F">
        <w:rPr>
          <w:i/>
          <w:iCs/>
        </w:rPr>
        <w:t>ni</w:t>
      </w:r>
      <w:r w:rsidRPr="00DC1A5F">
        <w:t xml:space="preserve"> denota ausencia y la palabra </w:t>
      </w:r>
      <w:proofErr w:type="spellStart"/>
      <w:r w:rsidRPr="00DC1A5F">
        <w:rPr>
          <w:i/>
          <w:iCs/>
        </w:rPr>
        <w:t>rodha</w:t>
      </w:r>
      <w:proofErr w:type="spellEnd"/>
      <w:r w:rsidRPr="00DC1A5F">
        <w:t>, prisión.</w:t>
      </w:r>
      <w:r w:rsidRPr="00DC1A5F">
        <w:rPr>
          <w:vertAlign w:val="superscript"/>
        </w:rPr>
        <w:t>5</w:t>
      </w:r>
      <w:r w:rsidRPr="00DC1A5F">
        <w:t xml:space="preserve"> Ahora bien, la tercera noble verdad carece </w:t>
      </w:r>
      <w:r w:rsidRPr="00DC1A5F">
        <w:rPr>
          <w:i/>
          <w:iCs/>
          <w:color w:val="833C0B" w:themeColor="accent2" w:themeShade="80"/>
        </w:rPr>
        <w:t>instantáneamente</w:t>
      </w:r>
      <w:r w:rsidRPr="00DC1A5F">
        <w:rPr>
          <w:color w:val="833C0B" w:themeColor="accent2" w:themeShade="80"/>
        </w:rPr>
        <w:t xml:space="preserve"> </w:t>
      </w:r>
      <w:r w:rsidRPr="00DC1A5F">
        <w:t>de todos los destinos [hacia cualquier renacimiento] y, por lo tanto, no existirá restricción (</w:t>
      </w:r>
      <w:proofErr w:type="spellStart"/>
      <w:r w:rsidRPr="00DC1A5F">
        <w:rPr>
          <w:i/>
          <w:iCs/>
        </w:rPr>
        <w:t>rodha</w:t>
      </w:r>
      <w:proofErr w:type="spellEnd"/>
      <w:r w:rsidRPr="00DC1A5F">
        <w:t xml:space="preserve">) de cualquier sufrimiento que se considere como una prisión del ciclo de renacimientos </w:t>
      </w:r>
      <w:r w:rsidRPr="00DC1A5F">
        <w:rPr>
          <w:color w:val="833C0B" w:themeColor="accent2" w:themeShade="80"/>
        </w:rPr>
        <w:t>durante su atestiguamiento</w:t>
      </w:r>
      <w:r w:rsidRPr="00DC1A5F">
        <w:t xml:space="preserve">; o cuando se haya llegado a esa cesación </w:t>
      </w:r>
      <w:r w:rsidRPr="00DC1A5F">
        <w:rPr>
          <w:i/>
          <w:iCs/>
          <w:color w:val="833C0B" w:themeColor="accent2" w:themeShade="80"/>
        </w:rPr>
        <w:t>instantáneamente</w:t>
      </w:r>
      <w:r w:rsidRPr="00DC1A5F">
        <w:t xml:space="preserve">, no existirá más restricción del sufrimiento que se considere como una prisión del ciclo de renacimientos y al representar lo contrario de esa prisión, se le denomina </w:t>
      </w:r>
      <w:r w:rsidRPr="00DC1A5F">
        <w:rPr>
          <w:i/>
        </w:rPr>
        <w:t>dukkha</w:t>
      </w:r>
      <w:r w:rsidRPr="00DC1A5F">
        <w:t>–</w:t>
      </w:r>
      <w:proofErr w:type="spellStart"/>
      <w:r w:rsidRPr="00DC1A5F">
        <w:rPr>
          <w:i/>
          <w:iCs/>
        </w:rPr>
        <w:t>nirodha</w:t>
      </w:r>
      <w:proofErr w:type="spellEnd"/>
      <w:r w:rsidRPr="00DC1A5F">
        <w:t xml:space="preserve"> (la cesación del sufrimiento). o alternativamente, se le denomina también la “cesación del sufrimiento” porque será una condición para la cesación del sufrimiento consistente del no–surgimiento </w:t>
      </w:r>
      <w:r w:rsidRPr="00DC1A5F">
        <w:rPr>
          <w:i/>
          <w:iCs/>
          <w:color w:val="833C0B" w:themeColor="accent2" w:themeShade="80"/>
        </w:rPr>
        <w:t>instantáneo</w:t>
      </w:r>
      <w:r w:rsidRPr="00DC1A5F">
        <w:rPr>
          <w:color w:val="833C0B" w:themeColor="accent2" w:themeShade="80"/>
        </w:rPr>
        <w:t xml:space="preserve"> </w:t>
      </w:r>
      <w:r w:rsidRPr="00DC1A5F">
        <w:t>al respecto.</w:t>
      </w:r>
    </w:p>
    <w:p w14:paraId="3FBF124F" w14:textId="77777777" w:rsidR="00597DE2" w:rsidRPr="00DC1A5F" w:rsidRDefault="00597DE2" w:rsidP="00597DE2">
      <w:r w:rsidRPr="00DC1A5F">
        <w:t xml:space="preserve">19. </w:t>
      </w:r>
      <w:r w:rsidRPr="00DC1A5F">
        <w:tab/>
        <w:t>[</w:t>
      </w:r>
      <w:proofErr w:type="spellStart"/>
      <w:r w:rsidRPr="00DC1A5F">
        <w:rPr>
          <w:i/>
          <w:iCs/>
        </w:rPr>
        <w:t>Nirodhagāminī</w:t>
      </w:r>
      <w:proofErr w:type="spellEnd"/>
      <w:r w:rsidRPr="00DC1A5F">
        <w:t xml:space="preserve"> </w:t>
      </w:r>
      <w:proofErr w:type="spellStart"/>
      <w:r w:rsidRPr="00DC1A5F">
        <w:rPr>
          <w:i/>
          <w:iCs/>
        </w:rPr>
        <w:t>paṭipadā</w:t>
      </w:r>
      <w:proofErr w:type="spellEnd"/>
      <w:r w:rsidRPr="00DC1A5F">
        <w:t xml:space="preserve"> (el sendero que conduce hacia la cesación </w:t>
      </w:r>
      <w:r w:rsidRPr="00DC1A5F">
        <w:rPr>
          <w:color w:val="833C0B" w:themeColor="accent2" w:themeShade="80"/>
        </w:rPr>
        <w:t>total</w:t>
      </w:r>
      <w:r w:rsidRPr="00DC1A5F">
        <w:t xml:space="preserve">):] debido a que la cuarta noble verdad se dirige en dirección (conduce) hacia la cesación del sufrimiento ya que se confronta a esa cesación como su objeto y como es la forma de vencer al sufrimiento, se le denomina </w:t>
      </w:r>
      <w:proofErr w:type="spellStart"/>
      <w:r w:rsidRPr="00DC1A5F">
        <w:rPr>
          <w:i/>
          <w:iCs/>
        </w:rPr>
        <w:t>Dukkhanirodha</w:t>
      </w:r>
      <w:proofErr w:type="spellEnd"/>
      <w:r w:rsidRPr="00DC1A5F">
        <w:t>–</w:t>
      </w:r>
      <w:proofErr w:type="spellStart"/>
      <w:r w:rsidRPr="00DC1A5F">
        <w:rPr>
          <w:i/>
          <w:iCs/>
        </w:rPr>
        <w:t>gāminī</w:t>
      </w:r>
      <w:proofErr w:type="spellEnd"/>
      <w:r w:rsidRPr="00DC1A5F">
        <w:t xml:space="preserve"> </w:t>
      </w:r>
      <w:proofErr w:type="spellStart"/>
      <w:r w:rsidRPr="00DC1A5F">
        <w:rPr>
          <w:i/>
          <w:iCs/>
        </w:rPr>
        <w:t>paṭipadā</w:t>
      </w:r>
      <w:proofErr w:type="spellEnd"/>
      <w:r w:rsidRPr="00DC1A5F">
        <w:t>, el sendero que conduce hacia la cesación del sufrimiento.</w:t>
      </w:r>
    </w:p>
    <w:p w14:paraId="202E3F69" w14:textId="77777777" w:rsidR="00597DE2" w:rsidRPr="00DC1A5F" w:rsidRDefault="00597DE2" w:rsidP="00597DE2">
      <w:r w:rsidRPr="00DC1A5F">
        <w:t xml:space="preserve">20. </w:t>
      </w:r>
      <w:r w:rsidRPr="00DC1A5F">
        <w:tab/>
        <w:t xml:space="preserve">Se llaman nobles verdades porque los Nobles, los </w:t>
      </w:r>
      <w:r w:rsidRPr="00DC1A5F">
        <w:rPr>
          <w:i/>
        </w:rPr>
        <w:t>Buddha</w:t>
      </w:r>
      <w:r w:rsidRPr="00DC1A5F">
        <w:t xml:space="preserve">s, </w:t>
      </w:r>
      <w:r w:rsidRPr="00DC1A5F">
        <w:rPr>
          <w:i/>
          <w:iCs/>
          <w:color w:val="833C0B" w:themeColor="accent2" w:themeShade="80"/>
        </w:rPr>
        <w:t>discípulos</w:t>
      </w:r>
      <w:r w:rsidRPr="00DC1A5F">
        <w:t xml:space="preserve">, etc., las penetran, </w:t>
      </w:r>
      <w:proofErr w:type="gramStart"/>
      <w:r w:rsidRPr="00DC1A5F">
        <w:t>de acuerdo a</w:t>
      </w:r>
      <w:proofErr w:type="gramEnd"/>
      <w:r w:rsidRPr="00DC1A5F">
        <w:t xml:space="preserve"> lo que se dice al respecto: “</w:t>
      </w:r>
      <w:proofErr w:type="spellStart"/>
      <w:r w:rsidRPr="00DC1A5F">
        <w:rPr>
          <w:i/>
        </w:rPr>
        <w:t>Bhikkhu</w:t>
      </w:r>
      <w:r w:rsidRPr="00DC1A5F">
        <w:t>s</w:t>
      </w:r>
      <w:proofErr w:type="spellEnd"/>
      <w:r w:rsidRPr="00DC1A5F">
        <w:t xml:space="preserve">, existen estas cuatro verdades nobles. ¿Cuáles cuatro? ... Éstas, </w:t>
      </w:r>
      <w:proofErr w:type="spellStart"/>
      <w:r w:rsidRPr="00DC1A5F">
        <w:rPr>
          <w:i/>
        </w:rPr>
        <w:t>Bhikkhu</w:t>
      </w:r>
      <w:r w:rsidRPr="00DC1A5F">
        <w:t>s</w:t>
      </w:r>
      <w:proofErr w:type="spellEnd"/>
      <w:r w:rsidRPr="00DC1A5F">
        <w:t xml:space="preserve"> son las cuatro verdades nobles” (S v 425). Los nobles las consuman, por lo tanto, se les llaman nobles verdades.</w:t>
      </w:r>
    </w:p>
    <w:p w14:paraId="29436966" w14:textId="77777777" w:rsidR="00597DE2" w:rsidRPr="00DC1A5F" w:rsidRDefault="00597DE2" w:rsidP="00597DE2">
      <w:r w:rsidRPr="00DC1A5F">
        <w:t xml:space="preserve">21. </w:t>
      </w:r>
      <w:r w:rsidRPr="00DC1A5F">
        <w:tab/>
        <w:t>Además, las nobles verdades corresponderán a las verdades de los nobles, según lo afirmado al respecto: “</w:t>
      </w:r>
      <w:proofErr w:type="spellStart"/>
      <w:r w:rsidRPr="00DC1A5F">
        <w:rPr>
          <w:i/>
        </w:rPr>
        <w:t>Bhikkhu</w:t>
      </w:r>
      <w:r w:rsidRPr="00DC1A5F">
        <w:t>s</w:t>
      </w:r>
      <w:proofErr w:type="spellEnd"/>
      <w:r w:rsidRPr="00DC1A5F">
        <w:t xml:space="preserve">, en el mundo con sus deidades, </w:t>
      </w:r>
      <w:proofErr w:type="spellStart"/>
      <w:r w:rsidRPr="00DC1A5F">
        <w:rPr>
          <w:i/>
        </w:rPr>
        <w:t>Māra</w:t>
      </w:r>
      <w:r w:rsidRPr="00DC1A5F">
        <w:t>s</w:t>
      </w:r>
      <w:proofErr w:type="spellEnd"/>
      <w:r w:rsidRPr="00DC1A5F">
        <w:t xml:space="preserve"> y </w:t>
      </w:r>
      <w:proofErr w:type="spellStart"/>
      <w:r w:rsidRPr="00DC1A5F">
        <w:rPr>
          <w:i/>
        </w:rPr>
        <w:t>brahmās</w:t>
      </w:r>
      <w:proofErr w:type="spellEnd"/>
      <w:r w:rsidRPr="00DC1A5F">
        <w:t xml:space="preserve">, en esta generación con sus ascetas y </w:t>
      </w:r>
      <w:r w:rsidRPr="00DC1A5F">
        <w:rPr>
          <w:i/>
          <w:iCs/>
        </w:rPr>
        <w:t>brahmanes</w:t>
      </w:r>
      <w:r w:rsidRPr="00DC1A5F">
        <w:t>, con sus príncipes y hombres, El Perfecto es El Noble. Es debido a ello que se les denominan nobles verdades” (S v 435). O alternativamente, se les llaman nobles verdades debido a la nobleza implícita de su descubrimiento, de acuerdo a lo que se dice al respecto: “</w:t>
      </w:r>
      <w:proofErr w:type="spellStart"/>
      <w:r w:rsidRPr="00DC1A5F">
        <w:rPr>
          <w:i/>
        </w:rPr>
        <w:t>Bhikkhu</w:t>
      </w:r>
      <w:r w:rsidRPr="00DC1A5F">
        <w:t>s</w:t>
      </w:r>
      <w:proofErr w:type="spellEnd"/>
      <w:r w:rsidRPr="00DC1A5F">
        <w:t xml:space="preserve">, se debe al descubrimiento correcto de Estas Cuatro Nobles Verdades que al Perfecto se le conozca como Consumado, Totalmente Iluminado” </w:t>
      </w:r>
      <w:proofErr w:type="gramStart"/>
      <w:r w:rsidRPr="00DC1A5F">
        <w:t>( S</w:t>
      </w:r>
      <w:proofErr w:type="gramEnd"/>
      <w:r w:rsidRPr="00DC1A5F">
        <w:t xml:space="preserve"> V 433).</w:t>
      </w:r>
    </w:p>
    <w:p w14:paraId="1A2F481F" w14:textId="77777777" w:rsidR="00597DE2" w:rsidRPr="00DC1A5F" w:rsidRDefault="00597DE2" w:rsidP="00597DE2">
      <w:r w:rsidRPr="00DC1A5F">
        <w:t>22.</w:t>
      </w:r>
      <w:r w:rsidRPr="00DC1A5F">
        <w:tab/>
        <w:t xml:space="preserve"> Además, las Nobles Verdades son verdades que se caracterizan por ser nobles. Ser noble significa ser no–irreal; El significado es no–ilusivo, según lo afirmado al respecto: “</w:t>
      </w:r>
      <w:proofErr w:type="spellStart"/>
      <w:r w:rsidRPr="00DC1A5F">
        <w:rPr>
          <w:i/>
        </w:rPr>
        <w:t>Bhikkhu</w:t>
      </w:r>
      <w:r w:rsidRPr="00DC1A5F">
        <w:t>s</w:t>
      </w:r>
      <w:proofErr w:type="spellEnd"/>
      <w:r w:rsidRPr="00DC1A5F">
        <w:t>, estas Cuatro Nobles Verdades son reales, no irreales, no es por otra razón que se les denomina Nobles Verdades” (S v 435).</w:t>
      </w:r>
    </w:p>
    <w:p w14:paraId="22EE8D7A" w14:textId="77777777" w:rsidR="00597DE2" w:rsidRPr="00DC1A5F" w:rsidRDefault="00597DE2" w:rsidP="00597DE2">
      <w:pPr>
        <w:pStyle w:val="NormalConSangria"/>
      </w:pPr>
      <w:r w:rsidRPr="00DC1A5F">
        <w:t xml:space="preserve">Así es cómo se deberá entenderse la exposición en cuanto a la </w:t>
      </w:r>
      <w:r w:rsidRPr="00DC1A5F">
        <w:rPr>
          <w:i/>
          <w:iCs/>
        </w:rPr>
        <w:t>derivación</w:t>
      </w:r>
      <w:r w:rsidRPr="00DC1A5F">
        <w:t>.</w:t>
      </w:r>
    </w:p>
    <w:p w14:paraId="34B64E59" w14:textId="77777777" w:rsidR="00597DE2" w:rsidRPr="00DC1A5F" w:rsidRDefault="00597DE2" w:rsidP="00597DE2">
      <w:r w:rsidRPr="00DC1A5F">
        <w:t xml:space="preserve">23. </w:t>
      </w:r>
      <w:r w:rsidRPr="00DC1A5F">
        <w:tab/>
      </w:r>
      <w:r w:rsidRPr="00DC1A5F">
        <w:rPr>
          <w:i/>
          <w:iCs/>
        </w:rPr>
        <w:t>3</w:t>
      </w:r>
      <w:r w:rsidRPr="00DC1A5F">
        <w:t>. ¿</w:t>
      </w:r>
      <w:r w:rsidRPr="00DC1A5F">
        <w:rPr>
          <w:i/>
          <w:iCs/>
        </w:rPr>
        <w:t>Cómo en cuanto a su división mediante su característica, etc</w:t>
      </w:r>
      <w:r w:rsidRPr="00DC1A5F">
        <w:t xml:space="preserve">.? La verdad del sufrimiento tiene la </w:t>
      </w:r>
      <w:r w:rsidRPr="00DC1A5F">
        <w:rPr>
          <w:i/>
          <w:iCs/>
        </w:rPr>
        <w:t>característica</w:t>
      </w:r>
      <w:r w:rsidRPr="00DC1A5F">
        <w:t xml:space="preserve"> de afligir. [496] Su </w:t>
      </w:r>
      <w:r w:rsidRPr="00DC1A5F">
        <w:rPr>
          <w:i/>
          <w:iCs/>
        </w:rPr>
        <w:t>función</w:t>
      </w:r>
      <w:r w:rsidRPr="00DC1A5F">
        <w:t xml:space="preserve"> es arder. Se </w:t>
      </w:r>
      <w:r w:rsidRPr="00DC1A5F">
        <w:rPr>
          <w:i/>
          <w:iCs/>
        </w:rPr>
        <w:t>manifiesta</w:t>
      </w:r>
      <w:r w:rsidRPr="00DC1A5F">
        <w:t xml:space="preserve"> como una ocurrencia (como el curso de una existencia). La verdad de su origen tiene la </w:t>
      </w:r>
      <w:r w:rsidRPr="00DC1A5F">
        <w:rPr>
          <w:i/>
          <w:iCs/>
        </w:rPr>
        <w:t>característica</w:t>
      </w:r>
      <w:r w:rsidRPr="00DC1A5F">
        <w:t xml:space="preserve"> de la producción. Su </w:t>
      </w:r>
      <w:r w:rsidRPr="00DC1A5F">
        <w:rPr>
          <w:i/>
          <w:iCs/>
        </w:rPr>
        <w:t>función</w:t>
      </w:r>
      <w:r w:rsidRPr="00DC1A5F">
        <w:t xml:space="preserve"> es eludir la interrupción. Se </w:t>
      </w:r>
      <w:r w:rsidRPr="00DC1A5F">
        <w:rPr>
          <w:i/>
          <w:iCs/>
        </w:rPr>
        <w:t>manifiesta</w:t>
      </w:r>
      <w:r w:rsidRPr="00DC1A5F">
        <w:t xml:space="preserve"> como impedimento. La verdad de su cesación como característica a la paz. Su </w:t>
      </w:r>
      <w:r w:rsidRPr="00DC1A5F">
        <w:rPr>
          <w:i/>
          <w:iCs/>
        </w:rPr>
        <w:t>función</w:t>
      </w:r>
      <w:r w:rsidRPr="00DC1A5F">
        <w:t xml:space="preserve"> es no–morir. Se </w:t>
      </w:r>
      <w:r w:rsidRPr="00DC1A5F">
        <w:rPr>
          <w:i/>
          <w:iCs/>
        </w:rPr>
        <w:t>manifiesta</w:t>
      </w:r>
      <w:r w:rsidRPr="00DC1A5F">
        <w:t xml:space="preserve"> como sin</w:t>
      </w:r>
      <w:r w:rsidRPr="00DC1A5F">
        <w:rPr>
          <w:i/>
          <w:iCs/>
        </w:rPr>
        <w:t>–</w:t>
      </w:r>
      <w:r w:rsidRPr="00DC1A5F">
        <w:t>signo.</w:t>
      </w:r>
      <w:r w:rsidRPr="00DC1A5F">
        <w:rPr>
          <w:vertAlign w:val="superscript"/>
        </w:rPr>
        <w:t>6</w:t>
      </w:r>
      <w:r w:rsidRPr="00DC1A5F">
        <w:t xml:space="preserve"> La verdad </w:t>
      </w:r>
    </w:p>
    <w:p w14:paraId="50E87BAE" w14:textId="77777777" w:rsidR="00597DE2" w:rsidRPr="00DC1A5F" w:rsidRDefault="00597DE2" w:rsidP="00597DE2">
      <w:pPr>
        <w:pStyle w:val="PiedepginaLegal"/>
        <w:rPr>
          <w:sz w:val="6"/>
          <w:szCs w:val="14"/>
          <w:u w:val="single"/>
        </w:rPr>
      </w:pPr>
      <w:r w:rsidRPr="00DC1A5F">
        <w:rPr>
          <w:sz w:val="6"/>
          <w:szCs w:val="14"/>
          <w:u w:val="single"/>
        </w:rPr>
        <w:tab/>
      </w:r>
      <w:r w:rsidRPr="00DC1A5F">
        <w:rPr>
          <w:sz w:val="6"/>
          <w:szCs w:val="14"/>
          <w:u w:val="single"/>
        </w:rPr>
        <w:tab/>
      </w:r>
      <w:r w:rsidRPr="00DC1A5F">
        <w:rPr>
          <w:sz w:val="6"/>
          <w:szCs w:val="14"/>
          <w:u w:val="single"/>
        </w:rPr>
        <w:tab/>
      </w:r>
      <w:r w:rsidRPr="00DC1A5F">
        <w:rPr>
          <w:sz w:val="6"/>
          <w:szCs w:val="14"/>
          <w:u w:val="single"/>
        </w:rPr>
        <w:tab/>
        <w:t>.</w:t>
      </w:r>
    </w:p>
    <w:p w14:paraId="01DDA9C4" w14:textId="77777777" w:rsidR="00597DE2" w:rsidRPr="00DC1A5F" w:rsidRDefault="00597DE2" w:rsidP="00597DE2">
      <w:pPr>
        <w:pStyle w:val="PiedepginaLegal"/>
        <w:numPr>
          <w:ilvl w:val="0"/>
          <w:numId w:val="5"/>
        </w:numPr>
        <w:tabs>
          <w:tab w:val="clear" w:pos="425"/>
        </w:tabs>
        <w:ind w:left="284" w:hanging="284"/>
      </w:pPr>
      <w:proofErr w:type="spellStart"/>
      <w:r w:rsidRPr="00DC1A5F">
        <w:rPr>
          <w:i/>
          <w:iCs/>
        </w:rPr>
        <w:t>Aya</w:t>
      </w:r>
      <w:proofErr w:type="spellEnd"/>
      <w:r w:rsidRPr="00DC1A5F">
        <w:t>— “Razón”: no en este sentido en el PED.</w:t>
      </w:r>
    </w:p>
    <w:p w14:paraId="2FC678BB" w14:textId="77777777" w:rsidR="00597DE2" w:rsidRPr="00DC1A5F" w:rsidRDefault="00597DE2" w:rsidP="00597DE2">
      <w:pPr>
        <w:pStyle w:val="PiedepginaLegal"/>
        <w:numPr>
          <w:ilvl w:val="0"/>
          <w:numId w:val="5"/>
        </w:numPr>
        <w:tabs>
          <w:tab w:val="clear" w:pos="425"/>
        </w:tabs>
        <w:ind w:left="284" w:hanging="284"/>
      </w:pPr>
      <w:proofErr w:type="spellStart"/>
      <w:r w:rsidRPr="00DC1A5F">
        <w:rPr>
          <w:i/>
          <w:iCs/>
        </w:rPr>
        <w:t>Cāraka</w:t>
      </w:r>
      <w:proofErr w:type="spellEnd"/>
      <w:r w:rsidRPr="00DC1A5F">
        <w:t>— “prisión”: no en este sentido en el PED; Ver xiv.221.</w:t>
      </w:r>
    </w:p>
    <w:p w14:paraId="6C125E12" w14:textId="77777777" w:rsidR="00597DE2" w:rsidRPr="00DC1A5F" w:rsidRDefault="00597DE2" w:rsidP="00597DE2">
      <w:pPr>
        <w:pStyle w:val="PiedepginaLegal"/>
        <w:numPr>
          <w:ilvl w:val="0"/>
          <w:numId w:val="5"/>
        </w:numPr>
        <w:tabs>
          <w:tab w:val="clear" w:pos="425"/>
        </w:tabs>
        <w:spacing w:after="160"/>
        <w:ind w:left="284" w:hanging="284"/>
      </w:pPr>
      <w:r w:rsidRPr="00DC1A5F">
        <w:t>“‘</w:t>
      </w:r>
      <w:r w:rsidRPr="00DC1A5F">
        <w:rPr>
          <w:i/>
          <w:iCs/>
        </w:rPr>
        <w:t>Sin signos’</w:t>
      </w:r>
      <w:r w:rsidRPr="00DC1A5F">
        <w:t xml:space="preserve">: al estar desprovisto del signo de los cinco agregados, se considerará que no poseerá entidad </w:t>
      </w:r>
      <w:r w:rsidRPr="00DC1A5F">
        <w:rPr>
          <w:color w:val="auto"/>
          <w:spacing w:val="0"/>
          <w:u w:color="000000"/>
        </w:rPr>
        <w:t>comprensible</w:t>
      </w:r>
      <w:r w:rsidRPr="00DC1A5F">
        <w:rPr>
          <w:color w:val="833C0B" w:themeColor="accent2" w:themeShade="80"/>
        </w:rPr>
        <w:t xml:space="preserve"> </w:t>
      </w:r>
      <w:r w:rsidRPr="00DC1A5F">
        <w:t>(</w:t>
      </w:r>
      <w:proofErr w:type="spellStart"/>
      <w:r w:rsidRPr="00DC1A5F">
        <w:rPr>
          <w:i/>
          <w:iCs/>
        </w:rPr>
        <w:t>avggaha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525).</w:t>
      </w:r>
      <w:r w:rsidRPr="00DC1A5F">
        <w:br w:type="page"/>
      </w:r>
    </w:p>
    <w:p w14:paraId="17AFDBF7" w14:textId="77777777" w:rsidR="00597DE2" w:rsidRPr="00DC1A5F" w:rsidRDefault="00597DE2" w:rsidP="00597DE2">
      <w:pPr>
        <w:pStyle w:val="Textoindependiente"/>
      </w:pPr>
      <w:r w:rsidRPr="00DC1A5F">
        <w:lastRenderedPageBreak/>
        <w:t xml:space="preserve">del sendero tiene la </w:t>
      </w:r>
      <w:r w:rsidRPr="00DC1A5F">
        <w:rPr>
          <w:i/>
          <w:iCs/>
        </w:rPr>
        <w:t>característica</w:t>
      </w:r>
      <w:r w:rsidRPr="00DC1A5F">
        <w:t xml:space="preserve"> de representar un escape. Su </w:t>
      </w:r>
      <w:r w:rsidRPr="00DC1A5F">
        <w:rPr>
          <w:i/>
          <w:iCs/>
        </w:rPr>
        <w:t>función</w:t>
      </w:r>
      <w:r w:rsidRPr="00DC1A5F">
        <w:t xml:space="preserve"> es abandonar las contaminaciones. Se </w:t>
      </w:r>
      <w:r w:rsidRPr="00DC1A5F">
        <w:rPr>
          <w:i/>
          <w:iCs/>
        </w:rPr>
        <w:t>manifiesta</w:t>
      </w:r>
      <w:r w:rsidRPr="00DC1A5F">
        <w:t xml:space="preserve"> como una emergencia. Además, estas verdades tienen las </w:t>
      </w:r>
      <w:r w:rsidRPr="00DC1A5F">
        <w:rPr>
          <w:i/>
          <w:iCs/>
        </w:rPr>
        <w:t>características</w:t>
      </w:r>
      <w:r w:rsidRPr="00DC1A5F">
        <w:t xml:space="preserve"> de ser una ocurrencia, de producir tal ocurrencia, de una no–ocurrencia y producir tal no–ocurrencia, respectivamente; y de la misma manera las </w:t>
      </w:r>
      <w:r w:rsidRPr="00DC1A5F">
        <w:rPr>
          <w:i/>
          <w:iCs/>
        </w:rPr>
        <w:t>características</w:t>
      </w:r>
      <w:r w:rsidRPr="00DC1A5F">
        <w:t xml:space="preserve"> de lo formado, del deseo, de lo no</w:t>
      </w:r>
      <w:r w:rsidRPr="00DC1A5F">
        <w:rPr>
          <w:rFonts w:cs="Cormorant"/>
        </w:rPr>
        <w:t>‒</w:t>
      </w:r>
      <w:r w:rsidRPr="00DC1A5F">
        <w:t>formado y la visión, respectivamente. Así es cómo la exposición deberá entenderse aquí en cuanto a sus características, etc.</w:t>
      </w:r>
    </w:p>
    <w:p w14:paraId="50965D49" w14:textId="77777777" w:rsidR="00597DE2" w:rsidRPr="00DC1A5F" w:rsidRDefault="00597DE2" w:rsidP="00597DE2">
      <w:r w:rsidRPr="00DC1A5F">
        <w:t xml:space="preserve">24. </w:t>
      </w:r>
      <w:r w:rsidRPr="00DC1A5F">
        <w:tab/>
        <w:t xml:space="preserve">4. </w:t>
      </w:r>
      <w:r w:rsidRPr="00DC1A5F">
        <w:rPr>
          <w:i/>
          <w:iCs/>
        </w:rPr>
        <w:t>En cuanto al significado</w:t>
      </w:r>
      <w:r w:rsidRPr="00DC1A5F">
        <w:t xml:space="preserve">, 5. En cuanto al </w:t>
      </w:r>
      <w:r w:rsidRPr="00DC1A5F">
        <w:rPr>
          <w:i/>
          <w:iCs/>
        </w:rPr>
        <w:t>rastro del significado</w:t>
      </w:r>
      <w:r w:rsidRPr="00DC1A5F">
        <w:t>: en cuanto al “significado”, en primer lugar, ¿cuál es el “significado de la verdad” (</w:t>
      </w:r>
      <w:proofErr w:type="spellStart"/>
      <w:r w:rsidRPr="00DC1A5F">
        <w:rPr>
          <w:i/>
          <w:iCs/>
        </w:rPr>
        <w:t>saccattha</w:t>
      </w:r>
      <w:proofErr w:type="spellEnd"/>
      <w:r w:rsidRPr="00DC1A5F">
        <w:t xml:space="preserve">)? Es lo que, para aquellos que lo examinen con el ojo del entendimiento, no sea ilusivo, una ilusión, engañoso, como un espejismo o algo indescriptible, como el alma de los sectarios, sino y más bien, como un dominio del noble conocimiento, como algo real, infalible y un fáctico estado, con todos sus aspectos vinculados con la aflicción, su producción, la tranquilidad y el escape, </w:t>
      </w:r>
      <w:r w:rsidRPr="00DC1A5F">
        <w:rPr>
          <w:color w:val="833C0B" w:themeColor="accent2" w:themeShade="80"/>
        </w:rPr>
        <w:t>respectivamente</w:t>
      </w:r>
      <w:r w:rsidRPr="00DC1A5F">
        <w:t>. Es esta verdadera e infalible realidad la que deberá entenderse como el “significado de la verdad” al igual que el calor es la característica del fuego y así como lo es la naturaleza del mundo de estar sujetas al nacimiento, a la vejez–y–muerte, según lo escrito al respecto: “</w:t>
      </w:r>
      <w:proofErr w:type="spellStart"/>
      <w:r w:rsidRPr="00DC1A5F">
        <w:rPr>
          <w:i/>
        </w:rPr>
        <w:t>Bhikkhu</w:t>
      </w:r>
      <w:r w:rsidRPr="00DC1A5F">
        <w:t>s</w:t>
      </w:r>
      <w:proofErr w:type="spellEnd"/>
      <w:r w:rsidRPr="00DC1A5F">
        <w:t xml:space="preserve">, este sufrimiento es real, no irreal, no de otra manera” (S v 430), etc., en detalle.   </w:t>
      </w:r>
    </w:p>
    <w:p w14:paraId="33858918" w14:textId="77777777" w:rsidR="00597DE2" w:rsidRPr="00DC1A5F" w:rsidRDefault="00597DE2" w:rsidP="00597DE2">
      <w:r w:rsidRPr="00DC1A5F">
        <w:t xml:space="preserve">25. </w:t>
      </w:r>
      <w:r w:rsidRPr="00DC1A5F">
        <w:tab/>
        <w:t>Además:</w:t>
      </w:r>
    </w:p>
    <w:p w14:paraId="24E933D0" w14:textId="77777777" w:rsidR="00597DE2" w:rsidRPr="00DC1A5F" w:rsidRDefault="00597DE2" w:rsidP="00597DE2">
      <w:pPr>
        <w:pStyle w:val="VersoIngls01Sangria"/>
        <w:rPr>
          <w:sz w:val="16"/>
          <w:szCs w:val="20"/>
        </w:rPr>
      </w:pPr>
      <w:r w:rsidRPr="00DC1A5F">
        <w:rPr>
          <w:sz w:val="16"/>
          <w:szCs w:val="20"/>
        </w:rPr>
        <w:t>No existe dolor que no sea aflicción.</w:t>
      </w:r>
    </w:p>
    <w:p w14:paraId="21758117" w14:textId="77777777" w:rsidR="00597DE2" w:rsidRPr="00DC1A5F" w:rsidRDefault="00597DE2" w:rsidP="00597DE2">
      <w:pPr>
        <w:pStyle w:val="VersoIngls01Sangria"/>
        <w:rPr>
          <w:sz w:val="16"/>
          <w:szCs w:val="20"/>
        </w:rPr>
      </w:pPr>
      <w:r w:rsidRPr="00DC1A5F">
        <w:rPr>
          <w:sz w:val="16"/>
          <w:szCs w:val="20"/>
        </w:rPr>
        <w:t>Y nada que no sea dolor afligirá:</w:t>
      </w:r>
    </w:p>
    <w:p w14:paraId="33E6109E" w14:textId="77777777" w:rsidR="00597DE2" w:rsidRPr="00DC1A5F" w:rsidRDefault="00597DE2" w:rsidP="00597DE2">
      <w:pPr>
        <w:pStyle w:val="VersoIngls01Sangria"/>
        <w:rPr>
          <w:sz w:val="16"/>
          <w:szCs w:val="20"/>
        </w:rPr>
      </w:pPr>
      <w:r w:rsidRPr="00DC1A5F">
        <w:rPr>
          <w:sz w:val="16"/>
          <w:szCs w:val="20"/>
        </w:rPr>
        <w:t>Esta certidumbre de que aflija</w:t>
      </w:r>
    </w:p>
    <w:p w14:paraId="1C185F42" w14:textId="77777777" w:rsidR="00597DE2" w:rsidRPr="00DC1A5F" w:rsidRDefault="00597DE2" w:rsidP="00597DE2">
      <w:pPr>
        <w:pStyle w:val="VersoIngls01Sangria"/>
        <w:spacing w:after="100"/>
        <w:ind w:left="1418"/>
        <w:rPr>
          <w:sz w:val="16"/>
          <w:szCs w:val="20"/>
        </w:rPr>
      </w:pPr>
      <w:r w:rsidRPr="00DC1A5F">
        <w:rPr>
          <w:sz w:val="16"/>
          <w:szCs w:val="20"/>
        </w:rPr>
        <w:t>Es lo que se considerará aquí como una verdad.</w:t>
      </w:r>
    </w:p>
    <w:p w14:paraId="6E0B22FE" w14:textId="77777777" w:rsidR="00597DE2" w:rsidRPr="00DC1A5F" w:rsidRDefault="00597DE2" w:rsidP="00597DE2">
      <w:pPr>
        <w:pStyle w:val="VersoIngls01Sangria"/>
        <w:rPr>
          <w:sz w:val="16"/>
          <w:szCs w:val="20"/>
        </w:rPr>
      </w:pPr>
      <w:r w:rsidRPr="00DC1A5F">
        <w:rPr>
          <w:sz w:val="16"/>
          <w:szCs w:val="20"/>
        </w:rPr>
        <w:t>No existe ninguna otra fuente de dolor que el deseo.</w:t>
      </w:r>
    </w:p>
    <w:p w14:paraId="3C4A5712" w14:textId="77777777" w:rsidR="00597DE2" w:rsidRPr="00DC1A5F" w:rsidRDefault="00597DE2" w:rsidP="00597DE2">
      <w:pPr>
        <w:pStyle w:val="VersoIngls01Sangria"/>
        <w:rPr>
          <w:sz w:val="16"/>
          <w:szCs w:val="20"/>
        </w:rPr>
      </w:pPr>
      <w:r w:rsidRPr="00DC1A5F">
        <w:rPr>
          <w:sz w:val="16"/>
          <w:szCs w:val="20"/>
        </w:rPr>
        <w:t>Ni nada al margen de esta fuente que proporcione otra cosa sino dolor:</w:t>
      </w:r>
    </w:p>
    <w:p w14:paraId="0AFB1D7E" w14:textId="77777777" w:rsidR="00597DE2" w:rsidRPr="00DC1A5F" w:rsidRDefault="00597DE2" w:rsidP="00597DE2">
      <w:pPr>
        <w:pStyle w:val="VersoIngls01Sangria"/>
        <w:rPr>
          <w:sz w:val="16"/>
          <w:szCs w:val="20"/>
        </w:rPr>
      </w:pPr>
      <w:r w:rsidRPr="00DC1A5F">
        <w:rPr>
          <w:sz w:val="16"/>
          <w:szCs w:val="20"/>
        </w:rPr>
        <w:t>Esta certidumbre de que cause dolor</w:t>
      </w:r>
    </w:p>
    <w:p w14:paraId="5EA716FB" w14:textId="77777777" w:rsidR="00597DE2" w:rsidRPr="00DC1A5F" w:rsidRDefault="00597DE2" w:rsidP="00597DE2">
      <w:pPr>
        <w:pStyle w:val="VersoIngls01Sangria"/>
        <w:spacing w:after="100"/>
        <w:ind w:left="1418"/>
        <w:rPr>
          <w:sz w:val="16"/>
          <w:szCs w:val="20"/>
        </w:rPr>
      </w:pPr>
      <w:r w:rsidRPr="00DC1A5F">
        <w:rPr>
          <w:sz w:val="16"/>
          <w:szCs w:val="20"/>
        </w:rPr>
        <w:t>Es lo que se considera como una verdad.</w:t>
      </w:r>
    </w:p>
    <w:p w14:paraId="4B297B77" w14:textId="77777777" w:rsidR="00597DE2" w:rsidRPr="00DC1A5F" w:rsidRDefault="00597DE2" w:rsidP="00597DE2">
      <w:pPr>
        <w:pStyle w:val="VersoIngls01Sangria"/>
        <w:rPr>
          <w:sz w:val="16"/>
          <w:szCs w:val="20"/>
        </w:rPr>
      </w:pPr>
      <w:r w:rsidRPr="00DC1A5F">
        <w:rPr>
          <w:sz w:val="16"/>
          <w:szCs w:val="20"/>
        </w:rPr>
        <w:t xml:space="preserve">No existe paz que no sea el </w:t>
      </w:r>
      <w:r w:rsidRPr="00DC1A5F">
        <w:rPr>
          <w:i/>
          <w:iCs/>
          <w:sz w:val="16"/>
          <w:szCs w:val="20"/>
        </w:rPr>
        <w:t>Nibbāna</w:t>
      </w:r>
      <w:r w:rsidRPr="00DC1A5F">
        <w:rPr>
          <w:sz w:val="16"/>
          <w:szCs w:val="20"/>
        </w:rPr>
        <w:t>,</w:t>
      </w:r>
    </w:p>
    <w:p w14:paraId="11726DBC" w14:textId="77777777" w:rsidR="00597DE2" w:rsidRPr="00DC1A5F" w:rsidRDefault="00597DE2" w:rsidP="00597DE2">
      <w:pPr>
        <w:pStyle w:val="VersoIngls01Sangria"/>
        <w:rPr>
          <w:sz w:val="16"/>
          <w:szCs w:val="20"/>
        </w:rPr>
      </w:pPr>
      <w:r w:rsidRPr="00DC1A5F">
        <w:rPr>
          <w:sz w:val="16"/>
          <w:szCs w:val="20"/>
        </w:rPr>
        <w:t xml:space="preserve">El </w:t>
      </w:r>
      <w:r w:rsidRPr="00DC1A5F">
        <w:rPr>
          <w:i/>
          <w:iCs/>
          <w:sz w:val="16"/>
          <w:szCs w:val="20"/>
        </w:rPr>
        <w:t>Nibbāna</w:t>
      </w:r>
      <w:r w:rsidRPr="00DC1A5F">
        <w:rPr>
          <w:sz w:val="16"/>
          <w:szCs w:val="20"/>
        </w:rPr>
        <w:t xml:space="preserve"> no puede ser otra cosa sino paz:</w:t>
      </w:r>
    </w:p>
    <w:p w14:paraId="6DE86F2E" w14:textId="77777777" w:rsidR="00597DE2" w:rsidRPr="00DC1A5F" w:rsidRDefault="00597DE2" w:rsidP="00597DE2">
      <w:pPr>
        <w:pStyle w:val="VersoIngls01Sangria"/>
        <w:rPr>
          <w:sz w:val="16"/>
          <w:szCs w:val="20"/>
        </w:rPr>
      </w:pPr>
      <w:r w:rsidRPr="00DC1A5F">
        <w:rPr>
          <w:sz w:val="16"/>
          <w:szCs w:val="20"/>
        </w:rPr>
        <w:t>Esta certidumbre de que sea paz</w:t>
      </w:r>
    </w:p>
    <w:p w14:paraId="08FE2629" w14:textId="77777777" w:rsidR="00597DE2" w:rsidRPr="00DC1A5F" w:rsidRDefault="00597DE2" w:rsidP="00597DE2">
      <w:pPr>
        <w:pStyle w:val="VersoIngls01Sangria"/>
        <w:spacing w:after="100"/>
        <w:ind w:left="1418"/>
        <w:rPr>
          <w:sz w:val="16"/>
          <w:szCs w:val="20"/>
        </w:rPr>
      </w:pPr>
      <w:r w:rsidRPr="00DC1A5F">
        <w:rPr>
          <w:sz w:val="16"/>
          <w:szCs w:val="20"/>
        </w:rPr>
        <w:t>Es lo que se considera aquí como una verdad.</w:t>
      </w:r>
    </w:p>
    <w:p w14:paraId="190A9C7C" w14:textId="77777777" w:rsidR="00597DE2" w:rsidRPr="00DC1A5F" w:rsidRDefault="00597DE2" w:rsidP="00597DE2">
      <w:pPr>
        <w:pStyle w:val="VersoIngls01Sangria"/>
        <w:rPr>
          <w:sz w:val="16"/>
          <w:szCs w:val="20"/>
        </w:rPr>
      </w:pPr>
      <w:r w:rsidRPr="00DC1A5F">
        <w:rPr>
          <w:sz w:val="16"/>
          <w:szCs w:val="20"/>
        </w:rPr>
        <w:t>No existe otro escape que no sea el sendero.</w:t>
      </w:r>
    </w:p>
    <w:p w14:paraId="4721ED41" w14:textId="77777777" w:rsidR="00597DE2" w:rsidRPr="00DC1A5F" w:rsidRDefault="00597DE2" w:rsidP="00597DE2">
      <w:pPr>
        <w:pStyle w:val="VersoIngls01Sangria"/>
        <w:rPr>
          <w:sz w:val="16"/>
          <w:szCs w:val="20"/>
        </w:rPr>
      </w:pPr>
      <w:r w:rsidRPr="00DC1A5F">
        <w:rPr>
          <w:sz w:val="16"/>
          <w:szCs w:val="20"/>
        </w:rPr>
        <w:t>Ni error de que el sendero no sea el escape:</w:t>
      </w:r>
    </w:p>
    <w:p w14:paraId="7B97B6E5" w14:textId="77777777" w:rsidR="00597DE2" w:rsidRPr="00DC1A5F" w:rsidRDefault="00597DE2" w:rsidP="00597DE2">
      <w:pPr>
        <w:pStyle w:val="VersoIngls01Sangria"/>
        <w:rPr>
          <w:sz w:val="16"/>
          <w:szCs w:val="20"/>
        </w:rPr>
      </w:pPr>
      <w:r w:rsidRPr="00DC1A5F">
        <w:rPr>
          <w:sz w:val="16"/>
          <w:szCs w:val="20"/>
        </w:rPr>
        <w:t>Su estado como propiamente un escape</w:t>
      </w:r>
    </w:p>
    <w:p w14:paraId="065058B2" w14:textId="77777777" w:rsidR="00597DE2" w:rsidRPr="00DC1A5F" w:rsidRDefault="00597DE2" w:rsidP="00597DE2">
      <w:pPr>
        <w:pStyle w:val="VersoIngls01Sangria"/>
        <w:spacing w:after="100"/>
        <w:ind w:left="1418"/>
        <w:rPr>
          <w:sz w:val="16"/>
          <w:szCs w:val="20"/>
        </w:rPr>
      </w:pPr>
      <w:r w:rsidRPr="00DC1A5F">
        <w:rPr>
          <w:sz w:val="16"/>
          <w:szCs w:val="20"/>
        </w:rPr>
        <w:t>Lo ha hecho reconocible como verdad.</w:t>
      </w:r>
    </w:p>
    <w:p w14:paraId="53674E8C" w14:textId="77777777" w:rsidR="00597DE2" w:rsidRPr="00DC1A5F" w:rsidRDefault="00597DE2" w:rsidP="00597DE2">
      <w:pPr>
        <w:pStyle w:val="VersoIngls01Sangria"/>
        <w:rPr>
          <w:sz w:val="16"/>
          <w:szCs w:val="20"/>
        </w:rPr>
      </w:pPr>
      <w:r w:rsidRPr="00DC1A5F">
        <w:rPr>
          <w:sz w:val="16"/>
          <w:szCs w:val="20"/>
        </w:rPr>
        <w:t>Esta verdadera infalibilidad,</w:t>
      </w:r>
    </w:p>
    <w:p w14:paraId="3D3D3F4E" w14:textId="77777777" w:rsidR="00597DE2" w:rsidRPr="00DC1A5F" w:rsidRDefault="00597DE2" w:rsidP="00597DE2">
      <w:pPr>
        <w:pStyle w:val="VersoIngls01Sangria"/>
        <w:rPr>
          <w:sz w:val="16"/>
          <w:szCs w:val="20"/>
        </w:rPr>
      </w:pPr>
      <w:r w:rsidRPr="00DC1A5F">
        <w:rPr>
          <w:sz w:val="16"/>
          <w:szCs w:val="20"/>
        </w:rPr>
        <w:t>Que representa su verdadero núcleo esencial,</w:t>
      </w:r>
    </w:p>
    <w:p w14:paraId="71B26322" w14:textId="77777777" w:rsidR="00597DE2" w:rsidRPr="00DC1A5F" w:rsidRDefault="00597DE2" w:rsidP="00597DE2">
      <w:pPr>
        <w:pStyle w:val="VersoIngls01Sangria"/>
        <w:rPr>
          <w:sz w:val="16"/>
          <w:szCs w:val="20"/>
        </w:rPr>
      </w:pPr>
      <w:r w:rsidRPr="00DC1A5F">
        <w:rPr>
          <w:sz w:val="16"/>
          <w:szCs w:val="20"/>
        </w:rPr>
        <w:t>Es lo que los sabios declaran como el</w:t>
      </w:r>
    </w:p>
    <w:p w14:paraId="6391FA59" w14:textId="77777777" w:rsidR="00597DE2" w:rsidRPr="00DC1A5F" w:rsidRDefault="00597DE2" w:rsidP="00597DE2">
      <w:pPr>
        <w:pStyle w:val="VersoIngls01Sangria"/>
        <w:spacing w:after="100"/>
        <w:ind w:left="1418"/>
        <w:rPr>
          <w:sz w:val="16"/>
          <w:szCs w:val="20"/>
        </w:rPr>
      </w:pPr>
      <w:r w:rsidRPr="00DC1A5F">
        <w:rPr>
          <w:sz w:val="16"/>
          <w:szCs w:val="20"/>
        </w:rPr>
        <w:t>Significado de la verdad común a las cuatro nobles verdades.</w:t>
      </w:r>
    </w:p>
    <w:p w14:paraId="723E10DB" w14:textId="77777777" w:rsidR="00597DE2" w:rsidRPr="00DC1A5F" w:rsidRDefault="00597DE2" w:rsidP="00597DE2">
      <w:pPr>
        <w:pStyle w:val="NormalConSangria"/>
      </w:pPr>
      <w:r w:rsidRPr="00DC1A5F">
        <w:t xml:space="preserve">Así es como se deberá entender la exposición en cuanto al </w:t>
      </w:r>
      <w:r w:rsidRPr="00DC1A5F">
        <w:rPr>
          <w:i/>
          <w:iCs/>
        </w:rPr>
        <w:t>significado</w:t>
      </w:r>
      <w:r w:rsidRPr="00DC1A5F">
        <w:t>.</w:t>
      </w:r>
    </w:p>
    <w:p w14:paraId="52198A4F" w14:textId="77777777" w:rsidR="00597DE2" w:rsidRPr="00DC1A5F" w:rsidRDefault="00597DE2" w:rsidP="00597DE2">
      <w:pPr>
        <w:pStyle w:val="Textoindependiente"/>
      </w:pPr>
      <w:r w:rsidRPr="00DC1A5F">
        <w:t xml:space="preserve">26. </w:t>
      </w:r>
      <w:r w:rsidRPr="00DC1A5F">
        <w:tab/>
        <w:t>5. ¿</w:t>
      </w:r>
      <w:r w:rsidRPr="00DC1A5F">
        <w:rPr>
          <w:i/>
          <w:iCs/>
        </w:rPr>
        <w:t>cómo en cuanto al rastreo del significado</w:t>
      </w:r>
      <w:r w:rsidRPr="00DC1A5F">
        <w:t>? Esta palabra “verdad” (</w:t>
      </w:r>
      <w:r w:rsidRPr="00DC1A5F">
        <w:rPr>
          <w:i/>
          <w:iCs/>
        </w:rPr>
        <w:t>sacca</w:t>
      </w:r>
      <w:r w:rsidRPr="00DC1A5F">
        <w:t xml:space="preserve">) se encuentra en varios significados. En pasajes como “Déjelo decir la verdad y no esté enojado” (DHP 224) el término corresponde a la verdad verbal. En pasajes como “ascetas y </w:t>
      </w:r>
      <w:r w:rsidRPr="00DC1A5F">
        <w:rPr>
          <w:i/>
          <w:iCs/>
        </w:rPr>
        <w:t>brahmanes</w:t>
      </w:r>
      <w:r w:rsidRPr="00DC1A5F">
        <w:t xml:space="preserve"> se basan en la verdad” (?) Corresponderá a la verdad de la abstinencia de decir mentiras. En pasajes como [497] “¿Por qué declaran diversas verdades los conversadores inteligentes que se encuentran?” (SN 885) Corresponde a la verdad como una visión. Y en pasajes como “la verdad es una, no pueden </w:t>
      </w:r>
      <w:r w:rsidRPr="00DC1A5F">
        <w:br w:type="page"/>
      </w:r>
    </w:p>
    <w:p w14:paraId="38DBD024" w14:textId="77777777" w:rsidR="00597DE2" w:rsidRPr="00DC1A5F" w:rsidRDefault="00597DE2" w:rsidP="00597DE2">
      <w:pPr>
        <w:pStyle w:val="Textoindependiente"/>
      </w:pPr>
      <w:r w:rsidRPr="00DC1A5F">
        <w:lastRenderedPageBreak/>
        <w:t xml:space="preserve">existir dos verdades” (Sn 884) corresponde a la verdad en el sentido último, tanto para el </w:t>
      </w:r>
      <w:r w:rsidRPr="00DC1A5F">
        <w:rPr>
          <w:i/>
          <w:iCs/>
        </w:rPr>
        <w:t>Nibbāna</w:t>
      </w:r>
      <w:r w:rsidRPr="00DC1A5F">
        <w:t xml:space="preserve"> como para el sendero. En pasajes como “de las cuatro verdades, ¿cuántas son productivas?” (</w:t>
      </w:r>
      <w:proofErr w:type="spellStart"/>
      <w:r w:rsidRPr="00DC1A5F">
        <w:t>Vibh</w:t>
      </w:r>
      <w:proofErr w:type="spellEnd"/>
      <w:r w:rsidRPr="00DC1A5F">
        <w:t xml:space="preserve"> 112; </w:t>
      </w:r>
      <w:proofErr w:type="spellStart"/>
      <w:r w:rsidRPr="00DC1A5F">
        <w:rPr>
          <w:i/>
          <w:iCs/>
        </w:rPr>
        <w:t>Paṭis</w:t>
      </w:r>
      <w:proofErr w:type="spellEnd"/>
      <w:r w:rsidRPr="00DC1A5F">
        <w:t xml:space="preserve"> II 108) corresponderá a una noble verdad. Y aquí también será apropiado como noble verdad.</w:t>
      </w:r>
    </w:p>
    <w:p w14:paraId="63CCCDF1" w14:textId="77777777" w:rsidR="00597DE2" w:rsidRPr="00DC1A5F" w:rsidRDefault="00597DE2" w:rsidP="00597DE2">
      <w:pPr>
        <w:pStyle w:val="NormalConSangria"/>
      </w:pPr>
      <w:r w:rsidRPr="00DC1A5F">
        <w:t>Así es cómo se debe entender la exposición en cuanto al rastreo del significado.</w:t>
      </w:r>
    </w:p>
    <w:p w14:paraId="430580B9" w14:textId="77777777" w:rsidR="00597DE2" w:rsidRPr="00DC1A5F" w:rsidRDefault="00597DE2" w:rsidP="00597DE2">
      <w:r w:rsidRPr="00DC1A5F">
        <w:t xml:space="preserve">27. </w:t>
      </w:r>
      <w:r w:rsidRPr="00DC1A5F">
        <w:tab/>
      </w:r>
      <w:r w:rsidRPr="00DC1A5F">
        <w:rPr>
          <w:i/>
          <w:iCs/>
        </w:rPr>
        <w:t>6</w:t>
      </w:r>
      <w:r w:rsidRPr="00DC1A5F">
        <w:t xml:space="preserve">. </w:t>
      </w:r>
      <w:r w:rsidRPr="00DC1A5F">
        <w:rPr>
          <w:i/>
          <w:iCs/>
        </w:rPr>
        <w:t>En cuanto a ni más ni menos</w:t>
      </w:r>
      <w:r w:rsidRPr="00DC1A5F">
        <w:t xml:space="preserve">: pero ¿por qué se expresan exactamente </w:t>
      </w:r>
      <w:r w:rsidRPr="00DC1A5F">
        <w:rPr>
          <w:i/>
          <w:iCs/>
          <w:color w:val="833C0B" w:themeColor="accent2" w:themeShade="80"/>
        </w:rPr>
        <w:t>la verdad</w:t>
      </w:r>
      <w:r w:rsidRPr="00DC1A5F">
        <w:rPr>
          <w:color w:val="833C0B" w:themeColor="accent2" w:themeShade="80"/>
        </w:rPr>
        <w:t xml:space="preserve"> </w:t>
      </w:r>
      <w:r w:rsidRPr="00DC1A5F">
        <w:t>como cuatro nobles verdades, ni más ni menos? Porque no existen otras y porque ninguna podría ser eliminada. Porque no existe ninguna verdad extra a ellas, ni se podría eliminar ninguna de ellas, según lo afirmado al respecto: “</w:t>
      </w:r>
      <w:proofErr w:type="spellStart"/>
      <w:r w:rsidRPr="00DC1A5F">
        <w:rPr>
          <w:i/>
        </w:rPr>
        <w:t>Bhikkhu</w:t>
      </w:r>
      <w:r w:rsidRPr="00DC1A5F">
        <w:t>s</w:t>
      </w:r>
      <w:proofErr w:type="spellEnd"/>
      <w:r w:rsidRPr="00DC1A5F">
        <w:t xml:space="preserve">, que un asceta o </w:t>
      </w:r>
      <w:r w:rsidRPr="00DC1A5F">
        <w:rPr>
          <w:i/>
          <w:iCs/>
        </w:rPr>
        <w:t>Brahman</w:t>
      </w:r>
      <w:r w:rsidRPr="00DC1A5F">
        <w:t xml:space="preserve"> aquí deba venir y decir: ‘Esta no es la verdad del sufrimiento, la verdad del sufrimiento es otra’; ‘Dejaré de lado esta verdad sobre el sufrimiento y daré a conocer otra verdad sobre el sufrimiento’, eso es imposible” (?) Y así sucesivamente, según lo afirmado al respecto: “</w:t>
      </w:r>
      <w:proofErr w:type="spellStart"/>
      <w:r w:rsidRPr="00DC1A5F">
        <w:rPr>
          <w:i/>
        </w:rPr>
        <w:t>Bhikkhu</w:t>
      </w:r>
      <w:r w:rsidRPr="00DC1A5F">
        <w:t>s</w:t>
      </w:r>
      <w:proofErr w:type="spellEnd"/>
      <w:r w:rsidRPr="00DC1A5F">
        <w:t xml:space="preserve">, si cualquier </w:t>
      </w:r>
      <w:r w:rsidRPr="00DC1A5F">
        <w:rPr>
          <w:i/>
          <w:iCs/>
        </w:rPr>
        <w:t>asceta</w:t>
      </w:r>
      <w:r w:rsidRPr="00DC1A5F">
        <w:t xml:space="preserve"> o </w:t>
      </w:r>
      <w:proofErr w:type="spellStart"/>
      <w:r w:rsidRPr="00DC1A5F">
        <w:rPr>
          <w:i/>
          <w:iCs/>
        </w:rPr>
        <w:t>brahman</w:t>
      </w:r>
      <w:proofErr w:type="spellEnd"/>
      <w:r w:rsidRPr="00DC1A5F">
        <w:t xml:space="preserve"> dijese: ‘Ésta no es la primera noble verdad del sufrimiento que expone el asceta Gotama; rechazando esta primera noble verdad del sufrimiento, daré a conocer otra primera noble verdad del sufrimiento’, eso es imposible” (S v 428) etc.</w:t>
      </w:r>
    </w:p>
    <w:p w14:paraId="452821CF" w14:textId="77777777" w:rsidR="00597DE2" w:rsidRPr="00DC1A5F" w:rsidRDefault="00597DE2" w:rsidP="00597DE2">
      <w:r w:rsidRPr="00DC1A5F">
        <w:t xml:space="preserve">28. </w:t>
      </w:r>
      <w:r w:rsidRPr="00DC1A5F">
        <w:tab/>
        <w:t xml:space="preserve">Además, al enunciar la ocurrencia, es decir, el proceso de la existencia, el </w:t>
      </w:r>
      <w:r w:rsidRPr="00DC1A5F">
        <w:rPr>
          <w:i/>
          <w:iCs/>
        </w:rPr>
        <w:t>Bhagavā</w:t>
      </w:r>
      <w:r w:rsidRPr="00DC1A5F">
        <w:t xml:space="preserve"> lo enunció con una causa y para que la no–ocurrencia exista enunció un medio. Por lo tanto, se declararon cuatro verdades como máximo, como ocurrencia y no–ocurrencia, así también la causa de cada una. Del mismo modo, se declararon como cuatro ya que tienen que ser respectivamente entendidas, abandonadas, consumadas y desarrolladas; y también, debido a que corresponden a la base del deseo, al deseo, a la cesación del deseo y a los medios para la cesación del deseo; y también, debido a que corresponden a la dependencia [dependiente de], al aplacer de la dependencia, la eliminación de tal dependencia y los medios para la eliminación de tal dependencia, respectivamente.</w:t>
      </w:r>
    </w:p>
    <w:p w14:paraId="2FA5CB8E" w14:textId="77777777" w:rsidR="00597DE2" w:rsidRPr="00DC1A5F" w:rsidRDefault="00597DE2" w:rsidP="00597DE2">
      <w:pPr>
        <w:pStyle w:val="NormalConSangria"/>
      </w:pPr>
      <w:r w:rsidRPr="00DC1A5F">
        <w:t xml:space="preserve">Así es cómo la exposición deberá entenderse en cuanto a </w:t>
      </w:r>
      <w:r w:rsidRPr="00DC1A5F">
        <w:rPr>
          <w:i/>
          <w:iCs/>
        </w:rPr>
        <w:t>ni más ni menos</w:t>
      </w:r>
      <w:r w:rsidRPr="00DC1A5F">
        <w:t>.</w:t>
      </w:r>
    </w:p>
    <w:p w14:paraId="067ED9C3" w14:textId="77777777" w:rsidR="00597DE2" w:rsidRPr="00DC1A5F" w:rsidRDefault="00597DE2" w:rsidP="00597DE2">
      <w:r w:rsidRPr="00DC1A5F">
        <w:t xml:space="preserve">29. </w:t>
      </w:r>
      <w:r w:rsidRPr="00DC1A5F">
        <w:tab/>
      </w:r>
      <w:r w:rsidRPr="00DC1A5F">
        <w:rPr>
          <w:i/>
          <w:iCs/>
        </w:rPr>
        <w:t>7</w:t>
      </w:r>
      <w:r w:rsidRPr="00DC1A5F">
        <w:t xml:space="preserve">. </w:t>
      </w:r>
      <w:r w:rsidRPr="00DC1A5F">
        <w:rPr>
          <w:i/>
          <w:iCs/>
        </w:rPr>
        <w:t>En cuanto al orden</w:t>
      </w:r>
      <w:r w:rsidRPr="00DC1A5F">
        <w:t xml:space="preserve">, éste también corresponderá sólo al orden de la enseñanza (ver Cap. XIV. §211). La verdad del sufrimiento se expone primero, ya que es fácil de entender debido a su densidad y porque es común a todos los seres vivos. La verdad del origen se imparte a continuación para exponer su causa. Entonces se da la verdad de la cesación, para exponer que con la cesación de la causa se manifiesta la cesación de sus frutos. La verdad del sendero se imparte al final para exponer los medios para lograr tal cesación </w:t>
      </w:r>
      <w:r w:rsidRPr="00DC1A5F">
        <w:rPr>
          <w:color w:val="833C0B" w:themeColor="accent2" w:themeShade="80"/>
        </w:rPr>
        <w:t>definitivamente</w:t>
      </w:r>
      <w:r w:rsidRPr="00DC1A5F">
        <w:t>. [498]</w:t>
      </w:r>
    </w:p>
    <w:p w14:paraId="4B74B2C7" w14:textId="77777777" w:rsidR="00597DE2" w:rsidRPr="00DC1A5F" w:rsidRDefault="00597DE2" w:rsidP="00597DE2">
      <w:r w:rsidRPr="00DC1A5F">
        <w:t>30.</w:t>
      </w:r>
      <w:r w:rsidRPr="00DC1A5F">
        <w:tab/>
        <w:t xml:space="preserve">O alternativamente, él anunció la verdad del sufrimiento primero para inculcar un sentido de urgencia en los seres vivos atrapados en disfrutar del placer del devenir; y a continuación, la verdad del origen para exponer que el sufrimiento no proviene ni de sí mismo ni como algo producido por la creación de un Señor Supremo, etc. (ver §85), sino y por el contrario, que  se debe a esta causa; Después de ello, la cesación, para inculcar confort exponiendo el escape a aquellos que procuren un escape del sufrimiento con un sentido de urgencia por lo abrumador de sufrir debido a su causa. Finalmente, el sendero que conduce a la cesación, para permitirles consumar tal cesación. Así es cómo la exposición deberá entenderse aquí </w:t>
      </w:r>
      <w:r w:rsidRPr="00DC1A5F">
        <w:rPr>
          <w:i/>
          <w:iCs/>
        </w:rPr>
        <w:t>en cuanto al orden</w:t>
      </w:r>
      <w:r w:rsidRPr="00DC1A5F">
        <w:t>.</w:t>
      </w:r>
    </w:p>
    <w:p w14:paraId="56FB6B30" w14:textId="77777777" w:rsidR="00597DE2" w:rsidRPr="00DC1A5F" w:rsidRDefault="00597DE2" w:rsidP="00597DE2">
      <w:r w:rsidRPr="00DC1A5F">
        <w:t xml:space="preserve">31. </w:t>
      </w:r>
      <w:r w:rsidRPr="00DC1A5F">
        <w:tab/>
      </w:r>
      <w:r w:rsidRPr="00DC1A5F">
        <w:rPr>
          <w:i/>
          <w:iCs/>
        </w:rPr>
        <w:t>8.</w:t>
      </w:r>
      <w:r w:rsidRPr="00DC1A5F">
        <w:t xml:space="preserve"> </w:t>
      </w:r>
      <w:r w:rsidRPr="00DC1A5F">
        <w:rPr>
          <w:i/>
          <w:iCs/>
        </w:rPr>
        <w:t>En cuanto a la exposición del nacimiento</w:t>
      </w:r>
      <w:r w:rsidRPr="00DC1A5F">
        <w:t xml:space="preserve">, </w:t>
      </w:r>
      <w:r w:rsidRPr="00DC1A5F">
        <w:rPr>
          <w:i/>
          <w:iCs/>
        </w:rPr>
        <w:t>etc</w:t>
      </w:r>
      <w:r w:rsidRPr="00DC1A5F">
        <w:t xml:space="preserve">.: La exposición deberá entenderse aquí de acuerdo con las exposiciones de las cosas que comienzan con el nacimiento expuestas por el </w:t>
      </w:r>
      <w:r w:rsidRPr="00DC1A5F">
        <w:rPr>
          <w:i/>
          <w:iCs/>
        </w:rPr>
        <w:t>Bhagavā</w:t>
      </w:r>
      <w:r w:rsidRPr="00DC1A5F">
        <w:t xml:space="preserve"> al describir las cuatro Nobles Verdades, es decir, (i) las doce cosas sobre la descripción del </w:t>
      </w:r>
    </w:p>
    <w:p w14:paraId="064BE3B0" w14:textId="77777777" w:rsidR="00597DE2" w:rsidRPr="00DC1A5F" w:rsidRDefault="00597DE2" w:rsidP="00597DE2">
      <w:pPr>
        <w:tabs>
          <w:tab w:val="clear" w:pos="425"/>
        </w:tabs>
        <w:spacing w:after="160"/>
      </w:pPr>
      <w:r w:rsidRPr="00DC1A5F">
        <w:br w:type="page"/>
      </w:r>
    </w:p>
    <w:p w14:paraId="286A82D9" w14:textId="77777777" w:rsidR="00597DE2" w:rsidRPr="00DC1A5F" w:rsidRDefault="00597DE2" w:rsidP="00597DE2"/>
    <w:p w14:paraId="192A833F" w14:textId="77777777" w:rsidR="00597DE2" w:rsidRPr="00DC1A5F" w:rsidRDefault="00597DE2" w:rsidP="00597DE2">
      <w:pPr>
        <w:pStyle w:val="Textoindependiente"/>
      </w:pPr>
      <w:r w:rsidRPr="00DC1A5F">
        <w:t>sufrimiento: “El nacimiento es sufrimiento, la vejez es sufrimiento,</w:t>
      </w:r>
      <w:r w:rsidRPr="00DC1A5F">
        <w:rPr>
          <w:vertAlign w:val="superscript"/>
        </w:rPr>
        <w:t>7</w:t>
      </w:r>
      <w:r w:rsidRPr="00DC1A5F">
        <w:t xml:space="preserve"> la muerte es sufrimiento, la aflicción, la lamentación, el dolor, la angustia y la desesperación es sufrimiento; la asociación con lo indeseable es sufrimiento, la separación de lo apreciado es sufrimiento, no obtener lo que uno desee es sufrimiento, en resumen, los cinco agregados, como objetos del apego, son sufrimiento”(</w:t>
      </w:r>
      <w:proofErr w:type="spellStart"/>
      <w:r w:rsidRPr="00DC1A5F">
        <w:t>Vibh</w:t>
      </w:r>
      <w:proofErr w:type="spellEnd"/>
      <w:r w:rsidRPr="00DC1A5F">
        <w:t xml:space="preserve"> 99); y (</w:t>
      </w:r>
      <w:proofErr w:type="spellStart"/>
      <w:r w:rsidRPr="00DC1A5F">
        <w:t>ii</w:t>
      </w:r>
      <w:proofErr w:type="spellEnd"/>
      <w:r w:rsidRPr="00DC1A5F">
        <w:t>) el triple deseo en la descripción del origen: “Ese deseo que produce mayor devenir, acompañado de placer y codicia, complaciéndose en esto y aquello, es decir, deseando deseos sensoriales, deseando el devenir, deseando el no–devenir ”(</w:t>
      </w:r>
      <w:proofErr w:type="spellStart"/>
      <w:r w:rsidRPr="00DC1A5F">
        <w:t>Vibh</w:t>
      </w:r>
      <w:proofErr w:type="spellEnd"/>
      <w:r w:rsidRPr="00DC1A5F">
        <w:t xml:space="preserve"> 101); y (</w:t>
      </w:r>
      <w:proofErr w:type="spellStart"/>
      <w:r w:rsidRPr="00DC1A5F">
        <w:t>iii</w:t>
      </w:r>
      <w:proofErr w:type="spellEnd"/>
      <w:r w:rsidRPr="00DC1A5F">
        <w:t xml:space="preserve">) el </w:t>
      </w:r>
      <w:r w:rsidRPr="00DC1A5F">
        <w:rPr>
          <w:i/>
          <w:iCs/>
        </w:rPr>
        <w:t>Nibbāna</w:t>
      </w:r>
      <w:r w:rsidRPr="00DC1A5F">
        <w:t>, que tiene un solo significado en la descripción de la cesación: “Aquello que sea el desvanecimiento y la cesación de ese mismo deseo, su renunciación, el renunciar a él, dejarlo ir, no confiar en él” ( VIBH 103); y (</w:t>
      </w:r>
      <w:proofErr w:type="spellStart"/>
      <w:r w:rsidRPr="00DC1A5F">
        <w:t>iv</w:t>
      </w:r>
      <w:proofErr w:type="spellEnd"/>
      <w:r w:rsidRPr="00DC1A5F">
        <w:t>) las ocho cosas correspondiente a la descripción del sendero: “¿cuál es la noble verdad del sendero que conduce hacia la cesación del sufrimiento? Es este Óctuple Noble Sendero, es decir, visión correcta, pensamiento correcto, lenguaje correcto, acción correcta, sustento correcto, esfuerzo correcto, atención plena correcta, concentración correcta” (</w:t>
      </w:r>
      <w:proofErr w:type="spellStart"/>
      <w:r w:rsidRPr="00DC1A5F">
        <w:t>Vibh</w:t>
      </w:r>
      <w:proofErr w:type="spellEnd"/>
      <w:r w:rsidRPr="00DC1A5F">
        <w:t>. 104).</w:t>
      </w:r>
    </w:p>
    <w:p w14:paraId="0EF9B526" w14:textId="77777777" w:rsidR="00597DE2" w:rsidRPr="00DC1A5F" w:rsidRDefault="00597DE2" w:rsidP="00D9414B">
      <w:pPr>
        <w:pStyle w:val="Ttulo3"/>
      </w:pPr>
      <w:r w:rsidRPr="00DC1A5F">
        <w:t>[La Verdad del Sufrimiento]</w:t>
      </w:r>
    </w:p>
    <w:p w14:paraId="1CA71B32" w14:textId="77777777" w:rsidR="00597DE2" w:rsidRPr="00DC1A5F" w:rsidRDefault="00597DE2" w:rsidP="00D9414B">
      <w:pPr>
        <w:pStyle w:val="Ttulo4"/>
      </w:pPr>
      <w:r w:rsidRPr="00DC1A5F">
        <w:t>[(I) Nacimiento]</w:t>
      </w:r>
    </w:p>
    <w:p w14:paraId="51CAFCF8" w14:textId="77777777" w:rsidR="00597DE2" w:rsidRPr="00DC1A5F" w:rsidRDefault="00597DE2" w:rsidP="00597DE2">
      <w:r w:rsidRPr="00DC1A5F">
        <w:t xml:space="preserve">32. </w:t>
      </w:r>
      <w:r w:rsidRPr="00DC1A5F">
        <w:tab/>
        <w:t>Ahora bien, esta palabra nacimiento (</w:t>
      </w:r>
      <w:proofErr w:type="spellStart"/>
      <w:r w:rsidRPr="00DC1A5F">
        <w:rPr>
          <w:i/>
          <w:iCs/>
        </w:rPr>
        <w:t>jāti</w:t>
      </w:r>
      <w:proofErr w:type="spellEnd"/>
      <w:r w:rsidRPr="00DC1A5F">
        <w:t>) tiene muchos significados. Ya que en el pasaje “Él recuerda... un nacimiento (</w:t>
      </w:r>
      <w:proofErr w:type="spellStart"/>
      <w:r w:rsidRPr="00DC1A5F">
        <w:rPr>
          <w:i/>
          <w:iCs/>
        </w:rPr>
        <w:t>jāti</w:t>
      </w:r>
      <w:proofErr w:type="spellEnd"/>
      <w:r w:rsidRPr="00DC1A5F">
        <w:t>), dos nacimientos” (d I 81) se refiere al devenir. En el pasaje, “Visākhā, hay un tipo (</w:t>
      </w:r>
      <w:proofErr w:type="spellStart"/>
      <w:r w:rsidRPr="00DC1A5F">
        <w:rPr>
          <w:i/>
          <w:iCs/>
        </w:rPr>
        <w:t>jāti</w:t>
      </w:r>
      <w:proofErr w:type="spellEnd"/>
      <w:r w:rsidRPr="00DC1A5F">
        <w:t xml:space="preserve">) de asceta llamado </w:t>
      </w:r>
      <w:proofErr w:type="spellStart"/>
      <w:r w:rsidRPr="00DC1A5F">
        <w:rPr>
          <w:i/>
          <w:iCs/>
        </w:rPr>
        <w:t>nigaṇṭha</w:t>
      </w:r>
      <w:proofErr w:type="spellEnd"/>
      <w:r w:rsidRPr="00DC1A5F">
        <w:t xml:space="preserve"> (</w:t>
      </w:r>
      <w:r w:rsidRPr="00DC1A5F">
        <w:rPr>
          <w:i/>
          <w:iCs/>
        </w:rPr>
        <w:t>jaina</w:t>
      </w:r>
      <w:r w:rsidRPr="00DC1A5F">
        <w:t>)” (A i 206) ser fiere a una orden monástica. En el pasaje, “el nacimiento (</w:t>
      </w:r>
      <w:proofErr w:type="spellStart"/>
      <w:r w:rsidRPr="00DC1A5F">
        <w:rPr>
          <w:i/>
          <w:iCs/>
        </w:rPr>
        <w:t>jāti</w:t>
      </w:r>
      <w:proofErr w:type="spellEnd"/>
      <w:r w:rsidRPr="00DC1A5F">
        <w:t>) se incluye en dos agregados” (</w:t>
      </w:r>
      <w:proofErr w:type="spellStart"/>
      <w:r w:rsidRPr="00DC1A5F">
        <w:rPr>
          <w:i/>
          <w:iCs/>
        </w:rPr>
        <w:t>Dhātuk</w:t>
      </w:r>
      <w:proofErr w:type="spellEnd"/>
      <w:r w:rsidRPr="00DC1A5F">
        <w:t xml:space="preserve"> 15) corresponderá a la característica de lo que se forme. En el pasaje, “su nacimiento se debe al surgimiento de la primera consciencia, la primera cognición manifiesta, en el útero de la madre” (</w:t>
      </w:r>
      <w:proofErr w:type="spellStart"/>
      <w:r w:rsidRPr="00DC1A5F">
        <w:t>Vin</w:t>
      </w:r>
      <w:proofErr w:type="spellEnd"/>
      <w:r w:rsidRPr="00DC1A5F">
        <w:t xml:space="preserve"> I 93) se refiere al vínculo–de–renacimiento. [499] En el pasaje “Tan pronto como nació (</w:t>
      </w:r>
      <w:proofErr w:type="spellStart"/>
      <w:r w:rsidRPr="00DC1A5F">
        <w:rPr>
          <w:i/>
          <w:iCs/>
        </w:rPr>
        <w:t>Sampatijāta</w:t>
      </w:r>
      <w:proofErr w:type="spellEnd"/>
      <w:r w:rsidRPr="00DC1A5F">
        <w:t xml:space="preserve">), </w:t>
      </w:r>
      <w:r w:rsidRPr="00DC1A5F">
        <w:rPr>
          <w:i/>
          <w:iCs/>
        </w:rPr>
        <w:t>Ānanda</w:t>
      </w:r>
      <w:r w:rsidRPr="00DC1A5F">
        <w:t xml:space="preserve">, el </w:t>
      </w:r>
      <w:r w:rsidRPr="00DC1A5F">
        <w:rPr>
          <w:i/>
        </w:rPr>
        <w:t>Bodhisatta</w:t>
      </w:r>
      <w:r w:rsidRPr="00DC1A5F">
        <w:t xml:space="preserve"> ...” (M III 123) se refiere al parto. En el pasaje “alguien que no sea rechazado y despreciado debido a su nacimiento” (A III 152) se refiere al clan. En el pasaje “Hermana, desde que nació en el noble nacimiento” (M II 103) se refiere a la virtud del Noble.</w:t>
      </w:r>
    </w:p>
    <w:p w14:paraId="73578B96" w14:textId="77777777" w:rsidR="00597DE2" w:rsidRPr="00DC1A5F" w:rsidRDefault="00597DE2" w:rsidP="00597DE2">
      <w:r w:rsidRPr="00DC1A5F">
        <w:t xml:space="preserve">33. </w:t>
      </w:r>
      <w:r w:rsidRPr="00DC1A5F">
        <w:tab/>
        <w:t>Aquí el nacimiento deberá considerarse como los agregados que ocurran desde el momento del nacimiento de la salida del útero de la madre, en el caso de la matriz, y solo como los agregados del vínculo–de–renacimiento en los casos restantes. No obstante, éste corresponderá solo a un tratamiento indirecto. En el sentido directo, sin embargo, lo que se denomine “nacimiento” corresponderá a la primera manifestación de cualquier agregado que se manifieste en los seres vivos cuando nazcan en cualquier lugar.</w:t>
      </w:r>
    </w:p>
    <w:p w14:paraId="0092DD00" w14:textId="77777777" w:rsidR="00597DE2" w:rsidRPr="00DC1A5F" w:rsidRDefault="00597DE2" w:rsidP="00597DE2">
      <w:r w:rsidRPr="00DC1A5F">
        <w:t xml:space="preserve">34. </w:t>
      </w:r>
      <w:r w:rsidRPr="00DC1A5F">
        <w:tab/>
        <w:t xml:space="preserve">Su </w:t>
      </w:r>
      <w:r w:rsidRPr="00DC1A5F">
        <w:rPr>
          <w:i/>
          <w:iCs/>
        </w:rPr>
        <w:t>característica</w:t>
      </w:r>
      <w:r w:rsidRPr="00DC1A5F">
        <w:t xml:space="preserve"> será la primera génesis en cualquier esfera del devenir. Su </w:t>
      </w:r>
      <w:r w:rsidRPr="00DC1A5F">
        <w:rPr>
          <w:i/>
          <w:iCs/>
        </w:rPr>
        <w:t>función</w:t>
      </w:r>
      <w:r w:rsidRPr="00DC1A5F">
        <w:t xml:space="preserve"> consistirá en consignarse a una esfera del devenir. Se </w:t>
      </w:r>
      <w:r w:rsidRPr="00DC1A5F">
        <w:rPr>
          <w:i/>
          <w:iCs/>
        </w:rPr>
        <w:t>manifiesta</w:t>
      </w:r>
      <w:r w:rsidRPr="00DC1A5F">
        <w:t xml:space="preserve"> aquí como un brote a partir de un devenir pasado; o se </w:t>
      </w:r>
      <w:r w:rsidRPr="00DC1A5F">
        <w:rPr>
          <w:i/>
          <w:iCs/>
        </w:rPr>
        <w:t>manifiesta</w:t>
      </w:r>
      <w:r w:rsidRPr="00DC1A5F">
        <w:t xml:space="preserve"> como una variedad del sufrimiento.</w:t>
      </w:r>
    </w:p>
    <w:p w14:paraId="1D3504D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6089783" w14:textId="77777777" w:rsidR="00597DE2" w:rsidRPr="00DC1A5F" w:rsidRDefault="00597DE2" w:rsidP="00597DE2">
      <w:pPr>
        <w:pStyle w:val="PiedepginaLegal"/>
        <w:numPr>
          <w:ilvl w:val="0"/>
          <w:numId w:val="5"/>
        </w:numPr>
        <w:tabs>
          <w:tab w:val="clear" w:pos="425"/>
        </w:tabs>
        <w:ind w:left="284" w:hanging="284"/>
      </w:pPr>
      <w:r w:rsidRPr="00DC1A5F">
        <w:t xml:space="preserve">“La enfermedad no se incluye aquí (como en D II 305, por ejemplo) porque no se refiere a ninguna persona en particular y existen personas en las que la enfermedad no surge en absoluto, como el Venerable </w:t>
      </w:r>
      <w:proofErr w:type="spellStart"/>
      <w:r w:rsidRPr="00DC1A5F">
        <w:t>Bakkula</w:t>
      </w:r>
      <w:proofErr w:type="spellEnd"/>
      <w:r w:rsidRPr="00DC1A5F">
        <w:t xml:space="preserve"> (MN 124); de lo contrario, se podría adoptar como ya incluido en el sufrimiento; Ya que en el sentido último, la enfermedad corresponderá al dolor corporal condicionado por la alteración de los </w:t>
      </w:r>
      <w:proofErr w:type="gramStart"/>
      <w:r w:rsidRPr="00DC1A5F">
        <w:t>elementos”(</w:t>
      </w:r>
      <w:proofErr w:type="spellStart"/>
      <w:proofErr w:type="gramEnd"/>
      <w:r w:rsidRPr="00DC1A5F">
        <w:t>Vism</w:t>
      </w:r>
      <w:proofErr w:type="spellEnd"/>
      <w:r w:rsidRPr="00DC1A5F">
        <w:t>–</w:t>
      </w:r>
      <w:proofErr w:type="spellStart"/>
      <w:r w:rsidRPr="00DC1A5F">
        <w:t>Mhṭ</w:t>
      </w:r>
      <w:proofErr w:type="spellEnd"/>
      <w:r w:rsidRPr="00DC1A5F">
        <w:t xml:space="preserve"> 527).</w:t>
      </w:r>
    </w:p>
    <w:p w14:paraId="62A939EB" w14:textId="77777777" w:rsidR="00597DE2" w:rsidRPr="00DC1A5F" w:rsidRDefault="00597DE2" w:rsidP="00597DE2">
      <w:pPr>
        <w:tabs>
          <w:tab w:val="clear" w:pos="425"/>
        </w:tabs>
        <w:spacing w:after="160"/>
      </w:pPr>
      <w:r w:rsidRPr="00DC1A5F">
        <w:br w:type="page"/>
      </w:r>
    </w:p>
    <w:p w14:paraId="111FCCD8" w14:textId="77777777" w:rsidR="00597DE2" w:rsidRPr="00DC1A5F" w:rsidRDefault="00597DE2" w:rsidP="00597DE2">
      <w:r w:rsidRPr="00DC1A5F">
        <w:lastRenderedPageBreak/>
        <w:br/>
      </w:r>
    </w:p>
    <w:p w14:paraId="0C023BCF" w14:textId="77777777" w:rsidR="00597DE2" w:rsidRPr="00DC1A5F" w:rsidRDefault="00597DE2" w:rsidP="00597DE2">
      <w:pPr>
        <w:pStyle w:val="NormalConSangria"/>
      </w:pPr>
      <w:r w:rsidRPr="00DC1A5F">
        <w:t>No obstante, ¿por qué es sufrimiento? Porque representa la base de muchos tipos de sufrimiento.</w:t>
      </w:r>
      <w:r w:rsidRPr="00DC1A5F">
        <w:rPr>
          <w:vertAlign w:val="superscript"/>
        </w:rPr>
        <w:t>8</w:t>
      </w:r>
      <w:r w:rsidRPr="00DC1A5F">
        <w:t xml:space="preserve"> Ya que existen muchos tipos de sufrimiento, es decir, el sufrimiento intrínseco (</w:t>
      </w:r>
      <w:r w:rsidRPr="00DC1A5F">
        <w:rPr>
          <w:i/>
        </w:rPr>
        <w:t>dukkha–dukkha</w:t>
      </w:r>
      <w:r w:rsidRPr="00DC1A5F">
        <w:t>),</w:t>
      </w:r>
      <w:r w:rsidRPr="00DC1A5F">
        <w:rPr>
          <w:vertAlign w:val="superscript"/>
        </w:rPr>
        <w:t>9</w:t>
      </w:r>
      <w:r w:rsidRPr="00DC1A5F">
        <w:t xml:space="preserve"> el sufrimiento debido al cambio (</w:t>
      </w:r>
      <w:proofErr w:type="spellStart"/>
      <w:r w:rsidRPr="00DC1A5F">
        <w:rPr>
          <w:i/>
          <w:iCs/>
        </w:rPr>
        <w:t>vipariṇāma</w:t>
      </w:r>
      <w:proofErr w:type="spellEnd"/>
      <w:r w:rsidRPr="00DC1A5F">
        <w:t>–</w:t>
      </w:r>
      <w:r w:rsidRPr="00DC1A5F">
        <w:rPr>
          <w:i/>
        </w:rPr>
        <w:t>dukkha</w:t>
      </w:r>
      <w:r w:rsidRPr="00DC1A5F">
        <w:t>) y el sufrimiento debido a las formaciones (</w:t>
      </w:r>
      <w:proofErr w:type="spellStart"/>
      <w:r w:rsidRPr="00DC1A5F">
        <w:rPr>
          <w:i/>
          <w:iCs/>
        </w:rPr>
        <w:t>saṅkhāra</w:t>
      </w:r>
      <w:proofErr w:type="spellEnd"/>
      <w:r w:rsidRPr="00DC1A5F">
        <w:t>–</w:t>
      </w:r>
      <w:r w:rsidRPr="00DC1A5F">
        <w:rPr>
          <w:i/>
        </w:rPr>
        <w:t>dukkha</w:t>
      </w:r>
      <w:r w:rsidRPr="00DC1A5F">
        <w:t>); y luego el sufrimiento subyacente, el sufrimiento expuesto, el sufrimiento indirecto y el sufrimiento directo.</w:t>
      </w:r>
    </w:p>
    <w:p w14:paraId="4CBD36A9" w14:textId="77777777" w:rsidR="00597DE2" w:rsidRPr="00DC1A5F" w:rsidRDefault="00597DE2" w:rsidP="00597DE2">
      <w:r w:rsidRPr="00DC1A5F">
        <w:t xml:space="preserve">35. </w:t>
      </w:r>
      <w:r w:rsidRPr="00DC1A5F">
        <w:tab/>
        <w:t xml:space="preserve">Aquí, a la sensación corporal, mental y dolorosa se le denominará </w:t>
      </w:r>
      <w:r w:rsidRPr="00DC1A5F">
        <w:rPr>
          <w:i/>
          <w:iCs/>
        </w:rPr>
        <w:t>sufrimiento intrínseco</w:t>
      </w:r>
      <w:r w:rsidRPr="00DC1A5F">
        <w:t xml:space="preserve"> debido a su esencia individual, a su nombre y a su insatisfactoriedad. A las sensaciones agradables corporales y mentales se </w:t>
      </w:r>
      <w:proofErr w:type="gramStart"/>
      <w:r w:rsidRPr="00DC1A5F">
        <w:t>les</w:t>
      </w:r>
      <w:proofErr w:type="gramEnd"/>
      <w:r w:rsidRPr="00DC1A5F">
        <w:t xml:space="preserve"> denominará </w:t>
      </w:r>
      <w:r w:rsidRPr="00DC1A5F">
        <w:rPr>
          <w:i/>
          <w:iCs/>
        </w:rPr>
        <w:t>sufrimiento debido al cambio</w:t>
      </w:r>
      <w:r w:rsidRPr="00DC1A5F">
        <w:t xml:space="preserve"> porque representará una causa para el surgimiento del dolor cuando éstas cambien (M I 303). A la sensación ecuánime y a las formaciones restantes de los tres planos existenciales se les denominará </w:t>
      </w:r>
      <w:r w:rsidRPr="00DC1A5F">
        <w:rPr>
          <w:i/>
          <w:iCs/>
        </w:rPr>
        <w:t xml:space="preserve">sufrimiento debido a las formaciones </w:t>
      </w:r>
      <w:r w:rsidRPr="00DC1A5F">
        <w:t xml:space="preserve">porque estarán oprimidas por el surgimiento y la desaparición. La aflicción corporal y mental, como el dolor de oído, el dolor de muelas, la fiebre surgida de la lujuria, la fiebre surgida del odio, etc., se les denominará </w:t>
      </w:r>
      <w:r w:rsidRPr="00DC1A5F">
        <w:rPr>
          <w:i/>
          <w:iCs/>
        </w:rPr>
        <w:t xml:space="preserve">sufrimiento subyacente </w:t>
      </w:r>
      <w:r w:rsidRPr="00DC1A5F">
        <w:t>porque solo podrá ser conocido por cuestionamiento y porque la inflicción no es abiertamente evidente; también se le llamará “sufrimiento no evidente”. A la aflicción producida por las treinta y dos torturas,</w:t>
      </w:r>
      <w:r w:rsidRPr="00DC1A5F">
        <w:rPr>
          <w:vertAlign w:val="superscript"/>
        </w:rPr>
        <w:t>10</w:t>
      </w:r>
      <w:r w:rsidRPr="00DC1A5F">
        <w:t xml:space="preserve"> etc., se les denominará sufrimiento expuesto porque podrá ser reconocido sin cuestionamiento y porque la inflicción será abiertamente evidente; también se le denominará “sufrimiento evidente”. Excepto por el sufrimiento intrínseco, todos los sufrimientos en la exposición de la verdad del sufrimiento en el </w:t>
      </w:r>
      <w:proofErr w:type="spellStart"/>
      <w:r w:rsidRPr="00DC1A5F">
        <w:rPr>
          <w:i/>
          <w:iCs/>
        </w:rPr>
        <w:t>Vibhaṅga</w:t>
      </w:r>
      <w:proofErr w:type="spellEnd"/>
      <w:r w:rsidRPr="00DC1A5F">
        <w:t xml:space="preserve"> (</w:t>
      </w:r>
      <w:proofErr w:type="spellStart"/>
      <w:r w:rsidRPr="00DC1A5F">
        <w:t>Vibh</w:t>
      </w:r>
      <w:proofErr w:type="spellEnd"/>
      <w:r w:rsidRPr="00DC1A5F">
        <w:t xml:space="preserve"> 99), comenzando con el nacimiento, corresponderán</w:t>
      </w:r>
    </w:p>
    <w:p w14:paraId="11E6CFA8" w14:textId="77777777" w:rsidR="00597DE2" w:rsidRPr="00DC1A5F" w:rsidRDefault="00597DE2" w:rsidP="00597DE2"/>
    <w:p w14:paraId="5EB926D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013D289" w14:textId="77777777" w:rsidR="00597DE2" w:rsidRPr="00DC1A5F" w:rsidRDefault="00597DE2" w:rsidP="00597DE2">
      <w:pPr>
        <w:pStyle w:val="PiedepginaLegal"/>
        <w:numPr>
          <w:ilvl w:val="0"/>
          <w:numId w:val="5"/>
        </w:numPr>
        <w:tabs>
          <w:tab w:val="clear" w:pos="425"/>
        </w:tabs>
        <w:ind w:left="284" w:hanging="284"/>
      </w:pPr>
      <w:r w:rsidRPr="00DC1A5F">
        <w:rPr>
          <w:color w:val="auto"/>
          <w:u w:color="000000"/>
        </w:rPr>
        <w:t>La pregunta “¿</w:t>
      </w:r>
      <w:r w:rsidRPr="00DC1A5F">
        <w:rPr>
          <w:i/>
          <w:iCs/>
          <w:color w:val="auto"/>
          <w:u w:color="000000"/>
        </w:rPr>
        <w:t>Pero por qué está sufriendo</w:t>
      </w:r>
      <w:r w:rsidRPr="00DC1A5F">
        <w:rPr>
          <w:color w:val="auto"/>
          <w:u w:color="000000"/>
        </w:rPr>
        <w:t xml:space="preserve">?” significa lo siguiente: se da por hecho en primer lugar que el nacimiento en el infierno es doloroso, ya que el infierno es puro dolor y porque será doloroso en los otros destinos de infelicidad, ya que se origina por el </w:t>
      </w:r>
      <w:proofErr w:type="spellStart"/>
      <w:r w:rsidRPr="00DC1A5F">
        <w:rPr>
          <w:i/>
          <w:color w:val="auto"/>
          <w:u w:color="000000"/>
        </w:rPr>
        <w:t>kamma</w:t>
      </w:r>
      <w:proofErr w:type="spellEnd"/>
      <w:r w:rsidRPr="00DC1A5F">
        <w:rPr>
          <w:i/>
          <w:color w:val="auto"/>
          <w:u w:color="000000"/>
        </w:rPr>
        <w:t xml:space="preserve"> </w:t>
      </w:r>
      <w:r w:rsidRPr="00DC1A5F">
        <w:rPr>
          <w:iCs/>
          <w:color w:val="auto"/>
          <w:u w:color="000000"/>
        </w:rPr>
        <w:t>perjudicial cometido</w:t>
      </w:r>
      <w:r w:rsidRPr="00DC1A5F">
        <w:rPr>
          <w:color w:val="auto"/>
          <w:u w:color="000000"/>
        </w:rPr>
        <w:t xml:space="preserve">; no obstante, ¿cómo es en los destinos felices ya que llegar allí es originado por el </w:t>
      </w:r>
      <w:proofErr w:type="spellStart"/>
      <w:r w:rsidRPr="00DC1A5F">
        <w:rPr>
          <w:i/>
          <w:color w:val="auto"/>
          <w:u w:color="000000"/>
        </w:rPr>
        <w:t>kamma</w:t>
      </w:r>
      <w:proofErr w:type="spellEnd"/>
      <w:r w:rsidRPr="00DC1A5F">
        <w:rPr>
          <w:color w:val="auto"/>
          <w:u w:color="000000"/>
        </w:rPr>
        <w:t xml:space="preserve"> que conlleva dicha?</w:t>
      </w:r>
      <w:r w:rsidRPr="00DC1A5F">
        <w:t xml:space="preserve"> La respuesta: “</w:t>
      </w:r>
      <w:r w:rsidRPr="00DC1A5F">
        <w:rPr>
          <w:i/>
          <w:iCs/>
        </w:rPr>
        <w:t>Es debido a que corresponderá a la base de muchos tipos de sufrimiento</w:t>
      </w:r>
      <w:r w:rsidRPr="00DC1A5F">
        <w:t>”, etc., muestra que a este nacimiento no se no se le denomina sufrimiento por poseer sufrimiento como esencia individual, ya que no se dará un vínculo–de–renacimiento asociado con una sensación dolorosa, sino más bien porque representará una base para el sufrimiento” (</w:t>
      </w:r>
      <w:proofErr w:type="spellStart"/>
      <w:r w:rsidRPr="00DC1A5F">
        <w:t>Vism</w:t>
      </w:r>
      <w:proofErr w:type="spellEnd"/>
      <w:r w:rsidRPr="00DC1A5F">
        <w:t>–</w:t>
      </w:r>
      <w:proofErr w:type="spellStart"/>
      <w:r w:rsidRPr="00DC1A5F">
        <w:t>Mhṭ</w:t>
      </w:r>
      <w:proofErr w:type="spellEnd"/>
      <w:r w:rsidRPr="00DC1A5F">
        <w:t xml:space="preserve"> 528).</w:t>
      </w:r>
    </w:p>
    <w:p w14:paraId="13808FBD" w14:textId="77777777" w:rsidR="00597DE2" w:rsidRPr="00DC1A5F" w:rsidRDefault="00597DE2" w:rsidP="00597DE2">
      <w:pPr>
        <w:pStyle w:val="PiedepginaLegal"/>
      </w:pPr>
      <w:r w:rsidRPr="00DC1A5F">
        <w:tab/>
      </w:r>
      <w:r w:rsidRPr="00DC1A5F">
        <w:tab/>
      </w:r>
      <w:r w:rsidRPr="00DC1A5F">
        <w:rPr>
          <w:color w:val="auto"/>
          <w:u w:color="000000"/>
        </w:rPr>
        <w:t xml:space="preserve">Se debe decir algo aquí sobre las palabras </w:t>
      </w:r>
      <w:r w:rsidRPr="00DC1A5F">
        <w:rPr>
          <w:i/>
          <w:color w:val="auto"/>
          <w:u w:color="000000"/>
        </w:rPr>
        <w:t>dukkha</w:t>
      </w:r>
      <w:r w:rsidRPr="00DC1A5F">
        <w:rPr>
          <w:color w:val="auto"/>
          <w:u w:color="000000"/>
        </w:rPr>
        <w:t xml:space="preserve"> y </w:t>
      </w:r>
      <w:proofErr w:type="spellStart"/>
      <w:r w:rsidRPr="00DC1A5F">
        <w:rPr>
          <w:i/>
          <w:iCs/>
          <w:color w:val="auto"/>
          <w:u w:color="000000"/>
        </w:rPr>
        <w:t>sukha</w:t>
      </w:r>
      <w:proofErr w:type="spellEnd"/>
      <w:r w:rsidRPr="00DC1A5F">
        <w:rPr>
          <w:color w:val="auto"/>
          <w:u w:color="000000"/>
        </w:rPr>
        <w:t xml:space="preserve">, el primero es quizás el más, difícil después de </w:t>
      </w:r>
      <w:r w:rsidRPr="00DC1A5F">
        <w:rPr>
          <w:i/>
          <w:color w:val="auto"/>
          <w:u w:color="000000"/>
        </w:rPr>
        <w:t>dhamma,</w:t>
      </w:r>
      <w:r w:rsidRPr="00DC1A5F">
        <w:rPr>
          <w:color w:val="auto"/>
          <w:u w:color="000000"/>
        </w:rPr>
        <w:t xml:space="preserve"> de </w:t>
      </w:r>
      <w:proofErr w:type="spellStart"/>
      <w:r w:rsidRPr="00DC1A5F">
        <w:rPr>
          <w:color w:val="auto"/>
          <w:u w:color="000000"/>
        </w:rPr>
        <w:t>rerepsentar</w:t>
      </w:r>
      <w:proofErr w:type="spellEnd"/>
      <w:r w:rsidRPr="00DC1A5F">
        <w:rPr>
          <w:color w:val="auto"/>
          <w:u w:color="000000"/>
        </w:rPr>
        <w:t xml:space="preserve"> en inglés {originalmente así, pero aquí sería </w:t>
      </w:r>
      <w:r w:rsidRPr="00DC1A5F">
        <w:rPr>
          <w:i/>
          <w:iCs/>
          <w:color w:val="auto"/>
          <w:u w:color="000000"/>
        </w:rPr>
        <w:t>español</w:t>
      </w:r>
      <w:r w:rsidRPr="00DC1A5F">
        <w:rPr>
          <w:color w:val="auto"/>
          <w:u w:color="000000"/>
        </w:rPr>
        <w:t xml:space="preserve">}. </w:t>
      </w:r>
      <w:r w:rsidRPr="00DC1A5F">
        <w:rPr>
          <w:i/>
          <w:color w:val="auto"/>
          <w:u w:color="000000"/>
        </w:rPr>
        <w:t>Dukkha</w:t>
      </w:r>
      <w:r w:rsidRPr="00DC1A5F">
        <w:rPr>
          <w:color w:val="auto"/>
          <w:u w:color="000000"/>
        </w:rPr>
        <w:t xml:space="preserve"> es constantemente representado por el término general y más vago de “sufrimiento” o por el “dolor corporal, más específicamente”.</w:t>
      </w:r>
      <w:r w:rsidRPr="00DC1A5F">
        <w:t xml:space="preserve"> </w:t>
      </w:r>
      <w:r w:rsidRPr="00DC1A5F">
        <w:rPr>
          <w:color w:val="auto"/>
          <w:u w:color="000000"/>
        </w:rPr>
        <w:t>Se expresan ideas diferentes al respecto, pero superpuestas. Este último no requerirá explicación; no obstante, el “sufrimiento” deberá extenderse para incluir la ambigüedad general de toda la experiencia mundana e impermanente. Para esto, “agitación” sería sin duda preferible (a veces se usa el “mal”), pero la multiplicación de su representación deberá evitarse tanto como sea posible; la precisión particular se obtendrá con demasiada frecuencia a costa de la desorientación general en un trabajo de este tipo con palabras considerablemente generales capaces de un enfoque agudo.</w:t>
      </w:r>
      <w:r w:rsidRPr="00DC1A5F">
        <w:t xml:space="preserve"> Nuevamente, </w:t>
      </w:r>
      <w:proofErr w:type="spellStart"/>
      <w:r w:rsidRPr="00DC1A5F">
        <w:rPr>
          <w:i/>
          <w:iCs/>
        </w:rPr>
        <w:t>sukha</w:t>
      </w:r>
      <w:proofErr w:type="spellEnd"/>
      <w:r w:rsidRPr="00DC1A5F">
        <w:t xml:space="preserve"> se ha convertido en “dicha” o “placer”, aunque este último no necesariamente implique ningún hedonismo representado por el placer sensual (</w:t>
      </w:r>
      <w:proofErr w:type="spellStart"/>
      <w:r w:rsidRPr="00DC1A5F">
        <w:rPr>
          <w:i/>
          <w:iCs/>
        </w:rPr>
        <w:t>kāma</w:t>
      </w:r>
      <w:proofErr w:type="spellEnd"/>
      <w:r w:rsidRPr="00DC1A5F">
        <w:t>). Una vez más, “tranquilidad” (en el sentido del alivio) es, en muchos sentidos, preferible para el primer sentido, pero no se ha utilizado por la razón ya expuesta.</w:t>
      </w:r>
    </w:p>
    <w:p w14:paraId="46170174" w14:textId="77777777" w:rsidR="00597DE2" w:rsidRPr="00DC1A5F" w:rsidRDefault="00597DE2" w:rsidP="00597DE2">
      <w:pPr>
        <w:pStyle w:val="PiedepginaLegal"/>
        <w:numPr>
          <w:ilvl w:val="0"/>
          <w:numId w:val="5"/>
        </w:numPr>
        <w:tabs>
          <w:tab w:val="clear" w:pos="425"/>
        </w:tabs>
        <w:ind w:left="284" w:hanging="284"/>
      </w:pPr>
      <w:r w:rsidRPr="00DC1A5F">
        <w:t>“Dado que también a lo que no conlleve sufrimiento como su esencia individual se le denominará indirectamente sufrimiento, en consecuencia al ‘sufrimiento intrínseco’ (</w:t>
      </w:r>
      <w:r w:rsidRPr="00DC1A5F">
        <w:rPr>
          <w:i/>
        </w:rPr>
        <w:t>dukkha</w:t>
      </w:r>
      <w:r w:rsidRPr="00DC1A5F">
        <w:t>–</w:t>
      </w:r>
      <w:r w:rsidRPr="00DC1A5F">
        <w:rPr>
          <w:i/>
        </w:rPr>
        <w:t>dukkha</w:t>
      </w:r>
      <w:r w:rsidRPr="00DC1A5F">
        <w:t xml:space="preserve">) se le menciona particularizándolo como si conllevase sufrimiento como esencia individual, como en el caso de la particularización de la ‘materia </w:t>
      </w:r>
      <w:proofErr w:type="gramStart"/>
      <w:r w:rsidRPr="00DC1A5F">
        <w:t>concreta‘</w:t>
      </w:r>
      <w:proofErr w:type="gramEnd"/>
      <w:r w:rsidRPr="00DC1A5F">
        <w:t>” (</w:t>
      </w:r>
      <w:r w:rsidRPr="00DC1A5F">
        <w:rPr>
          <w:i/>
        </w:rPr>
        <w:t>Rūpa</w:t>
      </w:r>
      <w:r w:rsidRPr="00DC1A5F">
        <w:t>–</w:t>
      </w:r>
      <w:r w:rsidRPr="00DC1A5F">
        <w:rPr>
          <w:i/>
        </w:rPr>
        <w:t>rūpa</w:t>
      </w:r>
      <w:r w:rsidRPr="00DC1A5F">
        <w:t>) (ver 14.77) (</w:t>
      </w:r>
      <w:proofErr w:type="spellStart"/>
      <w:r w:rsidRPr="00DC1A5F">
        <w:t>Vism</w:t>
      </w:r>
      <w:proofErr w:type="spellEnd"/>
      <w:r w:rsidRPr="00DC1A5F">
        <w:t>–</w:t>
      </w:r>
      <w:proofErr w:type="spellStart"/>
      <w:r w:rsidRPr="00DC1A5F">
        <w:t>Mhṭ</w:t>
      </w:r>
      <w:proofErr w:type="spellEnd"/>
      <w:r w:rsidRPr="00DC1A5F">
        <w:t xml:space="preserve"> 528). Para estas tres clases ver S IV 259</w:t>
      </w:r>
    </w:p>
    <w:p w14:paraId="7B9FA4AF" w14:textId="77777777" w:rsidR="00597DE2" w:rsidRPr="00DC1A5F" w:rsidRDefault="00597DE2" w:rsidP="00597DE2">
      <w:pPr>
        <w:pStyle w:val="PiedepginaLegal"/>
        <w:numPr>
          <w:ilvl w:val="0"/>
          <w:numId w:val="5"/>
        </w:numPr>
        <w:tabs>
          <w:tab w:val="clear" w:pos="425"/>
        </w:tabs>
        <w:ind w:left="284" w:hanging="284"/>
      </w:pPr>
      <w:r w:rsidRPr="00DC1A5F">
        <w:t>Ver MN 13 y 129, aunque no está claro de dónde se toma la figura “treinta y dos”.</w:t>
      </w:r>
    </w:p>
    <w:p w14:paraId="367DCAA1" w14:textId="77777777" w:rsidR="00597DE2" w:rsidRPr="00DC1A5F" w:rsidRDefault="00597DE2" w:rsidP="00597DE2">
      <w:pPr>
        <w:tabs>
          <w:tab w:val="clear" w:pos="425"/>
        </w:tabs>
        <w:spacing w:after="160"/>
      </w:pPr>
      <w:r w:rsidRPr="00DC1A5F">
        <w:br w:type="page"/>
      </w:r>
    </w:p>
    <w:p w14:paraId="12D36279" w14:textId="77777777" w:rsidR="00597DE2" w:rsidRPr="00DC1A5F" w:rsidRDefault="00597DE2" w:rsidP="00597DE2"/>
    <w:p w14:paraId="52758995" w14:textId="77777777" w:rsidR="00597DE2" w:rsidRPr="00DC1A5F" w:rsidRDefault="00597DE2" w:rsidP="00597DE2">
      <w:pPr>
        <w:pStyle w:val="Textoindependiente"/>
      </w:pPr>
      <w:r w:rsidRPr="00DC1A5F">
        <w:t xml:space="preserve">al </w:t>
      </w:r>
      <w:r w:rsidRPr="00DC1A5F">
        <w:rPr>
          <w:i/>
          <w:iCs/>
        </w:rPr>
        <w:t>sufrimiento indirecto</w:t>
      </w:r>
      <w:r w:rsidRPr="00DC1A5F">
        <w:t xml:space="preserve"> debido a que será la base para un tipo u otro de sufrimiento. No obstante, al sufrimiento intrínseco se le denominará </w:t>
      </w:r>
      <w:r w:rsidRPr="00DC1A5F">
        <w:rPr>
          <w:i/>
          <w:iCs/>
        </w:rPr>
        <w:t>sufrimiento directo</w:t>
      </w:r>
      <w:r w:rsidRPr="00DC1A5F">
        <w:t>.</w:t>
      </w:r>
    </w:p>
    <w:p w14:paraId="022BF9DE" w14:textId="77777777" w:rsidR="00597DE2" w:rsidRPr="00DC1A5F" w:rsidRDefault="00597DE2" w:rsidP="00597DE2">
      <w:r w:rsidRPr="00DC1A5F">
        <w:t xml:space="preserve">36. </w:t>
      </w:r>
      <w:r w:rsidRPr="00DC1A5F">
        <w:tab/>
        <w:t xml:space="preserve">Al respecto, el nacimiento es sufrimiento porque corresponde a la base del sufrimiento para los estados de perdición tal como lo evidencia el </w:t>
      </w:r>
      <w:r w:rsidRPr="00DC1A5F">
        <w:rPr>
          <w:i/>
          <w:iCs/>
        </w:rPr>
        <w:t>Bhagavā</w:t>
      </w:r>
      <w:r w:rsidRPr="00DC1A5F">
        <w:t xml:space="preserve"> por medio del símil del </w:t>
      </w:r>
      <w:proofErr w:type="spellStart"/>
      <w:r w:rsidRPr="00DC1A5F">
        <w:rPr>
          <w:i/>
          <w:iCs/>
        </w:rPr>
        <w:t>Bālapaṇḍita</w:t>
      </w:r>
      <w:proofErr w:type="spellEnd"/>
      <w:r w:rsidRPr="00DC1A5F">
        <w:t xml:space="preserve"> </w:t>
      </w:r>
      <w:r w:rsidRPr="00DC1A5F">
        <w:rPr>
          <w:i/>
          <w:iCs/>
        </w:rPr>
        <w:t>Sutta</w:t>
      </w:r>
      <w:r w:rsidRPr="00DC1A5F">
        <w:t xml:space="preserve"> (M III 165F.), etc., y por el sufrimiento surgido en los destinos felices en el mundo humano y que se clasifica como “arraigado en el descenso hacia el útero”, etc. [500]</w:t>
      </w:r>
    </w:p>
    <w:p w14:paraId="6C1D59DE" w14:textId="77777777" w:rsidR="00597DE2" w:rsidRPr="00DC1A5F" w:rsidRDefault="00597DE2" w:rsidP="00597DE2">
      <w:r w:rsidRPr="00DC1A5F">
        <w:t xml:space="preserve">37. </w:t>
      </w:r>
      <w:r w:rsidRPr="00DC1A5F">
        <w:tab/>
        <w:t>Aquí el sufrimiento clasificado como “arraigado en el descenso hacia el útero”, etc., es éste: cuando este ser nace en el útero de la madre, no nace dentro de un loto azul, rojo o blanco, etc., sino, y por el contrario, nace como una especie de gusano dentro de un pescado podrido, de una masa podrida, en un pozo negro, etc., nace en un vientre y en una posición debajo del receptáculo de los alimentos no digeridos (estómago) y por encima del receptáculo para los alimentos digeridos (recto), entre la alineación del vientre y la columna vertebral, la cual es muy estrecha, bastante oscura, impregnada de corrientes de aires muy fétidos que rayan en un variado orden de olores excepcionalmente repugnantes.</w:t>
      </w:r>
      <w:r w:rsidRPr="00DC1A5F">
        <w:rPr>
          <w:vertAlign w:val="superscript"/>
        </w:rPr>
        <w:t>11</w:t>
      </w:r>
      <w:r w:rsidRPr="00DC1A5F">
        <w:t xml:space="preserve"> Y al renacer allí, durante diez meses sufre un sufrimiento excesivo, cocinado como si fuera un budín en una bolsa mediante el calor producido por el útero de la madre y como su fuera expuesto al vapor de una masa, sin flexión, ni estiramiento, etc. Entonces, éste, en primer lugar, corresponde el sufrimiento arraigado en el descenso hacia el útero.</w:t>
      </w:r>
    </w:p>
    <w:p w14:paraId="3D0D7789" w14:textId="77777777" w:rsidR="00597DE2" w:rsidRPr="00DC1A5F" w:rsidRDefault="00597DE2" w:rsidP="00597DE2">
      <w:r w:rsidRPr="00DC1A5F">
        <w:t xml:space="preserve">38. </w:t>
      </w:r>
      <w:r w:rsidRPr="00DC1A5F">
        <w:tab/>
        <w:t>Cuando la madre tropiece repentinamente, se mueva o se siente, se levante o gire el sufrimiento extremo al que se somete al ser arrastrado hacia atrás, hacia adelante y sacudido hacia arriba y hacia abajo, como un bebé caído en manos de un borracho, o como la culebra de un joven caída en manos de un encantador de serpientes; y también el dolor que sufre, como si hubiera reaparecido en los fríos infiernos, cuando su madre bebe agua fría y como si fuera inquietada por una lluvia de brasas cuando ella traga atole de arroz caliente, arroz, etc., y como si estuviera sometido a la tortura de una “lejía” (ver M I 87), cuando se trague algo salado o ácido, etc., éste corresponderá al sufrimiento enraizado en la gestación.</w:t>
      </w:r>
    </w:p>
    <w:p w14:paraId="48AFA41A" w14:textId="77777777" w:rsidR="00597DE2" w:rsidRPr="00DC1A5F" w:rsidRDefault="00597DE2" w:rsidP="00597DE2">
      <w:r w:rsidRPr="00DC1A5F">
        <w:t xml:space="preserve">39. </w:t>
      </w:r>
      <w:r w:rsidRPr="00DC1A5F">
        <w:tab/>
        <w:t>Cuando la madre tiene un aborto, el dolor que surge en él a través del corte y el desgarro en el lugar donde surja el dolor que no sería apto para ser visto incluso ni por amigos, íntimos y compañeros, éste es el sufrimiento arraigado en el aborto.</w:t>
      </w:r>
    </w:p>
    <w:p w14:paraId="1537516A" w14:textId="77777777" w:rsidR="00597DE2" w:rsidRPr="00DC1A5F" w:rsidRDefault="00597DE2" w:rsidP="00597DE2">
      <w:r w:rsidRPr="00DC1A5F">
        <w:t xml:space="preserve">40. </w:t>
      </w:r>
      <w:r w:rsidRPr="00DC1A5F">
        <w:tab/>
        <w:t xml:space="preserve">El dolor que surge en él cuando la madre dé a luz, a través de su voluntad, producido por el </w:t>
      </w:r>
      <w:proofErr w:type="spellStart"/>
      <w:r w:rsidRPr="00DC1A5F">
        <w:rPr>
          <w:i/>
        </w:rPr>
        <w:t>kamma</w:t>
      </w:r>
      <w:proofErr w:type="spellEnd"/>
      <w:r w:rsidRPr="00DC1A5F">
        <w:t xml:space="preserve"> [por las fuerzas] y arrojado por el ducto más temeroso del útero, como si se diera a través de un abismo infernal y arrastrado hacia la boca extremamente estrecha del útero, como el paso de un elefante a través del ojo de una cerradura, como un habitante del infierno golpeado ante la pulpa colisionando rocas, éste corresponderá al sufrimiento arraigado en el parto.</w:t>
      </w:r>
    </w:p>
    <w:p w14:paraId="063B0C6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2587EED" w14:textId="77777777" w:rsidR="00597DE2" w:rsidRPr="00DC1A5F" w:rsidRDefault="00597DE2" w:rsidP="00597DE2">
      <w:pPr>
        <w:pStyle w:val="PiedepginaLegal"/>
        <w:numPr>
          <w:ilvl w:val="0"/>
          <w:numId w:val="5"/>
        </w:numPr>
        <w:tabs>
          <w:tab w:val="clear" w:pos="425"/>
        </w:tabs>
        <w:ind w:left="284" w:hanging="284"/>
      </w:pPr>
      <w:r w:rsidRPr="00DC1A5F">
        <w:rPr>
          <w:i/>
          <w:iCs/>
        </w:rPr>
        <w:t>Pavana</w:t>
      </w:r>
      <w:r w:rsidRPr="00DC1A5F">
        <w:t xml:space="preserve">: “hedor”: no en este sentido en el PED. El </w:t>
      </w:r>
      <w:proofErr w:type="spellStart"/>
      <w:r w:rsidRPr="00DC1A5F">
        <w:rPr>
          <w:i/>
          <w:iCs/>
        </w:rPr>
        <w:t>Sammohavinodanī</w:t>
      </w:r>
      <w:proofErr w:type="spellEnd"/>
      <w:r w:rsidRPr="00DC1A5F">
        <w:t xml:space="preserve"> (Be) reproduce este pasaje insertando la palabra </w:t>
      </w:r>
      <w:proofErr w:type="spellStart"/>
      <w:r w:rsidRPr="00DC1A5F">
        <w:rPr>
          <w:i/>
          <w:iCs/>
        </w:rPr>
        <w:t>asuci</w:t>
      </w:r>
      <w:proofErr w:type="spellEnd"/>
      <w:r w:rsidRPr="00DC1A5F">
        <w:t xml:space="preserve"> (impureza), ausente en las ediciones </w:t>
      </w:r>
      <w:proofErr w:type="spellStart"/>
      <w:r w:rsidRPr="00DC1A5F">
        <w:t>Ee</w:t>
      </w:r>
      <w:proofErr w:type="spellEnd"/>
      <w:r w:rsidRPr="00DC1A5F">
        <w:t xml:space="preserve"> y </w:t>
      </w:r>
      <w:proofErr w:type="spellStart"/>
      <w:r w:rsidRPr="00DC1A5F">
        <w:t>Ae</w:t>
      </w:r>
      <w:proofErr w:type="spellEnd"/>
      <w:r w:rsidRPr="00DC1A5F">
        <w:t xml:space="preserve"> del </w:t>
      </w:r>
      <w:proofErr w:type="spellStart"/>
      <w:r w:rsidRPr="00DC1A5F">
        <w:t>Vism</w:t>
      </w:r>
      <w:proofErr w:type="spellEnd"/>
      <w:r w:rsidRPr="00DC1A5F">
        <w:t xml:space="preserve">. </w:t>
      </w:r>
      <w:proofErr w:type="spellStart"/>
      <w:r w:rsidRPr="00DC1A5F">
        <w:rPr>
          <w:i/>
          <w:iCs/>
        </w:rPr>
        <w:t>Kuṇapa</w:t>
      </w:r>
      <w:proofErr w:type="spellEnd"/>
      <w:r w:rsidRPr="00DC1A5F">
        <w:t xml:space="preserve"> solo posee el significado de “cadáver o cuerpo” en el PED; No obstante, el </w:t>
      </w:r>
      <w:proofErr w:type="spellStart"/>
      <w:r w:rsidRPr="00DC1A5F">
        <w:t>Vism</w:t>
      </w:r>
      <w:proofErr w:type="spellEnd"/>
      <w:r w:rsidRPr="00DC1A5F">
        <w:t>–</w:t>
      </w:r>
      <w:proofErr w:type="spellStart"/>
      <w:r w:rsidRPr="00DC1A5F">
        <w:t>Mhṭ</w:t>
      </w:r>
      <w:proofErr w:type="spellEnd"/>
      <w:r w:rsidRPr="00DC1A5F">
        <w:t xml:space="preserve"> dice: “Varias inmundicias (</w:t>
      </w:r>
      <w:proofErr w:type="spellStart"/>
      <w:r w:rsidRPr="00DC1A5F">
        <w:rPr>
          <w:i/>
          <w:iCs/>
        </w:rPr>
        <w:t>kuṇapa</w:t>
      </w:r>
      <w:proofErr w:type="spellEnd"/>
      <w:r w:rsidRPr="00DC1A5F">
        <w:t>) como la bilis, la flema, el pus, la sangre, el excremento, la garganta, etc.” (</w:t>
      </w:r>
      <w:proofErr w:type="spellStart"/>
      <w:r w:rsidRPr="00DC1A5F">
        <w:t>Vism</w:t>
      </w:r>
      <w:proofErr w:type="spellEnd"/>
      <w:r w:rsidRPr="00DC1A5F">
        <w:t>–</w:t>
      </w:r>
      <w:proofErr w:type="spellStart"/>
      <w:r w:rsidRPr="00DC1A5F">
        <w:t>Mhṭ</w:t>
      </w:r>
      <w:proofErr w:type="spellEnd"/>
      <w:r w:rsidRPr="00DC1A5F">
        <w:t xml:space="preserve"> 529). “Si la madre tuviese veinte, treinta o cuarenta años, será ‘tan excepcionalmente repugnante’ como un cubo de excremento que no haya sido lavado durante un número similar de años” (</w:t>
      </w:r>
      <w:proofErr w:type="spellStart"/>
      <w:r w:rsidRPr="00DC1A5F">
        <w:t>Vism</w:t>
      </w:r>
      <w:proofErr w:type="spellEnd"/>
      <w:r w:rsidRPr="00DC1A5F">
        <w:t>–</w:t>
      </w:r>
      <w:proofErr w:type="spellStart"/>
      <w:r w:rsidRPr="00DC1A5F">
        <w:t>Mhṭ</w:t>
      </w:r>
      <w:proofErr w:type="spellEnd"/>
      <w:r w:rsidRPr="00DC1A5F">
        <w:t xml:space="preserve"> 529).</w:t>
      </w:r>
    </w:p>
    <w:p w14:paraId="380A0EF5" w14:textId="77777777" w:rsidR="00597DE2" w:rsidRPr="00DC1A5F" w:rsidRDefault="00597DE2" w:rsidP="00597DE2">
      <w:pPr>
        <w:tabs>
          <w:tab w:val="clear" w:pos="425"/>
        </w:tabs>
        <w:spacing w:after="160"/>
      </w:pPr>
      <w:r w:rsidRPr="00DC1A5F">
        <w:br w:type="page"/>
      </w:r>
    </w:p>
    <w:p w14:paraId="74ECA411" w14:textId="77777777" w:rsidR="00597DE2" w:rsidRPr="00DC1A5F" w:rsidRDefault="00597DE2" w:rsidP="00597DE2"/>
    <w:p w14:paraId="355F22ED" w14:textId="77777777" w:rsidR="00597DE2" w:rsidRPr="00DC1A5F" w:rsidRDefault="00597DE2" w:rsidP="00597DE2">
      <w:r w:rsidRPr="00DC1A5F">
        <w:t xml:space="preserve">41. </w:t>
      </w:r>
      <w:r w:rsidRPr="00DC1A5F">
        <w:tab/>
        <w:t>Al dolor que surge en él después de que nazca y de su cuerpo, que es tan delicado como una herida tierna, cuando éste se tome entre las manos, cuando se le bañe, se lava, se le frote con un paño, etc., y el dolor al ser pinchado con las puntas de una aguja y picados con cuchillas de afeitar, etc., éste corresponderá al sufrimiento enraizado al aventurarse fuera del útero de la madre. [501]</w:t>
      </w:r>
    </w:p>
    <w:p w14:paraId="1DCBB697" w14:textId="77777777" w:rsidR="00597DE2" w:rsidRPr="00DC1A5F" w:rsidRDefault="00597DE2" w:rsidP="00597DE2">
      <w:r w:rsidRPr="00DC1A5F">
        <w:t xml:space="preserve">42. </w:t>
      </w:r>
      <w:r w:rsidRPr="00DC1A5F">
        <w:tab/>
        <w:t>Al dolor que surge posteriormente durante el curso de la existencia en alguien que se castigue a sí mismo, en alguien que se dedique a la práctica de la auto mortificación y a la austeridad, de acuerdo con los votos de los ascetas desnudos, en alguien que se muera de hambre a través de la ira y en alguien que se cuelgue a sí mismo, éste corresponderá al sufrimiento enraizado en la auto mortificación.</w:t>
      </w:r>
    </w:p>
    <w:p w14:paraId="2B288630" w14:textId="77777777" w:rsidR="00597DE2" w:rsidRPr="00DC1A5F" w:rsidRDefault="00597DE2" w:rsidP="00597DE2">
      <w:r w:rsidRPr="00DC1A5F">
        <w:t xml:space="preserve">43. </w:t>
      </w:r>
      <w:r w:rsidRPr="00DC1A5F">
        <w:tab/>
        <w:t>Y el que surja en alguien que se le someta a la flagelación, al encarcelamiento, etc., a manos de los demás, corresponderá al sufrimiento arraigado en la violencia de los demás.</w:t>
      </w:r>
    </w:p>
    <w:p w14:paraId="4CB0B647" w14:textId="77777777" w:rsidR="00597DE2" w:rsidRPr="00DC1A5F" w:rsidRDefault="00597DE2" w:rsidP="00597DE2">
      <w:pPr>
        <w:pStyle w:val="NormalConSangria"/>
      </w:pPr>
      <w:r w:rsidRPr="00DC1A5F">
        <w:t>Así, este nacimiento corresponde a la base de todo este sufrimiento. Por lo tanto, se dice al respecto:</w:t>
      </w:r>
    </w:p>
    <w:p w14:paraId="324DAFA4" w14:textId="77777777" w:rsidR="00597DE2" w:rsidRPr="00DC1A5F" w:rsidRDefault="00597DE2" w:rsidP="00597DE2">
      <w:pPr>
        <w:pStyle w:val="VersoIngls01Sangria"/>
        <w:rPr>
          <w:sz w:val="16"/>
          <w:szCs w:val="20"/>
        </w:rPr>
      </w:pPr>
      <w:r w:rsidRPr="00DC1A5F">
        <w:rPr>
          <w:sz w:val="16"/>
          <w:szCs w:val="20"/>
        </w:rPr>
        <w:t xml:space="preserve">Ahora bien, al no haber nacido nuevamente en el infierno </w:t>
      </w:r>
    </w:p>
    <w:p w14:paraId="6957E4FE" w14:textId="77777777" w:rsidR="00597DE2" w:rsidRPr="00DC1A5F" w:rsidRDefault="00597DE2" w:rsidP="00597DE2">
      <w:pPr>
        <w:pStyle w:val="VersoIngls01Sangria"/>
        <w:rPr>
          <w:sz w:val="16"/>
          <w:szCs w:val="20"/>
        </w:rPr>
      </w:pPr>
      <w:r w:rsidRPr="00DC1A5F">
        <w:rPr>
          <w:sz w:val="16"/>
          <w:szCs w:val="20"/>
        </w:rPr>
        <w:t>En el dolor insoportable de los fuegos abrazadores</w:t>
      </w:r>
    </w:p>
    <w:p w14:paraId="6BF8C9E0" w14:textId="77777777" w:rsidR="00597DE2" w:rsidRPr="00DC1A5F" w:rsidRDefault="00597DE2" w:rsidP="00597DE2">
      <w:pPr>
        <w:pStyle w:val="VersoIngls01Sangria"/>
        <w:rPr>
          <w:sz w:val="16"/>
          <w:szCs w:val="20"/>
        </w:rPr>
      </w:pPr>
      <w:r w:rsidRPr="00DC1A5F">
        <w:rPr>
          <w:sz w:val="16"/>
          <w:szCs w:val="20"/>
        </w:rPr>
        <w:t>Y todo el sufrimiento restante no darían lugar a ningún beneficio;</w:t>
      </w:r>
    </w:p>
    <w:p w14:paraId="42657BE7" w14:textId="77777777" w:rsidR="00597DE2" w:rsidRPr="00DC1A5F" w:rsidRDefault="00597DE2" w:rsidP="00597DE2">
      <w:pPr>
        <w:pStyle w:val="VersoIngls01Sangria"/>
        <w:spacing w:after="100"/>
        <w:ind w:left="1418"/>
        <w:rPr>
          <w:sz w:val="16"/>
          <w:szCs w:val="20"/>
        </w:rPr>
      </w:pPr>
      <w:r w:rsidRPr="00DC1A5F">
        <w:rPr>
          <w:sz w:val="16"/>
          <w:szCs w:val="20"/>
        </w:rPr>
        <w:t>Por lo tanto, el sabio pronunció así que el nacimiento es dolor.</w:t>
      </w:r>
    </w:p>
    <w:p w14:paraId="4A4F2B8D" w14:textId="77777777" w:rsidR="00597DE2" w:rsidRPr="00DC1A5F" w:rsidRDefault="00597DE2" w:rsidP="00597DE2">
      <w:pPr>
        <w:pStyle w:val="VersoIngls01Sangria"/>
        <w:rPr>
          <w:sz w:val="16"/>
          <w:szCs w:val="20"/>
        </w:rPr>
      </w:pPr>
      <w:r w:rsidRPr="00DC1A5F">
        <w:rPr>
          <w:sz w:val="16"/>
          <w:szCs w:val="20"/>
        </w:rPr>
        <w:t>Muchos tipos de dolor que las bestias soportan</w:t>
      </w:r>
    </w:p>
    <w:p w14:paraId="5A46A9DF" w14:textId="77777777" w:rsidR="00597DE2" w:rsidRPr="00DC1A5F" w:rsidRDefault="00597DE2" w:rsidP="00597DE2">
      <w:pPr>
        <w:pStyle w:val="VersoIngls01Sangria"/>
        <w:rPr>
          <w:sz w:val="16"/>
          <w:szCs w:val="20"/>
        </w:rPr>
      </w:pPr>
      <w:r w:rsidRPr="00DC1A5F">
        <w:rPr>
          <w:sz w:val="16"/>
          <w:szCs w:val="20"/>
        </w:rPr>
        <w:t>Cuando son azotados por látigos, palos y aguijones,</w:t>
      </w:r>
    </w:p>
    <w:p w14:paraId="63EFAE32" w14:textId="77777777" w:rsidR="00597DE2" w:rsidRPr="00DC1A5F" w:rsidRDefault="00597DE2" w:rsidP="00597DE2">
      <w:pPr>
        <w:pStyle w:val="VersoIngls01Sangria"/>
        <w:rPr>
          <w:sz w:val="16"/>
          <w:szCs w:val="20"/>
        </w:rPr>
      </w:pPr>
      <w:r w:rsidRPr="00DC1A5F">
        <w:rPr>
          <w:sz w:val="16"/>
          <w:szCs w:val="20"/>
        </w:rPr>
        <w:t>Dado que el nacimiento entre ellos produce que este dolor se procure,</w:t>
      </w:r>
    </w:p>
    <w:p w14:paraId="7CFA9A5D" w14:textId="77777777" w:rsidR="00597DE2" w:rsidRPr="00DC1A5F" w:rsidRDefault="00597DE2" w:rsidP="00597DE2">
      <w:pPr>
        <w:pStyle w:val="VersoIngls01Sangria"/>
        <w:spacing w:after="100"/>
        <w:ind w:left="1418"/>
        <w:rPr>
          <w:sz w:val="16"/>
          <w:szCs w:val="20"/>
        </w:rPr>
      </w:pPr>
      <w:r w:rsidRPr="00DC1A5F">
        <w:rPr>
          <w:sz w:val="16"/>
          <w:szCs w:val="20"/>
        </w:rPr>
        <w:t>En el nacimiento se da el dolor: la consecuencia es segura.</w:t>
      </w:r>
    </w:p>
    <w:p w14:paraId="3500D8B3" w14:textId="77777777" w:rsidR="00597DE2" w:rsidRPr="00DC1A5F" w:rsidRDefault="00597DE2" w:rsidP="00597DE2">
      <w:pPr>
        <w:pStyle w:val="VersoIngls01Sangria"/>
        <w:rPr>
          <w:sz w:val="16"/>
          <w:szCs w:val="20"/>
        </w:rPr>
      </w:pPr>
      <w:r w:rsidRPr="00DC1A5F">
        <w:rPr>
          <w:sz w:val="16"/>
          <w:szCs w:val="20"/>
        </w:rPr>
        <w:t>Mientras que los fantasmas conocen el dolor en gran variedad</w:t>
      </w:r>
    </w:p>
    <w:p w14:paraId="7C8608B1" w14:textId="77777777" w:rsidR="00597DE2" w:rsidRPr="00DC1A5F" w:rsidRDefault="00597DE2" w:rsidP="00597DE2">
      <w:pPr>
        <w:pStyle w:val="VersoIngls01Sangria"/>
        <w:rPr>
          <w:sz w:val="16"/>
          <w:szCs w:val="20"/>
        </w:rPr>
      </w:pPr>
      <w:r w:rsidRPr="00DC1A5F">
        <w:rPr>
          <w:sz w:val="16"/>
          <w:szCs w:val="20"/>
        </w:rPr>
        <w:t>A través del hambre, la sed, el viento, el Sol y de lo que no,</w:t>
      </w:r>
    </w:p>
    <w:p w14:paraId="3D085AF3" w14:textId="77777777" w:rsidR="00597DE2" w:rsidRPr="00DC1A5F" w:rsidRDefault="00597DE2" w:rsidP="00597DE2">
      <w:pPr>
        <w:pStyle w:val="VersoIngls01Sangria"/>
        <w:rPr>
          <w:sz w:val="16"/>
          <w:szCs w:val="20"/>
        </w:rPr>
      </w:pPr>
      <w:r w:rsidRPr="00DC1A5F">
        <w:rPr>
          <w:sz w:val="16"/>
          <w:szCs w:val="20"/>
        </w:rPr>
        <w:t>Nadie, a menos que naciera allí, conocería esta miseria;</w:t>
      </w:r>
    </w:p>
    <w:p w14:paraId="0495DE71" w14:textId="77777777" w:rsidR="00597DE2" w:rsidRPr="00DC1A5F" w:rsidRDefault="00597DE2" w:rsidP="00597DE2">
      <w:pPr>
        <w:pStyle w:val="VersoIngls01Sangria"/>
        <w:spacing w:after="100"/>
        <w:ind w:left="1418"/>
        <w:rPr>
          <w:sz w:val="16"/>
          <w:szCs w:val="20"/>
        </w:rPr>
      </w:pPr>
      <w:r w:rsidRPr="00DC1A5F">
        <w:rPr>
          <w:sz w:val="16"/>
          <w:szCs w:val="20"/>
        </w:rPr>
        <w:t>Así, el sabio declara en el nacimiento la manifestación de este dolor.</w:t>
      </w:r>
    </w:p>
    <w:p w14:paraId="04835771" w14:textId="77777777" w:rsidR="00597DE2" w:rsidRPr="00DC1A5F" w:rsidRDefault="00597DE2" w:rsidP="00597DE2">
      <w:pPr>
        <w:pStyle w:val="VersoIngls01Sangria"/>
        <w:rPr>
          <w:sz w:val="16"/>
          <w:szCs w:val="20"/>
        </w:rPr>
      </w:pPr>
      <w:r w:rsidRPr="00DC1A5F">
        <w:rPr>
          <w:sz w:val="16"/>
          <w:szCs w:val="20"/>
        </w:rPr>
        <w:t>En el mundo inter espacial, donde habitan demonios</w:t>
      </w:r>
    </w:p>
    <w:p w14:paraId="3DBE3AFB" w14:textId="77777777" w:rsidR="00597DE2" w:rsidRPr="00DC1A5F" w:rsidRDefault="00597DE2" w:rsidP="00597DE2">
      <w:pPr>
        <w:pStyle w:val="VersoIngls01Sangria"/>
        <w:rPr>
          <w:sz w:val="16"/>
          <w:szCs w:val="20"/>
        </w:rPr>
      </w:pPr>
      <w:r w:rsidRPr="00DC1A5F">
        <w:rPr>
          <w:sz w:val="16"/>
          <w:szCs w:val="20"/>
        </w:rPr>
        <w:t>Entre la fría tristeza y la densa oscuridad,</w:t>
      </w:r>
    </w:p>
    <w:p w14:paraId="45E97A1D" w14:textId="77777777" w:rsidR="00597DE2" w:rsidRPr="00DC1A5F" w:rsidRDefault="00597DE2" w:rsidP="00597DE2">
      <w:pPr>
        <w:pStyle w:val="VersoIngls01Sangria"/>
        <w:rPr>
          <w:sz w:val="16"/>
          <w:szCs w:val="20"/>
        </w:rPr>
      </w:pPr>
      <w:r w:rsidRPr="00DC1A5F">
        <w:rPr>
          <w:sz w:val="16"/>
          <w:szCs w:val="20"/>
        </w:rPr>
        <w:t>El dolor está requiriendo del nacimiento allí para su hechizo;</w:t>
      </w:r>
    </w:p>
    <w:p w14:paraId="28FE7697" w14:textId="77777777" w:rsidR="00597DE2" w:rsidRPr="00DC1A5F" w:rsidRDefault="00597DE2" w:rsidP="00597DE2">
      <w:pPr>
        <w:pStyle w:val="VersoIngls01Sangria"/>
        <w:spacing w:after="100"/>
        <w:ind w:left="1418"/>
        <w:rPr>
          <w:sz w:val="16"/>
          <w:szCs w:val="20"/>
        </w:rPr>
      </w:pPr>
      <w:r w:rsidRPr="00DC1A5F">
        <w:rPr>
          <w:sz w:val="16"/>
          <w:szCs w:val="20"/>
        </w:rPr>
        <w:t>Entonces, con el nacimiento, el dolor también se producirá.</w:t>
      </w:r>
    </w:p>
    <w:p w14:paraId="45184058" w14:textId="77777777" w:rsidR="00597DE2" w:rsidRPr="00DC1A5F" w:rsidRDefault="00597DE2" w:rsidP="00597DE2">
      <w:pPr>
        <w:pStyle w:val="VersoIngls01Sangria"/>
        <w:rPr>
          <w:sz w:val="16"/>
          <w:szCs w:val="20"/>
        </w:rPr>
      </w:pPr>
      <w:r w:rsidRPr="00DC1A5F">
        <w:rPr>
          <w:sz w:val="16"/>
          <w:szCs w:val="20"/>
        </w:rPr>
        <w:t>El horrible tormento que un ser siente al salir de otro</w:t>
      </w:r>
    </w:p>
    <w:p w14:paraId="4E69405E" w14:textId="77777777" w:rsidR="00597DE2" w:rsidRPr="00DC1A5F" w:rsidRDefault="00597DE2" w:rsidP="00597DE2">
      <w:pPr>
        <w:pStyle w:val="VersoIngls01Sangria"/>
        <w:rPr>
          <w:sz w:val="16"/>
          <w:szCs w:val="20"/>
        </w:rPr>
      </w:pPr>
      <w:r w:rsidRPr="00DC1A5F">
        <w:rPr>
          <w:sz w:val="16"/>
          <w:szCs w:val="20"/>
        </w:rPr>
        <w:t>Cuando ha pasado largos meses callados dentro del útero de una madre,</w:t>
      </w:r>
    </w:p>
    <w:p w14:paraId="36D72C2B" w14:textId="77777777" w:rsidR="00597DE2" w:rsidRPr="00DC1A5F" w:rsidRDefault="00597DE2" w:rsidP="00597DE2">
      <w:pPr>
        <w:pStyle w:val="VersoIngls01Sangria"/>
        <w:rPr>
          <w:sz w:val="16"/>
          <w:szCs w:val="20"/>
        </w:rPr>
      </w:pPr>
      <w:r w:rsidRPr="00DC1A5F">
        <w:rPr>
          <w:sz w:val="16"/>
          <w:szCs w:val="20"/>
        </w:rPr>
        <w:t>Una tumba infernal de excremento, nunca se produciría</w:t>
      </w:r>
    </w:p>
    <w:p w14:paraId="77C6352D" w14:textId="77777777" w:rsidR="00597DE2" w:rsidRPr="00DC1A5F" w:rsidRDefault="00597DE2" w:rsidP="00597DE2">
      <w:pPr>
        <w:pStyle w:val="VersoIngls01Sangria"/>
        <w:spacing w:after="100"/>
        <w:ind w:left="1418"/>
        <w:rPr>
          <w:sz w:val="16"/>
          <w:szCs w:val="20"/>
        </w:rPr>
      </w:pPr>
      <w:r w:rsidRPr="00DC1A5F">
        <w:rPr>
          <w:sz w:val="16"/>
          <w:szCs w:val="20"/>
        </w:rPr>
        <w:t>Sin un renacimiento: ese nacimiento es dolor, no hay lugar para ninguna duda.</w:t>
      </w:r>
    </w:p>
    <w:p w14:paraId="09F2EB19" w14:textId="77777777" w:rsidR="00597DE2" w:rsidRPr="00DC1A5F" w:rsidRDefault="00597DE2" w:rsidP="00597DE2">
      <w:pPr>
        <w:pStyle w:val="VersoIngls01Sangria"/>
        <w:rPr>
          <w:sz w:val="16"/>
          <w:szCs w:val="20"/>
        </w:rPr>
      </w:pPr>
      <w:r w:rsidRPr="00DC1A5F">
        <w:rPr>
          <w:sz w:val="16"/>
          <w:szCs w:val="20"/>
        </w:rPr>
        <w:t>¿Pero por qué elaborarlo? En cualquier momento o en cualquier lugar</w:t>
      </w:r>
    </w:p>
    <w:p w14:paraId="4731D95A" w14:textId="77777777" w:rsidR="00597DE2" w:rsidRPr="00DC1A5F" w:rsidRDefault="00597DE2" w:rsidP="00597DE2">
      <w:pPr>
        <w:pStyle w:val="VersoIngls01Sangria"/>
        <w:rPr>
          <w:sz w:val="16"/>
          <w:szCs w:val="20"/>
        </w:rPr>
      </w:pPr>
      <w:r w:rsidRPr="00DC1A5F">
        <w:rPr>
          <w:sz w:val="16"/>
          <w:szCs w:val="20"/>
        </w:rPr>
        <w:t>¿Podría existir un estado doloroso si el nacimiento no lo precediera?</w:t>
      </w:r>
    </w:p>
    <w:p w14:paraId="5E6C1F2B" w14:textId="77777777" w:rsidR="00597DE2" w:rsidRPr="00DC1A5F" w:rsidRDefault="00597DE2" w:rsidP="00597DE2">
      <w:pPr>
        <w:pStyle w:val="VersoIngls01Sangria"/>
        <w:rPr>
          <w:sz w:val="16"/>
          <w:szCs w:val="20"/>
        </w:rPr>
      </w:pPr>
      <w:r w:rsidRPr="00DC1A5F">
        <w:rPr>
          <w:sz w:val="16"/>
          <w:szCs w:val="20"/>
        </w:rPr>
        <w:t>De hecho, este sabio fue tan grande cuando expuso el dolor, que se cuidó</w:t>
      </w:r>
    </w:p>
    <w:p w14:paraId="74F4ADC7" w14:textId="77777777" w:rsidR="00597DE2" w:rsidRPr="00DC1A5F" w:rsidRDefault="00597DE2" w:rsidP="00597DE2">
      <w:pPr>
        <w:pStyle w:val="VersoIngls01Sangria"/>
        <w:spacing w:after="100"/>
        <w:ind w:left="1418" w:right="-517"/>
        <w:rPr>
          <w:sz w:val="16"/>
          <w:szCs w:val="20"/>
        </w:rPr>
      </w:pPr>
      <w:r w:rsidRPr="00DC1A5F">
        <w:rPr>
          <w:sz w:val="16"/>
          <w:szCs w:val="20"/>
        </w:rPr>
        <w:t>Primero en declarar el renacimiento como dolor, cómo la condición necesaria al respecto.</w:t>
      </w:r>
    </w:p>
    <w:p w14:paraId="69BBA07B" w14:textId="77777777" w:rsidR="00597DE2" w:rsidRPr="00DC1A5F" w:rsidRDefault="00597DE2" w:rsidP="00597DE2">
      <w:pPr>
        <w:pStyle w:val="NormalConSangria"/>
      </w:pPr>
      <w:r w:rsidRPr="00DC1A5F">
        <w:t>Ésta, en primer lugar, es la exposición del nacimiento. [502]</w:t>
      </w:r>
    </w:p>
    <w:p w14:paraId="5E086BD1" w14:textId="77777777" w:rsidR="00597DE2" w:rsidRPr="00DC1A5F" w:rsidRDefault="00597DE2" w:rsidP="00597DE2">
      <w:pPr>
        <w:tabs>
          <w:tab w:val="clear" w:pos="425"/>
        </w:tabs>
        <w:spacing w:after="160"/>
      </w:pPr>
      <w:r w:rsidRPr="00DC1A5F">
        <w:br w:type="page"/>
      </w:r>
    </w:p>
    <w:p w14:paraId="041D28AA" w14:textId="77777777" w:rsidR="00597DE2" w:rsidRPr="00DC1A5F" w:rsidRDefault="00597DE2" w:rsidP="00D9414B">
      <w:pPr>
        <w:pStyle w:val="Ttulo4"/>
      </w:pPr>
      <w:r w:rsidRPr="00DC1A5F">
        <w:lastRenderedPageBreak/>
        <w:t>[(II) La Vejez]</w:t>
      </w:r>
    </w:p>
    <w:p w14:paraId="6DADBF45" w14:textId="77777777" w:rsidR="00597DE2" w:rsidRPr="00DC1A5F" w:rsidRDefault="00597DE2" w:rsidP="00597DE2">
      <w:pPr>
        <w:spacing w:after="60"/>
      </w:pPr>
      <w:r w:rsidRPr="00DC1A5F">
        <w:t xml:space="preserve">44. </w:t>
      </w:r>
      <w:r w:rsidRPr="00DC1A5F">
        <w:tab/>
      </w:r>
      <w:r w:rsidRPr="00DC1A5F">
        <w:rPr>
          <w:i/>
          <w:iCs/>
        </w:rPr>
        <w:t>La vejez es sufrimiento</w:t>
      </w:r>
      <w:r w:rsidRPr="00DC1A5F">
        <w:t xml:space="preserve">: la </w:t>
      </w:r>
      <w:proofErr w:type="spellStart"/>
      <w:r w:rsidRPr="00DC1A5F">
        <w:t>vejezes</w:t>
      </w:r>
      <w:proofErr w:type="spellEnd"/>
      <w:r w:rsidRPr="00DC1A5F">
        <w:t xml:space="preserve"> doble; como una característica de lo que se forme y, ​​en el caso de la continuidad, como la vejez de los agregados incluidos en un solo devenir, la vejez que se conoce como una “colapso” etc. (ver M III 249). Esto último es lo que se pretende aquí.</w:t>
      </w:r>
    </w:p>
    <w:p w14:paraId="3D8FBF24" w14:textId="77777777" w:rsidR="00597DE2" w:rsidRPr="00DC1A5F" w:rsidRDefault="00597DE2" w:rsidP="00597DE2">
      <w:pPr>
        <w:pStyle w:val="NormalConSangria"/>
        <w:spacing w:after="60"/>
      </w:pPr>
      <w:r w:rsidRPr="00DC1A5F">
        <w:t xml:space="preserve">No obstante, este envejecimiento tiene como </w:t>
      </w:r>
      <w:r w:rsidRPr="00DC1A5F">
        <w:rPr>
          <w:i/>
          <w:iCs/>
        </w:rPr>
        <w:t>característica</w:t>
      </w:r>
      <w:r w:rsidRPr="00DC1A5F">
        <w:t xml:space="preserve"> la maduración (gestación) de los agregados. Su </w:t>
      </w:r>
      <w:r w:rsidRPr="00DC1A5F">
        <w:rPr>
          <w:i/>
          <w:iCs/>
        </w:rPr>
        <w:t>función</w:t>
      </w:r>
      <w:r w:rsidRPr="00DC1A5F">
        <w:t xml:space="preserve"> es la conducción hacia la muerte. Se </w:t>
      </w:r>
      <w:r w:rsidRPr="00DC1A5F">
        <w:rPr>
          <w:i/>
          <w:iCs/>
        </w:rPr>
        <w:t>manifiesta</w:t>
      </w:r>
      <w:r w:rsidRPr="00DC1A5F">
        <w:t xml:space="preserve"> como la deterioración de la juventud. Es sufrimiento debido al sufrimiento causado por las formaciones y porque es una base para el sufrimiento.</w:t>
      </w:r>
    </w:p>
    <w:p w14:paraId="4EA49255" w14:textId="77777777" w:rsidR="00597DE2" w:rsidRPr="00DC1A5F" w:rsidRDefault="00597DE2" w:rsidP="00597DE2">
      <w:pPr>
        <w:spacing w:after="60"/>
      </w:pPr>
      <w:r w:rsidRPr="00DC1A5F">
        <w:t xml:space="preserve">45. </w:t>
      </w:r>
      <w:r w:rsidRPr="00DC1A5F">
        <w:tab/>
        <w:t>El envejecimiento es la base del sufrimiento corporal y mental que surge debido a muchas condiciones tales como el deterioro de todos los miembros, el deterioro y deformación de las facultades, el desvanecimiento de la juventud, el debilitamiento de la fuerza, la pérdida de la memoria y la inteligencia, el desprecio por parte de los demás, etc.</w:t>
      </w:r>
    </w:p>
    <w:p w14:paraId="1A8EA0F2" w14:textId="77777777" w:rsidR="00597DE2" w:rsidRPr="00DC1A5F" w:rsidRDefault="00597DE2" w:rsidP="00597DE2">
      <w:pPr>
        <w:pStyle w:val="NormalConSangria"/>
      </w:pPr>
      <w:r w:rsidRPr="00DC1A5F">
        <w:t>Por eso se dice al respecto:</w:t>
      </w:r>
    </w:p>
    <w:p w14:paraId="6CC12420" w14:textId="77777777" w:rsidR="00597DE2" w:rsidRPr="00DC1A5F" w:rsidRDefault="00597DE2" w:rsidP="00597DE2">
      <w:pPr>
        <w:pStyle w:val="VersoIngls01Sangria"/>
        <w:rPr>
          <w:sz w:val="16"/>
          <w:szCs w:val="20"/>
        </w:rPr>
      </w:pPr>
      <w:r w:rsidRPr="00DC1A5F">
        <w:rPr>
          <w:sz w:val="16"/>
          <w:szCs w:val="20"/>
        </w:rPr>
        <w:t>Con la deterioración de cada miembro,</w:t>
      </w:r>
    </w:p>
    <w:p w14:paraId="4893D304" w14:textId="77777777" w:rsidR="00597DE2" w:rsidRPr="00DC1A5F" w:rsidRDefault="00597DE2" w:rsidP="00597DE2">
      <w:pPr>
        <w:pStyle w:val="VersoIngls01Sangria"/>
        <w:rPr>
          <w:sz w:val="16"/>
          <w:szCs w:val="20"/>
        </w:rPr>
      </w:pPr>
      <w:r w:rsidRPr="00DC1A5F">
        <w:rPr>
          <w:sz w:val="16"/>
          <w:szCs w:val="20"/>
        </w:rPr>
        <w:t>Con la declinación de cada facultad,</w:t>
      </w:r>
    </w:p>
    <w:p w14:paraId="6A130FCD" w14:textId="77777777" w:rsidR="00597DE2" w:rsidRPr="00DC1A5F" w:rsidRDefault="00597DE2" w:rsidP="00597DE2">
      <w:pPr>
        <w:pStyle w:val="VersoIngls01Sangria"/>
        <w:rPr>
          <w:sz w:val="16"/>
          <w:szCs w:val="20"/>
        </w:rPr>
      </w:pPr>
      <w:r w:rsidRPr="00DC1A5F">
        <w:rPr>
          <w:sz w:val="16"/>
          <w:szCs w:val="20"/>
        </w:rPr>
        <w:t>Con el desvanecimiento de la juventud,</w:t>
      </w:r>
    </w:p>
    <w:p w14:paraId="78521305" w14:textId="77777777" w:rsidR="00597DE2" w:rsidRPr="00DC1A5F" w:rsidRDefault="00597DE2" w:rsidP="00597DE2">
      <w:pPr>
        <w:pStyle w:val="VersoIngls01Sangria"/>
        <w:spacing w:after="100"/>
        <w:ind w:left="1418"/>
        <w:rPr>
          <w:sz w:val="16"/>
          <w:szCs w:val="20"/>
        </w:rPr>
      </w:pPr>
      <w:r w:rsidRPr="00DC1A5F">
        <w:rPr>
          <w:sz w:val="16"/>
          <w:szCs w:val="20"/>
        </w:rPr>
        <w:t>Con el oscurecimiento de la memoria y la inteligencia,</w:t>
      </w:r>
    </w:p>
    <w:p w14:paraId="7FB0A810" w14:textId="77777777" w:rsidR="00597DE2" w:rsidRPr="00DC1A5F" w:rsidRDefault="00597DE2" w:rsidP="00597DE2">
      <w:pPr>
        <w:pStyle w:val="VersoIngls01Sangria"/>
        <w:rPr>
          <w:sz w:val="16"/>
          <w:szCs w:val="20"/>
        </w:rPr>
      </w:pPr>
      <w:r w:rsidRPr="00DC1A5F">
        <w:rPr>
          <w:sz w:val="16"/>
          <w:szCs w:val="20"/>
        </w:rPr>
        <w:t>Con el socavamiento de la fuerza ahora drenada,</w:t>
      </w:r>
    </w:p>
    <w:p w14:paraId="372C7AC1" w14:textId="77777777" w:rsidR="00597DE2" w:rsidRPr="00DC1A5F" w:rsidRDefault="00597DE2" w:rsidP="00597DE2">
      <w:pPr>
        <w:pStyle w:val="VersoIngls01Sangria"/>
        <w:rPr>
          <w:sz w:val="16"/>
          <w:szCs w:val="20"/>
        </w:rPr>
      </w:pPr>
      <w:r w:rsidRPr="00DC1A5F">
        <w:rPr>
          <w:sz w:val="16"/>
          <w:szCs w:val="20"/>
        </w:rPr>
        <w:t>Con la creciente falta de atractivo</w:t>
      </w:r>
    </w:p>
    <w:p w14:paraId="406E0B37" w14:textId="77777777" w:rsidR="00597DE2" w:rsidRPr="00DC1A5F" w:rsidRDefault="00597DE2" w:rsidP="00597DE2">
      <w:pPr>
        <w:pStyle w:val="VersoIngls01Sangria"/>
        <w:rPr>
          <w:sz w:val="16"/>
          <w:szCs w:val="20"/>
        </w:rPr>
      </w:pPr>
      <w:r w:rsidRPr="00DC1A5F">
        <w:rPr>
          <w:sz w:val="16"/>
          <w:szCs w:val="20"/>
        </w:rPr>
        <w:t>Hacia la esposa, la familia y luego</w:t>
      </w:r>
    </w:p>
    <w:p w14:paraId="58B1134C" w14:textId="77777777" w:rsidR="00597DE2" w:rsidRPr="00DC1A5F" w:rsidRDefault="00597DE2" w:rsidP="00597DE2">
      <w:pPr>
        <w:pStyle w:val="VersoIngls01Sangria"/>
        <w:spacing w:after="100"/>
        <w:ind w:left="1418"/>
        <w:rPr>
          <w:sz w:val="16"/>
          <w:szCs w:val="20"/>
        </w:rPr>
      </w:pPr>
      <w:r w:rsidRPr="00DC1A5F">
        <w:rPr>
          <w:sz w:val="16"/>
          <w:szCs w:val="20"/>
        </w:rPr>
        <w:t>Con la llegada de la vejez, qué dolor</w:t>
      </w:r>
    </w:p>
    <w:p w14:paraId="1C3E2E0B" w14:textId="77777777" w:rsidR="00597DE2" w:rsidRPr="00DC1A5F" w:rsidRDefault="00597DE2" w:rsidP="00597DE2">
      <w:pPr>
        <w:pStyle w:val="VersoIngls01Sangria"/>
        <w:rPr>
          <w:sz w:val="16"/>
          <w:szCs w:val="20"/>
        </w:rPr>
      </w:pPr>
      <w:r w:rsidRPr="00DC1A5F">
        <w:rPr>
          <w:sz w:val="16"/>
          <w:szCs w:val="20"/>
        </w:rPr>
        <w:t>Igualmente en cuerpo y en mente</w:t>
      </w:r>
    </w:p>
    <w:p w14:paraId="187910E6" w14:textId="77777777" w:rsidR="00597DE2" w:rsidRPr="00DC1A5F" w:rsidRDefault="00597DE2" w:rsidP="00597DE2">
      <w:pPr>
        <w:pStyle w:val="VersoIngls01Sangria"/>
        <w:rPr>
          <w:sz w:val="16"/>
          <w:szCs w:val="20"/>
        </w:rPr>
      </w:pPr>
      <w:r w:rsidRPr="00DC1A5F">
        <w:rPr>
          <w:sz w:val="16"/>
          <w:szCs w:val="20"/>
        </w:rPr>
        <w:t>¡Un mortal deberá esperar encontrar!</w:t>
      </w:r>
    </w:p>
    <w:p w14:paraId="778A042B" w14:textId="77777777" w:rsidR="00597DE2" w:rsidRPr="00DC1A5F" w:rsidRDefault="00597DE2" w:rsidP="00597DE2">
      <w:pPr>
        <w:pStyle w:val="VersoIngls01Sangria"/>
        <w:rPr>
          <w:sz w:val="16"/>
          <w:szCs w:val="20"/>
        </w:rPr>
      </w:pPr>
      <w:r w:rsidRPr="00DC1A5F">
        <w:rPr>
          <w:sz w:val="16"/>
          <w:szCs w:val="20"/>
        </w:rPr>
        <w:t>Ya que envejecer todo esto traerá,</w:t>
      </w:r>
    </w:p>
    <w:p w14:paraId="04CEE3CE" w14:textId="77777777" w:rsidR="00597DE2" w:rsidRPr="00DC1A5F" w:rsidRDefault="00597DE2" w:rsidP="00597DE2">
      <w:pPr>
        <w:pStyle w:val="VersoIngls01Sangria"/>
        <w:spacing w:after="100"/>
        <w:ind w:left="1418"/>
        <w:rPr>
          <w:sz w:val="16"/>
          <w:szCs w:val="20"/>
        </w:rPr>
      </w:pPr>
      <w:r w:rsidRPr="00DC1A5F">
        <w:rPr>
          <w:sz w:val="16"/>
          <w:szCs w:val="20"/>
        </w:rPr>
        <w:t>El envejecimiento es correctamente denominado sufrimiento.</w:t>
      </w:r>
    </w:p>
    <w:p w14:paraId="100604D2" w14:textId="77777777" w:rsidR="00597DE2" w:rsidRPr="00DC1A5F" w:rsidRDefault="00597DE2" w:rsidP="00597DE2">
      <w:pPr>
        <w:pStyle w:val="NormalConSangria"/>
      </w:pPr>
      <w:r w:rsidRPr="00DC1A5F">
        <w:t>Ésta es la exposición del envejecimiento.</w:t>
      </w:r>
      <w:r w:rsidRPr="00DC1A5F">
        <w:br/>
      </w:r>
    </w:p>
    <w:p w14:paraId="51F39B7E" w14:textId="77777777" w:rsidR="00597DE2" w:rsidRPr="00DC1A5F" w:rsidRDefault="00597DE2" w:rsidP="00D9414B">
      <w:pPr>
        <w:pStyle w:val="Ttulo4"/>
      </w:pPr>
      <w:r w:rsidRPr="00DC1A5F">
        <w:t>[(III) La Muerte]</w:t>
      </w:r>
    </w:p>
    <w:p w14:paraId="09A11B40" w14:textId="77777777" w:rsidR="00597DE2" w:rsidRPr="00DC1A5F" w:rsidRDefault="00597DE2" w:rsidP="00597DE2">
      <w:pPr>
        <w:spacing w:after="60"/>
      </w:pPr>
      <w:r w:rsidRPr="00DC1A5F">
        <w:t xml:space="preserve">46. </w:t>
      </w:r>
      <w:r w:rsidRPr="00DC1A5F">
        <w:tab/>
        <w:t>​​</w:t>
      </w:r>
      <w:r w:rsidRPr="00DC1A5F">
        <w:rPr>
          <w:i/>
          <w:iCs/>
        </w:rPr>
        <w:t>La muerte es sufrimiento</w:t>
      </w:r>
      <w:r w:rsidRPr="00DC1A5F">
        <w:t>: la muerte también es doble, como una característica de lo formado, según lo que se dice al respecto: “El envejecimiento y la muerte están incluidos en los agregados” (</w:t>
      </w:r>
      <w:proofErr w:type="spellStart"/>
      <w:r w:rsidRPr="00DC1A5F">
        <w:rPr>
          <w:i/>
          <w:iCs/>
        </w:rPr>
        <w:t>Dhātuk</w:t>
      </w:r>
      <w:proofErr w:type="spellEnd"/>
      <w:r w:rsidRPr="00DC1A5F">
        <w:t xml:space="preserve"> 15), y como la ruptura de la conexión de la facultad vital incluida en un solo devenir, según se dice al respecto: “Así, los mortales están en constante temor… de que ellos irán a morir” (Sn 576). Esto último es lo que se pretende aquí. La muerte con el nacimiento como condición, la muerte mediante la violencia, la muerte mediante causas naturales, la muerte mediante agotamiento de la duración de la vida, la muerte mediante el agotamiento de los méritos, estos serán todos nombres para ella.</w:t>
      </w:r>
    </w:p>
    <w:p w14:paraId="049F1E00" w14:textId="77777777" w:rsidR="00597DE2" w:rsidRPr="00DC1A5F" w:rsidRDefault="00597DE2" w:rsidP="00597DE2">
      <w:pPr>
        <w:spacing w:after="60"/>
      </w:pPr>
      <w:r w:rsidRPr="00DC1A5F">
        <w:t xml:space="preserve">47. </w:t>
      </w:r>
      <w:r w:rsidRPr="00DC1A5F">
        <w:tab/>
        <w:t xml:space="preserve">Tiene la </w:t>
      </w:r>
      <w:r w:rsidRPr="00DC1A5F">
        <w:rPr>
          <w:i/>
          <w:iCs/>
        </w:rPr>
        <w:t>característica</w:t>
      </w:r>
      <w:r w:rsidRPr="00DC1A5F">
        <w:t xml:space="preserve"> de un </w:t>
      </w:r>
      <w:proofErr w:type="spellStart"/>
      <w:r w:rsidRPr="00DC1A5F">
        <w:t>colpaso</w:t>
      </w:r>
      <w:proofErr w:type="spellEnd"/>
      <w:r w:rsidRPr="00DC1A5F">
        <w:t xml:space="preserve">. Su </w:t>
      </w:r>
      <w:r w:rsidRPr="00DC1A5F">
        <w:rPr>
          <w:i/>
          <w:iCs/>
        </w:rPr>
        <w:t>función</w:t>
      </w:r>
      <w:r w:rsidRPr="00DC1A5F">
        <w:t xml:space="preserve"> es la </w:t>
      </w:r>
      <w:proofErr w:type="spellStart"/>
      <w:r w:rsidRPr="00DC1A5F">
        <w:t>disperción</w:t>
      </w:r>
      <w:proofErr w:type="spellEnd"/>
      <w:r w:rsidRPr="00DC1A5F">
        <w:t xml:space="preserve">. Se </w:t>
      </w:r>
      <w:r w:rsidRPr="00DC1A5F">
        <w:rPr>
          <w:i/>
          <w:iCs/>
        </w:rPr>
        <w:t>manifiesta</w:t>
      </w:r>
      <w:r w:rsidRPr="00DC1A5F">
        <w:t xml:space="preserve"> como ausencia de destino [en el cual se dio el renacimiento]. Debe entenderse como sufrimiento porque será una base para el sufrimiento.</w:t>
      </w:r>
    </w:p>
    <w:p w14:paraId="674E9EDE" w14:textId="77777777" w:rsidR="00597DE2" w:rsidRPr="00DC1A5F" w:rsidRDefault="00597DE2" w:rsidP="00597DE2">
      <w:pPr>
        <w:pStyle w:val="NormalConSangria"/>
      </w:pPr>
      <w:r w:rsidRPr="00DC1A5F">
        <w:t>Por eso, esto se dice al respecto:</w:t>
      </w:r>
    </w:p>
    <w:p w14:paraId="4E31A5AE" w14:textId="77777777" w:rsidR="00597DE2" w:rsidRPr="00DC1A5F" w:rsidRDefault="00597DE2" w:rsidP="00597DE2">
      <w:pPr>
        <w:pStyle w:val="VersoIngls01Sangria"/>
        <w:rPr>
          <w:sz w:val="16"/>
          <w:szCs w:val="20"/>
        </w:rPr>
      </w:pPr>
      <w:r w:rsidRPr="00DC1A5F">
        <w:rPr>
          <w:sz w:val="16"/>
          <w:szCs w:val="20"/>
        </w:rPr>
        <w:t>Sin distinción sobre como ellos mueran</w:t>
      </w:r>
    </w:p>
    <w:p w14:paraId="61ADE7CA" w14:textId="77777777" w:rsidR="00597DE2" w:rsidRPr="00DC1A5F" w:rsidRDefault="00597DE2" w:rsidP="00597DE2">
      <w:pPr>
        <w:pStyle w:val="VersoIngls01Sangria"/>
        <w:rPr>
          <w:sz w:val="16"/>
          <w:szCs w:val="20"/>
        </w:rPr>
      </w:pPr>
      <w:r w:rsidRPr="00DC1A5F">
        <w:rPr>
          <w:sz w:val="16"/>
          <w:szCs w:val="20"/>
        </w:rPr>
        <w:t xml:space="preserve">El dolor se apoderará de sus mentes de manera imparcial </w:t>
      </w:r>
    </w:p>
    <w:p w14:paraId="67A21994" w14:textId="77777777" w:rsidR="00597DE2" w:rsidRPr="00DC1A5F" w:rsidRDefault="00597DE2" w:rsidP="00597DE2">
      <w:pPr>
        <w:pStyle w:val="VersoIngls01Sangria"/>
        <w:rPr>
          <w:sz w:val="16"/>
          <w:szCs w:val="20"/>
        </w:rPr>
      </w:pPr>
      <w:r w:rsidRPr="00DC1A5F">
        <w:rPr>
          <w:sz w:val="16"/>
          <w:szCs w:val="20"/>
        </w:rPr>
        <w:t>Cuando los impíos vean sus malas acciones.</w:t>
      </w:r>
    </w:p>
    <w:p w14:paraId="50BC43DE" w14:textId="77777777" w:rsidR="00597DE2" w:rsidRPr="00DC1A5F" w:rsidRDefault="00597DE2" w:rsidP="00597DE2">
      <w:pPr>
        <w:tabs>
          <w:tab w:val="clear" w:pos="425"/>
        </w:tabs>
        <w:spacing w:after="160"/>
      </w:pPr>
      <w:r w:rsidRPr="00DC1A5F">
        <w:br w:type="page"/>
      </w:r>
    </w:p>
    <w:p w14:paraId="61847436" w14:textId="77777777" w:rsidR="00597DE2" w:rsidRPr="00DC1A5F" w:rsidRDefault="00597DE2" w:rsidP="00597DE2">
      <w:pPr>
        <w:pStyle w:val="VersoIngls01Sangria"/>
      </w:pPr>
    </w:p>
    <w:p w14:paraId="316B3048" w14:textId="77777777" w:rsidR="00597DE2" w:rsidRPr="00DC1A5F" w:rsidRDefault="00597DE2" w:rsidP="00597DE2">
      <w:pPr>
        <w:pStyle w:val="VersoIngls01Sangria"/>
        <w:rPr>
          <w:sz w:val="16"/>
          <w:szCs w:val="20"/>
        </w:rPr>
      </w:pPr>
    </w:p>
    <w:p w14:paraId="78280CE0" w14:textId="77777777" w:rsidR="00597DE2" w:rsidRPr="00DC1A5F" w:rsidRDefault="00597DE2" w:rsidP="00597DE2">
      <w:pPr>
        <w:pStyle w:val="VersoIngls01Sangria"/>
        <w:rPr>
          <w:sz w:val="16"/>
          <w:szCs w:val="20"/>
        </w:rPr>
      </w:pPr>
      <w:r w:rsidRPr="00DC1A5F">
        <w:rPr>
          <w:sz w:val="16"/>
          <w:szCs w:val="20"/>
        </w:rPr>
        <w:t>O podrá ser el signo de un nuevo renacimiento.</w:t>
      </w:r>
    </w:p>
    <w:p w14:paraId="3382DB98" w14:textId="77777777" w:rsidR="00597DE2" w:rsidRPr="00DC1A5F" w:rsidRDefault="00597DE2" w:rsidP="00597DE2">
      <w:pPr>
        <w:pStyle w:val="VersoIngls01Sangria"/>
        <w:rPr>
          <w:sz w:val="16"/>
          <w:szCs w:val="20"/>
        </w:rPr>
      </w:pPr>
      <w:r w:rsidRPr="00DC1A5F">
        <w:rPr>
          <w:sz w:val="16"/>
          <w:szCs w:val="20"/>
        </w:rPr>
        <w:t>Cuando los hombres buenos no puedan soportar tampoco</w:t>
      </w:r>
    </w:p>
    <w:p w14:paraId="3E2F378D" w14:textId="77777777" w:rsidR="00597DE2" w:rsidRPr="00DC1A5F" w:rsidRDefault="00597DE2" w:rsidP="00597DE2">
      <w:pPr>
        <w:pStyle w:val="VersoIngls01Sangria"/>
        <w:rPr>
          <w:sz w:val="16"/>
          <w:szCs w:val="20"/>
        </w:rPr>
      </w:pPr>
      <w:r w:rsidRPr="00DC1A5F">
        <w:rPr>
          <w:sz w:val="16"/>
          <w:szCs w:val="20"/>
        </w:rPr>
        <w:t>Separarse de todo lo que aman.</w:t>
      </w:r>
    </w:p>
    <w:p w14:paraId="3472F431" w14:textId="77777777" w:rsidR="00597DE2" w:rsidRPr="00DC1A5F" w:rsidRDefault="00597DE2" w:rsidP="00597DE2">
      <w:pPr>
        <w:pStyle w:val="VersoIngls01Sangria"/>
        <w:rPr>
          <w:sz w:val="16"/>
          <w:szCs w:val="20"/>
        </w:rPr>
      </w:pPr>
      <w:r w:rsidRPr="00DC1A5F">
        <w:rPr>
          <w:sz w:val="16"/>
          <w:szCs w:val="20"/>
        </w:rPr>
        <w:t xml:space="preserve">Entonces, el dolor corporal cortará los tendones. </w:t>
      </w:r>
    </w:p>
    <w:p w14:paraId="390EB8B8" w14:textId="77777777" w:rsidR="00597DE2" w:rsidRPr="00DC1A5F" w:rsidRDefault="00597DE2" w:rsidP="00597DE2">
      <w:pPr>
        <w:pStyle w:val="VersoIngls01Sangria"/>
        <w:rPr>
          <w:sz w:val="16"/>
          <w:szCs w:val="20"/>
        </w:rPr>
      </w:pPr>
      <w:r w:rsidRPr="00DC1A5F">
        <w:rPr>
          <w:sz w:val="16"/>
          <w:szCs w:val="20"/>
        </w:rPr>
        <w:t>Las rótulas y así sucesivamente, continuará la [503]</w:t>
      </w:r>
    </w:p>
    <w:p w14:paraId="04D1382C" w14:textId="77777777" w:rsidR="00597DE2" w:rsidRPr="00DC1A5F" w:rsidRDefault="00597DE2" w:rsidP="00597DE2">
      <w:pPr>
        <w:pStyle w:val="VersoIngls01Sangria"/>
        <w:rPr>
          <w:sz w:val="16"/>
          <w:szCs w:val="20"/>
        </w:rPr>
      </w:pPr>
      <w:r w:rsidRPr="00DC1A5F">
        <w:rPr>
          <w:sz w:val="16"/>
          <w:szCs w:val="20"/>
        </w:rPr>
        <w:t>Tortura insoportable, que atormentará a</w:t>
      </w:r>
    </w:p>
    <w:p w14:paraId="6964B4D7" w14:textId="77777777" w:rsidR="00597DE2" w:rsidRPr="00DC1A5F" w:rsidRDefault="00597DE2" w:rsidP="00597DE2">
      <w:pPr>
        <w:pStyle w:val="VersoIngls01Sangria"/>
        <w:rPr>
          <w:sz w:val="16"/>
          <w:szCs w:val="20"/>
        </w:rPr>
      </w:pPr>
      <w:r w:rsidRPr="00DC1A5F">
        <w:rPr>
          <w:sz w:val="16"/>
          <w:szCs w:val="20"/>
        </w:rPr>
        <w:t>Todos aquellos cuyas vitalidades ataque la muerte</w:t>
      </w:r>
    </w:p>
    <w:p w14:paraId="577A9989" w14:textId="77777777" w:rsidR="00597DE2" w:rsidRPr="00DC1A5F" w:rsidRDefault="00597DE2" w:rsidP="00597DE2">
      <w:pPr>
        <w:pStyle w:val="VersoIngls01Sangria"/>
        <w:rPr>
          <w:sz w:val="16"/>
          <w:szCs w:val="20"/>
        </w:rPr>
      </w:pPr>
      <w:r w:rsidRPr="00DC1A5F">
        <w:rPr>
          <w:sz w:val="16"/>
          <w:szCs w:val="20"/>
        </w:rPr>
        <w:t>Con un agarre que ya no se relajará.</w:t>
      </w:r>
    </w:p>
    <w:p w14:paraId="1560F929" w14:textId="77777777" w:rsidR="00597DE2" w:rsidRPr="00DC1A5F" w:rsidRDefault="00597DE2" w:rsidP="00597DE2">
      <w:pPr>
        <w:pStyle w:val="VersoIngls01Sangria"/>
        <w:rPr>
          <w:sz w:val="16"/>
          <w:szCs w:val="20"/>
        </w:rPr>
      </w:pPr>
      <w:r w:rsidRPr="00DC1A5F">
        <w:rPr>
          <w:sz w:val="16"/>
          <w:szCs w:val="20"/>
        </w:rPr>
        <w:t>La muerte será la base de tal dolor.</w:t>
      </w:r>
    </w:p>
    <w:p w14:paraId="44434BF2" w14:textId="77777777" w:rsidR="00597DE2" w:rsidRPr="00DC1A5F" w:rsidRDefault="00597DE2" w:rsidP="00597DE2">
      <w:pPr>
        <w:pStyle w:val="VersoIngls01Sangria"/>
        <w:rPr>
          <w:sz w:val="16"/>
          <w:szCs w:val="20"/>
        </w:rPr>
      </w:pPr>
      <w:r w:rsidRPr="00DC1A5F">
        <w:rPr>
          <w:sz w:val="16"/>
          <w:szCs w:val="20"/>
        </w:rPr>
        <w:t>Y esto bastará para explicar</w:t>
      </w:r>
    </w:p>
    <w:p w14:paraId="64C569A4" w14:textId="77777777" w:rsidR="00597DE2" w:rsidRPr="00DC1A5F" w:rsidRDefault="00597DE2" w:rsidP="00597DE2">
      <w:pPr>
        <w:pStyle w:val="VersoIngls01Sangria"/>
        <w:rPr>
          <w:sz w:val="16"/>
          <w:szCs w:val="20"/>
        </w:rPr>
      </w:pPr>
      <w:r w:rsidRPr="00DC1A5F">
        <w:rPr>
          <w:sz w:val="16"/>
          <w:szCs w:val="20"/>
        </w:rPr>
        <w:t>Por qué la muerte debería ganarse el nombre del dolor.</w:t>
      </w:r>
    </w:p>
    <w:p w14:paraId="0472938C" w14:textId="77777777" w:rsidR="00597DE2" w:rsidRPr="00DC1A5F" w:rsidRDefault="00597DE2" w:rsidP="00597DE2">
      <w:pPr>
        <w:pStyle w:val="VersoIngls01Sangria"/>
        <w:rPr>
          <w:sz w:val="16"/>
          <w:szCs w:val="20"/>
        </w:rPr>
      </w:pPr>
    </w:p>
    <w:p w14:paraId="3A93029B" w14:textId="77777777" w:rsidR="00597DE2" w:rsidRPr="00DC1A5F" w:rsidRDefault="00597DE2" w:rsidP="00597DE2">
      <w:pPr>
        <w:pStyle w:val="NormalConSangria"/>
      </w:pPr>
      <w:r w:rsidRPr="00DC1A5F">
        <w:t>Ésta corresponde a la exposición sobre la muerte.</w:t>
      </w:r>
      <w:r w:rsidRPr="00DC1A5F">
        <w:br/>
      </w:r>
    </w:p>
    <w:p w14:paraId="34D7B63F" w14:textId="77777777" w:rsidR="00597DE2" w:rsidRPr="00DC1A5F" w:rsidRDefault="00597DE2" w:rsidP="00D9414B">
      <w:pPr>
        <w:pStyle w:val="Ttulo4"/>
      </w:pPr>
      <w:r w:rsidRPr="00DC1A5F">
        <w:t>[(IV) Aflicción]</w:t>
      </w:r>
    </w:p>
    <w:p w14:paraId="527762BB" w14:textId="77777777" w:rsidR="00597DE2" w:rsidRPr="00DC1A5F" w:rsidRDefault="00597DE2" w:rsidP="00597DE2">
      <w:pPr>
        <w:pStyle w:val="Textoindependiente"/>
      </w:pPr>
      <w:r w:rsidRPr="00DC1A5F">
        <w:t xml:space="preserve">48. </w:t>
      </w:r>
      <w:r w:rsidRPr="00DC1A5F">
        <w:tab/>
      </w:r>
      <w:r w:rsidRPr="00DC1A5F">
        <w:rPr>
          <w:i/>
          <w:iCs/>
        </w:rPr>
        <w:t>En cuanto a la aflicción</w:t>
      </w:r>
      <w:r w:rsidRPr="00DC1A5F">
        <w:t xml:space="preserve">, etc., la aflicción es un ardor en la mente de alguien afectado por la pérdida de familiares, etc. Aunque en significado es lo mismo que la amargura, sin embargo, tiene como </w:t>
      </w:r>
      <w:r w:rsidRPr="00DC1A5F">
        <w:rPr>
          <w:i/>
          <w:iCs/>
        </w:rPr>
        <w:t>característica</w:t>
      </w:r>
      <w:r w:rsidRPr="00DC1A5F">
        <w:t xml:space="preserve"> el consumirse internamente, su </w:t>
      </w:r>
      <w:r w:rsidRPr="00DC1A5F">
        <w:rPr>
          <w:i/>
          <w:iCs/>
        </w:rPr>
        <w:t>función</w:t>
      </w:r>
      <w:r w:rsidRPr="00DC1A5F">
        <w:t xml:space="preserve"> es consumir completamente la mente. Se </w:t>
      </w:r>
      <w:r w:rsidRPr="00DC1A5F">
        <w:rPr>
          <w:i/>
          <w:iCs/>
        </w:rPr>
        <w:t>manifiesta</w:t>
      </w:r>
      <w:r w:rsidRPr="00DC1A5F">
        <w:t xml:space="preserve"> como un dolor continuo. Es sufrimiento porque es un sufrimiento intrínseco y porque es una base para el sufrimiento. Por eso, se dice al respecto:</w:t>
      </w:r>
    </w:p>
    <w:p w14:paraId="49138397" w14:textId="77777777" w:rsidR="00597DE2" w:rsidRPr="00DC1A5F" w:rsidRDefault="00597DE2" w:rsidP="00597DE2">
      <w:pPr>
        <w:pStyle w:val="VersoIngls01Sangria"/>
        <w:rPr>
          <w:sz w:val="16"/>
          <w:szCs w:val="20"/>
        </w:rPr>
      </w:pPr>
      <w:r w:rsidRPr="00DC1A5F">
        <w:rPr>
          <w:sz w:val="16"/>
          <w:szCs w:val="20"/>
        </w:rPr>
        <w:t>La aflicción es un dardo envenenado</w:t>
      </w:r>
    </w:p>
    <w:p w14:paraId="0CAC01AA" w14:textId="77777777" w:rsidR="00597DE2" w:rsidRPr="00DC1A5F" w:rsidRDefault="00597DE2" w:rsidP="00597DE2">
      <w:pPr>
        <w:pStyle w:val="VersoIngls01Sangria"/>
        <w:rPr>
          <w:sz w:val="16"/>
          <w:szCs w:val="20"/>
        </w:rPr>
      </w:pPr>
      <w:r w:rsidRPr="00DC1A5F">
        <w:rPr>
          <w:sz w:val="16"/>
          <w:szCs w:val="20"/>
        </w:rPr>
        <w:t>Que penetra el corazón de un ser;</w:t>
      </w:r>
    </w:p>
    <w:p w14:paraId="3DC88703" w14:textId="77777777" w:rsidR="00597DE2" w:rsidRPr="00DC1A5F" w:rsidRDefault="00597DE2" w:rsidP="00597DE2">
      <w:pPr>
        <w:pStyle w:val="VersoIngls01Sangria"/>
        <w:rPr>
          <w:sz w:val="16"/>
          <w:szCs w:val="20"/>
        </w:rPr>
      </w:pPr>
      <w:r w:rsidRPr="00DC1A5F">
        <w:rPr>
          <w:sz w:val="16"/>
          <w:szCs w:val="20"/>
        </w:rPr>
        <w:t>Preparando un ardor quemante allí</w:t>
      </w:r>
    </w:p>
    <w:p w14:paraId="50F05707" w14:textId="77777777" w:rsidR="00597DE2" w:rsidRPr="00DC1A5F" w:rsidRDefault="00597DE2" w:rsidP="00597DE2">
      <w:pPr>
        <w:pStyle w:val="VersoIngls01Sangria"/>
        <w:spacing w:after="100"/>
        <w:ind w:left="1418"/>
        <w:rPr>
          <w:sz w:val="16"/>
          <w:szCs w:val="20"/>
        </w:rPr>
      </w:pPr>
      <w:r w:rsidRPr="00DC1A5F">
        <w:rPr>
          <w:sz w:val="16"/>
          <w:szCs w:val="20"/>
        </w:rPr>
        <w:t>Como el calentamiento de una lanza al rojo vivo.</w:t>
      </w:r>
    </w:p>
    <w:p w14:paraId="2F4798B0" w14:textId="77777777" w:rsidR="00597DE2" w:rsidRPr="00DC1A5F" w:rsidRDefault="00597DE2" w:rsidP="00597DE2">
      <w:pPr>
        <w:pStyle w:val="VersoIngls01Sangria"/>
        <w:rPr>
          <w:sz w:val="16"/>
          <w:szCs w:val="20"/>
        </w:rPr>
      </w:pPr>
      <w:r w:rsidRPr="00DC1A5F">
        <w:rPr>
          <w:sz w:val="16"/>
          <w:szCs w:val="20"/>
        </w:rPr>
        <w:t>Este estado mental trae dolor futuro (ver XVII. §273.)</w:t>
      </w:r>
    </w:p>
    <w:p w14:paraId="68B9560D" w14:textId="77777777" w:rsidR="00597DE2" w:rsidRPr="00DC1A5F" w:rsidRDefault="00597DE2" w:rsidP="00597DE2">
      <w:pPr>
        <w:pStyle w:val="VersoIngls01Sangria"/>
        <w:rPr>
          <w:sz w:val="16"/>
          <w:szCs w:val="20"/>
        </w:rPr>
      </w:pPr>
      <w:r w:rsidRPr="00DC1A5F">
        <w:rPr>
          <w:sz w:val="16"/>
          <w:szCs w:val="20"/>
        </w:rPr>
        <w:t>Como una enfermedad y luego, otra vez</w:t>
      </w:r>
    </w:p>
    <w:p w14:paraId="292720D1" w14:textId="77777777" w:rsidR="00597DE2" w:rsidRPr="00DC1A5F" w:rsidRDefault="00597DE2" w:rsidP="00597DE2">
      <w:pPr>
        <w:pStyle w:val="VersoIngls01Sangria"/>
        <w:rPr>
          <w:sz w:val="16"/>
          <w:szCs w:val="20"/>
        </w:rPr>
      </w:pPr>
      <w:r w:rsidRPr="00DC1A5F">
        <w:rPr>
          <w:sz w:val="16"/>
          <w:szCs w:val="20"/>
        </w:rPr>
        <w:t xml:space="preserve">Envejecimiento y muerte, así uno puede afirmar </w:t>
      </w:r>
    </w:p>
    <w:p w14:paraId="5D22C193" w14:textId="77777777" w:rsidR="00597DE2" w:rsidRPr="00DC1A5F" w:rsidRDefault="00597DE2" w:rsidP="00597DE2">
      <w:pPr>
        <w:pStyle w:val="VersoIngls01Sangria"/>
        <w:spacing w:after="100"/>
        <w:ind w:left="1418"/>
      </w:pPr>
      <w:r w:rsidRPr="00DC1A5F">
        <w:rPr>
          <w:sz w:val="16"/>
          <w:szCs w:val="20"/>
        </w:rPr>
        <w:t>Que también por ello se le llama dolor.</w:t>
      </w:r>
    </w:p>
    <w:p w14:paraId="19690177" w14:textId="77777777" w:rsidR="00597DE2" w:rsidRPr="00DC1A5F" w:rsidRDefault="00597DE2" w:rsidP="00597DE2">
      <w:pPr>
        <w:pStyle w:val="NormalConSangria"/>
      </w:pPr>
      <w:r w:rsidRPr="00DC1A5F">
        <w:t>Ésta es la exposición de la</w:t>
      </w:r>
      <w:r w:rsidRPr="00DC1A5F">
        <w:rPr>
          <w:i/>
          <w:iCs/>
        </w:rPr>
        <w:t xml:space="preserve"> aflicción</w:t>
      </w:r>
      <w:r w:rsidRPr="00DC1A5F">
        <w:t>.</w:t>
      </w:r>
      <w:r w:rsidRPr="00DC1A5F">
        <w:br/>
      </w:r>
    </w:p>
    <w:p w14:paraId="6C69FCA2" w14:textId="77777777" w:rsidR="00597DE2" w:rsidRPr="00DC1A5F" w:rsidRDefault="00597DE2" w:rsidP="00D9414B">
      <w:pPr>
        <w:pStyle w:val="Ttulo4"/>
      </w:pPr>
      <w:r w:rsidRPr="00DC1A5F">
        <w:t>[(V) La Lamentación]</w:t>
      </w:r>
    </w:p>
    <w:p w14:paraId="390DBADA" w14:textId="77777777" w:rsidR="00597DE2" w:rsidRPr="00DC1A5F" w:rsidRDefault="00597DE2" w:rsidP="00597DE2">
      <w:pPr>
        <w:pStyle w:val="Textoindependiente"/>
      </w:pPr>
      <w:r w:rsidRPr="00DC1A5F">
        <w:t xml:space="preserve">49. </w:t>
      </w:r>
      <w:r w:rsidRPr="00DC1A5F">
        <w:tab/>
      </w:r>
      <w:r w:rsidRPr="00DC1A5F">
        <w:rPr>
          <w:i/>
          <w:iCs/>
        </w:rPr>
        <w:t>La lamentación</w:t>
      </w:r>
      <w:r w:rsidRPr="00DC1A5F">
        <w:t xml:space="preserve"> es un clamor verbal por parte de alguien afectado por la pérdida de familiares, etc. Tiene al llanto como su </w:t>
      </w:r>
      <w:r w:rsidRPr="00DC1A5F">
        <w:rPr>
          <w:i/>
          <w:iCs/>
        </w:rPr>
        <w:t>característica</w:t>
      </w:r>
      <w:r w:rsidRPr="00DC1A5F">
        <w:t xml:space="preserve">. Su </w:t>
      </w:r>
      <w:r w:rsidRPr="00DC1A5F">
        <w:rPr>
          <w:i/>
          <w:iCs/>
        </w:rPr>
        <w:t>función</w:t>
      </w:r>
      <w:r w:rsidRPr="00DC1A5F">
        <w:t xml:space="preserve"> es proclamar virtudes y vicios. Se </w:t>
      </w:r>
      <w:r w:rsidRPr="00DC1A5F">
        <w:rPr>
          <w:i/>
          <w:iCs/>
        </w:rPr>
        <w:t>manifiesta</w:t>
      </w:r>
      <w:r w:rsidRPr="00DC1A5F">
        <w:t xml:space="preserve"> como tumulto. Es sufrimiento porque es un estado de sufrimiento debido a las formaciones y porque es una base para el sufrimiento. Por eso, se dice al respecto:</w:t>
      </w:r>
    </w:p>
    <w:p w14:paraId="5EC61B87" w14:textId="77777777" w:rsidR="00597DE2" w:rsidRPr="00DC1A5F" w:rsidRDefault="00597DE2" w:rsidP="00597DE2">
      <w:pPr>
        <w:pStyle w:val="VersoIngls01Sangria"/>
        <w:rPr>
          <w:sz w:val="16"/>
          <w:szCs w:val="20"/>
        </w:rPr>
      </w:pPr>
      <w:r w:rsidRPr="00DC1A5F">
        <w:rPr>
          <w:sz w:val="16"/>
          <w:szCs w:val="20"/>
        </w:rPr>
        <w:t>Ahora bien, cuando un hombre es golpeado por el dardo de las penas y se lamenta</w:t>
      </w:r>
    </w:p>
    <w:p w14:paraId="711AFE2E" w14:textId="77777777" w:rsidR="00597DE2" w:rsidRPr="00DC1A5F" w:rsidRDefault="00597DE2" w:rsidP="00597DE2">
      <w:pPr>
        <w:pStyle w:val="VersoIngls01Sangria"/>
        <w:rPr>
          <w:sz w:val="16"/>
          <w:szCs w:val="20"/>
        </w:rPr>
      </w:pPr>
      <w:r w:rsidRPr="00DC1A5F">
        <w:rPr>
          <w:sz w:val="16"/>
          <w:szCs w:val="20"/>
        </w:rPr>
        <w:t>El dolor que ya está sufriendo crece</w:t>
      </w:r>
    </w:p>
    <w:p w14:paraId="33961962" w14:textId="77777777" w:rsidR="00597DE2" w:rsidRPr="00DC1A5F" w:rsidRDefault="00597DE2" w:rsidP="00597DE2">
      <w:pPr>
        <w:pStyle w:val="VersoIngls01Sangria"/>
        <w:rPr>
          <w:sz w:val="16"/>
          <w:szCs w:val="20"/>
        </w:rPr>
      </w:pPr>
      <w:r w:rsidRPr="00DC1A5F">
        <w:rPr>
          <w:sz w:val="16"/>
          <w:szCs w:val="20"/>
        </w:rPr>
        <w:t xml:space="preserve">Con un dolor nacido de la garganta, labios y paladar secos, difícil de soportar. </w:t>
      </w:r>
    </w:p>
    <w:p w14:paraId="20588305" w14:textId="77777777" w:rsidR="00597DE2" w:rsidRPr="00DC1A5F" w:rsidRDefault="00597DE2" w:rsidP="00597DE2">
      <w:pPr>
        <w:pStyle w:val="VersoIngls01Sangria"/>
        <w:spacing w:after="100"/>
        <w:ind w:left="1418"/>
        <w:rPr>
          <w:sz w:val="16"/>
          <w:szCs w:val="20"/>
        </w:rPr>
      </w:pPr>
      <w:r w:rsidRPr="00DC1A5F">
        <w:rPr>
          <w:sz w:val="16"/>
          <w:szCs w:val="20"/>
        </w:rPr>
        <w:t xml:space="preserve">Y así la lamentación también es dolor, declaró el </w:t>
      </w:r>
      <w:r w:rsidRPr="00DC1A5F">
        <w:rPr>
          <w:i/>
          <w:sz w:val="16"/>
          <w:szCs w:val="20"/>
        </w:rPr>
        <w:t>Buddha</w:t>
      </w:r>
      <w:r w:rsidRPr="00DC1A5F">
        <w:rPr>
          <w:sz w:val="16"/>
          <w:szCs w:val="20"/>
        </w:rPr>
        <w:t>.</w:t>
      </w:r>
    </w:p>
    <w:p w14:paraId="7EA7160D" w14:textId="77777777" w:rsidR="00597DE2" w:rsidRPr="00DC1A5F" w:rsidRDefault="00597DE2" w:rsidP="00597DE2">
      <w:pPr>
        <w:pStyle w:val="NormalConSangria"/>
      </w:pPr>
      <w:r w:rsidRPr="00DC1A5F">
        <w:t xml:space="preserve">Ésta es la exposición de la </w:t>
      </w:r>
      <w:r w:rsidRPr="00DC1A5F">
        <w:rPr>
          <w:i/>
          <w:iCs/>
        </w:rPr>
        <w:t>lamentación</w:t>
      </w:r>
      <w:r w:rsidRPr="00DC1A5F">
        <w:t>.</w:t>
      </w:r>
    </w:p>
    <w:p w14:paraId="6B05FC9D" w14:textId="77777777" w:rsidR="00597DE2" w:rsidRPr="00DC1A5F" w:rsidRDefault="00597DE2" w:rsidP="00597DE2">
      <w:pPr>
        <w:tabs>
          <w:tab w:val="clear" w:pos="425"/>
        </w:tabs>
        <w:spacing w:after="160"/>
      </w:pPr>
      <w:r w:rsidRPr="00DC1A5F">
        <w:br w:type="page"/>
      </w:r>
    </w:p>
    <w:p w14:paraId="5FB8F1AB" w14:textId="77777777" w:rsidR="00597DE2" w:rsidRPr="00DC1A5F" w:rsidRDefault="00597DE2" w:rsidP="00D9414B">
      <w:pPr>
        <w:pStyle w:val="Ttulo4"/>
      </w:pPr>
      <w:r w:rsidRPr="00DC1A5F">
        <w:lastRenderedPageBreak/>
        <w:t>[(VI) Dolor]</w:t>
      </w:r>
    </w:p>
    <w:p w14:paraId="551C16D8" w14:textId="77777777" w:rsidR="00597DE2" w:rsidRPr="00DC1A5F" w:rsidRDefault="00597DE2" w:rsidP="00597DE2">
      <w:pPr>
        <w:pStyle w:val="Textoindependiente"/>
      </w:pPr>
      <w:r w:rsidRPr="00DC1A5F">
        <w:t xml:space="preserve">50. </w:t>
      </w:r>
      <w:r w:rsidRPr="00DC1A5F">
        <w:tab/>
      </w:r>
      <w:r w:rsidRPr="00DC1A5F">
        <w:rPr>
          <w:i/>
          <w:iCs/>
        </w:rPr>
        <w:t>El dolor</w:t>
      </w:r>
      <w:r w:rsidRPr="00DC1A5F">
        <w:t xml:space="preserve"> corresponderá al dolor corporal. Su </w:t>
      </w:r>
      <w:r w:rsidRPr="00DC1A5F">
        <w:rPr>
          <w:i/>
          <w:iCs/>
        </w:rPr>
        <w:t>característica</w:t>
      </w:r>
      <w:r w:rsidRPr="00DC1A5F">
        <w:t xml:space="preserve"> es la opresión del cuerpo. Su </w:t>
      </w:r>
      <w:r w:rsidRPr="00DC1A5F">
        <w:rPr>
          <w:i/>
          <w:iCs/>
        </w:rPr>
        <w:t>función</w:t>
      </w:r>
      <w:r w:rsidRPr="00DC1A5F">
        <w:t xml:space="preserve"> es causar dolor en los necios. Se </w:t>
      </w:r>
      <w:r w:rsidRPr="00DC1A5F">
        <w:rPr>
          <w:i/>
          <w:iCs/>
        </w:rPr>
        <w:t>manifiesta</w:t>
      </w:r>
      <w:r w:rsidRPr="00DC1A5F">
        <w:t xml:space="preserve"> como aflicción corporal. Es sufrimiento porque es un sufrimiento intrínseco y porque conlleva sufrimiento mental. Por eso, se dice al respecto:</w:t>
      </w:r>
    </w:p>
    <w:p w14:paraId="31A541A0" w14:textId="77777777" w:rsidR="00597DE2" w:rsidRPr="00DC1A5F" w:rsidRDefault="00597DE2" w:rsidP="00597DE2">
      <w:pPr>
        <w:pStyle w:val="VersoIngls01Sangria"/>
        <w:rPr>
          <w:sz w:val="16"/>
          <w:szCs w:val="20"/>
        </w:rPr>
      </w:pPr>
      <w:r w:rsidRPr="00DC1A5F">
        <w:rPr>
          <w:sz w:val="16"/>
          <w:szCs w:val="20"/>
        </w:rPr>
        <w:t>El dolor angustia corporalmente.</w:t>
      </w:r>
    </w:p>
    <w:p w14:paraId="2BD352D8" w14:textId="77777777" w:rsidR="00597DE2" w:rsidRPr="00DC1A5F" w:rsidRDefault="00597DE2" w:rsidP="00597DE2">
      <w:pPr>
        <w:pStyle w:val="VersoIngls01Sangria"/>
        <w:rPr>
          <w:sz w:val="16"/>
          <w:szCs w:val="20"/>
        </w:rPr>
      </w:pPr>
      <w:r w:rsidRPr="00DC1A5F">
        <w:rPr>
          <w:sz w:val="16"/>
          <w:szCs w:val="20"/>
        </w:rPr>
        <w:t xml:space="preserve">Por lo tanto, angustia mentalmente una y otra vez; </w:t>
      </w:r>
    </w:p>
    <w:p w14:paraId="651DF964" w14:textId="77777777" w:rsidR="00597DE2" w:rsidRPr="00DC1A5F" w:rsidRDefault="00597DE2" w:rsidP="00597DE2">
      <w:pPr>
        <w:pStyle w:val="VersoIngls01Sangria"/>
        <w:rPr>
          <w:sz w:val="16"/>
          <w:szCs w:val="20"/>
        </w:rPr>
      </w:pPr>
      <w:r w:rsidRPr="00DC1A5F">
        <w:rPr>
          <w:sz w:val="16"/>
          <w:szCs w:val="20"/>
        </w:rPr>
        <w:t>Actuando así fundamentalmente.</w:t>
      </w:r>
    </w:p>
    <w:p w14:paraId="49F551C3" w14:textId="77777777" w:rsidR="00597DE2" w:rsidRPr="00DC1A5F" w:rsidRDefault="00597DE2" w:rsidP="00597DE2">
      <w:pPr>
        <w:pStyle w:val="VersoIngls01Sangria"/>
        <w:spacing w:after="100"/>
        <w:ind w:left="1418"/>
        <w:rPr>
          <w:sz w:val="16"/>
          <w:szCs w:val="20"/>
        </w:rPr>
      </w:pPr>
      <w:r w:rsidRPr="00DC1A5F">
        <w:rPr>
          <w:sz w:val="16"/>
          <w:szCs w:val="20"/>
        </w:rPr>
        <w:t>Por eso se le llama especialmente dolor.</w:t>
      </w:r>
    </w:p>
    <w:p w14:paraId="634E76E9" w14:textId="77777777" w:rsidR="00597DE2" w:rsidRPr="00DC1A5F" w:rsidRDefault="00597DE2" w:rsidP="00597DE2">
      <w:pPr>
        <w:pStyle w:val="NormalConSangria"/>
      </w:pPr>
      <w:r w:rsidRPr="00DC1A5F">
        <w:t>Ésta es la exposición sobre el dolor. [504]</w:t>
      </w:r>
      <w:r w:rsidRPr="00DC1A5F">
        <w:br/>
      </w:r>
    </w:p>
    <w:p w14:paraId="5434B703" w14:textId="77777777" w:rsidR="00597DE2" w:rsidRPr="00DC1A5F" w:rsidRDefault="00597DE2" w:rsidP="00D9414B">
      <w:pPr>
        <w:pStyle w:val="Ttulo4"/>
      </w:pPr>
      <w:r w:rsidRPr="00DC1A5F">
        <w:t>[(VII) La Angustia]</w:t>
      </w:r>
    </w:p>
    <w:p w14:paraId="055DDD4A" w14:textId="77777777" w:rsidR="00597DE2" w:rsidRPr="00DC1A5F" w:rsidRDefault="00597DE2" w:rsidP="00597DE2">
      <w:pPr>
        <w:pStyle w:val="Textoindependiente"/>
      </w:pPr>
      <w:r w:rsidRPr="00DC1A5F">
        <w:t xml:space="preserve">51. </w:t>
      </w:r>
      <w:r w:rsidRPr="00DC1A5F">
        <w:tab/>
        <w:t>La</w:t>
      </w:r>
      <w:r w:rsidRPr="00DC1A5F">
        <w:rPr>
          <w:i/>
          <w:iCs/>
        </w:rPr>
        <w:t xml:space="preserve"> angustia</w:t>
      </w:r>
      <w:r w:rsidRPr="00DC1A5F">
        <w:t xml:space="preserve"> corresponderá al dolor mental. Su </w:t>
      </w:r>
      <w:r w:rsidRPr="00DC1A5F">
        <w:rPr>
          <w:i/>
          <w:iCs/>
        </w:rPr>
        <w:t>característica</w:t>
      </w:r>
      <w:r w:rsidRPr="00DC1A5F">
        <w:t xml:space="preserve"> corresponderá a la opresión mental. Su </w:t>
      </w:r>
      <w:r w:rsidRPr="00DC1A5F">
        <w:rPr>
          <w:i/>
          <w:iCs/>
        </w:rPr>
        <w:t>función</w:t>
      </w:r>
      <w:r w:rsidRPr="00DC1A5F">
        <w:t xml:space="preserve"> es angustiar la mente. Se </w:t>
      </w:r>
      <w:r w:rsidRPr="00DC1A5F">
        <w:rPr>
          <w:i/>
          <w:iCs/>
        </w:rPr>
        <w:t>manifiesta</w:t>
      </w:r>
      <w:r w:rsidRPr="00DC1A5F">
        <w:t xml:space="preserve"> como aflicción mental. Es sufrimiento porque es un sufrimiento intrínseco y porque trae sufrimiento corporal. Ya que aquellos que están atrapados por el dolor mental se tiran de los cabellos, lloran, se golpean el pecho, se tuercen y retuercen; se arrojan boca abajo,</w:t>
      </w:r>
      <w:r w:rsidRPr="00DC1A5F">
        <w:rPr>
          <w:vertAlign w:val="superscript"/>
        </w:rPr>
        <w:t>12</w:t>
      </w:r>
      <w:r w:rsidRPr="00DC1A5F">
        <w:t xml:space="preserve"> usan el cuchillo, tragan veneno, se ahorcan con cuerdas, caminan hacia el fuego y sufren muchos tipos de sufrimiento. Por eso, se dice al respecto:</w:t>
      </w:r>
    </w:p>
    <w:p w14:paraId="7CFF0246" w14:textId="77777777" w:rsidR="00597DE2" w:rsidRPr="00DC1A5F" w:rsidRDefault="00597DE2" w:rsidP="00597DE2">
      <w:pPr>
        <w:pStyle w:val="VersoIngls01Sangria"/>
        <w:rPr>
          <w:sz w:val="16"/>
          <w:szCs w:val="20"/>
        </w:rPr>
      </w:pPr>
      <w:r w:rsidRPr="00DC1A5F">
        <w:rPr>
          <w:sz w:val="16"/>
          <w:szCs w:val="20"/>
        </w:rPr>
        <w:t>Aunque el dolor mismo angustie la mente.</w:t>
      </w:r>
    </w:p>
    <w:p w14:paraId="5E071F94" w14:textId="77777777" w:rsidR="00597DE2" w:rsidRPr="00DC1A5F" w:rsidRDefault="00597DE2" w:rsidP="00597DE2">
      <w:pPr>
        <w:pStyle w:val="VersoIngls01Sangria"/>
        <w:rPr>
          <w:sz w:val="16"/>
          <w:szCs w:val="20"/>
        </w:rPr>
      </w:pPr>
      <w:r w:rsidRPr="00DC1A5F">
        <w:rPr>
          <w:sz w:val="16"/>
          <w:szCs w:val="20"/>
        </w:rPr>
        <w:t xml:space="preserve">Hace que se produzcan angustias de tipo corporal. </w:t>
      </w:r>
    </w:p>
    <w:p w14:paraId="52535D30" w14:textId="77777777" w:rsidR="00597DE2" w:rsidRPr="00DC1A5F" w:rsidRDefault="00597DE2" w:rsidP="00597DE2">
      <w:pPr>
        <w:pStyle w:val="VersoIngls01Sangria"/>
        <w:rPr>
          <w:sz w:val="16"/>
          <w:szCs w:val="20"/>
        </w:rPr>
      </w:pPr>
      <w:r w:rsidRPr="00DC1A5F">
        <w:rPr>
          <w:sz w:val="16"/>
          <w:szCs w:val="20"/>
        </w:rPr>
        <w:t xml:space="preserve">Y es por eso </w:t>
      </w:r>
      <w:proofErr w:type="gramStart"/>
      <w:r w:rsidRPr="00DC1A5F">
        <w:rPr>
          <w:sz w:val="16"/>
          <w:szCs w:val="20"/>
        </w:rPr>
        <w:t>que</w:t>
      </w:r>
      <w:proofErr w:type="gramEnd"/>
      <w:r w:rsidRPr="00DC1A5F">
        <w:rPr>
          <w:sz w:val="16"/>
          <w:szCs w:val="20"/>
        </w:rPr>
        <w:t xml:space="preserve"> esta aflicción mental</w:t>
      </w:r>
    </w:p>
    <w:p w14:paraId="632ACDE8" w14:textId="77777777" w:rsidR="00597DE2" w:rsidRPr="00DC1A5F" w:rsidRDefault="00597DE2" w:rsidP="00597DE2">
      <w:pPr>
        <w:pStyle w:val="VersoIngls01Sangria"/>
        <w:spacing w:after="100"/>
        <w:ind w:left="1418"/>
        <w:rPr>
          <w:sz w:val="16"/>
          <w:szCs w:val="20"/>
        </w:rPr>
      </w:pPr>
      <w:r w:rsidRPr="00DC1A5F">
        <w:rPr>
          <w:sz w:val="16"/>
          <w:szCs w:val="20"/>
        </w:rPr>
        <w:t>Es dolor, como aquellos que no tienen angustia que declarar.</w:t>
      </w:r>
    </w:p>
    <w:p w14:paraId="7C2A2474" w14:textId="77777777" w:rsidR="00597DE2" w:rsidRPr="00DC1A5F" w:rsidRDefault="00597DE2" w:rsidP="00597DE2">
      <w:pPr>
        <w:pStyle w:val="NormalConSangria"/>
      </w:pPr>
      <w:r w:rsidRPr="00DC1A5F">
        <w:t>Ésta es la exposición del dolor.</w:t>
      </w:r>
      <w:r w:rsidRPr="00DC1A5F">
        <w:br/>
      </w:r>
    </w:p>
    <w:p w14:paraId="77C57AE9" w14:textId="77777777" w:rsidR="00597DE2" w:rsidRPr="00DC1A5F" w:rsidRDefault="00597DE2" w:rsidP="00D9414B">
      <w:pPr>
        <w:pStyle w:val="Ttulo4"/>
      </w:pPr>
      <w:r w:rsidRPr="00DC1A5F">
        <w:t>[(VIII) La Desesperación]</w:t>
      </w:r>
    </w:p>
    <w:p w14:paraId="6E0937C0" w14:textId="77777777" w:rsidR="00597DE2" w:rsidRPr="00DC1A5F" w:rsidRDefault="00597DE2" w:rsidP="00597DE2">
      <w:pPr>
        <w:pStyle w:val="Textoindependiente"/>
      </w:pPr>
      <w:r w:rsidRPr="00DC1A5F">
        <w:t xml:space="preserve">52. </w:t>
      </w:r>
      <w:r w:rsidRPr="00DC1A5F">
        <w:tab/>
      </w:r>
      <w:r w:rsidRPr="00DC1A5F">
        <w:rPr>
          <w:i/>
          <w:iCs/>
        </w:rPr>
        <w:t>La desesperación</w:t>
      </w:r>
      <w:r w:rsidRPr="00DC1A5F">
        <w:t xml:space="preserve"> es lo mismo que el humor que produce el excesivo sufrimiento mental en el afectado por la pérdida de familiares, etc. Algunos dicen que es uno de los estados incluidos en el agregado de las formaciones. Su </w:t>
      </w:r>
      <w:r w:rsidRPr="00DC1A5F">
        <w:rPr>
          <w:i/>
          <w:iCs/>
        </w:rPr>
        <w:t>característica</w:t>
      </w:r>
      <w:r w:rsidRPr="00DC1A5F">
        <w:t xml:space="preserve"> es el ardor mental. Su </w:t>
      </w:r>
      <w:r w:rsidRPr="00DC1A5F">
        <w:rPr>
          <w:i/>
          <w:iCs/>
        </w:rPr>
        <w:t>función</w:t>
      </w:r>
      <w:r w:rsidRPr="00DC1A5F">
        <w:t xml:space="preserve"> es lamentarse. Se </w:t>
      </w:r>
      <w:r w:rsidRPr="00DC1A5F">
        <w:rPr>
          <w:i/>
          <w:iCs/>
        </w:rPr>
        <w:t>manifiesta</w:t>
      </w:r>
      <w:r w:rsidRPr="00DC1A5F">
        <w:t xml:space="preserve"> como abatimiento. Es sufrimiento porque es un sufrimiento debido a las formaciones, por el ardor mental y por el abatimiento corporal. Por eso, se dice al respecto:</w:t>
      </w:r>
    </w:p>
    <w:p w14:paraId="72ACAB5F" w14:textId="77777777" w:rsidR="00597DE2" w:rsidRPr="00DC1A5F" w:rsidRDefault="00597DE2" w:rsidP="00597DE2">
      <w:pPr>
        <w:pStyle w:val="VersoIngls01Sangria"/>
        <w:rPr>
          <w:sz w:val="16"/>
          <w:szCs w:val="20"/>
        </w:rPr>
      </w:pPr>
      <w:r w:rsidRPr="00DC1A5F">
        <w:rPr>
          <w:sz w:val="16"/>
          <w:szCs w:val="20"/>
        </w:rPr>
        <w:t>Tan grande es el dolor que imparte desesperación</w:t>
      </w:r>
    </w:p>
    <w:p w14:paraId="653747A2" w14:textId="77777777" w:rsidR="00597DE2" w:rsidRPr="00DC1A5F" w:rsidRDefault="00597DE2" w:rsidP="00597DE2">
      <w:pPr>
        <w:pStyle w:val="VersoIngls01Sangria"/>
        <w:rPr>
          <w:sz w:val="16"/>
          <w:szCs w:val="20"/>
        </w:rPr>
      </w:pPr>
      <w:r w:rsidRPr="00DC1A5F">
        <w:rPr>
          <w:sz w:val="16"/>
          <w:szCs w:val="20"/>
        </w:rPr>
        <w:t>Que quema el corazón como la llama febril;</w:t>
      </w:r>
    </w:p>
    <w:p w14:paraId="14C3EFE4" w14:textId="77777777" w:rsidR="00597DE2" w:rsidRPr="00DC1A5F" w:rsidRDefault="00597DE2" w:rsidP="00597DE2">
      <w:pPr>
        <w:pStyle w:val="VersoIngls01Sangria"/>
        <w:rPr>
          <w:sz w:val="16"/>
          <w:szCs w:val="20"/>
        </w:rPr>
      </w:pPr>
      <w:r w:rsidRPr="00DC1A5F">
        <w:rPr>
          <w:sz w:val="16"/>
          <w:szCs w:val="20"/>
        </w:rPr>
        <w:t>Deteriora la función corporal</w:t>
      </w:r>
    </w:p>
    <w:p w14:paraId="3BD6AFBB" w14:textId="77777777" w:rsidR="00597DE2" w:rsidRPr="00DC1A5F" w:rsidRDefault="00597DE2" w:rsidP="00597DE2">
      <w:pPr>
        <w:pStyle w:val="VersoIngls01Sangria"/>
        <w:spacing w:after="100"/>
        <w:ind w:left="1418"/>
        <w:rPr>
          <w:sz w:val="16"/>
          <w:szCs w:val="20"/>
        </w:rPr>
      </w:pPr>
      <w:r w:rsidRPr="00DC1A5F">
        <w:rPr>
          <w:sz w:val="16"/>
          <w:szCs w:val="20"/>
        </w:rPr>
        <w:t>Y es así cómo la desesperación toma prestado del dolor su nombre.</w:t>
      </w:r>
    </w:p>
    <w:p w14:paraId="362071B9" w14:textId="77777777" w:rsidR="00597DE2" w:rsidRPr="00DC1A5F" w:rsidRDefault="00597DE2" w:rsidP="00597DE2">
      <w:pPr>
        <w:pStyle w:val="NormalConSangria"/>
      </w:pPr>
      <w:r w:rsidRPr="00DC1A5F">
        <w:t>Ésta es la exposición sobre la desesperación.</w:t>
      </w:r>
    </w:p>
    <w:p w14:paraId="15B7A96A" w14:textId="77777777" w:rsidR="00597DE2" w:rsidRPr="00DC1A5F" w:rsidRDefault="00597DE2" w:rsidP="00597DE2">
      <w:r w:rsidRPr="00DC1A5F">
        <w:t xml:space="preserve">53. </w:t>
      </w:r>
      <w:r w:rsidRPr="00DC1A5F">
        <w:tab/>
        <w:t>La tristeza es como la cocción del aceite, etc.</w:t>
      </w:r>
      <w:r w:rsidRPr="00DC1A5F">
        <w:rPr>
          <w:vertAlign w:val="superscript"/>
        </w:rPr>
        <w:t>13</w:t>
      </w:r>
      <w:r w:rsidRPr="00DC1A5F">
        <w:t xml:space="preserve"> en una olla a fuego lento. La lamentación es como si se desbordara la olla cuando se cocine a fuego rápido. La desesperación es como lo que </w:t>
      </w:r>
    </w:p>
    <w:p w14:paraId="41EB0DD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17FC6A0" w14:textId="77777777" w:rsidR="00597DE2" w:rsidRPr="00DC1A5F" w:rsidRDefault="00597DE2" w:rsidP="00597DE2">
      <w:pPr>
        <w:pStyle w:val="PiedepginaLegal"/>
        <w:numPr>
          <w:ilvl w:val="0"/>
          <w:numId w:val="5"/>
        </w:numPr>
        <w:tabs>
          <w:tab w:val="clear" w:pos="425"/>
        </w:tabs>
        <w:ind w:left="284" w:hanging="284"/>
      </w:pPr>
      <w:proofErr w:type="spellStart"/>
      <w:r w:rsidRPr="00DC1A5F">
        <w:t>Ee</w:t>
      </w:r>
      <w:proofErr w:type="spellEnd"/>
      <w:r w:rsidRPr="00DC1A5F">
        <w:t xml:space="preserve"> y </w:t>
      </w:r>
      <w:proofErr w:type="spellStart"/>
      <w:r w:rsidRPr="00DC1A5F">
        <w:t>Ae</w:t>
      </w:r>
      <w:proofErr w:type="spellEnd"/>
      <w:r w:rsidRPr="00DC1A5F">
        <w:t xml:space="preserve"> consideran </w:t>
      </w:r>
      <w:proofErr w:type="spellStart"/>
      <w:r w:rsidRPr="00DC1A5F">
        <w:rPr>
          <w:i/>
          <w:iCs/>
        </w:rPr>
        <w:t>uddhapādaṃ</w:t>
      </w:r>
      <w:proofErr w:type="spellEnd"/>
      <w:r w:rsidRPr="00DC1A5F">
        <w:rPr>
          <w:i/>
          <w:iCs/>
        </w:rPr>
        <w:t xml:space="preserve"> </w:t>
      </w:r>
      <w:r w:rsidRPr="00DC1A5F">
        <w:t xml:space="preserve">(o </w:t>
      </w:r>
      <w:proofErr w:type="spellStart"/>
      <w:r w:rsidRPr="00DC1A5F">
        <w:rPr>
          <w:i/>
          <w:iCs/>
        </w:rPr>
        <w:t>uddhaṃ</w:t>
      </w:r>
      <w:proofErr w:type="spellEnd"/>
      <w:r w:rsidRPr="00DC1A5F">
        <w:rPr>
          <w:i/>
          <w:iCs/>
        </w:rPr>
        <w:t xml:space="preserve"> </w:t>
      </w:r>
      <w:proofErr w:type="spellStart"/>
      <w:r w:rsidRPr="00DC1A5F">
        <w:rPr>
          <w:i/>
          <w:iCs/>
        </w:rPr>
        <w:t>pādaí</w:t>
      </w:r>
      <w:proofErr w:type="spellEnd"/>
      <w:r w:rsidRPr="00DC1A5F">
        <w:t xml:space="preserve">) </w:t>
      </w:r>
      <w:proofErr w:type="spellStart"/>
      <w:r w:rsidRPr="00DC1A5F">
        <w:rPr>
          <w:i/>
          <w:iCs/>
        </w:rPr>
        <w:t>papatanti</w:t>
      </w:r>
      <w:proofErr w:type="spellEnd"/>
      <w:r w:rsidRPr="00DC1A5F">
        <w:t xml:space="preserve">, pero el </w:t>
      </w:r>
      <w:proofErr w:type="spellStart"/>
      <w:r w:rsidRPr="00DC1A5F">
        <w:t>Vibh</w:t>
      </w:r>
      <w:proofErr w:type="spellEnd"/>
      <w:r w:rsidRPr="00DC1A5F">
        <w:t xml:space="preserve">–a (Be) considera </w:t>
      </w:r>
      <w:proofErr w:type="spellStart"/>
      <w:r w:rsidRPr="00DC1A5F">
        <w:rPr>
          <w:i/>
          <w:iCs/>
        </w:rPr>
        <w:t>chinnapapātaṃ</w:t>
      </w:r>
      <w:proofErr w:type="spellEnd"/>
      <w:r w:rsidRPr="00DC1A5F">
        <w:rPr>
          <w:i/>
          <w:iCs/>
        </w:rPr>
        <w:t xml:space="preserve"> </w:t>
      </w:r>
      <w:proofErr w:type="spellStart"/>
      <w:r w:rsidRPr="00DC1A5F">
        <w:rPr>
          <w:i/>
          <w:iCs/>
        </w:rPr>
        <w:t>papatanti</w:t>
      </w:r>
      <w:proofErr w:type="spellEnd"/>
      <w:r w:rsidRPr="00DC1A5F">
        <w:rPr>
          <w:i/>
          <w:iCs/>
        </w:rPr>
        <w:t>.</w:t>
      </w:r>
      <w:r w:rsidRPr="00DC1A5F">
        <w:t xml:space="preserve"> La lectura anterior se ve favorecida por el </w:t>
      </w:r>
      <w:proofErr w:type="spellStart"/>
      <w:r w:rsidRPr="00DC1A5F">
        <w:t>Vism</w:t>
      </w:r>
      <w:proofErr w:type="spellEnd"/>
      <w:r w:rsidRPr="00DC1A5F">
        <w:t>–</w:t>
      </w:r>
      <w:proofErr w:type="spellStart"/>
      <w:r w:rsidRPr="00DC1A5F">
        <w:t>mhṭ</w:t>
      </w:r>
      <w:proofErr w:type="spellEnd"/>
      <w:r w:rsidRPr="00DC1A5F">
        <w:t>.</w:t>
      </w:r>
    </w:p>
    <w:p w14:paraId="4DF3E52E" w14:textId="77777777" w:rsidR="00597DE2" w:rsidRPr="00DC1A5F" w:rsidRDefault="00597DE2" w:rsidP="00597DE2">
      <w:pPr>
        <w:pStyle w:val="PiedepginaLegal"/>
        <w:numPr>
          <w:ilvl w:val="0"/>
          <w:numId w:val="5"/>
        </w:numPr>
        <w:tabs>
          <w:tab w:val="clear" w:pos="425"/>
        </w:tabs>
        <w:ind w:left="284" w:hanging="284"/>
      </w:pPr>
      <w:proofErr w:type="spellStart"/>
      <w:r w:rsidRPr="00DC1A5F">
        <w:t>Vibh</w:t>
      </w:r>
      <w:proofErr w:type="spellEnd"/>
      <w:r w:rsidRPr="00DC1A5F">
        <w:t xml:space="preserve">–a (Be) añade </w:t>
      </w:r>
      <w:proofErr w:type="spellStart"/>
      <w:r w:rsidRPr="00DC1A5F">
        <w:rPr>
          <w:i/>
          <w:iCs/>
        </w:rPr>
        <w:t>telādīnaṃ</w:t>
      </w:r>
      <w:proofErr w:type="spellEnd"/>
      <w:r w:rsidRPr="00DC1A5F">
        <w:t xml:space="preserve">; no en los textos </w:t>
      </w:r>
      <w:proofErr w:type="spellStart"/>
      <w:r w:rsidRPr="00DC1A5F">
        <w:t>Ee</w:t>
      </w:r>
      <w:proofErr w:type="spellEnd"/>
      <w:r w:rsidRPr="00DC1A5F">
        <w:t xml:space="preserve"> y </w:t>
      </w:r>
      <w:proofErr w:type="spellStart"/>
      <w:r w:rsidRPr="00DC1A5F">
        <w:t>Ae</w:t>
      </w:r>
      <w:proofErr w:type="spellEnd"/>
      <w:r w:rsidRPr="00DC1A5F">
        <w:t>.</w:t>
      </w:r>
    </w:p>
    <w:p w14:paraId="20ABF5B2" w14:textId="77777777" w:rsidR="00597DE2" w:rsidRPr="00DC1A5F" w:rsidRDefault="00597DE2" w:rsidP="00597DE2">
      <w:pPr>
        <w:tabs>
          <w:tab w:val="clear" w:pos="425"/>
        </w:tabs>
        <w:spacing w:after="160"/>
      </w:pPr>
      <w:r w:rsidRPr="00DC1A5F">
        <w:br w:type="page"/>
      </w:r>
    </w:p>
    <w:p w14:paraId="7FFD7B49" w14:textId="77777777" w:rsidR="00597DE2" w:rsidRPr="00DC1A5F" w:rsidRDefault="00597DE2" w:rsidP="00597DE2">
      <w:pPr>
        <w:pStyle w:val="Textoindependiente"/>
        <w:rPr>
          <w:sz w:val="12"/>
          <w:szCs w:val="16"/>
        </w:rPr>
      </w:pPr>
      <w:r w:rsidRPr="00DC1A5F">
        <w:lastRenderedPageBreak/>
        <w:t>quede en la olla después de que se haya desbordado y ya no pueda más, cuando se continúa cocinando en la olla hasta que se seque.</w:t>
      </w:r>
      <w:r w:rsidRPr="00DC1A5F">
        <w:br/>
      </w:r>
    </w:p>
    <w:p w14:paraId="3A6FA69E" w14:textId="77777777" w:rsidR="00597DE2" w:rsidRPr="00DC1A5F" w:rsidRDefault="00597DE2" w:rsidP="00D9414B">
      <w:pPr>
        <w:pStyle w:val="Ttulo4"/>
      </w:pPr>
      <w:r w:rsidRPr="00DC1A5F">
        <w:t>[(IX) Asociación Con lo Indeseable]</w:t>
      </w:r>
    </w:p>
    <w:p w14:paraId="6857C20E" w14:textId="77777777" w:rsidR="00597DE2" w:rsidRPr="00DC1A5F" w:rsidRDefault="00597DE2" w:rsidP="00597DE2">
      <w:pPr>
        <w:pStyle w:val="Textoindependiente"/>
      </w:pPr>
      <w:r w:rsidRPr="00DC1A5F">
        <w:t xml:space="preserve">54. </w:t>
      </w:r>
      <w:r w:rsidRPr="00DC1A5F">
        <w:tab/>
      </w:r>
      <w:r w:rsidRPr="00DC1A5F">
        <w:rPr>
          <w:i/>
          <w:iCs/>
        </w:rPr>
        <w:t xml:space="preserve">La asociación con lo indeseable </w:t>
      </w:r>
      <w:r w:rsidRPr="00DC1A5F">
        <w:t xml:space="preserve">significa encontrarse con seres y formaciones desagradables (cosas inanimadas) </w:t>
      </w:r>
      <w:r w:rsidRPr="00DC1A5F">
        <w:rPr>
          <w:color w:val="833C0B" w:themeColor="accent2" w:themeShade="80"/>
        </w:rPr>
        <w:t>{</w:t>
      </w:r>
      <w:r w:rsidRPr="00DC1A5F">
        <w:rPr>
          <w:i/>
          <w:iCs/>
          <w:color w:val="833C0B" w:themeColor="accent2" w:themeShade="80"/>
        </w:rPr>
        <w:t>a través de un objeto presente</w:t>
      </w:r>
      <w:r w:rsidRPr="00DC1A5F">
        <w:rPr>
          <w:color w:val="833C0B" w:themeColor="accent2" w:themeShade="80"/>
        </w:rPr>
        <w:t>}</w:t>
      </w:r>
      <w:r w:rsidRPr="00DC1A5F">
        <w:t xml:space="preserve">. Su </w:t>
      </w:r>
      <w:r w:rsidRPr="00DC1A5F">
        <w:rPr>
          <w:i/>
          <w:iCs/>
        </w:rPr>
        <w:t>característica</w:t>
      </w:r>
      <w:r w:rsidRPr="00DC1A5F">
        <w:t xml:space="preserve"> es la asociación con lo indeseable. Su </w:t>
      </w:r>
      <w:r w:rsidRPr="00DC1A5F">
        <w:rPr>
          <w:i/>
          <w:iCs/>
        </w:rPr>
        <w:t>función</w:t>
      </w:r>
      <w:r w:rsidRPr="00DC1A5F">
        <w:t xml:space="preserve"> es afligir la mente. Se </w:t>
      </w:r>
      <w:r w:rsidRPr="00DC1A5F">
        <w:rPr>
          <w:i/>
          <w:iCs/>
        </w:rPr>
        <w:t>manifiesta</w:t>
      </w:r>
      <w:r w:rsidRPr="00DC1A5F">
        <w:t xml:space="preserve"> como un estado nocivo. Es sufrimiento porque es una base para el sufrimiento. Por eso, se dice al respecto:</w:t>
      </w:r>
    </w:p>
    <w:p w14:paraId="09BC77F1" w14:textId="77777777" w:rsidR="00597DE2" w:rsidRPr="00DC1A5F" w:rsidRDefault="00597DE2" w:rsidP="00597DE2">
      <w:pPr>
        <w:pStyle w:val="VersoIngls01Sangria"/>
        <w:rPr>
          <w:sz w:val="16"/>
          <w:szCs w:val="20"/>
        </w:rPr>
      </w:pPr>
      <w:r w:rsidRPr="00DC1A5F">
        <w:rPr>
          <w:sz w:val="16"/>
          <w:szCs w:val="20"/>
        </w:rPr>
        <w:t>La simple visión de una cosa indeseable</w:t>
      </w:r>
    </w:p>
    <w:p w14:paraId="1E521EC3" w14:textId="77777777" w:rsidR="00597DE2" w:rsidRPr="00DC1A5F" w:rsidRDefault="00597DE2" w:rsidP="00597DE2">
      <w:pPr>
        <w:pStyle w:val="VersoIngls01Sangria"/>
        <w:rPr>
          <w:sz w:val="16"/>
          <w:szCs w:val="20"/>
        </w:rPr>
      </w:pPr>
      <w:r w:rsidRPr="00DC1A5F">
        <w:rPr>
          <w:sz w:val="16"/>
          <w:szCs w:val="20"/>
        </w:rPr>
        <w:t>Traerá primero sufrimiento mental.</w:t>
      </w:r>
    </w:p>
    <w:p w14:paraId="4F72D9E2" w14:textId="77777777" w:rsidR="00597DE2" w:rsidRPr="00DC1A5F" w:rsidRDefault="00597DE2" w:rsidP="00597DE2">
      <w:pPr>
        <w:pStyle w:val="VersoIngls01Sangria"/>
        <w:rPr>
          <w:sz w:val="16"/>
          <w:szCs w:val="20"/>
        </w:rPr>
      </w:pPr>
      <w:r w:rsidRPr="00DC1A5F">
        <w:rPr>
          <w:sz w:val="16"/>
          <w:szCs w:val="20"/>
        </w:rPr>
        <w:t xml:space="preserve">También sufrimiento corporal </w:t>
      </w:r>
    </w:p>
    <w:p w14:paraId="041D920A" w14:textId="77777777" w:rsidR="00597DE2" w:rsidRPr="00DC1A5F" w:rsidRDefault="00597DE2" w:rsidP="00597DE2">
      <w:pPr>
        <w:pStyle w:val="VersoIngls01Sangria"/>
        <w:spacing w:after="100"/>
        <w:ind w:left="1418"/>
        <w:rPr>
          <w:sz w:val="16"/>
          <w:szCs w:val="20"/>
        </w:rPr>
      </w:pPr>
      <w:r w:rsidRPr="00DC1A5F">
        <w:rPr>
          <w:sz w:val="16"/>
          <w:szCs w:val="20"/>
        </w:rPr>
        <w:t>Que a través del tacto podría sobrevenir.</w:t>
      </w:r>
    </w:p>
    <w:p w14:paraId="7D78426D" w14:textId="77777777" w:rsidR="00597DE2" w:rsidRPr="00DC1A5F" w:rsidRDefault="00597DE2" w:rsidP="00597DE2">
      <w:pPr>
        <w:pStyle w:val="VersoIngls01Sangria"/>
        <w:rPr>
          <w:sz w:val="16"/>
          <w:szCs w:val="20"/>
        </w:rPr>
      </w:pPr>
      <w:r w:rsidRPr="00DC1A5F">
        <w:rPr>
          <w:sz w:val="16"/>
          <w:szCs w:val="20"/>
        </w:rPr>
        <w:t>Y por lo tanto podemos reconocer.</w:t>
      </w:r>
    </w:p>
    <w:p w14:paraId="099943AA" w14:textId="77777777" w:rsidR="00597DE2" w:rsidRPr="00DC1A5F" w:rsidRDefault="00597DE2" w:rsidP="00597DE2">
      <w:pPr>
        <w:pStyle w:val="VersoIngls01Sangria"/>
        <w:rPr>
          <w:sz w:val="16"/>
          <w:szCs w:val="20"/>
        </w:rPr>
      </w:pPr>
      <w:r w:rsidRPr="00DC1A5F">
        <w:rPr>
          <w:sz w:val="16"/>
          <w:szCs w:val="20"/>
        </w:rPr>
        <w:t>Dado que conocer lo indeseable da lugar</w:t>
      </w:r>
    </w:p>
    <w:p w14:paraId="57C5922B" w14:textId="77777777" w:rsidR="00597DE2" w:rsidRPr="00DC1A5F" w:rsidRDefault="00597DE2" w:rsidP="00597DE2">
      <w:pPr>
        <w:pStyle w:val="VersoIngls01Sangria"/>
        <w:rPr>
          <w:sz w:val="16"/>
          <w:szCs w:val="20"/>
        </w:rPr>
      </w:pPr>
      <w:r w:rsidRPr="00DC1A5F">
        <w:rPr>
          <w:sz w:val="16"/>
          <w:szCs w:val="20"/>
        </w:rPr>
        <w:t xml:space="preserve">A cualquier tipo de dolor, lo cual </w:t>
      </w:r>
    </w:p>
    <w:p w14:paraId="51856B6A" w14:textId="77777777" w:rsidR="00597DE2" w:rsidRPr="00DC1A5F" w:rsidRDefault="00597DE2" w:rsidP="00597DE2">
      <w:pPr>
        <w:pStyle w:val="VersoIngls01Sangria"/>
        <w:spacing w:after="100"/>
        <w:ind w:left="1418"/>
        <w:rPr>
          <w:sz w:val="16"/>
          <w:szCs w:val="20"/>
        </w:rPr>
      </w:pPr>
      <w:r w:rsidRPr="00DC1A5F">
        <w:rPr>
          <w:sz w:val="16"/>
          <w:szCs w:val="20"/>
        </w:rPr>
        <w:t>Él decidió que su nombre debiera ser dolor.</w:t>
      </w:r>
    </w:p>
    <w:p w14:paraId="06769BA6" w14:textId="77777777" w:rsidR="00597DE2" w:rsidRPr="00DC1A5F" w:rsidRDefault="00597DE2" w:rsidP="00597DE2">
      <w:pPr>
        <w:pStyle w:val="NormalConSangria"/>
        <w:rPr>
          <w:sz w:val="12"/>
          <w:szCs w:val="16"/>
        </w:rPr>
      </w:pPr>
      <w:r w:rsidRPr="00DC1A5F">
        <w:t>Ésta es la exposición sobre la asociación con lo indeseable. [505]</w:t>
      </w:r>
      <w:r w:rsidRPr="00DC1A5F">
        <w:br/>
      </w:r>
    </w:p>
    <w:p w14:paraId="0F3DF67D" w14:textId="77777777" w:rsidR="00597DE2" w:rsidRPr="00DC1A5F" w:rsidRDefault="00597DE2" w:rsidP="00D9414B">
      <w:pPr>
        <w:pStyle w:val="Ttulo4"/>
      </w:pPr>
      <w:r w:rsidRPr="00DC1A5F">
        <w:t>[(X) Disociación De lo Estimado]</w:t>
      </w:r>
    </w:p>
    <w:p w14:paraId="5725E250" w14:textId="77777777" w:rsidR="00597DE2" w:rsidRPr="00DC1A5F" w:rsidRDefault="00597DE2" w:rsidP="00597DE2">
      <w:pPr>
        <w:pStyle w:val="Textoindependiente"/>
      </w:pPr>
      <w:r w:rsidRPr="00DC1A5F">
        <w:t xml:space="preserve">55. </w:t>
      </w:r>
      <w:r w:rsidRPr="00DC1A5F">
        <w:tab/>
      </w:r>
      <w:r w:rsidRPr="00DC1A5F">
        <w:rPr>
          <w:i/>
          <w:iCs/>
        </w:rPr>
        <w:t xml:space="preserve">La disociación de lo estimado </w:t>
      </w:r>
      <w:r w:rsidRPr="00DC1A5F">
        <w:t>significa separarse de los seres y las formaciones agradables (cosas inanimadas) {</w:t>
      </w:r>
      <w:r w:rsidRPr="00DC1A5F">
        <w:rPr>
          <w:i/>
          <w:iCs/>
          <w:color w:val="833C0B" w:themeColor="accent2" w:themeShade="80"/>
        </w:rPr>
        <w:t>a través de un objeto presente</w:t>
      </w:r>
      <w:r w:rsidRPr="00DC1A5F">
        <w:t xml:space="preserve">}. Su </w:t>
      </w:r>
      <w:r w:rsidRPr="00DC1A5F">
        <w:rPr>
          <w:i/>
          <w:iCs/>
        </w:rPr>
        <w:t>característica</w:t>
      </w:r>
      <w:r w:rsidRPr="00DC1A5F">
        <w:t xml:space="preserve"> es la disociación de los objetos deseables. Su </w:t>
      </w:r>
      <w:r w:rsidRPr="00DC1A5F">
        <w:rPr>
          <w:i/>
          <w:iCs/>
        </w:rPr>
        <w:t>función</w:t>
      </w:r>
      <w:r w:rsidRPr="00DC1A5F">
        <w:t xml:space="preserve"> es despertar la aflicción. Se </w:t>
      </w:r>
      <w:r w:rsidRPr="00DC1A5F">
        <w:rPr>
          <w:i/>
          <w:iCs/>
        </w:rPr>
        <w:t>manifiesta</w:t>
      </w:r>
      <w:r w:rsidRPr="00DC1A5F">
        <w:t xml:space="preserve"> como una pérdida. Es sufrimiento porque es una base para el sufrimiento del dolor. Por eso, se dice al respecto:</w:t>
      </w:r>
    </w:p>
    <w:p w14:paraId="63680D26" w14:textId="77777777" w:rsidR="00597DE2" w:rsidRPr="00DC1A5F" w:rsidRDefault="00597DE2" w:rsidP="00597DE2">
      <w:pPr>
        <w:pStyle w:val="VersoIngls01Sangria"/>
        <w:rPr>
          <w:sz w:val="16"/>
          <w:szCs w:val="20"/>
        </w:rPr>
      </w:pPr>
      <w:r w:rsidRPr="00DC1A5F">
        <w:rPr>
          <w:sz w:val="16"/>
          <w:szCs w:val="20"/>
        </w:rPr>
        <w:t>El dardo del dolor hiere al corazón</w:t>
      </w:r>
    </w:p>
    <w:p w14:paraId="29CD4ED6" w14:textId="77777777" w:rsidR="00597DE2" w:rsidRPr="00DC1A5F" w:rsidRDefault="00597DE2" w:rsidP="00597DE2">
      <w:pPr>
        <w:pStyle w:val="VersoIngls01Sangria"/>
        <w:rPr>
          <w:sz w:val="16"/>
          <w:szCs w:val="20"/>
        </w:rPr>
      </w:pPr>
      <w:r w:rsidRPr="00DC1A5F">
        <w:rPr>
          <w:sz w:val="16"/>
          <w:szCs w:val="20"/>
        </w:rPr>
        <w:t>De aquellos necios cuya riqueza o parientes deberán separarse.</w:t>
      </w:r>
    </w:p>
    <w:p w14:paraId="44562E06" w14:textId="77777777" w:rsidR="00597DE2" w:rsidRPr="00DC1A5F" w:rsidRDefault="00597DE2" w:rsidP="00597DE2">
      <w:pPr>
        <w:pStyle w:val="VersoIngls01Sangria"/>
        <w:rPr>
          <w:sz w:val="16"/>
          <w:szCs w:val="20"/>
        </w:rPr>
      </w:pPr>
      <w:r w:rsidRPr="00DC1A5F">
        <w:rPr>
          <w:sz w:val="16"/>
          <w:szCs w:val="20"/>
        </w:rPr>
        <w:t xml:space="preserve">Lo cual, más o menos, debería ser un motivo suficiente </w:t>
      </w:r>
    </w:p>
    <w:p w14:paraId="3930848E" w14:textId="77777777" w:rsidR="00597DE2" w:rsidRPr="00DC1A5F" w:rsidRDefault="00597DE2" w:rsidP="00597DE2">
      <w:pPr>
        <w:pStyle w:val="VersoIngls01Sangria"/>
        <w:spacing w:after="100"/>
        <w:ind w:left="1418"/>
      </w:pPr>
      <w:r w:rsidRPr="00DC1A5F">
        <w:rPr>
          <w:sz w:val="16"/>
          <w:szCs w:val="20"/>
        </w:rPr>
        <w:t>Para considerar la pérdida de lo estimado como sufrimiento</w:t>
      </w:r>
      <w:r w:rsidRPr="00DC1A5F">
        <w:t>.</w:t>
      </w:r>
    </w:p>
    <w:p w14:paraId="155A1667" w14:textId="77777777" w:rsidR="00597DE2" w:rsidRPr="00DC1A5F" w:rsidRDefault="00597DE2" w:rsidP="00597DE2">
      <w:pPr>
        <w:pStyle w:val="NormalConSangria"/>
        <w:rPr>
          <w:sz w:val="12"/>
          <w:szCs w:val="16"/>
        </w:rPr>
      </w:pPr>
      <w:r w:rsidRPr="00DC1A5F">
        <w:t>Ésta es la exposición de la separación de lo estimado.</w:t>
      </w:r>
      <w:r w:rsidRPr="00DC1A5F">
        <w:br/>
      </w:r>
    </w:p>
    <w:p w14:paraId="3C1A2697" w14:textId="77777777" w:rsidR="00597DE2" w:rsidRPr="00DC1A5F" w:rsidRDefault="00597DE2" w:rsidP="00D9414B">
      <w:pPr>
        <w:pStyle w:val="Ttulo4"/>
      </w:pPr>
      <w:r w:rsidRPr="00DC1A5F">
        <w:t>[(XI) Disociación de Lo Deseable]</w:t>
      </w:r>
    </w:p>
    <w:p w14:paraId="52473909" w14:textId="77777777" w:rsidR="00597DE2" w:rsidRPr="00DC1A5F" w:rsidRDefault="00597DE2" w:rsidP="00597DE2">
      <w:pPr>
        <w:pStyle w:val="Textoindependiente"/>
      </w:pPr>
      <w:r w:rsidRPr="00DC1A5F">
        <w:t xml:space="preserve">56. </w:t>
      </w:r>
      <w:r w:rsidRPr="00DC1A5F">
        <w:tab/>
      </w:r>
      <w:r w:rsidRPr="00DC1A5F">
        <w:rPr>
          <w:i/>
          <w:iCs/>
        </w:rPr>
        <w:t>Disociación de lo deseable</w:t>
      </w:r>
      <w:r w:rsidRPr="00DC1A5F">
        <w:t>: la necesidad misma de algún objeto inalcanzable [expresado] en pasajes como “¡Oh, si no estuviéramos sujetos al nacimiento!” {</w:t>
      </w:r>
      <w:r w:rsidRPr="00DC1A5F">
        <w:rPr>
          <w:i/>
          <w:iCs/>
          <w:color w:val="833C0B" w:themeColor="accent2" w:themeShade="80"/>
        </w:rPr>
        <w:t>vinculado con el deseo y aversión hacia objetos no presentes</w:t>
      </w:r>
      <w:r w:rsidRPr="00DC1A5F">
        <w:t>} (</w:t>
      </w:r>
      <w:proofErr w:type="spellStart"/>
      <w:r w:rsidRPr="00DC1A5F">
        <w:t>Vibh</w:t>
      </w:r>
      <w:proofErr w:type="spellEnd"/>
      <w:r w:rsidRPr="00DC1A5F">
        <w:t xml:space="preserve">. 101) se le llama sufrimiento ya que no se obtendrá lo que se desee. Su </w:t>
      </w:r>
      <w:r w:rsidRPr="00DC1A5F">
        <w:rPr>
          <w:i/>
          <w:iCs/>
        </w:rPr>
        <w:t>característica</w:t>
      </w:r>
      <w:r w:rsidRPr="00DC1A5F">
        <w:t xml:space="preserve"> es el deseo por un objeto inalcanzable. Su </w:t>
      </w:r>
      <w:r w:rsidRPr="00DC1A5F">
        <w:rPr>
          <w:i/>
          <w:iCs/>
        </w:rPr>
        <w:t>función</w:t>
      </w:r>
      <w:r w:rsidRPr="00DC1A5F">
        <w:t xml:space="preserve"> es procurar ello. Se </w:t>
      </w:r>
      <w:r w:rsidRPr="00DC1A5F">
        <w:rPr>
          <w:i/>
          <w:iCs/>
        </w:rPr>
        <w:t>manifiesta</w:t>
      </w:r>
      <w:r w:rsidRPr="00DC1A5F">
        <w:t xml:space="preserve"> como una pérdida. Es </w:t>
      </w:r>
      <w:r w:rsidRPr="00DC1A5F">
        <w:rPr>
          <w:i/>
          <w:iCs/>
        </w:rPr>
        <w:t>sufrimiento</w:t>
      </w:r>
      <w:r w:rsidRPr="00DC1A5F">
        <w:t xml:space="preserve"> porque es una base para el sufrimiento. Por eso, se dice al respecto:</w:t>
      </w:r>
    </w:p>
    <w:p w14:paraId="1163E15E" w14:textId="77777777" w:rsidR="00597DE2" w:rsidRPr="00DC1A5F" w:rsidRDefault="00597DE2" w:rsidP="00597DE2">
      <w:pPr>
        <w:pStyle w:val="VersoIngls01Sangria"/>
        <w:rPr>
          <w:sz w:val="16"/>
          <w:szCs w:val="20"/>
        </w:rPr>
      </w:pPr>
      <w:r w:rsidRPr="00DC1A5F">
        <w:rPr>
          <w:sz w:val="16"/>
          <w:szCs w:val="20"/>
        </w:rPr>
        <w:t>Cuando los seres aquí esperan ganar</w:t>
      </w:r>
    </w:p>
    <w:p w14:paraId="3FC9977C" w14:textId="77777777" w:rsidR="00597DE2" w:rsidRPr="00DC1A5F" w:rsidRDefault="00597DE2" w:rsidP="00597DE2">
      <w:pPr>
        <w:pStyle w:val="VersoIngls01Sangria"/>
        <w:rPr>
          <w:sz w:val="16"/>
          <w:szCs w:val="20"/>
        </w:rPr>
      </w:pPr>
      <w:r w:rsidRPr="00DC1A5F">
        <w:rPr>
          <w:sz w:val="16"/>
          <w:szCs w:val="20"/>
        </w:rPr>
        <w:t>Algo de lo que construyan sus esperanzas</w:t>
      </w:r>
    </w:p>
    <w:p w14:paraId="33C53CB3" w14:textId="77777777" w:rsidR="00597DE2" w:rsidRPr="00DC1A5F" w:rsidRDefault="00597DE2" w:rsidP="00597DE2">
      <w:pPr>
        <w:pStyle w:val="VersoIngls01Sangria"/>
        <w:rPr>
          <w:sz w:val="16"/>
          <w:szCs w:val="20"/>
        </w:rPr>
      </w:pPr>
      <w:r w:rsidRPr="00DC1A5F">
        <w:rPr>
          <w:sz w:val="16"/>
          <w:szCs w:val="20"/>
        </w:rPr>
        <w:t>Lo cual les falle, estarán afligidos</w:t>
      </w:r>
    </w:p>
    <w:p w14:paraId="30B671E6" w14:textId="77777777" w:rsidR="00597DE2" w:rsidRPr="00DC1A5F" w:rsidRDefault="00597DE2" w:rsidP="00597DE2">
      <w:pPr>
        <w:pStyle w:val="VersoIngls01Sangria"/>
        <w:spacing w:after="100"/>
        <w:ind w:left="1418"/>
        <w:rPr>
          <w:sz w:val="16"/>
          <w:szCs w:val="20"/>
        </w:rPr>
      </w:pPr>
      <w:r w:rsidRPr="00DC1A5F">
        <w:rPr>
          <w:sz w:val="16"/>
          <w:szCs w:val="20"/>
        </w:rPr>
        <w:t>Con el dolor letárgico de la decepción.</w:t>
      </w:r>
    </w:p>
    <w:p w14:paraId="623C5A59" w14:textId="77777777" w:rsidR="00597DE2" w:rsidRPr="00DC1A5F" w:rsidRDefault="00597DE2" w:rsidP="00597DE2">
      <w:pPr>
        <w:pStyle w:val="VersoIngls01Sangria"/>
        <w:rPr>
          <w:sz w:val="16"/>
          <w:szCs w:val="20"/>
        </w:rPr>
      </w:pPr>
      <w:r w:rsidRPr="00DC1A5F">
        <w:rPr>
          <w:sz w:val="16"/>
          <w:szCs w:val="20"/>
        </w:rPr>
        <w:t>De lo cual surgirá una causa para la esperanza de conseguir</w:t>
      </w:r>
    </w:p>
    <w:p w14:paraId="4062E159" w14:textId="77777777" w:rsidR="00597DE2" w:rsidRPr="00DC1A5F" w:rsidRDefault="00597DE2" w:rsidP="00597DE2">
      <w:pPr>
        <w:pStyle w:val="VersoIngls01Sangria"/>
        <w:rPr>
          <w:sz w:val="16"/>
          <w:szCs w:val="20"/>
        </w:rPr>
      </w:pPr>
      <w:r w:rsidRPr="00DC1A5F">
        <w:rPr>
          <w:sz w:val="16"/>
          <w:szCs w:val="20"/>
        </w:rPr>
        <w:t>Aquello que no se pueda obtener:</w:t>
      </w:r>
    </w:p>
    <w:p w14:paraId="2C6BE515" w14:textId="77777777" w:rsidR="00597DE2" w:rsidRPr="00DC1A5F" w:rsidRDefault="00597DE2" w:rsidP="00597DE2">
      <w:pPr>
        <w:pStyle w:val="VersoIngls01Sangria"/>
        <w:rPr>
          <w:sz w:val="16"/>
          <w:szCs w:val="20"/>
        </w:rPr>
      </w:pPr>
      <w:r w:rsidRPr="00DC1A5F">
        <w:rPr>
          <w:sz w:val="16"/>
          <w:szCs w:val="20"/>
        </w:rPr>
        <w:t>“No conseguir lo que uno desee se traduce en dolor”</w:t>
      </w:r>
    </w:p>
    <w:p w14:paraId="424010A0" w14:textId="77777777" w:rsidR="00597DE2" w:rsidRPr="00DC1A5F" w:rsidRDefault="00597DE2" w:rsidP="00597DE2">
      <w:pPr>
        <w:pStyle w:val="VersoIngls01Sangria"/>
        <w:spacing w:after="100"/>
        <w:ind w:left="1418"/>
        <w:rPr>
          <w:sz w:val="16"/>
          <w:szCs w:val="20"/>
        </w:rPr>
      </w:pPr>
      <w:r w:rsidRPr="00DC1A5F">
        <w:rPr>
          <w:sz w:val="16"/>
          <w:szCs w:val="20"/>
        </w:rPr>
        <w:t>por lo tanto, el Conquistador lo ha afirmado así.</w:t>
      </w:r>
    </w:p>
    <w:p w14:paraId="2ECA943B" w14:textId="77777777" w:rsidR="00597DE2" w:rsidRPr="00DC1A5F" w:rsidRDefault="00597DE2" w:rsidP="00597DE2">
      <w:pPr>
        <w:pStyle w:val="NormalConSangria"/>
      </w:pPr>
      <w:r w:rsidRPr="00DC1A5F">
        <w:t>Ésta es la exposición sobre la disociación de lo deseable.</w:t>
      </w:r>
      <w:r w:rsidRPr="00DC1A5F">
        <w:br w:type="page"/>
      </w:r>
    </w:p>
    <w:p w14:paraId="2CA56790" w14:textId="77777777" w:rsidR="00597DE2" w:rsidRPr="00DC1A5F" w:rsidRDefault="00597DE2" w:rsidP="00D9414B">
      <w:pPr>
        <w:pStyle w:val="Ttulo4"/>
      </w:pPr>
      <w:r w:rsidRPr="00DC1A5F">
        <w:lastRenderedPageBreak/>
        <w:t>[(XII) Los Cinco Agregados]</w:t>
      </w:r>
    </w:p>
    <w:p w14:paraId="6082C7C4" w14:textId="77777777" w:rsidR="00597DE2" w:rsidRPr="00DC1A5F" w:rsidRDefault="00597DE2" w:rsidP="00597DE2">
      <w:pPr>
        <w:pStyle w:val="Textoindependiente"/>
      </w:pPr>
      <w:r w:rsidRPr="00DC1A5F">
        <w:t xml:space="preserve">57. </w:t>
      </w:r>
      <w:r w:rsidRPr="00DC1A5F">
        <w:tab/>
        <w:t xml:space="preserve">En resumen, los </w:t>
      </w:r>
      <w:r w:rsidRPr="00DC1A5F">
        <w:rPr>
          <w:i/>
          <w:iCs/>
        </w:rPr>
        <w:t>cinco agregados,</w:t>
      </w:r>
      <w:r w:rsidRPr="00DC1A5F">
        <w:t xml:space="preserve"> como objetos del apego:</w:t>
      </w:r>
    </w:p>
    <w:p w14:paraId="14369CD9" w14:textId="77777777" w:rsidR="00597DE2" w:rsidRPr="00DC1A5F" w:rsidRDefault="00597DE2" w:rsidP="00597DE2">
      <w:pPr>
        <w:pStyle w:val="VersoIngls01Sangria"/>
        <w:rPr>
          <w:sz w:val="16"/>
          <w:szCs w:val="20"/>
        </w:rPr>
      </w:pPr>
      <w:r w:rsidRPr="00DC1A5F">
        <w:rPr>
          <w:sz w:val="16"/>
          <w:szCs w:val="20"/>
        </w:rPr>
        <w:t>Ahora bien, el nacimiento, envejecimiento y cada cosa</w:t>
      </w:r>
    </w:p>
    <w:p w14:paraId="0E2BE0DD" w14:textId="77777777" w:rsidR="00597DE2" w:rsidRPr="00DC1A5F" w:rsidRDefault="00597DE2" w:rsidP="00597DE2">
      <w:pPr>
        <w:pStyle w:val="VersoIngls01Sangria"/>
        <w:rPr>
          <w:sz w:val="16"/>
          <w:szCs w:val="20"/>
        </w:rPr>
      </w:pPr>
      <w:r w:rsidRPr="00DC1A5F">
        <w:rPr>
          <w:sz w:val="16"/>
          <w:szCs w:val="20"/>
        </w:rPr>
        <w:t>Dicha al describir el sufrimiento,</w:t>
      </w:r>
    </w:p>
    <w:p w14:paraId="445E4252" w14:textId="77777777" w:rsidR="00597DE2" w:rsidRPr="00DC1A5F" w:rsidRDefault="00597DE2" w:rsidP="00597DE2">
      <w:pPr>
        <w:pStyle w:val="VersoIngls01Sangria"/>
        <w:rPr>
          <w:sz w:val="16"/>
          <w:szCs w:val="20"/>
        </w:rPr>
      </w:pPr>
      <w:r w:rsidRPr="00DC1A5F">
        <w:rPr>
          <w:sz w:val="16"/>
          <w:szCs w:val="20"/>
        </w:rPr>
        <w:t>Y los no mencionados, no podrían existir</w:t>
      </w:r>
    </w:p>
    <w:p w14:paraId="6F231AEE" w14:textId="77777777" w:rsidR="00597DE2" w:rsidRPr="00DC1A5F" w:rsidRDefault="00597DE2" w:rsidP="00597DE2">
      <w:pPr>
        <w:pStyle w:val="VersoIngls01Sangria"/>
        <w:spacing w:after="100"/>
        <w:ind w:left="1418"/>
        <w:rPr>
          <w:sz w:val="16"/>
          <w:szCs w:val="20"/>
        </w:rPr>
      </w:pPr>
      <w:r w:rsidRPr="00DC1A5F">
        <w:rPr>
          <w:sz w:val="16"/>
          <w:szCs w:val="20"/>
        </w:rPr>
        <w:t>Si no hubiera agregados a los cuales apegarse.</w:t>
      </w:r>
    </w:p>
    <w:p w14:paraId="30CCFFD1" w14:textId="77777777" w:rsidR="00597DE2" w:rsidRPr="00DC1A5F" w:rsidRDefault="00597DE2" w:rsidP="00597DE2">
      <w:pPr>
        <w:pStyle w:val="VersoIngls01Sangria"/>
        <w:rPr>
          <w:sz w:val="16"/>
          <w:szCs w:val="20"/>
        </w:rPr>
      </w:pPr>
      <w:r w:rsidRPr="00DC1A5F">
        <w:rPr>
          <w:sz w:val="16"/>
          <w:szCs w:val="20"/>
        </w:rPr>
        <w:t xml:space="preserve">Por lo tanto, estos agregados del apego </w:t>
      </w:r>
    </w:p>
    <w:p w14:paraId="437EC95F" w14:textId="77777777" w:rsidR="00597DE2" w:rsidRPr="00DC1A5F" w:rsidRDefault="00597DE2" w:rsidP="00597DE2">
      <w:pPr>
        <w:pStyle w:val="VersoIngls01Sangria"/>
        <w:rPr>
          <w:sz w:val="16"/>
          <w:szCs w:val="20"/>
        </w:rPr>
      </w:pPr>
      <w:r w:rsidRPr="00DC1A5F">
        <w:rPr>
          <w:sz w:val="16"/>
          <w:szCs w:val="20"/>
        </w:rPr>
        <w:t>Son adoptados en su totalidad</w:t>
      </w:r>
    </w:p>
    <w:p w14:paraId="7200102F" w14:textId="77777777" w:rsidR="00597DE2" w:rsidRPr="00DC1A5F" w:rsidRDefault="00597DE2" w:rsidP="00597DE2">
      <w:pPr>
        <w:pStyle w:val="VersoIngls01Sangria"/>
        <w:rPr>
          <w:sz w:val="16"/>
          <w:szCs w:val="20"/>
        </w:rPr>
      </w:pPr>
      <w:r w:rsidRPr="00DC1A5F">
        <w:rPr>
          <w:sz w:val="16"/>
          <w:szCs w:val="20"/>
        </w:rPr>
        <w:t xml:space="preserve">Como dolor por Él, por el Rey del </w:t>
      </w:r>
      <w:r w:rsidRPr="00DC1A5F">
        <w:rPr>
          <w:i/>
          <w:sz w:val="16"/>
          <w:szCs w:val="20"/>
        </w:rPr>
        <w:t>Dhamma</w:t>
      </w:r>
      <w:r w:rsidRPr="00DC1A5F">
        <w:rPr>
          <w:sz w:val="16"/>
          <w:szCs w:val="20"/>
        </w:rPr>
        <w:t xml:space="preserve">, </w:t>
      </w:r>
    </w:p>
    <w:p w14:paraId="0779D0A4" w14:textId="77777777" w:rsidR="00597DE2" w:rsidRPr="00DC1A5F" w:rsidRDefault="00597DE2" w:rsidP="00597DE2">
      <w:pPr>
        <w:pStyle w:val="VersoIngls01Sangria"/>
        <w:spacing w:after="100"/>
        <w:ind w:left="1418"/>
        <w:rPr>
          <w:sz w:val="16"/>
          <w:szCs w:val="20"/>
        </w:rPr>
      </w:pPr>
      <w:r w:rsidRPr="00DC1A5F">
        <w:rPr>
          <w:sz w:val="16"/>
          <w:szCs w:val="20"/>
        </w:rPr>
        <w:t>Quien expuso el término a este sufrimiento.</w:t>
      </w:r>
    </w:p>
    <w:p w14:paraId="6745D6E7" w14:textId="77777777" w:rsidR="00597DE2" w:rsidRPr="00DC1A5F" w:rsidRDefault="00597DE2" w:rsidP="00597DE2">
      <w:r w:rsidRPr="00DC1A5F">
        <w:t xml:space="preserve">58. </w:t>
      </w:r>
      <w:r w:rsidRPr="00DC1A5F">
        <w:tab/>
        <w:t>Ya que el nacimiento, etc., oprime así a los cinco agregados como objetos del apego, como el fuego lo hace con el combustible, como el disparo con un blanco, como los tábanos, las moscas, etc., lo hacen con el cuerpo de una vaca, como los segadores lo hacen con un campo, como los asaltantes de aldeas lo hacen con una aldea; y éstas serán generadas en los agregados como malas hierbas, enredaderas, etc., con en el suelo, las flores, los frutos y los brotes de los árboles.</w:t>
      </w:r>
    </w:p>
    <w:p w14:paraId="7D524603" w14:textId="77777777" w:rsidR="00597DE2" w:rsidRPr="00DC1A5F" w:rsidRDefault="00597DE2" w:rsidP="00597DE2">
      <w:r w:rsidRPr="00DC1A5F">
        <w:t xml:space="preserve">59. </w:t>
      </w:r>
      <w:r w:rsidRPr="00DC1A5F">
        <w:tab/>
        <w:t xml:space="preserve">Y los agregados, como objetos del apego, tienen al </w:t>
      </w:r>
      <w:r w:rsidRPr="00DC1A5F">
        <w:rPr>
          <w:i/>
          <w:iCs/>
        </w:rPr>
        <w:t>nacimiento</w:t>
      </w:r>
      <w:r w:rsidRPr="00DC1A5F">
        <w:t xml:space="preserve"> como su sufrimiento inicial, a la </w:t>
      </w:r>
      <w:r w:rsidRPr="00DC1A5F">
        <w:rPr>
          <w:i/>
          <w:iCs/>
        </w:rPr>
        <w:t>vejez</w:t>
      </w:r>
      <w:r w:rsidRPr="00DC1A5F">
        <w:t xml:space="preserve"> como su sufrimiento intermedio y a la </w:t>
      </w:r>
      <w:r w:rsidRPr="00DC1A5F">
        <w:rPr>
          <w:i/>
          <w:iCs/>
        </w:rPr>
        <w:t>muerte</w:t>
      </w:r>
      <w:r w:rsidRPr="00DC1A5F">
        <w:t xml:space="preserve"> como su sufrimiento final. El sufrimiento debido al ardor en quien sea víctima del dolor que amenace la muerte será </w:t>
      </w:r>
      <w:r w:rsidRPr="00DC1A5F">
        <w:rPr>
          <w:i/>
          <w:iCs/>
        </w:rPr>
        <w:t>aflicción</w:t>
      </w:r>
      <w:r w:rsidRPr="00DC1A5F">
        <w:t xml:space="preserve">. El sufrimiento que </w:t>
      </w:r>
      <w:proofErr w:type="gramStart"/>
      <w:r w:rsidRPr="00DC1A5F">
        <w:t>consista del</w:t>
      </w:r>
      <w:proofErr w:type="gramEnd"/>
      <w:r w:rsidRPr="00DC1A5F">
        <w:t xml:space="preserve"> grito de quien no pueda soportarlo corresponderá a la </w:t>
      </w:r>
      <w:r w:rsidRPr="00DC1A5F">
        <w:rPr>
          <w:i/>
          <w:iCs/>
        </w:rPr>
        <w:t>lamentación</w:t>
      </w:r>
      <w:r w:rsidRPr="00DC1A5F">
        <w:t xml:space="preserve">. Luego, el sufrimiento que </w:t>
      </w:r>
      <w:proofErr w:type="gramStart"/>
      <w:r w:rsidRPr="00DC1A5F">
        <w:t>consista de</w:t>
      </w:r>
      <w:proofErr w:type="gramEnd"/>
      <w:r w:rsidRPr="00DC1A5F">
        <w:t xml:space="preserve"> la aflicción del cuerpo debido al contacto con objetos táctiles indeseables, en otras palabras, la perturbación de los elementos será </w:t>
      </w:r>
      <w:r w:rsidRPr="00DC1A5F">
        <w:rPr>
          <w:i/>
          <w:iCs/>
        </w:rPr>
        <w:t>dolor</w:t>
      </w:r>
      <w:r w:rsidRPr="00DC1A5F">
        <w:t xml:space="preserve">. [506] El sufrimiento que oprima la mente a través de la resistencia a la que está oprimida la gente común, es </w:t>
      </w:r>
      <w:r w:rsidRPr="00DC1A5F">
        <w:rPr>
          <w:i/>
          <w:iCs/>
        </w:rPr>
        <w:t>angustia</w:t>
      </w:r>
      <w:r w:rsidRPr="00DC1A5F">
        <w:t>. El sufrimiento que consista en cavilar</w:t>
      </w:r>
      <w:r w:rsidRPr="00DC1A5F">
        <w:rPr>
          <w:vertAlign w:val="superscript"/>
        </w:rPr>
        <w:t>14</w:t>
      </w:r>
      <w:r w:rsidRPr="00DC1A5F">
        <w:t xml:space="preserve"> en los abatimientos por el incremento del dolor, etc., será </w:t>
      </w:r>
      <w:r w:rsidRPr="00DC1A5F">
        <w:rPr>
          <w:i/>
          <w:iCs/>
        </w:rPr>
        <w:t>desesperación</w:t>
      </w:r>
      <w:r w:rsidRPr="00DC1A5F">
        <w:t xml:space="preserve">. El sufrimiento que </w:t>
      </w:r>
      <w:proofErr w:type="gramStart"/>
      <w:r w:rsidRPr="00DC1A5F">
        <w:t>consista de</w:t>
      </w:r>
      <w:proofErr w:type="gramEnd"/>
      <w:r w:rsidRPr="00DC1A5F">
        <w:t xml:space="preserve"> la frustración de los deseos de aquellos cuyas esperanzas se ven frustradas será </w:t>
      </w:r>
      <w:r w:rsidRPr="00DC1A5F">
        <w:rPr>
          <w:i/>
          <w:iCs/>
        </w:rPr>
        <w:t>no obtener lo que uno desee</w:t>
      </w:r>
      <w:r w:rsidRPr="00DC1A5F">
        <w:t>. Entonces, cuando se examinen sus diversos aspectos, los agregados como objetos de apego estarán sufriendo en sí mismos.</w:t>
      </w:r>
    </w:p>
    <w:p w14:paraId="5854E915" w14:textId="77777777" w:rsidR="00597DE2" w:rsidRPr="00DC1A5F" w:rsidRDefault="00597DE2" w:rsidP="00597DE2">
      <w:r w:rsidRPr="00DC1A5F">
        <w:t xml:space="preserve">60. </w:t>
      </w:r>
      <w:r w:rsidRPr="00DC1A5F">
        <w:tab/>
        <w:t xml:space="preserve">Será imposible narrar todo sin dejar algún residuo al respecto, mostrando cada tipo de sufrimiento, inclusive haciéndolo continuamente durante muchos eones, por lo que el </w:t>
      </w:r>
      <w:r w:rsidRPr="00DC1A5F">
        <w:rPr>
          <w:i/>
          <w:iCs/>
        </w:rPr>
        <w:t>Bhagavā</w:t>
      </w:r>
      <w:r w:rsidRPr="00DC1A5F">
        <w:t xml:space="preserve"> dijo al respecto: “En resumen, los cinco agregados, como objetos del apego, son sufrimiento” con el objeto de exponer en pocas palabras cómo todo ese sufrimiento está presente en cualquiera de los cinco agregados, como objetos del apego, de la misma manera cómo el sabor del agua de todo el océano se encontrase en una sola gota de agua.</w:t>
      </w:r>
    </w:p>
    <w:p w14:paraId="4C7EBE8B" w14:textId="77777777" w:rsidR="00597DE2" w:rsidRPr="00DC1A5F" w:rsidRDefault="00597DE2" w:rsidP="00597DE2">
      <w:pPr>
        <w:pStyle w:val="NormalConSangria"/>
      </w:pPr>
      <w:r w:rsidRPr="00DC1A5F">
        <w:t>Ésta es la exposición de los agregados, como objetos del apego. Éste, en primer lugar, corresponderá al método para la descripción del sufrimiento.</w:t>
      </w:r>
    </w:p>
    <w:p w14:paraId="3560B443" w14:textId="77777777" w:rsidR="00597DE2" w:rsidRPr="00DC1A5F" w:rsidRDefault="00597DE2" w:rsidP="00D9414B">
      <w:pPr>
        <w:pStyle w:val="Ttulo3"/>
      </w:pPr>
      <w:r w:rsidRPr="00DC1A5F">
        <w:t>[La Verdad Del Origen Del Sufrimiento]</w:t>
      </w:r>
    </w:p>
    <w:p w14:paraId="59F0390B" w14:textId="77777777" w:rsidR="00597DE2" w:rsidRPr="00DC1A5F" w:rsidRDefault="00597DE2" w:rsidP="00597DE2">
      <w:r w:rsidRPr="00DC1A5F">
        <w:t xml:space="preserve">61. </w:t>
      </w:r>
      <w:r w:rsidRPr="00DC1A5F">
        <w:tab/>
        <w:t xml:space="preserve">No obstante, en la descripción de su </w:t>
      </w:r>
      <w:r w:rsidRPr="00DC1A5F">
        <w:rPr>
          <w:i/>
          <w:iCs/>
        </w:rPr>
        <w:t>origen</w:t>
      </w:r>
      <w:r w:rsidRPr="00DC1A5F">
        <w:t xml:space="preserve">, la expresión </w:t>
      </w:r>
      <w:proofErr w:type="spellStart"/>
      <w:r w:rsidRPr="00DC1A5F">
        <w:rPr>
          <w:i/>
          <w:iCs/>
        </w:rPr>
        <w:t>yāyaṃ</w:t>
      </w:r>
      <w:proofErr w:type="spellEnd"/>
      <w:r w:rsidRPr="00DC1A5F">
        <w:rPr>
          <w:i/>
          <w:iCs/>
        </w:rPr>
        <w:t xml:space="preserve"> </w:t>
      </w:r>
      <w:r w:rsidRPr="00DC1A5F">
        <w:rPr>
          <w:i/>
        </w:rPr>
        <w:t>taṇhā</w:t>
      </w:r>
      <w:r w:rsidRPr="00DC1A5F">
        <w:t xml:space="preserve"> (ese deseo que) = </w:t>
      </w:r>
      <w:proofErr w:type="spellStart"/>
      <w:r w:rsidRPr="00DC1A5F">
        <w:rPr>
          <w:i/>
          <w:iCs/>
        </w:rPr>
        <w:t>yā</w:t>
      </w:r>
      <w:proofErr w:type="spellEnd"/>
      <w:r w:rsidRPr="00DC1A5F">
        <w:rPr>
          <w:i/>
          <w:iCs/>
        </w:rPr>
        <w:t xml:space="preserve"> </w:t>
      </w:r>
      <w:proofErr w:type="spellStart"/>
      <w:r w:rsidRPr="00DC1A5F">
        <w:rPr>
          <w:i/>
          <w:iCs/>
        </w:rPr>
        <w:t>ayaṃ</w:t>
      </w:r>
      <w:proofErr w:type="spellEnd"/>
      <w:r w:rsidRPr="00DC1A5F">
        <w:rPr>
          <w:i/>
          <w:iCs/>
        </w:rPr>
        <w:t xml:space="preserve"> </w:t>
      </w:r>
      <w:r w:rsidRPr="00DC1A5F">
        <w:rPr>
          <w:i/>
        </w:rPr>
        <w:t>taṇhā,</w:t>
      </w:r>
      <w:r w:rsidRPr="00DC1A5F">
        <w:t xml:space="preserve"> en lo que respecta a la expresión, </w:t>
      </w:r>
      <w:r w:rsidRPr="00DC1A5F">
        <w:rPr>
          <w:i/>
          <w:iCs/>
        </w:rPr>
        <w:t>produce un devenir adicional</w:t>
      </w:r>
      <w:r w:rsidRPr="00DC1A5F">
        <w:t>: significa producir un devenir nuevamente, por lo tanto, es “devenir otra vez” (</w:t>
      </w:r>
      <w:proofErr w:type="spellStart"/>
      <w:r w:rsidRPr="00DC1A5F">
        <w:rPr>
          <w:i/>
          <w:iCs/>
        </w:rPr>
        <w:t>punabbhava</w:t>
      </w:r>
      <w:proofErr w:type="spellEnd"/>
      <w:r w:rsidRPr="00DC1A5F">
        <w:t>); producir un devenir nuevamente es su hábito, por lo que “produce más devenir” (</w:t>
      </w:r>
      <w:proofErr w:type="spellStart"/>
      <w:r w:rsidRPr="00DC1A5F">
        <w:rPr>
          <w:i/>
          <w:iCs/>
        </w:rPr>
        <w:t>ponobbhavika</w:t>
      </w:r>
      <w:proofErr w:type="spellEnd"/>
      <w:r w:rsidRPr="00DC1A5F">
        <w:t xml:space="preserve">). La expresión </w:t>
      </w:r>
      <w:proofErr w:type="spellStart"/>
      <w:r w:rsidRPr="00DC1A5F">
        <w:rPr>
          <w:i/>
          <w:iCs/>
        </w:rPr>
        <w:t>nandirāgasahagatā</w:t>
      </w:r>
      <w:proofErr w:type="spellEnd"/>
      <w:r w:rsidRPr="00DC1A5F">
        <w:t xml:space="preserve"> (acompañada de preocupación y codicia) = </w:t>
      </w:r>
      <w:proofErr w:type="spellStart"/>
      <w:r w:rsidRPr="00DC1A5F">
        <w:rPr>
          <w:i/>
          <w:iCs/>
        </w:rPr>
        <w:t>nandirāgena</w:t>
      </w:r>
      <w:proofErr w:type="spellEnd"/>
      <w:r w:rsidRPr="00DC1A5F">
        <w:rPr>
          <w:i/>
          <w:iCs/>
        </w:rPr>
        <w:t xml:space="preserve"> </w:t>
      </w:r>
      <w:proofErr w:type="spellStart"/>
      <w:r w:rsidRPr="00DC1A5F">
        <w:rPr>
          <w:i/>
          <w:iCs/>
        </w:rPr>
        <w:t>sahagatā</w:t>
      </w:r>
      <w:proofErr w:type="spellEnd"/>
      <w:r w:rsidRPr="00DC1A5F">
        <w:t xml:space="preserve">; lo que se quiere decir es que es idéntico en significado al placer y a la codicia. </w:t>
      </w:r>
      <w:r w:rsidRPr="00DC1A5F">
        <w:rPr>
          <w:i/>
          <w:iCs/>
        </w:rPr>
        <w:t>La preocupación por ello y por aquello</w:t>
      </w:r>
      <w:r w:rsidRPr="00DC1A5F">
        <w:t>:</w:t>
      </w:r>
    </w:p>
    <w:p w14:paraId="6FC9388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589A114" w14:textId="77777777" w:rsidR="00597DE2" w:rsidRPr="00DC1A5F" w:rsidRDefault="00597DE2" w:rsidP="00597DE2">
      <w:pPr>
        <w:pStyle w:val="PiedepginaLegal"/>
        <w:numPr>
          <w:ilvl w:val="0"/>
          <w:numId w:val="5"/>
        </w:numPr>
        <w:tabs>
          <w:tab w:val="clear" w:pos="425"/>
        </w:tabs>
        <w:ind w:left="284" w:hanging="284"/>
      </w:pPr>
      <w:proofErr w:type="spellStart"/>
      <w:r w:rsidRPr="00DC1A5F">
        <w:rPr>
          <w:i/>
          <w:iCs/>
        </w:rPr>
        <w:t>Anutthunana</w:t>
      </w:r>
      <w:proofErr w:type="spellEnd"/>
      <w:r w:rsidRPr="00DC1A5F">
        <w:t xml:space="preserve">—“melancólico”: no así en el PED = </w:t>
      </w:r>
      <w:proofErr w:type="spellStart"/>
      <w:r w:rsidRPr="00DC1A5F">
        <w:rPr>
          <w:i/>
          <w:iCs/>
        </w:rPr>
        <w:t>anto</w:t>
      </w:r>
      <w:proofErr w:type="spellEnd"/>
      <w:r w:rsidRPr="00DC1A5F">
        <w:rPr>
          <w:i/>
          <w:iCs/>
        </w:rPr>
        <w:t xml:space="preserve"> </w:t>
      </w:r>
      <w:proofErr w:type="spellStart"/>
      <w:r w:rsidRPr="00DC1A5F">
        <w:rPr>
          <w:i/>
          <w:iCs/>
        </w:rPr>
        <w:t>nijjhāyana</w:t>
      </w:r>
      <w:proofErr w:type="spellEnd"/>
      <w:r w:rsidRPr="00DC1A5F">
        <w:t xml:space="preserve"> (</w:t>
      </w:r>
      <w:proofErr w:type="spellStart"/>
      <w:r w:rsidRPr="00DC1A5F">
        <w:t>Vism</w:t>
      </w:r>
      <w:proofErr w:type="spellEnd"/>
      <w:r w:rsidRPr="00DC1A5F">
        <w:t>–</w:t>
      </w:r>
      <w:proofErr w:type="spellStart"/>
      <w:r w:rsidRPr="00DC1A5F">
        <w:t>mhṭ</w:t>
      </w:r>
      <w:proofErr w:type="spellEnd"/>
      <w:r w:rsidRPr="00DC1A5F">
        <w:t xml:space="preserve"> 532).</w:t>
      </w:r>
    </w:p>
    <w:p w14:paraId="5BF54B9D" w14:textId="77777777" w:rsidR="00597DE2" w:rsidRPr="00DC1A5F" w:rsidRDefault="00597DE2" w:rsidP="00597DE2">
      <w:pPr>
        <w:tabs>
          <w:tab w:val="clear" w:pos="425"/>
        </w:tabs>
        <w:spacing w:after="160"/>
      </w:pPr>
      <w:r w:rsidRPr="00DC1A5F">
        <w:lastRenderedPageBreak/>
        <w:br w:type="page"/>
      </w:r>
    </w:p>
    <w:p w14:paraId="6C62AD95" w14:textId="77777777" w:rsidR="00597DE2" w:rsidRPr="00DC1A5F" w:rsidRDefault="00597DE2" w:rsidP="00597DE2"/>
    <w:p w14:paraId="20AA2E62" w14:textId="77777777" w:rsidR="00597DE2" w:rsidRPr="00DC1A5F" w:rsidRDefault="00597DE2" w:rsidP="00597DE2">
      <w:pPr>
        <w:pStyle w:val="Textoindependiente"/>
      </w:pPr>
      <w:r w:rsidRPr="00DC1A5F">
        <w:t xml:space="preserve">dondequiera que se genere una personalidad, producirá preocupación por ello. La expresión </w:t>
      </w:r>
      <w:r w:rsidRPr="00DC1A5F">
        <w:rPr>
          <w:i/>
          <w:iCs/>
        </w:rPr>
        <w:t>eso quiere decir</w:t>
      </w:r>
      <w:r w:rsidRPr="00DC1A5F">
        <w:t xml:space="preserve"> (</w:t>
      </w:r>
      <w:proofErr w:type="spellStart"/>
      <w:r w:rsidRPr="00DC1A5F">
        <w:rPr>
          <w:i/>
          <w:iCs/>
        </w:rPr>
        <w:t>seyyathidaí</w:t>
      </w:r>
      <w:proofErr w:type="spellEnd"/>
      <w:r w:rsidRPr="00DC1A5F">
        <w:t xml:space="preserve">) se refiere a un término específico; su significado es “lo cual es eso”. </w:t>
      </w:r>
      <w:r w:rsidRPr="00DC1A5F">
        <w:rPr>
          <w:i/>
          <w:iCs/>
        </w:rPr>
        <w:t xml:space="preserve">El deseo por los deseos sensoriales, el deseo por el devenir, el deseo por el no devenir </w:t>
      </w:r>
      <w:r w:rsidRPr="00DC1A5F">
        <w:t xml:space="preserve">se explicarán en la Descripción de la Originación Dependiente (XVII. 233ff.). Si bien ésta es triple, no obstante, deberá entenderse como “la noble verdad del origen del sufrimiento”, adoptándola como </w:t>
      </w:r>
      <w:r w:rsidRPr="00DC1A5F">
        <w:rPr>
          <w:i/>
          <w:iCs/>
        </w:rPr>
        <w:t>una</w:t>
      </w:r>
      <w:r w:rsidRPr="00DC1A5F">
        <w:t xml:space="preserve"> en el sentido de su generación en la verdad del sufrimiento.</w:t>
      </w:r>
    </w:p>
    <w:p w14:paraId="3BC225D1" w14:textId="77777777" w:rsidR="00597DE2" w:rsidRPr="00DC1A5F" w:rsidRDefault="00597DE2" w:rsidP="00D9414B">
      <w:pPr>
        <w:pStyle w:val="Ttulo3"/>
      </w:pPr>
      <w:r w:rsidRPr="00DC1A5F">
        <w:t>[La Verdad De la Cesación Del Sufrimiento]</w:t>
      </w:r>
    </w:p>
    <w:p w14:paraId="22318FF4" w14:textId="77777777" w:rsidR="00597DE2" w:rsidRPr="00DC1A5F" w:rsidRDefault="00597DE2" w:rsidP="00597DE2">
      <w:r w:rsidRPr="00DC1A5F">
        <w:t xml:space="preserve">62. </w:t>
      </w:r>
      <w:r w:rsidRPr="00DC1A5F">
        <w:tab/>
        <w:t xml:space="preserve">En la descripción de la </w:t>
      </w:r>
      <w:r w:rsidRPr="00DC1A5F">
        <w:rPr>
          <w:i/>
          <w:iCs/>
        </w:rPr>
        <w:t>cesación</w:t>
      </w:r>
      <w:r w:rsidRPr="00DC1A5F">
        <w:t xml:space="preserve"> del sufrimiento se refiere a la cesación del origen establecido mediante las palabras </w:t>
      </w:r>
      <w:r w:rsidRPr="00DC1A5F">
        <w:rPr>
          <w:i/>
          <w:iCs/>
        </w:rPr>
        <w:t xml:space="preserve">aquello que es... de ese mismo deseo </w:t>
      </w:r>
      <w:r w:rsidRPr="00DC1A5F">
        <w:rPr>
          <w:color w:val="833C0B" w:themeColor="accent2" w:themeShade="80"/>
        </w:rPr>
        <w:t>(ver §31)</w:t>
      </w:r>
      <w:r w:rsidRPr="00DC1A5F">
        <w:t>, y así sucesivamente. ¿Por qué es eso? Porque la cesación del sufrimiento se produce con la cesación de su origen. Porque es con la cesación de su origen que cesa el sufrimiento, no de otro modo.</w:t>
      </w:r>
    </w:p>
    <w:p w14:paraId="626C52FD" w14:textId="77777777" w:rsidR="00597DE2" w:rsidRPr="00DC1A5F" w:rsidRDefault="00597DE2" w:rsidP="00597DE2">
      <w:pPr>
        <w:pStyle w:val="NormalConSangria"/>
      </w:pPr>
      <w:r w:rsidRPr="00DC1A5F">
        <w:t>Por eso se dice al respecto: [507]</w:t>
      </w:r>
    </w:p>
    <w:p w14:paraId="70B89B75" w14:textId="77777777" w:rsidR="00597DE2" w:rsidRPr="00DC1A5F" w:rsidRDefault="00597DE2" w:rsidP="00597DE2">
      <w:pPr>
        <w:pStyle w:val="VersoIngls01Sangria"/>
        <w:rPr>
          <w:sz w:val="16"/>
          <w:szCs w:val="20"/>
        </w:rPr>
      </w:pPr>
      <w:r w:rsidRPr="00DC1A5F">
        <w:rPr>
          <w:sz w:val="16"/>
          <w:szCs w:val="20"/>
        </w:rPr>
        <w:t>“Así como un árbol podado crecería nuevamente</w:t>
      </w:r>
    </w:p>
    <w:p w14:paraId="7530D8C1" w14:textId="77777777" w:rsidR="00597DE2" w:rsidRPr="00DC1A5F" w:rsidRDefault="00597DE2" w:rsidP="00597DE2">
      <w:pPr>
        <w:pStyle w:val="VersoIngls01Sangria"/>
        <w:rPr>
          <w:sz w:val="16"/>
          <w:szCs w:val="20"/>
        </w:rPr>
      </w:pPr>
      <w:r w:rsidRPr="00DC1A5F">
        <w:rPr>
          <w:sz w:val="16"/>
          <w:szCs w:val="20"/>
        </w:rPr>
        <w:t>Mientras su raíz permanezca intacta y sana,</w:t>
      </w:r>
    </w:p>
    <w:p w14:paraId="6DF84AB0" w14:textId="77777777" w:rsidR="00597DE2" w:rsidRPr="00DC1A5F" w:rsidRDefault="00597DE2" w:rsidP="00597DE2">
      <w:pPr>
        <w:pStyle w:val="VersoIngls01Sangria"/>
        <w:rPr>
          <w:sz w:val="16"/>
          <w:szCs w:val="20"/>
        </w:rPr>
      </w:pPr>
      <w:r w:rsidRPr="00DC1A5F">
        <w:rPr>
          <w:sz w:val="16"/>
          <w:szCs w:val="20"/>
        </w:rPr>
        <w:t xml:space="preserve">Así, con la tendencia intacta del deseo </w:t>
      </w:r>
    </w:p>
    <w:p w14:paraId="69563566" w14:textId="77777777" w:rsidR="00597DE2" w:rsidRPr="00DC1A5F" w:rsidRDefault="00597DE2" w:rsidP="00597DE2">
      <w:pPr>
        <w:pStyle w:val="VersoIngls01Sangria"/>
        <w:spacing w:after="100"/>
        <w:ind w:left="1418"/>
        <w:rPr>
          <w:sz w:val="16"/>
          <w:szCs w:val="20"/>
        </w:rPr>
      </w:pPr>
      <w:r w:rsidRPr="00DC1A5F">
        <w:rPr>
          <w:sz w:val="16"/>
          <w:szCs w:val="20"/>
        </w:rPr>
        <w:t>Este sufrimiento se reproducirá siempre” (</w:t>
      </w:r>
      <w:proofErr w:type="spellStart"/>
      <w:r w:rsidRPr="00DC1A5F">
        <w:rPr>
          <w:sz w:val="16"/>
          <w:szCs w:val="20"/>
        </w:rPr>
        <w:t>Dhp</w:t>
      </w:r>
      <w:proofErr w:type="spellEnd"/>
      <w:r w:rsidRPr="00DC1A5F">
        <w:rPr>
          <w:sz w:val="16"/>
          <w:szCs w:val="20"/>
        </w:rPr>
        <w:t>. 338).</w:t>
      </w:r>
    </w:p>
    <w:p w14:paraId="2B4B86D0" w14:textId="77777777" w:rsidR="00597DE2" w:rsidRPr="00DC1A5F" w:rsidRDefault="00597DE2" w:rsidP="00597DE2">
      <w:r w:rsidRPr="00DC1A5F">
        <w:t xml:space="preserve">63. </w:t>
      </w:r>
      <w:r w:rsidRPr="00DC1A5F">
        <w:tab/>
        <w:t xml:space="preserve">Así es cómo el sufrimiento cesará sólo a través de la cesación de su origen en la enseñanza de la cesación del sufrimiento, cuando el </w:t>
      </w:r>
      <w:r w:rsidRPr="00DC1A5F">
        <w:rPr>
          <w:i/>
          <w:iCs/>
        </w:rPr>
        <w:t>Bhagavā</w:t>
      </w:r>
      <w:r w:rsidRPr="00DC1A5F">
        <w:rPr>
          <w:i/>
        </w:rPr>
        <w:t xml:space="preserve"> </w:t>
      </w:r>
      <w:r w:rsidRPr="00DC1A5F">
        <w:t>enseñaba la cesación del origen. Pues los Perfectos se comportan como unos leones.</w:t>
      </w:r>
      <w:r w:rsidRPr="00DC1A5F">
        <w:rPr>
          <w:vertAlign w:val="superscript"/>
        </w:rPr>
        <w:t>15</w:t>
      </w:r>
      <w:r w:rsidRPr="00DC1A5F">
        <w:t xml:space="preserve"> Cuando hacen cesar el sufrimiento y cuando exponen la cesación del sufrimiento, se ocupan de la causa, no del efecto. No obstante, los sectarios se comportaban como perros. Cuando ellos hacían cesar el sufrimiento y cuando enseñaban la cesación del sufrimiento mediante su instrucción y devoción hacia la auto mortificación, etc., se ocupaban del efecto, no de la causa. Así, en primer lugar, deberá entenderse el motivo para exponer la cesación del sufrimiento por medio de la cesación de su origen.</w:t>
      </w:r>
    </w:p>
    <w:p w14:paraId="0B7F9D9A" w14:textId="77777777" w:rsidR="00597DE2" w:rsidRPr="00DC1A5F" w:rsidRDefault="00597DE2" w:rsidP="00597DE2">
      <w:r w:rsidRPr="00DC1A5F">
        <w:t xml:space="preserve">64. </w:t>
      </w:r>
      <w:r w:rsidRPr="00DC1A5F">
        <w:tab/>
        <w:t xml:space="preserve">Éste es el significado. </w:t>
      </w:r>
      <w:r w:rsidRPr="00DC1A5F">
        <w:rPr>
          <w:i/>
          <w:iCs/>
        </w:rPr>
        <w:t>De ese mismo deseo</w:t>
      </w:r>
      <w:r w:rsidRPr="00DC1A5F">
        <w:t xml:space="preserve">: de aquel deseo que, se dice, “produce un mayor devenir”, y que se clasificó como “la codicia por los deseos sensoriales”, etc. Es al sendero a lo que se le denomina </w:t>
      </w:r>
      <w:r w:rsidRPr="00DC1A5F">
        <w:rPr>
          <w:i/>
          <w:iCs/>
        </w:rPr>
        <w:t>desvanecimiento</w:t>
      </w:r>
      <w:r w:rsidRPr="00DC1A5F">
        <w:t xml:space="preserve">; pues se dice al respecto “Con el desvanecimiento de la codicia él es liberado” (M I 139). </w:t>
      </w:r>
      <w:r w:rsidRPr="00DC1A5F">
        <w:rPr>
          <w:i/>
          <w:iCs/>
        </w:rPr>
        <w:t xml:space="preserve">El desvanecimiento y la cesación </w:t>
      </w:r>
      <w:r w:rsidRPr="00DC1A5F">
        <w:t xml:space="preserve">corresponden a la cesación mediante el desvanecimiento. El </w:t>
      </w:r>
      <w:r w:rsidRPr="00DC1A5F">
        <w:rPr>
          <w:i/>
          <w:iCs/>
        </w:rPr>
        <w:t>desvanecimiento sin residuos y la cesación</w:t>
      </w:r>
      <w:r w:rsidRPr="00DC1A5F">
        <w:t xml:space="preserve"> corresponderá a la cesación a través del desvanecimiento que no posee residuos debido a la erradicación de las tendencias subyacentes. O bien, se refiere a </w:t>
      </w:r>
      <w:r w:rsidRPr="00DC1A5F">
        <w:rPr>
          <w:i/>
          <w:iCs/>
        </w:rPr>
        <w:t>abandonar</w:t>
      </w:r>
      <w:r w:rsidRPr="00DC1A5F">
        <w:t xml:space="preserve"> a lo que se denomina </w:t>
      </w:r>
      <w:r w:rsidRPr="00DC1A5F">
        <w:rPr>
          <w:i/>
          <w:iCs/>
        </w:rPr>
        <w:t>desvanecimiento</w:t>
      </w:r>
      <w:r w:rsidRPr="00DC1A5F">
        <w:t>; y así la interpretación aquí podrá ser considerada como “un desvanecimiento sin residuos, una cesación sin residuos”.</w:t>
      </w:r>
    </w:p>
    <w:p w14:paraId="39CDCDB9" w14:textId="77777777" w:rsidR="00597DE2" w:rsidRPr="00DC1A5F" w:rsidRDefault="00597DE2" w:rsidP="00597DE2">
      <w:r w:rsidRPr="00DC1A5F">
        <w:t xml:space="preserve">65. </w:t>
      </w:r>
      <w:r w:rsidRPr="00DC1A5F">
        <w:tab/>
        <w:t xml:space="preserve">No obstante, en cuanto al significado, todos ellos serán sinónimos del </w:t>
      </w:r>
      <w:r w:rsidRPr="00DC1A5F">
        <w:rPr>
          <w:i/>
          <w:iCs/>
        </w:rPr>
        <w:t>Nibbāna</w:t>
      </w:r>
      <w:r w:rsidRPr="00DC1A5F">
        <w:t xml:space="preserve">. Porque en el sentido último es al </w:t>
      </w:r>
      <w:r w:rsidRPr="00DC1A5F">
        <w:rPr>
          <w:i/>
          <w:iCs/>
        </w:rPr>
        <w:t>Nibbāna</w:t>
      </w:r>
      <w:r w:rsidRPr="00DC1A5F">
        <w:t xml:space="preserve"> a lo que se le denomina “la noble verdad de la cesación del sufrimiento”. No obstante, debido a que el deseo se desvanece y cesa al llegar a ello,</w:t>
      </w:r>
      <w:r w:rsidRPr="00DC1A5F">
        <w:rPr>
          <w:vertAlign w:val="superscript"/>
        </w:rPr>
        <w:t>16</w:t>
      </w:r>
      <w:r w:rsidRPr="00DC1A5F">
        <w:t xml:space="preserve"> por lo tanto, se </w:t>
      </w:r>
    </w:p>
    <w:p w14:paraId="275A159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5FA099B" w14:textId="77777777" w:rsidR="00597DE2" w:rsidRPr="00DC1A5F" w:rsidRDefault="00597DE2" w:rsidP="00597DE2">
      <w:pPr>
        <w:pStyle w:val="PiedepginaLegal"/>
        <w:numPr>
          <w:ilvl w:val="0"/>
          <w:numId w:val="5"/>
        </w:numPr>
        <w:tabs>
          <w:tab w:val="clear" w:pos="425"/>
        </w:tabs>
        <w:ind w:left="284" w:hanging="284"/>
      </w:pPr>
      <w:r w:rsidRPr="00DC1A5F">
        <w:t xml:space="preserve">“Así como un león dirigiría su fuerza contra un hombre que le disparase una flecha y no contra la flecha, así los </w:t>
      </w:r>
      <w:r w:rsidRPr="00DC1A5F">
        <w:rPr>
          <w:i/>
        </w:rPr>
        <w:t>Buddha</w:t>
      </w:r>
      <w:r w:rsidRPr="00DC1A5F">
        <w:t>s se ocupan de la causa, no del efecto. No obstante, los perros, cuando son golpeados con una piedra, gruñen y muerden la piedra y no atacan al golpeador, así mismo los sectarios que quieran hacer cesar el sufrimiento se dedicarán a mutilar el cuerpo, no a producir la cesación de las contaminaciones” (</w:t>
      </w:r>
      <w:proofErr w:type="spellStart"/>
      <w:r w:rsidRPr="00DC1A5F">
        <w:t>Vism</w:t>
      </w:r>
      <w:proofErr w:type="spellEnd"/>
      <w:r w:rsidRPr="00DC1A5F">
        <w:t>–</w:t>
      </w:r>
      <w:proofErr w:type="spellStart"/>
      <w:r w:rsidRPr="00DC1A5F">
        <w:t>mhṭ</w:t>
      </w:r>
      <w:proofErr w:type="spellEnd"/>
      <w:r w:rsidRPr="00DC1A5F">
        <w:t xml:space="preserve"> 533).</w:t>
      </w:r>
    </w:p>
    <w:p w14:paraId="244F6669" w14:textId="77777777" w:rsidR="00597DE2" w:rsidRPr="00DC1A5F" w:rsidRDefault="00597DE2" w:rsidP="00597DE2">
      <w:pPr>
        <w:tabs>
          <w:tab w:val="clear" w:pos="425"/>
        </w:tabs>
        <w:spacing w:after="160"/>
      </w:pPr>
      <w:r w:rsidRPr="00DC1A5F">
        <w:br w:type="page"/>
      </w:r>
    </w:p>
    <w:p w14:paraId="1518A197" w14:textId="77777777" w:rsidR="00597DE2" w:rsidRPr="00DC1A5F" w:rsidRDefault="00597DE2" w:rsidP="00597DE2"/>
    <w:p w14:paraId="6CFBD05B" w14:textId="77777777" w:rsidR="00597DE2" w:rsidRPr="00DC1A5F" w:rsidRDefault="00597DE2" w:rsidP="00597DE2">
      <w:pPr>
        <w:pStyle w:val="Textoindependiente"/>
      </w:pPr>
      <w:r w:rsidRPr="00DC1A5F">
        <w:t xml:space="preserve">le denomina “desvanecimiento” y “cesación”. Y debido a que llegará a haber abandono, etc., de ese deseo al llegar a ese </w:t>
      </w:r>
      <w:r w:rsidRPr="00DC1A5F">
        <w:rPr>
          <w:i/>
          <w:iCs/>
        </w:rPr>
        <w:t>Nibbāna</w:t>
      </w:r>
      <w:r w:rsidRPr="00DC1A5F">
        <w:t xml:space="preserve"> y, dado que no existirá ni siquiera un tipo de soporte confiable aquí de lo cual dependería aquello confiable consistente de las cuerdas de los deseos sensoriales, etc., por lo tanto, se le denominará </w:t>
      </w:r>
      <w:r w:rsidRPr="00DC1A5F">
        <w:rPr>
          <w:i/>
          <w:iCs/>
        </w:rPr>
        <w:t>abandono</w:t>
      </w:r>
      <w:r w:rsidRPr="00DC1A5F">
        <w:t xml:space="preserve">, </w:t>
      </w:r>
      <w:r w:rsidRPr="00DC1A5F">
        <w:rPr>
          <w:i/>
          <w:iCs/>
        </w:rPr>
        <w:t>renunciación a él, dejarlo ir, no confiar en él.</w:t>
      </w:r>
    </w:p>
    <w:p w14:paraId="13751D3C" w14:textId="77777777" w:rsidR="00597DE2" w:rsidRPr="00DC1A5F" w:rsidRDefault="00597DE2" w:rsidP="00597DE2">
      <w:pPr>
        <w:pStyle w:val="Textoindependiente"/>
        <w:rPr>
          <w:b/>
          <w:bCs/>
        </w:rPr>
      </w:pPr>
      <w:r w:rsidRPr="00DC1A5F">
        <w:t xml:space="preserve">66. </w:t>
      </w:r>
      <w:r w:rsidRPr="00DC1A5F">
        <w:tab/>
        <w:t xml:space="preserve">Tiene como </w:t>
      </w:r>
      <w:r w:rsidRPr="00DC1A5F">
        <w:rPr>
          <w:i/>
          <w:iCs/>
        </w:rPr>
        <w:t>característica</w:t>
      </w:r>
      <w:r w:rsidRPr="00DC1A5F">
        <w:t xml:space="preserve"> la paz. Su </w:t>
      </w:r>
      <w:r w:rsidRPr="00DC1A5F">
        <w:rPr>
          <w:i/>
          <w:iCs/>
        </w:rPr>
        <w:t>función</w:t>
      </w:r>
      <w:r w:rsidRPr="00DC1A5F">
        <w:t xml:space="preserve"> es lo inmortal; o su </w:t>
      </w:r>
      <w:r w:rsidRPr="00DC1A5F">
        <w:rPr>
          <w:i/>
          <w:iCs/>
        </w:rPr>
        <w:t>función</w:t>
      </w:r>
      <w:r w:rsidRPr="00DC1A5F">
        <w:t xml:space="preserve"> es el confort. Se </w:t>
      </w:r>
      <w:r w:rsidRPr="00DC1A5F">
        <w:rPr>
          <w:i/>
          <w:iCs/>
        </w:rPr>
        <w:t>manifiesta</w:t>
      </w:r>
      <w:r w:rsidRPr="00DC1A5F">
        <w:t xml:space="preserve"> como aquello carente de signos; o se manifiesta como indiversificación.</w:t>
      </w:r>
      <w:r w:rsidRPr="00DC1A5F">
        <w:rPr>
          <w:vertAlign w:val="superscript"/>
        </w:rPr>
        <w:t>17</w:t>
      </w:r>
      <w:r w:rsidRPr="00DC1A5F">
        <w:rPr>
          <w:b/>
          <w:bCs/>
        </w:rPr>
        <w:br/>
      </w:r>
    </w:p>
    <w:p w14:paraId="0EEF491D" w14:textId="77777777" w:rsidR="00597DE2" w:rsidRPr="00DC1A5F" w:rsidRDefault="00597DE2" w:rsidP="00D9414B">
      <w:pPr>
        <w:pStyle w:val="Ttulo3"/>
      </w:pPr>
      <w:r w:rsidRPr="00DC1A5F">
        <w:t>[Discusión Sobre el Nibbāna]</w:t>
      </w:r>
    </w:p>
    <w:p w14:paraId="0CD48780" w14:textId="77777777" w:rsidR="00597DE2" w:rsidRPr="00DC1A5F" w:rsidRDefault="00597DE2" w:rsidP="00597DE2">
      <w:r w:rsidRPr="00DC1A5F">
        <w:t xml:space="preserve">67. </w:t>
      </w:r>
      <w:r w:rsidRPr="00DC1A5F">
        <w:tab/>
        <w:t xml:space="preserve">[Pregunta 1] ¿Es el </w:t>
      </w:r>
      <w:r w:rsidRPr="00DC1A5F">
        <w:rPr>
          <w:i/>
          <w:iCs/>
        </w:rPr>
        <w:t>Nibbāna</w:t>
      </w:r>
      <w:r w:rsidRPr="00DC1A5F">
        <w:t xml:space="preserve"> inexistente porque es inaprehensible, como el cuerno de una liebre?</w:t>
      </w:r>
    </w:p>
    <w:p w14:paraId="505EE22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318171D" w14:textId="77777777" w:rsidR="00597DE2" w:rsidRPr="00DC1A5F" w:rsidRDefault="00597DE2" w:rsidP="00597DE2">
      <w:pPr>
        <w:pStyle w:val="PiedepginaLegal"/>
        <w:numPr>
          <w:ilvl w:val="0"/>
          <w:numId w:val="5"/>
        </w:numPr>
        <w:tabs>
          <w:tab w:val="clear" w:pos="425"/>
        </w:tabs>
        <w:ind w:left="284" w:hanging="284"/>
        <w:rPr>
          <w:color w:val="auto"/>
          <w:u w:color="000000"/>
        </w:rPr>
      </w:pPr>
      <w:r w:rsidRPr="00DC1A5F">
        <w:rPr>
          <w:color w:val="auto"/>
          <w:u w:color="000000"/>
        </w:rPr>
        <w:t>“‘</w:t>
      </w:r>
      <w:r w:rsidRPr="00DC1A5F">
        <w:rPr>
          <w:i/>
          <w:iCs/>
          <w:color w:val="auto"/>
          <w:u w:color="000000"/>
        </w:rPr>
        <w:t>Al llegar a eso</w:t>
      </w:r>
      <w:r w:rsidRPr="00DC1A5F">
        <w:rPr>
          <w:color w:val="auto"/>
          <w:u w:color="000000"/>
        </w:rPr>
        <w:t xml:space="preserve"> (</w:t>
      </w:r>
      <w:proofErr w:type="spellStart"/>
      <w:r w:rsidRPr="00DC1A5F">
        <w:rPr>
          <w:i/>
          <w:iCs/>
          <w:color w:val="auto"/>
          <w:u w:color="000000"/>
        </w:rPr>
        <w:t>taṃ</w:t>
      </w:r>
      <w:proofErr w:type="spellEnd"/>
      <w:r w:rsidRPr="00DC1A5F">
        <w:rPr>
          <w:i/>
          <w:iCs/>
          <w:color w:val="auto"/>
          <w:u w:color="000000"/>
        </w:rPr>
        <w:t xml:space="preserve"> </w:t>
      </w:r>
      <w:proofErr w:type="spellStart"/>
      <w:r w:rsidRPr="00DC1A5F">
        <w:rPr>
          <w:i/>
          <w:iCs/>
          <w:color w:val="auto"/>
          <w:u w:color="000000"/>
        </w:rPr>
        <w:t>āgamma</w:t>
      </w:r>
      <w:proofErr w:type="spellEnd"/>
      <w:r w:rsidRPr="00DC1A5F">
        <w:rPr>
          <w:color w:val="auto"/>
          <w:u w:color="000000"/>
        </w:rPr>
        <w:t xml:space="preserve">)’: al consumar ese </w:t>
      </w:r>
      <w:r w:rsidRPr="00DC1A5F">
        <w:rPr>
          <w:i/>
          <w:iCs/>
          <w:color w:val="auto"/>
          <w:u w:color="000000"/>
        </w:rPr>
        <w:t>Nibbāna</w:t>
      </w:r>
      <w:r w:rsidRPr="00DC1A5F">
        <w:rPr>
          <w:color w:val="auto"/>
          <w:u w:color="000000"/>
        </w:rPr>
        <w:t xml:space="preserve"> convirtiéndolo en el objeto”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533). </w:t>
      </w:r>
      <w:proofErr w:type="spellStart"/>
      <w:r w:rsidRPr="00DC1A5F">
        <w:rPr>
          <w:i/>
          <w:iCs/>
          <w:color w:val="auto"/>
          <w:u w:color="000000"/>
        </w:rPr>
        <w:t>Āgamma</w:t>
      </w:r>
      <w:proofErr w:type="spellEnd"/>
      <w:r w:rsidRPr="00DC1A5F">
        <w:rPr>
          <w:color w:val="auto"/>
          <w:u w:color="000000"/>
        </w:rPr>
        <w:t xml:space="preserve"> (</w:t>
      </w:r>
      <w:proofErr w:type="spellStart"/>
      <w:r w:rsidRPr="00DC1A5F">
        <w:rPr>
          <w:color w:val="auto"/>
          <w:u w:color="000000"/>
        </w:rPr>
        <w:t>ger</w:t>
      </w:r>
      <w:proofErr w:type="spellEnd"/>
      <w:r w:rsidRPr="00DC1A5F">
        <w:rPr>
          <w:color w:val="auto"/>
          <w:u w:color="000000"/>
        </w:rPr>
        <w:t xml:space="preserve">. de </w:t>
      </w:r>
      <w:proofErr w:type="spellStart"/>
      <w:r w:rsidRPr="00DC1A5F">
        <w:rPr>
          <w:i/>
          <w:iCs/>
          <w:color w:val="auto"/>
          <w:u w:color="000000"/>
        </w:rPr>
        <w:t>āgacchati</w:t>
      </w:r>
      <w:proofErr w:type="spellEnd"/>
      <w:r w:rsidRPr="00DC1A5F">
        <w:rPr>
          <w:color w:val="auto"/>
          <w:u w:color="000000"/>
        </w:rPr>
        <w:t xml:space="preserve"> ― llegar) se usa comúnmente como adverbio en el sentido de “debido a” (por ejemplo, en M I 119). Aquí, sin embargo, los </w:t>
      </w:r>
      <w:r w:rsidRPr="00DC1A5F">
        <w:rPr>
          <w:i/>
          <w:iCs/>
          <w:color w:val="auto"/>
          <w:u w:color="000000"/>
        </w:rPr>
        <w:t>Comentarios</w:t>
      </w:r>
      <w:r w:rsidRPr="00DC1A5F">
        <w:rPr>
          <w:color w:val="auto"/>
          <w:u w:color="000000"/>
        </w:rPr>
        <w:t xml:space="preserve"> lo adoptan literalmente y conforma una parte esencial de la comprobación ontológica de la existencia positiva del </w:t>
      </w:r>
      <w:r w:rsidRPr="00DC1A5F">
        <w:rPr>
          <w:i/>
          <w:iCs/>
          <w:color w:val="auto"/>
          <w:u w:color="000000"/>
        </w:rPr>
        <w:t>Nibbāna</w:t>
      </w:r>
      <w:r w:rsidRPr="00DC1A5F">
        <w:rPr>
          <w:color w:val="auto"/>
          <w:u w:color="000000"/>
        </w:rPr>
        <w:t>.</w:t>
      </w:r>
      <w:r w:rsidRPr="00DC1A5F">
        <w:t xml:space="preserve"> </w:t>
      </w:r>
      <w:r w:rsidRPr="00DC1A5F">
        <w:rPr>
          <w:color w:val="auto"/>
          <w:u w:color="000000"/>
        </w:rPr>
        <w:t xml:space="preserve">El </w:t>
      </w:r>
      <w:proofErr w:type="spellStart"/>
      <w:r w:rsidRPr="00DC1A5F">
        <w:rPr>
          <w:i/>
          <w:iCs/>
          <w:color w:val="auto"/>
          <w:u w:color="000000"/>
        </w:rPr>
        <w:t>Sammohavinodanī</w:t>
      </w:r>
      <w:proofErr w:type="spellEnd"/>
      <w:r w:rsidRPr="00DC1A5F">
        <w:rPr>
          <w:color w:val="auto"/>
          <w:u w:color="000000"/>
        </w:rPr>
        <w:t xml:space="preserve"> (</w:t>
      </w:r>
      <w:r w:rsidRPr="00DC1A5F">
        <w:rPr>
          <w:i/>
          <w:iCs/>
          <w:color w:val="auto"/>
          <w:u w:color="000000"/>
        </w:rPr>
        <w:t>Comentario</w:t>
      </w:r>
      <w:r w:rsidRPr="00DC1A5F">
        <w:rPr>
          <w:color w:val="auto"/>
          <w:u w:color="000000"/>
        </w:rPr>
        <w:t xml:space="preserve"> </w:t>
      </w:r>
      <w:proofErr w:type="spellStart"/>
      <w:r w:rsidRPr="00DC1A5F">
        <w:rPr>
          <w:i/>
          <w:iCs/>
          <w:color w:val="auto"/>
          <w:u w:color="000000"/>
        </w:rPr>
        <w:t>Āyatana</w:t>
      </w:r>
      <w:proofErr w:type="spellEnd"/>
      <w:r w:rsidRPr="00DC1A5F">
        <w:rPr>
          <w:i/>
          <w:iCs/>
          <w:color w:val="auto"/>
          <w:u w:color="000000"/>
        </w:rPr>
        <w:t>–</w:t>
      </w:r>
      <w:proofErr w:type="spellStart"/>
      <w:r w:rsidRPr="00DC1A5F">
        <w:rPr>
          <w:i/>
          <w:iCs/>
          <w:color w:val="auto"/>
          <w:u w:color="000000"/>
        </w:rPr>
        <w:t>Vibhaṅga</w:t>
      </w:r>
      <w:proofErr w:type="spellEnd"/>
      <w:r w:rsidRPr="00DC1A5F">
        <w:rPr>
          <w:color w:val="auto"/>
          <w:u w:color="000000"/>
        </w:rPr>
        <w:t xml:space="preserve"> </w:t>
      </w:r>
      <w:proofErr w:type="spellStart"/>
      <w:r w:rsidRPr="00DC1A5F">
        <w:rPr>
          <w:i/>
          <w:iCs/>
          <w:color w:val="auto"/>
          <w:u w:color="000000"/>
        </w:rPr>
        <w:t>Abhidhamma</w:t>
      </w:r>
      <w:proofErr w:type="spellEnd"/>
      <w:r w:rsidRPr="00DC1A5F">
        <w:rPr>
          <w:color w:val="auto"/>
          <w:u w:color="000000"/>
        </w:rPr>
        <w:t>–</w:t>
      </w:r>
      <w:proofErr w:type="spellStart"/>
      <w:r w:rsidRPr="00DC1A5F">
        <w:rPr>
          <w:i/>
          <w:iCs/>
          <w:color w:val="auto"/>
          <w:u w:color="000000"/>
        </w:rPr>
        <w:t>bhājaniya</w:t>
      </w:r>
      <w:proofErr w:type="spellEnd"/>
      <w:r w:rsidRPr="00DC1A5F">
        <w:rPr>
          <w:color w:val="auto"/>
          <w:u w:color="000000"/>
        </w:rPr>
        <w:t xml:space="preserve">) refuta la sugerencia de un disputador </w:t>
      </w:r>
      <w:r w:rsidRPr="00DC1A5F">
        <w:rPr>
          <w:color w:val="auto"/>
          <w:u w:color="000000"/>
        </w:rPr>
        <w:br/>
        <w:t>(</w:t>
      </w:r>
      <w:proofErr w:type="spellStart"/>
      <w:r w:rsidRPr="00DC1A5F">
        <w:rPr>
          <w:i/>
          <w:iCs/>
          <w:color w:val="auto"/>
          <w:u w:color="000000"/>
        </w:rPr>
        <w:t>vitaṇḍavādin</w:t>
      </w:r>
      <w:proofErr w:type="spellEnd"/>
      <w:r w:rsidRPr="00DC1A5F">
        <w:rPr>
          <w:color w:val="auto"/>
          <w:u w:color="000000"/>
        </w:rPr>
        <w:t xml:space="preserve">) que afirma que el </w:t>
      </w:r>
      <w:r w:rsidRPr="00DC1A5F">
        <w:rPr>
          <w:i/>
          <w:iCs/>
          <w:color w:val="auto"/>
          <w:u w:color="000000"/>
        </w:rPr>
        <w:t>Nibbāna</w:t>
      </w:r>
      <w:r w:rsidRPr="00DC1A5F">
        <w:rPr>
          <w:color w:val="auto"/>
          <w:u w:color="000000"/>
        </w:rPr>
        <w:t xml:space="preserve"> es una “simple destrucción” (</w:t>
      </w:r>
      <w:proofErr w:type="spellStart"/>
      <w:r w:rsidRPr="00DC1A5F">
        <w:rPr>
          <w:i/>
          <w:iCs/>
          <w:color w:val="auto"/>
          <w:u w:color="000000"/>
        </w:rPr>
        <w:t>khayamatta</w:t>
      </w:r>
      <w:proofErr w:type="spellEnd"/>
      <w:r w:rsidRPr="00DC1A5F">
        <w:rPr>
          <w:color w:val="auto"/>
          <w:u w:color="000000"/>
        </w:rPr>
        <w:t>). Los argumentos utilizados son simplemente complementarios a los del §69 del presente texto, por lo que no se citan. Sin embargo, vale la pena señalar la conclusión del argumento debido al énfasis en las palabras “</w:t>
      </w:r>
      <w:proofErr w:type="spellStart"/>
      <w:r w:rsidRPr="00DC1A5F">
        <w:rPr>
          <w:i/>
          <w:iCs/>
          <w:color w:val="auto"/>
          <w:u w:color="000000"/>
        </w:rPr>
        <w:t>taṃ</w:t>
      </w:r>
      <w:proofErr w:type="spellEnd"/>
      <w:r w:rsidRPr="00DC1A5F">
        <w:rPr>
          <w:i/>
          <w:iCs/>
          <w:color w:val="auto"/>
          <w:u w:color="000000"/>
        </w:rPr>
        <w:t xml:space="preserve"> </w:t>
      </w:r>
      <w:proofErr w:type="spellStart"/>
      <w:r w:rsidRPr="00DC1A5F">
        <w:rPr>
          <w:i/>
          <w:iCs/>
          <w:color w:val="auto"/>
          <w:u w:color="000000"/>
        </w:rPr>
        <w:t>āgamma</w:t>
      </w:r>
      <w:proofErr w:type="spellEnd"/>
      <w:r w:rsidRPr="00DC1A5F">
        <w:rPr>
          <w:color w:val="auto"/>
          <w:u w:color="000000"/>
        </w:rPr>
        <w:t xml:space="preserve">”. Esto es lo siguiente: “Es al consumar el </w:t>
      </w:r>
      <w:r w:rsidRPr="00DC1A5F">
        <w:rPr>
          <w:i/>
          <w:iCs/>
          <w:color w:val="auto"/>
          <w:u w:color="000000"/>
        </w:rPr>
        <w:t>Nibbāna</w:t>
      </w:r>
      <w:r w:rsidRPr="00DC1A5F">
        <w:rPr>
          <w:color w:val="auto"/>
          <w:u w:color="000000"/>
        </w:rPr>
        <w:t xml:space="preserve"> que la codicia, la aversión, etc., son destruidas. Es a este mismo </w:t>
      </w:r>
      <w:r w:rsidRPr="00DC1A5F">
        <w:rPr>
          <w:i/>
          <w:iCs/>
          <w:color w:val="auto"/>
          <w:u w:color="000000"/>
        </w:rPr>
        <w:t>Nibbāna</w:t>
      </w:r>
      <w:r w:rsidRPr="00DC1A5F">
        <w:rPr>
          <w:color w:val="auto"/>
          <w:u w:color="000000"/>
        </w:rPr>
        <w:t xml:space="preserve"> que se le llama ‘destrucción de la codicia, destrucción del odio, destrucción de la ilusión’. Estos serán sólo tres términos para referirse al </w:t>
      </w:r>
      <w:r w:rsidRPr="00DC1A5F">
        <w:rPr>
          <w:i/>
          <w:iCs/>
          <w:color w:val="auto"/>
          <w:u w:color="000000"/>
        </w:rPr>
        <w:t>Nibbāna</w:t>
      </w:r>
      <w:r w:rsidRPr="00DC1A5F">
        <w:rPr>
          <w:color w:val="auto"/>
          <w:u w:color="000000"/>
        </w:rPr>
        <w:t>. Cuando se dijo esto, él preguntó: Usted dice ‘Al llegar a’ (</w:t>
      </w:r>
      <w:proofErr w:type="spellStart"/>
      <w:r w:rsidRPr="00DC1A5F">
        <w:rPr>
          <w:i/>
          <w:iCs/>
          <w:color w:val="auto"/>
          <w:u w:color="000000"/>
        </w:rPr>
        <w:t>āgamma</w:t>
      </w:r>
      <w:proofErr w:type="spellEnd"/>
      <w:r w:rsidRPr="00DC1A5F">
        <w:rPr>
          <w:color w:val="auto"/>
          <w:u w:color="000000"/>
        </w:rPr>
        <w:t xml:space="preserve">); ¿De dónde sacó este ‘al llegar a’? — Se obtiene de los </w:t>
      </w:r>
      <w:r w:rsidRPr="00DC1A5F">
        <w:rPr>
          <w:i/>
          <w:iCs/>
          <w:color w:val="auto"/>
          <w:u w:color="000000"/>
        </w:rPr>
        <w:t>Suttas</w:t>
      </w:r>
      <w:r w:rsidRPr="00DC1A5F">
        <w:rPr>
          <w:color w:val="auto"/>
          <w:u w:color="000000"/>
        </w:rPr>
        <w:t xml:space="preserve">— a </w:t>
      </w:r>
      <w:proofErr w:type="spellStart"/>
      <w:r w:rsidRPr="00DC1A5F">
        <w:rPr>
          <w:color w:val="auto"/>
          <w:u w:color="000000"/>
        </w:rPr>
        <w:t>continuaciónse</w:t>
      </w:r>
      <w:proofErr w:type="spellEnd"/>
      <w:r w:rsidRPr="00DC1A5F">
        <w:rPr>
          <w:color w:val="auto"/>
          <w:u w:color="000000"/>
        </w:rPr>
        <w:t xml:space="preserve"> cita el </w:t>
      </w:r>
      <w:proofErr w:type="spellStart"/>
      <w:r w:rsidRPr="00DC1A5F">
        <w:rPr>
          <w:i/>
          <w:iCs/>
          <w:color w:val="auto"/>
          <w:u w:color="000000"/>
        </w:rPr>
        <w:t>sutta</w:t>
      </w:r>
      <w:proofErr w:type="spellEnd"/>
      <w:r w:rsidRPr="00DC1A5F">
        <w:rPr>
          <w:color w:val="auto"/>
          <w:u w:color="000000"/>
        </w:rPr>
        <w:t>—</w:t>
      </w:r>
      <w:r w:rsidRPr="00DC1A5F">
        <w:rPr>
          <w:color w:val="833C0B" w:themeColor="accent2" w:themeShade="80"/>
          <w:u w:color="000000"/>
        </w:rPr>
        <w:t xml:space="preserve"> </w:t>
      </w:r>
      <w:r w:rsidRPr="00DC1A5F">
        <w:rPr>
          <w:color w:val="auto"/>
          <w:u w:color="000000"/>
        </w:rPr>
        <w:t>‘Así, la ignorancia y el deseo, al llegar a, son destruidos por ello, son abolidos por ello y no de ninguna otra parte... (</w:t>
      </w:r>
      <w:proofErr w:type="spellStart"/>
      <w:r w:rsidRPr="00DC1A5F">
        <w:rPr>
          <w:i/>
          <w:iCs/>
          <w:color w:val="auto"/>
          <w:u w:color="000000"/>
        </w:rPr>
        <w:t>evaṃ</w:t>
      </w:r>
      <w:proofErr w:type="spellEnd"/>
      <w:r w:rsidRPr="00DC1A5F">
        <w:rPr>
          <w:i/>
          <w:iCs/>
          <w:color w:val="auto"/>
          <w:u w:color="000000"/>
        </w:rPr>
        <w:t xml:space="preserve"> avijjā ca </w:t>
      </w:r>
      <w:proofErr w:type="spellStart"/>
      <w:r w:rsidRPr="00DC1A5F">
        <w:rPr>
          <w:i/>
          <w:iCs/>
          <w:color w:val="auto"/>
          <w:u w:color="000000"/>
        </w:rPr>
        <w:t>taóhā</w:t>
      </w:r>
      <w:proofErr w:type="spellEnd"/>
      <w:r w:rsidRPr="00DC1A5F">
        <w:rPr>
          <w:i/>
          <w:iCs/>
          <w:color w:val="auto"/>
          <w:u w:color="000000"/>
        </w:rPr>
        <w:t xml:space="preserve"> ca </w:t>
      </w:r>
      <w:proofErr w:type="spellStart"/>
      <w:r w:rsidRPr="00DC1A5F">
        <w:rPr>
          <w:i/>
          <w:iCs/>
          <w:color w:val="auto"/>
          <w:u w:color="000000"/>
        </w:rPr>
        <w:t>taṃ</w:t>
      </w:r>
      <w:proofErr w:type="spellEnd"/>
      <w:r w:rsidRPr="00DC1A5F">
        <w:rPr>
          <w:i/>
          <w:iCs/>
          <w:color w:val="auto"/>
          <w:u w:color="000000"/>
        </w:rPr>
        <w:t xml:space="preserve"> </w:t>
      </w:r>
      <w:proofErr w:type="spellStart"/>
      <w:r w:rsidRPr="00DC1A5F">
        <w:rPr>
          <w:i/>
          <w:iCs/>
          <w:color w:val="auto"/>
          <w:u w:color="000000"/>
        </w:rPr>
        <w:t>āgamma</w:t>
      </w:r>
      <w:proofErr w:type="spellEnd"/>
      <w:r w:rsidRPr="00DC1A5F">
        <w:rPr>
          <w:i/>
          <w:iCs/>
          <w:color w:val="auto"/>
          <w:u w:color="000000"/>
        </w:rPr>
        <w:t xml:space="preserve"> </w:t>
      </w:r>
      <w:proofErr w:type="spellStart"/>
      <w:r w:rsidRPr="00DC1A5F">
        <w:rPr>
          <w:i/>
          <w:iCs/>
          <w:color w:val="auto"/>
          <w:u w:color="000000"/>
        </w:rPr>
        <w:t>tamhi</w:t>
      </w:r>
      <w:proofErr w:type="spellEnd"/>
      <w:r w:rsidRPr="00DC1A5F">
        <w:rPr>
          <w:i/>
          <w:iCs/>
          <w:color w:val="auto"/>
          <w:u w:color="000000"/>
        </w:rPr>
        <w:t xml:space="preserve"> </w:t>
      </w:r>
      <w:proofErr w:type="spellStart"/>
      <w:r w:rsidRPr="00DC1A5F">
        <w:rPr>
          <w:i/>
          <w:iCs/>
          <w:color w:val="auto"/>
          <w:u w:color="000000"/>
        </w:rPr>
        <w:t>khīṇaṃ</w:t>
      </w:r>
      <w:proofErr w:type="spellEnd"/>
      <w:r w:rsidRPr="00DC1A5F">
        <w:rPr>
          <w:i/>
          <w:iCs/>
          <w:color w:val="auto"/>
          <w:u w:color="000000"/>
        </w:rPr>
        <w:t xml:space="preserve"> </w:t>
      </w:r>
      <w:proofErr w:type="spellStart"/>
      <w:r w:rsidRPr="00DC1A5F">
        <w:rPr>
          <w:i/>
          <w:iCs/>
          <w:color w:val="auto"/>
          <w:u w:color="000000"/>
        </w:rPr>
        <w:t>tamhi</w:t>
      </w:r>
      <w:proofErr w:type="spellEnd"/>
      <w:r w:rsidRPr="00DC1A5F">
        <w:rPr>
          <w:i/>
          <w:iCs/>
          <w:color w:val="auto"/>
          <w:u w:color="000000"/>
        </w:rPr>
        <w:t xml:space="preserve"> </w:t>
      </w:r>
      <w:proofErr w:type="spellStart"/>
      <w:r w:rsidRPr="00DC1A5F">
        <w:rPr>
          <w:i/>
          <w:iCs/>
          <w:color w:val="auto"/>
          <w:u w:color="000000"/>
        </w:rPr>
        <w:t>bhaggaṃ</w:t>
      </w:r>
      <w:proofErr w:type="spellEnd"/>
      <w:r w:rsidRPr="00DC1A5F">
        <w:rPr>
          <w:i/>
          <w:iCs/>
          <w:color w:val="auto"/>
          <w:u w:color="000000"/>
        </w:rPr>
        <w:t xml:space="preserve"> </w:t>
      </w:r>
      <w:proofErr w:type="spellStart"/>
      <w:r w:rsidRPr="00DC1A5F">
        <w:rPr>
          <w:i/>
          <w:iCs/>
          <w:color w:val="auto"/>
          <w:u w:color="000000"/>
        </w:rPr>
        <w:t>na</w:t>
      </w:r>
      <w:proofErr w:type="spellEnd"/>
      <w:r w:rsidRPr="00DC1A5F">
        <w:rPr>
          <w:i/>
          <w:iCs/>
          <w:color w:val="auto"/>
          <w:u w:color="000000"/>
        </w:rPr>
        <w:t xml:space="preserve"> ca </w:t>
      </w:r>
      <w:proofErr w:type="spellStart"/>
      <w:r w:rsidRPr="00DC1A5F">
        <w:rPr>
          <w:i/>
          <w:iCs/>
          <w:color w:val="auto"/>
          <w:u w:color="000000"/>
        </w:rPr>
        <w:t>kiñci</w:t>
      </w:r>
      <w:proofErr w:type="spellEnd"/>
      <w:r w:rsidRPr="00DC1A5F">
        <w:rPr>
          <w:i/>
          <w:iCs/>
          <w:color w:val="auto"/>
          <w:u w:color="000000"/>
        </w:rPr>
        <w:t xml:space="preserve"> </w:t>
      </w:r>
      <w:proofErr w:type="spellStart"/>
      <w:r w:rsidRPr="00DC1A5F">
        <w:rPr>
          <w:i/>
          <w:iCs/>
          <w:color w:val="auto"/>
          <w:u w:color="000000"/>
        </w:rPr>
        <w:t>kadāc</w:t>
      </w:r>
      <w:r w:rsidRPr="00DC1A5F">
        <w:rPr>
          <w:color w:val="auto"/>
          <w:u w:color="000000"/>
        </w:rPr>
        <w:t>i</w:t>
      </w:r>
      <w:proofErr w:type="spellEnd"/>
      <w:r w:rsidRPr="00DC1A5F">
        <w:rPr>
          <w:color w:val="auto"/>
          <w:u w:color="000000"/>
        </w:rPr>
        <w:t>…) ’Cuando él dijo esto, el otro guardó silencio”. La cita no ha sido rastreada.</w:t>
      </w:r>
    </w:p>
    <w:p w14:paraId="2E3B9EE9" w14:textId="77777777" w:rsidR="00597DE2" w:rsidRPr="00DC1A5F" w:rsidRDefault="00597DE2" w:rsidP="00597DE2">
      <w:pPr>
        <w:pStyle w:val="PiedepginaLegal"/>
        <w:numPr>
          <w:ilvl w:val="0"/>
          <w:numId w:val="5"/>
        </w:numPr>
        <w:tabs>
          <w:tab w:val="clear" w:pos="425"/>
        </w:tabs>
        <w:ind w:left="284" w:hanging="284"/>
      </w:pPr>
      <w:proofErr w:type="spellStart"/>
      <w:r w:rsidRPr="00DC1A5F">
        <w:rPr>
          <w:i/>
          <w:iCs/>
          <w:color w:val="auto"/>
          <w:u w:color="000000"/>
        </w:rPr>
        <w:t>Nippapañca</w:t>
      </w:r>
      <w:proofErr w:type="spellEnd"/>
      <w:r w:rsidRPr="00DC1A5F">
        <w:rPr>
          <w:color w:val="auto"/>
          <w:u w:color="000000"/>
        </w:rPr>
        <w:t xml:space="preserve"> (no―diversificación) es uno de los sinónimos del </w:t>
      </w:r>
      <w:r w:rsidRPr="00DC1A5F">
        <w:rPr>
          <w:i/>
          <w:iCs/>
          <w:color w:val="auto"/>
          <w:u w:color="000000"/>
        </w:rPr>
        <w:t>Nibbāna</w:t>
      </w:r>
      <w:r w:rsidRPr="00DC1A5F">
        <w:rPr>
          <w:color w:val="auto"/>
          <w:u w:color="000000"/>
        </w:rPr>
        <w:t xml:space="preserve">. La palabra </w:t>
      </w:r>
      <w:proofErr w:type="spellStart"/>
      <w:r w:rsidRPr="00DC1A5F">
        <w:rPr>
          <w:i/>
          <w:iCs/>
          <w:color w:val="auto"/>
          <w:u w:color="000000"/>
        </w:rPr>
        <w:t>papañca</w:t>
      </w:r>
      <w:proofErr w:type="spellEnd"/>
      <w:r w:rsidRPr="00DC1A5F">
        <w:rPr>
          <w:color w:val="auto"/>
          <w:u w:color="000000"/>
        </w:rPr>
        <w:t xml:space="preserve"> se usa comúnmente en los </w:t>
      </w:r>
      <w:r w:rsidRPr="00DC1A5F">
        <w:rPr>
          <w:i/>
          <w:iCs/>
          <w:color w:val="auto"/>
          <w:u w:color="000000"/>
        </w:rPr>
        <w:t>Comentarios</w:t>
      </w:r>
      <w:r w:rsidRPr="00DC1A5F">
        <w:rPr>
          <w:color w:val="auto"/>
          <w:u w:color="000000"/>
        </w:rPr>
        <w:t xml:space="preserve"> en el sentido de (a) impedimento u obstáculo (</w:t>
      </w:r>
      <w:proofErr w:type="spellStart"/>
      <w:r w:rsidRPr="00DC1A5F">
        <w:rPr>
          <w:color w:val="auto"/>
          <w:u w:color="000000"/>
        </w:rPr>
        <w:t>Dhp</w:t>
      </w:r>
      <w:proofErr w:type="spellEnd"/>
      <w:r w:rsidRPr="00DC1A5F">
        <w:rPr>
          <w:color w:val="auto"/>
          <w:u w:color="000000"/>
        </w:rPr>
        <w:t xml:space="preserve">–a I 18), y (b) como un retraso o dispersión (XVII.73). El sentido en el que se usa la palabra en los </w:t>
      </w:r>
      <w:r w:rsidRPr="00DC1A5F">
        <w:rPr>
          <w:i/>
          <w:iCs/>
          <w:color w:val="auto"/>
          <w:u w:color="000000"/>
        </w:rPr>
        <w:t>Suttas</w:t>
      </w:r>
      <w:r w:rsidRPr="00DC1A5F">
        <w:rPr>
          <w:color w:val="auto"/>
          <w:u w:color="000000"/>
        </w:rPr>
        <w:t xml:space="preserve"> es el de la diversificación y se ejemplifica mejor en M I 111:</w:t>
      </w:r>
      <w:r w:rsidRPr="00DC1A5F">
        <w:t xml:space="preserve"> </w:t>
      </w:r>
      <w:r w:rsidRPr="00DC1A5F">
        <w:rPr>
          <w:color w:val="auto"/>
          <w:u w:color="000000"/>
        </w:rPr>
        <w:t>“Amigos, debido al ojo y a un objeto visible surgirá la consciencia visual. La coincidencia de los tres resultará en el contacto. Con el contacto como condición se originará la sensación. Lo que un hombre sienta ello percibirá. Lo que perciba ello pensará. Lo que piense ello se diversificará (</w:t>
      </w:r>
      <w:proofErr w:type="spellStart"/>
      <w:r w:rsidRPr="00DC1A5F">
        <w:rPr>
          <w:i/>
          <w:iCs/>
          <w:color w:val="auto"/>
          <w:u w:color="000000"/>
        </w:rPr>
        <w:t>papañceti</w:t>
      </w:r>
      <w:proofErr w:type="spellEnd"/>
      <w:r w:rsidRPr="00DC1A5F">
        <w:rPr>
          <w:color w:val="auto"/>
          <w:u w:color="000000"/>
        </w:rPr>
        <w:t>). Debido a que se habrá diversificado, la evaluación de las percepciones que se diversifiquen acosará al hombre con respecto a los objetos visibles pasados, futuros y presentes”, etc</w:t>
      </w:r>
      <w:r w:rsidRPr="00DC1A5F">
        <w:rPr>
          <w:color w:val="833C0B" w:themeColor="accent2" w:themeShade="80"/>
          <w:u w:color="000000"/>
        </w:rPr>
        <w:t xml:space="preserve">. </w:t>
      </w:r>
      <w:r w:rsidRPr="00DC1A5F">
        <w:rPr>
          <w:color w:val="auto"/>
          <w:u w:color="000000"/>
        </w:rPr>
        <w:t xml:space="preserve">Esta especie de </w:t>
      </w:r>
      <w:proofErr w:type="spellStart"/>
      <w:r w:rsidRPr="00DC1A5F">
        <w:rPr>
          <w:i/>
          <w:iCs/>
          <w:color w:val="auto"/>
          <w:u w:color="000000"/>
        </w:rPr>
        <w:t>papañca</w:t>
      </w:r>
      <w:proofErr w:type="spellEnd"/>
      <w:r w:rsidRPr="00DC1A5F">
        <w:rPr>
          <w:color w:val="auto"/>
          <w:u w:color="000000"/>
        </w:rPr>
        <w:t xml:space="preserve"> es explicada por los </w:t>
      </w:r>
      <w:r w:rsidRPr="00DC1A5F">
        <w:rPr>
          <w:i/>
          <w:iCs/>
          <w:color w:val="auto"/>
          <w:u w:color="000000"/>
        </w:rPr>
        <w:t>Comentarios</w:t>
      </w:r>
      <w:r w:rsidRPr="00DC1A5F">
        <w:rPr>
          <w:color w:val="auto"/>
          <w:u w:color="000000"/>
        </w:rPr>
        <w:t xml:space="preserve"> como “debido al deseo, al orgullo y a las visiones incorrectas” (M–a I 25; II 10; II 75, etc.), y puede ser adoptado como la acción diversificadora, la elección y el rechazo, la aprobación y desaprobación (M I 65), ejercidas por el deseo, etc., sobre la simple materialidad suministrada por la percepción y el pensamiento.</w:t>
      </w:r>
      <w:r w:rsidRPr="00DC1A5F">
        <w:t xml:space="preserve"> </w:t>
      </w:r>
      <w:r w:rsidRPr="00DC1A5F">
        <w:rPr>
          <w:color w:val="auto"/>
          <w:u w:color="000000"/>
        </w:rPr>
        <w:t xml:space="preserve">En consecuencia, aunque esté relacionado con el deseo, etc., se le asignara un falso énfasis al traducir </w:t>
      </w:r>
      <w:proofErr w:type="spellStart"/>
      <w:r w:rsidRPr="00DC1A5F">
        <w:rPr>
          <w:i/>
          <w:iCs/>
          <w:color w:val="auto"/>
          <w:u w:color="000000"/>
        </w:rPr>
        <w:t>papañca</w:t>
      </w:r>
      <w:proofErr w:type="spellEnd"/>
      <w:r w:rsidRPr="00DC1A5F">
        <w:rPr>
          <w:color w:val="auto"/>
          <w:u w:color="000000"/>
        </w:rPr>
        <w:t xml:space="preserve"> en estos contextos como “obsesión”, tal como lo hace el PED. </w:t>
      </w:r>
      <w:proofErr w:type="spellStart"/>
      <w:r w:rsidRPr="00DC1A5F">
        <w:rPr>
          <w:i/>
          <w:iCs/>
          <w:color w:val="auto"/>
          <w:u w:color="000000"/>
        </w:rPr>
        <w:t>Nippapañca</w:t>
      </w:r>
      <w:proofErr w:type="spellEnd"/>
      <w:r w:rsidRPr="00DC1A5F">
        <w:rPr>
          <w:color w:val="auto"/>
          <w:u w:color="000000"/>
        </w:rPr>
        <w:t xml:space="preserve"> como término para el </w:t>
      </w:r>
      <w:r w:rsidRPr="00DC1A5F">
        <w:rPr>
          <w:i/>
          <w:iCs/>
          <w:color w:val="auto"/>
          <w:u w:color="000000"/>
        </w:rPr>
        <w:t>Nibbāna</w:t>
      </w:r>
      <w:r w:rsidRPr="00DC1A5F">
        <w:rPr>
          <w:color w:val="auto"/>
          <w:u w:color="000000"/>
        </w:rPr>
        <w:t xml:space="preserve"> enfatiza la ausencia al respecto.</w:t>
      </w:r>
      <w:r w:rsidRPr="00DC1A5F">
        <w:rPr>
          <w:color w:val="auto"/>
          <w:u w:color="000000"/>
        </w:rPr>
        <w:br/>
      </w:r>
    </w:p>
    <w:p w14:paraId="404C0F49" w14:textId="77777777" w:rsidR="00597DE2" w:rsidRPr="00DC1A5F" w:rsidRDefault="00597DE2" w:rsidP="00597DE2">
      <w:pPr>
        <w:tabs>
          <w:tab w:val="clear" w:pos="425"/>
        </w:tabs>
        <w:spacing w:after="160"/>
      </w:pPr>
      <w:r w:rsidRPr="00DC1A5F">
        <w:br w:type="page"/>
      </w:r>
    </w:p>
    <w:p w14:paraId="40F337AA" w14:textId="77777777" w:rsidR="00597DE2" w:rsidRPr="00DC1A5F" w:rsidRDefault="00597DE2" w:rsidP="00597DE2">
      <w:pPr>
        <w:pStyle w:val="NormalConSangria"/>
      </w:pPr>
    </w:p>
    <w:p w14:paraId="4DAB4DEC" w14:textId="77777777" w:rsidR="00597DE2" w:rsidRPr="00DC1A5F" w:rsidRDefault="00597DE2" w:rsidP="00597DE2">
      <w:pPr>
        <w:pStyle w:val="NormalConSangria"/>
      </w:pPr>
      <w:r w:rsidRPr="00DC1A5F">
        <w:t xml:space="preserve">[Respuesta] Esto no es así, ya que el </w:t>
      </w:r>
      <w:r w:rsidRPr="00DC1A5F">
        <w:rPr>
          <w:i/>
          <w:iCs/>
        </w:rPr>
        <w:t>Nibbāna</w:t>
      </w:r>
      <w:r w:rsidRPr="00DC1A5F">
        <w:t xml:space="preserve"> es aprehensible por los medios correctos. Ya que es aprehensible por algunos seres, es decir, por los nobles a través de los medios correctos, es decir, mediante el sendero que le es propio, el sendero de la virtud, la concentración y el entendimiento; es como la consciencia supramundana de otros seres, que sólo será aprehensible por algunos Nobles, por medio del conocimiento de la penetración de las mentes de los demás. Por lo tanto, no debe decirse que es inexistente porque sea inaprehensible; ya que no debe decirse que lo que el hombre necio y ordinario no aprehenda deba ser inaprehensible.</w:t>
      </w:r>
    </w:p>
    <w:p w14:paraId="3FD9366B" w14:textId="77777777" w:rsidR="00597DE2" w:rsidRPr="00DC1A5F" w:rsidRDefault="00597DE2" w:rsidP="00597DE2">
      <w:r w:rsidRPr="00DC1A5F">
        <w:t xml:space="preserve">68. </w:t>
      </w:r>
      <w:r w:rsidRPr="00DC1A5F">
        <w:tab/>
        <w:t xml:space="preserve">Una vez más, no se debe decir que el </w:t>
      </w:r>
      <w:r w:rsidRPr="00DC1A5F">
        <w:rPr>
          <w:i/>
          <w:iCs/>
        </w:rPr>
        <w:t>Nibbāna</w:t>
      </w:r>
      <w:r w:rsidRPr="00DC1A5F">
        <w:t xml:space="preserve"> es inexistente. ¿Por qué no? Porque entonces le seguiría que el sendero es inútil. [508] Ya que si el </w:t>
      </w:r>
      <w:r w:rsidRPr="00DC1A5F">
        <w:rPr>
          <w:i/>
          <w:iCs/>
        </w:rPr>
        <w:t>Nibbāna</w:t>
      </w:r>
      <w:r w:rsidRPr="00DC1A5F">
        <w:t xml:space="preserve"> no existiera, le seguiría que el sendero correcto, que incluye los tres agregados que comienzan con la virtud y está encabezado por el entendimiento correcto, sería fútil. Y no es fútil ya que éste permite consumar el </w:t>
      </w:r>
      <w:r w:rsidRPr="00DC1A5F">
        <w:rPr>
          <w:i/>
          <w:iCs/>
        </w:rPr>
        <w:t>Nibbāna</w:t>
      </w:r>
      <w:r w:rsidRPr="00DC1A5F">
        <w:t>.</w:t>
      </w:r>
    </w:p>
    <w:p w14:paraId="0B097EFE" w14:textId="77777777" w:rsidR="00597DE2" w:rsidRPr="00DC1A5F" w:rsidRDefault="00597DE2" w:rsidP="00597DE2">
      <w:pPr>
        <w:pStyle w:val="NormalConSangria"/>
      </w:pPr>
      <w:r w:rsidRPr="00DC1A5F">
        <w:t>[P. 2] No obstante, la futilidad del sendero no le seguirá debido a que lo que se consumará será la ausencia, es decir, la ausencia de los cinco agregados resultantes de la eliminación de las impurezas.</w:t>
      </w:r>
    </w:p>
    <w:p w14:paraId="06597AC4" w14:textId="77777777" w:rsidR="00597DE2" w:rsidRPr="00DC1A5F" w:rsidRDefault="00597DE2" w:rsidP="00597DE2">
      <w:pPr>
        <w:pStyle w:val="NormalConSangria"/>
      </w:pPr>
      <w:r w:rsidRPr="00DC1A5F">
        <w:t xml:space="preserve">[R. 2] Eso no es así. Porque, aunque haya ausencia de agregados pasados y futuros, sin embargo, no se consumaría el </w:t>
      </w:r>
      <w:r w:rsidRPr="00DC1A5F">
        <w:rPr>
          <w:i/>
          <w:iCs/>
        </w:rPr>
        <w:t>Nibbāna</w:t>
      </w:r>
      <w:r w:rsidRPr="00DC1A5F">
        <w:t xml:space="preserve"> simplemente debido a ello.</w:t>
      </w:r>
    </w:p>
    <w:p w14:paraId="31C7764A" w14:textId="77777777" w:rsidR="00597DE2" w:rsidRPr="00DC1A5F" w:rsidRDefault="00597DE2" w:rsidP="00597DE2">
      <w:pPr>
        <w:pStyle w:val="NormalConSangria"/>
      </w:pPr>
      <w:r w:rsidRPr="00DC1A5F">
        <w:t xml:space="preserve">[P. 3] Entonces, ¿la ausencia de agregados presentes es también el </w:t>
      </w:r>
      <w:r w:rsidRPr="00DC1A5F">
        <w:rPr>
          <w:i/>
          <w:iCs/>
        </w:rPr>
        <w:t>Nibbāna</w:t>
      </w:r>
      <w:r w:rsidRPr="00DC1A5F">
        <w:t>?</w:t>
      </w:r>
    </w:p>
    <w:p w14:paraId="4C11BA7E" w14:textId="77777777" w:rsidR="00597DE2" w:rsidRPr="00DC1A5F" w:rsidRDefault="00597DE2" w:rsidP="00597DE2">
      <w:pPr>
        <w:pStyle w:val="NormalConSangria"/>
      </w:pPr>
      <w:r w:rsidRPr="00DC1A5F">
        <w:t xml:space="preserve">[R. 3] Eso no es así. Porque su ausencia es una imposibilidad, ya que si están ausentes le sigue su no presencia. Además, si el </w:t>
      </w:r>
      <w:r w:rsidRPr="00DC1A5F">
        <w:rPr>
          <w:i/>
          <w:iCs/>
        </w:rPr>
        <w:t>Nibbāna</w:t>
      </w:r>
      <w:r w:rsidRPr="00DC1A5F">
        <w:t xml:space="preserve"> también fuera ausencia de agregados presentes, eso implicaría el defecto de excluir el surgimiento del elemento </w:t>
      </w:r>
      <w:r w:rsidRPr="00DC1A5F">
        <w:rPr>
          <w:i/>
          <w:iCs/>
        </w:rPr>
        <w:t>Nibbāna</w:t>
      </w:r>
      <w:r w:rsidRPr="00DC1A5F">
        <w:t xml:space="preserve"> con el resultado del apego pasado remanente, en el momento del sendero, que posee agregados presentes como su soporte.</w:t>
      </w:r>
    </w:p>
    <w:p w14:paraId="5F2C43CC" w14:textId="77777777" w:rsidR="00597DE2" w:rsidRPr="00DC1A5F" w:rsidRDefault="00597DE2" w:rsidP="00597DE2">
      <w:pPr>
        <w:pStyle w:val="NormalConSangria"/>
      </w:pPr>
      <w:r w:rsidRPr="00DC1A5F">
        <w:t xml:space="preserve">[P. 4] Entonces, ¿no habrá defectos si se da la no–presencia de impurezas [eso es el </w:t>
      </w:r>
      <w:r w:rsidRPr="00DC1A5F">
        <w:rPr>
          <w:i/>
          <w:iCs/>
        </w:rPr>
        <w:t>Nibbāna</w:t>
      </w:r>
      <w:r w:rsidRPr="00DC1A5F">
        <w:t>]?</w:t>
      </w:r>
    </w:p>
    <w:p w14:paraId="4031C2A6" w14:textId="77777777" w:rsidR="00597DE2" w:rsidRPr="00DC1A5F" w:rsidRDefault="00597DE2" w:rsidP="00597DE2">
      <w:pPr>
        <w:pStyle w:val="NormalConSangria"/>
      </w:pPr>
      <w:r w:rsidRPr="00DC1A5F">
        <w:t xml:space="preserve">[R. 4] Eso no es así. Porque entonces le seguiría que el noble sendero no tendría sentido. Porque si fuera así, entonces, dado que las corrupciones pueden ser inexistentes también antes del momento del noble sendero, le seguiría que el noble sendero no tendría sentido. En consecuencia, ello no es razonable; [no es razonable decir que el </w:t>
      </w:r>
      <w:r w:rsidRPr="00DC1A5F">
        <w:rPr>
          <w:i/>
          <w:iCs/>
        </w:rPr>
        <w:t>Nibbāna</w:t>
      </w:r>
      <w:r w:rsidRPr="00DC1A5F">
        <w:t xml:space="preserve"> es inaprehensible, que sea inexistencia, etc.].</w:t>
      </w:r>
    </w:p>
    <w:p w14:paraId="50053677" w14:textId="77777777" w:rsidR="00597DE2" w:rsidRPr="00DC1A5F" w:rsidRDefault="00597DE2" w:rsidP="00597DE2">
      <w:r w:rsidRPr="00DC1A5F">
        <w:t xml:space="preserve">69. </w:t>
      </w:r>
      <w:r w:rsidRPr="00DC1A5F">
        <w:tab/>
        <w:t xml:space="preserve">[P. 5] No obstante, ¿no es el </w:t>
      </w:r>
      <w:r w:rsidRPr="00DC1A5F">
        <w:rPr>
          <w:i/>
          <w:iCs/>
        </w:rPr>
        <w:t>Nibbāna</w:t>
      </w:r>
      <w:r w:rsidRPr="00DC1A5F">
        <w:t xml:space="preserve"> destrucción, debido al pasaje que comienza: “Ésa, amigo, es la destrucción de la codicia… [del odio… de la ilusión… es el </w:t>
      </w:r>
      <w:r w:rsidRPr="00DC1A5F">
        <w:rPr>
          <w:i/>
          <w:iCs/>
        </w:rPr>
        <w:t>Nibbāna</w:t>
      </w:r>
      <w:r w:rsidRPr="00DC1A5F">
        <w:t>]”? (S IV 251).</w:t>
      </w:r>
    </w:p>
    <w:p w14:paraId="73075D1A" w14:textId="77777777" w:rsidR="00597DE2" w:rsidRPr="00DC1A5F" w:rsidRDefault="00597DE2" w:rsidP="00597DE2">
      <w:pPr>
        <w:pStyle w:val="NormalConSangria"/>
      </w:pPr>
      <w:r w:rsidRPr="00DC1A5F">
        <w:t xml:space="preserve">[R.] Eso no es así, porque le seguiría que el estado de </w:t>
      </w:r>
      <w:r w:rsidRPr="00DC1A5F">
        <w:rPr>
          <w:i/>
        </w:rPr>
        <w:t>Arahant</w:t>
      </w:r>
      <w:r w:rsidRPr="00DC1A5F">
        <w:t xml:space="preserve"> también sería simplemente destrucción. Ya que eso también se describe de la misma manera comenzando, “Eso, amigo, la destrucción de la codicia… del odio… de la ilusión… es el estado de </w:t>
      </w:r>
      <w:r w:rsidRPr="00DC1A5F">
        <w:rPr>
          <w:i/>
        </w:rPr>
        <w:t>Arahant</w:t>
      </w:r>
      <w:r w:rsidRPr="00DC1A5F">
        <w:t>]” (S IV 252).</w:t>
      </w:r>
    </w:p>
    <w:p w14:paraId="7C8BA188" w14:textId="77777777" w:rsidR="00597DE2" w:rsidRPr="00DC1A5F" w:rsidRDefault="00597DE2" w:rsidP="00597DE2">
      <w:pPr>
        <w:pStyle w:val="NormalConSangria"/>
      </w:pPr>
      <w:r w:rsidRPr="00DC1A5F">
        <w:t xml:space="preserve">Lo que es más, le seguiría entonces la falacia de que el </w:t>
      </w:r>
      <w:r w:rsidRPr="00DC1A5F">
        <w:rPr>
          <w:i/>
          <w:iCs/>
        </w:rPr>
        <w:t>Nibbāna</w:t>
      </w:r>
      <w:r w:rsidRPr="00DC1A5F">
        <w:t xml:space="preserve"> fuese temporal, etc.; porque si fuera así, le seguiría que el </w:t>
      </w:r>
      <w:r w:rsidRPr="00DC1A5F">
        <w:rPr>
          <w:i/>
          <w:iCs/>
        </w:rPr>
        <w:t>Nibbāna</w:t>
      </w:r>
      <w:r w:rsidRPr="00DC1A5F">
        <w:t xml:space="preserve"> siendo temporal, tendría la característica de ser formado y que se podría obtener independientemente del esfuerzo correcto; y precisamente por tener características formadas estaría incluido en lo formado y estaría ardiendo con los fuegos de la codicia, etc., y por dicho ardor le seguiría que sería sufrimiento.</w:t>
      </w:r>
    </w:p>
    <w:p w14:paraId="13C0DE9D" w14:textId="77777777" w:rsidR="00597DE2" w:rsidRPr="00DC1A5F" w:rsidRDefault="00597DE2" w:rsidP="00597DE2">
      <w:pPr>
        <w:tabs>
          <w:tab w:val="clear" w:pos="425"/>
        </w:tabs>
        <w:spacing w:after="160"/>
      </w:pPr>
      <w:r w:rsidRPr="00DC1A5F">
        <w:br w:type="page"/>
      </w:r>
    </w:p>
    <w:p w14:paraId="6928D86B" w14:textId="77777777" w:rsidR="00597DE2" w:rsidRPr="00DC1A5F" w:rsidRDefault="00597DE2" w:rsidP="00597DE2">
      <w:pPr>
        <w:pStyle w:val="NormalConSangria"/>
      </w:pPr>
      <w:r w:rsidRPr="00DC1A5F">
        <w:lastRenderedPageBreak/>
        <w:t xml:space="preserve">[P 6] ¿No existe falacia alguna si el </w:t>
      </w:r>
      <w:r w:rsidRPr="00DC1A5F">
        <w:rPr>
          <w:i/>
          <w:iCs/>
        </w:rPr>
        <w:t>Nibbāna</w:t>
      </w:r>
      <w:r w:rsidRPr="00DC1A5F">
        <w:t xml:space="preserve"> fuese ese tipo de destrucción subsiguiente ante la cual no habría más ocurrencia?</w:t>
      </w:r>
    </w:p>
    <w:p w14:paraId="5F03613A" w14:textId="77777777" w:rsidR="00597DE2" w:rsidRPr="00DC1A5F" w:rsidRDefault="00597DE2" w:rsidP="00597DE2">
      <w:pPr>
        <w:pStyle w:val="NormalConSangria"/>
      </w:pPr>
      <w:r w:rsidRPr="00DC1A5F">
        <w:t>[R.6] Eso no es así. Porque no existe tal clase de destrucción. Y aunque lo hubiese, no se aludirían las mencionadas falacias.</w:t>
      </w:r>
    </w:p>
    <w:p w14:paraId="1FB5DE8A" w14:textId="77777777" w:rsidR="00597DE2" w:rsidRPr="00DC1A5F" w:rsidRDefault="00597DE2" w:rsidP="00597DE2">
      <w:pPr>
        <w:pStyle w:val="NormalConSangria"/>
      </w:pPr>
      <w:r w:rsidRPr="00DC1A5F">
        <w:t xml:space="preserve">También porque le seguiría que el noble sendero es el </w:t>
      </w:r>
      <w:r w:rsidRPr="00DC1A5F">
        <w:rPr>
          <w:i/>
          <w:iCs/>
        </w:rPr>
        <w:t>Nibbāna</w:t>
      </w:r>
      <w:r w:rsidRPr="00DC1A5F">
        <w:t>. Ya que el noble sendero producirá la destrucción de las contaminaciones y por eso se le llamaría “destrucción”; y después de ello no habría más ocurrencia de contaminaciones.</w:t>
      </w:r>
    </w:p>
    <w:p w14:paraId="1F272043" w14:textId="77777777" w:rsidR="00597DE2" w:rsidRPr="00DC1A5F" w:rsidRDefault="00597DE2" w:rsidP="00597DE2">
      <w:r w:rsidRPr="00DC1A5F">
        <w:t xml:space="preserve">70. </w:t>
      </w:r>
      <w:r w:rsidRPr="00DC1A5F">
        <w:tab/>
        <w:t xml:space="preserve">No obstante, es debido a que el tipo de destrucción denominado “cesación consistente del </w:t>
      </w:r>
      <w:r w:rsidRPr="00DC1A5F">
        <w:br/>
        <w:t xml:space="preserve">no–surgimiento”, es decir, </w:t>
      </w:r>
      <w:r w:rsidRPr="00DC1A5F">
        <w:rPr>
          <w:i/>
          <w:iCs/>
        </w:rPr>
        <w:t>Nibbāna</w:t>
      </w:r>
      <w:r w:rsidRPr="00DC1A5F">
        <w:t xml:space="preserve">, sirve en sentido figurado como soporte decisivo para el sendero que al </w:t>
      </w:r>
      <w:r w:rsidRPr="00DC1A5F">
        <w:rPr>
          <w:i/>
          <w:iCs/>
        </w:rPr>
        <w:t>Nibbāna</w:t>
      </w:r>
      <w:r w:rsidRPr="00DC1A5F">
        <w:t xml:space="preserve"> se le denomina “destrucción”, como una metáfora al respecto.</w:t>
      </w:r>
    </w:p>
    <w:p w14:paraId="3B0D72CC" w14:textId="77777777" w:rsidR="00597DE2" w:rsidRPr="00DC1A5F" w:rsidRDefault="00597DE2" w:rsidP="00597DE2">
      <w:pPr>
        <w:pStyle w:val="NormalConSangria"/>
      </w:pPr>
      <w:r w:rsidRPr="00DC1A5F">
        <w:t>[P. 7] ¿Por qué no se expresa en su forma propia?</w:t>
      </w:r>
    </w:p>
    <w:p w14:paraId="0DF9C864" w14:textId="77777777" w:rsidR="00597DE2" w:rsidRPr="00DC1A5F" w:rsidRDefault="00597DE2" w:rsidP="00597DE2">
      <w:pPr>
        <w:pStyle w:val="NormalConSangria"/>
      </w:pPr>
      <w:r w:rsidRPr="00DC1A5F">
        <w:t xml:space="preserve">[R.7] Por su extrema sutileza. Y su extrema sutileza se manifestó en el momento que inclinó al </w:t>
      </w:r>
      <w:r w:rsidRPr="00DC1A5F">
        <w:rPr>
          <w:i/>
          <w:iCs/>
        </w:rPr>
        <w:t>Bhagavā</w:t>
      </w:r>
      <w:r w:rsidRPr="00DC1A5F">
        <w:t xml:space="preserve"> hacia la inacción, es decir, a no enseñar el </w:t>
      </w:r>
      <w:r w:rsidRPr="00DC1A5F">
        <w:rPr>
          <w:i/>
        </w:rPr>
        <w:t>Dhamma</w:t>
      </w:r>
      <w:r w:rsidRPr="00DC1A5F">
        <w:t xml:space="preserve"> (ver M I 186) y porque es requerida la presencia del ojo de un Noble para poder apreciarlo (ver M I 510).</w:t>
      </w:r>
    </w:p>
    <w:p w14:paraId="4289545B" w14:textId="77777777" w:rsidR="00597DE2" w:rsidRPr="00DC1A5F" w:rsidRDefault="00597DE2" w:rsidP="00597DE2">
      <w:r w:rsidRPr="00DC1A5F">
        <w:t xml:space="preserve">71. </w:t>
      </w:r>
      <w:r w:rsidRPr="00DC1A5F">
        <w:tab/>
        <w:t>No es compartida por todos porque sólo puede ser consumada por quien esté en posesión del sendero. Y carece de creación ya que carece de un primer comienzo.</w:t>
      </w:r>
    </w:p>
    <w:p w14:paraId="29761175" w14:textId="77777777" w:rsidR="00597DE2" w:rsidRPr="00DC1A5F" w:rsidRDefault="00597DE2" w:rsidP="00597DE2">
      <w:pPr>
        <w:pStyle w:val="NormalConSangria"/>
      </w:pPr>
      <w:r w:rsidRPr="00DC1A5F">
        <w:t>[P. 8] Puesto que se da, cuando se da el sendero, entonces no es no–creado.</w:t>
      </w:r>
    </w:p>
    <w:p w14:paraId="31888CA6" w14:textId="77777777" w:rsidR="00597DE2" w:rsidRPr="00DC1A5F" w:rsidRDefault="00597DE2" w:rsidP="00597DE2">
      <w:pPr>
        <w:pStyle w:val="NormalConSangria"/>
      </w:pPr>
      <w:r w:rsidRPr="00DC1A5F">
        <w:t xml:space="preserve">[R.8] Eso no es así, porque no es </w:t>
      </w:r>
      <w:proofErr w:type="spellStart"/>
      <w:r w:rsidRPr="00DC1A5F">
        <w:t>surgible</w:t>
      </w:r>
      <w:proofErr w:type="spellEnd"/>
      <w:r w:rsidRPr="00DC1A5F">
        <w:t xml:space="preserve"> a través del sendero; solo es </w:t>
      </w:r>
      <w:proofErr w:type="spellStart"/>
      <w:r w:rsidRPr="00DC1A5F">
        <w:t>consumable</w:t>
      </w:r>
      <w:proofErr w:type="spellEnd"/>
      <w:r w:rsidRPr="00DC1A5F">
        <w:t xml:space="preserve">, pero no </w:t>
      </w:r>
      <w:proofErr w:type="spellStart"/>
      <w:r w:rsidRPr="00DC1A5F">
        <w:t>surgible</w:t>
      </w:r>
      <w:proofErr w:type="spellEnd"/>
      <w:r w:rsidRPr="00DC1A5F">
        <w:t xml:space="preserve"> por el sendero; por eso es no–creado. Debido a que es no–creado, está libre de </w:t>
      </w:r>
      <w:proofErr w:type="spellStart"/>
      <w:proofErr w:type="gramStart"/>
      <w:r w:rsidRPr="00DC1A5F">
        <w:t>al</w:t>
      </w:r>
      <w:proofErr w:type="spellEnd"/>
      <w:r w:rsidRPr="00DC1A5F">
        <w:t xml:space="preserve"> vejez</w:t>
      </w:r>
      <w:proofErr w:type="gramEnd"/>
      <w:r w:rsidRPr="00DC1A5F">
        <w:t>–y–muerte. Es por la ausencia de su creación, de su vejez–y–muerte, que es permanente. [509]</w:t>
      </w:r>
    </w:p>
    <w:p w14:paraId="5E88794B" w14:textId="77777777" w:rsidR="00597DE2" w:rsidRPr="00DC1A5F" w:rsidRDefault="00597DE2" w:rsidP="00597DE2">
      <w:r w:rsidRPr="00DC1A5F">
        <w:t xml:space="preserve">72. </w:t>
      </w:r>
      <w:r w:rsidRPr="00DC1A5F">
        <w:tab/>
        <w:t xml:space="preserve">[P. 9] Entonces le sigue que el </w:t>
      </w:r>
      <w:r w:rsidRPr="00DC1A5F">
        <w:rPr>
          <w:i/>
          <w:iCs/>
        </w:rPr>
        <w:t>Nibbāna</w:t>
      </w:r>
      <w:r w:rsidRPr="00DC1A5F">
        <w:t>, también tiene el tipo de permanencia clamada por el átomo, etc.</w:t>
      </w:r>
    </w:p>
    <w:p w14:paraId="34A22CE8" w14:textId="77777777" w:rsidR="00597DE2" w:rsidRPr="00DC1A5F" w:rsidRDefault="00597DE2" w:rsidP="00597DE2">
      <w:pPr>
        <w:pStyle w:val="NormalConSangria"/>
      </w:pPr>
      <w:r w:rsidRPr="00DC1A5F">
        <w:t>[R.9] Eso no es así, debido a la ausencia de cualquier causa que pueda provocar su surgimiento.</w:t>
      </w:r>
    </w:p>
    <w:p w14:paraId="4CA18105" w14:textId="77777777" w:rsidR="00597DE2" w:rsidRPr="00DC1A5F" w:rsidRDefault="00597DE2" w:rsidP="00597DE2">
      <w:pPr>
        <w:pStyle w:val="NormalConSangria"/>
      </w:pPr>
      <w:r w:rsidRPr="00DC1A5F">
        <w:t xml:space="preserve">[P. 10] Debido a que el </w:t>
      </w:r>
      <w:r w:rsidRPr="00DC1A5F">
        <w:rPr>
          <w:i/>
          <w:iCs/>
        </w:rPr>
        <w:t>Nibbāna</w:t>
      </w:r>
      <w:r w:rsidRPr="00DC1A5F">
        <w:t xml:space="preserve"> es permanente, entonces, estos [es decir, átomos, etc.] también son permanentes.</w:t>
      </w:r>
    </w:p>
    <w:p w14:paraId="6ADF7441" w14:textId="77777777" w:rsidR="00597DE2" w:rsidRPr="00DC1A5F" w:rsidRDefault="00597DE2" w:rsidP="00597DE2">
      <w:pPr>
        <w:pStyle w:val="NormalConSangria"/>
      </w:pPr>
      <w:r w:rsidRPr="00DC1A5F">
        <w:t xml:space="preserve">[R.10] Eso no es así. Porque en esa proposición no surge la característica de una causa lógica. En otras palabras, decir que el </w:t>
      </w:r>
      <w:r w:rsidRPr="00DC1A5F">
        <w:rPr>
          <w:i/>
          <w:iCs/>
        </w:rPr>
        <w:t>Nibbāna</w:t>
      </w:r>
      <w:r w:rsidRPr="00DC1A5F">
        <w:t xml:space="preserve"> es permanente no es afirmar una razón por la cual el átomo, etc., deberían ser </w:t>
      </w:r>
      <w:proofErr w:type="spellStart"/>
      <w:r w:rsidRPr="00DC1A5F">
        <w:t>permanented</w:t>
      </w:r>
      <w:proofErr w:type="spellEnd"/>
      <w:r w:rsidRPr="00DC1A5F">
        <w:t>.</w:t>
      </w:r>
    </w:p>
    <w:p w14:paraId="197BE0D8" w14:textId="77777777" w:rsidR="00597DE2" w:rsidRPr="00DC1A5F" w:rsidRDefault="00597DE2" w:rsidP="00597DE2">
      <w:pPr>
        <w:pStyle w:val="NormalConSangria"/>
      </w:pPr>
      <w:r w:rsidRPr="00DC1A5F">
        <w:t xml:space="preserve">[P. 11] Entonces son permanentes debido a la ausencia de su surgimiento, como lo es el </w:t>
      </w:r>
      <w:r w:rsidRPr="00DC1A5F">
        <w:rPr>
          <w:i/>
          <w:iCs/>
        </w:rPr>
        <w:t>Nibbāna</w:t>
      </w:r>
      <w:r w:rsidRPr="00DC1A5F">
        <w:t>.</w:t>
      </w:r>
    </w:p>
    <w:p w14:paraId="406D826E" w14:textId="77777777" w:rsidR="00597DE2" w:rsidRPr="00DC1A5F" w:rsidRDefault="00597DE2" w:rsidP="00597DE2">
      <w:pPr>
        <w:pStyle w:val="NormalConSangria"/>
      </w:pPr>
      <w:r w:rsidRPr="00DC1A5F">
        <w:t>[R.11] Eso no es así. Porque el átomo, etc., no han sido establecidos como hechos factuales.</w:t>
      </w:r>
    </w:p>
    <w:p w14:paraId="44318622" w14:textId="77777777" w:rsidR="00597DE2" w:rsidRPr="00DC1A5F" w:rsidRDefault="00597DE2" w:rsidP="00597DE2">
      <w:r w:rsidRPr="00DC1A5F">
        <w:t xml:space="preserve">73. </w:t>
      </w:r>
      <w:r w:rsidRPr="00DC1A5F">
        <w:tab/>
        <w:t xml:space="preserve">El razonamiento lógico antedicho prueba que sólo esto, es decir, el </w:t>
      </w:r>
      <w:r w:rsidRPr="00DC1A5F">
        <w:rPr>
          <w:i/>
          <w:iCs/>
        </w:rPr>
        <w:t>Nibbāna,</w:t>
      </w:r>
      <w:r w:rsidRPr="00DC1A5F">
        <w:t xml:space="preserve"> es permanente, precisamente porque es no–creado; y es inmaterial porque trasciende la esencia individual de la materia.</w:t>
      </w:r>
    </w:p>
    <w:p w14:paraId="3AF3ADD4" w14:textId="77777777" w:rsidR="00597DE2" w:rsidRPr="00DC1A5F" w:rsidRDefault="00597DE2" w:rsidP="00597DE2">
      <w:pPr>
        <w:pStyle w:val="NormalConSangria"/>
      </w:pPr>
      <w:r w:rsidRPr="00DC1A5F">
        <w:t xml:space="preserve">El objetivo de los </w:t>
      </w:r>
      <w:r w:rsidRPr="00DC1A5F">
        <w:rPr>
          <w:i/>
        </w:rPr>
        <w:t>Buddha</w:t>
      </w:r>
      <w:r w:rsidRPr="00DC1A5F">
        <w:t xml:space="preserve">s es uno y no posee pluralidad al respecto. </w:t>
      </w:r>
      <w:r w:rsidRPr="00DC1A5F">
        <w:rPr>
          <w:bCs/>
        </w:rPr>
        <w:t xml:space="preserve">No obstante, a este objetivo único, al </w:t>
      </w:r>
      <w:r w:rsidRPr="00DC1A5F">
        <w:rPr>
          <w:bCs/>
          <w:i/>
          <w:iCs/>
        </w:rPr>
        <w:t>Nibbāna</w:t>
      </w:r>
      <w:r w:rsidRPr="00DC1A5F">
        <w:rPr>
          <w:bCs/>
        </w:rPr>
        <w:t xml:space="preserve">, se le denomina, en primer lugar, </w:t>
      </w:r>
      <w:r w:rsidRPr="00DC1A5F">
        <w:rPr>
          <w:bCs/>
          <w:i/>
          <w:iCs/>
        </w:rPr>
        <w:t xml:space="preserve">con resultados </w:t>
      </w:r>
      <w:r w:rsidRPr="00DC1A5F">
        <w:rPr>
          <w:i/>
          <w:iCs/>
        </w:rPr>
        <w:t>residuales</w:t>
      </w:r>
      <w:r w:rsidRPr="00DC1A5F">
        <w:rPr>
          <w:bCs/>
          <w:i/>
          <w:iCs/>
        </w:rPr>
        <w:t xml:space="preserve"> del apego del pasado</w:t>
      </w:r>
      <w:r w:rsidRPr="00DC1A5F">
        <w:t xml:space="preserve">, ya que se da a conocer junto con los agregados resultantes del apego del pasado aún </w:t>
      </w:r>
      <w:r w:rsidRPr="00DC1A5F">
        <w:br w:type="page"/>
      </w:r>
    </w:p>
    <w:p w14:paraId="316071F0" w14:textId="77777777" w:rsidR="00597DE2" w:rsidRPr="00DC1A5F" w:rsidRDefault="00597DE2" w:rsidP="00597DE2">
      <w:pPr>
        <w:pStyle w:val="NormalConSangria"/>
      </w:pPr>
    </w:p>
    <w:p w14:paraId="5BFFC872" w14:textId="77777777" w:rsidR="00597DE2" w:rsidRPr="00DC1A5F" w:rsidRDefault="00597DE2" w:rsidP="00597DE2">
      <w:pPr>
        <w:pStyle w:val="Textoindependiente"/>
      </w:pPr>
      <w:r w:rsidRPr="00DC1A5F">
        <w:t xml:space="preserve">residuales [durante la vida del </w:t>
      </w:r>
      <w:r w:rsidRPr="00DC1A5F">
        <w:rPr>
          <w:i/>
        </w:rPr>
        <w:t>Arahant</w:t>
      </w:r>
      <w:r w:rsidRPr="00DC1A5F">
        <w:t xml:space="preserve">], siendo conocido en términos de apaciguamiento de la corrupción y de los resultados residuales del apego del pasado que están presentes en quien lo haya consumado por medio del desarrollo. No obstante, en segundo lugar, se le llamará </w:t>
      </w:r>
      <w:r w:rsidRPr="00DC1A5F">
        <w:rPr>
          <w:i/>
          <w:iCs/>
        </w:rPr>
        <w:t>sin resultados residuales del apego del pasado,</w:t>
      </w:r>
      <w:r w:rsidRPr="00DC1A5F">
        <w:t xml:space="preserve"> ya que después de la última consciencia del </w:t>
      </w:r>
      <w:r w:rsidRPr="00DC1A5F">
        <w:rPr>
          <w:i/>
        </w:rPr>
        <w:t>Arahant</w:t>
      </w:r>
      <w:r w:rsidRPr="00DC1A5F">
        <w:t xml:space="preserve">, habrá abandonado el surgimiento de futuros agregados y así evitado que el </w:t>
      </w:r>
      <w:proofErr w:type="spellStart"/>
      <w:r w:rsidRPr="00DC1A5F">
        <w:rPr>
          <w:i/>
        </w:rPr>
        <w:t>kamma</w:t>
      </w:r>
      <w:proofErr w:type="spellEnd"/>
      <w:r w:rsidRPr="00DC1A5F">
        <w:t xml:space="preserve"> dé los resultados de los agregados de una futura existencia no surjan nunca más y que aquellos que ya hayan surgido encuentren su desaparición. Así que, en este caso, los resultados residuales del apego del pasado serán inexistentes; y es en términos de esta inexistencia, en el sentido de que “no existirá más resultados residuales del apego del pasado aquí” que se le llamará la meta definitiva sin resultados residuales del apego del pasado (ver It 38).</w:t>
      </w:r>
    </w:p>
    <w:p w14:paraId="7EB9A975" w14:textId="77777777" w:rsidR="00597DE2" w:rsidRPr="00DC1A5F" w:rsidRDefault="00597DE2" w:rsidP="00597DE2">
      <w:r w:rsidRPr="00DC1A5F">
        <w:t xml:space="preserve">74. </w:t>
      </w:r>
      <w:r w:rsidRPr="00DC1A5F">
        <w:tab/>
        <w:t xml:space="preserve">Debido a que se puede llegar a él mediante la distinción del conocimiento que logra éxito a través de la perseverancia incansable y debido a que corresponde a la palabra del Omnisciente, el </w:t>
      </w:r>
      <w:r w:rsidRPr="00DC1A5F">
        <w:rPr>
          <w:i/>
          <w:iCs/>
        </w:rPr>
        <w:t>Nibbāna</w:t>
      </w:r>
      <w:r w:rsidRPr="00DC1A5F">
        <w:t xml:space="preserve"> no es inexistente en lo que respecta a la esencia individual, en el sentido último; porque esto se dice al respecto: “</w:t>
      </w:r>
      <w:proofErr w:type="spellStart"/>
      <w:r w:rsidRPr="00DC1A5F">
        <w:rPr>
          <w:i/>
        </w:rPr>
        <w:t>Bhikkhu</w:t>
      </w:r>
      <w:r w:rsidRPr="00DC1A5F">
        <w:t>s</w:t>
      </w:r>
      <w:proofErr w:type="spellEnd"/>
      <w:r w:rsidRPr="00DC1A5F">
        <w:t xml:space="preserve">, existe lo </w:t>
      </w:r>
      <w:proofErr w:type="spellStart"/>
      <w:r w:rsidRPr="00DC1A5F">
        <w:t>insurgible</w:t>
      </w:r>
      <w:proofErr w:type="spellEnd"/>
      <w:r w:rsidRPr="00DC1A5F">
        <w:t xml:space="preserve">, lo inmutable, lo increado, lo inmaterial” (It 37; </w:t>
      </w:r>
      <w:proofErr w:type="spellStart"/>
      <w:r w:rsidRPr="00DC1A5F">
        <w:t>Ud</w:t>
      </w:r>
      <w:proofErr w:type="spellEnd"/>
      <w:r w:rsidRPr="00DC1A5F">
        <w:t xml:space="preserve"> 80).</w:t>
      </w:r>
      <w:r w:rsidRPr="00DC1A5F">
        <w:rPr>
          <w:vertAlign w:val="superscript"/>
        </w:rPr>
        <w:t>18</w:t>
      </w:r>
    </w:p>
    <w:p w14:paraId="33A6EADC" w14:textId="77777777" w:rsidR="00597DE2" w:rsidRPr="00DC1A5F" w:rsidRDefault="00597DE2" w:rsidP="00597DE2"/>
    <w:p w14:paraId="258CCF6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5FDF904" w14:textId="77777777" w:rsidR="00597DE2" w:rsidRPr="00DC1A5F" w:rsidRDefault="00597DE2" w:rsidP="00597DE2">
      <w:pPr>
        <w:pStyle w:val="PiedepginaLegal"/>
        <w:numPr>
          <w:ilvl w:val="0"/>
          <w:numId w:val="5"/>
        </w:numPr>
        <w:tabs>
          <w:tab w:val="clear" w:pos="425"/>
        </w:tabs>
        <w:ind w:left="284" w:hanging="284"/>
      </w:pPr>
      <w:r w:rsidRPr="00DC1A5F">
        <w:t xml:space="preserve">Esta discusión se divide en tres términos: Las preguntas 1―4 refutan la afirmación de que el </w:t>
      </w:r>
      <w:r w:rsidRPr="00DC1A5F">
        <w:rPr>
          <w:i/>
          <w:iCs/>
        </w:rPr>
        <w:t>Nibbāna</w:t>
      </w:r>
      <w:r w:rsidRPr="00DC1A5F">
        <w:t xml:space="preserve"> sea mítico e inexistente; las preguntas 5―7 refutan la afirmación de que el </w:t>
      </w:r>
      <w:r w:rsidRPr="00DC1A5F">
        <w:rPr>
          <w:i/>
          <w:iCs/>
        </w:rPr>
        <w:t>Nibbāna</w:t>
      </w:r>
      <w:r w:rsidRPr="00DC1A5F">
        <w:t xml:space="preserve"> sea una “simple destrucción”; (más discutido en el </w:t>
      </w:r>
      <w:proofErr w:type="spellStart"/>
      <w:r w:rsidRPr="00DC1A5F">
        <w:rPr>
          <w:i/>
          <w:iCs/>
        </w:rPr>
        <w:t>Sammohavinodanī</w:t>
      </w:r>
      <w:proofErr w:type="spellEnd"/>
      <w:r w:rsidRPr="00DC1A5F">
        <w:t xml:space="preserve">— </w:t>
      </w:r>
      <w:proofErr w:type="spellStart"/>
      <w:r w:rsidRPr="00DC1A5F">
        <w:t>Vibh</w:t>
      </w:r>
      <w:proofErr w:type="spellEnd"/>
      <w:r w:rsidRPr="00DC1A5F">
        <w:t xml:space="preserve">–a 51f.) las preguntas restantes se ocupan de la comprobación de que solo el </w:t>
      </w:r>
      <w:r w:rsidRPr="00DC1A5F">
        <w:rPr>
          <w:i/>
          <w:iCs/>
        </w:rPr>
        <w:t>Nibbāna</w:t>
      </w:r>
      <w:r w:rsidRPr="00DC1A5F">
        <w:t xml:space="preserve"> (y no el átomo, etc.) sea permanente ya que no ha sido creado.</w:t>
      </w:r>
    </w:p>
    <w:p w14:paraId="1B46CA53" w14:textId="77777777" w:rsidR="00597DE2" w:rsidRPr="00DC1A5F" w:rsidRDefault="00597DE2" w:rsidP="00597DE2">
      <w:pPr>
        <w:pStyle w:val="PiedepginaLegal"/>
        <w:rPr>
          <w:color w:val="auto"/>
          <w:u w:color="000000"/>
        </w:rPr>
      </w:pPr>
      <w:r w:rsidRPr="00DC1A5F">
        <w:tab/>
      </w:r>
      <w:r w:rsidRPr="00DC1A5F">
        <w:rPr>
          <w:color w:val="auto"/>
          <w:u w:color="000000"/>
        </w:rPr>
        <w:tab/>
        <w:t xml:space="preserve">El </w:t>
      </w:r>
      <w:proofErr w:type="spellStart"/>
      <w:r w:rsidRPr="00DC1A5F">
        <w:rPr>
          <w:i/>
          <w:iCs/>
          <w:color w:val="auto"/>
          <w:u w:color="000000"/>
        </w:rPr>
        <w:t>Paramatthamañjūsā</w:t>
      </w:r>
      <w:proofErr w:type="spellEnd"/>
      <w:r w:rsidRPr="00DC1A5F">
        <w:rPr>
          <w:color w:val="auto"/>
          <w:u w:color="000000"/>
        </w:rPr>
        <w:t xml:space="preserve">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cubre el tema con gran detalle y refuerza los argumentos ofrecidos aquí con mucho razonamiento silogístico. Sin embargo, aquí solo se citará el siguiente párrafo, que se reproduce en los </w:t>
      </w:r>
      <w:r w:rsidRPr="00DC1A5F">
        <w:rPr>
          <w:i/>
          <w:iCs/>
          <w:color w:val="auto"/>
          <w:u w:color="000000"/>
        </w:rPr>
        <w:t>Comentarios</w:t>
      </w:r>
      <w:r w:rsidRPr="00DC1A5F">
        <w:rPr>
          <w:color w:val="auto"/>
          <w:u w:color="000000"/>
        </w:rPr>
        <w:t xml:space="preserve"> del </w:t>
      </w:r>
      <w:proofErr w:type="spellStart"/>
      <w:r w:rsidRPr="00DC1A5F">
        <w:rPr>
          <w:color w:val="auto"/>
          <w:u w:color="000000"/>
        </w:rPr>
        <w:t>Ud</w:t>
      </w:r>
      <w:proofErr w:type="spellEnd"/>
      <w:r w:rsidRPr="00DC1A5F">
        <w:rPr>
          <w:color w:val="auto"/>
          <w:u w:color="000000"/>
        </w:rPr>
        <w:t xml:space="preserve"> 80 e It 37. (La última oración marcada con ** aparece solo en el </w:t>
      </w:r>
      <w:r w:rsidRPr="00DC1A5F">
        <w:rPr>
          <w:i/>
          <w:iCs/>
          <w:color w:val="auto"/>
          <w:u w:color="000000"/>
        </w:rPr>
        <w:t>Comentario</w:t>
      </w:r>
      <w:r w:rsidRPr="00DC1A5F">
        <w:rPr>
          <w:color w:val="auto"/>
          <w:u w:color="000000"/>
        </w:rPr>
        <w:t xml:space="preserve"> </w:t>
      </w:r>
      <w:proofErr w:type="spellStart"/>
      <w:r w:rsidRPr="00DC1A5F">
        <w:rPr>
          <w:i/>
          <w:iCs/>
          <w:color w:val="auto"/>
          <w:u w:color="000000"/>
        </w:rPr>
        <w:t>Udāna</w:t>
      </w:r>
      <w:proofErr w:type="spellEnd"/>
      <w:r w:rsidRPr="00DC1A5F">
        <w:rPr>
          <w:color w:val="auto"/>
          <w:u w:color="000000"/>
        </w:rPr>
        <w:t>. Las lecturas varían considerablemente):</w:t>
      </w:r>
    </w:p>
    <w:p w14:paraId="05CC8AA7" w14:textId="77777777" w:rsidR="00597DE2" w:rsidRPr="00DC1A5F" w:rsidRDefault="00597DE2" w:rsidP="00597DE2">
      <w:pPr>
        <w:pStyle w:val="PiedepginaLegal"/>
        <w:rPr>
          <w:color w:val="auto"/>
          <w:u w:color="000000"/>
        </w:rPr>
      </w:pPr>
      <w:r w:rsidRPr="00DC1A5F">
        <w:tab/>
      </w:r>
      <w:r w:rsidRPr="00DC1A5F">
        <w:rPr>
          <w:color w:val="auto"/>
          <w:u w:color="000000"/>
        </w:rPr>
        <w:tab/>
        <w:t xml:space="preserve">“Ahora bien, en el sentido último, la existencia del elemento </w:t>
      </w:r>
      <w:r w:rsidRPr="00DC1A5F">
        <w:rPr>
          <w:i/>
          <w:iCs/>
          <w:color w:val="auto"/>
          <w:u w:color="000000"/>
        </w:rPr>
        <w:t>Nibbāna</w:t>
      </w:r>
      <w:r w:rsidRPr="00DC1A5F">
        <w:rPr>
          <w:color w:val="auto"/>
          <w:u w:color="000000"/>
        </w:rPr>
        <w:t xml:space="preserve"> ha sido demostrada por el Plenamente Iluminado, por el Compasivo del mundo entero, por medio de muchos pasajes de los </w:t>
      </w:r>
      <w:r w:rsidRPr="00DC1A5F">
        <w:rPr>
          <w:i/>
          <w:iCs/>
          <w:color w:val="auto"/>
          <w:u w:color="000000"/>
        </w:rPr>
        <w:t>suttas</w:t>
      </w:r>
      <w:r w:rsidRPr="00DC1A5F">
        <w:rPr>
          <w:color w:val="auto"/>
          <w:u w:color="000000"/>
        </w:rPr>
        <w:t xml:space="preserve"> como ‘el </w:t>
      </w:r>
      <w:r w:rsidRPr="00DC1A5F">
        <w:rPr>
          <w:i/>
          <w:color w:val="auto"/>
          <w:u w:color="000000"/>
        </w:rPr>
        <w:t>Dhamma</w:t>
      </w:r>
      <w:r w:rsidRPr="00DC1A5F">
        <w:rPr>
          <w:color w:val="auto"/>
          <w:u w:color="000000"/>
        </w:rPr>
        <w:t xml:space="preserve"> incondicionado’, ‘el </w:t>
      </w:r>
      <w:r w:rsidRPr="00DC1A5F">
        <w:rPr>
          <w:i/>
          <w:color w:val="auto"/>
          <w:u w:color="000000"/>
        </w:rPr>
        <w:t>Dhamma</w:t>
      </w:r>
      <w:r w:rsidRPr="00DC1A5F">
        <w:rPr>
          <w:color w:val="auto"/>
          <w:u w:color="000000"/>
        </w:rPr>
        <w:t xml:space="preserve"> inmaterial’ (ver </w:t>
      </w:r>
      <w:proofErr w:type="spellStart"/>
      <w:r w:rsidRPr="00DC1A5F">
        <w:rPr>
          <w:color w:val="auto"/>
          <w:u w:color="000000"/>
        </w:rPr>
        <w:t>Dhs</w:t>
      </w:r>
      <w:proofErr w:type="spellEnd"/>
      <w:r w:rsidRPr="00DC1A5F">
        <w:rPr>
          <w:color w:val="auto"/>
          <w:u w:color="000000"/>
        </w:rPr>
        <w:t xml:space="preserve"> 2) , ‘</w:t>
      </w:r>
      <w:proofErr w:type="spellStart"/>
      <w:r w:rsidRPr="00DC1A5F">
        <w:rPr>
          <w:i/>
          <w:color w:val="auto"/>
          <w:u w:color="000000"/>
        </w:rPr>
        <w:t>Bhikkhu</w:t>
      </w:r>
      <w:r w:rsidRPr="00DC1A5F">
        <w:rPr>
          <w:color w:val="auto"/>
          <w:u w:color="000000"/>
        </w:rPr>
        <w:t>s</w:t>
      </w:r>
      <w:proofErr w:type="spellEnd"/>
      <w:r w:rsidRPr="00DC1A5F">
        <w:rPr>
          <w:color w:val="auto"/>
          <w:u w:color="000000"/>
        </w:rPr>
        <w:t>, existe esta base (esfera) donde ni la tierra... ‘ (</w:t>
      </w:r>
      <w:proofErr w:type="spellStart"/>
      <w:r w:rsidRPr="00DC1A5F">
        <w:rPr>
          <w:color w:val="auto"/>
          <w:u w:color="000000"/>
        </w:rPr>
        <w:t>Ud</w:t>
      </w:r>
      <w:proofErr w:type="spellEnd"/>
      <w:r w:rsidRPr="00DC1A5F">
        <w:rPr>
          <w:color w:val="auto"/>
          <w:u w:color="000000"/>
        </w:rPr>
        <w:t xml:space="preserve"> 80),</w:t>
      </w:r>
      <w:r w:rsidRPr="00DC1A5F">
        <w:rPr>
          <w:color w:val="833C0B" w:themeColor="accent2" w:themeShade="80"/>
          <w:u w:color="000000"/>
        </w:rPr>
        <w:t xml:space="preserve"> </w:t>
      </w:r>
      <w:r w:rsidRPr="00DC1A5F">
        <w:rPr>
          <w:color w:val="auto"/>
          <w:u w:color="000000"/>
        </w:rPr>
        <w:t>‘Este estado es muy difícil de apreciar, es decir, el apaciguamiento de todas las formaciones, el abandono de toda la sustancia del devenir’ ( D II 36; M I 167), ‘</w:t>
      </w:r>
      <w:proofErr w:type="spellStart"/>
      <w:r w:rsidRPr="00DC1A5F">
        <w:rPr>
          <w:i/>
          <w:color w:val="auto"/>
          <w:u w:color="000000"/>
        </w:rPr>
        <w:t>Bhikkhu</w:t>
      </w:r>
      <w:r w:rsidRPr="00DC1A5F">
        <w:rPr>
          <w:color w:val="auto"/>
          <w:u w:color="000000"/>
        </w:rPr>
        <w:t>s</w:t>
      </w:r>
      <w:proofErr w:type="spellEnd"/>
      <w:r w:rsidRPr="00DC1A5F">
        <w:rPr>
          <w:color w:val="auto"/>
          <w:u w:color="000000"/>
        </w:rPr>
        <w:t xml:space="preserve">, os expondré lo inmaterial y el sendero que conduce hacia lo inmaterial’ (S IV 362), etc., y en este </w:t>
      </w:r>
      <w:proofErr w:type="spellStart"/>
      <w:r w:rsidRPr="00DC1A5F">
        <w:rPr>
          <w:i/>
          <w:iCs/>
          <w:color w:val="auto"/>
          <w:u w:color="000000"/>
        </w:rPr>
        <w:t>sutta</w:t>
      </w:r>
      <w:proofErr w:type="spellEnd"/>
      <w:r w:rsidRPr="00DC1A5F">
        <w:rPr>
          <w:color w:val="auto"/>
          <w:u w:color="000000"/>
        </w:rPr>
        <w:t>, ‘</w:t>
      </w:r>
      <w:proofErr w:type="spellStart"/>
      <w:r w:rsidRPr="00DC1A5F">
        <w:rPr>
          <w:i/>
          <w:color w:val="auto"/>
          <w:u w:color="000000"/>
        </w:rPr>
        <w:t>Bhikkhu</w:t>
      </w:r>
      <w:r w:rsidRPr="00DC1A5F">
        <w:rPr>
          <w:color w:val="auto"/>
          <w:u w:color="000000"/>
        </w:rPr>
        <w:t>s</w:t>
      </w:r>
      <w:proofErr w:type="spellEnd"/>
      <w:r w:rsidRPr="00DC1A5F">
        <w:rPr>
          <w:color w:val="auto"/>
          <w:u w:color="000000"/>
        </w:rPr>
        <w:t xml:space="preserve">, existe lo no nacido...” ( It 87; </w:t>
      </w:r>
      <w:proofErr w:type="spellStart"/>
      <w:r w:rsidRPr="00DC1A5F">
        <w:rPr>
          <w:color w:val="auto"/>
          <w:u w:color="000000"/>
        </w:rPr>
        <w:t>Ud</w:t>
      </w:r>
      <w:proofErr w:type="spellEnd"/>
      <w:r w:rsidRPr="00DC1A5F">
        <w:rPr>
          <w:color w:val="auto"/>
          <w:u w:color="000000"/>
        </w:rPr>
        <w:t xml:space="preserve"> 80).</w:t>
      </w:r>
      <w:r w:rsidRPr="00DC1A5F">
        <w:t xml:space="preserve"> </w:t>
      </w:r>
      <w:r w:rsidRPr="00DC1A5F">
        <w:rPr>
          <w:color w:val="auto"/>
          <w:u w:color="000000"/>
        </w:rPr>
        <w:t xml:space="preserve">Entonces, incluso si los sabios confiasen completamente en la Dispensación y no tuviesen dudas al respecto, aunque aún no hayan tenido una percepción directa del </w:t>
      </w:r>
      <w:r w:rsidRPr="00DC1A5F">
        <w:rPr>
          <w:i/>
          <w:iCs/>
          <w:color w:val="auto"/>
          <w:u w:color="000000"/>
        </w:rPr>
        <w:t>Nibbāna</w:t>
      </w:r>
      <w:r w:rsidRPr="00DC1A5F">
        <w:rPr>
          <w:color w:val="auto"/>
          <w:u w:color="000000"/>
        </w:rPr>
        <w:t xml:space="preserve">, no obstante, habrá personas que lleguen a comprenderlo a través de la guía de otra persona (leyendo el </w:t>
      </w:r>
      <w:proofErr w:type="spellStart"/>
      <w:r w:rsidRPr="00DC1A5F">
        <w:rPr>
          <w:i/>
          <w:iCs/>
          <w:color w:val="auto"/>
          <w:u w:color="000000"/>
        </w:rPr>
        <w:t>paraneyya</w:t>
      </w:r>
      <w:proofErr w:type="spellEnd"/>
      <w:r w:rsidRPr="00DC1A5F">
        <w:rPr>
          <w:color w:val="auto"/>
          <w:u w:color="000000"/>
        </w:rPr>
        <w:t>–</w:t>
      </w:r>
      <w:proofErr w:type="spellStart"/>
      <w:r w:rsidRPr="00DC1A5F">
        <w:rPr>
          <w:i/>
          <w:iCs/>
          <w:color w:val="auto"/>
          <w:u w:color="000000"/>
        </w:rPr>
        <w:t>buddhino</w:t>
      </w:r>
      <w:proofErr w:type="spellEnd"/>
      <w:r w:rsidRPr="00DC1A5F">
        <w:rPr>
          <w:color w:val="auto"/>
          <w:u w:color="000000"/>
        </w:rPr>
        <w:t>); y la intención aquí es que este razonamiento lógico bajo el término de deducción (</w:t>
      </w:r>
      <w:proofErr w:type="spellStart"/>
      <w:r w:rsidRPr="00DC1A5F">
        <w:rPr>
          <w:i/>
          <w:iCs/>
          <w:color w:val="auto"/>
          <w:u w:color="000000"/>
        </w:rPr>
        <w:t>niddhāraṇa</w:t>
      </w:r>
      <w:proofErr w:type="spellEnd"/>
      <w:r w:rsidRPr="00DC1A5F">
        <w:rPr>
          <w:color w:val="auto"/>
          <w:u w:color="000000"/>
        </w:rPr>
        <w:t>) tenga el propósito de disipar las dudas.</w:t>
      </w:r>
    </w:p>
    <w:p w14:paraId="12EFDA80" w14:textId="77777777" w:rsidR="00597DE2" w:rsidRPr="00DC1A5F" w:rsidRDefault="00597DE2" w:rsidP="00597DE2">
      <w:pPr>
        <w:pStyle w:val="PiedepginaLegal"/>
        <w:rPr>
          <w:color w:val="auto"/>
          <w:u w:color="000000"/>
        </w:rPr>
      </w:pPr>
      <w:r w:rsidRPr="00DC1A5F">
        <w:tab/>
      </w:r>
      <w:r w:rsidRPr="00DC1A5F">
        <w:tab/>
      </w:r>
      <w:r w:rsidRPr="00DC1A5F">
        <w:rPr>
          <w:color w:val="auto"/>
          <w:u w:color="000000"/>
        </w:rPr>
        <w:t xml:space="preserve">“Así como es debido al pleno entendimiento (considerando como </w:t>
      </w:r>
      <w:proofErr w:type="spellStart"/>
      <w:r w:rsidRPr="00DC1A5F">
        <w:rPr>
          <w:i/>
          <w:iCs/>
          <w:color w:val="auto"/>
          <w:u w:color="000000"/>
        </w:rPr>
        <w:t>yathā</w:t>
      </w:r>
      <w:proofErr w:type="spellEnd"/>
      <w:r w:rsidRPr="00DC1A5F">
        <w:rPr>
          <w:i/>
          <w:iCs/>
          <w:color w:val="auto"/>
          <w:u w:color="000000"/>
        </w:rPr>
        <w:t xml:space="preserve"> </w:t>
      </w:r>
      <w:proofErr w:type="spellStart"/>
      <w:r w:rsidRPr="00DC1A5F">
        <w:rPr>
          <w:i/>
          <w:iCs/>
          <w:color w:val="auto"/>
          <w:u w:color="000000"/>
        </w:rPr>
        <w:t>pariññeyyatāya</w:t>
      </w:r>
      <w:proofErr w:type="spellEnd"/>
      <w:r w:rsidRPr="00DC1A5F">
        <w:rPr>
          <w:color w:val="auto"/>
          <w:u w:color="000000"/>
        </w:rPr>
        <w:t xml:space="preserve">) que de los deseos sensoriales y de la materialidad, etc. (considerando </w:t>
      </w:r>
      <w:proofErr w:type="spellStart"/>
      <w:r w:rsidRPr="00DC1A5F">
        <w:rPr>
          <w:i/>
          <w:iCs/>
          <w:color w:val="auto"/>
          <w:u w:color="000000"/>
        </w:rPr>
        <w:t>rūpādīnaṃ</w:t>
      </w:r>
      <w:proofErr w:type="spellEnd"/>
      <w:r w:rsidRPr="00DC1A5F">
        <w:rPr>
          <w:color w:val="auto"/>
          <w:u w:color="000000"/>
        </w:rPr>
        <w:t xml:space="preserve">), existe algo más allá de ellos, se da a conocer un escape [de ellos] lo cual corresponderá a su opuesto y cuya esencia individual estará desprovista de ellos, por ello debería existir un escape que represente ser lo opuesto y cuya esencia individual estará desprovista de todos los </w:t>
      </w:r>
      <w:r w:rsidRPr="00DC1A5F">
        <w:rPr>
          <w:i/>
          <w:color w:val="auto"/>
          <w:u w:color="000000"/>
        </w:rPr>
        <w:t>dhamma</w:t>
      </w:r>
      <w:r w:rsidRPr="00DC1A5F">
        <w:rPr>
          <w:color w:val="auto"/>
          <w:u w:color="000000"/>
        </w:rPr>
        <w:t xml:space="preserve">s formados, los cuales tendrán en su totalidad la esencia individual antes mencionada (que se considera como </w:t>
      </w:r>
      <w:proofErr w:type="spellStart"/>
      <w:r w:rsidRPr="00DC1A5F">
        <w:rPr>
          <w:i/>
          <w:iCs/>
          <w:color w:val="auto"/>
          <w:u w:color="000000"/>
        </w:rPr>
        <w:t>evaṃ</w:t>
      </w:r>
      <w:proofErr w:type="spellEnd"/>
      <w:r w:rsidRPr="00DC1A5F">
        <w:rPr>
          <w:color w:val="auto"/>
          <w:u w:color="000000"/>
        </w:rPr>
        <w:t xml:space="preserve"> </w:t>
      </w:r>
      <w:proofErr w:type="spellStart"/>
      <w:r w:rsidRPr="00DC1A5F">
        <w:rPr>
          <w:i/>
          <w:iCs/>
          <w:color w:val="auto"/>
          <w:u w:color="000000"/>
        </w:rPr>
        <w:t>taṃ</w:t>
      </w:r>
      <w:proofErr w:type="spellEnd"/>
      <w:r w:rsidRPr="00DC1A5F">
        <w:rPr>
          <w:i/>
          <w:iCs/>
          <w:color w:val="auto"/>
          <w:u w:color="000000"/>
        </w:rPr>
        <w:t>–</w:t>
      </w:r>
      <w:proofErr w:type="spellStart"/>
      <w:r w:rsidRPr="00DC1A5F">
        <w:rPr>
          <w:i/>
          <w:iCs/>
          <w:color w:val="auto"/>
          <w:u w:color="000000"/>
        </w:rPr>
        <w:t>sabhāvānaṃ</w:t>
      </w:r>
      <w:proofErr w:type="spellEnd"/>
      <w:r w:rsidRPr="00DC1A5F">
        <w:rPr>
          <w:color w:val="auto"/>
          <w:u w:color="000000"/>
        </w:rPr>
        <w:t>), y este escape corresponderá al elemento inmaterial.</w:t>
      </w:r>
    </w:p>
    <w:p w14:paraId="169E0BF6" w14:textId="77777777" w:rsidR="00597DE2" w:rsidRPr="00DC1A5F" w:rsidRDefault="00597DE2" w:rsidP="00597DE2">
      <w:pPr>
        <w:pStyle w:val="PiedepginaLegal"/>
        <w:rPr>
          <w:color w:val="auto"/>
          <w:u w:color="000000"/>
        </w:rPr>
      </w:pPr>
      <w:r w:rsidRPr="00DC1A5F">
        <w:tab/>
      </w:r>
      <w:r w:rsidRPr="00DC1A5F">
        <w:tab/>
      </w:r>
      <w:r w:rsidRPr="00DC1A5F">
        <w:rPr>
          <w:color w:val="auto"/>
          <w:u w:color="000000"/>
        </w:rPr>
        <w:t xml:space="preserve">“Además, el conocimiento introspectivo que haya conformado </w:t>
      </w:r>
      <w:r w:rsidRPr="00DC1A5F">
        <w:rPr>
          <w:i/>
          <w:color w:val="auto"/>
          <w:u w:color="000000"/>
        </w:rPr>
        <w:t>dhamma</w:t>
      </w:r>
      <w:r w:rsidRPr="00DC1A5F">
        <w:rPr>
          <w:color w:val="auto"/>
          <w:u w:color="000000"/>
        </w:rPr>
        <w:t>s como su objeto y también el conocimiento de la conformidad, abandonarán las corrupciones con el abandono consistente de la sustitución con sus opuestos, siendo incapaces de abandonarlos con el abandono</w:t>
      </w:r>
    </w:p>
    <w:p w14:paraId="483D9D54" w14:textId="77777777" w:rsidR="00597DE2" w:rsidRPr="00DC1A5F" w:rsidRDefault="00597DE2" w:rsidP="00597DE2"/>
    <w:p w14:paraId="7EC98BDC" w14:textId="77777777" w:rsidR="00597DE2" w:rsidRPr="00DC1A5F" w:rsidRDefault="00597DE2" w:rsidP="00597DE2">
      <w:pPr>
        <w:tabs>
          <w:tab w:val="clear" w:pos="425"/>
        </w:tabs>
        <w:spacing w:after="160"/>
      </w:pPr>
      <w:r w:rsidRPr="00DC1A5F">
        <w:br w:type="page"/>
      </w:r>
    </w:p>
    <w:p w14:paraId="150769CA" w14:textId="77777777" w:rsidR="00597DE2" w:rsidRPr="00DC1A5F" w:rsidRDefault="00597DE2" w:rsidP="00597DE2">
      <w:r w:rsidRPr="00DC1A5F">
        <w:lastRenderedPageBreak/>
        <w:br/>
      </w:r>
    </w:p>
    <w:p w14:paraId="58722F64" w14:textId="77777777" w:rsidR="00597DE2" w:rsidRPr="00DC1A5F" w:rsidRDefault="00597DE2" w:rsidP="00597DE2">
      <w:pPr>
        <w:pStyle w:val="NormalConSangria"/>
      </w:pPr>
      <w:r w:rsidRPr="00DC1A5F">
        <w:t>Esta es la sección de la definición que trata sobre la descripción de la cesación del sufrimiento.</w:t>
      </w:r>
    </w:p>
    <w:p w14:paraId="2F90F455" w14:textId="77777777" w:rsidR="00597DE2" w:rsidRPr="00DC1A5F" w:rsidRDefault="00597DE2" w:rsidP="00D9414B">
      <w:pPr>
        <w:pStyle w:val="Ttulo3"/>
      </w:pPr>
      <w:r w:rsidRPr="00DC1A5F">
        <w:t>[La Verdad Del Sendero]</w:t>
      </w:r>
    </w:p>
    <w:p w14:paraId="66FA3505" w14:textId="77777777" w:rsidR="00597DE2" w:rsidRPr="00DC1A5F" w:rsidRDefault="00597DE2" w:rsidP="00597DE2">
      <w:r w:rsidRPr="00DC1A5F">
        <w:t xml:space="preserve">75. </w:t>
      </w:r>
      <w:r w:rsidRPr="00DC1A5F">
        <w:tab/>
        <w:t xml:space="preserve">En la descripción del sendero que </w:t>
      </w:r>
      <w:r w:rsidRPr="00DC1A5F">
        <w:rPr>
          <w:i/>
          <w:iCs/>
        </w:rPr>
        <w:t xml:space="preserve">conduce a la cesación </w:t>
      </w:r>
      <w:r w:rsidRPr="00DC1A5F">
        <w:rPr>
          <w:i/>
          <w:iCs/>
          <w:color w:val="833C0B" w:themeColor="accent2" w:themeShade="80"/>
        </w:rPr>
        <w:t xml:space="preserve">definitiva </w:t>
      </w:r>
      <w:r w:rsidRPr="00DC1A5F">
        <w:rPr>
          <w:i/>
          <w:iCs/>
        </w:rPr>
        <w:t>del sufrimiento</w:t>
      </w:r>
      <w:r w:rsidRPr="00DC1A5F">
        <w:t xml:space="preserve"> se exponen 8 cosas. Aunque, por supuesto, ya han sido explicadas en cuanto a su significado en la Descripción de los Agregados, aun así, los trataremos aquí para ser conscientes de la diferencia entre ellos cuando ocurran en un solo momento [con ocasión del sendero].</w:t>
      </w:r>
    </w:p>
    <w:p w14:paraId="27D10059" w14:textId="77777777" w:rsidR="00597DE2" w:rsidRPr="00DC1A5F" w:rsidRDefault="00597DE2" w:rsidP="00597DE2">
      <w:r w:rsidRPr="00DC1A5F">
        <w:t xml:space="preserve">76. </w:t>
      </w:r>
      <w:r w:rsidRPr="00DC1A5F">
        <w:tab/>
        <w:t xml:space="preserve">Brevemente (ver Cap. XXII. §31 para más detalles), cuando un meditador esté progresando hacia la consumación de las cuatro verdades, su ojo del entendimiento con el </w:t>
      </w:r>
      <w:r w:rsidRPr="00DC1A5F">
        <w:rPr>
          <w:i/>
          <w:iCs/>
        </w:rPr>
        <w:t>Nibbāna</w:t>
      </w:r>
      <w:r w:rsidRPr="00DC1A5F">
        <w:t xml:space="preserve"> como su objeto eliminará la tendencia subyacente hacia la ignorancia y eso corresponderá a </w:t>
      </w:r>
      <w:r w:rsidRPr="00DC1A5F">
        <w:rPr>
          <w:i/>
          <w:iCs/>
        </w:rPr>
        <w:t>la visión correcta</w:t>
      </w:r>
      <w:r w:rsidRPr="00DC1A5F">
        <w:t xml:space="preserve">. Poseerá a la </w:t>
      </w:r>
      <w:r w:rsidRPr="00DC1A5F">
        <w:rPr>
          <w:i/>
          <w:iCs/>
        </w:rPr>
        <w:t>visión correcta</w:t>
      </w:r>
      <w:r w:rsidRPr="00DC1A5F">
        <w:t xml:space="preserve"> como su </w:t>
      </w:r>
      <w:r w:rsidRPr="00DC1A5F">
        <w:rPr>
          <w:i/>
          <w:iCs/>
        </w:rPr>
        <w:t>característica</w:t>
      </w:r>
      <w:r w:rsidRPr="00DC1A5F">
        <w:t xml:space="preserve">. Su </w:t>
      </w:r>
      <w:r w:rsidRPr="00DC1A5F">
        <w:rPr>
          <w:i/>
          <w:iCs/>
        </w:rPr>
        <w:t>función</w:t>
      </w:r>
      <w:r w:rsidRPr="00DC1A5F">
        <w:t xml:space="preserve"> es revelar los elementos. Se </w:t>
      </w:r>
      <w:r w:rsidRPr="00DC1A5F">
        <w:rPr>
          <w:i/>
          <w:iCs/>
        </w:rPr>
        <w:t>manifiesta</w:t>
      </w:r>
      <w:r w:rsidRPr="00DC1A5F">
        <w:t xml:space="preserve"> como abolición de la oscuridad de la ignorancia.</w:t>
      </w:r>
    </w:p>
    <w:p w14:paraId="18070FA8" w14:textId="77777777" w:rsidR="00597DE2" w:rsidRPr="00DC1A5F" w:rsidRDefault="00597DE2" w:rsidP="00597DE2">
      <w:r w:rsidRPr="00DC1A5F">
        <w:t xml:space="preserve">77. </w:t>
      </w:r>
      <w:r w:rsidRPr="00DC1A5F">
        <w:tab/>
        <w:t xml:space="preserve">Cuando éste adquiera tal visión, su dirección mental hacia el </w:t>
      </w:r>
      <w:r w:rsidRPr="00DC1A5F">
        <w:rPr>
          <w:i/>
          <w:iCs/>
        </w:rPr>
        <w:t>Nibbāna</w:t>
      </w:r>
      <w:r w:rsidRPr="00DC1A5F">
        <w:t xml:space="preserve">, cuya dirección esté asociada con esa </w:t>
      </w:r>
      <w:r w:rsidRPr="00DC1A5F">
        <w:rPr>
          <w:i/>
          <w:iCs/>
        </w:rPr>
        <w:t>visión correcta</w:t>
      </w:r>
      <w:r w:rsidRPr="00DC1A5F">
        <w:t xml:space="preserve">, suprimirá el pensamiento incorrecto y ello corresponderá al </w:t>
      </w:r>
      <w:r w:rsidRPr="00DC1A5F">
        <w:rPr>
          <w:i/>
          <w:iCs/>
        </w:rPr>
        <w:t>pensamiento correcto</w:t>
      </w:r>
      <w:r w:rsidRPr="00DC1A5F">
        <w:t xml:space="preserve">. Su </w:t>
      </w:r>
      <w:r w:rsidRPr="00DC1A5F">
        <w:rPr>
          <w:i/>
          <w:iCs/>
        </w:rPr>
        <w:t>característica</w:t>
      </w:r>
      <w:r w:rsidRPr="00DC1A5F">
        <w:t xml:space="preserve"> es la dirección correcta de la mente hacia su objeto. Su </w:t>
      </w:r>
      <w:r w:rsidRPr="00DC1A5F">
        <w:rPr>
          <w:i/>
          <w:iCs/>
        </w:rPr>
        <w:t>función</w:t>
      </w:r>
      <w:r w:rsidRPr="00DC1A5F">
        <w:t xml:space="preserve"> es producir la absorción de la consciencia del sendero en el </w:t>
      </w:r>
      <w:r w:rsidRPr="00DC1A5F">
        <w:rPr>
          <w:i/>
          <w:iCs/>
        </w:rPr>
        <w:t>Nibbāna,</w:t>
      </w:r>
      <w:r w:rsidRPr="00DC1A5F">
        <w:t xml:space="preserve"> como objeto. Se </w:t>
      </w:r>
      <w:r w:rsidRPr="00DC1A5F">
        <w:rPr>
          <w:i/>
          <w:iCs/>
        </w:rPr>
        <w:t>manifiesta</w:t>
      </w:r>
      <w:r w:rsidRPr="00DC1A5F">
        <w:t xml:space="preserve"> como abandono del pensamiento incorrecto.</w:t>
      </w:r>
    </w:p>
    <w:p w14:paraId="61F051C8" w14:textId="77777777" w:rsidR="00597DE2" w:rsidRPr="00DC1A5F" w:rsidRDefault="00597DE2" w:rsidP="00597DE2">
      <w:r w:rsidRPr="00DC1A5F">
        <w:t xml:space="preserve">78. </w:t>
      </w:r>
      <w:r w:rsidRPr="00DC1A5F">
        <w:tab/>
        <w:t>Y cuando él vea y piense así, su abstinencia del lenguaje incorrecto, abstinencia asociada con esa visión correcta, suprimirá el comportamiento de las malas palabras verbales</w:t>
      </w:r>
    </w:p>
    <w:p w14:paraId="5B7E56D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8D79476" w14:textId="77777777" w:rsidR="00597DE2" w:rsidRPr="00DC1A5F" w:rsidRDefault="00597DE2" w:rsidP="00597DE2">
      <w:pPr>
        <w:pStyle w:val="PiedepginaLegal"/>
      </w:pPr>
      <w:r w:rsidRPr="00DC1A5F">
        <w:t>…</w:t>
      </w:r>
    </w:p>
    <w:p w14:paraId="2167387A" w14:textId="77777777" w:rsidR="00597DE2" w:rsidRPr="00DC1A5F" w:rsidRDefault="00597DE2" w:rsidP="00597DE2">
      <w:pPr>
        <w:pStyle w:val="PiedepginaLegal"/>
      </w:pPr>
      <w:r w:rsidRPr="00DC1A5F">
        <w:tab/>
        <w:t xml:space="preserve">consistente de la erradicación. </w:t>
      </w:r>
      <w:r w:rsidRPr="00DC1A5F">
        <w:rPr>
          <w:color w:val="auto"/>
          <w:u w:color="000000"/>
        </w:rPr>
        <w:t>Asimismo, el tipo de conocimiento que tenga a la verdad convencional (</w:t>
      </w:r>
      <w:proofErr w:type="spellStart"/>
      <w:r w:rsidRPr="00DC1A5F">
        <w:rPr>
          <w:i/>
          <w:iCs/>
          <w:color w:val="auto"/>
          <w:u w:color="000000"/>
        </w:rPr>
        <w:t>sammuti</w:t>
      </w:r>
      <w:proofErr w:type="spellEnd"/>
      <w:r w:rsidRPr="00DC1A5F">
        <w:rPr>
          <w:color w:val="auto"/>
          <w:u w:color="000000"/>
        </w:rPr>
        <w:t>–</w:t>
      </w:r>
      <w:r w:rsidRPr="00DC1A5F">
        <w:rPr>
          <w:i/>
          <w:iCs/>
          <w:color w:val="auto"/>
          <w:u w:color="000000"/>
        </w:rPr>
        <w:t>sacca</w:t>
      </w:r>
      <w:r w:rsidRPr="00DC1A5F">
        <w:rPr>
          <w:color w:val="auto"/>
          <w:u w:color="000000"/>
        </w:rPr>
        <w:t xml:space="preserve">) [es decir, a los conceptos] como su objeto en el primer </w:t>
      </w:r>
      <w:proofErr w:type="spellStart"/>
      <w:r w:rsidRPr="00DC1A5F">
        <w:rPr>
          <w:i/>
          <w:color w:val="auto"/>
          <w:u w:color="000000"/>
        </w:rPr>
        <w:t>jhāna</w:t>
      </w:r>
      <w:proofErr w:type="spellEnd"/>
      <w:r w:rsidRPr="00DC1A5F">
        <w:rPr>
          <w:color w:val="auto"/>
          <w:u w:color="000000"/>
        </w:rPr>
        <w:t xml:space="preserve">, etc., abandonará las corrupciones solo con el abandono consistente de la supresión, no erradicándolos. Entonces, debido a que el tipo de conocimiento que haya conformado los </w:t>
      </w:r>
      <w:r w:rsidRPr="00DC1A5F">
        <w:rPr>
          <w:i/>
          <w:color w:val="auto"/>
          <w:u w:color="000000"/>
        </w:rPr>
        <w:t>dhamma</w:t>
      </w:r>
      <w:r w:rsidRPr="00DC1A5F">
        <w:rPr>
          <w:color w:val="auto"/>
          <w:u w:color="000000"/>
        </w:rPr>
        <w:t>s como su objeto y el que posea la verdad convencional como su objeto serán ambos incapaces de abandonar las impurezas erradicándolos, [en consecuencia] deberá existir un objeto para el conocimiento del noble sendero que efectuará su abandono erradicándolos, cuyo objeto deberá ser de una clase opuesta a ambos.</w:t>
      </w:r>
      <w:r w:rsidRPr="00DC1A5F">
        <w:t xml:space="preserve"> Y esto es lo que corresponderá a ese elemento inmaterial.</w:t>
      </w:r>
    </w:p>
    <w:p w14:paraId="0FEE7059" w14:textId="77777777" w:rsidR="00597DE2" w:rsidRPr="00DC1A5F" w:rsidRDefault="00597DE2" w:rsidP="00597DE2">
      <w:pPr>
        <w:pStyle w:val="PiedepginaLegal"/>
        <w:rPr>
          <w:color w:val="auto"/>
          <w:u w:color="000000"/>
        </w:rPr>
      </w:pPr>
      <w:r w:rsidRPr="00DC1A5F">
        <w:tab/>
      </w:r>
      <w:r w:rsidRPr="00DC1A5F">
        <w:rPr>
          <w:color w:val="auto"/>
          <w:u w:color="000000"/>
        </w:rPr>
        <w:tab/>
        <w:t>“Del mismo modo, las palabras, ‘</w:t>
      </w:r>
      <w:proofErr w:type="spellStart"/>
      <w:r w:rsidRPr="00DC1A5F">
        <w:rPr>
          <w:i/>
          <w:color w:val="auto"/>
          <w:u w:color="000000"/>
        </w:rPr>
        <w:t>Bhikkhu</w:t>
      </w:r>
      <w:r w:rsidRPr="00DC1A5F">
        <w:rPr>
          <w:color w:val="auto"/>
          <w:u w:color="000000"/>
        </w:rPr>
        <w:t>s</w:t>
      </w:r>
      <w:proofErr w:type="spellEnd"/>
      <w:r w:rsidRPr="00DC1A5F">
        <w:rPr>
          <w:color w:val="auto"/>
          <w:u w:color="000000"/>
        </w:rPr>
        <w:t xml:space="preserve">, existe lo no–nacido, lo no–devenido, lo no–producido, lo inmaterial’ etc., que demuestran la existencia del </w:t>
      </w:r>
      <w:r w:rsidRPr="00DC1A5F">
        <w:rPr>
          <w:i/>
          <w:iCs/>
          <w:color w:val="auto"/>
          <w:u w:color="000000"/>
        </w:rPr>
        <w:t>Nibbāna</w:t>
      </w:r>
      <w:r w:rsidRPr="00DC1A5F">
        <w:rPr>
          <w:color w:val="auto"/>
          <w:u w:color="000000"/>
        </w:rPr>
        <w:t xml:space="preserve"> en el sentido último, no son falaces ya que han sido pronunciadas por el </w:t>
      </w:r>
      <w:r w:rsidRPr="00DC1A5F">
        <w:rPr>
          <w:i/>
          <w:iCs/>
          <w:color w:val="auto"/>
          <w:u w:color="000000"/>
        </w:rPr>
        <w:t>Bhagavā</w:t>
      </w:r>
      <w:r w:rsidRPr="00DC1A5F">
        <w:rPr>
          <w:color w:val="auto"/>
          <w:u w:color="000000"/>
        </w:rPr>
        <w:t xml:space="preserve">, mediante las palabras, ‘Todas las formaciones son impermanentes, todas las formaciones son insatisfactorias, todos los </w:t>
      </w:r>
      <w:r w:rsidRPr="00DC1A5F">
        <w:rPr>
          <w:i/>
          <w:color w:val="auto"/>
          <w:u w:color="000000"/>
        </w:rPr>
        <w:t>dhamma</w:t>
      </w:r>
      <w:r w:rsidRPr="00DC1A5F">
        <w:rPr>
          <w:color w:val="auto"/>
          <w:u w:color="000000"/>
        </w:rPr>
        <w:t>s (estados) son no―alma’ (</w:t>
      </w:r>
      <w:proofErr w:type="spellStart"/>
      <w:r w:rsidRPr="00DC1A5F">
        <w:rPr>
          <w:color w:val="auto"/>
          <w:u w:color="000000"/>
        </w:rPr>
        <w:t>Dhp</w:t>
      </w:r>
      <w:proofErr w:type="spellEnd"/>
      <w:r w:rsidRPr="00DC1A5F">
        <w:rPr>
          <w:color w:val="auto"/>
          <w:u w:color="000000"/>
        </w:rPr>
        <w:t xml:space="preserve"> 277–79; A I 286, etc.).</w:t>
      </w:r>
    </w:p>
    <w:p w14:paraId="4958B982" w14:textId="77777777" w:rsidR="00597DE2" w:rsidRPr="00DC1A5F" w:rsidRDefault="00597DE2" w:rsidP="00597DE2">
      <w:pPr>
        <w:pStyle w:val="PiedepginaLegal"/>
      </w:pPr>
      <w:r w:rsidRPr="00DC1A5F">
        <w:tab/>
      </w:r>
      <w:r w:rsidRPr="00DC1A5F">
        <w:tab/>
      </w:r>
      <w:r w:rsidRPr="00DC1A5F">
        <w:rPr>
          <w:color w:val="auto"/>
          <w:u w:color="000000"/>
        </w:rPr>
        <w:t>“Del mismo modo, en ciertos casos en lo que respecta al alcance, la palabra ‘</w:t>
      </w:r>
      <w:r w:rsidRPr="00DC1A5F">
        <w:rPr>
          <w:i/>
          <w:iCs/>
          <w:color w:val="auto"/>
          <w:u w:color="000000"/>
        </w:rPr>
        <w:t>Nibbāna’</w:t>
      </w:r>
      <w:r w:rsidRPr="00DC1A5F">
        <w:rPr>
          <w:color w:val="auto"/>
          <w:u w:color="000000"/>
        </w:rPr>
        <w:t xml:space="preserve"> tendrá el significado final y correcto para su respetivo alcance, precisamente, debido a la existencia de su uso como una simple metáfora, como la palabra ‘león’ (ver Capítulo XV, nota 12, para la palabra león). </w:t>
      </w:r>
      <w:r w:rsidRPr="00DC1A5F">
        <w:t>O alternativamente, el elemento inmaterial también existirá en el sentido último, porque su esencia individual corresponderá a lo opuesto, libre de la del otro tipo de elemento, como el elemento tierra y la sensación” (</w:t>
      </w:r>
      <w:proofErr w:type="spellStart"/>
      <w:r w:rsidRPr="00DC1A5F">
        <w:t>Vism</w:t>
      </w:r>
      <w:proofErr w:type="spellEnd"/>
      <w:r w:rsidRPr="00DC1A5F">
        <w:t>–</w:t>
      </w:r>
      <w:proofErr w:type="spellStart"/>
      <w:r w:rsidRPr="00DC1A5F">
        <w:t>mhṭ</w:t>
      </w:r>
      <w:proofErr w:type="spellEnd"/>
      <w:r w:rsidRPr="00DC1A5F">
        <w:t xml:space="preserve"> 534 –40). El texto </w:t>
      </w:r>
      <w:r w:rsidRPr="00DC1A5F">
        <w:rPr>
          <w:i/>
          <w:iCs/>
        </w:rPr>
        <w:t>Pāḷi</w:t>
      </w:r>
      <w:r w:rsidRPr="00DC1A5F">
        <w:t xml:space="preserve"> de los dos últimos párrafos se interpretan así:</w:t>
      </w:r>
    </w:p>
    <w:p w14:paraId="6BD18C63" w14:textId="77777777" w:rsidR="00597DE2" w:rsidRPr="00DC1A5F" w:rsidRDefault="00597DE2" w:rsidP="00597DE2">
      <w:pPr>
        <w:pStyle w:val="PiedepginaLegal"/>
      </w:pPr>
      <w:r w:rsidRPr="00DC1A5F">
        <w:tab/>
      </w:r>
      <w:r w:rsidRPr="00DC1A5F">
        <w:tab/>
        <w:t>“</w:t>
      </w:r>
      <w:proofErr w:type="spellStart"/>
      <w:r w:rsidRPr="00DC1A5F">
        <w:rPr>
          <w:i/>
          <w:iCs/>
        </w:rPr>
        <w:t>Tathā</w:t>
      </w:r>
      <w:proofErr w:type="spellEnd"/>
      <w:r w:rsidRPr="00DC1A5F">
        <w:rPr>
          <w:i/>
          <w:iCs/>
        </w:rPr>
        <w:t xml:space="preserve"> ‘</w:t>
      </w:r>
      <w:proofErr w:type="spellStart"/>
      <w:r w:rsidRPr="00DC1A5F">
        <w:rPr>
          <w:i/>
          <w:iCs/>
        </w:rPr>
        <w:t>atthi</w:t>
      </w:r>
      <w:proofErr w:type="spellEnd"/>
      <w:r w:rsidRPr="00DC1A5F">
        <w:rPr>
          <w:i/>
          <w:iCs/>
        </w:rPr>
        <w:t xml:space="preserve"> </w:t>
      </w:r>
      <w:proofErr w:type="spellStart"/>
      <w:r w:rsidRPr="00DC1A5F">
        <w:rPr>
          <w:i/>
          <w:iCs/>
        </w:rPr>
        <w:t>bhikkhave</w:t>
      </w:r>
      <w:proofErr w:type="spellEnd"/>
      <w:r w:rsidRPr="00DC1A5F">
        <w:rPr>
          <w:i/>
          <w:iCs/>
        </w:rPr>
        <w:t xml:space="preserve"> </w:t>
      </w:r>
      <w:proofErr w:type="spellStart"/>
      <w:r w:rsidRPr="00DC1A5F">
        <w:rPr>
          <w:i/>
          <w:iCs/>
        </w:rPr>
        <w:t>ajātaṃ</w:t>
      </w:r>
      <w:proofErr w:type="spellEnd"/>
      <w:r w:rsidRPr="00DC1A5F">
        <w:rPr>
          <w:i/>
          <w:iCs/>
        </w:rPr>
        <w:t xml:space="preserve"> </w:t>
      </w:r>
      <w:proofErr w:type="spellStart"/>
      <w:r w:rsidRPr="00DC1A5F">
        <w:rPr>
          <w:i/>
          <w:iCs/>
        </w:rPr>
        <w:t>abhūtaṃ</w:t>
      </w:r>
      <w:proofErr w:type="spellEnd"/>
      <w:r w:rsidRPr="00DC1A5F">
        <w:rPr>
          <w:i/>
          <w:iCs/>
        </w:rPr>
        <w:t xml:space="preserve"> </w:t>
      </w:r>
      <w:proofErr w:type="spellStart"/>
      <w:r w:rsidRPr="00DC1A5F">
        <w:rPr>
          <w:i/>
          <w:iCs/>
        </w:rPr>
        <w:t>akataṃ</w:t>
      </w:r>
      <w:proofErr w:type="spellEnd"/>
      <w:r w:rsidRPr="00DC1A5F">
        <w:rPr>
          <w:i/>
          <w:iCs/>
        </w:rPr>
        <w:t xml:space="preserve"> </w:t>
      </w:r>
      <w:proofErr w:type="spellStart"/>
      <w:r w:rsidRPr="00DC1A5F">
        <w:rPr>
          <w:i/>
          <w:iCs/>
        </w:rPr>
        <w:t>asaṅkhatan</w:t>
      </w:r>
      <w:proofErr w:type="spellEnd"/>
      <w:r w:rsidRPr="00DC1A5F">
        <w:rPr>
          <w:i/>
          <w:iCs/>
        </w:rPr>
        <w:t xml:space="preserve">’ ti </w:t>
      </w:r>
      <w:proofErr w:type="spellStart"/>
      <w:r w:rsidRPr="00DC1A5F">
        <w:rPr>
          <w:i/>
          <w:iCs/>
        </w:rPr>
        <w:t>idaṃ</w:t>
      </w:r>
      <w:proofErr w:type="spellEnd"/>
      <w:r w:rsidRPr="00DC1A5F">
        <w:rPr>
          <w:i/>
          <w:iCs/>
        </w:rPr>
        <w:t xml:space="preserve"> nibbāna–</w:t>
      </w:r>
      <w:proofErr w:type="spellStart"/>
      <w:r w:rsidRPr="00DC1A5F">
        <w:rPr>
          <w:i/>
          <w:iCs/>
        </w:rPr>
        <w:t>padassa</w:t>
      </w:r>
      <w:proofErr w:type="spellEnd"/>
      <w:r w:rsidRPr="00DC1A5F">
        <w:rPr>
          <w:i/>
          <w:iCs/>
        </w:rPr>
        <w:t xml:space="preserve"> </w:t>
      </w:r>
      <w:proofErr w:type="spellStart"/>
      <w:r w:rsidRPr="00DC1A5F">
        <w:rPr>
          <w:i/>
          <w:iCs/>
        </w:rPr>
        <w:t>paramatthato</w:t>
      </w:r>
      <w:proofErr w:type="spellEnd"/>
      <w:r w:rsidRPr="00DC1A5F">
        <w:rPr>
          <w:i/>
          <w:iCs/>
        </w:rPr>
        <w:t xml:space="preserve"> </w:t>
      </w:r>
      <w:proofErr w:type="spellStart"/>
      <w:r w:rsidRPr="00DC1A5F">
        <w:rPr>
          <w:i/>
          <w:iCs/>
        </w:rPr>
        <w:t>atthibhāva</w:t>
      </w:r>
      <w:proofErr w:type="spellEnd"/>
      <w:r w:rsidRPr="00DC1A5F">
        <w:rPr>
          <w:i/>
          <w:iCs/>
        </w:rPr>
        <w:t>–</w:t>
      </w:r>
      <w:proofErr w:type="spellStart"/>
      <w:r w:rsidRPr="00DC1A5F">
        <w:rPr>
          <w:i/>
          <w:iCs/>
        </w:rPr>
        <w:t>jotakaṃ</w:t>
      </w:r>
      <w:proofErr w:type="spellEnd"/>
      <w:r w:rsidRPr="00DC1A5F">
        <w:rPr>
          <w:i/>
          <w:iCs/>
        </w:rPr>
        <w:t xml:space="preserve"> </w:t>
      </w:r>
      <w:proofErr w:type="spellStart"/>
      <w:r w:rsidRPr="00DC1A5F">
        <w:rPr>
          <w:i/>
          <w:iCs/>
        </w:rPr>
        <w:t>vacanaṃ</w:t>
      </w:r>
      <w:proofErr w:type="spellEnd"/>
      <w:r w:rsidRPr="00DC1A5F">
        <w:rPr>
          <w:i/>
          <w:iCs/>
        </w:rPr>
        <w:t xml:space="preserve"> </w:t>
      </w:r>
      <w:proofErr w:type="spellStart"/>
      <w:r w:rsidRPr="00DC1A5F">
        <w:rPr>
          <w:i/>
          <w:iCs/>
        </w:rPr>
        <w:t>aviparītatthaṃ</w:t>
      </w:r>
      <w:proofErr w:type="spellEnd"/>
      <w:r w:rsidRPr="00DC1A5F">
        <w:rPr>
          <w:i/>
          <w:iCs/>
        </w:rPr>
        <w:t xml:space="preserve"> </w:t>
      </w:r>
      <w:proofErr w:type="spellStart"/>
      <w:r w:rsidRPr="00DC1A5F">
        <w:rPr>
          <w:i/>
          <w:iCs/>
        </w:rPr>
        <w:t>bhagavatā</w:t>
      </w:r>
      <w:proofErr w:type="spellEnd"/>
      <w:r w:rsidRPr="00DC1A5F">
        <w:rPr>
          <w:i/>
          <w:iCs/>
        </w:rPr>
        <w:t xml:space="preserve"> </w:t>
      </w:r>
      <w:proofErr w:type="spellStart"/>
      <w:r w:rsidRPr="00DC1A5F">
        <w:rPr>
          <w:i/>
          <w:iCs/>
        </w:rPr>
        <w:t>kathitattā</w:t>
      </w:r>
      <w:proofErr w:type="spellEnd"/>
      <w:r w:rsidRPr="00DC1A5F">
        <w:rPr>
          <w:i/>
          <w:iCs/>
        </w:rPr>
        <w:t xml:space="preserve">; </w:t>
      </w:r>
      <w:proofErr w:type="spellStart"/>
      <w:r w:rsidRPr="00DC1A5F">
        <w:rPr>
          <w:i/>
          <w:iCs/>
        </w:rPr>
        <w:t>yaṃ</w:t>
      </w:r>
      <w:proofErr w:type="spellEnd"/>
      <w:r w:rsidRPr="00DC1A5F">
        <w:rPr>
          <w:i/>
          <w:iCs/>
        </w:rPr>
        <w:t xml:space="preserve"> hola </w:t>
      </w:r>
      <w:proofErr w:type="spellStart"/>
      <w:r w:rsidRPr="00DC1A5F">
        <w:rPr>
          <w:i/>
          <w:iCs/>
        </w:rPr>
        <w:t>bhagavatā</w:t>
      </w:r>
      <w:proofErr w:type="spellEnd"/>
      <w:r w:rsidRPr="00DC1A5F">
        <w:rPr>
          <w:i/>
          <w:iCs/>
        </w:rPr>
        <w:t xml:space="preserve"> </w:t>
      </w:r>
      <w:proofErr w:type="spellStart"/>
      <w:r w:rsidRPr="00DC1A5F">
        <w:rPr>
          <w:i/>
          <w:iCs/>
        </w:rPr>
        <w:t>bhāsitaṃ</w:t>
      </w:r>
      <w:proofErr w:type="spellEnd"/>
      <w:r w:rsidRPr="00DC1A5F">
        <w:rPr>
          <w:i/>
          <w:iCs/>
        </w:rPr>
        <w:t xml:space="preserve"> </w:t>
      </w:r>
      <w:proofErr w:type="spellStart"/>
      <w:r w:rsidRPr="00DC1A5F">
        <w:rPr>
          <w:i/>
          <w:iCs/>
        </w:rPr>
        <w:t>taṃ</w:t>
      </w:r>
      <w:proofErr w:type="spellEnd"/>
      <w:r w:rsidRPr="00DC1A5F">
        <w:rPr>
          <w:i/>
          <w:iCs/>
        </w:rPr>
        <w:t xml:space="preserve"> </w:t>
      </w:r>
      <w:proofErr w:type="spellStart"/>
      <w:r w:rsidRPr="00DC1A5F">
        <w:rPr>
          <w:i/>
          <w:iCs/>
        </w:rPr>
        <w:t>aviparitatthaṃ</w:t>
      </w:r>
      <w:proofErr w:type="spellEnd"/>
      <w:r w:rsidRPr="00DC1A5F">
        <w:rPr>
          <w:i/>
          <w:iCs/>
        </w:rPr>
        <w:t xml:space="preserve"> </w:t>
      </w:r>
      <w:proofErr w:type="spellStart"/>
      <w:r w:rsidRPr="00DC1A5F">
        <w:rPr>
          <w:i/>
          <w:iCs/>
        </w:rPr>
        <w:t>yathā</w:t>
      </w:r>
      <w:proofErr w:type="spellEnd"/>
      <w:r w:rsidRPr="00DC1A5F">
        <w:rPr>
          <w:i/>
          <w:iCs/>
        </w:rPr>
        <w:t xml:space="preserve"> </w:t>
      </w:r>
      <w:proofErr w:type="spellStart"/>
      <w:r w:rsidRPr="00DC1A5F">
        <w:rPr>
          <w:i/>
          <w:iCs/>
        </w:rPr>
        <w:t>taṃ</w:t>
      </w:r>
      <w:proofErr w:type="spellEnd"/>
      <w:r w:rsidRPr="00DC1A5F">
        <w:rPr>
          <w:i/>
          <w:iCs/>
        </w:rPr>
        <w:t xml:space="preserve"> ‘</w:t>
      </w:r>
      <w:proofErr w:type="spellStart"/>
      <w:r w:rsidRPr="00DC1A5F">
        <w:rPr>
          <w:i/>
          <w:iCs/>
        </w:rPr>
        <w:t>sabbe</w:t>
      </w:r>
      <w:proofErr w:type="spellEnd"/>
      <w:r w:rsidRPr="00DC1A5F">
        <w:rPr>
          <w:i/>
          <w:iCs/>
        </w:rPr>
        <w:t xml:space="preserve"> saṅkhārā </w:t>
      </w:r>
      <w:proofErr w:type="spellStart"/>
      <w:r w:rsidRPr="00DC1A5F">
        <w:rPr>
          <w:i/>
          <w:iCs/>
        </w:rPr>
        <w:t>aniccā</w:t>
      </w:r>
      <w:proofErr w:type="spellEnd"/>
      <w:r w:rsidRPr="00DC1A5F">
        <w:rPr>
          <w:i/>
          <w:iCs/>
        </w:rPr>
        <w:t xml:space="preserve"> </w:t>
      </w:r>
      <w:proofErr w:type="spellStart"/>
      <w:r w:rsidRPr="00DC1A5F">
        <w:rPr>
          <w:i/>
          <w:iCs/>
        </w:rPr>
        <w:t>sabbe</w:t>
      </w:r>
      <w:proofErr w:type="spellEnd"/>
      <w:r w:rsidRPr="00DC1A5F">
        <w:rPr>
          <w:i/>
          <w:iCs/>
        </w:rPr>
        <w:t xml:space="preserve"> saṅkhārā </w:t>
      </w:r>
      <w:proofErr w:type="spellStart"/>
      <w:r w:rsidRPr="00DC1A5F">
        <w:rPr>
          <w:i/>
          <w:iCs/>
        </w:rPr>
        <w:t>dukkhā</w:t>
      </w:r>
      <w:proofErr w:type="spellEnd"/>
      <w:r w:rsidRPr="00DC1A5F">
        <w:rPr>
          <w:i/>
          <w:iCs/>
        </w:rPr>
        <w:t xml:space="preserve"> </w:t>
      </w:r>
      <w:proofErr w:type="spellStart"/>
      <w:r w:rsidRPr="00DC1A5F">
        <w:rPr>
          <w:i/>
          <w:iCs/>
        </w:rPr>
        <w:t>sabbe</w:t>
      </w:r>
      <w:proofErr w:type="spellEnd"/>
      <w:r w:rsidRPr="00DC1A5F">
        <w:rPr>
          <w:i/>
          <w:iCs/>
        </w:rPr>
        <w:t xml:space="preserve"> </w:t>
      </w:r>
      <w:proofErr w:type="spellStart"/>
      <w:r w:rsidRPr="00DC1A5F">
        <w:rPr>
          <w:i/>
          <w:iCs/>
        </w:rPr>
        <w:t>dhammā</w:t>
      </w:r>
      <w:proofErr w:type="spellEnd"/>
      <w:r w:rsidRPr="00DC1A5F">
        <w:rPr>
          <w:i/>
          <w:iCs/>
        </w:rPr>
        <w:t xml:space="preserve"> anattā’ ti</w:t>
      </w:r>
      <w:r w:rsidRPr="00DC1A5F">
        <w:t>.</w:t>
      </w:r>
    </w:p>
    <w:p w14:paraId="61039BD6" w14:textId="77777777" w:rsidR="00597DE2" w:rsidRPr="00DC1A5F" w:rsidRDefault="00597DE2" w:rsidP="00597DE2">
      <w:pPr>
        <w:pStyle w:val="PiedepginaLegal"/>
      </w:pPr>
    </w:p>
    <w:p w14:paraId="627E53E8" w14:textId="77777777" w:rsidR="00597DE2" w:rsidRPr="00DC1A5F" w:rsidRDefault="00597DE2" w:rsidP="00597DE2">
      <w:pPr>
        <w:pStyle w:val="PiedepginaLegal"/>
      </w:pPr>
      <w:r w:rsidRPr="00DC1A5F">
        <w:br w:type="page"/>
      </w:r>
    </w:p>
    <w:p w14:paraId="2365CC17" w14:textId="77777777" w:rsidR="00597DE2" w:rsidRPr="00DC1A5F" w:rsidRDefault="00597DE2" w:rsidP="00597DE2"/>
    <w:p w14:paraId="13535BE9" w14:textId="77777777" w:rsidR="00597DE2" w:rsidRPr="00DC1A5F" w:rsidRDefault="00597DE2" w:rsidP="00597DE2">
      <w:pPr>
        <w:pStyle w:val="Textoindependiente"/>
      </w:pPr>
      <w:r w:rsidRPr="00DC1A5F">
        <w:t xml:space="preserve">[510] y ello corresponderá al </w:t>
      </w:r>
      <w:r w:rsidRPr="00DC1A5F">
        <w:rPr>
          <w:i/>
          <w:iCs/>
        </w:rPr>
        <w:t>lenguaje</w:t>
      </w:r>
      <w:r w:rsidRPr="00DC1A5F">
        <w:t xml:space="preserve"> </w:t>
      </w:r>
      <w:r w:rsidRPr="00DC1A5F">
        <w:rPr>
          <w:i/>
          <w:iCs/>
        </w:rPr>
        <w:t>correcto</w:t>
      </w:r>
      <w:r w:rsidRPr="00DC1A5F">
        <w:t xml:space="preserve">. Tiene la </w:t>
      </w:r>
      <w:r w:rsidRPr="00DC1A5F">
        <w:rPr>
          <w:i/>
          <w:iCs/>
        </w:rPr>
        <w:t>característica</w:t>
      </w:r>
      <w:r w:rsidRPr="00DC1A5F">
        <w:t xml:space="preserve"> de abrazar.</w:t>
      </w:r>
      <w:r w:rsidRPr="00DC1A5F">
        <w:rPr>
          <w:vertAlign w:val="superscript"/>
        </w:rPr>
        <w:t>19</w:t>
      </w:r>
      <w:r w:rsidRPr="00DC1A5F">
        <w:t xml:space="preserve"> Su </w:t>
      </w:r>
      <w:r w:rsidRPr="00DC1A5F">
        <w:rPr>
          <w:i/>
          <w:iCs/>
        </w:rPr>
        <w:t>función</w:t>
      </w:r>
      <w:r w:rsidRPr="00DC1A5F">
        <w:t xml:space="preserve"> es abstenerse. Se </w:t>
      </w:r>
      <w:r w:rsidRPr="00DC1A5F">
        <w:rPr>
          <w:i/>
          <w:iCs/>
        </w:rPr>
        <w:t>manifiesta</w:t>
      </w:r>
      <w:r w:rsidRPr="00DC1A5F">
        <w:t xml:space="preserve"> como el abandono del lenguaje incorrecto.</w:t>
      </w:r>
    </w:p>
    <w:p w14:paraId="7FF9AD0B" w14:textId="77777777" w:rsidR="00597DE2" w:rsidRPr="00DC1A5F" w:rsidRDefault="00597DE2" w:rsidP="00597DE2">
      <w:r w:rsidRPr="00DC1A5F">
        <w:t xml:space="preserve">79. </w:t>
      </w:r>
      <w:r w:rsidRPr="00DC1A5F">
        <w:tab/>
        <w:t xml:space="preserve">Cuando se abstenga así, su abstinencia de matar seres vivos, su abstinencia asociada con esa visión correcta eliminará la acción incorrecta y ello corresponderá a la </w:t>
      </w:r>
      <w:r w:rsidRPr="00DC1A5F">
        <w:rPr>
          <w:i/>
          <w:iCs/>
        </w:rPr>
        <w:t>acción correcta</w:t>
      </w:r>
      <w:r w:rsidRPr="00DC1A5F">
        <w:t xml:space="preserve">. Tiene la </w:t>
      </w:r>
      <w:r w:rsidRPr="00DC1A5F">
        <w:rPr>
          <w:i/>
          <w:iCs/>
        </w:rPr>
        <w:t>característica</w:t>
      </w:r>
      <w:r w:rsidRPr="00DC1A5F">
        <w:t xml:space="preserve"> de ser originaria.</w:t>
      </w:r>
      <w:r w:rsidRPr="00DC1A5F">
        <w:rPr>
          <w:vertAlign w:val="superscript"/>
        </w:rPr>
        <w:t>20</w:t>
      </w:r>
      <w:r w:rsidRPr="00DC1A5F">
        <w:t xml:space="preserve"> Su </w:t>
      </w:r>
      <w:r w:rsidRPr="00DC1A5F">
        <w:rPr>
          <w:i/>
          <w:iCs/>
        </w:rPr>
        <w:t>función</w:t>
      </w:r>
      <w:r w:rsidRPr="00DC1A5F">
        <w:t xml:space="preserve"> es abstenerse. Se </w:t>
      </w:r>
      <w:r w:rsidRPr="00DC1A5F">
        <w:rPr>
          <w:i/>
          <w:iCs/>
        </w:rPr>
        <w:t>manifiesta</w:t>
      </w:r>
      <w:r w:rsidRPr="00DC1A5F">
        <w:t xml:space="preserve"> como abandono de la acción incorrecta.</w:t>
      </w:r>
    </w:p>
    <w:p w14:paraId="28707011" w14:textId="77777777" w:rsidR="00597DE2" w:rsidRPr="00DC1A5F" w:rsidRDefault="00597DE2" w:rsidP="00597DE2">
      <w:r w:rsidRPr="00DC1A5F">
        <w:t xml:space="preserve">80. </w:t>
      </w:r>
      <w:r w:rsidRPr="00DC1A5F">
        <w:tab/>
        <w:t xml:space="preserve">Cuando su </w:t>
      </w:r>
      <w:proofErr w:type="gramStart"/>
      <w:r w:rsidRPr="00DC1A5F">
        <w:t>lenguaje correcto y su acción correcta</w:t>
      </w:r>
      <w:proofErr w:type="gramEnd"/>
      <w:r w:rsidRPr="00DC1A5F">
        <w:t xml:space="preserve"> se purifiquen, su abstinencia de medios de sustento incorrectos, cuya abstinencia está asociada con lo primero, la visión correcta eliminará las intrigas, etc., y ello corresponderá a los </w:t>
      </w:r>
      <w:r w:rsidRPr="00DC1A5F">
        <w:rPr>
          <w:i/>
          <w:iCs/>
        </w:rPr>
        <w:t>medios de sustento correctos</w:t>
      </w:r>
      <w:r w:rsidRPr="00DC1A5F">
        <w:t xml:space="preserve">. Tiene la </w:t>
      </w:r>
      <w:r w:rsidRPr="00DC1A5F">
        <w:rPr>
          <w:i/>
          <w:iCs/>
        </w:rPr>
        <w:t>característica</w:t>
      </w:r>
      <w:r w:rsidRPr="00DC1A5F">
        <w:t xml:space="preserve"> de purificar.</w:t>
      </w:r>
      <w:r w:rsidRPr="00DC1A5F">
        <w:rPr>
          <w:vertAlign w:val="superscript"/>
        </w:rPr>
        <w:t>21</w:t>
      </w:r>
      <w:r w:rsidRPr="00DC1A5F">
        <w:t xml:space="preserve"> Su </w:t>
      </w:r>
      <w:r w:rsidRPr="00DC1A5F">
        <w:rPr>
          <w:i/>
          <w:iCs/>
        </w:rPr>
        <w:t>función</w:t>
      </w:r>
      <w:r w:rsidRPr="00DC1A5F">
        <w:t xml:space="preserve"> es propiciar la ocurrencia de un sustento correcto. Se </w:t>
      </w:r>
      <w:r w:rsidRPr="00DC1A5F">
        <w:rPr>
          <w:i/>
          <w:iCs/>
        </w:rPr>
        <w:t>manifiesta</w:t>
      </w:r>
      <w:r w:rsidRPr="00DC1A5F">
        <w:t xml:space="preserve"> como abandono de los modos de sustento incorrecto.</w:t>
      </w:r>
    </w:p>
    <w:p w14:paraId="7C87F365" w14:textId="77777777" w:rsidR="00597DE2" w:rsidRPr="00DC1A5F" w:rsidRDefault="00597DE2" w:rsidP="00597DE2">
      <w:r w:rsidRPr="00DC1A5F">
        <w:t xml:space="preserve">81. </w:t>
      </w:r>
      <w:r w:rsidRPr="00DC1A5F">
        <w:tab/>
        <w:t xml:space="preserve">Cuando se establezca en ese plano de la virtud conocido como lenguaje correcto, la acción correcta y el medio de sustento correcto, su energía, en conformidad y asociada con esa visión correcta, eliminará la ociosidad y ello corresponderá al </w:t>
      </w:r>
      <w:r w:rsidRPr="00DC1A5F">
        <w:rPr>
          <w:i/>
          <w:iCs/>
        </w:rPr>
        <w:t>esfuerzo correcto</w:t>
      </w:r>
      <w:r w:rsidRPr="00DC1A5F">
        <w:t xml:space="preserve">. Tiene la </w:t>
      </w:r>
      <w:r w:rsidRPr="00DC1A5F">
        <w:rPr>
          <w:i/>
          <w:iCs/>
        </w:rPr>
        <w:t>característica</w:t>
      </w:r>
      <w:r w:rsidRPr="00DC1A5F">
        <w:t xml:space="preserve"> de generar esfuerzo. Su </w:t>
      </w:r>
      <w:r w:rsidRPr="00DC1A5F">
        <w:rPr>
          <w:i/>
          <w:iCs/>
        </w:rPr>
        <w:t>función</w:t>
      </w:r>
      <w:r w:rsidRPr="00DC1A5F">
        <w:t xml:space="preserve"> es el no surgimiento de cosas improductivas, etc. Se manifiesta como abandono del esfuerzo incorrecto.</w:t>
      </w:r>
    </w:p>
    <w:p w14:paraId="069164E1" w14:textId="77777777" w:rsidR="00597DE2" w:rsidRPr="00DC1A5F" w:rsidRDefault="00597DE2" w:rsidP="00597DE2">
      <w:r w:rsidRPr="00DC1A5F">
        <w:t xml:space="preserve">82. </w:t>
      </w:r>
      <w:r w:rsidRPr="00DC1A5F">
        <w:tab/>
        <w:t>Cuando él se esfuerce así, la no–</w:t>
      </w:r>
      <w:r w:rsidRPr="00DC1A5F">
        <w:rPr>
          <w:color w:val="833C0B" w:themeColor="accent2" w:themeShade="80"/>
        </w:rPr>
        <w:t xml:space="preserve">omisión </w:t>
      </w:r>
      <w:r w:rsidRPr="00DC1A5F">
        <w:t xml:space="preserve">de su mente, asociada con esa visión correcta, se librará de la atención incorrecta y ello corresponderá a la </w:t>
      </w:r>
      <w:r w:rsidRPr="00DC1A5F">
        <w:rPr>
          <w:i/>
          <w:iCs/>
        </w:rPr>
        <w:t>atención correcta</w:t>
      </w:r>
      <w:r w:rsidRPr="00DC1A5F">
        <w:t xml:space="preserve">. Tiene la </w:t>
      </w:r>
      <w:r w:rsidRPr="00DC1A5F">
        <w:rPr>
          <w:i/>
          <w:iCs/>
        </w:rPr>
        <w:t>característica</w:t>
      </w:r>
      <w:r w:rsidRPr="00DC1A5F">
        <w:t xml:space="preserve"> de establecer.</w:t>
      </w:r>
      <w:r w:rsidRPr="00DC1A5F">
        <w:rPr>
          <w:vertAlign w:val="superscript"/>
        </w:rPr>
        <w:t>22</w:t>
      </w:r>
      <w:r w:rsidRPr="00DC1A5F">
        <w:t xml:space="preserve"> Su </w:t>
      </w:r>
      <w:r w:rsidRPr="00DC1A5F">
        <w:rPr>
          <w:i/>
          <w:iCs/>
        </w:rPr>
        <w:t>función</w:t>
      </w:r>
      <w:r w:rsidRPr="00DC1A5F">
        <w:t xml:space="preserve"> es la no–omisión </w:t>
      </w:r>
      <w:r w:rsidRPr="00DC1A5F">
        <w:rPr>
          <w:color w:val="833C0B" w:themeColor="accent2" w:themeShade="80"/>
        </w:rPr>
        <w:t>de su atención</w:t>
      </w:r>
      <w:r w:rsidRPr="00DC1A5F">
        <w:t>. Se manifiesta como abandono de la atención incorrecta.</w:t>
      </w:r>
    </w:p>
    <w:p w14:paraId="12D7B088" w14:textId="77777777" w:rsidR="00597DE2" w:rsidRPr="00DC1A5F" w:rsidRDefault="00597DE2" w:rsidP="00597DE2">
      <w:r w:rsidRPr="00DC1A5F">
        <w:t xml:space="preserve">83. </w:t>
      </w:r>
      <w:r w:rsidRPr="00DC1A5F">
        <w:tab/>
        <w:t xml:space="preserve">Cuando su mente esté así protegida por esta suprema atención, la unificación mental, asociada con esa visión correcta, suprimirá la concentración incorrecta, y ello corresponderá a la </w:t>
      </w:r>
      <w:r w:rsidRPr="00DC1A5F">
        <w:rPr>
          <w:i/>
          <w:iCs/>
        </w:rPr>
        <w:t>concentración correcta</w:t>
      </w:r>
      <w:r w:rsidRPr="00DC1A5F">
        <w:t xml:space="preserve">. La cual tiene la </w:t>
      </w:r>
      <w:r w:rsidRPr="00DC1A5F">
        <w:rPr>
          <w:i/>
          <w:iCs/>
        </w:rPr>
        <w:t>característica</w:t>
      </w:r>
      <w:r w:rsidRPr="00DC1A5F">
        <w:t xml:space="preserve"> de la no distracción. Su </w:t>
      </w:r>
      <w:r w:rsidRPr="00DC1A5F">
        <w:rPr>
          <w:i/>
          <w:iCs/>
        </w:rPr>
        <w:t>función</w:t>
      </w:r>
      <w:r w:rsidRPr="00DC1A5F">
        <w:t xml:space="preserve"> es concentrar. </w:t>
      </w:r>
    </w:p>
    <w:p w14:paraId="779C0BF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885377D" w14:textId="77777777" w:rsidR="00597DE2" w:rsidRPr="00DC1A5F" w:rsidRDefault="00597DE2" w:rsidP="00597DE2">
      <w:pPr>
        <w:pStyle w:val="PiedepginaLegal"/>
      </w:pPr>
      <w:r w:rsidRPr="00DC1A5F">
        <w:t>…</w:t>
      </w:r>
    </w:p>
    <w:p w14:paraId="69AE8801" w14:textId="77777777" w:rsidR="00597DE2" w:rsidRPr="00DC1A5F" w:rsidRDefault="00597DE2" w:rsidP="00597DE2">
      <w:pPr>
        <w:pStyle w:val="PiedepginaLegal"/>
      </w:pPr>
      <w:r w:rsidRPr="00DC1A5F">
        <w:tab/>
      </w:r>
      <w:r w:rsidRPr="00DC1A5F">
        <w:tab/>
        <w:t>“</w:t>
      </w:r>
      <w:proofErr w:type="spellStart"/>
      <w:r w:rsidRPr="00DC1A5F">
        <w:rPr>
          <w:i/>
          <w:iCs/>
        </w:rPr>
        <w:t>Tathā</w:t>
      </w:r>
      <w:proofErr w:type="spellEnd"/>
      <w:r w:rsidRPr="00DC1A5F">
        <w:rPr>
          <w:i/>
          <w:iCs/>
        </w:rPr>
        <w:t xml:space="preserve"> nibbāna–</w:t>
      </w:r>
      <w:proofErr w:type="spellStart"/>
      <w:r w:rsidRPr="00DC1A5F">
        <w:rPr>
          <w:i/>
          <w:iCs/>
        </w:rPr>
        <w:t>saddo</w:t>
      </w:r>
      <w:proofErr w:type="spellEnd"/>
      <w:r w:rsidRPr="00DC1A5F">
        <w:rPr>
          <w:i/>
          <w:iCs/>
        </w:rPr>
        <w:t xml:space="preserve"> </w:t>
      </w:r>
      <w:proofErr w:type="spellStart"/>
      <w:r w:rsidRPr="00DC1A5F">
        <w:rPr>
          <w:i/>
          <w:iCs/>
        </w:rPr>
        <w:t>katthaci</w:t>
      </w:r>
      <w:proofErr w:type="spellEnd"/>
      <w:r w:rsidRPr="00DC1A5F">
        <w:rPr>
          <w:i/>
          <w:iCs/>
        </w:rPr>
        <w:t xml:space="preserve"> (pi) </w:t>
      </w:r>
      <w:proofErr w:type="spellStart"/>
      <w:r w:rsidRPr="00DC1A5F">
        <w:rPr>
          <w:i/>
          <w:iCs/>
        </w:rPr>
        <w:t>visaye</w:t>
      </w:r>
      <w:proofErr w:type="spellEnd"/>
      <w:r w:rsidRPr="00DC1A5F">
        <w:rPr>
          <w:i/>
          <w:iCs/>
        </w:rPr>
        <w:t xml:space="preserve"> </w:t>
      </w:r>
      <w:proofErr w:type="spellStart"/>
      <w:r w:rsidRPr="00DC1A5F">
        <w:rPr>
          <w:i/>
          <w:iCs/>
        </w:rPr>
        <w:t>yathābhūta</w:t>
      </w:r>
      <w:proofErr w:type="spellEnd"/>
      <w:r w:rsidRPr="00DC1A5F">
        <w:rPr>
          <w:i/>
          <w:iCs/>
        </w:rPr>
        <w:t>–</w:t>
      </w:r>
      <w:proofErr w:type="spellStart"/>
      <w:r w:rsidRPr="00DC1A5F">
        <w:rPr>
          <w:i/>
          <w:iCs/>
        </w:rPr>
        <w:t>paramatthavisayo</w:t>
      </w:r>
      <w:proofErr w:type="spellEnd"/>
      <w:r w:rsidRPr="00DC1A5F">
        <w:rPr>
          <w:i/>
          <w:iCs/>
        </w:rPr>
        <w:t xml:space="preserve"> </w:t>
      </w:r>
      <w:proofErr w:type="spellStart"/>
      <w:r w:rsidRPr="00DC1A5F">
        <w:rPr>
          <w:i/>
          <w:iCs/>
        </w:rPr>
        <w:t>upacāravuttimattasabhāvato</w:t>
      </w:r>
      <w:proofErr w:type="spellEnd"/>
      <w:r w:rsidRPr="00DC1A5F">
        <w:rPr>
          <w:i/>
          <w:iCs/>
        </w:rPr>
        <w:t xml:space="preserve"> (pi) </w:t>
      </w:r>
      <w:proofErr w:type="spellStart"/>
      <w:r w:rsidRPr="00DC1A5F">
        <w:rPr>
          <w:i/>
          <w:iCs/>
        </w:rPr>
        <w:t>seyyathā</w:t>
      </w:r>
      <w:proofErr w:type="spellEnd"/>
      <w:r w:rsidRPr="00DC1A5F">
        <w:rPr>
          <w:i/>
          <w:iCs/>
        </w:rPr>
        <w:t xml:space="preserve"> pi </w:t>
      </w:r>
      <w:proofErr w:type="spellStart"/>
      <w:r w:rsidRPr="00DC1A5F">
        <w:rPr>
          <w:i/>
          <w:iCs/>
        </w:rPr>
        <w:t>sīha</w:t>
      </w:r>
      <w:proofErr w:type="spellEnd"/>
      <w:r w:rsidRPr="00DC1A5F">
        <w:rPr>
          <w:i/>
          <w:iCs/>
        </w:rPr>
        <w:t>–</w:t>
      </w:r>
      <w:proofErr w:type="spellStart"/>
      <w:r w:rsidRPr="00DC1A5F">
        <w:rPr>
          <w:i/>
          <w:iCs/>
        </w:rPr>
        <w:t>saddo</w:t>
      </w:r>
      <w:proofErr w:type="spellEnd"/>
      <w:r w:rsidRPr="00DC1A5F">
        <w:rPr>
          <w:i/>
          <w:iCs/>
        </w:rPr>
        <w:t xml:space="preserve">. </w:t>
      </w:r>
      <w:proofErr w:type="spellStart"/>
      <w:r w:rsidRPr="00DC1A5F">
        <w:rPr>
          <w:i/>
          <w:iCs/>
        </w:rPr>
        <w:t>Atha</w:t>
      </w:r>
      <w:proofErr w:type="spellEnd"/>
      <w:r w:rsidRPr="00DC1A5F">
        <w:rPr>
          <w:i/>
          <w:iCs/>
        </w:rPr>
        <w:t xml:space="preserve"> </w:t>
      </w:r>
      <w:proofErr w:type="spellStart"/>
      <w:r w:rsidRPr="00DC1A5F">
        <w:rPr>
          <w:i/>
          <w:iCs/>
        </w:rPr>
        <w:t>vā</w:t>
      </w:r>
      <w:proofErr w:type="spellEnd"/>
      <w:r w:rsidRPr="00DC1A5F">
        <w:rPr>
          <w:i/>
          <w:iCs/>
        </w:rPr>
        <w:t xml:space="preserve"> </w:t>
      </w:r>
      <w:proofErr w:type="spellStart"/>
      <w:r w:rsidRPr="00DC1A5F">
        <w:rPr>
          <w:i/>
          <w:iCs/>
        </w:rPr>
        <w:t>atth’eva</w:t>
      </w:r>
      <w:proofErr w:type="spellEnd"/>
      <w:r w:rsidRPr="00DC1A5F">
        <w:rPr>
          <w:i/>
          <w:iCs/>
        </w:rPr>
        <w:t xml:space="preserve"> </w:t>
      </w:r>
      <w:proofErr w:type="spellStart"/>
      <w:r w:rsidRPr="00DC1A5F">
        <w:rPr>
          <w:i/>
          <w:iCs/>
        </w:rPr>
        <w:t>paramatthato</w:t>
      </w:r>
      <w:proofErr w:type="spellEnd"/>
      <w:r w:rsidRPr="00DC1A5F">
        <w:rPr>
          <w:i/>
          <w:iCs/>
        </w:rPr>
        <w:t xml:space="preserve"> </w:t>
      </w:r>
      <w:proofErr w:type="spellStart"/>
      <w:r w:rsidRPr="00DC1A5F">
        <w:rPr>
          <w:i/>
          <w:iCs/>
        </w:rPr>
        <w:t>asaṅkhata</w:t>
      </w:r>
      <w:proofErr w:type="spellEnd"/>
      <w:r w:rsidRPr="00DC1A5F">
        <w:rPr>
          <w:i/>
          <w:iCs/>
        </w:rPr>
        <w:t>–</w:t>
      </w:r>
      <w:proofErr w:type="spellStart"/>
      <w:r w:rsidRPr="00DC1A5F">
        <w:rPr>
          <w:i/>
          <w:iCs/>
        </w:rPr>
        <w:t>dhātu</w:t>
      </w:r>
      <w:proofErr w:type="spellEnd"/>
      <w:r w:rsidRPr="00DC1A5F">
        <w:rPr>
          <w:i/>
          <w:iCs/>
        </w:rPr>
        <w:t xml:space="preserve"> </w:t>
      </w:r>
      <w:proofErr w:type="spellStart"/>
      <w:r w:rsidRPr="00DC1A5F">
        <w:rPr>
          <w:i/>
          <w:iCs/>
        </w:rPr>
        <w:t>itaraṃ</w:t>
      </w:r>
      <w:proofErr w:type="spellEnd"/>
      <w:r w:rsidRPr="00DC1A5F">
        <w:rPr>
          <w:i/>
          <w:iCs/>
        </w:rPr>
        <w:t xml:space="preserve"> </w:t>
      </w:r>
      <w:proofErr w:type="spellStart"/>
      <w:r w:rsidRPr="00DC1A5F">
        <w:rPr>
          <w:i/>
          <w:iCs/>
        </w:rPr>
        <w:t>tabbiparītavimutta</w:t>
      </w:r>
      <w:proofErr w:type="spellEnd"/>
      <w:r w:rsidRPr="00DC1A5F">
        <w:rPr>
          <w:i/>
          <w:iCs/>
        </w:rPr>
        <w:t>–</w:t>
      </w:r>
      <w:proofErr w:type="spellStart"/>
      <w:r w:rsidRPr="00DC1A5F">
        <w:rPr>
          <w:i/>
          <w:iCs/>
        </w:rPr>
        <w:t>sabhāvattā</w:t>
      </w:r>
      <w:proofErr w:type="spellEnd"/>
      <w:r w:rsidRPr="00DC1A5F">
        <w:rPr>
          <w:i/>
          <w:iCs/>
        </w:rPr>
        <w:t xml:space="preserve"> </w:t>
      </w:r>
      <w:proofErr w:type="spellStart"/>
      <w:r w:rsidRPr="00DC1A5F">
        <w:rPr>
          <w:i/>
          <w:iCs/>
        </w:rPr>
        <w:t>seyyathā</w:t>
      </w:r>
      <w:proofErr w:type="spellEnd"/>
      <w:r w:rsidRPr="00DC1A5F">
        <w:rPr>
          <w:i/>
          <w:iCs/>
        </w:rPr>
        <w:t xml:space="preserve"> pi </w:t>
      </w:r>
      <w:proofErr w:type="spellStart"/>
      <w:r w:rsidRPr="00DC1A5F">
        <w:rPr>
          <w:i/>
          <w:iCs/>
        </w:rPr>
        <w:t>pathavī</w:t>
      </w:r>
      <w:proofErr w:type="spellEnd"/>
      <w:r w:rsidRPr="00DC1A5F">
        <w:rPr>
          <w:i/>
          <w:iCs/>
        </w:rPr>
        <w:t>–</w:t>
      </w:r>
      <w:proofErr w:type="spellStart"/>
      <w:r w:rsidRPr="00DC1A5F">
        <w:rPr>
          <w:i/>
          <w:iCs/>
        </w:rPr>
        <w:t>dhātu</w:t>
      </w:r>
      <w:proofErr w:type="spellEnd"/>
      <w:r w:rsidRPr="00DC1A5F">
        <w:rPr>
          <w:i/>
          <w:iCs/>
        </w:rPr>
        <w:t xml:space="preserve"> </w:t>
      </w:r>
      <w:proofErr w:type="spellStart"/>
      <w:r w:rsidRPr="00DC1A5F">
        <w:rPr>
          <w:i/>
          <w:iCs/>
        </w:rPr>
        <w:t>vedanā</w:t>
      </w:r>
      <w:proofErr w:type="spellEnd"/>
      <w:r w:rsidRPr="00DC1A5F">
        <w:rPr>
          <w:i/>
          <w:iCs/>
        </w:rPr>
        <w:t xml:space="preserve"> </w:t>
      </w:r>
      <w:proofErr w:type="spellStart"/>
      <w:r w:rsidRPr="00DC1A5F">
        <w:rPr>
          <w:i/>
          <w:iCs/>
        </w:rPr>
        <w:t>vā</w:t>
      </w:r>
      <w:proofErr w:type="spellEnd"/>
      <w:r w:rsidRPr="00DC1A5F">
        <w:rPr>
          <w:i/>
          <w:iCs/>
        </w:rPr>
        <w:t xml:space="preserve"> ti</w:t>
      </w:r>
      <w:r w:rsidRPr="00DC1A5F">
        <w:t>.”</w:t>
      </w:r>
    </w:p>
    <w:p w14:paraId="67A48725" w14:textId="77777777" w:rsidR="00597DE2" w:rsidRPr="00DC1A5F" w:rsidRDefault="00597DE2" w:rsidP="00597DE2">
      <w:pPr>
        <w:pStyle w:val="PiedepginaLegal"/>
        <w:rPr>
          <w:color w:val="auto"/>
          <w:u w:color="000000"/>
        </w:rPr>
      </w:pPr>
      <w:r w:rsidRPr="00DC1A5F">
        <w:tab/>
      </w:r>
      <w:r w:rsidRPr="00DC1A5F">
        <w:tab/>
      </w:r>
      <w:r w:rsidRPr="00DC1A5F">
        <w:rPr>
          <w:color w:val="auto"/>
          <w:u w:color="000000"/>
        </w:rPr>
        <w:t xml:space="preserve">La discusión se resume y se agregan argumentos adicionales en el </w:t>
      </w:r>
      <w:proofErr w:type="spellStart"/>
      <w:r w:rsidRPr="00DC1A5F">
        <w:rPr>
          <w:i/>
          <w:iCs/>
          <w:color w:val="auto"/>
          <w:u w:color="000000"/>
        </w:rPr>
        <w:t>Abhidhammāvatāra</w:t>
      </w:r>
      <w:proofErr w:type="spellEnd"/>
      <w:r w:rsidRPr="00DC1A5F">
        <w:rPr>
          <w:color w:val="auto"/>
          <w:u w:color="000000"/>
        </w:rPr>
        <w:t xml:space="preserve">. El último </w:t>
      </w:r>
      <w:proofErr w:type="spellStart"/>
      <w:r w:rsidRPr="00DC1A5F">
        <w:rPr>
          <w:i/>
          <w:iCs/>
          <w:color w:val="auto"/>
          <w:u w:color="000000"/>
        </w:rPr>
        <w:t>Abhidhammatthasaṅgaha</w:t>
      </w:r>
      <w:proofErr w:type="spellEnd"/>
      <w:r w:rsidRPr="00DC1A5F">
        <w:rPr>
          <w:color w:val="auto"/>
          <w:u w:color="000000"/>
        </w:rPr>
        <w:t xml:space="preserve"> parece haber dejado a un lado el problema. Puede notarse que en toda esta discusión (particularmente en la respuesta a la P. 4) no se menciona el abandono de las tendencias subyacentes (</w:t>
      </w:r>
      <w:proofErr w:type="spellStart"/>
      <w:r w:rsidRPr="00DC1A5F">
        <w:rPr>
          <w:i/>
          <w:iCs/>
          <w:color w:val="auto"/>
          <w:u w:color="000000"/>
        </w:rPr>
        <w:t>anusaya</w:t>
      </w:r>
      <w:proofErr w:type="spellEnd"/>
      <w:r w:rsidRPr="00DC1A5F">
        <w:rPr>
          <w:color w:val="auto"/>
          <w:u w:color="000000"/>
        </w:rPr>
        <w:t xml:space="preserve">) en el logro del </w:t>
      </w:r>
      <w:r w:rsidRPr="00DC1A5F">
        <w:rPr>
          <w:i/>
          <w:iCs/>
          <w:color w:val="auto"/>
          <w:u w:color="000000"/>
        </w:rPr>
        <w:t>Nibbāna</w:t>
      </w:r>
      <w:r w:rsidRPr="00DC1A5F">
        <w:rPr>
          <w:color w:val="auto"/>
          <w:u w:color="000000"/>
        </w:rPr>
        <w:t xml:space="preserve"> (ver, por ejemplo, MN 64; S II 66). Para derivaciones de la palabra “</w:t>
      </w:r>
      <w:r w:rsidRPr="00DC1A5F">
        <w:rPr>
          <w:i/>
          <w:iCs/>
          <w:color w:val="auto"/>
          <w:u w:color="000000"/>
        </w:rPr>
        <w:t>Nibbāna</w:t>
      </w:r>
      <w:r w:rsidRPr="00DC1A5F">
        <w:rPr>
          <w:color w:val="auto"/>
          <w:u w:color="000000"/>
        </w:rPr>
        <w:t>” ver VIII.247 y nota 72.</w:t>
      </w:r>
    </w:p>
    <w:p w14:paraId="2DE18F27" w14:textId="77777777" w:rsidR="00597DE2" w:rsidRPr="00DC1A5F" w:rsidRDefault="00597DE2" w:rsidP="00597DE2">
      <w:pPr>
        <w:pStyle w:val="PiedepginaLegal"/>
        <w:numPr>
          <w:ilvl w:val="0"/>
          <w:numId w:val="5"/>
        </w:numPr>
        <w:tabs>
          <w:tab w:val="clear" w:pos="425"/>
        </w:tabs>
        <w:ind w:left="284" w:hanging="284"/>
        <w:rPr>
          <w:color w:val="auto"/>
          <w:u w:color="000000"/>
        </w:rPr>
      </w:pPr>
      <w:r w:rsidRPr="00DC1A5F">
        <w:rPr>
          <w:color w:val="auto"/>
          <w:u w:color="000000"/>
        </w:rPr>
        <w:t>“El lenguaje correcto tiene como esencia individual abrazar estados asociados a través de la afectividad, porque será lo contrario del lenguaje falso y de los otros lenguajes los cuales, siendo ásperos por sus respectivas funciones de engañar, etc., no abrazarán” (</w:t>
      </w:r>
      <w:proofErr w:type="spellStart"/>
      <w:r w:rsidRPr="00DC1A5F">
        <w:rPr>
          <w:color w:val="auto"/>
          <w:u w:color="000000"/>
        </w:rPr>
        <w:t>Vism</w:t>
      </w:r>
      <w:proofErr w:type="spellEnd"/>
      <w:r w:rsidRPr="00DC1A5F">
        <w:rPr>
          <w:color w:val="auto"/>
          <w:u w:color="000000"/>
        </w:rPr>
        <w:t xml:space="preserve">– </w:t>
      </w:r>
      <w:proofErr w:type="spellStart"/>
      <w:r w:rsidRPr="00DC1A5F">
        <w:rPr>
          <w:color w:val="auto"/>
          <w:u w:color="000000"/>
        </w:rPr>
        <w:t>mht</w:t>
      </w:r>
      <w:proofErr w:type="spellEnd"/>
      <w:r w:rsidRPr="00DC1A5F">
        <w:rPr>
          <w:color w:val="auto"/>
          <w:u w:color="000000"/>
        </w:rPr>
        <w:t xml:space="preserve"> 541).</w:t>
      </w:r>
    </w:p>
    <w:p w14:paraId="413D968C" w14:textId="77777777" w:rsidR="00597DE2" w:rsidRPr="00DC1A5F" w:rsidRDefault="00597DE2" w:rsidP="00597DE2">
      <w:pPr>
        <w:pStyle w:val="PiedepginaLegal"/>
        <w:numPr>
          <w:ilvl w:val="0"/>
          <w:numId w:val="5"/>
        </w:numPr>
        <w:tabs>
          <w:tab w:val="clear" w:pos="425"/>
        </w:tabs>
        <w:ind w:left="284" w:hanging="284"/>
        <w:rPr>
          <w:color w:val="auto"/>
          <w:u w:color="000000"/>
        </w:rPr>
      </w:pPr>
      <w:r w:rsidRPr="00DC1A5F">
        <w:rPr>
          <w:color w:val="auto"/>
          <w:u w:color="000000"/>
        </w:rPr>
        <w:t xml:space="preserve"> “El trabajo corporal (</w:t>
      </w:r>
      <w:proofErr w:type="spellStart"/>
      <w:r w:rsidRPr="00DC1A5F">
        <w:rPr>
          <w:i/>
          <w:iCs/>
          <w:color w:val="auto"/>
          <w:u w:color="000000"/>
        </w:rPr>
        <w:t>kāyika</w:t>
      </w:r>
      <w:proofErr w:type="spellEnd"/>
      <w:r w:rsidRPr="00DC1A5F">
        <w:rPr>
          <w:i/>
          <w:iCs/>
          <w:color w:val="auto"/>
          <w:u w:color="000000"/>
        </w:rPr>
        <w:t>–</w:t>
      </w:r>
      <w:proofErr w:type="spellStart"/>
      <w:r w:rsidRPr="00DC1A5F">
        <w:rPr>
          <w:i/>
          <w:iCs/>
          <w:color w:val="auto"/>
          <w:u w:color="000000"/>
        </w:rPr>
        <w:t>kriyā</w:t>
      </w:r>
      <w:proofErr w:type="spellEnd"/>
      <w:r w:rsidRPr="00DC1A5F">
        <w:rPr>
          <w:color w:val="auto"/>
          <w:u w:color="000000"/>
        </w:rPr>
        <w:t>) originará (establece) todo lo que tenga que hacerse. Y esa originación (establecimiento) será en sí misma una combinación, por lo que se dice que la abstinencia conocida como acción correcta tendrá a la originación como su esencia individual. O será la selección de estados asociados lo que causará que se origine por parte del trabajo corporal, como la selección de una carga”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541).</w:t>
      </w:r>
    </w:p>
    <w:p w14:paraId="72C5485B" w14:textId="77777777" w:rsidR="00597DE2" w:rsidRPr="00DC1A5F" w:rsidRDefault="00597DE2" w:rsidP="00597DE2">
      <w:pPr>
        <w:pStyle w:val="PiedepginaLegal"/>
        <w:numPr>
          <w:ilvl w:val="0"/>
          <w:numId w:val="5"/>
        </w:numPr>
        <w:tabs>
          <w:tab w:val="clear" w:pos="425"/>
        </w:tabs>
        <w:ind w:left="284" w:hanging="284"/>
      </w:pPr>
      <w:r w:rsidRPr="00DC1A5F">
        <w:t>“La purificación de un ser vivo o de estados asociados corresponderá a la ‘</w:t>
      </w:r>
      <w:r w:rsidRPr="00DC1A5F">
        <w:rPr>
          <w:i/>
          <w:iCs/>
        </w:rPr>
        <w:t>purificación’</w:t>
      </w:r>
      <w:r w:rsidRPr="00DC1A5F">
        <w:t>” (</w:t>
      </w:r>
      <w:proofErr w:type="spellStart"/>
      <w:r w:rsidRPr="00DC1A5F">
        <w:t>Vismmhṭ</w:t>
      </w:r>
      <w:proofErr w:type="spellEnd"/>
      <w:r w:rsidRPr="00DC1A5F">
        <w:t xml:space="preserve"> 541).</w:t>
      </w:r>
    </w:p>
    <w:p w14:paraId="1575C08D" w14:textId="77777777" w:rsidR="00597DE2" w:rsidRPr="00DC1A5F" w:rsidRDefault="00597DE2" w:rsidP="00597DE2">
      <w:pPr>
        <w:pStyle w:val="PiedepginaLegal"/>
        <w:numPr>
          <w:ilvl w:val="0"/>
          <w:numId w:val="5"/>
        </w:numPr>
        <w:tabs>
          <w:tab w:val="clear" w:pos="425"/>
        </w:tabs>
        <w:ind w:left="284" w:hanging="284"/>
      </w:pPr>
      <w:proofErr w:type="spellStart"/>
      <w:r w:rsidRPr="00DC1A5F">
        <w:rPr>
          <w:i/>
          <w:iCs/>
        </w:rPr>
        <w:t>Viniddhunana</w:t>
      </w:r>
      <w:proofErr w:type="spellEnd"/>
      <w:r w:rsidRPr="00DC1A5F">
        <w:t xml:space="preserve">—“sacudirse”: no así en el PED, (No obstante, ver bajo </w:t>
      </w:r>
      <w:proofErr w:type="spellStart"/>
      <w:r w:rsidRPr="00DC1A5F">
        <w:rPr>
          <w:i/>
          <w:iCs/>
        </w:rPr>
        <w:t>dhunāti</w:t>
      </w:r>
      <w:proofErr w:type="spellEnd"/>
      <w:r w:rsidRPr="00DC1A5F">
        <w:t>); cf. II.11.</w:t>
      </w:r>
    </w:p>
    <w:p w14:paraId="61688D81" w14:textId="77777777" w:rsidR="00597DE2" w:rsidRPr="00DC1A5F" w:rsidRDefault="00597DE2" w:rsidP="00597DE2">
      <w:pPr>
        <w:pStyle w:val="PiedepginaLegal"/>
      </w:pPr>
    </w:p>
    <w:p w14:paraId="0309751E" w14:textId="77777777" w:rsidR="00597DE2" w:rsidRPr="00DC1A5F" w:rsidRDefault="00597DE2" w:rsidP="00597DE2">
      <w:pPr>
        <w:pStyle w:val="PiedepginaLegal"/>
      </w:pPr>
      <w:r w:rsidRPr="00DC1A5F">
        <w:br w:type="page"/>
      </w:r>
    </w:p>
    <w:p w14:paraId="1CDEBEEA" w14:textId="77777777" w:rsidR="00597DE2" w:rsidRPr="00DC1A5F" w:rsidRDefault="00597DE2" w:rsidP="00597DE2">
      <w:pPr>
        <w:pStyle w:val="Textoindependiente"/>
      </w:pPr>
      <w:r w:rsidRPr="00DC1A5F">
        <w:lastRenderedPageBreak/>
        <w:t xml:space="preserve">Se </w:t>
      </w:r>
      <w:r w:rsidRPr="00DC1A5F">
        <w:rPr>
          <w:i/>
          <w:iCs/>
        </w:rPr>
        <w:t>manifiesta</w:t>
      </w:r>
      <w:r w:rsidRPr="00DC1A5F">
        <w:t xml:space="preserve"> como abandono de la concentración incorrecta.</w:t>
      </w:r>
    </w:p>
    <w:p w14:paraId="284EE7A3" w14:textId="77777777" w:rsidR="00597DE2" w:rsidRPr="00DC1A5F" w:rsidRDefault="00597DE2" w:rsidP="00597DE2">
      <w:pPr>
        <w:pStyle w:val="NormalConSangria"/>
      </w:pPr>
      <w:r w:rsidRPr="00DC1A5F">
        <w:t>Éste es el método de la descripción del sendero que conduce hacia la cesación del sufrimiento.</w:t>
      </w:r>
    </w:p>
    <w:p w14:paraId="76190D69" w14:textId="77777777" w:rsidR="00597DE2" w:rsidRPr="00DC1A5F" w:rsidRDefault="00597DE2" w:rsidP="00597DE2">
      <w:pPr>
        <w:pStyle w:val="NormalConSangria"/>
      </w:pPr>
      <w:r w:rsidRPr="00DC1A5F">
        <w:t>Así deberá entenderse la exposición en cuanto a la definición del nacimiento, etc.</w:t>
      </w:r>
    </w:p>
    <w:p w14:paraId="3A247400" w14:textId="2E30ED4B" w:rsidR="00597DE2" w:rsidRPr="00DC1A5F" w:rsidRDefault="00597DE2" w:rsidP="00597DE2">
      <w:pPr>
        <w:pStyle w:val="Ttulo3"/>
        <w:ind w:left="708"/>
      </w:pPr>
      <w:r w:rsidRPr="00DC1A5F">
        <w:t>[</w:t>
      </w:r>
      <w:r w:rsidR="0084085D">
        <w:t xml:space="preserve">En </w:t>
      </w:r>
      <w:r w:rsidRPr="00DC1A5F">
        <w:t>General]</w:t>
      </w:r>
    </w:p>
    <w:p w14:paraId="2382EB69" w14:textId="77777777" w:rsidR="00597DE2" w:rsidRPr="00DC1A5F" w:rsidRDefault="00597DE2" w:rsidP="00597DE2">
      <w:r w:rsidRPr="00DC1A5F">
        <w:t xml:space="preserve">84. </w:t>
      </w:r>
      <w:r w:rsidRPr="00DC1A5F">
        <w:tab/>
        <w:t xml:space="preserve">9. </w:t>
      </w:r>
      <w:r w:rsidRPr="00DC1A5F">
        <w:rPr>
          <w:i/>
          <w:iCs/>
        </w:rPr>
        <w:t>En</w:t>
      </w:r>
      <w:r w:rsidRPr="00DC1A5F">
        <w:t xml:space="preserve"> </w:t>
      </w:r>
      <w:r w:rsidRPr="00DC1A5F">
        <w:rPr>
          <w:i/>
          <w:iCs/>
        </w:rPr>
        <w:t>cuanto a la función del conocimiento</w:t>
      </w:r>
      <w:r w:rsidRPr="00DC1A5F">
        <w:t xml:space="preserve"> (cf. § 14): la exposición deberá entenderse </w:t>
      </w:r>
      <w:proofErr w:type="gramStart"/>
      <w:r w:rsidRPr="00DC1A5F">
        <w:t>de acuerdo al</w:t>
      </w:r>
      <w:proofErr w:type="gramEnd"/>
      <w:r w:rsidRPr="00DC1A5F">
        <w:t xml:space="preserve"> conocimiento de las verdades. Porque el conocimiento de las verdades es doble, es decir, conocimiento como idea y conocimiento como penetración (cf. S V 431f; también </w:t>
      </w:r>
      <w:proofErr w:type="spellStart"/>
      <w:r w:rsidRPr="00DC1A5F">
        <w:t>Cap</w:t>
      </w:r>
      <w:proofErr w:type="spellEnd"/>
      <w:r w:rsidRPr="00DC1A5F">
        <w:t>– XXII. §92.). Aquí, el conocimiento como idea será mundano y ocurrirá escuchando, leyendo, etc., sobre la cesación y el sendero. El conocimiento consistente de una consumación supramundana corresponderá al de las cuatro nobles verdades como su función al hacer de la cesación su objeto, según se dice al respecto, “</w:t>
      </w:r>
      <w:proofErr w:type="spellStart"/>
      <w:r w:rsidRPr="00DC1A5F">
        <w:rPr>
          <w:i/>
        </w:rPr>
        <w:t>Bhikkhu</w:t>
      </w:r>
      <w:r w:rsidRPr="00DC1A5F">
        <w:t>s</w:t>
      </w:r>
      <w:proofErr w:type="spellEnd"/>
      <w:r w:rsidRPr="00DC1A5F">
        <w:t xml:space="preserve">, aquel que vea el sufrimiento verá también el origen del sufrimiento, verá también la cesación del sufrimiento, verá también el sendero que conduce a la cesación del sufrimiento” (S V 437), y debe repetirse así con respecto a todas las cuatro </w:t>
      </w:r>
      <w:r w:rsidRPr="00DC1A5F">
        <w:br/>
        <w:t>nobles verdades. No obstante, su función se aclarará en la purificación mediante el conocimiento y la visión (Cap. XXII. §92.). [511]</w:t>
      </w:r>
    </w:p>
    <w:p w14:paraId="708DD297" w14:textId="77777777" w:rsidR="00597DE2" w:rsidRPr="00DC1A5F" w:rsidRDefault="00597DE2" w:rsidP="00597DE2">
      <w:r w:rsidRPr="00DC1A5F">
        <w:t xml:space="preserve">85. </w:t>
      </w:r>
      <w:r w:rsidRPr="00DC1A5F">
        <w:tab/>
        <w:t xml:space="preserve">Cuando este conocimiento sea mundano, entonces, al ocurrir como superación de las obsesiones, el conocimiento del sufrimiento sobre ellas se anticipará a la visión incorrecta de la individualidad; el conocimiento del origen se anticipará a la visión nihilista; el conocimiento de la cesación se anticipará a la visión del eternalismo; el conocimiento del sendero se anticipará a la visión de la ineficacia–moral–de–la–acción. O alternativamente, el conocimiento del sufrimiento se anticipará a las teorías incorrectas sobre el efecto </w:t>
      </w:r>
      <w:r w:rsidRPr="00DC1A5F">
        <w:rPr>
          <w:u w:color="000000"/>
        </w:rPr>
        <w:t>de las causas,</w:t>
      </w:r>
      <w:r w:rsidRPr="00DC1A5F">
        <w:t xml:space="preserve"> en otras palabras, a la apreciación incorrecta de la perdurabilidad, la belleza, el placer y el alma de los agregados, que están desprovistos de perdurabilidad, belleza, placer y alma; y el conocimiento del origen se anticipará a las teorías anómalas sobre una causa ocurrida al encontrar una razón donde no la exista, como “El mundo debido a un Señor Supremo, a un Principio Básico, al Tiempo, a la Naturaleza (Esencia Individual)”, etc.;</w:t>
      </w:r>
      <w:r w:rsidRPr="00DC1A5F">
        <w:rPr>
          <w:vertAlign w:val="superscript"/>
        </w:rPr>
        <w:t>23</w:t>
      </w:r>
      <w:r w:rsidRPr="00DC1A5F">
        <w:t xml:space="preserve"> el conocimiento de la cesación se anticipará a la teorías incorrectas de la cesación, tales como adoptar la liberación final con el objeto de migrar hacia un plano inmaterial, hacia la cúspide de un Plano Existencial (Santuario), etc.; y el conocimiento </w:t>
      </w:r>
    </w:p>
    <w:p w14:paraId="0BD4D495"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EEC16FD" w14:textId="77777777" w:rsidR="00597DE2" w:rsidRPr="00DC1A5F" w:rsidRDefault="00597DE2" w:rsidP="00597DE2">
      <w:pPr>
        <w:pStyle w:val="PiedepginaLegal"/>
        <w:numPr>
          <w:ilvl w:val="0"/>
          <w:numId w:val="5"/>
        </w:numPr>
        <w:tabs>
          <w:tab w:val="clear" w:pos="425"/>
        </w:tabs>
        <w:ind w:left="284" w:hanging="284"/>
        <w:rPr>
          <w:color w:val="auto"/>
          <w:u w:color="000000"/>
        </w:rPr>
      </w:pPr>
      <w:r w:rsidRPr="00DC1A5F">
        <w:rPr>
          <w:color w:val="auto"/>
          <w:u w:color="000000"/>
        </w:rPr>
        <w:t>“Aquellos que sostienen que existe un Señor Supremo (Ser Omnipotente) como razón afirman: ‘Un Señor Supremo (</w:t>
      </w:r>
      <w:proofErr w:type="spellStart"/>
      <w:r w:rsidRPr="00DC1A5F">
        <w:rPr>
          <w:i/>
          <w:iCs/>
          <w:color w:val="auto"/>
          <w:u w:color="000000"/>
        </w:rPr>
        <w:t>issara</w:t>
      </w:r>
      <w:proofErr w:type="spellEnd"/>
      <w:r w:rsidRPr="00DC1A5F">
        <w:rPr>
          <w:color w:val="auto"/>
          <w:u w:color="000000"/>
        </w:rPr>
        <w:t>) produce que el mundo ocurra, lo prepara, lo detiene, lo dispone’. Aquellos que sostienen que existe un Principio Básico como razón afirman: ‘El mundo se manifiesta a partir de un Principio Básico (</w:t>
      </w:r>
      <w:proofErr w:type="spellStart"/>
      <w:r w:rsidRPr="00DC1A5F">
        <w:rPr>
          <w:i/>
          <w:iCs/>
          <w:color w:val="auto"/>
          <w:u w:color="000000"/>
        </w:rPr>
        <w:t>padhāna</w:t>
      </w:r>
      <w:proofErr w:type="spellEnd"/>
      <w:r w:rsidRPr="00DC1A5F">
        <w:rPr>
          <w:color w:val="auto"/>
          <w:u w:color="000000"/>
        </w:rPr>
        <w:t>), y se reabsorbe en ello nuevamente’. Aquellos que sostengan la teoría del Tiempo dicen:</w:t>
      </w:r>
    </w:p>
    <w:p w14:paraId="423AF753" w14:textId="77777777" w:rsidR="00597DE2" w:rsidRPr="00DC1A5F" w:rsidRDefault="00597DE2" w:rsidP="00597DE2">
      <w:pPr>
        <w:pStyle w:val="VersoIngls01Sangria"/>
        <w:tabs>
          <w:tab w:val="clear" w:pos="425"/>
        </w:tabs>
        <w:ind w:left="709"/>
        <w:rPr>
          <w:sz w:val="12"/>
          <w:szCs w:val="16"/>
        </w:rPr>
      </w:pPr>
      <w:r w:rsidRPr="00DC1A5F">
        <w:tab/>
      </w:r>
      <w:r w:rsidRPr="00DC1A5F">
        <w:tab/>
      </w:r>
      <w:r w:rsidRPr="00DC1A5F">
        <w:rPr>
          <w:sz w:val="12"/>
          <w:szCs w:val="16"/>
        </w:rPr>
        <w:t>El tiempo es lo que crea a los seres,</w:t>
      </w:r>
    </w:p>
    <w:p w14:paraId="6B2EF81A" w14:textId="77777777" w:rsidR="00597DE2" w:rsidRPr="00DC1A5F" w:rsidRDefault="00597DE2" w:rsidP="00597DE2">
      <w:pPr>
        <w:pStyle w:val="VersoIngls01Sangria"/>
        <w:tabs>
          <w:tab w:val="clear" w:pos="425"/>
        </w:tabs>
        <w:ind w:left="709"/>
        <w:rPr>
          <w:sz w:val="12"/>
          <w:szCs w:val="16"/>
        </w:rPr>
      </w:pPr>
      <w:r w:rsidRPr="00DC1A5F">
        <w:rPr>
          <w:sz w:val="12"/>
          <w:szCs w:val="16"/>
        </w:rPr>
        <w:tab/>
      </w:r>
      <w:r w:rsidRPr="00DC1A5F">
        <w:rPr>
          <w:sz w:val="12"/>
          <w:szCs w:val="16"/>
        </w:rPr>
        <w:tab/>
        <w:t xml:space="preserve">Dispone de esta generación; </w:t>
      </w:r>
    </w:p>
    <w:p w14:paraId="03F0EC31" w14:textId="77777777" w:rsidR="00597DE2" w:rsidRPr="00DC1A5F" w:rsidRDefault="00597DE2" w:rsidP="00597DE2">
      <w:pPr>
        <w:pStyle w:val="VersoIngls01Sangria"/>
        <w:tabs>
          <w:tab w:val="clear" w:pos="425"/>
        </w:tabs>
        <w:ind w:left="709"/>
        <w:rPr>
          <w:sz w:val="12"/>
          <w:szCs w:val="16"/>
        </w:rPr>
      </w:pPr>
      <w:r w:rsidRPr="00DC1A5F">
        <w:rPr>
          <w:sz w:val="12"/>
          <w:szCs w:val="16"/>
        </w:rPr>
        <w:tab/>
      </w:r>
      <w:r w:rsidRPr="00DC1A5F">
        <w:rPr>
          <w:sz w:val="12"/>
          <w:szCs w:val="16"/>
        </w:rPr>
        <w:tab/>
        <w:t xml:space="preserve">El tiempo vela por los que duermen; </w:t>
      </w:r>
    </w:p>
    <w:p w14:paraId="4CA1D942" w14:textId="77777777" w:rsidR="00597DE2" w:rsidRPr="00DC1A5F" w:rsidRDefault="00597DE2" w:rsidP="00597DE2">
      <w:pPr>
        <w:pStyle w:val="VersoIngls01Sangria"/>
        <w:tabs>
          <w:tab w:val="clear" w:pos="425"/>
        </w:tabs>
        <w:ind w:left="709"/>
        <w:rPr>
          <w:sz w:val="12"/>
          <w:szCs w:val="16"/>
        </w:rPr>
      </w:pPr>
      <w:r w:rsidRPr="00DC1A5F">
        <w:rPr>
          <w:sz w:val="12"/>
          <w:szCs w:val="16"/>
        </w:rPr>
        <w:tab/>
      </w:r>
      <w:r w:rsidRPr="00DC1A5F">
        <w:rPr>
          <w:sz w:val="12"/>
          <w:szCs w:val="16"/>
        </w:rPr>
        <w:tab/>
        <w:t>Aventajar al tiempo es realmente difícil.</w:t>
      </w:r>
    </w:p>
    <w:p w14:paraId="7818A16C" w14:textId="77777777" w:rsidR="00597DE2" w:rsidRPr="00DC1A5F" w:rsidRDefault="00597DE2" w:rsidP="00597DE2">
      <w:pPr>
        <w:pStyle w:val="VersoIngls01Sangria"/>
        <w:ind w:left="284"/>
        <w:rPr>
          <w:sz w:val="12"/>
          <w:szCs w:val="16"/>
        </w:rPr>
      </w:pPr>
    </w:p>
    <w:p w14:paraId="63F5B461" w14:textId="77777777" w:rsidR="00597DE2" w:rsidRPr="00DC1A5F" w:rsidRDefault="00597DE2" w:rsidP="00597DE2">
      <w:pPr>
        <w:pStyle w:val="PiedepginaLegal"/>
        <w:rPr>
          <w:color w:val="auto"/>
          <w:u w:color="000000"/>
        </w:rPr>
      </w:pPr>
      <w:r w:rsidRPr="00DC1A5F">
        <w:tab/>
      </w:r>
      <w:r w:rsidRPr="00DC1A5F">
        <w:rPr>
          <w:color w:val="833C0B" w:themeColor="accent2" w:themeShade="80"/>
          <w:u w:color="000000"/>
        </w:rPr>
        <w:tab/>
      </w:r>
      <w:r w:rsidRPr="00DC1A5F">
        <w:rPr>
          <w:color w:val="auto"/>
          <w:u w:color="000000"/>
        </w:rPr>
        <w:t>Aquellos que sostengan la teoría de la Naturaleza (</w:t>
      </w:r>
      <w:proofErr w:type="spellStart"/>
      <w:r w:rsidRPr="00DC1A5F">
        <w:rPr>
          <w:i/>
          <w:iCs/>
          <w:color w:val="auto"/>
          <w:u w:color="000000"/>
        </w:rPr>
        <w:t>sabhāva</w:t>
      </w:r>
      <w:proofErr w:type="spellEnd"/>
      <w:r w:rsidRPr="00DC1A5F">
        <w:rPr>
          <w:color w:val="auto"/>
          <w:u w:color="000000"/>
        </w:rPr>
        <w:t>—esencia individual) dicen: ‘El mundo surge y desaparece (</w:t>
      </w:r>
      <w:proofErr w:type="spellStart"/>
      <w:r w:rsidRPr="00DC1A5F">
        <w:rPr>
          <w:i/>
          <w:iCs/>
          <w:color w:val="auto"/>
          <w:u w:color="000000"/>
        </w:rPr>
        <w:t>sambhoti</w:t>
      </w:r>
      <w:proofErr w:type="spellEnd"/>
      <w:r w:rsidRPr="00DC1A5F">
        <w:rPr>
          <w:i/>
          <w:iCs/>
          <w:color w:val="auto"/>
          <w:u w:color="000000"/>
        </w:rPr>
        <w:t xml:space="preserve"> </w:t>
      </w:r>
      <w:proofErr w:type="spellStart"/>
      <w:r w:rsidRPr="00DC1A5F">
        <w:rPr>
          <w:i/>
          <w:iCs/>
          <w:color w:val="auto"/>
          <w:u w:color="000000"/>
        </w:rPr>
        <w:t>vibhoti</w:t>
      </w:r>
      <w:proofErr w:type="spellEnd"/>
      <w:r w:rsidRPr="00DC1A5F">
        <w:rPr>
          <w:i/>
          <w:iCs/>
          <w:color w:val="auto"/>
          <w:u w:color="000000"/>
        </w:rPr>
        <w:t xml:space="preserve"> ca</w:t>
      </w:r>
      <w:r w:rsidRPr="00DC1A5F">
        <w:rPr>
          <w:color w:val="auto"/>
          <w:u w:color="000000"/>
        </w:rPr>
        <w:t xml:space="preserve">) precisamente por su naturaleza (esencia individual), como la </w:t>
      </w:r>
      <w:proofErr w:type="gramStart"/>
      <w:r w:rsidRPr="00DC1A5F">
        <w:rPr>
          <w:color w:val="auto"/>
          <w:u w:color="000000"/>
        </w:rPr>
        <w:t>naturaleza  (</w:t>
      </w:r>
      <w:proofErr w:type="gramEnd"/>
      <w:r w:rsidRPr="00DC1A5F">
        <w:rPr>
          <w:color w:val="auto"/>
          <w:u w:color="000000"/>
        </w:rPr>
        <w:t>esencia) afilada de las espinas, como la redondez de la madera de un manzano (</w:t>
      </w:r>
      <w:proofErr w:type="spellStart"/>
      <w:r w:rsidRPr="00DC1A5F">
        <w:rPr>
          <w:i/>
          <w:iCs/>
          <w:color w:val="auto"/>
          <w:u w:color="000000"/>
        </w:rPr>
        <w:t>kabiṭṭha</w:t>
      </w:r>
      <w:proofErr w:type="spellEnd"/>
      <w:r w:rsidRPr="00DC1A5F">
        <w:rPr>
          <w:color w:val="auto"/>
          <w:u w:color="000000"/>
        </w:rPr>
        <w:t xml:space="preserve"> = </w:t>
      </w:r>
      <w:proofErr w:type="spellStart"/>
      <w:r w:rsidRPr="00DC1A5F">
        <w:rPr>
          <w:i/>
          <w:iCs/>
          <w:color w:val="auto"/>
          <w:u w:color="000000"/>
        </w:rPr>
        <w:t>Feronia</w:t>
      </w:r>
      <w:proofErr w:type="spellEnd"/>
      <w:r w:rsidRPr="00DC1A5F">
        <w:rPr>
          <w:i/>
          <w:iCs/>
          <w:color w:val="auto"/>
          <w:u w:color="000000"/>
        </w:rPr>
        <w:t xml:space="preserve"> </w:t>
      </w:r>
      <w:proofErr w:type="spellStart"/>
      <w:r w:rsidRPr="00DC1A5F">
        <w:rPr>
          <w:i/>
          <w:iCs/>
          <w:color w:val="auto"/>
          <w:u w:color="000000"/>
        </w:rPr>
        <w:t>elephantum</w:t>
      </w:r>
      <w:proofErr w:type="spellEnd"/>
      <w:r w:rsidRPr="00DC1A5F">
        <w:rPr>
          <w:color w:val="auto"/>
          <w:u w:color="000000"/>
        </w:rPr>
        <w:t>), como la variedad de las bestias salvajes, los pájaros, las serpientes, etc.’ La palabra, ‘etc.’ se refiere a aquellos que predican el fatalismo y dicen: la ocurrencia del mundo es debida a los átomos. Todo es debido a las causas efectuadas en el pasado. El mundo está</w:t>
      </w:r>
    </w:p>
    <w:p w14:paraId="6415C8B9" w14:textId="77777777" w:rsidR="00597DE2" w:rsidRPr="00DC1A5F" w:rsidRDefault="00597DE2" w:rsidP="00597DE2">
      <w:pPr>
        <w:pStyle w:val="PiedepginaLegal"/>
      </w:pPr>
    </w:p>
    <w:p w14:paraId="32C25918" w14:textId="77777777" w:rsidR="00597DE2" w:rsidRPr="00DC1A5F" w:rsidRDefault="00597DE2" w:rsidP="00597DE2">
      <w:pPr>
        <w:pStyle w:val="PiedepginaLegal"/>
      </w:pPr>
      <w:r w:rsidRPr="00DC1A5F">
        <w:br w:type="page"/>
      </w:r>
    </w:p>
    <w:p w14:paraId="64E0B92B" w14:textId="77777777" w:rsidR="00597DE2" w:rsidRPr="00DC1A5F" w:rsidRDefault="00597DE2" w:rsidP="00597DE2">
      <w:pPr>
        <w:pStyle w:val="Textoindependiente"/>
      </w:pPr>
      <w:r w:rsidRPr="00DC1A5F">
        <w:lastRenderedPageBreak/>
        <w:t>del sendero se anticipará a teorías incorrectas sobre las retribuciones que ocurran al adoptar como el sendero de la purificación lo que no sea el sendero de la purificación consistente de la devoción en la indulgencia en los placeres del deseo sensorial y la auto mortificación. Por eso. se dice al respecto:</w:t>
      </w:r>
    </w:p>
    <w:p w14:paraId="1C2CA374" w14:textId="77777777" w:rsidR="00597DE2" w:rsidRPr="00DC1A5F" w:rsidRDefault="00597DE2" w:rsidP="00597DE2">
      <w:pPr>
        <w:pStyle w:val="VersoIngls01Sangria"/>
        <w:rPr>
          <w:sz w:val="16"/>
          <w:szCs w:val="20"/>
        </w:rPr>
      </w:pPr>
      <w:r w:rsidRPr="00DC1A5F">
        <w:rPr>
          <w:sz w:val="16"/>
          <w:szCs w:val="20"/>
        </w:rPr>
        <w:t>Mientras un hombre divague sobre el mundo.</w:t>
      </w:r>
    </w:p>
    <w:p w14:paraId="77876424" w14:textId="77777777" w:rsidR="00597DE2" w:rsidRPr="00DC1A5F" w:rsidRDefault="00597DE2" w:rsidP="00597DE2">
      <w:pPr>
        <w:pStyle w:val="VersoIngls01Sangria"/>
        <w:rPr>
          <w:sz w:val="16"/>
          <w:szCs w:val="20"/>
        </w:rPr>
      </w:pPr>
      <w:r w:rsidRPr="00DC1A5F">
        <w:rPr>
          <w:sz w:val="16"/>
          <w:szCs w:val="20"/>
        </w:rPr>
        <w:t>Sobre su origen, sobre su cesación.</w:t>
      </w:r>
    </w:p>
    <w:p w14:paraId="2019B277" w14:textId="77777777" w:rsidR="00597DE2" w:rsidRPr="00DC1A5F" w:rsidRDefault="00597DE2" w:rsidP="00597DE2">
      <w:pPr>
        <w:pStyle w:val="VersoIngls01Sangria"/>
        <w:rPr>
          <w:sz w:val="16"/>
          <w:szCs w:val="20"/>
        </w:rPr>
      </w:pPr>
      <w:r w:rsidRPr="00DC1A5F">
        <w:rPr>
          <w:sz w:val="16"/>
          <w:szCs w:val="20"/>
        </w:rPr>
        <w:t>Sobre los medios que conduzcan a su cesación.</w:t>
      </w:r>
    </w:p>
    <w:p w14:paraId="14E03C9A" w14:textId="77777777" w:rsidR="00597DE2" w:rsidRPr="00DC1A5F" w:rsidRDefault="00597DE2" w:rsidP="00597DE2">
      <w:pPr>
        <w:pStyle w:val="VersoIngls01Sangria"/>
        <w:spacing w:after="100"/>
        <w:ind w:left="1418"/>
        <w:rPr>
          <w:sz w:val="16"/>
          <w:szCs w:val="20"/>
        </w:rPr>
      </w:pPr>
      <w:r w:rsidRPr="00DC1A5F">
        <w:rPr>
          <w:sz w:val="16"/>
          <w:szCs w:val="20"/>
        </w:rPr>
        <w:t>Mientras tanto, no podrá reconocer las verdades.</w:t>
      </w:r>
    </w:p>
    <w:p w14:paraId="79818A5A" w14:textId="77777777" w:rsidR="00597DE2" w:rsidRPr="00DC1A5F" w:rsidRDefault="00597DE2" w:rsidP="00597DE2">
      <w:pPr>
        <w:pStyle w:val="NormalConSangria"/>
      </w:pPr>
      <w:r w:rsidRPr="00DC1A5F">
        <w:t>Así deberá entenderse aquí la exposición en cuanto a la función del conocimiento.</w:t>
      </w:r>
    </w:p>
    <w:p w14:paraId="79A5978D" w14:textId="77777777" w:rsidR="00597DE2" w:rsidRPr="00DC1A5F" w:rsidRDefault="00597DE2" w:rsidP="00597DE2">
      <w:r w:rsidRPr="00DC1A5F">
        <w:t xml:space="preserve">86. </w:t>
      </w:r>
      <w:r w:rsidRPr="00DC1A5F">
        <w:tab/>
      </w:r>
      <w:r w:rsidRPr="00DC1A5F">
        <w:rPr>
          <w:i/>
          <w:iCs/>
        </w:rPr>
        <w:t>10</w:t>
      </w:r>
      <w:r w:rsidRPr="00DC1A5F">
        <w:t xml:space="preserve">. </w:t>
      </w:r>
      <w:r w:rsidRPr="00DC1A5F">
        <w:rPr>
          <w:i/>
          <w:iCs/>
        </w:rPr>
        <w:t>En cuanto a la división del contentamiento</w:t>
      </w:r>
      <w:r w:rsidRPr="00DC1A5F">
        <w:t xml:space="preserve">: todos los estados excepto el deseo y los estados libres de corrupciones están incluidos en la </w:t>
      </w:r>
      <w:r w:rsidRPr="00DC1A5F">
        <w:rPr>
          <w:i/>
          <w:iCs/>
        </w:rPr>
        <w:t>verdad del sufrimiento</w:t>
      </w:r>
      <w:r w:rsidRPr="00DC1A5F">
        <w:t>. Los 36 modos de comportamiento del deseo</w:t>
      </w:r>
      <w:r w:rsidRPr="00DC1A5F">
        <w:rPr>
          <w:vertAlign w:val="superscript"/>
        </w:rPr>
        <w:t>24</w:t>
      </w:r>
      <w:r w:rsidRPr="00DC1A5F">
        <w:t xml:space="preserve"> están incluidos en la verdad del origen del sufrimiento. La </w:t>
      </w:r>
      <w:r w:rsidRPr="00DC1A5F">
        <w:rPr>
          <w:i/>
          <w:iCs/>
        </w:rPr>
        <w:t>verdad de la cesación</w:t>
      </w:r>
      <w:r w:rsidRPr="00DC1A5F">
        <w:t xml:space="preserve"> es pura. En cuanto a la </w:t>
      </w:r>
      <w:r w:rsidRPr="00DC1A5F">
        <w:rPr>
          <w:i/>
          <w:iCs/>
        </w:rPr>
        <w:t>verdad del sendero</w:t>
      </w:r>
      <w:r w:rsidRPr="00DC1A5F">
        <w:t xml:space="preserve">: el término de la </w:t>
      </w:r>
      <w:r w:rsidRPr="00DC1A5F">
        <w:rPr>
          <w:i/>
          <w:iCs/>
        </w:rPr>
        <w:t>visión correcta</w:t>
      </w:r>
      <w:r w:rsidRPr="00DC1A5F">
        <w:t xml:space="preserve"> incluye el cuarto sendero hacia el poder consistente de la investigación, la facultad del entendimiento, el poder del entendimiento y el factor de la iluminación de la investigación–de–los–estados. El término </w:t>
      </w:r>
      <w:r w:rsidRPr="00DC1A5F">
        <w:rPr>
          <w:i/>
          <w:iCs/>
        </w:rPr>
        <w:t>pensamiento correcto</w:t>
      </w:r>
      <w:r w:rsidRPr="00DC1A5F">
        <w:t xml:space="preserve"> incluye los tres tipos de aplicación mental comenzando con el de la renunciación (D III 215). El término </w:t>
      </w:r>
      <w:r w:rsidRPr="00DC1A5F">
        <w:rPr>
          <w:i/>
          <w:iCs/>
        </w:rPr>
        <w:t>lenguaje correcto</w:t>
      </w:r>
      <w:r w:rsidRPr="00DC1A5F">
        <w:t xml:space="preserve"> incluye los cuatro tipos de buena conducta verbal (A II 131). El término </w:t>
      </w:r>
      <w:r w:rsidRPr="00DC1A5F">
        <w:rPr>
          <w:i/>
          <w:iCs/>
        </w:rPr>
        <w:t>acción correcta</w:t>
      </w:r>
      <w:r w:rsidRPr="00DC1A5F">
        <w:t xml:space="preserve"> incluye las tres clases de buena conducta física cf. M I 287). El término del </w:t>
      </w:r>
      <w:r w:rsidRPr="00DC1A5F">
        <w:rPr>
          <w:i/>
          <w:iCs/>
        </w:rPr>
        <w:t>sustento correcto</w:t>
      </w:r>
      <w:r w:rsidRPr="00DC1A5F">
        <w:t xml:space="preserve"> incluye la carencia de deseos y satisfacción. O estos tres constituyen la virtud amada por los Nobles y la virtud amada por ellos tiene que ser abrazada por la mano de la fe; consecuentemente la facultad de la fe, el poder de la fe y el sendero hacia el poder consistente del celo estarán incluidos debido a la presencia de estos tres. El término </w:t>
      </w:r>
      <w:r w:rsidRPr="00DC1A5F">
        <w:rPr>
          <w:i/>
          <w:iCs/>
        </w:rPr>
        <w:t xml:space="preserve">esfuerzo correcto </w:t>
      </w:r>
      <w:r w:rsidRPr="00DC1A5F">
        <w:t xml:space="preserve">consta de los 4 emprendimientos correctos, la facultad de la energía, el poder de la energía y el factor de la iluminación de la energía. El término </w:t>
      </w:r>
      <w:r w:rsidRPr="00DC1A5F">
        <w:rPr>
          <w:i/>
          <w:iCs/>
        </w:rPr>
        <w:t>atención correcta</w:t>
      </w:r>
      <w:r w:rsidRPr="00DC1A5F">
        <w:t xml:space="preserve"> está constituido por (i) los cuatro fundamentos de la atención, (</w:t>
      </w:r>
      <w:proofErr w:type="spellStart"/>
      <w:r w:rsidRPr="00DC1A5F">
        <w:t>ii</w:t>
      </w:r>
      <w:proofErr w:type="spellEnd"/>
      <w:r w:rsidRPr="00DC1A5F">
        <w:t>) la facultad de la atención, (</w:t>
      </w:r>
      <w:proofErr w:type="spellStart"/>
      <w:r w:rsidRPr="00DC1A5F">
        <w:t>iii</w:t>
      </w:r>
      <w:proofErr w:type="spellEnd"/>
      <w:r w:rsidRPr="00DC1A5F">
        <w:t>) el poder de la atención y (</w:t>
      </w:r>
      <w:proofErr w:type="spellStart"/>
      <w:r w:rsidRPr="00DC1A5F">
        <w:t>iv</w:t>
      </w:r>
      <w:proofErr w:type="spellEnd"/>
      <w:r w:rsidRPr="00DC1A5F">
        <w:t xml:space="preserve">) el factor de la iluminación de la atención. </w:t>
      </w:r>
    </w:p>
    <w:p w14:paraId="60B3FBF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3D6741E" w14:textId="77777777" w:rsidR="00597DE2" w:rsidRPr="00DC1A5F" w:rsidRDefault="00597DE2" w:rsidP="00597DE2">
      <w:pPr>
        <w:pStyle w:val="PiedepginaLegal"/>
      </w:pPr>
      <w:r w:rsidRPr="00DC1A5F">
        <w:t>…</w:t>
      </w:r>
      <w:r w:rsidRPr="00DC1A5F">
        <w:tab/>
        <w:t>determinado, como las gemas perforadas y ensartadas en una cuerda continua. No existe nada que pueda hacer un hombre al respecto’; y a los que predican la casualidad: Es por medio de la casualidad que ocurren las cosas,</w:t>
      </w:r>
    </w:p>
    <w:p w14:paraId="05319BFD" w14:textId="77777777" w:rsidR="00597DE2" w:rsidRPr="00DC1A5F" w:rsidRDefault="00597DE2" w:rsidP="00597DE2">
      <w:pPr>
        <w:pStyle w:val="PiedepginaLegal"/>
        <w:spacing w:after="0"/>
        <w:ind w:left="2270"/>
        <w:rPr>
          <w:sz w:val="12"/>
          <w:szCs w:val="20"/>
        </w:rPr>
      </w:pPr>
      <w:r w:rsidRPr="00DC1A5F">
        <w:rPr>
          <w:sz w:val="12"/>
          <w:szCs w:val="20"/>
        </w:rPr>
        <w:t>Por medio de la casualidad también que éstas no ocurren;</w:t>
      </w:r>
    </w:p>
    <w:p w14:paraId="5B39DA67" w14:textId="77777777" w:rsidR="00597DE2" w:rsidRPr="00DC1A5F" w:rsidRDefault="00597DE2" w:rsidP="00597DE2">
      <w:pPr>
        <w:pStyle w:val="PiedepginaLegal"/>
        <w:spacing w:after="0"/>
        <w:ind w:left="2270"/>
        <w:rPr>
          <w:sz w:val="12"/>
          <w:szCs w:val="20"/>
        </w:rPr>
      </w:pPr>
      <w:r w:rsidRPr="00DC1A5F">
        <w:rPr>
          <w:sz w:val="12"/>
          <w:szCs w:val="20"/>
        </w:rPr>
        <w:t>El placer y el dolor se deben al azar,</w:t>
      </w:r>
    </w:p>
    <w:p w14:paraId="557C82AD" w14:textId="77777777" w:rsidR="00597DE2" w:rsidRPr="00DC1A5F" w:rsidRDefault="00597DE2" w:rsidP="00597DE2">
      <w:pPr>
        <w:pStyle w:val="PiedepginaLegal"/>
        <w:spacing w:after="0"/>
        <w:ind w:left="2270"/>
        <w:rPr>
          <w:sz w:val="12"/>
          <w:szCs w:val="20"/>
        </w:rPr>
      </w:pPr>
      <w:r w:rsidRPr="00DC1A5F">
        <w:rPr>
          <w:sz w:val="12"/>
          <w:szCs w:val="20"/>
        </w:rPr>
        <w:t>Esta generación vive por medio de una casualidad;</w:t>
      </w:r>
    </w:p>
    <w:p w14:paraId="24ADF7D9" w14:textId="77777777" w:rsidR="00597DE2" w:rsidRPr="00DC1A5F" w:rsidRDefault="00597DE2" w:rsidP="00597DE2">
      <w:pPr>
        <w:pStyle w:val="PiedepginaLegal"/>
        <w:spacing w:after="0"/>
        <w:ind w:left="2270"/>
        <w:rPr>
          <w:sz w:val="12"/>
          <w:szCs w:val="20"/>
        </w:rPr>
      </w:pPr>
      <w:r w:rsidRPr="00DC1A5F">
        <w:rPr>
          <w:sz w:val="12"/>
          <w:szCs w:val="20"/>
        </w:rPr>
        <w:t>y los que predican la liberación lo hacen por casualidad.</w:t>
      </w:r>
    </w:p>
    <w:p w14:paraId="410A00DF" w14:textId="77777777" w:rsidR="00597DE2" w:rsidRPr="00DC1A5F" w:rsidRDefault="00597DE2" w:rsidP="00597DE2">
      <w:pPr>
        <w:pStyle w:val="PiedepginaLegal"/>
        <w:spacing w:after="0"/>
        <w:ind w:left="2270"/>
        <w:rPr>
          <w:sz w:val="12"/>
          <w:szCs w:val="20"/>
        </w:rPr>
      </w:pPr>
    </w:p>
    <w:p w14:paraId="37D037F7" w14:textId="77777777" w:rsidR="00597DE2" w:rsidRPr="00DC1A5F" w:rsidRDefault="00597DE2" w:rsidP="00597DE2">
      <w:pPr>
        <w:pStyle w:val="PiedepginaLegal"/>
        <w:rPr>
          <w:color w:val="auto"/>
          <w:u w:color="000000"/>
        </w:rPr>
      </w:pPr>
      <w:r w:rsidRPr="00DC1A5F">
        <w:tab/>
      </w:r>
      <w:r w:rsidRPr="00DC1A5F">
        <w:tab/>
        <w:t>“‘</w:t>
      </w:r>
      <w:r w:rsidRPr="00DC1A5F">
        <w:rPr>
          <w:i/>
          <w:iCs/>
        </w:rPr>
        <w:t>Tomando a la liberación final como alcanzar el mundo inmaterial</w:t>
      </w:r>
      <w:r w:rsidRPr="00DC1A5F">
        <w:t xml:space="preserve">” como la filosofía de </w:t>
      </w:r>
      <w:proofErr w:type="spellStart"/>
      <w:r w:rsidRPr="00DC1A5F">
        <w:rPr>
          <w:i/>
          <w:iCs/>
        </w:rPr>
        <w:t>Rāmudaka</w:t>
      </w:r>
      <w:proofErr w:type="spellEnd"/>
      <w:r w:rsidRPr="00DC1A5F">
        <w:t xml:space="preserve">, </w:t>
      </w:r>
      <w:proofErr w:type="spellStart"/>
      <w:r w:rsidRPr="00DC1A5F">
        <w:rPr>
          <w:i/>
          <w:iCs/>
        </w:rPr>
        <w:t>Āḷāra</w:t>
      </w:r>
      <w:proofErr w:type="spellEnd"/>
      <w:r w:rsidRPr="00DC1A5F">
        <w:t xml:space="preserve"> (ver MN 26), etc., o ‘un Ápice Estelar (Santuario Estelar —</w:t>
      </w:r>
      <w:proofErr w:type="spellStart"/>
      <w:r w:rsidRPr="00DC1A5F">
        <w:rPr>
          <w:i/>
          <w:iCs/>
        </w:rPr>
        <w:t>lokathūpika</w:t>
      </w:r>
      <w:proofErr w:type="spellEnd"/>
      <w:r w:rsidRPr="00DC1A5F">
        <w:t xml:space="preserve">)’ </w:t>
      </w:r>
      <w:proofErr w:type="spellStart"/>
      <w:r w:rsidRPr="00DC1A5F">
        <w:t>comoen</w:t>
      </w:r>
      <w:proofErr w:type="spellEnd"/>
      <w:r w:rsidRPr="00DC1A5F">
        <w:t xml:space="preserve"> la filosofía de los </w:t>
      </w:r>
      <w:proofErr w:type="spellStart"/>
      <w:r w:rsidRPr="00DC1A5F">
        <w:rPr>
          <w:i/>
          <w:iCs/>
        </w:rPr>
        <w:t>Nigaṇṭhas</w:t>
      </w:r>
      <w:proofErr w:type="spellEnd"/>
      <w:r w:rsidRPr="00DC1A5F">
        <w:t xml:space="preserve"> (</w:t>
      </w:r>
      <w:r w:rsidRPr="00DC1A5F">
        <w:rPr>
          <w:color w:val="auto"/>
          <w:u w:color="000000"/>
        </w:rPr>
        <w:t>Jainistas). Y por medio de la palabra, ‘</w:t>
      </w:r>
      <w:r w:rsidRPr="00DC1A5F">
        <w:rPr>
          <w:i/>
          <w:iCs/>
          <w:color w:val="auto"/>
          <w:u w:color="000000"/>
        </w:rPr>
        <w:t>etc</w:t>
      </w:r>
      <w:r w:rsidRPr="00DC1A5F">
        <w:rPr>
          <w:color w:val="auto"/>
          <w:u w:color="000000"/>
        </w:rPr>
        <w:t>.’ se incluirán también a los predicadores del ‘</w:t>
      </w:r>
      <w:r w:rsidRPr="00DC1A5F">
        <w:rPr>
          <w:i/>
          <w:iCs/>
          <w:color w:val="auto"/>
          <w:u w:color="000000"/>
        </w:rPr>
        <w:t>Nibbāna</w:t>
      </w:r>
      <w:r w:rsidRPr="00DC1A5F">
        <w:rPr>
          <w:color w:val="auto"/>
          <w:u w:color="000000"/>
        </w:rPr>
        <w:t xml:space="preserve"> del aquí y ahora’ como el establecimiento del alma en sí misma cuando se hayan disociado de las cualidades (</w:t>
      </w:r>
      <w:proofErr w:type="spellStart"/>
      <w:r w:rsidRPr="00DC1A5F">
        <w:rPr>
          <w:i/>
          <w:iCs/>
          <w:color w:val="auto"/>
          <w:u w:color="000000"/>
        </w:rPr>
        <w:t>guṇa</w:t>
      </w:r>
      <w:proofErr w:type="spellEnd"/>
      <w:r w:rsidRPr="00DC1A5F">
        <w:rPr>
          <w:color w:val="auto"/>
          <w:u w:color="000000"/>
        </w:rPr>
        <w:t>) debido a la no ocurrencia de un Principio Básico (</w:t>
      </w:r>
      <w:proofErr w:type="spellStart"/>
      <w:r w:rsidRPr="00DC1A5F">
        <w:rPr>
          <w:i/>
          <w:iCs/>
          <w:color w:val="auto"/>
          <w:u w:color="000000"/>
        </w:rPr>
        <w:t>padhāna</w:t>
      </w:r>
      <w:proofErr w:type="spellEnd"/>
      <w:r w:rsidRPr="00DC1A5F">
        <w:rPr>
          <w:color w:val="auto"/>
          <w:u w:color="000000"/>
        </w:rPr>
        <w:t xml:space="preserve">, </w:t>
      </w:r>
      <w:proofErr w:type="spellStart"/>
      <w:r w:rsidRPr="00DC1A5F">
        <w:rPr>
          <w:color w:val="auto"/>
          <w:u w:color="000000"/>
        </w:rPr>
        <w:t>Skr</w:t>
      </w:r>
      <w:proofErr w:type="spellEnd"/>
      <w:r w:rsidRPr="00DC1A5F">
        <w:rPr>
          <w:color w:val="auto"/>
          <w:u w:color="000000"/>
        </w:rPr>
        <w:t xml:space="preserve">. </w:t>
      </w:r>
      <w:proofErr w:type="spellStart"/>
      <w:r w:rsidRPr="00DC1A5F">
        <w:rPr>
          <w:i/>
          <w:iCs/>
          <w:color w:val="auto"/>
          <w:u w:color="000000"/>
        </w:rPr>
        <w:t>pradhāna</w:t>
      </w:r>
      <w:proofErr w:type="spellEnd"/>
      <w:r w:rsidRPr="00DC1A5F">
        <w:rPr>
          <w:color w:val="auto"/>
          <w:u w:color="000000"/>
        </w:rPr>
        <w:t xml:space="preserve">—ver el sistema </w:t>
      </w:r>
      <w:proofErr w:type="spellStart"/>
      <w:r w:rsidRPr="00DC1A5F">
        <w:rPr>
          <w:i/>
          <w:iCs/>
          <w:color w:val="auto"/>
          <w:u w:color="000000"/>
        </w:rPr>
        <w:t>Sāṃkhya</w:t>
      </w:r>
      <w:proofErr w:type="spellEnd"/>
      <w:r w:rsidRPr="00DC1A5F">
        <w:rPr>
          <w:color w:val="auto"/>
          <w:u w:color="000000"/>
        </w:rPr>
        <w:t xml:space="preserve">), y al habitar en el mismo mundo que, en presencia de, o en unión con, un </w:t>
      </w:r>
      <w:r w:rsidRPr="00DC1A5F">
        <w:rPr>
          <w:i/>
          <w:color w:val="auto"/>
          <w:u w:color="000000"/>
        </w:rPr>
        <w:t>Brahmā</w:t>
      </w:r>
      <w:r w:rsidRPr="00DC1A5F">
        <w:rPr>
          <w:color w:val="auto"/>
          <w:u w:color="000000"/>
        </w:rPr>
        <w:t>”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543).</w:t>
      </w:r>
    </w:p>
    <w:p w14:paraId="49FFC71C" w14:textId="77777777" w:rsidR="00597DE2" w:rsidRPr="00DC1A5F" w:rsidRDefault="00597DE2" w:rsidP="00597DE2">
      <w:pPr>
        <w:pStyle w:val="PiedepginaLegal"/>
        <w:numPr>
          <w:ilvl w:val="0"/>
          <w:numId w:val="5"/>
        </w:numPr>
        <w:tabs>
          <w:tab w:val="clear" w:pos="425"/>
        </w:tabs>
        <w:ind w:left="284" w:hanging="284"/>
      </w:pPr>
      <w:r w:rsidRPr="00DC1A5F">
        <w:t>“Los ‘</w:t>
      </w:r>
      <w:r w:rsidRPr="00DC1A5F">
        <w:rPr>
          <w:i/>
          <w:iCs/>
        </w:rPr>
        <w:t>36 modos de comportamiento del deseo’</w:t>
      </w:r>
      <w:r w:rsidRPr="00DC1A5F">
        <w:t xml:space="preserve"> son los 3 deseos: el deseo sensorial, el deseo del devenir y del no―devenir, en cada caso de una de las 12 bases internas y externas; o serán las que se den en el </w:t>
      </w:r>
      <w:proofErr w:type="spellStart"/>
      <w:r w:rsidRPr="00DC1A5F">
        <w:rPr>
          <w:i/>
          <w:iCs/>
        </w:rPr>
        <w:t>Khuddakavatthu</w:t>
      </w:r>
      <w:proofErr w:type="spellEnd"/>
      <w:r w:rsidRPr="00DC1A5F">
        <w:rPr>
          <w:i/>
          <w:iCs/>
        </w:rPr>
        <w:t>–</w:t>
      </w:r>
      <w:proofErr w:type="spellStart"/>
      <w:r w:rsidRPr="00DC1A5F">
        <w:rPr>
          <w:i/>
          <w:iCs/>
        </w:rPr>
        <w:t>Vibhaṅga</w:t>
      </w:r>
      <w:proofErr w:type="spellEnd"/>
      <w:r w:rsidRPr="00DC1A5F">
        <w:t xml:space="preserve"> (</w:t>
      </w:r>
      <w:proofErr w:type="spellStart"/>
      <w:r w:rsidRPr="00DC1A5F">
        <w:t>Vibh</w:t>
      </w:r>
      <w:proofErr w:type="spellEnd"/>
      <w:r w:rsidRPr="00DC1A5F">
        <w:t xml:space="preserve"> 391 y 396), omitiendo los 3 períodos de tiempo, pues con ellos llegarán a ser 108” (</w:t>
      </w:r>
      <w:proofErr w:type="spellStart"/>
      <w:r w:rsidRPr="00DC1A5F">
        <w:t>Vism</w:t>
      </w:r>
      <w:proofErr w:type="spellEnd"/>
      <w:r w:rsidRPr="00DC1A5F">
        <w:t>–</w:t>
      </w:r>
      <w:proofErr w:type="spellStart"/>
      <w:r w:rsidRPr="00DC1A5F">
        <w:t>mhṭ</w:t>
      </w:r>
      <w:proofErr w:type="spellEnd"/>
      <w:r w:rsidRPr="00DC1A5F">
        <w:t xml:space="preserve"> 544). “‘</w:t>
      </w:r>
      <w:r w:rsidRPr="00DC1A5F">
        <w:rPr>
          <w:i/>
          <w:iCs/>
        </w:rPr>
        <w:t>Pensamientos de renunciación, etc</w:t>
      </w:r>
      <w:r w:rsidRPr="00DC1A5F">
        <w:t>.’: en el momento mundano serán los 3 por separado, es decir, la no―codicia, el amor bondadoso y la compasión; estos se dan como uno en el momento del sendero, debido a la destrucción de la codicia, la mala voluntad y la crueldad” (</w:t>
      </w:r>
      <w:proofErr w:type="spellStart"/>
      <w:r w:rsidRPr="00DC1A5F">
        <w:t>Vism</w:t>
      </w:r>
      <w:proofErr w:type="spellEnd"/>
      <w:r w:rsidRPr="00DC1A5F">
        <w:t>–</w:t>
      </w:r>
      <w:proofErr w:type="spellStart"/>
      <w:r w:rsidRPr="00DC1A5F">
        <w:t>mhṭ</w:t>
      </w:r>
      <w:proofErr w:type="spellEnd"/>
      <w:r w:rsidRPr="00DC1A5F">
        <w:t xml:space="preserve"> 544).</w:t>
      </w:r>
    </w:p>
    <w:p w14:paraId="748668D7" w14:textId="77777777" w:rsidR="00597DE2" w:rsidRPr="00DC1A5F" w:rsidRDefault="00597DE2" w:rsidP="00597DE2">
      <w:pPr>
        <w:pStyle w:val="PiedepginaLegal"/>
      </w:pPr>
      <w:r w:rsidRPr="00DC1A5F">
        <w:tab/>
      </w:r>
      <w:r w:rsidRPr="00DC1A5F">
        <w:tab/>
        <w:t>“‘Concentración de la consciencia (</w:t>
      </w:r>
      <w:proofErr w:type="spellStart"/>
      <w:r w:rsidRPr="00DC1A5F">
        <w:rPr>
          <w:i/>
          <w:iCs/>
        </w:rPr>
        <w:t>citta</w:t>
      </w:r>
      <w:proofErr w:type="spellEnd"/>
      <w:r w:rsidRPr="00DC1A5F">
        <w:t>–</w:t>
      </w:r>
      <w:r w:rsidRPr="00DC1A5F">
        <w:rPr>
          <w:i/>
        </w:rPr>
        <w:t>samādhi</w:t>
      </w:r>
      <w:r w:rsidRPr="00DC1A5F">
        <w:t>)’ corresponderá al sendero hacia el poder consistente de la pureza de la consciencia, así lo dicen” (</w:t>
      </w:r>
      <w:proofErr w:type="spellStart"/>
      <w:r w:rsidRPr="00DC1A5F">
        <w:t>Vism</w:t>
      </w:r>
      <w:proofErr w:type="spellEnd"/>
      <w:r w:rsidRPr="00DC1A5F">
        <w:t>–</w:t>
      </w:r>
      <w:proofErr w:type="spellStart"/>
      <w:r w:rsidRPr="00DC1A5F">
        <w:t>mhṭ</w:t>
      </w:r>
      <w:proofErr w:type="spellEnd"/>
      <w:r w:rsidRPr="00DC1A5F">
        <w:t xml:space="preserve"> 544).</w:t>
      </w:r>
      <w:r w:rsidRPr="00DC1A5F">
        <w:br w:type="page"/>
      </w:r>
    </w:p>
    <w:p w14:paraId="637100FB" w14:textId="77777777" w:rsidR="00597DE2" w:rsidRPr="00DC1A5F" w:rsidRDefault="00597DE2" w:rsidP="00597DE2"/>
    <w:p w14:paraId="013F8736" w14:textId="77777777" w:rsidR="00597DE2" w:rsidRPr="00DC1A5F" w:rsidRDefault="00597DE2" w:rsidP="00597DE2">
      <w:pPr>
        <w:pStyle w:val="Textoindependiente"/>
      </w:pPr>
      <w:r w:rsidRPr="00DC1A5F">
        <w:t xml:space="preserve">El término </w:t>
      </w:r>
      <w:r w:rsidRPr="00DC1A5F">
        <w:rPr>
          <w:i/>
          <w:iCs/>
        </w:rPr>
        <w:t>concentración correcta</w:t>
      </w:r>
      <w:r w:rsidRPr="00DC1A5F">
        <w:t xml:space="preserve"> constará de 3 tipos de concentración que comienzan con la que va acompañada de </w:t>
      </w:r>
      <w:proofErr w:type="gramStart"/>
      <w:r w:rsidRPr="00DC1A5F">
        <w:t>aplicación mental y sustentación mental</w:t>
      </w:r>
      <w:proofErr w:type="gramEnd"/>
      <w:r w:rsidRPr="00DC1A5F">
        <w:t xml:space="preserve"> (D III 219), la concentración de la consciencia, la facultad de la concentración, [512] el poder de la concentración y los factores de la iluminación de la felicidad, tranquilidad, concentración, y ecuanimidad.</w:t>
      </w:r>
    </w:p>
    <w:p w14:paraId="7D32D6EA" w14:textId="77777777" w:rsidR="00597DE2" w:rsidRPr="00DC1A5F" w:rsidRDefault="00597DE2" w:rsidP="00597DE2">
      <w:pPr>
        <w:pStyle w:val="NormalConSangria"/>
      </w:pPr>
      <w:r w:rsidRPr="00DC1A5F">
        <w:t>Así debe entenderse la exposición en cuanto a la división de su contenido.</w:t>
      </w:r>
    </w:p>
    <w:p w14:paraId="226BC6F9" w14:textId="77777777" w:rsidR="00597DE2" w:rsidRPr="00DC1A5F" w:rsidRDefault="00597DE2" w:rsidP="00597DE2">
      <w:r w:rsidRPr="00DC1A5F">
        <w:t xml:space="preserve">87. </w:t>
      </w:r>
      <w:r w:rsidRPr="00DC1A5F">
        <w:tab/>
        <w:t xml:space="preserve">11. </w:t>
      </w:r>
      <w:r w:rsidRPr="00DC1A5F">
        <w:rPr>
          <w:i/>
          <w:iCs/>
        </w:rPr>
        <w:t>En cuanto al símil</w:t>
      </w:r>
      <w:r w:rsidRPr="00DC1A5F">
        <w:t>: la verdad del sufrimiento deberá ser considerada como una opresión, la verdad del origen como encargarse de tal opresión, la verdad de la cesación como el abandono de tal opresión, la verdad del sendero como los medios para abandonar tal opresión (ver S III 26), La verdad del sufrimiento deberá ser considerada como una enfermedad, la verdad del origen como la causa de la enfermedad, la verdad de la cesación como la cura de la enfermedad, y la verdad del sendero como la medicina. O la verdad del sufrimiento deberá ser considerada como una hambruna, la verdad del origen como la sequía, la verdad de la cesación como la abundancia y la verdad del sendero como una lluvia oportuna.</w:t>
      </w:r>
    </w:p>
    <w:p w14:paraId="1BBCF622" w14:textId="77777777" w:rsidR="00597DE2" w:rsidRPr="00DC1A5F" w:rsidRDefault="00597DE2" w:rsidP="00597DE2">
      <w:pPr>
        <w:pStyle w:val="NormalConSangria"/>
      </w:pPr>
      <w:r w:rsidRPr="00DC1A5F">
        <w:t xml:space="preserve">Además, estas </w:t>
      </w:r>
      <w:r w:rsidRPr="00DC1A5F">
        <w:rPr>
          <w:color w:val="833C0B" w:themeColor="accent2" w:themeShade="80"/>
        </w:rPr>
        <w:t xml:space="preserve">{cuatro nobles} </w:t>
      </w:r>
      <w:r w:rsidRPr="00DC1A5F">
        <w:t xml:space="preserve">verdades podrán entenderse, </w:t>
      </w:r>
      <w:r w:rsidRPr="00DC1A5F">
        <w:rPr>
          <w:color w:val="833C0B" w:themeColor="accent2" w:themeShade="80"/>
        </w:rPr>
        <w:t>respectivamente</w:t>
      </w:r>
      <w:r w:rsidRPr="00DC1A5F">
        <w:t>, aplicando los siguientes símiles: como una enemistad, como la causa de la enemistad, como la eliminación de la enemistad y como los medios para eliminar tal enemistad; como un árbol venenoso, la raíz del árbol, el aserrado de la raíz y los medios para cortar tal raíz; como el miedo, la causa del miedo, la liberación del miedo y los medios para conseguirlo; como la orilla presente, una gran inundación, la otra orilla y el esfuerzo por alcanzarla.</w:t>
      </w:r>
    </w:p>
    <w:p w14:paraId="3B3B2841" w14:textId="77777777" w:rsidR="00597DE2" w:rsidRPr="00DC1A5F" w:rsidRDefault="00597DE2" w:rsidP="00597DE2">
      <w:pPr>
        <w:pStyle w:val="NormalConSangria"/>
      </w:pPr>
      <w:r w:rsidRPr="00DC1A5F">
        <w:t>Así deberá entenderse la exposición en cuanto al símil.</w:t>
      </w:r>
    </w:p>
    <w:p w14:paraId="67841E67" w14:textId="77777777" w:rsidR="00597DE2" w:rsidRPr="00DC1A5F" w:rsidRDefault="00597DE2" w:rsidP="00597DE2">
      <w:r w:rsidRPr="00DC1A5F">
        <w:t xml:space="preserve">88. </w:t>
      </w:r>
      <w:r w:rsidRPr="00DC1A5F">
        <w:tab/>
        <w:t xml:space="preserve">12. </w:t>
      </w:r>
      <w:r w:rsidRPr="00DC1A5F">
        <w:rPr>
          <w:i/>
          <w:iCs/>
        </w:rPr>
        <w:t>En cuanto a la tétrada</w:t>
      </w:r>
      <w:r w:rsidRPr="00DC1A5F">
        <w:t>: (a) existe un sufrimiento que no corresponde a una noble verdad, (b) existe una noble verdad que no corresponde al sufrimiento, (c) existe un sufrimiento y una noble verdad, y (d) existe lo que no sea sufrimiento ni noble verdad. Así también será con el origen del sufrimiento y lo restante.</w:t>
      </w:r>
    </w:p>
    <w:p w14:paraId="528F389F" w14:textId="77777777" w:rsidR="00597DE2" w:rsidRPr="00DC1A5F" w:rsidRDefault="00597DE2" w:rsidP="00597DE2">
      <w:r w:rsidRPr="00DC1A5F">
        <w:t xml:space="preserve">89. </w:t>
      </w:r>
      <w:r w:rsidRPr="00DC1A5F">
        <w:tab/>
        <w:t xml:space="preserve">Aquí, (a) aunque los estados asociados con el sendero y los frutos del ascetismo sean sufrimiento debido a las formaciones (ver §35), no obstante, debido a las palabras, “Lo que sea impermanente será doloroso” (S II 53; III 22), todavía así, no corresponderá a la noble verdad del sufrimiento, (b) La cesación corresponderá a una noble verdad, pero no al sufrimiento, (c) Las otras dos nobles verdades podrán ser sufrimiento porque podrían ser transitorias, pero no lo serán tanto en el sentido real por ser aquello en virtud de cuyo pleno entendimiento (ver §28) se vivirá la vida de pureza bajo instrucción del </w:t>
      </w:r>
      <w:r w:rsidRPr="00DC1A5F">
        <w:rPr>
          <w:i/>
          <w:iCs/>
        </w:rPr>
        <w:t>Bhagavā</w:t>
      </w:r>
      <w:r w:rsidRPr="00DC1A5F">
        <w:t xml:space="preserve">. Los cinco agregados como objetos del apego, excepto por el deseo, son en todos aspectos sufrimiento y una noble verdad. [513] (d) Los estados asociados con el sendero y los frutos del ascetismo no son sufrimiento en el sentido real por ser aquello en virtud de cuyo pleno entendimiento se vivirá la vida de pureza bajo instrucción del </w:t>
      </w:r>
      <w:r w:rsidRPr="00DC1A5F">
        <w:rPr>
          <w:i/>
          <w:iCs/>
        </w:rPr>
        <w:t>Bhagavā</w:t>
      </w:r>
      <w:r w:rsidRPr="00DC1A5F">
        <w:t>, pero tampoco corresponderá a una noble verdad. El origen, la cesación etc., también deberá interpretarse en la forma correspondiente. Así deberá entenderse aquí la exposición en cuanto a la tétrada mencionada.</w:t>
      </w:r>
    </w:p>
    <w:p w14:paraId="5B7C187B" w14:textId="77777777" w:rsidR="00597DE2" w:rsidRPr="00DC1A5F" w:rsidRDefault="00597DE2" w:rsidP="00597DE2">
      <w:r w:rsidRPr="00DC1A5F">
        <w:t>90.</w:t>
      </w:r>
      <w:r w:rsidRPr="00DC1A5F">
        <w:tab/>
        <w:t xml:space="preserve"> 13. </w:t>
      </w:r>
      <w:r w:rsidRPr="00DC1A5F">
        <w:rPr>
          <w:i/>
          <w:iCs/>
        </w:rPr>
        <w:t>En cuanto al vacío, de una clase, etc</w:t>
      </w:r>
      <w:r w:rsidRPr="00DC1A5F">
        <w:t xml:space="preserve">.: en primer lugar, </w:t>
      </w:r>
      <w:r w:rsidRPr="00DC1A5F">
        <w:rPr>
          <w:i/>
          <w:iCs/>
        </w:rPr>
        <w:t>en cuanto al vacío</w:t>
      </w:r>
      <w:r w:rsidRPr="00DC1A5F">
        <w:t>: en el sentido último, todas las verdades deberán entenderse como vacías debido a la ausencia de (i) cualquier experimentador, (</w:t>
      </w:r>
      <w:proofErr w:type="spellStart"/>
      <w:r w:rsidRPr="00DC1A5F">
        <w:t>ii</w:t>
      </w:r>
      <w:proofErr w:type="spellEnd"/>
      <w:r w:rsidRPr="00DC1A5F">
        <w:t xml:space="preserve">) cualquier perpetrador, </w:t>
      </w:r>
      <w:proofErr w:type="gramStart"/>
      <w:r w:rsidRPr="00DC1A5F">
        <w:t xml:space="preserve">( </w:t>
      </w:r>
      <w:proofErr w:type="spellStart"/>
      <w:r w:rsidRPr="00DC1A5F">
        <w:t>iii</w:t>
      </w:r>
      <w:proofErr w:type="spellEnd"/>
      <w:proofErr w:type="gramEnd"/>
      <w:r w:rsidRPr="00DC1A5F">
        <w:t>) alguien que se extinga, y (</w:t>
      </w:r>
      <w:proofErr w:type="spellStart"/>
      <w:r w:rsidRPr="00DC1A5F">
        <w:t>iv</w:t>
      </w:r>
      <w:proofErr w:type="spellEnd"/>
      <w:r w:rsidRPr="00DC1A5F">
        <w:t>) cualquier caminante. Por eso se dice al respecto:</w:t>
      </w:r>
    </w:p>
    <w:p w14:paraId="42C41607" w14:textId="77777777" w:rsidR="00597DE2" w:rsidRPr="00DC1A5F" w:rsidRDefault="00597DE2" w:rsidP="00597DE2">
      <w:pPr>
        <w:tabs>
          <w:tab w:val="clear" w:pos="425"/>
        </w:tabs>
        <w:spacing w:after="160"/>
      </w:pPr>
      <w:r w:rsidRPr="00DC1A5F">
        <w:br w:type="page"/>
      </w:r>
    </w:p>
    <w:p w14:paraId="778DE13B" w14:textId="77777777" w:rsidR="00597DE2" w:rsidRPr="00DC1A5F" w:rsidRDefault="00597DE2" w:rsidP="00597DE2"/>
    <w:p w14:paraId="19069AB5" w14:textId="77777777" w:rsidR="00597DE2" w:rsidRPr="00DC1A5F" w:rsidRDefault="00597DE2" w:rsidP="00597DE2">
      <w:pPr>
        <w:pStyle w:val="VersoIngls01Sangria"/>
        <w:rPr>
          <w:sz w:val="16"/>
          <w:szCs w:val="20"/>
        </w:rPr>
      </w:pPr>
      <w:r w:rsidRPr="00DC1A5F">
        <w:rPr>
          <w:sz w:val="16"/>
          <w:szCs w:val="20"/>
        </w:rPr>
        <w:t>Ya que existe el sufrimiento, pero no quien lo sufra;</w:t>
      </w:r>
    </w:p>
    <w:p w14:paraId="2D69D86A" w14:textId="77777777" w:rsidR="00597DE2" w:rsidRPr="00DC1A5F" w:rsidRDefault="00597DE2" w:rsidP="00597DE2">
      <w:pPr>
        <w:pStyle w:val="VersoIngls01Sangria"/>
        <w:rPr>
          <w:sz w:val="16"/>
          <w:szCs w:val="20"/>
        </w:rPr>
      </w:pPr>
      <w:r w:rsidRPr="00DC1A5F">
        <w:rPr>
          <w:sz w:val="16"/>
          <w:szCs w:val="20"/>
        </w:rPr>
        <w:t>Existirá su producción, aunque no su productor.</w:t>
      </w:r>
    </w:p>
    <w:p w14:paraId="50A018FF" w14:textId="77777777" w:rsidR="00597DE2" w:rsidRPr="00DC1A5F" w:rsidRDefault="00597DE2" w:rsidP="00597DE2">
      <w:pPr>
        <w:pStyle w:val="VersoIngls01Sangria"/>
        <w:rPr>
          <w:sz w:val="16"/>
          <w:szCs w:val="20"/>
        </w:rPr>
      </w:pPr>
      <w:r w:rsidRPr="00DC1A5F">
        <w:rPr>
          <w:sz w:val="16"/>
          <w:szCs w:val="20"/>
        </w:rPr>
        <w:t>Su extinción, pero no una persona a ser extinguida;</w:t>
      </w:r>
    </w:p>
    <w:p w14:paraId="28EBDB36" w14:textId="77777777" w:rsidR="00597DE2" w:rsidRPr="00DC1A5F" w:rsidRDefault="00597DE2" w:rsidP="00597DE2">
      <w:pPr>
        <w:pStyle w:val="VersoIngls01Sangria"/>
        <w:spacing w:after="100"/>
        <w:ind w:left="1418"/>
        <w:rPr>
          <w:sz w:val="16"/>
          <w:szCs w:val="20"/>
        </w:rPr>
      </w:pPr>
      <w:r w:rsidRPr="00DC1A5F">
        <w:rPr>
          <w:sz w:val="16"/>
          <w:szCs w:val="20"/>
        </w:rPr>
        <w:t>Y aunque exista un sendero, no existirá quien lo recorra.</w:t>
      </w:r>
    </w:p>
    <w:p w14:paraId="7B4561A8" w14:textId="77777777" w:rsidR="00597DE2" w:rsidRPr="00DC1A5F" w:rsidRDefault="00597DE2" w:rsidP="00597DE2">
      <w:pPr>
        <w:pStyle w:val="NormalConSangria"/>
      </w:pPr>
      <w:r w:rsidRPr="00DC1A5F">
        <w:t>O alternativamente:</w:t>
      </w:r>
    </w:p>
    <w:p w14:paraId="2FC06F54" w14:textId="77777777" w:rsidR="00597DE2" w:rsidRPr="00DC1A5F" w:rsidRDefault="00597DE2" w:rsidP="00597DE2">
      <w:pPr>
        <w:pStyle w:val="VersoIngls01Sangria"/>
        <w:rPr>
          <w:sz w:val="16"/>
          <w:szCs w:val="20"/>
        </w:rPr>
      </w:pPr>
      <w:r w:rsidRPr="00DC1A5F">
        <w:rPr>
          <w:sz w:val="16"/>
          <w:szCs w:val="20"/>
        </w:rPr>
        <w:t>Tan vacío de perdurabilidad, belleza, placer y alma,</w:t>
      </w:r>
    </w:p>
    <w:p w14:paraId="047BC8C1" w14:textId="77777777" w:rsidR="00597DE2" w:rsidRPr="00DC1A5F" w:rsidRDefault="00597DE2" w:rsidP="00597DE2">
      <w:pPr>
        <w:pStyle w:val="VersoIngls01Sangria"/>
        <w:rPr>
          <w:sz w:val="16"/>
          <w:szCs w:val="20"/>
        </w:rPr>
      </w:pPr>
      <w:r w:rsidRPr="00DC1A5F">
        <w:rPr>
          <w:sz w:val="16"/>
          <w:szCs w:val="20"/>
        </w:rPr>
        <w:t>es el primer par y así, vacío de alma el estado inmortal,</w:t>
      </w:r>
    </w:p>
    <w:p w14:paraId="1BD1426C" w14:textId="77777777" w:rsidR="00597DE2" w:rsidRPr="00DC1A5F" w:rsidRDefault="00597DE2" w:rsidP="00597DE2">
      <w:pPr>
        <w:pStyle w:val="VersoIngls01Sangria"/>
        <w:rPr>
          <w:sz w:val="16"/>
          <w:szCs w:val="20"/>
        </w:rPr>
      </w:pPr>
      <w:r w:rsidRPr="00DC1A5F">
        <w:rPr>
          <w:sz w:val="16"/>
          <w:szCs w:val="20"/>
        </w:rPr>
        <w:t>Y vacío de duración, de placer y alma</w:t>
      </w:r>
    </w:p>
    <w:p w14:paraId="45EDE673" w14:textId="77777777" w:rsidR="00597DE2" w:rsidRPr="00DC1A5F" w:rsidRDefault="00597DE2" w:rsidP="00597DE2">
      <w:pPr>
        <w:pStyle w:val="VersoIngls01Sangria"/>
        <w:spacing w:after="100"/>
        <w:ind w:left="1418"/>
        <w:rPr>
          <w:sz w:val="16"/>
          <w:szCs w:val="20"/>
        </w:rPr>
      </w:pPr>
      <w:r w:rsidRPr="00DC1A5F">
        <w:rPr>
          <w:sz w:val="16"/>
          <w:szCs w:val="20"/>
        </w:rPr>
        <w:t>Es también el sendero; porque así es el vacío en estas cuatro verdades.</w:t>
      </w:r>
    </w:p>
    <w:p w14:paraId="52AEB2FA" w14:textId="77777777" w:rsidR="00597DE2" w:rsidRPr="00DC1A5F" w:rsidRDefault="00597DE2" w:rsidP="00597DE2">
      <w:pPr>
        <w:pStyle w:val="Textoindependiente"/>
      </w:pPr>
      <w:r w:rsidRPr="00DC1A5F">
        <w:t xml:space="preserve">91. </w:t>
      </w:r>
      <w:r w:rsidRPr="00DC1A5F">
        <w:tab/>
        <w:t>O tres estarán vacías de cesación y la cesación estará vacía de las otras tres. O la causa estará vacía de resultados, debido a la ausencia de sufrimiento en el origen y de cesación en el sendero; la causa no estará preñada de su efecto como Esencia Primordial de los que afirman la existencia de la Esencia Primordial. Y el resultado estará vacío de causas debido a la ausencia de inherencia en el origen del sufrimiento y del sendero en la cesación; el efecto de una causa no poseerá su causa inherente a él, como los dos átomos, etc., de los que se afirman inherencia. Por eso se dice al respecto:</w:t>
      </w:r>
    </w:p>
    <w:p w14:paraId="1314FB90" w14:textId="77777777" w:rsidR="00597DE2" w:rsidRPr="00DC1A5F" w:rsidRDefault="00597DE2" w:rsidP="00597DE2">
      <w:pPr>
        <w:pStyle w:val="VersoIngls01Sangria"/>
        <w:rPr>
          <w:sz w:val="16"/>
          <w:szCs w:val="20"/>
        </w:rPr>
      </w:pPr>
      <w:r w:rsidRPr="00DC1A5F">
        <w:rPr>
          <w:sz w:val="16"/>
          <w:szCs w:val="20"/>
        </w:rPr>
        <w:t>Aquí tres estarán vacías de cesación;</w:t>
      </w:r>
    </w:p>
    <w:p w14:paraId="27037584" w14:textId="77777777" w:rsidR="00597DE2" w:rsidRPr="00DC1A5F" w:rsidRDefault="00597DE2" w:rsidP="00597DE2">
      <w:pPr>
        <w:pStyle w:val="VersoIngls01Sangria"/>
        <w:rPr>
          <w:sz w:val="16"/>
          <w:szCs w:val="20"/>
        </w:rPr>
      </w:pPr>
      <w:r w:rsidRPr="00DC1A5F">
        <w:rPr>
          <w:sz w:val="16"/>
          <w:szCs w:val="20"/>
        </w:rPr>
        <w:t>Vacía de cesación, también estarán estas tres;</w:t>
      </w:r>
    </w:p>
    <w:p w14:paraId="4AC01741" w14:textId="77777777" w:rsidR="00597DE2" w:rsidRPr="00DC1A5F" w:rsidRDefault="00597DE2" w:rsidP="00597DE2">
      <w:pPr>
        <w:pStyle w:val="VersoIngls01Sangria"/>
        <w:rPr>
          <w:sz w:val="16"/>
          <w:szCs w:val="20"/>
        </w:rPr>
      </w:pPr>
      <w:r w:rsidRPr="00DC1A5F">
        <w:rPr>
          <w:sz w:val="16"/>
          <w:szCs w:val="20"/>
        </w:rPr>
        <w:t>La causa de su efecto será vacía,</w:t>
      </w:r>
    </w:p>
    <w:p w14:paraId="4648EB56" w14:textId="77777777" w:rsidR="00597DE2" w:rsidRPr="00DC1A5F" w:rsidRDefault="00597DE2" w:rsidP="00597DE2">
      <w:pPr>
        <w:pStyle w:val="VersoIngls01Sangria"/>
        <w:spacing w:after="100"/>
        <w:ind w:left="1418"/>
        <w:rPr>
          <w:sz w:val="16"/>
          <w:szCs w:val="20"/>
        </w:rPr>
      </w:pPr>
      <w:r w:rsidRPr="00DC1A5F">
        <w:rPr>
          <w:sz w:val="16"/>
          <w:szCs w:val="20"/>
        </w:rPr>
        <w:t>Vacía también de causa deberá ser el efecto.</w:t>
      </w:r>
    </w:p>
    <w:p w14:paraId="76790A18" w14:textId="77777777" w:rsidR="00597DE2" w:rsidRPr="00DC1A5F" w:rsidRDefault="00597DE2" w:rsidP="00597DE2">
      <w:pPr>
        <w:pStyle w:val="NormalConSangria"/>
      </w:pPr>
      <w:r w:rsidRPr="00DC1A5F">
        <w:t>Así, en primer lugar, es como deberá entenderse la exposición como vacía.</w:t>
      </w:r>
      <w:r w:rsidRPr="00DC1A5F">
        <w:rPr>
          <w:vertAlign w:val="superscript"/>
        </w:rPr>
        <w:t>25</w:t>
      </w:r>
      <w:r w:rsidRPr="00DC1A5F">
        <w:t xml:space="preserve"> [514]</w:t>
      </w:r>
    </w:p>
    <w:p w14:paraId="1C854257" w14:textId="77777777" w:rsidR="00597DE2" w:rsidRPr="00DC1A5F" w:rsidRDefault="00597DE2" w:rsidP="00597DE2">
      <w:r w:rsidRPr="00DC1A5F">
        <w:t xml:space="preserve">92. </w:t>
      </w:r>
      <w:r w:rsidRPr="00DC1A5F">
        <w:tab/>
        <w:t>14. En cuanto a</w:t>
      </w:r>
      <w:r w:rsidRPr="00DC1A5F">
        <w:rPr>
          <w:i/>
          <w:iCs/>
        </w:rPr>
        <w:t xml:space="preserve"> una clase, dos, </w:t>
      </w:r>
      <w:proofErr w:type="gramStart"/>
      <w:r w:rsidRPr="00DC1A5F">
        <w:rPr>
          <w:i/>
          <w:iCs/>
        </w:rPr>
        <w:t>tres,…</w:t>
      </w:r>
      <w:proofErr w:type="gramEnd"/>
      <w:r w:rsidRPr="00DC1A5F">
        <w:rPr>
          <w:i/>
          <w:iCs/>
        </w:rPr>
        <w:t>clases</w:t>
      </w:r>
      <w:r w:rsidRPr="00DC1A5F">
        <w:t xml:space="preserve">: aquí todo </w:t>
      </w:r>
      <w:r w:rsidRPr="00DC1A5F">
        <w:rPr>
          <w:i/>
          <w:iCs/>
        </w:rPr>
        <w:t>sufrimiento</w:t>
      </w:r>
      <w:r w:rsidRPr="00DC1A5F">
        <w:t xml:space="preserve"> será de un solo tipo como estado de ocurrencia. De 2 tipos como mentalidad–materialidad. Será de 3 tipos, según se divida en el proceso del devenir de renacimiento de la esfera sensorial, la </w:t>
      </w:r>
    </w:p>
    <w:p w14:paraId="3F4ED4C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E44BF16" w14:textId="77777777" w:rsidR="00597DE2" w:rsidRPr="00DC1A5F" w:rsidRDefault="00597DE2" w:rsidP="00597DE2">
      <w:pPr>
        <w:pStyle w:val="PiedepginaLegal"/>
        <w:numPr>
          <w:ilvl w:val="0"/>
          <w:numId w:val="5"/>
        </w:numPr>
        <w:tabs>
          <w:tab w:val="clear" w:pos="425"/>
        </w:tabs>
        <w:ind w:left="284" w:hanging="284"/>
        <w:rPr>
          <w:color w:val="833C0B" w:themeColor="accent2" w:themeShade="80"/>
          <w:u w:color="000000"/>
        </w:rPr>
      </w:pPr>
      <w:r w:rsidRPr="00DC1A5F">
        <w:rPr>
          <w:color w:val="auto"/>
          <w:u w:color="000000"/>
        </w:rPr>
        <w:t xml:space="preserve">Puede notarse, de pasada, que la palabra </w:t>
      </w:r>
      <w:r w:rsidRPr="00DC1A5F">
        <w:rPr>
          <w:i/>
          <w:iCs/>
          <w:color w:val="auto"/>
          <w:u w:color="000000"/>
        </w:rPr>
        <w:t>anattā</w:t>
      </w:r>
      <w:r w:rsidRPr="00DC1A5F">
        <w:rPr>
          <w:color w:val="auto"/>
          <w:u w:color="000000"/>
        </w:rPr>
        <w:t xml:space="preserve"> (no–alma) nunca se aplica directamente al </w:t>
      </w:r>
      <w:r w:rsidRPr="00DC1A5F">
        <w:rPr>
          <w:i/>
          <w:iCs/>
          <w:color w:val="auto"/>
          <w:u w:color="000000"/>
        </w:rPr>
        <w:t>Nibbāna</w:t>
      </w:r>
      <w:r w:rsidRPr="00DC1A5F">
        <w:rPr>
          <w:color w:val="auto"/>
          <w:u w:color="000000"/>
        </w:rPr>
        <w:t xml:space="preserve"> en los </w:t>
      </w:r>
      <w:r w:rsidRPr="00DC1A5F">
        <w:rPr>
          <w:i/>
          <w:iCs/>
          <w:color w:val="auto"/>
          <w:u w:color="000000"/>
        </w:rPr>
        <w:t>Suttas</w:t>
      </w:r>
      <w:r w:rsidRPr="00DC1A5F">
        <w:rPr>
          <w:color w:val="auto"/>
          <w:u w:color="000000"/>
        </w:rPr>
        <w:t xml:space="preserve"> (ni en el </w:t>
      </w:r>
      <w:proofErr w:type="spellStart"/>
      <w:r w:rsidRPr="00DC1A5F">
        <w:rPr>
          <w:i/>
          <w:iCs/>
          <w:color w:val="auto"/>
          <w:u w:color="000000"/>
        </w:rPr>
        <w:t>Abhidhamma</w:t>
      </w:r>
      <w:proofErr w:type="spellEnd"/>
      <w:r w:rsidRPr="00DC1A5F">
        <w:rPr>
          <w:color w:val="auto"/>
          <w:u w:color="000000"/>
        </w:rPr>
        <w:t xml:space="preserve">), o en los Comentarios de </w:t>
      </w:r>
      <w:r w:rsidRPr="00DC1A5F">
        <w:rPr>
          <w:i/>
          <w:iCs/>
          <w:color w:val="auto"/>
          <w:u w:color="000000"/>
        </w:rPr>
        <w:t>Bhante</w:t>
      </w:r>
      <w:r w:rsidRPr="00DC1A5F">
        <w:rPr>
          <w:color w:val="auto"/>
          <w:u w:color="000000"/>
        </w:rPr>
        <w:t xml:space="preserve"> </w:t>
      </w:r>
      <w:r w:rsidRPr="00DC1A5F">
        <w:rPr>
          <w:i/>
          <w:color w:val="auto"/>
          <w:u w:color="000000"/>
        </w:rPr>
        <w:t>Buddha</w:t>
      </w:r>
      <w:r w:rsidRPr="00DC1A5F">
        <w:rPr>
          <w:color w:val="auto"/>
          <w:u w:color="000000"/>
        </w:rPr>
        <w:t xml:space="preserve">ghosa (cf. Ch. XXI, nota 4, donde se cita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explicando el ámbito de aplicación de las “3 características”).</w:t>
      </w:r>
      <w:r w:rsidRPr="00DC1A5F">
        <w:t xml:space="preserve"> </w:t>
      </w:r>
      <w:r w:rsidRPr="00DC1A5F">
        <w:rPr>
          <w:color w:val="833C0B" w:themeColor="accent2" w:themeShade="80"/>
          <w:u w:color="000000"/>
        </w:rPr>
        <w:t xml:space="preserve">El argumento presentado aquí de que, dado que </w:t>
      </w:r>
      <w:proofErr w:type="spellStart"/>
      <w:r w:rsidRPr="00DC1A5F">
        <w:rPr>
          <w:i/>
          <w:iCs/>
          <w:color w:val="833C0B" w:themeColor="accent2" w:themeShade="80"/>
          <w:u w:color="000000"/>
        </w:rPr>
        <w:t>attā</w:t>
      </w:r>
      <w:proofErr w:type="spellEnd"/>
      <w:r w:rsidRPr="00DC1A5F">
        <w:rPr>
          <w:color w:val="833C0B" w:themeColor="accent2" w:themeShade="80"/>
          <w:u w:color="000000"/>
        </w:rPr>
        <w:t xml:space="preserve"> (el alma) es un mito inexistente, por lo tanto el </w:t>
      </w:r>
      <w:r w:rsidRPr="00DC1A5F">
        <w:rPr>
          <w:i/>
          <w:iCs/>
          <w:color w:val="833C0B" w:themeColor="accent2" w:themeShade="80"/>
          <w:u w:color="000000"/>
        </w:rPr>
        <w:t>Nibbāna</w:t>
      </w:r>
      <w:r w:rsidRPr="00DC1A5F">
        <w:rPr>
          <w:color w:val="833C0B" w:themeColor="accent2" w:themeShade="80"/>
          <w:u w:color="000000"/>
        </w:rPr>
        <w:t xml:space="preserve"> (el </w:t>
      </w:r>
      <w:r w:rsidRPr="00DC1A5F">
        <w:rPr>
          <w:i/>
          <w:color w:val="833C0B" w:themeColor="accent2" w:themeShade="80"/>
          <w:u w:color="000000"/>
        </w:rPr>
        <w:t>dhamma</w:t>
      </w:r>
      <w:r w:rsidRPr="00DC1A5F">
        <w:rPr>
          <w:color w:val="833C0B" w:themeColor="accent2" w:themeShade="80"/>
          <w:u w:color="000000"/>
        </w:rPr>
        <w:t xml:space="preserve"> inmaterial, la verdad de la cesación) es vacío de alma (</w:t>
      </w:r>
      <w:proofErr w:type="spellStart"/>
      <w:r w:rsidRPr="00DC1A5F">
        <w:rPr>
          <w:i/>
          <w:iCs/>
          <w:color w:val="833C0B" w:themeColor="accent2" w:themeShade="80"/>
          <w:u w:color="000000"/>
        </w:rPr>
        <w:t>atta</w:t>
      </w:r>
      <w:proofErr w:type="spellEnd"/>
      <w:r w:rsidRPr="00DC1A5F">
        <w:rPr>
          <w:i/>
          <w:iCs/>
          <w:color w:val="833C0B" w:themeColor="accent2" w:themeShade="80"/>
          <w:u w:color="000000"/>
        </w:rPr>
        <w:t>–</w:t>
      </w:r>
      <w:proofErr w:type="spellStart"/>
      <w:r w:rsidRPr="00DC1A5F">
        <w:rPr>
          <w:i/>
          <w:iCs/>
          <w:color w:val="833C0B" w:themeColor="accent2" w:themeShade="80"/>
          <w:u w:color="000000"/>
        </w:rPr>
        <w:t>suñña</w:t>
      </w:r>
      <w:proofErr w:type="spellEnd"/>
      <w:r w:rsidRPr="00DC1A5F">
        <w:rPr>
          <w:color w:val="833C0B" w:themeColor="accent2" w:themeShade="80"/>
          <w:u w:color="000000"/>
        </w:rPr>
        <w:t xml:space="preserve">), se deduce del </w:t>
      </w:r>
      <w:proofErr w:type="spellStart"/>
      <w:r w:rsidRPr="00DC1A5F">
        <w:rPr>
          <w:i/>
          <w:iCs/>
          <w:color w:val="833C0B" w:themeColor="accent2" w:themeShade="80"/>
          <w:u w:color="000000"/>
        </w:rPr>
        <w:t>Saddhammappakāsinī</w:t>
      </w:r>
      <w:proofErr w:type="spellEnd"/>
      <w:r w:rsidRPr="00DC1A5F">
        <w:rPr>
          <w:color w:val="833C0B" w:themeColor="accent2" w:themeShade="80"/>
          <w:u w:color="000000"/>
        </w:rPr>
        <w:t xml:space="preserve"> (</w:t>
      </w:r>
      <w:proofErr w:type="spellStart"/>
      <w:r w:rsidRPr="00DC1A5F">
        <w:rPr>
          <w:color w:val="833C0B" w:themeColor="accent2" w:themeShade="80"/>
          <w:u w:color="000000"/>
        </w:rPr>
        <w:t>Hewavitarne</w:t>
      </w:r>
      <w:proofErr w:type="spellEnd"/>
      <w:r w:rsidRPr="00DC1A5F">
        <w:rPr>
          <w:color w:val="833C0B" w:themeColor="accent2" w:themeShade="80"/>
          <w:u w:color="000000"/>
        </w:rPr>
        <w:t xml:space="preserve"> Ce, p. 464):</w:t>
      </w:r>
    </w:p>
    <w:p w14:paraId="3E639A11" w14:textId="77777777" w:rsidR="00597DE2" w:rsidRPr="00DC1A5F" w:rsidRDefault="00597DE2" w:rsidP="00597DE2">
      <w:pPr>
        <w:pStyle w:val="PiedepginaLegal"/>
        <w:spacing w:after="0"/>
        <w:ind w:left="2270"/>
        <w:rPr>
          <w:sz w:val="12"/>
          <w:szCs w:val="20"/>
        </w:rPr>
      </w:pPr>
      <w:r w:rsidRPr="00DC1A5F">
        <w:rPr>
          <w:sz w:val="12"/>
          <w:szCs w:val="20"/>
        </w:rPr>
        <w:t xml:space="preserve">Todos los </w:t>
      </w:r>
      <w:r w:rsidRPr="00DC1A5F">
        <w:rPr>
          <w:i/>
          <w:sz w:val="12"/>
          <w:szCs w:val="20"/>
        </w:rPr>
        <w:t>dhamma</w:t>
      </w:r>
      <w:r w:rsidRPr="00DC1A5F">
        <w:rPr>
          <w:sz w:val="12"/>
          <w:szCs w:val="20"/>
        </w:rPr>
        <w:t>s ya sea agrupados conjuntamente</w:t>
      </w:r>
    </w:p>
    <w:p w14:paraId="0E1A474F" w14:textId="77777777" w:rsidR="00597DE2" w:rsidRPr="00DC1A5F" w:rsidRDefault="00597DE2" w:rsidP="00597DE2">
      <w:pPr>
        <w:pStyle w:val="PiedepginaLegal"/>
        <w:spacing w:after="0"/>
        <w:ind w:left="2270"/>
        <w:rPr>
          <w:sz w:val="12"/>
          <w:szCs w:val="20"/>
        </w:rPr>
      </w:pPr>
      <w:r w:rsidRPr="00DC1A5F">
        <w:rPr>
          <w:sz w:val="12"/>
          <w:szCs w:val="20"/>
        </w:rPr>
        <w:t>De tres maneras, de dos maneras o de una manera,</w:t>
      </w:r>
    </w:p>
    <w:p w14:paraId="212E5FF8" w14:textId="77777777" w:rsidR="00597DE2" w:rsidRPr="00DC1A5F" w:rsidRDefault="00597DE2" w:rsidP="00597DE2">
      <w:pPr>
        <w:pStyle w:val="PiedepginaLegal"/>
        <w:spacing w:after="0"/>
        <w:ind w:left="2270"/>
        <w:rPr>
          <w:sz w:val="12"/>
          <w:szCs w:val="20"/>
        </w:rPr>
      </w:pPr>
      <w:r w:rsidRPr="00DC1A5F">
        <w:rPr>
          <w:sz w:val="12"/>
          <w:szCs w:val="20"/>
        </w:rPr>
        <w:t>Son vacíos: así que aquí, en esta dispensación</w:t>
      </w:r>
    </w:p>
    <w:p w14:paraId="0B245E66" w14:textId="77777777" w:rsidR="00597DE2" w:rsidRPr="00DC1A5F" w:rsidRDefault="00597DE2" w:rsidP="00597DE2">
      <w:pPr>
        <w:pStyle w:val="PiedepginaLegal"/>
        <w:spacing w:after="0"/>
        <w:ind w:left="2270"/>
        <w:rPr>
          <w:sz w:val="12"/>
          <w:szCs w:val="20"/>
        </w:rPr>
      </w:pPr>
      <w:r w:rsidRPr="00DC1A5F">
        <w:rPr>
          <w:sz w:val="12"/>
          <w:szCs w:val="20"/>
        </w:rPr>
        <w:t>Los que reconozcan la vacuidad harán su comentario.</w:t>
      </w:r>
    </w:p>
    <w:p w14:paraId="0D463677" w14:textId="77777777" w:rsidR="00597DE2" w:rsidRPr="00DC1A5F" w:rsidRDefault="00597DE2" w:rsidP="00597DE2">
      <w:pPr>
        <w:pStyle w:val="PiedepginaLegal"/>
        <w:spacing w:after="0"/>
        <w:ind w:left="2270"/>
        <w:rPr>
          <w:sz w:val="12"/>
          <w:szCs w:val="20"/>
        </w:rPr>
      </w:pPr>
    </w:p>
    <w:p w14:paraId="59A42AAD" w14:textId="77777777" w:rsidR="00597DE2" w:rsidRPr="00DC1A5F" w:rsidRDefault="00597DE2" w:rsidP="00597DE2">
      <w:pPr>
        <w:pStyle w:val="PiedepginaLegal"/>
      </w:pPr>
      <w:r w:rsidRPr="00DC1A5F">
        <w:tab/>
      </w:r>
      <w:r w:rsidRPr="00DC1A5F">
        <w:tab/>
        <w:t xml:space="preserve">“¿Cómo es eso? En primer lugar, todos los </w:t>
      </w:r>
      <w:r w:rsidRPr="00DC1A5F">
        <w:rPr>
          <w:i/>
        </w:rPr>
        <w:t>dhamma</w:t>
      </w:r>
      <w:r w:rsidRPr="00DC1A5F">
        <w:t xml:space="preserve">s mundanos se encuentran vacíos de perdurabilidad, belleza, placer y alma porque están destituidos de perdurabilidad, belleza, placer y alma. Los </w:t>
      </w:r>
      <w:r w:rsidRPr="00DC1A5F">
        <w:rPr>
          <w:i/>
        </w:rPr>
        <w:t>dhamma</w:t>
      </w:r>
      <w:r w:rsidRPr="00DC1A5F">
        <w:t xml:space="preserve">s del sendero y de la fruición se encuentran vacíos de perdurabilidad, de placer y alma, porque carecen de perdurabilidad, placer y alma. </w:t>
      </w:r>
      <w:r w:rsidRPr="00DC1A5F">
        <w:rPr>
          <w:color w:val="auto"/>
          <w:u w:color="000000"/>
        </w:rPr>
        <w:t xml:space="preserve">Los </w:t>
      </w:r>
      <w:r w:rsidRPr="00DC1A5F">
        <w:rPr>
          <w:i/>
          <w:color w:val="auto"/>
          <w:u w:color="000000"/>
        </w:rPr>
        <w:t>dhamma</w:t>
      </w:r>
      <w:r w:rsidRPr="00DC1A5F">
        <w:rPr>
          <w:color w:val="auto"/>
          <w:u w:color="000000"/>
        </w:rPr>
        <w:t xml:space="preserve">s (pl.) del </w:t>
      </w:r>
      <w:r w:rsidRPr="00DC1A5F">
        <w:rPr>
          <w:i/>
          <w:iCs/>
          <w:color w:val="auto"/>
          <w:u w:color="000000"/>
        </w:rPr>
        <w:t>Nibbāna</w:t>
      </w:r>
      <w:r w:rsidRPr="00DC1A5F">
        <w:rPr>
          <w:color w:val="auto"/>
          <w:u w:color="000000"/>
        </w:rPr>
        <w:t xml:space="preserve"> se encuentran vacíos de alma debido a la inexistencia (</w:t>
      </w:r>
      <w:proofErr w:type="spellStart"/>
      <w:r w:rsidRPr="00DC1A5F">
        <w:rPr>
          <w:i/>
          <w:iCs/>
          <w:color w:val="auto"/>
          <w:u w:color="000000"/>
        </w:rPr>
        <w:t>abhāva</w:t>
      </w:r>
      <w:proofErr w:type="spellEnd"/>
      <w:r w:rsidRPr="00DC1A5F">
        <w:rPr>
          <w:color w:val="auto"/>
          <w:u w:color="000000"/>
        </w:rPr>
        <w:t xml:space="preserve">) de un alma en ellos. [En segundo lugar,] los </w:t>
      </w:r>
      <w:r w:rsidRPr="00DC1A5F">
        <w:rPr>
          <w:i/>
          <w:color w:val="auto"/>
          <w:u w:color="000000"/>
        </w:rPr>
        <w:t>dhamma</w:t>
      </w:r>
      <w:r w:rsidRPr="00DC1A5F">
        <w:rPr>
          <w:color w:val="auto"/>
          <w:u w:color="000000"/>
        </w:rPr>
        <w:t>s formados, tanto mundanos como supramundanos, se encuentran todos ausentes de algún ser vivo [permanente] (</w:t>
      </w:r>
      <w:proofErr w:type="spellStart"/>
      <w:r w:rsidRPr="00DC1A5F">
        <w:rPr>
          <w:i/>
          <w:iCs/>
          <w:color w:val="auto"/>
          <w:u w:color="000000"/>
        </w:rPr>
        <w:t>satta</w:t>
      </w:r>
      <w:proofErr w:type="spellEnd"/>
      <w:r w:rsidRPr="00DC1A5F">
        <w:rPr>
          <w:color w:val="auto"/>
          <w:u w:color="000000"/>
        </w:rPr>
        <w:t xml:space="preserve">) debido a la inexistencia de cualquier tipo de ser vivo. </w:t>
      </w:r>
      <w:r w:rsidRPr="00DC1A5F">
        <w:t xml:space="preserve">El </w:t>
      </w:r>
      <w:r w:rsidRPr="00DC1A5F">
        <w:rPr>
          <w:i/>
        </w:rPr>
        <w:t>dhamma</w:t>
      </w:r>
      <w:r w:rsidRPr="00DC1A5F">
        <w:t xml:space="preserve"> inmaterial (</w:t>
      </w:r>
      <w:proofErr w:type="spellStart"/>
      <w:r w:rsidRPr="00DC1A5F">
        <w:t>sing</w:t>
      </w:r>
      <w:proofErr w:type="spellEnd"/>
      <w:r w:rsidRPr="00DC1A5F">
        <w:t>.) se encuentra también vacío de formaciones debido a la inexistencia (</w:t>
      </w:r>
      <w:proofErr w:type="spellStart"/>
      <w:r w:rsidRPr="00DC1A5F">
        <w:rPr>
          <w:i/>
          <w:iCs/>
        </w:rPr>
        <w:t>abhāva</w:t>
      </w:r>
      <w:proofErr w:type="spellEnd"/>
      <w:r w:rsidRPr="00DC1A5F">
        <w:t xml:space="preserve">: o ausencia) de esas formaciones. [Tercero,] todos los </w:t>
      </w:r>
      <w:r w:rsidRPr="00DC1A5F">
        <w:rPr>
          <w:i/>
        </w:rPr>
        <w:t>dhamma</w:t>
      </w:r>
      <w:r w:rsidRPr="00DC1A5F">
        <w:t>s formados y no―formados se encuentran vacíos de alma debido a la inexistencia de cualquier tipo de persona (</w:t>
      </w:r>
      <w:proofErr w:type="spellStart"/>
      <w:r w:rsidRPr="00DC1A5F">
        <w:rPr>
          <w:i/>
          <w:iCs/>
        </w:rPr>
        <w:t>puggala</w:t>
      </w:r>
      <w:proofErr w:type="spellEnd"/>
      <w:r w:rsidRPr="00DC1A5F">
        <w:t>) contenida de ‘alma’ (</w:t>
      </w:r>
      <w:proofErr w:type="spellStart"/>
      <w:r w:rsidRPr="00DC1A5F">
        <w:rPr>
          <w:i/>
          <w:iCs/>
        </w:rPr>
        <w:t>attā</w:t>
      </w:r>
      <w:proofErr w:type="spellEnd"/>
      <w:r w:rsidRPr="00DC1A5F">
        <w:t>)”.</w:t>
      </w:r>
    </w:p>
    <w:p w14:paraId="0A061893" w14:textId="77777777" w:rsidR="00597DE2" w:rsidRPr="00DC1A5F" w:rsidRDefault="00597DE2" w:rsidP="00597DE2">
      <w:pPr>
        <w:pStyle w:val="PiedepginaLegal"/>
      </w:pPr>
    </w:p>
    <w:p w14:paraId="26E97E32" w14:textId="77777777" w:rsidR="00597DE2" w:rsidRPr="00DC1A5F" w:rsidRDefault="00597DE2" w:rsidP="00597DE2">
      <w:pPr>
        <w:tabs>
          <w:tab w:val="clear" w:pos="425"/>
        </w:tabs>
        <w:spacing w:after="160"/>
      </w:pPr>
      <w:r w:rsidRPr="00DC1A5F">
        <w:br w:type="page"/>
      </w:r>
    </w:p>
    <w:p w14:paraId="669AFFE1" w14:textId="77777777" w:rsidR="00597DE2" w:rsidRPr="00DC1A5F" w:rsidRDefault="00597DE2" w:rsidP="00597DE2">
      <w:pPr>
        <w:pStyle w:val="Textoindependiente"/>
      </w:pPr>
      <w:r w:rsidRPr="00DC1A5F">
        <w:lastRenderedPageBreak/>
        <w:t>esfera de la materia sutil y la esfera inmaterial. Será de cuatro tipos según los 4 nutrimentos. De 5 tipos clasificados de acuerdo con los 5 agregados como objetos del apego.</w:t>
      </w:r>
    </w:p>
    <w:p w14:paraId="63575206" w14:textId="77777777" w:rsidR="00597DE2" w:rsidRPr="00DC1A5F" w:rsidRDefault="00597DE2" w:rsidP="00597DE2">
      <w:r w:rsidRPr="00DC1A5F">
        <w:t xml:space="preserve">93. </w:t>
      </w:r>
      <w:r w:rsidRPr="00DC1A5F">
        <w:tab/>
        <w:t xml:space="preserve">De igual manera, el </w:t>
      </w:r>
      <w:r w:rsidRPr="00DC1A5F">
        <w:rPr>
          <w:i/>
          <w:iCs/>
        </w:rPr>
        <w:t>origen</w:t>
      </w:r>
      <w:r w:rsidRPr="00DC1A5F">
        <w:t xml:space="preserve"> del sufrimiento será de un tipo como productor de ocurrencias. De dos tipos según esté asociado o no con la visión incorrecta. Será de tres tipos: como deseo por el placer sensorial, deseo por el devenir y deseo por el no–devenir. Será de cuatro tipos como objeto de abandono por los cuatro senderos. De cinco tipos clasificados como placer en la materialidad, y así sucesivamente. Será de seis tipos clasificados según los seis grupos del deseo.</w:t>
      </w:r>
    </w:p>
    <w:p w14:paraId="27F2909D" w14:textId="77777777" w:rsidR="00597DE2" w:rsidRPr="00DC1A5F" w:rsidRDefault="00597DE2" w:rsidP="00597DE2">
      <w:r w:rsidRPr="00DC1A5F">
        <w:t xml:space="preserve">94. </w:t>
      </w:r>
      <w:r w:rsidRPr="00DC1A5F">
        <w:tab/>
        <w:t xml:space="preserve">De igual manera, la </w:t>
      </w:r>
      <w:r w:rsidRPr="00DC1A5F">
        <w:rPr>
          <w:i/>
          <w:iCs/>
        </w:rPr>
        <w:t>cesación</w:t>
      </w:r>
      <w:r w:rsidRPr="00DC1A5F">
        <w:t xml:space="preserve"> será de un tipo al corresponder al elemento inmaterial. No obstante, indirectamente será de dos tipos como “con resultado del apego residual del pasado” y como “sin resultados del apego residual del pasado”;</w:t>
      </w:r>
      <w:r w:rsidRPr="00DC1A5F">
        <w:rPr>
          <w:vertAlign w:val="superscript"/>
        </w:rPr>
        <w:t>26</w:t>
      </w:r>
      <w:r w:rsidRPr="00DC1A5F">
        <w:t xml:space="preserve"> y de tres tipos como apaciguamiento de los tres tipos de devenir; y de cuatro tipos según sea accesible a los cuatro senderos; y de cinco tipos como disipación de las cinco clases de placer; y de seis tipos de acuerdo con la destrucción de los seis grupos del deseo.</w:t>
      </w:r>
    </w:p>
    <w:p w14:paraId="1FA2A81C" w14:textId="77777777" w:rsidR="00597DE2" w:rsidRPr="00DC1A5F" w:rsidRDefault="00597DE2" w:rsidP="00597DE2">
      <w:r w:rsidRPr="00DC1A5F">
        <w:t xml:space="preserve">95. </w:t>
      </w:r>
      <w:r w:rsidRPr="00DC1A5F">
        <w:tab/>
        <w:t xml:space="preserve">De igual manera, el </w:t>
      </w:r>
      <w:r w:rsidRPr="00DC1A5F">
        <w:rPr>
          <w:i/>
          <w:iCs/>
        </w:rPr>
        <w:t>sendero</w:t>
      </w:r>
      <w:r w:rsidRPr="00DC1A5F">
        <w:t xml:space="preserve"> será de un tipo como lo que deba ser desarrollado. De dos tipos clasificados según la serenidad y la percepción, o clasificadas según la visión y el desarrollo. Será de tres tipos según los tres agregados; ya que el sendero, al ser selectivo, está incluido a través de los tres agregados, que son comprensivos, como una ciudad lo está en un reino, según se dice al respecto: “Los tres agregados no estarán incluidos en el Noble Óctuple Sendero, amigo </w:t>
      </w:r>
      <w:proofErr w:type="spellStart"/>
      <w:r w:rsidRPr="00DC1A5F">
        <w:t>Visakha</w:t>
      </w:r>
      <w:proofErr w:type="spellEnd"/>
      <w:r w:rsidRPr="00DC1A5F">
        <w:t>, no obstante, el Noble Óctuple Sendero estará incluido en los tres agregados. Cualquier lenguaje correcto, cualquier acción correcta, cualquier sustento correcto: estos estarán incluidos en el agregado de la virtud. Todo esfuerzo correcto, toda atención correcta, toda concentración correcta: todo esto estará incluido en el agregado de la concentración. Cualquier visión correcta, cualquier pensamiento correcto: estos estarán incluidos en el agregado del entendimiento” (M I 301).</w:t>
      </w:r>
    </w:p>
    <w:p w14:paraId="3E18022E" w14:textId="77777777" w:rsidR="00597DE2" w:rsidRPr="00DC1A5F" w:rsidRDefault="00597DE2" w:rsidP="00597DE2">
      <w:r w:rsidRPr="00DC1A5F">
        <w:t xml:space="preserve">96. </w:t>
      </w:r>
      <w:r w:rsidRPr="00DC1A5F">
        <w:tab/>
        <w:t xml:space="preserve">Aquí, los tres </w:t>
      </w:r>
      <w:r w:rsidRPr="00DC1A5F">
        <w:rPr>
          <w:color w:val="C45911" w:themeColor="accent2" w:themeShade="BF"/>
        </w:rPr>
        <w:t xml:space="preserve">constituyentes </w:t>
      </w:r>
      <w:r w:rsidRPr="00DC1A5F">
        <w:t>que comienzan con el lenguaje correcto corresponderán a la virtud y, por lo tanto, estarán incluidos en el conjunto de la virtud, siendo de la misma especie. Ya que, aunque en el texto la descripción se da mediante el caso locativo como “en el agregado de la virtud”, aun así, el significado deberá entenderse mediante el caso instrumental, es decir, “mediante el agregado de la virtud”.</w:t>
      </w:r>
    </w:p>
    <w:p w14:paraId="3A18678B" w14:textId="77777777" w:rsidR="00597DE2" w:rsidRPr="00DC1A5F" w:rsidRDefault="00597DE2" w:rsidP="00597DE2">
      <w:pPr>
        <w:pStyle w:val="NormalConSangria"/>
      </w:pPr>
      <w:r w:rsidRPr="00DC1A5F">
        <w:t xml:space="preserve">En cuanto a los tres </w:t>
      </w:r>
      <w:r w:rsidRPr="00DC1A5F">
        <w:rPr>
          <w:color w:val="C45911" w:themeColor="accent2" w:themeShade="BF"/>
        </w:rPr>
        <w:t xml:space="preserve">constituyentes </w:t>
      </w:r>
      <w:r w:rsidRPr="00DC1A5F">
        <w:t>que comienzan con el esfuerzo correcto, la concentración no podrá por su propia naturaleza causar absorción a través de la unificación en el objeto; no obstante, con la energía cumpliendo su función de ejercer y la atención cumpliendo su función de prevenir la fluctuación, podrá generar tal absorción.</w:t>
      </w:r>
    </w:p>
    <w:p w14:paraId="55490840" w14:textId="77777777" w:rsidR="00597DE2" w:rsidRPr="00DC1A5F" w:rsidRDefault="00597DE2" w:rsidP="00597DE2">
      <w:r w:rsidRPr="00DC1A5F">
        <w:t xml:space="preserve">97. </w:t>
      </w:r>
      <w:r w:rsidRPr="00DC1A5F">
        <w:tab/>
        <w:t xml:space="preserve">He aquí un símil: tres amigos, pensando “Vamos a celebrar una fiesta”, entraron a un parque. Entonces uno vio un árbol </w:t>
      </w:r>
      <w:proofErr w:type="spellStart"/>
      <w:r w:rsidRPr="00DC1A5F">
        <w:rPr>
          <w:i/>
          <w:iCs/>
        </w:rPr>
        <w:t>champak</w:t>
      </w:r>
      <w:proofErr w:type="spellEnd"/>
      <w:r w:rsidRPr="00DC1A5F">
        <w:t xml:space="preserve"> en plena floración, pero no pudo tomar las flores levantando la mano. El segundo se agachó para que el primero subiera a su espalda. No </w:t>
      </w:r>
    </w:p>
    <w:p w14:paraId="6DCE676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261A054" w14:textId="77777777" w:rsidR="00597DE2" w:rsidRPr="00DC1A5F" w:rsidRDefault="00597DE2" w:rsidP="00597DE2">
      <w:pPr>
        <w:pStyle w:val="PiedepginaLegal"/>
        <w:numPr>
          <w:ilvl w:val="0"/>
          <w:numId w:val="5"/>
        </w:numPr>
        <w:tabs>
          <w:tab w:val="clear" w:pos="425"/>
        </w:tabs>
        <w:ind w:left="284" w:hanging="284"/>
      </w:pPr>
      <w:r w:rsidRPr="00DC1A5F">
        <w:t xml:space="preserve"> “Está apegado a (</w:t>
      </w:r>
      <w:proofErr w:type="spellStart"/>
      <w:r w:rsidRPr="00DC1A5F">
        <w:rPr>
          <w:i/>
          <w:iCs/>
        </w:rPr>
        <w:t>upādiyati</w:t>
      </w:r>
      <w:proofErr w:type="spellEnd"/>
      <w:r w:rsidRPr="00DC1A5F">
        <w:t>), por medio de diferentes tipos de apego (</w:t>
      </w:r>
      <w:proofErr w:type="spellStart"/>
      <w:r w:rsidRPr="00DC1A5F">
        <w:rPr>
          <w:i/>
          <w:iCs/>
        </w:rPr>
        <w:t>upādāna</w:t>
      </w:r>
      <w:proofErr w:type="spellEnd"/>
      <w:r w:rsidRPr="00DC1A5F">
        <w:t>), por lo que será ‘resultado del apego pasado’ (</w:t>
      </w:r>
      <w:proofErr w:type="spellStart"/>
      <w:r w:rsidRPr="00DC1A5F">
        <w:rPr>
          <w:i/>
          <w:iCs/>
        </w:rPr>
        <w:t>upādi</w:t>
      </w:r>
      <w:proofErr w:type="spellEnd"/>
      <w:r w:rsidRPr="00DC1A5F">
        <w:t xml:space="preserve">): esto corresponde a cinco los agregados como objetos del apego. Adoptando al </w:t>
      </w:r>
      <w:r w:rsidRPr="00DC1A5F">
        <w:rPr>
          <w:i/>
          <w:iCs/>
        </w:rPr>
        <w:t>Nibbāna</w:t>
      </w:r>
      <w:r w:rsidRPr="00DC1A5F">
        <w:t xml:space="preserve">, al escape de ello, como su apaciguamiento, su aquietamiento, dado que quedará un resto hasta la última consciencia del </w:t>
      </w:r>
      <w:r w:rsidRPr="00DC1A5F">
        <w:rPr>
          <w:i/>
        </w:rPr>
        <w:t>Arahant</w:t>
      </w:r>
      <w:r w:rsidRPr="00DC1A5F">
        <w:t xml:space="preserve">, después de la cual no quedará ningún residuo, se suele hablar convencionalmente del elemento </w:t>
      </w:r>
      <w:r w:rsidRPr="00DC1A5F">
        <w:rPr>
          <w:i/>
          <w:iCs/>
        </w:rPr>
        <w:t>Nibbāna</w:t>
      </w:r>
      <w:r w:rsidRPr="00DC1A5F">
        <w:t xml:space="preserve"> de dos maneras: el </w:t>
      </w:r>
      <w:r w:rsidRPr="00DC1A5F">
        <w:rPr>
          <w:i/>
          <w:iCs/>
        </w:rPr>
        <w:t xml:space="preserve">nibbāna </w:t>
      </w:r>
      <w:r w:rsidRPr="00DC1A5F">
        <w:t>‘con resultado de apego residual del pasado’ (</w:t>
      </w:r>
      <w:proofErr w:type="spellStart"/>
      <w:r w:rsidRPr="00DC1A5F">
        <w:rPr>
          <w:i/>
          <w:iCs/>
        </w:rPr>
        <w:t>sa</w:t>
      </w:r>
      <w:proofErr w:type="spellEnd"/>
      <w:r w:rsidRPr="00DC1A5F">
        <w:rPr>
          <w:i/>
          <w:iCs/>
        </w:rPr>
        <w:t>–</w:t>
      </w:r>
      <w:proofErr w:type="spellStart"/>
      <w:r w:rsidRPr="00DC1A5F">
        <w:rPr>
          <w:i/>
          <w:iCs/>
        </w:rPr>
        <w:t>upādi</w:t>
      </w:r>
      <w:proofErr w:type="spellEnd"/>
      <w:r w:rsidRPr="00DC1A5F">
        <w:rPr>
          <w:i/>
          <w:iCs/>
        </w:rPr>
        <w:t>–</w:t>
      </w:r>
      <w:proofErr w:type="spellStart"/>
      <w:r w:rsidRPr="00DC1A5F">
        <w:rPr>
          <w:i/>
          <w:iCs/>
        </w:rPr>
        <w:t>sesa</w:t>
      </w:r>
      <w:proofErr w:type="spellEnd"/>
      <w:r w:rsidRPr="00DC1A5F">
        <w:t>) y ‘sin resultado del apego residual del pasado (</w:t>
      </w:r>
      <w:proofErr w:type="spellStart"/>
      <w:r w:rsidRPr="00DC1A5F">
        <w:rPr>
          <w:i/>
          <w:iCs/>
        </w:rPr>
        <w:t>an</w:t>
      </w:r>
      <w:proofErr w:type="spellEnd"/>
      <w:r w:rsidRPr="00DC1A5F">
        <w:rPr>
          <w:i/>
          <w:iCs/>
        </w:rPr>
        <w:t>–</w:t>
      </w:r>
      <w:proofErr w:type="spellStart"/>
      <w:r w:rsidRPr="00DC1A5F">
        <w:rPr>
          <w:i/>
          <w:iCs/>
        </w:rPr>
        <w:t>upādi</w:t>
      </w:r>
      <w:proofErr w:type="spellEnd"/>
      <w:r w:rsidRPr="00DC1A5F">
        <w:rPr>
          <w:i/>
          <w:iCs/>
        </w:rPr>
        <w:t>–</w:t>
      </w:r>
      <w:proofErr w:type="spellStart"/>
      <w:r w:rsidRPr="00DC1A5F">
        <w:rPr>
          <w:i/>
          <w:iCs/>
        </w:rPr>
        <w:t>sesa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547).</w:t>
      </w:r>
    </w:p>
    <w:p w14:paraId="16507C20" w14:textId="77777777" w:rsidR="00597DE2" w:rsidRPr="00DC1A5F" w:rsidRDefault="00597DE2" w:rsidP="00597DE2">
      <w:pPr>
        <w:tabs>
          <w:tab w:val="clear" w:pos="425"/>
        </w:tabs>
        <w:spacing w:after="160"/>
      </w:pPr>
      <w:r w:rsidRPr="00DC1A5F">
        <w:br w:type="page"/>
      </w:r>
    </w:p>
    <w:p w14:paraId="28B6A7A6" w14:textId="77777777" w:rsidR="00597DE2" w:rsidRPr="00DC1A5F" w:rsidRDefault="00597DE2" w:rsidP="00597DE2"/>
    <w:p w14:paraId="024A64D9" w14:textId="77777777" w:rsidR="00597DE2" w:rsidRPr="00DC1A5F" w:rsidRDefault="00597DE2" w:rsidP="00597DE2">
      <w:pPr>
        <w:pStyle w:val="Textoindependiente"/>
      </w:pPr>
      <w:r w:rsidRPr="00DC1A5F">
        <w:t xml:space="preserve">obstante, aunque estuviera parado sobre la espalda de otro, todavía no pudo conseguir recoger ninguna flor debido a una condición de inestabilidad. [515] Entonces el tercero ofreció su hombro como apoyo. Así que subiéndose a la espalda de uno y apoyándose en el hombro del otro, recogió tantas flores como quiso y después de adornarse, se fueron y disfrutaron de la fiesta. Y así mismo será respecto a estos tres </w:t>
      </w:r>
      <w:r w:rsidRPr="00DC1A5F">
        <w:rPr>
          <w:color w:val="C45911" w:themeColor="accent2" w:themeShade="BF"/>
        </w:rPr>
        <w:t>constituyentes</w:t>
      </w:r>
      <w:r w:rsidRPr="00DC1A5F">
        <w:t>.</w:t>
      </w:r>
    </w:p>
    <w:p w14:paraId="7B0B8EA1" w14:textId="77777777" w:rsidR="00597DE2" w:rsidRPr="00DC1A5F" w:rsidRDefault="00597DE2" w:rsidP="00597DE2">
      <w:r w:rsidRPr="00DC1A5F">
        <w:t xml:space="preserve">98. </w:t>
      </w:r>
      <w:r w:rsidRPr="00DC1A5F">
        <w:tab/>
        <w:t xml:space="preserve">Ya que los tres estados que comienzan con el esfuerzo correcto y nacen juntos, serán como los tres amigos que entren juntos al parque. El objeto será como el árbol </w:t>
      </w:r>
      <w:proofErr w:type="spellStart"/>
      <w:r w:rsidRPr="00DC1A5F">
        <w:rPr>
          <w:i/>
          <w:iCs/>
        </w:rPr>
        <w:t>champak</w:t>
      </w:r>
      <w:proofErr w:type="spellEnd"/>
      <w:r w:rsidRPr="00DC1A5F">
        <w:t xml:space="preserve"> en plena floración. La concentración, que por su propia naturaleza no podrá producir la absorción en la unificación del objeto, será como el hombre que no podrá recoger la flor levantando el brazo. El esfuerzo será como el compañero que se agache, dando la espalda para subirse sobre ella. La atención será como el amigo que se ubique a un lado, dando su hombro como apoyo adicional. Así como de pie sobre la espalda de uno y sobre el hombro del otro se pudo recoger tantas flores como se quisiera, así también, cuando la energía cumpla su función de ejercerse y cuando la atención cumpla su función de prevenir la fluctuación, con la ayuda de la concentración obtenida se podrá producir la absorción de la unificación en el objeto. Así que aquí, en el agregado de la concentración, solo se incluirá la concentración como del mismo tipo. No obstante, el esfuerzo y la atención estarán incluidos debido a su acción de servir como soporte.</w:t>
      </w:r>
    </w:p>
    <w:p w14:paraId="056BA05E" w14:textId="77777777" w:rsidR="00597DE2" w:rsidRPr="00DC1A5F" w:rsidRDefault="00597DE2" w:rsidP="00597DE2">
      <w:r w:rsidRPr="00DC1A5F">
        <w:t xml:space="preserve">99. </w:t>
      </w:r>
      <w:r w:rsidRPr="00DC1A5F">
        <w:tab/>
        <w:t xml:space="preserve">También con respecto a la </w:t>
      </w:r>
      <w:proofErr w:type="gramStart"/>
      <w:r w:rsidRPr="00DC1A5F">
        <w:t>visión correcta y el pensamiento correcto</w:t>
      </w:r>
      <w:proofErr w:type="gramEnd"/>
      <w:r w:rsidRPr="00DC1A5F">
        <w:t>, el entendimiento no podrá, por su propia naturaleza, definir un objeto como impermanente, insatisfactorio y no–alma. No obstante, con la aplicación mental dando asistencia a la atención repetidamente sobre el objeto, se podrá.</w:t>
      </w:r>
    </w:p>
    <w:p w14:paraId="0CF3F385" w14:textId="77777777" w:rsidR="00597DE2" w:rsidRPr="00DC1A5F" w:rsidRDefault="00597DE2" w:rsidP="00597DE2">
      <w:r w:rsidRPr="00DC1A5F">
        <w:t>100.</w:t>
      </w:r>
      <w:r w:rsidRPr="00DC1A5F">
        <w:tab/>
        <w:t xml:space="preserve"> ¿Cómo? Así como un cambista, que tuviese una moneda en la mano y desease mirarla por todos lados por igual, no ´podrá darle la vuelta sólo con el poder de su ojo, sino con la ayuda de sus dedos para poder mirarla por cada lado, del mismo modo, el entendimiento no podrá, por su propia naturaleza, definir un objeto como impermanente, etc. No obstante, asistido por la aplicación mental con su característica de dirigir la mente hacia el objeto y su función de golpear y trillar, por así decirlo, de tirarla y voltearla, podrá tomar cualquier cosa determinada y definirla. De modo que aquí, en el agregado del entendimiento, sólo se incluirá la visión correcta como del mismo tipo. No obstante, el pensamiento correcto estará incluido debido a su acción de servir como soporte.</w:t>
      </w:r>
    </w:p>
    <w:p w14:paraId="05D1DFBB" w14:textId="77777777" w:rsidR="00597DE2" w:rsidRPr="00DC1A5F" w:rsidRDefault="00597DE2" w:rsidP="00597DE2">
      <w:pPr>
        <w:pStyle w:val="Textoindependiente"/>
      </w:pPr>
      <w:r w:rsidRPr="00DC1A5F">
        <w:t xml:space="preserve">101. </w:t>
      </w:r>
      <w:r w:rsidRPr="00DC1A5F">
        <w:tab/>
        <w:t>Así que el sendero estará incluido a través de los tres agregados. Por eso se dijo que es de tres tipos clasificados de acuerdo con los tres agregados. Y es de cuatro tipos como el sendero de la entrada a la corriente, etc.</w:t>
      </w:r>
    </w:p>
    <w:p w14:paraId="5F80B511" w14:textId="77777777" w:rsidR="00597DE2" w:rsidRPr="00DC1A5F" w:rsidRDefault="00597DE2" w:rsidP="00597DE2">
      <w:r w:rsidRPr="00DC1A5F">
        <w:t xml:space="preserve">102. </w:t>
      </w:r>
      <w:r w:rsidRPr="00DC1A5F">
        <w:tab/>
        <w:t xml:space="preserve">Además, todas las verdades serán de un tipo porque no serán irreales, o porque deberán ser entendidas directamente. Serán de dos tipos como (i y </w:t>
      </w:r>
      <w:proofErr w:type="spellStart"/>
      <w:r w:rsidRPr="00DC1A5F">
        <w:t>ii</w:t>
      </w:r>
      <w:proofErr w:type="spellEnd"/>
      <w:r w:rsidRPr="00DC1A5F">
        <w:t>) mundanas y (</w:t>
      </w:r>
      <w:proofErr w:type="spellStart"/>
      <w:r w:rsidRPr="00DC1A5F">
        <w:t>iii</w:t>
      </w:r>
      <w:proofErr w:type="spellEnd"/>
      <w:r w:rsidRPr="00DC1A5F">
        <w:t xml:space="preserve"> y </w:t>
      </w:r>
      <w:proofErr w:type="spellStart"/>
      <w:r w:rsidRPr="00DC1A5F">
        <w:t>iv</w:t>
      </w:r>
      <w:proofErr w:type="spellEnd"/>
      <w:r w:rsidRPr="00DC1A5F">
        <w:t xml:space="preserve">) supramundanas, o (i, </w:t>
      </w:r>
      <w:proofErr w:type="spellStart"/>
      <w:r w:rsidRPr="00DC1A5F">
        <w:t>ii</w:t>
      </w:r>
      <w:proofErr w:type="spellEnd"/>
      <w:r w:rsidRPr="00DC1A5F">
        <w:t xml:space="preserve"> y </w:t>
      </w:r>
      <w:proofErr w:type="spellStart"/>
      <w:r w:rsidRPr="00DC1A5F">
        <w:t>iv</w:t>
      </w:r>
      <w:proofErr w:type="spellEnd"/>
      <w:r w:rsidRPr="00DC1A5F">
        <w:t>) formadas e (</w:t>
      </w:r>
      <w:proofErr w:type="spellStart"/>
      <w:r w:rsidRPr="00DC1A5F">
        <w:t>iii</w:t>
      </w:r>
      <w:proofErr w:type="spellEnd"/>
      <w:r w:rsidRPr="00DC1A5F">
        <w:t>) inmateriales. Serán de tres tipos como (</w:t>
      </w:r>
      <w:proofErr w:type="spellStart"/>
      <w:r w:rsidRPr="00DC1A5F">
        <w:t>ii</w:t>
      </w:r>
      <w:proofErr w:type="spellEnd"/>
      <w:r w:rsidRPr="00DC1A5F">
        <w:t>) para ser abandonadas por la visión y el desarrollo, (</w:t>
      </w:r>
      <w:proofErr w:type="spellStart"/>
      <w:r w:rsidRPr="00DC1A5F">
        <w:t>iii</w:t>
      </w:r>
      <w:proofErr w:type="spellEnd"/>
      <w:r w:rsidRPr="00DC1A5F">
        <w:t xml:space="preserve"> y </w:t>
      </w:r>
      <w:proofErr w:type="spellStart"/>
      <w:r w:rsidRPr="00DC1A5F">
        <w:t>iv</w:t>
      </w:r>
      <w:proofErr w:type="spellEnd"/>
      <w:r w:rsidRPr="00DC1A5F">
        <w:t>) para no ser abandonadas, y (i) ni para ser abandonadas ni no ser abandonadas. Serán de cuatro tipos clasificados de acuerdo con lo que deba entenderse completamente, etc., (ver §28).</w:t>
      </w:r>
    </w:p>
    <w:p w14:paraId="67AF267D" w14:textId="77777777" w:rsidR="00597DE2" w:rsidRPr="00DC1A5F" w:rsidRDefault="00597DE2" w:rsidP="00597DE2">
      <w:pPr>
        <w:pStyle w:val="NormalConSangria"/>
      </w:pPr>
      <w:r w:rsidRPr="00DC1A5F">
        <w:t>Así deberá entenderse la exposición como de un, dos, … tipos. [516]</w:t>
      </w:r>
    </w:p>
    <w:p w14:paraId="45647708" w14:textId="77777777" w:rsidR="00597DE2" w:rsidRPr="00DC1A5F" w:rsidRDefault="00597DE2" w:rsidP="00597DE2">
      <w:pPr>
        <w:tabs>
          <w:tab w:val="clear" w:pos="425"/>
        </w:tabs>
        <w:spacing w:after="160"/>
      </w:pPr>
      <w:r w:rsidRPr="00DC1A5F">
        <w:br w:type="page"/>
      </w:r>
    </w:p>
    <w:p w14:paraId="3A373DC8" w14:textId="77777777" w:rsidR="00597DE2" w:rsidRPr="00DC1A5F" w:rsidRDefault="00597DE2" w:rsidP="00597DE2">
      <w:pPr>
        <w:pStyle w:val="NormalConSangria"/>
      </w:pPr>
    </w:p>
    <w:p w14:paraId="7449ED42" w14:textId="77777777" w:rsidR="00597DE2" w:rsidRPr="00DC1A5F" w:rsidRDefault="00597DE2" w:rsidP="00597DE2">
      <w:r w:rsidRPr="00DC1A5F">
        <w:t xml:space="preserve">103. </w:t>
      </w:r>
      <w:r w:rsidRPr="00DC1A5F">
        <w:tab/>
        <w:t xml:space="preserve">15. </w:t>
      </w:r>
      <w:r w:rsidRPr="00DC1A5F">
        <w:rPr>
          <w:i/>
          <w:iCs/>
        </w:rPr>
        <w:t>En cuanto a lo similar y disimilar</w:t>
      </w:r>
      <w:r w:rsidRPr="00DC1A5F">
        <w:t xml:space="preserve">, todas las verdades son similares entre sí porque no son irreales, porque son carentes de alma  y son difíciles de consumar, según se dice al respecto: “¿Qué piensa, Ānanda, que es más difícil de hacer, más difícil de realizar, que un hombre lance una flecha a través del pequeño agujero de una cerradura desde lo lejos una y otra vez sin fallar o que penetre la punta de un cabello partido cien veces a partir de la punta de un cabello similar?”—“Esto es lo más difícil de hacer, Venerable Señor, lo más difícil de realizar, que un hombre penetre la punta de un cabello partido cien veces con la punta de un cabello similar.”—“Ellos penetrarán en algo que es lo más difícil de penetrar, Ānanda, los que penetren correctamente en lo siguiente, ‘Esto es sufrimiento’... quien penetre correctamente en lo siguiente, ‘Este es el sendero que conduce a la cesación del sufrimiento’” (S V 454). Estos serán disímiles cuando se definan </w:t>
      </w:r>
      <w:proofErr w:type="gramStart"/>
      <w:r w:rsidRPr="00DC1A5F">
        <w:t>de acuerdo a</w:t>
      </w:r>
      <w:proofErr w:type="gramEnd"/>
      <w:r w:rsidRPr="00DC1A5F">
        <w:t xml:space="preserve"> sus características individuales.</w:t>
      </w:r>
    </w:p>
    <w:p w14:paraId="531FE161" w14:textId="77777777" w:rsidR="00597DE2" w:rsidRPr="00DC1A5F" w:rsidRDefault="00597DE2" w:rsidP="00597DE2">
      <w:r w:rsidRPr="00DC1A5F">
        <w:t xml:space="preserve">104. </w:t>
      </w:r>
      <w:r w:rsidRPr="00DC1A5F">
        <w:tab/>
        <w:t xml:space="preserve">Y las dos primeras </w:t>
      </w:r>
      <w:r w:rsidRPr="00DC1A5F">
        <w:rPr>
          <w:color w:val="833C0B" w:themeColor="accent2" w:themeShade="80"/>
        </w:rPr>
        <w:t xml:space="preserve">nobles verdades </w:t>
      </w:r>
      <w:r w:rsidRPr="00DC1A5F">
        <w:t xml:space="preserve">serán símiles porque son profundas y porque son difíciles de comprender, porque son mundanas y porque están sujetas a las corrupciones. Serán disímiles porque se dividen en una causa y un efecto, porque deben comprenderse y abandonarse plenamente, respectivamente. Y las dos últimas </w:t>
      </w:r>
      <w:r w:rsidRPr="00DC1A5F">
        <w:rPr>
          <w:color w:val="833C0B" w:themeColor="accent2" w:themeShade="80"/>
        </w:rPr>
        <w:t xml:space="preserve">verdades </w:t>
      </w:r>
      <w:r w:rsidRPr="00DC1A5F">
        <w:t xml:space="preserve">serán disímiles ya que son difíciles de comprender porque son profundas, ya que son supramundanas y están libres de corrupciones. Serán disímiles porque se dividen en un objeto y lo que posea un objeto, porque deben consumarse y desarrollarse respectivamente. Y la primera y la tercera serán símiles ya que se encuentran vinculados con el término resultado. Serán disímiles al ser formados e inmateriales. También el segundo y el cuarto serán símiles ya que se vinculan con el término correspondiente a la causa. Serán disímiles porque son, respectivamente, </w:t>
      </w:r>
      <w:proofErr w:type="gramStart"/>
      <w:r w:rsidRPr="00DC1A5F">
        <w:t>totalmente improductivos y totalmente productivos</w:t>
      </w:r>
      <w:proofErr w:type="gramEnd"/>
      <w:r w:rsidRPr="00DC1A5F">
        <w:t xml:space="preserve">. Y el primero y el cuarto serán símiles al ser ambos formados. Serán disímiles al ser mundanos y supramundanos. También el segundo y el tercero serán símiles ya que corresponderán a la condición de ni–instructor–ni–no–instructor (ver </w:t>
      </w:r>
      <w:proofErr w:type="spellStart"/>
      <w:r w:rsidRPr="00DC1A5F">
        <w:t>Vibh</w:t>
      </w:r>
      <w:proofErr w:type="spellEnd"/>
      <w:r w:rsidRPr="00DC1A5F">
        <w:t>. 114). Serán disímiles al darse con un objeto y sin un objeto respectivamente.</w:t>
      </w:r>
    </w:p>
    <w:p w14:paraId="09162F5E" w14:textId="77777777" w:rsidR="00597DE2" w:rsidRPr="00DC1A5F" w:rsidRDefault="00597DE2" w:rsidP="00597DE2">
      <w:pPr>
        <w:pStyle w:val="VersoIngls01Sangria"/>
        <w:ind w:left="1701"/>
        <w:rPr>
          <w:sz w:val="16"/>
          <w:szCs w:val="20"/>
        </w:rPr>
      </w:pPr>
      <w:r w:rsidRPr="00DC1A5F">
        <w:rPr>
          <w:sz w:val="16"/>
          <w:szCs w:val="20"/>
        </w:rPr>
        <w:t>Un hombre de visión podrá aplicar</w:t>
      </w:r>
    </w:p>
    <w:p w14:paraId="3323D68E" w14:textId="77777777" w:rsidR="00597DE2" w:rsidRPr="00DC1A5F" w:rsidRDefault="00597DE2" w:rsidP="00597DE2">
      <w:pPr>
        <w:pStyle w:val="VersoIngls01Sangria"/>
        <w:ind w:left="1701"/>
        <w:rPr>
          <w:sz w:val="16"/>
          <w:szCs w:val="20"/>
        </w:rPr>
      </w:pPr>
      <w:r w:rsidRPr="00DC1A5F">
        <w:rPr>
          <w:sz w:val="16"/>
          <w:szCs w:val="20"/>
        </w:rPr>
        <w:t>Por tales medios su talento de tal forma</w:t>
      </w:r>
    </w:p>
    <w:p w14:paraId="00EAE247" w14:textId="77777777" w:rsidR="00597DE2" w:rsidRPr="00DC1A5F" w:rsidRDefault="00597DE2" w:rsidP="00597DE2">
      <w:pPr>
        <w:pStyle w:val="VersoIngls01Sangria"/>
        <w:ind w:left="1701"/>
        <w:rPr>
          <w:sz w:val="16"/>
          <w:szCs w:val="20"/>
        </w:rPr>
      </w:pPr>
      <w:r w:rsidRPr="00DC1A5F">
        <w:rPr>
          <w:sz w:val="16"/>
          <w:szCs w:val="20"/>
        </w:rPr>
        <w:t>Que a través de las verdades él reconocerá</w:t>
      </w:r>
    </w:p>
    <w:p w14:paraId="4DF7655B" w14:textId="77777777" w:rsidR="00597DE2" w:rsidRPr="00DC1A5F" w:rsidRDefault="00597DE2" w:rsidP="00597DE2">
      <w:pPr>
        <w:pStyle w:val="VersoIngls01Sangria"/>
        <w:ind w:left="1701"/>
        <w:rPr>
          <w:sz w:val="16"/>
          <w:szCs w:val="20"/>
        </w:rPr>
      </w:pPr>
      <w:r w:rsidRPr="00DC1A5F">
        <w:rPr>
          <w:sz w:val="16"/>
          <w:szCs w:val="20"/>
        </w:rPr>
        <w:t>Entre lo similar y disimilar.</w:t>
      </w:r>
    </w:p>
    <w:p w14:paraId="26F82A4E" w14:textId="77777777" w:rsidR="00597DE2" w:rsidRPr="00DC1A5F" w:rsidRDefault="00597DE2" w:rsidP="00597DE2">
      <w:pPr>
        <w:pStyle w:val="VersoIngls01Sangria"/>
      </w:pPr>
    </w:p>
    <w:p w14:paraId="197BB3E7" w14:textId="77777777" w:rsidR="00597DE2" w:rsidRPr="00DC1A5F" w:rsidRDefault="00597DE2" w:rsidP="00597DE2">
      <w:pPr>
        <w:ind w:left="709" w:right="1043"/>
      </w:pPr>
      <w:r w:rsidRPr="00DC1A5F">
        <w:t xml:space="preserve">Éste ha sido el decimosexto capítulo bajo el nombre “Descripción de las Facultades y las Verdades” en el Tratado sobre el Desarrollo del Entendimiento del </w:t>
      </w:r>
      <w:r w:rsidRPr="00DC1A5F">
        <w:rPr>
          <w:i/>
          <w:iCs/>
        </w:rPr>
        <w:t>Sendero de la Purificación</w:t>
      </w:r>
      <w:r w:rsidRPr="00DC1A5F">
        <w:t xml:space="preserve"> compuesto para alegría de buenas personas.</w:t>
      </w:r>
    </w:p>
    <w:p w14:paraId="39B155EC" w14:textId="77777777" w:rsidR="00597DE2" w:rsidRPr="00DC1A5F" w:rsidRDefault="00597DE2" w:rsidP="00597DE2">
      <w:pPr>
        <w:tabs>
          <w:tab w:val="clear" w:pos="425"/>
        </w:tabs>
        <w:spacing w:after="160"/>
      </w:pPr>
      <w:r w:rsidRPr="00DC1A5F">
        <w:br w:type="page"/>
      </w:r>
    </w:p>
    <w:p w14:paraId="633A10A1" w14:textId="77777777" w:rsidR="00597DE2" w:rsidRPr="00DC1A5F" w:rsidRDefault="00597DE2" w:rsidP="00597DE2"/>
    <w:p w14:paraId="459CDEC8" w14:textId="77777777" w:rsidR="00597DE2" w:rsidRPr="00DC1A5F" w:rsidRDefault="00597DE2" w:rsidP="00597DE2"/>
    <w:p w14:paraId="2E1B86E2" w14:textId="77777777" w:rsidR="00597DE2" w:rsidRPr="00DC1A5F" w:rsidRDefault="00597DE2" w:rsidP="00597DE2"/>
    <w:p w14:paraId="711258FA" w14:textId="77777777" w:rsidR="00597DE2" w:rsidRPr="00DC1A5F" w:rsidRDefault="00597DE2" w:rsidP="00597DE2">
      <w:pPr>
        <w:pStyle w:val="Ttulo2"/>
        <w:jc w:val="center"/>
      </w:pPr>
      <w:bookmarkStart w:id="5" w:name="_Toc142334412"/>
      <w:r w:rsidRPr="00DC1A5F">
        <w:t>Capítulo XVII</w:t>
      </w:r>
      <w:r w:rsidRPr="00DC1A5F">
        <w:br/>
        <w:t>El Fundamento del Entendimiento—Conclusión:</w:t>
      </w:r>
      <w:r w:rsidRPr="00DC1A5F">
        <w:br/>
        <w:t>La Originación Dependiente Según su Condición</w:t>
      </w:r>
      <w:bookmarkEnd w:id="5"/>
    </w:p>
    <w:p w14:paraId="67EC5698" w14:textId="77777777" w:rsidR="00597DE2" w:rsidRPr="00DC1A5F" w:rsidRDefault="00597DE2" w:rsidP="00597DE2"/>
    <w:p w14:paraId="70C2F516" w14:textId="77777777" w:rsidR="00597DE2" w:rsidRPr="00DC1A5F" w:rsidRDefault="00597DE2" w:rsidP="00597DE2">
      <w:pPr>
        <w:pStyle w:val="Textoindependiente"/>
        <w:jc w:val="center"/>
        <w:rPr>
          <w:b/>
          <w:i/>
        </w:rPr>
      </w:pPr>
      <w:r w:rsidRPr="00DC1A5F">
        <w:rPr>
          <w:b/>
          <w:i/>
        </w:rPr>
        <w:t>(Paññā–</w:t>
      </w:r>
      <w:proofErr w:type="spellStart"/>
      <w:r w:rsidRPr="00DC1A5F">
        <w:rPr>
          <w:b/>
          <w:i/>
        </w:rPr>
        <w:t>bhūmi</w:t>
      </w:r>
      <w:proofErr w:type="spellEnd"/>
      <w:r w:rsidRPr="00DC1A5F">
        <w:rPr>
          <w:b/>
          <w:i/>
        </w:rPr>
        <w:t>–</w:t>
      </w:r>
      <w:proofErr w:type="spellStart"/>
      <w:r w:rsidRPr="00DC1A5F">
        <w:rPr>
          <w:b/>
          <w:i/>
        </w:rPr>
        <w:t>niddesa</w:t>
      </w:r>
      <w:proofErr w:type="spellEnd"/>
      <w:r w:rsidRPr="00DC1A5F">
        <w:rPr>
          <w:b/>
          <w:i/>
        </w:rPr>
        <w:t>)</w:t>
      </w:r>
    </w:p>
    <w:p w14:paraId="02412E1A" w14:textId="77777777" w:rsidR="00597DE2" w:rsidRPr="00DC1A5F" w:rsidRDefault="00597DE2" w:rsidP="00597DE2">
      <w:pPr>
        <w:pStyle w:val="Ttulo3"/>
        <w:ind w:left="708"/>
      </w:pPr>
      <w:r w:rsidRPr="00DC1A5F">
        <w:t>[</w:t>
      </w:r>
      <w:r w:rsidRPr="00DC1A5F">
        <w:rPr>
          <w:rStyle w:val="Ttulo3Car"/>
          <w:smallCaps/>
        </w:rPr>
        <w:t>Sección A. Definición de la Originación Dependiente</w:t>
      </w:r>
      <w:r w:rsidRPr="00DC1A5F">
        <w:t>]</w:t>
      </w:r>
    </w:p>
    <w:p w14:paraId="19925E82" w14:textId="77777777" w:rsidR="00597DE2" w:rsidRPr="00DC1A5F" w:rsidRDefault="00597DE2" w:rsidP="00597DE2">
      <w:r w:rsidRPr="00DC1A5F">
        <w:t xml:space="preserve">1. </w:t>
      </w:r>
      <w:r w:rsidRPr="00DC1A5F">
        <w:tab/>
        <w:t>[517] Ahora, ha llegado el turno de la exposición de la originación dependiente en sí y de los estados originados dependientemente que serán entendidos mediante la palabra “etc.”, ya que estos aún permanecerán fuera de los estados conocidos como el “suelo” (</w:t>
      </w:r>
      <w:proofErr w:type="spellStart"/>
      <w:r w:rsidRPr="00DC1A5F">
        <w:rPr>
          <w:i/>
          <w:iCs/>
        </w:rPr>
        <w:t>bhūmi</w:t>
      </w:r>
      <w:proofErr w:type="spellEnd"/>
      <w:r w:rsidRPr="00DC1A5F">
        <w:t>), de los cuales se desarrolló anteriormente, “Los estados clasificados como agregados, bases, elementos, facultades, verdades y originación dependiente, etc., representarán el ‘suelo’” (XIV.32).</w:t>
      </w:r>
    </w:p>
    <w:p w14:paraId="1F406A83" w14:textId="77777777" w:rsidR="00597DE2" w:rsidRPr="00DC1A5F" w:rsidRDefault="00597DE2" w:rsidP="00597DE2">
      <w:r w:rsidRPr="00DC1A5F">
        <w:t xml:space="preserve">2. </w:t>
      </w:r>
      <w:r w:rsidRPr="00DC1A5F">
        <w:tab/>
        <w:t xml:space="preserve">Aquí, en primer lugar, serán los estados que comienzan con la ignorancia los que deberán entenderse como la </w:t>
      </w:r>
      <w:r w:rsidRPr="00DC1A5F">
        <w:rPr>
          <w:i/>
          <w:iCs/>
        </w:rPr>
        <w:t>originación dependiente</w:t>
      </w:r>
      <w:r w:rsidRPr="00DC1A5F">
        <w:t xml:space="preserve">. Porque el </w:t>
      </w:r>
      <w:r w:rsidRPr="00DC1A5F">
        <w:rPr>
          <w:i/>
          <w:iCs/>
        </w:rPr>
        <w:t>Bhagavā</w:t>
      </w:r>
      <w:r w:rsidRPr="00DC1A5F">
        <w:t xml:space="preserve"> dijo esto al respecto: “¿Y qué es la originación dependiente, </w:t>
      </w:r>
      <w:proofErr w:type="spellStart"/>
      <w:r w:rsidRPr="00DC1A5F">
        <w:rPr>
          <w:i/>
          <w:iCs/>
        </w:rPr>
        <w:t>bhikkhus</w:t>
      </w:r>
      <w:proofErr w:type="spellEnd"/>
      <w:r w:rsidRPr="00DC1A5F">
        <w:t xml:space="preserve">? Con la ignorancia como condición se originan las formaciones volitivas; con las formaciones volitivas como condición, se originan la consciencia; con la consciencia como condición, la materialidad―mentalidad; con la materialidad―mentalidad como condición, la base séxtuple; con la base séxtuple como condición, el contacto; con el contacto como condición, la sensación; con la sensación como condición, el deseo; con el deseo como condición, el apego; con el apego como condición, el devenir; con el devenir como condición, el nacimiento; con el nacimiento como condición, vejez–y–muerte, la aflicción, la lamentación, el dolor, la angustia y la desesperación; así es como surge toda esta masa de sufrimiento. A esto se le denomina la originación dependiente, </w:t>
      </w:r>
      <w:proofErr w:type="spellStart"/>
      <w:r w:rsidRPr="00DC1A5F">
        <w:rPr>
          <w:i/>
        </w:rPr>
        <w:t>bhikkhu</w:t>
      </w:r>
      <w:r w:rsidRPr="00DC1A5F">
        <w:t>s</w:t>
      </w:r>
      <w:proofErr w:type="spellEnd"/>
      <w:r w:rsidRPr="00DC1A5F">
        <w:t>” (S II 1).</w:t>
      </w:r>
    </w:p>
    <w:p w14:paraId="0542E06F" w14:textId="77777777" w:rsidR="00597DE2" w:rsidRPr="00DC1A5F" w:rsidRDefault="00597DE2" w:rsidP="00597DE2">
      <w:r w:rsidRPr="00DC1A5F">
        <w:t xml:space="preserve">3. </w:t>
      </w:r>
      <w:r w:rsidRPr="00DC1A5F">
        <w:tab/>
        <w:t xml:space="preserve">En segundo lugar, son los estados que comienzan con el envejecimiento y la muerte los que deberán entenderse como los estados originados dependientemente. Ya que el </w:t>
      </w:r>
      <w:r w:rsidRPr="00DC1A5F">
        <w:rPr>
          <w:i/>
          <w:iCs/>
        </w:rPr>
        <w:t>Bhagavā</w:t>
      </w:r>
      <w:r w:rsidRPr="00DC1A5F">
        <w:t xml:space="preserve"> dijo esto al respecto: “¿Y cuáles son los </w:t>
      </w:r>
      <w:r w:rsidRPr="00DC1A5F">
        <w:rPr>
          <w:i/>
          <w:iCs/>
        </w:rPr>
        <w:t>estados de la originación dependiente</w:t>
      </w:r>
      <w:r w:rsidRPr="00DC1A5F">
        <w:t xml:space="preserve">, </w:t>
      </w:r>
      <w:proofErr w:type="spellStart"/>
      <w:r w:rsidRPr="00DC1A5F">
        <w:rPr>
          <w:i/>
          <w:iCs/>
        </w:rPr>
        <w:t>bhikkhus</w:t>
      </w:r>
      <w:proofErr w:type="spellEnd"/>
      <w:r w:rsidRPr="00DC1A5F">
        <w:t xml:space="preserve">? El envejecimiento y la muerte son impermanentes, </w:t>
      </w:r>
      <w:proofErr w:type="spellStart"/>
      <w:r w:rsidRPr="00DC1A5F">
        <w:rPr>
          <w:i/>
        </w:rPr>
        <w:t>bhikkhu</w:t>
      </w:r>
      <w:r w:rsidRPr="00DC1A5F">
        <w:t>s</w:t>
      </w:r>
      <w:proofErr w:type="spellEnd"/>
      <w:r w:rsidRPr="00DC1A5F">
        <w:t>, formados, originados de manera dependiente, sujetos a destrucción, sujetos al colapso, sujetos a la desaparición, sujetos a la cesación.</w:t>
      </w:r>
      <w:r w:rsidRPr="00DC1A5F">
        <w:rPr>
          <w:vertAlign w:val="superscript"/>
        </w:rPr>
        <w:t>1</w:t>
      </w:r>
      <w:r w:rsidRPr="00DC1A5F">
        <w:t xml:space="preserve"> El nacimiento es impermanente, </w:t>
      </w:r>
      <w:proofErr w:type="spellStart"/>
      <w:r w:rsidRPr="00DC1A5F">
        <w:rPr>
          <w:i/>
        </w:rPr>
        <w:t>bhikkhu</w:t>
      </w:r>
      <w:r w:rsidRPr="00DC1A5F">
        <w:t>s</w:t>
      </w:r>
      <w:proofErr w:type="spellEnd"/>
      <w:r w:rsidRPr="00DC1A5F">
        <w:t xml:space="preserve">... el Devenir... el Apego... el Deseo... la Sensación... el Contacto... la Base Séxtuple... la Materialidad―Mentalidad... la Consciencia... las Formaciones... La ignorancia es impermanente, </w:t>
      </w:r>
      <w:proofErr w:type="spellStart"/>
      <w:r w:rsidRPr="00DC1A5F">
        <w:rPr>
          <w:i/>
        </w:rPr>
        <w:t>bhikkhu</w:t>
      </w:r>
      <w:r w:rsidRPr="00DC1A5F">
        <w:t>s</w:t>
      </w:r>
      <w:proofErr w:type="spellEnd"/>
      <w:r w:rsidRPr="00DC1A5F">
        <w:t xml:space="preserve">, formada, originada dependientemente, está sujeta a la destrucción, sujeta al colapso, sujeta a la desaparición, sujeta a la cesación. A éstos se les denomina los estados de la originación dependiente, </w:t>
      </w:r>
      <w:proofErr w:type="spellStart"/>
      <w:r w:rsidRPr="00DC1A5F">
        <w:rPr>
          <w:i/>
        </w:rPr>
        <w:t>bhikkhu</w:t>
      </w:r>
      <w:r w:rsidRPr="00DC1A5F">
        <w:t>s</w:t>
      </w:r>
      <w:proofErr w:type="spellEnd"/>
      <w:r w:rsidRPr="00DC1A5F">
        <w:t>” (S II 26). [518]</w:t>
      </w:r>
    </w:p>
    <w:p w14:paraId="71A8C8A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327AA8D" w14:textId="77777777" w:rsidR="00597DE2" w:rsidRPr="00DC1A5F" w:rsidRDefault="00597DE2" w:rsidP="00597DE2">
      <w:pPr>
        <w:pStyle w:val="PiedepginaLegal"/>
        <w:numPr>
          <w:ilvl w:val="0"/>
          <w:numId w:val="6"/>
        </w:numPr>
        <w:tabs>
          <w:tab w:val="clear" w:pos="425"/>
        </w:tabs>
        <w:ind w:left="284" w:hanging="284"/>
      </w:pPr>
      <w:r w:rsidRPr="00DC1A5F">
        <w:t>“‘Sujeto a la destrucción’ (</w:t>
      </w:r>
      <w:proofErr w:type="spellStart"/>
      <w:r w:rsidRPr="00DC1A5F">
        <w:rPr>
          <w:i/>
          <w:iCs/>
        </w:rPr>
        <w:t>khaya</w:t>
      </w:r>
      <w:proofErr w:type="spellEnd"/>
      <w:r w:rsidRPr="00DC1A5F">
        <w:t>–</w:t>
      </w:r>
      <w:r w:rsidRPr="00DC1A5F">
        <w:rPr>
          <w:i/>
        </w:rPr>
        <w:t>dhamma</w:t>
      </w:r>
      <w:r w:rsidRPr="00DC1A5F">
        <w:t>) significa que su esencia individual corresponderá a un estado susceptible de destruirse (</w:t>
      </w:r>
      <w:proofErr w:type="spellStart"/>
      <w:r w:rsidRPr="00DC1A5F">
        <w:rPr>
          <w:i/>
          <w:iCs/>
        </w:rPr>
        <w:t>khayana</w:t>
      </w:r>
      <w:proofErr w:type="spellEnd"/>
      <w:r w:rsidRPr="00DC1A5F">
        <w:rPr>
          <w:i/>
          <w:iCs/>
        </w:rPr>
        <w:t>–</w:t>
      </w:r>
      <w:proofErr w:type="spellStart"/>
      <w:r w:rsidRPr="00DC1A5F">
        <w:rPr>
          <w:i/>
          <w:iCs/>
        </w:rPr>
        <w:t>sabhāva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549). Las otras expresiones se explican de la misma manera.</w:t>
      </w:r>
    </w:p>
    <w:p w14:paraId="53C6E06D" w14:textId="77777777" w:rsidR="00597DE2" w:rsidRPr="00DC1A5F" w:rsidRDefault="00597DE2" w:rsidP="00597DE2">
      <w:pPr>
        <w:pStyle w:val="PiedepginaLegal"/>
      </w:pPr>
    </w:p>
    <w:p w14:paraId="0F9CA385" w14:textId="77777777" w:rsidR="00597DE2" w:rsidRPr="00DC1A5F" w:rsidRDefault="00597DE2" w:rsidP="00597DE2">
      <w:pPr>
        <w:tabs>
          <w:tab w:val="clear" w:pos="425"/>
        </w:tabs>
        <w:spacing w:after="160"/>
      </w:pPr>
      <w:r w:rsidRPr="00DC1A5F">
        <w:br w:type="page"/>
      </w:r>
    </w:p>
    <w:p w14:paraId="0739EAB4" w14:textId="77777777" w:rsidR="00597DE2" w:rsidRPr="00DC1A5F" w:rsidRDefault="00597DE2" w:rsidP="00597DE2"/>
    <w:p w14:paraId="53EDB682" w14:textId="77777777" w:rsidR="00597DE2" w:rsidRPr="00DC1A5F" w:rsidRDefault="00597DE2" w:rsidP="00597DE2">
      <w:r w:rsidRPr="00DC1A5F">
        <w:t xml:space="preserve">4. </w:t>
      </w:r>
      <w:r w:rsidRPr="00DC1A5F">
        <w:tab/>
        <w:t xml:space="preserve">Aquí una breve explicación al respecto: los estados que correspondan a una serie de condiciones deberán entenderse como </w:t>
      </w:r>
      <w:r w:rsidRPr="00DC1A5F">
        <w:rPr>
          <w:i/>
          <w:iCs/>
        </w:rPr>
        <w:t>originación dependiente</w:t>
      </w:r>
      <w:r w:rsidRPr="00DC1A5F">
        <w:t xml:space="preserve">. Los estados generados por tales y cuales condiciones corresponderán a los </w:t>
      </w:r>
      <w:r w:rsidRPr="00DC1A5F">
        <w:rPr>
          <w:i/>
          <w:iCs/>
        </w:rPr>
        <w:t>estados de la originación dependiente</w:t>
      </w:r>
      <w:r w:rsidRPr="00DC1A5F">
        <w:t>.</w:t>
      </w:r>
    </w:p>
    <w:p w14:paraId="617F7F21" w14:textId="77777777" w:rsidR="00597DE2" w:rsidRPr="00DC1A5F" w:rsidRDefault="00597DE2" w:rsidP="00597DE2">
      <w:r w:rsidRPr="00DC1A5F">
        <w:t xml:space="preserve">5. </w:t>
      </w:r>
      <w:r w:rsidRPr="00DC1A5F">
        <w:tab/>
        <w:t xml:space="preserve">¿Cómo ha de saberse esto? Mediante la palabra del </w:t>
      </w:r>
      <w:r w:rsidRPr="00DC1A5F">
        <w:rPr>
          <w:i/>
          <w:iCs/>
        </w:rPr>
        <w:t>Bhagavā</w:t>
      </w:r>
      <w:r w:rsidRPr="00DC1A5F">
        <w:t xml:space="preserve">. Porque serán precisamente esos estados los que estarán condicionados, que con los sinónimos que comienzan con “realidad” han sido denominados “originación dependiente” por el </w:t>
      </w:r>
      <w:r w:rsidRPr="00DC1A5F">
        <w:rPr>
          <w:i/>
          <w:iCs/>
        </w:rPr>
        <w:t>Bhagavā</w:t>
      </w:r>
      <w:r w:rsidRPr="00DC1A5F">
        <w:t xml:space="preserve"> cuando expuso la originación dependiente en el </w:t>
      </w:r>
      <w:proofErr w:type="spellStart"/>
      <w:r w:rsidRPr="00DC1A5F">
        <w:rPr>
          <w:i/>
          <w:iCs/>
        </w:rPr>
        <w:t>sutta</w:t>
      </w:r>
      <w:proofErr w:type="spellEnd"/>
      <w:r w:rsidRPr="00DC1A5F">
        <w:t xml:space="preserve"> sobre la Enseñanza de la Originación Dependiente y de los Estados Originados Dependientemente. de este modo:</w:t>
      </w:r>
    </w:p>
    <w:p w14:paraId="733CF006" w14:textId="77777777" w:rsidR="00597DE2" w:rsidRPr="00DC1A5F" w:rsidRDefault="00597DE2" w:rsidP="00597DE2">
      <w:pPr>
        <w:pStyle w:val="NormalConSangria"/>
      </w:pPr>
      <w:r w:rsidRPr="00DC1A5F">
        <w:t xml:space="preserve">“¿Y qué es la originación dependiente, </w:t>
      </w:r>
      <w:proofErr w:type="spellStart"/>
      <w:r w:rsidRPr="00DC1A5F">
        <w:rPr>
          <w:i/>
          <w:iCs/>
        </w:rPr>
        <w:t>bhikkhus</w:t>
      </w:r>
      <w:proofErr w:type="spellEnd"/>
      <w:r w:rsidRPr="00DC1A5F">
        <w:t>?</w:t>
      </w:r>
    </w:p>
    <w:p w14:paraId="03D10A9F" w14:textId="77777777" w:rsidR="00597DE2" w:rsidRPr="00DC1A5F" w:rsidRDefault="00597DE2" w:rsidP="00597DE2">
      <w:pPr>
        <w:pStyle w:val="NormalConSangria"/>
      </w:pPr>
      <w:r w:rsidRPr="00DC1A5F">
        <w:t xml:space="preserve">“Con el nacimiento como condición, </w:t>
      </w:r>
      <w:proofErr w:type="spellStart"/>
      <w:r w:rsidRPr="00DC1A5F">
        <w:rPr>
          <w:i/>
          <w:iCs/>
        </w:rPr>
        <w:t>bhikkhus</w:t>
      </w:r>
      <w:proofErr w:type="spellEnd"/>
      <w:r w:rsidRPr="00DC1A5F">
        <w:t>, se dará el envejecimiento y la muerte. Ya sea que surjan o no surjan los Perfectos, todavía prevalecerá ese elemento, la relación de los estados, la regularidad de los estados, la condicionalidad específica. El Perfecto lo descubre, penetra en él. Habiéndolo descubierto, penetrado en ella, lo anuncia, lo enseña, lo da a conocer, lo establece, lo expone, lo presenta y lo explica: “Miren”, dice él, “con el nacimiento como condición se originan la vejez y la muerte”.</w:t>
      </w:r>
    </w:p>
    <w:p w14:paraId="059133BB" w14:textId="77777777" w:rsidR="00597DE2" w:rsidRPr="00DC1A5F" w:rsidRDefault="00597DE2" w:rsidP="00597DE2">
      <w:pPr>
        <w:pStyle w:val="NormalConSangria"/>
      </w:pPr>
      <w:r w:rsidRPr="00DC1A5F">
        <w:t>“Con el devenir como condición, monjes, se origina el nacimiento… Con la ignorancia como condición, monjes, las formaciones. Ya sea que surjan o no surjan los Perfectos, todavía prevalecerá ese elemento, la relación de los estados, la regularidad de los estados, la condicionalidad específica. El Perfecto lo descubre, penetra en él. Habiéndolo descubierto, penetrado en él, lo anuncia, lo enseña, lo da a conocer, lo establece, la expone, la presenta y la explica: “Miren”, dice, “con la ignorancia como condición se originan las formaciones”.</w:t>
      </w:r>
    </w:p>
    <w:p w14:paraId="2E7A48BA" w14:textId="77777777" w:rsidR="00597DE2" w:rsidRPr="00DC1A5F" w:rsidRDefault="00597DE2" w:rsidP="00597DE2">
      <w:pPr>
        <w:pStyle w:val="NormalConSangria"/>
      </w:pPr>
      <w:r w:rsidRPr="00DC1A5F">
        <w:t>“Entonces, monjes, eso que aquí es una realidad, no una irrealidad, no una alteridad, una condicionalidad específica: a eso se le llamará la originación dependiente” (S II 25f.).</w:t>
      </w:r>
    </w:p>
    <w:p w14:paraId="2444DF77" w14:textId="77777777" w:rsidR="00597DE2" w:rsidRPr="00DC1A5F" w:rsidRDefault="00597DE2" w:rsidP="00597DE2">
      <w:pPr>
        <w:pStyle w:val="NormalConSangria"/>
      </w:pPr>
      <w:r w:rsidRPr="00DC1A5F">
        <w:t xml:space="preserve">En consecuencia, deberá entenderse que la originación dependiente tiene la </w:t>
      </w:r>
      <w:r w:rsidRPr="00DC1A5F">
        <w:rPr>
          <w:i/>
          <w:iCs/>
        </w:rPr>
        <w:t>característica</w:t>
      </w:r>
      <w:r w:rsidRPr="00DC1A5F">
        <w:t xml:space="preserve"> de representar las condiciones de los estados que comienzan con la vejez y la muerte. Su </w:t>
      </w:r>
      <w:r w:rsidRPr="00DC1A5F">
        <w:rPr>
          <w:i/>
          <w:iCs/>
        </w:rPr>
        <w:t>función</w:t>
      </w:r>
      <w:r w:rsidRPr="00DC1A5F">
        <w:t xml:space="preserve"> es perpetuar el proceso de generación de sufrimiento. Se </w:t>
      </w:r>
      <w:r w:rsidRPr="00DC1A5F">
        <w:rPr>
          <w:i/>
          <w:iCs/>
        </w:rPr>
        <w:t>manifiesta</w:t>
      </w:r>
      <w:r w:rsidRPr="00DC1A5F">
        <w:t xml:space="preserve"> como el sendero incorrecto.</w:t>
      </w:r>
    </w:p>
    <w:p w14:paraId="013D8E2F" w14:textId="77777777" w:rsidR="00597DE2" w:rsidRPr="00DC1A5F" w:rsidRDefault="00597DE2" w:rsidP="00597DE2">
      <w:r w:rsidRPr="00DC1A5F">
        <w:t xml:space="preserve">6. </w:t>
      </w:r>
      <w:r w:rsidRPr="00DC1A5F">
        <w:tab/>
        <w:t xml:space="preserve">Debido a que los estados particulares son producidos por condiciones particulares, ni por menos ni por más, se le denominará la </w:t>
      </w:r>
      <w:r w:rsidRPr="00DC1A5F">
        <w:rPr>
          <w:i/>
          <w:iCs/>
        </w:rPr>
        <w:t>realidad</w:t>
      </w:r>
      <w:r w:rsidRPr="00DC1A5F">
        <w:t xml:space="preserve"> (talidad). Debido a que una vez que las condiciones se hayan reunido en combinación, no existirá una no–producción, ni siquiera por un instante, de los estados que estos generen, se le denominará </w:t>
      </w:r>
      <w:r w:rsidRPr="00DC1A5F">
        <w:rPr>
          <w:i/>
          <w:iCs/>
        </w:rPr>
        <w:t>no</w:t>
      </w:r>
      <w:r w:rsidRPr="00DC1A5F">
        <w:t>–</w:t>
      </w:r>
      <w:r w:rsidRPr="00DC1A5F">
        <w:rPr>
          <w:i/>
          <w:iCs/>
        </w:rPr>
        <w:t>irrealidad</w:t>
      </w:r>
      <w:r w:rsidRPr="00DC1A5F">
        <w:t xml:space="preserve"> (no talidad). Debido a que no se dará ningún surgimiento de un estado con condiciones de otro estado, se le denominará </w:t>
      </w:r>
      <w:r w:rsidRPr="00DC1A5F">
        <w:rPr>
          <w:i/>
          <w:iCs/>
        </w:rPr>
        <w:t>no</w:t>
      </w:r>
      <w:r w:rsidRPr="00DC1A5F">
        <w:t>–</w:t>
      </w:r>
      <w:r w:rsidRPr="00DC1A5F">
        <w:rPr>
          <w:i/>
          <w:iCs/>
        </w:rPr>
        <w:t>alteridad</w:t>
      </w:r>
      <w:r w:rsidRPr="00DC1A5F">
        <w:t>. Debido a que existirá una condición, o debido a que existirá una suma de condiciones para estos estados comenzando con el envejecimiento–y–la–muerte</w:t>
      </w:r>
      <w:r w:rsidRPr="00DC1A5F">
        <w:rPr>
          <w:i/>
          <w:iCs/>
        </w:rPr>
        <w:t>,</w:t>
      </w:r>
      <w:r w:rsidRPr="00DC1A5F">
        <w:t xml:space="preserve"> como ya se dijo, se le denominará </w:t>
      </w:r>
      <w:r w:rsidRPr="00DC1A5F">
        <w:rPr>
          <w:i/>
          <w:iCs/>
        </w:rPr>
        <w:t>condicionalidad específica</w:t>
      </w:r>
      <w:r w:rsidRPr="00DC1A5F">
        <w:t>.</w:t>
      </w:r>
    </w:p>
    <w:p w14:paraId="31844C29" w14:textId="77777777" w:rsidR="00597DE2" w:rsidRPr="00DC1A5F" w:rsidRDefault="00597DE2" w:rsidP="00597DE2">
      <w:r w:rsidRPr="00DC1A5F">
        <w:t xml:space="preserve">7. </w:t>
      </w:r>
      <w:r w:rsidRPr="00DC1A5F">
        <w:tab/>
        <w:t xml:space="preserve">A continuación se presenta el significado de cada palabra: </w:t>
      </w:r>
      <w:proofErr w:type="spellStart"/>
      <w:r w:rsidRPr="00DC1A5F">
        <w:rPr>
          <w:i/>
          <w:iCs/>
        </w:rPr>
        <w:t>idappaccayā</w:t>
      </w:r>
      <w:proofErr w:type="spellEnd"/>
      <w:r w:rsidRPr="00DC1A5F">
        <w:t xml:space="preserve"> (</w:t>
      </w:r>
      <w:proofErr w:type="spellStart"/>
      <w:r w:rsidRPr="00DC1A5F">
        <w:t>lit.</w:t>
      </w:r>
      <w:proofErr w:type="spellEnd"/>
      <w:r w:rsidRPr="00DC1A5F">
        <w:t xml:space="preserve"> esas–condiciones) = </w:t>
      </w:r>
      <w:proofErr w:type="spellStart"/>
      <w:r w:rsidRPr="00DC1A5F">
        <w:rPr>
          <w:i/>
          <w:iCs/>
        </w:rPr>
        <w:t>imesaṃ</w:t>
      </w:r>
      <w:proofErr w:type="spellEnd"/>
      <w:r w:rsidRPr="00DC1A5F">
        <w:rPr>
          <w:i/>
          <w:iCs/>
        </w:rPr>
        <w:t xml:space="preserve"> paccayā</w:t>
      </w:r>
      <w:r w:rsidRPr="00DC1A5F">
        <w:t xml:space="preserve"> (condiciones para aquellos); </w:t>
      </w:r>
      <w:proofErr w:type="spellStart"/>
      <w:r w:rsidRPr="00DC1A5F">
        <w:rPr>
          <w:i/>
          <w:iCs/>
        </w:rPr>
        <w:t>idappaccayā</w:t>
      </w:r>
      <w:proofErr w:type="spellEnd"/>
      <w:r w:rsidRPr="00DC1A5F">
        <w:t xml:space="preserve"> (esa–condición) = </w:t>
      </w:r>
      <w:proofErr w:type="spellStart"/>
      <w:r w:rsidRPr="00DC1A5F">
        <w:rPr>
          <w:i/>
          <w:iCs/>
        </w:rPr>
        <w:t>idappaccayatā</w:t>
      </w:r>
      <w:proofErr w:type="spellEnd"/>
      <w:r w:rsidRPr="00DC1A5F">
        <w:t xml:space="preserve"> (esa condicionalidad, condicionalidad para aquellos, condicionalidad específica). O alternativamente, </w:t>
      </w:r>
      <w:proofErr w:type="spellStart"/>
      <w:r w:rsidRPr="00DC1A5F">
        <w:rPr>
          <w:i/>
          <w:iCs/>
        </w:rPr>
        <w:t>idappaccayatā</w:t>
      </w:r>
      <w:proofErr w:type="spellEnd"/>
      <w:r w:rsidRPr="00DC1A5F">
        <w:t xml:space="preserve"> (esa–condicionalidad) = </w:t>
      </w:r>
      <w:proofErr w:type="spellStart"/>
      <w:r w:rsidRPr="00DC1A5F">
        <w:rPr>
          <w:i/>
          <w:iCs/>
        </w:rPr>
        <w:t>idappaccayānaṃ</w:t>
      </w:r>
      <w:proofErr w:type="spellEnd"/>
      <w:r w:rsidRPr="00DC1A5F">
        <w:rPr>
          <w:i/>
          <w:iCs/>
        </w:rPr>
        <w:t xml:space="preserve"> </w:t>
      </w:r>
      <w:proofErr w:type="spellStart"/>
      <w:r w:rsidRPr="00DC1A5F">
        <w:rPr>
          <w:i/>
          <w:iCs/>
        </w:rPr>
        <w:t>samūho</w:t>
      </w:r>
      <w:proofErr w:type="spellEnd"/>
      <w:r w:rsidRPr="00DC1A5F">
        <w:t xml:space="preserve"> (el total de esas condiciones, total condicionalidad específica).</w:t>
      </w:r>
    </w:p>
    <w:p w14:paraId="3B6A8561" w14:textId="77777777" w:rsidR="00597DE2" w:rsidRPr="00DC1A5F" w:rsidRDefault="00597DE2" w:rsidP="00597DE2">
      <w:pPr>
        <w:tabs>
          <w:tab w:val="clear" w:pos="425"/>
        </w:tabs>
        <w:spacing w:after="160"/>
      </w:pPr>
      <w:r w:rsidRPr="00DC1A5F">
        <w:br w:type="page"/>
      </w:r>
    </w:p>
    <w:p w14:paraId="008BC055" w14:textId="77777777" w:rsidR="00597DE2" w:rsidRPr="00DC1A5F" w:rsidRDefault="00597DE2" w:rsidP="00597DE2"/>
    <w:p w14:paraId="0C5E2FD5" w14:textId="77777777" w:rsidR="00597DE2" w:rsidRPr="00DC1A5F" w:rsidRDefault="00597DE2" w:rsidP="00597DE2">
      <w:r w:rsidRPr="00DC1A5F">
        <w:t xml:space="preserve">8. </w:t>
      </w:r>
      <w:r w:rsidRPr="00DC1A5F">
        <w:tab/>
        <w:t xml:space="preserve">La </w:t>
      </w:r>
      <w:r w:rsidRPr="00DC1A5F">
        <w:rPr>
          <w:i/>
          <w:iCs/>
        </w:rPr>
        <w:t>característica</w:t>
      </w:r>
      <w:r w:rsidRPr="00DC1A5F">
        <w:t xml:space="preserve"> deberá buscarse en la gramática. Algunos, de hecho, dicen que la expresión </w:t>
      </w:r>
      <w:proofErr w:type="spellStart"/>
      <w:r w:rsidRPr="00DC1A5F">
        <w:rPr>
          <w:i/>
          <w:iCs/>
        </w:rPr>
        <w:t>paṭicca</w:t>
      </w:r>
      <w:proofErr w:type="spellEnd"/>
      <w:r w:rsidRPr="00DC1A5F">
        <w:rPr>
          <w:i/>
          <w:iCs/>
        </w:rPr>
        <w:t xml:space="preserve"> </w:t>
      </w:r>
      <w:proofErr w:type="spellStart"/>
      <w:r w:rsidRPr="00DC1A5F">
        <w:rPr>
          <w:i/>
          <w:iCs/>
        </w:rPr>
        <w:t>samuppāda</w:t>
      </w:r>
      <w:proofErr w:type="spellEnd"/>
      <w:r w:rsidRPr="00DC1A5F">
        <w:t xml:space="preserve"> (la originación dependiente) se caracteriza así: “habiendo dependido (</w:t>
      </w:r>
      <w:proofErr w:type="spellStart"/>
      <w:r w:rsidRPr="00DC1A5F">
        <w:rPr>
          <w:i/>
          <w:iCs/>
        </w:rPr>
        <w:t>paṭicca</w:t>
      </w:r>
      <w:proofErr w:type="spellEnd"/>
      <w:r w:rsidRPr="00DC1A5F">
        <w:t xml:space="preserve">), un </w:t>
      </w:r>
      <w:r w:rsidRPr="00DC1A5F">
        <w:rPr>
          <w:color w:val="833C0B" w:themeColor="accent2" w:themeShade="80"/>
        </w:rPr>
        <w:t>correcto</w:t>
      </w:r>
      <w:r w:rsidRPr="00DC1A5F">
        <w:t xml:space="preserve"> (</w:t>
      </w:r>
      <w:proofErr w:type="spellStart"/>
      <w:r w:rsidRPr="00DC1A5F">
        <w:rPr>
          <w:i/>
        </w:rPr>
        <w:t>sammā</w:t>
      </w:r>
      <w:proofErr w:type="spellEnd"/>
      <w:r w:rsidRPr="00DC1A5F">
        <w:t>) surgimiento (</w:t>
      </w:r>
      <w:proofErr w:type="spellStart"/>
      <w:r w:rsidRPr="00DC1A5F">
        <w:rPr>
          <w:i/>
          <w:iCs/>
        </w:rPr>
        <w:t>uppāda</w:t>
      </w:r>
      <w:proofErr w:type="spellEnd"/>
      <w:r w:rsidRPr="00DC1A5F">
        <w:t>), dependiente correctamente de causas mediante la omisión de tales causas conjeturadas por los sectarios como la Esencia Primordial (</w:t>
      </w:r>
      <w:proofErr w:type="spellStart"/>
      <w:r w:rsidRPr="00DC1A5F">
        <w:rPr>
          <w:i/>
          <w:iCs/>
        </w:rPr>
        <w:t>Prakṛti</w:t>
      </w:r>
      <w:proofErr w:type="spellEnd"/>
      <w:r w:rsidRPr="00DC1A5F">
        <w:t>), el Alma del Mundo (</w:t>
      </w:r>
      <w:proofErr w:type="spellStart"/>
      <w:r w:rsidRPr="00DC1A5F">
        <w:rPr>
          <w:i/>
          <w:iCs/>
        </w:rPr>
        <w:t>Puruṣa</w:t>
      </w:r>
      <w:proofErr w:type="spellEnd"/>
      <w:r w:rsidRPr="00DC1A5F">
        <w:t>), etc.” entonces, a lo que ellos llaman originación dependiente (</w:t>
      </w:r>
      <w:proofErr w:type="spellStart"/>
      <w:r w:rsidRPr="00DC1A5F">
        <w:rPr>
          <w:i/>
          <w:iCs/>
        </w:rPr>
        <w:t>paṭicca</w:t>
      </w:r>
      <w:proofErr w:type="spellEnd"/>
      <w:r w:rsidRPr="00DC1A5F">
        <w:rPr>
          <w:i/>
          <w:iCs/>
        </w:rPr>
        <w:t xml:space="preserve"> </w:t>
      </w:r>
      <w:proofErr w:type="spellStart"/>
      <w:r w:rsidRPr="00DC1A5F">
        <w:rPr>
          <w:i/>
          <w:iCs/>
        </w:rPr>
        <w:t>samuppāda</w:t>
      </w:r>
      <w:proofErr w:type="spellEnd"/>
      <w:r w:rsidRPr="00DC1A5F">
        <w:t>) es un simple surgimiento (</w:t>
      </w:r>
      <w:proofErr w:type="spellStart"/>
      <w:r w:rsidRPr="00DC1A5F">
        <w:rPr>
          <w:i/>
          <w:iCs/>
        </w:rPr>
        <w:t>uppāda</w:t>
      </w:r>
      <w:proofErr w:type="spellEnd"/>
      <w:r w:rsidRPr="00DC1A5F">
        <w:t xml:space="preserve">) [porque equiparan el prefijo </w:t>
      </w:r>
      <w:proofErr w:type="spellStart"/>
      <w:r w:rsidRPr="00DC1A5F">
        <w:rPr>
          <w:i/>
          <w:iCs/>
        </w:rPr>
        <w:t>saṃ</w:t>
      </w:r>
      <w:proofErr w:type="spellEnd"/>
      <w:r w:rsidRPr="00DC1A5F">
        <w:rPr>
          <w:i/>
          <w:iCs/>
        </w:rPr>
        <w:t xml:space="preserve"> </w:t>
      </w:r>
      <w:r w:rsidRPr="00DC1A5F">
        <w:t xml:space="preserve">solo con </w:t>
      </w:r>
      <w:proofErr w:type="spellStart"/>
      <w:r w:rsidRPr="00DC1A5F">
        <w:rPr>
          <w:i/>
        </w:rPr>
        <w:t>sammā</w:t>
      </w:r>
      <w:proofErr w:type="spellEnd"/>
      <w:r w:rsidRPr="00DC1A5F">
        <w:t xml:space="preserve"> (correctamente) e ignoran </w:t>
      </w:r>
      <w:proofErr w:type="spellStart"/>
      <w:r w:rsidRPr="00DC1A5F">
        <w:rPr>
          <w:i/>
          <w:iCs/>
        </w:rPr>
        <w:t>saṃ</w:t>
      </w:r>
      <w:proofErr w:type="spellEnd"/>
      <w:r w:rsidRPr="00DC1A5F">
        <w:rPr>
          <w:i/>
          <w:iCs/>
        </w:rPr>
        <w:t xml:space="preserve"> </w:t>
      </w:r>
      <w:r w:rsidRPr="00DC1A5F">
        <w:t xml:space="preserve">(con, con–)]. Esto es insostenible. [519] ¿Por qué? (1) No existe tal </w:t>
      </w:r>
      <w:proofErr w:type="spellStart"/>
      <w:r w:rsidRPr="00DC1A5F">
        <w:rPr>
          <w:i/>
          <w:iCs/>
        </w:rPr>
        <w:t>sutta</w:t>
      </w:r>
      <w:proofErr w:type="spellEnd"/>
      <w:r w:rsidRPr="00DC1A5F">
        <w:t xml:space="preserve">; (2) contradice los </w:t>
      </w:r>
      <w:r w:rsidRPr="00DC1A5F">
        <w:rPr>
          <w:i/>
          <w:iCs/>
        </w:rPr>
        <w:t>suttas</w:t>
      </w:r>
      <w:r w:rsidRPr="00DC1A5F">
        <w:t>; (3) no admite un tratamiento profundo; y (4) es agramatical.</w:t>
      </w:r>
    </w:p>
    <w:p w14:paraId="145DC5A4" w14:textId="77777777" w:rsidR="00597DE2" w:rsidRPr="00DC1A5F" w:rsidRDefault="00597DE2" w:rsidP="00597DE2">
      <w:r w:rsidRPr="00DC1A5F">
        <w:t xml:space="preserve">9. </w:t>
      </w:r>
      <w:r w:rsidRPr="00DC1A5F">
        <w:tab/>
        <w:t xml:space="preserve">(1) Ningún </w:t>
      </w:r>
      <w:proofErr w:type="spellStart"/>
      <w:r w:rsidRPr="00DC1A5F">
        <w:rPr>
          <w:i/>
          <w:iCs/>
        </w:rPr>
        <w:t>sutta</w:t>
      </w:r>
      <w:proofErr w:type="spellEnd"/>
      <w:r w:rsidRPr="00DC1A5F">
        <w:t xml:space="preserve"> describe la originación dependiente como un simple surgimiento.</w:t>
      </w:r>
    </w:p>
    <w:p w14:paraId="6C73D996" w14:textId="77777777" w:rsidR="00597DE2" w:rsidRPr="00DC1A5F" w:rsidRDefault="00597DE2" w:rsidP="00597DE2">
      <w:pPr>
        <w:pStyle w:val="Textoindependiente"/>
      </w:pPr>
      <w:r w:rsidRPr="00DC1A5F">
        <w:tab/>
        <w:t xml:space="preserve">(2) Cualquiera que afirme que la originación dependiente sea de ese tipo entrará en conflicto con el </w:t>
      </w:r>
      <w:proofErr w:type="spellStart"/>
      <w:r w:rsidRPr="00DC1A5F">
        <w:rPr>
          <w:i/>
          <w:iCs/>
        </w:rPr>
        <w:t>Padesavihāra</w:t>
      </w:r>
      <w:proofErr w:type="spellEnd"/>
      <w:r w:rsidRPr="00DC1A5F">
        <w:rPr>
          <w:i/>
          <w:iCs/>
        </w:rPr>
        <w:t xml:space="preserve"> Sutta</w:t>
      </w:r>
      <w:r w:rsidRPr="00DC1A5F">
        <w:t>. ¿cómo? El estado del Recién Iluminado (</w:t>
      </w:r>
      <w:proofErr w:type="spellStart"/>
      <w:r w:rsidRPr="00DC1A5F">
        <w:rPr>
          <w:i/>
          <w:iCs/>
        </w:rPr>
        <w:t>vihāra</w:t>
      </w:r>
      <w:proofErr w:type="spellEnd"/>
      <w:r w:rsidRPr="00DC1A5F">
        <w:t xml:space="preserve">) es traer a la mente la originación dependiente, debido a estas palabras del </w:t>
      </w:r>
      <w:r w:rsidRPr="00DC1A5F">
        <w:rPr>
          <w:i/>
          <w:iCs/>
        </w:rPr>
        <w:t xml:space="preserve">Bhagavā </w:t>
      </w:r>
      <w:r w:rsidRPr="00DC1A5F">
        <w:t xml:space="preserve">al respecto: “Luego, en la primera vigilia de la noche, el </w:t>
      </w:r>
      <w:r w:rsidRPr="00DC1A5F">
        <w:rPr>
          <w:i/>
          <w:iCs/>
        </w:rPr>
        <w:t>Bhagavā</w:t>
      </w:r>
      <w:r w:rsidRPr="00DC1A5F">
        <w:t xml:space="preserve"> trajo a su mente la originación dependiente en orden progresiva y regresivamente” [como originación y cesación] (</w:t>
      </w:r>
      <w:proofErr w:type="spellStart"/>
      <w:r w:rsidRPr="00DC1A5F">
        <w:t>Vin</w:t>
      </w:r>
      <w:proofErr w:type="spellEnd"/>
      <w:r w:rsidRPr="00DC1A5F">
        <w:t xml:space="preserve"> I 1; </w:t>
      </w:r>
      <w:proofErr w:type="spellStart"/>
      <w:r w:rsidRPr="00DC1A5F">
        <w:t>Ud</w:t>
      </w:r>
      <w:proofErr w:type="spellEnd"/>
      <w:r w:rsidRPr="00DC1A5F">
        <w:t xml:space="preserve"> 2). Ahora bien, “</w:t>
      </w:r>
      <w:proofErr w:type="spellStart"/>
      <w:r w:rsidRPr="00DC1A5F">
        <w:rPr>
          <w:i/>
          <w:iCs/>
        </w:rPr>
        <w:t>padesavihāra</w:t>
      </w:r>
      <w:proofErr w:type="spellEnd"/>
      <w:r w:rsidRPr="00DC1A5F">
        <w:t>” es la permanencia (</w:t>
      </w:r>
      <w:proofErr w:type="spellStart"/>
      <w:r w:rsidRPr="00DC1A5F">
        <w:rPr>
          <w:i/>
          <w:iCs/>
        </w:rPr>
        <w:t>vihāra</w:t>
      </w:r>
      <w:proofErr w:type="spellEnd"/>
      <w:r w:rsidRPr="00DC1A5F">
        <w:t>) en una parte (</w:t>
      </w:r>
      <w:proofErr w:type="spellStart"/>
      <w:r w:rsidRPr="00DC1A5F">
        <w:rPr>
          <w:i/>
          <w:iCs/>
        </w:rPr>
        <w:t>desa</w:t>
      </w:r>
      <w:proofErr w:type="spellEnd"/>
      <w:r w:rsidRPr="00DC1A5F">
        <w:t>) de ello, según lo que se dice al respecto, “</w:t>
      </w:r>
      <w:proofErr w:type="spellStart"/>
      <w:r w:rsidRPr="00DC1A5F">
        <w:rPr>
          <w:i/>
        </w:rPr>
        <w:t>Bhikkhu</w:t>
      </w:r>
      <w:r w:rsidRPr="00DC1A5F">
        <w:t>s</w:t>
      </w:r>
      <w:proofErr w:type="spellEnd"/>
      <w:r w:rsidRPr="00DC1A5F">
        <w:t xml:space="preserve">, habité en una parte de la permanencia en la que había permanecido cuando era un recién iluminado” (S V </w:t>
      </w:r>
      <w:proofErr w:type="gramStart"/>
      <w:r w:rsidRPr="00DC1A5F">
        <w:t>12 ;</w:t>
      </w:r>
      <w:proofErr w:type="gramEnd"/>
      <w:r w:rsidRPr="00DC1A5F">
        <w:t xml:space="preserve"> Patis I 107). Y allí habitaba en la visión de la estructura de las condiciones, no en la visión del simple surgimiento, según lo que se dice al respecto, “Así que entendí la sensación con la visión incorrecta como su condición y la sensación con la visión correcta como su condición, la sensación con la visión correcta como su condición, con la visión incorrecta como su condición…” (S V 12), cuya totalidad debería ser citada en detalle. Así que cualquiera que afirme que la originación dependiente es un simple surgimiento entrará en conflicto con el </w:t>
      </w:r>
      <w:proofErr w:type="spellStart"/>
      <w:r w:rsidRPr="00DC1A5F">
        <w:rPr>
          <w:i/>
          <w:iCs/>
        </w:rPr>
        <w:t>Padesavihāra</w:t>
      </w:r>
      <w:proofErr w:type="spellEnd"/>
      <w:r w:rsidRPr="00DC1A5F">
        <w:rPr>
          <w:i/>
          <w:iCs/>
        </w:rPr>
        <w:t xml:space="preserve"> Sutta</w:t>
      </w:r>
      <w:r w:rsidRPr="00DC1A5F">
        <w:t>.</w:t>
      </w:r>
    </w:p>
    <w:p w14:paraId="336F501C" w14:textId="77777777" w:rsidR="00597DE2" w:rsidRPr="00DC1A5F" w:rsidRDefault="00597DE2" w:rsidP="00597DE2">
      <w:r w:rsidRPr="00DC1A5F">
        <w:t xml:space="preserve">10. </w:t>
      </w:r>
      <w:r w:rsidRPr="00DC1A5F">
        <w:tab/>
        <w:t xml:space="preserve">Del mismo modo, existirá una contradicción con el </w:t>
      </w:r>
      <w:proofErr w:type="spellStart"/>
      <w:r w:rsidRPr="00DC1A5F">
        <w:rPr>
          <w:i/>
          <w:iCs/>
        </w:rPr>
        <w:t>Kaccāna</w:t>
      </w:r>
      <w:proofErr w:type="spellEnd"/>
      <w:r w:rsidRPr="00DC1A5F">
        <w:rPr>
          <w:i/>
          <w:iCs/>
        </w:rPr>
        <w:t xml:space="preserve"> Sutt</w:t>
      </w:r>
      <w:r w:rsidRPr="00DC1A5F">
        <w:t xml:space="preserve">a. Porque en el </w:t>
      </w:r>
      <w:proofErr w:type="spellStart"/>
      <w:r w:rsidRPr="00DC1A5F">
        <w:rPr>
          <w:i/>
          <w:iCs/>
        </w:rPr>
        <w:t>Kaccāna</w:t>
      </w:r>
      <w:proofErr w:type="spellEnd"/>
      <w:r w:rsidRPr="00DC1A5F">
        <w:t xml:space="preserve"> </w:t>
      </w:r>
      <w:r w:rsidRPr="00DC1A5F">
        <w:rPr>
          <w:i/>
          <w:iCs/>
        </w:rPr>
        <w:t>Sutta</w:t>
      </w:r>
      <w:r w:rsidRPr="00DC1A5F">
        <w:t xml:space="preserve"> se dice al respecto: “Cuando un hombre vea correctamente con entendimiento correcto el origen del mundo, </w:t>
      </w:r>
      <w:proofErr w:type="spellStart"/>
      <w:r w:rsidRPr="00DC1A5F">
        <w:rPr>
          <w:i/>
          <w:iCs/>
        </w:rPr>
        <w:t>Kaccāna</w:t>
      </w:r>
      <w:proofErr w:type="spellEnd"/>
      <w:r w:rsidRPr="00DC1A5F">
        <w:t xml:space="preserve">, no dirá del mundo aquello que no lo sea” (S II 17). Y ahí se encontrará la originación dependiente en orden progresivo, no el simple surgimiento, que, como el origen del mundo a partir de sus condiciones, se establece para eliminar la visión nihilista. Porque el punto de vista del nihilismo no se eliminará al ver el simple surgimiento; sino se eliminará al ver la cadena de condiciones como una cadena de efectos que le sigan a una cadena de condiciones. Así que cualquiera que afirme que la originación dependiente es un simple surgimiento entrará también en contradicción con el </w:t>
      </w:r>
      <w:proofErr w:type="spellStart"/>
      <w:r w:rsidRPr="00DC1A5F">
        <w:rPr>
          <w:i/>
          <w:iCs/>
        </w:rPr>
        <w:t>Kaccāna</w:t>
      </w:r>
      <w:proofErr w:type="spellEnd"/>
      <w:r w:rsidRPr="00DC1A5F">
        <w:t xml:space="preserve"> </w:t>
      </w:r>
      <w:r w:rsidRPr="00DC1A5F">
        <w:rPr>
          <w:i/>
          <w:iCs/>
        </w:rPr>
        <w:t>Sutta</w:t>
      </w:r>
      <w:r w:rsidRPr="00DC1A5F">
        <w:t>.</w:t>
      </w:r>
    </w:p>
    <w:p w14:paraId="506100BC" w14:textId="77777777" w:rsidR="00597DE2" w:rsidRPr="00DC1A5F" w:rsidRDefault="00597DE2" w:rsidP="00597DE2">
      <w:r w:rsidRPr="00DC1A5F">
        <w:t xml:space="preserve">11. </w:t>
      </w:r>
      <w:r w:rsidRPr="00DC1A5F">
        <w:tab/>
        <w:t xml:space="preserve">(3) </w:t>
      </w:r>
      <w:r w:rsidRPr="00DC1A5F">
        <w:rPr>
          <w:i/>
          <w:iCs/>
        </w:rPr>
        <w:t>No admite un tratamiento profundo</w:t>
      </w:r>
      <w:r w:rsidRPr="00DC1A5F">
        <w:t xml:space="preserve">: esto ha sido afirmado por el </w:t>
      </w:r>
      <w:r w:rsidRPr="00DC1A5F">
        <w:rPr>
          <w:i/>
          <w:iCs/>
        </w:rPr>
        <w:t>Bhagavā</w:t>
      </w:r>
      <w:r w:rsidRPr="00DC1A5F">
        <w:t>, “Esta originación dependiente es profunda, Ānanda, y aparece profunda” (D II 55; S II 92). Y la profundidad es cuádruple, como explicaremos más adelante (XVII.304s.); no obstante, no se dará nada al respecto con el simple surgimiento. Y esta originación dependiente es explicada por los maestros como adornado mediante el método cuádruple (XVII.309); no obstante, no habrá necesidad de tal tétrada de métodos en el surgimiento simple. De modo que la originación dependiente no es un simple surgimiento, ya que ello no admitiría un tratamiento profundo.</w:t>
      </w:r>
    </w:p>
    <w:p w14:paraId="34661FD6" w14:textId="77777777" w:rsidR="00597DE2" w:rsidRPr="00DC1A5F" w:rsidRDefault="00597DE2" w:rsidP="00597DE2">
      <w:r w:rsidRPr="00DC1A5F">
        <w:t xml:space="preserve">12. </w:t>
      </w:r>
      <w:r w:rsidRPr="00DC1A5F">
        <w:tab/>
        <w:t xml:space="preserve">(4) </w:t>
      </w:r>
      <w:r w:rsidRPr="00DC1A5F">
        <w:rPr>
          <w:i/>
          <w:iCs/>
        </w:rPr>
        <w:t>Es agramatical</w:t>
      </w:r>
      <w:r w:rsidRPr="00DC1A5F">
        <w:t xml:space="preserve">: [520] esta palabra </w:t>
      </w:r>
      <w:proofErr w:type="spellStart"/>
      <w:r w:rsidRPr="00DC1A5F">
        <w:rPr>
          <w:i/>
          <w:iCs/>
        </w:rPr>
        <w:t>paṭicca</w:t>
      </w:r>
      <w:proofErr w:type="spellEnd"/>
      <w:r w:rsidRPr="00DC1A5F">
        <w:t xml:space="preserve"> (</w:t>
      </w:r>
      <w:proofErr w:type="spellStart"/>
      <w:r w:rsidRPr="00DC1A5F">
        <w:t>lit.</w:t>
      </w:r>
      <w:proofErr w:type="spellEnd"/>
      <w:r w:rsidRPr="00DC1A5F">
        <w:t xml:space="preserve"> “habiendo dependido de”; libremente “debido a”, “dependiente de”), [siendo un gerundio del verbo </w:t>
      </w:r>
      <w:proofErr w:type="spellStart"/>
      <w:r w:rsidRPr="00DC1A5F">
        <w:rPr>
          <w:i/>
          <w:iCs/>
        </w:rPr>
        <w:t>paṭi</w:t>
      </w:r>
      <w:proofErr w:type="spellEnd"/>
      <w:r w:rsidRPr="00DC1A5F">
        <w:t xml:space="preserve"> + </w:t>
      </w:r>
      <w:proofErr w:type="spellStart"/>
      <w:r w:rsidRPr="00DC1A5F">
        <w:rPr>
          <w:i/>
          <w:iCs/>
        </w:rPr>
        <w:t>eti</w:t>
      </w:r>
      <w:proofErr w:type="spellEnd"/>
      <w:r w:rsidRPr="00DC1A5F">
        <w:t xml:space="preserve">, volver a], establece un </w:t>
      </w:r>
    </w:p>
    <w:p w14:paraId="4CE03207" w14:textId="77777777" w:rsidR="00597DE2" w:rsidRPr="00DC1A5F" w:rsidRDefault="00597DE2" w:rsidP="00597DE2">
      <w:pPr>
        <w:tabs>
          <w:tab w:val="clear" w:pos="425"/>
        </w:tabs>
        <w:spacing w:after="160"/>
      </w:pPr>
      <w:r w:rsidRPr="00DC1A5F">
        <w:br w:type="page"/>
      </w:r>
    </w:p>
    <w:p w14:paraId="4FEC15DA" w14:textId="77777777" w:rsidR="00597DE2" w:rsidRPr="00DC1A5F" w:rsidRDefault="00597DE2" w:rsidP="00597DE2">
      <w:pPr>
        <w:pStyle w:val="Textoindependiente"/>
      </w:pPr>
    </w:p>
    <w:p w14:paraId="2F0F27D5" w14:textId="77777777" w:rsidR="00597DE2" w:rsidRPr="00DC1A5F" w:rsidRDefault="00597DE2" w:rsidP="00597DE2">
      <w:pPr>
        <w:pStyle w:val="Textoindependiente"/>
      </w:pPr>
      <w:r w:rsidRPr="00DC1A5F">
        <w:t>significado, en una fórmula de determinación mediante el verbo, cuando se interpreta como pasado con el mismo sujeto, el mismo del verbo principal, como en la oración “Habiendo dependido de (</w:t>
      </w:r>
      <w:proofErr w:type="spellStart"/>
      <w:r w:rsidRPr="00DC1A5F">
        <w:rPr>
          <w:i/>
          <w:iCs/>
        </w:rPr>
        <w:t>paṭicca</w:t>
      </w:r>
      <w:proofErr w:type="spellEnd"/>
      <w:r w:rsidRPr="00DC1A5F">
        <w:t xml:space="preserve"> = ‘debido a’) el ojo y los objetos visibles, surge la consciencia del ojo (</w:t>
      </w:r>
      <w:proofErr w:type="spellStart"/>
      <w:r w:rsidRPr="00DC1A5F">
        <w:rPr>
          <w:i/>
          <w:iCs/>
        </w:rPr>
        <w:t>uppajjati</w:t>
      </w:r>
      <w:proofErr w:type="spellEnd"/>
      <w:r w:rsidRPr="00DC1A5F">
        <w:t xml:space="preserve">)” (S II 72). Pero si se interpretase aquí con la palabra </w:t>
      </w:r>
      <w:proofErr w:type="spellStart"/>
      <w:r w:rsidRPr="00DC1A5F">
        <w:rPr>
          <w:i/>
          <w:iCs/>
        </w:rPr>
        <w:t>uppāda</w:t>
      </w:r>
      <w:proofErr w:type="spellEnd"/>
      <w:r w:rsidRPr="00DC1A5F">
        <w:t xml:space="preserve"> (surgimiento), que es un sustantivo, en una fórmula de definición mediante el sustantivo, habría una violación a la gramática, porque no habría un sujeto compartido, como lo hay en oración citada, por lo que no define ningún significado en absoluto. Entonces, la originación dependiente no es un simple surgimiento porque eso no es gramatical.</w:t>
      </w:r>
    </w:p>
    <w:p w14:paraId="7377F5D6" w14:textId="77777777" w:rsidR="00597DE2" w:rsidRPr="00DC1A5F" w:rsidRDefault="00597DE2" w:rsidP="00597DE2">
      <w:r w:rsidRPr="00DC1A5F">
        <w:t xml:space="preserve">13. </w:t>
      </w:r>
      <w:r w:rsidRPr="00DC1A5F">
        <w:tab/>
        <w:t>Aquí se podría argumentar: “Agregaremos las palabras ‘llega a ser’ (</w:t>
      </w:r>
      <w:proofErr w:type="spellStart"/>
      <w:r w:rsidRPr="00DC1A5F">
        <w:rPr>
          <w:i/>
          <w:iCs/>
        </w:rPr>
        <w:t>hoti</w:t>
      </w:r>
      <w:proofErr w:type="spellEnd"/>
      <w:r w:rsidRPr="00DC1A5F">
        <w:t>) así: ‘Habiendo dependido, el surgimiento llegar a ser’ (</w:t>
      </w:r>
      <w:proofErr w:type="spellStart"/>
      <w:r w:rsidRPr="00DC1A5F">
        <w:rPr>
          <w:i/>
          <w:iCs/>
        </w:rPr>
        <w:t>paṭicca</w:t>
      </w:r>
      <w:proofErr w:type="spellEnd"/>
      <w:r w:rsidRPr="00DC1A5F">
        <w:rPr>
          <w:i/>
          <w:iCs/>
        </w:rPr>
        <w:t xml:space="preserve">, </w:t>
      </w:r>
      <w:proofErr w:type="spellStart"/>
      <w:r w:rsidRPr="00DC1A5F">
        <w:rPr>
          <w:i/>
          <w:iCs/>
        </w:rPr>
        <w:t>samuppādo</w:t>
      </w:r>
      <w:proofErr w:type="spellEnd"/>
      <w:r w:rsidRPr="00DC1A5F">
        <w:rPr>
          <w:i/>
          <w:iCs/>
        </w:rPr>
        <w:t xml:space="preserve"> </w:t>
      </w:r>
      <w:proofErr w:type="spellStart"/>
      <w:r w:rsidRPr="00DC1A5F">
        <w:rPr>
          <w:i/>
          <w:iCs/>
        </w:rPr>
        <w:t>hoti</w:t>
      </w:r>
      <w:proofErr w:type="spellEnd"/>
      <w:r w:rsidRPr="00DC1A5F">
        <w:t>)”. Ello no serviría. ¿Por qué no? Porque no existiría ningún caso en el que éste se hubiese añadido y porque se seguiría la falacia de un surgimiento a partir de otro surgimiento. Porque en pasajes como “</w:t>
      </w:r>
      <w:proofErr w:type="spellStart"/>
      <w:r w:rsidRPr="00DC1A5F">
        <w:rPr>
          <w:i/>
          <w:iCs/>
        </w:rPr>
        <w:t>Paṭiccasamuppādaṃ</w:t>
      </w:r>
      <w:proofErr w:type="spellEnd"/>
      <w:r w:rsidRPr="00DC1A5F">
        <w:rPr>
          <w:i/>
          <w:iCs/>
        </w:rPr>
        <w:t xml:space="preserve"> </w:t>
      </w:r>
      <w:proofErr w:type="spellStart"/>
      <w:r w:rsidRPr="00DC1A5F">
        <w:rPr>
          <w:i/>
          <w:iCs/>
        </w:rPr>
        <w:t>vo</w:t>
      </w:r>
      <w:proofErr w:type="spellEnd"/>
      <w:r w:rsidRPr="00DC1A5F">
        <w:rPr>
          <w:i/>
          <w:iCs/>
        </w:rPr>
        <w:t xml:space="preserve"> </w:t>
      </w:r>
      <w:proofErr w:type="spellStart"/>
      <w:r w:rsidRPr="00DC1A5F">
        <w:rPr>
          <w:i/>
          <w:iCs/>
        </w:rPr>
        <w:t>bhikkhave</w:t>
      </w:r>
      <w:proofErr w:type="spellEnd"/>
      <w:r w:rsidRPr="00DC1A5F">
        <w:rPr>
          <w:i/>
          <w:iCs/>
        </w:rPr>
        <w:t xml:space="preserve"> </w:t>
      </w:r>
      <w:proofErr w:type="spellStart"/>
      <w:r w:rsidRPr="00DC1A5F">
        <w:rPr>
          <w:i/>
          <w:iCs/>
        </w:rPr>
        <w:t>desessāmi</w:t>
      </w:r>
      <w:proofErr w:type="spellEnd"/>
      <w:r w:rsidRPr="00DC1A5F">
        <w:rPr>
          <w:i/>
          <w:iCs/>
        </w:rPr>
        <w:t xml:space="preserve">. </w:t>
      </w:r>
      <w:proofErr w:type="spellStart"/>
      <w:r w:rsidRPr="00DC1A5F">
        <w:rPr>
          <w:i/>
          <w:iCs/>
        </w:rPr>
        <w:t>Katamo</w:t>
      </w:r>
      <w:proofErr w:type="spellEnd"/>
      <w:r w:rsidRPr="00DC1A5F">
        <w:rPr>
          <w:i/>
          <w:iCs/>
        </w:rPr>
        <w:t xml:space="preserve"> ca </w:t>
      </w:r>
      <w:proofErr w:type="spellStart"/>
      <w:r w:rsidRPr="00DC1A5F">
        <w:rPr>
          <w:i/>
          <w:iCs/>
        </w:rPr>
        <w:t>bhikkhave</w:t>
      </w:r>
      <w:proofErr w:type="spellEnd"/>
      <w:r w:rsidRPr="00DC1A5F">
        <w:rPr>
          <w:i/>
          <w:iCs/>
        </w:rPr>
        <w:t xml:space="preserve"> </w:t>
      </w:r>
      <w:proofErr w:type="spellStart"/>
      <w:r w:rsidRPr="00DC1A5F">
        <w:rPr>
          <w:i/>
          <w:iCs/>
        </w:rPr>
        <w:t>paṭiccasamuppādo</w:t>
      </w:r>
      <w:proofErr w:type="spellEnd"/>
      <w:r w:rsidRPr="00DC1A5F">
        <w:rPr>
          <w:i/>
          <w:iCs/>
        </w:rPr>
        <w:t xml:space="preserve">... </w:t>
      </w:r>
      <w:proofErr w:type="spellStart"/>
      <w:r w:rsidRPr="00DC1A5F">
        <w:rPr>
          <w:i/>
          <w:iCs/>
        </w:rPr>
        <w:t>Ayaṃ</w:t>
      </w:r>
      <w:proofErr w:type="spellEnd"/>
      <w:r w:rsidRPr="00DC1A5F">
        <w:rPr>
          <w:i/>
          <w:iCs/>
        </w:rPr>
        <w:t xml:space="preserve"> </w:t>
      </w:r>
      <w:proofErr w:type="spellStart"/>
      <w:r w:rsidRPr="00DC1A5F">
        <w:rPr>
          <w:i/>
          <w:iCs/>
        </w:rPr>
        <w:t>vuccati</w:t>
      </w:r>
      <w:proofErr w:type="spellEnd"/>
      <w:r w:rsidRPr="00DC1A5F">
        <w:rPr>
          <w:i/>
          <w:iCs/>
        </w:rPr>
        <w:t xml:space="preserve"> </w:t>
      </w:r>
      <w:proofErr w:type="spellStart"/>
      <w:r w:rsidRPr="00DC1A5F">
        <w:rPr>
          <w:i/>
          <w:iCs/>
        </w:rPr>
        <w:t>bhikkhave</w:t>
      </w:r>
      <w:proofErr w:type="spellEnd"/>
      <w:r w:rsidRPr="00DC1A5F">
        <w:rPr>
          <w:i/>
          <w:iCs/>
        </w:rPr>
        <w:t xml:space="preserve"> </w:t>
      </w:r>
      <w:proofErr w:type="spellStart"/>
      <w:r w:rsidRPr="00DC1A5F">
        <w:rPr>
          <w:i/>
          <w:iCs/>
        </w:rPr>
        <w:t>paṭiccasamuppādo</w:t>
      </w:r>
      <w:proofErr w:type="spellEnd"/>
      <w:r w:rsidRPr="00DC1A5F">
        <w:t xml:space="preserve"> (Les enseñaré la originación dependiente, </w:t>
      </w:r>
      <w:proofErr w:type="spellStart"/>
      <w:r w:rsidRPr="00DC1A5F">
        <w:rPr>
          <w:i/>
        </w:rPr>
        <w:t>bhikkhu</w:t>
      </w:r>
      <w:r w:rsidRPr="00DC1A5F">
        <w:t>s</w:t>
      </w:r>
      <w:proofErr w:type="spellEnd"/>
      <w:r w:rsidRPr="00DC1A5F">
        <w:t xml:space="preserve">. ¿Y qué es la originación dependiente?... A esto se le denomina la originación dependiente, </w:t>
      </w:r>
      <w:proofErr w:type="spellStart"/>
      <w:r w:rsidRPr="00DC1A5F">
        <w:rPr>
          <w:i/>
        </w:rPr>
        <w:t>bhikkhu</w:t>
      </w:r>
      <w:r w:rsidRPr="00DC1A5F">
        <w:t>s</w:t>
      </w:r>
      <w:proofErr w:type="spellEnd"/>
      <w:r w:rsidRPr="00DC1A5F">
        <w:t>)” (S II 1), las palabras “llegan a ser” (</w:t>
      </w:r>
      <w:proofErr w:type="spellStart"/>
      <w:r w:rsidRPr="00DC1A5F">
        <w:rPr>
          <w:i/>
          <w:iCs/>
        </w:rPr>
        <w:t>hoti</w:t>
      </w:r>
      <w:proofErr w:type="spellEnd"/>
      <w:r w:rsidRPr="00DC1A5F">
        <w:t>) no se agregan en ningún caso. Y no existe una expresión como “el surgimiento llega a ser”: si existiese, sería equivalente a decir que el surgimiento en sí poseería también un surgimiento.</w:t>
      </w:r>
    </w:p>
    <w:p w14:paraId="5C1EFC51" w14:textId="77777777" w:rsidR="00597DE2" w:rsidRPr="00DC1A5F" w:rsidRDefault="00597DE2" w:rsidP="00597DE2">
      <w:r w:rsidRPr="00DC1A5F">
        <w:t xml:space="preserve">14. </w:t>
      </w:r>
      <w:r w:rsidRPr="00DC1A5F">
        <w:tab/>
        <w:t>Y se equivocan los que imaginen que la condicionalidad específica (</w:t>
      </w:r>
      <w:proofErr w:type="spellStart"/>
      <w:r w:rsidRPr="00DC1A5F">
        <w:rPr>
          <w:i/>
          <w:iCs/>
        </w:rPr>
        <w:t>idappaccayatā</w:t>
      </w:r>
      <w:proofErr w:type="spellEnd"/>
      <w:r w:rsidRPr="00DC1A5F">
        <w:t xml:space="preserve">) corresponden a la esencia abstracta de las condiciones específicas — la cual es denominada “esencia abstracta”, al ser un modo particular de la ignorancia, etc., el cual actúa como una causa en la manifestación de las formaciones, etc. — y los que crean que el término “originación dependiente” se usa como una alteración de las formaciones cuando se dé ese modo particular bajo la forma en que ocurra la ignorancia. ¿Por qué se equivocan? Porque es la ignorancia, las formaciones, etc., en sí mismos a los que se les denominarán las causas de estos estados: “Por lo tanto, Ānanda, ésta es la causa, ésta es la fuente, éste el origen, ésta la condición, para el envejecimiento y la muerte, es decir, para el nacimiento... para las formaciones, es decir, (la ignorancia)” (D II 57–63 — la última cláusula no está en el texto del </w:t>
      </w:r>
      <w:r w:rsidRPr="00DC1A5F">
        <w:rPr>
          <w:i/>
          <w:iCs/>
        </w:rPr>
        <w:t>Dīgha</w:t>
      </w:r>
      <w:r w:rsidRPr="00DC1A5F">
        <w:t>). Por lo tanto, son los mismos estados reales, como condiciones, los que deberán entenderse como “originación dependiente”. En consecuencia, lo que se dijo anteriormente (§4) podrá entenderse como algo correctamente dicho.</w:t>
      </w:r>
    </w:p>
    <w:p w14:paraId="2BC286B8" w14:textId="77777777" w:rsidR="00597DE2" w:rsidRPr="00DC1A5F" w:rsidRDefault="00597DE2" w:rsidP="00597DE2">
      <w:r w:rsidRPr="00DC1A5F">
        <w:t xml:space="preserve">15. </w:t>
      </w:r>
      <w:r w:rsidRPr="00DC1A5F">
        <w:tab/>
        <w:t>Si surgiese alguna noción bajo la apariencia de una interpretación literal del término “originación dependiente” (</w:t>
      </w:r>
      <w:proofErr w:type="spellStart"/>
      <w:r w:rsidRPr="00DC1A5F">
        <w:rPr>
          <w:i/>
          <w:iCs/>
        </w:rPr>
        <w:t>paṭicca</w:t>
      </w:r>
      <w:proofErr w:type="spellEnd"/>
      <w:r w:rsidRPr="00DC1A5F">
        <w:rPr>
          <w:i/>
          <w:iCs/>
        </w:rPr>
        <w:t>–</w:t>
      </w:r>
      <w:proofErr w:type="spellStart"/>
      <w:r w:rsidRPr="00DC1A5F">
        <w:rPr>
          <w:i/>
          <w:iCs/>
        </w:rPr>
        <w:t>samuppāda</w:t>
      </w:r>
      <w:proofErr w:type="spellEnd"/>
      <w:r w:rsidRPr="00DC1A5F">
        <w:t>) en el sentido de que lo que se afirme es sólo surgimiento, deberá eliminarse aprendiendo el significado de esta expresión de la siguiente manera:</w:t>
      </w:r>
    </w:p>
    <w:p w14:paraId="60B70BC5" w14:textId="77777777" w:rsidR="00597DE2" w:rsidRPr="00DC1A5F" w:rsidRDefault="00597DE2" w:rsidP="00597DE2">
      <w:pPr>
        <w:pStyle w:val="VersoIngls01Sangria"/>
        <w:rPr>
          <w:sz w:val="16"/>
          <w:szCs w:val="20"/>
        </w:rPr>
      </w:pPr>
      <w:r w:rsidRPr="00DC1A5F">
        <w:rPr>
          <w:sz w:val="16"/>
          <w:szCs w:val="20"/>
        </w:rPr>
        <w:t>En forma doble, este término se refiere a la totalidad de un estado</w:t>
      </w:r>
    </w:p>
    <w:p w14:paraId="694B76FB" w14:textId="77777777" w:rsidR="00597DE2" w:rsidRPr="00DC1A5F" w:rsidRDefault="00597DE2" w:rsidP="00597DE2">
      <w:pPr>
        <w:pStyle w:val="VersoIngls01Sangria"/>
        <w:rPr>
          <w:sz w:val="16"/>
          <w:szCs w:val="20"/>
        </w:rPr>
      </w:pPr>
      <w:r w:rsidRPr="00DC1A5F">
        <w:rPr>
          <w:sz w:val="16"/>
          <w:szCs w:val="20"/>
        </w:rPr>
        <w:t>Producido a partir de una condicionalidad;</w:t>
      </w:r>
    </w:p>
    <w:p w14:paraId="0F20630A" w14:textId="77777777" w:rsidR="00597DE2" w:rsidRPr="00DC1A5F" w:rsidRDefault="00597DE2" w:rsidP="00597DE2">
      <w:pPr>
        <w:pStyle w:val="VersoIngls01Sangria"/>
        <w:rPr>
          <w:sz w:val="16"/>
          <w:szCs w:val="20"/>
        </w:rPr>
      </w:pPr>
      <w:r w:rsidRPr="00DC1A5F">
        <w:rPr>
          <w:sz w:val="16"/>
          <w:szCs w:val="20"/>
        </w:rPr>
        <w:t>Por lo tanto, las condiciones para dicha suma</w:t>
      </w:r>
    </w:p>
    <w:p w14:paraId="688420AA" w14:textId="77777777" w:rsidR="00597DE2" w:rsidRPr="00DC1A5F" w:rsidRDefault="00597DE2" w:rsidP="00597DE2">
      <w:pPr>
        <w:pStyle w:val="VersoIngls01Sangria"/>
        <w:rPr>
          <w:sz w:val="16"/>
          <w:szCs w:val="20"/>
        </w:rPr>
      </w:pPr>
      <w:r w:rsidRPr="00DC1A5F">
        <w:rPr>
          <w:sz w:val="16"/>
          <w:szCs w:val="20"/>
        </w:rPr>
        <w:t>A través del dispositivo de una metáfora han llegado a</w:t>
      </w:r>
    </w:p>
    <w:p w14:paraId="2FE61624" w14:textId="77777777" w:rsidR="00597DE2" w:rsidRPr="00DC1A5F" w:rsidRDefault="00597DE2" w:rsidP="00597DE2">
      <w:pPr>
        <w:pStyle w:val="VersoIngls01Sangria"/>
        <w:rPr>
          <w:sz w:val="16"/>
          <w:szCs w:val="20"/>
        </w:rPr>
      </w:pPr>
      <w:r w:rsidRPr="00DC1A5F">
        <w:rPr>
          <w:sz w:val="16"/>
          <w:szCs w:val="20"/>
        </w:rPr>
        <w:t>Adoptar el nombre de sus efectos en sentido figurado</w:t>
      </w:r>
    </w:p>
    <w:p w14:paraId="28EC2AA3" w14:textId="77777777" w:rsidR="00597DE2" w:rsidRPr="00DC1A5F" w:rsidRDefault="00597DE2" w:rsidP="00597DE2">
      <w:pPr>
        <w:pStyle w:val="VersoIngls01Sangria"/>
        <w:spacing w:after="100"/>
        <w:ind w:left="1418"/>
        <w:rPr>
          <w:sz w:val="16"/>
          <w:szCs w:val="20"/>
        </w:rPr>
      </w:pPr>
      <w:r w:rsidRPr="00DC1A5F">
        <w:rPr>
          <w:sz w:val="16"/>
          <w:szCs w:val="20"/>
        </w:rPr>
        <w:t xml:space="preserve">En la exposición del </w:t>
      </w:r>
      <w:r w:rsidRPr="00DC1A5F">
        <w:rPr>
          <w:i/>
          <w:iCs/>
          <w:sz w:val="16"/>
          <w:szCs w:val="20"/>
        </w:rPr>
        <w:t>Bhagavā</w:t>
      </w:r>
      <w:r w:rsidRPr="00DC1A5F">
        <w:rPr>
          <w:sz w:val="16"/>
          <w:szCs w:val="20"/>
        </w:rPr>
        <w:t>.</w:t>
      </w:r>
    </w:p>
    <w:p w14:paraId="072C749A" w14:textId="77777777" w:rsidR="00597DE2" w:rsidRPr="00DC1A5F" w:rsidRDefault="00597DE2" w:rsidP="00597DE2">
      <w:pPr>
        <w:pStyle w:val="Textoindependiente"/>
      </w:pPr>
      <w:r w:rsidRPr="00DC1A5F">
        <w:t xml:space="preserve">16. </w:t>
      </w:r>
      <w:r w:rsidRPr="00DC1A5F">
        <w:tab/>
        <w:t xml:space="preserve">Este término, “originación dependiente”, cuando se aplica al total de estados producidos a partir de la total condicionalidad, deberá entenderse de dos maneras. [521] Ya que se debe llegar </w:t>
      </w:r>
    </w:p>
    <w:p w14:paraId="4F81F310" w14:textId="77777777" w:rsidR="00597DE2" w:rsidRPr="00DC1A5F" w:rsidRDefault="00597DE2" w:rsidP="00597DE2">
      <w:pPr>
        <w:tabs>
          <w:tab w:val="clear" w:pos="425"/>
        </w:tabs>
        <w:spacing w:after="160"/>
      </w:pPr>
      <w:r w:rsidRPr="00DC1A5F">
        <w:br w:type="page"/>
      </w:r>
    </w:p>
    <w:p w14:paraId="475692B7" w14:textId="77777777" w:rsidR="00597DE2" w:rsidRPr="00DC1A5F" w:rsidRDefault="00597DE2" w:rsidP="00597DE2"/>
    <w:p w14:paraId="5F475184" w14:textId="77777777" w:rsidR="00597DE2" w:rsidRPr="00DC1A5F" w:rsidRDefault="00597DE2" w:rsidP="00597DE2">
      <w:pPr>
        <w:pStyle w:val="Textoindependiente"/>
      </w:pPr>
      <w:r w:rsidRPr="00DC1A5F">
        <w:t>a esa totalidad (</w:t>
      </w:r>
      <w:proofErr w:type="spellStart"/>
      <w:r w:rsidRPr="00DC1A5F">
        <w:rPr>
          <w:i/>
          <w:iCs/>
        </w:rPr>
        <w:t>paṭicco</w:t>
      </w:r>
      <w:proofErr w:type="spellEnd"/>
      <w:r w:rsidRPr="00DC1A5F">
        <w:t>—adj.),</w:t>
      </w:r>
      <w:r w:rsidRPr="00DC1A5F">
        <w:rPr>
          <w:vertAlign w:val="superscript"/>
        </w:rPr>
        <w:t>2</w:t>
      </w:r>
      <w:r w:rsidRPr="00DC1A5F">
        <w:t xml:space="preserve"> ya que cuando se llegue a (</w:t>
      </w:r>
      <w:proofErr w:type="spellStart"/>
      <w:r w:rsidRPr="00DC1A5F">
        <w:rPr>
          <w:i/>
          <w:iCs/>
        </w:rPr>
        <w:t>paṭiyamāno</w:t>
      </w:r>
      <w:proofErr w:type="spellEnd"/>
      <w:r w:rsidRPr="00DC1A5F">
        <w:t>), conducirá hacia un bienestar y bienaventuranza supramundanos, por lo que los sabios lo consideran como digno de consumación, de llegar a (</w:t>
      </w:r>
      <w:proofErr w:type="spellStart"/>
      <w:r w:rsidRPr="00DC1A5F">
        <w:rPr>
          <w:i/>
          <w:iCs/>
        </w:rPr>
        <w:t>paccetuí</w:t>
      </w:r>
      <w:proofErr w:type="spellEnd"/>
      <w:r w:rsidRPr="00DC1A5F">
        <w:t>); y luego, cuando surja (</w:t>
      </w:r>
      <w:proofErr w:type="spellStart"/>
      <w:r w:rsidRPr="00DC1A5F">
        <w:rPr>
          <w:i/>
          <w:iCs/>
        </w:rPr>
        <w:t>uppajjamāno</w:t>
      </w:r>
      <w:proofErr w:type="spellEnd"/>
      <w:r w:rsidRPr="00DC1A5F">
        <w:t>), lo hará “junto con” (</w:t>
      </w:r>
      <w:r w:rsidRPr="00DC1A5F">
        <w:rPr>
          <w:i/>
          <w:iCs/>
        </w:rPr>
        <w:t>saha</w:t>
      </w:r>
      <w:r w:rsidRPr="00DC1A5F">
        <w:t>) y “correctamente” (</w:t>
      </w:r>
      <w:proofErr w:type="spellStart"/>
      <w:r w:rsidRPr="00DC1A5F">
        <w:rPr>
          <w:i/>
        </w:rPr>
        <w:t>sammā</w:t>
      </w:r>
      <w:proofErr w:type="spellEnd"/>
      <w:r w:rsidRPr="00DC1A5F">
        <w:t xml:space="preserve">), no solo o sin causa, por lo que será un </w:t>
      </w:r>
      <w:proofErr w:type="spellStart"/>
      <w:r w:rsidRPr="00DC1A5F">
        <w:t>co</w:t>
      </w:r>
      <w:proofErr w:type="spellEnd"/>
      <w:r w:rsidRPr="00DC1A5F">
        <w:t>–surgimiento (</w:t>
      </w:r>
      <w:proofErr w:type="spellStart"/>
      <w:r w:rsidRPr="00DC1A5F">
        <w:rPr>
          <w:i/>
          <w:iCs/>
        </w:rPr>
        <w:t>samuppādo</w:t>
      </w:r>
      <w:proofErr w:type="spellEnd"/>
      <w:r w:rsidRPr="00DC1A5F">
        <w:t>). En consecuencia: se debe llegar a (</w:t>
      </w:r>
      <w:proofErr w:type="spellStart"/>
      <w:r w:rsidRPr="00DC1A5F">
        <w:rPr>
          <w:i/>
          <w:iCs/>
        </w:rPr>
        <w:t>paṭicco</w:t>
      </w:r>
      <w:proofErr w:type="spellEnd"/>
      <w:r w:rsidRPr="00DC1A5F">
        <w:t xml:space="preserve">) y será un </w:t>
      </w:r>
      <w:proofErr w:type="spellStart"/>
      <w:r w:rsidRPr="00DC1A5F">
        <w:t>co</w:t>
      </w:r>
      <w:proofErr w:type="spellEnd"/>
      <w:r w:rsidRPr="00DC1A5F">
        <w:t>–surgimiento (</w:t>
      </w:r>
      <w:proofErr w:type="spellStart"/>
      <w:r w:rsidRPr="00DC1A5F">
        <w:rPr>
          <w:i/>
          <w:iCs/>
        </w:rPr>
        <w:t>samuppādo</w:t>
      </w:r>
      <w:proofErr w:type="spellEnd"/>
      <w:r w:rsidRPr="00DC1A5F">
        <w:t>), por lo tanto, corresponderá a una originación dependiente (</w:t>
      </w:r>
      <w:proofErr w:type="spellStart"/>
      <w:r w:rsidRPr="00DC1A5F">
        <w:rPr>
          <w:i/>
          <w:iCs/>
        </w:rPr>
        <w:t>paṭicca</w:t>
      </w:r>
      <w:proofErr w:type="spellEnd"/>
      <w:r w:rsidRPr="00DC1A5F">
        <w:rPr>
          <w:i/>
          <w:iCs/>
        </w:rPr>
        <w:t>–</w:t>
      </w:r>
      <w:proofErr w:type="spellStart"/>
      <w:r w:rsidRPr="00DC1A5F">
        <w:rPr>
          <w:i/>
          <w:iCs/>
        </w:rPr>
        <w:t>samuppāda</w:t>
      </w:r>
      <w:proofErr w:type="spellEnd"/>
      <w:r w:rsidRPr="00DC1A5F">
        <w:t>). Nuevamente: surgirá como una conjunción (</w:t>
      </w:r>
      <w:r w:rsidRPr="00DC1A5F">
        <w:rPr>
          <w:i/>
          <w:iCs/>
        </w:rPr>
        <w:t>saha</w:t>
      </w:r>
      <w:r w:rsidRPr="00DC1A5F">
        <w:t xml:space="preserve">), por lo tanto, será un </w:t>
      </w:r>
      <w:proofErr w:type="spellStart"/>
      <w:r w:rsidRPr="00DC1A5F">
        <w:t>co</w:t>
      </w:r>
      <w:proofErr w:type="spellEnd"/>
      <w:r w:rsidRPr="00DC1A5F">
        <w:t>–surgimiento (</w:t>
      </w:r>
      <w:proofErr w:type="spellStart"/>
      <w:r w:rsidRPr="00DC1A5F">
        <w:rPr>
          <w:i/>
          <w:iCs/>
        </w:rPr>
        <w:t>samuppāda</w:t>
      </w:r>
      <w:proofErr w:type="spellEnd"/>
      <w:r w:rsidRPr="00DC1A5F">
        <w:t>); pero lo hará habiendo dependido (</w:t>
      </w:r>
      <w:proofErr w:type="spellStart"/>
      <w:r w:rsidRPr="00DC1A5F">
        <w:rPr>
          <w:i/>
          <w:iCs/>
        </w:rPr>
        <w:t>paṭicca</w:t>
      </w:r>
      <w:proofErr w:type="spellEnd"/>
      <w:r w:rsidRPr="00DC1A5F">
        <w:t>—</w:t>
      </w:r>
      <w:proofErr w:type="spellStart"/>
      <w:r w:rsidRPr="00DC1A5F">
        <w:t>ger</w:t>
      </w:r>
      <w:proofErr w:type="spellEnd"/>
      <w:r w:rsidRPr="00DC1A5F">
        <w:t>.) de una combinación de condiciones, no independientemente de ellas. En consecuencia: habiendo dependido de (</w:t>
      </w:r>
      <w:proofErr w:type="spellStart"/>
      <w:r w:rsidRPr="00DC1A5F">
        <w:rPr>
          <w:i/>
          <w:iCs/>
        </w:rPr>
        <w:t>paṭicca</w:t>
      </w:r>
      <w:proofErr w:type="spellEnd"/>
      <w:r w:rsidRPr="00DC1A5F">
        <w:t xml:space="preserve">), será un </w:t>
      </w:r>
      <w:proofErr w:type="spellStart"/>
      <w:r w:rsidRPr="00DC1A5F">
        <w:t>co</w:t>
      </w:r>
      <w:proofErr w:type="spellEnd"/>
      <w:r w:rsidRPr="00DC1A5F">
        <w:t>–surgimiento (</w:t>
      </w:r>
      <w:proofErr w:type="spellStart"/>
      <w:r w:rsidRPr="00DC1A5F">
        <w:rPr>
          <w:i/>
          <w:iCs/>
        </w:rPr>
        <w:t>samuppāda</w:t>
      </w:r>
      <w:proofErr w:type="spellEnd"/>
      <w:r w:rsidRPr="00DC1A5F">
        <w:t>), así también corresponderá a una originación dependiente (</w:t>
      </w:r>
      <w:proofErr w:type="spellStart"/>
      <w:r w:rsidRPr="00DC1A5F">
        <w:rPr>
          <w:i/>
          <w:iCs/>
        </w:rPr>
        <w:t>paṭicca</w:t>
      </w:r>
      <w:proofErr w:type="spellEnd"/>
      <w:r w:rsidRPr="00DC1A5F">
        <w:rPr>
          <w:i/>
          <w:iCs/>
        </w:rPr>
        <w:t>–</w:t>
      </w:r>
      <w:proofErr w:type="spellStart"/>
      <w:r w:rsidRPr="00DC1A5F">
        <w:rPr>
          <w:i/>
          <w:iCs/>
        </w:rPr>
        <w:t>samuppāda</w:t>
      </w:r>
      <w:proofErr w:type="spellEnd"/>
      <w:r w:rsidRPr="00DC1A5F">
        <w:t xml:space="preserve">). Y la totalidad de las causas será una condición para ello [para el total de estados producidos a partir de la condicionalidad], así que, por ser condición de ello, a esta totalidad de causas se le denominará, “originación dependiente”, usándose para ello el término que ordinariamente se usa para su efecto, tal como en el mundo se habla de la melaza como una condición para la flema, así, “La melaza es flema”, o tal como en la Dispensación se habla del surgimiento de los </w:t>
      </w:r>
      <w:r w:rsidRPr="00DC1A5F">
        <w:rPr>
          <w:i/>
        </w:rPr>
        <w:t>Buddha</w:t>
      </w:r>
      <w:r w:rsidRPr="00DC1A5F">
        <w:t xml:space="preserve">s, como una condición para la dicha. por lo tanto, “El surgimiento de los </w:t>
      </w:r>
      <w:r w:rsidRPr="00DC1A5F">
        <w:rPr>
          <w:i/>
        </w:rPr>
        <w:t>Buddha</w:t>
      </w:r>
      <w:r w:rsidRPr="00DC1A5F">
        <w:t>s es dicha” (</w:t>
      </w:r>
      <w:proofErr w:type="spellStart"/>
      <w:r w:rsidRPr="00DC1A5F">
        <w:t>Dhp</w:t>
      </w:r>
      <w:proofErr w:type="spellEnd"/>
      <w:r w:rsidRPr="00DC1A5F">
        <w:t xml:space="preserve"> 194).</w:t>
      </w:r>
      <w:r w:rsidRPr="00DC1A5F">
        <w:tab/>
      </w:r>
    </w:p>
    <w:p w14:paraId="4E0F2964" w14:textId="77777777" w:rsidR="00597DE2" w:rsidRPr="00DC1A5F" w:rsidRDefault="00597DE2" w:rsidP="00597DE2">
      <w:pPr>
        <w:pStyle w:val="Textoindependiente"/>
      </w:pPr>
      <w:r w:rsidRPr="00DC1A5F">
        <w:t xml:space="preserve">17. </w:t>
      </w:r>
      <w:r w:rsidRPr="00DC1A5F">
        <w:tab/>
        <w:t>O alternativamente:</w:t>
      </w:r>
    </w:p>
    <w:p w14:paraId="36B3C582" w14:textId="77777777" w:rsidR="00597DE2" w:rsidRPr="00DC1A5F" w:rsidRDefault="00597DE2" w:rsidP="00597DE2">
      <w:pPr>
        <w:pStyle w:val="VersoIngls01Sangria"/>
        <w:rPr>
          <w:sz w:val="16"/>
          <w:szCs w:val="20"/>
        </w:rPr>
      </w:pPr>
      <w:r w:rsidRPr="00DC1A5F">
        <w:rPr>
          <w:sz w:val="16"/>
          <w:szCs w:val="20"/>
        </w:rPr>
        <w:t>A la suma de causas ellos también la llaman</w:t>
      </w:r>
    </w:p>
    <w:p w14:paraId="29ACE073" w14:textId="77777777" w:rsidR="00597DE2" w:rsidRPr="00DC1A5F" w:rsidRDefault="00597DE2" w:rsidP="00597DE2">
      <w:pPr>
        <w:pStyle w:val="VersoIngls01Sangria"/>
        <w:rPr>
          <w:sz w:val="16"/>
          <w:szCs w:val="20"/>
        </w:rPr>
      </w:pPr>
      <w:r w:rsidRPr="00DC1A5F">
        <w:rPr>
          <w:sz w:val="16"/>
          <w:szCs w:val="20"/>
        </w:rPr>
        <w:t>“En vista de su contraparte”, así que todo</w:t>
      </w:r>
    </w:p>
    <w:p w14:paraId="682B558C" w14:textId="77777777" w:rsidR="00597DE2" w:rsidRPr="00DC1A5F" w:rsidRDefault="00597DE2" w:rsidP="00597DE2">
      <w:pPr>
        <w:pStyle w:val="VersoIngls01Sangria"/>
        <w:rPr>
          <w:sz w:val="16"/>
          <w:szCs w:val="20"/>
        </w:rPr>
      </w:pPr>
      <w:r w:rsidRPr="00DC1A5F">
        <w:rPr>
          <w:sz w:val="16"/>
          <w:szCs w:val="20"/>
        </w:rPr>
        <w:t>Es, en ese sentido “dependiente”, como ellos dicen;</w:t>
      </w:r>
    </w:p>
    <w:p w14:paraId="617DB76C" w14:textId="77777777" w:rsidR="00597DE2" w:rsidRPr="00DC1A5F" w:rsidRDefault="00597DE2" w:rsidP="00597DE2">
      <w:pPr>
        <w:pStyle w:val="VersoIngls01Sangria"/>
        <w:rPr>
          <w:sz w:val="16"/>
          <w:szCs w:val="20"/>
        </w:rPr>
      </w:pPr>
      <w:r w:rsidRPr="00DC1A5F">
        <w:rPr>
          <w:sz w:val="16"/>
          <w:szCs w:val="20"/>
        </w:rPr>
        <w:t>También esta suma de causas, como se indicó, la cual</w:t>
      </w:r>
    </w:p>
    <w:p w14:paraId="2EF282BA" w14:textId="77777777" w:rsidR="00597DE2" w:rsidRPr="00DC1A5F" w:rsidRDefault="00597DE2" w:rsidP="00597DE2">
      <w:pPr>
        <w:pStyle w:val="VersoIngls01Sangria"/>
        <w:rPr>
          <w:sz w:val="16"/>
          <w:szCs w:val="20"/>
        </w:rPr>
      </w:pPr>
      <w:r w:rsidRPr="00DC1A5F">
        <w:rPr>
          <w:sz w:val="16"/>
          <w:szCs w:val="20"/>
        </w:rPr>
        <w:t>Produce efectos que surgen asociadamente,</w:t>
      </w:r>
    </w:p>
    <w:p w14:paraId="288DE0E7" w14:textId="77777777" w:rsidR="00597DE2" w:rsidRPr="00DC1A5F" w:rsidRDefault="00597DE2" w:rsidP="00597DE2">
      <w:pPr>
        <w:pStyle w:val="VersoIngls01Sangria"/>
        <w:spacing w:after="100"/>
        <w:ind w:left="1418"/>
        <w:rPr>
          <w:sz w:val="16"/>
          <w:szCs w:val="20"/>
        </w:rPr>
      </w:pPr>
      <w:r w:rsidRPr="00DC1A5F">
        <w:rPr>
          <w:sz w:val="16"/>
          <w:szCs w:val="20"/>
        </w:rPr>
        <w:t xml:space="preserve">Es así </w:t>
      </w:r>
      <w:proofErr w:type="spellStart"/>
      <w:r w:rsidRPr="00DC1A5F">
        <w:rPr>
          <w:sz w:val="16"/>
          <w:szCs w:val="20"/>
        </w:rPr>
        <w:t>cómo</w:t>
      </w:r>
      <w:proofErr w:type="spellEnd"/>
      <w:r w:rsidRPr="00DC1A5F">
        <w:rPr>
          <w:sz w:val="16"/>
          <w:szCs w:val="20"/>
        </w:rPr>
        <w:t xml:space="preserve"> también se les denomina “</w:t>
      </w:r>
      <w:proofErr w:type="spellStart"/>
      <w:r w:rsidRPr="00DC1A5F">
        <w:rPr>
          <w:sz w:val="16"/>
          <w:szCs w:val="20"/>
        </w:rPr>
        <w:t>co</w:t>
      </w:r>
      <w:proofErr w:type="spellEnd"/>
      <w:r w:rsidRPr="00DC1A5F">
        <w:rPr>
          <w:sz w:val="16"/>
          <w:szCs w:val="20"/>
        </w:rPr>
        <w:t>–surgimiento”.</w:t>
      </w:r>
    </w:p>
    <w:p w14:paraId="65F9D4C2" w14:textId="77777777" w:rsidR="00597DE2" w:rsidRPr="00DC1A5F" w:rsidRDefault="00597DE2" w:rsidP="00597DE2">
      <w:r w:rsidRPr="00DC1A5F">
        <w:t xml:space="preserve">18. </w:t>
      </w:r>
      <w:r w:rsidRPr="00DC1A5F">
        <w:tab/>
        <w:t>Esta totalidad de causas ― indicadas severamente bajo un término de cada causa, comenzando con la ignorancia ― para la manifestación de las formaciones, etc., se le denomina “dependiente” (</w:t>
      </w:r>
      <w:proofErr w:type="spellStart"/>
      <w:r w:rsidRPr="00DC1A5F">
        <w:rPr>
          <w:i/>
          <w:iCs/>
        </w:rPr>
        <w:t>paṭicco</w:t>
      </w:r>
      <w:proofErr w:type="spellEnd"/>
      <w:r w:rsidRPr="00DC1A5F">
        <w:t>, adj.), adoptándolo como “en vista de, se condujo a, su contraparte” (</w:t>
      </w:r>
      <w:proofErr w:type="spellStart"/>
      <w:r w:rsidRPr="00DC1A5F">
        <w:rPr>
          <w:i/>
          <w:iCs/>
        </w:rPr>
        <w:t>Paṭimukham</w:t>
      </w:r>
      <w:proofErr w:type="spellEnd"/>
      <w:r w:rsidRPr="00DC1A5F">
        <w:t xml:space="preserve"> </w:t>
      </w:r>
      <w:proofErr w:type="spellStart"/>
      <w:r w:rsidRPr="00DC1A5F">
        <w:rPr>
          <w:i/>
          <w:iCs/>
        </w:rPr>
        <w:t>Ito</w:t>
      </w:r>
      <w:proofErr w:type="spellEnd"/>
      <w:r w:rsidRPr="00DC1A5F">
        <w:t>) debido a la interdependencia mutua de los factores en la combinación, en ambos sentidos, tanto en el que se producen efectos comunes como en el que ninguno podría ser dispensado. Y se le llama un “</w:t>
      </w:r>
      <w:proofErr w:type="spellStart"/>
      <w:r w:rsidRPr="00DC1A5F">
        <w:t>co</w:t>
      </w:r>
      <w:proofErr w:type="spellEnd"/>
      <w:r w:rsidRPr="00DC1A5F">
        <w:t xml:space="preserve">–surgimiento </w:t>
      </w:r>
      <w:proofErr w:type="gramStart"/>
      <w:r w:rsidRPr="00DC1A5F">
        <w:t>“ (</w:t>
      </w:r>
      <w:proofErr w:type="spellStart"/>
      <w:proofErr w:type="gramEnd"/>
      <w:r w:rsidRPr="00DC1A5F">
        <w:rPr>
          <w:i/>
          <w:iCs/>
        </w:rPr>
        <w:t>samuppādo</w:t>
      </w:r>
      <w:proofErr w:type="spellEnd"/>
      <w:r w:rsidRPr="00DC1A5F">
        <w:t>) ya que hará que los estados ocurran en interdependencia irresoluta y mutua para surgir asociadamente. En consecuencia: será dependiente (</w:t>
      </w:r>
      <w:proofErr w:type="spellStart"/>
      <w:r w:rsidRPr="00DC1A5F">
        <w:rPr>
          <w:i/>
          <w:iCs/>
        </w:rPr>
        <w:t>paṭicco</w:t>
      </w:r>
      <w:proofErr w:type="spellEnd"/>
      <w:r w:rsidRPr="00DC1A5F">
        <w:t xml:space="preserve">) y será un </w:t>
      </w:r>
      <w:proofErr w:type="spellStart"/>
      <w:r w:rsidRPr="00DC1A5F">
        <w:t>co</w:t>
      </w:r>
      <w:proofErr w:type="spellEnd"/>
      <w:r w:rsidRPr="00DC1A5F">
        <w:t>–surgimiento (</w:t>
      </w:r>
      <w:proofErr w:type="spellStart"/>
      <w:r w:rsidRPr="00DC1A5F">
        <w:rPr>
          <w:i/>
          <w:iCs/>
        </w:rPr>
        <w:t>samuppādo</w:t>
      </w:r>
      <w:proofErr w:type="spellEnd"/>
      <w:r w:rsidRPr="00DC1A5F">
        <w:t>), por lo tanto, de esta manera también corresponderá a una originación dependiente (</w:t>
      </w:r>
      <w:proofErr w:type="spellStart"/>
      <w:r w:rsidRPr="00DC1A5F">
        <w:rPr>
          <w:i/>
          <w:iCs/>
        </w:rPr>
        <w:t>paṭicca</w:t>
      </w:r>
      <w:proofErr w:type="spellEnd"/>
      <w:r w:rsidRPr="00DC1A5F">
        <w:rPr>
          <w:i/>
          <w:iCs/>
        </w:rPr>
        <w:t>–</w:t>
      </w:r>
      <w:proofErr w:type="spellStart"/>
      <w:r w:rsidRPr="00DC1A5F">
        <w:rPr>
          <w:i/>
          <w:iCs/>
        </w:rPr>
        <w:t>samuppāda</w:t>
      </w:r>
      <w:proofErr w:type="spellEnd"/>
      <w:r w:rsidRPr="00DC1A5F">
        <w:t>).</w:t>
      </w:r>
    </w:p>
    <w:p w14:paraId="3C640452" w14:textId="77777777" w:rsidR="00597DE2" w:rsidRPr="00DC1A5F" w:rsidRDefault="00597DE2" w:rsidP="00597DE2">
      <w:r w:rsidRPr="00DC1A5F">
        <w:t xml:space="preserve">19. </w:t>
      </w:r>
      <w:r w:rsidRPr="00DC1A5F">
        <w:tab/>
        <w:t>Otro método:</w:t>
      </w:r>
    </w:p>
    <w:p w14:paraId="6406A291" w14:textId="77777777" w:rsidR="00597DE2" w:rsidRPr="00DC1A5F" w:rsidRDefault="00597DE2" w:rsidP="00597DE2">
      <w:pPr>
        <w:pStyle w:val="VersoIngls01Sangria"/>
        <w:rPr>
          <w:sz w:val="16"/>
          <w:szCs w:val="20"/>
        </w:rPr>
      </w:pPr>
      <w:r w:rsidRPr="00DC1A5F">
        <w:rPr>
          <w:sz w:val="16"/>
          <w:szCs w:val="20"/>
        </w:rPr>
        <w:t>Esta condicionalidad total, actuando interdependientemente,</w:t>
      </w:r>
    </w:p>
    <w:p w14:paraId="6D977A47" w14:textId="77777777" w:rsidR="00597DE2" w:rsidRPr="00DC1A5F" w:rsidRDefault="00597DE2" w:rsidP="00597DE2">
      <w:pPr>
        <w:pStyle w:val="VersoIngls01Sangria"/>
        <w:rPr>
          <w:sz w:val="16"/>
          <w:szCs w:val="20"/>
        </w:rPr>
      </w:pPr>
      <w:r w:rsidRPr="00DC1A5F">
        <w:rPr>
          <w:sz w:val="16"/>
          <w:szCs w:val="20"/>
        </w:rPr>
        <w:t>Hará surgir estados conjuntamente y por igual;</w:t>
      </w:r>
    </w:p>
    <w:p w14:paraId="673ADB52" w14:textId="77777777" w:rsidR="00597DE2" w:rsidRPr="00DC1A5F" w:rsidRDefault="00597DE2" w:rsidP="00597DE2">
      <w:pPr>
        <w:pStyle w:val="VersoIngls01Sangria"/>
        <w:rPr>
          <w:sz w:val="16"/>
          <w:szCs w:val="20"/>
        </w:rPr>
      </w:pPr>
      <w:r w:rsidRPr="00DC1A5F">
        <w:rPr>
          <w:sz w:val="16"/>
          <w:szCs w:val="20"/>
        </w:rPr>
        <w:t xml:space="preserve">Así que ésta también es una razón aquí por la cual </w:t>
      </w:r>
    </w:p>
    <w:p w14:paraId="57FCB76C" w14:textId="77777777" w:rsidR="00597DE2" w:rsidRPr="00DC1A5F" w:rsidRDefault="00597DE2" w:rsidP="00597DE2">
      <w:pPr>
        <w:pStyle w:val="VersoIngls01Sangria"/>
        <w:rPr>
          <w:sz w:val="16"/>
          <w:szCs w:val="20"/>
        </w:rPr>
      </w:pPr>
      <w:r w:rsidRPr="00DC1A5F">
        <w:rPr>
          <w:sz w:val="16"/>
          <w:szCs w:val="20"/>
        </w:rPr>
        <w:t>El más sabio, el vidente,</w:t>
      </w:r>
    </w:p>
    <w:p w14:paraId="151593E3" w14:textId="77777777" w:rsidR="00597DE2" w:rsidRPr="00DC1A5F" w:rsidRDefault="00597DE2" w:rsidP="00597DE2">
      <w:pPr>
        <w:pStyle w:val="VersoIngls01Sangria"/>
      </w:pPr>
      <w:r w:rsidRPr="00DC1A5F">
        <w:rPr>
          <w:sz w:val="16"/>
          <w:szCs w:val="20"/>
        </w:rPr>
        <w:t>Proporcionó a este término su forma tan sucintamente.</w:t>
      </w:r>
    </w:p>
    <w:p w14:paraId="77D7234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3718DBA" w14:textId="77777777" w:rsidR="00597DE2" w:rsidRPr="00DC1A5F" w:rsidRDefault="00597DE2" w:rsidP="00597DE2">
      <w:pPr>
        <w:pStyle w:val="PiedepginaLegal"/>
        <w:numPr>
          <w:ilvl w:val="0"/>
          <w:numId w:val="6"/>
        </w:numPr>
        <w:tabs>
          <w:tab w:val="clear" w:pos="425"/>
        </w:tabs>
        <w:ind w:left="284" w:hanging="284"/>
      </w:pPr>
      <w:proofErr w:type="spellStart"/>
      <w:r w:rsidRPr="00DC1A5F">
        <w:rPr>
          <w:i/>
          <w:iCs/>
          <w:color w:val="auto"/>
          <w:u w:color="000000"/>
        </w:rPr>
        <w:t>Paṭicco</w:t>
      </w:r>
      <w:proofErr w:type="spellEnd"/>
      <w:r w:rsidRPr="00DC1A5F">
        <w:rPr>
          <w:color w:val="auto"/>
          <w:u w:color="000000"/>
        </w:rPr>
        <w:t xml:space="preserve"> como adjetivo declinable no se encuentra en el PED. </w:t>
      </w:r>
      <w:proofErr w:type="spellStart"/>
      <w:r w:rsidRPr="00DC1A5F">
        <w:rPr>
          <w:i/>
          <w:iCs/>
          <w:color w:val="auto"/>
          <w:u w:color="000000"/>
        </w:rPr>
        <w:t>Patīyamāna</w:t>
      </w:r>
      <w:proofErr w:type="spellEnd"/>
      <w:r w:rsidRPr="00DC1A5F">
        <w:rPr>
          <w:color w:val="auto"/>
          <w:u w:color="000000"/>
        </w:rPr>
        <w:t xml:space="preserve"> (“cuando se llega a ello”): “El significado es: cuando se llega a ello por medio de la confrontación directa (</w:t>
      </w:r>
      <w:proofErr w:type="spellStart"/>
      <w:r w:rsidRPr="00DC1A5F">
        <w:rPr>
          <w:i/>
          <w:iCs/>
          <w:color w:val="auto"/>
          <w:u w:color="000000"/>
        </w:rPr>
        <w:t>paṭimukhaṃ</w:t>
      </w:r>
      <w:proofErr w:type="spellEnd"/>
      <w:r w:rsidRPr="00DC1A5F">
        <w:rPr>
          <w:i/>
          <w:iCs/>
          <w:color w:val="auto"/>
          <w:u w:color="000000"/>
        </w:rPr>
        <w:t xml:space="preserve"> </w:t>
      </w:r>
      <w:proofErr w:type="spellStart"/>
      <w:r w:rsidRPr="00DC1A5F">
        <w:rPr>
          <w:i/>
          <w:iCs/>
          <w:color w:val="auto"/>
          <w:u w:color="000000"/>
        </w:rPr>
        <w:t>upeyamāno</w:t>
      </w:r>
      <w:proofErr w:type="spellEnd"/>
      <w:r w:rsidRPr="00DC1A5F">
        <w:rPr>
          <w:color w:val="auto"/>
          <w:u w:color="000000"/>
        </w:rPr>
        <w:t>) por medio de la marcha del conocimiento; cuando se penetra hasta (</w:t>
      </w:r>
      <w:proofErr w:type="spellStart"/>
      <w:r w:rsidRPr="00DC1A5F">
        <w:rPr>
          <w:i/>
          <w:iCs/>
          <w:color w:val="auto"/>
          <w:u w:color="000000"/>
        </w:rPr>
        <w:t>abhisamiyamāna</w:t>
      </w:r>
      <w:proofErr w:type="spellEnd"/>
      <w:r w:rsidRPr="00DC1A5F">
        <w:rPr>
          <w:color w:val="auto"/>
          <w:u w:color="000000"/>
        </w:rPr>
        <w:t>)” (</w:t>
      </w:r>
      <w:proofErr w:type="spellStart"/>
      <w:r w:rsidRPr="00DC1A5F">
        <w:rPr>
          <w:color w:val="auto"/>
          <w:u w:color="000000"/>
        </w:rPr>
        <w:t>Vismmhṭ</w:t>
      </w:r>
      <w:proofErr w:type="spellEnd"/>
      <w:r w:rsidRPr="00DC1A5F">
        <w:rPr>
          <w:color w:val="auto"/>
          <w:u w:color="000000"/>
        </w:rPr>
        <w:t xml:space="preserve"> 555).</w:t>
      </w:r>
      <w:r w:rsidRPr="00DC1A5F">
        <w:t xml:space="preserve"> La palabra </w:t>
      </w:r>
      <w:proofErr w:type="spellStart"/>
      <w:r w:rsidRPr="00DC1A5F">
        <w:rPr>
          <w:i/>
          <w:iCs/>
        </w:rPr>
        <w:t>paṭicca</w:t>
      </w:r>
      <w:proofErr w:type="spellEnd"/>
      <w:r w:rsidRPr="00DC1A5F">
        <w:t xml:space="preserve"> (debido a, dependiendo de) y la palabra </w:t>
      </w:r>
      <w:proofErr w:type="spellStart"/>
      <w:r w:rsidRPr="00DC1A5F">
        <w:rPr>
          <w:i/>
          <w:iCs/>
        </w:rPr>
        <w:t>paccaya</w:t>
      </w:r>
      <w:proofErr w:type="spellEnd"/>
      <w:r w:rsidRPr="00DC1A5F">
        <w:t xml:space="preserve"> (condición) son ambos gerundios de </w:t>
      </w:r>
      <w:proofErr w:type="spellStart"/>
      <w:r w:rsidRPr="00DC1A5F">
        <w:rPr>
          <w:i/>
          <w:iCs/>
        </w:rPr>
        <w:t>paṭi</w:t>
      </w:r>
      <w:proofErr w:type="spellEnd"/>
      <w:r w:rsidRPr="00DC1A5F">
        <w:t xml:space="preserve"> + </w:t>
      </w:r>
      <w:proofErr w:type="spellStart"/>
      <w:r w:rsidRPr="00DC1A5F">
        <w:rPr>
          <w:i/>
          <w:iCs/>
        </w:rPr>
        <w:t>eti</w:t>
      </w:r>
      <w:proofErr w:type="spellEnd"/>
      <w:r w:rsidRPr="00DC1A5F">
        <w:rPr>
          <w:i/>
          <w:iCs/>
        </w:rPr>
        <w:t xml:space="preserve"> o </w:t>
      </w:r>
      <w:proofErr w:type="spellStart"/>
      <w:r w:rsidRPr="00DC1A5F">
        <w:rPr>
          <w:i/>
          <w:iCs/>
        </w:rPr>
        <w:t>ayati</w:t>
      </w:r>
      <w:proofErr w:type="spellEnd"/>
      <w:r w:rsidRPr="00DC1A5F">
        <w:t xml:space="preserve"> (volver a).</w:t>
      </w:r>
    </w:p>
    <w:p w14:paraId="0656C2C2" w14:textId="77777777" w:rsidR="00597DE2" w:rsidRPr="00DC1A5F" w:rsidRDefault="00597DE2" w:rsidP="00597DE2">
      <w:pPr>
        <w:tabs>
          <w:tab w:val="clear" w:pos="425"/>
        </w:tabs>
        <w:spacing w:after="160"/>
      </w:pPr>
      <w:r w:rsidRPr="00DC1A5F">
        <w:br w:type="page"/>
      </w:r>
    </w:p>
    <w:p w14:paraId="497A4A11" w14:textId="77777777" w:rsidR="00597DE2" w:rsidRPr="00DC1A5F" w:rsidRDefault="00597DE2" w:rsidP="00597DE2"/>
    <w:p w14:paraId="737853DA" w14:textId="77777777" w:rsidR="00597DE2" w:rsidRPr="00DC1A5F" w:rsidRDefault="00597DE2" w:rsidP="00597DE2">
      <w:pPr>
        <w:pStyle w:val="Textoindependiente"/>
      </w:pPr>
      <w:r w:rsidRPr="00DC1A5F">
        <w:t xml:space="preserve">20. </w:t>
      </w:r>
      <w:r w:rsidRPr="00DC1A5F">
        <w:tab/>
        <w:t>Entre las condiciones descritas bajo los términos de ignorancia, etc., las respectivas condiciones que hagan surgir los estados [condicionalmente surgidos] que comienzan con las formaciones serán incapaces de hacerlos surgir cuando no sean mutuamente dependientes y cuando sean deficientes. Por lo tanto, esta condicionalidad mediante la dependencia (</w:t>
      </w:r>
      <w:proofErr w:type="spellStart"/>
      <w:r w:rsidRPr="00DC1A5F">
        <w:rPr>
          <w:i/>
          <w:iCs/>
        </w:rPr>
        <w:t>paṭicca</w:t>
      </w:r>
      <w:proofErr w:type="spellEnd"/>
      <w:r w:rsidRPr="00DC1A5F">
        <w:t>—</w:t>
      </w:r>
      <w:proofErr w:type="spellStart"/>
      <w:r w:rsidRPr="00DC1A5F">
        <w:t>ger</w:t>
      </w:r>
      <w:proofErr w:type="spellEnd"/>
      <w:r w:rsidRPr="00DC1A5F">
        <w:t>.) harán que los estados surjan (</w:t>
      </w:r>
      <w:proofErr w:type="spellStart"/>
      <w:r w:rsidRPr="00DC1A5F">
        <w:rPr>
          <w:i/>
          <w:iCs/>
        </w:rPr>
        <w:t>uppādeti</w:t>
      </w:r>
      <w:proofErr w:type="spellEnd"/>
      <w:r w:rsidRPr="00DC1A5F">
        <w:t>) por igual y conjuntamente (</w:t>
      </w:r>
      <w:proofErr w:type="spellStart"/>
      <w:r w:rsidRPr="00DC1A5F">
        <w:rPr>
          <w:i/>
          <w:iCs/>
        </w:rPr>
        <w:t>samaṃ</w:t>
      </w:r>
      <w:proofErr w:type="spellEnd"/>
      <w:r w:rsidRPr="00DC1A5F">
        <w:rPr>
          <w:i/>
          <w:iCs/>
        </w:rPr>
        <w:t xml:space="preserve"> </w:t>
      </w:r>
      <w:r w:rsidRPr="00DC1A5F">
        <w:t>saha ca), no por partes y sucesivamente—así lo ha denominado aquí el Sabio, que es experto en fraseología, la cual se ajusta a su significado: se le ha denominado con precisión “originación dependiente” (</w:t>
      </w:r>
      <w:proofErr w:type="spellStart"/>
      <w:r w:rsidRPr="00DC1A5F">
        <w:rPr>
          <w:i/>
          <w:iCs/>
        </w:rPr>
        <w:t>paṭicca</w:t>
      </w:r>
      <w:proofErr w:type="spellEnd"/>
      <w:r w:rsidRPr="00DC1A5F">
        <w:rPr>
          <w:i/>
          <w:iCs/>
        </w:rPr>
        <w:t xml:space="preserve"> </w:t>
      </w:r>
      <w:proofErr w:type="spellStart"/>
      <w:r w:rsidRPr="00DC1A5F">
        <w:rPr>
          <w:i/>
          <w:iCs/>
        </w:rPr>
        <w:t>samuppāda</w:t>
      </w:r>
      <w:proofErr w:type="spellEnd"/>
      <w:r w:rsidRPr="00DC1A5F">
        <w:t>), es el significado.</w:t>
      </w:r>
    </w:p>
    <w:p w14:paraId="6A35BEB0" w14:textId="77777777" w:rsidR="00597DE2" w:rsidRPr="00DC1A5F" w:rsidRDefault="00597DE2" w:rsidP="00597DE2">
      <w:pPr>
        <w:pStyle w:val="Textoindependiente"/>
      </w:pPr>
      <w:r w:rsidRPr="00DC1A5F">
        <w:t xml:space="preserve">21. </w:t>
      </w:r>
      <w:r w:rsidRPr="00DC1A5F">
        <w:tab/>
        <w:t>Y mientras se establece así:</w:t>
      </w:r>
    </w:p>
    <w:p w14:paraId="2AE166BE" w14:textId="77777777" w:rsidR="00597DE2" w:rsidRPr="00DC1A5F" w:rsidRDefault="00597DE2" w:rsidP="00597DE2">
      <w:pPr>
        <w:pStyle w:val="VersoIngls01Sangria"/>
        <w:rPr>
          <w:sz w:val="16"/>
          <w:szCs w:val="20"/>
        </w:rPr>
      </w:pPr>
      <w:r w:rsidRPr="00DC1A5F">
        <w:rPr>
          <w:sz w:val="16"/>
          <w:szCs w:val="20"/>
        </w:rPr>
        <w:t xml:space="preserve">El primer componente negará la visión incorrecta de la </w:t>
      </w:r>
      <w:proofErr w:type="spellStart"/>
      <w:r w:rsidRPr="00DC1A5F">
        <w:rPr>
          <w:sz w:val="16"/>
          <w:szCs w:val="20"/>
        </w:rPr>
        <w:t>eternalidad</w:t>
      </w:r>
      <w:proofErr w:type="spellEnd"/>
      <w:r w:rsidRPr="00DC1A5F">
        <w:rPr>
          <w:sz w:val="16"/>
          <w:szCs w:val="20"/>
        </w:rPr>
        <w:t>.</w:t>
      </w:r>
    </w:p>
    <w:p w14:paraId="242F43B8" w14:textId="77777777" w:rsidR="00597DE2" w:rsidRPr="00DC1A5F" w:rsidRDefault="00597DE2" w:rsidP="00597DE2">
      <w:pPr>
        <w:pStyle w:val="VersoIngls01Sangria"/>
        <w:rPr>
          <w:sz w:val="16"/>
          <w:szCs w:val="20"/>
        </w:rPr>
      </w:pPr>
      <w:r w:rsidRPr="00DC1A5F">
        <w:rPr>
          <w:sz w:val="16"/>
          <w:szCs w:val="20"/>
        </w:rPr>
        <w:t>Y así sucesivamente, y el segundo evitará</w:t>
      </w:r>
    </w:p>
    <w:p w14:paraId="4445A244" w14:textId="77777777" w:rsidR="00597DE2" w:rsidRPr="00DC1A5F" w:rsidRDefault="00597DE2" w:rsidP="00597DE2">
      <w:pPr>
        <w:pStyle w:val="VersoIngls01Sangria"/>
        <w:rPr>
          <w:sz w:val="16"/>
          <w:szCs w:val="20"/>
        </w:rPr>
      </w:pPr>
      <w:r w:rsidRPr="00DC1A5F">
        <w:rPr>
          <w:sz w:val="16"/>
          <w:szCs w:val="20"/>
        </w:rPr>
        <w:t xml:space="preserve">El tipo de visión nihilista y otros similares, mientras que los dos </w:t>
      </w:r>
    </w:p>
    <w:p w14:paraId="3E6EDBED" w14:textId="77777777" w:rsidR="00597DE2" w:rsidRPr="00DC1A5F" w:rsidRDefault="00597DE2" w:rsidP="00597DE2">
      <w:pPr>
        <w:pStyle w:val="VersoIngls01Sangria"/>
        <w:spacing w:after="100"/>
        <w:ind w:left="1418"/>
        <w:rPr>
          <w:sz w:val="16"/>
          <w:szCs w:val="20"/>
        </w:rPr>
      </w:pPr>
      <w:r w:rsidRPr="00DC1A5F">
        <w:rPr>
          <w:sz w:val="16"/>
          <w:szCs w:val="20"/>
        </w:rPr>
        <w:t>Conjuntamente mostrarán la verdadera forma en la que deberá entenderse.</w:t>
      </w:r>
    </w:p>
    <w:p w14:paraId="3DF7E90A" w14:textId="77777777" w:rsidR="00597DE2" w:rsidRPr="00DC1A5F" w:rsidRDefault="00597DE2" w:rsidP="00597DE2">
      <w:r w:rsidRPr="00DC1A5F">
        <w:t xml:space="preserve">22. </w:t>
      </w:r>
      <w:r w:rsidRPr="00DC1A5F">
        <w:tab/>
      </w:r>
      <w:r w:rsidRPr="00DC1A5F">
        <w:rPr>
          <w:i/>
          <w:iCs/>
        </w:rPr>
        <w:t>El primer</w:t>
      </w:r>
      <w:r w:rsidRPr="00DC1A5F">
        <w:t>: la palabra “dependiente” (</w:t>
      </w:r>
      <w:proofErr w:type="spellStart"/>
      <w:r w:rsidRPr="00DC1A5F">
        <w:rPr>
          <w:i/>
          <w:iCs/>
        </w:rPr>
        <w:t>paṭicca</w:t>
      </w:r>
      <w:proofErr w:type="spellEnd"/>
      <w:r w:rsidRPr="00DC1A5F">
        <w:t>) indicará una combinación de condiciones, [522] ya que los estados en el proceso de ocurrencia existirán en dependencia de una combinación de condiciones; además demostrarán que no son eternos, etc., negando así las diversas doctrinas del eternalismo, incausalidad, causalidad ficticia y poseedora de poder.</w:t>
      </w:r>
      <w:r w:rsidRPr="00DC1A5F">
        <w:rPr>
          <w:vertAlign w:val="superscript"/>
        </w:rPr>
        <w:t>3</w:t>
      </w:r>
      <w:r w:rsidRPr="00DC1A5F">
        <w:t xml:space="preserve"> ¿Con qué propósito existiría realmente una combinación de condiciones, si las cosas fueran eternas, o si ocurriesen sin causa, etc.?</w:t>
      </w:r>
    </w:p>
    <w:p w14:paraId="6AB40B95" w14:textId="77777777" w:rsidR="00597DE2" w:rsidRPr="00DC1A5F" w:rsidRDefault="00597DE2" w:rsidP="00597DE2">
      <w:r w:rsidRPr="00DC1A5F">
        <w:t xml:space="preserve">23. </w:t>
      </w:r>
      <w:r w:rsidRPr="00DC1A5F">
        <w:tab/>
      </w:r>
      <w:r w:rsidRPr="00DC1A5F">
        <w:rPr>
          <w:i/>
          <w:iCs/>
        </w:rPr>
        <w:t>El segundo</w:t>
      </w:r>
      <w:r w:rsidRPr="00DC1A5F">
        <w:t>: la palabra “originación” (</w:t>
      </w:r>
      <w:proofErr w:type="spellStart"/>
      <w:r w:rsidRPr="00DC1A5F">
        <w:rPr>
          <w:i/>
          <w:iCs/>
        </w:rPr>
        <w:t>samuppāda</w:t>
      </w:r>
      <w:proofErr w:type="spellEnd"/>
      <w:r w:rsidRPr="00DC1A5F">
        <w:t>) indicará un surgimiento de estados, ya que estos ocurrirán cuando sus condiciones se combinen y éste demostrará cómo prevenir la visión nihilista, etc., evitando así diversas doctrinas nihilistas [de un alma ], diversos nihilismos, [“que no sirve de nada la generosidad”, etc.,] y la ineficacia–moral–de–la–acción, [“que no existe otra esfera existencial”, etc.]; ya que cuando se observe que los estados surgen una y otra vez, cada uno condicionado por su predecesor, ¿cómo podría sostenerse las doctrinas nihilistas, el nihilismo y la correspondiente a la ineficacia–moral―de―la―acción?</w:t>
      </w:r>
    </w:p>
    <w:p w14:paraId="182D4300" w14:textId="77777777" w:rsidR="00597DE2" w:rsidRPr="00DC1A5F" w:rsidRDefault="00597DE2" w:rsidP="00597DE2">
      <w:pPr>
        <w:rPr>
          <w:vertAlign w:val="superscript"/>
        </w:rPr>
      </w:pPr>
      <w:r w:rsidRPr="00DC1A5F">
        <w:t xml:space="preserve">24. </w:t>
      </w:r>
      <w:r w:rsidRPr="00DC1A5F">
        <w:tab/>
      </w:r>
      <w:r w:rsidRPr="00DC1A5F">
        <w:rPr>
          <w:i/>
          <w:iCs/>
        </w:rPr>
        <w:t>Los dos conjuntamente</w:t>
      </w:r>
      <w:r w:rsidRPr="00DC1A5F">
        <w:t>: dado que cualquier estado producirá ininterrumpidamente la continuidad causa–efecto de cualquier combinación surgida debido a sus condiciones, toda la expresión de “la originación dependiente” (</w:t>
      </w:r>
      <w:proofErr w:type="spellStart"/>
      <w:r w:rsidRPr="00DC1A5F">
        <w:rPr>
          <w:i/>
          <w:iCs/>
        </w:rPr>
        <w:t>paṭicca</w:t>
      </w:r>
      <w:proofErr w:type="spellEnd"/>
      <w:r w:rsidRPr="00DC1A5F">
        <w:rPr>
          <w:i/>
          <w:iCs/>
        </w:rPr>
        <w:t>–</w:t>
      </w:r>
      <w:proofErr w:type="spellStart"/>
      <w:r w:rsidRPr="00DC1A5F">
        <w:rPr>
          <w:i/>
          <w:iCs/>
        </w:rPr>
        <w:t>samuppāda</w:t>
      </w:r>
      <w:proofErr w:type="spellEnd"/>
      <w:r w:rsidRPr="00DC1A5F">
        <w:t>) representará el sendero medio, el cual rechazará doctrinas como “El que actúa es el que siega” y “Alguien actúa mientras otro siega” (S II 20), y el cual corresponderá al sendero apropiado de describirlo: “No insistiendo en el idioma local y no anulando el uso normal del lenguaje” M III 234).</w:t>
      </w:r>
      <w:r w:rsidRPr="00DC1A5F">
        <w:rPr>
          <w:vertAlign w:val="superscript"/>
        </w:rPr>
        <w:t>4</w:t>
      </w:r>
    </w:p>
    <w:p w14:paraId="1B7011B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5658F73" w14:textId="77777777" w:rsidR="00597DE2" w:rsidRPr="00DC1A5F" w:rsidRDefault="00597DE2" w:rsidP="00597DE2">
      <w:pPr>
        <w:pStyle w:val="PiedepginaLegal"/>
        <w:numPr>
          <w:ilvl w:val="0"/>
          <w:numId w:val="6"/>
        </w:numPr>
        <w:tabs>
          <w:tab w:val="clear" w:pos="425"/>
        </w:tabs>
        <w:ind w:left="284" w:hanging="284"/>
        <w:rPr>
          <w:color w:val="auto"/>
          <w:u w:color="000000"/>
        </w:rPr>
      </w:pPr>
      <w:r w:rsidRPr="00DC1A5F">
        <w:rPr>
          <w:color w:val="auto"/>
          <w:u w:color="000000"/>
        </w:rPr>
        <w:t>“La doctrina del eternalismo es ésa que dice así: ‘El mundo y el alma son eternos’” (D I 14). La de la no―causalidad es ésa que dice así, “No existe causa, no existe condición, para la contaminación de los seres” (D I 53).</w:t>
      </w:r>
      <w:r w:rsidRPr="00DC1A5F">
        <w:rPr>
          <w:color w:val="833C0B" w:themeColor="accent2" w:themeShade="80"/>
          <w:u w:color="000000"/>
        </w:rPr>
        <w:t xml:space="preserve"> </w:t>
      </w:r>
      <w:r w:rsidRPr="00DC1A5F">
        <w:rPr>
          <w:color w:val="auto"/>
          <w:u w:color="000000"/>
        </w:rPr>
        <w:t>La de la causalidad ficticia sostiene que la existencia del mundo se debe a una Esencia Primordial (</w:t>
      </w:r>
      <w:proofErr w:type="spellStart"/>
      <w:r w:rsidRPr="00DC1A5F">
        <w:rPr>
          <w:i/>
          <w:iCs/>
          <w:color w:val="auto"/>
          <w:u w:color="000000"/>
        </w:rPr>
        <w:t>prakṛti</w:t>
      </w:r>
      <w:proofErr w:type="spellEnd"/>
      <w:r w:rsidRPr="00DC1A5F">
        <w:rPr>
          <w:color w:val="auto"/>
          <w:u w:color="000000"/>
        </w:rPr>
        <w:t>), a los átomos (</w:t>
      </w:r>
      <w:proofErr w:type="spellStart"/>
      <w:r w:rsidRPr="00DC1A5F">
        <w:rPr>
          <w:i/>
          <w:iCs/>
          <w:color w:val="auto"/>
          <w:u w:color="000000"/>
        </w:rPr>
        <w:t>aṇu</w:t>
      </w:r>
      <w:proofErr w:type="spellEnd"/>
      <w:r w:rsidRPr="00DC1A5F">
        <w:rPr>
          <w:color w:val="auto"/>
          <w:u w:color="000000"/>
        </w:rPr>
        <w:t>), al tiempo (</w:t>
      </w:r>
      <w:proofErr w:type="spellStart"/>
      <w:r w:rsidRPr="00DC1A5F">
        <w:rPr>
          <w:i/>
          <w:iCs/>
          <w:color w:val="auto"/>
          <w:u w:color="000000"/>
        </w:rPr>
        <w:t>kāla</w:t>
      </w:r>
      <w:proofErr w:type="spellEnd"/>
      <w:r w:rsidRPr="00DC1A5F">
        <w:rPr>
          <w:color w:val="auto"/>
          <w:u w:color="000000"/>
        </w:rPr>
        <w:t>), etc. La de un portador de poder afirma la existencia de un Señor Supremo. (</w:t>
      </w:r>
      <w:proofErr w:type="spellStart"/>
      <w:r w:rsidRPr="00DC1A5F">
        <w:rPr>
          <w:i/>
          <w:iCs/>
          <w:color w:val="auto"/>
          <w:u w:color="000000"/>
        </w:rPr>
        <w:t>issara</w:t>
      </w:r>
      <w:proofErr w:type="spellEnd"/>
      <w:r w:rsidRPr="00DC1A5F">
        <w:rPr>
          <w:color w:val="auto"/>
          <w:u w:color="000000"/>
        </w:rPr>
        <w:t>), o la de un Alma en el Mundo (</w:t>
      </w:r>
      <w:proofErr w:type="spellStart"/>
      <w:r w:rsidRPr="00DC1A5F">
        <w:rPr>
          <w:i/>
          <w:iCs/>
          <w:color w:val="auto"/>
          <w:u w:color="000000"/>
        </w:rPr>
        <w:t>Puruṣa</w:t>
      </w:r>
      <w:proofErr w:type="spellEnd"/>
      <w:r w:rsidRPr="00DC1A5F">
        <w:rPr>
          <w:color w:val="auto"/>
          <w:u w:color="000000"/>
        </w:rPr>
        <w:t xml:space="preserve">), o la de </w:t>
      </w:r>
      <w:proofErr w:type="spellStart"/>
      <w:r w:rsidRPr="00DC1A5F">
        <w:rPr>
          <w:i/>
          <w:iCs/>
          <w:color w:val="auto"/>
          <w:u w:color="000000"/>
        </w:rPr>
        <w:t>Pajāpati</w:t>
      </w:r>
      <w:proofErr w:type="spellEnd"/>
      <w:r w:rsidRPr="00DC1A5F">
        <w:rPr>
          <w:color w:val="auto"/>
          <w:u w:color="000000"/>
        </w:rPr>
        <w:t xml:space="preserve"> (el Señor de la Raza).</w:t>
      </w:r>
      <w:r w:rsidRPr="00DC1A5F">
        <w:t xml:space="preserve"> </w:t>
      </w:r>
      <w:r w:rsidRPr="00DC1A5F">
        <w:rPr>
          <w:color w:val="auto"/>
          <w:u w:color="000000"/>
        </w:rPr>
        <w:t>También la doctrina de la Naturaleza (</w:t>
      </w:r>
      <w:proofErr w:type="spellStart"/>
      <w:r w:rsidRPr="00DC1A5F">
        <w:rPr>
          <w:i/>
          <w:iCs/>
          <w:color w:val="auto"/>
          <w:u w:color="000000"/>
        </w:rPr>
        <w:t>sabhāva</w:t>
      </w:r>
      <w:proofErr w:type="spellEnd"/>
      <w:r w:rsidRPr="00DC1A5F">
        <w:rPr>
          <w:color w:val="auto"/>
          <w:u w:color="000000"/>
        </w:rPr>
        <w:t xml:space="preserve">, </w:t>
      </w:r>
      <w:proofErr w:type="spellStart"/>
      <w:r w:rsidRPr="00DC1A5F">
        <w:rPr>
          <w:i/>
          <w:iCs/>
          <w:color w:val="auto"/>
          <w:u w:color="000000"/>
        </w:rPr>
        <w:t>Skr</w:t>
      </w:r>
      <w:proofErr w:type="spellEnd"/>
      <w:r w:rsidRPr="00DC1A5F">
        <w:rPr>
          <w:color w:val="auto"/>
          <w:u w:color="000000"/>
        </w:rPr>
        <w:t xml:space="preserve">. </w:t>
      </w:r>
      <w:proofErr w:type="spellStart"/>
      <w:r w:rsidRPr="00DC1A5F">
        <w:rPr>
          <w:i/>
          <w:iCs/>
          <w:color w:val="auto"/>
          <w:u w:color="000000"/>
        </w:rPr>
        <w:t>svabhāva</w:t>
      </w:r>
      <w:proofErr w:type="spellEnd"/>
      <w:r w:rsidRPr="00DC1A5F">
        <w:rPr>
          <w:color w:val="auto"/>
          <w:u w:color="000000"/>
        </w:rPr>
        <w:t xml:space="preserve"> = esencia individual), el Destino (</w:t>
      </w:r>
      <w:proofErr w:type="spellStart"/>
      <w:r w:rsidRPr="00DC1A5F">
        <w:rPr>
          <w:i/>
          <w:iCs/>
          <w:color w:val="auto"/>
          <w:u w:color="000000"/>
        </w:rPr>
        <w:t>niyati</w:t>
      </w:r>
      <w:proofErr w:type="spellEnd"/>
      <w:r w:rsidRPr="00DC1A5F">
        <w:rPr>
          <w:color w:val="auto"/>
          <w:u w:color="000000"/>
        </w:rPr>
        <w:t>) y el Azar (</w:t>
      </w:r>
      <w:proofErr w:type="spellStart"/>
      <w:r w:rsidRPr="00DC1A5F">
        <w:rPr>
          <w:i/>
          <w:iCs/>
          <w:color w:val="auto"/>
          <w:u w:color="000000"/>
        </w:rPr>
        <w:t>yadicchā</w:t>
      </w:r>
      <w:proofErr w:type="spellEnd"/>
      <w:r w:rsidRPr="00DC1A5F">
        <w:rPr>
          <w:color w:val="auto"/>
          <w:u w:color="000000"/>
        </w:rPr>
        <w:t>), deben considerarse incluidas aquí bajo la doctrina de la incausalidad.</w:t>
      </w:r>
      <w:r w:rsidRPr="00DC1A5F">
        <w:t xml:space="preserve"> </w:t>
      </w:r>
      <w:r w:rsidRPr="00DC1A5F">
        <w:rPr>
          <w:color w:val="auto"/>
          <w:u w:color="000000"/>
        </w:rPr>
        <w:t>Algunos, sin embargo, dicen que la doctrina de la causalidad ficticia es la que comienza con ‘El ojo es la causa del ojo’, y que la doctrina del portador del poder es la aquella que comienza con ‘Las cosas ocurren debido a su propia esencia individual’. (ver Cap. XVI, n. 23)”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557).</w:t>
      </w:r>
    </w:p>
    <w:p w14:paraId="143CF80F" w14:textId="77777777" w:rsidR="00597DE2" w:rsidRPr="00DC1A5F" w:rsidRDefault="00597DE2" w:rsidP="00597DE2">
      <w:pPr>
        <w:pStyle w:val="PiedepginaLegal"/>
        <w:numPr>
          <w:ilvl w:val="0"/>
          <w:numId w:val="6"/>
        </w:numPr>
        <w:tabs>
          <w:tab w:val="clear" w:pos="425"/>
        </w:tabs>
        <w:spacing w:after="160"/>
        <w:ind w:left="284" w:hanging="284"/>
      </w:pPr>
      <w:r w:rsidRPr="00DC1A5F">
        <w:t>“Términos como ‘mujer’, ‘hombre’, etc., son formas convencionales de expresarse (</w:t>
      </w:r>
      <w:proofErr w:type="spellStart"/>
      <w:r w:rsidRPr="00DC1A5F">
        <w:rPr>
          <w:i/>
          <w:iCs/>
        </w:rPr>
        <w:t>janapada</w:t>
      </w:r>
      <w:proofErr w:type="spellEnd"/>
      <w:r w:rsidRPr="00DC1A5F">
        <w:rPr>
          <w:i/>
          <w:iCs/>
        </w:rPr>
        <w:t>–</w:t>
      </w:r>
      <w:proofErr w:type="spellStart"/>
      <w:r w:rsidRPr="00DC1A5F">
        <w:rPr>
          <w:i/>
          <w:iCs/>
        </w:rPr>
        <w:t>nirutti</w:t>
      </w:r>
      <w:proofErr w:type="spellEnd"/>
      <w:r w:rsidRPr="00DC1A5F">
        <w:t>) porque incluso los hombres sabios, en lugar de decir: ‘Busquen a esos cinco agregados’ o ‘Que la</w:t>
      </w:r>
      <w:r w:rsidRPr="00DC1A5F">
        <w:br w:type="page"/>
      </w:r>
    </w:p>
    <w:p w14:paraId="020523A8" w14:textId="77777777" w:rsidR="00597DE2" w:rsidRPr="00DC1A5F" w:rsidRDefault="00597DE2" w:rsidP="00597DE2"/>
    <w:p w14:paraId="1A358D18" w14:textId="77777777" w:rsidR="00597DE2" w:rsidRPr="00DC1A5F" w:rsidRDefault="00597DE2" w:rsidP="00597DE2">
      <w:pPr>
        <w:pStyle w:val="Textoindependiente"/>
      </w:pPr>
      <w:r w:rsidRPr="00DC1A5F">
        <w:t>Este, en primer lugar, corresponderá al significado de las llanas palabras “originación dependiente” (</w:t>
      </w:r>
      <w:proofErr w:type="spellStart"/>
      <w:r w:rsidRPr="00DC1A5F">
        <w:rPr>
          <w:i/>
          <w:iCs/>
        </w:rPr>
        <w:t>paṭicca</w:t>
      </w:r>
      <w:proofErr w:type="spellEnd"/>
      <w:r w:rsidRPr="00DC1A5F">
        <w:t>–</w:t>
      </w:r>
      <w:proofErr w:type="spellStart"/>
      <w:r w:rsidRPr="00DC1A5F">
        <w:rPr>
          <w:i/>
          <w:iCs/>
        </w:rPr>
        <w:t>samuppāda</w:t>
      </w:r>
      <w:proofErr w:type="spellEnd"/>
      <w:r w:rsidRPr="00DC1A5F">
        <w:t>).</w:t>
      </w:r>
    </w:p>
    <w:p w14:paraId="137299E1" w14:textId="77777777" w:rsidR="00597DE2" w:rsidRPr="00DC1A5F" w:rsidRDefault="00597DE2" w:rsidP="00597DE2">
      <w:pPr>
        <w:pStyle w:val="Ttulo3"/>
        <w:ind w:left="708"/>
      </w:pPr>
      <w:r w:rsidRPr="00DC1A5F">
        <w:t>[Sección B. Exposición]</w:t>
      </w:r>
    </w:p>
    <w:p w14:paraId="2E861425" w14:textId="77777777" w:rsidR="00597DE2" w:rsidRPr="00DC1A5F" w:rsidRDefault="00597DE2" w:rsidP="00597DE2">
      <w:pPr>
        <w:pStyle w:val="Ttulo5"/>
      </w:pPr>
      <w:r w:rsidRPr="00DC1A5F">
        <w:t>[I. Preámbulo]</w:t>
      </w:r>
    </w:p>
    <w:p w14:paraId="68BFAD40" w14:textId="77777777" w:rsidR="00597DE2" w:rsidRPr="00DC1A5F" w:rsidRDefault="00597DE2" w:rsidP="00597DE2">
      <w:r w:rsidRPr="00DC1A5F">
        <w:t xml:space="preserve">25. </w:t>
      </w:r>
      <w:r w:rsidRPr="00DC1A5F">
        <w:tab/>
        <w:t xml:space="preserve">Ahora, al exponer esta originación dependiente, el </w:t>
      </w:r>
      <w:r w:rsidRPr="00DC1A5F">
        <w:rPr>
          <w:i/>
          <w:iCs/>
        </w:rPr>
        <w:t>Bhagavā</w:t>
      </w:r>
      <w:r w:rsidRPr="00DC1A5F">
        <w:t xml:space="preserve"> ha expuesto el texto mediante un pasaje que comienza así “Con la ignorancia como condición se originan las formaciones” (S II 20). Su significado debe ser comentado por alguien que se mantenga dentro del círculo de los </w:t>
      </w:r>
      <w:r w:rsidRPr="00DC1A5F">
        <w:rPr>
          <w:i/>
          <w:iCs/>
        </w:rPr>
        <w:t>Vibhajjavādins</w:t>
      </w:r>
      <w:r w:rsidRPr="00DC1A5F">
        <w:t>,</w:t>
      </w:r>
      <w:r w:rsidRPr="00DC1A5F">
        <w:rPr>
          <w:vertAlign w:val="superscript"/>
        </w:rPr>
        <w:t>5</w:t>
      </w:r>
      <w:r w:rsidRPr="00DC1A5F">
        <w:t xml:space="preserve"> es decir, los que no tergiversan a los maestros, los que no anuncien sus propios puntos de vista, que no discutan con el punto de vista de los demás, que no distorsionen los </w:t>
      </w:r>
      <w:r w:rsidRPr="00DC1A5F">
        <w:rPr>
          <w:i/>
          <w:iCs/>
        </w:rPr>
        <w:t>suttas</w:t>
      </w:r>
      <w:r w:rsidRPr="00DC1A5F">
        <w:t xml:space="preserve">, que estén de acuerdo con el </w:t>
      </w:r>
      <w:proofErr w:type="spellStart"/>
      <w:r w:rsidRPr="00DC1A5F">
        <w:rPr>
          <w:i/>
          <w:iCs/>
        </w:rPr>
        <w:t>Vinaya</w:t>
      </w:r>
      <w:proofErr w:type="spellEnd"/>
      <w:r w:rsidRPr="00DC1A5F">
        <w:t>, que aguarden por las autoridades principales (</w:t>
      </w:r>
      <w:proofErr w:type="spellStart"/>
      <w:r w:rsidRPr="00DC1A5F">
        <w:rPr>
          <w:i/>
          <w:iCs/>
        </w:rPr>
        <w:t>mahāpadesa</w:t>
      </w:r>
      <w:proofErr w:type="spellEnd"/>
      <w:r w:rsidRPr="00DC1A5F">
        <w:t xml:space="preserve">—D II 123ff.), que ilustren la </w:t>
      </w:r>
      <w:r w:rsidRPr="00DC1A5F">
        <w:rPr>
          <w:i/>
          <w:iCs/>
        </w:rPr>
        <w:t>ley</w:t>
      </w:r>
      <w:r w:rsidRPr="00DC1A5F">
        <w:t xml:space="preserve"> (</w:t>
      </w:r>
      <w:r w:rsidRPr="00DC1A5F">
        <w:rPr>
          <w:i/>
        </w:rPr>
        <w:t>dhamma</w:t>
      </w:r>
      <w:r w:rsidRPr="00DC1A5F">
        <w:t>), que retomen el significado (</w:t>
      </w:r>
      <w:proofErr w:type="spellStart"/>
      <w:r w:rsidRPr="00DC1A5F">
        <w:rPr>
          <w:i/>
          <w:iCs/>
        </w:rPr>
        <w:t>attha</w:t>
      </w:r>
      <w:proofErr w:type="spellEnd"/>
      <w:r w:rsidRPr="00DC1A5F">
        <w:t>), regresando recurrentemente a ese mismo significado, describiéndolo de diversas maneras.</w:t>
      </w:r>
      <w:r w:rsidRPr="00DC1A5F">
        <w:rPr>
          <w:vertAlign w:val="superscript"/>
        </w:rPr>
        <w:t>6</w:t>
      </w:r>
      <w:r w:rsidRPr="00DC1A5F">
        <w:t xml:space="preserve"> Y es intrínsecamente difícil comentar la originación  dependiente, como decían los Venerables:</w:t>
      </w:r>
    </w:p>
    <w:p w14:paraId="1C6659F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D968A9D" w14:textId="77777777" w:rsidR="00597DE2" w:rsidRPr="00DC1A5F" w:rsidRDefault="00597DE2" w:rsidP="00597DE2">
      <w:pPr>
        <w:pStyle w:val="PiedepginaLegal"/>
      </w:pPr>
      <w:r w:rsidRPr="00DC1A5F">
        <w:t>…</w:t>
      </w:r>
    </w:p>
    <w:p w14:paraId="335064C1" w14:textId="77777777" w:rsidR="00597DE2" w:rsidRPr="00DC1A5F" w:rsidRDefault="00597DE2" w:rsidP="00597DE2">
      <w:pPr>
        <w:pStyle w:val="PiedepginaLegal"/>
        <w:rPr>
          <w:color w:val="auto"/>
          <w:u w:color="000000"/>
        </w:rPr>
      </w:pPr>
      <w:r w:rsidRPr="00DC1A5F">
        <w:tab/>
        <w:t xml:space="preserve">esa materialidad―mentalidad’ vengan para aquí, utilizan las formas convencionales de ‘mujer’ y ‘hombre’. </w:t>
      </w:r>
      <w:r w:rsidRPr="00DC1A5F">
        <w:rPr>
          <w:color w:val="auto"/>
          <w:u w:color="000000"/>
        </w:rPr>
        <w:t>Así es cómo, en aquellos que no hayan entendido completamente lo que es una base física, llegarán a la insistencia (a la mala interpretación), ‘esto es realmente una mujer, esto es realmente un hombre’.</w:t>
      </w:r>
      <w:r w:rsidRPr="00DC1A5F">
        <w:t xml:space="preserve"> </w:t>
      </w:r>
      <w:r w:rsidRPr="00DC1A5F">
        <w:rPr>
          <w:color w:val="auto"/>
          <w:u w:color="000000"/>
        </w:rPr>
        <w:t>No obstante, como éste es un simple concepto dependerá de los estados producidos para la ocurrencia en tal o cual sabio, en alguien que vea y sepa que la originación dependiente no insistirá (en una malinterpretación) como significado último. El “</w:t>
      </w:r>
      <w:r w:rsidRPr="00DC1A5F">
        <w:rPr>
          <w:i/>
          <w:iCs/>
          <w:color w:val="auto"/>
          <w:u w:color="000000"/>
        </w:rPr>
        <w:t>lenguaje convencional</w:t>
      </w:r>
      <w:r w:rsidRPr="00DC1A5F">
        <w:rPr>
          <w:color w:val="auto"/>
          <w:u w:color="000000"/>
        </w:rPr>
        <w:t>” es el lenguaje contemporáneo del mundo.</w:t>
      </w:r>
      <w:r w:rsidRPr="00DC1A5F">
        <w:rPr>
          <w:color w:val="833C0B" w:themeColor="accent2" w:themeShade="80"/>
          <w:u w:color="000000"/>
        </w:rPr>
        <w:t xml:space="preserve"> </w:t>
      </w:r>
      <w:r w:rsidRPr="00DC1A5F">
        <w:rPr>
          <w:color w:val="auto"/>
          <w:u w:color="000000"/>
        </w:rPr>
        <w:t>Ser “</w:t>
      </w:r>
      <w:r w:rsidRPr="00DC1A5F">
        <w:rPr>
          <w:i/>
          <w:iCs/>
          <w:color w:val="auto"/>
          <w:u w:color="000000"/>
        </w:rPr>
        <w:t>no primordial</w:t>
      </w:r>
      <w:r w:rsidRPr="00DC1A5F">
        <w:rPr>
          <w:color w:val="auto"/>
          <w:u w:color="000000"/>
        </w:rPr>
        <w:t>” significará no ir más allá de ello. Ya que cuando se diga “un ser”, en lugar de hacer un análisis como el siguiente “¿Qué hay de perdurable aquí? ¿Es materialidad? ¿O sensación?” etc., alguien que no anule el uso convencional del lenguaje debería expresar un significado mundano en el lenguaje ordinario, tal como lo hace la gente mundana, empleando el uso corriente del mundo”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557–58). La explicación difiere algo del MN 139.</w:t>
      </w:r>
    </w:p>
    <w:p w14:paraId="2E36110A" w14:textId="77777777" w:rsidR="00597DE2" w:rsidRPr="00DC1A5F" w:rsidRDefault="00597DE2" w:rsidP="00597DE2">
      <w:pPr>
        <w:pStyle w:val="PiedepginaLegal"/>
        <w:numPr>
          <w:ilvl w:val="0"/>
          <w:numId w:val="6"/>
        </w:numPr>
        <w:tabs>
          <w:tab w:val="clear" w:pos="425"/>
        </w:tabs>
        <w:ind w:left="284" w:hanging="284"/>
      </w:pPr>
      <w:r w:rsidRPr="00DC1A5F">
        <w:t>El término “analizador” (</w:t>
      </w:r>
      <w:proofErr w:type="spellStart"/>
      <w:r w:rsidRPr="00DC1A5F">
        <w:rPr>
          <w:i/>
          <w:iCs/>
        </w:rPr>
        <w:t>vibhajjavādin</w:t>
      </w:r>
      <w:proofErr w:type="spellEnd"/>
      <w:r w:rsidRPr="00DC1A5F">
        <w:t xml:space="preserve">) aparece en el A V 190, y en el M II 197, en este sentido, se usa para describir al </w:t>
      </w:r>
      <w:r w:rsidRPr="00DC1A5F">
        <w:rPr>
          <w:i/>
        </w:rPr>
        <w:t>Buddha</w:t>
      </w:r>
      <w:r w:rsidRPr="00DC1A5F">
        <w:t xml:space="preserve"> y a sus seguidores, quienes no dieron respuestas precipitadamente y no calificadas a preguntas que requirieron ser analizadas antes de ser respondidas.</w:t>
      </w:r>
    </w:p>
    <w:p w14:paraId="6B3866B3" w14:textId="77777777" w:rsidR="00597DE2" w:rsidRPr="00DC1A5F" w:rsidRDefault="00597DE2" w:rsidP="00597DE2">
      <w:pPr>
        <w:pStyle w:val="PiedepginaLegal"/>
        <w:numPr>
          <w:ilvl w:val="0"/>
          <w:numId w:val="6"/>
        </w:numPr>
        <w:tabs>
          <w:tab w:val="clear" w:pos="425"/>
        </w:tabs>
        <w:ind w:left="284" w:hanging="284"/>
        <w:rPr>
          <w:color w:val="auto"/>
          <w:u w:color="000000"/>
        </w:rPr>
      </w:pPr>
      <w:r w:rsidRPr="00DC1A5F">
        <w:rPr>
          <w:color w:val="auto"/>
          <w:u w:color="000000"/>
        </w:rPr>
        <w:t xml:space="preserve">“La ‘ley’ (el </w:t>
      </w:r>
      <w:r w:rsidRPr="00DC1A5F">
        <w:rPr>
          <w:i/>
          <w:color w:val="auto"/>
          <w:u w:color="000000"/>
        </w:rPr>
        <w:t>dhamma</w:t>
      </w:r>
      <w:r w:rsidRPr="00DC1A5F">
        <w:rPr>
          <w:color w:val="auto"/>
          <w:u w:color="000000"/>
        </w:rPr>
        <w:t>) es el texto de la originación dependiente. El ‘significado’ (</w:t>
      </w:r>
      <w:proofErr w:type="spellStart"/>
      <w:r w:rsidRPr="00DC1A5F">
        <w:rPr>
          <w:i/>
          <w:iCs/>
          <w:color w:val="auto"/>
          <w:u w:color="000000"/>
        </w:rPr>
        <w:t>attha</w:t>
      </w:r>
      <w:proofErr w:type="spellEnd"/>
      <w:r w:rsidRPr="00DC1A5F">
        <w:rPr>
          <w:color w:val="auto"/>
          <w:u w:color="000000"/>
        </w:rPr>
        <w:t xml:space="preserve">) corresponderá al significado al respecto. O lo que se quiere decir es que corresponderán a la causa y al efecto de la causa. O “ley” (el </w:t>
      </w:r>
      <w:r w:rsidRPr="00DC1A5F">
        <w:rPr>
          <w:i/>
          <w:color w:val="auto"/>
          <w:u w:color="000000"/>
        </w:rPr>
        <w:t>dhamma</w:t>
      </w:r>
      <w:r w:rsidRPr="00DC1A5F">
        <w:rPr>
          <w:color w:val="auto"/>
          <w:u w:color="000000"/>
        </w:rPr>
        <w:t>) corresponderá a la regularidad (</w:t>
      </w:r>
      <w:proofErr w:type="spellStart"/>
      <w:r w:rsidRPr="00DC1A5F">
        <w:rPr>
          <w:i/>
          <w:iCs/>
          <w:color w:val="auto"/>
          <w:u w:color="000000"/>
        </w:rPr>
        <w:t>dhammatā</w:t>
      </w:r>
      <w:proofErr w:type="spellEnd"/>
      <w:r w:rsidRPr="00DC1A5F">
        <w:rPr>
          <w:color w:val="auto"/>
          <w:u w:color="000000"/>
        </w:rPr>
        <w:t>).</w:t>
      </w:r>
      <w:r w:rsidRPr="00DC1A5F">
        <w:rPr>
          <w:color w:val="833C0B" w:themeColor="accent2" w:themeShade="80"/>
          <w:u w:color="000000"/>
        </w:rPr>
        <w:t xml:space="preserve"> </w:t>
      </w:r>
      <w:r w:rsidRPr="00DC1A5F">
        <w:rPr>
          <w:color w:val="auto"/>
          <w:u w:color="000000"/>
        </w:rPr>
        <w:t xml:space="preserve">Ahora bien, algunos, malinterpretando el significado del pasaje del </w:t>
      </w:r>
      <w:proofErr w:type="spellStart"/>
      <w:r w:rsidRPr="00DC1A5F">
        <w:rPr>
          <w:i/>
          <w:iCs/>
          <w:color w:val="auto"/>
          <w:u w:color="000000"/>
        </w:rPr>
        <w:t>sutta</w:t>
      </w:r>
      <w:proofErr w:type="spellEnd"/>
      <w:r w:rsidRPr="00DC1A5F">
        <w:rPr>
          <w:color w:val="auto"/>
          <w:u w:color="000000"/>
        </w:rPr>
        <w:t>, ‘Ya sea que surjan o no surjan los Perfectos, inclusive entonces existirá ese elemento...’ (S II 25), describen erróneamente la regularidad de la originación dependiente como una ‘originación dependiente permanente’. en lugar de aquello que debería describirse como poseedora de la esencia individual de una causa (</w:t>
      </w:r>
      <w:proofErr w:type="spellStart"/>
      <w:r w:rsidRPr="00DC1A5F">
        <w:rPr>
          <w:i/>
          <w:iCs/>
          <w:color w:val="auto"/>
          <w:u w:color="000000"/>
        </w:rPr>
        <w:t>kāraṇa</w:t>
      </w:r>
      <w:proofErr w:type="spellEnd"/>
      <w:r w:rsidRPr="00DC1A5F">
        <w:rPr>
          <w:color w:val="auto"/>
          <w:u w:color="000000"/>
        </w:rPr>
        <w:t>), definida de acuerdo con su propio efecto, en la forma indicada.</w:t>
      </w:r>
      <w:r w:rsidRPr="00DC1A5F">
        <w:t xml:space="preserve"> </w:t>
      </w:r>
      <w:r w:rsidRPr="00DC1A5F">
        <w:rPr>
          <w:color w:val="auto"/>
          <w:u w:color="000000"/>
        </w:rPr>
        <w:t>Y algunos malinterpretan el significado de la originación dependiente así, ‘Sin cesar, sin surgir’ (</w:t>
      </w:r>
      <w:proofErr w:type="spellStart"/>
      <w:r w:rsidRPr="00DC1A5F">
        <w:rPr>
          <w:i/>
          <w:iCs/>
          <w:color w:val="auto"/>
          <w:u w:color="000000"/>
        </w:rPr>
        <w:t>anuppādaṃ</w:t>
      </w:r>
      <w:proofErr w:type="spellEnd"/>
      <w:r w:rsidRPr="00DC1A5F">
        <w:rPr>
          <w:i/>
          <w:iCs/>
          <w:color w:val="auto"/>
          <w:u w:color="000000"/>
        </w:rPr>
        <w:t xml:space="preserve"> </w:t>
      </w:r>
      <w:proofErr w:type="spellStart"/>
      <w:r w:rsidRPr="00DC1A5F">
        <w:rPr>
          <w:i/>
          <w:iCs/>
          <w:color w:val="auto"/>
          <w:u w:color="000000"/>
        </w:rPr>
        <w:t>anirodhaí</w:t>
      </w:r>
      <w:proofErr w:type="spellEnd"/>
      <w:r w:rsidRPr="00DC1A5F">
        <w:rPr>
          <w:color w:val="auto"/>
          <w:u w:color="000000"/>
        </w:rPr>
        <w:t>) en lugar de adoptar el significado inequívoco de la manera establecida”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561). La última cita mencionada “Sin cesar, sin surgir” (</w:t>
      </w:r>
      <w:proofErr w:type="spellStart"/>
      <w:r w:rsidRPr="00DC1A5F">
        <w:rPr>
          <w:i/>
          <w:iCs/>
          <w:color w:val="auto"/>
          <w:u w:color="000000"/>
        </w:rPr>
        <w:t>anuppādaṃ</w:t>
      </w:r>
      <w:proofErr w:type="spellEnd"/>
      <w:r w:rsidRPr="00DC1A5F">
        <w:rPr>
          <w:i/>
          <w:iCs/>
          <w:color w:val="auto"/>
          <w:u w:color="000000"/>
        </w:rPr>
        <w:t xml:space="preserve"> </w:t>
      </w:r>
      <w:proofErr w:type="spellStart"/>
      <w:r w:rsidRPr="00DC1A5F">
        <w:rPr>
          <w:i/>
          <w:iCs/>
          <w:color w:val="auto"/>
          <w:u w:color="000000"/>
        </w:rPr>
        <w:t>anirodhaí</w:t>
      </w:r>
      <w:proofErr w:type="spellEnd"/>
      <w:r w:rsidRPr="00DC1A5F">
        <w:rPr>
          <w:color w:val="auto"/>
          <w:u w:color="000000"/>
        </w:rPr>
        <w:t xml:space="preserve">), parece casi con seguridad referirse a una conocida estrofa del </w:t>
      </w:r>
      <w:proofErr w:type="spellStart"/>
      <w:r w:rsidRPr="00DC1A5F">
        <w:rPr>
          <w:i/>
          <w:iCs/>
          <w:color w:val="auto"/>
          <w:u w:color="000000"/>
        </w:rPr>
        <w:t>Mūlamādhyamika</w:t>
      </w:r>
      <w:proofErr w:type="spellEnd"/>
      <w:r w:rsidRPr="00DC1A5F">
        <w:rPr>
          <w:i/>
          <w:iCs/>
          <w:color w:val="auto"/>
          <w:u w:color="000000"/>
        </w:rPr>
        <w:t xml:space="preserve"> </w:t>
      </w:r>
      <w:proofErr w:type="spellStart"/>
      <w:r w:rsidRPr="00DC1A5F">
        <w:rPr>
          <w:i/>
          <w:iCs/>
          <w:color w:val="auto"/>
          <w:u w:color="000000"/>
        </w:rPr>
        <w:t>Kārikā</w:t>
      </w:r>
      <w:proofErr w:type="spellEnd"/>
      <w:r w:rsidRPr="00DC1A5F">
        <w:rPr>
          <w:color w:val="auto"/>
          <w:u w:color="000000"/>
        </w:rPr>
        <w:t xml:space="preserve"> del </w:t>
      </w:r>
      <w:proofErr w:type="spellStart"/>
      <w:r w:rsidRPr="00DC1A5F">
        <w:rPr>
          <w:color w:val="auto"/>
          <w:u w:color="000000"/>
        </w:rPr>
        <w:t>Nāgārjuna</w:t>
      </w:r>
      <w:proofErr w:type="spellEnd"/>
      <w:r w:rsidRPr="00DC1A5F">
        <w:rPr>
          <w:color w:val="auto"/>
          <w:u w:color="000000"/>
        </w:rPr>
        <w:t>:</w:t>
      </w:r>
    </w:p>
    <w:p w14:paraId="6DC8D876" w14:textId="77777777" w:rsidR="00597DE2" w:rsidRPr="00DC1A5F" w:rsidRDefault="00597DE2" w:rsidP="00597DE2">
      <w:pPr>
        <w:pStyle w:val="PiedepginaLegal"/>
        <w:spacing w:after="0"/>
        <w:ind w:left="1986"/>
        <w:rPr>
          <w:i/>
          <w:iCs/>
        </w:rPr>
      </w:pPr>
      <w:proofErr w:type="spellStart"/>
      <w:r w:rsidRPr="00DC1A5F">
        <w:rPr>
          <w:i/>
          <w:iCs/>
        </w:rPr>
        <w:t>Anirodhaṃ</w:t>
      </w:r>
      <w:proofErr w:type="spellEnd"/>
      <w:r w:rsidRPr="00DC1A5F">
        <w:rPr>
          <w:i/>
          <w:iCs/>
        </w:rPr>
        <w:t xml:space="preserve"> </w:t>
      </w:r>
      <w:proofErr w:type="spellStart"/>
      <w:r w:rsidRPr="00DC1A5F">
        <w:rPr>
          <w:i/>
          <w:iCs/>
        </w:rPr>
        <w:t>anutpādaṃ</w:t>
      </w:r>
      <w:proofErr w:type="spellEnd"/>
      <w:r w:rsidRPr="00DC1A5F">
        <w:rPr>
          <w:i/>
          <w:iCs/>
        </w:rPr>
        <w:t xml:space="preserve"> </w:t>
      </w:r>
      <w:proofErr w:type="spellStart"/>
      <w:r w:rsidRPr="00DC1A5F">
        <w:rPr>
          <w:i/>
          <w:iCs/>
        </w:rPr>
        <w:t>anucchedaṃ</w:t>
      </w:r>
      <w:proofErr w:type="spellEnd"/>
      <w:r w:rsidRPr="00DC1A5F">
        <w:rPr>
          <w:i/>
          <w:iCs/>
        </w:rPr>
        <w:t xml:space="preserve"> </w:t>
      </w:r>
      <w:proofErr w:type="spellStart"/>
      <w:r w:rsidRPr="00DC1A5F">
        <w:rPr>
          <w:i/>
          <w:iCs/>
        </w:rPr>
        <w:t>aśāsrataí</w:t>
      </w:r>
      <w:proofErr w:type="spellEnd"/>
    </w:p>
    <w:p w14:paraId="4D251563" w14:textId="77777777" w:rsidR="00597DE2" w:rsidRPr="00DC1A5F" w:rsidRDefault="00597DE2" w:rsidP="00597DE2">
      <w:pPr>
        <w:pStyle w:val="PiedepginaLegal"/>
        <w:spacing w:after="0"/>
        <w:ind w:left="1986"/>
        <w:rPr>
          <w:i/>
          <w:iCs/>
        </w:rPr>
      </w:pPr>
      <w:proofErr w:type="spellStart"/>
      <w:r w:rsidRPr="00DC1A5F">
        <w:rPr>
          <w:i/>
          <w:iCs/>
        </w:rPr>
        <w:t>Anekarthaṃ</w:t>
      </w:r>
      <w:proofErr w:type="spellEnd"/>
      <w:r w:rsidRPr="00DC1A5F">
        <w:rPr>
          <w:i/>
          <w:iCs/>
        </w:rPr>
        <w:t xml:space="preserve"> </w:t>
      </w:r>
      <w:proofErr w:type="spellStart"/>
      <w:r w:rsidRPr="00DC1A5F">
        <w:rPr>
          <w:i/>
          <w:iCs/>
        </w:rPr>
        <w:t>anānarthaṃ</w:t>
      </w:r>
      <w:proofErr w:type="spellEnd"/>
      <w:r w:rsidRPr="00DC1A5F">
        <w:rPr>
          <w:i/>
          <w:iCs/>
        </w:rPr>
        <w:t xml:space="preserve"> </w:t>
      </w:r>
      <w:proofErr w:type="spellStart"/>
      <w:r w:rsidRPr="00DC1A5F">
        <w:rPr>
          <w:i/>
          <w:iCs/>
        </w:rPr>
        <w:t>anāgamaṃ</w:t>
      </w:r>
      <w:proofErr w:type="spellEnd"/>
      <w:r w:rsidRPr="00DC1A5F">
        <w:rPr>
          <w:i/>
          <w:iCs/>
        </w:rPr>
        <w:t xml:space="preserve"> </w:t>
      </w:r>
      <w:proofErr w:type="spellStart"/>
      <w:r w:rsidRPr="00DC1A5F">
        <w:rPr>
          <w:i/>
          <w:iCs/>
        </w:rPr>
        <w:t>anirgamaí</w:t>
      </w:r>
      <w:proofErr w:type="spellEnd"/>
    </w:p>
    <w:p w14:paraId="22B24DCF" w14:textId="77777777" w:rsidR="00597DE2" w:rsidRPr="00DC1A5F" w:rsidRDefault="00597DE2" w:rsidP="00597DE2">
      <w:pPr>
        <w:pStyle w:val="PiedepginaLegal"/>
        <w:spacing w:after="0"/>
        <w:ind w:left="1986"/>
        <w:rPr>
          <w:i/>
          <w:iCs/>
        </w:rPr>
      </w:pPr>
      <w:proofErr w:type="spellStart"/>
      <w:r w:rsidRPr="00DC1A5F">
        <w:rPr>
          <w:i/>
          <w:iCs/>
        </w:rPr>
        <w:t>Yaý</w:t>
      </w:r>
      <w:proofErr w:type="spellEnd"/>
      <w:r w:rsidRPr="00DC1A5F">
        <w:rPr>
          <w:i/>
          <w:iCs/>
        </w:rPr>
        <w:t xml:space="preserve"> </w:t>
      </w:r>
      <w:proofErr w:type="spellStart"/>
      <w:r w:rsidRPr="00DC1A5F">
        <w:rPr>
          <w:i/>
          <w:iCs/>
        </w:rPr>
        <w:t>pratītyasamutpādaṃ</w:t>
      </w:r>
      <w:proofErr w:type="spellEnd"/>
      <w:r w:rsidRPr="00DC1A5F">
        <w:rPr>
          <w:i/>
          <w:iCs/>
        </w:rPr>
        <w:t xml:space="preserve"> </w:t>
      </w:r>
      <w:proofErr w:type="spellStart"/>
      <w:r w:rsidRPr="00DC1A5F">
        <w:rPr>
          <w:i/>
          <w:iCs/>
        </w:rPr>
        <w:t>prapañcopaøamaṃ</w:t>
      </w:r>
      <w:proofErr w:type="spellEnd"/>
      <w:r w:rsidRPr="00DC1A5F">
        <w:rPr>
          <w:i/>
          <w:iCs/>
        </w:rPr>
        <w:t xml:space="preserve"> </w:t>
      </w:r>
      <w:proofErr w:type="spellStart"/>
      <w:r w:rsidRPr="00DC1A5F">
        <w:rPr>
          <w:i/>
          <w:iCs/>
        </w:rPr>
        <w:t>øivaí</w:t>
      </w:r>
      <w:proofErr w:type="spellEnd"/>
    </w:p>
    <w:p w14:paraId="2D5FC5AF" w14:textId="77777777" w:rsidR="00597DE2" w:rsidRPr="00DC1A5F" w:rsidRDefault="00597DE2" w:rsidP="00597DE2">
      <w:pPr>
        <w:pStyle w:val="PiedepginaLegal"/>
        <w:spacing w:after="0"/>
        <w:ind w:left="1986"/>
        <w:rPr>
          <w:i/>
          <w:iCs/>
        </w:rPr>
      </w:pPr>
      <w:proofErr w:type="spellStart"/>
      <w:r w:rsidRPr="00DC1A5F">
        <w:rPr>
          <w:i/>
          <w:iCs/>
        </w:rPr>
        <w:t>Deøayamása</w:t>
      </w:r>
      <w:proofErr w:type="spellEnd"/>
      <w:r w:rsidRPr="00DC1A5F">
        <w:rPr>
          <w:i/>
          <w:iCs/>
        </w:rPr>
        <w:t xml:space="preserve"> </w:t>
      </w:r>
      <w:proofErr w:type="spellStart"/>
      <w:r w:rsidRPr="00DC1A5F">
        <w:rPr>
          <w:i/>
          <w:iCs/>
        </w:rPr>
        <w:t>sambuddhas</w:t>
      </w:r>
      <w:proofErr w:type="spellEnd"/>
      <w:r w:rsidRPr="00DC1A5F">
        <w:rPr>
          <w:i/>
          <w:iCs/>
        </w:rPr>
        <w:t xml:space="preserve"> </w:t>
      </w:r>
      <w:proofErr w:type="spellStart"/>
      <w:r w:rsidRPr="00DC1A5F">
        <w:rPr>
          <w:i/>
          <w:iCs/>
        </w:rPr>
        <w:t>taṃ</w:t>
      </w:r>
      <w:proofErr w:type="spellEnd"/>
      <w:r w:rsidRPr="00DC1A5F">
        <w:rPr>
          <w:i/>
          <w:iCs/>
        </w:rPr>
        <w:t xml:space="preserve"> </w:t>
      </w:r>
      <w:proofErr w:type="spellStart"/>
      <w:r w:rsidRPr="00DC1A5F">
        <w:rPr>
          <w:i/>
          <w:iCs/>
        </w:rPr>
        <w:t>vande</w:t>
      </w:r>
      <w:proofErr w:type="spellEnd"/>
      <w:r w:rsidRPr="00DC1A5F">
        <w:rPr>
          <w:i/>
          <w:iCs/>
        </w:rPr>
        <w:t xml:space="preserve"> </w:t>
      </w:r>
      <w:proofErr w:type="spellStart"/>
      <w:r w:rsidRPr="00DC1A5F">
        <w:rPr>
          <w:i/>
          <w:iCs/>
        </w:rPr>
        <w:t>vadatāí</w:t>
      </w:r>
      <w:proofErr w:type="spellEnd"/>
      <w:r w:rsidRPr="00DC1A5F">
        <w:rPr>
          <w:i/>
          <w:iCs/>
        </w:rPr>
        <w:t xml:space="preserve"> </w:t>
      </w:r>
      <w:proofErr w:type="spellStart"/>
      <w:r w:rsidRPr="00DC1A5F">
        <w:rPr>
          <w:i/>
          <w:iCs/>
        </w:rPr>
        <w:t>varaí</w:t>
      </w:r>
      <w:proofErr w:type="spellEnd"/>
    </w:p>
    <w:p w14:paraId="4E2F88FD" w14:textId="77777777" w:rsidR="00597DE2" w:rsidRPr="00DC1A5F" w:rsidRDefault="00597DE2" w:rsidP="00597DE2">
      <w:pPr>
        <w:tabs>
          <w:tab w:val="clear" w:pos="425"/>
        </w:tabs>
        <w:spacing w:after="160"/>
        <w:rPr>
          <w:sz w:val="14"/>
          <w:szCs w:val="18"/>
        </w:rPr>
      </w:pPr>
      <w:r w:rsidRPr="00DC1A5F">
        <w:br w:type="page"/>
      </w:r>
    </w:p>
    <w:p w14:paraId="10A73784" w14:textId="77777777" w:rsidR="00597DE2" w:rsidRPr="00DC1A5F" w:rsidRDefault="00597DE2" w:rsidP="00597DE2">
      <w:pPr>
        <w:pStyle w:val="VersoIngls01Sangria"/>
        <w:ind w:left="2127"/>
        <w:rPr>
          <w:sz w:val="16"/>
          <w:szCs w:val="20"/>
        </w:rPr>
      </w:pPr>
      <w:r w:rsidRPr="00DC1A5F">
        <w:rPr>
          <w:sz w:val="16"/>
          <w:szCs w:val="20"/>
        </w:rPr>
        <w:lastRenderedPageBreak/>
        <w:t>La verdad, un ser, el nexo del renacimiento,</w:t>
      </w:r>
    </w:p>
    <w:p w14:paraId="7A09821D" w14:textId="77777777" w:rsidR="00597DE2" w:rsidRPr="00DC1A5F" w:rsidRDefault="00597DE2" w:rsidP="00597DE2">
      <w:pPr>
        <w:pStyle w:val="VersoIngls01Sangria"/>
        <w:ind w:left="2127"/>
        <w:rPr>
          <w:sz w:val="16"/>
          <w:szCs w:val="20"/>
        </w:rPr>
      </w:pPr>
      <w:r w:rsidRPr="00DC1A5F">
        <w:rPr>
          <w:sz w:val="16"/>
          <w:szCs w:val="20"/>
        </w:rPr>
        <w:t>Y la estructura de las condiciones,</w:t>
      </w:r>
    </w:p>
    <w:p w14:paraId="59D19775" w14:textId="77777777" w:rsidR="00597DE2" w:rsidRPr="00DC1A5F" w:rsidRDefault="00597DE2" w:rsidP="00597DE2">
      <w:pPr>
        <w:pStyle w:val="VersoIngls01Sangria"/>
        <w:ind w:left="2127"/>
        <w:rPr>
          <w:sz w:val="16"/>
          <w:szCs w:val="20"/>
        </w:rPr>
      </w:pPr>
      <w:r w:rsidRPr="00DC1A5F">
        <w:rPr>
          <w:sz w:val="16"/>
          <w:szCs w:val="20"/>
        </w:rPr>
        <w:t>Corresponden a cuatro cosas muy difíciles de apreciar</w:t>
      </w:r>
    </w:p>
    <w:p w14:paraId="58AC4655" w14:textId="77777777" w:rsidR="00597DE2" w:rsidRPr="00DC1A5F" w:rsidRDefault="00597DE2" w:rsidP="00597DE2">
      <w:pPr>
        <w:pStyle w:val="VersoIngls01Sangria"/>
        <w:spacing w:after="100"/>
        <w:ind w:left="2129"/>
        <w:rPr>
          <w:sz w:val="16"/>
          <w:szCs w:val="20"/>
        </w:rPr>
      </w:pPr>
      <w:r w:rsidRPr="00DC1A5F">
        <w:rPr>
          <w:sz w:val="16"/>
          <w:szCs w:val="20"/>
        </w:rPr>
        <w:t>Y también difíciles de exponer.</w:t>
      </w:r>
    </w:p>
    <w:p w14:paraId="64131B1F" w14:textId="77777777" w:rsidR="00597DE2" w:rsidRPr="00DC1A5F" w:rsidRDefault="00597DE2" w:rsidP="00597DE2">
      <w:pPr>
        <w:pStyle w:val="NormalConSangria"/>
      </w:pPr>
      <w:r w:rsidRPr="00DC1A5F">
        <w:t>Por lo tanto, considerando que comentar la originación dependiente será imposible excepto en aquellos que sean expertos en los textos:</w:t>
      </w:r>
    </w:p>
    <w:p w14:paraId="4C0451D9" w14:textId="77777777" w:rsidR="00597DE2" w:rsidRPr="00DC1A5F" w:rsidRDefault="00597DE2" w:rsidP="00597DE2">
      <w:pPr>
        <w:pStyle w:val="VersoIngls01Sangria"/>
        <w:ind w:left="2127"/>
        <w:rPr>
          <w:sz w:val="16"/>
          <w:szCs w:val="20"/>
        </w:rPr>
      </w:pPr>
      <w:r w:rsidRPr="00DC1A5F">
        <w:rPr>
          <w:sz w:val="16"/>
          <w:szCs w:val="20"/>
        </w:rPr>
        <w:t>Si bien ahora comenzaría el comentario</w:t>
      </w:r>
    </w:p>
    <w:p w14:paraId="5CC4C6A6" w14:textId="77777777" w:rsidR="00597DE2" w:rsidRPr="00DC1A5F" w:rsidRDefault="00597DE2" w:rsidP="00597DE2">
      <w:pPr>
        <w:pStyle w:val="VersoIngls01Sangria"/>
        <w:ind w:left="2127"/>
        <w:rPr>
          <w:sz w:val="16"/>
          <w:szCs w:val="20"/>
        </w:rPr>
      </w:pPr>
      <w:r w:rsidRPr="00DC1A5F">
        <w:rPr>
          <w:sz w:val="16"/>
          <w:szCs w:val="20"/>
        </w:rPr>
        <w:t>Sobre la estructura de las condiciones</w:t>
      </w:r>
    </w:p>
    <w:p w14:paraId="0405BFD3" w14:textId="77777777" w:rsidR="00597DE2" w:rsidRPr="00DC1A5F" w:rsidRDefault="00597DE2" w:rsidP="00597DE2">
      <w:pPr>
        <w:pStyle w:val="VersoIngls01Sangria"/>
        <w:ind w:left="2127"/>
        <w:rPr>
          <w:sz w:val="16"/>
          <w:szCs w:val="20"/>
        </w:rPr>
      </w:pPr>
      <w:r w:rsidRPr="00DC1A5F">
        <w:rPr>
          <w:sz w:val="16"/>
          <w:szCs w:val="20"/>
        </w:rPr>
        <w:t>No encuentro ninguna base para su soporte</w:t>
      </w:r>
    </w:p>
    <w:p w14:paraId="6B9CBC3E" w14:textId="77777777" w:rsidR="00597DE2" w:rsidRPr="00DC1A5F" w:rsidRDefault="00597DE2" w:rsidP="00597DE2">
      <w:pPr>
        <w:pStyle w:val="VersoIngls01Sangria"/>
        <w:spacing w:after="100"/>
        <w:ind w:left="2129"/>
        <w:rPr>
          <w:sz w:val="16"/>
          <w:szCs w:val="20"/>
        </w:rPr>
      </w:pPr>
      <w:r w:rsidRPr="00DC1A5F">
        <w:rPr>
          <w:sz w:val="16"/>
          <w:szCs w:val="20"/>
        </w:rPr>
        <w:t>Y pareciera hundirme en un mar. [523]</w:t>
      </w:r>
    </w:p>
    <w:p w14:paraId="76EE985F" w14:textId="77777777" w:rsidR="00597DE2" w:rsidRPr="00DC1A5F" w:rsidRDefault="00597DE2" w:rsidP="00597DE2">
      <w:pPr>
        <w:pStyle w:val="VersoIngls01Sangria"/>
        <w:ind w:left="2127"/>
        <w:rPr>
          <w:sz w:val="16"/>
          <w:szCs w:val="20"/>
        </w:rPr>
      </w:pPr>
      <w:r w:rsidRPr="00DC1A5F">
        <w:rPr>
          <w:sz w:val="16"/>
          <w:szCs w:val="20"/>
        </w:rPr>
        <w:t>No obstante los muchos modos de enseñanza</w:t>
      </w:r>
    </w:p>
    <w:p w14:paraId="3A586C79" w14:textId="77777777" w:rsidR="00597DE2" w:rsidRPr="00DC1A5F" w:rsidRDefault="00597DE2" w:rsidP="00597DE2">
      <w:pPr>
        <w:pStyle w:val="VersoIngls01Sangria"/>
        <w:ind w:left="2127"/>
        <w:rPr>
          <w:sz w:val="16"/>
          <w:szCs w:val="20"/>
        </w:rPr>
      </w:pPr>
      <w:r w:rsidRPr="00DC1A5F">
        <w:rPr>
          <w:sz w:val="16"/>
          <w:szCs w:val="20"/>
        </w:rPr>
        <w:t>Honran la Dispensación aquí,</w:t>
      </w:r>
    </w:p>
    <w:p w14:paraId="6D463073" w14:textId="77777777" w:rsidR="00597DE2" w:rsidRPr="00DC1A5F" w:rsidRDefault="00597DE2" w:rsidP="00597DE2">
      <w:pPr>
        <w:pStyle w:val="VersoIngls01Sangria"/>
        <w:ind w:left="2127"/>
        <w:rPr>
          <w:sz w:val="16"/>
          <w:szCs w:val="20"/>
        </w:rPr>
      </w:pPr>
      <w:r w:rsidRPr="00DC1A5F">
        <w:rPr>
          <w:sz w:val="16"/>
          <w:szCs w:val="20"/>
        </w:rPr>
        <w:t>E inclusive el sendero de los antiguos maestros</w:t>
      </w:r>
    </w:p>
    <w:p w14:paraId="38BDAB75" w14:textId="77777777" w:rsidR="00597DE2" w:rsidRPr="00DC1A5F" w:rsidRDefault="00597DE2" w:rsidP="00597DE2">
      <w:pPr>
        <w:pStyle w:val="VersoIngls01Sangria"/>
        <w:spacing w:after="100"/>
        <w:ind w:left="2129"/>
        <w:rPr>
          <w:sz w:val="16"/>
          <w:szCs w:val="20"/>
        </w:rPr>
      </w:pPr>
      <w:r w:rsidRPr="00DC1A5F">
        <w:rPr>
          <w:sz w:val="16"/>
          <w:szCs w:val="20"/>
        </w:rPr>
        <w:t>Se transmiten ininterrumpidamente.</w:t>
      </w:r>
    </w:p>
    <w:p w14:paraId="5F676EC2" w14:textId="77777777" w:rsidR="00597DE2" w:rsidRPr="00DC1A5F" w:rsidRDefault="00597DE2" w:rsidP="00597DE2">
      <w:pPr>
        <w:pStyle w:val="VersoIngls01Sangria"/>
        <w:ind w:left="2127"/>
        <w:rPr>
          <w:sz w:val="16"/>
          <w:szCs w:val="20"/>
        </w:rPr>
      </w:pPr>
      <w:r w:rsidRPr="00DC1A5F">
        <w:rPr>
          <w:sz w:val="16"/>
          <w:szCs w:val="20"/>
        </w:rPr>
        <w:t xml:space="preserve">Por lo tanto, confiando en estas dos </w:t>
      </w:r>
      <w:r w:rsidRPr="00DC1A5F">
        <w:rPr>
          <w:color w:val="833C0B" w:themeColor="accent2" w:themeShade="80"/>
          <w:sz w:val="16"/>
          <w:szCs w:val="20"/>
        </w:rPr>
        <w:t>rarezas</w:t>
      </w:r>
    </w:p>
    <w:p w14:paraId="1E10FEB7" w14:textId="77777777" w:rsidR="00597DE2" w:rsidRPr="00DC1A5F" w:rsidRDefault="00597DE2" w:rsidP="00597DE2">
      <w:pPr>
        <w:pStyle w:val="VersoIngls01Sangria"/>
        <w:ind w:left="2127"/>
        <w:rPr>
          <w:sz w:val="16"/>
          <w:szCs w:val="20"/>
        </w:rPr>
      </w:pPr>
      <w:r w:rsidRPr="00DC1A5F">
        <w:rPr>
          <w:sz w:val="16"/>
          <w:szCs w:val="20"/>
        </w:rPr>
        <w:t>Como mi soporte, ahora comenzaré</w:t>
      </w:r>
    </w:p>
    <w:p w14:paraId="0D087E16" w14:textId="77777777" w:rsidR="00597DE2" w:rsidRPr="00DC1A5F" w:rsidRDefault="00597DE2" w:rsidP="00597DE2">
      <w:pPr>
        <w:pStyle w:val="VersoIngls01Sangria"/>
        <w:ind w:left="2127"/>
        <w:rPr>
          <w:sz w:val="16"/>
          <w:szCs w:val="20"/>
        </w:rPr>
      </w:pPr>
      <w:r w:rsidRPr="00DC1A5F">
        <w:rPr>
          <w:sz w:val="16"/>
          <w:szCs w:val="20"/>
        </w:rPr>
        <w:t>A dilucidar su significado:</w:t>
      </w:r>
    </w:p>
    <w:p w14:paraId="19D9D009" w14:textId="77777777" w:rsidR="00597DE2" w:rsidRPr="00DC1A5F" w:rsidRDefault="00597DE2" w:rsidP="00597DE2">
      <w:pPr>
        <w:pStyle w:val="VersoIngls01Sangria"/>
        <w:spacing w:after="100"/>
        <w:ind w:left="2129"/>
        <w:rPr>
          <w:sz w:val="16"/>
          <w:szCs w:val="20"/>
        </w:rPr>
      </w:pPr>
      <w:r w:rsidRPr="00DC1A5F">
        <w:rPr>
          <w:sz w:val="16"/>
          <w:szCs w:val="20"/>
        </w:rPr>
        <w:t>Escuchad, pues, con atención.</w:t>
      </w:r>
    </w:p>
    <w:p w14:paraId="540EAC08" w14:textId="77777777" w:rsidR="00597DE2" w:rsidRPr="00DC1A5F" w:rsidRDefault="00597DE2" w:rsidP="00597DE2">
      <w:pPr>
        <w:pStyle w:val="Textoindependiente"/>
      </w:pPr>
      <w:r w:rsidRPr="00DC1A5F">
        <w:t xml:space="preserve">26. </w:t>
      </w:r>
      <w:r w:rsidRPr="00DC1A5F">
        <w:tab/>
        <w:t>Porque esto lo han dicho los antiguos maestros:</w:t>
      </w:r>
    </w:p>
    <w:p w14:paraId="51EA82AD" w14:textId="77777777" w:rsidR="00597DE2" w:rsidRPr="00DC1A5F" w:rsidRDefault="00597DE2" w:rsidP="00597DE2">
      <w:pPr>
        <w:pStyle w:val="VersoIngls01Sangria"/>
        <w:ind w:left="2127"/>
        <w:rPr>
          <w:sz w:val="16"/>
          <w:szCs w:val="20"/>
        </w:rPr>
      </w:pPr>
      <w:r w:rsidRPr="00DC1A5F">
        <w:rPr>
          <w:sz w:val="16"/>
          <w:szCs w:val="20"/>
        </w:rPr>
        <w:t>Quien aprenda alertamente este discurso</w:t>
      </w:r>
    </w:p>
    <w:p w14:paraId="2CA40389" w14:textId="77777777" w:rsidR="00597DE2" w:rsidRPr="00DC1A5F" w:rsidRDefault="00597DE2" w:rsidP="00597DE2">
      <w:pPr>
        <w:pStyle w:val="VersoIngls01Sangria"/>
        <w:ind w:left="2127"/>
        <w:rPr>
          <w:sz w:val="16"/>
          <w:szCs w:val="20"/>
        </w:rPr>
      </w:pPr>
      <w:r w:rsidRPr="00DC1A5F">
        <w:rPr>
          <w:sz w:val="16"/>
          <w:szCs w:val="20"/>
        </w:rPr>
        <w:t>Proseguirá de una excelencia hacia otra,</w:t>
      </w:r>
    </w:p>
    <w:p w14:paraId="2B286CB2" w14:textId="77777777" w:rsidR="00597DE2" w:rsidRPr="00DC1A5F" w:rsidRDefault="00597DE2" w:rsidP="00597DE2">
      <w:pPr>
        <w:pStyle w:val="VersoIngls01Sangria"/>
        <w:ind w:left="2127"/>
        <w:rPr>
          <w:sz w:val="16"/>
          <w:szCs w:val="20"/>
        </w:rPr>
      </w:pPr>
      <w:r w:rsidRPr="00DC1A5F">
        <w:rPr>
          <w:sz w:val="16"/>
          <w:szCs w:val="20"/>
        </w:rPr>
        <w:t>Y cuando se perfeccione al respecto, escapará entonces</w:t>
      </w:r>
    </w:p>
    <w:p w14:paraId="48DEBEE8" w14:textId="77777777" w:rsidR="00597DE2" w:rsidRPr="00DC1A5F" w:rsidRDefault="00597DE2" w:rsidP="00597DE2">
      <w:pPr>
        <w:pStyle w:val="VersoIngls01Sangria"/>
        <w:spacing w:after="100"/>
        <w:ind w:left="2129"/>
        <w:rPr>
          <w:sz w:val="16"/>
          <w:szCs w:val="20"/>
        </w:rPr>
      </w:pPr>
      <w:r w:rsidRPr="00DC1A5F">
        <w:rPr>
          <w:sz w:val="16"/>
          <w:szCs w:val="20"/>
        </w:rPr>
        <w:t>De la visión del Rey de la Muerte.</w:t>
      </w:r>
      <w:r w:rsidRPr="00DC1A5F">
        <w:rPr>
          <w:sz w:val="16"/>
          <w:szCs w:val="20"/>
        </w:rPr>
        <w:br/>
      </w:r>
    </w:p>
    <w:p w14:paraId="244EA6BF" w14:textId="77777777" w:rsidR="00597DE2" w:rsidRPr="00DC1A5F" w:rsidRDefault="00597DE2" w:rsidP="00597DE2">
      <w:pPr>
        <w:pStyle w:val="Ttulo5"/>
      </w:pPr>
      <w:r w:rsidRPr="00DC1A5F">
        <w:t>[II. Breve Exposición]</w:t>
      </w:r>
    </w:p>
    <w:p w14:paraId="785FA667" w14:textId="77777777" w:rsidR="00597DE2" w:rsidRPr="00DC1A5F" w:rsidRDefault="00597DE2" w:rsidP="00597DE2">
      <w:pPr>
        <w:pStyle w:val="Textoindependiente"/>
      </w:pPr>
      <w:r w:rsidRPr="00DC1A5F">
        <w:t xml:space="preserve">27. </w:t>
      </w:r>
      <w:r w:rsidRPr="00DC1A5F">
        <w:tab/>
        <w:t>Así, en cuanto a los pasajes que comienzan con: “Con la ignorancia como condición se originan las formaciones” (S II 20), para empezar, se dará la exposición:</w:t>
      </w:r>
    </w:p>
    <w:p w14:paraId="087FC664" w14:textId="77777777" w:rsidR="00597DE2" w:rsidRPr="00DC1A5F" w:rsidRDefault="00597DE2" w:rsidP="00597DE2">
      <w:pPr>
        <w:pStyle w:val="VersoIngls01Sangria"/>
        <w:rPr>
          <w:sz w:val="16"/>
          <w:szCs w:val="20"/>
        </w:rPr>
      </w:pPr>
      <w:r w:rsidRPr="00DC1A5F">
        <w:rPr>
          <w:sz w:val="16"/>
          <w:szCs w:val="20"/>
        </w:rPr>
        <w:t>(1) Bajo diferentes formas de enseñanza, (2) según su significado,</w:t>
      </w:r>
    </w:p>
    <w:p w14:paraId="28EA9F4E" w14:textId="77777777" w:rsidR="00597DE2" w:rsidRPr="00DC1A5F" w:rsidRDefault="00597DE2" w:rsidP="00597DE2">
      <w:pPr>
        <w:pStyle w:val="VersoIngls01Sangria"/>
        <w:rPr>
          <w:sz w:val="16"/>
          <w:szCs w:val="20"/>
        </w:rPr>
      </w:pPr>
      <w:r w:rsidRPr="00DC1A5F">
        <w:rPr>
          <w:sz w:val="16"/>
          <w:szCs w:val="20"/>
        </w:rPr>
        <w:t xml:space="preserve">(3) su característica, (4) como de uno, dos… tipos, </w:t>
      </w:r>
    </w:p>
    <w:p w14:paraId="4BEE36EC" w14:textId="77777777" w:rsidR="00597DE2" w:rsidRPr="00DC1A5F" w:rsidRDefault="00597DE2" w:rsidP="00597DE2">
      <w:pPr>
        <w:pStyle w:val="VersoIngls01Sangria"/>
        <w:spacing w:after="100"/>
        <w:ind w:left="1418"/>
        <w:rPr>
          <w:sz w:val="16"/>
          <w:szCs w:val="20"/>
        </w:rPr>
      </w:pPr>
      <w:r w:rsidRPr="00DC1A5F">
        <w:rPr>
          <w:sz w:val="16"/>
          <w:szCs w:val="20"/>
        </w:rPr>
        <w:t>(5) En cuanto a la definición de los factores,</w:t>
      </w:r>
    </w:p>
    <w:p w14:paraId="0CBDCF6F" w14:textId="77777777" w:rsidR="00597DE2" w:rsidRPr="00DC1A5F" w:rsidRDefault="00597DE2" w:rsidP="00597DE2">
      <w:pPr>
        <w:pStyle w:val="NormalConSangria"/>
        <w:ind w:left="425"/>
      </w:pPr>
      <w:r w:rsidRPr="00DC1A5F">
        <w:t>Esta exposición deberá ser entendida.</w:t>
      </w:r>
    </w:p>
    <w:p w14:paraId="68CB84AD" w14:textId="77777777" w:rsidR="00597DE2" w:rsidRPr="00DC1A5F" w:rsidRDefault="00597DE2" w:rsidP="00597DE2">
      <w:r w:rsidRPr="00DC1A5F">
        <w:t xml:space="preserve">28. </w:t>
      </w:r>
      <w:r w:rsidRPr="00DC1A5F">
        <w:tab/>
        <w:t xml:space="preserve">1. Aquí, </w:t>
      </w:r>
      <w:r w:rsidRPr="00DC1A5F">
        <w:rPr>
          <w:i/>
          <w:iCs/>
        </w:rPr>
        <w:t>bajo diferentes formas de enseñanza</w:t>
      </w:r>
      <w:r w:rsidRPr="00DC1A5F">
        <w:t xml:space="preserve">: la enseñanza del </w:t>
      </w:r>
      <w:r w:rsidRPr="00DC1A5F">
        <w:rPr>
          <w:i/>
          <w:iCs/>
        </w:rPr>
        <w:t>Bhagavā</w:t>
      </w:r>
      <w:r w:rsidRPr="00DC1A5F">
        <w:t xml:space="preserve"> sobre la originación dependiente es cuádruple, es decir, (i) desde el principio; o (</w:t>
      </w:r>
      <w:proofErr w:type="spellStart"/>
      <w:r w:rsidRPr="00DC1A5F">
        <w:t>ii</w:t>
      </w:r>
      <w:proofErr w:type="spellEnd"/>
      <w:r w:rsidRPr="00DC1A5F">
        <w:t>) desde la mitad hasta el final; y (</w:t>
      </w:r>
      <w:proofErr w:type="spellStart"/>
      <w:r w:rsidRPr="00DC1A5F">
        <w:t>iii</w:t>
      </w:r>
      <w:proofErr w:type="spellEnd"/>
      <w:r w:rsidRPr="00DC1A5F">
        <w:t>) desde el final; o (</w:t>
      </w:r>
      <w:proofErr w:type="spellStart"/>
      <w:r w:rsidRPr="00DC1A5F">
        <w:t>iv</w:t>
      </w:r>
      <w:proofErr w:type="spellEnd"/>
      <w:r w:rsidRPr="00DC1A5F">
        <w:t>) desde la mitad hasta el principio. Es como si fuera la manera en que cuatro recolectores de enredaderas se apoderasen de una enredadera.</w:t>
      </w:r>
    </w:p>
    <w:p w14:paraId="62ADD941" w14:textId="77777777" w:rsidR="00597DE2" w:rsidRPr="00DC1A5F" w:rsidRDefault="00597DE2" w:rsidP="00597DE2">
      <w:r w:rsidRPr="00DC1A5F">
        <w:t xml:space="preserve">29. </w:t>
      </w:r>
      <w:r w:rsidRPr="00DC1A5F">
        <w:tab/>
        <w:t xml:space="preserve">(i) Porque así como uno de cuatro hombres que recojan enredaderas vería primero solo la raíz de la enredadera y, después de cortarla desde la raíz, la arrancaría toda, la quitaría y la usaría, así el </w:t>
      </w:r>
      <w:r w:rsidRPr="00DC1A5F">
        <w:rPr>
          <w:i/>
          <w:iCs/>
        </w:rPr>
        <w:t>Bhagavā</w:t>
      </w:r>
      <w:r w:rsidRPr="00DC1A5F">
        <w:t xml:space="preserve"> expuso la originación dependiente desde el principio hasta el final, así: “Entonces, </w:t>
      </w:r>
      <w:proofErr w:type="spellStart"/>
      <w:r w:rsidRPr="00DC1A5F">
        <w:rPr>
          <w:i/>
        </w:rPr>
        <w:t>bhikkhu</w:t>
      </w:r>
      <w:r w:rsidRPr="00DC1A5F">
        <w:t>s</w:t>
      </w:r>
      <w:proofErr w:type="spellEnd"/>
      <w:r w:rsidRPr="00DC1A5F">
        <w:t>, con la ignorancia como condición se originan las formaciones; …con el nacimiento como condición, el envejecimiento–y–la–muerte” (M I 261).</w:t>
      </w:r>
    </w:p>
    <w:p w14:paraId="42748ED8" w14:textId="77777777" w:rsidR="00597DE2" w:rsidRPr="00DC1A5F" w:rsidRDefault="00597DE2" w:rsidP="00597DE2">
      <w:r w:rsidRPr="00DC1A5F">
        <w:t xml:space="preserve">30. </w:t>
      </w:r>
      <w:r w:rsidRPr="00DC1A5F">
        <w:tab/>
        <w:t>(</w:t>
      </w:r>
      <w:proofErr w:type="spellStart"/>
      <w:r w:rsidRPr="00DC1A5F">
        <w:t>ii</w:t>
      </w:r>
      <w:proofErr w:type="spellEnd"/>
      <w:r w:rsidRPr="00DC1A5F">
        <w:t xml:space="preserve">) Así como otro de los cuatro hombres vería primero el medio de la enredadera y, después de cortarla en el medio, sacaría solo la parte superior, la quitaría y la usaría, así mismo </w:t>
      </w:r>
    </w:p>
    <w:p w14:paraId="0C98D475" w14:textId="77777777" w:rsidR="00597DE2" w:rsidRPr="00DC1A5F" w:rsidRDefault="00597DE2" w:rsidP="00597DE2">
      <w:pPr>
        <w:tabs>
          <w:tab w:val="clear" w:pos="425"/>
        </w:tabs>
        <w:spacing w:after="160"/>
      </w:pPr>
      <w:r w:rsidRPr="00DC1A5F">
        <w:br w:type="page"/>
      </w:r>
    </w:p>
    <w:p w14:paraId="5E1B33C4" w14:textId="77777777" w:rsidR="00597DE2" w:rsidRPr="00DC1A5F" w:rsidRDefault="00597DE2" w:rsidP="00597DE2">
      <w:pPr>
        <w:pStyle w:val="Textoindependiente"/>
      </w:pPr>
      <w:r w:rsidRPr="00DC1A5F">
        <w:lastRenderedPageBreak/>
        <w:t xml:space="preserve">el </w:t>
      </w:r>
      <w:r w:rsidRPr="00DC1A5F">
        <w:rPr>
          <w:i/>
          <w:iCs/>
        </w:rPr>
        <w:t>Bhagavā</w:t>
      </w:r>
      <w:r w:rsidRPr="00DC1A5F">
        <w:t xml:space="preserve"> expuso la originación dependiente desde el medio hasta el final, así: “Cuando se complace, acoge, permanece comprometido con esa sensación, entonces surgirá en él el placer. El placer en las sensaciones se convertirá en apego. Con su apego como condición surgirá el devenir; con el devenir como condición, el nacimiento” (M I 266).</w:t>
      </w:r>
    </w:p>
    <w:p w14:paraId="549DC6EF" w14:textId="77777777" w:rsidR="00597DE2" w:rsidRPr="00DC1A5F" w:rsidRDefault="00597DE2" w:rsidP="00597DE2">
      <w:r w:rsidRPr="00DC1A5F">
        <w:t xml:space="preserve">31. </w:t>
      </w:r>
      <w:r w:rsidRPr="00DC1A5F">
        <w:tab/>
        <w:t>(</w:t>
      </w:r>
      <w:proofErr w:type="spellStart"/>
      <w:r w:rsidRPr="00DC1A5F">
        <w:t>iii</w:t>
      </w:r>
      <w:proofErr w:type="spellEnd"/>
      <w:r w:rsidRPr="00DC1A5F">
        <w:t xml:space="preserve">) Así como otro de los cuatro hombres vería primero la punta de la enredadera y, agarrando la punta, la seguiría hasta su raíz, la arrancaría totalmente y la utilizaría posteriormente, así el </w:t>
      </w:r>
      <w:r w:rsidRPr="00DC1A5F">
        <w:rPr>
          <w:i/>
          <w:iCs/>
        </w:rPr>
        <w:t>Bhagavā</w:t>
      </w:r>
      <w:r w:rsidRPr="00DC1A5F">
        <w:t xml:space="preserve"> expuso la originación dependiente desde el final hasta el principio así: “‘Con el nacimiento como condición surgen el envejecimiento y la muerte’, así se dijo. No obstante, ¿existe el envejecimiento y la muerte con el nacimiento como condición, o no, o cómo es aquí? Existe el envejecimiento y la muerte con el nacimiento como condición, así los creemos, Venerable Señor. [524] “Con el devenir como condición, el nacimiento”, así se dijo… “Con la ignorancia como condición se originan las formaciones”, así se dijo. No obstante, ¿se originan las formaciones con la ignorancia como condición, o no, o cómo es aquí? — Se originan las formaciones con la ignorancia como condición, así los creemos, Venerable Señor” (M I 261).</w:t>
      </w:r>
    </w:p>
    <w:p w14:paraId="43E5ABC5" w14:textId="77777777" w:rsidR="00597DE2" w:rsidRPr="00DC1A5F" w:rsidRDefault="00597DE2" w:rsidP="00597DE2">
      <w:r w:rsidRPr="00DC1A5F">
        <w:t xml:space="preserve">32. </w:t>
      </w:r>
      <w:r w:rsidRPr="00DC1A5F">
        <w:tab/>
        <w:t>(</w:t>
      </w:r>
      <w:proofErr w:type="spellStart"/>
      <w:r w:rsidRPr="00DC1A5F">
        <w:t>iv</w:t>
      </w:r>
      <w:proofErr w:type="spellEnd"/>
      <w:r w:rsidRPr="00DC1A5F">
        <w:t xml:space="preserve">) Así como uno de los cuatro hombres vería solo el medio de la enredadera primero y, después de cortarla por la mitad y seguirla hasta su raíz, la arrancaría y la utilizaría posteriormente, así el </w:t>
      </w:r>
      <w:r w:rsidRPr="00DC1A5F">
        <w:rPr>
          <w:i/>
          <w:iCs/>
        </w:rPr>
        <w:t>Bhagavā</w:t>
      </w:r>
      <w:r w:rsidRPr="00DC1A5F">
        <w:t xml:space="preserve"> ha expuesto la originación dependiente desde la mitad hasta el principio: “Y estos cuatro nutrientes, </w:t>
      </w:r>
      <w:proofErr w:type="spellStart"/>
      <w:r w:rsidRPr="00DC1A5F">
        <w:rPr>
          <w:i/>
        </w:rPr>
        <w:t>bhikkhu</w:t>
      </w:r>
      <w:r w:rsidRPr="00DC1A5F">
        <w:t>s</w:t>
      </w:r>
      <w:proofErr w:type="spellEnd"/>
      <w:r w:rsidRPr="00DC1A5F">
        <w:t>: ¿Cuál es su fuente? ¿Cuál es su origen? ¿De qué nacen? ¿Por qué se producen? Estos cuatro nutrientes tienen como fuente al deseo, como origen el deseo, nacen del deseo, son producidos por el deseo. Con respecto al deseo: ¿Cuál es su origen? … las Sensaciones: … el Contacto: … la Base séxtuple: … la Materialidad–Mentalidad: … la Consciencia: … las Formaciones: ¿cuál es su origen? … ¿Por qué se producen? Las formaciones tienen como fuente a la ignorancia… éstas son… producidas por la ignorancia” (S II 11f.).</w:t>
      </w:r>
    </w:p>
    <w:p w14:paraId="5CFB8273" w14:textId="77777777" w:rsidR="00597DE2" w:rsidRPr="00DC1A5F" w:rsidRDefault="00597DE2" w:rsidP="00597DE2">
      <w:r w:rsidRPr="00DC1A5F">
        <w:t xml:space="preserve">33. </w:t>
      </w:r>
      <w:r w:rsidRPr="00DC1A5F">
        <w:tab/>
        <w:t xml:space="preserve">¿Por qué lo expone así? Porque la originación dependiente es enteramente beneficiosa y porque él mismo ha adquirido elegancia en su instrucción. Porque la originación dependiente es enteramente beneficiosa: partiendo de cualquiera de los 4 puntos de partida, conducirá sólo hacia la consumación del sendero apropiado. Además, el </w:t>
      </w:r>
      <w:r w:rsidRPr="00DC1A5F">
        <w:rPr>
          <w:i/>
          <w:iCs/>
        </w:rPr>
        <w:t>Bhagavā</w:t>
      </w:r>
      <w:r w:rsidRPr="00DC1A5F">
        <w:t xml:space="preserve"> hubo adquirido elegancia en su instrucción: ya que lo hubo hecho a través de la posesión de los 4 tipos de perfecta confianza y las 4 discriminaciones y fue por medio de la consumación de la cuádruple profundidad (§304) que él pudo exponer el </w:t>
      </w:r>
      <w:r w:rsidRPr="00DC1A5F">
        <w:rPr>
          <w:i/>
        </w:rPr>
        <w:t>Dhamma</w:t>
      </w:r>
      <w:r w:rsidRPr="00DC1A5F">
        <w:t xml:space="preserve"> mediante varios métodos.</w:t>
      </w:r>
    </w:p>
    <w:p w14:paraId="37C86678" w14:textId="77777777" w:rsidR="00597DE2" w:rsidRPr="00DC1A5F" w:rsidRDefault="00597DE2" w:rsidP="00597DE2">
      <w:r w:rsidRPr="00DC1A5F">
        <w:t xml:space="preserve">34. </w:t>
      </w:r>
      <w:r w:rsidRPr="00DC1A5F">
        <w:tab/>
        <w:t>No obstante, debe reconocerse, en particular, que (i) cuando él veía que las personas susceptibles de su enseñanza estaban confundidas sobre el análisis de las causas del proceso del devenir, él empleaba su enseñanza progresivamente, comenzando desde el principio, para exponer que el proceso continuaba de acuerdo con sus propias leyes peculiares y con el fin de exponer el orden de surgimiento. (</w:t>
      </w:r>
      <w:proofErr w:type="spellStart"/>
      <w:r w:rsidRPr="00DC1A5F">
        <w:t>iii</w:t>
      </w:r>
      <w:proofErr w:type="spellEnd"/>
      <w:r w:rsidRPr="00DC1A5F">
        <w:t>) Adicionalmente, debe reconocerse que cuando él consideraba que el mundo había caído en problemas de la siguiente manera: “Este mundo ha caído en problemas; nace, envejece, muere, expira y reaparece” (S II 10), exponía su enseñanza sobre la originación dependiente hacia atrás, comenzando desde el final, para exponer las leyes que rigen los diversos tipos de sufrimiento, comenzando con el envejecimiento y la muerte, que él mismo descubrió en la etapa temprana de su penetración. Además, (</w:t>
      </w:r>
      <w:proofErr w:type="spellStart"/>
      <w:r w:rsidRPr="00DC1A5F">
        <w:t>iv</w:t>
      </w:r>
      <w:proofErr w:type="spellEnd"/>
      <w:r w:rsidRPr="00DC1A5F">
        <w:t xml:space="preserve">) debe reconocerse que él exponía su enseñanza regresivamente desde el medio hasta el principio con el objeto de exponer cómo la sucesión de causa y efecto se extiende hacia atrás y hacia el pasado existencial y, nuevamente hacia adelante desde el pasado, de acuerdo con su definición de nutrimento como fuente de la ignorancia (ver M I 47f.). </w:t>
      </w:r>
      <w:r w:rsidRPr="00DC1A5F">
        <w:br w:type="page"/>
      </w:r>
    </w:p>
    <w:p w14:paraId="1E0FEAA1" w14:textId="77777777" w:rsidR="00597DE2" w:rsidRPr="00DC1A5F" w:rsidRDefault="00597DE2" w:rsidP="00597DE2"/>
    <w:p w14:paraId="63A8DE94" w14:textId="77777777" w:rsidR="00597DE2" w:rsidRPr="00DC1A5F" w:rsidRDefault="00597DE2" w:rsidP="00597DE2">
      <w:pPr>
        <w:pStyle w:val="Textoindependiente"/>
      </w:pPr>
      <w:r w:rsidRPr="00DC1A5F">
        <w:t>Además, (</w:t>
      </w:r>
      <w:proofErr w:type="spellStart"/>
      <w:r w:rsidRPr="00DC1A5F">
        <w:t>ii</w:t>
      </w:r>
      <w:proofErr w:type="spellEnd"/>
      <w:r w:rsidRPr="00DC1A5F">
        <w:t>) deberá reconocerse que él exponía su enseñanza desde el medio hasta el final para exponer cómo el futuro existencial continua a través del renacimiento del despertar de las causas presentes para renacer en el futuro.</w:t>
      </w:r>
    </w:p>
    <w:p w14:paraId="606FC787" w14:textId="77777777" w:rsidR="00597DE2" w:rsidRPr="00DC1A5F" w:rsidRDefault="00597DE2" w:rsidP="00597DE2">
      <w:r w:rsidRPr="00DC1A5F">
        <w:t xml:space="preserve">35. </w:t>
      </w:r>
      <w:r w:rsidRPr="00DC1A5F">
        <w:tab/>
        <w:t>De estos modos de exposición, el citado aquí deberá entenderse como el enunciado en orden progresivo comenzando desde el comienzo para exponerle a las personas, susceptibles de su enseñanza y que se encuentren confundidas con respecto a las leyes del proceso del devenir, que el proceso continúa de acuerdo con sus propias leyes peculiares [525] y con el propósito de exponerles el orden de surgimiento.</w:t>
      </w:r>
    </w:p>
    <w:p w14:paraId="3B46783C" w14:textId="77777777" w:rsidR="00597DE2" w:rsidRPr="00DC1A5F" w:rsidRDefault="00597DE2" w:rsidP="00597DE2">
      <w:r w:rsidRPr="00DC1A5F">
        <w:t xml:space="preserve">36. </w:t>
      </w:r>
      <w:r w:rsidRPr="00DC1A5F">
        <w:tab/>
        <w:t>No obstante, ¿por qué se declara aquí a la ignorancia como el principio?, ¿cómo entonces la ignorancia sería la causa–raíz, ausente de causas, del mundo como la Esencia Primordial de aquellos que afirman la existencia de una Esencia Primordial? La ignorancia no carece de causa. Porque una causa de la ignorancia se afirma así: “Con el surgimiento de las corrupciones, surge la ignorancia” (M I 54). No obstante, existe una forma figurativa en la que podría tratarse como la causa–raíz. ¿De qué manera se daría ello? Cuando se haga que sirva como punto de partida en una exposición del ciclo del devenir.</w:t>
      </w:r>
    </w:p>
    <w:p w14:paraId="197F68BF" w14:textId="77777777" w:rsidR="00597DE2" w:rsidRPr="00DC1A5F" w:rsidRDefault="00597DE2" w:rsidP="00597DE2">
      <w:r w:rsidRPr="00DC1A5F">
        <w:t xml:space="preserve">37. </w:t>
      </w:r>
      <w:r w:rsidRPr="00DC1A5F">
        <w:tab/>
        <w:t xml:space="preserve">Ya que el </w:t>
      </w:r>
      <w:r w:rsidRPr="00DC1A5F">
        <w:rPr>
          <w:i/>
          <w:iCs/>
        </w:rPr>
        <w:t>Bhagavā</w:t>
      </w:r>
      <w:r w:rsidRPr="00DC1A5F">
        <w:t xml:space="preserve"> impartió la exposición del ciclo con una de dos cosas como punto de partida: o la ignorancia, según lo afirmado al respecto, “No se dará a conocer el primer comienzo de la ignorancia, monjes, antes del cual no existía ignorancia y después de lo cual llegó a existir la ignorancia. Y mientras se afirme así, monjes, sin embargo, se dará a conocer que la ignorancia posee una condición específica” (A V 113); y segundamente, el deseo por el devenir, según se dice al respecto, “</w:t>
      </w:r>
      <w:proofErr w:type="spellStart"/>
      <w:r w:rsidRPr="00DC1A5F">
        <w:rPr>
          <w:i/>
        </w:rPr>
        <w:t>Bhikkhu</w:t>
      </w:r>
      <w:r w:rsidRPr="00DC1A5F">
        <w:t>s</w:t>
      </w:r>
      <w:proofErr w:type="spellEnd"/>
      <w:r w:rsidRPr="00DC1A5F">
        <w:t>, no se dará a conocer ningún primer comienzo del deseo hacia el devenir, antes del cual no existía deseo por el devenir, y después del cual llegó a existir el deseo hacia el devenir. Y mientras se afirme así, monjes, sin embargo, se dará a conocer que el deseo hacia el devenir posee una condición específica” (A V 116).</w:t>
      </w:r>
    </w:p>
    <w:p w14:paraId="47E21DC9" w14:textId="77777777" w:rsidR="00597DE2" w:rsidRPr="00DC1A5F" w:rsidRDefault="00597DE2" w:rsidP="00597DE2">
      <w:r w:rsidRPr="00DC1A5F">
        <w:t xml:space="preserve">38. </w:t>
      </w:r>
      <w:r w:rsidRPr="00DC1A5F">
        <w:tab/>
        <w:t xml:space="preserve">Pero ¿por qué el </w:t>
      </w:r>
      <w:r w:rsidRPr="00DC1A5F">
        <w:rPr>
          <w:i/>
          <w:iCs/>
        </w:rPr>
        <w:t>Bhagavā</w:t>
      </w:r>
      <w:r w:rsidRPr="00DC1A5F">
        <w:t xml:space="preserve"> da la exposición del ciclo con esas dos cosas como puntos de partida? Porque son las causas sobresalientes del </w:t>
      </w:r>
      <w:proofErr w:type="spellStart"/>
      <w:r w:rsidRPr="00DC1A5F">
        <w:rPr>
          <w:i/>
        </w:rPr>
        <w:t>kamma</w:t>
      </w:r>
      <w:proofErr w:type="spellEnd"/>
      <w:r w:rsidRPr="00DC1A5F">
        <w:t xml:space="preserve"> que conducen hacia los destinos felices e infelices.</w:t>
      </w:r>
    </w:p>
    <w:p w14:paraId="489D7CEA" w14:textId="77777777" w:rsidR="00597DE2" w:rsidRPr="00DC1A5F" w:rsidRDefault="00597DE2" w:rsidP="00597DE2">
      <w:r w:rsidRPr="00DC1A5F">
        <w:t xml:space="preserve">39. </w:t>
      </w:r>
      <w:r w:rsidRPr="00DC1A5F">
        <w:tab/>
        <w:t xml:space="preserve">La ignorancia es una causa destacada del </w:t>
      </w:r>
      <w:proofErr w:type="spellStart"/>
      <w:r w:rsidRPr="00DC1A5F">
        <w:rPr>
          <w:i/>
        </w:rPr>
        <w:t>kamma</w:t>
      </w:r>
      <w:proofErr w:type="spellEnd"/>
      <w:r w:rsidRPr="00DC1A5F">
        <w:t xml:space="preserve"> que conduce hacia los destinos infelices. ¿Por qué? Porque, así como una vaca destinada a ser sacrificada está presa del tormento de quemarse con el fuego y ser golpeada con garrotes, y enloquecida así por el tormento, bebe agua caliente aunque no le dé satisfacción y le hace daño, así el hombre ordinario que se encuentre en las garras de la ignorancia realizará </w:t>
      </w:r>
      <w:proofErr w:type="spellStart"/>
      <w:r w:rsidRPr="00DC1A5F">
        <w:rPr>
          <w:i/>
        </w:rPr>
        <w:t>kamma</w:t>
      </w:r>
      <w:r w:rsidRPr="00DC1A5F">
        <w:rPr>
          <w:iCs/>
        </w:rPr>
        <w:t>s</w:t>
      </w:r>
      <w:proofErr w:type="spellEnd"/>
      <w:r w:rsidRPr="00DC1A5F">
        <w:t xml:space="preserve"> de varios tipos, comenzando con matar seres vivos, los cuales lo conducirán hacia los destinos infelices, aunque no le dé satisfacción debido al ardor de las impurezas y le haga daño porque lo arrojará hacia un destino infeliz.</w:t>
      </w:r>
    </w:p>
    <w:p w14:paraId="5CCDEF21" w14:textId="77777777" w:rsidR="00597DE2" w:rsidRPr="00DC1A5F" w:rsidRDefault="00597DE2" w:rsidP="00597DE2">
      <w:r w:rsidRPr="00DC1A5F">
        <w:t xml:space="preserve">40. </w:t>
      </w:r>
      <w:r w:rsidRPr="00DC1A5F">
        <w:tab/>
        <w:t xml:space="preserve">No obstante, el deseo hacia el devenir corresponderá a una causa destacada del </w:t>
      </w:r>
      <w:proofErr w:type="spellStart"/>
      <w:r w:rsidRPr="00DC1A5F">
        <w:rPr>
          <w:i/>
        </w:rPr>
        <w:t>kamma</w:t>
      </w:r>
      <w:proofErr w:type="spellEnd"/>
      <w:r w:rsidRPr="00DC1A5F">
        <w:t xml:space="preserve"> que lo conducirá hacia los destinos felices. ¿Por qué? Porque, así como esa misma vaca, a través de su deseo por agua fría, comenzaría a beber agua fría, lo que le daría satisfacción y aliviaría su tormento, así el hombre común, preso del deseo hacia el devenir, realizará </w:t>
      </w:r>
      <w:proofErr w:type="spellStart"/>
      <w:r w:rsidRPr="00DC1A5F">
        <w:rPr>
          <w:i/>
        </w:rPr>
        <w:t>kamma</w:t>
      </w:r>
      <w:r w:rsidRPr="00DC1A5F">
        <w:rPr>
          <w:iCs/>
        </w:rPr>
        <w:t>s</w:t>
      </w:r>
      <w:proofErr w:type="spellEnd"/>
      <w:r w:rsidRPr="00DC1A5F">
        <w:t xml:space="preserve"> de varios tipos, comenzando con la abstención de matar seres vivientes, lo cual lo conducirá hacia los destinos felices y le dará la satisfacción porque estará libre del ardor de las impurezas y, al conducirse hacia un destino feliz, aliviará el tormento del sufrimiento experimentado en los destinos infelices.</w:t>
      </w:r>
      <w:r w:rsidRPr="00DC1A5F">
        <w:br w:type="page"/>
      </w:r>
    </w:p>
    <w:p w14:paraId="635BA1D3" w14:textId="77777777" w:rsidR="00597DE2" w:rsidRPr="00DC1A5F" w:rsidRDefault="00597DE2" w:rsidP="00597DE2">
      <w:r w:rsidRPr="00DC1A5F">
        <w:lastRenderedPageBreak/>
        <w:br/>
      </w:r>
    </w:p>
    <w:p w14:paraId="4D5BF784" w14:textId="77777777" w:rsidR="00597DE2" w:rsidRPr="00DC1A5F" w:rsidRDefault="00597DE2" w:rsidP="00597DE2">
      <w:r w:rsidRPr="00DC1A5F">
        <w:t xml:space="preserve">41. </w:t>
      </w:r>
      <w:r w:rsidRPr="00DC1A5F">
        <w:tab/>
        <w:t xml:space="preserve">Ahora bien, con respecto a estos dos estados que son los puntos de partida en las exposiciones del proceso del devenir, en algunos casos el </w:t>
      </w:r>
      <w:r w:rsidRPr="00DC1A5F">
        <w:rPr>
          <w:i/>
          <w:iCs/>
        </w:rPr>
        <w:t>Bhagavā</w:t>
      </w:r>
      <w:r w:rsidRPr="00DC1A5F">
        <w:t xml:space="preserve"> expone el </w:t>
      </w:r>
      <w:r w:rsidRPr="00DC1A5F">
        <w:rPr>
          <w:i/>
        </w:rPr>
        <w:t>Dhamma</w:t>
      </w:r>
      <w:r w:rsidRPr="00DC1A5F">
        <w:t xml:space="preserve"> basado en uno solo de estos estados, por ejemplo, [526] “En consecuencia, </w:t>
      </w:r>
      <w:proofErr w:type="spellStart"/>
      <w:r w:rsidRPr="00DC1A5F">
        <w:rPr>
          <w:i/>
        </w:rPr>
        <w:t>bhikkhu</w:t>
      </w:r>
      <w:r w:rsidRPr="00DC1A5F">
        <w:t>s</w:t>
      </w:r>
      <w:proofErr w:type="spellEnd"/>
      <w:r w:rsidRPr="00DC1A5F">
        <w:t>, las formaciones tienen como causa a la ignorancia, la consciencia tiene como causa a las formaciones” (S II 31), etc.; asimismo, “</w:t>
      </w:r>
      <w:proofErr w:type="spellStart"/>
      <w:r w:rsidRPr="00DC1A5F">
        <w:rPr>
          <w:i/>
        </w:rPr>
        <w:t>Bhikkhu</w:t>
      </w:r>
      <w:r w:rsidRPr="00DC1A5F">
        <w:t>s</w:t>
      </w:r>
      <w:proofErr w:type="spellEnd"/>
      <w:r w:rsidRPr="00DC1A5F">
        <w:t xml:space="preserve">, el deseo aumenta en aquel que habite en la indulgencia del disfrute de las cosas que produzcan apego; con el deseo como condición se originará el apego” (S II 84), y así sucesivamente. En algunos casos lo hizo basándose en ambos, por ejemplo: “Entonces, </w:t>
      </w:r>
      <w:proofErr w:type="spellStart"/>
      <w:r w:rsidRPr="00DC1A5F">
        <w:rPr>
          <w:i/>
        </w:rPr>
        <w:t>bhikkhu</w:t>
      </w:r>
      <w:r w:rsidRPr="00DC1A5F">
        <w:t>s</w:t>
      </w:r>
      <w:proofErr w:type="spellEnd"/>
      <w:r w:rsidRPr="00DC1A5F">
        <w:t>, para el necio que esté aturdido por la ignorancia y atado por el deseo, surgirá este cuerpo. Ahora bien, este cuerpo con sus seis bases internas y, externamente, con las seis bases de la materialidad―mentalidad, conformarán una dualidad. Debido a esta dualidad habrá contacto, así como los seis pares de bases, hechas contacto a través del cual el necio siente placer y dolor” (S II 23f.), etc.</w:t>
      </w:r>
    </w:p>
    <w:p w14:paraId="5C3350F4" w14:textId="77777777" w:rsidR="00597DE2" w:rsidRPr="00DC1A5F" w:rsidRDefault="00597DE2" w:rsidP="00597DE2">
      <w:r w:rsidRPr="00DC1A5F">
        <w:t xml:space="preserve">42. </w:t>
      </w:r>
      <w:r w:rsidRPr="00DC1A5F">
        <w:tab/>
        <w:t>De estas formas de presentación, la citada aquí en la forma “Con la ignorancia como condición se originan las formaciones” deberá entenderse como aquella basada en un solo estado. Así, en primer lugar, se deberá entender la exposición “en cuanto a las diferentes formas de enseñanza”.</w:t>
      </w:r>
    </w:p>
    <w:p w14:paraId="37B57DDA" w14:textId="77777777" w:rsidR="00597DE2" w:rsidRPr="00DC1A5F" w:rsidRDefault="00597DE2" w:rsidP="00597DE2">
      <w:r w:rsidRPr="00DC1A5F">
        <w:t xml:space="preserve">43. </w:t>
      </w:r>
      <w:r w:rsidRPr="00DC1A5F">
        <w:tab/>
        <w:t xml:space="preserve">2. </w:t>
      </w:r>
      <w:r w:rsidRPr="00DC1A5F">
        <w:rPr>
          <w:i/>
          <w:iCs/>
        </w:rPr>
        <w:t>En cuanto al significado</w:t>
      </w:r>
      <w:r w:rsidRPr="00DC1A5F">
        <w:t>: en cuanto al significado de las palabras “ignorancia”, “formaciones”, etc. La mala conducta corporal, etc., por ejemplo, “no debe ser encontrada” (</w:t>
      </w:r>
      <w:proofErr w:type="spellStart"/>
      <w:r w:rsidRPr="00DC1A5F">
        <w:rPr>
          <w:i/>
          <w:iCs/>
        </w:rPr>
        <w:t>avindiya</w:t>
      </w:r>
      <w:proofErr w:type="spellEnd"/>
      <w:r w:rsidRPr="00DC1A5F">
        <w:t>), en el sentido de ser inapropiada para ser llevada a cabo; el significado es que no debe permitirse. Éste encontrará (</w:t>
      </w:r>
      <w:proofErr w:type="spellStart"/>
      <w:r w:rsidRPr="00DC1A5F">
        <w:rPr>
          <w:i/>
          <w:iCs/>
        </w:rPr>
        <w:t>vindati</w:t>
      </w:r>
      <w:proofErr w:type="spellEnd"/>
      <w:r w:rsidRPr="00DC1A5F">
        <w:t>) lo que no deberá ser encontrado (</w:t>
      </w:r>
      <w:proofErr w:type="spellStart"/>
      <w:r w:rsidRPr="00DC1A5F">
        <w:rPr>
          <w:i/>
          <w:iCs/>
        </w:rPr>
        <w:t>avindiya</w:t>
      </w:r>
      <w:proofErr w:type="spellEnd"/>
      <w:r w:rsidRPr="00DC1A5F">
        <w:t>), por lo que será ignorancia (</w:t>
      </w:r>
      <w:r w:rsidRPr="00DC1A5F">
        <w:rPr>
          <w:i/>
          <w:iCs/>
        </w:rPr>
        <w:t>avijjā</w:t>
      </w:r>
      <w:r w:rsidRPr="00DC1A5F">
        <w:t>). Por el contrario, la buena conducta corporal, etc. “deberá ser encontrada” (</w:t>
      </w:r>
      <w:proofErr w:type="spellStart"/>
      <w:r w:rsidRPr="00DC1A5F">
        <w:rPr>
          <w:i/>
          <w:iCs/>
        </w:rPr>
        <w:t>vindiya</w:t>
      </w:r>
      <w:proofErr w:type="spellEnd"/>
      <w:r w:rsidRPr="00DC1A5F">
        <w:t>). No encontrará (</w:t>
      </w:r>
      <w:proofErr w:type="spellStart"/>
      <w:r w:rsidRPr="00DC1A5F">
        <w:rPr>
          <w:i/>
          <w:iCs/>
        </w:rPr>
        <w:t>na</w:t>
      </w:r>
      <w:proofErr w:type="spellEnd"/>
      <w:r w:rsidRPr="00DC1A5F">
        <w:rPr>
          <w:i/>
          <w:iCs/>
        </w:rPr>
        <w:t xml:space="preserve"> </w:t>
      </w:r>
      <w:proofErr w:type="spellStart"/>
      <w:r w:rsidRPr="00DC1A5F">
        <w:rPr>
          <w:i/>
          <w:iCs/>
        </w:rPr>
        <w:t>vindati</w:t>
      </w:r>
      <w:proofErr w:type="spellEnd"/>
      <w:r w:rsidRPr="00DC1A5F">
        <w:t>) lo que debe ser encontrado (</w:t>
      </w:r>
      <w:proofErr w:type="spellStart"/>
      <w:r w:rsidRPr="00DC1A5F">
        <w:rPr>
          <w:i/>
          <w:iCs/>
        </w:rPr>
        <w:t>vindiya</w:t>
      </w:r>
      <w:proofErr w:type="spellEnd"/>
      <w:r w:rsidRPr="00DC1A5F">
        <w:t>), entonces será así ignorancia (</w:t>
      </w:r>
      <w:r w:rsidRPr="00DC1A5F">
        <w:rPr>
          <w:i/>
          <w:iCs/>
        </w:rPr>
        <w:t>avijjā</w:t>
      </w:r>
      <w:r w:rsidRPr="00DC1A5F">
        <w:t>). También impedirá conocer (</w:t>
      </w:r>
      <w:r w:rsidRPr="00DC1A5F">
        <w:rPr>
          <w:i/>
          <w:iCs/>
        </w:rPr>
        <w:t>avidita</w:t>
      </w:r>
      <w:r w:rsidRPr="00DC1A5F">
        <w:t xml:space="preserve">) el significado de la colección de los agregados, el significado del actuar de las bases, el significado del vacío en los elementos, el significado del predominio de las facultades, el significado de la realidad de las </w:t>
      </w:r>
      <w:proofErr w:type="gramStart"/>
      <w:r w:rsidRPr="00DC1A5F">
        <w:t>verdades,</w:t>
      </w:r>
      <w:proofErr w:type="gramEnd"/>
      <w:r w:rsidRPr="00DC1A5F">
        <w:t xml:space="preserve"> es así cómo será ignorancia (</w:t>
      </w:r>
      <w:proofErr w:type="spellStart"/>
      <w:r w:rsidRPr="00DC1A5F">
        <w:rPr>
          <w:i/>
          <w:iCs/>
        </w:rPr>
        <w:t>avijja</w:t>
      </w:r>
      <w:proofErr w:type="spellEnd"/>
      <w:r w:rsidRPr="00DC1A5F">
        <w:t>). También impedirá conocer el significado del sufrimiento, etc., descrito de cuatro maneras como “opresión”, etc. (Cap. XVI. §15), por lo que corresponderá a la ignorancia. A través de todo tipo de generaciones, destinos, devenires, estaciones de consciencia y planos existenciales en el ciclo interminable de renacimientos, impulsará a los seres (</w:t>
      </w:r>
      <w:proofErr w:type="spellStart"/>
      <w:r w:rsidRPr="00DC1A5F">
        <w:rPr>
          <w:i/>
          <w:iCs/>
        </w:rPr>
        <w:t>antavirahite</w:t>
      </w:r>
      <w:proofErr w:type="spellEnd"/>
      <w:r w:rsidRPr="00DC1A5F">
        <w:rPr>
          <w:i/>
          <w:iCs/>
        </w:rPr>
        <w:t xml:space="preserve"> </w:t>
      </w:r>
      <w:proofErr w:type="spellStart"/>
      <w:r w:rsidRPr="00DC1A5F">
        <w:rPr>
          <w:i/>
          <w:iCs/>
        </w:rPr>
        <w:t>saísāre</w:t>
      </w:r>
      <w:proofErr w:type="spellEnd"/>
      <w:r w:rsidRPr="00DC1A5F">
        <w:rPr>
          <w:i/>
          <w:iCs/>
        </w:rPr>
        <w:t xml:space="preserve">... </w:t>
      </w:r>
      <w:proofErr w:type="spellStart"/>
      <w:r w:rsidRPr="00DC1A5F">
        <w:rPr>
          <w:i/>
          <w:iCs/>
        </w:rPr>
        <w:t>satte</w:t>
      </w:r>
      <w:proofErr w:type="spellEnd"/>
      <w:r w:rsidRPr="00DC1A5F">
        <w:rPr>
          <w:i/>
          <w:iCs/>
        </w:rPr>
        <w:t xml:space="preserve"> </w:t>
      </w:r>
      <w:proofErr w:type="spellStart"/>
      <w:r w:rsidRPr="00DC1A5F">
        <w:rPr>
          <w:i/>
          <w:iCs/>
        </w:rPr>
        <w:t>javāpeti</w:t>
      </w:r>
      <w:proofErr w:type="spellEnd"/>
      <w:r w:rsidRPr="00DC1A5F">
        <w:t>), es así cómo será ignorancia (avijjā). Entre mujeres, hombres, etc., que en última instancia son inexistentes, se apresurará (</w:t>
      </w:r>
      <w:proofErr w:type="spellStart"/>
      <w:r w:rsidRPr="00DC1A5F">
        <w:rPr>
          <w:i/>
          <w:iCs/>
        </w:rPr>
        <w:t>paramatthato</w:t>
      </w:r>
      <w:proofErr w:type="spellEnd"/>
      <w:r w:rsidRPr="00DC1A5F">
        <w:rPr>
          <w:i/>
          <w:iCs/>
        </w:rPr>
        <w:t xml:space="preserve"> </w:t>
      </w:r>
      <w:proofErr w:type="spellStart"/>
      <w:r w:rsidRPr="00DC1A5F">
        <w:rPr>
          <w:i/>
          <w:iCs/>
        </w:rPr>
        <w:t>avijjamānesu</w:t>
      </w:r>
      <w:proofErr w:type="spellEnd"/>
      <w:r w:rsidRPr="00DC1A5F">
        <w:rPr>
          <w:i/>
          <w:iCs/>
        </w:rPr>
        <w:t xml:space="preserve"> </w:t>
      </w:r>
      <w:proofErr w:type="spellStart"/>
      <w:r w:rsidRPr="00DC1A5F">
        <w:rPr>
          <w:i/>
          <w:iCs/>
        </w:rPr>
        <w:t>itthi</w:t>
      </w:r>
      <w:proofErr w:type="spellEnd"/>
      <w:r w:rsidRPr="00DC1A5F">
        <w:rPr>
          <w:i/>
          <w:iCs/>
        </w:rPr>
        <w:t>–</w:t>
      </w:r>
      <w:proofErr w:type="spellStart"/>
      <w:r w:rsidRPr="00DC1A5F">
        <w:rPr>
          <w:i/>
          <w:iCs/>
        </w:rPr>
        <w:t>purisādisu</w:t>
      </w:r>
      <w:proofErr w:type="spellEnd"/>
      <w:r w:rsidRPr="00DC1A5F">
        <w:t xml:space="preserve"> </w:t>
      </w:r>
      <w:proofErr w:type="spellStart"/>
      <w:r w:rsidRPr="00DC1A5F">
        <w:rPr>
          <w:i/>
          <w:iCs/>
        </w:rPr>
        <w:t>Javati</w:t>
      </w:r>
      <w:proofErr w:type="spellEnd"/>
      <w:r w:rsidRPr="00DC1A5F">
        <w:t>), y entre los agregados, etc., que sí son existentes, no se apresurará (</w:t>
      </w:r>
      <w:proofErr w:type="spellStart"/>
      <w:r w:rsidRPr="00DC1A5F">
        <w:rPr>
          <w:i/>
          <w:iCs/>
        </w:rPr>
        <w:t>vijjamānesu</w:t>
      </w:r>
      <w:proofErr w:type="spellEnd"/>
      <w:r w:rsidRPr="00DC1A5F">
        <w:rPr>
          <w:i/>
          <w:iCs/>
        </w:rPr>
        <w:t xml:space="preserve"> pi </w:t>
      </w:r>
      <w:proofErr w:type="spellStart"/>
      <w:r w:rsidRPr="00DC1A5F">
        <w:rPr>
          <w:i/>
          <w:iCs/>
        </w:rPr>
        <w:t>khandhādisu</w:t>
      </w:r>
      <w:proofErr w:type="spellEnd"/>
      <w:r w:rsidRPr="00DC1A5F">
        <w:rPr>
          <w:i/>
          <w:iCs/>
        </w:rPr>
        <w:t xml:space="preserve"> </w:t>
      </w:r>
      <w:proofErr w:type="spellStart"/>
      <w:r w:rsidRPr="00DC1A5F">
        <w:rPr>
          <w:i/>
          <w:iCs/>
        </w:rPr>
        <w:t>na</w:t>
      </w:r>
      <w:proofErr w:type="spellEnd"/>
      <w:r w:rsidRPr="00DC1A5F">
        <w:rPr>
          <w:i/>
          <w:iCs/>
        </w:rPr>
        <w:t xml:space="preserve"> </w:t>
      </w:r>
      <w:proofErr w:type="spellStart"/>
      <w:r w:rsidRPr="00DC1A5F">
        <w:rPr>
          <w:i/>
          <w:iCs/>
        </w:rPr>
        <w:t>javati</w:t>
      </w:r>
      <w:proofErr w:type="spellEnd"/>
      <w:r w:rsidRPr="00DC1A5F">
        <w:t>), por lo tanto, es así como será ignorancia (</w:t>
      </w:r>
      <w:r w:rsidRPr="00DC1A5F">
        <w:rPr>
          <w:i/>
          <w:iCs/>
        </w:rPr>
        <w:t>avijjā</w:t>
      </w:r>
      <w:r w:rsidRPr="00DC1A5F">
        <w:t>). Además, será ignorancia porque solapará las bases físicas y los objetos de la consciencia visual, etc., la originación dependiente y los estados de la originación dependiente.</w:t>
      </w:r>
    </w:p>
    <w:p w14:paraId="48A9EC89" w14:textId="77777777" w:rsidR="00597DE2" w:rsidRPr="00DC1A5F" w:rsidRDefault="00597DE2" w:rsidP="00597DE2">
      <w:r w:rsidRPr="00DC1A5F">
        <w:t xml:space="preserve">44. </w:t>
      </w:r>
      <w:r w:rsidRPr="00DC1A5F">
        <w:tab/>
        <w:t>Aquello debido a (</w:t>
      </w:r>
      <w:proofErr w:type="spellStart"/>
      <w:r w:rsidRPr="00DC1A5F">
        <w:rPr>
          <w:i/>
          <w:iCs/>
        </w:rPr>
        <w:t>paṭicca</w:t>
      </w:r>
      <w:proofErr w:type="spellEnd"/>
      <w:r w:rsidRPr="00DC1A5F">
        <w:t>) lo cual surgirá un efecto (</w:t>
      </w:r>
      <w:proofErr w:type="spellStart"/>
      <w:r w:rsidRPr="00DC1A5F">
        <w:rPr>
          <w:i/>
          <w:iCs/>
        </w:rPr>
        <w:t>eti</w:t>
      </w:r>
      <w:proofErr w:type="spellEnd"/>
      <w:r w:rsidRPr="00DC1A5F">
        <w:t>) corresponderá a una condición (</w:t>
      </w:r>
      <w:proofErr w:type="spellStart"/>
      <w:r w:rsidRPr="00DC1A5F">
        <w:rPr>
          <w:i/>
          <w:iCs/>
        </w:rPr>
        <w:t>paccaya</w:t>
      </w:r>
      <w:proofErr w:type="spellEnd"/>
      <w:r w:rsidRPr="00DC1A5F">
        <w:t>). “Debido a” (</w:t>
      </w:r>
      <w:proofErr w:type="spellStart"/>
      <w:r w:rsidRPr="00DC1A5F">
        <w:rPr>
          <w:i/>
          <w:iCs/>
        </w:rPr>
        <w:t>paṭicca</w:t>
      </w:r>
      <w:proofErr w:type="spellEnd"/>
      <w:r w:rsidRPr="00DC1A5F">
        <w:t>) = “no sin ello”; el significado es, no prescindiendo de ello. “Viene” (</w:t>
      </w:r>
      <w:proofErr w:type="spellStart"/>
      <w:r w:rsidRPr="00DC1A5F">
        <w:rPr>
          <w:i/>
          <w:iCs/>
        </w:rPr>
        <w:t>eti</w:t>
      </w:r>
      <w:proofErr w:type="spellEnd"/>
      <w:r w:rsidRPr="00DC1A5F">
        <w:t xml:space="preserve">) significa tanto “surge” como “ocurre”. Además, el significado de “condición” corresponderá al significado de “soporte”. Corresponderá a ignorancia y a una condición, por lo tanto, así </w:t>
      </w:r>
      <w:proofErr w:type="gramStart"/>
      <w:r w:rsidRPr="00DC1A5F">
        <w:t>será  “</w:t>
      </w:r>
      <w:proofErr w:type="gramEnd"/>
      <w:r w:rsidRPr="00DC1A5F">
        <w:t>ignorancia como condición”, de ahí la frase “con la ignorancia como condición”.</w:t>
      </w:r>
    </w:p>
    <w:p w14:paraId="39E42387" w14:textId="77777777" w:rsidR="00597DE2" w:rsidRPr="00DC1A5F" w:rsidRDefault="00597DE2" w:rsidP="00597DE2">
      <w:pPr>
        <w:tabs>
          <w:tab w:val="clear" w:pos="425"/>
        </w:tabs>
        <w:spacing w:after="160"/>
      </w:pPr>
      <w:r w:rsidRPr="00DC1A5F">
        <w:br w:type="page"/>
      </w:r>
    </w:p>
    <w:p w14:paraId="0033D122" w14:textId="77777777" w:rsidR="00597DE2" w:rsidRPr="00DC1A5F" w:rsidRDefault="00597DE2" w:rsidP="00597DE2">
      <w:pPr>
        <w:pStyle w:val="NormalConSangria"/>
      </w:pPr>
      <w:r w:rsidRPr="00DC1A5F">
        <w:lastRenderedPageBreak/>
        <w:t>“Ellos conforman lo formado” (S III 87), por tanto, corresponderán a las formaciones. Además, las formaciones serán de dos clases, es decir, (a) las formaciones con la ignorancia como condición, y (b) las formaciones ofrecidas en los textos con la palabra “formaciones” (</w:t>
      </w:r>
      <w:proofErr w:type="spellStart"/>
      <w:r w:rsidRPr="00DC1A5F">
        <w:rPr>
          <w:i/>
          <w:iCs/>
        </w:rPr>
        <w:t>saṅkhāra</w:t>
      </w:r>
      <w:proofErr w:type="spellEnd"/>
      <w:r w:rsidRPr="00DC1A5F">
        <w:t>). Aquí, (a) las tres formaciones, es decir, las formaciones meritorias, demeritorias e imperturbables, y las tres, es decir, las formaciones corporales, verbales y mentales, que suman 6 en total, corresponderán a “las formaciones con la ignorancia como condición”. Y todos estos serán simplemente voliciones mundanas productivas e improductivas.</w:t>
      </w:r>
    </w:p>
    <w:p w14:paraId="5EEAA5B8" w14:textId="77777777" w:rsidR="00597DE2" w:rsidRPr="00DC1A5F" w:rsidRDefault="00597DE2" w:rsidP="00597DE2">
      <w:r w:rsidRPr="00DC1A5F">
        <w:t xml:space="preserve">45. </w:t>
      </w:r>
      <w:r w:rsidRPr="00DC1A5F">
        <w:tab/>
        <w:t>No obstante, (b) estos cuatro, es decir, (i) la formación consistente de lo formado (</w:t>
      </w:r>
      <w:proofErr w:type="spellStart"/>
      <w:r w:rsidRPr="00DC1A5F">
        <w:rPr>
          <w:i/>
          <w:iCs/>
        </w:rPr>
        <w:t>saṅkhata</w:t>
      </w:r>
      <w:proofErr w:type="spellEnd"/>
      <w:r w:rsidRPr="00DC1A5F">
        <w:t>–</w:t>
      </w:r>
      <w:proofErr w:type="spellStart"/>
      <w:r w:rsidRPr="00DC1A5F">
        <w:rPr>
          <w:i/>
          <w:iCs/>
        </w:rPr>
        <w:t>saṅkhāra</w:t>
      </w:r>
      <w:proofErr w:type="spellEnd"/>
      <w:r w:rsidRPr="00DC1A5F">
        <w:t>), [527] (</w:t>
      </w:r>
      <w:proofErr w:type="spellStart"/>
      <w:r w:rsidRPr="00DC1A5F">
        <w:t>ii</w:t>
      </w:r>
      <w:proofErr w:type="spellEnd"/>
      <w:r w:rsidRPr="00DC1A5F">
        <w:t xml:space="preserve">) la formación consistente de lo formado por el </w:t>
      </w:r>
      <w:proofErr w:type="spellStart"/>
      <w:r w:rsidRPr="00DC1A5F">
        <w:rPr>
          <w:i/>
        </w:rPr>
        <w:t>kamma</w:t>
      </w:r>
      <w:proofErr w:type="spellEnd"/>
      <w:r w:rsidRPr="00DC1A5F">
        <w:t xml:space="preserve"> (</w:t>
      </w:r>
      <w:proofErr w:type="spellStart"/>
      <w:r w:rsidRPr="00DC1A5F">
        <w:rPr>
          <w:i/>
          <w:iCs/>
        </w:rPr>
        <w:t>abhisaṅkhata</w:t>
      </w:r>
      <w:proofErr w:type="spellEnd"/>
      <w:r w:rsidRPr="00DC1A5F">
        <w:t>–</w:t>
      </w:r>
      <w:proofErr w:type="spellStart"/>
      <w:r w:rsidRPr="00DC1A5F">
        <w:rPr>
          <w:i/>
          <w:iCs/>
        </w:rPr>
        <w:t>saṅkhāra</w:t>
      </w:r>
      <w:proofErr w:type="spellEnd"/>
      <w:r w:rsidRPr="00DC1A5F">
        <w:t>), (</w:t>
      </w:r>
      <w:proofErr w:type="spellStart"/>
      <w:r w:rsidRPr="00DC1A5F">
        <w:t>iii</w:t>
      </w:r>
      <w:proofErr w:type="spellEnd"/>
      <w:r w:rsidRPr="00DC1A5F">
        <w:t xml:space="preserve">) la formación consistente del acto de formación del </w:t>
      </w:r>
      <w:proofErr w:type="spellStart"/>
      <w:r w:rsidRPr="00DC1A5F">
        <w:rPr>
          <w:i/>
        </w:rPr>
        <w:t>kamma</w:t>
      </w:r>
      <w:proofErr w:type="spellEnd"/>
      <w:r w:rsidRPr="00DC1A5F">
        <w:t xml:space="preserve"> (formado por el </w:t>
      </w:r>
      <w:proofErr w:type="spellStart"/>
      <w:r w:rsidRPr="00DC1A5F">
        <w:rPr>
          <w:i/>
        </w:rPr>
        <w:t>kamma</w:t>
      </w:r>
      <w:proofErr w:type="spellEnd"/>
      <w:r w:rsidRPr="00DC1A5F">
        <w:t>—</w:t>
      </w:r>
      <w:proofErr w:type="spellStart"/>
      <w:r w:rsidRPr="00DC1A5F">
        <w:rPr>
          <w:i/>
          <w:iCs/>
        </w:rPr>
        <w:t>abhisaṅkharaṇa</w:t>
      </w:r>
      <w:proofErr w:type="spellEnd"/>
      <w:r w:rsidRPr="00DC1A5F">
        <w:t>–</w:t>
      </w:r>
      <w:proofErr w:type="spellStart"/>
      <w:r w:rsidRPr="00DC1A5F">
        <w:rPr>
          <w:i/>
          <w:iCs/>
        </w:rPr>
        <w:t>saṅkhāra</w:t>
      </w:r>
      <w:proofErr w:type="spellEnd"/>
      <w:r w:rsidRPr="00DC1A5F">
        <w:t>), y (</w:t>
      </w:r>
      <w:proofErr w:type="spellStart"/>
      <w:r w:rsidRPr="00DC1A5F">
        <w:t>iv</w:t>
      </w:r>
      <w:proofErr w:type="spellEnd"/>
      <w:r w:rsidRPr="00DC1A5F">
        <w:t>) la formación consistente del impulso (</w:t>
      </w:r>
      <w:proofErr w:type="spellStart"/>
      <w:r w:rsidRPr="00DC1A5F">
        <w:rPr>
          <w:i/>
          <w:iCs/>
        </w:rPr>
        <w:t>payogābhisaṅkhāra</w:t>
      </w:r>
      <w:proofErr w:type="spellEnd"/>
      <w:r w:rsidRPr="00DC1A5F">
        <w:t>), serán los tipos de formaciones que aparecerán en los textos con la palabra “formaciones”.</w:t>
      </w:r>
    </w:p>
    <w:p w14:paraId="6AE46FAA" w14:textId="77777777" w:rsidR="00597DE2" w:rsidRPr="00DC1A5F" w:rsidRDefault="00597DE2" w:rsidP="00597DE2">
      <w:r w:rsidRPr="00DC1A5F">
        <w:t>46. ​​</w:t>
      </w:r>
      <w:r w:rsidRPr="00DC1A5F">
        <w:tab/>
        <w:t>Aquí, (i) todos los estados condicionados, mostrados en pasajes tales como “Las formaciones son impermanentes” (S I 158; D II 157), corresponderán a formaciones consistentes de lo formado. (</w:t>
      </w:r>
      <w:proofErr w:type="spellStart"/>
      <w:r w:rsidRPr="00DC1A5F">
        <w:t>ii</w:t>
      </w:r>
      <w:proofErr w:type="spellEnd"/>
      <w:r w:rsidRPr="00DC1A5F">
        <w:t xml:space="preserve">) En los </w:t>
      </w:r>
      <w:r w:rsidRPr="00DC1A5F">
        <w:rPr>
          <w:i/>
          <w:iCs/>
        </w:rPr>
        <w:t>Comentarios</w:t>
      </w:r>
      <w:r w:rsidRPr="00DC1A5F">
        <w:t xml:space="preserve">, a los estados materiales e inmateriales de los tres planos generados por el </w:t>
      </w:r>
      <w:proofErr w:type="spellStart"/>
      <w:r w:rsidRPr="00DC1A5F">
        <w:rPr>
          <w:i/>
        </w:rPr>
        <w:t>kamma</w:t>
      </w:r>
      <w:proofErr w:type="spellEnd"/>
      <w:r w:rsidRPr="00DC1A5F">
        <w:t xml:space="preserve"> se les denominan formaciones consistentes de lo formado por el </w:t>
      </w:r>
      <w:proofErr w:type="spellStart"/>
      <w:r w:rsidRPr="00DC1A5F">
        <w:rPr>
          <w:i/>
        </w:rPr>
        <w:t>kamma</w:t>
      </w:r>
      <w:proofErr w:type="spellEnd"/>
      <w:r w:rsidRPr="00DC1A5F">
        <w:t>. Estos también estarán incluidos en el pasaje, “Las formaciones son impermanentes”. No obstante, no existirá ningún caso en los textos donde se encuentren independientemente. (</w:t>
      </w:r>
      <w:proofErr w:type="spellStart"/>
      <w:r w:rsidRPr="00DC1A5F">
        <w:t>iii</w:t>
      </w:r>
      <w:proofErr w:type="spellEnd"/>
      <w:r w:rsidRPr="00DC1A5F">
        <w:t xml:space="preserve">) A la volición productiva e improductiva de los tres planos de la existencia se le denominará formación consistente del acto de conformar el </w:t>
      </w:r>
      <w:proofErr w:type="spellStart"/>
      <w:r w:rsidRPr="00DC1A5F">
        <w:rPr>
          <w:i/>
        </w:rPr>
        <w:t>kamma</w:t>
      </w:r>
      <w:proofErr w:type="spellEnd"/>
      <w:r w:rsidRPr="00DC1A5F">
        <w:t>. Se encuentra en los textos en pasajes como “</w:t>
      </w:r>
      <w:proofErr w:type="spellStart"/>
      <w:r w:rsidRPr="00DC1A5F">
        <w:rPr>
          <w:i/>
        </w:rPr>
        <w:t>Bhikkhu</w:t>
      </w:r>
      <w:r w:rsidRPr="00DC1A5F">
        <w:t>s</w:t>
      </w:r>
      <w:proofErr w:type="spellEnd"/>
      <w:r w:rsidRPr="00DC1A5F">
        <w:t>, este hombre en su ignorancia conforma la formación del mérito” (S II 82). (</w:t>
      </w:r>
      <w:proofErr w:type="spellStart"/>
      <w:r w:rsidRPr="00DC1A5F">
        <w:t>iv</w:t>
      </w:r>
      <w:proofErr w:type="spellEnd"/>
      <w:r w:rsidRPr="00DC1A5F">
        <w:t>) No obstante, será a la energía corporal y mental a lo que se le denominará formación consistente del impulso. Esto se expone en los textos en pasajes como “La rueda, habiendo ido tan lejos como la condujo el ímpetu (</w:t>
      </w:r>
      <w:proofErr w:type="spellStart"/>
      <w:r w:rsidRPr="00DC1A5F">
        <w:rPr>
          <w:i/>
          <w:iCs/>
        </w:rPr>
        <w:t>abhisaṅkhāra</w:t>
      </w:r>
      <w:proofErr w:type="spellEnd"/>
      <w:r w:rsidRPr="00DC1A5F">
        <w:t>), se detuvo como si se fijase” (A I 112).</w:t>
      </w:r>
    </w:p>
    <w:p w14:paraId="589CC398" w14:textId="77777777" w:rsidR="00597DE2" w:rsidRPr="00DC1A5F" w:rsidRDefault="00597DE2" w:rsidP="00597DE2">
      <w:r w:rsidRPr="00DC1A5F">
        <w:t xml:space="preserve">47. </w:t>
      </w:r>
      <w:r w:rsidRPr="00DC1A5F">
        <w:tab/>
        <w:t>Y no solo éstos, sino muchos otros tipos de formaciones se exponen en los textos con la palabra “formación” (</w:t>
      </w:r>
      <w:proofErr w:type="spellStart"/>
      <w:r w:rsidRPr="00DC1A5F">
        <w:rPr>
          <w:i/>
          <w:iCs/>
        </w:rPr>
        <w:t>saṅkhāra</w:t>
      </w:r>
      <w:proofErr w:type="spellEnd"/>
      <w:r w:rsidRPr="00DC1A5F">
        <w:t xml:space="preserve">), como en el pasaje que comienza, “Cuando un </w:t>
      </w:r>
      <w:proofErr w:type="spellStart"/>
      <w:r w:rsidRPr="00DC1A5F">
        <w:rPr>
          <w:i/>
        </w:rPr>
        <w:t>bhikkhu</w:t>
      </w:r>
      <w:proofErr w:type="spellEnd"/>
      <w:r w:rsidRPr="00DC1A5F">
        <w:t xml:space="preserve"> se encuentre en la absorción de la cesación de la percepción y la sensación, amigo </w:t>
      </w:r>
      <w:proofErr w:type="spellStart"/>
      <w:r w:rsidRPr="00DC1A5F">
        <w:t>Visakha</w:t>
      </w:r>
      <w:proofErr w:type="spellEnd"/>
      <w:r w:rsidRPr="00DC1A5F">
        <w:t>, primero cesará su formación verbal, luego su formación corporal, luego su formación mental” (M I 302). No obstante, no existirá ninguna formación entre ellas que no esté incluida en (i) “las formaciones consistentes de lo formado”.</w:t>
      </w:r>
    </w:p>
    <w:p w14:paraId="11087B5C" w14:textId="77777777" w:rsidR="00597DE2" w:rsidRPr="00DC1A5F" w:rsidRDefault="00597DE2" w:rsidP="00597DE2">
      <w:r w:rsidRPr="00DC1A5F">
        <w:t xml:space="preserve">48. </w:t>
      </w:r>
      <w:r w:rsidRPr="00DC1A5F">
        <w:tab/>
        <w:t xml:space="preserve">Lo que se dice después de esto en el comienzo del resto de la exposición, “Con las formaciones como condición, se origina la consciencia” deberá entenderse de la manera ya expresada. No obstante, en cuanto a esas palabras aún no tratadas: </w:t>
      </w:r>
      <w:proofErr w:type="spellStart"/>
      <w:r w:rsidRPr="00DC1A5F">
        <w:t>ésto</w:t>
      </w:r>
      <w:proofErr w:type="spellEnd"/>
      <w:r w:rsidRPr="00DC1A5F">
        <w:t xml:space="preserve"> conoce (</w:t>
      </w:r>
      <w:proofErr w:type="spellStart"/>
      <w:r w:rsidRPr="00DC1A5F">
        <w:rPr>
          <w:i/>
          <w:iCs/>
        </w:rPr>
        <w:t>vijānāti</w:t>
      </w:r>
      <w:proofErr w:type="spellEnd"/>
      <w:r w:rsidRPr="00DC1A5F">
        <w:t>), por lo tanto, es consciencia (</w:t>
      </w:r>
      <w:r w:rsidRPr="00DC1A5F">
        <w:rPr>
          <w:i/>
        </w:rPr>
        <w:t>viññāṇa</w:t>
      </w:r>
      <w:r w:rsidRPr="00DC1A5F">
        <w:t>—ver M I 292). Se inclinará hacia un objeto (</w:t>
      </w:r>
      <w:proofErr w:type="spellStart"/>
      <w:r w:rsidRPr="00DC1A5F">
        <w:rPr>
          <w:i/>
          <w:iCs/>
        </w:rPr>
        <w:t>namati</w:t>
      </w:r>
      <w:proofErr w:type="spellEnd"/>
      <w:r w:rsidRPr="00DC1A5F">
        <w:t>), por lo que será mentalidad (</w:t>
      </w:r>
      <w:proofErr w:type="spellStart"/>
      <w:r w:rsidRPr="00DC1A5F">
        <w:rPr>
          <w:i/>
        </w:rPr>
        <w:t>nāma</w:t>
      </w:r>
      <w:proofErr w:type="spellEnd"/>
      <w:r w:rsidRPr="00DC1A5F">
        <w:t>). Será molestado (</w:t>
      </w:r>
      <w:proofErr w:type="spellStart"/>
      <w:r w:rsidRPr="00DC1A5F">
        <w:rPr>
          <w:i/>
          <w:iCs/>
        </w:rPr>
        <w:t>ruppati</w:t>
      </w:r>
      <w:proofErr w:type="spellEnd"/>
      <w:r w:rsidRPr="00DC1A5F">
        <w:t>), por lo que será materialidad (</w:t>
      </w:r>
      <w:r w:rsidRPr="00DC1A5F">
        <w:rPr>
          <w:i/>
        </w:rPr>
        <w:t>rūpa</w:t>
      </w:r>
      <w:r w:rsidRPr="00DC1A5F">
        <w:t>—ver S III 87). Proporcionará un rango para los orígenes (</w:t>
      </w:r>
      <w:proofErr w:type="spellStart"/>
      <w:r w:rsidRPr="00DC1A5F">
        <w:rPr>
          <w:i/>
          <w:iCs/>
        </w:rPr>
        <w:t>āye</w:t>
      </w:r>
      <w:proofErr w:type="spellEnd"/>
      <w:r w:rsidRPr="00DC1A5F">
        <w:rPr>
          <w:i/>
          <w:iCs/>
        </w:rPr>
        <w:t xml:space="preserve"> </w:t>
      </w:r>
      <w:proofErr w:type="spellStart"/>
      <w:r w:rsidRPr="00DC1A5F">
        <w:rPr>
          <w:i/>
          <w:iCs/>
        </w:rPr>
        <w:t>tanoti</w:t>
      </w:r>
      <w:proofErr w:type="spellEnd"/>
      <w:r w:rsidRPr="00DC1A5F">
        <w:t>) y conducirá hacia lo actuado (</w:t>
      </w:r>
      <w:proofErr w:type="spellStart"/>
      <w:r w:rsidRPr="00DC1A5F">
        <w:rPr>
          <w:i/>
          <w:iCs/>
        </w:rPr>
        <w:t>āyatañ</w:t>
      </w:r>
      <w:proofErr w:type="spellEnd"/>
      <w:r w:rsidRPr="00DC1A5F">
        <w:rPr>
          <w:i/>
          <w:iCs/>
        </w:rPr>
        <w:t xml:space="preserve"> ca </w:t>
      </w:r>
      <w:proofErr w:type="spellStart"/>
      <w:r w:rsidRPr="00DC1A5F">
        <w:rPr>
          <w:i/>
          <w:iCs/>
        </w:rPr>
        <w:t>nayati</w:t>
      </w:r>
      <w:proofErr w:type="spellEnd"/>
      <w:r w:rsidRPr="00DC1A5F">
        <w:t>), por lo que será una base (</w:t>
      </w:r>
      <w:proofErr w:type="spellStart"/>
      <w:r w:rsidRPr="00DC1A5F">
        <w:rPr>
          <w:i/>
          <w:iCs/>
        </w:rPr>
        <w:t>āyatana</w:t>
      </w:r>
      <w:proofErr w:type="spellEnd"/>
      <w:r w:rsidRPr="00DC1A5F">
        <w:t>—ver XV.4). Éste hará contacto (</w:t>
      </w:r>
      <w:proofErr w:type="spellStart"/>
      <w:r w:rsidRPr="00DC1A5F">
        <w:rPr>
          <w:i/>
          <w:iCs/>
        </w:rPr>
        <w:t>phusati</w:t>
      </w:r>
      <w:proofErr w:type="spellEnd"/>
      <w:r w:rsidRPr="00DC1A5F">
        <w:t>), por lo tanto, será un contacto (</w:t>
      </w:r>
      <w:proofErr w:type="spellStart"/>
      <w:r w:rsidRPr="00DC1A5F">
        <w:rPr>
          <w:i/>
          <w:iCs/>
        </w:rPr>
        <w:t>phassa</w:t>
      </w:r>
      <w:proofErr w:type="spellEnd"/>
      <w:r w:rsidRPr="00DC1A5F">
        <w:t>). Se sentirá (</w:t>
      </w:r>
      <w:proofErr w:type="spellStart"/>
      <w:r w:rsidRPr="00DC1A5F">
        <w:rPr>
          <w:i/>
          <w:iCs/>
        </w:rPr>
        <w:t>vedayati</w:t>
      </w:r>
      <w:proofErr w:type="spellEnd"/>
      <w:r w:rsidRPr="00DC1A5F">
        <w:t>), por lo tanto, será una sensación (</w:t>
      </w:r>
      <w:proofErr w:type="spellStart"/>
      <w:r w:rsidRPr="00DC1A5F">
        <w:rPr>
          <w:i/>
        </w:rPr>
        <w:t>vedanā</w:t>
      </w:r>
      <w:proofErr w:type="spellEnd"/>
      <w:r w:rsidRPr="00DC1A5F">
        <w:t>, véase M I 293). Se inquietará (o tendrá sed—</w:t>
      </w:r>
      <w:proofErr w:type="spellStart"/>
      <w:r w:rsidRPr="00DC1A5F">
        <w:rPr>
          <w:i/>
          <w:iCs/>
        </w:rPr>
        <w:t>paritassati</w:t>
      </w:r>
      <w:proofErr w:type="spellEnd"/>
      <w:r w:rsidRPr="00DC1A5F">
        <w:t>), por lo que será deseo (</w:t>
      </w:r>
      <w:r w:rsidRPr="00DC1A5F">
        <w:rPr>
          <w:i/>
        </w:rPr>
        <w:t>taṇhā</w:t>
      </w:r>
      <w:r w:rsidRPr="00DC1A5F">
        <w:t>). Se apegará (</w:t>
      </w:r>
      <w:proofErr w:type="spellStart"/>
      <w:r w:rsidRPr="00DC1A5F">
        <w:rPr>
          <w:i/>
          <w:iCs/>
        </w:rPr>
        <w:t>upādiyati</w:t>
      </w:r>
      <w:proofErr w:type="spellEnd"/>
      <w:r w:rsidRPr="00DC1A5F">
        <w:t>), por lo tanto, será apego (</w:t>
      </w:r>
      <w:proofErr w:type="spellStart"/>
      <w:r w:rsidRPr="00DC1A5F">
        <w:rPr>
          <w:i/>
          <w:iCs/>
        </w:rPr>
        <w:t>upādāna</w:t>
      </w:r>
      <w:proofErr w:type="spellEnd"/>
      <w:r w:rsidRPr="00DC1A5F">
        <w:t>). Se convertirá (</w:t>
      </w:r>
      <w:proofErr w:type="spellStart"/>
      <w:r w:rsidRPr="00DC1A5F">
        <w:rPr>
          <w:i/>
          <w:iCs/>
        </w:rPr>
        <w:t>bhavati</w:t>
      </w:r>
      <w:proofErr w:type="spellEnd"/>
      <w:r w:rsidRPr="00DC1A5F">
        <w:t>) y producirá el devenir (</w:t>
      </w:r>
      <w:proofErr w:type="spellStart"/>
      <w:r w:rsidRPr="00DC1A5F">
        <w:rPr>
          <w:i/>
          <w:iCs/>
        </w:rPr>
        <w:t>bhāvayati</w:t>
      </w:r>
      <w:proofErr w:type="spellEnd"/>
      <w:r w:rsidRPr="00DC1A5F">
        <w:t>), por lo tanto, será el devenir (</w:t>
      </w:r>
      <w:proofErr w:type="spellStart"/>
      <w:r w:rsidRPr="00DC1A5F">
        <w:rPr>
          <w:i/>
          <w:iCs/>
        </w:rPr>
        <w:t>bhava</w:t>
      </w:r>
      <w:proofErr w:type="spellEnd"/>
      <w:r w:rsidRPr="00DC1A5F">
        <w:t xml:space="preserve">). El acto de nacer corresponderá al nacimiento. El acto de envejecer, al envejecimiento. Por medio de ellos morirán, es así cómo será muerte. El acto de afligirse será aflicción. El acto de lamentarse, la lamentación. Hará que los seres sufran </w:t>
      </w:r>
      <w:r w:rsidRPr="00DC1A5F">
        <w:br w:type="page"/>
      </w:r>
    </w:p>
    <w:p w14:paraId="0D71236F" w14:textId="77777777" w:rsidR="00597DE2" w:rsidRPr="00DC1A5F" w:rsidRDefault="00597DE2" w:rsidP="00597DE2">
      <w:r w:rsidRPr="00DC1A5F">
        <w:lastRenderedPageBreak/>
        <w:t>(</w:t>
      </w:r>
      <w:proofErr w:type="spellStart"/>
      <w:r w:rsidRPr="00DC1A5F">
        <w:rPr>
          <w:i/>
        </w:rPr>
        <w:t>dukkha</w:t>
      </w:r>
      <w:r w:rsidRPr="00DC1A5F">
        <w:t>yati</w:t>
      </w:r>
      <w:proofErr w:type="spellEnd"/>
      <w:r w:rsidRPr="00DC1A5F">
        <w:t>), por lo que será dolor (</w:t>
      </w:r>
      <w:r w:rsidRPr="00DC1A5F">
        <w:rPr>
          <w:i/>
        </w:rPr>
        <w:t>dukkha</w:t>
      </w:r>
      <w:r w:rsidRPr="00DC1A5F">
        <w:t>); o se consumirá de dos maneras (</w:t>
      </w:r>
      <w:proofErr w:type="spellStart"/>
      <w:r w:rsidRPr="00DC1A5F">
        <w:rPr>
          <w:i/>
          <w:iCs/>
        </w:rPr>
        <w:t>dvedhā</w:t>
      </w:r>
      <w:proofErr w:type="spellEnd"/>
      <w:r w:rsidRPr="00DC1A5F">
        <w:rPr>
          <w:i/>
          <w:iCs/>
        </w:rPr>
        <w:t xml:space="preserve"> </w:t>
      </w:r>
      <w:proofErr w:type="spellStart"/>
      <w:r w:rsidRPr="00DC1A5F">
        <w:rPr>
          <w:i/>
          <w:iCs/>
        </w:rPr>
        <w:t>khaṇati</w:t>
      </w:r>
      <w:proofErr w:type="spellEnd"/>
      <w:r w:rsidRPr="00DC1A5F">
        <w:t>—ver IV.100) por medio de dos momentos (</w:t>
      </w:r>
      <w:proofErr w:type="spellStart"/>
      <w:r w:rsidRPr="00DC1A5F">
        <w:rPr>
          <w:i/>
          <w:iCs/>
        </w:rPr>
        <w:t>khaṇa</w:t>
      </w:r>
      <w:proofErr w:type="spellEnd"/>
      <w:r w:rsidRPr="00DC1A5F">
        <w:t>), del surgimiento y la presencia, por lo que será dolor (</w:t>
      </w:r>
      <w:r w:rsidRPr="00DC1A5F">
        <w:rPr>
          <w:i/>
        </w:rPr>
        <w:t>dukkha</w:t>
      </w:r>
      <w:r w:rsidRPr="00DC1A5F">
        <w:t>). El estado de una mente triste (</w:t>
      </w:r>
      <w:proofErr w:type="spellStart"/>
      <w:r w:rsidRPr="00DC1A5F">
        <w:rPr>
          <w:i/>
          <w:iCs/>
        </w:rPr>
        <w:t>dummana</w:t>
      </w:r>
      <w:proofErr w:type="spellEnd"/>
      <w:r w:rsidRPr="00DC1A5F">
        <w:rPr>
          <w:i/>
          <w:iCs/>
        </w:rPr>
        <w:t>–</w:t>
      </w:r>
      <w:proofErr w:type="spellStart"/>
      <w:r w:rsidRPr="00DC1A5F">
        <w:rPr>
          <w:i/>
          <w:iCs/>
        </w:rPr>
        <w:t>bhāva</w:t>
      </w:r>
      <w:proofErr w:type="spellEnd"/>
      <w:r w:rsidRPr="00DC1A5F">
        <w:t>) será aflicción (</w:t>
      </w:r>
      <w:proofErr w:type="spellStart"/>
      <w:r w:rsidRPr="00DC1A5F">
        <w:rPr>
          <w:i/>
          <w:iCs/>
        </w:rPr>
        <w:t>domanassa</w:t>
      </w:r>
      <w:proofErr w:type="spellEnd"/>
      <w:r w:rsidRPr="00DC1A5F">
        <w:t>). Gran miseria (</w:t>
      </w:r>
      <w:proofErr w:type="spellStart"/>
      <w:r w:rsidRPr="00DC1A5F">
        <w:rPr>
          <w:i/>
          <w:iCs/>
        </w:rPr>
        <w:t>bhuso</w:t>
      </w:r>
      <w:proofErr w:type="spellEnd"/>
      <w:r w:rsidRPr="00DC1A5F">
        <w:rPr>
          <w:i/>
          <w:iCs/>
        </w:rPr>
        <w:t xml:space="preserve"> </w:t>
      </w:r>
      <w:proofErr w:type="spellStart"/>
      <w:r w:rsidRPr="00DC1A5F">
        <w:rPr>
          <w:i/>
          <w:iCs/>
        </w:rPr>
        <w:t>āyāso</w:t>
      </w:r>
      <w:proofErr w:type="spellEnd"/>
      <w:r w:rsidRPr="00DC1A5F">
        <w:t>) corresponderá a la desesperación (</w:t>
      </w:r>
      <w:proofErr w:type="spellStart"/>
      <w:r w:rsidRPr="00DC1A5F">
        <w:rPr>
          <w:i/>
          <w:iCs/>
        </w:rPr>
        <w:t>upāyāsa</w:t>
      </w:r>
      <w:proofErr w:type="spellEnd"/>
      <w:r w:rsidRPr="00DC1A5F">
        <w:t xml:space="preserve">). </w:t>
      </w:r>
      <w:r w:rsidRPr="00DC1A5F">
        <w:rPr>
          <w:i/>
          <w:iCs/>
        </w:rPr>
        <w:t xml:space="preserve">Surgirá </w:t>
      </w:r>
      <w:r w:rsidRPr="00DC1A5F">
        <w:t>significa “se generará”.</w:t>
      </w:r>
    </w:p>
    <w:p w14:paraId="486916D7" w14:textId="77777777" w:rsidR="00597DE2" w:rsidRPr="00DC1A5F" w:rsidRDefault="00597DE2" w:rsidP="00597DE2">
      <w:r w:rsidRPr="00DC1A5F">
        <w:t xml:space="preserve">49. </w:t>
      </w:r>
      <w:r w:rsidRPr="00DC1A5F">
        <w:tab/>
        <w:t>Y la palabra “</w:t>
      </w:r>
      <w:r w:rsidRPr="00DC1A5F">
        <w:rPr>
          <w:i/>
          <w:iCs/>
        </w:rPr>
        <w:t>surgirá</w:t>
      </w:r>
      <w:r w:rsidRPr="00DC1A5F">
        <w:t xml:space="preserve">” deberá interpretarse con todos sus términos, no sólo con los que comiencen con la aflicción; porque de lo contrario, cuando se dijese “Con la ignorancia como condición, las formaciones”, no se haría evidente lo que </w:t>
      </w:r>
      <w:r w:rsidRPr="00DC1A5F">
        <w:rPr>
          <w:i/>
          <w:iCs/>
        </w:rPr>
        <w:t>surgiese</w:t>
      </w:r>
      <w:r w:rsidRPr="00DC1A5F">
        <w:t>, sino al interpretarlo con las palabras “</w:t>
      </w:r>
      <w:r w:rsidRPr="00DC1A5F">
        <w:rPr>
          <w:i/>
          <w:iCs/>
        </w:rPr>
        <w:t>surgirá</w:t>
      </w:r>
      <w:r w:rsidRPr="00DC1A5F">
        <w:t xml:space="preserve">” (o </w:t>
      </w:r>
      <w:r w:rsidRPr="00DC1A5F">
        <w:rPr>
          <w:i/>
          <w:iCs/>
        </w:rPr>
        <w:t>surgirán</w:t>
      </w:r>
      <w:r w:rsidRPr="00DC1A5F">
        <w:t xml:space="preserve">), ya que “la ignorancia como condición” dará lugar a que “sea ignorancia y ello sea una condición”, en consecuencia [528] la definición de condición y del estado condicionalmente surgido se efectuará mediante las palabras “con la ignorancia como condición </w:t>
      </w:r>
      <w:r w:rsidRPr="00DC1A5F">
        <w:rPr>
          <w:i/>
          <w:iCs/>
        </w:rPr>
        <w:t xml:space="preserve">surgirá </w:t>
      </w:r>
      <w:r w:rsidRPr="00DC1A5F">
        <w:t>las formaciones”. Y así en cada caso.</w:t>
      </w:r>
    </w:p>
    <w:p w14:paraId="029E14D2" w14:textId="77777777" w:rsidR="00597DE2" w:rsidRPr="00DC1A5F" w:rsidRDefault="00597DE2" w:rsidP="00597DE2">
      <w:r w:rsidRPr="00DC1A5F">
        <w:t xml:space="preserve">50. </w:t>
      </w:r>
      <w:r w:rsidRPr="00DC1A5F">
        <w:tab/>
        <w:t xml:space="preserve">Así será el proceso descrito. A través de ello él expuso que es con la ignorancia, etc., como las causas y no mediante la creación por parte de ningún Señor Supremo, etc. De eso: de lo dicho. Entero: sin mezclar, completo. </w:t>
      </w:r>
      <w:r w:rsidRPr="00DC1A5F">
        <w:rPr>
          <w:i/>
          <w:iCs/>
        </w:rPr>
        <w:t>Masa de sufrimiento</w:t>
      </w:r>
      <w:r w:rsidRPr="00DC1A5F">
        <w:t xml:space="preserve">: totalidad del sufrimiento; no un ser vivo, no un placer, una belleza, etc. </w:t>
      </w:r>
      <w:r w:rsidRPr="00DC1A5F">
        <w:rPr>
          <w:i/>
          <w:iCs/>
        </w:rPr>
        <w:t>Surgimiento</w:t>
      </w:r>
      <w:r w:rsidRPr="00DC1A5F">
        <w:t xml:space="preserve">: generación. </w:t>
      </w:r>
      <w:r w:rsidRPr="00DC1A5F">
        <w:rPr>
          <w:i/>
          <w:iCs/>
        </w:rPr>
        <w:t>Surgirá</w:t>
      </w:r>
      <w:r w:rsidRPr="00DC1A5F">
        <w:t>: se producirá.</w:t>
      </w:r>
    </w:p>
    <w:p w14:paraId="0591602F" w14:textId="77777777" w:rsidR="00597DE2" w:rsidRPr="00DC1A5F" w:rsidRDefault="00597DE2" w:rsidP="00597DE2">
      <w:pPr>
        <w:pStyle w:val="NormalConSangria"/>
      </w:pPr>
      <w:r w:rsidRPr="00DC1A5F">
        <w:t>Así debe ser conocida aquí la exposición “en cuanto a su significado”.</w:t>
      </w:r>
    </w:p>
    <w:p w14:paraId="35239EC7" w14:textId="77777777" w:rsidR="00597DE2" w:rsidRPr="00DC1A5F" w:rsidRDefault="00597DE2" w:rsidP="00597DE2">
      <w:r w:rsidRPr="00DC1A5F">
        <w:t xml:space="preserve">51. </w:t>
      </w:r>
      <w:r w:rsidRPr="00DC1A5F">
        <w:tab/>
        <w:t xml:space="preserve">3. </w:t>
      </w:r>
      <w:r w:rsidRPr="00DC1A5F">
        <w:rPr>
          <w:i/>
          <w:iCs/>
        </w:rPr>
        <w:t>Según su</w:t>
      </w:r>
      <w:r w:rsidRPr="00DC1A5F">
        <w:t xml:space="preserve"> </w:t>
      </w:r>
      <w:r w:rsidRPr="00DC1A5F">
        <w:rPr>
          <w:i/>
          <w:iCs/>
        </w:rPr>
        <w:t>característica</w:t>
      </w:r>
      <w:r w:rsidRPr="00DC1A5F">
        <w:t xml:space="preserve">, etc.: en cuanto a las características de la ignorancia, etc., es decir, la </w:t>
      </w:r>
      <w:r w:rsidRPr="00DC1A5F">
        <w:rPr>
          <w:i/>
          <w:iCs/>
        </w:rPr>
        <w:t>ignorancia</w:t>
      </w:r>
      <w:r w:rsidRPr="00DC1A5F">
        <w:t xml:space="preserve"> tiene la </w:t>
      </w:r>
      <w:r w:rsidRPr="00DC1A5F">
        <w:rPr>
          <w:i/>
          <w:iCs/>
        </w:rPr>
        <w:t>característica</w:t>
      </w:r>
      <w:r w:rsidRPr="00DC1A5F">
        <w:t xml:space="preserve"> del no conocimiento. Su </w:t>
      </w:r>
      <w:r w:rsidRPr="00DC1A5F">
        <w:rPr>
          <w:i/>
          <w:iCs/>
        </w:rPr>
        <w:t>función</w:t>
      </w:r>
      <w:r w:rsidRPr="00DC1A5F">
        <w:t xml:space="preserve"> es confundir. Se </w:t>
      </w:r>
      <w:r w:rsidRPr="00DC1A5F">
        <w:rPr>
          <w:i/>
          <w:iCs/>
        </w:rPr>
        <w:t>manifiesta</w:t>
      </w:r>
      <w:r w:rsidRPr="00DC1A5F">
        <w:t xml:space="preserve"> como ocultamiento. Su </w:t>
      </w:r>
      <w:r w:rsidRPr="00DC1A5F">
        <w:rPr>
          <w:i/>
          <w:iCs/>
        </w:rPr>
        <w:t>causa próxima</w:t>
      </w:r>
      <w:r w:rsidRPr="00DC1A5F">
        <w:t xml:space="preserve"> son las corrupciones. Las </w:t>
      </w:r>
      <w:r w:rsidRPr="00DC1A5F">
        <w:rPr>
          <w:i/>
          <w:iCs/>
        </w:rPr>
        <w:t>formaciones</w:t>
      </w:r>
      <w:r w:rsidRPr="00DC1A5F">
        <w:t xml:space="preserve"> tienen la </w:t>
      </w:r>
      <w:r w:rsidRPr="00DC1A5F">
        <w:rPr>
          <w:i/>
          <w:iCs/>
        </w:rPr>
        <w:t>característica</w:t>
      </w:r>
      <w:r w:rsidRPr="00DC1A5F">
        <w:t xml:space="preserve"> de formarse. Su </w:t>
      </w:r>
      <w:r w:rsidRPr="00DC1A5F">
        <w:rPr>
          <w:i/>
          <w:iCs/>
        </w:rPr>
        <w:t>función</w:t>
      </w:r>
      <w:r w:rsidRPr="00DC1A5F">
        <w:t xml:space="preserve"> es acumularse.</w:t>
      </w:r>
      <w:r w:rsidRPr="00DC1A5F">
        <w:rPr>
          <w:vertAlign w:val="superscript"/>
        </w:rPr>
        <w:t>7</w:t>
      </w:r>
      <w:r w:rsidRPr="00DC1A5F">
        <w:t xml:space="preserve"> Se </w:t>
      </w:r>
      <w:r w:rsidRPr="00DC1A5F">
        <w:rPr>
          <w:i/>
          <w:iCs/>
        </w:rPr>
        <w:t>manifiestan</w:t>
      </w:r>
      <w:r w:rsidRPr="00DC1A5F">
        <w:t xml:space="preserve"> como volición. Su </w:t>
      </w:r>
      <w:r w:rsidRPr="00DC1A5F">
        <w:rPr>
          <w:i/>
          <w:iCs/>
        </w:rPr>
        <w:t>causa próxima</w:t>
      </w:r>
      <w:r w:rsidRPr="00DC1A5F">
        <w:t xml:space="preserve"> es la ignorancia. La </w:t>
      </w:r>
      <w:r w:rsidRPr="00DC1A5F">
        <w:rPr>
          <w:i/>
          <w:iCs/>
        </w:rPr>
        <w:t>consciencia</w:t>
      </w:r>
      <w:r w:rsidRPr="00DC1A5F">
        <w:t xml:space="preserve"> tiene la </w:t>
      </w:r>
      <w:r w:rsidRPr="00DC1A5F">
        <w:rPr>
          <w:i/>
          <w:iCs/>
        </w:rPr>
        <w:t>característica</w:t>
      </w:r>
      <w:r w:rsidRPr="00DC1A5F">
        <w:t xml:space="preserve"> de conocer. Su </w:t>
      </w:r>
      <w:r w:rsidRPr="00DC1A5F">
        <w:rPr>
          <w:i/>
          <w:iCs/>
        </w:rPr>
        <w:t>función</w:t>
      </w:r>
      <w:r w:rsidRPr="00DC1A5F">
        <w:t xml:space="preserve"> es anteponerse (ver </w:t>
      </w:r>
      <w:proofErr w:type="spellStart"/>
      <w:r w:rsidRPr="00DC1A5F">
        <w:t>Dhp</w:t>
      </w:r>
      <w:proofErr w:type="spellEnd"/>
      <w:r w:rsidRPr="00DC1A5F">
        <w:t xml:space="preserve"> 1). Se </w:t>
      </w:r>
      <w:r w:rsidRPr="00DC1A5F">
        <w:rPr>
          <w:i/>
          <w:iCs/>
        </w:rPr>
        <w:t>manifiesta</w:t>
      </w:r>
      <w:r w:rsidRPr="00DC1A5F">
        <w:t xml:space="preserve"> como el vínculo–de–renacimiento. Su </w:t>
      </w:r>
      <w:r w:rsidRPr="00DC1A5F">
        <w:rPr>
          <w:i/>
          <w:iCs/>
        </w:rPr>
        <w:t>causa próxima</w:t>
      </w:r>
      <w:r w:rsidRPr="00DC1A5F">
        <w:t xml:space="preserve"> son las formaciones; o su causa próxima es el objeto de la base física. La </w:t>
      </w:r>
      <w:r w:rsidRPr="00DC1A5F">
        <w:rPr>
          <w:i/>
          <w:iCs/>
        </w:rPr>
        <w:t>mentalidad</w:t>
      </w:r>
      <w:r w:rsidRPr="00DC1A5F">
        <w:t xml:space="preserve"> (</w:t>
      </w:r>
      <w:proofErr w:type="spellStart"/>
      <w:r w:rsidRPr="00DC1A5F">
        <w:rPr>
          <w:i/>
        </w:rPr>
        <w:t>nāma</w:t>
      </w:r>
      <w:proofErr w:type="spellEnd"/>
      <w:r w:rsidRPr="00DC1A5F">
        <w:t xml:space="preserve">) tiene la </w:t>
      </w:r>
      <w:r w:rsidRPr="00DC1A5F">
        <w:rPr>
          <w:i/>
          <w:iCs/>
        </w:rPr>
        <w:t>característica</w:t>
      </w:r>
      <w:r w:rsidRPr="00DC1A5F">
        <w:t xml:space="preserve"> de </w:t>
      </w:r>
      <w:proofErr w:type="spellStart"/>
      <w:r w:rsidRPr="00DC1A5F">
        <w:t>fexlionarse</w:t>
      </w:r>
      <w:proofErr w:type="spellEnd"/>
      <w:r w:rsidRPr="00DC1A5F">
        <w:t xml:space="preserve"> (</w:t>
      </w:r>
      <w:proofErr w:type="spellStart"/>
      <w:r w:rsidRPr="00DC1A5F">
        <w:rPr>
          <w:i/>
          <w:iCs/>
        </w:rPr>
        <w:t>namana</w:t>
      </w:r>
      <w:proofErr w:type="spellEnd"/>
      <w:r w:rsidRPr="00DC1A5F">
        <w:t xml:space="preserve">). Su </w:t>
      </w:r>
      <w:r w:rsidRPr="00DC1A5F">
        <w:rPr>
          <w:i/>
          <w:iCs/>
        </w:rPr>
        <w:t>función</w:t>
      </w:r>
      <w:r w:rsidRPr="00DC1A5F">
        <w:t xml:space="preserve"> es asociar. Se </w:t>
      </w:r>
      <w:r w:rsidRPr="00DC1A5F">
        <w:rPr>
          <w:i/>
          <w:iCs/>
        </w:rPr>
        <w:t>manifiesta</w:t>
      </w:r>
      <w:r w:rsidRPr="00DC1A5F">
        <w:t xml:space="preserve"> como inseparabilidad de sus componentes, [es decir, de los tres agregados]. Su </w:t>
      </w:r>
      <w:r w:rsidRPr="00DC1A5F">
        <w:rPr>
          <w:i/>
          <w:iCs/>
        </w:rPr>
        <w:t>causa próxima</w:t>
      </w:r>
      <w:r w:rsidRPr="00DC1A5F">
        <w:t xml:space="preserve"> es la consciencia. La </w:t>
      </w:r>
      <w:r w:rsidRPr="00DC1A5F">
        <w:rPr>
          <w:i/>
          <w:iCs/>
        </w:rPr>
        <w:t>materialidad</w:t>
      </w:r>
      <w:r w:rsidRPr="00DC1A5F">
        <w:t xml:space="preserve"> (</w:t>
      </w:r>
      <w:r w:rsidRPr="00DC1A5F">
        <w:rPr>
          <w:i/>
        </w:rPr>
        <w:t>rūpa</w:t>
      </w:r>
      <w:r w:rsidRPr="00DC1A5F">
        <w:t xml:space="preserve">) tiene la </w:t>
      </w:r>
      <w:r w:rsidRPr="00DC1A5F">
        <w:rPr>
          <w:i/>
          <w:iCs/>
        </w:rPr>
        <w:t>característica</w:t>
      </w:r>
      <w:r w:rsidRPr="00DC1A5F">
        <w:t xml:space="preserve"> de ser molestada (</w:t>
      </w:r>
      <w:proofErr w:type="spellStart"/>
      <w:r w:rsidRPr="00DC1A5F">
        <w:rPr>
          <w:i/>
          <w:iCs/>
        </w:rPr>
        <w:t>ruppana</w:t>
      </w:r>
      <w:proofErr w:type="spellEnd"/>
      <w:r w:rsidRPr="00DC1A5F">
        <w:t xml:space="preserve">). Su </w:t>
      </w:r>
      <w:r w:rsidRPr="00DC1A5F">
        <w:rPr>
          <w:i/>
          <w:iCs/>
        </w:rPr>
        <w:t>función</w:t>
      </w:r>
      <w:r w:rsidRPr="00DC1A5F">
        <w:t xml:space="preserve"> es dispersarse. Se </w:t>
      </w:r>
      <w:r w:rsidRPr="00DC1A5F">
        <w:rPr>
          <w:i/>
          <w:iCs/>
        </w:rPr>
        <w:t>manifiesta</w:t>
      </w:r>
      <w:r w:rsidRPr="00DC1A5F">
        <w:t xml:space="preserve"> como indeterminada, moralmente. Su </w:t>
      </w:r>
      <w:r w:rsidRPr="00DC1A5F">
        <w:rPr>
          <w:i/>
          <w:iCs/>
        </w:rPr>
        <w:t>causa próxima</w:t>
      </w:r>
      <w:r w:rsidRPr="00DC1A5F">
        <w:t xml:space="preserve"> es la consciencia. La </w:t>
      </w:r>
      <w:r w:rsidRPr="00DC1A5F">
        <w:rPr>
          <w:i/>
          <w:iCs/>
        </w:rPr>
        <w:t>base séxtuple</w:t>
      </w:r>
      <w:r w:rsidRPr="00DC1A5F">
        <w:t xml:space="preserve"> (</w:t>
      </w:r>
      <w:proofErr w:type="spellStart"/>
      <w:r w:rsidRPr="00DC1A5F">
        <w:rPr>
          <w:i/>
          <w:iCs/>
        </w:rPr>
        <w:t>saḷāyatana</w:t>
      </w:r>
      <w:proofErr w:type="spellEnd"/>
      <w:r w:rsidRPr="00DC1A5F">
        <w:t xml:space="preserve">) tiene la </w:t>
      </w:r>
      <w:r w:rsidRPr="00DC1A5F">
        <w:rPr>
          <w:i/>
          <w:iCs/>
        </w:rPr>
        <w:t>característica</w:t>
      </w:r>
      <w:r w:rsidRPr="00DC1A5F">
        <w:t xml:space="preserve"> de accionar (</w:t>
      </w:r>
      <w:proofErr w:type="spellStart"/>
      <w:r w:rsidRPr="00DC1A5F">
        <w:rPr>
          <w:i/>
          <w:iCs/>
        </w:rPr>
        <w:t>āyatana</w:t>
      </w:r>
      <w:proofErr w:type="spellEnd"/>
      <w:r w:rsidRPr="00DC1A5F">
        <w:t xml:space="preserve">). Su </w:t>
      </w:r>
      <w:r w:rsidRPr="00DC1A5F">
        <w:rPr>
          <w:i/>
          <w:iCs/>
        </w:rPr>
        <w:t>función</w:t>
      </w:r>
      <w:r w:rsidRPr="00DC1A5F">
        <w:t xml:space="preserve"> será ver, oír, etc. Se </w:t>
      </w:r>
      <w:r w:rsidRPr="00DC1A5F">
        <w:rPr>
          <w:i/>
          <w:iCs/>
        </w:rPr>
        <w:t>manifiesta</w:t>
      </w:r>
      <w:r w:rsidRPr="00DC1A5F">
        <w:t xml:space="preserve"> como el estado de la base física y las puertas. Su </w:t>
      </w:r>
      <w:r w:rsidRPr="00DC1A5F">
        <w:rPr>
          <w:i/>
          <w:iCs/>
        </w:rPr>
        <w:t>causa próxima</w:t>
      </w:r>
      <w:r w:rsidRPr="00DC1A5F">
        <w:t xml:space="preserve"> es la materialidad–mentalidad. El </w:t>
      </w:r>
      <w:r w:rsidRPr="00DC1A5F">
        <w:rPr>
          <w:i/>
          <w:iCs/>
        </w:rPr>
        <w:t>contacto</w:t>
      </w:r>
      <w:r w:rsidRPr="00DC1A5F">
        <w:t xml:space="preserve"> tiene la </w:t>
      </w:r>
      <w:r w:rsidRPr="00DC1A5F">
        <w:rPr>
          <w:i/>
          <w:iCs/>
        </w:rPr>
        <w:t>característica</w:t>
      </w:r>
      <w:r w:rsidRPr="00DC1A5F">
        <w:t xml:space="preserve"> de hacer contacto. Su </w:t>
      </w:r>
      <w:r w:rsidRPr="00DC1A5F">
        <w:rPr>
          <w:i/>
          <w:iCs/>
        </w:rPr>
        <w:t>función</w:t>
      </w:r>
      <w:r w:rsidRPr="00DC1A5F">
        <w:t xml:space="preserve"> es la de impactar. Se </w:t>
      </w:r>
      <w:r w:rsidRPr="00DC1A5F">
        <w:rPr>
          <w:i/>
          <w:iCs/>
        </w:rPr>
        <w:t>manifiesta</w:t>
      </w:r>
      <w:r w:rsidRPr="00DC1A5F">
        <w:t xml:space="preserve"> como coincidencia [de la base interna, la externa y la consciencia]. Su causa próxima es la base séxtuple. </w:t>
      </w:r>
      <w:r w:rsidRPr="00DC1A5F">
        <w:rPr>
          <w:i/>
          <w:iCs/>
        </w:rPr>
        <w:t>La sensación</w:t>
      </w:r>
      <w:r w:rsidRPr="00DC1A5F">
        <w:t xml:space="preserve"> tiene la </w:t>
      </w:r>
      <w:r w:rsidRPr="00DC1A5F">
        <w:rPr>
          <w:i/>
          <w:iCs/>
        </w:rPr>
        <w:t>característica</w:t>
      </w:r>
      <w:r w:rsidRPr="00DC1A5F">
        <w:t xml:space="preserve"> de experimentarse. Su </w:t>
      </w:r>
      <w:r w:rsidRPr="00DC1A5F">
        <w:rPr>
          <w:i/>
          <w:iCs/>
        </w:rPr>
        <w:t>función</w:t>
      </w:r>
      <w:r w:rsidRPr="00DC1A5F">
        <w:t xml:space="preserve"> es aprovechar el estímulo del campo objetivo. Se </w:t>
      </w:r>
      <w:r w:rsidRPr="00DC1A5F">
        <w:rPr>
          <w:i/>
          <w:iCs/>
        </w:rPr>
        <w:t>manifiesta</w:t>
      </w:r>
      <w:r w:rsidRPr="00DC1A5F">
        <w:t xml:space="preserve"> como placer y dolor. Su </w:t>
      </w:r>
      <w:r w:rsidRPr="00DC1A5F">
        <w:rPr>
          <w:i/>
          <w:iCs/>
        </w:rPr>
        <w:t>causa próxima</w:t>
      </w:r>
      <w:r w:rsidRPr="00DC1A5F">
        <w:t xml:space="preserve"> es el contacto. El </w:t>
      </w:r>
      <w:r w:rsidRPr="00DC1A5F">
        <w:rPr>
          <w:i/>
          <w:iCs/>
        </w:rPr>
        <w:t>deseo</w:t>
      </w:r>
      <w:r w:rsidRPr="00DC1A5F">
        <w:t xml:space="preserve"> tiene la </w:t>
      </w:r>
      <w:r w:rsidRPr="00DC1A5F">
        <w:rPr>
          <w:i/>
          <w:iCs/>
        </w:rPr>
        <w:t>característica</w:t>
      </w:r>
      <w:r w:rsidRPr="00DC1A5F">
        <w:t xml:space="preserve"> </w:t>
      </w:r>
    </w:p>
    <w:p w14:paraId="328F0F8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5527C94" w14:textId="77777777" w:rsidR="00597DE2" w:rsidRPr="00DC1A5F" w:rsidRDefault="00597DE2" w:rsidP="00597DE2">
      <w:pPr>
        <w:pStyle w:val="PiedepginaLegal"/>
        <w:numPr>
          <w:ilvl w:val="0"/>
          <w:numId w:val="6"/>
        </w:numPr>
        <w:tabs>
          <w:tab w:val="clear" w:pos="425"/>
        </w:tabs>
        <w:ind w:left="284" w:hanging="284"/>
      </w:pPr>
      <w:r w:rsidRPr="00DC1A5F">
        <w:rPr>
          <w:color w:val="auto"/>
          <w:u w:color="000000"/>
        </w:rPr>
        <w:t>“Las formaciones se ‘acumulan’, funcionan, con el propósito de conformar un renacimiento. Entonces ésa corresponderá a su función. Acumular significa amontonar. La función de la consciencia consiste en ‘</w:t>
      </w:r>
      <w:r w:rsidRPr="00DC1A5F">
        <w:rPr>
          <w:i/>
          <w:iCs/>
          <w:color w:val="auto"/>
          <w:u w:color="000000"/>
        </w:rPr>
        <w:t>ir con anterioridad’</w:t>
      </w:r>
      <w:r w:rsidRPr="00DC1A5F">
        <w:rPr>
          <w:color w:val="auto"/>
          <w:u w:color="000000"/>
        </w:rPr>
        <w:t>, ya que precederá a la mentalidad–materialidad del vínculo–de–renacimiento. La función de la mentalidad es ‘asociar’ ya que se unirá a la consciencia en un estado de reciprocidad.</w:t>
      </w:r>
      <w:r w:rsidRPr="00DC1A5F">
        <w:t xml:space="preserve"> </w:t>
      </w:r>
      <w:r w:rsidRPr="00DC1A5F">
        <w:rPr>
          <w:color w:val="auto"/>
          <w:u w:color="000000"/>
        </w:rPr>
        <w:t>La ‘inseparabilidad de sus componentes’ se deberá a que no tendrá una existencia independiente [aquí la mentalidad será la sensación, la percepción y las formaciones]. La materialidad será dispersable ya que no poseerá en sí misma nada más allá del elemento agua]que la mantenga absolutamente unida, por lo que ‘su función será dispersarse’; es por eso, que cuando se machacan los granos de arroz, etc., se esparcen y se reducen a polvo</w:t>
      </w:r>
      <w:r w:rsidRPr="00DC1A5F">
        <w:t>. Se le llama ‘</w:t>
      </w:r>
      <w:r w:rsidRPr="00DC1A5F">
        <w:rPr>
          <w:i/>
          <w:iCs/>
        </w:rPr>
        <w:t>indeterminada’</w:t>
      </w:r>
      <w:r w:rsidRPr="00DC1A5F">
        <w:t xml:space="preserve"> para distinguirla de la mentalidad, que será productiva, etc., en diferentes momentos” (</w:t>
      </w:r>
      <w:proofErr w:type="spellStart"/>
      <w:r w:rsidRPr="00DC1A5F">
        <w:t>Vism</w:t>
      </w:r>
      <w:proofErr w:type="spellEnd"/>
      <w:r w:rsidRPr="00DC1A5F">
        <w:t>–</w:t>
      </w:r>
      <w:proofErr w:type="spellStart"/>
      <w:r w:rsidRPr="00DC1A5F">
        <w:t>mhṭ</w:t>
      </w:r>
      <w:proofErr w:type="spellEnd"/>
      <w:r w:rsidRPr="00DC1A5F">
        <w:t xml:space="preserve"> 571).</w:t>
      </w:r>
    </w:p>
    <w:p w14:paraId="3881F825" w14:textId="77777777" w:rsidR="00597DE2" w:rsidRPr="00DC1A5F" w:rsidRDefault="00597DE2" w:rsidP="00597DE2">
      <w:pPr>
        <w:tabs>
          <w:tab w:val="clear" w:pos="425"/>
        </w:tabs>
        <w:spacing w:after="160"/>
      </w:pPr>
      <w:r w:rsidRPr="00DC1A5F">
        <w:br w:type="page"/>
      </w:r>
    </w:p>
    <w:p w14:paraId="6D197260" w14:textId="77777777" w:rsidR="00597DE2" w:rsidRPr="00DC1A5F" w:rsidRDefault="00597DE2" w:rsidP="00597DE2"/>
    <w:p w14:paraId="0445C79D" w14:textId="77777777" w:rsidR="00597DE2" w:rsidRPr="00DC1A5F" w:rsidRDefault="00597DE2" w:rsidP="00597DE2">
      <w:pPr>
        <w:pStyle w:val="Textoindependiente"/>
      </w:pPr>
      <w:r w:rsidRPr="00DC1A5F">
        <w:t xml:space="preserve">de ser la causa [es decir, del sufrimiento]. Su </w:t>
      </w:r>
      <w:r w:rsidRPr="00DC1A5F">
        <w:rPr>
          <w:i/>
          <w:iCs/>
        </w:rPr>
        <w:t>función</w:t>
      </w:r>
      <w:r w:rsidRPr="00DC1A5F">
        <w:t xml:space="preserve"> es complacer. Se </w:t>
      </w:r>
      <w:r w:rsidRPr="00DC1A5F">
        <w:rPr>
          <w:i/>
          <w:iCs/>
        </w:rPr>
        <w:t>manifiesta</w:t>
      </w:r>
      <w:r w:rsidRPr="00DC1A5F">
        <w:t xml:space="preserve"> como insaciabilidad. Su </w:t>
      </w:r>
      <w:r w:rsidRPr="00DC1A5F">
        <w:rPr>
          <w:i/>
          <w:iCs/>
        </w:rPr>
        <w:t>causa próxima</w:t>
      </w:r>
      <w:r w:rsidRPr="00DC1A5F">
        <w:t xml:space="preserve"> es la sensación. El </w:t>
      </w:r>
      <w:r w:rsidRPr="00DC1A5F">
        <w:rPr>
          <w:i/>
          <w:iCs/>
        </w:rPr>
        <w:t>apego</w:t>
      </w:r>
      <w:r w:rsidRPr="00DC1A5F">
        <w:t xml:space="preserve"> tiene la </w:t>
      </w:r>
      <w:r w:rsidRPr="00DC1A5F">
        <w:rPr>
          <w:i/>
          <w:iCs/>
        </w:rPr>
        <w:t>característica</w:t>
      </w:r>
      <w:r w:rsidRPr="00DC1A5F">
        <w:t xml:space="preserve"> de adherirse. Su </w:t>
      </w:r>
      <w:r w:rsidRPr="00DC1A5F">
        <w:rPr>
          <w:i/>
          <w:iCs/>
        </w:rPr>
        <w:t>función</w:t>
      </w:r>
      <w:r w:rsidRPr="00DC1A5F">
        <w:t xml:space="preserve"> es no liberarse. Se </w:t>
      </w:r>
      <w:r w:rsidRPr="00DC1A5F">
        <w:rPr>
          <w:i/>
          <w:iCs/>
        </w:rPr>
        <w:t>manifiesta</w:t>
      </w:r>
      <w:r w:rsidRPr="00DC1A5F">
        <w:t xml:space="preserve"> como una forma fuerte de deseo y como una visión incorrecta. Su causa próxima es el deseo. El </w:t>
      </w:r>
      <w:r w:rsidRPr="00DC1A5F">
        <w:rPr>
          <w:i/>
          <w:iCs/>
        </w:rPr>
        <w:t>devenir</w:t>
      </w:r>
      <w:r w:rsidRPr="00DC1A5F">
        <w:t xml:space="preserve"> tiene la </w:t>
      </w:r>
      <w:r w:rsidRPr="00DC1A5F">
        <w:rPr>
          <w:i/>
          <w:iCs/>
        </w:rPr>
        <w:t>característica</w:t>
      </w:r>
      <w:r w:rsidRPr="00DC1A5F">
        <w:t xml:space="preserve"> de corresponderá a un </w:t>
      </w:r>
      <w:proofErr w:type="spellStart"/>
      <w:r w:rsidRPr="00DC1A5F">
        <w:rPr>
          <w:i/>
        </w:rPr>
        <w:t>kamma</w:t>
      </w:r>
      <w:proofErr w:type="spellEnd"/>
      <w:r w:rsidRPr="00DC1A5F">
        <w:t xml:space="preserve"> y un </w:t>
      </w:r>
      <w:proofErr w:type="spellStart"/>
      <w:r w:rsidRPr="00DC1A5F">
        <w:rPr>
          <w:i/>
        </w:rPr>
        <w:t>kamma</w:t>
      </w:r>
      <w:proofErr w:type="spellEnd"/>
      <w:r w:rsidRPr="00DC1A5F">
        <w:t xml:space="preserve">–resultante. Su </w:t>
      </w:r>
      <w:r w:rsidRPr="00DC1A5F">
        <w:rPr>
          <w:i/>
          <w:iCs/>
        </w:rPr>
        <w:t>función</w:t>
      </w:r>
      <w:r w:rsidRPr="00DC1A5F">
        <w:t xml:space="preserve"> es la de producir el devenir y convertirse. Se </w:t>
      </w:r>
      <w:r w:rsidRPr="00DC1A5F">
        <w:rPr>
          <w:i/>
          <w:iCs/>
        </w:rPr>
        <w:t>manifiesta</w:t>
      </w:r>
      <w:r w:rsidRPr="00DC1A5F">
        <w:t xml:space="preserve"> como productivo, improductivo e indeterminado. Su </w:t>
      </w:r>
      <w:r w:rsidRPr="00DC1A5F">
        <w:rPr>
          <w:i/>
          <w:iCs/>
        </w:rPr>
        <w:t>causa próxima</w:t>
      </w:r>
      <w:r w:rsidRPr="00DC1A5F">
        <w:t xml:space="preserve"> es el apego. La </w:t>
      </w:r>
      <w:r w:rsidRPr="00DC1A5F">
        <w:rPr>
          <w:i/>
          <w:iCs/>
        </w:rPr>
        <w:t>característica</w:t>
      </w:r>
      <w:r w:rsidRPr="00DC1A5F">
        <w:t xml:space="preserve"> del nacimiento, vejez. etc., deberá entenderse como se expone en la Descripción de las Verdades (Cap. XVI. §32). Así deberá ser entendida aquí la exposición “según su característica, función, etc.”</w:t>
      </w:r>
    </w:p>
    <w:p w14:paraId="04077388" w14:textId="77777777" w:rsidR="00597DE2" w:rsidRPr="00DC1A5F" w:rsidRDefault="00597DE2" w:rsidP="00597DE2">
      <w:r w:rsidRPr="00DC1A5F">
        <w:t xml:space="preserve">52. </w:t>
      </w:r>
      <w:r w:rsidRPr="00DC1A5F">
        <w:tab/>
      </w:r>
      <w:r w:rsidRPr="00DC1A5F">
        <w:rPr>
          <w:i/>
          <w:iCs/>
        </w:rPr>
        <w:t>4.</w:t>
      </w:r>
      <w:r w:rsidRPr="00DC1A5F">
        <w:t xml:space="preserve"> </w:t>
      </w:r>
      <w:r w:rsidRPr="00DC1A5F">
        <w:rPr>
          <w:i/>
          <w:iCs/>
        </w:rPr>
        <w:t>En cuanto a un, dos, … tipos</w:t>
      </w:r>
      <w:r w:rsidRPr="00DC1A5F">
        <w:t xml:space="preserve">: aquí la </w:t>
      </w:r>
      <w:r w:rsidRPr="00DC1A5F">
        <w:rPr>
          <w:i/>
          <w:iCs/>
        </w:rPr>
        <w:t>ignorancia</w:t>
      </w:r>
      <w:r w:rsidRPr="00DC1A5F">
        <w:t xml:space="preserve"> será de un tipo como lo desconocido, lo no visto, lo ilusivo, etc. Será de 2 tipos como “sin ninguna teoría” o “con una teoría incorrecta” (cf. §303);</w:t>
      </w:r>
      <w:r w:rsidRPr="00DC1A5F">
        <w:rPr>
          <w:vertAlign w:val="superscript"/>
        </w:rPr>
        <w:t>8</w:t>
      </w:r>
      <w:r w:rsidRPr="00DC1A5F">
        <w:t xml:space="preserve"> Del mismo modo, como incitada o espontánea. Será de 3 tipos como las asociadas a los tres tipos de sensaciones. Será de 4 tipos como no–penetración en ninguna de las cuatro verdades. Será de 5 tipos como las que oculten el peligro en los cinco tipos de destinos. [529] Sin embargo, deberá entenderse que todos los factores inmateriales de la originación dependiente poseerán una naturaleza de 6 tipos con respecto a las 6 puertas y sus respectivos objetos.</w:t>
      </w:r>
    </w:p>
    <w:p w14:paraId="2CE7E34D" w14:textId="77777777" w:rsidR="00597DE2" w:rsidRPr="00DC1A5F" w:rsidRDefault="00597DE2" w:rsidP="00597DE2">
      <w:r w:rsidRPr="00DC1A5F">
        <w:t xml:space="preserve">53. </w:t>
      </w:r>
      <w:r w:rsidRPr="00DC1A5F">
        <w:tab/>
        <w:t xml:space="preserve">Las </w:t>
      </w:r>
      <w:r w:rsidRPr="00DC1A5F">
        <w:rPr>
          <w:i/>
          <w:iCs/>
        </w:rPr>
        <w:t>formaciones</w:t>
      </w:r>
      <w:r w:rsidRPr="00DC1A5F">
        <w:t xml:space="preserve"> serán de un tipo como estados sujetos a corrupciones (DHS 3), como estados con la naturaleza de un resultado (DHS 1), etc. (cf. </w:t>
      </w:r>
      <w:proofErr w:type="spellStart"/>
      <w:r w:rsidRPr="00DC1A5F">
        <w:t>Vibh</w:t>
      </w:r>
      <w:proofErr w:type="spellEnd"/>
      <w:r w:rsidRPr="00DC1A5F">
        <w:t xml:space="preserve"> 62).</w:t>
      </w:r>
      <w:r w:rsidRPr="00DC1A5F">
        <w:rPr>
          <w:vertAlign w:val="superscript"/>
        </w:rPr>
        <w:t>9</w:t>
      </w:r>
      <w:r w:rsidRPr="00DC1A5F">
        <w:t xml:space="preserve"> Serán de 2 tipos como productivas e improductivas; Del mismo modo, como limitada o excelsa, como inferior o media, como con la certeza de lo incorrecto o su incerteza. Serán de 3 tipos como formación meritoria y el resto. De 4 tipos como los conducentes hacia los 4 tipos de generación. De 5 tipos como los conducentes hacia los 5 tipos de destino.</w:t>
      </w:r>
    </w:p>
    <w:p w14:paraId="5707D1F8" w14:textId="77777777" w:rsidR="00597DE2" w:rsidRPr="00DC1A5F" w:rsidRDefault="00597DE2" w:rsidP="00597DE2">
      <w:r w:rsidRPr="00DC1A5F">
        <w:t xml:space="preserve">54. </w:t>
      </w:r>
      <w:r w:rsidRPr="00DC1A5F">
        <w:tab/>
        <w:t xml:space="preserve">La </w:t>
      </w:r>
      <w:r w:rsidRPr="00DC1A5F">
        <w:rPr>
          <w:i/>
          <w:iCs/>
        </w:rPr>
        <w:t>consciencia</w:t>
      </w:r>
      <w:r w:rsidRPr="00DC1A5F">
        <w:t xml:space="preserve"> será de un solo tipo como mundana (DHS 3), como resultante (DHS 1), etc. De 2 tipos como con causa–raíz o sin causa–raíz, etc. De 3 tipos como la incluida en los tres tipos de devenir; como asociado con los 3 tipos de sensaciones; y como asociado con seres sin ninguna causa–raíz, con 2 </w:t>
      </w:r>
      <w:proofErr w:type="gramStart"/>
      <w:r w:rsidRPr="00DC1A5F">
        <w:t>causas raíces</w:t>
      </w:r>
      <w:proofErr w:type="gramEnd"/>
      <w:r w:rsidRPr="00DC1A5F">
        <w:t xml:space="preserve"> y con 3 causas raíces. Será de 4 y 5 tipos, según la generación y el destino, respectivamente.</w:t>
      </w:r>
    </w:p>
    <w:p w14:paraId="620EFE7E" w14:textId="77777777" w:rsidR="00597DE2" w:rsidRPr="00DC1A5F" w:rsidRDefault="00597DE2" w:rsidP="00597DE2">
      <w:r w:rsidRPr="00DC1A5F">
        <w:t xml:space="preserve">55. </w:t>
      </w:r>
      <w:r w:rsidRPr="00DC1A5F">
        <w:tab/>
        <w:t xml:space="preserve">La </w:t>
      </w:r>
      <w:r w:rsidRPr="00DC1A5F">
        <w:rPr>
          <w:i/>
          <w:iCs/>
        </w:rPr>
        <w:t>materialidad–mentalidad</w:t>
      </w:r>
      <w:r w:rsidRPr="00DC1A5F">
        <w:t xml:space="preserve"> será de un solo tipo como dependiente de la consciencia y como poseedora del </w:t>
      </w:r>
      <w:proofErr w:type="spellStart"/>
      <w:r w:rsidRPr="00DC1A5F">
        <w:rPr>
          <w:i/>
        </w:rPr>
        <w:t>kamma</w:t>
      </w:r>
      <w:proofErr w:type="spellEnd"/>
      <w:r w:rsidRPr="00DC1A5F">
        <w:t xml:space="preserve"> como su condición. De d2os tipos como poseedora de un objeto, en el caso de la mentalidad, y por no poseer ningún objeto, en el caso de la materialidad. De 3 tipos como pasada, presente y futura. De 4 y 5 tipos según la generación y el destino, respectivamente.</w:t>
      </w:r>
    </w:p>
    <w:p w14:paraId="74461B1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08A09BD" w14:textId="77777777" w:rsidR="00597DE2" w:rsidRPr="00DC1A5F" w:rsidRDefault="00597DE2" w:rsidP="00597DE2">
      <w:pPr>
        <w:pStyle w:val="PiedepginaLegal"/>
        <w:numPr>
          <w:ilvl w:val="0"/>
          <w:numId w:val="6"/>
        </w:numPr>
        <w:tabs>
          <w:tab w:val="clear" w:pos="425"/>
        </w:tabs>
        <w:ind w:left="284" w:hanging="284"/>
      </w:pPr>
      <w:r w:rsidRPr="00DC1A5F">
        <w:t xml:space="preserve">“La ignorancia </w:t>
      </w:r>
      <w:r w:rsidRPr="00DC1A5F">
        <w:rPr>
          <w:i/>
          <w:iCs/>
        </w:rPr>
        <w:t>’Sin ninguna teoría’</w:t>
      </w:r>
      <w:r w:rsidRPr="00DC1A5F">
        <w:t xml:space="preserve"> desconoce al sufrimiento, etc., la ignorancia ‘</w:t>
      </w:r>
      <w:r w:rsidRPr="00DC1A5F">
        <w:rPr>
          <w:i/>
          <w:iCs/>
        </w:rPr>
        <w:t>con una teoría incorrecta</w:t>
      </w:r>
      <w:r w:rsidRPr="00DC1A5F">
        <w:t>’ se refiere a una percepción pervertida sobre lo que sea repugnante, etc., hermoso, etc., o bien la ignorancia ‘</w:t>
      </w:r>
      <w:r w:rsidRPr="00DC1A5F">
        <w:rPr>
          <w:i/>
          <w:iCs/>
        </w:rPr>
        <w:t>sin ninguna teoría’</w:t>
      </w:r>
      <w:r w:rsidRPr="00DC1A5F">
        <w:t xml:space="preserve"> no está asociada con una visión incorrecta, y la correspondiente a ‘</w:t>
      </w:r>
      <w:r w:rsidRPr="00DC1A5F">
        <w:rPr>
          <w:i/>
          <w:iCs/>
        </w:rPr>
        <w:t>con una teoría incorrecta</w:t>
      </w:r>
      <w:r w:rsidRPr="00DC1A5F">
        <w:t>’ sí está asociada con ella” (</w:t>
      </w:r>
      <w:proofErr w:type="spellStart"/>
      <w:r w:rsidRPr="00DC1A5F">
        <w:t>Vism</w:t>
      </w:r>
      <w:proofErr w:type="spellEnd"/>
      <w:r w:rsidRPr="00DC1A5F">
        <w:t>–</w:t>
      </w:r>
      <w:proofErr w:type="spellStart"/>
      <w:r w:rsidRPr="00DC1A5F">
        <w:t>mhṭ</w:t>
      </w:r>
      <w:proofErr w:type="spellEnd"/>
      <w:r w:rsidRPr="00DC1A5F">
        <w:t xml:space="preserve"> 751). Este uso de la palabra </w:t>
      </w:r>
      <w:proofErr w:type="spellStart"/>
      <w:r w:rsidRPr="00DC1A5F">
        <w:rPr>
          <w:i/>
          <w:iCs/>
        </w:rPr>
        <w:t>paṭipatti</w:t>
      </w:r>
      <w:proofErr w:type="spellEnd"/>
      <w:r w:rsidRPr="00DC1A5F">
        <w:t xml:space="preserve"> como “teoría”, raro en </w:t>
      </w:r>
      <w:r w:rsidRPr="00DC1A5F">
        <w:rPr>
          <w:i/>
          <w:iCs/>
        </w:rPr>
        <w:t>Pāḷi</w:t>
      </w:r>
      <w:r w:rsidRPr="00DC1A5F">
        <w:t xml:space="preserve"> pero encontrado en el </w:t>
      </w:r>
      <w:proofErr w:type="spellStart"/>
      <w:r w:rsidRPr="00DC1A5F">
        <w:rPr>
          <w:i/>
          <w:iCs/>
        </w:rPr>
        <w:t>sānscrito</w:t>
      </w:r>
      <w:proofErr w:type="spellEnd"/>
      <w:r w:rsidRPr="00DC1A5F">
        <w:t>, no se encuentra en el PED. Una traducción alternativa para estos dos términos podría ser “agnosticismo” y “superstición” (ver también XIV.163, 177).</w:t>
      </w:r>
    </w:p>
    <w:p w14:paraId="0AA45D1F" w14:textId="77777777" w:rsidR="00597DE2" w:rsidRPr="00DC1A5F" w:rsidRDefault="00597DE2" w:rsidP="00597DE2">
      <w:pPr>
        <w:pStyle w:val="PiedepginaLegal"/>
        <w:numPr>
          <w:ilvl w:val="0"/>
          <w:numId w:val="6"/>
        </w:numPr>
        <w:tabs>
          <w:tab w:val="clear" w:pos="425"/>
        </w:tabs>
        <w:ind w:left="284" w:hanging="284"/>
        <w:rPr>
          <w:color w:val="auto"/>
          <w:u w:color="000000"/>
        </w:rPr>
      </w:pPr>
      <w:r w:rsidRPr="00DC1A5F">
        <w:rPr>
          <w:color w:val="auto"/>
          <w:u w:color="000000"/>
        </w:rPr>
        <w:t>“‘</w:t>
      </w:r>
      <w:r w:rsidRPr="00DC1A5F">
        <w:rPr>
          <w:i/>
          <w:iCs/>
          <w:color w:val="auto"/>
          <w:u w:color="000000"/>
        </w:rPr>
        <w:t>Con la naturaleza del resultado, etc.’</w:t>
      </w:r>
      <w:r w:rsidRPr="00DC1A5F">
        <w:rPr>
          <w:color w:val="auto"/>
          <w:u w:color="000000"/>
        </w:rPr>
        <w:t>: la palabra ‘</w:t>
      </w:r>
      <w:r w:rsidRPr="00DC1A5F">
        <w:rPr>
          <w:i/>
          <w:iCs/>
          <w:color w:val="auto"/>
          <w:u w:color="000000"/>
        </w:rPr>
        <w:t>etc</w:t>
      </w:r>
      <w:r w:rsidRPr="00DC1A5F">
        <w:rPr>
          <w:color w:val="auto"/>
          <w:u w:color="000000"/>
        </w:rPr>
        <w:t>.’ incluye aquí ‘no–instructor–ni–no–instructor’ (</w:t>
      </w:r>
      <w:proofErr w:type="spellStart"/>
      <w:r w:rsidRPr="00DC1A5F">
        <w:rPr>
          <w:color w:val="auto"/>
          <w:u w:color="000000"/>
        </w:rPr>
        <w:t>Dhs</w:t>
      </w:r>
      <w:proofErr w:type="spellEnd"/>
      <w:r w:rsidRPr="00DC1A5F">
        <w:rPr>
          <w:color w:val="auto"/>
          <w:u w:color="000000"/>
        </w:rPr>
        <w:t xml:space="preserve"> 2) ‘conducente a los grilletes’ (</w:t>
      </w:r>
      <w:proofErr w:type="spellStart"/>
      <w:r w:rsidRPr="00DC1A5F">
        <w:rPr>
          <w:color w:val="auto"/>
          <w:u w:color="000000"/>
        </w:rPr>
        <w:t>Dhs</w:t>
      </w:r>
      <w:proofErr w:type="spellEnd"/>
      <w:r w:rsidRPr="00DC1A5F">
        <w:rPr>
          <w:color w:val="auto"/>
          <w:u w:color="000000"/>
        </w:rPr>
        <w:t xml:space="preserve"> 3), etc. [§54] ‘Resultante mundano, etc.’: la palabra ‘</w:t>
      </w:r>
      <w:r w:rsidRPr="00DC1A5F">
        <w:rPr>
          <w:i/>
          <w:iCs/>
          <w:color w:val="auto"/>
          <w:u w:color="000000"/>
        </w:rPr>
        <w:t>etc</w:t>
      </w:r>
      <w:r w:rsidRPr="00DC1A5F">
        <w:rPr>
          <w:color w:val="auto"/>
          <w:u w:color="000000"/>
        </w:rPr>
        <w:t>.’ aquí incluye ‘indeterminado’ (</w:t>
      </w:r>
      <w:proofErr w:type="spellStart"/>
      <w:r w:rsidRPr="00DC1A5F">
        <w:rPr>
          <w:color w:val="auto"/>
          <w:u w:color="000000"/>
        </w:rPr>
        <w:t>Dhs</w:t>
      </w:r>
      <w:proofErr w:type="spellEnd"/>
      <w:r w:rsidRPr="00DC1A5F">
        <w:rPr>
          <w:color w:val="auto"/>
          <w:u w:color="000000"/>
        </w:rPr>
        <w:t xml:space="preserve"> 2), ‘formado’ (</w:t>
      </w:r>
      <w:proofErr w:type="spellStart"/>
      <w:r w:rsidRPr="00DC1A5F">
        <w:rPr>
          <w:color w:val="auto"/>
          <w:u w:color="000000"/>
        </w:rPr>
        <w:t>Dhs</w:t>
      </w:r>
      <w:proofErr w:type="spellEnd"/>
      <w:r w:rsidRPr="00DC1A5F">
        <w:rPr>
          <w:color w:val="auto"/>
          <w:u w:color="000000"/>
        </w:rPr>
        <w:t xml:space="preserve"> 2), etc. ‘Con causa–raíz y sin causa–raíz, etc.’: la palabra ‘</w:t>
      </w:r>
      <w:r w:rsidRPr="00DC1A5F">
        <w:rPr>
          <w:i/>
          <w:iCs/>
          <w:color w:val="auto"/>
          <w:u w:color="000000"/>
        </w:rPr>
        <w:t>etc</w:t>
      </w:r>
      <w:r w:rsidRPr="00DC1A5F">
        <w:rPr>
          <w:color w:val="auto"/>
          <w:u w:color="000000"/>
        </w:rPr>
        <w:t>.’ aquí incluye ‘incitado’, ‘espontáneo’, etc.”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w:t>
      </w:r>
    </w:p>
    <w:p w14:paraId="5E953059" w14:textId="77777777" w:rsidR="00597DE2" w:rsidRPr="00DC1A5F" w:rsidRDefault="00597DE2" w:rsidP="00597DE2">
      <w:pPr>
        <w:pStyle w:val="PiedepginaLegal"/>
        <w:tabs>
          <w:tab w:val="clear" w:pos="425"/>
        </w:tabs>
      </w:pPr>
    </w:p>
    <w:p w14:paraId="1C6CA81E" w14:textId="77777777" w:rsidR="00597DE2" w:rsidRPr="00DC1A5F" w:rsidRDefault="00597DE2" w:rsidP="00597DE2">
      <w:pPr>
        <w:tabs>
          <w:tab w:val="clear" w:pos="425"/>
        </w:tabs>
        <w:spacing w:after="160"/>
      </w:pPr>
      <w:r w:rsidRPr="00DC1A5F">
        <w:br w:type="page"/>
      </w:r>
    </w:p>
    <w:p w14:paraId="0F7A3BF3" w14:textId="77777777" w:rsidR="00597DE2" w:rsidRPr="00DC1A5F" w:rsidRDefault="00597DE2" w:rsidP="00597DE2">
      <w:r w:rsidRPr="00DC1A5F">
        <w:lastRenderedPageBreak/>
        <w:t xml:space="preserve">56. </w:t>
      </w:r>
      <w:r w:rsidRPr="00DC1A5F">
        <w:tab/>
      </w:r>
      <w:r w:rsidRPr="00DC1A5F">
        <w:rPr>
          <w:i/>
          <w:iCs/>
        </w:rPr>
        <w:t>La base séxtuple</w:t>
      </w:r>
      <w:r w:rsidRPr="00DC1A5F">
        <w:t xml:space="preserve"> será de un tipo como lugar de origen y reunión. De 2 tipos como sensibilidad hacia los elementos primarios y como consciencia de la sexta base, y así sucesivamente. De 3 tipos porque poseerá como dominio los campos objetivos contiguos, no contiguos y ninguno de los anteriores (ver XIV.46). De 4 y 5 tipos según la generación y el destino, respectivamente.</w:t>
      </w:r>
    </w:p>
    <w:p w14:paraId="5F5AA3D4" w14:textId="77777777" w:rsidR="00597DE2" w:rsidRPr="00DC1A5F" w:rsidRDefault="00597DE2" w:rsidP="00597DE2">
      <w:pPr>
        <w:pStyle w:val="NormalConSangria"/>
      </w:pPr>
      <w:r w:rsidRPr="00DC1A5F">
        <w:t xml:space="preserve">De uno, dos, … tipos, con respecto al </w:t>
      </w:r>
      <w:r w:rsidRPr="00DC1A5F">
        <w:rPr>
          <w:i/>
          <w:iCs/>
        </w:rPr>
        <w:t>contacto</w:t>
      </w:r>
      <w:r w:rsidRPr="00DC1A5F">
        <w:t xml:space="preserve">, </w:t>
      </w:r>
      <w:r w:rsidRPr="00DC1A5F">
        <w:rPr>
          <w:i/>
          <w:iCs/>
        </w:rPr>
        <w:t xml:space="preserve">la sensación </w:t>
      </w:r>
      <w:r w:rsidRPr="00DC1A5F">
        <w:t>etc., deberá entenderse también de la misma manera.</w:t>
      </w:r>
    </w:p>
    <w:p w14:paraId="334BF1F4" w14:textId="77777777" w:rsidR="00597DE2" w:rsidRPr="00DC1A5F" w:rsidRDefault="00597DE2" w:rsidP="00597DE2">
      <w:pPr>
        <w:pStyle w:val="NormalConSangria"/>
      </w:pPr>
      <w:r w:rsidRPr="00DC1A5F">
        <w:t>Así es como la exposición deberá ser entendida aquí “en cuanto a de uno, dos, … tipos”.</w:t>
      </w:r>
    </w:p>
    <w:p w14:paraId="038DF3BD" w14:textId="77777777" w:rsidR="00597DE2" w:rsidRPr="00DC1A5F" w:rsidRDefault="00597DE2" w:rsidP="00597DE2">
      <w:r w:rsidRPr="00DC1A5F">
        <w:t xml:space="preserve">57. </w:t>
      </w:r>
      <w:r w:rsidRPr="00DC1A5F">
        <w:tab/>
        <w:t xml:space="preserve">5. </w:t>
      </w:r>
      <w:r w:rsidRPr="00DC1A5F">
        <w:rPr>
          <w:i/>
          <w:iCs/>
        </w:rPr>
        <w:t>En cuanto a la definición de los factores</w:t>
      </w:r>
      <w:r w:rsidRPr="00DC1A5F">
        <w:t xml:space="preserve">: la aflicción, lamentación, etc., se establecerán aquí con el propósito de exponer que la Rueda del Devenir nunca se detiene; porque se producirá en el necio que se encuentre afligido por la vejez y la muerte, según lo que se dice al respecto: “El hombre ordinario e ignorante, </w:t>
      </w:r>
      <w:proofErr w:type="spellStart"/>
      <w:r w:rsidRPr="00DC1A5F">
        <w:rPr>
          <w:i/>
        </w:rPr>
        <w:t>bhikkhu</w:t>
      </w:r>
      <w:r w:rsidRPr="00DC1A5F">
        <w:t>s</w:t>
      </w:r>
      <w:proofErr w:type="spellEnd"/>
      <w:r w:rsidRPr="00DC1A5F">
        <w:t xml:space="preserve">, al ser tocado por una sensación corporal dolorosa, se entristece, se aflige y se lamenta, golpeándose el pecho, llora y se lamenta. se angustia” (M III 285; S IV 206). Y mientras estos continúen ocurriendo, continuará la ignorancia y así, la Rueda del Devenir renovará su revolución: “Con la ignorancia como condición se originan las formaciones” y así sucesivamente. Es por eso </w:t>
      </w:r>
      <w:proofErr w:type="gramStart"/>
      <w:r w:rsidRPr="00DC1A5F">
        <w:t>que</w:t>
      </w:r>
      <w:proofErr w:type="gramEnd"/>
      <w:r w:rsidRPr="00DC1A5F">
        <w:t xml:space="preserve"> los factores de la originación dependiente deberán entenderse como doce al adoptar la aflicción, lamentación, etc. junto con el envejecimiento y la muerte como un resumen. Así deberá ser entendida aquí la exposición “en cuanto a la definición de los factores”.</w:t>
      </w:r>
    </w:p>
    <w:p w14:paraId="77CC41D2" w14:textId="77777777" w:rsidR="00597DE2" w:rsidRPr="00DC1A5F" w:rsidRDefault="00597DE2" w:rsidP="00597DE2">
      <w:r w:rsidRPr="00DC1A5F">
        <w:t xml:space="preserve">58. </w:t>
      </w:r>
      <w:r w:rsidRPr="00DC1A5F">
        <w:tab/>
        <w:t>Éste, en primer lugar, corresponderá al tratamiento en resumen. El siguiente método, sin embargo, se expondrá en detalle.</w:t>
      </w:r>
    </w:p>
    <w:p w14:paraId="7205FCEA" w14:textId="77777777" w:rsidR="00597DE2" w:rsidRPr="00DC1A5F" w:rsidRDefault="00597DE2" w:rsidP="00597DE2">
      <w:pPr>
        <w:pStyle w:val="Ttulo5"/>
      </w:pPr>
      <w:r w:rsidRPr="00DC1A5F">
        <w:t>[III. Exposición detallada]</w:t>
      </w:r>
    </w:p>
    <w:p w14:paraId="6AC47EF0" w14:textId="77777777" w:rsidR="00597DE2" w:rsidRPr="00DC1A5F" w:rsidRDefault="00597DE2" w:rsidP="00597DE2">
      <w:pPr>
        <w:pStyle w:val="Ttulo6"/>
      </w:pPr>
      <w:r w:rsidRPr="00DC1A5F">
        <w:t>[(i) La Ignorancia]</w:t>
      </w:r>
    </w:p>
    <w:p w14:paraId="0F46A69D" w14:textId="77777777" w:rsidR="00597DE2" w:rsidRPr="00DC1A5F" w:rsidRDefault="00597DE2" w:rsidP="00597DE2">
      <w:pPr>
        <w:pStyle w:val="Textoindependiente"/>
      </w:pPr>
      <w:r w:rsidRPr="00DC1A5F">
        <w:t xml:space="preserve">Según el método </w:t>
      </w:r>
      <w:proofErr w:type="spellStart"/>
      <w:r w:rsidRPr="00DC1A5F">
        <w:rPr>
          <w:i/>
          <w:iCs/>
        </w:rPr>
        <w:t>Suttanta</w:t>
      </w:r>
      <w:proofErr w:type="spellEnd"/>
      <w:r w:rsidRPr="00DC1A5F">
        <w:t xml:space="preserve"> [530], la ignorancia corresponderá al desconocimiento de las cuatro nobles verdades que comienzan con el sufrimiento. </w:t>
      </w:r>
      <w:proofErr w:type="gramStart"/>
      <w:r w:rsidRPr="00DC1A5F">
        <w:t>De acuerdo al</w:t>
      </w:r>
      <w:proofErr w:type="gramEnd"/>
      <w:r w:rsidRPr="00DC1A5F">
        <w:t xml:space="preserve"> método </w:t>
      </w:r>
      <w:proofErr w:type="spellStart"/>
      <w:r w:rsidRPr="00DC1A5F">
        <w:rPr>
          <w:i/>
          <w:iCs/>
        </w:rPr>
        <w:t>Abhidhamma</w:t>
      </w:r>
      <w:proofErr w:type="spellEnd"/>
      <w:r w:rsidRPr="00DC1A5F">
        <w:t xml:space="preserve">, el desconocimiento se da con respecto a las ocho verdades [es decir, las cuatro mencionadas anteriormente] junto con [las cuatro] que comienzan con el pasado; ya que esto se dice al respecto: “Aquí, ¿qué es la ignorancia? Es el desconocimiento del sufrimiento, [el desconocimiento del origen del sufrimiento, el desconocimiento de la cesación del sufrimiento, el desconocimiento del sendero que conduce a la cesación del sufrimiento], el desconocimiento del pasado, el desconocimiento del futuro, el desconocimiento conjunto del pasado y del futuro, el desconocimiento de la condicionalidad específica y de los estados surgidos condicionalmente” (cf. </w:t>
      </w:r>
      <w:proofErr w:type="spellStart"/>
      <w:r w:rsidRPr="00DC1A5F">
        <w:t>Dhs</w:t>
      </w:r>
      <w:proofErr w:type="spellEnd"/>
      <w:r w:rsidRPr="00DC1A5F">
        <w:t xml:space="preserve"> §1162).</w:t>
      </w:r>
    </w:p>
    <w:p w14:paraId="24729E64" w14:textId="77777777" w:rsidR="00597DE2" w:rsidRPr="00DC1A5F" w:rsidRDefault="00597DE2" w:rsidP="00597DE2">
      <w:pPr>
        <w:pStyle w:val="Textoindependiente"/>
      </w:pPr>
      <w:r w:rsidRPr="00DC1A5F">
        <w:t xml:space="preserve">59. </w:t>
      </w:r>
      <w:r w:rsidRPr="00DC1A5F">
        <w:tab/>
        <w:t xml:space="preserve">Aquí, mientras que la ignorancia sobre cualquier verdad que no sea las dos verdades supramundanas también podrá surgir como objeto (ver §102), no obstante, aquí solo se pretenderá [subjetivamente] como ocultamiento. Ya que cuando surja así, mantendrá oculta la verdad del </w:t>
      </w:r>
      <w:r w:rsidRPr="00DC1A5F">
        <w:rPr>
          <w:i/>
          <w:iCs/>
        </w:rPr>
        <w:t>sufrimiento</w:t>
      </w:r>
      <w:r w:rsidRPr="00DC1A5F">
        <w:t xml:space="preserve">, impidiendo la penetración dentro de la verdadera funcionalidad individual y característica de esa verdad. Del mismo modo, el origen, la cesación y el sendero, los cinco agregados pasados ​​llamados </w:t>
      </w:r>
      <w:r w:rsidRPr="00DC1A5F">
        <w:rPr>
          <w:i/>
          <w:iCs/>
        </w:rPr>
        <w:t>el pasado</w:t>
      </w:r>
      <w:r w:rsidRPr="00DC1A5F">
        <w:t xml:space="preserve">, los cinco agregados venideros llamados </w:t>
      </w:r>
      <w:r w:rsidRPr="00DC1A5F">
        <w:rPr>
          <w:i/>
          <w:iCs/>
        </w:rPr>
        <w:t>el futuro</w:t>
      </w:r>
      <w:r w:rsidRPr="00DC1A5F">
        <w:t xml:space="preserve">, ambos conjuntamente llamados </w:t>
      </w:r>
      <w:r w:rsidRPr="00DC1A5F">
        <w:rPr>
          <w:i/>
          <w:iCs/>
        </w:rPr>
        <w:t>el</w:t>
      </w:r>
      <w:r w:rsidRPr="00DC1A5F">
        <w:t xml:space="preserve"> </w:t>
      </w:r>
      <w:r w:rsidRPr="00DC1A5F">
        <w:rPr>
          <w:i/>
          <w:iCs/>
        </w:rPr>
        <w:t>pasado y el futuro</w:t>
      </w:r>
      <w:r w:rsidRPr="00DC1A5F">
        <w:t xml:space="preserve">, y tanto la condicionalidad específica como los estados surgidos condicionalmente serán denominadas conjuntamente </w:t>
      </w:r>
      <w:r w:rsidRPr="00DC1A5F">
        <w:rPr>
          <w:i/>
          <w:iCs/>
        </w:rPr>
        <w:t>condicionalidad específica y estados surgidos condicionalmente</w:t>
      </w:r>
      <w:r w:rsidRPr="00DC1A5F">
        <w:t xml:space="preserve">. —lo cual se mantendrá totalmente oculto, impidiendo que se penetren </w:t>
      </w:r>
      <w:r w:rsidRPr="00DC1A5F">
        <w:br w:type="page"/>
      </w:r>
    </w:p>
    <w:p w14:paraId="5C33357F" w14:textId="77777777" w:rsidR="00597DE2" w:rsidRPr="00DC1A5F" w:rsidRDefault="00597DE2" w:rsidP="00597DE2">
      <w:pPr>
        <w:pStyle w:val="Textoindependiente"/>
      </w:pPr>
      <w:r w:rsidRPr="00DC1A5F">
        <w:lastRenderedPageBreak/>
        <w:t xml:space="preserve">dentro de sus verdaderas funcionalidades y características individuales así: “Esto es ignorancia, esto son formaciones”. Es por eso </w:t>
      </w:r>
      <w:proofErr w:type="gramStart"/>
      <w:r w:rsidRPr="00DC1A5F">
        <w:t>que</w:t>
      </w:r>
      <w:proofErr w:type="gramEnd"/>
      <w:r w:rsidRPr="00DC1A5F">
        <w:t xml:space="preserve"> se dice respecto a la ignorancia: “Es el desconocimiento del sufrimiento... el desconocimiento de la condicionalidad específica y los estados surgidos condicionalmente”.</w:t>
      </w:r>
    </w:p>
    <w:p w14:paraId="33983ACE" w14:textId="77777777" w:rsidR="00597DE2" w:rsidRPr="00DC1A5F" w:rsidRDefault="00597DE2" w:rsidP="00597DE2">
      <w:pPr>
        <w:pStyle w:val="Ttulo6"/>
      </w:pPr>
      <w:r w:rsidRPr="00DC1A5F">
        <w:t>[(II) Las Formaciones]</w:t>
      </w:r>
    </w:p>
    <w:p w14:paraId="7214B95D" w14:textId="77777777" w:rsidR="00597DE2" w:rsidRPr="00DC1A5F" w:rsidRDefault="00597DE2" w:rsidP="00597DE2">
      <w:r w:rsidRPr="00DC1A5F">
        <w:t xml:space="preserve">60. </w:t>
      </w:r>
      <w:r w:rsidRPr="00DC1A5F">
        <w:tab/>
        <w:t xml:space="preserve">Las </w:t>
      </w:r>
      <w:r w:rsidRPr="00DC1A5F">
        <w:rPr>
          <w:i/>
          <w:iCs/>
        </w:rPr>
        <w:t>formaciones</w:t>
      </w:r>
      <w:r w:rsidRPr="00DC1A5F">
        <w:t xml:space="preserve"> corresponderán a las 6 mencionadas brevemente arriba, así, “las tres, es decir, las formaciones meritorias, etc., y las tres, es decir, la formación corporal, etc.” (§44); no obstante, en detalle, aquí las primeras tres formaciones sumarán 29 voliciones, es decir, la formación meritoria que consta de 13 voliciones, contando las 8 voliciones productivas de la esfera sensorial que ocurren en la generosidad, la virtud, etc., y las 5 voliciones productivas de la materia sutil que ocurren en el desarrollo de la meditación; luego la formación meritoria consistente de las 12 voliciones improductivas que ocurren al matar a los seres vivos, etc.; luego la formación de lo imperturbable consistente de 4 voliciones productivas asociadas con la esfera inmaterial, que se dan en el desarrollo de esas meditaciones.</w:t>
      </w:r>
    </w:p>
    <w:p w14:paraId="20181E65" w14:textId="77777777" w:rsidR="00597DE2" w:rsidRPr="00DC1A5F" w:rsidRDefault="00597DE2" w:rsidP="00597DE2">
      <w:r w:rsidRPr="00DC1A5F">
        <w:t xml:space="preserve">61. </w:t>
      </w:r>
      <w:r w:rsidRPr="00DC1A5F">
        <w:tab/>
        <w:t xml:space="preserve">En cuanto a los otros 3, la formación corporal corresponderá a la volición corporal, la formación verbal a la volición verbal y la formación mental a la volición mental. Esta tríada se menciona para exponer que en el momento de la acumulación del </w:t>
      </w:r>
      <w:proofErr w:type="spellStart"/>
      <w:r w:rsidRPr="00DC1A5F">
        <w:rPr>
          <w:i/>
        </w:rPr>
        <w:t>kamma</w:t>
      </w:r>
      <w:proofErr w:type="spellEnd"/>
      <w:r w:rsidRPr="00DC1A5F">
        <w:t xml:space="preserve">, las formaciones meritorias, etc., ocurrirán en estas 3 puertas del </w:t>
      </w:r>
      <w:proofErr w:type="spellStart"/>
      <w:r w:rsidRPr="00DC1A5F">
        <w:rPr>
          <w:i/>
        </w:rPr>
        <w:t>kamma</w:t>
      </w:r>
      <w:proofErr w:type="spellEnd"/>
      <w:r w:rsidRPr="00DC1A5F">
        <w:t xml:space="preserve">. Pues las 8 voliciones productivas de la esfera sensorial y las 12 improductivas, que suman 20, corresponderán a la formación corporal cuando ocurran en la puerta corporal y produzcan la intimación corporal. A esas mismas voliciones [531] se le denominarán formación verbal cuando se den en la puerta del lenguaje y produzcan la intimación verbal. No obstante, la volición conectada con el conocimiento directo no se incluye aquí en estos dos casos porque no será una condición para la consciencia posterior vinculada con el renacimiento resultante. Y así como la volición del conocimiento directo, tampoco se incluye la volición relacionada con la agitación; por lo tanto, esto tampoco deberá incluirse como una condición para la consciencia vinculada con el renacimiento. Sin embargo, todos estos poseerán como condición a la ignorancia. Además, la totalidad de las 29 voliciones corresponderán a la formación mental cuando surjan en la puerta mental sin originar ningún tipo de </w:t>
      </w:r>
      <w:proofErr w:type="spellStart"/>
      <w:r w:rsidRPr="00DC1A5F">
        <w:t>intimacíón</w:t>
      </w:r>
      <w:proofErr w:type="spellEnd"/>
      <w:r w:rsidRPr="00DC1A5F">
        <w:t>. Entonces, esta tríada estará dentro de la primera tríada y, en consecuencia, en lo que respecta al significado, la ignorancia podrá entenderse simplemente como una condición para las formaciones meritorias, etc.</w:t>
      </w:r>
    </w:p>
    <w:p w14:paraId="5852DB09" w14:textId="77777777" w:rsidR="00597DE2" w:rsidRPr="00DC1A5F" w:rsidRDefault="00597DE2" w:rsidP="00597DE2">
      <w:r w:rsidRPr="00DC1A5F">
        <w:t xml:space="preserve">62. </w:t>
      </w:r>
      <w:r w:rsidRPr="00DC1A5F">
        <w:tab/>
        <w:t xml:space="preserve">Aquí, podría preguntarse: ¿cómo se puede saber que estas formaciones tienen como condición a la ignorancia? — Por el hecho de que surgirán cuando surja la ignorancia. Ya que cuando el desconocimiento —en otras palabras, la ignorancia— del sufrimiento, etc., no sea abandonado por un hombre, debido en primer lugar a su desconocimiento del sufrimiento y del pasado, etc., entonces éste creerá que el sufrimiento del ciclo de renacimientos es placentero y se embarcará en las 3 clases de formaciones que serán la causa de ese mismo sufrimiento. Debido a su desconocimiento de la originación del sufrimiento, se embarcará en formaciones que, estando subordinadas al deseo, serán en realidad la causa del sufrimiento, imaginándolas como la causa del placer. Y debido a su desconocimiento acerca de la cesación y el sendero, percibirá erróneamente que la cesación del sufrimiento está en algún destino particular, como el mundo </w:t>
      </w:r>
      <w:r w:rsidRPr="00DC1A5F">
        <w:rPr>
          <w:i/>
        </w:rPr>
        <w:t xml:space="preserve">Brahmā, </w:t>
      </w:r>
      <w:r w:rsidRPr="00DC1A5F">
        <w:rPr>
          <w:iCs/>
        </w:rPr>
        <w:t>por ejemplo</w:t>
      </w:r>
      <w:r w:rsidRPr="00DC1A5F">
        <w:rPr>
          <w:i/>
        </w:rPr>
        <w:t>,</w:t>
      </w:r>
      <w:r w:rsidRPr="00DC1A5F">
        <w:t xml:space="preserve"> que de hecho no representa tal cesación; malinterpretará el sendero de la cesación, creyendo que </w:t>
      </w:r>
      <w:proofErr w:type="gramStart"/>
      <w:r w:rsidRPr="00DC1A5F">
        <w:t>consiste de</w:t>
      </w:r>
      <w:proofErr w:type="gramEnd"/>
      <w:r w:rsidRPr="00DC1A5F">
        <w:t xml:space="preserve"> sacrificios, mortificación por la inmortalidad, etc., que en realidad no corresponderán al sendero de la cesación; y así, mientras aspire a la cesación del </w:t>
      </w:r>
      <w:r w:rsidRPr="00DC1A5F">
        <w:br w:type="page"/>
      </w:r>
    </w:p>
    <w:p w14:paraId="7DA9DA02" w14:textId="77777777" w:rsidR="00597DE2" w:rsidRPr="00DC1A5F" w:rsidRDefault="00597DE2" w:rsidP="00597DE2">
      <w:r w:rsidRPr="00DC1A5F">
        <w:lastRenderedPageBreak/>
        <w:t>sufrimiento, se embarcará en las 3 clases de formaciones en forma de sacrificios, mortificación en virtud de la inmortalidad, etc.</w:t>
      </w:r>
    </w:p>
    <w:p w14:paraId="781D7496" w14:textId="77777777" w:rsidR="00597DE2" w:rsidRPr="00DC1A5F" w:rsidRDefault="00597DE2" w:rsidP="00597DE2">
      <w:r w:rsidRPr="00DC1A5F">
        <w:t xml:space="preserve">63. </w:t>
      </w:r>
      <w:r w:rsidRPr="00DC1A5F">
        <w:tab/>
        <w:t xml:space="preserve">Además, el no–abandono de su ignorancia sobre las cuatro nobles verdades en particular le impedirá reconocer como sufrimiento el tipo de sufrimiento llamado efecto meritorio, que estará cargado de muchos peligros comenzando con el nacimiento, el envejecimiento, la enfermedad y la muerte, y así se embarcará en la formación meritorias clasificadas como formaciones corporales, verbales y mentales, para alcanzar ese tipo de sufrimiento, como aquel que desee ninfas celestiales que salten por un acantilado. Además, no viendo cómo ese efecto meritorio considerado como placer engendrará a la larga gran angustia por su sufrimiento debido a su cambio y que dará poca satisfacción, se embarcará en la conformación meritoria de las especies ya dichas, que es la condición de ese mismo sufrimiento en el cambio involucrado, como una polilla que cayese en la llama de una lámpara o como un hombre que quiera una gota de miel y lamiese el filo del cuchillo untado en él. Además, al no ver el peligro en la complacencia de los deseos sensoriales, etc., con sus resultados respectivos, percibiendo erróneamente el placer y vencido por las impurezas, se embarcará en la conformación demeritoria que ocurrirán en las tres puertas del </w:t>
      </w:r>
      <w:proofErr w:type="spellStart"/>
      <w:r w:rsidRPr="00DC1A5F">
        <w:rPr>
          <w:i/>
        </w:rPr>
        <w:t>kamma</w:t>
      </w:r>
      <w:proofErr w:type="spellEnd"/>
      <w:r w:rsidRPr="00DC1A5F">
        <w:t xml:space="preserve">, como un niño que jugase con inmundicias o como un hombre que quisiese morir y comiese veneno. Además, sin darse cuenta del sufrimiento debido a las formaciones y el sufrimiento en el cambio inherente de los resultados </w:t>
      </w:r>
      <w:proofErr w:type="spellStart"/>
      <w:r w:rsidRPr="00DC1A5F">
        <w:rPr>
          <w:i/>
        </w:rPr>
        <w:t>kammicos</w:t>
      </w:r>
      <w:proofErr w:type="spellEnd"/>
      <w:r w:rsidRPr="00DC1A5F">
        <w:t xml:space="preserve"> en la esfera inmaterial, debido a la perversión de percibirlos erróneamente como eternos, etc., se embarcará en la conformación de lo imperturbable el cual corresponderá a una formación mental, como quien se hubiese extraviado y tomase el camino hacia una ciudad de duendes.</w:t>
      </w:r>
    </w:p>
    <w:p w14:paraId="1D0E940F" w14:textId="77777777" w:rsidR="00597DE2" w:rsidRPr="00DC1A5F" w:rsidRDefault="00597DE2" w:rsidP="00597DE2">
      <w:r w:rsidRPr="00DC1A5F">
        <w:t xml:space="preserve">64. </w:t>
      </w:r>
      <w:r w:rsidRPr="00DC1A5F">
        <w:tab/>
        <w:t>Así, las formaciones surgirán sólo cuando surja la ignorancia, [532] no cuando ésta no exista; y es así cómo se podrá entender que estas formaciones tendrán como condición a la ignorancia.</w:t>
      </w:r>
    </w:p>
    <w:p w14:paraId="5352B6C6" w14:textId="77777777" w:rsidR="00597DE2" w:rsidRPr="00DC1A5F" w:rsidRDefault="00597DE2" w:rsidP="00597DE2">
      <w:pPr>
        <w:pStyle w:val="NormalConSangria"/>
      </w:pPr>
      <w:r w:rsidRPr="00DC1A5F">
        <w:t xml:space="preserve">Esto se dice también al respecto: “Sin saber, </w:t>
      </w:r>
      <w:proofErr w:type="spellStart"/>
      <w:r w:rsidRPr="00DC1A5F">
        <w:rPr>
          <w:i/>
        </w:rPr>
        <w:t>bhikkhu</w:t>
      </w:r>
      <w:r w:rsidRPr="00DC1A5F">
        <w:t>s</w:t>
      </w:r>
      <w:proofErr w:type="spellEnd"/>
      <w:r w:rsidRPr="00DC1A5F">
        <w:t xml:space="preserve">, sujeto a la ignorancia, él conforma la formación meritoria, conforma la formación demeritoria, conforma la formación de lo imperturbable. Tan pronto como se abandone la ignorancia de un </w:t>
      </w:r>
      <w:proofErr w:type="spellStart"/>
      <w:r w:rsidRPr="00DC1A5F">
        <w:rPr>
          <w:i/>
        </w:rPr>
        <w:t>bhikkhu</w:t>
      </w:r>
      <w:proofErr w:type="spellEnd"/>
      <w:r w:rsidRPr="00DC1A5F">
        <w:t xml:space="preserve"> y surja una visión clara, </w:t>
      </w:r>
      <w:proofErr w:type="spellStart"/>
      <w:r w:rsidRPr="00DC1A5F">
        <w:rPr>
          <w:i/>
        </w:rPr>
        <w:t>bhikkhu</w:t>
      </w:r>
      <w:r w:rsidRPr="00DC1A5F">
        <w:t>s</w:t>
      </w:r>
      <w:proofErr w:type="spellEnd"/>
      <w:r w:rsidRPr="00DC1A5F">
        <w:t>, con el desvanecimiento de la ignorancia y el surgimiento de una visión clara, ni siquiera conformará formaciones meritorias” (cf. S II 82).</w:t>
      </w:r>
    </w:p>
    <w:p w14:paraId="273AB408" w14:textId="77777777" w:rsidR="00597DE2" w:rsidRPr="00DC1A5F" w:rsidRDefault="00597DE2" w:rsidP="00597DE2">
      <w:r w:rsidRPr="00DC1A5F">
        <w:t xml:space="preserve">65. </w:t>
      </w:r>
      <w:r w:rsidRPr="00DC1A5F">
        <w:tab/>
        <w:t>Aquí podría decirse: “Convengamos, pues, en primer lugar, que la ignorancia es una condición para las formaciones. No obstante, ahora debe establecerse para qué formaciones y de qué manera es una condición”.</w:t>
      </w:r>
    </w:p>
    <w:p w14:paraId="1219522D" w14:textId="77777777" w:rsidR="00597DE2" w:rsidRPr="00DC1A5F" w:rsidRDefault="00597DE2" w:rsidP="00597DE2">
      <w:pPr>
        <w:pStyle w:val="NormalConSangria"/>
      </w:pPr>
      <w:r w:rsidRPr="00DC1A5F">
        <w:t xml:space="preserve">Aquí la respuesta: “24 condiciones </w:t>
      </w:r>
      <w:r w:rsidRPr="00DC1A5F">
        <w:rPr>
          <w:color w:val="833C0B" w:themeColor="accent2" w:themeShade="80"/>
        </w:rPr>
        <w:t xml:space="preserve">de la ignorancia </w:t>
      </w:r>
      <w:r w:rsidRPr="00DC1A5F">
        <w:t xml:space="preserve">han sido establecidas por el </w:t>
      </w:r>
      <w:r w:rsidRPr="00DC1A5F">
        <w:rPr>
          <w:i/>
          <w:iCs/>
        </w:rPr>
        <w:t>Bhagavā</w:t>
      </w:r>
      <w:r w:rsidRPr="00DC1A5F">
        <w:t xml:space="preserve"> de la siguiente manera”.</w:t>
      </w:r>
    </w:p>
    <w:p w14:paraId="707255D2" w14:textId="77777777" w:rsidR="00597DE2" w:rsidRPr="00DC1A5F" w:rsidRDefault="00597DE2" w:rsidP="00597DE2">
      <w:pPr>
        <w:pStyle w:val="Ttulo7"/>
      </w:pPr>
      <w:r w:rsidRPr="00DC1A5F">
        <w:t>[Las 24 Condiciones]</w:t>
      </w:r>
    </w:p>
    <w:p w14:paraId="6D535272" w14:textId="77777777" w:rsidR="00597DE2" w:rsidRPr="00DC1A5F" w:rsidRDefault="00597DE2" w:rsidP="00597DE2">
      <w:pPr>
        <w:pStyle w:val="Textoindependiente"/>
      </w:pPr>
      <w:r w:rsidRPr="00DC1A5F">
        <w:t xml:space="preserve">66. </w:t>
      </w:r>
      <w:r w:rsidRPr="00DC1A5F">
        <w:tab/>
        <w:t xml:space="preserve">“(1) Condición como causa–raíz, (2) condición como objeto, (3) condición como predominio, (4) condición como proximidad, (5) condición como contigüidad, (6) condición como coetánea, (7) condición como reciprocidad, (8) condición como soporte, (9) condición como soporte decisivo, (10) condición como </w:t>
      </w:r>
      <w:proofErr w:type="spellStart"/>
      <w:r w:rsidRPr="00DC1A5F">
        <w:t>prenacimiento</w:t>
      </w:r>
      <w:proofErr w:type="spellEnd"/>
      <w:r w:rsidRPr="00DC1A5F">
        <w:t xml:space="preserve">, (11) condición como </w:t>
      </w:r>
      <w:proofErr w:type="spellStart"/>
      <w:r w:rsidRPr="00DC1A5F">
        <w:t>postnacimiento</w:t>
      </w:r>
      <w:proofErr w:type="spellEnd"/>
      <w:r w:rsidRPr="00DC1A5F">
        <w:t xml:space="preserve">, (12) condición como repetición, (13) condición como </w:t>
      </w:r>
      <w:proofErr w:type="spellStart"/>
      <w:r w:rsidRPr="00DC1A5F">
        <w:rPr>
          <w:i/>
        </w:rPr>
        <w:t>kamma</w:t>
      </w:r>
      <w:proofErr w:type="spellEnd"/>
      <w:r w:rsidRPr="00DC1A5F">
        <w:t xml:space="preserve">, (14) condición como </w:t>
      </w:r>
      <w:proofErr w:type="spellStart"/>
      <w:r w:rsidRPr="00DC1A5F">
        <w:rPr>
          <w:i/>
        </w:rPr>
        <w:t>kamma</w:t>
      </w:r>
      <w:proofErr w:type="spellEnd"/>
      <w:r w:rsidRPr="00DC1A5F">
        <w:rPr>
          <w:i/>
        </w:rPr>
        <w:t>–resultante</w:t>
      </w:r>
      <w:r w:rsidRPr="00DC1A5F">
        <w:t xml:space="preserve">, (15) condición como nutrimento, ( 16) condición como facultad, (17) condición como </w:t>
      </w:r>
      <w:proofErr w:type="spellStart"/>
      <w:r w:rsidRPr="00DC1A5F">
        <w:rPr>
          <w:i/>
        </w:rPr>
        <w:t>jhāna</w:t>
      </w:r>
      <w:proofErr w:type="spellEnd"/>
      <w:r w:rsidRPr="00DC1A5F">
        <w:t>, (18) condición como sendero, (19) condición como asociación, (20) condición como disociación, (21) condición como presencia, (22) condición como ausencia, (23) condición como desaparición, (24) condición como no–desaparición” (</w:t>
      </w:r>
      <w:proofErr w:type="spellStart"/>
      <w:r w:rsidRPr="00DC1A5F">
        <w:rPr>
          <w:i/>
          <w:iCs/>
        </w:rPr>
        <w:t>Paṭṭh</w:t>
      </w:r>
      <w:proofErr w:type="spellEnd"/>
      <w:r w:rsidRPr="00DC1A5F">
        <w:t xml:space="preserve"> I 1).</w:t>
      </w:r>
      <w:r w:rsidRPr="00DC1A5F">
        <w:br w:type="page"/>
      </w:r>
    </w:p>
    <w:p w14:paraId="308ED4AE" w14:textId="77777777" w:rsidR="00597DE2" w:rsidRPr="00DC1A5F" w:rsidRDefault="00597DE2" w:rsidP="00597DE2">
      <w:r w:rsidRPr="00DC1A5F">
        <w:lastRenderedPageBreak/>
        <w:t xml:space="preserve">67. </w:t>
      </w:r>
      <w:r w:rsidRPr="00DC1A5F">
        <w:tab/>
        <w:t xml:space="preserve">(1) Aquí, la ignorancia corresponderá a una causa–raíz y a una condición, por lo tanto, será así una </w:t>
      </w:r>
      <w:r w:rsidRPr="00DC1A5F">
        <w:rPr>
          <w:i/>
          <w:iCs/>
        </w:rPr>
        <w:t>condición como causa</w:t>
      </w:r>
      <w:r w:rsidRPr="00DC1A5F">
        <w:t>–</w:t>
      </w:r>
      <w:r w:rsidRPr="00DC1A5F">
        <w:rPr>
          <w:i/>
          <w:iCs/>
        </w:rPr>
        <w:t>raíz</w:t>
      </w:r>
      <w:r w:rsidRPr="00DC1A5F">
        <w:t>. Es por ser una causa–raíz que será una condición; lo que se quiere decir es que será una condición debido a su estatus como causa–raíz. El mismo método se aplicará en el caso de la condición como objeto y las demás condiciones.</w:t>
      </w:r>
    </w:p>
    <w:p w14:paraId="7281D506" w14:textId="77777777" w:rsidR="00597DE2" w:rsidRPr="00DC1A5F" w:rsidRDefault="00597DE2" w:rsidP="00597DE2">
      <w:pPr>
        <w:pStyle w:val="NormalConSangria"/>
      </w:pPr>
      <w:r w:rsidRPr="00DC1A5F">
        <w:t>Aquí, “causa” (</w:t>
      </w:r>
      <w:proofErr w:type="spellStart"/>
      <w:r w:rsidRPr="00DC1A5F">
        <w:rPr>
          <w:i/>
          <w:iCs/>
        </w:rPr>
        <w:t>hetu</w:t>
      </w:r>
      <w:proofErr w:type="spellEnd"/>
      <w:r w:rsidRPr="00DC1A5F">
        <w:t>) corresponderá a un término para la parte de un silogismo, para una razón y para una raíz. Ya que las palabras “proposición” (</w:t>
      </w:r>
      <w:proofErr w:type="spellStart"/>
      <w:r w:rsidRPr="00DC1A5F">
        <w:rPr>
          <w:i/>
          <w:iCs/>
        </w:rPr>
        <w:t>paṭiññā</w:t>
      </w:r>
      <w:proofErr w:type="spellEnd"/>
      <w:r w:rsidRPr="00DC1A5F">
        <w:t>), “causa” (</w:t>
      </w:r>
      <w:proofErr w:type="spellStart"/>
      <w:r w:rsidRPr="00DC1A5F">
        <w:rPr>
          <w:i/>
          <w:iCs/>
        </w:rPr>
        <w:t>hetu</w:t>
      </w:r>
      <w:proofErr w:type="spellEnd"/>
      <w:r w:rsidRPr="00DC1A5F">
        <w:t xml:space="preserve"> = término medio), etc., en el mundo forman parte de un silogismo (</w:t>
      </w:r>
      <w:proofErr w:type="spellStart"/>
      <w:r w:rsidRPr="00DC1A5F">
        <w:rPr>
          <w:i/>
          <w:iCs/>
        </w:rPr>
        <w:t>vacanāvayava</w:t>
      </w:r>
      <w:proofErr w:type="spellEnd"/>
      <w:r w:rsidRPr="00DC1A5F">
        <w:t xml:space="preserve">) conocido como </w:t>
      </w:r>
      <w:r w:rsidRPr="00DC1A5F">
        <w:rPr>
          <w:i/>
          <w:iCs/>
        </w:rPr>
        <w:t>causa</w:t>
      </w:r>
      <w:r w:rsidRPr="00DC1A5F">
        <w:t>. No obstante, en la Dispensación, en pasajes tales como “Aquellos estados que son producidos por una causa” (</w:t>
      </w:r>
      <w:proofErr w:type="spellStart"/>
      <w:r w:rsidRPr="00DC1A5F">
        <w:t>Vin</w:t>
      </w:r>
      <w:proofErr w:type="spellEnd"/>
      <w:r w:rsidRPr="00DC1A5F">
        <w:t xml:space="preserve"> I 40), corresponderán a una razón (</w:t>
      </w:r>
      <w:proofErr w:type="spellStart"/>
      <w:r w:rsidRPr="00DC1A5F">
        <w:rPr>
          <w:i/>
          <w:iCs/>
        </w:rPr>
        <w:t>kāraṇa</w:t>
      </w:r>
      <w:proofErr w:type="spellEnd"/>
      <w:r w:rsidRPr="00DC1A5F">
        <w:t xml:space="preserve">); y en pasajes como “Tres </w:t>
      </w:r>
      <w:proofErr w:type="gramStart"/>
      <w:r w:rsidRPr="00DC1A5F">
        <w:t>causas raíces</w:t>
      </w:r>
      <w:proofErr w:type="gramEnd"/>
      <w:r w:rsidRPr="00DC1A5F">
        <w:t xml:space="preserve"> productivas, tres causas raíces improductivas” (</w:t>
      </w:r>
      <w:proofErr w:type="spellStart"/>
      <w:r w:rsidRPr="00DC1A5F">
        <w:t>Dhs</w:t>
      </w:r>
      <w:proofErr w:type="spellEnd"/>
      <w:r w:rsidRPr="00DC1A5F">
        <w:t xml:space="preserve"> §1053), corresponderán a una raíz (</w:t>
      </w:r>
      <w:proofErr w:type="spellStart"/>
      <w:r w:rsidRPr="00DC1A5F">
        <w:rPr>
          <w:i/>
          <w:iCs/>
        </w:rPr>
        <w:t>mūla</w:t>
      </w:r>
      <w:proofErr w:type="spellEnd"/>
      <w:r w:rsidRPr="00DC1A5F">
        <w:t>), lo que se denominará en resumen como causa. Aquí se pretende lo último.</w:t>
      </w:r>
    </w:p>
    <w:p w14:paraId="79D641C2" w14:textId="77777777" w:rsidR="00597DE2" w:rsidRPr="00DC1A5F" w:rsidRDefault="00597DE2" w:rsidP="00597DE2">
      <w:pPr>
        <w:jc w:val="both"/>
      </w:pPr>
      <w:r w:rsidRPr="00DC1A5F">
        <w:t xml:space="preserve">68. </w:t>
      </w:r>
      <w:r w:rsidRPr="00DC1A5F">
        <w:tab/>
        <w:t>En cuanto a la palabra “condición” (</w:t>
      </w:r>
      <w:proofErr w:type="spellStart"/>
      <w:r w:rsidRPr="00DC1A5F">
        <w:rPr>
          <w:i/>
          <w:iCs/>
        </w:rPr>
        <w:t>paccaya</w:t>
      </w:r>
      <w:proofErr w:type="spellEnd"/>
      <w:r w:rsidRPr="00DC1A5F">
        <w:t>), el significado aquí es el siguiente: el efecto proviene de ello, dependiendo de ello (</w:t>
      </w:r>
      <w:proofErr w:type="spellStart"/>
      <w:r w:rsidRPr="00DC1A5F">
        <w:rPr>
          <w:i/>
          <w:iCs/>
        </w:rPr>
        <w:t>paṭicca</w:t>
      </w:r>
      <w:proofErr w:type="spellEnd"/>
      <w:r w:rsidRPr="00DC1A5F">
        <w:rPr>
          <w:i/>
          <w:iCs/>
        </w:rPr>
        <w:t xml:space="preserve"> </w:t>
      </w:r>
      <w:proofErr w:type="spellStart"/>
      <w:r w:rsidRPr="00DC1A5F">
        <w:rPr>
          <w:i/>
          <w:iCs/>
        </w:rPr>
        <w:t>etasmā</w:t>
      </w:r>
      <w:proofErr w:type="spellEnd"/>
      <w:r w:rsidRPr="00DC1A5F">
        <w:rPr>
          <w:i/>
          <w:iCs/>
        </w:rPr>
        <w:t xml:space="preserve"> </w:t>
      </w:r>
      <w:proofErr w:type="spellStart"/>
      <w:r w:rsidRPr="00DC1A5F">
        <w:rPr>
          <w:i/>
          <w:iCs/>
        </w:rPr>
        <w:t>eti</w:t>
      </w:r>
      <w:proofErr w:type="spellEnd"/>
      <w:r w:rsidRPr="00DC1A5F">
        <w:t xml:space="preserve">), por lo tanto, ese </w:t>
      </w:r>
      <w:r w:rsidRPr="00DC1A5F">
        <w:rPr>
          <w:i/>
          <w:iCs/>
        </w:rPr>
        <w:t>ello</w:t>
      </w:r>
      <w:r w:rsidRPr="00DC1A5F">
        <w:t xml:space="preserve"> corresponderá a una condición; (</w:t>
      </w:r>
      <w:proofErr w:type="spellStart"/>
      <w:r w:rsidRPr="00DC1A5F">
        <w:rPr>
          <w:i/>
          <w:iCs/>
        </w:rPr>
        <w:t>paccaya</w:t>
      </w:r>
      <w:proofErr w:type="spellEnd"/>
      <w:r w:rsidRPr="00DC1A5F">
        <w:t>, ver nota 2) el significado es, un estado ocurrirá al no prescindir de ello. Lo que se quiere decir es: cuando un estado sea indispensable para la presencia o el surgimiento de otro estado, el primero será una condición para el segundo. No obstante, en cuanto a la característica, una condición tendrá la característica de asistir; porque a cualquier estado dado [533] que ayude a la presencia o al surgimiento de otro estado dado se le llamará como la condición de este último. Las palabras condición, causa, razón, fuente, originador, productor, etc., son una en significado, aunque diferentes en la letra. Entonces, dado que será una causa en el sentido radical y una condición en el sentido de asistencia, brevemente, un estado que sea asistente en el sentido radical será una condición como causa–raíz.</w:t>
      </w:r>
    </w:p>
    <w:p w14:paraId="2BA5B5F9" w14:textId="77777777" w:rsidR="00597DE2" w:rsidRPr="00DC1A5F" w:rsidRDefault="00597DE2" w:rsidP="00597DE2">
      <w:r w:rsidRPr="00DC1A5F">
        <w:t xml:space="preserve">69. </w:t>
      </w:r>
      <w:r w:rsidRPr="00DC1A5F">
        <w:tab/>
        <w:t xml:space="preserve">La intención de algunos maestros es que </w:t>
      </w:r>
      <w:r w:rsidRPr="00DC1A5F">
        <w:rPr>
          <w:color w:val="833C0B" w:themeColor="accent2" w:themeShade="80"/>
        </w:rPr>
        <w:t xml:space="preserve">la condición </w:t>
      </w:r>
      <w:r w:rsidRPr="00DC1A5F">
        <w:t>establecerá el estado productivo, etc., en lo que sea productivo, etc., como las semillas de arroz, etc., lo harán por el arroz, etc., y como el color de las gemas, etc., hará por el brillo de las gemas, etc.</w:t>
      </w:r>
      <w:r w:rsidRPr="00DC1A5F">
        <w:rPr>
          <w:vertAlign w:val="superscript"/>
        </w:rPr>
        <w:t>10</w:t>
      </w:r>
      <w:r w:rsidRPr="00DC1A5F">
        <w:t xml:space="preserve"> No obstante, si eso es así, entonces le seguiría que el estado de condición de causa–raíz no se aplicará a los tipos de materialidad originada por él, porque no establecerá ninguna productividad, etc., en ellos. Sin embargo, será una condición para ellos, porque esto se dice al respecto: “Las </w:t>
      </w:r>
      <w:proofErr w:type="gramStart"/>
      <w:r w:rsidRPr="00DC1A5F">
        <w:t>causas raíces</w:t>
      </w:r>
      <w:proofErr w:type="gramEnd"/>
      <w:r w:rsidRPr="00DC1A5F">
        <w:t xml:space="preserve"> serán una condición, como condición de causa–raíz, para los estados asociados con una causa–raíz y para los tipos de materialidad originada por ellos” (</w:t>
      </w:r>
      <w:proofErr w:type="spellStart"/>
      <w:r w:rsidRPr="00DC1A5F">
        <w:t>Paṭṭh</w:t>
      </w:r>
      <w:proofErr w:type="spellEnd"/>
      <w:r w:rsidRPr="00DC1A5F">
        <w:t xml:space="preserve">. I 1). Una vez más, la indeterminación de la consciencia sin causa–raíz se establecerá sin ella. Además, la productividad, etc., de aquellas con causa–raíz estará ligada a la atención sabia, etc., no a las </w:t>
      </w:r>
      <w:proofErr w:type="gramStart"/>
      <w:r w:rsidRPr="00DC1A5F">
        <w:t>causas raíces</w:t>
      </w:r>
      <w:proofErr w:type="gramEnd"/>
      <w:r w:rsidRPr="00DC1A5F">
        <w:t xml:space="preserve"> asociadas al respecto. Y si la productividad, etc., residiera en las </w:t>
      </w:r>
      <w:proofErr w:type="gramStart"/>
      <w:r w:rsidRPr="00DC1A5F">
        <w:t>causas raíces</w:t>
      </w:r>
      <w:proofErr w:type="gramEnd"/>
      <w:r w:rsidRPr="00DC1A5F">
        <w:t xml:space="preserve"> asociadas como una esencia individual, entonces la no–codicia ligada a la causa–raíz en los estados asociados sería sólo productiva o sería sólo indeterminada; pero dado que puede ser ambas, la productividad, etc., deberá encontrarse en las causas fundamentales, al igual que en los estados asociados, como la atención sabia, etc.</w:t>
      </w:r>
    </w:p>
    <w:p w14:paraId="0F42ED19" w14:textId="77777777" w:rsidR="00597DE2" w:rsidRPr="00DC1A5F" w:rsidRDefault="00597DE2" w:rsidP="00597DE2">
      <w:r w:rsidRPr="00DC1A5F">
        <w:t xml:space="preserve">70. </w:t>
      </w:r>
      <w:r w:rsidRPr="00DC1A5F">
        <w:tab/>
        <w:t xml:space="preserve">No obstante, cuando el sentido de las </w:t>
      </w:r>
      <w:proofErr w:type="gramStart"/>
      <w:r w:rsidRPr="00DC1A5F">
        <w:t>causas raíces</w:t>
      </w:r>
      <w:proofErr w:type="gramEnd"/>
      <w:r w:rsidRPr="00DC1A5F">
        <w:t xml:space="preserve"> fundamentales se adopte como el establecimiento de la estabilidad, en lugar del establecimiento de la productividad, etc., no existirá contradicción. Porque los estados que hayan obtenido una condición como causa–raíz serán firmes, como los árboles, y estables; pero aquellos sin causa–raíz serán como el musgo de las raíces </w:t>
      </w:r>
    </w:p>
    <w:p w14:paraId="158E912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96454ED" w14:textId="77777777" w:rsidR="00597DE2" w:rsidRPr="00DC1A5F" w:rsidRDefault="00597DE2" w:rsidP="00597DE2">
      <w:pPr>
        <w:pStyle w:val="PiedepginaLegal"/>
        <w:numPr>
          <w:ilvl w:val="0"/>
          <w:numId w:val="6"/>
        </w:numPr>
        <w:tabs>
          <w:tab w:val="clear" w:pos="425"/>
        </w:tabs>
        <w:spacing w:after="160"/>
        <w:ind w:left="284" w:hanging="284"/>
      </w:pPr>
      <w:r w:rsidRPr="00DC1A5F">
        <w:t xml:space="preserve">“Esto se refiere al maestro </w:t>
      </w:r>
      <w:proofErr w:type="spellStart"/>
      <w:r w:rsidRPr="00DC1A5F">
        <w:t>Revata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582).</w:t>
      </w:r>
      <w:r w:rsidRPr="00DC1A5F">
        <w:br w:type="page"/>
      </w:r>
    </w:p>
    <w:p w14:paraId="391AB8F4" w14:textId="77777777" w:rsidR="00597DE2" w:rsidRPr="00DC1A5F" w:rsidRDefault="00597DE2" w:rsidP="00597DE2">
      <w:pPr>
        <w:pStyle w:val="Textoindependiente"/>
      </w:pPr>
      <w:r w:rsidRPr="00DC1A5F">
        <w:lastRenderedPageBreak/>
        <w:t xml:space="preserve">no más grandes que las semillas de sésamo, etc., inestables. Entonces, un estado de asistencia podrá entenderse como una </w:t>
      </w:r>
      <w:r w:rsidRPr="00DC1A5F">
        <w:rPr>
          <w:i/>
          <w:iCs/>
        </w:rPr>
        <w:t>condición como causa–raíz,</w:t>
      </w:r>
      <w:r w:rsidRPr="00DC1A5F">
        <w:t xml:space="preserve"> ya que establecerá la estabilidad al servir de asistencia en el sentido de una </w:t>
      </w:r>
      <w:r w:rsidRPr="00DC1A5F">
        <w:rPr>
          <w:i/>
          <w:iCs/>
        </w:rPr>
        <w:t>raíz</w:t>
      </w:r>
      <w:r w:rsidRPr="00DC1A5F">
        <w:t>.</w:t>
      </w:r>
    </w:p>
    <w:p w14:paraId="51362C9A" w14:textId="77777777" w:rsidR="00597DE2" w:rsidRPr="00DC1A5F" w:rsidRDefault="00597DE2" w:rsidP="00597DE2">
      <w:r w:rsidRPr="00DC1A5F">
        <w:t xml:space="preserve">71. </w:t>
      </w:r>
      <w:r w:rsidRPr="00DC1A5F">
        <w:tab/>
        <w:t xml:space="preserve">(2) En cuanto a las otras condiciones que le sigan, un estado que asista siendo un objeto corresponderá a una </w:t>
      </w:r>
      <w:r w:rsidRPr="00DC1A5F">
        <w:rPr>
          <w:i/>
          <w:iCs/>
        </w:rPr>
        <w:t>condición como objeto</w:t>
      </w:r>
      <w:r w:rsidRPr="00DC1A5F">
        <w:t xml:space="preserve">. Ahora bien, no existirán estados que no sean condiciones como objeto; ya que el pasaje que comienza con “La base de los objetos visibles será una condición, en modalidad de </w:t>
      </w:r>
      <w:r w:rsidRPr="00DC1A5F">
        <w:rPr>
          <w:i/>
          <w:iCs/>
        </w:rPr>
        <w:t>condición como objeto</w:t>
      </w:r>
      <w:r w:rsidRPr="00DC1A5F">
        <w:t xml:space="preserve">, para el elemento de la consciencia visual” concluye así: “Cuando cualquier estado, como estados de consciencia y consciencia–concomitantes, surja circunstancialmente en cualquier estado, estos últimos estados corresponderán a condiciones, como </w:t>
      </w:r>
      <w:r w:rsidRPr="00DC1A5F">
        <w:rPr>
          <w:i/>
          <w:iCs/>
        </w:rPr>
        <w:t>condición como objeto</w:t>
      </w:r>
      <w:r w:rsidRPr="00DC1A5F">
        <w:t>, para esos antiguos estados” (</w:t>
      </w:r>
      <w:proofErr w:type="spellStart"/>
      <w:r w:rsidRPr="00DC1A5F">
        <w:rPr>
          <w:i/>
          <w:iCs/>
        </w:rPr>
        <w:t>Paṭṭh</w:t>
      </w:r>
      <w:proofErr w:type="spellEnd"/>
      <w:r w:rsidRPr="00DC1A5F">
        <w:t xml:space="preserve"> I 1).</w:t>
      </w:r>
      <w:r w:rsidRPr="00DC1A5F">
        <w:rPr>
          <w:vertAlign w:val="superscript"/>
        </w:rPr>
        <w:t>11</w:t>
      </w:r>
      <w:r w:rsidRPr="00DC1A5F">
        <w:t xml:space="preserve"> Ya que así como un hombre débil se levantaría y se mantendría sujeto a (</w:t>
      </w:r>
      <w:proofErr w:type="spellStart"/>
      <w:r w:rsidRPr="00DC1A5F">
        <w:rPr>
          <w:i/>
          <w:iCs/>
        </w:rPr>
        <w:t>ālambitvā</w:t>
      </w:r>
      <w:proofErr w:type="spellEnd"/>
      <w:r w:rsidRPr="00DC1A5F">
        <w:t>) un bastón o a una cuerda, así los estados de consciencia y las consciencias–concomitantes siempre surgirán y estarán presentes dependiente de los objetos visibles, etc., como su objeto (</w:t>
      </w:r>
      <w:proofErr w:type="spellStart"/>
      <w:r w:rsidRPr="00DC1A5F">
        <w:rPr>
          <w:i/>
          <w:iCs/>
        </w:rPr>
        <w:t>ārammaṇa</w:t>
      </w:r>
      <w:proofErr w:type="spellEnd"/>
      <w:r w:rsidRPr="00DC1A5F">
        <w:t xml:space="preserve"> = </w:t>
      </w:r>
      <w:proofErr w:type="spellStart"/>
      <w:r w:rsidRPr="00DC1A5F">
        <w:rPr>
          <w:i/>
          <w:iCs/>
        </w:rPr>
        <w:t>ālambana</w:t>
      </w:r>
      <w:proofErr w:type="spellEnd"/>
      <w:r w:rsidRPr="00DC1A5F">
        <w:t xml:space="preserve">). Por lo tanto, todos los estados que sean objetos de consciencia y consciencias–concomitantes deberán entenderse como una </w:t>
      </w:r>
      <w:r w:rsidRPr="00DC1A5F">
        <w:rPr>
          <w:i/>
          <w:iCs/>
        </w:rPr>
        <w:t>condición como objeto</w:t>
      </w:r>
      <w:r w:rsidRPr="00DC1A5F">
        <w:t>. [534]</w:t>
      </w:r>
    </w:p>
    <w:p w14:paraId="2659E01F" w14:textId="77777777" w:rsidR="00597DE2" w:rsidRPr="00DC1A5F" w:rsidRDefault="00597DE2" w:rsidP="00597DE2">
      <w:r w:rsidRPr="00DC1A5F">
        <w:t xml:space="preserve">72. </w:t>
      </w:r>
      <w:r w:rsidRPr="00DC1A5F">
        <w:tab/>
        <w:t xml:space="preserve">(3) Un estado que asista en el sentido de darse prioritariamente corresponderá a una </w:t>
      </w:r>
      <w:r w:rsidRPr="00DC1A5F">
        <w:rPr>
          <w:i/>
          <w:iCs/>
        </w:rPr>
        <w:t>condición predominante o a una condición como predominio</w:t>
      </w:r>
      <w:r w:rsidRPr="00DC1A5F">
        <w:t xml:space="preserve">. Será de dos clases como coetánea y como objeto. Aquí, debido al pasaje que comienza con “El predominio del celo será una condición, en calidad de una </w:t>
      </w:r>
      <w:r w:rsidRPr="00DC1A5F">
        <w:rPr>
          <w:i/>
          <w:iCs/>
        </w:rPr>
        <w:t>condición como predominio</w:t>
      </w:r>
      <w:r w:rsidRPr="00DC1A5F">
        <w:t>, para los estados asociados con el celo y los tipos de materialidad originados al respecto” (</w:t>
      </w:r>
      <w:proofErr w:type="spellStart"/>
      <w:r w:rsidRPr="00DC1A5F">
        <w:t>Paṭṭh</w:t>
      </w:r>
      <w:proofErr w:type="spellEnd"/>
      <w:r w:rsidRPr="00DC1A5F">
        <w:t xml:space="preserve">. I 2), esta condición corresponderá a los cuatro estados denominados celo, pureza de consciencia, energía e investigación, los que deberán entenderse en calidad de una </w:t>
      </w:r>
      <w:r w:rsidRPr="00DC1A5F">
        <w:rPr>
          <w:i/>
          <w:iCs/>
        </w:rPr>
        <w:t>condición como predominio</w:t>
      </w:r>
      <w:r w:rsidRPr="00DC1A5F">
        <w:t xml:space="preserve">; no obstante, no simultáneamente, porque cuando la consciencia ocurra con énfasis en el celo y anteponiendo el celo, entonces será el celo y no los demás lo que predomine. Así será con lo restante. No obstante, el estado, al dar importancia a aquello que se dé a través de los estados inmateriales, corresponderá a su </w:t>
      </w:r>
      <w:r w:rsidRPr="00DC1A5F">
        <w:rPr>
          <w:i/>
          <w:iCs/>
        </w:rPr>
        <w:t>predominio</w:t>
      </w:r>
      <w:r w:rsidRPr="00DC1A5F">
        <w:t xml:space="preserve"> </w:t>
      </w:r>
      <w:r w:rsidRPr="00DC1A5F">
        <w:rPr>
          <w:i/>
          <w:iCs/>
        </w:rPr>
        <w:t>como</w:t>
      </w:r>
      <w:r w:rsidRPr="00DC1A5F">
        <w:t xml:space="preserve"> </w:t>
      </w:r>
      <w:r w:rsidRPr="00DC1A5F">
        <w:rPr>
          <w:i/>
          <w:iCs/>
        </w:rPr>
        <w:t>objeto</w:t>
      </w:r>
      <w:r w:rsidRPr="00DC1A5F">
        <w:t xml:space="preserve">. Por lo tanto, se dice al respecto: “Cuando cualquier estado, como los estados de consciencia y consciencias–concomitantes, que surjan dando importancia a cualquier estado, estos últimos estados corresponderán a una condición, en calidad de </w:t>
      </w:r>
      <w:r w:rsidRPr="00DC1A5F">
        <w:rPr>
          <w:i/>
          <w:iCs/>
        </w:rPr>
        <w:t>condición como predominio</w:t>
      </w:r>
      <w:r w:rsidRPr="00DC1A5F">
        <w:t>, para esos estados previos” (</w:t>
      </w:r>
      <w:proofErr w:type="spellStart"/>
      <w:r w:rsidRPr="00DC1A5F">
        <w:rPr>
          <w:i/>
          <w:iCs/>
        </w:rPr>
        <w:t>Paṭṭh</w:t>
      </w:r>
      <w:proofErr w:type="spellEnd"/>
      <w:r w:rsidRPr="00DC1A5F">
        <w:t xml:space="preserve"> I 2).</w:t>
      </w:r>
    </w:p>
    <w:p w14:paraId="60F7C65F" w14:textId="77777777" w:rsidR="00597DE2" w:rsidRPr="00DC1A5F" w:rsidRDefault="00597DE2" w:rsidP="00597DE2">
      <w:r w:rsidRPr="00DC1A5F">
        <w:t xml:space="preserve">73. </w:t>
      </w:r>
      <w:r w:rsidRPr="00DC1A5F">
        <w:tab/>
        <w:t xml:space="preserve">(4), (5) Un estado que asista por encontrarse próximo corresponderá a una </w:t>
      </w:r>
      <w:r w:rsidRPr="00DC1A5F">
        <w:rPr>
          <w:i/>
          <w:iCs/>
        </w:rPr>
        <w:t>condición próxima o a una condición como proximidad</w:t>
      </w:r>
      <w:r w:rsidRPr="00DC1A5F">
        <w:t xml:space="preserve">. Un estado que asista por su contigüidad será una </w:t>
      </w:r>
      <w:r w:rsidRPr="00DC1A5F">
        <w:rPr>
          <w:i/>
          <w:iCs/>
        </w:rPr>
        <w:t>condición como contigüidad</w:t>
      </w:r>
      <w:r w:rsidRPr="00DC1A5F">
        <w:t>. La explicación de este par de condiciones es muy difusa, no obstante, sustancialmente es la siguiente:</w:t>
      </w:r>
      <w:r w:rsidRPr="00DC1A5F">
        <w:rPr>
          <w:vertAlign w:val="superscript"/>
        </w:rPr>
        <w:t>12</w:t>
      </w:r>
      <w:r w:rsidRPr="00DC1A5F">
        <w:t xml:space="preserve"> el orden regular de la consciencia comienza así, el elemento mental es próximo (siguiente) a la consciencia visual, el elemento de la consciencia mental es próximo (siguiente) al elemento mental y éste se establece sólo por cada consciencia precedente, no de otro modo; en consecuencia, un estado que sea capaz de despertar un tipo </w:t>
      </w:r>
    </w:p>
    <w:p w14:paraId="1C8224C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7CA6A5E" w14:textId="77777777" w:rsidR="00597DE2" w:rsidRPr="00DC1A5F" w:rsidRDefault="00597DE2" w:rsidP="00597DE2">
      <w:pPr>
        <w:pStyle w:val="PiedepginaLegal"/>
        <w:numPr>
          <w:ilvl w:val="0"/>
          <w:numId w:val="6"/>
        </w:numPr>
        <w:tabs>
          <w:tab w:val="clear" w:pos="425"/>
        </w:tabs>
        <w:ind w:left="284" w:hanging="284"/>
        <w:rPr>
          <w:color w:val="auto"/>
          <w:u w:color="000000"/>
        </w:rPr>
      </w:pPr>
      <w:r w:rsidRPr="00DC1A5F">
        <w:rPr>
          <w:color w:val="auto"/>
          <w:u w:color="000000"/>
        </w:rPr>
        <w:t>“</w:t>
      </w:r>
      <w:r w:rsidRPr="00DC1A5F">
        <w:rPr>
          <w:i/>
          <w:iCs/>
          <w:color w:val="auto"/>
          <w:u w:color="000000"/>
        </w:rPr>
        <w:t>’Que dependen de otros estados similares’</w:t>
      </w:r>
      <w:r w:rsidRPr="00DC1A5F">
        <w:rPr>
          <w:color w:val="auto"/>
          <w:u w:color="000000"/>
        </w:rPr>
        <w:t xml:space="preserve">: debido a que se dice sin distinción de todas las bases de los objetos visibles... y de todas las bases de los objetos mentales, en consecuencia, no existirá </w:t>
      </w:r>
      <w:r w:rsidRPr="00DC1A5F">
        <w:rPr>
          <w:i/>
          <w:color w:val="auto"/>
          <w:u w:color="000000"/>
        </w:rPr>
        <w:t>dhamma</w:t>
      </w:r>
      <w:r w:rsidRPr="00DC1A5F">
        <w:rPr>
          <w:color w:val="auto"/>
          <w:u w:color="000000"/>
        </w:rPr>
        <w:t xml:space="preserve"> (estado) entre los </w:t>
      </w:r>
      <w:r w:rsidRPr="00DC1A5F">
        <w:rPr>
          <w:i/>
          <w:color w:val="auto"/>
          <w:u w:color="000000"/>
        </w:rPr>
        <w:t>dhamma</w:t>
      </w:r>
      <w:r w:rsidRPr="00DC1A5F">
        <w:rPr>
          <w:color w:val="auto"/>
          <w:u w:color="000000"/>
        </w:rPr>
        <w:t xml:space="preserve">s formados, inmateriales y conceptuales, </w:t>
      </w:r>
      <w:proofErr w:type="spellStart"/>
      <w:r w:rsidRPr="00DC1A5F">
        <w:rPr>
          <w:color w:val="auto"/>
          <w:u w:color="000000"/>
        </w:rPr>
        <w:t>clasificadox</w:t>
      </w:r>
      <w:proofErr w:type="spellEnd"/>
      <w:r w:rsidRPr="00DC1A5F">
        <w:rPr>
          <w:color w:val="auto"/>
          <w:u w:color="000000"/>
        </w:rPr>
        <w:t xml:space="preserve"> como séxtuple bajo objetos visibles, etc., que no se convertirá en una condición objeto”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584).</w:t>
      </w:r>
    </w:p>
    <w:p w14:paraId="3B5F8432" w14:textId="77777777" w:rsidR="00597DE2" w:rsidRPr="00DC1A5F" w:rsidRDefault="00597DE2" w:rsidP="00597DE2">
      <w:pPr>
        <w:pStyle w:val="PiedepginaLegal"/>
        <w:numPr>
          <w:ilvl w:val="0"/>
          <w:numId w:val="6"/>
        </w:numPr>
        <w:tabs>
          <w:tab w:val="clear" w:pos="425"/>
        </w:tabs>
        <w:ind w:left="284" w:hanging="284"/>
        <w:rPr>
          <w:color w:val="auto"/>
          <w:u w:color="000000"/>
        </w:rPr>
      </w:pPr>
      <w:r w:rsidRPr="00DC1A5F">
        <w:rPr>
          <w:color w:val="auto"/>
          <w:u w:color="000000"/>
        </w:rPr>
        <w:t>“Las condiciones de proximidad y contigüidad no son enunciadas de acuerdo con la distinción entre hacer ocurrir y dar oportunidad, como lo son las condiciones de ausencia y desaparición: más bien son enunciadas como las causas del orden regular de la consciencia en la serie cognitiva” (</w:t>
      </w:r>
      <w:proofErr w:type="spellStart"/>
      <w:r w:rsidRPr="00DC1A5F">
        <w:rPr>
          <w:color w:val="auto"/>
          <w:u w:color="000000"/>
        </w:rPr>
        <w:t>Vism</w:t>
      </w:r>
      <w:proofErr w:type="spellEnd"/>
      <w:r w:rsidRPr="00DC1A5F">
        <w:rPr>
          <w:color w:val="auto"/>
          <w:u w:color="000000"/>
        </w:rPr>
        <w:t xml:space="preserve"> –</w:t>
      </w:r>
      <w:proofErr w:type="spellStart"/>
      <w:r w:rsidRPr="00DC1A5F">
        <w:rPr>
          <w:color w:val="auto"/>
          <w:u w:color="000000"/>
        </w:rPr>
        <w:t>mhṭ</w:t>
      </w:r>
      <w:proofErr w:type="spellEnd"/>
      <w:r w:rsidRPr="00DC1A5F">
        <w:rPr>
          <w:color w:val="auto"/>
          <w:u w:color="000000"/>
        </w:rPr>
        <w:t xml:space="preserve"> 585).</w:t>
      </w:r>
    </w:p>
    <w:p w14:paraId="5A5F4928" w14:textId="77777777" w:rsidR="00597DE2" w:rsidRPr="00DC1A5F" w:rsidRDefault="00597DE2" w:rsidP="00597DE2">
      <w:pPr>
        <w:tabs>
          <w:tab w:val="clear" w:pos="425"/>
        </w:tabs>
        <w:spacing w:after="160"/>
      </w:pPr>
      <w:r w:rsidRPr="00DC1A5F">
        <w:br w:type="page"/>
      </w:r>
    </w:p>
    <w:p w14:paraId="148658F4" w14:textId="77777777" w:rsidR="00597DE2" w:rsidRPr="00DC1A5F" w:rsidRDefault="00597DE2" w:rsidP="00597DE2">
      <w:pPr>
        <w:pStyle w:val="Textoindependiente"/>
      </w:pPr>
      <w:r w:rsidRPr="00DC1A5F">
        <w:lastRenderedPageBreak/>
        <w:t xml:space="preserve">apropiado de consciencia próxima (contigua) a sí misma será una condición de proximidad. Por eso se dice al respecto: “la condición como proximidad: la consciencia visual y los estados asociados con ella corresponderán a una condición, en calidad de </w:t>
      </w:r>
      <w:r w:rsidRPr="00DC1A5F">
        <w:rPr>
          <w:i/>
          <w:iCs/>
        </w:rPr>
        <w:t>condición como proximidad</w:t>
      </w:r>
      <w:r w:rsidRPr="00DC1A5F">
        <w:t>, para el elemento mental y para los estados asociados a él” (</w:t>
      </w:r>
      <w:proofErr w:type="spellStart"/>
      <w:r w:rsidRPr="00DC1A5F">
        <w:rPr>
          <w:i/>
          <w:iCs/>
        </w:rPr>
        <w:t>Paṭṭh</w:t>
      </w:r>
      <w:proofErr w:type="spellEnd"/>
      <w:r w:rsidRPr="00DC1A5F">
        <w:t xml:space="preserve"> I 2).</w:t>
      </w:r>
    </w:p>
    <w:p w14:paraId="010F3ED1" w14:textId="77777777" w:rsidR="00597DE2" w:rsidRPr="00DC1A5F" w:rsidRDefault="00597DE2" w:rsidP="00597DE2">
      <w:r w:rsidRPr="00DC1A5F">
        <w:t xml:space="preserve">74. </w:t>
      </w:r>
      <w:r w:rsidRPr="00DC1A5F">
        <w:tab/>
        <w:t>(5) La condición de proximidad corresponderá a lo mismo que la condición de contigüidad. La diferencia aquí se encontrará sólo en la letra, no la habrá en el significado; tal como en el caso de las palabras “crecimiento” y “continuidad” (XIV.66), etc., y como en el caso de la “díada terminológica”, “díada lingüística” (</w:t>
      </w:r>
      <w:proofErr w:type="spellStart"/>
      <w:r w:rsidRPr="00DC1A5F">
        <w:t>Dhs</w:t>
      </w:r>
      <w:proofErr w:type="spellEnd"/>
      <w:r w:rsidRPr="00DC1A5F">
        <w:t xml:space="preserve"> §1306), etc.</w:t>
      </w:r>
    </w:p>
    <w:p w14:paraId="40E997EA" w14:textId="77777777" w:rsidR="00597DE2" w:rsidRPr="00DC1A5F" w:rsidRDefault="00597DE2" w:rsidP="00597DE2">
      <w:r w:rsidRPr="00DC1A5F">
        <w:t xml:space="preserve">75. </w:t>
      </w:r>
      <w:r w:rsidRPr="00DC1A5F">
        <w:tab/>
        <w:t>La opinión de ciertos maestros</w:t>
      </w:r>
      <w:r w:rsidRPr="00DC1A5F">
        <w:rPr>
          <w:vertAlign w:val="superscript"/>
        </w:rPr>
        <w:t>13</w:t>
      </w:r>
      <w:r w:rsidRPr="00DC1A5F">
        <w:t xml:space="preserve"> es que la condición de proximidad se refiere a la proximidad del objetivo (del fruto, del efecto) y la condición de contigüidad se refiere a la proximidad temporal o del momento. No obstante, ello se contradice con afirmaciones tales como “La consciencia productiva perteneciente a la base consistente de la no–percepción–ni–no–percepción en alguien que emerja de la cesación corresponderá a una condición, en calidad de </w:t>
      </w:r>
      <w:r w:rsidRPr="00DC1A5F">
        <w:rPr>
          <w:i/>
          <w:iCs/>
        </w:rPr>
        <w:t>condición como contigüidad</w:t>
      </w:r>
      <w:r w:rsidRPr="00DC1A5F">
        <w:t>, para la consumación de la consciencia de la fruición” (</w:t>
      </w:r>
      <w:proofErr w:type="spellStart"/>
      <w:r w:rsidRPr="00DC1A5F">
        <w:rPr>
          <w:i/>
          <w:iCs/>
        </w:rPr>
        <w:t>Paṭṭh</w:t>
      </w:r>
      <w:proofErr w:type="spellEnd"/>
      <w:r w:rsidRPr="00DC1A5F">
        <w:t xml:space="preserve"> I 160).</w:t>
      </w:r>
    </w:p>
    <w:p w14:paraId="5C75CA7E" w14:textId="77777777" w:rsidR="00597DE2" w:rsidRPr="00DC1A5F" w:rsidRDefault="00597DE2" w:rsidP="00597DE2">
      <w:pPr>
        <w:rPr>
          <w:vertAlign w:val="superscript"/>
        </w:rPr>
      </w:pPr>
      <w:r w:rsidRPr="00DC1A5F">
        <w:t xml:space="preserve">76. </w:t>
      </w:r>
      <w:r w:rsidRPr="00DC1A5F">
        <w:tab/>
        <w:t xml:space="preserve">Ahora bien, dicen en este contexto que “la capacidad de los estados para producir su efecto no disminuirá, pero que la influencia del desarrollo meditativo impedirá que los estados surjan como proximidad”. No obstante, eso sólo establece que no habrá proximidad temporal; y también se afirma lo mismo, es decir, de que allí no habrá proximidad temporal debido a la influencia del desarrollo </w:t>
      </w:r>
      <w:r w:rsidRPr="00DC1A5F">
        <w:rPr>
          <w:i/>
          <w:iCs/>
          <w:color w:val="833C0B" w:themeColor="accent2" w:themeShade="80"/>
        </w:rPr>
        <w:t>meditativo</w:t>
      </w:r>
      <w:r w:rsidRPr="00DC1A5F">
        <w:t xml:space="preserve">. [535] Sin embargo, como no habrá proximidad temporal, el estado de </w:t>
      </w:r>
      <w:r w:rsidRPr="00DC1A5F">
        <w:rPr>
          <w:i/>
          <w:iCs/>
        </w:rPr>
        <w:t>condición como contigüidad</w:t>
      </w:r>
      <w:r w:rsidRPr="00DC1A5F">
        <w:t xml:space="preserve"> será, por lo tanto, imposible [según ellos] ya que su creencia se basa en el hecho de que la condición de contigüidad dependerá de la proximidad temporal (cf. M–a II 363). En lugar de adoptar tal interpretación incorrecta, la diferencia deberá tratarse como si residiera únicamente en la letra, no en el significado. ¿cómo? No existirá intervalo (</w:t>
      </w:r>
      <w:r w:rsidRPr="00DC1A5F">
        <w:rPr>
          <w:i/>
          <w:iCs/>
        </w:rPr>
        <w:t>antara</w:t>
      </w:r>
      <w:r w:rsidRPr="00DC1A5F">
        <w:t>) entre ellos, así es cómo serán próximos (</w:t>
      </w:r>
      <w:proofErr w:type="spellStart"/>
      <w:r w:rsidRPr="00DC1A5F">
        <w:rPr>
          <w:i/>
          <w:iCs/>
        </w:rPr>
        <w:t>anantara</w:t>
      </w:r>
      <w:proofErr w:type="spellEnd"/>
      <w:r w:rsidRPr="00DC1A5F">
        <w:t xml:space="preserve">); no se darán sin ningún intervalo porque incluso la distinción de la </w:t>
      </w:r>
      <w:proofErr w:type="spellStart"/>
      <w:r w:rsidRPr="00DC1A5F">
        <w:rPr>
          <w:i/>
          <w:iCs/>
        </w:rPr>
        <w:t>co</w:t>
      </w:r>
      <w:proofErr w:type="spellEnd"/>
      <w:r w:rsidRPr="00DC1A5F">
        <w:rPr>
          <w:i/>
          <w:iCs/>
        </w:rPr>
        <w:t xml:space="preserve">–presencia </w:t>
      </w:r>
      <w:r w:rsidRPr="00DC1A5F">
        <w:t>estará ausente, por lo que serán contiguos (</w:t>
      </w:r>
      <w:proofErr w:type="spellStart"/>
      <w:r w:rsidRPr="00DC1A5F">
        <w:rPr>
          <w:i/>
          <w:iCs/>
        </w:rPr>
        <w:t>samanantara</w:t>
      </w:r>
      <w:proofErr w:type="spellEnd"/>
      <w:r w:rsidRPr="00DC1A5F">
        <w:t>).</w:t>
      </w:r>
      <w:r w:rsidRPr="00DC1A5F">
        <w:rPr>
          <w:vertAlign w:val="superscript"/>
        </w:rPr>
        <w:t>14</w:t>
      </w:r>
    </w:p>
    <w:p w14:paraId="2DE62AF3" w14:textId="77777777" w:rsidR="00597DE2" w:rsidRPr="00DC1A5F" w:rsidRDefault="00597DE2" w:rsidP="00597DE2">
      <w:r w:rsidRPr="00DC1A5F">
        <w:t xml:space="preserve">77. </w:t>
      </w:r>
      <w:r w:rsidRPr="00DC1A5F">
        <w:tab/>
        <w:t>(6) Un estado que al surgir asista a otro estado. haciéndolo surgir junto a él mismo. corresponderá a una condición coetánea, como una lámpara lo será a la iluminación. Con los agregados inmateriales, etc., será séxtuple, según se dice al respecto: “(i) Los cuatro agregados inmateriales corresponderán a una condición, como condición de consciencia, uno con el otro, (</w:t>
      </w:r>
      <w:proofErr w:type="spellStart"/>
      <w:r w:rsidRPr="00DC1A5F">
        <w:t>ii</w:t>
      </w:r>
      <w:proofErr w:type="spellEnd"/>
      <w:r w:rsidRPr="00DC1A5F">
        <w:t>) los cuatro grandes primarios corresponderán … uno con el otro ; (</w:t>
      </w:r>
      <w:proofErr w:type="spellStart"/>
      <w:r w:rsidRPr="00DC1A5F">
        <w:t>iii</w:t>
      </w:r>
      <w:proofErr w:type="spellEnd"/>
      <w:r w:rsidRPr="00DC1A5F">
        <w:t>) en el momento del descenso a la matriz, la mentalidad y materialidad corresponderán... la una para la otra; (</w:t>
      </w:r>
      <w:proofErr w:type="spellStart"/>
      <w:r w:rsidRPr="00DC1A5F">
        <w:t>iv</w:t>
      </w:r>
      <w:proofErr w:type="spellEnd"/>
      <w:r w:rsidRPr="00DC1A5F">
        <w:t xml:space="preserve">) los estados de consciencia y sus concomitantes corresponderán... para los tipos de materialidad originados por la consciencia; (v) los grandes primarios corresponderán … para la materialidad derivada; (vi) los estados materiales corresponderán a veces, como en el vínculo–de–renacimiento, a una condición, como condición de consciencia y, a veces, </w:t>
      </w:r>
    </w:p>
    <w:p w14:paraId="720A8AA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97756AF" w14:textId="77777777" w:rsidR="00597DE2" w:rsidRPr="00DC1A5F" w:rsidRDefault="00597DE2" w:rsidP="00597DE2">
      <w:pPr>
        <w:pStyle w:val="PiedepginaLegal"/>
        <w:numPr>
          <w:ilvl w:val="0"/>
          <w:numId w:val="6"/>
        </w:numPr>
        <w:tabs>
          <w:tab w:val="clear" w:pos="425"/>
        </w:tabs>
        <w:ind w:left="284" w:hanging="284"/>
      </w:pPr>
      <w:r w:rsidRPr="00DC1A5F">
        <w:t xml:space="preserve">“Esto también se refiere al Venerable </w:t>
      </w:r>
      <w:proofErr w:type="spellStart"/>
      <w:r w:rsidRPr="00DC1A5F">
        <w:t>Revata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586).</w:t>
      </w:r>
    </w:p>
    <w:p w14:paraId="12453BD6" w14:textId="77777777" w:rsidR="00597DE2" w:rsidRPr="00DC1A5F" w:rsidRDefault="00597DE2" w:rsidP="00597DE2">
      <w:pPr>
        <w:pStyle w:val="PiedepginaLegal"/>
        <w:numPr>
          <w:ilvl w:val="0"/>
          <w:numId w:val="6"/>
        </w:numPr>
        <w:tabs>
          <w:tab w:val="clear" w:pos="425"/>
        </w:tabs>
        <w:spacing w:after="160"/>
        <w:ind w:left="284" w:hanging="284"/>
      </w:pPr>
      <w:r w:rsidRPr="00DC1A5F">
        <w:t xml:space="preserve">“El estado de condición de proximidad corresponderá a la capacidad de causar un surgimiento próximo (sin intervalo) porque no existirá intervalo entre la cesación de lo anterior y el surgimiento de lo posterior. </w:t>
      </w:r>
      <w:r w:rsidRPr="00DC1A5F">
        <w:rPr>
          <w:color w:val="auto"/>
          <w:u w:color="000000"/>
        </w:rPr>
        <w:t xml:space="preserve">El estado de la </w:t>
      </w:r>
      <w:r w:rsidRPr="00DC1A5F">
        <w:rPr>
          <w:i/>
          <w:iCs/>
          <w:color w:val="auto"/>
          <w:u w:color="000000"/>
        </w:rPr>
        <w:t>condición de</w:t>
      </w:r>
      <w:r w:rsidRPr="00DC1A5F">
        <w:rPr>
          <w:color w:val="auto"/>
          <w:u w:color="000000"/>
        </w:rPr>
        <w:t xml:space="preserve"> </w:t>
      </w:r>
      <w:r w:rsidRPr="00DC1A5F">
        <w:rPr>
          <w:i/>
          <w:iCs/>
          <w:color w:val="auto"/>
          <w:u w:color="000000"/>
        </w:rPr>
        <w:t>contigüidad</w:t>
      </w:r>
      <w:r w:rsidRPr="00DC1A5F">
        <w:rPr>
          <w:color w:val="auto"/>
          <w:u w:color="000000"/>
        </w:rPr>
        <w:t xml:space="preserve"> será la capacidad de causar un surgimiento de una manera bastante inmediata (sin intervalo) a través de la identidad, por así decirlo, debido a la ausencia de cualquier distinción de que ‘esto esté abajo, arriba o alrededor de ello’, que se deberá a la falta de cualquier </w:t>
      </w:r>
      <w:proofErr w:type="spellStart"/>
      <w:r w:rsidRPr="00DC1A5F">
        <w:rPr>
          <w:color w:val="auto"/>
          <w:u w:color="000000"/>
        </w:rPr>
        <w:t>co</w:t>
      </w:r>
      <w:proofErr w:type="spellEnd"/>
      <w:r w:rsidRPr="00DC1A5F">
        <w:rPr>
          <w:color w:val="auto"/>
          <w:u w:color="000000"/>
        </w:rPr>
        <w:t xml:space="preserve">–presencia, como en el caso de los componentes de los grupos materiales y debido a la falta de </w:t>
      </w:r>
      <w:proofErr w:type="spellStart"/>
      <w:r w:rsidRPr="00DC1A5F">
        <w:rPr>
          <w:color w:val="auto"/>
          <w:u w:color="000000"/>
        </w:rPr>
        <w:t>co</w:t>
      </w:r>
      <w:proofErr w:type="spellEnd"/>
      <w:r w:rsidRPr="00DC1A5F">
        <w:rPr>
          <w:color w:val="auto"/>
          <w:u w:color="000000"/>
        </w:rPr>
        <w:t>–</w:t>
      </w:r>
      <w:proofErr w:type="spellStart"/>
      <w:r w:rsidRPr="00DC1A5F">
        <w:rPr>
          <w:color w:val="auto"/>
          <w:u w:color="000000"/>
        </w:rPr>
        <w:t>posicionalidad</w:t>
      </w:r>
      <w:proofErr w:type="spellEnd"/>
      <w:r w:rsidRPr="00DC1A5F">
        <w:rPr>
          <w:color w:val="auto"/>
          <w:u w:color="000000"/>
        </w:rPr>
        <w:t xml:space="preserve"> de la condición y lo condicionalmente surgido. Y en general, debido al desinterés de todos los estados (</w:t>
      </w:r>
      <w:r w:rsidRPr="00DC1A5F">
        <w:rPr>
          <w:i/>
          <w:color w:val="auto"/>
          <w:u w:color="000000"/>
        </w:rPr>
        <w:t>dhammas</w:t>
      </w:r>
      <w:r w:rsidRPr="00DC1A5F">
        <w:rPr>
          <w:color w:val="auto"/>
          <w:u w:color="000000"/>
        </w:rPr>
        <w:t>), cuando un estado dado haya cesado, o esté presente en un modo determinado y otros estados (</w:t>
      </w:r>
      <w:r w:rsidRPr="00DC1A5F">
        <w:rPr>
          <w:i/>
          <w:color w:val="auto"/>
          <w:u w:color="000000"/>
        </w:rPr>
        <w:t>dhamma</w:t>
      </w:r>
      <w:r w:rsidRPr="00DC1A5F">
        <w:rPr>
          <w:color w:val="auto"/>
          <w:u w:color="000000"/>
        </w:rPr>
        <w:t>) lleguen a estar poseídos de ese modo en particular, será éste el modo del estado que deberá considerarse como aquello a lo que se denomine ‘capacidad para causar un surgimiento’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586).</w:t>
      </w:r>
      <w:r w:rsidRPr="00DC1A5F">
        <w:br w:type="page"/>
      </w:r>
    </w:p>
    <w:p w14:paraId="0515466E" w14:textId="77777777" w:rsidR="00597DE2" w:rsidRPr="00DC1A5F" w:rsidRDefault="00597DE2" w:rsidP="00597DE2">
      <w:pPr>
        <w:pStyle w:val="Textoindependiente"/>
      </w:pPr>
      <w:r w:rsidRPr="00DC1A5F">
        <w:lastRenderedPageBreak/>
        <w:t>como en el curso de una existencia, no corresponderán a una condición como condición de consciencia para estados inmateriales” (</w:t>
      </w:r>
      <w:proofErr w:type="spellStart"/>
      <w:r w:rsidRPr="00DC1A5F">
        <w:t>Paṭṭh</w:t>
      </w:r>
      <w:proofErr w:type="spellEnd"/>
      <w:r w:rsidRPr="00DC1A5F">
        <w:t xml:space="preserve"> I 3). Esto se referirá sólo a la base del corazón.</w:t>
      </w:r>
    </w:p>
    <w:p w14:paraId="1C3B9A98" w14:textId="77777777" w:rsidR="00597DE2" w:rsidRPr="00DC1A5F" w:rsidRDefault="00597DE2" w:rsidP="00597DE2">
      <w:r w:rsidRPr="00DC1A5F">
        <w:t xml:space="preserve">78. </w:t>
      </w:r>
      <w:r w:rsidRPr="00DC1A5F">
        <w:tab/>
        <w:t xml:space="preserve">(7) Un estado que asista por medio del surgimiento y la consolidación mutuas será una </w:t>
      </w:r>
      <w:r w:rsidRPr="00DC1A5F">
        <w:rPr>
          <w:i/>
          <w:iCs/>
        </w:rPr>
        <w:t>condición como reciprocidad</w:t>
      </w:r>
      <w:r w:rsidRPr="00DC1A5F">
        <w:t>, como las tres patas de un trípode, que se darán mutuamente apoyo de consolidación. Con los agregados inmateriales, etc., serán tres, según se dice al respecto</w:t>
      </w:r>
      <w:proofErr w:type="gramStart"/>
      <w:r w:rsidRPr="00DC1A5F">
        <w:t>:  “</w:t>
      </w:r>
      <w:proofErr w:type="gramEnd"/>
      <w:r w:rsidRPr="00DC1A5F">
        <w:t xml:space="preserve">Los cuatro agregados inmateriales corresponderán a una condición, en calidad de </w:t>
      </w:r>
      <w:r w:rsidRPr="00DC1A5F">
        <w:rPr>
          <w:i/>
          <w:iCs/>
        </w:rPr>
        <w:t>condición como reciprocidad</w:t>
      </w:r>
      <w:r w:rsidRPr="00DC1A5F">
        <w:t xml:space="preserve"> entre sí; los cuatro grandes primarios corresponderán a una condición, en calidad de condición como reciprocidad entre sí; en el momento del descenso a la matriz, la mentalidad y la materialidad corresponderán a una condición, como condición de reciprocidad mutua” (</w:t>
      </w:r>
      <w:proofErr w:type="spellStart"/>
      <w:r w:rsidRPr="00DC1A5F">
        <w:rPr>
          <w:i/>
          <w:iCs/>
        </w:rPr>
        <w:t>Paṭṭh</w:t>
      </w:r>
      <w:proofErr w:type="spellEnd"/>
      <w:r w:rsidRPr="00DC1A5F">
        <w:t xml:space="preserve"> I 3).</w:t>
      </w:r>
    </w:p>
    <w:p w14:paraId="35A66846" w14:textId="77777777" w:rsidR="00597DE2" w:rsidRPr="00DC1A5F" w:rsidRDefault="00597DE2" w:rsidP="00597DE2">
      <w:r w:rsidRPr="00DC1A5F">
        <w:t>79.</w:t>
      </w:r>
      <w:r w:rsidRPr="00DC1A5F">
        <w:tab/>
        <w:t xml:space="preserve">(8) Un estado que asista en modo de fundación y en modo de soporte corresponderá a una </w:t>
      </w:r>
      <w:r w:rsidRPr="00DC1A5F">
        <w:rPr>
          <w:i/>
          <w:iCs/>
        </w:rPr>
        <w:t>condición como soporte</w:t>
      </w:r>
      <w:r w:rsidRPr="00DC1A5F">
        <w:t xml:space="preserve">, como la tierra lo será para los árboles, como el lienzo para las pinturas, etc. Deberá entenderse de la manera establecida para la </w:t>
      </w:r>
      <w:proofErr w:type="spellStart"/>
      <w:r w:rsidRPr="00DC1A5F">
        <w:t>coetaneidad</w:t>
      </w:r>
      <w:proofErr w:type="spellEnd"/>
      <w:r w:rsidRPr="00DC1A5F">
        <w:t xml:space="preserve"> así: “Los cuatro agregados inmateriales corresponderán a una condición, como condición de soporte, mutuamente” (</w:t>
      </w:r>
      <w:proofErr w:type="spellStart"/>
      <w:r w:rsidRPr="00DC1A5F">
        <w:rPr>
          <w:i/>
          <w:iCs/>
        </w:rPr>
        <w:t>Paṭṭh</w:t>
      </w:r>
      <w:proofErr w:type="spellEnd"/>
      <w:r w:rsidRPr="00DC1A5F">
        <w:t xml:space="preserve"> I 3), pero la sexta instancia ha sido expuesta de esta manera aquí: “La base visual será una condición, como condición de soporte para el elemento de la consciencia visual y para los estados asociados con él; la base del oído... la base de la nariz... la base de la lengua... la base del cuerpo serán una condición, como condición de soporte, para el elemento cuerpo–consciencia y para los estados asociados con él; la materialidad con la que como su soporte ocurran el elemento mental y el elemento mental–consciente corresponderá a una condición, como condición de soporte para el elemento mental, para el elemento mental–consciente y para los estados asociados con ellos” (</w:t>
      </w:r>
      <w:proofErr w:type="spellStart"/>
      <w:r w:rsidRPr="00DC1A5F">
        <w:rPr>
          <w:i/>
          <w:iCs/>
        </w:rPr>
        <w:t>Paṭṭh</w:t>
      </w:r>
      <w:proofErr w:type="spellEnd"/>
      <w:r w:rsidRPr="00DC1A5F">
        <w:t xml:space="preserve"> I 4).</w:t>
      </w:r>
    </w:p>
    <w:p w14:paraId="4BFB21F7" w14:textId="77777777" w:rsidR="00597DE2" w:rsidRPr="00DC1A5F" w:rsidRDefault="00597DE2" w:rsidP="00597DE2">
      <w:r w:rsidRPr="00DC1A5F">
        <w:t>80.</w:t>
      </w:r>
      <w:r w:rsidRPr="00DC1A5F">
        <w:tab/>
        <w:t xml:space="preserve"> (9) </w:t>
      </w:r>
      <w:r w:rsidRPr="00DC1A5F">
        <w:rPr>
          <w:i/>
          <w:iCs/>
        </w:rPr>
        <w:t>Condición como soporte decisivo</w:t>
      </w:r>
      <w:r w:rsidRPr="00DC1A5F">
        <w:t xml:space="preserve">: en primer lugar, aquí se encuentra el significado de la palabra: [536] será tratado como soporte, no dispensado con, por su propio efecto debido a que la existencia de su propio efecto dependerá de él, por lo que corresponderá a un soporte. No obstante, así como una gran desdicha es también desesperación, un gran soporte corresponderá a un soporte decisivo. Éste corresponderá a un término para una razón convincente. En consecuencia, un estado que asista al ser con una razón imperiosa deberá entenderse en calidad de </w:t>
      </w:r>
      <w:r w:rsidRPr="00DC1A5F">
        <w:rPr>
          <w:i/>
          <w:iCs/>
        </w:rPr>
        <w:t>condición como soporte decisivo</w:t>
      </w:r>
      <w:r w:rsidRPr="00DC1A5F">
        <w:t>.</w:t>
      </w:r>
    </w:p>
    <w:p w14:paraId="7C52E714" w14:textId="77777777" w:rsidR="00597DE2" w:rsidRPr="00DC1A5F" w:rsidRDefault="00597DE2" w:rsidP="00597DE2">
      <w:pPr>
        <w:pStyle w:val="NormalConSangria"/>
      </w:pPr>
      <w:r w:rsidRPr="00DC1A5F">
        <w:t>Serán de tres tipos, es decir, (a) como soporte decisivo del objeto, (b) como soporte decisivo próximo y (c) condición como soporte decisivo y natural.</w:t>
      </w:r>
    </w:p>
    <w:p w14:paraId="1377EF1E" w14:textId="77777777" w:rsidR="00597DE2" w:rsidRPr="00DC1A5F" w:rsidRDefault="00597DE2" w:rsidP="00597DE2">
      <w:r w:rsidRPr="00DC1A5F">
        <w:t xml:space="preserve">81. </w:t>
      </w:r>
      <w:r w:rsidRPr="00DC1A5F">
        <w:tab/>
        <w:t xml:space="preserve">(a) Aquí, en primer lugar, se establecerá la condición como soporte decisivo del objeto sin diferenciarla del predominio de objeto según el pasaje que comienza con: “Habiendo dado un presente, habiendo asumido los preceptos de la virtud, habiendo cumplido los deberes del </w:t>
      </w:r>
      <w:proofErr w:type="spellStart"/>
      <w:r w:rsidRPr="00DC1A5F">
        <w:rPr>
          <w:i/>
        </w:rPr>
        <w:t>Uposatha</w:t>
      </w:r>
      <w:proofErr w:type="spellEnd"/>
      <w:r w:rsidRPr="00DC1A5F">
        <w:t xml:space="preserve">, un hombre le dará esa importancia y la revisará; dará importancia a las cosas anteriores bien hechas y las revisará. Habiendo surgido del </w:t>
      </w:r>
      <w:proofErr w:type="spellStart"/>
      <w:r w:rsidRPr="00DC1A5F">
        <w:rPr>
          <w:i/>
        </w:rPr>
        <w:t>jhāna</w:t>
      </w:r>
      <w:proofErr w:type="spellEnd"/>
      <w:r w:rsidRPr="00DC1A5F">
        <w:t xml:space="preserve">, le dará importancia al </w:t>
      </w:r>
      <w:proofErr w:type="spellStart"/>
      <w:r w:rsidRPr="00DC1A5F">
        <w:rPr>
          <w:i/>
        </w:rPr>
        <w:t>jhāna</w:t>
      </w:r>
      <w:proofErr w:type="spellEnd"/>
      <w:r w:rsidRPr="00DC1A5F">
        <w:t xml:space="preserve"> y la revisará. Los instructores darán importancia al cambio de linaje y lo revisarán. Le darán importancia a la purificación y la revisarán.</w:t>
      </w:r>
      <w:r w:rsidRPr="00DC1A5F">
        <w:rPr>
          <w:vertAlign w:val="superscript"/>
        </w:rPr>
        <w:t>15</w:t>
      </w:r>
      <w:r w:rsidRPr="00DC1A5F">
        <w:t xml:space="preserve"> Los instructores, habiendo emergido de un sendero, darán importancia al sendero y lo revisarán” (</w:t>
      </w:r>
      <w:proofErr w:type="spellStart"/>
      <w:r w:rsidRPr="00DC1A5F">
        <w:rPr>
          <w:i/>
          <w:iCs/>
        </w:rPr>
        <w:t>Paṭṭh</w:t>
      </w:r>
      <w:proofErr w:type="spellEnd"/>
      <w:r w:rsidRPr="00DC1A5F">
        <w:t xml:space="preserve"> I 165). Aquí, el objeto al dar importancia a aquello por lo cual surgirán la consciencia y los concomitantes de la consciencia, será necesariamente uno </w:t>
      </w:r>
    </w:p>
    <w:p w14:paraId="7B1D075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3AEC230" w14:textId="77777777" w:rsidR="00597DE2" w:rsidRPr="00DC1A5F" w:rsidRDefault="00597DE2" w:rsidP="00597DE2">
      <w:pPr>
        <w:pStyle w:val="PiedepginaLegal"/>
        <w:numPr>
          <w:ilvl w:val="0"/>
          <w:numId w:val="6"/>
        </w:numPr>
        <w:tabs>
          <w:tab w:val="clear" w:pos="425"/>
        </w:tabs>
        <w:spacing w:after="160"/>
        <w:ind w:left="284" w:hanging="284"/>
      </w:pPr>
      <w:r w:rsidRPr="00DC1A5F">
        <w:rPr>
          <w:color w:val="auto"/>
          <w:u w:color="000000"/>
        </w:rPr>
        <w:t xml:space="preserve">“Revisión del cambio de linaje” (la consciencia que preceda a la consciencia del sendero) se aplicará a los que entren a la corriente. La “purificación de la examinación” (la “purificación” consistente de la consumación de un sendero más elevado que el previo) se aplicará a los que retornen–por–única–vez y a los no–retornantes (ver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589).</w:t>
      </w:r>
      <w:r w:rsidRPr="00DC1A5F">
        <w:br w:type="page"/>
      </w:r>
    </w:p>
    <w:p w14:paraId="025C6669" w14:textId="77777777" w:rsidR="00597DE2" w:rsidRPr="00DC1A5F" w:rsidRDefault="00597DE2" w:rsidP="00597DE2"/>
    <w:p w14:paraId="2DD17BC0" w14:textId="77777777" w:rsidR="00597DE2" w:rsidRPr="00DC1A5F" w:rsidRDefault="00597DE2" w:rsidP="00597DE2">
      <w:pPr>
        <w:pStyle w:val="Textoindependiente"/>
      </w:pPr>
      <w:r w:rsidRPr="00DC1A5F">
        <w:t xml:space="preserve">convincente entre estos objetos. Por lo tanto, su diferencia podrá entenderse de esta manera: el </w:t>
      </w:r>
      <w:r w:rsidRPr="00DC1A5F">
        <w:rPr>
          <w:i/>
          <w:iCs/>
        </w:rPr>
        <w:t>predominio del objeto</w:t>
      </w:r>
      <w:r w:rsidRPr="00DC1A5F">
        <w:t xml:space="preserve"> será en el sentido de aquello a lo que se le debe dar importancia y el </w:t>
      </w:r>
      <w:r w:rsidRPr="00DC1A5F">
        <w:rPr>
          <w:i/>
          <w:iCs/>
        </w:rPr>
        <w:t>soporte decisivo del objeto</w:t>
      </w:r>
      <w:r w:rsidRPr="00DC1A5F">
        <w:t xml:space="preserve"> será en el sentido de una razón </w:t>
      </w:r>
      <w:r w:rsidRPr="00DC1A5F">
        <w:rPr>
          <w:color w:val="833C0B" w:themeColor="accent2" w:themeShade="80"/>
        </w:rPr>
        <w:t xml:space="preserve">{causa?} </w:t>
      </w:r>
      <w:r w:rsidRPr="00DC1A5F">
        <w:t>convincente.</w:t>
      </w:r>
    </w:p>
    <w:p w14:paraId="588531AB" w14:textId="77777777" w:rsidR="00597DE2" w:rsidRPr="00DC1A5F" w:rsidRDefault="00597DE2" w:rsidP="00597DE2">
      <w:r w:rsidRPr="00DC1A5F">
        <w:t xml:space="preserve">82. </w:t>
      </w:r>
      <w:r w:rsidRPr="00DC1A5F">
        <w:tab/>
        <w:t xml:space="preserve">(b) También se establecerá la </w:t>
      </w:r>
      <w:r w:rsidRPr="00DC1A5F">
        <w:rPr>
          <w:i/>
          <w:iCs/>
        </w:rPr>
        <w:t>condición de soporte decisivo próximo</w:t>
      </w:r>
      <w:r w:rsidRPr="00DC1A5F">
        <w:t xml:space="preserve"> sin diferenciarla de la </w:t>
      </w:r>
      <w:r w:rsidRPr="00DC1A5F">
        <w:rPr>
          <w:i/>
          <w:iCs/>
        </w:rPr>
        <w:t>condición como proximidad</w:t>
      </w:r>
      <w:r w:rsidRPr="00DC1A5F">
        <w:t xml:space="preserve"> </w:t>
      </w:r>
      <w:proofErr w:type="gramStart"/>
      <w:r w:rsidRPr="00DC1A5F">
        <w:t>de acuerdo al</w:t>
      </w:r>
      <w:proofErr w:type="gramEnd"/>
      <w:r w:rsidRPr="00DC1A5F">
        <w:t xml:space="preserve"> pasaje que comienza con: “Cualquier agregado productivo precedente corresponderá a una condición, como condición de soporte decisivo para cualquier agregado sucesivo” (</w:t>
      </w:r>
      <w:proofErr w:type="spellStart"/>
      <w:r w:rsidRPr="00DC1A5F">
        <w:rPr>
          <w:i/>
          <w:iCs/>
        </w:rPr>
        <w:t>Paṭṭh</w:t>
      </w:r>
      <w:proofErr w:type="spellEnd"/>
      <w:r w:rsidRPr="00DC1A5F">
        <w:t xml:space="preserve"> I 165). No obstante, en la exposición habrá una distinción, porque en la exposición de la </w:t>
      </w:r>
      <w:r w:rsidRPr="00DC1A5F">
        <w:rPr>
          <w:color w:val="1F3864" w:themeColor="accent1" w:themeShade="80"/>
        </w:rPr>
        <w:t>programa</w:t>
      </w:r>
      <w:r w:rsidRPr="00DC1A5F">
        <w:t xml:space="preserve"> (</w:t>
      </w:r>
      <w:proofErr w:type="spellStart"/>
      <w:r w:rsidRPr="00DC1A5F">
        <w:rPr>
          <w:i/>
          <w:iCs/>
        </w:rPr>
        <w:t>mātikā</w:t>
      </w:r>
      <w:proofErr w:type="spellEnd"/>
      <w:r w:rsidRPr="00DC1A5F">
        <w:rPr>
          <w:i/>
          <w:iCs/>
        </w:rPr>
        <w:t>–</w:t>
      </w:r>
      <w:proofErr w:type="spellStart"/>
      <w:r w:rsidRPr="00DC1A5F">
        <w:rPr>
          <w:i/>
          <w:iCs/>
        </w:rPr>
        <w:t>nikkhepa</w:t>
      </w:r>
      <w:proofErr w:type="spellEnd"/>
      <w:r w:rsidRPr="00DC1A5F">
        <w:t>) se dará como proximidad según el pasaje que comienza con “El elemento de la consciencia visual y los estados asociados con él corresponderán a una condición, como condición de proximidad, para el elemento mental y para los estados asociados con él” (</w:t>
      </w:r>
      <w:proofErr w:type="spellStart"/>
      <w:r w:rsidRPr="00DC1A5F">
        <w:rPr>
          <w:i/>
          <w:iCs/>
        </w:rPr>
        <w:t>Paṭṭh</w:t>
      </w:r>
      <w:proofErr w:type="spellEnd"/>
      <w:r w:rsidRPr="00DC1A5F">
        <w:t xml:space="preserve"> I 2) y como soporte decisivo en el pasaje que comienza con, “Cualquier estado productivo precedente será una condición como condición de soporte decisivo, para cualquier estado productivo sucesivo” (</w:t>
      </w:r>
      <w:proofErr w:type="spellStart"/>
      <w:r w:rsidRPr="00DC1A5F">
        <w:rPr>
          <w:i/>
          <w:iCs/>
        </w:rPr>
        <w:t>Paṭṭh</w:t>
      </w:r>
      <w:proofErr w:type="spellEnd"/>
      <w:r w:rsidRPr="00DC1A5F">
        <w:t xml:space="preserve"> I 4), aunque vengan a ser lo mismo en cuanto al significado. Sin embargo, la </w:t>
      </w:r>
      <w:r w:rsidRPr="00DC1A5F">
        <w:rPr>
          <w:i/>
          <w:iCs/>
        </w:rPr>
        <w:t>proximidad</w:t>
      </w:r>
      <w:r w:rsidRPr="00DC1A5F">
        <w:t xml:space="preserve"> podrá ser entendida como la capacidad de causar la ocurrencia de un surgimiento consciente apropiado y próximo (contiguo) a sí mismo y como </w:t>
      </w:r>
      <w:r w:rsidRPr="00DC1A5F">
        <w:rPr>
          <w:i/>
          <w:iCs/>
        </w:rPr>
        <w:t>soporte decisivo</w:t>
      </w:r>
      <w:r w:rsidRPr="00DC1A5F">
        <w:t xml:space="preserve"> en forma de contundencia en la consciencia precedente en el surgimiento de las consciencias sucesivas.</w:t>
      </w:r>
    </w:p>
    <w:p w14:paraId="08CF5174" w14:textId="77777777" w:rsidR="00597DE2" w:rsidRPr="00DC1A5F" w:rsidRDefault="00597DE2" w:rsidP="00597DE2">
      <w:r w:rsidRPr="00DC1A5F">
        <w:t xml:space="preserve">83. </w:t>
      </w:r>
      <w:r w:rsidRPr="00DC1A5F">
        <w:tab/>
        <w:t xml:space="preserve">Ya que mientras que en los casos de la causa–raíz y otras condiciones similares, la consciencia podría surgir realmente sin ninguna de esas condiciones, no se dará ningún surgimiento de consciencia sin una consciencia próxima que la preceda, así que ésta corresponderá a una condición convincente. Su diferencia, entonces, podrá entenderse de esta manera: la </w:t>
      </w:r>
      <w:r w:rsidRPr="00DC1A5F">
        <w:rPr>
          <w:i/>
          <w:iCs/>
        </w:rPr>
        <w:t>condición como proximidad</w:t>
      </w:r>
      <w:r w:rsidRPr="00DC1A5F">
        <w:t xml:space="preserve"> hará surgir una consciencia apropiada próxima (contigua) a sí misma, mientras que la </w:t>
      </w:r>
      <w:r w:rsidRPr="00DC1A5F">
        <w:rPr>
          <w:i/>
          <w:iCs/>
        </w:rPr>
        <w:t>condición como soporte decisivo próximo</w:t>
      </w:r>
      <w:r w:rsidRPr="00DC1A5F">
        <w:t xml:space="preserve"> corresponderá a una razón </w:t>
      </w:r>
      <w:r w:rsidRPr="00DC1A5F">
        <w:rPr>
          <w:color w:val="833C0B" w:themeColor="accent2" w:themeShade="80"/>
        </w:rPr>
        <w:t>{causa?}</w:t>
      </w:r>
      <w:r w:rsidRPr="00DC1A5F">
        <w:t xml:space="preserve"> convincente.</w:t>
      </w:r>
    </w:p>
    <w:p w14:paraId="14748AF0" w14:textId="77777777" w:rsidR="00597DE2" w:rsidRPr="00DC1A5F" w:rsidRDefault="00597DE2" w:rsidP="00597DE2">
      <w:r w:rsidRPr="00DC1A5F">
        <w:t xml:space="preserve">84. </w:t>
      </w:r>
      <w:r w:rsidRPr="00DC1A5F">
        <w:tab/>
        <w:t xml:space="preserve">(c) En cuanto a la condición como </w:t>
      </w:r>
      <w:r w:rsidRPr="00DC1A5F">
        <w:rPr>
          <w:i/>
          <w:iCs/>
        </w:rPr>
        <w:t>soporte–decisivo–natural</w:t>
      </w:r>
      <w:r w:rsidRPr="00DC1A5F">
        <w:t xml:space="preserve">: el soporte–decisivo será natural, por lo tanto corresponderá a un soporte–decisivo–natural. A la fe, a la virtud, etc., producidas en, o al clima, a la comida, etc., habituales a la propia continuidad, se les denominará naturales. O bien, será un soporte decisivo por naturaleza, [537] por lo tanto corresponderá a un soporte–decisivo–natural. El significado es que no estará mezclado con el objeto y la proximidad. Deberá entenderse como dividido de diversas maneras según el pasaje que comienza con: “El </w:t>
      </w:r>
      <w:r w:rsidRPr="00DC1A5F">
        <w:rPr>
          <w:i/>
          <w:iCs/>
        </w:rPr>
        <w:t>soporte–decisivo–natural</w:t>
      </w:r>
      <w:r w:rsidRPr="00DC1A5F">
        <w:t xml:space="preserve">: con la fe como soporte decisivo, un hombre ofrece un presente, asume los preceptos de la virtud, cumple los deberes del </w:t>
      </w:r>
      <w:proofErr w:type="spellStart"/>
      <w:r w:rsidRPr="00DC1A5F">
        <w:rPr>
          <w:i/>
        </w:rPr>
        <w:t>Uposatha</w:t>
      </w:r>
      <w:proofErr w:type="spellEnd"/>
      <w:r w:rsidRPr="00DC1A5F">
        <w:t xml:space="preserve">, activa los </w:t>
      </w:r>
      <w:proofErr w:type="spellStart"/>
      <w:r w:rsidRPr="00DC1A5F">
        <w:rPr>
          <w:i/>
        </w:rPr>
        <w:t>jhāna</w:t>
      </w:r>
      <w:proofErr w:type="spellEnd"/>
      <w:r w:rsidRPr="00DC1A5F">
        <w:t>, hace surgir la sabiduría, surgir el sendero, surgir el conocimiento directo, hace surgir un logro. Con la virtud... Con el aprendizaje... Con la generosidad... Con el entendimiento como soporte decisivo, el hombre ofrece un presente... suscita un logro. La fe, la virtud, el aprendizaje, la generosidad, el entendimiento corresponderán a las condiciones, como condición de soporte decisivo, para el surgimiento recurrente de la fe, la virtud, el saber, la generosidad, el entendimiento” (</w:t>
      </w:r>
      <w:proofErr w:type="spellStart"/>
      <w:r w:rsidRPr="00DC1A5F">
        <w:rPr>
          <w:i/>
          <w:iCs/>
        </w:rPr>
        <w:t>Paṭṭh</w:t>
      </w:r>
      <w:proofErr w:type="spellEnd"/>
      <w:r w:rsidRPr="00DC1A5F">
        <w:t xml:space="preserve"> I 165). De modo que estas cosas que comienzan con la fe, etc., serán los soportes naturales y decisivos, ya que corresponderán a la vez a los soportes naturales y decisivos en el sentido de una razón </w:t>
      </w:r>
      <w:r w:rsidRPr="00DC1A5F">
        <w:rPr>
          <w:color w:val="833C0B" w:themeColor="accent2" w:themeShade="80"/>
        </w:rPr>
        <w:t>(¿causa?)</w:t>
      </w:r>
      <w:r w:rsidRPr="00DC1A5F">
        <w:t xml:space="preserve"> convincente.</w:t>
      </w:r>
    </w:p>
    <w:p w14:paraId="5602CAB7" w14:textId="77777777" w:rsidR="00597DE2" w:rsidRPr="00DC1A5F" w:rsidRDefault="00597DE2" w:rsidP="00597DE2">
      <w:r w:rsidRPr="00DC1A5F">
        <w:t xml:space="preserve">85. </w:t>
      </w:r>
      <w:r w:rsidRPr="00DC1A5F">
        <w:tab/>
        <w:t xml:space="preserve">(10) Un estado que asista estando presente, habiendo surgido previamente, será una </w:t>
      </w:r>
      <w:r w:rsidRPr="00DC1A5F">
        <w:rPr>
          <w:i/>
          <w:iCs/>
        </w:rPr>
        <w:t>condición como</w:t>
      </w:r>
      <w:r w:rsidRPr="00DC1A5F">
        <w:t xml:space="preserve"> </w:t>
      </w:r>
      <w:proofErr w:type="spellStart"/>
      <w:r w:rsidRPr="00DC1A5F">
        <w:rPr>
          <w:i/>
          <w:iCs/>
        </w:rPr>
        <w:t>prenacimiento</w:t>
      </w:r>
      <w:proofErr w:type="spellEnd"/>
      <w:r w:rsidRPr="00DC1A5F">
        <w:t xml:space="preserve">. Esta condición será de 11 tipos correspondientes a la base física y a los objetos de las cinco puertas más la base del corazón, según se dice al respecto: “La base del ojo será una condición, en calidad de </w:t>
      </w:r>
      <w:r w:rsidRPr="00DC1A5F">
        <w:rPr>
          <w:i/>
          <w:iCs/>
        </w:rPr>
        <w:t xml:space="preserve">condición como </w:t>
      </w:r>
      <w:proofErr w:type="spellStart"/>
      <w:r w:rsidRPr="00DC1A5F">
        <w:rPr>
          <w:i/>
          <w:iCs/>
        </w:rPr>
        <w:t>prenacimiento</w:t>
      </w:r>
      <w:proofErr w:type="spellEnd"/>
      <w:r w:rsidRPr="00DC1A5F">
        <w:t xml:space="preserve">, para el elemento de la consciencia visual y para los estados asociados con él. La base del oído... La base de la nariz... La base de </w:t>
      </w:r>
      <w:r w:rsidRPr="00DC1A5F">
        <w:br w:type="page"/>
      </w:r>
    </w:p>
    <w:p w14:paraId="4427AACB" w14:textId="77777777" w:rsidR="00597DE2" w:rsidRPr="00DC1A5F" w:rsidRDefault="00597DE2" w:rsidP="00597DE2">
      <w:pPr>
        <w:pStyle w:val="Textoindependiente"/>
      </w:pPr>
      <w:r w:rsidRPr="00DC1A5F">
        <w:lastRenderedPageBreak/>
        <w:t xml:space="preserve">la lengua... La base del cuerpo... La base de los objetos visibles... La base del sonido... La base del olor... La base del sabor... La base de los objetos tangibles será una condición, en calidad de </w:t>
      </w:r>
      <w:r w:rsidRPr="00DC1A5F">
        <w:rPr>
          <w:i/>
          <w:iCs/>
        </w:rPr>
        <w:t xml:space="preserve">condición como </w:t>
      </w:r>
      <w:proofErr w:type="spellStart"/>
      <w:r w:rsidRPr="00DC1A5F">
        <w:rPr>
          <w:i/>
          <w:iCs/>
        </w:rPr>
        <w:t>prenacimiento</w:t>
      </w:r>
      <w:proofErr w:type="spellEnd"/>
      <w:r w:rsidRPr="00DC1A5F">
        <w:t xml:space="preserve"> para el elemento corporal de la consciencia y para los estados asociados con él. La base de los objetos visibles... La base de los sonidos... La base de los olores... La base de los sabores... La base de los objetos tangibles será una condición, en calidad de </w:t>
      </w:r>
      <w:r w:rsidRPr="00DC1A5F">
        <w:rPr>
          <w:i/>
          <w:iCs/>
        </w:rPr>
        <w:t xml:space="preserve">condición como </w:t>
      </w:r>
      <w:proofErr w:type="spellStart"/>
      <w:r w:rsidRPr="00DC1A5F">
        <w:rPr>
          <w:i/>
          <w:iCs/>
        </w:rPr>
        <w:t>prenacimiento</w:t>
      </w:r>
      <w:proofErr w:type="spellEnd"/>
      <w:r w:rsidRPr="00DC1A5F">
        <w:t xml:space="preserve">, para el elemento mental. La materialidad con la que como su soporte ocurran el elemento mental y el elemento mental–consciente corresponderá a una condición, en calidad de </w:t>
      </w:r>
      <w:r w:rsidRPr="00DC1A5F">
        <w:rPr>
          <w:i/>
          <w:iCs/>
        </w:rPr>
        <w:t xml:space="preserve">condición como </w:t>
      </w:r>
      <w:proofErr w:type="spellStart"/>
      <w:r w:rsidRPr="00DC1A5F">
        <w:rPr>
          <w:i/>
          <w:iCs/>
        </w:rPr>
        <w:t>prenacimiento</w:t>
      </w:r>
      <w:proofErr w:type="spellEnd"/>
      <w:r w:rsidRPr="00DC1A5F">
        <w:t xml:space="preserve">, para el elemento mental y para los estados asociados con él, y será a veces, como en el curso de una existencia, una condición, en calidad de </w:t>
      </w:r>
      <w:r w:rsidRPr="00DC1A5F">
        <w:rPr>
          <w:i/>
          <w:iCs/>
        </w:rPr>
        <w:t xml:space="preserve">condición como </w:t>
      </w:r>
      <w:proofErr w:type="spellStart"/>
      <w:r w:rsidRPr="00DC1A5F">
        <w:rPr>
          <w:i/>
          <w:iCs/>
        </w:rPr>
        <w:t>prenacimiento</w:t>
      </w:r>
      <w:proofErr w:type="spellEnd"/>
      <w:r w:rsidRPr="00DC1A5F">
        <w:t xml:space="preserve">, a veces, como en el vínculo–de–renacimiento, no será una condición, en calidad de </w:t>
      </w:r>
      <w:r w:rsidRPr="00DC1A5F">
        <w:rPr>
          <w:i/>
          <w:iCs/>
        </w:rPr>
        <w:t xml:space="preserve">condición como </w:t>
      </w:r>
      <w:proofErr w:type="spellStart"/>
      <w:r w:rsidRPr="00DC1A5F">
        <w:rPr>
          <w:i/>
          <w:iCs/>
        </w:rPr>
        <w:t>prenacimiento</w:t>
      </w:r>
      <w:proofErr w:type="spellEnd"/>
      <w:r w:rsidRPr="00DC1A5F">
        <w:t>, para el elemento de la consciencia mental y para los estados asociados con él” (</w:t>
      </w:r>
      <w:proofErr w:type="spellStart"/>
      <w:r w:rsidRPr="00DC1A5F">
        <w:rPr>
          <w:i/>
          <w:iCs/>
        </w:rPr>
        <w:t>Paṭṭh</w:t>
      </w:r>
      <w:proofErr w:type="spellEnd"/>
      <w:r w:rsidRPr="00DC1A5F">
        <w:t xml:space="preserve"> I 4–5).</w:t>
      </w:r>
    </w:p>
    <w:p w14:paraId="40CFFF32" w14:textId="77777777" w:rsidR="00597DE2" w:rsidRPr="00DC1A5F" w:rsidRDefault="00597DE2" w:rsidP="00597DE2">
      <w:r w:rsidRPr="00DC1A5F">
        <w:t xml:space="preserve">86. </w:t>
      </w:r>
      <w:r w:rsidRPr="00DC1A5F">
        <w:tab/>
        <w:t xml:space="preserve">(11) Un estado inmaterial que, mientras esté presente, asista a los estados materiales </w:t>
      </w:r>
      <w:proofErr w:type="spellStart"/>
      <w:r w:rsidRPr="00DC1A5F">
        <w:t>prenacientes</w:t>
      </w:r>
      <w:proofErr w:type="spellEnd"/>
      <w:r w:rsidRPr="00DC1A5F">
        <w:t xml:space="preserve">, también presentes, al consolidarlos será una </w:t>
      </w:r>
      <w:r w:rsidRPr="00DC1A5F">
        <w:rPr>
          <w:i/>
          <w:iCs/>
        </w:rPr>
        <w:t xml:space="preserve">condición como </w:t>
      </w:r>
      <w:proofErr w:type="spellStart"/>
      <w:r w:rsidRPr="00DC1A5F">
        <w:rPr>
          <w:i/>
          <w:iCs/>
        </w:rPr>
        <w:t>posnacimiento</w:t>
      </w:r>
      <w:proofErr w:type="spellEnd"/>
      <w:r w:rsidRPr="00DC1A5F">
        <w:t xml:space="preserve">, como la volición del apetito por la comida, que asiste a los cuerpos de las crías de los buitres. Por eso se dice al respecto: “Los estados </w:t>
      </w:r>
      <w:proofErr w:type="spellStart"/>
      <w:r w:rsidRPr="00DC1A5F">
        <w:t>postnacientes</w:t>
      </w:r>
      <w:proofErr w:type="spellEnd"/>
      <w:r w:rsidRPr="00DC1A5F">
        <w:t xml:space="preserve"> [538] de la consciencia y sus concomitantes serán una condición, en calidad de </w:t>
      </w:r>
      <w:r w:rsidRPr="00DC1A5F">
        <w:rPr>
          <w:i/>
          <w:iCs/>
        </w:rPr>
        <w:t xml:space="preserve">condición como </w:t>
      </w:r>
      <w:proofErr w:type="spellStart"/>
      <w:r w:rsidRPr="00DC1A5F">
        <w:rPr>
          <w:i/>
          <w:iCs/>
        </w:rPr>
        <w:t>posnacimiento</w:t>
      </w:r>
      <w:proofErr w:type="spellEnd"/>
      <w:r w:rsidRPr="00DC1A5F">
        <w:t xml:space="preserve">, para el cuerpo prenaciente </w:t>
      </w:r>
      <w:proofErr w:type="spellStart"/>
      <w:r w:rsidRPr="00DC1A5F">
        <w:t>copresente</w:t>
      </w:r>
      <w:proofErr w:type="spellEnd"/>
      <w:r w:rsidRPr="00DC1A5F">
        <w:t>” (</w:t>
      </w:r>
      <w:proofErr w:type="spellStart"/>
      <w:r w:rsidRPr="00DC1A5F">
        <w:rPr>
          <w:i/>
          <w:iCs/>
        </w:rPr>
        <w:t>Paṭṭh</w:t>
      </w:r>
      <w:proofErr w:type="spellEnd"/>
      <w:r w:rsidRPr="00DC1A5F">
        <w:t xml:space="preserve"> I 5).</w:t>
      </w:r>
    </w:p>
    <w:p w14:paraId="067DE5A7" w14:textId="77777777" w:rsidR="00597DE2" w:rsidRPr="00DC1A5F" w:rsidRDefault="00597DE2" w:rsidP="00597DE2">
      <w:r w:rsidRPr="00DC1A5F">
        <w:t xml:space="preserve">87. </w:t>
      </w:r>
      <w:r w:rsidRPr="00DC1A5F">
        <w:tab/>
        <w:t xml:space="preserve">(12) Un estado que asista a la eficiencia y el poder de lo próximo (contiguo) en el sentido de repetición corresponderá a una </w:t>
      </w:r>
      <w:r w:rsidRPr="00DC1A5F">
        <w:rPr>
          <w:i/>
          <w:iCs/>
        </w:rPr>
        <w:t>condición como repetición</w:t>
      </w:r>
      <w:r w:rsidRPr="00DC1A5F">
        <w:t xml:space="preserve">, como la aplicación repetida hacia los libros, etc. Serán de tres tipos; como impulsión productiva, improductiva y funcional; pues esto se dice al respecto: “Los estados productivos precedentes serán una condición, en calidad de </w:t>
      </w:r>
      <w:r w:rsidRPr="00DC1A5F">
        <w:rPr>
          <w:i/>
          <w:iCs/>
        </w:rPr>
        <w:t>condición como repetición</w:t>
      </w:r>
      <w:r w:rsidRPr="00DC1A5F">
        <w:t xml:space="preserve">, para los estados productivos sucesivos… Los improductivos precedentes… Los estados funcionales indeterminados precedentes serán una condición, en calidad de </w:t>
      </w:r>
      <w:r w:rsidRPr="00DC1A5F">
        <w:rPr>
          <w:i/>
          <w:iCs/>
        </w:rPr>
        <w:t>condición como repetición</w:t>
      </w:r>
      <w:r w:rsidRPr="00DC1A5F">
        <w:t>, para los estados funcionales indeterminados sucesivos” (</w:t>
      </w:r>
      <w:proofErr w:type="spellStart"/>
      <w:r w:rsidRPr="00DC1A5F">
        <w:rPr>
          <w:i/>
          <w:iCs/>
        </w:rPr>
        <w:t>Paṭṭh</w:t>
      </w:r>
      <w:proofErr w:type="spellEnd"/>
      <w:r w:rsidRPr="00DC1A5F">
        <w:t xml:space="preserve"> I 5).</w:t>
      </w:r>
    </w:p>
    <w:p w14:paraId="26DFEBE5" w14:textId="77777777" w:rsidR="00597DE2" w:rsidRPr="00DC1A5F" w:rsidRDefault="00597DE2" w:rsidP="00597DE2">
      <w:r w:rsidRPr="00DC1A5F">
        <w:t xml:space="preserve">88. </w:t>
      </w:r>
      <w:r w:rsidRPr="00DC1A5F">
        <w:tab/>
        <w:t xml:space="preserve">(13) Un estado que asista por medio de la acción llamada intervención de la consciencia corresponderá a una </w:t>
      </w:r>
      <w:r w:rsidRPr="00DC1A5F">
        <w:rPr>
          <w:i/>
          <w:iCs/>
        </w:rPr>
        <w:t xml:space="preserve">condición como </w:t>
      </w:r>
      <w:proofErr w:type="spellStart"/>
      <w:r w:rsidRPr="00DC1A5F">
        <w:rPr>
          <w:i/>
          <w:iCs/>
        </w:rPr>
        <w:t>kamma</w:t>
      </w:r>
      <w:proofErr w:type="spellEnd"/>
      <w:r w:rsidRPr="00DC1A5F">
        <w:t xml:space="preserve">. Será de dos tipos como (a) volición productiva e improductiva que actuarán desde un momento diferente, y (b) como toda volición consciente (ver </w:t>
      </w:r>
      <w:proofErr w:type="spellStart"/>
      <w:r w:rsidRPr="00DC1A5F">
        <w:t>Paṭṭh</w:t>
      </w:r>
      <w:proofErr w:type="spellEnd"/>
      <w:r w:rsidRPr="00DC1A5F">
        <w:t xml:space="preserve"> I 172), según se dice al respecto: “El </w:t>
      </w:r>
      <w:proofErr w:type="spellStart"/>
      <w:r w:rsidRPr="00DC1A5F">
        <w:rPr>
          <w:i/>
        </w:rPr>
        <w:t>kamma</w:t>
      </w:r>
      <w:proofErr w:type="spellEnd"/>
      <w:r w:rsidRPr="00DC1A5F">
        <w:t xml:space="preserve"> productivo e improductivo será una condición, en calidad de </w:t>
      </w:r>
      <w:r w:rsidRPr="00DC1A5F">
        <w:rPr>
          <w:i/>
          <w:iCs/>
        </w:rPr>
        <w:t xml:space="preserve">condición como </w:t>
      </w:r>
      <w:proofErr w:type="spellStart"/>
      <w:r w:rsidRPr="00DC1A5F">
        <w:rPr>
          <w:i/>
          <w:iCs/>
        </w:rPr>
        <w:t>kamma</w:t>
      </w:r>
      <w:proofErr w:type="spellEnd"/>
      <w:r w:rsidRPr="00DC1A5F">
        <w:t xml:space="preserve">, para los agregados resultantes y para los tipos de materialidad debido al </w:t>
      </w:r>
      <w:proofErr w:type="spellStart"/>
      <w:r w:rsidRPr="00DC1A5F">
        <w:rPr>
          <w:i/>
        </w:rPr>
        <w:t>kamma</w:t>
      </w:r>
      <w:proofErr w:type="spellEnd"/>
      <w:r w:rsidRPr="00DC1A5F">
        <w:t xml:space="preserve"> realizado. La volición coetánea será una condición, en calidad de </w:t>
      </w:r>
      <w:r w:rsidRPr="00DC1A5F">
        <w:rPr>
          <w:i/>
          <w:iCs/>
        </w:rPr>
        <w:t xml:space="preserve">condición como </w:t>
      </w:r>
      <w:proofErr w:type="spellStart"/>
      <w:r w:rsidRPr="00DC1A5F">
        <w:rPr>
          <w:i/>
          <w:iCs/>
        </w:rPr>
        <w:t>kamma</w:t>
      </w:r>
      <w:proofErr w:type="spellEnd"/>
      <w:r w:rsidRPr="00DC1A5F">
        <w:t>, para los estados asociados y para los tipos de materialidad originados por ellos” (</w:t>
      </w:r>
      <w:proofErr w:type="spellStart"/>
      <w:r w:rsidRPr="00DC1A5F">
        <w:rPr>
          <w:i/>
          <w:iCs/>
        </w:rPr>
        <w:t>Paṭṭh</w:t>
      </w:r>
      <w:proofErr w:type="spellEnd"/>
      <w:r w:rsidRPr="00DC1A5F">
        <w:t xml:space="preserve"> I 5).</w:t>
      </w:r>
    </w:p>
    <w:p w14:paraId="77697AD1" w14:textId="77777777" w:rsidR="00597DE2" w:rsidRPr="00DC1A5F" w:rsidRDefault="00597DE2" w:rsidP="00597DE2">
      <w:r w:rsidRPr="00DC1A5F">
        <w:t xml:space="preserve">89. </w:t>
      </w:r>
      <w:r w:rsidRPr="00DC1A5F">
        <w:tab/>
        <w:t xml:space="preserve">(14) Un estado resultante que, mediante la tranquilidad sin esfuerzo, asista a la tranquilidad sin esfuerzo en otros estados, será una </w:t>
      </w:r>
      <w:r w:rsidRPr="00DC1A5F">
        <w:rPr>
          <w:i/>
          <w:iCs/>
        </w:rPr>
        <w:t xml:space="preserve">condición como resultado </w:t>
      </w:r>
      <w:proofErr w:type="spellStart"/>
      <w:r w:rsidRPr="00DC1A5F">
        <w:rPr>
          <w:i/>
        </w:rPr>
        <w:t>kamma</w:t>
      </w:r>
      <w:proofErr w:type="spellEnd"/>
      <w:r w:rsidRPr="00DC1A5F">
        <w:rPr>
          <w:i/>
        </w:rPr>
        <w:t>–</w:t>
      </w:r>
      <w:r w:rsidRPr="00DC1A5F">
        <w:rPr>
          <w:iCs/>
        </w:rPr>
        <w:t>resultante</w:t>
      </w:r>
      <w:r w:rsidRPr="00DC1A5F">
        <w:t xml:space="preserve">. En el curso de una existencia será una condición para los estados originados por ella y, en el vínculo–de–renacimiento lo será para los tipos de materialidad debido al </w:t>
      </w:r>
      <w:proofErr w:type="spellStart"/>
      <w:r w:rsidRPr="00DC1A5F">
        <w:rPr>
          <w:i/>
        </w:rPr>
        <w:t>kamma</w:t>
      </w:r>
      <w:proofErr w:type="spellEnd"/>
      <w:r w:rsidRPr="00DC1A5F">
        <w:t xml:space="preserve"> cometido y, en ambos casos, para los estados asociados, según se dice al respecto: “Un agregado resultante indeterminado será una condición, en calidad de condición como </w:t>
      </w:r>
      <w:r w:rsidRPr="00DC1A5F">
        <w:rPr>
          <w:i/>
          <w:iCs/>
        </w:rPr>
        <w:t>resultado</w:t>
      </w:r>
      <w:r w:rsidRPr="00DC1A5F">
        <w:t xml:space="preserve"> </w:t>
      </w:r>
      <w:proofErr w:type="spellStart"/>
      <w:r w:rsidRPr="00DC1A5F">
        <w:rPr>
          <w:i/>
        </w:rPr>
        <w:t>kammico</w:t>
      </w:r>
      <w:proofErr w:type="spellEnd"/>
      <w:r w:rsidRPr="00DC1A5F">
        <w:t xml:space="preserve">, para los tres agregados y para los tipos de materialidad originados por la consciencia... En el momento del vínculo–de–renacimiento, un agregado indeterminado resultante será una condición... para los tres agregados... los tres agregados serán una condición... para un agregado... Dos agregados serán una condición, en calidad de condición como </w:t>
      </w:r>
      <w:r w:rsidRPr="00DC1A5F">
        <w:rPr>
          <w:i/>
          <w:iCs/>
        </w:rPr>
        <w:t>resultado</w:t>
      </w:r>
      <w:r w:rsidRPr="00DC1A5F">
        <w:t xml:space="preserve"> </w:t>
      </w:r>
      <w:proofErr w:type="spellStart"/>
      <w:r w:rsidRPr="00DC1A5F">
        <w:rPr>
          <w:i/>
        </w:rPr>
        <w:t>kammico</w:t>
      </w:r>
      <w:proofErr w:type="spellEnd"/>
      <w:r w:rsidRPr="00DC1A5F">
        <w:t xml:space="preserve">, para los dos agregados y para los tipos de materialidad debido al </w:t>
      </w:r>
      <w:proofErr w:type="spellStart"/>
      <w:r w:rsidRPr="00DC1A5F">
        <w:rPr>
          <w:i/>
        </w:rPr>
        <w:t>kamma</w:t>
      </w:r>
      <w:proofErr w:type="spellEnd"/>
      <w:r w:rsidRPr="00DC1A5F">
        <w:t xml:space="preserve"> realizado. Los agregados serán una condición, como condición de resultado </w:t>
      </w:r>
      <w:proofErr w:type="spellStart"/>
      <w:r w:rsidRPr="00DC1A5F">
        <w:rPr>
          <w:i/>
        </w:rPr>
        <w:t>kammico</w:t>
      </w:r>
      <w:proofErr w:type="spellEnd"/>
      <w:r w:rsidRPr="00DC1A5F">
        <w:t>, para la base física” (</w:t>
      </w:r>
      <w:proofErr w:type="spellStart"/>
      <w:r w:rsidRPr="00DC1A5F">
        <w:rPr>
          <w:i/>
          <w:iCs/>
        </w:rPr>
        <w:t>Paṭṭh</w:t>
      </w:r>
      <w:proofErr w:type="spellEnd"/>
      <w:r w:rsidRPr="00DC1A5F">
        <w:t xml:space="preserve"> I 173).</w:t>
      </w:r>
      <w:r w:rsidRPr="00DC1A5F">
        <w:br w:type="page"/>
      </w:r>
    </w:p>
    <w:p w14:paraId="2499A0D5" w14:textId="77777777" w:rsidR="00597DE2" w:rsidRPr="00DC1A5F" w:rsidRDefault="00597DE2" w:rsidP="00597DE2">
      <w:r w:rsidRPr="00DC1A5F">
        <w:lastRenderedPageBreak/>
        <w:t xml:space="preserve">90. </w:t>
      </w:r>
      <w:r w:rsidRPr="00DC1A5F">
        <w:tab/>
        <w:t xml:space="preserve">(15) Las cuatro clases de nutrimento, las que asistan a los estados materiales e inmateriales a consolidarlos, corresponderán a las </w:t>
      </w:r>
      <w:r w:rsidRPr="00DC1A5F">
        <w:rPr>
          <w:i/>
          <w:iCs/>
        </w:rPr>
        <w:t>condiciones como nutrimento</w:t>
      </w:r>
      <w:r w:rsidRPr="00DC1A5F">
        <w:t xml:space="preserve">, según se dice al respecto: “El nutrimento físico será una condición, en calidad de </w:t>
      </w:r>
      <w:r w:rsidRPr="00DC1A5F">
        <w:rPr>
          <w:i/>
          <w:iCs/>
        </w:rPr>
        <w:t>condición como nutrimento</w:t>
      </w:r>
      <w:r w:rsidRPr="00DC1A5F">
        <w:t xml:space="preserve">, para este cuerpo. Los nutrientes inmateriales serán condiciones, en calidad de </w:t>
      </w:r>
      <w:r w:rsidRPr="00DC1A5F">
        <w:rPr>
          <w:i/>
          <w:iCs/>
        </w:rPr>
        <w:t>condición como nutrimento</w:t>
      </w:r>
      <w:r w:rsidRPr="00DC1A5F">
        <w:t>, para los estados asociados y para los tipos de materialidad originados por ellos” (</w:t>
      </w:r>
      <w:proofErr w:type="spellStart"/>
      <w:r w:rsidRPr="00DC1A5F">
        <w:rPr>
          <w:i/>
          <w:iCs/>
        </w:rPr>
        <w:t>Paṭṭh</w:t>
      </w:r>
      <w:proofErr w:type="spellEnd"/>
      <w:r w:rsidRPr="00DC1A5F">
        <w:t xml:space="preserve"> I 5). No obstante, en la Sección de Preguntas se dice al respecto: “En el momento del vínculo–de–renacimiento, los nutrimentos indeterminados resultantes serán condiciones, en calidad de </w:t>
      </w:r>
      <w:r w:rsidRPr="00DC1A5F">
        <w:rPr>
          <w:i/>
          <w:iCs/>
        </w:rPr>
        <w:t>condición como nutrimento</w:t>
      </w:r>
      <w:r w:rsidRPr="00DC1A5F">
        <w:t xml:space="preserve">, para los agregados asociados con ellos y para los tipos de materialidad debido al </w:t>
      </w:r>
      <w:proofErr w:type="spellStart"/>
      <w:r w:rsidRPr="00DC1A5F">
        <w:rPr>
          <w:i/>
        </w:rPr>
        <w:t>kamma</w:t>
      </w:r>
      <w:proofErr w:type="spellEnd"/>
      <w:r w:rsidRPr="00DC1A5F">
        <w:t xml:space="preserve"> cometido” (</w:t>
      </w:r>
      <w:proofErr w:type="spellStart"/>
      <w:r w:rsidRPr="00DC1A5F">
        <w:rPr>
          <w:i/>
          <w:iCs/>
        </w:rPr>
        <w:t>Paṭṭh</w:t>
      </w:r>
      <w:proofErr w:type="spellEnd"/>
      <w:r w:rsidRPr="00DC1A5F">
        <w:t xml:space="preserve"> I 174).</w:t>
      </w:r>
    </w:p>
    <w:p w14:paraId="34BBDD6D" w14:textId="77777777" w:rsidR="00597DE2" w:rsidRPr="00DC1A5F" w:rsidRDefault="00597DE2" w:rsidP="00597DE2">
      <w:r w:rsidRPr="00DC1A5F">
        <w:t xml:space="preserve">91. </w:t>
      </w:r>
      <w:r w:rsidRPr="00DC1A5F">
        <w:tab/>
        <w:t xml:space="preserve">(16) Dejando fuera las facultades de feminidad y masculinidad, las 20 facultades restantes (ver Cap. </w:t>
      </w:r>
      <w:proofErr w:type="gramStart"/>
      <w:r w:rsidRPr="00DC1A5F">
        <w:t>XIV.§</w:t>
      </w:r>
      <w:proofErr w:type="gramEnd"/>
      <w:r w:rsidRPr="00DC1A5F">
        <w:t>1), que asistan en sentido de predominio, [539] corresponderán a las ​​</w:t>
      </w:r>
      <w:r w:rsidRPr="00DC1A5F">
        <w:rPr>
          <w:i/>
          <w:iCs/>
        </w:rPr>
        <w:t>condiciones como facultad</w:t>
      </w:r>
      <w:r w:rsidRPr="00DC1A5F">
        <w:t xml:space="preserve">. Aquí, las 5 facultades: la facultad visual, olfativa, etc., corresponderán a las condiciones sólo para los estados inmateriales, el resto corresponderán a las condiciones para los estados materiales e inmateriales, según se dice al respecto: “La facultad visual será una condición, en calidad de </w:t>
      </w:r>
      <w:r w:rsidRPr="00DC1A5F">
        <w:rPr>
          <w:i/>
          <w:iCs/>
        </w:rPr>
        <w:t>condición como facultad</w:t>
      </w:r>
      <w:r w:rsidRPr="00DC1A5F">
        <w:t xml:space="preserve">, para el elemento de la consciencia visual y para los estados asociados con él. La facultad del oído... La facultad de la nariz... La facultad de la lengua... La facultad del cuerpo corresponderá a una condición, en calidad de </w:t>
      </w:r>
      <w:r w:rsidRPr="00DC1A5F">
        <w:rPr>
          <w:i/>
          <w:iCs/>
        </w:rPr>
        <w:t>condición como facultad</w:t>
      </w:r>
      <w:r w:rsidRPr="00DC1A5F">
        <w:t xml:space="preserve">, para el elemento de la consciencia corporal y para los estados asociados con él. La facultad vital material será una condición, en calidad de </w:t>
      </w:r>
      <w:r w:rsidRPr="00DC1A5F">
        <w:rPr>
          <w:i/>
          <w:iCs/>
        </w:rPr>
        <w:t>condición como facultad</w:t>
      </w:r>
      <w:r w:rsidRPr="00DC1A5F">
        <w:t xml:space="preserve">, para los tipos de materialidad debido al </w:t>
      </w:r>
      <w:proofErr w:type="spellStart"/>
      <w:r w:rsidRPr="00DC1A5F">
        <w:rPr>
          <w:i/>
        </w:rPr>
        <w:t>kamma</w:t>
      </w:r>
      <w:proofErr w:type="spellEnd"/>
      <w:r w:rsidRPr="00DC1A5F">
        <w:t xml:space="preserve"> que se haya cometido. Las facultades inmateriales serán una condición, en calidad de </w:t>
      </w:r>
      <w:r w:rsidRPr="00DC1A5F">
        <w:rPr>
          <w:i/>
          <w:iCs/>
        </w:rPr>
        <w:t>condición como facultad</w:t>
      </w:r>
      <w:r w:rsidRPr="00DC1A5F">
        <w:t>, para los estados asociados con ellas y para los tipos de materialidad originados por ellas” (</w:t>
      </w:r>
      <w:proofErr w:type="spellStart"/>
      <w:r w:rsidRPr="00DC1A5F">
        <w:rPr>
          <w:i/>
          <w:iCs/>
        </w:rPr>
        <w:t>Paṭṭh</w:t>
      </w:r>
      <w:proofErr w:type="spellEnd"/>
      <w:r w:rsidRPr="00DC1A5F">
        <w:t xml:space="preserve"> 1, 5–6). No obstante, en la Sección de Preguntas se dice al respecto: “En el momento del vínculo–de–renacimiento, las facultades indeterminadas resultantes serán una condición, en calidad de </w:t>
      </w:r>
      <w:r w:rsidRPr="00DC1A5F">
        <w:rPr>
          <w:i/>
          <w:iCs/>
        </w:rPr>
        <w:t>condición como facultad</w:t>
      </w:r>
      <w:r w:rsidRPr="00DC1A5F">
        <w:t xml:space="preserve">, para los agregados asociados y para los tipos de materialidad debido al </w:t>
      </w:r>
      <w:proofErr w:type="spellStart"/>
      <w:r w:rsidRPr="00DC1A5F">
        <w:rPr>
          <w:i/>
        </w:rPr>
        <w:t>kamma</w:t>
      </w:r>
      <w:proofErr w:type="spellEnd"/>
      <w:r w:rsidRPr="00DC1A5F">
        <w:t xml:space="preserve"> que se haya cometido” (</w:t>
      </w:r>
      <w:proofErr w:type="spellStart"/>
      <w:r w:rsidRPr="00DC1A5F">
        <w:t>Paṭṭh</w:t>
      </w:r>
      <w:proofErr w:type="spellEnd"/>
      <w:r w:rsidRPr="00DC1A5F">
        <w:t xml:space="preserve"> I 175).</w:t>
      </w:r>
    </w:p>
    <w:p w14:paraId="262A7478" w14:textId="77777777" w:rsidR="00597DE2" w:rsidRPr="00DC1A5F" w:rsidRDefault="00597DE2" w:rsidP="00597DE2">
      <w:r w:rsidRPr="00DC1A5F">
        <w:t xml:space="preserve">92. </w:t>
      </w:r>
      <w:r w:rsidRPr="00DC1A5F">
        <w:tab/>
        <w:t xml:space="preserve">(17) Los 7 factores </w:t>
      </w:r>
      <w:proofErr w:type="spellStart"/>
      <w:r w:rsidRPr="00DC1A5F">
        <w:rPr>
          <w:i/>
        </w:rPr>
        <w:t>jhānicos</w:t>
      </w:r>
      <w:proofErr w:type="spellEnd"/>
      <w:r w:rsidRPr="00DC1A5F">
        <w:t xml:space="preserve"> clasificados como productivos, etc. — dejando de lado el par correspondiente a la sensación agradable y desagradable, en el caso de los 2 conjuntos de 5 consciencias — cuyos factores asistan en el sentido de constituir un estado </w:t>
      </w:r>
      <w:proofErr w:type="spellStart"/>
      <w:r w:rsidRPr="00DC1A5F">
        <w:rPr>
          <w:i/>
        </w:rPr>
        <w:t>jhānico</w:t>
      </w:r>
      <w:proofErr w:type="spellEnd"/>
      <w:r w:rsidRPr="00DC1A5F">
        <w:t xml:space="preserve">, corresponderán a las </w:t>
      </w:r>
      <w:r w:rsidRPr="00DC1A5F">
        <w:rPr>
          <w:i/>
          <w:iCs/>
        </w:rPr>
        <w:t>condiciones como</w:t>
      </w:r>
      <w:r w:rsidRPr="00DC1A5F">
        <w:t xml:space="preserve"> </w:t>
      </w:r>
      <w:proofErr w:type="spellStart"/>
      <w:r w:rsidRPr="00DC1A5F">
        <w:rPr>
          <w:i/>
        </w:rPr>
        <w:t>jhāna</w:t>
      </w:r>
      <w:proofErr w:type="spellEnd"/>
      <w:r w:rsidRPr="00DC1A5F">
        <w:t xml:space="preserve">, según se dice al respecto: “Los factores </w:t>
      </w:r>
      <w:proofErr w:type="spellStart"/>
      <w:r w:rsidRPr="00DC1A5F">
        <w:rPr>
          <w:i/>
        </w:rPr>
        <w:t>jhānicos</w:t>
      </w:r>
      <w:proofErr w:type="spellEnd"/>
      <w:r w:rsidRPr="00DC1A5F">
        <w:t xml:space="preserve"> serán una condición, en calidad de </w:t>
      </w:r>
      <w:r w:rsidRPr="00DC1A5F">
        <w:rPr>
          <w:i/>
          <w:iCs/>
        </w:rPr>
        <w:t>condición como</w:t>
      </w:r>
      <w:r w:rsidRPr="00DC1A5F">
        <w:t xml:space="preserve"> </w:t>
      </w:r>
      <w:proofErr w:type="spellStart"/>
      <w:r w:rsidRPr="00DC1A5F">
        <w:rPr>
          <w:i/>
        </w:rPr>
        <w:t>jhāna</w:t>
      </w:r>
      <w:proofErr w:type="spellEnd"/>
      <w:r w:rsidRPr="00DC1A5F">
        <w:t xml:space="preserve">, para los estados asociados con el </w:t>
      </w:r>
      <w:proofErr w:type="spellStart"/>
      <w:r w:rsidRPr="00DC1A5F">
        <w:rPr>
          <w:i/>
        </w:rPr>
        <w:t>jhāna</w:t>
      </w:r>
      <w:proofErr w:type="spellEnd"/>
      <w:r w:rsidRPr="00DC1A5F">
        <w:t xml:space="preserve"> y para los tipos de materialidad originados por ellos” (</w:t>
      </w:r>
      <w:proofErr w:type="spellStart"/>
      <w:r w:rsidRPr="00DC1A5F">
        <w:t>Paṭṭh</w:t>
      </w:r>
      <w:proofErr w:type="spellEnd"/>
      <w:r w:rsidRPr="00DC1A5F">
        <w:t xml:space="preserve"> I 6). No obstante, en la Sección de Preguntas se dice al respecto: “En el momento del vínculo–de–renacimiento, los factores </w:t>
      </w:r>
      <w:proofErr w:type="spellStart"/>
      <w:r w:rsidRPr="00DC1A5F">
        <w:rPr>
          <w:i/>
        </w:rPr>
        <w:t>jhānicos</w:t>
      </w:r>
      <w:proofErr w:type="spellEnd"/>
      <w:r w:rsidRPr="00DC1A5F">
        <w:t xml:space="preserve"> indeterminados resultantes serán una condición, en calidad de </w:t>
      </w:r>
      <w:r w:rsidRPr="00DC1A5F">
        <w:rPr>
          <w:i/>
          <w:iCs/>
        </w:rPr>
        <w:t>condición como</w:t>
      </w:r>
      <w:r w:rsidRPr="00DC1A5F">
        <w:t xml:space="preserve"> </w:t>
      </w:r>
      <w:proofErr w:type="spellStart"/>
      <w:r w:rsidRPr="00DC1A5F">
        <w:rPr>
          <w:i/>
        </w:rPr>
        <w:t>jhāna</w:t>
      </w:r>
      <w:proofErr w:type="spellEnd"/>
      <w:r w:rsidRPr="00DC1A5F">
        <w:t xml:space="preserve">, para los agregados asociados y para los tipos de materialidad debido al </w:t>
      </w:r>
      <w:proofErr w:type="spellStart"/>
      <w:r w:rsidRPr="00DC1A5F">
        <w:rPr>
          <w:i/>
        </w:rPr>
        <w:t>kamma</w:t>
      </w:r>
      <w:proofErr w:type="spellEnd"/>
      <w:r w:rsidRPr="00DC1A5F">
        <w:t xml:space="preserve"> que se haya cometido” (</w:t>
      </w:r>
      <w:proofErr w:type="spellStart"/>
      <w:r w:rsidRPr="00DC1A5F">
        <w:t>Paṭṭh</w:t>
      </w:r>
      <w:proofErr w:type="spellEnd"/>
      <w:r w:rsidRPr="00DC1A5F">
        <w:t xml:space="preserve"> I 175).</w:t>
      </w:r>
    </w:p>
    <w:p w14:paraId="45C2D937" w14:textId="77777777" w:rsidR="00597DE2" w:rsidRPr="00DC1A5F" w:rsidRDefault="00597DE2" w:rsidP="00597DE2">
      <w:r w:rsidRPr="00DC1A5F">
        <w:t xml:space="preserve">93. </w:t>
      </w:r>
      <w:r w:rsidRPr="00DC1A5F">
        <w:tab/>
        <w:t xml:space="preserve">(18) Los 12 factores del sendero clasificados como productivos, etc., que asistan en el sentido de representar un escape de cualquier cosa posible, corresponderán a las </w:t>
      </w:r>
      <w:r w:rsidRPr="00DC1A5F">
        <w:rPr>
          <w:i/>
          <w:iCs/>
        </w:rPr>
        <w:t>condiciones del sendero,</w:t>
      </w:r>
      <w:r w:rsidRPr="00DC1A5F">
        <w:t xml:space="preserve"> según se dice al respecto: “Los factores del sendero serán una condición, en calidad de </w:t>
      </w:r>
      <w:r w:rsidRPr="00DC1A5F">
        <w:rPr>
          <w:i/>
          <w:iCs/>
        </w:rPr>
        <w:t>condición del sendero</w:t>
      </w:r>
      <w:r w:rsidRPr="00DC1A5F">
        <w:t>, para los estados asociados con ellos y para los tipos de materialidad originados por ellos” (</w:t>
      </w:r>
      <w:proofErr w:type="spellStart"/>
      <w:r w:rsidRPr="00DC1A5F">
        <w:rPr>
          <w:i/>
          <w:iCs/>
        </w:rPr>
        <w:t>Paṭṭh</w:t>
      </w:r>
      <w:proofErr w:type="spellEnd"/>
      <w:r w:rsidRPr="00DC1A5F">
        <w:t xml:space="preserve"> I 6). No obstante, en la Sección de Preguntas se dice al respecto: “En el momento del vínculo–de–renacimiento, los factores resultantes del sendero indeterminados serán una condición, en calidad de </w:t>
      </w:r>
      <w:r w:rsidRPr="00DC1A5F">
        <w:rPr>
          <w:i/>
          <w:iCs/>
        </w:rPr>
        <w:t>condición del sendero</w:t>
      </w:r>
      <w:r w:rsidRPr="00DC1A5F">
        <w:t xml:space="preserve">, para los agregados asociados con ellos y para los tipos de materialidad debido al </w:t>
      </w:r>
      <w:proofErr w:type="spellStart"/>
      <w:r w:rsidRPr="00DC1A5F">
        <w:rPr>
          <w:i/>
        </w:rPr>
        <w:t>kamma</w:t>
      </w:r>
      <w:proofErr w:type="spellEnd"/>
      <w:r w:rsidRPr="00DC1A5F">
        <w:t xml:space="preserve"> que se haya cometido” (</w:t>
      </w:r>
      <w:proofErr w:type="spellStart"/>
      <w:r w:rsidRPr="00DC1A5F">
        <w:rPr>
          <w:i/>
          <w:iCs/>
        </w:rPr>
        <w:t>Paṭṭh</w:t>
      </w:r>
      <w:proofErr w:type="spellEnd"/>
      <w:r w:rsidRPr="00DC1A5F">
        <w:t xml:space="preserve"> I 176).</w:t>
      </w:r>
    </w:p>
    <w:p w14:paraId="5F13E09B" w14:textId="77777777" w:rsidR="00597DE2" w:rsidRPr="00DC1A5F" w:rsidRDefault="00597DE2" w:rsidP="00597DE2">
      <w:pPr>
        <w:pStyle w:val="NormalConSangria"/>
      </w:pPr>
      <w:r w:rsidRPr="00DC1A5F">
        <w:t xml:space="preserve">No obstante, estas dos condiciones siguientes: como el </w:t>
      </w:r>
      <w:proofErr w:type="spellStart"/>
      <w:r w:rsidRPr="00DC1A5F">
        <w:rPr>
          <w:i/>
        </w:rPr>
        <w:t>jhāna</w:t>
      </w:r>
      <w:proofErr w:type="spellEnd"/>
      <w:r w:rsidRPr="00DC1A5F">
        <w:t xml:space="preserve"> y las condiciones del sendero, deberán entenderse como inaplicables a los 2 conjuntos de 5 consciencias y a las consciencias sin causa–raíz ((34)–(41), (50)–(56), (70)–(72)).</w:t>
      </w:r>
    </w:p>
    <w:p w14:paraId="189C7B0B" w14:textId="77777777" w:rsidR="00597DE2" w:rsidRPr="00DC1A5F" w:rsidRDefault="00597DE2" w:rsidP="00597DE2">
      <w:pPr>
        <w:pStyle w:val="Textoindependiente"/>
      </w:pPr>
      <w:r w:rsidRPr="00DC1A5F">
        <w:lastRenderedPageBreak/>
        <w:t xml:space="preserve">94. </w:t>
      </w:r>
      <w:r w:rsidRPr="00DC1A5F">
        <w:tab/>
        <w:t xml:space="preserve">(19) Los estados inmateriales que asistan mediante el tipo de condición como asociación consistente de la misma base física, el mismo objeto, el mismo surgimiento, </w:t>
      </w:r>
      <w:r w:rsidRPr="00DC1A5F">
        <w:rPr>
          <w:color w:val="833C0B" w:themeColor="accent2" w:themeShade="80"/>
          <w:u w:color="000000"/>
        </w:rPr>
        <w:t>la misma desaparición,</w:t>
      </w:r>
      <w:r w:rsidRPr="00DC1A5F">
        <w:t xml:space="preserve"> la misma cesación, corresponderán</w:t>
      </w:r>
      <w:r w:rsidRPr="00DC1A5F">
        <w:rPr>
          <w:i/>
          <w:iCs/>
        </w:rPr>
        <w:t xml:space="preserve"> </w:t>
      </w:r>
      <w:r w:rsidRPr="00DC1A5F">
        <w:t>a una</w:t>
      </w:r>
      <w:r w:rsidRPr="00DC1A5F">
        <w:rPr>
          <w:i/>
          <w:iCs/>
        </w:rPr>
        <w:t xml:space="preserve"> condición como asociación</w:t>
      </w:r>
      <w:r w:rsidRPr="00DC1A5F">
        <w:t xml:space="preserve">, según se dice al respecto: “Los cuatro agregados inmateriales serán una condición, en calidad de </w:t>
      </w:r>
      <w:r w:rsidRPr="00DC1A5F">
        <w:rPr>
          <w:i/>
          <w:iCs/>
        </w:rPr>
        <w:t>condición como asociación</w:t>
      </w:r>
      <w:r w:rsidRPr="00DC1A5F">
        <w:t>, entre sí” (</w:t>
      </w:r>
      <w:proofErr w:type="spellStart"/>
      <w:r w:rsidRPr="00DC1A5F">
        <w:rPr>
          <w:i/>
          <w:iCs/>
        </w:rPr>
        <w:t>Paṭṭh</w:t>
      </w:r>
      <w:proofErr w:type="spellEnd"/>
      <w:r w:rsidRPr="00DC1A5F">
        <w:t xml:space="preserve"> I 6).</w:t>
      </w:r>
    </w:p>
    <w:p w14:paraId="46291B94" w14:textId="77777777" w:rsidR="00597DE2" w:rsidRPr="00DC1A5F" w:rsidRDefault="00597DE2" w:rsidP="00597DE2">
      <w:r w:rsidRPr="00DC1A5F">
        <w:t xml:space="preserve">95. </w:t>
      </w:r>
      <w:r w:rsidRPr="00DC1A5F">
        <w:tab/>
        <w:t xml:space="preserve">(20) Los estados materiales que asistan a los estados inmateriales y los estados inmateriales que asistan a los estados materiales, al no poseer similitud en la base física, etc., corresponderán a una </w:t>
      </w:r>
      <w:r w:rsidRPr="00DC1A5F">
        <w:rPr>
          <w:i/>
          <w:iCs/>
        </w:rPr>
        <w:t>condición como disociación.</w:t>
      </w:r>
      <w:r w:rsidRPr="00DC1A5F">
        <w:t xml:space="preserve"> Estos serán de tres clases: como coetánea, </w:t>
      </w:r>
      <w:proofErr w:type="spellStart"/>
      <w:r w:rsidRPr="00DC1A5F">
        <w:t>posnaciente</w:t>
      </w:r>
      <w:proofErr w:type="spellEnd"/>
      <w:r w:rsidRPr="00DC1A5F">
        <w:t xml:space="preserve"> y prenaciente, porque esto se dice al respecto: “Los agregados productivos coetáneos serán una condición, en calidad de </w:t>
      </w:r>
      <w:r w:rsidRPr="00DC1A5F">
        <w:rPr>
          <w:i/>
          <w:iCs/>
        </w:rPr>
        <w:t>condición como disociación</w:t>
      </w:r>
      <w:r w:rsidRPr="00DC1A5F">
        <w:t xml:space="preserve">, para los tipos de materialidad originados por la consciencia. Los agregados mentales productivos </w:t>
      </w:r>
      <w:proofErr w:type="spellStart"/>
      <w:r w:rsidRPr="00DC1A5F">
        <w:t>posnacientes</w:t>
      </w:r>
      <w:proofErr w:type="spellEnd"/>
      <w:r w:rsidRPr="00DC1A5F">
        <w:t xml:space="preserve"> [540] serán ​​una condición, en calidad de </w:t>
      </w:r>
      <w:r w:rsidRPr="00DC1A5F">
        <w:rPr>
          <w:i/>
          <w:iCs/>
        </w:rPr>
        <w:t>condición como disociación</w:t>
      </w:r>
      <w:r w:rsidRPr="00DC1A5F">
        <w:t>, para este cuerpo prenaciente” (</w:t>
      </w:r>
      <w:proofErr w:type="spellStart"/>
      <w:r w:rsidRPr="00DC1A5F">
        <w:rPr>
          <w:i/>
          <w:iCs/>
        </w:rPr>
        <w:t>Paṭṭh</w:t>
      </w:r>
      <w:proofErr w:type="spellEnd"/>
      <w:r w:rsidRPr="00DC1A5F">
        <w:t xml:space="preserve"> I 176). No obstante, en el análisis de la condición coetánea en la cláusula indeterminada se dice al respecto: “En el momento del vínculo–de–renacimiento, los agregados indeterminados resultantes serán una condición, en calidad de </w:t>
      </w:r>
      <w:r w:rsidRPr="00DC1A5F">
        <w:rPr>
          <w:i/>
          <w:iCs/>
        </w:rPr>
        <w:t>condición como disociación</w:t>
      </w:r>
      <w:r w:rsidRPr="00DC1A5F">
        <w:t xml:space="preserve">, para los tipos de materialidad debido al </w:t>
      </w:r>
      <w:proofErr w:type="spellStart"/>
      <w:r w:rsidRPr="00DC1A5F">
        <w:rPr>
          <w:i/>
        </w:rPr>
        <w:t>kamma</w:t>
      </w:r>
      <w:proofErr w:type="spellEnd"/>
      <w:r w:rsidRPr="00DC1A5F">
        <w:t xml:space="preserve"> que se haya cometido. Los agregados serán una condición, en calidad de condición como disociación, para la base física y la base física lo serán para los agregados” (</w:t>
      </w:r>
      <w:proofErr w:type="spellStart"/>
      <w:r w:rsidRPr="00DC1A5F">
        <w:rPr>
          <w:i/>
          <w:iCs/>
        </w:rPr>
        <w:t>Paṭṭh</w:t>
      </w:r>
      <w:proofErr w:type="spellEnd"/>
      <w:r w:rsidRPr="00DC1A5F">
        <w:t xml:space="preserve"> I 176). No obstante, la condición prenaciente deberá entenderse como la facultad visual, etc., y la base física, según lo que se dice al respecto: “La base visual prenaciente serán una condición, en calidad de </w:t>
      </w:r>
      <w:r w:rsidRPr="00DC1A5F">
        <w:rPr>
          <w:i/>
          <w:iCs/>
        </w:rPr>
        <w:t>condición como disociación</w:t>
      </w:r>
      <w:r w:rsidRPr="00DC1A5F">
        <w:t xml:space="preserve">, para la consciencia visual… La base del cuerpo será una condición, en calidad de </w:t>
      </w:r>
      <w:r w:rsidRPr="00DC1A5F">
        <w:rPr>
          <w:i/>
          <w:iCs/>
        </w:rPr>
        <w:t>condición como disociación</w:t>
      </w:r>
      <w:r w:rsidRPr="00DC1A5F">
        <w:t xml:space="preserve">, para la consciencia del cuerpo. La base física será una condición, en calidad de </w:t>
      </w:r>
      <w:r w:rsidRPr="00DC1A5F">
        <w:rPr>
          <w:i/>
          <w:iCs/>
        </w:rPr>
        <w:t>condición como disociación</w:t>
      </w:r>
      <w:r w:rsidRPr="00DC1A5F">
        <w:t xml:space="preserve">, para agregados resultantes indeterminados y los funcionales–indeterminados... La base física serán una condición, en calidad de </w:t>
      </w:r>
      <w:r w:rsidRPr="00DC1A5F">
        <w:rPr>
          <w:i/>
          <w:iCs/>
        </w:rPr>
        <w:t>condición como disociación</w:t>
      </w:r>
      <w:r w:rsidRPr="00DC1A5F">
        <w:t xml:space="preserve">, para los agregados productivos... La base física será una condición, en calidad de </w:t>
      </w:r>
      <w:r w:rsidRPr="00DC1A5F">
        <w:rPr>
          <w:i/>
          <w:iCs/>
        </w:rPr>
        <w:t>condición como disociación</w:t>
      </w:r>
      <w:r w:rsidRPr="00DC1A5F">
        <w:t>, para los agregados improductivos” (</w:t>
      </w:r>
      <w:proofErr w:type="spellStart"/>
      <w:r w:rsidRPr="00DC1A5F">
        <w:rPr>
          <w:i/>
          <w:iCs/>
        </w:rPr>
        <w:t>Paṭṭh</w:t>
      </w:r>
      <w:proofErr w:type="spellEnd"/>
      <w:r w:rsidRPr="00DC1A5F">
        <w:t xml:space="preserve"> I 176–77).</w:t>
      </w:r>
    </w:p>
    <w:p w14:paraId="3213DAA7" w14:textId="77777777" w:rsidR="00597DE2" w:rsidRPr="00DC1A5F" w:rsidRDefault="00597DE2" w:rsidP="00597DE2">
      <w:r w:rsidRPr="00DC1A5F">
        <w:t xml:space="preserve">96. </w:t>
      </w:r>
      <w:r w:rsidRPr="00DC1A5F">
        <w:tab/>
        <w:t xml:space="preserve">(21) Un estado que, por medio de la existencia caracterizada por la presencia, asista a un estado similar consolidándolo, corresponderá a una </w:t>
      </w:r>
      <w:r w:rsidRPr="00DC1A5F">
        <w:rPr>
          <w:i/>
          <w:iCs/>
        </w:rPr>
        <w:t>condición como presencia</w:t>
      </w:r>
      <w:r w:rsidRPr="00DC1A5F">
        <w:t>. Se menciona un resumen de 7 tipos según: (i) los agregados inmateriales, (</w:t>
      </w:r>
      <w:proofErr w:type="spellStart"/>
      <w:r w:rsidRPr="00DC1A5F">
        <w:t>ii</w:t>
      </w:r>
      <w:proofErr w:type="spellEnd"/>
      <w:r w:rsidRPr="00DC1A5F">
        <w:t>) los grandes primarios, (</w:t>
      </w:r>
      <w:proofErr w:type="spellStart"/>
      <w:r w:rsidRPr="00DC1A5F">
        <w:t>iii</w:t>
      </w:r>
      <w:proofErr w:type="spellEnd"/>
      <w:r w:rsidRPr="00DC1A5F">
        <w:t>) la materialidad–mentalidad, (</w:t>
      </w:r>
      <w:proofErr w:type="spellStart"/>
      <w:r w:rsidRPr="00DC1A5F">
        <w:t>iv</w:t>
      </w:r>
      <w:proofErr w:type="spellEnd"/>
      <w:r w:rsidRPr="00DC1A5F">
        <w:t>) la consciencia y los concomitantes de la consciencia, (v) los grandes primarios, (vi) las bases y (</w:t>
      </w:r>
      <w:proofErr w:type="spellStart"/>
      <w:r w:rsidRPr="00DC1A5F">
        <w:t>vii</w:t>
      </w:r>
      <w:proofErr w:type="spellEnd"/>
      <w:r w:rsidRPr="00DC1A5F">
        <w:t xml:space="preserve">) la base física del corazón, según lo que se dice al respecto: “(i) Los cuatro agregados inmateriales serán una condición, en calidad de </w:t>
      </w:r>
      <w:r w:rsidRPr="00DC1A5F">
        <w:rPr>
          <w:i/>
          <w:iCs/>
        </w:rPr>
        <w:t>condición como presencia</w:t>
      </w:r>
      <w:r w:rsidRPr="00DC1A5F">
        <w:t>, mutuamente. (</w:t>
      </w:r>
      <w:proofErr w:type="spellStart"/>
      <w:r w:rsidRPr="00DC1A5F">
        <w:t>ii</w:t>
      </w:r>
      <w:proofErr w:type="spellEnd"/>
      <w:r w:rsidRPr="00DC1A5F">
        <w:t>) Los cuatro grandes primarios... serán... mutuamente. En el momento del descenso en la matriz, (</w:t>
      </w:r>
      <w:proofErr w:type="spellStart"/>
      <w:r w:rsidRPr="00DC1A5F">
        <w:t>iii</w:t>
      </w:r>
      <w:proofErr w:type="spellEnd"/>
      <w:r w:rsidRPr="00DC1A5F">
        <w:t xml:space="preserve">) la mentalidad y la materialidad serán una condición, en calidad de </w:t>
      </w:r>
      <w:r w:rsidRPr="00DC1A5F">
        <w:rPr>
          <w:i/>
          <w:iCs/>
        </w:rPr>
        <w:t>condición como presencia</w:t>
      </w:r>
      <w:r w:rsidRPr="00DC1A5F">
        <w:t>, mutuamente. (</w:t>
      </w:r>
      <w:proofErr w:type="spellStart"/>
      <w:r w:rsidRPr="00DC1A5F">
        <w:t>iv</w:t>
      </w:r>
      <w:proofErr w:type="spellEnd"/>
      <w:r w:rsidRPr="00DC1A5F">
        <w:t xml:space="preserve">) Los estados de consciencia y los concomitantes de consciencia serán... para los tipos de materialidad originados por la consciencia. (v) Los cuatro grandes primarios serán … para la materialidad derivada. (vi) La base visual será... para el elemento de la consciencia visual y para los estados asociados con él. La base del oído... la base de la nariz... la base de la lengua... la base del cuerpo será... para el elemento de la consciencia corporal... la base de los objetos visibles será... para el elemento de la consciencia visual... la base del sonido... la base del olor... la base del sabor... la base de los objetos táctiles será una condición, como condición de presencia, para el elemento corpóreo–consciencia y para los estados asociados con él. La base de los objetos visibles… la base del sonido… la base de los olores… la base de los sabores… la base de los objetos tangibles será una condición, como condición de presencia, para el elemento mental y para los estados asociados con él. La materialidad con la que como su soporte ocurran el elemento mental y el elemento mental–consciente serán una condición, en calidad de </w:t>
      </w:r>
      <w:r w:rsidRPr="00DC1A5F">
        <w:rPr>
          <w:i/>
          <w:iCs/>
        </w:rPr>
        <w:lastRenderedPageBreak/>
        <w:t>condición como presencia</w:t>
      </w:r>
      <w:r w:rsidRPr="00DC1A5F">
        <w:t>, para el elemento mental, para el elemento mental–consciente y para los estados asociados con ellos” (</w:t>
      </w:r>
      <w:proofErr w:type="spellStart"/>
      <w:r w:rsidRPr="00DC1A5F">
        <w:rPr>
          <w:i/>
          <w:iCs/>
        </w:rPr>
        <w:t>Paṭṭh</w:t>
      </w:r>
      <w:proofErr w:type="spellEnd"/>
      <w:r w:rsidRPr="00DC1A5F">
        <w:t xml:space="preserve"> I 6).</w:t>
      </w:r>
    </w:p>
    <w:p w14:paraId="3EB802FF" w14:textId="77777777" w:rsidR="00597DE2" w:rsidRPr="00DC1A5F" w:rsidRDefault="00597DE2" w:rsidP="00597DE2">
      <w:pPr>
        <w:rPr>
          <w:vertAlign w:val="superscript"/>
        </w:rPr>
      </w:pPr>
      <w:r w:rsidRPr="00DC1A5F">
        <w:t xml:space="preserve">97. </w:t>
      </w:r>
      <w:r w:rsidRPr="00DC1A5F">
        <w:tab/>
        <w:t xml:space="preserve">No obstante, en la Sección de Preguntas, después de exponer la </w:t>
      </w:r>
      <w:proofErr w:type="spellStart"/>
      <w:r w:rsidRPr="00DC1A5F">
        <w:t>coetaneidad</w:t>
      </w:r>
      <w:proofErr w:type="spellEnd"/>
      <w:r w:rsidRPr="00DC1A5F">
        <w:t xml:space="preserve">, la </w:t>
      </w:r>
      <w:proofErr w:type="spellStart"/>
      <w:r w:rsidRPr="00DC1A5F">
        <w:t>prenascencia</w:t>
      </w:r>
      <w:proofErr w:type="spellEnd"/>
      <w:r w:rsidRPr="00DC1A5F">
        <w:t xml:space="preserve">, la </w:t>
      </w:r>
      <w:proofErr w:type="spellStart"/>
      <w:r w:rsidRPr="00DC1A5F">
        <w:t>posnascencia</w:t>
      </w:r>
      <w:proofErr w:type="spellEnd"/>
      <w:r w:rsidRPr="00DC1A5F">
        <w:t xml:space="preserve">, el nutrimento y la facultad, la descripción se da primero bajo la </w:t>
      </w:r>
      <w:proofErr w:type="spellStart"/>
      <w:r w:rsidRPr="00DC1A5F">
        <w:t>coetaneidad</w:t>
      </w:r>
      <w:proofErr w:type="spellEnd"/>
      <w:r w:rsidRPr="00DC1A5F">
        <w:t xml:space="preserve"> bajo el pasaje que comienza con “Un agregado será una condición, en calidad de </w:t>
      </w:r>
      <w:r w:rsidRPr="00DC1A5F">
        <w:rPr>
          <w:i/>
          <w:iCs/>
        </w:rPr>
        <w:t>condición como presencia</w:t>
      </w:r>
      <w:r w:rsidRPr="00DC1A5F">
        <w:t>, para los tres agregados y para la materialidad que se originó de ese modo” (</w:t>
      </w:r>
      <w:proofErr w:type="spellStart"/>
      <w:r w:rsidRPr="00DC1A5F">
        <w:t>Paṭṭh</w:t>
      </w:r>
      <w:proofErr w:type="spellEnd"/>
      <w:r w:rsidRPr="00DC1A5F">
        <w:t xml:space="preserve"> I 178). Bajo la </w:t>
      </w:r>
      <w:proofErr w:type="spellStart"/>
      <w:r w:rsidRPr="00DC1A5F">
        <w:t>prenascencia</w:t>
      </w:r>
      <w:proofErr w:type="spellEnd"/>
      <w:r w:rsidRPr="00DC1A5F">
        <w:t xml:space="preserve"> la descripción se dará de acuerdo con el ojo prenaciente y así sucesivamente. Bajo el </w:t>
      </w:r>
      <w:proofErr w:type="spellStart"/>
      <w:r w:rsidRPr="00DC1A5F">
        <w:t>posnacimiento</w:t>
      </w:r>
      <w:proofErr w:type="spellEnd"/>
      <w:r w:rsidRPr="00DC1A5F">
        <w:t xml:space="preserve">, la descripción se dará de acuerdo con la consciencia </w:t>
      </w:r>
      <w:proofErr w:type="spellStart"/>
      <w:r w:rsidRPr="00DC1A5F">
        <w:t>posnaciente</w:t>
      </w:r>
      <w:proofErr w:type="spellEnd"/>
      <w:r w:rsidRPr="00DC1A5F">
        <w:t xml:space="preserve"> y la consciencia concomitante como condiciones para este cuerpo. Bajo nutrimentos y facultades, respectivamente, la descripción se dará así: “El nutrimento físico será una condición, en calidad de </w:t>
      </w:r>
      <w:r w:rsidRPr="00DC1A5F">
        <w:rPr>
          <w:i/>
          <w:iCs/>
        </w:rPr>
        <w:t>condición como presencia</w:t>
      </w:r>
      <w:r w:rsidRPr="00DC1A5F">
        <w:t xml:space="preserve">, para este cuerpo”, [541] y “La facultad de la vida material será una condición, en calidad de </w:t>
      </w:r>
      <w:r w:rsidRPr="00DC1A5F">
        <w:rPr>
          <w:i/>
          <w:iCs/>
        </w:rPr>
        <w:t>condición como presencia</w:t>
      </w:r>
      <w:r w:rsidRPr="00DC1A5F">
        <w:t xml:space="preserve">, para la materialidad debido al </w:t>
      </w:r>
      <w:proofErr w:type="spellStart"/>
      <w:r w:rsidRPr="00DC1A5F">
        <w:rPr>
          <w:i/>
        </w:rPr>
        <w:t>kamma</w:t>
      </w:r>
      <w:proofErr w:type="spellEnd"/>
      <w:r w:rsidRPr="00DC1A5F">
        <w:t xml:space="preserve"> que se haya cometido” (</w:t>
      </w:r>
      <w:proofErr w:type="spellStart"/>
      <w:r w:rsidRPr="00DC1A5F">
        <w:t>Paṭṭh</w:t>
      </w:r>
      <w:proofErr w:type="spellEnd"/>
      <w:r w:rsidRPr="00DC1A5F">
        <w:t xml:space="preserve"> I 178).</w:t>
      </w:r>
      <w:r w:rsidRPr="00DC1A5F">
        <w:rPr>
          <w:vertAlign w:val="superscript"/>
        </w:rPr>
        <w:t>16</w:t>
      </w:r>
    </w:p>
    <w:p w14:paraId="3457D1AB" w14:textId="77777777" w:rsidR="00597DE2" w:rsidRPr="00DC1A5F" w:rsidRDefault="00597DE2" w:rsidP="00597DE2">
      <w:r w:rsidRPr="00DC1A5F">
        <w:t xml:space="preserve">98. </w:t>
      </w:r>
      <w:r w:rsidRPr="00DC1A5F">
        <w:tab/>
        <w:t xml:space="preserve">(22) Los estados inmateriales que, mediante su cesación en contigüidad [previa], asistan dando oportunidad a estados inmateriales que surjan próximamente (después) de ellos corresponderán a una </w:t>
      </w:r>
      <w:r w:rsidRPr="00DC1A5F">
        <w:rPr>
          <w:i/>
          <w:iCs/>
        </w:rPr>
        <w:t>condición como ausencia</w:t>
      </w:r>
      <w:r w:rsidRPr="00DC1A5F">
        <w:t xml:space="preserve">, según lo que se dice al respecto: “Los estados de consciencia y de los concomitantes de consciencia que hayan cesado en la contigüidad serán una condición, en calidad de </w:t>
      </w:r>
      <w:r w:rsidRPr="00DC1A5F">
        <w:rPr>
          <w:i/>
          <w:iCs/>
        </w:rPr>
        <w:t>condición como ausencia</w:t>
      </w:r>
      <w:r w:rsidRPr="00DC1A5F">
        <w:t>, para los estados presentes de consciencia y los concomitantes de consciencia” (</w:t>
      </w:r>
      <w:proofErr w:type="spellStart"/>
      <w:r w:rsidRPr="00DC1A5F">
        <w:rPr>
          <w:i/>
          <w:iCs/>
        </w:rPr>
        <w:t>Paṭṭh</w:t>
      </w:r>
      <w:proofErr w:type="spellEnd"/>
      <w:r w:rsidRPr="00DC1A5F">
        <w:t xml:space="preserve"> I 7).</w:t>
      </w:r>
    </w:p>
    <w:p w14:paraId="28136F94" w14:textId="77777777" w:rsidR="00597DE2" w:rsidRPr="00DC1A5F" w:rsidRDefault="00597DE2" w:rsidP="00597DE2">
      <w:r w:rsidRPr="00DC1A5F">
        <w:t xml:space="preserve">99. </w:t>
      </w:r>
      <w:r w:rsidRPr="00DC1A5F">
        <w:tab/>
        <w:t xml:space="preserve">(23) Esos mismos estados, ya que asistirán a su desaparición, corresponderán a una </w:t>
      </w:r>
      <w:r w:rsidRPr="00DC1A5F">
        <w:rPr>
          <w:i/>
          <w:iCs/>
        </w:rPr>
        <w:t>condición como desaparición</w:t>
      </w:r>
      <w:r w:rsidRPr="00DC1A5F">
        <w:t>, según lo que se dice al respecto: “Los estados de consciencia y de los concomitantes de consciencia que hayan desaparecido en contigüidad serán una condición, en calidad de condición como desaparición, para los estados presentes de consciencia y concomitantes de consciencias” (</w:t>
      </w:r>
      <w:proofErr w:type="spellStart"/>
      <w:r w:rsidRPr="00DC1A5F">
        <w:rPr>
          <w:i/>
          <w:iCs/>
        </w:rPr>
        <w:t>Paṭṭh</w:t>
      </w:r>
      <w:proofErr w:type="spellEnd"/>
      <w:r w:rsidRPr="00DC1A5F">
        <w:t xml:space="preserve"> I 7).</w:t>
      </w:r>
    </w:p>
    <w:p w14:paraId="0CAC4E2C" w14:textId="77777777" w:rsidR="00597DE2" w:rsidRPr="00DC1A5F" w:rsidRDefault="00597DE2" w:rsidP="00597DE2">
      <w:r w:rsidRPr="00DC1A5F">
        <w:t xml:space="preserve">100. </w:t>
      </w:r>
      <w:r w:rsidRPr="00DC1A5F">
        <w:tab/>
        <w:t xml:space="preserve">(24) Los mismos estados que sean una condición de presencia, ya que asistirán mediante su no–desaparición, deberán entenderse como una </w:t>
      </w:r>
      <w:r w:rsidRPr="00DC1A5F">
        <w:rPr>
          <w:i/>
          <w:iCs/>
        </w:rPr>
        <w:t>condición de no</w:t>
      </w:r>
      <w:r w:rsidRPr="00DC1A5F">
        <w:t>–</w:t>
      </w:r>
      <w:r w:rsidRPr="00DC1A5F">
        <w:rPr>
          <w:i/>
          <w:iCs/>
        </w:rPr>
        <w:t>desaparición</w:t>
      </w:r>
      <w:r w:rsidRPr="00DC1A5F">
        <w:t xml:space="preserve">. O esta díada se afirmará como un adorno de la enseñanza para satisfacer las necesidades de aquellos a quienes se les pueda instruir, tal como en el </w:t>
      </w:r>
      <w:proofErr w:type="spellStart"/>
      <w:r w:rsidRPr="00DC1A5F">
        <w:rPr>
          <w:i/>
          <w:iCs/>
        </w:rPr>
        <w:t>Mātikā</w:t>
      </w:r>
      <w:proofErr w:type="spellEnd"/>
      <w:r w:rsidRPr="00DC1A5F">
        <w:t xml:space="preserve"> del </w:t>
      </w:r>
      <w:proofErr w:type="spellStart"/>
      <w:r w:rsidRPr="00DC1A5F">
        <w:rPr>
          <w:i/>
          <w:iCs/>
        </w:rPr>
        <w:t>Dhammasaṅgaṇī</w:t>
      </w:r>
      <w:proofErr w:type="spellEnd"/>
      <w:r w:rsidRPr="00DC1A5F">
        <w:t xml:space="preserve"> la “díada disociada de la causa” se menciona después de la “díada sin–causa”.</w:t>
      </w:r>
    </w:p>
    <w:p w14:paraId="493F9373" w14:textId="77777777" w:rsidR="00597DE2" w:rsidRPr="00DC1A5F" w:rsidRDefault="00597DE2" w:rsidP="00597DE2"/>
    <w:p w14:paraId="270875B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A9916F9" w14:textId="77777777" w:rsidR="00597DE2" w:rsidRPr="00DC1A5F" w:rsidRDefault="00597DE2" w:rsidP="00597DE2">
      <w:pPr>
        <w:pStyle w:val="PiedepginaLegal"/>
        <w:numPr>
          <w:ilvl w:val="0"/>
          <w:numId w:val="6"/>
        </w:numPr>
        <w:tabs>
          <w:tab w:val="clear" w:pos="425"/>
        </w:tabs>
        <w:ind w:left="284" w:hanging="284"/>
        <w:rPr>
          <w:color w:val="auto"/>
          <w:u w:color="000000"/>
        </w:rPr>
      </w:pPr>
      <w:r w:rsidRPr="00DC1A5F">
        <w:rPr>
          <w:color w:val="auto"/>
          <w:u w:color="000000"/>
        </w:rPr>
        <w:t>“La condición de presencia (</w:t>
      </w:r>
      <w:proofErr w:type="spellStart"/>
      <w:r w:rsidRPr="00DC1A5F">
        <w:rPr>
          <w:i/>
          <w:iCs/>
          <w:color w:val="auto"/>
          <w:u w:color="000000"/>
        </w:rPr>
        <w:t>atthi</w:t>
      </w:r>
      <w:proofErr w:type="spellEnd"/>
      <w:r w:rsidRPr="00DC1A5F">
        <w:rPr>
          <w:color w:val="auto"/>
          <w:u w:color="000000"/>
        </w:rPr>
        <w:t xml:space="preserve">) no es aplicable al </w:t>
      </w:r>
      <w:r w:rsidRPr="00DC1A5F">
        <w:rPr>
          <w:i/>
          <w:iCs/>
          <w:color w:val="auto"/>
          <w:u w:color="000000"/>
        </w:rPr>
        <w:t>Nibbāna</w:t>
      </w:r>
      <w:r w:rsidRPr="00DC1A5F">
        <w:rPr>
          <w:color w:val="auto"/>
          <w:u w:color="000000"/>
        </w:rPr>
        <w:t>. Ya que una condición de presencia será aquello que sea inútil por su ausencia de existencia (</w:t>
      </w:r>
      <w:proofErr w:type="spellStart"/>
      <w:r w:rsidRPr="00DC1A5F">
        <w:rPr>
          <w:i/>
          <w:iCs/>
          <w:color w:val="auto"/>
          <w:u w:color="000000"/>
        </w:rPr>
        <w:t>atthi</w:t>
      </w:r>
      <w:proofErr w:type="spellEnd"/>
      <w:r w:rsidRPr="00DC1A5F">
        <w:rPr>
          <w:i/>
          <w:iCs/>
          <w:color w:val="auto"/>
          <w:u w:color="000000"/>
        </w:rPr>
        <w:t>–</w:t>
      </w:r>
      <w:proofErr w:type="spellStart"/>
      <w:r w:rsidRPr="00DC1A5F">
        <w:rPr>
          <w:i/>
          <w:iCs/>
          <w:color w:val="auto"/>
          <w:u w:color="000000"/>
        </w:rPr>
        <w:t>bhāvābhāva</w:t>
      </w:r>
      <w:proofErr w:type="spellEnd"/>
      <w:r w:rsidRPr="00DC1A5F">
        <w:rPr>
          <w:color w:val="auto"/>
          <w:u w:color="000000"/>
        </w:rPr>
        <w:t xml:space="preserve">) y se volverá útil al cobrar tal existencia. Y con el </w:t>
      </w:r>
      <w:r w:rsidRPr="00DC1A5F">
        <w:rPr>
          <w:i/>
          <w:iCs/>
          <w:color w:val="auto"/>
          <w:u w:color="000000"/>
        </w:rPr>
        <w:t xml:space="preserve">Nibbāna </w:t>
      </w:r>
      <w:r w:rsidRPr="00DC1A5F">
        <w:rPr>
          <w:color w:val="auto"/>
          <w:u w:color="000000"/>
        </w:rPr>
        <w:t xml:space="preserve">no es así, después de ser inútil por su propia ausencia de existencia para aquellos estados que tengan al </w:t>
      </w:r>
      <w:r w:rsidRPr="00DC1A5F">
        <w:rPr>
          <w:i/>
          <w:iCs/>
          <w:color w:val="auto"/>
          <w:u w:color="000000"/>
        </w:rPr>
        <w:t>Nibbāna</w:t>
      </w:r>
      <w:r w:rsidRPr="00DC1A5F">
        <w:rPr>
          <w:color w:val="auto"/>
          <w:u w:color="000000"/>
        </w:rPr>
        <w:t xml:space="preserve"> como su objeto, se volverá útil para ellos mismos al cobrar su existencia. O alternativamente, la condición de presencia, que por su inexistencia es lo opuesto a la utilidad para aquellos estados que estén asociados con el surgimiento, etc., les será útil por su existencia. Así, el </w:t>
      </w:r>
      <w:r w:rsidRPr="00DC1A5F">
        <w:rPr>
          <w:i/>
          <w:iCs/>
          <w:color w:val="auto"/>
          <w:u w:color="000000"/>
        </w:rPr>
        <w:t>Nibbāna</w:t>
      </w:r>
      <w:r w:rsidRPr="00DC1A5F">
        <w:rPr>
          <w:color w:val="auto"/>
          <w:u w:color="000000"/>
        </w:rPr>
        <w:t xml:space="preserve"> no corresponderá a una condición de presencia”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597).</w:t>
      </w:r>
    </w:p>
    <w:p w14:paraId="2E12FCFD" w14:textId="77777777" w:rsidR="00597DE2" w:rsidRPr="00DC1A5F" w:rsidRDefault="00597DE2" w:rsidP="00597DE2">
      <w:pPr>
        <w:pStyle w:val="PiedepginaLegal"/>
        <w:rPr>
          <w:color w:val="auto"/>
          <w:u w:color="000000"/>
        </w:rPr>
      </w:pPr>
      <w:r w:rsidRPr="00DC1A5F">
        <w:rPr>
          <w:color w:val="auto"/>
          <w:u w:color="000000"/>
        </w:rPr>
        <w:tab/>
      </w:r>
      <w:r w:rsidRPr="00DC1A5F">
        <w:rPr>
          <w:color w:val="auto"/>
          <w:u w:color="000000"/>
        </w:rPr>
        <w:tab/>
        <w:t xml:space="preserve">Cabe señalar que </w:t>
      </w:r>
      <w:proofErr w:type="spellStart"/>
      <w:r w:rsidRPr="00DC1A5F">
        <w:rPr>
          <w:i/>
          <w:iCs/>
          <w:color w:val="auto"/>
          <w:u w:color="000000"/>
        </w:rPr>
        <w:t>atthi</w:t>
      </w:r>
      <w:proofErr w:type="spellEnd"/>
      <w:r w:rsidRPr="00DC1A5F">
        <w:rPr>
          <w:color w:val="auto"/>
          <w:u w:color="000000"/>
        </w:rPr>
        <w:t xml:space="preserve"> tiene más de un uso, entre los cuales se pueden mencionar los dos siguientes: (1) </w:t>
      </w:r>
      <w:proofErr w:type="spellStart"/>
      <w:r w:rsidRPr="00DC1A5F">
        <w:rPr>
          <w:i/>
          <w:iCs/>
          <w:color w:val="auto"/>
          <w:u w:color="000000"/>
        </w:rPr>
        <w:t>atthi</w:t>
      </w:r>
      <w:proofErr w:type="spellEnd"/>
      <w:r w:rsidRPr="00DC1A5F">
        <w:rPr>
          <w:color w:val="auto"/>
          <w:u w:color="000000"/>
        </w:rPr>
        <w:t xml:space="preserve"> (es) = </w:t>
      </w:r>
      <w:proofErr w:type="spellStart"/>
      <w:r w:rsidRPr="00DC1A5F">
        <w:rPr>
          <w:i/>
          <w:iCs/>
          <w:color w:val="auto"/>
          <w:u w:color="000000"/>
        </w:rPr>
        <w:t>upalabbhaniya</w:t>
      </w:r>
      <w:proofErr w:type="spellEnd"/>
      <w:r w:rsidRPr="00DC1A5F">
        <w:rPr>
          <w:color w:val="auto"/>
          <w:u w:color="000000"/>
        </w:rPr>
        <w:t xml:space="preserve"> (que es (a) “aprehensible” y (b) no–una–imposibilidad–</w:t>
      </w:r>
      <w:proofErr w:type="spellStart"/>
      <w:r w:rsidRPr="00DC1A5F">
        <w:rPr>
          <w:color w:val="auto"/>
          <w:u w:color="000000"/>
        </w:rPr>
        <w:t>autocontradictoria</w:t>
      </w:r>
      <w:proofErr w:type="spellEnd"/>
      <w:r w:rsidRPr="00DC1A5F">
        <w:rPr>
          <w:color w:val="auto"/>
          <w:u w:color="000000"/>
        </w:rPr>
        <w:t>) —“</w:t>
      </w:r>
      <w:proofErr w:type="spellStart"/>
      <w:r w:rsidRPr="00DC1A5F">
        <w:rPr>
          <w:i/>
          <w:iCs/>
          <w:color w:val="auto"/>
          <w:u w:color="000000"/>
        </w:rPr>
        <w:t>atthi</w:t>
      </w:r>
      <w:proofErr w:type="spellEnd"/>
      <w:r w:rsidRPr="00DC1A5F">
        <w:rPr>
          <w:i/>
          <w:iCs/>
          <w:color w:val="auto"/>
          <w:u w:color="000000"/>
        </w:rPr>
        <w:t xml:space="preserve">, </w:t>
      </w:r>
      <w:proofErr w:type="spellStart"/>
      <w:r w:rsidRPr="00DC1A5F">
        <w:rPr>
          <w:i/>
          <w:iCs/>
          <w:color w:val="auto"/>
          <w:u w:color="000000"/>
        </w:rPr>
        <w:t>bhikkhave</w:t>
      </w:r>
      <w:proofErr w:type="spellEnd"/>
      <w:r w:rsidRPr="00DC1A5F">
        <w:rPr>
          <w:i/>
          <w:iCs/>
          <w:color w:val="auto"/>
          <w:u w:color="000000"/>
        </w:rPr>
        <w:t xml:space="preserve">, </w:t>
      </w:r>
      <w:proofErr w:type="spellStart"/>
      <w:r w:rsidRPr="00DC1A5F">
        <w:rPr>
          <w:i/>
          <w:iCs/>
          <w:color w:val="auto"/>
          <w:u w:color="000000"/>
        </w:rPr>
        <w:t>ajātaṃ</w:t>
      </w:r>
      <w:proofErr w:type="spellEnd"/>
      <w:r w:rsidRPr="00DC1A5F">
        <w:rPr>
          <w:i/>
          <w:iCs/>
          <w:color w:val="auto"/>
          <w:u w:color="000000"/>
        </w:rPr>
        <w:t xml:space="preserve"> </w:t>
      </w:r>
      <w:r w:rsidRPr="00DC1A5F">
        <w:rPr>
          <w:color w:val="auto"/>
          <w:u w:color="000000"/>
        </w:rPr>
        <w:t>— Existe lo no nacido’ (</w:t>
      </w:r>
      <w:proofErr w:type="spellStart"/>
      <w:r w:rsidRPr="00DC1A5F">
        <w:rPr>
          <w:color w:val="auto"/>
          <w:u w:color="000000"/>
        </w:rPr>
        <w:t>Ud</w:t>
      </w:r>
      <w:proofErr w:type="spellEnd"/>
      <w:r w:rsidRPr="00DC1A5F">
        <w:rPr>
          <w:color w:val="auto"/>
          <w:u w:color="000000"/>
        </w:rPr>
        <w:t xml:space="preserve"> 80) y la discusión sobre la existencia del </w:t>
      </w:r>
      <w:r w:rsidRPr="00DC1A5F">
        <w:rPr>
          <w:i/>
          <w:iCs/>
          <w:color w:val="auto"/>
          <w:u w:color="000000"/>
        </w:rPr>
        <w:t>Nibbāna</w:t>
      </w:r>
      <w:r w:rsidRPr="00DC1A5F">
        <w:rPr>
          <w:color w:val="auto"/>
          <w:u w:color="000000"/>
        </w:rPr>
        <w:t xml:space="preserve"> (XVI.67ff.). (2) </w:t>
      </w:r>
      <w:proofErr w:type="spellStart"/>
      <w:r w:rsidRPr="00DC1A5F">
        <w:rPr>
          <w:i/>
          <w:iCs/>
          <w:color w:val="auto"/>
          <w:u w:color="000000"/>
        </w:rPr>
        <w:t>Atthi</w:t>
      </w:r>
      <w:proofErr w:type="spellEnd"/>
      <w:r w:rsidRPr="00DC1A5F">
        <w:rPr>
          <w:color w:val="auto"/>
          <w:u w:color="000000"/>
        </w:rPr>
        <w:t xml:space="preserve"> (es) = </w:t>
      </w:r>
      <w:proofErr w:type="spellStart"/>
      <w:r w:rsidRPr="00DC1A5F">
        <w:rPr>
          <w:i/>
          <w:iCs/>
          <w:color w:val="auto"/>
          <w:u w:color="000000"/>
        </w:rPr>
        <w:t>uppanna</w:t>
      </w:r>
      <w:proofErr w:type="spellEnd"/>
      <w:r w:rsidRPr="00DC1A5F">
        <w:rPr>
          <w:color w:val="auto"/>
          <w:u w:color="000000"/>
        </w:rPr>
        <w:t xml:space="preserve"> (surgido)—ver “</w:t>
      </w:r>
      <w:proofErr w:type="spellStart"/>
      <w:r w:rsidRPr="00DC1A5F">
        <w:rPr>
          <w:i/>
          <w:iCs/>
          <w:color w:val="auto"/>
          <w:u w:color="000000"/>
        </w:rPr>
        <w:t>Yaṃ</w:t>
      </w:r>
      <w:proofErr w:type="spellEnd"/>
      <w:r w:rsidRPr="00DC1A5F">
        <w:rPr>
          <w:i/>
          <w:iCs/>
          <w:color w:val="auto"/>
          <w:u w:color="000000"/>
        </w:rPr>
        <w:t xml:space="preserve">, </w:t>
      </w:r>
      <w:proofErr w:type="spellStart"/>
      <w:r w:rsidRPr="00DC1A5F">
        <w:rPr>
          <w:i/>
          <w:iCs/>
          <w:color w:val="auto"/>
          <w:u w:color="000000"/>
        </w:rPr>
        <w:t>bhikkhave</w:t>
      </w:r>
      <w:proofErr w:type="spellEnd"/>
      <w:r w:rsidRPr="00DC1A5F">
        <w:rPr>
          <w:i/>
          <w:iCs/>
          <w:color w:val="auto"/>
          <w:u w:color="000000"/>
        </w:rPr>
        <w:t xml:space="preserve">, </w:t>
      </w:r>
      <w:proofErr w:type="spellStart"/>
      <w:r w:rsidRPr="00DC1A5F">
        <w:rPr>
          <w:i/>
          <w:iCs/>
          <w:color w:val="auto"/>
          <w:u w:color="000000"/>
        </w:rPr>
        <w:t>rūpaṃ</w:t>
      </w:r>
      <w:proofErr w:type="spellEnd"/>
      <w:r w:rsidRPr="00DC1A5F">
        <w:rPr>
          <w:i/>
          <w:iCs/>
          <w:color w:val="auto"/>
          <w:u w:color="000000"/>
        </w:rPr>
        <w:t xml:space="preserve"> </w:t>
      </w:r>
      <w:proofErr w:type="spellStart"/>
      <w:r w:rsidRPr="00DC1A5F">
        <w:rPr>
          <w:i/>
          <w:iCs/>
          <w:color w:val="auto"/>
          <w:u w:color="000000"/>
        </w:rPr>
        <w:t>jātaṃ</w:t>
      </w:r>
      <w:proofErr w:type="spellEnd"/>
      <w:r w:rsidRPr="00DC1A5F">
        <w:rPr>
          <w:i/>
          <w:iCs/>
          <w:color w:val="auto"/>
          <w:u w:color="000000"/>
        </w:rPr>
        <w:t xml:space="preserve"> </w:t>
      </w:r>
      <w:proofErr w:type="spellStart"/>
      <w:r w:rsidRPr="00DC1A5F">
        <w:rPr>
          <w:i/>
          <w:iCs/>
          <w:color w:val="auto"/>
          <w:u w:color="000000"/>
        </w:rPr>
        <w:t>pātubhūtaṃ</w:t>
      </w:r>
      <w:proofErr w:type="spellEnd"/>
      <w:r w:rsidRPr="00DC1A5F">
        <w:rPr>
          <w:i/>
          <w:iCs/>
          <w:color w:val="auto"/>
          <w:u w:color="000000"/>
        </w:rPr>
        <w:t xml:space="preserve"> </w:t>
      </w:r>
      <w:proofErr w:type="spellStart"/>
      <w:r w:rsidRPr="00DC1A5F">
        <w:rPr>
          <w:i/>
          <w:iCs/>
          <w:color w:val="auto"/>
          <w:u w:color="000000"/>
        </w:rPr>
        <w:t>atthī</w:t>
      </w:r>
      <w:proofErr w:type="spellEnd"/>
      <w:r w:rsidRPr="00DC1A5F">
        <w:rPr>
          <w:i/>
          <w:iCs/>
          <w:color w:val="auto"/>
          <w:u w:color="000000"/>
        </w:rPr>
        <w:t xml:space="preserve"> ti </w:t>
      </w:r>
      <w:proofErr w:type="spellStart"/>
      <w:r w:rsidRPr="00DC1A5F">
        <w:rPr>
          <w:i/>
          <w:iCs/>
          <w:color w:val="auto"/>
          <w:u w:color="000000"/>
        </w:rPr>
        <w:t>tassa</w:t>
      </w:r>
      <w:proofErr w:type="spellEnd"/>
      <w:r w:rsidRPr="00DC1A5F">
        <w:rPr>
          <w:i/>
          <w:iCs/>
          <w:color w:val="auto"/>
          <w:u w:color="000000"/>
        </w:rPr>
        <w:t xml:space="preserve"> </w:t>
      </w:r>
      <w:proofErr w:type="spellStart"/>
      <w:r w:rsidRPr="00DC1A5F">
        <w:rPr>
          <w:i/>
          <w:iCs/>
          <w:color w:val="auto"/>
          <w:u w:color="000000"/>
        </w:rPr>
        <w:t>saṅkhā</w:t>
      </w:r>
      <w:proofErr w:type="spellEnd"/>
      <w:r w:rsidRPr="00DC1A5F">
        <w:rPr>
          <w:color w:val="auto"/>
          <w:u w:color="000000"/>
        </w:rPr>
        <w:t xml:space="preserve">— De la materialidad que nace, se manifiesta, se dice que ‘ello es’” (S II 71f.). El </w:t>
      </w:r>
      <w:proofErr w:type="spellStart"/>
      <w:r w:rsidRPr="00DC1A5F">
        <w:rPr>
          <w:i/>
          <w:iCs/>
          <w:color w:val="auto"/>
          <w:u w:color="000000"/>
        </w:rPr>
        <w:t>atthi</w:t>
      </w:r>
      <w:proofErr w:type="spellEnd"/>
      <w:r w:rsidRPr="00DC1A5F">
        <w:rPr>
          <w:i/>
          <w:iCs/>
          <w:color w:val="auto"/>
          <w:u w:color="000000"/>
        </w:rPr>
        <w:t>–</w:t>
      </w:r>
      <w:proofErr w:type="spellStart"/>
      <w:r w:rsidRPr="00DC1A5F">
        <w:rPr>
          <w:i/>
          <w:iCs/>
          <w:color w:val="auto"/>
          <w:u w:color="000000"/>
        </w:rPr>
        <w:t>paccaya</w:t>
      </w:r>
      <w:proofErr w:type="spellEnd"/>
      <w:r w:rsidRPr="00DC1A5F">
        <w:rPr>
          <w:color w:val="auto"/>
          <w:u w:color="000000"/>
        </w:rPr>
        <w:t xml:space="preserve"> (condición de presencia), siendo implícitamente equiparado con este último, no podrá ser aplicado al </w:t>
      </w:r>
      <w:r w:rsidRPr="00DC1A5F">
        <w:rPr>
          <w:i/>
          <w:iCs/>
          <w:color w:val="auto"/>
          <w:u w:color="000000"/>
        </w:rPr>
        <w:t>Nibbāna</w:t>
      </w:r>
      <w:r w:rsidRPr="00DC1A5F">
        <w:rPr>
          <w:color w:val="auto"/>
          <w:u w:color="000000"/>
        </w:rPr>
        <w:t xml:space="preserve"> porque el </w:t>
      </w:r>
      <w:r w:rsidRPr="00DC1A5F">
        <w:rPr>
          <w:i/>
          <w:iCs/>
          <w:color w:val="auto"/>
          <w:u w:color="000000"/>
        </w:rPr>
        <w:t>Nibbāna</w:t>
      </w:r>
      <w:r w:rsidRPr="00DC1A5F">
        <w:rPr>
          <w:color w:val="auto"/>
          <w:u w:color="000000"/>
        </w:rPr>
        <w:t xml:space="preserve"> no está sujeto al surgimiento (A I 152).</w:t>
      </w:r>
    </w:p>
    <w:p w14:paraId="29804809" w14:textId="77777777" w:rsidR="00597DE2" w:rsidRPr="00DC1A5F" w:rsidRDefault="00597DE2" w:rsidP="00597DE2">
      <w:pPr>
        <w:tabs>
          <w:tab w:val="clear" w:pos="425"/>
        </w:tabs>
        <w:spacing w:after="160"/>
        <w:rPr>
          <w:color w:val="000000" w:themeColor="text1"/>
          <w:spacing w:val="10"/>
          <w:sz w:val="14"/>
        </w:rPr>
      </w:pPr>
      <w:r w:rsidRPr="00DC1A5F">
        <w:br w:type="page"/>
      </w:r>
    </w:p>
    <w:p w14:paraId="395837BE" w14:textId="77777777" w:rsidR="00597DE2" w:rsidRPr="00DC1A5F" w:rsidRDefault="00597DE2" w:rsidP="00597DE2">
      <w:pPr>
        <w:pStyle w:val="Ttulo7"/>
      </w:pPr>
      <w:r w:rsidRPr="00DC1A5F">
        <w:lastRenderedPageBreak/>
        <w:t>[Cómo la Ignorancia llega a ser una Condición para las Formaciones]</w:t>
      </w:r>
    </w:p>
    <w:p w14:paraId="085F4FE4" w14:textId="77777777" w:rsidR="00597DE2" w:rsidRPr="00DC1A5F" w:rsidRDefault="00597DE2" w:rsidP="00597DE2">
      <w:pPr>
        <w:pStyle w:val="Textoindependiente"/>
      </w:pPr>
      <w:r w:rsidRPr="00DC1A5F">
        <w:t xml:space="preserve">101. </w:t>
      </w:r>
      <w:r w:rsidRPr="00DC1A5F">
        <w:tab/>
        <w:t>Ahora bien, en cuanto a estas 24 condiciones:</w:t>
      </w:r>
    </w:p>
    <w:p w14:paraId="4B888577" w14:textId="77777777" w:rsidR="00597DE2" w:rsidRPr="00DC1A5F" w:rsidRDefault="00597DE2" w:rsidP="00597DE2">
      <w:pPr>
        <w:pStyle w:val="VersoIngls01Sangria"/>
        <w:rPr>
          <w:sz w:val="16"/>
          <w:szCs w:val="20"/>
        </w:rPr>
      </w:pPr>
      <w:r w:rsidRPr="00DC1A5F">
        <w:rPr>
          <w:sz w:val="16"/>
          <w:szCs w:val="20"/>
        </w:rPr>
        <w:t xml:space="preserve">Para aquellos seres de méritos la ignorancia  </w:t>
      </w:r>
    </w:p>
    <w:p w14:paraId="4F750371" w14:textId="77777777" w:rsidR="00597DE2" w:rsidRPr="00DC1A5F" w:rsidRDefault="00597DE2" w:rsidP="00597DE2">
      <w:pPr>
        <w:pStyle w:val="VersoIngls01Sangria"/>
        <w:rPr>
          <w:sz w:val="16"/>
          <w:szCs w:val="20"/>
        </w:rPr>
      </w:pPr>
      <w:r w:rsidRPr="00DC1A5F">
        <w:rPr>
          <w:sz w:val="16"/>
          <w:szCs w:val="20"/>
        </w:rPr>
        <w:t>Será una condición de dos maneras</w:t>
      </w:r>
    </w:p>
    <w:p w14:paraId="5711DE64" w14:textId="77777777" w:rsidR="00597DE2" w:rsidRPr="00DC1A5F" w:rsidRDefault="00597DE2" w:rsidP="00597DE2">
      <w:pPr>
        <w:pStyle w:val="VersoIngls01Sangria"/>
        <w:rPr>
          <w:sz w:val="16"/>
          <w:szCs w:val="20"/>
        </w:rPr>
      </w:pPr>
      <w:r w:rsidRPr="00DC1A5F">
        <w:rPr>
          <w:sz w:val="16"/>
          <w:szCs w:val="20"/>
        </w:rPr>
        <w:t xml:space="preserve">Y para el siguiente de muchas maneras </w:t>
      </w:r>
    </w:p>
    <w:p w14:paraId="638D8216" w14:textId="77777777" w:rsidR="00597DE2" w:rsidRPr="00DC1A5F" w:rsidRDefault="00597DE2" w:rsidP="00597DE2">
      <w:pPr>
        <w:pStyle w:val="VersoIngls01Sangria"/>
        <w:spacing w:after="100"/>
        <w:ind w:left="1418"/>
        <w:rPr>
          <w:sz w:val="16"/>
          <w:szCs w:val="20"/>
        </w:rPr>
      </w:pPr>
      <w:r w:rsidRPr="00DC1A5F">
        <w:rPr>
          <w:sz w:val="16"/>
          <w:szCs w:val="20"/>
        </w:rPr>
        <w:t>Pero para la del último tipo solo de una manera.</w:t>
      </w:r>
    </w:p>
    <w:p w14:paraId="46C46513" w14:textId="77777777" w:rsidR="00597DE2" w:rsidRPr="00DC1A5F" w:rsidRDefault="00597DE2" w:rsidP="00597DE2">
      <w:r w:rsidRPr="00DC1A5F">
        <w:t xml:space="preserve">102. </w:t>
      </w:r>
      <w:r w:rsidRPr="00DC1A5F">
        <w:tab/>
        <w:t xml:space="preserve">Aquí, para </w:t>
      </w:r>
      <w:r w:rsidRPr="00DC1A5F">
        <w:rPr>
          <w:i/>
          <w:iCs/>
        </w:rPr>
        <w:t>las formaciones meritorias la ignorancia será una condición de dos maneras</w:t>
      </w:r>
      <w:r w:rsidRPr="00DC1A5F">
        <w:t xml:space="preserve">: será una condición de dos maneras: como una condición de objeto y como una condición de </w:t>
      </w:r>
      <w:proofErr w:type="spellStart"/>
      <w:r w:rsidRPr="00DC1A5F">
        <w:t>soportedecisivo</w:t>
      </w:r>
      <w:proofErr w:type="spellEnd"/>
      <w:r w:rsidRPr="00DC1A5F">
        <w:t xml:space="preserve">. Ya que la ignorancia será una condición, como condición de objeto, para las formaciones meritorias de la esfera sensorial en el momento de comprender, por medio de la sabiduría, la ignorancia como susceptible de destrucción y desaparición; e igualmente será para aquellos de la esfera de la materia sutil en el momento de conocer una mente confusa por medio de la consciencia de conocimiento directo [a través de penetrar en las mentes de otros, y así sucesivamente]. No obstante, será una condición, como condición de soporte decisivo, en dos casos: para la formación de la esfera sensorial en alguien que, con el propósito de superar la ignorancia, cumpla las diversas instancias de creación de méritos de la esfera sensorial que consistan en generosidad, virtud, etc., y para la formación de la esfera de la materia sutil en alguien que active los </w:t>
      </w:r>
      <w:proofErr w:type="spellStart"/>
      <w:r w:rsidRPr="00DC1A5F">
        <w:rPr>
          <w:i/>
        </w:rPr>
        <w:t>jhāna</w:t>
      </w:r>
      <w:r w:rsidRPr="00DC1A5F">
        <w:t>s</w:t>
      </w:r>
      <w:proofErr w:type="spellEnd"/>
      <w:r w:rsidRPr="00DC1A5F">
        <w:t xml:space="preserve"> de la materia sutil, con el mismo propósito. Del mismo modo, en alguien que obtenga ese mérito mientras aspire al placer del devenir de la esfera sensorial y del devenir de la materia sutil, ya que se encontrará confundido por la ignorancia.</w:t>
      </w:r>
    </w:p>
    <w:p w14:paraId="776676FF" w14:textId="77777777" w:rsidR="00597DE2" w:rsidRPr="00DC1A5F" w:rsidRDefault="00597DE2" w:rsidP="00597DE2">
      <w:r w:rsidRPr="00DC1A5F">
        <w:t xml:space="preserve">103. </w:t>
      </w:r>
      <w:r w:rsidRPr="00DC1A5F">
        <w:tab/>
      </w:r>
      <w:r w:rsidRPr="00DC1A5F">
        <w:rPr>
          <w:i/>
          <w:iCs/>
        </w:rPr>
        <w:t>Y para la próxima de muchas maneras</w:t>
      </w:r>
      <w:r w:rsidRPr="00DC1A5F">
        <w:t xml:space="preserve">: corresponderá a una condición para las formaciones demeritorias de muchas maneras. ¿Cómo? Como condición de objeto en el momento del surgimiento de la codicia, etc., circunstancial a la ignorancia; como predominio del objeto y soporte decisivo del objeto, respectivamente, a la hora de dar importancia a la ignorancia y gozar de ella; como soporte decisivo en quien, confundido por la ignorancia y sin darse cuenta de su peligro, matará seres vivos, etc.; como proximidad, contigüidad, soporte decisivo de proximidad, repetición, ausencia y desaparición, para el segundo impulso y para los que le sigan; como causa–raíz, </w:t>
      </w:r>
      <w:proofErr w:type="spellStart"/>
      <w:r w:rsidRPr="00DC1A5F">
        <w:t>coetaneidad</w:t>
      </w:r>
      <w:proofErr w:type="spellEnd"/>
      <w:r w:rsidRPr="00DC1A5F">
        <w:t>, reciprocidad, soporte, asociación, presencia y no–desaparición, en alguien que cometa cualquier cosa improductiva. Por lo tanto, será una condición en muchos sentidos.</w:t>
      </w:r>
    </w:p>
    <w:p w14:paraId="30F00076" w14:textId="77777777" w:rsidR="00597DE2" w:rsidRPr="00DC1A5F" w:rsidRDefault="00597DE2" w:rsidP="00597DE2">
      <w:r w:rsidRPr="00DC1A5F">
        <w:t xml:space="preserve">104. </w:t>
      </w:r>
      <w:r w:rsidRPr="00DC1A5F">
        <w:tab/>
        <w:t xml:space="preserve">Pero </w:t>
      </w:r>
      <w:r w:rsidRPr="00DC1A5F">
        <w:rPr>
          <w:i/>
          <w:iCs/>
        </w:rPr>
        <w:t>para la del último tipo sólo una</w:t>
      </w:r>
      <w:r w:rsidRPr="00DC1A5F">
        <w:t>: [542] se cuenta como una condición de una manera, es decir, como una condición de soporte decisivo solamente, para las formaciones de lo imperturbable. No obstante, su relación como condición de soporte decisivo deberá ser entendida como enunciada bajo formaciones meritorias.</w:t>
      </w:r>
    </w:p>
    <w:p w14:paraId="024E7108" w14:textId="77777777" w:rsidR="00597DE2" w:rsidRPr="00DC1A5F" w:rsidRDefault="00597DE2" w:rsidP="00597DE2">
      <w:pPr>
        <w:pStyle w:val="Ttulo7"/>
      </w:pPr>
      <w:r w:rsidRPr="00DC1A5F">
        <w:t>[No existe un Solo Efecto para una Sola Causa]</w:t>
      </w:r>
    </w:p>
    <w:p w14:paraId="1653024C" w14:textId="77777777" w:rsidR="00597DE2" w:rsidRPr="00DC1A5F" w:rsidRDefault="00597DE2" w:rsidP="00597DE2">
      <w:r w:rsidRPr="00DC1A5F">
        <w:t xml:space="preserve">105. </w:t>
      </w:r>
      <w:r w:rsidRPr="00DC1A5F">
        <w:tab/>
        <w:t>Aquí se podría preguntar: Pero ¿cómo es eso? ¿Es la ignorancia la única condición para las formaciones, o existe otras condiciones? ¿cuál es la postura aquí? En primer lugar, si fuese la única causa, le seguiría la afirmación de una sola causa;</w:t>
      </w:r>
      <w:r w:rsidRPr="00DC1A5F">
        <w:rPr>
          <w:vertAlign w:val="superscript"/>
        </w:rPr>
        <w:t>17</w:t>
      </w:r>
      <w:r w:rsidRPr="00DC1A5F">
        <w:t xml:space="preserve"> pero entonces, si existen otras causas, la descripción de ello como una sola causa, es decir, “Con la ignorancia como condición se originan las formaciones”, sería incorrecta. Pero no, no es incorrecta. ¿Por qué no? Aquí la razón:</w:t>
      </w:r>
    </w:p>
    <w:p w14:paraId="098BCE8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37F6610" w14:textId="77777777" w:rsidR="00597DE2" w:rsidRPr="00DC1A5F" w:rsidRDefault="00597DE2" w:rsidP="00597DE2">
      <w:pPr>
        <w:pStyle w:val="PiedepginaLegal"/>
        <w:numPr>
          <w:ilvl w:val="0"/>
          <w:numId w:val="6"/>
        </w:numPr>
        <w:tabs>
          <w:tab w:val="clear" w:pos="425"/>
        </w:tabs>
        <w:ind w:left="284" w:hanging="284"/>
      </w:pPr>
      <w:r w:rsidRPr="00DC1A5F">
        <w:t>“La afirmación de una sola causa (</w:t>
      </w:r>
      <w:proofErr w:type="spellStart"/>
      <w:r w:rsidRPr="00DC1A5F">
        <w:rPr>
          <w:i/>
          <w:iCs/>
        </w:rPr>
        <w:t>kāraṇa</w:t>
      </w:r>
      <w:proofErr w:type="spellEnd"/>
      <w:r w:rsidRPr="00DC1A5F">
        <w:t>) es indeseable porque le seguiría que exista una producción todo el tiempo y porque le seguiría también que exista un solo estado homogéneo;” (</w:t>
      </w:r>
      <w:proofErr w:type="spellStart"/>
      <w:r w:rsidRPr="00DC1A5F">
        <w:t>Vism</w:t>
      </w:r>
      <w:proofErr w:type="spellEnd"/>
      <w:r w:rsidRPr="00DC1A5F">
        <w:t>–</w:t>
      </w:r>
      <w:proofErr w:type="spellStart"/>
      <w:r w:rsidRPr="00DC1A5F">
        <w:t>mhṭ</w:t>
      </w:r>
      <w:proofErr w:type="spellEnd"/>
      <w:r w:rsidRPr="00DC1A5F">
        <w:t xml:space="preserve"> 599) cf. XIX.3.</w:t>
      </w:r>
    </w:p>
    <w:p w14:paraId="597B5D29" w14:textId="77777777" w:rsidR="00597DE2" w:rsidRPr="00DC1A5F" w:rsidRDefault="00597DE2" w:rsidP="00597DE2">
      <w:pPr>
        <w:tabs>
          <w:tab w:val="clear" w:pos="425"/>
        </w:tabs>
        <w:spacing w:after="160"/>
      </w:pPr>
      <w:r w:rsidRPr="00DC1A5F">
        <w:br w:type="page"/>
      </w:r>
    </w:p>
    <w:p w14:paraId="6CB1D691" w14:textId="77777777" w:rsidR="00597DE2" w:rsidRPr="00DC1A5F" w:rsidRDefault="00597DE2" w:rsidP="00597DE2">
      <w:pPr>
        <w:pStyle w:val="VersoIngls01Sangria"/>
        <w:rPr>
          <w:sz w:val="16"/>
          <w:szCs w:val="20"/>
        </w:rPr>
      </w:pPr>
      <w:r w:rsidRPr="00DC1A5F">
        <w:rPr>
          <w:sz w:val="16"/>
          <w:szCs w:val="20"/>
        </w:rPr>
        <w:lastRenderedPageBreak/>
        <w:t>No de una sola causa surgirá</w:t>
      </w:r>
    </w:p>
    <w:p w14:paraId="7D816F5C" w14:textId="77777777" w:rsidR="00597DE2" w:rsidRPr="00DC1A5F" w:rsidRDefault="00597DE2" w:rsidP="00597DE2">
      <w:pPr>
        <w:pStyle w:val="VersoIngls01Sangria"/>
        <w:rPr>
          <w:sz w:val="16"/>
          <w:szCs w:val="20"/>
        </w:rPr>
      </w:pPr>
      <w:r w:rsidRPr="00DC1A5F">
        <w:rPr>
          <w:sz w:val="16"/>
          <w:szCs w:val="20"/>
        </w:rPr>
        <w:t>Un efecto o muchos, ni un efecto de muchas causas;</w:t>
      </w:r>
    </w:p>
    <w:p w14:paraId="699A11D5" w14:textId="77777777" w:rsidR="00597DE2" w:rsidRPr="00DC1A5F" w:rsidRDefault="00597DE2" w:rsidP="00597DE2">
      <w:pPr>
        <w:pStyle w:val="VersoIngls01Sangria"/>
        <w:rPr>
          <w:sz w:val="16"/>
          <w:szCs w:val="20"/>
        </w:rPr>
      </w:pPr>
      <w:r w:rsidRPr="00DC1A5F">
        <w:rPr>
          <w:sz w:val="16"/>
          <w:szCs w:val="20"/>
        </w:rPr>
        <w:t>Sin embargo, es útil utilizar</w:t>
      </w:r>
    </w:p>
    <w:p w14:paraId="56AB0A7E" w14:textId="77777777" w:rsidR="00597DE2" w:rsidRPr="00DC1A5F" w:rsidRDefault="00597DE2" w:rsidP="00597DE2">
      <w:pPr>
        <w:pStyle w:val="VersoIngls01Sangria"/>
        <w:spacing w:after="100"/>
        <w:ind w:left="1418"/>
        <w:rPr>
          <w:sz w:val="16"/>
          <w:szCs w:val="20"/>
        </w:rPr>
      </w:pPr>
      <w:r w:rsidRPr="00DC1A5F">
        <w:rPr>
          <w:sz w:val="16"/>
          <w:szCs w:val="20"/>
        </w:rPr>
        <w:t>Una causa y un efecto como representación.</w:t>
      </w:r>
    </w:p>
    <w:p w14:paraId="7ABE761C" w14:textId="77777777" w:rsidR="00597DE2" w:rsidRPr="00DC1A5F" w:rsidRDefault="00597DE2" w:rsidP="00597DE2">
      <w:r w:rsidRPr="00DC1A5F">
        <w:t xml:space="preserve">106. </w:t>
      </w:r>
      <w:r w:rsidRPr="00DC1A5F">
        <w:tab/>
        <w:t>Aquí no existirá un efecto único o múltiple de ninguna especie para una sola causa, ni un solo efecto para múltiples causas, sino un efecto múltiple debido a múltiples causas. Así, por múltiples causas, es decir, por la temperatura, el elemento tierra, la semilla y la humedad, se verá surgir un efecto múltiple, es decir, el retoño, que tendrá forma visible, olor, sabor, etc. No obstante, una causa representativa y un efecto expuesto de la siguiente manera, “Con la ignorancia como condición se originan las formaciones; con las formaciones como condición, la consciencia”, cobrará un significado y un uso.</w:t>
      </w:r>
    </w:p>
    <w:p w14:paraId="77C6176A" w14:textId="77777777" w:rsidR="00597DE2" w:rsidRPr="00DC1A5F" w:rsidRDefault="00597DE2" w:rsidP="00597DE2">
      <w:r w:rsidRPr="00DC1A5F">
        <w:t xml:space="preserve">107. </w:t>
      </w:r>
      <w:r w:rsidRPr="00DC1A5F">
        <w:tab/>
        <w:t xml:space="preserve">El </w:t>
      </w:r>
      <w:r w:rsidRPr="00DC1A5F">
        <w:rPr>
          <w:i/>
          <w:iCs/>
        </w:rPr>
        <w:t>Bhagavā</w:t>
      </w:r>
      <w:r w:rsidRPr="00DC1A5F">
        <w:t xml:space="preserve"> empleó una causa y un efecto representativos cuando fue conveniente debido a la elegancia de la exposición y a la idiosincrasia de los aquellos susceptibles de ser instruidos. Y lo hizo en algunos casos porque correspondía a un factor básico, en otros casos porque era lo más obvio y en otros porque no era común a todo. </w:t>
      </w:r>
    </w:p>
    <w:p w14:paraId="057D3878" w14:textId="77777777" w:rsidR="00597DE2" w:rsidRPr="00DC1A5F" w:rsidRDefault="00597DE2" w:rsidP="00597DE2">
      <w:pPr>
        <w:pStyle w:val="NormalConSangria"/>
      </w:pPr>
      <w:r w:rsidRPr="00DC1A5F">
        <w:t xml:space="preserve">En el pasaje “Con el contacto como condición, se origina la sensación” (M I 261) se menciona una sola causa y un solo efecto porque corresponden a factores básicos. Pues el contacto será la causa básica para la sensación, puesto que las clases de sensación se definirán según las clases de contacto, como “sensación surgida del contacto visual” y así sucesivamente, y la sensación será el efecto básico del contacto, puesto que el contacto se definirá según las clases de sensación que se produzca. Él </w:t>
      </w:r>
      <w:r w:rsidRPr="00DC1A5F">
        <w:rPr>
          <w:i/>
          <w:iCs/>
        </w:rPr>
        <w:t>Bhagavā</w:t>
      </w:r>
      <w:r w:rsidRPr="00DC1A5F">
        <w:t xml:space="preserve"> mencionó una sola causa en el pasaje “La enfermedad se debe a la flema” (A V 110) porque era lo más obvio. Ya que aquí lo que era más obvio era la flema, no el </w:t>
      </w:r>
      <w:proofErr w:type="spellStart"/>
      <w:r w:rsidRPr="00DC1A5F">
        <w:rPr>
          <w:i/>
        </w:rPr>
        <w:t>kamma</w:t>
      </w:r>
      <w:proofErr w:type="spellEnd"/>
      <w:r w:rsidRPr="00DC1A5F">
        <w:t xml:space="preserve">, etc., mencionado más adelante en el mismo </w:t>
      </w:r>
      <w:proofErr w:type="spellStart"/>
      <w:r w:rsidRPr="00DC1A5F">
        <w:rPr>
          <w:i/>
          <w:iCs/>
        </w:rPr>
        <w:t>sutta</w:t>
      </w:r>
      <w:proofErr w:type="spellEnd"/>
      <w:r w:rsidRPr="00DC1A5F">
        <w:t xml:space="preserve">. El </w:t>
      </w:r>
      <w:r w:rsidRPr="00DC1A5F">
        <w:rPr>
          <w:i/>
          <w:iCs/>
        </w:rPr>
        <w:t>Bhagavā</w:t>
      </w:r>
      <w:r w:rsidRPr="00DC1A5F">
        <w:t xml:space="preserve"> menciona una sola causa en el pasaje “</w:t>
      </w:r>
      <w:proofErr w:type="spellStart"/>
      <w:r w:rsidRPr="00DC1A5F">
        <w:rPr>
          <w:i/>
        </w:rPr>
        <w:t>Bhikkhu</w:t>
      </w:r>
      <w:r w:rsidRPr="00DC1A5F">
        <w:t>s</w:t>
      </w:r>
      <w:proofErr w:type="spellEnd"/>
      <w:r w:rsidRPr="00DC1A5F">
        <w:t>, cualquier estado que no sea productivo está enraizado en una atención imprudente” (cf. S V 91) porque no era común a todos. Ya que la atención imprudente hacia cosas improductivas no es común a todos los estados en la forma en la que, digamos, la base física y el objeto lo son para todos los estados.</w:t>
      </w:r>
    </w:p>
    <w:p w14:paraId="2FEC09EB" w14:textId="77777777" w:rsidR="00597DE2" w:rsidRPr="00DC1A5F" w:rsidRDefault="00597DE2" w:rsidP="00597DE2">
      <w:pPr>
        <w:rPr>
          <w:vertAlign w:val="superscript"/>
        </w:rPr>
      </w:pPr>
      <w:r w:rsidRPr="00DC1A5F">
        <w:t xml:space="preserve">108. </w:t>
      </w:r>
      <w:r w:rsidRPr="00DC1A5F">
        <w:tab/>
        <w:t xml:space="preserve">En consecuencia, aunque existan otras causas de formaciones tales como la base física y el objeto, los estados coetáneos, etc., todavía la ignorancia podrá entenderse como la causa representativa de las formaciones, en primer lugar, porque será el factor básico como causa de las formaciones. otras causas de formaciones como la avidez, etc., tal como está dicho: “El deseo aumenta en el que habita apreciando el placer” (S II 84), y “Con el surgimiento de la ignorancia se originan las corrupciones” (M I 55); y de nuevo porque es lo más obvio, “Sin conocimiento, </w:t>
      </w:r>
      <w:proofErr w:type="spellStart"/>
      <w:r w:rsidRPr="00DC1A5F">
        <w:rPr>
          <w:i/>
        </w:rPr>
        <w:t>bhikkhu</w:t>
      </w:r>
      <w:r w:rsidRPr="00DC1A5F">
        <w:t>s</w:t>
      </w:r>
      <w:proofErr w:type="spellEnd"/>
      <w:r w:rsidRPr="00DC1A5F">
        <w:t>, sobre la ignorancia, él conforma la formación meritoria” (cf. S II 82); y por último, porque no es común a todos. [543] Así que el uso de una causa representativa y su efecto deberán entenderse en cada caso de acuerdo con esta explicación al respecto.</w:t>
      </w:r>
      <w:r w:rsidRPr="00DC1A5F">
        <w:rPr>
          <w:vertAlign w:val="superscript"/>
        </w:rPr>
        <w:t>18</w:t>
      </w:r>
    </w:p>
    <w:p w14:paraId="0D454A4D" w14:textId="77777777" w:rsidR="00597DE2" w:rsidRPr="00DC1A5F" w:rsidRDefault="00597DE2" w:rsidP="00597DE2">
      <w:r w:rsidRPr="00DC1A5F">
        <w:t xml:space="preserve">109. </w:t>
      </w:r>
      <w:r w:rsidRPr="00DC1A5F">
        <w:tab/>
        <w:t xml:space="preserve">Aquí podría decirse: “Admitamos eso. No obstante, la ignorancia es reprobable y posee efectos enteramente indeseables. ¿cómo entonces podría ser justificadamente una condición para las formaciones meritorias y lo imperturbable? La caña de azúcar no crece a partir de semillas amargas de nimba”. ¿Por qué no debería ser correcto? Porque en el mundo [es decir, incluso </w:t>
      </w:r>
    </w:p>
    <w:p w14:paraId="36401BD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47956A8" w14:textId="77777777" w:rsidR="00597DE2" w:rsidRPr="00DC1A5F" w:rsidRDefault="00597DE2" w:rsidP="00597DE2">
      <w:pPr>
        <w:pStyle w:val="PiedepginaLegal"/>
        <w:numPr>
          <w:ilvl w:val="0"/>
          <w:numId w:val="6"/>
        </w:numPr>
        <w:tabs>
          <w:tab w:val="clear" w:pos="425"/>
        </w:tabs>
        <w:ind w:left="284" w:hanging="284"/>
      </w:pPr>
      <w:proofErr w:type="spellStart"/>
      <w:r w:rsidRPr="00DC1A5F">
        <w:rPr>
          <w:i/>
          <w:iCs/>
        </w:rPr>
        <w:t>Parihāra</w:t>
      </w:r>
      <w:proofErr w:type="spellEnd"/>
      <w:r w:rsidRPr="00DC1A5F">
        <w:rPr>
          <w:i/>
          <w:iCs/>
        </w:rPr>
        <w:t>–</w:t>
      </w:r>
      <w:proofErr w:type="spellStart"/>
      <w:r w:rsidRPr="00DC1A5F">
        <w:rPr>
          <w:i/>
          <w:iCs/>
        </w:rPr>
        <w:t>vacana</w:t>
      </w:r>
      <w:proofErr w:type="spellEnd"/>
      <w:r w:rsidRPr="00DC1A5F">
        <w:t>—“explicación”: no así en el PED.</w:t>
      </w:r>
    </w:p>
    <w:p w14:paraId="4DFE4A6A" w14:textId="77777777" w:rsidR="00597DE2" w:rsidRPr="00DC1A5F" w:rsidRDefault="00597DE2" w:rsidP="00597DE2">
      <w:pPr>
        <w:tabs>
          <w:tab w:val="clear" w:pos="425"/>
        </w:tabs>
        <w:spacing w:after="160"/>
      </w:pPr>
      <w:r w:rsidRPr="00DC1A5F">
        <w:br w:type="page"/>
      </w:r>
    </w:p>
    <w:p w14:paraId="2F79A71D" w14:textId="77777777" w:rsidR="00597DE2" w:rsidRPr="00DC1A5F" w:rsidRDefault="00597DE2" w:rsidP="00597DE2">
      <w:pPr>
        <w:pStyle w:val="Textoindependiente"/>
      </w:pPr>
      <w:r w:rsidRPr="00DC1A5F">
        <w:lastRenderedPageBreak/>
        <w:t>entre los pensadores fuera de la Dispensación se reconoce que]</w:t>
      </w:r>
    </w:p>
    <w:p w14:paraId="690CDEDF" w14:textId="77777777" w:rsidR="00597DE2" w:rsidRPr="00DC1A5F" w:rsidRDefault="00597DE2" w:rsidP="00597DE2">
      <w:pPr>
        <w:pStyle w:val="VersoIngls01Sangria"/>
        <w:rPr>
          <w:sz w:val="16"/>
          <w:szCs w:val="20"/>
        </w:rPr>
      </w:pPr>
      <w:r w:rsidRPr="00DC1A5F">
        <w:rPr>
          <w:sz w:val="16"/>
          <w:szCs w:val="20"/>
        </w:rPr>
        <w:t>Tanto opuestas como no opuestas</w:t>
      </w:r>
    </w:p>
    <w:p w14:paraId="2DCEFAF6" w14:textId="77777777" w:rsidR="00597DE2" w:rsidRPr="00DC1A5F" w:rsidRDefault="00597DE2" w:rsidP="00597DE2">
      <w:pPr>
        <w:pStyle w:val="VersoIngls01Sangria"/>
        <w:rPr>
          <w:sz w:val="16"/>
          <w:szCs w:val="20"/>
        </w:rPr>
      </w:pPr>
      <w:r w:rsidRPr="00DC1A5F">
        <w:rPr>
          <w:sz w:val="16"/>
          <w:szCs w:val="20"/>
        </w:rPr>
        <w:t>Se podrán encontrar condiciones para un estado,</w:t>
      </w:r>
    </w:p>
    <w:p w14:paraId="787E830F" w14:textId="77777777" w:rsidR="00597DE2" w:rsidRPr="00DC1A5F" w:rsidRDefault="00597DE2" w:rsidP="00597DE2">
      <w:pPr>
        <w:pStyle w:val="VersoIngls01Sangria"/>
        <w:rPr>
          <w:sz w:val="16"/>
          <w:szCs w:val="20"/>
        </w:rPr>
      </w:pPr>
      <w:r w:rsidRPr="00DC1A5F">
        <w:rPr>
          <w:sz w:val="16"/>
          <w:szCs w:val="20"/>
        </w:rPr>
        <w:t>Y tanto similares como también disimilares:</w:t>
      </w:r>
    </w:p>
    <w:p w14:paraId="2876D288" w14:textId="77777777" w:rsidR="00597DE2" w:rsidRPr="00DC1A5F" w:rsidRDefault="00597DE2" w:rsidP="00597DE2">
      <w:pPr>
        <w:pStyle w:val="VersoIngls01Sangria"/>
        <w:spacing w:after="100"/>
        <w:ind w:left="1418"/>
        <w:rPr>
          <w:sz w:val="16"/>
          <w:szCs w:val="20"/>
        </w:rPr>
      </w:pPr>
      <w:r w:rsidRPr="00DC1A5F">
        <w:rPr>
          <w:sz w:val="16"/>
          <w:szCs w:val="20"/>
        </w:rPr>
        <w:t>Y eso no lo convierte en su resultado.</w:t>
      </w:r>
    </w:p>
    <w:p w14:paraId="71777D73" w14:textId="77777777" w:rsidR="00597DE2" w:rsidRPr="00DC1A5F" w:rsidRDefault="00597DE2" w:rsidP="00597DE2">
      <w:r w:rsidRPr="00DC1A5F">
        <w:t xml:space="preserve">110. </w:t>
      </w:r>
      <w:r w:rsidRPr="00DC1A5F">
        <w:tab/>
        <w:t xml:space="preserve">Está establecido en el mundo que cuando los estados poseen una condición, ésta podrá oponerse o no a ella en cuanto a su presencia, esencia individual, función, etc. Pues una consciencia precedente será una condición, opuesta a la presente, para la consciencia subsiguiente; y un entrenamiento precedente será una condición equivalente para la gestión de oficios, etc., los cuales tendrán lugar posteriormente. El </w:t>
      </w:r>
      <w:proofErr w:type="spellStart"/>
      <w:r w:rsidRPr="00DC1A5F">
        <w:rPr>
          <w:i/>
        </w:rPr>
        <w:t>kamma</w:t>
      </w:r>
      <w:proofErr w:type="spellEnd"/>
      <w:r w:rsidRPr="00DC1A5F">
        <w:t xml:space="preserve"> será una condición, opuesta a la esencia individual, para la materialidad; y también lo serán la leche, etc., para la cuajada, etc. La luz será una condición, opuesta a la función, para la consciencia visual; y también lo serán la melaza, etc., para los intoxicantes, etc. No obstante, el ojo y los objetos visibles, etc., serán, respectivamente, una condición, sin oposición en cuanto a la presencia, para la consciencia visual, etc. Y el primer impulso, y los que le sigan, serán una condición, sin oposición en cuanto a la esencia y la función individual, para los impulsos que le sigan. Y así como las condiciones operarán como opuestas y no opuestas, también operarán como similares y disimilares. La materialidad ― por ejemplo, la temperatura y el nutrimento ― será una condición para la materialidad: lo similar para lo similar. Y también lo serán las semillas de arroz, etc., para los cultivos de arroz, etc. Lo material será una condición para lo inmaterial y también lo será lo inmaterial para lo material: lo disimilar para lo similar. Y también lo serán el pelo de buey y el pelo de carnero, los cuernos, la cuajada y la harina de sésamo, etc., respectivamente para la hierba </w:t>
      </w:r>
      <w:proofErr w:type="spellStart"/>
      <w:r w:rsidRPr="00DC1A5F">
        <w:rPr>
          <w:i/>
          <w:iCs/>
        </w:rPr>
        <w:t>dabba</w:t>
      </w:r>
      <w:proofErr w:type="spellEnd"/>
      <w:r w:rsidRPr="00DC1A5F">
        <w:t xml:space="preserve">, los carrizos, la hierba </w:t>
      </w:r>
      <w:proofErr w:type="spellStart"/>
      <w:r w:rsidRPr="00DC1A5F">
        <w:rPr>
          <w:i/>
          <w:iCs/>
        </w:rPr>
        <w:t>bhūtanaka</w:t>
      </w:r>
      <w:proofErr w:type="spellEnd"/>
      <w:r w:rsidRPr="00DC1A5F">
        <w:t>, etc.</w:t>
      </w:r>
      <w:r w:rsidRPr="00DC1A5F">
        <w:rPr>
          <w:vertAlign w:val="superscript"/>
        </w:rPr>
        <w:t>19</w:t>
      </w:r>
      <w:r w:rsidRPr="00DC1A5F">
        <w:t xml:space="preserve"> Y aquellos estados para los cuales estos serán condiciones opuestas y no opuestas, similares y disimilares, no corresponderán a los resultados de estos estados.</w:t>
      </w:r>
    </w:p>
    <w:p w14:paraId="1014A103" w14:textId="77777777" w:rsidR="00597DE2" w:rsidRPr="00DC1A5F" w:rsidRDefault="00597DE2" w:rsidP="00597DE2">
      <w:r w:rsidRPr="00DC1A5F">
        <w:t xml:space="preserve">111. </w:t>
      </w:r>
      <w:r w:rsidRPr="00DC1A5F">
        <w:tab/>
        <w:t>Así, aunque esta ignorancia posea como resultado un efecto enteramente indeseable y sea reprobable en su esencia individual, sin embargo, deberá entenderse como una condición, opuesta o no, y similar o disimilar según sea el caso, en cuanto a la presencia, la función y la esencia individual, para todas estas formaciones meritorias, etc. Y su estado como condición ya se ha expuesto en el principio del sendero, “Porque cuando el desconocimiento —es decir, la ignorancia— del sufrimiento, etc., se desampara en un hombre, debido en primer lugar a su desconocimiento del sufrimiento y del pasado, etc., luego termina creyendo que el sufrimiento del ciclo de renacimientos es placentero y se embarca en las tres clases de formaciones, que son la causa de ese mismo sufrimiento” (§62).</w:t>
      </w:r>
    </w:p>
    <w:p w14:paraId="0271A9D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D8E387C" w14:textId="77777777" w:rsidR="00597DE2" w:rsidRPr="00DC1A5F" w:rsidRDefault="00597DE2" w:rsidP="00597DE2">
      <w:pPr>
        <w:pStyle w:val="PiedepginaLegal"/>
        <w:numPr>
          <w:ilvl w:val="0"/>
          <w:numId w:val="6"/>
        </w:numPr>
        <w:tabs>
          <w:tab w:val="clear" w:pos="425"/>
        </w:tabs>
        <w:ind w:left="284" w:hanging="284"/>
      </w:pPr>
      <w:proofErr w:type="spellStart"/>
      <w:r w:rsidRPr="00DC1A5F">
        <w:rPr>
          <w:i/>
          <w:iCs/>
        </w:rPr>
        <w:t>Avi</w:t>
      </w:r>
      <w:proofErr w:type="spellEnd"/>
      <w:r w:rsidRPr="00DC1A5F">
        <w:t xml:space="preserve">— “una cabra o una oveja”: no así en el PED. El texto del </w:t>
      </w:r>
      <w:proofErr w:type="spellStart"/>
      <w:r w:rsidRPr="00DC1A5F">
        <w:t>Vism</w:t>
      </w:r>
      <w:proofErr w:type="spellEnd"/>
      <w:r w:rsidRPr="00DC1A5F">
        <w:t>. dice así: “</w:t>
      </w:r>
      <w:proofErr w:type="spellStart"/>
      <w:r w:rsidRPr="00DC1A5F">
        <w:rPr>
          <w:i/>
          <w:iCs/>
        </w:rPr>
        <w:t>golomāvilomavisāṇadadhitilapiṭṭhādīni</w:t>
      </w:r>
      <w:proofErr w:type="spellEnd"/>
      <w:r w:rsidRPr="00DC1A5F">
        <w:rPr>
          <w:i/>
          <w:iCs/>
        </w:rPr>
        <w:t xml:space="preserve"> ca </w:t>
      </w:r>
      <w:proofErr w:type="spellStart"/>
      <w:r w:rsidRPr="00DC1A5F">
        <w:rPr>
          <w:i/>
          <w:iCs/>
        </w:rPr>
        <w:t>dubbāsarabhūtanakādīnaí</w:t>
      </w:r>
      <w:proofErr w:type="spellEnd"/>
      <w:r w:rsidRPr="00DC1A5F">
        <w:rPr>
          <w:i/>
          <w:iCs/>
        </w:rPr>
        <w:t xml:space="preserve">”. </w:t>
      </w:r>
      <w:proofErr w:type="spellStart"/>
      <w:r w:rsidRPr="00DC1A5F">
        <w:rPr>
          <w:i/>
          <w:iCs/>
        </w:rPr>
        <w:t>Vism</w:t>
      </w:r>
      <w:proofErr w:type="spellEnd"/>
      <w:r w:rsidRPr="00DC1A5F">
        <w:rPr>
          <w:i/>
          <w:iCs/>
        </w:rPr>
        <w:t>–</w:t>
      </w:r>
      <w:proofErr w:type="spellStart"/>
      <w:r w:rsidRPr="00DC1A5F">
        <w:rPr>
          <w:i/>
          <w:iCs/>
        </w:rPr>
        <w:t>mhṭ</w:t>
      </w:r>
      <w:proofErr w:type="spellEnd"/>
      <w:r w:rsidRPr="00DC1A5F">
        <w:rPr>
          <w:i/>
          <w:iCs/>
        </w:rPr>
        <w:t xml:space="preserve"> </w:t>
      </w:r>
      <w:proofErr w:type="spellStart"/>
      <w:r w:rsidRPr="00DC1A5F">
        <w:rPr>
          <w:i/>
          <w:iCs/>
        </w:rPr>
        <w:t>explains</w:t>
      </w:r>
      <w:proofErr w:type="spellEnd"/>
      <w:r w:rsidRPr="00DC1A5F">
        <w:rPr>
          <w:i/>
          <w:iCs/>
        </w:rPr>
        <w:t xml:space="preserve"> </w:t>
      </w:r>
      <w:proofErr w:type="spellStart"/>
      <w:r w:rsidRPr="00DC1A5F">
        <w:rPr>
          <w:i/>
          <w:iCs/>
        </w:rPr>
        <w:t>thus</w:t>
      </w:r>
      <w:proofErr w:type="spellEnd"/>
      <w:r w:rsidRPr="00DC1A5F">
        <w:rPr>
          <w:i/>
          <w:iCs/>
        </w:rPr>
        <w:t>: “</w:t>
      </w:r>
      <w:proofErr w:type="spellStart"/>
      <w:r w:rsidRPr="00DC1A5F">
        <w:rPr>
          <w:i/>
          <w:iCs/>
        </w:rPr>
        <w:t>Golomāvilomādī</w:t>
      </w:r>
      <w:proofErr w:type="spellEnd"/>
      <w:r w:rsidRPr="00DC1A5F">
        <w:rPr>
          <w:i/>
          <w:iCs/>
        </w:rPr>
        <w:t xml:space="preserve"> ti </w:t>
      </w:r>
      <w:proofErr w:type="spellStart"/>
      <w:r w:rsidRPr="00DC1A5F">
        <w:rPr>
          <w:i/>
          <w:iCs/>
        </w:rPr>
        <w:t>ādisu</w:t>
      </w:r>
      <w:proofErr w:type="spellEnd"/>
      <w:r w:rsidRPr="00DC1A5F">
        <w:rPr>
          <w:i/>
          <w:iCs/>
        </w:rPr>
        <w:t xml:space="preserve"> </w:t>
      </w:r>
      <w:proofErr w:type="spellStart"/>
      <w:r w:rsidRPr="00DC1A5F">
        <w:rPr>
          <w:i/>
          <w:iCs/>
        </w:rPr>
        <w:t>golomāvilomāni</w:t>
      </w:r>
      <w:proofErr w:type="spellEnd"/>
      <w:r w:rsidRPr="00DC1A5F">
        <w:rPr>
          <w:i/>
          <w:iCs/>
        </w:rPr>
        <w:t xml:space="preserve"> </w:t>
      </w:r>
      <w:proofErr w:type="spellStart"/>
      <w:r w:rsidRPr="00DC1A5F">
        <w:rPr>
          <w:i/>
          <w:iCs/>
        </w:rPr>
        <w:t>dubbāya</w:t>
      </w:r>
      <w:proofErr w:type="spellEnd"/>
      <w:r w:rsidRPr="00DC1A5F">
        <w:rPr>
          <w:i/>
          <w:iCs/>
        </w:rPr>
        <w:t xml:space="preserve"> </w:t>
      </w:r>
      <w:proofErr w:type="spellStart"/>
      <w:r w:rsidRPr="00DC1A5F">
        <w:rPr>
          <w:i/>
          <w:iCs/>
        </w:rPr>
        <w:t>avī</w:t>
      </w:r>
      <w:proofErr w:type="spellEnd"/>
      <w:r w:rsidRPr="00DC1A5F">
        <w:rPr>
          <w:i/>
          <w:iCs/>
        </w:rPr>
        <w:t xml:space="preserve"> ti </w:t>
      </w:r>
      <w:proofErr w:type="spellStart"/>
      <w:r w:rsidRPr="00DC1A5F">
        <w:rPr>
          <w:i/>
          <w:iCs/>
        </w:rPr>
        <w:t>rattā</w:t>
      </w:r>
      <w:proofErr w:type="spellEnd"/>
      <w:r w:rsidRPr="00DC1A5F">
        <w:rPr>
          <w:i/>
          <w:iCs/>
        </w:rPr>
        <w:t xml:space="preserve"> </w:t>
      </w:r>
      <w:proofErr w:type="spellStart"/>
      <w:r w:rsidRPr="00DC1A5F">
        <w:rPr>
          <w:i/>
          <w:iCs/>
        </w:rPr>
        <w:t>e¿akā</w:t>
      </w:r>
      <w:proofErr w:type="spellEnd"/>
      <w:r w:rsidRPr="00DC1A5F">
        <w:rPr>
          <w:i/>
          <w:iCs/>
        </w:rPr>
        <w:t xml:space="preserve"> </w:t>
      </w:r>
      <w:proofErr w:type="spellStart"/>
      <w:r w:rsidRPr="00DC1A5F">
        <w:rPr>
          <w:i/>
          <w:iCs/>
        </w:rPr>
        <w:t>veditabbā</w:t>
      </w:r>
      <w:proofErr w:type="spellEnd"/>
      <w:r w:rsidRPr="00DC1A5F">
        <w:rPr>
          <w:i/>
          <w:iCs/>
        </w:rPr>
        <w:t xml:space="preserve"> </w:t>
      </w:r>
      <w:proofErr w:type="spellStart"/>
      <w:r w:rsidRPr="00DC1A5F">
        <w:rPr>
          <w:i/>
          <w:iCs/>
        </w:rPr>
        <w:t>visāṇaṃ</w:t>
      </w:r>
      <w:proofErr w:type="spellEnd"/>
      <w:r w:rsidRPr="00DC1A5F">
        <w:rPr>
          <w:i/>
          <w:iCs/>
        </w:rPr>
        <w:t xml:space="preserve"> </w:t>
      </w:r>
      <w:proofErr w:type="spellStart"/>
      <w:r w:rsidRPr="00DC1A5F">
        <w:rPr>
          <w:i/>
          <w:iCs/>
        </w:rPr>
        <w:t>sarassa</w:t>
      </w:r>
      <w:proofErr w:type="spellEnd"/>
      <w:r w:rsidRPr="00DC1A5F">
        <w:rPr>
          <w:i/>
          <w:iCs/>
        </w:rPr>
        <w:t xml:space="preserve"> </w:t>
      </w:r>
      <w:proofErr w:type="spellStart"/>
      <w:r w:rsidRPr="00DC1A5F">
        <w:rPr>
          <w:i/>
          <w:iCs/>
        </w:rPr>
        <w:t>dadhitilapiṭṭhagūlāni</w:t>
      </w:r>
      <w:proofErr w:type="spellEnd"/>
      <w:r w:rsidRPr="00DC1A5F">
        <w:rPr>
          <w:i/>
          <w:iCs/>
        </w:rPr>
        <w:t xml:space="preserve"> </w:t>
      </w:r>
      <w:proofErr w:type="spellStart"/>
      <w:r w:rsidRPr="00DC1A5F">
        <w:rPr>
          <w:i/>
          <w:iCs/>
        </w:rPr>
        <w:t>bhūtiṇakassa</w:t>
      </w:r>
      <w:proofErr w:type="spellEnd"/>
      <w:r w:rsidRPr="00DC1A5F">
        <w:rPr>
          <w:i/>
          <w:iCs/>
        </w:rPr>
        <w:t xml:space="preserve"> </w:t>
      </w:r>
      <w:proofErr w:type="spellStart"/>
      <w:r w:rsidRPr="00DC1A5F">
        <w:rPr>
          <w:i/>
          <w:iCs/>
        </w:rPr>
        <w:t>sevālaṃ</w:t>
      </w:r>
      <w:proofErr w:type="spellEnd"/>
      <w:r w:rsidRPr="00DC1A5F">
        <w:rPr>
          <w:i/>
          <w:iCs/>
        </w:rPr>
        <w:t xml:space="preserve"> </w:t>
      </w:r>
      <w:proofErr w:type="spellStart"/>
      <w:r w:rsidRPr="00DC1A5F">
        <w:rPr>
          <w:i/>
          <w:iCs/>
        </w:rPr>
        <w:t>taóḍuleyyakassa</w:t>
      </w:r>
      <w:proofErr w:type="spellEnd"/>
      <w:r w:rsidRPr="00DC1A5F">
        <w:rPr>
          <w:i/>
          <w:iCs/>
        </w:rPr>
        <w:t xml:space="preserve"> </w:t>
      </w:r>
      <w:proofErr w:type="spellStart"/>
      <w:r w:rsidRPr="00DC1A5F">
        <w:rPr>
          <w:i/>
          <w:iCs/>
        </w:rPr>
        <w:t>kharavalavā</w:t>
      </w:r>
      <w:proofErr w:type="spellEnd"/>
      <w:r w:rsidRPr="00DC1A5F">
        <w:rPr>
          <w:i/>
          <w:iCs/>
        </w:rPr>
        <w:t xml:space="preserve"> </w:t>
      </w:r>
      <w:proofErr w:type="spellStart"/>
      <w:r w:rsidRPr="00DC1A5F">
        <w:rPr>
          <w:i/>
          <w:iCs/>
        </w:rPr>
        <w:t>assatarassā</w:t>
      </w:r>
      <w:proofErr w:type="spellEnd"/>
      <w:r w:rsidRPr="00DC1A5F">
        <w:rPr>
          <w:i/>
          <w:iCs/>
        </w:rPr>
        <w:t xml:space="preserve"> ti </w:t>
      </w:r>
      <w:proofErr w:type="spellStart"/>
      <w:r w:rsidRPr="00DC1A5F">
        <w:rPr>
          <w:i/>
          <w:iCs/>
        </w:rPr>
        <w:t>evam</w:t>
      </w:r>
      <w:proofErr w:type="spellEnd"/>
      <w:r w:rsidRPr="00DC1A5F">
        <w:rPr>
          <w:i/>
          <w:iCs/>
        </w:rPr>
        <w:t xml:space="preserve"> </w:t>
      </w:r>
      <w:proofErr w:type="spellStart"/>
      <w:r w:rsidRPr="00DC1A5F">
        <w:rPr>
          <w:i/>
          <w:iCs/>
        </w:rPr>
        <w:t>ādi</w:t>
      </w:r>
      <w:proofErr w:type="spellEnd"/>
      <w:r w:rsidRPr="00DC1A5F">
        <w:rPr>
          <w:i/>
          <w:iCs/>
        </w:rPr>
        <w:t xml:space="preserve"> </w:t>
      </w:r>
      <w:proofErr w:type="spellStart"/>
      <w:r w:rsidRPr="00DC1A5F">
        <w:rPr>
          <w:i/>
          <w:iCs/>
        </w:rPr>
        <w:t>ādisaddena</w:t>
      </w:r>
      <w:proofErr w:type="spellEnd"/>
      <w:r w:rsidRPr="00DC1A5F">
        <w:rPr>
          <w:i/>
          <w:iCs/>
        </w:rPr>
        <w:t xml:space="preserve"> </w:t>
      </w:r>
      <w:proofErr w:type="spellStart"/>
      <w:r w:rsidRPr="00DC1A5F">
        <w:rPr>
          <w:i/>
          <w:iCs/>
        </w:rPr>
        <w:t>saṅgahito</w:t>
      </w:r>
      <w:proofErr w:type="spellEnd"/>
      <w:r w:rsidRPr="00DC1A5F">
        <w:t xml:space="preserve">,” lo cual se traduce como: “En cuanto al pelo del buey y la lana del carnero [corresponderán a condiciones para lo diferente] </w:t>
      </w:r>
      <w:proofErr w:type="spellStart"/>
      <w:r w:rsidRPr="00DC1A5F">
        <w:rPr>
          <w:i/>
          <w:iCs/>
        </w:rPr>
        <w:t>dubbā</w:t>
      </w:r>
      <w:proofErr w:type="spellEnd"/>
      <w:r w:rsidRPr="00DC1A5F">
        <w:t xml:space="preserve"> (</w:t>
      </w:r>
      <w:proofErr w:type="spellStart"/>
      <w:r w:rsidRPr="00DC1A5F">
        <w:rPr>
          <w:i/>
          <w:iCs/>
        </w:rPr>
        <w:t>dabba</w:t>
      </w:r>
      <w:proofErr w:type="spellEnd"/>
      <w:r w:rsidRPr="00DC1A5F">
        <w:t>) hierba — un carnero (</w:t>
      </w:r>
      <w:proofErr w:type="spellStart"/>
      <w:r w:rsidRPr="00DC1A5F">
        <w:rPr>
          <w:i/>
          <w:iCs/>
        </w:rPr>
        <w:t>avi</w:t>
      </w:r>
      <w:proofErr w:type="spellEnd"/>
      <w:r w:rsidRPr="00DC1A5F">
        <w:t>) deberá entenderse como una oveja roja (</w:t>
      </w:r>
      <w:proofErr w:type="spellStart"/>
      <w:r w:rsidRPr="00DC1A5F">
        <w:rPr>
          <w:i/>
          <w:iCs/>
        </w:rPr>
        <w:t>eḷakā</w:t>
      </w:r>
      <w:proofErr w:type="spellEnd"/>
      <w:r w:rsidRPr="00DC1A5F">
        <w:t>); el cuerno corresponderá al carrizo (</w:t>
      </w:r>
      <w:r w:rsidRPr="00DC1A5F">
        <w:rPr>
          <w:i/>
          <w:iCs/>
        </w:rPr>
        <w:t>sara</w:t>
      </w:r>
      <w:r w:rsidRPr="00DC1A5F">
        <w:t xml:space="preserve">); la cuajada, la harina de sésamo y la melaza corresponderán a la hierba </w:t>
      </w:r>
      <w:proofErr w:type="spellStart"/>
      <w:r w:rsidRPr="00DC1A5F">
        <w:rPr>
          <w:i/>
          <w:iCs/>
        </w:rPr>
        <w:t>bhūtiṇaka</w:t>
      </w:r>
      <w:proofErr w:type="spellEnd"/>
      <w:r w:rsidRPr="00DC1A5F">
        <w:t xml:space="preserve">; el musgo se referirá a la planta </w:t>
      </w:r>
      <w:proofErr w:type="spellStart"/>
      <w:r w:rsidRPr="00DC1A5F">
        <w:rPr>
          <w:i/>
          <w:iCs/>
        </w:rPr>
        <w:t>taṇḍuleyyaka</w:t>
      </w:r>
      <w:proofErr w:type="spellEnd"/>
      <w:r w:rsidRPr="00DC1A5F">
        <w:t>; un burro femenino para una mula; y es así cómo se incluye la palabra ‘</w:t>
      </w:r>
      <w:r w:rsidRPr="00DC1A5F">
        <w:rPr>
          <w:i/>
          <w:iCs/>
        </w:rPr>
        <w:t>etc</w:t>
      </w:r>
      <w:r w:rsidRPr="00DC1A5F">
        <w:t>.’” (</w:t>
      </w:r>
      <w:proofErr w:type="spellStart"/>
      <w:r w:rsidRPr="00DC1A5F">
        <w:t>Vism</w:t>
      </w:r>
      <w:proofErr w:type="spellEnd"/>
      <w:r w:rsidRPr="00DC1A5F">
        <w:t>–</w:t>
      </w:r>
      <w:proofErr w:type="spellStart"/>
      <w:r w:rsidRPr="00DC1A5F">
        <w:t>mhṭ</w:t>
      </w:r>
      <w:proofErr w:type="spellEnd"/>
      <w:r w:rsidRPr="00DC1A5F">
        <w:t xml:space="preserve"> 601). Excepto por lo mencionado como último, pareciera problemático por qué estas cosas, si se interpretan correctamente, deberían resultar en las condiciones de las cosas mencionadas.</w:t>
      </w:r>
    </w:p>
    <w:p w14:paraId="3419C58A" w14:textId="77777777" w:rsidR="00597DE2" w:rsidRPr="00DC1A5F" w:rsidRDefault="00597DE2" w:rsidP="00597DE2">
      <w:pPr>
        <w:tabs>
          <w:tab w:val="clear" w:pos="425"/>
        </w:tabs>
        <w:spacing w:after="160"/>
      </w:pPr>
      <w:r w:rsidRPr="00DC1A5F">
        <w:br w:type="page"/>
      </w:r>
    </w:p>
    <w:p w14:paraId="5BBC1D77" w14:textId="77777777" w:rsidR="00597DE2" w:rsidRPr="00DC1A5F" w:rsidRDefault="00597DE2" w:rsidP="00597DE2">
      <w:pPr>
        <w:pStyle w:val="Textoindependiente"/>
      </w:pPr>
      <w:r w:rsidRPr="00DC1A5F">
        <w:lastRenderedPageBreak/>
        <w:t xml:space="preserve">112. </w:t>
      </w:r>
      <w:r w:rsidRPr="00DC1A5F">
        <w:tab/>
        <w:t>Además, también existe esta forma de explicación:</w:t>
      </w:r>
    </w:p>
    <w:p w14:paraId="5AC3525E" w14:textId="77777777" w:rsidR="00597DE2" w:rsidRPr="00DC1A5F" w:rsidRDefault="00597DE2" w:rsidP="00597DE2">
      <w:pPr>
        <w:pStyle w:val="VersoIngls01Sangria"/>
        <w:rPr>
          <w:sz w:val="16"/>
          <w:szCs w:val="20"/>
        </w:rPr>
      </w:pPr>
      <w:r w:rsidRPr="00DC1A5F">
        <w:rPr>
          <w:sz w:val="16"/>
          <w:szCs w:val="20"/>
        </w:rPr>
        <w:t>Ahora bien, cuando un hombre sea ignorante</w:t>
      </w:r>
    </w:p>
    <w:p w14:paraId="123BCED2" w14:textId="77777777" w:rsidR="00597DE2" w:rsidRPr="00DC1A5F" w:rsidRDefault="00597DE2" w:rsidP="00597DE2">
      <w:pPr>
        <w:pStyle w:val="VersoIngls01Sangria"/>
        <w:rPr>
          <w:sz w:val="16"/>
          <w:szCs w:val="20"/>
        </w:rPr>
      </w:pPr>
      <w:r w:rsidRPr="00DC1A5F">
        <w:rPr>
          <w:sz w:val="16"/>
          <w:szCs w:val="20"/>
        </w:rPr>
        <w:t>Sobre la muerte, el renacimiento y el ciclo de la existencia,</w:t>
      </w:r>
    </w:p>
    <w:p w14:paraId="1B7A0CA2" w14:textId="77777777" w:rsidR="00597DE2" w:rsidRPr="00DC1A5F" w:rsidRDefault="00597DE2" w:rsidP="00597DE2">
      <w:pPr>
        <w:pStyle w:val="VersoIngls01Sangria"/>
        <w:rPr>
          <w:sz w:val="16"/>
          <w:szCs w:val="20"/>
        </w:rPr>
      </w:pPr>
      <w:r w:rsidRPr="00DC1A5F">
        <w:rPr>
          <w:sz w:val="16"/>
          <w:szCs w:val="20"/>
        </w:rPr>
        <w:t>Sobre las características de lo formado,</w:t>
      </w:r>
    </w:p>
    <w:p w14:paraId="34435B20" w14:textId="77777777" w:rsidR="00597DE2" w:rsidRPr="00DC1A5F" w:rsidRDefault="00597DE2" w:rsidP="00597DE2">
      <w:pPr>
        <w:pStyle w:val="VersoIngls01Sangria"/>
        <w:spacing w:after="100"/>
        <w:ind w:left="1418"/>
        <w:rPr>
          <w:sz w:val="16"/>
          <w:szCs w:val="20"/>
        </w:rPr>
      </w:pPr>
      <w:r w:rsidRPr="00DC1A5F">
        <w:rPr>
          <w:sz w:val="16"/>
          <w:szCs w:val="20"/>
        </w:rPr>
        <w:t>Sobre los estados de la originación dependiente, [544]</w:t>
      </w:r>
    </w:p>
    <w:p w14:paraId="170B9DEA" w14:textId="77777777" w:rsidR="00597DE2" w:rsidRPr="00DC1A5F" w:rsidRDefault="00597DE2" w:rsidP="00597DE2">
      <w:pPr>
        <w:pStyle w:val="VersoIngls01Sangria"/>
        <w:rPr>
          <w:sz w:val="16"/>
          <w:szCs w:val="20"/>
        </w:rPr>
      </w:pPr>
      <w:r w:rsidRPr="00DC1A5F">
        <w:rPr>
          <w:sz w:val="16"/>
          <w:szCs w:val="20"/>
        </w:rPr>
        <w:t>Y en su ignorancia genere</w:t>
      </w:r>
    </w:p>
    <w:p w14:paraId="33B5D1D5" w14:textId="77777777" w:rsidR="00597DE2" w:rsidRPr="00DC1A5F" w:rsidRDefault="00597DE2" w:rsidP="00597DE2">
      <w:pPr>
        <w:pStyle w:val="VersoIngls01Sangria"/>
        <w:rPr>
          <w:sz w:val="16"/>
          <w:szCs w:val="20"/>
        </w:rPr>
      </w:pPr>
      <w:r w:rsidRPr="00DC1A5F">
        <w:rPr>
          <w:sz w:val="16"/>
          <w:szCs w:val="20"/>
        </w:rPr>
        <w:t xml:space="preserve">formaciones de esta triple clase, </w:t>
      </w:r>
    </w:p>
    <w:p w14:paraId="613F9837" w14:textId="77777777" w:rsidR="00597DE2" w:rsidRPr="00DC1A5F" w:rsidRDefault="00597DE2" w:rsidP="00597DE2">
      <w:pPr>
        <w:pStyle w:val="VersoIngls01Sangria"/>
        <w:rPr>
          <w:sz w:val="16"/>
          <w:szCs w:val="20"/>
        </w:rPr>
      </w:pPr>
      <w:r w:rsidRPr="00DC1A5F">
        <w:rPr>
          <w:sz w:val="16"/>
          <w:szCs w:val="20"/>
        </w:rPr>
        <w:t>Entonces la ignorancia en sí será una</w:t>
      </w:r>
    </w:p>
    <w:p w14:paraId="5FBF6CE4" w14:textId="77777777" w:rsidR="00597DE2" w:rsidRPr="00DC1A5F" w:rsidRDefault="00597DE2" w:rsidP="00597DE2">
      <w:pPr>
        <w:pStyle w:val="VersoIngls01Sangria"/>
        <w:spacing w:after="100"/>
        <w:ind w:left="1418"/>
        <w:rPr>
          <w:sz w:val="16"/>
          <w:szCs w:val="20"/>
        </w:rPr>
      </w:pPr>
      <w:r w:rsidRPr="00DC1A5F">
        <w:rPr>
          <w:sz w:val="16"/>
          <w:szCs w:val="20"/>
        </w:rPr>
        <w:t>Condición para cada uno de estas tres.</w:t>
      </w:r>
    </w:p>
    <w:p w14:paraId="4DC14AC8" w14:textId="77777777" w:rsidR="00597DE2" w:rsidRPr="00DC1A5F" w:rsidRDefault="00597DE2" w:rsidP="00597DE2">
      <w:r w:rsidRPr="00DC1A5F">
        <w:t xml:space="preserve">113. </w:t>
      </w:r>
      <w:r w:rsidRPr="00DC1A5F">
        <w:tab/>
        <w:t>No obstante, ¿cómo produce un hombre, que esté confundido con respecto a estas cosas, estas tres clases de formaciones? En primer lugar, cuando se encuentre confundido respecto a la muerte, en lugar de adoptar a la muerte así, “La muerte en todos los casos es la destrucción de los agregados”, imaginará que será un ser perdurable el que muera, que se tratará de la transmigración de un ser perdurable hacia otra reencarnación, etc.</w:t>
      </w:r>
    </w:p>
    <w:p w14:paraId="0B5EC056" w14:textId="77777777" w:rsidR="00597DE2" w:rsidRPr="00DC1A5F" w:rsidRDefault="00597DE2" w:rsidP="00597DE2">
      <w:r w:rsidRPr="00DC1A5F">
        <w:t xml:space="preserve">114. </w:t>
      </w:r>
      <w:r w:rsidRPr="00DC1A5F">
        <w:tab/>
        <w:t>Cuando se encuentre confundido con la reaparición, en lugar de que el renacimiento se dé así, “El renacimiento en todos los casos será una manifestación de los agregados”, imaginará que será la manifestación de un ser perdurable en un nuevo cuerpo.</w:t>
      </w:r>
    </w:p>
    <w:p w14:paraId="4D056960" w14:textId="77777777" w:rsidR="00597DE2" w:rsidRPr="00DC1A5F" w:rsidRDefault="00597DE2" w:rsidP="00597DE2">
      <w:r w:rsidRPr="00DC1A5F">
        <w:t xml:space="preserve">115. </w:t>
      </w:r>
      <w:r w:rsidRPr="00DC1A5F">
        <w:tab/>
        <w:t>Cuando se encuentre confundido con respecto al ciclo de renacimientos, en vez de adoptar el ciclo de renacimientos como se representa a continuación:</w:t>
      </w:r>
    </w:p>
    <w:p w14:paraId="63A86250" w14:textId="77777777" w:rsidR="00597DE2" w:rsidRPr="00DC1A5F" w:rsidRDefault="00597DE2" w:rsidP="00597DE2">
      <w:pPr>
        <w:pStyle w:val="VersoIngls01Sangria"/>
        <w:rPr>
          <w:sz w:val="16"/>
          <w:szCs w:val="20"/>
        </w:rPr>
      </w:pPr>
      <w:r w:rsidRPr="00DC1A5F">
        <w:rPr>
          <w:sz w:val="16"/>
          <w:szCs w:val="20"/>
        </w:rPr>
        <w:t>La interminable cadena de agregados,</w:t>
      </w:r>
    </w:p>
    <w:p w14:paraId="4DD07A1E" w14:textId="77777777" w:rsidR="00597DE2" w:rsidRPr="00DC1A5F" w:rsidRDefault="00597DE2" w:rsidP="00597DE2">
      <w:pPr>
        <w:pStyle w:val="VersoIngls01Sangria"/>
        <w:rPr>
          <w:sz w:val="16"/>
          <w:szCs w:val="20"/>
        </w:rPr>
      </w:pPr>
      <w:r w:rsidRPr="00DC1A5F">
        <w:rPr>
          <w:sz w:val="16"/>
          <w:szCs w:val="20"/>
        </w:rPr>
        <w:t>De los elementos, y también de las bases,</w:t>
      </w:r>
    </w:p>
    <w:p w14:paraId="51E9AFAF" w14:textId="77777777" w:rsidR="00597DE2" w:rsidRPr="00DC1A5F" w:rsidRDefault="00597DE2" w:rsidP="00597DE2">
      <w:pPr>
        <w:pStyle w:val="VersoIngls01Sangria"/>
        <w:rPr>
          <w:sz w:val="16"/>
          <w:szCs w:val="20"/>
        </w:rPr>
      </w:pPr>
      <w:r w:rsidRPr="00DC1A5F">
        <w:rPr>
          <w:sz w:val="16"/>
          <w:szCs w:val="20"/>
        </w:rPr>
        <w:t>Que se lleva a cabo ininterrumpidamente</w:t>
      </w:r>
    </w:p>
    <w:p w14:paraId="0D059DCD" w14:textId="77777777" w:rsidR="00597DE2" w:rsidRPr="00DC1A5F" w:rsidRDefault="00597DE2" w:rsidP="00597DE2">
      <w:pPr>
        <w:pStyle w:val="VersoIngls01Sangria"/>
        <w:spacing w:after="100"/>
        <w:ind w:left="1418"/>
        <w:rPr>
          <w:sz w:val="16"/>
          <w:szCs w:val="20"/>
        </w:rPr>
      </w:pPr>
      <w:r w:rsidRPr="00DC1A5F">
        <w:rPr>
          <w:sz w:val="16"/>
          <w:szCs w:val="20"/>
        </w:rPr>
        <w:t>Es a lo que se denomina “el ciclo de renacimientos”,</w:t>
      </w:r>
    </w:p>
    <w:p w14:paraId="2B83710E" w14:textId="77777777" w:rsidR="00597DE2" w:rsidRPr="00DC1A5F" w:rsidRDefault="00597DE2" w:rsidP="00597DE2">
      <w:pPr>
        <w:pStyle w:val="NormalConSangria"/>
        <w:ind w:firstLine="0"/>
      </w:pPr>
      <w:r w:rsidRPr="00DC1A5F">
        <w:t>imaginará que se tratará de un ser perdurable que transmigrará de éste hacia otro mundo, que vendrá de otro mundo hacia este mundo.</w:t>
      </w:r>
    </w:p>
    <w:p w14:paraId="6C94E6AC" w14:textId="77777777" w:rsidR="00597DE2" w:rsidRPr="00DC1A5F" w:rsidRDefault="00597DE2" w:rsidP="00597DE2">
      <w:r w:rsidRPr="00DC1A5F">
        <w:t xml:space="preserve">116. </w:t>
      </w:r>
      <w:r w:rsidRPr="00DC1A5F">
        <w:tab/>
        <w:t>Cuando se encuentre confundido con respecto a las características de las formaciones, en vez de percibir sus características específicas y generales, imaginará que estas formaciones serán propias, que corresponderán a un alma, que serán duraderas, agradables y bellas.</w:t>
      </w:r>
    </w:p>
    <w:p w14:paraId="2762445B" w14:textId="77777777" w:rsidR="00597DE2" w:rsidRPr="00DC1A5F" w:rsidRDefault="00597DE2" w:rsidP="00597DE2">
      <w:r w:rsidRPr="00DC1A5F">
        <w:t xml:space="preserve">117. </w:t>
      </w:r>
      <w:r w:rsidRPr="00DC1A5F">
        <w:tab/>
        <w:t>Cuando se encuentre confundido con respecto a los estados surgidos de forma dependiente, en lugar de considerar que la ocurrencia de las formaciones se deberá a la ignorancia, etc., imaginará que corresponderá a un alma el cual conocerá o no conocerá, el que reaccionará y provocará la acción, el cual aparecerá en el vínculo–de–renacimiento y se imaginará que corresponderán a los átomos, a un Señor Supremo, etc., los que le darán forma a su cuerpo en los diversos estados de embrión y que lo dotarán de facultades,  que cuando haya sido dotado de facultades éste tocará, sentirá, deseará, se aferrará y se esforzará, y que volverá a surgir de nuevo en el próximo devenir; o percibirá así, “Todos los seres… están moldeados por el destino, la coincidencia y la naturaleza” (D I 53).</w:t>
      </w:r>
    </w:p>
    <w:p w14:paraId="7FE511E0" w14:textId="77777777" w:rsidR="00597DE2" w:rsidRPr="00DC1A5F" w:rsidRDefault="00597DE2" w:rsidP="00597DE2">
      <w:r w:rsidRPr="00DC1A5F">
        <w:t xml:space="preserve">118. </w:t>
      </w:r>
      <w:r w:rsidRPr="00DC1A5F">
        <w:tab/>
        <w:t xml:space="preserve">Así él percibirá, cegado por la ignorancia. Será como un ciego que deambulará por la tierra, encontrando en alguna ocasión senderos correctos y en otra, senderos incorrectos; en otras alturas y en otras, depresiones; en </w:t>
      </w:r>
      <w:proofErr w:type="gramStart"/>
      <w:r w:rsidRPr="00DC1A5F">
        <w:t>otras terrenos llanos</w:t>
      </w:r>
      <w:proofErr w:type="gramEnd"/>
      <w:r w:rsidRPr="00DC1A5F">
        <w:t xml:space="preserve"> y en otras, irregulares, y así en unas ocasiones conformará formaciones meritorias, y en otras demeritorias; en otras formaciones imperturbables.</w:t>
      </w:r>
    </w:p>
    <w:p w14:paraId="11EBAEC5" w14:textId="77777777" w:rsidR="00597DE2" w:rsidRPr="00DC1A5F" w:rsidRDefault="00597DE2" w:rsidP="00597DE2">
      <w:r w:rsidRPr="00DC1A5F">
        <w:t xml:space="preserve">119. </w:t>
      </w:r>
      <w:r w:rsidRPr="00DC1A5F">
        <w:tab/>
        <w:t>Por eso se dice al respecto:</w:t>
      </w:r>
      <w:r w:rsidRPr="00DC1A5F">
        <w:br w:type="page"/>
      </w:r>
    </w:p>
    <w:p w14:paraId="199C80BA" w14:textId="77777777" w:rsidR="00597DE2" w:rsidRPr="00DC1A5F" w:rsidRDefault="00597DE2" w:rsidP="00597DE2">
      <w:pPr>
        <w:pStyle w:val="VersoIngls01Sangria"/>
        <w:rPr>
          <w:sz w:val="16"/>
          <w:szCs w:val="20"/>
        </w:rPr>
      </w:pPr>
    </w:p>
    <w:p w14:paraId="24032C26" w14:textId="77777777" w:rsidR="00597DE2" w:rsidRPr="00DC1A5F" w:rsidRDefault="00597DE2" w:rsidP="00597DE2">
      <w:pPr>
        <w:pStyle w:val="VersoIngls01Sangria"/>
        <w:rPr>
          <w:sz w:val="16"/>
          <w:szCs w:val="20"/>
        </w:rPr>
      </w:pPr>
      <w:r w:rsidRPr="00DC1A5F">
        <w:rPr>
          <w:sz w:val="16"/>
          <w:szCs w:val="20"/>
        </w:rPr>
        <w:t>Como un ciego de nacimiento, que ande a tientas en la oscuridad</w:t>
      </w:r>
    </w:p>
    <w:p w14:paraId="28C179B5" w14:textId="77777777" w:rsidR="00597DE2" w:rsidRPr="00DC1A5F" w:rsidRDefault="00597DE2" w:rsidP="00597DE2">
      <w:pPr>
        <w:pStyle w:val="VersoIngls01Sangria"/>
        <w:rPr>
          <w:sz w:val="16"/>
          <w:szCs w:val="20"/>
        </w:rPr>
      </w:pPr>
      <w:r w:rsidRPr="00DC1A5F">
        <w:rPr>
          <w:sz w:val="16"/>
          <w:szCs w:val="20"/>
        </w:rPr>
        <w:t xml:space="preserve">Sin la ayuda de ningún guía, </w:t>
      </w:r>
    </w:p>
    <w:p w14:paraId="2166EEAC" w14:textId="77777777" w:rsidR="00597DE2" w:rsidRPr="00DC1A5F" w:rsidRDefault="00597DE2" w:rsidP="00597DE2">
      <w:pPr>
        <w:pStyle w:val="VersoIngls01Sangria"/>
        <w:rPr>
          <w:sz w:val="16"/>
          <w:szCs w:val="20"/>
        </w:rPr>
      </w:pPr>
      <w:r w:rsidRPr="00DC1A5F">
        <w:rPr>
          <w:sz w:val="16"/>
          <w:szCs w:val="20"/>
        </w:rPr>
        <w:t>Elegiría un sendero que podría ser correcto</w:t>
      </w:r>
    </w:p>
    <w:p w14:paraId="04DEEEC4" w14:textId="77777777" w:rsidR="00597DE2" w:rsidRPr="00DC1A5F" w:rsidRDefault="00597DE2" w:rsidP="00597DE2">
      <w:pPr>
        <w:pStyle w:val="VersoIngls01Sangria"/>
        <w:spacing w:after="100"/>
        <w:ind w:left="1418"/>
        <w:rPr>
          <w:sz w:val="16"/>
          <w:szCs w:val="20"/>
        </w:rPr>
      </w:pPr>
      <w:r w:rsidRPr="00DC1A5F">
        <w:rPr>
          <w:sz w:val="16"/>
          <w:szCs w:val="20"/>
        </w:rPr>
        <w:t>En un momento e incorrecto en otro,</w:t>
      </w:r>
    </w:p>
    <w:p w14:paraId="777A841B" w14:textId="77777777" w:rsidR="00597DE2" w:rsidRPr="00DC1A5F" w:rsidRDefault="00597DE2" w:rsidP="00597DE2">
      <w:pPr>
        <w:pStyle w:val="VersoIngls01Sangria"/>
        <w:rPr>
          <w:sz w:val="16"/>
          <w:szCs w:val="20"/>
        </w:rPr>
      </w:pPr>
      <w:r w:rsidRPr="00DC1A5F">
        <w:rPr>
          <w:sz w:val="16"/>
          <w:szCs w:val="20"/>
        </w:rPr>
        <w:t>Así, mientras el hombre necio procure</w:t>
      </w:r>
    </w:p>
    <w:p w14:paraId="322AF4C6" w14:textId="77777777" w:rsidR="00597DE2" w:rsidRPr="00DC1A5F" w:rsidRDefault="00597DE2" w:rsidP="00597DE2">
      <w:pPr>
        <w:pStyle w:val="VersoIngls01Sangria"/>
        <w:rPr>
          <w:sz w:val="16"/>
          <w:szCs w:val="20"/>
        </w:rPr>
      </w:pPr>
      <w:r w:rsidRPr="00DC1A5F">
        <w:rPr>
          <w:sz w:val="16"/>
          <w:szCs w:val="20"/>
        </w:rPr>
        <w:t>El ciclo de renacimientos sin ningún guía,</w:t>
      </w:r>
    </w:p>
    <w:p w14:paraId="34FD183D" w14:textId="77777777" w:rsidR="00597DE2" w:rsidRPr="00DC1A5F" w:rsidRDefault="00597DE2" w:rsidP="00597DE2">
      <w:pPr>
        <w:pStyle w:val="VersoIngls01Sangria"/>
        <w:rPr>
          <w:sz w:val="16"/>
          <w:szCs w:val="20"/>
        </w:rPr>
      </w:pPr>
      <w:r w:rsidRPr="00DC1A5F">
        <w:rPr>
          <w:sz w:val="16"/>
          <w:szCs w:val="20"/>
        </w:rPr>
        <w:t xml:space="preserve">Ahora podría optar por realizar acciones meritorias, </w:t>
      </w:r>
    </w:p>
    <w:p w14:paraId="6C979A80" w14:textId="77777777" w:rsidR="00597DE2" w:rsidRPr="00DC1A5F" w:rsidRDefault="00597DE2" w:rsidP="00597DE2">
      <w:pPr>
        <w:pStyle w:val="VersoIngls01Sangria"/>
        <w:spacing w:after="100"/>
        <w:ind w:left="1418"/>
        <w:rPr>
          <w:sz w:val="16"/>
          <w:szCs w:val="20"/>
        </w:rPr>
      </w:pPr>
      <w:r w:rsidRPr="00DC1A5F">
        <w:rPr>
          <w:sz w:val="16"/>
          <w:szCs w:val="20"/>
        </w:rPr>
        <w:t>Pero después y en semejante situación demeritorias.</w:t>
      </w:r>
    </w:p>
    <w:p w14:paraId="0F0EFF23" w14:textId="77777777" w:rsidR="00597DE2" w:rsidRPr="00DC1A5F" w:rsidRDefault="00597DE2" w:rsidP="00597DE2">
      <w:pPr>
        <w:pStyle w:val="VersoIngls01Sangria"/>
        <w:rPr>
          <w:sz w:val="16"/>
          <w:szCs w:val="20"/>
        </w:rPr>
      </w:pPr>
      <w:r w:rsidRPr="00DC1A5F">
        <w:rPr>
          <w:sz w:val="16"/>
          <w:szCs w:val="20"/>
        </w:rPr>
        <w:t xml:space="preserve">No obstante, cuando llegue a conocer el </w:t>
      </w:r>
      <w:r w:rsidRPr="00DC1A5F">
        <w:rPr>
          <w:i/>
          <w:sz w:val="16"/>
          <w:szCs w:val="20"/>
        </w:rPr>
        <w:t>Dhamma</w:t>
      </w:r>
    </w:p>
    <w:p w14:paraId="4D5EA513" w14:textId="77777777" w:rsidR="00597DE2" w:rsidRPr="00DC1A5F" w:rsidRDefault="00597DE2" w:rsidP="00597DE2">
      <w:pPr>
        <w:pStyle w:val="VersoIngls01Sangria"/>
        <w:rPr>
          <w:sz w:val="16"/>
          <w:szCs w:val="20"/>
        </w:rPr>
      </w:pPr>
      <w:r w:rsidRPr="00DC1A5F">
        <w:rPr>
          <w:sz w:val="16"/>
          <w:szCs w:val="20"/>
        </w:rPr>
        <w:t>Y penetre además en las verdades,</w:t>
      </w:r>
    </w:p>
    <w:p w14:paraId="42EFAF0E" w14:textId="77777777" w:rsidR="00597DE2" w:rsidRPr="00DC1A5F" w:rsidRDefault="00597DE2" w:rsidP="00597DE2">
      <w:pPr>
        <w:pStyle w:val="VersoIngls01Sangria"/>
        <w:rPr>
          <w:sz w:val="16"/>
          <w:szCs w:val="20"/>
        </w:rPr>
      </w:pPr>
      <w:r w:rsidRPr="00DC1A5F">
        <w:rPr>
          <w:sz w:val="16"/>
          <w:szCs w:val="20"/>
        </w:rPr>
        <w:t>Entonces la ignorancia huirá</w:t>
      </w:r>
    </w:p>
    <w:p w14:paraId="001B8E2C" w14:textId="77777777" w:rsidR="00597DE2" w:rsidRPr="00DC1A5F" w:rsidRDefault="00597DE2" w:rsidP="00597DE2">
      <w:pPr>
        <w:pStyle w:val="VersoIngls01Sangria"/>
        <w:spacing w:after="100"/>
        <w:ind w:left="1418"/>
        <w:rPr>
          <w:sz w:val="16"/>
          <w:szCs w:val="20"/>
        </w:rPr>
      </w:pPr>
      <w:r w:rsidRPr="00DC1A5F">
        <w:rPr>
          <w:sz w:val="16"/>
          <w:szCs w:val="20"/>
        </w:rPr>
        <w:t>Para que finalmente él pueda proseguir en paz.</w:t>
      </w:r>
    </w:p>
    <w:p w14:paraId="3C29D88B" w14:textId="77777777" w:rsidR="00597DE2" w:rsidRPr="00DC1A5F" w:rsidRDefault="00597DE2" w:rsidP="00597DE2">
      <w:pPr>
        <w:pStyle w:val="NormalConSangria"/>
      </w:pPr>
      <w:r w:rsidRPr="00DC1A5F">
        <w:t>Ésta es la explicación detallada de la cláusula, “Con la ignorancia como condición se originan las formaciones”. [545]</w:t>
      </w:r>
    </w:p>
    <w:p w14:paraId="2C652CEF" w14:textId="77777777" w:rsidR="00597DE2" w:rsidRPr="00DC1A5F" w:rsidRDefault="00597DE2" w:rsidP="00597DE2">
      <w:pPr>
        <w:pStyle w:val="NormalConSangria"/>
      </w:pPr>
    </w:p>
    <w:p w14:paraId="407985EB" w14:textId="77777777" w:rsidR="00597DE2" w:rsidRPr="00DC1A5F" w:rsidRDefault="00597DE2" w:rsidP="00597DE2">
      <w:pPr>
        <w:pStyle w:val="Ttulo6"/>
      </w:pPr>
      <w:r w:rsidRPr="00DC1A5F">
        <w:t>[(III) La Consciencia]</w:t>
      </w:r>
    </w:p>
    <w:p w14:paraId="111371F3" w14:textId="77777777" w:rsidR="00597DE2" w:rsidRPr="00DC1A5F" w:rsidRDefault="00597DE2" w:rsidP="00597DE2">
      <w:pPr>
        <w:pStyle w:val="Ttulo7"/>
      </w:pPr>
      <w:r w:rsidRPr="00DC1A5F">
        <w:t>[(1) Tipos de Consciencia Resultante Mundana]</w:t>
      </w:r>
    </w:p>
    <w:p w14:paraId="32072822" w14:textId="77777777" w:rsidR="00597DE2" w:rsidRPr="00DC1A5F" w:rsidRDefault="00597DE2" w:rsidP="00597DE2">
      <w:r w:rsidRPr="00DC1A5F">
        <w:t xml:space="preserve">120. </w:t>
      </w:r>
      <w:r w:rsidRPr="00DC1A5F">
        <w:tab/>
        <w:t xml:space="preserve">En la cláusula, </w:t>
      </w:r>
      <w:r w:rsidRPr="00DC1A5F">
        <w:rPr>
          <w:i/>
          <w:iCs/>
        </w:rPr>
        <w:t>con la formación como condición</w:t>
      </w:r>
      <w:r w:rsidRPr="00DC1A5F">
        <w:t xml:space="preserve">, </w:t>
      </w:r>
      <w:r w:rsidRPr="00DC1A5F">
        <w:rPr>
          <w:i/>
          <w:iCs/>
        </w:rPr>
        <w:t>la</w:t>
      </w:r>
      <w:r w:rsidRPr="00DC1A5F">
        <w:t xml:space="preserve"> </w:t>
      </w:r>
      <w:r w:rsidRPr="00DC1A5F">
        <w:rPr>
          <w:i/>
          <w:iCs/>
        </w:rPr>
        <w:t>consciencia</w:t>
      </w:r>
      <w:r w:rsidRPr="00DC1A5F">
        <w:t xml:space="preserve">, la consciencia será séxtuple como consciencia visual, etc. Aquí, la consciencia visual será de 2 clases, es decir, como resultante productiva del </w:t>
      </w:r>
      <w:proofErr w:type="spellStart"/>
      <w:r w:rsidRPr="00DC1A5F">
        <w:rPr>
          <w:i/>
        </w:rPr>
        <w:t>kamma</w:t>
      </w:r>
      <w:proofErr w:type="spellEnd"/>
      <w:r w:rsidRPr="00DC1A5F">
        <w:t xml:space="preserve"> y como resultante improductiva del </w:t>
      </w:r>
      <w:proofErr w:type="spellStart"/>
      <w:r w:rsidRPr="00DC1A5F">
        <w:rPr>
          <w:i/>
        </w:rPr>
        <w:t>kamma</w:t>
      </w:r>
      <w:proofErr w:type="spellEnd"/>
      <w:r w:rsidRPr="00DC1A5F">
        <w:t xml:space="preserve"> (ver la Tabla II para los números entre paréntesis que le sigan). Asimismo, con la consciencia del oído, la nariz, la lengua y el cuerpo ((34)–(38) y (50)–(54)). No obstante, la consciencia mental será de 22 tipos: los 2 elementos mentales resultantes productivos e improductivos ((39) y (55)), los 3 elementos de la consciencia mental sin causa–raíz ((40), (41) y (56)), las 8 consciencias resultantes de la esfera sensorial con causa–raíz ((42)–(49)), las 5 de la esfera de la materia sutil ((57)–(61)) y las 4 de la esfera inmaterial ((62)–(65)). Así que las 32 consciencias resultantes mundanas ((34)–(65)) estarán incluidas en estos 6 tipos de consciencia. No obstante, los tipos de consciencia supramundana no pertenecerán a la exposición del ciclo del devenir y por eso no están incluidos aquí.</w:t>
      </w:r>
    </w:p>
    <w:p w14:paraId="579B644F" w14:textId="77777777" w:rsidR="00597DE2" w:rsidRPr="00DC1A5F" w:rsidRDefault="00597DE2" w:rsidP="00597DE2">
      <w:r w:rsidRPr="00DC1A5F">
        <w:t xml:space="preserve">121. </w:t>
      </w:r>
      <w:r w:rsidRPr="00DC1A5F">
        <w:tab/>
        <w:t xml:space="preserve">Aquí se podría preguntar: “No obstante, ¿cómo se puede saber que la consciencia del tipo mencionado realmente posee formaciones como su condición?”—Porque no existirá ningún resultado de </w:t>
      </w:r>
      <w:proofErr w:type="spellStart"/>
      <w:r w:rsidRPr="00DC1A5F">
        <w:rPr>
          <w:i/>
        </w:rPr>
        <w:t>kamma</w:t>
      </w:r>
      <w:proofErr w:type="spellEnd"/>
      <w:r w:rsidRPr="00DC1A5F">
        <w:t xml:space="preserve"> cuando no exista </w:t>
      </w:r>
      <w:proofErr w:type="spellStart"/>
      <w:r w:rsidRPr="00DC1A5F">
        <w:rPr>
          <w:i/>
        </w:rPr>
        <w:t>kamma</w:t>
      </w:r>
      <w:proofErr w:type="spellEnd"/>
      <w:r w:rsidRPr="00DC1A5F">
        <w:t xml:space="preserve"> acumulado. Ya que esta consciencia será el resultado del </w:t>
      </w:r>
      <w:proofErr w:type="spellStart"/>
      <w:r w:rsidRPr="00DC1A5F">
        <w:rPr>
          <w:i/>
        </w:rPr>
        <w:t>kamma</w:t>
      </w:r>
      <w:proofErr w:type="spellEnd"/>
      <w:r w:rsidRPr="00DC1A5F">
        <w:t xml:space="preserve"> y ​​el resultado del </w:t>
      </w:r>
      <w:proofErr w:type="spellStart"/>
      <w:r w:rsidRPr="00DC1A5F">
        <w:rPr>
          <w:i/>
        </w:rPr>
        <w:t>kamma</w:t>
      </w:r>
      <w:proofErr w:type="spellEnd"/>
      <w:r w:rsidRPr="00DC1A5F">
        <w:t xml:space="preserve"> no surgirá en ausencia de </w:t>
      </w:r>
      <w:proofErr w:type="spellStart"/>
      <w:r w:rsidRPr="00DC1A5F">
        <w:rPr>
          <w:i/>
        </w:rPr>
        <w:t>kamma</w:t>
      </w:r>
      <w:proofErr w:type="spellEnd"/>
      <w:r w:rsidRPr="00DC1A5F">
        <w:t xml:space="preserve"> acumulado. Si lo hiciera, entonces todo tipo de consciencia resultante de </w:t>
      </w:r>
      <w:proofErr w:type="spellStart"/>
      <w:r w:rsidRPr="00DC1A5F">
        <w:rPr>
          <w:i/>
        </w:rPr>
        <w:t>kamma</w:t>
      </w:r>
      <w:proofErr w:type="spellEnd"/>
      <w:r w:rsidRPr="00DC1A5F">
        <w:t xml:space="preserve"> surgiría en todo tipo de seres y no es así. Así es cómo se debe entender que tal consciencia poseerá formaciones como su condición.</w:t>
      </w:r>
    </w:p>
    <w:p w14:paraId="7F64213B" w14:textId="77777777" w:rsidR="00597DE2" w:rsidRPr="00DC1A5F" w:rsidRDefault="00597DE2" w:rsidP="00597DE2">
      <w:r w:rsidRPr="00DC1A5F">
        <w:t xml:space="preserve">122. </w:t>
      </w:r>
      <w:r w:rsidRPr="00DC1A5F">
        <w:tab/>
        <w:t>No obstante, ¿qué tipo de consciencia tendrá qué tipo de formaciones como su condición?</w:t>
      </w:r>
    </w:p>
    <w:p w14:paraId="3F5BE246" w14:textId="77777777" w:rsidR="00597DE2" w:rsidRPr="00DC1A5F" w:rsidRDefault="00597DE2" w:rsidP="00597DE2">
      <w:pPr>
        <w:pStyle w:val="NormalConSangria"/>
      </w:pPr>
      <w:r w:rsidRPr="00DC1A5F">
        <w:t>En primer lugar, los siguientes 16 tipos de consciencia surgirán con la formación de la esfera sensorial meritorias como su condición: las 5 resultantes productivas que comienzan con la consciencia visual ((34)–(38)), y en el caso de la consciencia mental, 1 tipo de elemento mental (39) y 2 tipos de elementos de consciencia mental ((40)–(41)), y 8 tipos de consciencia</w:t>
      </w:r>
    </w:p>
    <w:p w14:paraId="43046B6D" w14:textId="77777777" w:rsidR="00597DE2" w:rsidRPr="00DC1A5F" w:rsidRDefault="00597DE2" w:rsidP="00597DE2">
      <w:pPr>
        <w:tabs>
          <w:tab w:val="clear" w:pos="425"/>
        </w:tabs>
        <w:spacing w:after="160"/>
      </w:pPr>
      <w:r w:rsidRPr="00DC1A5F">
        <w:br w:type="page"/>
      </w:r>
    </w:p>
    <w:p w14:paraId="1B99FFD4" w14:textId="77777777" w:rsidR="00597DE2" w:rsidRPr="00DC1A5F" w:rsidRDefault="00597DE2" w:rsidP="00597DE2">
      <w:pPr>
        <w:pStyle w:val="NormalConSangria"/>
      </w:pPr>
    </w:p>
    <w:p w14:paraId="7DF82993" w14:textId="77777777" w:rsidR="00597DE2" w:rsidRPr="00DC1A5F" w:rsidRDefault="00597DE2" w:rsidP="00597DE2">
      <w:pPr>
        <w:pStyle w:val="Textoindependiente"/>
      </w:pPr>
      <w:r w:rsidRPr="00DC1A5F">
        <w:t xml:space="preserve">resultantes de la esfera sensorial ((42)–(49)), según lo que se dice al respecto: “Debido al </w:t>
      </w:r>
      <w:proofErr w:type="spellStart"/>
      <w:r w:rsidRPr="00DC1A5F">
        <w:rPr>
          <w:i/>
        </w:rPr>
        <w:t>kamma</w:t>
      </w:r>
      <w:proofErr w:type="spellEnd"/>
      <w:r w:rsidRPr="00DC1A5F">
        <w:t xml:space="preserve"> productivo que haya sido cometido, almacenado, </w:t>
      </w:r>
      <w:r w:rsidRPr="00DC1A5F">
        <w:rPr>
          <w:color w:val="833C0B" w:themeColor="accent2" w:themeShade="80"/>
        </w:rPr>
        <w:t xml:space="preserve">se origina </w:t>
      </w:r>
      <w:r w:rsidRPr="00DC1A5F">
        <w:t>la consciencia visual resultante” (</w:t>
      </w:r>
      <w:proofErr w:type="spellStart"/>
      <w:r w:rsidRPr="00DC1A5F">
        <w:t>Dhs</w:t>
      </w:r>
      <w:proofErr w:type="spellEnd"/>
      <w:r w:rsidRPr="00DC1A5F">
        <w:t xml:space="preserve"> §431), “se origina la consciencia del oído, la nariz, la lengua y el cuerpo” (</w:t>
      </w:r>
      <w:proofErr w:type="spellStart"/>
      <w:r w:rsidRPr="00DC1A5F">
        <w:t>Dhs</w:t>
      </w:r>
      <w:proofErr w:type="spellEnd"/>
      <w:r w:rsidRPr="00DC1A5F">
        <w:t xml:space="preserve"> §443), “se origina el elemento mental resultante” (</w:t>
      </w:r>
      <w:proofErr w:type="spellStart"/>
      <w:r w:rsidRPr="00DC1A5F">
        <w:t>Dhs</w:t>
      </w:r>
      <w:proofErr w:type="spellEnd"/>
      <w:r w:rsidRPr="00DC1A5F">
        <w:t xml:space="preserve"> §455) , “se origina el elemento de la consciencia mental acompañado de dicha” (</w:t>
      </w:r>
      <w:proofErr w:type="spellStart"/>
      <w:r w:rsidRPr="00DC1A5F">
        <w:t>Dhs</w:t>
      </w:r>
      <w:proofErr w:type="spellEnd"/>
      <w:r w:rsidRPr="00DC1A5F">
        <w:t xml:space="preserve"> §469), “se origina el elemento de la consciencia mental acompañado de ecuanimidad” (</w:t>
      </w:r>
      <w:proofErr w:type="spellStart"/>
      <w:r w:rsidRPr="00DC1A5F">
        <w:t>Dhs</w:t>
      </w:r>
      <w:proofErr w:type="spellEnd"/>
      <w:r w:rsidRPr="00DC1A5F">
        <w:t xml:space="preserve"> §484), “acompañada de dicha y asociada con el conocimiento… acompañado de dicha, asociado con el conocimiento e incitado… acompañado de dicha y disociado del conocimiento… acompañado de dicha, disociado del conocimiento e incitado… acompañado de ecuanimidad y asociado con el conocimiento... acompañado de ecuanimidad, asociado con el conocimiento e incitado... acompañado de ecuanimidad y disociado del conocimiento... acompañado de ecuanimidad, disociado del conocimiento e incitado” (</w:t>
      </w:r>
      <w:proofErr w:type="spellStart"/>
      <w:r w:rsidRPr="00DC1A5F">
        <w:t>Dhs</w:t>
      </w:r>
      <w:proofErr w:type="spellEnd"/>
      <w:r w:rsidRPr="00DC1A5F">
        <w:t xml:space="preserve"> §498).</w:t>
      </w:r>
    </w:p>
    <w:p w14:paraId="345FEA22" w14:textId="77777777" w:rsidR="00597DE2" w:rsidRPr="00DC1A5F" w:rsidRDefault="00597DE2" w:rsidP="00597DE2">
      <w:r w:rsidRPr="00DC1A5F">
        <w:t xml:space="preserve">123. </w:t>
      </w:r>
      <w:r w:rsidRPr="00DC1A5F">
        <w:tab/>
        <w:t xml:space="preserve">Existe 5 clases de consciencia resultante de la esfera de la materia sutil ((57)– (61)) con la formación meritoria de la esfera de la materia sutil como su condición, según se dice al respecto: “Debido a ese mismo </w:t>
      </w:r>
      <w:proofErr w:type="spellStart"/>
      <w:r w:rsidRPr="00DC1A5F">
        <w:rPr>
          <w:i/>
        </w:rPr>
        <w:t>kamma</w:t>
      </w:r>
      <w:proofErr w:type="spellEnd"/>
      <w:r w:rsidRPr="00DC1A5F">
        <w:t xml:space="preserve"> productivo que haya sido realizado, almacenado en la esfera de la materia sutil, [mediante el desarrollo de ese mismo </w:t>
      </w:r>
      <w:proofErr w:type="spellStart"/>
      <w:r w:rsidRPr="00DC1A5F">
        <w:rPr>
          <w:i/>
        </w:rPr>
        <w:t>jhāna</w:t>
      </w:r>
      <w:proofErr w:type="spellEnd"/>
      <w:r w:rsidRPr="00DC1A5F">
        <w:t xml:space="preserve"> productivo,] [546] apartado de los deseos sensoriales... entra y habita en el primer </w:t>
      </w:r>
      <w:proofErr w:type="spellStart"/>
      <w:r w:rsidRPr="00DC1A5F">
        <w:rPr>
          <w:i/>
        </w:rPr>
        <w:t>jhāna</w:t>
      </w:r>
      <w:proofErr w:type="spellEnd"/>
      <w:r w:rsidRPr="00DC1A5F">
        <w:t xml:space="preserve"> resultante... en el quinto </w:t>
      </w:r>
      <w:proofErr w:type="spellStart"/>
      <w:r w:rsidRPr="00DC1A5F">
        <w:rPr>
          <w:i/>
        </w:rPr>
        <w:t>jhāna</w:t>
      </w:r>
      <w:proofErr w:type="spellEnd"/>
      <w:r w:rsidRPr="00DC1A5F">
        <w:t>” (</w:t>
      </w:r>
      <w:proofErr w:type="spellStart"/>
      <w:r w:rsidRPr="00DC1A5F">
        <w:t>Dhs</w:t>
      </w:r>
      <w:proofErr w:type="spellEnd"/>
      <w:r w:rsidRPr="00DC1A5F">
        <w:t xml:space="preserve"> §499).</w:t>
      </w:r>
    </w:p>
    <w:p w14:paraId="5EA5EC66" w14:textId="77777777" w:rsidR="00597DE2" w:rsidRPr="00DC1A5F" w:rsidRDefault="00597DE2" w:rsidP="00597DE2">
      <w:r w:rsidRPr="00DC1A5F">
        <w:t xml:space="preserve">124. </w:t>
      </w:r>
      <w:r w:rsidRPr="00DC1A5F">
        <w:tab/>
        <w:t xml:space="preserve">Existen 7 tipos de consciencia con la formación demeritoria como su condición: las 5 resultantes improductivas que comienzan con la consciencia visual ((50)–(54)), 1 elemento mental (55) y 1 elemento de la consciencia mental (56). según lo que se dice al respecto: “Debido a que se ha realizado y almacenado un </w:t>
      </w:r>
      <w:proofErr w:type="spellStart"/>
      <w:r w:rsidRPr="00DC1A5F">
        <w:rPr>
          <w:i/>
        </w:rPr>
        <w:t>kamma</w:t>
      </w:r>
      <w:proofErr w:type="spellEnd"/>
      <w:r w:rsidRPr="00DC1A5F">
        <w:t xml:space="preserve"> improductivo, se origina la consciencia visual resultante… se origina la consciencia del oído… de la nariz… de la lengua… la consciencia corporal” (</w:t>
      </w:r>
      <w:proofErr w:type="spellStart"/>
      <w:r w:rsidRPr="00DC1A5F">
        <w:t>Dhs</w:t>
      </w:r>
      <w:proofErr w:type="spellEnd"/>
      <w:r w:rsidRPr="00DC1A5F">
        <w:t xml:space="preserve"> §556), “el elemento resultante mental” (</w:t>
      </w:r>
      <w:proofErr w:type="spellStart"/>
      <w:r w:rsidRPr="00DC1A5F">
        <w:t>Dhs</w:t>
      </w:r>
      <w:proofErr w:type="spellEnd"/>
      <w:r w:rsidRPr="00DC1A5F">
        <w:t xml:space="preserve"> §562), “se origina el elemento resultante de la consciencia mental” (</w:t>
      </w:r>
      <w:proofErr w:type="spellStart"/>
      <w:r w:rsidRPr="00DC1A5F">
        <w:t>Dhs</w:t>
      </w:r>
      <w:proofErr w:type="spellEnd"/>
      <w:r w:rsidRPr="00DC1A5F">
        <w:t xml:space="preserve"> §564).</w:t>
      </w:r>
    </w:p>
    <w:p w14:paraId="1E6ADAED" w14:textId="77777777" w:rsidR="00597DE2" w:rsidRPr="00DC1A5F" w:rsidRDefault="00597DE2" w:rsidP="00597DE2">
      <w:r w:rsidRPr="00DC1A5F">
        <w:t>125.</w:t>
      </w:r>
      <w:r w:rsidRPr="00DC1A5F">
        <w:tab/>
        <w:t xml:space="preserve">Existen 4 tipos de consciencia resultante inmaterial ((62)–(65)) con la formación de lo imperturbable como condición, según lo que se dice al respecto: “Debido a que el mismo </w:t>
      </w:r>
      <w:proofErr w:type="spellStart"/>
      <w:r w:rsidRPr="00DC1A5F">
        <w:rPr>
          <w:i/>
        </w:rPr>
        <w:t>kamma</w:t>
      </w:r>
      <w:proofErr w:type="spellEnd"/>
      <w:r w:rsidRPr="00DC1A5F">
        <w:t xml:space="preserve"> productivo de la esfera inmaterial ha sido realizado, almacenado, mediante el desarrollo de ese mismo </w:t>
      </w:r>
      <w:proofErr w:type="spellStart"/>
      <w:r w:rsidRPr="00DC1A5F">
        <w:rPr>
          <w:i/>
        </w:rPr>
        <w:t>jhāna</w:t>
      </w:r>
      <w:proofErr w:type="spellEnd"/>
      <w:r w:rsidRPr="00DC1A5F">
        <w:t xml:space="preserve"> inmaterial productivo, con el abandono del placer y el dolor corporal... él entra y habita en el cuarto </w:t>
      </w:r>
      <w:proofErr w:type="spellStart"/>
      <w:r w:rsidRPr="00DC1A5F">
        <w:rPr>
          <w:i/>
        </w:rPr>
        <w:t>jhāna</w:t>
      </w:r>
      <w:proofErr w:type="spellEnd"/>
      <w:r w:rsidRPr="00DC1A5F">
        <w:t xml:space="preserve"> resultante, que, con la superación completa de las percepciones de la forma material... está acompañado por la base consistente del espacio infinito” (</w:t>
      </w:r>
      <w:proofErr w:type="spellStart"/>
      <w:r w:rsidRPr="00DC1A5F">
        <w:t>Dhs</w:t>
      </w:r>
      <w:proofErr w:type="spellEnd"/>
      <w:r w:rsidRPr="00DC1A5F">
        <w:t xml:space="preserve"> §501), “acompañado por la base consistente de la consciencia infinita” (</w:t>
      </w:r>
      <w:proofErr w:type="spellStart"/>
      <w:r w:rsidRPr="00DC1A5F">
        <w:t>Dhs</w:t>
      </w:r>
      <w:proofErr w:type="spellEnd"/>
      <w:r w:rsidRPr="00DC1A5F">
        <w:t xml:space="preserve"> §502), “acompañado por la base consistente del vacío” (</w:t>
      </w:r>
      <w:proofErr w:type="spellStart"/>
      <w:r w:rsidRPr="00DC1A5F">
        <w:t>Dhs</w:t>
      </w:r>
      <w:proofErr w:type="spellEnd"/>
      <w:r w:rsidRPr="00DC1A5F">
        <w:t xml:space="preserve"> §503), “acompañado por la base consistente de la no–percepción–ni–no–percepción” (</w:t>
      </w:r>
      <w:proofErr w:type="spellStart"/>
      <w:r w:rsidRPr="00DC1A5F">
        <w:t>Dhs</w:t>
      </w:r>
      <w:proofErr w:type="spellEnd"/>
      <w:r w:rsidRPr="00DC1A5F">
        <w:t xml:space="preserve"> §504).</w:t>
      </w:r>
    </w:p>
    <w:p w14:paraId="045D6FB9" w14:textId="77777777" w:rsidR="00597DE2" w:rsidRPr="00DC1A5F" w:rsidRDefault="00597DE2" w:rsidP="00597DE2">
      <w:r w:rsidRPr="00DC1A5F">
        <w:t xml:space="preserve">126. </w:t>
      </w:r>
      <w:r w:rsidRPr="00DC1A5F">
        <w:tab/>
        <w:t>Después de entender qué tipo de consciencia tiene qué formación como su condición, uno debería ahora entender cómo ocurren de la siguiente manera.</w:t>
      </w:r>
      <w:r w:rsidRPr="00DC1A5F">
        <w:br/>
      </w:r>
    </w:p>
    <w:p w14:paraId="0F93B379" w14:textId="77777777" w:rsidR="00597DE2" w:rsidRPr="00DC1A5F" w:rsidRDefault="00597DE2" w:rsidP="00597DE2">
      <w:pPr>
        <w:pStyle w:val="Ttulo7"/>
      </w:pPr>
      <w:r w:rsidRPr="00DC1A5F">
        <w:t>[(2) La Ocurrencia de la Consciencia Resultante]</w:t>
      </w:r>
    </w:p>
    <w:p w14:paraId="3058E354" w14:textId="77777777" w:rsidR="00597DE2" w:rsidRPr="00DC1A5F" w:rsidRDefault="00597DE2" w:rsidP="00597DE2">
      <w:pPr>
        <w:pStyle w:val="Textoindependiente"/>
      </w:pPr>
      <w:r w:rsidRPr="00DC1A5F">
        <w:t>Ahora bien, toda consciencia resultante ocurrirá de 2 maneras: (a) durante el curso de una existencia individual (o continuidad), y (b) en el momento del vínculo–de–renacimiento.</w:t>
      </w:r>
    </w:p>
    <w:p w14:paraId="5D15D419" w14:textId="77777777" w:rsidR="00597DE2" w:rsidRPr="00DC1A5F" w:rsidRDefault="00597DE2" w:rsidP="00597DE2">
      <w:pPr>
        <w:pStyle w:val="NormalConSangria"/>
      </w:pPr>
      <w:r w:rsidRPr="00DC1A5F">
        <w:t>Aquí, se encontrarán las 2 consciencias quíntuples ((34)–(38) y (50)–(54)), los 2 elementos mentales ((39) y (55)) y 1 elemento de consciencia mental sin causa–</w:t>
      </w:r>
      <w:proofErr w:type="gramStart"/>
      <w:r w:rsidRPr="00DC1A5F">
        <w:t>raíz acompañado</w:t>
      </w:r>
      <w:proofErr w:type="gramEnd"/>
      <w:r w:rsidRPr="00DC1A5F">
        <w:t xml:space="preserve"> de dicha. </w:t>
      </w:r>
    </w:p>
    <w:p w14:paraId="2976A0F8" w14:textId="77777777" w:rsidR="00597DE2" w:rsidRPr="00DC1A5F" w:rsidRDefault="00597DE2" w:rsidP="00597DE2">
      <w:pPr>
        <w:tabs>
          <w:tab w:val="clear" w:pos="425"/>
        </w:tabs>
        <w:spacing w:after="160"/>
      </w:pPr>
      <w:r w:rsidRPr="00DC1A5F">
        <w:br w:type="page"/>
      </w:r>
    </w:p>
    <w:p w14:paraId="470A146C" w14:textId="77777777" w:rsidR="00597DE2" w:rsidRPr="00DC1A5F" w:rsidRDefault="00597DE2" w:rsidP="00597DE2">
      <w:pPr>
        <w:pStyle w:val="NormalConSangria"/>
      </w:pPr>
      <w:r w:rsidRPr="00DC1A5F">
        <w:lastRenderedPageBreak/>
        <w:br/>
      </w:r>
    </w:p>
    <w:p w14:paraId="68BE5444" w14:textId="77777777" w:rsidR="00597DE2" w:rsidRPr="00DC1A5F" w:rsidRDefault="00597DE2" w:rsidP="00597DE2">
      <w:pPr>
        <w:pStyle w:val="Textoindependiente"/>
      </w:pPr>
      <w:r w:rsidRPr="00DC1A5F">
        <w:t>(40), es decir, los 13 tipos de consciencia que ocurrirán sólo en el curso de una existencia en el tipo de devenir compuesto de los 5 constituyentes.</w:t>
      </w:r>
      <w:r w:rsidRPr="00DC1A5F">
        <w:rPr>
          <w:vertAlign w:val="superscript"/>
        </w:rPr>
        <w:t>20</w:t>
      </w:r>
      <w:r w:rsidRPr="00DC1A5F">
        <w:t xml:space="preserve"> Las 19 consciencias restantes ocurrirán en los 3 tipos de devenir, ya sea en el curso de una existencia o durante el vínculo–de–renacimiento, según corresponda. ¿cómo?</w:t>
      </w:r>
      <w:r w:rsidRPr="00DC1A5F">
        <w:br/>
      </w:r>
    </w:p>
    <w:p w14:paraId="68B39728" w14:textId="77777777" w:rsidR="00597DE2" w:rsidRPr="00DC1A5F" w:rsidRDefault="00597DE2" w:rsidP="00597DE2">
      <w:pPr>
        <w:pStyle w:val="Ttulo8"/>
      </w:pPr>
      <w:r w:rsidRPr="00DC1A5F">
        <w:t>[2. (a) Durante el Curso de una Existencia]</w:t>
      </w:r>
    </w:p>
    <w:p w14:paraId="4CBACD4C" w14:textId="77777777" w:rsidR="00597DE2" w:rsidRPr="00DC1A5F" w:rsidRDefault="00597DE2" w:rsidP="00597DE2">
      <w:r w:rsidRPr="00DC1A5F">
        <w:t xml:space="preserve">127. </w:t>
      </w:r>
      <w:r w:rsidRPr="00DC1A5F">
        <w:tab/>
        <w:t xml:space="preserve">En primer lugar, en quien haya renacido por medio de una consciencia resultante productiva o de una resultante improductiva: a medida que maduren sus facultades, así se producirán las 5 consciencias productivas resultantes del ojo, etc., que cumplirán las funciones respectivas de </w:t>
      </w:r>
      <w:r w:rsidRPr="00DC1A5F">
        <w:rPr>
          <w:i/>
          <w:iCs/>
        </w:rPr>
        <w:t>ver, oír, oler, degustar y sentir</w:t>
      </w:r>
      <w:r w:rsidRPr="00DC1A5F">
        <w:t xml:space="preserve"> ((d)–(h)), dependiendo respectivamente de un objeto visible deseable o deseable–neutral, etc., como un objeto que haya entrado en el foco visual, etc., y que tendrá la sensibilidad visual, etc., como su soporte material. Así mismo, ocurrirá con las 5 consciencias resultantes improductivas; la única diferencia será que los objetos visibles, etc., como objeto para estos serán indeseables o indeseables–neutrales. Y estas 10 consciencias serán invariables en cuanto a su puerta, objeto, base física y posición en la serie cognitiva, e invariables en cuanto a sus funciones.</w:t>
      </w:r>
    </w:p>
    <w:p w14:paraId="3562A870" w14:textId="77777777" w:rsidR="00597DE2" w:rsidRPr="00DC1A5F" w:rsidRDefault="00597DE2" w:rsidP="00597DE2">
      <w:r w:rsidRPr="00DC1A5F">
        <w:t xml:space="preserve">128. </w:t>
      </w:r>
      <w:r w:rsidRPr="00DC1A5F">
        <w:tab/>
        <w:t xml:space="preserve">Después de ello, junto a la consciencia productiva visual, auditiva, etc., el elemento mental resultante productivo (39) ocurrirá cumpliendo la función de </w:t>
      </w:r>
      <w:r w:rsidRPr="00DC1A5F">
        <w:rPr>
          <w:i/>
          <w:iCs/>
        </w:rPr>
        <w:t xml:space="preserve">recepcionar </w:t>
      </w:r>
      <w:r w:rsidRPr="00DC1A5F">
        <w:t>(i), dependiendo del mismo objeto que el anterior y teniendo a la base del corazón como soporte. [547] Luego de la consciencia visual, auditiva, etc., que resulte como improductiva, el elemento mental resultante improductivo (55) ocurrirá igualmente. No obstante, estas 2 consciencias, aunque variables en cuanto a su puerta y objeto, serán invariables en cuanto a su base física y posición, e invariables en cuanto a su función.</w:t>
      </w:r>
    </w:p>
    <w:p w14:paraId="24E4A3A3" w14:textId="77777777" w:rsidR="00597DE2" w:rsidRPr="00DC1A5F" w:rsidRDefault="00597DE2" w:rsidP="00597DE2">
      <w:r w:rsidRPr="00DC1A5F">
        <w:t xml:space="preserve">129. </w:t>
      </w:r>
      <w:r w:rsidRPr="00DC1A5F">
        <w:tab/>
        <w:t>Luego, al lado del elemento mental productivo–resultante, el elemento de la consciencia mental sin causa–</w:t>
      </w:r>
      <w:proofErr w:type="gramStart"/>
      <w:r w:rsidRPr="00DC1A5F">
        <w:t>raíz acompañado</w:t>
      </w:r>
      <w:proofErr w:type="gramEnd"/>
      <w:r w:rsidRPr="00DC1A5F">
        <w:t xml:space="preserve"> de dicha (40) ocurrirá cumpliendo la función de </w:t>
      </w:r>
      <w:r w:rsidRPr="00DC1A5F">
        <w:rPr>
          <w:i/>
          <w:iCs/>
        </w:rPr>
        <w:t>investigación</w:t>
      </w:r>
      <w:r w:rsidRPr="00DC1A5F">
        <w:t xml:space="preserve"> (j), dependiendo del mismo objeto que el del elemento mental y teniendo a la base del corazón como su soporte. Y cuando el objeto sea vívido en cualquiera de las 6 puertas que pertenezcan a los seres de la esfera sensorial, generalmente al final de los impulsos asociados con la codicia, detendrá la renovación del curso del continuum vital (b) al ocurrir ya sea una o dos veces como </w:t>
      </w:r>
      <w:r w:rsidRPr="00DC1A5F">
        <w:rPr>
          <w:i/>
          <w:iCs/>
        </w:rPr>
        <w:t>registro</w:t>
      </w:r>
      <w:r w:rsidRPr="00DC1A5F">
        <w:t xml:space="preserve"> (m), teniendo el mismo objeto que el aprehendido por los impulsos, así se dice en el </w:t>
      </w:r>
      <w:r w:rsidRPr="00DC1A5F">
        <w:rPr>
          <w:i/>
          <w:iCs/>
        </w:rPr>
        <w:t>Comentario Majjhima</w:t>
      </w:r>
      <w:r w:rsidRPr="00DC1A5F">
        <w:t>.</w:t>
      </w:r>
      <w:r w:rsidRPr="00DC1A5F">
        <w:rPr>
          <w:vertAlign w:val="superscript"/>
        </w:rPr>
        <w:t>21</w:t>
      </w:r>
      <w:r w:rsidRPr="00DC1A5F">
        <w:t xml:space="preserve"> No obstante, en el </w:t>
      </w:r>
      <w:r w:rsidRPr="00DC1A5F">
        <w:rPr>
          <w:i/>
          <w:iCs/>
        </w:rPr>
        <w:t>Comentario</w:t>
      </w:r>
      <w:r w:rsidRPr="00DC1A5F">
        <w:t xml:space="preserve"> </w:t>
      </w:r>
      <w:proofErr w:type="spellStart"/>
      <w:r w:rsidRPr="00DC1A5F">
        <w:rPr>
          <w:i/>
          <w:iCs/>
        </w:rPr>
        <w:t>Abhidhamma</w:t>
      </w:r>
      <w:proofErr w:type="spellEnd"/>
      <w:r w:rsidRPr="00DC1A5F">
        <w:t xml:space="preserve"> se han adoptado 2 turnos de consciencia con respecto al registro. Esta consciencia tendrá 2 términos, “registro” (</w:t>
      </w:r>
      <w:proofErr w:type="spellStart"/>
      <w:r w:rsidRPr="00DC1A5F">
        <w:rPr>
          <w:i/>
          <w:iCs/>
        </w:rPr>
        <w:t>tad</w:t>
      </w:r>
      <w:proofErr w:type="spellEnd"/>
      <w:r w:rsidRPr="00DC1A5F">
        <w:rPr>
          <w:i/>
          <w:iCs/>
        </w:rPr>
        <w:t>–</w:t>
      </w:r>
      <w:proofErr w:type="spellStart"/>
      <w:r w:rsidRPr="00DC1A5F">
        <w:rPr>
          <w:i/>
          <w:iCs/>
        </w:rPr>
        <w:t>ārammaṇa</w:t>
      </w:r>
      <w:proofErr w:type="spellEnd"/>
      <w:r w:rsidRPr="00DC1A5F">
        <w:rPr>
          <w:i/>
          <w:iCs/>
        </w:rPr>
        <w:t xml:space="preserve"> </w:t>
      </w:r>
      <w:r w:rsidRPr="00DC1A5F">
        <w:t xml:space="preserve">— literalmente, </w:t>
      </w:r>
      <w:r w:rsidRPr="00DC1A5F">
        <w:rPr>
          <w:i/>
          <w:iCs/>
        </w:rPr>
        <w:t xml:space="preserve">teniendo ese objeto </w:t>
      </w:r>
      <w:r w:rsidRPr="00DC1A5F">
        <w:t>que tenían los impulsos precedentes) y “secuelas del continuum vital” (</w:t>
      </w:r>
      <w:proofErr w:type="spellStart"/>
      <w:r w:rsidRPr="00DC1A5F">
        <w:rPr>
          <w:i/>
          <w:iCs/>
        </w:rPr>
        <w:t>piṭṭhibhavaṅga</w:t>
      </w:r>
      <w:proofErr w:type="spellEnd"/>
      <w:r w:rsidRPr="00DC1A5F">
        <w:t>—ver Cap. XIV. §122). Será variable en cuanto a su puerta y objeto, e invariable en cuanto a su base física; será variable en cuanto a su posición y función.</w:t>
      </w:r>
    </w:p>
    <w:p w14:paraId="72665A9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BAF0DED" w14:textId="77777777" w:rsidR="00597DE2" w:rsidRPr="00DC1A5F" w:rsidRDefault="00597DE2" w:rsidP="00597DE2">
      <w:pPr>
        <w:pStyle w:val="PiedepginaLegal"/>
        <w:numPr>
          <w:ilvl w:val="0"/>
          <w:numId w:val="6"/>
        </w:numPr>
        <w:tabs>
          <w:tab w:val="clear" w:pos="425"/>
        </w:tabs>
        <w:ind w:left="284" w:hanging="284"/>
      </w:pPr>
      <w:r w:rsidRPr="00DC1A5F">
        <w:t xml:space="preserve">Para el devenir de los 5 constituyentes, etc., véanse §§253–54. “La consciencia visual resultante improductiva, etc., a veces surgirá incluso en los </w:t>
      </w:r>
      <w:r w:rsidRPr="00DC1A5F">
        <w:rPr>
          <w:i/>
        </w:rPr>
        <w:t>Brahmā</w:t>
      </w:r>
      <w:r w:rsidRPr="00DC1A5F">
        <w:rPr>
          <w:iCs/>
        </w:rPr>
        <w:t>s</w:t>
      </w:r>
      <w:r w:rsidRPr="00DC1A5F">
        <w:t xml:space="preserve"> cuando se enfoquen en objetos visibles indeseables, etc.” (</w:t>
      </w:r>
      <w:proofErr w:type="spellStart"/>
      <w:r w:rsidRPr="00DC1A5F">
        <w:t>Vism</w:t>
      </w:r>
      <w:proofErr w:type="spellEnd"/>
      <w:r w:rsidRPr="00DC1A5F">
        <w:t>–</w:t>
      </w:r>
      <w:proofErr w:type="spellStart"/>
      <w:r w:rsidRPr="00DC1A5F">
        <w:t>mhṭ</w:t>
      </w:r>
      <w:proofErr w:type="spellEnd"/>
      <w:r w:rsidRPr="00DC1A5F">
        <w:t xml:space="preserve"> 604); cf. §180.</w:t>
      </w:r>
    </w:p>
    <w:p w14:paraId="65B635A8" w14:textId="77777777" w:rsidR="00597DE2" w:rsidRPr="00DC1A5F" w:rsidRDefault="00597DE2" w:rsidP="00597DE2">
      <w:pPr>
        <w:pStyle w:val="PiedepginaLegal"/>
        <w:numPr>
          <w:ilvl w:val="0"/>
          <w:numId w:val="6"/>
        </w:numPr>
        <w:tabs>
          <w:tab w:val="clear" w:pos="425"/>
        </w:tabs>
        <w:ind w:left="284" w:hanging="284"/>
      </w:pPr>
      <w:r w:rsidRPr="00DC1A5F">
        <w:t>Esto se refiere al antiguo comentario Cingalés que ya no existe.</w:t>
      </w:r>
    </w:p>
    <w:p w14:paraId="1A3551D7" w14:textId="77777777" w:rsidR="00597DE2" w:rsidRPr="00DC1A5F" w:rsidRDefault="00597DE2" w:rsidP="00597DE2">
      <w:pPr>
        <w:tabs>
          <w:tab w:val="clear" w:pos="425"/>
        </w:tabs>
        <w:spacing w:after="160"/>
      </w:pPr>
      <w:r w:rsidRPr="00DC1A5F">
        <w:br w:type="page"/>
      </w:r>
    </w:p>
    <w:p w14:paraId="0A91567D" w14:textId="77777777" w:rsidR="00597DE2" w:rsidRPr="00DC1A5F" w:rsidRDefault="00597DE2" w:rsidP="00597DE2"/>
    <w:p w14:paraId="04AFA16D" w14:textId="77777777" w:rsidR="00597DE2" w:rsidRPr="00DC1A5F" w:rsidRDefault="00597DE2" w:rsidP="00597DE2">
      <w:pPr>
        <w:pStyle w:val="NormalConSangria"/>
      </w:pPr>
      <w:r w:rsidRPr="00DC1A5F">
        <w:t>Así es cómo deberá entenderse, en primer lugar, ocurrirán los 13 tipos de consciencia sólo en el curso de una existencia individual del devenir con los 5 tipos constituyentes.</w:t>
      </w:r>
    </w:p>
    <w:p w14:paraId="60D085EC" w14:textId="77777777" w:rsidR="00597DE2" w:rsidRPr="00DC1A5F" w:rsidRDefault="00597DE2" w:rsidP="00597DE2">
      <w:r w:rsidRPr="00DC1A5F">
        <w:t xml:space="preserve">130. </w:t>
      </w:r>
      <w:r w:rsidRPr="00DC1A5F">
        <w:tab/>
        <w:t xml:space="preserve">En cuanto a los 19 tipos de consciencia restantes ((41)–(49) y (56)–(65)), no habrá ninguno que no ocurra como un vínculo–de–renacimiento (a) apropiado para él (ver §133). No obstante, en el curso de una existencia individual, en primer lugar, 2 elementos de consciencia mental sin causa–raíz, resultantes, productivo e improductivo, respectivamente, ((41) y (56)) ocurrirán cumpliendo 4 funciones, es decir, la función de </w:t>
      </w:r>
      <w:r w:rsidRPr="00DC1A5F">
        <w:rPr>
          <w:i/>
          <w:iCs/>
        </w:rPr>
        <w:t>investigar</w:t>
      </w:r>
      <w:r w:rsidRPr="00DC1A5F">
        <w:t xml:space="preserve"> las cinco puertas (j) después del elemento mental resultante productivo e improductivo, la función de </w:t>
      </w:r>
      <w:r w:rsidRPr="00DC1A5F">
        <w:rPr>
          <w:i/>
          <w:iCs/>
        </w:rPr>
        <w:t>registro</w:t>
      </w:r>
      <w:r w:rsidRPr="00DC1A5F">
        <w:t xml:space="preserve"> (m) en las seis puertas de la manera ya enunciada, la función del </w:t>
      </w:r>
      <w:r w:rsidRPr="00DC1A5F">
        <w:rPr>
          <w:i/>
          <w:iCs/>
        </w:rPr>
        <w:t>continuum vital</w:t>
      </w:r>
      <w:r w:rsidRPr="00DC1A5F">
        <w:t xml:space="preserve"> (b) que continuará después del vínculo–de–renacimiento dado por sí mismo, siempre que no surja ningún pensamiento que interrumpa el continuum vital y, por último, la función de la </w:t>
      </w:r>
      <w:r w:rsidRPr="00DC1A5F">
        <w:rPr>
          <w:i/>
          <w:iCs/>
        </w:rPr>
        <w:t>muerte</w:t>
      </w:r>
      <w:r w:rsidRPr="00DC1A5F">
        <w:t xml:space="preserve"> (n) al final del curso de una existencia. Y así estos 2 tipos de consciencia serán invariables en cuanto a su base de posesión del corazón y variables en cuanto a su puerta, objeto, posición y función.</w:t>
      </w:r>
    </w:p>
    <w:p w14:paraId="3AAE98D5" w14:textId="77777777" w:rsidR="00597DE2" w:rsidRPr="00DC1A5F" w:rsidRDefault="00597DE2" w:rsidP="00597DE2">
      <w:r w:rsidRPr="00DC1A5F">
        <w:t xml:space="preserve">131. </w:t>
      </w:r>
      <w:r w:rsidRPr="00DC1A5F">
        <w:tab/>
        <w:t xml:space="preserve">Las 8 consciencias de la esfera sensorial con causa–raíz ((42)–(49)) ocurrirán cumpliendo 3 funciones, es decir, la función de </w:t>
      </w:r>
      <w:r w:rsidRPr="00DC1A5F">
        <w:rPr>
          <w:i/>
          <w:iCs/>
        </w:rPr>
        <w:t>registro</w:t>
      </w:r>
      <w:r w:rsidRPr="00DC1A5F">
        <w:t xml:space="preserve"> (m) en las seis puertas en la forma ya establecida, la función de</w:t>
      </w:r>
      <w:r w:rsidRPr="00DC1A5F">
        <w:rPr>
          <w:i/>
          <w:iCs/>
        </w:rPr>
        <w:t xml:space="preserve"> continuum</w:t>
      </w:r>
      <w:r w:rsidRPr="00DC1A5F">
        <w:t xml:space="preserve"> </w:t>
      </w:r>
      <w:r w:rsidRPr="00DC1A5F">
        <w:rPr>
          <w:i/>
          <w:iCs/>
        </w:rPr>
        <w:t>de la vida</w:t>
      </w:r>
      <w:r w:rsidRPr="00DC1A5F">
        <w:t xml:space="preserve"> (b) después de vínculo–de–renacimiento dada por ellos mismos, siempre y cuando no surja ningún pensamiento que interrumpa el continuum de la vida y, por último, la función de la muerte (n) al final. Y serán invariables en cuanto a la posesión de la base del corazón, y variables en cuanto a su puerta, posición y función. </w:t>
      </w:r>
      <w:r w:rsidRPr="00DC1A5F">
        <w:rPr>
          <w:color w:val="833C0B" w:themeColor="accent2" w:themeShade="80"/>
        </w:rPr>
        <w:t xml:space="preserve">(ver Cap. XIV, §110 para las numeraciones mostradas a, b, </w:t>
      </w:r>
      <w:proofErr w:type="gramStart"/>
      <w:r w:rsidRPr="00DC1A5F">
        <w:rPr>
          <w:color w:val="833C0B" w:themeColor="accent2" w:themeShade="80"/>
        </w:rPr>
        <w:t>… ,</w:t>
      </w:r>
      <w:proofErr w:type="gramEnd"/>
      <w:r w:rsidRPr="00DC1A5F">
        <w:rPr>
          <w:color w:val="833C0B" w:themeColor="accent2" w:themeShade="80"/>
        </w:rPr>
        <w:t xml:space="preserve"> n)</w:t>
      </w:r>
    </w:p>
    <w:p w14:paraId="572A0502" w14:textId="77777777" w:rsidR="00597DE2" w:rsidRPr="00DC1A5F" w:rsidRDefault="00597DE2" w:rsidP="00597DE2">
      <w:r w:rsidRPr="00DC1A5F">
        <w:t xml:space="preserve">132. </w:t>
      </w:r>
      <w:r w:rsidRPr="00DC1A5F">
        <w:tab/>
        <w:t xml:space="preserve">Las 5 consciencias de la materia sutil ((57)–(61)) y las 4 consciencias inmateriales ((62)–(65)) ocurrirán cumpliendo 2 funciones, es decir, la función del </w:t>
      </w:r>
      <w:r w:rsidRPr="00DC1A5F">
        <w:rPr>
          <w:i/>
          <w:iCs/>
        </w:rPr>
        <w:t>continuum vital</w:t>
      </w:r>
      <w:r w:rsidRPr="00DC1A5F">
        <w:t xml:space="preserve"> (b) que continuará después del vínculo–de–renacimiento dado por ellos mismos, siempre que no surja ningún pensamiento que interrumpa el continuum vital, y </w:t>
      </w:r>
      <w:r w:rsidRPr="00DC1A5F">
        <w:rPr>
          <w:color w:val="833C0B" w:themeColor="accent2" w:themeShade="80"/>
        </w:rPr>
        <w:t xml:space="preserve">de </w:t>
      </w:r>
      <w:r w:rsidRPr="00DC1A5F">
        <w:t xml:space="preserve">la función de la </w:t>
      </w:r>
      <w:r w:rsidRPr="00DC1A5F">
        <w:rPr>
          <w:i/>
          <w:iCs/>
        </w:rPr>
        <w:t>muerte</w:t>
      </w:r>
      <w:r w:rsidRPr="00DC1A5F">
        <w:t xml:space="preserve"> (n) al final. En cuanto a éstas, las de la esfera material sutil serán invariables en cuanto a la base de la posesión del corazón y en cuanto a su objeto, y serán variables en cuanto a su posición y función, mientras que las otras ocurrirán invariablemente sin la base del corazón, y ellas serán invariables en cuanto a su objeto y variables en cuanto a su posición y función.</w:t>
      </w:r>
    </w:p>
    <w:p w14:paraId="020F1192" w14:textId="77777777" w:rsidR="00597DE2" w:rsidRPr="00DC1A5F" w:rsidRDefault="00597DE2" w:rsidP="00597DE2">
      <w:pPr>
        <w:pStyle w:val="NormalConSangria"/>
      </w:pPr>
      <w:r w:rsidRPr="00DC1A5F">
        <w:t xml:space="preserve">Así, en primer lugar, será como las 32 consciencias resultantes se producirán en el curso de una existencia individual con las formaciones como su condición. Y allí, en el curso de una existencia, estas diversas formaciones serán condiciones, como condición de </w:t>
      </w:r>
      <w:proofErr w:type="spellStart"/>
      <w:r w:rsidRPr="00DC1A5F">
        <w:rPr>
          <w:i/>
        </w:rPr>
        <w:t>kamma</w:t>
      </w:r>
      <w:proofErr w:type="spellEnd"/>
      <w:r w:rsidRPr="00DC1A5F">
        <w:t xml:space="preserve"> y condición de soporte decisivo, para estas 32 consciencias resultantes. [548]</w:t>
      </w:r>
    </w:p>
    <w:p w14:paraId="1721BA79" w14:textId="77777777" w:rsidR="00597DE2" w:rsidRPr="00DC1A5F" w:rsidRDefault="00597DE2" w:rsidP="00597DE2">
      <w:pPr>
        <w:pStyle w:val="Ttulo8"/>
      </w:pPr>
      <w:r w:rsidRPr="00DC1A5F">
        <w:t>[2. (b) Durante el Vínculo–de–Renacimiento]</w:t>
      </w:r>
    </w:p>
    <w:p w14:paraId="03FB82CA" w14:textId="77777777" w:rsidR="00597DE2" w:rsidRPr="00DC1A5F" w:rsidRDefault="00597DE2" w:rsidP="00597DE2">
      <w:pPr>
        <w:pStyle w:val="Textoindependiente"/>
      </w:pPr>
      <w:r w:rsidRPr="00DC1A5F">
        <w:t xml:space="preserve">133. </w:t>
      </w:r>
      <w:r w:rsidRPr="00DC1A5F">
        <w:tab/>
        <w:t>No obstante, lo que se dijo anteriormente, es decir, “en cuanto a las 19 consciencias restantes, no existirá ninguna que no ocurra como un vínculo–de–renacimiento apropiado para ellas” (§130), será difícil de entender ya que es demasiado sucinto. Por lo tanto, con el objeto de exponer los detalles al respecto, se podría preguntar: (i) ¿Cuántos tipos de vínculo–de–renacimiento existen? (</w:t>
      </w:r>
      <w:proofErr w:type="spellStart"/>
      <w:r w:rsidRPr="00DC1A5F">
        <w:t>ii</w:t>
      </w:r>
      <w:proofErr w:type="spellEnd"/>
      <w:r w:rsidRPr="00DC1A5F">
        <w:t>) ¿Cuántos tipos de consciencia de vínculo–de–renacimiento? (</w:t>
      </w:r>
      <w:proofErr w:type="spellStart"/>
      <w:r w:rsidRPr="00DC1A5F">
        <w:t>iii</w:t>
      </w:r>
      <w:proofErr w:type="spellEnd"/>
      <w:r w:rsidRPr="00DC1A5F">
        <w:t>) ¿Dónde y por medio de qué medios se produce el vínculo–de–renacimiento? (</w:t>
      </w:r>
      <w:proofErr w:type="spellStart"/>
      <w:r w:rsidRPr="00DC1A5F">
        <w:t>iv</w:t>
      </w:r>
      <w:proofErr w:type="spellEnd"/>
      <w:r w:rsidRPr="00DC1A5F">
        <w:t>) ¿Qué posee como objeto la consciencia del vínculo–de–renacimiento?</w:t>
      </w:r>
    </w:p>
    <w:p w14:paraId="62D526CB" w14:textId="77777777" w:rsidR="00597DE2" w:rsidRPr="00DC1A5F" w:rsidRDefault="00597DE2" w:rsidP="00597DE2">
      <w:pPr>
        <w:tabs>
          <w:tab w:val="clear" w:pos="425"/>
        </w:tabs>
        <w:spacing w:after="160"/>
      </w:pPr>
      <w:r w:rsidRPr="00DC1A5F">
        <w:br w:type="page"/>
      </w:r>
    </w:p>
    <w:p w14:paraId="263E286B" w14:textId="77777777" w:rsidR="00597DE2" w:rsidRPr="00DC1A5F" w:rsidRDefault="00597DE2" w:rsidP="00597DE2">
      <w:r w:rsidRPr="00DC1A5F">
        <w:lastRenderedPageBreak/>
        <w:t xml:space="preserve">134. </w:t>
      </w:r>
      <w:r w:rsidRPr="00DC1A5F">
        <w:tab/>
        <w:t>(i) Incluyendo el vínculo–de–renacimiento de los seres no percipientes, existen 20 tipos de vínculo–de–renacimiento.</w:t>
      </w:r>
    </w:p>
    <w:p w14:paraId="39A14F36" w14:textId="77777777" w:rsidR="00597DE2" w:rsidRPr="00DC1A5F" w:rsidRDefault="00597DE2" w:rsidP="00597DE2">
      <w:pPr>
        <w:pStyle w:val="NormalConSangria"/>
      </w:pPr>
      <w:r w:rsidRPr="00DC1A5F">
        <w:tab/>
        <w:t>(</w:t>
      </w:r>
      <w:proofErr w:type="spellStart"/>
      <w:r w:rsidRPr="00DC1A5F">
        <w:t>ii</w:t>
      </w:r>
      <w:proofErr w:type="spellEnd"/>
      <w:r w:rsidRPr="00DC1A5F">
        <w:t>) Existen 19 tipos de consciencia de vínculo–de–renacimiento, como ya se ha descrito.</w:t>
      </w:r>
    </w:p>
    <w:p w14:paraId="7C68A940" w14:textId="77777777" w:rsidR="00597DE2" w:rsidRPr="00DC1A5F" w:rsidRDefault="00597DE2" w:rsidP="00597DE2">
      <w:pPr>
        <w:pStyle w:val="NormalConSangria"/>
      </w:pPr>
      <w:r w:rsidRPr="00DC1A5F">
        <w:tab/>
        <w:t>(</w:t>
      </w:r>
      <w:proofErr w:type="spellStart"/>
      <w:r w:rsidRPr="00DC1A5F">
        <w:t>iii</w:t>
      </w:r>
      <w:proofErr w:type="spellEnd"/>
      <w:r w:rsidRPr="00DC1A5F">
        <w:t>) Aquí, el vínculo–de–renacimiento por medio del elemento de la consciencia mental sin causa–raíz resultante e improductiva (56) se producirá en los estados de perdición. El vínculo–de–renacimiento por medio de la resultante productiva (41) se producirá en el mundo humano entre ciegos de nacimiento, sordos de nacimiento, locos de nacimiento, tontos de nacimiento (ver M I 20; M–a I 118), seres asexuados, etc. El vínculo–de–renacimiento por medio de las 8 consciencias resultantes principales con causa–raíz ((42)–(49)) se producirá entre las deidades de la esfera sensorial y las existencias meritorias de los hombres. Eso, se dará por medio de las 5 clases de consciencia resultantes de la materia sutil, esto se producirá en el plano</w:t>
      </w:r>
      <w:r w:rsidRPr="00DC1A5F">
        <w:rPr>
          <w:i/>
          <w:iCs/>
        </w:rPr>
        <w:t>–</w:t>
      </w:r>
      <w:r w:rsidRPr="00DC1A5F">
        <w:rPr>
          <w:i/>
        </w:rPr>
        <w:t>Brahmā</w:t>
      </w:r>
      <w:r w:rsidRPr="00DC1A5F">
        <w:t xml:space="preserve"> de la materia sutil. Ello por medio de los 4 tipos resultantes de la esfera inmaterial se producirá en el mundo o plano inmaterial. Así que la consciencia del vínculo–de–renacimiento se ajustará a los medios por los cuales, y en cuyo lugar, se producirá tal vínculo.</w:t>
      </w:r>
    </w:p>
    <w:p w14:paraId="5631E5E6" w14:textId="77777777" w:rsidR="00597DE2" w:rsidRPr="00DC1A5F" w:rsidRDefault="00597DE2" w:rsidP="00597DE2">
      <w:pPr>
        <w:pStyle w:val="NormalConSangria"/>
      </w:pPr>
      <w:r w:rsidRPr="00DC1A5F">
        <w:t>(</w:t>
      </w:r>
      <w:proofErr w:type="spellStart"/>
      <w:r w:rsidRPr="00DC1A5F">
        <w:t>iv</w:t>
      </w:r>
      <w:proofErr w:type="spellEnd"/>
      <w:r w:rsidRPr="00DC1A5F">
        <w:t>) En resumen, la consciencia del vínculo–de–renacimiento poseerá 3 tipos de objetos, es decir, pasado, presente y no–tan–clasificable (ver Cap. III, n. 32). La consciencia de un renacimiento no percipiente no poseerá objeto.</w:t>
      </w:r>
    </w:p>
    <w:p w14:paraId="534D86E3" w14:textId="77777777" w:rsidR="00597DE2" w:rsidRPr="00DC1A5F" w:rsidRDefault="00597DE2" w:rsidP="00597DE2">
      <w:r w:rsidRPr="00DC1A5F">
        <w:t xml:space="preserve">135. </w:t>
      </w:r>
      <w:r w:rsidRPr="00DC1A5F">
        <w:tab/>
        <w:t xml:space="preserve">Aquí, en la base consistente de una consciencia ilimitada y en la base consistente de la no–percepción–ni–no–percepción, el objeto del vínculo–de–renacimiento será </w:t>
      </w:r>
      <w:r w:rsidRPr="00DC1A5F">
        <w:rPr>
          <w:i/>
          <w:iCs/>
        </w:rPr>
        <w:t>pasado</w:t>
      </w:r>
      <w:r w:rsidRPr="00DC1A5F">
        <w:t xml:space="preserve">. El de los 10 tipos de renacimiento de la esfera sensorial podrá ser </w:t>
      </w:r>
      <w:r w:rsidRPr="00DC1A5F">
        <w:rPr>
          <w:i/>
          <w:iCs/>
        </w:rPr>
        <w:t>pasado</w:t>
      </w:r>
      <w:r w:rsidRPr="00DC1A5F">
        <w:t xml:space="preserve"> o </w:t>
      </w:r>
      <w:r w:rsidRPr="00DC1A5F">
        <w:rPr>
          <w:i/>
          <w:iCs/>
        </w:rPr>
        <w:t>presente</w:t>
      </w:r>
      <w:r w:rsidRPr="00DC1A5F">
        <w:t xml:space="preserve">. El restante será </w:t>
      </w:r>
      <w:r w:rsidRPr="00DC1A5F">
        <w:rPr>
          <w:i/>
          <w:iCs/>
        </w:rPr>
        <w:t>no–tan</w:t>
      </w:r>
      <w:r w:rsidRPr="00DC1A5F">
        <w:t>–</w:t>
      </w:r>
      <w:r w:rsidRPr="00DC1A5F">
        <w:rPr>
          <w:i/>
          <w:iCs/>
        </w:rPr>
        <w:t>clasificable</w:t>
      </w:r>
      <w:r w:rsidRPr="00DC1A5F">
        <w:t>. No obstante, mientras que la consciencia del vínculo–de–renacimiento ocurra así con 3 tipos de objetos, la consciencia de la muerte, junto a la cual ocurra, tendrá solo un objeto pasado o no–tan–clasificable, no existiendo consciencia de la muerte con un objeto presente. En consecuencia, deberá entenderse cómo ocurrirá el vínculo–de–renacimiento en los destinos felices y los destinos infelices de la siguiente manera, es decir, cómo la consciencia del vínculo–de–renacimiento con uno de los 3 tipos de objetos ocurrirá junto a la consciencia de la muerte con uno de los 2 tipos de objetos.</w:t>
      </w:r>
    </w:p>
    <w:p w14:paraId="603CA69A" w14:textId="77777777" w:rsidR="00597DE2" w:rsidRPr="00DC1A5F" w:rsidRDefault="00597DE2" w:rsidP="00597DE2">
      <w:r w:rsidRPr="00DC1A5F">
        <w:t xml:space="preserve">136. </w:t>
      </w:r>
      <w:r w:rsidRPr="00DC1A5F">
        <w:tab/>
        <w:t>[</w:t>
      </w:r>
      <w:r w:rsidRPr="00DC1A5F">
        <w:rPr>
          <w:i/>
          <w:iCs/>
        </w:rPr>
        <w:t>Desde un destino feliz hacia un destino infeliz</w:t>
      </w:r>
      <w:r w:rsidRPr="00DC1A5F">
        <w:t xml:space="preserve">.] Por ejemplo, en primer lugar, en el caso de una persona en los destinos felices de la esfera sensorial que sea un perpetrador del mal, cuando esté en su lecho de muerte, su </w:t>
      </w:r>
      <w:proofErr w:type="spellStart"/>
      <w:r w:rsidRPr="00DC1A5F">
        <w:rPr>
          <w:i/>
        </w:rPr>
        <w:t>kamma</w:t>
      </w:r>
      <w:proofErr w:type="spellEnd"/>
      <w:r w:rsidRPr="00DC1A5F">
        <w:t xml:space="preserve"> negativo de acuerdo con lo que haya sido almacenado, o su signo, entrará en el foco de la puerta de la mente. Ya que ese dice al respecto: “Entonces las malas acciones que él haya cometido en el pasado… lo cubrirá [untará y envolverá]” (M III 164), etc. Luego, junto a la serie cognitiva de las impulsiones que terminen en el registro</w:t>
      </w:r>
      <w:r w:rsidRPr="00DC1A5F">
        <w:rPr>
          <w:vertAlign w:val="superscript"/>
        </w:rPr>
        <w:t>22</w:t>
      </w:r>
      <w:r w:rsidRPr="00DC1A5F">
        <w:t xml:space="preserve"> que surgió en función de ese [</w:t>
      </w:r>
      <w:proofErr w:type="spellStart"/>
      <w:r w:rsidRPr="00DC1A5F">
        <w:rPr>
          <w:i/>
        </w:rPr>
        <w:t>kamma</w:t>
      </w:r>
      <w:proofErr w:type="spellEnd"/>
      <w:r w:rsidRPr="00DC1A5F">
        <w:t xml:space="preserve"> o su signo], surgirá la consciencia de la muerte que hará del campo objetivo del continuum vital su objeto. Cuando haya cesado, la consciencia del vínculo–de–renacimiento surgirá dependiendo de ese mismo </w:t>
      </w:r>
      <w:proofErr w:type="spellStart"/>
      <w:r w:rsidRPr="00DC1A5F">
        <w:rPr>
          <w:i/>
        </w:rPr>
        <w:t>kamma</w:t>
      </w:r>
      <w:proofErr w:type="spellEnd"/>
      <w:r w:rsidRPr="00DC1A5F">
        <w:t xml:space="preserve"> o del signo de </w:t>
      </w:r>
      <w:proofErr w:type="spellStart"/>
      <w:r w:rsidRPr="00DC1A5F">
        <w:rPr>
          <w:i/>
        </w:rPr>
        <w:t>kamma</w:t>
      </w:r>
      <w:proofErr w:type="spellEnd"/>
      <w:r w:rsidRPr="00DC1A5F">
        <w:t xml:space="preserve"> en el que se haya enfocado y lo hará ubicado en un destino infeliz, siendo impulsado allí por la fuerza de las impurezas que no hayan sido erradicadas. [549] Este es el tipo del vínculo–de–renacimiento que tendrá un objeto pasado y vendrá junto a la consciencia de la muerte con un objeto pasado.</w:t>
      </w:r>
    </w:p>
    <w:p w14:paraId="11D0509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FB17BBC" w14:textId="77777777" w:rsidR="00597DE2" w:rsidRPr="00DC1A5F" w:rsidRDefault="00597DE2" w:rsidP="00597DE2">
      <w:pPr>
        <w:pStyle w:val="PiedepginaLegal"/>
        <w:numPr>
          <w:ilvl w:val="0"/>
          <w:numId w:val="6"/>
        </w:numPr>
        <w:tabs>
          <w:tab w:val="clear" w:pos="425"/>
        </w:tabs>
        <w:ind w:left="284" w:hanging="284"/>
      </w:pPr>
      <w:proofErr w:type="spellStart"/>
      <w:r w:rsidRPr="00DC1A5F">
        <w:t>Vibh</w:t>
      </w:r>
      <w:proofErr w:type="spellEnd"/>
      <w:r w:rsidRPr="00DC1A5F">
        <w:t>–a (Be) agrega aquí “</w:t>
      </w:r>
      <w:proofErr w:type="spellStart"/>
      <w:r w:rsidRPr="00DC1A5F">
        <w:rPr>
          <w:i/>
          <w:iCs/>
        </w:rPr>
        <w:t>suddhāya</w:t>
      </w:r>
      <w:proofErr w:type="spellEnd"/>
      <w:r w:rsidRPr="00DC1A5F">
        <w:rPr>
          <w:i/>
          <w:iCs/>
        </w:rPr>
        <w:t xml:space="preserve"> va </w:t>
      </w:r>
      <w:proofErr w:type="spellStart"/>
      <w:r w:rsidRPr="00DC1A5F">
        <w:rPr>
          <w:i/>
          <w:iCs/>
        </w:rPr>
        <w:t>javanavīthiyā</w:t>
      </w:r>
      <w:proofErr w:type="spellEnd"/>
      <w:r w:rsidRPr="00DC1A5F">
        <w:t>”, como en el §140 a continuación en todo el texto.</w:t>
      </w:r>
    </w:p>
    <w:p w14:paraId="56E4E04B" w14:textId="77777777" w:rsidR="00597DE2" w:rsidRPr="00DC1A5F" w:rsidRDefault="00597DE2" w:rsidP="00597DE2">
      <w:pPr>
        <w:tabs>
          <w:tab w:val="clear" w:pos="425"/>
        </w:tabs>
        <w:spacing w:after="160"/>
      </w:pPr>
      <w:r w:rsidRPr="00DC1A5F">
        <w:br w:type="page"/>
      </w:r>
    </w:p>
    <w:p w14:paraId="257D86F9" w14:textId="77777777" w:rsidR="00597DE2" w:rsidRPr="00DC1A5F" w:rsidRDefault="00597DE2" w:rsidP="00597DE2"/>
    <w:p w14:paraId="5BAFBD3F" w14:textId="77777777" w:rsidR="00597DE2" w:rsidRPr="00DC1A5F" w:rsidRDefault="00597DE2" w:rsidP="00597DE2">
      <w:r w:rsidRPr="00DC1A5F">
        <w:t xml:space="preserve">137. </w:t>
      </w:r>
      <w:r w:rsidRPr="00DC1A5F">
        <w:tab/>
        <w:t xml:space="preserve">En el caso de otro ser, debido al </w:t>
      </w:r>
      <w:proofErr w:type="spellStart"/>
      <w:r w:rsidRPr="00DC1A5F">
        <w:rPr>
          <w:i/>
        </w:rPr>
        <w:t>kamma</w:t>
      </w:r>
      <w:proofErr w:type="spellEnd"/>
      <w:r w:rsidRPr="00DC1A5F">
        <w:t xml:space="preserve"> del tipo ya descrito, se enfocará en la puerta mental en el momento de la muerte el signo de los destinos infelices con la aparición del fuego y las llamas, etc., de los infiernos, etc.</w:t>
      </w:r>
      <w:r w:rsidRPr="00DC1A5F">
        <w:rPr>
          <w:vertAlign w:val="superscript"/>
        </w:rPr>
        <w:t>23</w:t>
      </w:r>
      <w:r w:rsidRPr="00DC1A5F">
        <w:t xml:space="preserve"> Así que cuando el continuum vital haya surgido y cesado 2 veces, surgirán 3 tipos de consciencia de la serie cognitiva eventual a ese objeto, es decir, la que advertirá los impulsos que sumarán 5 debido a la ralentización debida a la proximidad de la muerte más 2 registros. Después de ello, surgirá una consciencia de la muerte que hará del campo objetivo del continuum vital su objeto. </w:t>
      </w:r>
      <w:r w:rsidRPr="00DC1A5F">
        <w:rPr>
          <w:color w:val="833C0B" w:themeColor="accent2" w:themeShade="80"/>
        </w:rPr>
        <w:t>Hasta</w:t>
      </w:r>
      <w:r w:rsidRPr="00DC1A5F">
        <w:t xml:space="preserve"> este punto habrán transcurrido 11 consciencias. Luego, teniendo ese mismo objeto, que tendrá una duración de vida de 5 momentos de consciencia restantes, surgirá la consciencia del vínculo–de–renacimiento. Éste es el tipo de vínculo–de–renacimiento que tendrá un objeto presente y vendrá después de la muerte con un objeto </w:t>
      </w:r>
      <w:r w:rsidRPr="00DC1A5F">
        <w:rPr>
          <w:i/>
          <w:iCs/>
        </w:rPr>
        <w:t>pasado</w:t>
      </w:r>
      <w:r w:rsidRPr="00DC1A5F">
        <w:t>.</w:t>
      </w:r>
    </w:p>
    <w:p w14:paraId="7FFBFBF7" w14:textId="77777777" w:rsidR="00597DE2" w:rsidRPr="00DC1A5F" w:rsidRDefault="00597DE2" w:rsidP="00597DE2">
      <w:r w:rsidRPr="00DC1A5F">
        <w:t xml:space="preserve">138. </w:t>
      </w:r>
      <w:r w:rsidRPr="00DC1A5F">
        <w:tab/>
        <w:t xml:space="preserve">En el caso de otro ser, en el momento de la muerte se enfocará en una de las 5 puertas un objeto inferior que corresponderá a una causa de codicia, etc. Cuando hayan surgido en su debida sucesión una serie hasta determinarse, surgirán 5 impulsos debido a la ralentización por la cercanía de la muerte más 2 registros. Después de ello, surgirá una consciencia de la muerte que hará del campo objetivo del continuum vital su objeto. </w:t>
      </w:r>
      <w:r w:rsidRPr="00DC1A5F">
        <w:rPr>
          <w:color w:val="833C0B" w:themeColor="accent2" w:themeShade="80"/>
        </w:rPr>
        <w:t>Hasta</w:t>
      </w:r>
      <w:r w:rsidRPr="00DC1A5F">
        <w:t xml:space="preserve"> este punto habrán transcurrido 15 consciencias, es decir, 2 del continuum vital, cada uno advirtiendo, viendo, recepcionando, investigando y determinando, 5 impulsos, 2 registros y 1 consciencia de la muerte. Luego, teniendo ese mismo objeto, que tendrá una duración de vida del momento consciente restante, surgirá la consciencia del vínculo–de–renacimiento correspondiente. Éste también será el tipo de vínculo–de–renacimiento que tendrá un objeto </w:t>
      </w:r>
      <w:r w:rsidRPr="00DC1A5F">
        <w:rPr>
          <w:i/>
          <w:iCs/>
        </w:rPr>
        <w:t>presente</w:t>
      </w:r>
      <w:r w:rsidRPr="00DC1A5F">
        <w:t xml:space="preserve"> y que vendrá junto a una consciencia de la muerte con un objeto </w:t>
      </w:r>
      <w:r w:rsidRPr="00DC1A5F">
        <w:rPr>
          <w:i/>
          <w:iCs/>
        </w:rPr>
        <w:t>pasado</w:t>
      </w:r>
      <w:r w:rsidRPr="00DC1A5F">
        <w:t>.</w:t>
      </w:r>
    </w:p>
    <w:p w14:paraId="00FE2A05" w14:textId="77777777" w:rsidR="00597DE2" w:rsidRPr="00DC1A5F" w:rsidRDefault="00597DE2" w:rsidP="00597DE2">
      <w:pPr>
        <w:pStyle w:val="NormalConSangria"/>
      </w:pPr>
      <w:r w:rsidRPr="00DC1A5F">
        <w:t>Así, en primer lugar, será cómo el vínculo–de–renacimiento en un destino infeliz con objetos pasados ​​y presentes se producirá junto a la consciencia de la muerte hacia un destino feliz con un objeto pasado.</w:t>
      </w:r>
    </w:p>
    <w:p w14:paraId="319EBBE3" w14:textId="77777777" w:rsidR="00597DE2" w:rsidRPr="00DC1A5F" w:rsidRDefault="00597DE2" w:rsidP="00597DE2">
      <w:r w:rsidRPr="00DC1A5F">
        <w:t xml:space="preserve">139. </w:t>
      </w:r>
      <w:r w:rsidRPr="00DC1A5F">
        <w:tab/>
        <w:t>[</w:t>
      </w:r>
      <w:r w:rsidRPr="00DC1A5F">
        <w:rPr>
          <w:i/>
          <w:iCs/>
        </w:rPr>
        <w:t>Desde un destino infeliz hacia un destino feliz</w:t>
      </w:r>
      <w:r w:rsidRPr="00DC1A5F">
        <w:t xml:space="preserve">.] En el caso de alguien que se encuentre en un destino infeliz que haya acumulado un </w:t>
      </w:r>
      <w:proofErr w:type="spellStart"/>
      <w:r w:rsidRPr="00DC1A5F">
        <w:rPr>
          <w:i/>
        </w:rPr>
        <w:t>kamma</w:t>
      </w:r>
      <w:proofErr w:type="spellEnd"/>
      <w:r w:rsidRPr="00DC1A5F">
        <w:t xml:space="preserve"> irreprochable, todo deberá entenderse de la misma manera, sustituyendo el lado oscuro por el brillante así: Su buen </w:t>
      </w:r>
      <w:proofErr w:type="spellStart"/>
      <w:r w:rsidRPr="00DC1A5F">
        <w:rPr>
          <w:i/>
        </w:rPr>
        <w:t>kamma</w:t>
      </w:r>
      <w:proofErr w:type="spellEnd"/>
      <w:r w:rsidRPr="00DC1A5F">
        <w:t>, según haya sido almacenado, o su signo, se enfocará en la puerta mental y continuará en la forma ya establecida.</w:t>
      </w:r>
    </w:p>
    <w:p w14:paraId="319AC48A" w14:textId="77777777" w:rsidR="00597DE2" w:rsidRPr="00DC1A5F" w:rsidRDefault="00597DE2" w:rsidP="00597DE2">
      <w:pPr>
        <w:pStyle w:val="NormalConSangria"/>
      </w:pPr>
      <w:r w:rsidRPr="00DC1A5F">
        <w:t xml:space="preserve">Así es cómo se producirá el vínculo–de–renacimiento hacia un destino feliz con objetos </w:t>
      </w:r>
      <w:r w:rsidRPr="00DC1A5F">
        <w:rPr>
          <w:i/>
          <w:iCs/>
        </w:rPr>
        <w:t>pasados</w:t>
      </w:r>
      <w:r w:rsidRPr="00DC1A5F">
        <w:t xml:space="preserve"> ​​y </w:t>
      </w:r>
      <w:r w:rsidRPr="00DC1A5F">
        <w:rPr>
          <w:i/>
          <w:iCs/>
        </w:rPr>
        <w:t>presentes</w:t>
      </w:r>
      <w:r w:rsidRPr="00DC1A5F">
        <w:t xml:space="preserve"> junto a la consciencia de la muerte en un destino infeliz presente con un objeto pasado.</w:t>
      </w:r>
    </w:p>
    <w:p w14:paraId="1972B5A5" w14:textId="77777777" w:rsidR="00597DE2" w:rsidRPr="00DC1A5F" w:rsidRDefault="00597DE2" w:rsidP="00597DE2">
      <w:r w:rsidRPr="00DC1A5F">
        <w:t xml:space="preserve">140. </w:t>
      </w:r>
      <w:r w:rsidRPr="00DC1A5F">
        <w:tab/>
        <w:t>[</w:t>
      </w:r>
      <w:r w:rsidRPr="00DC1A5F">
        <w:rPr>
          <w:i/>
          <w:iCs/>
        </w:rPr>
        <w:t>Desde un destino feliz hacia un destino feliz</w:t>
      </w:r>
      <w:r w:rsidRPr="00DC1A5F">
        <w:t xml:space="preserve">.] En el caso de alguien que en un presente destino feliz haya acumulado un </w:t>
      </w:r>
      <w:proofErr w:type="spellStart"/>
      <w:r w:rsidRPr="00DC1A5F">
        <w:rPr>
          <w:i/>
        </w:rPr>
        <w:t>kamma</w:t>
      </w:r>
      <w:proofErr w:type="spellEnd"/>
      <w:r w:rsidRPr="00DC1A5F">
        <w:t xml:space="preserve"> intachable, cuando yazca en su lecho de muerte, su </w:t>
      </w:r>
      <w:proofErr w:type="spellStart"/>
      <w:r w:rsidRPr="00DC1A5F">
        <w:rPr>
          <w:i/>
        </w:rPr>
        <w:t>kamma</w:t>
      </w:r>
      <w:proofErr w:type="spellEnd"/>
      <w:r w:rsidRPr="00DC1A5F">
        <w:t xml:space="preserve"> intachable, según haya sido almacenado, o su signo, entrará en el foco de la puerta mental. Ya que se dice al respecto: “Entonces las buenas acciones que haya realizado en el pasado… lo cubrirá [untará y envolverá]” (M III 171), etc. Y eso se aplicará sólo en el caso de alguien que haya acumulado un </w:t>
      </w:r>
      <w:proofErr w:type="spellStart"/>
      <w:r w:rsidRPr="00DC1A5F">
        <w:rPr>
          <w:i/>
        </w:rPr>
        <w:t>kamma</w:t>
      </w:r>
      <w:proofErr w:type="spellEnd"/>
      <w:r w:rsidRPr="00DC1A5F">
        <w:t xml:space="preserve"> de la esfera sensorial sin ninguna mancha. [550] No obstante, en el caso de alguien que haya acumulado un </w:t>
      </w:r>
      <w:proofErr w:type="spellStart"/>
      <w:r w:rsidRPr="00DC1A5F">
        <w:rPr>
          <w:i/>
        </w:rPr>
        <w:t>kamma</w:t>
      </w:r>
      <w:proofErr w:type="spellEnd"/>
      <w:r w:rsidRPr="00DC1A5F">
        <w:t xml:space="preserve"> de las esferas excelsas, sólo se enfocará el signo del </w:t>
      </w:r>
      <w:proofErr w:type="spellStart"/>
      <w:r w:rsidRPr="00DC1A5F">
        <w:rPr>
          <w:i/>
        </w:rPr>
        <w:t>kamma</w:t>
      </w:r>
      <w:proofErr w:type="spellEnd"/>
      <w:r w:rsidRPr="00DC1A5F">
        <w:t xml:space="preserve">. Luego, junto a la serie cognitiva de impulsos que terminarán en el registro, o </w:t>
      </w:r>
    </w:p>
    <w:p w14:paraId="60AF2C0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B3A049E" w14:textId="77777777" w:rsidR="00597DE2" w:rsidRPr="00DC1A5F" w:rsidRDefault="00597DE2" w:rsidP="00597DE2">
      <w:pPr>
        <w:pStyle w:val="PiedepginaLegal"/>
        <w:numPr>
          <w:ilvl w:val="0"/>
          <w:numId w:val="6"/>
        </w:numPr>
        <w:tabs>
          <w:tab w:val="clear" w:pos="425"/>
        </w:tabs>
        <w:spacing w:after="160"/>
        <w:ind w:left="284" w:hanging="284"/>
      </w:pPr>
      <w:r w:rsidRPr="00DC1A5F">
        <w:t>“‘</w:t>
      </w:r>
      <w:r w:rsidRPr="00DC1A5F">
        <w:rPr>
          <w:i/>
          <w:iCs/>
        </w:rPr>
        <w:t>Con la apariencia del fuego y las llamas, etc., en los infiernos’</w:t>
      </w:r>
      <w:r w:rsidRPr="00DC1A5F">
        <w:t xml:space="preserve"> se dice debido a la semejanza con ello; La apariencia del infierno y el fuego entonces no se enfocará en sí mismo en él” (</w:t>
      </w:r>
      <w:proofErr w:type="spellStart"/>
      <w:r w:rsidRPr="00DC1A5F">
        <w:t>Vism</w:t>
      </w:r>
      <w:proofErr w:type="spellEnd"/>
      <w:r w:rsidRPr="00DC1A5F">
        <w:t>–</w:t>
      </w:r>
      <w:proofErr w:type="spellStart"/>
      <w:r w:rsidRPr="00DC1A5F">
        <w:t>mhṭ</w:t>
      </w:r>
      <w:proofErr w:type="spellEnd"/>
      <w:r w:rsidRPr="00DC1A5F">
        <w:t xml:space="preserve"> 607).</w:t>
      </w:r>
      <w:r w:rsidRPr="00DC1A5F">
        <w:br w:type="page"/>
      </w:r>
    </w:p>
    <w:p w14:paraId="3BCFF65E" w14:textId="77777777" w:rsidR="00597DE2" w:rsidRPr="00DC1A5F" w:rsidRDefault="00597DE2" w:rsidP="00597DE2">
      <w:pPr>
        <w:pStyle w:val="Textoindependiente"/>
      </w:pPr>
      <w:r w:rsidRPr="00DC1A5F">
        <w:lastRenderedPageBreak/>
        <w:t xml:space="preserve">de simples impulsos, que surgirán vinculados a ese </w:t>
      </w:r>
      <w:proofErr w:type="spellStart"/>
      <w:r w:rsidRPr="00DC1A5F">
        <w:rPr>
          <w:i/>
        </w:rPr>
        <w:t>kamma</w:t>
      </w:r>
      <w:proofErr w:type="spellEnd"/>
      <w:r w:rsidRPr="00DC1A5F">
        <w:t xml:space="preserve"> o su signo, surgirá la consciencia de la muerte haciendo del campo objetivo del continuum vital su objeto. Cuando haya cesado, la consciencia que vincule el renacimiento surgirá dependiendo de ese mismo </w:t>
      </w:r>
      <w:proofErr w:type="spellStart"/>
      <w:r w:rsidRPr="00DC1A5F">
        <w:rPr>
          <w:i/>
        </w:rPr>
        <w:t>kamma</w:t>
      </w:r>
      <w:proofErr w:type="spellEnd"/>
      <w:r w:rsidRPr="00DC1A5F">
        <w:t xml:space="preserve"> o del signo del </w:t>
      </w:r>
      <w:proofErr w:type="spellStart"/>
      <w:r w:rsidRPr="00DC1A5F">
        <w:rPr>
          <w:i/>
        </w:rPr>
        <w:t>kamma</w:t>
      </w:r>
      <w:proofErr w:type="spellEnd"/>
      <w:r w:rsidRPr="00DC1A5F">
        <w:t xml:space="preserve"> en el que se haya enfocado y lo hará orientado hacia un destino feliz, siendo conducido hacia allí por la fuerza de las impurezas que no hayan sido erradicadas. Éste es el tipo de vínculo–de–renacimiento que tendrá un objeto </w:t>
      </w:r>
      <w:r w:rsidRPr="00DC1A5F">
        <w:rPr>
          <w:i/>
          <w:iCs/>
        </w:rPr>
        <w:t>pasado</w:t>
      </w:r>
      <w:r w:rsidRPr="00DC1A5F">
        <w:t xml:space="preserve"> o </w:t>
      </w:r>
      <w:r w:rsidRPr="00DC1A5F">
        <w:rPr>
          <w:i/>
          <w:iCs/>
        </w:rPr>
        <w:t>no tan clasificable</w:t>
      </w:r>
      <w:r w:rsidRPr="00DC1A5F">
        <w:t xml:space="preserve"> y vendrá junto a la consciencia de la muerte con un objeto pasado.</w:t>
      </w:r>
    </w:p>
    <w:p w14:paraId="342B4D3D" w14:textId="77777777" w:rsidR="00597DE2" w:rsidRPr="00DC1A5F" w:rsidRDefault="00597DE2" w:rsidP="00597DE2">
      <w:r w:rsidRPr="00DC1A5F">
        <w:t xml:space="preserve">141. </w:t>
      </w:r>
      <w:r w:rsidRPr="00DC1A5F">
        <w:tab/>
        <w:t xml:space="preserve">En el caso de otro ser, debido a un intachable </w:t>
      </w:r>
      <w:proofErr w:type="spellStart"/>
      <w:r w:rsidRPr="00DC1A5F">
        <w:rPr>
          <w:i/>
        </w:rPr>
        <w:t>kamma</w:t>
      </w:r>
      <w:proofErr w:type="spellEnd"/>
      <w:r w:rsidRPr="00DC1A5F">
        <w:t xml:space="preserve"> de la esfera sensorial, en el momento de la muerte se enfocará en la puerta de la mente el signo hacia un destino feliz, en otras palabras, la aparición de un útero materno</w:t>
      </w:r>
      <w:r w:rsidRPr="00DC1A5F">
        <w:rPr>
          <w:vertAlign w:val="superscript"/>
        </w:rPr>
        <w:t>24</w:t>
      </w:r>
      <w:r w:rsidRPr="00DC1A5F">
        <w:t xml:space="preserve">, en el caso de un ser humano o la aparición de bosques placenteros, palacios divinos, árboles de los deseos, etc., en el caso de una esfera divina. Su consciencia del vínculo–de–renacimiento surgirá junto a la consciencia de la muerte en el orden mostrado para el signo de un destino infeliz. Éste será el tipo de vínculo–de–renacimiento que poseerá un objeto presente y que vendrá junto a la consciencia de la muerte con un objeto </w:t>
      </w:r>
      <w:r w:rsidRPr="00DC1A5F">
        <w:rPr>
          <w:i/>
          <w:iCs/>
        </w:rPr>
        <w:t>pasado</w:t>
      </w:r>
      <w:r w:rsidRPr="00DC1A5F">
        <w:t>.</w:t>
      </w:r>
    </w:p>
    <w:p w14:paraId="7C3EF5DF" w14:textId="77777777" w:rsidR="00597DE2" w:rsidRPr="00DC1A5F" w:rsidRDefault="00597DE2" w:rsidP="00597DE2">
      <w:r w:rsidRPr="00DC1A5F">
        <w:t xml:space="preserve">142. </w:t>
      </w:r>
      <w:r w:rsidRPr="00DC1A5F">
        <w:tab/>
        <w:t xml:space="preserve">En el caso de otro ser, los objetos presentes relativos a éste en las puertas de los 5 sentidos, como un objeto visible como objeto, tal vez flores, guirnaldas, banderas, estandartes, etc., diciendo: “Esto está siendo ofrecido al </w:t>
      </w:r>
      <w:r w:rsidRPr="00DC1A5F">
        <w:rPr>
          <w:i/>
          <w:iCs/>
        </w:rPr>
        <w:t>Bhagavā</w:t>
      </w:r>
      <w:r w:rsidRPr="00DC1A5F">
        <w:t xml:space="preserve"> para su bien, querido, tranquilícese”; o un sonido como objeto, tal vez, la predicación del </w:t>
      </w:r>
      <w:r w:rsidRPr="00DC1A5F">
        <w:rPr>
          <w:i/>
        </w:rPr>
        <w:t>Dhamma</w:t>
      </w:r>
      <w:r w:rsidRPr="00DC1A5F">
        <w:t xml:space="preserve">, ofrendas musicales, etc.; o un olor como objeto, tal vez incienso, esencias, perfumes, etc.; o un gusto como objeto, tal vez miel, melaza, etc., diciendo: “Pruebe esto, querido, es un presente ofrecido para su bien”; o una sensación como objeto, tal vez como la seda china, seda </w:t>
      </w:r>
      <w:proofErr w:type="spellStart"/>
      <w:r w:rsidRPr="00DC1A5F">
        <w:t>So</w:t>
      </w:r>
      <w:r w:rsidRPr="00DC1A5F">
        <w:rPr>
          <w:i/>
        </w:rPr>
        <w:t>māra</w:t>
      </w:r>
      <w:proofErr w:type="spellEnd"/>
      <w:r w:rsidRPr="00DC1A5F">
        <w:t xml:space="preserve">, diciendo: “Sienta esto, querido, es un presente para su bien”. Ahora bien, cuando ese objeto visible, o lo que sea, como objeto haya llegado ante su foco y las consciencias que se acaben de determinar hayan surgido en la debida sucesión, surgirán en él unos impulsos en número de 5 debido a la ralentización a causa de la proximidad de la muerte y dos registros; después de ello, surgirá una consciencia de la muerte, haciendo del campo objetivo del continuum vital su objeto. Al final de ello, teniendo ese mismo objeto, que durará sólo un único momento de consciencia, surgirá la consciencia del vínculo–de–renacimiento. Este también será el tipo de vínculo–de–renacimiento con un objeto presente y vendrá después de una consciencia de la muerte con un objeto </w:t>
      </w:r>
      <w:r w:rsidRPr="00DC1A5F">
        <w:rPr>
          <w:i/>
          <w:iCs/>
        </w:rPr>
        <w:t>pasado</w:t>
      </w:r>
      <w:r w:rsidRPr="00DC1A5F">
        <w:t>.</w:t>
      </w:r>
    </w:p>
    <w:p w14:paraId="166B6E9D" w14:textId="77777777" w:rsidR="00597DE2" w:rsidRPr="00DC1A5F" w:rsidRDefault="00597DE2" w:rsidP="00597DE2">
      <w:r w:rsidRPr="00DC1A5F">
        <w:t xml:space="preserve">143. </w:t>
      </w:r>
      <w:r w:rsidRPr="00DC1A5F">
        <w:tab/>
        <w:t xml:space="preserve">No obstante, en el caso de otro ser que se encuentre en un destino feliz y haya obtenido una consciencia excelsa a través del </w:t>
      </w:r>
      <w:proofErr w:type="spellStart"/>
      <w:r w:rsidRPr="00DC1A5F">
        <w:rPr>
          <w:i/>
        </w:rPr>
        <w:t>jhāna</w:t>
      </w:r>
      <w:proofErr w:type="spellEnd"/>
      <w:r w:rsidRPr="00DC1A5F">
        <w:rPr>
          <w:i/>
        </w:rPr>
        <w:t xml:space="preserve"> </w:t>
      </w:r>
      <w:r w:rsidRPr="00DC1A5F">
        <w:t xml:space="preserve">del </w:t>
      </w:r>
      <w:proofErr w:type="spellStart"/>
      <w:r w:rsidRPr="00DC1A5F">
        <w:rPr>
          <w:i/>
        </w:rPr>
        <w:t>kasiṇa</w:t>
      </w:r>
      <w:proofErr w:type="spellEnd"/>
      <w:r w:rsidRPr="00DC1A5F">
        <w:t xml:space="preserve"> tierra, etc., en el momento de su muerte se enfocará en la puerta de la mente un </w:t>
      </w:r>
      <w:proofErr w:type="spellStart"/>
      <w:r w:rsidRPr="00DC1A5F">
        <w:rPr>
          <w:i/>
        </w:rPr>
        <w:t>kamma</w:t>
      </w:r>
      <w:proofErr w:type="spellEnd"/>
      <w:r w:rsidRPr="00DC1A5F">
        <w:t xml:space="preserve"> productivo de la esfera sensorial. o el signo del </w:t>
      </w:r>
      <w:proofErr w:type="spellStart"/>
      <w:r w:rsidRPr="00DC1A5F">
        <w:rPr>
          <w:i/>
        </w:rPr>
        <w:t>kamma</w:t>
      </w:r>
      <w:proofErr w:type="spellEnd"/>
      <w:r w:rsidRPr="00DC1A5F">
        <w:t xml:space="preserve"> o el signo del destino, o bien el signo del </w:t>
      </w:r>
      <w:proofErr w:type="spellStart"/>
      <w:r w:rsidRPr="00DC1A5F">
        <w:rPr>
          <w:i/>
        </w:rPr>
        <w:t>kasiṇa</w:t>
      </w:r>
      <w:proofErr w:type="spellEnd"/>
      <w:r w:rsidRPr="00DC1A5F">
        <w:t xml:space="preserve"> tierra, etc., o bien la consciencia </w:t>
      </w:r>
    </w:p>
    <w:p w14:paraId="327F4797"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7EA3B6E" w14:textId="77777777" w:rsidR="00597DE2" w:rsidRPr="00DC1A5F" w:rsidRDefault="00597DE2" w:rsidP="00597DE2">
      <w:pPr>
        <w:pStyle w:val="PiedepginaLegal"/>
        <w:numPr>
          <w:ilvl w:val="0"/>
          <w:numId w:val="6"/>
        </w:numPr>
        <w:tabs>
          <w:tab w:val="clear" w:pos="425"/>
        </w:tabs>
        <w:ind w:left="284" w:hanging="284"/>
        <w:rPr>
          <w:color w:val="auto"/>
          <w:u w:color="000000"/>
        </w:rPr>
      </w:pPr>
      <w:r w:rsidRPr="00DC1A5F">
        <w:rPr>
          <w:color w:val="auto"/>
          <w:u w:color="000000"/>
        </w:rPr>
        <w:t xml:space="preserve">El </w:t>
      </w:r>
      <w:proofErr w:type="spellStart"/>
      <w:r w:rsidRPr="00DC1A5F">
        <w:rPr>
          <w:i/>
          <w:iCs/>
          <w:color w:val="auto"/>
          <w:u w:color="000000"/>
        </w:rPr>
        <w:t>Sammohavinodanī</w:t>
      </w:r>
      <w:proofErr w:type="spellEnd"/>
      <w:r w:rsidRPr="00DC1A5F">
        <w:rPr>
          <w:color w:val="auto"/>
          <w:u w:color="000000"/>
        </w:rPr>
        <w:t xml:space="preserve"> agrega aquí más detalles: “Cuando aparezca el infierno, lo hará como un caldero de metal; cuando aparezca el mundo humano, el útero de la madre aparecerá como una zapatilla de lana (</w:t>
      </w:r>
      <w:proofErr w:type="spellStart"/>
      <w:r w:rsidRPr="00DC1A5F">
        <w:rPr>
          <w:i/>
          <w:iCs/>
          <w:color w:val="auto"/>
          <w:u w:color="000000"/>
        </w:rPr>
        <w:t>kambala</w:t>
      </w:r>
      <w:proofErr w:type="spellEnd"/>
      <w:r w:rsidRPr="00DC1A5F">
        <w:rPr>
          <w:i/>
          <w:iCs/>
          <w:color w:val="auto"/>
          <w:u w:color="000000"/>
        </w:rPr>
        <w:t>–</w:t>
      </w:r>
      <w:proofErr w:type="spellStart"/>
      <w:r w:rsidRPr="00DC1A5F">
        <w:rPr>
          <w:i/>
          <w:iCs/>
          <w:color w:val="auto"/>
          <w:u w:color="000000"/>
        </w:rPr>
        <w:t>yāna</w:t>
      </w:r>
      <w:proofErr w:type="spellEnd"/>
      <w:r w:rsidRPr="00DC1A5F">
        <w:rPr>
          <w:color w:val="auto"/>
          <w:u w:color="000000"/>
        </w:rPr>
        <w:t xml:space="preserve">— para </w:t>
      </w:r>
      <w:proofErr w:type="spellStart"/>
      <w:r w:rsidRPr="00DC1A5F">
        <w:rPr>
          <w:i/>
          <w:iCs/>
          <w:color w:val="auto"/>
          <w:u w:color="000000"/>
        </w:rPr>
        <w:t>yāna</w:t>
      </w:r>
      <w:proofErr w:type="spellEnd"/>
      <w:r w:rsidRPr="00DC1A5F">
        <w:rPr>
          <w:color w:val="auto"/>
          <w:u w:color="000000"/>
        </w:rPr>
        <w:t xml:space="preserve"> como calzado o sandalias ver M–a III 222); cuando aparezca el mundo celestial, aparecerán árboles de los deseos, palacios y divanes divinos, etc.</w:t>
      </w:r>
    </w:p>
    <w:p w14:paraId="4FF6C10E" w14:textId="77777777" w:rsidR="00597DE2" w:rsidRPr="00DC1A5F" w:rsidRDefault="00597DE2" w:rsidP="00597DE2">
      <w:pPr>
        <w:pStyle w:val="PiedepginaLegal"/>
      </w:pPr>
      <w:r w:rsidRPr="00DC1A5F">
        <w:tab/>
      </w:r>
      <w:r w:rsidRPr="00DC1A5F">
        <w:tab/>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comenta aquí: “Con las palabras ‘la aparición del útero materno’, etc., solo se dará la apariencia visual como signo del destino. Aquí, en primer lugar, sería lógico que el sonido no se haya dado en los </w:t>
      </w:r>
      <w:r w:rsidRPr="00DC1A5F">
        <w:rPr>
          <w:i/>
          <w:iCs/>
          <w:color w:val="auto"/>
          <w:u w:color="000000"/>
        </w:rPr>
        <w:t>Comentarios</w:t>
      </w:r>
      <w:r w:rsidRPr="00DC1A5F">
        <w:rPr>
          <w:color w:val="auto"/>
          <w:u w:color="000000"/>
        </w:rPr>
        <w:t xml:space="preserve"> como signo del destino porque esto estará incluido en los destinos felices como no–apegado–a, sino como razón para el olor, etc., al no haber sido dado, será investigado”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mhṭ</w:t>
      </w:r>
      <w:proofErr w:type="spellEnd"/>
      <w:r w:rsidRPr="00DC1A5F">
        <w:rPr>
          <w:color w:val="auto"/>
          <w:u w:color="000000"/>
        </w:rPr>
        <w:t xml:space="preserve"> 609).</w:t>
      </w:r>
      <w:r w:rsidRPr="00DC1A5F">
        <w:rPr>
          <w:color w:val="833C0B" w:themeColor="accent2" w:themeShade="80"/>
          <w:u w:color="000000"/>
        </w:rPr>
        <w:t xml:space="preserve"> </w:t>
      </w:r>
      <w:r w:rsidRPr="00DC1A5F">
        <w:t xml:space="preserve">De hecho, esta cuestión se trata extensamente en el </w:t>
      </w:r>
      <w:proofErr w:type="spellStart"/>
      <w:r w:rsidRPr="00DC1A5F">
        <w:t>Vism</w:t>
      </w:r>
      <w:proofErr w:type="spellEnd"/>
      <w:r w:rsidRPr="00DC1A5F">
        <w:t>–</w:t>
      </w:r>
      <w:proofErr w:type="spellStart"/>
      <w:r w:rsidRPr="00DC1A5F">
        <w:t>mhṭ</w:t>
      </w:r>
      <w:proofErr w:type="spellEnd"/>
      <w:r w:rsidRPr="00DC1A5F">
        <w:t xml:space="preserve"> 611, no obstante, los argumentos no se reproducirán aquí. Véase la nota 26 a continuación.</w:t>
      </w:r>
    </w:p>
    <w:p w14:paraId="4859049C" w14:textId="77777777" w:rsidR="00597DE2" w:rsidRPr="00DC1A5F" w:rsidRDefault="00597DE2" w:rsidP="00597DE2">
      <w:pPr>
        <w:tabs>
          <w:tab w:val="clear" w:pos="425"/>
        </w:tabs>
        <w:spacing w:after="160"/>
      </w:pPr>
      <w:r w:rsidRPr="00DC1A5F">
        <w:br w:type="page"/>
      </w:r>
    </w:p>
    <w:p w14:paraId="1A12BC4D" w14:textId="77777777" w:rsidR="00597DE2" w:rsidRPr="00DC1A5F" w:rsidRDefault="00597DE2" w:rsidP="00597DE2">
      <w:pPr>
        <w:pStyle w:val="Textoindependiente"/>
      </w:pPr>
      <w:r w:rsidRPr="00DC1A5F">
        <w:lastRenderedPageBreak/>
        <w:t xml:space="preserve">excelsa, [551] o bien surgirá el enfoque en un objeto visual superior o del oído, el cual será una causa para un renacimiento productivo. Cuando las consciencias que se acaben de determinar hayan surgido en la debida sucesión, surgirán en él impulsos en número de cinco a causa de la desaceleración debido a la cercanía de la muerte. No obstante, en los que pertenezcan a un destino excelso no habrá registro. De modo que una consciencia de la muerte surgirá al lado del impulso y hará del campo objetivo del continuum vital su objeto. Al final de ello, surgirá la consciencia de renacimiento ubicada en uno de los destinos felices de la esfera sensorial o de las esferas excelsas y teniendo como objeto cualquiera de los mencionados objetos que haya aparecido. Éste será el tipo de vínculo–de–renacimiento con un objeto pasado, presente o </w:t>
      </w:r>
      <w:r w:rsidRPr="00DC1A5F">
        <w:rPr>
          <w:i/>
          <w:iCs/>
        </w:rPr>
        <w:t>no tan clasificable</w:t>
      </w:r>
      <w:r w:rsidRPr="00DC1A5F">
        <w:t xml:space="preserve"> junto a la consciencia de la muerte en un destino feliz con un objeto </w:t>
      </w:r>
      <w:r w:rsidRPr="00DC1A5F">
        <w:rPr>
          <w:i/>
          <w:iCs/>
        </w:rPr>
        <w:t>no tan clasificable</w:t>
      </w:r>
      <w:r w:rsidRPr="00DC1A5F">
        <w:t>.</w:t>
      </w:r>
    </w:p>
    <w:p w14:paraId="5BCE9177" w14:textId="77777777" w:rsidR="00597DE2" w:rsidRPr="00DC1A5F" w:rsidRDefault="00597DE2" w:rsidP="00597DE2">
      <w:r w:rsidRPr="00DC1A5F">
        <w:t xml:space="preserve">144. </w:t>
      </w:r>
      <w:r w:rsidRPr="00DC1A5F">
        <w:tab/>
        <w:t xml:space="preserve">El vínculo–de–renacimiento junto a la muerte en la esfera inmaterial también deberá entenderse de esta manera. Es así como se producirá el vínculo–de–renacimiento con un objeto </w:t>
      </w:r>
      <w:r w:rsidRPr="00DC1A5F">
        <w:rPr>
          <w:i/>
          <w:iCs/>
        </w:rPr>
        <w:t>pasado</w:t>
      </w:r>
      <w:r w:rsidRPr="00DC1A5F">
        <w:t xml:space="preserve">, </w:t>
      </w:r>
      <w:r w:rsidRPr="00DC1A5F">
        <w:rPr>
          <w:i/>
          <w:iCs/>
        </w:rPr>
        <w:t>presente</w:t>
      </w:r>
      <w:r w:rsidRPr="00DC1A5F">
        <w:t xml:space="preserve"> o </w:t>
      </w:r>
      <w:r w:rsidRPr="00DC1A5F">
        <w:rPr>
          <w:i/>
          <w:iCs/>
        </w:rPr>
        <w:t>no tan clasificable</w:t>
      </w:r>
      <w:r w:rsidRPr="00DC1A5F">
        <w:t xml:space="preserve"> junto a la consciencia de la muerte en un destino feliz con un objeto pasado o </w:t>
      </w:r>
      <w:r w:rsidRPr="00DC1A5F">
        <w:rPr>
          <w:i/>
          <w:iCs/>
        </w:rPr>
        <w:t>no tan clasificable</w:t>
      </w:r>
      <w:r w:rsidRPr="00DC1A5F">
        <w:t>.</w:t>
      </w:r>
    </w:p>
    <w:p w14:paraId="1EAF649D" w14:textId="77777777" w:rsidR="00597DE2" w:rsidRPr="00DC1A5F" w:rsidRDefault="00597DE2" w:rsidP="00597DE2">
      <w:r w:rsidRPr="00DC1A5F">
        <w:t xml:space="preserve">145. </w:t>
      </w:r>
      <w:r w:rsidRPr="00DC1A5F">
        <w:tab/>
        <w:t>[</w:t>
      </w:r>
      <w:r w:rsidRPr="00DC1A5F">
        <w:rPr>
          <w:i/>
          <w:iCs/>
        </w:rPr>
        <w:t>Desde un destino infeliz hacia otro destino infeliz</w:t>
      </w:r>
      <w:r w:rsidRPr="00DC1A5F">
        <w:t xml:space="preserve">.] En el caso de alguien que en un destino infeliz presente sea un perpetrador del mal, ese </w:t>
      </w:r>
      <w:proofErr w:type="spellStart"/>
      <w:r w:rsidRPr="00DC1A5F">
        <w:rPr>
          <w:i/>
        </w:rPr>
        <w:t>kamma</w:t>
      </w:r>
      <w:proofErr w:type="spellEnd"/>
      <w:r w:rsidRPr="00DC1A5F">
        <w:t xml:space="preserve">, o su signo, o el signo del destino, se enfocará en la puerta mental, o en las cinco puertas, como el objeto que será la causa de un renacimiento improductivo. Entonces la consciencia del vínculo–de–renacimiento surgirá en la debida sucesión al final de la consciencia de la muerte y se dirigirá hacia un destino infeliz y con uno de esos objetos como su objeto. Es así como se producirá el vínculo–de–renacimiento con un objeto pasado o presente junto a la muerte en un destino infeliz con un objeto </w:t>
      </w:r>
      <w:r w:rsidRPr="00DC1A5F">
        <w:rPr>
          <w:i/>
          <w:iCs/>
        </w:rPr>
        <w:t>pasado</w:t>
      </w:r>
      <w:r w:rsidRPr="00DC1A5F">
        <w:t>.</w:t>
      </w:r>
    </w:p>
    <w:p w14:paraId="49B3A178" w14:textId="77777777" w:rsidR="00597DE2" w:rsidRPr="00DC1A5F" w:rsidRDefault="00597DE2" w:rsidP="00597DE2">
      <w:pPr>
        <w:pStyle w:val="Ttulo8"/>
      </w:pPr>
      <w:r w:rsidRPr="00DC1A5F">
        <w:t xml:space="preserve">[Cómo el </w:t>
      </w:r>
      <w:proofErr w:type="spellStart"/>
      <w:r w:rsidRPr="00DC1A5F">
        <w:t>Kamma</w:t>
      </w:r>
      <w:proofErr w:type="spellEnd"/>
      <w:r w:rsidRPr="00DC1A5F">
        <w:t xml:space="preserve"> Será una Condición]</w:t>
      </w:r>
    </w:p>
    <w:p w14:paraId="0B46488C" w14:textId="77777777" w:rsidR="00597DE2" w:rsidRPr="00DC1A5F" w:rsidRDefault="00597DE2" w:rsidP="00597DE2">
      <w:pPr>
        <w:pStyle w:val="Textoindependiente"/>
      </w:pPr>
      <w:r w:rsidRPr="00DC1A5F">
        <w:t xml:space="preserve">146. </w:t>
      </w:r>
      <w:r w:rsidRPr="00DC1A5F">
        <w:tab/>
        <w:t xml:space="preserve">Hasta </w:t>
      </w:r>
      <w:r w:rsidRPr="00DC1A5F">
        <w:rPr>
          <w:i/>
          <w:iCs/>
        </w:rPr>
        <w:t>este</w:t>
      </w:r>
      <w:r w:rsidRPr="00DC1A5F">
        <w:t xml:space="preserve"> punto se ha mostrado la ocurrencia de las 19 consciencias como vínculo–de–renacimiento. También todo esto se clasificará además así:</w:t>
      </w:r>
    </w:p>
    <w:p w14:paraId="2259CF12" w14:textId="77777777" w:rsidR="00597DE2" w:rsidRPr="00DC1A5F" w:rsidRDefault="00597DE2" w:rsidP="00597DE2">
      <w:pPr>
        <w:pStyle w:val="VersoIngls01Sangria"/>
        <w:rPr>
          <w:sz w:val="16"/>
          <w:szCs w:val="20"/>
        </w:rPr>
      </w:pPr>
      <w:r w:rsidRPr="00DC1A5F">
        <w:rPr>
          <w:sz w:val="16"/>
          <w:szCs w:val="20"/>
        </w:rPr>
        <w:t>Si bien ocurrirá así el vínculo,</w:t>
      </w:r>
    </w:p>
    <w:p w14:paraId="6A699F75" w14:textId="77777777" w:rsidR="00597DE2" w:rsidRPr="00DC1A5F" w:rsidRDefault="00597DE2" w:rsidP="00597DE2">
      <w:pPr>
        <w:pStyle w:val="VersoIngls01Sangria"/>
        <w:rPr>
          <w:sz w:val="16"/>
          <w:szCs w:val="20"/>
        </w:rPr>
      </w:pPr>
      <w:r w:rsidRPr="00DC1A5F">
        <w:rPr>
          <w:sz w:val="16"/>
          <w:szCs w:val="20"/>
        </w:rPr>
        <w:t>Poseerá una clase doble próxima</w:t>
      </w:r>
    </w:p>
    <w:p w14:paraId="71173500" w14:textId="77777777" w:rsidR="00597DE2" w:rsidRPr="00DC1A5F" w:rsidRDefault="00597DE2" w:rsidP="00597DE2">
      <w:pPr>
        <w:pStyle w:val="VersoIngls01Sangria"/>
        <w:rPr>
          <w:sz w:val="16"/>
          <w:szCs w:val="20"/>
        </w:rPr>
      </w:pPr>
      <w:r w:rsidRPr="00DC1A5F">
        <w:rPr>
          <w:sz w:val="16"/>
          <w:szCs w:val="20"/>
        </w:rPr>
        <w:t xml:space="preserve">A través del </w:t>
      </w:r>
      <w:proofErr w:type="spellStart"/>
      <w:r w:rsidRPr="00DC1A5F">
        <w:rPr>
          <w:i/>
          <w:sz w:val="16"/>
          <w:szCs w:val="20"/>
        </w:rPr>
        <w:t>kamma</w:t>
      </w:r>
      <w:proofErr w:type="spellEnd"/>
      <w:r w:rsidRPr="00DC1A5F">
        <w:rPr>
          <w:sz w:val="16"/>
          <w:szCs w:val="20"/>
        </w:rPr>
        <w:t xml:space="preserve">, y ​​como mixta y no–mixta, </w:t>
      </w:r>
    </w:p>
    <w:p w14:paraId="2259379D" w14:textId="77777777" w:rsidR="00597DE2" w:rsidRPr="00DC1A5F" w:rsidRDefault="00597DE2" w:rsidP="00597DE2">
      <w:pPr>
        <w:pStyle w:val="VersoIngls01Sangria"/>
        <w:spacing w:after="100"/>
        <w:ind w:left="1418"/>
        <w:rPr>
          <w:sz w:val="16"/>
          <w:szCs w:val="20"/>
        </w:rPr>
      </w:pPr>
      <w:r w:rsidRPr="00DC1A5F">
        <w:rPr>
          <w:sz w:val="16"/>
          <w:szCs w:val="20"/>
        </w:rPr>
        <w:t>Y se clasificará aún más.</w:t>
      </w:r>
    </w:p>
    <w:p w14:paraId="53B74A31" w14:textId="77777777" w:rsidR="00597DE2" w:rsidRPr="00DC1A5F" w:rsidRDefault="00597DE2" w:rsidP="00597DE2">
      <w:r w:rsidRPr="00DC1A5F">
        <w:t xml:space="preserve">147. </w:t>
      </w:r>
      <w:r w:rsidRPr="00DC1A5F">
        <w:tab/>
        <w:t xml:space="preserve">Cuando estas 19 consciencias resultantes del </w:t>
      </w:r>
      <w:proofErr w:type="spellStart"/>
      <w:r w:rsidRPr="00DC1A5F">
        <w:rPr>
          <w:i/>
        </w:rPr>
        <w:t>kamma</w:t>
      </w:r>
      <w:proofErr w:type="spellEnd"/>
      <w:r w:rsidRPr="00DC1A5F">
        <w:t xml:space="preserve"> ocurran así en el vínculo–de–renacimiento, lo hará por medio del </w:t>
      </w:r>
      <w:proofErr w:type="spellStart"/>
      <w:r w:rsidRPr="00DC1A5F">
        <w:rPr>
          <w:i/>
        </w:rPr>
        <w:t>kamma</w:t>
      </w:r>
      <w:proofErr w:type="spellEnd"/>
      <w:r w:rsidRPr="00DC1A5F">
        <w:t xml:space="preserve"> de dos maneras; pues de acuerdo a la forma en que ocurra el </w:t>
      </w:r>
      <w:proofErr w:type="spellStart"/>
      <w:r w:rsidRPr="00DC1A5F">
        <w:rPr>
          <w:i/>
        </w:rPr>
        <w:t>kamma</w:t>
      </w:r>
      <w:proofErr w:type="spellEnd"/>
      <w:r w:rsidRPr="00DC1A5F">
        <w:t xml:space="preserve"> que lo genere, el </w:t>
      </w:r>
      <w:proofErr w:type="spellStart"/>
      <w:r w:rsidRPr="00DC1A5F">
        <w:rPr>
          <w:i/>
        </w:rPr>
        <w:t>kamma</w:t>
      </w:r>
      <w:proofErr w:type="spellEnd"/>
      <w:r w:rsidRPr="00DC1A5F">
        <w:t xml:space="preserve"> podrá ser su condición tanto como condición de </w:t>
      </w:r>
      <w:proofErr w:type="spellStart"/>
      <w:r w:rsidRPr="00DC1A5F">
        <w:rPr>
          <w:i/>
        </w:rPr>
        <w:t>kamma</w:t>
      </w:r>
      <w:proofErr w:type="spellEnd"/>
      <w:r w:rsidRPr="00DC1A5F">
        <w:t xml:space="preserve"> que actuará desde un momento diferente como condición de soporte decisivo, ya que esto se dice al respecto: “El </w:t>
      </w:r>
      <w:proofErr w:type="spellStart"/>
      <w:r w:rsidRPr="00DC1A5F">
        <w:rPr>
          <w:i/>
        </w:rPr>
        <w:t>kamma</w:t>
      </w:r>
      <w:proofErr w:type="spellEnd"/>
      <w:r w:rsidRPr="00DC1A5F">
        <w:t xml:space="preserve"> productivo… e improductivo será una condición, como condición de soporte decisivo, para su resultado” (</w:t>
      </w:r>
      <w:proofErr w:type="spellStart"/>
      <w:r w:rsidRPr="00DC1A5F">
        <w:t>Paṭṭh</w:t>
      </w:r>
      <w:proofErr w:type="spellEnd"/>
      <w:r w:rsidRPr="00DC1A5F">
        <w:t xml:space="preserve"> I 167, 169).</w:t>
      </w:r>
    </w:p>
    <w:p w14:paraId="39A61092" w14:textId="77777777" w:rsidR="00597DE2" w:rsidRPr="00DC1A5F" w:rsidRDefault="00597DE2" w:rsidP="00597DE2">
      <w:r w:rsidRPr="00DC1A5F">
        <w:t xml:space="preserve">148. </w:t>
      </w:r>
      <w:r w:rsidRPr="00DC1A5F">
        <w:tab/>
        <w:t xml:space="preserve">Debe entenderse que cuando ocurra así, sus </w:t>
      </w:r>
      <w:r w:rsidRPr="00DC1A5F">
        <w:rPr>
          <w:i/>
          <w:iCs/>
        </w:rPr>
        <w:t>dos</w:t>
      </w:r>
      <w:r w:rsidRPr="00DC1A5F">
        <w:t xml:space="preserve"> </w:t>
      </w:r>
      <w:r w:rsidRPr="00DC1A5F">
        <w:rPr>
          <w:i/>
          <w:iCs/>
        </w:rPr>
        <w:t>clases</w:t>
      </w:r>
      <w:r w:rsidRPr="00DC1A5F">
        <w:t>, etc., será mixta y no</w:t>
      </w:r>
      <w:r w:rsidRPr="00DC1A5F">
        <w:rPr>
          <w:sz w:val="16"/>
          <w:szCs w:val="20"/>
        </w:rPr>
        <w:t>–</w:t>
      </w:r>
      <w:r w:rsidRPr="00DC1A5F">
        <w:t xml:space="preserve">mixta, y podrá ser </w:t>
      </w:r>
      <w:r w:rsidRPr="00DC1A5F">
        <w:rPr>
          <w:i/>
          <w:iCs/>
        </w:rPr>
        <w:t>aún más clasificable</w:t>
      </w:r>
      <w:r w:rsidRPr="00DC1A5F">
        <w:t>.</w:t>
      </w:r>
    </w:p>
    <w:p w14:paraId="32D6718E" w14:textId="77777777" w:rsidR="00597DE2" w:rsidRPr="00DC1A5F" w:rsidRDefault="00597DE2" w:rsidP="00597DE2">
      <w:pPr>
        <w:pStyle w:val="NormalConSangria"/>
      </w:pPr>
      <w:r w:rsidRPr="00DC1A5F">
        <w:t>Por ejemplo: aunque este tipo de consciencia ocurra de una sola manera como un vínculo–de–renacimiento, todavía será de dos clases, ya que se dividirá en mixta y no</w:t>
      </w:r>
      <w:r w:rsidRPr="00DC1A5F">
        <w:rPr>
          <w:sz w:val="16"/>
          <w:szCs w:val="20"/>
        </w:rPr>
        <w:t>–</w:t>
      </w:r>
      <w:r w:rsidRPr="00DC1A5F">
        <w:t xml:space="preserve">mixta con materialidad; [552] será de tres clases según se divida en el deseo sensorial, el devenir material y el </w:t>
      </w:r>
    </w:p>
    <w:p w14:paraId="67CF171F" w14:textId="77777777" w:rsidR="00597DE2" w:rsidRPr="00DC1A5F" w:rsidRDefault="00597DE2" w:rsidP="00597DE2">
      <w:pPr>
        <w:tabs>
          <w:tab w:val="clear" w:pos="425"/>
        </w:tabs>
        <w:spacing w:after="160"/>
      </w:pPr>
      <w:r w:rsidRPr="00DC1A5F">
        <w:br w:type="page"/>
      </w:r>
    </w:p>
    <w:p w14:paraId="0EB6E57E" w14:textId="77777777" w:rsidR="00597DE2" w:rsidRPr="00DC1A5F" w:rsidRDefault="00597DE2" w:rsidP="00597DE2">
      <w:pPr>
        <w:pStyle w:val="Textoindependiente"/>
      </w:pPr>
      <w:r w:rsidRPr="00DC1A5F">
        <w:lastRenderedPageBreak/>
        <w:t xml:space="preserve">inmaterial (M I 50); será de cuatro clases como surgida de un huevo, nacida de un útero, nacida de la putrefacción (de la humedad) y mediante una generación </w:t>
      </w:r>
      <w:proofErr w:type="spellStart"/>
      <w:r w:rsidRPr="00DC1A5F">
        <w:t>aparicional</w:t>
      </w:r>
      <w:proofErr w:type="spellEnd"/>
      <w:r w:rsidRPr="00DC1A5F">
        <w:t xml:space="preserve"> (M I 73); será de cinco clases según el destino (M I 73); será de siete clases según los estados de consciencia (D III 253), y de ocho clases según los planos de los seres, excluyendo a aquellos seres no percipientes (ver D III 263).</w:t>
      </w:r>
    </w:p>
    <w:p w14:paraId="198ED576" w14:textId="77777777" w:rsidR="00597DE2" w:rsidRPr="00DC1A5F" w:rsidRDefault="00597DE2" w:rsidP="00597DE2">
      <w:pPr>
        <w:pStyle w:val="Textoindependiente"/>
      </w:pPr>
      <w:r w:rsidRPr="00DC1A5F">
        <w:t xml:space="preserve">149. </w:t>
      </w:r>
      <w:r w:rsidRPr="00DC1A5F">
        <w:tab/>
        <w:t>Al respecto:</w:t>
      </w:r>
    </w:p>
    <w:p w14:paraId="179FDCAC" w14:textId="77777777" w:rsidR="00597DE2" w:rsidRPr="00DC1A5F" w:rsidRDefault="00597DE2" w:rsidP="00597DE2">
      <w:pPr>
        <w:pStyle w:val="VersoIngls01Sangria"/>
        <w:rPr>
          <w:sz w:val="16"/>
          <w:szCs w:val="20"/>
        </w:rPr>
      </w:pPr>
      <w:r w:rsidRPr="00DC1A5F">
        <w:rPr>
          <w:sz w:val="16"/>
          <w:szCs w:val="20"/>
        </w:rPr>
        <w:t>La clase mixta será de dos clases, sexuada y no,</w:t>
      </w:r>
    </w:p>
    <w:p w14:paraId="6AE16CED" w14:textId="77777777" w:rsidR="00597DE2" w:rsidRPr="00DC1A5F" w:rsidRDefault="00597DE2" w:rsidP="00597DE2">
      <w:pPr>
        <w:pStyle w:val="VersoIngls01Sangria"/>
        <w:rPr>
          <w:sz w:val="16"/>
          <w:szCs w:val="20"/>
        </w:rPr>
      </w:pPr>
      <w:r w:rsidRPr="00DC1A5F">
        <w:rPr>
          <w:sz w:val="16"/>
          <w:szCs w:val="20"/>
        </w:rPr>
        <w:t>Y la sexuada será también de dos clases;</w:t>
      </w:r>
    </w:p>
    <w:p w14:paraId="651CB403" w14:textId="77777777" w:rsidR="00597DE2" w:rsidRPr="00DC1A5F" w:rsidRDefault="00597DE2" w:rsidP="00597DE2">
      <w:pPr>
        <w:pStyle w:val="VersoIngls01Sangria"/>
        <w:rPr>
          <w:sz w:val="16"/>
          <w:szCs w:val="20"/>
        </w:rPr>
      </w:pPr>
      <w:r w:rsidRPr="00DC1A5F">
        <w:rPr>
          <w:sz w:val="16"/>
          <w:szCs w:val="20"/>
        </w:rPr>
        <w:t xml:space="preserve">El último décuplo que posea la primera </w:t>
      </w:r>
    </w:p>
    <w:p w14:paraId="1932B0EE" w14:textId="77777777" w:rsidR="00597DE2" w:rsidRPr="00DC1A5F" w:rsidRDefault="00597DE2" w:rsidP="00597DE2">
      <w:pPr>
        <w:pStyle w:val="VersoIngls01Sangria"/>
        <w:spacing w:after="100"/>
        <w:ind w:left="1418"/>
        <w:rPr>
          <w:sz w:val="16"/>
          <w:szCs w:val="20"/>
        </w:rPr>
      </w:pPr>
      <w:r w:rsidRPr="00DC1A5F">
        <w:rPr>
          <w:sz w:val="16"/>
          <w:szCs w:val="20"/>
        </w:rPr>
        <w:t>Serán de tes y dos, respectivamente.</w:t>
      </w:r>
    </w:p>
    <w:p w14:paraId="48BA6C22" w14:textId="77777777" w:rsidR="00597DE2" w:rsidRPr="00DC1A5F" w:rsidRDefault="00597DE2" w:rsidP="00597DE2">
      <w:pPr>
        <w:pStyle w:val="Textoindependiente"/>
      </w:pPr>
      <w:r w:rsidRPr="00DC1A5F">
        <w:t xml:space="preserve">150. </w:t>
      </w:r>
      <w:r w:rsidRPr="00DC1A5F">
        <w:tab/>
      </w:r>
      <w:r w:rsidRPr="00DC1A5F">
        <w:rPr>
          <w:i/>
          <w:iCs/>
        </w:rPr>
        <w:t>La mixta será de dos clases, sexuada y no</w:t>
      </w:r>
      <w:r w:rsidRPr="00DC1A5F">
        <w:rPr>
          <w:sz w:val="16"/>
          <w:szCs w:val="20"/>
        </w:rPr>
        <w:t>–</w:t>
      </w:r>
      <w:r w:rsidRPr="00DC1A5F">
        <w:rPr>
          <w:i/>
          <w:iCs/>
        </w:rPr>
        <w:t>sexuada</w:t>
      </w:r>
      <w:r w:rsidRPr="00DC1A5F">
        <w:t>: esa consciencia del vínculo–de–renacimiento que, dejando a un lado al devenir inmaterial, surgirá aquí mezclada con materialidad, será de dos clases. como “sexuada” y “no–sexuada”,</w:t>
      </w:r>
      <w:r w:rsidRPr="00DC1A5F">
        <w:rPr>
          <w:vertAlign w:val="superscript"/>
        </w:rPr>
        <w:t>25</w:t>
      </w:r>
      <w:r w:rsidRPr="00DC1A5F">
        <w:t xml:space="preserve"> ya que surgirá en la esfera material sutil sin sexo, conocida como la facultad de la feminidad y la facultad de masculinidad, y porque —dejando a un lado el vínculo–de–renacimiento de alguien nacido como eunuco— surgirá en la esfera sensorial junto con esos dos sexos.</w:t>
      </w:r>
    </w:p>
    <w:p w14:paraId="32D32DBE" w14:textId="77777777" w:rsidR="00597DE2" w:rsidRPr="00DC1A5F" w:rsidRDefault="00597DE2" w:rsidP="00597DE2">
      <w:pPr>
        <w:pStyle w:val="NormalConSangria"/>
      </w:pPr>
      <w:r w:rsidRPr="00DC1A5F">
        <w:t>Y esa consciencia sexuada también será de dos clases: aquella también sexuada ahí será de dos clases, ya que surgirá en asociación con el sexo femenino o masculino.</w:t>
      </w:r>
    </w:p>
    <w:p w14:paraId="6A8EA03F" w14:textId="77777777" w:rsidR="00597DE2" w:rsidRPr="00DC1A5F" w:rsidRDefault="00597DE2" w:rsidP="00597DE2">
      <w:r w:rsidRPr="00DC1A5F">
        <w:t xml:space="preserve">151. </w:t>
      </w:r>
      <w:r w:rsidRPr="00DC1A5F">
        <w:tab/>
      </w:r>
      <w:r w:rsidRPr="00DC1A5F">
        <w:rPr>
          <w:i/>
          <w:iCs/>
        </w:rPr>
        <w:t>El último décuplo que posea la primera serán, respectivamente, de tres y dos</w:t>
      </w:r>
      <w:r w:rsidRPr="00DC1A5F">
        <w:t>: junto con la consciencia del vínculo–de–renacimiento que estará mezclada con materialidad y que vendrá primero en el par “mixta y no</w:t>
      </w:r>
      <w:r w:rsidRPr="00DC1A5F">
        <w:rPr>
          <w:sz w:val="16"/>
          <w:szCs w:val="20"/>
        </w:rPr>
        <w:t>–</w:t>
      </w:r>
      <w:r w:rsidRPr="00DC1A5F">
        <w:t>mixta”, surgirán, al menos, dos subdivisiones (ver 18.5f.) de la base física y el cuerpo, o bien tres subdivisiones de la base física, el cuerpo y el sexo. No se podrá reducir la materialidad por debajo de ello.</w:t>
      </w:r>
    </w:p>
    <w:p w14:paraId="7CA68300" w14:textId="77777777" w:rsidR="00597DE2" w:rsidRPr="00DC1A5F" w:rsidRDefault="00597DE2" w:rsidP="00597DE2">
      <w:r w:rsidRPr="00DC1A5F">
        <w:t xml:space="preserve">152. </w:t>
      </w:r>
      <w:r w:rsidRPr="00DC1A5F">
        <w:tab/>
        <w:t xml:space="preserve">No obstante, cuando esa cantidad mínima surja en los dos tipos de generación denominados nacimiento de un huevo y nacimiento de un útero, no será más que una gota de crema de </w:t>
      </w:r>
      <w:proofErr w:type="spellStart"/>
      <w:r w:rsidRPr="00DC1A5F">
        <w:rPr>
          <w:i/>
          <w:iCs/>
        </w:rPr>
        <w:t>ghee</w:t>
      </w:r>
      <w:proofErr w:type="spellEnd"/>
      <w:r w:rsidRPr="00DC1A5F">
        <w:t xml:space="preserve"> en una sola fibra de lana del bebé y será conocido como el “embrión en la primera etapa” (S I 206).</w:t>
      </w:r>
    </w:p>
    <w:p w14:paraId="1AFC8958" w14:textId="77777777" w:rsidR="00597DE2" w:rsidRPr="00DC1A5F" w:rsidRDefault="00597DE2" w:rsidP="00597DE2">
      <w:r w:rsidRPr="00DC1A5F">
        <w:t xml:space="preserve">153. </w:t>
      </w:r>
      <w:r w:rsidRPr="00DC1A5F">
        <w:tab/>
        <w:t>Aquí podrá entenderse cómo se producirán las diversas clases de generación según la clase del destino. Ya que en lo referido a estos se dice:</w:t>
      </w:r>
    </w:p>
    <w:p w14:paraId="652DAFA3" w14:textId="77777777" w:rsidR="00597DE2" w:rsidRPr="00DC1A5F" w:rsidRDefault="00597DE2" w:rsidP="00597DE2">
      <w:pPr>
        <w:pStyle w:val="VersoIngls01Sangria"/>
        <w:rPr>
          <w:sz w:val="16"/>
          <w:szCs w:val="20"/>
        </w:rPr>
      </w:pPr>
      <w:r w:rsidRPr="00DC1A5F">
        <w:rPr>
          <w:sz w:val="16"/>
          <w:szCs w:val="20"/>
        </w:rPr>
        <w:t>No se darán las tres primeras generaciones</w:t>
      </w:r>
    </w:p>
    <w:p w14:paraId="24B7E2AC" w14:textId="77777777" w:rsidR="00597DE2" w:rsidRPr="00DC1A5F" w:rsidRDefault="00597DE2" w:rsidP="00597DE2">
      <w:pPr>
        <w:pStyle w:val="VersoIngls01Sangria"/>
        <w:rPr>
          <w:sz w:val="16"/>
          <w:szCs w:val="20"/>
        </w:rPr>
      </w:pPr>
      <w:r w:rsidRPr="00DC1A5F">
        <w:rPr>
          <w:sz w:val="16"/>
          <w:szCs w:val="20"/>
        </w:rPr>
        <w:t>En el infierno, o con las deidades,</w:t>
      </w:r>
    </w:p>
    <w:p w14:paraId="3D7FADE3" w14:textId="77777777" w:rsidR="00597DE2" w:rsidRPr="00DC1A5F" w:rsidRDefault="00597DE2" w:rsidP="00597DE2">
      <w:pPr>
        <w:pStyle w:val="VersoIngls01Sangria"/>
        <w:rPr>
          <w:sz w:val="16"/>
          <w:szCs w:val="20"/>
        </w:rPr>
      </w:pPr>
      <w:r w:rsidRPr="00DC1A5F">
        <w:rPr>
          <w:sz w:val="16"/>
          <w:szCs w:val="20"/>
        </w:rPr>
        <w:t xml:space="preserve">Salvo en las de la tierra; las cuatro se encontrarán </w:t>
      </w:r>
    </w:p>
    <w:p w14:paraId="663EA94A" w14:textId="77777777" w:rsidR="00597DE2" w:rsidRPr="00DC1A5F" w:rsidRDefault="00597DE2" w:rsidP="00597DE2">
      <w:pPr>
        <w:pStyle w:val="VersoIngls01Sangria"/>
        <w:spacing w:after="100"/>
        <w:ind w:left="1418"/>
        <w:rPr>
          <w:sz w:val="16"/>
          <w:szCs w:val="20"/>
        </w:rPr>
      </w:pPr>
      <w:r w:rsidRPr="00DC1A5F">
        <w:rPr>
          <w:sz w:val="16"/>
          <w:szCs w:val="20"/>
        </w:rPr>
        <w:t>En los otros tres destinos.</w:t>
      </w:r>
    </w:p>
    <w:p w14:paraId="0CF17532" w14:textId="77777777" w:rsidR="00597DE2" w:rsidRPr="00DC1A5F" w:rsidRDefault="00597DE2" w:rsidP="00597DE2">
      <w:r w:rsidRPr="00DC1A5F">
        <w:t xml:space="preserve">154. </w:t>
      </w:r>
      <w:r w:rsidRPr="00DC1A5F">
        <w:tab/>
        <w:t xml:space="preserve">Aquí, por las palabras </w:t>
      </w:r>
      <w:r w:rsidRPr="00DC1A5F">
        <w:rPr>
          <w:i/>
          <w:iCs/>
        </w:rPr>
        <w:t>deidades</w:t>
      </w:r>
      <w:r w:rsidRPr="00DC1A5F">
        <w:t xml:space="preserve"> deberá entenderse que, así como en el infierno y como entre las deidades —excepto las de la tierra—, así también entre los fantasmas consumidos por la sed, no se encontrarán las tres primeras clases de generación; porque corresponderán a sólo </w:t>
      </w:r>
      <w:proofErr w:type="spellStart"/>
      <w:r w:rsidRPr="00DC1A5F">
        <w:t>aparicionales</w:t>
      </w:r>
      <w:proofErr w:type="spellEnd"/>
      <w:r w:rsidRPr="00DC1A5F">
        <w:t>. No obstante, en los tres tipos restantes de destino, en otras palabras, entre los animales, los fantasmas y los seres humanos, y entre las deidades terrestres excepto las de arriba, existirán cuatro tipos de generación.</w:t>
      </w:r>
    </w:p>
    <w:p w14:paraId="2629B59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9272A35" w14:textId="77777777" w:rsidR="00597DE2" w:rsidRPr="00DC1A5F" w:rsidRDefault="00597DE2" w:rsidP="00597DE2">
      <w:pPr>
        <w:pStyle w:val="PiedepginaLegal"/>
        <w:numPr>
          <w:ilvl w:val="0"/>
          <w:numId w:val="6"/>
        </w:numPr>
        <w:tabs>
          <w:tab w:val="clear" w:pos="425"/>
        </w:tabs>
        <w:ind w:left="284" w:hanging="284"/>
      </w:pPr>
      <w:r w:rsidRPr="00DC1A5F">
        <w:rPr>
          <w:i/>
          <w:iCs/>
        </w:rPr>
        <w:t>Sa–</w:t>
      </w:r>
      <w:proofErr w:type="spellStart"/>
      <w:r w:rsidRPr="00DC1A5F">
        <w:rPr>
          <w:i/>
          <w:iCs/>
        </w:rPr>
        <w:t>bhāva</w:t>
      </w:r>
      <w:proofErr w:type="spellEnd"/>
      <w:r w:rsidRPr="00DC1A5F">
        <w:t xml:space="preserve"> (con sexo) y </w:t>
      </w:r>
      <w:r w:rsidRPr="00DC1A5F">
        <w:rPr>
          <w:i/>
          <w:iCs/>
        </w:rPr>
        <w:t>a</w:t>
      </w:r>
      <w:r w:rsidRPr="00DC1A5F">
        <w:t>–</w:t>
      </w:r>
      <w:proofErr w:type="spellStart"/>
      <w:r w:rsidRPr="00DC1A5F">
        <w:rPr>
          <w:i/>
          <w:iCs/>
        </w:rPr>
        <w:t>bhāva</w:t>
      </w:r>
      <w:proofErr w:type="spellEnd"/>
      <w:r w:rsidRPr="00DC1A5F">
        <w:t xml:space="preserve"> (sin sexo) no deben confundirse con </w:t>
      </w:r>
      <w:proofErr w:type="spellStart"/>
      <w:r w:rsidRPr="00DC1A5F">
        <w:rPr>
          <w:i/>
          <w:iCs/>
        </w:rPr>
        <w:t>sabhāva</w:t>
      </w:r>
      <w:proofErr w:type="spellEnd"/>
      <w:r w:rsidRPr="00DC1A5F">
        <w:t xml:space="preserve"> (esencia individual) y </w:t>
      </w:r>
      <w:proofErr w:type="spellStart"/>
      <w:r w:rsidRPr="00DC1A5F">
        <w:rPr>
          <w:i/>
          <w:iCs/>
        </w:rPr>
        <w:t>abhāva</w:t>
      </w:r>
      <w:proofErr w:type="spellEnd"/>
      <w:r w:rsidRPr="00DC1A5F">
        <w:t xml:space="preserve"> (ausencia, inexistencia).</w:t>
      </w:r>
    </w:p>
    <w:p w14:paraId="5E8B0560" w14:textId="77777777" w:rsidR="00597DE2" w:rsidRPr="00DC1A5F" w:rsidRDefault="00597DE2" w:rsidP="00597DE2">
      <w:pPr>
        <w:tabs>
          <w:tab w:val="clear" w:pos="425"/>
        </w:tabs>
        <w:spacing w:after="160"/>
      </w:pPr>
      <w:r w:rsidRPr="00DC1A5F">
        <w:br w:type="page"/>
      </w:r>
    </w:p>
    <w:p w14:paraId="165A10B7" w14:textId="77777777" w:rsidR="00597DE2" w:rsidRPr="00DC1A5F" w:rsidRDefault="00597DE2" w:rsidP="00597DE2">
      <w:pPr>
        <w:pStyle w:val="Textoindependiente"/>
      </w:pPr>
      <w:r w:rsidRPr="00DC1A5F">
        <w:lastRenderedPageBreak/>
        <w:t xml:space="preserve">155. </w:t>
      </w:r>
      <w:r w:rsidRPr="00DC1A5F">
        <w:tab/>
        <w:t>Ahora:</w:t>
      </w:r>
    </w:p>
    <w:p w14:paraId="183FF1FB" w14:textId="77777777" w:rsidR="00597DE2" w:rsidRPr="00DC1A5F" w:rsidRDefault="00597DE2" w:rsidP="00597DE2">
      <w:pPr>
        <w:pStyle w:val="VersoIngls01Sangria"/>
        <w:rPr>
          <w:sz w:val="16"/>
          <w:szCs w:val="20"/>
        </w:rPr>
      </w:pPr>
      <w:r w:rsidRPr="00DC1A5F">
        <w:rPr>
          <w:sz w:val="16"/>
          <w:szCs w:val="20"/>
        </w:rPr>
        <w:t>Los dioses de la materia sutil poseen treinta y nueve;</w:t>
      </w:r>
    </w:p>
    <w:p w14:paraId="6832F82F" w14:textId="77777777" w:rsidR="00597DE2" w:rsidRPr="00DC1A5F" w:rsidRDefault="00597DE2" w:rsidP="00597DE2">
      <w:pPr>
        <w:pStyle w:val="VersoIngls01Sangria"/>
        <w:rPr>
          <w:sz w:val="16"/>
          <w:szCs w:val="20"/>
        </w:rPr>
      </w:pPr>
      <w:r w:rsidRPr="00DC1A5F">
        <w:rPr>
          <w:sz w:val="16"/>
          <w:szCs w:val="20"/>
        </w:rPr>
        <w:t>Los aparecidos y nacidos de la humedad.</w:t>
      </w:r>
    </w:p>
    <w:p w14:paraId="0668004A" w14:textId="77777777" w:rsidR="00597DE2" w:rsidRPr="00DC1A5F" w:rsidRDefault="00597DE2" w:rsidP="00597DE2">
      <w:pPr>
        <w:pStyle w:val="VersoIngls01Sangria"/>
        <w:rPr>
          <w:sz w:val="16"/>
          <w:szCs w:val="20"/>
        </w:rPr>
      </w:pPr>
      <w:r w:rsidRPr="00DC1A5F">
        <w:rPr>
          <w:sz w:val="16"/>
          <w:szCs w:val="20"/>
        </w:rPr>
        <w:t xml:space="preserve">Poseen setenta instancias materiales </w:t>
      </w:r>
    </w:p>
    <w:p w14:paraId="5EDFC8DC" w14:textId="77777777" w:rsidR="00597DE2" w:rsidRPr="00DC1A5F" w:rsidRDefault="00597DE2" w:rsidP="00597DE2">
      <w:pPr>
        <w:pStyle w:val="VersoIngls01Sangria"/>
        <w:spacing w:after="100"/>
        <w:ind w:left="1418"/>
        <w:rPr>
          <w:sz w:val="16"/>
          <w:szCs w:val="20"/>
        </w:rPr>
      </w:pPr>
      <w:r w:rsidRPr="00DC1A5F">
        <w:rPr>
          <w:sz w:val="16"/>
          <w:szCs w:val="20"/>
        </w:rPr>
        <w:t>Como máximo y treinta como mínimo.</w:t>
      </w:r>
    </w:p>
    <w:p w14:paraId="4A297FAE" w14:textId="77777777" w:rsidR="00597DE2" w:rsidRPr="00DC1A5F" w:rsidRDefault="00597DE2" w:rsidP="00597DE2">
      <w:r w:rsidRPr="00DC1A5F">
        <w:t xml:space="preserve">156. </w:t>
      </w:r>
      <w:r w:rsidRPr="00DC1A5F">
        <w:tab/>
        <w:t xml:space="preserve">En primer lugar, con los </w:t>
      </w:r>
      <w:r w:rsidRPr="00DC1A5F">
        <w:rPr>
          <w:i/>
        </w:rPr>
        <w:t>Brahmās</w:t>
      </w:r>
      <w:r w:rsidRPr="00DC1A5F">
        <w:t xml:space="preserve"> de la materia sutil de generación </w:t>
      </w:r>
      <w:proofErr w:type="spellStart"/>
      <w:r w:rsidRPr="00DC1A5F">
        <w:t>aparicional</w:t>
      </w:r>
      <w:proofErr w:type="spellEnd"/>
      <w:r w:rsidRPr="00DC1A5F">
        <w:t xml:space="preserve"> surgirán junto con la consciencia del vínculo–de–renacimiento, 39 instancias materiales [553] con 4 grupos: el décuplo visual, el oído y la base física y el nónuplo de la vitalidad. No obstante, dejando a un lado a los </w:t>
      </w:r>
      <w:r w:rsidRPr="00DC1A5F">
        <w:rPr>
          <w:i/>
        </w:rPr>
        <w:t>Brahmās</w:t>
      </w:r>
      <w:r w:rsidRPr="00DC1A5F">
        <w:t xml:space="preserve"> de la materia sutil, entre los otros seres de la generación </w:t>
      </w:r>
      <w:proofErr w:type="spellStart"/>
      <w:r w:rsidRPr="00DC1A5F">
        <w:t>aparicional</w:t>
      </w:r>
      <w:proofErr w:type="spellEnd"/>
      <w:r w:rsidRPr="00DC1A5F">
        <w:t xml:space="preserve"> y los de la generación nacida de la humedad, existirán 70 instancias de materialidad como máximo, con el décuplo del ojo, del oído, la nariz, la lengua, el cuerpo, la base física y el sexo. Y estos se encontrarán invariablemente entre las deidades de la esfera sensorial. Ahora bien, al grupo de estados materiales comprendido de las 10 instancias materiales, es decir, del color, el olor, el sabor, la esencia nutriente y los 4 elementos primarios, con la sensibilidad del ojo y la vida, serán denominados “el décuplo del ojo”. Los grupos de estados materiales restantes deberán entenderse de la misma manera.</w:t>
      </w:r>
    </w:p>
    <w:p w14:paraId="3514154C" w14:textId="77777777" w:rsidR="00597DE2" w:rsidRPr="00DC1A5F" w:rsidRDefault="00597DE2" w:rsidP="00597DE2">
      <w:r w:rsidRPr="00DC1A5F">
        <w:t xml:space="preserve">157. </w:t>
      </w:r>
      <w:r w:rsidRPr="00DC1A5F">
        <w:tab/>
        <w:t>Por lo menos, 30 manifestaciones materiales surgirán con la subdivisión de la lengua, el cuerpo y la base física, en aquellos que sean ciegos de nacimiento, sordos, sin nariz</w:t>
      </w:r>
      <w:r w:rsidRPr="00DC1A5F">
        <w:rPr>
          <w:vertAlign w:val="superscript"/>
        </w:rPr>
        <w:t>26</w:t>
      </w:r>
      <w:r w:rsidRPr="00DC1A5F">
        <w:t xml:space="preserve"> y sin sexo. Entre el máximo y el mínimo, la asignación deberá entenderse según corresponda.</w:t>
      </w:r>
    </w:p>
    <w:p w14:paraId="5E81CB57" w14:textId="77777777" w:rsidR="00597DE2" w:rsidRPr="00DC1A5F" w:rsidRDefault="00597DE2" w:rsidP="00597DE2">
      <w:r w:rsidRPr="00DC1A5F">
        <w:t xml:space="preserve">158. </w:t>
      </w:r>
      <w:r w:rsidRPr="00DC1A5F">
        <w:tab/>
        <w:t>Después de saber esto, nuevamente:</w:t>
      </w:r>
    </w:p>
    <w:p w14:paraId="3462B46E" w14:textId="77777777" w:rsidR="00597DE2" w:rsidRPr="00DC1A5F" w:rsidRDefault="00597DE2" w:rsidP="00597DE2">
      <w:pPr>
        <w:pStyle w:val="VersoIngls01Sangria"/>
        <w:rPr>
          <w:sz w:val="16"/>
          <w:szCs w:val="20"/>
        </w:rPr>
      </w:pPr>
      <w:r w:rsidRPr="00DC1A5F">
        <w:rPr>
          <w:sz w:val="16"/>
          <w:szCs w:val="20"/>
        </w:rPr>
        <w:t>Uno debería considerar el par de la muerte y el nacimiento</w:t>
      </w:r>
    </w:p>
    <w:p w14:paraId="49B0A20C" w14:textId="77777777" w:rsidR="00597DE2" w:rsidRPr="00DC1A5F" w:rsidRDefault="00597DE2" w:rsidP="00597DE2">
      <w:pPr>
        <w:pStyle w:val="VersoIngls01Sangria"/>
        <w:rPr>
          <w:sz w:val="16"/>
          <w:szCs w:val="20"/>
        </w:rPr>
      </w:pPr>
      <w:r w:rsidRPr="00DC1A5F">
        <w:rPr>
          <w:sz w:val="16"/>
          <w:szCs w:val="20"/>
        </w:rPr>
        <w:t>Bajo la apreciación de los agregados, el objeto, la causa, el destino, la sensación,</w:t>
      </w:r>
    </w:p>
    <w:p w14:paraId="18458825" w14:textId="77777777" w:rsidR="00597DE2" w:rsidRPr="00DC1A5F" w:rsidRDefault="00597DE2" w:rsidP="00597DE2">
      <w:pPr>
        <w:pStyle w:val="VersoIngls01Sangria"/>
        <w:rPr>
          <w:sz w:val="16"/>
          <w:szCs w:val="20"/>
        </w:rPr>
      </w:pPr>
      <w:r w:rsidRPr="00DC1A5F">
        <w:rPr>
          <w:sz w:val="16"/>
          <w:szCs w:val="20"/>
        </w:rPr>
        <w:t>La felicidad y luego bajo la aplicación y sustentación mental,</w:t>
      </w:r>
    </w:p>
    <w:p w14:paraId="3E84A87E" w14:textId="77777777" w:rsidR="00597DE2" w:rsidRPr="00DC1A5F" w:rsidRDefault="00597DE2" w:rsidP="00597DE2">
      <w:pPr>
        <w:pStyle w:val="VersoIngls01Sangria"/>
        <w:spacing w:after="100"/>
        <w:ind w:left="1418"/>
      </w:pPr>
      <w:r w:rsidRPr="00DC1A5F">
        <w:rPr>
          <w:sz w:val="16"/>
          <w:szCs w:val="20"/>
        </w:rPr>
        <w:t>Distinguiendo su desemejanza y semejanza</w:t>
      </w:r>
      <w:r w:rsidRPr="00DC1A5F">
        <w:t>.</w:t>
      </w:r>
    </w:p>
    <w:p w14:paraId="0240B455" w14:textId="77777777" w:rsidR="00597DE2" w:rsidRPr="00DC1A5F" w:rsidRDefault="00597DE2" w:rsidP="00597DE2">
      <w:r w:rsidRPr="00DC1A5F">
        <w:t xml:space="preserve">159. </w:t>
      </w:r>
      <w:r w:rsidRPr="00DC1A5F">
        <w:tab/>
        <w:t>El significado es el siguiente: existe un vínculo–de–renacimiento de 2 clases, mixto y no</w:t>
      </w:r>
      <w:r w:rsidRPr="00DC1A5F">
        <w:rPr>
          <w:sz w:val="16"/>
          <w:szCs w:val="20"/>
        </w:rPr>
        <w:t>–</w:t>
      </w:r>
      <w:r w:rsidRPr="00DC1A5F">
        <w:t>mixto con materialidad y luego existe la consciencia de la muerte próxima a ello, su desemejanza y semejanza de acuerdo con estos agregados, etc., que deberán ser entendidos ¿cómo?</w:t>
      </w:r>
    </w:p>
    <w:p w14:paraId="0752CA18" w14:textId="77777777" w:rsidR="00597DE2" w:rsidRPr="00DC1A5F" w:rsidRDefault="00597DE2" w:rsidP="00597DE2">
      <w:r w:rsidRPr="00DC1A5F">
        <w:t xml:space="preserve">160. </w:t>
      </w:r>
      <w:r w:rsidRPr="00DC1A5F">
        <w:tab/>
        <w:t>A veces, junto a una muerte inmaterial de los 4 agregados, existirá un vínculo–de–renacimiento de cuatro agregados que tendrá un objeto similar; a veces se dará un vínculo–de–renacimiento excelso con un objeto interno próximo a una muerte no excelsa con un objeto externo. Éste, en primer lugar, será el método en el caso de los planos inmateriales.</w:t>
      </w:r>
    </w:p>
    <w:p w14:paraId="0E1FAA74" w14:textId="77777777" w:rsidR="00597DE2" w:rsidRPr="00DC1A5F" w:rsidRDefault="00597DE2" w:rsidP="00597DE2">
      <w:pPr>
        <w:pStyle w:val="NormalConSangria"/>
      </w:pPr>
      <w:r w:rsidRPr="00DC1A5F">
        <w:tab/>
        <w:t>A veces existirá un vínculo–de–renacimiento de la esfera sensorial de los 5 agregados próximo a una muerte inmaterial de 4 agregados. A veces se dará un renacimiento inmaterial de 4 agregados que se vinculará con una muerte de la esfera sensorial de los 5 agregados o una muerte de la esfera de la materia sutil.</w:t>
      </w:r>
    </w:p>
    <w:p w14:paraId="6FDAE34B" w14:textId="77777777" w:rsidR="00597DE2" w:rsidRPr="00DC1A5F" w:rsidRDefault="00597DE2" w:rsidP="00597DE2">
      <w:pPr>
        <w:pStyle w:val="NormalConSangria"/>
      </w:pPr>
      <w:r w:rsidRPr="00DC1A5F">
        <w:t xml:space="preserve">Por lo tanto, existirá un vínculo–de–renacimiento con un objeto </w:t>
      </w:r>
      <w:r w:rsidRPr="00DC1A5F">
        <w:rPr>
          <w:i/>
          <w:iCs/>
        </w:rPr>
        <w:t>presente</w:t>
      </w:r>
      <w:r w:rsidRPr="00DC1A5F">
        <w:rPr>
          <w:vertAlign w:val="superscript"/>
        </w:rPr>
        <w:t>27</w:t>
      </w:r>
      <w:r w:rsidRPr="00DC1A5F">
        <w:t xml:space="preserve"> junto a una muerte con un objeto </w:t>
      </w:r>
      <w:r w:rsidRPr="00DC1A5F">
        <w:rPr>
          <w:i/>
          <w:iCs/>
        </w:rPr>
        <w:t>pasado</w:t>
      </w:r>
      <w:r w:rsidRPr="00DC1A5F">
        <w:t xml:space="preserve">, existirá un vínculo–de–renacimiento en cierto destino infeliz junto a la </w:t>
      </w:r>
    </w:p>
    <w:p w14:paraId="3B4EA9E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3D993BB" w14:textId="77777777" w:rsidR="00597DE2" w:rsidRPr="00DC1A5F" w:rsidRDefault="00597DE2" w:rsidP="00597DE2">
      <w:pPr>
        <w:pStyle w:val="PiedepginaLegal"/>
        <w:numPr>
          <w:ilvl w:val="0"/>
          <w:numId w:val="6"/>
        </w:numPr>
        <w:tabs>
          <w:tab w:val="clear" w:pos="425"/>
        </w:tabs>
        <w:ind w:left="284" w:hanging="284"/>
      </w:pPr>
      <w:proofErr w:type="spellStart"/>
      <w:r w:rsidRPr="00DC1A5F">
        <w:t>Vism</w:t>
      </w:r>
      <w:proofErr w:type="spellEnd"/>
      <w:r w:rsidRPr="00DC1A5F">
        <w:t>–</w:t>
      </w:r>
      <w:proofErr w:type="spellStart"/>
      <w:r w:rsidRPr="00DC1A5F">
        <w:t>mhṭ</w:t>
      </w:r>
      <w:proofErr w:type="spellEnd"/>
      <w:r w:rsidRPr="00DC1A5F">
        <w:t xml:space="preserve"> (p. 611) hace aquí una larga discusión sobre la dificultad de hablar del mundo </w:t>
      </w:r>
      <w:r w:rsidRPr="00DC1A5F">
        <w:rPr>
          <w:i/>
        </w:rPr>
        <w:t>Brahmā</w:t>
      </w:r>
      <w:r w:rsidRPr="00DC1A5F">
        <w:t xml:space="preserve"> (donde solo existen los sentidos de la vista y el oído) en términos de </w:t>
      </w:r>
      <w:r w:rsidRPr="00DC1A5F">
        <w:rPr>
          <w:color w:val="1F3864" w:themeColor="accent1" w:themeShade="80"/>
          <w:u w:color="000000"/>
        </w:rPr>
        <w:t>las décadas</w:t>
      </w:r>
      <w:r w:rsidRPr="00DC1A5F">
        <w:t xml:space="preserve">, que contienen los componentes del olor y el sabor. (§156) Termina defendiendo el punto de vista del </w:t>
      </w:r>
      <w:r w:rsidRPr="00DC1A5F">
        <w:rPr>
          <w:i/>
          <w:iCs/>
        </w:rPr>
        <w:t>Visuddhimagga</w:t>
      </w:r>
      <w:r w:rsidRPr="00DC1A5F">
        <w:t>.</w:t>
      </w:r>
    </w:p>
    <w:p w14:paraId="5D055455" w14:textId="77777777" w:rsidR="00597DE2" w:rsidRPr="00DC1A5F" w:rsidRDefault="00597DE2" w:rsidP="00597DE2">
      <w:pPr>
        <w:pStyle w:val="PiedepginaLegal"/>
        <w:numPr>
          <w:ilvl w:val="0"/>
          <w:numId w:val="6"/>
        </w:numPr>
        <w:tabs>
          <w:tab w:val="clear" w:pos="425"/>
        </w:tabs>
        <w:spacing w:after="160"/>
        <w:ind w:left="284" w:hanging="284"/>
      </w:pPr>
      <w:proofErr w:type="spellStart"/>
      <w:r w:rsidRPr="00DC1A5F">
        <w:rPr>
          <w:i/>
          <w:iCs/>
        </w:rPr>
        <w:t>Sammohavinodanī</w:t>
      </w:r>
      <w:proofErr w:type="spellEnd"/>
      <w:r w:rsidRPr="00DC1A5F">
        <w:t xml:space="preserve"> (Be) considera el “vinculo de renacimiento con un objeto pasado, no tan–clasificable y presente, próximo a”, etc.</w:t>
      </w:r>
      <w:r w:rsidRPr="00DC1A5F">
        <w:br w:type="page"/>
      </w:r>
    </w:p>
    <w:p w14:paraId="30813432" w14:textId="77777777" w:rsidR="00597DE2" w:rsidRPr="00DC1A5F" w:rsidRDefault="00597DE2" w:rsidP="00597DE2"/>
    <w:p w14:paraId="67BC2A8B" w14:textId="77777777" w:rsidR="00597DE2" w:rsidRPr="00DC1A5F" w:rsidRDefault="00597DE2" w:rsidP="00597DE2">
      <w:pPr>
        <w:pStyle w:val="Textoindependiente"/>
      </w:pPr>
      <w:r w:rsidRPr="00DC1A5F">
        <w:t>muerte hacia cierto destino feliz, existirá un vínculo–de–renacimiento con causa–raíz junto a una muerte sin causa–raíz, existirá un triple vínculo–de–renacimiento con causa–raíz junto a una muerte con una doble causa–raíz, existirá un vínculo–de–renacimiento acompañado de dicha junto a una muerte acompañada de ecuanimidad, existirá un vínculo–de–renacimiento con felicidad junto a una muerte sin felicidad, existirá un vínculo–de–renacimiento con aplicación mental junto a una muerte sin aplicación mental, existirá un vínculo–de–renacimiento con sustentación mental junto a una muerte sin sustentación mental, existirá un vínculo–de–renacimiento con aplicación mental y sustentación mental junto a una muerte sin aplicación mental ni sustentación mental.</w:t>
      </w:r>
    </w:p>
    <w:p w14:paraId="38B9022B" w14:textId="77777777" w:rsidR="00597DE2" w:rsidRPr="00DC1A5F" w:rsidRDefault="00597DE2" w:rsidP="00597DE2">
      <w:pPr>
        <w:pStyle w:val="NormalConSangria"/>
      </w:pPr>
      <w:r w:rsidRPr="00DC1A5F">
        <w:t>De esta manera, podrán acoplarse entre sí mediante sus opuestos, según corresponda.</w:t>
      </w:r>
    </w:p>
    <w:p w14:paraId="2C950623" w14:textId="77777777" w:rsidR="00597DE2" w:rsidRPr="00DC1A5F" w:rsidRDefault="00597DE2" w:rsidP="00597DE2">
      <w:pPr>
        <w:pStyle w:val="VersoIngls01Sangria"/>
        <w:ind w:left="0"/>
        <w:rPr>
          <w:sz w:val="16"/>
          <w:szCs w:val="20"/>
        </w:rPr>
      </w:pPr>
      <w:r w:rsidRPr="00DC1A5F">
        <w:t xml:space="preserve">161. </w:t>
      </w:r>
      <w:r w:rsidRPr="00DC1A5F">
        <w:tab/>
      </w:r>
      <w:r w:rsidRPr="00DC1A5F">
        <w:tab/>
      </w:r>
      <w:r w:rsidRPr="00DC1A5F">
        <w:tab/>
      </w:r>
      <w:r w:rsidRPr="00DC1A5F">
        <w:rPr>
          <w:sz w:val="16"/>
          <w:szCs w:val="20"/>
        </w:rPr>
        <w:t>Un simple estado que posea sus condiciones</w:t>
      </w:r>
    </w:p>
    <w:p w14:paraId="6C19305F" w14:textId="77777777" w:rsidR="00597DE2" w:rsidRPr="00DC1A5F" w:rsidRDefault="00597DE2" w:rsidP="00597DE2">
      <w:pPr>
        <w:pStyle w:val="VersoIngls01Sangria"/>
        <w:rPr>
          <w:sz w:val="16"/>
          <w:szCs w:val="20"/>
        </w:rPr>
      </w:pPr>
      <w:r w:rsidRPr="00DC1A5F">
        <w:rPr>
          <w:sz w:val="16"/>
          <w:szCs w:val="20"/>
        </w:rPr>
        <w:t>Determinará el inicio de una existencia subsiguiente;</w:t>
      </w:r>
    </w:p>
    <w:p w14:paraId="1D61AD8A" w14:textId="77777777" w:rsidR="00597DE2" w:rsidRPr="00DC1A5F" w:rsidRDefault="00597DE2" w:rsidP="00597DE2">
      <w:pPr>
        <w:pStyle w:val="VersoIngls01Sangria"/>
        <w:rPr>
          <w:sz w:val="16"/>
          <w:szCs w:val="20"/>
        </w:rPr>
      </w:pPr>
      <w:r w:rsidRPr="00DC1A5F">
        <w:rPr>
          <w:sz w:val="16"/>
          <w:szCs w:val="20"/>
        </w:rPr>
        <w:t>Si bien no migrará desde un pasado,</w:t>
      </w:r>
    </w:p>
    <w:p w14:paraId="474B58E1" w14:textId="77777777" w:rsidR="00597DE2" w:rsidRPr="00DC1A5F" w:rsidRDefault="00597DE2" w:rsidP="00597DE2">
      <w:pPr>
        <w:pStyle w:val="VersoIngls01Sangria"/>
        <w:spacing w:after="100"/>
        <w:ind w:left="1418"/>
        <w:rPr>
          <w:sz w:val="16"/>
          <w:szCs w:val="20"/>
        </w:rPr>
      </w:pPr>
      <w:r w:rsidRPr="00DC1A5F">
        <w:rPr>
          <w:sz w:val="16"/>
          <w:szCs w:val="20"/>
        </w:rPr>
        <w:t>Sin causa en un pasado no lo será.</w:t>
      </w:r>
    </w:p>
    <w:p w14:paraId="309D9019" w14:textId="77777777" w:rsidR="00597DE2" w:rsidRPr="00DC1A5F" w:rsidRDefault="00597DE2" w:rsidP="00597DE2">
      <w:r w:rsidRPr="00DC1A5F">
        <w:t xml:space="preserve">162. </w:t>
      </w:r>
      <w:r w:rsidRPr="00DC1A5F">
        <w:tab/>
        <w:t>Así, de lo que se habla es de un simple estado material e inmaterial que surgirá cuando se haya obtenido unas condiciones propicias, afirmando que se manifestará en el próximo devenir; no se tratará un ser perdurable, [554] tampoco de un alma. Y no habrá transmigrado de un devenir pasado, no obstante, no se manifestará aquí sin una causa debida a ello.</w:t>
      </w:r>
    </w:p>
    <w:p w14:paraId="27ADD930" w14:textId="77777777" w:rsidR="00597DE2" w:rsidRPr="00DC1A5F" w:rsidRDefault="00597DE2" w:rsidP="00597DE2">
      <w:r w:rsidRPr="00DC1A5F">
        <w:t xml:space="preserve">163. </w:t>
      </w:r>
      <w:r w:rsidRPr="00DC1A5F">
        <w:tab/>
        <w:t xml:space="preserve">Explicaremos esto mediante el proceso regular de la muerte humana y el vínculo–de–renacimiento respectivo. Cuando, desde el pasado devenir, un hombre se aproxime natural o violentamente hacia la muerte no podrá soportar el embate de las insoportables punzadas de las sensaciones que terminarán en tal muerte; al cercenar las ligaduras de las articulaciones en todos los miembros, su cuerpo poco a poco se marchitará, como una hoja de palma verde expuesta al resplandor del Sol, y cuando las facultades del ojo, etc., hayan cesado y la facultad del cuerpo, la facultad mental y la facultad vital permanezcan únicamente presentes en la base del corazón, entonces la consciencia, que tendrá como soporte la base del corazón que aún permanecerá presente en ese momento, ocurrirá dependiente de algún </w:t>
      </w:r>
      <w:proofErr w:type="spellStart"/>
      <w:r w:rsidRPr="00DC1A5F">
        <w:rPr>
          <w:i/>
        </w:rPr>
        <w:t>kamma</w:t>
      </w:r>
      <w:proofErr w:type="spellEnd"/>
      <w:r w:rsidRPr="00DC1A5F">
        <w:t xml:space="preserve"> clasificado como “pesado”, “repetido”, o realizado “cerca” o previamente a la muerte,</w:t>
      </w:r>
      <w:r w:rsidRPr="00DC1A5F">
        <w:rPr>
          <w:vertAlign w:val="superscript"/>
        </w:rPr>
        <w:t>28</w:t>
      </w:r>
      <w:r w:rsidRPr="00DC1A5F">
        <w:t xml:space="preserve"> en otras palabras, de la formación que habrá obtenido las condiciones restantes, o supeditado al campo objetivo hecho aparecer por ese </w:t>
      </w:r>
      <w:proofErr w:type="spellStart"/>
      <w:r w:rsidRPr="00DC1A5F">
        <w:rPr>
          <w:i/>
        </w:rPr>
        <w:t>kamma</w:t>
      </w:r>
      <w:proofErr w:type="spellEnd"/>
      <w:r w:rsidRPr="00DC1A5F">
        <w:t xml:space="preserve">, en otras palabras, por el signo del </w:t>
      </w:r>
      <w:proofErr w:type="spellStart"/>
      <w:r w:rsidRPr="00DC1A5F">
        <w:rPr>
          <w:i/>
        </w:rPr>
        <w:t>kamma</w:t>
      </w:r>
      <w:proofErr w:type="spellEnd"/>
      <w:r w:rsidRPr="00DC1A5F">
        <w:t xml:space="preserve"> o signo del destino.</w:t>
      </w:r>
      <w:r w:rsidRPr="00DC1A5F">
        <w:rPr>
          <w:vertAlign w:val="superscript"/>
        </w:rPr>
        <w:t>29</w:t>
      </w:r>
      <w:r w:rsidRPr="00DC1A5F">
        <w:t xml:space="preserve"> Y mientras ocurra así, porque el deseo y la ignorancia no habrán sido abandonados, el deseo empujará y las </w:t>
      </w:r>
    </w:p>
    <w:p w14:paraId="5371D290" w14:textId="77777777" w:rsidR="00597DE2" w:rsidRPr="00DC1A5F" w:rsidRDefault="00597DE2" w:rsidP="00597DE2"/>
    <w:p w14:paraId="50A7CD2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0755DA1" w14:textId="77777777" w:rsidR="00597DE2" w:rsidRPr="00DC1A5F" w:rsidRDefault="00597DE2" w:rsidP="00597DE2">
      <w:pPr>
        <w:pStyle w:val="PiedepginaLegal"/>
        <w:numPr>
          <w:ilvl w:val="0"/>
          <w:numId w:val="6"/>
        </w:numPr>
        <w:tabs>
          <w:tab w:val="clear" w:pos="425"/>
        </w:tabs>
        <w:ind w:left="284" w:hanging="284"/>
      </w:pPr>
      <w:r w:rsidRPr="00DC1A5F">
        <w:t xml:space="preserve">Ver la clasificación de </w:t>
      </w:r>
      <w:proofErr w:type="spellStart"/>
      <w:r w:rsidRPr="00DC1A5F">
        <w:rPr>
          <w:i/>
        </w:rPr>
        <w:t>kamma</w:t>
      </w:r>
      <w:proofErr w:type="spellEnd"/>
      <w:r w:rsidRPr="00DC1A5F">
        <w:t xml:space="preserve"> en XIX.74ff. El </w:t>
      </w:r>
      <w:proofErr w:type="spellStart"/>
      <w:r w:rsidRPr="00DC1A5F">
        <w:rPr>
          <w:i/>
        </w:rPr>
        <w:t>kamma</w:t>
      </w:r>
      <w:proofErr w:type="spellEnd"/>
      <w:r w:rsidRPr="00DC1A5F">
        <w:t xml:space="preserve"> “repetido” (</w:t>
      </w:r>
      <w:proofErr w:type="spellStart"/>
      <w:r w:rsidRPr="00DC1A5F">
        <w:rPr>
          <w:i/>
          <w:iCs/>
        </w:rPr>
        <w:t>samāsevita</w:t>
      </w:r>
      <w:proofErr w:type="spellEnd"/>
      <w:r w:rsidRPr="00DC1A5F">
        <w:t xml:space="preserve">) no se menciona allí como tal. Del </w:t>
      </w:r>
      <w:proofErr w:type="spellStart"/>
      <w:r w:rsidRPr="00DC1A5F">
        <w:rPr>
          <w:i/>
        </w:rPr>
        <w:t>kamma</w:t>
      </w:r>
      <w:proofErr w:type="spellEnd"/>
      <w:r w:rsidRPr="00DC1A5F">
        <w:t xml:space="preserve"> “cercano” </w:t>
      </w:r>
      <w:proofErr w:type="spellStart"/>
      <w:r w:rsidRPr="00DC1A5F">
        <w:t>Vism</w:t>
      </w:r>
      <w:proofErr w:type="spellEnd"/>
      <w:r w:rsidRPr="00DC1A5F">
        <w:t>–</w:t>
      </w:r>
      <w:proofErr w:type="spellStart"/>
      <w:r w:rsidRPr="00DC1A5F">
        <w:t>mhṭ</w:t>
      </w:r>
      <w:proofErr w:type="spellEnd"/>
      <w:r w:rsidRPr="00DC1A5F">
        <w:t xml:space="preserve"> dice: “Es el realizado junto a la muerte, o que sea conspicuo en la memoria en dicho momento, cada vez que se sea realizado” (</w:t>
      </w:r>
      <w:proofErr w:type="spellStart"/>
      <w:r w:rsidRPr="00DC1A5F">
        <w:t>Vism</w:t>
      </w:r>
      <w:proofErr w:type="spellEnd"/>
      <w:r w:rsidRPr="00DC1A5F">
        <w:t>–</w:t>
      </w:r>
      <w:proofErr w:type="spellStart"/>
      <w:r w:rsidRPr="00DC1A5F">
        <w:t>mhṭ</w:t>
      </w:r>
      <w:proofErr w:type="spellEnd"/>
      <w:r w:rsidRPr="00DC1A5F">
        <w:t xml:space="preserve"> 617).</w:t>
      </w:r>
    </w:p>
    <w:p w14:paraId="4195BFE1" w14:textId="77777777" w:rsidR="00597DE2" w:rsidRPr="00DC1A5F" w:rsidRDefault="00597DE2" w:rsidP="00597DE2">
      <w:pPr>
        <w:pStyle w:val="PiedepginaLegal"/>
        <w:numPr>
          <w:ilvl w:val="0"/>
          <w:numId w:val="6"/>
        </w:numPr>
        <w:tabs>
          <w:tab w:val="clear" w:pos="425"/>
        </w:tabs>
        <w:ind w:left="284" w:hanging="284"/>
      </w:pPr>
      <w:r w:rsidRPr="00DC1A5F">
        <w:t xml:space="preserve">“‘Signo del </w:t>
      </w:r>
      <w:proofErr w:type="spellStart"/>
      <w:r w:rsidRPr="00DC1A5F">
        <w:rPr>
          <w:i/>
        </w:rPr>
        <w:t>kamma</w:t>
      </w:r>
      <w:proofErr w:type="spellEnd"/>
      <w:r w:rsidRPr="00DC1A5F">
        <w:t>’ es el evento (</w:t>
      </w:r>
      <w:proofErr w:type="spellStart"/>
      <w:r w:rsidRPr="00DC1A5F">
        <w:rPr>
          <w:i/>
          <w:iCs/>
        </w:rPr>
        <w:t>vatthu</w:t>
      </w:r>
      <w:proofErr w:type="spellEnd"/>
      <w:r w:rsidRPr="00DC1A5F">
        <w:t xml:space="preserve">) por medio del cual un hombre acumula </w:t>
      </w:r>
      <w:proofErr w:type="spellStart"/>
      <w:r w:rsidRPr="00DC1A5F">
        <w:rPr>
          <w:i/>
        </w:rPr>
        <w:t>kamma</w:t>
      </w:r>
      <w:proofErr w:type="spellEnd"/>
      <w:r w:rsidRPr="00DC1A5F">
        <w:t xml:space="preserve"> al convertirlo en el objeto del momento de la acumulación. Incluso si el </w:t>
      </w:r>
      <w:proofErr w:type="spellStart"/>
      <w:r w:rsidRPr="00DC1A5F">
        <w:rPr>
          <w:i/>
        </w:rPr>
        <w:t>kamma</w:t>
      </w:r>
      <w:proofErr w:type="spellEnd"/>
      <w:r w:rsidRPr="00DC1A5F">
        <w:t xml:space="preserve"> se realizara hace cien mil eones, sin embargo, en el momento de su maduración aparecerá como un </w:t>
      </w:r>
      <w:proofErr w:type="spellStart"/>
      <w:r w:rsidRPr="00DC1A5F">
        <w:rPr>
          <w:i/>
        </w:rPr>
        <w:t>kamma</w:t>
      </w:r>
      <w:proofErr w:type="spellEnd"/>
      <w:r w:rsidRPr="00DC1A5F">
        <w:t xml:space="preserve"> o un signo de </w:t>
      </w:r>
      <w:proofErr w:type="spellStart"/>
      <w:r w:rsidRPr="00DC1A5F">
        <w:rPr>
          <w:i/>
        </w:rPr>
        <w:t>kamma</w:t>
      </w:r>
      <w:proofErr w:type="spellEnd"/>
      <w:r w:rsidRPr="00DC1A5F">
        <w:t xml:space="preserve">. El ‘signo del destino’ corresponderá a una de las escenas visuales en el lugar donde se llevará a cabo el renacimiento. </w:t>
      </w:r>
      <w:proofErr w:type="gramStart"/>
      <w:r w:rsidRPr="00DC1A5F">
        <w:t>Consistirá de</w:t>
      </w:r>
      <w:proofErr w:type="gramEnd"/>
      <w:r w:rsidRPr="00DC1A5F">
        <w:t xml:space="preserve"> la aparición visual de llamas de fuego, etc., en alguien que esté listo para renacer en el infierno, etc., como ya se mencionó anteriormente” (</w:t>
      </w:r>
      <w:proofErr w:type="spellStart"/>
      <w:r w:rsidRPr="00DC1A5F">
        <w:t>Vism</w:t>
      </w:r>
      <w:proofErr w:type="spellEnd"/>
      <w:r w:rsidRPr="00DC1A5F">
        <w:t>–</w:t>
      </w:r>
      <w:proofErr w:type="spellStart"/>
      <w:r w:rsidRPr="00DC1A5F">
        <w:t>mhṭ</w:t>
      </w:r>
      <w:proofErr w:type="spellEnd"/>
      <w:r w:rsidRPr="00DC1A5F">
        <w:t xml:space="preserve"> 617).</w:t>
      </w:r>
    </w:p>
    <w:p w14:paraId="28EF0523" w14:textId="77777777" w:rsidR="00597DE2" w:rsidRPr="00DC1A5F" w:rsidRDefault="00597DE2" w:rsidP="00597DE2">
      <w:pPr>
        <w:tabs>
          <w:tab w:val="clear" w:pos="425"/>
        </w:tabs>
        <w:spacing w:after="160"/>
      </w:pPr>
      <w:r w:rsidRPr="00DC1A5F">
        <w:br w:type="page"/>
      </w:r>
    </w:p>
    <w:p w14:paraId="74A4E6DB" w14:textId="77777777" w:rsidR="00597DE2" w:rsidRPr="00DC1A5F" w:rsidRDefault="00597DE2" w:rsidP="00597DE2">
      <w:pPr>
        <w:pStyle w:val="Textoindependiente"/>
      </w:pPr>
      <w:r w:rsidRPr="00DC1A5F">
        <w:lastRenderedPageBreak/>
        <w:t>formaciones coetáneas lo arrojará hacia</w:t>
      </w:r>
      <w:r w:rsidRPr="00DC1A5F">
        <w:rPr>
          <w:vertAlign w:val="superscript"/>
        </w:rPr>
        <w:t>30</w:t>
      </w:r>
      <w:r w:rsidRPr="00DC1A5F">
        <w:t xml:space="preserve"> ese campo objetivo, cuyos peligros ocultará la ignorancia. Y mientras, como un proceso continuo,</w:t>
      </w:r>
      <w:r w:rsidRPr="00DC1A5F">
        <w:rPr>
          <w:vertAlign w:val="superscript"/>
        </w:rPr>
        <w:t>31</w:t>
      </w:r>
      <w:r w:rsidRPr="00DC1A5F">
        <w:t xml:space="preserve"> sea empujado por el deseo y lanzado hacia adelante por las formaciones, abandonará su soporte pasado, como un hombre que cruzaría un río aferrándose a una cuerda atada a un árbol en la orilla cercana y, ya sea que obtenga o no un soporte adicional originado por el </w:t>
      </w:r>
      <w:proofErr w:type="spellStart"/>
      <w:r w:rsidRPr="00DC1A5F">
        <w:rPr>
          <w:i/>
        </w:rPr>
        <w:t>kamma</w:t>
      </w:r>
      <w:proofErr w:type="spellEnd"/>
      <w:r w:rsidRPr="00DC1A5F">
        <w:t>, ocurrirá por medio de las condiciones consistentes solo de la condición del objeto, etc.</w:t>
      </w:r>
    </w:p>
    <w:p w14:paraId="753942E9" w14:textId="77777777" w:rsidR="00597DE2" w:rsidRPr="00DC1A5F" w:rsidRDefault="00597DE2" w:rsidP="00597DE2">
      <w:r w:rsidRPr="00DC1A5F">
        <w:t xml:space="preserve">164. </w:t>
      </w:r>
      <w:r w:rsidRPr="00DC1A5F">
        <w:tab/>
        <w:t>Al primero de estos 2 estados de consciencia se le llamará “muerte” (</w:t>
      </w:r>
      <w:proofErr w:type="spellStart"/>
      <w:r w:rsidRPr="00DC1A5F">
        <w:rPr>
          <w:i/>
          <w:iCs/>
        </w:rPr>
        <w:t>cuti</w:t>
      </w:r>
      <w:proofErr w:type="spellEnd"/>
      <w:r w:rsidRPr="00DC1A5F">
        <w:t>) debido al colapso (</w:t>
      </w:r>
      <w:proofErr w:type="spellStart"/>
      <w:r w:rsidRPr="00DC1A5F">
        <w:rPr>
          <w:i/>
          <w:iCs/>
        </w:rPr>
        <w:t>cavana</w:t>
      </w:r>
      <w:proofErr w:type="spellEnd"/>
      <w:r w:rsidRPr="00DC1A5F">
        <w:t>), y al último se le llamará “vínculo–de–renacimiento” (</w:t>
      </w:r>
      <w:proofErr w:type="spellStart"/>
      <w:r w:rsidRPr="00DC1A5F">
        <w:rPr>
          <w:i/>
          <w:iCs/>
        </w:rPr>
        <w:t>paṭisandhi</w:t>
      </w:r>
      <w:proofErr w:type="spellEnd"/>
      <w:r w:rsidRPr="00DC1A5F">
        <w:t>) debido al vínculo (</w:t>
      </w:r>
      <w:proofErr w:type="spellStart"/>
      <w:r w:rsidRPr="00DC1A5F">
        <w:rPr>
          <w:i/>
          <w:iCs/>
        </w:rPr>
        <w:t>paṭisandhāna</w:t>
      </w:r>
      <w:proofErr w:type="spellEnd"/>
      <w:r w:rsidRPr="00DC1A5F">
        <w:t xml:space="preserve">) a través de la brecha que separará el comienzo del próximo devenir. No obstante, debe entenderse que no habrá llegado desde un devenir pasado ni que se habrá manifestado sin un </w:t>
      </w:r>
      <w:proofErr w:type="spellStart"/>
      <w:r w:rsidRPr="00DC1A5F">
        <w:rPr>
          <w:i/>
        </w:rPr>
        <w:t>kamma</w:t>
      </w:r>
      <w:proofErr w:type="spellEnd"/>
      <w:r w:rsidRPr="00DC1A5F">
        <w:t>, formaciones, empuje, campo objetivo, etc., como causa.</w:t>
      </w:r>
    </w:p>
    <w:p w14:paraId="30C8DF74" w14:textId="77777777" w:rsidR="00597DE2" w:rsidRPr="00DC1A5F" w:rsidRDefault="00597DE2" w:rsidP="00597DE2">
      <w:pPr>
        <w:pStyle w:val="VersoIngls01Sangria"/>
        <w:ind w:left="0"/>
        <w:rPr>
          <w:sz w:val="16"/>
          <w:szCs w:val="20"/>
        </w:rPr>
      </w:pPr>
      <w:r w:rsidRPr="00DC1A5F">
        <w:t xml:space="preserve">165. </w:t>
      </w:r>
      <w:r w:rsidRPr="00DC1A5F">
        <w:tab/>
      </w:r>
      <w:r w:rsidRPr="00DC1A5F">
        <w:tab/>
      </w:r>
      <w:r w:rsidRPr="00DC1A5F">
        <w:tab/>
      </w:r>
      <w:r w:rsidRPr="00DC1A5F">
        <w:rPr>
          <w:sz w:val="16"/>
          <w:szCs w:val="20"/>
        </w:rPr>
        <w:t>Un eco, o similar, suministrará</w:t>
      </w:r>
    </w:p>
    <w:p w14:paraId="253133E4" w14:textId="77777777" w:rsidR="00597DE2" w:rsidRPr="00DC1A5F" w:rsidRDefault="00597DE2" w:rsidP="00597DE2">
      <w:pPr>
        <w:pStyle w:val="VersoIngls01Sangria"/>
        <w:rPr>
          <w:sz w:val="16"/>
          <w:szCs w:val="20"/>
        </w:rPr>
      </w:pPr>
      <w:r w:rsidRPr="00DC1A5F">
        <w:rPr>
          <w:sz w:val="16"/>
          <w:szCs w:val="20"/>
        </w:rPr>
        <w:t xml:space="preserve">Las figuras aquí; la conectividad </w:t>
      </w:r>
    </w:p>
    <w:p w14:paraId="6BA087FE" w14:textId="77777777" w:rsidR="00597DE2" w:rsidRPr="00DC1A5F" w:rsidRDefault="00597DE2" w:rsidP="00597DE2">
      <w:pPr>
        <w:pStyle w:val="VersoIngls01Sangria"/>
        <w:rPr>
          <w:sz w:val="16"/>
          <w:szCs w:val="20"/>
        </w:rPr>
      </w:pPr>
      <w:r w:rsidRPr="00DC1A5F">
        <w:rPr>
          <w:sz w:val="16"/>
          <w:szCs w:val="20"/>
        </w:rPr>
        <w:t>Mediante la continuidad negará</w:t>
      </w:r>
    </w:p>
    <w:p w14:paraId="088E1722" w14:textId="77777777" w:rsidR="00597DE2" w:rsidRPr="00DC1A5F" w:rsidRDefault="00597DE2" w:rsidP="00597DE2">
      <w:pPr>
        <w:pStyle w:val="VersoIngls01Sangria"/>
        <w:spacing w:after="100"/>
        <w:ind w:left="1418"/>
        <w:rPr>
          <w:sz w:val="16"/>
          <w:szCs w:val="20"/>
        </w:rPr>
      </w:pPr>
      <w:r w:rsidRPr="00DC1A5F">
        <w:rPr>
          <w:sz w:val="16"/>
          <w:szCs w:val="20"/>
        </w:rPr>
        <w:t>Identidad y alteridad.</w:t>
      </w:r>
    </w:p>
    <w:p w14:paraId="4E1A3091" w14:textId="77777777" w:rsidR="00597DE2" w:rsidRPr="00DC1A5F" w:rsidRDefault="00597DE2" w:rsidP="00597DE2">
      <w:r w:rsidRPr="00DC1A5F">
        <w:t xml:space="preserve">166. </w:t>
      </w:r>
      <w:r w:rsidRPr="00DC1A5F">
        <w:tab/>
        <w:t>Y aquí, que la ilustración de esta consciencia sea cosas tales como: un eco, una luz, una impresión de un sello, la imagen de un espejo, por el hecho de que no llegará del devenir pasado ni por el hecho de que surgirá debido a causas que estarían incluidas en devenires pasados. Porque así como un eco, una luz, la impresión de un sello y una sombra tienen al sonido, la visión, etc., como su causa, respectivamente, y surgirían sin ir a otra parte, así también será con esta consciencia.</w:t>
      </w:r>
    </w:p>
    <w:p w14:paraId="5DC613E0" w14:textId="77777777" w:rsidR="00597DE2" w:rsidRPr="00DC1A5F" w:rsidRDefault="00597DE2" w:rsidP="00597DE2">
      <w:r w:rsidRPr="00DC1A5F">
        <w:t xml:space="preserve">167. </w:t>
      </w:r>
      <w:r w:rsidRPr="00DC1A5F">
        <w:tab/>
        <w:t>Y con una corriente de continuidad no habrá ni identidad ni alteridad. Porque si hubiese una identidad absoluta en una corriente de continuidad, no se formaría la cuajada a partir de la leche. Y sin embargo, si hubiera una alteridad absoluta, la cuajada no se derivaría de la leche. Y así también con todas las cosas que surjan causalmente. Ya que si eso fuera así, habría un fin a todo uso mundano, lo cual sería difícilmente deseable. Así que aquí no se debería asumir ni la identidad ni la alteridad absolutas al respecto. [555]</w:t>
      </w:r>
    </w:p>
    <w:p w14:paraId="12F5531E" w14:textId="77777777" w:rsidR="00597DE2" w:rsidRPr="00DC1A5F" w:rsidRDefault="00597DE2" w:rsidP="00597DE2">
      <w:r w:rsidRPr="00DC1A5F">
        <w:t xml:space="preserve">168. </w:t>
      </w:r>
      <w:r w:rsidRPr="00DC1A5F">
        <w:tab/>
        <w:t xml:space="preserve">Aquí podría preguntarse: “Si no se manifiesta una transmigración, entonces después de la cesación de los agregados de una persona humana, ese efecto podría ser de otra persona o debido a otro </w:t>
      </w:r>
      <w:proofErr w:type="spellStart"/>
      <w:r w:rsidRPr="00DC1A5F">
        <w:rPr>
          <w:i/>
        </w:rPr>
        <w:t>kamma</w:t>
      </w:r>
      <w:proofErr w:type="spellEnd"/>
      <w:r w:rsidRPr="00DC1A5F">
        <w:t xml:space="preserve">, ya que el </w:t>
      </w:r>
      <w:proofErr w:type="spellStart"/>
      <w:r w:rsidRPr="00DC1A5F">
        <w:rPr>
          <w:i/>
        </w:rPr>
        <w:t>kamma</w:t>
      </w:r>
      <w:proofErr w:type="spellEnd"/>
      <w:r w:rsidRPr="00DC1A5F">
        <w:rPr>
          <w:i/>
        </w:rPr>
        <w:t>,</w:t>
      </w:r>
      <w:r w:rsidRPr="00DC1A5F">
        <w:t xml:space="preserve"> que es condición para un efecto, no pasaría por allí ¿hacia dónde iría el efecto? ¿Y de quién sería el efecto ya que no habría experimentador? Por lo tanto, esta formulación pareciera ser insatisfactoria”.</w:t>
      </w:r>
    </w:p>
    <w:p w14:paraId="68825819" w14:textId="77777777" w:rsidR="00597DE2" w:rsidRPr="00DC1A5F" w:rsidRDefault="00597DE2" w:rsidP="00597DE2">
      <w:pPr>
        <w:pStyle w:val="Textoindependiente"/>
      </w:pPr>
      <w:r w:rsidRPr="00DC1A5F">
        <w:t xml:space="preserve">169. </w:t>
      </w:r>
      <w:r w:rsidRPr="00DC1A5F">
        <w:tab/>
        <w:t>Aquí está la respuesta:</w:t>
      </w:r>
    </w:p>
    <w:p w14:paraId="6B7AABB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C1B911B" w14:textId="77777777" w:rsidR="00597DE2" w:rsidRPr="00DC1A5F" w:rsidRDefault="00597DE2" w:rsidP="00597DE2">
      <w:pPr>
        <w:pStyle w:val="PiedepginaLegal"/>
        <w:rPr>
          <w:sz w:val="13"/>
          <w:szCs w:val="13"/>
        </w:rPr>
      </w:pPr>
      <w:r w:rsidRPr="00DC1A5F">
        <w:tab/>
      </w:r>
    </w:p>
    <w:p w14:paraId="289AA708" w14:textId="77777777" w:rsidR="00597DE2" w:rsidRPr="00DC1A5F" w:rsidRDefault="00597DE2" w:rsidP="00597DE2">
      <w:pPr>
        <w:pStyle w:val="PiedepginaLegal"/>
        <w:numPr>
          <w:ilvl w:val="0"/>
          <w:numId w:val="6"/>
        </w:numPr>
        <w:tabs>
          <w:tab w:val="clear" w:pos="425"/>
        </w:tabs>
        <w:ind w:left="284" w:hanging="284"/>
        <w:rPr>
          <w:color w:val="auto"/>
          <w:sz w:val="13"/>
          <w:szCs w:val="13"/>
          <w:u w:color="000000"/>
        </w:rPr>
      </w:pPr>
      <w:r w:rsidRPr="00DC1A5F">
        <w:rPr>
          <w:sz w:val="13"/>
          <w:szCs w:val="13"/>
        </w:rPr>
        <w:t>“</w:t>
      </w:r>
      <w:r w:rsidRPr="00DC1A5F">
        <w:rPr>
          <w:color w:val="auto"/>
          <w:sz w:val="13"/>
          <w:szCs w:val="13"/>
          <w:u w:color="000000"/>
        </w:rPr>
        <w:t>Debido a que el deseo no es abandonado y a que la continuidad surgida previamente se desviará de manera similar, la consciencia se producirá inclinada y tendiente hacia el lugar del vínculo–de–renacimiento. Las ‘</w:t>
      </w:r>
      <w:r w:rsidRPr="00DC1A5F">
        <w:rPr>
          <w:i/>
          <w:iCs/>
          <w:color w:val="auto"/>
          <w:sz w:val="13"/>
          <w:szCs w:val="13"/>
          <w:u w:color="000000"/>
        </w:rPr>
        <w:t>formaciones conscientes’</w:t>
      </w:r>
      <w:r w:rsidRPr="00DC1A5F">
        <w:rPr>
          <w:color w:val="auto"/>
          <w:sz w:val="13"/>
          <w:szCs w:val="13"/>
          <w:u w:color="000000"/>
        </w:rPr>
        <w:t xml:space="preserve"> corresponderán a las voliciones coetáneas con la consciencia de impulsión próxima a la muerte.</w:t>
      </w:r>
      <w:r w:rsidRPr="00DC1A5F">
        <w:rPr>
          <w:sz w:val="13"/>
          <w:szCs w:val="13"/>
        </w:rPr>
        <w:t xml:space="preserve"> </w:t>
      </w:r>
      <w:r w:rsidRPr="00DC1A5F">
        <w:rPr>
          <w:color w:val="auto"/>
          <w:sz w:val="13"/>
          <w:szCs w:val="13"/>
          <w:u w:color="000000"/>
        </w:rPr>
        <w:t xml:space="preserve">O serán todos aquellos que comiencen con el contacto. Éstas arrojarán a la consciencia a ese lugar del vínculo–de–renacimiento, que será el objeto del </w:t>
      </w:r>
      <w:proofErr w:type="spellStart"/>
      <w:r w:rsidRPr="00DC1A5F">
        <w:rPr>
          <w:i/>
          <w:color w:val="auto"/>
          <w:sz w:val="13"/>
          <w:szCs w:val="13"/>
          <w:u w:color="000000"/>
        </w:rPr>
        <w:t>kamma</w:t>
      </w:r>
      <w:proofErr w:type="spellEnd"/>
      <w:r w:rsidRPr="00DC1A5F">
        <w:rPr>
          <w:color w:val="auto"/>
          <w:sz w:val="13"/>
          <w:szCs w:val="13"/>
          <w:u w:color="000000"/>
        </w:rPr>
        <w:t xml:space="preserve"> y así sucesivamente. El significado es que ocurrirán como la causa para el establecimiento de la consciencia en el objeto mediante el vínculo–de–renacimiento como si lo arrojaran allí” (</w:t>
      </w:r>
      <w:proofErr w:type="spellStart"/>
      <w:r w:rsidRPr="00DC1A5F">
        <w:rPr>
          <w:color w:val="auto"/>
          <w:sz w:val="13"/>
          <w:szCs w:val="13"/>
          <w:u w:color="000000"/>
        </w:rPr>
        <w:t>Vism</w:t>
      </w:r>
      <w:proofErr w:type="spellEnd"/>
      <w:r w:rsidRPr="00DC1A5F">
        <w:rPr>
          <w:color w:val="auto"/>
          <w:sz w:val="13"/>
          <w:szCs w:val="13"/>
          <w:u w:color="000000"/>
        </w:rPr>
        <w:t>–</w:t>
      </w:r>
      <w:proofErr w:type="spellStart"/>
      <w:r w:rsidRPr="00DC1A5F">
        <w:rPr>
          <w:color w:val="auto"/>
          <w:sz w:val="13"/>
          <w:szCs w:val="13"/>
          <w:u w:color="000000"/>
        </w:rPr>
        <w:t>mhṭ</w:t>
      </w:r>
      <w:proofErr w:type="spellEnd"/>
      <w:r w:rsidRPr="00DC1A5F">
        <w:rPr>
          <w:color w:val="auto"/>
          <w:sz w:val="13"/>
          <w:szCs w:val="13"/>
          <w:u w:color="000000"/>
        </w:rPr>
        <w:t xml:space="preserve"> 617). </w:t>
      </w:r>
    </w:p>
    <w:p w14:paraId="500698CD" w14:textId="77777777" w:rsidR="00597DE2" w:rsidRPr="00DC1A5F" w:rsidRDefault="00597DE2" w:rsidP="00597DE2">
      <w:pPr>
        <w:pStyle w:val="PiedepginaLegal"/>
        <w:numPr>
          <w:ilvl w:val="0"/>
          <w:numId w:val="6"/>
        </w:numPr>
        <w:tabs>
          <w:tab w:val="clear" w:pos="425"/>
        </w:tabs>
        <w:spacing w:after="160"/>
        <w:ind w:left="284" w:hanging="284"/>
      </w:pPr>
      <w:r w:rsidRPr="00DC1A5F">
        <w:rPr>
          <w:sz w:val="13"/>
          <w:szCs w:val="13"/>
        </w:rPr>
        <w:t>“Como un proceso continuo consistente de la muerte, del vínculo–de–renacimiento y las consciencias adyacentes” (</w:t>
      </w:r>
      <w:proofErr w:type="spellStart"/>
      <w:r w:rsidRPr="00DC1A5F">
        <w:rPr>
          <w:sz w:val="13"/>
          <w:szCs w:val="13"/>
        </w:rPr>
        <w:t>Vism</w:t>
      </w:r>
      <w:proofErr w:type="spellEnd"/>
      <w:r w:rsidRPr="00DC1A5F">
        <w:rPr>
          <w:sz w:val="13"/>
          <w:szCs w:val="13"/>
        </w:rPr>
        <w:t>–</w:t>
      </w:r>
      <w:proofErr w:type="spellStart"/>
      <w:r w:rsidRPr="00DC1A5F">
        <w:rPr>
          <w:sz w:val="13"/>
          <w:szCs w:val="13"/>
        </w:rPr>
        <w:t>mhṭ</w:t>
      </w:r>
      <w:proofErr w:type="spellEnd"/>
      <w:r w:rsidRPr="00DC1A5F">
        <w:rPr>
          <w:sz w:val="13"/>
          <w:szCs w:val="13"/>
        </w:rPr>
        <w:t xml:space="preserve"> 617).</w:t>
      </w:r>
      <w:r w:rsidRPr="00DC1A5F">
        <w:br w:type="page"/>
      </w:r>
    </w:p>
    <w:p w14:paraId="2820C179" w14:textId="77777777" w:rsidR="00597DE2" w:rsidRPr="00DC1A5F" w:rsidRDefault="00597DE2" w:rsidP="00597DE2"/>
    <w:p w14:paraId="0BAB0000" w14:textId="77777777" w:rsidR="00597DE2" w:rsidRPr="00DC1A5F" w:rsidRDefault="00597DE2" w:rsidP="00597DE2">
      <w:pPr>
        <w:pStyle w:val="VersoIngls01Sangria"/>
        <w:rPr>
          <w:sz w:val="16"/>
          <w:szCs w:val="20"/>
        </w:rPr>
      </w:pPr>
      <w:r w:rsidRPr="00DC1A5F">
        <w:rPr>
          <w:sz w:val="16"/>
          <w:szCs w:val="20"/>
        </w:rPr>
        <w:t>En la continuidad el efecto</w:t>
      </w:r>
    </w:p>
    <w:p w14:paraId="3A2BA697" w14:textId="77777777" w:rsidR="00597DE2" w:rsidRPr="00DC1A5F" w:rsidRDefault="00597DE2" w:rsidP="00597DE2">
      <w:pPr>
        <w:pStyle w:val="VersoIngls01Sangria"/>
        <w:rPr>
          <w:sz w:val="16"/>
          <w:szCs w:val="20"/>
        </w:rPr>
      </w:pPr>
      <w:r w:rsidRPr="00DC1A5F">
        <w:rPr>
          <w:sz w:val="16"/>
          <w:szCs w:val="20"/>
        </w:rPr>
        <w:t>no es ni de uno ni de otro;</w:t>
      </w:r>
    </w:p>
    <w:p w14:paraId="37A2B73D" w14:textId="77777777" w:rsidR="00597DE2" w:rsidRPr="00DC1A5F" w:rsidRDefault="00597DE2" w:rsidP="00597DE2">
      <w:pPr>
        <w:pStyle w:val="VersoIngls01Sangria"/>
        <w:rPr>
          <w:sz w:val="16"/>
          <w:szCs w:val="20"/>
        </w:rPr>
      </w:pPr>
      <w:r w:rsidRPr="00DC1A5F">
        <w:rPr>
          <w:sz w:val="16"/>
          <w:szCs w:val="20"/>
        </w:rPr>
        <w:t>Los procesos de formación de las semillas se adaptarán</w:t>
      </w:r>
    </w:p>
    <w:p w14:paraId="785C6477" w14:textId="77777777" w:rsidR="00597DE2" w:rsidRPr="00DC1A5F" w:rsidRDefault="00597DE2" w:rsidP="00597DE2">
      <w:pPr>
        <w:pStyle w:val="VersoIngls01Sangria"/>
        <w:spacing w:after="100"/>
        <w:ind w:left="1418"/>
        <w:rPr>
          <w:sz w:val="16"/>
          <w:szCs w:val="20"/>
        </w:rPr>
      </w:pPr>
      <w:r w:rsidRPr="00DC1A5F">
        <w:rPr>
          <w:sz w:val="16"/>
          <w:szCs w:val="20"/>
        </w:rPr>
        <w:t>Para mostrar el propósito de este asunto.</w:t>
      </w:r>
    </w:p>
    <w:p w14:paraId="0B872A1C" w14:textId="77777777" w:rsidR="00597DE2" w:rsidRPr="00DC1A5F" w:rsidRDefault="00597DE2" w:rsidP="00597DE2">
      <w:pPr>
        <w:pStyle w:val="Textoindependiente"/>
      </w:pPr>
      <w:r w:rsidRPr="00DC1A5F">
        <w:t xml:space="preserve">170. </w:t>
      </w:r>
      <w:r w:rsidRPr="00DC1A5F">
        <w:tab/>
        <w:t xml:space="preserve">Cuando un efecto surja en una sola continuidad, no será ni de uno ni de otro </w:t>
      </w:r>
      <w:proofErr w:type="spellStart"/>
      <w:r w:rsidRPr="00DC1A5F">
        <w:rPr>
          <w:i/>
        </w:rPr>
        <w:t>kamma</w:t>
      </w:r>
      <w:proofErr w:type="spellEnd"/>
      <w:r w:rsidRPr="00DC1A5F">
        <w:t xml:space="preserve"> porque la identidad y la alteridad absolutas estarán entonces segregadas</w:t>
      </w:r>
      <w:r w:rsidRPr="00DC1A5F">
        <w:rPr>
          <w:vertAlign w:val="superscript"/>
        </w:rPr>
        <w:t>32</w:t>
      </w:r>
      <w:r w:rsidRPr="00DC1A5F">
        <w:t>. El proceso formativo de las semillas establecerá el significado de éste. Pues una vez que se haya puesto en marcha el proceso formativo de una semilla de mango, etc., cuando el fruto particular surja en la continuidad del crecimiento de esta semilla, más adelante debido a la obtención de las condiciones, no lo hará ni como fruto de otras semillas ni de otros procesos formativos como su condición; y esas semillas o procesos formativos no ocuparán por sí mismos el lugar donde esté el fruto. Ésta es la analogía al respecto. Y el significado también podrá entenderse por el hecho de que las artes, los oficios, la medicina, etc., aprendidas en la juventud darán su fruto más tarde en la madurez.</w:t>
      </w:r>
    </w:p>
    <w:p w14:paraId="5B6737D5" w14:textId="77777777" w:rsidR="00597DE2" w:rsidRPr="00DC1A5F" w:rsidRDefault="00597DE2" w:rsidP="00597DE2">
      <w:pPr>
        <w:pStyle w:val="Textoindependiente"/>
      </w:pPr>
      <w:r w:rsidRPr="00DC1A5F">
        <w:t xml:space="preserve">171. </w:t>
      </w:r>
      <w:r w:rsidRPr="00DC1A5F">
        <w:tab/>
        <w:t>Ahora, también se preguntó: “¿De quién será el fruto, ya que no existe ningún experimentador?” Aquí la respuesta:</w:t>
      </w:r>
    </w:p>
    <w:p w14:paraId="21D5C10B" w14:textId="77777777" w:rsidR="00597DE2" w:rsidRPr="00DC1A5F" w:rsidRDefault="00597DE2" w:rsidP="00597DE2">
      <w:pPr>
        <w:pStyle w:val="VersoIngls01Sangria"/>
        <w:rPr>
          <w:sz w:val="16"/>
          <w:szCs w:val="20"/>
        </w:rPr>
      </w:pPr>
      <w:r w:rsidRPr="00DC1A5F">
        <w:rPr>
          <w:sz w:val="16"/>
          <w:szCs w:val="20"/>
        </w:rPr>
        <w:t>El “Experimentador” corresponderá a una convención</w:t>
      </w:r>
    </w:p>
    <w:p w14:paraId="205B9498" w14:textId="77777777" w:rsidR="00597DE2" w:rsidRPr="00DC1A5F" w:rsidRDefault="00597DE2" w:rsidP="00597DE2">
      <w:pPr>
        <w:pStyle w:val="VersoIngls01Sangria"/>
        <w:rPr>
          <w:sz w:val="16"/>
          <w:szCs w:val="20"/>
        </w:rPr>
      </w:pPr>
      <w:r w:rsidRPr="00DC1A5F">
        <w:rPr>
          <w:sz w:val="16"/>
          <w:szCs w:val="20"/>
        </w:rPr>
        <w:t>Del simple surgimiento del fruto o efecto;</w:t>
      </w:r>
    </w:p>
    <w:p w14:paraId="74605DA3" w14:textId="77777777" w:rsidR="00597DE2" w:rsidRPr="00DC1A5F" w:rsidRDefault="00597DE2" w:rsidP="00597DE2">
      <w:pPr>
        <w:pStyle w:val="VersoIngls01Sangria"/>
        <w:rPr>
          <w:sz w:val="16"/>
          <w:szCs w:val="20"/>
        </w:rPr>
      </w:pPr>
      <w:r w:rsidRPr="00DC1A5F">
        <w:rPr>
          <w:sz w:val="16"/>
          <w:szCs w:val="20"/>
        </w:rPr>
        <w:t>Se dice convencionalmente que “da frutos”</w:t>
      </w:r>
    </w:p>
    <w:p w14:paraId="2FF52EED" w14:textId="77777777" w:rsidR="00597DE2" w:rsidRPr="00DC1A5F" w:rsidRDefault="00597DE2" w:rsidP="00597DE2">
      <w:pPr>
        <w:pStyle w:val="VersoIngls01Sangria"/>
        <w:spacing w:after="100"/>
        <w:ind w:left="1418"/>
        <w:rPr>
          <w:sz w:val="16"/>
          <w:szCs w:val="20"/>
        </w:rPr>
      </w:pPr>
      <w:r w:rsidRPr="00DC1A5F">
        <w:rPr>
          <w:sz w:val="16"/>
          <w:szCs w:val="20"/>
        </w:rPr>
        <w:t>Un árbol cuanto en éste aparezca su fruto.</w:t>
      </w:r>
    </w:p>
    <w:p w14:paraId="6C16058C" w14:textId="77777777" w:rsidR="00597DE2" w:rsidRPr="00DC1A5F" w:rsidRDefault="00597DE2" w:rsidP="00597DE2">
      <w:r w:rsidRPr="00DC1A5F">
        <w:t xml:space="preserve">172. </w:t>
      </w:r>
      <w:r w:rsidRPr="00DC1A5F">
        <w:tab/>
        <w:t>Así como es simplemente debido al surgimiento de los frutos del árbol, que son una parte del fenómeno llamado árbol, se dice “El árbol da frutos” o “El árbol ha dado un fruto”, así también, es simplemente debido al surgimiento del efecto consistente de placer y dolor denominado experiencia, el cual parte simplemente de los agregados denominados “deidades” y “seres humanos”, por los que se dice “Una deidad o un ser humano experimenta o siente placer o dolor”. Por lo tanto, aquí no habrá necesidad de un experimentador aparente en lo absoluto.</w:t>
      </w:r>
    </w:p>
    <w:p w14:paraId="23DFC8B1" w14:textId="77777777" w:rsidR="00597DE2" w:rsidRPr="00DC1A5F" w:rsidRDefault="00597DE2" w:rsidP="00597DE2">
      <w:r w:rsidRPr="00DC1A5F">
        <w:t xml:space="preserve">173. </w:t>
      </w:r>
      <w:r w:rsidRPr="00DC1A5F">
        <w:tab/>
        <w:t>No obstante, puede decirse: “Eso podrá ser así; pero entonces estas formaciones deben ser condiciones para el efecto cuando estén presentes o cuando no estén presentes, y si lo fuesen cuando estén presentes, su resultado debería ocurrir solo en el momento de su ocurrencia; pero si fuese cuando no estén presentes, deberían producir un efecto constantemente tanto antes como después de su ocurrencia.” Al respecto se puede responder:</w:t>
      </w:r>
    </w:p>
    <w:p w14:paraId="5B22F974" w14:textId="77777777" w:rsidR="00597DE2" w:rsidRPr="00DC1A5F" w:rsidRDefault="00597DE2" w:rsidP="00597DE2">
      <w:pPr>
        <w:pStyle w:val="VersoIngls01Sangria"/>
        <w:rPr>
          <w:sz w:val="16"/>
          <w:szCs w:val="20"/>
        </w:rPr>
      </w:pPr>
      <w:r w:rsidRPr="00DC1A5F">
        <w:rPr>
          <w:sz w:val="16"/>
          <w:szCs w:val="20"/>
        </w:rPr>
        <w:t>Éstas serán condiciones cuando se realicen;</w:t>
      </w:r>
    </w:p>
    <w:p w14:paraId="67C8B819" w14:textId="77777777" w:rsidR="00597DE2" w:rsidRPr="00DC1A5F" w:rsidRDefault="00597DE2" w:rsidP="00597DE2">
      <w:pPr>
        <w:pStyle w:val="VersoIngls01Sangria"/>
        <w:rPr>
          <w:sz w:val="16"/>
          <w:szCs w:val="20"/>
        </w:rPr>
      </w:pPr>
      <w:r w:rsidRPr="00DC1A5F">
        <w:rPr>
          <w:sz w:val="16"/>
          <w:szCs w:val="20"/>
        </w:rPr>
        <w:t>Darán lugar a un efecto una vez, pero no otra;</w:t>
      </w:r>
    </w:p>
    <w:p w14:paraId="1A4B7292" w14:textId="77777777" w:rsidR="00597DE2" w:rsidRPr="00DC1A5F" w:rsidRDefault="00597DE2" w:rsidP="00597DE2">
      <w:pPr>
        <w:pStyle w:val="VersoIngls01Sangria"/>
        <w:rPr>
          <w:sz w:val="16"/>
          <w:szCs w:val="20"/>
        </w:rPr>
      </w:pPr>
      <w:r w:rsidRPr="00DC1A5F">
        <w:rPr>
          <w:sz w:val="16"/>
          <w:szCs w:val="20"/>
        </w:rPr>
        <w:t>El agente y tales símiles</w:t>
      </w:r>
    </w:p>
    <w:p w14:paraId="5B771C8F" w14:textId="77777777" w:rsidR="00597DE2" w:rsidRPr="00DC1A5F" w:rsidRDefault="00597DE2" w:rsidP="00597DE2">
      <w:pPr>
        <w:pStyle w:val="VersoIngls01Sangria"/>
        <w:spacing w:after="100"/>
        <w:ind w:left="1418"/>
        <w:rPr>
          <w:sz w:val="16"/>
          <w:szCs w:val="20"/>
        </w:rPr>
      </w:pPr>
      <w:r w:rsidRPr="00DC1A5F">
        <w:rPr>
          <w:sz w:val="16"/>
          <w:szCs w:val="20"/>
        </w:rPr>
        <w:t>Servirá para entender el significado.</w:t>
      </w:r>
    </w:p>
    <w:p w14:paraId="038F8BC5" w14:textId="77777777" w:rsidR="00597DE2" w:rsidRPr="00DC1A5F" w:rsidRDefault="00597DE2" w:rsidP="00597DE2">
      <w:r w:rsidRPr="00DC1A5F">
        <w:t xml:space="preserve">174. </w:t>
      </w:r>
      <w:r w:rsidRPr="00DC1A5F">
        <w:tab/>
        <w:t xml:space="preserve">Las formaciones serán condiciones para su propio efecto porque se habrán realizado, no debido a la presencia o no–presencia, según se dice al respecto: [556] “Debido a que se habrá cometido un </w:t>
      </w:r>
      <w:proofErr w:type="spellStart"/>
      <w:r w:rsidRPr="00DC1A5F">
        <w:rPr>
          <w:i/>
        </w:rPr>
        <w:t>kamma</w:t>
      </w:r>
      <w:proofErr w:type="spellEnd"/>
      <w:r w:rsidRPr="00DC1A5F">
        <w:t xml:space="preserve"> productivo de la esfera sensorial almacenado en el pasado, la consciencia visual resultante surgirá en el presente” (</w:t>
      </w:r>
      <w:proofErr w:type="spellStart"/>
      <w:r w:rsidRPr="00DC1A5F">
        <w:t>Dhs</w:t>
      </w:r>
      <w:proofErr w:type="spellEnd"/>
      <w:r w:rsidRPr="00DC1A5F">
        <w:t xml:space="preserve"> §431), y así sucesivamente. Habiéndose convertido en condiciones para su propio efecto según su capacidad, ya no darán más efectos porque el </w:t>
      </w:r>
    </w:p>
    <w:p w14:paraId="34F1B4A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7ACF57D" w14:textId="77777777" w:rsidR="00597DE2" w:rsidRPr="00DC1A5F" w:rsidRDefault="00597DE2" w:rsidP="00597DE2">
      <w:pPr>
        <w:pStyle w:val="PiedepginaLegal"/>
        <w:numPr>
          <w:ilvl w:val="0"/>
          <w:numId w:val="6"/>
        </w:numPr>
        <w:tabs>
          <w:tab w:val="clear" w:pos="425"/>
        </w:tabs>
        <w:spacing w:after="160"/>
        <w:ind w:left="284" w:hanging="284"/>
      </w:pPr>
      <w:proofErr w:type="spellStart"/>
      <w:r w:rsidRPr="00DC1A5F">
        <w:rPr>
          <w:i/>
          <w:iCs/>
        </w:rPr>
        <w:t>Paṭisiddhattā</w:t>
      </w:r>
      <w:proofErr w:type="spellEnd"/>
      <w:r w:rsidRPr="00DC1A5F">
        <w:rPr>
          <w:i/>
          <w:iCs/>
        </w:rPr>
        <w:t xml:space="preserve"> </w:t>
      </w:r>
      <w:r w:rsidRPr="00DC1A5F">
        <w:t xml:space="preserve">— “debido a… excluido”: </w:t>
      </w:r>
      <w:proofErr w:type="spellStart"/>
      <w:r w:rsidRPr="00DC1A5F">
        <w:rPr>
          <w:i/>
          <w:iCs/>
        </w:rPr>
        <w:t>paṭisiddha</w:t>
      </w:r>
      <w:proofErr w:type="spellEnd"/>
      <w:r w:rsidRPr="00DC1A5F">
        <w:t xml:space="preserve"> no está en el PED. </w:t>
      </w:r>
      <w:proofErr w:type="spellStart"/>
      <w:r w:rsidRPr="00DC1A5F">
        <w:rPr>
          <w:i/>
          <w:iCs/>
        </w:rPr>
        <w:t>Abhisaṅkhāra</w:t>
      </w:r>
      <w:proofErr w:type="spellEnd"/>
      <w:r w:rsidRPr="00DC1A5F">
        <w:t xml:space="preserve"> aquí podría significar “trabajo de plantación”, no “procesos formativos”.</w:t>
      </w:r>
      <w:r w:rsidRPr="00DC1A5F">
        <w:br w:type="page"/>
      </w:r>
    </w:p>
    <w:p w14:paraId="01528F6F" w14:textId="77777777" w:rsidR="00597DE2" w:rsidRPr="00DC1A5F" w:rsidRDefault="00597DE2" w:rsidP="00597DE2">
      <w:pPr>
        <w:pStyle w:val="Textoindependiente"/>
      </w:pPr>
    </w:p>
    <w:p w14:paraId="575552B0" w14:textId="77777777" w:rsidR="00597DE2" w:rsidRPr="00DC1A5F" w:rsidRDefault="00597DE2" w:rsidP="00597DE2">
      <w:pPr>
        <w:pStyle w:val="Textoindependiente"/>
      </w:pPr>
      <w:r w:rsidRPr="00DC1A5F">
        <w:t xml:space="preserve">resultado ya habrá madurado. Y al explicar el significado de esto deberá entenderse la analogía del agente, etc. Porque así como en el mundo, cuando alguien se convierte en agente con el objetivo de concretar un negocio u otro, se compran bienes, digamos, u obtienen un préstamo, será simplemente el hecho de que se realice la condición de la transacción lo que dará lugar a la consumación de ese negocio, no la presencia ni la no–presencia real de la transacción; el cual después de la terminación del asunto no tendrá ninguna relevancia. ¿Por qué no? Porque el negocio se habrá completado. Por lo tanto, es porque se habrán realizado que las formaciones serán condiciones para su propio efecto y éstas no darán más efectos después de que ya hayan dado su respectivo efecto </w:t>
      </w:r>
      <w:proofErr w:type="gramStart"/>
      <w:r w:rsidRPr="00DC1A5F">
        <w:t>de acuerdo a</w:t>
      </w:r>
      <w:proofErr w:type="gramEnd"/>
      <w:r w:rsidRPr="00DC1A5F">
        <w:t xml:space="preserve"> su capacidad.</w:t>
      </w:r>
    </w:p>
    <w:p w14:paraId="7F522112" w14:textId="77777777" w:rsidR="00597DE2" w:rsidRPr="00DC1A5F" w:rsidRDefault="00597DE2" w:rsidP="00597DE2">
      <w:pPr>
        <w:pStyle w:val="NormalConSangria"/>
      </w:pPr>
      <w:r w:rsidRPr="00DC1A5F">
        <w:t>Hasta este punto, se ha ilustrado la ocurrencia de la consciencia del vínculo–de–renacimiento, con las formaciones como condición, las cuales ocurrirán en dos formas, como mixtas y no–mixtas con materialidad.</w:t>
      </w:r>
    </w:p>
    <w:p w14:paraId="0CCBB3DE" w14:textId="77777777" w:rsidR="00597DE2" w:rsidRPr="00DC1A5F" w:rsidRDefault="00597DE2" w:rsidP="00597DE2">
      <w:pPr>
        <w:pStyle w:val="Ttulo7"/>
      </w:pPr>
      <w:r w:rsidRPr="00DC1A5F">
        <w:t>[(3) Cómo las Formaciones son una Condición para la Consciencia]</w:t>
      </w:r>
    </w:p>
    <w:p w14:paraId="7DBFF6BB" w14:textId="77777777" w:rsidR="00597DE2" w:rsidRPr="00DC1A5F" w:rsidRDefault="00597DE2" w:rsidP="00597DE2">
      <w:r w:rsidRPr="00DC1A5F">
        <w:t xml:space="preserve">175. </w:t>
      </w:r>
      <w:r w:rsidRPr="00DC1A5F">
        <w:tab/>
        <w:t>Ahora bien, para eliminar la confusión acerca de estos 32 tipos de consciencia resultante:</w:t>
      </w:r>
    </w:p>
    <w:p w14:paraId="48694EC8" w14:textId="77777777" w:rsidR="00597DE2" w:rsidRPr="00DC1A5F" w:rsidRDefault="00597DE2" w:rsidP="00597DE2">
      <w:pPr>
        <w:pStyle w:val="VersoIngls01Sangria"/>
        <w:rPr>
          <w:sz w:val="16"/>
          <w:szCs w:val="20"/>
        </w:rPr>
      </w:pPr>
      <w:r w:rsidRPr="00DC1A5F">
        <w:rPr>
          <w:sz w:val="16"/>
          <w:szCs w:val="20"/>
        </w:rPr>
        <w:t xml:space="preserve">Uno debe ver de estas formaciones </w:t>
      </w:r>
    </w:p>
    <w:p w14:paraId="0B002966" w14:textId="77777777" w:rsidR="00597DE2" w:rsidRPr="00DC1A5F" w:rsidRDefault="00597DE2" w:rsidP="00597DE2">
      <w:pPr>
        <w:pStyle w:val="VersoIngls01Sangria"/>
        <w:rPr>
          <w:sz w:val="16"/>
          <w:szCs w:val="20"/>
        </w:rPr>
      </w:pPr>
      <w:r w:rsidRPr="00DC1A5F">
        <w:rPr>
          <w:sz w:val="16"/>
          <w:szCs w:val="20"/>
        </w:rPr>
        <w:t>Para qué y cómo llegan a ser condiciones</w:t>
      </w:r>
    </w:p>
    <w:p w14:paraId="2040E042" w14:textId="77777777" w:rsidR="00597DE2" w:rsidRPr="00DC1A5F" w:rsidRDefault="00597DE2" w:rsidP="00597DE2">
      <w:pPr>
        <w:pStyle w:val="VersoIngls01Sangria"/>
        <w:rPr>
          <w:sz w:val="16"/>
          <w:szCs w:val="20"/>
        </w:rPr>
      </w:pPr>
      <w:r w:rsidRPr="00DC1A5F">
        <w:rPr>
          <w:sz w:val="16"/>
          <w:szCs w:val="20"/>
        </w:rPr>
        <w:t>Para el nacimiento y la vida en los tres</w:t>
      </w:r>
    </w:p>
    <w:p w14:paraId="73E81246" w14:textId="77777777" w:rsidR="00597DE2" w:rsidRPr="00DC1A5F" w:rsidRDefault="00597DE2" w:rsidP="00597DE2">
      <w:pPr>
        <w:pStyle w:val="VersoIngls01Sangria"/>
        <w:spacing w:after="100"/>
        <w:ind w:left="1418"/>
        <w:rPr>
          <w:sz w:val="16"/>
          <w:szCs w:val="20"/>
        </w:rPr>
      </w:pPr>
      <w:r w:rsidRPr="00DC1A5F">
        <w:rPr>
          <w:sz w:val="16"/>
          <w:szCs w:val="20"/>
        </w:rPr>
        <w:t>Tipos de devenir y el resto.</w:t>
      </w:r>
    </w:p>
    <w:p w14:paraId="29120084" w14:textId="77777777" w:rsidR="00597DE2" w:rsidRPr="00DC1A5F" w:rsidRDefault="00597DE2" w:rsidP="00597DE2">
      <w:r w:rsidRPr="00DC1A5F">
        <w:t xml:space="preserve">176. </w:t>
      </w:r>
      <w:r w:rsidRPr="00DC1A5F">
        <w:tab/>
        <w:t>Aquí, las 3 clases de devenir, las 4 clases de generación, las 5 clases de destino, las 7 estaciones de consciencia y los 9 planos de los seres corresponderá a lo que se denomine “Los tipos de devenir y el resto”. El significado es que debe reconocerse para qué tipos de consciencia resultante estas formaciones llegarán a ser ​​condiciones en el vínculo–de–renacimiento y en el curso de una existencia individual y de qué manera serán condiciones en los diversos tipos de devenir, etc.</w:t>
      </w:r>
    </w:p>
    <w:p w14:paraId="32AA8FCF" w14:textId="77777777" w:rsidR="00597DE2" w:rsidRPr="00DC1A5F" w:rsidRDefault="00597DE2" w:rsidP="00597DE2">
      <w:r w:rsidRPr="00DC1A5F">
        <w:t xml:space="preserve">177. </w:t>
      </w:r>
      <w:r w:rsidRPr="00DC1A5F">
        <w:tab/>
        <w:t xml:space="preserve">Aquí, en primer lugar, en lo que respecta a la formación meritoria: la formación meritoria que comprenda las 8 voliciones de la esfera sensorial ((1)–(8)) será una condición de 2 maneras: como condición de </w:t>
      </w:r>
      <w:proofErr w:type="spellStart"/>
      <w:r w:rsidRPr="00DC1A5F">
        <w:rPr>
          <w:i/>
        </w:rPr>
        <w:t>kamma</w:t>
      </w:r>
      <w:proofErr w:type="spellEnd"/>
      <w:r w:rsidRPr="00DC1A5F">
        <w:t xml:space="preserve"> la cual actuará desde un momento diferente y como condición de soporte decisivo, igualmente será para todos los 9 tipos de consciencia resultantes ((41)–(49)) en el vínculo–de–renacimiento en un destino feliz en el devenir de la esfera sensorial. Esa formación comprendida de las 5 voliciones productivas de la esfera de la materia sutil ((9)–(13)) será una condición de la misma manera para los 5 tipos de vínculo–de–renacimiento en el devenir de la materia sutil ((57)–(61)).</w:t>
      </w:r>
    </w:p>
    <w:p w14:paraId="545BD975" w14:textId="77777777" w:rsidR="00597DE2" w:rsidRPr="00DC1A5F" w:rsidRDefault="00597DE2" w:rsidP="00597DE2">
      <w:r w:rsidRPr="00DC1A5F">
        <w:t xml:space="preserve">178. </w:t>
      </w:r>
      <w:r w:rsidRPr="00DC1A5F">
        <w:tab/>
        <w:t>La división de la esfera sensorial, como se ha dicho anteriormente, será una condición de 2 maneras para los 7 tipos de consciencia resultante de la esfera limitada ((34)–(40)) — excluyendo el elemento de la consciencia mental sin causa–raíz acompañada de ecuanimidad (41) — en el curso de una existencia, pero no en el renacimiento, de los destinos felices en el devenir de la esfera sensorial. Y esa misma formación será una condición igualmente para los 5 tipos de consciencia resultante ((34), (35), (39)–(41)) en el curso de una existencia, no en el vínculo–de–renacimiento, en el devenir de la materia sutil. Ésta será una condición igualmente para los 8 tipos de consciencia resultante de la esfera limitada ((34)–(41)) en el curso de la existencia, no en el vínculo–de–renacimiento, en los destinos infelices, en el devenir de la esfera sensorial. [557]</w:t>
      </w:r>
    </w:p>
    <w:p w14:paraId="62B22E80" w14:textId="77777777" w:rsidR="00597DE2" w:rsidRPr="00DC1A5F" w:rsidRDefault="00597DE2" w:rsidP="00597DE2">
      <w:pPr>
        <w:tabs>
          <w:tab w:val="clear" w:pos="425"/>
        </w:tabs>
        <w:spacing w:after="160"/>
      </w:pPr>
      <w:r w:rsidRPr="00DC1A5F">
        <w:br w:type="page"/>
      </w:r>
    </w:p>
    <w:p w14:paraId="68AECBE6" w14:textId="77777777" w:rsidR="00597DE2" w:rsidRPr="00DC1A5F" w:rsidRDefault="00597DE2" w:rsidP="00597DE2">
      <w:pPr>
        <w:pStyle w:val="Textoindependiente"/>
      </w:pPr>
      <w:r w:rsidRPr="00DC1A5F">
        <w:lastRenderedPageBreak/>
        <w:t>Ya que entonces será una condición para que tal consciencia resultante productiva ocurra en el infierno al encontrarse con un objeto deseable en tales ocasiones como con las visitas al infierno del Venerable Mahā Moggallāna, etc. No obstante, también entre los animales y los poderosos fantasmas se obtendrá un objeto deseable a través de la misma condición.</w:t>
      </w:r>
    </w:p>
    <w:p w14:paraId="14D129DF" w14:textId="77777777" w:rsidR="00597DE2" w:rsidRPr="00DC1A5F" w:rsidRDefault="00597DE2" w:rsidP="00597DE2">
      <w:r w:rsidRPr="00DC1A5F">
        <w:t xml:space="preserve">179. </w:t>
      </w:r>
      <w:r w:rsidRPr="00DC1A5F">
        <w:tab/>
        <w:t>Estas 8 formaciones meritorias serán también una condición para 16 tipos de consciencia resultante productiva en el curso de una existencia ((34)–(41)) y para el vínculo–de–renacimiento ((42)–(49)) en los destinos felices del devenir de la esfera sensorial. También será una condición equivalente para los diez tipos de consciencia resultantes en el curso de una existencia ((34), (35), (39)–(41)) y para el vínculo–de–renacimiento ((57)–(61)) en el devenir de la materia sutil.</w:t>
      </w:r>
    </w:p>
    <w:p w14:paraId="37401865" w14:textId="77777777" w:rsidR="00597DE2" w:rsidRPr="00DC1A5F" w:rsidRDefault="00597DE2" w:rsidP="00597DE2">
      <w:pPr>
        <w:rPr>
          <w:vertAlign w:val="superscript"/>
        </w:rPr>
      </w:pPr>
      <w:r w:rsidRPr="00DC1A5F">
        <w:t xml:space="preserve">180. </w:t>
      </w:r>
      <w:r w:rsidRPr="00DC1A5F">
        <w:tab/>
        <w:t xml:space="preserve">La </w:t>
      </w:r>
      <w:r w:rsidRPr="00DC1A5F">
        <w:rPr>
          <w:i/>
          <w:iCs/>
        </w:rPr>
        <w:t>formación demeritoria</w:t>
      </w:r>
      <w:r w:rsidRPr="00DC1A5F">
        <w:t xml:space="preserve">, comprendida por las 12 voliciones improductivas ((22)–(33)), será una condición igualmente para los destinos infelices de la esfera sensorial que se convertirá en un tipo de consciencia del vínculo–de–renacimiento (56), no en el curso de una existencia; también será una condición para los 6 tipos en el curso de una existencia ((50)–(55)), no en el vínculo–de–renacimiento y para todos los 7 tipos, en parte en el curso de una existencia y en parte en el vínculo–de–renacimiento. Y en los destinos felices del devenir de la esfera sensorial, será una condición equivalente para esos mismos 7 tipos en el curso de una existencia, no en el vínculo–de–renacimiento. En el devenir de la materia sutil, será una condición equivalente para los 4 tipos de consciencia resultante ((50)–(51), (55), (56)) en el curso de una existencia, no en el vínculo–de–renacimiento. Entonces será una condición para que los </w:t>
      </w:r>
      <w:r w:rsidRPr="00DC1A5F">
        <w:rPr>
          <w:i/>
        </w:rPr>
        <w:t>Brahmās</w:t>
      </w:r>
      <w:r w:rsidRPr="00DC1A5F">
        <w:t xml:space="preserve"> vean objetos visibles indeseables y escuchen sonidos indeseables que estarán en la esfera sensorial: no existirá objetos visibles indeseables, etc., en el mismo plano</w:t>
      </w:r>
      <w:r w:rsidRPr="00DC1A5F">
        <w:rPr>
          <w:i/>
          <w:iCs/>
        </w:rPr>
        <w:t>–</w:t>
      </w:r>
      <w:r w:rsidRPr="00DC1A5F">
        <w:rPr>
          <w:i/>
        </w:rPr>
        <w:t>Brahmā</w:t>
      </w:r>
      <w:r w:rsidRPr="00DC1A5F">
        <w:t>; e igualmente en el plano</w:t>
      </w:r>
      <w:r w:rsidRPr="00DC1A5F">
        <w:rPr>
          <w:i/>
          <w:iCs/>
        </w:rPr>
        <w:t>–</w:t>
      </w:r>
      <w:r w:rsidRPr="00DC1A5F">
        <w:t>divino de la esfera sensorial.</w:t>
      </w:r>
      <w:r w:rsidRPr="00DC1A5F">
        <w:rPr>
          <w:vertAlign w:val="superscript"/>
        </w:rPr>
        <w:t>33</w:t>
      </w:r>
    </w:p>
    <w:p w14:paraId="30F4A000" w14:textId="77777777" w:rsidR="00597DE2" w:rsidRPr="00DC1A5F" w:rsidRDefault="00597DE2" w:rsidP="00597DE2">
      <w:r w:rsidRPr="00DC1A5F">
        <w:t xml:space="preserve">181. </w:t>
      </w:r>
      <w:r w:rsidRPr="00DC1A5F">
        <w:tab/>
        <w:t xml:space="preserve">La </w:t>
      </w:r>
      <w:r w:rsidRPr="00DC1A5F">
        <w:rPr>
          <w:i/>
          <w:iCs/>
        </w:rPr>
        <w:t>formación de lo imperturbable</w:t>
      </w:r>
      <w:r w:rsidRPr="00DC1A5F">
        <w:t xml:space="preserve"> será una condición igualmente para cuatro tipos de consciencia resultante ((62)–(65)) en el curso de una existencia y en el vínculo–de–renacimiento en el devenir inmaterial.</w:t>
      </w:r>
    </w:p>
    <w:p w14:paraId="33AAFA84" w14:textId="77777777" w:rsidR="00597DE2" w:rsidRPr="00DC1A5F" w:rsidRDefault="00597DE2" w:rsidP="00597DE2">
      <w:pPr>
        <w:pStyle w:val="NormalConSangria"/>
      </w:pPr>
      <w:r w:rsidRPr="00DC1A5F">
        <w:t>Es así, en primer lugar, cómo deberá entenderse para qué tipos de consciencia resultante estas formaciones serán condiciones en el vínculo–de–renacimiento y en los 3 tipos de devenir y de qué manera serán sus condiciones. Y también deberá entenderse de la misma manera para los tipos de generación, etc.</w:t>
      </w:r>
    </w:p>
    <w:p w14:paraId="41595D9D" w14:textId="77777777" w:rsidR="00597DE2" w:rsidRPr="00DC1A5F" w:rsidRDefault="00597DE2" w:rsidP="00597DE2">
      <w:r w:rsidRPr="00DC1A5F">
        <w:t xml:space="preserve">182. </w:t>
      </w:r>
      <w:r w:rsidRPr="00DC1A5F">
        <w:tab/>
        <w:t xml:space="preserve">Aquí se hará una declaración en simples términos comenzando desde el principio. De estas 3 clases de formaciones, en primer lugar, la formación meritoria, cuando dé lugar al vínculo–de–renacimiento, producirá la totalidad de su resultado en 2 de las clases de devenir; asimismo en las 4 clases de generación comenzando por el nacido de un huevo, en 2 de las clases de destino, es decir, el divino y el humano; en 4 de las estaciones de consciencia, [la humana, y los planos del primer, segundo y tercer </w:t>
      </w:r>
      <w:proofErr w:type="spellStart"/>
      <w:r w:rsidRPr="00DC1A5F">
        <w:rPr>
          <w:i/>
        </w:rPr>
        <w:t>jhāna</w:t>
      </w:r>
      <w:proofErr w:type="spellEnd"/>
      <w:r w:rsidRPr="00DC1A5F">
        <w:t xml:space="preserve">] descritas así, “Diferentes en cuerpo y diferentes en percepción… diferentes en cuerpo e iguales en percepción… iguales en cuerpo y diferentes en percepción… iguales en cuerpo e iguales en percepción…;” (D III 253) y en </w:t>
      </w:r>
    </w:p>
    <w:p w14:paraId="1C692AB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997E6A1" w14:textId="77777777" w:rsidR="00597DE2" w:rsidRPr="00DC1A5F" w:rsidRDefault="00597DE2" w:rsidP="00597DE2">
      <w:pPr>
        <w:pStyle w:val="PiedepginaLegal"/>
        <w:numPr>
          <w:ilvl w:val="0"/>
          <w:numId w:val="6"/>
        </w:numPr>
        <w:tabs>
          <w:tab w:val="clear" w:pos="425"/>
        </w:tabs>
        <w:spacing w:after="160"/>
        <w:ind w:left="284" w:hanging="284"/>
      </w:pPr>
      <w:r w:rsidRPr="00DC1A5F">
        <w:t xml:space="preserve">El </w:t>
      </w:r>
      <w:proofErr w:type="spellStart"/>
      <w:r w:rsidRPr="00DC1A5F">
        <w:t>Vism</w:t>
      </w:r>
      <w:proofErr w:type="spellEnd"/>
      <w:r w:rsidRPr="00DC1A5F">
        <w:t>–</w:t>
      </w:r>
      <w:proofErr w:type="spellStart"/>
      <w:r w:rsidRPr="00DC1A5F">
        <w:t>mhṭ</w:t>
      </w:r>
      <w:proofErr w:type="spellEnd"/>
      <w:r w:rsidRPr="00DC1A5F">
        <w:t xml:space="preserve"> indica que esto suele ocurrir así, pero no siempre, ya que las deidades ven tales presagios de su muerte mediante el </w:t>
      </w:r>
      <w:r w:rsidRPr="00DC1A5F">
        <w:rPr>
          <w:i/>
          <w:iCs/>
        </w:rPr>
        <w:t>marchitamiento</w:t>
      </w:r>
      <w:r w:rsidRPr="00DC1A5F">
        <w:t xml:space="preserve"> de sus flores, etc., que corresponderán a objetos visibles indeseables (ver nota 43).</w:t>
      </w:r>
    </w:p>
    <w:p w14:paraId="23775A8C" w14:textId="77777777" w:rsidR="00597DE2" w:rsidRPr="00DC1A5F" w:rsidRDefault="00597DE2" w:rsidP="00597DE2">
      <w:pPr>
        <w:tabs>
          <w:tab w:val="clear" w:pos="425"/>
        </w:tabs>
        <w:spacing w:after="160"/>
      </w:pPr>
      <w:r w:rsidRPr="00DC1A5F">
        <w:br w:type="page"/>
      </w:r>
    </w:p>
    <w:p w14:paraId="34D97F35" w14:textId="77777777" w:rsidR="00597DE2" w:rsidRPr="00DC1A5F" w:rsidRDefault="00597DE2" w:rsidP="00597DE2">
      <w:pPr>
        <w:pStyle w:val="Textoindependiente"/>
      </w:pPr>
    </w:p>
    <w:p w14:paraId="16F1DFA2" w14:textId="77777777" w:rsidR="00597DE2" w:rsidRPr="00DC1A5F" w:rsidRDefault="00597DE2" w:rsidP="00597DE2">
      <w:pPr>
        <w:pStyle w:val="Textoindependiente"/>
      </w:pPr>
    </w:p>
    <w:p w14:paraId="581D1959" w14:textId="77777777" w:rsidR="00597DE2" w:rsidRPr="00DC1A5F" w:rsidRDefault="00597DE2" w:rsidP="00597DE2">
      <w:pPr>
        <w:pStyle w:val="Textoindependiente"/>
      </w:pPr>
      <w:r w:rsidRPr="00DC1A5F">
        <w:t>sólo 4 planos existenciales, porque en los planos de los no percipientes sólo se formará la materialidad. Por lo tanto, será una condición en la forma ya establecida para los 21 tipos de consciencia resultante en estos 2 tipos de devenir, 4 tipos de generación, 2 tipos de destino, 4 estaciones de consciencia y 4 planos existenciales según se produzcan en el vínculo–de–renacimiento ((41)–(49), (57)–(61)) [558] y en el curso de una existencia ((34)–(41)), según corresponda.</w:t>
      </w:r>
    </w:p>
    <w:p w14:paraId="6F6260D1" w14:textId="77777777" w:rsidR="00597DE2" w:rsidRPr="00DC1A5F" w:rsidRDefault="00597DE2" w:rsidP="00597DE2">
      <w:r w:rsidRPr="00DC1A5F">
        <w:t xml:space="preserve">183. </w:t>
      </w:r>
      <w:r w:rsidRPr="00DC1A5F">
        <w:tab/>
        <w:t>La formación demeritoria como vínculo–de–renacimiento madurará en la esfera sensorial convirtiéndose únicamente en los 4 tipos de generación, en los 3 destinos restantes, en la única estación de consciencia descrita así “diferente en cuerpo e igual en percepción” (D III 253), y en el correspondiente plano existencial. Por lo tanto, será una condición en la forma ya establecida para las 7 clases de consciencia resultante en 1 clase de devenir, en 4 clases de generación, en 3 clases de destino, en 1 estación de consciencia y en 1 plano existencial, ambos en el vínculo renacimiento (56) y en el curso de una existencia ((50)–(56)).</w:t>
      </w:r>
    </w:p>
    <w:p w14:paraId="2C292AF0" w14:textId="77777777" w:rsidR="00597DE2" w:rsidRPr="00DC1A5F" w:rsidRDefault="00597DE2" w:rsidP="00597DE2">
      <w:pPr>
        <w:rPr>
          <w:vertAlign w:val="superscript"/>
        </w:rPr>
      </w:pPr>
      <w:r w:rsidRPr="00DC1A5F">
        <w:t xml:space="preserve">184. </w:t>
      </w:r>
      <w:r w:rsidRPr="00DC1A5F">
        <w:tab/>
        <w:t xml:space="preserve">La formación de lo imperturbable como vínculo–de–renacimiento madurará en el devenir inmaterial, solamente en el tipo de generación </w:t>
      </w:r>
      <w:proofErr w:type="spellStart"/>
      <w:r w:rsidRPr="00DC1A5F">
        <w:t>aparicional</w:t>
      </w:r>
      <w:proofErr w:type="spellEnd"/>
      <w:r w:rsidRPr="00DC1A5F">
        <w:t>, solamente en el destino divino, en las tres estaciones de consciencia comenzando con la base consistente del espacio infinito y en los 4 planos existenciales que comenzarán con la base consistente del espacio infinito ((62)– (65)). Por lo tanto, será una condición en la forma ya establecida para los 4 tipos de consciencia en 1 tipo de devenir, en 1 tipo de generación, en 1 tipo de destino, en 3 estados de consciencia y en 4 planos existenciales, ambos en el vínculo–de–renacimiento y en el curso de un devenir.</w:t>
      </w:r>
      <w:r w:rsidRPr="00DC1A5F">
        <w:rPr>
          <w:vertAlign w:val="superscript"/>
        </w:rPr>
        <w:t>34</w:t>
      </w:r>
    </w:p>
    <w:p w14:paraId="4260FA27" w14:textId="77777777" w:rsidR="00597DE2" w:rsidRPr="00DC1A5F" w:rsidRDefault="00597DE2" w:rsidP="00597DE2">
      <w:r w:rsidRPr="00DC1A5F">
        <w:t xml:space="preserve">185. </w:t>
      </w:r>
      <w:r w:rsidRPr="00DC1A5F">
        <w:tab/>
        <w:t>Así es cómo:</w:t>
      </w:r>
    </w:p>
    <w:p w14:paraId="1D697027" w14:textId="77777777" w:rsidR="00597DE2" w:rsidRPr="00DC1A5F" w:rsidRDefault="00597DE2" w:rsidP="00597DE2">
      <w:pPr>
        <w:pStyle w:val="VersoIngls01Sangria"/>
        <w:rPr>
          <w:sz w:val="16"/>
          <w:szCs w:val="20"/>
        </w:rPr>
      </w:pPr>
      <w:r w:rsidRPr="00DC1A5F">
        <w:rPr>
          <w:sz w:val="16"/>
          <w:szCs w:val="20"/>
        </w:rPr>
        <w:t xml:space="preserve">Uno deberá ver estas formaciones </w:t>
      </w:r>
    </w:p>
    <w:p w14:paraId="710054AB" w14:textId="77777777" w:rsidR="00597DE2" w:rsidRPr="00DC1A5F" w:rsidRDefault="00597DE2" w:rsidP="00597DE2">
      <w:pPr>
        <w:pStyle w:val="VersoIngls01Sangria"/>
        <w:rPr>
          <w:sz w:val="16"/>
          <w:szCs w:val="20"/>
        </w:rPr>
      </w:pPr>
      <w:r w:rsidRPr="00DC1A5F">
        <w:rPr>
          <w:sz w:val="16"/>
          <w:szCs w:val="20"/>
        </w:rPr>
        <w:t>Para qué y cómo llegan a ser condiciones</w:t>
      </w:r>
    </w:p>
    <w:p w14:paraId="34BD0F6B" w14:textId="77777777" w:rsidR="00597DE2" w:rsidRPr="00DC1A5F" w:rsidRDefault="00597DE2" w:rsidP="00597DE2">
      <w:pPr>
        <w:pStyle w:val="VersoIngls01Sangria"/>
        <w:rPr>
          <w:sz w:val="16"/>
          <w:szCs w:val="20"/>
        </w:rPr>
      </w:pPr>
      <w:r w:rsidRPr="00DC1A5F">
        <w:rPr>
          <w:sz w:val="16"/>
          <w:szCs w:val="20"/>
        </w:rPr>
        <w:t>En el nacimiento, en la vida y en los tres</w:t>
      </w:r>
    </w:p>
    <w:p w14:paraId="540559E8" w14:textId="77777777" w:rsidR="00597DE2" w:rsidRPr="00DC1A5F" w:rsidRDefault="00597DE2" w:rsidP="00597DE2">
      <w:pPr>
        <w:pStyle w:val="VersoIngls01Sangria"/>
        <w:rPr>
          <w:sz w:val="16"/>
          <w:szCs w:val="20"/>
        </w:rPr>
      </w:pPr>
      <w:r w:rsidRPr="00DC1A5F">
        <w:rPr>
          <w:sz w:val="16"/>
          <w:szCs w:val="20"/>
        </w:rPr>
        <w:t>Tipos de devenir y el resto.</w:t>
      </w:r>
    </w:p>
    <w:p w14:paraId="6C56F18B" w14:textId="77777777" w:rsidR="00597DE2" w:rsidRPr="00DC1A5F" w:rsidRDefault="00597DE2" w:rsidP="00597DE2">
      <w:pPr>
        <w:pStyle w:val="VersoIngls01Sangria"/>
      </w:pPr>
    </w:p>
    <w:p w14:paraId="5E7D60A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AF1A397" w14:textId="77777777" w:rsidR="00597DE2" w:rsidRPr="00DC1A5F" w:rsidRDefault="00597DE2" w:rsidP="00597DE2">
      <w:pPr>
        <w:pStyle w:val="PiedepginaLegal"/>
        <w:numPr>
          <w:ilvl w:val="0"/>
          <w:numId w:val="6"/>
        </w:numPr>
        <w:tabs>
          <w:tab w:val="clear" w:pos="425"/>
        </w:tabs>
        <w:spacing w:after="160"/>
        <w:ind w:left="284" w:hanging="284"/>
      </w:pPr>
      <w:r w:rsidRPr="00DC1A5F">
        <w:rPr>
          <w:color w:val="auto"/>
          <w:u w:color="000000"/>
        </w:rPr>
        <w:t xml:space="preserve">Un texto Cingalés añade el siguiente párrafo: “También la formación corporal, al proporcionar el </w:t>
      </w:r>
      <w:r w:rsidRPr="00DC1A5F">
        <w:rPr>
          <w:color w:val="auto"/>
          <w:sz w:val="13"/>
          <w:szCs w:val="13"/>
          <w:u w:color="000000"/>
        </w:rPr>
        <w:t>vínculo–de–renacimiento</w:t>
      </w:r>
      <w:r w:rsidRPr="00DC1A5F">
        <w:rPr>
          <w:color w:val="auto"/>
          <w:u w:color="000000"/>
        </w:rPr>
        <w:t>, proporcionará la totalidad de sus resultados en el devenir de la esfera sensorial sola en 4 generaciones, en 6 destinos, en 2 primeras estaciones de consciencia y en 2 planos existenciales.</w:t>
      </w:r>
      <w:r w:rsidRPr="00DC1A5F">
        <w:t xml:space="preserve"> </w:t>
      </w:r>
      <w:r w:rsidRPr="00DC1A5F">
        <w:rPr>
          <w:color w:val="auto"/>
          <w:u w:color="000000"/>
        </w:rPr>
        <w:t>Por lo tanto, la formación será una condición en la forma ya establecida para los 23 tipos de consciencia en un tipo de devenir, 4 generaciones, 5 destinos, 2 estaciones de consciencia y 2 planos existenciales, tanto en el vínculo–de–renacimiento como en el curso de una existencia. El mismo método se aplicará a la formación verbal.</w:t>
      </w:r>
      <w:r w:rsidRPr="00DC1A5F">
        <w:t xml:space="preserve"> </w:t>
      </w:r>
      <w:r w:rsidRPr="00DC1A5F">
        <w:rPr>
          <w:color w:val="auto"/>
          <w:u w:color="000000"/>
        </w:rPr>
        <w:t xml:space="preserve">No obstante, la formación mental no dejará de madurar en ninguna parte excepto en el plano existencial de los seres. Por lo tanto, será una condición en la forma ya establecida para los 32 tipos de consciencia resultante, según corresponda, los 3 tipos de devenir, en las 4 generaciones, 5 destinos, 7 estaciones de consciencia y 8 planos existenciales, ambos en el </w:t>
      </w:r>
      <w:r w:rsidRPr="00DC1A5F">
        <w:rPr>
          <w:color w:val="auto"/>
          <w:sz w:val="13"/>
          <w:szCs w:val="13"/>
          <w:u w:color="000000"/>
        </w:rPr>
        <w:t>vínculo–de–renacimiento</w:t>
      </w:r>
      <w:r w:rsidRPr="00DC1A5F">
        <w:rPr>
          <w:color w:val="auto"/>
          <w:u w:color="000000"/>
        </w:rPr>
        <w:t xml:space="preserve"> y en el transcurso de una existencia.</w:t>
      </w:r>
      <w:r w:rsidRPr="00DC1A5F">
        <w:rPr>
          <w:color w:val="833C0B" w:themeColor="accent2" w:themeShade="80"/>
          <w:u w:color="000000"/>
        </w:rPr>
        <w:t xml:space="preserve"> </w:t>
      </w:r>
      <w:r w:rsidRPr="00DC1A5F">
        <w:t xml:space="preserve">No existirá consciencia con formaciones como su condición en el plano no percipiente de los seres. Además, en el caso de los seres no percipientes, la formación meritoria será una condición, como condición de </w:t>
      </w:r>
      <w:proofErr w:type="spellStart"/>
      <w:r w:rsidRPr="00DC1A5F">
        <w:rPr>
          <w:i/>
        </w:rPr>
        <w:t>kamma</w:t>
      </w:r>
      <w:proofErr w:type="spellEnd"/>
      <w:r w:rsidRPr="00DC1A5F">
        <w:t xml:space="preserve"> que actuará desde un momento diferente para los tipos de materialidad debido al </w:t>
      </w:r>
      <w:proofErr w:type="spellStart"/>
      <w:r w:rsidRPr="00DC1A5F">
        <w:rPr>
          <w:i/>
        </w:rPr>
        <w:t>kamma</w:t>
      </w:r>
      <w:proofErr w:type="spellEnd"/>
      <w:r w:rsidRPr="00DC1A5F">
        <w:t xml:space="preserve"> cometido”.</w:t>
      </w:r>
    </w:p>
    <w:p w14:paraId="731D7ED1" w14:textId="77777777" w:rsidR="00597DE2" w:rsidRPr="00DC1A5F" w:rsidRDefault="00597DE2" w:rsidP="00597DE2">
      <w:pPr>
        <w:tabs>
          <w:tab w:val="clear" w:pos="425"/>
        </w:tabs>
        <w:spacing w:after="160"/>
      </w:pPr>
      <w:r w:rsidRPr="00DC1A5F">
        <w:br w:type="page"/>
      </w:r>
    </w:p>
    <w:p w14:paraId="4D970326" w14:textId="77777777" w:rsidR="00597DE2" w:rsidRPr="00DC1A5F" w:rsidRDefault="00597DE2" w:rsidP="00597DE2">
      <w:pPr>
        <w:pStyle w:val="Textoindependiente"/>
      </w:pPr>
      <w:r w:rsidRPr="00DC1A5F">
        <w:lastRenderedPageBreak/>
        <w:t>Esta es la explicación detallada de la cláusula, “Con la formación como condición, se origina la consciencia”.</w:t>
      </w:r>
    </w:p>
    <w:p w14:paraId="35609FF2" w14:textId="77777777" w:rsidR="00597DE2" w:rsidRPr="00DC1A5F" w:rsidRDefault="00597DE2" w:rsidP="00597DE2">
      <w:pPr>
        <w:pStyle w:val="Ttulo6"/>
      </w:pPr>
      <w:r w:rsidRPr="00DC1A5F">
        <w:t>[(IV) La Mentalidad–Materialidad]</w:t>
      </w:r>
    </w:p>
    <w:p w14:paraId="56E4EA45" w14:textId="77777777" w:rsidR="00597DE2" w:rsidRPr="00DC1A5F" w:rsidRDefault="00597DE2" w:rsidP="00597DE2">
      <w:r w:rsidRPr="00DC1A5F">
        <w:t xml:space="preserve">186. </w:t>
      </w:r>
      <w:r w:rsidRPr="00DC1A5F">
        <w:tab/>
        <w:t>Para la cláusula, “Con la consciencia como condición, se origina la mentalidad–materialidad” el análisis se hará:</w:t>
      </w:r>
    </w:p>
    <w:p w14:paraId="26FC2D5D" w14:textId="77777777" w:rsidR="00597DE2" w:rsidRPr="00DC1A5F" w:rsidRDefault="00597DE2" w:rsidP="00597DE2">
      <w:pPr>
        <w:pStyle w:val="NumeracinReload"/>
        <w:tabs>
          <w:tab w:val="clear" w:pos="425"/>
          <w:tab w:val="clear" w:pos="567"/>
          <w:tab w:val="right" w:pos="851"/>
          <w:tab w:val="left" w:pos="993"/>
        </w:tabs>
        <w:ind w:left="993"/>
        <w:rPr>
          <w:sz w:val="16"/>
          <w:szCs w:val="20"/>
        </w:rPr>
      </w:pPr>
      <w:r w:rsidRPr="00DC1A5F">
        <w:tab/>
      </w:r>
      <w:r w:rsidRPr="00DC1A5F">
        <w:rPr>
          <w:sz w:val="16"/>
          <w:szCs w:val="20"/>
        </w:rPr>
        <w:t xml:space="preserve">(1). </w:t>
      </w:r>
      <w:r w:rsidRPr="00DC1A5F">
        <w:rPr>
          <w:sz w:val="16"/>
          <w:szCs w:val="20"/>
        </w:rPr>
        <w:tab/>
        <w:t>Mediante el análisis de la mente y la materia,</w:t>
      </w:r>
    </w:p>
    <w:p w14:paraId="33650986" w14:textId="77777777" w:rsidR="00597DE2" w:rsidRPr="00DC1A5F" w:rsidRDefault="00597DE2" w:rsidP="00597DE2">
      <w:pPr>
        <w:pStyle w:val="NumeracinReload"/>
        <w:tabs>
          <w:tab w:val="clear" w:pos="425"/>
          <w:tab w:val="clear" w:pos="567"/>
          <w:tab w:val="right" w:pos="851"/>
          <w:tab w:val="left" w:pos="993"/>
        </w:tabs>
        <w:ind w:left="993"/>
        <w:rPr>
          <w:sz w:val="16"/>
          <w:szCs w:val="20"/>
        </w:rPr>
      </w:pPr>
      <w:r w:rsidRPr="00DC1A5F">
        <w:rPr>
          <w:sz w:val="16"/>
          <w:szCs w:val="20"/>
        </w:rPr>
        <w:tab/>
        <w:t xml:space="preserve">(2). </w:t>
      </w:r>
      <w:r w:rsidRPr="00DC1A5F">
        <w:rPr>
          <w:sz w:val="16"/>
          <w:szCs w:val="20"/>
        </w:rPr>
        <w:tab/>
        <w:t>Mediante su ocurrencia en el devenir, etc.,</w:t>
      </w:r>
    </w:p>
    <w:p w14:paraId="462B311F" w14:textId="77777777" w:rsidR="00597DE2" w:rsidRPr="00DC1A5F" w:rsidRDefault="00597DE2" w:rsidP="00597DE2">
      <w:pPr>
        <w:pStyle w:val="NumeracinReload"/>
        <w:tabs>
          <w:tab w:val="clear" w:pos="425"/>
          <w:tab w:val="clear" w:pos="567"/>
          <w:tab w:val="right" w:pos="851"/>
          <w:tab w:val="left" w:pos="993"/>
        </w:tabs>
        <w:ind w:left="993"/>
        <w:rPr>
          <w:sz w:val="16"/>
          <w:szCs w:val="20"/>
        </w:rPr>
      </w:pPr>
      <w:r w:rsidRPr="00DC1A5F">
        <w:rPr>
          <w:sz w:val="16"/>
          <w:szCs w:val="20"/>
        </w:rPr>
        <w:tab/>
        <w:t xml:space="preserve">(3). </w:t>
      </w:r>
      <w:r w:rsidRPr="00DC1A5F">
        <w:rPr>
          <w:sz w:val="16"/>
          <w:szCs w:val="20"/>
        </w:rPr>
        <w:tab/>
        <w:t>Mediante su inclusión,</w:t>
      </w:r>
    </w:p>
    <w:p w14:paraId="02084B21" w14:textId="77777777" w:rsidR="00597DE2" w:rsidRPr="00DC1A5F" w:rsidRDefault="00597DE2" w:rsidP="00597DE2">
      <w:pPr>
        <w:pStyle w:val="NumeracinReload"/>
        <w:tabs>
          <w:tab w:val="clear" w:pos="425"/>
          <w:tab w:val="clear" w:pos="567"/>
          <w:tab w:val="right" w:pos="851"/>
          <w:tab w:val="left" w:pos="993"/>
        </w:tabs>
        <w:ind w:left="993"/>
        <w:rPr>
          <w:sz w:val="16"/>
          <w:szCs w:val="20"/>
        </w:rPr>
      </w:pPr>
      <w:r w:rsidRPr="00DC1A5F">
        <w:rPr>
          <w:sz w:val="16"/>
          <w:szCs w:val="20"/>
        </w:rPr>
        <w:tab/>
        <w:t xml:space="preserve">(4). </w:t>
      </w:r>
      <w:r w:rsidRPr="00DC1A5F">
        <w:rPr>
          <w:sz w:val="16"/>
          <w:szCs w:val="20"/>
        </w:rPr>
        <w:tab/>
        <w:t xml:space="preserve">Mediante el modo de condición. </w:t>
      </w:r>
    </w:p>
    <w:p w14:paraId="1336F4CD" w14:textId="77777777" w:rsidR="00597DE2" w:rsidRPr="00DC1A5F" w:rsidRDefault="00597DE2" w:rsidP="00597DE2">
      <w:pPr>
        <w:pStyle w:val="NumeracinReload"/>
        <w:tabs>
          <w:tab w:val="clear" w:pos="425"/>
          <w:tab w:val="clear" w:pos="567"/>
          <w:tab w:val="right" w:pos="851"/>
          <w:tab w:val="left" w:pos="993"/>
        </w:tabs>
        <w:spacing w:after="100"/>
        <w:ind w:left="992"/>
        <w:rPr>
          <w:sz w:val="16"/>
          <w:szCs w:val="20"/>
        </w:rPr>
      </w:pPr>
      <w:r w:rsidRPr="00DC1A5F">
        <w:rPr>
          <w:sz w:val="16"/>
          <w:szCs w:val="20"/>
        </w:rPr>
        <w:t>Esta exposición deberá entenderse.</w:t>
      </w:r>
    </w:p>
    <w:p w14:paraId="3E5A1EB6" w14:textId="77777777" w:rsidR="00597DE2" w:rsidRPr="00DC1A5F" w:rsidRDefault="00597DE2" w:rsidP="00597DE2">
      <w:r w:rsidRPr="00DC1A5F">
        <w:t xml:space="preserve">187. </w:t>
      </w:r>
      <w:r w:rsidRPr="00DC1A5F">
        <w:tab/>
        <w:t xml:space="preserve">1. </w:t>
      </w:r>
      <w:r w:rsidRPr="00DC1A5F">
        <w:rPr>
          <w:i/>
          <w:iCs/>
        </w:rPr>
        <w:t>Mediante el análisis de la mente y la materia</w:t>
      </w:r>
      <w:r w:rsidRPr="00DC1A5F">
        <w:t>: aquí “mente” (</w:t>
      </w:r>
      <w:proofErr w:type="spellStart"/>
      <w:r w:rsidRPr="00DC1A5F">
        <w:rPr>
          <w:i/>
        </w:rPr>
        <w:t>nāma</w:t>
      </w:r>
      <w:proofErr w:type="spellEnd"/>
      <w:r w:rsidRPr="00DC1A5F">
        <w:t>—mentalidad) corresponderá a los 3 agregados, es decir: a la sensación, la percepción y las formaciones; debido a su inclinación (</w:t>
      </w:r>
      <w:proofErr w:type="spellStart"/>
      <w:r w:rsidRPr="00DC1A5F">
        <w:rPr>
          <w:i/>
          <w:iCs/>
        </w:rPr>
        <w:t>namana</w:t>
      </w:r>
      <w:proofErr w:type="spellEnd"/>
      <w:r w:rsidRPr="00DC1A5F">
        <w:t>) hacia un objeto. “Materia” (</w:t>
      </w:r>
      <w:r w:rsidRPr="00DC1A5F">
        <w:rPr>
          <w:i/>
        </w:rPr>
        <w:t>rūpa</w:t>
      </w:r>
      <w:r w:rsidRPr="00DC1A5F">
        <w:t>—materialidad) corresponderá a los 4 grandes elementos primarios y a la materialidad derivada mediante el apego hacia los cuatro grandes elementos primarios. Su análisis se ha dado en la Descripción de los Agregados (Cap. XIV. §34, §125.). Es así, en primer lugar, como deberá conocerse “mediante el análisis” el planteamiento de la mentalidad–materialidad.</w:t>
      </w:r>
    </w:p>
    <w:p w14:paraId="22590C7A" w14:textId="77777777" w:rsidR="00597DE2" w:rsidRPr="00DC1A5F" w:rsidRDefault="00597DE2" w:rsidP="00597DE2">
      <w:r w:rsidRPr="00DC1A5F">
        <w:t xml:space="preserve">188. </w:t>
      </w:r>
      <w:r w:rsidRPr="00DC1A5F">
        <w:tab/>
        <w:t xml:space="preserve">2. </w:t>
      </w:r>
      <w:r w:rsidRPr="00DC1A5F">
        <w:rPr>
          <w:i/>
          <w:iCs/>
        </w:rPr>
        <w:t>Mediante su ocurrencia en el devenir</w:t>
      </w:r>
      <w:r w:rsidRPr="00DC1A5F">
        <w:t xml:space="preserve">, </w:t>
      </w:r>
      <w:r w:rsidRPr="00DC1A5F">
        <w:rPr>
          <w:i/>
          <w:iCs/>
        </w:rPr>
        <w:t>etc.</w:t>
      </w:r>
      <w:r w:rsidRPr="00DC1A5F">
        <w:t>: excepto por un plano existencial, es decir, el de los no percipientes, la mentalidad ocurrirá en todos los tipos de devenir, generación, destino y estación de consciencia y en el resto de los planos existenciales. La materialidad ocurrirá en 2 tipos de devenir, 4 tipos de generación, 5 destinos, las primeras 4 estaciones de consciencia y los primeros 5 planos existenciales.</w:t>
      </w:r>
    </w:p>
    <w:p w14:paraId="4D406E6D" w14:textId="77777777" w:rsidR="00597DE2" w:rsidRPr="00DC1A5F" w:rsidRDefault="00597DE2" w:rsidP="00597DE2">
      <w:r w:rsidRPr="00DC1A5F">
        <w:t xml:space="preserve">189. </w:t>
      </w:r>
      <w:r w:rsidRPr="00DC1A5F">
        <w:tab/>
        <w:t>Ahora bien, cuando esta mentalidad–materialidad se produzca así, [559] entonces en el caso de los embriones asexuados y los nacidos de huevos, en el momento del vínculo–de–renacimiento, se manifestarán como materialidad 2 continuidades orgánicas, es decir, los 2 décuplos de la base física y la corporal; y también de los 3 agregados inmateriales. Así, en su caso existirá en detalle estos 23 estados, es decir, 20 estados como materia concreta y 3 agregados inmateriales, los cuales deberán entenderse como “mentalidad–materialidad con la consciencia como su condición”. No obstante, omitiendo las repeticiones</w:t>
      </w:r>
      <w:r w:rsidRPr="00DC1A5F">
        <w:rPr>
          <w:vertAlign w:val="superscript"/>
        </w:rPr>
        <w:t>35</w:t>
      </w:r>
      <w:r w:rsidRPr="00DC1A5F">
        <w:t xml:space="preserve"> y cancelando así 9 manifestaciones materiales (ver 11. 88) de una de las continuidades orgánicas, quedarán 14 estados.</w:t>
      </w:r>
    </w:p>
    <w:p w14:paraId="3BD917BA" w14:textId="77777777" w:rsidR="00597DE2" w:rsidRPr="00DC1A5F" w:rsidRDefault="00597DE2" w:rsidP="00597DE2">
      <w:pPr>
        <w:pStyle w:val="NormalConSangria"/>
      </w:pPr>
      <w:r w:rsidRPr="00DC1A5F">
        <w:t>Sumando el décuplo correspondiente al sexo para los poseídos de sexo, antes de hacer la cancelación anterior, sumarán 33 estados. Y omitiendo repeticiones y cancelando así 18 manifestaciones materiales [9 de cada una] de 2 de las continuidades orgánicas, en este caso quedarán 15 estados.</w:t>
      </w:r>
    </w:p>
    <w:p w14:paraId="12700307" w14:textId="77777777" w:rsidR="00597DE2" w:rsidRPr="00DC1A5F" w:rsidRDefault="00597DE2" w:rsidP="00597DE2">
      <w:r w:rsidRPr="00DC1A5F">
        <w:t xml:space="preserve">190. </w:t>
      </w:r>
      <w:r w:rsidRPr="00DC1A5F">
        <w:tab/>
        <w:t xml:space="preserve">En el momento del vínculo–de–renacimiento de aquellos del Séquito de </w:t>
      </w:r>
      <w:r w:rsidRPr="00DC1A5F">
        <w:rPr>
          <w:i/>
        </w:rPr>
        <w:t>Brahmā</w:t>
      </w:r>
      <w:r w:rsidRPr="00DC1A5F">
        <w:t xml:space="preserve">, entre los seres nacidos por apariencia, 4 continuidades orgánicas se manifestarán como materialidad, es decir, el décuplo visual, el oído y la base física, y el nónuplo de la facultad vital y los 3 agregados inmateriales. Entonces, en su caso y en detalle, estos 42 estados, es decir, 39 estados como materialidad concreta y 3 agregados </w:t>
      </w:r>
      <w:proofErr w:type="gramStart"/>
      <w:r w:rsidRPr="00DC1A5F">
        <w:t>inmateriales,</w:t>
      </w:r>
      <w:proofErr w:type="gramEnd"/>
      <w:r w:rsidRPr="00DC1A5F">
        <w:t xml:space="preserve"> deberán entenderse </w:t>
      </w:r>
    </w:p>
    <w:p w14:paraId="6E30EFD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66D21AE" w14:textId="77777777" w:rsidR="00597DE2" w:rsidRPr="00DC1A5F" w:rsidRDefault="00597DE2" w:rsidP="00597DE2">
      <w:pPr>
        <w:pStyle w:val="PiedepginaLegal"/>
        <w:numPr>
          <w:ilvl w:val="0"/>
          <w:numId w:val="6"/>
        </w:numPr>
        <w:tabs>
          <w:tab w:val="clear" w:pos="425"/>
        </w:tabs>
        <w:spacing w:after="160"/>
        <w:ind w:left="284" w:hanging="284"/>
      </w:pPr>
      <w:r w:rsidRPr="00DC1A5F">
        <w:rPr>
          <w:color w:val="833C0B" w:themeColor="accent2" w:themeShade="80"/>
          <w:u w:color="000000"/>
        </w:rPr>
        <w:t>Que el lector resuelva el compuesto</w:t>
      </w:r>
      <w:r w:rsidRPr="00DC1A5F">
        <w:t xml:space="preserve"> </w:t>
      </w:r>
      <w:proofErr w:type="spellStart"/>
      <w:r w:rsidRPr="00DC1A5F">
        <w:rPr>
          <w:i/>
          <w:iCs/>
        </w:rPr>
        <w:t>agahitagahaṇena</w:t>
      </w:r>
      <w:proofErr w:type="spellEnd"/>
      <w:r w:rsidRPr="00DC1A5F">
        <w:t xml:space="preserve"> como </w:t>
      </w:r>
      <w:proofErr w:type="spellStart"/>
      <w:r w:rsidRPr="00DC1A5F">
        <w:rPr>
          <w:i/>
          <w:iCs/>
        </w:rPr>
        <w:t>gahitassa</w:t>
      </w:r>
      <w:proofErr w:type="spellEnd"/>
      <w:r w:rsidRPr="00DC1A5F">
        <w:t xml:space="preserve"> </w:t>
      </w:r>
      <w:r w:rsidRPr="00DC1A5F">
        <w:rPr>
          <w:i/>
          <w:iCs/>
        </w:rPr>
        <w:t>a–</w:t>
      </w:r>
      <w:proofErr w:type="spellStart"/>
      <w:r w:rsidRPr="00DC1A5F">
        <w:rPr>
          <w:i/>
          <w:iCs/>
        </w:rPr>
        <w:t>gahaṇena</w:t>
      </w:r>
      <w:proofErr w:type="spellEnd"/>
      <w:r w:rsidRPr="00DC1A5F">
        <w:t xml:space="preserve">, no como </w:t>
      </w:r>
      <w:r w:rsidRPr="00DC1A5F">
        <w:rPr>
          <w:i/>
          <w:iCs/>
        </w:rPr>
        <w:t>a–</w:t>
      </w:r>
      <w:proofErr w:type="spellStart"/>
      <w:r w:rsidRPr="00DC1A5F">
        <w:rPr>
          <w:i/>
          <w:iCs/>
        </w:rPr>
        <w:t>gahitassa</w:t>
      </w:r>
      <w:proofErr w:type="spellEnd"/>
      <w:r w:rsidRPr="00DC1A5F">
        <w:rPr>
          <w:i/>
          <w:iCs/>
        </w:rPr>
        <w:t xml:space="preserve"> </w:t>
      </w:r>
      <w:proofErr w:type="spellStart"/>
      <w:r w:rsidRPr="00DC1A5F">
        <w:rPr>
          <w:i/>
          <w:iCs/>
        </w:rPr>
        <w:t>gahaṇena</w:t>
      </w:r>
      <w:proofErr w:type="spellEnd"/>
      <w:r w:rsidRPr="00DC1A5F">
        <w:t xml:space="preserve">; es decir, es “por no tomar lo que se haya tomado”, no “por tomar lo que no se haya tomado”; cf. IV.75. </w:t>
      </w:r>
      <w:r w:rsidRPr="00DC1A5F">
        <w:br w:type="page"/>
      </w:r>
    </w:p>
    <w:p w14:paraId="03B1FAB0" w14:textId="77777777" w:rsidR="00597DE2" w:rsidRPr="00DC1A5F" w:rsidRDefault="00597DE2" w:rsidP="00597DE2">
      <w:pPr>
        <w:pStyle w:val="Textoindependiente"/>
      </w:pPr>
      <w:r w:rsidRPr="00DC1A5F">
        <w:lastRenderedPageBreak/>
        <w:t>como “mentalidad–materialidad con la consciencia como su condición”. No obstante, omitiendo repeticiones y cancelando así las 27 manifestaciones de materialidad [9 de cada una] de 3 de las continuidades orgánicas, quedarán 15 estados.</w:t>
      </w:r>
    </w:p>
    <w:p w14:paraId="5DEAE9AF" w14:textId="77777777" w:rsidR="00597DE2" w:rsidRPr="00DC1A5F" w:rsidRDefault="00597DE2" w:rsidP="00597DE2">
      <w:r w:rsidRPr="00DC1A5F">
        <w:t xml:space="preserve">191. </w:t>
      </w:r>
      <w:r w:rsidRPr="00DC1A5F">
        <w:tab/>
        <w:t xml:space="preserve">En el devenir de la esfera sensorial, 7 continuidades orgánicas se manifestarán como materialidad y también 3 agregados inmateriales en el momento del vínculo–de–renacimiento de las clases restantes de renacimientos </w:t>
      </w:r>
      <w:proofErr w:type="spellStart"/>
      <w:r w:rsidRPr="00DC1A5F">
        <w:t>aparicionales</w:t>
      </w:r>
      <w:proofErr w:type="spellEnd"/>
      <w:r w:rsidRPr="00DC1A5F">
        <w:t xml:space="preserve"> o renacimientos en la humedad que poseerán sexo y bases sensoriales maduras. Entonces, en este caso y en detalle, estos 73 estados, es decir, 70 manifestaciones de materialidad concreta y 3 agregados </w:t>
      </w:r>
      <w:proofErr w:type="gramStart"/>
      <w:r w:rsidRPr="00DC1A5F">
        <w:t>inmateriales,</w:t>
      </w:r>
      <w:proofErr w:type="gramEnd"/>
      <w:r w:rsidRPr="00DC1A5F">
        <w:t xml:space="preserve"> deberán entenderse como “mentalidad–materialidad con formaciones como su condición”. No obstante, omitiendo repeticiones y cancelando así 54 manifestaciones materiales [9 cada una] de 6 de las continuidades orgánicas, quedarán 19 estados.</w:t>
      </w:r>
    </w:p>
    <w:p w14:paraId="1813BDD0" w14:textId="77777777" w:rsidR="00597DE2" w:rsidRPr="00DC1A5F" w:rsidRDefault="00597DE2" w:rsidP="00597DE2">
      <w:pPr>
        <w:pStyle w:val="NormalConSangria"/>
      </w:pPr>
      <w:r w:rsidRPr="00DC1A5F">
        <w:t>Este número corresponderá al máximo. No obstante, como mínimo, el cómputo de la “mentalidad–materialidad con la consciencia como su condición” en el vínculo–de–renacimiento de aquellos que carezcan de tal o cual continuidad orgánica, podrá entenderse en forma breve y detallada reduciéndola apropiadamente. [Los ciegos, por ejemplo, carecerán del décuplo de los ojos.]</w:t>
      </w:r>
    </w:p>
    <w:p w14:paraId="486582DE" w14:textId="77777777" w:rsidR="00597DE2" w:rsidRPr="00DC1A5F" w:rsidRDefault="00597DE2" w:rsidP="00597DE2">
      <w:r w:rsidRPr="00DC1A5F">
        <w:t xml:space="preserve">192. </w:t>
      </w:r>
      <w:r w:rsidRPr="00DC1A5F">
        <w:tab/>
        <w:t>Para la mentalidad–materialidad, los seres inmateriales tendrán solo 3 agregados mentales; mientras que los seres no–percipientes tendrán sólo el nónuplo de la facultad vital y eso representará la materialidad al respecto.</w:t>
      </w:r>
    </w:p>
    <w:p w14:paraId="795A623A" w14:textId="77777777" w:rsidR="00597DE2" w:rsidRPr="00DC1A5F" w:rsidRDefault="00597DE2" w:rsidP="00597DE2">
      <w:r w:rsidRPr="00DC1A5F">
        <w:t xml:space="preserve">193. </w:t>
      </w:r>
      <w:r w:rsidRPr="00DC1A5F">
        <w:tab/>
        <w:t>En el curso de una existencia, en todos los lugares donde ocurra la materialidad, se manifestará solamente el óctuplo material originado por la temperatura, que se deberá inicialmente a la temperatura que ocurra junto con la consciencia del vínculo–de–renacimiento en el momento de su presencia.</w:t>
      </w:r>
      <w:r w:rsidRPr="00DC1A5F">
        <w:rPr>
          <w:vertAlign w:val="superscript"/>
        </w:rPr>
        <w:t>36</w:t>
      </w:r>
      <w:r w:rsidRPr="00DC1A5F">
        <w:t xml:space="preserve"> La consciencia del vínculo–de–renacimiento no originará materialidad. Porque, así como un hombre que cayese a un abismo no podría sostener a otro, tampoco éste podrá originar ninguna materialidad debido a su debilidad, la cual se deberá a la debilidad de la base física. No obstante, a partir del primer continuum vital después de la consciencia del vínculo–de–renacimiento en adelante, [560] aparecerá solamente el óctuplo originada por la consciencia. Y en el momento en que el sonido se manifieste, se dará el nónuplo del sonido sonora debida tanto a la temperatura que se producirá después del momento del vínculo–de–renacimiento como de la consciencia.</w:t>
      </w:r>
    </w:p>
    <w:p w14:paraId="1B773446" w14:textId="77777777" w:rsidR="00597DE2" w:rsidRPr="00DC1A5F" w:rsidRDefault="00597DE2" w:rsidP="00597DE2">
      <w:r w:rsidRPr="00DC1A5F">
        <w:t xml:space="preserve">194. </w:t>
      </w:r>
      <w:r w:rsidRPr="00DC1A5F">
        <w:tab/>
        <w:t>Solamente el óctuple originado por el nutrimento aparecerá en los seres en el útero que vivan de la materia consistente de alimento físico tan pronto como su cuerpo sea inundado por el alimento tragado por la madre; ya que se dice al respecto:</w:t>
      </w:r>
    </w:p>
    <w:p w14:paraId="471D15CE" w14:textId="77777777" w:rsidR="00597DE2" w:rsidRPr="00DC1A5F" w:rsidRDefault="00597DE2" w:rsidP="00597DE2">
      <w:pPr>
        <w:pStyle w:val="VersoIngls01Sangria"/>
        <w:rPr>
          <w:sz w:val="16"/>
          <w:szCs w:val="20"/>
        </w:rPr>
      </w:pPr>
      <w:r w:rsidRPr="00DC1A5F">
        <w:rPr>
          <w:sz w:val="16"/>
          <w:szCs w:val="20"/>
        </w:rPr>
        <w:t>Y así será cómo, cuando su madre</w:t>
      </w:r>
    </w:p>
    <w:p w14:paraId="41DA5867" w14:textId="77777777" w:rsidR="00597DE2" w:rsidRPr="00DC1A5F" w:rsidRDefault="00597DE2" w:rsidP="00597DE2">
      <w:pPr>
        <w:pStyle w:val="VersoIngls01Sangria"/>
        <w:rPr>
          <w:sz w:val="16"/>
          <w:szCs w:val="20"/>
        </w:rPr>
      </w:pPr>
      <w:r w:rsidRPr="00DC1A5F">
        <w:rPr>
          <w:sz w:val="16"/>
          <w:szCs w:val="20"/>
        </w:rPr>
        <w:t>Coma, consuma comida y bebida,</w:t>
      </w:r>
    </w:p>
    <w:p w14:paraId="707E35B7" w14:textId="77777777" w:rsidR="00597DE2" w:rsidRPr="00DC1A5F" w:rsidRDefault="00597DE2" w:rsidP="00597DE2">
      <w:pPr>
        <w:pStyle w:val="VersoIngls01Sangria"/>
        <w:rPr>
          <w:sz w:val="16"/>
          <w:szCs w:val="20"/>
        </w:rPr>
      </w:pPr>
      <w:r w:rsidRPr="00DC1A5F">
        <w:rPr>
          <w:sz w:val="16"/>
          <w:szCs w:val="20"/>
        </w:rPr>
        <w:t>Alguien oculto en el vientre de su madre</w:t>
      </w:r>
    </w:p>
    <w:p w14:paraId="34DFA691" w14:textId="77777777" w:rsidR="00597DE2" w:rsidRPr="00DC1A5F" w:rsidRDefault="00597DE2" w:rsidP="00597DE2">
      <w:pPr>
        <w:pStyle w:val="VersoIngls01Sangria"/>
        <w:spacing w:after="100"/>
        <w:ind w:left="1418"/>
        <w:rPr>
          <w:sz w:val="16"/>
          <w:szCs w:val="20"/>
        </w:rPr>
      </w:pPr>
      <w:r w:rsidRPr="00DC1A5F">
        <w:rPr>
          <w:sz w:val="16"/>
          <w:szCs w:val="20"/>
        </w:rPr>
        <w:t>Obtendrá su alimento (S I 206).</w:t>
      </w:r>
    </w:p>
    <w:p w14:paraId="0305D089" w14:textId="77777777" w:rsidR="00597DE2" w:rsidRPr="00DC1A5F" w:rsidRDefault="00597DE2" w:rsidP="00597DE2">
      <w:pPr>
        <w:pStyle w:val="NormalConSangria"/>
      </w:pPr>
      <w:r w:rsidRPr="00DC1A5F">
        <w:t>Y aparecerán en los seres nacidos aparicionalmente tan pronto como trague por primera vez la saliva que haya entrado en sus propias bocas.</w:t>
      </w:r>
    </w:p>
    <w:p w14:paraId="111DD2A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02794C2" w14:textId="77777777" w:rsidR="00597DE2" w:rsidRPr="00DC1A5F" w:rsidRDefault="00597DE2" w:rsidP="00597DE2">
      <w:pPr>
        <w:pStyle w:val="PiedepginaLegal"/>
        <w:numPr>
          <w:ilvl w:val="0"/>
          <w:numId w:val="6"/>
        </w:numPr>
        <w:tabs>
          <w:tab w:val="clear" w:pos="425"/>
        </w:tabs>
        <w:spacing w:after="160"/>
        <w:ind w:left="284" w:hanging="284"/>
      </w:pPr>
      <w:r w:rsidRPr="00DC1A5F">
        <w:t xml:space="preserve">“Esto significa, debido al elemento calor de la materialidad surgida junto con la consciencia del </w:t>
      </w:r>
      <w:r w:rsidRPr="00DC1A5F">
        <w:rPr>
          <w:sz w:val="13"/>
          <w:szCs w:val="13"/>
        </w:rPr>
        <w:t>vínculo–de–renacimiento</w:t>
      </w:r>
      <w:r w:rsidRPr="00DC1A5F">
        <w:t>. Es debido a que la base del corazón ha surgido solo en ese mismo instante que existirá una debilidad de la base física” (</w:t>
      </w:r>
      <w:proofErr w:type="spellStart"/>
      <w:r w:rsidRPr="00DC1A5F">
        <w:t>Vism</w:t>
      </w:r>
      <w:proofErr w:type="spellEnd"/>
      <w:r w:rsidRPr="00DC1A5F">
        <w:t>–</w:t>
      </w:r>
      <w:proofErr w:type="spellStart"/>
      <w:r w:rsidRPr="00DC1A5F">
        <w:t>mhṭ</w:t>
      </w:r>
      <w:proofErr w:type="spellEnd"/>
      <w:r w:rsidRPr="00DC1A5F">
        <w:t xml:space="preserve"> 622).</w:t>
      </w:r>
    </w:p>
    <w:p w14:paraId="4982AE84" w14:textId="77777777" w:rsidR="00597DE2" w:rsidRPr="00DC1A5F" w:rsidRDefault="00597DE2" w:rsidP="00597DE2">
      <w:pPr>
        <w:tabs>
          <w:tab w:val="clear" w:pos="425"/>
        </w:tabs>
        <w:spacing w:after="160"/>
      </w:pPr>
      <w:r w:rsidRPr="00DC1A5F">
        <w:br w:type="page"/>
      </w:r>
    </w:p>
    <w:p w14:paraId="356DE834" w14:textId="77777777" w:rsidR="00597DE2" w:rsidRPr="00DC1A5F" w:rsidRDefault="00597DE2" w:rsidP="00597DE2">
      <w:pPr>
        <w:pStyle w:val="NormalConSangria"/>
      </w:pPr>
    </w:p>
    <w:p w14:paraId="5471DC18" w14:textId="77777777" w:rsidR="00597DE2" w:rsidRPr="00DC1A5F" w:rsidRDefault="00597DE2" w:rsidP="00597DE2">
      <w:pPr>
        <w:pStyle w:val="NormalConSangria"/>
      </w:pPr>
      <w:r w:rsidRPr="00DC1A5F">
        <w:t xml:space="preserve">Así, con las 26 manifestaciones materiales consistentes de solo el óctuple originado por el alimento, y de, a lo sumo, 2 </w:t>
      </w:r>
      <w:r w:rsidRPr="00DC1A5F">
        <w:rPr>
          <w:color w:val="833C0B" w:themeColor="accent2" w:themeShade="80"/>
        </w:rPr>
        <w:t xml:space="preserve">sólidos </w:t>
      </w:r>
      <w:r w:rsidRPr="00DC1A5F">
        <w:t xml:space="preserve">nónuplos originados por la temperatura y la consciencia, respectivamente, y también con las ya mencionadas 70 manifestaciones originadas por el </w:t>
      </w:r>
      <w:proofErr w:type="spellStart"/>
      <w:r w:rsidRPr="00DC1A5F">
        <w:rPr>
          <w:i/>
        </w:rPr>
        <w:t>kamma</w:t>
      </w:r>
      <w:proofErr w:type="spellEnd"/>
      <w:r w:rsidRPr="00DC1A5F">
        <w:t xml:space="preserve"> (§191) surgirán tres veces en cada momento consciente [en los instantes de surgimiento, presencia y disolución], y sumará así 96 manifestaciones materiales; y con los 3 agregados inmateriales habrá entonces un total de 99 estados.</w:t>
      </w:r>
    </w:p>
    <w:p w14:paraId="2F157051" w14:textId="77777777" w:rsidR="00597DE2" w:rsidRPr="00DC1A5F" w:rsidRDefault="00597DE2" w:rsidP="00597DE2">
      <w:r w:rsidRPr="00DC1A5F">
        <w:t xml:space="preserve">195. </w:t>
      </w:r>
      <w:r w:rsidRPr="00DC1A5F">
        <w:tab/>
        <w:t>O debido a que el sonido no estará regularmente presente ya que sólo se manifestará a veces, sustrayéndolo por lo tanto como 2 [siendo originado por la temperatura y originado por la consciencia], existirán estos 97 estados que deberán entenderse como “mentalidad–materialidad con la consciencia como su condición” en todos los seres, según se produzca. Ya sea que estos seres estén durmiendo u holgazaneando, comiendo o bebiendo, estos estados continuarán ocurriendo en ellos día y noche, con la consciencia como su condición. Explicaremos cómo éstas poseerán a la consciencia como su condición más adelante (ver §200ss.).</w:t>
      </w:r>
    </w:p>
    <w:p w14:paraId="6482A6F8" w14:textId="77777777" w:rsidR="00597DE2" w:rsidRPr="00DC1A5F" w:rsidRDefault="00597DE2" w:rsidP="00597DE2">
      <w:r w:rsidRPr="00DC1A5F">
        <w:t xml:space="preserve">196. </w:t>
      </w:r>
      <w:r w:rsidRPr="00DC1A5F">
        <w:tab/>
        <w:t xml:space="preserve">Ahora bien, aunque esta materialidad nacida del </w:t>
      </w:r>
      <w:proofErr w:type="spellStart"/>
      <w:r w:rsidRPr="00DC1A5F">
        <w:rPr>
          <w:i/>
        </w:rPr>
        <w:t>kamma</w:t>
      </w:r>
      <w:proofErr w:type="spellEnd"/>
      <w:r w:rsidRPr="00DC1A5F">
        <w:t xml:space="preserve"> sea la primera en encontrar una base en los diversos tipos de devenir, generación, destino, estación de consciencia y plano existencial, será incapaz de continuar sin ser consolidada por la materialidad de la triple originación [de la consciencia, la temperatura y el alimento], ni podrá hacerlo la triple originación sin ser consolidada por la primera. No obstante, cuando así se dé el soporte recíproco para consolidarse, podrá mantenerse en pie sin desaparecer, como los manojos de juncos apuntalados por los cuatro costados, aunque azotados por el viento, y como los barcos con flotadores rotos</w:t>
      </w:r>
      <w:r w:rsidRPr="00DC1A5F">
        <w:rPr>
          <w:vertAlign w:val="superscript"/>
        </w:rPr>
        <w:t>37</w:t>
      </w:r>
      <w:r w:rsidRPr="00DC1A5F">
        <w:t xml:space="preserve"> que hayan encontrado un soporte, aunque golpeados por las olas en algún lugar en medio del océano, y podrán durar un año, dos... cien años, hasta que se agote la vida de esos seres o su mérito.</w:t>
      </w:r>
    </w:p>
    <w:p w14:paraId="034C663E" w14:textId="77777777" w:rsidR="00597DE2" w:rsidRPr="00DC1A5F" w:rsidRDefault="00597DE2" w:rsidP="00597DE2">
      <w:pPr>
        <w:pStyle w:val="NormalConSangria"/>
      </w:pPr>
      <w:r w:rsidRPr="00DC1A5F">
        <w:t>Así deberá entenderse aquí la exposición “mediante su ocurrencia en el devenir, etc.”</w:t>
      </w:r>
    </w:p>
    <w:p w14:paraId="24FB0C73" w14:textId="77777777" w:rsidR="00597DE2" w:rsidRPr="00DC1A5F" w:rsidRDefault="00597DE2" w:rsidP="00597DE2">
      <w:pPr>
        <w:rPr>
          <w:vertAlign w:val="superscript"/>
        </w:rPr>
      </w:pPr>
      <w:r w:rsidRPr="00DC1A5F">
        <w:t xml:space="preserve">197. </w:t>
      </w:r>
      <w:r w:rsidRPr="00DC1A5F">
        <w:tab/>
        <w:t xml:space="preserve">3. </w:t>
      </w:r>
      <w:r w:rsidRPr="00DC1A5F">
        <w:rPr>
          <w:i/>
          <w:iCs/>
        </w:rPr>
        <w:t>Mediante la inclusión</w:t>
      </w:r>
      <w:r w:rsidRPr="00DC1A5F">
        <w:t>: ahora bien, existe (a) la mentalidad simple con la consciencia como su condición tanto en el curso de una existencia y en el vínculo–de–renacimiento de la esfera inmaterial, como en el curso de una existencia en el devenir de 5 constituyentes, y (b) la materialidad simple con la consciencia como su condición tanto en los casos entre lo no–percipiente como en el curso de una existencia en el devenir de 5 constituyentes, y (c) la mentalidad–materialidad [combinada] [561] con la consciencia como su condición en los 2 casos del devenir de 5 constituyentes. Toda esa mentalidad, materialidad y mentalidad–materialidad deberán entenderse como “mentalidad–materialidad con la consciencia como su condición”, incluyéndolas en la mentalidad–materialidad según el método que permita que cualquier parte represente cualquier complementario restante de su especie.</w:t>
      </w:r>
      <w:r w:rsidRPr="00DC1A5F">
        <w:rPr>
          <w:vertAlign w:val="superscript"/>
        </w:rPr>
        <w:t>38</w:t>
      </w:r>
    </w:p>
    <w:p w14:paraId="4E196CE6" w14:textId="77777777" w:rsidR="00597DE2" w:rsidRPr="00DC1A5F" w:rsidRDefault="00597DE2" w:rsidP="00597DE2"/>
    <w:p w14:paraId="40738B3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BB0D11E" w14:textId="77777777" w:rsidR="00597DE2" w:rsidRPr="00DC1A5F" w:rsidRDefault="00597DE2" w:rsidP="00597DE2">
      <w:pPr>
        <w:pStyle w:val="PiedepginaLegal"/>
        <w:numPr>
          <w:ilvl w:val="0"/>
          <w:numId w:val="6"/>
        </w:numPr>
        <w:tabs>
          <w:tab w:val="clear" w:pos="425"/>
        </w:tabs>
        <w:spacing w:after="160"/>
        <w:ind w:left="284" w:hanging="284"/>
      </w:pPr>
      <w:proofErr w:type="spellStart"/>
      <w:r w:rsidRPr="00DC1A5F">
        <w:rPr>
          <w:i/>
          <w:iCs/>
        </w:rPr>
        <w:t>Vāhanika</w:t>
      </w:r>
      <w:proofErr w:type="spellEnd"/>
      <w:r w:rsidRPr="00DC1A5F">
        <w:t>—“tener un flotador”: no así en el PED. El contexto sugiere un catamarán, universal en aguas indias.</w:t>
      </w:r>
    </w:p>
    <w:p w14:paraId="39532359" w14:textId="77777777" w:rsidR="00597DE2" w:rsidRPr="00DC1A5F" w:rsidRDefault="00597DE2" w:rsidP="00597DE2">
      <w:pPr>
        <w:pStyle w:val="PiedepginaLegal"/>
        <w:numPr>
          <w:ilvl w:val="0"/>
          <w:numId w:val="6"/>
        </w:numPr>
        <w:tabs>
          <w:tab w:val="clear" w:pos="425"/>
        </w:tabs>
        <w:spacing w:after="160"/>
        <w:ind w:left="284" w:hanging="284"/>
      </w:pPr>
      <w:r w:rsidRPr="00DC1A5F">
        <w:t>La expresión “</w:t>
      </w:r>
      <w:proofErr w:type="spellStart"/>
      <w:r w:rsidRPr="00DC1A5F">
        <w:rPr>
          <w:i/>
          <w:iCs/>
        </w:rPr>
        <w:t>ekadesasarūpekasesa</w:t>
      </w:r>
      <w:proofErr w:type="spellEnd"/>
      <w:r w:rsidRPr="00DC1A5F">
        <w:t xml:space="preserve">” se explica gramaticalmente en el </w:t>
      </w:r>
      <w:proofErr w:type="spellStart"/>
      <w:r w:rsidRPr="00DC1A5F">
        <w:t>Vism</w:t>
      </w:r>
      <w:proofErr w:type="spellEnd"/>
      <w:r w:rsidRPr="00DC1A5F">
        <w:t>–</w:t>
      </w:r>
      <w:proofErr w:type="spellStart"/>
      <w:r w:rsidRPr="00DC1A5F">
        <w:t>mhṭ</w:t>
      </w:r>
      <w:proofErr w:type="spellEnd"/>
      <w:r w:rsidRPr="00DC1A5F">
        <w:t xml:space="preserve"> 623; ver expresiones afines, “</w:t>
      </w:r>
      <w:proofErr w:type="spellStart"/>
      <w:r w:rsidRPr="00DC1A5F">
        <w:rPr>
          <w:i/>
          <w:iCs/>
        </w:rPr>
        <w:t>katekasesa</w:t>
      </w:r>
      <w:proofErr w:type="spellEnd"/>
      <w:r w:rsidRPr="00DC1A5F">
        <w:t>” (§204) y “</w:t>
      </w:r>
      <w:proofErr w:type="spellStart"/>
      <w:r w:rsidRPr="00DC1A5F">
        <w:rPr>
          <w:i/>
          <w:iCs/>
        </w:rPr>
        <w:t>ekasese</w:t>
      </w:r>
      <w:proofErr w:type="spellEnd"/>
      <w:r w:rsidRPr="00DC1A5F">
        <w:rPr>
          <w:i/>
          <w:iCs/>
        </w:rPr>
        <w:t xml:space="preserve"> </w:t>
      </w:r>
      <w:proofErr w:type="spellStart"/>
      <w:r w:rsidRPr="00DC1A5F">
        <w:rPr>
          <w:i/>
          <w:iCs/>
        </w:rPr>
        <w:t>kate</w:t>
      </w:r>
      <w:proofErr w:type="spellEnd"/>
      <w:r w:rsidRPr="00DC1A5F">
        <w:t xml:space="preserve">” (§223). Cf. </w:t>
      </w:r>
      <w:proofErr w:type="spellStart"/>
      <w:r w:rsidRPr="00DC1A5F">
        <w:rPr>
          <w:i/>
          <w:iCs/>
        </w:rPr>
        <w:t>Panini</w:t>
      </w:r>
      <w:proofErr w:type="spellEnd"/>
      <w:r w:rsidRPr="00DC1A5F">
        <w:t xml:space="preserve"> I 2, 64.</w:t>
      </w:r>
    </w:p>
    <w:p w14:paraId="457FD0B1" w14:textId="77777777" w:rsidR="00597DE2" w:rsidRPr="00DC1A5F" w:rsidRDefault="00597DE2" w:rsidP="00597DE2">
      <w:pPr>
        <w:tabs>
          <w:tab w:val="clear" w:pos="425"/>
        </w:tabs>
        <w:spacing w:after="160"/>
      </w:pPr>
      <w:r w:rsidRPr="00DC1A5F">
        <w:br w:type="page"/>
      </w:r>
    </w:p>
    <w:p w14:paraId="5375FB74" w14:textId="77777777" w:rsidR="00597DE2" w:rsidRPr="00DC1A5F" w:rsidRDefault="00597DE2" w:rsidP="00597DE2">
      <w:pPr>
        <w:pStyle w:val="Textoindependiente"/>
      </w:pPr>
      <w:r w:rsidRPr="00DC1A5F">
        <w:lastRenderedPageBreak/>
        <w:t xml:space="preserve">198. </w:t>
      </w:r>
      <w:r w:rsidRPr="00DC1A5F">
        <w:tab/>
        <w:t>¿Esto será correcto en vista de la ausencia de consciencia en los seres no–percipientes? — No, será incorrecto. Debido a que:</w:t>
      </w:r>
    </w:p>
    <w:p w14:paraId="703C7338" w14:textId="77777777" w:rsidR="00597DE2" w:rsidRPr="00DC1A5F" w:rsidRDefault="00597DE2" w:rsidP="00597DE2">
      <w:pPr>
        <w:pStyle w:val="VersoIngls01Sangria"/>
        <w:rPr>
          <w:sz w:val="16"/>
          <w:szCs w:val="20"/>
        </w:rPr>
      </w:pPr>
      <w:r w:rsidRPr="00DC1A5F">
        <w:rPr>
          <w:sz w:val="16"/>
          <w:szCs w:val="20"/>
        </w:rPr>
        <w:t xml:space="preserve">Esta consciencia, como causa mental </w:t>
      </w:r>
    </w:p>
    <w:p w14:paraId="5A1D22A1" w14:textId="77777777" w:rsidR="00597DE2" w:rsidRPr="00DC1A5F" w:rsidRDefault="00597DE2" w:rsidP="00597DE2">
      <w:pPr>
        <w:pStyle w:val="VersoIngls01Sangria"/>
        <w:rPr>
          <w:sz w:val="16"/>
          <w:szCs w:val="20"/>
        </w:rPr>
      </w:pPr>
      <w:r w:rsidRPr="00DC1A5F">
        <w:rPr>
          <w:sz w:val="16"/>
          <w:szCs w:val="20"/>
        </w:rPr>
        <w:t>y esta materia, se reconocerán dos veces:</w:t>
      </w:r>
    </w:p>
    <w:p w14:paraId="2AC65AEC" w14:textId="77777777" w:rsidR="00597DE2" w:rsidRPr="00DC1A5F" w:rsidRDefault="00597DE2" w:rsidP="00597DE2">
      <w:pPr>
        <w:pStyle w:val="VersoIngls01Sangria"/>
        <w:rPr>
          <w:sz w:val="16"/>
          <w:szCs w:val="20"/>
        </w:rPr>
      </w:pPr>
      <w:r w:rsidRPr="00DC1A5F">
        <w:rPr>
          <w:sz w:val="16"/>
          <w:szCs w:val="20"/>
        </w:rPr>
        <w:t>Como resultado y también como no–resultado.</w:t>
      </w:r>
    </w:p>
    <w:p w14:paraId="169AE0CF" w14:textId="77777777" w:rsidR="00597DE2" w:rsidRPr="00DC1A5F" w:rsidRDefault="00597DE2" w:rsidP="00597DE2">
      <w:pPr>
        <w:pStyle w:val="VersoIngls01Sangria"/>
        <w:spacing w:after="100"/>
        <w:ind w:left="1418"/>
        <w:rPr>
          <w:sz w:val="16"/>
          <w:szCs w:val="20"/>
        </w:rPr>
      </w:pPr>
      <w:r w:rsidRPr="00DC1A5F">
        <w:rPr>
          <w:sz w:val="16"/>
          <w:szCs w:val="20"/>
        </w:rPr>
        <w:t>Por lo que lo afirmado es correcto.</w:t>
      </w:r>
    </w:p>
    <w:p w14:paraId="4EAF2D34" w14:textId="77777777" w:rsidR="00597DE2" w:rsidRPr="00DC1A5F" w:rsidRDefault="00597DE2" w:rsidP="00597DE2">
      <w:r w:rsidRPr="00DC1A5F">
        <w:t xml:space="preserve">199. </w:t>
      </w:r>
      <w:r w:rsidRPr="00DC1A5F">
        <w:tab/>
        <w:t xml:space="preserve">La consciencia que es la causa de la mentalidad–materialidad se considerará clasificada como 2, resultante y no–resultante. Y dado que en el caso de los seres no–percipientes, la materialidad es originada por el </w:t>
      </w:r>
      <w:proofErr w:type="spellStart"/>
      <w:r w:rsidRPr="00DC1A5F">
        <w:rPr>
          <w:i/>
        </w:rPr>
        <w:t>kamma</w:t>
      </w:r>
      <w:proofErr w:type="spellEnd"/>
      <w:r w:rsidRPr="00DC1A5F">
        <w:t xml:space="preserve">, tendrá como condición a la consciencia de la formación del </w:t>
      </w:r>
      <w:proofErr w:type="spellStart"/>
      <w:r w:rsidRPr="00DC1A5F">
        <w:rPr>
          <w:i/>
        </w:rPr>
        <w:t>kamma</w:t>
      </w:r>
      <w:proofErr w:type="spellEnd"/>
      <w:r w:rsidRPr="00DC1A5F">
        <w:t xml:space="preserve"> que se produjo en el devenir de los 5 constituyentes. Esto se aplicará también a la materialidad originada por el </w:t>
      </w:r>
      <w:proofErr w:type="spellStart"/>
      <w:r w:rsidRPr="00DC1A5F">
        <w:rPr>
          <w:i/>
        </w:rPr>
        <w:t>kamma</w:t>
      </w:r>
      <w:proofErr w:type="spellEnd"/>
      <w:r w:rsidRPr="00DC1A5F">
        <w:t xml:space="preserve"> que surja en el curso de una existencia del devenir de 5 constituyentes en el momento de la consciencia productiva o cualquier otra. Así que esto será correcto.</w:t>
      </w:r>
    </w:p>
    <w:p w14:paraId="31661316" w14:textId="77777777" w:rsidR="00597DE2" w:rsidRPr="00DC1A5F" w:rsidRDefault="00597DE2" w:rsidP="00597DE2">
      <w:pPr>
        <w:pStyle w:val="NormalConSangria"/>
      </w:pPr>
      <w:r w:rsidRPr="00DC1A5F">
        <w:t xml:space="preserve">Es así </w:t>
      </w:r>
      <w:proofErr w:type="spellStart"/>
      <w:r w:rsidRPr="00DC1A5F">
        <w:t>cómo</w:t>
      </w:r>
      <w:proofErr w:type="spellEnd"/>
      <w:r w:rsidRPr="00DC1A5F">
        <w:t xml:space="preserve"> esta exposición podrá también ser entendida como “mediante la inclusión”.</w:t>
      </w:r>
    </w:p>
    <w:p w14:paraId="33F6FBC0" w14:textId="77777777" w:rsidR="00597DE2" w:rsidRPr="00DC1A5F" w:rsidRDefault="00597DE2" w:rsidP="00597DE2">
      <w:r w:rsidRPr="00DC1A5F">
        <w:t xml:space="preserve">200. </w:t>
      </w:r>
      <w:r w:rsidRPr="00DC1A5F">
        <w:tab/>
        <w:t xml:space="preserve">4. </w:t>
      </w:r>
      <w:r w:rsidRPr="00DC1A5F">
        <w:rPr>
          <w:i/>
          <w:iCs/>
        </w:rPr>
        <w:t>Mediante el modo de condición</w:t>
      </w:r>
      <w:r w:rsidRPr="00DC1A5F">
        <w:t>: aquí:</w:t>
      </w:r>
    </w:p>
    <w:p w14:paraId="2524B68A" w14:textId="77777777" w:rsidR="00597DE2" w:rsidRPr="00DC1A5F" w:rsidRDefault="00597DE2" w:rsidP="00597DE2">
      <w:pPr>
        <w:pStyle w:val="VersoIngls01Sangria"/>
        <w:rPr>
          <w:sz w:val="16"/>
          <w:szCs w:val="20"/>
        </w:rPr>
      </w:pPr>
      <w:r w:rsidRPr="00DC1A5F">
        <w:rPr>
          <w:sz w:val="16"/>
          <w:szCs w:val="20"/>
        </w:rPr>
        <w:t>La consciencia resultante condicionará a</w:t>
      </w:r>
    </w:p>
    <w:p w14:paraId="0C7B920B" w14:textId="77777777" w:rsidR="00597DE2" w:rsidRPr="00DC1A5F" w:rsidRDefault="00597DE2" w:rsidP="00597DE2">
      <w:pPr>
        <w:pStyle w:val="VersoIngls01Sangria"/>
        <w:rPr>
          <w:sz w:val="16"/>
          <w:szCs w:val="20"/>
        </w:rPr>
      </w:pPr>
      <w:r w:rsidRPr="00DC1A5F">
        <w:rPr>
          <w:sz w:val="16"/>
          <w:szCs w:val="20"/>
        </w:rPr>
        <w:t>La mentalidad primero de nueve maneras,</w:t>
      </w:r>
    </w:p>
    <w:p w14:paraId="7B9E7587" w14:textId="77777777" w:rsidR="00597DE2" w:rsidRPr="00DC1A5F" w:rsidRDefault="00597DE2" w:rsidP="00597DE2">
      <w:pPr>
        <w:pStyle w:val="VersoIngls01Sangria"/>
        <w:rPr>
          <w:sz w:val="16"/>
          <w:szCs w:val="20"/>
        </w:rPr>
      </w:pPr>
      <w:r w:rsidRPr="00DC1A5F">
        <w:rPr>
          <w:sz w:val="16"/>
          <w:szCs w:val="20"/>
        </w:rPr>
        <w:t>Luego a la base de la materia de nueve maneras,</w:t>
      </w:r>
    </w:p>
    <w:p w14:paraId="090FAB77" w14:textId="77777777" w:rsidR="00597DE2" w:rsidRPr="00DC1A5F" w:rsidRDefault="00597DE2" w:rsidP="00597DE2">
      <w:pPr>
        <w:pStyle w:val="VersoIngls01Sangria"/>
        <w:spacing w:after="100"/>
        <w:ind w:left="1418"/>
        <w:rPr>
          <w:sz w:val="16"/>
          <w:szCs w:val="20"/>
        </w:rPr>
      </w:pPr>
      <w:r w:rsidRPr="00DC1A5F">
        <w:rPr>
          <w:sz w:val="16"/>
          <w:szCs w:val="20"/>
        </w:rPr>
        <w:t>Y a otra materia de ocho maneras;</w:t>
      </w:r>
    </w:p>
    <w:p w14:paraId="3931AB9A" w14:textId="77777777" w:rsidR="00597DE2" w:rsidRPr="00DC1A5F" w:rsidRDefault="00597DE2" w:rsidP="00597DE2">
      <w:pPr>
        <w:pStyle w:val="VersoIngls01Sangria"/>
        <w:rPr>
          <w:sz w:val="16"/>
          <w:szCs w:val="20"/>
        </w:rPr>
      </w:pPr>
      <w:r w:rsidRPr="00DC1A5F">
        <w:rPr>
          <w:sz w:val="16"/>
          <w:szCs w:val="20"/>
        </w:rPr>
        <w:t>La consciencia de la formación condicionará a</w:t>
      </w:r>
    </w:p>
    <w:p w14:paraId="419115B3" w14:textId="77777777" w:rsidR="00597DE2" w:rsidRPr="00DC1A5F" w:rsidRDefault="00597DE2" w:rsidP="00597DE2">
      <w:pPr>
        <w:pStyle w:val="VersoIngls01Sangria"/>
        <w:rPr>
          <w:sz w:val="16"/>
          <w:szCs w:val="20"/>
        </w:rPr>
      </w:pPr>
      <w:r w:rsidRPr="00DC1A5F">
        <w:rPr>
          <w:sz w:val="16"/>
          <w:szCs w:val="20"/>
        </w:rPr>
        <w:t>Esta materia de una sola manera.</w:t>
      </w:r>
    </w:p>
    <w:p w14:paraId="75FA5D4C" w14:textId="77777777" w:rsidR="00597DE2" w:rsidRPr="00DC1A5F" w:rsidRDefault="00597DE2" w:rsidP="00597DE2">
      <w:pPr>
        <w:pStyle w:val="VersoIngls01Sangria"/>
        <w:rPr>
          <w:sz w:val="16"/>
          <w:szCs w:val="20"/>
        </w:rPr>
      </w:pPr>
      <w:r w:rsidRPr="00DC1A5F">
        <w:rPr>
          <w:sz w:val="16"/>
          <w:szCs w:val="20"/>
        </w:rPr>
        <w:t>El resto de las consciencias condicionará a</w:t>
      </w:r>
    </w:p>
    <w:p w14:paraId="20DA34AE" w14:textId="77777777" w:rsidR="00597DE2" w:rsidRPr="00DC1A5F" w:rsidRDefault="00597DE2" w:rsidP="00597DE2">
      <w:pPr>
        <w:pStyle w:val="VersoIngls01Sangria"/>
        <w:spacing w:after="100"/>
        <w:ind w:left="1418"/>
        <w:rPr>
          <w:sz w:val="16"/>
          <w:szCs w:val="20"/>
        </w:rPr>
      </w:pPr>
      <w:r w:rsidRPr="00DC1A5F">
        <w:rPr>
          <w:sz w:val="16"/>
          <w:szCs w:val="20"/>
        </w:rPr>
        <w:t>Esta materia según sea el caso.</w:t>
      </w:r>
    </w:p>
    <w:p w14:paraId="6E23CBA7" w14:textId="77777777" w:rsidR="00597DE2" w:rsidRPr="00DC1A5F" w:rsidRDefault="00597DE2" w:rsidP="00597DE2">
      <w:r w:rsidRPr="00DC1A5F">
        <w:t xml:space="preserve">201. </w:t>
      </w:r>
      <w:r w:rsidRPr="00DC1A5F">
        <w:tab/>
        <w:t xml:space="preserve">El vínculo–de–renacimiento o algún otro tipo de consciencia resultante será una condición de 9 maneras, así como las condiciones de consciencia, reciprocidad, soporte, asociación, resultado de </w:t>
      </w:r>
      <w:proofErr w:type="spellStart"/>
      <w:r w:rsidRPr="00DC1A5F">
        <w:rPr>
          <w:i/>
        </w:rPr>
        <w:t>kamma</w:t>
      </w:r>
      <w:proofErr w:type="spellEnd"/>
      <w:r w:rsidRPr="00DC1A5F">
        <w:t xml:space="preserve">, nutrimento, facultad, presencia y no–desaparición, ya sea en el vínculo–de–renacimiento o en el curso de una existencia, para esa mentalidad llamada resultante, ya sea mixta con materialidad o no. En el vínculo–de–renacimiento, será una condición de 9 maneras, como consciencia, reciprocidad, soporte, resultado del </w:t>
      </w:r>
      <w:proofErr w:type="spellStart"/>
      <w:r w:rsidRPr="00DC1A5F">
        <w:rPr>
          <w:i/>
        </w:rPr>
        <w:t>kamma</w:t>
      </w:r>
      <w:proofErr w:type="spellEnd"/>
      <w:r w:rsidRPr="00DC1A5F">
        <w:t>, nutrimento, facultad, disociación, presencia y condiciones de no–desaparición, para la materialidad de la base física del corazón. Será una condición de 8 maneras, es decir, como las condiciones anteriores que omiten la condición de reciprocidad, para una materialidad distinta de la materialidad de la base física.</w:t>
      </w:r>
    </w:p>
    <w:p w14:paraId="6E48BAB4" w14:textId="77777777" w:rsidR="00597DE2" w:rsidRPr="00DC1A5F" w:rsidRDefault="00597DE2" w:rsidP="00597DE2">
      <w:pPr>
        <w:pStyle w:val="NormalConSangria"/>
      </w:pPr>
      <w:r w:rsidRPr="00DC1A5F">
        <w:t xml:space="preserve">La consciencia de la formación de </w:t>
      </w:r>
      <w:proofErr w:type="spellStart"/>
      <w:r w:rsidRPr="00DC1A5F">
        <w:rPr>
          <w:i/>
        </w:rPr>
        <w:t>kamma</w:t>
      </w:r>
      <w:proofErr w:type="spellEnd"/>
      <w:r w:rsidRPr="00DC1A5F">
        <w:t xml:space="preserve"> será una condición de una sola manera, como condición de soporte decisivo, para la materialidad de los seres no–percipientes, o para la materialidad nacida del </w:t>
      </w:r>
      <w:proofErr w:type="spellStart"/>
      <w:r w:rsidRPr="00DC1A5F">
        <w:rPr>
          <w:i/>
        </w:rPr>
        <w:t>kamma</w:t>
      </w:r>
      <w:proofErr w:type="spellEnd"/>
      <w:r w:rsidRPr="00DC1A5F">
        <w:t xml:space="preserve"> en el devenir de 5 constituyentes, según el método </w:t>
      </w:r>
      <w:proofErr w:type="spellStart"/>
      <w:r w:rsidRPr="00DC1A5F">
        <w:rPr>
          <w:i/>
          <w:iCs/>
        </w:rPr>
        <w:t>Suttanta</w:t>
      </w:r>
      <w:proofErr w:type="spellEnd"/>
      <w:r w:rsidRPr="00DC1A5F">
        <w:t>.</w:t>
      </w:r>
    </w:p>
    <w:p w14:paraId="772F811A" w14:textId="77777777" w:rsidR="00597DE2" w:rsidRPr="00DC1A5F" w:rsidRDefault="00597DE2" w:rsidP="00597DE2">
      <w:pPr>
        <w:pStyle w:val="NormalConSangria"/>
      </w:pPr>
      <w:r w:rsidRPr="00DC1A5F">
        <w:t xml:space="preserve">Los tipos restantes de consciencia, en su totalidad, desde el momento del primer continuum vital [de la consciencia que le siga al vínculo–de–renacimiento] en adelante deberán entenderse como una condición para algún tipo de mentalidad–materialidad según corresponda. No obstante, dado que se debe citar todo el contenido del </w:t>
      </w:r>
      <w:proofErr w:type="spellStart"/>
      <w:r w:rsidRPr="00DC1A5F">
        <w:rPr>
          <w:i/>
          <w:iCs/>
        </w:rPr>
        <w:t>Paṭṭhāna</w:t>
      </w:r>
      <w:proofErr w:type="spellEnd"/>
      <w:r w:rsidRPr="00DC1A5F">
        <w:t xml:space="preserve"> para exponer cómo funciona esto en detalle, no emprenderemos ello.</w:t>
      </w:r>
    </w:p>
    <w:p w14:paraId="7478AA11" w14:textId="77777777" w:rsidR="00597DE2" w:rsidRPr="00DC1A5F" w:rsidRDefault="00597DE2" w:rsidP="00597DE2">
      <w:pPr>
        <w:pStyle w:val="Textoindependiente"/>
      </w:pPr>
      <w:r w:rsidRPr="00DC1A5F">
        <w:t xml:space="preserve">202. </w:t>
      </w:r>
      <w:r w:rsidRPr="00DC1A5F">
        <w:tab/>
        <w:t xml:space="preserve">Aquí puede preguntarse: “Pero ¿cómo puede saberse [562] que la mentalidad–materialidad </w:t>
      </w:r>
    </w:p>
    <w:p w14:paraId="54215678" w14:textId="77777777" w:rsidR="00597DE2" w:rsidRPr="00DC1A5F" w:rsidRDefault="00597DE2" w:rsidP="00597DE2">
      <w:pPr>
        <w:tabs>
          <w:tab w:val="clear" w:pos="425"/>
        </w:tabs>
        <w:spacing w:after="160"/>
      </w:pPr>
      <w:r w:rsidRPr="00DC1A5F">
        <w:br w:type="page"/>
      </w:r>
    </w:p>
    <w:p w14:paraId="1DFF2305" w14:textId="77777777" w:rsidR="00597DE2" w:rsidRPr="00DC1A5F" w:rsidRDefault="00597DE2" w:rsidP="00597DE2">
      <w:pPr>
        <w:pStyle w:val="Textoindependiente"/>
      </w:pPr>
      <w:r w:rsidRPr="00DC1A5F">
        <w:lastRenderedPageBreak/>
        <w:t xml:space="preserve">del vínculo–de–renacimiento tiene a la consciencia como su condición?” De los </w:t>
      </w:r>
      <w:r w:rsidRPr="00DC1A5F">
        <w:rPr>
          <w:i/>
          <w:iCs/>
        </w:rPr>
        <w:t>suttas</w:t>
      </w:r>
      <w:r w:rsidRPr="00DC1A5F">
        <w:t xml:space="preserve"> y de la lógica, ya que en los </w:t>
      </w:r>
      <w:r w:rsidRPr="00DC1A5F">
        <w:rPr>
          <w:i/>
          <w:iCs/>
        </w:rPr>
        <w:t>suttas</w:t>
      </w:r>
      <w:r w:rsidRPr="00DC1A5F">
        <w:t xml:space="preserve"> se establece en muchos lugares que la sensación, etc., tienen a la consciencia como su condición mediante el pasaje que comienza con “Estados con ocurrencia paralela a través de la consciencia” (</w:t>
      </w:r>
      <w:proofErr w:type="spellStart"/>
      <w:r w:rsidRPr="00DC1A5F">
        <w:t>Dhs</w:t>
      </w:r>
      <w:proofErr w:type="spellEnd"/>
      <w:r w:rsidRPr="00DC1A5F">
        <w:t xml:space="preserve"> §1522). No obstante, en cuanto al discernimiento mediante la lógica:</w:t>
      </w:r>
    </w:p>
    <w:p w14:paraId="5FEF4018" w14:textId="77777777" w:rsidR="00597DE2" w:rsidRPr="00DC1A5F" w:rsidRDefault="00597DE2" w:rsidP="00597DE2">
      <w:pPr>
        <w:pStyle w:val="VersoIngls01Sangria"/>
        <w:rPr>
          <w:sz w:val="16"/>
          <w:szCs w:val="20"/>
        </w:rPr>
      </w:pPr>
      <w:r w:rsidRPr="00DC1A5F">
        <w:rPr>
          <w:sz w:val="16"/>
          <w:szCs w:val="20"/>
        </w:rPr>
        <w:t>De la materia vista aquí a renacer</w:t>
      </w:r>
    </w:p>
    <w:p w14:paraId="787ACB48" w14:textId="77777777" w:rsidR="00597DE2" w:rsidRPr="00DC1A5F" w:rsidRDefault="00597DE2" w:rsidP="00597DE2">
      <w:pPr>
        <w:pStyle w:val="VersoIngls01Sangria"/>
        <w:rPr>
          <w:sz w:val="16"/>
          <w:szCs w:val="20"/>
        </w:rPr>
      </w:pPr>
      <w:r w:rsidRPr="00DC1A5F">
        <w:rPr>
          <w:sz w:val="16"/>
          <w:szCs w:val="20"/>
        </w:rPr>
        <w:t>De la consciencia un hombre podrá afirmar</w:t>
      </w:r>
    </w:p>
    <w:p w14:paraId="19D57EF2" w14:textId="77777777" w:rsidR="00597DE2" w:rsidRPr="00DC1A5F" w:rsidRDefault="00597DE2" w:rsidP="00597DE2">
      <w:pPr>
        <w:pStyle w:val="VersoIngls01Sangria"/>
        <w:rPr>
          <w:sz w:val="16"/>
          <w:szCs w:val="20"/>
        </w:rPr>
      </w:pPr>
      <w:r w:rsidRPr="00DC1A5F">
        <w:rPr>
          <w:sz w:val="16"/>
          <w:szCs w:val="20"/>
        </w:rPr>
        <w:t>Que la consciencia será una condición</w:t>
      </w:r>
    </w:p>
    <w:p w14:paraId="2E73D212" w14:textId="77777777" w:rsidR="00597DE2" w:rsidRPr="00DC1A5F" w:rsidRDefault="00597DE2" w:rsidP="00597DE2">
      <w:pPr>
        <w:pStyle w:val="VersoIngls01Sangria"/>
        <w:spacing w:after="100"/>
        <w:ind w:left="1418"/>
        <w:rPr>
          <w:sz w:val="16"/>
          <w:szCs w:val="20"/>
        </w:rPr>
      </w:pPr>
      <w:r w:rsidRPr="00DC1A5F">
        <w:rPr>
          <w:sz w:val="16"/>
          <w:szCs w:val="20"/>
        </w:rPr>
        <w:t>Para la materia inclusive no vista.</w:t>
      </w:r>
    </w:p>
    <w:p w14:paraId="2C4ED34F" w14:textId="77777777" w:rsidR="00597DE2" w:rsidRPr="00DC1A5F" w:rsidRDefault="00597DE2" w:rsidP="00597DE2">
      <w:pPr>
        <w:pStyle w:val="NormalConSangria"/>
      </w:pPr>
      <w:r w:rsidRPr="00DC1A5F">
        <w:t xml:space="preserve">Le guste o no a la consciencia, se verá que ciertas manifestaciones materiales surgirán en conformidad a ella. Y lo invisible se inferirá de lo observable. Entonces se podrá saber, por medio de la materialidad surgida de la consciencia que se verá, que la consciencia también será una condición para la materialidad invisible del vínculo–de–renacimiento. Ya que se dice en el </w:t>
      </w:r>
      <w:proofErr w:type="spellStart"/>
      <w:r w:rsidRPr="00DC1A5F">
        <w:rPr>
          <w:i/>
          <w:iCs/>
        </w:rPr>
        <w:t>Paṭṭhāna</w:t>
      </w:r>
      <w:proofErr w:type="spellEnd"/>
      <w:r w:rsidRPr="00DC1A5F">
        <w:t xml:space="preserve"> que, al igual que la originación de la consciencia, también la originación del </w:t>
      </w:r>
      <w:proofErr w:type="spellStart"/>
      <w:r w:rsidRPr="00DC1A5F">
        <w:rPr>
          <w:i/>
        </w:rPr>
        <w:t>kamma</w:t>
      </w:r>
      <w:proofErr w:type="spellEnd"/>
      <w:r w:rsidRPr="00DC1A5F">
        <w:t xml:space="preserve"> tendrá a la consciencia como su condición (ver </w:t>
      </w:r>
      <w:proofErr w:type="spellStart"/>
      <w:r w:rsidRPr="00DC1A5F">
        <w:rPr>
          <w:i/>
          <w:iCs/>
        </w:rPr>
        <w:t>Paṭṭh</w:t>
      </w:r>
      <w:proofErr w:type="spellEnd"/>
      <w:r w:rsidRPr="00DC1A5F">
        <w:t xml:space="preserve"> I 172–73).</w:t>
      </w:r>
    </w:p>
    <w:p w14:paraId="670D3E36" w14:textId="77777777" w:rsidR="00597DE2" w:rsidRPr="00DC1A5F" w:rsidRDefault="00597DE2" w:rsidP="00597DE2">
      <w:pPr>
        <w:pStyle w:val="NormalConSangria"/>
      </w:pPr>
      <w:r w:rsidRPr="00DC1A5F">
        <w:t>Así es cómo la exposición debe ser entendida “mediante el modo de condición”.</w:t>
      </w:r>
    </w:p>
    <w:p w14:paraId="02188685" w14:textId="77777777" w:rsidR="00597DE2" w:rsidRPr="00DC1A5F" w:rsidRDefault="00597DE2" w:rsidP="00597DE2">
      <w:pPr>
        <w:pStyle w:val="NormalConSangria"/>
      </w:pPr>
      <w:r w:rsidRPr="00DC1A5F">
        <w:t>Ésta es la explicación detallada de la sentencia “Con la consciencia como condición, se origina la mentalidad–materialidad”.</w:t>
      </w:r>
    </w:p>
    <w:p w14:paraId="01ED5B2F" w14:textId="77777777" w:rsidR="00597DE2" w:rsidRPr="00DC1A5F" w:rsidRDefault="00597DE2" w:rsidP="00597DE2">
      <w:pPr>
        <w:pStyle w:val="Ttulo6"/>
      </w:pPr>
      <w:r w:rsidRPr="00DC1A5F">
        <w:t>[(V) Las 6 Bases]</w:t>
      </w:r>
    </w:p>
    <w:p w14:paraId="09CFDCC4" w14:textId="77777777" w:rsidR="00597DE2" w:rsidRPr="00DC1A5F" w:rsidRDefault="00597DE2" w:rsidP="00597DE2">
      <w:pPr>
        <w:pStyle w:val="Textoindependiente"/>
      </w:pPr>
      <w:r w:rsidRPr="00DC1A5F">
        <w:t xml:space="preserve">203. </w:t>
      </w:r>
      <w:r w:rsidRPr="00DC1A5F">
        <w:tab/>
        <w:t>En cuanto a la afirmación: “Con la mentalidad–materialidad como condición, se origina las 6 bases”:</w:t>
      </w:r>
    </w:p>
    <w:p w14:paraId="065508A5" w14:textId="77777777" w:rsidR="00597DE2" w:rsidRPr="00DC1A5F" w:rsidRDefault="00597DE2" w:rsidP="00597DE2">
      <w:pPr>
        <w:pStyle w:val="VersoIngls01Sangria"/>
        <w:rPr>
          <w:sz w:val="16"/>
          <w:szCs w:val="20"/>
        </w:rPr>
      </w:pPr>
      <w:r w:rsidRPr="00DC1A5F">
        <w:rPr>
          <w:sz w:val="16"/>
          <w:szCs w:val="20"/>
        </w:rPr>
        <w:t xml:space="preserve">Tres agregados corresponden a la “mente”; la base, </w:t>
      </w:r>
    </w:p>
    <w:p w14:paraId="07394BB3" w14:textId="77777777" w:rsidR="00597DE2" w:rsidRPr="00DC1A5F" w:rsidRDefault="00597DE2" w:rsidP="00597DE2">
      <w:pPr>
        <w:pStyle w:val="VersoIngls01Sangria"/>
        <w:rPr>
          <w:sz w:val="16"/>
          <w:szCs w:val="20"/>
        </w:rPr>
      </w:pPr>
      <w:r w:rsidRPr="00DC1A5F">
        <w:rPr>
          <w:sz w:val="16"/>
          <w:szCs w:val="20"/>
        </w:rPr>
        <w:t xml:space="preserve">Los primarios y el resto a la “materia”: </w:t>
      </w:r>
    </w:p>
    <w:p w14:paraId="3C19C453" w14:textId="77777777" w:rsidR="00597DE2" w:rsidRPr="00DC1A5F" w:rsidRDefault="00597DE2" w:rsidP="00597DE2">
      <w:pPr>
        <w:pStyle w:val="VersoIngls01Sangria"/>
        <w:rPr>
          <w:sz w:val="16"/>
          <w:szCs w:val="20"/>
        </w:rPr>
      </w:pPr>
      <w:r w:rsidRPr="00DC1A5F">
        <w:rPr>
          <w:sz w:val="16"/>
          <w:szCs w:val="20"/>
        </w:rPr>
        <w:t>Y mientras todo ello condicione esto</w:t>
      </w:r>
    </w:p>
    <w:p w14:paraId="438D7192" w14:textId="77777777" w:rsidR="00597DE2" w:rsidRPr="00DC1A5F" w:rsidRDefault="00597DE2" w:rsidP="00597DE2">
      <w:pPr>
        <w:pStyle w:val="VersoIngls01Sangria"/>
        <w:spacing w:after="100"/>
        <w:ind w:left="1418"/>
        <w:rPr>
          <w:sz w:val="16"/>
          <w:szCs w:val="20"/>
        </w:rPr>
      </w:pPr>
      <w:r w:rsidRPr="00DC1A5F">
        <w:rPr>
          <w:sz w:val="16"/>
          <w:szCs w:val="20"/>
        </w:rPr>
        <w:t>Una parte podrá representar a lo restante.</w:t>
      </w:r>
    </w:p>
    <w:p w14:paraId="244AD85D" w14:textId="77777777" w:rsidR="00597DE2" w:rsidRPr="00DC1A5F" w:rsidRDefault="00597DE2" w:rsidP="00597DE2">
      <w:r w:rsidRPr="00DC1A5F">
        <w:t xml:space="preserve">204. </w:t>
      </w:r>
      <w:r w:rsidRPr="00DC1A5F">
        <w:tab/>
        <w:t xml:space="preserve">En el caso de la mentalidad–materialidad que sea aquí una condición de las 6 bases, la mentalidad corresponderá a los 3 agregados comenzando con la sensación, mientras que la materialidad deberá entenderse como la incluida en la propia continuidad expresada así “los primarios y lo demás corresponderán a la ‘materia’”, es decir, los 4 primarios, las 6 bases físicas y la facultad vital, invariablemente [puesto que son factores condicionantes]. No obstante, esta mentalidad, esta materialidad y esta mentalidad–materialidad, cada una representando a lo restante como “mentalidad–materialidad”, deberá entenderse como una condición para las 6 bases consistente de la sexta base y de las 6 bases, cada una representando a la restante como “6 bases”. ¿Por qué? Porque en el devenir inmaterial sólo existirá mentalidad como su condición, y ésa será una condición sólo para las 6 bases, [es decir, para la base mental], no para </w:t>
      </w:r>
      <w:proofErr w:type="gramStart"/>
      <w:r w:rsidRPr="00DC1A5F">
        <w:t>ninguna otro efecto</w:t>
      </w:r>
      <w:proofErr w:type="gramEnd"/>
      <w:r w:rsidRPr="00DC1A5F">
        <w:t xml:space="preserve">. Ya que se dice en el </w:t>
      </w:r>
      <w:proofErr w:type="spellStart"/>
      <w:r w:rsidRPr="00DC1A5F">
        <w:rPr>
          <w:i/>
          <w:iCs/>
        </w:rPr>
        <w:t>Vibhaṅga</w:t>
      </w:r>
      <w:proofErr w:type="spellEnd"/>
      <w:r w:rsidRPr="00DC1A5F">
        <w:t>, “Con la mentalidad como condición, se origina las 6 bases” (</w:t>
      </w:r>
      <w:proofErr w:type="spellStart"/>
      <w:r w:rsidRPr="00DC1A5F">
        <w:t>Vibh</w:t>
      </w:r>
      <w:proofErr w:type="spellEnd"/>
      <w:r w:rsidRPr="00DC1A5F">
        <w:t xml:space="preserve"> 179).</w:t>
      </w:r>
    </w:p>
    <w:p w14:paraId="665B37F5" w14:textId="77777777" w:rsidR="00597DE2" w:rsidRPr="00DC1A5F" w:rsidRDefault="00597DE2" w:rsidP="00597DE2">
      <w:r w:rsidRPr="00DC1A5F">
        <w:t xml:space="preserve">205. </w:t>
      </w:r>
      <w:r w:rsidRPr="00DC1A5F">
        <w:tab/>
        <w:t>Aquí se podría preguntar: “Pero ¿cómo se sabe que la mentalidad–materialidad será una condición para las 6 bases?” Porque esto último se dará cuando se dé la mentalidad y la materialidad. Porque una determinada base existirá cuando exista un tipo determinado de mentalidad y materialidad, no de otro modo. No obstante, la forma en la que una llegue a existir cuando la otra exista se explicará más adelante en la sección que trate sobre cómo será una condición. [563] Por lo tanto:</w:t>
      </w:r>
    </w:p>
    <w:p w14:paraId="547E997B" w14:textId="77777777" w:rsidR="00597DE2" w:rsidRPr="00DC1A5F" w:rsidRDefault="00597DE2" w:rsidP="00597DE2">
      <w:pPr>
        <w:pStyle w:val="VersoIngls01Sangria"/>
      </w:pPr>
      <w:r w:rsidRPr="00DC1A5F">
        <w:br w:type="page"/>
      </w:r>
    </w:p>
    <w:p w14:paraId="17D2D79B" w14:textId="77777777" w:rsidR="00597DE2" w:rsidRPr="00DC1A5F" w:rsidRDefault="00597DE2" w:rsidP="00597DE2">
      <w:pPr>
        <w:pStyle w:val="VersoIngls01Sangria"/>
        <w:rPr>
          <w:sz w:val="16"/>
          <w:szCs w:val="20"/>
        </w:rPr>
      </w:pPr>
      <w:r w:rsidRPr="00DC1A5F">
        <w:rPr>
          <w:sz w:val="16"/>
          <w:szCs w:val="20"/>
        </w:rPr>
        <w:lastRenderedPageBreak/>
        <w:t>Un hombre sabio debe idear afirmar</w:t>
      </w:r>
    </w:p>
    <w:p w14:paraId="0EA61992" w14:textId="77777777" w:rsidR="00597DE2" w:rsidRPr="00DC1A5F" w:rsidRDefault="00597DE2" w:rsidP="00597DE2">
      <w:pPr>
        <w:pStyle w:val="VersoIngls01Sangria"/>
      </w:pPr>
      <w:r w:rsidRPr="00DC1A5F">
        <w:rPr>
          <w:sz w:val="16"/>
          <w:szCs w:val="20"/>
        </w:rPr>
        <w:t>Qué condicionará a qué, y cómo</w:t>
      </w:r>
      <w:r w:rsidRPr="00DC1A5F">
        <w:t>,</w:t>
      </w:r>
    </w:p>
    <w:p w14:paraId="152FBBBA" w14:textId="77777777" w:rsidR="00597DE2" w:rsidRPr="00DC1A5F" w:rsidRDefault="00597DE2" w:rsidP="00597DE2">
      <w:pPr>
        <w:pStyle w:val="VersoIngls01Sangria"/>
        <w:rPr>
          <w:sz w:val="16"/>
          <w:szCs w:val="20"/>
        </w:rPr>
      </w:pPr>
      <w:r w:rsidRPr="00DC1A5F">
        <w:rPr>
          <w:sz w:val="16"/>
          <w:szCs w:val="20"/>
        </w:rPr>
        <w:t xml:space="preserve">Durante el renacimiento y también durante la vida; </w:t>
      </w:r>
    </w:p>
    <w:p w14:paraId="63417F32" w14:textId="77777777" w:rsidR="00597DE2" w:rsidRPr="00DC1A5F" w:rsidRDefault="00597DE2" w:rsidP="00597DE2">
      <w:pPr>
        <w:pStyle w:val="VersoIngls01Sangria"/>
        <w:spacing w:after="100"/>
        <w:ind w:left="1418"/>
        <w:rPr>
          <w:sz w:val="16"/>
          <w:szCs w:val="20"/>
        </w:rPr>
      </w:pPr>
      <w:r w:rsidRPr="00DC1A5F">
        <w:rPr>
          <w:sz w:val="16"/>
          <w:szCs w:val="20"/>
        </w:rPr>
        <w:t>[La explicación se dará ahora ac continuación.]</w:t>
      </w:r>
    </w:p>
    <w:p w14:paraId="62B99CF2" w14:textId="77777777" w:rsidR="00597DE2" w:rsidRPr="00DC1A5F" w:rsidRDefault="00597DE2" w:rsidP="00597DE2">
      <w:pPr>
        <w:pStyle w:val="Textoindependiente"/>
      </w:pPr>
      <w:r w:rsidRPr="00DC1A5F">
        <w:t xml:space="preserve">206. </w:t>
      </w:r>
      <w:r w:rsidRPr="00DC1A5F">
        <w:tab/>
        <w:t>Aquí lo que siga ilustrará el significado al respecto.</w:t>
      </w:r>
    </w:p>
    <w:p w14:paraId="05C6CC74" w14:textId="77777777" w:rsidR="00597DE2" w:rsidRPr="00DC1A5F" w:rsidRDefault="00597DE2" w:rsidP="00597DE2">
      <w:pPr>
        <w:pStyle w:val="Ttulo7"/>
        <w:ind w:left="709"/>
      </w:pPr>
      <w:r w:rsidRPr="00DC1A5F">
        <w:t>[(1) Mentalidad Como Condición]</w:t>
      </w:r>
    </w:p>
    <w:p w14:paraId="369E3E21" w14:textId="77777777" w:rsidR="00597DE2" w:rsidRPr="00DC1A5F" w:rsidRDefault="00597DE2" w:rsidP="00597DE2">
      <w:pPr>
        <w:pStyle w:val="VersoIngls01Sangria"/>
        <w:spacing w:before="160"/>
        <w:ind w:left="1418"/>
        <w:rPr>
          <w:sz w:val="16"/>
          <w:szCs w:val="20"/>
        </w:rPr>
      </w:pPr>
      <w:r w:rsidRPr="00DC1A5F">
        <w:rPr>
          <w:sz w:val="16"/>
          <w:szCs w:val="20"/>
        </w:rPr>
        <w:t>Durante el renacimiento inmaterial</w:t>
      </w:r>
    </w:p>
    <w:p w14:paraId="6FC25678" w14:textId="77777777" w:rsidR="00597DE2" w:rsidRPr="00DC1A5F" w:rsidRDefault="00597DE2" w:rsidP="00597DE2">
      <w:pPr>
        <w:pStyle w:val="VersoIngls01Sangria"/>
        <w:rPr>
          <w:sz w:val="16"/>
          <w:szCs w:val="20"/>
        </w:rPr>
      </w:pPr>
      <w:r w:rsidRPr="00DC1A5F">
        <w:rPr>
          <w:sz w:val="16"/>
          <w:szCs w:val="20"/>
        </w:rPr>
        <w:t xml:space="preserve">Y también de la vida la mentalidad sola ocurrirá </w:t>
      </w:r>
    </w:p>
    <w:p w14:paraId="0D7C3BAC" w14:textId="77777777" w:rsidR="00597DE2" w:rsidRPr="00DC1A5F" w:rsidRDefault="00597DE2" w:rsidP="00597DE2">
      <w:pPr>
        <w:pStyle w:val="VersoIngls01Sangria"/>
        <w:rPr>
          <w:sz w:val="16"/>
          <w:szCs w:val="20"/>
        </w:rPr>
      </w:pPr>
      <w:r w:rsidRPr="00DC1A5F">
        <w:rPr>
          <w:sz w:val="16"/>
          <w:szCs w:val="20"/>
        </w:rPr>
        <w:t xml:space="preserve">De siete maneras y de seis como una </w:t>
      </w:r>
    </w:p>
    <w:p w14:paraId="7209F58C" w14:textId="77777777" w:rsidR="00597DE2" w:rsidRPr="00DC1A5F" w:rsidRDefault="00597DE2" w:rsidP="00597DE2">
      <w:pPr>
        <w:pStyle w:val="VersoIngls01Sangria"/>
        <w:spacing w:after="100"/>
        <w:ind w:left="1418"/>
        <w:rPr>
          <w:sz w:val="16"/>
          <w:szCs w:val="20"/>
        </w:rPr>
      </w:pPr>
      <w:r w:rsidRPr="00DC1A5F">
        <w:rPr>
          <w:sz w:val="16"/>
          <w:szCs w:val="20"/>
        </w:rPr>
        <w:t>Condición mínima.</w:t>
      </w:r>
    </w:p>
    <w:p w14:paraId="031DE151" w14:textId="77777777" w:rsidR="00597DE2" w:rsidRPr="00DC1A5F" w:rsidRDefault="00597DE2" w:rsidP="00597DE2">
      <w:r w:rsidRPr="00DC1A5F">
        <w:t xml:space="preserve">207. </w:t>
      </w:r>
      <w:r w:rsidRPr="00DC1A5F">
        <w:tab/>
        <w:t xml:space="preserve">¿Cómo? Durante el vínculo–de–renacimiento, en primer lugar, la mentalidad será una condición en 7 formas como mínimo para la sexta base, como condiciones de consciencia, reciprocidad, soporte, asociación, resultado del </w:t>
      </w:r>
      <w:proofErr w:type="spellStart"/>
      <w:r w:rsidRPr="00DC1A5F">
        <w:rPr>
          <w:i/>
        </w:rPr>
        <w:t>kamma</w:t>
      </w:r>
      <w:proofErr w:type="spellEnd"/>
      <w:r w:rsidRPr="00DC1A5F">
        <w:t xml:space="preserve">, presencia y no–desaparición. Sin embargo, la mentalidad será también una condición, como condición con causa–raíz [es decir, con codicia, etc.] y otra como condición nutriente [es decir, como contacto y volición mental]. Así que también será una condición de otras maneras. Es por las 2 últimas que deberán entenderse como un máximo y como un mínimo. Durante el curso de una existencia, también, la mentalidad resultante será una condición como ya se ha mencionado. No obstante, el otro tipo [de condición no–resultante] será una condición de 6 formas como mínimo, como las condiciones antes mencionadas excepto por la condición del </w:t>
      </w:r>
      <w:proofErr w:type="spellStart"/>
      <w:r w:rsidRPr="00DC1A5F">
        <w:rPr>
          <w:i/>
        </w:rPr>
        <w:t>kamma</w:t>
      </w:r>
      <w:proofErr w:type="spellEnd"/>
      <w:r w:rsidRPr="00DC1A5F">
        <w:t xml:space="preserve"> resultante. Algunas, sin embargo, serán una condición, como condición con causa–raíz y otras como condición de nutrimento. Así que también será una condición de otras maneras. Es por estas condiciones que deberá entenderse según un máximo y un mínimo.</w:t>
      </w:r>
    </w:p>
    <w:p w14:paraId="2C5991CE" w14:textId="77777777" w:rsidR="00597DE2" w:rsidRPr="00DC1A5F" w:rsidRDefault="00597DE2" w:rsidP="00597DE2">
      <w:pPr>
        <w:pStyle w:val="VersoIngls01Sangria"/>
        <w:ind w:left="0"/>
        <w:rPr>
          <w:sz w:val="16"/>
          <w:szCs w:val="20"/>
        </w:rPr>
      </w:pPr>
      <w:r w:rsidRPr="00DC1A5F">
        <w:t xml:space="preserve">208. </w:t>
      </w:r>
      <w:r w:rsidRPr="00DC1A5F">
        <w:tab/>
      </w:r>
      <w:r w:rsidRPr="00DC1A5F">
        <w:tab/>
      </w:r>
      <w:r w:rsidRPr="00DC1A5F">
        <w:tab/>
      </w:r>
      <w:r w:rsidRPr="00DC1A5F">
        <w:rPr>
          <w:sz w:val="16"/>
          <w:szCs w:val="20"/>
        </w:rPr>
        <w:t>En el devenir de cinco constituyentes</w:t>
      </w:r>
    </w:p>
    <w:p w14:paraId="033B5A38" w14:textId="77777777" w:rsidR="00597DE2" w:rsidRPr="00DC1A5F" w:rsidRDefault="00597DE2" w:rsidP="00597DE2">
      <w:pPr>
        <w:pStyle w:val="VersoIngls01Sangria"/>
        <w:rPr>
          <w:sz w:val="16"/>
          <w:szCs w:val="20"/>
        </w:rPr>
      </w:pPr>
      <w:r w:rsidRPr="00DC1A5F">
        <w:rPr>
          <w:sz w:val="16"/>
          <w:szCs w:val="20"/>
        </w:rPr>
        <w:t>Durante el renacimiento, de la misma manera la mente</w:t>
      </w:r>
    </w:p>
    <w:p w14:paraId="1700BA50" w14:textId="77777777" w:rsidR="00597DE2" w:rsidRPr="00DC1A5F" w:rsidRDefault="00597DE2" w:rsidP="00597DE2">
      <w:pPr>
        <w:pStyle w:val="VersoIngls01Sangria"/>
        <w:rPr>
          <w:sz w:val="16"/>
          <w:szCs w:val="20"/>
        </w:rPr>
      </w:pPr>
      <w:r w:rsidRPr="00DC1A5F">
        <w:rPr>
          <w:sz w:val="16"/>
          <w:szCs w:val="20"/>
        </w:rPr>
        <w:t xml:space="preserve">Actuará como una condición para la sexta </w:t>
      </w:r>
      <w:r w:rsidRPr="00DC1A5F">
        <w:rPr>
          <w:color w:val="833C0B" w:themeColor="accent2" w:themeShade="80"/>
          <w:sz w:val="16"/>
          <w:szCs w:val="20"/>
        </w:rPr>
        <w:t>base</w:t>
      </w:r>
      <w:r w:rsidRPr="00DC1A5F">
        <w:rPr>
          <w:sz w:val="16"/>
          <w:szCs w:val="20"/>
        </w:rPr>
        <w:t>,</w:t>
      </w:r>
    </w:p>
    <w:p w14:paraId="11F849BD" w14:textId="77777777" w:rsidR="00597DE2" w:rsidRPr="00DC1A5F" w:rsidRDefault="00597DE2" w:rsidP="00597DE2">
      <w:pPr>
        <w:pStyle w:val="VersoIngls01Sangria"/>
        <w:spacing w:after="100"/>
        <w:ind w:left="1418"/>
        <w:rPr>
          <w:sz w:val="16"/>
          <w:szCs w:val="20"/>
        </w:rPr>
      </w:pPr>
      <w:r w:rsidRPr="00DC1A5F">
        <w:rPr>
          <w:sz w:val="16"/>
          <w:szCs w:val="20"/>
        </w:rPr>
        <w:t xml:space="preserve">Y para las demás </w:t>
      </w:r>
      <w:r w:rsidRPr="00DC1A5F">
        <w:rPr>
          <w:color w:val="833C0B" w:themeColor="accent2" w:themeShade="80"/>
          <w:sz w:val="16"/>
          <w:szCs w:val="20"/>
        </w:rPr>
        <w:t>bases</w:t>
      </w:r>
      <w:r w:rsidRPr="00DC1A5F">
        <w:rPr>
          <w:sz w:val="16"/>
          <w:szCs w:val="20"/>
        </w:rPr>
        <w:t xml:space="preserve"> de seis maneras.</w:t>
      </w:r>
    </w:p>
    <w:p w14:paraId="7D318464" w14:textId="77777777" w:rsidR="00597DE2" w:rsidRPr="00DC1A5F" w:rsidRDefault="00597DE2" w:rsidP="00597DE2">
      <w:r w:rsidRPr="00DC1A5F">
        <w:t xml:space="preserve">209. </w:t>
      </w:r>
      <w:r w:rsidRPr="00DC1A5F">
        <w:tab/>
        <w:t xml:space="preserve">Además de en los estados inmateriales, también durante el devenir de 5 constituyentes esa mentalidad resultante, en asociación con la base del corazón, será una condición de 7 formas como mínimo para la sexta, para la base de la mente, de la misma manera que se dijo con respecto a los estados inmateriales. No obstante, en asociación con los 4 elementos primarios, la mentalidad resultante será una condición de 6 maneras, como condiciones de consciencia, soporte, </w:t>
      </w:r>
      <w:proofErr w:type="spellStart"/>
      <w:r w:rsidRPr="00DC1A5F">
        <w:rPr>
          <w:i/>
        </w:rPr>
        <w:t>kamma</w:t>
      </w:r>
      <w:proofErr w:type="spellEnd"/>
      <w:r w:rsidRPr="00DC1A5F">
        <w:rPr>
          <w:i/>
        </w:rPr>
        <w:t xml:space="preserve"> </w:t>
      </w:r>
      <w:r w:rsidRPr="00DC1A5F">
        <w:rPr>
          <w:iCs/>
        </w:rPr>
        <w:t>resultante</w:t>
      </w:r>
      <w:r w:rsidRPr="00DC1A5F">
        <w:t>, disociación, presencia y no–desaparición, para las otros 5 comenzando con la base del ojo. Algunas, sin embargo, serán una condición como condición de causa–raíz y otros como condición de nutrimento. Por éstos deberá entenderse el máximo y el mínimo.</w:t>
      </w:r>
    </w:p>
    <w:p w14:paraId="6FB0DB06" w14:textId="77777777" w:rsidR="00597DE2" w:rsidRPr="00DC1A5F" w:rsidRDefault="00597DE2" w:rsidP="00597DE2">
      <w:pPr>
        <w:pStyle w:val="VersoIngls01Sangria"/>
        <w:ind w:left="0"/>
        <w:rPr>
          <w:sz w:val="16"/>
          <w:szCs w:val="20"/>
        </w:rPr>
      </w:pPr>
      <w:r w:rsidRPr="00DC1A5F">
        <w:t xml:space="preserve">210. </w:t>
      </w:r>
      <w:r w:rsidRPr="00DC1A5F">
        <w:tab/>
      </w:r>
      <w:r w:rsidRPr="00DC1A5F">
        <w:tab/>
      </w:r>
      <w:r w:rsidRPr="00DC1A5F">
        <w:tab/>
      </w:r>
      <w:r w:rsidRPr="00DC1A5F">
        <w:rPr>
          <w:sz w:val="16"/>
          <w:szCs w:val="20"/>
        </w:rPr>
        <w:t>El resultado corresponderá a la condición del resultado</w:t>
      </w:r>
    </w:p>
    <w:p w14:paraId="6ECF6831" w14:textId="77777777" w:rsidR="00597DE2" w:rsidRPr="00DC1A5F" w:rsidRDefault="00597DE2" w:rsidP="00597DE2">
      <w:pPr>
        <w:pStyle w:val="VersoIngls01Sangria"/>
        <w:rPr>
          <w:sz w:val="16"/>
          <w:szCs w:val="20"/>
        </w:rPr>
      </w:pPr>
      <w:r w:rsidRPr="00DC1A5F">
        <w:rPr>
          <w:sz w:val="16"/>
          <w:szCs w:val="20"/>
        </w:rPr>
        <w:t>Durante una vida de las mismas maneras;</w:t>
      </w:r>
    </w:p>
    <w:p w14:paraId="25DD191D" w14:textId="77777777" w:rsidR="00597DE2" w:rsidRPr="00DC1A5F" w:rsidRDefault="00597DE2" w:rsidP="00597DE2">
      <w:pPr>
        <w:pStyle w:val="VersoIngls01Sangria"/>
        <w:rPr>
          <w:sz w:val="16"/>
          <w:szCs w:val="20"/>
        </w:rPr>
      </w:pPr>
      <w:r w:rsidRPr="00DC1A5F">
        <w:rPr>
          <w:sz w:val="16"/>
          <w:szCs w:val="20"/>
        </w:rPr>
        <w:t>Mientras que ningún resultado lo será para la no</w:t>
      </w:r>
      <w:r w:rsidRPr="00DC1A5F">
        <w:t>–</w:t>
      </w:r>
      <w:r w:rsidRPr="00DC1A5F">
        <w:rPr>
          <w:sz w:val="16"/>
          <w:szCs w:val="20"/>
        </w:rPr>
        <w:t>resultante</w:t>
      </w:r>
    </w:p>
    <w:p w14:paraId="2E192402" w14:textId="77777777" w:rsidR="00597DE2" w:rsidRPr="00DC1A5F" w:rsidRDefault="00597DE2" w:rsidP="00597DE2">
      <w:pPr>
        <w:pStyle w:val="VersoIngls01Sangria"/>
        <w:spacing w:after="100"/>
        <w:ind w:left="1418"/>
        <w:rPr>
          <w:sz w:val="16"/>
          <w:szCs w:val="20"/>
        </w:rPr>
      </w:pPr>
      <w:r w:rsidRPr="00DC1A5F">
        <w:rPr>
          <w:sz w:val="16"/>
          <w:szCs w:val="20"/>
        </w:rPr>
        <w:t>La sexta condicionará en seis formas.</w:t>
      </w:r>
    </w:p>
    <w:p w14:paraId="15873C97" w14:textId="77777777" w:rsidR="00597DE2" w:rsidRPr="00DC1A5F" w:rsidRDefault="00597DE2" w:rsidP="00597DE2">
      <w:r w:rsidRPr="00DC1A5F">
        <w:t xml:space="preserve">211. </w:t>
      </w:r>
      <w:r w:rsidRPr="00DC1A5F">
        <w:tab/>
        <w:t xml:space="preserve">Porque, al igual que en el vínculo–de–renacimiento, también en el curso de una existencia del devenir de cinco constituyentes, la mentalidad resultante será una condición en 7 formas como mínimo para la sexta base resultante. No obstante, la mentalidad no–resultante será una condición en 6 formas como mínimo para la sexta base no–resultante, dejando de lado la condición de </w:t>
      </w:r>
      <w:proofErr w:type="spellStart"/>
      <w:r w:rsidRPr="00DC1A5F">
        <w:rPr>
          <w:i/>
        </w:rPr>
        <w:t>kamma</w:t>
      </w:r>
      <w:proofErr w:type="spellEnd"/>
      <w:r w:rsidRPr="00DC1A5F">
        <w:t>–resultante. El máximo y el mínimo deberán entenderse en la forma ya expresada.</w:t>
      </w:r>
      <w:r w:rsidRPr="00DC1A5F">
        <w:br w:type="page"/>
      </w:r>
    </w:p>
    <w:p w14:paraId="002C3ADC" w14:textId="77777777" w:rsidR="00597DE2" w:rsidRPr="00DC1A5F" w:rsidRDefault="00597DE2" w:rsidP="00597DE2">
      <w:pPr>
        <w:pStyle w:val="VersoIngls01Sangria"/>
        <w:ind w:left="0"/>
        <w:rPr>
          <w:sz w:val="16"/>
          <w:szCs w:val="20"/>
        </w:rPr>
      </w:pPr>
      <w:r w:rsidRPr="00DC1A5F">
        <w:lastRenderedPageBreak/>
        <w:t xml:space="preserve">212. </w:t>
      </w:r>
      <w:r w:rsidRPr="00DC1A5F">
        <w:tab/>
      </w:r>
      <w:r w:rsidRPr="00DC1A5F">
        <w:tab/>
      </w:r>
      <w:r w:rsidRPr="00DC1A5F">
        <w:tab/>
      </w:r>
      <w:r w:rsidRPr="00DC1A5F">
        <w:rPr>
          <w:sz w:val="16"/>
          <w:szCs w:val="20"/>
        </w:rPr>
        <w:t>Y durante la vida, los resultados condicionarán</w:t>
      </w:r>
    </w:p>
    <w:p w14:paraId="3BDAC0C5" w14:textId="77777777" w:rsidR="00597DE2" w:rsidRPr="00DC1A5F" w:rsidRDefault="00597DE2" w:rsidP="00597DE2">
      <w:pPr>
        <w:pStyle w:val="VersoIngls01Sangria"/>
        <w:rPr>
          <w:sz w:val="16"/>
          <w:szCs w:val="20"/>
        </w:rPr>
      </w:pPr>
      <w:r w:rsidRPr="00DC1A5F">
        <w:rPr>
          <w:sz w:val="16"/>
          <w:szCs w:val="20"/>
        </w:rPr>
        <w:t>Las otros cinco en forma cuádruple;</w:t>
      </w:r>
    </w:p>
    <w:p w14:paraId="52221DE8" w14:textId="77777777" w:rsidR="00597DE2" w:rsidRPr="00DC1A5F" w:rsidRDefault="00597DE2" w:rsidP="00597DE2">
      <w:pPr>
        <w:pStyle w:val="VersoIngls01Sangria"/>
        <w:rPr>
          <w:sz w:val="16"/>
          <w:szCs w:val="20"/>
        </w:rPr>
      </w:pPr>
      <w:r w:rsidRPr="00DC1A5F">
        <w:rPr>
          <w:sz w:val="16"/>
          <w:szCs w:val="20"/>
        </w:rPr>
        <w:t>El tipo no</w:t>
      </w:r>
      <w:r w:rsidRPr="00DC1A5F">
        <w:t>–</w:t>
      </w:r>
      <w:r w:rsidRPr="00DC1A5F">
        <w:rPr>
          <w:sz w:val="16"/>
          <w:szCs w:val="20"/>
        </w:rPr>
        <w:t>resultante podrá ser</w:t>
      </w:r>
    </w:p>
    <w:p w14:paraId="01E23B6E" w14:textId="77777777" w:rsidR="00597DE2" w:rsidRPr="00DC1A5F" w:rsidRDefault="00597DE2" w:rsidP="00597DE2">
      <w:pPr>
        <w:pStyle w:val="VersoIngls01Sangria"/>
        <w:spacing w:after="100"/>
        <w:ind w:left="1418"/>
        <w:rPr>
          <w:sz w:val="16"/>
          <w:szCs w:val="20"/>
        </w:rPr>
      </w:pPr>
      <w:r w:rsidRPr="00DC1A5F">
        <w:rPr>
          <w:sz w:val="16"/>
          <w:szCs w:val="20"/>
        </w:rPr>
        <w:t>Explicado de la forma antes mencionada. [564]</w:t>
      </w:r>
    </w:p>
    <w:p w14:paraId="5F0E9EE2" w14:textId="77777777" w:rsidR="00597DE2" w:rsidRPr="00DC1A5F" w:rsidRDefault="00597DE2" w:rsidP="00597DE2">
      <w:r w:rsidRPr="00DC1A5F">
        <w:t xml:space="preserve">213. </w:t>
      </w:r>
      <w:r w:rsidRPr="00DC1A5F">
        <w:tab/>
        <w:t xml:space="preserve">Además, en el curso de una existencia, la otra mentalidad resultante, que tenga como base física la sensibilidad del ojo, etc., será una condición de cuatro maneras, como condiciones de </w:t>
      </w:r>
      <w:proofErr w:type="spellStart"/>
      <w:r w:rsidRPr="00DC1A5F">
        <w:t>posnacimiento</w:t>
      </w:r>
      <w:proofErr w:type="spellEnd"/>
      <w:r w:rsidRPr="00DC1A5F">
        <w:t>, disociación, presencia y no–desaparición, para el resto de las cinco comenzando con la base del ojo. Y como la resultante, así también se explica la no–resultante; por lo tanto, la mentalidad clasificada como productiva, etc., deberá entenderse como su condición de cuatro maneras.</w:t>
      </w:r>
    </w:p>
    <w:p w14:paraId="4EF23F96" w14:textId="77777777" w:rsidR="00597DE2" w:rsidRPr="00DC1A5F" w:rsidRDefault="00597DE2" w:rsidP="00597DE2">
      <w:pPr>
        <w:pStyle w:val="NormalConSangria"/>
        <w:spacing w:after="240"/>
      </w:pPr>
      <w:r w:rsidRPr="00DC1A5F">
        <w:t>Así, en primer lugar, es cómo debe entenderse lo que sólo la mentalidad base es una condición en el renacer–vincularse y en el curso de una existencia, y cómo es una condición.</w:t>
      </w:r>
    </w:p>
    <w:p w14:paraId="3E7E3529" w14:textId="77777777" w:rsidR="00597DE2" w:rsidRPr="00DC1A5F" w:rsidRDefault="00597DE2" w:rsidP="00597DE2">
      <w:pPr>
        <w:pStyle w:val="Ttulo7"/>
        <w:ind w:left="425"/>
      </w:pPr>
      <w:r w:rsidRPr="00DC1A5F">
        <w:t>[(2) Materialidad como condición]</w:t>
      </w:r>
    </w:p>
    <w:p w14:paraId="0ACA2D4E" w14:textId="77777777" w:rsidR="00597DE2" w:rsidRPr="00DC1A5F" w:rsidRDefault="00597DE2" w:rsidP="00597DE2">
      <w:pPr>
        <w:pStyle w:val="Textoindependiente"/>
        <w:tabs>
          <w:tab w:val="left" w:pos="1418"/>
        </w:tabs>
        <w:spacing w:before="120" w:after="0"/>
        <w:rPr>
          <w:sz w:val="16"/>
          <w:szCs w:val="20"/>
        </w:rPr>
      </w:pPr>
      <w:r w:rsidRPr="00DC1A5F">
        <w:rPr>
          <w:bCs/>
          <w:iCs/>
        </w:rPr>
        <w:t>214</w:t>
      </w:r>
      <w:r w:rsidRPr="00DC1A5F">
        <w:rPr>
          <w:b/>
          <w:i/>
        </w:rPr>
        <w:t xml:space="preserve">. </w:t>
      </w:r>
      <w:r w:rsidRPr="00DC1A5F">
        <w:rPr>
          <w:b/>
          <w:i/>
        </w:rPr>
        <w:tab/>
      </w:r>
      <w:r w:rsidRPr="00DC1A5F">
        <w:rPr>
          <w:b/>
          <w:i/>
        </w:rPr>
        <w:tab/>
      </w:r>
      <w:r w:rsidRPr="00DC1A5F">
        <w:rPr>
          <w:sz w:val="16"/>
          <w:szCs w:val="20"/>
        </w:rPr>
        <w:t>Ni siquiera para una sola base</w:t>
      </w:r>
    </w:p>
    <w:p w14:paraId="0938C0C9" w14:textId="77777777" w:rsidR="00597DE2" w:rsidRPr="00DC1A5F" w:rsidRDefault="00597DE2" w:rsidP="00597DE2">
      <w:pPr>
        <w:pStyle w:val="VersoIngls01Sangria"/>
        <w:rPr>
          <w:sz w:val="16"/>
          <w:szCs w:val="20"/>
        </w:rPr>
      </w:pPr>
      <w:r w:rsidRPr="00DC1A5F">
        <w:rPr>
          <w:sz w:val="16"/>
          <w:szCs w:val="20"/>
        </w:rPr>
        <w:t>Durante el devenir inmaterial</w:t>
      </w:r>
    </w:p>
    <w:p w14:paraId="6148A261" w14:textId="77777777" w:rsidR="00597DE2" w:rsidRPr="00DC1A5F" w:rsidRDefault="00597DE2" w:rsidP="00597DE2">
      <w:pPr>
        <w:pStyle w:val="VersoIngls01Sangria"/>
        <w:rPr>
          <w:sz w:val="16"/>
          <w:szCs w:val="20"/>
        </w:rPr>
      </w:pPr>
      <w:r w:rsidRPr="00DC1A5F">
        <w:rPr>
          <w:sz w:val="16"/>
          <w:szCs w:val="20"/>
        </w:rPr>
        <w:t>La materia será una condición aquí.</w:t>
      </w:r>
    </w:p>
    <w:p w14:paraId="3A8A4864" w14:textId="77777777" w:rsidR="00597DE2" w:rsidRPr="00DC1A5F" w:rsidRDefault="00597DE2" w:rsidP="00597DE2">
      <w:pPr>
        <w:pStyle w:val="VersoIngls01Sangria"/>
        <w:rPr>
          <w:sz w:val="16"/>
          <w:szCs w:val="20"/>
        </w:rPr>
      </w:pPr>
      <w:r w:rsidRPr="00DC1A5F">
        <w:rPr>
          <w:sz w:val="16"/>
          <w:szCs w:val="20"/>
        </w:rPr>
        <w:t xml:space="preserve">No obstante, durante el devenir de cinco agregados </w:t>
      </w:r>
    </w:p>
    <w:p w14:paraId="66080668" w14:textId="77777777" w:rsidR="00597DE2" w:rsidRPr="00DC1A5F" w:rsidRDefault="00597DE2" w:rsidP="00597DE2">
      <w:pPr>
        <w:pStyle w:val="VersoIngls01Sangria"/>
        <w:rPr>
          <w:sz w:val="16"/>
          <w:szCs w:val="20"/>
        </w:rPr>
      </w:pPr>
      <w:r w:rsidRPr="00DC1A5F">
        <w:rPr>
          <w:sz w:val="16"/>
          <w:szCs w:val="20"/>
        </w:rPr>
        <w:t>La base como materia será una condición</w:t>
      </w:r>
    </w:p>
    <w:p w14:paraId="5CEABB11" w14:textId="77777777" w:rsidR="00597DE2" w:rsidRPr="00DC1A5F" w:rsidRDefault="00597DE2" w:rsidP="00597DE2">
      <w:pPr>
        <w:pStyle w:val="VersoIngls01Sangria"/>
        <w:rPr>
          <w:sz w:val="16"/>
          <w:szCs w:val="20"/>
        </w:rPr>
      </w:pPr>
      <w:r w:rsidRPr="00DC1A5F">
        <w:rPr>
          <w:sz w:val="16"/>
          <w:szCs w:val="20"/>
        </w:rPr>
        <w:t xml:space="preserve">Durante el renacimiento de seis maneras </w:t>
      </w:r>
    </w:p>
    <w:p w14:paraId="34175B9C" w14:textId="77777777" w:rsidR="00597DE2" w:rsidRPr="00DC1A5F" w:rsidRDefault="00597DE2" w:rsidP="00597DE2">
      <w:pPr>
        <w:pStyle w:val="VersoIngls01Sangria"/>
        <w:rPr>
          <w:sz w:val="16"/>
          <w:szCs w:val="20"/>
        </w:rPr>
      </w:pPr>
      <w:r w:rsidRPr="00DC1A5F">
        <w:rPr>
          <w:sz w:val="16"/>
          <w:szCs w:val="20"/>
        </w:rPr>
        <w:t>Para la sexta base; los primarios</w:t>
      </w:r>
    </w:p>
    <w:p w14:paraId="7F2240BE" w14:textId="77777777" w:rsidR="00597DE2" w:rsidRPr="00DC1A5F" w:rsidRDefault="00597DE2" w:rsidP="00597DE2">
      <w:pPr>
        <w:pStyle w:val="VersoIngls01Sangria"/>
        <w:spacing w:after="100"/>
        <w:ind w:left="1418"/>
        <w:rPr>
          <w:sz w:val="16"/>
          <w:szCs w:val="20"/>
        </w:rPr>
      </w:pPr>
      <w:r w:rsidRPr="00DC1A5F">
        <w:rPr>
          <w:sz w:val="16"/>
          <w:szCs w:val="20"/>
        </w:rPr>
        <w:t xml:space="preserve">Serán para las cinco </w:t>
      </w:r>
      <w:r w:rsidRPr="00DC1A5F">
        <w:rPr>
          <w:color w:val="833C0B" w:themeColor="accent2" w:themeShade="80"/>
          <w:sz w:val="16"/>
          <w:szCs w:val="20"/>
        </w:rPr>
        <w:t xml:space="preserve">bases </w:t>
      </w:r>
      <w:r w:rsidRPr="00DC1A5F">
        <w:rPr>
          <w:sz w:val="16"/>
          <w:szCs w:val="20"/>
        </w:rPr>
        <w:t>de cuatro maneras.</w:t>
      </w:r>
    </w:p>
    <w:p w14:paraId="601AA764" w14:textId="77777777" w:rsidR="00597DE2" w:rsidRPr="00DC1A5F" w:rsidRDefault="00597DE2" w:rsidP="00597DE2">
      <w:r w:rsidRPr="00DC1A5F">
        <w:t xml:space="preserve">215. </w:t>
      </w:r>
      <w:r w:rsidRPr="00DC1A5F">
        <w:tab/>
        <w:t xml:space="preserve">En cuanto a la materia, la materialidad de la base física del corazón será una condición del vínculo–de–renacimiento de 6 maneras, como condición de </w:t>
      </w:r>
      <w:proofErr w:type="spellStart"/>
      <w:r w:rsidRPr="00DC1A5F">
        <w:t>coetaneidad</w:t>
      </w:r>
      <w:proofErr w:type="spellEnd"/>
      <w:r w:rsidRPr="00DC1A5F">
        <w:t xml:space="preserve">, reciprocidad, soporte, disociación, presencia y no–desaparición, para la sexta, </w:t>
      </w:r>
      <w:r w:rsidRPr="00DC1A5F">
        <w:rPr>
          <w:color w:val="833C0B" w:themeColor="accent2" w:themeShade="80"/>
        </w:rPr>
        <w:t xml:space="preserve">su condición corresponderá a </w:t>
      </w:r>
      <w:r w:rsidRPr="00DC1A5F">
        <w:t>la base mental. No obstante, los cuatro primarios serán en general, es decir, durante el vínculo–de–renacimiento y durante el curso de una existencia, condiciones de cuatro modos, como condiciones de consciencia, de soporte, de presencia y de no–desaparición, para cualquiera de las cinco bases que comiencen con el ojo, siempre que surjan.</w:t>
      </w:r>
    </w:p>
    <w:p w14:paraId="79949698" w14:textId="77777777" w:rsidR="00597DE2" w:rsidRPr="00DC1A5F" w:rsidRDefault="00597DE2" w:rsidP="00597DE2">
      <w:pPr>
        <w:pStyle w:val="VersoIngls01Sangria"/>
        <w:ind w:left="0"/>
        <w:rPr>
          <w:sz w:val="16"/>
          <w:szCs w:val="20"/>
        </w:rPr>
      </w:pPr>
      <w:r w:rsidRPr="00DC1A5F">
        <w:t xml:space="preserve">216. </w:t>
      </w:r>
      <w:r w:rsidRPr="00DC1A5F">
        <w:tab/>
      </w:r>
      <w:r w:rsidRPr="00DC1A5F">
        <w:tab/>
      </w:r>
      <w:r w:rsidRPr="00DC1A5F">
        <w:tab/>
        <w:t>L</w:t>
      </w:r>
      <w:r w:rsidRPr="00DC1A5F">
        <w:rPr>
          <w:sz w:val="16"/>
          <w:szCs w:val="20"/>
        </w:rPr>
        <w:t>a vida y también el alimento de la vida,</w:t>
      </w:r>
    </w:p>
    <w:p w14:paraId="54623B4E" w14:textId="77777777" w:rsidR="00597DE2" w:rsidRPr="00DC1A5F" w:rsidRDefault="00597DE2" w:rsidP="00597DE2">
      <w:pPr>
        <w:pStyle w:val="VersoIngls01Sangria"/>
        <w:rPr>
          <w:sz w:val="16"/>
          <w:szCs w:val="20"/>
        </w:rPr>
      </w:pPr>
      <w:r w:rsidRPr="00DC1A5F">
        <w:rPr>
          <w:sz w:val="16"/>
          <w:szCs w:val="20"/>
        </w:rPr>
        <w:t xml:space="preserve">Condicionará a las cinco </w:t>
      </w:r>
      <w:r w:rsidRPr="00DC1A5F">
        <w:rPr>
          <w:color w:val="833C0B" w:themeColor="accent2" w:themeShade="80"/>
          <w:sz w:val="16"/>
          <w:szCs w:val="20"/>
        </w:rPr>
        <w:t xml:space="preserve">bases </w:t>
      </w:r>
      <w:r w:rsidRPr="00DC1A5F">
        <w:rPr>
          <w:sz w:val="16"/>
          <w:szCs w:val="20"/>
        </w:rPr>
        <w:t>de tres formas;</w:t>
      </w:r>
    </w:p>
    <w:p w14:paraId="578A035D" w14:textId="77777777" w:rsidR="00597DE2" w:rsidRPr="00DC1A5F" w:rsidRDefault="00597DE2" w:rsidP="00597DE2">
      <w:pPr>
        <w:pStyle w:val="VersoIngls01Sangria"/>
        <w:rPr>
          <w:sz w:val="16"/>
          <w:szCs w:val="20"/>
        </w:rPr>
      </w:pPr>
      <w:r w:rsidRPr="00DC1A5F">
        <w:rPr>
          <w:sz w:val="16"/>
          <w:szCs w:val="20"/>
        </w:rPr>
        <w:t xml:space="preserve">Estas cinco, </w:t>
      </w:r>
      <w:r w:rsidRPr="00DC1A5F">
        <w:rPr>
          <w:color w:val="833C0B" w:themeColor="accent2" w:themeShade="80"/>
          <w:sz w:val="16"/>
          <w:szCs w:val="20"/>
        </w:rPr>
        <w:t xml:space="preserve">será condicionada por </w:t>
      </w:r>
      <w:r w:rsidRPr="00DC1A5F">
        <w:rPr>
          <w:sz w:val="16"/>
          <w:szCs w:val="20"/>
        </w:rPr>
        <w:t>la sexta de seis maneras;</w:t>
      </w:r>
    </w:p>
    <w:p w14:paraId="64AFF36E" w14:textId="77777777" w:rsidR="00597DE2" w:rsidRPr="00DC1A5F" w:rsidRDefault="00597DE2" w:rsidP="00597DE2">
      <w:pPr>
        <w:pStyle w:val="VersoIngls01Sangria"/>
        <w:spacing w:after="100"/>
        <w:ind w:left="1418"/>
        <w:rPr>
          <w:sz w:val="16"/>
          <w:szCs w:val="20"/>
        </w:rPr>
      </w:pPr>
      <w:r w:rsidRPr="00DC1A5F">
        <w:rPr>
          <w:sz w:val="16"/>
          <w:szCs w:val="20"/>
        </w:rPr>
        <w:t xml:space="preserve">Las bases, </w:t>
      </w:r>
      <w:r w:rsidRPr="00DC1A5F">
        <w:rPr>
          <w:color w:val="833C0B" w:themeColor="accent2" w:themeShade="80"/>
          <w:sz w:val="16"/>
          <w:szCs w:val="20"/>
        </w:rPr>
        <w:t xml:space="preserve">será condicionada por </w:t>
      </w:r>
      <w:r w:rsidRPr="00DC1A5F">
        <w:rPr>
          <w:sz w:val="16"/>
          <w:szCs w:val="20"/>
        </w:rPr>
        <w:t>la sexta de cinco maneras.</w:t>
      </w:r>
    </w:p>
    <w:p w14:paraId="4D1AAB56" w14:textId="77777777" w:rsidR="00597DE2" w:rsidRPr="00DC1A5F" w:rsidRDefault="00597DE2" w:rsidP="00597DE2">
      <w:r w:rsidRPr="00DC1A5F">
        <w:t xml:space="preserve">217. </w:t>
      </w:r>
      <w:r w:rsidRPr="00DC1A5F">
        <w:tab/>
        <w:t xml:space="preserve">No obstante, en el vínculo–de–renacimiento y en el curso de una existencia, la facultad de la materialidad vital será una condición de 3 maneras, como condición de presencia, no–desaparición y facultad, para estas 5 bases comenzando con el ojo. El nutrimento también será una condición de 3 maneras, como condición de presencia, de no–desaparición y de nutrimento, y ello será así en el curso de una existencia, no durante el vínculo–de–renacimiento y se aplicará cuando los cuerpos de los seres que subsistan del alimento estén impregnados del nutrimento. En el curso de una existencia, no en el vínculo–de–renacimiento, esas 5 bases que comienzan con el ojo serán condiciones de 6 maneras, como condiciones de soporte, </w:t>
      </w:r>
      <w:proofErr w:type="spellStart"/>
      <w:r w:rsidRPr="00DC1A5F">
        <w:t>prenacimiento</w:t>
      </w:r>
      <w:proofErr w:type="spellEnd"/>
      <w:r w:rsidRPr="00DC1A5F">
        <w:t xml:space="preserve">, facultad, disociación, presencia y no–desaparición, para esa parte de la sexta base, para la base de la mente, comprendida por la consciencia de los ojos, los oídos, la nariz, la lengua y el cuerpo. No </w:t>
      </w:r>
    </w:p>
    <w:p w14:paraId="132BDD0F" w14:textId="77777777" w:rsidR="00597DE2" w:rsidRPr="00DC1A5F" w:rsidRDefault="00597DE2" w:rsidP="00597DE2">
      <w:pPr>
        <w:tabs>
          <w:tab w:val="clear" w:pos="425"/>
        </w:tabs>
        <w:spacing w:after="160"/>
      </w:pPr>
      <w:r w:rsidRPr="00DC1A5F">
        <w:br w:type="page"/>
      </w:r>
    </w:p>
    <w:p w14:paraId="14CC419F" w14:textId="77777777" w:rsidR="00597DE2" w:rsidRPr="00DC1A5F" w:rsidRDefault="00597DE2" w:rsidP="00597DE2">
      <w:pPr>
        <w:pStyle w:val="Textoindependiente"/>
      </w:pPr>
      <w:r w:rsidRPr="00DC1A5F">
        <w:lastRenderedPageBreak/>
        <w:t xml:space="preserve">obstante, en el curso de una existencia, no en el vínculo–de–renacimiento, la materialidad de la base del corazón será una condición de 5 maneras, como condición de soporte, </w:t>
      </w:r>
      <w:proofErr w:type="spellStart"/>
      <w:r w:rsidRPr="00DC1A5F">
        <w:t>prenacimiento</w:t>
      </w:r>
      <w:proofErr w:type="spellEnd"/>
      <w:r w:rsidRPr="00DC1A5F">
        <w:t>, disociación, presencia y no–desaparición, para la base mental restante aparte de las 5 consciencias. Así deberá entenderse qué fundamentos de la sola materialidad será una condición en el vínculo–de–renacimiento y en el curso de una existencia y cómo será una condición. [565]</w:t>
      </w:r>
    </w:p>
    <w:p w14:paraId="7AFE3AF0" w14:textId="77777777" w:rsidR="00597DE2" w:rsidRPr="00DC1A5F" w:rsidRDefault="00597DE2" w:rsidP="00597DE2">
      <w:pPr>
        <w:pStyle w:val="Ttulo7"/>
        <w:ind w:left="709"/>
      </w:pPr>
      <w:r w:rsidRPr="00DC1A5F">
        <w:t>[(3) Mentalidad–Materialidad Como Condición]</w:t>
      </w:r>
    </w:p>
    <w:p w14:paraId="062802A6" w14:textId="77777777" w:rsidR="00597DE2" w:rsidRPr="00DC1A5F" w:rsidRDefault="00597DE2" w:rsidP="00597DE2">
      <w:pPr>
        <w:pStyle w:val="VersoIngls01Sangria"/>
        <w:ind w:left="0"/>
        <w:rPr>
          <w:sz w:val="14"/>
          <w:szCs w:val="18"/>
        </w:rPr>
      </w:pPr>
      <w:r w:rsidRPr="00DC1A5F">
        <w:t xml:space="preserve">218. </w:t>
      </w:r>
      <w:r w:rsidRPr="00DC1A5F">
        <w:tab/>
      </w:r>
      <w:r w:rsidRPr="00DC1A5F">
        <w:tab/>
      </w:r>
      <w:r w:rsidRPr="00DC1A5F">
        <w:tab/>
      </w:r>
      <w:r w:rsidRPr="00DC1A5F">
        <w:rPr>
          <w:sz w:val="14"/>
          <w:szCs w:val="18"/>
        </w:rPr>
        <w:t>¿Qué combinación de mente y materia</w:t>
      </w:r>
    </w:p>
    <w:p w14:paraId="47FA5EB7" w14:textId="77777777" w:rsidR="00597DE2" w:rsidRPr="00DC1A5F" w:rsidRDefault="00597DE2" w:rsidP="00597DE2">
      <w:pPr>
        <w:pStyle w:val="VersoIngls01Sangria"/>
        <w:rPr>
          <w:sz w:val="14"/>
          <w:szCs w:val="18"/>
        </w:rPr>
      </w:pPr>
      <w:r w:rsidRPr="00DC1A5F">
        <w:rPr>
          <w:sz w:val="14"/>
          <w:szCs w:val="18"/>
        </w:rPr>
        <w:t>Será una condición para qué tipo</w:t>
      </w:r>
    </w:p>
    <w:p w14:paraId="6B106619" w14:textId="77777777" w:rsidR="00597DE2" w:rsidRPr="00DC1A5F" w:rsidRDefault="00597DE2" w:rsidP="00597DE2">
      <w:pPr>
        <w:pStyle w:val="VersoIngls01Sangria"/>
        <w:rPr>
          <w:sz w:val="14"/>
          <w:szCs w:val="18"/>
        </w:rPr>
      </w:pPr>
      <w:r w:rsidRPr="00DC1A5F">
        <w:rPr>
          <w:sz w:val="14"/>
          <w:szCs w:val="18"/>
        </w:rPr>
        <w:t>Y como será en cada caso,</w:t>
      </w:r>
    </w:p>
    <w:p w14:paraId="6F29C231" w14:textId="77777777" w:rsidR="00597DE2" w:rsidRPr="00DC1A5F" w:rsidRDefault="00597DE2" w:rsidP="00597DE2">
      <w:pPr>
        <w:pStyle w:val="VersoIngls01Sangria"/>
        <w:spacing w:after="100"/>
        <w:ind w:left="1418"/>
        <w:rPr>
          <w:sz w:val="14"/>
          <w:szCs w:val="18"/>
        </w:rPr>
      </w:pPr>
      <w:r w:rsidRPr="00DC1A5F">
        <w:rPr>
          <w:sz w:val="14"/>
          <w:szCs w:val="18"/>
        </w:rPr>
        <w:t>Un hombre sabio ahora deberá tratar de descubrirlo.</w:t>
      </w:r>
    </w:p>
    <w:p w14:paraId="300BCE68" w14:textId="77777777" w:rsidR="00597DE2" w:rsidRPr="00DC1A5F" w:rsidRDefault="00597DE2" w:rsidP="00597DE2">
      <w:r w:rsidRPr="00DC1A5F">
        <w:t xml:space="preserve">219. </w:t>
      </w:r>
      <w:r w:rsidRPr="00DC1A5F">
        <w:tab/>
        <w:t xml:space="preserve">Por ejemplo, en primer lugar, durante el vínculo–de–renacimiento del devenir de cinco constituyentes, la mentalidad–materialidad, en otras palabras, el trío de agregados más la materialidad de la base de corazón, será una condición, como </w:t>
      </w:r>
      <w:proofErr w:type="spellStart"/>
      <w:r w:rsidRPr="00DC1A5F">
        <w:t>coetaneidad</w:t>
      </w:r>
      <w:proofErr w:type="spellEnd"/>
      <w:r w:rsidRPr="00DC1A5F">
        <w:t xml:space="preserve">, reciprocidad, condición de soporte, </w:t>
      </w:r>
      <w:proofErr w:type="spellStart"/>
      <w:r w:rsidRPr="00DC1A5F">
        <w:rPr>
          <w:i/>
        </w:rPr>
        <w:t>kamma</w:t>
      </w:r>
      <w:proofErr w:type="spellEnd"/>
      <w:r w:rsidRPr="00DC1A5F">
        <w:rPr>
          <w:i/>
        </w:rPr>
        <w:t xml:space="preserve"> </w:t>
      </w:r>
      <w:r w:rsidRPr="00DC1A5F">
        <w:rPr>
          <w:iCs/>
        </w:rPr>
        <w:t>resultante</w:t>
      </w:r>
      <w:r w:rsidRPr="00DC1A5F">
        <w:t>, asociación, disociación, presencia y no–desaparición, etc., para la sexta base, para la base de la mente. Esto corresponderá simplemente a un tipo de terminología; no obstante, como todo podrá interpretarse de la manera ya expuesta, no se dará aquí el detalle.</w:t>
      </w:r>
    </w:p>
    <w:p w14:paraId="4FFA4851" w14:textId="77777777" w:rsidR="00597DE2" w:rsidRPr="00DC1A5F" w:rsidRDefault="00597DE2" w:rsidP="00597DE2">
      <w:pPr>
        <w:pStyle w:val="NormalConSangria"/>
      </w:pPr>
      <w:r w:rsidRPr="00DC1A5F">
        <w:t>Esta será la explicación detallada de la cláusula “Con la mentalidad–materialidad como condición, se origina las seis bases”.</w:t>
      </w:r>
      <w:r w:rsidRPr="00DC1A5F">
        <w:br/>
      </w:r>
    </w:p>
    <w:p w14:paraId="4FB531C7" w14:textId="77777777" w:rsidR="00597DE2" w:rsidRPr="00DC1A5F" w:rsidRDefault="00597DE2" w:rsidP="00597DE2">
      <w:pPr>
        <w:pStyle w:val="Ttulo6"/>
      </w:pPr>
      <w:r w:rsidRPr="00DC1A5F">
        <w:t>[(VI) El Contacto]</w:t>
      </w:r>
    </w:p>
    <w:p w14:paraId="75437DC6" w14:textId="77777777" w:rsidR="00597DE2" w:rsidRPr="00DC1A5F" w:rsidRDefault="00597DE2" w:rsidP="00597DE2">
      <w:pPr>
        <w:pStyle w:val="Textoindependiente"/>
      </w:pPr>
      <w:r w:rsidRPr="00DC1A5F">
        <w:t xml:space="preserve">220. </w:t>
      </w:r>
      <w:r w:rsidRPr="00DC1A5F">
        <w:tab/>
        <w:t>En cuanto a la cláusula “Con las seis bases como condición, se origina el contacto”:</w:t>
      </w:r>
    </w:p>
    <w:p w14:paraId="393D1702" w14:textId="77777777" w:rsidR="00597DE2" w:rsidRPr="00DC1A5F" w:rsidRDefault="00597DE2" w:rsidP="00597DE2">
      <w:pPr>
        <w:pStyle w:val="VersoIngls01Sangria"/>
        <w:rPr>
          <w:sz w:val="16"/>
          <w:szCs w:val="20"/>
        </w:rPr>
      </w:pPr>
      <w:r w:rsidRPr="00DC1A5F">
        <w:rPr>
          <w:sz w:val="16"/>
          <w:szCs w:val="20"/>
        </w:rPr>
        <w:t>El contacto será brevemente de seis tipos</w:t>
      </w:r>
    </w:p>
    <w:p w14:paraId="77A867CA" w14:textId="77777777" w:rsidR="00597DE2" w:rsidRPr="00DC1A5F" w:rsidRDefault="00597DE2" w:rsidP="00597DE2">
      <w:pPr>
        <w:pStyle w:val="VersoIngls01Sangria"/>
        <w:rPr>
          <w:sz w:val="16"/>
          <w:szCs w:val="20"/>
        </w:rPr>
      </w:pPr>
      <w:r w:rsidRPr="00DC1A5F">
        <w:rPr>
          <w:sz w:val="16"/>
          <w:szCs w:val="20"/>
        </w:rPr>
        <w:t>Con el contacto visual y también los restantes;</w:t>
      </w:r>
    </w:p>
    <w:p w14:paraId="12A295D7" w14:textId="77777777" w:rsidR="00597DE2" w:rsidRPr="00DC1A5F" w:rsidRDefault="00597DE2" w:rsidP="00597DE2">
      <w:pPr>
        <w:pStyle w:val="VersoIngls01Sangria"/>
        <w:rPr>
          <w:sz w:val="16"/>
          <w:szCs w:val="20"/>
        </w:rPr>
      </w:pPr>
      <w:r w:rsidRPr="00DC1A5F">
        <w:rPr>
          <w:sz w:val="16"/>
          <w:szCs w:val="20"/>
        </w:rPr>
        <w:t>Según cada consciencia</w:t>
      </w:r>
    </w:p>
    <w:p w14:paraId="025B0A7D" w14:textId="77777777" w:rsidR="00597DE2" w:rsidRPr="00DC1A5F" w:rsidRDefault="00597DE2" w:rsidP="00597DE2">
      <w:pPr>
        <w:pStyle w:val="VersoIngls01Sangria"/>
        <w:spacing w:after="100"/>
        <w:ind w:left="1418"/>
        <w:rPr>
          <w:sz w:val="16"/>
          <w:szCs w:val="20"/>
        </w:rPr>
      </w:pPr>
      <w:r w:rsidRPr="00DC1A5F">
        <w:rPr>
          <w:sz w:val="16"/>
          <w:szCs w:val="20"/>
        </w:rPr>
        <w:t>Detalladamente serán treinta y dos.</w:t>
      </w:r>
    </w:p>
    <w:p w14:paraId="79AE056B" w14:textId="77777777" w:rsidR="00597DE2" w:rsidRPr="00DC1A5F" w:rsidRDefault="00597DE2" w:rsidP="00597DE2">
      <w:pPr>
        <w:pStyle w:val="Textoindependiente"/>
      </w:pPr>
      <w:r w:rsidRPr="00DC1A5F">
        <w:t xml:space="preserve">221. </w:t>
      </w:r>
      <w:r w:rsidRPr="00DC1A5F">
        <w:tab/>
        <w:t xml:space="preserve">Brevemente, con la cláusula “Con las seis bases como condición, se origina el contacto”, solo existirán 6 tipos </w:t>
      </w:r>
      <w:r w:rsidRPr="00DC1A5F">
        <w:rPr>
          <w:color w:val="833C0B" w:themeColor="accent2" w:themeShade="80"/>
        </w:rPr>
        <w:t xml:space="preserve">de contacto </w:t>
      </w:r>
      <w:r w:rsidRPr="00DC1A5F">
        <w:t>comenzando con el contacto visual, es decir, el contacto visual, el contacto auditivo, el contacto nasal, el contacto lingual. el contacto corporal y el contacto mental. Pero en detalle, las 5 consciencias resultantes productivas y las 5 resultantes improductivas, comenzando con la del contacto visual, sumarán 10; el resto, que estará asociado con los 22 tipos de consciencia resultante mundana, sumarán 22 tipos de contacto. Entonces, todos estos llegarán a 32 ((34)–(65)) tipos de contacto, de igual manera que la consciencia con las formaciones como condición expuesta anteriormente.</w:t>
      </w:r>
    </w:p>
    <w:p w14:paraId="2412D9EE" w14:textId="77777777" w:rsidR="00597DE2" w:rsidRPr="00DC1A5F" w:rsidRDefault="00597DE2" w:rsidP="00597DE2">
      <w:pPr>
        <w:pStyle w:val="Textoindependiente"/>
      </w:pPr>
      <w:r w:rsidRPr="00DC1A5F">
        <w:t xml:space="preserve">222. </w:t>
      </w:r>
      <w:r w:rsidRPr="00DC1A5F">
        <w:tab/>
        <w:t>No obstante, en cuanto a las 6 bases, estas serán una condición para estos 32 tipos de contacto. Al respecto:</w:t>
      </w:r>
    </w:p>
    <w:p w14:paraId="023F33D7" w14:textId="77777777" w:rsidR="00597DE2" w:rsidRPr="00DC1A5F" w:rsidRDefault="00597DE2" w:rsidP="00597DE2">
      <w:pPr>
        <w:pStyle w:val="VersoIngls01Sangria"/>
        <w:rPr>
          <w:sz w:val="16"/>
          <w:szCs w:val="20"/>
        </w:rPr>
      </w:pPr>
      <w:r w:rsidRPr="00DC1A5F">
        <w:rPr>
          <w:sz w:val="16"/>
          <w:szCs w:val="20"/>
        </w:rPr>
        <w:t>Algunos sabios adoptan las seis bases</w:t>
      </w:r>
    </w:p>
    <w:p w14:paraId="4DB4714F" w14:textId="77777777" w:rsidR="00597DE2" w:rsidRPr="00DC1A5F" w:rsidRDefault="00597DE2" w:rsidP="00597DE2">
      <w:pPr>
        <w:pStyle w:val="VersoIngls01Sangria"/>
        <w:rPr>
          <w:sz w:val="16"/>
          <w:szCs w:val="20"/>
        </w:rPr>
      </w:pPr>
      <w:r w:rsidRPr="00DC1A5F">
        <w:rPr>
          <w:sz w:val="16"/>
          <w:szCs w:val="20"/>
        </w:rPr>
        <w:t>Como las cinco bases internas</w:t>
      </w:r>
    </w:p>
    <w:p w14:paraId="1E6BB201" w14:textId="77777777" w:rsidR="00597DE2" w:rsidRPr="00DC1A5F" w:rsidRDefault="00597DE2" w:rsidP="00597DE2">
      <w:pPr>
        <w:pStyle w:val="VersoIngls01Sangria"/>
        <w:rPr>
          <w:sz w:val="16"/>
          <w:szCs w:val="20"/>
        </w:rPr>
      </w:pPr>
      <w:r w:rsidRPr="00DC1A5F">
        <w:rPr>
          <w:sz w:val="16"/>
          <w:szCs w:val="20"/>
        </w:rPr>
        <w:t>Con la sexta; pero otros consideran</w:t>
      </w:r>
    </w:p>
    <w:p w14:paraId="249893BA" w14:textId="77777777" w:rsidR="00597DE2" w:rsidRPr="00DC1A5F" w:rsidRDefault="00597DE2" w:rsidP="00597DE2">
      <w:pPr>
        <w:pStyle w:val="VersoIngls01Sangria"/>
        <w:spacing w:after="100"/>
        <w:ind w:left="1418"/>
        <w:rPr>
          <w:sz w:val="16"/>
          <w:szCs w:val="20"/>
        </w:rPr>
      </w:pPr>
      <w:r w:rsidRPr="00DC1A5F">
        <w:rPr>
          <w:sz w:val="16"/>
          <w:szCs w:val="20"/>
        </w:rPr>
        <w:t>Estas más las seis bases externas.</w:t>
      </w:r>
    </w:p>
    <w:p w14:paraId="0C68055D" w14:textId="77777777" w:rsidR="00597DE2" w:rsidRPr="00DC1A5F" w:rsidRDefault="00597DE2" w:rsidP="00597DE2">
      <w:pPr>
        <w:pStyle w:val="Textoindependiente"/>
      </w:pPr>
      <w:r w:rsidRPr="00DC1A5F">
        <w:t xml:space="preserve">223. </w:t>
      </w:r>
      <w:r w:rsidRPr="00DC1A5F">
        <w:tab/>
        <w:t xml:space="preserve">Aquí, en primer lugar, hay quienes adoptan esto como una exposición de la ocurrencia de aquello que esté apegado, [es decir, los agregados adquiridos </w:t>
      </w:r>
      <w:proofErr w:type="spellStart"/>
      <w:r w:rsidRPr="00DC1A5F">
        <w:rPr>
          <w:i/>
          <w:iCs/>
        </w:rPr>
        <w:t>kāmmicamente</w:t>
      </w:r>
      <w:proofErr w:type="spellEnd"/>
      <w:r w:rsidRPr="00DC1A5F">
        <w:t xml:space="preserve">] y sostienen que las bases condicionadas y el contacto condicionalmente originado corresponderán ​​sólo a lo que esté incluido en la propia continuidad. Ellos adoptan cualquier fragmento para representar </w:t>
      </w:r>
    </w:p>
    <w:p w14:paraId="0DA27C82" w14:textId="77777777" w:rsidR="00597DE2" w:rsidRPr="00DC1A5F" w:rsidRDefault="00597DE2" w:rsidP="00597DE2">
      <w:pPr>
        <w:tabs>
          <w:tab w:val="clear" w:pos="425"/>
        </w:tabs>
        <w:spacing w:after="160"/>
      </w:pPr>
      <w:r w:rsidRPr="00DC1A5F">
        <w:br w:type="page"/>
      </w:r>
    </w:p>
    <w:p w14:paraId="2D8F31CA" w14:textId="77777777" w:rsidR="00597DE2" w:rsidRPr="00DC1A5F" w:rsidRDefault="00597DE2" w:rsidP="00597DE2"/>
    <w:p w14:paraId="6975CC73" w14:textId="77777777" w:rsidR="00597DE2" w:rsidRPr="00DC1A5F" w:rsidRDefault="00597DE2" w:rsidP="00597DE2">
      <w:pPr>
        <w:pStyle w:val="Textoindependiente"/>
      </w:pPr>
      <w:r w:rsidRPr="00DC1A5F">
        <w:t>cualquier parte restante de su tipo, ya que la condición para el contacto en los estados inmateriales corresponderá solamente a la sexta base, según lo que dice el texto al respecto “Con la sexta base como condición, se origina el contacto” (</w:t>
      </w:r>
      <w:proofErr w:type="spellStart"/>
      <w:r w:rsidRPr="00DC1A5F">
        <w:t>Vibh</w:t>
      </w:r>
      <w:proofErr w:type="spellEnd"/>
      <w:r w:rsidRPr="00DC1A5F">
        <w:t xml:space="preserve"> 179), y en otros lugares corresponderá a las 6 bases inclusive. Así que ellos dicen que “las 6 bases” significa las 5 internas comenzando con el ojo más la sexta base (la mente). Porque a esa sexta base y a esas 6 bases se le denominan “las 6 bases”. No obstante, hay quienes sostienen que sólo el contacto surgido condicionalmente está contenido en una única continuidad, mientras que las bases condicionadas están contenidas también en continuidades independientes [es decir, pasadas]. Sostienen que todas y cada una de esas bases corresponderá a una condición para el contacto e incluyen también las 6 bases externas. Así que ellos dicen que “las seis bases” significan las mismas 5 internas más la sexta, más las bases externas comenzando con los objetos visibles. Ya que esa sexta base y esas 6 bases parciales y las 6 bases junto con estas externas, cada una representando a las restantes [566] también se le denominarán las 6 bases.</w:t>
      </w:r>
    </w:p>
    <w:p w14:paraId="67314F36" w14:textId="77777777" w:rsidR="00597DE2" w:rsidRPr="00DC1A5F" w:rsidRDefault="00597DE2" w:rsidP="00597DE2">
      <w:r w:rsidRPr="00DC1A5F">
        <w:t xml:space="preserve">224. </w:t>
      </w:r>
      <w:r w:rsidRPr="00DC1A5F">
        <w:tab/>
        <w:t>Aquí se podría preguntar: “Un tipo de contacto no se derivará de todas las bases, ni todas las clases de contacto de una base. Y sin embargo, ‘Con las seis bases como condición, se origina el contacto’ se dice en singular. ¿Por qué es eso?”</w:t>
      </w:r>
    </w:p>
    <w:p w14:paraId="69B8B8FC" w14:textId="77777777" w:rsidR="00597DE2" w:rsidRPr="00DC1A5F" w:rsidRDefault="00597DE2" w:rsidP="00597DE2">
      <w:r w:rsidRPr="00DC1A5F">
        <w:t xml:space="preserve">225. </w:t>
      </w:r>
      <w:r w:rsidRPr="00DC1A5F">
        <w:tab/>
        <w:t>He aquí la respuesta: es cierto que ni uno deriva de todos ni todos de uno. Sin embargo, uno se deriva de muchos. Porque el contacto visual se deriva de la base del ojo, de la base de los objetos visibles, de la base de la mente considerada como la consciencia visual y de la base de los objetos mentales consistente de los estados asociados restantes. Y cada caso deberá interpretarse como apropiado de esta manera. Por lo tanto:</w:t>
      </w:r>
    </w:p>
    <w:p w14:paraId="6E9D8ABD" w14:textId="77777777" w:rsidR="00597DE2" w:rsidRPr="00DC1A5F" w:rsidRDefault="00597DE2" w:rsidP="00597DE2">
      <w:pPr>
        <w:pStyle w:val="VersoIngls01Sangria"/>
        <w:rPr>
          <w:sz w:val="16"/>
          <w:szCs w:val="20"/>
        </w:rPr>
      </w:pPr>
      <w:r w:rsidRPr="00DC1A5F">
        <w:rPr>
          <w:sz w:val="16"/>
          <w:szCs w:val="20"/>
        </w:rPr>
        <w:t>Aunque se diga en singular,</w:t>
      </w:r>
    </w:p>
    <w:p w14:paraId="2CE063C8" w14:textId="77777777" w:rsidR="00597DE2" w:rsidRPr="00DC1A5F" w:rsidRDefault="00597DE2" w:rsidP="00597DE2">
      <w:pPr>
        <w:pStyle w:val="VersoIngls01Sangria"/>
        <w:rPr>
          <w:sz w:val="16"/>
          <w:szCs w:val="20"/>
        </w:rPr>
      </w:pPr>
      <w:r w:rsidRPr="00DC1A5F">
        <w:rPr>
          <w:sz w:val="16"/>
          <w:szCs w:val="20"/>
        </w:rPr>
        <w:t>Él muestra con ello en todos esos casos</w:t>
      </w:r>
    </w:p>
    <w:p w14:paraId="3760B185" w14:textId="77777777" w:rsidR="00597DE2" w:rsidRPr="00DC1A5F" w:rsidRDefault="00597DE2" w:rsidP="00597DE2">
      <w:pPr>
        <w:pStyle w:val="VersoIngls01Sangria"/>
        <w:rPr>
          <w:sz w:val="16"/>
          <w:szCs w:val="20"/>
        </w:rPr>
      </w:pPr>
      <w:r w:rsidRPr="00DC1A5F">
        <w:rPr>
          <w:sz w:val="16"/>
          <w:szCs w:val="20"/>
        </w:rPr>
        <w:t>Que este contacto, aunque sea uno solo,</w:t>
      </w:r>
    </w:p>
    <w:p w14:paraId="13870832" w14:textId="77777777" w:rsidR="00597DE2" w:rsidRPr="00DC1A5F" w:rsidRDefault="00597DE2" w:rsidP="00597DE2">
      <w:pPr>
        <w:pStyle w:val="VersoIngls01Sangria"/>
        <w:spacing w:after="100"/>
        <w:ind w:left="1418"/>
        <w:rPr>
          <w:sz w:val="16"/>
          <w:szCs w:val="20"/>
        </w:rPr>
      </w:pPr>
      <w:r w:rsidRPr="00DC1A5F">
        <w:rPr>
          <w:sz w:val="16"/>
          <w:szCs w:val="20"/>
        </w:rPr>
        <w:t>Todavía se deriva de varias bases.</w:t>
      </w:r>
    </w:p>
    <w:p w14:paraId="3E522794" w14:textId="77777777" w:rsidR="00597DE2" w:rsidRPr="00DC1A5F" w:rsidRDefault="00597DE2" w:rsidP="00597DE2">
      <w:pPr>
        <w:pStyle w:val="NormalConSangria"/>
      </w:pPr>
      <w:r w:rsidRPr="00DC1A5F">
        <w:rPr>
          <w:i/>
          <w:iCs/>
        </w:rPr>
        <w:t>Aunque se diga en singular</w:t>
      </w:r>
      <w:r w:rsidRPr="00DC1A5F">
        <w:t xml:space="preserve">: el significado es, por esta declaración en singular que “Con las seis bases como condición, se origina el contacto”, el </w:t>
      </w:r>
      <w:r w:rsidRPr="00DC1A5F">
        <w:rPr>
          <w:i/>
          <w:iCs/>
        </w:rPr>
        <w:t>Bhagavā</w:t>
      </w:r>
      <w:r w:rsidRPr="00DC1A5F">
        <w:t xml:space="preserve"> (</w:t>
      </w:r>
      <w:proofErr w:type="spellStart"/>
      <w:r w:rsidRPr="00DC1A5F">
        <w:rPr>
          <w:i/>
          <w:iCs/>
        </w:rPr>
        <w:t>Tādin</w:t>
      </w:r>
      <w:proofErr w:type="spellEnd"/>
      <w:r w:rsidRPr="00DC1A5F">
        <w:t>) señala que el contacto, que es de un tipo, entrarás en contacto por medio de muchas bases.</w:t>
      </w:r>
    </w:p>
    <w:p w14:paraId="70C52231" w14:textId="77777777" w:rsidR="00597DE2" w:rsidRPr="00DC1A5F" w:rsidRDefault="00597DE2" w:rsidP="00597DE2">
      <w:pPr>
        <w:pStyle w:val="Ttulo7"/>
        <w:ind w:left="425"/>
      </w:pPr>
      <w:r w:rsidRPr="00DC1A5F">
        <w:t>[Cómo las 6 bases serán una Condición para el Contacto]</w:t>
      </w:r>
    </w:p>
    <w:p w14:paraId="55BDB24D" w14:textId="77777777" w:rsidR="00597DE2" w:rsidRPr="00DC1A5F" w:rsidRDefault="00597DE2" w:rsidP="00597DE2">
      <w:pPr>
        <w:pStyle w:val="Textoindependiente"/>
      </w:pPr>
      <w:r w:rsidRPr="00DC1A5F">
        <w:t xml:space="preserve">226. </w:t>
      </w:r>
      <w:r w:rsidRPr="00DC1A5F">
        <w:tab/>
        <w:t>No obstante, en cuanto a estas bases:</w:t>
      </w:r>
    </w:p>
    <w:p w14:paraId="696E2197" w14:textId="77777777" w:rsidR="00597DE2" w:rsidRPr="00DC1A5F" w:rsidRDefault="00597DE2" w:rsidP="00597DE2">
      <w:pPr>
        <w:pStyle w:val="VersoIngls01Sangria"/>
        <w:rPr>
          <w:sz w:val="16"/>
          <w:szCs w:val="20"/>
        </w:rPr>
      </w:pPr>
      <w:r w:rsidRPr="00DC1A5F">
        <w:rPr>
          <w:sz w:val="16"/>
          <w:szCs w:val="20"/>
        </w:rPr>
        <w:t>Cinco de seis maneras; y después de ello</w:t>
      </w:r>
    </w:p>
    <w:p w14:paraId="410B9418" w14:textId="77777777" w:rsidR="00597DE2" w:rsidRPr="00DC1A5F" w:rsidRDefault="00597DE2" w:rsidP="00597DE2">
      <w:pPr>
        <w:pStyle w:val="VersoIngls01Sangria"/>
        <w:rPr>
          <w:sz w:val="16"/>
          <w:szCs w:val="20"/>
        </w:rPr>
      </w:pPr>
      <w:r w:rsidRPr="00DC1A5F">
        <w:rPr>
          <w:sz w:val="16"/>
          <w:szCs w:val="20"/>
        </w:rPr>
        <w:t xml:space="preserve">Una de nueve maneras; las seis </w:t>
      </w:r>
      <w:r w:rsidRPr="00DC1A5F">
        <w:rPr>
          <w:color w:val="833C0B" w:themeColor="accent2" w:themeShade="80"/>
          <w:sz w:val="16"/>
          <w:szCs w:val="20"/>
        </w:rPr>
        <w:t xml:space="preserve">bases </w:t>
      </w:r>
      <w:r w:rsidRPr="00DC1A5F">
        <w:rPr>
          <w:sz w:val="16"/>
          <w:szCs w:val="20"/>
        </w:rPr>
        <w:t xml:space="preserve">externas </w:t>
      </w:r>
    </w:p>
    <w:p w14:paraId="743D2852" w14:textId="77777777" w:rsidR="00597DE2" w:rsidRPr="00DC1A5F" w:rsidRDefault="00597DE2" w:rsidP="00597DE2">
      <w:pPr>
        <w:pStyle w:val="VersoIngls01Sangria"/>
        <w:rPr>
          <w:sz w:val="16"/>
          <w:szCs w:val="20"/>
        </w:rPr>
      </w:pPr>
      <w:r w:rsidRPr="00DC1A5F">
        <w:rPr>
          <w:sz w:val="16"/>
          <w:szCs w:val="20"/>
        </w:rPr>
        <w:t>Como condicionalidad del contacto</w:t>
      </w:r>
    </w:p>
    <w:p w14:paraId="6940B631" w14:textId="77777777" w:rsidR="00597DE2" w:rsidRPr="00DC1A5F" w:rsidRDefault="00597DE2" w:rsidP="00597DE2">
      <w:pPr>
        <w:pStyle w:val="VersoIngls01Sangria"/>
        <w:spacing w:after="100"/>
        <w:ind w:left="1418"/>
        <w:rPr>
          <w:sz w:val="16"/>
          <w:szCs w:val="20"/>
        </w:rPr>
      </w:pPr>
      <w:r w:rsidRPr="00DC1A5F">
        <w:rPr>
          <w:sz w:val="16"/>
          <w:szCs w:val="20"/>
        </w:rPr>
        <w:t>Desarrollaremos esto según cada caso.</w:t>
      </w:r>
    </w:p>
    <w:p w14:paraId="729A5EEC" w14:textId="77777777" w:rsidR="00597DE2" w:rsidRPr="00DC1A5F" w:rsidRDefault="00597DE2" w:rsidP="00597DE2">
      <w:pPr>
        <w:pStyle w:val="Textoindependiente"/>
      </w:pPr>
      <w:r w:rsidRPr="00DC1A5F">
        <w:t xml:space="preserve">227. </w:t>
      </w:r>
      <w:r w:rsidRPr="00DC1A5F">
        <w:tab/>
        <w:t xml:space="preserve">Aquí está la explicación: en primer lugar, las 5 bases consistentes de la base del ojo, etc., serán condiciones de 6 maneras: como soporte, </w:t>
      </w:r>
      <w:proofErr w:type="spellStart"/>
      <w:r w:rsidRPr="00DC1A5F">
        <w:t>prenascencia</w:t>
      </w:r>
      <w:proofErr w:type="spellEnd"/>
      <w:r w:rsidRPr="00DC1A5F">
        <w:t xml:space="preserve">, facultad, disociación, presencia y </w:t>
      </w:r>
      <w:r w:rsidRPr="00DC1A5F">
        <w:br/>
        <w:t xml:space="preserve">no–desaparición, para el contacto clasificado de 5 maneras como contacto visual, etc. Después de ello, la única base mental resultante será una condición de 9 maneras, como consciencia, </w:t>
      </w:r>
      <w:r w:rsidRPr="00DC1A5F">
        <w:br/>
        <w:t xml:space="preserve">reciprocidad, soporte, resultado, nutrimento, facultad, asociación, presencia y como condición de no–desaparición, para el contacto mental resultante de diversas clases. No obstante, en el caso de las bases externas, la base de los objetos visibles será una condición de 4 maneras, como condiciones de objeto, </w:t>
      </w:r>
      <w:proofErr w:type="spellStart"/>
      <w:r w:rsidRPr="00DC1A5F">
        <w:t>prenascencia</w:t>
      </w:r>
      <w:proofErr w:type="spellEnd"/>
      <w:r w:rsidRPr="00DC1A5F">
        <w:t>, presencia y no–desaparición, para el contacto visual.</w:t>
      </w:r>
    </w:p>
    <w:p w14:paraId="27387DDF" w14:textId="77777777" w:rsidR="00597DE2" w:rsidRPr="00DC1A5F" w:rsidRDefault="00597DE2" w:rsidP="00597DE2">
      <w:pPr>
        <w:tabs>
          <w:tab w:val="clear" w:pos="425"/>
        </w:tabs>
        <w:spacing w:after="160"/>
      </w:pPr>
      <w:r w:rsidRPr="00DC1A5F">
        <w:br w:type="page"/>
      </w:r>
    </w:p>
    <w:p w14:paraId="3D418A7C" w14:textId="77777777" w:rsidR="00597DE2" w:rsidRPr="00DC1A5F" w:rsidRDefault="00597DE2" w:rsidP="00597DE2">
      <w:pPr>
        <w:pStyle w:val="Textoindependiente"/>
      </w:pPr>
      <w:r w:rsidRPr="00DC1A5F">
        <w:lastRenderedPageBreak/>
        <w:t>Asimismo, la base del sonido, etc., respectivamente para el contacto con el oído, etc. No obstante, estos y los objetos mentales como objeto serán igualmente condiciones y también como condición de objeto para el contacto mental, así mismo “las seis bases externas como condicionalidad del contacto de acuerdo con cada caso que fijemos”.</w:t>
      </w:r>
    </w:p>
    <w:p w14:paraId="166A92E9" w14:textId="77777777" w:rsidR="00597DE2" w:rsidRPr="00DC1A5F" w:rsidRDefault="00597DE2" w:rsidP="00597DE2">
      <w:pPr>
        <w:pStyle w:val="NormalConSangria"/>
      </w:pPr>
      <w:r w:rsidRPr="00DC1A5F">
        <w:t>Esta será la explicación detallada de la cláusula “Con las seis bases como condición, se origina el contacto”.</w:t>
      </w:r>
    </w:p>
    <w:p w14:paraId="1192C2A6" w14:textId="77777777" w:rsidR="00597DE2" w:rsidRPr="00DC1A5F" w:rsidRDefault="00597DE2" w:rsidP="00597DE2">
      <w:pPr>
        <w:pStyle w:val="Ttulo6"/>
      </w:pPr>
      <w:r w:rsidRPr="00DC1A5F">
        <w:t>[(VII) La Sensación]</w:t>
      </w:r>
    </w:p>
    <w:p w14:paraId="46421127" w14:textId="77777777" w:rsidR="00597DE2" w:rsidRPr="00DC1A5F" w:rsidRDefault="00597DE2" w:rsidP="00597DE2">
      <w:pPr>
        <w:pStyle w:val="Textoindependiente"/>
      </w:pPr>
      <w:r w:rsidRPr="00DC1A5F">
        <w:t xml:space="preserve">228. </w:t>
      </w:r>
      <w:r w:rsidRPr="00DC1A5F">
        <w:tab/>
        <w:t>En cuanto a la cláusula “Con el contacto como condición, se origina la sensación”:</w:t>
      </w:r>
    </w:p>
    <w:p w14:paraId="6F98DD81" w14:textId="77777777" w:rsidR="00597DE2" w:rsidRPr="00DC1A5F" w:rsidRDefault="00597DE2" w:rsidP="00597DE2">
      <w:pPr>
        <w:pStyle w:val="VersoIngls01Sangria"/>
        <w:rPr>
          <w:sz w:val="16"/>
          <w:szCs w:val="20"/>
        </w:rPr>
      </w:pPr>
      <w:r w:rsidRPr="00DC1A5F">
        <w:rPr>
          <w:sz w:val="16"/>
          <w:szCs w:val="20"/>
        </w:rPr>
        <w:t>Las sensaciones, cuando se nombren a modo de puerta</w:t>
      </w:r>
    </w:p>
    <w:p w14:paraId="5676A3FC" w14:textId="77777777" w:rsidR="00597DE2" w:rsidRPr="00DC1A5F" w:rsidRDefault="00597DE2" w:rsidP="00597DE2">
      <w:pPr>
        <w:pStyle w:val="VersoIngls01Sangria"/>
        <w:rPr>
          <w:sz w:val="16"/>
          <w:szCs w:val="20"/>
        </w:rPr>
      </w:pPr>
      <w:r w:rsidRPr="00DC1A5F">
        <w:rPr>
          <w:sz w:val="16"/>
          <w:szCs w:val="20"/>
        </w:rPr>
        <w:t>“Se originará del contacto visual” y los restantes,</w:t>
      </w:r>
    </w:p>
    <w:p w14:paraId="207DD9C8" w14:textId="77777777" w:rsidR="00597DE2" w:rsidRPr="00DC1A5F" w:rsidRDefault="00597DE2" w:rsidP="00597DE2">
      <w:pPr>
        <w:pStyle w:val="VersoIngls01Sangria"/>
        <w:rPr>
          <w:sz w:val="16"/>
          <w:szCs w:val="20"/>
        </w:rPr>
      </w:pPr>
      <w:r w:rsidRPr="00DC1A5F">
        <w:rPr>
          <w:sz w:val="16"/>
          <w:szCs w:val="20"/>
        </w:rPr>
        <w:t xml:space="preserve">Serán sólo seis </w:t>
      </w:r>
      <w:r w:rsidRPr="00DC1A5F">
        <w:rPr>
          <w:color w:val="833C0B" w:themeColor="accent2" w:themeShade="80"/>
          <w:spacing w:val="10"/>
          <w:sz w:val="16"/>
          <w:szCs w:val="20"/>
          <w:u w:color="000000"/>
        </w:rPr>
        <w:t>tipos</w:t>
      </w:r>
      <w:r w:rsidRPr="00DC1A5F">
        <w:rPr>
          <w:sz w:val="16"/>
          <w:szCs w:val="20"/>
        </w:rPr>
        <w:t>; pero luego éstas ascenderán</w:t>
      </w:r>
    </w:p>
    <w:p w14:paraId="1718A254" w14:textId="77777777" w:rsidR="00597DE2" w:rsidRPr="00DC1A5F" w:rsidRDefault="00597DE2" w:rsidP="00597DE2">
      <w:pPr>
        <w:pStyle w:val="VersoIngls01Sangria"/>
        <w:spacing w:after="100"/>
        <w:ind w:left="1418"/>
        <w:rPr>
          <w:sz w:val="16"/>
          <w:szCs w:val="20"/>
        </w:rPr>
      </w:pPr>
      <w:r w:rsidRPr="00DC1A5F">
        <w:rPr>
          <w:sz w:val="16"/>
          <w:szCs w:val="20"/>
        </w:rPr>
        <w:t>A ochenta y nueve tipos a ser desarrolladas.</w:t>
      </w:r>
    </w:p>
    <w:p w14:paraId="27182DBC" w14:textId="77777777" w:rsidR="00597DE2" w:rsidRPr="00DC1A5F" w:rsidRDefault="00597DE2" w:rsidP="00597DE2">
      <w:r w:rsidRPr="00DC1A5F">
        <w:t xml:space="preserve">229. </w:t>
      </w:r>
      <w:r w:rsidRPr="00DC1A5F">
        <w:tab/>
        <w:t xml:space="preserve">En el análisis de esta cláusula [en el </w:t>
      </w:r>
      <w:proofErr w:type="spellStart"/>
      <w:r w:rsidRPr="00DC1A5F">
        <w:rPr>
          <w:i/>
          <w:iCs/>
        </w:rPr>
        <w:t>Vibhaṅga</w:t>
      </w:r>
      <w:proofErr w:type="spellEnd"/>
      <w:r w:rsidRPr="00DC1A5F">
        <w:t>] solo se dan 6 tipos de sensaciones según las puertas, así: “Sensación surgida del contacto visual, sensación surgida del contacto del oído, la nariz, la lengua, la sensación” (</w:t>
      </w:r>
      <w:proofErr w:type="spellStart"/>
      <w:r w:rsidRPr="00DC1A5F">
        <w:t>Vibh</w:t>
      </w:r>
      <w:proofErr w:type="spellEnd"/>
      <w:r w:rsidRPr="00DC1A5F">
        <w:t xml:space="preserve"> 136). [567] Sin embargo, cuando se clasifiquen de acuerdo </w:t>
      </w:r>
      <w:proofErr w:type="gramStart"/>
      <w:r w:rsidRPr="00DC1A5F">
        <w:t>en  asociación</w:t>
      </w:r>
      <w:proofErr w:type="gramEnd"/>
      <w:r w:rsidRPr="00DC1A5F">
        <w:t xml:space="preserve"> con los 89 tipos de consciencia, ascenderán “a 89 tipos” </w:t>
      </w:r>
      <w:r w:rsidRPr="00DC1A5F">
        <w:rPr>
          <w:color w:val="833C0B" w:themeColor="accent2" w:themeShade="80"/>
        </w:rPr>
        <w:t>de sensación</w:t>
      </w:r>
      <w:r w:rsidRPr="00DC1A5F">
        <w:t>.</w:t>
      </w:r>
    </w:p>
    <w:p w14:paraId="659F4822" w14:textId="77777777" w:rsidR="00597DE2" w:rsidRPr="00DC1A5F" w:rsidRDefault="00597DE2" w:rsidP="00597DE2">
      <w:pPr>
        <w:pStyle w:val="VersoIngls01Sangria"/>
        <w:ind w:left="0"/>
        <w:rPr>
          <w:sz w:val="16"/>
          <w:szCs w:val="20"/>
        </w:rPr>
      </w:pPr>
      <w:r w:rsidRPr="00DC1A5F">
        <w:t xml:space="preserve">230. </w:t>
      </w:r>
      <w:r w:rsidRPr="00DC1A5F">
        <w:tab/>
      </w:r>
      <w:r w:rsidRPr="00DC1A5F">
        <w:tab/>
      </w:r>
      <w:r w:rsidRPr="00DC1A5F">
        <w:tab/>
      </w:r>
      <w:r w:rsidRPr="00DC1A5F">
        <w:rPr>
          <w:sz w:val="16"/>
          <w:szCs w:val="20"/>
        </w:rPr>
        <w:t>No obstante, de las ochenta y nueve sensaciones</w:t>
      </w:r>
    </w:p>
    <w:p w14:paraId="2A9F1B17" w14:textId="77777777" w:rsidR="00597DE2" w:rsidRPr="00DC1A5F" w:rsidRDefault="00597DE2" w:rsidP="00597DE2">
      <w:pPr>
        <w:pStyle w:val="VersoIngls01Sangria"/>
        <w:rPr>
          <w:sz w:val="16"/>
          <w:szCs w:val="20"/>
        </w:rPr>
      </w:pPr>
      <w:r w:rsidRPr="00DC1A5F">
        <w:rPr>
          <w:sz w:val="16"/>
          <w:szCs w:val="20"/>
        </w:rPr>
        <w:t>Treinta y dos, no más, aparecerán</w:t>
      </w:r>
    </w:p>
    <w:p w14:paraId="34DF19EC" w14:textId="77777777" w:rsidR="00597DE2" w:rsidRPr="00DC1A5F" w:rsidRDefault="00597DE2" w:rsidP="00597DE2">
      <w:pPr>
        <w:pStyle w:val="VersoIngls01Sangria"/>
        <w:rPr>
          <w:sz w:val="16"/>
          <w:szCs w:val="20"/>
        </w:rPr>
      </w:pPr>
      <w:r w:rsidRPr="00DC1A5F">
        <w:rPr>
          <w:sz w:val="16"/>
          <w:szCs w:val="20"/>
        </w:rPr>
        <w:t>Asociadas con el resultado,</w:t>
      </w:r>
    </w:p>
    <w:p w14:paraId="6DF24108" w14:textId="77777777" w:rsidR="00597DE2" w:rsidRPr="00DC1A5F" w:rsidRDefault="00597DE2" w:rsidP="00597DE2">
      <w:pPr>
        <w:pStyle w:val="VersoIngls01Sangria"/>
        <w:spacing w:after="100"/>
        <w:ind w:left="1418"/>
        <w:rPr>
          <w:sz w:val="16"/>
          <w:szCs w:val="20"/>
        </w:rPr>
      </w:pPr>
      <w:r w:rsidRPr="00DC1A5F">
        <w:rPr>
          <w:sz w:val="16"/>
          <w:szCs w:val="20"/>
        </w:rPr>
        <w:t>Y solo ésas se mencionarán aquí.</w:t>
      </w:r>
    </w:p>
    <w:p w14:paraId="01B5C8FF" w14:textId="77777777" w:rsidR="00597DE2" w:rsidRPr="00DC1A5F" w:rsidRDefault="00597DE2" w:rsidP="00597DE2">
      <w:pPr>
        <w:pStyle w:val="VersoIngls01Sangria"/>
        <w:rPr>
          <w:sz w:val="16"/>
          <w:szCs w:val="20"/>
        </w:rPr>
      </w:pPr>
      <w:r w:rsidRPr="00DC1A5F">
        <w:rPr>
          <w:sz w:val="16"/>
          <w:szCs w:val="20"/>
        </w:rPr>
        <w:t>Aquí, el contacto de las cinco puertas</w:t>
      </w:r>
    </w:p>
    <w:p w14:paraId="35EC8021" w14:textId="77777777" w:rsidR="00597DE2" w:rsidRPr="00DC1A5F" w:rsidRDefault="00597DE2" w:rsidP="00597DE2">
      <w:pPr>
        <w:pStyle w:val="VersoIngls01Sangria"/>
        <w:rPr>
          <w:sz w:val="16"/>
          <w:szCs w:val="20"/>
        </w:rPr>
      </w:pPr>
      <w:r w:rsidRPr="00DC1A5F">
        <w:rPr>
          <w:sz w:val="16"/>
          <w:szCs w:val="20"/>
        </w:rPr>
        <w:t>Condicionarán a cinco en ocho formas,</w:t>
      </w:r>
    </w:p>
    <w:p w14:paraId="4CFC533F" w14:textId="77777777" w:rsidR="00597DE2" w:rsidRPr="00DC1A5F" w:rsidRDefault="00597DE2" w:rsidP="00597DE2">
      <w:pPr>
        <w:pStyle w:val="VersoIngls01Sangria"/>
        <w:rPr>
          <w:sz w:val="16"/>
          <w:szCs w:val="20"/>
        </w:rPr>
      </w:pPr>
      <w:r w:rsidRPr="00DC1A5F">
        <w:rPr>
          <w:sz w:val="16"/>
          <w:szCs w:val="20"/>
        </w:rPr>
        <w:t xml:space="preserve">Y de una sola forma al resto; ésta actuará </w:t>
      </w:r>
    </w:p>
    <w:p w14:paraId="07127FE4" w14:textId="77777777" w:rsidR="00597DE2" w:rsidRPr="00DC1A5F" w:rsidRDefault="00597DE2" w:rsidP="00597DE2">
      <w:pPr>
        <w:pStyle w:val="VersoIngls01Sangria"/>
        <w:spacing w:after="100"/>
        <w:ind w:left="1418"/>
        <w:rPr>
          <w:sz w:val="16"/>
          <w:szCs w:val="20"/>
        </w:rPr>
      </w:pPr>
      <w:r w:rsidRPr="00DC1A5F">
        <w:rPr>
          <w:sz w:val="16"/>
          <w:szCs w:val="20"/>
        </w:rPr>
        <w:t>En la puerta de la mente de la misma manera.</w:t>
      </w:r>
    </w:p>
    <w:p w14:paraId="6BC105CC" w14:textId="77777777" w:rsidR="00597DE2" w:rsidRPr="00DC1A5F" w:rsidRDefault="00597DE2" w:rsidP="00597DE2">
      <w:r w:rsidRPr="00DC1A5F">
        <w:t xml:space="preserve">231. </w:t>
      </w:r>
      <w:r w:rsidRPr="00DC1A5F">
        <w:tab/>
        <w:t>Aquí, en el contacto de las cinco puertas que comienza con el contacto visual será una condición de 8 maneras, como condición de consciencia, reciprocidad, soporte, resultado, nutrimento, asociación, presencia y no–desaparición, para las 5 clases de sensación que posean respectivamente sensibilidad ocular, etc., como su base física. No obstante, aquel contacto que comience con el contacto visual será una condición de 1 sola manera, como condición de soporte decisivo, para el resto de las sensaciones resultantes de la esfera sensorial que ocurran en cada puerta como recepción, investigación y registro.</w:t>
      </w:r>
    </w:p>
    <w:p w14:paraId="6708573F" w14:textId="77777777" w:rsidR="00597DE2" w:rsidRPr="00DC1A5F" w:rsidRDefault="00597DE2" w:rsidP="00597DE2">
      <w:r w:rsidRPr="00DC1A5F">
        <w:t xml:space="preserve">232. </w:t>
      </w:r>
      <w:r w:rsidRPr="00DC1A5F">
        <w:tab/>
      </w:r>
      <w:r w:rsidRPr="00DC1A5F">
        <w:rPr>
          <w:i/>
          <w:iCs/>
        </w:rPr>
        <w:t>En la puerta mental de la misma manera: el contacto</w:t>
      </w:r>
      <w:r w:rsidRPr="00DC1A5F">
        <w:t xml:space="preserve"> denominado contacto mental coetáneo será también una condición en las mismas 8 formas que para la sensación resultante de la esfera sensorial que ocurra como registro en la puerta mental y así también para los tipos de sensación resultante en los tres planos de la existencia que ocurran con el vínculo–de–renacimiento, el continuum vital y la muerte. No obstante, el contacto mental asociado con la advertencia de la puerta mental será una condición de una sola manera, como condición de soporte decisivo, para los tipos de sensación que ocurran en la puerta mental como registro en la esfera sensorial.</w:t>
      </w:r>
    </w:p>
    <w:p w14:paraId="4607FAB5" w14:textId="77777777" w:rsidR="00597DE2" w:rsidRPr="00DC1A5F" w:rsidRDefault="00597DE2" w:rsidP="00597DE2">
      <w:pPr>
        <w:pStyle w:val="NormalConSangria"/>
      </w:pPr>
      <w:r w:rsidRPr="00DC1A5F">
        <w:t>Ésta será la explicación detallada de la cláusula “Con el contacto como condición, se origina la sensación”.</w:t>
      </w:r>
    </w:p>
    <w:p w14:paraId="3B29BE08" w14:textId="77777777" w:rsidR="00597DE2" w:rsidRPr="00DC1A5F" w:rsidRDefault="00597DE2" w:rsidP="00597DE2">
      <w:pPr>
        <w:tabs>
          <w:tab w:val="clear" w:pos="425"/>
        </w:tabs>
        <w:spacing w:after="160"/>
      </w:pPr>
      <w:r w:rsidRPr="00DC1A5F">
        <w:br w:type="page"/>
      </w:r>
    </w:p>
    <w:p w14:paraId="4B6C0F4C" w14:textId="77777777" w:rsidR="00597DE2" w:rsidRPr="00DC1A5F" w:rsidRDefault="00597DE2" w:rsidP="00597DE2">
      <w:pPr>
        <w:pStyle w:val="Ttulo6"/>
      </w:pPr>
      <w:r w:rsidRPr="00DC1A5F">
        <w:lastRenderedPageBreak/>
        <w:t>[(VIII) El Deseo]</w:t>
      </w:r>
    </w:p>
    <w:p w14:paraId="0B93C103" w14:textId="77777777" w:rsidR="00597DE2" w:rsidRPr="00DC1A5F" w:rsidRDefault="00597DE2" w:rsidP="00597DE2">
      <w:r w:rsidRPr="00DC1A5F">
        <w:t xml:space="preserve">233. </w:t>
      </w:r>
      <w:r w:rsidRPr="00DC1A5F">
        <w:tab/>
        <w:t>En cuanto a la cláusula “Con la sensación como condición, se origina el deseo”:</w:t>
      </w:r>
    </w:p>
    <w:p w14:paraId="3E6040DE" w14:textId="77777777" w:rsidR="00597DE2" w:rsidRPr="00DC1A5F" w:rsidRDefault="00597DE2" w:rsidP="00597DE2">
      <w:pPr>
        <w:pStyle w:val="VersoIngls01Sangria"/>
        <w:rPr>
          <w:sz w:val="16"/>
          <w:szCs w:val="20"/>
        </w:rPr>
      </w:pPr>
      <w:r w:rsidRPr="00DC1A5F">
        <w:rPr>
          <w:sz w:val="16"/>
          <w:szCs w:val="20"/>
        </w:rPr>
        <w:t>Seis deseos hacia los objetos visibles</w:t>
      </w:r>
    </w:p>
    <w:p w14:paraId="0DA56802" w14:textId="77777777" w:rsidR="00597DE2" w:rsidRPr="00DC1A5F" w:rsidRDefault="00597DE2" w:rsidP="00597DE2">
      <w:pPr>
        <w:pStyle w:val="VersoIngls01Sangria"/>
        <w:rPr>
          <w:sz w:val="16"/>
          <w:szCs w:val="20"/>
        </w:rPr>
      </w:pPr>
      <w:r w:rsidRPr="00DC1A5F">
        <w:rPr>
          <w:sz w:val="16"/>
          <w:szCs w:val="20"/>
        </w:rPr>
        <w:t xml:space="preserve">y otros más se tratarán aquí; </w:t>
      </w:r>
    </w:p>
    <w:p w14:paraId="1D93C2A9" w14:textId="77777777" w:rsidR="00597DE2" w:rsidRPr="00DC1A5F" w:rsidRDefault="00597DE2" w:rsidP="00597DE2">
      <w:pPr>
        <w:pStyle w:val="VersoIngls01Sangria"/>
        <w:rPr>
          <w:sz w:val="16"/>
          <w:szCs w:val="20"/>
        </w:rPr>
      </w:pPr>
      <w:r w:rsidRPr="00DC1A5F">
        <w:rPr>
          <w:sz w:val="16"/>
          <w:szCs w:val="20"/>
        </w:rPr>
        <w:t xml:space="preserve">Y cada uno de estos, cuando ocurra, </w:t>
      </w:r>
    </w:p>
    <w:p w14:paraId="489F8E22" w14:textId="77777777" w:rsidR="00597DE2" w:rsidRPr="00DC1A5F" w:rsidRDefault="00597DE2" w:rsidP="00597DE2">
      <w:pPr>
        <w:pStyle w:val="VersoIngls01Sangria"/>
        <w:spacing w:after="80"/>
        <w:ind w:left="1418"/>
        <w:rPr>
          <w:sz w:val="16"/>
          <w:szCs w:val="20"/>
        </w:rPr>
      </w:pPr>
      <w:r w:rsidRPr="00DC1A5F">
        <w:rPr>
          <w:sz w:val="16"/>
          <w:szCs w:val="20"/>
        </w:rPr>
        <w:t>Podrá aparecer en uno de los tres modos.</w:t>
      </w:r>
    </w:p>
    <w:p w14:paraId="2C1C85CB" w14:textId="77777777" w:rsidR="00597DE2" w:rsidRPr="00DC1A5F" w:rsidRDefault="00597DE2" w:rsidP="00597DE2">
      <w:r w:rsidRPr="00DC1A5F">
        <w:t xml:space="preserve">234. </w:t>
      </w:r>
      <w:r w:rsidRPr="00DC1A5F">
        <w:tab/>
        <w:t xml:space="preserve">En el análisis de esta cláusula, en el </w:t>
      </w:r>
      <w:proofErr w:type="spellStart"/>
      <w:r w:rsidRPr="00DC1A5F">
        <w:rPr>
          <w:i/>
          <w:iCs/>
        </w:rPr>
        <w:t>Vibhaṅga</w:t>
      </w:r>
      <w:proofErr w:type="spellEnd"/>
      <w:r w:rsidRPr="00DC1A5F">
        <w:t xml:space="preserve"> se exponen seis tipos de deseos como “el deseo hacia los objetos visibles, hacia los sonidos, hacia el olor, el sabor, los objetos tangibles y deseo de objetos mentales” (</w:t>
      </w:r>
      <w:proofErr w:type="spellStart"/>
      <w:r w:rsidRPr="00DC1A5F">
        <w:t>Vibh</w:t>
      </w:r>
      <w:proofErr w:type="spellEnd"/>
      <w:r w:rsidRPr="00DC1A5F">
        <w:t xml:space="preserve"> 136), denominados así por sus objetos, ya que un hijo será llamado debido a su padre “hijo del banquero”, “hijo del </w:t>
      </w:r>
      <w:r w:rsidRPr="00DC1A5F">
        <w:rPr>
          <w:i/>
          <w:iCs/>
        </w:rPr>
        <w:t>brahmán</w:t>
      </w:r>
      <w:r w:rsidRPr="00DC1A5F">
        <w:t>”. Cada uno de estos seis tipos de deseo se clasificará de tres modos según su ocurrencia: como deseo sensorial, deseo por el devenir o deseo por el no–devenir.</w:t>
      </w:r>
    </w:p>
    <w:p w14:paraId="5D45959C" w14:textId="77777777" w:rsidR="00597DE2" w:rsidRPr="00DC1A5F" w:rsidRDefault="00597DE2" w:rsidP="00597DE2">
      <w:r w:rsidRPr="00DC1A5F">
        <w:t xml:space="preserve">235. </w:t>
      </w:r>
      <w:r w:rsidRPr="00DC1A5F">
        <w:tab/>
        <w:t>Cuando el deseo hacia los objetos visibles ocurra disfrutando del placer de los deseos sensoriales debido al objeto visible como su objeto que haya entrado en el foco visual, se le denominará deseo sensorial. No obstante, cuando ese mismo deseo hacia los objetos visibles ocurra junto con la visión de la perpetuidad que asuma que el mismo objeto sea perdurable y eterno, [568] se le denominará deseo por el devenir; porque será una codicia que acompañará a la visión de perpetuidad a lo que se le denominará deseo hacia el devenir. Cuando ocurra junto con una visión nihilista que suponga que ese mismo objeto desaparecerá y se destruirá, se le denominará deseo hacia el no–devenir; porque se tratará de una codicia que acompañará a la visión nihilista a lo que se le denominará deseo hacia el no–devenir. Así también será en el caso del deseo hacia los sonidos, etc.</w:t>
      </w:r>
    </w:p>
    <w:p w14:paraId="51896BD8" w14:textId="77777777" w:rsidR="00597DE2" w:rsidRPr="00DC1A5F" w:rsidRDefault="00597DE2" w:rsidP="00597DE2">
      <w:pPr>
        <w:pStyle w:val="NormalConSangria"/>
      </w:pPr>
      <w:r w:rsidRPr="00DC1A5F">
        <w:t>Éstos ascienden a 18 tipos de deseos. Los 18 con respecto a los propios objetos visibles (con respecto a la apariencia personal), etc., y los 18 con respecto a los objetos visibles externos (con respecto a la apariencia externa), etc., en conjunto harán 36 tipos. Estos 36 deseos del pasado, más 36 del futuro y 36 del presente, sumarán 108 tipos de deseos. Cuando estos se reduzcan de nuevo, deberán entenderse que ascenderán a solamente 6 tipos, hacia los objetos visibles, etc., como su objeto; y estos, serán 3 solamente, como deseo sensorial, deseo hacia el devenir y deseo hacia el no–devenir.</w:t>
      </w:r>
    </w:p>
    <w:p w14:paraId="1FFB2612" w14:textId="77777777" w:rsidR="00597DE2" w:rsidRPr="00DC1A5F" w:rsidRDefault="00597DE2" w:rsidP="00597DE2">
      <w:r w:rsidRPr="00DC1A5F">
        <w:t xml:space="preserve">236. </w:t>
      </w:r>
      <w:r w:rsidRPr="00DC1A5F">
        <w:tab/>
        <w:t>Debido plenamente a una afición egocéntrica hacia la sensación experimentada después de complacerse en este deseo cuando surja un objeto visible como su objeto, etc., estos seres atribuyen mucho honor hacia pintores, músicos, perfumistas, cocineros, tejedores, destiladores de elixires,</w:t>
      </w:r>
      <w:r w:rsidRPr="00DC1A5F">
        <w:rPr>
          <w:vertAlign w:val="superscript"/>
        </w:rPr>
        <w:t>39</w:t>
      </w:r>
      <w:r w:rsidRPr="00DC1A5F">
        <w:t xml:space="preserve"> médicos, etc., que proporcionen respectivamente objetos visibles como su objeto, etc., del mismo modo cómo debido al afecto hacia un niño se recompensaría a la niñera del niño, después de haberse disfrutado del niño. Por eso debe entenderse que estos 3 tipos de deseos tendrán como su condición a la sensación.</w:t>
      </w:r>
    </w:p>
    <w:p w14:paraId="00F049E6" w14:textId="77777777" w:rsidR="00597DE2" w:rsidRPr="00DC1A5F" w:rsidRDefault="00597DE2" w:rsidP="00597DE2">
      <w:pPr>
        <w:pStyle w:val="VersoIngls01Sangria"/>
        <w:ind w:left="0"/>
        <w:rPr>
          <w:sz w:val="16"/>
          <w:szCs w:val="20"/>
        </w:rPr>
      </w:pPr>
      <w:r w:rsidRPr="00DC1A5F">
        <w:t xml:space="preserve">237. </w:t>
      </w:r>
      <w:r w:rsidRPr="00DC1A5F">
        <w:tab/>
      </w:r>
      <w:r w:rsidRPr="00DC1A5F">
        <w:tab/>
      </w:r>
      <w:r w:rsidRPr="00DC1A5F">
        <w:tab/>
      </w:r>
      <w:r w:rsidRPr="00DC1A5F">
        <w:rPr>
          <w:sz w:val="16"/>
          <w:szCs w:val="20"/>
        </w:rPr>
        <w:t>Lo que se pretende exponer aquí no es otra cosa que a la</w:t>
      </w:r>
    </w:p>
    <w:p w14:paraId="1D4FA95D" w14:textId="77777777" w:rsidR="00597DE2" w:rsidRPr="00DC1A5F" w:rsidRDefault="00597DE2" w:rsidP="00597DE2">
      <w:pPr>
        <w:pStyle w:val="VersoIngls01Sangria"/>
        <w:rPr>
          <w:sz w:val="16"/>
          <w:szCs w:val="20"/>
        </w:rPr>
      </w:pPr>
      <w:r w:rsidRPr="00DC1A5F">
        <w:rPr>
          <w:sz w:val="16"/>
          <w:szCs w:val="20"/>
        </w:rPr>
        <w:t>Sensación agradable resultante; por eso</w:t>
      </w:r>
    </w:p>
    <w:p w14:paraId="14212018" w14:textId="77777777" w:rsidR="00597DE2" w:rsidRPr="00DC1A5F" w:rsidRDefault="00597DE2" w:rsidP="00597DE2">
      <w:pPr>
        <w:pStyle w:val="VersoIngls01Sangria"/>
        <w:rPr>
          <w:sz w:val="16"/>
          <w:szCs w:val="20"/>
        </w:rPr>
      </w:pPr>
      <w:r w:rsidRPr="00DC1A5F">
        <w:rPr>
          <w:sz w:val="16"/>
          <w:szCs w:val="20"/>
        </w:rPr>
        <w:t>Será condición de una manera</w:t>
      </w:r>
    </w:p>
    <w:p w14:paraId="55D8E663" w14:textId="77777777" w:rsidR="00597DE2" w:rsidRPr="00DC1A5F" w:rsidRDefault="00597DE2" w:rsidP="00597DE2">
      <w:pPr>
        <w:pStyle w:val="VersoIngls01Sangria"/>
        <w:spacing w:after="40"/>
        <w:ind w:left="1418"/>
        <w:rPr>
          <w:sz w:val="16"/>
          <w:szCs w:val="20"/>
        </w:rPr>
      </w:pPr>
      <w:r w:rsidRPr="00DC1A5F">
        <w:rPr>
          <w:sz w:val="16"/>
          <w:szCs w:val="20"/>
        </w:rPr>
        <w:t>Para toda ocurrencia de deseo.</w:t>
      </w:r>
    </w:p>
    <w:p w14:paraId="7D0B45DB" w14:textId="77777777" w:rsidR="00597DE2" w:rsidRPr="00DC1A5F" w:rsidRDefault="00597DE2" w:rsidP="00597DE2">
      <w:pPr>
        <w:pStyle w:val="NormalConSangria"/>
        <w:spacing w:after="40"/>
      </w:pPr>
      <w:r w:rsidRPr="00DC1A5F">
        <w:rPr>
          <w:i/>
          <w:iCs/>
        </w:rPr>
        <w:t>De una manera</w:t>
      </w:r>
      <w:r w:rsidRPr="00DC1A5F">
        <w:t>: corresponderá a solamente una condición como condición de soporte decisivo.</w:t>
      </w:r>
    </w:p>
    <w:p w14:paraId="3483DBA5" w14:textId="77777777" w:rsidR="00597DE2" w:rsidRPr="00DC1A5F" w:rsidRDefault="00597DE2" w:rsidP="00597DE2">
      <w:pPr>
        <w:spacing w:after="40"/>
      </w:pPr>
      <w:r w:rsidRPr="00DC1A5F">
        <w:t xml:space="preserve">238. </w:t>
      </w:r>
      <w:r w:rsidRPr="00DC1A5F">
        <w:tab/>
        <w:t>O alternativamente:</w:t>
      </w:r>
    </w:p>
    <w:p w14:paraId="418E10CC" w14:textId="77777777" w:rsidR="00597DE2" w:rsidRPr="00DC1A5F" w:rsidRDefault="00597DE2" w:rsidP="00597DE2">
      <w:pPr>
        <w:pStyle w:val="PiedepginaLegal"/>
        <w:spacing w:after="0"/>
        <w:rPr>
          <w:u w:val="single"/>
        </w:rPr>
      </w:pPr>
      <w:r w:rsidRPr="00DC1A5F">
        <w:rPr>
          <w:u w:val="single"/>
        </w:rPr>
        <w:tab/>
      </w:r>
      <w:r w:rsidRPr="00DC1A5F">
        <w:rPr>
          <w:u w:val="single"/>
        </w:rPr>
        <w:tab/>
      </w:r>
      <w:r w:rsidRPr="00DC1A5F">
        <w:rPr>
          <w:u w:val="single"/>
        </w:rPr>
        <w:tab/>
      </w:r>
      <w:r w:rsidRPr="00DC1A5F">
        <w:rPr>
          <w:u w:val="single"/>
        </w:rPr>
        <w:tab/>
        <w:t>.</w:t>
      </w:r>
    </w:p>
    <w:p w14:paraId="0227435F" w14:textId="77777777" w:rsidR="00597DE2" w:rsidRPr="00DC1A5F" w:rsidRDefault="00597DE2" w:rsidP="00597DE2">
      <w:pPr>
        <w:pStyle w:val="PiedepginaLegal"/>
        <w:numPr>
          <w:ilvl w:val="0"/>
          <w:numId w:val="6"/>
        </w:numPr>
        <w:tabs>
          <w:tab w:val="clear" w:pos="425"/>
        </w:tabs>
        <w:spacing w:after="0"/>
        <w:ind w:left="284" w:hanging="284"/>
      </w:pPr>
      <w:r w:rsidRPr="00DC1A5F">
        <w:t xml:space="preserve"> </w:t>
      </w:r>
      <w:proofErr w:type="spellStart"/>
      <w:r w:rsidRPr="00DC1A5F">
        <w:rPr>
          <w:i/>
          <w:iCs/>
        </w:rPr>
        <w:t>Rasāyana</w:t>
      </w:r>
      <w:proofErr w:type="spellEnd"/>
      <w:r w:rsidRPr="00DC1A5F">
        <w:t xml:space="preserve"> — “elixir”: no así en el PED; cf. D–a 568 y </w:t>
      </w:r>
      <w:proofErr w:type="spellStart"/>
      <w:r w:rsidRPr="00DC1A5F">
        <w:t>Ud</w:t>
      </w:r>
      <w:proofErr w:type="spellEnd"/>
      <w:r w:rsidRPr="00DC1A5F">
        <w:t>–a (</w:t>
      </w:r>
      <w:r w:rsidRPr="00DC1A5F">
        <w:rPr>
          <w:i/>
          <w:iCs/>
        </w:rPr>
        <w:t xml:space="preserve">Comentario </w:t>
      </w:r>
      <w:proofErr w:type="spellStart"/>
      <w:r w:rsidRPr="00DC1A5F">
        <w:rPr>
          <w:i/>
          <w:iCs/>
        </w:rPr>
        <w:t>Udāna</w:t>
      </w:r>
      <w:proofErr w:type="spellEnd"/>
      <w:r w:rsidRPr="00DC1A5F">
        <w:t xml:space="preserve"> 8.5)</w:t>
      </w:r>
      <w:r w:rsidRPr="00DC1A5F">
        <w:br w:type="page"/>
      </w:r>
    </w:p>
    <w:p w14:paraId="37503E26" w14:textId="77777777" w:rsidR="00597DE2" w:rsidRPr="00DC1A5F" w:rsidRDefault="00597DE2" w:rsidP="00597DE2">
      <w:pPr>
        <w:pStyle w:val="VersoIngls01Sangria"/>
        <w:rPr>
          <w:sz w:val="16"/>
          <w:szCs w:val="20"/>
        </w:rPr>
      </w:pPr>
      <w:r w:rsidRPr="00DC1A5F">
        <w:rPr>
          <w:sz w:val="16"/>
          <w:szCs w:val="20"/>
        </w:rPr>
        <w:lastRenderedPageBreak/>
        <w:t>Un hombre en dolor por el placer anhela,</w:t>
      </w:r>
    </w:p>
    <w:p w14:paraId="1C6CF8D9" w14:textId="77777777" w:rsidR="00597DE2" w:rsidRPr="00DC1A5F" w:rsidRDefault="00597DE2" w:rsidP="00597DE2">
      <w:pPr>
        <w:pStyle w:val="VersoIngls01Sangria"/>
        <w:rPr>
          <w:sz w:val="16"/>
          <w:szCs w:val="20"/>
        </w:rPr>
      </w:pPr>
      <w:r w:rsidRPr="00DC1A5F">
        <w:rPr>
          <w:sz w:val="16"/>
          <w:szCs w:val="20"/>
        </w:rPr>
        <w:t>Y al encontrar placer, anhelará más;</w:t>
      </w:r>
    </w:p>
    <w:p w14:paraId="1B935A6D" w14:textId="77777777" w:rsidR="00597DE2" w:rsidRPr="00DC1A5F" w:rsidRDefault="00597DE2" w:rsidP="00597DE2">
      <w:pPr>
        <w:pStyle w:val="VersoIngls01Sangria"/>
        <w:rPr>
          <w:sz w:val="16"/>
          <w:szCs w:val="20"/>
        </w:rPr>
      </w:pPr>
      <w:r w:rsidRPr="00DC1A5F">
        <w:rPr>
          <w:sz w:val="16"/>
          <w:szCs w:val="20"/>
        </w:rPr>
        <w:t>La paz de la ecuanimidad</w:t>
      </w:r>
    </w:p>
    <w:p w14:paraId="7F00C6E9" w14:textId="77777777" w:rsidR="00597DE2" w:rsidRPr="00DC1A5F" w:rsidRDefault="00597DE2" w:rsidP="00597DE2">
      <w:pPr>
        <w:pStyle w:val="VersoIngls01Sangria"/>
        <w:spacing w:after="100"/>
        <w:ind w:left="1418"/>
        <w:rPr>
          <w:sz w:val="16"/>
          <w:szCs w:val="20"/>
        </w:rPr>
      </w:pPr>
      <w:r w:rsidRPr="00DC1A5F">
        <w:rPr>
          <w:sz w:val="16"/>
          <w:szCs w:val="20"/>
        </w:rPr>
        <w:t>También se cuenta como placer; por lo tanto</w:t>
      </w:r>
    </w:p>
    <w:p w14:paraId="5BDBC524" w14:textId="77777777" w:rsidR="00597DE2" w:rsidRPr="00DC1A5F" w:rsidRDefault="00597DE2" w:rsidP="00597DE2">
      <w:pPr>
        <w:pStyle w:val="VersoIngls01Sangria"/>
        <w:rPr>
          <w:sz w:val="16"/>
          <w:szCs w:val="20"/>
        </w:rPr>
      </w:pPr>
      <w:r w:rsidRPr="00DC1A5F">
        <w:rPr>
          <w:sz w:val="16"/>
          <w:szCs w:val="20"/>
        </w:rPr>
        <w:t>El Mayor Sabio anunció la ley</w:t>
      </w:r>
    </w:p>
    <w:p w14:paraId="1926D085" w14:textId="77777777" w:rsidR="00597DE2" w:rsidRPr="00DC1A5F" w:rsidRDefault="00597DE2" w:rsidP="00597DE2">
      <w:pPr>
        <w:pStyle w:val="VersoIngls01Sangria"/>
        <w:rPr>
          <w:sz w:val="16"/>
          <w:szCs w:val="20"/>
        </w:rPr>
      </w:pPr>
      <w:r w:rsidRPr="00DC1A5F">
        <w:rPr>
          <w:sz w:val="16"/>
          <w:szCs w:val="20"/>
        </w:rPr>
        <w:t>“Con la sensación como condición, se origina el deseo”,</w:t>
      </w:r>
    </w:p>
    <w:p w14:paraId="011A3B03" w14:textId="77777777" w:rsidR="00597DE2" w:rsidRPr="00DC1A5F" w:rsidRDefault="00597DE2" w:rsidP="00597DE2">
      <w:pPr>
        <w:pStyle w:val="VersoIngls01Sangria"/>
        <w:rPr>
          <w:sz w:val="16"/>
          <w:szCs w:val="20"/>
        </w:rPr>
      </w:pPr>
      <w:r w:rsidRPr="00DC1A5F">
        <w:rPr>
          <w:sz w:val="16"/>
          <w:szCs w:val="20"/>
        </w:rPr>
        <w:t xml:space="preserve">Visto que las tres sensaciones podrán considerarse  </w:t>
      </w:r>
    </w:p>
    <w:p w14:paraId="66569A82" w14:textId="77777777" w:rsidR="00597DE2" w:rsidRPr="00DC1A5F" w:rsidRDefault="00597DE2" w:rsidP="00597DE2">
      <w:pPr>
        <w:pStyle w:val="VersoIngls01Sangria"/>
        <w:spacing w:after="100"/>
        <w:ind w:left="1418"/>
        <w:rPr>
          <w:sz w:val="16"/>
          <w:szCs w:val="20"/>
        </w:rPr>
      </w:pPr>
      <w:r w:rsidRPr="00DC1A5F">
        <w:rPr>
          <w:sz w:val="16"/>
          <w:szCs w:val="20"/>
        </w:rPr>
        <w:t>Condiciones para todo tipo de deseo.</w:t>
      </w:r>
    </w:p>
    <w:p w14:paraId="237264D1" w14:textId="77777777" w:rsidR="00597DE2" w:rsidRPr="00DC1A5F" w:rsidRDefault="00597DE2" w:rsidP="00597DE2">
      <w:pPr>
        <w:pStyle w:val="VersoIngls01Sangria"/>
        <w:rPr>
          <w:sz w:val="16"/>
          <w:szCs w:val="20"/>
        </w:rPr>
      </w:pPr>
      <w:r w:rsidRPr="00DC1A5F">
        <w:rPr>
          <w:sz w:val="16"/>
          <w:szCs w:val="20"/>
        </w:rPr>
        <w:t>Aunque la sensación será una condición, todavía</w:t>
      </w:r>
    </w:p>
    <w:p w14:paraId="769260F7" w14:textId="77777777" w:rsidR="00597DE2" w:rsidRPr="00DC1A5F" w:rsidRDefault="00597DE2" w:rsidP="00597DE2">
      <w:pPr>
        <w:pStyle w:val="VersoIngls01Sangria"/>
        <w:rPr>
          <w:sz w:val="16"/>
          <w:szCs w:val="20"/>
        </w:rPr>
      </w:pPr>
      <w:r w:rsidRPr="00DC1A5F">
        <w:rPr>
          <w:sz w:val="16"/>
          <w:szCs w:val="20"/>
        </w:rPr>
        <w:t>Sin tendencia subyacente</w:t>
      </w:r>
    </w:p>
    <w:p w14:paraId="689EE907" w14:textId="77777777" w:rsidR="00597DE2" w:rsidRPr="00DC1A5F" w:rsidRDefault="00597DE2" w:rsidP="00597DE2">
      <w:pPr>
        <w:pStyle w:val="VersoIngls01Sangria"/>
        <w:rPr>
          <w:sz w:val="16"/>
          <w:szCs w:val="20"/>
        </w:rPr>
      </w:pPr>
      <w:r w:rsidRPr="00DC1A5F">
        <w:rPr>
          <w:sz w:val="16"/>
          <w:szCs w:val="20"/>
        </w:rPr>
        <w:t>Ningún deseo podrá surgir, y es así cómo</w:t>
      </w:r>
    </w:p>
    <w:p w14:paraId="335E90C7" w14:textId="77777777" w:rsidR="00597DE2" w:rsidRPr="00DC1A5F" w:rsidRDefault="00597DE2" w:rsidP="00597DE2">
      <w:pPr>
        <w:pStyle w:val="VersoIngls01Sangria"/>
        <w:spacing w:after="100"/>
        <w:ind w:left="1418"/>
        <w:rPr>
          <w:sz w:val="16"/>
          <w:szCs w:val="20"/>
          <w:vertAlign w:val="superscript"/>
        </w:rPr>
      </w:pPr>
      <w:r w:rsidRPr="00DC1A5F">
        <w:rPr>
          <w:sz w:val="16"/>
          <w:szCs w:val="20"/>
        </w:rPr>
        <w:t>De esto se liberó el Santo Perfecto.</w:t>
      </w:r>
      <w:r w:rsidRPr="00DC1A5F">
        <w:rPr>
          <w:sz w:val="16"/>
          <w:szCs w:val="20"/>
          <w:vertAlign w:val="superscript"/>
        </w:rPr>
        <w:t>40</w:t>
      </w:r>
    </w:p>
    <w:p w14:paraId="4DE4F6F6" w14:textId="77777777" w:rsidR="00597DE2" w:rsidRPr="00DC1A5F" w:rsidRDefault="00597DE2" w:rsidP="00597DE2">
      <w:pPr>
        <w:pStyle w:val="NormalConSangria"/>
      </w:pPr>
      <w:r w:rsidRPr="00DC1A5F">
        <w:t xml:space="preserve">Ésta es la explicación detallada de la cláusula “Con la sensación como condición, se </w:t>
      </w:r>
      <w:proofErr w:type="gramStart"/>
      <w:r w:rsidRPr="00DC1A5F">
        <w:t>origina  el</w:t>
      </w:r>
      <w:proofErr w:type="gramEnd"/>
      <w:r w:rsidRPr="00DC1A5F">
        <w:t xml:space="preserve"> deseo”.</w:t>
      </w:r>
    </w:p>
    <w:p w14:paraId="63E31EF2" w14:textId="77777777" w:rsidR="00597DE2" w:rsidRPr="00DC1A5F" w:rsidRDefault="00597DE2" w:rsidP="00597DE2">
      <w:pPr>
        <w:pStyle w:val="Ttulo6"/>
      </w:pPr>
      <w:r w:rsidRPr="00DC1A5F">
        <w:t>[(IX) El Apego]</w:t>
      </w:r>
    </w:p>
    <w:p w14:paraId="1B27131E" w14:textId="77777777" w:rsidR="00597DE2" w:rsidRPr="00DC1A5F" w:rsidRDefault="00597DE2" w:rsidP="00597DE2">
      <w:r w:rsidRPr="00DC1A5F">
        <w:t xml:space="preserve">239. </w:t>
      </w:r>
      <w:r w:rsidRPr="00DC1A5F">
        <w:tab/>
        <w:t>En cuanto a la cláusula “Con el deseo como condición, se origina el apego”:</w:t>
      </w:r>
    </w:p>
    <w:p w14:paraId="45151A46" w14:textId="77777777" w:rsidR="00597DE2" w:rsidRPr="00DC1A5F" w:rsidRDefault="00597DE2" w:rsidP="00597DE2">
      <w:pPr>
        <w:pStyle w:val="NormalConSangria"/>
      </w:pPr>
      <w:r w:rsidRPr="00DC1A5F">
        <w:t>Cuatro apegos necesitan ser desarrollados</w:t>
      </w:r>
    </w:p>
    <w:p w14:paraId="559DC7FE" w14:textId="77777777" w:rsidR="00597DE2" w:rsidRPr="00DC1A5F" w:rsidRDefault="00597DE2" w:rsidP="00597DE2">
      <w:pPr>
        <w:pStyle w:val="VersoIngls01Sangria"/>
        <w:rPr>
          <w:sz w:val="16"/>
          <w:szCs w:val="20"/>
        </w:rPr>
      </w:pPr>
      <w:r w:rsidRPr="00DC1A5F">
        <w:rPr>
          <w:sz w:val="16"/>
          <w:szCs w:val="20"/>
        </w:rPr>
        <w:t>(1) En cuanto al análisis del significado,</w:t>
      </w:r>
    </w:p>
    <w:p w14:paraId="210E4FF0" w14:textId="77777777" w:rsidR="00597DE2" w:rsidRPr="00DC1A5F" w:rsidRDefault="00597DE2" w:rsidP="00597DE2">
      <w:pPr>
        <w:pStyle w:val="VersoIngls01Sangria"/>
        <w:rPr>
          <w:sz w:val="16"/>
          <w:szCs w:val="20"/>
        </w:rPr>
      </w:pPr>
      <w:r w:rsidRPr="00DC1A5F">
        <w:rPr>
          <w:sz w:val="16"/>
          <w:szCs w:val="20"/>
        </w:rPr>
        <w:t>(2) En cuanto a una explicación resumida y otra detallada</w:t>
      </w:r>
    </w:p>
    <w:p w14:paraId="3D1D7CE9" w14:textId="77777777" w:rsidR="00597DE2" w:rsidRPr="00DC1A5F" w:rsidRDefault="00597DE2" w:rsidP="00597DE2">
      <w:pPr>
        <w:pStyle w:val="VersoIngls01Sangria"/>
        <w:spacing w:after="100"/>
        <w:ind w:left="1418"/>
        <w:rPr>
          <w:sz w:val="16"/>
          <w:szCs w:val="20"/>
        </w:rPr>
      </w:pPr>
      <w:r w:rsidRPr="00DC1A5F">
        <w:rPr>
          <w:sz w:val="16"/>
          <w:szCs w:val="20"/>
        </w:rPr>
        <w:t xml:space="preserve">Sobre los estados, (3) y también en cuanto al orden. [569] </w:t>
      </w:r>
    </w:p>
    <w:p w14:paraId="2F4DBE81" w14:textId="77777777" w:rsidR="00597DE2" w:rsidRPr="00DC1A5F" w:rsidRDefault="00597DE2" w:rsidP="00597DE2">
      <w:r w:rsidRPr="00DC1A5F">
        <w:t xml:space="preserve">240. </w:t>
      </w:r>
      <w:r w:rsidRPr="00DC1A5F">
        <w:tab/>
        <w:t>Aquí, ésta es la explicación: en primer lugar, existen estos 4 tipos de apego aquí, es decir, (i) apego hacia el deseo sensorial, (</w:t>
      </w:r>
      <w:proofErr w:type="spellStart"/>
      <w:r w:rsidRPr="00DC1A5F">
        <w:t>ii</w:t>
      </w:r>
      <w:proofErr w:type="spellEnd"/>
      <w:r w:rsidRPr="00DC1A5F">
        <w:t>) apego hacia la visión incorrecta, (</w:t>
      </w:r>
      <w:proofErr w:type="spellStart"/>
      <w:r w:rsidRPr="00DC1A5F">
        <w:t>iii</w:t>
      </w:r>
      <w:proofErr w:type="spellEnd"/>
      <w:r w:rsidRPr="00DC1A5F">
        <w:t>) apego hacia las reglas y los votos, y (</w:t>
      </w:r>
      <w:proofErr w:type="spellStart"/>
      <w:r w:rsidRPr="00DC1A5F">
        <w:t>iv</w:t>
      </w:r>
      <w:proofErr w:type="spellEnd"/>
      <w:r w:rsidRPr="00DC1A5F">
        <w:t>) apego hacia la doctrina–del–alma.</w:t>
      </w:r>
    </w:p>
    <w:p w14:paraId="549215C2" w14:textId="77777777" w:rsidR="00597DE2" w:rsidRPr="00DC1A5F" w:rsidRDefault="00597DE2" w:rsidP="00597DE2">
      <w:r w:rsidRPr="00DC1A5F">
        <w:t xml:space="preserve">241. </w:t>
      </w:r>
      <w:r w:rsidRPr="00DC1A5F">
        <w:tab/>
        <w:t xml:space="preserve">1. El </w:t>
      </w:r>
      <w:r w:rsidRPr="00DC1A5F">
        <w:rPr>
          <w:i/>
          <w:iCs/>
        </w:rPr>
        <w:t>análisis del significado</w:t>
      </w:r>
      <w:r w:rsidRPr="00DC1A5F">
        <w:t xml:space="preserve"> es éste: esto se adhiere al tipo de deseo sensorial denominado objeto físico del deseo sensorial (ver Capítulo IV, n. 24), por lo tanto, corresponderá a un apego del deseo sensorial. Además, será un deseo sensorial y será un apego, por lo tanto, corresponderá a un apego del deseo sensorial. Apegarse (</w:t>
      </w:r>
      <w:proofErr w:type="spellStart"/>
      <w:r w:rsidRPr="00DC1A5F">
        <w:rPr>
          <w:i/>
          <w:iCs/>
        </w:rPr>
        <w:t>upādāna</w:t>
      </w:r>
      <w:proofErr w:type="spellEnd"/>
      <w:r w:rsidRPr="00DC1A5F">
        <w:t xml:space="preserve">) significa aferrarse firmemente; porque aquí el prefijo </w:t>
      </w:r>
      <w:r w:rsidRPr="00DC1A5F">
        <w:rPr>
          <w:i/>
          <w:iCs/>
        </w:rPr>
        <w:t>upa</w:t>
      </w:r>
      <w:r w:rsidRPr="00DC1A5F">
        <w:t xml:space="preserve"> posee un sentido de firmeza, como en </w:t>
      </w:r>
      <w:proofErr w:type="spellStart"/>
      <w:r w:rsidRPr="00DC1A5F">
        <w:rPr>
          <w:i/>
          <w:iCs/>
        </w:rPr>
        <w:t>upāyāsa</w:t>
      </w:r>
      <w:proofErr w:type="spellEnd"/>
      <w:r w:rsidRPr="00DC1A5F">
        <w:t xml:space="preserve"> (gran miseria—ver §48) y </w:t>
      </w:r>
      <w:proofErr w:type="spellStart"/>
      <w:r w:rsidRPr="00DC1A5F">
        <w:rPr>
          <w:i/>
          <w:iCs/>
        </w:rPr>
        <w:t>upakuṭṭha</w:t>
      </w:r>
      <w:proofErr w:type="spellEnd"/>
      <w:r w:rsidRPr="00DC1A5F">
        <w:t xml:space="preserve"> (gran viruela),</w:t>
      </w:r>
      <w:r w:rsidRPr="00DC1A5F">
        <w:rPr>
          <w:vertAlign w:val="superscript"/>
        </w:rPr>
        <w:t>41</w:t>
      </w:r>
      <w:r w:rsidRPr="00DC1A5F">
        <w:t xml:space="preserve"> etc. Del mismo modo, corresponderá a una visión incorrecta y se apegará, por lo tanto, corresponderá a una visión incorrecta que se adherirá; o, se aferrará a una visión incorrecta, por lo que corresponderá a una visión incorrecta apegada; ya que en el caso de la visión incorrecta “El mundo y el alma son eternos” (D I 14), etc., será la última clase de visión</w:t>
      </w:r>
    </w:p>
    <w:p w14:paraId="0359847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C3BFD5C" w14:textId="77777777" w:rsidR="00597DE2" w:rsidRPr="00DC1A5F" w:rsidRDefault="00597DE2" w:rsidP="00597DE2">
      <w:pPr>
        <w:pStyle w:val="PiedepginaLegal"/>
        <w:numPr>
          <w:ilvl w:val="0"/>
          <w:numId w:val="6"/>
        </w:numPr>
        <w:tabs>
          <w:tab w:val="clear" w:pos="425"/>
        </w:tabs>
        <w:spacing w:after="160"/>
        <w:ind w:left="284" w:hanging="284"/>
        <w:rPr>
          <w:color w:val="auto"/>
          <w:u w:color="000000"/>
        </w:rPr>
      </w:pPr>
      <w:r w:rsidRPr="00DC1A5F">
        <w:t>“</w:t>
      </w:r>
      <w:r w:rsidRPr="00DC1A5F">
        <w:rPr>
          <w:i/>
          <w:iCs/>
          <w:color w:val="833C0B" w:themeColor="accent2" w:themeShade="80"/>
        </w:rPr>
        <w:t>La sensación mental</w:t>
      </w:r>
      <w:r w:rsidRPr="00DC1A5F">
        <w:rPr>
          <w:color w:val="833C0B" w:themeColor="accent2" w:themeShade="80"/>
        </w:rPr>
        <w:t xml:space="preserve"> </w:t>
      </w:r>
      <w:r w:rsidRPr="00DC1A5F">
        <w:rPr>
          <w:i/>
          <w:iCs/>
          <w:color w:val="auto"/>
          <w:u w:color="000000"/>
        </w:rPr>
        <w:t>es una condición’</w:t>
      </w:r>
      <w:r w:rsidRPr="00DC1A5F">
        <w:rPr>
          <w:color w:val="auto"/>
          <w:u w:color="000000"/>
        </w:rPr>
        <w:t xml:space="preserve"> se dice para evitar una generalización de las palabras precedentes ‘Con la sensación como su condición’ en el sentido de que el deseo surge en presencia de toda condición acompañada por la sensación — No obstante, ¿no es imposible evitar el exceso de la generalización en ausencia de afirmaciones tales como ‘la sensación acompañada de una tendencia inherente será una condición para el deseo’?</w:t>
      </w:r>
      <w:r w:rsidRPr="00DC1A5F">
        <w:rPr>
          <w:color w:val="833C0B" w:themeColor="accent2" w:themeShade="80"/>
          <w:u w:color="000000"/>
        </w:rPr>
        <w:t xml:space="preserve"> </w:t>
      </w:r>
      <w:r w:rsidRPr="00DC1A5F">
        <w:t xml:space="preserve">— </w:t>
      </w:r>
      <w:r w:rsidRPr="00DC1A5F">
        <w:rPr>
          <w:color w:val="auto"/>
          <w:u w:color="000000"/>
        </w:rPr>
        <w:t>No; porque estamos tratando sobre una exposición del ciclo de renacimientos. Dado que no existirá ciclo de renacimientos sin tendencias inherentes, en lo que se refiere al significado, se podrá dar por sentado que la condición irá acompañada de una tendencia inherente. O alternativamente, se podrá reconocer que esta condición irá acompañada de una tendencia inherente porque seguirá a las palabras “Con la ignorancia como su condición”.</w:t>
      </w:r>
      <w:r w:rsidRPr="00DC1A5F">
        <w:t xml:space="preserve"> </w:t>
      </w:r>
      <w:r w:rsidRPr="00DC1A5F">
        <w:rPr>
          <w:color w:val="auto"/>
          <w:u w:color="000000"/>
        </w:rPr>
        <w:t>Y con las palabras 'Con la sensación como su condición, el deseo’, la regla requerida es ésta: 'Existirá el deseo solo con la sensación como su condición', y no 'Con la sensación como si condición, solo existirá deseo'" (</w:t>
      </w:r>
      <w:proofErr w:type="spellStart"/>
      <w:r w:rsidRPr="00DC1A5F">
        <w:rPr>
          <w:color w:val="auto"/>
          <w:u w:color="000000"/>
        </w:rPr>
        <w:t>Vism</w:t>
      </w:r>
      <w:proofErr w:type="spellEnd"/>
      <w:r w:rsidRPr="00DC1A5F">
        <w:rPr>
          <w:color w:val="auto"/>
          <w:u w:color="000000"/>
        </w:rPr>
        <w:t>–</w:t>
      </w:r>
      <w:proofErr w:type="spellStart"/>
      <w:r w:rsidRPr="00DC1A5F">
        <w:rPr>
          <w:color w:val="auto"/>
          <w:u w:color="000000"/>
        </w:rPr>
        <w:t>mhþ</w:t>
      </w:r>
      <w:proofErr w:type="spellEnd"/>
      <w:r w:rsidRPr="00DC1A5F">
        <w:rPr>
          <w:color w:val="auto"/>
          <w:u w:color="000000"/>
        </w:rPr>
        <w:t xml:space="preserve">). Para tendencias inherentes ver Cap. XXII. §45, 60; MN 64. El </w:t>
      </w:r>
      <w:r w:rsidRPr="00DC1A5F">
        <w:rPr>
          <w:i/>
          <w:iCs/>
          <w:color w:val="auto"/>
          <w:u w:color="000000"/>
        </w:rPr>
        <w:t>Arahant</w:t>
      </w:r>
      <w:r w:rsidRPr="00DC1A5F">
        <w:rPr>
          <w:color w:val="auto"/>
          <w:u w:color="000000"/>
        </w:rPr>
        <w:t xml:space="preserve"> no posee nada al respecto.</w:t>
      </w:r>
    </w:p>
    <w:p w14:paraId="44737F60" w14:textId="77777777" w:rsidR="00597DE2" w:rsidRPr="00DC1A5F" w:rsidRDefault="00597DE2" w:rsidP="00597DE2">
      <w:pPr>
        <w:pStyle w:val="PiedepginaLegal"/>
        <w:numPr>
          <w:ilvl w:val="0"/>
          <w:numId w:val="6"/>
        </w:numPr>
        <w:tabs>
          <w:tab w:val="clear" w:pos="425"/>
        </w:tabs>
        <w:spacing w:after="160"/>
        <w:ind w:left="284" w:hanging="284"/>
      </w:pPr>
      <w:proofErr w:type="spellStart"/>
      <w:r w:rsidRPr="00DC1A5F">
        <w:rPr>
          <w:i/>
          <w:iCs/>
        </w:rPr>
        <w:t>Upakuṭṭha</w:t>
      </w:r>
      <w:proofErr w:type="spellEnd"/>
      <w:r w:rsidRPr="00DC1A5F">
        <w:rPr>
          <w:i/>
          <w:iCs/>
        </w:rPr>
        <w:t xml:space="preserve"> </w:t>
      </w:r>
      <w:r w:rsidRPr="00DC1A5F">
        <w:t xml:space="preserve">—“gran viruela” o “gran lepra”: no así en el PED; véase </w:t>
      </w:r>
      <w:proofErr w:type="spellStart"/>
      <w:r w:rsidRPr="00DC1A5F">
        <w:rPr>
          <w:i/>
          <w:iCs/>
        </w:rPr>
        <w:t>kuṭṭha</w:t>
      </w:r>
      <w:proofErr w:type="spellEnd"/>
      <w:r w:rsidRPr="00DC1A5F">
        <w:t>.</w:t>
      </w:r>
      <w:r w:rsidRPr="00DC1A5F">
        <w:br w:type="page"/>
      </w:r>
    </w:p>
    <w:p w14:paraId="1DEA4E42" w14:textId="77777777" w:rsidR="00597DE2" w:rsidRPr="00DC1A5F" w:rsidRDefault="00597DE2" w:rsidP="00597DE2">
      <w:pPr>
        <w:pStyle w:val="Textoindependiente"/>
      </w:pPr>
    </w:p>
    <w:p w14:paraId="40C8FF49" w14:textId="77777777" w:rsidR="00597DE2" w:rsidRPr="00DC1A5F" w:rsidRDefault="00597DE2" w:rsidP="00597DE2">
      <w:pPr>
        <w:pStyle w:val="Textoindependiente"/>
      </w:pPr>
      <w:r w:rsidRPr="00DC1A5F">
        <w:t>la que se aferrará a la primera. Del mismo modo, se adherirá a los ritos y rituales, por lo tanto, es así cómo será apego hacia las–reglas–y–los–votos; también, será el rito, el ritual y será apego, por lo tanto será así cómo será apego hacia las–reglas–y–los–votos; como el ascetismo del buey, los votos del buey, etc. (ver M I 387f.), estos también son en sí mismos unos tipos de apego, debido a la incorrecta (e insistente) interpretación de que la purificación se puede producir de esta manera. Asimismo, se adoctrinarán por medio de ello, pues ello corresponderá a una doctrina; se apegarán por medio de ello, entonces ello también corresponderá a apegarse. ¿Con qué se adoctrinan? ¿A qué se aferran? Al alma. El apego hacia las doctrinas–del–alma corresponderá al apego hacia la doctrina del alma. O por medio de ello se apegarán a un alma que corresponderá a una simple doctrina sobre el alma; por lo tanto, ello significará aferrarse a la doctrina del alma. Esto, en primer lugar, corresponde al “análisis del significado”.</w:t>
      </w:r>
    </w:p>
    <w:p w14:paraId="79F66E08" w14:textId="77777777" w:rsidR="00597DE2" w:rsidRPr="00DC1A5F" w:rsidRDefault="00597DE2" w:rsidP="00597DE2">
      <w:r w:rsidRPr="00DC1A5F">
        <w:t xml:space="preserve">242. </w:t>
      </w:r>
      <w:r w:rsidRPr="00DC1A5F">
        <w:tab/>
        <w:t xml:space="preserve">2. No obstante, en cuanto </w:t>
      </w:r>
      <w:r w:rsidRPr="00DC1A5F">
        <w:rPr>
          <w:i/>
          <w:iCs/>
        </w:rPr>
        <w:t>a la descripción resumida y detalladamente de los estados</w:t>
      </w:r>
      <w:r w:rsidRPr="00DC1A5F">
        <w:t>, en primer lugar, en resumen, al apego sensual se le denominará “firmeza del deseo”, ya que se dice al respecto: “Aquí, ¿qué es el apego sensual? Lo que en el caso del deseo sensorial es lujuria hacia los deseos sensoriales, codicia hacia los deseos sensoriales, placer en los deseos sensoriales, avidez por los deseos sensoriales, fiebre debido a los deseos sensoriales, encaprichamiento debido a los deseos sensoriales, entrega hacia los deseos sensoriales: a todo ello se le denominará apego hacia deseo sensorial.” (</w:t>
      </w:r>
      <w:proofErr w:type="spellStart"/>
      <w:r w:rsidRPr="00DC1A5F">
        <w:t>Dhs</w:t>
      </w:r>
      <w:proofErr w:type="spellEnd"/>
      <w:r w:rsidRPr="00DC1A5F">
        <w:t xml:space="preserve"> §1214). “Firmeza del deseo” será un nombre para el deseo subsiguiente mismo, que se habrá vuelto firme debido a la influencia del deseo anterior, el cual actuará como su condición de soporte decisivo. No obstante, algunos han afirmado al respecto: Desear significa aspirar conseguir un objeto que aún no se haya alcanzado, como la mano de un ladrón que se extendiese en la oscuridad; apegarse significará aferrarse a un objeto que uno haya alcanzado, como el ladrón que alcanzase su objetivo. Estos estados se opondrán a la ausencia de deseos y al contentamiento y, por lo tanto, corresponderán a la raíz del sufrimiento debido a la búsqueda y a habitar pendiente al respecto (ver D II 58s). Los tres tipos restantes de apego corresponderán, en resumen, simplemente a la visión incorrecta.</w:t>
      </w:r>
    </w:p>
    <w:p w14:paraId="7DE812ED" w14:textId="77777777" w:rsidR="00597DE2" w:rsidRPr="00DC1A5F" w:rsidRDefault="00597DE2" w:rsidP="00597DE2">
      <w:r w:rsidRPr="00DC1A5F">
        <w:t xml:space="preserve">243. </w:t>
      </w:r>
      <w:r w:rsidRPr="00DC1A5F">
        <w:tab/>
        <w:t xml:space="preserve">En detalle, sin embargo, el apego al deseo sensorial es el estado firme del deseo descrito anteriormente como de 108 tipos con respecto a los objetos visibles, etc. El apego a la visión incorrecta es el punto de vista incorrecto basado en 10 visiones incorrectas, según se dice al respecto: “Aquí, ¿qué es el apego a la visión incorrecta? No existe el dar, no existe la ofrenda ... no existen los ascetas ni los </w:t>
      </w:r>
      <w:r w:rsidRPr="00DC1A5F">
        <w:rPr>
          <w:i/>
          <w:iCs/>
        </w:rPr>
        <w:t>brahmanes</w:t>
      </w:r>
      <w:r w:rsidRPr="00DC1A5F">
        <w:t xml:space="preserve"> buenos y virtuosos que se hayan consumado a través del conocimiento directo y declaren este mundo y el siguiente: a una visión como ésta... a una suposición así de perversa se le llama apego a la visión incorrecta” (</w:t>
      </w:r>
      <w:proofErr w:type="spellStart"/>
      <w:r w:rsidRPr="00DC1A5F">
        <w:t>Vibh</w:t>
      </w:r>
      <w:proofErr w:type="spellEnd"/>
      <w:r w:rsidRPr="00DC1A5F">
        <w:t xml:space="preserve"> 375; </w:t>
      </w:r>
      <w:proofErr w:type="spellStart"/>
      <w:r w:rsidRPr="00DC1A5F">
        <w:t>Dhs</w:t>
      </w:r>
      <w:proofErr w:type="spellEnd"/>
      <w:r w:rsidRPr="00DC1A5F">
        <w:t xml:space="preserve"> §1215). La adherencia a las reglas y votos es el apego a la opinión de que la purificación proviene de reglas y votos, según se dice al respecto: “Aquí, ¿qué es el apego a las reglas y votos? … Que la purificación proviene de un rito, que la purificación proviene de un ritual, [570] que la purificación proviene de un rito y un ritual: a una visión como ésta… a una suposición así de perversa se le llama apego a reglas y votos” (</w:t>
      </w:r>
      <w:proofErr w:type="spellStart"/>
      <w:r w:rsidRPr="00DC1A5F">
        <w:t>Dhs</w:t>
      </w:r>
      <w:proofErr w:type="spellEnd"/>
      <w:r w:rsidRPr="00DC1A5F">
        <w:t xml:space="preserve"> §1216). El apego a la doctrina–alma es la visión incorrecta basada en 20 formas de visión identitaria, según se dice al respecto: “Aquí, ¿qué es el apego a la doctrina–alma? Aquí, el hombre común, no instruido... sin entrenamiento en el </w:t>
      </w:r>
      <w:r w:rsidRPr="00DC1A5F">
        <w:rPr>
          <w:i/>
        </w:rPr>
        <w:t>Dhamma</w:t>
      </w:r>
      <w:r w:rsidRPr="00DC1A5F">
        <w:t xml:space="preserve"> de los hombres virtuosos, ve la materialidad como alma... a una suposición así de perversa se le llama apego a la doctrina–alma” (</w:t>
      </w:r>
      <w:proofErr w:type="spellStart"/>
      <w:r w:rsidRPr="00DC1A5F">
        <w:t>Dhs</w:t>
      </w:r>
      <w:proofErr w:type="spellEnd"/>
      <w:r w:rsidRPr="00DC1A5F">
        <w:t xml:space="preserve"> §1217). Esta corresponderá a la “explicación resumida y detallada de los estados”.</w:t>
      </w:r>
    </w:p>
    <w:p w14:paraId="4B2B0F33" w14:textId="77777777" w:rsidR="00597DE2" w:rsidRPr="00DC1A5F" w:rsidRDefault="00597DE2" w:rsidP="00597DE2">
      <w:pPr>
        <w:tabs>
          <w:tab w:val="clear" w:pos="425"/>
        </w:tabs>
        <w:spacing w:after="160"/>
      </w:pPr>
      <w:r w:rsidRPr="00DC1A5F">
        <w:br w:type="page"/>
      </w:r>
    </w:p>
    <w:p w14:paraId="4DF2F02B" w14:textId="77777777" w:rsidR="00597DE2" w:rsidRPr="00DC1A5F" w:rsidRDefault="00597DE2" w:rsidP="00597DE2">
      <w:pPr>
        <w:pStyle w:val="Textoindependiente"/>
      </w:pPr>
      <w:r w:rsidRPr="00DC1A5F">
        <w:lastRenderedPageBreak/>
        <w:t xml:space="preserve">244. </w:t>
      </w:r>
      <w:r w:rsidRPr="00DC1A5F">
        <w:tab/>
        <w:t xml:space="preserve">3. </w:t>
      </w:r>
      <w:r w:rsidRPr="00DC1A5F">
        <w:rPr>
          <w:i/>
          <w:iCs/>
        </w:rPr>
        <w:t>En cuanto al orden</w:t>
      </w:r>
      <w:r w:rsidRPr="00DC1A5F">
        <w:t>: aquí el orden será de 3 tipos (ver XIV.211), es decir, el orden de surgimiento, el orden de abandono y el orden de la enseñanza. Al respecto, el orden de surgimiento de las impurezas no se dará a entender literalmente ya que no existe un primer surgimiento de las impurezas en el ciclo sin inicio de renacimientos. No obstante, en un sentido relativo será lo siguiente: por lo general, en un solo devenir, la interpretación incorrecta de (la insistencia en) la eternidad y el nihilismo estarán precedidas por la presunción de un alma. Después de ello, cuando un hombre asuma que esta alma sea eterna, surgirá en él el apego hacia las–reglas–y–los–votos con el propósito de purificar tal alma. Y cuando este hombre asuma que se pueden romper algún voto, haciendo caso omiso del otro mundo, surgirá en él apego hacia el deseo sensorial. Así que el apego a la doctrina del alma surgirá primero, después de ello, el apego hacia la visión incorrecta, el apego hacia las–reglas–y–los–votos y luego el apego hacia el deseo sensorial. Éste, entonces, corresponderá al orden de surgimiento en un devenir.</w:t>
      </w:r>
    </w:p>
    <w:p w14:paraId="7BF476E3" w14:textId="77777777" w:rsidR="00597DE2" w:rsidRPr="00DC1A5F" w:rsidRDefault="00597DE2" w:rsidP="00597DE2">
      <w:r w:rsidRPr="00DC1A5F">
        <w:t xml:space="preserve">245. </w:t>
      </w:r>
      <w:r w:rsidRPr="00DC1A5F">
        <w:tab/>
        <w:t>Y aquí el apego hacia una visión incorrecta, etc., serán abandonados primero porque serán eliminados por 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El apego hacia el deseo sensorial se abandonará posteriormente porque será eliminado por el sendero del estado de </w:t>
      </w:r>
      <w:r w:rsidRPr="00DC1A5F">
        <w:rPr>
          <w:i/>
        </w:rPr>
        <w:t>Arahant</w:t>
      </w:r>
      <w:r w:rsidRPr="00DC1A5F">
        <w:t>. Esto corresponderá al orden de abandono.</w:t>
      </w:r>
    </w:p>
    <w:p w14:paraId="6C81D76D" w14:textId="77777777" w:rsidR="00597DE2" w:rsidRPr="00DC1A5F" w:rsidRDefault="00597DE2" w:rsidP="00597DE2">
      <w:r w:rsidRPr="00DC1A5F">
        <w:t xml:space="preserve">246. </w:t>
      </w:r>
      <w:r w:rsidRPr="00DC1A5F">
        <w:tab/>
        <w:t>Sin embargo, el apego hacia el deseo sensorial se expondrá primero entre ellos debido a la amplitud de su campo objetivo y debido a su evidencia. Ya que tiene un amplio campo objetivo porque está asociado con 8 tipos de consciencia ((22)–(29)). Los otros poseen un campo objetivo estrecho porque están asociados con 4 tipos de consciencia ((22), (23), (26) y (27)). Y por lo general es el apego al deseo sensorial lo que llegará a ser más obvio debido al afecto hacia el apego de este tipo de generación (ver M I 167), no así hacia el apego de los otros tipos. Alguien poseído por el apego hacia los deseos sensoriales será muy proclive a la ostentación y a la ceremonia (ver M I 265) con el propósito de alcanzar tales deseos sensoriales. El apego a la visión incorrecta proviene conjuntamente del apego hacia el deseo sensorial ya que esa manifestación y ceremoniosidad corresponderá a una visión incorrecta en él.</w:t>
      </w:r>
      <w:r w:rsidRPr="00DC1A5F">
        <w:rPr>
          <w:vertAlign w:val="superscript"/>
        </w:rPr>
        <w:t>42</w:t>
      </w:r>
      <w:r w:rsidRPr="00DC1A5F">
        <w:t xml:space="preserve"> Y eso luego se dividirá en dos: como apego hacia reglas y votos y como apego hacia la doctrina del alma. Y de estos dos, el apego hacia las reglas y los votos se expondrá primero, por ser densa o burda, porque se podrá reconocer al verlo en las formas de la práctica del buey y la </w:t>
      </w:r>
      <w:r w:rsidRPr="00DC1A5F">
        <w:rPr>
          <w:i/>
          <w:iCs/>
        </w:rPr>
        <w:t>práctica–canina</w:t>
      </w:r>
      <w:r w:rsidRPr="00DC1A5F">
        <w:t>. Y el apego hacia la doctrina del alma se expondrá en último lugar debido a su sutileza. Éste corresponderá al “orden de la enseñanza”.</w:t>
      </w:r>
    </w:p>
    <w:p w14:paraId="4C325F44" w14:textId="77777777" w:rsidR="00597DE2" w:rsidRPr="00DC1A5F" w:rsidRDefault="00597DE2" w:rsidP="00597DE2">
      <w:pPr>
        <w:pStyle w:val="Ttulo7"/>
        <w:ind w:left="709"/>
      </w:pPr>
      <w:r w:rsidRPr="00DC1A5F">
        <w:t>[Cómo el Deseo será una condición para el Apego]</w:t>
      </w:r>
    </w:p>
    <w:p w14:paraId="437D987B" w14:textId="77777777" w:rsidR="00597DE2" w:rsidRPr="00DC1A5F" w:rsidRDefault="00597DE2" w:rsidP="00597DE2">
      <w:pPr>
        <w:pStyle w:val="VersoIngls01Sangria"/>
        <w:ind w:left="0"/>
        <w:rPr>
          <w:sz w:val="16"/>
          <w:szCs w:val="20"/>
        </w:rPr>
      </w:pPr>
      <w:r w:rsidRPr="00DC1A5F">
        <w:t xml:space="preserve">247. </w:t>
      </w:r>
      <w:r w:rsidRPr="00DC1A5F">
        <w:tab/>
      </w:r>
      <w:r w:rsidRPr="00DC1A5F">
        <w:tab/>
      </w:r>
      <w:r w:rsidRPr="00DC1A5F">
        <w:tab/>
      </w:r>
      <w:r w:rsidRPr="00DC1A5F">
        <w:rPr>
          <w:sz w:val="16"/>
          <w:szCs w:val="20"/>
        </w:rPr>
        <w:t>Para el primero de una sola manera;</w:t>
      </w:r>
    </w:p>
    <w:p w14:paraId="444F8C49" w14:textId="77777777" w:rsidR="00597DE2" w:rsidRPr="00DC1A5F" w:rsidRDefault="00597DE2" w:rsidP="00597DE2">
      <w:pPr>
        <w:pStyle w:val="VersoIngls01Sangria"/>
        <w:rPr>
          <w:sz w:val="16"/>
          <w:szCs w:val="20"/>
        </w:rPr>
      </w:pPr>
      <w:r w:rsidRPr="00DC1A5F">
        <w:rPr>
          <w:sz w:val="16"/>
          <w:szCs w:val="20"/>
        </w:rPr>
        <w:t>Pero para los tres tipos restantes</w:t>
      </w:r>
    </w:p>
    <w:p w14:paraId="3AC5B20C" w14:textId="77777777" w:rsidR="00597DE2" w:rsidRPr="00DC1A5F" w:rsidRDefault="00597DE2" w:rsidP="00597DE2">
      <w:pPr>
        <w:pStyle w:val="VersoIngls01Sangria"/>
        <w:spacing w:after="100"/>
        <w:ind w:left="1418"/>
        <w:rPr>
          <w:sz w:val="16"/>
          <w:szCs w:val="20"/>
        </w:rPr>
      </w:pPr>
      <w:r w:rsidRPr="00DC1A5F">
        <w:rPr>
          <w:sz w:val="16"/>
          <w:szCs w:val="20"/>
        </w:rPr>
        <w:t>De siete u ocho maneras.</w:t>
      </w:r>
    </w:p>
    <w:p w14:paraId="4D4C54EB" w14:textId="77777777" w:rsidR="00597DE2" w:rsidRPr="00DC1A5F" w:rsidRDefault="00597DE2" w:rsidP="00597DE2">
      <w:r w:rsidRPr="00DC1A5F">
        <w:t xml:space="preserve">248. </w:t>
      </w:r>
      <w:r w:rsidRPr="00DC1A5F">
        <w:tab/>
        <w:t>Con respecto a las 4 clases de apego que se expusieron de esta manera, el deseo sensorial será una condición en un sentido, como soporte decisivo, para el primer tipo, es decir, para el apego hacia los deseos sensoriales, porque surgirá en relación con el campo objetivo en el que el deseo se complazca. No obstante, será una condición de 7 formas, como consciencia, reciprocidad, soporte, asociación, presencia, no–desaparición y causa–raíz, o de 8 formas, como las mencionadas más el soporte decisivo, para las 3 clases restantes. Cuando sea una condición como soporte decisivo entonces nunca será coetánea.</w:t>
      </w:r>
    </w:p>
    <w:p w14:paraId="04629E0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6563B07" w14:textId="77777777" w:rsidR="00597DE2" w:rsidRPr="00DC1A5F" w:rsidRDefault="00597DE2" w:rsidP="00597DE2">
      <w:pPr>
        <w:pStyle w:val="PiedepginaLegal"/>
        <w:numPr>
          <w:ilvl w:val="0"/>
          <w:numId w:val="6"/>
        </w:numPr>
        <w:tabs>
          <w:tab w:val="clear" w:pos="425"/>
        </w:tabs>
        <w:spacing w:after="160"/>
        <w:ind w:left="284" w:hanging="284"/>
      </w:pPr>
      <w:proofErr w:type="spellStart"/>
      <w:r w:rsidRPr="00DC1A5F">
        <w:t>Ee</w:t>
      </w:r>
      <w:proofErr w:type="spellEnd"/>
      <w:r w:rsidRPr="00DC1A5F">
        <w:t xml:space="preserve"> considera “</w:t>
      </w:r>
      <w:proofErr w:type="spellStart"/>
      <w:r w:rsidRPr="00DC1A5F">
        <w:rPr>
          <w:i/>
          <w:iCs/>
        </w:rPr>
        <w:t>sassatan</w:t>
      </w:r>
      <w:proofErr w:type="spellEnd"/>
      <w:r w:rsidRPr="00DC1A5F">
        <w:rPr>
          <w:i/>
          <w:iCs/>
        </w:rPr>
        <w:t xml:space="preserve"> ti</w:t>
      </w:r>
      <w:r w:rsidRPr="00DC1A5F">
        <w:t xml:space="preserve">”; </w:t>
      </w:r>
      <w:proofErr w:type="spellStart"/>
      <w:r w:rsidRPr="00DC1A5F">
        <w:t>Ae</w:t>
      </w:r>
      <w:proofErr w:type="spellEnd"/>
      <w:r w:rsidRPr="00DC1A5F">
        <w:t xml:space="preserve"> tiene “</w:t>
      </w:r>
      <w:proofErr w:type="spellStart"/>
      <w:r w:rsidRPr="00DC1A5F">
        <w:rPr>
          <w:i/>
          <w:iCs/>
        </w:rPr>
        <w:t>sā’ssa</w:t>
      </w:r>
      <w:proofErr w:type="spellEnd"/>
      <w:r w:rsidRPr="00DC1A5F">
        <w:rPr>
          <w:i/>
          <w:iCs/>
        </w:rPr>
        <w:t xml:space="preserve"> </w:t>
      </w:r>
      <w:proofErr w:type="spellStart"/>
      <w:r w:rsidRPr="00DC1A5F">
        <w:rPr>
          <w:i/>
          <w:iCs/>
        </w:rPr>
        <w:t>diṭṭhī</w:t>
      </w:r>
      <w:proofErr w:type="spellEnd"/>
      <w:r w:rsidRPr="00DC1A5F">
        <w:rPr>
          <w:i/>
          <w:iCs/>
        </w:rPr>
        <w:t xml:space="preserve"> ti</w:t>
      </w:r>
      <w:r w:rsidRPr="00DC1A5F">
        <w:t xml:space="preserve">”; </w:t>
      </w:r>
      <w:proofErr w:type="spellStart"/>
      <w:r w:rsidRPr="00DC1A5F">
        <w:t>Vibh</w:t>
      </w:r>
      <w:proofErr w:type="spellEnd"/>
      <w:r w:rsidRPr="00DC1A5F">
        <w:t>–a (Be), “</w:t>
      </w:r>
      <w:proofErr w:type="spellStart"/>
      <w:r w:rsidRPr="00DC1A5F">
        <w:rPr>
          <w:i/>
          <w:iCs/>
        </w:rPr>
        <w:t>na</w:t>
      </w:r>
      <w:proofErr w:type="spellEnd"/>
      <w:r w:rsidRPr="00DC1A5F">
        <w:rPr>
          <w:i/>
          <w:iCs/>
        </w:rPr>
        <w:t xml:space="preserve"> </w:t>
      </w:r>
      <w:proofErr w:type="spellStart"/>
      <w:r w:rsidRPr="00DC1A5F">
        <w:rPr>
          <w:i/>
          <w:iCs/>
        </w:rPr>
        <w:t>sassatadiṭṭhī</w:t>
      </w:r>
      <w:proofErr w:type="spellEnd"/>
      <w:r w:rsidRPr="00DC1A5F">
        <w:rPr>
          <w:i/>
          <w:iCs/>
        </w:rPr>
        <w:t xml:space="preserve"> ti</w:t>
      </w:r>
      <w:r w:rsidRPr="00DC1A5F">
        <w:t>”.</w:t>
      </w:r>
    </w:p>
    <w:p w14:paraId="4523615F" w14:textId="77777777" w:rsidR="00597DE2" w:rsidRPr="00DC1A5F" w:rsidRDefault="00597DE2" w:rsidP="00597DE2">
      <w:pPr>
        <w:tabs>
          <w:tab w:val="clear" w:pos="425"/>
        </w:tabs>
        <w:spacing w:after="160"/>
      </w:pPr>
      <w:r w:rsidRPr="00DC1A5F">
        <w:br w:type="page"/>
      </w:r>
    </w:p>
    <w:p w14:paraId="795B4D94" w14:textId="77777777" w:rsidR="00597DE2" w:rsidRPr="00DC1A5F" w:rsidRDefault="00597DE2" w:rsidP="00597DE2">
      <w:pPr>
        <w:pStyle w:val="NormalConSangria"/>
      </w:pPr>
      <w:r w:rsidRPr="00DC1A5F">
        <w:lastRenderedPageBreak/>
        <w:t>Esta es la explicación detallada de la cláusula “Con el deseo como condición, se origina el apego”. [571]</w:t>
      </w:r>
    </w:p>
    <w:p w14:paraId="3EBC1F53" w14:textId="77777777" w:rsidR="00597DE2" w:rsidRPr="00DC1A5F" w:rsidRDefault="00597DE2" w:rsidP="00597DE2">
      <w:pPr>
        <w:pStyle w:val="Ttulo6"/>
      </w:pPr>
      <w:r w:rsidRPr="00DC1A5F">
        <w:t>[(X) El Devenir]</w:t>
      </w:r>
    </w:p>
    <w:p w14:paraId="520A9708" w14:textId="77777777" w:rsidR="00597DE2" w:rsidRPr="00DC1A5F" w:rsidRDefault="00597DE2" w:rsidP="00597DE2">
      <w:pPr>
        <w:pStyle w:val="Textoindependiente"/>
        <w:spacing w:after="0"/>
      </w:pPr>
      <w:r w:rsidRPr="00DC1A5F">
        <w:t xml:space="preserve">249. </w:t>
      </w:r>
      <w:r w:rsidRPr="00DC1A5F">
        <w:tab/>
        <w:t xml:space="preserve">En cuanto a la cláusula “Con el apego como condición, se origina el devenir” </w:t>
      </w:r>
      <w:r w:rsidRPr="00DC1A5F">
        <w:rPr>
          <w:color w:val="833C0B" w:themeColor="accent2" w:themeShade="80"/>
        </w:rPr>
        <w:t>la exposición se hará</w:t>
      </w:r>
      <w:r w:rsidRPr="00DC1A5F">
        <w:t>:</w:t>
      </w:r>
    </w:p>
    <w:p w14:paraId="7B50EC9D" w14:textId="77777777" w:rsidR="00597DE2" w:rsidRPr="00DC1A5F" w:rsidRDefault="00597DE2" w:rsidP="00597DE2">
      <w:pPr>
        <w:pStyle w:val="VersoIngls01Sangria"/>
        <w:rPr>
          <w:sz w:val="16"/>
          <w:szCs w:val="20"/>
        </w:rPr>
      </w:pPr>
      <w:r w:rsidRPr="00DC1A5F">
        <w:rPr>
          <w:sz w:val="16"/>
          <w:szCs w:val="20"/>
        </w:rPr>
        <w:t>(1) En cuanto al significado, (2) en cuanto al estado,</w:t>
      </w:r>
    </w:p>
    <w:p w14:paraId="6A9233A6" w14:textId="77777777" w:rsidR="00597DE2" w:rsidRPr="00DC1A5F" w:rsidRDefault="00597DE2" w:rsidP="00597DE2">
      <w:pPr>
        <w:pStyle w:val="VersoIngls01Sangria"/>
        <w:rPr>
          <w:sz w:val="16"/>
          <w:szCs w:val="20"/>
        </w:rPr>
      </w:pPr>
      <w:r w:rsidRPr="00DC1A5F">
        <w:rPr>
          <w:sz w:val="16"/>
          <w:szCs w:val="20"/>
        </w:rPr>
        <w:t xml:space="preserve">(3) Al propósito, (4) al análisis, (5) la síntesis, </w:t>
      </w:r>
    </w:p>
    <w:p w14:paraId="05D467D0" w14:textId="77777777" w:rsidR="00597DE2" w:rsidRPr="00DC1A5F" w:rsidRDefault="00597DE2" w:rsidP="00597DE2">
      <w:pPr>
        <w:pStyle w:val="VersoIngls01Sangria"/>
        <w:rPr>
          <w:sz w:val="16"/>
          <w:szCs w:val="20"/>
        </w:rPr>
      </w:pPr>
      <w:r w:rsidRPr="00DC1A5F">
        <w:rPr>
          <w:sz w:val="16"/>
          <w:szCs w:val="20"/>
        </w:rPr>
        <w:t>(6) A aquello por lo cual se convierte en una condición,</w:t>
      </w:r>
    </w:p>
    <w:p w14:paraId="409F3762" w14:textId="77777777" w:rsidR="00597DE2" w:rsidRPr="00DC1A5F" w:rsidRDefault="00597DE2" w:rsidP="00597DE2">
      <w:pPr>
        <w:pStyle w:val="VersoIngls01Sangria"/>
        <w:spacing w:after="100"/>
        <w:ind w:left="1418"/>
        <w:rPr>
          <w:sz w:val="16"/>
          <w:szCs w:val="20"/>
        </w:rPr>
      </w:pPr>
      <w:r w:rsidRPr="00DC1A5F">
        <w:rPr>
          <w:sz w:val="16"/>
          <w:szCs w:val="20"/>
        </w:rPr>
        <w:t>Esta exposición debe ser entendida.</w:t>
      </w:r>
    </w:p>
    <w:p w14:paraId="371C7382" w14:textId="77777777" w:rsidR="00597DE2" w:rsidRPr="00DC1A5F" w:rsidRDefault="00597DE2" w:rsidP="00597DE2">
      <w:r w:rsidRPr="00DC1A5F">
        <w:t xml:space="preserve">250. </w:t>
      </w:r>
      <w:r w:rsidRPr="00DC1A5F">
        <w:tab/>
        <w:t xml:space="preserve">1. </w:t>
      </w:r>
      <w:r w:rsidRPr="00DC1A5F">
        <w:rPr>
          <w:i/>
          <w:iCs/>
        </w:rPr>
        <w:t>En cuanto al significado</w:t>
      </w:r>
      <w:r w:rsidRPr="00DC1A5F">
        <w:t>: Aquí, ello devendrá (</w:t>
      </w:r>
      <w:proofErr w:type="spellStart"/>
      <w:r w:rsidRPr="00DC1A5F">
        <w:rPr>
          <w:i/>
          <w:iCs/>
        </w:rPr>
        <w:t>bhavati</w:t>
      </w:r>
      <w:proofErr w:type="spellEnd"/>
      <w:r w:rsidRPr="00DC1A5F">
        <w:t>), por lo tanto se devendrá en (</w:t>
      </w:r>
      <w:proofErr w:type="spellStart"/>
      <w:r w:rsidRPr="00DC1A5F">
        <w:rPr>
          <w:i/>
          <w:iCs/>
        </w:rPr>
        <w:t>bhava</w:t>
      </w:r>
      <w:proofErr w:type="spellEnd"/>
      <w:r w:rsidRPr="00DC1A5F">
        <w:t xml:space="preserve">). Éste devenir será de dos tipos: como devenir del proceso </w:t>
      </w:r>
      <w:proofErr w:type="spellStart"/>
      <w:r w:rsidRPr="00DC1A5F">
        <w:rPr>
          <w:i/>
        </w:rPr>
        <w:t>kammico</w:t>
      </w:r>
      <w:proofErr w:type="spellEnd"/>
      <w:r w:rsidRPr="00DC1A5F">
        <w:t xml:space="preserve"> y devenir del proceso de renacimiento, de acuerdo con lo que se dice al respecto: “El devenir surgirá de dos maneras: existirá un devenir correspondiente al proceso </w:t>
      </w:r>
      <w:proofErr w:type="spellStart"/>
      <w:r w:rsidRPr="00DC1A5F">
        <w:rPr>
          <w:i/>
        </w:rPr>
        <w:t>kammico</w:t>
      </w:r>
      <w:proofErr w:type="spellEnd"/>
      <w:r w:rsidRPr="00DC1A5F">
        <w:t xml:space="preserve"> y existirá un devenir correspondiente al proceso de renacimiento” (</w:t>
      </w:r>
      <w:proofErr w:type="spellStart"/>
      <w:r w:rsidRPr="00DC1A5F">
        <w:t>Vibh</w:t>
      </w:r>
      <w:proofErr w:type="spellEnd"/>
      <w:r w:rsidRPr="00DC1A5F">
        <w:t xml:space="preserve"> 137). Al respecto, el proceso </w:t>
      </w:r>
      <w:proofErr w:type="spellStart"/>
      <w:r w:rsidRPr="00DC1A5F">
        <w:rPr>
          <w:i/>
        </w:rPr>
        <w:t>kammico</w:t>
      </w:r>
      <w:proofErr w:type="spellEnd"/>
      <w:r w:rsidRPr="00DC1A5F">
        <w:t xml:space="preserve"> en sí mismo, como devenir, corresponderá al “devenir de proceso </w:t>
      </w:r>
      <w:proofErr w:type="spellStart"/>
      <w:r w:rsidRPr="00DC1A5F">
        <w:rPr>
          <w:i/>
        </w:rPr>
        <w:t>kammico</w:t>
      </w:r>
      <w:proofErr w:type="spellEnd"/>
      <w:r w:rsidRPr="00DC1A5F">
        <w:t xml:space="preserve">”; del mismo modo, el proceso de renacimiento en sí mismo, como devenir, corresponderá al “proceso del devenir de renacimiento”. Y aquí, el renacimiento corresponderá a un devenir ya que devendrá; pero así como se dice “El surgimiento de los </w:t>
      </w:r>
      <w:r w:rsidRPr="00DC1A5F">
        <w:rPr>
          <w:i/>
        </w:rPr>
        <w:t>Buddha</w:t>
      </w:r>
      <w:r w:rsidRPr="00DC1A5F">
        <w:t>s es dicha” (</w:t>
      </w:r>
      <w:proofErr w:type="spellStart"/>
      <w:r w:rsidRPr="00DC1A5F">
        <w:t>Dhp</w:t>
      </w:r>
      <w:proofErr w:type="spellEnd"/>
      <w:r w:rsidRPr="00DC1A5F">
        <w:t xml:space="preserve"> 194) porque causa dicha, aquí también el </w:t>
      </w:r>
      <w:proofErr w:type="spellStart"/>
      <w:r w:rsidRPr="00DC1A5F">
        <w:rPr>
          <w:i/>
        </w:rPr>
        <w:t>kamma</w:t>
      </w:r>
      <w:proofErr w:type="spellEnd"/>
      <w:r w:rsidRPr="00DC1A5F">
        <w:t xml:space="preserve"> deberá entenderse como “devenir”, usando el término ordinario para su efecto, ya que causará </w:t>
      </w:r>
      <w:r w:rsidRPr="00DC1A5F">
        <w:rPr>
          <w:color w:val="833C0B" w:themeColor="accent2" w:themeShade="80"/>
        </w:rPr>
        <w:t xml:space="preserve">o producirá </w:t>
      </w:r>
      <w:r w:rsidRPr="00DC1A5F">
        <w:t>un devenir. Así, en primer lugar, es cómo deberá entenderse aquí la exposición “en cuanto al significado”.</w:t>
      </w:r>
    </w:p>
    <w:p w14:paraId="598811F3" w14:textId="77777777" w:rsidR="00597DE2" w:rsidRPr="00DC1A5F" w:rsidRDefault="00597DE2" w:rsidP="00597DE2">
      <w:r w:rsidRPr="00DC1A5F">
        <w:t xml:space="preserve">251. </w:t>
      </w:r>
      <w:r w:rsidRPr="00DC1A5F">
        <w:tab/>
        <w:t xml:space="preserve">2. </w:t>
      </w:r>
      <w:r w:rsidRPr="00DC1A5F">
        <w:rPr>
          <w:i/>
          <w:iCs/>
        </w:rPr>
        <w:t>En cuanto a su estado</w:t>
      </w:r>
      <w:r w:rsidRPr="00DC1A5F">
        <w:t xml:space="preserve">: en primer lugar, el devenir del proceso </w:t>
      </w:r>
      <w:proofErr w:type="spellStart"/>
      <w:r w:rsidRPr="00DC1A5F">
        <w:rPr>
          <w:i/>
        </w:rPr>
        <w:t>kammico</w:t>
      </w:r>
      <w:proofErr w:type="spellEnd"/>
      <w:r w:rsidRPr="00DC1A5F">
        <w:t>, en resumen, corresponderá tanto a la volición como a los estados de codicia, etc., asociados con la volición y considerados también</w:t>
      </w:r>
      <w:r w:rsidRPr="00DC1A5F">
        <w:rPr>
          <w:i/>
        </w:rPr>
        <w:t xml:space="preserve"> </w:t>
      </w:r>
      <w:r w:rsidRPr="00DC1A5F">
        <w:rPr>
          <w:iCs/>
        </w:rPr>
        <w:t>como</w:t>
      </w:r>
      <w:r w:rsidRPr="00DC1A5F">
        <w:rPr>
          <w:i/>
        </w:rPr>
        <w:t xml:space="preserve"> </w:t>
      </w:r>
      <w:proofErr w:type="spellStart"/>
      <w:r w:rsidRPr="00DC1A5F">
        <w:rPr>
          <w:i/>
        </w:rPr>
        <w:t>kamma</w:t>
      </w:r>
      <w:proofErr w:type="spellEnd"/>
      <w:r w:rsidRPr="00DC1A5F">
        <w:t>, según se dice al respecto: “Aquí, ¿qué significa el devenir</w:t>
      </w:r>
      <w:r w:rsidRPr="00DC1A5F">
        <w:rPr>
          <w:i/>
        </w:rPr>
        <w:t xml:space="preserve"> </w:t>
      </w:r>
      <w:r w:rsidRPr="00DC1A5F">
        <w:t>del proceso</w:t>
      </w:r>
      <w:r w:rsidRPr="00DC1A5F">
        <w:rPr>
          <w:i/>
        </w:rPr>
        <w:t xml:space="preserve"> </w:t>
      </w:r>
      <w:proofErr w:type="spellStart"/>
      <w:r w:rsidRPr="00DC1A5F">
        <w:rPr>
          <w:i/>
        </w:rPr>
        <w:t>kammico</w:t>
      </w:r>
      <w:proofErr w:type="spellEnd"/>
      <w:r w:rsidRPr="00DC1A5F">
        <w:t xml:space="preserve">? La conformación de méritos, la conformación de deméritos, la conformación de lo </w:t>
      </w:r>
      <w:proofErr w:type="gramStart"/>
      <w:r w:rsidRPr="00DC1A5F">
        <w:t>imperturbable,</w:t>
      </w:r>
      <w:proofErr w:type="gramEnd"/>
      <w:r w:rsidRPr="00DC1A5F">
        <w:t xml:space="preserve"> ya sea con un plano pequeño (limitado) o con un plano grande (excelso): a eso se le denominará devenir</w:t>
      </w:r>
      <w:r w:rsidRPr="00DC1A5F">
        <w:rPr>
          <w:i/>
        </w:rPr>
        <w:t xml:space="preserve"> </w:t>
      </w:r>
      <w:r w:rsidRPr="00DC1A5F">
        <w:t>del proceso</w:t>
      </w:r>
      <w:r w:rsidRPr="00DC1A5F">
        <w:rPr>
          <w:i/>
        </w:rPr>
        <w:t xml:space="preserve"> </w:t>
      </w:r>
      <w:proofErr w:type="spellStart"/>
      <w:r w:rsidRPr="00DC1A5F">
        <w:rPr>
          <w:i/>
        </w:rPr>
        <w:t>kammico</w:t>
      </w:r>
      <w:proofErr w:type="spellEnd"/>
      <w:r w:rsidRPr="00DC1A5F">
        <w:t xml:space="preserve">. También a todo el </w:t>
      </w:r>
      <w:proofErr w:type="spellStart"/>
      <w:r w:rsidRPr="00DC1A5F">
        <w:rPr>
          <w:i/>
        </w:rPr>
        <w:t>kamma</w:t>
      </w:r>
      <w:proofErr w:type="spellEnd"/>
      <w:r w:rsidRPr="00DC1A5F">
        <w:t xml:space="preserve"> que conducirá hacia al devenir se le llamará devenir</w:t>
      </w:r>
      <w:r w:rsidRPr="00DC1A5F">
        <w:rPr>
          <w:i/>
        </w:rPr>
        <w:t xml:space="preserve"> </w:t>
      </w:r>
      <w:r w:rsidRPr="00DC1A5F">
        <w:t>del proceso</w:t>
      </w:r>
      <w:r w:rsidRPr="00DC1A5F">
        <w:rPr>
          <w:i/>
        </w:rPr>
        <w:t xml:space="preserve"> </w:t>
      </w:r>
      <w:proofErr w:type="spellStart"/>
      <w:r w:rsidRPr="00DC1A5F">
        <w:rPr>
          <w:i/>
        </w:rPr>
        <w:t>kammico</w:t>
      </w:r>
      <w:proofErr w:type="spellEnd"/>
      <w:r w:rsidRPr="00DC1A5F">
        <w:t>” (</w:t>
      </w:r>
      <w:proofErr w:type="spellStart"/>
      <w:r w:rsidRPr="00DC1A5F">
        <w:t>Vibh</w:t>
      </w:r>
      <w:proofErr w:type="spellEnd"/>
      <w:r w:rsidRPr="00DC1A5F">
        <w:t xml:space="preserve"> 137).</w:t>
      </w:r>
    </w:p>
    <w:p w14:paraId="54257B4E" w14:textId="77777777" w:rsidR="00597DE2" w:rsidRPr="00DC1A5F" w:rsidRDefault="00597DE2" w:rsidP="00597DE2">
      <w:pPr>
        <w:pStyle w:val="Textoindependiente"/>
      </w:pPr>
      <w:r w:rsidRPr="00DC1A5F">
        <w:t xml:space="preserve">252. </w:t>
      </w:r>
      <w:r w:rsidRPr="00DC1A5F">
        <w:tab/>
        <w:t xml:space="preserve">Aquí la conformación de méritos corresponderá, en términos de estados, a las 13 clases de volición ((1)–(13)), la conformación de deméritos a las 12 clases de volición ((22)–(33)), y la conformación de lo imperturbable a las 4 clases de volición ((14)–(17)). Entonces con las palabras </w:t>
      </w:r>
      <w:r w:rsidRPr="00DC1A5F">
        <w:rPr>
          <w:i/>
          <w:iCs/>
        </w:rPr>
        <w:t>ya sea con un plano pequeño (limitado) o con un plano grande (excelso)</w:t>
      </w:r>
      <w:r w:rsidRPr="00DC1A5F">
        <w:t xml:space="preserve"> se expresará aquí la insignificancia o magnitud del resultado de estas mismas voliciones. No obstante, con las palabras se expresa tam</w:t>
      </w:r>
      <w:r w:rsidRPr="00DC1A5F">
        <w:rPr>
          <w:i/>
          <w:iCs/>
        </w:rPr>
        <w:t xml:space="preserve">bién todo el </w:t>
      </w:r>
      <w:proofErr w:type="spellStart"/>
      <w:r w:rsidRPr="00DC1A5F">
        <w:rPr>
          <w:i/>
          <w:iCs/>
        </w:rPr>
        <w:t>kamma</w:t>
      </w:r>
      <w:proofErr w:type="spellEnd"/>
      <w:r w:rsidRPr="00DC1A5F">
        <w:rPr>
          <w:i/>
          <w:iCs/>
        </w:rPr>
        <w:t xml:space="preserve"> que conduce hacia el devenir de </w:t>
      </w:r>
      <w:r w:rsidRPr="00DC1A5F">
        <w:t>la codicia, etc., asociada con la volición.</w:t>
      </w:r>
    </w:p>
    <w:p w14:paraId="3CF84BFC" w14:textId="77777777" w:rsidR="00597DE2" w:rsidRPr="00DC1A5F" w:rsidRDefault="00597DE2" w:rsidP="00597DE2">
      <w:r w:rsidRPr="00DC1A5F">
        <w:t xml:space="preserve">253. </w:t>
      </w:r>
      <w:r w:rsidRPr="00DC1A5F">
        <w:tab/>
        <w:t xml:space="preserve">El devenir del proceso de renacimiento, en resumen, corresponderá a los agregados generados por el </w:t>
      </w:r>
      <w:proofErr w:type="spellStart"/>
      <w:r w:rsidRPr="00DC1A5F">
        <w:rPr>
          <w:i/>
        </w:rPr>
        <w:t>kamma</w:t>
      </w:r>
      <w:proofErr w:type="spellEnd"/>
      <w:r w:rsidRPr="00DC1A5F">
        <w:t>. Será de 9 tipos, se dice al respecto: “Aquí, ¿qué significa el devenir del proceso de renacimiento? El devenir del deseo sensorial, el devenir material sutil, el devenir inmaterial, el devenir percipiente, el devenir no–percipiente, el devenir ni–percipiente–ni–no–percipiente, el devenir de un constituyente, [572] el devenir de 4 constituyentes, el devenir de 5 constituyentes: a esto se le denominará el devenir del proceso de renacimiento” (</w:t>
      </w:r>
      <w:proofErr w:type="spellStart"/>
      <w:r w:rsidRPr="00DC1A5F">
        <w:t>Vibh</w:t>
      </w:r>
      <w:proofErr w:type="spellEnd"/>
      <w:r w:rsidRPr="00DC1A5F">
        <w:t xml:space="preserve"> 17).</w:t>
      </w:r>
    </w:p>
    <w:p w14:paraId="1C87C490" w14:textId="77777777" w:rsidR="00597DE2" w:rsidRPr="00DC1A5F" w:rsidRDefault="00597DE2" w:rsidP="00597DE2">
      <w:r w:rsidRPr="00DC1A5F">
        <w:t xml:space="preserve">254. </w:t>
      </w:r>
      <w:r w:rsidRPr="00DC1A5F">
        <w:tab/>
        <w:t xml:space="preserve">Aquí, el tipo de devenir considerado “poseedor de deseos sensoriales” corresponderá al </w:t>
      </w:r>
      <w:r w:rsidRPr="00DC1A5F">
        <w:rPr>
          <w:i/>
          <w:iCs/>
        </w:rPr>
        <w:t>devenir del deseo sensorial</w:t>
      </w:r>
      <w:r w:rsidRPr="00DC1A5F">
        <w:t xml:space="preserve">. De manera similar será con los tipos de devenir </w:t>
      </w:r>
      <w:r w:rsidRPr="00DC1A5F">
        <w:rPr>
          <w:i/>
          <w:iCs/>
        </w:rPr>
        <w:t>material sutil e inmaterial</w:t>
      </w:r>
      <w:r w:rsidRPr="00DC1A5F">
        <w:t xml:space="preserve">. El devenir de los que posean percepción, o donde haya percepción en algún devenir, corresponderá por tanto al </w:t>
      </w:r>
      <w:r w:rsidRPr="00DC1A5F">
        <w:rPr>
          <w:i/>
          <w:iCs/>
        </w:rPr>
        <w:t>devenir percipiente</w:t>
      </w:r>
      <w:r w:rsidRPr="00DC1A5F">
        <w:t xml:space="preserve">. El tipo opuesto corresponderá al </w:t>
      </w:r>
      <w:r w:rsidRPr="00DC1A5F">
        <w:rPr>
          <w:i/>
          <w:iCs/>
        </w:rPr>
        <w:t xml:space="preserve">devenir no–percipiente. </w:t>
      </w:r>
      <w:r w:rsidRPr="00DC1A5F">
        <w:br w:type="page"/>
      </w:r>
    </w:p>
    <w:p w14:paraId="1F8C7CC4" w14:textId="77777777" w:rsidR="00597DE2" w:rsidRPr="00DC1A5F" w:rsidRDefault="00597DE2" w:rsidP="00597DE2">
      <w:pPr>
        <w:pStyle w:val="Textoindependiente"/>
      </w:pPr>
      <w:r w:rsidRPr="00DC1A5F">
        <w:lastRenderedPageBreak/>
        <w:t xml:space="preserve">Debido a la ausencia de percepción burda y a la presencia de percepción sutil, no existirá ni–percepción–ni–no–percepción en ese tipo de devenir, por lo tanto, corresponderá a un </w:t>
      </w:r>
      <w:r w:rsidRPr="00DC1A5F">
        <w:rPr>
          <w:i/>
          <w:iCs/>
        </w:rPr>
        <w:t>devenir no</w:t>
      </w:r>
      <w:r w:rsidRPr="00DC1A5F">
        <w:t>–</w:t>
      </w:r>
      <w:r w:rsidRPr="00DC1A5F">
        <w:rPr>
          <w:i/>
          <w:iCs/>
        </w:rPr>
        <w:t>percipiente</w:t>
      </w:r>
      <w:r w:rsidRPr="00DC1A5F">
        <w:t>–</w:t>
      </w:r>
      <w:r w:rsidRPr="00DC1A5F">
        <w:rPr>
          <w:i/>
          <w:iCs/>
        </w:rPr>
        <w:t>ni</w:t>
      </w:r>
      <w:r w:rsidRPr="00DC1A5F">
        <w:t>–</w:t>
      </w:r>
      <w:r w:rsidRPr="00DC1A5F">
        <w:rPr>
          <w:i/>
          <w:iCs/>
        </w:rPr>
        <w:t>no</w:t>
      </w:r>
      <w:r w:rsidRPr="00DC1A5F">
        <w:t>–</w:t>
      </w:r>
      <w:r w:rsidRPr="00DC1A5F">
        <w:rPr>
          <w:i/>
          <w:iCs/>
        </w:rPr>
        <w:t>percipiente</w:t>
      </w:r>
      <w:r w:rsidRPr="00DC1A5F">
        <w:t xml:space="preserve">. El devenir a partir del agregado de únicamente materialidad, será por lo tanto, un </w:t>
      </w:r>
      <w:r w:rsidRPr="00DC1A5F">
        <w:rPr>
          <w:i/>
          <w:iCs/>
        </w:rPr>
        <w:t>devenir de un solo constituyente</w:t>
      </w:r>
      <w:r w:rsidRPr="00DC1A5F">
        <w:t xml:space="preserve">, o ese tipo de devenir poseerá sólo un constituyente, el agregado de la materialidad o la dimensión, por lo tanto, corresponderá a un devenir de un solo constituyente. Y de manera similar, con el devenir de </w:t>
      </w:r>
      <w:r w:rsidRPr="00DC1A5F">
        <w:rPr>
          <w:i/>
          <w:iCs/>
        </w:rPr>
        <w:t>4 constituyentes</w:t>
      </w:r>
      <w:r w:rsidRPr="00DC1A5F">
        <w:t xml:space="preserve"> [poseerá cuatro agregados mentales, o dimensiones] y el devenir de los </w:t>
      </w:r>
      <w:r w:rsidRPr="00DC1A5F">
        <w:rPr>
          <w:i/>
          <w:iCs/>
        </w:rPr>
        <w:t>5 constituyentes</w:t>
      </w:r>
      <w:r w:rsidRPr="00DC1A5F">
        <w:t xml:space="preserve"> [poseerá el agregado material y los 4 agregados mentales, o dimensiones].</w:t>
      </w:r>
    </w:p>
    <w:p w14:paraId="6B9B245F" w14:textId="77777777" w:rsidR="00597DE2" w:rsidRPr="00DC1A5F" w:rsidRDefault="00597DE2" w:rsidP="00597DE2">
      <w:r w:rsidRPr="00DC1A5F">
        <w:t xml:space="preserve">255. </w:t>
      </w:r>
      <w:r w:rsidRPr="00DC1A5F">
        <w:tab/>
        <w:t xml:space="preserve">Al respecto, el devenir del deseo sensorial corresponderá a los 5 agregados adquiridos a través del (apego hacia </w:t>
      </w:r>
      <w:proofErr w:type="spellStart"/>
      <w:r w:rsidRPr="00DC1A5F">
        <w:t>el</w:t>
      </w:r>
      <w:proofErr w:type="spellEnd"/>
      <w:r w:rsidRPr="00DC1A5F">
        <w:t xml:space="preserve">) </w:t>
      </w:r>
      <w:proofErr w:type="spellStart"/>
      <w:r w:rsidRPr="00DC1A5F">
        <w:rPr>
          <w:i/>
        </w:rPr>
        <w:t>kamma</w:t>
      </w:r>
      <w:proofErr w:type="spellEnd"/>
      <w:r w:rsidRPr="00DC1A5F">
        <w:t xml:space="preserve">. Del mismo modo, el devenir material sutil. El devenir inmaterial se constituye de 4 agregados. El devenir se constituirá de 4 y 5 agregados. El devenir no–percipiente de 1 agregado el cual se adquirirá a través del (apego hacia </w:t>
      </w:r>
      <w:proofErr w:type="spellStart"/>
      <w:r w:rsidRPr="00DC1A5F">
        <w:t>el</w:t>
      </w:r>
      <w:proofErr w:type="spellEnd"/>
      <w:r w:rsidRPr="00DC1A5F">
        <w:t xml:space="preserve">) </w:t>
      </w:r>
      <w:proofErr w:type="spellStart"/>
      <w:r w:rsidRPr="00DC1A5F">
        <w:rPr>
          <w:i/>
        </w:rPr>
        <w:t>kamma</w:t>
      </w:r>
      <w:proofErr w:type="spellEnd"/>
      <w:r w:rsidRPr="00DC1A5F">
        <w:t xml:space="preserve">. El devenir no–percipiente–ni–no–percipiente se constituirá de 4 agregados. El devenir de 1 constituyente, etc., serán, respectivamente, de 1, 4 y 5 agregados como agregados que se habrán adquirido a través del (apego hacia </w:t>
      </w:r>
      <w:proofErr w:type="spellStart"/>
      <w:r w:rsidRPr="00DC1A5F">
        <w:t>el</w:t>
      </w:r>
      <w:proofErr w:type="spellEnd"/>
      <w:r w:rsidRPr="00DC1A5F">
        <w:t xml:space="preserve">) </w:t>
      </w:r>
      <w:proofErr w:type="spellStart"/>
      <w:r w:rsidRPr="00DC1A5F">
        <w:rPr>
          <w:i/>
        </w:rPr>
        <w:t>kamma</w:t>
      </w:r>
      <w:proofErr w:type="spellEnd"/>
      <w:r w:rsidRPr="00DC1A5F">
        <w:t>. Así deberá ser conocida aquí la exposición “en cuanto a su estado”.</w:t>
      </w:r>
    </w:p>
    <w:p w14:paraId="39CF410E" w14:textId="77777777" w:rsidR="00597DE2" w:rsidRPr="00DC1A5F" w:rsidRDefault="00597DE2" w:rsidP="00597DE2">
      <w:r w:rsidRPr="00DC1A5F">
        <w:t xml:space="preserve">256. </w:t>
      </w:r>
      <w:r w:rsidRPr="00DC1A5F">
        <w:tab/>
        <w:t xml:space="preserve">3. </w:t>
      </w:r>
      <w:r w:rsidRPr="00DC1A5F">
        <w:rPr>
          <w:i/>
          <w:iCs/>
        </w:rPr>
        <w:t>En cuanto al propósito</w:t>
      </w:r>
      <w:r w:rsidRPr="00DC1A5F">
        <w:t xml:space="preserve">: aunque la conformación de méritos, etc., por supuesto se trate de la misma manera en la descripción del devenir y en la descripción de las formaciones (ver </w:t>
      </w:r>
      <w:proofErr w:type="spellStart"/>
      <w:r w:rsidRPr="00DC1A5F">
        <w:t>Vibh</w:t>
      </w:r>
      <w:proofErr w:type="spellEnd"/>
      <w:r w:rsidRPr="00DC1A5F">
        <w:t xml:space="preserve"> 135, 137), no obstante, la repetición tiene un propósito. Ya que en el caso de las formaciones fue porque la conformación de méritos era una condición, como un </w:t>
      </w:r>
      <w:proofErr w:type="spellStart"/>
      <w:r w:rsidRPr="00DC1A5F">
        <w:rPr>
          <w:i/>
        </w:rPr>
        <w:t>kamma</w:t>
      </w:r>
      <w:proofErr w:type="spellEnd"/>
      <w:r w:rsidRPr="00DC1A5F">
        <w:t xml:space="preserve"> pasado, para el vínculo–de–renacimiento en el presente devenir, mientras que en el segundo caso era porque será una condición, como un </w:t>
      </w:r>
      <w:proofErr w:type="spellStart"/>
      <w:r w:rsidRPr="00DC1A5F">
        <w:rPr>
          <w:i/>
        </w:rPr>
        <w:t>kamma</w:t>
      </w:r>
      <w:proofErr w:type="spellEnd"/>
      <w:r w:rsidRPr="00DC1A5F">
        <w:t xml:space="preserve"> presente, para el vínculo–de–renacimiento de un futuro devenir. O, alternativamente, en el primer caso, en el pasaje que comienza con “Al respecto, ¿qué es la conformación de méritos? Es la volición productiva de la esfera sensorial” (</w:t>
      </w:r>
      <w:proofErr w:type="spellStart"/>
      <w:r w:rsidRPr="00DC1A5F">
        <w:t>Vibh</w:t>
      </w:r>
      <w:proofErr w:type="spellEnd"/>
      <w:r w:rsidRPr="00DC1A5F">
        <w:t xml:space="preserve"> 135), solo a las voliciones se les llamaron “formaciones”; pero aquí, con las palabras “Todo </w:t>
      </w:r>
      <w:proofErr w:type="spellStart"/>
      <w:r w:rsidRPr="00DC1A5F">
        <w:rPr>
          <w:i/>
        </w:rPr>
        <w:t>kamma</w:t>
      </w:r>
      <w:proofErr w:type="spellEnd"/>
      <w:r w:rsidRPr="00DC1A5F">
        <w:t xml:space="preserve"> que conduzca al devenir” (</w:t>
      </w:r>
      <w:proofErr w:type="spellStart"/>
      <w:r w:rsidRPr="00DC1A5F">
        <w:t>Vibh</w:t>
      </w:r>
      <w:proofErr w:type="spellEnd"/>
      <w:r w:rsidRPr="00DC1A5F">
        <w:t xml:space="preserve"> 137), también se incluirán los estados asociados con la volición. Y en el primer caso, solo al </w:t>
      </w:r>
      <w:proofErr w:type="spellStart"/>
      <w:r w:rsidRPr="00DC1A5F">
        <w:rPr>
          <w:i/>
        </w:rPr>
        <w:t>kamma</w:t>
      </w:r>
      <w:proofErr w:type="spellEnd"/>
      <w:r w:rsidRPr="00DC1A5F">
        <w:t xml:space="preserve"> como condición para la consciencia se le llamó “formaciones”; pero ahora también se </w:t>
      </w:r>
      <w:proofErr w:type="spellStart"/>
      <w:r w:rsidRPr="00DC1A5F">
        <w:t>incluir+a</w:t>
      </w:r>
      <w:proofErr w:type="spellEnd"/>
      <w:r w:rsidRPr="00DC1A5F">
        <w:t xml:space="preserve"> a lo que genere un devenir no–</w:t>
      </w:r>
      <w:proofErr w:type="spellStart"/>
      <w:r w:rsidRPr="00DC1A5F">
        <w:t>percepiente</w:t>
      </w:r>
      <w:proofErr w:type="spellEnd"/>
      <w:r w:rsidRPr="00DC1A5F">
        <w:t>.</w:t>
      </w:r>
    </w:p>
    <w:p w14:paraId="5EFF8954" w14:textId="77777777" w:rsidR="00597DE2" w:rsidRPr="00DC1A5F" w:rsidRDefault="00597DE2" w:rsidP="00597DE2">
      <w:r w:rsidRPr="00DC1A5F">
        <w:t xml:space="preserve">257. </w:t>
      </w:r>
      <w:r w:rsidRPr="00DC1A5F">
        <w:tab/>
        <w:t>No obstante, ¿por qué tantas palabras? En la cláusula “Con la ignorancia como condición se origina las formaciones”, sólo se expresan como conformación de méritos los estados productivos e improductivos, etc.; pero en la cláusula “Con el apego como condición, se origina el devenir”, se expresan estados productivos, improductivos y también funcionales debido a la inclusión del devenir en el proceso de renacimiento. Entonces esta repetición tiene un propósito en cada caso. Así es como la exposición debe ser conocida “en cuanto al propósito aquí”.</w:t>
      </w:r>
    </w:p>
    <w:p w14:paraId="0C445427" w14:textId="77777777" w:rsidR="00597DE2" w:rsidRPr="00DC1A5F" w:rsidRDefault="00597DE2" w:rsidP="00597DE2">
      <w:r w:rsidRPr="00DC1A5F">
        <w:t xml:space="preserve">258. </w:t>
      </w:r>
      <w:r w:rsidRPr="00DC1A5F">
        <w:tab/>
        <w:t xml:space="preserve">4. </w:t>
      </w:r>
      <w:r w:rsidRPr="00DC1A5F">
        <w:rPr>
          <w:i/>
          <w:iCs/>
        </w:rPr>
        <w:t>En cuanto al análisis</w:t>
      </w:r>
      <w:r w:rsidRPr="00DC1A5F">
        <w:t xml:space="preserve">, </w:t>
      </w:r>
      <w:r w:rsidRPr="00DC1A5F">
        <w:rPr>
          <w:i/>
          <w:iCs/>
        </w:rPr>
        <w:t>síntesis</w:t>
      </w:r>
      <w:r w:rsidRPr="00DC1A5F">
        <w:t xml:space="preserve"> significa tanto el análisis como la síntesis del devenir que tenga como condición al apego. El </w:t>
      </w:r>
      <w:proofErr w:type="spellStart"/>
      <w:r w:rsidRPr="00DC1A5F">
        <w:rPr>
          <w:i/>
        </w:rPr>
        <w:t>kamma</w:t>
      </w:r>
      <w:proofErr w:type="spellEnd"/>
      <w:r w:rsidRPr="00DC1A5F">
        <w:t xml:space="preserve"> con el apego al deseo sensorial como su condición que realice y genere devenir del deseo sensorial corresponderá al “devenir del proceso </w:t>
      </w:r>
      <w:proofErr w:type="spellStart"/>
      <w:r w:rsidRPr="00DC1A5F">
        <w:rPr>
          <w:i/>
        </w:rPr>
        <w:t>kammico</w:t>
      </w:r>
      <w:proofErr w:type="spellEnd"/>
      <w:r w:rsidRPr="00DC1A5F">
        <w:t xml:space="preserve">”. Los agregados generados por ello corresponderán al “devenir del proceso de renacimiento”; análogamente en el caso del devenir material e inmaterial. De modo que [573] existirán dos tipos de devenir del deseo sensorial con apego al deseo sensorial como su condición, entre los cuales se incluirán el devenir percipiente y el devenir de los 5 constituyentes. Y existirán 2 tipos de devenir material sutil, entre los que se encontrarán el devenir percipiente, no–percipiente, de 1 constituyente y de 5 constituyentes. Además, existen 2 tipos de devenir inmaterial, entre los que se </w:t>
      </w:r>
    </w:p>
    <w:p w14:paraId="345D2094" w14:textId="77777777" w:rsidR="00597DE2" w:rsidRPr="00DC1A5F" w:rsidRDefault="00597DE2" w:rsidP="00597DE2">
      <w:pPr>
        <w:tabs>
          <w:tab w:val="clear" w:pos="425"/>
        </w:tabs>
        <w:spacing w:after="160"/>
      </w:pPr>
      <w:r w:rsidRPr="00DC1A5F">
        <w:br w:type="page"/>
      </w:r>
    </w:p>
    <w:p w14:paraId="73B7A162" w14:textId="77777777" w:rsidR="00597DE2" w:rsidRPr="00DC1A5F" w:rsidRDefault="00597DE2" w:rsidP="00597DE2">
      <w:pPr>
        <w:pStyle w:val="Textoindependiente"/>
      </w:pPr>
      <w:r w:rsidRPr="00DC1A5F">
        <w:lastRenderedPageBreak/>
        <w:t>encuentran el devenir percipiente, el devenir ni–percipiente –ni–no–percipiente, y el devenir de 4 constituyentes. Entonces, junto con lo que ellos incluyan, existirán 6 clases de devenir con apego al deseo sensorial como condición. Del mismo modo también con los 3 tipos restantes de apego como condición. Así, en cuanto al análisis, existirán, junto con lo que ellos incluyan, 24 tipos de devenir con el apego como su condición.</w:t>
      </w:r>
    </w:p>
    <w:p w14:paraId="66B721B6" w14:textId="77777777" w:rsidR="00597DE2" w:rsidRPr="00DC1A5F" w:rsidRDefault="00597DE2" w:rsidP="00597DE2">
      <w:r w:rsidRPr="00DC1A5F">
        <w:t xml:space="preserve">259. </w:t>
      </w:r>
      <w:r w:rsidRPr="00DC1A5F">
        <w:tab/>
        <w:t xml:space="preserve">5. </w:t>
      </w:r>
      <w:r w:rsidRPr="00DC1A5F">
        <w:rPr>
          <w:i/>
          <w:iCs/>
        </w:rPr>
        <w:t>En cuanto a la síntesis</w:t>
      </w:r>
      <w:r w:rsidRPr="00DC1A5F">
        <w:t>, sin embargo, al unir el devenir</w:t>
      </w:r>
      <w:r w:rsidRPr="00DC1A5F">
        <w:rPr>
          <w:i/>
        </w:rPr>
        <w:t xml:space="preserve"> </w:t>
      </w:r>
      <w:r w:rsidRPr="00DC1A5F">
        <w:t>del proceso</w:t>
      </w:r>
      <w:r w:rsidRPr="00DC1A5F">
        <w:rPr>
          <w:i/>
        </w:rPr>
        <w:t xml:space="preserve"> </w:t>
      </w:r>
      <w:proofErr w:type="spellStart"/>
      <w:r w:rsidRPr="00DC1A5F">
        <w:rPr>
          <w:i/>
        </w:rPr>
        <w:t>kammico</w:t>
      </w:r>
      <w:proofErr w:type="spellEnd"/>
      <w:r w:rsidRPr="00DC1A5F">
        <w:rPr>
          <w:i/>
        </w:rPr>
        <w:t xml:space="preserve"> </w:t>
      </w:r>
      <w:r w:rsidRPr="00DC1A5F">
        <w:t>y el devenir del proceso de renacimiento, existirán, junto con lo que estos incluyan, un tipo de devenir del deseo sensorial con el apego al deseo sensorial como su condición. De manera similar con el devenir material e inmaterial. Así que existirán 3 tipos de devenir. Y de manera similar con los restantes 3 tipos de apego como su condición. Entonces, mediante la síntesis, existirán, junto con lo que ellos incluyan, 12 tipos de devenir con el apego como su condición.</w:t>
      </w:r>
    </w:p>
    <w:p w14:paraId="1A953FBA" w14:textId="77777777" w:rsidR="00597DE2" w:rsidRPr="00DC1A5F" w:rsidRDefault="00597DE2" w:rsidP="00597DE2">
      <w:r w:rsidRPr="00DC1A5F">
        <w:t xml:space="preserve">260. </w:t>
      </w:r>
      <w:r w:rsidRPr="00DC1A5F">
        <w:tab/>
        <w:t xml:space="preserve">Además, sin distinción el </w:t>
      </w:r>
      <w:proofErr w:type="spellStart"/>
      <w:r w:rsidRPr="00DC1A5F">
        <w:rPr>
          <w:i/>
        </w:rPr>
        <w:t>kamma</w:t>
      </w:r>
      <w:proofErr w:type="spellEnd"/>
      <w:r w:rsidRPr="00DC1A5F">
        <w:t xml:space="preserve"> con apego como su condición que alcance el devenir del deseo sensorial corresponderá al devenir del proceso </w:t>
      </w:r>
      <w:proofErr w:type="spellStart"/>
      <w:r w:rsidRPr="00DC1A5F">
        <w:rPr>
          <w:i/>
        </w:rPr>
        <w:t>kammico</w:t>
      </w:r>
      <w:proofErr w:type="spellEnd"/>
      <w:r w:rsidRPr="00DC1A5F">
        <w:t xml:space="preserve">. Los agregados generados por ello corresponderán al devenir del proceso de renacimiento. Del mismo modo, en el devenir material sutil e inmaterial. De modo que, junto con lo que estos incluyan, existirán 2 tipos de devenires del deseo sensorial, 2 tipos de devenir material sutil y 2 tipos de devenir inmaterial. Entonces, en síntesis, existirán 6 tipos de devenir por este otro método. O nuevamente, sin hacer la división del devenir del proceso </w:t>
      </w:r>
      <w:proofErr w:type="spellStart"/>
      <w:r w:rsidRPr="00DC1A5F">
        <w:rPr>
          <w:i/>
        </w:rPr>
        <w:t>kammico</w:t>
      </w:r>
      <w:proofErr w:type="spellEnd"/>
      <w:r w:rsidRPr="00DC1A5F">
        <w:t xml:space="preserve"> y del devenir del proceso de renacimiento, existirán, junto con lo que éstos incluyan, 3 tipos de devenir como devenir del deseo sensorial, etc. O de nuevo, sin hacer la división en devenir de deseo sensorial, etc., existirán, junto con lo que éstos incluyan, 2 tipos de devenir, como devenir del proceso </w:t>
      </w:r>
      <w:proofErr w:type="spellStart"/>
      <w:r w:rsidRPr="00DC1A5F">
        <w:rPr>
          <w:i/>
        </w:rPr>
        <w:t>kammico</w:t>
      </w:r>
      <w:proofErr w:type="spellEnd"/>
      <w:r w:rsidRPr="00DC1A5F">
        <w:t xml:space="preserve"> y devenir del proceso de renacimiento. Y también, sin hacer la división en un proceso </w:t>
      </w:r>
      <w:proofErr w:type="spellStart"/>
      <w:r w:rsidRPr="00DC1A5F">
        <w:rPr>
          <w:i/>
        </w:rPr>
        <w:t>kammico</w:t>
      </w:r>
      <w:proofErr w:type="spellEnd"/>
      <w:r w:rsidRPr="00DC1A5F">
        <w:t xml:space="preserve"> y un proceso de renacimiento, según las palabras “Con el apego como condición, se origina el devenir”, sólo existirá 1 tipo de devenir.</w:t>
      </w:r>
    </w:p>
    <w:p w14:paraId="6ABA78AB" w14:textId="77777777" w:rsidR="00597DE2" w:rsidRPr="00DC1A5F" w:rsidRDefault="00597DE2" w:rsidP="00597DE2">
      <w:pPr>
        <w:pStyle w:val="NormalConSangria"/>
      </w:pPr>
      <w:r w:rsidRPr="00DC1A5F">
        <w:t>Así debe ser entendido aquí la exposición del devenir con el apego como su condición “en cuanto al análisis y su síntesis”.</w:t>
      </w:r>
    </w:p>
    <w:p w14:paraId="0EB41782" w14:textId="77777777" w:rsidR="00597DE2" w:rsidRPr="00DC1A5F" w:rsidRDefault="00597DE2" w:rsidP="00597DE2">
      <w:r w:rsidRPr="00DC1A5F">
        <w:t xml:space="preserve">261. </w:t>
      </w:r>
      <w:r w:rsidRPr="00DC1A5F">
        <w:tab/>
        <w:t xml:space="preserve">6. En cuanto a </w:t>
      </w:r>
      <w:r w:rsidRPr="00DC1A5F">
        <w:rPr>
          <w:i/>
          <w:iCs/>
        </w:rPr>
        <w:t>aquello por lo cual se convierta en condición</w:t>
      </w:r>
      <w:r w:rsidRPr="00DC1A5F">
        <w:t xml:space="preserve"> significa que aquí la exposición deberá ser entendida según qué tipo de apego será una condición para qué tipo de devenir. No obstante, ¿qué condición lo será para cuál aquí? Cualquier tipo de condición será una condición para cualquier tipo de devenir. Ya que el hombre ordinario es como un loco y sin considerar “¿Es esto correcto o no?” y aspirando por medio de cualquier tipo de apego hacia cualquier tipo de devenir, realizará cualquier tipo de </w:t>
      </w:r>
      <w:proofErr w:type="spellStart"/>
      <w:r w:rsidRPr="00DC1A5F">
        <w:rPr>
          <w:i/>
        </w:rPr>
        <w:t>kamma</w:t>
      </w:r>
      <w:proofErr w:type="spellEnd"/>
      <w:r w:rsidRPr="00DC1A5F">
        <w:t>. Por lo tanto, cuando algunos digan que los tipos de devenir material sutil e inmaterial no se producirán a través del apego hacia las reglas y los votos, eso no debería aceptarse: lo que debería aceptarse es que todos los tipos de devenir se producirán a través de todos los tipos de apego.</w:t>
      </w:r>
    </w:p>
    <w:p w14:paraId="2DF69278" w14:textId="77777777" w:rsidR="00597DE2" w:rsidRPr="00DC1A5F" w:rsidRDefault="00597DE2" w:rsidP="00597DE2">
      <w:r w:rsidRPr="00DC1A5F">
        <w:t xml:space="preserve">262. </w:t>
      </w:r>
      <w:r w:rsidRPr="00DC1A5F">
        <w:tab/>
        <w:t xml:space="preserve">Por ejemplo, alguien podría creer, </w:t>
      </w:r>
      <w:proofErr w:type="gramStart"/>
      <w:r w:rsidRPr="00DC1A5F">
        <w:t>de acuerdo a</w:t>
      </w:r>
      <w:proofErr w:type="gramEnd"/>
      <w:r w:rsidRPr="00DC1A5F">
        <w:t xml:space="preserve"> rumores o visiones incorrectas, que los deseos sensoriales se cumplen en el mundo humano entre las grandes familias guerreras (</w:t>
      </w:r>
      <w:proofErr w:type="spellStart"/>
      <w:r w:rsidRPr="00DC1A5F">
        <w:rPr>
          <w:i/>
          <w:iCs/>
        </w:rPr>
        <w:t>khattiya</w:t>
      </w:r>
      <w:proofErr w:type="spellEnd"/>
      <w:r w:rsidRPr="00DC1A5F">
        <w:t xml:space="preserve">), etc., o en los seis mundos divinos de la esfera sensorial. [574] Al engañarse así, escuchando doctrinas incorrectas, etc., e imaginando que “por este </w:t>
      </w:r>
      <w:proofErr w:type="spellStart"/>
      <w:r w:rsidRPr="00DC1A5F">
        <w:rPr>
          <w:i/>
        </w:rPr>
        <w:t>kamma</w:t>
      </w:r>
      <w:proofErr w:type="spellEnd"/>
      <w:r w:rsidRPr="00DC1A5F">
        <w:t xml:space="preserve"> los deseos sensoriales llegarán a cumplirse”, realizará acciones de mala conducta corporal, etc., con el propósito de alcanzarlos, a través del apego hacia los deseos sensoriales. Al cumplir con tal mala conducta, renacerá en los estados de perdición. O realizará actos de mala conducta corporal, etc., aspirando </w:t>
      </w:r>
      <w:r w:rsidRPr="00DC1A5F">
        <w:br w:type="page"/>
      </w:r>
    </w:p>
    <w:p w14:paraId="675DE0EE" w14:textId="77777777" w:rsidR="00597DE2" w:rsidRPr="00DC1A5F" w:rsidRDefault="00597DE2" w:rsidP="00597DE2"/>
    <w:p w14:paraId="178AF46A" w14:textId="77777777" w:rsidR="00597DE2" w:rsidRPr="00DC1A5F" w:rsidRDefault="00597DE2" w:rsidP="00597DE2">
      <w:pPr>
        <w:pStyle w:val="Textoindependiente"/>
      </w:pPr>
      <w:r w:rsidRPr="00DC1A5F">
        <w:t xml:space="preserve">a los deseos sensoriales visibles aquí y ahora, y protegiendo los que ya haya adquirido. Al cumplir con tal mala conducta, renacerá en estados de perdición. El </w:t>
      </w:r>
      <w:proofErr w:type="spellStart"/>
      <w:r w:rsidRPr="00DC1A5F">
        <w:rPr>
          <w:i/>
        </w:rPr>
        <w:t>kamma</w:t>
      </w:r>
      <w:proofErr w:type="spellEnd"/>
      <w:r w:rsidRPr="00DC1A5F">
        <w:t xml:space="preserve"> causante del renacimiento allí corresponderá al devenir del proceso </w:t>
      </w:r>
      <w:proofErr w:type="spellStart"/>
      <w:r w:rsidRPr="00DC1A5F">
        <w:rPr>
          <w:i/>
        </w:rPr>
        <w:t>kammico</w:t>
      </w:r>
      <w:proofErr w:type="spellEnd"/>
      <w:r w:rsidRPr="00DC1A5F">
        <w:t xml:space="preserve">. Los agregados generados por el </w:t>
      </w:r>
      <w:proofErr w:type="spellStart"/>
      <w:r w:rsidRPr="00DC1A5F">
        <w:rPr>
          <w:i/>
        </w:rPr>
        <w:t>kamma</w:t>
      </w:r>
      <w:proofErr w:type="spellEnd"/>
      <w:r w:rsidRPr="00DC1A5F">
        <w:t xml:space="preserve"> se estarán convirtiendo en un proceso de renacimiento. No obstante, el devenir percipiente y el devenir de los 5 constituyentes también estarán incluidos en ello.</w:t>
      </w:r>
    </w:p>
    <w:p w14:paraId="48CF33D7" w14:textId="77777777" w:rsidR="00597DE2" w:rsidRPr="00DC1A5F" w:rsidRDefault="00597DE2" w:rsidP="00597DE2">
      <w:pPr>
        <w:pStyle w:val="Textoindependiente"/>
      </w:pPr>
      <w:r w:rsidRPr="00DC1A5F">
        <w:t xml:space="preserve">263. </w:t>
      </w:r>
      <w:r w:rsidRPr="00DC1A5F">
        <w:tab/>
        <w:t xml:space="preserve">Otro, sin embargo, cuyo conocimiento se haya intensificado al escuchar el buen </w:t>
      </w:r>
      <w:r w:rsidRPr="00DC1A5F">
        <w:rPr>
          <w:i/>
        </w:rPr>
        <w:t>Dhamma</w:t>
      </w:r>
      <w:r w:rsidRPr="00DC1A5F">
        <w:t xml:space="preserve">, etc., imaginará que “mediante este tipo de </w:t>
      </w:r>
      <w:proofErr w:type="spellStart"/>
      <w:r w:rsidRPr="00DC1A5F">
        <w:rPr>
          <w:i/>
        </w:rPr>
        <w:t>kamma</w:t>
      </w:r>
      <w:proofErr w:type="spellEnd"/>
      <w:r w:rsidRPr="00DC1A5F">
        <w:t xml:space="preserve">, los deseos sensoriales llegarán a cumplirse”. Entonces, él realizará actos de buena conducta corporal, etc., a través del apego hacia los deseos sensoriales. Al cumplir con tal buena conducta corporal, renacerá entre deidades o seres humanos. El </w:t>
      </w:r>
      <w:proofErr w:type="spellStart"/>
      <w:r w:rsidRPr="00DC1A5F">
        <w:rPr>
          <w:i/>
        </w:rPr>
        <w:t>kamma</w:t>
      </w:r>
      <w:proofErr w:type="spellEnd"/>
      <w:r w:rsidRPr="00DC1A5F">
        <w:t xml:space="preserve"> que será la causa de su renacimiento allí corresponderá el devenir del proceso </w:t>
      </w:r>
      <w:proofErr w:type="spellStart"/>
      <w:r w:rsidRPr="00DC1A5F">
        <w:rPr>
          <w:i/>
        </w:rPr>
        <w:t>kammico</w:t>
      </w:r>
      <w:proofErr w:type="spellEnd"/>
      <w:r w:rsidRPr="00DC1A5F">
        <w:t xml:space="preserve">. Los agregados generados por el </w:t>
      </w:r>
      <w:proofErr w:type="spellStart"/>
      <w:r w:rsidRPr="00DC1A5F">
        <w:rPr>
          <w:i/>
        </w:rPr>
        <w:t>kamma</w:t>
      </w:r>
      <w:proofErr w:type="spellEnd"/>
      <w:r w:rsidRPr="00DC1A5F">
        <w:t xml:space="preserve"> corresponderán al devenir del proceso de renacimiento. No obstante, el devenir percipiente y el devenir de los 5 constituyentes también estarán incluidos en ello.</w:t>
      </w:r>
    </w:p>
    <w:p w14:paraId="500494D3" w14:textId="77777777" w:rsidR="00597DE2" w:rsidRPr="00DC1A5F" w:rsidRDefault="00597DE2" w:rsidP="00597DE2">
      <w:pPr>
        <w:pStyle w:val="NormalConSangria"/>
      </w:pPr>
      <w:r w:rsidRPr="00DC1A5F">
        <w:t>Así, el apego hacia el deseo sensorial será una condición para el devenir del deseo sensorial según su análisis y su síntesis.</w:t>
      </w:r>
    </w:p>
    <w:p w14:paraId="5ACE34B3" w14:textId="77777777" w:rsidR="00597DE2" w:rsidRPr="00DC1A5F" w:rsidRDefault="00597DE2" w:rsidP="00597DE2">
      <w:r w:rsidRPr="00DC1A5F">
        <w:t xml:space="preserve">264. </w:t>
      </w:r>
      <w:r w:rsidRPr="00DC1A5F">
        <w:tab/>
        <w:t xml:space="preserve">Otro podría oír o conjeturar que los deseos sensoriales llegarán a su perfección aún mayor en los tipos de devenir material sutil e inmaterial, y a través del apego sensorial producirá las absorciones materiales sutiles e inmateriales y, en virtud de sus logros renacer en el plano material sutil o inmaterial </w:t>
      </w:r>
      <w:r w:rsidRPr="00DC1A5F">
        <w:rPr>
          <w:i/>
        </w:rPr>
        <w:t>Brahmā</w:t>
      </w:r>
      <w:r w:rsidRPr="00DC1A5F">
        <w:t xml:space="preserve">. El </w:t>
      </w:r>
      <w:proofErr w:type="spellStart"/>
      <w:r w:rsidRPr="00DC1A5F">
        <w:rPr>
          <w:i/>
        </w:rPr>
        <w:t>kamma</w:t>
      </w:r>
      <w:proofErr w:type="spellEnd"/>
      <w:r w:rsidRPr="00DC1A5F">
        <w:t xml:space="preserve"> causante de su renacimiento allí corresponderá al devenir del proceso </w:t>
      </w:r>
      <w:proofErr w:type="spellStart"/>
      <w:r w:rsidRPr="00DC1A5F">
        <w:rPr>
          <w:i/>
        </w:rPr>
        <w:t>kammico</w:t>
      </w:r>
      <w:proofErr w:type="spellEnd"/>
      <w:r w:rsidRPr="00DC1A5F">
        <w:t xml:space="preserve">. Los agregados generados por el </w:t>
      </w:r>
      <w:proofErr w:type="spellStart"/>
      <w:r w:rsidRPr="00DC1A5F">
        <w:rPr>
          <w:i/>
        </w:rPr>
        <w:t>kamma</w:t>
      </w:r>
      <w:proofErr w:type="spellEnd"/>
      <w:r w:rsidRPr="00DC1A5F">
        <w:t xml:space="preserve"> corresponderán al proceso de renacimiento. No obstante, los tipos de devenir percipiente, no–percipiente, ni–percipiente –ni–no–percipiente, de 2 constituyente, de 4 constituyentes y de 5 constituyentes también estarán incluidos en ello. Por lo tanto, el apego al deseo sensorial será una condición para el devenir material sutil e inmaterial según su análisis y su síntesis.</w:t>
      </w:r>
    </w:p>
    <w:p w14:paraId="33C88CE5" w14:textId="77777777" w:rsidR="00597DE2" w:rsidRPr="00DC1A5F" w:rsidRDefault="00597DE2" w:rsidP="00597DE2">
      <w:r w:rsidRPr="00DC1A5F">
        <w:t xml:space="preserve">265. </w:t>
      </w:r>
      <w:r w:rsidRPr="00DC1A5F">
        <w:tab/>
        <w:t xml:space="preserve">Otro apegado a la visión nihilista así: “Esta alma llega a ser destruida completamente cuando sea destruida en los estados afortunados de la esfera sensorial, o en los tipos de devenir sutiles o inmateriales”, realizará así un </w:t>
      </w:r>
      <w:proofErr w:type="spellStart"/>
      <w:r w:rsidRPr="00DC1A5F">
        <w:rPr>
          <w:i/>
        </w:rPr>
        <w:t>kamma</w:t>
      </w:r>
      <w:proofErr w:type="spellEnd"/>
      <w:r w:rsidRPr="00DC1A5F">
        <w:t xml:space="preserve"> para lograr ello. Su </w:t>
      </w:r>
      <w:proofErr w:type="spellStart"/>
      <w:r w:rsidRPr="00DC1A5F">
        <w:rPr>
          <w:i/>
        </w:rPr>
        <w:t>kamma</w:t>
      </w:r>
      <w:proofErr w:type="spellEnd"/>
      <w:r w:rsidRPr="00DC1A5F">
        <w:t xml:space="preserve"> corresponderá el devenir del proceso </w:t>
      </w:r>
      <w:proofErr w:type="spellStart"/>
      <w:r w:rsidRPr="00DC1A5F">
        <w:rPr>
          <w:i/>
        </w:rPr>
        <w:t>kammico</w:t>
      </w:r>
      <w:proofErr w:type="spellEnd"/>
      <w:r w:rsidRPr="00DC1A5F">
        <w:t xml:space="preserve">. Los agregados generados por el </w:t>
      </w:r>
      <w:proofErr w:type="spellStart"/>
      <w:r w:rsidRPr="00DC1A5F">
        <w:rPr>
          <w:i/>
        </w:rPr>
        <w:t>kamma</w:t>
      </w:r>
      <w:proofErr w:type="spellEnd"/>
      <w:r w:rsidRPr="00DC1A5F">
        <w:t xml:space="preserve"> corresponderán al devenir del proceso de renacimiento. No obstante, los tipos de devenir percipiente, etc., también estarán incluidos en ello. Por lo tanto, el apego a la visión incorrecta será una condición para los 3 tipos de devenir: para el devenir del deseo sensorial, el material sutil e inmaterial según su análisis y su síntesis.</w:t>
      </w:r>
    </w:p>
    <w:p w14:paraId="2FD20D2D" w14:textId="77777777" w:rsidR="00597DE2" w:rsidRPr="00DC1A5F" w:rsidRDefault="00597DE2" w:rsidP="00597DE2">
      <w:r w:rsidRPr="00DC1A5F">
        <w:t xml:space="preserve">266. </w:t>
      </w:r>
      <w:r w:rsidRPr="00DC1A5F">
        <w:tab/>
        <w:t xml:space="preserve">Otro, apegado a la teoría del alma, pensará: “Esta alma llegará a ser dichosa, o llegará a estar libre de fiebre, en el devenir de los estados afortunados de la esfera sensorial o en uno u otro de los tipos de devenir material sutil e inmaterial”, y realizará así un </w:t>
      </w:r>
      <w:proofErr w:type="spellStart"/>
      <w:r w:rsidRPr="00DC1A5F">
        <w:rPr>
          <w:i/>
        </w:rPr>
        <w:t>kamma</w:t>
      </w:r>
      <w:proofErr w:type="spellEnd"/>
      <w:r w:rsidRPr="00DC1A5F">
        <w:t xml:space="preserve"> para conseguirlo. Ese </w:t>
      </w:r>
      <w:proofErr w:type="spellStart"/>
      <w:r w:rsidRPr="00DC1A5F">
        <w:rPr>
          <w:i/>
        </w:rPr>
        <w:t>kamma</w:t>
      </w:r>
      <w:proofErr w:type="spellEnd"/>
      <w:r w:rsidRPr="00DC1A5F">
        <w:t xml:space="preserve"> corresponderá al devenir</w:t>
      </w:r>
      <w:r w:rsidRPr="00DC1A5F">
        <w:rPr>
          <w:i/>
        </w:rPr>
        <w:t xml:space="preserve"> </w:t>
      </w:r>
      <w:r w:rsidRPr="00DC1A5F">
        <w:rPr>
          <w:iCs/>
        </w:rPr>
        <w:t>del</w:t>
      </w:r>
      <w:r w:rsidRPr="00DC1A5F">
        <w:rPr>
          <w:i/>
        </w:rPr>
        <w:t xml:space="preserve"> </w:t>
      </w:r>
      <w:r w:rsidRPr="00DC1A5F">
        <w:t xml:space="preserve">proceso </w:t>
      </w:r>
      <w:proofErr w:type="spellStart"/>
      <w:r w:rsidRPr="00DC1A5F">
        <w:rPr>
          <w:i/>
        </w:rPr>
        <w:t>kammico</w:t>
      </w:r>
      <w:proofErr w:type="spellEnd"/>
      <w:r w:rsidRPr="00DC1A5F">
        <w:t xml:space="preserve">. Los agregados generados por el </w:t>
      </w:r>
      <w:proofErr w:type="spellStart"/>
      <w:r w:rsidRPr="00DC1A5F">
        <w:rPr>
          <w:i/>
        </w:rPr>
        <w:t>kamma</w:t>
      </w:r>
      <w:proofErr w:type="spellEnd"/>
      <w:r w:rsidRPr="00DC1A5F">
        <w:t xml:space="preserve"> corresponderán [575] a los procesos de renacimiento. No obstante, los tipos de devenir percipiente, etc., también estarán incluidos en ello. Así, este apego a la teoría del alma será una condición para los tres tipos de devenir según su análisis y su síntesis.</w:t>
      </w:r>
    </w:p>
    <w:p w14:paraId="285044FA" w14:textId="77777777" w:rsidR="00597DE2" w:rsidRPr="00DC1A5F" w:rsidRDefault="00597DE2" w:rsidP="00597DE2">
      <w:r w:rsidRPr="00DC1A5F">
        <w:t xml:space="preserve">267. </w:t>
      </w:r>
      <w:r w:rsidRPr="00DC1A5F">
        <w:tab/>
        <w:t xml:space="preserve">Otro apegado a las reglas y los votos pensará: “Este rito o ritual conducirá a quien lo perfeccione hasta la felicidad perfecta del devenir de los estados afortunados de la esfera sensorial o en los tipos de devenir material sutil o inmaterial”, y así realizará el </w:t>
      </w:r>
      <w:proofErr w:type="spellStart"/>
      <w:r w:rsidRPr="00DC1A5F">
        <w:rPr>
          <w:i/>
        </w:rPr>
        <w:t>kamma</w:t>
      </w:r>
      <w:proofErr w:type="spellEnd"/>
      <w:r w:rsidRPr="00DC1A5F">
        <w:t xml:space="preserve"> para conseguirlo. Ese </w:t>
      </w:r>
      <w:proofErr w:type="spellStart"/>
      <w:r w:rsidRPr="00DC1A5F">
        <w:rPr>
          <w:i/>
        </w:rPr>
        <w:t>kamma</w:t>
      </w:r>
      <w:proofErr w:type="spellEnd"/>
      <w:r w:rsidRPr="00DC1A5F">
        <w:t xml:space="preserve"> corresponderá al devenir del proceso </w:t>
      </w:r>
      <w:proofErr w:type="spellStart"/>
      <w:r w:rsidRPr="00DC1A5F">
        <w:rPr>
          <w:i/>
        </w:rPr>
        <w:t>kammico</w:t>
      </w:r>
      <w:proofErr w:type="spellEnd"/>
      <w:r w:rsidRPr="00DC1A5F">
        <w:t xml:space="preserve">. Los agregados generados por el </w:t>
      </w:r>
      <w:proofErr w:type="spellStart"/>
      <w:r w:rsidRPr="00DC1A5F">
        <w:rPr>
          <w:i/>
        </w:rPr>
        <w:t>kamma</w:t>
      </w:r>
      <w:proofErr w:type="spellEnd"/>
      <w:r w:rsidRPr="00DC1A5F">
        <w:t xml:space="preserve"> </w:t>
      </w:r>
      <w:r w:rsidRPr="00DC1A5F">
        <w:br w:type="page"/>
      </w:r>
    </w:p>
    <w:p w14:paraId="2A72E531" w14:textId="77777777" w:rsidR="00597DE2" w:rsidRPr="00DC1A5F" w:rsidRDefault="00597DE2" w:rsidP="00597DE2"/>
    <w:p w14:paraId="14CF4F63" w14:textId="77777777" w:rsidR="00597DE2" w:rsidRPr="00DC1A5F" w:rsidRDefault="00597DE2" w:rsidP="00597DE2">
      <w:pPr>
        <w:pStyle w:val="Textoindependiente"/>
      </w:pPr>
      <w:r w:rsidRPr="00DC1A5F">
        <w:t>corresponderán al devenir del proceso de renacimiento. No obstante, los tipos de devenir percipiente, etc., también estarán incluidos en ello. Así que el apego a las reglas y votos será una condición para los tres los tipos de devenir: el devenir del deseo sensorial, el material sutil y el inmaterial según su análisis y su síntesis.</w:t>
      </w:r>
    </w:p>
    <w:p w14:paraId="7025407C" w14:textId="77777777" w:rsidR="00597DE2" w:rsidRPr="00DC1A5F" w:rsidRDefault="00597DE2" w:rsidP="00597DE2">
      <w:pPr>
        <w:pStyle w:val="NormalConSangria"/>
      </w:pPr>
      <w:r w:rsidRPr="00DC1A5F">
        <w:t xml:space="preserve">Así deberá ser entendida aquí la exposición </w:t>
      </w:r>
      <w:proofErr w:type="gramStart"/>
      <w:r w:rsidRPr="00DC1A5F">
        <w:t>de acuerdo a</w:t>
      </w:r>
      <w:proofErr w:type="gramEnd"/>
      <w:r w:rsidRPr="00DC1A5F">
        <w:t xml:space="preserve"> “cuál será una condición para cuál devenir”.</w:t>
      </w:r>
    </w:p>
    <w:p w14:paraId="6027C5BD" w14:textId="77777777" w:rsidR="00597DE2" w:rsidRPr="00DC1A5F" w:rsidRDefault="00597DE2" w:rsidP="00597DE2">
      <w:pPr>
        <w:pStyle w:val="Ttulo7"/>
        <w:ind w:left="425"/>
      </w:pPr>
      <w:r w:rsidRPr="00DC1A5F">
        <w:t>[Cómo es el apego una condición para el devenir]</w:t>
      </w:r>
    </w:p>
    <w:p w14:paraId="70D9C4B1" w14:textId="77777777" w:rsidR="00597DE2" w:rsidRPr="00DC1A5F" w:rsidRDefault="00597DE2" w:rsidP="00597DE2">
      <w:pPr>
        <w:pStyle w:val="Textoindependiente"/>
      </w:pPr>
      <w:r w:rsidRPr="00DC1A5F">
        <w:t xml:space="preserve">268. </w:t>
      </w:r>
      <w:r w:rsidRPr="00DC1A5F">
        <w:tab/>
        <w:t>No obstante, ¿cuál será aquí la condición para qué tipo de devenir y de qué manera?</w:t>
      </w:r>
    </w:p>
    <w:p w14:paraId="6D5B9CC1" w14:textId="77777777" w:rsidR="00597DE2" w:rsidRPr="00DC1A5F" w:rsidRDefault="00597DE2" w:rsidP="00597DE2">
      <w:pPr>
        <w:pStyle w:val="VersoIngls01Sangria"/>
        <w:rPr>
          <w:sz w:val="16"/>
          <w:szCs w:val="20"/>
        </w:rPr>
      </w:pPr>
      <w:r w:rsidRPr="00DC1A5F">
        <w:rPr>
          <w:sz w:val="16"/>
          <w:szCs w:val="20"/>
        </w:rPr>
        <w:t>Ahora bien, el apego como condición para el devenir,</w:t>
      </w:r>
    </w:p>
    <w:p w14:paraId="6E998C06" w14:textId="77777777" w:rsidR="00597DE2" w:rsidRPr="00DC1A5F" w:rsidRDefault="00597DE2" w:rsidP="00597DE2">
      <w:pPr>
        <w:pStyle w:val="VersoIngls01Sangria"/>
        <w:rPr>
          <w:sz w:val="16"/>
          <w:szCs w:val="20"/>
        </w:rPr>
      </w:pPr>
      <w:r w:rsidRPr="00DC1A5F">
        <w:rPr>
          <w:sz w:val="16"/>
          <w:szCs w:val="20"/>
        </w:rPr>
        <w:t>Tanto para el material sutil como inmaterial,</w:t>
      </w:r>
    </w:p>
    <w:p w14:paraId="139DC263" w14:textId="77777777" w:rsidR="00597DE2" w:rsidRPr="00DC1A5F" w:rsidRDefault="00597DE2" w:rsidP="00597DE2">
      <w:pPr>
        <w:pStyle w:val="VersoIngls01Sangria"/>
        <w:rPr>
          <w:sz w:val="16"/>
          <w:szCs w:val="20"/>
        </w:rPr>
      </w:pPr>
      <w:r w:rsidRPr="00DC1A5F">
        <w:rPr>
          <w:sz w:val="16"/>
          <w:szCs w:val="20"/>
        </w:rPr>
        <w:t xml:space="preserve">Será un soporte decisivo; y luego el coetáneo. </w:t>
      </w:r>
    </w:p>
    <w:p w14:paraId="2636FB5A" w14:textId="77777777" w:rsidR="00597DE2" w:rsidRPr="00DC1A5F" w:rsidRDefault="00597DE2" w:rsidP="00597DE2">
      <w:pPr>
        <w:pStyle w:val="VersoIngls01Sangria"/>
        <w:spacing w:after="100"/>
        <w:ind w:left="1418"/>
        <w:rPr>
          <w:sz w:val="16"/>
          <w:szCs w:val="20"/>
        </w:rPr>
      </w:pPr>
      <w:r w:rsidRPr="00DC1A5F">
        <w:rPr>
          <w:sz w:val="16"/>
          <w:szCs w:val="20"/>
        </w:rPr>
        <w:t xml:space="preserve">Y así sucesivamente para cada tipo de deseo </w:t>
      </w:r>
      <w:r w:rsidRPr="00DC1A5F">
        <w:t>sensorial</w:t>
      </w:r>
      <w:r w:rsidRPr="00DC1A5F">
        <w:rPr>
          <w:sz w:val="16"/>
          <w:szCs w:val="20"/>
        </w:rPr>
        <w:t>.</w:t>
      </w:r>
    </w:p>
    <w:p w14:paraId="265565B1" w14:textId="77777777" w:rsidR="00597DE2" w:rsidRPr="00DC1A5F" w:rsidRDefault="00597DE2" w:rsidP="00597DE2">
      <w:r w:rsidRPr="00DC1A5F">
        <w:t xml:space="preserve">269. </w:t>
      </w:r>
      <w:r w:rsidRPr="00DC1A5F">
        <w:tab/>
        <w:t xml:space="preserve">Este apego, aunque de 4 tipos, será una condición de una sola forma como condición de soporte decisivo para </w:t>
      </w:r>
      <w:r w:rsidRPr="00DC1A5F">
        <w:rPr>
          <w:i/>
          <w:iCs/>
        </w:rPr>
        <w:t>el devenir tanto material sutil como inmaterial</w:t>
      </w:r>
      <w:r w:rsidRPr="00DC1A5F">
        <w:t xml:space="preserve">, es decir, para el </w:t>
      </w:r>
      <w:proofErr w:type="spellStart"/>
      <w:r w:rsidRPr="00DC1A5F">
        <w:rPr>
          <w:i/>
        </w:rPr>
        <w:t>kamma</w:t>
      </w:r>
      <w:proofErr w:type="spellEnd"/>
      <w:r w:rsidRPr="00DC1A5F">
        <w:t xml:space="preserve"> productivo en el devenir del proceso </w:t>
      </w:r>
      <w:proofErr w:type="spellStart"/>
      <w:r w:rsidRPr="00DC1A5F">
        <w:rPr>
          <w:i/>
        </w:rPr>
        <w:t>kammico</w:t>
      </w:r>
      <w:proofErr w:type="spellEnd"/>
      <w:r w:rsidRPr="00DC1A5F">
        <w:t xml:space="preserve"> que tendrá lugar en el devenir del deseo sensorial y para el devenir del proceso de renacimiento. Será una condición, </w:t>
      </w:r>
      <w:r w:rsidRPr="00DC1A5F">
        <w:rPr>
          <w:i/>
          <w:iCs/>
        </w:rPr>
        <w:t xml:space="preserve">como </w:t>
      </w:r>
      <w:proofErr w:type="spellStart"/>
      <w:r w:rsidRPr="00DC1A5F">
        <w:rPr>
          <w:i/>
          <w:iCs/>
        </w:rPr>
        <w:t>coetaneidad</w:t>
      </w:r>
      <w:proofErr w:type="spellEnd"/>
      <w:r w:rsidRPr="00DC1A5F">
        <w:rPr>
          <w:i/>
          <w:iCs/>
        </w:rPr>
        <w:t>, etc.,</w:t>
      </w:r>
      <w:r w:rsidRPr="00DC1A5F">
        <w:t xml:space="preserve"> es decir, como </w:t>
      </w:r>
      <w:proofErr w:type="spellStart"/>
      <w:r w:rsidRPr="00DC1A5F">
        <w:t>coetaneidad</w:t>
      </w:r>
      <w:proofErr w:type="spellEnd"/>
      <w:r w:rsidRPr="00DC1A5F">
        <w:t xml:space="preserve">, reciprocidad, soporte, asociación, presencia, no–desaparición y las condiciones con causa–raíz, para el devenir del proceso </w:t>
      </w:r>
      <w:proofErr w:type="spellStart"/>
      <w:r w:rsidRPr="00DC1A5F">
        <w:rPr>
          <w:i/>
        </w:rPr>
        <w:t>kammico</w:t>
      </w:r>
      <w:proofErr w:type="spellEnd"/>
      <w:r w:rsidRPr="00DC1A5F">
        <w:t xml:space="preserve"> improductivo asociado con los 4 apegos mismos del devenir del deseo sensorial. No obstante, será una condición, sólo como soporte decisivo, de aquello que sea disociado.</w:t>
      </w:r>
    </w:p>
    <w:p w14:paraId="352B0168" w14:textId="77777777" w:rsidR="00597DE2" w:rsidRPr="00DC1A5F" w:rsidRDefault="00597DE2" w:rsidP="00597DE2">
      <w:pPr>
        <w:pStyle w:val="NormalConSangria"/>
      </w:pPr>
      <w:r w:rsidRPr="00DC1A5F">
        <w:t>Ésta es la explicación detallada de la cláusula “Con el apego como condición, se origina el devenir”.</w:t>
      </w:r>
    </w:p>
    <w:p w14:paraId="4DE1BEE8" w14:textId="77777777" w:rsidR="00597DE2" w:rsidRPr="00DC1A5F" w:rsidRDefault="00597DE2" w:rsidP="00597DE2">
      <w:pPr>
        <w:pStyle w:val="Ttulo6"/>
      </w:pPr>
      <w:r w:rsidRPr="00DC1A5F">
        <w:t>[(XI)–(XII) Nacimiento, Muerte, Etc.]</w:t>
      </w:r>
    </w:p>
    <w:p w14:paraId="6865B919" w14:textId="77777777" w:rsidR="00597DE2" w:rsidRPr="00DC1A5F" w:rsidRDefault="00597DE2" w:rsidP="00597DE2">
      <w:pPr>
        <w:pStyle w:val="Textoindependiente"/>
      </w:pPr>
      <w:r w:rsidRPr="00DC1A5F">
        <w:t xml:space="preserve">270. </w:t>
      </w:r>
      <w:r w:rsidRPr="00DC1A5F">
        <w:tab/>
        <w:t>En cuanto a la cláusula “Con el devenir como condición, se origina el nacimiento, la muerte, etc.”, la definición de nacimiento deberá entenderse en la forma expuesta en la Descripción de las Verdades (Cap. XIV. §31ss.)</w:t>
      </w:r>
    </w:p>
    <w:p w14:paraId="217AE6B9" w14:textId="77777777" w:rsidR="00597DE2" w:rsidRPr="00DC1A5F" w:rsidRDefault="00597DE2" w:rsidP="00597DE2">
      <w:pPr>
        <w:pStyle w:val="NormalConSangria"/>
      </w:pPr>
      <w:r w:rsidRPr="00DC1A5F">
        <w:t xml:space="preserve">Sólo el devenir del proceso </w:t>
      </w:r>
      <w:proofErr w:type="spellStart"/>
      <w:r w:rsidRPr="00DC1A5F">
        <w:rPr>
          <w:i/>
        </w:rPr>
        <w:t>kammico</w:t>
      </w:r>
      <w:proofErr w:type="spellEnd"/>
      <w:r w:rsidRPr="00DC1A5F">
        <w:t xml:space="preserve"> se entenderá aquí como “devenir”; porque corresponderá a ello, no al devenir del proceso de renacimiento, lo que corresponderá a una condición para el nacimiento. No obstante, será una condición de dos maneras, como condición </w:t>
      </w:r>
      <w:proofErr w:type="spellStart"/>
      <w:r w:rsidRPr="00DC1A5F">
        <w:rPr>
          <w:i/>
        </w:rPr>
        <w:t>kammica</w:t>
      </w:r>
      <w:proofErr w:type="spellEnd"/>
      <w:r w:rsidRPr="00DC1A5F">
        <w:t xml:space="preserve"> y como condición de soporte decisivo.</w:t>
      </w:r>
    </w:p>
    <w:p w14:paraId="02F21D9A" w14:textId="77777777" w:rsidR="00597DE2" w:rsidRPr="00DC1A5F" w:rsidRDefault="00597DE2" w:rsidP="00597DE2">
      <w:pPr>
        <w:pStyle w:val="Textoindependiente"/>
      </w:pPr>
      <w:r w:rsidRPr="00DC1A5F">
        <w:t xml:space="preserve">271. </w:t>
      </w:r>
      <w:r w:rsidRPr="00DC1A5F">
        <w:tab/>
        <w:t xml:space="preserve">Aquí podría preguntarse: “Pero ¿cómo se sabe que el devenir será una condición para el nacimiento?” Por la diferencia observable de inferioridad y superioridad. Porque a pesar de la igualdad de las circunstancias externas, como ser padre, madre, simiente, sangre, alimento, etc., la diferencia de inferioridad y superioridad de los seres será observable incluso en el caso de los gemelos. Y ese hecho no se producirá sin una causa, ya que no estará presente siempre y en todo; [576] ni tendrá otra causa que el devenir del proceso </w:t>
      </w:r>
      <w:proofErr w:type="spellStart"/>
      <w:r w:rsidRPr="00DC1A5F">
        <w:rPr>
          <w:i/>
        </w:rPr>
        <w:t>kammico</w:t>
      </w:r>
      <w:proofErr w:type="spellEnd"/>
      <w:r w:rsidRPr="00DC1A5F">
        <w:rPr>
          <w:i/>
        </w:rPr>
        <w:t>,</w:t>
      </w:r>
      <w:r w:rsidRPr="00DC1A5F">
        <w:t xml:space="preserve"> ya que no existirá otra razón en la continuidad interna de los seres generados por él. En consecuencia, sólo poseerá como causa al devenir del proceso </w:t>
      </w:r>
      <w:proofErr w:type="spellStart"/>
      <w:r w:rsidRPr="00DC1A5F">
        <w:rPr>
          <w:i/>
        </w:rPr>
        <w:t>kammico</w:t>
      </w:r>
      <w:proofErr w:type="spellEnd"/>
      <w:r w:rsidRPr="00DC1A5F">
        <w:t xml:space="preserve">. Y debido a que el </w:t>
      </w:r>
      <w:proofErr w:type="spellStart"/>
      <w:r w:rsidRPr="00DC1A5F">
        <w:rPr>
          <w:i/>
        </w:rPr>
        <w:t>kamma</w:t>
      </w:r>
      <w:proofErr w:type="spellEnd"/>
      <w:r w:rsidRPr="00DC1A5F">
        <w:t xml:space="preserve"> será la causa de la diferencia entre la inferioridad y la superioridad de los seres, el </w:t>
      </w:r>
      <w:r w:rsidRPr="00DC1A5F">
        <w:rPr>
          <w:i/>
          <w:iCs/>
        </w:rPr>
        <w:t>Bhagavā</w:t>
      </w:r>
      <w:r w:rsidRPr="00DC1A5F">
        <w:t xml:space="preserve"> dijo: “Es el </w:t>
      </w:r>
      <w:proofErr w:type="spellStart"/>
      <w:r w:rsidRPr="00DC1A5F">
        <w:rPr>
          <w:i/>
        </w:rPr>
        <w:t>kamma</w:t>
      </w:r>
      <w:proofErr w:type="spellEnd"/>
      <w:r w:rsidRPr="00DC1A5F">
        <w:t xml:space="preserve"> lo que separa a los seres </w:t>
      </w:r>
      <w:proofErr w:type="gramStart"/>
      <w:r w:rsidRPr="00DC1A5F">
        <w:t>de acuerdo a</w:t>
      </w:r>
      <w:proofErr w:type="gramEnd"/>
      <w:r w:rsidRPr="00DC1A5F">
        <w:t xml:space="preserve"> la inferioridad y la superioridad” (M III 203). De ahí se podrá saber que el devenir será una condición para el nacimiento.</w:t>
      </w:r>
    </w:p>
    <w:p w14:paraId="1D6660FC" w14:textId="77777777" w:rsidR="00597DE2" w:rsidRPr="00DC1A5F" w:rsidRDefault="00597DE2" w:rsidP="00597DE2">
      <w:pPr>
        <w:tabs>
          <w:tab w:val="clear" w:pos="425"/>
        </w:tabs>
        <w:spacing w:after="160"/>
      </w:pPr>
      <w:r w:rsidRPr="00DC1A5F">
        <w:br w:type="page"/>
      </w:r>
    </w:p>
    <w:p w14:paraId="7BA35453" w14:textId="77777777" w:rsidR="00597DE2" w:rsidRPr="00DC1A5F" w:rsidRDefault="00597DE2" w:rsidP="00597DE2">
      <w:pPr>
        <w:pStyle w:val="Textoindependiente"/>
      </w:pPr>
      <w:r w:rsidRPr="00DC1A5F">
        <w:lastRenderedPageBreak/>
        <w:t xml:space="preserve">272. </w:t>
      </w:r>
      <w:r w:rsidRPr="00DC1A5F">
        <w:tab/>
        <w:t>Cuando no haya nacimiento, no se producirá la vejez–y–muerte, ni estados que comiencen con la aflicción; no obstante, cuando haya nacimiento, entonces sobrevendrá la vejez–y–muerte, también los estados que comiencen con la aflicción, que o estén ligados con la vejez y la muerte en un necio afectado por los estados dolorosos llamados vejez y muerte, o que no estén tan relacionados con la vejez–y–muerte en aquel que se vea afectado por un estado aflictivo u otro; por lo tanto, este nacimiento será una condición para la vejez–y–muerte y también para la aflicción, etc. Pero será una condición de una manera, como un tipo de soporte decisivo.</w:t>
      </w:r>
    </w:p>
    <w:p w14:paraId="43E6EE83" w14:textId="77777777" w:rsidR="00597DE2" w:rsidRPr="00DC1A5F" w:rsidRDefault="00597DE2" w:rsidP="00597DE2">
      <w:pPr>
        <w:pStyle w:val="NormalConSangria"/>
      </w:pPr>
      <w:r w:rsidRPr="00DC1A5F">
        <w:t>Esta es la explicación detallada de la cláusula “Con el devenir como condición, se origina el nacimiento”.</w:t>
      </w:r>
    </w:p>
    <w:p w14:paraId="0D58E2E5" w14:textId="77777777" w:rsidR="00597DE2" w:rsidRPr="00DC1A5F" w:rsidRDefault="00597DE2" w:rsidP="00597DE2">
      <w:pPr>
        <w:pStyle w:val="Ttulo3"/>
      </w:pPr>
      <w:r w:rsidRPr="00DC1A5F">
        <w:t>[Sección C. La Rueda del Devenir]</w:t>
      </w:r>
    </w:p>
    <w:p w14:paraId="260533B9" w14:textId="77777777" w:rsidR="00597DE2" w:rsidRPr="00DC1A5F" w:rsidRDefault="00597DE2" w:rsidP="00597DE2">
      <w:pPr>
        <w:pStyle w:val="Ttulo4"/>
        <w:ind w:left="708"/>
      </w:pPr>
      <w:r w:rsidRPr="00DC1A5F">
        <w:t>[(I) La Rueda]</w:t>
      </w:r>
    </w:p>
    <w:p w14:paraId="309E1374" w14:textId="77777777" w:rsidR="00597DE2" w:rsidRPr="00DC1A5F" w:rsidRDefault="00597DE2" w:rsidP="00597DE2">
      <w:pPr>
        <w:pStyle w:val="Textoindependiente"/>
      </w:pPr>
      <w:r w:rsidRPr="00DC1A5F">
        <w:t xml:space="preserve">273. </w:t>
      </w:r>
      <w:r w:rsidRPr="00DC1A5F">
        <w:tab/>
        <w:t>Ahora bien, aquí, al final de esta sección se expondrá la aflicción, etc. En consecuencia, la ignorancia declarada al principio de la Rueda del Devenir así, “Con la ignorancia como condición se originan las formaciones”, será establecida mediante la aflicción, etc. Por lo que en consecuencia deberá entenderse que:</w:t>
      </w:r>
    </w:p>
    <w:p w14:paraId="3B5D1B6A" w14:textId="77777777" w:rsidR="00597DE2" w:rsidRPr="00DC1A5F" w:rsidRDefault="00597DE2" w:rsidP="00597DE2">
      <w:pPr>
        <w:pStyle w:val="VersoIngls01Sangria"/>
        <w:rPr>
          <w:sz w:val="16"/>
          <w:szCs w:val="20"/>
        </w:rPr>
      </w:pPr>
      <w:r w:rsidRPr="00DC1A5F">
        <w:rPr>
          <w:sz w:val="16"/>
          <w:szCs w:val="20"/>
        </w:rPr>
        <w:t>La Rueda del Devenir no revela ningún comienzo cognoscible;</w:t>
      </w:r>
    </w:p>
    <w:p w14:paraId="7DF175EA" w14:textId="77777777" w:rsidR="00597DE2" w:rsidRPr="00DC1A5F" w:rsidRDefault="00597DE2" w:rsidP="00597DE2">
      <w:pPr>
        <w:pStyle w:val="VersoIngls01Sangria"/>
        <w:rPr>
          <w:sz w:val="16"/>
          <w:szCs w:val="20"/>
        </w:rPr>
      </w:pPr>
      <w:r w:rsidRPr="00DC1A5F">
        <w:rPr>
          <w:sz w:val="16"/>
          <w:szCs w:val="20"/>
        </w:rPr>
        <w:t>Ni a un perpetrador, ni a un experimentador al respecto;</w:t>
      </w:r>
    </w:p>
    <w:p w14:paraId="33458BFE" w14:textId="77777777" w:rsidR="00597DE2" w:rsidRPr="00DC1A5F" w:rsidRDefault="00597DE2" w:rsidP="00597DE2">
      <w:pPr>
        <w:pStyle w:val="VersoIngls01Sangria"/>
        <w:rPr>
          <w:sz w:val="16"/>
          <w:szCs w:val="20"/>
        </w:rPr>
      </w:pPr>
      <w:r w:rsidRPr="00DC1A5F">
        <w:rPr>
          <w:sz w:val="16"/>
          <w:szCs w:val="20"/>
        </w:rPr>
        <w:t xml:space="preserve">Está vacía a través de doce tipos de vacuidad y es ocurrida en ningún lugar, </w:t>
      </w:r>
    </w:p>
    <w:p w14:paraId="0E185E07" w14:textId="77777777" w:rsidR="00597DE2" w:rsidRPr="00DC1A5F" w:rsidRDefault="00597DE2" w:rsidP="00597DE2">
      <w:pPr>
        <w:pStyle w:val="VersoIngls01Sangria"/>
        <w:spacing w:after="100"/>
        <w:ind w:left="1418"/>
        <w:rPr>
          <w:sz w:val="16"/>
          <w:szCs w:val="20"/>
        </w:rPr>
      </w:pPr>
      <w:r w:rsidRPr="00DC1A5F">
        <w:rPr>
          <w:sz w:val="16"/>
          <w:szCs w:val="20"/>
        </w:rPr>
        <w:t>Nunca se detendrá en ninguna parte y estará girando para y por siempre.</w:t>
      </w:r>
    </w:p>
    <w:p w14:paraId="57DBE259" w14:textId="77777777" w:rsidR="00597DE2" w:rsidRPr="00DC1A5F" w:rsidRDefault="00597DE2" w:rsidP="00597DE2">
      <w:r w:rsidRPr="00DC1A5F">
        <w:t xml:space="preserve">274. </w:t>
      </w:r>
      <w:r w:rsidRPr="00DC1A5F">
        <w:tab/>
        <w:t>No obstante, (1) ¿cómo se establece la ignorancia por medio de la aflicción, etc.? (2) ¿cómo es que esta Rueda del Devenir no posee un comienzo cognoscible? (3) ¿cómo es que no existe un hacedor o experimentador al respecto? (4) ¿cómo es vacío con doce tipos de vacuidad?</w:t>
      </w:r>
    </w:p>
    <w:p w14:paraId="298745D4" w14:textId="77777777" w:rsidR="00597DE2" w:rsidRPr="00DC1A5F" w:rsidRDefault="00597DE2" w:rsidP="00597DE2">
      <w:r w:rsidRPr="00DC1A5F">
        <w:t xml:space="preserve">275. </w:t>
      </w:r>
      <w:r w:rsidRPr="00DC1A5F">
        <w:tab/>
        <w:t>1. La aflicción, la lamentación y la desesperación son inseparables de la ignorancia; y la lamentación se encontrará en el que se encuentre engañado. Entonces, en primer lugar, cuando estos se establezcan, se establecerá la ignorancia. Además, se dice al respecto: “Con el surgimiento de las corrupciones se produce el surgimiento de la ignorancia” (M I 54), y con el surgimiento de las corrupciones surgirán estas cosas que comienzan con la aflicción. ¿cómo?</w:t>
      </w:r>
    </w:p>
    <w:p w14:paraId="458E9328" w14:textId="77777777" w:rsidR="00597DE2" w:rsidRPr="00DC1A5F" w:rsidRDefault="00597DE2" w:rsidP="00597DE2">
      <w:r w:rsidRPr="00DC1A5F">
        <w:t xml:space="preserve">276. </w:t>
      </w:r>
      <w:r w:rsidRPr="00DC1A5F">
        <w:tab/>
        <w:t>En primer lugar, la aflicción con respecto a la separación de los deseos sensoriales como objeto tiene su origen en la corrupción del deseo sensorial, según se dice al respecto:</w:t>
      </w:r>
    </w:p>
    <w:p w14:paraId="09B047C4" w14:textId="77777777" w:rsidR="00597DE2" w:rsidRPr="00DC1A5F" w:rsidRDefault="00597DE2" w:rsidP="00597DE2">
      <w:pPr>
        <w:pStyle w:val="VersoIngls01Sangria"/>
        <w:rPr>
          <w:sz w:val="16"/>
          <w:szCs w:val="20"/>
        </w:rPr>
      </w:pPr>
      <w:r w:rsidRPr="00DC1A5F">
        <w:rPr>
          <w:sz w:val="16"/>
          <w:szCs w:val="20"/>
        </w:rPr>
        <w:t>Si, deseando y codiciando, sus deseos lo eluden,</w:t>
      </w:r>
    </w:p>
    <w:p w14:paraId="4ABDE2B3" w14:textId="77777777" w:rsidR="00597DE2" w:rsidRPr="00DC1A5F" w:rsidRDefault="00597DE2" w:rsidP="00597DE2">
      <w:pPr>
        <w:pStyle w:val="VersoIngls01Sangria"/>
        <w:spacing w:after="100"/>
        <w:ind w:left="1418"/>
        <w:rPr>
          <w:sz w:val="16"/>
          <w:szCs w:val="20"/>
        </w:rPr>
      </w:pPr>
      <w:r w:rsidRPr="00DC1A5F">
        <w:rPr>
          <w:sz w:val="16"/>
          <w:szCs w:val="20"/>
        </w:rPr>
        <w:t>Sufrirá como si lo hubiese sido atravesado una flecha (Sn 767),</w:t>
      </w:r>
    </w:p>
    <w:p w14:paraId="71AEC537" w14:textId="77777777" w:rsidR="00597DE2" w:rsidRPr="00DC1A5F" w:rsidRDefault="00597DE2" w:rsidP="00597DE2">
      <w:pPr>
        <w:pStyle w:val="VersoIngls01Sangria"/>
        <w:spacing w:after="100"/>
        <w:ind w:left="0"/>
      </w:pPr>
      <w:r w:rsidRPr="00DC1A5F">
        <w:t>y también según lo que se dice al respecto:</w:t>
      </w:r>
    </w:p>
    <w:p w14:paraId="58D0C72A" w14:textId="77777777" w:rsidR="00597DE2" w:rsidRPr="00DC1A5F" w:rsidRDefault="00597DE2" w:rsidP="00597DE2">
      <w:pPr>
        <w:pStyle w:val="VersoIngls01Sangria"/>
        <w:spacing w:after="100"/>
        <w:ind w:left="1418"/>
        <w:rPr>
          <w:sz w:val="16"/>
          <w:szCs w:val="20"/>
        </w:rPr>
      </w:pPr>
      <w:r w:rsidRPr="00DC1A5F">
        <w:rPr>
          <w:sz w:val="16"/>
          <w:szCs w:val="20"/>
        </w:rPr>
        <w:t>“La aflicción brota de los deseos sensoriales” (</w:t>
      </w:r>
      <w:proofErr w:type="spellStart"/>
      <w:r w:rsidRPr="00DC1A5F">
        <w:rPr>
          <w:sz w:val="16"/>
          <w:szCs w:val="20"/>
        </w:rPr>
        <w:t>Dhp</w:t>
      </w:r>
      <w:proofErr w:type="spellEnd"/>
      <w:r w:rsidRPr="00DC1A5F">
        <w:rPr>
          <w:sz w:val="16"/>
          <w:szCs w:val="20"/>
        </w:rPr>
        <w:t>. 215).</w:t>
      </w:r>
    </w:p>
    <w:p w14:paraId="5C757D95" w14:textId="77777777" w:rsidR="00597DE2" w:rsidRPr="00DC1A5F" w:rsidRDefault="00597DE2" w:rsidP="00597DE2">
      <w:r w:rsidRPr="00DC1A5F">
        <w:t xml:space="preserve">277. </w:t>
      </w:r>
      <w:r w:rsidRPr="00DC1A5F">
        <w:tab/>
        <w:t>Y todo esto sucederá con el surgimiento de las corrupciones de las visiones incorrectas, según se dice al respecto: “En quien [577] posea la visión incorrecta de ‘Yo soy esta materialidad’, ‘es mi materialidad’, como producto del cambio y la transformación de la materialidad surgirá aflicción y lamentación, dolor, angustia y desesperación” (S III 3).</w:t>
      </w:r>
    </w:p>
    <w:p w14:paraId="225FA97A" w14:textId="77777777" w:rsidR="00597DE2" w:rsidRPr="00DC1A5F" w:rsidRDefault="00597DE2" w:rsidP="00597DE2">
      <w:r w:rsidRPr="00DC1A5F">
        <w:t xml:space="preserve">278. </w:t>
      </w:r>
      <w:r w:rsidRPr="00DC1A5F">
        <w:tab/>
        <w:t xml:space="preserve">Y al igual que con el surgimiento de la corrupción de las visiones incorrectas, así también será con el surgimiento de la corrupción del devenir, según se dice al respecto: “Entonces, cualesquiera que sean las deidades que existan, longevas, hermosas, dichosas, residentes de </w:t>
      </w:r>
    </w:p>
    <w:p w14:paraId="4AF579D2" w14:textId="77777777" w:rsidR="00597DE2" w:rsidRPr="00DC1A5F" w:rsidRDefault="00597DE2" w:rsidP="00597DE2">
      <w:pPr>
        <w:tabs>
          <w:tab w:val="clear" w:pos="425"/>
        </w:tabs>
        <w:spacing w:after="160"/>
      </w:pPr>
      <w:r w:rsidRPr="00DC1A5F">
        <w:br w:type="page"/>
      </w:r>
    </w:p>
    <w:p w14:paraId="464F5896" w14:textId="77777777" w:rsidR="00597DE2" w:rsidRPr="00DC1A5F" w:rsidRDefault="00597DE2" w:rsidP="00597DE2">
      <w:pPr>
        <w:pStyle w:val="Textoindependiente"/>
        <w:rPr>
          <w:vertAlign w:val="superscript"/>
        </w:rPr>
      </w:pPr>
      <w:r w:rsidRPr="00DC1A5F">
        <w:lastRenderedPageBreak/>
        <w:t xml:space="preserve">grandes palacios, cuando escuchen la enseñanza del Perfecto sobre el </w:t>
      </w:r>
      <w:r w:rsidRPr="00DC1A5F">
        <w:rPr>
          <w:i/>
        </w:rPr>
        <w:t>Dhamma</w:t>
      </w:r>
      <w:r w:rsidRPr="00DC1A5F">
        <w:t>, sentirán miedo, ansiedad y un sentido de urgencia” (S III 85), como en el caso de las deidades acosadas por el miedo hacia la muerte al ver los 5 signos.</w:t>
      </w:r>
      <w:r w:rsidRPr="00DC1A5F">
        <w:rPr>
          <w:vertAlign w:val="superscript"/>
        </w:rPr>
        <w:t>43</w:t>
      </w:r>
    </w:p>
    <w:p w14:paraId="6D065086" w14:textId="77777777" w:rsidR="00597DE2" w:rsidRPr="00DC1A5F" w:rsidRDefault="00597DE2" w:rsidP="00597DE2">
      <w:r w:rsidRPr="00DC1A5F">
        <w:t xml:space="preserve">279. </w:t>
      </w:r>
      <w:r w:rsidRPr="00DC1A5F">
        <w:tab/>
        <w:t xml:space="preserve">Y como con el surgimiento de la corrupción del devenir, así también será con la corrupción de la ignorancia, según se dice al respecto: “El necio, </w:t>
      </w:r>
      <w:proofErr w:type="spellStart"/>
      <w:r w:rsidRPr="00DC1A5F">
        <w:rPr>
          <w:i/>
        </w:rPr>
        <w:t>bhikkhu</w:t>
      </w:r>
      <w:r w:rsidRPr="00DC1A5F">
        <w:t>s</w:t>
      </w:r>
      <w:proofErr w:type="spellEnd"/>
      <w:r w:rsidRPr="00DC1A5F">
        <w:t>, experimenta dolor y pena aquí y ahora de tres maneras” (M III 163).</w:t>
      </w:r>
    </w:p>
    <w:p w14:paraId="264C234F" w14:textId="77777777" w:rsidR="00597DE2" w:rsidRPr="00DC1A5F" w:rsidRDefault="00597DE2" w:rsidP="00597DE2">
      <w:pPr>
        <w:pStyle w:val="NormalConSangria"/>
      </w:pPr>
      <w:r w:rsidRPr="00DC1A5F">
        <w:t>Ahora bien, estos estados se producirán con el surgimiento de las corrupciones, y así cuando se establezcan, se establecerán las corrupciones, causas de la ignorancia. Y cuando se establezcan las corrupciones, también se establecerá la ignorancia porque estará presente cuando su condición esté presente. Esto, en primer lugar, es cómo la ignorancia, etc., debe entenderse establecida por la aflicción, etc.</w:t>
      </w:r>
    </w:p>
    <w:p w14:paraId="51F366A3" w14:textId="77777777" w:rsidR="00597DE2" w:rsidRPr="00DC1A5F" w:rsidRDefault="00597DE2" w:rsidP="00597DE2">
      <w:r w:rsidRPr="00DC1A5F">
        <w:t xml:space="preserve">280. </w:t>
      </w:r>
      <w:r w:rsidRPr="00DC1A5F">
        <w:tab/>
        <w:t>2. No obstante, cuando la ignorancia se establezca desde que estará presente cuando su condición esté presente, y como “con la ignorancia como condición se origina las formaciones; con las formaciones como condición, se origina la consciencia”, no habrá un fin a la sucesión de causa y efecto de esta manera. En consecuencia, se establecerá que la Rueda del Devenir con sus 12 factores, que giran con el vínculo de causa y efecto, “no posee un comienzo cognoscible”.</w:t>
      </w:r>
    </w:p>
    <w:p w14:paraId="01B56C5C" w14:textId="77777777" w:rsidR="00597DE2" w:rsidRPr="00DC1A5F" w:rsidRDefault="00597DE2" w:rsidP="00597DE2">
      <w:r w:rsidRPr="00DC1A5F">
        <w:t xml:space="preserve">281. </w:t>
      </w:r>
      <w:r w:rsidRPr="00DC1A5F">
        <w:tab/>
        <w:t xml:space="preserve">Siendo esto así, ¿no se contradicen las palabras “Con la ignorancia como condición se originan las formaciones”, como una exposición con un simple comienzo? — Ésta no es una exposición de un simple comienzo. Es una exposición de un estado básico (ver §107). Ya que la ignorancia corresponderá a un estado básico de los tres ciclos (ver §298). Es debido al apoderamiento de la ignorancia, que el necio queda atrapado en el ciclo de las impurezas restantes, en las ruedas del </w:t>
      </w:r>
      <w:proofErr w:type="spellStart"/>
      <w:r w:rsidRPr="00DC1A5F">
        <w:rPr>
          <w:i/>
        </w:rPr>
        <w:t>kamma</w:t>
      </w:r>
      <w:proofErr w:type="spellEnd"/>
      <w:r w:rsidRPr="00DC1A5F">
        <w:t>, etc., tal como que es debido que con el atrapamiento de la cabeza de una serpiente en un brazo esté quedará atrapado en espirales por el resto de su cuerpo. No obstante, cuando se efectúe el truncamiento de la ignorancia, se liberará de ella tal como se liberaría el brazo atrapado en las espirales cuando se cortase la cabeza de la serpiente, según se dice al respecto, “Con el desvanecimiento sin residuos y la cesación de la ignorancia” (S II 1), etc. Así que ésta es una exposición de un estado básico mediante el cual habrá esclavitud para quien se aferre y liberación para quien se suelte: no corresponde a una exposición de un simple comienzo.</w:t>
      </w:r>
    </w:p>
    <w:p w14:paraId="280AC38A" w14:textId="77777777" w:rsidR="00597DE2" w:rsidRPr="00DC1A5F" w:rsidRDefault="00597DE2" w:rsidP="00597DE2">
      <w:pPr>
        <w:pStyle w:val="NormalConSangria"/>
      </w:pPr>
      <w:r w:rsidRPr="00DC1A5F">
        <w:t>Así es cómo deberá entenderse que la Rueda del Devenir no posee un comienzo cognoscible. [578]</w:t>
      </w:r>
    </w:p>
    <w:p w14:paraId="3FFC4EDD" w14:textId="77777777" w:rsidR="00597DE2" w:rsidRPr="00DC1A5F" w:rsidRDefault="00597DE2" w:rsidP="00597DE2">
      <w:r w:rsidRPr="00DC1A5F">
        <w:t xml:space="preserve">282. </w:t>
      </w:r>
      <w:r w:rsidRPr="00DC1A5F">
        <w:tab/>
        <w:t xml:space="preserve">3. Esta Rueda del Devenir </w:t>
      </w:r>
      <w:proofErr w:type="gramStart"/>
      <w:r w:rsidRPr="00DC1A5F">
        <w:t>consiste de</w:t>
      </w:r>
      <w:proofErr w:type="gramEnd"/>
      <w:r w:rsidRPr="00DC1A5F">
        <w:t xml:space="preserve"> la ocurrencia de las formaciones, etc., con la ignorancia, etc., como sus razones respectivas. Por lo tanto, se encuentra desprovista de cualquier perpetrador o creador suplementario respectivo, tal como se conjeturó sobre </w:t>
      </w:r>
      <w:r w:rsidRPr="00DC1A5F">
        <w:rPr>
          <w:i/>
        </w:rPr>
        <w:t>Brahmā</w:t>
      </w:r>
      <w:r w:rsidRPr="00DC1A5F">
        <w:t>: “</w:t>
      </w:r>
      <w:r w:rsidRPr="00DC1A5F">
        <w:rPr>
          <w:i/>
        </w:rPr>
        <w:t>Brahmā</w:t>
      </w:r>
      <w:r w:rsidRPr="00DC1A5F">
        <w:t xml:space="preserve"> el Más Grande, el Más Elevado, el Creador” (D I 18), quien fuera referido así para cumplir la función de un creador del ciclo de renacimientos; y esta rueda se encuentra desprovista de toda alma, en calidad de experimentador de placer y de dolor concebido como, “Ésta mi alma que habla y siente” (cf. M I 8). Así es cómo deberá entenderse que no posee ningún perpetrador, </w:t>
      </w:r>
      <w:r w:rsidRPr="00DC1A5F">
        <w:rPr>
          <w:color w:val="833C0B" w:themeColor="accent2" w:themeShade="80"/>
          <w:u w:color="000000"/>
        </w:rPr>
        <w:t>hacedor</w:t>
      </w:r>
      <w:r w:rsidRPr="00DC1A5F">
        <w:t xml:space="preserve"> o experimentador al respecto.</w:t>
      </w:r>
    </w:p>
    <w:p w14:paraId="4D6A5AF0" w14:textId="77777777" w:rsidR="00597DE2" w:rsidRPr="00DC1A5F" w:rsidRDefault="00597DE2" w:rsidP="00597DE2">
      <w:r w:rsidRPr="00DC1A5F">
        <w:t xml:space="preserve">283. </w:t>
      </w:r>
      <w:r w:rsidRPr="00DC1A5F">
        <w:tab/>
        <w:t xml:space="preserve">4. Sin embargo, la ignorancia y también los factores consistentes de las formaciones, etc., carecerán de perdurabilidad, ya que su naturaleza será la de surgir y desaparecer, careciendo de belleza, por ser impuras y generar impurezas, carentes de placer, ya que está oprimidas por el </w:t>
      </w:r>
    </w:p>
    <w:p w14:paraId="042F7D3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CE23F4E" w14:textId="77777777" w:rsidR="00597DE2" w:rsidRPr="00DC1A5F" w:rsidRDefault="00597DE2" w:rsidP="00597DE2">
      <w:pPr>
        <w:pStyle w:val="PiedepginaLegal"/>
        <w:numPr>
          <w:ilvl w:val="0"/>
          <w:numId w:val="6"/>
        </w:numPr>
        <w:tabs>
          <w:tab w:val="clear" w:pos="425"/>
        </w:tabs>
        <w:spacing w:after="160"/>
        <w:ind w:left="284" w:hanging="284"/>
      </w:pPr>
      <w:r w:rsidRPr="00DC1A5F">
        <w:t>Sus flores se marchitan, sus ropas se ensucian, les sale sudor por las axilas, sus cuerpos se vuelven antiestéticos y se agitan (ver M–a IV 170).</w:t>
      </w:r>
      <w:r w:rsidRPr="00DC1A5F">
        <w:br w:type="page"/>
      </w:r>
    </w:p>
    <w:p w14:paraId="7EA354E5" w14:textId="77777777" w:rsidR="00597DE2" w:rsidRPr="00DC1A5F" w:rsidRDefault="00597DE2" w:rsidP="00597DE2">
      <w:pPr>
        <w:pStyle w:val="Textoindependiente"/>
      </w:pPr>
      <w:r w:rsidRPr="00DC1A5F">
        <w:lastRenderedPageBreak/>
        <w:t xml:space="preserve">surgir y desaparecer, están vacías de cualquier individualidad susceptible del ejercicio del poder ya que existen en dependencia de sus respectivas condiciones. O la ignorancia —y asimismo los factores consistentes de las formaciones, etc.— no son ni alma, ni el alma de alguien, ni está poseído de alma. Es por ello </w:t>
      </w:r>
      <w:proofErr w:type="gramStart"/>
      <w:r w:rsidRPr="00DC1A5F">
        <w:t>que</w:t>
      </w:r>
      <w:proofErr w:type="gramEnd"/>
      <w:r w:rsidRPr="00DC1A5F">
        <w:t xml:space="preserve"> esta Rueda del Devenir deberá entenderse así, como “Vacía mediante 12 tipos de vacuidad”.</w:t>
      </w:r>
    </w:p>
    <w:p w14:paraId="5AFCD2EB" w14:textId="77777777" w:rsidR="00597DE2" w:rsidRPr="00DC1A5F" w:rsidRDefault="00597DE2" w:rsidP="00597DE2">
      <w:pPr>
        <w:pStyle w:val="Ttulo4"/>
        <w:ind w:left="708"/>
      </w:pPr>
      <w:r w:rsidRPr="00DC1A5F">
        <w:t>[(II) Los Tres Momentos]</w:t>
      </w:r>
    </w:p>
    <w:p w14:paraId="303479C8" w14:textId="77777777" w:rsidR="00597DE2" w:rsidRPr="00DC1A5F" w:rsidRDefault="00597DE2" w:rsidP="00597DE2">
      <w:pPr>
        <w:pStyle w:val="Textoindependiente"/>
      </w:pPr>
      <w:r w:rsidRPr="00DC1A5F">
        <w:t xml:space="preserve">284. </w:t>
      </w:r>
      <w:r w:rsidRPr="00DC1A5F">
        <w:tab/>
        <w:t>Después de conocer esto, nuevamente:</w:t>
      </w:r>
    </w:p>
    <w:p w14:paraId="6830C386" w14:textId="77777777" w:rsidR="00597DE2" w:rsidRPr="00DC1A5F" w:rsidRDefault="00597DE2" w:rsidP="00597DE2">
      <w:pPr>
        <w:pStyle w:val="VersoIngls01Sangria"/>
      </w:pPr>
      <w:r w:rsidRPr="00DC1A5F">
        <w:t>Sus raíces son la ignorancia y el deseo;</w:t>
      </w:r>
    </w:p>
    <w:p w14:paraId="31C9CBAA" w14:textId="77777777" w:rsidR="00597DE2" w:rsidRPr="00DC1A5F" w:rsidRDefault="00597DE2" w:rsidP="00597DE2">
      <w:pPr>
        <w:pStyle w:val="VersoIngls01Sangria"/>
      </w:pPr>
      <w:r w:rsidRPr="00DC1A5F">
        <w:t>Sus momentos son tres: pasado, presente y futuro,</w:t>
      </w:r>
    </w:p>
    <w:p w14:paraId="25970663" w14:textId="77777777" w:rsidR="00597DE2" w:rsidRPr="00DC1A5F" w:rsidRDefault="00597DE2" w:rsidP="00597DE2">
      <w:pPr>
        <w:pStyle w:val="VersoIngls01Sangria"/>
      </w:pPr>
      <w:r w:rsidRPr="00DC1A5F">
        <w:t>a los que pertenecerán propiamente</w:t>
      </w:r>
    </w:p>
    <w:p w14:paraId="2DDCBE56" w14:textId="77777777" w:rsidR="00597DE2" w:rsidRPr="00DC1A5F" w:rsidRDefault="00597DE2" w:rsidP="00597DE2">
      <w:pPr>
        <w:pStyle w:val="VersoIngls01Sangria"/>
        <w:spacing w:after="100"/>
        <w:ind w:left="1418"/>
      </w:pPr>
      <w:r w:rsidRPr="00DC1A5F">
        <w:t>Dos, ocho y dos factores, de sus doce factores.</w:t>
      </w:r>
    </w:p>
    <w:p w14:paraId="087EAFD4" w14:textId="77777777" w:rsidR="00597DE2" w:rsidRPr="00DC1A5F" w:rsidRDefault="00597DE2" w:rsidP="00597DE2">
      <w:r w:rsidRPr="00DC1A5F">
        <w:t xml:space="preserve">285. </w:t>
      </w:r>
      <w:r w:rsidRPr="00DC1A5F">
        <w:tab/>
        <w:t>Las 2 cosas, la ignorancia y el deseo, deberán entenderse como la raíz de esta Rueda del Devenir. De la derivación del pasado, la ignorancia será la raíz y la sensación el fin. Y de la continuación hacia el futuro, el deseo será la raíz y el envejecimiento y la muerte el fin. Será de 2 tipos de esta manera.</w:t>
      </w:r>
    </w:p>
    <w:p w14:paraId="7F2C0F89" w14:textId="77777777" w:rsidR="00597DE2" w:rsidRPr="00DC1A5F" w:rsidRDefault="00597DE2" w:rsidP="00597DE2">
      <w:r w:rsidRPr="00DC1A5F">
        <w:t xml:space="preserve">286. </w:t>
      </w:r>
      <w:r w:rsidRPr="00DC1A5F">
        <w:tab/>
        <w:t xml:space="preserve">Aquí, el primero se aplicará a alguien cuyo temperamento sea la visión incorrecta y el segundo se aplicará a alguien cuyo temperamento se base en el deseo. Ya que en el ciclo de renacimientos, la ignorancia conducirá a aquellos cuyo temperamento favorezca a la visión incorrecta, y el deseo a aquellos cuyo temperamento favorezca al deseo. O la primera tendrá el propósito de eliminar la visión nihilista porque, por la evidencia del efecto, comprobará que no existe ningún nihilismo de causas; y el segundo tendrá el propósito de eliminar la visión de la eternidad porque comprobará el envejecimiento y la muerte de lo que haya nacido. O el primero se tratará del bebé en el útero porque ilustrará la aparición sucesiva de las facultades y el segundo tratará del nacimiento </w:t>
      </w:r>
      <w:proofErr w:type="spellStart"/>
      <w:r w:rsidRPr="00DC1A5F">
        <w:t>aparicional</w:t>
      </w:r>
      <w:proofErr w:type="spellEnd"/>
      <w:r w:rsidRPr="00DC1A5F">
        <w:t xml:space="preserve"> debido a su aparición simultánea.</w:t>
      </w:r>
    </w:p>
    <w:p w14:paraId="585CEB76" w14:textId="77777777" w:rsidR="00597DE2" w:rsidRPr="00DC1A5F" w:rsidRDefault="00597DE2" w:rsidP="00597DE2">
      <w:r w:rsidRPr="00DC1A5F">
        <w:t xml:space="preserve">287. </w:t>
      </w:r>
      <w:r w:rsidRPr="00DC1A5F">
        <w:tab/>
        <w:t>El pasado, el presente y el futuro corresponderán a sus tres momentos. De estos, debe entenderse que, de acuerdo con lo que se dé como tal en los textos, los dos factores, ignorancia y formaciones, pertenecerán al momento pasado, los ocho que comienzan con la consciencia pertenecerán al momento presente, y los dos, nacimiento y vejez–y–muerte, corresponderán al momento futuro. [579]</w:t>
      </w:r>
    </w:p>
    <w:p w14:paraId="7FC1EEE5" w14:textId="77777777" w:rsidR="00597DE2" w:rsidRPr="00DC1A5F" w:rsidRDefault="00597DE2" w:rsidP="00597DE2">
      <w:pPr>
        <w:pStyle w:val="Ttulo4"/>
        <w:ind w:left="708"/>
      </w:pPr>
      <w:r w:rsidRPr="00DC1A5F">
        <w:t>[(III) Causa y Efecto]</w:t>
      </w:r>
    </w:p>
    <w:p w14:paraId="4DF6D003" w14:textId="77777777" w:rsidR="00597DE2" w:rsidRPr="00DC1A5F" w:rsidRDefault="00597DE2" w:rsidP="00597DE2">
      <w:pPr>
        <w:pStyle w:val="Textoindependiente"/>
      </w:pPr>
      <w:r w:rsidRPr="00DC1A5F">
        <w:t xml:space="preserve">288. </w:t>
      </w:r>
      <w:r w:rsidRPr="00DC1A5F">
        <w:tab/>
        <w:t>De nuevo, esto deberá entenderse así:</w:t>
      </w:r>
    </w:p>
    <w:p w14:paraId="1096D0A5" w14:textId="77777777" w:rsidR="00597DE2" w:rsidRPr="00DC1A5F" w:rsidRDefault="00597DE2" w:rsidP="00597DE2">
      <w:pPr>
        <w:pStyle w:val="VersoIngls01Sangria"/>
      </w:pPr>
      <w:r w:rsidRPr="00DC1A5F">
        <w:t>(1) Posee tres vínculos con causa, efecto, causa,</w:t>
      </w:r>
    </w:p>
    <w:p w14:paraId="04CEFD59" w14:textId="77777777" w:rsidR="00597DE2" w:rsidRPr="00DC1A5F" w:rsidRDefault="00597DE2" w:rsidP="00597DE2">
      <w:pPr>
        <w:pStyle w:val="VersoIngls01Sangria"/>
      </w:pPr>
      <w:r w:rsidRPr="00DC1A5F">
        <w:t>Como sus primeras partes; y (2) cuatro secciones diferentes;</w:t>
      </w:r>
    </w:p>
    <w:p w14:paraId="13D9E3AD" w14:textId="77777777" w:rsidR="00597DE2" w:rsidRPr="00DC1A5F" w:rsidRDefault="00597DE2" w:rsidP="00597DE2">
      <w:pPr>
        <w:pStyle w:val="VersoIngls01Sangria"/>
      </w:pPr>
      <w:r w:rsidRPr="00DC1A5F">
        <w:t>(3) Sus radios corresponderán a veinte cualidades;</w:t>
      </w:r>
    </w:p>
    <w:p w14:paraId="29001AFF" w14:textId="77777777" w:rsidR="00597DE2" w:rsidRPr="00DC1A5F" w:rsidRDefault="00597DE2" w:rsidP="00597DE2">
      <w:pPr>
        <w:pStyle w:val="VersoIngls01Sangria"/>
        <w:spacing w:after="100"/>
        <w:ind w:left="1418"/>
      </w:pPr>
      <w:r w:rsidRPr="00DC1A5F">
        <w:t>(4) Con un ciclo triple girando para siempre.</w:t>
      </w:r>
    </w:p>
    <w:p w14:paraId="0418767E" w14:textId="77777777" w:rsidR="00597DE2" w:rsidRPr="00DC1A5F" w:rsidRDefault="00597DE2" w:rsidP="00597DE2">
      <w:pPr>
        <w:pStyle w:val="Textoindependiente"/>
      </w:pPr>
      <w:r w:rsidRPr="00DC1A5F">
        <w:t xml:space="preserve">289. </w:t>
      </w:r>
      <w:r w:rsidRPr="00DC1A5F">
        <w:tab/>
        <w:t>1. Aquí, entre las formaciones y la consciencia del vínculo–de–renacimiento existirá un vínculo consistente del fenómeno causa–efecto. Entre la sensación y el deseo habrá un vínculo consistente del fenómeno efecto–causa. Y entre el devenir y el nacimiento habrá un vínculo consistente del fenómeno causa–efecto. Así debe entenderse cómo</w:t>
      </w:r>
      <w:r w:rsidRPr="00DC1A5F">
        <w:rPr>
          <w:i/>
          <w:iCs/>
        </w:rPr>
        <w:t xml:space="preserve"> posee tres vínculos con causa, efecto, causa, como sus primeras partes.</w:t>
      </w:r>
    </w:p>
    <w:p w14:paraId="398668AF" w14:textId="77777777" w:rsidR="00597DE2" w:rsidRPr="00DC1A5F" w:rsidRDefault="00597DE2" w:rsidP="00597DE2">
      <w:pPr>
        <w:tabs>
          <w:tab w:val="clear" w:pos="425"/>
        </w:tabs>
        <w:spacing w:after="160"/>
      </w:pPr>
      <w:r w:rsidRPr="00DC1A5F">
        <w:br w:type="page"/>
      </w:r>
    </w:p>
    <w:p w14:paraId="746AE227" w14:textId="77777777" w:rsidR="00597DE2" w:rsidRPr="00DC1A5F" w:rsidRDefault="00597DE2" w:rsidP="00597DE2">
      <w:r w:rsidRPr="00DC1A5F">
        <w:lastRenderedPageBreak/>
        <w:t xml:space="preserve">290. </w:t>
      </w:r>
      <w:r w:rsidRPr="00DC1A5F">
        <w:tab/>
        <w:t xml:space="preserve">2. No obstante, existirán 4 secciones, determinadas por los finales y comienzos de los vínculos, es decir, ignorancia/formaciones corresponderá a una sección; consciencia/mentalidad–materialidad/base séxtuple/contacto/sensación corresponderá a la segunda sección; deseo/apego/devenir corresponderá a la tercera sección; y nacimiento/envejecimiento–y–muerte corresponderá a la cuarta y última sección. Así debe entenderse cómo poseerá </w:t>
      </w:r>
      <w:r w:rsidRPr="00DC1A5F">
        <w:rPr>
          <w:i/>
          <w:iCs/>
        </w:rPr>
        <w:t>cuatro secciones diferentes</w:t>
      </w:r>
      <w:r w:rsidRPr="00DC1A5F">
        <w:t>.</w:t>
      </w:r>
    </w:p>
    <w:p w14:paraId="4372F78A" w14:textId="77777777" w:rsidR="00597DE2" w:rsidRPr="00DC1A5F" w:rsidRDefault="00597DE2" w:rsidP="00597DE2">
      <w:r w:rsidRPr="00DC1A5F">
        <w:t xml:space="preserve">291. </w:t>
      </w:r>
      <w:r w:rsidRPr="00DC1A5F">
        <w:tab/>
        <w:t>3. Entonces:</w:t>
      </w:r>
    </w:p>
    <w:p w14:paraId="2C8F4F43" w14:textId="77777777" w:rsidR="00597DE2" w:rsidRPr="00DC1A5F" w:rsidRDefault="00597DE2" w:rsidP="00597DE2">
      <w:pPr>
        <w:pStyle w:val="VersoIngls01Sangria"/>
        <w:rPr>
          <w:sz w:val="16"/>
          <w:szCs w:val="20"/>
        </w:rPr>
      </w:pPr>
      <w:r w:rsidRPr="00DC1A5F">
        <w:rPr>
          <w:sz w:val="16"/>
          <w:szCs w:val="20"/>
        </w:rPr>
        <w:t>(a) Existieron cinco causas en el pasado,</w:t>
      </w:r>
    </w:p>
    <w:p w14:paraId="10E086EC" w14:textId="77777777" w:rsidR="00597DE2" w:rsidRPr="00DC1A5F" w:rsidRDefault="00597DE2" w:rsidP="00597DE2">
      <w:pPr>
        <w:pStyle w:val="VersoIngls01Sangria"/>
        <w:rPr>
          <w:sz w:val="16"/>
          <w:szCs w:val="20"/>
        </w:rPr>
      </w:pPr>
      <w:r w:rsidRPr="00DC1A5F">
        <w:rPr>
          <w:sz w:val="16"/>
          <w:szCs w:val="20"/>
        </w:rPr>
        <w:t>(b) Y ahora se dan cinco efectos;</w:t>
      </w:r>
    </w:p>
    <w:p w14:paraId="10A4CD73" w14:textId="77777777" w:rsidR="00597DE2" w:rsidRPr="00DC1A5F" w:rsidRDefault="00597DE2" w:rsidP="00597DE2">
      <w:pPr>
        <w:pStyle w:val="VersoIngls01Sangria"/>
        <w:rPr>
          <w:sz w:val="16"/>
          <w:szCs w:val="20"/>
        </w:rPr>
      </w:pPr>
      <w:r w:rsidRPr="00DC1A5F">
        <w:rPr>
          <w:sz w:val="16"/>
          <w:szCs w:val="20"/>
        </w:rPr>
        <w:t xml:space="preserve">(c) Y también cinco causas, </w:t>
      </w:r>
    </w:p>
    <w:p w14:paraId="1D6A73B8" w14:textId="77777777" w:rsidR="00597DE2" w:rsidRPr="00DC1A5F" w:rsidRDefault="00597DE2" w:rsidP="00597DE2">
      <w:pPr>
        <w:pStyle w:val="VersoIngls01Sangria"/>
        <w:spacing w:after="100"/>
        <w:ind w:left="1418"/>
        <w:rPr>
          <w:sz w:val="16"/>
          <w:szCs w:val="20"/>
        </w:rPr>
      </w:pPr>
      <w:r w:rsidRPr="00DC1A5F">
        <w:rPr>
          <w:sz w:val="16"/>
          <w:szCs w:val="20"/>
        </w:rPr>
        <w:t>(d) Y en el futuro se producirán cinco efectos.</w:t>
      </w:r>
    </w:p>
    <w:p w14:paraId="17E62380" w14:textId="77777777" w:rsidR="00597DE2" w:rsidRPr="00DC1A5F" w:rsidRDefault="00597DE2" w:rsidP="00597DE2">
      <w:pPr>
        <w:pStyle w:val="NormalConSangria"/>
      </w:pPr>
      <w:r w:rsidRPr="00DC1A5F">
        <w:t xml:space="preserve">Es de acuerdo con estos 20 radios llamados “cualidades” que deberán entenderse las palabras </w:t>
      </w:r>
      <w:r w:rsidRPr="00DC1A5F">
        <w:rPr>
          <w:i/>
          <w:iCs/>
        </w:rPr>
        <w:t>sus radios corresponderán a veinte cualidades</w:t>
      </w:r>
      <w:r w:rsidRPr="00DC1A5F">
        <w:t>.</w:t>
      </w:r>
    </w:p>
    <w:p w14:paraId="72ECAE2D" w14:textId="77777777" w:rsidR="00597DE2" w:rsidRPr="00DC1A5F" w:rsidRDefault="00597DE2" w:rsidP="00597DE2">
      <w:r w:rsidRPr="00DC1A5F">
        <w:t xml:space="preserve">292. </w:t>
      </w:r>
      <w:r w:rsidRPr="00DC1A5F">
        <w:tab/>
        <w:t xml:space="preserve">(a) Aquí, con respecto a las palabras </w:t>
      </w:r>
      <w:r w:rsidRPr="00DC1A5F">
        <w:rPr>
          <w:i/>
          <w:iCs/>
        </w:rPr>
        <w:t>Existieron cinco causas en el pasado</w:t>
      </w:r>
      <w:r w:rsidRPr="00DC1A5F">
        <w:t xml:space="preserve">, en primer lugar, se mencionan sólo estas dos, es decir, a la ignorancia y a las formaciones. No obstante, el que sea ignorante deseará, y al desear, se apegará, y con su apego como condición se producirá el devenir; por lo tanto, el deseo, el apego y el devenir también estarán incluidos. Por eso se dice al respecto: “En el devenir del proceso </w:t>
      </w:r>
      <w:proofErr w:type="spellStart"/>
      <w:r w:rsidRPr="00DC1A5F">
        <w:rPr>
          <w:i/>
        </w:rPr>
        <w:t>kammico</w:t>
      </w:r>
      <w:proofErr w:type="spellEnd"/>
      <w:r w:rsidRPr="00DC1A5F">
        <w:t xml:space="preserve"> pasado, se da la ilusión, que corresponde a la </w:t>
      </w:r>
      <w:r w:rsidRPr="00DC1A5F">
        <w:rPr>
          <w:i/>
          <w:iCs/>
        </w:rPr>
        <w:t>ignorancia</w:t>
      </w:r>
      <w:r w:rsidRPr="00DC1A5F">
        <w:t xml:space="preserve">; se da la acumulación, que corresponde a las </w:t>
      </w:r>
      <w:r w:rsidRPr="00DC1A5F">
        <w:rPr>
          <w:i/>
          <w:iCs/>
        </w:rPr>
        <w:t>formaciones</w:t>
      </w:r>
      <w:r w:rsidRPr="00DC1A5F">
        <w:t xml:space="preserve">; se da el apego, que corresponde al </w:t>
      </w:r>
      <w:r w:rsidRPr="00DC1A5F">
        <w:rPr>
          <w:i/>
          <w:iCs/>
        </w:rPr>
        <w:t>deseo</w:t>
      </w:r>
      <w:r w:rsidRPr="00DC1A5F">
        <w:t xml:space="preserve">; se da el abarcamiento, que corresponde al </w:t>
      </w:r>
      <w:r w:rsidRPr="00DC1A5F">
        <w:rPr>
          <w:i/>
          <w:iCs/>
        </w:rPr>
        <w:t>apego</w:t>
      </w:r>
      <w:r w:rsidRPr="00DC1A5F">
        <w:t xml:space="preserve">; se da la volición, que corresponde al </w:t>
      </w:r>
      <w:r w:rsidRPr="00DC1A5F">
        <w:rPr>
          <w:i/>
          <w:iCs/>
        </w:rPr>
        <w:t>devenir</w:t>
      </w:r>
      <w:r w:rsidRPr="00DC1A5F">
        <w:t xml:space="preserve">; por lo tanto, estos 5 objetos del devenir del proceso </w:t>
      </w:r>
      <w:proofErr w:type="spellStart"/>
      <w:r w:rsidRPr="00DC1A5F">
        <w:rPr>
          <w:i/>
        </w:rPr>
        <w:t>kammico</w:t>
      </w:r>
      <w:proofErr w:type="spellEnd"/>
      <w:r w:rsidRPr="00DC1A5F">
        <w:t xml:space="preserve"> pasado corresponderán a las condiciones para el vínculo–de–renacimiento aquí, en el devenir presente” (</w:t>
      </w:r>
      <w:proofErr w:type="spellStart"/>
      <w:r w:rsidRPr="00DC1A5F">
        <w:rPr>
          <w:i/>
          <w:iCs/>
        </w:rPr>
        <w:t>Paṭis</w:t>
      </w:r>
      <w:proofErr w:type="spellEnd"/>
      <w:r w:rsidRPr="00DC1A5F">
        <w:t xml:space="preserve"> I 52).</w:t>
      </w:r>
    </w:p>
    <w:p w14:paraId="7CE2FBE4" w14:textId="77777777" w:rsidR="00597DE2" w:rsidRPr="00DC1A5F" w:rsidRDefault="00597DE2" w:rsidP="00597DE2">
      <w:r w:rsidRPr="00DC1A5F">
        <w:t xml:space="preserve">293. </w:t>
      </w:r>
      <w:r w:rsidRPr="00DC1A5F">
        <w:tab/>
        <w:t xml:space="preserve">Aquí, en el </w:t>
      </w:r>
      <w:r w:rsidRPr="00DC1A5F">
        <w:rPr>
          <w:i/>
          <w:iCs/>
        </w:rPr>
        <w:t>devenir</w:t>
      </w:r>
      <w:r w:rsidRPr="00DC1A5F">
        <w:t xml:space="preserve"> </w:t>
      </w:r>
      <w:r w:rsidRPr="00DC1A5F">
        <w:rPr>
          <w:i/>
          <w:iCs/>
        </w:rPr>
        <w:t>del</w:t>
      </w:r>
      <w:r w:rsidRPr="00DC1A5F">
        <w:t xml:space="preserve"> </w:t>
      </w:r>
      <w:r w:rsidRPr="00DC1A5F">
        <w:rPr>
          <w:i/>
          <w:iCs/>
        </w:rPr>
        <w:t xml:space="preserve">proceso </w:t>
      </w:r>
      <w:proofErr w:type="spellStart"/>
      <w:r w:rsidRPr="00DC1A5F">
        <w:rPr>
          <w:i/>
          <w:iCs/>
        </w:rPr>
        <w:t>kammico</w:t>
      </w:r>
      <w:proofErr w:type="spellEnd"/>
      <w:r w:rsidRPr="00DC1A5F">
        <w:rPr>
          <w:i/>
          <w:iCs/>
        </w:rPr>
        <w:t xml:space="preserve"> pasado </w:t>
      </w:r>
      <w:r w:rsidRPr="00DC1A5F">
        <w:t xml:space="preserve">significa en el devenir del proceso del </w:t>
      </w:r>
      <w:proofErr w:type="spellStart"/>
      <w:r w:rsidRPr="00DC1A5F">
        <w:rPr>
          <w:i/>
        </w:rPr>
        <w:t>kamma</w:t>
      </w:r>
      <w:proofErr w:type="spellEnd"/>
      <w:r w:rsidRPr="00DC1A5F">
        <w:t xml:space="preserve"> realizado en el nacimiento pasado. </w:t>
      </w:r>
      <w:r w:rsidRPr="00DC1A5F">
        <w:rPr>
          <w:i/>
          <w:iCs/>
        </w:rPr>
        <w:t>Se da la ilusión, que corresponde a la ignorancia</w:t>
      </w:r>
      <w:r w:rsidRPr="00DC1A5F">
        <w:t xml:space="preserve">, significa que la ilusión que entonces se dio con respecto al sufrimiento, etc., ilusión por medio del cual el hombre produjo un </w:t>
      </w:r>
      <w:proofErr w:type="spellStart"/>
      <w:r w:rsidRPr="00DC1A5F">
        <w:rPr>
          <w:i/>
        </w:rPr>
        <w:t>kamma</w:t>
      </w:r>
      <w:proofErr w:type="spellEnd"/>
      <w:r w:rsidRPr="00DC1A5F">
        <w:t xml:space="preserve">, era ignorancia. </w:t>
      </w:r>
      <w:r w:rsidRPr="00DC1A5F">
        <w:rPr>
          <w:i/>
          <w:iCs/>
        </w:rPr>
        <w:t>Se da una acumulación, que corresponde a las formaciones</w:t>
      </w:r>
      <w:r w:rsidRPr="00DC1A5F">
        <w:t xml:space="preserve"> significa las voliciones pasadas y surgidas en quien preparaba las cosas necesarias para un presente durante un mes, tal vez, o un año después de haber tenido el pensamiento: “Te daré un presente”. [580] No obstante, son las voliciones de quien realmente esté poniendo las ofrendas en las manos de los destinatarios a lo que se denominará “devenir”. O bien, es la volición que será la acumulación de seis de los impulsos de una sola advertencia a lo que se le denominará “formaciones”, y a la séptima volición se le denominará “devenir”. O, a cualquier tipo de volición se le denominará “devenir” y a las acumulaciones asociadas con ella se le denominarán “formaciones”. </w:t>
      </w:r>
      <w:r w:rsidRPr="00DC1A5F">
        <w:rPr>
          <w:i/>
          <w:iCs/>
        </w:rPr>
        <w:t xml:space="preserve">Se da el apego, que corresponde al deseo </w:t>
      </w:r>
      <w:r w:rsidRPr="00DC1A5F">
        <w:t xml:space="preserve">significa que en alguien que cometa un </w:t>
      </w:r>
      <w:proofErr w:type="spellStart"/>
      <w:r w:rsidRPr="00DC1A5F">
        <w:rPr>
          <w:i/>
        </w:rPr>
        <w:t>kamma</w:t>
      </w:r>
      <w:proofErr w:type="spellEnd"/>
      <w:r w:rsidRPr="00DC1A5F">
        <w:t xml:space="preserve">, a cualquier apego y aspiración que haya como efecto del proceso del devenir de renacimiento se le denominará deseo. </w:t>
      </w:r>
      <w:r w:rsidRPr="00DC1A5F">
        <w:rPr>
          <w:i/>
          <w:iCs/>
        </w:rPr>
        <w:t>Se da el abarcamiento, que corresponderá</w:t>
      </w:r>
      <w:r w:rsidRPr="00DC1A5F">
        <w:t xml:space="preserve"> </w:t>
      </w:r>
      <w:r w:rsidRPr="00DC1A5F">
        <w:rPr>
          <w:i/>
          <w:iCs/>
        </w:rPr>
        <w:t>al apego</w:t>
      </w:r>
      <w:r w:rsidRPr="00DC1A5F">
        <w:t xml:space="preserve">, significa que al abarcamiento, al aferramiento, a la adherencia, condición para que el proceso </w:t>
      </w:r>
      <w:proofErr w:type="spellStart"/>
      <w:r w:rsidRPr="00DC1A5F">
        <w:rPr>
          <w:i/>
        </w:rPr>
        <w:t>kammico</w:t>
      </w:r>
      <w:proofErr w:type="spellEnd"/>
      <w:r w:rsidRPr="00DC1A5F">
        <w:t xml:space="preserve"> se convierta y ocurra así: “Al hacer esto, preservaré, o eliminaré, el deseo de los sentidos en tal y cual forma, en tal y cual lugar”, se les llama apego. </w:t>
      </w:r>
      <w:r w:rsidRPr="00DC1A5F">
        <w:rPr>
          <w:i/>
          <w:iCs/>
        </w:rPr>
        <w:t>Se da la volición, que corresponderá</w:t>
      </w:r>
      <w:r w:rsidRPr="00DC1A5F">
        <w:t xml:space="preserve"> </w:t>
      </w:r>
      <w:r w:rsidRPr="00DC1A5F">
        <w:rPr>
          <w:i/>
          <w:iCs/>
        </w:rPr>
        <w:t>al devenir</w:t>
      </w:r>
      <w:r w:rsidRPr="00DC1A5F">
        <w:t xml:space="preserve"> significa que el tipo de volición ya mencionado al final de la oración que tratará sobre la acumulación corresponderá al devenir. Así es como debe entenderse el significado.</w:t>
      </w:r>
    </w:p>
    <w:p w14:paraId="2AE64A4C" w14:textId="77777777" w:rsidR="00597DE2" w:rsidRPr="00DC1A5F" w:rsidRDefault="00597DE2" w:rsidP="00597DE2">
      <w:r w:rsidRPr="00DC1A5F">
        <w:t xml:space="preserve">294. </w:t>
      </w:r>
      <w:r w:rsidRPr="00DC1A5F">
        <w:tab/>
        <w:t xml:space="preserve">(b) </w:t>
      </w:r>
      <w:r w:rsidRPr="00DC1A5F">
        <w:rPr>
          <w:i/>
          <w:iCs/>
        </w:rPr>
        <w:t>Y ahora se dan cinco efectos</w:t>
      </w:r>
      <w:r w:rsidRPr="00DC1A5F">
        <w:t xml:space="preserve"> (§291) significa lo que se expone en el texto que comienza con la consciencia y termina con la sensación, según se dice al respecto: “Aquí, en el devenir presente, se da un vínculo–de–renacimiento, que corresponde a la </w:t>
      </w:r>
      <w:r w:rsidRPr="00DC1A5F">
        <w:rPr>
          <w:i/>
          <w:iCs/>
        </w:rPr>
        <w:t>consciencia</w:t>
      </w:r>
      <w:r w:rsidRPr="00DC1A5F">
        <w:t xml:space="preserve">; se da el descenso en la matriz, que corresponde a la </w:t>
      </w:r>
      <w:r w:rsidRPr="00DC1A5F">
        <w:rPr>
          <w:i/>
          <w:iCs/>
        </w:rPr>
        <w:t>mentalidad–materialidad;</w:t>
      </w:r>
      <w:r w:rsidRPr="00DC1A5F">
        <w:t xml:space="preserve"> se da la sensibilidad, que </w:t>
      </w:r>
      <w:r w:rsidRPr="00DC1A5F">
        <w:br w:type="page"/>
      </w:r>
    </w:p>
    <w:p w14:paraId="5FBD11CF" w14:textId="77777777" w:rsidR="00597DE2" w:rsidRPr="00DC1A5F" w:rsidRDefault="00597DE2" w:rsidP="00597DE2"/>
    <w:p w14:paraId="736127FC" w14:textId="77777777" w:rsidR="00597DE2" w:rsidRPr="00DC1A5F" w:rsidRDefault="00597DE2" w:rsidP="00597DE2">
      <w:pPr>
        <w:pStyle w:val="Textoindependiente"/>
      </w:pPr>
      <w:r w:rsidRPr="00DC1A5F">
        <w:t xml:space="preserve">corresponde a la </w:t>
      </w:r>
      <w:r w:rsidRPr="00DC1A5F">
        <w:rPr>
          <w:i/>
          <w:iCs/>
        </w:rPr>
        <w:t>base sensorial</w:t>
      </w:r>
      <w:r w:rsidRPr="00DC1A5F">
        <w:t xml:space="preserve">; se da lo que se toque, que corresponde al </w:t>
      </w:r>
      <w:r w:rsidRPr="00DC1A5F">
        <w:rPr>
          <w:i/>
          <w:iCs/>
        </w:rPr>
        <w:t>contacto</w:t>
      </w:r>
      <w:r w:rsidRPr="00DC1A5F">
        <w:t xml:space="preserve">; se da lo que se sienta, que corresponde a la </w:t>
      </w:r>
      <w:r w:rsidRPr="00DC1A5F">
        <w:rPr>
          <w:i/>
          <w:iCs/>
        </w:rPr>
        <w:t>sensación</w:t>
      </w:r>
      <w:r w:rsidRPr="00DC1A5F">
        <w:t>; por lo tanto, estas 5 cosas aquí en el proceso del devenir de renacimiento presente poseen sus condiciones</w:t>
      </w:r>
      <w:r w:rsidRPr="00DC1A5F">
        <w:rPr>
          <w:vertAlign w:val="superscript"/>
        </w:rPr>
        <w:t>44</w:t>
      </w:r>
      <w:r w:rsidRPr="00DC1A5F">
        <w:t xml:space="preserve"> en el </w:t>
      </w:r>
      <w:proofErr w:type="spellStart"/>
      <w:r w:rsidRPr="00DC1A5F">
        <w:rPr>
          <w:i/>
        </w:rPr>
        <w:t>kamma</w:t>
      </w:r>
      <w:proofErr w:type="spellEnd"/>
      <w:r w:rsidRPr="00DC1A5F">
        <w:t xml:space="preserve"> realizado en el pasado” (</w:t>
      </w:r>
      <w:proofErr w:type="spellStart"/>
      <w:r w:rsidRPr="00DC1A5F">
        <w:rPr>
          <w:i/>
          <w:iCs/>
        </w:rPr>
        <w:t>Paṭis</w:t>
      </w:r>
      <w:proofErr w:type="spellEnd"/>
      <w:r w:rsidRPr="00DC1A5F">
        <w:t xml:space="preserve"> I 52).</w:t>
      </w:r>
    </w:p>
    <w:p w14:paraId="7147DD10" w14:textId="77777777" w:rsidR="00597DE2" w:rsidRPr="00DC1A5F" w:rsidRDefault="00597DE2" w:rsidP="00597DE2">
      <w:r w:rsidRPr="00DC1A5F">
        <w:t xml:space="preserve">295. </w:t>
      </w:r>
      <w:r w:rsidRPr="00DC1A5F">
        <w:tab/>
        <w:t xml:space="preserve">Aquí, se da un </w:t>
      </w:r>
      <w:r w:rsidRPr="00DC1A5F">
        <w:rPr>
          <w:i/>
          <w:iCs/>
        </w:rPr>
        <w:t>vínculo–de–renacimiento, que corresponde a la consciencia</w:t>
      </w:r>
      <w:r w:rsidRPr="00DC1A5F">
        <w:t xml:space="preserve"> significa lo que se conocerá como “vínculo–de–renacimiento” porque surgirá vinculando al próximo devenir lo cual corresponderá a una consciencia. </w:t>
      </w:r>
      <w:r w:rsidRPr="00DC1A5F">
        <w:rPr>
          <w:i/>
          <w:iCs/>
        </w:rPr>
        <w:t>Se da el descenso</w:t>
      </w:r>
      <w:r w:rsidRPr="00DC1A5F">
        <w:t xml:space="preserve"> </w:t>
      </w:r>
      <w:r w:rsidRPr="00DC1A5F">
        <w:rPr>
          <w:i/>
          <w:iCs/>
        </w:rPr>
        <w:t>a la</w:t>
      </w:r>
      <w:r w:rsidRPr="00DC1A5F">
        <w:t xml:space="preserve"> </w:t>
      </w:r>
      <w:r w:rsidRPr="00DC1A5F">
        <w:rPr>
          <w:i/>
          <w:iCs/>
        </w:rPr>
        <w:t>matriz</w:t>
      </w:r>
      <w:r w:rsidRPr="00DC1A5F">
        <w:t xml:space="preserve">, </w:t>
      </w:r>
      <w:r w:rsidRPr="00DC1A5F">
        <w:rPr>
          <w:i/>
          <w:iCs/>
        </w:rPr>
        <w:t>que corresponde a la mentalidad–materialidad</w:t>
      </w:r>
      <w:r w:rsidRPr="00DC1A5F">
        <w:t xml:space="preserve"> significa que será aquello que </w:t>
      </w:r>
      <w:proofErr w:type="gramStart"/>
      <w:r w:rsidRPr="00DC1A5F">
        <w:t>consista del</w:t>
      </w:r>
      <w:proofErr w:type="gramEnd"/>
      <w:r w:rsidRPr="00DC1A5F">
        <w:t xml:space="preserve"> descenso desde los estados materiales e inmateriales hacia una matriz, su llegada y entrada, por así decirlo, corresponderá a la mentalidad–materialidad. </w:t>
      </w:r>
      <w:r w:rsidRPr="00DC1A5F">
        <w:rPr>
          <w:i/>
          <w:iCs/>
        </w:rPr>
        <w:t>Se da la sensibilidad, que corresponde a la base sensorial</w:t>
      </w:r>
      <w:r w:rsidRPr="00DC1A5F">
        <w:t xml:space="preserve">: esto se dice con respecto a las cinco bases comenzando por el ojo. </w:t>
      </w:r>
      <w:r w:rsidRPr="00DC1A5F">
        <w:rPr>
          <w:i/>
          <w:iCs/>
        </w:rPr>
        <w:t>Se da lo que se toque, que corresponde al contacto</w:t>
      </w:r>
      <w:r w:rsidRPr="00DC1A5F">
        <w:t xml:space="preserve"> significa que aquello que surja cuando se produzca el contacto con un objeto o al tocarlo, eso corresponderá al contacto. </w:t>
      </w:r>
      <w:r w:rsidRPr="00DC1A5F">
        <w:rPr>
          <w:i/>
          <w:iCs/>
        </w:rPr>
        <w:t>Se da lo que se sienta, que corresponde a una sensación</w:t>
      </w:r>
      <w:r w:rsidRPr="00DC1A5F">
        <w:t xml:space="preserve"> significa que será lo que se sienta como resultado del </w:t>
      </w:r>
      <w:proofErr w:type="spellStart"/>
      <w:r w:rsidRPr="00DC1A5F">
        <w:rPr>
          <w:i/>
        </w:rPr>
        <w:t>kamma</w:t>
      </w:r>
      <w:proofErr w:type="spellEnd"/>
      <w:r w:rsidRPr="00DC1A5F">
        <w:t xml:space="preserve"> que surgirá junto con la consciencia que vincule el renacimiento, o con el contacto que tenga la base séxtuple como condición, eso corresponderá a una sensación. Así debe entenderse el significado.</w:t>
      </w:r>
    </w:p>
    <w:p w14:paraId="6CF8AC04" w14:textId="77777777" w:rsidR="00597DE2" w:rsidRPr="00DC1A5F" w:rsidRDefault="00597DE2" w:rsidP="00597DE2">
      <w:r w:rsidRPr="00DC1A5F">
        <w:t>296.</w:t>
      </w:r>
      <w:r w:rsidRPr="00DC1A5F">
        <w:tab/>
        <w:t xml:space="preserve">(c) </w:t>
      </w:r>
      <w:r w:rsidRPr="00DC1A5F">
        <w:rPr>
          <w:i/>
          <w:iCs/>
        </w:rPr>
        <w:t>Se darán cinco causas también</w:t>
      </w:r>
      <w:r w:rsidRPr="00DC1A5F">
        <w:t xml:space="preserve"> </w:t>
      </w:r>
      <w:r w:rsidRPr="00DC1A5F">
        <w:rPr>
          <w:i/>
          <w:iCs/>
        </w:rPr>
        <w:t xml:space="preserve">ahora </w:t>
      </w:r>
      <w:r w:rsidRPr="00DC1A5F">
        <w:t xml:space="preserve">(§291) significa deseo, etc. El deseo, el apego y el devenir se exponen en el texto. No obstante, cuando se incluya el devenir, se incluirán también las formaciones que las precederán o se les asociarán. Y al incluir el deseo y el apego, también se incluirá la ignorancia asociada a ellos, afectada por la ilusión por la cual un hombre realiza diversos </w:t>
      </w:r>
      <w:proofErr w:type="spellStart"/>
      <w:r w:rsidRPr="00DC1A5F">
        <w:rPr>
          <w:i/>
        </w:rPr>
        <w:t>kammas</w:t>
      </w:r>
      <w:proofErr w:type="spellEnd"/>
      <w:r w:rsidRPr="00DC1A5F">
        <w:t xml:space="preserve">. Es así cómo serán cinco causas. Por eso se dice al respecto: “Aquí, en el devenir presente, con la maduración de las bases se manifiesta la ilusión, correspondiente a la </w:t>
      </w:r>
      <w:r w:rsidRPr="00DC1A5F">
        <w:rPr>
          <w:i/>
          <w:iCs/>
        </w:rPr>
        <w:t>ignorancia</w:t>
      </w:r>
      <w:r w:rsidRPr="00DC1A5F">
        <w:t xml:space="preserve">; existe la acumulación, correspondiente a las </w:t>
      </w:r>
      <w:r w:rsidRPr="00DC1A5F">
        <w:rPr>
          <w:i/>
          <w:iCs/>
        </w:rPr>
        <w:t>formaciones</w:t>
      </w:r>
      <w:r w:rsidRPr="00DC1A5F">
        <w:t xml:space="preserve">; existe el apego, correspondiente al </w:t>
      </w:r>
      <w:r w:rsidRPr="00DC1A5F">
        <w:rPr>
          <w:i/>
          <w:iCs/>
        </w:rPr>
        <w:t>deseo</w:t>
      </w:r>
      <w:r w:rsidRPr="00DC1A5F">
        <w:t xml:space="preserve">; existe el abarcamiento, correspondiente al apego; existe la volición, correspondiente al </w:t>
      </w:r>
      <w:r w:rsidRPr="00DC1A5F">
        <w:rPr>
          <w:i/>
          <w:iCs/>
        </w:rPr>
        <w:t>devenir</w:t>
      </w:r>
      <w:r w:rsidRPr="00DC1A5F">
        <w:t xml:space="preserve">; por lo tanto, estas cinco cosas aquí en el devenir del proceso </w:t>
      </w:r>
      <w:proofErr w:type="spellStart"/>
      <w:r w:rsidRPr="00DC1A5F">
        <w:rPr>
          <w:i/>
        </w:rPr>
        <w:t>kammico</w:t>
      </w:r>
      <w:proofErr w:type="spellEnd"/>
      <w:r w:rsidRPr="00DC1A5F">
        <w:t xml:space="preserve"> corresponderá a las condiciones para el renacimiento en el futuro” (</w:t>
      </w:r>
      <w:proofErr w:type="spellStart"/>
      <w:r w:rsidRPr="00DC1A5F">
        <w:rPr>
          <w:i/>
          <w:iCs/>
        </w:rPr>
        <w:t>Paṭis</w:t>
      </w:r>
      <w:proofErr w:type="spellEnd"/>
      <w:r w:rsidRPr="00DC1A5F">
        <w:t xml:space="preserve"> I 52). [581]</w:t>
      </w:r>
    </w:p>
    <w:p w14:paraId="1AEC036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B4A3F55" w14:textId="77777777" w:rsidR="00597DE2" w:rsidRPr="00DC1A5F" w:rsidRDefault="00597DE2" w:rsidP="00597DE2">
      <w:pPr>
        <w:pStyle w:val="PiedepginaLegal"/>
        <w:numPr>
          <w:ilvl w:val="0"/>
          <w:numId w:val="6"/>
        </w:numPr>
        <w:tabs>
          <w:tab w:val="clear" w:pos="425"/>
        </w:tabs>
        <w:spacing w:after="160"/>
        <w:ind w:left="284" w:hanging="284"/>
        <w:rPr>
          <w:color w:val="auto"/>
          <w:u w:color="000000"/>
        </w:rPr>
      </w:pPr>
      <w:r w:rsidRPr="00DC1A5F">
        <w:rPr>
          <w:color w:val="auto"/>
          <w:u w:color="000000"/>
        </w:rPr>
        <w:t xml:space="preserve">Con respecto a estos cuatro párrafos del </w:t>
      </w:r>
      <w:proofErr w:type="spellStart"/>
      <w:r w:rsidRPr="00DC1A5F">
        <w:rPr>
          <w:i/>
          <w:iCs/>
          <w:color w:val="auto"/>
          <w:u w:color="000000"/>
        </w:rPr>
        <w:t>Paṭisambhidā</w:t>
      </w:r>
      <w:proofErr w:type="spellEnd"/>
      <w:r w:rsidRPr="00DC1A5F">
        <w:rPr>
          <w:color w:val="auto"/>
          <w:u w:color="000000"/>
        </w:rPr>
        <w:t xml:space="preserve"> (ver §§292, 294, 296 y 297), los cuatro terminan con la palabra ‘</w:t>
      </w:r>
      <w:r w:rsidRPr="00DC1A5F">
        <w:rPr>
          <w:i/>
          <w:iCs/>
          <w:color w:val="auto"/>
          <w:u w:color="000000"/>
        </w:rPr>
        <w:t>paccayā’</w:t>
      </w:r>
      <w:r w:rsidRPr="00DC1A5F">
        <w:rPr>
          <w:color w:val="auto"/>
          <w:u w:color="000000"/>
        </w:rPr>
        <w:t xml:space="preserve"> (</w:t>
      </w:r>
      <w:proofErr w:type="spellStart"/>
      <w:r w:rsidRPr="00DC1A5F">
        <w:rPr>
          <w:color w:val="auto"/>
          <w:u w:color="000000"/>
        </w:rPr>
        <w:t>nom</w:t>
      </w:r>
      <w:proofErr w:type="spellEnd"/>
      <w:r w:rsidRPr="00DC1A5F">
        <w:rPr>
          <w:color w:val="auto"/>
          <w:u w:color="000000"/>
        </w:rPr>
        <w:t xml:space="preserve">. pl. y </w:t>
      </w:r>
      <w:proofErr w:type="spellStart"/>
      <w:r w:rsidRPr="00DC1A5F">
        <w:rPr>
          <w:color w:val="auto"/>
          <w:u w:color="000000"/>
        </w:rPr>
        <w:t>abl</w:t>
      </w:r>
      <w:proofErr w:type="spellEnd"/>
      <w:r w:rsidRPr="00DC1A5F">
        <w:rPr>
          <w:color w:val="auto"/>
          <w:u w:color="000000"/>
        </w:rPr>
        <w:t xml:space="preserve">. s. de </w:t>
      </w:r>
      <w:proofErr w:type="spellStart"/>
      <w:r w:rsidRPr="00DC1A5F">
        <w:rPr>
          <w:i/>
          <w:iCs/>
          <w:color w:val="auto"/>
          <w:u w:color="000000"/>
        </w:rPr>
        <w:t>paccaya</w:t>
      </w:r>
      <w:proofErr w:type="spellEnd"/>
      <w:r w:rsidRPr="00DC1A5F">
        <w:rPr>
          <w:color w:val="auto"/>
          <w:u w:color="000000"/>
        </w:rPr>
        <w:t xml:space="preserve"> = condicionar). En los párrafos primero y tercero (§§292 y §§296) esto es obviamente </w:t>
      </w:r>
      <w:r w:rsidRPr="00DC1A5F">
        <w:rPr>
          <w:color w:val="833C0B" w:themeColor="accent2" w:themeShade="80"/>
          <w:u w:color="000000"/>
        </w:rPr>
        <w:t>un plural nominativo</w:t>
      </w:r>
      <w:r w:rsidRPr="00DC1A5F">
        <w:rPr>
          <w:color w:val="auto"/>
          <w:u w:color="000000"/>
        </w:rPr>
        <w:t xml:space="preserve"> y concuerda con ‘</w:t>
      </w:r>
      <w:proofErr w:type="spellStart"/>
      <w:r w:rsidRPr="00DC1A5F">
        <w:rPr>
          <w:i/>
          <w:iCs/>
          <w:color w:val="auto"/>
          <w:u w:color="000000"/>
        </w:rPr>
        <w:t>ime</w:t>
      </w:r>
      <w:proofErr w:type="spellEnd"/>
      <w:r w:rsidRPr="00DC1A5F">
        <w:rPr>
          <w:i/>
          <w:iCs/>
          <w:color w:val="auto"/>
          <w:u w:color="000000"/>
        </w:rPr>
        <w:t xml:space="preserve"> </w:t>
      </w:r>
      <w:proofErr w:type="spellStart"/>
      <w:r w:rsidRPr="00DC1A5F">
        <w:rPr>
          <w:i/>
          <w:iCs/>
          <w:color w:val="auto"/>
          <w:u w:color="000000"/>
        </w:rPr>
        <w:t>pañca</w:t>
      </w:r>
      <w:proofErr w:type="spellEnd"/>
      <w:r w:rsidRPr="00DC1A5F">
        <w:rPr>
          <w:i/>
          <w:iCs/>
          <w:color w:val="auto"/>
          <w:u w:color="000000"/>
        </w:rPr>
        <w:t xml:space="preserve"> </w:t>
      </w:r>
      <w:proofErr w:type="spellStart"/>
      <w:r w:rsidRPr="00DC1A5F">
        <w:rPr>
          <w:i/>
          <w:iCs/>
          <w:color w:val="auto"/>
          <w:u w:color="000000"/>
        </w:rPr>
        <w:t>dhammā</w:t>
      </w:r>
      <w:proofErr w:type="spellEnd"/>
      <w:r w:rsidRPr="00DC1A5F">
        <w:rPr>
          <w:i/>
          <w:iCs/>
          <w:color w:val="auto"/>
          <w:u w:color="000000"/>
        </w:rPr>
        <w:t>’</w:t>
      </w:r>
      <w:r w:rsidRPr="00DC1A5F">
        <w:rPr>
          <w:color w:val="auto"/>
          <w:u w:color="000000"/>
        </w:rPr>
        <w:t xml:space="preserve"> (estas cinco cosas). No obstante, en los párrafos segundo y cuarto el contexto sugiere </w:t>
      </w:r>
      <w:proofErr w:type="spellStart"/>
      <w:r w:rsidRPr="00DC1A5F">
        <w:rPr>
          <w:i/>
          <w:iCs/>
          <w:color w:val="auto"/>
          <w:u w:color="000000"/>
        </w:rPr>
        <w:t>vipākā</w:t>
      </w:r>
      <w:proofErr w:type="spellEnd"/>
      <w:r w:rsidRPr="00DC1A5F">
        <w:rPr>
          <w:color w:val="auto"/>
          <w:u w:color="000000"/>
        </w:rPr>
        <w:t xml:space="preserve"> (resultados) en lugar de </w:t>
      </w:r>
      <w:r w:rsidRPr="00DC1A5F">
        <w:rPr>
          <w:i/>
          <w:iCs/>
          <w:color w:val="auto"/>
          <w:u w:color="000000"/>
        </w:rPr>
        <w:t>condiciones</w:t>
      </w:r>
      <w:r w:rsidRPr="00DC1A5F">
        <w:rPr>
          <w:color w:val="auto"/>
          <w:u w:color="000000"/>
        </w:rPr>
        <w:t xml:space="preserve">. Sin embargo, no hay duda de que </w:t>
      </w:r>
      <w:r w:rsidRPr="00DC1A5F">
        <w:rPr>
          <w:i/>
          <w:iCs/>
          <w:color w:val="auto"/>
          <w:u w:color="000000"/>
        </w:rPr>
        <w:t>paccayā</w:t>
      </w:r>
      <w:r w:rsidRPr="00DC1A5F">
        <w:rPr>
          <w:color w:val="auto"/>
          <w:u w:color="000000"/>
        </w:rPr>
        <w:t xml:space="preserve"> es aquí también la lectura aceptada; porque el pasaje también se cita en el Cap. XIX. §13, en el </w:t>
      </w:r>
      <w:proofErr w:type="spellStart"/>
      <w:r w:rsidRPr="00DC1A5F">
        <w:rPr>
          <w:i/>
          <w:iCs/>
          <w:color w:val="auto"/>
          <w:u w:color="000000"/>
        </w:rPr>
        <w:t>Sammohavinodanī</w:t>
      </w:r>
      <w:proofErr w:type="spellEnd"/>
      <w:r w:rsidRPr="00DC1A5F">
        <w:rPr>
          <w:color w:val="auto"/>
          <w:u w:color="000000"/>
        </w:rPr>
        <w:t xml:space="preserve"> (</w:t>
      </w:r>
      <w:r w:rsidRPr="00DC1A5F">
        <w:rPr>
          <w:i/>
          <w:iCs/>
          <w:color w:val="auto"/>
          <w:u w:color="000000"/>
        </w:rPr>
        <w:t xml:space="preserve">Comentario </w:t>
      </w:r>
      <w:proofErr w:type="spellStart"/>
      <w:r w:rsidRPr="00DC1A5F">
        <w:rPr>
          <w:i/>
          <w:iCs/>
          <w:color w:val="auto"/>
          <w:u w:color="000000"/>
        </w:rPr>
        <w:t>Paccayākāra</w:t>
      </w:r>
      <w:proofErr w:type="spellEnd"/>
      <w:r w:rsidRPr="00DC1A5F">
        <w:rPr>
          <w:i/>
          <w:iCs/>
          <w:color w:val="auto"/>
          <w:u w:color="000000"/>
        </w:rPr>
        <w:t>–</w:t>
      </w:r>
      <w:proofErr w:type="spellStart"/>
      <w:r w:rsidRPr="00DC1A5F">
        <w:rPr>
          <w:i/>
          <w:iCs/>
          <w:color w:val="auto"/>
          <w:u w:color="000000"/>
        </w:rPr>
        <w:t>Vibhaṅga</w:t>
      </w:r>
      <w:proofErr w:type="spellEnd"/>
      <w:r w:rsidRPr="00DC1A5F">
        <w:rPr>
          <w:i/>
          <w:iCs/>
          <w:color w:val="auto"/>
          <w:u w:color="000000"/>
        </w:rPr>
        <w:t xml:space="preserve"> </w:t>
      </w:r>
      <w:r w:rsidRPr="00DC1A5F">
        <w:rPr>
          <w:color w:val="auto"/>
          <w:u w:color="000000"/>
        </w:rPr>
        <w:t xml:space="preserve">= contexto actual), y en el M–a I 53. El </w:t>
      </w:r>
      <w:proofErr w:type="spellStart"/>
      <w:r w:rsidRPr="00DC1A5F">
        <w:rPr>
          <w:i/>
          <w:iCs/>
          <w:color w:val="auto"/>
          <w:u w:color="000000"/>
        </w:rPr>
        <w:t>Paramatthamañjūsā</w:t>
      </w:r>
      <w:proofErr w:type="spellEnd"/>
      <w:r w:rsidRPr="00DC1A5F">
        <w:rPr>
          <w:color w:val="auto"/>
          <w:u w:color="000000"/>
        </w:rPr>
        <w:t xml:space="preserve"> y el </w:t>
      </w:r>
      <w:proofErr w:type="spellStart"/>
      <w:r w:rsidRPr="00DC1A5F">
        <w:rPr>
          <w:i/>
          <w:iCs/>
          <w:color w:val="auto"/>
          <w:u w:color="000000"/>
        </w:rPr>
        <w:t>Mūla</w:t>
      </w:r>
      <w:proofErr w:type="spellEnd"/>
      <w:r w:rsidRPr="00DC1A5F">
        <w:rPr>
          <w:i/>
          <w:iCs/>
          <w:color w:val="auto"/>
          <w:u w:color="000000"/>
        </w:rPr>
        <w:t xml:space="preserve"> </w:t>
      </w:r>
      <w:proofErr w:type="spellStart"/>
      <w:r w:rsidRPr="00DC1A5F">
        <w:rPr>
          <w:i/>
          <w:iCs/>
          <w:color w:val="auto"/>
          <w:u w:color="000000"/>
        </w:rPr>
        <w:t>Ṭīkā</w:t>
      </w:r>
      <w:proofErr w:type="spellEnd"/>
      <w:r w:rsidRPr="00DC1A5F">
        <w:rPr>
          <w:color w:val="auto"/>
          <w:u w:color="000000"/>
        </w:rPr>
        <w:t xml:space="preserve"> no mencionan este punto. El </w:t>
      </w:r>
      <w:proofErr w:type="spellStart"/>
      <w:r w:rsidRPr="00DC1A5F">
        <w:rPr>
          <w:i/>
          <w:iCs/>
          <w:color w:val="auto"/>
          <w:u w:color="000000"/>
        </w:rPr>
        <w:t>Saddhammappakāsinī</w:t>
      </w:r>
      <w:proofErr w:type="spellEnd"/>
      <w:r w:rsidRPr="00DC1A5F">
        <w:rPr>
          <w:color w:val="auto"/>
          <w:u w:color="000000"/>
        </w:rPr>
        <w:t xml:space="preserve"> (</w:t>
      </w:r>
      <w:r w:rsidRPr="00DC1A5F">
        <w:rPr>
          <w:i/>
          <w:iCs/>
          <w:color w:val="auto"/>
          <w:u w:color="000000"/>
        </w:rPr>
        <w:t>Comentario</w:t>
      </w:r>
      <w:r w:rsidRPr="00DC1A5F">
        <w:rPr>
          <w:color w:val="auto"/>
          <w:u w:color="000000"/>
        </w:rPr>
        <w:t xml:space="preserve"> </w:t>
      </w:r>
      <w:proofErr w:type="spellStart"/>
      <w:r w:rsidRPr="00DC1A5F">
        <w:rPr>
          <w:i/>
          <w:iCs/>
          <w:color w:val="auto"/>
          <w:u w:color="000000"/>
        </w:rPr>
        <w:t>Paṭisambhidā</w:t>
      </w:r>
      <w:proofErr w:type="spellEnd"/>
      <w:r w:rsidRPr="00DC1A5F">
        <w:rPr>
          <w:color w:val="auto"/>
          <w:u w:color="000000"/>
        </w:rPr>
        <w:t>) comenta sobre el primer párrafo: “</w:t>
      </w:r>
      <w:proofErr w:type="spellStart"/>
      <w:r w:rsidRPr="00DC1A5F">
        <w:rPr>
          <w:i/>
          <w:iCs/>
          <w:color w:val="auto"/>
          <w:u w:color="000000"/>
        </w:rPr>
        <w:t>Purimakammabhavasmin</w:t>
      </w:r>
      <w:proofErr w:type="spellEnd"/>
      <w:r w:rsidRPr="00DC1A5F">
        <w:rPr>
          <w:i/>
          <w:iCs/>
          <w:color w:val="auto"/>
          <w:u w:color="000000"/>
        </w:rPr>
        <w:t xml:space="preserve"> ti </w:t>
      </w:r>
      <w:proofErr w:type="spellStart"/>
      <w:r w:rsidRPr="00DC1A5F">
        <w:rPr>
          <w:i/>
          <w:iCs/>
          <w:color w:val="auto"/>
          <w:u w:color="000000"/>
        </w:rPr>
        <w:t>atītajātiyā</w:t>
      </w:r>
      <w:proofErr w:type="spellEnd"/>
      <w:r w:rsidRPr="00DC1A5F">
        <w:rPr>
          <w:i/>
          <w:iCs/>
          <w:color w:val="auto"/>
          <w:u w:color="000000"/>
        </w:rPr>
        <w:t xml:space="preserve"> </w:t>
      </w:r>
      <w:proofErr w:type="spellStart"/>
      <w:r w:rsidRPr="00DC1A5F">
        <w:rPr>
          <w:i/>
          <w:iCs/>
          <w:color w:val="auto"/>
          <w:u w:color="000000"/>
        </w:rPr>
        <w:t>kammabhave</w:t>
      </w:r>
      <w:proofErr w:type="spellEnd"/>
      <w:r w:rsidRPr="00DC1A5F">
        <w:rPr>
          <w:i/>
          <w:iCs/>
          <w:color w:val="auto"/>
          <w:u w:color="000000"/>
        </w:rPr>
        <w:t xml:space="preserve"> </w:t>
      </w:r>
      <w:proofErr w:type="spellStart"/>
      <w:r w:rsidRPr="00DC1A5F">
        <w:rPr>
          <w:i/>
          <w:iCs/>
          <w:color w:val="auto"/>
          <w:u w:color="000000"/>
        </w:rPr>
        <w:t>karīyamāne</w:t>
      </w:r>
      <w:proofErr w:type="spellEnd"/>
      <w:r w:rsidRPr="00DC1A5F">
        <w:rPr>
          <w:i/>
          <w:iCs/>
          <w:color w:val="auto"/>
          <w:u w:color="000000"/>
        </w:rPr>
        <w:t xml:space="preserve"> </w:t>
      </w:r>
      <w:proofErr w:type="spellStart"/>
      <w:r w:rsidRPr="00DC1A5F">
        <w:rPr>
          <w:i/>
          <w:iCs/>
          <w:color w:val="auto"/>
          <w:u w:color="000000"/>
        </w:rPr>
        <w:t>pavattā</w:t>
      </w:r>
      <w:proofErr w:type="spellEnd"/>
      <w:r w:rsidRPr="00DC1A5F">
        <w:rPr>
          <w:i/>
          <w:iCs/>
          <w:color w:val="auto"/>
          <w:u w:color="000000"/>
        </w:rPr>
        <w:t xml:space="preserve">; </w:t>
      </w:r>
      <w:proofErr w:type="spellStart"/>
      <w:r w:rsidRPr="00DC1A5F">
        <w:rPr>
          <w:i/>
          <w:iCs/>
          <w:color w:val="auto"/>
          <w:u w:color="000000"/>
        </w:rPr>
        <w:t>idha</w:t>
      </w:r>
      <w:proofErr w:type="spellEnd"/>
      <w:r w:rsidRPr="00DC1A5F">
        <w:rPr>
          <w:i/>
          <w:iCs/>
          <w:color w:val="auto"/>
          <w:u w:color="000000"/>
        </w:rPr>
        <w:t xml:space="preserve"> </w:t>
      </w:r>
      <w:proofErr w:type="spellStart"/>
      <w:r w:rsidRPr="00DC1A5F">
        <w:rPr>
          <w:i/>
          <w:iCs/>
          <w:color w:val="auto"/>
          <w:u w:color="000000"/>
        </w:rPr>
        <w:t>paṭisandhiyā</w:t>
      </w:r>
      <w:proofErr w:type="spellEnd"/>
      <w:r w:rsidRPr="00DC1A5F">
        <w:rPr>
          <w:i/>
          <w:iCs/>
          <w:color w:val="auto"/>
          <w:u w:color="000000"/>
        </w:rPr>
        <w:t xml:space="preserve"> paccayā ti </w:t>
      </w:r>
      <w:proofErr w:type="spellStart"/>
      <w:r w:rsidRPr="00DC1A5F">
        <w:rPr>
          <w:i/>
          <w:iCs/>
          <w:color w:val="auto"/>
          <w:u w:color="000000"/>
        </w:rPr>
        <w:t>paccuppannā</w:t>
      </w:r>
      <w:proofErr w:type="spellEnd"/>
      <w:r w:rsidRPr="00DC1A5F">
        <w:rPr>
          <w:i/>
          <w:iCs/>
          <w:color w:val="auto"/>
          <w:u w:color="000000"/>
        </w:rPr>
        <w:t xml:space="preserve"> </w:t>
      </w:r>
      <w:proofErr w:type="spellStart"/>
      <w:r w:rsidRPr="00DC1A5F">
        <w:rPr>
          <w:i/>
          <w:iCs/>
          <w:color w:val="auto"/>
          <w:u w:color="000000"/>
        </w:rPr>
        <w:t>paṭisandhiyā</w:t>
      </w:r>
      <w:proofErr w:type="spellEnd"/>
      <w:r w:rsidRPr="00DC1A5F">
        <w:rPr>
          <w:i/>
          <w:iCs/>
          <w:color w:val="auto"/>
          <w:u w:color="000000"/>
        </w:rPr>
        <w:t xml:space="preserve"> </w:t>
      </w:r>
      <w:proofErr w:type="spellStart"/>
      <w:r w:rsidRPr="00DC1A5F">
        <w:rPr>
          <w:i/>
          <w:iCs/>
          <w:color w:val="auto"/>
          <w:u w:color="000000"/>
        </w:rPr>
        <w:t>paccayabhūtā</w:t>
      </w:r>
      <w:proofErr w:type="spellEnd"/>
      <w:r w:rsidRPr="00DC1A5F">
        <w:rPr>
          <w:color w:val="auto"/>
          <w:u w:color="000000"/>
        </w:rPr>
        <w:t>”, y el segundo párrafo: “</w:t>
      </w:r>
      <w:proofErr w:type="spellStart"/>
      <w:r w:rsidRPr="00DC1A5F">
        <w:rPr>
          <w:i/>
          <w:iCs/>
          <w:color w:val="auto"/>
          <w:u w:color="000000"/>
        </w:rPr>
        <w:t>Idh’upapattibhavasmií</w:t>
      </w:r>
      <w:proofErr w:type="spellEnd"/>
      <w:r w:rsidRPr="00DC1A5F">
        <w:rPr>
          <w:i/>
          <w:iCs/>
          <w:color w:val="auto"/>
          <w:u w:color="000000"/>
        </w:rPr>
        <w:t xml:space="preserve"> pure </w:t>
      </w:r>
      <w:proofErr w:type="spellStart"/>
      <w:r w:rsidRPr="00DC1A5F">
        <w:rPr>
          <w:i/>
          <w:iCs/>
          <w:color w:val="auto"/>
          <w:u w:color="000000"/>
        </w:rPr>
        <w:t>katassa</w:t>
      </w:r>
      <w:proofErr w:type="spellEnd"/>
      <w:r w:rsidRPr="00DC1A5F">
        <w:rPr>
          <w:i/>
          <w:iCs/>
          <w:color w:val="auto"/>
          <w:u w:color="000000"/>
        </w:rPr>
        <w:t xml:space="preserve"> </w:t>
      </w:r>
      <w:proofErr w:type="spellStart"/>
      <w:r w:rsidRPr="00DC1A5F">
        <w:rPr>
          <w:i/>
          <w:iCs/>
          <w:color w:val="auto"/>
          <w:u w:color="000000"/>
        </w:rPr>
        <w:t>kammassa</w:t>
      </w:r>
      <w:proofErr w:type="spellEnd"/>
      <w:r w:rsidRPr="00DC1A5F">
        <w:rPr>
          <w:i/>
          <w:iCs/>
          <w:color w:val="auto"/>
          <w:u w:color="000000"/>
        </w:rPr>
        <w:t xml:space="preserve"> paccayā ti </w:t>
      </w:r>
      <w:proofErr w:type="spellStart"/>
      <w:r w:rsidRPr="00DC1A5F">
        <w:rPr>
          <w:i/>
          <w:iCs/>
          <w:color w:val="auto"/>
          <w:u w:color="000000"/>
        </w:rPr>
        <w:t>paccuppanne</w:t>
      </w:r>
      <w:proofErr w:type="spellEnd"/>
      <w:r w:rsidRPr="00DC1A5F">
        <w:rPr>
          <w:i/>
          <w:iCs/>
          <w:color w:val="auto"/>
          <w:u w:color="000000"/>
        </w:rPr>
        <w:t xml:space="preserve"> </w:t>
      </w:r>
      <w:proofErr w:type="spellStart"/>
      <w:r w:rsidRPr="00DC1A5F">
        <w:rPr>
          <w:i/>
          <w:iCs/>
          <w:color w:val="auto"/>
          <w:u w:color="000000"/>
        </w:rPr>
        <w:t>vipākabhave</w:t>
      </w:r>
      <w:proofErr w:type="spellEnd"/>
      <w:r w:rsidRPr="00DC1A5F">
        <w:rPr>
          <w:i/>
          <w:iCs/>
          <w:color w:val="auto"/>
          <w:u w:color="000000"/>
        </w:rPr>
        <w:t xml:space="preserve"> </w:t>
      </w:r>
      <w:proofErr w:type="spellStart"/>
      <w:r w:rsidRPr="00DC1A5F">
        <w:rPr>
          <w:i/>
          <w:iCs/>
          <w:color w:val="auto"/>
          <w:u w:color="000000"/>
        </w:rPr>
        <w:t>atītajātiyaṃ</w:t>
      </w:r>
      <w:proofErr w:type="spellEnd"/>
      <w:r w:rsidRPr="00DC1A5F">
        <w:rPr>
          <w:i/>
          <w:iCs/>
          <w:color w:val="auto"/>
          <w:u w:color="000000"/>
        </w:rPr>
        <w:t xml:space="preserve"> </w:t>
      </w:r>
      <w:proofErr w:type="spellStart"/>
      <w:r w:rsidRPr="00DC1A5F">
        <w:rPr>
          <w:i/>
          <w:iCs/>
          <w:color w:val="auto"/>
          <w:u w:color="000000"/>
        </w:rPr>
        <w:t>katassa</w:t>
      </w:r>
      <w:proofErr w:type="spellEnd"/>
      <w:r w:rsidRPr="00DC1A5F">
        <w:rPr>
          <w:i/>
          <w:iCs/>
          <w:color w:val="auto"/>
          <w:u w:color="000000"/>
        </w:rPr>
        <w:t xml:space="preserve"> </w:t>
      </w:r>
      <w:proofErr w:type="spellStart"/>
      <w:r w:rsidRPr="00DC1A5F">
        <w:rPr>
          <w:i/>
          <w:iCs/>
          <w:color w:val="auto"/>
          <w:u w:color="000000"/>
        </w:rPr>
        <w:t>kammassa</w:t>
      </w:r>
      <w:proofErr w:type="spellEnd"/>
      <w:r w:rsidRPr="00DC1A5F">
        <w:rPr>
          <w:i/>
          <w:iCs/>
          <w:color w:val="auto"/>
          <w:u w:color="000000"/>
        </w:rPr>
        <w:t xml:space="preserve"> </w:t>
      </w:r>
      <w:proofErr w:type="spellStart"/>
      <w:r w:rsidRPr="00DC1A5F">
        <w:rPr>
          <w:i/>
          <w:iCs/>
          <w:color w:val="auto"/>
          <w:u w:color="000000"/>
        </w:rPr>
        <w:t>paccayena</w:t>
      </w:r>
      <w:proofErr w:type="spellEnd"/>
      <w:r w:rsidRPr="00DC1A5F">
        <w:rPr>
          <w:i/>
          <w:iCs/>
          <w:color w:val="auto"/>
          <w:u w:color="000000"/>
        </w:rPr>
        <w:t xml:space="preserve"> </w:t>
      </w:r>
      <w:proofErr w:type="spellStart"/>
      <w:r w:rsidRPr="00DC1A5F">
        <w:rPr>
          <w:i/>
          <w:iCs/>
          <w:color w:val="auto"/>
          <w:u w:color="000000"/>
        </w:rPr>
        <w:t>pavattī</w:t>
      </w:r>
      <w:proofErr w:type="spellEnd"/>
      <w:r w:rsidRPr="00DC1A5F">
        <w:rPr>
          <w:i/>
          <w:iCs/>
          <w:color w:val="auto"/>
          <w:u w:color="000000"/>
        </w:rPr>
        <w:t xml:space="preserve"> ti </w:t>
      </w:r>
      <w:proofErr w:type="spellStart"/>
      <w:r w:rsidRPr="00DC1A5F">
        <w:rPr>
          <w:i/>
          <w:iCs/>
          <w:color w:val="auto"/>
          <w:u w:color="000000"/>
        </w:rPr>
        <w:t>attho</w:t>
      </w:r>
      <w:proofErr w:type="spellEnd"/>
      <w:r w:rsidRPr="00DC1A5F">
        <w:rPr>
          <w:i/>
          <w:iCs/>
          <w:color w:val="auto"/>
          <w:u w:color="000000"/>
        </w:rPr>
        <w:t xml:space="preserve">”. </w:t>
      </w:r>
      <w:r w:rsidRPr="00DC1A5F">
        <w:rPr>
          <w:color w:val="auto"/>
          <w:u w:color="000000"/>
        </w:rPr>
        <w:t>El</w:t>
      </w:r>
      <w:r w:rsidRPr="00DC1A5F">
        <w:rPr>
          <w:i/>
          <w:iCs/>
          <w:color w:val="auto"/>
          <w:u w:color="000000"/>
        </w:rPr>
        <w:t xml:space="preserve">   </w:t>
      </w:r>
      <w:proofErr w:type="spellStart"/>
      <w:r w:rsidRPr="00DC1A5F">
        <w:rPr>
          <w:i/>
          <w:iCs/>
          <w:color w:val="auto"/>
          <w:u w:color="000000"/>
        </w:rPr>
        <w:t>Majjhima</w:t>
      </w:r>
      <w:proofErr w:type="spellEnd"/>
      <w:r w:rsidRPr="00DC1A5F">
        <w:rPr>
          <w:i/>
          <w:iCs/>
          <w:color w:val="auto"/>
          <w:u w:color="000000"/>
        </w:rPr>
        <w:t xml:space="preserve"> Nikāya </w:t>
      </w:r>
      <w:proofErr w:type="spellStart"/>
      <w:r w:rsidRPr="00DC1A5F">
        <w:rPr>
          <w:i/>
          <w:iCs/>
          <w:color w:val="auto"/>
          <w:u w:color="000000"/>
        </w:rPr>
        <w:t>Ṭīkā</w:t>
      </w:r>
      <w:proofErr w:type="spellEnd"/>
      <w:r w:rsidRPr="00DC1A5F">
        <w:rPr>
          <w:color w:val="auto"/>
          <w:u w:color="000000"/>
        </w:rPr>
        <w:t xml:space="preserve"> (M–a I 53) dice del segundo párrafo</w:t>
      </w:r>
      <w:r w:rsidRPr="00DC1A5F">
        <w:rPr>
          <w:i/>
          <w:iCs/>
          <w:color w:val="auto"/>
          <w:u w:color="000000"/>
        </w:rPr>
        <w:t>: “</w:t>
      </w:r>
      <w:proofErr w:type="spellStart"/>
      <w:r w:rsidRPr="00DC1A5F">
        <w:rPr>
          <w:i/>
          <w:iCs/>
          <w:color w:val="auto"/>
          <w:u w:color="000000"/>
        </w:rPr>
        <w:t>Ime</w:t>
      </w:r>
      <w:proofErr w:type="spellEnd"/>
      <w:r w:rsidRPr="00DC1A5F">
        <w:rPr>
          <w:i/>
          <w:iCs/>
          <w:color w:val="auto"/>
          <w:u w:color="000000"/>
        </w:rPr>
        <w:t xml:space="preserve"> paccayā ti </w:t>
      </w:r>
      <w:proofErr w:type="spellStart"/>
      <w:r w:rsidRPr="00DC1A5F">
        <w:rPr>
          <w:i/>
          <w:iCs/>
          <w:color w:val="auto"/>
          <w:u w:color="000000"/>
        </w:rPr>
        <w:t>ime</w:t>
      </w:r>
      <w:proofErr w:type="spellEnd"/>
      <w:r w:rsidRPr="00DC1A5F">
        <w:rPr>
          <w:i/>
          <w:iCs/>
          <w:color w:val="auto"/>
          <w:u w:color="000000"/>
        </w:rPr>
        <w:t xml:space="preserve"> </w:t>
      </w:r>
      <w:proofErr w:type="spellStart"/>
      <w:r w:rsidRPr="00DC1A5F">
        <w:rPr>
          <w:i/>
          <w:iCs/>
          <w:color w:val="auto"/>
          <w:u w:color="000000"/>
        </w:rPr>
        <w:t>viññāóādayo</w:t>
      </w:r>
      <w:proofErr w:type="spellEnd"/>
      <w:r w:rsidRPr="00DC1A5F">
        <w:rPr>
          <w:i/>
          <w:iCs/>
          <w:color w:val="auto"/>
          <w:u w:color="000000"/>
        </w:rPr>
        <w:t xml:space="preserve"> </w:t>
      </w:r>
      <w:proofErr w:type="spellStart"/>
      <w:r w:rsidRPr="00DC1A5F">
        <w:rPr>
          <w:i/>
          <w:iCs/>
          <w:color w:val="auto"/>
          <w:u w:color="000000"/>
        </w:rPr>
        <w:t>pañca</w:t>
      </w:r>
      <w:proofErr w:type="spellEnd"/>
      <w:r w:rsidRPr="00DC1A5F">
        <w:rPr>
          <w:i/>
          <w:iCs/>
          <w:color w:val="auto"/>
          <w:u w:color="000000"/>
        </w:rPr>
        <w:t xml:space="preserve"> </w:t>
      </w:r>
      <w:proofErr w:type="spellStart"/>
      <w:r w:rsidRPr="00DC1A5F">
        <w:rPr>
          <w:i/>
          <w:iCs/>
          <w:color w:val="auto"/>
          <w:u w:color="000000"/>
        </w:rPr>
        <w:t>koṭṭhāsikā</w:t>
      </w:r>
      <w:proofErr w:type="spellEnd"/>
      <w:r w:rsidRPr="00DC1A5F">
        <w:rPr>
          <w:i/>
          <w:iCs/>
          <w:color w:val="auto"/>
          <w:u w:color="000000"/>
        </w:rPr>
        <w:t xml:space="preserve"> </w:t>
      </w:r>
      <w:proofErr w:type="spellStart"/>
      <w:r w:rsidRPr="00DC1A5F">
        <w:rPr>
          <w:i/>
          <w:iCs/>
          <w:color w:val="auto"/>
          <w:u w:color="000000"/>
        </w:rPr>
        <w:t>dhammā</w:t>
      </w:r>
      <w:proofErr w:type="spellEnd"/>
      <w:r w:rsidRPr="00DC1A5F">
        <w:rPr>
          <w:i/>
          <w:iCs/>
          <w:color w:val="auto"/>
          <w:u w:color="000000"/>
        </w:rPr>
        <w:t xml:space="preserve">, </w:t>
      </w:r>
      <w:proofErr w:type="spellStart"/>
      <w:r w:rsidRPr="00DC1A5F">
        <w:rPr>
          <w:i/>
          <w:iCs/>
          <w:color w:val="auto"/>
          <w:u w:color="000000"/>
        </w:rPr>
        <w:t>purimabhave</w:t>
      </w:r>
      <w:proofErr w:type="spellEnd"/>
      <w:r w:rsidRPr="00DC1A5F">
        <w:rPr>
          <w:i/>
          <w:iCs/>
          <w:color w:val="auto"/>
          <w:u w:color="000000"/>
        </w:rPr>
        <w:t xml:space="preserve"> </w:t>
      </w:r>
      <w:proofErr w:type="spellStart"/>
      <w:r w:rsidRPr="00DC1A5F">
        <w:rPr>
          <w:i/>
          <w:iCs/>
          <w:color w:val="auto"/>
          <w:u w:color="000000"/>
        </w:rPr>
        <w:t>katassa</w:t>
      </w:r>
      <w:proofErr w:type="spellEnd"/>
      <w:r w:rsidRPr="00DC1A5F">
        <w:rPr>
          <w:i/>
          <w:iCs/>
          <w:color w:val="auto"/>
          <w:u w:color="000000"/>
        </w:rPr>
        <w:t xml:space="preserve"> </w:t>
      </w:r>
      <w:proofErr w:type="spellStart"/>
      <w:r w:rsidRPr="00DC1A5F">
        <w:rPr>
          <w:i/>
          <w:iCs/>
          <w:color w:val="auto"/>
          <w:u w:color="000000"/>
        </w:rPr>
        <w:t>kammassa</w:t>
      </w:r>
      <w:proofErr w:type="spellEnd"/>
      <w:r w:rsidRPr="00DC1A5F">
        <w:rPr>
          <w:i/>
          <w:iCs/>
          <w:color w:val="auto"/>
          <w:u w:color="000000"/>
        </w:rPr>
        <w:t xml:space="preserve">, </w:t>
      </w:r>
      <w:proofErr w:type="spellStart"/>
      <w:r w:rsidRPr="00DC1A5F">
        <w:rPr>
          <w:i/>
          <w:iCs/>
          <w:color w:val="auto"/>
          <w:u w:color="000000"/>
        </w:rPr>
        <w:t>kammavaṭṭassa</w:t>
      </w:r>
      <w:proofErr w:type="spellEnd"/>
      <w:r w:rsidRPr="00DC1A5F">
        <w:rPr>
          <w:i/>
          <w:iCs/>
          <w:color w:val="auto"/>
          <w:u w:color="000000"/>
        </w:rPr>
        <w:t xml:space="preserve">, paccayā, </w:t>
      </w:r>
      <w:proofErr w:type="spellStart"/>
      <w:r w:rsidRPr="00DC1A5F">
        <w:rPr>
          <w:i/>
          <w:iCs/>
          <w:color w:val="auto"/>
          <w:u w:color="000000"/>
        </w:rPr>
        <w:t>paccayabhāvato</w:t>
      </w:r>
      <w:proofErr w:type="spellEnd"/>
      <w:r w:rsidRPr="00DC1A5F">
        <w:rPr>
          <w:i/>
          <w:iCs/>
          <w:color w:val="auto"/>
          <w:u w:color="000000"/>
        </w:rPr>
        <w:t xml:space="preserve">, </w:t>
      </w:r>
      <w:proofErr w:type="spellStart"/>
      <w:r w:rsidRPr="00DC1A5F">
        <w:rPr>
          <w:i/>
          <w:iCs/>
          <w:color w:val="auto"/>
          <w:u w:color="000000"/>
        </w:rPr>
        <w:t>taṃ</w:t>
      </w:r>
      <w:proofErr w:type="spellEnd"/>
      <w:r w:rsidRPr="00DC1A5F">
        <w:rPr>
          <w:i/>
          <w:iCs/>
          <w:color w:val="auto"/>
          <w:u w:color="000000"/>
        </w:rPr>
        <w:t xml:space="preserve"> </w:t>
      </w:r>
      <w:proofErr w:type="spellStart"/>
      <w:r w:rsidRPr="00DC1A5F">
        <w:rPr>
          <w:i/>
          <w:iCs/>
          <w:color w:val="auto"/>
          <w:u w:color="000000"/>
        </w:rPr>
        <w:t>paṭicca</w:t>
      </w:r>
      <w:proofErr w:type="spellEnd"/>
      <w:r w:rsidRPr="00DC1A5F">
        <w:rPr>
          <w:i/>
          <w:iCs/>
          <w:color w:val="auto"/>
          <w:u w:color="000000"/>
        </w:rPr>
        <w:t xml:space="preserve">, </w:t>
      </w:r>
      <w:proofErr w:type="spellStart"/>
      <w:r w:rsidRPr="00DC1A5F">
        <w:rPr>
          <w:i/>
          <w:iCs/>
          <w:color w:val="auto"/>
          <w:u w:color="000000"/>
        </w:rPr>
        <w:t>idha</w:t>
      </w:r>
      <w:proofErr w:type="spellEnd"/>
      <w:r w:rsidRPr="00DC1A5F">
        <w:rPr>
          <w:i/>
          <w:iCs/>
          <w:color w:val="auto"/>
          <w:u w:color="000000"/>
        </w:rPr>
        <w:t xml:space="preserve">, </w:t>
      </w:r>
      <w:proofErr w:type="spellStart"/>
      <w:r w:rsidRPr="00DC1A5F">
        <w:rPr>
          <w:i/>
          <w:iCs/>
          <w:color w:val="auto"/>
          <w:u w:color="000000"/>
        </w:rPr>
        <w:t>etarahi</w:t>
      </w:r>
      <w:proofErr w:type="spellEnd"/>
      <w:r w:rsidRPr="00DC1A5F">
        <w:rPr>
          <w:i/>
          <w:iCs/>
          <w:color w:val="auto"/>
          <w:u w:color="000000"/>
        </w:rPr>
        <w:t xml:space="preserve">, </w:t>
      </w:r>
      <w:proofErr w:type="spellStart"/>
      <w:r w:rsidRPr="00DC1A5F">
        <w:rPr>
          <w:i/>
          <w:iCs/>
          <w:color w:val="auto"/>
          <w:u w:color="000000"/>
        </w:rPr>
        <w:t>upapattibhavasmií</w:t>
      </w:r>
      <w:proofErr w:type="spellEnd"/>
      <w:r w:rsidRPr="00DC1A5F">
        <w:rPr>
          <w:i/>
          <w:iCs/>
          <w:color w:val="auto"/>
          <w:u w:color="000000"/>
        </w:rPr>
        <w:t xml:space="preserve"> </w:t>
      </w:r>
      <w:proofErr w:type="spellStart"/>
      <w:r w:rsidRPr="00DC1A5F">
        <w:rPr>
          <w:i/>
          <w:iCs/>
          <w:color w:val="auto"/>
          <w:u w:color="000000"/>
        </w:rPr>
        <w:t>upapattibhavabhāvena</w:t>
      </w:r>
      <w:proofErr w:type="spellEnd"/>
      <w:r w:rsidRPr="00DC1A5F">
        <w:rPr>
          <w:i/>
          <w:iCs/>
          <w:color w:val="auto"/>
          <w:u w:color="000000"/>
        </w:rPr>
        <w:t xml:space="preserve"> </w:t>
      </w:r>
      <w:proofErr w:type="spellStart"/>
      <w:r w:rsidRPr="00DC1A5F">
        <w:rPr>
          <w:i/>
          <w:iCs/>
          <w:color w:val="auto"/>
          <w:u w:color="000000"/>
        </w:rPr>
        <w:t>vā</w:t>
      </w:r>
      <w:proofErr w:type="spellEnd"/>
      <w:r w:rsidRPr="00DC1A5F">
        <w:rPr>
          <w:i/>
          <w:iCs/>
          <w:color w:val="auto"/>
          <w:u w:color="000000"/>
        </w:rPr>
        <w:t xml:space="preserve"> </w:t>
      </w:r>
      <w:proofErr w:type="spellStart"/>
      <w:r w:rsidRPr="00DC1A5F">
        <w:rPr>
          <w:i/>
          <w:iCs/>
          <w:color w:val="auto"/>
          <w:u w:color="000000"/>
        </w:rPr>
        <w:t>hontī</w:t>
      </w:r>
      <w:proofErr w:type="spellEnd"/>
      <w:r w:rsidRPr="00DC1A5F">
        <w:rPr>
          <w:i/>
          <w:iCs/>
          <w:color w:val="auto"/>
          <w:u w:color="000000"/>
        </w:rPr>
        <w:t xml:space="preserve"> ti </w:t>
      </w:r>
      <w:proofErr w:type="spellStart"/>
      <w:r w:rsidRPr="00DC1A5F">
        <w:rPr>
          <w:i/>
          <w:iCs/>
          <w:color w:val="auto"/>
          <w:u w:color="000000"/>
        </w:rPr>
        <w:t>attho</w:t>
      </w:r>
      <w:proofErr w:type="spellEnd"/>
      <w:r w:rsidRPr="00DC1A5F">
        <w:rPr>
          <w:color w:val="auto"/>
          <w:u w:color="000000"/>
        </w:rPr>
        <w:t>.”</w:t>
      </w:r>
      <w:r w:rsidRPr="00DC1A5F">
        <w:t xml:space="preserve"> </w:t>
      </w:r>
      <w:r w:rsidRPr="00DC1A5F">
        <w:rPr>
          <w:color w:val="auto"/>
          <w:u w:color="000000"/>
        </w:rPr>
        <w:t>De estos comentarios queda bastante claro que “</w:t>
      </w:r>
      <w:r w:rsidRPr="00DC1A5F">
        <w:rPr>
          <w:i/>
          <w:iCs/>
          <w:color w:val="auto"/>
          <w:u w:color="000000"/>
        </w:rPr>
        <w:t>paccayā</w:t>
      </w:r>
      <w:r w:rsidRPr="00DC1A5F">
        <w:rPr>
          <w:color w:val="auto"/>
          <w:u w:color="000000"/>
        </w:rPr>
        <w:t xml:space="preserve">”, en los párrafos segundo y cuarto, se adopta como un ablativo de cantar. (por ejemplo, </w:t>
      </w:r>
      <w:r w:rsidRPr="00DC1A5F">
        <w:rPr>
          <w:i/>
          <w:iCs/>
          <w:color w:val="auto"/>
          <w:u w:color="000000"/>
        </w:rPr>
        <w:t>avijjā–paccayā</w:t>
      </w:r>
      <w:r w:rsidRPr="00DC1A5F">
        <w:rPr>
          <w:color w:val="auto"/>
          <w:u w:color="000000"/>
        </w:rPr>
        <w:t xml:space="preserve"> </w:t>
      </w:r>
      <w:r w:rsidRPr="00DC1A5F">
        <w:rPr>
          <w:i/>
          <w:color w:val="auto"/>
          <w:u w:color="000000"/>
        </w:rPr>
        <w:t>saṅkhārā</w:t>
      </w:r>
      <w:r w:rsidRPr="00DC1A5F">
        <w:rPr>
          <w:color w:val="auto"/>
          <w:u w:color="000000"/>
        </w:rPr>
        <w:t xml:space="preserve">). Existe una construcción ablativa paralela con genitivo en </w:t>
      </w:r>
      <w:proofErr w:type="spellStart"/>
      <w:r w:rsidRPr="00DC1A5F">
        <w:rPr>
          <w:i/>
          <w:iCs/>
          <w:color w:val="auto"/>
          <w:u w:color="000000"/>
        </w:rPr>
        <w:t>Paṭis</w:t>
      </w:r>
      <w:proofErr w:type="spellEnd"/>
      <w:r w:rsidRPr="00DC1A5F">
        <w:rPr>
          <w:color w:val="auto"/>
          <w:u w:color="000000"/>
        </w:rPr>
        <w:t xml:space="preserve"> II 72, 1.8: “</w:t>
      </w:r>
      <w:proofErr w:type="spellStart"/>
      <w:r w:rsidRPr="00DC1A5F">
        <w:rPr>
          <w:i/>
          <w:iCs/>
          <w:color w:val="auto"/>
          <w:u w:color="000000"/>
        </w:rPr>
        <w:t>Gatisampattiyā</w:t>
      </w:r>
      <w:proofErr w:type="spellEnd"/>
      <w:r w:rsidRPr="00DC1A5F">
        <w:rPr>
          <w:i/>
          <w:iCs/>
          <w:color w:val="auto"/>
          <w:u w:color="000000"/>
        </w:rPr>
        <w:t xml:space="preserve"> </w:t>
      </w:r>
      <w:proofErr w:type="spellStart"/>
      <w:r w:rsidRPr="00DC1A5F">
        <w:rPr>
          <w:i/>
          <w:iCs/>
          <w:color w:val="auto"/>
          <w:u w:color="000000"/>
        </w:rPr>
        <w:t>ñāṇasampayutte</w:t>
      </w:r>
      <w:proofErr w:type="spellEnd"/>
      <w:r w:rsidRPr="00DC1A5F">
        <w:rPr>
          <w:i/>
          <w:iCs/>
          <w:color w:val="auto"/>
          <w:u w:color="000000"/>
        </w:rPr>
        <w:t xml:space="preserve"> </w:t>
      </w:r>
      <w:proofErr w:type="spellStart"/>
      <w:r w:rsidRPr="00DC1A5F">
        <w:rPr>
          <w:i/>
          <w:iCs/>
          <w:color w:val="auto"/>
          <w:u w:color="000000"/>
        </w:rPr>
        <w:t>aṭṭhannaṃ</w:t>
      </w:r>
      <w:proofErr w:type="spellEnd"/>
      <w:r w:rsidRPr="00DC1A5F">
        <w:rPr>
          <w:i/>
          <w:iCs/>
          <w:color w:val="auto"/>
          <w:u w:color="000000"/>
        </w:rPr>
        <w:t xml:space="preserve"> </w:t>
      </w:r>
      <w:proofErr w:type="spellStart"/>
      <w:r w:rsidRPr="00DC1A5F">
        <w:rPr>
          <w:i/>
          <w:iCs/>
          <w:color w:val="auto"/>
          <w:u w:color="000000"/>
        </w:rPr>
        <w:t>hetūnaṃ</w:t>
      </w:r>
      <w:proofErr w:type="spellEnd"/>
      <w:r w:rsidRPr="00DC1A5F">
        <w:rPr>
          <w:i/>
          <w:iCs/>
          <w:color w:val="auto"/>
          <w:u w:color="000000"/>
        </w:rPr>
        <w:t xml:space="preserve"> paccayā </w:t>
      </w:r>
      <w:proofErr w:type="spellStart"/>
      <w:r w:rsidRPr="00DC1A5F">
        <w:rPr>
          <w:i/>
          <w:iCs/>
          <w:color w:val="auto"/>
          <w:u w:color="000000"/>
        </w:rPr>
        <w:t>uppatti</w:t>
      </w:r>
      <w:proofErr w:type="spellEnd"/>
      <w:r w:rsidRPr="00DC1A5F">
        <w:rPr>
          <w:i/>
          <w:iCs/>
          <w:color w:val="auto"/>
          <w:u w:color="000000"/>
        </w:rPr>
        <w:t xml:space="preserve"> </w:t>
      </w:r>
      <w:proofErr w:type="spellStart"/>
      <w:r w:rsidRPr="00DC1A5F">
        <w:rPr>
          <w:i/>
          <w:iCs/>
          <w:color w:val="auto"/>
          <w:u w:color="000000"/>
        </w:rPr>
        <w:t>hoti</w:t>
      </w:r>
      <w:proofErr w:type="spellEnd"/>
      <w:r w:rsidRPr="00DC1A5F">
        <w:rPr>
          <w:color w:val="auto"/>
          <w:u w:color="000000"/>
        </w:rPr>
        <w:t>”.</w:t>
      </w:r>
      <w:r w:rsidRPr="00DC1A5F">
        <w:rPr>
          <w:color w:val="833C0B" w:themeColor="accent2" w:themeShade="80"/>
          <w:u w:color="000000"/>
        </w:rPr>
        <w:t xml:space="preserve"> </w:t>
      </w:r>
      <w:r w:rsidRPr="00DC1A5F">
        <w:rPr>
          <w:color w:val="auto"/>
          <w:u w:color="000000"/>
        </w:rPr>
        <w:t xml:space="preserve">Tal vez la interpretación literal de la oración final de los párrafos segundo y cuarto podría ser: “Por lo tanto, estas cinco cosas están aquí en el presente devenir del proceso de renacimiento con su correspondiente condición consistente del </w:t>
      </w:r>
      <w:proofErr w:type="spellStart"/>
      <w:r w:rsidRPr="00DC1A5F">
        <w:rPr>
          <w:i/>
          <w:color w:val="auto"/>
          <w:u w:color="000000"/>
        </w:rPr>
        <w:t>kamma</w:t>
      </w:r>
      <w:proofErr w:type="spellEnd"/>
      <w:r w:rsidRPr="00DC1A5F">
        <w:rPr>
          <w:color w:val="auto"/>
          <w:u w:color="000000"/>
        </w:rPr>
        <w:t xml:space="preserve"> producido dl pasado”, etc. El punto no es importante.</w:t>
      </w:r>
    </w:p>
    <w:p w14:paraId="1A6C8855" w14:textId="77777777" w:rsidR="00597DE2" w:rsidRPr="00DC1A5F" w:rsidRDefault="00597DE2" w:rsidP="00597DE2">
      <w:pPr>
        <w:tabs>
          <w:tab w:val="clear" w:pos="425"/>
        </w:tabs>
        <w:spacing w:after="160"/>
      </w:pPr>
      <w:r w:rsidRPr="00DC1A5F">
        <w:br w:type="page"/>
      </w:r>
    </w:p>
    <w:p w14:paraId="50B6E072" w14:textId="77777777" w:rsidR="00597DE2" w:rsidRPr="00DC1A5F" w:rsidRDefault="00597DE2" w:rsidP="00597DE2">
      <w:pPr>
        <w:pStyle w:val="NormalConSangria"/>
      </w:pPr>
      <w:r w:rsidRPr="00DC1A5F">
        <w:lastRenderedPageBreak/>
        <w:t xml:space="preserve">Al respecto, las palabras </w:t>
      </w:r>
      <w:r w:rsidRPr="00DC1A5F">
        <w:rPr>
          <w:i/>
          <w:iCs/>
        </w:rPr>
        <w:t>Aquí,</w:t>
      </w:r>
      <w:r w:rsidRPr="00DC1A5F">
        <w:t xml:space="preserve"> </w:t>
      </w:r>
      <w:r w:rsidRPr="00DC1A5F">
        <w:rPr>
          <w:i/>
          <w:iCs/>
        </w:rPr>
        <w:t>en el devenir presente</w:t>
      </w:r>
      <w:r w:rsidRPr="00DC1A5F">
        <w:t xml:space="preserve">, </w:t>
      </w:r>
      <w:r w:rsidRPr="00DC1A5F">
        <w:rPr>
          <w:i/>
          <w:iCs/>
        </w:rPr>
        <w:t>con la maduración de las bases,</w:t>
      </w:r>
      <w:r w:rsidRPr="00DC1A5F">
        <w:t xml:space="preserve"> lo que se expone corresponderá a la ilusión existente en el momento de la ejecución del </w:t>
      </w:r>
      <w:proofErr w:type="spellStart"/>
      <w:r w:rsidRPr="00DC1A5F">
        <w:rPr>
          <w:i/>
        </w:rPr>
        <w:t>kamma</w:t>
      </w:r>
      <w:proofErr w:type="spellEnd"/>
      <w:r w:rsidRPr="00DC1A5F">
        <w:t xml:space="preserve"> en alguien cuyas bases hayan madurado. El resto es claro.</w:t>
      </w:r>
    </w:p>
    <w:p w14:paraId="12CD5EC4" w14:textId="77777777" w:rsidR="00597DE2" w:rsidRPr="00DC1A5F" w:rsidRDefault="00597DE2" w:rsidP="00597DE2">
      <w:pPr>
        <w:pStyle w:val="Textoindependiente"/>
      </w:pPr>
      <w:r w:rsidRPr="00DC1A5F">
        <w:t xml:space="preserve">297. </w:t>
      </w:r>
      <w:r w:rsidRPr="00DC1A5F">
        <w:tab/>
        <w:t xml:space="preserve">(d) </w:t>
      </w:r>
      <w:r w:rsidRPr="00DC1A5F">
        <w:rPr>
          <w:i/>
          <w:iCs/>
        </w:rPr>
        <w:t>Y en el futuro cinco efectos</w:t>
      </w:r>
      <w:r w:rsidRPr="00DC1A5F">
        <w:t xml:space="preserve">: se refieren los cinco efectos comenzando con la consciencia. Estos se expresan mediante el término “nacimiento”. No obstante, el “envejecimiento–y–muerte” corresponderá al envejecimiento y a la muerte de estos mismos cinco efectos. De ahí que se diga: “En el futuro se manifestará el </w:t>
      </w:r>
      <w:r w:rsidRPr="00DC1A5F">
        <w:rPr>
          <w:i/>
          <w:iCs/>
        </w:rPr>
        <w:t>vínculo–de–renacimiento</w:t>
      </w:r>
      <w:r w:rsidRPr="00DC1A5F">
        <w:t xml:space="preserve">, correspondiente a la </w:t>
      </w:r>
      <w:r w:rsidRPr="00DC1A5F">
        <w:rPr>
          <w:i/>
          <w:iCs/>
        </w:rPr>
        <w:t>consciencia</w:t>
      </w:r>
      <w:r w:rsidRPr="00DC1A5F">
        <w:t xml:space="preserve">; se manifestará el descenso a la matriz, correspondiente a la </w:t>
      </w:r>
      <w:r w:rsidRPr="00DC1A5F">
        <w:rPr>
          <w:i/>
          <w:iCs/>
        </w:rPr>
        <w:t>mentalidad–materialidad</w:t>
      </w:r>
      <w:r w:rsidRPr="00DC1A5F">
        <w:t xml:space="preserve">; se manifestará la sensibilidad, correspondiente a </w:t>
      </w:r>
      <w:r w:rsidRPr="00DC1A5F">
        <w:rPr>
          <w:i/>
          <w:iCs/>
        </w:rPr>
        <w:t>la</w:t>
      </w:r>
      <w:r w:rsidRPr="00DC1A5F">
        <w:t xml:space="preserve"> </w:t>
      </w:r>
      <w:r w:rsidRPr="00DC1A5F">
        <w:rPr>
          <w:i/>
          <w:iCs/>
        </w:rPr>
        <w:t>base sensorial</w:t>
      </w:r>
      <w:r w:rsidRPr="00DC1A5F">
        <w:t xml:space="preserve">; se manifestará lo que se toque, correspondiente al </w:t>
      </w:r>
      <w:r w:rsidRPr="00DC1A5F">
        <w:rPr>
          <w:i/>
          <w:iCs/>
        </w:rPr>
        <w:t>contacto</w:t>
      </w:r>
      <w:r w:rsidRPr="00DC1A5F">
        <w:t xml:space="preserve">; se manifestará lo que se sienta, correspondiente a la </w:t>
      </w:r>
      <w:r w:rsidRPr="00DC1A5F">
        <w:rPr>
          <w:i/>
          <w:iCs/>
        </w:rPr>
        <w:t>sensación</w:t>
      </w:r>
      <w:r w:rsidRPr="00DC1A5F">
        <w:t xml:space="preserve">; por lo tanto, estos cinco objetos en el futuro proceso de renacimiento tendrá como su condición al </w:t>
      </w:r>
      <w:proofErr w:type="spellStart"/>
      <w:r w:rsidRPr="00DC1A5F">
        <w:rPr>
          <w:i/>
        </w:rPr>
        <w:t>kamma</w:t>
      </w:r>
      <w:proofErr w:type="spellEnd"/>
      <w:r w:rsidRPr="00DC1A5F">
        <w:t xml:space="preserve"> realizado aquí en el presente devenir” (</w:t>
      </w:r>
      <w:proofErr w:type="spellStart"/>
      <w:r w:rsidRPr="00DC1A5F">
        <w:rPr>
          <w:i/>
          <w:iCs/>
        </w:rPr>
        <w:t>Paṭis</w:t>
      </w:r>
      <w:proofErr w:type="spellEnd"/>
      <w:r w:rsidRPr="00DC1A5F">
        <w:t xml:space="preserve"> I 52).</w:t>
      </w:r>
    </w:p>
    <w:p w14:paraId="6BB94783" w14:textId="77777777" w:rsidR="00597DE2" w:rsidRPr="00DC1A5F" w:rsidRDefault="00597DE2" w:rsidP="00597DE2">
      <w:pPr>
        <w:pStyle w:val="NormalConSangria"/>
      </w:pPr>
      <w:r w:rsidRPr="00DC1A5F">
        <w:t>Así que esta Rueda del Devenir poseerá 20 radios correspondiente a estas 20 cualidades.</w:t>
      </w:r>
    </w:p>
    <w:p w14:paraId="3DF96347" w14:textId="77777777" w:rsidR="00597DE2" w:rsidRPr="00DC1A5F" w:rsidRDefault="00597DE2" w:rsidP="00597DE2">
      <w:pPr>
        <w:pStyle w:val="Textoindependiente"/>
      </w:pPr>
      <w:r w:rsidRPr="00DC1A5F">
        <w:t xml:space="preserve">298. </w:t>
      </w:r>
      <w:r w:rsidRPr="00DC1A5F">
        <w:tab/>
        <w:t xml:space="preserve">4. </w:t>
      </w:r>
      <w:r w:rsidRPr="00DC1A5F">
        <w:rPr>
          <w:i/>
          <w:iCs/>
        </w:rPr>
        <w:t>Con estos tres ciclos, gira por siempre</w:t>
      </w:r>
      <w:r w:rsidRPr="00DC1A5F">
        <w:t xml:space="preserve"> (§288): aquí las </w:t>
      </w:r>
      <w:r w:rsidRPr="00DC1A5F">
        <w:rPr>
          <w:i/>
          <w:iCs/>
        </w:rPr>
        <w:t>formaciones</w:t>
      </w:r>
      <w:r w:rsidRPr="00DC1A5F">
        <w:t xml:space="preserve"> y el </w:t>
      </w:r>
      <w:r w:rsidRPr="00DC1A5F">
        <w:rPr>
          <w:i/>
          <w:iCs/>
        </w:rPr>
        <w:t>devenir</w:t>
      </w:r>
      <w:r w:rsidRPr="00DC1A5F">
        <w:t xml:space="preserve"> corresponderán al </w:t>
      </w:r>
      <w:r w:rsidRPr="00DC1A5F">
        <w:rPr>
          <w:i/>
          <w:iCs/>
        </w:rPr>
        <w:t xml:space="preserve">ciclo </w:t>
      </w:r>
      <w:proofErr w:type="spellStart"/>
      <w:r w:rsidRPr="00DC1A5F">
        <w:rPr>
          <w:i/>
          <w:iCs/>
        </w:rPr>
        <w:t>kammico</w:t>
      </w:r>
      <w:proofErr w:type="spellEnd"/>
      <w:r w:rsidRPr="00DC1A5F">
        <w:t xml:space="preserve">. La </w:t>
      </w:r>
      <w:r w:rsidRPr="00DC1A5F">
        <w:rPr>
          <w:i/>
          <w:iCs/>
        </w:rPr>
        <w:t>ignorancia</w:t>
      </w:r>
      <w:r w:rsidRPr="00DC1A5F">
        <w:t xml:space="preserve">, el </w:t>
      </w:r>
      <w:r w:rsidRPr="00DC1A5F">
        <w:rPr>
          <w:i/>
          <w:iCs/>
        </w:rPr>
        <w:t>deseo</w:t>
      </w:r>
      <w:r w:rsidRPr="00DC1A5F">
        <w:t xml:space="preserve"> y el </w:t>
      </w:r>
      <w:r w:rsidRPr="00DC1A5F">
        <w:rPr>
          <w:i/>
          <w:iCs/>
        </w:rPr>
        <w:t>apego</w:t>
      </w:r>
      <w:r w:rsidRPr="00DC1A5F">
        <w:t xml:space="preserve"> corresponderá al </w:t>
      </w:r>
      <w:r w:rsidRPr="00DC1A5F">
        <w:rPr>
          <w:i/>
          <w:iCs/>
        </w:rPr>
        <w:t>ciclo de las contaminaciones</w:t>
      </w:r>
      <w:r w:rsidRPr="00DC1A5F">
        <w:t xml:space="preserve">. La </w:t>
      </w:r>
      <w:r w:rsidRPr="00DC1A5F">
        <w:rPr>
          <w:i/>
          <w:iCs/>
        </w:rPr>
        <w:t>consciencia</w:t>
      </w:r>
      <w:r w:rsidRPr="00DC1A5F">
        <w:t xml:space="preserve">, la </w:t>
      </w:r>
      <w:r w:rsidRPr="00DC1A5F">
        <w:rPr>
          <w:i/>
          <w:iCs/>
        </w:rPr>
        <w:t>mentalidad–materialidad</w:t>
      </w:r>
      <w:r w:rsidRPr="00DC1A5F">
        <w:t xml:space="preserve">, las </w:t>
      </w:r>
      <w:r w:rsidRPr="00DC1A5F">
        <w:rPr>
          <w:i/>
          <w:iCs/>
        </w:rPr>
        <w:t>seis bases</w:t>
      </w:r>
      <w:r w:rsidRPr="00DC1A5F">
        <w:t xml:space="preserve">, el </w:t>
      </w:r>
      <w:r w:rsidRPr="00DC1A5F">
        <w:rPr>
          <w:i/>
          <w:iCs/>
        </w:rPr>
        <w:t>contacto</w:t>
      </w:r>
      <w:r w:rsidRPr="00DC1A5F">
        <w:t xml:space="preserve"> y la </w:t>
      </w:r>
      <w:r w:rsidRPr="00DC1A5F">
        <w:rPr>
          <w:i/>
          <w:iCs/>
        </w:rPr>
        <w:t>sensación</w:t>
      </w:r>
      <w:r w:rsidRPr="00DC1A5F">
        <w:t xml:space="preserve"> corresponderán al </w:t>
      </w:r>
      <w:r w:rsidRPr="00DC1A5F">
        <w:rPr>
          <w:i/>
          <w:iCs/>
        </w:rPr>
        <w:t>ciclo de los efectos</w:t>
      </w:r>
      <w:r w:rsidRPr="00DC1A5F">
        <w:t>. Así que esta Rueda del Devenir, poseedora de estos 3 ciclos con estos 3 ciclos, deberá entenderse como que gira, girando una y otra vez, por siempre, porque las condiciones no se truncarán mientras el ciclo de contaminaciones no se trunque.</w:t>
      </w:r>
    </w:p>
    <w:p w14:paraId="236269D8" w14:textId="77777777" w:rsidR="00597DE2" w:rsidRPr="00DC1A5F" w:rsidRDefault="00597DE2" w:rsidP="00597DE2">
      <w:pPr>
        <w:pStyle w:val="Ttulo4"/>
        <w:ind w:left="708"/>
      </w:pPr>
      <w:r w:rsidRPr="00DC1A5F">
        <w:t xml:space="preserve">[(IV) Varios] </w:t>
      </w:r>
    </w:p>
    <w:p w14:paraId="11834F26" w14:textId="77777777" w:rsidR="00597DE2" w:rsidRPr="00DC1A5F" w:rsidRDefault="00597DE2" w:rsidP="00597DE2">
      <w:pPr>
        <w:pStyle w:val="Textoindependiente"/>
        <w:spacing w:after="60"/>
      </w:pPr>
      <w:r w:rsidRPr="00DC1A5F">
        <w:t xml:space="preserve">299. </w:t>
      </w:r>
      <w:r w:rsidRPr="00DC1A5F">
        <w:tab/>
        <w:t>Gira así:</w:t>
      </w:r>
    </w:p>
    <w:p w14:paraId="758029D0" w14:textId="77777777" w:rsidR="00597DE2" w:rsidRPr="00DC1A5F" w:rsidRDefault="00597DE2" w:rsidP="00597DE2">
      <w:pPr>
        <w:pStyle w:val="VersoIngls01Sangria"/>
        <w:rPr>
          <w:sz w:val="16"/>
          <w:szCs w:val="20"/>
        </w:rPr>
      </w:pPr>
      <w:r w:rsidRPr="00DC1A5F">
        <w:rPr>
          <w:sz w:val="16"/>
          <w:szCs w:val="20"/>
        </w:rPr>
        <w:t>(1) Como fuente de las cuatro verdades,</w:t>
      </w:r>
    </w:p>
    <w:p w14:paraId="50D0F591" w14:textId="77777777" w:rsidR="00597DE2" w:rsidRPr="00DC1A5F" w:rsidRDefault="00597DE2" w:rsidP="00597DE2">
      <w:pPr>
        <w:pStyle w:val="VersoIngls01Sangria"/>
        <w:rPr>
          <w:sz w:val="16"/>
          <w:szCs w:val="20"/>
        </w:rPr>
      </w:pPr>
      <w:r w:rsidRPr="00DC1A5F">
        <w:rPr>
          <w:sz w:val="16"/>
          <w:szCs w:val="20"/>
        </w:rPr>
        <w:t xml:space="preserve">(2) En cuanto a su función, (3) su prevención, (4) sus símiles, </w:t>
      </w:r>
    </w:p>
    <w:p w14:paraId="7B698FD1" w14:textId="77777777" w:rsidR="00597DE2" w:rsidRPr="00DC1A5F" w:rsidRDefault="00597DE2" w:rsidP="00597DE2">
      <w:pPr>
        <w:pStyle w:val="VersoIngls01Sangria"/>
        <w:spacing w:after="120"/>
        <w:ind w:left="1418"/>
        <w:rPr>
          <w:sz w:val="16"/>
          <w:szCs w:val="20"/>
        </w:rPr>
      </w:pPr>
      <w:r w:rsidRPr="00DC1A5F">
        <w:rPr>
          <w:sz w:val="16"/>
          <w:szCs w:val="20"/>
        </w:rPr>
        <w:t xml:space="preserve">(5) Sus tipos de profundidad y (6) sus métodos, </w:t>
      </w:r>
      <w:r w:rsidRPr="00DC1A5F">
        <w:rPr>
          <w:sz w:val="16"/>
          <w:szCs w:val="20"/>
        </w:rPr>
        <w:br/>
        <w:t>Lo que debe conocerse en consecuencia.</w:t>
      </w:r>
    </w:p>
    <w:p w14:paraId="1BBF4475" w14:textId="77777777" w:rsidR="00597DE2" w:rsidRPr="00DC1A5F" w:rsidRDefault="00597DE2" w:rsidP="00597DE2">
      <w:pPr>
        <w:spacing w:after="40"/>
      </w:pPr>
      <w:r w:rsidRPr="00DC1A5F">
        <w:t xml:space="preserve">300. </w:t>
      </w:r>
      <w:r w:rsidRPr="00DC1A5F">
        <w:tab/>
        <w:t xml:space="preserve">1. Aquí, </w:t>
      </w:r>
      <w:r w:rsidRPr="00DC1A5F">
        <w:rPr>
          <w:i/>
          <w:iCs/>
        </w:rPr>
        <w:t>como fuente de las verdades</w:t>
      </w:r>
      <w:r w:rsidRPr="00DC1A5F">
        <w:t xml:space="preserve">: el </w:t>
      </w:r>
      <w:proofErr w:type="spellStart"/>
      <w:r w:rsidRPr="00DC1A5F">
        <w:rPr>
          <w:i/>
        </w:rPr>
        <w:t>kamma</w:t>
      </w:r>
      <w:proofErr w:type="spellEnd"/>
      <w:r w:rsidRPr="00DC1A5F">
        <w:t xml:space="preserve"> productivo e improductivo se exponen en el </w:t>
      </w:r>
      <w:proofErr w:type="spellStart"/>
      <w:r w:rsidRPr="00DC1A5F">
        <w:rPr>
          <w:i/>
          <w:iCs/>
        </w:rPr>
        <w:t>Saccavibhaṅga</w:t>
      </w:r>
      <w:proofErr w:type="spellEnd"/>
      <w:r w:rsidRPr="00DC1A5F">
        <w:t xml:space="preserve"> (</w:t>
      </w:r>
      <w:proofErr w:type="spellStart"/>
      <w:r w:rsidRPr="00DC1A5F">
        <w:t>Vibh</w:t>
      </w:r>
      <w:proofErr w:type="spellEnd"/>
      <w:r w:rsidRPr="00DC1A5F">
        <w:t xml:space="preserve"> 106f.) sin distinción como origen del sufrimiento y por lo tanto las formaciones debidas a la ignorancia se establecen así “Con la ignorancia como condición se origina las formaciones” correspondiente a la segunda noble verdad con la segunda verdad como fuente. La consciencia debida a las formaciones corresponde a la primera verdad con la segunda verdad como su fuente. Los estados que comiencen con la mentalidad–materialidad y terminen con la sensación resultante, debido respectivamente a la consciencia, etc., corresponderá a la primera verdad con la primera verdad como su fuente. El deseo debido a la sensación corresponderá a la segunda verdad con la primera verdad como su fuente.</w:t>
      </w:r>
    </w:p>
    <w:p w14:paraId="13B1F5FA" w14:textId="77777777" w:rsidR="00597DE2" w:rsidRPr="00DC1A5F" w:rsidRDefault="00597DE2" w:rsidP="00597DE2">
      <w:pPr>
        <w:pStyle w:val="NormalConSangria"/>
        <w:spacing w:after="40"/>
      </w:pPr>
      <w:r w:rsidRPr="00DC1A5F">
        <w:t>El apego debido al deseo corresponderá a la segunda verdad con la segunda verdad como su fuente. El devenir debido al apego corresponderá a la primera y segunda verdad con la segunda verdad como su fuente. El nacimiento debido al devenir corresponderá a la primera verdad con la segunda verdad como su fuente. El envejecimiento y la muerte debido al nacimiento corresponderá a la primera verdad con la primera verdad como su fuente.</w:t>
      </w:r>
    </w:p>
    <w:p w14:paraId="2D363783" w14:textId="77777777" w:rsidR="00597DE2" w:rsidRPr="00DC1A5F" w:rsidRDefault="00597DE2" w:rsidP="00597DE2">
      <w:pPr>
        <w:pStyle w:val="NormalConSangria"/>
        <w:spacing w:after="40"/>
      </w:pPr>
      <w:r w:rsidRPr="00DC1A5F">
        <w:t>Esto, en primer lugar, representa cómo la Rueda del Devenir debe ser entendida “como fuente de las cuatro verdades” en cualquier forma que sea apropiada.</w:t>
      </w:r>
    </w:p>
    <w:p w14:paraId="13FC5F34" w14:textId="77777777" w:rsidR="00597DE2" w:rsidRPr="00DC1A5F" w:rsidRDefault="00597DE2" w:rsidP="00597DE2">
      <w:r w:rsidRPr="00DC1A5F">
        <w:t xml:space="preserve">301. </w:t>
      </w:r>
      <w:r w:rsidRPr="00DC1A5F">
        <w:tab/>
        <w:t xml:space="preserve">2. </w:t>
      </w:r>
      <w:r w:rsidRPr="00DC1A5F">
        <w:rPr>
          <w:i/>
          <w:iCs/>
        </w:rPr>
        <w:t>En cuanto a la función</w:t>
      </w:r>
      <w:r w:rsidRPr="00DC1A5F">
        <w:t xml:space="preserve">: la ignorancia confunde a los seres con respecto a los objetos físicos del deseo sensorial y es una condición para la manifestación de las formaciones; asimismo las formaciones </w:t>
      </w:r>
      <w:proofErr w:type="spellStart"/>
      <w:r w:rsidRPr="00DC1A5F">
        <w:rPr>
          <w:i/>
          <w:iCs/>
        </w:rPr>
        <w:t>kammicas</w:t>
      </w:r>
      <w:proofErr w:type="spellEnd"/>
      <w:r w:rsidRPr="00DC1A5F">
        <w:rPr>
          <w:i/>
          <w:iCs/>
        </w:rPr>
        <w:t xml:space="preserve"> </w:t>
      </w:r>
      <w:r w:rsidRPr="00DC1A5F">
        <w:t>[582] conforman lo formado y son una condición para la consciencia;</w:t>
      </w:r>
      <w:r w:rsidRPr="00DC1A5F">
        <w:br w:type="page"/>
      </w:r>
    </w:p>
    <w:p w14:paraId="53DD13B9" w14:textId="77777777" w:rsidR="00597DE2" w:rsidRPr="00DC1A5F" w:rsidRDefault="00597DE2" w:rsidP="00597DE2">
      <w:pPr>
        <w:pStyle w:val="Textoindependiente"/>
      </w:pPr>
      <w:r w:rsidRPr="00DC1A5F">
        <w:lastRenderedPageBreak/>
        <w:t>la consciencia reconocerá un objeto y será una condición de mentalidad–materialidad; la mentalidad–materialidad se consolidará mutuamente y será una condición para las seis bases; las seis bases ocurrirán con respecto a sus propios campos objetivos independientes y será una condición para el contacto; el contacto entrará en contacto con un objeto y será una condición para la sensación; la sensación experimentará el estímulo del objeto y será una condición para el deseo; el deseo ansiará las cosas que exciten a la pasión y será una condición para el apego; el apego se aferrará a las cosas que despierten apego y será una condición para el devenir; el devenir arrojará a los seres a los diversos tipos de destinos y será una condición para el nacimiento; el nacimiento dará lugar al nacimiento de los agregados debido a que ocurrirán como su generación y será una condición para el envejecimiento y la muerte; y el envejecimiento–y–la–muerte asegurará la deterioración y disolución de los agregados y será  una condición para la manifestación del próximo devenir porque asegurará aflicción, lamentación, etc.</w:t>
      </w:r>
      <w:r w:rsidRPr="00DC1A5F">
        <w:rPr>
          <w:vertAlign w:val="superscript"/>
        </w:rPr>
        <w:t>45</w:t>
      </w:r>
      <w:r w:rsidRPr="00DC1A5F">
        <w:t xml:space="preserve"> Así que esta Rueda del Devenir debería ser conocida como una ocurrencia de 2 maneras “como una función” en la forma que sea adecuada a cada una de sus partes.</w:t>
      </w:r>
    </w:p>
    <w:p w14:paraId="634A8522" w14:textId="77777777" w:rsidR="00597DE2" w:rsidRPr="00DC1A5F" w:rsidRDefault="00597DE2" w:rsidP="00597DE2">
      <w:r w:rsidRPr="00DC1A5F">
        <w:t xml:space="preserve">302. </w:t>
      </w:r>
      <w:r w:rsidRPr="00DC1A5F">
        <w:tab/>
        <w:t xml:space="preserve">3. </w:t>
      </w:r>
      <w:r w:rsidRPr="00DC1A5F">
        <w:rPr>
          <w:i/>
          <w:iCs/>
        </w:rPr>
        <w:t>En cuanto a su prevención</w:t>
      </w:r>
      <w:r w:rsidRPr="00DC1A5F">
        <w:t>: la cláusula “Con la ignorancia como condición se origina las formaciones” elude la apreciación de un perpetrador o hacedor; la cláusula “Con las formaciones como condición, se origina la consciencia” elude la apreciación de la transmigración de un alma; la cláusula “Con la consciencia como condición, se origina la mentalidad–materialidad” elude la apreciación de la percepción de compacidad porque expone el análisis de la base conjeturada como “alma”; y la cláusula que comienza “Con la mentalidad–materialidad como condición, se origina las seis bases” elude la apreciación de cualquier alma que vea, oiga, etc., conozca, toque, sienta, desee, se apegue, se convierta, renazca, envejezca y muera. Por lo tanto, esta Rueda del Devenir deberá entenderse “en cuanto a su prevención” contra toda visión incorrecta de manera apropiada en cada caso.</w:t>
      </w:r>
    </w:p>
    <w:p w14:paraId="3CE25CE4" w14:textId="77777777" w:rsidR="00597DE2" w:rsidRPr="00DC1A5F" w:rsidRDefault="00597DE2" w:rsidP="00597DE2">
      <w:r w:rsidRPr="00DC1A5F">
        <w:t xml:space="preserve">303. </w:t>
      </w:r>
      <w:r w:rsidRPr="00DC1A5F">
        <w:tab/>
        <w:t xml:space="preserve">4. </w:t>
      </w:r>
      <w:r w:rsidRPr="00DC1A5F">
        <w:rPr>
          <w:i/>
          <w:iCs/>
        </w:rPr>
        <w:t>En cuanto a sus símiles</w:t>
      </w:r>
      <w:r w:rsidRPr="00DC1A5F">
        <w:t>: la ignorancia es como un hombre ciego ya que no existirán estados visuales según sus características específicas y generales; las formaciones con la ignorancia como su condición son como los tropiezos del ciego; la consciencia con las formaciones como su condición será como la caída de cada tropiezo; la mentalidad–materialidad con la consciencia como su condición será como la aparición de la inflamación en el hombre ciego por haber caído; las seis bases con la mentalidad–materialidad como su condición será como el apretón que hará reventar el chichón; el contacto con las seis bases como su condición será como el contacto del apretón en el chichón; sentir el contacto como su condición será como el dolor del contacto con el apretón; el deseo con la sensación como su condición será como desear un remedio; el apego al deseo como su condición será como apoderarse de lo inapropiado procurando tal remedio; [583] el devenir con el apego como su condición será como aplicar el remedio inapropiado conseguido; el nacimiento con el devenir como su condición será como la aparición de un cambio en el chichón, para peor, debido a la aplicación del remedio inadecuado; y el envejecimiento–y–la–muerte con el nacimiento como su condición será como el estallido del chichón después del cambio.</w:t>
      </w:r>
    </w:p>
    <w:p w14:paraId="5312741D" w14:textId="77777777" w:rsidR="00597DE2" w:rsidRPr="00DC1A5F" w:rsidRDefault="00597DE2" w:rsidP="00597DE2">
      <w:pPr>
        <w:pStyle w:val="NormalConSangria"/>
      </w:pPr>
      <w:r w:rsidRPr="00DC1A5F">
        <w:t xml:space="preserve">O también, la ignorancia aquí como “ausencia de teoría” o “teoría incorrecta” (ver §52) que enturbie los ojos de los seres será como una catarata en los ojos; el necio aturdido por ella se involucra en formaciones que producirán un mayor devenir, como lo haría una oruga que hiciese </w:t>
      </w:r>
    </w:p>
    <w:p w14:paraId="05FD5BD9" w14:textId="77777777" w:rsidR="00597DE2" w:rsidRPr="00DC1A5F" w:rsidRDefault="00597DE2" w:rsidP="00597DE2">
      <w:pPr>
        <w:pStyle w:val="PiedepginaLegal"/>
        <w:rPr>
          <w:sz w:val="12"/>
          <w:szCs w:val="20"/>
          <w:u w:val="single"/>
        </w:rPr>
      </w:pPr>
      <w:r w:rsidRPr="00DC1A5F">
        <w:rPr>
          <w:sz w:val="12"/>
          <w:szCs w:val="20"/>
          <w:u w:val="single"/>
        </w:rPr>
        <w:tab/>
      </w:r>
      <w:r w:rsidRPr="00DC1A5F">
        <w:rPr>
          <w:sz w:val="12"/>
          <w:szCs w:val="20"/>
          <w:u w:val="single"/>
        </w:rPr>
        <w:tab/>
      </w:r>
      <w:r w:rsidRPr="00DC1A5F">
        <w:rPr>
          <w:sz w:val="12"/>
          <w:szCs w:val="20"/>
          <w:u w:val="single"/>
        </w:rPr>
        <w:tab/>
      </w:r>
      <w:r w:rsidRPr="00DC1A5F">
        <w:rPr>
          <w:sz w:val="12"/>
          <w:szCs w:val="20"/>
          <w:u w:val="single"/>
        </w:rPr>
        <w:tab/>
        <w:t>.</w:t>
      </w:r>
    </w:p>
    <w:p w14:paraId="63B9491B" w14:textId="77777777" w:rsidR="00597DE2" w:rsidRPr="00DC1A5F" w:rsidRDefault="00597DE2" w:rsidP="00597DE2">
      <w:pPr>
        <w:pStyle w:val="PiedepginaLegal"/>
        <w:numPr>
          <w:ilvl w:val="0"/>
          <w:numId w:val="6"/>
        </w:numPr>
        <w:tabs>
          <w:tab w:val="clear" w:pos="425"/>
        </w:tabs>
        <w:spacing w:after="160"/>
        <w:ind w:left="284" w:hanging="284"/>
        <w:rPr>
          <w:sz w:val="12"/>
          <w:szCs w:val="20"/>
        </w:rPr>
      </w:pPr>
      <w:r w:rsidRPr="00DC1A5F">
        <w:rPr>
          <w:sz w:val="12"/>
          <w:szCs w:val="20"/>
        </w:rPr>
        <w:t>“La aflicción, etc., ya han sido establecidos como ignorancia; no obstante, la consciencia de la muerte en sí misma está desprovista de ignorancia y formaciones y no será una condición para el próximo devenir; por eso se dice</w:t>
      </w:r>
      <w:r w:rsidRPr="00DC1A5F">
        <w:rPr>
          <w:i/>
          <w:iCs/>
          <w:sz w:val="12"/>
          <w:szCs w:val="20"/>
        </w:rPr>
        <w:t xml:space="preserve"> ‘porque asegura la aflicción</w:t>
      </w:r>
      <w:r w:rsidRPr="00DC1A5F">
        <w:rPr>
          <w:sz w:val="12"/>
          <w:szCs w:val="20"/>
        </w:rPr>
        <w:t xml:space="preserve">, </w:t>
      </w:r>
      <w:r w:rsidRPr="00DC1A5F">
        <w:rPr>
          <w:i/>
          <w:iCs/>
          <w:sz w:val="12"/>
          <w:szCs w:val="20"/>
        </w:rPr>
        <w:t>etc</w:t>
      </w:r>
      <w:r w:rsidRPr="00DC1A5F">
        <w:rPr>
          <w:sz w:val="12"/>
          <w:szCs w:val="20"/>
        </w:rPr>
        <w:t>.’” (</w:t>
      </w:r>
      <w:proofErr w:type="spellStart"/>
      <w:r w:rsidRPr="00DC1A5F">
        <w:rPr>
          <w:sz w:val="12"/>
          <w:szCs w:val="20"/>
        </w:rPr>
        <w:t>Vism</w:t>
      </w:r>
      <w:proofErr w:type="spellEnd"/>
      <w:r w:rsidRPr="00DC1A5F">
        <w:rPr>
          <w:sz w:val="12"/>
          <w:szCs w:val="20"/>
        </w:rPr>
        <w:t>–</w:t>
      </w:r>
      <w:proofErr w:type="spellStart"/>
      <w:r w:rsidRPr="00DC1A5F">
        <w:rPr>
          <w:sz w:val="12"/>
          <w:szCs w:val="20"/>
        </w:rPr>
        <w:t>mhṭ</w:t>
      </w:r>
      <w:proofErr w:type="spellEnd"/>
      <w:r w:rsidRPr="00DC1A5F">
        <w:rPr>
          <w:sz w:val="12"/>
          <w:szCs w:val="20"/>
        </w:rPr>
        <w:t xml:space="preserve"> 640).</w:t>
      </w:r>
      <w:r w:rsidRPr="00DC1A5F">
        <w:rPr>
          <w:sz w:val="12"/>
          <w:szCs w:val="20"/>
        </w:rPr>
        <w:br w:type="page"/>
      </w:r>
    </w:p>
    <w:p w14:paraId="56367044" w14:textId="77777777" w:rsidR="00597DE2" w:rsidRPr="00DC1A5F" w:rsidRDefault="00597DE2" w:rsidP="00597DE2">
      <w:pPr>
        <w:pStyle w:val="Textoindependiente"/>
      </w:pPr>
      <w:r w:rsidRPr="00DC1A5F">
        <w:lastRenderedPageBreak/>
        <w:t>girar un capullo con las hebras del capullo; la consciencia guiada por las formaciones se establecerá en los diversos destinos, como un príncipe guiado por un ministro se establezca en un trono; la consciencia de la muerte que conjeture sobre el signo del renacimiento generará una mentalidad–materialidad en sus diversos aspectos con el vínculo–de–renacimiento, como un mago haría una ilusión; las seis bases sembradas en la mentalidad–materialidad alcanzará un crecimiento, incremento y plenitud, como lo haría un matorral sembrado en una tierra buena; el contacto surgirá de la intrusión de las bases, como el fuego surgiría del roce de dos maderos para crear fuego; la sensación se manifestará mediante el contacto, como el ardor al entrar en contacto con el fuego; el deseo aumentará en el que lo sienta, como la sed del que beba agua salada; el que esté sediento de deseos concebirá un deseo por las clases de devenir, como lo haría un hombre sediento con respecto a las bebidas; ese será su apego; al apegarse se aferrará al devenir como un pez al anzuelo debido a la codicia del carnada; cuando se dé el devenir se dará el nacimiento, como al haber semilla habría brotes; y la muerte será segura para el que nazca, como la caída lo sería para un árbol que haya crecido.</w:t>
      </w:r>
    </w:p>
    <w:p w14:paraId="017DCA48" w14:textId="77777777" w:rsidR="00597DE2" w:rsidRPr="00DC1A5F" w:rsidRDefault="00597DE2" w:rsidP="00597DE2">
      <w:pPr>
        <w:pStyle w:val="NormalConSangria"/>
      </w:pPr>
      <w:r w:rsidRPr="00DC1A5F">
        <w:t>Así que esta Rueda del Devenir también debería ser conocida “por sus símiles” en cualquier de sus formas apropiadas.</w:t>
      </w:r>
    </w:p>
    <w:p w14:paraId="51C5DD02" w14:textId="77777777" w:rsidR="00597DE2" w:rsidRPr="00DC1A5F" w:rsidRDefault="00597DE2" w:rsidP="00597DE2">
      <w:r w:rsidRPr="00DC1A5F">
        <w:t xml:space="preserve">304. </w:t>
      </w:r>
      <w:r w:rsidRPr="00DC1A5F">
        <w:tab/>
        <w:t xml:space="preserve">5. </w:t>
      </w:r>
      <w:r w:rsidRPr="00DC1A5F">
        <w:rPr>
          <w:i/>
          <w:iCs/>
        </w:rPr>
        <w:t>Tipos de profundidad</w:t>
      </w:r>
      <w:r w:rsidRPr="00DC1A5F">
        <w:t xml:space="preserve">: Ahora bien, las palabras del </w:t>
      </w:r>
      <w:r w:rsidRPr="00DC1A5F">
        <w:rPr>
          <w:i/>
          <w:iCs/>
        </w:rPr>
        <w:t>Bhagavā</w:t>
      </w:r>
      <w:r w:rsidRPr="00DC1A5F">
        <w:t>, “Esta Originación Dependiente es profunda, Ānanda, y aparenta ser profunda” (D II 55), se refieren a la profundidad (a) del significado, (b) de la ley, (c) de la enseñanza, y (d) de la penetración. Entonces, esta Rueda del Devenir deberá ser entendida “en cuanto a sus tipos de profundidad” de cualquiera de sus formas apropiadas.</w:t>
      </w:r>
    </w:p>
    <w:p w14:paraId="2EBC800D" w14:textId="77777777" w:rsidR="00597DE2" w:rsidRPr="00DC1A5F" w:rsidRDefault="00597DE2" w:rsidP="00597DE2">
      <w:r w:rsidRPr="00DC1A5F">
        <w:t xml:space="preserve">305. </w:t>
      </w:r>
      <w:r w:rsidRPr="00DC1A5F">
        <w:tab/>
        <w:t xml:space="preserve">(a) Aquí, el significado de la vejez–y–muerte producidos y originados con el nacimiento como su condición es profundo debido a la dificultad de comprender su origen con el nacimiento como su condición, así: ni la vejez–ni–la–muerte deja de provenir de un nacimiento, ni con la ausencia de nacimiento procederá de otra cosa; surgen sólo debido al nacimiento con precisamente aquella naturaleza de vejez–y–muerte. Y el significado del nacimiento con el devenir como su condición… y el significado de las formaciones producidas y originadas con la ignorancia como su condición son tratables de igual manera. Es por eso </w:t>
      </w:r>
      <w:proofErr w:type="gramStart"/>
      <w:r w:rsidRPr="00DC1A5F">
        <w:t>que</w:t>
      </w:r>
      <w:proofErr w:type="gramEnd"/>
      <w:r w:rsidRPr="00DC1A5F">
        <w:t xml:space="preserve"> esta Rueda del Devenir tiene un significado profundo. Esto, en primer lugar, corresponderá a la profundidad del significado aquí. [584] Porque será el efecto de una causa a lo que se denominará “significado”, según se dice al respecto: “El entendimiento del efecto de una causa corresponderá a la discriminación del significado” (</w:t>
      </w:r>
      <w:proofErr w:type="spellStart"/>
      <w:r w:rsidRPr="00DC1A5F">
        <w:t>Vibh</w:t>
      </w:r>
      <w:proofErr w:type="spellEnd"/>
      <w:r w:rsidRPr="00DC1A5F">
        <w:t xml:space="preserve"> 293).</w:t>
      </w:r>
    </w:p>
    <w:p w14:paraId="10894E5D" w14:textId="77777777" w:rsidR="00597DE2" w:rsidRPr="00DC1A5F" w:rsidRDefault="00597DE2" w:rsidP="00597DE2">
      <w:r w:rsidRPr="00DC1A5F">
        <w:t xml:space="preserve">306. </w:t>
      </w:r>
      <w:r w:rsidRPr="00DC1A5F">
        <w:tab/>
        <w:t>(b) El significado de la ignorancia como su condición para las formaciones es profundo ya que es difícil comprender en qué modo y en qué ocasión</w:t>
      </w:r>
      <w:r w:rsidRPr="00DC1A5F">
        <w:rPr>
          <w:vertAlign w:val="superscript"/>
        </w:rPr>
        <w:t>46</w:t>
      </w:r>
      <w:r w:rsidRPr="00DC1A5F">
        <w:t xml:space="preserve"> la ignorancia jugará como una condición para las diversas formaciones... El significado del nacimiento para el envejecimiento–y–la–muerte como su condición es igualmente profundo. Es por eso </w:t>
      </w:r>
      <w:proofErr w:type="gramStart"/>
      <w:r w:rsidRPr="00DC1A5F">
        <w:t>que</w:t>
      </w:r>
      <w:proofErr w:type="gramEnd"/>
      <w:r w:rsidRPr="00DC1A5F">
        <w:t xml:space="preserve"> esta Rueda del Devenir es profunda como una </w:t>
      </w:r>
      <w:r w:rsidRPr="00DC1A5F">
        <w:rPr>
          <w:i/>
          <w:iCs/>
        </w:rPr>
        <w:t>ley</w:t>
      </w:r>
      <w:r w:rsidRPr="00DC1A5F">
        <w:t>. Esta corresponderá a la profundidad de la ley aquí. Porque “ley” será una denominación para la causa, según se dice al respecto, “El entendimiento sobre la causa corresponderá a la discriminación sobre la ley” (</w:t>
      </w:r>
      <w:proofErr w:type="spellStart"/>
      <w:r w:rsidRPr="00DC1A5F">
        <w:t>Vibh</w:t>
      </w:r>
      <w:proofErr w:type="spellEnd"/>
      <w:r w:rsidRPr="00DC1A5F">
        <w:t xml:space="preserve"> 293).</w:t>
      </w:r>
    </w:p>
    <w:p w14:paraId="7E8FFEE1" w14:textId="77777777" w:rsidR="00597DE2" w:rsidRPr="00DC1A5F" w:rsidRDefault="00597DE2" w:rsidP="00597DE2">
      <w:r w:rsidRPr="00DC1A5F">
        <w:t xml:space="preserve">307. </w:t>
      </w:r>
      <w:r w:rsidRPr="00DC1A5F">
        <w:tab/>
        <w:t xml:space="preserve">(c) Entonces, la enseñanza de esta Originación Dependiente es profunda, ya que debe darse de varias maneras por medio de diversas razones y sólo el conocimiento omnisciente </w:t>
      </w:r>
    </w:p>
    <w:p w14:paraId="7531E74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683BF5B" w14:textId="77777777" w:rsidR="00597DE2" w:rsidRPr="00DC1A5F" w:rsidRDefault="00597DE2" w:rsidP="00597DE2">
      <w:pPr>
        <w:pStyle w:val="PiedepginaLegal"/>
        <w:numPr>
          <w:ilvl w:val="0"/>
          <w:numId w:val="6"/>
        </w:numPr>
        <w:tabs>
          <w:tab w:val="clear" w:pos="425"/>
        </w:tabs>
        <w:spacing w:after="160"/>
        <w:ind w:left="284" w:hanging="284"/>
      </w:pPr>
      <w:proofErr w:type="spellStart"/>
      <w:r w:rsidRPr="00DC1A5F">
        <w:rPr>
          <w:i/>
          <w:iCs/>
        </w:rPr>
        <w:t>Avatthā</w:t>
      </w:r>
      <w:proofErr w:type="spellEnd"/>
      <w:r w:rsidRPr="00DC1A5F">
        <w:rPr>
          <w:i/>
          <w:iCs/>
        </w:rPr>
        <w:t xml:space="preserve"> </w:t>
      </w:r>
      <w:r w:rsidRPr="00DC1A5F">
        <w:t>— “ocasión”: no así en el PED.</w:t>
      </w:r>
      <w:r w:rsidRPr="00DC1A5F">
        <w:br w:type="page"/>
      </w:r>
    </w:p>
    <w:p w14:paraId="5750D110" w14:textId="77777777" w:rsidR="00597DE2" w:rsidRPr="00DC1A5F" w:rsidRDefault="00597DE2" w:rsidP="00597DE2">
      <w:r w:rsidRPr="00DC1A5F">
        <w:lastRenderedPageBreak/>
        <w:t xml:space="preserve">establece plenamente lo respectivo a ella; porque en algunos lugares de los </w:t>
      </w:r>
      <w:r w:rsidRPr="00DC1A5F">
        <w:rPr>
          <w:i/>
          <w:iCs/>
        </w:rPr>
        <w:t>suttas</w:t>
      </w:r>
      <w:r w:rsidRPr="00DC1A5F">
        <w:t xml:space="preserve"> esta Originación Dependiente se expone en orden progresivo, en otros en orden inverso, en otros en orden progresivo e inverso, en otros en orden progresivo o inverso comenzando desde el medio, en otros en cuatro secciones y tres vínculos, en otros de tres secciones y dos vínculos, y en otros en dos secciones y un vínculo. Es por eso </w:t>
      </w:r>
      <w:proofErr w:type="gramStart"/>
      <w:r w:rsidRPr="00DC1A5F">
        <w:t>que</w:t>
      </w:r>
      <w:proofErr w:type="gramEnd"/>
      <w:r w:rsidRPr="00DC1A5F">
        <w:t xml:space="preserve"> esta Rueda del Devenir es profunda en la enseñanza. Esto corresponderá la profundidad de la </w:t>
      </w:r>
      <w:r w:rsidRPr="00DC1A5F">
        <w:rPr>
          <w:i/>
          <w:iCs/>
        </w:rPr>
        <w:t>enseñanza</w:t>
      </w:r>
      <w:r w:rsidRPr="00DC1A5F">
        <w:t>.</w:t>
      </w:r>
    </w:p>
    <w:p w14:paraId="527125D5" w14:textId="77777777" w:rsidR="00597DE2" w:rsidRPr="00DC1A5F" w:rsidRDefault="00597DE2" w:rsidP="00597DE2">
      <w:r w:rsidRPr="00DC1A5F">
        <w:t xml:space="preserve">308. </w:t>
      </w:r>
      <w:r w:rsidRPr="00DC1A5F">
        <w:tab/>
        <w:t xml:space="preserve">(d) Entonces, las esencias individuales de la ignorancia, etc., debido a cuya penetración la ignorancia, etc., serán correctamente penetradas en cuanto a su característica específica, serán entonces profundas ya que serán difíciles de sondear. Es por eso </w:t>
      </w:r>
      <w:proofErr w:type="gramStart"/>
      <w:r w:rsidRPr="00DC1A5F">
        <w:t>que</w:t>
      </w:r>
      <w:proofErr w:type="gramEnd"/>
      <w:r w:rsidRPr="00DC1A5F">
        <w:t xml:space="preserve"> esta Rueda del Devenir requiere de una penetración profunda. Porque aquí el significado de la ignorancia como no–conocimiento, no–visión y no–penetración–de–la–verdad es profundo; también lo es el significado de las formaciones como formación y acumulación, con y sin codicia; también lo es el significado de la consciencia como vacía, desinteresada y la manifestación del vínculo–de–renacimiento sin transmigración; también lo es el significado de la mentalidad–materialidad como surgimiento simultáneo, resuelto en componentes o no, y como inclinado hacia un objeto (</w:t>
      </w:r>
      <w:proofErr w:type="spellStart"/>
      <w:r w:rsidRPr="00DC1A5F">
        <w:rPr>
          <w:i/>
          <w:iCs/>
        </w:rPr>
        <w:t>namana</w:t>
      </w:r>
      <w:proofErr w:type="spellEnd"/>
      <w:r w:rsidRPr="00DC1A5F">
        <w:t>) o por ser molestado (</w:t>
      </w:r>
      <w:proofErr w:type="spellStart"/>
      <w:r w:rsidRPr="00DC1A5F">
        <w:rPr>
          <w:i/>
          <w:iCs/>
        </w:rPr>
        <w:t>ruppana</w:t>
      </w:r>
      <w:proofErr w:type="spellEnd"/>
      <w:r w:rsidRPr="00DC1A5F">
        <w:t xml:space="preserve">); así es el significado de las 6 bases como predominio, mundo, puerta, campo y posesión del campo objetivo; también lo será el significado del contacto como tacto, impacto, coincidencia y concurrencia; también lo será el significado de la sensación como experimentar el estímulo de un objeto, como placer, dolor o neutralidad, como no–alma y ​​como lo que se sienta; también lo será el significado del deseo como placer, compromiso, como una corriente, como una enredadera, como un río, como el océano del deseo y como algo imposible de saciar; también será el significado de apego como mezquindad, aferramiento, malinterpretación, adhesión y ser difícil de superar; también lo será el significado del devenir como acumulación, formación y arrojarse a los diversos tipos de generación, destino, posición y plano existencial; también lo será el significado del nacimiento como nacimiento, como llegar a nacer, como descenso a la matriz, renacimiento y manifestación; y también lo será el significado de vejez–y–nacimiento como destrucción, desaparición, ruptura y cambio. Esta corresponderá a la profundidad de la </w:t>
      </w:r>
      <w:r w:rsidRPr="00DC1A5F">
        <w:rPr>
          <w:i/>
          <w:iCs/>
        </w:rPr>
        <w:t>penetración</w:t>
      </w:r>
      <w:r w:rsidRPr="00DC1A5F">
        <w:t xml:space="preserve">. </w:t>
      </w:r>
    </w:p>
    <w:p w14:paraId="59C5401B" w14:textId="77777777" w:rsidR="00597DE2" w:rsidRPr="00DC1A5F" w:rsidRDefault="00597DE2" w:rsidP="00597DE2">
      <w:pPr>
        <w:rPr>
          <w:vertAlign w:val="superscript"/>
        </w:rPr>
      </w:pPr>
      <w:r w:rsidRPr="00DC1A5F">
        <w:t xml:space="preserve">309. </w:t>
      </w:r>
      <w:r w:rsidRPr="00DC1A5F">
        <w:tab/>
        <w:t>6. En cuanto a sus métodos: Entonces [585] existirán 4 métodos para el tratamiento del significado aquí. Éstos son (a) el método de la identidad, (b) el método de la diversidad, (c) el método del desinterés</w:t>
      </w:r>
      <w:r w:rsidRPr="00DC1A5F">
        <w:rPr>
          <w:vertAlign w:val="superscript"/>
        </w:rPr>
        <w:t>47</w:t>
      </w:r>
      <w:r w:rsidRPr="00DC1A5F">
        <w:t xml:space="preserve"> y (d) el método de la regularidad ineluctable. Así que esta Rueda del Devenir también debería ser entendida en consecuencia “en cuanto a sus tipos de método”.</w:t>
      </w:r>
      <w:r w:rsidRPr="00DC1A5F">
        <w:rPr>
          <w:vertAlign w:val="superscript"/>
        </w:rPr>
        <w:t>48</w:t>
      </w:r>
    </w:p>
    <w:p w14:paraId="7F3942F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2CA1069" w14:textId="77777777" w:rsidR="00597DE2" w:rsidRPr="00DC1A5F" w:rsidRDefault="00597DE2" w:rsidP="00597DE2">
      <w:pPr>
        <w:pStyle w:val="PiedepginaLegal"/>
        <w:numPr>
          <w:ilvl w:val="0"/>
          <w:numId w:val="6"/>
        </w:numPr>
        <w:tabs>
          <w:tab w:val="clear" w:pos="425"/>
        </w:tabs>
        <w:ind w:left="284" w:hanging="284"/>
      </w:pPr>
      <w:proofErr w:type="spellStart"/>
      <w:r w:rsidRPr="00DC1A5F">
        <w:rPr>
          <w:i/>
          <w:iCs/>
        </w:rPr>
        <w:t>Avyāpāra</w:t>
      </w:r>
      <w:proofErr w:type="spellEnd"/>
      <w:r w:rsidRPr="00DC1A5F">
        <w:t>—“</w:t>
      </w:r>
      <w:r w:rsidRPr="00DC1A5F">
        <w:rPr>
          <w:color w:val="833C0B" w:themeColor="accent2" w:themeShade="80"/>
        </w:rPr>
        <w:t>desinterés</w:t>
      </w:r>
      <w:r w:rsidRPr="00DC1A5F">
        <w:t xml:space="preserve">”: aquí es el equivalente de </w:t>
      </w:r>
      <w:proofErr w:type="spellStart"/>
      <w:r w:rsidRPr="00DC1A5F">
        <w:rPr>
          <w:i/>
          <w:iCs/>
        </w:rPr>
        <w:t>anābhoga</w:t>
      </w:r>
      <w:proofErr w:type="spellEnd"/>
      <w:r w:rsidRPr="00DC1A5F">
        <w:t>, véanse IV.171 y IX.108. La forma tal vez poco ortodoxa de “desinterés” se ha utilizado para evitar el sentido “altruista” que a veces implicaría un término como “</w:t>
      </w:r>
      <w:r w:rsidRPr="00DC1A5F">
        <w:rPr>
          <w:color w:val="833C0B" w:themeColor="accent2" w:themeShade="80"/>
        </w:rPr>
        <w:t>saludable indiferencia</w:t>
      </w:r>
      <w:r w:rsidRPr="00DC1A5F">
        <w:t xml:space="preserve">”. </w:t>
      </w:r>
      <w:proofErr w:type="spellStart"/>
      <w:r w:rsidRPr="00DC1A5F">
        <w:rPr>
          <w:i/>
          <w:iCs/>
        </w:rPr>
        <w:t>Vyāpāra</w:t>
      </w:r>
      <w:proofErr w:type="spellEnd"/>
      <w:r w:rsidRPr="00DC1A5F">
        <w:t xml:space="preserve"> está claramente pensada a lo largo de este trabajo como “acción motivada” en contraste con la “acción ciega de las fuerzas naturales</w:t>
      </w:r>
      <w:r w:rsidRPr="00DC1A5F">
        <w:rPr>
          <w:i/>
          <w:iCs/>
        </w:rPr>
        <w:t xml:space="preserve">”. </w:t>
      </w:r>
      <w:r w:rsidRPr="00DC1A5F">
        <w:t>Por lo tanto, se ha elegido la palabra “</w:t>
      </w:r>
      <w:r w:rsidRPr="00DC1A5F">
        <w:rPr>
          <w:color w:val="auto"/>
          <w:u w:color="000000"/>
        </w:rPr>
        <w:t>interés</w:t>
      </w:r>
      <w:r w:rsidRPr="00DC1A5F">
        <w:t>” para resaltar este efecto.</w:t>
      </w:r>
    </w:p>
    <w:p w14:paraId="2CE46589" w14:textId="77777777" w:rsidR="00597DE2" w:rsidRPr="00DC1A5F" w:rsidRDefault="00597DE2" w:rsidP="00597DE2">
      <w:pPr>
        <w:pStyle w:val="PiedepginaLegal"/>
        <w:numPr>
          <w:ilvl w:val="0"/>
          <w:numId w:val="6"/>
        </w:numPr>
        <w:tabs>
          <w:tab w:val="clear" w:pos="425"/>
        </w:tabs>
        <w:spacing w:after="160"/>
        <w:ind w:left="284" w:hanging="284"/>
      </w:pPr>
      <w:r w:rsidRPr="00DC1A5F">
        <w:rPr>
          <w:color w:val="auto"/>
          <w:u w:color="000000"/>
        </w:rPr>
        <w:t>La originación dependiente, o la estructura de las condiciones, aparecerá como una fórmula flexible con la intención de describir la situación humana ordinaria en un hombre inmerso en su mundo (o incluso la situación de cualquier evento consciente donde la ignorancia y el deseo no hayan cesado por completo). Esa situación será siempre compleja, ya que estará implícito que la consciencia sin objeto, o el ser (</w:t>
      </w:r>
      <w:proofErr w:type="spellStart"/>
      <w:r w:rsidRPr="00DC1A5F">
        <w:rPr>
          <w:i/>
          <w:iCs/>
          <w:color w:val="auto"/>
          <w:u w:color="000000"/>
        </w:rPr>
        <w:t>bhava</w:t>
      </w:r>
      <w:proofErr w:type="spellEnd"/>
      <w:r w:rsidRPr="00DC1A5F">
        <w:rPr>
          <w:color w:val="auto"/>
          <w:u w:color="000000"/>
        </w:rPr>
        <w:t xml:space="preserve">: devenir, o como se exprese) sin consciencia (de él), será imposible excepto como una abstracción artificial. </w:t>
      </w:r>
      <w:r w:rsidRPr="00DC1A5F">
        <w:rPr>
          <w:color w:val="833C0B" w:themeColor="accent2" w:themeShade="80"/>
          <w:u w:color="000000"/>
        </w:rPr>
        <w:t xml:space="preserve">La originación dependiente, al estar diseñada para retratar lo esencial de esta situación en las dimensiones limitadas de las palabras y usando solo elementos reconocibles mediante la experiencia, no es una proposición lógica (el </w:t>
      </w:r>
      <w:r w:rsidRPr="00DC1A5F">
        <w:rPr>
          <w:i/>
          <w:iCs/>
          <w:color w:val="833C0B" w:themeColor="accent2" w:themeShade="80"/>
          <w:u w:color="000000"/>
        </w:rPr>
        <w:t>cogito</w:t>
      </w:r>
      <w:r w:rsidRPr="00DC1A5F">
        <w:rPr>
          <w:color w:val="833C0B" w:themeColor="accent2" w:themeShade="80"/>
          <w:u w:color="000000"/>
        </w:rPr>
        <w:t xml:space="preserve"> de Descartes no es una proposición lógica).</w:t>
      </w:r>
      <w:r w:rsidRPr="00DC1A5F">
        <w:t xml:space="preserve"> Tampoco es una cadena temporal de causa y efecto: cada componente tiene que ser examinado en cuanto a su naturaleza para determinar cuáles son sus relaciones con</w:t>
      </w:r>
    </w:p>
    <w:p w14:paraId="511806FE" w14:textId="77777777" w:rsidR="00597DE2" w:rsidRPr="00DC1A5F" w:rsidRDefault="00597DE2" w:rsidP="00597DE2">
      <w:pPr>
        <w:tabs>
          <w:tab w:val="clear" w:pos="425"/>
        </w:tabs>
        <w:spacing w:after="160"/>
      </w:pPr>
      <w:r w:rsidRPr="00DC1A5F">
        <w:br w:type="page"/>
      </w:r>
    </w:p>
    <w:p w14:paraId="21D13064" w14:textId="77777777" w:rsidR="00597DE2" w:rsidRPr="00DC1A5F" w:rsidRDefault="00597DE2" w:rsidP="00597DE2"/>
    <w:p w14:paraId="713A384E" w14:textId="77777777" w:rsidR="00597DE2" w:rsidRPr="00DC1A5F" w:rsidRDefault="00597DE2" w:rsidP="00597DE2">
      <w:pPr>
        <w:pStyle w:val="Textoindependiente"/>
      </w:pPr>
      <w:r w:rsidRPr="00DC1A5F">
        <w:t xml:space="preserve">310. </w:t>
      </w:r>
      <w:r w:rsidRPr="00DC1A5F">
        <w:tab/>
        <w:t>(a) Aquí, a la no–interrupción de la continuidad de esta manera, “Con la ignorancia como condición se origina las formaciones; con las formaciones como condición, se origina la consciencia”, así como una semilla alcanzaría el estado de un árbol a través de un estado de brote, etc., se le denominará el “método de la identidad”. Quien observe esto correctamente abandonará la visión nihilista al comprender la integridad de la continuidad que se produzca a través del vínculo entre la causa y el efecto. Y quien lo vea erróneamente se aferrará a la visión de la eternidad al aprehender la identidad de la no–interrupción de la continuidad que se producirá a través del vínculo de causa–y–efecto.</w:t>
      </w:r>
    </w:p>
    <w:p w14:paraId="618EE937" w14:textId="77777777" w:rsidR="00597DE2" w:rsidRPr="00DC1A5F" w:rsidRDefault="00597DE2" w:rsidP="00597DE2">
      <w:r w:rsidRPr="00DC1A5F">
        <w:t xml:space="preserve">311. </w:t>
      </w:r>
      <w:r w:rsidRPr="00DC1A5F">
        <w:tab/>
        <w:t>(b) A la definición de la característica individual de la ignorancia, etc., se le denominará el “método de la diversidad”. Quien vea esto correctamente abandonará la visión de la eternidad al ver el surgimiento de cada nuevo estado. Y quien lo vea erróneamente se aferrará a la visión nihilista al aprehender la diversidad individual en los eventos en una sola continuidad como si fuera una continuidad fragmentada.</w:t>
      </w:r>
    </w:p>
    <w:p w14:paraId="4295DDF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A701CCD" w14:textId="77777777" w:rsidR="00597DE2" w:rsidRPr="00DC1A5F" w:rsidRDefault="00597DE2" w:rsidP="00597DE2">
      <w:pPr>
        <w:pStyle w:val="PiedepginaLegal"/>
      </w:pPr>
      <w:r w:rsidRPr="00DC1A5F">
        <w:t>…</w:t>
      </w:r>
    </w:p>
    <w:p w14:paraId="0A0DAB6F" w14:textId="77777777" w:rsidR="00597DE2" w:rsidRPr="00DC1A5F" w:rsidRDefault="00597DE2" w:rsidP="00597DE2">
      <w:pPr>
        <w:pStyle w:val="PiedepginaLegal"/>
        <w:rPr>
          <w:color w:val="auto"/>
          <w:u w:color="000000"/>
        </w:rPr>
      </w:pPr>
      <w:r w:rsidRPr="00DC1A5F">
        <w:tab/>
        <w:t xml:space="preserve">los otros componentes (por ejemplo, si son sucesivos en el tiempo o coetáneos, positivos o negativos, etc., etc.). </w:t>
      </w:r>
      <w:r w:rsidRPr="00DC1A5F">
        <w:rPr>
          <w:color w:val="auto"/>
          <w:u w:color="000000"/>
        </w:rPr>
        <w:t xml:space="preserve">Una cadena puramente de causa y efecto no representaría el patrón de una situación siempre compleja, siempre subjetiva–objetiva, estática–dinámica, positiva–negativa, etc. Nuevamente, no existe evidencia de ningún desarrollo histórico en las diversas formas proporcionadas </w:t>
      </w:r>
      <w:r w:rsidRPr="00DC1A5F">
        <w:rPr>
          <w:i/>
          <w:iCs/>
          <w:color w:val="auto"/>
          <w:u w:color="000000"/>
        </w:rPr>
        <w:t>dentro del límite del</w:t>
      </w:r>
      <w:r w:rsidRPr="00DC1A5F">
        <w:rPr>
          <w:color w:val="auto"/>
          <w:u w:color="000000"/>
        </w:rPr>
        <w:t xml:space="preserve"> </w:t>
      </w:r>
      <w:r w:rsidRPr="00DC1A5F">
        <w:rPr>
          <w:i/>
          <w:iCs/>
          <w:color w:val="auto"/>
          <w:u w:color="000000"/>
        </w:rPr>
        <w:t>Sutta</w:t>
      </w:r>
      <w:r w:rsidRPr="00DC1A5F">
        <w:rPr>
          <w:color w:val="auto"/>
          <w:u w:color="000000"/>
        </w:rPr>
        <w:t xml:space="preserve"> </w:t>
      </w:r>
      <w:proofErr w:type="spellStart"/>
      <w:r w:rsidRPr="00DC1A5F">
        <w:rPr>
          <w:i/>
          <w:iCs/>
          <w:color w:val="auto"/>
          <w:u w:color="000000"/>
        </w:rPr>
        <w:t>Piṭaka</w:t>
      </w:r>
      <w:proofErr w:type="spellEnd"/>
      <w:r w:rsidRPr="00DC1A5F">
        <w:rPr>
          <w:color w:val="auto"/>
          <w:u w:color="000000"/>
        </w:rPr>
        <w:t xml:space="preserve"> (dejando a un lado el </w:t>
      </w:r>
      <w:proofErr w:type="spellStart"/>
      <w:r w:rsidRPr="00DC1A5F">
        <w:rPr>
          <w:i/>
          <w:iCs/>
          <w:color w:val="auto"/>
          <w:u w:color="000000"/>
        </w:rPr>
        <w:t>Paṭisambhidāmagga</w:t>
      </w:r>
      <w:proofErr w:type="spellEnd"/>
      <w:r w:rsidRPr="00DC1A5F">
        <w:rPr>
          <w:color w:val="auto"/>
          <w:u w:color="000000"/>
        </w:rPr>
        <w:t>), y es probable que el tratamiento histórico dentro de ese límite en particular induzca al error, si se tratase de una hipótesis sin fundamento.</w:t>
      </w:r>
    </w:p>
    <w:p w14:paraId="49767553" w14:textId="77777777" w:rsidR="00597DE2" w:rsidRPr="00DC1A5F" w:rsidRDefault="00597DE2" w:rsidP="00597DE2">
      <w:pPr>
        <w:pStyle w:val="PiedepginaLegal"/>
      </w:pPr>
      <w:r w:rsidRPr="00DC1A5F">
        <w:tab/>
      </w:r>
      <w:r w:rsidRPr="00DC1A5F">
        <w:tab/>
      </w:r>
      <w:r w:rsidRPr="00DC1A5F">
        <w:rPr>
          <w:color w:val="auto"/>
          <w:u w:color="000000"/>
        </w:rPr>
        <w:t xml:space="preserve">En esta traducción se han evitado los paralelismos con el pensamiento europeo. No obstante, quizás pueda hacerse aquí una excepción, con la debida cautela, en el caso de Descartes. La revolución del pensamiento europeo iniciada por su fórmula </w:t>
      </w:r>
      <w:r w:rsidRPr="00DC1A5F">
        <w:rPr>
          <w:i/>
          <w:iCs/>
          <w:color w:val="auto"/>
          <w:u w:color="000000"/>
        </w:rPr>
        <w:t>cogito ergo sum</w:t>
      </w:r>
      <w:r w:rsidRPr="00DC1A5F">
        <w:rPr>
          <w:color w:val="auto"/>
          <w:u w:color="000000"/>
        </w:rPr>
        <w:t xml:space="preserve"> (“Pienso, luego existo”) aún no ha terminado. Ahora bien, tal vez no pase desapercibido que los dos elementos, “yo pienso” y “yo soy”, lo que no es una proposición lógica, sean paralelos hasta cierto punto a los dos componentes de la originación dependiente, la consciencia y el ser (devenir).</w:t>
      </w:r>
      <w:r w:rsidRPr="00DC1A5F">
        <w:t xml:space="preserve"> </w:t>
      </w:r>
      <w:r w:rsidRPr="00DC1A5F">
        <w:rPr>
          <w:color w:val="auto"/>
          <w:u w:color="000000"/>
        </w:rPr>
        <w:t xml:space="preserve">En otras palabras, la consciencia activada por el deseo y el apego como una producción dinámica, guiada y cegada por la ignorancia (“pienso” o “consciencia con la presunción del ‘yo soy’”), condicionará al ser (“luego existo”) en una compleja relación con otros factores que relacionen sujeto y objeto (no explicados por Descartes). </w:t>
      </w:r>
      <w:r w:rsidRPr="00DC1A5F">
        <w:t xml:space="preserve">El paralelo no debe llevarse demasiado lejos. De hecho, solo se introduce porque en Europa la originación dependiente parece ser malinterpretado en gran medida a través de muchas interpretaciones extrañas al respecto y porque el </w:t>
      </w:r>
      <w:r w:rsidRPr="00DC1A5F">
        <w:rPr>
          <w:i/>
          <w:iCs/>
        </w:rPr>
        <w:t>cogito</w:t>
      </w:r>
      <w:r w:rsidRPr="00DC1A5F">
        <w:t xml:space="preserve"> pareciera ofrecer algún tipo de enfoque razonable.</w:t>
      </w:r>
    </w:p>
    <w:p w14:paraId="607FCD3D" w14:textId="77777777" w:rsidR="00597DE2" w:rsidRPr="00DC1A5F" w:rsidRDefault="00597DE2" w:rsidP="00597DE2">
      <w:pPr>
        <w:pStyle w:val="PiedepginaLegal"/>
      </w:pPr>
      <w:r w:rsidRPr="00DC1A5F">
        <w:tab/>
      </w:r>
      <w:r w:rsidRPr="00DC1A5F">
        <w:rPr>
          <w:color w:val="auto"/>
          <w:u w:color="000000"/>
        </w:rPr>
        <w:tab/>
        <w:t xml:space="preserve">En este trabajo, por conveniencia y debido a la especial importancia que aquí se le da al aspecto del vínculo muerte–renacimiento, la originación dependiente se considerará desde un solo punto de vista, es decir, como aplicable a un período que abarcase un mínimo de tres vidas. No obstante, esta no será la única aplicación. Con las modificaciones adecuadas, también se utiliza en el </w:t>
      </w:r>
      <w:proofErr w:type="spellStart"/>
      <w:r w:rsidRPr="00DC1A5F">
        <w:rPr>
          <w:i/>
          <w:iCs/>
          <w:color w:val="auto"/>
          <w:u w:color="000000"/>
        </w:rPr>
        <w:t>Vibhaṅga</w:t>
      </w:r>
      <w:proofErr w:type="spellEnd"/>
      <w:r w:rsidRPr="00DC1A5F">
        <w:rPr>
          <w:color w:val="auto"/>
          <w:u w:color="000000"/>
        </w:rPr>
        <w:t xml:space="preserve"> para describir la estructura del complejo en cada una de sus 89 clases de consciencias independientes y establecidas en el </w:t>
      </w:r>
      <w:proofErr w:type="spellStart"/>
      <w:r w:rsidRPr="00DC1A5F">
        <w:rPr>
          <w:i/>
          <w:iCs/>
          <w:color w:val="auto"/>
          <w:u w:color="000000"/>
        </w:rPr>
        <w:t>Dhammasaṅgaṇī</w:t>
      </w:r>
      <w:proofErr w:type="spellEnd"/>
      <w:r w:rsidRPr="00DC1A5F">
        <w:rPr>
          <w:color w:val="auto"/>
          <w:u w:color="000000"/>
        </w:rPr>
        <w:t xml:space="preserve">; al respecto </w:t>
      </w:r>
      <w:proofErr w:type="spellStart"/>
      <w:r w:rsidRPr="00DC1A5F">
        <w:rPr>
          <w:color w:val="auto"/>
          <w:u w:color="000000"/>
        </w:rPr>
        <w:t>Bhadantācariya</w:t>
      </w:r>
      <w:proofErr w:type="spellEnd"/>
      <w:r w:rsidRPr="00DC1A5F">
        <w:rPr>
          <w:color w:val="auto"/>
          <w:u w:color="000000"/>
        </w:rPr>
        <w:t xml:space="preserve"> </w:t>
      </w:r>
      <w:r w:rsidRPr="00DC1A5F">
        <w:rPr>
          <w:iCs/>
          <w:color w:val="auto"/>
          <w:u w:color="000000"/>
        </w:rPr>
        <w:t>Buddhaghosa</w:t>
      </w:r>
      <w:r w:rsidRPr="00DC1A5F">
        <w:rPr>
          <w:color w:val="auto"/>
          <w:u w:color="000000"/>
        </w:rPr>
        <w:t xml:space="preserve"> dice: “Esta estructura de condiciones está presente no solo en (un período de continuidad que conste de) consciencias múltiples sino también en cada consciencia individual” (</w:t>
      </w:r>
      <w:proofErr w:type="spellStart"/>
      <w:r w:rsidRPr="00DC1A5F">
        <w:rPr>
          <w:color w:val="auto"/>
          <w:u w:color="000000"/>
        </w:rPr>
        <w:t>Vibh</w:t>
      </w:r>
      <w:proofErr w:type="spellEnd"/>
      <w:r w:rsidRPr="00DC1A5F">
        <w:rPr>
          <w:color w:val="auto"/>
          <w:u w:color="000000"/>
        </w:rPr>
        <w:t>–a 199–200).</w:t>
      </w:r>
      <w:r w:rsidRPr="00DC1A5F">
        <w:rPr>
          <w:color w:val="833C0B" w:themeColor="accent2" w:themeShade="80"/>
          <w:u w:color="000000"/>
        </w:rPr>
        <w:t xml:space="preserve"> </w:t>
      </w:r>
      <w:r w:rsidRPr="00DC1A5F">
        <w:rPr>
          <w:color w:val="auto"/>
          <w:u w:color="000000"/>
        </w:rPr>
        <w:t xml:space="preserve">También el </w:t>
      </w:r>
      <w:proofErr w:type="spellStart"/>
      <w:r w:rsidRPr="00DC1A5F">
        <w:rPr>
          <w:i/>
          <w:iCs/>
          <w:color w:val="auto"/>
          <w:u w:color="000000"/>
        </w:rPr>
        <w:t>Paṭisambhidāmagga</w:t>
      </w:r>
      <w:proofErr w:type="spellEnd"/>
      <w:r w:rsidRPr="00DC1A5F">
        <w:rPr>
          <w:color w:val="auto"/>
          <w:u w:color="000000"/>
        </w:rPr>
        <w:t xml:space="preserve"> ofrece 5 exposiciones, 4 que describen la originación dependiente en una vida, la 5° se hace para presentar una generalización inductiva especial y extender lo que sea observable en esta vida (el hecho de que la consciencia siempre es precedida por otra consciencia, cf. Cap. §83s., es decir, que siempre tendrá un pasado y será inconcebible sin uno) retrospectivamente más allá del nacimiento, y (puesto que el deseo y la ignorancia aseguran su esperada continuación) más allá de la muerte.</w:t>
      </w:r>
      <w:r w:rsidRPr="00DC1A5F">
        <w:t xml:space="preserve"> Se cuenta, además, con varias otras aplicaciones diferentes indicadas por las formas variantes ofrecidas en los </w:t>
      </w:r>
      <w:r w:rsidRPr="00DC1A5F">
        <w:rPr>
          <w:i/>
          <w:iCs/>
        </w:rPr>
        <w:t>suttas</w:t>
      </w:r>
      <w:r w:rsidRPr="00DC1A5F">
        <w:t xml:space="preserve"> mismos.</w:t>
      </w:r>
    </w:p>
    <w:p w14:paraId="21F18011" w14:textId="77777777" w:rsidR="00597DE2" w:rsidRPr="00DC1A5F" w:rsidRDefault="00597DE2" w:rsidP="00597DE2">
      <w:pPr>
        <w:tabs>
          <w:tab w:val="clear" w:pos="425"/>
        </w:tabs>
        <w:spacing w:after="160"/>
      </w:pPr>
      <w:r w:rsidRPr="00DC1A5F">
        <w:br w:type="page"/>
      </w:r>
    </w:p>
    <w:p w14:paraId="48CADD06" w14:textId="77777777" w:rsidR="00597DE2" w:rsidRPr="00DC1A5F" w:rsidRDefault="00597DE2" w:rsidP="00597DE2">
      <w:r w:rsidRPr="00DC1A5F">
        <w:lastRenderedPageBreak/>
        <w:t xml:space="preserve">312. </w:t>
      </w:r>
      <w:r w:rsidRPr="00DC1A5F">
        <w:tab/>
        <w:t>(c) A la ausencia de interés por parte de la ignorancia, a través de ideas como “Debo hacer que ocurran unas formaciones”, o por parte de las formaciones, a través de ideas como “Debemos hacer que ocurra la consciencia a través de nosotros”, y así en adelante, se le denominará el “método del desinterés”. Quien vea esto correctamente abandonará la visión del alma al comprender la ausencia de un hacedor. Quien lo vea erróneamente se aferrará a la visión de la ineficacia moral de la acción, porque no percibirá que la función causativa de la ignorancia, etc., está establecida como una ley a través de sus respectivas esencias individuales.</w:t>
      </w:r>
    </w:p>
    <w:p w14:paraId="298E08A5" w14:textId="77777777" w:rsidR="00597DE2" w:rsidRPr="00DC1A5F" w:rsidRDefault="00597DE2" w:rsidP="00597DE2">
      <w:r w:rsidRPr="00DC1A5F">
        <w:t xml:space="preserve">313. </w:t>
      </w:r>
      <w:r w:rsidRPr="00DC1A5F">
        <w:tab/>
        <w:t>(d) La producción de solo formaciones, etc., respectivamente y no otras con ignorancia, etc., como sus razones respectivas, como la de la cuajada, etc., con la leche, etc., como sus razones respectivas, se le denominará el “método de la regularidad ineluctable”. Quien vea esto correctamente abandonará la visión de la no–causa y la visión de la ineficacia–moral–de–la–acción al comprender cómo el efecto concuerda con su condición. Quien lo vea erróneamente al aprehenderlo como no–producción de nada a partir de nada, en lugar de aprehender la ocurrencia del efecto de acuerdo con sus condiciones, se aferrará a la visión no–causativa y a la doctrina del fatalismo. Así que esta Rueda del Devenir:</w:t>
      </w:r>
    </w:p>
    <w:p w14:paraId="48EE7722" w14:textId="77777777" w:rsidR="00597DE2" w:rsidRPr="00DC1A5F" w:rsidRDefault="00597DE2" w:rsidP="00597DE2">
      <w:pPr>
        <w:pStyle w:val="VersoIngls01Sangria"/>
        <w:ind w:left="1985"/>
        <w:rPr>
          <w:sz w:val="16"/>
          <w:szCs w:val="20"/>
        </w:rPr>
      </w:pPr>
      <w:r w:rsidRPr="00DC1A5F">
        <w:rPr>
          <w:sz w:val="16"/>
          <w:szCs w:val="20"/>
        </w:rPr>
        <w:t>En cuanto a su fuente en las cuatro verdades,</w:t>
      </w:r>
    </w:p>
    <w:p w14:paraId="7F5D4158" w14:textId="77777777" w:rsidR="00597DE2" w:rsidRPr="00DC1A5F" w:rsidRDefault="00597DE2" w:rsidP="00597DE2">
      <w:pPr>
        <w:pStyle w:val="VersoIngls01Sangria"/>
        <w:ind w:left="1985"/>
        <w:rPr>
          <w:sz w:val="16"/>
          <w:szCs w:val="20"/>
        </w:rPr>
      </w:pPr>
      <w:r w:rsidRPr="00DC1A5F">
        <w:rPr>
          <w:sz w:val="16"/>
          <w:szCs w:val="20"/>
        </w:rPr>
        <w:t xml:space="preserve">En cuanto a su función, prevención, símiles, </w:t>
      </w:r>
    </w:p>
    <w:p w14:paraId="37A0BFAF" w14:textId="77777777" w:rsidR="00597DE2" w:rsidRPr="00DC1A5F" w:rsidRDefault="00597DE2" w:rsidP="00597DE2">
      <w:pPr>
        <w:pStyle w:val="VersoIngls01Sangria"/>
        <w:ind w:left="1985"/>
        <w:rPr>
          <w:sz w:val="16"/>
          <w:szCs w:val="20"/>
        </w:rPr>
      </w:pPr>
      <w:r w:rsidRPr="00DC1A5F">
        <w:rPr>
          <w:sz w:val="16"/>
          <w:szCs w:val="20"/>
        </w:rPr>
        <w:t xml:space="preserve">Tipos de profundidad y métodos, </w:t>
      </w:r>
    </w:p>
    <w:p w14:paraId="2CE67A03" w14:textId="77777777" w:rsidR="00597DE2" w:rsidRPr="00DC1A5F" w:rsidRDefault="00597DE2" w:rsidP="00597DE2">
      <w:pPr>
        <w:pStyle w:val="VersoIngls01Sangria"/>
        <w:ind w:left="1985"/>
        <w:rPr>
          <w:sz w:val="16"/>
          <w:szCs w:val="20"/>
        </w:rPr>
      </w:pPr>
      <w:r w:rsidRPr="00DC1A5F">
        <w:rPr>
          <w:sz w:val="16"/>
          <w:szCs w:val="20"/>
        </w:rPr>
        <w:t>Todo esto deberá entenderse consecuentemente.</w:t>
      </w:r>
      <w:r w:rsidRPr="00DC1A5F">
        <w:rPr>
          <w:sz w:val="16"/>
          <w:szCs w:val="20"/>
        </w:rPr>
        <w:br/>
      </w:r>
    </w:p>
    <w:p w14:paraId="20E38BF9" w14:textId="77777777" w:rsidR="00597DE2" w:rsidRPr="00DC1A5F" w:rsidRDefault="00597DE2" w:rsidP="00597DE2">
      <w:pPr>
        <w:pStyle w:val="Textoindependiente"/>
      </w:pPr>
      <w:r w:rsidRPr="00DC1A5F">
        <w:t xml:space="preserve">314. </w:t>
      </w:r>
      <w:r w:rsidRPr="00DC1A5F">
        <w:tab/>
        <w:t>No existe nadie, ni siquiera en sueños, que haya escapado de esta temible rueda de renacimientos, que se encuentra siempre destruyendo todo como un rayo, a menos que la haya cortado con la navaja de un conocimiento bien afilado sobre la piedra de la sublime concentración, esta Rueda del Devenir, que no ofrece ninguna base debido a su gran profundidad es difícil de consumar su entendimiento debido al laberinto de sus muchos métodos. [586]</w:t>
      </w:r>
    </w:p>
    <w:p w14:paraId="547DA2DA" w14:textId="77777777" w:rsidR="00597DE2" w:rsidRPr="00DC1A5F" w:rsidRDefault="00597DE2" w:rsidP="00597DE2">
      <w:pPr>
        <w:pStyle w:val="NormalConSangria"/>
      </w:pPr>
      <w:r w:rsidRPr="00DC1A5F">
        <w:t xml:space="preserve">Y esto ha sido afirmado por el </w:t>
      </w:r>
      <w:r w:rsidRPr="00DC1A5F">
        <w:rPr>
          <w:i/>
          <w:iCs/>
        </w:rPr>
        <w:t>Bhagavā</w:t>
      </w:r>
      <w:r w:rsidRPr="00DC1A5F">
        <w:t>: “Esta Originación Dependiente es profunda, Ānanda, y aparece como profunda. Y, Ānanda, es por no conocer, por no penetrar en ella, que esta generación se ha convertido en un nudo gordiano, en un ovillo de hilo anudado, enmarañado como un cañaveral y que no encuentra escape del ciclo de renacimientos, con sus estados de perdición, con sus destinos de infelicidad, … perdición” (D II 55).</w:t>
      </w:r>
    </w:p>
    <w:p w14:paraId="72DD6567" w14:textId="77777777" w:rsidR="00597DE2" w:rsidRPr="00DC1A5F" w:rsidRDefault="00597DE2" w:rsidP="00597DE2">
      <w:pPr>
        <w:pStyle w:val="NormalConSangria"/>
      </w:pPr>
      <w:r w:rsidRPr="00DC1A5F">
        <w:t>Por lo tanto, ejerciéndose en beneficio propio y ajeno, abandonando otros deberes:</w:t>
      </w:r>
    </w:p>
    <w:p w14:paraId="328802F3" w14:textId="77777777" w:rsidR="00597DE2" w:rsidRPr="00DC1A5F" w:rsidRDefault="00597DE2" w:rsidP="00597DE2">
      <w:pPr>
        <w:pStyle w:val="VersoIngls01Sangria"/>
        <w:ind w:left="1985"/>
        <w:rPr>
          <w:sz w:val="16"/>
          <w:szCs w:val="20"/>
        </w:rPr>
      </w:pPr>
      <w:r w:rsidRPr="00DC1A5F">
        <w:rPr>
          <w:sz w:val="16"/>
          <w:szCs w:val="20"/>
        </w:rPr>
        <w:t>Que un hombre sabio de atención plena</w:t>
      </w:r>
    </w:p>
    <w:p w14:paraId="26E5F8B9" w14:textId="77777777" w:rsidR="00597DE2" w:rsidRPr="00DC1A5F" w:rsidRDefault="00597DE2" w:rsidP="00597DE2">
      <w:pPr>
        <w:pStyle w:val="VersoIngls01Sangria"/>
        <w:ind w:left="1985"/>
        <w:rPr>
          <w:sz w:val="16"/>
          <w:szCs w:val="20"/>
        </w:rPr>
      </w:pPr>
      <w:r w:rsidRPr="00DC1A5F">
        <w:rPr>
          <w:sz w:val="16"/>
          <w:szCs w:val="20"/>
        </w:rPr>
        <w:t xml:space="preserve">Practique así para que pueda comenzar </w:t>
      </w:r>
    </w:p>
    <w:p w14:paraId="5F839FE1" w14:textId="77777777" w:rsidR="00597DE2" w:rsidRPr="00DC1A5F" w:rsidRDefault="00597DE2" w:rsidP="00597DE2">
      <w:pPr>
        <w:pStyle w:val="VersoIngls01Sangria"/>
        <w:ind w:left="1985"/>
        <w:rPr>
          <w:sz w:val="16"/>
          <w:szCs w:val="20"/>
        </w:rPr>
      </w:pPr>
      <w:r w:rsidRPr="00DC1A5F">
        <w:rPr>
          <w:sz w:val="16"/>
          <w:szCs w:val="20"/>
        </w:rPr>
        <w:t xml:space="preserve">A encontrar el fundamento de las profundidades </w:t>
      </w:r>
    </w:p>
    <w:p w14:paraId="5799704D" w14:textId="77777777" w:rsidR="00597DE2" w:rsidRPr="00DC1A5F" w:rsidRDefault="00597DE2" w:rsidP="00597DE2">
      <w:pPr>
        <w:pStyle w:val="VersoIngls01Sangria"/>
        <w:ind w:left="1985"/>
        <w:rPr>
          <w:sz w:val="16"/>
          <w:szCs w:val="20"/>
        </w:rPr>
      </w:pPr>
      <w:r w:rsidRPr="00DC1A5F">
        <w:rPr>
          <w:sz w:val="16"/>
          <w:szCs w:val="20"/>
        </w:rPr>
        <w:t>De la Originación Dependiente</w:t>
      </w:r>
    </w:p>
    <w:p w14:paraId="34761397" w14:textId="77777777" w:rsidR="00597DE2" w:rsidRPr="00DC1A5F" w:rsidRDefault="00597DE2" w:rsidP="00597DE2">
      <w:pPr>
        <w:pStyle w:val="VersoIngls01Sangria"/>
        <w:ind w:left="1843"/>
      </w:pPr>
    </w:p>
    <w:p w14:paraId="30DA44A0" w14:textId="77777777" w:rsidR="00597DE2" w:rsidRPr="00DC1A5F" w:rsidRDefault="00597DE2" w:rsidP="00597DE2">
      <w:pPr>
        <w:ind w:left="709" w:right="1043"/>
      </w:pPr>
      <w:r w:rsidRPr="00DC1A5F">
        <w:t xml:space="preserve">Éste ha sido el decimoséptimo capítulo llamado “El Fundamento del Entendimiento” del tratado sobre el Desarrollo del Entendimiento del </w:t>
      </w:r>
      <w:r w:rsidRPr="00DC1A5F">
        <w:rPr>
          <w:i/>
          <w:iCs/>
        </w:rPr>
        <w:t>Sendero de la Purificación</w:t>
      </w:r>
      <w:r w:rsidRPr="00DC1A5F">
        <w:t xml:space="preserve"> compuesto para alegría de buenas personas.</w:t>
      </w:r>
    </w:p>
    <w:p w14:paraId="40876D84" w14:textId="77777777" w:rsidR="00597DE2" w:rsidRPr="00DC1A5F" w:rsidRDefault="00597DE2" w:rsidP="00597DE2">
      <w:pPr>
        <w:tabs>
          <w:tab w:val="clear" w:pos="425"/>
        </w:tabs>
        <w:spacing w:after="160"/>
      </w:pPr>
      <w:r w:rsidRPr="00DC1A5F">
        <w:br w:type="page"/>
      </w:r>
    </w:p>
    <w:p w14:paraId="26812E0E" w14:textId="77777777" w:rsidR="00597DE2" w:rsidRPr="00DC1A5F" w:rsidRDefault="00597DE2" w:rsidP="00597DE2"/>
    <w:p w14:paraId="44D0A567" w14:textId="77777777" w:rsidR="00597DE2" w:rsidRPr="00DC1A5F" w:rsidRDefault="00597DE2" w:rsidP="00597DE2"/>
    <w:p w14:paraId="136643DA" w14:textId="77777777" w:rsidR="00597DE2" w:rsidRPr="00DC1A5F" w:rsidRDefault="00597DE2" w:rsidP="00597DE2"/>
    <w:p w14:paraId="5545B718" w14:textId="77777777" w:rsidR="00597DE2" w:rsidRPr="00DC1A5F" w:rsidRDefault="00597DE2" w:rsidP="00597DE2">
      <w:pPr>
        <w:pStyle w:val="Ttulo2"/>
        <w:jc w:val="center"/>
      </w:pPr>
      <w:bookmarkStart w:id="6" w:name="_Toc142334413"/>
      <w:r w:rsidRPr="00DC1A5F">
        <w:t>Capítulo XVIII</w:t>
      </w:r>
      <w:r w:rsidRPr="00DC1A5F">
        <w:br/>
        <w:t>Purificación De La Visión</w:t>
      </w:r>
      <w:bookmarkEnd w:id="6"/>
    </w:p>
    <w:p w14:paraId="6E8DF6B2" w14:textId="77777777" w:rsidR="00597DE2" w:rsidRPr="00DC1A5F" w:rsidRDefault="00597DE2" w:rsidP="00597DE2"/>
    <w:p w14:paraId="573E08D8" w14:textId="77777777" w:rsidR="00597DE2" w:rsidRPr="00DC1A5F" w:rsidRDefault="00597DE2" w:rsidP="00597DE2">
      <w:pPr>
        <w:pStyle w:val="Textoindependiente"/>
        <w:jc w:val="center"/>
      </w:pPr>
      <w:r w:rsidRPr="00DC1A5F">
        <w:rPr>
          <w:b/>
          <w:bCs/>
          <w:i/>
        </w:rPr>
        <w:t>(Diṭṭhi–</w:t>
      </w:r>
      <w:proofErr w:type="spellStart"/>
      <w:r w:rsidRPr="00DC1A5F">
        <w:rPr>
          <w:b/>
          <w:bCs/>
          <w:i/>
        </w:rPr>
        <w:t>visuddhi</w:t>
      </w:r>
      <w:proofErr w:type="spellEnd"/>
      <w:r w:rsidRPr="00DC1A5F">
        <w:rPr>
          <w:b/>
          <w:bCs/>
          <w:i/>
        </w:rPr>
        <w:t>–</w:t>
      </w:r>
      <w:proofErr w:type="spellStart"/>
      <w:r w:rsidRPr="00DC1A5F">
        <w:rPr>
          <w:b/>
          <w:bCs/>
          <w:i/>
        </w:rPr>
        <w:t>niddesa</w:t>
      </w:r>
      <w:proofErr w:type="spellEnd"/>
      <w:r w:rsidRPr="00DC1A5F">
        <w:rPr>
          <w:b/>
          <w:bCs/>
          <w:i/>
        </w:rPr>
        <w:t>)</w:t>
      </w:r>
    </w:p>
    <w:p w14:paraId="01E61BD1" w14:textId="77777777" w:rsidR="00597DE2" w:rsidRPr="00DC1A5F" w:rsidRDefault="00597DE2" w:rsidP="00597DE2">
      <w:r w:rsidRPr="00DC1A5F">
        <w:t xml:space="preserve">1. </w:t>
      </w:r>
      <w:r w:rsidRPr="00DC1A5F">
        <w:tab/>
        <w:t xml:space="preserve">[587] Ahora bien, se dijo anteriormente (XIV.32) que él “deberá primero fortalecer su conocimiento aprendiendo e indagando sobre aquellas cosas que conformen el ‘suelo’ </w:t>
      </w:r>
      <w:r w:rsidRPr="00DC1A5F">
        <w:rPr>
          <w:color w:val="833C0B" w:themeColor="accent2" w:themeShade="80"/>
          <w:u w:color="000000"/>
        </w:rPr>
        <w:t>del entendimiento,</w:t>
      </w:r>
      <w:r w:rsidRPr="00DC1A5F">
        <w:t xml:space="preserve"> después de haber perfeccionado 2 purificaciones: la purificación de la virtud y la purificación de la consciencia </w:t>
      </w:r>
      <w:r w:rsidRPr="00DC1A5F">
        <w:rPr>
          <w:color w:val="833C0B" w:themeColor="accent2" w:themeShade="80"/>
          <w:u w:color="000000"/>
        </w:rPr>
        <w:t>[concentración]”</w:t>
      </w:r>
      <w:r w:rsidRPr="00DC1A5F">
        <w:t xml:space="preserve"> — las cuales corresponderán a las ‘raíces’ </w:t>
      </w:r>
      <w:r w:rsidRPr="00DC1A5F">
        <w:rPr>
          <w:color w:val="833C0B" w:themeColor="accent2" w:themeShade="80"/>
          <w:u w:color="000000"/>
        </w:rPr>
        <w:t>de dicho suelo</w:t>
      </w:r>
      <w:r w:rsidRPr="00DC1A5F">
        <w:t xml:space="preserve">”. Ahora bien, de ellas, la purificación de la virtud corresponderá a las 4 virtudes purificadas en su totalidad que comienzan con la restricción del </w:t>
      </w:r>
      <w:proofErr w:type="spellStart"/>
      <w:r w:rsidRPr="00DC1A5F">
        <w:rPr>
          <w:i/>
          <w:iCs/>
        </w:rPr>
        <w:t>Pātimokkha</w:t>
      </w:r>
      <w:proofErr w:type="spellEnd"/>
      <w:r w:rsidRPr="00DC1A5F">
        <w:t xml:space="preserve"> y de ello ya se ha tratado en detalle en la Descripción de la Virtud; (Caps. I y II); la purificación de la consciencia, es decir, de las 8 absorciones junto con el acceso a la concentración, también ha sido tratado en detalle en todos sus aspectos en la Descripción de la Concentración, (Caps. III al XIII) desarrollada bajo el término de “consciencia” [en el verso introductorio]. Por lo tanto, esas 2 purificaciones deberán entenderse en detalle tal como se dan en dichos capítulos.</w:t>
      </w:r>
    </w:p>
    <w:p w14:paraId="73C5D021" w14:textId="77777777" w:rsidR="00597DE2" w:rsidRPr="00DC1A5F" w:rsidRDefault="00597DE2" w:rsidP="00597DE2">
      <w:pPr>
        <w:rPr>
          <w:vertAlign w:val="superscript"/>
        </w:rPr>
      </w:pPr>
      <w:r w:rsidRPr="00DC1A5F">
        <w:t xml:space="preserve">2. </w:t>
      </w:r>
      <w:r w:rsidRPr="00DC1A5F">
        <w:tab/>
        <w:t>No obstante, se dijo anteriormente (XIV.32) que “Las 5 purificaciones, es decir, la purificación de la visión, la purificación de la duda recurrente, la purificación mediante el conocimiento y la visión de lo que es el sendero y lo que no es el sendero, la purificación mediante el conocimiento y la visión del sendero y la purificación mediante el conocimiento y la visión, corresponderán el ‘tronco’”. Aquí, la “purificación de la visión” corresponderá a la visión correcta de la mentalidad–materialidad.</w:t>
      </w:r>
      <w:r w:rsidRPr="00DC1A5F">
        <w:rPr>
          <w:vertAlign w:val="superscript"/>
        </w:rPr>
        <w:t>1</w:t>
      </w:r>
    </w:p>
    <w:p w14:paraId="06CE6C78" w14:textId="77777777" w:rsidR="00597DE2" w:rsidRPr="00DC1A5F" w:rsidRDefault="00597DE2" w:rsidP="00597DE2">
      <w:pPr>
        <w:pStyle w:val="Ttulo3"/>
        <w:ind w:left="708"/>
      </w:pPr>
      <w:r w:rsidRPr="00DC1A5F">
        <w:t>[Definición De La Mentalidad–Materialidad]</w:t>
      </w:r>
    </w:p>
    <w:p w14:paraId="3823DFFB" w14:textId="77777777" w:rsidR="00597DE2" w:rsidRPr="00DC1A5F" w:rsidRDefault="00597DE2" w:rsidP="00597DE2">
      <w:pPr>
        <w:pStyle w:val="Ttulo4"/>
        <w:ind w:left="708"/>
      </w:pPr>
      <w:r w:rsidRPr="00DC1A5F">
        <w:t>[(1) Definición Basada En Los Cuatro Primarios]</w:t>
      </w:r>
    </w:p>
    <w:p w14:paraId="5354765A" w14:textId="77777777" w:rsidR="00597DE2" w:rsidRPr="00DC1A5F" w:rsidRDefault="00597DE2" w:rsidP="00597DE2">
      <w:pPr>
        <w:pStyle w:val="Ttulo5"/>
      </w:pPr>
      <w:r w:rsidRPr="00DC1A5F">
        <w:t>[(a) Comenzando con la Mentalidad]</w:t>
      </w:r>
    </w:p>
    <w:p w14:paraId="6A4D3030" w14:textId="77777777" w:rsidR="00597DE2" w:rsidRPr="00DC1A5F" w:rsidRDefault="00597DE2" w:rsidP="00597DE2">
      <w:r w:rsidRPr="00DC1A5F">
        <w:t xml:space="preserve">3. </w:t>
      </w:r>
      <w:r w:rsidRPr="00DC1A5F">
        <w:tab/>
        <w:t>Aquel que quiera lograr esto, si, en primer lugar, su vehículo correspondiese a la serenidad,</w:t>
      </w:r>
      <w:r w:rsidRPr="00DC1A5F">
        <w:rPr>
          <w:vertAlign w:val="superscript"/>
        </w:rPr>
        <w:t>2</w:t>
      </w:r>
      <w:r w:rsidRPr="00DC1A5F">
        <w:t xml:space="preserve"> deberá emerger de cualquier </w:t>
      </w:r>
      <w:proofErr w:type="spellStart"/>
      <w:r w:rsidRPr="00DC1A5F">
        <w:rPr>
          <w:i/>
        </w:rPr>
        <w:t>jhāna</w:t>
      </w:r>
      <w:proofErr w:type="spellEnd"/>
      <w:r w:rsidRPr="00DC1A5F">
        <w:t xml:space="preserve"> material sutil o inmaterial, excepto de la base consistente de la no–percepción–ni–no–percepción,</w:t>
      </w:r>
      <w:r w:rsidRPr="00DC1A5F">
        <w:rPr>
          <w:vertAlign w:val="superscript"/>
        </w:rPr>
        <w:t>3</w:t>
      </w:r>
      <w:r w:rsidRPr="00DC1A5F">
        <w:t xml:space="preserve"> y deberá discernir, de acuerdo con su característica, función, etc., de los factores </w:t>
      </w:r>
      <w:proofErr w:type="spellStart"/>
      <w:r w:rsidRPr="00DC1A5F">
        <w:rPr>
          <w:i/>
        </w:rPr>
        <w:t>jhānicos</w:t>
      </w:r>
      <w:proofErr w:type="spellEnd"/>
      <w:r w:rsidRPr="00DC1A5F">
        <w:t xml:space="preserve"> consistentes de la aplicación mental, etc., y los estados </w:t>
      </w:r>
    </w:p>
    <w:p w14:paraId="2E3E84F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F7EF3C8" w14:textId="77777777" w:rsidR="00597DE2" w:rsidRPr="00DC1A5F" w:rsidRDefault="00597DE2" w:rsidP="00597DE2">
      <w:pPr>
        <w:pStyle w:val="PiedepginaLegal"/>
        <w:numPr>
          <w:ilvl w:val="0"/>
          <w:numId w:val="7"/>
        </w:numPr>
        <w:tabs>
          <w:tab w:val="clear" w:pos="425"/>
        </w:tabs>
        <w:ind w:left="284" w:hanging="284"/>
      </w:pPr>
      <w:r w:rsidRPr="00DC1A5F">
        <w:t xml:space="preserve">“La mentalidad debe interpretarse aquí como los 4 agregados que comienzan con la sensación y la perteneciente a los 3 planos, sin omitir la consciencia como en el caso de ‘Con la consciencia como condición, se origina mentalidad–materialidad’ y sin incluir los agregados supramundanos asociados con el </w:t>
      </w:r>
      <w:r w:rsidRPr="00DC1A5F">
        <w:rPr>
          <w:i/>
          <w:iCs/>
        </w:rPr>
        <w:t>Nibbāna</w:t>
      </w:r>
      <w:r w:rsidRPr="00DC1A5F">
        <w:t>” (</w:t>
      </w:r>
      <w:proofErr w:type="spellStart"/>
      <w:r w:rsidRPr="00DC1A5F">
        <w:t>Vism</w:t>
      </w:r>
      <w:proofErr w:type="spellEnd"/>
      <w:r w:rsidRPr="00DC1A5F">
        <w:t xml:space="preserve"> –</w:t>
      </w:r>
      <w:proofErr w:type="spellStart"/>
      <w:r w:rsidRPr="00DC1A5F">
        <w:t>mhṭ</w:t>
      </w:r>
      <w:proofErr w:type="spellEnd"/>
      <w:r w:rsidRPr="00DC1A5F">
        <w:t xml:space="preserve"> 744 (Be)).</w:t>
      </w:r>
    </w:p>
    <w:p w14:paraId="345B1E84" w14:textId="77777777" w:rsidR="00597DE2" w:rsidRPr="00DC1A5F" w:rsidRDefault="00597DE2" w:rsidP="00597DE2">
      <w:pPr>
        <w:pStyle w:val="PiedepginaLegal"/>
        <w:numPr>
          <w:ilvl w:val="0"/>
          <w:numId w:val="7"/>
        </w:numPr>
        <w:tabs>
          <w:tab w:val="clear" w:pos="425"/>
        </w:tabs>
        <w:ind w:left="284" w:hanging="284"/>
      </w:pPr>
      <w:r w:rsidRPr="00DC1A5F">
        <w:t>La serenidad (</w:t>
      </w:r>
      <w:proofErr w:type="spellStart"/>
      <w:r w:rsidRPr="00DC1A5F">
        <w:rPr>
          <w:i/>
          <w:iCs/>
        </w:rPr>
        <w:t>samatha</w:t>
      </w:r>
      <w:proofErr w:type="spellEnd"/>
      <w:r w:rsidRPr="00DC1A5F">
        <w:t>) corresponderá a un término general para la concentración, como complemento de la sabiduría–revelativa (</w:t>
      </w:r>
      <w:proofErr w:type="spellStart"/>
      <w:r w:rsidRPr="00DC1A5F">
        <w:rPr>
          <w:i/>
          <w:iCs/>
        </w:rPr>
        <w:t>vipassanā</w:t>
      </w:r>
      <w:proofErr w:type="spellEnd"/>
      <w:r w:rsidRPr="00DC1A5F">
        <w:t>), que es, más o menos, el equivalente del entendimiento (</w:t>
      </w:r>
      <w:r w:rsidRPr="00DC1A5F">
        <w:rPr>
          <w:i/>
        </w:rPr>
        <w:t>paññā</w:t>
      </w:r>
      <w:r w:rsidRPr="00DC1A5F">
        <w:t>).</w:t>
      </w:r>
    </w:p>
    <w:p w14:paraId="26AE8625" w14:textId="77777777" w:rsidR="00597DE2" w:rsidRPr="00DC1A5F" w:rsidRDefault="00597DE2" w:rsidP="00597DE2">
      <w:pPr>
        <w:pStyle w:val="PiedepginaLegal"/>
        <w:numPr>
          <w:ilvl w:val="0"/>
          <w:numId w:val="7"/>
        </w:numPr>
        <w:tabs>
          <w:tab w:val="clear" w:pos="425"/>
        </w:tabs>
        <w:spacing w:after="160"/>
        <w:ind w:left="284" w:hanging="284"/>
      </w:pPr>
      <w:r w:rsidRPr="00DC1A5F">
        <w:t>“Aquel que esté comenzando este trabajo tendrá dificultad para discernir la forma más elevada de devenir, es decir, la base consistente de la no-percepción-ni-no-percepción” (</w:t>
      </w:r>
      <w:proofErr w:type="spellStart"/>
      <w:r w:rsidRPr="00DC1A5F">
        <w:t>Vism</w:t>
      </w:r>
      <w:proofErr w:type="spellEnd"/>
      <w:r w:rsidRPr="00DC1A5F">
        <w:t>–</w:t>
      </w:r>
      <w:proofErr w:type="spellStart"/>
      <w:r w:rsidRPr="00DC1A5F">
        <w:t>mhṭ</w:t>
      </w:r>
      <w:proofErr w:type="spellEnd"/>
      <w:r w:rsidRPr="00DC1A5F">
        <w:t xml:space="preserve"> 744). Esto se deberá a una percepción reducida (ver M III 28).</w:t>
      </w:r>
    </w:p>
    <w:p w14:paraId="105D0B44" w14:textId="77777777" w:rsidR="00597DE2" w:rsidRPr="00DC1A5F" w:rsidRDefault="00597DE2" w:rsidP="00597DE2">
      <w:pPr>
        <w:pStyle w:val="PiedepginaLegal"/>
      </w:pPr>
      <w:r w:rsidRPr="00DC1A5F">
        <w:br w:type="page"/>
      </w:r>
    </w:p>
    <w:p w14:paraId="5C85F0AA" w14:textId="77777777" w:rsidR="00597DE2" w:rsidRPr="00DC1A5F" w:rsidRDefault="00597DE2" w:rsidP="00597DE2"/>
    <w:p w14:paraId="196E961B" w14:textId="77777777" w:rsidR="00597DE2" w:rsidRPr="00DC1A5F" w:rsidRDefault="00597DE2" w:rsidP="00597DE2">
      <w:pPr>
        <w:pStyle w:val="Textoindependiente"/>
      </w:pPr>
      <w:r w:rsidRPr="00DC1A5F">
        <w:t>asociados a ellos, [es decir, la sensación, la percepción, etc.]. Cuando lo haya efectuado así, todo ello debería definirse como “mentalidad” (</w:t>
      </w:r>
      <w:proofErr w:type="spellStart"/>
      <w:r w:rsidRPr="00DC1A5F">
        <w:rPr>
          <w:i/>
        </w:rPr>
        <w:t>nāma</w:t>
      </w:r>
      <w:proofErr w:type="spellEnd"/>
      <w:r w:rsidRPr="00DC1A5F">
        <w:t>) en el sentido de inclinación (</w:t>
      </w:r>
      <w:proofErr w:type="spellStart"/>
      <w:r w:rsidRPr="00DC1A5F">
        <w:rPr>
          <w:i/>
          <w:iCs/>
        </w:rPr>
        <w:t>namana</w:t>
      </w:r>
      <w:proofErr w:type="spellEnd"/>
      <w:r w:rsidRPr="00DC1A5F">
        <w:t>)</w:t>
      </w:r>
      <w:r w:rsidRPr="00DC1A5F">
        <w:rPr>
          <w:vertAlign w:val="superscript"/>
        </w:rPr>
        <w:t>4</w:t>
      </w:r>
      <w:r w:rsidRPr="00DC1A5F">
        <w:t xml:space="preserve"> debido a que se inclinará hacia el objeto.</w:t>
      </w:r>
    </w:p>
    <w:p w14:paraId="42815650" w14:textId="77777777" w:rsidR="00597DE2" w:rsidRPr="00DC1A5F" w:rsidRDefault="00597DE2" w:rsidP="00597DE2">
      <w:pPr>
        <w:pStyle w:val="Textoindependiente"/>
      </w:pPr>
      <w:r w:rsidRPr="00DC1A5F">
        <w:t xml:space="preserve">4. </w:t>
      </w:r>
      <w:r w:rsidRPr="00DC1A5F">
        <w:tab/>
        <w:t xml:space="preserve">Entonces, así como un hombre que siguiese el rastro de una serpiente que haya visto en su casa, encontraría en algún momento su escondite, así también, este meditador escudriñará sobre esta mentalidad, procurará averiguar sobre qué se soporta su ocurrencia y verá que se encuentra sostenida [588] sobre la materia del corazón. Después de ello, discernirá como materialidad los elementos primarios que conforman el soporte del corazón y los restantes tipos de materialidad derivados que tengan a los elementos </w:t>
      </w:r>
      <w:r w:rsidRPr="00DC1A5F">
        <w:rPr>
          <w:color w:val="833C0B" w:themeColor="accent2" w:themeShade="80"/>
        </w:rPr>
        <w:t xml:space="preserve">primarios </w:t>
      </w:r>
      <w:r w:rsidRPr="00DC1A5F">
        <w:t>como su soporte. Él definirá todo ello como “materialidad” (</w:t>
      </w:r>
      <w:r w:rsidRPr="00DC1A5F">
        <w:rPr>
          <w:i/>
        </w:rPr>
        <w:t>rūpa</w:t>
      </w:r>
      <w:r w:rsidRPr="00DC1A5F">
        <w:t>) ya que ésta será “molestada” (</w:t>
      </w:r>
      <w:proofErr w:type="spellStart"/>
      <w:r w:rsidRPr="00DC1A5F">
        <w:rPr>
          <w:i/>
          <w:iCs/>
        </w:rPr>
        <w:t>ruppana</w:t>
      </w:r>
      <w:proofErr w:type="spellEnd"/>
      <w:r w:rsidRPr="00DC1A5F">
        <w:t>) [por el frío, etc.]. Después definirá brevemente como “mentalidad–materialidad” (</w:t>
      </w:r>
      <w:proofErr w:type="spellStart"/>
      <w:r w:rsidRPr="00DC1A5F">
        <w:rPr>
          <w:i/>
        </w:rPr>
        <w:t>nāma</w:t>
      </w:r>
      <w:proofErr w:type="spellEnd"/>
      <w:r w:rsidRPr="00DC1A5F">
        <w:t>–</w:t>
      </w:r>
      <w:r w:rsidRPr="00DC1A5F">
        <w:rPr>
          <w:i/>
        </w:rPr>
        <w:t>rūpa</w:t>
      </w:r>
      <w:r w:rsidRPr="00DC1A5F">
        <w:t>) la mentalidad que posea la característica de “inclinarse” y la materialidad que posea la característica de “ser molestada”.</w:t>
      </w:r>
    </w:p>
    <w:p w14:paraId="76D8FFFE" w14:textId="77777777" w:rsidR="00597DE2" w:rsidRPr="00DC1A5F" w:rsidRDefault="00597DE2" w:rsidP="00597DE2">
      <w:pPr>
        <w:pStyle w:val="Ttulo5"/>
      </w:pPr>
      <w:r w:rsidRPr="00DC1A5F">
        <w:t>[(b) Comenzando con la Materialidad]</w:t>
      </w:r>
    </w:p>
    <w:p w14:paraId="7DE1B7AB" w14:textId="77777777" w:rsidR="00597DE2" w:rsidRPr="00DC1A5F" w:rsidRDefault="00597DE2" w:rsidP="00597DE2">
      <w:r w:rsidRPr="00DC1A5F">
        <w:t xml:space="preserve">5. </w:t>
      </w:r>
      <w:r w:rsidRPr="00DC1A5F">
        <w:tab/>
        <w:t xml:space="preserve">No obstante, aquel cuyo vehículo corresponda a la </w:t>
      </w:r>
      <w:r w:rsidRPr="00DC1A5F">
        <w:rPr>
          <w:i/>
          <w:iCs/>
        </w:rPr>
        <w:t>sola sabiduría–revelativa</w:t>
      </w:r>
      <w:r w:rsidRPr="00DC1A5F">
        <w:t xml:space="preserve"> o aquel ismo cuyo vehículo sea </w:t>
      </w:r>
      <w:r w:rsidRPr="00DC1A5F">
        <w:rPr>
          <w:i/>
          <w:iCs/>
        </w:rPr>
        <w:t>la serenidad</w:t>
      </w:r>
      <w:r w:rsidRPr="00DC1A5F">
        <w:t>, discernirá en los cuatro elementos primarios, en breve o en detalle, en una de las diversas formas ofrecidas en el capítulo sobre la definición de los 4 elementos (Cap. XI. §27</w:t>
      </w:r>
      <w:proofErr w:type="gramStart"/>
      <w:r w:rsidRPr="00DC1A5F">
        <w:t>ff .</w:t>
      </w:r>
      <w:proofErr w:type="gramEnd"/>
      <w:r w:rsidRPr="00DC1A5F">
        <w:t xml:space="preserve">). Posteriormente, cuando los elementos se vuelvan claros en sus características esenciales correctas, en primer lugar, en el caso del cabello originado por el </w:t>
      </w:r>
      <w:proofErr w:type="spellStart"/>
      <w:r w:rsidRPr="00DC1A5F">
        <w:rPr>
          <w:i/>
        </w:rPr>
        <w:t>kamma</w:t>
      </w:r>
      <w:proofErr w:type="spellEnd"/>
      <w:r w:rsidRPr="00DC1A5F">
        <w:t xml:space="preserve">, se volverán evidentes </w:t>
      </w:r>
      <w:r w:rsidRPr="00DC1A5F">
        <w:rPr>
          <w:color w:val="833C0B" w:themeColor="accent2" w:themeShade="80"/>
        </w:rPr>
        <w:t xml:space="preserve">10 </w:t>
      </w:r>
      <w:r w:rsidRPr="00DC1A5F">
        <w:t>instancias de la materialidad (</w:t>
      </w:r>
      <w:proofErr w:type="spellStart"/>
      <w:r w:rsidRPr="00DC1A5F">
        <w:rPr>
          <w:i/>
          <w:iCs/>
        </w:rPr>
        <w:t>rūpāni</w:t>
      </w:r>
      <w:proofErr w:type="spellEnd"/>
      <w:r w:rsidRPr="00DC1A5F">
        <w:t xml:space="preserve">) con el décuplo corporal así: los 4 elementos, el color, el olor, el sabor, la esencia nutriente, la vitalidad y la sensibilidad corporal. Y como el décuplo del sexo estará allí presente también habrá otras </w:t>
      </w:r>
      <w:r w:rsidRPr="00DC1A5F">
        <w:rPr>
          <w:color w:val="833C0B" w:themeColor="accent2" w:themeShade="80"/>
        </w:rPr>
        <w:t xml:space="preserve">10 instancias </w:t>
      </w:r>
      <w:r w:rsidRPr="00DC1A5F">
        <w:t xml:space="preserve">[es decir, las mismas nueve con el sexo en lugar de sensibilidad corporal]. Y dado que el óctuplo con la esencia nutriente como la octava [es decir, los 4 elementos, el color, el olor, el sabor y la esencia nutriente] originada por el nutrimento, la originada por la temperatura y la originada por la consciencia estarán presentes también allí habrá otras </w:t>
      </w:r>
      <w:r w:rsidRPr="00DC1A5F">
        <w:rPr>
          <w:color w:val="833C0B" w:themeColor="accent2" w:themeShade="80"/>
        </w:rPr>
        <w:t xml:space="preserve">24 </w:t>
      </w:r>
      <w:r w:rsidRPr="00DC1A5F">
        <w:t xml:space="preserve">instancias. Así que habrá un total de </w:t>
      </w:r>
      <w:r w:rsidRPr="00DC1A5F">
        <w:rPr>
          <w:color w:val="833C0B" w:themeColor="accent2" w:themeShade="80"/>
        </w:rPr>
        <w:t xml:space="preserve">44 </w:t>
      </w:r>
      <w:r w:rsidRPr="00DC1A5F">
        <w:t>instancias de la materialidad en el caso de cada una de las 24 partes corporales del originación cuádruple. No obstante, en el caso de los 4 siguientes: sudor, lágrimas, saliva y mocos,</w:t>
      </w:r>
      <w:r w:rsidRPr="00DC1A5F">
        <w:rPr>
          <w:vertAlign w:val="superscript"/>
        </w:rPr>
        <w:t>5</w:t>
      </w:r>
      <w:r w:rsidRPr="00DC1A5F">
        <w:t xml:space="preserve"> que </w:t>
      </w:r>
    </w:p>
    <w:p w14:paraId="575019D3" w14:textId="77777777" w:rsidR="00597DE2" w:rsidRPr="00DC1A5F" w:rsidRDefault="00597DE2" w:rsidP="00597DE2"/>
    <w:p w14:paraId="36FB937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C55E219" w14:textId="77777777" w:rsidR="00597DE2" w:rsidRPr="00DC1A5F" w:rsidRDefault="00597DE2" w:rsidP="00597DE2">
      <w:pPr>
        <w:pStyle w:val="PiedepginaLegal"/>
        <w:numPr>
          <w:ilvl w:val="0"/>
          <w:numId w:val="7"/>
        </w:numPr>
        <w:tabs>
          <w:tab w:val="clear" w:pos="425"/>
        </w:tabs>
        <w:ind w:left="284" w:hanging="284"/>
      </w:pPr>
      <w:r w:rsidRPr="00DC1A5F">
        <w:t>Véase S II 23s. “Inclinación hacia la dirección del objeto significa que no exista ocurrencia sin un objeto; se dará en el sentido de ese tipo de inclinación, o se dará en el sentido de la asignación de un nombre (</w:t>
      </w:r>
      <w:proofErr w:type="spellStart"/>
      <w:r w:rsidRPr="00DC1A5F">
        <w:rPr>
          <w:i/>
        </w:rPr>
        <w:t>nāma</w:t>
      </w:r>
      <w:proofErr w:type="spellEnd"/>
      <w:r w:rsidRPr="00DC1A5F">
        <w:rPr>
          <w:i/>
        </w:rPr>
        <w:t>–</w:t>
      </w:r>
      <w:proofErr w:type="spellStart"/>
      <w:r w:rsidRPr="00DC1A5F">
        <w:rPr>
          <w:i/>
        </w:rPr>
        <w:t>karaṇa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744). “Nombre–y–forma” posee muchas ventajas sobre “mentalidad–materialidad” aunque solo sea porque preserve la integridad de </w:t>
      </w:r>
      <w:proofErr w:type="spellStart"/>
      <w:r w:rsidRPr="00DC1A5F">
        <w:rPr>
          <w:i/>
        </w:rPr>
        <w:t>nāma</w:t>
      </w:r>
      <w:proofErr w:type="spellEnd"/>
      <w:r w:rsidRPr="00DC1A5F">
        <w:t xml:space="preserve"> y excluya cualquier suposición metafísica de que la materia exista como sustancia detrás de las formas aparentes.</w:t>
      </w:r>
    </w:p>
    <w:p w14:paraId="35CFC20F" w14:textId="77777777" w:rsidR="00597DE2" w:rsidRPr="00DC1A5F" w:rsidRDefault="00597DE2" w:rsidP="00597DE2">
      <w:pPr>
        <w:pStyle w:val="PiedepginaLegal"/>
        <w:numPr>
          <w:ilvl w:val="0"/>
          <w:numId w:val="7"/>
        </w:numPr>
        <w:tabs>
          <w:tab w:val="clear" w:pos="425"/>
        </w:tabs>
        <w:spacing w:after="160"/>
        <w:ind w:left="284" w:hanging="284"/>
      </w:pPr>
      <w:r w:rsidRPr="00DC1A5F">
        <w:t>“Debido a que el sudor, etc., surgen a raíz del calor, la fatiga, etc., y debido a la perturbación mental, se les denominará ‘originados mediante la temperatura y la consciencia’” (</w:t>
      </w:r>
      <w:proofErr w:type="spellStart"/>
      <w:r w:rsidRPr="00DC1A5F">
        <w:t>Vism-mhṭ</w:t>
      </w:r>
      <w:proofErr w:type="spellEnd"/>
      <w:r w:rsidRPr="00DC1A5F">
        <w:t xml:space="preserve"> 745). Existen 7 clases de décuplos: las de la base física mental (corazón): el sexo, la vida, el ojo físico, el oído, la nariz, la lengua y el cuerpo. Los primeros 9 componentes de un décuplo serán los mismos en todos los casos y se les denominarán por sí solos “nónuplo de la vida”. Los primeros 8 componentes se denominarán por sí solos, como “el óctuplo con la esencia–nutriente como la octava”. A este óctuplo más el sonido se le denominará “nónuplo del sonido”. En general estos serán denominados “grupos materiales” (</w:t>
      </w:r>
      <w:r w:rsidRPr="00DC1A5F">
        <w:rPr>
          <w:i/>
        </w:rPr>
        <w:t>rūpa</w:t>
      </w:r>
      <w:r w:rsidRPr="00DC1A5F">
        <w:t>–</w:t>
      </w:r>
      <w:proofErr w:type="spellStart"/>
      <w:r w:rsidRPr="00DC1A5F">
        <w:rPr>
          <w:i/>
          <w:iCs/>
        </w:rPr>
        <w:t>kalāpa</w:t>
      </w:r>
      <w:proofErr w:type="spellEnd"/>
      <w:r w:rsidRPr="00DC1A5F">
        <w:t>). No obstante, este tipo de grupo (</w:t>
      </w:r>
      <w:proofErr w:type="spellStart"/>
      <w:r w:rsidRPr="00DC1A5F">
        <w:rPr>
          <w:i/>
          <w:iCs/>
        </w:rPr>
        <w:t>kalāpa</w:t>
      </w:r>
      <w:proofErr w:type="spellEnd"/>
      <w:r w:rsidRPr="00DC1A5F">
        <w:t>) no tendrá nada que ver con la “comprensión por grupos” (</w:t>
      </w:r>
      <w:proofErr w:type="spellStart"/>
      <w:r w:rsidRPr="00DC1A5F">
        <w:rPr>
          <w:i/>
          <w:iCs/>
        </w:rPr>
        <w:t>kalāpa</w:t>
      </w:r>
      <w:proofErr w:type="spellEnd"/>
      <w:r w:rsidRPr="00DC1A5F">
        <w:t>–</w:t>
      </w:r>
      <w:proofErr w:type="spellStart"/>
      <w:r w:rsidRPr="00DC1A5F">
        <w:rPr>
          <w:i/>
          <w:iCs/>
        </w:rPr>
        <w:t>sammasana</w:t>
      </w:r>
      <w:proofErr w:type="spellEnd"/>
      <w:r w:rsidRPr="00DC1A5F">
        <w:t xml:space="preserve">) del Cap. XX, el cual corresponde simplemente a una generalización (desde la propia experiencia particular de cada uno de los cinco agregados como pasado, etc., es decir, como un “grupo”). Los “grupos materiales” no están en los </w:t>
      </w:r>
      <w:proofErr w:type="spellStart"/>
      <w:r w:rsidRPr="00DC1A5F">
        <w:rPr>
          <w:i/>
          <w:iCs/>
        </w:rPr>
        <w:t>Piṭakas</w:t>
      </w:r>
      <w:proofErr w:type="spellEnd"/>
      <w:r w:rsidRPr="00DC1A5F">
        <w:t>.</w:t>
      </w:r>
    </w:p>
    <w:p w14:paraId="7E547F5B" w14:textId="77777777" w:rsidR="00597DE2" w:rsidRPr="00DC1A5F" w:rsidRDefault="00597DE2" w:rsidP="00597DE2">
      <w:pPr>
        <w:tabs>
          <w:tab w:val="clear" w:pos="425"/>
        </w:tabs>
        <w:spacing w:after="160"/>
      </w:pPr>
      <w:r w:rsidRPr="00DC1A5F">
        <w:br w:type="page"/>
      </w:r>
    </w:p>
    <w:p w14:paraId="0AA6B1F5" w14:textId="77777777" w:rsidR="00597DE2" w:rsidRPr="00DC1A5F" w:rsidRDefault="00597DE2" w:rsidP="00597DE2"/>
    <w:p w14:paraId="3805CD0F" w14:textId="77777777" w:rsidR="00597DE2" w:rsidRPr="00DC1A5F" w:rsidRDefault="00597DE2" w:rsidP="00597DE2">
      <w:pPr>
        <w:pStyle w:val="Textoindependiente"/>
      </w:pPr>
      <w:r w:rsidRPr="00DC1A5F">
        <w:t>se originen mediante la temperatura y mediante la consciencia, habrá 16 instancias de la materialidad con 2 óctuplos–con–esencia–nutriente–como–la octava en cada una.  En el caso de las 4 instancias siguientes: garganta, excremento, pus y orina, que se originen por la temperatura, 8 instancias de la materialidad se volverán claras en cada una con el óctuplo con la esencia nutritiva como la octava, en lo que se origine solo por la temperatura. Este, en primer lugar, es el método en el caso de los 32 aspectos corporales.</w:t>
      </w:r>
    </w:p>
    <w:p w14:paraId="5198961C" w14:textId="77777777" w:rsidR="00597DE2" w:rsidRPr="00DC1A5F" w:rsidRDefault="00597DE2" w:rsidP="00597DE2">
      <w:r w:rsidRPr="00DC1A5F">
        <w:t xml:space="preserve">6. </w:t>
      </w:r>
      <w:r w:rsidRPr="00DC1A5F">
        <w:tab/>
        <w:t>No obstante, existen 10 aspectos</w:t>
      </w:r>
      <w:r w:rsidRPr="00DC1A5F">
        <w:rPr>
          <w:vertAlign w:val="superscript"/>
        </w:rPr>
        <w:t>6</w:t>
      </w:r>
      <w:r w:rsidRPr="00DC1A5F">
        <w:t xml:space="preserve"> más que se aclararán cuando estos 32 aspectos se aclaren. Y con respecto a éstos, en primer lugar, 9 instancias de la materialidad, es decir, el óctuplo con la esencia nutriente como la octava más la vitalidad, se volverán evidentes en el caso de la parte del calor (fuego) surgido del </w:t>
      </w:r>
      <w:proofErr w:type="spellStart"/>
      <w:r w:rsidRPr="00DC1A5F">
        <w:rPr>
          <w:i/>
        </w:rPr>
        <w:t>kamma</w:t>
      </w:r>
      <w:proofErr w:type="spellEnd"/>
      <w:r w:rsidRPr="00DC1A5F">
        <w:t xml:space="preserve"> que digiere lo que se haya comido, etc., y asimismo 9 instancias de materialidad, es decir, el óctuplo con la esencia nutriente como la octava más el sonido, en el caso de la parte nacida de la consciencia del aire consistente de la inhalación y exhalación; y 33 instancias de materialidad, es decir, el nónuplo de la vitalidad (9) [nacida del </w:t>
      </w:r>
      <w:proofErr w:type="spellStart"/>
      <w:r w:rsidRPr="00DC1A5F">
        <w:rPr>
          <w:i/>
        </w:rPr>
        <w:t>kamma</w:t>
      </w:r>
      <w:proofErr w:type="spellEnd"/>
      <w:r w:rsidRPr="00DC1A5F">
        <w:t>] y los 3 óctuplos (3</w:t>
      </w:r>
      <w:r w:rsidRPr="00DC1A5F">
        <w:sym w:font="Symbol" w:char="F0B4"/>
      </w:r>
      <w:r w:rsidRPr="00DC1A5F">
        <w:t>8) con la esencia nutriente como la octava en el caso de cada una de las ocho partes restantes que tengan una originación cuádruple.</w:t>
      </w:r>
    </w:p>
    <w:p w14:paraId="65C38BF5" w14:textId="77777777" w:rsidR="00597DE2" w:rsidRPr="00DC1A5F" w:rsidRDefault="00597DE2" w:rsidP="00597DE2">
      <w:r w:rsidRPr="00DC1A5F">
        <w:t xml:space="preserve">7. </w:t>
      </w:r>
      <w:r w:rsidRPr="00DC1A5F">
        <w:tab/>
        <w:t>Y cuando estos casos de materialidad derivados, mediante el 7, de los primarios se hayan aclarado en detalle en el caso de estos 42 aspectos, es decir, 32 partes del cuerpo, 4 modos de temperatura y 6 modos de aire, otras 60 instancias de materialidad se volverán claras con la base física del corazón y las 5 puertas de sensoriales, es decir, con el décuplo de la base del corazón (10) y los 5 décuplos que comienzan con el décuplo del ojo (5</w:t>
      </w:r>
      <w:r w:rsidRPr="00DC1A5F">
        <w:sym w:font="Symbol" w:char="F0B4"/>
      </w:r>
      <w:r w:rsidRPr="00DC1A5F">
        <w:t>10).</w:t>
      </w:r>
    </w:p>
    <w:p w14:paraId="19DD2367" w14:textId="77777777" w:rsidR="00597DE2" w:rsidRPr="00DC1A5F" w:rsidRDefault="00597DE2" w:rsidP="00597DE2">
      <w:pPr>
        <w:pStyle w:val="NormalConSangria"/>
      </w:pPr>
      <w:r w:rsidRPr="00DC1A5F">
        <w:t>Al percibir a todos estos conjuntamente bajo la característica de “ser molestados”, él los observará como “materialidad”.</w:t>
      </w:r>
    </w:p>
    <w:p w14:paraId="53A3E163" w14:textId="77777777" w:rsidR="00597DE2" w:rsidRPr="00DC1A5F" w:rsidRDefault="00597DE2" w:rsidP="00597DE2">
      <w:r w:rsidRPr="00DC1A5F">
        <w:t xml:space="preserve">8. </w:t>
      </w:r>
      <w:r w:rsidRPr="00DC1A5F">
        <w:tab/>
        <w:t>Cuando haya discernido así sobre la materialidad, los estados inmateriales se volverán claros para él de acuerdo con las puertas sensoriales, es decir, con los 81 tipos</w:t>
      </w:r>
      <w:r w:rsidRPr="00DC1A5F">
        <w:rPr>
          <w:vertAlign w:val="superscript"/>
        </w:rPr>
        <w:t>7</w:t>
      </w:r>
      <w:r w:rsidRPr="00DC1A5F">
        <w:t xml:space="preserve"> de consciencia mundana consistentes de los 2 conjuntos de 5 consciencias ((34)– (38) y (50)–(54)), los 3 tipos de elemento mental ((39), (55) y (70)) y los 68 [589] tipos de elemento de la consciencia mental; y luego con las 7 consciencias–concomitantes, es decir, (i) contacto, sensación, percepción, (</w:t>
      </w:r>
      <w:proofErr w:type="spellStart"/>
      <w:r w:rsidRPr="00DC1A5F">
        <w:t>ii</w:t>
      </w:r>
      <w:proofErr w:type="spellEnd"/>
      <w:r w:rsidRPr="00DC1A5F">
        <w:t>) volición, (</w:t>
      </w:r>
      <w:proofErr w:type="spellStart"/>
      <w:r w:rsidRPr="00DC1A5F">
        <w:t>vii</w:t>
      </w:r>
      <w:proofErr w:type="spellEnd"/>
      <w:r w:rsidRPr="00DC1A5F">
        <w:t>) vitalidad, (</w:t>
      </w:r>
      <w:proofErr w:type="spellStart"/>
      <w:r w:rsidRPr="00DC1A5F">
        <w:t>viii</w:t>
      </w:r>
      <w:proofErr w:type="spellEnd"/>
      <w:r w:rsidRPr="00DC1A5F">
        <w:t>) firmeza de consciencia y (</w:t>
      </w:r>
      <w:proofErr w:type="spellStart"/>
      <w:r w:rsidRPr="00DC1A5F">
        <w:t>xxx</w:t>
      </w:r>
      <w:proofErr w:type="spellEnd"/>
      <w:r w:rsidRPr="00DC1A5F">
        <w:t>) atención, que serán invariablemente coetáneas en todas estas consciencias. Los tipos supramundanos de consciencia, sin embargo, no serán perceptibles ni para quien practique como vehículo la sabiduría–revelativa pura ni para aquel cuyo vehículo sea la serenidad porque estarán fuera de su alcance. Al adoptar todos estos estados inmateriales conjuntamente bajo la característica de “flexión”, él los verá como “mentalidad”.</w:t>
      </w:r>
    </w:p>
    <w:p w14:paraId="510A6AEE" w14:textId="77777777" w:rsidR="00597DE2" w:rsidRPr="00DC1A5F" w:rsidRDefault="00597DE2" w:rsidP="00597DE2">
      <w:pPr>
        <w:pStyle w:val="NormalConSangria"/>
      </w:pPr>
      <w:r w:rsidRPr="00DC1A5F">
        <w:t>Así es como un meditador definirá la mentalidad–materialidad en detalle a través del método de definición de los cuatro elementos.</w:t>
      </w:r>
    </w:p>
    <w:p w14:paraId="17B50FB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829B95A" w14:textId="77777777" w:rsidR="00597DE2" w:rsidRPr="00DC1A5F" w:rsidRDefault="00597DE2" w:rsidP="00597DE2">
      <w:pPr>
        <w:pStyle w:val="PiedepginaLegal"/>
        <w:numPr>
          <w:ilvl w:val="0"/>
          <w:numId w:val="7"/>
        </w:numPr>
        <w:tabs>
          <w:tab w:val="clear" w:pos="425"/>
        </w:tabs>
        <w:ind w:left="284" w:hanging="284"/>
      </w:pPr>
      <w:r w:rsidRPr="00DC1A5F">
        <w:t>Los 10 aspectos al respecto corresponden a los 4 aspectos del elemento fuego y los 6 aspectos del elemento aire; lo que se caliente, lo que se consuma, lo que se queme, lo que se digiera; vientos (o fuerzas) ascendentes, vientos descendentes, vientos en el estómago, vientos en las entrañas, vientos en los miembros, el aliento. Ver XI.37, 82.</w:t>
      </w:r>
    </w:p>
    <w:p w14:paraId="13B8768F" w14:textId="77777777" w:rsidR="00597DE2" w:rsidRPr="00DC1A5F" w:rsidRDefault="00597DE2" w:rsidP="00597DE2">
      <w:pPr>
        <w:pStyle w:val="PiedepginaLegal"/>
        <w:numPr>
          <w:ilvl w:val="0"/>
          <w:numId w:val="7"/>
        </w:numPr>
        <w:tabs>
          <w:tab w:val="clear" w:pos="425"/>
        </w:tabs>
        <w:spacing w:after="160"/>
        <w:ind w:left="284" w:hanging="284"/>
      </w:pPr>
      <w:r w:rsidRPr="00DC1A5F">
        <w:t>“La consciencia excelsa de la esfera material sutil e inmaterial solo se hará absolutamente clara para quien haya desarrollado las absorciones” (</w:t>
      </w:r>
      <w:proofErr w:type="spellStart"/>
      <w:r w:rsidRPr="00DC1A5F">
        <w:t>Vism</w:t>
      </w:r>
      <w:proofErr w:type="spellEnd"/>
      <w:r w:rsidRPr="00DC1A5F">
        <w:t>–</w:t>
      </w:r>
      <w:proofErr w:type="spellStart"/>
      <w:r w:rsidRPr="00DC1A5F">
        <w:t>mhṭ</w:t>
      </w:r>
      <w:proofErr w:type="spellEnd"/>
      <w:r w:rsidRPr="00DC1A5F">
        <w:t xml:space="preserve"> 746).</w:t>
      </w:r>
    </w:p>
    <w:p w14:paraId="26A8FCA8" w14:textId="77777777" w:rsidR="00597DE2" w:rsidRPr="00DC1A5F" w:rsidRDefault="00597DE2" w:rsidP="00597DE2">
      <w:pPr>
        <w:tabs>
          <w:tab w:val="clear" w:pos="425"/>
        </w:tabs>
        <w:spacing w:after="160"/>
      </w:pPr>
      <w:r w:rsidRPr="00DC1A5F">
        <w:br w:type="page"/>
      </w:r>
    </w:p>
    <w:p w14:paraId="3BF16F0E" w14:textId="77777777" w:rsidR="00597DE2" w:rsidRPr="00DC1A5F" w:rsidRDefault="00597DE2" w:rsidP="00597DE2">
      <w:pPr>
        <w:pStyle w:val="NormalConSangria"/>
      </w:pPr>
    </w:p>
    <w:p w14:paraId="383E4481" w14:textId="77777777" w:rsidR="00597DE2" w:rsidRPr="00DC1A5F" w:rsidRDefault="00597DE2" w:rsidP="00597DE2">
      <w:pPr>
        <w:pStyle w:val="Ttulo4"/>
        <w:ind w:left="708"/>
      </w:pPr>
      <w:r w:rsidRPr="00DC1A5F">
        <w:t>[(2) Definición Basada en los 18 Elementos]</w:t>
      </w:r>
    </w:p>
    <w:p w14:paraId="47D6C93A" w14:textId="77777777" w:rsidR="00597DE2" w:rsidRPr="00DC1A5F" w:rsidRDefault="00597DE2" w:rsidP="00597DE2">
      <w:r w:rsidRPr="00DC1A5F">
        <w:t xml:space="preserve">9. </w:t>
      </w:r>
      <w:r w:rsidRPr="00DC1A5F">
        <w:tab/>
        <w:t xml:space="preserve">Otro define esto por medio de los 18 elementos. ¿Cómo? Aquí un </w:t>
      </w:r>
      <w:proofErr w:type="spellStart"/>
      <w:r w:rsidRPr="00DC1A5F">
        <w:rPr>
          <w:i/>
        </w:rPr>
        <w:t>bhikkhu</w:t>
      </w:r>
      <w:proofErr w:type="spellEnd"/>
      <w:r w:rsidRPr="00DC1A5F">
        <w:t xml:space="preserve"> considera los elementos así: “En esta persona se encuentra el elemento del ojo... el elemento de la mente–consciencia”. En lugar de adoptar el trozo de carne abigarrado de círculos blancos y negros, que tiene longitud y aliento, sujetado en la cuenca del ojo con una cuerda tendón, que el mundo designa como un “un ojo”, él definirá al “elemento ojo” como la sensibilidad visual del tipo descrito entre los tipos de materialidad derivada en la Descripción de los Agregados (XIV.47).</w:t>
      </w:r>
    </w:p>
    <w:p w14:paraId="15F29109" w14:textId="77777777" w:rsidR="00597DE2" w:rsidRPr="00DC1A5F" w:rsidRDefault="00597DE2" w:rsidP="00597DE2">
      <w:r w:rsidRPr="00DC1A5F">
        <w:t xml:space="preserve">10. </w:t>
      </w:r>
      <w:r w:rsidRPr="00DC1A5F">
        <w:tab/>
        <w:t xml:space="preserve">No obstante, no definirá como el “elemento ojo” las restantes instancias de materialidad, que suman 53, es decir: las 9 instancias coetáneas de la materialidad consistentes de los 4 elementos primarios, que serán su soporte; las 4 instancias concomitantes de la materialidad, es decir, el color, el olor, el sabor y la esencia nutritiva; la facultad vital del sustento; y también las 20 instancias nacidas del </w:t>
      </w:r>
      <w:proofErr w:type="spellStart"/>
      <w:r w:rsidRPr="00DC1A5F">
        <w:rPr>
          <w:i/>
        </w:rPr>
        <w:t>kamma</w:t>
      </w:r>
      <w:proofErr w:type="spellEnd"/>
      <w:r w:rsidRPr="00DC1A5F">
        <w:rPr>
          <w:i/>
        </w:rPr>
        <w:t xml:space="preserve"> </w:t>
      </w:r>
      <w:r w:rsidRPr="00DC1A5F">
        <w:t>de la materialidad que también estarán allí, que consisten del décuplo del cuerpo y el décuplo del sexo; y las 24 instancias desprendidas de la materialidad consistentes de las 3 óctuplos con la esencia nutriente como la octava, que se originan por el nutrimento y así sucesivamente. El mismo método se aplicará al elemento del oído y al resto. No obstante, en el caso del elemento corporal, las instancias de materialidad restantes sumarán 43, aunque algunos digan que sean 45 al agregar el sonido y al hacer 9 para cada sonido nacido de la temperatura y nacido de la consciencia.</w:t>
      </w:r>
    </w:p>
    <w:p w14:paraId="15B2CD61" w14:textId="77777777" w:rsidR="00597DE2" w:rsidRPr="00DC1A5F" w:rsidRDefault="00597DE2" w:rsidP="00597DE2">
      <w:r w:rsidRPr="00DC1A5F">
        <w:t xml:space="preserve">11. </w:t>
      </w:r>
      <w:r w:rsidRPr="00DC1A5F">
        <w:tab/>
        <w:t>Entonces estas 5 sensibilidades y sus respectivos 5 campos objetivos, es decir, los objetos visibles, sonidos, olores, sabores y objetos tangibles, harán las 10 instancias de la materialidad, que corresponderán a 10 de los 18 elementos. Las instancias restantes de materialidad corresponderán solo al elemento de los objetos mentales.</w:t>
      </w:r>
    </w:p>
    <w:p w14:paraId="077DC42E" w14:textId="77777777" w:rsidR="00597DE2" w:rsidRPr="00DC1A5F" w:rsidRDefault="00597DE2" w:rsidP="00597DE2">
      <w:pPr>
        <w:pStyle w:val="NormalConSangria"/>
      </w:pPr>
      <w:r w:rsidRPr="00DC1A5F">
        <w:t>A la consciencia que se produzca con el ojo como soporte y contingente a un objeto visible se le llamará “elemento de la consciencia visual” [y lo mismo ocurrirá con el oído, etc.]. De esta manera, los 2 conjuntos de 5 consciencias corresponderán a los 5 “elementos de consciencia”. Los 3 tipos de consciencia consistentes del elemento mental ((39), (55) y (70)) corresponderá a un único “elemento mental”. Los 68 tipos de elementos de consciencia mental corresponderán al “elemento de la consciencia mental”. De modo que los 81 tipos de consciencia mundana constituirán 7 tipos de elementos de consciencia; y el contacto, etc., asociados con éste corresponderá al elemento del objeto mental.</w:t>
      </w:r>
    </w:p>
    <w:p w14:paraId="7EDBC630" w14:textId="77777777" w:rsidR="00597DE2" w:rsidRPr="00DC1A5F" w:rsidRDefault="00597DE2" w:rsidP="00597DE2">
      <w:pPr>
        <w:pStyle w:val="NormalConSangria"/>
      </w:pPr>
      <w:r w:rsidRPr="00DC1A5F">
        <w:t>De modo que 10 elementos y medio corresponderán a la materialidad y 7 elementos y medio [590] a la ​​mentalidad. Así es como uno meditador definirá la mentalidad–materialidad por medio de los 18 elementos.</w:t>
      </w:r>
    </w:p>
    <w:p w14:paraId="504F2974" w14:textId="77777777" w:rsidR="00597DE2" w:rsidRPr="00DC1A5F" w:rsidRDefault="00597DE2" w:rsidP="00597DE2">
      <w:pPr>
        <w:pStyle w:val="Ttulo4"/>
        <w:ind w:left="708"/>
      </w:pPr>
      <w:r w:rsidRPr="00DC1A5F">
        <w:t>[(3) Definición Basada en las 12 Bases]</w:t>
      </w:r>
    </w:p>
    <w:p w14:paraId="07F63776" w14:textId="77777777" w:rsidR="00597DE2" w:rsidRPr="00DC1A5F" w:rsidRDefault="00597DE2" w:rsidP="00597DE2">
      <w:pPr>
        <w:pStyle w:val="Textoindependiente"/>
      </w:pPr>
      <w:r w:rsidRPr="00DC1A5F">
        <w:t xml:space="preserve">12. </w:t>
      </w:r>
      <w:r w:rsidRPr="00DC1A5F">
        <w:tab/>
        <w:t xml:space="preserve">Otro hace la definición por medio de las 12 bases. ¿Cómo? Éste define como “base del ojo” solo la sensibilidad, dejando fuera los 53 casos restantes de materialidad, en la forma descrita para el elemento del ojo. Y en la forma allí descrita define también los elementos de la oreja, la nariz, la lengua y el cuerpo, como “la base de la oreja, base de la nariz, base de la lengua, base del cuerpo”. Éste define 5 estados que corresponderán a sus respectivos campos objetivos como “la base del objeto visible, la base del sonido, la base de olor, la base de sabor, la base de objeto tangible”. Éste también define los 7 elementos de la consciencia mundana como “la base </w:t>
      </w:r>
    </w:p>
    <w:p w14:paraId="0BBA6810" w14:textId="77777777" w:rsidR="00597DE2" w:rsidRPr="00DC1A5F" w:rsidRDefault="00597DE2" w:rsidP="00597DE2">
      <w:pPr>
        <w:tabs>
          <w:tab w:val="clear" w:pos="425"/>
        </w:tabs>
        <w:spacing w:after="160"/>
      </w:pPr>
      <w:r w:rsidRPr="00DC1A5F">
        <w:br w:type="page"/>
      </w:r>
    </w:p>
    <w:p w14:paraId="0936D827" w14:textId="77777777" w:rsidR="00597DE2" w:rsidRPr="00DC1A5F" w:rsidRDefault="00597DE2" w:rsidP="00597DE2"/>
    <w:p w14:paraId="180EF556" w14:textId="77777777" w:rsidR="00597DE2" w:rsidRPr="00DC1A5F" w:rsidRDefault="00597DE2" w:rsidP="00597DE2">
      <w:pPr>
        <w:pStyle w:val="Textoindependiente"/>
      </w:pPr>
      <w:r w:rsidRPr="00DC1A5F">
        <w:t>mental”. Éste define el contacto, etc., asociado al respecto y también las instancias restantes de materialidad como “base de objetos mentales”. Así que aquí 10 bases y media corresponderán a la materialidad y una base y media a la mentalidad. Así es cómo uno meditador definirá la mentalidad–materialidad por medio de las 12 bases.</w:t>
      </w:r>
    </w:p>
    <w:p w14:paraId="10E69B51" w14:textId="77777777" w:rsidR="00597DE2" w:rsidRPr="00DC1A5F" w:rsidRDefault="00597DE2" w:rsidP="00597DE2">
      <w:pPr>
        <w:pStyle w:val="Ttulo4"/>
        <w:ind w:left="708"/>
      </w:pPr>
      <w:r w:rsidRPr="00DC1A5F">
        <w:t>[(4) Definición Basada En Los Cinco Agregados]</w:t>
      </w:r>
    </w:p>
    <w:p w14:paraId="79E1394E" w14:textId="77777777" w:rsidR="00597DE2" w:rsidRPr="00DC1A5F" w:rsidRDefault="00597DE2" w:rsidP="00597DE2">
      <w:pPr>
        <w:pStyle w:val="Textoindependiente"/>
      </w:pPr>
      <w:r w:rsidRPr="00DC1A5F">
        <w:t xml:space="preserve">13. </w:t>
      </w:r>
      <w:r w:rsidRPr="00DC1A5F">
        <w:tab/>
        <w:t xml:space="preserve">Otro lo definirá más brevemente por medio de los agregados. ¿Cómo? </w:t>
      </w:r>
      <w:r w:rsidRPr="00DC1A5F">
        <w:rPr>
          <w:u w:color="000000"/>
        </w:rPr>
        <w:t xml:space="preserve">Aquí un </w:t>
      </w:r>
      <w:proofErr w:type="spellStart"/>
      <w:r w:rsidRPr="00DC1A5F">
        <w:rPr>
          <w:i/>
          <w:iCs/>
          <w:u w:color="000000"/>
        </w:rPr>
        <w:t>bhikkhu</w:t>
      </w:r>
      <w:proofErr w:type="spellEnd"/>
      <w:r w:rsidRPr="00DC1A5F">
        <w:rPr>
          <w:u w:color="000000"/>
        </w:rPr>
        <w:t xml:space="preserve"> define como “el agregado de la materialidad” las siguientes 27 instancias de la materialidad en su totalidad, es decir, las 17 instancias de la materialidad consistentes de los 4 primarios de origen cuádruple en este cuerpo más el color, olor, sabor y esencia nutriente dependientes, además de las 5 sensibilidades comenzando con la sensibilidad del ojo y la materialidad de la base física del corazón, el sexo, la facultad vital y el sonido de doble origen, cuyas 17 instancias de la materialidad serán adecuadas para el entendimiento ya que se producirán y serán instancias de la materialidad concreta</w:t>
      </w:r>
      <w:r w:rsidRPr="00DC1A5F">
        <w:t xml:space="preserve">; </w:t>
      </w:r>
      <w:r w:rsidRPr="00DC1A5F">
        <w:rPr>
          <w:u w:color="000000"/>
        </w:rPr>
        <w:t>y luego 10 instancias de la materialidad, es decir, la insinuación corporal, la intimación verbal, el elemento espacial y la ligereza, la maleabilidad, la manejabilidad, el crecimiento, continuidad, envejecimiento e impermanencia de la materialidad, cuyas 10 instancias de la materialidad, sin embargo,  no son adecuadas para el entendimiento ya que corresponderán simplemente a la alteración del modo y la limitación del intervalo; no se producirán y no serán materialidad concreta, pero se considerarán como materialidad porque corresponderán a las alteraciones del modo y la limitación–del–intervalo de varias instancias de la materialidad.</w:t>
      </w:r>
      <w:r w:rsidRPr="00DC1A5F">
        <w:t xml:space="preserve"> </w:t>
      </w:r>
      <w:r w:rsidRPr="00DC1A5F">
        <w:rPr>
          <w:u w:color="000000"/>
        </w:rPr>
        <w:t>Así que él definirá todas estas 27 instancias de la materialidad como “el agregado de la materialidad”. Él definirá la sensación que surja junto con los 81 tipos de consciencia mundana como el “agregado de la sensación”, la percepción asociada con ella como el “agregado de la percepción”, las formaciones asociadas con ella como el “agregado de las formaciones” y la consciencia como el “agregado de la consciencia”. Entonces, al definir al agregado de la materialidad como “mate</w:t>
      </w:r>
      <w:r w:rsidRPr="00DC1A5F">
        <w:t>rialidad” y a los 4 agregados inmateriales como “mentalidad”, definirá la mentalidad–materialidad por medio de los 5 agregados.</w:t>
      </w:r>
    </w:p>
    <w:p w14:paraId="50605F18" w14:textId="77777777" w:rsidR="00597DE2" w:rsidRPr="00DC1A5F" w:rsidRDefault="00597DE2" w:rsidP="00597DE2">
      <w:pPr>
        <w:pStyle w:val="Ttulo4"/>
        <w:ind w:left="708"/>
      </w:pPr>
      <w:r w:rsidRPr="00DC1A5F">
        <w:t>[(5) Breve Definición Basada en los 4 Primarios]</w:t>
      </w:r>
    </w:p>
    <w:p w14:paraId="1C2CFC01" w14:textId="77777777" w:rsidR="00597DE2" w:rsidRPr="00DC1A5F" w:rsidRDefault="00597DE2" w:rsidP="00597DE2">
      <w:pPr>
        <w:rPr>
          <w:vertAlign w:val="superscript"/>
        </w:rPr>
      </w:pPr>
      <w:r w:rsidRPr="00DC1A5F">
        <w:t xml:space="preserve">14. </w:t>
      </w:r>
      <w:r w:rsidRPr="00DC1A5F">
        <w:tab/>
        <w:t>Existirá otro que discierna la “materialidad” en su persona brevemente así: “Cualquier clase de materialidad, cualquiera que sea, consistirá toda de 4 elementos primarios y la materialidad derivada de los 4 elementos primarios” (M I 222), y también discernirá en la base mental y un parte de la base de los objetos mentales como “mentalidad”. Luego, definirá mentalidad–materialidad brevemente así: “A esta mentalidad y a esta materialidad se les denominará ‘mentalidad–materialidad’”.</w:t>
      </w:r>
      <w:r w:rsidRPr="00DC1A5F">
        <w:rPr>
          <w:vertAlign w:val="superscript"/>
        </w:rPr>
        <w:t>8</w:t>
      </w:r>
    </w:p>
    <w:p w14:paraId="04CC758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2C47FC0" w14:textId="77777777" w:rsidR="00597DE2" w:rsidRPr="00DC1A5F" w:rsidRDefault="00597DE2" w:rsidP="00597DE2">
      <w:pPr>
        <w:pStyle w:val="PiedepginaLegal"/>
        <w:numPr>
          <w:ilvl w:val="0"/>
          <w:numId w:val="7"/>
        </w:numPr>
        <w:tabs>
          <w:tab w:val="clear" w:pos="425"/>
        </w:tabs>
        <w:ind w:left="284" w:hanging="284"/>
      </w:pPr>
      <w:r w:rsidRPr="00DC1A5F">
        <w:t>“Así como por medio de los elementos, etc., también se podrá discernir la materialidad a través de las facultades, las verdades y la originación dependiente. ¿cómo?</w:t>
      </w:r>
    </w:p>
    <w:p w14:paraId="3765B0D5" w14:textId="77777777" w:rsidR="00597DE2" w:rsidRPr="00DC1A5F" w:rsidRDefault="00597DE2" w:rsidP="00597DE2">
      <w:pPr>
        <w:pStyle w:val="PiedepginaLegal"/>
      </w:pPr>
      <w:r w:rsidRPr="00DC1A5F">
        <w:tab/>
      </w:r>
      <w:r w:rsidRPr="00DC1A5F">
        <w:tab/>
        <w:t xml:space="preserve">“En primer lugar, a través de las facultades. Estas 7 facultades, es decir, las 5 que comienzan con el ojo más la feminidad y la masculinidad, corresponderán a la </w:t>
      </w:r>
      <w:r w:rsidRPr="00DC1A5F">
        <w:rPr>
          <w:i/>
          <w:iCs/>
        </w:rPr>
        <w:t>materialidad</w:t>
      </w:r>
      <w:r w:rsidRPr="00DC1A5F">
        <w:t xml:space="preserve">; las 11 facultades, consistentes de la facultad mental, las 5 facultades de la sensación y las 5 que comienzan con la fe, corresponderán a la </w:t>
      </w:r>
      <w:r w:rsidRPr="00DC1A5F">
        <w:rPr>
          <w:i/>
          <w:iCs/>
        </w:rPr>
        <w:t>mentalidad</w:t>
      </w:r>
      <w:r w:rsidRPr="00DC1A5F">
        <w:t xml:space="preserve">; la facultad vital será a la vez mentalidad y materialidad. Los 3 últimos, por ser supramundanos, no se tratarán aquí. La verdad del sufrimiento será, a la vez, mentalidad y materialidad; la verdad de su </w:t>
      </w:r>
      <w:proofErr w:type="gramStart"/>
      <w:r w:rsidRPr="00DC1A5F">
        <w:t>origen,</w:t>
      </w:r>
      <w:proofErr w:type="gramEnd"/>
      <w:r w:rsidRPr="00DC1A5F">
        <w:t xml:space="preserve"> será mentalidad; los otros 2 no se mencionarán aquí porque son supramundanos. “En la estructura de las condiciones, los primeros 3 miembros serán mentalidad; el 4</w:t>
      </w:r>
      <w:r w:rsidRPr="00DC1A5F">
        <w:rPr>
          <w:vertAlign w:val="superscript"/>
        </w:rPr>
        <w:t>to</w:t>
      </w:r>
      <w:r w:rsidRPr="00DC1A5F">
        <w:t xml:space="preserve"> y</w:t>
      </w:r>
      <w:r w:rsidRPr="00DC1A5F">
        <w:br w:type="page"/>
      </w:r>
    </w:p>
    <w:p w14:paraId="533DAB2D" w14:textId="77777777" w:rsidR="00597DE2" w:rsidRPr="00DC1A5F" w:rsidRDefault="00597DE2" w:rsidP="00597DE2"/>
    <w:p w14:paraId="7FDCC857" w14:textId="77777777" w:rsidR="00597DE2" w:rsidRPr="00DC1A5F" w:rsidRDefault="00597DE2" w:rsidP="00597DE2">
      <w:pPr>
        <w:pStyle w:val="Ttulo3"/>
        <w:ind w:left="708"/>
      </w:pPr>
      <w:r w:rsidRPr="00DC1A5F">
        <w:t>[Si lo Inmaterial no se Hace Evidente]</w:t>
      </w:r>
    </w:p>
    <w:p w14:paraId="53FEC07E" w14:textId="77777777" w:rsidR="00597DE2" w:rsidRPr="00DC1A5F" w:rsidRDefault="00597DE2" w:rsidP="00597DE2">
      <w:r w:rsidRPr="00DC1A5F">
        <w:t xml:space="preserve">15. </w:t>
      </w:r>
      <w:r w:rsidRPr="00DC1A5F">
        <w:rPr>
          <w:i/>
          <w:iCs/>
        </w:rPr>
        <w:tab/>
      </w:r>
      <w:r w:rsidRPr="00DC1A5F">
        <w:t xml:space="preserve">[591] No obstante, si él ha discernido la materialidad de una de estas maneras y mientras esté tratando de discernir lo inmaterial no le resultase evidente debido a su sutileza, entonces no deberá desistir, sino comprender una y otra </w:t>
      </w:r>
      <w:proofErr w:type="gramStart"/>
      <w:r w:rsidRPr="00DC1A5F">
        <w:t>vez ,</w:t>
      </w:r>
      <w:proofErr w:type="gramEnd"/>
      <w:r w:rsidRPr="00DC1A5F">
        <w:t xml:space="preserve"> prestando atención, discerniendo y definiendo únicamente la materialidad. Porque en la medida en que la materialidad se vuelva bastante definida, desenredada y bastante clara para él, los estados inmateriales que tengan esa materialidad como su objeto también se volverán claros por sí mismos.</w:t>
      </w:r>
    </w:p>
    <w:p w14:paraId="6F2B8A98" w14:textId="77777777" w:rsidR="00597DE2" w:rsidRPr="00DC1A5F" w:rsidRDefault="00597DE2" w:rsidP="00597DE2">
      <w:pPr>
        <w:rPr>
          <w:color w:val="833C0B" w:themeColor="accent2" w:themeShade="80"/>
          <w:u w:color="000000"/>
        </w:rPr>
      </w:pPr>
      <w:r w:rsidRPr="00DC1A5F">
        <w:t xml:space="preserve">16. </w:t>
      </w:r>
      <w:r w:rsidRPr="00DC1A5F">
        <w:tab/>
      </w:r>
      <w:r w:rsidRPr="00DC1A5F">
        <w:rPr>
          <w:u w:color="000000"/>
        </w:rPr>
        <w:t>Así como un hombre con ojos que buscase el reflejo de su rostro en un espejo sucio y no viese nada, no tiraría el espejo porque el reflejo no apareciese y por el contrario, lo puliría una y otra vez hasta que el reflejo se volviese claro cuando el espejo se encuentre limpio; y así como un hombre necesitado de aceite pondría harina de sésamo en una palangana y la mojaría con agua, sin aceite y con sólo uno o dos prensados, no tiraría la harina de sésamo,</w:t>
      </w:r>
      <w:r w:rsidRPr="00DC1A5F">
        <w:t xml:space="preserve"> sino y por el contrario, la mojaría una y otra vez con agua caliente, la estrujaría y apretaría, para que al hacerlo salga el aceite de sésamo claro</w:t>
      </w:r>
      <w:r w:rsidRPr="00DC1A5F">
        <w:rPr>
          <w:u w:color="000000"/>
        </w:rPr>
        <w:t xml:space="preserve">; o como un hombre que quisiese aclarar el agua hubiese tomado una nuez </w:t>
      </w:r>
      <w:proofErr w:type="spellStart"/>
      <w:r w:rsidRPr="00DC1A5F">
        <w:rPr>
          <w:i/>
          <w:iCs/>
          <w:u w:color="000000"/>
        </w:rPr>
        <w:t>katuka</w:t>
      </w:r>
      <w:proofErr w:type="spellEnd"/>
      <w:r w:rsidRPr="00DC1A5F">
        <w:rPr>
          <w:u w:color="000000"/>
        </w:rPr>
        <w:t xml:space="preserve"> y al haberla puesto en su lugar metería la mano dentro de la olla y la frotaría una o dos veces y su el agua no saliese clara, éste no tiraría la nuez </w:t>
      </w:r>
      <w:proofErr w:type="spellStart"/>
      <w:r w:rsidRPr="00DC1A5F">
        <w:rPr>
          <w:i/>
          <w:iCs/>
          <w:u w:color="000000"/>
        </w:rPr>
        <w:t>katuka</w:t>
      </w:r>
      <w:proofErr w:type="spellEnd"/>
      <w:r w:rsidRPr="00DC1A5F">
        <w:rPr>
          <w:u w:color="000000"/>
        </w:rPr>
        <w:t xml:space="preserve"> y por el contrario, la frotaría una y otra vez, para que mientras lo haga, el fino barro desapareciese y el agua se volviese transparente y clara; así también, el </w:t>
      </w:r>
      <w:proofErr w:type="spellStart"/>
      <w:r w:rsidRPr="00DC1A5F">
        <w:rPr>
          <w:i/>
          <w:u w:color="000000"/>
        </w:rPr>
        <w:t>bhikkhu</w:t>
      </w:r>
      <w:proofErr w:type="spellEnd"/>
      <w:r w:rsidRPr="00DC1A5F">
        <w:rPr>
          <w:u w:color="000000"/>
        </w:rPr>
        <w:t xml:space="preserve"> no debería darse por vencido sino percibir una y otra vez, prestando atención a, discerniendo y definiendo únicamente, la materialidad.</w:t>
      </w:r>
    </w:p>
    <w:p w14:paraId="7470EDD7" w14:textId="77777777" w:rsidR="00597DE2" w:rsidRPr="00DC1A5F" w:rsidRDefault="00597DE2" w:rsidP="00597DE2">
      <w:r w:rsidRPr="00DC1A5F">
        <w:t xml:space="preserve">17. </w:t>
      </w:r>
      <w:r w:rsidRPr="00DC1A5F">
        <w:tab/>
        <w:t>Ya que en la medida en que la materialidad se vuelva completamente definida, desenredada y completamente clara para él, así las impurezas que se le opongan disminuirán, su consciencia se volverá clara como el agua sobre el lodo precipitado y los estados inmateriales que posean a esa materialidad como su objeto también se volverán claros por sí mismos. Y este significado también podrá ser explicado así mediante otras analogías como el prensado de la caña de azúcar, el golpeo de criminales para hacerlos confesar, el adiestramiento de un buey, el batido de la cuajada para producir mantequilla y la cocción del pescado.</w:t>
      </w:r>
    </w:p>
    <w:p w14:paraId="2B613E6D" w14:textId="77777777" w:rsidR="00597DE2" w:rsidRPr="00DC1A5F" w:rsidRDefault="00597DE2" w:rsidP="00597DE2">
      <w:pPr>
        <w:pStyle w:val="Ttulo3"/>
        <w:ind w:left="708"/>
      </w:pPr>
      <w:r w:rsidRPr="00DC1A5F">
        <w:t>[Cómo se Vuelven Evidentes los Estados Inmateriales]</w:t>
      </w:r>
    </w:p>
    <w:p w14:paraId="4CA4B609" w14:textId="77777777" w:rsidR="00597DE2" w:rsidRPr="00DC1A5F" w:rsidRDefault="00597DE2" w:rsidP="00597DE2">
      <w:r w:rsidRPr="00DC1A5F">
        <w:t xml:space="preserve">18. </w:t>
      </w:r>
      <w:r w:rsidRPr="00DC1A5F">
        <w:tab/>
        <w:t>Cuando él haya aclarado plenamente su discernimiento sobre la materialidad, entonces los estados inmateriales se le harán evidentes a través de uno de 3 aspectos, es decir, a través del contacto, la sensación o a través de la consciencia. ¿Cómo?</w:t>
      </w:r>
    </w:p>
    <w:p w14:paraId="65E85A53" w14:textId="77777777" w:rsidR="00597DE2" w:rsidRPr="00DC1A5F" w:rsidRDefault="00597DE2" w:rsidP="00597DE2">
      <w:r w:rsidRPr="00DC1A5F">
        <w:t xml:space="preserve">19. </w:t>
      </w:r>
      <w:r w:rsidRPr="00DC1A5F">
        <w:tab/>
      </w:r>
      <w:r w:rsidRPr="00DC1A5F">
        <w:rPr>
          <w:i/>
          <w:iCs/>
        </w:rPr>
        <w:t>1</w:t>
      </w:r>
      <w:r w:rsidRPr="00DC1A5F">
        <w:t>. (</w:t>
      </w:r>
      <w:r w:rsidRPr="00DC1A5F">
        <w:rPr>
          <w:i/>
          <w:iCs/>
        </w:rPr>
        <w:t>a</w:t>
      </w:r>
      <w:r w:rsidRPr="00DC1A5F">
        <w:t>) Cuando discierna sobre los 4 elementos primarios mediante el pasaje que comienza con: “el elemento tierra tiene la característica de la dureza” (XI.93), el contacto se volverá evidente para él como la primera conjunción. Entonces se harán evidentes la sensación asociada al respecto, como el agregado de la sensación, la percepción asociada como el agregado de la percepción, la volición asociada junto con el contacto antedicho como el agregado de las formaciones y la consciencia asociada como el agregado de la consciencia.</w:t>
      </w:r>
    </w:p>
    <w:p w14:paraId="1DDE00F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8D6C868" w14:textId="77777777" w:rsidR="00597DE2" w:rsidRPr="00DC1A5F" w:rsidRDefault="00597DE2" w:rsidP="00597DE2">
      <w:pPr>
        <w:pStyle w:val="PiedepginaLegal"/>
      </w:pPr>
      <w:r w:rsidRPr="00DC1A5F">
        <w:t>…</w:t>
      </w:r>
      <w:r w:rsidRPr="00DC1A5F">
        <w:tab/>
        <w:t>5</w:t>
      </w:r>
      <w:r w:rsidRPr="00DC1A5F">
        <w:rPr>
          <w:vertAlign w:val="superscript"/>
        </w:rPr>
        <w:t>to</w:t>
      </w:r>
      <w:r w:rsidRPr="00DC1A5F">
        <w:t xml:space="preserve"> corresponderán a la mentalidad y a la materialidad; el 6</w:t>
      </w:r>
      <w:r w:rsidRPr="00DC1A5F">
        <w:rPr>
          <w:vertAlign w:val="superscript"/>
        </w:rPr>
        <w:t>to</w:t>
      </w:r>
      <w:r w:rsidRPr="00DC1A5F">
        <w:t>, 7</w:t>
      </w:r>
      <w:r w:rsidRPr="00DC1A5F">
        <w:rPr>
          <w:vertAlign w:val="superscript"/>
        </w:rPr>
        <w:t>mo</w:t>
      </w:r>
      <w:r w:rsidRPr="00DC1A5F">
        <w:t>, 8</w:t>
      </w:r>
      <w:r w:rsidRPr="00DC1A5F">
        <w:rPr>
          <w:vertAlign w:val="superscript"/>
        </w:rPr>
        <w:t>vo</w:t>
      </w:r>
      <w:r w:rsidRPr="00DC1A5F">
        <w:t xml:space="preserve"> y 9</w:t>
      </w:r>
      <w:r w:rsidRPr="00DC1A5F">
        <w:rPr>
          <w:vertAlign w:val="superscript"/>
        </w:rPr>
        <w:t>no</w:t>
      </w:r>
      <w:r w:rsidRPr="00DC1A5F">
        <w:t xml:space="preserve"> corresponderán a la mentalidad; el 10</w:t>
      </w:r>
      <w:r w:rsidRPr="00DC1A5F">
        <w:rPr>
          <w:vertAlign w:val="superscript"/>
        </w:rPr>
        <w:t>mo</w:t>
      </w:r>
      <w:r w:rsidRPr="00DC1A5F">
        <w:t>, a la mentalidad y la materialidad; los 2 últimos, 11</w:t>
      </w:r>
      <w:r w:rsidRPr="00DC1A5F">
        <w:rPr>
          <w:vertAlign w:val="superscript"/>
        </w:rPr>
        <w:t>ro</w:t>
      </w:r>
      <w:r w:rsidRPr="00DC1A5F">
        <w:t xml:space="preserve"> y 12</w:t>
      </w:r>
      <w:r w:rsidRPr="00DC1A5F">
        <w:rPr>
          <w:vertAlign w:val="superscript"/>
        </w:rPr>
        <w:t>do</w:t>
      </w:r>
      <w:r w:rsidRPr="00DC1A5F">
        <w:t xml:space="preserve"> corresponderá, cada una, a la mentalidad y la materialidad” (</w:t>
      </w:r>
      <w:proofErr w:type="spellStart"/>
      <w:r w:rsidRPr="00DC1A5F">
        <w:t>Vism</w:t>
      </w:r>
      <w:proofErr w:type="spellEnd"/>
      <w:r w:rsidRPr="00DC1A5F">
        <w:t>–</w:t>
      </w:r>
      <w:proofErr w:type="spellStart"/>
      <w:r w:rsidRPr="00DC1A5F">
        <w:t>mhṭ</w:t>
      </w:r>
      <w:proofErr w:type="spellEnd"/>
      <w:r w:rsidRPr="00DC1A5F">
        <w:t xml:space="preserve"> 747f.).</w:t>
      </w:r>
    </w:p>
    <w:p w14:paraId="12D33A17" w14:textId="77777777" w:rsidR="00597DE2" w:rsidRPr="00DC1A5F" w:rsidRDefault="00597DE2" w:rsidP="00597DE2">
      <w:pPr>
        <w:tabs>
          <w:tab w:val="clear" w:pos="425"/>
        </w:tabs>
        <w:spacing w:after="160"/>
      </w:pPr>
      <w:r w:rsidRPr="00DC1A5F">
        <w:br w:type="page"/>
      </w:r>
    </w:p>
    <w:p w14:paraId="4C6844F1" w14:textId="77777777" w:rsidR="00597DE2" w:rsidRPr="00DC1A5F" w:rsidRDefault="00597DE2" w:rsidP="00597DE2"/>
    <w:p w14:paraId="5729C16B" w14:textId="77777777" w:rsidR="00597DE2" w:rsidRPr="00DC1A5F" w:rsidRDefault="00597DE2" w:rsidP="00597DE2">
      <w:pPr>
        <w:pStyle w:val="NormalConSangria"/>
      </w:pPr>
      <w:r w:rsidRPr="00DC1A5F">
        <w:rPr>
          <w:i/>
          <w:iCs/>
        </w:rPr>
        <w:t>1. (b)</w:t>
      </w:r>
      <w:r w:rsidRPr="00DC1A5F">
        <w:t xml:space="preserve"> [592] Asimismo, cuando él los haya discernido de esta manera: “en el cabello de la cabeza se encuentra el elemento tierra que tiene la característica de la dureza… en la inhalación y exhalación se encuentra el elemento tierra que tiene la característica de la dureza” (XI.31), el contacto se hará evidente como la primera conjunción. Luego, la sensación asociada con él como el agregado de la sensación... la consciencia asociada como el agregado de la consciencia.</w:t>
      </w:r>
    </w:p>
    <w:p w14:paraId="77EE06FA" w14:textId="77777777" w:rsidR="00597DE2" w:rsidRPr="00DC1A5F" w:rsidRDefault="00597DE2" w:rsidP="00597DE2">
      <w:pPr>
        <w:pStyle w:val="NormalConSangria"/>
      </w:pPr>
      <w:r w:rsidRPr="00DC1A5F">
        <w:t>Así es cómo los estados inmateriales se harán evidentes a través del contacto.</w:t>
      </w:r>
    </w:p>
    <w:p w14:paraId="018E8E40" w14:textId="77777777" w:rsidR="00597DE2" w:rsidRPr="00DC1A5F" w:rsidRDefault="00597DE2" w:rsidP="00597DE2">
      <w:r w:rsidRPr="00DC1A5F">
        <w:t xml:space="preserve">20. </w:t>
      </w:r>
      <w:r w:rsidRPr="00DC1A5F">
        <w:tab/>
      </w:r>
      <w:r w:rsidRPr="00DC1A5F">
        <w:rPr>
          <w:i/>
          <w:iCs/>
        </w:rPr>
        <w:t>2. (a)</w:t>
      </w:r>
      <w:r w:rsidRPr="00DC1A5F">
        <w:t xml:space="preserve"> A otro que discierna sobre los cuatro elementos primarios mediante el pasaje que comienza con: “el elemento tierra tiene la característica de la dureza”, la sensación que posea ello como su objeto y experimente su estímulo como agradable, etc. , se hará evidente como el agregado de la sensación, la percepción asociada con ello como el agregado de la percepción, el contacto y la volición asociados con ello como el agregado de las formaciones y la consciencia asociada con ello como el agregado de la consciencia.</w:t>
      </w:r>
    </w:p>
    <w:p w14:paraId="54F3D03E" w14:textId="77777777" w:rsidR="00597DE2" w:rsidRPr="00DC1A5F" w:rsidRDefault="00597DE2" w:rsidP="00597DE2">
      <w:pPr>
        <w:pStyle w:val="NormalConSangria"/>
      </w:pPr>
      <w:r w:rsidRPr="00DC1A5F">
        <w:tab/>
      </w:r>
      <w:r w:rsidRPr="00DC1A5F">
        <w:rPr>
          <w:i/>
          <w:iCs/>
        </w:rPr>
        <w:t xml:space="preserve">2. (b) </w:t>
      </w:r>
      <w:r w:rsidRPr="00DC1A5F">
        <w:t>Asimismo, a quien los discierna de esta manera: “en el cabello de la cabeza se encuentra el elemento tierra el que posee la característica de la dureza… en la inhalación y exhalación se encuentra el elemento tierra que tiene la característica de la dureza”, la sensación que posea ello como su objeto y experimente su estímulo se volverá evidente como el agregado de la sensación … y la consciencia asociada con ello como el agregado de la consciencia.</w:t>
      </w:r>
    </w:p>
    <w:p w14:paraId="2888ADB2" w14:textId="77777777" w:rsidR="00597DE2" w:rsidRPr="00DC1A5F" w:rsidRDefault="00597DE2" w:rsidP="00597DE2">
      <w:pPr>
        <w:pStyle w:val="NormalConSangria"/>
      </w:pPr>
      <w:r w:rsidRPr="00DC1A5F">
        <w:t>Así es como los estados inmateriales se harán evidentes a través de la sensación.</w:t>
      </w:r>
    </w:p>
    <w:p w14:paraId="1E7C5C6F" w14:textId="77777777" w:rsidR="00597DE2" w:rsidRPr="00DC1A5F" w:rsidRDefault="00597DE2" w:rsidP="00597DE2">
      <w:r w:rsidRPr="00DC1A5F">
        <w:t xml:space="preserve">21. </w:t>
      </w:r>
      <w:r w:rsidRPr="00DC1A5F">
        <w:tab/>
        <w:t>3. (a) Para otro que discierna los 4 elementos primarios mediante el pasaje que comienza con: “el elemento tierra tiene la característica de la dureza”, la consciencia que conozca al objeto se volverá evidente como el agregado de la consciencia, la sensación asociada al respecto como el agregado de la sensación, la percepción asociada como el agregado de la percepción y el contacto y la volición asociados como el agregado de las formaciones.</w:t>
      </w:r>
    </w:p>
    <w:p w14:paraId="23F2CED7" w14:textId="77777777" w:rsidR="00597DE2" w:rsidRPr="00DC1A5F" w:rsidRDefault="00597DE2" w:rsidP="00597DE2">
      <w:pPr>
        <w:pStyle w:val="NormalConSangria"/>
      </w:pPr>
      <w:r w:rsidRPr="00DC1A5F">
        <w:tab/>
        <w:t>3. (b) Asimismo [a quien los discierne de esta manera] “En el cabello de la cabeza se encuentra el elemento tierra el que tiene la característica de dureza… en la inhalación y exhalación se encuentra el elemento tierra que tiene la característica de la dureza”, la consciencia que conozca el objeto se volverá evidente como el agregado de consciencia... y el contacto y la volición asociados como el agregado de las formaciones.</w:t>
      </w:r>
    </w:p>
    <w:p w14:paraId="34F5D0A5" w14:textId="77777777" w:rsidR="00597DE2" w:rsidRPr="00DC1A5F" w:rsidRDefault="00597DE2" w:rsidP="00597DE2">
      <w:pPr>
        <w:pStyle w:val="NormalConSangria"/>
      </w:pPr>
      <w:r w:rsidRPr="00DC1A5F">
        <w:t>Así es cómo los estados inmateriales se harán evidentes a través de la consciencia.</w:t>
      </w:r>
    </w:p>
    <w:p w14:paraId="555208CE" w14:textId="77777777" w:rsidR="00597DE2" w:rsidRPr="00DC1A5F" w:rsidRDefault="00597DE2" w:rsidP="00597DE2">
      <w:r w:rsidRPr="00DC1A5F">
        <w:t xml:space="preserve">22. </w:t>
      </w:r>
      <w:r w:rsidRPr="00DC1A5F">
        <w:tab/>
        <w:t xml:space="preserve">En el caso de las maneras de discernir la materialidad como consistentes de 42 aspectos de los elementos comenzando con el cabello de la cabeza, es decir, de los 32 aspectos del cuerpo, los 4 aspectos del elemento fuego y los 6 aspectos del elemento aire, ya sea por estos mismos medios dados anteriormente o por medio del método que comienza con el pasaje: “en el cabello de la cabeza originados por el </w:t>
      </w:r>
      <w:proofErr w:type="spellStart"/>
      <w:r w:rsidRPr="00DC1A5F">
        <w:rPr>
          <w:i/>
        </w:rPr>
        <w:t>kamma</w:t>
      </w:r>
      <w:proofErr w:type="spellEnd"/>
      <w:r w:rsidRPr="00DC1A5F">
        <w:t xml:space="preserve"> se encuentra el elemento tierra que tiene la característica de la dureza— y también en el caso de los métodos para discernir la materialidad como consistentes del ojo, etc., — por medio de los 4 elementos primarios en cada uno, la interpretación deberá hacerse resolviendo todas las diferencias en cada método.</w:t>
      </w:r>
    </w:p>
    <w:p w14:paraId="4728AFE3" w14:textId="77777777" w:rsidR="00597DE2" w:rsidRPr="00DC1A5F" w:rsidRDefault="00597DE2" w:rsidP="00597DE2">
      <w:r w:rsidRPr="00DC1A5F">
        <w:t xml:space="preserve">23. </w:t>
      </w:r>
      <w:r w:rsidRPr="00DC1A5F">
        <w:tab/>
        <w:t xml:space="preserve">Ahora bien, es sólo cuando se haya vuelto bastante seguro de discernir la materialidad de la manera descrita que los estados inmateriales se volverán bastante evidentes para él en los tres </w:t>
      </w:r>
    </w:p>
    <w:p w14:paraId="7EF06443" w14:textId="77777777" w:rsidR="00597DE2" w:rsidRPr="00DC1A5F" w:rsidRDefault="00597DE2" w:rsidP="00597DE2">
      <w:pPr>
        <w:tabs>
          <w:tab w:val="clear" w:pos="425"/>
        </w:tabs>
        <w:spacing w:after="160"/>
      </w:pPr>
      <w:r w:rsidRPr="00DC1A5F">
        <w:br w:type="page"/>
      </w:r>
    </w:p>
    <w:p w14:paraId="67436582" w14:textId="77777777" w:rsidR="00597DE2" w:rsidRPr="00DC1A5F" w:rsidRDefault="00597DE2" w:rsidP="00597DE2"/>
    <w:p w14:paraId="1F9A2025" w14:textId="77777777" w:rsidR="00597DE2" w:rsidRPr="00DC1A5F" w:rsidRDefault="00597DE2" w:rsidP="00597DE2">
      <w:pPr>
        <w:pStyle w:val="Textoindependiente"/>
      </w:pPr>
      <w:r w:rsidRPr="00DC1A5F">
        <w:t xml:space="preserve">aspectos. Por lo tanto, él solo deberá emprender la tarea de discernir los estados inmateriales después de haber completado ello, no de otra manera. Si dejase de discernir la materialidad cuando, digamos, uno o dos estados materiales se hayan vuelto evidentes para comenzar a discernir lo inmaterial, entonces emergerá de su objeto de meditación como la vaca de la montaña ya descrita en el Desarrollo de la </w:t>
      </w:r>
      <w:proofErr w:type="spellStart"/>
      <w:r w:rsidRPr="00DC1A5F">
        <w:rPr>
          <w:i/>
        </w:rPr>
        <w:t>kasiṇa</w:t>
      </w:r>
      <w:proofErr w:type="spellEnd"/>
      <w:r w:rsidRPr="00DC1A5F">
        <w:t xml:space="preserve"> tierra (IV.130)</w:t>
      </w:r>
      <w:proofErr w:type="gramStart"/>
      <w:r w:rsidRPr="00DC1A5F">
        <w:t>. )</w:t>
      </w:r>
      <w:proofErr w:type="gramEnd"/>
      <w:r w:rsidRPr="00DC1A5F">
        <w:t>. [593] No obstante, si emprendiese la tarea de discernir lo inmaterial después de que ya esté bastante seguro de discernir así la materialidad, entonces su objeto de meditación llegará al maduración, crecimiento y perfección.</w:t>
      </w:r>
    </w:p>
    <w:p w14:paraId="76CFDED7" w14:textId="77777777" w:rsidR="00597DE2" w:rsidRPr="00DC1A5F" w:rsidRDefault="00597DE2" w:rsidP="00597DE2">
      <w:pPr>
        <w:pStyle w:val="Ttulo3"/>
        <w:ind w:left="708"/>
      </w:pPr>
      <w:r w:rsidRPr="00DC1A5F">
        <w:t>[No Existe Ningún Ser Aparte de la Mentalidad–Materialidad]</w:t>
      </w:r>
    </w:p>
    <w:p w14:paraId="1FA4CF2D" w14:textId="77777777" w:rsidR="00597DE2" w:rsidRPr="00DC1A5F" w:rsidRDefault="00597DE2" w:rsidP="00597DE2">
      <w:r w:rsidRPr="00DC1A5F">
        <w:t xml:space="preserve">24. </w:t>
      </w:r>
      <w:r w:rsidRPr="00DC1A5F">
        <w:tab/>
        <w:t>Él definirá los 4 agregados inmateriales que se hayan vuelto así evidentes a través del contacto, etc., como “mentalidad”. Y definirá sus objetos, es decir, los 4 primarios y la materialidad derivada de los 4 primarios, como “materialidad”. Así, como quien abriese una caja con un cuchillo, como quien partiese en dos un bulbo gemelo de palmira, definirá todos los estados de los 3 planos,</w:t>
      </w:r>
      <w:r w:rsidRPr="00DC1A5F">
        <w:rPr>
          <w:vertAlign w:val="superscript"/>
        </w:rPr>
        <w:t>9</w:t>
      </w:r>
      <w:r w:rsidRPr="00DC1A5F">
        <w:t xml:space="preserve"> los 18 elementos, las 12 bases, los 5 agregados, de la doble manera como “mentalidad–materialidad”, y concluirá que más allá de la simple mentalidad–materialidad no existirá nada correspondiente a un ser, a una persona, a una deidad o a un </w:t>
      </w:r>
      <w:r w:rsidRPr="00DC1A5F">
        <w:rPr>
          <w:i/>
        </w:rPr>
        <w:t>Brahmā</w:t>
      </w:r>
      <w:r w:rsidRPr="00DC1A5F">
        <w:t>.</w:t>
      </w:r>
    </w:p>
    <w:p w14:paraId="10ACA893" w14:textId="77777777" w:rsidR="00597DE2" w:rsidRPr="00DC1A5F" w:rsidRDefault="00597DE2" w:rsidP="00597DE2">
      <w:r w:rsidRPr="00DC1A5F">
        <w:t xml:space="preserve">25. </w:t>
      </w:r>
      <w:r w:rsidRPr="00DC1A5F">
        <w:tab/>
        <w:t>Después de definir así la mentalidad–materialidad según su verdadera naturaleza, entonces, para abandonar más a fondo esta designación mundana de “un ser” y “una persona”, disipará la confusión respecto a los seres y establecerá su mente en el plano de lo no–confusión, se asegurará de que el significado definido, es decir, “esto es simple mentalidad–materialidad,</w:t>
      </w:r>
    </w:p>
    <w:p w14:paraId="4ACBBDDC" w14:textId="77777777" w:rsidR="00597DE2" w:rsidRPr="00DC1A5F" w:rsidRDefault="00597DE2" w:rsidP="00597DE2"/>
    <w:p w14:paraId="053F6C1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D21F5DB" w14:textId="77777777" w:rsidR="00597DE2" w:rsidRPr="00DC1A5F" w:rsidRDefault="00597DE2" w:rsidP="00597DE2">
      <w:pPr>
        <w:pStyle w:val="PiedepginaLegal"/>
        <w:numPr>
          <w:ilvl w:val="0"/>
          <w:numId w:val="7"/>
        </w:numPr>
        <w:tabs>
          <w:tab w:val="clear" w:pos="425"/>
        </w:tabs>
        <w:spacing w:after="160"/>
        <w:ind w:left="284" w:hanging="284"/>
      </w:pPr>
      <w:r w:rsidRPr="00DC1A5F">
        <w:t>“‘</w:t>
      </w:r>
      <w:r w:rsidRPr="00DC1A5F">
        <w:rPr>
          <w:i/>
          <w:iCs/>
        </w:rPr>
        <w:t>Todos los estados de los tres planos’</w:t>
      </w:r>
      <w:r w:rsidRPr="00DC1A5F">
        <w:t xml:space="preserve"> se menciona de manera inclusiva debido a la necesidad de no omitir nada adecuado para su comprensión. Ya que esto deberá entenderse completamente sin ninguna excepción y se deberá hacer que la </w:t>
      </w:r>
      <w:r w:rsidRPr="00DC1A5F">
        <w:rPr>
          <w:i/>
          <w:iCs/>
        </w:rPr>
        <w:t>codicia</w:t>
      </w:r>
      <w:r w:rsidRPr="00DC1A5F">
        <w:t xml:space="preserve"> se disipe absolutamente para que la mente pueda ser liberada mediante la disipación de la </w:t>
      </w:r>
      <w:r w:rsidRPr="00DC1A5F">
        <w:rPr>
          <w:i/>
          <w:iCs/>
        </w:rPr>
        <w:t>codicia</w:t>
      </w:r>
      <w:r w:rsidRPr="00DC1A5F">
        <w:t xml:space="preserve">. Es por eso </w:t>
      </w:r>
      <w:proofErr w:type="gramStart"/>
      <w:r w:rsidRPr="00DC1A5F">
        <w:t>que</w:t>
      </w:r>
      <w:proofErr w:type="gramEnd"/>
      <w:r w:rsidRPr="00DC1A5F">
        <w:t xml:space="preserve"> el </w:t>
      </w:r>
      <w:r w:rsidRPr="00DC1A5F">
        <w:rPr>
          <w:i/>
          <w:iCs/>
        </w:rPr>
        <w:t>Bhagavā</w:t>
      </w:r>
      <w:r w:rsidRPr="00DC1A5F">
        <w:t xml:space="preserve"> dijo: ‘</w:t>
      </w:r>
      <w:proofErr w:type="spellStart"/>
      <w:r w:rsidRPr="00DC1A5F">
        <w:rPr>
          <w:i/>
        </w:rPr>
        <w:t>Bhikkhu</w:t>
      </w:r>
      <w:r w:rsidRPr="00DC1A5F">
        <w:t>s</w:t>
      </w:r>
      <w:proofErr w:type="spellEnd"/>
      <w:r w:rsidRPr="00DC1A5F">
        <w:t xml:space="preserve">, sin el conocimiento directo, sin entender completamente todo, sin hacer que la codicia se disipe, sin abandonarla, la mente será incapaz de destruir el sufrimiento. </w:t>
      </w:r>
      <w:proofErr w:type="spellStart"/>
      <w:r w:rsidRPr="00DC1A5F">
        <w:rPr>
          <w:i/>
        </w:rPr>
        <w:t>Bhikkhu</w:t>
      </w:r>
      <w:r w:rsidRPr="00DC1A5F">
        <w:t>s</w:t>
      </w:r>
      <w:proofErr w:type="spellEnd"/>
      <w:r w:rsidRPr="00DC1A5F">
        <w:t>, es mediante el conocimiento directo, comprendiendo completamente todo, disipando la codicia al respecto, abandonándola, que la mente será capaz de destruir el sufrimiento” (S IV 17). Si todos los estados de los 3 planos se tomasen como mentalidad–materialidad sin excepción, entonces, ¿cómo se debería tratar lo que haya sido concebido por aquellos fuera de la Dispensación, como los significados verbales tales como la Esencia Primordial (</w:t>
      </w:r>
      <w:proofErr w:type="spellStart"/>
      <w:r w:rsidRPr="00DC1A5F">
        <w:rPr>
          <w:i/>
          <w:iCs/>
        </w:rPr>
        <w:t>pakati</w:t>
      </w:r>
      <w:proofErr w:type="spellEnd"/>
      <w:r w:rsidRPr="00DC1A5F">
        <w:t xml:space="preserve">), etc. [p. del </w:t>
      </w:r>
      <w:proofErr w:type="spellStart"/>
      <w:r w:rsidRPr="00DC1A5F">
        <w:rPr>
          <w:i/>
          <w:iCs/>
        </w:rPr>
        <w:t>Sāíkhya</w:t>
      </w:r>
      <w:proofErr w:type="spellEnd"/>
      <w:r w:rsidRPr="00DC1A5F">
        <w:t>], la sustancia (</w:t>
      </w:r>
      <w:proofErr w:type="spellStart"/>
      <w:r w:rsidRPr="00DC1A5F">
        <w:rPr>
          <w:i/>
          <w:iCs/>
        </w:rPr>
        <w:t>drabya</w:t>
      </w:r>
      <w:proofErr w:type="spellEnd"/>
      <w:r w:rsidRPr="00DC1A5F">
        <w:t xml:space="preserve">), etc. [p. ej. del </w:t>
      </w:r>
      <w:proofErr w:type="spellStart"/>
      <w:r w:rsidRPr="00DC1A5F">
        <w:rPr>
          <w:i/>
          <w:iCs/>
        </w:rPr>
        <w:t>Vaiśeṣika</w:t>
      </w:r>
      <w:proofErr w:type="spellEnd"/>
      <w:r w:rsidRPr="00DC1A5F">
        <w:t>], el alma (</w:t>
      </w:r>
      <w:proofErr w:type="spellStart"/>
      <w:r w:rsidRPr="00DC1A5F">
        <w:rPr>
          <w:i/>
          <w:iCs/>
        </w:rPr>
        <w:t>jīva</w:t>
      </w:r>
      <w:proofErr w:type="spellEnd"/>
      <w:r w:rsidRPr="00DC1A5F">
        <w:t>), etc., y el cuerpo (</w:t>
      </w:r>
      <w:proofErr w:type="spellStart"/>
      <w:r w:rsidRPr="00DC1A5F">
        <w:rPr>
          <w:i/>
          <w:iCs/>
        </w:rPr>
        <w:t>kāya</w:t>
      </w:r>
      <w:proofErr w:type="spellEnd"/>
      <w:r w:rsidRPr="00DC1A5F">
        <w:t>), etc. [?] Dado que estos corresponden a un tipo de alucinación de seres lunáticos y son enseñados por los que no están completamente iluminados, ¿qué otra forma de tratar con ellos habría sino ignorarlos? O, alternativamente, su existencia o inexistencia podrá entenderse como la establecida por su sabiduría–revelativa con respecto a la mentalidad–materialidad” (</w:t>
      </w:r>
      <w:proofErr w:type="spellStart"/>
      <w:r w:rsidRPr="00DC1A5F">
        <w:t>Vism</w:t>
      </w:r>
      <w:proofErr w:type="spellEnd"/>
      <w:r w:rsidRPr="00DC1A5F">
        <w:t>–</w:t>
      </w:r>
      <w:proofErr w:type="spellStart"/>
      <w:r w:rsidRPr="00DC1A5F">
        <w:t>mhṭ</w:t>
      </w:r>
      <w:proofErr w:type="spellEnd"/>
      <w:r w:rsidRPr="00DC1A5F">
        <w:t xml:space="preserve"> 751f.). Allí le sigue un largo párrafo que muestra cómo los conceptos de estos sistemas deben asimilarse a la mentalidad–materialidad, por lo que pierden su significado y se exponen como impermanentes y formados. El </w:t>
      </w:r>
      <w:proofErr w:type="spellStart"/>
      <w:r w:rsidRPr="00DC1A5F">
        <w:t>Vism</w:t>
      </w:r>
      <w:proofErr w:type="spellEnd"/>
      <w:r w:rsidRPr="00DC1A5F">
        <w:t>–</w:t>
      </w:r>
      <w:proofErr w:type="spellStart"/>
      <w:r w:rsidRPr="00DC1A5F">
        <w:t>mhṭ</w:t>
      </w:r>
      <w:proofErr w:type="spellEnd"/>
      <w:r w:rsidRPr="00DC1A5F">
        <w:t xml:space="preserve"> concluye afirmando: “Dondequiera que el significado verbal del alma se exprese mediante alguna metáfora como el alma del mundo (</w:t>
      </w:r>
      <w:proofErr w:type="spellStart"/>
      <w:r w:rsidRPr="00DC1A5F">
        <w:rPr>
          <w:i/>
          <w:iCs/>
        </w:rPr>
        <w:t>purisa</w:t>
      </w:r>
      <w:proofErr w:type="spellEnd"/>
      <w:r w:rsidRPr="00DC1A5F">
        <w:t>), el alma (</w:t>
      </w:r>
      <w:proofErr w:type="spellStart"/>
      <w:r w:rsidRPr="00DC1A5F">
        <w:rPr>
          <w:i/>
          <w:iCs/>
        </w:rPr>
        <w:t>attā</w:t>
      </w:r>
      <w:proofErr w:type="spellEnd"/>
      <w:r w:rsidRPr="00DC1A5F">
        <w:rPr>
          <w:i/>
          <w:iCs/>
        </w:rPr>
        <w:t xml:space="preserve">, </w:t>
      </w:r>
      <w:proofErr w:type="spellStart"/>
      <w:r w:rsidRPr="00DC1A5F">
        <w:rPr>
          <w:i/>
          <w:iCs/>
        </w:rPr>
        <w:t>ātman</w:t>
      </w:r>
      <w:proofErr w:type="spellEnd"/>
      <w:r w:rsidRPr="00DC1A5F">
        <w:t>), la esencia (</w:t>
      </w:r>
      <w:proofErr w:type="spellStart"/>
      <w:r w:rsidRPr="00DC1A5F">
        <w:rPr>
          <w:i/>
          <w:iCs/>
        </w:rPr>
        <w:t>jīva</w:t>
      </w:r>
      <w:proofErr w:type="spellEnd"/>
      <w:r w:rsidRPr="00DC1A5F">
        <w:t>), etc., siendo estos mismos concebidos en sus diversas formas basadas ​​en la simple mentalidad–materialidad, también será simplemente mentalidad–materialidad” (</w:t>
      </w:r>
      <w:proofErr w:type="spellStart"/>
      <w:r w:rsidRPr="00DC1A5F">
        <w:t>Vism</w:t>
      </w:r>
      <w:proofErr w:type="spellEnd"/>
      <w:r w:rsidRPr="00DC1A5F">
        <w:t>–</w:t>
      </w:r>
      <w:proofErr w:type="spellStart"/>
      <w:r w:rsidRPr="00DC1A5F">
        <w:t>mhṭ</w:t>
      </w:r>
      <w:proofErr w:type="spellEnd"/>
      <w:r w:rsidRPr="00DC1A5F">
        <w:t xml:space="preserve"> 754s.).</w:t>
      </w:r>
    </w:p>
    <w:p w14:paraId="4AE1D469" w14:textId="77777777" w:rsidR="00597DE2" w:rsidRPr="00DC1A5F" w:rsidRDefault="00597DE2" w:rsidP="00597DE2">
      <w:pPr>
        <w:tabs>
          <w:tab w:val="clear" w:pos="425"/>
        </w:tabs>
        <w:spacing w:after="160"/>
      </w:pPr>
      <w:r w:rsidRPr="00DC1A5F">
        <w:br w:type="page"/>
      </w:r>
    </w:p>
    <w:p w14:paraId="549E91BE" w14:textId="77777777" w:rsidR="00597DE2" w:rsidRPr="00DC1A5F" w:rsidRDefault="00597DE2" w:rsidP="00597DE2">
      <w:pPr>
        <w:pStyle w:val="Textoindependiente"/>
      </w:pPr>
    </w:p>
    <w:p w14:paraId="6249F871" w14:textId="77777777" w:rsidR="00597DE2" w:rsidRPr="00DC1A5F" w:rsidRDefault="00597DE2" w:rsidP="00597DE2">
      <w:pPr>
        <w:pStyle w:val="Textoindependiente"/>
      </w:pPr>
      <w:r w:rsidRPr="00DC1A5F">
        <w:t xml:space="preserve">no existe ningún ser, ninguna persona” será confirmado por toda una serie de </w:t>
      </w:r>
      <w:r w:rsidRPr="00DC1A5F">
        <w:rPr>
          <w:i/>
          <w:iCs/>
        </w:rPr>
        <w:t>suttas</w:t>
      </w:r>
      <w:r w:rsidRPr="00DC1A5F">
        <w:t>. Por esto se ha dicho al respecto:</w:t>
      </w:r>
    </w:p>
    <w:p w14:paraId="4ACCFFC3" w14:textId="77777777" w:rsidR="00597DE2" w:rsidRPr="00DC1A5F" w:rsidRDefault="00597DE2" w:rsidP="00597DE2">
      <w:pPr>
        <w:pStyle w:val="VersoIngls01Sangria"/>
        <w:rPr>
          <w:sz w:val="16"/>
          <w:szCs w:val="20"/>
        </w:rPr>
      </w:pPr>
      <w:r w:rsidRPr="00DC1A5F">
        <w:rPr>
          <w:sz w:val="16"/>
          <w:szCs w:val="20"/>
        </w:rPr>
        <w:t>Así como mediante el montaje de sus piezas.</w:t>
      </w:r>
    </w:p>
    <w:p w14:paraId="357CA738" w14:textId="77777777" w:rsidR="00597DE2" w:rsidRPr="00DC1A5F" w:rsidRDefault="00597DE2" w:rsidP="00597DE2">
      <w:pPr>
        <w:pStyle w:val="VersoIngls01Sangria"/>
        <w:rPr>
          <w:sz w:val="16"/>
          <w:szCs w:val="20"/>
        </w:rPr>
      </w:pPr>
      <w:r w:rsidRPr="00DC1A5F">
        <w:rPr>
          <w:sz w:val="16"/>
          <w:szCs w:val="20"/>
        </w:rPr>
        <w:t>Se construye la palabra “carruaje”,</w:t>
      </w:r>
    </w:p>
    <w:p w14:paraId="0A27DED9" w14:textId="77777777" w:rsidR="00597DE2" w:rsidRPr="00DC1A5F" w:rsidRDefault="00597DE2" w:rsidP="00597DE2">
      <w:pPr>
        <w:pStyle w:val="VersoIngls01Sangria"/>
        <w:rPr>
          <w:sz w:val="16"/>
          <w:szCs w:val="20"/>
        </w:rPr>
      </w:pPr>
      <w:r w:rsidRPr="00DC1A5F">
        <w:rPr>
          <w:sz w:val="16"/>
          <w:szCs w:val="20"/>
        </w:rPr>
        <w:t xml:space="preserve">Así mismo, cuando los agregados se encuentran presentes, </w:t>
      </w:r>
    </w:p>
    <w:p w14:paraId="369CD398" w14:textId="77777777" w:rsidR="00597DE2" w:rsidRPr="00DC1A5F" w:rsidRDefault="00597DE2" w:rsidP="00597DE2">
      <w:pPr>
        <w:pStyle w:val="VersoIngls01Sangria"/>
        <w:spacing w:after="100"/>
        <w:ind w:left="1418"/>
        <w:rPr>
          <w:sz w:val="16"/>
          <w:szCs w:val="20"/>
        </w:rPr>
      </w:pPr>
      <w:r w:rsidRPr="00DC1A5F">
        <w:rPr>
          <w:sz w:val="16"/>
          <w:szCs w:val="20"/>
        </w:rPr>
        <w:t>se hablará en el uso común de “un ser” (S I 135).</w:t>
      </w:r>
    </w:p>
    <w:p w14:paraId="396E40DE" w14:textId="77777777" w:rsidR="00597DE2" w:rsidRPr="00DC1A5F" w:rsidRDefault="00597DE2" w:rsidP="00597DE2">
      <w:r w:rsidRPr="00DC1A5F">
        <w:t xml:space="preserve">26. </w:t>
      </w:r>
      <w:r w:rsidRPr="00DC1A5F">
        <w:tab/>
        <w:t>De nuevo, se ha afirmado: “Así como un espacio que esté cercado de madera, enredaderas, hierba y arcilla, llega a convertirse en el término ‘casa’, así también, cuando un espacio esté cercado de huesos, tendones, carne y piel, llegará a convertirse en el término ‘forma material’ (</w:t>
      </w:r>
      <w:r w:rsidRPr="00DC1A5F">
        <w:rPr>
          <w:i/>
        </w:rPr>
        <w:t>rūpa</w:t>
      </w:r>
      <w:r w:rsidRPr="00DC1A5F">
        <w:t>)” (M I 190).</w:t>
      </w:r>
    </w:p>
    <w:p w14:paraId="55BB4589" w14:textId="77777777" w:rsidR="00597DE2" w:rsidRPr="00DC1A5F" w:rsidRDefault="00597DE2" w:rsidP="00597DE2">
      <w:r w:rsidRPr="00DC1A5F">
        <w:t xml:space="preserve">27. </w:t>
      </w:r>
      <w:r w:rsidRPr="00DC1A5F">
        <w:tab/>
        <w:t>Y nuevamente. se ha dicho esto al respecto:</w:t>
      </w:r>
    </w:p>
    <w:p w14:paraId="0C677E27" w14:textId="77777777" w:rsidR="00597DE2" w:rsidRPr="00DC1A5F" w:rsidRDefault="00597DE2" w:rsidP="00597DE2">
      <w:pPr>
        <w:pStyle w:val="VersoIngls01Sangria"/>
        <w:rPr>
          <w:sz w:val="16"/>
          <w:szCs w:val="20"/>
        </w:rPr>
      </w:pPr>
      <w:r w:rsidRPr="00DC1A5F">
        <w:rPr>
          <w:sz w:val="16"/>
          <w:szCs w:val="20"/>
        </w:rPr>
        <w:t>Sólo el mal es lo que surge,</w:t>
      </w:r>
    </w:p>
    <w:p w14:paraId="795F486D" w14:textId="77777777" w:rsidR="00597DE2" w:rsidRPr="00DC1A5F" w:rsidRDefault="00597DE2" w:rsidP="00597DE2">
      <w:pPr>
        <w:pStyle w:val="VersoIngls01Sangria"/>
        <w:rPr>
          <w:sz w:val="16"/>
          <w:szCs w:val="20"/>
        </w:rPr>
      </w:pPr>
      <w:r w:rsidRPr="00DC1A5F">
        <w:rPr>
          <w:sz w:val="16"/>
          <w:szCs w:val="20"/>
        </w:rPr>
        <w:t>Mal que queda y mal que se va.</w:t>
      </w:r>
    </w:p>
    <w:p w14:paraId="576A6885" w14:textId="77777777" w:rsidR="00597DE2" w:rsidRPr="00DC1A5F" w:rsidRDefault="00597DE2" w:rsidP="00597DE2">
      <w:pPr>
        <w:pStyle w:val="VersoIngls01Sangria"/>
        <w:rPr>
          <w:sz w:val="16"/>
          <w:szCs w:val="20"/>
        </w:rPr>
      </w:pPr>
      <w:r w:rsidRPr="00DC1A5F">
        <w:rPr>
          <w:sz w:val="16"/>
          <w:szCs w:val="20"/>
        </w:rPr>
        <w:t>No surge nada más que mal,</w:t>
      </w:r>
    </w:p>
    <w:p w14:paraId="283897F3" w14:textId="77777777" w:rsidR="00597DE2" w:rsidRPr="00DC1A5F" w:rsidRDefault="00597DE2" w:rsidP="00597DE2">
      <w:pPr>
        <w:pStyle w:val="VersoIngls01Sangria"/>
        <w:spacing w:after="100"/>
        <w:ind w:left="1418"/>
        <w:rPr>
          <w:sz w:val="16"/>
          <w:szCs w:val="20"/>
        </w:rPr>
      </w:pPr>
      <w:r w:rsidRPr="00DC1A5F">
        <w:rPr>
          <w:sz w:val="16"/>
          <w:szCs w:val="20"/>
        </w:rPr>
        <w:t>Y nada cesa sino el mal (S I 135).</w:t>
      </w:r>
    </w:p>
    <w:p w14:paraId="1E2A12C1" w14:textId="77777777" w:rsidR="00597DE2" w:rsidRPr="00DC1A5F" w:rsidRDefault="00597DE2" w:rsidP="00597DE2">
      <w:r w:rsidRPr="00DC1A5F">
        <w:t xml:space="preserve">28. </w:t>
      </w:r>
      <w:r w:rsidRPr="00DC1A5F">
        <w:tab/>
        <w:t xml:space="preserve">Así es cómo en muchos cientos de </w:t>
      </w:r>
      <w:r w:rsidRPr="00DC1A5F">
        <w:rPr>
          <w:i/>
          <w:iCs/>
        </w:rPr>
        <w:t>suttas</w:t>
      </w:r>
      <w:r w:rsidRPr="00DC1A5F">
        <w:t xml:space="preserve"> lo que se ilustrará será sólo la mentalidad–materialidad, ningún ser, ninguna persona. Por lo tanto, al igual que cuando unas partes componentes, tales como los ejes, las ruedas, los postes del bastidor, etc., estén dispuestos de cierta manera, se convertirán en un simple término de uso común “carruaje”, pero en el sentido último cuando cada parte sea examinada no existiría ningún carruaje; y así como las partes componentes de una casa, tales como los zarzos, etc., se coloquen de tal manera que encierren un espacio de cierta manera, se convertirá en el simple término de uso común “casa”, aunque en el último sentido no exista ninguna casa; y así los dedos, el pulgar, etc., al disponerse de cierta manera, llegará a ser el simple término de uso común [594] “puño”; con su cuerpo y sus cuerdas, el “laúd”; con los elefantes, caballos, etc., el “ejército”; con su muros circundantes, casas, estados, etc., la “ciudad”—así como el tronco, las ramas, el follaje, etc., se disponen de cierta manera, para llegar a ser el simple término de uso común, un “árbol”, no obstante, en el sentido último, cuando se examine cada componente, no existiría ningún árbol; así también, existen los cinco agregados como objetos del apego y llegan a convertirse en el simple término de uso común “un ser”, “una persona”, no obstante, en el sentido último, cuando se examine cada componente, no existirá ningún ser como base para la suposición de un “yo soy” o “un yo”; en el último sentido sólo existirá mentalidad–materialidad. La visión de aquel que observe de esta manera se denominará </w:t>
      </w:r>
      <w:r w:rsidRPr="00DC1A5F">
        <w:rPr>
          <w:i/>
          <w:iCs/>
        </w:rPr>
        <w:t>visión correcta</w:t>
      </w:r>
      <w:r w:rsidRPr="00DC1A5F">
        <w:t>.</w:t>
      </w:r>
    </w:p>
    <w:p w14:paraId="4F1E48E9" w14:textId="77777777" w:rsidR="00597DE2" w:rsidRPr="00DC1A5F" w:rsidRDefault="00597DE2" w:rsidP="00597DE2">
      <w:r w:rsidRPr="00DC1A5F">
        <w:t xml:space="preserve">29. </w:t>
      </w:r>
      <w:r w:rsidRPr="00DC1A5F">
        <w:tab/>
        <w:t>No obstante, cuando un hombre rechace esta visión correcta y suponga que exista algún ser permanente, tendrá que concluir o que llegará a ser aniquilado o que no lo será. Si concluye que no llegará a ser aniquilado, caerá en la eternidad [en una visión incorrecta]. Si concluye que sí llegará a ser aniquilado, caerá en la visión nihilista. ¿Por qué? Porque la suposición excluirá cualquier cambio gradual como el de la leche a cuajada. Entonces, o se detendrá, concluyendo que el ser asumido será eterno, o se extralimitará, concluyendo que llegará a ser destruido.</w:t>
      </w:r>
    </w:p>
    <w:p w14:paraId="57DFE178" w14:textId="77777777" w:rsidR="00597DE2" w:rsidRPr="00DC1A5F" w:rsidRDefault="00597DE2" w:rsidP="00597DE2">
      <w:r w:rsidRPr="00DC1A5F">
        <w:t xml:space="preserve">30. </w:t>
      </w:r>
      <w:r w:rsidRPr="00DC1A5F">
        <w:tab/>
        <w:t xml:space="preserve">Por lo tanto, el </w:t>
      </w:r>
      <w:r w:rsidRPr="00DC1A5F">
        <w:rPr>
          <w:i/>
          <w:iCs/>
        </w:rPr>
        <w:t>Bhagavā</w:t>
      </w:r>
      <w:r w:rsidRPr="00DC1A5F">
        <w:t xml:space="preserve"> dijo: “Existen dos tipos de visiones incorrectas, </w:t>
      </w:r>
      <w:proofErr w:type="spellStart"/>
      <w:r w:rsidRPr="00DC1A5F">
        <w:rPr>
          <w:i/>
        </w:rPr>
        <w:t>bhikkhu</w:t>
      </w:r>
      <w:r w:rsidRPr="00DC1A5F">
        <w:t>s</w:t>
      </w:r>
      <w:proofErr w:type="spellEnd"/>
      <w:r w:rsidRPr="00DC1A5F">
        <w:t xml:space="preserve">, y cuando las deidades y los seres humanos se obsesionan con ellos, algunos se retraen y otros se extralimitan; solo los que tienen ojos verán correctamente. ¿Y cómo se retraerán algunos? Deidades y seres humanos aman el devenir, se complacen en el devenir, se regocijan en el devenir. </w:t>
      </w:r>
      <w:r w:rsidRPr="00DC1A5F">
        <w:br w:type="page"/>
      </w:r>
    </w:p>
    <w:p w14:paraId="42D995BB" w14:textId="77777777" w:rsidR="00597DE2" w:rsidRPr="00DC1A5F" w:rsidRDefault="00597DE2" w:rsidP="00597DE2"/>
    <w:p w14:paraId="3051F84F" w14:textId="77777777" w:rsidR="00597DE2" w:rsidRPr="00DC1A5F" w:rsidRDefault="00597DE2" w:rsidP="00597DE2">
      <w:pPr>
        <w:pStyle w:val="Textoindependiente"/>
      </w:pPr>
      <w:r w:rsidRPr="00DC1A5F">
        <w:t xml:space="preserve">Cuando se les enseña el </w:t>
      </w:r>
      <w:r w:rsidRPr="00DC1A5F">
        <w:rPr>
          <w:i/>
        </w:rPr>
        <w:t>Dhamma</w:t>
      </w:r>
      <w:r w:rsidRPr="00DC1A5F">
        <w:t xml:space="preserve"> en virtud del conocimiento de la cesación del devenir, sus mentes no penetran en ello, ni se vuelven razonadas, estables y resueltas. Así es cómo algunos se retraen. ¿Y cómo se extralimitan otros? Algunos se avergüenzan, humillan y disgustan por ese mismo devenir, se preocupan por el no–devenir de esta manera: ‘Señores, cuando con la ruptura del cuerpo esta alma sea destruida, aniquilada, ya no existirá ningún devenir después de la muerte, que será apacible, sublime, eso es verdad.” Así es cómo algunos se extralimitarán. ¿Y cómo verán los que posean ojos? Aquí, un </w:t>
      </w:r>
      <w:proofErr w:type="spellStart"/>
      <w:r w:rsidRPr="00DC1A5F">
        <w:rPr>
          <w:i/>
        </w:rPr>
        <w:t>bhikkhu</w:t>
      </w:r>
      <w:proofErr w:type="spellEnd"/>
      <w:r w:rsidRPr="00DC1A5F">
        <w:t xml:space="preserve"> verá lo que sea devenir como devenir. Habiendo visto el devenir como devenir, habrá entrado en el sendero del desapasionamiento por ello, al desvanecimiento de la codicia hacia ello, a su cesación. Así verá el que posea ojos” (It 43; </w:t>
      </w:r>
      <w:proofErr w:type="spellStart"/>
      <w:r w:rsidRPr="00DC1A5F">
        <w:rPr>
          <w:i/>
          <w:iCs/>
        </w:rPr>
        <w:t>Paṭis</w:t>
      </w:r>
      <w:proofErr w:type="spellEnd"/>
      <w:r w:rsidRPr="00DC1A5F">
        <w:t xml:space="preserve"> I 159).</w:t>
      </w:r>
    </w:p>
    <w:p w14:paraId="53AFAC37" w14:textId="77777777" w:rsidR="00597DE2" w:rsidRPr="00DC1A5F" w:rsidRDefault="00597DE2" w:rsidP="00597DE2">
      <w:pPr>
        <w:pStyle w:val="Textoindependiente"/>
      </w:pPr>
      <w:r w:rsidRPr="00DC1A5F">
        <w:t xml:space="preserve">31. </w:t>
      </w:r>
      <w:r w:rsidRPr="00DC1A5F">
        <w:tab/>
        <w:t>Por lo tanto, así como una marioneta vacía, sin alma y carente de curiosidad, mientras camine y se mantenga en movimiento simplemente a través de la manipulación de sus cuerdas y su componentes de madera, [595] pareciese, no obstante, como si tuviese curiosidad e interés, así también, esta mentalidad–materialidad es vacía, no posee alma ni curiosidad, mientras camine y permanezca simplemente a través de la combinación de sus dos aspectos conjuntamente, parecerá como si tuviese curiosidad e interés. Así es cómo debería ser considerada la mentalidad–materialidad. De ahí que los Venerable2 dijesen:</w:t>
      </w:r>
    </w:p>
    <w:p w14:paraId="156E98B1" w14:textId="77777777" w:rsidR="00597DE2" w:rsidRPr="00DC1A5F" w:rsidRDefault="00597DE2" w:rsidP="00597DE2">
      <w:pPr>
        <w:pStyle w:val="VersoIngls01Sangria"/>
        <w:rPr>
          <w:sz w:val="16"/>
          <w:szCs w:val="20"/>
        </w:rPr>
      </w:pPr>
      <w:r w:rsidRPr="00DC1A5F">
        <w:rPr>
          <w:sz w:val="16"/>
          <w:szCs w:val="20"/>
        </w:rPr>
        <w:t>Lo mental y lo material se encuentran realmente aquí,</w:t>
      </w:r>
    </w:p>
    <w:p w14:paraId="4EE4888E" w14:textId="77777777" w:rsidR="00597DE2" w:rsidRPr="00DC1A5F" w:rsidRDefault="00597DE2" w:rsidP="00597DE2">
      <w:pPr>
        <w:pStyle w:val="VersoIngls01Sangria"/>
        <w:rPr>
          <w:sz w:val="16"/>
          <w:szCs w:val="20"/>
        </w:rPr>
      </w:pPr>
      <w:r w:rsidRPr="00DC1A5F">
        <w:rPr>
          <w:sz w:val="16"/>
          <w:szCs w:val="20"/>
        </w:rPr>
        <w:t>No obstante, aquí no se encuentre ningún ser humano,</w:t>
      </w:r>
    </w:p>
    <w:p w14:paraId="305789A7" w14:textId="77777777" w:rsidR="00597DE2" w:rsidRPr="00DC1A5F" w:rsidRDefault="00597DE2" w:rsidP="00597DE2">
      <w:pPr>
        <w:pStyle w:val="VersoIngls01Sangria"/>
        <w:rPr>
          <w:sz w:val="16"/>
          <w:szCs w:val="20"/>
        </w:rPr>
      </w:pPr>
      <w:r w:rsidRPr="00DC1A5F">
        <w:rPr>
          <w:sz w:val="16"/>
          <w:szCs w:val="20"/>
        </w:rPr>
        <w:t>Porque está vacío y simplemente modelado como una marioneta:</w:t>
      </w:r>
    </w:p>
    <w:p w14:paraId="29488BE2" w14:textId="77777777" w:rsidR="00597DE2" w:rsidRPr="00DC1A5F" w:rsidRDefault="00597DE2" w:rsidP="00597DE2">
      <w:pPr>
        <w:pStyle w:val="VersoIngls01Sangria"/>
        <w:spacing w:after="100"/>
        <w:ind w:left="1418"/>
        <w:rPr>
          <w:sz w:val="16"/>
          <w:szCs w:val="20"/>
        </w:rPr>
      </w:pPr>
      <w:r w:rsidRPr="00DC1A5F">
        <w:rPr>
          <w:sz w:val="16"/>
          <w:szCs w:val="20"/>
        </w:rPr>
        <w:t>Sólo sufrimiento apilado como si fueran hierbas y troncos.</w:t>
      </w:r>
    </w:p>
    <w:p w14:paraId="5F2B2A20" w14:textId="77777777" w:rsidR="00597DE2" w:rsidRPr="00DC1A5F" w:rsidRDefault="00597DE2" w:rsidP="00597DE2">
      <w:pPr>
        <w:pStyle w:val="Ttulo3"/>
        <w:ind w:left="708"/>
      </w:pPr>
      <w:r w:rsidRPr="00DC1A5F">
        <w:t>[Interdependencia de la Mentalidad y la Materialidad]</w:t>
      </w:r>
    </w:p>
    <w:p w14:paraId="15FC0357" w14:textId="77777777" w:rsidR="00597DE2" w:rsidRPr="00DC1A5F" w:rsidRDefault="00597DE2" w:rsidP="00597DE2">
      <w:pPr>
        <w:pStyle w:val="Textoindependiente"/>
      </w:pPr>
      <w:r w:rsidRPr="00DC1A5F">
        <w:t xml:space="preserve">32. </w:t>
      </w:r>
      <w:r w:rsidRPr="00DC1A5F">
        <w:tab/>
        <w:t>Además, esto deberá explicarse no sólo por medio del símil de la marioneta, sino también por medio de las analogías de las gavillas de cañas, etc. Porque así como dos haces de juncos se apoyarían el uno sobre el otro y cada uno le daría al otro un sólido soporte y cuando uno cayese, el otro también caería, así también, en el devenir de los cinco constituyentes, la mentalidad–materialidad ocurrirá como un estado interdependiente, cada uno de sus constituyentes dando al otro un sólido soporte, así que cuando uno colapse debido a la muerte, el otro también colapsará. De ahí que los Venerables afirmasen:</w:t>
      </w:r>
    </w:p>
    <w:p w14:paraId="0018E1CC" w14:textId="77777777" w:rsidR="00597DE2" w:rsidRPr="00DC1A5F" w:rsidRDefault="00597DE2" w:rsidP="00597DE2">
      <w:pPr>
        <w:pStyle w:val="VersoIngls01Sangria"/>
        <w:rPr>
          <w:sz w:val="16"/>
          <w:szCs w:val="20"/>
        </w:rPr>
      </w:pPr>
      <w:r w:rsidRPr="00DC1A5F">
        <w:rPr>
          <w:sz w:val="16"/>
          <w:szCs w:val="20"/>
        </w:rPr>
        <w:t>Lo mental y lo material</w:t>
      </w:r>
    </w:p>
    <w:p w14:paraId="559B03A2" w14:textId="77777777" w:rsidR="00597DE2" w:rsidRPr="00DC1A5F" w:rsidRDefault="00597DE2" w:rsidP="00597DE2">
      <w:pPr>
        <w:pStyle w:val="VersoIngls01Sangria"/>
        <w:rPr>
          <w:sz w:val="16"/>
          <w:szCs w:val="20"/>
        </w:rPr>
      </w:pPr>
      <w:r w:rsidRPr="00DC1A5F">
        <w:rPr>
          <w:sz w:val="16"/>
          <w:szCs w:val="20"/>
        </w:rPr>
        <w:t xml:space="preserve">Son mellizos y cada uno es soporte del otro; </w:t>
      </w:r>
    </w:p>
    <w:p w14:paraId="36E7445B" w14:textId="77777777" w:rsidR="00597DE2" w:rsidRPr="00DC1A5F" w:rsidRDefault="00597DE2" w:rsidP="00597DE2">
      <w:pPr>
        <w:pStyle w:val="VersoIngls01Sangria"/>
        <w:rPr>
          <w:sz w:val="16"/>
          <w:szCs w:val="20"/>
        </w:rPr>
      </w:pPr>
      <w:r w:rsidRPr="00DC1A5F">
        <w:rPr>
          <w:sz w:val="16"/>
          <w:szCs w:val="20"/>
        </w:rPr>
        <w:t>Cuando uno colapse, ambos colapsarán</w:t>
      </w:r>
    </w:p>
    <w:p w14:paraId="61362AC0" w14:textId="77777777" w:rsidR="00597DE2" w:rsidRPr="00DC1A5F" w:rsidRDefault="00597DE2" w:rsidP="00597DE2">
      <w:pPr>
        <w:pStyle w:val="VersoIngls01Sangria"/>
        <w:spacing w:after="100"/>
        <w:ind w:left="1418"/>
        <w:rPr>
          <w:sz w:val="16"/>
          <w:szCs w:val="20"/>
        </w:rPr>
      </w:pPr>
      <w:r w:rsidRPr="00DC1A5F">
        <w:rPr>
          <w:sz w:val="16"/>
          <w:szCs w:val="20"/>
        </w:rPr>
        <w:t>A través de su inter–condicionalidad.</w:t>
      </w:r>
    </w:p>
    <w:p w14:paraId="761303D4" w14:textId="77777777" w:rsidR="00597DE2" w:rsidRPr="00DC1A5F" w:rsidRDefault="00597DE2" w:rsidP="00597DE2">
      <w:pPr>
        <w:pStyle w:val="Textoindependiente"/>
      </w:pPr>
      <w:r w:rsidRPr="00DC1A5F">
        <w:t xml:space="preserve">33. </w:t>
      </w:r>
      <w:r w:rsidRPr="00DC1A5F">
        <w:tab/>
        <w:t xml:space="preserve">Y así como un sonido podría reproducirse teniendo como base a un tambor que se golpee con sus baquetas. será evidente lo siguiente: que el tambor sería uno y el sonido otro, que el tambor y el sonido no se mezclarían entre sí, que el tambor está vacío de sonido y el sonido vacío de tambor, así también, cuando la mentalidad ocurra teniendo como soporte a la materialidad designada como la base física, la puerta y el objeto, entonces la materialidad será una y la mentalidad otra, la mentalidad y la materialidad no se mezclarán mutuamente, la mentalidad estará vacía de materialidad y la materialidad de mentalidad; no obstante, la mentalidad </w:t>
      </w:r>
    </w:p>
    <w:p w14:paraId="5286D46D" w14:textId="77777777" w:rsidR="00597DE2" w:rsidRPr="00DC1A5F" w:rsidRDefault="00597DE2" w:rsidP="00597DE2">
      <w:pPr>
        <w:tabs>
          <w:tab w:val="clear" w:pos="425"/>
        </w:tabs>
        <w:spacing w:after="160"/>
      </w:pPr>
      <w:r w:rsidRPr="00DC1A5F">
        <w:br w:type="page"/>
      </w:r>
    </w:p>
    <w:p w14:paraId="19902F8B" w14:textId="77777777" w:rsidR="00597DE2" w:rsidRPr="00DC1A5F" w:rsidRDefault="00597DE2" w:rsidP="00597DE2"/>
    <w:p w14:paraId="4B7CA815" w14:textId="77777777" w:rsidR="00597DE2" w:rsidRPr="00DC1A5F" w:rsidRDefault="00597DE2" w:rsidP="00597DE2">
      <w:pPr>
        <w:pStyle w:val="Textoindependiente"/>
      </w:pPr>
      <w:r w:rsidRPr="00DC1A5F">
        <w:t>se producirá debido a la materialidad como un sonido se produciría debido a un tambor. De ahí que los Venerables afirmasen:</w:t>
      </w:r>
    </w:p>
    <w:p w14:paraId="08491D80" w14:textId="77777777" w:rsidR="00597DE2" w:rsidRPr="00DC1A5F" w:rsidRDefault="00597DE2" w:rsidP="00597DE2">
      <w:pPr>
        <w:pStyle w:val="VersoIngls01Sangria"/>
        <w:rPr>
          <w:sz w:val="16"/>
          <w:szCs w:val="20"/>
        </w:rPr>
      </w:pPr>
      <w:r w:rsidRPr="00DC1A5F">
        <w:rPr>
          <w:sz w:val="16"/>
          <w:szCs w:val="20"/>
        </w:rPr>
        <w:t xml:space="preserve">El quíntuplo basado en el contacto no proviene del ojo, </w:t>
      </w:r>
    </w:p>
    <w:p w14:paraId="77FD723E" w14:textId="77777777" w:rsidR="00597DE2" w:rsidRPr="00DC1A5F" w:rsidRDefault="00597DE2" w:rsidP="00597DE2">
      <w:pPr>
        <w:pStyle w:val="VersoIngls01Sangria"/>
        <w:rPr>
          <w:sz w:val="16"/>
          <w:szCs w:val="20"/>
        </w:rPr>
      </w:pPr>
      <w:r w:rsidRPr="00DC1A5F">
        <w:rPr>
          <w:sz w:val="16"/>
          <w:szCs w:val="20"/>
        </w:rPr>
        <w:t xml:space="preserve">Ni de las cosas vistas, ni de algo que se encuentre en su intermedio; </w:t>
      </w:r>
    </w:p>
    <w:p w14:paraId="51149DF2" w14:textId="77777777" w:rsidR="00597DE2" w:rsidRPr="00DC1A5F" w:rsidRDefault="00597DE2" w:rsidP="00597DE2">
      <w:pPr>
        <w:pStyle w:val="VersoIngls01Sangria"/>
        <w:rPr>
          <w:sz w:val="16"/>
          <w:szCs w:val="20"/>
        </w:rPr>
      </w:pPr>
      <w:r w:rsidRPr="00DC1A5F">
        <w:rPr>
          <w:sz w:val="16"/>
          <w:szCs w:val="20"/>
        </w:rPr>
        <w:t xml:space="preserve">Llega a darse debido a una causa y también a conformarse. </w:t>
      </w:r>
    </w:p>
    <w:p w14:paraId="1EFC3CA2" w14:textId="77777777" w:rsidR="00597DE2" w:rsidRPr="00DC1A5F" w:rsidRDefault="00597DE2" w:rsidP="00597DE2">
      <w:pPr>
        <w:pStyle w:val="VersoIngls01Sangria"/>
        <w:spacing w:after="100"/>
        <w:ind w:left="1418"/>
        <w:rPr>
          <w:sz w:val="16"/>
          <w:szCs w:val="20"/>
        </w:rPr>
      </w:pPr>
      <w:r w:rsidRPr="00DC1A5F">
        <w:rPr>
          <w:sz w:val="16"/>
          <w:szCs w:val="20"/>
        </w:rPr>
        <w:t>Así como el sonido que surgiría al golpear un tambor.</w:t>
      </w:r>
    </w:p>
    <w:p w14:paraId="4DAEE605" w14:textId="77777777" w:rsidR="00597DE2" w:rsidRPr="00DC1A5F" w:rsidRDefault="00597DE2" w:rsidP="00597DE2">
      <w:pPr>
        <w:pStyle w:val="VersoIngls01Sangria"/>
        <w:rPr>
          <w:sz w:val="16"/>
          <w:szCs w:val="20"/>
        </w:rPr>
      </w:pPr>
      <w:r w:rsidRPr="00DC1A5F">
        <w:rPr>
          <w:sz w:val="16"/>
          <w:szCs w:val="20"/>
        </w:rPr>
        <w:t>El quíntuplo basado en el contacto no proviene del oído.</w:t>
      </w:r>
    </w:p>
    <w:p w14:paraId="49BB3F7B" w14:textId="77777777" w:rsidR="00597DE2" w:rsidRPr="00DC1A5F" w:rsidRDefault="00597DE2" w:rsidP="00597DE2">
      <w:pPr>
        <w:pStyle w:val="VersoIngls01Sangria"/>
        <w:rPr>
          <w:sz w:val="16"/>
          <w:szCs w:val="20"/>
        </w:rPr>
      </w:pPr>
      <w:r w:rsidRPr="00DC1A5F">
        <w:rPr>
          <w:sz w:val="16"/>
          <w:szCs w:val="20"/>
        </w:rPr>
        <w:t>Ni siquiera del sonido, o de algo que se encuentre en su intermedio;</w:t>
      </w:r>
    </w:p>
    <w:p w14:paraId="2F7F4094" w14:textId="77777777" w:rsidR="00597DE2" w:rsidRPr="00DC1A5F" w:rsidRDefault="00597DE2" w:rsidP="00597DE2">
      <w:pPr>
        <w:pStyle w:val="VersoIngls01Sangria"/>
        <w:spacing w:after="100"/>
        <w:ind w:left="1418"/>
        <w:rPr>
          <w:sz w:val="16"/>
          <w:szCs w:val="20"/>
        </w:rPr>
      </w:pPr>
      <w:r w:rsidRPr="00DC1A5F">
        <w:rPr>
          <w:sz w:val="16"/>
          <w:szCs w:val="20"/>
        </w:rPr>
        <w:t>Llega a darse debido a una causa …</w:t>
      </w:r>
    </w:p>
    <w:p w14:paraId="3FDD4103" w14:textId="77777777" w:rsidR="00597DE2" w:rsidRPr="00DC1A5F" w:rsidRDefault="00597DE2" w:rsidP="00597DE2">
      <w:pPr>
        <w:pStyle w:val="VersoIngls01Sangria"/>
        <w:rPr>
          <w:sz w:val="16"/>
          <w:szCs w:val="20"/>
        </w:rPr>
      </w:pPr>
      <w:r w:rsidRPr="00DC1A5F">
        <w:rPr>
          <w:sz w:val="16"/>
          <w:szCs w:val="20"/>
        </w:rPr>
        <w:t>El quíntuplo basado en el contacto no proviene de la nariz.</w:t>
      </w:r>
    </w:p>
    <w:p w14:paraId="2613E25D" w14:textId="77777777" w:rsidR="00597DE2" w:rsidRPr="00DC1A5F" w:rsidRDefault="00597DE2" w:rsidP="00597DE2">
      <w:pPr>
        <w:pStyle w:val="VersoIngls01Sangria"/>
        <w:rPr>
          <w:sz w:val="16"/>
          <w:szCs w:val="20"/>
        </w:rPr>
      </w:pPr>
      <w:r w:rsidRPr="00DC1A5F">
        <w:rPr>
          <w:sz w:val="16"/>
          <w:szCs w:val="20"/>
        </w:rPr>
        <w:t>Ni siquiera de los olores, o de algo que se encuentre en su intermedio;</w:t>
      </w:r>
    </w:p>
    <w:p w14:paraId="63DFCE31" w14:textId="77777777" w:rsidR="00597DE2" w:rsidRPr="00DC1A5F" w:rsidRDefault="00597DE2" w:rsidP="00597DE2">
      <w:pPr>
        <w:pStyle w:val="VersoIngls01Sangria"/>
        <w:spacing w:after="100"/>
        <w:ind w:left="1418"/>
        <w:rPr>
          <w:sz w:val="16"/>
          <w:szCs w:val="20"/>
        </w:rPr>
      </w:pPr>
      <w:r w:rsidRPr="00DC1A5F">
        <w:rPr>
          <w:sz w:val="16"/>
          <w:szCs w:val="20"/>
        </w:rPr>
        <w:t>Llega a darse debido a una causa …</w:t>
      </w:r>
    </w:p>
    <w:p w14:paraId="1BF627C9" w14:textId="77777777" w:rsidR="00597DE2" w:rsidRPr="00DC1A5F" w:rsidRDefault="00597DE2" w:rsidP="00597DE2">
      <w:pPr>
        <w:pStyle w:val="VersoIngls01Sangria"/>
        <w:rPr>
          <w:sz w:val="16"/>
          <w:szCs w:val="20"/>
        </w:rPr>
      </w:pPr>
      <w:r w:rsidRPr="00DC1A5F">
        <w:rPr>
          <w:sz w:val="16"/>
          <w:szCs w:val="20"/>
        </w:rPr>
        <w:t>El quíntuplo basado en el contacto no proviene de la lengua,</w:t>
      </w:r>
    </w:p>
    <w:p w14:paraId="4D6118C5" w14:textId="77777777" w:rsidR="00597DE2" w:rsidRPr="00DC1A5F" w:rsidRDefault="00597DE2" w:rsidP="00597DE2">
      <w:pPr>
        <w:pStyle w:val="VersoIngls01Sangria"/>
        <w:rPr>
          <w:sz w:val="16"/>
          <w:szCs w:val="20"/>
        </w:rPr>
      </w:pPr>
      <w:r w:rsidRPr="00DC1A5F">
        <w:rPr>
          <w:sz w:val="16"/>
          <w:szCs w:val="20"/>
        </w:rPr>
        <w:t>Ni siquiera de los gustos, o algo que se encuentre en su intermedio; [596]</w:t>
      </w:r>
    </w:p>
    <w:p w14:paraId="210013BC" w14:textId="77777777" w:rsidR="00597DE2" w:rsidRPr="00DC1A5F" w:rsidRDefault="00597DE2" w:rsidP="00597DE2">
      <w:pPr>
        <w:pStyle w:val="VersoIngls01Sangria"/>
        <w:spacing w:after="100"/>
        <w:ind w:left="1418"/>
        <w:rPr>
          <w:sz w:val="16"/>
          <w:szCs w:val="20"/>
        </w:rPr>
      </w:pPr>
      <w:r w:rsidRPr="00DC1A5F">
        <w:rPr>
          <w:sz w:val="16"/>
          <w:szCs w:val="20"/>
        </w:rPr>
        <w:t>Llega a darse debido a una causa …</w:t>
      </w:r>
    </w:p>
    <w:p w14:paraId="1B01E8CB" w14:textId="77777777" w:rsidR="00597DE2" w:rsidRPr="00DC1A5F" w:rsidRDefault="00597DE2" w:rsidP="00597DE2">
      <w:pPr>
        <w:pStyle w:val="VersoIngls01Sangria"/>
        <w:rPr>
          <w:sz w:val="16"/>
          <w:szCs w:val="20"/>
        </w:rPr>
      </w:pPr>
      <w:r w:rsidRPr="00DC1A5F">
        <w:rPr>
          <w:sz w:val="16"/>
          <w:szCs w:val="20"/>
        </w:rPr>
        <w:t>El quíntuplo basado en el contacto no proviene del cuerpo,</w:t>
      </w:r>
    </w:p>
    <w:p w14:paraId="334C70E4" w14:textId="77777777" w:rsidR="00597DE2" w:rsidRPr="00DC1A5F" w:rsidRDefault="00597DE2" w:rsidP="00597DE2">
      <w:pPr>
        <w:pStyle w:val="VersoIngls01Sangria"/>
        <w:rPr>
          <w:sz w:val="16"/>
          <w:szCs w:val="20"/>
        </w:rPr>
      </w:pPr>
      <w:r w:rsidRPr="00DC1A5F">
        <w:rPr>
          <w:sz w:val="16"/>
          <w:szCs w:val="20"/>
        </w:rPr>
        <w:t xml:space="preserve">Ni siquiera del tacto, o de algo que se encuentre en su intermedio; </w:t>
      </w:r>
    </w:p>
    <w:p w14:paraId="169396B3" w14:textId="77777777" w:rsidR="00597DE2" w:rsidRPr="00DC1A5F" w:rsidRDefault="00597DE2" w:rsidP="00597DE2">
      <w:pPr>
        <w:pStyle w:val="VersoIngls01Sangria"/>
        <w:spacing w:after="100"/>
        <w:ind w:left="1418"/>
        <w:rPr>
          <w:sz w:val="16"/>
          <w:szCs w:val="20"/>
        </w:rPr>
      </w:pPr>
      <w:r w:rsidRPr="00DC1A5F">
        <w:rPr>
          <w:sz w:val="16"/>
          <w:szCs w:val="20"/>
        </w:rPr>
        <w:t>Llega a darse debido a una causa …</w:t>
      </w:r>
    </w:p>
    <w:p w14:paraId="37090986" w14:textId="77777777" w:rsidR="00597DE2" w:rsidRPr="00DC1A5F" w:rsidRDefault="00597DE2" w:rsidP="00597DE2">
      <w:pPr>
        <w:pStyle w:val="VersoIngls01Sangria"/>
        <w:rPr>
          <w:sz w:val="16"/>
          <w:szCs w:val="20"/>
        </w:rPr>
      </w:pPr>
      <w:r w:rsidRPr="00DC1A5F">
        <w:rPr>
          <w:sz w:val="16"/>
          <w:szCs w:val="20"/>
        </w:rPr>
        <w:t xml:space="preserve">La conformación mental no proviene de la base material. </w:t>
      </w:r>
    </w:p>
    <w:p w14:paraId="70BF31DE" w14:textId="77777777" w:rsidR="00597DE2" w:rsidRPr="00DC1A5F" w:rsidRDefault="00597DE2" w:rsidP="00597DE2">
      <w:pPr>
        <w:pStyle w:val="VersoIngls01Sangria"/>
        <w:rPr>
          <w:sz w:val="16"/>
          <w:szCs w:val="20"/>
        </w:rPr>
      </w:pPr>
      <w:r w:rsidRPr="00DC1A5F">
        <w:rPr>
          <w:sz w:val="16"/>
          <w:szCs w:val="20"/>
        </w:rPr>
        <w:t xml:space="preserve">Tampoco surge de la base de los objetos mentales; </w:t>
      </w:r>
    </w:p>
    <w:p w14:paraId="71E909D5" w14:textId="77777777" w:rsidR="00597DE2" w:rsidRPr="00DC1A5F" w:rsidRDefault="00597DE2" w:rsidP="00597DE2">
      <w:pPr>
        <w:pStyle w:val="VersoIngls01Sangria"/>
        <w:rPr>
          <w:sz w:val="16"/>
          <w:szCs w:val="20"/>
        </w:rPr>
      </w:pPr>
      <w:r w:rsidRPr="00DC1A5F">
        <w:rPr>
          <w:sz w:val="16"/>
          <w:szCs w:val="20"/>
        </w:rPr>
        <w:t xml:space="preserve">Llega a darse debido a una causa y también a una forma. </w:t>
      </w:r>
    </w:p>
    <w:p w14:paraId="142B17B5" w14:textId="77777777" w:rsidR="00597DE2" w:rsidRPr="00DC1A5F" w:rsidRDefault="00597DE2" w:rsidP="00597DE2">
      <w:pPr>
        <w:pStyle w:val="VersoIngls01Sangria"/>
        <w:spacing w:after="100"/>
        <w:ind w:left="1418"/>
        <w:rPr>
          <w:sz w:val="16"/>
          <w:szCs w:val="20"/>
        </w:rPr>
      </w:pPr>
      <w:r w:rsidRPr="00DC1A5F">
        <w:rPr>
          <w:sz w:val="16"/>
          <w:szCs w:val="20"/>
        </w:rPr>
        <w:t>Así como el sonido que surge al golpear un tambor.</w:t>
      </w:r>
    </w:p>
    <w:p w14:paraId="543940D0" w14:textId="77777777" w:rsidR="00597DE2" w:rsidRPr="00DC1A5F" w:rsidRDefault="00597DE2" w:rsidP="00597DE2">
      <w:r w:rsidRPr="00DC1A5F">
        <w:t xml:space="preserve">34. </w:t>
      </w:r>
      <w:r w:rsidRPr="00DC1A5F">
        <w:tab/>
        <w:t xml:space="preserve">Además, … la mentalidad no posee un poder eficiente, no puede ocurrir debido a un poder eficiente ni propio. No come, no bebe, no habla, no adopta posturas. Y la materialidad tampoco posee ningún poder eficiente ni propio; no puede ocurrir debido a un poder ni eficiente ni propio; ya que ésta no posee deseos de comer, no posee deseos de beber, no posee deseos de hablar, no posee deseos de adoptar posturas. Por el contrario, es cuando se apoye sobre la materialidad que se producirá mentalidad y es cuando se apoye sobre la mentalidad que se producirá la materialidad. Cuando la mentalidad posea el deseo de comer, el deseo de beber, el deseo de hablar, el deseo de adoptar una </w:t>
      </w:r>
      <w:proofErr w:type="gramStart"/>
      <w:r w:rsidRPr="00DC1A5F">
        <w:t>postura,</w:t>
      </w:r>
      <w:proofErr w:type="gramEnd"/>
      <w:r w:rsidRPr="00DC1A5F">
        <w:t xml:space="preserve"> será la materialidad la que coma, beba, hable y adopte una postura.</w:t>
      </w:r>
    </w:p>
    <w:p w14:paraId="33783F09" w14:textId="77777777" w:rsidR="00597DE2" w:rsidRPr="00DC1A5F" w:rsidRDefault="00597DE2" w:rsidP="00597DE2">
      <w:r w:rsidRPr="00DC1A5F">
        <w:t xml:space="preserve">35. </w:t>
      </w:r>
      <w:r w:rsidRPr="00DC1A5F">
        <w:tab/>
        <w:t>No obstante, con el propósito de explicar este significado se dio como ejemplo este símil: un ciego de nacimiento y un lisiado que no podía caminar quisieron ir a un lugar. El ciego le dijo al lisiado: “Mira, puedo hacer lo que se debe hacer con las piernas, pero no tengo ojos para ver lo que se encuentre accidentado ni lo que esté llano”. El lisiado dijo: “Mira, puedo hacer lo que se debe hacer con los ojos, pero no tengo piernas para ir y venir”. El ciego estuvo encantado e hizo que el lisiado se subiera a su hombro. Sentado en el hombro del ciego, el lisiado lo dirigió así: “A la izquierda, toma la derecha; A la derecha, toma la izquierda”.</w:t>
      </w:r>
    </w:p>
    <w:p w14:paraId="2716FD16" w14:textId="77777777" w:rsidR="00597DE2" w:rsidRPr="00DC1A5F" w:rsidRDefault="00597DE2" w:rsidP="00597DE2">
      <w:pPr>
        <w:pStyle w:val="NormalConSangria"/>
      </w:pPr>
      <w:r w:rsidRPr="00DC1A5F">
        <w:t xml:space="preserve">Al respecto, el ciego no posee ningún poder eficiente para ver, es impotente al respecto; no puede viajar por su propio poder eficiente, por su propia fuerza. Y el lisiado no tiene poder eficiente para caminar; es impotente al respecto; no puede viajar ni ir a ningún lugar mediante un dominio eficiente ni propio, mediante su voluntad propia. No obstante, no existe nada que les impida desplazarse cuando se soporten mutuamente. Así también, la mentalidad no posee </w:t>
      </w:r>
      <w:r w:rsidRPr="00DC1A5F">
        <w:br w:type="page"/>
      </w:r>
    </w:p>
    <w:p w14:paraId="37F7ED0A" w14:textId="77777777" w:rsidR="00597DE2" w:rsidRPr="00DC1A5F" w:rsidRDefault="00597DE2" w:rsidP="00597DE2"/>
    <w:p w14:paraId="3D4D6D61" w14:textId="77777777" w:rsidR="00597DE2" w:rsidRPr="00DC1A5F" w:rsidRDefault="00597DE2" w:rsidP="00597DE2">
      <w:pPr>
        <w:pStyle w:val="Textoindependiente"/>
      </w:pPr>
      <w:r w:rsidRPr="00DC1A5F">
        <w:t>ningún poder eficiente; no surge ni ocurre en tales ni cuales funciones mediante ningún poder eficiente ni propio. Y la materialidad no posee ningún poder eficiente ni propio; no surge ni ocurre en tales ni cuales funciones mediante un poder eficiente ni propio.</w:t>
      </w:r>
    </w:p>
    <w:p w14:paraId="5E69E66C" w14:textId="77777777" w:rsidR="00597DE2" w:rsidRPr="00DC1A5F" w:rsidRDefault="00597DE2" w:rsidP="00597DE2">
      <w:pPr>
        <w:pStyle w:val="NormalConSangria"/>
      </w:pPr>
      <w:r w:rsidRPr="00DC1A5F">
        <w:t>No obstante, no existe nada que los impida de ocurrir cuando se soporten mutuamente.</w:t>
      </w:r>
    </w:p>
    <w:p w14:paraId="1FB9A251" w14:textId="77777777" w:rsidR="00597DE2" w:rsidRPr="00DC1A5F" w:rsidRDefault="00597DE2" w:rsidP="00597DE2">
      <w:pPr>
        <w:pStyle w:val="Textoindependiente"/>
      </w:pPr>
      <w:r w:rsidRPr="00DC1A5F">
        <w:t xml:space="preserve">36. </w:t>
      </w:r>
      <w:r w:rsidRPr="00DC1A5F">
        <w:tab/>
        <w:t>Por eso se afirma al respecto:</w:t>
      </w:r>
    </w:p>
    <w:p w14:paraId="2F94B22D" w14:textId="77777777" w:rsidR="00597DE2" w:rsidRPr="00DC1A5F" w:rsidRDefault="00597DE2" w:rsidP="00597DE2">
      <w:pPr>
        <w:pStyle w:val="VersoIngls01Sangria"/>
        <w:rPr>
          <w:sz w:val="16"/>
          <w:szCs w:val="20"/>
        </w:rPr>
      </w:pPr>
      <w:r w:rsidRPr="00DC1A5F">
        <w:rPr>
          <w:sz w:val="16"/>
          <w:szCs w:val="20"/>
        </w:rPr>
        <w:t>No pueden llegar a darse debido a ninguna fuerza propia,</w:t>
      </w:r>
    </w:p>
    <w:p w14:paraId="76843D63" w14:textId="77777777" w:rsidR="00597DE2" w:rsidRPr="00DC1A5F" w:rsidRDefault="00597DE2" w:rsidP="00597DE2">
      <w:pPr>
        <w:pStyle w:val="VersoIngls01Sangria"/>
        <w:rPr>
          <w:sz w:val="16"/>
          <w:szCs w:val="20"/>
        </w:rPr>
      </w:pPr>
      <w:r w:rsidRPr="00DC1A5F">
        <w:rPr>
          <w:sz w:val="16"/>
          <w:szCs w:val="20"/>
        </w:rPr>
        <w:t>Y sin embargo, se mantienen debido a una fuerza propia;</w:t>
      </w:r>
    </w:p>
    <w:p w14:paraId="4A340563" w14:textId="77777777" w:rsidR="00597DE2" w:rsidRPr="00DC1A5F" w:rsidRDefault="00597DE2" w:rsidP="00597DE2">
      <w:pPr>
        <w:pStyle w:val="VersoIngls01Sangria"/>
        <w:rPr>
          <w:sz w:val="16"/>
          <w:szCs w:val="20"/>
        </w:rPr>
      </w:pPr>
      <w:r w:rsidRPr="00DC1A5F">
        <w:rPr>
          <w:sz w:val="16"/>
          <w:szCs w:val="20"/>
        </w:rPr>
        <w:t>Yaciendo sobre el soporte de otros estados,</w:t>
      </w:r>
    </w:p>
    <w:p w14:paraId="48BF7BB5" w14:textId="77777777" w:rsidR="00597DE2" w:rsidRPr="00DC1A5F" w:rsidRDefault="00597DE2" w:rsidP="00597DE2">
      <w:pPr>
        <w:pStyle w:val="VersoIngls01Sangria"/>
        <w:spacing w:after="100"/>
        <w:ind w:left="1418"/>
        <w:rPr>
          <w:sz w:val="16"/>
          <w:szCs w:val="20"/>
        </w:rPr>
      </w:pPr>
      <w:r w:rsidRPr="00DC1A5F">
        <w:rPr>
          <w:sz w:val="16"/>
          <w:szCs w:val="20"/>
        </w:rPr>
        <w:t>Llegarán a darse débiles en sí mismos y formados; [597]</w:t>
      </w:r>
    </w:p>
    <w:p w14:paraId="74F9B94D" w14:textId="77777777" w:rsidR="00597DE2" w:rsidRPr="00DC1A5F" w:rsidRDefault="00597DE2" w:rsidP="00597DE2">
      <w:pPr>
        <w:pStyle w:val="VersoIngls01Sangria"/>
        <w:rPr>
          <w:sz w:val="16"/>
          <w:szCs w:val="20"/>
        </w:rPr>
      </w:pPr>
      <w:r w:rsidRPr="00DC1A5F">
        <w:rPr>
          <w:sz w:val="16"/>
          <w:szCs w:val="20"/>
        </w:rPr>
        <w:t>Llegarán a darse con los demás como su condición.</w:t>
      </w:r>
    </w:p>
    <w:p w14:paraId="2B46A40D" w14:textId="77777777" w:rsidR="00597DE2" w:rsidRPr="00DC1A5F" w:rsidRDefault="00597DE2" w:rsidP="00597DE2">
      <w:pPr>
        <w:pStyle w:val="VersoIngls01Sangria"/>
        <w:rPr>
          <w:sz w:val="16"/>
          <w:szCs w:val="20"/>
        </w:rPr>
      </w:pPr>
      <w:r w:rsidRPr="00DC1A5F">
        <w:rPr>
          <w:sz w:val="16"/>
          <w:szCs w:val="20"/>
        </w:rPr>
        <w:t xml:space="preserve">Surgirán debido a otros como sus objetos, </w:t>
      </w:r>
    </w:p>
    <w:p w14:paraId="501061E9" w14:textId="77777777" w:rsidR="00597DE2" w:rsidRPr="00DC1A5F" w:rsidRDefault="00597DE2" w:rsidP="00597DE2">
      <w:pPr>
        <w:pStyle w:val="VersoIngls01Sangria"/>
        <w:rPr>
          <w:sz w:val="16"/>
          <w:szCs w:val="20"/>
        </w:rPr>
      </w:pPr>
      <w:r w:rsidRPr="00DC1A5F">
        <w:rPr>
          <w:sz w:val="16"/>
          <w:szCs w:val="20"/>
        </w:rPr>
        <w:t xml:space="preserve">Serán producidos por objetos y condiciones, </w:t>
      </w:r>
    </w:p>
    <w:p w14:paraId="1F8903A9" w14:textId="77777777" w:rsidR="00597DE2" w:rsidRPr="00DC1A5F" w:rsidRDefault="00597DE2" w:rsidP="00597DE2">
      <w:pPr>
        <w:pStyle w:val="VersoIngls01Sangria"/>
        <w:spacing w:after="100"/>
        <w:ind w:left="1418"/>
        <w:rPr>
          <w:sz w:val="16"/>
          <w:szCs w:val="20"/>
        </w:rPr>
      </w:pPr>
      <w:r w:rsidRPr="00DC1A5F">
        <w:rPr>
          <w:sz w:val="16"/>
          <w:szCs w:val="20"/>
        </w:rPr>
        <w:t>Y cada uno por algo distinto de sí mismo.</w:t>
      </w:r>
    </w:p>
    <w:p w14:paraId="665E1FF7" w14:textId="77777777" w:rsidR="00597DE2" w:rsidRPr="00DC1A5F" w:rsidRDefault="00597DE2" w:rsidP="00597DE2">
      <w:pPr>
        <w:pStyle w:val="VersoIngls01Sangria"/>
        <w:rPr>
          <w:sz w:val="16"/>
          <w:szCs w:val="20"/>
        </w:rPr>
      </w:pPr>
      <w:r w:rsidRPr="00DC1A5F">
        <w:rPr>
          <w:sz w:val="16"/>
          <w:szCs w:val="20"/>
        </w:rPr>
        <w:t xml:space="preserve">Y así como los hombres dependerían </w:t>
      </w:r>
    </w:p>
    <w:p w14:paraId="43FD4210" w14:textId="77777777" w:rsidR="00597DE2" w:rsidRPr="00DC1A5F" w:rsidRDefault="00597DE2" w:rsidP="00597DE2">
      <w:pPr>
        <w:pStyle w:val="VersoIngls01Sangria"/>
        <w:rPr>
          <w:sz w:val="16"/>
          <w:szCs w:val="20"/>
        </w:rPr>
      </w:pPr>
      <w:r w:rsidRPr="00DC1A5F">
        <w:rPr>
          <w:sz w:val="16"/>
          <w:szCs w:val="20"/>
        </w:rPr>
        <w:t>De un barco si quisieran atravesar el mar.</w:t>
      </w:r>
    </w:p>
    <w:p w14:paraId="65DC38E6" w14:textId="77777777" w:rsidR="00597DE2" w:rsidRPr="00DC1A5F" w:rsidRDefault="00597DE2" w:rsidP="00597DE2">
      <w:pPr>
        <w:pStyle w:val="VersoIngls01Sangria"/>
        <w:rPr>
          <w:sz w:val="16"/>
          <w:szCs w:val="20"/>
        </w:rPr>
      </w:pPr>
      <w:r w:rsidRPr="00DC1A5F">
        <w:rPr>
          <w:sz w:val="16"/>
          <w:szCs w:val="20"/>
        </w:rPr>
        <w:t>Así también el cuerpo mental requerirá</w:t>
      </w:r>
    </w:p>
    <w:p w14:paraId="4C7FCEA2" w14:textId="77777777" w:rsidR="00597DE2" w:rsidRPr="00DC1A5F" w:rsidRDefault="00597DE2" w:rsidP="00597DE2">
      <w:pPr>
        <w:pStyle w:val="VersoIngls01Sangria"/>
        <w:spacing w:after="100"/>
        <w:ind w:left="1418"/>
        <w:rPr>
          <w:sz w:val="16"/>
          <w:szCs w:val="20"/>
        </w:rPr>
      </w:pPr>
      <w:r w:rsidRPr="00DC1A5F">
        <w:rPr>
          <w:sz w:val="16"/>
          <w:szCs w:val="20"/>
        </w:rPr>
        <w:t>De un cuerpo material para que éste ocurra.</w:t>
      </w:r>
    </w:p>
    <w:p w14:paraId="5E26F916" w14:textId="77777777" w:rsidR="00597DE2" w:rsidRPr="00DC1A5F" w:rsidRDefault="00597DE2" w:rsidP="00597DE2">
      <w:pPr>
        <w:pStyle w:val="VersoIngls01Sangria"/>
        <w:rPr>
          <w:sz w:val="16"/>
          <w:szCs w:val="20"/>
        </w:rPr>
      </w:pPr>
      <w:r w:rsidRPr="00DC1A5F">
        <w:rPr>
          <w:sz w:val="16"/>
          <w:szCs w:val="20"/>
        </w:rPr>
        <w:t xml:space="preserve">Y así como un barco dependería de </w:t>
      </w:r>
    </w:p>
    <w:p w14:paraId="182EB1D6" w14:textId="77777777" w:rsidR="00597DE2" w:rsidRPr="00DC1A5F" w:rsidRDefault="00597DE2" w:rsidP="00597DE2">
      <w:pPr>
        <w:pStyle w:val="VersoIngls01Sangria"/>
        <w:rPr>
          <w:sz w:val="16"/>
          <w:szCs w:val="20"/>
        </w:rPr>
      </w:pPr>
      <w:r w:rsidRPr="00DC1A5F">
        <w:rPr>
          <w:sz w:val="16"/>
          <w:szCs w:val="20"/>
        </w:rPr>
        <w:t xml:space="preserve">Los hombres para atravesar el mar. </w:t>
      </w:r>
    </w:p>
    <w:p w14:paraId="52692759" w14:textId="77777777" w:rsidR="00597DE2" w:rsidRPr="00DC1A5F" w:rsidRDefault="00597DE2" w:rsidP="00597DE2">
      <w:pPr>
        <w:pStyle w:val="VersoIngls01Sangria"/>
        <w:rPr>
          <w:sz w:val="16"/>
          <w:szCs w:val="20"/>
        </w:rPr>
      </w:pPr>
      <w:r w:rsidRPr="00DC1A5F">
        <w:rPr>
          <w:sz w:val="16"/>
          <w:szCs w:val="20"/>
        </w:rPr>
        <w:t xml:space="preserve">Así también el cuerpo material requerirá </w:t>
      </w:r>
    </w:p>
    <w:p w14:paraId="27175B8C" w14:textId="77777777" w:rsidR="00597DE2" w:rsidRPr="00DC1A5F" w:rsidRDefault="00597DE2" w:rsidP="00597DE2">
      <w:pPr>
        <w:pStyle w:val="VersoIngls01Sangria"/>
        <w:spacing w:after="100"/>
        <w:ind w:left="1418"/>
        <w:rPr>
          <w:sz w:val="16"/>
          <w:szCs w:val="20"/>
        </w:rPr>
      </w:pPr>
      <w:r w:rsidRPr="00DC1A5F">
        <w:rPr>
          <w:sz w:val="16"/>
          <w:szCs w:val="20"/>
        </w:rPr>
        <w:t>Del cuerpo mental para que éste ocurra.</w:t>
      </w:r>
    </w:p>
    <w:p w14:paraId="461FD802" w14:textId="77777777" w:rsidR="00597DE2" w:rsidRPr="00DC1A5F" w:rsidRDefault="00597DE2" w:rsidP="00597DE2">
      <w:pPr>
        <w:pStyle w:val="VersoIngls01Sangria"/>
        <w:rPr>
          <w:sz w:val="16"/>
          <w:szCs w:val="20"/>
        </w:rPr>
      </w:pPr>
      <w:r w:rsidRPr="00DC1A5F">
        <w:rPr>
          <w:sz w:val="16"/>
          <w:szCs w:val="20"/>
        </w:rPr>
        <w:t xml:space="preserve">Dependiendo uno del otro </w:t>
      </w:r>
    </w:p>
    <w:p w14:paraId="4EAEAFE0" w14:textId="77777777" w:rsidR="00597DE2" w:rsidRPr="00DC1A5F" w:rsidRDefault="00597DE2" w:rsidP="00597DE2">
      <w:pPr>
        <w:pStyle w:val="VersoIngls01Sangria"/>
        <w:rPr>
          <w:sz w:val="16"/>
          <w:szCs w:val="20"/>
        </w:rPr>
      </w:pPr>
      <w:r w:rsidRPr="00DC1A5F">
        <w:rPr>
          <w:sz w:val="16"/>
          <w:szCs w:val="20"/>
        </w:rPr>
        <w:t xml:space="preserve">El barco y los hombres surcarán los mares. </w:t>
      </w:r>
    </w:p>
    <w:p w14:paraId="1E9DF47A" w14:textId="77777777" w:rsidR="00597DE2" w:rsidRPr="00DC1A5F" w:rsidRDefault="00597DE2" w:rsidP="00597DE2">
      <w:pPr>
        <w:pStyle w:val="VersoIngls01Sangria"/>
        <w:rPr>
          <w:sz w:val="16"/>
          <w:szCs w:val="20"/>
        </w:rPr>
      </w:pPr>
      <w:r w:rsidRPr="00DC1A5F">
        <w:rPr>
          <w:sz w:val="16"/>
          <w:szCs w:val="20"/>
        </w:rPr>
        <w:t>Y así también, la mente y la materia</w:t>
      </w:r>
    </w:p>
    <w:p w14:paraId="2CB8A677" w14:textId="77777777" w:rsidR="00597DE2" w:rsidRPr="00DC1A5F" w:rsidRDefault="00597DE2" w:rsidP="00597DE2">
      <w:pPr>
        <w:pStyle w:val="VersoIngls01Sangria"/>
        <w:spacing w:after="100"/>
        <w:ind w:left="1418"/>
        <w:rPr>
          <w:sz w:val="16"/>
          <w:szCs w:val="20"/>
        </w:rPr>
      </w:pPr>
      <w:r w:rsidRPr="00DC1A5F">
        <w:rPr>
          <w:sz w:val="16"/>
          <w:szCs w:val="20"/>
        </w:rPr>
        <w:t>dependerán la una de la otra.</w:t>
      </w:r>
    </w:p>
    <w:p w14:paraId="42D6FB45" w14:textId="77777777" w:rsidR="00597DE2" w:rsidRPr="00DC1A5F" w:rsidRDefault="00597DE2" w:rsidP="00597DE2">
      <w:pPr>
        <w:pStyle w:val="Textoindependiente"/>
      </w:pPr>
      <w:r w:rsidRPr="00DC1A5F">
        <w:t xml:space="preserve">37. </w:t>
      </w:r>
      <w:r w:rsidRPr="00DC1A5F">
        <w:tab/>
        <w:t>La visión correcta de la mentalidad y la materialidad que, después de definir mentalidad–materialidad a través de estos diversos métodos, se han establecido en el plano de la no–ilusión eliminando la percepción de un ser y debe corresponder a lo que debería entenderse como purificación de la visión. Otros términos al respecto corresponderán a la “definición de la mentalidad–materialidad” y a la “delimitación de las formaciones”.</w:t>
      </w:r>
    </w:p>
    <w:p w14:paraId="4C727050" w14:textId="77777777" w:rsidR="00597DE2" w:rsidRPr="00DC1A5F" w:rsidRDefault="00597DE2" w:rsidP="00597DE2">
      <w:pPr>
        <w:ind w:left="709" w:right="1043"/>
      </w:pPr>
      <w:r w:rsidRPr="00DC1A5F">
        <w:t xml:space="preserve">Éste ha sido el decimoctavo capítulo bajo el nombre de “Purificación de la Visión” del tratado sobre el Desarrollo del Entendimiento del </w:t>
      </w:r>
      <w:r w:rsidRPr="00DC1A5F">
        <w:rPr>
          <w:i/>
          <w:iCs/>
        </w:rPr>
        <w:t>Sendero de la Purificación</w:t>
      </w:r>
      <w:r w:rsidRPr="00DC1A5F">
        <w:t xml:space="preserve"> compuesto para alegría de buenas personas.</w:t>
      </w:r>
    </w:p>
    <w:p w14:paraId="5D4B9CA1" w14:textId="77777777" w:rsidR="00597DE2" w:rsidRPr="00DC1A5F" w:rsidRDefault="00597DE2" w:rsidP="00597DE2"/>
    <w:p w14:paraId="38C4B816" w14:textId="77777777" w:rsidR="00597DE2" w:rsidRPr="00DC1A5F" w:rsidRDefault="00597DE2" w:rsidP="00597DE2">
      <w:pPr>
        <w:tabs>
          <w:tab w:val="clear" w:pos="425"/>
        </w:tabs>
        <w:spacing w:after="160"/>
      </w:pPr>
      <w:r w:rsidRPr="00DC1A5F">
        <w:br w:type="page"/>
      </w:r>
    </w:p>
    <w:p w14:paraId="6DD6F789" w14:textId="77777777" w:rsidR="00597DE2" w:rsidRPr="00DC1A5F" w:rsidRDefault="00597DE2" w:rsidP="00597DE2"/>
    <w:p w14:paraId="6AE330E9" w14:textId="77777777" w:rsidR="00597DE2" w:rsidRPr="00DC1A5F" w:rsidRDefault="00597DE2" w:rsidP="00597DE2"/>
    <w:p w14:paraId="28D85B73" w14:textId="77777777" w:rsidR="00597DE2" w:rsidRPr="00DC1A5F" w:rsidRDefault="00597DE2" w:rsidP="00597DE2">
      <w:pPr>
        <w:pStyle w:val="Ttulo2"/>
        <w:jc w:val="center"/>
      </w:pPr>
      <w:bookmarkStart w:id="7" w:name="_Toc142334414"/>
      <w:r w:rsidRPr="00DC1A5F">
        <w:t>Capítulo XIX</w:t>
      </w:r>
      <w:r w:rsidRPr="00DC1A5F">
        <w:br/>
        <w:t xml:space="preserve">Purificación Mediante la Disipación </w:t>
      </w:r>
      <w:r w:rsidRPr="00DC1A5F">
        <w:br/>
        <w:t xml:space="preserve">de la Duda </w:t>
      </w:r>
      <w:bookmarkEnd w:id="7"/>
    </w:p>
    <w:p w14:paraId="0F39078C" w14:textId="77777777" w:rsidR="00597DE2" w:rsidRPr="00DC1A5F" w:rsidRDefault="00597DE2" w:rsidP="00597DE2"/>
    <w:p w14:paraId="19E34540" w14:textId="77777777" w:rsidR="00597DE2" w:rsidRPr="00DC1A5F" w:rsidRDefault="00597DE2" w:rsidP="00597DE2">
      <w:pPr>
        <w:pStyle w:val="Textoindependiente"/>
        <w:jc w:val="center"/>
      </w:pPr>
      <w:r w:rsidRPr="00DC1A5F">
        <w:rPr>
          <w:b/>
          <w:bCs/>
          <w:i/>
          <w:sz w:val="20"/>
          <w:szCs w:val="24"/>
        </w:rPr>
        <w:t>(</w:t>
      </w:r>
      <w:proofErr w:type="spellStart"/>
      <w:r w:rsidRPr="00DC1A5F">
        <w:rPr>
          <w:b/>
          <w:bCs/>
          <w:i/>
          <w:sz w:val="20"/>
          <w:szCs w:val="24"/>
        </w:rPr>
        <w:t>Kaṅkhāvitaraṇa</w:t>
      </w:r>
      <w:proofErr w:type="spellEnd"/>
      <w:r w:rsidRPr="00DC1A5F">
        <w:rPr>
          <w:b/>
          <w:bCs/>
          <w:i/>
          <w:sz w:val="20"/>
          <w:szCs w:val="24"/>
        </w:rPr>
        <w:t>–</w:t>
      </w:r>
      <w:proofErr w:type="spellStart"/>
      <w:r w:rsidRPr="00DC1A5F">
        <w:rPr>
          <w:b/>
          <w:bCs/>
          <w:i/>
          <w:sz w:val="20"/>
          <w:szCs w:val="24"/>
        </w:rPr>
        <w:t>visuddhi</w:t>
      </w:r>
      <w:proofErr w:type="spellEnd"/>
      <w:r w:rsidRPr="00DC1A5F">
        <w:rPr>
          <w:b/>
          <w:bCs/>
          <w:i/>
          <w:sz w:val="20"/>
          <w:szCs w:val="24"/>
        </w:rPr>
        <w:t>–</w:t>
      </w:r>
      <w:proofErr w:type="spellStart"/>
      <w:r w:rsidRPr="00DC1A5F">
        <w:rPr>
          <w:b/>
          <w:bCs/>
          <w:i/>
          <w:sz w:val="20"/>
          <w:szCs w:val="24"/>
        </w:rPr>
        <w:t>niddesa</w:t>
      </w:r>
      <w:proofErr w:type="spellEnd"/>
      <w:r w:rsidRPr="00DC1A5F">
        <w:rPr>
          <w:b/>
          <w:bCs/>
          <w:i/>
          <w:sz w:val="20"/>
          <w:szCs w:val="24"/>
        </w:rPr>
        <w:t>)</w:t>
      </w:r>
    </w:p>
    <w:p w14:paraId="3EE4755A" w14:textId="77777777" w:rsidR="00597DE2" w:rsidRPr="00DC1A5F" w:rsidRDefault="00597DE2" w:rsidP="00597DE2">
      <w:pPr>
        <w:pStyle w:val="Textoindependiente"/>
      </w:pPr>
      <w:r w:rsidRPr="00DC1A5F">
        <w:t xml:space="preserve">1. </w:t>
      </w:r>
      <w:r w:rsidRPr="00DC1A5F">
        <w:tab/>
        <w:t>[598] El conocimiento establecido mediante la eliminación de la duda sobre las tres divisiones del tiempo, a través del discernimiento de las condiciones de esa misma mentalidad–materialidad, se le denominará “purificación mediante la disipación de la duda”.</w:t>
      </w:r>
    </w:p>
    <w:p w14:paraId="5D76D403" w14:textId="77777777" w:rsidR="00597DE2" w:rsidRPr="00DC1A5F" w:rsidRDefault="00597DE2" w:rsidP="00597DE2">
      <w:pPr>
        <w:pStyle w:val="Ttulo3"/>
        <w:ind w:left="708"/>
      </w:pPr>
      <w:r w:rsidRPr="00DC1A5F">
        <w:t>[Maneras de Discernir la Causa y la Condición]</w:t>
      </w:r>
    </w:p>
    <w:p w14:paraId="32B05A85" w14:textId="77777777" w:rsidR="00597DE2" w:rsidRPr="00DC1A5F" w:rsidRDefault="00597DE2" w:rsidP="00597DE2">
      <w:pPr>
        <w:pStyle w:val="Textoindependiente"/>
      </w:pPr>
      <w:r w:rsidRPr="00DC1A5F">
        <w:t xml:space="preserve">2. </w:t>
      </w:r>
      <w:r w:rsidRPr="00DC1A5F">
        <w:tab/>
        <w:t xml:space="preserve">El </w:t>
      </w:r>
      <w:proofErr w:type="spellStart"/>
      <w:r w:rsidRPr="00DC1A5F">
        <w:rPr>
          <w:i/>
        </w:rPr>
        <w:t>bhikkhu</w:t>
      </w:r>
      <w:proofErr w:type="spellEnd"/>
      <w:r w:rsidRPr="00DC1A5F">
        <w:t xml:space="preserve"> que quiera lograr esto comenzará a escudriñar la causa y la condición de esta mentalidad–materialidad; así como un médico hábil identificaría una enfermedad procurando su origen o como un hombre compasivo al ver a un tierno niño recostado de espaldas en el camino, se preguntaría quiénes serían sus padres.</w:t>
      </w:r>
    </w:p>
    <w:p w14:paraId="328D7B95" w14:textId="77777777" w:rsidR="00597DE2" w:rsidRPr="00DC1A5F" w:rsidRDefault="00597DE2" w:rsidP="00597DE2">
      <w:pPr>
        <w:pStyle w:val="Ttulo3"/>
        <w:ind w:left="708"/>
      </w:pPr>
      <w:r w:rsidRPr="00DC1A5F">
        <w:t>[Ni Creado por un Creador Pero Tampoco sin Ninguna Causa]</w:t>
      </w:r>
    </w:p>
    <w:p w14:paraId="78CABFBE" w14:textId="77777777" w:rsidR="00597DE2" w:rsidRPr="00DC1A5F" w:rsidRDefault="00597DE2" w:rsidP="00597DE2">
      <w:r w:rsidRPr="00DC1A5F">
        <w:t xml:space="preserve">3. </w:t>
      </w:r>
      <w:r w:rsidRPr="00DC1A5F">
        <w:tab/>
        <w:t>Para comenzar, considérese así: “En primer lugar, esta mentalidad–materialidad no se da sin alguna causa, porque si fuera así, le seguiría que, no teniendo causas que la diferencien, sería idéntica en todas partes, siempre y para todos. No posee un Señor Supremo, etc., debido a la inexistencia de ningún Señor Supremo, etc. (Cap. XVI. §85), más allá de la mentalidad–materialidad. Ya que, si la gente argumentase que la mentalidad–materialidad misma correspondiese a su Señor Supremo, etc., entonces le seguiría que su mentalidad–materialidad, a la que llaman Señor Supremo, etc., no tendría causa en sí misma. Como consecuencia, debe existir una causa y una condición para ello. ¿Cuáles son éstas?”</w:t>
      </w:r>
    </w:p>
    <w:p w14:paraId="152ADA35" w14:textId="77777777" w:rsidR="00597DE2" w:rsidRPr="00DC1A5F" w:rsidRDefault="00597DE2" w:rsidP="00597DE2">
      <w:r w:rsidRPr="00DC1A5F">
        <w:t xml:space="preserve">4. </w:t>
      </w:r>
      <w:r w:rsidRPr="00DC1A5F">
        <w:tab/>
        <w:t xml:space="preserve">Habiendo dirigido así su atención hacia la causa y la condición de la mentalidad–materialidad, primero él discernirá sobre la causa y la condición del cuerpo material así: “Cuando este cuerpo nace, no nace dentro de un loto o agua azul, roja o blanca, lirios, etc., o dentro de una tienda de joyas o perlas, etc.; por el contrario, como si fuera un gusano dentro de una carne podrida o de un cadáver podrido, dentro de una masa podrida, dentro de un desagüe, de un pozo negro, etc., nace entre el receptáculo de alimentos no digeridos y el receptáculo de alimentos digeridos, detrás del revestimiento del vientre, frente a la columna vertebral, rodeado de intestinos y entrañas, en un lugar apestoso, repugnante, repulsivo y extremadamente estrecho, siendo él mismo apestoso, repugnante y repulsivo. Cuando un ser nace así, sus causas (causas–raíces) corresponderán a las siguientes 4 cosas: a la ignorancia, al deseo, al apego y al </w:t>
      </w:r>
      <w:proofErr w:type="spellStart"/>
      <w:r w:rsidRPr="00DC1A5F">
        <w:rPr>
          <w:i/>
        </w:rPr>
        <w:t>kamma</w:t>
      </w:r>
      <w:proofErr w:type="spellEnd"/>
      <w:r w:rsidRPr="00DC1A5F">
        <w:t xml:space="preserve">, [599] puesto que serán ellas las que provocarán su nacimiento; y el alimento será su condición, ya que será lo que la consolidará. Así que estas 5 cosas constituirán su causa y su condición. Y de éstas, las tres que comienzan con la ignorancia corresponderán al soporte decisivo para este cuerpo, </w:t>
      </w:r>
    </w:p>
    <w:p w14:paraId="2801D23C" w14:textId="77777777" w:rsidR="00597DE2" w:rsidRPr="00DC1A5F" w:rsidRDefault="00597DE2" w:rsidP="00597DE2">
      <w:pPr>
        <w:tabs>
          <w:tab w:val="clear" w:pos="425"/>
        </w:tabs>
        <w:spacing w:after="160"/>
      </w:pPr>
      <w:r w:rsidRPr="00DC1A5F">
        <w:br w:type="page"/>
      </w:r>
    </w:p>
    <w:p w14:paraId="68EB1D5D" w14:textId="77777777" w:rsidR="00597DE2" w:rsidRPr="00DC1A5F" w:rsidRDefault="00597DE2" w:rsidP="00597DE2">
      <w:pPr>
        <w:pStyle w:val="Textoindependiente"/>
      </w:pPr>
      <w:r w:rsidRPr="00DC1A5F">
        <w:lastRenderedPageBreak/>
        <w:t xml:space="preserve">como la madre lo sería para su bebé; y el </w:t>
      </w:r>
      <w:proofErr w:type="spellStart"/>
      <w:r w:rsidRPr="00DC1A5F">
        <w:rPr>
          <w:i/>
        </w:rPr>
        <w:t>kamma</w:t>
      </w:r>
      <w:proofErr w:type="spellEnd"/>
      <w:r w:rsidRPr="00DC1A5F">
        <w:t xml:space="preserve"> lo engendrará, como el padre lo haría con el hijo; y el nutrimento lo sostendrá, como la nodriza lo haría con un bebé”.</w:t>
      </w:r>
    </w:p>
    <w:p w14:paraId="1ED26343" w14:textId="77777777" w:rsidR="00597DE2" w:rsidRPr="00DC1A5F" w:rsidRDefault="00597DE2" w:rsidP="00597DE2">
      <w:pPr>
        <w:pStyle w:val="Ttulo3"/>
        <w:ind w:left="708"/>
      </w:pPr>
      <w:r w:rsidRPr="00DC1A5F">
        <w:t>[Su Ocurrencia Siempre Se Deberá a Unas Condiciones]</w:t>
      </w:r>
    </w:p>
    <w:p w14:paraId="0836B917" w14:textId="77777777" w:rsidR="00597DE2" w:rsidRPr="00DC1A5F" w:rsidRDefault="00597DE2" w:rsidP="00597DE2">
      <w:r w:rsidRPr="00DC1A5F">
        <w:t xml:space="preserve">5. </w:t>
      </w:r>
      <w:r w:rsidRPr="00DC1A5F">
        <w:tab/>
        <w:t>Después de discernir así las condiciones del cuerpo material, él volverá a discernir el cuerpo mental de acuerdo con el pasaje: “Debido al ojo y al objeto visible se origina la consciencia visual” (S II 72; M I 111). Cuando haya visto que la ocurrencia de la mentalidad–materialidad se debe a unas condiciones, entonces verá que, como ahora, también en el pasado su ocurrencia se ha debido a unas condiciones y en el futuro también su ocurrencia se deberá a unas condiciones.</w:t>
      </w:r>
    </w:p>
    <w:p w14:paraId="3667603A" w14:textId="77777777" w:rsidR="00597DE2" w:rsidRPr="00DC1A5F" w:rsidRDefault="00597DE2" w:rsidP="00597DE2">
      <w:r w:rsidRPr="00DC1A5F">
        <w:t xml:space="preserve">6. </w:t>
      </w:r>
      <w:r w:rsidRPr="00DC1A5F">
        <w:tab/>
        <w:t>Cuando lo vea así, se abandonará toda incertidumbre, es decir, las 5 clases de incertidumbre sobre el pasado expresadas así: “¿Existí en el pasado? ¿No existí en el pasado? ¿Qué fui en el pasado? ¿cómo era en el pasado? ¿Habiendo sido qué, cómo fui en el pasado? (M I 8), y también las 5 clases de incertidumbre sobre el futuro expresadas así: “¿Existiré en el futuro? ¿No existiré en el futuro? ¿Qué seré en el futuro? ¿cómo seré en el futuro? ¿Habiendo sido qué, cómo seré en el futuro? (MI 8); y también las seis clases de incertidumbre sobre el presente expresadas así: “¿Soy yo? ¿No soy? ¿Qué soy? ¿Cómo soy? ¿De dónde habrá provenido este ser? ¿Hacia dónde voy? (MI 8).</w:t>
      </w:r>
    </w:p>
    <w:p w14:paraId="36E365BD" w14:textId="77777777" w:rsidR="00597DE2" w:rsidRPr="00DC1A5F" w:rsidRDefault="00597DE2" w:rsidP="00597DE2">
      <w:pPr>
        <w:pStyle w:val="Ttulo3"/>
        <w:ind w:left="708"/>
      </w:pPr>
      <w:r w:rsidRPr="00DC1A5F">
        <w:t>[Condiciones Generales y Particulares]</w:t>
      </w:r>
    </w:p>
    <w:p w14:paraId="4CC2E73D" w14:textId="77777777" w:rsidR="00597DE2" w:rsidRPr="00DC1A5F" w:rsidRDefault="00597DE2" w:rsidP="00597DE2">
      <w:r w:rsidRPr="00DC1A5F">
        <w:t xml:space="preserve">7. </w:t>
      </w:r>
      <w:r w:rsidRPr="00DC1A5F">
        <w:tab/>
        <w:t xml:space="preserve">Otro verá las condiciones para la mentalidad como una dupla, según lo que sea común a todos y lo que no sea común a todos, y las de la materialidad como cuádruples, según el </w:t>
      </w:r>
      <w:proofErr w:type="spellStart"/>
      <w:r w:rsidRPr="00DC1A5F">
        <w:rPr>
          <w:i/>
        </w:rPr>
        <w:t>kamma</w:t>
      </w:r>
      <w:proofErr w:type="spellEnd"/>
      <w:r w:rsidRPr="00DC1A5F">
        <w:t>, etc.</w:t>
      </w:r>
    </w:p>
    <w:p w14:paraId="6C2DF85B" w14:textId="77777777" w:rsidR="00597DE2" w:rsidRPr="00DC1A5F" w:rsidRDefault="00597DE2" w:rsidP="00597DE2">
      <w:r w:rsidRPr="00DC1A5F">
        <w:t xml:space="preserve">8. </w:t>
      </w:r>
      <w:r w:rsidRPr="00DC1A5F">
        <w:tab/>
        <w:t xml:space="preserve">La condición para la mentalidad será dupla, como lo que sea común a todos y lo que no sea común a todos. Aquí, las 6 puertas que comienzan con el ojo y los 6 objetos que comienzan con los objetos visibles corresponderán a una condición común a todos para la mentalidad porque la ocurrencia de todo tipo de mentalidad clasificada como productiva, etc., se deberá a ello, a una condición. No obstante, la atención, etc., no serán comunes a todos; porque la atención sabia, escuchar el Buen </w:t>
      </w:r>
      <w:r w:rsidRPr="00DC1A5F">
        <w:rPr>
          <w:i/>
        </w:rPr>
        <w:t>Dhamma</w:t>
      </w:r>
      <w:r w:rsidRPr="00DC1A5F">
        <w:t xml:space="preserve">, etc., corresponderá a una condición sólo para las mentalidades productivas, [600] mientras que los tipos opuestos corresponderán a una condición para las improductivas. </w:t>
      </w:r>
      <w:r w:rsidRPr="00DC1A5F">
        <w:rPr>
          <w:iCs/>
        </w:rPr>
        <w:t xml:space="preserve">El </w:t>
      </w:r>
      <w:proofErr w:type="spellStart"/>
      <w:r w:rsidRPr="00DC1A5F">
        <w:rPr>
          <w:i/>
        </w:rPr>
        <w:t>kamma</w:t>
      </w:r>
      <w:proofErr w:type="spellEnd"/>
      <w:r w:rsidRPr="00DC1A5F">
        <w:t>, etc., corresponderá a una condición para la mentalidad resultante; y el continuum vital, etc., corresponderá a una condición para lo funcional.</w:t>
      </w:r>
    </w:p>
    <w:p w14:paraId="3A9DBC29" w14:textId="77777777" w:rsidR="00597DE2" w:rsidRPr="00DC1A5F" w:rsidRDefault="00597DE2" w:rsidP="00597DE2">
      <w:pPr>
        <w:rPr>
          <w:vertAlign w:val="superscript"/>
        </w:rPr>
      </w:pPr>
      <w:r w:rsidRPr="00DC1A5F">
        <w:t xml:space="preserve">9. </w:t>
      </w:r>
      <w:r w:rsidRPr="00DC1A5F">
        <w:tab/>
      </w:r>
      <w:r w:rsidRPr="00DC1A5F">
        <w:rPr>
          <w:iCs/>
        </w:rPr>
        <w:t>El</w:t>
      </w:r>
      <w:r w:rsidRPr="00DC1A5F">
        <w:rPr>
          <w:i/>
        </w:rPr>
        <w:t xml:space="preserve"> </w:t>
      </w:r>
      <w:proofErr w:type="spellStart"/>
      <w:r w:rsidRPr="00DC1A5F">
        <w:rPr>
          <w:i/>
        </w:rPr>
        <w:t>kamma</w:t>
      </w:r>
      <w:proofErr w:type="spellEnd"/>
      <w:r w:rsidRPr="00DC1A5F">
        <w:t xml:space="preserve">, la consciencia, la temperatura y los nutrimentos constituirán esta condición cuádruple para la materialidad que comienza con el </w:t>
      </w:r>
      <w:proofErr w:type="spellStart"/>
      <w:r w:rsidRPr="00DC1A5F">
        <w:rPr>
          <w:i/>
        </w:rPr>
        <w:t>kamma</w:t>
      </w:r>
      <w:proofErr w:type="spellEnd"/>
      <w:r w:rsidRPr="00DC1A5F">
        <w:t xml:space="preserve">. Aquí es sólo cuando haya pasado que el </w:t>
      </w:r>
      <w:proofErr w:type="spellStart"/>
      <w:r w:rsidRPr="00DC1A5F">
        <w:rPr>
          <w:i/>
        </w:rPr>
        <w:t>kamma</w:t>
      </w:r>
      <w:proofErr w:type="spellEnd"/>
      <w:r w:rsidRPr="00DC1A5F">
        <w:t xml:space="preserve"> sea una condición para la materialidad originada por el </w:t>
      </w:r>
      <w:proofErr w:type="spellStart"/>
      <w:r w:rsidRPr="00DC1A5F">
        <w:rPr>
          <w:i/>
        </w:rPr>
        <w:t>kamma</w:t>
      </w:r>
      <w:proofErr w:type="spellEnd"/>
      <w:r w:rsidRPr="00DC1A5F">
        <w:t>; la consciencia corresponderá a una condición, cuando esté surgiendo, para la materialidad originada–en–la–consciencia. La temperatura y el nutrimento corresponderá a unas condiciones en el instante (momento) de su presencia para la materialidad originada por la temperatura y el nutrimento.</w:t>
      </w:r>
      <w:r w:rsidRPr="00DC1A5F">
        <w:rPr>
          <w:vertAlign w:val="superscript"/>
        </w:rPr>
        <w:t>1</w:t>
      </w:r>
    </w:p>
    <w:p w14:paraId="5048498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039E20B" w14:textId="77777777" w:rsidR="00597DE2" w:rsidRPr="00DC1A5F" w:rsidRDefault="00597DE2" w:rsidP="00597DE2">
      <w:pPr>
        <w:pStyle w:val="PiedepginaLegal"/>
        <w:numPr>
          <w:ilvl w:val="0"/>
          <w:numId w:val="8"/>
        </w:numPr>
        <w:tabs>
          <w:tab w:val="clear" w:pos="425"/>
          <w:tab w:val="left" w:pos="284"/>
        </w:tabs>
        <w:ind w:left="284" w:hanging="284"/>
      </w:pPr>
      <w:r w:rsidRPr="00DC1A5F">
        <w:t xml:space="preserve">“Si el efecto surgiese del </w:t>
      </w:r>
      <w:proofErr w:type="spellStart"/>
      <w:r w:rsidRPr="00DC1A5F">
        <w:rPr>
          <w:i/>
        </w:rPr>
        <w:t>kamma</w:t>
      </w:r>
      <w:proofErr w:type="spellEnd"/>
      <w:r w:rsidRPr="00DC1A5F">
        <w:t xml:space="preserve"> presente, el efecto habría de surgir en el mismo momento en que se estuviese acumulando el </w:t>
      </w:r>
      <w:proofErr w:type="spellStart"/>
      <w:r w:rsidRPr="00DC1A5F">
        <w:rPr>
          <w:i/>
        </w:rPr>
        <w:t>kamma</w:t>
      </w:r>
      <w:proofErr w:type="spellEnd"/>
      <w:r w:rsidRPr="00DC1A5F">
        <w:t xml:space="preserve">; y eso no se observa y tampoco es deseable. Ya que en el mundo (es decir, entre los no–budistas) nunca se ha demostrado que el </w:t>
      </w:r>
      <w:proofErr w:type="spellStart"/>
      <w:r w:rsidRPr="00DC1A5F">
        <w:rPr>
          <w:i/>
        </w:rPr>
        <w:t>kamma</w:t>
      </w:r>
      <w:proofErr w:type="spellEnd"/>
      <w:r w:rsidRPr="00DC1A5F">
        <w:t xml:space="preserve"> dé lugar a efectos mientras se esté efectuando una acción; ni existe ningún texto en ese sentido que lo afirme — Pero ¿no es también acaso un hecho de que nunca se habría demostrado que ningún efecto provendría de una causa extinta?</w:t>
      </w:r>
    </w:p>
    <w:p w14:paraId="47A1683C" w14:textId="77777777" w:rsidR="00597DE2" w:rsidRPr="00DC1A5F" w:rsidRDefault="00597DE2" w:rsidP="00597DE2">
      <w:pPr>
        <w:tabs>
          <w:tab w:val="clear" w:pos="425"/>
        </w:tabs>
        <w:spacing w:after="160"/>
      </w:pPr>
      <w:r w:rsidRPr="00DC1A5F">
        <w:br w:type="page"/>
      </w:r>
    </w:p>
    <w:p w14:paraId="16288E08" w14:textId="77777777" w:rsidR="00597DE2" w:rsidRPr="00DC1A5F" w:rsidRDefault="00597DE2" w:rsidP="00597DE2">
      <w:pPr>
        <w:pStyle w:val="NormalConSangria"/>
      </w:pPr>
      <w:r w:rsidRPr="00DC1A5F">
        <w:lastRenderedPageBreak/>
        <w:t>Así es cómo un hombre discernirá sobre las condiciones para la mentalidad–materialidad.</w:t>
      </w:r>
    </w:p>
    <w:p w14:paraId="2CDD8EAA" w14:textId="77777777" w:rsidR="00597DE2" w:rsidRPr="00DC1A5F" w:rsidRDefault="00597DE2" w:rsidP="00597DE2">
      <w:pPr>
        <w:pStyle w:val="Textoindependiente"/>
      </w:pPr>
      <w:r w:rsidRPr="00DC1A5F">
        <w:t xml:space="preserve">10. </w:t>
      </w:r>
      <w:r w:rsidRPr="00DC1A5F">
        <w:tab/>
        <w:t>Cuando él haya observado así que la ocurrencia de la mentalidad–materialidad se debe a sus condiciones, verá también que, como ahora, también en el pasado su ocurrencia se debió a una serie de condiciones y que en el futuro su ocurrencia se deberá también a otras condiciones. Cuando él lo perciba así, su incertidumbre, su duda, sobre los tres períodos de tiempo se abandonará en la forma ya expuesta.</w:t>
      </w:r>
    </w:p>
    <w:p w14:paraId="4AB6EDB8" w14:textId="77777777" w:rsidR="00597DE2" w:rsidRPr="00DC1A5F" w:rsidRDefault="00597DE2" w:rsidP="00597DE2">
      <w:pPr>
        <w:pStyle w:val="Ttulo3"/>
        <w:ind w:left="708"/>
      </w:pPr>
      <w:r w:rsidRPr="00DC1A5F">
        <w:t>[La Originación Dependiente en Orden Inverso]</w:t>
      </w:r>
    </w:p>
    <w:p w14:paraId="66CA7D24" w14:textId="77777777" w:rsidR="00597DE2" w:rsidRPr="00DC1A5F" w:rsidRDefault="00597DE2" w:rsidP="00597DE2">
      <w:pPr>
        <w:pStyle w:val="Textoindependiente"/>
      </w:pPr>
      <w:r w:rsidRPr="00DC1A5F">
        <w:t xml:space="preserve">11. </w:t>
      </w:r>
      <w:r w:rsidRPr="00DC1A5F">
        <w:tab/>
        <w:t>Otro, cuando él haya observado que las formaciones conocidas como mentalidad–materialidad lleguen a la vejez y a aquellas que la vejez haya disuelto; discernirá sobre las condiciones de la mentalidad–materialidad mediante la originación dependiente en orden inverso de la siguiente manera: “A esto se le denomina la vejez–y–muerte de las formaciones; y llegará a darse cuando haya nacimiento y el nacimiento cuando haya devenir, el devenir cuando haya apego, el apego cuando haya deseo, el deseo cuando haya sensación, la sensación cuando haya contacto, el contacto cuando haya una base séxtuple, la base séxtuple cuando haya mentalidad–materialidad, la mentalidad–materialidad cuando haya consciencia, la consciencia cuando haya formaciones, las formaciones cuando haya ignorancia.” Entonces, su incertidumbre lo abandonará en la forma ya indicada.</w:t>
      </w:r>
    </w:p>
    <w:p w14:paraId="012FAAFE" w14:textId="77777777" w:rsidR="00597DE2" w:rsidRPr="00DC1A5F" w:rsidRDefault="00597DE2" w:rsidP="00597DE2">
      <w:pPr>
        <w:pStyle w:val="Ttulo3"/>
        <w:ind w:left="708"/>
      </w:pPr>
      <w:r w:rsidRPr="00DC1A5F">
        <w:t>[Originación Dependiente en Orden Progresivo]</w:t>
      </w:r>
    </w:p>
    <w:p w14:paraId="1CBF8EBE" w14:textId="77777777" w:rsidR="00597DE2" w:rsidRPr="00DC1A5F" w:rsidRDefault="00597DE2" w:rsidP="00597DE2">
      <w:pPr>
        <w:pStyle w:val="Textoindependiente"/>
      </w:pPr>
      <w:r w:rsidRPr="00DC1A5F">
        <w:t xml:space="preserve">12. </w:t>
      </w:r>
      <w:r w:rsidRPr="00DC1A5F">
        <w:tab/>
        <w:t xml:space="preserve">Otro </w:t>
      </w:r>
      <w:proofErr w:type="spellStart"/>
      <w:r w:rsidRPr="00DC1A5F">
        <w:rPr>
          <w:i/>
          <w:iCs/>
        </w:rPr>
        <w:t>bhikkhu</w:t>
      </w:r>
      <w:proofErr w:type="spellEnd"/>
      <w:r w:rsidRPr="00DC1A5F">
        <w:t xml:space="preserve"> discernirá las condiciones de la mentalidad–materialidad por medio de la originación dependiente en orden progresivo como ya ha sido mostrado (XVII.29) en detalle, haciéndolo de la siguiente manera: “Entonces, con la ignorancia como condición se originará las formaciones” (M I 261). Entonces su incertidumbre lo abandonará en la forma ya indicada.</w:t>
      </w:r>
    </w:p>
    <w:p w14:paraId="7BD3D8E7" w14:textId="77777777" w:rsidR="00597DE2" w:rsidRPr="00DC1A5F" w:rsidRDefault="00597DE2" w:rsidP="00597DE2">
      <w:pPr>
        <w:pStyle w:val="Ttulo3"/>
        <w:ind w:left="708"/>
      </w:pPr>
      <w:r w:rsidRPr="00DC1A5F">
        <w:t xml:space="preserve">[El </w:t>
      </w:r>
      <w:proofErr w:type="spellStart"/>
      <w:r w:rsidRPr="00DC1A5F">
        <w:rPr>
          <w:i/>
        </w:rPr>
        <w:t>Kamma</w:t>
      </w:r>
      <w:proofErr w:type="spellEnd"/>
      <w:r w:rsidRPr="00DC1A5F">
        <w:t xml:space="preserve"> y el Resultado </w:t>
      </w:r>
      <w:proofErr w:type="spellStart"/>
      <w:r w:rsidRPr="00DC1A5F">
        <w:rPr>
          <w:i/>
        </w:rPr>
        <w:t>Kammico</w:t>
      </w:r>
      <w:proofErr w:type="spellEnd"/>
      <w:r w:rsidRPr="00DC1A5F">
        <w:t>]</w:t>
      </w:r>
    </w:p>
    <w:p w14:paraId="0934FF02" w14:textId="77777777" w:rsidR="00597DE2" w:rsidRPr="00DC1A5F" w:rsidRDefault="00597DE2" w:rsidP="00597DE2">
      <w:pPr>
        <w:pStyle w:val="Textoindependiente"/>
      </w:pPr>
      <w:r w:rsidRPr="00DC1A5F">
        <w:t xml:space="preserve">13. </w:t>
      </w:r>
      <w:r w:rsidRPr="00DC1A5F">
        <w:tab/>
        <w:t xml:space="preserve">Otro </w:t>
      </w:r>
      <w:proofErr w:type="spellStart"/>
      <w:r w:rsidRPr="00DC1A5F">
        <w:rPr>
          <w:i/>
          <w:iCs/>
        </w:rPr>
        <w:t>bhikkhu</w:t>
      </w:r>
      <w:proofErr w:type="spellEnd"/>
      <w:r w:rsidRPr="00DC1A5F">
        <w:t xml:space="preserve"> discernirá las condiciones de la mentalidad–materialidad por medio del ciclo </w:t>
      </w:r>
      <w:proofErr w:type="spellStart"/>
      <w:r w:rsidRPr="00DC1A5F">
        <w:rPr>
          <w:i/>
        </w:rPr>
        <w:t>kammico</w:t>
      </w:r>
      <w:proofErr w:type="spellEnd"/>
      <w:r w:rsidRPr="00DC1A5F">
        <w:t xml:space="preserve"> y el ciclo del resultado </w:t>
      </w:r>
      <w:proofErr w:type="spellStart"/>
      <w:r w:rsidRPr="00DC1A5F">
        <w:rPr>
          <w:i/>
        </w:rPr>
        <w:t>kammico</w:t>
      </w:r>
      <w:proofErr w:type="spellEnd"/>
      <w:r w:rsidRPr="00DC1A5F">
        <w:rPr>
          <w:i/>
        </w:rPr>
        <w:t xml:space="preserve"> </w:t>
      </w:r>
      <w:r w:rsidRPr="00DC1A5F">
        <w:t>así:</w:t>
      </w:r>
    </w:p>
    <w:p w14:paraId="5127ACF1" w14:textId="77777777" w:rsidR="00597DE2" w:rsidRPr="00DC1A5F" w:rsidRDefault="00597DE2" w:rsidP="00597DE2">
      <w:pPr>
        <w:pStyle w:val="Textoindependiente"/>
      </w:pPr>
      <w:r w:rsidRPr="00DC1A5F">
        <w:t xml:space="preserve">“En el devenir del proceso </w:t>
      </w:r>
      <w:proofErr w:type="spellStart"/>
      <w:r w:rsidRPr="00DC1A5F">
        <w:rPr>
          <w:i/>
        </w:rPr>
        <w:t>kammico</w:t>
      </w:r>
      <w:proofErr w:type="spellEnd"/>
      <w:r w:rsidRPr="00DC1A5F">
        <w:rPr>
          <w:i/>
        </w:rPr>
        <w:t xml:space="preserve"> </w:t>
      </w:r>
      <w:r w:rsidRPr="00DC1A5F">
        <w:t>del pasado existe ilusión, la cual no es más que ignorancia; existe acumulación, que corresponde a las formaciones; existe apego, que no es más que deseo; existe el abarcamiento, que no es más que apego; existe la volición, que no es más que el</w:t>
      </w:r>
    </w:p>
    <w:p w14:paraId="7A2282B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8FEDA7E" w14:textId="77777777" w:rsidR="00597DE2" w:rsidRPr="00DC1A5F" w:rsidRDefault="00597DE2" w:rsidP="00597DE2">
      <w:pPr>
        <w:pStyle w:val="PiedepginaLegal"/>
      </w:pPr>
      <w:r w:rsidRPr="00DC1A5F">
        <w:t>…</w:t>
      </w:r>
    </w:p>
    <w:p w14:paraId="0410C60E" w14:textId="77777777" w:rsidR="00597DE2" w:rsidRPr="00DC1A5F" w:rsidRDefault="00597DE2" w:rsidP="00597DE2">
      <w:pPr>
        <w:pStyle w:val="PiedepginaLegal"/>
      </w:pPr>
      <w:r w:rsidRPr="00DC1A5F">
        <w:tab/>
        <w:t xml:space="preserve">¿O que incluso un gallo cantaría debido a ello? —Ciertamente no se ha demostrado dónde se rompe la conexión de las cosas materiales. No obstante, el símil no se aplica porque aquí existe una conexión de cosas inmateriales. Ya que cuando el efecto surja del </w:t>
      </w:r>
      <w:proofErr w:type="spellStart"/>
      <w:r w:rsidRPr="00DC1A5F">
        <w:rPr>
          <w:i/>
        </w:rPr>
        <w:t>kamma</w:t>
      </w:r>
      <w:proofErr w:type="spellEnd"/>
      <w:r w:rsidRPr="00DC1A5F">
        <w:t xml:space="preserve"> que ya haya pasado, lo hará debido a que se haya cometido un </w:t>
      </w:r>
      <w:proofErr w:type="spellStart"/>
      <w:r w:rsidRPr="00DC1A5F">
        <w:rPr>
          <w:i/>
        </w:rPr>
        <w:t>kamma</w:t>
      </w:r>
      <w:proofErr w:type="spellEnd"/>
      <w:r w:rsidRPr="00DC1A5F">
        <w:t xml:space="preserve"> y debido al almacenamiento. Ya que esto se dice al respecto: “Debido a que se ha cometido y almacenado </w:t>
      </w:r>
      <w:proofErr w:type="spellStart"/>
      <w:r w:rsidRPr="00DC1A5F">
        <w:rPr>
          <w:i/>
        </w:rPr>
        <w:t>kamma</w:t>
      </w:r>
      <w:proofErr w:type="spellEnd"/>
      <w:r w:rsidRPr="00DC1A5F">
        <w:t xml:space="preserve"> productivo de la esfera sensorial, llegará a darse la consciencia del ojo” (</w:t>
      </w:r>
      <w:proofErr w:type="spellStart"/>
      <w:r w:rsidRPr="00DC1A5F">
        <w:t>Dhs</w:t>
      </w:r>
      <w:proofErr w:type="spellEnd"/>
      <w:r w:rsidRPr="00DC1A5F">
        <w:t xml:space="preserve"> §431).</w:t>
      </w:r>
    </w:p>
    <w:p w14:paraId="128AB5FF" w14:textId="77777777" w:rsidR="00597DE2" w:rsidRPr="00DC1A5F" w:rsidRDefault="00597DE2" w:rsidP="00597DE2">
      <w:pPr>
        <w:pStyle w:val="PiedepginaLegal"/>
      </w:pPr>
      <w:r w:rsidRPr="00DC1A5F">
        <w:tab/>
      </w:r>
      <w:r w:rsidRPr="00DC1A5F">
        <w:tab/>
        <w:t xml:space="preserve">“Dado que la consciencia posee un poder eficiente solo en el instante de su surgimiento, con la adquisición de una condición de proximidad, etc., por lo tanto, solo se dará lugar a la materialidad mientras esté surgiendo. No obstante, dado que la materialidad tiene un poder eficiente en el instante de su presencia, con la adquisición de una condición </w:t>
      </w:r>
      <w:proofErr w:type="spellStart"/>
      <w:r w:rsidRPr="00DC1A5F">
        <w:t>posnaciente</w:t>
      </w:r>
      <w:proofErr w:type="spellEnd"/>
      <w:r w:rsidRPr="00DC1A5F">
        <w:t>, etc., se dirá que “la temperatura y el nutrimento serán condiciones en el instante de su presencia para la materialidad originada por la temperatura y el nutrimento”. El significado es que la temperatura y el nutrimento darán origen a la materialidad en el instante de su propia presencia adquiriendo una temperatura exterior y un nutrimento como su condición”. (</w:t>
      </w:r>
      <w:proofErr w:type="spellStart"/>
      <w:r w:rsidRPr="00DC1A5F">
        <w:t>Vism</w:t>
      </w:r>
      <w:proofErr w:type="spellEnd"/>
      <w:r w:rsidRPr="00DC1A5F">
        <w:t>–</w:t>
      </w:r>
      <w:proofErr w:type="spellStart"/>
      <w:r w:rsidRPr="00DC1A5F">
        <w:t>mhṭ</w:t>
      </w:r>
      <w:proofErr w:type="spellEnd"/>
      <w:r w:rsidRPr="00DC1A5F">
        <w:t xml:space="preserve"> 768).</w:t>
      </w:r>
      <w:r w:rsidRPr="00DC1A5F">
        <w:br w:type="page"/>
      </w:r>
    </w:p>
    <w:p w14:paraId="6E749FDF" w14:textId="77777777" w:rsidR="00597DE2" w:rsidRPr="00DC1A5F" w:rsidRDefault="00597DE2" w:rsidP="00597DE2">
      <w:pPr>
        <w:pStyle w:val="Textoindependiente"/>
      </w:pPr>
      <w:r w:rsidRPr="00DC1A5F">
        <w:lastRenderedPageBreak/>
        <w:t xml:space="preserve">devenir; por lo tanto, estas cinco cosas en el devenir del proceso </w:t>
      </w:r>
      <w:proofErr w:type="spellStart"/>
      <w:r w:rsidRPr="00DC1A5F">
        <w:rPr>
          <w:i/>
        </w:rPr>
        <w:t>kammico</w:t>
      </w:r>
      <w:proofErr w:type="spellEnd"/>
      <w:r w:rsidRPr="00DC1A5F">
        <w:rPr>
          <w:i/>
        </w:rPr>
        <w:t xml:space="preserve"> </w:t>
      </w:r>
      <w:r w:rsidRPr="00DC1A5F">
        <w:t>del pasado, corresponderán a las condiciones para el vínculo–de–renacimiento aquí, en el devenir presente.</w:t>
      </w:r>
    </w:p>
    <w:p w14:paraId="0B261C9C" w14:textId="77777777" w:rsidR="00597DE2" w:rsidRPr="00DC1A5F" w:rsidRDefault="00597DE2" w:rsidP="00597DE2">
      <w:pPr>
        <w:pStyle w:val="NormalConSangria"/>
      </w:pPr>
      <w:r w:rsidRPr="00DC1A5F">
        <w:t xml:space="preserve">“Al respecto, en el devenir presente se encontrará el vínculo–de–renacimiento, que corresponderá a un consciencia; se encontrará el descenso a la matriz, que corresponderá a la mentalidad–materialidad; se encontrará la sensibilidad, que corresponderá a la base sensorial; se encontrará lo que haga contacto, que corresponderá al contacto; se encontrará lo que se sienta, que corresponderá a la sensación; por lo tanto, estas 5 cosas aquí, en el presente proceso del devenir de renacimiento, poseerán sus condiciones en el </w:t>
      </w:r>
      <w:proofErr w:type="spellStart"/>
      <w:r w:rsidRPr="00DC1A5F">
        <w:rPr>
          <w:i/>
        </w:rPr>
        <w:t>kamma</w:t>
      </w:r>
      <w:proofErr w:type="spellEnd"/>
      <w:r w:rsidRPr="00DC1A5F">
        <w:t xml:space="preserve"> cometido en el pasado.</w:t>
      </w:r>
    </w:p>
    <w:p w14:paraId="5024440B" w14:textId="77777777" w:rsidR="00597DE2" w:rsidRPr="00DC1A5F" w:rsidRDefault="00597DE2" w:rsidP="00597DE2">
      <w:pPr>
        <w:pStyle w:val="NormalConSangria"/>
      </w:pPr>
      <w:r w:rsidRPr="00DC1A5F">
        <w:t xml:space="preserve">“Al respecto, en el devenir presente con la maduración de las bases se encuentra la ilusión, que corresponderá a la ignorancia; se encuentra la acumulación, que corresponderá a las formaciones; se encontrará también al apego, que corresponderá al deseo; se encontrará el abrazamiento, que corresponderá al apego; se encontrará a la volición, que corresponderá al devenir; por lo tanto, estas 5 cosas aquí, en el presente devenir del proceso </w:t>
      </w:r>
      <w:proofErr w:type="spellStart"/>
      <w:r w:rsidRPr="00DC1A5F">
        <w:rPr>
          <w:i/>
        </w:rPr>
        <w:t>kammico</w:t>
      </w:r>
      <w:proofErr w:type="spellEnd"/>
      <w:r w:rsidRPr="00DC1A5F">
        <w:rPr>
          <w:i/>
        </w:rPr>
        <w:t xml:space="preserve">, </w:t>
      </w:r>
      <w:r w:rsidRPr="00DC1A5F">
        <w:t>serán sus condiciones para el vínculo–de–renacimiento futuro.</w:t>
      </w:r>
    </w:p>
    <w:p w14:paraId="1A533CC1" w14:textId="77777777" w:rsidR="00597DE2" w:rsidRPr="00DC1A5F" w:rsidRDefault="00597DE2" w:rsidP="00597DE2">
      <w:pPr>
        <w:pStyle w:val="NormalConSangria"/>
      </w:pPr>
      <w:r w:rsidRPr="00DC1A5F">
        <w:t xml:space="preserve">“En el futuro existirá un vínculo–de–renacimiento, que corresponderá a una consciencia; se encontrará el descenso a la matriz, que corresponderá a la mentalidad–materialidad; se encontrará la sensibilidad, que corresponderá a la base sensorial; se encontrará lo que haga contacto, que corresponderá al contacto; se encontrará lo que se sienta, que corresponderá a la sensación; por lo tanto, estas 5 cosas en el futuro proceso del devenir de renacimiento tendrán sus condiciones en el </w:t>
      </w:r>
      <w:proofErr w:type="spellStart"/>
      <w:r w:rsidRPr="00DC1A5F">
        <w:rPr>
          <w:i/>
        </w:rPr>
        <w:t>kamma</w:t>
      </w:r>
      <w:proofErr w:type="spellEnd"/>
      <w:r w:rsidRPr="00DC1A5F">
        <w:t xml:space="preserve"> cometido aquí en el presente devenir” (</w:t>
      </w:r>
      <w:proofErr w:type="spellStart"/>
      <w:r w:rsidRPr="00DC1A5F">
        <w:t>Paṭis</w:t>
      </w:r>
      <w:proofErr w:type="spellEnd"/>
      <w:r w:rsidRPr="00DC1A5F">
        <w:t xml:space="preserve"> I 52). [601]</w:t>
      </w:r>
    </w:p>
    <w:p w14:paraId="064E7B07" w14:textId="77777777" w:rsidR="00597DE2" w:rsidRPr="00DC1A5F" w:rsidRDefault="00597DE2" w:rsidP="00597DE2">
      <w:pPr>
        <w:rPr>
          <w:vertAlign w:val="superscript"/>
        </w:rPr>
      </w:pPr>
      <w:r w:rsidRPr="00DC1A5F">
        <w:t xml:space="preserve">14. </w:t>
      </w:r>
      <w:r w:rsidRPr="00DC1A5F">
        <w:tab/>
        <w:t xml:space="preserve">Aquí, el </w:t>
      </w:r>
      <w:proofErr w:type="spellStart"/>
      <w:r w:rsidRPr="00DC1A5F">
        <w:rPr>
          <w:i/>
        </w:rPr>
        <w:t>kamma</w:t>
      </w:r>
      <w:proofErr w:type="spellEnd"/>
      <w:r w:rsidRPr="00DC1A5F">
        <w:t xml:space="preserve"> será de cuatro tipos: para ser experimentado aquí y ahora, para ser experimentado en el renacimiento, para ser experimentado en algún devenir futuro y como un </w:t>
      </w:r>
      <w:proofErr w:type="spellStart"/>
      <w:r w:rsidRPr="00DC1A5F">
        <w:rPr>
          <w:i/>
        </w:rPr>
        <w:t>kamma</w:t>
      </w:r>
      <w:proofErr w:type="spellEnd"/>
      <w:r w:rsidRPr="00DC1A5F">
        <w:t xml:space="preserve"> caduco.</w:t>
      </w:r>
      <w:r w:rsidRPr="00DC1A5F">
        <w:rPr>
          <w:vertAlign w:val="superscript"/>
        </w:rPr>
        <w:t>2</w:t>
      </w:r>
    </w:p>
    <w:p w14:paraId="0BD276E4" w14:textId="77777777" w:rsidR="00597DE2" w:rsidRPr="00DC1A5F" w:rsidRDefault="00597DE2" w:rsidP="00597DE2">
      <w:pPr>
        <w:pStyle w:val="NormalConSangria"/>
      </w:pPr>
      <w:r w:rsidRPr="00DC1A5F">
        <w:t xml:space="preserve">De estos, (i) a la volición, ya sea productiva o no, de la primera de las 7 consciencias de impulsión en una sola serie cognitiva de impulsiones, se le llamará </w:t>
      </w:r>
      <w:proofErr w:type="spellStart"/>
      <w:r w:rsidRPr="00DC1A5F">
        <w:rPr>
          <w:i/>
        </w:rPr>
        <w:t>kamma</w:t>
      </w:r>
      <w:proofErr w:type="spellEnd"/>
      <w:r w:rsidRPr="00DC1A5F">
        <w:t xml:space="preserve"> a ser experimentado </w:t>
      </w:r>
    </w:p>
    <w:p w14:paraId="2427B6E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2A0D752" w14:textId="77777777" w:rsidR="00597DE2" w:rsidRPr="00DC1A5F" w:rsidRDefault="00597DE2" w:rsidP="00597DE2">
      <w:pPr>
        <w:pStyle w:val="PiedepginaLegal"/>
        <w:numPr>
          <w:ilvl w:val="0"/>
          <w:numId w:val="8"/>
        </w:numPr>
        <w:tabs>
          <w:tab w:val="clear" w:pos="425"/>
          <w:tab w:val="left" w:pos="284"/>
        </w:tabs>
        <w:ind w:left="284" w:hanging="284"/>
      </w:pPr>
      <w:r w:rsidRPr="00DC1A5F">
        <w:t xml:space="preserve">“A ser experimentado aquí y ahora” significará un </w:t>
      </w:r>
      <w:proofErr w:type="spellStart"/>
      <w:r w:rsidRPr="00DC1A5F">
        <w:rPr>
          <w:i/>
        </w:rPr>
        <w:t>kamma</w:t>
      </w:r>
      <w:proofErr w:type="spellEnd"/>
      <w:r w:rsidRPr="00DC1A5F">
        <w:t xml:space="preserve"> cuyo fruto será experimentado en esta individualidad presente. “A ser experimentado en el renacimiento” significa un </w:t>
      </w:r>
      <w:proofErr w:type="spellStart"/>
      <w:r w:rsidRPr="00DC1A5F">
        <w:rPr>
          <w:i/>
        </w:rPr>
        <w:t>kamma</w:t>
      </w:r>
      <w:proofErr w:type="spellEnd"/>
      <w:r w:rsidRPr="00DC1A5F">
        <w:t xml:space="preserve"> cuyo fruto será experimentado en el devenir próximo al presente devenir. “A ser experimentado en alguna existencia subsiguiente” significa un </w:t>
      </w:r>
      <w:proofErr w:type="spellStart"/>
      <w:r w:rsidRPr="00DC1A5F">
        <w:rPr>
          <w:i/>
        </w:rPr>
        <w:t>kamma</w:t>
      </w:r>
      <w:proofErr w:type="spellEnd"/>
      <w:r w:rsidRPr="00DC1A5F">
        <w:t xml:space="preserve"> cuyo fruto será experimentado en alguna individualidad sucesiva que no sea aquí y ahora, o contiguamente a ese aquí y ahora. “</w:t>
      </w:r>
      <w:proofErr w:type="spellStart"/>
      <w:r w:rsidRPr="00DC1A5F">
        <w:rPr>
          <w:i/>
        </w:rPr>
        <w:t>Kamma</w:t>
      </w:r>
      <w:proofErr w:type="spellEnd"/>
      <w:r w:rsidRPr="00DC1A5F">
        <w:t xml:space="preserve"> vencido” corresponderá a un </w:t>
      </w:r>
      <w:proofErr w:type="spellStart"/>
      <w:r w:rsidRPr="00DC1A5F">
        <w:rPr>
          <w:i/>
        </w:rPr>
        <w:t>kamma</w:t>
      </w:r>
      <w:proofErr w:type="spellEnd"/>
      <w:r w:rsidRPr="00DC1A5F">
        <w:t xml:space="preserve"> del que se tenga que decir: “ha habido </w:t>
      </w:r>
      <w:proofErr w:type="spellStart"/>
      <w:r w:rsidRPr="00DC1A5F">
        <w:rPr>
          <w:i/>
        </w:rPr>
        <w:t>kamma</w:t>
      </w:r>
      <w:proofErr w:type="spellEnd"/>
      <w:r w:rsidRPr="00DC1A5F">
        <w:t>, pero no ha habido, no hay y no habrá el resultado</w:t>
      </w:r>
      <w:r w:rsidRPr="00DC1A5F">
        <w:rPr>
          <w:i/>
        </w:rPr>
        <w:t xml:space="preserve"> </w:t>
      </w:r>
      <w:r w:rsidRPr="00DC1A5F">
        <w:rPr>
          <w:iCs/>
        </w:rPr>
        <w:t>de ese</w:t>
      </w:r>
      <w:r w:rsidRPr="00DC1A5F">
        <w:rPr>
          <w:i/>
        </w:rPr>
        <w:t xml:space="preserve"> </w:t>
      </w:r>
      <w:proofErr w:type="spellStart"/>
      <w:r w:rsidRPr="00DC1A5F">
        <w:rPr>
          <w:i/>
        </w:rPr>
        <w:t>kamma</w:t>
      </w:r>
      <w:proofErr w:type="spellEnd"/>
      <w:r w:rsidRPr="00DC1A5F">
        <w:t>”.</w:t>
      </w:r>
    </w:p>
    <w:p w14:paraId="0F7133FE" w14:textId="77777777" w:rsidR="00597DE2" w:rsidRPr="00DC1A5F" w:rsidRDefault="00597DE2" w:rsidP="00597DE2">
      <w:pPr>
        <w:pStyle w:val="PiedepginaLegal"/>
      </w:pPr>
      <w:r w:rsidRPr="00DC1A5F">
        <w:tab/>
      </w:r>
      <w:r w:rsidRPr="00DC1A5F">
        <w:tab/>
        <w:t xml:space="preserve">“La volición del primer impulso, que tenga el poder eficiente al no ser impedida por la oposición y al haber adquirido la distinción de una condición, y que definitivamente haya ocurrido como una formación previa del </w:t>
      </w:r>
      <w:proofErr w:type="spellStart"/>
      <w:r w:rsidRPr="00DC1A5F">
        <w:rPr>
          <w:i/>
        </w:rPr>
        <w:t>kamma</w:t>
      </w:r>
      <w:proofErr w:type="spellEnd"/>
      <w:r w:rsidRPr="00DC1A5F">
        <w:t xml:space="preserve"> del tipo apropiado, dando su fruto en esta misma individualidad, se le denominará ‘</w:t>
      </w:r>
      <w:r w:rsidRPr="00DC1A5F">
        <w:rPr>
          <w:i/>
          <w:iCs/>
        </w:rPr>
        <w:t>a ser experimentado aquí y ahora’</w:t>
      </w:r>
      <w:r w:rsidRPr="00DC1A5F">
        <w:t xml:space="preserve">. Ya que mientras que la volición del primer impulso, siendo efectiva en la forma indicada, será útil para lo que se encuentre asociado a sus cualidades especiales en la continuidad del impulso, sin embargo, debido a que ejercerá poco poder sobre los aspectos y porque tendrá poco resultado debido a la falta de repetición, no será, como los otros 2 tipos, el </w:t>
      </w:r>
      <w:proofErr w:type="spellStart"/>
      <w:r w:rsidRPr="00DC1A5F">
        <w:rPr>
          <w:i/>
        </w:rPr>
        <w:t>kamma</w:t>
      </w:r>
      <w:proofErr w:type="spellEnd"/>
      <w:r w:rsidRPr="00DC1A5F">
        <w:t xml:space="preserve"> que mire más allá de la continuidad que ocurra y busque obtener una oportunidad, dará su fruto aquí sólo como mero resultado durante el curso del devenir, como una simple flor. ‘</w:t>
      </w:r>
      <w:r w:rsidRPr="00DC1A5F">
        <w:rPr>
          <w:i/>
          <w:iCs/>
        </w:rPr>
        <w:t>Pero si no pudiese hacerlo’</w:t>
      </w:r>
      <w:r w:rsidRPr="00DC1A5F">
        <w:t xml:space="preserve">: la entrega del resultado del </w:t>
      </w:r>
      <w:proofErr w:type="spellStart"/>
      <w:r w:rsidRPr="00DC1A5F">
        <w:rPr>
          <w:i/>
        </w:rPr>
        <w:t>kamma</w:t>
      </w:r>
      <w:proofErr w:type="spellEnd"/>
      <w:r w:rsidRPr="00DC1A5F">
        <w:t xml:space="preserve"> se producirá solo a través de la debida concurrencia de las condiciones que </w:t>
      </w:r>
      <w:proofErr w:type="gramStart"/>
      <w:r w:rsidRPr="00DC1A5F">
        <w:t>consistan de</w:t>
      </w:r>
      <w:proofErr w:type="gramEnd"/>
      <w:r w:rsidRPr="00DC1A5F">
        <w:t xml:space="preserve"> elementos esenciales (adecuados) del devenir, medios, etc., de lo contrario, será incapaz de dar resultado en esa individualidad. ‘</w:t>
      </w:r>
      <w:r w:rsidRPr="00DC1A5F">
        <w:rPr>
          <w:i/>
          <w:iCs/>
        </w:rPr>
        <w:t>Que cumpla su propósito’</w:t>
      </w:r>
      <w:r w:rsidRPr="00DC1A5F">
        <w:t>: que cumpla su propósito consistente de dar, etc., y de matar, etc. Ya que el séptimo impulso al que esto se refiere corresponderá al impulso final de la serie y, cuando haya adquirido distinción en la forma ya declarada y haya adquirido el servicio de la repetición mediante los impulsos anteriores, dará su resultado en la próxima ipseidad y será designado ‘a ser experimentado en el renacimiento’” (</w:t>
      </w:r>
      <w:proofErr w:type="spellStart"/>
      <w:r w:rsidRPr="00DC1A5F">
        <w:t>Vism</w:t>
      </w:r>
      <w:proofErr w:type="spellEnd"/>
      <w:r w:rsidRPr="00DC1A5F">
        <w:t>–</w:t>
      </w:r>
      <w:proofErr w:type="spellStart"/>
      <w:r w:rsidRPr="00DC1A5F">
        <w:t>mhṭ</w:t>
      </w:r>
      <w:proofErr w:type="spellEnd"/>
      <w:r w:rsidRPr="00DC1A5F">
        <w:t xml:space="preserve"> 769).</w:t>
      </w:r>
      <w:r w:rsidRPr="00DC1A5F">
        <w:br w:type="page"/>
      </w:r>
    </w:p>
    <w:p w14:paraId="04E44A87" w14:textId="77777777" w:rsidR="00597DE2" w:rsidRPr="00DC1A5F" w:rsidRDefault="00597DE2" w:rsidP="00597DE2">
      <w:pPr>
        <w:pStyle w:val="Textoindependiente"/>
      </w:pPr>
      <w:r w:rsidRPr="00DC1A5F">
        <w:lastRenderedPageBreak/>
        <w:t>aquí y ahora: dará su resultado en esta misma individualidad. No obstante, si no puede hacerlo, se le designará como (</w:t>
      </w:r>
      <w:proofErr w:type="spellStart"/>
      <w:r w:rsidRPr="00DC1A5F">
        <w:t>iv</w:t>
      </w:r>
      <w:proofErr w:type="spellEnd"/>
      <w:r w:rsidRPr="00DC1A5F">
        <w:t xml:space="preserve">) </w:t>
      </w:r>
      <w:proofErr w:type="spellStart"/>
      <w:r w:rsidRPr="00DC1A5F">
        <w:rPr>
          <w:i/>
        </w:rPr>
        <w:t>kamma</w:t>
      </w:r>
      <w:proofErr w:type="spellEnd"/>
      <w:r w:rsidRPr="00DC1A5F">
        <w:t xml:space="preserve"> caduco (</w:t>
      </w:r>
      <w:proofErr w:type="spellStart"/>
      <w:r w:rsidRPr="00DC1A5F">
        <w:rPr>
          <w:i/>
          <w:iCs/>
        </w:rPr>
        <w:t>ahosi</w:t>
      </w:r>
      <w:proofErr w:type="spellEnd"/>
      <w:r w:rsidRPr="00DC1A5F">
        <w:t>–</w:t>
      </w:r>
      <w:proofErr w:type="spellStart"/>
      <w:r w:rsidRPr="00DC1A5F">
        <w:rPr>
          <w:i/>
        </w:rPr>
        <w:t>kamma</w:t>
      </w:r>
      <w:proofErr w:type="spellEnd"/>
      <w:r w:rsidRPr="00DC1A5F">
        <w:t>), de acuerdo con la tríada descrita así: “Ha habido (</w:t>
      </w:r>
      <w:proofErr w:type="spellStart"/>
      <w:r w:rsidRPr="00DC1A5F">
        <w:rPr>
          <w:i/>
          <w:iCs/>
        </w:rPr>
        <w:t>ahosi</w:t>
      </w:r>
      <w:proofErr w:type="spellEnd"/>
      <w:r w:rsidRPr="00DC1A5F">
        <w:t xml:space="preserve">) </w:t>
      </w:r>
      <w:proofErr w:type="spellStart"/>
      <w:r w:rsidRPr="00DC1A5F">
        <w:rPr>
          <w:i/>
        </w:rPr>
        <w:t>kamma</w:t>
      </w:r>
      <w:proofErr w:type="spellEnd"/>
      <w:r w:rsidRPr="00DC1A5F">
        <w:t>, no ha habido resultado</w:t>
      </w:r>
      <w:r w:rsidRPr="00DC1A5F">
        <w:rPr>
          <w:i/>
        </w:rPr>
        <w:t xml:space="preserve"> </w:t>
      </w:r>
      <w:proofErr w:type="spellStart"/>
      <w:r w:rsidRPr="00DC1A5F">
        <w:rPr>
          <w:i/>
        </w:rPr>
        <w:t>kammico</w:t>
      </w:r>
      <w:proofErr w:type="spellEnd"/>
      <w:r w:rsidRPr="00DC1A5F">
        <w:t>, no habrá resultado</w:t>
      </w:r>
      <w:r w:rsidRPr="00DC1A5F">
        <w:rPr>
          <w:i/>
        </w:rPr>
        <w:t xml:space="preserve"> </w:t>
      </w:r>
      <w:proofErr w:type="spellStart"/>
      <w:r w:rsidRPr="00DC1A5F">
        <w:rPr>
          <w:i/>
        </w:rPr>
        <w:t>kammico</w:t>
      </w:r>
      <w:proofErr w:type="spellEnd"/>
      <w:r w:rsidRPr="00DC1A5F">
        <w:t xml:space="preserve">” (ver </w:t>
      </w:r>
      <w:proofErr w:type="spellStart"/>
      <w:r w:rsidRPr="00DC1A5F">
        <w:rPr>
          <w:i/>
          <w:iCs/>
        </w:rPr>
        <w:t>Paṭis</w:t>
      </w:r>
      <w:proofErr w:type="spellEnd"/>
      <w:r w:rsidRPr="00DC1A5F">
        <w:t xml:space="preserve"> II 78). (</w:t>
      </w:r>
      <w:proofErr w:type="spellStart"/>
      <w:r w:rsidRPr="00DC1A5F">
        <w:t>ii</w:t>
      </w:r>
      <w:proofErr w:type="spellEnd"/>
      <w:r w:rsidRPr="00DC1A5F">
        <w:t xml:space="preserve">) A la volición del séptimo impulso que logre su propósito se le llamará </w:t>
      </w:r>
      <w:proofErr w:type="spellStart"/>
      <w:r w:rsidRPr="00DC1A5F">
        <w:rPr>
          <w:i/>
        </w:rPr>
        <w:t>kamma</w:t>
      </w:r>
      <w:proofErr w:type="spellEnd"/>
      <w:r w:rsidRPr="00DC1A5F">
        <w:t xml:space="preserve"> a ser experimentado en el renacimiento: dará su resultado en la próxima individualidad. Si no pudiese hacerlo, se le llamará (</w:t>
      </w:r>
      <w:proofErr w:type="spellStart"/>
      <w:r w:rsidRPr="00DC1A5F">
        <w:t>iv</w:t>
      </w:r>
      <w:proofErr w:type="spellEnd"/>
      <w:r w:rsidRPr="00DC1A5F">
        <w:t xml:space="preserve">) </w:t>
      </w:r>
      <w:proofErr w:type="spellStart"/>
      <w:r w:rsidRPr="00DC1A5F">
        <w:rPr>
          <w:i/>
        </w:rPr>
        <w:t>kamma</w:t>
      </w:r>
      <w:proofErr w:type="spellEnd"/>
      <w:r w:rsidRPr="00DC1A5F">
        <w:t xml:space="preserve"> </w:t>
      </w:r>
      <w:r w:rsidRPr="00DC1A5F">
        <w:rPr>
          <w:i/>
          <w:iCs/>
        </w:rPr>
        <w:t>caduco</w:t>
      </w:r>
      <w:r w:rsidRPr="00DC1A5F">
        <w:t xml:space="preserve"> en la forma ya descrita. (</w:t>
      </w:r>
      <w:proofErr w:type="spellStart"/>
      <w:r w:rsidRPr="00DC1A5F">
        <w:t>iii</w:t>
      </w:r>
      <w:proofErr w:type="spellEnd"/>
      <w:r w:rsidRPr="00DC1A5F">
        <w:t xml:space="preserve">) A la volición de los 5 impulsos entre estos dos se le llamará </w:t>
      </w:r>
      <w:proofErr w:type="spellStart"/>
      <w:r w:rsidRPr="00DC1A5F">
        <w:rPr>
          <w:i/>
        </w:rPr>
        <w:t>kamma</w:t>
      </w:r>
      <w:proofErr w:type="spellEnd"/>
      <w:r w:rsidRPr="00DC1A5F">
        <w:t xml:space="preserve"> </w:t>
      </w:r>
      <w:r w:rsidRPr="00DC1A5F">
        <w:rPr>
          <w:i/>
          <w:iCs/>
        </w:rPr>
        <w:t>a ser experimentado en algún devenir futuro</w:t>
      </w:r>
      <w:r w:rsidRPr="00DC1A5F">
        <w:t xml:space="preserve">: dará su resultado en el futuro cuando encuentre la oportunidad y por mucho que continúe el ciclo de renacimientos, nunca se convertirá en un </w:t>
      </w:r>
      <w:proofErr w:type="spellStart"/>
      <w:r w:rsidRPr="00DC1A5F">
        <w:rPr>
          <w:i/>
        </w:rPr>
        <w:t>kamma</w:t>
      </w:r>
      <w:proofErr w:type="spellEnd"/>
      <w:r w:rsidRPr="00DC1A5F">
        <w:t xml:space="preserve"> caduco.</w:t>
      </w:r>
    </w:p>
    <w:p w14:paraId="450BD9CF" w14:textId="77777777" w:rsidR="00597DE2" w:rsidRPr="00DC1A5F" w:rsidRDefault="00597DE2" w:rsidP="00597DE2">
      <w:pPr>
        <w:rPr>
          <w:vertAlign w:val="superscript"/>
        </w:rPr>
      </w:pPr>
      <w:r w:rsidRPr="00DC1A5F">
        <w:t xml:space="preserve">15. </w:t>
      </w:r>
      <w:r w:rsidRPr="00DC1A5F">
        <w:tab/>
        <w:t xml:space="preserve">Otra clasificación cuádruple del </w:t>
      </w:r>
      <w:proofErr w:type="spellStart"/>
      <w:r w:rsidRPr="00DC1A5F">
        <w:rPr>
          <w:i/>
        </w:rPr>
        <w:t>kamma</w:t>
      </w:r>
      <w:proofErr w:type="spellEnd"/>
      <w:r w:rsidRPr="00DC1A5F">
        <w:t xml:space="preserve"> es la siguiente: pesado, habitual, en el umbral de la muerte y </w:t>
      </w:r>
      <w:proofErr w:type="spellStart"/>
      <w:r w:rsidRPr="00DC1A5F">
        <w:rPr>
          <w:i/>
        </w:rPr>
        <w:t>kamma</w:t>
      </w:r>
      <w:proofErr w:type="spellEnd"/>
      <w:r w:rsidRPr="00DC1A5F">
        <w:t xml:space="preserve"> almacenado a ser cometido.</w:t>
      </w:r>
      <w:r w:rsidRPr="00DC1A5F">
        <w:rPr>
          <w:vertAlign w:val="superscript"/>
        </w:rPr>
        <w:t>3</w:t>
      </w:r>
    </w:p>
    <w:p w14:paraId="72AFBFF3" w14:textId="77777777" w:rsidR="00597DE2" w:rsidRPr="00DC1A5F" w:rsidRDefault="00597DE2" w:rsidP="00597DE2">
      <w:pPr>
        <w:pStyle w:val="NormalConSangria"/>
      </w:pPr>
      <w:r w:rsidRPr="00DC1A5F">
        <w:t xml:space="preserve">Aquí, (v) cuando exista un </w:t>
      </w:r>
      <w:proofErr w:type="spellStart"/>
      <w:r w:rsidRPr="00DC1A5F">
        <w:rPr>
          <w:i/>
        </w:rPr>
        <w:t>kamma</w:t>
      </w:r>
      <w:proofErr w:type="spellEnd"/>
      <w:r w:rsidRPr="00DC1A5F">
        <w:t xml:space="preserve"> pesado y no pesado, el </w:t>
      </w:r>
      <w:r w:rsidRPr="00DC1A5F">
        <w:rPr>
          <w:i/>
          <w:iCs/>
        </w:rPr>
        <w:t>más pesado</w:t>
      </w:r>
      <w:r w:rsidRPr="00DC1A5F">
        <w:t xml:space="preserve">, ya sea productivo o improductivo, ya sea el </w:t>
      </w:r>
      <w:proofErr w:type="spellStart"/>
      <w:r w:rsidRPr="00DC1A5F">
        <w:rPr>
          <w:i/>
        </w:rPr>
        <w:t>kamma</w:t>
      </w:r>
      <w:proofErr w:type="spellEnd"/>
      <w:r w:rsidRPr="00DC1A5F">
        <w:t xml:space="preserve"> consistente de un matricidio o el </w:t>
      </w:r>
      <w:proofErr w:type="spellStart"/>
      <w:r w:rsidRPr="00DC1A5F">
        <w:rPr>
          <w:i/>
        </w:rPr>
        <w:t>kamma</w:t>
      </w:r>
      <w:proofErr w:type="spellEnd"/>
      <w:r w:rsidRPr="00DC1A5F">
        <w:t xml:space="preserve"> de las esferas excelsas, tendrá prioridad en la maduración. (vi) Del mismo modo, cuando exista un </w:t>
      </w:r>
      <w:proofErr w:type="spellStart"/>
      <w:r w:rsidRPr="00DC1A5F">
        <w:rPr>
          <w:i/>
        </w:rPr>
        <w:t>kamma</w:t>
      </w:r>
      <w:proofErr w:type="spellEnd"/>
      <w:r w:rsidRPr="00DC1A5F">
        <w:t xml:space="preserve"> habitual y no habitual, </w:t>
      </w:r>
      <w:r w:rsidRPr="00DC1A5F">
        <w:rPr>
          <w:i/>
          <w:iCs/>
        </w:rPr>
        <w:t>el más habitual</w:t>
      </w:r>
      <w:r w:rsidRPr="00DC1A5F">
        <w:t>, ya sea consistente de una buena o mala conducta, tendrá prioridad en la maduración. (</w:t>
      </w:r>
      <w:proofErr w:type="spellStart"/>
      <w:r w:rsidRPr="00DC1A5F">
        <w:t>vii</w:t>
      </w:r>
      <w:proofErr w:type="spellEnd"/>
      <w:r w:rsidRPr="00DC1A5F">
        <w:t xml:space="preserve">) El </w:t>
      </w:r>
      <w:proofErr w:type="spellStart"/>
      <w:r w:rsidRPr="00DC1A5F">
        <w:rPr>
          <w:i/>
        </w:rPr>
        <w:t>kamma</w:t>
      </w:r>
      <w:proofErr w:type="spellEnd"/>
      <w:r w:rsidRPr="00DC1A5F">
        <w:t xml:space="preserve"> </w:t>
      </w:r>
      <w:r w:rsidRPr="00DC1A5F">
        <w:rPr>
          <w:i/>
          <w:iCs/>
        </w:rPr>
        <w:t>del umbral de la muerte</w:t>
      </w:r>
      <w:r w:rsidRPr="00DC1A5F">
        <w:t xml:space="preserve"> es aquel que se recordará en el momento de la muerte; ya que cuando un hombre cercano a la muerte pueda recordar un </w:t>
      </w:r>
      <w:proofErr w:type="spellStart"/>
      <w:r w:rsidRPr="00DC1A5F">
        <w:rPr>
          <w:i/>
        </w:rPr>
        <w:t>kamma</w:t>
      </w:r>
      <w:proofErr w:type="spellEnd"/>
      <w:r w:rsidRPr="00DC1A5F">
        <w:t xml:space="preserve">, renacerá </w:t>
      </w:r>
      <w:proofErr w:type="gramStart"/>
      <w:r w:rsidRPr="00DC1A5F">
        <w:t>de acuerdo a</w:t>
      </w:r>
      <w:proofErr w:type="gramEnd"/>
      <w:r w:rsidRPr="00DC1A5F">
        <w:t xml:space="preserve"> él. (</w:t>
      </w:r>
      <w:proofErr w:type="spellStart"/>
      <w:r w:rsidRPr="00DC1A5F">
        <w:t>viii</w:t>
      </w:r>
      <w:proofErr w:type="spellEnd"/>
      <w:r w:rsidRPr="00DC1A5F">
        <w:t xml:space="preserve">) Al </w:t>
      </w:r>
      <w:proofErr w:type="spellStart"/>
      <w:r w:rsidRPr="00DC1A5F">
        <w:rPr>
          <w:i/>
        </w:rPr>
        <w:t>kamma</w:t>
      </w:r>
      <w:proofErr w:type="spellEnd"/>
      <w:r w:rsidRPr="00DC1A5F">
        <w:t xml:space="preserve"> no incluido en los tres tipos anteriores que se haya repetido con frecuencia se le llamará </w:t>
      </w:r>
      <w:proofErr w:type="spellStart"/>
      <w:r w:rsidRPr="00DC1A5F">
        <w:rPr>
          <w:i/>
        </w:rPr>
        <w:t>kamma</w:t>
      </w:r>
      <w:proofErr w:type="spellEnd"/>
      <w:r w:rsidRPr="00DC1A5F">
        <w:t xml:space="preserve"> </w:t>
      </w:r>
      <w:r w:rsidRPr="00DC1A5F">
        <w:rPr>
          <w:i/>
          <w:iCs/>
        </w:rPr>
        <w:t>almacenado</w:t>
      </w:r>
      <w:r w:rsidRPr="00DC1A5F">
        <w:t xml:space="preserve"> </w:t>
      </w:r>
      <w:r w:rsidRPr="00DC1A5F">
        <w:rPr>
          <w:i/>
          <w:iCs/>
        </w:rPr>
        <w:t>a ser cometido</w:t>
      </w:r>
      <w:r w:rsidRPr="00DC1A5F">
        <w:t xml:space="preserve">. Esto provocará un vínculo–de–renacimiento si fallasen los otros tipos de </w:t>
      </w:r>
      <w:proofErr w:type="spellStart"/>
      <w:r w:rsidRPr="00DC1A5F">
        <w:rPr>
          <w:i/>
          <w:iCs/>
        </w:rPr>
        <w:t>kamma</w:t>
      </w:r>
      <w:proofErr w:type="spellEnd"/>
      <w:r w:rsidRPr="00DC1A5F">
        <w:t>.</w:t>
      </w:r>
    </w:p>
    <w:p w14:paraId="5B63C0BE" w14:textId="77777777" w:rsidR="00597DE2" w:rsidRPr="00DC1A5F" w:rsidRDefault="00597DE2" w:rsidP="00597DE2">
      <w:pPr>
        <w:rPr>
          <w:vertAlign w:val="superscript"/>
        </w:rPr>
      </w:pPr>
      <w:r w:rsidRPr="00DC1A5F">
        <w:t xml:space="preserve">16. </w:t>
      </w:r>
      <w:r w:rsidRPr="00DC1A5F">
        <w:tab/>
        <w:t xml:space="preserve">Otra clasificación cuádruple del </w:t>
      </w:r>
      <w:proofErr w:type="spellStart"/>
      <w:r w:rsidRPr="00DC1A5F">
        <w:rPr>
          <w:i/>
        </w:rPr>
        <w:t>kamma</w:t>
      </w:r>
      <w:proofErr w:type="spellEnd"/>
      <w:r w:rsidRPr="00DC1A5F">
        <w:t xml:space="preserve"> es la siguiente: productiva, consolidante, frustrante y suplantante.</w:t>
      </w:r>
      <w:r w:rsidRPr="00DC1A5F">
        <w:rPr>
          <w:vertAlign w:val="superscript"/>
        </w:rPr>
        <w:t>4</w:t>
      </w:r>
    </w:p>
    <w:p w14:paraId="1CE60F6B"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0EA3FE8" w14:textId="77777777" w:rsidR="00597DE2" w:rsidRPr="00DC1A5F" w:rsidRDefault="00597DE2" w:rsidP="00597DE2">
      <w:pPr>
        <w:pStyle w:val="PiedepginaLegal"/>
        <w:numPr>
          <w:ilvl w:val="0"/>
          <w:numId w:val="8"/>
        </w:numPr>
        <w:tabs>
          <w:tab w:val="clear" w:pos="425"/>
          <w:tab w:val="left" w:pos="284"/>
        </w:tabs>
        <w:ind w:left="284" w:hanging="284"/>
      </w:pPr>
      <w:r w:rsidRPr="00DC1A5F">
        <w:t xml:space="preserve">“El </w:t>
      </w:r>
      <w:proofErr w:type="spellStart"/>
      <w:r w:rsidRPr="00DC1A5F">
        <w:rPr>
          <w:i/>
        </w:rPr>
        <w:t>kamma</w:t>
      </w:r>
      <w:proofErr w:type="spellEnd"/>
      <w:r w:rsidRPr="00DC1A5F">
        <w:t xml:space="preserve"> ‘de peso’ se refiere a un </w:t>
      </w:r>
      <w:proofErr w:type="spellStart"/>
      <w:r w:rsidRPr="00DC1A5F">
        <w:rPr>
          <w:i/>
        </w:rPr>
        <w:t>kamma</w:t>
      </w:r>
      <w:proofErr w:type="spellEnd"/>
      <w:r w:rsidRPr="00DC1A5F">
        <w:t xml:space="preserve"> improductivo muy censurable y a un </w:t>
      </w:r>
      <w:proofErr w:type="spellStart"/>
      <w:r w:rsidRPr="00DC1A5F">
        <w:rPr>
          <w:i/>
        </w:rPr>
        <w:t>kamma</w:t>
      </w:r>
      <w:proofErr w:type="spellEnd"/>
      <w:r w:rsidRPr="00DC1A5F">
        <w:t xml:space="preserve"> productivo muy poderoso. El </w:t>
      </w:r>
      <w:proofErr w:type="spellStart"/>
      <w:r w:rsidRPr="00DC1A5F">
        <w:rPr>
          <w:i/>
        </w:rPr>
        <w:t>kamma</w:t>
      </w:r>
      <w:proofErr w:type="spellEnd"/>
      <w:r w:rsidRPr="00DC1A5F">
        <w:t xml:space="preserve"> ‘habitual’ es lo que se hace y repite habitualmente, continuamente. El </w:t>
      </w:r>
      <w:proofErr w:type="spellStart"/>
      <w:r w:rsidRPr="00DC1A5F">
        <w:rPr>
          <w:i/>
        </w:rPr>
        <w:t>kamma</w:t>
      </w:r>
      <w:proofErr w:type="spellEnd"/>
      <w:r w:rsidRPr="00DC1A5F">
        <w:t xml:space="preserve"> del ‘umbral de la muerte’ es lo que se recuerda con gran viveza en el momento inmediatamente previo a la muerte; lo que se quiere decir es que no existirá duda sobre lo que se ha hecho durante el momento de la muerte. ‘Eso se ha repetido a menudo’: establece una distinción entre este tipo de </w:t>
      </w:r>
      <w:proofErr w:type="spellStart"/>
      <w:r w:rsidRPr="00DC1A5F">
        <w:rPr>
          <w:i/>
        </w:rPr>
        <w:t>kamma</w:t>
      </w:r>
      <w:proofErr w:type="spellEnd"/>
      <w:r w:rsidRPr="00DC1A5F">
        <w:t xml:space="preserve"> tal como se establece y el tipo ‘habitual’ de </w:t>
      </w:r>
      <w:proofErr w:type="spellStart"/>
      <w:r w:rsidRPr="00DC1A5F">
        <w:rPr>
          <w:i/>
          <w:iCs/>
        </w:rPr>
        <w:t>kamma</w:t>
      </w:r>
      <w:proofErr w:type="spellEnd"/>
      <w:r w:rsidRPr="00DC1A5F">
        <w:t xml:space="preserve"> y éste también excluirá al </w:t>
      </w:r>
      <w:proofErr w:type="spellStart"/>
      <w:r w:rsidRPr="00DC1A5F">
        <w:rPr>
          <w:i/>
        </w:rPr>
        <w:t>kamma</w:t>
      </w:r>
      <w:proofErr w:type="spellEnd"/>
      <w:r w:rsidRPr="00DC1A5F">
        <w:t xml:space="preserve"> que se experimente aquí y ahora, ya que se admitirá la aparición del vínculo–de–renacimiento; porque el cuádruplo que comienza con el “peso” se establece como productivo del vínculo–de–renacimiento.</w:t>
      </w:r>
    </w:p>
    <w:p w14:paraId="75A27E6B" w14:textId="77777777" w:rsidR="00597DE2" w:rsidRPr="00DC1A5F" w:rsidRDefault="00597DE2" w:rsidP="00597DE2">
      <w:pPr>
        <w:pStyle w:val="PiedepginaLegal"/>
      </w:pPr>
      <w:r w:rsidRPr="00DC1A5F">
        <w:tab/>
      </w:r>
      <w:r w:rsidRPr="00DC1A5F">
        <w:tab/>
        <w:t xml:space="preserve">“Aquí, lo pesado madurará primero que nada y por eso se le llamará así. Cuando falte un </w:t>
      </w:r>
      <w:proofErr w:type="spellStart"/>
      <w:r w:rsidRPr="00DC1A5F">
        <w:rPr>
          <w:i/>
        </w:rPr>
        <w:t>kamma</w:t>
      </w:r>
      <w:proofErr w:type="spellEnd"/>
      <w:r w:rsidRPr="00DC1A5F">
        <w:t xml:space="preserve"> de peso, lo que se habrá hecho mucho madurará. Cuando ello falte, el </w:t>
      </w:r>
      <w:proofErr w:type="spellStart"/>
      <w:r w:rsidRPr="00DC1A5F">
        <w:rPr>
          <w:i/>
        </w:rPr>
        <w:t>kamma</w:t>
      </w:r>
      <w:proofErr w:type="spellEnd"/>
      <w:r w:rsidRPr="00DC1A5F">
        <w:t xml:space="preserve"> del umbral de la muerte madurará. Cuando eso también falte, entonces el </w:t>
      </w:r>
      <w:proofErr w:type="spellStart"/>
      <w:r w:rsidRPr="00DC1A5F">
        <w:rPr>
          <w:i/>
        </w:rPr>
        <w:t>kamma</w:t>
      </w:r>
      <w:proofErr w:type="spellEnd"/>
      <w:r w:rsidRPr="00DC1A5F">
        <w:t xml:space="preserve"> cometido en renacimientos pasados, que se denomina ‘</w:t>
      </w:r>
      <w:proofErr w:type="spellStart"/>
      <w:r w:rsidRPr="00DC1A5F">
        <w:rPr>
          <w:i/>
        </w:rPr>
        <w:t>kamma</w:t>
      </w:r>
      <w:proofErr w:type="spellEnd"/>
      <w:r w:rsidRPr="00DC1A5F">
        <w:t xml:space="preserve"> almacenado a ser realizado’, madurará. Y los tres últimos, cuando se produzcan podrán ser fuertes o débiles” (</w:t>
      </w:r>
      <w:proofErr w:type="spellStart"/>
      <w:r w:rsidRPr="00DC1A5F">
        <w:t>Vism</w:t>
      </w:r>
      <w:proofErr w:type="spellEnd"/>
      <w:r w:rsidRPr="00DC1A5F">
        <w:t>–</w:t>
      </w:r>
      <w:proofErr w:type="spellStart"/>
      <w:r w:rsidRPr="00DC1A5F">
        <w:t>mhṭ</w:t>
      </w:r>
      <w:proofErr w:type="spellEnd"/>
      <w:r w:rsidRPr="00DC1A5F">
        <w:t xml:space="preserve"> 769ff.). El </w:t>
      </w:r>
      <w:proofErr w:type="spellStart"/>
      <w:r w:rsidRPr="00DC1A5F">
        <w:t>Vism</w:t>
      </w:r>
      <w:proofErr w:type="spellEnd"/>
      <w:r w:rsidRPr="00DC1A5F">
        <w:t>–</w:t>
      </w:r>
      <w:proofErr w:type="spellStart"/>
      <w:r w:rsidRPr="00DC1A5F">
        <w:t>mhṭ</w:t>
      </w:r>
      <w:proofErr w:type="spellEnd"/>
      <w:r w:rsidRPr="00DC1A5F">
        <w:t xml:space="preserve"> luego cita varias Historias de Renacimiento y al MN 136 para exponer cómo, por varias razones, el resultado de un tipo de </w:t>
      </w:r>
      <w:proofErr w:type="spellStart"/>
      <w:r w:rsidRPr="00DC1A5F">
        <w:rPr>
          <w:i/>
        </w:rPr>
        <w:t>kamma</w:t>
      </w:r>
      <w:proofErr w:type="spellEnd"/>
      <w:r w:rsidRPr="00DC1A5F">
        <w:t xml:space="preserve"> podría ser retrasado o desplazado por el resultado de otro. </w:t>
      </w:r>
      <w:proofErr w:type="spellStart"/>
      <w:r w:rsidRPr="00DC1A5F">
        <w:t>Vism</w:t>
      </w:r>
      <w:proofErr w:type="spellEnd"/>
      <w:r w:rsidRPr="00DC1A5F">
        <w:t>–</w:t>
      </w:r>
      <w:proofErr w:type="spellStart"/>
      <w:r w:rsidRPr="00DC1A5F">
        <w:t>mhṭ</w:t>
      </w:r>
      <w:proofErr w:type="spellEnd"/>
      <w:r w:rsidRPr="00DC1A5F">
        <w:t xml:space="preserve"> concluye: “Esta es la provincia del Conocimiento de la Gran Exposición del </w:t>
      </w:r>
      <w:proofErr w:type="spellStart"/>
      <w:r w:rsidRPr="00DC1A5F">
        <w:rPr>
          <w:i/>
        </w:rPr>
        <w:t>Kamma</w:t>
      </w:r>
      <w:proofErr w:type="spellEnd"/>
      <w:r w:rsidRPr="00DC1A5F">
        <w:t xml:space="preserve"> del </w:t>
      </w:r>
      <w:proofErr w:type="spellStart"/>
      <w:r w:rsidRPr="00DC1A5F">
        <w:rPr>
          <w:i/>
          <w:iCs/>
        </w:rPr>
        <w:t>Tathāgata</w:t>
      </w:r>
      <w:proofErr w:type="spellEnd"/>
      <w:r w:rsidRPr="00DC1A5F">
        <w:t xml:space="preserve">, en otras palabras, el dominio del orden de maduración de tal y cual </w:t>
      </w:r>
      <w:proofErr w:type="spellStart"/>
      <w:r w:rsidRPr="00DC1A5F">
        <w:rPr>
          <w:i/>
        </w:rPr>
        <w:t>kamma</w:t>
      </w:r>
      <w:proofErr w:type="spellEnd"/>
      <w:r w:rsidRPr="00DC1A5F">
        <w:rPr>
          <w:i/>
        </w:rPr>
        <w:t>,</w:t>
      </w:r>
      <w:r w:rsidRPr="00DC1A5F">
        <w:t xml:space="preserve"> por tales y tales razones”.</w:t>
      </w:r>
    </w:p>
    <w:p w14:paraId="75D8D896" w14:textId="77777777" w:rsidR="00597DE2" w:rsidRPr="00DC1A5F" w:rsidRDefault="00597DE2" w:rsidP="00597DE2">
      <w:pPr>
        <w:pStyle w:val="PiedepginaLegal"/>
        <w:numPr>
          <w:ilvl w:val="0"/>
          <w:numId w:val="8"/>
        </w:numPr>
        <w:tabs>
          <w:tab w:val="clear" w:pos="425"/>
          <w:tab w:val="left" w:pos="284"/>
        </w:tabs>
        <w:ind w:left="284" w:hanging="284"/>
      </w:pPr>
      <w:r w:rsidRPr="00DC1A5F">
        <w:t xml:space="preserve">“El </w:t>
      </w:r>
      <w:proofErr w:type="spellStart"/>
      <w:r w:rsidRPr="00DC1A5F">
        <w:rPr>
          <w:i/>
        </w:rPr>
        <w:t>kamma</w:t>
      </w:r>
      <w:proofErr w:type="spellEnd"/>
      <w:r w:rsidRPr="00DC1A5F">
        <w:t xml:space="preserve"> ‘productivo’ es lo que producirá una continuidad resultante al proporcionar un vínculo–de–renacimiento, etc. El </w:t>
      </w:r>
      <w:proofErr w:type="spellStart"/>
      <w:r w:rsidRPr="00DC1A5F">
        <w:rPr>
          <w:i/>
        </w:rPr>
        <w:t>kamma</w:t>
      </w:r>
      <w:proofErr w:type="spellEnd"/>
      <w:r w:rsidRPr="00DC1A5F">
        <w:t xml:space="preserve"> ‘consolidante’ prolongará la ocurrencia de la continuidad del placer o el dolor, o la resistencia de la materialidad. El </w:t>
      </w:r>
      <w:proofErr w:type="spellStart"/>
      <w:r w:rsidRPr="00DC1A5F">
        <w:rPr>
          <w:i/>
        </w:rPr>
        <w:t>kamma</w:t>
      </w:r>
      <w:proofErr w:type="spellEnd"/>
      <w:r w:rsidRPr="00DC1A5F">
        <w:t xml:space="preserve"> ‘frustrante’ disminuirá lentamente </w:t>
      </w:r>
      <w:proofErr w:type="gramStart"/>
      <w:r w:rsidRPr="00DC1A5F">
        <w:t>la endurecimiento</w:t>
      </w:r>
      <w:proofErr w:type="gramEnd"/>
      <w:r w:rsidRPr="00DC1A5F">
        <w:t xml:space="preserve"> del placer o el dolor cuando ocurran. Cortará el resultado de otro </w:t>
      </w:r>
      <w:proofErr w:type="spellStart"/>
      <w:r w:rsidRPr="00DC1A5F">
        <w:rPr>
          <w:i/>
        </w:rPr>
        <w:t>kamma</w:t>
      </w:r>
      <w:proofErr w:type="spellEnd"/>
      <w:r w:rsidRPr="00DC1A5F">
        <w:t xml:space="preserve"> sin dar ningún resultado propio. Sin embargo, el </w:t>
      </w:r>
      <w:proofErr w:type="spellStart"/>
      <w:r w:rsidRPr="00DC1A5F">
        <w:rPr>
          <w:i/>
        </w:rPr>
        <w:t>kamma</w:t>
      </w:r>
      <w:proofErr w:type="spellEnd"/>
      <w:r w:rsidRPr="00DC1A5F">
        <w:t xml:space="preserve"> ‘suplantante’ cortará el </w:t>
      </w:r>
      <w:proofErr w:type="spellStart"/>
      <w:r w:rsidRPr="00DC1A5F">
        <w:rPr>
          <w:i/>
        </w:rPr>
        <w:t>kamma</w:t>
      </w:r>
      <w:proofErr w:type="spellEnd"/>
      <w:r w:rsidRPr="00DC1A5F">
        <w:t xml:space="preserve"> débil y hará que surja su propio resultado. Esta es su diferencia” (</w:t>
      </w:r>
      <w:proofErr w:type="spellStart"/>
      <w:r w:rsidRPr="00DC1A5F">
        <w:t>Vism</w:t>
      </w:r>
      <w:proofErr w:type="spellEnd"/>
      <w:r w:rsidRPr="00DC1A5F">
        <w:t>–</w:t>
      </w:r>
      <w:proofErr w:type="spellStart"/>
      <w:r w:rsidRPr="00DC1A5F">
        <w:t>mhṭ</w:t>
      </w:r>
      <w:proofErr w:type="spellEnd"/>
      <w:r w:rsidRPr="00DC1A5F">
        <w:t xml:space="preserve"> 771).</w:t>
      </w:r>
    </w:p>
    <w:p w14:paraId="1AF9ED4D" w14:textId="77777777" w:rsidR="00597DE2" w:rsidRPr="00DC1A5F" w:rsidRDefault="00597DE2" w:rsidP="00597DE2">
      <w:pPr>
        <w:tabs>
          <w:tab w:val="clear" w:pos="425"/>
        </w:tabs>
        <w:spacing w:after="160"/>
      </w:pPr>
      <w:r w:rsidRPr="00DC1A5F">
        <w:br w:type="page"/>
      </w:r>
    </w:p>
    <w:p w14:paraId="011171BA" w14:textId="77777777" w:rsidR="00597DE2" w:rsidRPr="00DC1A5F" w:rsidRDefault="00597DE2" w:rsidP="00597DE2"/>
    <w:p w14:paraId="15449C61" w14:textId="77777777" w:rsidR="00597DE2" w:rsidRPr="00DC1A5F" w:rsidRDefault="00597DE2" w:rsidP="00597DE2">
      <w:pPr>
        <w:pStyle w:val="NormalConSangria"/>
        <w:rPr>
          <w:vertAlign w:val="superscript"/>
        </w:rPr>
      </w:pPr>
      <w:r w:rsidRPr="00DC1A5F">
        <w:t>Aquí, (</w:t>
      </w:r>
      <w:proofErr w:type="spellStart"/>
      <w:r w:rsidRPr="00DC1A5F">
        <w:t>ix</w:t>
      </w:r>
      <w:proofErr w:type="spellEnd"/>
      <w:r w:rsidRPr="00DC1A5F">
        <w:t xml:space="preserve">) a lo que se le llame </w:t>
      </w:r>
      <w:r w:rsidRPr="00DC1A5F">
        <w:rPr>
          <w:i/>
          <w:iCs/>
        </w:rPr>
        <w:t>productivo</w:t>
      </w:r>
      <w:r w:rsidRPr="00DC1A5F">
        <w:t xml:space="preserve"> será tanto fructífero como infructífero. Producirá los materiales e inmateriales tanto en el renacimiento como en el curso de una existencia. (x) La </w:t>
      </w:r>
      <w:r w:rsidRPr="00DC1A5F">
        <w:rPr>
          <w:i/>
          <w:iCs/>
        </w:rPr>
        <w:t>consolidación</w:t>
      </w:r>
      <w:r w:rsidRPr="00DC1A5F">
        <w:t xml:space="preserve"> del </w:t>
      </w:r>
      <w:proofErr w:type="spellStart"/>
      <w:r w:rsidRPr="00DC1A5F">
        <w:rPr>
          <w:i/>
        </w:rPr>
        <w:t>kamma</w:t>
      </w:r>
      <w:proofErr w:type="spellEnd"/>
      <w:r w:rsidRPr="00DC1A5F">
        <w:t xml:space="preserve"> no podrá producir resultados, pero cuando ya se haya producido un resultado en la provisión del vínculo–de–renacimiento por otro </w:t>
      </w:r>
      <w:proofErr w:type="spellStart"/>
      <w:r w:rsidRPr="00DC1A5F">
        <w:rPr>
          <w:i/>
        </w:rPr>
        <w:t>kamma</w:t>
      </w:r>
      <w:proofErr w:type="spellEnd"/>
      <w:r w:rsidRPr="00DC1A5F">
        <w:t xml:space="preserve">, consolidará el placer o el dolor que surja y lo hará </w:t>
      </w:r>
      <w:proofErr w:type="spellStart"/>
      <w:r w:rsidRPr="00DC1A5F">
        <w:t>persurablemente</w:t>
      </w:r>
      <w:proofErr w:type="spellEnd"/>
      <w:r w:rsidRPr="00DC1A5F">
        <w:t xml:space="preserve">. (xi) Y cuando ya se haya producido el resultado en la provisión del vínculo–de–renacimiento por otro </w:t>
      </w:r>
      <w:proofErr w:type="spellStart"/>
      <w:r w:rsidRPr="00DC1A5F">
        <w:rPr>
          <w:i/>
        </w:rPr>
        <w:t>kamma</w:t>
      </w:r>
      <w:proofErr w:type="spellEnd"/>
      <w:r w:rsidRPr="00DC1A5F">
        <w:t xml:space="preserve">, el </w:t>
      </w:r>
      <w:proofErr w:type="spellStart"/>
      <w:r w:rsidRPr="00DC1A5F">
        <w:rPr>
          <w:i/>
        </w:rPr>
        <w:t>kamma</w:t>
      </w:r>
      <w:proofErr w:type="spellEnd"/>
      <w:r w:rsidRPr="00DC1A5F">
        <w:t xml:space="preserve"> </w:t>
      </w:r>
      <w:r w:rsidRPr="00DC1A5F">
        <w:rPr>
          <w:i/>
          <w:iCs/>
        </w:rPr>
        <w:t>frustrante</w:t>
      </w:r>
      <w:r w:rsidRPr="00DC1A5F">
        <w:t xml:space="preserve"> frustrará y obstruirá el placer o el dolor que surja y no permitirá que perdure. (</w:t>
      </w:r>
      <w:proofErr w:type="spellStart"/>
      <w:r w:rsidRPr="00DC1A5F">
        <w:t>xii</w:t>
      </w:r>
      <w:proofErr w:type="spellEnd"/>
      <w:r w:rsidRPr="00DC1A5F">
        <w:t xml:space="preserve">) Un </w:t>
      </w:r>
      <w:proofErr w:type="spellStart"/>
      <w:r w:rsidRPr="00DC1A5F">
        <w:rPr>
          <w:i/>
        </w:rPr>
        <w:t>kamma</w:t>
      </w:r>
      <w:proofErr w:type="spellEnd"/>
      <w:r w:rsidRPr="00DC1A5F">
        <w:t xml:space="preserve"> suplantante será en sí mismo tanto productivo como improductivo; [602] y al suplantar a otro </w:t>
      </w:r>
      <w:proofErr w:type="spellStart"/>
      <w:r w:rsidRPr="00DC1A5F">
        <w:rPr>
          <w:i/>
        </w:rPr>
        <w:t>kamma</w:t>
      </w:r>
      <w:proofErr w:type="spellEnd"/>
      <w:r w:rsidRPr="00DC1A5F">
        <w:t xml:space="preserve"> más débil, prevendrá su resultado y usurpará la oportunidad de ese </w:t>
      </w:r>
      <w:proofErr w:type="spellStart"/>
      <w:r w:rsidRPr="00DC1A5F">
        <w:rPr>
          <w:i/>
        </w:rPr>
        <w:t>kamma</w:t>
      </w:r>
      <w:proofErr w:type="spellEnd"/>
      <w:r w:rsidRPr="00DC1A5F">
        <w:t xml:space="preserve"> para causar su propio resultado. No obstante, cuando la oportunidad haya sido proporcionada por otro </w:t>
      </w:r>
      <w:proofErr w:type="spellStart"/>
      <w:r w:rsidRPr="00DC1A5F">
        <w:rPr>
          <w:i/>
        </w:rPr>
        <w:t>kamma</w:t>
      </w:r>
      <w:proofErr w:type="spellEnd"/>
      <w:r w:rsidRPr="00DC1A5F">
        <w:t xml:space="preserve">, es a ese resultado del </w:t>
      </w:r>
      <w:proofErr w:type="spellStart"/>
      <w:r w:rsidRPr="00DC1A5F">
        <w:rPr>
          <w:i/>
        </w:rPr>
        <w:t>kamma</w:t>
      </w:r>
      <w:proofErr w:type="spellEnd"/>
      <w:r w:rsidRPr="00DC1A5F">
        <w:t xml:space="preserve"> suplantante a lo que se denominará surgido.</w:t>
      </w:r>
      <w:r w:rsidRPr="00DC1A5F">
        <w:rPr>
          <w:vertAlign w:val="superscript"/>
        </w:rPr>
        <w:t>5</w:t>
      </w:r>
    </w:p>
    <w:p w14:paraId="042FE460" w14:textId="77777777" w:rsidR="00597DE2" w:rsidRPr="00DC1A5F" w:rsidRDefault="00597DE2" w:rsidP="00597DE2">
      <w:r w:rsidRPr="00DC1A5F">
        <w:t xml:space="preserve">17. </w:t>
      </w:r>
      <w:r w:rsidRPr="00DC1A5F">
        <w:tab/>
        <w:t xml:space="preserve">La sucesión del </w:t>
      </w:r>
      <w:proofErr w:type="spellStart"/>
      <w:r w:rsidRPr="00DC1A5F">
        <w:rPr>
          <w:i/>
        </w:rPr>
        <w:t>kamma</w:t>
      </w:r>
      <w:proofErr w:type="spellEnd"/>
      <w:r w:rsidRPr="00DC1A5F">
        <w:t xml:space="preserve"> y su resultado en las 12 clases de </w:t>
      </w:r>
      <w:proofErr w:type="spellStart"/>
      <w:r w:rsidRPr="00DC1A5F">
        <w:rPr>
          <w:i/>
        </w:rPr>
        <w:t>kamma</w:t>
      </w:r>
      <w:proofErr w:type="spellEnd"/>
      <w:r w:rsidRPr="00DC1A5F">
        <w:t xml:space="preserve"> será clara y en su verdadera naturaleza solo para el “conocimiento del </w:t>
      </w:r>
      <w:proofErr w:type="spellStart"/>
      <w:r w:rsidRPr="00DC1A5F">
        <w:rPr>
          <w:i/>
        </w:rPr>
        <w:t>kamma</w:t>
      </w:r>
      <w:proofErr w:type="spellEnd"/>
      <w:r w:rsidRPr="00DC1A5F">
        <w:t xml:space="preserve"> y sus resultados” correspondiente a los </w:t>
      </w:r>
      <w:r w:rsidRPr="00DC1A5F">
        <w:rPr>
          <w:i/>
        </w:rPr>
        <w:t>Buddha</w:t>
      </w:r>
      <w:r w:rsidRPr="00DC1A5F">
        <w:t>s, cuyo conocimiento no es compartido por discípulos.</w:t>
      </w:r>
      <w:r w:rsidRPr="00DC1A5F">
        <w:rPr>
          <w:vertAlign w:val="superscript"/>
        </w:rPr>
        <w:t>6</w:t>
      </w:r>
      <w:r w:rsidRPr="00DC1A5F">
        <w:t xml:space="preserve"> No obstante, la sucesión de </w:t>
      </w:r>
      <w:proofErr w:type="spellStart"/>
      <w:r w:rsidRPr="00DC1A5F">
        <w:rPr>
          <w:i/>
        </w:rPr>
        <w:t>kamma</w:t>
      </w:r>
      <w:proofErr w:type="spellEnd"/>
      <w:r w:rsidRPr="00DC1A5F">
        <w:t xml:space="preserve"> y su resultado podrán ser conocidos en parte por alguien que practique la sabiduría. Es por eso </w:t>
      </w:r>
      <w:proofErr w:type="gramStart"/>
      <w:r w:rsidRPr="00DC1A5F">
        <w:t>que</w:t>
      </w:r>
      <w:proofErr w:type="gramEnd"/>
      <w:r w:rsidRPr="00DC1A5F">
        <w:t xml:space="preserve"> esta explicación de la diferencia de </w:t>
      </w:r>
      <w:proofErr w:type="spellStart"/>
      <w:r w:rsidRPr="00DC1A5F">
        <w:rPr>
          <w:i/>
        </w:rPr>
        <w:t>kammas</w:t>
      </w:r>
      <w:proofErr w:type="spellEnd"/>
      <w:r w:rsidRPr="00DC1A5F">
        <w:t xml:space="preserve"> muestra solo términos simples.</w:t>
      </w:r>
    </w:p>
    <w:p w14:paraId="3C58D928" w14:textId="77777777" w:rsidR="00597DE2" w:rsidRPr="00DC1A5F" w:rsidRDefault="00597DE2" w:rsidP="00597DE2">
      <w:pPr>
        <w:pStyle w:val="NormalConSangria"/>
      </w:pPr>
      <w:r w:rsidRPr="00DC1A5F">
        <w:t xml:space="preserve">Así es cómo un hombre discernirá la mentalidad–materialidad por medio del ciclo del </w:t>
      </w:r>
      <w:proofErr w:type="spellStart"/>
      <w:r w:rsidRPr="00DC1A5F">
        <w:rPr>
          <w:i/>
        </w:rPr>
        <w:t>kamma</w:t>
      </w:r>
      <w:proofErr w:type="spellEnd"/>
      <w:r w:rsidRPr="00DC1A5F">
        <w:t xml:space="preserve"> y el ciclo del resultado </w:t>
      </w:r>
      <w:proofErr w:type="spellStart"/>
      <w:r w:rsidRPr="00DC1A5F">
        <w:rPr>
          <w:i/>
        </w:rPr>
        <w:t>kammico</w:t>
      </w:r>
      <w:proofErr w:type="spellEnd"/>
      <w:r w:rsidRPr="00DC1A5F">
        <w:t xml:space="preserve">, aplicando esta clasificación de </w:t>
      </w:r>
      <w:proofErr w:type="spellStart"/>
      <w:r w:rsidRPr="00DC1A5F">
        <w:rPr>
          <w:i/>
        </w:rPr>
        <w:t>kamma</w:t>
      </w:r>
      <w:proofErr w:type="spellEnd"/>
      <w:r w:rsidRPr="00DC1A5F">
        <w:t xml:space="preserve"> de 12 partes al ciclo </w:t>
      </w:r>
      <w:proofErr w:type="spellStart"/>
      <w:r w:rsidRPr="00DC1A5F">
        <w:rPr>
          <w:i/>
        </w:rPr>
        <w:t>kammico</w:t>
      </w:r>
      <w:proofErr w:type="spellEnd"/>
      <w:r w:rsidRPr="00DC1A5F">
        <w:t>.</w:t>
      </w:r>
    </w:p>
    <w:p w14:paraId="378F9E0C" w14:textId="77777777" w:rsidR="00597DE2" w:rsidRPr="00DC1A5F" w:rsidRDefault="00597DE2" w:rsidP="00597DE2">
      <w:r w:rsidRPr="00DC1A5F">
        <w:t xml:space="preserve">18. </w:t>
      </w:r>
      <w:r w:rsidRPr="00DC1A5F">
        <w:tab/>
        <w:t xml:space="preserve">Cuando él haya observado por medio del ciclo </w:t>
      </w:r>
      <w:proofErr w:type="spellStart"/>
      <w:r w:rsidRPr="00DC1A5F">
        <w:rPr>
          <w:i/>
        </w:rPr>
        <w:t>kammico</w:t>
      </w:r>
      <w:proofErr w:type="spellEnd"/>
      <w:r w:rsidRPr="00DC1A5F">
        <w:rPr>
          <w:i/>
        </w:rPr>
        <w:t xml:space="preserve"> </w:t>
      </w:r>
      <w:r w:rsidRPr="00DC1A5F">
        <w:t xml:space="preserve">y del ciclo del resultado </w:t>
      </w:r>
      <w:proofErr w:type="spellStart"/>
      <w:r w:rsidRPr="00DC1A5F">
        <w:rPr>
          <w:i/>
        </w:rPr>
        <w:t>kammico</w:t>
      </w:r>
      <w:proofErr w:type="spellEnd"/>
      <w:r w:rsidRPr="00DC1A5F">
        <w:rPr>
          <w:i/>
        </w:rPr>
        <w:t xml:space="preserve"> </w:t>
      </w:r>
      <w:r w:rsidRPr="00DC1A5F">
        <w:t xml:space="preserve">cómo una ocurrencia de la mentalidad–materialidad se deberá a una condición, él observará que así como ahora, en el pasado, su ocurrencia se debió a una condición por medio del ciclo </w:t>
      </w:r>
      <w:proofErr w:type="spellStart"/>
      <w:r w:rsidRPr="00DC1A5F">
        <w:rPr>
          <w:i/>
        </w:rPr>
        <w:t>kammico</w:t>
      </w:r>
      <w:proofErr w:type="spellEnd"/>
      <w:r w:rsidRPr="00DC1A5F">
        <w:rPr>
          <w:i/>
        </w:rPr>
        <w:t xml:space="preserve"> </w:t>
      </w:r>
      <w:r w:rsidRPr="00DC1A5F">
        <w:t xml:space="preserve">y del ciclo del resultado </w:t>
      </w:r>
      <w:proofErr w:type="spellStart"/>
      <w:r w:rsidRPr="00DC1A5F">
        <w:rPr>
          <w:i/>
        </w:rPr>
        <w:t>kammico</w:t>
      </w:r>
      <w:proofErr w:type="spellEnd"/>
      <w:r w:rsidRPr="00DC1A5F">
        <w:t xml:space="preserve">, y que en el futuro su ocurrencia se deberá a una condición por medio del ciclo </w:t>
      </w:r>
      <w:proofErr w:type="spellStart"/>
      <w:r w:rsidRPr="00DC1A5F">
        <w:rPr>
          <w:i/>
        </w:rPr>
        <w:t>kammico</w:t>
      </w:r>
      <w:proofErr w:type="spellEnd"/>
      <w:r w:rsidRPr="00DC1A5F">
        <w:rPr>
          <w:i/>
        </w:rPr>
        <w:t xml:space="preserve"> </w:t>
      </w:r>
      <w:r w:rsidRPr="00DC1A5F">
        <w:t xml:space="preserve">y del ciclo </w:t>
      </w:r>
      <w:proofErr w:type="spellStart"/>
      <w:r w:rsidRPr="00DC1A5F">
        <w:t>ded</w:t>
      </w:r>
      <w:proofErr w:type="spellEnd"/>
      <w:r w:rsidRPr="00DC1A5F">
        <w:t xml:space="preserve"> resultado </w:t>
      </w:r>
      <w:proofErr w:type="spellStart"/>
      <w:r w:rsidRPr="00DC1A5F">
        <w:rPr>
          <w:i/>
        </w:rPr>
        <w:t>kammico</w:t>
      </w:r>
      <w:proofErr w:type="spellEnd"/>
      <w:r w:rsidRPr="00DC1A5F">
        <w:t xml:space="preserve">. Esto corresponderá al </w:t>
      </w:r>
      <w:proofErr w:type="spellStart"/>
      <w:r w:rsidRPr="00DC1A5F">
        <w:rPr>
          <w:i/>
        </w:rPr>
        <w:t>kamma</w:t>
      </w:r>
      <w:proofErr w:type="spellEnd"/>
      <w:r w:rsidRPr="00DC1A5F">
        <w:t xml:space="preserve"> y ciclo </w:t>
      </w:r>
      <w:proofErr w:type="spellStart"/>
      <w:r w:rsidRPr="00DC1A5F">
        <w:rPr>
          <w:i/>
        </w:rPr>
        <w:t>kammico</w:t>
      </w:r>
      <w:proofErr w:type="spellEnd"/>
      <w:r w:rsidRPr="00DC1A5F">
        <w:t xml:space="preserve">, al ciclo </w:t>
      </w:r>
      <w:proofErr w:type="spellStart"/>
      <w:r w:rsidRPr="00DC1A5F">
        <w:rPr>
          <w:i/>
        </w:rPr>
        <w:t>kammico</w:t>
      </w:r>
      <w:proofErr w:type="spellEnd"/>
      <w:r w:rsidRPr="00DC1A5F">
        <w:rPr>
          <w:i/>
        </w:rPr>
        <w:t xml:space="preserve"> </w:t>
      </w:r>
      <w:r w:rsidRPr="00DC1A5F">
        <w:t xml:space="preserve">y al ciclo del resultado </w:t>
      </w:r>
      <w:proofErr w:type="spellStart"/>
      <w:r w:rsidRPr="00DC1A5F">
        <w:rPr>
          <w:i/>
        </w:rPr>
        <w:t>kammico</w:t>
      </w:r>
      <w:proofErr w:type="spellEnd"/>
      <w:r w:rsidRPr="00DC1A5F">
        <w:t xml:space="preserve">, a la ocurrencia del </w:t>
      </w:r>
      <w:proofErr w:type="spellStart"/>
      <w:r w:rsidRPr="00DC1A5F">
        <w:rPr>
          <w:i/>
        </w:rPr>
        <w:t>kamma</w:t>
      </w:r>
      <w:proofErr w:type="spellEnd"/>
      <w:r w:rsidRPr="00DC1A5F">
        <w:t xml:space="preserve"> y a la ocurrencia del resultado</w:t>
      </w:r>
      <w:r w:rsidRPr="00DC1A5F">
        <w:rPr>
          <w:i/>
        </w:rPr>
        <w:t xml:space="preserve"> </w:t>
      </w:r>
      <w:proofErr w:type="spellStart"/>
      <w:r w:rsidRPr="00DC1A5F">
        <w:rPr>
          <w:i/>
        </w:rPr>
        <w:t>kammico</w:t>
      </w:r>
      <w:proofErr w:type="spellEnd"/>
      <w:r w:rsidRPr="00DC1A5F">
        <w:t xml:space="preserve">, a la continuidad del </w:t>
      </w:r>
      <w:proofErr w:type="spellStart"/>
      <w:r w:rsidRPr="00DC1A5F">
        <w:rPr>
          <w:i/>
        </w:rPr>
        <w:t>kamma</w:t>
      </w:r>
      <w:proofErr w:type="spellEnd"/>
      <w:r w:rsidRPr="00DC1A5F">
        <w:t xml:space="preserve"> y a la continuidad</w:t>
      </w:r>
    </w:p>
    <w:p w14:paraId="1BAF11AC" w14:textId="77777777" w:rsidR="00597DE2" w:rsidRPr="00DC1A5F" w:rsidRDefault="00597DE2" w:rsidP="00597DE2"/>
    <w:p w14:paraId="2645A8C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967F9EF" w14:textId="77777777" w:rsidR="00597DE2" w:rsidRPr="00DC1A5F" w:rsidRDefault="00597DE2" w:rsidP="00597DE2">
      <w:pPr>
        <w:pStyle w:val="PiedepginaLegal"/>
        <w:numPr>
          <w:ilvl w:val="0"/>
          <w:numId w:val="8"/>
        </w:numPr>
        <w:tabs>
          <w:tab w:val="clear" w:pos="425"/>
          <w:tab w:val="left" w:pos="284"/>
        </w:tabs>
        <w:ind w:left="284" w:hanging="284"/>
      </w:pPr>
      <w:r w:rsidRPr="00DC1A5F">
        <w:t>Véanse los diversos significados de “surgido” mencionados en el Cap. XXII. §81s.</w:t>
      </w:r>
    </w:p>
    <w:p w14:paraId="04EC2F67" w14:textId="77777777" w:rsidR="00597DE2" w:rsidRPr="00DC1A5F" w:rsidRDefault="00597DE2" w:rsidP="00597DE2">
      <w:pPr>
        <w:pStyle w:val="PiedepginaLegal"/>
      </w:pPr>
      <w:r w:rsidRPr="00DC1A5F">
        <w:tab/>
      </w:r>
      <w:r w:rsidRPr="00DC1A5F">
        <w:tab/>
        <w:t xml:space="preserve">“Otro método es el siguiente: cuando se haya cometido algún </w:t>
      </w:r>
      <w:proofErr w:type="spellStart"/>
      <w:r w:rsidRPr="00DC1A5F">
        <w:rPr>
          <w:i/>
        </w:rPr>
        <w:t>kamma</w:t>
      </w:r>
      <w:proofErr w:type="spellEnd"/>
      <w:r w:rsidRPr="00DC1A5F">
        <w:t xml:space="preserve"> y haya, ya sea en el vínculo–de–renacimiento o en el curso de una existencia, un surgimiento de instancias materiales debido al resultado del </w:t>
      </w:r>
      <w:proofErr w:type="spellStart"/>
      <w:r w:rsidRPr="00DC1A5F">
        <w:rPr>
          <w:i/>
        </w:rPr>
        <w:t>kamma</w:t>
      </w:r>
      <w:proofErr w:type="spellEnd"/>
      <w:r w:rsidRPr="00DC1A5F">
        <w:t xml:space="preserve"> cometido, entonces ese </w:t>
      </w:r>
      <w:proofErr w:type="spellStart"/>
      <w:r w:rsidRPr="00DC1A5F">
        <w:rPr>
          <w:i/>
        </w:rPr>
        <w:t>kamma</w:t>
      </w:r>
      <w:proofErr w:type="spellEnd"/>
      <w:r w:rsidRPr="00DC1A5F">
        <w:t xml:space="preserve"> corresponderá al ‘</w:t>
      </w:r>
      <w:r w:rsidRPr="00DC1A5F">
        <w:rPr>
          <w:i/>
          <w:iCs/>
        </w:rPr>
        <w:t>productor’</w:t>
      </w:r>
      <w:r w:rsidRPr="00DC1A5F">
        <w:t xml:space="preserve">. Cuando se haya cometido algún </w:t>
      </w:r>
      <w:proofErr w:type="spellStart"/>
      <w:r w:rsidRPr="00DC1A5F">
        <w:rPr>
          <w:i/>
        </w:rPr>
        <w:t>kamma</w:t>
      </w:r>
      <w:proofErr w:type="spellEnd"/>
      <w:r w:rsidRPr="00DC1A5F">
        <w:t xml:space="preserve"> y se haya facilitado la producción del efecto deseable o indeseable generado por otro </w:t>
      </w:r>
      <w:proofErr w:type="spellStart"/>
      <w:r w:rsidRPr="00DC1A5F">
        <w:rPr>
          <w:i/>
        </w:rPr>
        <w:t>kamma</w:t>
      </w:r>
      <w:proofErr w:type="spellEnd"/>
      <w:r w:rsidRPr="00DC1A5F">
        <w:t xml:space="preserve"> y haya contribuido y extendido su endurecimiento mediante la supresión de las condiciones que interferirían con él y mediante el surgimiento de las condiciones que lo fortalecerían, entonces ese </w:t>
      </w:r>
      <w:proofErr w:type="spellStart"/>
      <w:r w:rsidRPr="00DC1A5F">
        <w:rPr>
          <w:i/>
        </w:rPr>
        <w:t>kamma</w:t>
      </w:r>
      <w:proofErr w:type="spellEnd"/>
      <w:r w:rsidRPr="00DC1A5F">
        <w:t xml:space="preserve"> corresponderá al de ‘</w:t>
      </w:r>
      <w:r w:rsidRPr="00DC1A5F">
        <w:rPr>
          <w:i/>
          <w:iCs/>
        </w:rPr>
        <w:t>soporte’</w:t>
      </w:r>
      <w:r w:rsidRPr="00DC1A5F">
        <w:t xml:space="preserve">. Cuando se haya cometido algún </w:t>
      </w:r>
      <w:proofErr w:type="spellStart"/>
      <w:r w:rsidRPr="00DC1A5F">
        <w:rPr>
          <w:i/>
        </w:rPr>
        <w:t>kamma</w:t>
      </w:r>
      <w:proofErr w:type="spellEnd"/>
      <w:r w:rsidRPr="00DC1A5F">
        <w:t xml:space="preserve"> y el efecto productivo o el efecto improductivo generado por el </w:t>
      </w:r>
      <w:proofErr w:type="spellStart"/>
      <w:r w:rsidRPr="00DC1A5F">
        <w:rPr>
          <w:i/>
        </w:rPr>
        <w:t>kamma</w:t>
      </w:r>
      <w:proofErr w:type="spellEnd"/>
      <w:r w:rsidRPr="00DC1A5F">
        <w:t xml:space="preserve"> productor sea obstruido por él, respectivamente, en forma de enfermedad o de elementos de agitación, ése corresponderá al </w:t>
      </w:r>
      <w:proofErr w:type="spellStart"/>
      <w:r w:rsidRPr="00DC1A5F">
        <w:rPr>
          <w:i/>
        </w:rPr>
        <w:t>kamma</w:t>
      </w:r>
      <w:proofErr w:type="spellEnd"/>
      <w:r w:rsidRPr="00DC1A5F">
        <w:t xml:space="preserve"> ‘frustrante’. No obstante, cuando se haya cometido algún </w:t>
      </w:r>
      <w:proofErr w:type="spellStart"/>
      <w:r w:rsidRPr="00DC1A5F">
        <w:rPr>
          <w:i/>
        </w:rPr>
        <w:t>kamma</w:t>
      </w:r>
      <w:proofErr w:type="spellEnd"/>
      <w:r w:rsidRPr="00DC1A5F">
        <w:t xml:space="preserve"> mediante el cual el efecto de otro </w:t>
      </w:r>
      <w:proofErr w:type="spellStart"/>
      <w:r w:rsidRPr="00DC1A5F">
        <w:rPr>
          <w:i/>
        </w:rPr>
        <w:t>kamma</w:t>
      </w:r>
      <w:proofErr w:type="spellEnd"/>
      <w:r w:rsidRPr="00DC1A5F">
        <w:t xml:space="preserve"> se arruine y se trunque al ser suplantado por aquello que lo trunque, aunque fuese apto para un mayor endurecimiento debido a la eficacia del </w:t>
      </w:r>
      <w:proofErr w:type="spellStart"/>
      <w:r w:rsidRPr="00DC1A5F">
        <w:rPr>
          <w:i/>
        </w:rPr>
        <w:t>kamma</w:t>
      </w:r>
      <w:proofErr w:type="spellEnd"/>
      <w:r w:rsidRPr="00DC1A5F">
        <w:t xml:space="preserve"> que lo estaba produciendo, entonces ese </w:t>
      </w:r>
      <w:proofErr w:type="spellStart"/>
      <w:r w:rsidRPr="00DC1A5F">
        <w:rPr>
          <w:i/>
        </w:rPr>
        <w:t>kamma</w:t>
      </w:r>
      <w:proofErr w:type="spellEnd"/>
      <w:r w:rsidRPr="00DC1A5F">
        <w:t xml:space="preserve"> corresponderá al ‘suplantante’” (</w:t>
      </w:r>
      <w:proofErr w:type="spellStart"/>
      <w:r w:rsidRPr="00DC1A5F">
        <w:t>Vism</w:t>
      </w:r>
      <w:proofErr w:type="spellEnd"/>
      <w:r w:rsidRPr="00DC1A5F">
        <w:t>–</w:t>
      </w:r>
      <w:proofErr w:type="spellStart"/>
      <w:r w:rsidRPr="00DC1A5F">
        <w:t>mhṭ</w:t>
      </w:r>
      <w:proofErr w:type="spellEnd"/>
      <w:r w:rsidRPr="00DC1A5F">
        <w:t xml:space="preserve"> 772).</w:t>
      </w:r>
    </w:p>
    <w:p w14:paraId="73E33345" w14:textId="77777777" w:rsidR="00597DE2" w:rsidRPr="00DC1A5F" w:rsidRDefault="00597DE2" w:rsidP="00597DE2">
      <w:pPr>
        <w:pStyle w:val="PiedepginaLegal"/>
        <w:numPr>
          <w:ilvl w:val="0"/>
          <w:numId w:val="8"/>
        </w:numPr>
        <w:tabs>
          <w:tab w:val="clear" w:pos="425"/>
          <w:tab w:val="left" w:pos="284"/>
        </w:tabs>
        <w:ind w:left="284" w:hanging="284"/>
      </w:pPr>
      <w:r w:rsidRPr="00DC1A5F">
        <w:t xml:space="preserve">“Debido a que es una especialidad del </w:t>
      </w:r>
      <w:r w:rsidRPr="00DC1A5F">
        <w:rPr>
          <w:i/>
        </w:rPr>
        <w:t>Buddha</w:t>
      </w:r>
      <w:r w:rsidRPr="00DC1A5F">
        <w:t xml:space="preserve"> y debido a que es la provincia del conocimiento que no es compartido por los discípulos (ver </w:t>
      </w:r>
      <w:proofErr w:type="spellStart"/>
      <w:r w:rsidRPr="00DC1A5F">
        <w:rPr>
          <w:i/>
          <w:iCs/>
        </w:rPr>
        <w:t>Paṭis</w:t>
      </w:r>
      <w:proofErr w:type="spellEnd"/>
      <w:r w:rsidRPr="00DC1A5F">
        <w:t xml:space="preserve"> I 121f.), se le llama ‘no compartido por los discípulos’. Es por eso </w:t>
      </w:r>
      <w:proofErr w:type="gramStart"/>
      <w:r w:rsidRPr="00DC1A5F">
        <w:t>que</w:t>
      </w:r>
      <w:proofErr w:type="gramEnd"/>
      <w:r w:rsidRPr="00DC1A5F">
        <w:t xml:space="preserve"> solo una parte podrá ser conocida; no se podrá conocer todo porque no formará parte del ámbito de tal conocimiento” (</w:t>
      </w:r>
      <w:proofErr w:type="spellStart"/>
      <w:r w:rsidRPr="00DC1A5F">
        <w:t>Vism</w:t>
      </w:r>
      <w:proofErr w:type="spellEnd"/>
      <w:r w:rsidRPr="00DC1A5F">
        <w:t>–</w:t>
      </w:r>
      <w:proofErr w:type="spellStart"/>
      <w:r w:rsidRPr="00DC1A5F">
        <w:t>mhṭ</w:t>
      </w:r>
      <w:proofErr w:type="spellEnd"/>
      <w:r w:rsidRPr="00DC1A5F">
        <w:t xml:space="preserve"> 772).</w:t>
      </w:r>
    </w:p>
    <w:p w14:paraId="6E32C863" w14:textId="77777777" w:rsidR="00597DE2" w:rsidRPr="00DC1A5F" w:rsidRDefault="00597DE2" w:rsidP="00597DE2">
      <w:pPr>
        <w:tabs>
          <w:tab w:val="clear" w:pos="425"/>
        </w:tabs>
        <w:spacing w:after="160"/>
      </w:pPr>
      <w:r w:rsidRPr="00DC1A5F">
        <w:br w:type="page"/>
      </w:r>
    </w:p>
    <w:p w14:paraId="2D3E7494" w14:textId="77777777" w:rsidR="00597DE2" w:rsidRPr="00DC1A5F" w:rsidRDefault="00597DE2" w:rsidP="00597DE2">
      <w:pPr>
        <w:pStyle w:val="Textoindependiente"/>
      </w:pPr>
      <w:r w:rsidRPr="00DC1A5F">
        <w:lastRenderedPageBreak/>
        <w:t>del resultado</w:t>
      </w:r>
      <w:r w:rsidRPr="00DC1A5F">
        <w:rPr>
          <w:i/>
        </w:rPr>
        <w:t xml:space="preserve"> </w:t>
      </w:r>
      <w:proofErr w:type="spellStart"/>
      <w:r w:rsidRPr="00DC1A5F">
        <w:rPr>
          <w:i/>
        </w:rPr>
        <w:t>kammico</w:t>
      </w:r>
      <w:proofErr w:type="spellEnd"/>
      <w:r w:rsidRPr="00DC1A5F">
        <w:t>, a la acción y al fruto de la acción:</w:t>
      </w:r>
    </w:p>
    <w:p w14:paraId="500B19EC" w14:textId="77777777" w:rsidR="00597DE2" w:rsidRPr="00DC1A5F" w:rsidRDefault="00597DE2" w:rsidP="00597DE2">
      <w:pPr>
        <w:pStyle w:val="VersoIngls01Sangria"/>
      </w:pPr>
      <w:r w:rsidRPr="00DC1A5F">
        <w:t xml:space="preserve">El resultado de un </w:t>
      </w:r>
      <w:proofErr w:type="spellStart"/>
      <w:r w:rsidRPr="00DC1A5F">
        <w:rPr>
          <w:i/>
        </w:rPr>
        <w:t>kamma</w:t>
      </w:r>
      <w:proofErr w:type="spellEnd"/>
      <w:r w:rsidRPr="00DC1A5F">
        <w:t xml:space="preserve"> procede de un </w:t>
      </w:r>
      <w:proofErr w:type="spellStart"/>
      <w:r w:rsidRPr="00DC1A5F">
        <w:rPr>
          <w:i/>
        </w:rPr>
        <w:t>kamma</w:t>
      </w:r>
      <w:proofErr w:type="spellEnd"/>
      <w:r w:rsidRPr="00DC1A5F">
        <w:t>,</w:t>
      </w:r>
    </w:p>
    <w:p w14:paraId="54EE4980" w14:textId="77777777" w:rsidR="00597DE2" w:rsidRPr="00DC1A5F" w:rsidRDefault="00597DE2" w:rsidP="00597DE2">
      <w:pPr>
        <w:pStyle w:val="VersoIngls01Sangria"/>
      </w:pPr>
      <w:r w:rsidRPr="00DC1A5F">
        <w:t xml:space="preserve">El resultado tiene al </w:t>
      </w:r>
      <w:proofErr w:type="spellStart"/>
      <w:r w:rsidRPr="00DC1A5F">
        <w:rPr>
          <w:i/>
        </w:rPr>
        <w:t>kamma</w:t>
      </w:r>
      <w:proofErr w:type="spellEnd"/>
      <w:r w:rsidRPr="00DC1A5F">
        <w:t xml:space="preserve"> como su fuente, </w:t>
      </w:r>
    </w:p>
    <w:p w14:paraId="54869A60" w14:textId="77777777" w:rsidR="00597DE2" w:rsidRPr="00DC1A5F" w:rsidRDefault="00597DE2" w:rsidP="00597DE2">
      <w:pPr>
        <w:pStyle w:val="VersoIngls01Sangria"/>
      </w:pPr>
      <w:r w:rsidRPr="00DC1A5F">
        <w:t xml:space="preserve">El futuro devenir brotará del </w:t>
      </w:r>
      <w:proofErr w:type="spellStart"/>
      <w:r w:rsidRPr="00DC1A5F">
        <w:rPr>
          <w:i/>
        </w:rPr>
        <w:t>kamma</w:t>
      </w:r>
      <w:proofErr w:type="spellEnd"/>
      <w:r w:rsidRPr="00DC1A5F">
        <w:t xml:space="preserve">, </w:t>
      </w:r>
    </w:p>
    <w:p w14:paraId="4ADD3DC6" w14:textId="77777777" w:rsidR="00597DE2" w:rsidRPr="00DC1A5F" w:rsidRDefault="00597DE2" w:rsidP="00597DE2">
      <w:pPr>
        <w:pStyle w:val="VersoIngls01Sangria"/>
        <w:spacing w:after="100"/>
        <w:ind w:left="1418"/>
      </w:pPr>
      <w:r w:rsidRPr="00DC1A5F">
        <w:t>Y así es cómo gira el mundo.</w:t>
      </w:r>
    </w:p>
    <w:p w14:paraId="2497BA29" w14:textId="77777777" w:rsidR="00597DE2" w:rsidRPr="00DC1A5F" w:rsidRDefault="00597DE2" w:rsidP="00597DE2">
      <w:pPr>
        <w:pStyle w:val="Textoindependiente"/>
      </w:pPr>
      <w:r w:rsidRPr="00DC1A5F">
        <w:t xml:space="preserve">19. </w:t>
      </w:r>
      <w:r w:rsidRPr="00DC1A5F">
        <w:tab/>
        <w:t>Cuando él observe así, abandonará toda su incertidumbre, es decir, las 16 clases descritas en el pasaje que comienza: “¿Fui yo en el pasado?” [ver §6].</w:t>
      </w:r>
    </w:p>
    <w:p w14:paraId="6BCD7994" w14:textId="77777777" w:rsidR="00597DE2" w:rsidRPr="00DC1A5F" w:rsidRDefault="00597DE2" w:rsidP="00597DE2">
      <w:pPr>
        <w:pStyle w:val="Ttulo3"/>
        <w:ind w:left="708"/>
      </w:pPr>
      <w:r w:rsidRPr="00DC1A5F">
        <w:t xml:space="preserve">[No Existe ningún Perpetrador Aparte Del </w:t>
      </w:r>
      <w:proofErr w:type="spellStart"/>
      <w:r w:rsidRPr="00DC1A5F">
        <w:rPr>
          <w:i/>
        </w:rPr>
        <w:t>Kamma</w:t>
      </w:r>
      <w:proofErr w:type="spellEnd"/>
      <w:r w:rsidRPr="00DC1A5F">
        <w:t xml:space="preserve"> y de su Resultado]</w:t>
      </w:r>
    </w:p>
    <w:p w14:paraId="44BE15EE" w14:textId="77777777" w:rsidR="00597DE2" w:rsidRPr="00DC1A5F" w:rsidRDefault="00597DE2" w:rsidP="00597DE2">
      <w:pPr>
        <w:pStyle w:val="Textoindependiente"/>
      </w:pPr>
      <w:r w:rsidRPr="00DC1A5F">
        <w:t>En todos los tipos de devenir, generación, destino, estación y plano existencial, sólo aparecerá la mentalidad–materialidad, que se producirá por medio del vínculo de la causa con el efecto. Él no observará a ningún hacedor por encima de la acción, a ningún experimentador del resultado por encima de la ocurrencia del resultado. No obstante, él observará claramente con entendimiento correcto que los sabios dicen “hacedor” cuando haya acción y “experimentador” cuando haya experiencia, simplemente como un modo de uso del lenguaje común.</w:t>
      </w:r>
    </w:p>
    <w:p w14:paraId="4B5C2C58" w14:textId="77777777" w:rsidR="00597DE2" w:rsidRPr="00DC1A5F" w:rsidRDefault="00597DE2" w:rsidP="00597DE2">
      <w:pPr>
        <w:pStyle w:val="Textoindependiente"/>
      </w:pPr>
      <w:r w:rsidRPr="00DC1A5F">
        <w:t xml:space="preserve">20. </w:t>
      </w:r>
      <w:r w:rsidRPr="00DC1A5F">
        <w:tab/>
        <w:t>Por eso los Venerables afirmaron:</w:t>
      </w:r>
    </w:p>
    <w:p w14:paraId="2A1E007D" w14:textId="77777777" w:rsidR="00597DE2" w:rsidRPr="00DC1A5F" w:rsidRDefault="00597DE2" w:rsidP="00597DE2">
      <w:pPr>
        <w:pStyle w:val="VersoIngls01Sangria"/>
      </w:pPr>
      <w:r w:rsidRPr="00DC1A5F">
        <w:t>No existe ningún perpetrador de una acción</w:t>
      </w:r>
    </w:p>
    <w:p w14:paraId="5C05910D" w14:textId="77777777" w:rsidR="00597DE2" w:rsidRPr="00DC1A5F" w:rsidRDefault="00597DE2" w:rsidP="00597DE2">
      <w:pPr>
        <w:pStyle w:val="VersoIngls01Sangria"/>
      </w:pPr>
      <w:r w:rsidRPr="00DC1A5F">
        <w:t>O el que coseche el resultado de una acción;</w:t>
      </w:r>
    </w:p>
    <w:p w14:paraId="5C9A912A" w14:textId="77777777" w:rsidR="00597DE2" w:rsidRPr="00DC1A5F" w:rsidRDefault="00597DE2" w:rsidP="00597DE2">
      <w:pPr>
        <w:pStyle w:val="VersoIngls01Sangria"/>
      </w:pPr>
      <w:r w:rsidRPr="00DC1A5F">
        <w:t>Sólo existen fenómenos que fluyen al respecto —</w:t>
      </w:r>
    </w:p>
    <w:p w14:paraId="30BFD23F" w14:textId="77777777" w:rsidR="00597DE2" w:rsidRPr="00DC1A5F" w:rsidRDefault="00597DE2" w:rsidP="00597DE2">
      <w:pPr>
        <w:pStyle w:val="VersoIngls01Sangria"/>
        <w:spacing w:after="100"/>
        <w:ind w:left="1418"/>
      </w:pPr>
      <w:r w:rsidRPr="00DC1A5F">
        <w:t>Ningún otro punto de vista que éste será el correcto.</w:t>
      </w:r>
    </w:p>
    <w:p w14:paraId="49F19A7F" w14:textId="77777777" w:rsidR="00597DE2" w:rsidRPr="00DC1A5F" w:rsidRDefault="00597DE2" w:rsidP="00597DE2">
      <w:pPr>
        <w:pStyle w:val="VersoIngls01Sangria"/>
      </w:pPr>
      <w:r w:rsidRPr="00DC1A5F">
        <w:t xml:space="preserve">Y así, mientras </w:t>
      </w:r>
      <w:proofErr w:type="spellStart"/>
      <w:r w:rsidRPr="00DC1A5F">
        <w:rPr>
          <w:i/>
        </w:rPr>
        <w:t>kamma</w:t>
      </w:r>
      <w:proofErr w:type="spellEnd"/>
      <w:r w:rsidRPr="00DC1A5F">
        <w:t xml:space="preserve"> y resultado</w:t>
      </w:r>
    </w:p>
    <w:p w14:paraId="54C0CB48" w14:textId="77777777" w:rsidR="00597DE2" w:rsidRPr="00DC1A5F" w:rsidRDefault="00597DE2" w:rsidP="00597DE2">
      <w:pPr>
        <w:pStyle w:val="VersoIngls01Sangria"/>
      </w:pPr>
      <w:r w:rsidRPr="00DC1A5F">
        <w:t xml:space="preserve">Mantengan causalmente su ciclo, </w:t>
      </w:r>
    </w:p>
    <w:p w14:paraId="03437E7F" w14:textId="77777777" w:rsidR="00597DE2" w:rsidRPr="00DC1A5F" w:rsidRDefault="00597DE2" w:rsidP="00597DE2">
      <w:pPr>
        <w:pStyle w:val="VersoIngls01Sangria"/>
      </w:pPr>
      <w:r w:rsidRPr="00DC1A5F">
        <w:t xml:space="preserve">Como la semilla y el árbol suceden a su vez, </w:t>
      </w:r>
    </w:p>
    <w:p w14:paraId="4F5892D8" w14:textId="77777777" w:rsidR="00597DE2" w:rsidRPr="00DC1A5F" w:rsidRDefault="00597DE2" w:rsidP="00597DE2">
      <w:pPr>
        <w:pStyle w:val="VersoIngls01Sangria"/>
        <w:spacing w:after="100"/>
        <w:ind w:left="1418"/>
      </w:pPr>
      <w:r w:rsidRPr="00DC1A5F">
        <w:t>No se podrá mostrar un primer comienzo.</w:t>
      </w:r>
    </w:p>
    <w:p w14:paraId="140657F8" w14:textId="77777777" w:rsidR="00597DE2" w:rsidRPr="00DC1A5F" w:rsidRDefault="00597DE2" w:rsidP="00597DE2">
      <w:pPr>
        <w:pStyle w:val="VersoIngls01Sangria"/>
      </w:pPr>
      <w:r w:rsidRPr="00DC1A5F">
        <w:t xml:space="preserve">Ni en el futuro ciclo de renacimientos </w:t>
      </w:r>
    </w:p>
    <w:p w14:paraId="52697400" w14:textId="77777777" w:rsidR="00597DE2" w:rsidRPr="00DC1A5F" w:rsidRDefault="00597DE2" w:rsidP="00597DE2">
      <w:pPr>
        <w:pStyle w:val="VersoIngls01Sangria"/>
      </w:pPr>
      <w:r w:rsidRPr="00DC1A5F">
        <w:t>Se podrá demostrar que no ocurrirán:</w:t>
      </w:r>
    </w:p>
    <w:p w14:paraId="3293F29A" w14:textId="77777777" w:rsidR="00597DE2" w:rsidRPr="00DC1A5F" w:rsidRDefault="00597DE2" w:rsidP="00597DE2">
      <w:pPr>
        <w:pStyle w:val="VersoIngls01Sangria"/>
      </w:pPr>
      <w:r w:rsidRPr="00DC1A5F">
        <w:t>Los sectarios, sin saber esto,</w:t>
      </w:r>
    </w:p>
    <w:p w14:paraId="70CEC62C" w14:textId="77777777" w:rsidR="00597DE2" w:rsidRPr="00DC1A5F" w:rsidRDefault="00597DE2" w:rsidP="00597DE2">
      <w:pPr>
        <w:pStyle w:val="VersoIngls01Sangria"/>
        <w:spacing w:after="100"/>
        <w:ind w:left="1418"/>
      </w:pPr>
      <w:r w:rsidRPr="00DC1A5F">
        <w:t>No han podido desarrollar el dominio sobre sí mismos. [603]</w:t>
      </w:r>
    </w:p>
    <w:p w14:paraId="47958A15" w14:textId="77777777" w:rsidR="00597DE2" w:rsidRPr="00DC1A5F" w:rsidRDefault="00597DE2" w:rsidP="00597DE2">
      <w:pPr>
        <w:pStyle w:val="VersoIngls01Sangria"/>
      </w:pPr>
      <w:r w:rsidRPr="00DC1A5F">
        <w:t xml:space="preserve">Asumen a un ser, lo ven como </w:t>
      </w:r>
    </w:p>
    <w:p w14:paraId="4EDF2A75" w14:textId="77777777" w:rsidR="00597DE2" w:rsidRPr="00DC1A5F" w:rsidRDefault="00597DE2" w:rsidP="00597DE2">
      <w:pPr>
        <w:pStyle w:val="VersoIngls01Sangria"/>
      </w:pPr>
      <w:r w:rsidRPr="00DC1A5F">
        <w:t>Eterno o destruido.</w:t>
      </w:r>
    </w:p>
    <w:p w14:paraId="626CBABF" w14:textId="77777777" w:rsidR="00597DE2" w:rsidRPr="00DC1A5F" w:rsidRDefault="00597DE2" w:rsidP="00597DE2">
      <w:pPr>
        <w:pStyle w:val="VersoIngls01Sangria"/>
      </w:pPr>
      <w:r w:rsidRPr="00DC1A5F">
        <w:t xml:space="preserve">Adoptan una de las sesenta y dos visiones incorrectas, </w:t>
      </w:r>
    </w:p>
    <w:p w14:paraId="00450EFA" w14:textId="77777777" w:rsidR="00597DE2" w:rsidRPr="00DC1A5F" w:rsidRDefault="00597DE2" w:rsidP="00597DE2">
      <w:pPr>
        <w:pStyle w:val="VersoIngls01Sangria"/>
        <w:spacing w:after="100"/>
        <w:ind w:left="1418"/>
      </w:pPr>
      <w:r w:rsidRPr="00DC1A5F">
        <w:t>Cada una contradiciéndose entre sí.</w:t>
      </w:r>
    </w:p>
    <w:p w14:paraId="745C3B46" w14:textId="77777777" w:rsidR="00597DE2" w:rsidRPr="00DC1A5F" w:rsidRDefault="00597DE2" w:rsidP="00597DE2">
      <w:pPr>
        <w:pStyle w:val="VersoIngls01Sangria"/>
      </w:pPr>
      <w:r w:rsidRPr="00DC1A5F">
        <w:t xml:space="preserve">La corriente del deseo los arrastrará </w:t>
      </w:r>
    </w:p>
    <w:p w14:paraId="115ADDF3" w14:textId="77777777" w:rsidR="00597DE2" w:rsidRPr="00DC1A5F" w:rsidRDefault="00597DE2" w:rsidP="00597DE2">
      <w:pPr>
        <w:pStyle w:val="VersoIngls01Sangria"/>
      </w:pPr>
      <w:r w:rsidRPr="00DC1A5F">
        <w:t xml:space="preserve">Atrapados en las mallas de sus visiones incorrectas: </w:t>
      </w:r>
    </w:p>
    <w:p w14:paraId="66017C55" w14:textId="77777777" w:rsidR="00597DE2" w:rsidRPr="00DC1A5F" w:rsidRDefault="00597DE2" w:rsidP="00597DE2">
      <w:pPr>
        <w:pStyle w:val="VersoIngls01Sangria"/>
      </w:pPr>
      <w:r w:rsidRPr="00DC1A5F">
        <w:t xml:space="preserve">Y mientras la corriente los arrastre así, </w:t>
      </w:r>
    </w:p>
    <w:p w14:paraId="620BA68A" w14:textId="77777777" w:rsidR="00597DE2" w:rsidRPr="00DC1A5F" w:rsidRDefault="00597DE2" w:rsidP="00597DE2">
      <w:pPr>
        <w:pStyle w:val="VersoIngls01Sangria"/>
        <w:spacing w:after="100"/>
        <w:ind w:left="1418"/>
      </w:pPr>
      <w:r w:rsidRPr="00DC1A5F">
        <w:t>No se liberarán del sufrimiento.</w:t>
      </w:r>
    </w:p>
    <w:p w14:paraId="7400D7EB" w14:textId="77777777" w:rsidR="00597DE2" w:rsidRPr="00DC1A5F" w:rsidRDefault="00597DE2" w:rsidP="00597DE2">
      <w:pPr>
        <w:pStyle w:val="VersoIngls01Sangria"/>
      </w:pPr>
      <w:r w:rsidRPr="00DC1A5F">
        <w:t xml:space="preserve">Un monje, un discípulo del </w:t>
      </w:r>
      <w:r w:rsidRPr="00DC1A5F">
        <w:rPr>
          <w:i/>
        </w:rPr>
        <w:t>Buddha</w:t>
      </w:r>
      <w:r w:rsidRPr="00DC1A5F">
        <w:t>,</w:t>
      </w:r>
    </w:p>
    <w:p w14:paraId="5F683FC4" w14:textId="77777777" w:rsidR="00597DE2" w:rsidRPr="00DC1A5F" w:rsidRDefault="00597DE2" w:rsidP="00597DE2">
      <w:pPr>
        <w:pStyle w:val="VersoIngls01Sangria"/>
      </w:pPr>
      <w:r w:rsidRPr="00DC1A5F">
        <w:t>Con el conocimiento directo sobre esta realidad fáctica</w:t>
      </w:r>
    </w:p>
    <w:p w14:paraId="3D632389" w14:textId="77777777" w:rsidR="00597DE2" w:rsidRPr="00DC1A5F" w:rsidRDefault="00597DE2" w:rsidP="00597DE2">
      <w:pPr>
        <w:pStyle w:val="VersoIngls01Sangria"/>
      </w:pPr>
      <w:r w:rsidRPr="00DC1A5F">
        <w:t xml:space="preserve">Podrá penetrar en esta profunda y sutil </w:t>
      </w:r>
    </w:p>
    <w:p w14:paraId="1F5716BD" w14:textId="77777777" w:rsidR="00597DE2" w:rsidRPr="00DC1A5F" w:rsidRDefault="00597DE2" w:rsidP="00597DE2">
      <w:pPr>
        <w:pStyle w:val="VersoIngls01Sangria"/>
        <w:spacing w:after="100"/>
        <w:ind w:left="1418"/>
      </w:pPr>
      <w:r w:rsidRPr="00DC1A5F">
        <w:t>Condicionalidad del Vacío.</w:t>
      </w:r>
    </w:p>
    <w:p w14:paraId="6B100D93" w14:textId="77777777" w:rsidR="00597DE2" w:rsidRPr="00DC1A5F" w:rsidRDefault="00597DE2" w:rsidP="00597DE2">
      <w:pPr>
        <w:tabs>
          <w:tab w:val="clear" w:pos="425"/>
        </w:tabs>
        <w:spacing w:after="160"/>
      </w:pPr>
      <w:r w:rsidRPr="00DC1A5F">
        <w:br w:type="page"/>
      </w:r>
    </w:p>
    <w:p w14:paraId="61E5B417" w14:textId="77777777" w:rsidR="00597DE2" w:rsidRPr="00DC1A5F" w:rsidRDefault="00597DE2" w:rsidP="00597DE2">
      <w:pPr>
        <w:pStyle w:val="VersoIngls01Sangria"/>
        <w:spacing w:after="100"/>
        <w:ind w:left="1418"/>
      </w:pPr>
    </w:p>
    <w:p w14:paraId="443AC194" w14:textId="77777777" w:rsidR="00597DE2" w:rsidRPr="00DC1A5F" w:rsidRDefault="00597DE2" w:rsidP="00597DE2">
      <w:pPr>
        <w:pStyle w:val="VersoIngls01Sangria"/>
      </w:pPr>
      <w:r w:rsidRPr="00DC1A5F">
        <w:t xml:space="preserve">No existe </w:t>
      </w:r>
      <w:proofErr w:type="spellStart"/>
      <w:r w:rsidRPr="00DC1A5F">
        <w:rPr>
          <w:i/>
        </w:rPr>
        <w:t>kamma</w:t>
      </w:r>
      <w:proofErr w:type="spellEnd"/>
      <w:r w:rsidRPr="00DC1A5F">
        <w:t xml:space="preserve"> en el resultado,</w:t>
      </w:r>
    </w:p>
    <w:p w14:paraId="1D2121D6" w14:textId="77777777" w:rsidR="00597DE2" w:rsidRPr="00DC1A5F" w:rsidRDefault="00597DE2" w:rsidP="00597DE2">
      <w:pPr>
        <w:pStyle w:val="VersoIngls01Sangria"/>
      </w:pPr>
      <w:r w:rsidRPr="00DC1A5F">
        <w:t xml:space="preserve">Tampoco existe resultado en el </w:t>
      </w:r>
      <w:proofErr w:type="spellStart"/>
      <w:r w:rsidRPr="00DC1A5F">
        <w:rPr>
          <w:i/>
        </w:rPr>
        <w:t>kamma</w:t>
      </w:r>
      <w:proofErr w:type="spellEnd"/>
      <w:r w:rsidRPr="00DC1A5F">
        <w:t xml:space="preserve">; </w:t>
      </w:r>
    </w:p>
    <w:p w14:paraId="1B1BC4C5" w14:textId="77777777" w:rsidR="00597DE2" w:rsidRPr="00DC1A5F" w:rsidRDefault="00597DE2" w:rsidP="00597DE2">
      <w:pPr>
        <w:pStyle w:val="VersoIngls01Sangria"/>
      </w:pPr>
      <w:r w:rsidRPr="00DC1A5F">
        <w:t xml:space="preserve">Aunque estén vacíos el uno del otro, </w:t>
      </w:r>
    </w:p>
    <w:p w14:paraId="13586B9F" w14:textId="77777777" w:rsidR="00597DE2" w:rsidRPr="00DC1A5F" w:rsidRDefault="00597DE2" w:rsidP="00597DE2">
      <w:pPr>
        <w:pStyle w:val="VersoIngls01Sangria"/>
        <w:spacing w:after="100"/>
        <w:ind w:left="1418"/>
      </w:pPr>
      <w:r w:rsidRPr="00DC1A5F">
        <w:t xml:space="preserve">No existirá un efecto sin un </w:t>
      </w:r>
      <w:proofErr w:type="spellStart"/>
      <w:r w:rsidRPr="00DC1A5F">
        <w:rPr>
          <w:i/>
        </w:rPr>
        <w:t>kamma</w:t>
      </w:r>
      <w:proofErr w:type="spellEnd"/>
      <w:r w:rsidRPr="00DC1A5F">
        <w:t>.</w:t>
      </w:r>
    </w:p>
    <w:p w14:paraId="42257320" w14:textId="77777777" w:rsidR="00597DE2" w:rsidRPr="00DC1A5F" w:rsidRDefault="00597DE2" w:rsidP="00597DE2">
      <w:pPr>
        <w:pStyle w:val="VersoIngls01Sangria"/>
      </w:pPr>
      <w:r w:rsidRPr="00DC1A5F">
        <w:t>Como el fuego no existe dentro</w:t>
      </w:r>
    </w:p>
    <w:p w14:paraId="31BE6D97" w14:textId="77777777" w:rsidR="00597DE2" w:rsidRPr="00DC1A5F" w:rsidRDefault="00597DE2" w:rsidP="00597DE2">
      <w:pPr>
        <w:pStyle w:val="VersoIngls01Sangria"/>
      </w:pPr>
      <w:r w:rsidRPr="00DC1A5F">
        <w:t>Del Sol, una joya, el estiércol de la vaca, ni siquiera</w:t>
      </w:r>
    </w:p>
    <w:p w14:paraId="717F00F6" w14:textId="77777777" w:rsidR="00597DE2" w:rsidRPr="00DC1A5F" w:rsidRDefault="00597DE2" w:rsidP="00597DE2">
      <w:pPr>
        <w:pStyle w:val="VersoIngls01Sangria"/>
      </w:pPr>
      <w:r w:rsidRPr="00DC1A5F">
        <w:t xml:space="preserve">Fuera de ella, llegará a darse, no obstante, sino </w:t>
      </w:r>
    </w:p>
    <w:p w14:paraId="3054C5AB" w14:textId="77777777" w:rsidR="00597DE2" w:rsidRPr="00DC1A5F" w:rsidRDefault="00597DE2" w:rsidP="00597DE2">
      <w:pPr>
        <w:pStyle w:val="VersoIngls01Sangria"/>
        <w:spacing w:after="100"/>
        <w:ind w:left="1418"/>
      </w:pPr>
      <w:r w:rsidRPr="00DC1A5F">
        <w:t>Por medio de sus partes componentes,</w:t>
      </w:r>
    </w:p>
    <w:p w14:paraId="3F3004F7" w14:textId="77777777" w:rsidR="00597DE2" w:rsidRPr="00DC1A5F" w:rsidRDefault="00597DE2" w:rsidP="00597DE2">
      <w:pPr>
        <w:pStyle w:val="VersoIngls01Sangria"/>
      </w:pPr>
      <w:r w:rsidRPr="00DC1A5F">
        <w:t>Así que tampoco se podrá encontrar el resultado.</w:t>
      </w:r>
    </w:p>
    <w:p w14:paraId="303B5B63" w14:textId="77777777" w:rsidR="00597DE2" w:rsidRPr="00DC1A5F" w:rsidRDefault="00597DE2" w:rsidP="00597DE2">
      <w:pPr>
        <w:pStyle w:val="VersoIngls01Sangria"/>
      </w:pPr>
      <w:r w:rsidRPr="00DC1A5F">
        <w:t xml:space="preserve">Dentro del </w:t>
      </w:r>
      <w:proofErr w:type="spellStart"/>
      <w:r w:rsidRPr="00DC1A5F">
        <w:rPr>
          <w:i/>
        </w:rPr>
        <w:t>kamma</w:t>
      </w:r>
      <w:proofErr w:type="spellEnd"/>
      <w:r w:rsidRPr="00DC1A5F">
        <w:t xml:space="preserve">, ni fuera; </w:t>
      </w:r>
    </w:p>
    <w:p w14:paraId="702DAEC4" w14:textId="77777777" w:rsidR="00597DE2" w:rsidRPr="00DC1A5F" w:rsidRDefault="00597DE2" w:rsidP="00597DE2">
      <w:pPr>
        <w:pStyle w:val="VersoIngls01Sangria"/>
      </w:pPr>
      <w:r w:rsidRPr="00DC1A5F">
        <w:t xml:space="preserve">El </w:t>
      </w:r>
      <w:proofErr w:type="spellStart"/>
      <w:r w:rsidRPr="00DC1A5F">
        <w:rPr>
          <w:i/>
        </w:rPr>
        <w:t>kamma</w:t>
      </w:r>
      <w:proofErr w:type="spellEnd"/>
      <w:r w:rsidRPr="00DC1A5F">
        <w:t xml:space="preserve"> tampoco persistirá </w:t>
      </w:r>
    </w:p>
    <w:p w14:paraId="23969230" w14:textId="77777777" w:rsidR="00597DE2" w:rsidRPr="00DC1A5F" w:rsidRDefault="00597DE2" w:rsidP="00597DE2">
      <w:pPr>
        <w:pStyle w:val="VersoIngls01Sangria"/>
        <w:spacing w:after="100"/>
        <w:ind w:left="1418"/>
      </w:pPr>
      <w:r w:rsidRPr="00DC1A5F">
        <w:t>en el resultado que haya producido.</w:t>
      </w:r>
    </w:p>
    <w:p w14:paraId="6272EE03" w14:textId="77777777" w:rsidR="00597DE2" w:rsidRPr="00DC1A5F" w:rsidRDefault="00597DE2" w:rsidP="00597DE2">
      <w:pPr>
        <w:pStyle w:val="VersoIngls01Sangria"/>
      </w:pPr>
      <w:r w:rsidRPr="00DC1A5F">
        <w:t xml:space="preserve">El </w:t>
      </w:r>
      <w:proofErr w:type="spellStart"/>
      <w:r w:rsidRPr="00DC1A5F">
        <w:rPr>
          <w:i/>
        </w:rPr>
        <w:t>kamma</w:t>
      </w:r>
      <w:proofErr w:type="spellEnd"/>
      <w:r w:rsidRPr="00DC1A5F">
        <w:t xml:space="preserve"> de su efecto será nulo;</w:t>
      </w:r>
    </w:p>
    <w:p w14:paraId="6E21DA3B" w14:textId="77777777" w:rsidR="00597DE2" w:rsidRPr="00DC1A5F" w:rsidRDefault="00597DE2" w:rsidP="00597DE2">
      <w:pPr>
        <w:pStyle w:val="VersoIngls01Sangria"/>
      </w:pPr>
      <w:r w:rsidRPr="00DC1A5F">
        <w:t xml:space="preserve">No existirá ningún efecto inclusive en el </w:t>
      </w:r>
      <w:proofErr w:type="spellStart"/>
      <w:r w:rsidRPr="00DC1A5F">
        <w:rPr>
          <w:i/>
        </w:rPr>
        <w:t>kamma</w:t>
      </w:r>
      <w:proofErr w:type="spellEnd"/>
      <w:r w:rsidRPr="00DC1A5F">
        <w:t>;</w:t>
      </w:r>
    </w:p>
    <w:p w14:paraId="23BDEDEA" w14:textId="77777777" w:rsidR="00597DE2" w:rsidRPr="00DC1A5F" w:rsidRDefault="00597DE2" w:rsidP="00597DE2">
      <w:pPr>
        <w:pStyle w:val="VersoIngls01Sangria"/>
      </w:pPr>
      <w:r w:rsidRPr="00DC1A5F">
        <w:t>Y aun así, el efecto surgirá de él,</w:t>
      </w:r>
    </w:p>
    <w:p w14:paraId="485CF3D0" w14:textId="77777777" w:rsidR="00597DE2" w:rsidRPr="00DC1A5F" w:rsidRDefault="00597DE2" w:rsidP="00597DE2">
      <w:pPr>
        <w:pStyle w:val="VersoIngls01Sangria"/>
        <w:spacing w:after="100"/>
        <w:ind w:left="1418"/>
      </w:pPr>
      <w:r w:rsidRPr="00DC1A5F">
        <w:t xml:space="preserve">Totalmente dependiente del </w:t>
      </w:r>
      <w:proofErr w:type="spellStart"/>
      <w:r w:rsidRPr="00DC1A5F">
        <w:rPr>
          <w:i/>
        </w:rPr>
        <w:t>kamma</w:t>
      </w:r>
      <w:proofErr w:type="spellEnd"/>
      <w:r w:rsidRPr="00DC1A5F">
        <w:t>.</w:t>
      </w:r>
    </w:p>
    <w:p w14:paraId="3102492E" w14:textId="77777777" w:rsidR="00597DE2" w:rsidRPr="00DC1A5F" w:rsidRDefault="00597DE2" w:rsidP="00597DE2">
      <w:pPr>
        <w:pStyle w:val="VersoIngls01Sangria"/>
      </w:pPr>
      <w:r w:rsidRPr="00DC1A5F">
        <w:t xml:space="preserve">Ya que no existe aquí un Dios </w:t>
      </w:r>
      <w:r w:rsidRPr="00DC1A5F">
        <w:rPr>
          <w:i/>
        </w:rPr>
        <w:t>Brahmā</w:t>
      </w:r>
      <w:r w:rsidRPr="00DC1A5F">
        <w:t>,</w:t>
      </w:r>
    </w:p>
    <w:p w14:paraId="3FBE42A7" w14:textId="77777777" w:rsidR="00597DE2" w:rsidRPr="00DC1A5F" w:rsidRDefault="00597DE2" w:rsidP="00597DE2">
      <w:pPr>
        <w:pStyle w:val="VersoIngls01Sangria"/>
      </w:pPr>
      <w:r w:rsidRPr="00DC1A5F">
        <w:t>Creador del ciclo de renacimientos,</w:t>
      </w:r>
    </w:p>
    <w:p w14:paraId="010FCB73" w14:textId="77777777" w:rsidR="00597DE2" w:rsidRPr="00DC1A5F" w:rsidRDefault="00597DE2" w:rsidP="00597DE2">
      <w:pPr>
        <w:pStyle w:val="VersoIngls01Sangria"/>
      </w:pPr>
      <w:r w:rsidRPr="00DC1A5F">
        <w:t>Sólo existen fenómenos que fluyen al respecto —</w:t>
      </w:r>
    </w:p>
    <w:p w14:paraId="55FCB8E4" w14:textId="77777777" w:rsidR="00597DE2" w:rsidRPr="00DC1A5F" w:rsidRDefault="00597DE2" w:rsidP="00597DE2">
      <w:pPr>
        <w:pStyle w:val="VersoIngls01Sangria"/>
        <w:spacing w:after="100"/>
        <w:ind w:left="1418"/>
      </w:pPr>
      <w:r w:rsidRPr="00DC1A5F">
        <w:t>Causa y componente de su condición.</w:t>
      </w:r>
    </w:p>
    <w:p w14:paraId="5B4DF2EC" w14:textId="77777777" w:rsidR="00597DE2" w:rsidRPr="00DC1A5F" w:rsidRDefault="00597DE2" w:rsidP="00597DE2">
      <w:pPr>
        <w:pStyle w:val="Ttulo3"/>
        <w:ind w:left="708"/>
      </w:pPr>
      <w:r w:rsidRPr="00DC1A5F">
        <w:t>[Total Entendimiento sobre lo Conocido]</w:t>
      </w:r>
    </w:p>
    <w:p w14:paraId="586D22D9" w14:textId="77777777" w:rsidR="00597DE2" w:rsidRPr="00DC1A5F" w:rsidRDefault="00597DE2" w:rsidP="00597DE2">
      <w:r w:rsidRPr="00DC1A5F">
        <w:t xml:space="preserve">21. </w:t>
      </w:r>
      <w:r w:rsidRPr="00DC1A5F">
        <w:tab/>
        <w:t xml:space="preserve">Cuando él haya discernido así sobre las condiciones de la mentalidad–materialidad por medio del ciclo </w:t>
      </w:r>
      <w:proofErr w:type="spellStart"/>
      <w:r w:rsidRPr="00DC1A5F">
        <w:rPr>
          <w:i/>
        </w:rPr>
        <w:t>kammico</w:t>
      </w:r>
      <w:proofErr w:type="spellEnd"/>
      <w:r w:rsidRPr="00DC1A5F">
        <w:t xml:space="preserve"> y del ciclo del resultado </w:t>
      </w:r>
      <w:proofErr w:type="spellStart"/>
      <w:r w:rsidRPr="00DC1A5F">
        <w:rPr>
          <w:i/>
        </w:rPr>
        <w:t>kammico</w:t>
      </w:r>
      <w:proofErr w:type="spellEnd"/>
      <w:r w:rsidRPr="00DC1A5F">
        <w:t>, y haya abandonado la incertidumbre acerca de los tres períodos de tiempo, entonces todos los estados pasados, presentes y futuros serán entendidos por él de acuerdo con la muerte y el renacimiento. Éste corresponderá a su total entendimiento sobre lo conocido (ver XX.3).</w:t>
      </w:r>
    </w:p>
    <w:p w14:paraId="6DDEB3E0" w14:textId="77777777" w:rsidR="00597DE2" w:rsidRPr="00DC1A5F" w:rsidRDefault="00597DE2" w:rsidP="00597DE2">
      <w:r w:rsidRPr="00DC1A5F">
        <w:t xml:space="preserve">22. </w:t>
      </w:r>
      <w:r w:rsidRPr="00DC1A5F">
        <w:tab/>
        <w:t xml:space="preserve">Él entenderá así: “Los agregados producidos en el pasado con el </w:t>
      </w:r>
      <w:proofErr w:type="spellStart"/>
      <w:r w:rsidRPr="00DC1A5F">
        <w:rPr>
          <w:i/>
        </w:rPr>
        <w:t>kamma</w:t>
      </w:r>
      <w:proofErr w:type="spellEnd"/>
      <w:r w:rsidRPr="00DC1A5F">
        <w:t xml:space="preserve"> como su condición han cesado allí también. No obstante, otros agregados se producirán en este devenir con el </w:t>
      </w:r>
      <w:proofErr w:type="spellStart"/>
      <w:r w:rsidRPr="00DC1A5F">
        <w:rPr>
          <w:i/>
        </w:rPr>
        <w:t>kamma</w:t>
      </w:r>
      <w:proofErr w:type="spellEnd"/>
      <w:r w:rsidRPr="00DC1A5F">
        <w:t xml:space="preserve"> pasado como su condición, aunque no exista ni una sola cosa que haya trascendido del devenir pasado hacia este devenir. Y los agregados producidos en este devenir, con el </w:t>
      </w:r>
      <w:proofErr w:type="spellStart"/>
      <w:r w:rsidRPr="00DC1A5F">
        <w:rPr>
          <w:i/>
        </w:rPr>
        <w:t>kamma</w:t>
      </w:r>
      <w:proofErr w:type="spellEnd"/>
      <w:r w:rsidRPr="00DC1A5F">
        <w:t xml:space="preserve"> como su condición, cesarán. Y en el futuro devenir se producirán otros agregados, aunque ninguna sola cosa pasará de este devenir hacia el futuro devenir.</w:t>
      </w:r>
    </w:p>
    <w:p w14:paraId="13A77870" w14:textId="77777777" w:rsidR="00597DE2" w:rsidRPr="00DC1A5F" w:rsidRDefault="00597DE2" w:rsidP="00597DE2">
      <w:pPr>
        <w:pStyle w:val="NormalConSangria"/>
      </w:pPr>
      <w:r w:rsidRPr="00DC1A5F">
        <w:t xml:space="preserve">“Además, así como la recitación de la boca de un maestro no entraría en la boca de un discípulo, la recitación no por ello dejaría de tener lugar en la boca del discípulo — y así como la poción bebida por un médico no entraría en el estómago del hombre enfermo, aunque la enfermedad no dejase de curar debido a ello — así como la disposición de unos adornos en el rostro podría no reflejarse en dicho rostro a través de un espejo, no obstante, la disposición de los adornos no se reflejaría debido a su falla en reflejarse — así como la llama de una lámpara no se movería de una mecha a otra y sin embargo, la llama no dejaría de producirse por ello — así mismo, mientras nada se mueva del devenir pasado hacia este devenir, o de éste devenir hacia </w:t>
      </w:r>
    </w:p>
    <w:p w14:paraId="1AC40F12" w14:textId="77777777" w:rsidR="00597DE2" w:rsidRPr="00DC1A5F" w:rsidRDefault="00597DE2" w:rsidP="00597DE2">
      <w:pPr>
        <w:tabs>
          <w:tab w:val="clear" w:pos="425"/>
        </w:tabs>
        <w:spacing w:after="160"/>
      </w:pPr>
      <w:r w:rsidRPr="00DC1A5F">
        <w:br w:type="page"/>
      </w:r>
    </w:p>
    <w:p w14:paraId="6E82E9B9" w14:textId="77777777" w:rsidR="00597DE2" w:rsidRPr="00DC1A5F" w:rsidRDefault="00597DE2" w:rsidP="00597DE2">
      <w:pPr>
        <w:pStyle w:val="Textoindependiente"/>
      </w:pPr>
      <w:proofErr w:type="spellStart"/>
      <w:r w:rsidRPr="00DC1A5F">
        <w:lastRenderedPageBreak/>
        <w:t>uno</w:t>
      </w:r>
      <w:proofErr w:type="spellEnd"/>
      <w:r w:rsidRPr="00DC1A5F">
        <w:t xml:space="preserve"> futuro, [604] no obstante, los agregados, las bases y los elementos no dejarán de producirse aquí con los agregados, bases y elementos en el devenir pasado como su condición, o en el devenir futuro con los agregados, bases y elementos del presente como su condición.”</w:t>
      </w:r>
    </w:p>
    <w:p w14:paraId="2F4D4349" w14:textId="77777777" w:rsidR="00597DE2" w:rsidRPr="00DC1A5F" w:rsidRDefault="00597DE2" w:rsidP="00597DE2">
      <w:pPr>
        <w:pStyle w:val="VersoIngls01Sangria"/>
        <w:ind w:left="0"/>
        <w:rPr>
          <w:sz w:val="16"/>
          <w:szCs w:val="20"/>
        </w:rPr>
      </w:pPr>
      <w:r w:rsidRPr="00DC1A5F">
        <w:t xml:space="preserve">23. </w:t>
      </w:r>
      <w:r w:rsidRPr="00DC1A5F">
        <w:tab/>
      </w:r>
      <w:r w:rsidRPr="00DC1A5F">
        <w:tab/>
      </w:r>
      <w:r w:rsidRPr="00DC1A5F">
        <w:tab/>
      </w:r>
      <w:r w:rsidRPr="00DC1A5F">
        <w:rPr>
          <w:sz w:val="16"/>
          <w:szCs w:val="20"/>
        </w:rPr>
        <w:t>Así como la consciencia visual vendrá a continuación</w:t>
      </w:r>
    </w:p>
    <w:p w14:paraId="421B22B5" w14:textId="77777777" w:rsidR="00597DE2" w:rsidRPr="00DC1A5F" w:rsidRDefault="00597DE2" w:rsidP="00597DE2">
      <w:pPr>
        <w:pStyle w:val="VersoIngls01Sangria"/>
        <w:rPr>
          <w:sz w:val="16"/>
          <w:szCs w:val="20"/>
        </w:rPr>
      </w:pPr>
      <w:r w:rsidRPr="00DC1A5F">
        <w:rPr>
          <w:sz w:val="16"/>
          <w:szCs w:val="20"/>
        </w:rPr>
        <w:t>Siguiendo al elemento mental,</w:t>
      </w:r>
    </w:p>
    <w:p w14:paraId="260F55C5" w14:textId="77777777" w:rsidR="00597DE2" w:rsidRPr="00DC1A5F" w:rsidRDefault="00597DE2" w:rsidP="00597DE2">
      <w:pPr>
        <w:pStyle w:val="VersoIngls01Sangria"/>
        <w:rPr>
          <w:sz w:val="16"/>
          <w:szCs w:val="20"/>
        </w:rPr>
      </w:pPr>
      <w:r w:rsidRPr="00DC1A5F">
        <w:rPr>
          <w:sz w:val="16"/>
          <w:szCs w:val="20"/>
        </w:rPr>
        <w:t>Que, aunque no provenga de ello,</w:t>
      </w:r>
    </w:p>
    <w:p w14:paraId="355A1C24" w14:textId="77777777" w:rsidR="00597DE2" w:rsidRPr="00DC1A5F" w:rsidRDefault="00597DE2" w:rsidP="00597DE2">
      <w:pPr>
        <w:pStyle w:val="VersoIngls01Sangria"/>
        <w:spacing w:after="100"/>
        <w:ind w:left="1418"/>
        <w:rPr>
          <w:sz w:val="16"/>
          <w:szCs w:val="20"/>
        </w:rPr>
      </w:pPr>
      <w:r w:rsidRPr="00DC1A5F">
        <w:rPr>
          <w:sz w:val="16"/>
          <w:szCs w:val="20"/>
        </w:rPr>
        <w:t>Sin embargo, no dejará de ser producido,</w:t>
      </w:r>
    </w:p>
    <w:p w14:paraId="5CF6660C" w14:textId="77777777" w:rsidR="00597DE2" w:rsidRPr="00DC1A5F" w:rsidRDefault="00597DE2" w:rsidP="00597DE2">
      <w:pPr>
        <w:pStyle w:val="VersoIngls01Sangria"/>
        <w:rPr>
          <w:sz w:val="16"/>
          <w:szCs w:val="20"/>
        </w:rPr>
      </w:pPr>
      <w:r w:rsidRPr="00DC1A5F">
        <w:rPr>
          <w:sz w:val="16"/>
          <w:szCs w:val="20"/>
        </w:rPr>
        <w:t>Así también, en el vínculo–de–renacimiento,</w:t>
      </w:r>
    </w:p>
    <w:p w14:paraId="73B5B372" w14:textId="77777777" w:rsidR="00597DE2" w:rsidRPr="00DC1A5F" w:rsidRDefault="00597DE2" w:rsidP="00597DE2">
      <w:pPr>
        <w:pStyle w:val="VersoIngls01Sangria"/>
        <w:rPr>
          <w:sz w:val="16"/>
          <w:szCs w:val="20"/>
        </w:rPr>
      </w:pPr>
      <w:r w:rsidRPr="00DC1A5F">
        <w:rPr>
          <w:sz w:val="16"/>
          <w:szCs w:val="20"/>
        </w:rPr>
        <w:t>Tendrá lugar la continuidad consciente:</w:t>
      </w:r>
    </w:p>
    <w:p w14:paraId="1CB21B7F" w14:textId="77777777" w:rsidR="00597DE2" w:rsidRPr="00DC1A5F" w:rsidRDefault="00597DE2" w:rsidP="00597DE2">
      <w:pPr>
        <w:pStyle w:val="VersoIngls01Sangria"/>
        <w:rPr>
          <w:sz w:val="16"/>
          <w:szCs w:val="20"/>
        </w:rPr>
      </w:pPr>
      <w:r w:rsidRPr="00DC1A5F">
        <w:rPr>
          <w:sz w:val="16"/>
          <w:szCs w:val="20"/>
        </w:rPr>
        <w:t xml:space="preserve">La consciencia anterior se destruirá y </w:t>
      </w:r>
    </w:p>
    <w:p w14:paraId="77D58D02" w14:textId="77777777" w:rsidR="00597DE2" w:rsidRPr="00DC1A5F" w:rsidRDefault="00597DE2" w:rsidP="00597DE2">
      <w:pPr>
        <w:pStyle w:val="VersoIngls01Sangria"/>
        <w:spacing w:after="100"/>
        <w:ind w:left="1418"/>
        <w:rPr>
          <w:sz w:val="16"/>
          <w:szCs w:val="20"/>
        </w:rPr>
      </w:pPr>
      <w:r w:rsidRPr="00DC1A5F">
        <w:rPr>
          <w:sz w:val="16"/>
          <w:szCs w:val="20"/>
        </w:rPr>
        <w:t>La posterior surgirá de ella.</w:t>
      </w:r>
    </w:p>
    <w:p w14:paraId="568F7691" w14:textId="77777777" w:rsidR="00597DE2" w:rsidRPr="00DC1A5F" w:rsidRDefault="00597DE2" w:rsidP="00597DE2">
      <w:pPr>
        <w:pStyle w:val="VersoIngls01Sangria"/>
        <w:rPr>
          <w:sz w:val="16"/>
          <w:szCs w:val="20"/>
        </w:rPr>
      </w:pPr>
      <w:r w:rsidRPr="00DC1A5F">
        <w:rPr>
          <w:sz w:val="16"/>
          <w:szCs w:val="20"/>
        </w:rPr>
        <w:t>No existirá intervalo entre ellas,</w:t>
      </w:r>
    </w:p>
    <w:p w14:paraId="58C487CB" w14:textId="77777777" w:rsidR="00597DE2" w:rsidRPr="00DC1A5F" w:rsidRDefault="00597DE2" w:rsidP="00597DE2">
      <w:pPr>
        <w:pStyle w:val="VersoIngls01Sangria"/>
        <w:rPr>
          <w:sz w:val="16"/>
          <w:szCs w:val="20"/>
        </w:rPr>
      </w:pPr>
      <w:r w:rsidRPr="00DC1A5F">
        <w:rPr>
          <w:sz w:val="16"/>
          <w:szCs w:val="20"/>
        </w:rPr>
        <w:t>Ni brecha que separe a ambas;</w:t>
      </w:r>
    </w:p>
    <w:p w14:paraId="069A5EE6" w14:textId="77777777" w:rsidR="00597DE2" w:rsidRPr="00DC1A5F" w:rsidRDefault="00597DE2" w:rsidP="00597DE2">
      <w:pPr>
        <w:pStyle w:val="VersoIngls01Sangria"/>
        <w:rPr>
          <w:sz w:val="16"/>
          <w:szCs w:val="20"/>
        </w:rPr>
      </w:pPr>
      <w:r w:rsidRPr="00DC1A5F">
        <w:rPr>
          <w:sz w:val="16"/>
          <w:szCs w:val="20"/>
        </w:rPr>
        <w:t xml:space="preserve">Mientras nada se pase por alto, </w:t>
      </w:r>
    </w:p>
    <w:p w14:paraId="6B376376" w14:textId="77777777" w:rsidR="00597DE2" w:rsidRPr="00DC1A5F" w:rsidRDefault="00597DE2" w:rsidP="00597DE2">
      <w:pPr>
        <w:pStyle w:val="VersoIngls01Sangria"/>
        <w:spacing w:after="100"/>
        <w:ind w:left="1418"/>
        <w:rPr>
          <w:sz w:val="16"/>
          <w:szCs w:val="20"/>
        </w:rPr>
      </w:pPr>
      <w:r w:rsidRPr="00DC1A5F">
        <w:rPr>
          <w:sz w:val="16"/>
          <w:szCs w:val="20"/>
        </w:rPr>
        <w:t>Aun así se producirá el vínculo–de–renacimiento.</w:t>
      </w:r>
    </w:p>
    <w:p w14:paraId="46EF91C4" w14:textId="77777777" w:rsidR="00597DE2" w:rsidRPr="00DC1A5F" w:rsidRDefault="00597DE2" w:rsidP="00597DE2">
      <w:r w:rsidRPr="00DC1A5F">
        <w:t xml:space="preserve">24. </w:t>
      </w:r>
      <w:r w:rsidRPr="00DC1A5F">
        <w:tab/>
        <w:t xml:space="preserve">Cuando él comprenda todos estos estados de acuerdo con el vínculo de la muerte y el renacimiento, su conocimiento sobre el discernimiento de las condiciones de la mentalidad–materialidad será sólido en todos sus aspectos y los 16 tipos de dudas se abandonarán más efectivamente. Y no solo ello, sino que también se abandonarán los 8 tipos de dudas que ocurren en el pasaje que comienza con, “Él duda sobre el Maestro” (A III 248; </w:t>
      </w:r>
      <w:proofErr w:type="spellStart"/>
      <w:r w:rsidRPr="00DC1A5F">
        <w:t>Dhs</w:t>
      </w:r>
      <w:proofErr w:type="spellEnd"/>
      <w:r w:rsidRPr="00DC1A5F">
        <w:t xml:space="preserve"> §1004), y se suprimirán los 62 tipos de visiones </w:t>
      </w:r>
      <w:r w:rsidRPr="00DC1A5F">
        <w:rPr>
          <w:color w:val="833C0B" w:themeColor="accent2" w:themeShade="80"/>
        </w:rPr>
        <w:t>incorrectas</w:t>
      </w:r>
      <w:r w:rsidRPr="00DC1A5F">
        <w:t>. (Ver DN 1 y MN 102).</w:t>
      </w:r>
    </w:p>
    <w:p w14:paraId="6FB7D541" w14:textId="77777777" w:rsidR="00597DE2" w:rsidRPr="00DC1A5F" w:rsidRDefault="00597DE2" w:rsidP="00597DE2">
      <w:r w:rsidRPr="00DC1A5F">
        <w:t xml:space="preserve">25. </w:t>
      </w:r>
      <w:r w:rsidRPr="00DC1A5F">
        <w:tab/>
        <w:t xml:space="preserve">El conocimiento que haya sido establecido a través de la disipación de la duda sobre los 3 periodos de tiempo al discernir sobre las condiciones de la mentalidad–materialidad según los diversos métodos, deberá entenderse como la “purificación mediante la disipación de la duda”. Otros términos al respecto corresponderán al “conocimiento de la relación </w:t>
      </w:r>
      <w:r w:rsidRPr="00DC1A5F">
        <w:rPr>
          <w:color w:val="833C0B" w:themeColor="accent2" w:themeShade="80"/>
          <w:u w:color="000000"/>
        </w:rPr>
        <w:t>causal</w:t>
      </w:r>
      <w:r w:rsidRPr="00DC1A5F">
        <w:rPr>
          <w:i/>
          <w:iCs/>
        </w:rPr>
        <w:t xml:space="preserve"> </w:t>
      </w:r>
      <w:r w:rsidRPr="00DC1A5F">
        <w:t>de los estados”, al “conocimiento correcto” o a la “visión correcta”.</w:t>
      </w:r>
    </w:p>
    <w:p w14:paraId="7A7D22A2" w14:textId="77777777" w:rsidR="00597DE2" w:rsidRPr="00DC1A5F" w:rsidRDefault="00597DE2" w:rsidP="00597DE2">
      <w:r w:rsidRPr="00DC1A5F">
        <w:t xml:space="preserve">26. </w:t>
      </w:r>
      <w:r w:rsidRPr="00DC1A5F">
        <w:tab/>
        <w:t>Ya que esto se dice al respecto: “El entendimiento del discernimiento de las condiciones así, ‘La ignorancia es una condición, las formaciones surgen condicionalmente y ambos estados surgen condicionalmente’, corresponderá al conocimiento de la relación causal de los estados” (</w:t>
      </w:r>
      <w:proofErr w:type="spellStart"/>
      <w:r w:rsidRPr="00DC1A5F">
        <w:rPr>
          <w:i/>
          <w:iCs/>
        </w:rPr>
        <w:t>Paṭis</w:t>
      </w:r>
      <w:proofErr w:type="spellEnd"/>
      <w:r w:rsidRPr="00DC1A5F">
        <w:t xml:space="preserve"> I 50). Y:</w:t>
      </w:r>
    </w:p>
    <w:p w14:paraId="2DA6A327" w14:textId="77777777" w:rsidR="00597DE2" w:rsidRPr="00DC1A5F" w:rsidRDefault="00597DE2" w:rsidP="00597DE2">
      <w:pPr>
        <w:pStyle w:val="NormalConSangria"/>
      </w:pPr>
      <w:r w:rsidRPr="00DC1A5F">
        <w:t>“Cuando él lo evoque en la mente como impermanente, ¿qué estados conocerá y observará correctamente? ¿cómo habrá una observación correcta? ¿cómo, por inferencia al respecto, todas las formaciones se observarán claramente como impermanentes? ¿Cuándo se abandonará la duda? Cuando lo evoque en la mente como insatisfactorio... Cuando lo evoque en la mente como no–alma, ¿qué estados conocerá y observará correctamente? … ¿Cuándo se abandonará la duda?</w:t>
      </w:r>
    </w:p>
    <w:p w14:paraId="6CCDE436" w14:textId="77777777" w:rsidR="00597DE2" w:rsidRPr="00DC1A5F" w:rsidRDefault="00597DE2" w:rsidP="00597DE2">
      <w:r w:rsidRPr="00DC1A5F">
        <w:tab/>
        <w:t xml:space="preserve">“Cuando lo evoque en la mente como impermanente, correctamente conocerá y observará el signo. Por lo tanto, se dirá que “observará correctamente”. Así, por inferencia al respecto, todas las formaciones se verán claramente como impermanentes. Entonces, se abandonará la duda. Cuando lo evoque en la mente como algo doloroso, sabrá y verá correctamente lo que ocurrirá. Por lo tanto... Cuando lo evoque en la mente como no–alma, conocerá y verá correctamente el signo y la ocurrencia. Por lo tanto, se designará como “visión correcta”. Así, por inferencia al respecto, todos los estados se observarán claramente como no–alma. Entonces, se abandonará la </w:t>
      </w:r>
    </w:p>
    <w:p w14:paraId="31B8CBAD" w14:textId="77777777" w:rsidR="00597DE2" w:rsidRPr="00DC1A5F" w:rsidRDefault="00597DE2" w:rsidP="00597DE2">
      <w:pPr>
        <w:tabs>
          <w:tab w:val="clear" w:pos="425"/>
        </w:tabs>
        <w:spacing w:after="160"/>
      </w:pPr>
      <w:r w:rsidRPr="00DC1A5F">
        <w:br w:type="page"/>
      </w:r>
    </w:p>
    <w:p w14:paraId="196A8098" w14:textId="77777777" w:rsidR="00597DE2" w:rsidRPr="00DC1A5F" w:rsidRDefault="00597DE2" w:rsidP="00597DE2">
      <w:r w:rsidRPr="00DC1A5F">
        <w:lastRenderedPageBreak/>
        <w:t>duda.</w:t>
      </w:r>
    </w:p>
    <w:p w14:paraId="25D40B68" w14:textId="77777777" w:rsidR="00597DE2" w:rsidRPr="00DC1A5F" w:rsidRDefault="00597DE2" w:rsidP="00597DE2">
      <w:pPr>
        <w:pStyle w:val="NormalConSangria"/>
      </w:pPr>
      <w:r w:rsidRPr="00DC1A5F">
        <w:t>“El conocimiento correcto, la visión correcta y la disipación de la duda 605]: ¿son estas cosas diferentes en significado y diferentes en letra o son una en significado y sólo en letra diferentes? El conocimiento correcto, la visión correcta y la superación de la duda: estas cosas serán una en significado y solo será diferente en la letra” (</w:t>
      </w:r>
      <w:proofErr w:type="spellStart"/>
      <w:r w:rsidRPr="00DC1A5F">
        <w:rPr>
          <w:i/>
          <w:iCs/>
        </w:rPr>
        <w:t>Paṭis</w:t>
      </w:r>
      <w:proofErr w:type="spellEnd"/>
      <w:r w:rsidRPr="00DC1A5F">
        <w:t xml:space="preserve"> II 62f.).</w:t>
      </w:r>
    </w:p>
    <w:p w14:paraId="52C6537F" w14:textId="77777777" w:rsidR="00597DE2" w:rsidRPr="00DC1A5F" w:rsidRDefault="00597DE2" w:rsidP="00597DE2">
      <w:pPr>
        <w:pStyle w:val="Textoindependiente"/>
      </w:pPr>
      <w:r w:rsidRPr="00DC1A5F">
        <w:t xml:space="preserve">27. </w:t>
      </w:r>
      <w:r w:rsidRPr="00DC1A5F">
        <w:tab/>
        <w:t xml:space="preserve">Cuando un hombre que practique la sabiduría haya llegado a poseer este conocimiento, habrá encontrado comodidad en la Dispensación de los </w:t>
      </w:r>
      <w:r w:rsidRPr="00DC1A5F">
        <w:rPr>
          <w:i/>
        </w:rPr>
        <w:t>Buddha</w:t>
      </w:r>
      <w:r w:rsidRPr="00DC1A5F">
        <w:t>s, habrá encontrado un punto de soporte, se sentirá seguro sobre su destino, se le designará “entrante</w:t>
      </w:r>
      <w:r w:rsidRPr="00DC1A5F">
        <w:rPr>
          <w:rFonts w:cs="Cormorant"/>
        </w:rPr>
        <w:t>‒</w:t>
      </w:r>
      <w:r w:rsidRPr="00DC1A5F">
        <w:t>a</w:t>
      </w:r>
      <w:r w:rsidRPr="00DC1A5F">
        <w:rPr>
          <w:rFonts w:cs="Cormorant"/>
        </w:rPr>
        <w:t>‒</w:t>
      </w:r>
      <w:r w:rsidRPr="00DC1A5F">
        <w:t>la</w:t>
      </w:r>
      <w:r w:rsidRPr="00DC1A5F">
        <w:rPr>
          <w:rFonts w:cs="Cormorant"/>
        </w:rPr>
        <w:t>‒</w:t>
      </w:r>
      <w:r w:rsidRPr="00DC1A5F">
        <w:t>corriente menor”.</w:t>
      </w:r>
    </w:p>
    <w:p w14:paraId="1D7E0A41" w14:textId="77777777" w:rsidR="00597DE2" w:rsidRPr="00DC1A5F" w:rsidRDefault="00597DE2" w:rsidP="00597DE2">
      <w:pPr>
        <w:pStyle w:val="VersoIngls01Sangria"/>
        <w:ind w:left="1560"/>
        <w:rPr>
          <w:sz w:val="16"/>
          <w:szCs w:val="20"/>
        </w:rPr>
      </w:pPr>
      <w:r w:rsidRPr="00DC1A5F">
        <w:rPr>
          <w:sz w:val="16"/>
          <w:szCs w:val="20"/>
        </w:rPr>
        <w:t xml:space="preserve">Así, un </w:t>
      </w:r>
      <w:proofErr w:type="spellStart"/>
      <w:r w:rsidRPr="00DC1A5F">
        <w:rPr>
          <w:i/>
          <w:sz w:val="16"/>
          <w:szCs w:val="20"/>
        </w:rPr>
        <w:t>bhikkhu</w:t>
      </w:r>
      <w:proofErr w:type="spellEnd"/>
      <w:r w:rsidRPr="00DC1A5F">
        <w:rPr>
          <w:sz w:val="16"/>
          <w:szCs w:val="20"/>
        </w:rPr>
        <w:t xml:space="preserve"> vencerá</w:t>
      </w:r>
    </w:p>
    <w:p w14:paraId="075C0E4C" w14:textId="77777777" w:rsidR="00597DE2" w:rsidRPr="00DC1A5F" w:rsidRDefault="00597DE2" w:rsidP="00597DE2">
      <w:pPr>
        <w:pStyle w:val="VersoIngls01Sangria"/>
        <w:ind w:left="1560"/>
        <w:rPr>
          <w:sz w:val="16"/>
          <w:szCs w:val="20"/>
        </w:rPr>
      </w:pPr>
      <w:r w:rsidRPr="00DC1A5F">
        <w:rPr>
          <w:sz w:val="16"/>
          <w:szCs w:val="20"/>
        </w:rPr>
        <w:t>Sus dudas y entonces, siempre consciente,</w:t>
      </w:r>
    </w:p>
    <w:p w14:paraId="719D334D" w14:textId="77777777" w:rsidR="00597DE2" w:rsidRPr="00DC1A5F" w:rsidRDefault="00597DE2" w:rsidP="00597DE2">
      <w:pPr>
        <w:pStyle w:val="VersoIngls01Sangria"/>
        <w:ind w:left="1560"/>
        <w:rPr>
          <w:sz w:val="16"/>
          <w:szCs w:val="20"/>
        </w:rPr>
      </w:pPr>
      <w:r w:rsidRPr="00DC1A5F">
        <w:rPr>
          <w:sz w:val="16"/>
          <w:szCs w:val="20"/>
        </w:rPr>
        <w:t xml:space="preserve">Qué continúe discerniendo a fondo sobre las condiciones tanto </w:t>
      </w:r>
    </w:p>
    <w:p w14:paraId="36C60BEE" w14:textId="77777777" w:rsidR="00597DE2" w:rsidRPr="00DC1A5F" w:rsidRDefault="00597DE2" w:rsidP="00597DE2">
      <w:pPr>
        <w:pStyle w:val="VersoIngls01Sangria"/>
        <w:spacing w:after="100"/>
        <w:ind w:left="1560"/>
      </w:pPr>
      <w:r w:rsidRPr="00DC1A5F">
        <w:rPr>
          <w:sz w:val="16"/>
          <w:szCs w:val="20"/>
        </w:rPr>
        <w:t>Sobre la mente como sobre la materia</w:t>
      </w:r>
      <w:r w:rsidRPr="00DC1A5F">
        <w:t>.</w:t>
      </w:r>
    </w:p>
    <w:p w14:paraId="66C48625" w14:textId="77777777" w:rsidR="00597DE2" w:rsidRPr="00DC1A5F" w:rsidRDefault="00597DE2" w:rsidP="00597DE2">
      <w:pPr>
        <w:ind w:left="709" w:right="1043"/>
      </w:pPr>
      <w:r w:rsidRPr="00DC1A5F">
        <w:t xml:space="preserve">Éste ha sido el decimonoveno capítulo bajo el nombre de “Purificación Mediante la Disipación de la Duda” del Tratado sobre el Desarrollo del Entendimiento del </w:t>
      </w:r>
      <w:r w:rsidRPr="00DC1A5F">
        <w:rPr>
          <w:i/>
          <w:iCs/>
        </w:rPr>
        <w:t>Sendero de la Purificación</w:t>
      </w:r>
      <w:r w:rsidRPr="00DC1A5F">
        <w:t xml:space="preserve"> compuesto para alegría de buenas personas.</w:t>
      </w:r>
    </w:p>
    <w:p w14:paraId="1C5B2DBC" w14:textId="77777777" w:rsidR="00597DE2" w:rsidRPr="00DC1A5F" w:rsidRDefault="00597DE2" w:rsidP="00597DE2"/>
    <w:p w14:paraId="70F6352C" w14:textId="77777777" w:rsidR="00597DE2" w:rsidRPr="00DC1A5F" w:rsidRDefault="00597DE2" w:rsidP="00597DE2">
      <w:pPr>
        <w:tabs>
          <w:tab w:val="clear" w:pos="425"/>
        </w:tabs>
        <w:spacing w:after="160"/>
      </w:pPr>
      <w:r w:rsidRPr="00DC1A5F">
        <w:br w:type="page"/>
      </w:r>
    </w:p>
    <w:p w14:paraId="3062DBCF" w14:textId="77777777" w:rsidR="00597DE2" w:rsidRPr="00DC1A5F" w:rsidRDefault="00597DE2" w:rsidP="00597DE2"/>
    <w:p w14:paraId="5B9773BB" w14:textId="77777777" w:rsidR="00597DE2" w:rsidRPr="00DC1A5F" w:rsidRDefault="00597DE2" w:rsidP="00597DE2"/>
    <w:p w14:paraId="5C3FBD79" w14:textId="77777777" w:rsidR="00597DE2" w:rsidRPr="00DC1A5F" w:rsidRDefault="00597DE2" w:rsidP="00597DE2"/>
    <w:p w14:paraId="1454C46B" w14:textId="77777777" w:rsidR="00597DE2" w:rsidRPr="00DC1A5F" w:rsidRDefault="00597DE2" w:rsidP="00597DE2">
      <w:pPr>
        <w:pStyle w:val="Ttulo2"/>
        <w:jc w:val="center"/>
      </w:pPr>
      <w:bookmarkStart w:id="8" w:name="_Toc142334415"/>
      <w:r w:rsidRPr="00DC1A5F">
        <w:t>Capítulo XX</w:t>
      </w:r>
      <w:r w:rsidRPr="00DC1A5F">
        <w:br/>
        <w:t xml:space="preserve">Purificación Mediante el Conocimiento </w:t>
      </w:r>
      <w:r w:rsidRPr="00DC1A5F">
        <w:br/>
        <w:t xml:space="preserve">y la Visión sobre Lo Que Es el Sendero </w:t>
      </w:r>
      <w:r w:rsidRPr="00DC1A5F">
        <w:br/>
        <w:t>y Lo Que No Es el Sendero</w:t>
      </w:r>
      <w:bookmarkEnd w:id="8"/>
    </w:p>
    <w:p w14:paraId="13000135" w14:textId="77777777" w:rsidR="00597DE2" w:rsidRPr="00DC1A5F" w:rsidRDefault="00597DE2" w:rsidP="00597DE2"/>
    <w:p w14:paraId="023B1AE9" w14:textId="77777777" w:rsidR="00597DE2" w:rsidRPr="00DC1A5F" w:rsidRDefault="00597DE2" w:rsidP="00597DE2">
      <w:pPr>
        <w:pStyle w:val="Textoindependiente"/>
        <w:jc w:val="center"/>
        <w:rPr>
          <w:b/>
          <w:bCs/>
          <w:i/>
          <w:sz w:val="20"/>
          <w:szCs w:val="24"/>
        </w:rPr>
      </w:pPr>
      <w:r w:rsidRPr="00DC1A5F">
        <w:rPr>
          <w:b/>
          <w:bCs/>
          <w:i/>
          <w:sz w:val="20"/>
          <w:szCs w:val="24"/>
        </w:rPr>
        <w:t>(</w:t>
      </w:r>
      <w:proofErr w:type="spellStart"/>
      <w:r w:rsidRPr="00DC1A5F">
        <w:rPr>
          <w:b/>
          <w:bCs/>
          <w:i/>
          <w:sz w:val="20"/>
          <w:szCs w:val="24"/>
        </w:rPr>
        <w:t>Maggāmagga</w:t>
      </w:r>
      <w:proofErr w:type="spellEnd"/>
      <w:r w:rsidRPr="00DC1A5F">
        <w:rPr>
          <w:b/>
          <w:bCs/>
          <w:i/>
          <w:sz w:val="20"/>
          <w:szCs w:val="24"/>
        </w:rPr>
        <w:t>–</w:t>
      </w:r>
      <w:proofErr w:type="spellStart"/>
      <w:r w:rsidRPr="00DC1A5F">
        <w:rPr>
          <w:b/>
          <w:bCs/>
          <w:i/>
          <w:sz w:val="20"/>
          <w:szCs w:val="24"/>
        </w:rPr>
        <w:t>ñāṇadassana</w:t>
      </w:r>
      <w:proofErr w:type="spellEnd"/>
      <w:r w:rsidRPr="00DC1A5F">
        <w:rPr>
          <w:b/>
          <w:bCs/>
          <w:i/>
          <w:sz w:val="20"/>
          <w:szCs w:val="24"/>
        </w:rPr>
        <w:t>–</w:t>
      </w:r>
      <w:proofErr w:type="spellStart"/>
      <w:r w:rsidRPr="00DC1A5F">
        <w:rPr>
          <w:b/>
          <w:bCs/>
          <w:i/>
          <w:sz w:val="20"/>
          <w:szCs w:val="24"/>
        </w:rPr>
        <w:t>visuddhi</w:t>
      </w:r>
      <w:proofErr w:type="spellEnd"/>
      <w:r w:rsidRPr="00DC1A5F">
        <w:rPr>
          <w:b/>
          <w:bCs/>
          <w:i/>
          <w:sz w:val="20"/>
          <w:szCs w:val="24"/>
        </w:rPr>
        <w:t>–</w:t>
      </w:r>
      <w:proofErr w:type="spellStart"/>
      <w:r w:rsidRPr="00DC1A5F">
        <w:rPr>
          <w:b/>
          <w:bCs/>
          <w:i/>
          <w:sz w:val="20"/>
          <w:szCs w:val="24"/>
        </w:rPr>
        <w:t>niddesa</w:t>
      </w:r>
      <w:proofErr w:type="spellEnd"/>
      <w:r w:rsidRPr="00DC1A5F">
        <w:rPr>
          <w:b/>
          <w:bCs/>
          <w:i/>
          <w:sz w:val="20"/>
          <w:szCs w:val="24"/>
        </w:rPr>
        <w:t>)</w:t>
      </w:r>
    </w:p>
    <w:p w14:paraId="30840927" w14:textId="77777777" w:rsidR="00597DE2" w:rsidRPr="00DC1A5F" w:rsidRDefault="00597DE2" w:rsidP="00597DE2">
      <w:r w:rsidRPr="00DC1A5F">
        <w:t xml:space="preserve">1. </w:t>
      </w:r>
      <w:r w:rsidRPr="00DC1A5F">
        <w:tab/>
        <w:t xml:space="preserve">[606] El conocimiento que se establezca conociendo </w:t>
      </w:r>
      <w:r w:rsidRPr="00DC1A5F">
        <w:rPr>
          <w:color w:val="833C0B" w:themeColor="accent2" w:themeShade="80"/>
          <w:u w:color="000000"/>
        </w:rPr>
        <w:t>la diferencia entre</w:t>
      </w:r>
      <w:r w:rsidRPr="00DC1A5F">
        <w:t xml:space="preserve"> el sendero y el no–sendero, así, “Éste es el sendero, éste no es el sendero”, se le conoce como “purificación mediante el conocimiento y la visión sobre lo que es el sendero y lo que no es el sendero”.</w:t>
      </w:r>
    </w:p>
    <w:p w14:paraId="545FF2F6" w14:textId="77777777" w:rsidR="00597DE2" w:rsidRPr="00DC1A5F" w:rsidRDefault="00597DE2" w:rsidP="00597DE2">
      <w:r w:rsidRPr="00DC1A5F">
        <w:t xml:space="preserve">2. </w:t>
      </w:r>
      <w:r w:rsidRPr="00DC1A5F">
        <w:tab/>
        <w:t>Quien desee lograr esto, deberá, ante todo, aplicarse en la sabiduría inductiva conocida como “comprensión mediante grupos”.</w:t>
      </w:r>
      <w:r w:rsidRPr="00DC1A5F">
        <w:rPr>
          <w:vertAlign w:val="superscript"/>
        </w:rPr>
        <w:t>1</w:t>
      </w:r>
      <w:r w:rsidRPr="00DC1A5F">
        <w:t xml:space="preserve"> ¿Por qué? Porque el conocimiento sobre lo que es el sendero y sobre lo que no es el sendero aparecerá en relación con el surgimiento de la iluminación, etc. (XX.105f.) en quien se haya iniciado en la sabiduría–revelativa. Ya que será después de que la iluminación, etc., haya aparecido en alguien que ya se haya iniciado en la sabiduría–revelativa, que llegará a darse el conocimiento sobre lo que es el sendero y lo que no es el sendero. Y la comprensión mediante grupos corresponderá al comienzo del discernimiento. Por eso se expone junto a la disipación de la duda. Además, el conocimiento sobre lo que sea el sendero y lo que no sea el sendero, surgirá cuando esté ocurriendo el “pleno entendimiento como investigación”, y el pleno entendimiento como investigación surgirá junto con el pleno entendimiento sobre lo conocido (ver XIX.21). Así que ésta corresponderá también a una razón por la cual quien desee lograr esta purificación, mediante el conocimiento y la visión sobre lo que es el sendero y lo que no es el sendero, deberá, ante todo, aplicarse en la comprensión mediante grupos.</w:t>
      </w:r>
    </w:p>
    <w:p w14:paraId="7FF8B762" w14:textId="77777777" w:rsidR="00597DE2" w:rsidRPr="00DC1A5F" w:rsidRDefault="00597DE2" w:rsidP="00597DE2">
      <w:pPr>
        <w:pStyle w:val="Ttulo3"/>
        <w:ind w:left="708"/>
      </w:pPr>
      <w:r w:rsidRPr="00DC1A5F">
        <w:t>[Las Tres Clases de Entendimiento Pleno]</w:t>
      </w:r>
    </w:p>
    <w:p w14:paraId="03A019A6" w14:textId="77777777" w:rsidR="00597DE2" w:rsidRPr="00DC1A5F" w:rsidRDefault="00597DE2" w:rsidP="00597DE2">
      <w:pPr>
        <w:pStyle w:val="Textoindependiente"/>
      </w:pPr>
      <w:r w:rsidRPr="00DC1A5F">
        <w:t xml:space="preserve">3. </w:t>
      </w:r>
      <w:r w:rsidRPr="00DC1A5F">
        <w:tab/>
        <w:t xml:space="preserve">He aquí la exposición: </w:t>
      </w:r>
      <w:proofErr w:type="gramStart"/>
      <w:r w:rsidRPr="00DC1A5F">
        <w:t>3 ,</w:t>
      </w:r>
      <w:proofErr w:type="gramEnd"/>
      <w:r w:rsidRPr="00DC1A5F">
        <w:t xml:space="preserve"> con referencia a lo cual se ha dicho: “El entendimiento que se conocimiento directo querrá decir conocimiento en el sentido de haber sido conocido. El entendimiento que sea un pleno entendimiento, querrá decir conocimiento en el sentido de haber sido investigado. El entendimiento que sea abandono, querrá decir conocimiento en el sentido de haber sido abandonado” (</w:t>
      </w:r>
      <w:proofErr w:type="spellStart"/>
      <w:r w:rsidRPr="00DC1A5F">
        <w:rPr>
          <w:i/>
          <w:iCs/>
        </w:rPr>
        <w:t>Paṭis</w:t>
      </w:r>
      <w:proofErr w:type="spellEnd"/>
      <w:r w:rsidRPr="00DC1A5F">
        <w:t xml:space="preserve"> I 87).</w:t>
      </w:r>
    </w:p>
    <w:p w14:paraId="3004B046"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EEB4565" w14:textId="77777777" w:rsidR="00597DE2" w:rsidRPr="00DC1A5F" w:rsidRDefault="00597DE2" w:rsidP="00597DE2">
      <w:pPr>
        <w:pStyle w:val="PiedepginaLegal"/>
        <w:numPr>
          <w:ilvl w:val="0"/>
          <w:numId w:val="9"/>
        </w:numPr>
        <w:tabs>
          <w:tab w:val="clear" w:pos="425"/>
          <w:tab w:val="left" w:pos="284"/>
        </w:tabs>
        <w:ind w:left="284" w:hanging="284"/>
      </w:pPr>
      <w:r w:rsidRPr="00DC1A5F">
        <w:t>“La comprensión mediante la conformación de estados en grupos (totales), que se diferencien en pasados, presentes y futuros corresponderá a la ‘</w:t>
      </w:r>
      <w:r w:rsidRPr="00DC1A5F">
        <w:rPr>
          <w:i/>
          <w:iCs/>
        </w:rPr>
        <w:t>comprensión mediante grupos’</w:t>
      </w:r>
      <w:r w:rsidRPr="00DC1A5F">
        <w:t xml:space="preserve">. Este, al parecer, sería el término utilizado por los habitantes de </w:t>
      </w:r>
      <w:proofErr w:type="spellStart"/>
      <w:r w:rsidRPr="00DC1A5F">
        <w:t>Jambudīpa</w:t>
      </w:r>
      <w:proofErr w:type="spellEnd"/>
      <w:r w:rsidRPr="00DC1A5F">
        <w:t xml:space="preserve"> (India). Sin embargo, la comprensión de estados por medio del método que comienza, “Cualquier materialidad que sea” (M III 16) corresponderá a una “visión inductiva”. Éste, al parecer, sería el término utilizado por los habitantes de </w:t>
      </w:r>
      <w:r w:rsidRPr="00DC1A5F">
        <w:br/>
      </w:r>
      <w:proofErr w:type="spellStart"/>
      <w:r w:rsidRPr="00DC1A5F">
        <w:t>Tambapaṇṇidīpa</w:t>
      </w:r>
      <w:proofErr w:type="spellEnd"/>
      <w:r w:rsidRPr="00DC1A5F">
        <w:t xml:space="preserve"> (Sri Lanka). Es por eso </w:t>
      </w:r>
      <w:proofErr w:type="gramStart"/>
      <w:r w:rsidRPr="00DC1A5F">
        <w:t>que</w:t>
      </w:r>
      <w:proofErr w:type="gramEnd"/>
      <w:r w:rsidRPr="00DC1A5F">
        <w:t xml:space="preserve"> dijo “</w:t>
      </w:r>
      <w:r w:rsidRPr="00DC1A5F">
        <w:rPr>
          <w:i/>
          <w:iCs/>
        </w:rPr>
        <w:t>a la sabiduría inductiva llamada comprensión mediante grupos</w:t>
      </w:r>
      <w:r w:rsidRPr="00DC1A5F">
        <w:t>” (</w:t>
      </w:r>
      <w:proofErr w:type="spellStart"/>
      <w:r w:rsidRPr="00DC1A5F">
        <w:t>Vism</w:t>
      </w:r>
      <w:proofErr w:type="spellEnd"/>
      <w:r w:rsidRPr="00DC1A5F">
        <w:t>–</w:t>
      </w:r>
      <w:proofErr w:type="spellStart"/>
      <w:r w:rsidRPr="00DC1A5F">
        <w:t>mhṭ</w:t>
      </w:r>
      <w:proofErr w:type="spellEnd"/>
      <w:r w:rsidRPr="00DC1A5F">
        <w:t xml:space="preserve"> 778).</w:t>
      </w:r>
    </w:p>
    <w:p w14:paraId="62D216F8" w14:textId="77777777" w:rsidR="00597DE2" w:rsidRPr="00DC1A5F" w:rsidRDefault="00597DE2" w:rsidP="00597DE2">
      <w:pPr>
        <w:tabs>
          <w:tab w:val="clear" w:pos="425"/>
        </w:tabs>
        <w:spacing w:after="160"/>
      </w:pPr>
      <w:r w:rsidRPr="00DC1A5F">
        <w:br w:type="page"/>
      </w:r>
    </w:p>
    <w:p w14:paraId="30C81BC9" w14:textId="77777777" w:rsidR="00597DE2" w:rsidRPr="00DC1A5F" w:rsidRDefault="00597DE2" w:rsidP="00597DE2"/>
    <w:p w14:paraId="07DEB2E2" w14:textId="77777777" w:rsidR="00597DE2" w:rsidRPr="00DC1A5F" w:rsidRDefault="00597DE2" w:rsidP="00597DE2">
      <w:pPr>
        <w:pStyle w:val="NormalConSangria"/>
      </w:pPr>
      <w:r w:rsidRPr="00DC1A5F">
        <w:t>Aquí, el entendimiento que se produzca al observar las características específicas de tal o cual estado afirmará lo siguiente, “La materialidad (</w:t>
      </w:r>
      <w:r w:rsidRPr="00DC1A5F">
        <w:rPr>
          <w:i/>
        </w:rPr>
        <w:t>rūpa</w:t>
      </w:r>
      <w:r w:rsidRPr="00DC1A5F">
        <w:t>) tiene la característica de ser molestada (</w:t>
      </w:r>
      <w:proofErr w:type="spellStart"/>
      <w:r w:rsidRPr="00DC1A5F">
        <w:rPr>
          <w:i/>
          <w:iCs/>
        </w:rPr>
        <w:t>ruppana</w:t>
      </w:r>
      <w:proofErr w:type="spellEnd"/>
      <w:r w:rsidRPr="00DC1A5F">
        <w:t xml:space="preserve">); la sensación tiene la característica de ser sentida”, se le llama </w:t>
      </w:r>
      <w:r w:rsidRPr="00DC1A5F">
        <w:rPr>
          <w:i/>
          <w:iCs/>
        </w:rPr>
        <w:t>entendimiento pleno como lo que haya sido conocido</w:t>
      </w:r>
      <w:r w:rsidRPr="00DC1A5F">
        <w:t xml:space="preserve">. El entendimiento consistente de la sabiduría–revelativa con las características generales como su objeto, que ocurra al atribuir una característica general a esos mismos estados mediante el pasaje que comienza, “La materialidad es impermanente, [607] la sensación es impermanente” se le conoce como </w:t>
      </w:r>
      <w:r w:rsidRPr="00DC1A5F">
        <w:rPr>
          <w:i/>
          <w:iCs/>
        </w:rPr>
        <w:t>entendimiento pleno como lo que haya sido investigado</w:t>
      </w:r>
      <w:r w:rsidRPr="00DC1A5F">
        <w:t>.</w:t>
      </w:r>
      <w:r w:rsidRPr="00DC1A5F">
        <w:rPr>
          <w:vertAlign w:val="superscript"/>
        </w:rPr>
        <w:t>2</w:t>
      </w:r>
      <w:r w:rsidRPr="00DC1A5F">
        <w:t xml:space="preserve"> El entendimiento consistente de la sabiduría–revelativa con las características como su objeto, que se produzca como abandono de la percepción de la permanencia, etc., sobre esos mismos estados, se le llamará </w:t>
      </w:r>
      <w:r w:rsidRPr="00DC1A5F">
        <w:rPr>
          <w:i/>
          <w:iCs/>
        </w:rPr>
        <w:t>entendimiento pleno como lo que haya sido abandono</w:t>
      </w:r>
      <w:r w:rsidRPr="00DC1A5F">
        <w:t>.</w:t>
      </w:r>
    </w:p>
    <w:p w14:paraId="058138CF" w14:textId="77777777" w:rsidR="00597DE2" w:rsidRPr="00DC1A5F" w:rsidRDefault="00597DE2" w:rsidP="00597DE2">
      <w:r w:rsidRPr="00DC1A5F">
        <w:t xml:space="preserve">4. </w:t>
      </w:r>
      <w:r w:rsidRPr="00DC1A5F">
        <w:tab/>
        <w:t xml:space="preserve">Aquí, el plano del </w:t>
      </w:r>
      <w:r w:rsidRPr="00DC1A5F">
        <w:rPr>
          <w:i/>
          <w:iCs/>
        </w:rPr>
        <w:t>entendimiento pleno como lo que haya sido conocido</w:t>
      </w:r>
      <w:r w:rsidRPr="00DC1A5F">
        <w:t xml:space="preserve"> se extenderá desde la delimitación de las formaciones (Cap. XVIII) hasta el discernimiento de las condiciones (Cap. XIX); pues en este intervalo predominará la penetración sobre las características específicas de los estados. El plano del </w:t>
      </w:r>
      <w:r w:rsidRPr="00DC1A5F">
        <w:rPr>
          <w:i/>
          <w:iCs/>
        </w:rPr>
        <w:t xml:space="preserve">entendimiento pleno como lo que haya sido investigado </w:t>
      </w:r>
      <w:r w:rsidRPr="00DC1A5F">
        <w:t xml:space="preserve">se extenderá desde la comprensión por medio de los grupos hasta la contemplación del surgimiento y la desaparición (XXI.3ss.); pues en este intervalo predominará la penetración sobre las características generales. El plano del </w:t>
      </w:r>
      <w:r w:rsidRPr="00DC1A5F">
        <w:rPr>
          <w:i/>
          <w:iCs/>
        </w:rPr>
        <w:t>entendimiento pleno como abandono</w:t>
      </w:r>
      <w:r w:rsidRPr="00DC1A5F">
        <w:t xml:space="preserve"> se extenderá desde la contemplación de la disolución en adelante (XXI.10); pues de allí en adelante predominarán así las siete contemplaciones que propiciarán el abandono de la percepción de permanencia, etc.:</w:t>
      </w:r>
    </w:p>
    <w:p w14:paraId="496D1339" w14:textId="77777777" w:rsidR="00597DE2" w:rsidRPr="00DC1A5F" w:rsidRDefault="00597DE2" w:rsidP="00597DE2">
      <w:pPr>
        <w:pStyle w:val="NumeracinReload"/>
        <w:tabs>
          <w:tab w:val="clear" w:pos="425"/>
          <w:tab w:val="clear" w:pos="567"/>
          <w:tab w:val="decimal" w:pos="993"/>
        </w:tabs>
        <w:spacing w:after="60"/>
        <w:ind w:left="1276" w:right="1610"/>
      </w:pPr>
      <w:r w:rsidRPr="00DC1A5F">
        <w:tab/>
        <w:t xml:space="preserve">(1). </w:t>
      </w:r>
      <w:r w:rsidRPr="00DC1A5F">
        <w:tab/>
        <w:t>Al contemplar las formaciones como impermanentes, un hombre abandonará la percepción de permanencia.</w:t>
      </w:r>
    </w:p>
    <w:p w14:paraId="78874A1F" w14:textId="77777777" w:rsidR="00597DE2" w:rsidRPr="00DC1A5F" w:rsidRDefault="00597DE2" w:rsidP="00597DE2">
      <w:pPr>
        <w:pStyle w:val="NumeracinReload"/>
        <w:tabs>
          <w:tab w:val="clear" w:pos="425"/>
          <w:tab w:val="clear" w:pos="567"/>
          <w:tab w:val="decimal" w:pos="993"/>
        </w:tabs>
        <w:spacing w:after="60"/>
        <w:ind w:left="1276" w:right="1610"/>
      </w:pPr>
      <w:r w:rsidRPr="00DC1A5F">
        <w:tab/>
        <w:t xml:space="preserve">(2). </w:t>
      </w:r>
      <w:r w:rsidRPr="00DC1A5F">
        <w:tab/>
        <w:t>Al contemplarlas como insatisfactorias, abandonará la percepción del placer al respecto.</w:t>
      </w:r>
    </w:p>
    <w:p w14:paraId="79336DFC" w14:textId="77777777" w:rsidR="00597DE2" w:rsidRPr="00DC1A5F" w:rsidRDefault="00597DE2" w:rsidP="00597DE2">
      <w:pPr>
        <w:pStyle w:val="NumeracinReload"/>
        <w:tabs>
          <w:tab w:val="clear" w:pos="425"/>
          <w:tab w:val="clear" w:pos="567"/>
          <w:tab w:val="decimal" w:pos="993"/>
        </w:tabs>
        <w:spacing w:after="60"/>
        <w:ind w:left="1276" w:right="1610"/>
      </w:pPr>
      <w:r w:rsidRPr="00DC1A5F">
        <w:tab/>
        <w:t xml:space="preserve">(3). </w:t>
      </w:r>
      <w:r w:rsidRPr="00DC1A5F">
        <w:tab/>
        <w:t>Al contemplarlas como no–alma, abandonará la percepción del alma.</w:t>
      </w:r>
    </w:p>
    <w:p w14:paraId="450F5DF3" w14:textId="77777777" w:rsidR="00597DE2" w:rsidRPr="00DC1A5F" w:rsidRDefault="00597DE2" w:rsidP="00597DE2">
      <w:pPr>
        <w:pStyle w:val="NumeracinReload"/>
        <w:tabs>
          <w:tab w:val="clear" w:pos="425"/>
          <w:tab w:val="clear" w:pos="567"/>
          <w:tab w:val="decimal" w:pos="993"/>
        </w:tabs>
        <w:spacing w:after="60"/>
        <w:ind w:left="1276" w:right="1610"/>
      </w:pPr>
      <w:r w:rsidRPr="00DC1A5F">
        <w:tab/>
        <w:t xml:space="preserve">(4). </w:t>
      </w:r>
      <w:r w:rsidRPr="00DC1A5F">
        <w:tab/>
        <w:t>Al desapasionarse al respecto, abandonará la complacencia al respecto.</w:t>
      </w:r>
    </w:p>
    <w:p w14:paraId="7994016D" w14:textId="77777777" w:rsidR="00597DE2" w:rsidRPr="00DC1A5F" w:rsidRDefault="00597DE2" w:rsidP="00597DE2">
      <w:pPr>
        <w:pStyle w:val="NumeracinReload"/>
        <w:tabs>
          <w:tab w:val="clear" w:pos="425"/>
          <w:tab w:val="clear" w:pos="567"/>
          <w:tab w:val="decimal" w:pos="993"/>
        </w:tabs>
        <w:spacing w:after="60"/>
        <w:ind w:left="1276" w:right="1610"/>
      </w:pPr>
      <w:r w:rsidRPr="00DC1A5F">
        <w:tab/>
        <w:t xml:space="preserve">(5). </w:t>
      </w:r>
      <w:r w:rsidRPr="00DC1A5F">
        <w:tab/>
        <w:t>Al hacer que se desvanezca, abandonará la codicia.</w:t>
      </w:r>
    </w:p>
    <w:p w14:paraId="3E079DBF" w14:textId="77777777" w:rsidR="00597DE2" w:rsidRPr="00DC1A5F" w:rsidRDefault="00597DE2" w:rsidP="00597DE2">
      <w:pPr>
        <w:pStyle w:val="NumeracinReload"/>
        <w:tabs>
          <w:tab w:val="clear" w:pos="425"/>
          <w:tab w:val="clear" w:pos="567"/>
          <w:tab w:val="decimal" w:pos="993"/>
        </w:tabs>
        <w:spacing w:after="60"/>
        <w:ind w:left="1276" w:right="1610"/>
      </w:pPr>
      <w:r w:rsidRPr="00DC1A5F">
        <w:tab/>
        <w:t xml:space="preserve">(6). </w:t>
      </w:r>
      <w:r w:rsidRPr="00DC1A5F">
        <w:tab/>
        <w:t>Al producir la cesación, abandonará la originación.</w:t>
      </w:r>
    </w:p>
    <w:p w14:paraId="453B78A3" w14:textId="77777777" w:rsidR="00597DE2" w:rsidRPr="00DC1A5F" w:rsidRDefault="00597DE2" w:rsidP="00597DE2">
      <w:pPr>
        <w:pStyle w:val="NumeracinReload"/>
        <w:tabs>
          <w:tab w:val="clear" w:pos="425"/>
          <w:tab w:val="clear" w:pos="567"/>
          <w:tab w:val="decimal" w:pos="993"/>
        </w:tabs>
        <w:spacing w:after="60"/>
        <w:ind w:left="1276" w:right="1610"/>
        <w:rPr>
          <w:vertAlign w:val="superscript"/>
        </w:rPr>
      </w:pPr>
      <w:r w:rsidRPr="00DC1A5F">
        <w:tab/>
        <w:t xml:space="preserve">(7). </w:t>
      </w:r>
      <w:r w:rsidRPr="00DC1A5F">
        <w:tab/>
        <w:t>Al renunciar a ello, abandonará el apego (</w:t>
      </w:r>
      <w:proofErr w:type="spellStart"/>
      <w:r w:rsidRPr="00DC1A5F">
        <w:rPr>
          <w:i/>
          <w:iCs/>
        </w:rPr>
        <w:t>Paṭis</w:t>
      </w:r>
      <w:proofErr w:type="spellEnd"/>
      <w:r w:rsidRPr="00DC1A5F">
        <w:t xml:space="preserve"> I 58).</w:t>
      </w:r>
      <w:r w:rsidRPr="00DC1A5F">
        <w:rPr>
          <w:vertAlign w:val="superscript"/>
        </w:rPr>
        <w:t>3</w:t>
      </w:r>
    </w:p>
    <w:p w14:paraId="158FCD4C" w14:textId="77777777" w:rsidR="00597DE2" w:rsidRPr="00DC1A5F" w:rsidRDefault="00597DE2" w:rsidP="00597DE2">
      <w:pPr>
        <w:pStyle w:val="NumeracinReload"/>
      </w:pPr>
    </w:p>
    <w:p w14:paraId="48C3AC6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5B9FCC8"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Tīraṇa</w:t>
      </w:r>
      <w:proofErr w:type="spellEnd"/>
      <w:r w:rsidRPr="00DC1A5F">
        <w:t xml:space="preserve"> también podría traducirse como “juzgar”. Sobre las características específicas y generales, El </w:t>
      </w:r>
      <w:proofErr w:type="spellStart"/>
      <w:r w:rsidRPr="00DC1A5F">
        <w:t>Vism</w:t>
      </w:r>
      <w:proofErr w:type="spellEnd"/>
      <w:r w:rsidRPr="00DC1A5F">
        <w:t>–</w:t>
      </w:r>
      <w:proofErr w:type="spellStart"/>
      <w:r w:rsidRPr="00DC1A5F">
        <w:t>mhṭ</w:t>
      </w:r>
      <w:proofErr w:type="spellEnd"/>
      <w:r w:rsidRPr="00DC1A5F">
        <w:t xml:space="preserve"> dice: “La dureza, el contacto, etc., como las características respectivas de la tierra, el contacto, etc., que sean observables en los 3 instantes de surgimiento, presencia y disolución, se aprehenden por estar establecidas como las respectivas esencias individuales de la materialidad definida. No obstante, no será así con las características de la impermanencia, etc. Estos se aprehenderán como si fueran instancias materiales atributivas porque tendrán que ser aprehendidas bajo los términos respectivos de disolución, surgimiento y desaparición, opresión y su insusceptibilidad al ejercicio del dominio” (</w:t>
      </w:r>
      <w:proofErr w:type="spellStart"/>
      <w:r w:rsidRPr="00DC1A5F">
        <w:t>Vism</w:t>
      </w:r>
      <w:proofErr w:type="spellEnd"/>
      <w:r w:rsidRPr="00DC1A5F">
        <w:t>–</w:t>
      </w:r>
      <w:proofErr w:type="spellStart"/>
      <w:r w:rsidRPr="00DC1A5F">
        <w:t>mhṭ</w:t>
      </w:r>
      <w:proofErr w:type="spellEnd"/>
      <w:r w:rsidRPr="00DC1A5F">
        <w:t xml:space="preserve"> 779). Ver cap. XXI, nota 3.</w:t>
      </w:r>
    </w:p>
    <w:p w14:paraId="1B2346D2" w14:textId="77777777" w:rsidR="00597DE2" w:rsidRPr="00DC1A5F" w:rsidRDefault="00597DE2" w:rsidP="00597DE2">
      <w:pPr>
        <w:pStyle w:val="PiedepginaLegal"/>
      </w:pPr>
      <w:r w:rsidRPr="00DC1A5F">
        <w:tab/>
      </w:r>
      <w:r w:rsidRPr="00DC1A5F">
        <w:tab/>
        <w:t>Los “planos” mostrados aquí en §4 no son exactamente los mismos que se describen en el Cap. XXII, §107.</w:t>
      </w:r>
    </w:p>
    <w:p w14:paraId="3360A8AD" w14:textId="77777777" w:rsidR="00597DE2" w:rsidRPr="00DC1A5F" w:rsidRDefault="00597DE2" w:rsidP="00597DE2">
      <w:pPr>
        <w:pStyle w:val="PiedepginaLegal"/>
        <w:numPr>
          <w:ilvl w:val="0"/>
          <w:numId w:val="9"/>
        </w:numPr>
        <w:tabs>
          <w:tab w:val="clear" w:pos="425"/>
          <w:tab w:val="left" w:pos="284"/>
        </w:tabs>
        <w:ind w:left="284" w:hanging="284"/>
      </w:pPr>
      <w:r w:rsidRPr="00DC1A5F">
        <w:t>“‘</w:t>
      </w:r>
      <w:r w:rsidRPr="00DC1A5F">
        <w:rPr>
          <w:i/>
          <w:iCs/>
        </w:rPr>
        <w:t>Contemplarlo como impermanente’</w:t>
      </w:r>
      <w:r w:rsidRPr="00DC1A5F">
        <w:t xml:space="preserve"> significa contemplar, comprender, las formaciones bajo su aspecto de la impermanencia. ‘</w:t>
      </w:r>
      <w:r w:rsidRPr="00DC1A5F">
        <w:rPr>
          <w:i/>
          <w:iCs/>
        </w:rPr>
        <w:t>La percepción de permanencia’</w:t>
      </w:r>
      <w:r w:rsidRPr="00DC1A5F">
        <w:t xml:space="preserve"> corresponderá a la percepción incorrecta de que éstas son permanentes, eternas; los tipos de consciencia asociados con la visión incorrecta</w:t>
      </w:r>
    </w:p>
    <w:p w14:paraId="1E33CC24" w14:textId="77777777" w:rsidR="00597DE2" w:rsidRPr="00DC1A5F" w:rsidRDefault="00597DE2" w:rsidP="00597DE2">
      <w:pPr>
        <w:tabs>
          <w:tab w:val="clear" w:pos="425"/>
        </w:tabs>
        <w:spacing w:after="160"/>
      </w:pPr>
      <w:r w:rsidRPr="00DC1A5F">
        <w:br w:type="page"/>
      </w:r>
    </w:p>
    <w:p w14:paraId="442B4C02" w14:textId="77777777" w:rsidR="00597DE2" w:rsidRPr="00DC1A5F" w:rsidRDefault="00597DE2" w:rsidP="00597DE2">
      <w:pPr>
        <w:pStyle w:val="Textoindependiente"/>
      </w:pPr>
      <w:r w:rsidRPr="00DC1A5F">
        <w:lastRenderedPageBreak/>
        <w:t xml:space="preserve">5. </w:t>
      </w:r>
      <w:r w:rsidRPr="00DC1A5F">
        <w:tab/>
        <w:t xml:space="preserve">Entonces, de estos 3 tipos de entendimiento pleno, solo el </w:t>
      </w:r>
      <w:r w:rsidRPr="00DC1A5F">
        <w:rPr>
          <w:i/>
          <w:iCs/>
        </w:rPr>
        <w:t>entendimiento pleno como lo que haya sido conocido</w:t>
      </w:r>
      <w:r w:rsidRPr="00DC1A5F">
        <w:t xml:space="preserve"> habrá sido alcanzado por este meditador hasta entonces, lo cual se deberá a que la delimitación de las formaciones y el discernimiento de las condiciones ya se habrán consumado; los otros dos aún quedarán por consumar. Por eso se dijo anteriormente: “Además, el conocimiento sobre lo que es el sendero y lo que no es el sendero surgirá cuando se produzca el </w:t>
      </w:r>
      <w:r w:rsidRPr="00DC1A5F">
        <w:rPr>
          <w:i/>
          <w:iCs/>
        </w:rPr>
        <w:t>entendimiento pleno como lo que haya sido investigado</w:t>
      </w:r>
      <w:r w:rsidRPr="00DC1A5F">
        <w:t xml:space="preserve"> y este entendimiento pleno llegará después del </w:t>
      </w:r>
      <w:r w:rsidRPr="00DC1A5F">
        <w:rPr>
          <w:i/>
          <w:iCs/>
        </w:rPr>
        <w:t>entendimiento pleno como lo que haya sido conocido</w:t>
      </w:r>
      <w:r w:rsidRPr="00DC1A5F">
        <w:t>. Por lo tanto, ésta será también una razón por la cual quien desee consumar esta purificación en virtud del conocimiento y la visión sobre lo que es el sendero y lo que no es el sendero, deberá ante todo aplicarse a la comprensión mediante grupos” (§2).</w:t>
      </w:r>
    </w:p>
    <w:p w14:paraId="4C0FB4C7" w14:textId="77777777" w:rsidR="00597DE2" w:rsidRPr="00DC1A5F" w:rsidRDefault="00597DE2" w:rsidP="00597DE2">
      <w:pPr>
        <w:pStyle w:val="Ttulo3"/>
        <w:ind w:left="708"/>
      </w:pPr>
      <w:r w:rsidRPr="00DC1A5F">
        <w:t>[Sabiduría: Comprensión mediante Grupos]</w:t>
      </w:r>
    </w:p>
    <w:p w14:paraId="11971E26" w14:textId="77777777" w:rsidR="00597DE2" w:rsidRPr="00DC1A5F" w:rsidRDefault="00597DE2" w:rsidP="00597DE2">
      <w:r w:rsidRPr="00DC1A5F">
        <w:t xml:space="preserve">6. </w:t>
      </w:r>
      <w:r w:rsidRPr="00DC1A5F">
        <w:tab/>
        <w:t>Aquí el texto:</w:t>
      </w:r>
    </w:p>
    <w:p w14:paraId="6D6C41D6" w14:textId="77777777" w:rsidR="00597DE2" w:rsidRPr="00DC1A5F" w:rsidRDefault="00597DE2" w:rsidP="00597DE2">
      <w:pPr>
        <w:pStyle w:val="NormalConSangria"/>
      </w:pPr>
      <w:r w:rsidRPr="00DC1A5F">
        <w:t>“¿Cómo es que el entendimiento de la definición de los estados: pasado, presente y futuro, mediante el resumen, corresponderá al conocimiento de la comprensión?</w:t>
      </w:r>
    </w:p>
    <w:p w14:paraId="6D26AB1F" w14:textId="77777777" w:rsidR="00597DE2" w:rsidRPr="00DC1A5F" w:rsidRDefault="00597DE2" w:rsidP="00597DE2">
      <w:pPr>
        <w:pStyle w:val="NormalConSangria"/>
      </w:pPr>
      <w:r w:rsidRPr="00DC1A5F">
        <w:t>“Cualquier materialidad, ya sea pasada, presente o futura, interna o externa, burda o sutil, inferior o superior, lejana o cercana, él definirá toda esta materialidad como impermanente: éste será un tipo de comprensión. Él la definirá como insatisfactoria: éste será otro tipo de comprensión. Él la definirá como no–alma: éste será otro tipo de comprensión. Cualquier sensación... Cualquier percepción... Cualquier formación... Cualquier consciencia... Él definirá toda consciencia como impermanente: ... Él la definirá como no–alma: éste será otro tipo de comprensión. El ojo... (etc.) ... vejez–y–muerte, ya sea pasado, futuro o presente, lo definirá como impermanente: éste será otro tipo de comprensión. Él lo definirá como doloroso: éste será otro tipo de comprensión. Él lo definirá como no–alma: éste será otro tipo de comprensión.</w:t>
      </w:r>
    </w:p>
    <w:p w14:paraId="7F7FB22E" w14:textId="77777777" w:rsidR="00597DE2" w:rsidRPr="00DC1A5F" w:rsidRDefault="00597DE2" w:rsidP="00597DE2">
      <w:pPr>
        <w:pStyle w:val="NormalConSangria"/>
      </w:pPr>
      <w:r w:rsidRPr="00DC1A5F">
        <w:t xml:space="preserve">“El entendimiento de una definición mediante un resumen, así, ‘La materialidad, ya sea pasada, presente o futura, es impermanente en el sentido de destrucción, insatisfactoria en el sentido de terror, no–alma en el sentido de carecer de un núcleo’, corresponderá a un conocimiento de la comprensión. La comprensión de una definición mediante una generalización, así: </w:t>
      </w:r>
    </w:p>
    <w:p w14:paraId="60E37A8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1E09BEF" w14:textId="77777777" w:rsidR="00597DE2" w:rsidRPr="00DC1A5F" w:rsidRDefault="00597DE2" w:rsidP="00597DE2">
      <w:pPr>
        <w:pStyle w:val="PiedepginaLegal"/>
      </w:pPr>
      <w:r w:rsidRPr="00DC1A5F">
        <w:t>…</w:t>
      </w:r>
    </w:p>
    <w:p w14:paraId="70CAE235" w14:textId="77777777" w:rsidR="00597DE2" w:rsidRPr="00DC1A5F" w:rsidRDefault="00597DE2" w:rsidP="00597DE2">
      <w:pPr>
        <w:pStyle w:val="PiedepginaLegal"/>
      </w:pPr>
      <w:r w:rsidRPr="00DC1A5F">
        <w:tab/>
        <w:t>deberán considerarse como incluidos bajo el término de “percepción”. Lo mismo ocurrirá con lo que siga. ‘</w:t>
      </w:r>
      <w:r w:rsidRPr="00DC1A5F">
        <w:rPr>
          <w:i/>
          <w:iCs/>
        </w:rPr>
        <w:t>Volverse desapasionado’</w:t>
      </w:r>
      <w:r w:rsidRPr="00DC1A5F">
        <w:t xml:space="preserve"> significará observar las formaciones con desapasionamiento por medio de la contemplación del desapasionamiento inducido por las contemplaciones de la impermanencia, etc. ‘Complacerse’ corresponderá al deseo acompañado de felicidad. ‘Causar disipación’ corresponderá a contemplar las cosas de tal manera que la codicia (</w:t>
      </w:r>
      <w:r w:rsidRPr="00DC1A5F">
        <w:rPr>
          <w:i/>
          <w:iCs/>
        </w:rPr>
        <w:t>rāga</w:t>
      </w:r>
      <w:r w:rsidRPr="00DC1A5F">
        <w:t>) hacia las formaciones no surjan debido a que la codicia se disipará (</w:t>
      </w:r>
      <w:proofErr w:type="spellStart"/>
      <w:r w:rsidRPr="00DC1A5F">
        <w:rPr>
          <w:i/>
          <w:iCs/>
        </w:rPr>
        <w:t>virajjana</w:t>
      </w:r>
      <w:proofErr w:type="spellEnd"/>
      <w:r w:rsidRPr="00DC1A5F">
        <w:t>) mediante la contemplación de la disipación (</w:t>
      </w:r>
      <w:proofErr w:type="spellStart"/>
      <w:r w:rsidRPr="00DC1A5F">
        <w:rPr>
          <w:i/>
          <w:iCs/>
        </w:rPr>
        <w:t>virāgānupassanā</w:t>
      </w:r>
      <w:proofErr w:type="spellEnd"/>
      <w:r w:rsidRPr="00DC1A5F">
        <w:t>); pues se dice que quien actúe así abandonará la codicia. “</w:t>
      </w:r>
      <w:r w:rsidRPr="00DC1A5F">
        <w:rPr>
          <w:i/>
          <w:iCs/>
        </w:rPr>
        <w:t>Causar la cesación</w:t>
      </w:r>
      <w:r w:rsidRPr="00DC1A5F">
        <w:t>” significará contemplar las cosas de tal manera que, mediante la contemplación de la cesación, las formaciones solamente cesen, que no surjan en el futuro a través de un nuevo devenir; ya que se dice que quien actúe así abandonará el surgimiento (la originación) de las formaciones a través de la producción de la naturaleza del no–surgimiento. ‘</w:t>
      </w:r>
      <w:r w:rsidRPr="00DC1A5F">
        <w:rPr>
          <w:i/>
          <w:iCs/>
        </w:rPr>
        <w:t>Renunciación</w:t>
      </w:r>
      <w:r w:rsidRPr="00DC1A5F">
        <w:t>’ significara renunciar a las cosas de tal manera que, mediante la contemplación de la renunciación, ya no se genere aferramiento hacia las formaciones; por eso dijo al respecto: “Él abandonará el apego”; o el significado es que renunciará a aprehenderlos como permanentes, etc.” (</w:t>
      </w:r>
      <w:proofErr w:type="spellStart"/>
      <w:r w:rsidRPr="00DC1A5F">
        <w:t>Vism</w:t>
      </w:r>
      <w:proofErr w:type="spellEnd"/>
      <w:r w:rsidRPr="00DC1A5F">
        <w:t>–</w:t>
      </w:r>
      <w:proofErr w:type="spellStart"/>
      <w:r w:rsidRPr="00DC1A5F">
        <w:t>mhṭ</w:t>
      </w:r>
      <w:proofErr w:type="spellEnd"/>
      <w:r w:rsidRPr="00DC1A5F">
        <w:t xml:space="preserve"> 780).</w:t>
      </w:r>
    </w:p>
    <w:p w14:paraId="325508E9" w14:textId="77777777" w:rsidR="00597DE2" w:rsidRPr="00DC1A5F" w:rsidRDefault="00597DE2" w:rsidP="00597DE2">
      <w:pPr>
        <w:tabs>
          <w:tab w:val="clear" w:pos="425"/>
        </w:tabs>
        <w:spacing w:after="160"/>
      </w:pPr>
      <w:r w:rsidRPr="00DC1A5F">
        <w:br w:type="page"/>
      </w:r>
    </w:p>
    <w:p w14:paraId="03439DA7" w14:textId="77777777" w:rsidR="00597DE2" w:rsidRPr="00DC1A5F" w:rsidRDefault="00597DE2" w:rsidP="00597DE2">
      <w:pPr>
        <w:pStyle w:val="Textoindependiente"/>
      </w:pPr>
      <w:r w:rsidRPr="00DC1A5F">
        <w:lastRenderedPageBreak/>
        <w:t>‘la sensación [608] (</w:t>
      </w:r>
      <w:proofErr w:type="gramStart"/>
      <w:r w:rsidRPr="00DC1A5F">
        <w:t>etc.)...</w:t>
      </w:r>
      <w:proofErr w:type="gramEnd"/>
      <w:r w:rsidRPr="00DC1A5F">
        <w:t xml:space="preserve"> La consciencia... El ojo... (</w:t>
      </w:r>
      <w:proofErr w:type="gramStart"/>
      <w:r w:rsidRPr="00DC1A5F">
        <w:t>etc.)...</w:t>
      </w:r>
      <w:proofErr w:type="gramEnd"/>
      <w:r w:rsidRPr="00DC1A5F">
        <w:t xml:space="preserve"> La vejez–y–muerte, ya sea pasado...’ corresponderá a un conocimiento de la comprensión.</w:t>
      </w:r>
    </w:p>
    <w:p w14:paraId="5403BC53" w14:textId="77777777" w:rsidR="00597DE2" w:rsidRPr="00DC1A5F" w:rsidRDefault="00597DE2" w:rsidP="00597DE2">
      <w:pPr>
        <w:pStyle w:val="Textoindependiente"/>
      </w:pPr>
      <w:r w:rsidRPr="00DC1A5F">
        <w:t xml:space="preserve">7. </w:t>
      </w:r>
      <w:r w:rsidRPr="00DC1A5F">
        <w:tab/>
        <w:t>“El entendimiento de la definición por medio de un resumen así, ‘La materialidad, ya sea pasada, futura o presente, es impermanente, formada, surgida de manera dependiente, está sujeta a la destrucción, sujeta a la desaparición, sujeta al desvanecimiento, sujeta a la cesación’, corresponderá al conocimiento de la comprensión. El entendimiento de la definición por medio de una generalización así, ‘la sensación... (</w:t>
      </w:r>
      <w:proofErr w:type="gramStart"/>
      <w:r w:rsidRPr="00DC1A5F">
        <w:t>etc.)...</w:t>
      </w:r>
      <w:proofErr w:type="gramEnd"/>
      <w:r w:rsidRPr="00DC1A5F">
        <w:t xml:space="preserve"> la consciencia... el ojo... (etc.)... el–envejecimiento–y–la–muerte, ya sean pasados, presentes o futuros, son impermanentes, formados, surgidos de forma dependiente, están sujeto a la destrucción, sujetos al colapso, sujetos al desvanecimiento, sujetos a la cesación’ corresponderá al conocimiento de la comprensión.</w:t>
      </w:r>
    </w:p>
    <w:p w14:paraId="2E5C9FE3" w14:textId="77777777" w:rsidR="00597DE2" w:rsidRPr="00DC1A5F" w:rsidRDefault="00597DE2" w:rsidP="00597DE2">
      <w:pPr>
        <w:pStyle w:val="Textoindependiente"/>
      </w:pPr>
      <w:r w:rsidRPr="00DC1A5F">
        <w:t xml:space="preserve">8. </w:t>
      </w:r>
      <w:r w:rsidRPr="00DC1A5F">
        <w:tab/>
        <w:t>“El entendimiento de la definición por medio de un resumen así, ‘Con el nacimiento como condición se origina el–envejecimiento–y–la–muerte; sin el nacimiento como condición no se originará el envejecimiento ni la muerte”, corresponderá al conocimiento de la comprensión. El entendimiento de la definición por medio de una generalización así, ‘En el pasado y en el futuro con el nacimiento como su condición se origina el–envejecimiento–y–la–muerte; sin el nacimiento como su condición no se originará el–envejecimiento–y–la–muerte”, corresponderá al conocimiento de la comprensión. El entendimiento de la definición por medio de la generalización así, ‘Con el devenir como su condición se origina el nacimiento... Con la ignorancia como su condición se origina las formaciones; sin la ignorancia como su condición no se originará las formaciones’, corresponderá al conocimiento de la comprensión. El entendimiento de la definición por medio de una generalización así, ‘En el pasado y en el futuro con la ignorancia como condición se originan las formaciones; sin la ignorancia como su condición no se originarán las formaciones’ corresponderá al conocimiento de la comprensión.</w:t>
      </w:r>
    </w:p>
    <w:p w14:paraId="326E88E1" w14:textId="77777777" w:rsidR="00597DE2" w:rsidRPr="00DC1A5F" w:rsidRDefault="00597DE2" w:rsidP="00597DE2">
      <w:pPr>
        <w:pStyle w:val="NormalConSangria"/>
      </w:pPr>
      <w:r w:rsidRPr="00DC1A5F">
        <w:t>“El conocimiento será en el sentido de lo que esté siendo conocido y el entendimiento será en el sentido del acto de entender al respecto. Por lo tanto, se dijo: ‘El entendimiento de definir estados pasados, presentes y futuros por medio de un resumen corresponderá al conocimiento de la comprensión’” (</w:t>
      </w:r>
      <w:proofErr w:type="spellStart"/>
      <w:r w:rsidRPr="00DC1A5F">
        <w:rPr>
          <w:i/>
          <w:iCs/>
        </w:rPr>
        <w:t>Paṭis</w:t>
      </w:r>
      <w:proofErr w:type="spellEnd"/>
      <w:r w:rsidRPr="00DC1A5F">
        <w:t xml:space="preserve"> I 53f.).</w:t>
      </w:r>
    </w:p>
    <w:p w14:paraId="5585E92B" w14:textId="77777777" w:rsidR="00597DE2" w:rsidRPr="00DC1A5F" w:rsidRDefault="00597DE2" w:rsidP="00597DE2">
      <w:pPr>
        <w:pStyle w:val="Textoindependiente"/>
      </w:pPr>
      <w:r w:rsidRPr="00DC1A5F">
        <w:t xml:space="preserve">9. </w:t>
      </w:r>
      <w:r w:rsidRPr="00DC1A5F">
        <w:tab/>
        <w:t>Aquí, la forma breve de referirse a, “El ojo… (</w:t>
      </w:r>
      <w:proofErr w:type="gramStart"/>
      <w:r w:rsidRPr="00DC1A5F">
        <w:t>etc.)…</w:t>
      </w:r>
      <w:proofErr w:type="gramEnd"/>
      <w:r w:rsidRPr="00DC1A5F">
        <w:t xml:space="preserve"> El envejecimiento y la muerte”, deberá entenderse que representa los siguientes grupos de cosas omitidas mencionadas a continuación:</w:t>
      </w:r>
    </w:p>
    <w:p w14:paraId="0D4EF0C3"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estados que ocurran en las puertas de la consciencia junto con sus puertas y sus objetos.</w:t>
      </w:r>
    </w:p>
    <w:p w14:paraId="28773006"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5 agregados.</w:t>
      </w:r>
    </w:p>
    <w:p w14:paraId="7F7A1F15"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6 puertas.</w:t>
      </w:r>
    </w:p>
    <w:p w14:paraId="0B075EB8"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6 objetos.</w:t>
      </w:r>
    </w:p>
    <w:p w14:paraId="34C97683"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6 tipos de consciencia.</w:t>
      </w:r>
    </w:p>
    <w:p w14:paraId="2FD445E0"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6 tipos de contacto.</w:t>
      </w:r>
    </w:p>
    <w:p w14:paraId="7D896462"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6 clases de sensación.</w:t>
      </w:r>
    </w:p>
    <w:p w14:paraId="1ADD04C8"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6 clases de percepción.</w:t>
      </w:r>
    </w:p>
    <w:p w14:paraId="2C0D25D4"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 xml:space="preserve">Las 6 clases de volición. </w:t>
      </w:r>
    </w:p>
    <w:p w14:paraId="0F710033"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6 tipos de deseo.</w:t>
      </w:r>
    </w:p>
    <w:p w14:paraId="7D215142"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6 clases de aplicación mental.</w:t>
      </w:r>
    </w:p>
    <w:p w14:paraId="02373BAE"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6 clases de sustentación mental.</w:t>
      </w:r>
    </w:p>
    <w:p w14:paraId="1BF92880"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6 elementos.</w:t>
      </w:r>
    </w:p>
    <w:p w14:paraId="40938960"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 xml:space="preserve">Los 10 </w:t>
      </w:r>
      <w:proofErr w:type="spellStart"/>
      <w:r w:rsidRPr="00DC1A5F">
        <w:rPr>
          <w:i/>
          <w:sz w:val="16"/>
          <w:szCs w:val="20"/>
        </w:rPr>
        <w:t>kasiṇa</w:t>
      </w:r>
      <w:r w:rsidRPr="00DC1A5F">
        <w:rPr>
          <w:sz w:val="16"/>
          <w:szCs w:val="20"/>
        </w:rPr>
        <w:t>s</w:t>
      </w:r>
      <w:proofErr w:type="spellEnd"/>
      <w:r w:rsidRPr="00DC1A5F">
        <w:rPr>
          <w:sz w:val="16"/>
          <w:szCs w:val="20"/>
        </w:rPr>
        <w:t>.</w:t>
      </w:r>
    </w:p>
    <w:p w14:paraId="7709EE4E"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32 aspectos corporales.</w:t>
      </w:r>
    </w:p>
    <w:p w14:paraId="53081CA6"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12 bases.</w:t>
      </w:r>
    </w:p>
    <w:p w14:paraId="793FDEF3"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lastRenderedPageBreak/>
        <w:t>Los 18 elementos.</w:t>
      </w:r>
    </w:p>
    <w:p w14:paraId="2258F788"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22 facultades.</w:t>
      </w:r>
    </w:p>
    <w:p w14:paraId="4A1CDB92"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3 elementos.</w:t>
      </w:r>
    </w:p>
    <w:p w14:paraId="50204E99"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9 tipos de devenir.</w:t>
      </w:r>
    </w:p>
    <w:p w14:paraId="02742644"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 xml:space="preserve">Los 4 </w:t>
      </w:r>
      <w:proofErr w:type="spellStart"/>
      <w:r w:rsidRPr="00DC1A5F">
        <w:rPr>
          <w:i/>
          <w:iCs/>
          <w:sz w:val="16"/>
          <w:szCs w:val="20"/>
        </w:rPr>
        <w:t>jhānas</w:t>
      </w:r>
      <w:proofErr w:type="spellEnd"/>
      <w:r w:rsidRPr="00DC1A5F">
        <w:rPr>
          <w:sz w:val="16"/>
          <w:szCs w:val="20"/>
        </w:rPr>
        <w:t>.</w:t>
      </w:r>
    </w:p>
    <w:p w14:paraId="3CECBAA5"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Los 4 estados inconmensurables.</w:t>
      </w:r>
    </w:p>
    <w:p w14:paraId="60C131C5" w14:textId="77777777" w:rsidR="00597DE2" w:rsidRPr="00DC1A5F" w:rsidRDefault="00597DE2" w:rsidP="00597DE2">
      <w:pPr>
        <w:pStyle w:val="NumeracinReload"/>
        <w:numPr>
          <w:ilvl w:val="0"/>
          <w:numId w:val="13"/>
        </w:numPr>
        <w:tabs>
          <w:tab w:val="clear" w:pos="425"/>
          <w:tab w:val="clear" w:pos="567"/>
          <w:tab w:val="right" w:pos="851"/>
          <w:tab w:val="left" w:pos="993"/>
        </w:tabs>
        <w:rPr>
          <w:sz w:val="16"/>
          <w:szCs w:val="20"/>
        </w:rPr>
      </w:pPr>
      <w:r w:rsidRPr="00DC1A5F">
        <w:rPr>
          <w:sz w:val="16"/>
          <w:szCs w:val="20"/>
        </w:rPr>
        <w:t>Las 4 absorciones inmateriales.</w:t>
      </w:r>
    </w:p>
    <w:p w14:paraId="6E9F3DA3" w14:textId="77777777" w:rsidR="00597DE2" w:rsidRPr="00DC1A5F" w:rsidRDefault="00597DE2" w:rsidP="00597DE2">
      <w:pPr>
        <w:pStyle w:val="NumeracinReload"/>
        <w:numPr>
          <w:ilvl w:val="0"/>
          <w:numId w:val="13"/>
        </w:numPr>
        <w:tabs>
          <w:tab w:val="clear" w:pos="425"/>
          <w:tab w:val="clear" w:pos="567"/>
          <w:tab w:val="right" w:pos="851"/>
          <w:tab w:val="left" w:pos="993"/>
        </w:tabs>
        <w:spacing w:after="80"/>
        <w:rPr>
          <w:sz w:val="16"/>
          <w:szCs w:val="20"/>
        </w:rPr>
      </w:pPr>
      <w:r w:rsidRPr="00DC1A5F">
        <w:rPr>
          <w:sz w:val="16"/>
          <w:szCs w:val="20"/>
        </w:rPr>
        <w:t>Los 12 constituyentes de la originación dependiente.</w:t>
      </w:r>
    </w:p>
    <w:p w14:paraId="6E0C85B5" w14:textId="77777777" w:rsidR="00597DE2" w:rsidRPr="00DC1A5F" w:rsidRDefault="00597DE2" w:rsidP="00597DE2">
      <w:r w:rsidRPr="00DC1A5F">
        <w:t xml:space="preserve">10. </w:t>
      </w:r>
      <w:r w:rsidRPr="00DC1A5F">
        <w:tab/>
        <w:t xml:space="preserve">Ya que esto se dice en el </w:t>
      </w:r>
      <w:proofErr w:type="spellStart"/>
      <w:r w:rsidRPr="00DC1A5F">
        <w:rPr>
          <w:i/>
          <w:iCs/>
        </w:rPr>
        <w:t>Paṭisambhidā</w:t>
      </w:r>
      <w:proofErr w:type="spellEnd"/>
      <w:r w:rsidRPr="00DC1A5F">
        <w:t xml:space="preserve"> sobre la descripción de lo que debe ser conocido directamente: “</w:t>
      </w:r>
      <w:proofErr w:type="spellStart"/>
      <w:r w:rsidRPr="00DC1A5F">
        <w:rPr>
          <w:i/>
        </w:rPr>
        <w:t>Bhikkhu</w:t>
      </w:r>
      <w:r w:rsidRPr="00DC1A5F">
        <w:t>s</w:t>
      </w:r>
      <w:proofErr w:type="spellEnd"/>
      <w:r w:rsidRPr="00DC1A5F">
        <w:t xml:space="preserve">, todo debe ser </w:t>
      </w:r>
      <w:r w:rsidRPr="00DC1A5F">
        <w:rPr>
          <w:color w:val="833C0B" w:themeColor="accent2" w:themeShade="80"/>
        </w:rPr>
        <w:t xml:space="preserve">entendido </w:t>
      </w:r>
      <w:r w:rsidRPr="00DC1A5F">
        <w:t xml:space="preserve">directamente. ¿Y qué es ese todo que debe ser </w:t>
      </w:r>
      <w:r w:rsidRPr="00DC1A5F">
        <w:rPr>
          <w:color w:val="833C0B" w:themeColor="accent2" w:themeShade="80"/>
        </w:rPr>
        <w:t xml:space="preserve">entendido </w:t>
      </w:r>
      <w:r w:rsidRPr="00DC1A5F">
        <w:t xml:space="preserve">directamente? [609] (1) El ojo debe ser </w:t>
      </w:r>
      <w:r w:rsidRPr="00DC1A5F">
        <w:rPr>
          <w:color w:val="833C0B" w:themeColor="accent2" w:themeShade="80"/>
        </w:rPr>
        <w:t xml:space="preserve">entendido </w:t>
      </w:r>
      <w:r w:rsidRPr="00DC1A5F">
        <w:t xml:space="preserve">directamente; los objetos visibles deben ser </w:t>
      </w:r>
      <w:r w:rsidRPr="00DC1A5F">
        <w:rPr>
          <w:color w:val="833C0B" w:themeColor="accent2" w:themeShade="80"/>
        </w:rPr>
        <w:t xml:space="preserve">entendidos </w:t>
      </w:r>
      <w:r w:rsidRPr="00DC1A5F">
        <w:t xml:space="preserve">directamente; la consciencia visual... el contacto visual... la sensación, agradable o desagradable o ni–agradable–ni–desagradable, que surjan debido al contacto visual también debe ser </w:t>
      </w:r>
      <w:r w:rsidRPr="00DC1A5F">
        <w:rPr>
          <w:color w:val="833C0B" w:themeColor="accent2" w:themeShade="80"/>
        </w:rPr>
        <w:t xml:space="preserve">entendido </w:t>
      </w:r>
      <w:r w:rsidRPr="00DC1A5F">
        <w:t xml:space="preserve">directamente. El oído... La mente ente... sensación, agradable o desagradable o ni–agradable–ni–desagradable, que surja debido al contacto mental también deberá ser </w:t>
      </w:r>
      <w:r w:rsidRPr="00DC1A5F">
        <w:rPr>
          <w:color w:val="833C0B" w:themeColor="accent2" w:themeShade="80"/>
        </w:rPr>
        <w:t xml:space="preserve">entendido </w:t>
      </w:r>
      <w:r w:rsidRPr="00DC1A5F">
        <w:t>directamente.</w:t>
      </w:r>
    </w:p>
    <w:p w14:paraId="71725561" w14:textId="77777777" w:rsidR="00597DE2" w:rsidRPr="00DC1A5F" w:rsidRDefault="00597DE2" w:rsidP="00597DE2">
      <w:r w:rsidRPr="00DC1A5F">
        <w:t xml:space="preserve">11. </w:t>
      </w:r>
      <w:r w:rsidRPr="00DC1A5F">
        <w:tab/>
        <w:t xml:space="preserve">“(2) La materialidad deberá ser </w:t>
      </w:r>
      <w:r w:rsidRPr="00DC1A5F">
        <w:rPr>
          <w:color w:val="833C0B" w:themeColor="accent2" w:themeShade="80"/>
        </w:rPr>
        <w:t xml:space="preserve">entendida </w:t>
      </w:r>
      <w:r w:rsidRPr="00DC1A5F">
        <w:t xml:space="preserve">directamente… la consciencia deberá ser </w:t>
      </w:r>
      <w:r w:rsidRPr="00DC1A5F">
        <w:rPr>
          <w:color w:val="833C0B" w:themeColor="accent2" w:themeShade="80"/>
        </w:rPr>
        <w:t xml:space="preserve">entendida </w:t>
      </w:r>
      <w:r w:rsidRPr="00DC1A5F">
        <w:t xml:space="preserve">directamente… (3) El ojo... la mente... (4) Los objetos visibles... los objetos mentales... (5) La consciencia visual... la consciencia mental... (6) El contacto visual... contacto mental... (7) La sensación surgida del contacto visual...la sensación surgida del contacto mental... (8) La percepción de los objetos visibles... la percepción de los objetos mentales... (9) La volición con respecto a los objetos visibles... la volición con respecto a los objetos mentales... (10) EL deseo de objetos visibles... deseo de objetos mentales... (11) Aplicación mental sobre los objetos visibles... Aplicación mental sobre objetos mentales... (12) Sustentación mental sobre objetos visibles... Sustentación mental sobre objetos mentales... (13) El elemento tierra... el elemento consciencia... (14) El </w:t>
      </w:r>
      <w:proofErr w:type="spellStart"/>
      <w:r w:rsidRPr="00DC1A5F">
        <w:rPr>
          <w:i/>
        </w:rPr>
        <w:t>kasiṇa</w:t>
      </w:r>
      <w:proofErr w:type="spellEnd"/>
      <w:r w:rsidRPr="00DC1A5F">
        <w:rPr>
          <w:i/>
        </w:rPr>
        <w:t xml:space="preserve"> </w:t>
      </w:r>
      <w:r w:rsidRPr="00DC1A5F">
        <w:rPr>
          <w:iCs/>
        </w:rPr>
        <w:t>tierra</w:t>
      </w:r>
      <w:r w:rsidRPr="00DC1A5F">
        <w:t xml:space="preserve">... la consciencia </w:t>
      </w:r>
      <w:proofErr w:type="spellStart"/>
      <w:r w:rsidRPr="00DC1A5F">
        <w:rPr>
          <w:i/>
        </w:rPr>
        <w:t>kasiṇa</w:t>
      </w:r>
      <w:proofErr w:type="spellEnd"/>
      <w:r w:rsidRPr="00DC1A5F">
        <w:t xml:space="preserve">... (15) Los cabellos de la cabeza... el cerebro... (16) La base del ojo... la base del objeto mental... (17) El elemento del ojo... el elemento de la mente–consciencia... (18) La facultad del ojo... la facultad del conocedor final... (19) El elemento del deseo sensorial ... el elemento de la materia sutil... el elemento inmaterial ... (20) El devenir del deseo sensorial... El devenir de la materia sutil ... El devenir inmaterial... El devenir percipiente... EL devenir no percipiente... El devenir ni–percipiente–ni–no–percipiente... el devenir de un constituyente... el devenir de 4 constituyentes... devenir de 5 constituyentes... (21) El primer </w:t>
      </w:r>
      <w:proofErr w:type="spellStart"/>
      <w:r w:rsidRPr="00DC1A5F">
        <w:rPr>
          <w:i/>
        </w:rPr>
        <w:t>jhāna</w:t>
      </w:r>
      <w:proofErr w:type="spellEnd"/>
      <w:r w:rsidRPr="00DC1A5F">
        <w:t xml:space="preserve">... el cuarto </w:t>
      </w:r>
      <w:proofErr w:type="spellStart"/>
      <w:r w:rsidRPr="00DC1A5F">
        <w:rPr>
          <w:i/>
        </w:rPr>
        <w:t>jhāna</w:t>
      </w:r>
      <w:proofErr w:type="spellEnd"/>
      <w:r w:rsidRPr="00DC1A5F">
        <w:t xml:space="preserve">... (22) La liberación mental del amor bondadoso ... la liberación mental de la ecuanimidad ... (23) La absorción de la base que consiste en un espacio ilimitado ... la absorción de la base consistente de la no–percepción–ni–no–percepción ... (24) La ignorancia deberá ser </w:t>
      </w:r>
      <w:r w:rsidRPr="00DC1A5F">
        <w:rPr>
          <w:color w:val="833C0B" w:themeColor="accent2" w:themeShade="80"/>
        </w:rPr>
        <w:t xml:space="preserve">entendida </w:t>
      </w:r>
      <w:r w:rsidRPr="00DC1A5F">
        <w:t xml:space="preserve">directamente ... el envejecimiento y la muerte deberán ser </w:t>
      </w:r>
      <w:r w:rsidRPr="00DC1A5F">
        <w:rPr>
          <w:color w:val="833C0B" w:themeColor="accent2" w:themeShade="80"/>
        </w:rPr>
        <w:t xml:space="preserve">entendidos </w:t>
      </w:r>
      <w:r w:rsidRPr="00DC1A5F">
        <w:t>directamente” (</w:t>
      </w:r>
      <w:proofErr w:type="spellStart"/>
      <w:r w:rsidRPr="00DC1A5F">
        <w:rPr>
          <w:i/>
          <w:iCs/>
        </w:rPr>
        <w:t>Paṭis</w:t>
      </w:r>
      <w:proofErr w:type="spellEnd"/>
      <w:r w:rsidRPr="00DC1A5F">
        <w:t xml:space="preserve"> I 5f.).</w:t>
      </w:r>
    </w:p>
    <w:p w14:paraId="4A426858" w14:textId="77777777" w:rsidR="00597DE2" w:rsidRPr="00DC1A5F" w:rsidRDefault="00597DE2" w:rsidP="00597DE2">
      <w:r w:rsidRPr="00DC1A5F">
        <w:t xml:space="preserve">12. </w:t>
      </w:r>
      <w:r w:rsidRPr="00DC1A5F">
        <w:tab/>
        <w:t>Como todo este detalle se ha expuesto previamente, se ha abreviado al respecto. No obstante, lo que se abrevie así incluirá los estados supramundanos. Estos no deben tratarse en esta etapa porque no son susceptibles de una comprensión apropiada. Y con respecto a aquellos que sean susceptibles de una comprensión, se deberá comenzar por comprender aquellos entre los que sean obvios y fácilmente discernibles por el individuo, por el meditador.</w:t>
      </w:r>
    </w:p>
    <w:p w14:paraId="70A9C66B" w14:textId="77777777" w:rsidR="00597DE2" w:rsidRPr="00DC1A5F" w:rsidRDefault="00597DE2" w:rsidP="00597DE2">
      <w:pPr>
        <w:pStyle w:val="Ttulo3"/>
        <w:ind w:left="708"/>
      </w:pPr>
      <w:r w:rsidRPr="00DC1A5F">
        <w:t>[Comprensión Por Grupos—Aplicación Del Texto]</w:t>
      </w:r>
    </w:p>
    <w:p w14:paraId="3C2DD787" w14:textId="77777777" w:rsidR="00597DE2" w:rsidRPr="00DC1A5F" w:rsidRDefault="00597DE2" w:rsidP="00597DE2">
      <w:pPr>
        <w:pStyle w:val="Textoindependiente"/>
      </w:pPr>
      <w:r w:rsidRPr="00DC1A5F">
        <w:t xml:space="preserve">13. </w:t>
      </w:r>
      <w:r w:rsidRPr="00DC1A5F">
        <w:tab/>
        <w:t>Aquí está la aplicación de las directrices que tratan sobre los agregados: “Cualquier materialidad, (i–</w:t>
      </w:r>
      <w:proofErr w:type="spellStart"/>
      <w:r w:rsidRPr="00DC1A5F">
        <w:t>iii</w:t>
      </w:r>
      <w:proofErr w:type="spellEnd"/>
      <w:r w:rsidRPr="00DC1A5F">
        <w:t>) ya sea pasada, presente o futura, (</w:t>
      </w:r>
      <w:proofErr w:type="spellStart"/>
      <w:r w:rsidRPr="00DC1A5F">
        <w:t>iv</w:t>
      </w:r>
      <w:proofErr w:type="spellEnd"/>
      <w:r w:rsidRPr="00DC1A5F">
        <w:t>–v) interna o externa, (vi–</w:t>
      </w:r>
      <w:proofErr w:type="spellStart"/>
      <w:r w:rsidRPr="00DC1A5F">
        <w:t>vii</w:t>
      </w:r>
      <w:proofErr w:type="spellEnd"/>
      <w:r w:rsidRPr="00DC1A5F">
        <w:t xml:space="preserve">) burda o </w:t>
      </w:r>
      <w:r w:rsidRPr="00DC1A5F">
        <w:br w:type="page"/>
      </w:r>
    </w:p>
    <w:p w14:paraId="45B23C2C" w14:textId="77777777" w:rsidR="00597DE2" w:rsidRPr="00DC1A5F" w:rsidRDefault="00597DE2" w:rsidP="00597DE2">
      <w:pPr>
        <w:pStyle w:val="Textoindependiente"/>
      </w:pPr>
      <w:r w:rsidRPr="00DC1A5F">
        <w:lastRenderedPageBreak/>
        <w:t>sutil, (</w:t>
      </w:r>
      <w:proofErr w:type="spellStart"/>
      <w:r w:rsidRPr="00DC1A5F">
        <w:t>viii</w:t>
      </w:r>
      <w:proofErr w:type="spellEnd"/>
      <w:r w:rsidRPr="00DC1A5F">
        <w:t>–</w:t>
      </w:r>
      <w:proofErr w:type="spellStart"/>
      <w:r w:rsidRPr="00DC1A5F">
        <w:t>ix</w:t>
      </w:r>
      <w:proofErr w:type="spellEnd"/>
      <w:r w:rsidRPr="00DC1A5F">
        <w:t xml:space="preserve">) inferior o superior, (x–xi) lejana o cercana: definirá toda la materialidad como impermanente: éste corresponderá a un tipo de comprensión. La definirá como insatisfactoria: [610] éste corresponderá a otro tipo de comprensión. Él lo definirá como no–alma: este corresponderá a otro tipo de comprensión” (ver §6). Al respecto, este </w:t>
      </w:r>
      <w:proofErr w:type="spellStart"/>
      <w:r w:rsidRPr="00DC1A5F">
        <w:rPr>
          <w:i/>
        </w:rPr>
        <w:t>bhikkhu</w:t>
      </w:r>
      <w:proofErr w:type="spellEnd"/>
      <w:r w:rsidRPr="00DC1A5F">
        <w:t xml:space="preserve"> adoptará toda materialidad, que se describe sin especificarla como “</w:t>
      </w:r>
      <w:r w:rsidRPr="00DC1A5F">
        <w:rPr>
          <w:i/>
          <w:iCs/>
        </w:rPr>
        <w:t>cualquier materialidad</w:t>
      </w:r>
      <w:r w:rsidRPr="00DC1A5F">
        <w:t>”, y habiéndola delimitado en las 11 instancias anteriores, es decir, con la tríada descrita y con las 4 díadas, comenzando con la díada interna, externa, etc., él “</w:t>
      </w:r>
      <w:r w:rsidRPr="00DC1A5F">
        <w:rPr>
          <w:i/>
          <w:iCs/>
        </w:rPr>
        <w:t>definirá toda materialidad como impermanente</w:t>
      </w:r>
      <w:r w:rsidRPr="00DC1A5F">
        <w:t>”, comprenderá que es impermanente. ¿Cómo? De la forma que se indica a continuación. Ya que esto se dice al respecto: “</w:t>
      </w:r>
      <w:r w:rsidRPr="00DC1A5F">
        <w:rPr>
          <w:i/>
          <w:iCs/>
        </w:rPr>
        <w:t>La materialidad, ya sea pasada, presente o futura, es impermanente en el sentido de destrucción”</w:t>
      </w:r>
      <w:r w:rsidRPr="00DC1A5F">
        <w:t>.</w:t>
      </w:r>
    </w:p>
    <w:p w14:paraId="61BB2D90" w14:textId="77777777" w:rsidR="00597DE2" w:rsidRPr="00DC1A5F" w:rsidRDefault="00597DE2" w:rsidP="00597DE2">
      <w:r w:rsidRPr="00DC1A5F">
        <w:t xml:space="preserve">14. </w:t>
      </w:r>
      <w:r w:rsidRPr="00DC1A5F">
        <w:tab/>
        <w:t xml:space="preserve">En consecuencia, él comprenderá la materialidad pasada como </w:t>
      </w:r>
      <w:r w:rsidRPr="00DC1A5F">
        <w:rPr>
          <w:i/>
          <w:iCs/>
        </w:rPr>
        <w:t>“impermanente en el sentido de destrucción</w:t>
      </w:r>
      <w:r w:rsidRPr="00DC1A5F">
        <w:t>”, ya que ésta habría sido destruida en el pasado y no habría llegado a este devenir; y comprenderá la materialidad futura como “</w:t>
      </w:r>
      <w:r w:rsidRPr="00DC1A5F">
        <w:rPr>
          <w:i/>
          <w:iCs/>
        </w:rPr>
        <w:t>impermanente en el sentido de destrucción</w:t>
      </w:r>
      <w:r w:rsidRPr="00DC1A5F">
        <w:t>”, ya que se producirá en el próximo devenir, allí también se destruirá la presente y no trascenderá a un devenir ulterior; y comprenderá la materialidad presente como “</w:t>
      </w:r>
      <w:r w:rsidRPr="00DC1A5F">
        <w:rPr>
          <w:i/>
          <w:iCs/>
        </w:rPr>
        <w:t>impermanente en el sentido de destrucción</w:t>
      </w:r>
      <w:r w:rsidRPr="00DC1A5F">
        <w:t>” ya que se destruye aquí y no trasciende hacia ningún más allá. Y comprenderá la materialidad interna como “</w:t>
      </w:r>
      <w:r w:rsidRPr="00DC1A5F">
        <w:rPr>
          <w:i/>
          <w:iCs/>
        </w:rPr>
        <w:t>impermanente en el sentido de destrucción</w:t>
      </w:r>
      <w:r w:rsidRPr="00DC1A5F">
        <w:t>” ya que se destruirá internamente sin pasar al estado externo. Y comprenderá la materialidad externa... burda... sutil... inferior... superior... lejana... Y comprenderá la materialidad cercana como “</w:t>
      </w:r>
      <w:r w:rsidRPr="00DC1A5F">
        <w:rPr>
          <w:i/>
          <w:iCs/>
        </w:rPr>
        <w:t>impermanente en el sentido de destrucción</w:t>
      </w:r>
      <w:r w:rsidRPr="00DC1A5F">
        <w:t xml:space="preserve">” ya que allí se destruirá y no trascenderá hacia un estado </w:t>
      </w:r>
      <w:proofErr w:type="gramStart"/>
      <w:r w:rsidRPr="00DC1A5F">
        <w:t>lejano .</w:t>
      </w:r>
      <w:proofErr w:type="gramEnd"/>
      <w:r w:rsidRPr="00DC1A5F">
        <w:t xml:space="preserve"> Y todo esto será impermanente en el sentido de destrucción. En consecuencia, existirá “</w:t>
      </w:r>
      <w:r w:rsidRPr="00DC1A5F">
        <w:rPr>
          <w:i/>
          <w:iCs/>
        </w:rPr>
        <w:t>un tipo de comprensión”</w:t>
      </w:r>
      <w:r w:rsidRPr="00DC1A5F">
        <w:t xml:space="preserve"> de la manera descrita; no obstante, se efectuará de estas 11 maneras.</w:t>
      </w:r>
    </w:p>
    <w:p w14:paraId="64CFD563" w14:textId="77777777" w:rsidR="00597DE2" w:rsidRPr="00DC1A5F" w:rsidRDefault="00597DE2" w:rsidP="00597DE2">
      <w:r w:rsidRPr="00DC1A5F">
        <w:t xml:space="preserve">15. </w:t>
      </w:r>
      <w:r w:rsidRPr="00DC1A5F">
        <w:tab/>
        <w:t xml:space="preserve">Y </w:t>
      </w:r>
      <w:proofErr w:type="gramStart"/>
      <w:r w:rsidRPr="00DC1A5F">
        <w:t>todo esa materialidad</w:t>
      </w:r>
      <w:proofErr w:type="gramEnd"/>
      <w:r w:rsidRPr="00DC1A5F">
        <w:t xml:space="preserve"> es “</w:t>
      </w:r>
      <w:r w:rsidRPr="00DC1A5F">
        <w:rPr>
          <w:i/>
          <w:iCs/>
        </w:rPr>
        <w:t>insatisfactoria en el sentido del terror</w:t>
      </w:r>
      <w:r w:rsidRPr="00DC1A5F">
        <w:t xml:space="preserve">”. En el sentido del terror por lo aterrador al respecto; porque lo que sea impermanente traerá terror, como se hace con las deidades en el </w:t>
      </w:r>
      <w:proofErr w:type="spellStart"/>
      <w:r w:rsidRPr="00DC1A5F">
        <w:rPr>
          <w:i/>
          <w:iCs/>
        </w:rPr>
        <w:t>Sīhopama</w:t>
      </w:r>
      <w:proofErr w:type="spellEnd"/>
      <w:r w:rsidRPr="00DC1A5F">
        <w:rPr>
          <w:i/>
          <w:iCs/>
        </w:rPr>
        <w:t xml:space="preserve"> Sutta</w:t>
      </w:r>
      <w:r w:rsidRPr="00DC1A5F">
        <w:t xml:space="preserve"> (S III 84). Así que esto también será insatisfactorio en el sentido de terror. En consecuencia, también existirá un tipo de comprensión de la manera descrita; pero se efectuará de estas 11 maneras.</w:t>
      </w:r>
    </w:p>
    <w:p w14:paraId="143A1C45" w14:textId="77777777" w:rsidR="00597DE2" w:rsidRPr="00DC1A5F" w:rsidRDefault="00597DE2" w:rsidP="00597DE2">
      <w:r w:rsidRPr="00DC1A5F">
        <w:t xml:space="preserve">16. </w:t>
      </w:r>
      <w:r w:rsidRPr="00DC1A5F">
        <w:tab/>
        <w:t>Y así como es insatisfactoria, también toda esa materialidad será “</w:t>
      </w:r>
      <w:r w:rsidRPr="00DC1A5F">
        <w:rPr>
          <w:i/>
          <w:iCs/>
        </w:rPr>
        <w:t>no–alma en el sentido de carecer de núcleo</w:t>
      </w:r>
      <w:r w:rsidRPr="00DC1A5F">
        <w:t xml:space="preserve">”. En el sentido de carecer de un núcleo debido a la ausencia de cualquier núcleo de algún </w:t>
      </w:r>
      <w:proofErr w:type="gramStart"/>
      <w:r w:rsidRPr="00DC1A5F">
        <w:t>alma concebido</w:t>
      </w:r>
      <w:proofErr w:type="gramEnd"/>
      <w:r w:rsidRPr="00DC1A5F">
        <w:t xml:space="preserve"> como alma, como un habitante, un perpetrador o hacedor, un experimentador, alguien que sea su propio amo; ya que lo que sea impermanente será insatisfactorio (S III 82), y será imposible escapar de la impermanencia, o de su surgimiento y desaparición, de la opresión del alma, entonces, ¿cómo podría tener el estado de un perpetrador o hacedor, etc.? Por eso, se dice al respecto, “</w:t>
      </w:r>
      <w:proofErr w:type="spellStart"/>
      <w:r w:rsidRPr="00DC1A5F">
        <w:rPr>
          <w:i/>
        </w:rPr>
        <w:t>Bhikkhu</w:t>
      </w:r>
      <w:r w:rsidRPr="00DC1A5F">
        <w:t>s</w:t>
      </w:r>
      <w:proofErr w:type="spellEnd"/>
      <w:r w:rsidRPr="00DC1A5F">
        <w:t>, si la materialidad fuera alma, no conduciría a la aflicción” (S III 66), etc. Así que esto también será no–alma en el sentido de carecer de un núcleo. En consecuencia, también existirá un tipo de comprensión de la manera descrita, pero se efectuará de esas 11 maneras. [611] El mismo método se aplicará a la sensación, etc.</w:t>
      </w:r>
    </w:p>
    <w:p w14:paraId="145B4CB9" w14:textId="77777777" w:rsidR="00597DE2" w:rsidRPr="00DC1A5F" w:rsidRDefault="00597DE2" w:rsidP="00597DE2">
      <w:r w:rsidRPr="00DC1A5F">
        <w:t xml:space="preserve">17. </w:t>
      </w:r>
      <w:r w:rsidRPr="00DC1A5F">
        <w:tab/>
        <w:t>No obstante, lo que sea impermanente se clasificará necesariamente como formado, etc., y así, para exponer los sinónimos de esa impermanencia, o para exponer cómo la atención que se le preste se producirá de diferentes maneras, esto se reafirma en el texto así: “La materialidad, ya sea pasada, presente o futura, es impermanente, formada, surgida de manera dependiente, sujeta a la destrucción, sujeta al colapso, sujeta al desvanecimiento, sujeta a la cesación” (§7). El mismo método se aplicará a la sensación, etc.</w:t>
      </w:r>
    </w:p>
    <w:p w14:paraId="0D9B1DE4" w14:textId="77777777" w:rsidR="00597DE2" w:rsidRPr="00DC1A5F" w:rsidRDefault="00597DE2" w:rsidP="00597DE2">
      <w:pPr>
        <w:tabs>
          <w:tab w:val="clear" w:pos="425"/>
        </w:tabs>
        <w:spacing w:after="160"/>
      </w:pPr>
      <w:r w:rsidRPr="00DC1A5F">
        <w:br w:type="page"/>
      </w:r>
    </w:p>
    <w:p w14:paraId="12D66EA6" w14:textId="77777777" w:rsidR="00597DE2" w:rsidRPr="00DC1A5F" w:rsidRDefault="00597DE2" w:rsidP="00597DE2">
      <w:pPr>
        <w:pStyle w:val="Ttulo3"/>
        <w:ind w:left="708"/>
      </w:pPr>
      <w:r w:rsidRPr="00DC1A5F">
        <w:lastRenderedPageBreak/>
        <w:t>[Fortalecimiento de la Comprensión de Cuarenta Maneras]</w:t>
      </w:r>
    </w:p>
    <w:p w14:paraId="475FA055" w14:textId="77777777" w:rsidR="00597DE2" w:rsidRPr="00DC1A5F" w:rsidRDefault="00597DE2" w:rsidP="00597DE2">
      <w:r w:rsidRPr="00DC1A5F">
        <w:t xml:space="preserve">18. </w:t>
      </w:r>
      <w:r w:rsidRPr="00DC1A5F">
        <w:tab/>
        <w:t xml:space="preserve">Ahora bien, cuando el </w:t>
      </w:r>
      <w:r w:rsidRPr="00DC1A5F">
        <w:rPr>
          <w:i/>
          <w:iCs/>
        </w:rPr>
        <w:t>Bhagavā</w:t>
      </w:r>
      <w:r w:rsidRPr="00DC1A5F">
        <w:t xml:space="preserve"> estaba exponiendo el conocimiento de la conformidad, él hizo la pregunta: “¿Por medio de qué cuarenta aspectos se adquirirá la satisfacción que se encuentre en conformidad? ¿Mediante qué cuarenta aspectos uno entrará en la certeza de la rectitud? (P’8).</w:t>
      </w:r>
      <w:r w:rsidRPr="00DC1A5F">
        <w:rPr>
          <w:vertAlign w:val="superscript"/>
        </w:rPr>
        <w:t>4</w:t>
      </w:r>
      <w:r w:rsidRPr="00DC1A5F">
        <w:t xml:space="preserve"> En su respuesta, él expuso analíticamente la comprensión de la impermanencia, etc., mediante el pasaje que comienza: “Apreciando a los cinco agregados como impermanentes, insatisfactorios, como una enfermedad, un furúnculo, un dardo, una calamidad, una aflicción, como algo extraño, como algo desintegrador, como una plaga, un desastre, un terror, una amenaza, como algo voluble, perecedero, imperdurable, como algo sin protección, sin refugio, sin cobijo, como algo vacío, vano, desierto, no–alma, como un peligro, sujeto al cambio, carente de núcleo, raíz de una calamidad, como un asesino, como destinado a ser aniquilado, sujetos a heridas, formado, como una carnada de </w:t>
      </w:r>
      <w:r w:rsidRPr="00DC1A5F">
        <w:rPr>
          <w:i/>
        </w:rPr>
        <w:t>Māra</w:t>
      </w:r>
      <w:r w:rsidRPr="00DC1A5F">
        <w:t>, sujetos al nacimiento, sujetos al envejecimiento, sujetos a la enfermedad, sujetos a la muerte, sujetos al dolor, sujeto al lamento, sujetos a la desesperación, sujetos a la corrupción. Al ver los 5 agregados como impermanentes, adquirirá la satisfacción de la comprensión que se encuentre en conformidad. Y apreciando que la cesación de los 5 agregados es la manifestación del permanente</w:t>
      </w:r>
      <w:r w:rsidRPr="00DC1A5F">
        <w:rPr>
          <w:i/>
          <w:iCs/>
        </w:rPr>
        <w:t xml:space="preserve"> Nibbāna</w:t>
      </w:r>
      <w:r w:rsidRPr="00DC1A5F">
        <w:t>, entrará en la certeza de la rectitud” (</w:t>
      </w:r>
      <w:proofErr w:type="spellStart"/>
      <w:r w:rsidRPr="00DC1A5F">
        <w:rPr>
          <w:i/>
          <w:iCs/>
        </w:rPr>
        <w:t>Paṭis</w:t>
      </w:r>
      <w:proofErr w:type="spellEnd"/>
      <w:r w:rsidRPr="00DC1A5F">
        <w:t xml:space="preserve"> II 238). Entonces, en virtud del fortalecimiento de esa misma comprensión de impermanencia, insatisfactoriedad y no–alma en los 5 agregados, dicho meditador también comprenderá estos 5 agregados por medio de este tipo de comprensión.</w:t>
      </w:r>
    </w:p>
    <w:p w14:paraId="3A96C867" w14:textId="77777777" w:rsidR="00597DE2" w:rsidRPr="00DC1A5F" w:rsidRDefault="00597DE2" w:rsidP="00597DE2">
      <w:r w:rsidRPr="00DC1A5F">
        <w:t xml:space="preserve">19. </w:t>
      </w:r>
      <w:r w:rsidRPr="00DC1A5F">
        <w:tab/>
        <w:t xml:space="preserve">¿Cómo lo hará? Lo hará por medio de su comprensión como impermanente, etc., expresado específicamente como se expone a continuación: Él comprenderá cada agregado como </w:t>
      </w:r>
      <w:r w:rsidRPr="00DC1A5F">
        <w:rPr>
          <w:i/>
          <w:iCs/>
        </w:rPr>
        <w:t>impermanente</w:t>
      </w:r>
      <w:r w:rsidRPr="00DC1A5F">
        <w:t xml:space="preserve"> debido a que no se manifestará como infinito, debido a la posesión de un principio y un final; como </w:t>
      </w:r>
      <w:r w:rsidRPr="00DC1A5F">
        <w:rPr>
          <w:i/>
          <w:iCs/>
        </w:rPr>
        <w:t xml:space="preserve">insatisfactoria </w:t>
      </w:r>
      <w:r w:rsidRPr="00DC1A5F">
        <w:t xml:space="preserve">debido a la opresión de su surgimiento y desaparición, y por representar la base de toda insatisfacción; </w:t>
      </w:r>
      <w:r w:rsidRPr="00DC1A5F">
        <w:rPr>
          <w:i/>
          <w:iCs/>
        </w:rPr>
        <w:t>como una enfermedad</w:t>
      </w:r>
      <w:r w:rsidRPr="00DC1A5F">
        <w:t xml:space="preserve"> por tener que ser mantenida por sus condiciones, por manifestarse como la raíz de una enfermedad; como </w:t>
      </w:r>
      <w:r w:rsidRPr="00DC1A5F">
        <w:rPr>
          <w:i/>
          <w:iCs/>
        </w:rPr>
        <w:t>un furúnculo</w:t>
      </w:r>
      <w:r w:rsidRPr="00DC1A5F">
        <w:t xml:space="preserve"> por ser la consecuencia del empalamiento por medio del sufrimiento, debido a que rezuma con la inmundicia de las impurezas y debido a que se hincha al surgir, madura al envejecer y revienta en la disolución; como</w:t>
      </w:r>
      <w:r w:rsidRPr="00DC1A5F">
        <w:rPr>
          <w:i/>
          <w:iCs/>
        </w:rPr>
        <w:t xml:space="preserve"> un dardo</w:t>
      </w:r>
      <w:r w:rsidRPr="00DC1A5F">
        <w:t xml:space="preserve"> que produzca una opresión, por penetrar hasta dentro, por ser difícil de extraer; como </w:t>
      </w:r>
      <w:r w:rsidRPr="00DC1A5F">
        <w:rPr>
          <w:i/>
          <w:iCs/>
        </w:rPr>
        <w:t>una</w:t>
      </w:r>
      <w:r w:rsidRPr="00DC1A5F">
        <w:t xml:space="preserve"> </w:t>
      </w:r>
      <w:r w:rsidRPr="00DC1A5F">
        <w:rPr>
          <w:i/>
          <w:iCs/>
        </w:rPr>
        <w:t>calamidad</w:t>
      </w:r>
      <w:r w:rsidRPr="00DC1A5F">
        <w:t xml:space="preserve"> por tener que estar condenado, por conllevar la perdición, y [612] por ser la base de toda calamidad; como </w:t>
      </w:r>
      <w:r w:rsidRPr="00DC1A5F">
        <w:rPr>
          <w:i/>
          <w:iCs/>
        </w:rPr>
        <w:t>una</w:t>
      </w:r>
      <w:r w:rsidRPr="00DC1A5F">
        <w:t xml:space="preserve"> </w:t>
      </w:r>
      <w:r w:rsidRPr="00DC1A5F">
        <w:rPr>
          <w:i/>
          <w:iCs/>
        </w:rPr>
        <w:t>aflicción</w:t>
      </w:r>
      <w:r w:rsidRPr="00DC1A5F">
        <w:t xml:space="preserve"> por coartar la libertad, por ser fundamento de la aflicción; como </w:t>
      </w:r>
      <w:r w:rsidRPr="00DC1A5F">
        <w:rPr>
          <w:i/>
          <w:iCs/>
        </w:rPr>
        <w:t>un extraño</w:t>
      </w:r>
      <w:r w:rsidRPr="00DC1A5F">
        <w:t xml:space="preserve"> debido a su incapacidad de dominio sobre ellos,  por su intratabilidad; como una </w:t>
      </w:r>
      <w:r w:rsidRPr="00DC1A5F">
        <w:rPr>
          <w:i/>
          <w:iCs/>
        </w:rPr>
        <w:t>desintegración</w:t>
      </w:r>
      <w:r w:rsidRPr="00DC1A5F">
        <w:t xml:space="preserve"> debido a su colapso por la enfermedad, el envejecimiento y la muerte; como una </w:t>
      </w:r>
      <w:r w:rsidRPr="00DC1A5F">
        <w:rPr>
          <w:i/>
          <w:iCs/>
        </w:rPr>
        <w:t>plaga</w:t>
      </w:r>
      <w:r w:rsidRPr="00DC1A5F">
        <w:t xml:space="preserve"> a causa de conllevar diversas clases de ruinas; como un </w:t>
      </w:r>
      <w:r w:rsidRPr="00DC1A5F">
        <w:rPr>
          <w:i/>
          <w:iCs/>
        </w:rPr>
        <w:t>desastre</w:t>
      </w:r>
      <w:r w:rsidRPr="00DC1A5F">
        <w:t xml:space="preserve"> debido a manifestar imprevistas y abundantes adversidades, por representar la base de toda clase de terror y por ser lo contrario del supremo consuelo designado como apaciguamiento de todo sufrimiento; como una </w:t>
      </w:r>
      <w:r w:rsidRPr="00DC1A5F">
        <w:rPr>
          <w:i/>
          <w:iCs/>
        </w:rPr>
        <w:t>amenaza</w:t>
      </w:r>
      <w:r w:rsidRPr="00DC1A5F">
        <w:t xml:space="preserve"> por estar ligado a muchas clases de adversidades, por estar amenazado</w:t>
      </w:r>
      <w:r w:rsidRPr="00DC1A5F">
        <w:rPr>
          <w:vertAlign w:val="superscript"/>
        </w:rPr>
        <w:t>5</w:t>
      </w:r>
      <w:r w:rsidRPr="00DC1A5F">
        <w:t xml:space="preserve"> por muchas clases de males, y por su ineptitud, como una amenaza, por ser entretenida; como algo </w:t>
      </w:r>
      <w:r w:rsidRPr="00DC1A5F">
        <w:rPr>
          <w:i/>
          <w:iCs/>
        </w:rPr>
        <w:t>voluble</w:t>
      </w:r>
      <w:r w:rsidRPr="00DC1A5F">
        <w:t xml:space="preserve"> a causa de su inseguridad voluble debida a la enfermedad,</w:t>
      </w:r>
    </w:p>
    <w:p w14:paraId="4592E3F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F41798A" w14:textId="77777777" w:rsidR="00597DE2" w:rsidRPr="00DC1A5F" w:rsidRDefault="00597DE2" w:rsidP="00597DE2">
      <w:pPr>
        <w:pStyle w:val="PiedepginaLegal"/>
        <w:numPr>
          <w:ilvl w:val="0"/>
          <w:numId w:val="9"/>
        </w:numPr>
        <w:tabs>
          <w:tab w:val="clear" w:pos="425"/>
          <w:tab w:val="left" w:pos="284"/>
        </w:tabs>
        <w:ind w:left="284" w:hanging="284"/>
      </w:pPr>
      <w:r w:rsidRPr="00DC1A5F">
        <w:t>“‘</w:t>
      </w:r>
      <w:r w:rsidRPr="00DC1A5F">
        <w:rPr>
          <w:i/>
          <w:iCs/>
        </w:rPr>
        <w:t>Satisfacción que se encuentre en conformidad’,</w:t>
      </w:r>
      <w:r w:rsidRPr="00DC1A5F">
        <w:t xml:space="preserve"> éste se trata de una satisfacción por el conocimiento que se encuentra en conformidad con la consumación del sendero. En realidad, el conocimiento en sí mismo corresponderá a una “satisfacción” (</w:t>
      </w:r>
      <w:proofErr w:type="spellStart"/>
      <w:r w:rsidRPr="00DC1A5F">
        <w:rPr>
          <w:i/>
          <w:iCs/>
        </w:rPr>
        <w:t>khanti</w:t>
      </w:r>
      <w:proofErr w:type="spellEnd"/>
      <w:r w:rsidRPr="00DC1A5F">
        <w:t>) ya que gustará (</w:t>
      </w:r>
      <w:proofErr w:type="spellStart"/>
      <w:r w:rsidRPr="00DC1A5F">
        <w:rPr>
          <w:i/>
          <w:iCs/>
        </w:rPr>
        <w:t>khamati</w:t>
      </w:r>
      <w:proofErr w:type="spellEnd"/>
      <w:r w:rsidRPr="00DC1A5F">
        <w:t>), perdurará, definiéndose al dirigirse hacia la esencia individual de su campo objetivo. La ‘certeza de la rectitud’ corresponderá al noble sendero; ya que es a eso a lo que se le denominará rectitud, el cual comienza con la visión correcta y también con la certeza de una tendencia irreversible” (</w:t>
      </w:r>
      <w:proofErr w:type="spellStart"/>
      <w:r w:rsidRPr="00DC1A5F">
        <w:t>Vism</w:t>
      </w:r>
      <w:proofErr w:type="spellEnd"/>
      <w:r w:rsidRPr="00DC1A5F">
        <w:t>–</w:t>
      </w:r>
      <w:proofErr w:type="spellStart"/>
      <w:r w:rsidRPr="00DC1A5F">
        <w:t>mhṭ</w:t>
      </w:r>
      <w:proofErr w:type="spellEnd"/>
      <w:r w:rsidRPr="00DC1A5F">
        <w:t xml:space="preserve"> 784).</w:t>
      </w:r>
    </w:p>
    <w:p w14:paraId="7DE07D0B"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Upasaṭṭhatā</w:t>
      </w:r>
      <w:proofErr w:type="spellEnd"/>
      <w:r w:rsidRPr="00DC1A5F">
        <w:t xml:space="preserve">—“ser amenazado”; sustantivo abstracto </w:t>
      </w:r>
      <w:r w:rsidRPr="00DC1A5F">
        <w:rPr>
          <w:color w:val="833C0B" w:themeColor="accent2" w:themeShade="80"/>
        </w:rPr>
        <w:t xml:space="preserve">fr. pp. </w:t>
      </w:r>
      <w:r w:rsidRPr="00DC1A5F">
        <w:t xml:space="preserve">de </w:t>
      </w:r>
      <w:r w:rsidRPr="00DC1A5F">
        <w:rPr>
          <w:i/>
          <w:iCs/>
        </w:rPr>
        <w:t xml:space="preserve">upa + </w:t>
      </w:r>
      <w:proofErr w:type="spellStart"/>
      <w:r w:rsidRPr="00DC1A5F">
        <w:rPr>
          <w:i/>
          <w:iCs/>
        </w:rPr>
        <w:t>saj</w:t>
      </w:r>
      <w:proofErr w:type="spellEnd"/>
      <w:r w:rsidRPr="00DC1A5F">
        <w:t>; no como tal en el PED.</w:t>
      </w:r>
    </w:p>
    <w:p w14:paraId="282A0E00" w14:textId="77777777" w:rsidR="00597DE2" w:rsidRPr="00DC1A5F" w:rsidRDefault="00597DE2" w:rsidP="00597DE2">
      <w:pPr>
        <w:tabs>
          <w:tab w:val="clear" w:pos="425"/>
        </w:tabs>
        <w:spacing w:after="160"/>
      </w:pPr>
      <w:r w:rsidRPr="00DC1A5F">
        <w:br w:type="page"/>
      </w:r>
    </w:p>
    <w:p w14:paraId="7067EB57" w14:textId="77777777" w:rsidR="00597DE2" w:rsidRPr="00DC1A5F" w:rsidRDefault="00597DE2" w:rsidP="00597DE2">
      <w:pPr>
        <w:pStyle w:val="Textoindependiente"/>
      </w:pPr>
      <w:r w:rsidRPr="00DC1A5F">
        <w:lastRenderedPageBreak/>
        <w:t>el envejecimiento y la muerte, a los estados mundanos de ganancia, etc.</w:t>
      </w:r>
      <w:r w:rsidRPr="00DC1A5F">
        <w:rPr>
          <w:vertAlign w:val="superscript"/>
        </w:rPr>
        <w:t>6</w:t>
      </w:r>
      <w:r w:rsidRPr="00DC1A5F">
        <w:t xml:space="preserve">; como </w:t>
      </w:r>
      <w:r w:rsidRPr="00DC1A5F">
        <w:rPr>
          <w:i/>
          <w:iCs/>
        </w:rPr>
        <w:t>perecedero</w:t>
      </w:r>
      <w:r w:rsidRPr="00DC1A5F">
        <w:t xml:space="preserve"> por tener la naturaleza de perecer tanto debido a la violencia como a la naturaleza; como </w:t>
      </w:r>
      <w:r w:rsidRPr="00DC1A5F">
        <w:rPr>
          <w:i/>
          <w:iCs/>
        </w:rPr>
        <w:t>imperdurable</w:t>
      </w:r>
      <w:r w:rsidRPr="00DC1A5F">
        <w:t xml:space="preserve"> por su colapso en cada ocasión</w:t>
      </w:r>
      <w:r w:rsidRPr="00DC1A5F">
        <w:rPr>
          <w:vertAlign w:val="superscript"/>
        </w:rPr>
        <w:t>7</w:t>
      </w:r>
      <w:r w:rsidRPr="00DC1A5F">
        <w:t xml:space="preserve"> y por su falta de solidez; como algo </w:t>
      </w:r>
      <w:r w:rsidRPr="00DC1A5F">
        <w:rPr>
          <w:i/>
          <w:iCs/>
        </w:rPr>
        <w:t>carente de protección</w:t>
      </w:r>
      <w:r w:rsidRPr="00DC1A5F">
        <w:t xml:space="preserve"> por estar expuesto, por no ofrecer seguridad; como </w:t>
      </w:r>
      <w:r w:rsidRPr="00DC1A5F">
        <w:rPr>
          <w:i/>
          <w:iCs/>
        </w:rPr>
        <w:t>ningún abrigo</w:t>
      </w:r>
      <w:r w:rsidRPr="00DC1A5F">
        <w:t xml:space="preserve"> debido a su incapacidad para dar refugio de ningún tipo,</w:t>
      </w:r>
      <w:r w:rsidRPr="00DC1A5F">
        <w:rPr>
          <w:vertAlign w:val="superscript"/>
        </w:rPr>
        <w:t>8</w:t>
      </w:r>
      <w:r w:rsidRPr="00DC1A5F">
        <w:t xml:space="preserve"> por no cumplir la función de un abrigo para los desamparados</w:t>
      </w:r>
      <w:r w:rsidRPr="00DC1A5F">
        <w:rPr>
          <w:vertAlign w:val="superscript"/>
        </w:rPr>
        <w:t>9</w:t>
      </w:r>
      <w:r w:rsidRPr="00DC1A5F">
        <w:t xml:space="preserve">; como </w:t>
      </w:r>
      <w:r w:rsidRPr="00DC1A5F">
        <w:rPr>
          <w:i/>
          <w:iCs/>
        </w:rPr>
        <w:t>ningún refugio</w:t>
      </w:r>
      <w:r w:rsidRPr="00DC1A5F">
        <w:t xml:space="preserve"> por no poder disipar al miedo</w:t>
      </w:r>
      <w:r w:rsidRPr="00DC1A5F">
        <w:rPr>
          <w:vertAlign w:val="superscript"/>
        </w:rPr>
        <w:t>10</w:t>
      </w:r>
      <w:r w:rsidRPr="00DC1A5F">
        <w:t xml:space="preserve"> en aquellos que dependen de ellos; como </w:t>
      </w:r>
      <w:r w:rsidRPr="00DC1A5F">
        <w:rPr>
          <w:i/>
          <w:iCs/>
        </w:rPr>
        <w:t>vacío</w:t>
      </w:r>
      <w:r w:rsidRPr="00DC1A5F">
        <w:t xml:space="preserve"> debido a la vacuidad de su perdurabilidad, belleza, placer y el alma que se conciba al respecto; como </w:t>
      </w:r>
      <w:r w:rsidRPr="00DC1A5F">
        <w:rPr>
          <w:i/>
          <w:iCs/>
        </w:rPr>
        <w:t>vano</w:t>
      </w:r>
      <w:r w:rsidRPr="00DC1A5F">
        <w:t xml:space="preserve"> por su vacío, o por su trivialidad; ya que a lo trivial se le llama vano en el mundo; como </w:t>
      </w:r>
      <w:r w:rsidRPr="00DC1A5F">
        <w:rPr>
          <w:i/>
          <w:iCs/>
        </w:rPr>
        <w:t>desierto</w:t>
      </w:r>
      <w:r w:rsidRPr="00DC1A5F">
        <w:t xml:space="preserve"> porque está desprovisto del estado de tener propietario, habitante, hacedor, experimentador, director; como </w:t>
      </w:r>
      <w:r w:rsidRPr="00DC1A5F">
        <w:rPr>
          <w:i/>
          <w:iCs/>
        </w:rPr>
        <w:t>no–alma</w:t>
      </w:r>
      <w:r w:rsidRPr="00DC1A5F">
        <w:t xml:space="preserve"> por no tener dueño, etc.; como un </w:t>
      </w:r>
      <w:r w:rsidRPr="00DC1A5F">
        <w:rPr>
          <w:i/>
          <w:iCs/>
        </w:rPr>
        <w:t>peligro,</w:t>
      </w:r>
      <w:r w:rsidRPr="00DC1A5F">
        <w:t xml:space="preserve"> por el sufrimiento debido al proceso del devenir, debido al peligro del sufrimiento o, alternativamente, como un peligro (</w:t>
      </w:r>
      <w:proofErr w:type="spellStart"/>
      <w:r w:rsidRPr="00DC1A5F">
        <w:rPr>
          <w:i/>
          <w:iCs/>
        </w:rPr>
        <w:t>ādīnava</w:t>
      </w:r>
      <w:proofErr w:type="spellEnd"/>
      <w:r w:rsidRPr="00DC1A5F">
        <w:t>) debido a su semejanza con la desdicha (</w:t>
      </w:r>
      <w:proofErr w:type="spellStart"/>
      <w:r w:rsidRPr="00DC1A5F">
        <w:rPr>
          <w:i/>
          <w:iCs/>
        </w:rPr>
        <w:t>ādīna</w:t>
      </w:r>
      <w:proofErr w:type="spellEnd"/>
      <w:r w:rsidRPr="00DC1A5F">
        <w:t>)</w:t>
      </w:r>
      <w:r w:rsidRPr="00DC1A5F">
        <w:rPr>
          <w:vertAlign w:val="superscript"/>
        </w:rPr>
        <w:t>11</w:t>
      </w:r>
      <w:r w:rsidRPr="00DC1A5F">
        <w:t xml:space="preserve"> ya que el “</w:t>
      </w:r>
      <w:r w:rsidRPr="00DC1A5F">
        <w:rPr>
          <w:i/>
          <w:iCs/>
        </w:rPr>
        <w:t>peligro</w:t>
      </w:r>
      <w:r w:rsidRPr="00DC1A5F">
        <w:t>” (</w:t>
      </w:r>
      <w:proofErr w:type="spellStart"/>
      <w:r w:rsidRPr="00DC1A5F">
        <w:rPr>
          <w:i/>
          <w:iCs/>
        </w:rPr>
        <w:t>ādīnava</w:t>
      </w:r>
      <w:proofErr w:type="spellEnd"/>
      <w:r w:rsidRPr="00DC1A5F">
        <w:t>) significa que se dará ante la desdicha (</w:t>
      </w:r>
      <w:proofErr w:type="spellStart"/>
      <w:r w:rsidRPr="00DC1A5F">
        <w:rPr>
          <w:i/>
          <w:iCs/>
        </w:rPr>
        <w:t>ādīna</w:t>
      </w:r>
      <w:proofErr w:type="spellEnd"/>
      <w:r w:rsidRPr="00DC1A5F">
        <w:t>) que se desplace (</w:t>
      </w:r>
      <w:proofErr w:type="spellStart"/>
      <w:r w:rsidRPr="00DC1A5F">
        <w:rPr>
          <w:i/>
          <w:iCs/>
        </w:rPr>
        <w:t>vātki</w:t>
      </w:r>
      <w:proofErr w:type="spellEnd"/>
      <w:r w:rsidRPr="00DC1A5F">
        <w:t xml:space="preserve">), que vaya, avance, siendo este un término para un hombre miserable y, también, para los insatisfactorios agregados; </w:t>
      </w:r>
      <w:r w:rsidRPr="00DC1A5F">
        <w:rPr>
          <w:u w:color="000000"/>
        </w:rPr>
        <w:t xml:space="preserve">como </w:t>
      </w:r>
      <w:r w:rsidRPr="00DC1A5F">
        <w:rPr>
          <w:i/>
          <w:iCs/>
          <w:u w:color="000000"/>
        </w:rPr>
        <w:t>sujetos al cambio</w:t>
      </w:r>
      <w:r w:rsidRPr="00DC1A5F">
        <w:rPr>
          <w:u w:color="000000"/>
        </w:rPr>
        <w:t xml:space="preserve"> por tener la naturaleza de cambiar de 2 maneras, es decir, a través del envejecimiento y a través de la muerte; como </w:t>
      </w:r>
      <w:r w:rsidRPr="00DC1A5F">
        <w:rPr>
          <w:i/>
          <w:iCs/>
          <w:u w:color="000000"/>
        </w:rPr>
        <w:t>si no tuviera núcleo</w:t>
      </w:r>
      <w:r w:rsidRPr="00DC1A5F">
        <w:rPr>
          <w:u w:color="000000"/>
        </w:rPr>
        <w:t xml:space="preserve"> a causa de su fragilidad y a su pronta deterioración como la albura</w:t>
      </w:r>
      <w:r w:rsidRPr="00DC1A5F">
        <w:rPr>
          <w:color w:val="833C0B" w:themeColor="accent2" w:themeShade="80"/>
          <w:u w:color="000000"/>
        </w:rPr>
        <w:t xml:space="preserve">; </w:t>
      </w:r>
      <w:r w:rsidRPr="00DC1A5F">
        <w:t xml:space="preserve">como </w:t>
      </w:r>
      <w:r w:rsidRPr="00DC1A5F">
        <w:rPr>
          <w:i/>
          <w:iCs/>
        </w:rPr>
        <w:t>raíz de toda calamidad</w:t>
      </w:r>
      <w:r w:rsidRPr="00DC1A5F">
        <w:t xml:space="preserve"> por ser la causa de toda calamidad; como un </w:t>
      </w:r>
      <w:r w:rsidRPr="00DC1A5F">
        <w:rPr>
          <w:i/>
          <w:iCs/>
        </w:rPr>
        <w:t>asesino</w:t>
      </w:r>
      <w:r w:rsidRPr="00DC1A5F">
        <w:t xml:space="preserve"> por quebrantar la fe, como un enemigo haciéndose pasar por un amigo; </w:t>
      </w:r>
      <w:r w:rsidRPr="00DC1A5F">
        <w:rPr>
          <w:u w:color="000000"/>
        </w:rPr>
        <w:t xml:space="preserve">como </w:t>
      </w:r>
      <w:r w:rsidRPr="00DC1A5F">
        <w:rPr>
          <w:i/>
          <w:iCs/>
          <w:u w:color="000000"/>
        </w:rPr>
        <w:t>debido a ser aniquilados</w:t>
      </w:r>
      <w:r w:rsidRPr="00DC1A5F">
        <w:rPr>
          <w:u w:color="000000"/>
        </w:rPr>
        <w:t xml:space="preserve"> porque su devenir desaparecerá y sobrevendrá a su no–devenir; como </w:t>
      </w:r>
      <w:r w:rsidRPr="00DC1A5F">
        <w:rPr>
          <w:i/>
          <w:iCs/>
          <w:u w:color="000000"/>
        </w:rPr>
        <w:t>sujeto a las corrupciones</w:t>
      </w:r>
      <w:r w:rsidRPr="00DC1A5F">
        <w:rPr>
          <w:u w:color="000000"/>
        </w:rPr>
        <w:t xml:space="preserve"> por ser la causa próxima de todas las corrupciones; como </w:t>
      </w:r>
      <w:r w:rsidRPr="00DC1A5F">
        <w:rPr>
          <w:i/>
          <w:iCs/>
          <w:u w:color="000000"/>
        </w:rPr>
        <w:t>formados</w:t>
      </w:r>
      <w:r w:rsidRPr="00DC1A5F">
        <w:rPr>
          <w:u w:color="000000"/>
        </w:rPr>
        <w:t xml:space="preserve"> por ser formados debido a unas causas y unas condiciones;</w:t>
      </w:r>
      <w:r w:rsidRPr="00DC1A5F">
        <w:t xml:space="preserve"> como los </w:t>
      </w:r>
      <w:r w:rsidRPr="00DC1A5F">
        <w:rPr>
          <w:i/>
          <w:iCs/>
        </w:rPr>
        <w:t>cebos de</w:t>
      </w:r>
      <w:r w:rsidRPr="00DC1A5F">
        <w:t xml:space="preserve"> </w:t>
      </w:r>
      <w:r w:rsidRPr="00DC1A5F">
        <w:rPr>
          <w:i/>
        </w:rPr>
        <w:t>Māra</w:t>
      </w:r>
      <w:r w:rsidRPr="00DC1A5F">
        <w:t xml:space="preserve"> por parecerse al cebo puesto por el </w:t>
      </w:r>
      <w:r w:rsidRPr="00DC1A5F">
        <w:rPr>
          <w:i/>
        </w:rPr>
        <w:t>Māra</w:t>
      </w:r>
      <w:r w:rsidRPr="00DC1A5F">
        <w:t xml:space="preserve"> de la muerte y el </w:t>
      </w:r>
      <w:r w:rsidRPr="00DC1A5F">
        <w:rPr>
          <w:i/>
        </w:rPr>
        <w:t>Māra</w:t>
      </w:r>
      <w:r w:rsidRPr="00DC1A5F">
        <w:t xml:space="preserve"> de las contaminaciones; como </w:t>
      </w:r>
      <w:r w:rsidRPr="00DC1A5F">
        <w:rPr>
          <w:i/>
          <w:iCs/>
        </w:rPr>
        <w:t>sujetos al nacimiento, envejecimiento, enfermedad y muerte,</w:t>
      </w:r>
      <w:r w:rsidRPr="00DC1A5F">
        <w:t xml:space="preserve"> por tener como naturaleza al nacimiento, al envejecimiento, a la enfermedad y a la muerte</w:t>
      </w:r>
      <w:r w:rsidRPr="00DC1A5F">
        <w:rPr>
          <w:i/>
          <w:iCs/>
        </w:rPr>
        <w:t>; como sujetos a la</w:t>
      </w:r>
      <w:r w:rsidRPr="00DC1A5F">
        <w:t xml:space="preserve"> </w:t>
      </w:r>
      <w:r w:rsidRPr="00DC1A5F">
        <w:rPr>
          <w:i/>
          <w:iCs/>
        </w:rPr>
        <w:t>aflicción, la lamentación, la angustia y la desesperación,</w:t>
      </w:r>
      <w:r w:rsidRPr="00DC1A5F">
        <w:t xml:space="preserve"> por ser la causa de la aflicción, la lamentación, la angustia y la desesperación; como </w:t>
      </w:r>
      <w:r w:rsidRPr="00DC1A5F">
        <w:rPr>
          <w:i/>
          <w:iCs/>
        </w:rPr>
        <w:t>sujetos a la contaminación</w:t>
      </w:r>
      <w:r w:rsidRPr="00DC1A5F">
        <w:t xml:space="preserve"> por ser el campo objetivo de todas las contaminaciones de deseo, visiones incorrectas y mala conducta.</w:t>
      </w:r>
    </w:p>
    <w:p w14:paraId="5DBC6489" w14:textId="77777777" w:rsidR="00597DE2" w:rsidRPr="00DC1A5F" w:rsidRDefault="00597DE2" w:rsidP="00597DE2">
      <w:r w:rsidRPr="00DC1A5F">
        <w:t xml:space="preserve">20. </w:t>
      </w:r>
      <w:r w:rsidRPr="00DC1A5F">
        <w:tab/>
        <w:t>Ahora bien, existen [613] 50 tipos de contemplación de la impermanencia al respecto, adoptando los siguientes 10 en el caso de cada agregado: como impermanente, como desintegrable, voluble, perecedero, imperdurable, como sujeto al cambio, como carente de ningún núcleo, como sujeto a ser destruido, como formado, como sujeto a la muerte. Existen 25 tipos de contemplación del no–alma adoptando las siguientes 5 contemplaciones en el caso de cada agregado: como un extraño, vacío, vano, desierto, como no–alma.</w:t>
      </w:r>
    </w:p>
    <w:p w14:paraId="1F69C665"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7ECD660" w14:textId="77777777" w:rsidR="00597DE2" w:rsidRPr="00DC1A5F" w:rsidRDefault="00597DE2" w:rsidP="00597DE2">
      <w:pPr>
        <w:pStyle w:val="PiedepginaLegal"/>
        <w:numPr>
          <w:ilvl w:val="0"/>
          <w:numId w:val="9"/>
        </w:numPr>
        <w:tabs>
          <w:tab w:val="clear" w:pos="425"/>
          <w:tab w:val="left" w:pos="284"/>
        </w:tabs>
        <w:ind w:left="284" w:hanging="284"/>
      </w:pPr>
      <w:r w:rsidRPr="00DC1A5F">
        <w:t>Los 8 estados mundanos son: ganancia y no–ganancia, fama y no–fama, censura y alabanza; y, finalmente, placer y dolor (D III 160).</w:t>
      </w:r>
    </w:p>
    <w:p w14:paraId="13E8F7DF"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Avatthā</w:t>
      </w:r>
      <w:proofErr w:type="spellEnd"/>
      <w:r w:rsidRPr="00DC1A5F">
        <w:t>— “ocasión”: no así en el PED.</w:t>
      </w:r>
    </w:p>
    <w:p w14:paraId="6B79D510"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Allīyituṃ</w:t>
      </w:r>
      <w:proofErr w:type="spellEnd"/>
      <w:r w:rsidRPr="00DC1A5F">
        <w:rPr>
          <w:i/>
          <w:iCs/>
        </w:rPr>
        <w:t xml:space="preserve"> </w:t>
      </w:r>
      <w:r w:rsidRPr="00DC1A5F">
        <w:t xml:space="preserve">— “dar refugio”: no así en el PED, pero consultar </w:t>
      </w:r>
      <w:proofErr w:type="spellStart"/>
      <w:r w:rsidRPr="00DC1A5F">
        <w:rPr>
          <w:i/>
          <w:iCs/>
        </w:rPr>
        <w:t>leṇa</w:t>
      </w:r>
      <w:proofErr w:type="spellEnd"/>
      <w:r w:rsidRPr="00DC1A5F">
        <w:t>.</w:t>
      </w:r>
    </w:p>
    <w:p w14:paraId="3BEFC9B6"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Allīnānaṃ</w:t>
      </w:r>
      <w:proofErr w:type="spellEnd"/>
      <w:r w:rsidRPr="00DC1A5F">
        <w:rPr>
          <w:i/>
          <w:iCs/>
        </w:rPr>
        <w:t xml:space="preserve"> </w:t>
      </w:r>
      <w:r w:rsidRPr="00DC1A5F">
        <w:t xml:space="preserve">— “para los desamparados”: </w:t>
      </w:r>
      <w:proofErr w:type="spellStart"/>
      <w:r w:rsidRPr="00DC1A5F">
        <w:rPr>
          <w:i/>
          <w:iCs/>
        </w:rPr>
        <w:t>allīna</w:t>
      </w:r>
      <w:proofErr w:type="spellEnd"/>
      <w:r w:rsidRPr="00DC1A5F">
        <w:t xml:space="preserve"> = pp. de </w:t>
      </w:r>
      <w:r w:rsidRPr="00DC1A5F">
        <w:rPr>
          <w:i/>
          <w:iCs/>
        </w:rPr>
        <w:t xml:space="preserve">ā + </w:t>
      </w:r>
      <w:proofErr w:type="spellStart"/>
      <w:r w:rsidRPr="00DC1A5F">
        <w:rPr>
          <w:i/>
          <w:iCs/>
        </w:rPr>
        <w:t>līyati</w:t>
      </w:r>
      <w:proofErr w:type="spellEnd"/>
      <w:r w:rsidRPr="00DC1A5F">
        <w:t xml:space="preserve"> (ver nota 8 arriba), los “desprotegidos”. No así en el PED. No debe confundirse con </w:t>
      </w:r>
      <w:proofErr w:type="spellStart"/>
      <w:r w:rsidRPr="00DC1A5F">
        <w:rPr>
          <w:i/>
          <w:iCs/>
        </w:rPr>
        <w:t>allīna</w:t>
      </w:r>
      <w:proofErr w:type="spellEnd"/>
      <w:r w:rsidRPr="00DC1A5F">
        <w:t xml:space="preserve"> = adherente (pp. de </w:t>
      </w:r>
      <w:r w:rsidRPr="00DC1A5F">
        <w:rPr>
          <w:i/>
          <w:iCs/>
        </w:rPr>
        <w:t xml:space="preserve">ā + </w:t>
      </w:r>
      <w:proofErr w:type="spellStart"/>
      <w:r w:rsidRPr="00DC1A5F">
        <w:rPr>
          <w:i/>
          <w:iCs/>
        </w:rPr>
        <w:t>līyati</w:t>
      </w:r>
      <w:proofErr w:type="spellEnd"/>
      <w:r w:rsidRPr="00DC1A5F">
        <w:t>, adherirse, ser contiguo); ver por ej. Cap. XIV, §46.</w:t>
      </w:r>
    </w:p>
    <w:p w14:paraId="791A318A"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t>Vism</w:t>
      </w:r>
      <w:proofErr w:type="spellEnd"/>
      <w:r w:rsidRPr="00DC1A5F">
        <w:t>–</w:t>
      </w:r>
      <w:proofErr w:type="spellStart"/>
      <w:r w:rsidRPr="00DC1A5F">
        <w:t>mhṭ</w:t>
      </w:r>
      <w:proofErr w:type="spellEnd"/>
      <w:r w:rsidRPr="00DC1A5F">
        <w:t xml:space="preserve"> tiene “</w:t>
      </w:r>
      <w:proofErr w:type="spellStart"/>
      <w:r w:rsidRPr="00DC1A5F">
        <w:rPr>
          <w:i/>
          <w:iCs/>
        </w:rPr>
        <w:t>Jāti</w:t>
      </w:r>
      <w:proofErr w:type="spellEnd"/>
      <w:r w:rsidRPr="00DC1A5F">
        <w:rPr>
          <w:i/>
          <w:iCs/>
        </w:rPr>
        <w:t>–</w:t>
      </w:r>
      <w:proofErr w:type="spellStart"/>
      <w:r w:rsidRPr="00DC1A5F">
        <w:rPr>
          <w:i/>
          <w:iCs/>
        </w:rPr>
        <w:t>ādi</w:t>
      </w:r>
      <w:proofErr w:type="spellEnd"/>
      <w:r w:rsidRPr="00DC1A5F">
        <w:rPr>
          <w:i/>
          <w:iCs/>
        </w:rPr>
        <w:t>–</w:t>
      </w:r>
      <w:proofErr w:type="spellStart"/>
      <w:r w:rsidRPr="00DC1A5F">
        <w:rPr>
          <w:i/>
          <w:iCs/>
        </w:rPr>
        <w:t>bhayānaṃ</w:t>
      </w:r>
      <w:proofErr w:type="spellEnd"/>
      <w:r w:rsidRPr="00DC1A5F">
        <w:rPr>
          <w:i/>
          <w:iCs/>
        </w:rPr>
        <w:t xml:space="preserve"> </w:t>
      </w:r>
      <w:proofErr w:type="spellStart"/>
      <w:r w:rsidRPr="00DC1A5F">
        <w:rPr>
          <w:i/>
          <w:iCs/>
        </w:rPr>
        <w:t>hiísanaṃ</w:t>
      </w:r>
      <w:proofErr w:type="spellEnd"/>
      <w:r w:rsidRPr="00DC1A5F">
        <w:rPr>
          <w:i/>
          <w:iCs/>
        </w:rPr>
        <w:t xml:space="preserve"> </w:t>
      </w:r>
      <w:proofErr w:type="spellStart"/>
      <w:r w:rsidRPr="00DC1A5F">
        <w:rPr>
          <w:i/>
          <w:iCs/>
        </w:rPr>
        <w:t>vidhamanaṃ</w:t>
      </w:r>
      <w:proofErr w:type="spellEnd"/>
      <w:r w:rsidRPr="00DC1A5F">
        <w:rPr>
          <w:i/>
          <w:iCs/>
        </w:rPr>
        <w:t xml:space="preserve"> </w:t>
      </w:r>
      <w:proofErr w:type="spellStart"/>
      <w:r w:rsidRPr="00DC1A5F">
        <w:rPr>
          <w:i/>
          <w:iCs/>
        </w:rPr>
        <w:t>bhayasāraṇattaí</w:t>
      </w:r>
      <w:proofErr w:type="spellEnd"/>
      <w:r w:rsidRPr="00DC1A5F">
        <w:t>”, lo que sugiere la traducción “por no ser un refugio contra el miedo”.</w:t>
      </w:r>
    </w:p>
    <w:p w14:paraId="7CEB86F2"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Ādīna</w:t>
      </w:r>
      <w:proofErr w:type="spellEnd"/>
      <w:r w:rsidRPr="00DC1A5F">
        <w:t xml:space="preserve">—“miseria” o “miserable”: no así en el PED. </w:t>
      </w:r>
      <w:proofErr w:type="spellStart"/>
      <w:r w:rsidRPr="00DC1A5F">
        <w:rPr>
          <w:i/>
          <w:iCs/>
        </w:rPr>
        <w:t>Ādīna</w:t>
      </w:r>
      <w:proofErr w:type="spellEnd"/>
      <w:r w:rsidRPr="00DC1A5F">
        <w:t>—“miseria” o “miserable”: no así en el PED.</w:t>
      </w:r>
    </w:p>
    <w:p w14:paraId="72A4F004" w14:textId="77777777" w:rsidR="00597DE2" w:rsidRPr="00DC1A5F" w:rsidRDefault="00597DE2" w:rsidP="00597DE2">
      <w:pPr>
        <w:tabs>
          <w:tab w:val="clear" w:pos="425"/>
        </w:tabs>
        <w:spacing w:after="160"/>
      </w:pPr>
      <w:r w:rsidRPr="00DC1A5F">
        <w:br w:type="page"/>
      </w:r>
    </w:p>
    <w:p w14:paraId="3C98BE44" w14:textId="77777777" w:rsidR="00597DE2" w:rsidRPr="00DC1A5F" w:rsidRDefault="00597DE2" w:rsidP="00597DE2">
      <w:pPr>
        <w:pStyle w:val="Textoindependiente"/>
      </w:pPr>
      <w:r w:rsidRPr="00DC1A5F">
        <w:rPr>
          <w:color w:val="1F3864" w:themeColor="accent1" w:themeShade="80"/>
        </w:rPr>
        <w:lastRenderedPageBreak/>
        <w:t>Existen 125 tipos de contemplación de la insatisfactoriedad, adoptando el resto de los tipos de contemplación que comienzan con “como insatisfactorios, como una enfermedad” en el caso de cada agregado</w:t>
      </w:r>
      <w:r w:rsidRPr="00DC1A5F">
        <w:t>.</w:t>
      </w:r>
    </w:p>
    <w:p w14:paraId="4AC8176F" w14:textId="77777777" w:rsidR="00597DE2" w:rsidRPr="00DC1A5F" w:rsidRDefault="00597DE2" w:rsidP="00597DE2">
      <w:pPr>
        <w:pStyle w:val="NormalConSangria"/>
      </w:pPr>
      <w:r w:rsidRPr="00DC1A5F">
        <w:t>De modo que cuando un hombre comprenda los 5 agregados por medio de esta comprensión como impermanente, etc., en sus 200 aspectos, se fortalecerá su comprensión como impermanentes, insatisfactorios y no–alma, a lo cual se le denominará “sabiduría inductiva”. Éstas serán, en primer lugar, las directrices para emprender aquí la comprensión de acuerdo con el método expuesto en los textos.</w:t>
      </w:r>
    </w:p>
    <w:p w14:paraId="7937EA44" w14:textId="77777777" w:rsidR="00597DE2" w:rsidRPr="00DC1A5F" w:rsidRDefault="00597DE2" w:rsidP="00597DE2">
      <w:pPr>
        <w:pStyle w:val="Ttulo3"/>
        <w:ind w:left="708"/>
      </w:pPr>
      <w:r w:rsidRPr="00DC1A5F">
        <w:t>[Nueve Maneras de Agudizar las Facultades, etc.]</w:t>
      </w:r>
    </w:p>
    <w:p w14:paraId="712336F3" w14:textId="77777777" w:rsidR="00597DE2" w:rsidRPr="00DC1A5F" w:rsidRDefault="00597DE2" w:rsidP="00597DE2">
      <w:pPr>
        <w:pStyle w:val="Textoindependiente"/>
      </w:pPr>
      <w:r w:rsidRPr="00DC1A5F">
        <w:t xml:space="preserve">21. </w:t>
      </w:r>
      <w:r w:rsidRPr="00DC1A5F">
        <w:tab/>
        <w:t>Mientras él se dedique así a la sabiduría inductiva, no obstante, si no tuviese éxito, deberá agudizar sus facultades de fe, etc., de las 9 maneras establecidas así: “Las facultades se agudizarán de nueve maneras: (1) él observará sólo la destrucción de las formaciones surgidas; (2) y en esa ocupación se asegurará de trabajar con cuidado, (3) se asegurará de trabajar con perseverancia, (4) se asegurará de trabajar adecuadamente, (5) aprehendiendo el signo de la concentración (6) equilibrando los factores de la iluminación (7) estableciendo su desprecio hacia el cuerpo y la vida, (8) venciendo así al dolor mediante la renunciación y (9) no deteniéndose a mitad de camino.</w:t>
      </w:r>
      <w:r w:rsidRPr="00DC1A5F">
        <w:rPr>
          <w:vertAlign w:val="superscript"/>
        </w:rPr>
        <w:t>12</w:t>
      </w:r>
      <w:r w:rsidRPr="00DC1A5F">
        <w:t xml:space="preserve"> Deberá evitar las 7 cosas inadecuadas de la manera establecida en la Descripción del </w:t>
      </w:r>
      <w:proofErr w:type="spellStart"/>
      <w:r w:rsidRPr="00DC1A5F">
        <w:rPr>
          <w:i/>
        </w:rPr>
        <w:t>Kasiṇa</w:t>
      </w:r>
      <w:proofErr w:type="spellEnd"/>
      <w:r w:rsidRPr="00DC1A5F">
        <w:t xml:space="preserve"> Tierra (IV.34). cultivar las 7 cosas adecuadas y deberá comprender lo material en un momento y lo inmaterial en otro.</w:t>
      </w:r>
    </w:p>
    <w:p w14:paraId="6EFFF90B" w14:textId="77777777" w:rsidR="00597DE2" w:rsidRPr="00DC1A5F" w:rsidRDefault="00597DE2" w:rsidP="00597DE2">
      <w:pPr>
        <w:pStyle w:val="Ttulo3"/>
        <w:ind w:left="708"/>
      </w:pPr>
      <w:r w:rsidRPr="00DC1A5F">
        <w:t>[Comprensión de lo Material]</w:t>
      </w:r>
    </w:p>
    <w:p w14:paraId="6D020312" w14:textId="77777777" w:rsidR="00597DE2" w:rsidRPr="00DC1A5F" w:rsidRDefault="00597DE2" w:rsidP="00597DE2">
      <w:pPr>
        <w:rPr>
          <w:vertAlign w:val="superscript"/>
        </w:rPr>
      </w:pPr>
      <w:r w:rsidRPr="00DC1A5F">
        <w:t xml:space="preserve">22. </w:t>
      </w:r>
      <w:r w:rsidRPr="00DC1A5F">
        <w:tab/>
        <w:t>Mientras comprenda la materialidad, deberá observar cómo se genera esta materialidad,</w:t>
      </w:r>
      <w:r w:rsidRPr="00DC1A5F">
        <w:rPr>
          <w:vertAlign w:val="superscript"/>
        </w:rPr>
        <w:t>13</w:t>
      </w:r>
      <w:r w:rsidRPr="00DC1A5F">
        <w:t xml:space="preserve"> es decir, cómo esta materialidad es generada por medio de las 4 causas que comienzan con </w:t>
      </w:r>
      <w:proofErr w:type="spellStart"/>
      <w:r w:rsidRPr="00DC1A5F">
        <w:rPr>
          <w:i/>
        </w:rPr>
        <w:t>kamma</w:t>
      </w:r>
      <w:proofErr w:type="spellEnd"/>
      <w:r w:rsidRPr="00DC1A5F">
        <w:t xml:space="preserve">. Aquí, cuando la materialidad se genere en cualquier ser, primero se generará a partir del </w:t>
      </w:r>
      <w:proofErr w:type="spellStart"/>
      <w:r w:rsidRPr="00DC1A5F">
        <w:rPr>
          <w:i/>
        </w:rPr>
        <w:t>kamma</w:t>
      </w:r>
      <w:proofErr w:type="spellEnd"/>
      <w:r w:rsidRPr="00DC1A5F">
        <w:t>. Ya que en el momento real del vínculo–de–renacimiento de un bebé dentro del útero, se generarán las primeras 30 instancias de la materialidad en la triple continuidad, en otras palabras, en el décuplo de la base física del corazón, cuerpo y sexo. Y esos se generarán en el instante real del surgimiento de la consciencia del vínculo–de–renacimiento. Y así como en el instante de su surgimiento, así también en el instante de su presencia y en el instante de su disolución.</w:t>
      </w:r>
      <w:r w:rsidRPr="00DC1A5F">
        <w:rPr>
          <w:vertAlign w:val="superscript"/>
        </w:rPr>
        <w:t>14</w:t>
      </w:r>
    </w:p>
    <w:p w14:paraId="013CAEEC" w14:textId="77777777" w:rsidR="00597DE2" w:rsidRPr="00DC1A5F" w:rsidRDefault="00597DE2" w:rsidP="00597DE2">
      <w:r w:rsidRPr="00DC1A5F">
        <w:t xml:space="preserve">23. </w:t>
      </w:r>
      <w:r w:rsidRPr="00DC1A5F">
        <w:tab/>
        <w:t>Aquí, la cesación de la materialidad será lenta y su transformación pesada, mientras que la cesación de la consciencia será veloz y su transformación rápida (ligera); por eso se dice al respecto: “</w:t>
      </w:r>
      <w:proofErr w:type="spellStart"/>
      <w:r w:rsidRPr="00DC1A5F">
        <w:rPr>
          <w:i/>
        </w:rPr>
        <w:t>Bhikkhu</w:t>
      </w:r>
      <w:r w:rsidRPr="00DC1A5F">
        <w:t>s</w:t>
      </w:r>
      <w:proofErr w:type="spellEnd"/>
      <w:r w:rsidRPr="00DC1A5F">
        <w:t>, no veo otra cosa que se transforme tan rápidamente como [614] la mente” (A I 10).</w:t>
      </w:r>
    </w:p>
    <w:p w14:paraId="100F3E12" w14:textId="77777777" w:rsidR="00597DE2" w:rsidRPr="00DC1A5F" w:rsidRDefault="00597DE2" w:rsidP="00597DE2">
      <w:r w:rsidRPr="00DC1A5F">
        <w:t xml:space="preserve">24. </w:t>
      </w:r>
      <w:r w:rsidRPr="00DC1A5F">
        <w:tab/>
        <w:t xml:space="preserve">Ya que la consciencia del continuum vital surgirá y cesará 16 veces, mientras perdure un instante material. Con la consciencia, el instante del surgimiento, el instante de la presencia y el </w:t>
      </w:r>
    </w:p>
    <w:p w14:paraId="33CD041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B21E91D"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Abyosāna</w:t>
      </w:r>
      <w:proofErr w:type="spellEnd"/>
      <w:r w:rsidRPr="00DC1A5F">
        <w:t xml:space="preserve">—“no detenerse a mitad del camino” (otra lectura menos buena es </w:t>
      </w:r>
      <w:proofErr w:type="spellStart"/>
      <w:r w:rsidRPr="00DC1A5F">
        <w:rPr>
          <w:i/>
          <w:iCs/>
        </w:rPr>
        <w:t>accosāna</w:t>
      </w:r>
      <w:proofErr w:type="spellEnd"/>
      <w:r w:rsidRPr="00DC1A5F">
        <w:t xml:space="preserve">): no así en el PED; pero corresponde a una forma negativa de </w:t>
      </w:r>
      <w:proofErr w:type="spellStart"/>
      <w:r w:rsidRPr="00DC1A5F">
        <w:rPr>
          <w:i/>
          <w:iCs/>
        </w:rPr>
        <w:t>vosāna</w:t>
      </w:r>
      <w:proofErr w:type="spellEnd"/>
      <w:r w:rsidRPr="00DC1A5F">
        <w:t xml:space="preserve"> (</w:t>
      </w:r>
      <w:proofErr w:type="spellStart"/>
      <w:r w:rsidRPr="00DC1A5F">
        <w:t>q.v</w:t>
      </w:r>
      <w:proofErr w:type="spellEnd"/>
      <w:r w:rsidRPr="00DC1A5F">
        <w:t xml:space="preserve">.), que se usa para </w:t>
      </w:r>
      <w:r w:rsidRPr="00DC1A5F">
        <w:rPr>
          <w:iCs/>
        </w:rPr>
        <w:t>Devadatta</w:t>
      </w:r>
      <w:r w:rsidRPr="00DC1A5F">
        <w:t xml:space="preserve"> en el </w:t>
      </w:r>
      <w:proofErr w:type="spellStart"/>
      <w:r w:rsidRPr="00DC1A5F">
        <w:rPr>
          <w:i/>
          <w:iCs/>
        </w:rPr>
        <w:t>Vinaya</w:t>
      </w:r>
      <w:proofErr w:type="spellEnd"/>
      <w:r w:rsidRPr="00DC1A5F">
        <w:rPr>
          <w:i/>
          <w:iCs/>
        </w:rPr>
        <w:t xml:space="preserve"> </w:t>
      </w:r>
      <w:proofErr w:type="spellStart"/>
      <w:r w:rsidRPr="00DC1A5F">
        <w:rPr>
          <w:i/>
          <w:iCs/>
        </w:rPr>
        <w:t>Cūḷavagga</w:t>
      </w:r>
      <w:proofErr w:type="spellEnd"/>
      <w:r w:rsidRPr="00DC1A5F">
        <w:t xml:space="preserve"> (= It 85) y ocurre en este sentido en M I 193. No en CPD.</w:t>
      </w:r>
    </w:p>
    <w:p w14:paraId="3EF8D311" w14:textId="77777777" w:rsidR="00597DE2" w:rsidRPr="00DC1A5F" w:rsidRDefault="00597DE2" w:rsidP="00597DE2">
      <w:pPr>
        <w:pStyle w:val="PiedepginaLegal"/>
        <w:numPr>
          <w:ilvl w:val="0"/>
          <w:numId w:val="9"/>
        </w:numPr>
        <w:tabs>
          <w:tab w:val="clear" w:pos="425"/>
          <w:tab w:val="left" w:pos="284"/>
        </w:tabs>
        <w:ind w:left="284" w:hanging="284"/>
      </w:pPr>
      <w:r w:rsidRPr="00DC1A5F">
        <w:t xml:space="preserve"> “Primero tiene que ser observado por inferencia, según los textos. Luego, gradualmente llegará a ser observado mediante la experiencia personal cuando el conocimiento del desarrollo se fortalezca” (</w:t>
      </w:r>
      <w:proofErr w:type="spellStart"/>
      <w:r w:rsidRPr="00DC1A5F">
        <w:t>Vism</w:t>
      </w:r>
      <w:proofErr w:type="spellEnd"/>
      <w:r w:rsidRPr="00DC1A5F">
        <w:t>–</w:t>
      </w:r>
      <w:proofErr w:type="spellStart"/>
      <w:r w:rsidRPr="00DC1A5F">
        <w:t>mhṭ</w:t>
      </w:r>
      <w:proofErr w:type="spellEnd"/>
      <w:r w:rsidRPr="00DC1A5F">
        <w:t xml:space="preserve"> 790).</w:t>
      </w:r>
    </w:p>
    <w:p w14:paraId="6AC606F1"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 xml:space="preserve">“Primero se generará a partir del </w:t>
      </w:r>
      <w:proofErr w:type="spellStart"/>
      <w:r w:rsidRPr="00DC1A5F">
        <w:rPr>
          <w:i/>
        </w:rPr>
        <w:t>kamma</w:t>
      </w:r>
      <w:proofErr w:type="spellEnd"/>
      <w:r w:rsidRPr="00DC1A5F">
        <w:t xml:space="preserve"> porque las clases </w:t>
      </w:r>
      <w:r w:rsidRPr="00DC1A5F">
        <w:rPr>
          <w:color w:val="833C0B" w:themeColor="accent2" w:themeShade="80"/>
        </w:rPr>
        <w:t xml:space="preserve">de materialidad </w:t>
      </w:r>
      <w:r w:rsidRPr="00DC1A5F">
        <w:t>surgidas de la temperatura, etc., estarán enraizadas en ello” (</w:t>
      </w:r>
      <w:proofErr w:type="spellStart"/>
      <w:r w:rsidRPr="00DC1A5F">
        <w:t>Vism</w:t>
      </w:r>
      <w:proofErr w:type="spellEnd"/>
      <w:r w:rsidRPr="00DC1A5F">
        <w:t>–</w:t>
      </w:r>
      <w:proofErr w:type="spellStart"/>
      <w:r w:rsidRPr="00DC1A5F">
        <w:t>mhṭ</w:t>
      </w:r>
      <w:proofErr w:type="spellEnd"/>
      <w:r w:rsidRPr="00DC1A5F">
        <w:t xml:space="preserve"> 790).</w:t>
      </w:r>
      <w:r w:rsidRPr="00DC1A5F">
        <w:br w:type="page"/>
      </w:r>
    </w:p>
    <w:p w14:paraId="4A054E9A" w14:textId="77777777" w:rsidR="00597DE2" w:rsidRPr="00DC1A5F" w:rsidRDefault="00597DE2" w:rsidP="00597DE2"/>
    <w:p w14:paraId="48A537F2" w14:textId="77777777" w:rsidR="00597DE2" w:rsidRPr="00DC1A5F" w:rsidRDefault="00597DE2" w:rsidP="00597DE2">
      <w:pPr>
        <w:pStyle w:val="Textoindependiente"/>
      </w:pPr>
      <w:r w:rsidRPr="00DC1A5F">
        <w:t>instante de su disolución serán iguales; pero con la materialidad sólo los instantes de surgimiento y disolución serán tan rápidos como los de la consciencia, mientras que el instante de su presencia será largo y durarás tanto como 16 consciencias que surjan y cesen.</w:t>
      </w:r>
    </w:p>
    <w:p w14:paraId="05601C21" w14:textId="77777777" w:rsidR="00597DE2" w:rsidRPr="00DC1A5F" w:rsidRDefault="00597DE2" w:rsidP="00597DE2">
      <w:r w:rsidRPr="00DC1A5F">
        <w:t xml:space="preserve">25. </w:t>
      </w:r>
      <w:r w:rsidRPr="00DC1A5F">
        <w:tab/>
        <w:t>El segundo continuum vital surgirá con la base del corazón físico prenaciente como su soporte, que ya haya alcanzado la presencia y surgido en el instante del surgimiento de la consciencia del vínculo–de–renacimiento. El tercer continuum vital surgirá con la base física prenaciente como su soporte, que ya haya alcanzado la presencia y surgido junto con la consciencia del segundo continuum vital. Se podría entender que la aparición de la consciencia sucederá de esta manera a lo largo de la vida. No obstante, en quien se enfrente con la muerte, surgirán 16 consciencias con una sola base del corazón física prenaciente como su soporte, que ya haya alcanzado la presencia.</w:t>
      </w:r>
    </w:p>
    <w:p w14:paraId="5323CFF7" w14:textId="77777777" w:rsidR="00597DE2" w:rsidRPr="00DC1A5F" w:rsidRDefault="00597DE2" w:rsidP="00597DE2">
      <w:r w:rsidRPr="00DC1A5F">
        <w:t xml:space="preserve">26. </w:t>
      </w:r>
      <w:r w:rsidRPr="00DC1A5F">
        <w:tab/>
        <w:t>La materialidad que haya surgido en el instante del surgimiento de la consciencia del vínculo–de–renacimiento cesará junto con la decimosexta consciencia después de la consciencia del vínculo–de–renacimiento. Lo que surgirá en el instante de la presencia de la consciencia del vínculo–de–renacimiento cesará junto con el instante del surgimiento de la decimoséptima consciencia. La surgida en el instante de su disolución cesará al llegar al instante de presencia de la decimoséptima consciencia.</w:t>
      </w:r>
      <w:r w:rsidRPr="00DC1A5F">
        <w:rPr>
          <w:vertAlign w:val="superscript"/>
        </w:rPr>
        <w:t>15</w:t>
      </w:r>
      <w:r w:rsidRPr="00DC1A5F">
        <w:t xml:space="preserve"> Esto continuará ocurriendo así mientras continúe la recurrencia de los nacimientos.</w:t>
      </w:r>
    </w:p>
    <w:p w14:paraId="1FEE167E" w14:textId="77777777" w:rsidR="00597DE2" w:rsidRPr="00DC1A5F" w:rsidRDefault="00597DE2" w:rsidP="00597DE2">
      <w:pPr>
        <w:pStyle w:val="NormalConSangria"/>
      </w:pPr>
      <w:r w:rsidRPr="00DC1A5F">
        <w:t>También 70 instancias de materialidad ocurrirán de la misma manera con la continuidad séptuple comenzando con el décuplo del ojo de aquellos nacidos aparicionalmente.</w:t>
      </w:r>
    </w:p>
    <w:p w14:paraId="0BE1987F" w14:textId="77777777" w:rsidR="00597DE2" w:rsidRPr="00DC1A5F" w:rsidRDefault="00597DE2" w:rsidP="00597DE2">
      <w:pPr>
        <w:pStyle w:val="Ttulo4"/>
        <w:ind w:left="1416"/>
      </w:pPr>
      <w:r w:rsidRPr="00DC1A5F">
        <w:t xml:space="preserve">[(a) Materialidad Nacida del </w:t>
      </w:r>
      <w:proofErr w:type="spellStart"/>
      <w:r w:rsidRPr="00DC1A5F">
        <w:t>Kamma</w:t>
      </w:r>
      <w:proofErr w:type="spellEnd"/>
      <w:r w:rsidRPr="00DC1A5F">
        <w:t>]</w:t>
      </w:r>
    </w:p>
    <w:p w14:paraId="68A406DE" w14:textId="77777777" w:rsidR="00597DE2" w:rsidRPr="00DC1A5F" w:rsidRDefault="00597DE2" w:rsidP="00597DE2">
      <w:r w:rsidRPr="00DC1A5F">
        <w:t xml:space="preserve">27. </w:t>
      </w:r>
      <w:r w:rsidRPr="00DC1A5F">
        <w:tab/>
        <w:t xml:space="preserve">Aquí, en cuanto a la materialidad nacida del </w:t>
      </w:r>
      <w:proofErr w:type="spellStart"/>
      <w:r w:rsidRPr="00DC1A5F">
        <w:rPr>
          <w:i/>
        </w:rPr>
        <w:t>kamma</w:t>
      </w:r>
      <w:proofErr w:type="spellEnd"/>
      <w:r w:rsidRPr="00DC1A5F">
        <w:rPr>
          <w:i/>
        </w:rPr>
        <w:t>,</w:t>
      </w:r>
      <w:r w:rsidRPr="00DC1A5F">
        <w:t xml:space="preserve"> el análisis deberá entenderse así: (1) mediante el </w:t>
      </w:r>
      <w:proofErr w:type="spellStart"/>
      <w:r w:rsidRPr="00DC1A5F">
        <w:rPr>
          <w:i/>
        </w:rPr>
        <w:t>kamma</w:t>
      </w:r>
      <w:proofErr w:type="spellEnd"/>
      <w:r w:rsidRPr="00DC1A5F">
        <w:t xml:space="preserve">, (2) lo que sea originado por el </w:t>
      </w:r>
      <w:proofErr w:type="spellStart"/>
      <w:r w:rsidRPr="00DC1A5F">
        <w:rPr>
          <w:i/>
        </w:rPr>
        <w:t>kamma</w:t>
      </w:r>
      <w:proofErr w:type="spellEnd"/>
      <w:r w:rsidRPr="00DC1A5F">
        <w:t xml:space="preserve">, (3) lo que posea al </w:t>
      </w:r>
      <w:proofErr w:type="spellStart"/>
      <w:r w:rsidRPr="00DC1A5F">
        <w:rPr>
          <w:i/>
        </w:rPr>
        <w:t>kamma</w:t>
      </w:r>
      <w:proofErr w:type="spellEnd"/>
      <w:r w:rsidRPr="00DC1A5F">
        <w:t xml:space="preserve"> como su condición, (4) lo que sea originado por la consciencia que tenga al </w:t>
      </w:r>
      <w:proofErr w:type="spellStart"/>
      <w:r w:rsidRPr="00DC1A5F">
        <w:rPr>
          <w:i/>
        </w:rPr>
        <w:t>kamma</w:t>
      </w:r>
      <w:proofErr w:type="spellEnd"/>
      <w:r w:rsidRPr="00DC1A5F">
        <w:t xml:space="preserve"> como su condición, (5) lo que se origine por el nutrimento que posea al </w:t>
      </w:r>
      <w:proofErr w:type="spellStart"/>
      <w:r w:rsidRPr="00DC1A5F">
        <w:rPr>
          <w:i/>
        </w:rPr>
        <w:t>kamma</w:t>
      </w:r>
      <w:proofErr w:type="spellEnd"/>
      <w:r w:rsidRPr="00DC1A5F">
        <w:t xml:space="preserve"> como su condición, (6) lo originado por la temperatura que posea al </w:t>
      </w:r>
      <w:proofErr w:type="spellStart"/>
      <w:r w:rsidRPr="00DC1A5F">
        <w:rPr>
          <w:i/>
        </w:rPr>
        <w:t>kamma</w:t>
      </w:r>
      <w:proofErr w:type="spellEnd"/>
      <w:r w:rsidRPr="00DC1A5F">
        <w:t xml:space="preserve"> como su condición (XI.111–14).</w:t>
      </w:r>
    </w:p>
    <w:p w14:paraId="77A85E78" w14:textId="77777777" w:rsidR="00597DE2" w:rsidRPr="00DC1A5F" w:rsidRDefault="00597DE2" w:rsidP="00597DE2">
      <w:r w:rsidRPr="00DC1A5F">
        <w:t xml:space="preserve">28. </w:t>
      </w:r>
      <w:r w:rsidRPr="00DC1A5F">
        <w:tab/>
        <w:t xml:space="preserve">Aquí, (1) el </w:t>
      </w:r>
      <w:proofErr w:type="spellStart"/>
      <w:r w:rsidRPr="00DC1A5F">
        <w:rPr>
          <w:i/>
        </w:rPr>
        <w:t>kamma</w:t>
      </w:r>
      <w:proofErr w:type="spellEnd"/>
      <w:r w:rsidRPr="00DC1A5F">
        <w:t xml:space="preserve"> corresponderá a la volición productiva e improductiva. (2) </w:t>
      </w:r>
      <w:r w:rsidRPr="00DC1A5F">
        <w:rPr>
          <w:i/>
          <w:iCs/>
        </w:rPr>
        <w:t>Lo que se origine del</w:t>
      </w:r>
      <w:r w:rsidRPr="00DC1A5F">
        <w:t xml:space="preserve"> </w:t>
      </w:r>
      <w:proofErr w:type="spellStart"/>
      <w:r w:rsidRPr="00DC1A5F">
        <w:rPr>
          <w:i/>
        </w:rPr>
        <w:t>kamma</w:t>
      </w:r>
      <w:proofErr w:type="spellEnd"/>
      <w:r w:rsidRPr="00DC1A5F">
        <w:t xml:space="preserve"> corresponderá a los agregados resultantes del </w:t>
      </w:r>
      <w:proofErr w:type="spellStart"/>
      <w:r w:rsidRPr="00DC1A5F">
        <w:rPr>
          <w:i/>
        </w:rPr>
        <w:t>kamma</w:t>
      </w:r>
      <w:proofErr w:type="spellEnd"/>
      <w:r w:rsidRPr="00DC1A5F">
        <w:t xml:space="preserve"> y las 70 instancias de materialidad que comienzan con el décuplo del ojo. (3) Lo que posea al </w:t>
      </w:r>
      <w:proofErr w:type="spellStart"/>
      <w:r w:rsidRPr="00DC1A5F">
        <w:rPr>
          <w:i/>
        </w:rPr>
        <w:t>kamma</w:t>
      </w:r>
      <w:proofErr w:type="spellEnd"/>
      <w:r w:rsidRPr="00DC1A5F">
        <w:t xml:space="preserve"> como su condición será lo mismo que el último, ya que </w:t>
      </w:r>
      <w:proofErr w:type="spellStart"/>
      <w:r w:rsidRPr="00DC1A5F">
        <w:t>rl</w:t>
      </w:r>
      <w:proofErr w:type="spellEnd"/>
      <w:r w:rsidRPr="00DC1A5F">
        <w:t xml:space="preserve"> </w:t>
      </w:r>
      <w:proofErr w:type="spellStart"/>
      <w:r w:rsidRPr="00DC1A5F">
        <w:rPr>
          <w:i/>
        </w:rPr>
        <w:t>kamma</w:t>
      </w:r>
      <w:proofErr w:type="spellEnd"/>
      <w:r w:rsidRPr="00DC1A5F">
        <w:t xml:space="preserve"> será la condición que sostenga lo originado por el </w:t>
      </w:r>
      <w:proofErr w:type="spellStart"/>
      <w:r w:rsidRPr="00DC1A5F">
        <w:rPr>
          <w:i/>
        </w:rPr>
        <w:t>kamma</w:t>
      </w:r>
      <w:proofErr w:type="spellEnd"/>
      <w:r w:rsidRPr="00DC1A5F">
        <w:t>.</w:t>
      </w:r>
    </w:p>
    <w:p w14:paraId="113D0A0C" w14:textId="77777777" w:rsidR="00597DE2" w:rsidRPr="00DC1A5F" w:rsidRDefault="00597DE2" w:rsidP="00597DE2">
      <w:r w:rsidRPr="00DC1A5F">
        <w:t xml:space="preserve">29. </w:t>
      </w:r>
      <w:r w:rsidRPr="00DC1A5F">
        <w:tab/>
        <w:t xml:space="preserve">(4) </w:t>
      </w:r>
      <w:r w:rsidRPr="00DC1A5F">
        <w:rPr>
          <w:i/>
          <w:iCs/>
        </w:rPr>
        <w:t>Lo que sea originado–en–la–consciencia</w:t>
      </w:r>
      <w:r w:rsidRPr="00DC1A5F">
        <w:t xml:space="preserve"> </w:t>
      </w:r>
      <w:r w:rsidRPr="00DC1A5F">
        <w:rPr>
          <w:i/>
          <w:iCs/>
        </w:rPr>
        <w:t xml:space="preserve">que posea al </w:t>
      </w:r>
      <w:proofErr w:type="spellStart"/>
      <w:r w:rsidRPr="00DC1A5F">
        <w:rPr>
          <w:i/>
        </w:rPr>
        <w:t>kamma</w:t>
      </w:r>
      <w:proofErr w:type="spellEnd"/>
      <w:r w:rsidRPr="00DC1A5F">
        <w:t xml:space="preserve"> </w:t>
      </w:r>
      <w:r w:rsidRPr="00DC1A5F">
        <w:rPr>
          <w:i/>
          <w:iCs/>
        </w:rPr>
        <w:t>como su condición</w:t>
      </w:r>
      <w:r w:rsidRPr="00DC1A5F">
        <w:t xml:space="preserve"> corresponderá a la materialidad originada en la consciencia resultante del </w:t>
      </w:r>
      <w:proofErr w:type="spellStart"/>
      <w:r w:rsidRPr="00DC1A5F">
        <w:rPr>
          <w:i/>
        </w:rPr>
        <w:t>kamma</w:t>
      </w:r>
      <w:proofErr w:type="spellEnd"/>
      <w:r w:rsidRPr="00DC1A5F">
        <w:t xml:space="preserve">. (5) </w:t>
      </w:r>
      <w:r w:rsidRPr="00DC1A5F">
        <w:rPr>
          <w:i/>
          <w:iCs/>
        </w:rPr>
        <w:t xml:space="preserve">Lo que sea originado por el nutrimento que posea al </w:t>
      </w:r>
      <w:proofErr w:type="spellStart"/>
      <w:r w:rsidRPr="00DC1A5F">
        <w:rPr>
          <w:i/>
        </w:rPr>
        <w:t>kamma</w:t>
      </w:r>
      <w:proofErr w:type="spellEnd"/>
      <w:r w:rsidRPr="00DC1A5F">
        <w:t xml:space="preserve"> </w:t>
      </w:r>
      <w:r w:rsidRPr="00DC1A5F">
        <w:rPr>
          <w:i/>
          <w:iCs/>
        </w:rPr>
        <w:t>como su condición</w:t>
      </w:r>
      <w:r w:rsidRPr="00DC1A5F">
        <w:t xml:space="preserve"> se llamará así porque la esencia nutriente que haya alcanzado presencia, en los casos de la materialidad originada por el </w:t>
      </w:r>
      <w:proofErr w:type="spellStart"/>
      <w:r w:rsidRPr="00DC1A5F">
        <w:rPr>
          <w:i/>
        </w:rPr>
        <w:t>kamma</w:t>
      </w:r>
      <w:proofErr w:type="spellEnd"/>
      <w:r w:rsidRPr="00DC1A5F">
        <w:rPr>
          <w:i/>
        </w:rPr>
        <w:t>,</w:t>
      </w:r>
      <w:r w:rsidRPr="00DC1A5F">
        <w:t xml:space="preserve"> originará una octava adicional con la esencia nutriente como la octava, y allí, la esencia nutriente que haya alcanzado presencia también originará otra más y así vinculará 4 o 5 ocurrencias óctuplas. (6</w:t>
      </w:r>
      <w:r w:rsidRPr="00DC1A5F">
        <w:rPr>
          <w:i/>
          <w:iCs/>
        </w:rPr>
        <w:t xml:space="preserve">) Lo que se origine mediante la temperatura que posea al </w:t>
      </w:r>
      <w:proofErr w:type="spellStart"/>
      <w:r w:rsidRPr="00DC1A5F">
        <w:rPr>
          <w:i/>
          <w:iCs/>
        </w:rPr>
        <w:t>kamma</w:t>
      </w:r>
      <w:proofErr w:type="spellEnd"/>
      <w:r w:rsidRPr="00DC1A5F">
        <w:rPr>
          <w:i/>
          <w:iCs/>
        </w:rPr>
        <w:t xml:space="preserve"> como su condición</w:t>
      </w:r>
      <w:r w:rsidRPr="00DC1A5F">
        <w:t xml:space="preserve"> se le denominará </w:t>
      </w:r>
    </w:p>
    <w:p w14:paraId="6DB729E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6D05273" w14:textId="77777777" w:rsidR="00597DE2" w:rsidRPr="00DC1A5F" w:rsidRDefault="00597DE2" w:rsidP="00597DE2">
      <w:pPr>
        <w:pStyle w:val="PiedepginaLegal"/>
        <w:numPr>
          <w:ilvl w:val="0"/>
          <w:numId w:val="9"/>
        </w:numPr>
        <w:tabs>
          <w:tab w:val="clear" w:pos="425"/>
          <w:tab w:val="left" w:pos="284"/>
        </w:tabs>
        <w:ind w:left="284" w:hanging="284"/>
      </w:pPr>
      <w:r w:rsidRPr="00DC1A5F">
        <w:t xml:space="preserve">La relación de la duración de los momentos de la materia y los momentos de la consciencia se trata en mayor detalle en el </w:t>
      </w:r>
      <w:proofErr w:type="spellStart"/>
      <w:r w:rsidRPr="00DC1A5F">
        <w:rPr>
          <w:i/>
          <w:iCs/>
        </w:rPr>
        <w:t>Sammohavinodanī</w:t>
      </w:r>
      <w:proofErr w:type="spellEnd"/>
      <w:r w:rsidRPr="00DC1A5F">
        <w:t xml:space="preserve"> (</w:t>
      </w:r>
      <w:proofErr w:type="spellStart"/>
      <w:r w:rsidRPr="00DC1A5F">
        <w:t>Vibh</w:t>
      </w:r>
      <w:proofErr w:type="spellEnd"/>
      <w:r w:rsidRPr="00DC1A5F">
        <w:t>–a 25f.). Ver también Introducción, nota 18.</w:t>
      </w:r>
    </w:p>
    <w:p w14:paraId="20F7C83E" w14:textId="77777777" w:rsidR="00597DE2" w:rsidRPr="00DC1A5F" w:rsidRDefault="00597DE2" w:rsidP="00597DE2">
      <w:pPr>
        <w:tabs>
          <w:tab w:val="clear" w:pos="425"/>
        </w:tabs>
        <w:spacing w:after="160"/>
      </w:pPr>
      <w:r w:rsidRPr="00DC1A5F">
        <w:br w:type="page"/>
      </w:r>
    </w:p>
    <w:p w14:paraId="5CC9AA6B" w14:textId="77777777" w:rsidR="00597DE2" w:rsidRPr="00DC1A5F" w:rsidRDefault="00597DE2" w:rsidP="00597DE2">
      <w:r w:rsidRPr="00DC1A5F">
        <w:lastRenderedPageBreak/>
        <w:br/>
      </w:r>
    </w:p>
    <w:p w14:paraId="3F9BB80B" w14:textId="77777777" w:rsidR="00597DE2" w:rsidRPr="00DC1A5F" w:rsidRDefault="00597DE2" w:rsidP="00597DE2">
      <w:pPr>
        <w:pStyle w:val="Textoindependiente"/>
      </w:pPr>
      <w:r w:rsidRPr="00DC1A5F">
        <w:t xml:space="preserve">así porque el elemento fuego nacido del </w:t>
      </w:r>
      <w:proofErr w:type="spellStart"/>
      <w:r w:rsidRPr="00DC1A5F">
        <w:rPr>
          <w:i/>
        </w:rPr>
        <w:t>kamma</w:t>
      </w:r>
      <w:proofErr w:type="spellEnd"/>
      <w:r w:rsidRPr="00DC1A5F">
        <w:t xml:space="preserve"> que haya alcanzado una presencia originará un óctuplo con la esencia nutriente como la octava, la cual será la originada por la temperatura y la temperatura ella originará un óctuplo más con la esencia nutriente como la octava, así se vinculará 4 o 5 ocurrencias óctuplas.</w:t>
      </w:r>
    </w:p>
    <w:p w14:paraId="53F04A6C" w14:textId="77777777" w:rsidR="00597DE2" w:rsidRPr="00DC1A5F" w:rsidRDefault="00597DE2" w:rsidP="00597DE2">
      <w:pPr>
        <w:pStyle w:val="NormalConSangria"/>
      </w:pPr>
      <w:r w:rsidRPr="00DC1A5F">
        <w:t xml:space="preserve">Así es cómo deberá ser apreciada la generación de la materialidad nacida del </w:t>
      </w:r>
      <w:proofErr w:type="spellStart"/>
      <w:r w:rsidRPr="00DC1A5F">
        <w:rPr>
          <w:i/>
        </w:rPr>
        <w:t>kamma</w:t>
      </w:r>
      <w:proofErr w:type="spellEnd"/>
      <w:r w:rsidRPr="00DC1A5F">
        <w:t xml:space="preserve"> en primer lugar. [615]</w:t>
      </w:r>
    </w:p>
    <w:p w14:paraId="4463F590" w14:textId="77777777" w:rsidR="00597DE2" w:rsidRPr="00DC1A5F" w:rsidRDefault="00597DE2" w:rsidP="00597DE2">
      <w:pPr>
        <w:pStyle w:val="Ttulo4"/>
        <w:ind w:left="1416"/>
      </w:pPr>
      <w:r w:rsidRPr="00DC1A5F">
        <w:t>[(b) Materialidad Nacida De La Consciencia]</w:t>
      </w:r>
    </w:p>
    <w:p w14:paraId="49D07778" w14:textId="77777777" w:rsidR="00597DE2" w:rsidRPr="00DC1A5F" w:rsidRDefault="00597DE2" w:rsidP="00597DE2">
      <w:r w:rsidRPr="00DC1A5F">
        <w:t xml:space="preserve">30. </w:t>
      </w:r>
      <w:r w:rsidRPr="00DC1A5F">
        <w:tab/>
        <w:t>También en cuanto a las especies surgidas de la consciencia, el análisis deberá entenderse así: (1) mediante la consciencia, (2) lo que sea originado por la consciencia, (3) lo que posea a la consciencia como su condición, (4) lo que sea originado por el nutriente que posea a la consciencia como su condición, (5) lo que sea originado por la temperatura que posea a la consciencia como su condición.</w:t>
      </w:r>
    </w:p>
    <w:p w14:paraId="5D840E7C" w14:textId="77777777" w:rsidR="00597DE2" w:rsidRPr="00DC1A5F" w:rsidRDefault="00597DE2" w:rsidP="00597DE2">
      <w:r w:rsidRPr="00DC1A5F">
        <w:t xml:space="preserve">31. </w:t>
      </w:r>
      <w:r w:rsidRPr="00DC1A5F">
        <w:tab/>
        <w:t>Aquí, (1) la consciencia corresponderá a los 89 tipos de consciencia. Entre estos:</w:t>
      </w:r>
    </w:p>
    <w:p w14:paraId="2E2C875C" w14:textId="77777777" w:rsidR="00597DE2" w:rsidRPr="00DC1A5F" w:rsidRDefault="00597DE2" w:rsidP="00597DE2">
      <w:pPr>
        <w:pStyle w:val="VersoIngls01Sangria"/>
        <w:rPr>
          <w:sz w:val="16"/>
          <w:szCs w:val="20"/>
        </w:rPr>
      </w:pPr>
      <w:r w:rsidRPr="00DC1A5F">
        <w:rPr>
          <w:sz w:val="16"/>
          <w:szCs w:val="20"/>
        </w:rPr>
        <w:t>Treinta y dos consciencias,</w:t>
      </w:r>
    </w:p>
    <w:p w14:paraId="7D51A5DE" w14:textId="77777777" w:rsidR="00597DE2" w:rsidRPr="00DC1A5F" w:rsidRDefault="00597DE2" w:rsidP="00597DE2">
      <w:pPr>
        <w:pStyle w:val="VersoIngls01Sangria"/>
        <w:rPr>
          <w:sz w:val="16"/>
          <w:szCs w:val="20"/>
        </w:rPr>
      </w:pPr>
      <w:r w:rsidRPr="00DC1A5F">
        <w:rPr>
          <w:sz w:val="16"/>
          <w:szCs w:val="20"/>
        </w:rPr>
        <w:t>Veintiséis, también diecinueve,</w:t>
      </w:r>
    </w:p>
    <w:p w14:paraId="4055207F" w14:textId="77777777" w:rsidR="00597DE2" w:rsidRPr="00DC1A5F" w:rsidRDefault="00597DE2" w:rsidP="00597DE2">
      <w:pPr>
        <w:pStyle w:val="VersoIngls01Sangria"/>
        <w:rPr>
          <w:sz w:val="16"/>
          <w:szCs w:val="20"/>
        </w:rPr>
      </w:pPr>
      <w:r w:rsidRPr="00DC1A5F">
        <w:rPr>
          <w:sz w:val="16"/>
          <w:szCs w:val="20"/>
        </w:rPr>
        <w:t>Se considerarán que darán surgimiento a la materia,</w:t>
      </w:r>
    </w:p>
    <w:p w14:paraId="1CCC82E1" w14:textId="77777777" w:rsidR="00597DE2" w:rsidRPr="00DC1A5F" w:rsidRDefault="00597DE2" w:rsidP="00597DE2">
      <w:pPr>
        <w:pStyle w:val="VersoIngls01Sangria"/>
        <w:rPr>
          <w:sz w:val="16"/>
          <w:szCs w:val="20"/>
        </w:rPr>
      </w:pPr>
      <w:r w:rsidRPr="00DC1A5F">
        <w:rPr>
          <w:sz w:val="16"/>
          <w:szCs w:val="20"/>
        </w:rPr>
        <w:t xml:space="preserve">Las posturas, también la intimación; </w:t>
      </w:r>
    </w:p>
    <w:p w14:paraId="6CC5A3F0" w14:textId="77777777" w:rsidR="00597DE2" w:rsidRPr="00DC1A5F" w:rsidRDefault="00597DE2" w:rsidP="00597DE2">
      <w:pPr>
        <w:pStyle w:val="VersoIngls01Sangria"/>
        <w:rPr>
          <w:sz w:val="16"/>
          <w:szCs w:val="20"/>
        </w:rPr>
      </w:pPr>
      <w:r w:rsidRPr="00DC1A5F">
        <w:rPr>
          <w:sz w:val="16"/>
          <w:szCs w:val="20"/>
        </w:rPr>
        <w:t>Dieciséis tipos de consciencia</w:t>
      </w:r>
    </w:p>
    <w:p w14:paraId="752F22D9" w14:textId="77777777" w:rsidR="00597DE2" w:rsidRPr="00DC1A5F" w:rsidRDefault="00597DE2" w:rsidP="00597DE2">
      <w:pPr>
        <w:pStyle w:val="VersoIngls01Sangria"/>
        <w:spacing w:after="100"/>
        <w:ind w:left="1418"/>
        <w:rPr>
          <w:sz w:val="16"/>
          <w:szCs w:val="20"/>
        </w:rPr>
      </w:pPr>
      <w:r w:rsidRPr="00DC1A5F">
        <w:rPr>
          <w:sz w:val="16"/>
          <w:szCs w:val="20"/>
        </w:rPr>
        <w:t>Se calcula que no darán surgimiento a ninguna materia.</w:t>
      </w:r>
    </w:p>
    <w:p w14:paraId="2C58D7FE" w14:textId="77777777" w:rsidR="00597DE2" w:rsidRPr="00DC1A5F" w:rsidRDefault="00597DE2" w:rsidP="00597DE2">
      <w:pPr>
        <w:pStyle w:val="NormalConSangria"/>
      </w:pPr>
      <w:r w:rsidRPr="00DC1A5F">
        <w:t xml:space="preserve">En cuanto a la esfera sensorial, 32 consciencias, es decir, las 8 consciencias productivas ((1)–(8)), 12 improductivas ((22)–(33)), 10 funcionales excluyendo al elemento mental ((71)–(80)), y 2 consciencias de conocimiento directo como productivas y funcionales, darán lugar a la materialidad, a las posturas y a la intimación. Las 26 consciencias, es decir, las 10 de la esfera de la materia sutil ((9)–(13), (81)–(85)) y las 8 de la esfera inmaterial ((14)–(17), </w:t>
      </w:r>
      <w:proofErr w:type="gramStart"/>
      <w:r w:rsidRPr="00DC1A5F">
        <w:t>( 86</w:t>
      </w:r>
      <w:proofErr w:type="gramEnd"/>
      <w:r w:rsidRPr="00DC1A5F">
        <w:t>)–(89)) excluyendo la resultante en ambos casos y las 8 supramundanas ((18)–(21), (66)–(69)), darán lugar a la materialidad, a las posturas pero no a la intimación. Las 19 consciencias, es decir, las 10 consciencias del continuum vital en la esfera sensorial ((41)–(49), (56)), las 5 en la esfera de la materia sutil ((57)–(61)), las 3 de los elementos mentales ((39), (55), (70)), y el elemento de la consciencia mental resultante a sin causa–raíz y acompañado de dicha (40), darán lugar a la materialidad únicamente, no a las posturas ni a la intimación. Las 16 consciencias, es decir, los 2 conjuntos de 5 consciencias ((34)–(38), (50)–(54)), la consciencia de todos los seres del vínculo–de–renacimiento, la consciencia de la muerte de aquellos cuyas corrupciones han sido destruidas, y las 4 consciencias inmateriales resultantes ((62)–(65)) no darán lugar a ninguna materialidad, ni a las posturas ni a la intimación. Y aquellos que aquí den lugar a la materialidad no lo harán en el instante de su presencia o en el instante de su disolución, porque entonces la consciencia será débil. No obstante, será fuerte en el instante del surgimiento. En consecuencia, originará entonces la materialidad con la base física prenaciente como su soporte.</w:t>
      </w:r>
    </w:p>
    <w:p w14:paraId="6762FA2C" w14:textId="77777777" w:rsidR="00597DE2" w:rsidRPr="00DC1A5F" w:rsidRDefault="00597DE2" w:rsidP="00597DE2">
      <w:pPr>
        <w:pStyle w:val="Textoindependiente"/>
      </w:pPr>
      <w:r w:rsidRPr="00DC1A5F">
        <w:t xml:space="preserve">32. </w:t>
      </w:r>
      <w:r w:rsidRPr="00DC1A5F">
        <w:tab/>
        <w:t xml:space="preserve">(2) </w:t>
      </w:r>
      <w:r w:rsidRPr="00DC1A5F">
        <w:rPr>
          <w:i/>
          <w:iCs/>
        </w:rPr>
        <w:t>Lo que se origine por la consciencia</w:t>
      </w:r>
      <w:r w:rsidRPr="00DC1A5F">
        <w:t xml:space="preserve"> corresponderá a los otros 3 agregados inmateriales y a las 17 materialidades, es decir, al nónuplo auditivo, a la intimación corporal, la intimación </w:t>
      </w:r>
    </w:p>
    <w:p w14:paraId="5B244E16" w14:textId="77777777" w:rsidR="00597DE2" w:rsidRPr="00DC1A5F" w:rsidRDefault="00597DE2" w:rsidP="00597DE2">
      <w:pPr>
        <w:tabs>
          <w:tab w:val="clear" w:pos="425"/>
        </w:tabs>
        <w:spacing w:after="160"/>
      </w:pPr>
      <w:r w:rsidRPr="00DC1A5F">
        <w:br w:type="page"/>
      </w:r>
    </w:p>
    <w:p w14:paraId="1AD4959C" w14:textId="77777777" w:rsidR="00597DE2" w:rsidRPr="00DC1A5F" w:rsidRDefault="00597DE2" w:rsidP="00597DE2"/>
    <w:p w14:paraId="687C3F8F" w14:textId="77777777" w:rsidR="00597DE2" w:rsidRPr="00DC1A5F" w:rsidRDefault="00597DE2" w:rsidP="00597DE2">
      <w:pPr>
        <w:pStyle w:val="Textoindependiente"/>
      </w:pPr>
      <w:r w:rsidRPr="00DC1A5F">
        <w:t>verbal, al elemento espacial, a la ligereza, la maleabilidad, la manejabilidad, al crecimiento y a la continuidad.</w:t>
      </w:r>
    </w:p>
    <w:p w14:paraId="019F5281" w14:textId="77777777" w:rsidR="00597DE2" w:rsidRPr="00DC1A5F" w:rsidRDefault="00597DE2" w:rsidP="00597DE2">
      <w:r w:rsidRPr="00DC1A5F">
        <w:t xml:space="preserve">(3) </w:t>
      </w:r>
      <w:r w:rsidRPr="00DC1A5F">
        <w:tab/>
      </w:r>
      <w:r w:rsidRPr="00DC1A5F">
        <w:rPr>
          <w:i/>
          <w:iCs/>
        </w:rPr>
        <w:t>Lo que posea a la consciencia como su condición</w:t>
      </w:r>
      <w:r w:rsidRPr="00DC1A5F">
        <w:t xml:space="preserve"> corresponderá a la materialidad de origen cuádruple expresado así: “Los estados </w:t>
      </w:r>
      <w:proofErr w:type="spellStart"/>
      <w:r w:rsidRPr="00DC1A5F">
        <w:t>posnacientes</w:t>
      </w:r>
      <w:proofErr w:type="spellEnd"/>
      <w:r w:rsidRPr="00DC1A5F">
        <w:t xml:space="preserve"> de consciencia y la consciencia concomitante serán una condición, como condición </w:t>
      </w:r>
      <w:proofErr w:type="spellStart"/>
      <w:r w:rsidRPr="00DC1A5F">
        <w:t>posnaciente</w:t>
      </w:r>
      <w:proofErr w:type="spellEnd"/>
      <w:r w:rsidRPr="00DC1A5F">
        <w:t>, para este cuerpo prenaciente” (</w:t>
      </w:r>
      <w:proofErr w:type="spellStart"/>
      <w:r w:rsidRPr="00DC1A5F">
        <w:rPr>
          <w:i/>
          <w:iCs/>
        </w:rPr>
        <w:t>Paṭṭh</w:t>
      </w:r>
      <w:proofErr w:type="spellEnd"/>
      <w:r w:rsidRPr="00DC1A5F">
        <w:t xml:space="preserve"> I 5).</w:t>
      </w:r>
    </w:p>
    <w:p w14:paraId="582CD483" w14:textId="77777777" w:rsidR="00597DE2" w:rsidRPr="00DC1A5F" w:rsidRDefault="00597DE2" w:rsidP="00597DE2">
      <w:r w:rsidRPr="00DC1A5F">
        <w:t xml:space="preserve">33. </w:t>
      </w:r>
      <w:r w:rsidRPr="00DC1A5F">
        <w:tab/>
        <w:t xml:space="preserve">(4) </w:t>
      </w:r>
      <w:r w:rsidRPr="00DC1A5F">
        <w:rPr>
          <w:i/>
          <w:iCs/>
        </w:rPr>
        <w:t>Lo que se origine por el nutrimento que posea a la consciencia como su condición</w:t>
      </w:r>
      <w:r w:rsidRPr="00DC1A5F">
        <w:t>: la esencia nutriente que haya alcanzado la presencia en las instancias materiales originadas en la consciencia originará una octava adicional con la esencia nutriente como octava y así vinculará dos o tres ocurrencias óctuplas.</w:t>
      </w:r>
    </w:p>
    <w:p w14:paraId="4AE18187" w14:textId="77777777" w:rsidR="00597DE2" w:rsidRPr="00DC1A5F" w:rsidRDefault="00597DE2" w:rsidP="00597DE2">
      <w:r w:rsidRPr="00DC1A5F">
        <w:t xml:space="preserve">34. </w:t>
      </w:r>
      <w:r w:rsidRPr="00DC1A5F">
        <w:tab/>
        <w:t xml:space="preserve">(5) </w:t>
      </w:r>
      <w:r w:rsidRPr="00DC1A5F">
        <w:rPr>
          <w:i/>
          <w:iCs/>
        </w:rPr>
        <w:t>Lo que se origine por la temperatura que posea a la consciencia como su condición</w:t>
      </w:r>
      <w:r w:rsidRPr="00DC1A5F">
        <w:t xml:space="preserve">: la temperatura originada por la consciencia que haya [616] </w:t>
      </w:r>
      <w:proofErr w:type="gramStart"/>
      <w:r w:rsidRPr="00DC1A5F">
        <w:t>alcanzado presencia</w:t>
      </w:r>
      <w:proofErr w:type="gramEnd"/>
      <w:r w:rsidRPr="00DC1A5F">
        <w:t>, originará una octava adicional con la esencia nutriente como octava y así vinculará dos o tres ocurrencias.</w:t>
      </w:r>
    </w:p>
    <w:p w14:paraId="4832F87A" w14:textId="77777777" w:rsidR="00597DE2" w:rsidRPr="00DC1A5F" w:rsidRDefault="00597DE2" w:rsidP="00597DE2">
      <w:pPr>
        <w:pStyle w:val="NormalConSangria"/>
      </w:pPr>
      <w:r w:rsidRPr="00DC1A5F">
        <w:t>Así deberá ser apreciada la generación de la materialidad nacida de la consciencia.</w:t>
      </w:r>
    </w:p>
    <w:p w14:paraId="66733164" w14:textId="77777777" w:rsidR="00597DE2" w:rsidRPr="00DC1A5F" w:rsidRDefault="00597DE2" w:rsidP="00597DE2">
      <w:pPr>
        <w:pStyle w:val="Ttulo4"/>
        <w:ind w:left="1416"/>
      </w:pPr>
      <w:r w:rsidRPr="00DC1A5F">
        <w:t>[(c) Materialidad Surgida de los Nutrimentos]</w:t>
      </w:r>
    </w:p>
    <w:p w14:paraId="6C3AB7B2" w14:textId="77777777" w:rsidR="00597DE2" w:rsidRPr="00DC1A5F" w:rsidRDefault="00597DE2" w:rsidP="00597DE2">
      <w:r w:rsidRPr="00DC1A5F">
        <w:t xml:space="preserve">35. </w:t>
      </w:r>
      <w:r w:rsidRPr="00DC1A5F">
        <w:tab/>
        <w:t>En cuanto a las clases surgidas del nutrimento, el análisis deberá también entenderse así: (1) mediante el nutrimento, (2) lo que sea originado por el nutrimento, (3) lo que posea al nutrimento como su condición, (4) lo que sea originado por nutrimento que posea al nutrimento como su condición, (5) lo que sea originado por la temperatura que posea al nutrimento como su condición.</w:t>
      </w:r>
    </w:p>
    <w:p w14:paraId="23A616DC" w14:textId="77777777" w:rsidR="00597DE2" w:rsidRPr="00DC1A5F" w:rsidRDefault="00597DE2" w:rsidP="00597DE2">
      <w:r w:rsidRPr="00DC1A5F">
        <w:t xml:space="preserve">36. </w:t>
      </w:r>
      <w:r w:rsidRPr="00DC1A5F">
        <w:tab/>
        <w:t xml:space="preserve">Aquí, (1) el </w:t>
      </w:r>
      <w:r w:rsidRPr="00DC1A5F">
        <w:rPr>
          <w:i/>
          <w:iCs/>
        </w:rPr>
        <w:t>nutrimento</w:t>
      </w:r>
      <w:r w:rsidRPr="00DC1A5F">
        <w:t xml:space="preserve"> corresponderá al alimento físico. (2) </w:t>
      </w:r>
      <w:r w:rsidRPr="00DC1A5F">
        <w:rPr>
          <w:i/>
          <w:iCs/>
        </w:rPr>
        <w:t>Lo que sea originado por el nutrimento</w:t>
      </w:r>
      <w:r w:rsidRPr="00DC1A5F">
        <w:t xml:space="preserve"> corresponderá a las 14 materialidades, es decir, (i–</w:t>
      </w:r>
      <w:proofErr w:type="spellStart"/>
      <w:r w:rsidRPr="00DC1A5F">
        <w:t>viii</w:t>
      </w:r>
      <w:proofErr w:type="spellEnd"/>
      <w:r w:rsidRPr="00DC1A5F">
        <w:t xml:space="preserve">) al óctuplo–con–esencia–nutriente –como–octava originada por la esencia nutriente que haya alcanzado la presencia al obtener como su condición la materialidad nacida del </w:t>
      </w:r>
      <w:proofErr w:type="spellStart"/>
      <w:r w:rsidRPr="00DC1A5F">
        <w:rPr>
          <w:i/>
        </w:rPr>
        <w:t>kamma</w:t>
      </w:r>
      <w:proofErr w:type="spellEnd"/>
      <w:r w:rsidRPr="00DC1A5F">
        <w:t xml:space="preserve"> que se aferre a (adquirido </w:t>
      </w:r>
      <w:proofErr w:type="spellStart"/>
      <w:r w:rsidRPr="00DC1A5F">
        <w:t>kāmmicamente</w:t>
      </w:r>
      <w:proofErr w:type="spellEnd"/>
      <w:r w:rsidRPr="00DC1A5F">
        <w:t>) y se base en ello,</w:t>
      </w:r>
      <w:r w:rsidRPr="00DC1A5F">
        <w:rPr>
          <w:vertAlign w:val="superscript"/>
        </w:rPr>
        <w:t>16</w:t>
      </w:r>
      <w:r w:rsidRPr="00DC1A5F">
        <w:t xml:space="preserve"> y (</w:t>
      </w:r>
      <w:proofErr w:type="spellStart"/>
      <w:r w:rsidRPr="00DC1A5F">
        <w:t>ix</w:t>
      </w:r>
      <w:proofErr w:type="spellEnd"/>
      <w:r w:rsidRPr="00DC1A5F">
        <w:t>) al elemento espacial, (x–</w:t>
      </w:r>
      <w:proofErr w:type="spellStart"/>
      <w:r w:rsidRPr="00DC1A5F">
        <w:t>xiv</w:t>
      </w:r>
      <w:proofErr w:type="spellEnd"/>
      <w:r w:rsidRPr="00DC1A5F">
        <w:t>) la ligereza, la maleabilidad, la manejabilidad, el crecimiento y la continuidad.</w:t>
      </w:r>
    </w:p>
    <w:p w14:paraId="35C7BEAE" w14:textId="77777777" w:rsidR="00597DE2" w:rsidRPr="00DC1A5F" w:rsidRDefault="00597DE2" w:rsidP="00597DE2">
      <w:r w:rsidRPr="00DC1A5F">
        <w:tab/>
        <w:t xml:space="preserve">(3) </w:t>
      </w:r>
      <w:r w:rsidRPr="00DC1A5F">
        <w:rPr>
          <w:i/>
          <w:iCs/>
        </w:rPr>
        <w:t>Lo que posea al nutrimento como su condición</w:t>
      </w:r>
      <w:r w:rsidRPr="00DC1A5F">
        <w:t xml:space="preserve"> corresponderá a la materialidad de origen cuádruple declarado así: “El alimento físico será una condición, como condición del nutrimento, para este cuerpo” (</w:t>
      </w:r>
      <w:proofErr w:type="spellStart"/>
      <w:r w:rsidRPr="00DC1A5F">
        <w:t>Paṭṭh</w:t>
      </w:r>
      <w:proofErr w:type="spellEnd"/>
      <w:r w:rsidRPr="00DC1A5F">
        <w:t xml:space="preserve"> I 5).</w:t>
      </w:r>
    </w:p>
    <w:p w14:paraId="4AEADAFF" w14:textId="77777777" w:rsidR="00597DE2" w:rsidRPr="00DC1A5F" w:rsidRDefault="00597DE2" w:rsidP="00597DE2">
      <w:r w:rsidRPr="00DC1A5F">
        <w:t xml:space="preserve">37. </w:t>
      </w:r>
      <w:r w:rsidRPr="00DC1A5F">
        <w:tab/>
        <w:t xml:space="preserve">(4) </w:t>
      </w:r>
      <w:r w:rsidRPr="00DC1A5F">
        <w:rPr>
          <w:i/>
          <w:iCs/>
        </w:rPr>
        <w:t>Lo que se origine por el nutrimento que posea al nutrimento como su condición</w:t>
      </w:r>
      <w:r w:rsidRPr="00DC1A5F">
        <w:t>: la esencia nutriente que haya alcanzado presencia en las instancias materiales originadas del nutrimento originará un óctuplo adicional con esencia–nutriente–como–la octava y la esencia nutriente en ese óctuplo originará otro óctuplo y, por lo tanto, relacionará la aparición de óctuplos diez o doce veces. Los nutrimentos consumidos en un día se sostendrán hasta por 7 días; pero la esencia nutriente divina sostendrá hasta uno o dos meses. El nutrimento consumido por una</w:t>
      </w:r>
    </w:p>
    <w:p w14:paraId="2EE054E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F26342D"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 xml:space="preserve"> “‘</w:t>
      </w:r>
      <w:r w:rsidRPr="00DC1A5F">
        <w:rPr>
          <w:i/>
          <w:iCs/>
        </w:rPr>
        <w:t xml:space="preserve">Al obtener como su condición a la materialidad surgida del </w:t>
      </w:r>
      <w:proofErr w:type="spellStart"/>
      <w:r w:rsidRPr="00DC1A5F">
        <w:rPr>
          <w:i/>
          <w:iCs/>
        </w:rPr>
        <w:t>kamma</w:t>
      </w:r>
      <w:proofErr w:type="spellEnd"/>
      <w:r w:rsidRPr="00DC1A5F">
        <w:rPr>
          <w:i/>
          <w:iCs/>
        </w:rPr>
        <w:t xml:space="preserve"> a la que se apegue’</w:t>
      </w:r>
      <w:r w:rsidRPr="00DC1A5F">
        <w:t xml:space="preserve">: con esto se afirma que la esencia nutriente externa que no se apegue no realizará la función de nutrir la materialidad. Él dijo ‘y basándose en ello’, lo que significa que la obtención de una condición se deberá a que estará respaldada por lo que surja del </w:t>
      </w:r>
      <w:proofErr w:type="spellStart"/>
      <w:r w:rsidRPr="00DC1A5F">
        <w:rPr>
          <w:i/>
        </w:rPr>
        <w:t>kamma</w:t>
      </w:r>
      <w:proofErr w:type="spellEnd"/>
      <w:r w:rsidRPr="00DC1A5F">
        <w:t>. Y ‘</w:t>
      </w:r>
      <w:r w:rsidRPr="00DC1A5F">
        <w:rPr>
          <w:i/>
          <w:iCs/>
        </w:rPr>
        <w:t>aferrarse a</w:t>
      </w:r>
      <w:r w:rsidRPr="00DC1A5F">
        <w:t xml:space="preserve">’ se menciona específicamente para descartar cualquier cuestión de que pudiese existir un método ‘surgido del </w:t>
      </w:r>
      <w:proofErr w:type="spellStart"/>
      <w:r w:rsidRPr="00DC1A5F">
        <w:rPr>
          <w:i/>
        </w:rPr>
        <w:t>kamma</w:t>
      </w:r>
      <w:proofErr w:type="spellEnd"/>
      <w:r w:rsidRPr="00DC1A5F">
        <w:rPr>
          <w:i/>
        </w:rPr>
        <w:t xml:space="preserve">’ </w:t>
      </w:r>
      <w:r w:rsidRPr="00DC1A5F">
        <w:t xml:space="preserve">para la ‘materialidad originada por la consciencia que posea al </w:t>
      </w:r>
      <w:proofErr w:type="spellStart"/>
      <w:r w:rsidRPr="00DC1A5F">
        <w:rPr>
          <w:i/>
        </w:rPr>
        <w:t>kamma</w:t>
      </w:r>
      <w:proofErr w:type="spellEnd"/>
      <w:r w:rsidRPr="00DC1A5F">
        <w:t xml:space="preserve"> como su condición’ solo porque resulte estar enraizado en su </w:t>
      </w:r>
      <w:proofErr w:type="spellStart"/>
      <w:r w:rsidRPr="00DC1A5F">
        <w:rPr>
          <w:i/>
        </w:rPr>
        <w:t>kamma</w:t>
      </w:r>
      <w:proofErr w:type="spellEnd"/>
      <w:r w:rsidRPr="00DC1A5F">
        <w:t xml:space="preserve"> [No existe tal método]” (</w:t>
      </w:r>
      <w:proofErr w:type="spellStart"/>
      <w:r w:rsidRPr="00DC1A5F">
        <w:t>Vism</w:t>
      </w:r>
      <w:proofErr w:type="spellEnd"/>
      <w:r w:rsidRPr="00DC1A5F">
        <w:t>–</w:t>
      </w:r>
      <w:proofErr w:type="spellStart"/>
      <w:r w:rsidRPr="00DC1A5F">
        <w:t>mhṭ</w:t>
      </w:r>
      <w:proofErr w:type="spellEnd"/>
      <w:r w:rsidRPr="00DC1A5F">
        <w:t xml:space="preserve"> 793f.).</w:t>
      </w:r>
      <w:r w:rsidRPr="00DC1A5F">
        <w:br w:type="page"/>
      </w:r>
    </w:p>
    <w:p w14:paraId="27AC91C5" w14:textId="77777777" w:rsidR="00597DE2" w:rsidRPr="00DC1A5F" w:rsidRDefault="00597DE2" w:rsidP="00597DE2">
      <w:pPr>
        <w:pStyle w:val="Textoindependiente"/>
      </w:pPr>
      <w:r w:rsidRPr="00DC1A5F">
        <w:lastRenderedPageBreak/>
        <w:t xml:space="preserve">madre originará materialidad al impregnar el cuerpo del niño en gestación. También el nutrimento untado sobre el cuerpo originará materialidad. El nutrimento nacido del </w:t>
      </w:r>
      <w:proofErr w:type="spellStart"/>
      <w:r w:rsidRPr="00DC1A5F">
        <w:rPr>
          <w:i/>
        </w:rPr>
        <w:t>kamma</w:t>
      </w:r>
      <w:proofErr w:type="spellEnd"/>
      <w:r w:rsidRPr="00DC1A5F">
        <w:t xml:space="preserve"> será un nombre para el nutrimento al que se aferre. Eso también originará la materialidad cuando haya llegado ante la presencia. Y la esencia nutriente en él originará un óctuplo más. Así vinculará 4 o 5 ocurrencias.</w:t>
      </w:r>
    </w:p>
    <w:p w14:paraId="2260E9F1" w14:textId="77777777" w:rsidR="00597DE2" w:rsidRPr="00DC1A5F" w:rsidRDefault="00597DE2" w:rsidP="00597DE2">
      <w:pPr>
        <w:pStyle w:val="Textoindependiente"/>
      </w:pPr>
      <w:r w:rsidRPr="00DC1A5F">
        <w:t xml:space="preserve">38. </w:t>
      </w:r>
      <w:r w:rsidRPr="00DC1A5F">
        <w:tab/>
        <w:t xml:space="preserve">(5) </w:t>
      </w:r>
      <w:r w:rsidRPr="00DC1A5F">
        <w:rPr>
          <w:i/>
          <w:iCs/>
        </w:rPr>
        <w:t>Lo que se origine por la temperatura que posea al nutrimento como su condición</w:t>
      </w:r>
      <w:r w:rsidRPr="00DC1A5F">
        <w:t>: el elemento fuego originado por el nutrimento que haya alcanzado la presencia originará un óctuplo con–esencia–nutritiva–como–la octava que sea así originada por la temperatura. Aquí este nutrimento será una condición para las instancias materiales originadas del nutrimento como su progenitor. Éste será una condición para el resto como sostén, nutrimento, presencia y no–desaparición.</w:t>
      </w:r>
    </w:p>
    <w:p w14:paraId="7AFB7EF1" w14:textId="77777777" w:rsidR="00597DE2" w:rsidRPr="00DC1A5F" w:rsidRDefault="00597DE2" w:rsidP="00597DE2">
      <w:pPr>
        <w:pStyle w:val="Textoindependiente"/>
      </w:pPr>
      <w:r w:rsidRPr="00DC1A5F">
        <w:tab/>
        <w:t>Así deberá ser apreciada la generación de la materialidad nacida del nutrimento.</w:t>
      </w:r>
    </w:p>
    <w:p w14:paraId="1D41CCD4" w14:textId="77777777" w:rsidR="00597DE2" w:rsidRPr="00DC1A5F" w:rsidRDefault="00597DE2" w:rsidP="00597DE2">
      <w:pPr>
        <w:pStyle w:val="Ttulo4"/>
        <w:ind w:left="1416"/>
      </w:pPr>
      <w:r w:rsidRPr="00DC1A5F">
        <w:t>[(d) Materialidad Nacida de la Temperatura]</w:t>
      </w:r>
    </w:p>
    <w:p w14:paraId="005B9C70" w14:textId="77777777" w:rsidR="00597DE2" w:rsidRPr="00DC1A5F" w:rsidRDefault="00597DE2" w:rsidP="00597DE2">
      <w:r w:rsidRPr="00DC1A5F">
        <w:t xml:space="preserve">39. </w:t>
      </w:r>
      <w:r w:rsidRPr="00DC1A5F">
        <w:tab/>
        <w:t>En cuanto a las especies originadas por la temperatura, el análisis también deberá entenderse así: (1) la temperatura, (2) lo que sea originado de la temperatura, (3) lo que posea como su condición a la temperatura, (4) lo que sea originado por la temperatura que posea a la temperatura como su condición, (5) lo que sea originado por el nutrimento que posea a la temperatura como su condición.</w:t>
      </w:r>
    </w:p>
    <w:p w14:paraId="558D29BC" w14:textId="77777777" w:rsidR="00597DE2" w:rsidRPr="00DC1A5F" w:rsidRDefault="00597DE2" w:rsidP="00597DE2">
      <w:r w:rsidRPr="00DC1A5F">
        <w:t xml:space="preserve">40. </w:t>
      </w:r>
      <w:r w:rsidRPr="00DC1A5F">
        <w:tab/>
        <w:t xml:space="preserve">Aquí, (1) la </w:t>
      </w:r>
      <w:r w:rsidRPr="00DC1A5F">
        <w:rPr>
          <w:i/>
          <w:iCs/>
        </w:rPr>
        <w:t>temperatura</w:t>
      </w:r>
      <w:r w:rsidRPr="00DC1A5F">
        <w:t xml:space="preserve"> corresponderá al elemento fuego de origen cuádruple; no obstante, será de 2 tipos, como temperatura caliente y temperatura fría. (2) </w:t>
      </w:r>
      <w:r w:rsidRPr="00DC1A5F">
        <w:rPr>
          <w:i/>
          <w:iCs/>
        </w:rPr>
        <w:t>Lo que se originará de la temperatura</w:t>
      </w:r>
      <w:r w:rsidRPr="00DC1A5F">
        <w:t xml:space="preserve">: la temperatura de origen cuádruple que haya alcanzado presencia al obtener una condición </w:t>
      </w:r>
      <w:proofErr w:type="gramStart"/>
      <w:r w:rsidRPr="00DC1A5F">
        <w:t>adherida,</w:t>
      </w:r>
      <w:proofErr w:type="gramEnd"/>
      <w:r w:rsidRPr="00DC1A5F">
        <w:t xml:space="preserve"> originará una materialidad en el cuerpo. [617] Esa materialidad será de 15 tipos, es decir, el nónuplo del sonido, el elemento espacial, la ligereza, la maleabilidad, la manejabilidad, el crecimiento, la continuidad. (3) </w:t>
      </w:r>
      <w:r w:rsidRPr="00DC1A5F">
        <w:rPr>
          <w:i/>
          <w:iCs/>
        </w:rPr>
        <w:t>Lo que posea a la temperatura como su condición</w:t>
      </w:r>
      <w:r w:rsidRPr="00DC1A5F">
        <w:t xml:space="preserve"> se le llamará así porque la temperatura será una condición para su ocurrencia y para la destrucción de la materialidad de origen cuádruple.</w:t>
      </w:r>
    </w:p>
    <w:p w14:paraId="23870238" w14:textId="77777777" w:rsidR="00597DE2" w:rsidRPr="00DC1A5F" w:rsidRDefault="00597DE2" w:rsidP="00597DE2">
      <w:pPr>
        <w:rPr>
          <w:vertAlign w:val="superscript"/>
        </w:rPr>
      </w:pPr>
      <w:r w:rsidRPr="00DC1A5F">
        <w:t xml:space="preserve">41. </w:t>
      </w:r>
      <w:r w:rsidRPr="00DC1A5F">
        <w:tab/>
        <w:t xml:space="preserve">(4) </w:t>
      </w:r>
      <w:r w:rsidRPr="00DC1A5F">
        <w:rPr>
          <w:i/>
          <w:iCs/>
        </w:rPr>
        <w:t>Lo que se origine de la temperatura que posea a la temperatura como su condición</w:t>
      </w:r>
      <w:r w:rsidRPr="00DC1A5F">
        <w:t>: el elemento fuego, originado de la temperatura que haya alcanzado presencia, originará un óctuplo adicional con la esencia nutritiva como la octava y la temperatura en ese óctuplo originará un óctuplo más. Así, la materialidad originada por la temperatura continuará ocurriendo durante un largo período y también se mantendrá en lo que no se aferre.</w:t>
      </w:r>
      <w:r w:rsidRPr="00DC1A5F">
        <w:rPr>
          <w:vertAlign w:val="superscript"/>
        </w:rPr>
        <w:t>17</w:t>
      </w:r>
    </w:p>
    <w:p w14:paraId="0D6CD5F2" w14:textId="77777777" w:rsidR="00597DE2" w:rsidRPr="00DC1A5F" w:rsidRDefault="00597DE2" w:rsidP="00597DE2">
      <w:r w:rsidRPr="00DC1A5F">
        <w:t xml:space="preserve">42. </w:t>
      </w:r>
      <w:r w:rsidRPr="00DC1A5F">
        <w:tab/>
        <w:t xml:space="preserve">(5) </w:t>
      </w:r>
      <w:r w:rsidRPr="00DC1A5F">
        <w:rPr>
          <w:i/>
          <w:iCs/>
        </w:rPr>
        <w:t>Lo que se origine del nutrimento que posea a la temperatura como su condición</w:t>
      </w:r>
      <w:r w:rsidRPr="00DC1A5F">
        <w:t>: la esencia nutriente, originada de la temperatura que haya alcanzado presencia, originará un óctuplo adicional con la esencia nutritiva como la octava y la esencia nutriente en ello originará uno más, así vinculará 10 o 12 ocurrencias óctuplas.</w:t>
      </w:r>
    </w:p>
    <w:p w14:paraId="23584FDA" w14:textId="77777777" w:rsidR="00597DE2" w:rsidRPr="00DC1A5F" w:rsidRDefault="00597DE2" w:rsidP="00597DE2">
      <w:pPr>
        <w:pStyle w:val="NormalConSangria"/>
      </w:pPr>
      <w:r w:rsidRPr="00DC1A5F">
        <w:t>Aquí, esta temperatura será una condición para las instancias materiales originadas de la temperatura como su progenitor. Será una condición para el resto como soporte, presencia y no–desaparición.</w:t>
      </w:r>
    </w:p>
    <w:p w14:paraId="0DFC14B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AB49FDB"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“A lo que se refiere aquí es al cabello de la cabeza, al vello del cuerpo, a las uñas, los dientes, la piel, las callosidades, las verrugas, etc., que se encuentran separados de la carne en un cuerpo vivo; de lo contrario, a un cadáver, etc.” (</w:t>
      </w:r>
      <w:proofErr w:type="spellStart"/>
      <w:r w:rsidRPr="00DC1A5F">
        <w:t>Vism</w:t>
      </w:r>
      <w:proofErr w:type="spellEnd"/>
      <w:r w:rsidRPr="00DC1A5F">
        <w:t>–</w:t>
      </w:r>
      <w:proofErr w:type="spellStart"/>
      <w:r w:rsidRPr="00DC1A5F">
        <w:t>mhṭ</w:t>
      </w:r>
      <w:proofErr w:type="spellEnd"/>
      <w:r w:rsidRPr="00DC1A5F">
        <w:t xml:space="preserve"> 795).</w:t>
      </w:r>
    </w:p>
    <w:p w14:paraId="1E655E71" w14:textId="77777777" w:rsidR="00597DE2" w:rsidRPr="00DC1A5F" w:rsidRDefault="00597DE2" w:rsidP="00597DE2">
      <w:pPr>
        <w:tabs>
          <w:tab w:val="clear" w:pos="425"/>
        </w:tabs>
        <w:spacing w:after="160"/>
      </w:pPr>
      <w:r w:rsidRPr="00DC1A5F">
        <w:br w:type="page"/>
      </w:r>
    </w:p>
    <w:p w14:paraId="31E4CC46" w14:textId="77777777" w:rsidR="00597DE2" w:rsidRPr="00DC1A5F" w:rsidRDefault="00597DE2" w:rsidP="00597DE2">
      <w:pPr>
        <w:pStyle w:val="NormalConSangria"/>
      </w:pPr>
      <w:r w:rsidRPr="00DC1A5F">
        <w:lastRenderedPageBreak/>
        <w:t>Así deberá ser apreciado la generación de la materialidad nacida de la temperatura.</w:t>
      </w:r>
    </w:p>
    <w:p w14:paraId="317D6E40" w14:textId="77777777" w:rsidR="00597DE2" w:rsidRPr="00DC1A5F" w:rsidRDefault="00597DE2" w:rsidP="00597DE2">
      <w:pPr>
        <w:pStyle w:val="NormalConSangria"/>
        <w:rPr>
          <w:vertAlign w:val="superscript"/>
        </w:rPr>
      </w:pPr>
      <w:r w:rsidRPr="00DC1A5F">
        <w:t>Se dice que aquel que observe la generación de la materialidad “comprenderá lo material de una sola vez” (§21).</w:t>
      </w:r>
      <w:r w:rsidRPr="00DC1A5F">
        <w:rPr>
          <w:vertAlign w:val="superscript"/>
        </w:rPr>
        <w:t>18</w:t>
      </w:r>
    </w:p>
    <w:p w14:paraId="33FB5867" w14:textId="77777777" w:rsidR="00597DE2" w:rsidRPr="00DC1A5F" w:rsidRDefault="00597DE2" w:rsidP="00597DE2">
      <w:pPr>
        <w:pStyle w:val="Ttulo3"/>
        <w:ind w:left="708"/>
      </w:pPr>
      <w:r w:rsidRPr="00DC1A5F">
        <w:t>[Comprensión De Lo Inmaterial]</w:t>
      </w:r>
    </w:p>
    <w:p w14:paraId="4C7B4860" w14:textId="77777777" w:rsidR="00597DE2" w:rsidRPr="00DC1A5F" w:rsidRDefault="00597DE2" w:rsidP="00597DE2">
      <w:r w:rsidRPr="00DC1A5F">
        <w:t xml:space="preserve">43. </w:t>
      </w:r>
      <w:r w:rsidRPr="00DC1A5F">
        <w:tab/>
        <w:t xml:space="preserve">Y así como quien comprendiese lo material debería apreciar la generación de lo material, así también quien comprenda lo inmaterial deberá apreciar la generación de lo inmaterial. Y eso se dará a través de los 81 surgimientos mundanos de consciencia, es decir, será por el </w:t>
      </w:r>
      <w:proofErr w:type="spellStart"/>
      <w:r w:rsidRPr="00DC1A5F">
        <w:rPr>
          <w:i/>
        </w:rPr>
        <w:t>kamma</w:t>
      </w:r>
      <w:proofErr w:type="spellEnd"/>
      <w:r w:rsidRPr="00DC1A5F">
        <w:t xml:space="preserve"> acumulado en un devenir previo que se generará esta mentalidad inmaterial. Y en primer lugar, se generará como uno de los 19 tipos de surgimiento de consciencia como vínculo–de–renacimiento (Cap. XVII. §130). No obstante, los modos en que se generen deberán entenderse según el método dado en la Descripción de la Originación Dependiente (XVII.134f.). Ese mismo surgimiento de 19 consciencias se generará también como un continuum vital, comenzando desde la consciencia próxima hasta la consciencia del vínculo–de–renacimiento y como la consciencia de la muerte al final de la duración de la vida. Y cuando sea de la esfera sensorial y el objeto de las seis puertas sea vívido, también se generará como registro.</w:t>
      </w:r>
    </w:p>
    <w:p w14:paraId="3094665D" w14:textId="77777777" w:rsidR="00597DE2" w:rsidRPr="00DC1A5F" w:rsidRDefault="00597DE2" w:rsidP="00597DE2">
      <w:r w:rsidRPr="00DC1A5F">
        <w:t xml:space="preserve">44. </w:t>
      </w:r>
      <w:r w:rsidRPr="00DC1A5F">
        <w:tab/>
        <w:t xml:space="preserve">En el curso de una existencia, la consciencia visual, junto con sus estados asociados, con la luz como soporte y causada por la atención, se generará porque el ojo estará intacto y porque los objetos visibles se habrán enfocado por él. Ya que, en realidad, será cuando un objeto visible haya llegado ante la presencia que incidirá sobre el ojo, en el instante de la presencia de la sensibilidad ocular. Cuando lo haya hecho, el continuum vital surgirá y cesará 2 veces. El siguiente en surgir será el elemento mental funcional con ese mismo objeto, cumpliendo la función de advertir. Junto a ello, surgirá la consciencia visual que sea resultado del </w:t>
      </w:r>
      <w:proofErr w:type="spellStart"/>
      <w:r w:rsidRPr="00DC1A5F">
        <w:rPr>
          <w:i/>
        </w:rPr>
        <w:t>kamma</w:t>
      </w:r>
      <w:proofErr w:type="spellEnd"/>
      <w:r w:rsidRPr="00DC1A5F">
        <w:t xml:space="preserve"> productico o improductivo y observará ese mismo objeto visible. [618] A continuación, el elemento mental resultante, que recibirá ese mismo objeto visible. A continuación, surgirá el elemento de consciencia–mental sin causa–raíz resultante, que investigue ese mismo objeto visible. A continuación, el elemento funcional mente–consciencia sin causa–raíz y acompañado de ecuanimidad, que recepcione ese mismo objeto visible. A continuación, se generará como uno entre los productivos ((1)–(8)), improductivos ((22)–(33)) o funcionales ((71) y (73)–(80)) tipos de consciencia pertenecientes a la esfera sensorial, ya sea como consciencia acompañada de ecuanimidad y sin causa–raíz (71),</w:t>
      </w:r>
      <w:r w:rsidRPr="00DC1A5F">
        <w:rPr>
          <w:vertAlign w:val="superscript"/>
        </w:rPr>
        <w:t>19</w:t>
      </w:r>
      <w:r w:rsidRPr="00DC1A5F">
        <w:t xml:space="preserve"> o como cinco o siete impulsos. Luego, en el caso de los seres de la esfera sensorial, se generará como cualquiera de los 11 tipos de consciencia de registro conforme con los impulsos. Lo mismo se aplicará a las puertas restantes. No obstante, en el caso de la puerta mental también surgirán consciencias excelsas. </w:t>
      </w:r>
    </w:p>
    <w:p w14:paraId="4827CF4F" w14:textId="77777777" w:rsidR="00597DE2" w:rsidRPr="00DC1A5F" w:rsidRDefault="00597DE2" w:rsidP="00597DE2">
      <w:pPr>
        <w:pStyle w:val="NormalConSangria"/>
      </w:pPr>
      <w:r w:rsidRPr="00DC1A5F">
        <w:t>Así deberá ser atestiguado la generación de lo inmaterial en el caso de las seis puertas.</w:t>
      </w:r>
    </w:p>
    <w:p w14:paraId="3A48D527"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7260FA3"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 xml:space="preserve"> “Cuando se observe la generación de la materialidad, también se observará su disolución, por lo que él dijo: </w:t>
      </w:r>
      <w:r w:rsidRPr="00DC1A5F">
        <w:rPr>
          <w:i/>
          <w:iCs/>
        </w:rPr>
        <w:t>‘Aquel que observe así la generación de la materialidad, se dice que comprenderá lo material en un momento dado’</w:t>
      </w:r>
      <w:r w:rsidRPr="00DC1A5F">
        <w:t xml:space="preserve"> debido a la brevedad de la ocurrencia de los estados; ya que no será la visión de la llana generación a lo que se denominará comprensión, sino que además deberá surgir la visión del surgimiento y la desaparición. Así también, será la aprehensión de la generación en los otros casos” (</w:t>
      </w:r>
      <w:proofErr w:type="spellStart"/>
      <w:r w:rsidRPr="00DC1A5F">
        <w:t>Vism</w:t>
      </w:r>
      <w:proofErr w:type="spellEnd"/>
      <w:r w:rsidRPr="00DC1A5F">
        <w:t>–</w:t>
      </w:r>
      <w:proofErr w:type="spellStart"/>
      <w:r w:rsidRPr="00DC1A5F">
        <w:t>mhṭ</w:t>
      </w:r>
      <w:proofErr w:type="spellEnd"/>
      <w:r w:rsidRPr="00DC1A5F">
        <w:t xml:space="preserve"> 795).</w:t>
      </w:r>
    </w:p>
    <w:p w14:paraId="2A32AB38"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“Esto se refiere a determinando” (</w:t>
      </w:r>
      <w:proofErr w:type="spellStart"/>
      <w:r w:rsidRPr="00DC1A5F">
        <w:t>Vism</w:t>
      </w:r>
      <w:proofErr w:type="spellEnd"/>
      <w:r w:rsidRPr="00DC1A5F">
        <w:t>–</w:t>
      </w:r>
      <w:proofErr w:type="spellStart"/>
      <w:r w:rsidRPr="00DC1A5F">
        <w:t>mhṭ</w:t>
      </w:r>
      <w:proofErr w:type="spellEnd"/>
      <w:r w:rsidRPr="00DC1A5F">
        <w:t xml:space="preserve"> 795).</w:t>
      </w:r>
    </w:p>
    <w:p w14:paraId="74DF565D" w14:textId="77777777" w:rsidR="00597DE2" w:rsidRPr="00DC1A5F" w:rsidRDefault="00597DE2" w:rsidP="00597DE2">
      <w:pPr>
        <w:tabs>
          <w:tab w:val="clear" w:pos="425"/>
        </w:tabs>
        <w:spacing w:after="160"/>
      </w:pPr>
      <w:r w:rsidRPr="00DC1A5F">
        <w:br w:type="page"/>
      </w:r>
    </w:p>
    <w:p w14:paraId="37011184" w14:textId="77777777" w:rsidR="00597DE2" w:rsidRPr="00DC1A5F" w:rsidRDefault="00597DE2" w:rsidP="00597DE2">
      <w:pPr>
        <w:pStyle w:val="NormalConSangria"/>
      </w:pPr>
      <w:r w:rsidRPr="00DC1A5F">
        <w:lastRenderedPageBreak/>
        <w:t>Se dice que aquel que observe la generación de lo inmaterial “comprenderá lo inmaterial en otra época” (§21).</w:t>
      </w:r>
    </w:p>
    <w:p w14:paraId="3F09C5CD" w14:textId="77777777" w:rsidR="00597DE2" w:rsidRPr="00DC1A5F" w:rsidRDefault="00597DE2" w:rsidP="00597DE2">
      <w:pPr>
        <w:pStyle w:val="Textoindependiente"/>
      </w:pPr>
      <w:r w:rsidRPr="00DC1A5F">
        <w:t xml:space="preserve">45. </w:t>
      </w:r>
      <w:r w:rsidRPr="00DC1A5F">
        <w:tab/>
        <w:t>Así es como un meditador conseguirá el desarrollo del entendimiento, progresando gradualmente mediante la comprensión de lo material en un momento y, en otro momento, de lo inmaterial, atribuyéndoles las 3 características.</w:t>
      </w:r>
    </w:p>
    <w:p w14:paraId="74F622EF" w14:textId="77777777" w:rsidR="00597DE2" w:rsidRPr="00DC1A5F" w:rsidRDefault="00597DE2" w:rsidP="00597DE2">
      <w:pPr>
        <w:pStyle w:val="Ttulo3"/>
        <w:ind w:left="708"/>
      </w:pPr>
      <w:r w:rsidRPr="00DC1A5F">
        <w:t>[El Séptuplo Material]</w:t>
      </w:r>
    </w:p>
    <w:p w14:paraId="21A72662" w14:textId="77777777" w:rsidR="00597DE2" w:rsidRPr="00DC1A5F" w:rsidRDefault="00597DE2" w:rsidP="00597DE2">
      <w:pPr>
        <w:pStyle w:val="NormalConSangria"/>
      </w:pPr>
      <w:r w:rsidRPr="00DC1A5F">
        <w:t>Otro comprenderá las formaciones atribuyéndoles las 3 características a través del séptuplo material y el séptuplo inmaterial.</w:t>
      </w:r>
    </w:p>
    <w:p w14:paraId="2478454F" w14:textId="77777777" w:rsidR="00597DE2" w:rsidRPr="00DC1A5F" w:rsidRDefault="00597DE2" w:rsidP="00597DE2">
      <w:r w:rsidRPr="00DC1A5F">
        <w:t xml:space="preserve">46. </w:t>
      </w:r>
      <w:r w:rsidRPr="00DC1A5F">
        <w:tab/>
        <w:t xml:space="preserve">​​Aquí, se dice que alguien que los comprenda atribuyéndoles las características de las 7 maneras siguientes comprenderá mediante una atribución a través del séptuplo material, es decir, (1) como tomando y dejando, (2) como desaparición de lo que envejezca en cada etapa, (3) como surgimiento del nutrimento, (4) como surgimiento de la temperatura, (5) como surgimiento del </w:t>
      </w:r>
      <w:proofErr w:type="spellStart"/>
      <w:r w:rsidRPr="00DC1A5F">
        <w:rPr>
          <w:i/>
        </w:rPr>
        <w:t>kamma</w:t>
      </w:r>
      <w:proofErr w:type="spellEnd"/>
      <w:r w:rsidRPr="00DC1A5F">
        <w:t>, (6) como originación de la consciencia, y (7) como materialidad natural. De ahí que los Venerables dijeran:</w:t>
      </w:r>
    </w:p>
    <w:p w14:paraId="3507BB05" w14:textId="77777777" w:rsidR="00597DE2" w:rsidRPr="00DC1A5F" w:rsidRDefault="00597DE2" w:rsidP="00597DE2">
      <w:pPr>
        <w:pStyle w:val="NumeracinReload"/>
        <w:tabs>
          <w:tab w:val="clear" w:pos="425"/>
          <w:tab w:val="clear" w:pos="567"/>
          <w:tab w:val="right" w:pos="709"/>
          <w:tab w:val="left" w:pos="851"/>
        </w:tabs>
        <w:ind w:left="851"/>
        <w:rPr>
          <w:sz w:val="16"/>
          <w:szCs w:val="20"/>
        </w:rPr>
      </w:pPr>
      <w:r w:rsidRPr="00DC1A5F">
        <w:rPr>
          <w:sz w:val="16"/>
          <w:szCs w:val="20"/>
        </w:rPr>
        <w:tab/>
        <w:t xml:space="preserve">“(1). </w:t>
      </w:r>
      <w:r w:rsidRPr="00DC1A5F">
        <w:rPr>
          <w:sz w:val="16"/>
          <w:szCs w:val="20"/>
        </w:rPr>
        <w:tab/>
        <w:t>Como tomando y dejando,</w:t>
      </w:r>
    </w:p>
    <w:p w14:paraId="049E880F" w14:textId="77777777" w:rsidR="00597DE2" w:rsidRPr="00DC1A5F" w:rsidRDefault="00597DE2" w:rsidP="00597DE2">
      <w:pPr>
        <w:pStyle w:val="NumeracinReload"/>
        <w:tabs>
          <w:tab w:val="clear" w:pos="425"/>
          <w:tab w:val="clear" w:pos="567"/>
          <w:tab w:val="right" w:pos="709"/>
          <w:tab w:val="left" w:pos="851"/>
        </w:tabs>
        <w:ind w:left="851"/>
        <w:rPr>
          <w:sz w:val="16"/>
          <w:szCs w:val="20"/>
        </w:rPr>
      </w:pPr>
      <w:r w:rsidRPr="00DC1A5F">
        <w:rPr>
          <w:sz w:val="16"/>
          <w:szCs w:val="20"/>
        </w:rPr>
        <w:tab/>
        <w:t xml:space="preserve">(2). </w:t>
      </w:r>
      <w:r w:rsidRPr="00DC1A5F">
        <w:rPr>
          <w:sz w:val="16"/>
          <w:szCs w:val="20"/>
        </w:rPr>
        <w:tab/>
        <w:t>Como crecimiento y declinación de cada etapa,</w:t>
      </w:r>
    </w:p>
    <w:p w14:paraId="50D667BD" w14:textId="77777777" w:rsidR="00597DE2" w:rsidRPr="00DC1A5F" w:rsidRDefault="00597DE2" w:rsidP="00597DE2">
      <w:pPr>
        <w:pStyle w:val="NumeracinReload"/>
        <w:tabs>
          <w:tab w:val="clear" w:pos="425"/>
          <w:tab w:val="clear" w:pos="567"/>
          <w:tab w:val="right" w:pos="709"/>
          <w:tab w:val="left" w:pos="851"/>
        </w:tabs>
        <w:ind w:left="851"/>
        <w:rPr>
          <w:sz w:val="16"/>
          <w:szCs w:val="20"/>
        </w:rPr>
      </w:pPr>
      <w:r w:rsidRPr="00DC1A5F">
        <w:rPr>
          <w:sz w:val="16"/>
          <w:szCs w:val="20"/>
        </w:rPr>
        <w:tab/>
        <w:t xml:space="preserve">(3). </w:t>
      </w:r>
      <w:r w:rsidRPr="00DC1A5F">
        <w:rPr>
          <w:sz w:val="16"/>
          <w:szCs w:val="20"/>
        </w:rPr>
        <w:tab/>
        <w:t xml:space="preserve">Como nutrimento, </w:t>
      </w:r>
    </w:p>
    <w:p w14:paraId="4C5691A8" w14:textId="77777777" w:rsidR="00597DE2" w:rsidRPr="00DC1A5F" w:rsidRDefault="00597DE2" w:rsidP="00597DE2">
      <w:pPr>
        <w:pStyle w:val="NumeracinReload"/>
        <w:tabs>
          <w:tab w:val="clear" w:pos="425"/>
          <w:tab w:val="clear" w:pos="567"/>
          <w:tab w:val="right" w:pos="709"/>
          <w:tab w:val="left" w:pos="851"/>
        </w:tabs>
        <w:ind w:left="851"/>
        <w:rPr>
          <w:sz w:val="16"/>
          <w:szCs w:val="20"/>
        </w:rPr>
      </w:pPr>
      <w:r w:rsidRPr="00DC1A5F">
        <w:rPr>
          <w:sz w:val="16"/>
          <w:szCs w:val="20"/>
        </w:rPr>
        <w:tab/>
        <w:t xml:space="preserve">(4) </w:t>
      </w:r>
      <w:r w:rsidRPr="00DC1A5F">
        <w:rPr>
          <w:sz w:val="16"/>
          <w:szCs w:val="20"/>
        </w:rPr>
        <w:tab/>
        <w:t>Como temperatura,</w:t>
      </w:r>
    </w:p>
    <w:p w14:paraId="301EA543" w14:textId="77777777" w:rsidR="00597DE2" w:rsidRPr="00DC1A5F" w:rsidRDefault="00597DE2" w:rsidP="00597DE2">
      <w:pPr>
        <w:pStyle w:val="NumeracinReload"/>
        <w:tabs>
          <w:tab w:val="clear" w:pos="425"/>
          <w:tab w:val="clear" w:pos="567"/>
          <w:tab w:val="right" w:pos="709"/>
          <w:tab w:val="left" w:pos="851"/>
        </w:tabs>
        <w:ind w:left="851"/>
        <w:rPr>
          <w:sz w:val="16"/>
          <w:szCs w:val="20"/>
        </w:rPr>
      </w:pPr>
      <w:r w:rsidRPr="00DC1A5F">
        <w:rPr>
          <w:sz w:val="16"/>
          <w:szCs w:val="20"/>
        </w:rPr>
        <w:tab/>
        <w:t xml:space="preserve">(5). </w:t>
      </w:r>
      <w:r w:rsidRPr="00DC1A5F">
        <w:rPr>
          <w:sz w:val="16"/>
          <w:szCs w:val="20"/>
        </w:rPr>
        <w:tab/>
        <w:t xml:space="preserve">Como </w:t>
      </w:r>
      <w:proofErr w:type="spellStart"/>
      <w:r w:rsidRPr="00DC1A5F">
        <w:rPr>
          <w:i/>
          <w:sz w:val="16"/>
          <w:szCs w:val="20"/>
        </w:rPr>
        <w:t>kamma</w:t>
      </w:r>
      <w:proofErr w:type="spellEnd"/>
      <w:r w:rsidRPr="00DC1A5F">
        <w:rPr>
          <w:sz w:val="16"/>
          <w:szCs w:val="20"/>
        </w:rPr>
        <w:t xml:space="preserve">, y </w:t>
      </w:r>
    </w:p>
    <w:p w14:paraId="22B6BCE7" w14:textId="77777777" w:rsidR="00597DE2" w:rsidRPr="00DC1A5F" w:rsidRDefault="00597DE2" w:rsidP="00597DE2">
      <w:pPr>
        <w:pStyle w:val="NumeracinReload"/>
        <w:tabs>
          <w:tab w:val="clear" w:pos="425"/>
          <w:tab w:val="clear" w:pos="567"/>
          <w:tab w:val="right" w:pos="709"/>
          <w:tab w:val="left" w:pos="851"/>
        </w:tabs>
        <w:ind w:left="851"/>
        <w:rPr>
          <w:sz w:val="16"/>
          <w:szCs w:val="20"/>
        </w:rPr>
      </w:pPr>
      <w:r w:rsidRPr="00DC1A5F">
        <w:rPr>
          <w:sz w:val="16"/>
          <w:szCs w:val="20"/>
        </w:rPr>
        <w:tab/>
        <w:t xml:space="preserve">​​(6) </w:t>
      </w:r>
      <w:r w:rsidRPr="00DC1A5F">
        <w:rPr>
          <w:sz w:val="16"/>
          <w:szCs w:val="20"/>
        </w:rPr>
        <w:tab/>
        <w:t>Como consciencia,</w:t>
      </w:r>
    </w:p>
    <w:p w14:paraId="5779C149" w14:textId="77777777" w:rsidR="00597DE2" w:rsidRPr="00DC1A5F" w:rsidRDefault="00597DE2" w:rsidP="00597DE2">
      <w:pPr>
        <w:pStyle w:val="NumeracinReload"/>
        <w:tabs>
          <w:tab w:val="clear" w:pos="425"/>
          <w:tab w:val="clear" w:pos="567"/>
          <w:tab w:val="right" w:pos="709"/>
          <w:tab w:val="left" w:pos="851"/>
        </w:tabs>
        <w:spacing w:after="100"/>
        <w:ind w:left="851"/>
        <w:rPr>
          <w:sz w:val="16"/>
          <w:szCs w:val="20"/>
        </w:rPr>
      </w:pPr>
      <w:r w:rsidRPr="00DC1A5F">
        <w:rPr>
          <w:sz w:val="16"/>
          <w:szCs w:val="20"/>
        </w:rPr>
        <w:tab/>
        <w:t xml:space="preserve">(7). </w:t>
      </w:r>
      <w:r w:rsidRPr="00DC1A5F">
        <w:rPr>
          <w:sz w:val="16"/>
          <w:szCs w:val="20"/>
        </w:rPr>
        <w:tab/>
        <w:t>Como materialidad natural —</w:t>
      </w:r>
    </w:p>
    <w:p w14:paraId="74F8DF6A" w14:textId="77777777" w:rsidR="00597DE2" w:rsidRPr="00DC1A5F" w:rsidRDefault="00597DE2" w:rsidP="00597DE2">
      <w:pPr>
        <w:pStyle w:val="NormalConSangria"/>
      </w:pPr>
      <w:r w:rsidRPr="00DC1A5F">
        <w:t>Él observará con estos 7 tipos de sabiduría detalladamente.”</w:t>
      </w:r>
    </w:p>
    <w:p w14:paraId="0A9FD3CE" w14:textId="77777777" w:rsidR="00597DE2" w:rsidRPr="00DC1A5F" w:rsidRDefault="00597DE2" w:rsidP="00597DE2">
      <w:r w:rsidRPr="00DC1A5F">
        <w:t xml:space="preserve">47. </w:t>
      </w:r>
      <w:r w:rsidRPr="00DC1A5F">
        <w:tab/>
      </w:r>
      <w:r w:rsidRPr="00DC1A5F">
        <w:rPr>
          <w:i/>
          <w:iCs/>
        </w:rPr>
        <w:t>1</w:t>
      </w:r>
      <w:r w:rsidRPr="00DC1A5F">
        <w:t xml:space="preserve">. Al respecto, </w:t>
      </w:r>
      <w:r w:rsidRPr="00DC1A5F">
        <w:rPr>
          <w:i/>
          <w:iCs/>
        </w:rPr>
        <w:t xml:space="preserve">tomando </w:t>
      </w:r>
      <w:r w:rsidRPr="00DC1A5F">
        <w:t xml:space="preserve">corresponderá al vínculo–de–renacimiento. </w:t>
      </w:r>
      <w:r w:rsidRPr="00DC1A5F">
        <w:rPr>
          <w:i/>
          <w:iCs/>
        </w:rPr>
        <w:t>Dejando</w:t>
      </w:r>
      <w:r w:rsidRPr="00DC1A5F">
        <w:t xml:space="preserve"> corresponderá a la muerte. Entonces, el meditador asignará cien años para este “tomando” y “dejando” y les atribuirá las 3 características a estas formaciones. ¿Cómo? Todas las formaciones entre este intervalo son impermanentes. ¿Por qué? Debido a la ocurrencia del surgimiento y la desaparición, debido al cambio, debido a la temporalidad y debido a la exclusión de la permanencia. No obstante, como las formaciones surgidas habrán llegado ante la presencia y cuando estén presentes estarán afligidas por el envejecimiento y al llegar al envejecimiento estarán destinadas a disolverse, serán insatisfactorias debido la opresión continua, por ser difíciles de soportar, por ser la base del sufrimiento y por excluirse de toda satisfacción. Y dado que nadie tiene ningún poder sobre las formaciones surgidas en las 3 instancias, “Que no alcancen alguna presencia”, “Que los que hayan alcanzado una presencia no envejezcan” y “Que lo que haya alcanzado un envejecimiento no se disuelva”, y a que se encontrarán nulos de la posibilidad de que se ejerza algún poder sobre ellos, por lo tanto serán no–alma, ya que estarán vacíos, ya que no poseerán ningún dueño, ya que no serán susceptibles al ejercicio del poder y ya que excluirán toda alma.</w:t>
      </w:r>
      <w:r w:rsidRPr="00DC1A5F">
        <w:rPr>
          <w:vertAlign w:val="superscript"/>
        </w:rPr>
        <w:t>20</w:t>
      </w:r>
      <w:r w:rsidRPr="00DC1A5F">
        <w:t xml:space="preserve"> [619]</w:t>
      </w:r>
    </w:p>
    <w:p w14:paraId="308D47B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7046AE8" w14:textId="77777777" w:rsidR="00597DE2" w:rsidRPr="00DC1A5F" w:rsidRDefault="00597DE2" w:rsidP="00597DE2">
      <w:pPr>
        <w:pStyle w:val="PiedepginaLegal"/>
        <w:numPr>
          <w:ilvl w:val="0"/>
          <w:numId w:val="9"/>
        </w:numPr>
        <w:tabs>
          <w:tab w:val="clear" w:pos="425"/>
          <w:tab w:val="left" w:pos="284"/>
        </w:tabs>
        <w:ind w:left="284" w:hanging="284"/>
      </w:pPr>
      <w:r w:rsidRPr="00DC1A5F">
        <w:t xml:space="preserve">“Nadie, ni siquiera el </w:t>
      </w:r>
      <w:r w:rsidRPr="00DC1A5F">
        <w:rPr>
          <w:i/>
          <w:iCs/>
        </w:rPr>
        <w:t>Bhagavā</w:t>
      </w:r>
      <w:r w:rsidRPr="00DC1A5F">
        <w:t xml:space="preserve">, posee tal maestría; ya que sería imposible que alguien altere las 3 características </w:t>
      </w:r>
      <w:r w:rsidRPr="00DC1A5F">
        <w:rPr>
          <w:color w:val="833C0B" w:themeColor="accent2" w:themeShade="80"/>
        </w:rPr>
        <w:t>de la materialidad-mentalidad</w:t>
      </w:r>
      <w:r w:rsidRPr="00DC1A5F">
        <w:t>. La jurisdicción del poder sobrenatural corresponde simplemente a la alteración de un estado” (</w:t>
      </w:r>
      <w:proofErr w:type="spellStart"/>
      <w:r w:rsidRPr="00DC1A5F">
        <w:t>Vism</w:t>
      </w:r>
      <w:proofErr w:type="spellEnd"/>
      <w:r w:rsidRPr="00DC1A5F">
        <w:t>–</w:t>
      </w:r>
      <w:proofErr w:type="spellStart"/>
      <w:r w:rsidRPr="00DC1A5F">
        <w:t>mhṭ</w:t>
      </w:r>
      <w:proofErr w:type="spellEnd"/>
      <w:r w:rsidRPr="00DC1A5F">
        <w:t xml:space="preserve"> 797).</w:t>
      </w:r>
    </w:p>
    <w:p w14:paraId="3F8607B2" w14:textId="77777777" w:rsidR="00597DE2" w:rsidRPr="00DC1A5F" w:rsidRDefault="00597DE2" w:rsidP="00597DE2">
      <w:pPr>
        <w:pStyle w:val="PiedepginaLegal"/>
      </w:pPr>
      <w:r w:rsidRPr="00DC1A5F">
        <w:tab/>
      </w:r>
      <w:r w:rsidRPr="00DC1A5F">
        <w:tab/>
        <w:t>“‘</w:t>
      </w:r>
      <w:r w:rsidRPr="00DC1A5F">
        <w:rPr>
          <w:i/>
          <w:iCs/>
        </w:rPr>
        <w:t xml:space="preserve">Debido a que carece de un alma’ </w:t>
      </w:r>
      <w:r w:rsidRPr="00DC1A5F">
        <w:t xml:space="preserve">significa debido a la exclusión del alma concebida por aquellos fuera de la Dispensación; ya que la inexistencia en los </w:t>
      </w:r>
      <w:r w:rsidRPr="00DC1A5F">
        <w:rPr>
          <w:i/>
        </w:rPr>
        <w:t>dhamma</w:t>
      </w:r>
      <w:r w:rsidRPr="00DC1A5F">
        <w:t xml:space="preserve">s de cualquier alma tal como lo conciben los que desconocen la dispensación, se afirma con las palabras, </w:t>
      </w:r>
      <w:r w:rsidRPr="00DC1A5F">
        <w:rPr>
          <w:i/>
          <w:iCs/>
        </w:rPr>
        <w:t>‘debido al vacío’</w:t>
      </w:r>
      <w:r w:rsidRPr="00DC1A5F">
        <w:t>; no obstante, mediante esta expresión, se afirma que no existirá ninguna alma porque no existirá tal esencia individual” (</w:t>
      </w:r>
      <w:proofErr w:type="spellStart"/>
      <w:r w:rsidRPr="00DC1A5F">
        <w:t>Vism</w:t>
      </w:r>
      <w:proofErr w:type="spellEnd"/>
      <w:r w:rsidRPr="00DC1A5F">
        <w:t>–</w:t>
      </w:r>
      <w:proofErr w:type="spellStart"/>
      <w:r w:rsidRPr="00DC1A5F">
        <w:t>mhṭ</w:t>
      </w:r>
      <w:proofErr w:type="spellEnd"/>
      <w:r w:rsidRPr="00DC1A5F">
        <w:t xml:space="preserve"> 797).</w:t>
      </w:r>
      <w:r w:rsidRPr="00DC1A5F">
        <w:br w:type="page"/>
      </w:r>
    </w:p>
    <w:p w14:paraId="13E20119" w14:textId="77777777" w:rsidR="00597DE2" w:rsidRPr="00DC1A5F" w:rsidRDefault="00597DE2" w:rsidP="00597DE2">
      <w:r w:rsidRPr="00DC1A5F">
        <w:lastRenderedPageBreak/>
        <w:t xml:space="preserve">48. </w:t>
      </w:r>
      <w:r w:rsidRPr="00DC1A5F">
        <w:tab/>
      </w:r>
      <w:r w:rsidRPr="00DC1A5F">
        <w:rPr>
          <w:i/>
          <w:iCs/>
        </w:rPr>
        <w:t>2. (a)</w:t>
      </w:r>
      <w:r w:rsidRPr="00DC1A5F">
        <w:t xml:space="preserve"> Habiéndole atribuido las 3 características a la materialidad adjudicada a 100 años de “tomando” y “dejando”, ​​así, les atribuirá a continuación </w:t>
      </w:r>
      <w:r w:rsidRPr="00DC1A5F">
        <w:rPr>
          <w:color w:val="833C0B" w:themeColor="accent2" w:themeShade="80"/>
        </w:rPr>
        <w:t xml:space="preserve">dichas características </w:t>
      </w:r>
      <w:proofErr w:type="gramStart"/>
      <w:r w:rsidRPr="00DC1A5F">
        <w:t>de acuerdo a</w:t>
      </w:r>
      <w:proofErr w:type="gramEnd"/>
      <w:r w:rsidRPr="00DC1A5F">
        <w:t xml:space="preserve"> la </w:t>
      </w:r>
      <w:r w:rsidRPr="00DC1A5F">
        <w:rPr>
          <w:i/>
          <w:iCs/>
        </w:rPr>
        <w:t>desaparición de lo que envejezca en cada etapa</w:t>
      </w:r>
      <w:r w:rsidRPr="00DC1A5F">
        <w:t>. Aquí, “</w:t>
      </w:r>
      <w:r w:rsidRPr="00DC1A5F">
        <w:rPr>
          <w:i/>
          <w:iCs/>
        </w:rPr>
        <w:t>desaparición de lo que envejezca en cada</w:t>
      </w:r>
      <w:r w:rsidRPr="00DC1A5F">
        <w:t xml:space="preserve"> </w:t>
      </w:r>
      <w:r w:rsidRPr="00DC1A5F">
        <w:rPr>
          <w:i/>
          <w:iCs/>
        </w:rPr>
        <w:t>etapa</w:t>
      </w:r>
      <w:r w:rsidRPr="00DC1A5F">
        <w:t>” corresponderá a un término para la desaparición de la materialidad que haya envejecido durante una etapa de la vida. El significado es que él atribuirá las 3 características por medio de ello.</w:t>
      </w:r>
    </w:p>
    <w:p w14:paraId="6050CFDB" w14:textId="77777777" w:rsidR="00597DE2" w:rsidRPr="00DC1A5F" w:rsidRDefault="00597DE2" w:rsidP="00597DE2">
      <w:r w:rsidRPr="00DC1A5F">
        <w:t xml:space="preserve">49. </w:t>
      </w:r>
      <w:r w:rsidRPr="00DC1A5F">
        <w:tab/>
        <w:t xml:space="preserve">¿Cómo? Él dividirá esos mismos 100 años en tres etapas, es decir, en la primera etapa, en la etapa intermedia y en la última etapa. Aquí, a los primeros treinta y tres años se le denominará la primera etapa, los siguientes treinta y cuatro años, la etapa intermedia y los siguientes treinta y tres años, la última etapa. Entonces, después de dividir la vida en estas 3 etapas, les atribuirá las 3 características así: La materialidad que ocurra en la primera etapa ha cesado allí, sin llegar a la etapa intermedia: por lo tanto, es impermanente; lo que sea impermanente será insatisfactorio; lo que sea insatisfactorio corresponderá a un no–alma. La materialidad que ocurra en la etapa intermedia también habrá cesado sin llegar a la última etapa: por lo tanto, también será impermanente, insatisfactoria y no–alma. Además, no existirá ninguna materialidad que ocurra en los treinta y tres años de la última etapa que sea capaz de sobrevivir a la muerte: por lo tanto, ésa también será impermanente, insatisfactoria y no–alma. Así se les atribuirán las 3 características </w:t>
      </w:r>
      <w:r w:rsidRPr="00DC1A5F">
        <w:rPr>
          <w:color w:val="833C0B" w:themeColor="accent2" w:themeShade="80"/>
        </w:rPr>
        <w:t>a las 3 etapas de la existencia</w:t>
      </w:r>
      <w:r w:rsidRPr="00DC1A5F">
        <w:t>.</w:t>
      </w:r>
    </w:p>
    <w:p w14:paraId="1742F21B" w14:textId="77777777" w:rsidR="00597DE2" w:rsidRPr="00DC1A5F" w:rsidRDefault="00597DE2" w:rsidP="00597DE2">
      <w:r w:rsidRPr="00DC1A5F">
        <w:t xml:space="preserve">50. </w:t>
      </w:r>
      <w:r w:rsidRPr="00DC1A5F">
        <w:tab/>
      </w:r>
      <w:r w:rsidRPr="00DC1A5F">
        <w:rPr>
          <w:i/>
          <w:iCs/>
        </w:rPr>
        <w:t>2. (b)</w:t>
      </w:r>
      <w:r w:rsidRPr="00DC1A5F">
        <w:t xml:space="preserve"> Habiéndoles atribuido las 3 características según “la desaparición de lo que envejezca en cada etapa”, así por medio de la primera etapa, etc., él volverá a atribuirles las 3 características según “la desaparición de lo que envejezca en cada etapa” a través de las siguientes 10 décadas: la década de la ternura, la década del deporte, la década de la belleza, la década de la fuerza, la década del entendimiento, la década del declive, la década del encorvamiento, la década del torcimiento, la década del olvido y la década de la propensión.</w:t>
      </w:r>
    </w:p>
    <w:p w14:paraId="7E4EBEB6" w14:textId="77777777" w:rsidR="00597DE2" w:rsidRPr="00DC1A5F" w:rsidRDefault="00597DE2" w:rsidP="00597DE2">
      <w:r w:rsidRPr="00DC1A5F">
        <w:t xml:space="preserve">51. </w:t>
      </w:r>
      <w:r w:rsidRPr="00DC1A5F">
        <w:tab/>
        <w:t xml:space="preserve">Aquí, en cuanto a estos décuplos: en primer lugar, a los primeros diez años, de una persona de cien años de vida, se le llaman </w:t>
      </w:r>
      <w:r w:rsidRPr="00DC1A5F">
        <w:rPr>
          <w:i/>
          <w:iCs/>
        </w:rPr>
        <w:t>la década</w:t>
      </w:r>
      <w:r w:rsidRPr="00DC1A5F">
        <w:t xml:space="preserve"> </w:t>
      </w:r>
      <w:r w:rsidRPr="00DC1A5F">
        <w:rPr>
          <w:i/>
          <w:iCs/>
        </w:rPr>
        <w:t>de la ternura</w:t>
      </w:r>
      <w:r w:rsidRPr="00DC1A5F">
        <w:t xml:space="preserve">; porque entonces éste será un niño tierno e inestable. A los próximos diez años se le denominarán </w:t>
      </w:r>
      <w:r w:rsidRPr="00DC1A5F">
        <w:rPr>
          <w:i/>
          <w:iCs/>
        </w:rPr>
        <w:t>la década</w:t>
      </w:r>
      <w:r w:rsidRPr="00DC1A5F">
        <w:t xml:space="preserve"> </w:t>
      </w:r>
      <w:r w:rsidRPr="00DC1A5F">
        <w:rPr>
          <w:i/>
          <w:iCs/>
        </w:rPr>
        <w:t>del deporte</w:t>
      </w:r>
      <w:r w:rsidRPr="00DC1A5F">
        <w:t xml:space="preserve">; porque entonces le gustará mucho el deporte. A los próximos diez años se le llamarán </w:t>
      </w:r>
      <w:r w:rsidRPr="00DC1A5F">
        <w:rPr>
          <w:i/>
          <w:iCs/>
        </w:rPr>
        <w:t>la década</w:t>
      </w:r>
      <w:r w:rsidRPr="00DC1A5F">
        <w:t xml:space="preserve"> </w:t>
      </w:r>
      <w:r w:rsidRPr="00DC1A5F">
        <w:rPr>
          <w:i/>
          <w:iCs/>
        </w:rPr>
        <w:t>de la belleza</w:t>
      </w:r>
      <w:r w:rsidRPr="00DC1A5F">
        <w:t xml:space="preserve">; porque su belleza alcanzará su máxima extensión para entonces. A los próximos diez años le llamarán </w:t>
      </w:r>
      <w:r w:rsidRPr="00DC1A5F">
        <w:rPr>
          <w:i/>
          <w:iCs/>
        </w:rPr>
        <w:t>la década</w:t>
      </w:r>
      <w:r w:rsidRPr="00DC1A5F">
        <w:t xml:space="preserve"> </w:t>
      </w:r>
      <w:r w:rsidRPr="00DC1A5F">
        <w:rPr>
          <w:i/>
          <w:iCs/>
        </w:rPr>
        <w:t>de la fuerza</w:t>
      </w:r>
      <w:r w:rsidRPr="00DC1A5F">
        <w:t xml:space="preserve">; porque su fuerza y ​​poder alcanzarán su máxima magnitud para entonces. A los próximos diez años se le llamarán </w:t>
      </w:r>
      <w:r w:rsidRPr="00DC1A5F">
        <w:rPr>
          <w:i/>
          <w:iCs/>
        </w:rPr>
        <w:t>la década</w:t>
      </w:r>
      <w:r w:rsidRPr="00DC1A5F">
        <w:t xml:space="preserve"> </w:t>
      </w:r>
      <w:r w:rsidRPr="00DC1A5F">
        <w:rPr>
          <w:i/>
          <w:iCs/>
        </w:rPr>
        <w:t>del entendimiento</w:t>
      </w:r>
      <w:r w:rsidRPr="00DC1A5F">
        <w:t xml:space="preserve">; porque su entendimiento estará bien establecido para entonces. Incluso en alguien naturalmente débil en entendimiento, parecerá que en dicha época surgiría algún entendimiento. A los próximos diez años se le llamarán </w:t>
      </w:r>
      <w:r w:rsidRPr="00DC1A5F">
        <w:rPr>
          <w:i/>
          <w:iCs/>
        </w:rPr>
        <w:t>la década</w:t>
      </w:r>
      <w:r w:rsidRPr="00DC1A5F">
        <w:t xml:space="preserve"> </w:t>
      </w:r>
      <w:r w:rsidRPr="00DC1A5F">
        <w:rPr>
          <w:i/>
          <w:iCs/>
        </w:rPr>
        <w:t>del declive</w:t>
      </w:r>
      <w:r w:rsidRPr="00DC1A5F">
        <w:t xml:space="preserve">; pues su afición hacia el deporte, su belleza, fuerza y ​​entendimiento decaerán para entonces. A los próximos diez años se le llamarán </w:t>
      </w:r>
      <w:r w:rsidRPr="00DC1A5F">
        <w:rPr>
          <w:i/>
          <w:iCs/>
        </w:rPr>
        <w:t>la década</w:t>
      </w:r>
      <w:r w:rsidRPr="00DC1A5F">
        <w:t xml:space="preserve"> </w:t>
      </w:r>
      <w:r w:rsidRPr="00DC1A5F">
        <w:rPr>
          <w:i/>
          <w:iCs/>
        </w:rPr>
        <w:t>del encorvamiento</w:t>
      </w:r>
      <w:r w:rsidRPr="00DC1A5F">
        <w:t xml:space="preserve">; porque su figura [620] se inclinará hacia delante para entonces. A los próximos diez años se le llamarán </w:t>
      </w:r>
      <w:r w:rsidRPr="00DC1A5F">
        <w:rPr>
          <w:i/>
          <w:iCs/>
        </w:rPr>
        <w:t>la década del torcimiento</w:t>
      </w:r>
      <w:r w:rsidRPr="00DC1A5F">
        <w:t xml:space="preserve">; pues entonces su figura se torcerá como el extremo de un arado. A los próximos diez años se le llamarán </w:t>
      </w:r>
      <w:r w:rsidRPr="00DC1A5F">
        <w:rPr>
          <w:i/>
          <w:iCs/>
        </w:rPr>
        <w:t>la década del olvido</w:t>
      </w:r>
      <w:r w:rsidRPr="00DC1A5F">
        <w:t xml:space="preserve">; porque entonces éste se volverá olvidadizo y se olvidará de lo que haga. A los próximos diez años se le llamarán </w:t>
      </w:r>
      <w:r w:rsidRPr="00DC1A5F">
        <w:rPr>
          <w:i/>
          <w:iCs/>
        </w:rPr>
        <w:t>la década</w:t>
      </w:r>
      <w:r w:rsidRPr="00DC1A5F">
        <w:t xml:space="preserve"> de la propensión; ya que un centenario, la mayoría de las veces yacerá boca abajo.</w:t>
      </w:r>
    </w:p>
    <w:p w14:paraId="2DF74235" w14:textId="77777777" w:rsidR="00597DE2" w:rsidRPr="00DC1A5F" w:rsidRDefault="00597DE2" w:rsidP="00597DE2">
      <w:r w:rsidRPr="00DC1A5F">
        <w:t xml:space="preserve">52. </w:t>
      </w:r>
      <w:r w:rsidRPr="00DC1A5F">
        <w:tab/>
        <w:t xml:space="preserve">Aquí, para atribuirles las 3 características según la “desaparición de lo que envejezca en cada etapa” por medio de estas décadas, el meditador considerará así: La materialidad que ocurra en la primera década cesará allí sin llegar a la segunda década: por lo tanto será impermanente, insatisfactoria y no–alma. La materialidad que ocurra en la segunda década… la </w:t>
      </w:r>
    </w:p>
    <w:p w14:paraId="01B3A8ED" w14:textId="77777777" w:rsidR="00597DE2" w:rsidRPr="00DC1A5F" w:rsidRDefault="00597DE2" w:rsidP="00597DE2">
      <w:pPr>
        <w:tabs>
          <w:tab w:val="clear" w:pos="425"/>
        </w:tabs>
        <w:spacing w:after="160"/>
      </w:pPr>
      <w:r w:rsidRPr="00DC1A5F">
        <w:br w:type="page"/>
      </w:r>
    </w:p>
    <w:p w14:paraId="64642C04" w14:textId="77777777" w:rsidR="00597DE2" w:rsidRPr="00DC1A5F" w:rsidRDefault="00597DE2" w:rsidP="00597DE2">
      <w:pPr>
        <w:pStyle w:val="Textoindependiente"/>
      </w:pPr>
      <w:r w:rsidRPr="00DC1A5F">
        <w:lastRenderedPageBreak/>
        <w:t xml:space="preserve">materialidad que ocurra en la novena década cesará ahí sin llegar a la décima década; la materialidad que ocurra en la décima década cesará allí sin alcanzar el próximo devenir: por lo tanto, será impermanente, insatisfactoria y no–alma. Así se </w:t>
      </w:r>
      <w:proofErr w:type="gramStart"/>
      <w:r w:rsidRPr="00DC1A5F">
        <w:t>les</w:t>
      </w:r>
      <w:proofErr w:type="gramEnd"/>
      <w:r w:rsidRPr="00DC1A5F">
        <w:t xml:space="preserve"> atribuirán las 3 características </w:t>
      </w:r>
      <w:r w:rsidRPr="00DC1A5F">
        <w:rPr>
          <w:color w:val="833C0B" w:themeColor="accent2" w:themeShade="80"/>
        </w:rPr>
        <w:t>a cada década de la existencia</w:t>
      </w:r>
      <w:r w:rsidRPr="00DC1A5F">
        <w:t>.</w:t>
      </w:r>
    </w:p>
    <w:p w14:paraId="71F97DD4" w14:textId="77777777" w:rsidR="00597DE2" w:rsidRPr="00DC1A5F" w:rsidRDefault="00597DE2" w:rsidP="00597DE2">
      <w:r w:rsidRPr="00DC1A5F">
        <w:t xml:space="preserve">53. </w:t>
      </w:r>
      <w:r w:rsidRPr="00DC1A5F">
        <w:tab/>
      </w:r>
      <w:r w:rsidRPr="00DC1A5F">
        <w:rPr>
          <w:i/>
          <w:iCs/>
        </w:rPr>
        <w:t>2. (c)</w:t>
      </w:r>
      <w:r w:rsidRPr="00DC1A5F">
        <w:t xml:space="preserve"> Habiéndoles atribuido así las 3 características según “la desaparición de lo que envejezca en cada etapa” por medio de cada década, volverá a atribuirles las 3 características según “la desaparición de lo que envejezca en cada etapa” adoptando esos mismos cien años en veinte intervalos de 5 años cada uno.</w:t>
      </w:r>
    </w:p>
    <w:p w14:paraId="0B5D1FD6" w14:textId="77777777" w:rsidR="00597DE2" w:rsidRPr="00DC1A5F" w:rsidRDefault="00597DE2" w:rsidP="00597DE2">
      <w:r w:rsidRPr="00DC1A5F">
        <w:t xml:space="preserve">54. </w:t>
      </w:r>
      <w:r w:rsidRPr="00DC1A5F">
        <w:tab/>
        <w:t>¿Cómo? Él considerará lo siguiente: La materialidad que ocurra en los primeros 5 años cesará allí sin llegar a los siguientes 5 años: por lo tanto, será impermanente, insatisfactoria y no–alma. La materialidad que ocurra en el segundo periodo de 5 años... en el tercer... en el decimonoveno periodo de 5 años cesará allí sin llegar al vigésimo periodo de 5 años. No existirá ninguna materialidad que ocurra en el vigésimo quinto periodo de 5 años que sea capaz de sobrevivir a la muerte; por lo tanto, ello también será impermanente, insatisfactorio y no–alma.</w:t>
      </w:r>
    </w:p>
    <w:p w14:paraId="0E9B04ED" w14:textId="77777777" w:rsidR="00597DE2" w:rsidRPr="00DC1A5F" w:rsidRDefault="00597DE2" w:rsidP="00597DE2">
      <w:r w:rsidRPr="00DC1A5F">
        <w:t xml:space="preserve">55. </w:t>
      </w:r>
      <w:r w:rsidRPr="00DC1A5F">
        <w:tab/>
      </w:r>
      <w:r w:rsidRPr="00DC1A5F">
        <w:rPr>
          <w:i/>
          <w:iCs/>
        </w:rPr>
        <w:t>2. (d)</w:t>
      </w:r>
      <w:r w:rsidRPr="00DC1A5F">
        <w:t xml:space="preserve"> Habiéndoles atribuido, por lo tanto, las 3 características según “la desaparición de lo que envejezca en cada etapa” por medio de los veinte intervalos, atribuirá nuevamente las 3 características según “la desaparición de lo que envejezca en cada etapa” adoptando 25 intervalos de 4 años cada uno. </w:t>
      </w:r>
      <w:r w:rsidRPr="00DC1A5F">
        <w:rPr>
          <w:i/>
          <w:iCs/>
        </w:rPr>
        <w:t>(e)</w:t>
      </w:r>
      <w:r w:rsidRPr="00DC1A5F">
        <w:t xml:space="preserve"> Luego, adoptando 33 intervalos de 3 años cada uno, </w:t>
      </w:r>
      <w:r w:rsidRPr="00DC1A5F">
        <w:rPr>
          <w:i/>
          <w:iCs/>
        </w:rPr>
        <w:t xml:space="preserve">(f) </w:t>
      </w:r>
      <w:r w:rsidRPr="00DC1A5F">
        <w:t xml:space="preserve">adoptando 50 intervalos de 2 años cada uno, </w:t>
      </w:r>
      <w:r w:rsidRPr="00DC1A5F">
        <w:rPr>
          <w:i/>
          <w:iCs/>
        </w:rPr>
        <w:t>(g)</w:t>
      </w:r>
      <w:r w:rsidRPr="00DC1A5F">
        <w:t xml:space="preserve"> adoptando 100 intervalos de 1 año cada uno.</w:t>
      </w:r>
    </w:p>
    <w:p w14:paraId="6C18A3B4" w14:textId="77777777" w:rsidR="00597DE2" w:rsidRPr="00DC1A5F" w:rsidRDefault="00597DE2" w:rsidP="00597DE2">
      <w:pPr>
        <w:pStyle w:val="NormalConSangria"/>
      </w:pPr>
      <w:r w:rsidRPr="00DC1A5F">
        <w:tab/>
      </w:r>
      <w:r w:rsidRPr="00DC1A5F">
        <w:rPr>
          <w:i/>
          <w:iCs/>
        </w:rPr>
        <w:t>2. (h)</w:t>
      </w:r>
      <w:r w:rsidRPr="00DC1A5F">
        <w:t xml:space="preserve"> A continuación les atribuirá las tres características según “la desaparición de lo que envejezca en cada etapa” por medio de cada una de las 3 estaciones del año, adoptando cada año a través de 3 estaciones.</w:t>
      </w:r>
    </w:p>
    <w:p w14:paraId="084D25A8" w14:textId="77777777" w:rsidR="00597DE2" w:rsidRPr="00DC1A5F" w:rsidRDefault="00597DE2" w:rsidP="00597DE2">
      <w:r w:rsidRPr="00DC1A5F">
        <w:t xml:space="preserve">56. </w:t>
      </w:r>
      <w:r w:rsidRPr="00DC1A5F">
        <w:tab/>
        <w:t>¿Cómo? La materialidad que ocurra en los cuatro meses de lluvias (</w:t>
      </w:r>
      <w:proofErr w:type="spellStart"/>
      <w:r w:rsidRPr="00DC1A5F">
        <w:rPr>
          <w:i/>
          <w:iCs/>
        </w:rPr>
        <w:t>vassāna</w:t>
      </w:r>
      <w:proofErr w:type="spellEnd"/>
      <w:r w:rsidRPr="00DC1A5F">
        <w:t>) cesará entonces sin llegar al invierno (</w:t>
      </w:r>
      <w:proofErr w:type="spellStart"/>
      <w:r w:rsidRPr="00DC1A5F">
        <w:rPr>
          <w:i/>
          <w:iCs/>
        </w:rPr>
        <w:t>hemanta</w:t>
      </w:r>
      <w:proofErr w:type="spellEnd"/>
      <w:r w:rsidRPr="00DC1A5F">
        <w:t>). La materialidad que ocurra en el invierno cesará entonces sin llegar al verano (</w:t>
      </w:r>
      <w:proofErr w:type="spellStart"/>
      <w:r w:rsidRPr="00DC1A5F">
        <w:rPr>
          <w:i/>
          <w:iCs/>
        </w:rPr>
        <w:t>gimha</w:t>
      </w:r>
      <w:proofErr w:type="spellEnd"/>
      <w:r w:rsidRPr="00DC1A5F">
        <w:t>). La materialidad que ocurra en el verano cesará entonces sin volver a llegar a la estación de lluvias: por lo tanto, serán impermanentes, [621] insatisfactorias y no–alma.</w:t>
      </w:r>
    </w:p>
    <w:p w14:paraId="12AA5BDA" w14:textId="77777777" w:rsidR="00597DE2" w:rsidRPr="00DC1A5F" w:rsidRDefault="00597DE2" w:rsidP="00597DE2">
      <w:r w:rsidRPr="00DC1A5F">
        <w:t xml:space="preserve">57. </w:t>
      </w:r>
      <w:r w:rsidRPr="00DC1A5F">
        <w:tab/>
      </w:r>
      <w:r w:rsidRPr="00DC1A5F">
        <w:rPr>
          <w:i/>
          <w:iCs/>
        </w:rPr>
        <w:t>2. (i)</w:t>
      </w:r>
      <w:r w:rsidRPr="00DC1A5F">
        <w:t xml:space="preserve"> Habiéndoles atribuido así las 3 características, dividirá nuevamente un año en seis partes y </w:t>
      </w:r>
      <w:proofErr w:type="gramStart"/>
      <w:r w:rsidRPr="00DC1A5F">
        <w:t>les</w:t>
      </w:r>
      <w:proofErr w:type="gramEnd"/>
      <w:r w:rsidRPr="00DC1A5F">
        <w:t xml:space="preserve"> atribuirá estas 3 características a esta materialidad según “la desaparición de lo que envejezca en cada etapa” así: La materialidad que ocurra en los 2 meses de lluvias (</w:t>
      </w:r>
      <w:proofErr w:type="spellStart"/>
      <w:r w:rsidRPr="00DC1A5F">
        <w:rPr>
          <w:i/>
          <w:iCs/>
        </w:rPr>
        <w:t>vassāna</w:t>
      </w:r>
      <w:proofErr w:type="spellEnd"/>
      <w:r w:rsidRPr="00DC1A5F">
        <w:t>) cesará entonces sin llegar al otoño (</w:t>
      </w:r>
      <w:proofErr w:type="spellStart"/>
      <w:r w:rsidRPr="00DC1A5F">
        <w:rPr>
          <w:i/>
          <w:iCs/>
        </w:rPr>
        <w:t>sarada</w:t>
      </w:r>
      <w:proofErr w:type="spellEnd"/>
      <w:r w:rsidRPr="00DC1A5F">
        <w:t>). La materialidad que ocurra en el otoño... en el invierno (</w:t>
      </w:r>
      <w:proofErr w:type="spellStart"/>
      <w:r w:rsidRPr="00DC1A5F">
        <w:rPr>
          <w:i/>
          <w:iCs/>
        </w:rPr>
        <w:t>hemanta</w:t>
      </w:r>
      <w:proofErr w:type="spellEnd"/>
      <w:r w:rsidRPr="00DC1A5F">
        <w:t>)... en el fresco (</w:t>
      </w:r>
      <w:proofErr w:type="spellStart"/>
      <w:r w:rsidRPr="00DC1A5F">
        <w:rPr>
          <w:i/>
          <w:iCs/>
        </w:rPr>
        <w:t>sisira</w:t>
      </w:r>
      <w:proofErr w:type="spellEnd"/>
      <w:r w:rsidRPr="00DC1A5F">
        <w:t>)... en la primavera (</w:t>
      </w:r>
      <w:proofErr w:type="spellStart"/>
      <w:r w:rsidRPr="00DC1A5F">
        <w:rPr>
          <w:i/>
          <w:iCs/>
        </w:rPr>
        <w:t>vasanta</w:t>
      </w:r>
      <w:proofErr w:type="spellEnd"/>
      <w:r w:rsidRPr="00DC1A5F">
        <w:t>)... la materialidad que ocurra en el verano (</w:t>
      </w:r>
      <w:proofErr w:type="spellStart"/>
      <w:r w:rsidRPr="00DC1A5F">
        <w:rPr>
          <w:i/>
          <w:iCs/>
        </w:rPr>
        <w:t>gimha</w:t>
      </w:r>
      <w:proofErr w:type="spellEnd"/>
      <w:r w:rsidRPr="00DC1A5F">
        <w:t>) cesará allí sin volver a llegar nuevamente a estación de lluvias: por lo tanto, también será impermanente, insatisfactoria y no–alma.</w:t>
      </w:r>
    </w:p>
    <w:p w14:paraId="2C92680E" w14:textId="77777777" w:rsidR="00597DE2" w:rsidRPr="00DC1A5F" w:rsidRDefault="00597DE2" w:rsidP="00597DE2">
      <w:r w:rsidRPr="00DC1A5F">
        <w:t xml:space="preserve">58. </w:t>
      </w:r>
      <w:r w:rsidRPr="00DC1A5F">
        <w:tab/>
      </w:r>
      <w:r w:rsidRPr="00DC1A5F">
        <w:rPr>
          <w:i/>
          <w:iCs/>
        </w:rPr>
        <w:t>2. (j)</w:t>
      </w:r>
      <w:r w:rsidRPr="00DC1A5F">
        <w:t xml:space="preserve"> Habiéndoles atribuido así estas 3 características, luego atribuirá estas características por medio de las mitades oscuras y brillantes de la Luna así: La materialidad que ocurra en la mitad oscura de la Luna cesará entonces sin llegar a la mitad brillante; la materialidad que ocurra en la mitad brillante cesará entonces sin llegar a la mitad oscura: por lo tanto, será impermanente, insatisfactoria y no–alma.</w:t>
      </w:r>
    </w:p>
    <w:p w14:paraId="07AE9ADC" w14:textId="77777777" w:rsidR="00597DE2" w:rsidRPr="00DC1A5F" w:rsidRDefault="00597DE2" w:rsidP="00597DE2">
      <w:r w:rsidRPr="00DC1A5F">
        <w:t xml:space="preserve">59. </w:t>
      </w:r>
      <w:r w:rsidRPr="00DC1A5F">
        <w:tab/>
      </w:r>
      <w:r w:rsidRPr="00DC1A5F">
        <w:rPr>
          <w:i/>
          <w:iCs/>
        </w:rPr>
        <w:t>2. (k)</w:t>
      </w:r>
      <w:r w:rsidRPr="00DC1A5F">
        <w:t xml:space="preserve"> Luego atribuirá las tres características por medio de la noche y el día así: La materialidad que ocurra en la noche cesará entonces sin llegar al día; la materialidad que ocurra en el </w:t>
      </w:r>
    </w:p>
    <w:p w14:paraId="50779F1F" w14:textId="77777777" w:rsidR="00597DE2" w:rsidRPr="00DC1A5F" w:rsidRDefault="00597DE2" w:rsidP="00597DE2">
      <w:pPr>
        <w:tabs>
          <w:tab w:val="clear" w:pos="425"/>
        </w:tabs>
        <w:spacing w:after="160"/>
      </w:pPr>
      <w:r w:rsidRPr="00DC1A5F">
        <w:br w:type="page"/>
      </w:r>
    </w:p>
    <w:p w14:paraId="182040C1" w14:textId="77777777" w:rsidR="00597DE2" w:rsidRPr="00DC1A5F" w:rsidRDefault="00597DE2" w:rsidP="00597DE2">
      <w:r w:rsidRPr="00DC1A5F">
        <w:lastRenderedPageBreak/>
        <w:t>día cesará entonces sin llegar a la de la noche: por lo tanto, será impermanente, dolorosa y no–alma.</w:t>
      </w:r>
    </w:p>
    <w:p w14:paraId="2860F372" w14:textId="77777777" w:rsidR="00597DE2" w:rsidRPr="00DC1A5F" w:rsidRDefault="00597DE2" w:rsidP="00597DE2">
      <w:r w:rsidRPr="00DC1A5F">
        <w:t xml:space="preserve">60. </w:t>
      </w:r>
      <w:r w:rsidRPr="00DC1A5F">
        <w:tab/>
      </w:r>
      <w:r w:rsidRPr="00DC1A5F">
        <w:rPr>
          <w:i/>
          <w:iCs/>
        </w:rPr>
        <w:t>2. (l)</w:t>
      </w:r>
      <w:r w:rsidRPr="00DC1A5F">
        <w:t xml:space="preserve"> A continuación, les atribuirá las tres características adoptando ese mismo día en 6 partes, comenzando con la mañana, así: La materialidad que ocurra en la mañana cesará entonces sin llegar al mediodía; la materialidad que ocurra en el mediodía… sin llegar al atardecer; la materialidad que ocurra en la noche... en la primera vigilia; la materialidad que ocurra en la primera vigilia... en la vigilia intermedia; la materialidad que ocurra en la vigilia intermedia cesará entonces sin llegar a la última vigilia; la materialidad que ocurra en la última vigilia cesará entonces sin llegar a alcanzar la de la mañana: por lo tanto, será impermanente, insatisfactoria y no–alma.</w:t>
      </w:r>
    </w:p>
    <w:p w14:paraId="2A683342" w14:textId="77777777" w:rsidR="00597DE2" w:rsidRPr="00DC1A5F" w:rsidRDefault="00597DE2" w:rsidP="00597DE2">
      <w:r w:rsidRPr="00DC1A5F">
        <w:t xml:space="preserve">61. </w:t>
      </w:r>
      <w:r w:rsidRPr="00DC1A5F">
        <w:tab/>
      </w:r>
      <w:r w:rsidRPr="00DC1A5F">
        <w:rPr>
          <w:i/>
          <w:iCs/>
        </w:rPr>
        <w:t>2. (m)</w:t>
      </w:r>
      <w:r w:rsidRPr="00DC1A5F">
        <w:t xml:space="preserve"> Habiéndoles atribuido así estas características, atribuirá nuevamente las 3 características a esa misma materialidad por medio de avanzar y retroceder, al mirar hacia adelante y al mirar hacia otro lado, al inclinarse y estirarse, así: La materialidad que ocurra en el avanzar cesara entonces sin llegar al momento de retroceder; la materialidad que ocurra al retroceder… al mirar hacia adelante; la materialidad que ocurra en el mirar hacia un lado… al mirar hacia otro lado; la materialidad que ocurra al apartar la mirada... al inclinarse; la materialidad que ocurra al inclinarse cesará entonces sin llegar al estiramiento: por lo tanto, será impermanente, insatisfactoria y no–alma (cf. M–a I 260).</w:t>
      </w:r>
    </w:p>
    <w:p w14:paraId="7A833274" w14:textId="77777777" w:rsidR="00597DE2" w:rsidRPr="00DC1A5F" w:rsidRDefault="00597DE2" w:rsidP="00597DE2">
      <w:pPr>
        <w:rPr>
          <w:vertAlign w:val="superscript"/>
        </w:rPr>
      </w:pPr>
      <w:r w:rsidRPr="00DC1A5F">
        <w:t xml:space="preserve">62. </w:t>
      </w:r>
      <w:r w:rsidRPr="00DC1A5F">
        <w:tab/>
      </w:r>
      <w:r w:rsidRPr="00DC1A5F">
        <w:rPr>
          <w:i/>
          <w:iCs/>
        </w:rPr>
        <w:t>2. (n)</w:t>
      </w:r>
      <w:r w:rsidRPr="00DC1A5F">
        <w:t xml:space="preserve"> A continuación, él dividirá un solo paso en 6 etapas así: “al levantar” </w:t>
      </w:r>
      <w:r w:rsidRPr="00DC1A5F">
        <w:rPr>
          <w:color w:val="833C0B" w:themeColor="accent2" w:themeShade="80"/>
        </w:rPr>
        <w:t>(el pie)</w:t>
      </w:r>
      <w:r w:rsidRPr="00DC1A5F">
        <w:t>, “al desplazarlo hacia adelante”, “al desplazarlo hacia los lados”, “al descenderlo”, “al colocarlo” y “al fijarlo”.</w:t>
      </w:r>
      <w:r w:rsidRPr="00DC1A5F">
        <w:rPr>
          <w:vertAlign w:val="superscript"/>
        </w:rPr>
        <w:t>21</w:t>
      </w:r>
    </w:p>
    <w:p w14:paraId="16339749" w14:textId="77777777" w:rsidR="00597DE2" w:rsidRPr="00DC1A5F" w:rsidRDefault="00597DE2" w:rsidP="00597DE2">
      <w:r w:rsidRPr="00DC1A5F">
        <w:t xml:space="preserve">63. </w:t>
      </w:r>
      <w:r w:rsidRPr="00DC1A5F">
        <w:tab/>
        <w:t xml:space="preserve">Aquí, al </w:t>
      </w:r>
      <w:r w:rsidRPr="00DC1A5F">
        <w:rPr>
          <w:i/>
          <w:iCs/>
        </w:rPr>
        <w:t>levantar</w:t>
      </w:r>
      <w:r w:rsidRPr="00DC1A5F">
        <w:t xml:space="preserve"> significa al levantar el pie del suelo. </w:t>
      </w:r>
      <w:r w:rsidRPr="00DC1A5F">
        <w:rPr>
          <w:i/>
          <w:iCs/>
        </w:rPr>
        <w:t>Al desplazarlo hacia adelante</w:t>
      </w:r>
      <w:r w:rsidRPr="00DC1A5F">
        <w:t xml:space="preserve"> significa al moverlo hacia adelante. </w:t>
      </w:r>
      <w:r w:rsidRPr="00DC1A5F">
        <w:rPr>
          <w:i/>
          <w:iCs/>
        </w:rPr>
        <w:t>Al desplazarse hacia un lado</w:t>
      </w:r>
      <w:r w:rsidRPr="00DC1A5F">
        <w:t xml:space="preserve"> significará al mover el pie hacia un lado o hacia el otro, al ver una espina, un muñón, una serpiente, etc. </w:t>
      </w:r>
      <w:r w:rsidRPr="00DC1A5F">
        <w:rPr>
          <w:i/>
          <w:iCs/>
        </w:rPr>
        <w:t>Al descenderlo</w:t>
      </w:r>
      <w:r w:rsidRPr="00DC1A5F">
        <w:t xml:space="preserve"> significa al dejar que el pie descienda. [622] </w:t>
      </w:r>
      <w:r w:rsidRPr="00DC1A5F">
        <w:rPr>
          <w:i/>
          <w:iCs/>
        </w:rPr>
        <w:t xml:space="preserve">Al colocarlo </w:t>
      </w:r>
      <w:r w:rsidRPr="00DC1A5F">
        <w:t xml:space="preserve">significa al poner el pie en el suelo. </w:t>
      </w:r>
      <w:r w:rsidRPr="00DC1A5F">
        <w:rPr>
          <w:i/>
          <w:iCs/>
        </w:rPr>
        <w:t xml:space="preserve">Al fijarlo significa </w:t>
      </w:r>
      <w:r w:rsidRPr="00DC1A5F">
        <w:t>al presionar el pie en el suelo, mientras se levante el otro pie.</w:t>
      </w:r>
    </w:p>
    <w:p w14:paraId="543F8AD5" w14:textId="77777777" w:rsidR="00597DE2" w:rsidRPr="00DC1A5F" w:rsidRDefault="00597DE2" w:rsidP="00597DE2">
      <w:r w:rsidRPr="00DC1A5F">
        <w:t xml:space="preserve">64. </w:t>
      </w:r>
      <w:r w:rsidRPr="00DC1A5F">
        <w:tab/>
        <w:t xml:space="preserve">Aquí, al </w:t>
      </w:r>
      <w:r w:rsidRPr="00DC1A5F">
        <w:rPr>
          <w:i/>
          <w:iCs/>
        </w:rPr>
        <w:t>levantar</w:t>
      </w:r>
      <w:r w:rsidRPr="00DC1A5F">
        <w:t>, dos elementos, el elemento tierra y el elemento agua, estarán subordinados</w:t>
      </w:r>
      <w:r w:rsidRPr="00DC1A5F">
        <w:rPr>
          <w:vertAlign w:val="superscript"/>
        </w:rPr>
        <w:t>22</w:t>
      </w:r>
      <w:r w:rsidRPr="00DC1A5F">
        <w:t xml:space="preserve"> y serán lentos mientras que los otros dos serán predominantes y fuertes. Del mismo modo al </w:t>
      </w:r>
      <w:r w:rsidRPr="00DC1A5F">
        <w:rPr>
          <w:i/>
          <w:iCs/>
        </w:rPr>
        <w:t>desplazarlo hacia adelante</w:t>
      </w:r>
      <w:r w:rsidRPr="00DC1A5F">
        <w:t xml:space="preserve"> y al </w:t>
      </w:r>
      <w:r w:rsidRPr="00DC1A5F">
        <w:rPr>
          <w:i/>
          <w:iCs/>
        </w:rPr>
        <w:t>desplazamiento hacia los lados</w:t>
      </w:r>
      <w:r w:rsidRPr="00DC1A5F">
        <w:t>. Al descenderlo, dos elementos, el elemento fuego y el elemento aire, estarán subordinados y serán lentos, mientras que los otros dos serán predominantes y fuertes. Asimismo al colocarlo y fijarlo.</w:t>
      </w:r>
    </w:p>
    <w:p w14:paraId="24BDF9E1" w14:textId="77777777" w:rsidR="00597DE2" w:rsidRPr="00DC1A5F" w:rsidRDefault="00597DE2" w:rsidP="00597DE2">
      <w:pPr>
        <w:pStyle w:val="NormalConSangria"/>
      </w:pPr>
      <w:r w:rsidRPr="00DC1A5F">
        <w:t>Él atribuirá las 3 características a la materialidad según la “desaparición de lo que envejezca en cada etapa” por medio de estas 6 etapas en las que así se haya dividido cada paso.</w:t>
      </w:r>
    </w:p>
    <w:p w14:paraId="2727E0D1" w14:textId="77777777" w:rsidR="00597DE2" w:rsidRPr="00DC1A5F" w:rsidRDefault="00597DE2" w:rsidP="00597DE2">
      <w:r w:rsidRPr="00DC1A5F">
        <w:t xml:space="preserve">65. </w:t>
      </w:r>
      <w:r w:rsidRPr="00DC1A5F">
        <w:tab/>
        <w:t xml:space="preserve">¿Cómo? Él considerará así: Los elementos y los tipos de materialidad derivada que ocurran al levantar el pie han cesado, sin alcanzar el desplazamiento hacia adelante: por lo tanto, son impermanentes, insatisfactorios y no–alma. Del mismo modo, los que ocurran en el desplazamiento hacia adelante... en el desplazamiento hacia los lados; los que ocurran en el desplazamiento hacia los lados... en el descenso; los que ocurran en el descenso... al descender el pie; los que ocurran en la colocación del pie cesarán entonces sin llegar a la fijación; así, las formaciones </w:t>
      </w:r>
    </w:p>
    <w:p w14:paraId="3FE86E9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2E8822F"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rPr>
          <w:i/>
          <w:iCs/>
        </w:rPr>
        <w:t>Vītiharaṇa</w:t>
      </w:r>
      <w:proofErr w:type="spellEnd"/>
      <w:r w:rsidRPr="00DC1A5F">
        <w:rPr>
          <w:i/>
          <w:iCs/>
        </w:rPr>
        <w:t xml:space="preserve"> </w:t>
      </w:r>
      <w:r w:rsidRPr="00DC1A5F">
        <w:t xml:space="preserve">— “cambiar de lado”, </w:t>
      </w:r>
      <w:proofErr w:type="spellStart"/>
      <w:r w:rsidRPr="00DC1A5F">
        <w:rPr>
          <w:i/>
          <w:iCs/>
        </w:rPr>
        <w:t>sannikkhepana</w:t>
      </w:r>
      <w:proofErr w:type="spellEnd"/>
      <w:r w:rsidRPr="00DC1A5F">
        <w:t xml:space="preserve">—“colocar hacia abajo” y </w:t>
      </w:r>
      <w:proofErr w:type="spellStart"/>
      <w:r w:rsidRPr="00DC1A5F">
        <w:rPr>
          <w:i/>
          <w:iCs/>
        </w:rPr>
        <w:t>sannirujjhana</w:t>
      </w:r>
      <w:proofErr w:type="spellEnd"/>
      <w:r w:rsidRPr="00DC1A5F">
        <w:t>—“fijar hacia abajo”, no así en el PED; cf. M–a I 260.</w:t>
      </w:r>
    </w:p>
    <w:p w14:paraId="3CD7164C" w14:textId="77777777" w:rsidR="00597DE2" w:rsidRPr="00DC1A5F" w:rsidRDefault="00597DE2" w:rsidP="00597DE2">
      <w:pPr>
        <w:pStyle w:val="PiedepginaLegal"/>
        <w:numPr>
          <w:ilvl w:val="0"/>
          <w:numId w:val="9"/>
        </w:numPr>
        <w:tabs>
          <w:tab w:val="clear" w:pos="425"/>
          <w:tab w:val="left" w:pos="284"/>
        </w:tabs>
        <w:spacing w:after="160"/>
        <w:ind w:left="0" w:firstLine="0"/>
      </w:pPr>
      <w:proofErr w:type="spellStart"/>
      <w:r w:rsidRPr="00DC1A5F">
        <w:rPr>
          <w:i/>
          <w:iCs/>
        </w:rPr>
        <w:t>Omatta</w:t>
      </w:r>
      <w:proofErr w:type="spellEnd"/>
      <w:r w:rsidRPr="00DC1A5F">
        <w:t>—“subordinado”: no así en el PED.</w:t>
      </w:r>
      <w:r w:rsidRPr="00DC1A5F">
        <w:br w:type="page"/>
      </w:r>
    </w:p>
    <w:p w14:paraId="227F378E" w14:textId="77777777" w:rsidR="00597DE2" w:rsidRPr="00DC1A5F" w:rsidRDefault="00597DE2" w:rsidP="00597DE2">
      <w:r w:rsidRPr="00DC1A5F">
        <w:lastRenderedPageBreak/>
        <w:br/>
      </w:r>
    </w:p>
    <w:p w14:paraId="0583032E" w14:textId="77777777" w:rsidR="00597DE2" w:rsidRPr="00DC1A5F" w:rsidRDefault="00597DE2" w:rsidP="00597DE2">
      <w:pPr>
        <w:pStyle w:val="Textoindependiente"/>
      </w:pPr>
      <w:r w:rsidRPr="00DC1A5F">
        <w:t>se mantendrán destruyéndose, como las semillas de sésamo crujientes puestas en una sartén caliente; dondequiera que surjan, allí cesarán etapa por etapa, sección por sección, término por término, cada uno sin llegar a la siguiente parte: por lo tanto, serán impermanentes, insatisfactorias y no–alma.</w:t>
      </w:r>
    </w:p>
    <w:p w14:paraId="0E1D9EDB" w14:textId="77777777" w:rsidR="00597DE2" w:rsidRPr="00DC1A5F" w:rsidRDefault="00597DE2" w:rsidP="00597DE2">
      <w:r w:rsidRPr="00DC1A5F">
        <w:t xml:space="preserve">66. </w:t>
      </w:r>
      <w:r w:rsidRPr="00DC1A5F">
        <w:tab/>
        <w:t xml:space="preserve">Cuando él observe las formaciones etapa por etapa con una visión así, su sabiduría–revelativa sobre la materialidad se hará sutil. He aquí un símil sobre esta sutileza. Un habitante de una frontera, al parecer, familiarizado con las antorchas de madera y la hierba, etc., pero que </w:t>
      </w:r>
      <w:proofErr w:type="gramStart"/>
      <w:r w:rsidRPr="00DC1A5F">
        <w:t>nunca antes</w:t>
      </w:r>
      <w:proofErr w:type="gramEnd"/>
      <w:r w:rsidRPr="00DC1A5F">
        <w:t xml:space="preserve"> había visto una lámpara, llegó a una ciudad. Al ver una lámpara ardiendo en el mercado, le preguntó a un hombre: “Pregunto, ¿cómo se llama esa cosa hermosa?”—“¿Qué tiene de hermoso eso? Se llama lámpara. Nadie sabe adónde van a parar cuando se acaban el aceite y la mecha”. El otro le dijo: “Eso lo ha dicho muy crudamente; porque la llama en cada tercera porción de la mecha, a medida que se queme gradualmente, cesará sin llegar a las siguientes etapas.” El otro le dijo: “Eso también está mal dicho; porque la llama en cada pulgada, en cada media pulgada, en cada hilo, en cada fibra, cesará sin llegar a los siguientes hilos, fibras; no obstante, la llama no pueda surgir sin un hilo.”</w:t>
      </w:r>
    </w:p>
    <w:p w14:paraId="2163F24E" w14:textId="77777777" w:rsidR="00597DE2" w:rsidRPr="00DC1A5F" w:rsidRDefault="00597DE2" w:rsidP="00597DE2">
      <w:r w:rsidRPr="00DC1A5F">
        <w:t xml:space="preserve">67. </w:t>
      </w:r>
      <w:r w:rsidRPr="00DC1A5F">
        <w:tab/>
        <w:t xml:space="preserve">[623] Aquí, la atribución del meditador de las 3 características a la materialidad delimitada por cien años como “tomando” y “dejando” será como el conocimiento del hombre dicho así, “¿A dónde irá a parar cuando se use su aceite y se consuma su mecha?, nadie lo sabe”. La atribución del meditador de las 3 características según “la desaparición de lo que envejezca en cada etapa” a la materialidad delimitada por la tercera parte de los cien años será como el conocimiento del hombre afirmando así, “La llama en cada tercera fase de la mecha cesará sin llegar a las siguientes fases”. La atribución del meditador de las 3 características a la materialidad delimitada por los períodos de diez, cinco, cuatro, tres, dos años, un año, será como el conocimiento del hombre expresado así: “La llama en cada centímetro cesará sin llegar a los demás”. La atribución del meditador de las 3 características a la materialidad delimitada por los períodos de cuatro y dos meses, dividiendo el año en tres y seis veces, respectivamente, de acuerdo con las estaciones, será como el conocimiento del hombre afirmando así: “La llama en cada media pulgada cesará sin llegar a las siguientes”. La atribución del meditador de las 3 características a la materialidad delimitada por medio de las mitades oscura y brillante de la Luna, por medio de la noche y el día, y por medio de la mañana, etc., tomando una noche y un día en seis partes, será como el conocimiento del hombre que se expresaba así: “La llama en cada hilo cesará sin llegar a los siguientes”. La atribución del meditador de las 3 características a la materialidad delimitada por medio de cada parte, es </w:t>
      </w:r>
      <w:proofErr w:type="gramStart"/>
      <w:r w:rsidRPr="00DC1A5F">
        <w:t>decir ,</w:t>
      </w:r>
      <w:proofErr w:type="gramEnd"/>
      <w:r w:rsidRPr="00DC1A5F">
        <w:t xml:space="preserve"> “al avanzar”, etc., y “al elevar el pie”, etc., será como el conocimiento del hombre que se expresaba así, “La llama en cada hilo cesará sin llegar a las siguientes.”</w:t>
      </w:r>
    </w:p>
    <w:p w14:paraId="12535D66" w14:textId="77777777" w:rsidR="00597DE2" w:rsidRPr="00DC1A5F" w:rsidRDefault="00597DE2" w:rsidP="00597DE2">
      <w:r w:rsidRPr="00DC1A5F">
        <w:t xml:space="preserve">68. </w:t>
      </w:r>
      <w:r w:rsidRPr="00DC1A5F">
        <w:tab/>
        <w:t xml:space="preserve">3–6. Habiendo así atribuido de diversas maneras a la materialidad las 3 características según “la desaparición de lo que envejezca en cada etapa”, analizará esa misma materialidad y la dividirá en 4 partes, como “surgimiento del nutrimento”, etc., y volverá a atribuirles </w:t>
      </w:r>
      <w:proofErr w:type="gramStart"/>
      <w:r w:rsidRPr="00DC1A5F">
        <w:t>la tres características</w:t>
      </w:r>
      <w:proofErr w:type="gramEnd"/>
      <w:r w:rsidRPr="00DC1A5F">
        <w:t xml:space="preserve"> a cada etapa.</w:t>
      </w:r>
    </w:p>
    <w:p w14:paraId="2332DB56" w14:textId="77777777" w:rsidR="00597DE2" w:rsidRPr="00DC1A5F" w:rsidRDefault="00597DE2" w:rsidP="00597DE2">
      <w:pPr>
        <w:tabs>
          <w:tab w:val="clear" w:pos="425"/>
        </w:tabs>
        <w:spacing w:after="160"/>
      </w:pPr>
      <w:r w:rsidRPr="00DC1A5F">
        <w:br w:type="page"/>
      </w:r>
    </w:p>
    <w:p w14:paraId="71153E71" w14:textId="77777777" w:rsidR="00597DE2" w:rsidRPr="00DC1A5F" w:rsidRDefault="00597DE2" w:rsidP="00597DE2"/>
    <w:p w14:paraId="57096AD6" w14:textId="77777777" w:rsidR="00597DE2" w:rsidRPr="00DC1A5F" w:rsidRDefault="00597DE2" w:rsidP="00597DE2">
      <w:pPr>
        <w:pStyle w:val="NormalConSangria"/>
      </w:pPr>
      <w:r w:rsidRPr="00DC1A5F">
        <w:t xml:space="preserve">3. Aquí, la materialidad que </w:t>
      </w:r>
      <w:r w:rsidRPr="00DC1A5F">
        <w:rPr>
          <w:i/>
          <w:iCs/>
        </w:rPr>
        <w:t xml:space="preserve">surja del nutrimento </w:t>
      </w:r>
      <w:r w:rsidRPr="00DC1A5F">
        <w:t>se le hará evidente a través del hambre y su satisfacción. Porque la materialidad que se origine cuando alguien tenga hambre estará seca y rancia, y será tan desagradable y desfigurada como un tocón seco, como un cuervo posado en un pozo de carbón. Lo que se origine cuando el hambre sea satisfecha será carnoso, fresco, tierno, terso y suave al tacto. Discerniéndolo así, le atribuirá las 3 características: La materialidad que ocurra cuando el hambre sea satisfecha cesará entonces sin llegar al momento en el que se el hombre tenga hambre nuevamente; por lo tanto, será impermanente, insatisfactoria y no–alma.</w:t>
      </w:r>
    </w:p>
    <w:p w14:paraId="1F548244" w14:textId="77777777" w:rsidR="00597DE2" w:rsidRPr="00DC1A5F" w:rsidRDefault="00597DE2" w:rsidP="00597DE2">
      <w:r w:rsidRPr="00DC1A5F">
        <w:t xml:space="preserve">69. </w:t>
      </w:r>
      <w:r w:rsidRPr="00DC1A5F">
        <w:tab/>
        <w:t xml:space="preserve">4. Lo que </w:t>
      </w:r>
      <w:r w:rsidRPr="00DC1A5F">
        <w:rPr>
          <w:i/>
          <w:iCs/>
        </w:rPr>
        <w:t>surja de la temperatura</w:t>
      </w:r>
      <w:r w:rsidRPr="00DC1A5F">
        <w:t xml:space="preserve"> se hará evidente a través del frío y el calor. Pues la materialidad que se origine cuando haga calor estará reseca, rancia y desagradable. [624] La materialidad originada por la temperatura fresca será robusta, fresca, tierna, tersa y suave al tacto. Discerniéndola así, le atribuirá las tres características de la siguiente manera: La materialidad que ocurra cuando haga calor cesará entonces sin llegar al momento que haga frío. La materialidad que ocurra cuando haga frío cesará entonces sin llegar al momento en el que haga calor: por lo tanto, será impermanente, insatisfactoria y no–alma.</w:t>
      </w:r>
    </w:p>
    <w:p w14:paraId="08161B1C" w14:textId="77777777" w:rsidR="00597DE2" w:rsidRPr="00DC1A5F" w:rsidRDefault="00597DE2" w:rsidP="00597DE2">
      <w:r w:rsidRPr="00DC1A5F">
        <w:t xml:space="preserve">70. </w:t>
      </w:r>
      <w:r w:rsidRPr="00DC1A5F">
        <w:tab/>
        <w:t>5. La materialidad</w:t>
      </w:r>
      <w:r w:rsidRPr="00DC1A5F">
        <w:rPr>
          <w:i/>
          <w:iCs/>
        </w:rPr>
        <w:t xml:space="preserve"> nacida</w:t>
      </w:r>
      <w:r w:rsidRPr="00DC1A5F">
        <w:t xml:space="preserve"> </w:t>
      </w:r>
      <w:r w:rsidRPr="00DC1A5F">
        <w:rPr>
          <w:i/>
          <w:iCs/>
        </w:rPr>
        <w:t xml:space="preserve">del </w:t>
      </w:r>
      <w:proofErr w:type="spellStart"/>
      <w:r w:rsidRPr="00DC1A5F">
        <w:rPr>
          <w:i/>
          <w:iCs/>
        </w:rPr>
        <w:t>kamma</w:t>
      </w:r>
      <w:proofErr w:type="spellEnd"/>
      <w:r w:rsidRPr="00DC1A5F">
        <w:t xml:space="preserve"> se hará evidente a través de las puertas sensoriales, es decir, de la base de la consciencia. Ya que en el caso de la puerta del ojo habrá 30 instancias materiales con el décuplo del ojo, el cuerpo y el sexo; pero con las 24 instancias originadas por la temperatura, la consciencia y el nutrimento, es decir, los 3 óctuplos simples, que serán su soporte, harán 54 instancias. Asimismo en el caso de las puertas del oído, la nariz y la lengua. En el caso de la puerta del cuerpo serán 44 con el décuplo del cuerpo, del sexo y las instancias originadas por la temperatura, etc. En el caso de la puerta mental, también habrá 54 instancias, con los décuplos de la base del corazón, el cuerpo y el sexo, y de los casos originados por la temperatura, etc. Discerniendo toda esa materialidad, le atribuirá así las 3 características: La materialidad que ocurra en la puerta del ojo cesará entonces sin llegar a la puerta del oído; la materialidad que ocurra en la puerta del oído… a la puerta de la nariz; la materialidad que ocurra en la puerta de la nariz... a la puerta de la lengua; la materialidad que ocurra en la puerta de la lengua… a la puerta del cuerpo; la materialidad que ocurra en la puerta del cuerpo cesará entonces sin llegar a la puerta mental: por lo tanto, será impermanente, insatisfactoria y no–alma.</w:t>
      </w:r>
    </w:p>
    <w:p w14:paraId="531AC1AF" w14:textId="77777777" w:rsidR="00597DE2" w:rsidRPr="00DC1A5F" w:rsidRDefault="00597DE2" w:rsidP="00597DE2">
      <w:r w:rsidRPr="00DC1A5F">
        <w:t xml:space="preserve">71. </w:t>
      </w:r>
      <w:r w:rsidRPr="00DC1A5F">
        <w:tab/>
        <w:t xml:space="preserve">6. La materialidad surgida de la consciencia se hará evidente a través del comportamiento de alguien que se encuentre alegre o afligido. Ya que la materialidad que surja en el momento en que un hombre esté alegre será suave, tierna, fresca y suave al tacto. La que surja en el momento en que esté afligido será reseca, rancia y desagradable. Discerniéndola así, le atribuirá las 3 características: La materialidad que ocurra en el momento en que uno se encuentre dichoso </w:t>
      </w:r>
      <w:proofErr w:type="gramStart"/>
      <w:r w:rsidRPr="00DC1A5F">
        <w:t>cesará  entonces</w:t>
      </w:r>
      <w:proofErr w:type="gramEnd"/>
      <w:r w:rsidRPr="00DC1A5F">
        <w:t>, sin llegar al momento en el que se encuentre afligido; la materialidad que ocurra en el momento en que uno se sienta afligido cesará entonces, sin llegar al momento en el que uno se encuentre alegre: por lo tanto, será impermanente, insatisfactoria y no–alma.</w:t>
      </w:r>
    </w:p>
    <w:p w14:paraId="44853F79" w14:textId="77777777" w:rsidR="00597DE2" w:rsidRPr="00DC1A5F" w:rsidRDefault="00597DE2" w:rsidP="00597DE2">
      <w:r w:rsidRPr="00DC1A5F">
        <w:t xml:space="preserve">72. </w:t>
      </w:r>
      <w:r w:rsidRPr="00DC1A5F">
        <w:tab/>
        <w:t>Cuando él discierna sobre la materialidad originada de la consciencia y le atribuya las 3 características así, el siguiente significado se hará evidente en él:</w:t>
      </w:r>
    </w:p>
    <w:p w14:paraId="46E0EA2F" w14:textId="77777777" w:rsidR="00597DE2" w:rsidRPr="00DC1A5F" w:rsidRDefault="00597DE2" w:rsidP="00597DE2">
      <w:pPr>
        <w:pStyle w:val="VersoIngls01Sangria"/>
        <w:rPr>
          <w:sz w:val="16"/>
          <w:szCs w:val="20"/>
        </w:rPr>
      </w:pPr>
      <w:r w:rsidRPr="00DC1A5F">
        <w:rPr>
          <w:sz w:val="16"/>
          <w:szCs w:val="20"/>
        </w:rPr>
        <w:t>La vida, la persona, el placer, el dolor, sólo estos son los que</w:t>
      </w:r>
    </w:p>
    <w:p w14:paraId="3D84F620" w14:textId="77777777" w:rsidR="00597DE2" w:rsidRPr="00DC1A5F" w:rsidRDefault="00597DE2" w:rsidP="00597DE2">
      <w:pPr>
        <w:pStyle w:val="VersoIngls01Sangria"/>
        <w:rPr>
          <w:sz w:val="16"/>
          <w:szCs w:val="20"/>
        </w:rPr>
      </w:pPr>
      <w:r w:rsidRPr="00DC1A5F">
        <w:rPr>
          <w:sz w:val="16"/>
          <w:szCs w:val="20"/>
        </w:rPr>
        <w:t>se unen en la ocurrencia de un momento de consciencia.</w:t>
      </w:r>
    </w:p>
    <w:p w14:paraId="30E2F66E" w14:textId="77777777" w:rsidR="00597DE2" w:rsidRPr="00DC1A5F" w:rsidRDefault="00597DE2" w:rsidP="00597DE2">
      <w:pPr>
        <w:pStyle w:val="VersoIngls01Sangria"/>
        <w:rPr>
          <w:sz w:val="16"/>
          <w:szCs w:val="20"/>
        </w:rPr>
      </w:pPr>
      <w:r w:rsidRPr="00DC1A5F">
        <w:rPr>
          <w:sz w:val="16"/>
          <w:szCs w:val="20"/>
        </w:rPr>
        <w:t>Dioses, aunque vivan ochenta y cuatro mil</w:t>
      </w:r>
    </w:p>
    <w:p w14:paraId="0E149469" w14:textId="77777777" w:rsidR="00597DE2" w:rsidRPr="00DC1A5F" w:rsidRDefault="00597DE2" w:rsidP="00597DE2">
      <w:pPr>
        <w:pStyle w:val="VersoIngls01Sangria"/>
        <w:rPr>
          <w:sz w:val="16"/>
          <w:szCs w:val="20"/>
        </w:rPr>
      </w:pPr>
      <w:r w:rsidRPr="00DC1A5F">
        <w:rPr>
          <w:sz w:val="16"/>
          <w:szCs w:val="20"/>
        </w:rPr>
        <w:t>Eones, no se mantendrán similares en dos de estos momentos. [625]</w:t>
      </w:r>
    </w:p>
    <w:p w14:paraId="468E2755" w14:textId="77777777" w:rsidR="00597DE2" w:rsidRPr="00DC1A5F" w:rsidRDefault="00597DE2" w:rsidP="00597DE2">
      <w:pPr>
        <w:tabs>
          <w:tab w:val="clear" w:pos="425"/>
        </w:tabs>
        <w:spacing w:after="160"/>
      </w:pPr>
      <w:r w:rsidRPr="00DC1A5F">
        <w:br w:type="page"/>
      </w:r>
    </w:p>
    <w:p w14:paraId="5687C1A4" w14:textId="77777777" w:rsidR="00597DE2" w:rsidRPr="00DC1A5F" w:rsidRDefault="00597DE2" w:rsidP="00597DE2">
      <w:pPr>
        <w:pStyle w:val="VersoIngls01Sangria"/>
      </w:pPr>
    </w:p>
    <w:p w14:paraId="311CA1A5" w14:textId="77777777" w:rsidR="00597DE2" w:rsidRPr="00DC1A5F" w:rsidRDefault="00597DE2" w:rsidP="00597DE2">
      <w:pPr>
        <w:pStyle w:val="VersoIngls01Sangria"/>
        <w:rPr>
          <w:sz w:val="16"/>
          <w:szCs w:val="20"/>
        </w:rPr>
      </w:pPr>
    </w:p>
    <w:p w14:paraId="32721474" w14:textId="77777777" w:rsidR="00597DE2" w:rsidRPr="00DC1A5F" w:rsidRDefault="00597DE2" w:rsidP="00597DE2">
      <w:pPr>
        <w:pStyle w:val="VersoIngls01Sangria"/>
        <w:rPr>
          <w:sz w:val="16"/>
          <w:szCs w:val="20"/>
        </w:rPr>
      </w:pPr>
      <w:r w:rsidRPr="00DC1A5F">
        <w:rPr>
          <w:sz w:val="16"/>
          <w:szCs w:val="20"/>
        </w:rPr>
        <w:t>Los agregados ocurridos de muertos o vivos</w:t>
      </w:r>
    </w:p>
    <w:p w14:paraId="5D8773FD" w14:textId="77777777" w:rsidR="00597DE2" w:rsidRPr="00DC1A5F" w:rsidRDefault="00597DE2" w:rsidP="00597DE2">
      <w:pPr>
        <w:pStyle w:val="VersoIngls01Sangria"/>
        <w:rPr>
          <w:sz w:val="16"/>
          <w:szCs w:val="20"/>
        </w:rPr>
      </w:pPr>
      <w:r w:rsidRPr="00DC1A5F">
        <w:rPr>
          <w:sz w:val="16"/>
          <w:szCs w:val="20"/>
        </w:rPr>
        <w:t>Son todos iguales, han partido para nunca más volver;</w:t>
      </w:r>
    </w:p>
    <w:p w14:paraId="3079A68D" w14:textId="77777777" w:rsidR="00597DE2" w:rsidRPr="00DC1A5F" w:rsidRDefault="00597DE2" w:rsidP="00597DE2">
      <w:pPr>
        <w:pStyle w:val="VersoIngls01Sangria"/>
        <w:rPr>
          <w:sz w:val="16"/>
          <w:szCs w:val="20"/>
        </w:rPr>
      </w:pPr>
      <w:r w:rsidRPr="00DC1A5F">
        <w:rPr>
          <w:sz w:val="16"/>
          <w:szCs w:val="20"/>
        </w:rPr>
        <w:t xml:space="preserve">Y los que se encuentren destruyendo mientras y los del futuro, </w:t>
      </w:r>
    </w:p>
    <w:p w14:paraId="45F72971" w14:textId="77777777" w:rsidR="00597DE2" w:rsidRPr="00DC1A5F" w:rsidRDefault="00597DE2" w:rsidP="00597DE2">
      <w:pPr>
        <w:pStyle w:val="VersoIngls01Sangria"/>
        <w:spacing w:after="100"/>
        <w:ind w:left="1418"/>
        <w:rPr>
          <w:sz w:val="16"/>
          <w:szCs w:val="20"/>
        </w:rPr>
      </w:pPr>
      <w:r w:rsidRPr="00DC1A5F">
        <w:rPr>
          <w:sz w:val="16"/>
          <w:szCs w:val="20"/>
        </w:rPr>
        <w:t>No tendrán rasgos diferentes de los que ya hayan cesado.</w:t>
      </w:r>
    </w:p>
    <w:p w14:paraId="35FDB310" w14:textId="77777777" w:rsidR="00597DE2" w:rsidRPr="00DC1A5F" w:rsidRDefault="00597DE2" w:rsidP="00597DE2">
      <w:pPr>
        <w:pStyle w:val="VersoIngls01Sangria"/>
        <w:rPr>
          <w:sz w:val="16"/>
          <w:szCs w:val="20"/>
        </w:rPr>
      </w:pPr>
      <w:r w:rsidRPr="00DC1A5F">
        <w:rPr>
          <w:sz w:val="16"/>
          <w:szCs w:val="20"/>
        </w:rPr>
        <w:t>Ningún mundo surgiría si la consciencia no la</w:t>
      </w:r>
    </w:p>
    <w:p w14:paraId="60CB2C93" w14:textId="77777777" w:rsidR="00597DE2" w:rsidRPr="00DC1A5F" w:rsidRDefault="00597DE2" w:rsidP="00597DE2">
      <w:pPr>
        <w:pStyle w:val="VersoIngls01Sangria"/>
        <w:rPr>
          <w:sz w:val="16"/>
          <w:szCs w:val="20"/>
        </w:rPr>
      </w:pPr>
      <w:r w:rsidRPr="00DC1A5F">
        <w:rPr>
          <w:sz w:val="16"/>
          <w:szCs w:val="20"/>
        </w:rPr>
        <w:t xml:space="preserve">produjese; cuando ésta esté presente, entonces ésta surgirá; </w:t>
      </w:r>
    </w:p>
    <w:p w14:paraId="6D79F358" w14:textId="77777777" w:rsidR="00597DE2" w:rsidRPr="00DC1A5F" w:rsidRDefault="00597DE2" w:rsidP="00597DE2">
      <w:pPr>
        <w:pStyle w:val="VersoIngls01Sangria"/>
        <w:rPr>
          <w:sz w:val="16"/>
          <w:szCs w:val="20"/>
        </w:rPr>
      </w:pPr>
      <w:r w:rsidRPr="00DC1A5F">
        <w:rPr>
          <w:sz w:val="16"/>
          <w:szCs w:val="20"/>
        </w:rPr>
        <w:t xml:space="preserve">Cuando la consciencia se disuelva, el mundo perecerá: </w:t>
      </w:r>
    </w:p>
    <w:p w14:paraId="7A795F0A" w14:textId="77777777" w:rsidR="00597DE2" w:rsidRPr="00DC1A5F" w:rsidRDefault="00597DE2" w:rsidP="00597DE2">
      <w:pPr>
        <w:pStyle w:val="VersoIngls01Sangria"/>
        <w:spacing w:after="100"/>
        <w:ind w:left="1418"/>
        <w:rPr>
          <w:sz w:val="16"/>
          <w:szCs w:val="20"/>
        </w:rPr>
      </w:pPr>
      <w:r w:rsidRPr="00DC1A5F">
        <w:rPr>
          <w:sz w:val="16"/>
          <w:szCs w:val="20"/>
        </w:rPr>
        <w:t>Éste es el significado más elevado que permitirá este concepto.</w:t>
      </w:r>
    </w:p>
    <w:p w14:paraId="1D400E60" w14:textId="77777777" w:rsidR="00597DE2" w:rsidRPr="00DC1A5F" w:rsidRDefault="00597DE2" w:rsidP="00597DE2">
      <w:pPr>
        <w:pStyle w:val="VersoIngls01Sangria"/>
        <w:rPr>
          <w:sz w:val="16"/>
          <w:szCs w:val="20"/>
        </w:rPr>
      </w:pPr>
      <w:r w:rsidRPr="00DC1A5F">
        <w:rPr>
          <w:sz w:val="16"/>
          <w:szCs w:val="20"/>
        </w:rPr>
        <w:t>No existirá ninguna reserva de estados destruidos, no existirán existencias futuras;</w:t>
      </w:r>
    </w:p>
    <w:p w14:paraId="3D744993" w14:textId="77777777" w:rsidR="00597DE2" w:rsidRPr="00DC1A5F" w:rsidRDefault="00597DE2" w:rsidP="00597DE2">
      <w:pPr>
        <w:pStyle w:val="VersoIngls01Sangria"/>
        <w:rPr>
          <w:sz w:val="16"/>
          <w:szCs w:val="20"/>
        </w:rPr>
      </w:pPr>
      <w:r w:rsidRPr="00DC1A5F">
        <w:rPr>
          <w:sz w:val="16"/>
          <w:szCs w:val="20"/>
        </w:rPr>
        <w:t xml:space="preserve">Los que nazcan se equilibrarán como semillas en las puntas de una aguja. </w:t>
      </w:r>
    </w:p>
    <w:p w14:paraId="313757EE" w14:textId="77777777" w:rsidR="00597DE2" w:rsidRPr="00DC1A5F" w:rsidRDefault="00597DE2" w:rsidP="00597DE2">
      <w:pPr>
        <w:pStyle w:val="VersoIngls01Sangria"/>
        <w:rPr>
          <w:sz w:val="16"/>
          <w:szCs w:val="20"/>
        </w:rPr>
      </w:pPr>
      <w:r w:rsidRPr="00DC1A5F">
        <w:rPr>
          <w:sz w:val="16"/>
          <w:szCs w:val="20"/>
        </w:rPr>
        <w:t xml:space="preserve">La disolución de los estados estará condenada desde su nacimiento; </w:t>
      </w:r>
    </w:p>
    <w:p w14:paraId="333522E6" w14:textId="77777777" w:rsidR="00597DE2" w:rsidRPr="00DC1A5F" w:rsidRDefault="00597DE2" w:rsidP="00597DE2">
      <w:pPr>
        <w:pStyle w:val="VersoIngls01Sangria"/>
        <w:rPr>
          <w:sz w:val="16"/>
          <w:szCs w:val="20"/>
        </w:rPr>
      </w:pPr>
      <w:r w:rsidRPr="00DC1A5F">
        <w:rPr>
          <w:sz w:val="16"/>
          <w:szCs w:val="20"/>
        </w:rPr>
        <w:t xml:space="preserve">Los presentes se deteriorarán, sin mezclarse con los pasados. </w:t>
      </w:r>
    </w:p>
    <w:p w14:paraId="18889871" w14:textId="77777777" w:rsidR="00597DE2" w:rsidRPr="00DC1A5F" w:rsidRDefault="00597DE2" w:rsidP="00597DE2">
      <w:pPr>
        <w:pStyle w:val="VersoIngls01Sangria"/>
        <w:rPr>
          <w:sz w:val="16"/>
          <w:szCs w:val="20"/>
        </w:rPr>
      </w:pPr>
      <w:r w:rsidRPr="00DC1A5F">
        <w:rPr>
          <w:sz w:val="16"/>
          <w:szCs w:val="20"/>
        </w:rPr>
        <w:t xml:space="preserve">Provienen de la nada, se destruirán para partir hacia ninguna parte; </w:t>
      </w:r>
    </w:p>
    <w:p w14:paraId="4B4CD415" w14:textId="77777777" w:rsidR="00597DE2" w:rsidRPr="00DC1A5F" w:rsidRDefault="00597DE2" w:rsidP="00597DE2">
      <w:pPr>
        <w:pStyle w:val="VersoIngls01Sangria"/>
        <w:spacing w:after="100"/>
        <w:ind w:left="1418"/>
        <w:rPr>
          <w:sz w:val="16"/>
          <w:szCs w:val="20"/>
        </w:rPr>
      </w:pPr>
      <w:r w:rsidRPr="00DC1A5F">
        <w:rPr>
          <w:sz w:val="16"/>
          <w:szCs w:val="20"/>
        </w:rPr>
        <w:t>Destellarán interna y externamente, como relámpagos en el cielo</w:t>
      </w:r>
      <w:r w:rsidRPr="00DC1A5F">
        <w:rPr>
          <w:sz w:val="16"/>
          <w:szCs w:val="20"/>
          <w:vertAlign w:val="superscript"/>
        </w:rPr>
        <w:t>23</w:t>
      </w:r>
      <w:r w:rsidRPr="00DC1A5F">
        <w:rPr>
          <w:sz w:val="16"/>
          <w:szCs w:val="20"/>
        </w:rPr>
        <w:t xml:space="preserve"> (</w:t>
      </w:r>
      <w:proofErr w:type="spellStart"/>
      <w:r w:rsidRPr="00DC1A5F">
        <w:rPr>
          <w:sz w:val="16"/>
          <w:szCs w:val="20"/>
        </w:rPr>
        <w:t>Nidd</w:t>
      </w:r>
      <w:proofErr w:type="spellEnd"/>
      <w:r w:rsidRPr="00DC1A5F">
        <w:rPr>
          <w:sz w:val="16"/>
          <w:szCs w:val="20"/>
        </w:rPr>
        <w:t xml:space="preserve"> I 42).</w:t>
      </w:r>
    </w:p>
    <w:p w14:paraId="5D7109D6" w14:textId="77777777" w:rsidR="00597DE2" w:rsidRPr="00DC1A5F" w:rsidRDefault="00597DE2" w:rsidP="00597DE2">
      <w:r w:rsidRPr="00DC1A5F">
        <w:t xml:space="preserve">73. </w:t>
      </w:r>
      <w:r w:rsidRPr="00DC1A5F">
        <w:tab/>
      </w:r>
      <w:r w:rsidRPr="00DC1A5F">
        <w:rPr>
          <w:i/>
          <w:iCs/>
        </w:rPr>
        <w:t>7</w:t>
      </w:r>
      <w:r w:rsidRPr="00DC1A5F">
        <w:t xml:space="preserve">. Habiendo atribuido las 3 características a la materialidad que surja del nutrimento, etc., él le atribuirá de nuevo las 3 características a la materialidad natural. La </w:t>
      </w:r>
      <w:r w:rsidRPr="00DC1A5F">
        <w:rPr>
          <w:i/>
          <w:iCs/>
        </w:rPr>
        <w:t>materialidad natural</w:t>
      </w:r>
      <w:r w:rsidRPr="00DC1A5F">
        <w:t xml:space="preserve"> corresponderá a un nombre para la materialidad externa que no esté ligada a las facultades y que surge junto con el eón de la expansión estelar, por ejemplo, el hierro, el cobre, el estaño, el plomo, el oro, la plata, las perlas, las gemas, el berilo, la caracola, el mármol, el coral, el rubí, el ópalo, el suelo, la piedra, la roca, las hierbas, el árbol, la enredadera, etc. (ver </w:t>
      </w:r>
      <w:proofErr w:type="spellStart"/>
      <w:r w:rsidRPr="00DC1A5F">
        <w:t>Vibh</w:t>
      </w:r>
      <w:proofErr w:type="spellEnd"/>
      <w:r w:rsidRPr="00DC1A5F">
        <w:t xml:space="preserve"> 83). Ello se hará evidente para él por medio del brote de un árbol </w:t>
      </w:r>
      <w:proofErr w:type="spellStart"/>
      <w:r w:rsidRPr="00DC1A5F">
        <w:rPr>
          <w:i/>
          <w:iCs/>
        </w:rPr>
        <w:t>asoka</w:t>
      </w:r>
      <w:proofErr w:type="spellEnd"/>
      <w:r w:rsidRPr="00DC1A5F">
        <w:t>.</w:t>
      </w:r>
    </w:p>
    <w:p w14:paraId="54933946" w14:textId="77777777" w:rsidR="00597DE2" w:rsidRPr="00DC1A5F" w:rsidRDefault="00597DE2" w:rsidP="00597DE2">
      <w:r w:rsidRPr="00DC1A5F">
        <w:t xml:space="preserve">74. </w:t>
      </w:r>
      <w:r w:rsidRPr="00DC1A5F">
        <w:tab/>
        <w:t>Ya que éste será, para empezar, de color rosado pálido; luego, en dos o tres días se volverá guinda, nuevamente en dos o tres días, rojo opaco, luego marrón, del color de un brote tierno de mango; luego, del color de un brote en crecimiento; luego, del color de las hojas pálidas; a continuación, del color de las hojas verde oscuro. Después de haber adquirido el color de las hojas verde oscuro, a medida que prosigan las sucesivas etapas de tal continuidad material, finalmente se convertirá en follaje marchito y al final del año se desprenderá de su tallo y caerá al suelo.</w:t>
      </w:r>
    </w:p>
    <w:p w14:paraId="2F0906CD" w14:textId="77777777" w:rsidR="00597DE2" w:rsidRPr="00DC1A5F" w:rsidRDefault="00597DE2" w:rsidP="00597DE2">
      <w:r w:rsidRPr="00DC1A5F">
        <w:t xml:space="preserve">75. </w:t>
      </w:r>
      <w:r w:rsidRPr="00DC1A5F">
        <w:tab/>
        <w:t xml:space="preserve">Discerniéndola así, él le atribuirá así las 3 características: La materialidad que ocurra cuando sea de color rosado pálido cesará entonces sin llegar al instante en el que sea guinda; la materialidad que ocurra cuando sea guinda... rojo opaco; la materialidad que ocurra cuando sea de color rojo opaco... del color de un brote tierno de un mango; la materialidad que ocurra cuando sea del color de un brote tierno de mango… el color de un brote en crecimiento; la materialidad que ocurra cuando sea del color de un brote en crecimiento… del color de las hojas verde pálido; la materialidad que ocurra cuando sea del color de las hojas verde pálido… del color de las hojas verde oscuro; la materialidad que ocurra cuando sea del color de las hojas verde </w:t>
      </w:r>
    </w:p>
    <w:p w14:paraId="0856AE2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064EE09" w14:textId="77777777" w:rsidR="00597DE2" w:rsidRPr="00DC1A5F" w:rsidRDefault="00597DE2" w:rsidP="00597DE2">
      <w:pPr>
        <w:pStyle w:val="PiedepginaLegal"/>
        <w:numPr>
          <w:ilvl w:val="0"/>
          <w:numId w:val="9"/>
        </w:numPr>
        <w:tabs>
          <w:tab w:val="clear" w:pos="425"/>
          <w:tab w:val="left" w:pos="284"/>
        </w:tabs>
        <w:ind w:left="284" w:hanging="284"/>
      </w:pPr>
      <w:r w:rsidRPr="00DC1A5F">
        <w:t xml:space="preserve">Este verso se cita dos veces en el </w:t>
      </w:r>
      <w:proofErr w:type="spellStart"/>
      <w:r w:rsidRPr="00DC1A5F">
        <w:rPr>
          <w:i/>
          <w:iCs/>
        </w:rPr>
        <w:t>Mahāniddesa</w:t>
      </w:r>
      <w:proofErr w:type="spellEnd"/>
      <w:r w:rsidRPr="00DC1A5F">
        <w:t xml:space="preserve"> (</w:t>
      </w:r>
      <w:proofErr w:type="spellStart"/>
      <w:r w:rsidRPr="00DC1A5F">
        <w:t>Nidd</w:t>
      </w:r>
      <w:proofErr w:type="spellEnd"/>
      <w:r w:rsidRPr="00DC1A5F">
        <w:t xml:space="preserve"> I 42 y 118). Para el comentario del </w:t>
      </w:r>
      <w:proofErr w:type="spellStart"/>
      <w:r w:rsidRPr="00DC1A5F">
        <w:t>Vism</w:t>
      </w:r>
      <w:proofErr w:type="spellEnd"/>
      <w:r w:rsidRPr="00DC1A5F">
        <w:t>–</w:t>
      </w:r>
      <w:proofErr w:type="spellStart"/>
      <w:r w:rsidRPr="00DC1A5F">
        <w:t>mhṭ</w:t>
      </w:r>
      <w:proofErr w:type="spellEnd"/>
      <w:r w:rsidRPr="00DC1A5F">
        <w:t xml:space="preserve">, véase el Cap. VIII, nota 11. El </w:t>
      </w:r>
      <w:proofErr w:type="spellStart"/>
      <w:r w:rsidRPr="00DC1A5F">
        <w:t>Vism</w:t>
      </w:r>
      <w:proofErr w:type="spellEnd"/>
      <w:r w:rsidRPr="00DC1A5F">
        <w:t>–</w:t>
      </w:r>
      <w:proofErr w:type="spellStart"/>
      <w:r w:rsidRPr="00DC1A5F">
        <w:t>mhṭ</w:t>
      </w:r>
      <w:proofErr w:type="spellEnd"/>
      <w:r w:rsidRPr="00DC1A5F">
        <w:t xml:space="preserve"> y la traducción al cingalés se han adoptado como guías para traducir este verso bastante difícil. Hay otra estrofa en el </w:t>
      </w:r>
      <w:proofErr w:type="spellStart"/>
      <w:r w:rsidRPr="00DC1A5F">
        <w:rPr>
          <w:i/>
          <w:iCs/>
        </w:rPr>
        <w:t>Niddesa</w:t>
      </w:r>
      <w:proofErr w:type="spellEnd"/>
      <w:r w:rsidRPr="00DC1A5F">
        <w:t xml:space="preserve"> que no se cita aquí:</w:t>
      </w:r>
    </w:p>
    <w:p w14:paraId="3B0C8225" w14:textId="77777777" w:rsidR="00597DE2" w:rsidRPr="00DC1A5F" w:rsidRDefault="00597DE2" w:rsidP="00597DE2">
      <w:pPr>
        <w:pStyle w:val="PiedepginaLegal"/>
        <w:spacing w:after="0"/>
        <w:ind w:left="1276"/>
        <w:rPr>
          <w:sz w:val="12"/>
          <w:szCs w:val="20"/>
        </w:rPr>
      </w:pPr>
      <w:r w:rsidRPr="00DC1A5F">
        <w:rPr>
          <w:sz w:val="12"/>
          <w:szCs w:val="20"/>
        </w:rPr>
        <w:t>“… este concepto lo permitirá.</w:t>
      </w:r>
    </w:p>
    <w:p w14:paraId="69E9AC18" w14:textId="77777777" w:rsidR="00597DE2" w:rsidRPr="00DC1A5F" w:rsidRDefault="00597DE2" w:rsidP="00597DE2">
      <w:pPr>
        <w:pStyle w:val="PiedepginaLegal"/>
        <w:spacing w:after="0"/>
        <w:ind w:left="1276"/>
        <w:rPr>
          <w:sz w:val="12"/>
          <w:szCs w:val="20"/>
        </w:rPr>
      </w:pPr>
      <w:r w:rsidRPr="00DC1A5F">
        <w:rPr>
          <w:sz w:val="12"/>
          <w:szCs w:val="20"/>
        </w:rPr>
        <w:t>Los estados se sucederán según lo dicten sus tendencias;</w:t>
      </w:r>
    </w:p>
    <w:p w14:paraId="447BF71A" w14:textId="77777777" w:rsidR="00597DE2" w:rsidRPr="00DC1A5F" w:rsidRDefault="00597DE2" w:rsidP="00597DE2">
      <w:pPr>
        <w:pStyle w:val="PiedepginaLegal"/>
        <w:spacing w:after="0"/>
        <w:ind w:left="1276"/>
        <w:rPr>
          <w:sz w:val="12"/>
          <w:szCs w:val="20"/>
        </w:rPr>
      </w:pPr>
      <w:r w:rsidRPr="00DC1A5F">
        <w:rPr>
          <w:sz w:val="12"/>
          <w:szCs w:val="20"/>
        </w:rPr>
        <w:t>Y estarán modelados por el deseo; su corriente</w:t>
      </w:r>
    </w:p>
    <w:p w14:paraId="62C366E0" w14:textId="77777777" w:rsidR="00597DE2" w:rsidRPr="00DC1A5F" w:rsidRDefault="00597DE2" w:rsidP="00597DE2">
      <w:pPr>
        <w:pStyle w:val="PiedepginaLegal"/>
        <w:spacing w:after="0"/>
        <w:ind w:left="1276"/>
        <w:rPr>
          <w:sz w:val="12"/>
          <w:szCs w:val="20"/>
        </w:rPr>
      </w:pPr>
      <w:r w:rsidRPr="00DC1A5F">
        <w:rPr>
          <w:sz w:val="12"/>
          <w:szCs w:val="20"/>
        </w:rPr>
        <w:t>Fluirá ininterrumpidamente siempre</w:t>
      </w:r>
    </w:p>
    <w:p w14:paraId="7D4E95AF" w14:textId="77777777" w:rsidR="00597DE2" w:rsidRPr="00DC1A5F" w:rsidRDefault="00597DE2" w:rsidP="00597DE2">
      <w:pPr>
        <w:pStyle w:val="PiedepginaLegal"/>
        <w:spacing w:after="0"/>
        <w:ind w:left="1276"/>
        <w:rPr>
          <w:sz w:val="12"/>
          <w:szCs w:val="20"/>
        </w:rPr>
      </w:pPr>
      <w:r w:rsidRPr="00DC1A5F">
        <w:rPr>
          <w:sz w:val="12"/>
          <w:szCs w:val="20"/>
        </w:rPr>
        <w:t xml:space="preserve">Condicionado por la base séxtuple del contacto. </w:t>
      </w:r>
    </w:p>
    <w:p w14:paraId="4AD15382" w14:textId="77777777" w:rsidR="00597DE2" w:rsidRPr="00DC1A5F" w:rsidRDefault="00597DE2" w:rsidP="00597DE2">
      <w:pPr>
        <w:pStyle w:val="PiedepginaLegal"/>
        <w:spacing w:after="0"/>
        <w:ind w:left="1276"/>
        <w:rPr>
          <w:sz w:val="12"/>
          <w:szCs w:val="20"/>
        </w:rPr>
      </w:pPr>
      <w:r w:rsidRPr="00DC1A5F">
        <w:rPr>
          <w:sz w:val="12"/>
          <w:szCs w:val="20"/>
        </w:rPr>
        <w:t>No habrá un almacenamiento de estados destruidos…”</w:t>
      </w:r>
    </w:p>
    <w:p w14:paraId="5B7D82A8" w14:textId="77777777" w:rsidR="00597DE2" w:rsidRPr="00DC1A5F" w:rsidRDefault="00597DE2" w:rsidP="00597DE2">
      <w:pPr>
        <w:tabs>
          <w:tab w:val="clear" w:pos="425"/>
        </w:tabs>
        <w:spacing w:after="160"/>
      </w:pPr>
      <w:r w:rsidRPr="00DC1A5F">
        <w:br w:type="page"/>
      </w:r>
    </w:p>
    <w:p w14:paraId="790A5E77" w14:textId="77777777" w:rsidR="00597DE2" w:rsidRPr="00DC1A5F" w:rsidRDefault="00597DE2" w:rsidP="00597DE2">
      <w:pPr>
        <w:pStyle w:val="Textoindependiente"/>
      </w:pPr>
      <w:r w:rsidRPr="00DC1A5F">
        <w:lastRenderedPageBreak/>
        <w:t>oscuro…hasta el momento cuando sea un follaje marchito; la materialidad que ocurra cuando sea un follaje marchito cesará entonces sin [626] llegar al instante en que se desprenda de su tallo y caiga al suelo: por lo tanto sea impermanente, dolorosa, no–alma.</w:t>
      </w:r>
    </w:p>
    <w:p w14:paraId="1DD6E99A" w14:textId="77777777" w:rsidR="00597DE2" w:rsidRPr="00DC1A5F" w:rsidRDefault="00597DE2" w:rsidP="00597DE2">
      <w:pPr>
        <w:pStyle w:val="NormalConSangria"/>
      </w:pPr>
      <w:r w:rsidRPr="00DC1A5F">
        <w:t>Él comprenderá toda la materialidad natural de esta manera.</w:t>
      </w:r>
    </w:p>
    <w:p w14:paraId="58CC81D9" w14:textId="77777777" w:rsidR="00597DE2" w:rsidRPr="00DC1A5F" w:rsidRDefault="00597DE2" w:rsidP="00597DE2">
      <w:pPr>
        <w:pStyle w:val="NormalConSangria"/>
      </w:pPr>
      <w:r w:rsidRPr="00DC1A5F">
        <w:t>Es así cómo, en primer lugar, él comprenderá las formaciones atribuyéndoles las 3 características por medio del séptuplo material.</w:t>
      </w:r>
    </w:p>
    <w:p w14:paraId="389E57EB" w14:textId="77777777" w:rsidR="00597DE2" w:rsidRPr="00DC1A5F" w:rsidRDefault="00597DE2" w:rsidP="00597DE2">
      <w:pPr>
        <w:pStyle w:val="Ttulo3"/>
        <w:ind w:left="708"/>
      </w:pPr>
      <w:r w:rsidRPr="00DC1A5F">
        <w:t>[El Séptuplo Inmaterial]</w:t>
      </w:r>
    </w:p>
    <w:p w14:paraId="2D9FB667" w14:textId="77777777" w:rsidR="00597DE2" w:rsidRPr="00DC1A5F" w:rsidRDefault="00597DE2" w:rsidP="00597DE2">
      <w:r w:rsidRPr="00DC1A5F">
        <w:t xml:space="preserve">76. </w:t>
      </w:r>
      <w:r w:rsidRPr="00DC1A5F">
        <w:tab/>
        <w:t>Los términos que han sido denominados anteriormente como “el séptuplo inmaterial” corresponden a los siguientes: (1) mediante grupos, (2) mediante pares, (3) mediante momentos, (4) mediante series, (5) mediante la eliminación de visiones incorrectas, (6) mediante la disipación de la presunción, (7) mediante la disipación del apego.</w:t>
      </w:r>
    </w:p>
    <w:p w14:paraId="632553B3" w14:textId="77777777" w:rsidR="00597DE2" w:rsidRPr="00DC1A5F" w:rsidRDefault="00597DE2" w:rsidP="00597DE2">
      <w:pPr>
        <w:rPr>
          <w:vertAlign w:val="superscript"/>
        </w:rPr>
      </w:pPr>
      <w:r w:rsidRPr="00DC1A5F">
        <w:t xml:space="preserve">77. </w:t>
      </w:r>
      <w:r w:rsidRPr="00DC1A5F">
        <w:tab/>
        <w:t xml:space="preserve">1. </w:t>
      </w:r>
      <w:r w:rsidRPr="00DC1A5F">
        <w:rPr>
          <w:i/>
          <w:iCs/>
        </w:rPr>
        <w:t>Mediante grupos,</w:t>
      </w:r>
      <w:r w:rsidRPr="00DC1A5F">
        <w:t xml:space="preserve"> se entenderá aquí los estados pertenecientes al contacto quíntuplo.</w:t>
      </w:r>
      <w:r w:rsidRPr="00DC1A5F">
        <w:rPr>
          <w:vertAlign w:val="superscript"/>
        </w:rPr>
        <w:t>24</w:t>
      </w:r>
      <w:r w:rsidRPr="00DC1A5F">
        <w:t xml:space="preserve"> ¿Cómo? Aquí, “él comprenderá mediante grupos” significa que un </w:t>
      </w:r>
      <w:proofErr w:type="spellStart"/>
      <w:r w:rsidRPr="00DC1A5F">
        <w:rPr>
          <w:i/>
        </w:rPr>
        <w:t>bhikkhu</w:t>
      </w:r>
      <w:proofErr w:type="spellEnd"/>
      <w:r w:rsidRPr="00DC1A5F">
        <w:t xml:space="preserve"> considerará lo siguiente: estados pertenecientes al contacto quíntuplo que surjan en la comprensión de los cabellos de la cabeza como “impermanentes, insatisfactorio  y no–alma”; estados pertenecientes al contacto quíntuplo que surjan de la comprensión de los vellos corporales como... en la contemplación del cerebro como “impermanentes, insatisfactorio  y no–alma”: todos estos estados se desintegrarán sección por sección, término por término, como las semillas de sésamo crepitantes colocadas en una sartén caliente, cada uno cesará sin llegar al siguiente estado: por lo tanto, serán impermanentes, insatisfactorio  y no–alma. Éste, en primer lugar, corresponderá al método según el Discurso sobre la Purificación.</w:t>
      </w:r>
      <w:r w:rsidRPr="00DC1A5F">
        <w:rPr>
          <w:vertAlign w:val="superscript"/>
        </w:rPr>
        <w:t>25</w:t>
      </w:r>
    </w:p>
    <w:p w14:paraId="2A08E267" w14:textId="77777777" w:rsidR="00597DE2" w:rsidRPr="00DC1A5F" w:rsidRDefault="00597DE2" w:rsidP="00597DE2">
      <w:r w:rsidRPr="00DC1A5F">
        <w:t xml:space="preserve">78. </w:t>
      </w:r>
      <w:r w:rsidRPr="00DC1A5F">
        <w:tab/>
        <w:t>Sin embargo, según el Discurso sobre las Herencias de los Nobles, se dice que él “comprenderá mediante grupos” cuando mediante una consciencia subsiguiente comprenda como “impermanente, insatisfactoria y no–alma” aquella consciencia que se produzca al comprender la materialidad como algo “impermanente, insatisfactoria y no–alma” en las siete instancias del séptuplo material descrito arriba. Como este método es el más adecuado, nos limitaremos a él para explicar el resto.</w:t>
      </w:r>
    </w:p>
    <w:p w14:paraId="31E2643B" w14:textId="77777777" w:rsidR="00597DE2" w:rsidRPr="00DC1A5F" w:rsidRDefault="00597DE2" w:rsidP="00597DE2">
      <w:r w:rsidRPr="00DC1A5F">
        <w:t xml:space="preserve">79. </w:t>
      </w:r>
      <w:r w:rsidRPr="00DC1A5F">
        <w:tab/>
        <w:t xml:space="preserve">2. </w:t>
      </w:r>
      <w:r w:rsidRPr="00DC1A5F">
        <w:rPr>
          <w:i/>
          <w:iCs/>
        </w:rPr>
        <w:t>Mediante pares</w:t>
      </w:r>
      <w:r w:rsidRPr="00DC1A5F">
        <w:t xml:space="preserve">: después de que el </w:t>
      </w:r>
      <w:proofErr w:type="spellStart"/>
      <w:r w:rsidRPr="00DC1A5F">
        <w:rPr>
          <w:i/>
        </w:rPr>
        <w:t>bhikkhu</w:t>
      </w:r>
      <w:proofErr w:type="spellEnd"/>
      <w:r w:rsidRPr="00DC1A5F">
        <w:t xml:space="preserve"> haya comprendido como “impermanente, insatisfactoria y no–alma” la materialidad de “tomando y dejando” (§46f.), éste comenzará a comprender esa consciencia con la que se encontraba comprendiendo la materialidad también como “impermanente, insatisfactoria y no–alma” por medio de una consciencia posterior. Después de haber comprendido como “impermanente, insatisfactoria y no–alma” la materialidad de la “desaparición de lo que envejezca en cada etapa” y lo que “esté surgiendo del nutrimento”, “surgiendo de la temperatura”, “surgiendo del </w:t>
      </w:r>
      <w:proofErr w:type="spellStart"/>
      <w:r w:rsidRPr="00DC1A5F">
        <w:rPr>
          <w:i/>
        </w:rPr>
        <w:t>kamma</w:t>
      </w:r>
      <w:proofErr w:type="spellEnd"/>
      <w:r w:rsidRPr="00DC1A5F">
        <w:t>”, “surgiendo de la consciencia” y como “materialidad natural”, él comprenderá dicha consciencia también como “impermanente, insatisfactoria y no–alma” por medio de una consciencia subsiguiente. De esta manera, se dice que, él comprenderá mediante pares.</w:t>
      </w:r>
    </w:p>
    <w:p w14:paraId="552C0AF7" w14:textId="77777777" w:rsidR="00597DE2" w:rsidRPr="00DC1A5F" w:rsidRDefault="00597DE2" w:rsidP="00597DE2">
      <w:pPr>
        <w:pStyle w:val="PiedepginaLegal"/>
        <w:rPr>
          <w:sz w:val="8"/>
          <w:szCs w:val="16"/>
          <w:u w:val="single"/>
        </w:rPr>
      </w:pPr>
      <w:r w:rsidRPr="00DC1A5F">
        <w:rPr>
          <w:sz w:val="8"/>
          <w:szCs w:val="16"/>
          <w:u w:val="single"/>
        </w:rPr>
        <w:tab/>
      </w:r>
      <w:r w:rsidRPr="00DC1A5F">
        <w:rPr>
          <w:sz w:val="8"/>
          <w:szCs w:val="16"/>
          <w:u w:val="single"/>
        </w:rPr>
        <w:tab/>
      </w:r>
      <w:r w:rsidRPr="00DC1A5F">
        <w:rPr>
          <w:sz w:val="8"/>
          <w:szCs w:val="16"/>
          <w:u w:val="single"/>
        </w:rPr>
        <w:tab/>
      </w:r>
      <w:r w:rsidRPr="00DC1A5F">
        <w:rPr>
          <w:sz w:val="8"/>
          <w:szCs w:val="16"/>
          <w:u w:val="single"/>
        </w:rPr>
        <w:tab/>
        <w:t>–</w:t>
      </w:r>
    </w:p>
    <w:p w14:paraId="15AD9647" w14:textId="77777777" w:rsidR="00597DE2" w:rsidRPr="00DC1A5F" w:rsidRDefault="00597DE2" w:rsidP="00597DE2">
      <w:pPr>
        <w:pStyle w:val="PiedepginaLegal"/>
        <w:numPr>
          <w:ilvl w:val="0"/>
          <w:numId w:val="9"/>
        </w:numPr>
        <w:tabs>
          <w:tab w:val="clear" w:pos="425"/>
          <w:tab w:val="left" w:pos="284"/>
        </w:tabs>
        <w:ind w:left="284" w:hanging="284"/>
      </w:pPr>
      <w:r w:rsidRPr="00DC1A5F">
        <w:t>El “contacto quíntuplo” (</w:t>
      </w:r>
      <w:proofErr w:type="spellStart"/>
      <w:r w:rsidRPr="00DC1A5F">
        <w:rPr>
          <w:i/>
          <w:iCs/>
        </w:rPr>
        <w:t>phassa</w:t>
      </w:r>
      <w:proofErr w:type="spellEnd"/>
      <w:r w:rsidRPr="00DC1A5F">
        <w:rPr>
          <w:i/>
          <w:iCs/>
        </w:rPr>
        <w:t>–</w:t>
      </w:r>
      <w:proofErr w:type="spellStart"/>
      <w:r w:rsidRPr="00DC1A5F">
        <w:rPr>
          <w:i/>
          <w:iCs/>
        </w:rPr>
        <w:t>pañcamaka</w:t>
      </w:r>
      <w:proofErr w:type="spellEnd"/>
      <w:r w:rsidRPr="00DC1A5F">
        <w:t xml:space="preserve">) corresponderá a un término utilizado para las primeras 5 cosas enumeradas en el </w:t>
      </w:r>
      <w:proofErr w:type="spellStart"/>
      <w:r w:rsidRPr="00DC1A5F">
        <w:t>Dhs</w:t>
      </w:r>
      <w:proofErr w:type="spellEnd"/>
      <w:r w:rsidRPr="00DC1A5F">
        <w:t xml:space="preserve"> §1, es decir, el contacto, la sensación, la percepción, la volición y la consciencia, que estarán invariablemente presentes siempre que haya consciencia.</w:t>
      </w:r>
    </w:p>
    <w:p w14:paraId="3F6ACE87"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El “Discurso sobre la Purificación” (</w:t>
      </w:r>
      <w:proofErr w:type="spellStart"/>
      <w:r w:rsidRPr="00DC1A5F">
        <w:rPr>
          <w:i/>
          <w:iCs/>
        </w:rPr>
        <w:t>visuddhi</w:t>
      </w:r>
      <w:proofErr w:type="spellEnd"/>
      <w:r w:rsidRPr="00DC1A5F">
        <w:rPr>
          <w:i/>
          <w:iCs/>
        </w:rPr>
        <w:t>–</w:t>
      </w:r>
      <w:proofErr w:type="spellStart"/>
      <w:r w:rsidRPr="00DC1A5F">
        <w:rPr>
          <w:i/>
          <w:iCs/>
        </w:rPr>
        <w:t>kathā</w:t>
      </w:r>
      <w:proofErr w:type="spellEnd"/>
      <w:r w:rsidRPr="00DC1A5F">
        <w:t>) y el “Discurso sobre las herencias de los nobles” (</w:t>
      </w:r>
      <w:proofErr w:type="spellStart"/>
      <w:r w:rsidRPr="00DC1A5F">
        <w:rPr>
          <w:i/>
          <w:iCs/>
        </w:rPr>
        <w:t>ariyavaísa</w:t>
      </w:r>
      <w:proofErr w:type="spellEnd"/>
      <w:r w:rsidRPr="00DC1A5F">
        <w:rPr>
          <w:i/>
          <w:iCs/>
        </w:rPr>
        <w:t>–</w:t>
      </w:r>
      <w:proofErr w:type="spellStart"/>
      <w:r w:rsidRPr="00DC1A5F">
        <w:rPr>
          <w:i/>
          <w:iCs/>
        </w:rPr>
        <w:t>kathā</w:t>
      </w:r>
      <w:proofErr w:type="spellEnd"/>
      <w:r w:rsidRPr="00DC1A5F">
        <w:t>) son presumiblemente términos correspondientes a los capítulos de los antiguos comentarios cingaleses que ya no existen en la actualidad.</w:t>
      </w:r>
      <w:r w:rsidRPr="00DC1A5F">
        <w:br w:type="page"/>
      </w:r>
    </w:p>
    <w:p w14:paraId="7F81D560" w14:textId="77777777" w:rsidR="00597DE2" w:rsidRPr="00DC1A5F" w:rsidRDefault="00597DE2" w:rsidP="00597DE2">
      <w:r w:rsidRPr="00DC1A5F">
        <w:lastRenderedPageBreak/>
        <w:t xml:space="preserve">80. </w:t>
      </w:r>
      <w:r w:rsidRPr="00DC1A5F">
        <w:tab/>
        <w:t xml:space="preserve">3. </w:t>
      </w:r>
      <w:r w:rsidRPr="00DC1A5F">
        <w:rPr>
          <w:i/>
          <w:iCs/>
        </w:rPr>
        <w:t>Mediante momentos</w:t>
      </w:r>
      <w:r w:rsidRPr="00DC1A5F">
        <w:t xml:space="preserve">: después de que el </w:t>
      </w:r>
      <w:proofErr w:type="spellStart"/>
      <w:r w:rsidRPr="00DC1A5F">
        <w:rPr>
          <w:i/>
        </w:rPr>
        <w:t>bhikkhu</w:t>
      </w:r>
      <w:proofErr w:type="spellEnd"/>
      <w:r w:rsidRPr="00DC1A5F">
        <w:t xml:space="preserve"> haya comprendido como “impermanente, insatisfactoria y no–alma” la materialidad de “tomando y dejando”, ​​comprenderá esa primera consciencia con la que estaba comprendiendo la materialidad como “ impermanente, insatisfactoria y no–alma” por medio de una segunda consciencia; esa segunda consciencia, por medio de otra tercera; la tercera, por medio de una cuarta; y la cuarta por medio de una quinta, y esa consciencia también la comprenderá como “impermanente, insatisfactoria y no–alma”. Después de haber comprendido como “impermanente, insatisfactoria y no–alma” la materialidad de la “desaparición de lo que envejezca en cada etapa” y lo que “esté surgiendo del nutrimento”, “esté surgiendo de la temperatura”, [627] “surgiendo del </w:t>
      </w:r>
      <w:proofErr w:type="spellStart"/>
      <w:r w:rsidRPr="00DC1A5F">
        <w:rPr>
          <w:i/>
        </w:rPr>
        <w:t>kamma</w:t>
      </w:r>
      <w:proofErr w:type="spellEnd"/>
      <w:r w:rsidRPr="00DC1A5F">
        <w:t>”, “surgiendo de la consciencia” y “como materialidad natural”, él comprenderá esa primera consciencia como “impermanente, insatisfactoria y no–alma” por medio de una segunda consciencia; y esa segunda consciencia, por medio de una tercera; y la tercera, por medio de una cuarta: y la cuarta, por medio de una quinta; que también comprenderá como “impermanente, insatisfactoria y no–alma”. Comprendiendo así 4 consciencias de cada discernimiento sobre la materialidad, se dirá que las comprenderá mediante momentos.</w:t>
      </w:r>
    </w:p>
    <w:p w14:paraId="32E3B6E4" w14:textId="77777777" w:rsidR="00597DE2" w:rsidRPr="00DC1A5F" w:rsidRDefault="00597DE2" w:rsidP="00597DE2">
      <w:r w:rsidRPr="00DC1A5F">
        <w:t xml:space="preserve">81. </w:t>
      </w:r>
      <w:r w:rsidRPr="00DC1A5F">
        <w:tab/>
        <w:t xml:space="preserve">4. </w:t>
      </w:r>
      <w:r w:rsidRPr="00DC1A5F">
        <w:rPr>
          <w:i/>
          <w:iCs/>
        </w:rPr>
        <w:t>Mediante series</w:t>
      </w:r>
      <w:r w:rsidRPr="00DC1A5F">
        <w:t>: después de haber comprendido como “impermanente, insatisfactoria y no–alma” la materialidad del “tomando y dejando”, comprenderá esa primera consciencia como “impermanente, insatisfactoria y no–alma” por medio de una segunda consciencia; y la segunda, por medio de una tercera; y la tercera, por medio de una cuarta</w:t>
      </w:r>
      <w:proofErr w:type="gramStart"/>
      <w:r w:rsidRPr="00DC1A5F">
        <w:t>… ;</w:t>
      </w:r>
      <w:proofErr w:type="gramEnd"/>
      <w:r w:rsidRPr="00DC1A5F">
        <w:t xml:space="preserve"> y la décima por medio de una undécima; y ​​eso también lo comprenderá como “impermanente, insatisfactoria y no–alma”. Después de haber comprendido como “impermanente, insatisfactoria y no–alma” la materialidad de la “desaparición de lo que envejezca en cada etapa” y lo que “esté surgiendo del nutrimento”, “surgiendo de la temperatura”, “surgiendo del </w:t>
      </w:r>
      <w:proofErr w:type="spellStart"/>
      <w:r w:rsidRPr="00DC1A5F">
        <w:rPr>
          <w:i/>
        </w:rPr>
        <w:t>kamma</w:t>
      </w:r>
      <w:proofErr w:type="spellEnd"/>
      <w:r w:rsidRPr="00DC1A5F">
        <w:t>”, “surgiendo de la consciencia” y “como materialidad natural”, él comprenderá esa consciencia también como “impermanente, insatisfactoria y no–alma” por medio de una segunda consciencia; y la segunda, por medio de una tercera; ... ; y la décima por medio de una undécima; y también la comprenderá como “impermanente, insatisfactoria y no–alma”. Sería posible seguir comprendiéndolo de esta manera con esta sabiduría secuencial incluso durante un día entero. No obstante, tanto el objeto de meditación material como el objeto de meditación inmaterial se volverán familiares cuando la comprensión se lleve a cabo hasta la décima consciencia. Por eso se dice</w:t>
      </w:r>
      <w:r w:rsidRPr="00DC1A5F">
        <w:rPr>
          <w:vertAlign w:val="superscript"/>
        </w:rPr>
        <w:t>26</w:t>
      </w:r>
      <w:r w:rsidRPr="00DC1A5F">
        <w:t xml:space="preserve"> que podrá detenerse en la décima. Cuando él comprenda eso así se dirá que habrá comprendido las 3 características mediante series.</w:t>
      </w:r>
    </w:p>
    <w:p w14:paraId="64EC1BC6" w14:textId="77777777" w:rsidR="00597DE2" w:rsidRPr="00DC1A5F" w:rsidRDefault="00597DE2" w:rsidP="00597DE2">
      <w:r w:rsidRPr="00DC1A5F">
        <w:t xml:space="preserve">82. </w:t>
      </w:r>
      <w:r w:rsidRPr="00DC1A5F">
        <w:tab/>
        <w:t xml:space="preserve">5. </w:t>
      </w:r>
      <w:r w:rsidRPr="00DC1A5F">
        <w:rPr>
          <w:i/>
          <w:iCs/>
        </w:rPr>
        <w:t>Mediante la eliminación de la visión incorrecta</w:t>
      </w:r>
      <w:r w:rsidRPr="00DC1A5F">
        <w:t xml:space="preserve">, 6. </w:t>
      </w:r>
      <w:r w:rsidRPr="00DC1A5F">
        <w:rPr>
          <w:i/>
          <w:iCs/>
        </w:rPr>
        <w:t>Mediante la disipación de la presunción</w:t>
      </w:r>
      <w:r w:rsidRPr="00DC1A5F">
        <w:t xml:space="preserve">, 7. </w:t>
      </w:r>
      <w:r w:rsidRPr="00DC1A5F">
        <w:rPr>
          <w:i/>
          <w:iCs/>
        </w:rPr>
        <w:t>Mediante la disipación del apego</w:t>
      </w:r>
      <w:r w:rsidRPr="00DC1A5F">
        <w:t>: no existirá un único método para ninguno de estos 3. No obstante, cuando haya discernido esta materialidad como se ha descrito anteriormente y esta inmaterialidad como se describe aquí, entonces observará que no existe ningún ser viviente por encima de lo material e inmaterial. Tan pronto como ya no perciba a ningún ser, la percepción de tal ser desaparecerá. Cuando discierna sobre las formaciones mediante una consciencia que haya eliminado la percepción de un ser, entonces la visión incorrecta no surgirá más en él. Cuando la visión incorrecta no surja más en él, entonces se dirá que la visión incorrecta habrá sido eliminada.</w:t>
      </w:r>
    </w:p>
    <w:p w14:paraId="50F257B1" w14:textId="77777777" w:rsidR="00597DE2" w:rsidRPr="00DC1A5F" w:rsidRDefault="00597DE2" w:rsidP="00597DE2">
      <w:pPr>
        <w:pStyle w:val="NormalConSangria"/>
      </w:pPr>
      <w:r w:rsidRPr="00DC1A5F">
        <w:t xml:space="preserve">Cuando discierna en las formaciones con la consciencia que haya eliminado la visión incorrecta, entonces no surgirá más en él la presunción. Cuando no surja la presunción, se dirá que </w:t>
      </w:r>
    </w:p>
    <w:p w14:paraId="7C1AF631" w14:textId="77777777" w:rsidR="00597DE2" w:rsidRPr="00DC1A5F" w:rsidRDefault="00597DE2" w:rsidP="00597DE2">
      <w:pPr>
        <w:pStyle w:val="PiedepginaLegal"/>
        <w:rPr>
          <w:sz w:val="8"/>
          <w:szCs w:val="16"/>
          <w:u w:val="single"/>
        </w:rPr>
      </w:pPr>
      <w:r w:rsidRPr="00DC1A5F">
        <w:rPr>
          <w:sz w:val="8"/>
          <w:szCs w:val="16"/>
          <w:u w:val="single"/>
        </w:rPr>
        <w:tab/>
      </w:r>
      <w:r w:rsidRPr="00DC1A5F">
        <w:rPr>
          <w:sz w:val="8"/>
          <w:szCs w:val="16"/>
          <w:u w:val="single"/>
        </w:rPr>
        <w:tab/>
      </w:r>
      <w:r w:rsidRPr="00DC1A5F">
        <w:rPr>
          <w:sz w:val="8"/>
          <w:szCs w:val="16"/>
          <w:u w:val="single"/>
        </w:rPr>
        <w:tab/>
      </w:r>
      <w:r w:rsidRPr="00DC1A5F">
        <w:rPr>
          <w:sz w:val="8"/>
          <w:szCs w:val="16"/>
          <w:u w:val="single"/>
        </w:rPr>
        <w:tab/>
        <w:t>–</w:t>
      </w:r>
    </w:p>
    <w:p w14:paraId="3163AE49"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“Enunciado en el Discurso sobre las Herencias de los Nobles” (</w:t>
      </w:r>
      <w:proofErr w:type="spellStart"/>
      <w:r w:rsidRPr="00DC1A5F">
        <w:t>Vism</w:t>
      </w:r>
      <w:proofErr w:type="spellEnd"/>
      <w:r w:rsidRPr="00DC1A5F">
        <w:t>–</w:t>
      </w:r>
      <w:proofErr w:type="spellStart"/>
      <w:r w:rsidRPr="00DC1A5F">
        <w:t>mhṭ</w:t>
      </w:r>
      <w:proofErr w:type="spellEnd"/>
      <w:r w:rsidRPr="00DC1A5F">
        <w:t xml:space="preserve"> 804).</w:t>
      </w:r>
      <w:r w:rsidRPr="00DC1A5F">
        <w:br w:type="page"/>
      </w:r>
    </w:p>
    <w:p w14:paraId="5822035B" w14:textId="77777777" w:rsidR="00597DE2" w:rsidRPr="00DC1A5F" w:rsidRDefault="00597DE2" w:rsidP="00597DE2">
      <w:pPr>
        <w:pStyle w:val="Textoindependiente"/>
      </w:pPr>
      <w:r w:rsidRPr="00DC1A5F">
        <w:lastRenderedPageBreak/>
        <w:t>tal presunción habrá sido destruida. Cuando él discierna sobre las formaciones con la consciencia que haya destruido a la presunción, entonces no surgirá en él el deseo. Cuando el deseo no surja más en él, se dirá que el apego habrá sido extinguido. Esto, en primer lugar, es lo que se dice en el Discurso de la Purificación.</w:t>
      </w:r>
    </w:p>
    <w:p w14:paraId="2BE795EC" w14:textId="77777777" w:rsidR="00597DE2" w:rsidRPr="00DC1A5F" w:rsidRDefault="00597DE2" w:rsidP="00597DE2">
      <w:r w:rsidRPr="00DC1A5F">
        <w:t xml:space="preserve">83. </w:t>
      </w:r>
      <w:r w:rsidRPr="00DC1A5F">
        <w:tab/>
        <w:t>No obstante, en el Discurso sobre la Herencia de los Nobles, después de plantearlo así: “Como eliminación de la visión incorrecta, como abolición de la presunción, como cesación del apego”, se establecerá el siguiente método: “No existirá ninguna disipación de la visión incorrecta en quien lo adopte así, ‘observo con sabiduría, con mi sabiduría’; [628] la eliminación de la visión incorrecta se dará en quien lo adopte así, ‘Sólo las formaciones observan las formaciones con sabiduría, las comprenden, las definen, las disciernen y las delimitan’. No existirá disipación de la presunción en quien lo adopte así, ‘Observo a fondo con sabiduría, observo correctamente con sabiduría’; la disipación de la presunción se dará en quien lo adopte así, ‘Solo las formaciones observan las formaciones con sabiduría, las comprenden, las definen, las disciernen y las delimitan’; existirá un término para el apego en quien lo adopte así: “Sólo las formaciones observan las formaciones con sabiduría, las comprenden, las definen, las disciernen y las delimitan”.</w:t>
      </w:r>
    </w:p>
    <w:p w14:paraId="6E6F4CBB" w14:textId="77777777" w:rsidR="00597DE2" w:rsidRPr="00DC1A5F" w:rsidRDefault="00597DE2" w:rsidP="00597DE2">
      <w:r w:rsidRPr="00DC1A5F">
        <w:t xml:space="preserve">84. </w:t>
      </w:r>
      <w:r w:rsidRPr="00DC1A5F">
        <w:tab/>
        <w:t>“La eliminación de la visión incorrecta se dará en quien observe así: ‘Si las formaciones fueran alma, sería correcto adoptarlas como alma; pero al ser no–alma, son adoptadas como alma. Por lo tanto, son no–alma en el sentido de que no poder aplicarse ningún ejercicio de poder sobre ellas; son impermanentes en el sentido de no poder existir después de haber existido; son insatisfactorias en el sentido de opresión del surgir y desaparecer.</w:t>
      </w:r>
    </w:p>
    <w:p w14:paraId="3EDFA582" w14:textId="77777777" w:rsidR="00597DE2" w:rsidRPr="00DC1A5F" w:rsidRDefault="00597DE2" w:rsidP="00597DE2">
      <w:r w:rsidRPr="00DC1A5F">
        <w:t xml:space="preserve">85. </w:t>
      </w:r>
      <w:r w:rsidRPr="00DC1A5F">
        <w:tab/>
        <w:t>“La eliminación de la presunción se dará en quien observe así: ‘Si las formaciones fueran permanentes, sería correcto adoptarlas como permanentes; pero al ser impermanentes se adoptan como permanentes. Por lo tanto, son impermanentes en el sentido de no existir después de haber existido; son insatisfactorias en el sentido de opresión del surgir y desaparecer; son no–alma en el sentido de que no poder aplicarse ningún ejercicio de poder sobre ellas.</w:t>
      </w:r>
    </w:p>
    <w:p w14:paraId="24DD4492" w14:textId="77777777" w:rsidR="00597DE2" w:rsidRPr="00DC1A5F" w:rsidRDefault="00597DE2" w:rsidP="00597DE2">
      <w:r w:rsidRPr="00DC1A5F">
        <w:t xml:space="preserve">86. </w:t>
      </w:r>
      <w:r w:rsidRPr="00DC1A5F">
        <w:tab/>
        <w:t>“La destrucción del apego se dará en quien observe así: ‘Si las formaciones fueran agradables, sería correcto adoptarlas como agradables; pero al ser desagradables se adoptan como agradables. Por lo tanto, son desagradables en el sentido de opresión del surgir y desaparecer; son impermanentes en el sentido de que no existir después de haber existido; son no–alma en el sentido de que no poder aplicarse ningún ejercicio de poder sobre ellas.</w:t>
      </w:r>
    </w:p>
    <w:p w14:paraId="579C4E6F" w14:textId="77777777" w:rsidR="00597DE2" w:rsidRPr="00DC1A5F" w:rsidRDefault="00597DE2" w:rsidP="00597DE2">
      <w:r w:rsidRPr="00DC1A5F">
        <w:t>87.</w:t>
      </w:r>
      <w:r w:rsidRPr="00DC1A5F">
        <w:tab/>
        <w:t xml:space="preserve"> “Así llegará a darse la eliminación de la visión incorrecta en aquel que observe las formaciones como no–alma; llegará a darse la eliminación de la presunción en aquel que las observe como impermanentes; y llegará a darse la destrucción del apego en aquel que las observe como insatisfactorias. Así que esta idea será válida en cada caso”.</w:t>
      </w:r>
    </w:p>
    <w:p w14:paraId="2279D769" w14:textId="77777777" w:rsidR="00597DE2" w:rsidRPr="00DC1A5F" w:rsidRDefault="00597DE2" w:rsidP="00597DE2">
      <w:r w:rsidRPr="00DC1A5F">
        <w:t xml:space="preserve">88. </w:t>
      </w:r>
      <w:r w:rsidRPr="00DC1A5F">
        <w:tab/>
        <w:t xml:space="preserve">Es así </w:t>
      </w:r>
      <w:proofErr w:type="spellStart"/>
      <w:r w:rsidRPr="00DC1A5F">
        <w:t>cómo</w:t>
      </w:r>
      <w:proofErr w:type="spellEnd"/>
      <w:r w:rsidRPr="00DC1A5F">
        <w:t xml:space="preserve"> él comprenderá las formaciones atribuyéndoles las 3 características por medio del séptuplo inmaterial.</w:t>
      </w:r>
    </w:p>
    <w:p w14:paraId="37499DE1" w14:textId="77777777" w:rsidR="00597DE2" w:rsidRPr="00DC1A5F" w:rsidRDefault="00597DE2" w:rsidP="00597DE2">
      <w:pPr>
        <w:pStyle w:val="NormalConSangria"/>
      </w:pPr>
      <w:r w:rsidRPr="00DC1A5F">
        <w:t>En esta etapa, tanto el objeto de meditación material como el objeto de meditación inmaterial se habrán vuelto familiares en él.</w:t>
      </w:r>
    </w:p>
    <w:p w14:paraId="1E3A8633" w14:textId="77777777" w:rsidR="00597DE2" w:rsidRPr="00DC1A5F" w:rsidRDefault="00597DE2" w:rsidP="00597DE2">
      <w:pPr>
        <w:pStyle w:val="Ttulo3"/>
        <w:ind w:left="708"/>
      </w:pPr>
      <w:r w:rsidRPr="00DC1A5F">
        <w:t>[Los 18 Tipos de Sabiduría]</w:t>
      </w:r>
    </w:p>
    <w:p w14:paraId="463B149D" w14:textId="77777777" w:rsidR="00597DE2" w:rsidRPr="00DC1A5F" w:rsidRDefault="00597DE2" w:rsidP="00597DE2">
      <w:pPr>
        <w:pStyle w:val="Textoindependiente"/>
      </w:pPr>
      <w:r w:rsidRPr="00DC1A5F">
        <w:t xml:space="preserve">89. </w:t>
      </w:r>
      <w:r w:rsidRPr="00DC1A5F">
        <w:tab/>
        <w:t xml:space="preserve">Habiéndonos familiarizado así con los objetos materiales e inmateriales de la meditación, </w:t>
      </w:r>
    </w:p>
    <w:p w14:paraId="6392ACD1" w14:textId="77777777" w:rsidR="00597DE2" w:rsidRPr="00DC1A5F" w:rsidRDefault="00597DE2" w:rsidP="00597DE2">
      <w:pPr>
        <w:tabs>
          <w:tab w:val="clear" w:pos="425"/>
        </w:tabs>
        <w:spacing w:after="160"/>
      </w:pPr>
      <w:r w:rsidRPr="00DC1A5F">
        <w:br w:type="page"/>
      </w:r>
    </w:p>
    <w:p w14:paraId="0CFCA957" w14:textId="77777777" w:rsidR="00597DE2" w:rsidRPr="00DC1A5F" w:rsidRDefault="00597DE2" w:rsidP="00597DE2">
      <w:pPr>
        <w:pStyle w:val="Textoindependiente"/>
      </w:pPr>
      <w:r w:rsidRPr="00DC1A5F">
        <w:lastRenderedPageBreak/>
        <w:t>y habiendo penetrado ya aquí en una parte de esos 18 conocimientos directos principales</w:t>
      </w:r>
      <w:r w:rsidRPr="00DC1A5F">
        <w:rPr>
          <w:vertAlign w:val="superscript"/>
        </w:rPr>
        <w:t>27</w:t>
      </w:r>
      <w:r w:rsidRPr="00DC1A5F">
        <w:t xml:space="preserve"> que más tarde se alcanzarán en todos sus aspectos por medio del pleno entendimiento como abandono a partir de la contemplación de la disolución, en consecuencia, él abandonará las cosas opuestas [a lo que ya haya penetrado].</w:t>
      </w:r>
    </w:p>
    <w:p w14:paraId="53F93929" w14:textId="77777777" w:rsidR="00597DE2" w:rsidRPr="00DC1A5F" w:rsidRDefault="00597DE2" w:rsidP="00597DE2">
      <w:pPr>
        <w:rPr>
          <w:vertAlign w:val="superscript"/>
        </w:rPr>
      </w:pPr>
      <w:r w:rsidRPr="00DC1A5F">
        <w:t xml:space="preserve">90. </w:t>
      </w:r>
      <w:r w:rsidRPr="00DC1A5F">
        <w:tab/>
        <w:t xml:space="preserve">Los </w:t>
      </w:r>
      <w:r w:rsidRPr="00DC1A5F">
        <w:rPr>
          <w:i/>
          <w:iCs/>
        </w:rPr>
        <w:t>dieciocho tipos principales de sabiduría–revelativa</w:t>
      </w:r>
      <w:r w:rsidRPr="00DC1A5F">
        <w:t xml:space="preserve"> corresponderán a un término para un entendimiento consistente de diversos tipos de sabiduría que comienzan con la contemplación de la impermanencia. Ahora bien, en cuanto a estos: (1) Quien desarrolle la contemplación de la </w:t>
      </w:r>
      <w:r w:rsidRPr="00DC1A5F">
        <w:rPr>
          <w:i/>
          <w:iCs/>
        </w:rPr>
        <w:t>impermanencia</w:t>
      </w:r>
      <w:r w:rsidRPr="00DC1A5F">
        <w:t xml:space="preserve"> abandonará la percepción de </w:t>
      </w:r>
      <w:r w:rsidRPr="00DC1A5F">
        <w:rPr>
          <w:i/>
          <w:iCs/>
        </w:rPr>
        <w:t>permanencia</w:t>
      </w:r>
      <w:r w:rsidRPr="00DC1A5F">
        <w:t xml:space="preserve">, (2) quien desarrolle la contemplación de la </w:t>
      </w:r>
      <w:r w:rsidRPr="00DC1A5F">
        <w:rPr>
          <w:i/>
          <w:iCs/>
        </w:rPr>
        <w:t>insatisfactoriedad</w:t>
      </w:r>
      <w:r w:rsidRPr="00DC1A5F">
        <w:t xml:space="preserve"> [629] abandonará la percepción de </w:t>
      </w:r>
      <w:r w:rsidRPr="00DC1A5F">
        <w:rPr>
          <w:i/>
          <w:iCs/>
        </w:rPr>
        <w:t>satisfactoriedad</w:t>
      </w:r>
      <w:r w:rsidRPr="00DC1A5F">
        <w:t xml:space="preserve">, (3) quien desarrolle la contemplación del </w:t>
      </w:r>
      <w:r w:rsidRPr="00DC1A5F">
        <w:rPr>
          <w:i/>
          <w:iCs/>
        </w:rPr>
        <w:t>no–alma</w:t>
      </w:r>
      <w:r w:rsidRPr="00DC1A5F">
        <w:t xml:space="preserve"> abandonará la percepción de </w:t>
      </w:r>
      <w:r w:rsidRPr="00DC1A5F">
        <w:rPr>
          <w:i/>
          <w:iCs/>
        </w:rPr>
        <w:t>alma</w:t>
      </w:r>
      <w:r w:rsidRPr="00DC1A5F">
        <w:t xml:space="preserve">, (4) quien desarrolle la contemplación del </w:t>
      </w:r>
      <w:r w:rsidRPr="00DC1A5F">
        <w:rPr>
          <w:i/>
          <w:iCs/>
        </w:rPr>
        <w:t>desapasionamiento</w:t>
      </w:r>
      <w:r w:rsidRPr="00DC1A5F">
        <w:t xml:space="preserve"> abandonará la </w:t>
      </w:r>
      <w:r w:rsidRPr="00DC1A5F">
        <w:rPr>
          <w:i/>
          <w:iCs/>
        </w:rPr>
        <w:t>indulgencia en el placer</w:t>
      </w:r>
      <w:r w:rsidRPr="00DC1A5F">
        <w:t xml:space="preserve">, (5) quien desarrolle la contemplación del </w:t>
      </w:r>
      <w:r w:rsidRPr="00DC1A5F">
        <w:rPr>
          <w:i/>
          <w:iCs/>
        </w:rPr>
        <w:t>desvanecimiento</w:t>
      </w:r>
      <w:r w:rsidRPr="00DC1A5F">
        <w:t xml:space="preserve"> abandonará la </w:t>
      </w:r>
      <w:r w:rsidRPr="00DC1A5F">
        <w:rPr>
          <w:i/>
          <w:iCs/>
        </w:rPr>
        <w:t>codicia</w:t>
      </w:r>
      <w:r w:rsidRPr="00DC1A5F">
        <w:t xml:space="preserve">, (6) quien desarrolle la contemplación de la </w:t>
      </w:r>
      <w:r w:rsidRPr="00DC1A5F">
        <w:rPr>
          <w:i/>
          <w:iCs/>
        </w:rPr>
        <w:t>cesación</w:t>
      </w:r>
      <w:r w:rsidRPr="00DC1A5F">
        <w:t xml:space="preserve"> abandonará la </w:t>
      </w:r>
      <w:r w:rsidRPr="00DC1A5F">
        <w:rPr>
          <w:i/>
          <w:iCs/>
        </w:rPr>
        <w:t>originación</w:t>
      </w:r>
      <w:r w:rsidRPr="00DC1A5F">
        <w:t xml:space="preserve">, (7) quien desarrolle la contemplación de la </w:t>
      </w:r>
      <w:r w:rsidRPr="00DC1A5F">
        <w:rPr>
          <w:i/>
          <w:iCs/>
        </w:rPr>
        <w:t>renunciación</w:t>
      </w:r>
      <w:r w:rsidRPr="00DC1A5F">
        <w:t xml:space="preserve"> abandonará la </w:t>
      </w:r>
      <w:r w:rsidRPr="00DC1A5F">
        <w:rPr>
          <w:i/>
          <w:iCs/>
        </w:rPr>
        <w:t>mezquindad</w:t>
      </w:r>
      <w:r w:rsidRPr="00DC1A5F">
        <w:t xml:space="preserve">, (8) quien desarrolle la contemplación de la </w:t>
      </w:r>
      <w:r w:rsidRPr="00DC1A5F">
        <w:rPr>
          <w:i/>
          <w:iCs/>
        </w:rPr>
        <w:t>destrucción</w:t>
      </w:r>
      <w:r w:rsidRPr="00DC1A5F">
        <w:t xml:space="preserve"> abandonará la percepción de </w:t>
      </w:r>
      <w:r w:rsidRPr="00DC1A5F">
        <w:rPr>
          <w:i/>
          <w:iCs/>
        </w:rPr>
        <w:t>compacidad</w:t>
      </w:r>
      <w:r w:rsidRPr="00DC1A5F">
        <w:t xml:space="preserve">, (9) quien desarrolle la contemplación de la </w:t>
      </w:r>
      <w:r w:rsidRPr="00DC1A5F">
        <w:rPr>
          <w:i/>
          <w:iCs/>
        </w:rPr>
        <w:t>desaparición</w:t>
      </w:r>
      <w:r w:rsidRPr="00DC1A5F">
        <w:t xml:space="preserve"> </w:t>
      </w:r>
      <w:r w:rsidRPr="00DC1A5F">
        <w:rPr>
          <w:i/>
          <w:iCs/>
        </w:rPr>
        <w:t>de las formaciones</w:t>
      </w:r>
      <w:r w:rsidRPr="00DC1A5F">
        <w:t xml:space="preserve"> abandonará la </w:t>
      </w:r>
      <w:r w:rsidRPr="00DC1A5F">
        <w:rPr>
          <w:i/>
          <w:iCs/>
        </w:rPr>
        <w:t>acumulación de</w:t>
      </w:r>
      <w:r w:rsidRPr="00DC1A5F">
        <w:t xml:space="preserve"> </w:t>
      </w:r>
      <w:proofErr w:type="spellStart"/>
      <w:r w:rsidRPr="00DC1A5F">
        <w:rPr>
          <w:i/>
        </w:rPr>
        <w:t>kamma</w:t>
      </w:r>
      <w:proofErr w:type="spellEnd"/>
      <w:r w:rsidRPr="00DC1A5F">
        <w:t xml:space="preserve">, (10) quien desarrolle la contemplación del </w:t>
      </w:r>
      <w:r w:rsidRPr="00DC1A5F">
        <w:rPr>
          <w:i/>
          <w:iCs/>
        </w:rPr>
        <w:t>cambio</w:t>
      </w:r>
      <w:r w:rsidRPr="00DC1A5F">
        <w:t xml:space="preserve"> abandonará la percepción de </w:t>
      </w:r>
      <w:r w:rsidRPr="00DC1A5F">
        <w:rPr>
          <w:i/>
          <w:iCs/>
        </w:rPr>
        <w:t>perpetuidad</w:t>
      </w:r>
      <w:r w:rsidRPr="00DC1A5F">
        <w:t xml:space="preserve">, (11) quien desarrolle la contemplación de </w:t>
      </w:r>
      <w:r w:rsidRPr="00DC1A5F">
        <w:rPr>
          <w:i/>
          <w:iCs/>
        </w:rPr>
        <w:t>lo que se dé</w:t>
      </w:r>
      <w:r w:rsidRPr="00DC1A5F">
        <w:t xml:space="preserve"> </w:t>
      </w:r>
      <w:r w:rsidRPr="00DC1A5F">
        <w:rPr>
          <w:i/>
          <w:iCs/>
        </w:rPr>
        <w:t>sin–signos</w:t>
      </w:r>
      <w:r w:rsidRPr="00DC1A5F">
        <w:t xml:space="preserve"> abandonará los </w:t>
      </w:r>
      <w:r w:rsidRPr="00DC1A5F">
        <w:rPr>
          <w:i/>
          <w:iCs/>
        </w:rPr>
        <w:t>signos</w:t>
      </w:r>
      <w:r w:rsidRPr="00DC1A5F">
        <w:t xml:space="preserve">, (12) quien desarrolle la contemplación de </w:t>
      </w:r>
      <w:r w:rsidRPr="00DC1A5F">
        <w:rPr>
          <w:i/>
          <w:iCs/>
        </w:rPr>
        <w:t>lo que se dé</w:t>
      </w:r>
      <w:r w:rsidRPr="00DC1A5F">
        <w:t xml:space="preserve"> </w:t>
      </w:r>
      <w:r w:rsidRPr="00DC1A5F">
        <w:rPr>
          <w:i/>
          <w:iCs/>
        </w:rPr>
        <w:t>sin–deseos</w:t>
      </w:r>
      <w:r w:rsidRPr="00DC1A5F">
        <w:t xml:space="preserve"> abandonará el </w:t>
      </w:r>
      <w:r w:rsidRPr="00DC1A5F">
        <w:rPr>
          <w:i/>
          <w:iCs/>
        </w:rPr>
        <w:t>deseo</w:t>
      </w:r>
      <w:r w:rsidRPr="00DC1A5F">
        <w:t xml:space="preserve">, (13) quien desarrolle la contemplación del </w:t>
      </w:r>
      <w:r w:rsidRPr="00DC1A5F">
        <w:rPr>
          <w:i/>
          <w:iCs/>
        </w:rPr>
        <w:t>vacío</w:t>
      </w:r>
      <w:r w:rsidRPr="00DC1A5F">
        <w:t xml:space="preserve"> abandonará </w:t>
      </w:r>
      <w:r w:rsidRPr="00DC1A5F">
        <w:rPr>
          <w:i/>
          <w:iCs/>
        </w:rPr>
        <w:t>la interpretación incorrecta (insistente)</w:t>
      </w:r>
      <w:r w:rsidRPr="00DC1A5F">
        <w:t xml:space="preserve">, (14) quien desarrolle la sabiduría–revelativa </w:t>
      </w:r>
      <w:r w:rsidRPr="00DC1A5F">
        <w:rPr>
          <w:i/>
          <w:iCs/>
        </w:rPr>
        <w:t>de estados correspondientes a un entendimiento superior</w:t>
      </w:r>
      <w:r w:rsidRPr="00DC1A5F">
        <w:t xml:space="preserve"> abandonará la </w:t>
      </w:r>
      <w:r w:rsidRPr="00DC1A5F">
        <w:rPr>
          <w:i/>
          <w:iCs/>
        </w:rPr>
        <w:t>interpretación incorrecta (insistente) debido al</w:t>
      </w:r>
      <w:r w:rsidRPr="00DC1A5F">
        <w:t xml:space="preserve"> </w:t>
      </w:r>
      <w:r w:rsidRPr="00DC1A5F">
        <w:rPr>
          <w:i/>
          <w:iCs/>
        </w:rPr>
        <w:t>apego</w:t>
      </w:r>
      <w:r w:rsidRPr="00DC1A5F">
        <w:t xml:space="preserve"> </w:t>
      </w:r>
      <w:r w:rsidRPr="00DC1A5F">
        <w:rPr>
          <w:i/>
          <w:iCs/>
        </w:rPr>
        <w:t>hacia un núcleo</w:t>
      </w:r>
      <w:r w:rsidRPr="00DC1A5F">
        <w:t xml:space="preserve">, (15) quien desarrolle </w:t>
      </w:r>
      <w:r w:rsidRPr="00DC1A5F">
        <w:rPr>
          <w:i/>
          <w:iCs/>
        </w:rPr>
        <w:t>conocimiento y visión correctos</w:t>
      </w:r>
      <w:r w:rsidRPr="00DC1A5F">
        <w:t xml:space="preserve"> abandonará l</w:t>
      </w:r>
      <w:r w:rsidRPr="00DC1A5F">
        <w:rPr>
          <w:i/>
          <w:iCs/>
        </w:rPr>
        <w:t>a interpretación incorrecta (insistente) debida</w:t>
      </w:r>
      <w:r w:rsidRPr="00DC1A5F">
        <w:t xml:space="preserve"> a la </w:t>
      </w:r>
      <w:r w:rsidRPr="00DC1A5F">
        <w:rPr>
          <w:i/>
          <w:iCs/>
        </w:rPr>
        <w:t>confusión</w:t>
      </w:r>
      <w:r w:rsidRPr="00DC1A5F">
        <w:t xml:space="preserve">, (16) quien desarrolle la contemplación del </w:t>
      </w:r>
      <w:r w:rsidRPr="00DC1A5F">
        <w:rPr>
          <w:i/>
          <w:iCs/>
        </w:rPr>
        <w:t>peligro</w:t>
      </w:r>
      <w:r w:rsidRPr="00DC1A5F">
        <w:t xml:space="preserve"> abandonará </w:t>
      </w:r>
      <w:r w:rsidRPr="00DC1A5F">
        <w:rPr>
          <w:i/>
          <w:iCs/>
        </w:rPr>
        <w:t>la interpretación incorrecta (insistente) debida a la</w:t>
      </w:r>
      <w:r w:rsidRPr="00DC1A5F">
        <w:t xml:space="preserve"> </w:t>
      </w:r>
      <w:r w:rsidRPr="00DC1A5F">
        <w:rPr>
          <w:i/>
          <w:iCs/>
        </w:rPr>
        <w:t>confiabilidad</w:t>
      </w:r>
      <w:r w:rsidRPr="00DC1A5F">
        <w:t xml:space="preserve">, (17) quien desarrolle la contemplación </w:t>
      </w:r>
      <w:r w:rsidRPr="00DC1A5F">
        <w:rPr>
          <w:i/>
          <w:iCs/>
        </w:rPr>
        <w:t>reflexiva</w:t>
      </w:r>
      <w:r w:rsidRPr="00DC1A5F">
        <w:t xml:space="preserve"> abandonará la </w:t>
      </w:r>
      <w:r w:rsidRPr="00DC1A5F">
        <w:rPr>
          <w:i/>
          <w:iCs/>
        </w:rPr>
        <w:t>irreflexión</w:t>
      </w:r>
      <w:r w:rsidRPr="00DC1A5F">
        <w:t xml:space="preserve">, (18) quien desarrolle la contemplación del </w:t>
      </w:r>
      <w:r w:rsidRPr="00DC1A5F">
        <w:rPr>
          <w:i/>
          <w:iCs/>
        </w:rPr>
        <w:t>distanciamiento</w:t>
      </w:r>
      <w:r w:rsidRPr="00DC1A5F">
        <w:t xml:space="preserve"> abandonará </w:t>
      </w:r>
      <w:r w:rsidRPr="00DC1A5F">
        <w:rPr>
          <w:i/>
          <w:iCs/>
        </w:rPr>
        <w:t>la interpretación incorrecta (insistente) debida a la</w:t>
      </w:r>
      <w:r w:rsidRPr="00DC1A5F">
        <w:t xml:space="preserve"> </w:t>
      </w:r>
      <w:r w:rsidRPr="00DC1A5F">
        <w:rPr>
          <w:i/>
          <w:iCs/>
        </w:rPr>
        <w:t>esclavitud</w:t>
      </w:r>
      <w:r w:rsidRPr="00DC1A5F">
        <w:t xml:space="preserve"> (ver </w:t>
      </w:r>
      <w:proofErr w:type="spellStart"/>
      <w:r w:rsidRPr="00DC1A5F">
        <w:rPr>
          <w:i/>
          <w:iCs/>
        </w:rPr>
        <w:t>Paṭis</w:t>
      </w:r>
      <w:proofErr w:type="spellEnd"/>
      <w:r w:rsidRPr="00DC1A5F">
        <w:t xml:space="preserve"> I 32s.).</w:t>
      </w:r>
      <w:r w:rsidRPr="00DC1A5F">
        <w:rPr>
          <w:vertAlign w:val="superscript"/>
        </w:rPr>
        <w:t>28</w:t>
      </w:r>
    </w:p>
    <w:p w14:paraId="1B12A979" w14:textId="77777777" w:rsidR="00597DE2" w:rsidRPr="00DC1A5F" w:rsidRDefault="00597DE2" w:rsidP="00597DE2"/>
    <w:p w14:paraId="35FC36B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7CACC77" w14:textId="77777777" w:rsidR="00597DE2" w:rsidRPr="00DC1A5F" w:rsidRDefault="00597DE2" w:rsidP="00597DE2">
      <w:pPr>
        <w:pStyle w:val="PiedepginaLegal"/>
        <w:numPr>
          <w:ilvl w:val="0"/>
          <w:numId w:val="9"/>
        </w:numPr>
        <w:tabs>
          <w:tab w:val="clear" w:pos="425"/>
          <w:tab w:val="left" w:pos="284"/>
        </w:tabs>
        <w:ind w:left="284" w:hanging="284"/>
      </w:pPr>
      <w:r w:rsidRPr="00DC1A5F">
        <w:t>Las primeras 7 de las 18 ideas principales se conocen como las “siete contemplaciones”; ver 20.4. Se dan más descripciones en el Cap. XXII, §113s.</w:t>
      </w:r>
    </w:p>
    <w:p w14:paraId="2A12B27F" w14:textId="77777777" w:rsidR="00597DE2" w:rsidRPr="00DC1A5F" w:rsidRDefault="00597DE2" w:rsidP="00597DE2">
      <w:pPr>
        <w:pStyle w:val="PiedepginaLegal"/>
        <w:numPr>
          <w:ilvl w:val="0"/>
          <w:numId w:val="9"/>
        </w:numPr>
        <w:tabs>
          <w:tab w:val="clear" w:pos="425"/>
          <w:tab w:val="left" w:pos="284"/>
        </w:tabs>
        <w:ind w:left="284" w:hanging="284"/>
      </w:pPr>
      <w:r w:rsidRPr="00DC1A5F">
        <w:t xml:space="preserve">Para los comentarios del </w:t>
      </w:r>
      <w:proofErr w:type="spellStart"/>
      <w:r w:rsidRPr="00DC1A5F">
        <w:t>Vism</w:t>
      </w:r>
      <w:proofErr w:type="spellEnd"/>
      <w:r w:rsidRPr="00DC1A5F">
        <w:t>–</w:t>
      </w:r>
      <w:proofErr w:type="spellStart"/>
      <w:r w:rsidRPr="00DC1A5F">
        <w:t>mhṭ</w:t>
      </w:r>
      <w:proofErr w:type="spellEnd"/>
      <w:r w:rsidRPr="00DC1A5F">
        <w:t xml:space="preserve"> sobre los primeros 7, véase la nota 3 de este capítulo.</w:t>
      </w:r>
    </w:p>
    <w:p w14:paraId="2A566DA2" w14:textId="77777777" w:rsidR="00597DE2" w:rsidRPr="00DC1A5F" w:rsidRDefault="00597DE2" w:rsidP="00597DE2">
      <w:pPr>
        <w:pStyle w:val="PiedepginaLegal"/>
      </w:pPr>
      <w:r w:rsidRPr="00DC1A5F">
        <w:tab/>
      </w:r>
      <w:r w:rsidRPr="00DC1A5F">
        <w:tab/>
        <w:t>La “</w:t>
      </w:r>
      <w:r w:rsidRPr="00DC1A5F">
        <w:rPr>
          <w:i/>
          <w:iCs/>
        </w:rPr>
        <w:t>contemplación de la destrucción</w:t>
      </w:r>
      <w:r w:rsidRPr="00DC1A5F">
        <w:t>” corresponde a la contemplación de la disolución momentánea de las formaciones. La “</w:t>
      </w:r>
      <w:r w:rsidRPr="00DC1A5F">
        <w:rPr>
          <w:i/>
          <w:iCs/>
        </w:rPr>
        <w:t>percepción de compacidad</w:t>
      </w:r>
      <w:r w:rsidRPr="00DC1A5F">
        <w:t>” se refiere a la suposición de unidad en una continuidad, masa, función u objeto. La ‘</w:t>
      </w:r>
      <w:r w:rsidRPr="00DC1A5F">
        <w:rPr>
          <w:i/>
          <w:iCs/>
        </w:rPr>
        <w:t>contemplación de la destrucción’</w:t>
      </w:r>
      <w:r w:rsidRPr="00DC1A5F">
        <w:t xml:space="preserve"> corresponderá a la contemplación de la inexistencia de algo después de haber sido, dicen. La contemplación de la destrucción corresponderá al entendimiento por medio del cual él resolverá la compacidad de sus elementos y a la apreciación de que es impermanente en el sentido de destrucción. Su finalización comenzará con la contemplación de la disolución y entonces se dará un abandono de la percepción de tal compacidad, pero antes no la habrá, porque no habrá sido completada. (9) La observación de la disolución de las formaciones tanto mediante la experiencia real como por medio de la inferencia y la dirección de la atención hacia su cesación, en otras palabras, su disolución, corresponderá a la contemplación de la desaparición; a través de él se abandonará la acumulación de </w:t>
      </w:r>
      <w:proofErr w:type="spellStart"/>
      <w:r w:rsidRPr="00DC1A5F">
        <w:rPr>
          <w:i/>
        </w:rPr>
        <w:t>kamma</w:t>
      </w:r>
      <w:proofErr w:type="spellEnd"/>
      <w:r w:rsidRPr="00DC1A5F">
        <w:t xml:space="preserve">; su consciencia no se inclinará con deseo hacia la ocurrencia de ese proceso agregado de la existencia, con el propósito de que uno acumule </w:t>
      </w:r>
      <w:proofErr w:type="spellStart"/>
      <w:r w:rsidRPr="00DC1A5F">
        <w:rPr>
          <w:i/>
        </w:rPr>
        <w:t>kamma</w:t>
      </w:r>
      <w:proofErr w:type="spellEnd"/>
      <w:r w:rsidRPr="00DC1A5F">
        <w:t xml:space="preserve">. (10) Observar el cambio de las dos maneras, por medio de la vejez y la muerte de lo que nazca, u observar otra esencia posterior a la delimitación de tal o cual esencia sobrevenida, en lo que fuera discernido por medio del séptuplo material, etc., corresponderá a la  </w:t>
      </w:r>
    </w:p>
    <w:p w14:paraId="50B89BDE" w14:textId="77777777" w:rsidR="00597DE2" w:rsidRPr="00DC1A5F" w:rsidRDefault="00597DE2" w:rsidP="00597DE2">
      <w:pPr>
        <w:tabs>
          <w:tab w:val="clear" w:pos="425"/>
        </w:tabs>
        <w:spacing w:after="160"/>
      </w:pPr>
      <w:r w:rsidRPr="00DC1A5F">
        <w:br w:type="page"/>
      </w:r>
    </w:p>
    <w:p w14:paraId="55408071" w14:textId="77777777" w:rsidR="00597DE2" w:rsidRPr="00DC1A5F" w:rsidRDefault="00597DE2" w:rsidP="00597DE2"/>
    <w:p w14:paraId="268C655D" w14:textId="77777777" w:rsidR="00597DE2" w:rsidRPr="00DC1A5F" w:rsidRDefault="00597DE2" w:rsidP="00597DE2">
      <w:pPr>
        <w:rPr>
          <w:vertAlign w:val="superscript"/>
        </w:rPr>
      </w:pPr>
      <w:r w:rsidRPr="00DC1A5F">
        <w:t xml:space="preserve">91. </w:t>
      </w:r>
      <w:r w:rsidRPr="00DC1A5F">
        <w:tab/>
        <w:t xml:space="preserve">Ahora bien, el meditador que haya apreciado las formaciones por medio de las 3 características que comienzan con la impermanencia ya habrá penetrado entre estos 18 tipos de sabiduría sobre la contemplación de la impermanencia, la insatisfactoriedad y el no–alma. Luego penetrará en: (1) la contemplación de la impermanencia y (11) la contemplación de que lo que no–posea–signos serán uno en significado pero diferentes solo en la letra, y también será así con (2) la contemplación de la insatisfactoriedad y (12) la contemplación de lo que no–posea–deseos, y también con (3) la contemplación del no–alma y (13) la contemplación del vacío (ver </w:t>
      </w:r>
      <w:proofErr w:type="spellStart"/>
      <w:r w:rsidRPr="00DC1A5F">
        <w:rPr>
          <w:i/>
          <w:iCs/>
        </w:rPr>
        <w:t>Paṭis</w:t>
      </w:r>
      <w:proofErr w:type="spellEnd"/>
      <w:r w:rsidRPr="00DC1A5F">
        <w:t xml:space="preserve"> II 63). En consecuencia, éstos también habrán sido penetrados por él. No obstante, (14) la sabiduría–revelativa de estados correspondientes a un entendimiento superior corresponderá a todo tipo de sabiduría, (15) conocimiento y visión, todos correctos, los cuales estarán incluidos en la purificación de la disipación de la duda (Cap. XIX). En consecuencia, estos dos también habrán sido penetrados por él. En cuanto a los restantes tipos de sabiduría–revelativa, algunos habrán sido penetrados y otros no. Nos ocuparemos de ellos a continuación.</w:t>
      </w:r>
      <w:r w:rsidRPr="00DC1A5F">
        <w:rPr>
          <w:vertAlign w:val="superscript"/>
        </w:rPr>
        <w:t>29</w:t>
      </w:r>
    </w:p>
    <w:p w14:paraId="7319735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26B4A58" w14:textId="77777777" w:rsidR="00597DE2" w:rsidRPr="00DC1A5F" w:rsidRDefault="00597DE2" w:rsidP="00597DE2">
      <w:pPr>
        <w:pStyle w:val="PiedepginaLegal"/>
      </w:pPr>
      <w:r w:rsidRPr="00DC1A5F">
        <w:t>…</w:t>
      </w:r>
    </w:p>
    <w:p w14:paraId="590FD52E" w14:textId="77777777" w:rsidR="00597DE2" w:rsidRPr="00DC1A5F" w:rsidRDefault="00597DE2" w:rsidP="00597DE2">
      <w:pPr>
        <w:pStyle w:val="PiedepginaLegal"/>
      </w:pPr>
      <w:r w:rsidRPr="00DC1A5F">
        <w:tab/>
        <w:t xml:space="preserve">‘contemplación del cambio’; por su medio él abandonará la ‘percepción de perdurabilidad’, la suposición de estabilidad. (11)–(13) Las 3, comenzando con la “contemplación del no–signo” serán los mismos que los 3 que comienzan con la contemplación de la impermanencia. (11) ‘El signo’ será una simple aparición de formaciones como si fueran entidades aprehensibles, el cual se deberá a la individualización de </w:t>
      </w:r>
      <w:proofErr w:type="gramStart"/>
      <w:r w:rsidRPr="00DC1A5F">
        <w:t>la funciones particulares</w:t>
      </w:r>
      <w:proofErr w:type="gramEnd"/>
      <w:r w:rsidRPr="00DC1A5F">
        <w:t xml:space="preserve"> y que, debido a la percepción de la unidad de la continuidad y de la masa, se supondrá como temporal o permanente. (12) El ‘</w:t>
      </w:r>
      <w:r w:rsidRPr="00DC1A5F">
        <w:rPr>
          <w:i/>
          <w:iCs/>
        </w:rPr>
        <w:t>deseo’</w:t>
      </w:r>
      <w:r w:rsidRPr="00DC1A5F">
        <w:t xml:space="preserve"> corresponderá al deseo de placer, o al deseo consistente de codicia y así, sucesivamente; significa inclinación hacia las formaciones debido al deseo. (13) ‘Malinterpretación’ se referirá a malinterpretar algo como alma. Es debido a que se opondrá al ‘signo’, etc., que las contemplaciones de la impermanencia, etc., serán denominadas con los nombres de ‘no–signo’, etc.; por tanto, deberán ser considerados como opuestos a la aprehensión de un signo, etc., así como lo serán  a la percepción de la permanencia, etc. (14) La sabiduría–revelativa que ocurra al conocer un objeto que consista de un objeto visible, etc., y al observar la disolución de la consciencia que posea a ese objeto visible, etc., como su objeto y al aprehender la vacuidad a través de la disolución así, ‘ Sólo las formaciones se disuelven, no existe nada más allá de la muerte de las formaciones’, corresponderá a un entendimiento superior y ello, al discernimiento de los estados; por lo tanto, corresponderá a la “</w:t>
      </w:r>
      <w:r w:rsidRPr="00DC1A5F">
        <w:rPr>
          <w:i/>
          <w:iCs/>
        </w:rPr>
        <w:t>sabiduría sobre los estados que sea un entendimiento superior</w:t>
      </w:r>
      <w:r w:rsidRPr="00DC1A5F">
        <w:t>”; por su medio él abandonará la visión incorrecta acompañada de deseo que corresponderá a la interpretación incorrecta que ocurra como producto del apego a un núcleo permanente, etc. (15) ‘</w:t>
      </w:r>
      <w:r w:rsidRPr="00DC1A5F">
        <w:rPr>
          <w:i/>
          <w:iCs/>
        </w:rPr>
        <w:t>Conocimiento y visión correctos</w:t>
      </w:r>
      <w:r w:rsidRPr="00DC1A5F">
        <w:t>’ será un término para la observación de la mentalidad–materialidad con sus correspondientes condiciones; por medio de él se abandonará la ‘interpretación incorrecta debido a la confusión’ que comienza así, ‘¿Estuve yo en el pasado?’ (M I 8) y que comienza también así, ‘El mundo es creado por un Señor Supremo’ (?). (16) El conocimiento consistente de la observación del peligro en todo tipo de devenires, etc., que haya surgido debido a la aparición del terror corresponderá a la “contemplación del peligro”; por su medio, él abandonará el deseo que ocurra como una “</w:t>
      </w:r>
      <w:r w:rsidRPr="00DC1A5F">
        <w:rPr>
          <w:i/>
          <w:iCs/>
        </w:rPr>
        <w:t>malinterpretación debido a la confianza</w:t>
      </w:r>
      <w:r w:rsidRPr="00DC1A5F">
        <w:t>” ya que no apreciará ninguna confianza o soporte. (17) El conocimiento de la reflexión que sea un medio para la liberación de las formaciones corresponderá a la “</w:t>
      </w:r>
      <w:r w:rsidRPr="00DC1A5F">
        <w:rPr>
          <w:i/>
          <w:iCs/>
        </w:rPr>
        <w:t>contemplación de la reflexión</w:t>
      </w:r>
      <w:r w:rsidRPr="00DC1A5F">
        <w:t>”; por su medio él abandonará la ignorancia de la “</w:t>
      </w:r>
      <w:r w:rsidRPr="00DC1A5F">
        <w:rPr>
          <w:i/>
          <w:iCs/>
        </w:rPr>
        <w:t>no–reflexión</w:t>
      </w:r>
      <w:r w:rsidRPr="00DC1A5F">
        <w:t>” sobre la impermanencia, etc., y se opondrá a la reflexión sobre ellos. (18) La ecuanimidad con respecto a las formaciones y al conocimiento de la conformidad corresponderá a la “</w:t>
      </w:r>
      <w:r w:rsidRPr="00DC1A5F">
        <w:rPr>
          <w:i/>
          <w:iCs/>
        </w:rPr>
        <w:t>contemplación del distanciamiento</w:t>
      </w:r>
      <w:r w:rsidRPr="00DC1A5F">
        <w:t>”; ya que debido a ello, la mente se inhibirá y retrocederá ante todas las formaciones, como lo haría una gota de agua sobre una hoja de loto, por lo que él abandonará la ‘</w:t>
      </w:r>
      <w:r w:rsidRPr="00DC1A5F">
        <w:rPr>
          <w:i/>
          <w:iCs/>
        </w:rPr>
        <w:t>interpretación incorrecta debida a la esclavitud</w:t>
      </w:r>
      <w:r w:rsidRPr="00DC1A5F">
        <w:t>’, la cual corresponderá a la ocurrencia de impurezas consistente de las cadenas del deseo sensorial y así. (</w:t>
      </w:r>
      <w:proofErr w:type="spellStart"/>
      <w:r w:rsidRPr="00DC1A5F">
        <w:t>Vism</w:t>
      </w:r>
      <w:proofErr w:type="spellEnd"/>
      <w:r w:rsidRPr="00DC1A5F">
        <w:t>–</w:t>
      </w:r>
      <w:proofErr w:type="spellStart"/>
      <w:r w:rsidRPr="00DC1A5F">
        <w:t>mh</w:t>
      </w:r>
      <w:proofErr w:type="spellEnd"/>
      <w:r w:rsidRPr="00DC1A5F">
        <w:t xml:space="preserve"> 806f.)</w:t>
      </w:r>
    </w:p>
    <w:p w14:paraId="4F721CED" w14:textId="77777777" w:rsidR="00597DE2" w:rsidRPr="00DC1A5F" w:rsidRDefault="00597DE2" w:rsidP="00597DE2">
      <w:pPr>
        <w:pStyle w:val="PiedepginaLegal"/>
        <w:numPr>
          <w:ilvl w:val="0"/>
          <w:numId w:val="9"/>
        </w:numPr>
        <w:tabs>
          <w:tab w:val="clear" w:pos="425"/>
          <w:tab w:val="left" w:pos="284"/>
        </w:tabs>
        <w:ind w:left="284" w:hanging="284"/>
      </w:pPr>
      <w:r w:rsidRPr="00DC1A5F">
        <w:t xml:space="preserve">Véase Cap. XXII, §113s. “Cuando (1) se establezca la contemplación de la impermanencia, entonces las contemplaciones de (6) la cesación, (8) la destrucción, (9) la desaparición y (10) el cambio, serán </w:t>
      </w:r>
    </w:p>
    <w:p w14:paraId="67CC9A6B" w14:textId="77777777" w:rsidR="00597DE2" w:rsidRPr="00DC1A5F" w:rsidRDefault="00597DE2" w:rsidP="00597DE2">
      <w:pPr>
        <w:tabs>
          <w:tab w:val="clear" w:pos="425"/>
        </w:tabs>
        <w:spacing w:after="160"/>
      </w:pPr>
      <w:r w:rsidRPr="00DC1A5F">
        <w:br w:type="page"/>
      </w:r>
    </w:p>
    <w:p w14:paraId="2F4CF169" w14:textId="77777777" w:rsidR="00597DE2" w:rsidRPr="00DC1A5F" w:rsidRDefault="00597DE2" w:rsidP="00597DE2"/>
    <w:p w14:paraId="35D60A42" w14:textId="77777777" w:rsidR="00597DE2" w:rsidRPr="00DC1A5F" w:rsidRDefault="00597DE2" w:rsidP="00597DE2">
      <w:pPr>
        <w:pStyle w:val="Textoindependiente"/>
      </w:pPr>
      <w:r w:rsidRPr="00DC1A5F">
        <w:t xml:space="preserve">92. </w:t>
      </w:r>
      <w:r w:rsidRPr="00DC1A5F">
        <w:tab/>
        <w:t>Fue sólo con referencia a lo que ya se había penetrado que se dijo anteriormente: “habiendo llegado a familiarizarme así con los objetos de meditación materiales e inmateriales y, habiendo ya penetrado así en una parte de estos 18 tipos de sabiduría principales, que serán consumadas más adelante en todos sus aspectos por medio del entendimiento pleno como abandono a partir de la contemplación de la disolución, él abandonará en consecuencia aspectos opuestos vinculados con lo que ya se haya penetrado” (§89).</w:t>
      </w:r>
    </w:p>
    <w:p w14:paraId="6F5459E5" w14:textId="77777777" w:rsidR="00597DE2" w:rsidRPr="00DC1A5F" w:rsidRDefault="00597DE2" w:rsidP="00597DE2">
      <w:pPr>
        <w:pStyle w:val="Ttulo3"/>
        <w:ind w:left="708"/>
      </w:pPr>
      <w:r w:rsidRPr="00DC1A5F">
        <w:t>[Conocimiento del Surgimiento y la Desaparición — I]</w:t>
      </w:r>
    </w:p>
    <w:p w14:paraId="120990D1" w14:textId="77777777" w:rsidR="00597DE2" w:rsidRPr="00DC1A5F" w:rsidRDefault="00597DE2" w:rsidP="00597DE2">
      <w:r w:rsidRPr="00DC1A5F">
        <w:t xml:space="preserve">93. </w:t>
      </w:r>
      <w:r w:rsidRPr="00DC1A5F">
        <w:tab/>
        <w:t>Habiendo purificado así su conocimiento, abandonando la percepción de permanencia, etc., que se oponga a la contemplación de la impermanencia, etc., el meditador trascenderá el conocimiento de la comprensión y comenzará la tarea de consumar la contemplación del surgimiento y la desaparición, que se expresa así: “El entendimiento [630] de la contemplación del cambio de los estados presentes corresponderá al conocimiento de la contemplación del surgimiento y la desaparición” (</w:t>
      </w:r>
      <w:proofErr w:type="spellStart"/>
      <w:r w:rsidRPr="00DC1A5F">
        <w:rPr>
          <w:i/>
          <w:iCs/>
        </w:rPr>
        <w:t>Paṭis</w:t>
      </w:r>
      <w:proofErr w:type="spellEnd"/>
      <w:r w:rsidRPr="00DC1A5F">
        <w:t xml:space="preserve"> I 1), y que vendrá después del conocimiento de la comprensión.</w:t>
      </w:r>
    </w:p>
    <w:p w14:paraId="140567B0" w14:textId="77777777" w:rsidR="00597DE2" w:rsidRPr="00DC1A5F" w:rsidRDefault="00597DE2" w:rsidP="00597DE2">
      <w:pPr>
        <w:rPr>
          <w:vertAlign w:val="superscript"/>
        </w:rPr>
      </w:pPr>
      <w:r w:rsidRPr="00DC1A5F">
        <w:t xml:space="preserve">94. </w:t>
      </w:r>
      <w:r w:rsidRPr="00DC1A5F">
        <w:tab/>
        <w:t>Cuando lo haga, lo hará primero de forma resumida. Aquí el texto al respecto: “¿Cómo es que el entendimiento de la contemplación del cambio de los estados presentes corresponderá al conocimiento de la contemplación del surgimiento y la desaparición? La materialidad presente [la materialidad] surge; la característica de su generación corresponderá al surgimiento, la característica de su cambio corresponderá a su desaparición, esta contemplación corresponderá al conocimiento. La sensación presente... la percepción... las formaciones... la consciencia... el ojo... (</w:t>
      </w:r>
      <w:proofErr w:type="gramStart"/>
      <w:r w:rsidRPr="00DC1A5F">
        <w:t>etc.)...</w:t>
      </w:r>
      <w:proofErr w:type="gramEnd"/>
      <w:r w:rsidRPr="00DC1A5F">
        <w:t xml:space="preserve"> El devenir presente [el devenir] surge; la característica de su generación corresponderá a su surgimiento, la característica de su cambio a su desaparición, esta contemplación corresponderá al conocimiento” (</w:t>
      </w:r>
      <w:proofErr w:type="spellStart"/>
      <w:r w:rsidRPr="00DC1A5F">
        <w:rPr>
          <w:i/>
          <w:iCs/>
        </w:rPr>
        <w:t>Paṭis</w:t>
      </w:r>
      <w:proofErr w:type="spellEnd"/>
      <w:r w:rsidRPr="00DC1A5F">
        <w:t xml:space="preserve"> I 54).</w:t>
      </w:r>
      <w:r w:rsidRPr="00DC1A5F">
        <w:rPr>
          <w:vertAlign w:val="superscript"/>
        </w:rPr>
        <w:t>30</w:t>
      </w:r>
    </w:p>
    <w:p w14:paraId="2E678289" w14:textId="77777777" w:rsidR="00597DE2" w:rsidRPr="00DC1A5F" w:rsidRDefault="00597DE2" w:rsidP="00597DE2">
      <w:r w:rsidRPr="00DC1A5F">
        <w:t xml:space="preserve">95. </w:t>
      </w:r>
      <w:r w:rsidRPr="00DC1A5F">
        <w:tab/>
        <w:t>De acuerdo con el método de este texto, él observará la característica de la generación, el nacimiento, el surgimiento, el aspecto de renovación, de la materialidad surgida, como “surgimiento”, y observará su característica de cambio, su destrucción, su disolución, como “desaparición”.</w:t>
      </w:r>
    </w:p>
    <w:p w14:paraId="5407931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1A1D016" w14:textId="77777777" w:rsidR="00597DE2" w:rsidRPr="00DC1A5F" w:rsidRDefault="00597DE2" w:rsidP="00597DE2">
      <w:pPr>
        <w:pStyle w:val="PiedepginaLegal"/>
      </w:pPr>
      <w:r w:rsidRPr="00DC1A5F">
        <w:t>…</w:t>
      </w:r>
      <w:r w:rsidRPr="00DC1A5F">
        <w:tab/>
        <w:t>parcialmente establecidas. Cuando (2) se establezca la contemplación de la insatisfactoriedad, entonces se establecerán parcialmente las contemplaciones del (4) desapasionamiento y (16) el peligro. Y cuando (3) se establezca la contemplación del no–alma, entonces el resto se establecerá parcialmente” (</w:t>
      </w:r>
      <w:proofErr w:type="spellStart"/>
      <w:r w:rsidRPr="00DC1A5F">
        <w:t>Vism</w:t>
      </w:r>
      <w:proofErr w:type="spellEnd"/>
      <w:r w:rsidRPr="00DC1A5F">
        <w:t>–</w:t>
      </w:r>
      <w:proofErr w:type="spellStart"/>
      <w:r w:rsidRPr="00DC1A5F">
        <w:t>mhṭ</w:t>
      </w:r>
      <w:proofErr w:type="spellEnd"/>
      <w:r w:rsidRPr="00DC1A5F">
        <w:t xml:space="preserve"> 807).</w:t>
      </w:r>
    </w:p>
    <w:p w14:paraId="77B8BED2" w14:textId="77777777" w:rsidR="00597DE2" w:rsidRPr="00DC1A5F" w:rsidRDefault="00597DE2" w:rsidP="00597DE2">
      <w:pPr>
        <w:pStyle w:val="PiedepginaLegal"/>
        <w:numPr>
          <w:ilvl w:val="0"/>
          <w:numId w:val="9"/>
        </w:numPr>
        <w:tabs>
          <w:tab w:val="clear" w:pos="425"/>
          <w:tab w:val="left" w:pos="284"/>
        </w:tabs>
        <w:ind w:left="284" w:hanging="284"/>
      </w:pPr>
      <w:r w:rsidRPr="00DC1A5F">
        <w:t>“La interpretación de surgimiento y desaparición deberá hacerse sobre un estado presente según la continuidad o un estado presente según el instante, pero no sobre ninguno pasado ni futuro, por eso se dice al respecto ‘de estados presentes’” (</w:t>
      </w:r>
      <w:proofErr w:type="spellStart"/>
      <w:r w:rsidRPr="00DC1A5F">
        <w:t>Vism</w:t>
      </w:r>
      <w:proofErr w:type="spellEnd"/>
      <w:r w:rsidRPr="00DC1A5F">
        <w:t>–</w:t>
      </w:r>
      <w:proofErr w:type="spellStart"/>
      <w:r w:rsidRPr="00DC1A5F">
        <w:t>mhṭ</w:t>
      </w:r>
      <w:proofErr w:type="spellEnd"/>
      <w:r w:rsidRPr="00DC1A5F">
        <w:t xml:space="preserve"> 808). Lo que se quiere decir es que “A la materialidad presente se le denominará materialidad surgida; ésta estará incluida en los 3 instantes [de surgimiento, presencia y disolución]. No obstante, ello será difícil de discernir al principio, por lo que la interpretación mediante la sabiduría deberá hacerse por medio de la presencia de acuerdo con la continuidad” (</w:t>
      </w:r>
      <w:proofErr w:type="spellStart"/>
      <w:r w:rsidRPr="00DC1A5F">
        <w:t>Vism</w:t>
      </w:r>
      <w:proofErr w:type="spellEnd"/>
      <w:r w:rsidRPr="00DC1A5F">
        <w:t>–</w:t>
      </w:r>
      <w:proofErr w:type="spellStart"/>
      <w:r w:rsidRPr="00DC1A5F">
        <w:t>mhṭ</w:t>
      </w:r>
      <w:proofErr w:type="spellEnd"/>
      <w:r w:rsidRPr="00DC1A5F">
        <w:t xml:space="preserve"> 808). Para la elisión representada por “… (etc.) …” véase Cap. XX. § 9. En este caso, sin embargo, se omitirán los dos últimos constituyentes de la originación dependiente. “Aunque los estados poseídos de vejez–y–muerte se mencionen bajo el término de nacimiento y de vejez–y–muerte en la comprensión mediante grupos, etc., no obstante, aquí, en la descripción del conocimiento del surgimiento y desaparición, si se dijera ‘el nacimiento presente ha nacido; la característica de su generación será el surgimiento, la característica de su cambio será la desaparición, etc., equivaldría a una afirmación y aprobación de la proposición de que el nacimiento, la vejez–y–muerte estarían poseídos de nacimiento, vejez–y–muerte. Así que el texto termina con el ‘devenir’ para evitar ello” (</w:t>
      </w:r>
      <w:proofErr w:type="spellStart"/>
      <w:r w:rsidRPr="00DC1A5F">
        <w:t>Vism</w:t>
      </w:r>
      <w:proofErr w:type="spellEnd"/>
      <w:r w:rsidRPr="00DC1A5F">
        <w:t>–</w:t>
      </w:r>
      <w:proofErr w:type="spellStart"/>
      <w:r w:rsidRPr="00DC1A5F">
        <w:t>mhṭ</w:t>
      </w:r>
      <w:proofErr w:type="spellEnd"/>
      <w:r w:rsidRPr="00DC1A5F">
        <w:t xml:space="preserve"> 808).</w:t>
      </w:r>
    </w:p>
    <w:p w14:paraId="057D6E89" w14:textId="77777777" w:rsidR="00597DE2" w:rsidRPr="00DC1A5F" w:rsidRDefault="00597DE2" w:rsidP="00597DE2">
      <w:pPr>
        <w:tabs>
          <w:tab w:val="clear" w:pos="425"/>
        </w:tabs>
        <w:spacing w:after="160"/>
      </w:pPr>
      <w:r w:rsidRPr="00DC1A5F">
        <w:br w:type="page"/>
      </w:r>
    </w:p>
    <w:p w14:paraId="38063524" w14:textId="77777777" w:rsidR="00597DE2" w:rsidRPr="00DC1A5F" w:rsidRDefault="00597DE2" w:rsidP="00597DE2">
      <w:r w:rsidRPr="00DC1A5F">
        <w:lastRenderedPageBreak/>
        <w:t xml:space="preserve">96. </w:t>
      </w:r>
      <w:r w:rsidRPr="00DC1A5F">
        <w:tab/>
        <w:t>Él entenderá así: “No existe ninguna acumulación o reserva de mentalidad–materialidad no surgida [y existente] antes de este surgimiento. Cuando surge, no proviene de ninguna acumulación o almacenamiento al respecto; y cuando cesa, no se dirige hacia ninguna dirección. No existe ningún depósito en algún curso de acumulación, almacén o reserva de lo que haya cesado. No obstante, así como no existe ningún almacenamiento, antes de que surja el sonido que emerge al tocar un laúd, ni proviene de ningún almacenamiento cuando éste surja, ni se dirige hacia ninguna dirección cuando cese, ni persistirá en algún depósito cuando haya cesado (cf. S IV 197), sino y por el contrario, no habiendo sido, es llevado a cabo gracias a un laúd, al mástil del laúd y al esfuerzo correspondiente del hombre que interprete la melodía y, habiendo sido, se desvanecerá — así también, todos los estados materiales e inmateriales, no habiendo sido, serán llevados a cabo y, habiendo sido, se desvanecerán.”</w:t>
      </w:r>
    </w:p>
    <w:p w14:paraId="613188D5" w14:textId="77777777" w:rsidR="00597DE2" w:rsidRPr="00DC1A5F" w:rsidRDefault="00597DE2" w:rsidP="00597DE2">
      <w:r w:rsidRPr="00DC1A5F">
        <w:t xml:space="preserve">97. </w:t>
      </w:r>
      <w:r w:rsidRPr="00DC1A5F">
        <w:tab/>
        <w:t xml:space="preserve">Habiendo prestado atención al surgimiento y la desaparición brevemente así, él nuevamente, lo hará en detalle según la condición y el instante al observar esas características, tal como se da en la exposición de ese mismo conocimiento del surgimiento y la desaparición así: “(1) Él observará el surgimiento del agregado de la materialidad en el sentido de surgimiento condicionado así: Con el surgimiento de la ignorancia se da el surgimiento de la materialidad; (2) … con el surgimiento del deseo… (3) … con el surgimiento del </w:t>
      </w:r>
      <w:proofErr w:type="spellStart"/>
      <w:r w:rsidRPr="00DC1A5F">
        <w:rPr>
          <w:i/>
        </w:rPr>
        <w:t>kamma</w:t>
      </w:r>
      <w:proofErr w:type="spellEnd"/>
      <w:r w:rsidRPr="00DC1A5F">
        <w:t>… (4) él observará el surgimiento del agregado de la materialidad en el sentido de surgimiento condicionado así: Con el surgimiento del nutrimento se da el surgimiento de la materialidad ; (5) quien observe la característica de la generación observará el surgimiento del agregado de la materialidad. Quien observe el surgimiento del agregado de la materialidad observará estas cinco características.</w:t>
      </w:r>
    </w:p>
    <w:p w14:paraId="445B3CA7" w14:textId="77777777" w:rsidR="00597DE2" w:rsidRPr="00DC1A5F" w:rsidRDefault="00597DE2" w:rsidP="00597DE2">
      <w:pPr>
        <w:pStyle w:val="NormalConSangria"/>
      </w:pPr>
      <w:r w:rsidRPr="00DC1A5F">
        <w:t xml:space="preserve">“(1) Él observará la desaparición del agregado de la materialidad en el sentido de cesación condicionada así: Con la cesación de la </w:t>
      </w:r>
      <w:r w:rsidRPr="00DC1A5F">
        <w:rPr>
          <w:i/>
          <w:iCs/>
        </w:rPr>
        <w:t>ignorancia</w:t>
      </w:r>
      <w:r w:rsidRPr="00DC1A5F">
        <w:t xml:space="preserve"> se dará la cesación de la </w:t>
      </w:r>
      <w:r w:rsidRPr="00DC1A5F">
        <w:rPr>
          <w:i/>
          <w:iCs/>
        </w:rPr>
        <w:t>materialidad</w:t>
      </w:r>
      <w:r w:rsidRPr="00DC1A5F">
        <w:t xml:space="preserve">; (2) … con la cesación del </w:t>
      </w:r>
      <w:r w:rsidRPr="00DC1A5F">
        <w:rPr>
          <w:i/>
          <w:iCs/>
        </w:rPr>
        <w:t>deseo</w:t>
      </w:r>
      <w:r w:rsidRPr="00DC1A5F">
        <w:t xml:space="preserve">… (3) … con la cesación del </w:t>
      </w:r>
      <w:proofErr w:type="spellStart"/>
      <w:r w:rsidRPr="00DC1A5F">
        <w:rPr>
          <w:i/>
        </w:rPr>
        <w:t>kamma</w:t>
      </w:r>
      <w:proofErr w:type="spellEnd"/>
      <w:r w:rsidRPr="00DC1A5F">
        <w:t xml:space="preserve">… (4) él observará la cesación del agregado de la materialidad en el sentido de cesación condicionada así: Con la cesación del </w:t>
      </w:r>
      <w:r w:rsidRPr="00DC1A5F">
        <w:rPr>
          <w:i/>
          <w:iCs/>
        </w:rPr>
        <w:t>nutrimento</w:t>
      </w:r>
      <w:r w:rsidRPr="00DC1A5F">
        <w:t xml:space="preserve"> se dará la cesación de la </w:t>
      </w:r>
      <w:r w:rsidRPr="00DC1A5F">
        <w:rPr>
          <w:i/>
          <w:iCs/>
        </w:rPr>
        <w:t>materialidad</w:t>
      </w:r>
      <w:r w:rsidRPr="00DC1A5F">
        <w:t xml:space="preserve">; [631] (5) quien observe la característica del cambio observará la desaparición del agregado de la </w:t>
      </w:r>
      <w:r w:rsidRPr="00DC1A5F">
        <w:rPr>
          <w:i/>
          <w:iCs/>
        </w:rPr>
        <w:t>materialidad</w:t>
      </w:r>
      <w:r w:rsidRPr="00DC1A5F">
        <w:t xml:space="preserve">. Quien observe la desaparición del agregado de la </w:t>
      </w:r>
      <w:r w:rsidRPr="00DC1A5F">
        <w:rPr>
          <w:i/>
          <w:iCs/>
        </w:rPr>
        <w:t>materialidad</w:t>
      </w:r>
      <w:r w:rsidRPr="00DC1A5F">
        <w:t xml:space="preserve"> observará estas cinco características” (</w:t>
      </w:r>
      <w:proofErr w:type="spellStart"/>
      <w:r w:rsidRPr="00DC1A5F">
        <w:rPr>
          <w:i/>
          <w:iCs/>
        </w:rPr>
        <w:t>Paṭis</w:t>
      </w:r>
      <w:proofErr w:type="spellEnd"/>
      <w:r w:rsidRPr="00DC1A5F">
        <w:t xml:space="preserve"> I 55f.).</w:t>
      </w:r>
    </w:p>
    <w:p w14:paraId="7B32B45F" w14:textId="77777777" w:rsidR="00597DE2" w:rsidRPr="00DC1A5F" w:rsidRDefault="00597DE2" w:rsidP="00597DE2">
      <w:pPr>
        <w:pStyle w:val="NormalConSangria"/>
      </w:pPr>
      <w:r w:rsidRPr="00DC1A5F">
        <w:t xml:space="preserve">Del mismo modo: “(1) Él observará el surgimiento del agregado de la sensación en el sentido de surgimiento condicionado así: Con el surgimiento de la ignorancia surgirá la sensación; (2) ... con el surgimiento del deseo ... (3) ... con el surgimiento del </w:t>
      </w:r>
      <w:proofErr w:type="spellStart"/>
      <w:r w:rsidRPr="00DC1A5F">
        <w:rPr>
          <w:i/>
        </w:rPr>
        <w:t>kamma</w:t>
      </w:r>
      <w:proofErr w:type="spellEnd"/>
      <w:r w:rsidRPr="00DC1A5F">
        <w:t xml:space="preserve"> ... (4) él observará el surgimiento del agregado de la sensación en el sentido de surgimiento condicionado así: Con el surgimiento del contacto surgirá la sensación; (5) quien observe la característica de la generación observará el surgimiento del agregado de la sensación. Quien observe el surgimiento del agregado de la sensación observará estas 5 características.</w:t>
      </w:r>
    </w:p>
    <w:p w14:paraId="633E9B51" w14:textId="77777777" w:rsidR="00597DE2" w:rsidRPr="00DC1A5F" w:rsidRDefault="00597DE2" w:rsidP="00597DE2">
      <w:pPr>
        <w:pStyle w:val="NormalConSangria"/>
      </w:pPr>
      <w:r w:rsidRPr="00DC1A5F">
        <w:t xml:space="preserve">“(1) Él observará la desaparición del agregado de la sensación en el sentido de cesación condicionada así: Con la cesación de la ignorancia se dará la cesación de la sensación; (2) … con la cesación del deseo… (3) … con la cesación del </w:t>
      </w:r>
      <w:proofErr w:type="spellStart"/>
      <w:r w:rsidRPr="00DC1A5F">
        <w:rPr>
          <w:i/>
        </w:rPr>
        <w:t>kamma</w:t>
      </w:r>
      <w:proofErr w:type="spellEnd"/>
      <w:r w:rsidRPr="00DC1A5F">
        <w:t>… (4) él observará la desaparición del agregado de la sensación en el sentido de cesación condicionada así: Con la cesación del contacto se dará la cesación de la sensación; (5) quien observe la característica del cambio observará la desaparición del agregado de la sensación. Quien observe la desaparición del agregado de la sensación observará estas 5 características” (</w:t>
      </w:r>
      <w:proofErr w:type="spellStart"/>
      <w:r w:rsidRPr="00DC1A5F">
        <w:rPr>
          <w:i/>
          <w:iCs/>
        </w:rPr>
        <w:t>Paṭis</w:t>
      </w:r>
      <w:proofErr w:type="spellEnd"/>
      <w:r w:rsidRPr="00DC1A5F">
        <w:t xml:space="preserve"> I 55f.).</w:t>
      </w:r>
    </w:p>
    <w:p w14:paraId="73D96789" w14:textId="77777777" w:rsidR="00597DE2" w:rsidRPr="00DC1A5F" w:rsidRDefault="00597DE2" w:rsidP="00597DE2">
      <w:pPr>
        <w:pStyle w:val="NormalConSangria"/>
      </w:pPr>
      <w:r w:rsidRPr="00DC1A5F">
        <w:t xml:space="preserve">Y como en el caso del agregado de la sensación, es decir, sustituyendo el “contacto” por el “nutrimento” en el caso de la materialidad, así también será para el caso de los agregados de </w:t>
      </w:r>
      <w:r w:rsidRPr="00DC1A5F">
        <w:br w:type="page"/>
      </w:r>
    </w:p>
    <w:p w14:paraId="7665EF4C" w14:textId="77777777" w:rsidR="00597DE2" w:rsidRPr="00DC1A5F" w:rsidRDefault="00597DE2" w:rsidP="00597DE2">
      <w:pPr>
        <w:pStyle w:val="Textoindependiente"/>
      </w:pPr>
      <w:r w:rsidRPr="00DC1A5F">
        <w:lastRenderedPageBreak/>
        <w:t>la percepción y las formaciones. Así también será para el caso del agregado de la consciencia con esta diferencia, las frases que contienen “contacto” se sustituirán por “con el surgimiento de la mentalidad–materialidad” y “con la cesación de la mentalidad–materialidad”.</w:t>
      </w:r>
    </w:p>
    <w:p w14:paraId="3F9A329E" w14:textId="77777777" w:rsidR="00597DE2" w:rsidRPr="00DC1A5F" w:rsidRDefault="00597DE2" w:rsidP="00597DE2">
      <w:pPr>
        <w:pStyle w:val="NormalConSangria"/>
      </w:pPr>
      <w:r w:rsidRPr="00DC1A5F">
        <w:t xml:space="preserve">Así sumarán 50 características definidas con diez para cada agregado a través de la observación del surgimiento y la desaparición, por medio de las cuales él prestará atención detalladamente </w:t>
      </w:r>
      <w:proofErr w:type="gramStart"/>
      <w:r w:rsidRPr="00DC1A5F">
        <w:rPr>
          <w:i/>
          <w:iCs/>
        </w:rPr>
        <w:t>de acuerdo a</w:t>
      </w:r>
      <w:proofErr w:type="gramEnd"/>
      <w:r w:rsidRPr="00DC1A5F">
        <w:rPr>
          <w:i/>
          <w:iCs/>
        </w:rPr>
        <w:t xml:space="preserve"> su condición</w:t>
      </w:r>
      <w:r w:rsidRPr="00DC1A5F">
        <w:t xml:space="preserve"> y </w:t>
      </w:r>
      <w:r w:rsidRPr="00DC1A5F">
        <w:rPr>
          <w:i/>
          <w:iCs/>
        </w:rPr>
        <w:t>de acuerdo al instante</w:t>
      </w:r>
      <w:r w:rsidRPr="00DC1A5F">
        <w:t xml:space="preserve"> (momento) así: “El surgimiento de la materialidad es así; su desaparición, así; así surge, así desaparece.”</w:t>
      </w:r>
    </w:p>
    <w:p w14:paraId="1994A28E" w14:textId="77777777" w:rsidR="00597DE2" w:rsidRPr="00DC1A5F" w:rsidRDefault="00597DE2" w:rsidP="00597DE2">
      <w:pPr>
        <w:pStyle w:val="Textoindependiente"/>
      </w:pPr>
      <w:r w:rsidRPr="00DC1A5F">
        <w:t xml:space="preserve">98. </w:t>
      </w:r>
      <w:r w:rsidRPr="00DC1A5F">
        <w:tab/>
        <w:t>Mientras así lo haga, su conocimiento se volverá más claro de la siguiente manera: “Así, parecieran que estos estados, no habiendo sido, han sido traídos a la existencia; habiendo surgido, así ha desaparecido”.</w:t>
      </w:r>
    </w:p>
    <w:p w14:paraId="762CDC2D" w14:textId="77777777" w:rsidR="00597DE2" w:rsidRPr="00DC1A5F" w:rsidRDefault="00597DE2" w:rsidP="00597DE2">
      <w:pPr>
        <w:pStyle w:val="NormalConSangria"/>
      </w:pPr>
      <w:r w:rsidRPr="00DC1A5F">
        <w:t>Cuando él observe así el surgimiento y la desaparición de estas 2 maneras, según su condición y según el instante, varias verdades y aspectos de la originación dependiente, métodos y características se harán evidentes para él.</w:t>
      </w:r>
    </w:p>
    <w:p w14:paraId="3207AC33" w14:textId="77777777" w:rsidR="00597DE2" w:rsidRPr="00DC1A5F" w:rsidRDefault="00597DE2" w:rsidP="00597DE2">
      <w:r w:rsidRPr="00DC1A5F">
        <w:t xml:space="preserve">99. </w:t>
      </w:r>
      <w:r w:rsidRPr="00DC1A5F">
        <w:tab/>
        <w:t xml:space="preserve">Cuando él observe el surgimiento de los agregados con el surgimiento de la ignorancia y la cesación de los agregados con la cesación de la ignorancia, esto corresponderá a su visión del surgimiento y desaparición </w:t>
      </w:r>
      <w:proofErr w:type="gramStart"/>
      <w:r w:rsidRPr="00DC1A5F">
        <w:rPr>
          <w:i/>
          <w:iCs/>
        </w:rPr>
        <w:t>de acuerdo a</w:t>
      </w:r>
      <w:proofErr w:type="gramEnd"/>
      <w:r w:rsidRPr="00DC1A5F">
        <w:rPr>
          <w:i/>
          <w:iCs/>
        </w:rPr>
        <w:t xml:space="preserve"> su condición</w:t>
      </w:r>
      <w:r w:rsidRPr="00DC1A5F">
        <w:t xml:space="preserve">. Cuando él observe el surgimiento y la desaparición de los agregados al observar la característica de la generación y la característica del cambio, esto corresponderá a su visión del surgimiento y desaparición </w:t>
      </w:r>
      <w:proofErr w:type="gramStart"/>
      <w:r w:rsidRPr="00DC1A5F">
        <w:t xml:space="preserve">de </w:t>
      </w:r>
      <w:r w:rsidRPr="00DC1A5F">
        <w:rPr>
          <w:i/>
          <w:iCs/>
        </w:rPr>
        <w:t>acuerdo al</w:t>
      </w:r>
      <w:proofErr w:type="gramEnd"/>
      <w:r w:rsidRPr="00DC1A5F">
        <w:rPr>
          <w:i/>
          <w:iCs/>
        </w:rPr>
        <w:t xml:space="preserve"> instante</w:t>
      </w:r>
      <w:r w:rsidRPr="00DC1A5F">
        <w:t xml:space="preserve">. Ya que es sólo en el instante del </w:t>
      </w:r>
      <w:r w:rsidRPr="00DC1A5F">
        <w:rPr>
          <w:i/>
          <w:iCs/>
        </w:rPr>
        <w:t>surgimiento</w:t>
      </w:r>
      <w:r w:rsidRPr="00DC1A5F">
        <w:t xml:space="preserve"> que existirá la característica de la </w:t>
      </w:r>
      <w:r w:rsidRPr="00DC1A5F">
        <w:rPr>
          <w:i/>
          <w:iCs/>
        </w:rPr>
        <w:t>generación</w:t>
      </w:r>
      <w:r w:rsidRPr="00DC1A5F">
        <w:t xml:space="preserve"> y sólo en el instante de la </w:t>
      </w:r>
      <w:r w:rsidRPr="00DC1A5F">
        <w:rPr>
          <w:i/>
          <w:iCs/>
        </w:rPr>
        <w:t>disolución</w:t>
      </w:r>
      <w:r w:rsidRPr="00DC1A5F">
        <w:t xml:space="preserve"> que existirá la característica del </w:t>
      </w:r>
      <w:r w:rsidRPr="00DC1A5F">
        <w:rPr>
          <w:i/>
          <w:iCs/>
        </w:rPr>
        <w:t>cambio</w:t>
      </w:r>
      <w:r w:rsidRPr="00DC1A5F">
        <w:t>.</w:t>
      </w:r>
    </w:p>
    <w:p w14:paraId="6B65F21F" w14:textId="77777777" w:rsidR="00597DE2" w:rsidRPr="00DC1A5F" w:rsidRDefault="00597DE2" w:rsidP="00597DE2">
      <w:r w:rsidRPr="00DC1A5F">
        <w:t xml:space="preserve">100. </w:t>
      </w:r>
      <w:r w:rsidRPr="00DC1A5F">
        <w:tab/>
        <w:t xml:space="preserve">Así que cuando observe el surgimiento y la desaparición de estas dos maneras, según su </w:t>
      </w:r>
      <w:r w:rsidRPr="00DC1A5F">
        <w:rPr>
          <w:i/>
          <w:iCs/>
        </w:rPr>
        <w:t>condición</w:t>
      </w:r>
      <w:r w:rsidRPr="00DC1A5F">
        <w:t xml:space="preserve"> y según el </w:t>
      </w:r>
      <w:r w:rsidRPr="00DC1A5F">
        <w:rPr>
          <w:i/>
          <w:iCs/>
        </w:rPr>
        <w:t>instante</w:t>
      </w:r>
      <w:r w:rsidRPr="00DC1A5F">
        <w:t xml:space="preserve">, la </w:t>
      </w:r>
      <w:r w:rsidRPr="00DC1A5F">
        <w:rPr>
          <w:i/>
          <w:iCs/>
        </w:rPr>
        <w:t>verdad</w:t>
      </w:r>
      <w:r w:rsidRPr="00DC1A5F">
        <w:t xml:space="preserve"> de la originación se hará evidente para él al observar el surgimiento de su condición debida al descubrimiento del progenitor. [632] La verdad del sufrimiento se hará evidente en él al observar el </w:t>
      </w:r>
      <w:r w:rsidRPr="00DC1A5F">
        <w:rPr>
          <w:i/>
          <w:iCs/>
        </w:rPr>
        <w:t>surgimiento</w:t>
      </w:r>
      <w:r w:rsidRPr="00DC1A5F">
        <w:t xml:space="preserve"> según el instante de su descubrimiento del sufrimiento debido al </w:t>
      </w:r>
      <w:r w:rsidRPr="00DC1A5F">
        <w:rPr>
          <w:i/>
          <w:iCs/>
        </w:rPr>
        <w:t>nacimiento</w:t>
      </w:r>
      <w:r w:rsidRPr="00DC1A5F">
        <w:t xml:space="preserve">. La verdad de la </w:t>
      </w:r>
      <w:r w:rsidRPr="00DC1A5F">
        <w:rPr>
          <w:i/>
          <w:iCs/>
        </w:rPr>
        <w:t>cesación</w:t>
      </w:r>
      <w:r w:rsidRPr="00DC1A5F">
        <w:t xml:space="preserve"> se hará evidente para él al observar la </w:t>
      </w:r>
      <w:r w:rsidRPr="00DC1A5F">
        <w:rPr>
          <w:i/>
          <w:iCs/>
        </w:rPr>
        <w:t>desaparición</w:t>
      </w:r>
      <w:r w:rsidRPr="00DC1A5F">
        <w:t xml:space="preserve"> según la condición de su descubrimiento del </w:t>
      </w:r>
      <w:r w:rsidRPr="00DC1A5F">
        <w:rPr>
          <w:i/>
          <w:iCs/>
        </w:rPr>
        <w:t>no–surgimiento</w:t>
      </w:r>
      <w:r w:rsidRPr="00DC1A5F">
        <w:t xml:space="preserve"> de cosas producidas por condiciones cuando sus condiciones no surjan. La verdad del sufrimiento se hará evidente en él también al observar la </w:t>
      </w:r>
      <w:r w:rsidRPr="00DC1A5F">
        <w:rPr>
          <w:i/>
          <w:iCs/>
        </w:rPr>
        <w:t>desaparición</w:t>
      </w:r>
      <w:r w:rsidRPr="00DC1A5F">
        <w:t xml:space="preserve"> según el instante de su descubrimiento del sufrimiento causado por la </w:t>
      </w:r>
      <w:r w:rsidRPr="00DC1A5F">
        <w:rPr>
          <w:i/>
          <w:iCs/>
        </w:rPr>
        <w:t>muerte</w:t>
      </w:r>
      <w:r w:rsidRPr="00DC1A5F">
        <w:t>. Y su visión del surgimiento y la desaparición se hará evidente en él como la verdad que se enuncia en el siguiente pasaje así: “Éste es el sendero mundano” debida a la disipación de la confusión al respecto.</w:t>
      </w:r>
    </w:p>
    <w:p w14:paraId="4106880C" w14:textId="77777777" w:rsidR="00597DE2" w:rsidRPr="00DC1A5F" w:rsidRDefault="00597DE2" w:rsidP="00597DE2">
      <w:r w:rsidRPr="00DC1A5F">
        <w:t xml:space="preserve">101. </w:t>
      </w:r>
      <w:r w:rsidRPr="00DC1A5F">
        <w:tab/>
        <w:t xml:space="preserve">La </w:t>
      </w:r>
      <w:r w:rsidRPr="00DC1A5F">
        <w:rPr>
          <w:i/>
          <w:iCs/>
        </w:rPr>
        <w:t>originación dependiente</w:t>
      </w:r>
      <w:r w:rsidRPr="00DC1A5F">
        <w:t xml:space="preserve"> en el orden progresivo se hará evidente en él al observar el surgimiento según la condición de su descubrimiento de que “Cuando esto se dé, aquello llegará a darse” (M I 262). La originación dependiente en el orden inverso se hará evidente en él al observar la desaparición según la condición de su descubrimiento de que “Cuando esto no se dé, aquello no llegará a darse” (M I 264). Los estados originados dependientemente se harán evidentes en él al observar el surgimiento y la desaparición según el instante de su descubrimiento de la característica de lo formado; pues las cosas que posean un surgimiento y una desaparición se formarán y surgirán condicionalmente.</w:t>
      </w:r>
    </w:p>
    <w:p w14:paraId="329E06B5" w14:textId="77777777" w:rsidR="00597DE2" w:rsidRPr="00DC1A5F" w:rsidRDefault="00597DE2" w:rsidP="00597DE2">
      <w:r w:rsidRPr="00DC1A5F">
        <w:t xml:space="preserve">102. </w:t>
      </w:r>
      <w:r w:rsidRPr="00DC1A5F">
        <w:tab/>
        <w:t xml:space="preserve">El </w:t>
      </w:r>
      <w:r w:rsidRPr="00DC1A5F">
        <w:rPr>
          <w:i/>
          <w:iCs/>
        </w:rPr>
        <w:t>método</w:t>
      </w:r>
      <w:r w:rsidRPr="00DC1A5F">
        <w:t xml:space="preserve"> </w:t>
      </w:r>
      <w:r w:rsidRPr="00DC1A5F">
        <w:rPr>
          <w:i/>
          <w:iCs/>
        </w:rPr>
        <w:t>de la identidad</w:t>
      </w:r>
      <w:r w:rsidRPr="00DC1A5F">
        <w:t xml:space="preserve"> se hará evidente en él al observar el surgimiento según la condición de su descubrimiento de la continuidad ininterrumpida en la conexión de la causa con el efecto. Entonces abandonará más completamente la </w:t>
      </w:r>
      <w:r w:rsidRPr="00DC1A5F">
        <w:rPr>
          <w:i/>
          <w:iCs/>
        </w:rPr>
        <w:t>visión</w:t>
      </w:r>
      <w:r w:rsidRPr="00DC1A5F">
        <w:t xml:space="preserve"> </w:t>
      </w:r>
      <w:r w:rsidRPr="00DC1A5F">
        <w:rPr>
          <w:i/>
          <w:iCs/>
        </w:rPr>
        <w:t>nihilista</w:t>
      </w:r>
      <w:r w:rsidRPr="00DC1A5F">
        <w:t xml:space="preserve">. El </w:t>
      </w:r>
      <w:r w:rsidRPr="00DC1A5F">
        <w:rPr>
          <w:i/>
          <w:iCs/>
        </w:rPr>
        <w:t>método de la diversidad</w:t>
      </w:r>
      <w:r w:rsidRPr="00DC1A5F">
        <w:t xml:space="preserve"> se hará evidente en él al observar el surgimiento según el instante de su descubrimiento de que cada estado será nuevo a medida que éste surja. Entonces abandonará más completamente </w:t>
      </w:r>
      <w:r w:rsidRPr="00DC1A5F">
        <w:br w:type="page"/>
      </w:r>
    </w:p>
    <w:p w14:paraId="73741921" w14:textId="77777777" w:rsidR="00597DE2" w:rsidRPr="00DC1A5F" w:rsidRDefault="00597DE2" w:rsidP="00597DE2">
      <w:pPr>
        <w:spacing w:after="40"/>
      </w:pPr>
      <w:r w:rsidRPr="00DC1A5F">
        <w:lastRenderedPageBreak/>
        <w:t xml:space="preserve">la visión de la </w:t>
      </w:r>
      <w:r w:rsidRPr="00DC1A5F">
        <w:rPr>
          <w:i/>
          <w:iCs/>
        </w:rPr>
        <w:t>eternidad</w:t>
      </w:r>
      <w:r w:rsidRPr="00DC1A5F">
        <w:t xml:space="preserve">. El </w:t>
      </w:r>
      <w:r w:rsidRPr="00DC1A5F">
        <w:rPr>
          <w:i/>
          <w:iCs/>
        </w:rPr>
        <w:t>método del desinterés</w:t>
      </w:r>
      <w:r w:rsidRPr="00DC1A5F">
        <w:t xml:space="preserve"> se hará evidente en él al observar el surgimiento y la desaparición según la condición de su descubrimiento de la incapacidad de los estados para ejercer dominio sobre ellos. Entonces abandonará más completamente la visión del </w:t>
      </w:r>
      <w:r w:rsidRPr="00DC1A5F">
        <w:rPr>
          <w:i/>
          <w:iCs/>
        </w:rPr>
        <w:t>alma</w:t>
      </w:r>
      <w:r w:rsidRPr="00DC1A5F">
        <w:t xml:space="preserve">. El </w:t>
      </w:r>
      <w:r w:rsidRPr="00DC1A5F">
        <w:rPr>
          <w:i/>
          <w:iCs/>
        </w:rPr>
        <w:t>método de la regularidad ineluctable</w:t>
      </w:r>
      <w:r w:rsidRPr="00DC1A5F">
        <w:t xml:space="preserve"> se hará evidente en él al observar el surgimiento según la condición de su descubrimiento del surgimiento del efecto cuando se den las condiciones adecuadas. Entonces abandonará más plenamente la visión de la </w:t>
      </w:r>
      <w:r w:rsidRPr="00DC1A5F">
        <w:rPr>
          <w:i/>
          <w:iCs/>
        </w:rPr>
        <w:t>ineficacia–moral–de–la–acción</w:t>
      </w:r>
      <w:r w:rsidRPr="00DC1A5F">
        <w:t>.</w:t>
      </w:r>
    </w:p>
    <w:p w14:paraId="47F4FCDA" w14:textId="77777777" w:rsidR="00597DE2" w:rsidRPr="00DC1A5F" w:rsidRDefault="00597DE2" w:rsidP="00597DE2">
      <w:pPr>
        <w:spacing w:after="40"/>
        <w:rPr>
          <w:vertAlign w:val="superscript"/>
        </w:rPr>
      </w:pPr>
      <w:r w:rsidRPr="00DC1A5F">
        <w:t xml:space="preserve">103. </w:t>
      </w:r>
      <w:r w:rsidRPr="00DC1A5F">
        <w:tab/>
        <w:t xml:space="preserve">La </w:t>
      </w:r>
      <w:r w:rsidRPr="00DC1A5F">
        <w:rPr>
          <w:i/>
          <w:iCs/>
        </w:rPr>
        <w:t>característica del no–alma</w:t>
      </w:r>
      <w:r w:rsidRPr="00DC1A5F">
        <w:t xml:space="preserve"> se hará evidente en él al observar el surgimiento según la condición de su descubrimiento de que los estados no poseen curiosidad y que su existencia depende de sus condiciones. La </w:t>
      </w:r>
      <w:r w:rsidRPr="00DC1A5F">
        <w:rPr>
          <w:i/>
          <w:iCs/>
        </w:rPr>
        <w:t>característica de la impermanencia</w:t>
      </w:r>
      <w:r w:rsidRPr="00DC1A5F">
        <w:t xml:space="preserve"> se hará evidente en él al observar el surgimiento y la desaparición según el instante de su descubrimiento de la inexistencia después de haber sido y debido a su descubrimiento de que se encuentran excluidos de pasado y futuro. La </w:t>
      </w:r>
      <w:r w:rsidRPr="00DC1A5F">
        <w:rPr>
          <w:i/>
          <w:iCs/>
        </w:rPr>
        <w:t>característica de la insatisfactoriedad</w:t>
      </w:r>
      <w:r w:rsidRPr="00DC1A5F">
        <w:t xml:space="preserve"> se hará evidente en él a través también de ello y de su descubrimiento de la opresión del surgimiento y la desaparición. Y la </w:t>
      </w:r>
      <w:r w:rsidRPr="00DC1A5F">
        <w:rPr>
          <w:i/>
          <w:iCs/>
        </w:rPr>
        <w:t>característica de la esencia individual</w:t>
      </w:r>
      <w:r w:rsidRPr="00DC1A5F">
        <w:t xml:space="preserve"> se hará evidente en él a través de también ello, debido a su descubrimiento de la delimitación de los estados por medio del surgimiento y la desaparición.</w:t>
      </w:r>
      <w:r w:rsidRPr="00DC1A5F">
        <w:rPr>
          <w:vertAlign w:val="superscript"/>
        </w:rPr>
        <w:t>31</w:t>
      </w:r>
      <w:r w:rsidRPr="00DC1A5F">
        <w:t xml:space="preserve"> Y en la característica de la esencia individual la temporalidad de la característica de lo que se forme se hará evidente en él  también por medio ello, debido a su descubrimiento de la inexistencia de la desaparición en el instante del surgimiento y de la inexistencia del surgimiento en el instante de la desaparición.</w:t>
      </w:r>
      <w:r w:rsidRPr="00DC1A5F">
        <w:rPr>
          <w:vertAlign w:val="superscript"/>
        </w:rPr>
        <w:t>32</w:t>
      </w:r>
    </w:p>
    <w:p w14:paraId="1C950666" w14:textId="77777777" w:rsidR="00597DE2" w:rsidRPr="00DC1A5F" w:rsidRDefault="00597DE2" w:rsidP="00597DE2">
      <w:pPr>
        <w:spacing w:after="40"/>
      </w:pPr>
      <w:r w:rsidRPr="00DC1A5F">
        <w:t xml:space="preserve">104. </w:t>
      </w:r>
      <w:r w:rsidRPr="00DC1A5F">
        <w:tab/>
        <w:t>Cuando las diversas verdades, los diversos aspectos de la originación dependiente, los métodos y las características se hagan evidentes en él, entonces las formaciones se le aparecerán como perpetuamente renovadas: “Así que estos estados, al parecer, habiendo estado previamente no surgidos, críticos y habiendo surgido, han cesado.” [633] Y no sólo se renovarán perpetuamente, sino que también serán breves como las gotas de rocío del amanecer (A IV 137), como una burbuja en el agua (S III 14 I), como una línea dibujada en un lago (A IV 137), como un grano de mostaza en la punta de un punzón (</w:t>
      </w:r>
      <w:proofErr w:type="spellStart"/>
      <w:r w:rsidRPr="00DC1A5F">
        <w:t>Nidd</w:t>
      </w:r>
      <w:proofErr w:type="spellEnd"/>
      <w:r w:rsidRPr="00DC1A5F">
        <w:t xml:space="preserve"> I 42), como un relámpago (</w:t>
      </w:r>
      <w:proofErr w:type="spellStart"/>
      <w:r w:rsidRPr="00DC1A5F">
        <w:t>Nidd</w:t>
      </w:r>
      <w:proofErr w:type="spellEnd"/>
      <w:r w:rsidRPr="00DC1A5F">
        <w:t xml:space="preserve"> I 43). Y lucirán sin ningún núcleo, como un truco de prestidigitación (S III 141), como un espejismo (</w:t>
      </w:r>
      <w:proofErr w:type="spellStart"/>
      <w:r w:rsidRPr="00DC1A5F">
        <w:t>Dhp</w:t>
      </w:r>
      <w:proofErr w:type="spellEnd"/>
      <w:r w:rsidRPr="00DC1A5F">
        <w:t xml:space="preserve"> 46), como un sueño (Sn 807), como el círculo de un tizón que haya girado sobre el suelo (fuente no rastreada), como una ciudad de duendes (fuente no rastreada), como la espuma (</w:t>
      </w:r>
      <w:proofErr w:type="spellStart"/>
      <w:r w:rsidRPr="00DC1A5F">
        <w:t>Dhp</w:t>
      </w:r>
      <w:proofErr w:type="spellEnd"/>
      <w:r w:rsidRPr="00DC1A5F">
        <w:t xml:space="preserve"> 46), como un tronco de plátano (S III 142), etc.</w:t>
      </w:r>
    </w:p>
    <w:p w14:paraId="1C232A4F" w14:textId="77777777" w:rsidR="00597DE2" w:rsidRPr="00DC1A5F" w:rsidRDefault="00597DE2" w:rsidP="00597DE2">
      <w:pPr>
        <w:pStyle w:val="NormalConSangria"/>
      </w:pPr>
      <w:r w:rsidRPr="00DC1A5F">
        <w:t>En este punto, él habrá alcanzado una tierna sabiduría–revelativa designada como la contemplación del surgimiento y la desaparición, que se habrá establecido al penetrar en sus 50 características de esta manera: “Solo lo que esté sujeto a la desaparición surgirá; y para que surja se requerirá que desaparezca”. Con la consumación de este entendimiento, se le conocerá a él como un “novato de la sabiduría–revelativa”.</w:t>
      </w:r>
    </w:p>
    <w:p w14:paraId="0C1AD578" w14:textId="77777777" w:rsidR="00597DE2" w:rsidRPr="00DC1A5F" w:rsidRDefault="00597DE2" w:rsidP="00597DE2">
      <w:pPr>
        <w:pStyle w:val="Ttulo3"/>
        <w:spacing w:before="120" w:after="80"/>
        <w:ind w:left="709"/>
      </w:pPr>
      <w:r w:rsidRPr="00DC1A5F">
        <w:t>[Las 10 Imperfecciones de la Sabiduría–Revelativa]</w:t>
      </w:r>
    </w:p>
    <w:p w14:paraId="7C7C1BFB" w14:textId="77777777" w:rsidR="00597DE2" w:rsidRPr="00DC1A5F" w:rsidRDefault="00597DE2" w:rsidP="00597DE2">
      <w:r w:rsidRPr="00DC1A5F">
        <w:t xml:space="preserve">105. </w:t>
      </w:r>
      <w:r w:rsidRPr="00DC1A5F">
        <w:tab/>
        <w:t xml:space="preserve">Ahora bien, cuando se es un principiante en la sabiduría–revelativa mediante esta tierna sabiduría, surgirán en él las 10 imperfecciones de la sabiduría; visto que las imperfecciones de la sabiduría </w:t>
      </w:r>
    </w:p>
    <w:p w14:paraId="404A5FA6" w14:textId="77777777" w:rsidR="00597DE2" w:rsidRPr="00DC1A5F" w:rsidRDefault="00597DE2" w:rsidP="00597DE2">
      <w:pPr>
        <w:pStyle w:val="PiedepginaLegal"/>
        <w:rPr>
          <w:sz w:val="6"/>
          <w:szCs w:val="14"/>
          <w:u w:val="single"/>
        </w:rPr>
      </w:pPr>
      <w:r w:rsidRPr="00DC1A5F">
        <w:rPr>
          <w:sz w:val="6"/>
          <w:szCs w:val="14"/>
          <w:u w:val="single"/>
        </w:rPr>
        <w:tab/>
      </w:r>
      <w:r w:rsidRPr="00DC1A5F">
        <w:rPr>
          <w:sz w:val="6"/>
          <w:szCs w:val="14"/>
          <w:u w:val="single"/>
        </w:rPr>
        <w:tab/>
      </w:r>
      <w:r w:rsidRPr="00DC1A5F">
        <w:rPr>
          <w:sz w:val="6"/>
          <w:szCs w:val="14"/>
          <w:u w:val="single"/>
        </w:rPr>
        <w:tab/>
      </w:r>
      <w:r w:rsidRPr="00DC1A5F">
        <w:rPr>
          <w:sz w:val="6"/>
          <w:szCs w:val="14"/>
          <w:u w:val="single"/>
        </w:rPr>
        <w:tab/>
        <w:t>.</w:t>
      </w:r>
    </w:p>
    <w:p w14:paraId="004439B4" w14:textId="77777777" w:rsidR="00597DE2" w:rsidRPr="00DC1A5F" w:rsidRDefault="00597DE2" w:rsidP="00597DE2">
      <w:pPr>
        <w:pStyle w:val="PiedepginaLegal"/>
        <w:numPr>
          <w:ilvl w:val="0"/>
          <w:numId w:val="9"/>
        </w:numPr>
        <w:tabs>
          <w:tab w:val="clear" w:pos="425"/>
          <w:tab w:val="left" w:pos="284"/>
        </w:tabs>
        <w:ind w:left="284" w:hanging="284"/>
      </w:pPr>
      <w:r w:rsidRPr="00DC1A5F">
        <w:t>“Con la visión del surgimiento y la desaparición no sólo se harán evidentes las características de la impermanencia y la insatisfactoriedad, sino también otras características, en otras palabras, las esencias individuales, de la tierra, el contacto, etc., designados como dureza, textura, etc., respectivamente; éstas se volverán claramente evidentes y discretas (</w:t>
      </w:r>
      <w:proofErr w:type="spellStart"/>
      <w:r w:rsidRPr="00DC1A5F">
        <w:rPr>
          <w:i/>
          <w:iCs/>
        </w:rPr>
        <w:t>avacchinna</w:t>
      </w:r>
      <w:proofErr w:type="spellEnd"/>
      <w:r w:rsidRPr="00DC1A5F">
        <w:t>) en sus esencias individuales” (</w:t>
      </w:r>
      <w:proofErr w:type="spellStart"/>
      <w:r w:rsidRPr="00DC1A5F">
        <w:t>Vism</w:t>
      </w:r>
      <w:proofErr w:type="spellEnd"/>
      <w:r w:rsidRPr="00DC1A5F">
        <w:t>–</w:t>
      </w:r>
      <w:proofErr w:type="spellStart"/>
      <w:r w:rsidRPr="00DC1A5F">
        <w:t>mhṭ</w:t>
      </w:r>
      <w:proofErr w:type="spellEnd"/>
      <w:r w:rsidRPr="00DC1A5F">
        <w:t xml:space="preserve"> 814).</w:t>
      </w:r>
    </w:p>
    <w:p w14:paraId="54664C10"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“La inclusión de solo surgimiento y desaparición aquí se debe a que este tipo de conocimiento ocurrirá como observación de solo surgimiento y desaparición, no por la inexistencia del instante de presencia” (</w:t>
      </w:r>
      <w:proofErr w:type="spellStart"/>
      <w:r w:rsidRPr="00DC1A5F">
        <w:t>Vism</w:t>
      </w:r>
      <w:proofErr w:type="spellEnd"/>
      <w:r w:rsidRPr="00DC1A5F">
        <w:t>–</w:t>
      </w:r>
      <w:proofErr w:type="spellStart"/>
      <w:r w:rsidRPr="00DC1A5F">
        <w:t>mhṭ</w:t>
      </w:r>
      <w:proofErr w:type="spellEnd"/>
      <w:r w:rsidRPr="00DC1A5F">
        <w:t xml:space="preserve"> 814). Ver Introducción, nota 18.</w:t>
      </w:r>
      <w:r w:rsidRPr="00DC1A5F">
        <w:br w:type="page"/>
      </w:r>
    </w:p>
    <w:p w14:paraId="7380D8F4" w14:textId="77777777" w:rsidR="00597DE2" w:rsidRPr="00DC1A5F" w:rsidRDefault="00597DE2" w:rsidP="00597DE2"/>
    <w:p w14:paraId="310FFA62" w14:textId="77777777" w:rsidR="00597DE2" w:rsidRPr="00DC1A5F" w:rsidRDefault="00597DE2" w:rsidP="00597DE2">
      <w:r w:rsidRPr="00DC1A5F">
        <w:t>no surgirían ni en un discípulo noble que haya alcanzado la penetración de las 4 nobles verdades ni en personas de defectuosa virtud, descuidadas de su objeto de meditación y ociosas. Éstas surgirán sólo en un miembro de clan que siga el sendero correcto, que se dedique continuamente a su objeto de meditación y sea un novato de la sabiduría. No obstante, ¿Cuáles son estas diez imperfecciones? Éstas son: (1) la iluminación, (2) el conocimiento, (3) la felicidad arrobadora, (4) la tranquilidad, (5) la dicha (el placer), (6) la resolución, (7) el esfuerzo, (8) la seguridad, (9) la ecuanimidad, y (10) el apego.</w:t>
      </w:r>
    </w:p>
    <w:p w14:paraId="4D055140" w14:textId="77777777" w:rsidR="00597DE2" w:rsidRPr="00DC1A5F" w:rsidRDefault="00597DE2" w:rsidP="00597DE2">
      <w:r w:rsidRPr="00DC1A5F">
        <w:t xml:space="preserve">106. </w:t>
      </w:r>
      <w:r w:rsidRPr="00DC1A5F">
        <w:tab/>
        <w:t xml:space="preserve">Ya que esto se dice esto al respecto: “¿Cómo llega la mente a ser presa de la agitación acerca de estados superiores? Cuando un hombre esté desarrollando formaciones en la mente como impermanentes, la </w:t>
      </w:r>
      <w:r w:rsidRPr="00DC1A5F">
        <w:rPr>
          <w:i/>
          <w:iCs/>
        </w:rPr>
        <w:t>iluminación</w:t>
      </w:r>
      <w:r w:rsidRPr="00DC1A5F">
        <w:t xml:space="preserve"> surgirá en él. Él advertirá a la </w:t>
      </w:r>
      <w:r w:rsidRPr="00DC1A5F">
        <w:rPr>
          <w:i/>
          <w:iCs/>
        </w:rPr>
        <w:t>iluminación</w:t>
      </w:r>
      <w:r w:rsidRPr="00DC1A5F">
        <w:t xml:space="preserve"> así, ‘La </w:t>
      </w:r>
      <w:r w:rsidRPr="00DC1A5F">
        <w:rPr>
          <w:i/>
          <w:iCs/>
        </w:rPr>
        <w:t>iluminación</w:t>
      </w:r>
      <w:r w:rsidRPr="00DC1A5F">
        <w:t xml:space="preserve"> es el estado de un Noble.</w:t>
      </w:r>
      <w:r w:rsidRPr="00DC1A5F">
        <w:rPr>
          <w:vertAlign w:val="superscript"/>
        </w:rPr>
        <w:t>33</w:t>
      </w:r>
      <w:r w:rsidRPr="00DC1A5F">
        <w:t xml:space="preserve"> Esta distracción al respecto corresponderá a la agitación. Cuando su mente sea presa de esta agitación, no comprenderá correctamente su apariencia como </w:t>
      </w:r>
      <w:r w:rsidRPr="00DC1A5F">
        <w:rPr>
          <w:i/>
          <w:iCs/>
        </w:rPr>
        <w:t>impermanente</w:t>
      </w:r>
      <w:r w:rsidRPr="00DC1A5F">
        <w:t xml:space="preserve">, no comprenderá correctamente su apariencia como </w:t>
      </w:r>
      <w:r w:rsidRPr="00DC1A5F">
        <w:rPr>
          <w:i/>
          <w:iCs/>
        </w:rPr>
        <w:t>insatisfactoria</w:t>
      </w:r>
      <w:r w:rsidRPr="00DC1A5F">
        <w:t xml:space="preserve">, no comprenderá correctamente su apariencia como </w:t>
      </w:r>
      <w:r w:rsidRPr="00DC1A5F">
        <w:rPr>
          <w:i/>
          <w:iCs/>
        </w:rPr>
        <w:t>no–alma</w:t>
      </w:r>
      <w:r w:rsidRPr="00DC1A5F">
        <w:t>.</w:t>
      </w:r>
    </w:p>
    <w:p w14:paraId="600AE14F" w14:textId="77777777" w:rsidR="00597DE2" w:rsidRPr="00DC1A5F" w:rsidRDefault="00597DE2" w:rsidP="00597DE2">
      <w:pPr>
        <w:pStyle w:val="NormalConSangria"/>
      </w:pPr>
      <w:r w:rsidRPr="00DC1A5F">
        <w:t xml:space="preserve">“Del mismo modo, cuando él esté desarrollando formaciones en la mente como impermanentes, el </w:t>
      </w:r>
      <w:r w:rsidRPr="00DC1A5F">
        <w:rPr>
          <w:i/>
          <w:iCs/>
        </w:rPr>
        <w:t>conocimiento</w:t>
      </w:r>
      <w:r w:rsidRPr="00DC1A5F">
        <w:t xml:space="preserve"> surgirá en él… la </w:t>
      </w:r>
      <w:r w:rsidRPr="00DC1A5F">
        <w:rPr>
          <w:i/>
          <w:iCs/>
        </w:rPr>
        <w:t>felicidad</w:t>
      </w:r>
      <w:r w:rsidRPr="00DC1A5F">
        <w:t xml:space="preserve">… la </w:t>
      </w:r>
      <w:r w:rsidRPr="00DC1A5F">
        <w:rPr>
          <w:i/>
          <w:iCs/>
        </w:rPr>
        <w:t>tranquilidad</w:t>
      </w:r>
      <w:r w:rsidRPr="00DC1A5F">
        <w:t xml:space="preserve">… la </w:t>
      </w:r>
      <w:r w:rsidRPr="00DC1A5F">
        <w:rPr>
          <w:i/>
          <w:iCs/>
        </w:rPr>
        <w:t>dicha</w:t>
      </w:r>
      <w:r w:rsidRPr="00DC1A5F">
        <w:t xml:space="preserve">… la </w:t>
      </w:r>
      <w:r w:rsidRPr="00DC1A5F">
        <w:rPr>
          <w:i/>
          <w:iCs/>
        </w:rPr>
        <w:t>resolución</w:t>
      </w:r>
      <w:r w:rsidRPr="00DC1A5F">
        <w:t xml:space="preserve">… el </w:t>
      </w:r>
      <w:r w:rsidRPr="00DC1A5F">
        <w:rPr>
          <w:i/>
          <w:iCs/>
        </w:rPr>
        <w:t>esfuerzo</w:t>
      </w:r>
      <w:r w:rsidRPr="00DC1A5F">
        <w:t xml:space="preserve">… la </w:t>
      </w:r>
      <w:r w:rsidRPr="00DC1A5F">
        <w:rPr>
          <w:i/>
          <w:iCs/>
        </w:rPr>
        <w:t>seguridad</w:t>
      </w:r>
      <w:r w:rsidRPr="00DC1A5F">
        <w:t xml:space="preserve">… la </w:t>
      </w:r>
      <w:r w:rsidRPr="00DC1A5F">
        <w:rPr>
          <w:i/>
          <w:iCs/>
        </w:rPr>
        <w:t>ecuanimidad</w:t>
      </w:r>
      <w:r w:rsidRPr="00DC1A5F">
        <w:t xml:space="preserve">… el </w:t>
      </w:r>
      <w:r w:rsidRPr="00DC1A5F">
        <w:rPr>
          <w:i/>
          <w:iCs/>
        </w:rPr>
        <w:t>apego</w:t>
      </w:r>
      <w:r w:rsidRPr="00DC1A5F">
        <w:t xml:space="preserve"> surgirá en él. Él advertirá sobre el apego así: “Este apego es el estado de un Noble”. La distracción debida a ello corresponderá a la agitación. Cuando su mente sea presa de esa agitación, no comprenderá correctamente su apariencia como </w:t>
      </w:r>
      <w:r w:rsidRPr="00DC1A5F">
        <w:rPr>
          <w:i/>
          <w:iCs/>
        </w:rPr>
        <w:t>impermanente</w:t>
      </w:r>
      <w:r w:rsidRPr="00DC1A5F">
        <w:t xml:space="preserve">, [634] no comprenderá correctamente su apariencia como </w:t>
      </w:r>
      <w:r w:rsidRPr="00DC1A5F">
        <w:rPr>
          <w:i/>
          <w:iCs/>
        </w:rPr>
        <w:t>insatisfactoria</w:t>
      </w:r>
      <w:r w:rsidRPr="00DC1A5F">
        <w:t xml:space="preserve">, no comprenderá correctamente su apariencia como </w:t>
      </w:r>
      <w:r w:rsidRPr="00DC1A5F">
        <w:rPr>
          <w:i/>
          <w:iCs/>
        </w:rPr>
        <w:t>no–alma</w:t>
      </w:r>
      <w:r w:rsidRPr="00DC1A5F">
        <w:t>” (</w:t>
      </w:r>
      <w:r w:rsidRPr="00DC1A5F">
        <w:rPr>
          <w:i/>
          <w:iCs/>
        </w:rPr>
        <w:t>Patis</w:t>
      </w:r>
      <w:r w:rsidRPr="00DC1A5F">
        <w:t xml:space="preserve"> II 100).</w:t>
      </w:r>
    </w:p>
    <w:p w14:paraId="1C728478" w14:textId="77777777" w:rsidR="00597DE2" w:rsidRPr="00DC1A5F" w:rsidRDefault="00597DE2" w:rsidP="00597DE2">
      <w:r w:rsidRPr="00DC1A5F">
        <w:t xml:space="preserve">107. </w:t>
      </w:r>
      <w:r w:rsidRPr="00DC1A5F">
        <w:tab/>
        <w:t xml:space="preserve">1. Aquí, la </w:t>
      </w:r>
      <w:r w:rsidRPr="00DC1A5F">
        <w:rPr>
          <w:i/>
          <w:iCs/>
        </w:rPr>
        <w:t>iluminación</w:t>
      </w:r>
      <w:r w:rsidRPr="00DC1A5F">
        <w:t xml:space="preserve"> corresponderá a la iluminación debida a la sabiduría.</w:t>
      </w:r>
      <w:r w:rsidRPr="00DC1A5F">
        <w:rPr>
          <w:vertAlign w:val="superscript"/>
        </w:rPr>
        <w:t>34</w:t>
      </w:r>
      <w:r w:rsidRPr="00DC1A5F">
        <w:t xml:space="preserve"> Cuando surja, el meditador pensará: “Tal </w:t>
      </w:r>
      <w:r w:rsidRPr="00DC1A5F">
        <w:rPr>
          <w:i/>
          <w:iCs/>
        </w:rPr>
        <w:t>iluminación</w:t>
      </w:r>
      <w:r w:rsidRPr="00DC1A5F">
        <w:t xml:space="preserve"> </w:t>
      </w:r>
      <w:proofErr w:type="gramStart"/>
      <w:r w:rsidRPr="00DC1A5F">
        <w:t>nunca antes</w:t>
      </w:r>
      <w:proofErr w:type="gramEnd"/>
      <w:r w:rsidRPr="00DC1A5F">
        <w:t xml:space="preserve"> había surgido en mí. Seguramente he consumado el sendero, consumado la fruición”; así adoptará lo que no sea el sendero como el sendero y lo que no sea una fruición, como fruición. Cuando adopte lo que no sea el sendero como sendero y lo que no sea fruición como fruición el curso de su sabiduría se interrumpirá.</w:t>
      </w:r>
    </w:p>
    <w:p w14:paraId="7050B13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2AC02C4" w14:textId="77777777" w:rsidR="00597DE2" w:rsidRPr="00DC1A5F" w:rsidRDefault="00597DE2" w:rsidP="00597DE2">
      <w:pPr>
        <w:pStyle w:val="PiedepginaLegal"/>
        <w:numPr>
          <w:ilvl w:val="0"/>
          <w:numId w:val="9"/>
        </w:numPr>
        <w:tabs>
          <w:tab w:val="clear" w:pos="425"/>
          <w:tab w:val="left" w:pos="284"/>
        </w:tabs>
        <w:ind w:left="284" w:hanging="284"/>
      </w:pPr>
      <w:r w:rsidRPr="00DC1A5F">
        <w:t xml:space="preserve">“Él lo advertirá como </w:t>
      </w:r>
      <w:r w:rsidRPr="00DC1A5F">
        <w:rPr>
          <w:i/>
          <w:iCs/>
        </w:rPr>
        <w:t>Nibbāna</w:t>
      </w:r>
      <w:r w:rsidRPr="00DC1A5F">
        <w:t xml:space="preserve"> o como el sendero o como la fruición” (</w:t>
      </w:r>
      <w:proofErr w:type="spellStart"/>
      <w:r w:rsidRPr="00DC1A5F">
        <w:t>Vism</w:t>
      </w:r>
      <w:proofErr w:type="spellEnd"/>
      <w:r w:rsidRPr="00DC1A5F">
        <w:t>–</w:t>
      </w:r>
      <w:proofErr w:type="spellStart"/>
      <w:r w:rsidRPr="00DC1A5F">
        <w:t>mhṭ</w:t>
      </w:r>
      <w:proofErr w:type="spellEnd"/>
      <w:r w:rsidRPr="00DC1A5F">
        <w:t xml:space="preserve"> 816). “La agitación, la distracción, que ocurra acerca de si la iluminación, etc., corresponden a estados nobles o no, corresponderán a ‘la agitación con respecto a estados superiores’” (</w:t>
      </w:r>
      <w:proofErr w:type="spellStart"/>
      <w:r w:rsidRPr="00DC1A5F">
        <w:t>Vism</w:t>
      </w:r>
      <w:proofErr w:type="spellEnd"/>
      <w:r w:rsidRPr="00DC1A5F">
        <w:t>–</w:t>
      </w:r>
      <w:proofErr w:type="spellStart"/>
      <w:r w:rsidRPr="00DC1A5F">
        <w:t>mhṭ</w:t>
      </w:r>
      <w:proofErr w:type="spellEnd"/>
      <w:r w:rsidRPr="00DC1A5F">
        <w:t xml:space="preserve"> 815). A este respecto, el </w:t>
      </w:r>
      <w:proofErr w:type="spellStart"/>
      <w:r w:rsidRPr="00DC1A5F">
        <w:t>Vism</w:t>
      </w:r>
      <w:proofErr w:type="spellEnd"/>
      <w:r w:rsidRPr="00DC1A5F">
        <w:t>–</w:t>
      </w:r>
      <w:proofErr w:type="spellStart"/>
      <w:r w:rsidRPr="00DC1A5F">
        <w:t>mhṭ</w:t>
      </w:r>
      <w:proofErr w:type="spellEnd"/>
      <w:r w:rsidRPr="00DC1A5F">
        <w:t xml:space="preserve"> cita el siguiente texto: “Amigos, cualquier </w:t>
      </w:r>
      <w:proofErr w:type="spellStart"/>
      <w:r w:rsidRPr="00DC1A5F">
        <w:rPr>
          <w:i/>
        </w:rPr>
        <w:t>bhikkhu</w:t>
      </w:r>
      <w:proofErr w:type="spellEnd"/>
      <w:r w:rsidRPr="00DC1A5F">
        <w:t xml:space="preserve"> o </w:t>
      </w:r>
      <w:proofErr w:type="spellStart"/>
      <w:r w:rsidRPr="00DC1A5F">
        <w:rPr>
          <w:i/>
          <w:iCs/>
        </w:rPr>
        <w:t>bhikkhunī</w:t>
      </w:r>
      <w:proofErr w:type="spellEnd"/>
      <w:r w:rsidRPr="00DC1A5F">
        <w:t xml:space="preserve"> que declare haber consumado el estado de </w:t>
      </w:r>
      <w:r w:rsidRPr="00DC1A5F">
        <w:rPr>
          <w:i/>
        </w:rPr>
        <w:t>Arahant</w:t>
      </w:r>
      <w:r w:rsidRPr="00DC1A5F">
        <w:t xml:space="preserve"> en mi presencia, siempre habrá llegado allí por medio de los cuatro senderos o por uno de ellos. ¿Cuáles cuatro? Aquí, amigos, un </w:t>
      </w:r>
      <w:proofErr w:type="spellStart"/>
      <w:r w:rsidRPr="00DC1A5F">
        <w:rPr>
          <w:i/>
        </w:rPr>
        <w:t>bhikkhu</w:t>
      </w:r>
      <w:proofErr w:type="spellEnd"/>
      <w:r w:rsidRPr="00DC1A5F">
        <w:t xml:space="preserve"> desarrollará una sabiduría–revelativa precedida por la serenidad. Mientras desarrolle la sabiduría precedida por la serenidad, surgirá en él el sendero. Él cultivará, desarrollará, repetirá ese sendero. Al hacerlo, se abandonarán sus cadenas y se pondrá fin a sus tendencias subyacentes. Una vez más, amigos, un </w:t>
      </w:r>
      <w:proofErr w:type="spellStart"/>
      <w:r w:rsidRPr="00DC1A5F">
        <w:rPr>
          <w:i/>
        </w:rPr>
        <w:t>bhikkhu</w:t>
      </w:r>
      <w:proofErr w:type="spellEnd"/>
      <w:r w:rsidRPr="00DC1A5F">
        <w:t xml:space="preserve"> desarrollará serenidad precedida por la sabiduría… Él desarrollará serenidad y sabiduría unidas equivalentemente. Una vez más, amigos, la mente de un </w:t>
      </w:r>
      <w:proofErr w:type="spellStart"/>
      <w:r w:rsidRPr="00DC1A5F">
        <w:rPr>
          <w:i/>
        </w:rPr>
        <w:t>bhikkhu</w:t>
      </w:r>
      <w:proofErr w:type="spellEnd"/>
      <w:r w:rsidRPr="00DC1A5F">
        <w:t xml:space="preserve"> se apoderará de la agitación con respecto a los estados más elevados. Cuando esa consciencia se asiente internamente, se hará estable, unificada y concentrada, entonces surgirá en él el sendero... sus tendencias subyacentes llegarán a su fin” (A II 157).</w:t>
      </w:r>
    </w:p>
    <w:p w14:paraId="7BF30D6A" w14:textId="77777777" w:rsidR="00597DE2" w:rsidRPr="00DC1A5F" w:rsidRDefault="00597DE2" w:rsidP="00597DE2">
      <w:pPr>
        <w:pStyle w:val="PiedepginaLegal"/>
        <w:numPr>
          <w:ilvl w:val="0"/>
          <w:numId w:val="9"/>
        </w:numPr>
        <w:tabs>
          <w:tab w:val="clear" w:pos="425"/>
          <w:tab w:val="left" w:pos="284"/>
        </w:tabs>
        <w:ind w:left="284" w:hanging="284"/>
      </w:pPr>
      <w:r w:rsidRPr="00DC1A5F">
        <w:rPr>
          <w:i/>
          <w:iCs/>
        </w:rPr>
        <w:t>“‘Iluminación debida a la sabiduría’</w:t>
      </w:r>
      <w:r w:rsidRPr="00DC1A5F">
        <w:t xml:space="preserve"> corresponderá a la materialidad luminosa originada por la consciencia de la sabiduría y a la originada por la temperatura perteneciente a su propia continuidad. De éstos, el que se origine por la consciencia de la sabiduría será brillante y se encontrará solo en el cuerpo del meditador. El otro tipo será independiente de su cuerpo y se extenderá por todo lo que sea susceptible de ser experimentado mediante el conocimiento. Se le manifestará también a él y observará cualquier cosa material en el lugar en contacto con él” (</w:t>
      </w:r>
      <w:proofErr w:type="spellStart"/>
      <w:r w:rsidRPr="00DC1A5F">
        <w:t>Vism</w:t>
      </w:r>
      <w:proofErr w:type="spellEnd"/>
      <w:r w:rsidRPr="00DC1A5F">
        <w:t>–</w:t>
      </w:r>
      <w:proofErr w:type="spellStart"/>
      <w:r w:rsidRPr="00DC1A5F">
        <w:t>mhṭ</w:t>
      </w:r>
      <w:proofErr w:type="spellEnd"/>
      <w:r w:rsidRPr="00DC1A5F">
        <w:t xml:space="preserve"> 816).</w:t>
      </w:r>
    </w:p>
    <w:p w14:paraId="36569125" w14:textId="77777777" w:rsidR="00597DE2" w:rsidRPr="00DC1A5F" w:rsidRDefault="00597DE2" w:rsidP="00597DE2"/>
    <w:p w14:paraId="320B192D" w14:textId="77777777" w:rsidR="00597DE2" w:rsidRPr="00DC1A5F" w:rsidRDefault="00597DE2" w:rsidP="00597DE2">
      <w:pPr>
        <w:tabs>
          <w:tab w:val="clear" w:pos="425"/>
        </w:tabs>
        <w:spacing w:after="160"/>
      </w:pPr>
      <w:r w:rsidRPr="00DC1A5F">
        <w:br w:type="page"/>
      </w:r>
    </w:p>
    <w:p w14:paraId="6ED199ED" w14:textId="77777777" w:rsidR="00597DE2" w:rsidRPr="00DC1A5F" w:rsidRDefault="00597DE2" w:rsidP="00597DE2">
      <w:pPr>
        <w:pStyle w:val="Textoindependiente"/>
      </w:pPr>
      <w:r w:rsidRPr="00DC1A5F">
        <w:lastRenderedPageBreak/>
        <w:t>Entonces, abandonará su objeto básico de meditación y se sentirá simplemente disfrutando de la iluminación.</w:t>
      </w:r>
    </w:p>
    <w:p w14:paraId="7A0B1D58" w14:textId="77777777" w:rsidR="00597DE2" w:rsidRPr="00DC1A5F" w:rsidRDefault="00597DE2" w:rsidP="00597DE2">
      <w:r w:rsidRPr="00DC1A5F">
        <w:t xml:space="preserve">108. </w:t>
      </w:r>
      <w:r w:rsidRPr="00DC1A5F">
        <w:tab/>
        <w:t xml:space="preserve">No </w:t>
      </w:r>
      <w:proofErr w:type="gramStart"/>
      <w:r w:rsidRPr="00DC1A5F">
        <w:t>obstante,  esta</w:t>
      </w:r>
      <w:proofErr w:type="gramEnd"/>
      <w:r w:rsidRPr="00DC1A5F">
        <w:t xml:space="preserve"> iluminación surgirá en un </w:t>
      </w:r>
      <w:proofErr w:type="spellStart"/>
      <w:r w:rsidRPr="00DC1A5F">
        <w:rPr>
          <w:i/>
        </w:rPr>
        <w:t>bhikkhu</w:t>
      </w:r>
      <w:proofErr w:type="spellEnd"/>
      <w:r w:rsidRPr="00DC1A5F">
        <w:t xml:space="preserve"> iluminando sólo la extensión de la sesión en el que esté sentado; en otra, el interior de su habitación; en otra, el exterior de su habitación; en otra todo el monasterio... un cuarto de legua... media legua... una legua... dos leguas... tres leguas; en otra, el </w:t>
      </w:r>
      <w:proofErr w:type="spellStart"/>
      <w:r w:rsidRPr="00DC1A5F">
        <w:rPr>
          <w:i/>
        </w:rPr>
        <w:t>bhikkhu</w:t>
      </w:r>
      <w:proofErr w:type="spellEnd"/>
      <w:r w:rsidRPr="00DC1A5F">
        <w:t xml:space="preserve"> surgirá haciendo una sola luz desde la superficie de la tierra hasta el plano</w:t>
      </w:r>
      <w:r w:rsidRPr="00DC1A5F">
        <w:rPr>
          <w:i/>
          <w:iCs/>
        </w:rPr>
        <w:t>–</w:t>
      </w:r>
      <w:r w:rsidRPr="00DC1A5F">
        <w:rPr>
          <w:i/>
        </w:rPr>
        <w:t>Brahmā</w:t>
      </w:r>
      <w:r w:rsidRPr="00DC1A5F">
        <w:t xml:space="preserve">. No obstante, en el </w:t>
      </w:r>
      <w:r w:rsidRPr="00DC1A5F">
        <w:rPr>
          <w:i/>
          <w:iCs/>
        </w:rPr>
        <w:t>Bhagavā</w:t>
      </w:r>
      <w:r w:rsidRPr="00DC1A5F">
        <w:t xml:space="preserve"> se haya dado iluminando </w:t>
      </w:r>
      <w:proofErr w:type="gramStart"/>
      <w:r w:rsidRPr="00DC1A5F">
        <w:t>los diez mil esferas estelares</w:t>
      </w:r>
      <w:proofErr w:type="gramEnd"/>
      <w:r w:rsidRPr="00DC1A5F">
        <w:t>.</w:t>
      </w:r>
    </w:p>
    <w:p w14:paraId="1771A9BD" w14:textId="77777777" w:rsidR="00597DE2" w:rsidRPr="00DC1A5F" w:rsidRDefault="00597DE2" w:rsidP="00597DE2">
      <w:r w:rsidRPr="00DC1A5F">
        <w:t xml:space="preserve">109. </w:t>
      </w:r>
      <w:r w:rsidRPr="00DC1A5F">
        <w:tab/>
        <w:t xml:space="preserve">Esta exposición ilustra cómo varía esta iluminación. Al parecer, dos Venerables se encontraban sentados dentro de una habitación con una pared doble en </w:t>
      </w:r>
      <w:proofErr w:type="spellStart"/>
      <w:r w:rsidRPr="00DC1A5F">
        <w:t>Cittalapabbata</w:t>
      </w:r>
      <w:proofErr w:type="spellEnd"/>
      <w:r w:rsidRPr="00DC1A5F">
        <w:t xml:space="preserve">. Era el </w:t>
      </w:r>
      <w:proofErr w:type="spellStart"/>
      <w:r w:rsidRPr="00DC1A5F">
        <w:rPr>
          <w:i/>
        </w:rPr>
        <w:t>Uposatha</w:t>
      </w:r>
      <w:proofErr w:type="spellEnd"/>
      <w:r w:rsidRPr="00DC1A5F">
        <w:t xml:space="preserve"> durante el día de la Luna Nueva. Todas las direcciones estaban cubiertas por un manto de nubes y por la noche prevalecía la penumbra debida a cuatro factores.</w:t>
      </w:r>
      <w:r w:rsidRPr="00DC1A5F">
        <w:rPr>
          <w:vertAlign w:val="superscript"/>
        </w:rPr>
        <w:t>35</w:t>
      </w:r>
      <w:r w:rsidRPr="00DC1A5F">
        <w:t xml:space="preserve"> Entonces, un Venerable dijo: “Venerable Señor, ahora puedo ver las flores de los cinco colores en la mesa del león en la terraza del santuario”. El otro dijo: “Lo que dice no es nada maravilloso, amigo. En realidad, ahora puedo ver los peces y las tortugas del océano a una legua de distancia”.</w:t>
      </w:r>
    </w:p>
    <w:p w14:paraId="7E89795E" w14:textId="77777777" w:rsidR="00597DE2" w:rsidRPr="00DC1A5F" w:rsidRDefault="00597DE2" w:rsidP="00597DE2">
      <w:pPr>
        <w:pStyle w:val="Textoindependiente"/>
      </w:pPr>
      <w:r w:rsidRPr="00DC1A5F">
        <w:t xml:space="preserve">110. </w:t>
      </w:r>
      <w:r w:rsidRPr="00DC1A5F">
        <w:tab/>
        <w:t xml:space="preserve">Esta imperfección de la sabiduría suele surgir en quien haya adquirido serenidad y sabiduría. Debido a que las impurezas suprimidas por las absorciones no se manifiestan, él piensa: “Soy un </w:t>
      </w:r>
      <w:r w:rsidRPr="00DC1A5F">
        <w:rPr>
          <w:i/>
        </w:rPr>
        <w:t>Arahant</w:t>
      </w:r>
      <w:r w:rsidRPr="00DC1A5F">
        <w:t>”, como el Venerable Mahā–</w:t>
      </w:r>
      <w:proofErr w:type="spellStart"/>
      <w:r w:rsidRPr="00DC1A5F">
        <w:t>Nāga</w:t>
      </w:r>
      <w:proofErr w:type="spellEnd"/>
      <w:r w:rsidRPr="00DC1A5F">
        <w:t xml:space="preserve"> que vivió en </w:t>
      </w:r>
      <w:proofErr w:type="spellStart"/>
      <w:r w:rsidRPr="00DC1A5F">
        <w:t>Uccāvālika</w:t>
      </w:r>
      <w:proofErr w:type="spellEnd"/>
      <w:r w:rsidRPr="00DC1A5F">
        <w:t>, como el Venerable Mahā–</w:t>
      </w:r>
      <w:proofErr w:type="spellStart"/>
      <w:r w:rsidRPr="00DC1A5F">
        <w:t>Datta</w:t>
      </w:r>
      <w:proofErr w:type="spellEnd"/>
      <w:r w:rsidRPr="00DC1A5F">
        <w:t xml:space="preserve"> que vivió en </w:t>
      </w:r>
      <w:proofErr w:type="spellStart"/>
      <w:r w:rsidRPr="00DC1A5F">
        <w:t>Haṅkana</w:t>
      </w:r>
      <w:proofErr w:type="spellEnd"/>
      <w:r w:rsidRPr="00DC1A5F">
        <w:t xml:space="preserve">, como el Venerable </w:t>
      </w:r>
      <w:proofErr w:type="spellStart"/>
      <w:r w:rsidRPr="00DC1A5F">
        <w:t>Cūḷa</w:t>
      </w:r>
      <w:proofErr w:type="spellEnd"/>
      <w:r w:rsidRPr="00DC1A5F">
        <w:t xml:space="preserve"> </w:t>
      </w:r>
      <w:proofErr w:type="spellStart"/>
      <w:r w:rsidRPr="00DC1A5F">
        <w:t>Sumana</w:t>
      </w:r>
      <w:proofErr w:type="spellEnd"/>
      <w:r w:rsidRPr="00DC1A5F">
        <w:t xml:space="preserve"> que vivió en la casa de meditación </w:t>
      </w:r>
      <w:proofErr w:type="spellStart"/>
      <w:r w:rsidRPr="00DC1A5F">
        <w:t>Nikapenna</w:t>
      </w:r>
      <w:proofErr w:type="spellEnd"/>
      <w:r w:rsidRPr="00DC1A5F">
        <w:t xml:space="preserve"> en </w:t>
      </w:r>
      <w:proofErr w:type="spellStart"/>
      <w:r w:rsidRPr="00DC1A5F">
        <w:t>Cittalapabbata</w:t>
      </w:r>
      <w:proofErr w:type="spellEnd"/>
      <w:r w:rsidRPr="00DC1A5F">
        <w:t>.</w:t>
      </w:r>
    </w:p>
    <w:p w14:paraId="7B0216D0" w14:textId="77777777" w:rsidR="00597DE2" w:rsidRPr="00DC1A5F" w:rsidRDefault="00597DE2" w:rsidP="00597DE2">
      <w:r w:rsidRPr="00DC1A5F">
        <w:t xml:space="preserve">111. </w:t>
      </w:r>
      <w:r w:rsidRPr="00DC1A5F">
        <w:tab/>
        <w:t xml:space="preserve">Aquí, una historia como ilustración. El Venerable </w:t>
      </w:r>
      <w:proofErr w:type="spellStart"/>
      <w:r w:rsidRPr="00DC1A5F">
        <w:t>Dhammadinna</w:t>
      </w:r>
      <w:proofErr w:type="spellEnd"/>
      <w:r w:rsidRPr="00DC1A5F">
        <w:t xml:space="preserve">, al parecer, que vivía en </w:t>
      </w:r>
      <w:proofErr w:type="spellStart"/>
      <w:r w:rsidRPr="00DC1A5F">
        <w:t>Taḷaṅgara</w:t>
      </w:r>
      <w:proofErr w:type="spellEnd"/>
      <w:r w:rsidRPr="00DC1A5F">
        <w:t xml:space="preserve">, era uno de los grandes de contaminaciones extintas que era poseedor de las categorías de discriminación, era además instructor de una gran comunidad de </w:t>
      </w:r>
      <w:proofErr w:type="spellStart"/>
      <w:r w:rsidRPr="00DC1A5F">
        <w:rPr>
          <w:i/>
        </w:rPr>
        <w:t>bhikkhu</w:t>
      </w:r>
      <w:r w:rsidRPr="00DC1A5F">
        <w:t>s</w:t>
      </w:r>
      <w:proofErr w:type="spellEnd"/>
      <w:r w:rsidRPr="00DC1A5F">
        <w:t>. Un día, mientras estaba sentado en su aposento diurno, se preguntó: “¿Nuestro maestro, el Venerable Mahā–</w:t>
      </w:r>
      <w:proofErr w:type="spellStart"/>
      <w:r w:rsidRPr="00DC1A5F">
        <w:t>Nāga</w:t>
      </w:r>
      <w:proofErr w:type="spellEnd"/>
      <w:r w:rsidRPr="00DC1A5F">
        <w:t xml:space="preserve"> que vive en </w:t>
      </w:r>
      <w:proofErr w:type="spellStart"/>
      <w:r w:rsidRPr="00DC1A5F">
        <w:t>Uccavālika</w:t>
      </w:r>
      <w:proofErr w:type="spellEnd"/>
      <w:r w:rsidRPr="00DC1A5F">
        <w:t xml:space="preserve">, [635] ha concluido su trabajo de ascetismo, o no?”. Entonces, observó que todavía era un hombre común y sabía que si no iba a él, moriría como un hombre común. Se elevó en el aire, mediante un poder sobrenatural y se posó cerca del Venerable, quien estaba sentado en sus aposentos diurnos. Le rindió reverencia, cumpliendo con su deber, y se sentó a un lado. A la pregunta, “¿Por qué ha venido inesperadamente, amigo </w:t>
      </w:r>
      <w:proofErr w:type="spellStart"/>
      <w:r w:rsidRPr="00DC1A5F">
        <w:t>Dhammadinna</w:t>
      </w:r>
      <w:proofErr w:type="spellEnd"/>
      <w:r w:rsidRPr="00DC1A5F">
        <w:t>?” él respondió: “He venido a hacerle una pregunta, Venerable Señor”. Él le dijo: “Pregunte, amigo. Si sabemos, diremos la respuesta”. Él le hizo mil preguntas.</w:t>
      </w:r>
    </w:p>
    <w:p w14:paraId="1A321995" w14:textId="77777777" w:rsidR="00597DE2" w:rsidRPr="00DC1A5F" w:rsidRDefault="00597DE2" w:rsidP="00597DE2">
      <w:r w:rsidRPr="00DC1A5F">
        <w:t xml:space="preserve">112. </w:t>
      </w:r>
      <w:r w:rsidRPr="00DC1A5F">
        <w:tab/>
        <w:t>El Venerable respondió sin dudar a cada pregunta. A la observación: “Su conocimiento es muy agudo, Venerable Señor; ¿Cuándo consumó este estado?” él respondió: “Hace sesenta años, amigo”. “¿Practica usted la concentración, Venerable Señor?”—“Eso no es difícil, amigo.”—“Entonces aparezca un elefante, Venerable Señor.” El Venerable hizo aparecer un elefante todo blanco. “Ahora, Venerable Señor, haga que ese elefante venga directamente hacia usted con las orejas extendidas, la cola extendida, llevándose la trompa a la boca y haciendo un horrible trompeteo”. El Venerable así lo hizo. Al ver el aspecto espantoso del elefante que se acercaba rápidamente a ellos, saltó e hizo el ademán de huida. Entonces el Venerable que tenía las contaminaciones destruidas alargó la mano y, tomándolo por el borde del ropaje, dijo: “Venerable Señor, ¿Podría existir alguna timidez en alguien que posea las contaminaciones destruidas?”</w:t>
      </w:r>
    </w:p>
    <w:p w14:paraId="0F0C31E3" w14:textId="77777777" w:rsidR="00597DE2" w:rsidRPr="00DC1A5F" w:rsidRDefault="00597DE2" w:rsidP="00597DE2">
      <w:pPr>
        <w:pStyle w:val="PiedepginaLegal"/>
        <w:rPr>
          <w:sz w:val="10"/>
          <w:szCs w:val="18"/>
          <w:u w:val="single"/>
        </w:rPr>
      </w:pPr>
      <w:r w:rsidRPr="00DC1A5F">
        <w:rPr>
          <w:sz w:val="10"/>
          <w:szCs w:val="18"/>
          <w:u w:val="single"/>
        </w:rPr>
        <w:tab/>
      </w:r>
      <w:r w:rsidRPr="00DC1A5F">
        <w:rPr>
          <w:sz w:val="10"/>
          <w:szCs w:val="18"/>
          <w:u w:val="single"/>
        </w:rPr>
        <w:tab/>
      </w:r>
      <w:r w:rsidRPr="00DC1A5F">
        <w:rPr>
          <w:sz w:val="10"/>
          <w:szCs w:val="18"/>
          <w:u w:val="single"/>
        </w:rPr>
        <w:tab/>
      </w:r>
      <w:r w:rsidRPr="00DC1A5F">
        <w:rPr>
          <w:sz w:val="10"/>
          <w:szCs w:val="18"/>
          <w:u w:val="single"/>
        </w:rPr>
        <w:tab/>
      </w:r>
    </w:p>
    <w:p w14:paraId="61E29340" w14:textId="77777777" w:rsidR="00597DE2" w:rsidRPr="00DC1A5F" w:rsidRDefault="00597DE2" w:rsidP="00597DE2">
      <w:pPr>
        <w:pStyle w:val="PiedepginaLegal"/>
        <w:numPr>
          <w:ilvl w:val="0"/>
          <w:numId w:val="9"/>
        </w:numPr>
        <w:tabs>
          <w:tab w:val="clear" w:pos="425"/>
          <w:tab w:val="left" w:pos="284"/>
        </w:tabs>
        <w:spacing w:after="160"/>
        <w:ind w:left="284" w:hanging="284"/>
      </w:pPr>
      <w:proofErr w:type="spellStart"/>
      <w:r w:rsidRPr="00DC1A5F">
        <w:rPr>
          <w:i/>
          <w:iCs/>
        </w:rPr>
        <w:t>Caturaṅga</w:t>
      </w:r>
      <w:proofErr w:type="spellEnd"/>
      <w:r w:rsidRPr="00DC1A5F">
        <w:rPr>
          <w:i/>
          <w:iCs/>
        </w:rPr>
        <w:t>–</w:t>
      </w:r>
      <w:proofErr w:type="spellStart"/>
      <w:r w:rsidRPr="00DC1A5F">
        <w:rPr>
          <w:i/>
          <w:iCs/>
        </w:rPr>
        <w:t>samannāgataṃ</w:t>
      </w:r>
      <w:proofErr w:type="spellEnd"/>
      <w:r w:rsidRPr="00DC1A5F">
        <w:rPr>
          <w:i/>
          <w:iCs/>
        </w:rPr>
        <w:t xml:space="preserve"> </w:t>
      </w:r>
      <w:proofErr w:type="spellStart"/>
      <w:r w:rsidRPr="00DC1A5F">
        <w:rPr>
          <w:i/>
          <w:iCs/>
        </w:rPr>
        <w:t>tamaí</w:t>
      </w:r>
      <w:proofErr w:type="spellEnd"/>
      <w:r w:rsidRPr="00DC1A5F">
        <w:t>—“tristeza consistente de cuatro factores” también se menciona en el</w:t>
      </w:r>
      <w:r w:rsidRPr="00DC1A5F">
        <w:br/>
        <w:t xml:space="preserve">S–a I 170, M–a V 16 (c. </w:t>
      </w:r>
      <w:proofErr w:type="spellStart"/>
      <w:r w:rsidRPr="00DC1A5F">
        <w:rPr>
          <w:i/>
          <w:iCs/>
        </w:rPr>
        <w:t>andhakāra</w:t>
      </w:r>
      <w:proofErr w:type="spellEnd"/>
      <w:r w:rsidRPr="00DC1A5F">
        <w:t xml:space="preserve">) y </w:t>
      </w:r>
      <w:proofErr w:type="spellStart"/>
      <w:r w:rsidRPr="00DC1A5F">
        <w:t>Ud</w:t>
      </w:r>
      <w:proofErr w:type="spellEnd"/>
      <w:r w:rsidRPr="00DC1A5F">
        <w:t>–a 66, 304.</w:t>
      </w:r>
      <w:r w:rsidRPr="00DC1A5F">
        <w:br w:type="page"/>
      </w:r>
    </w:p>
    <w:p w14:paraId="4C37EA85" w14:textId="77777777" w:rsidR="00597DE2" w:rsidRPr="00DC1A5F" w:rsidRDefault="00597DE2" w:rsidP="00597DE2">
      <w:r w:rsidRPr="00DC1A5F">
        <w:lastRenderedPageBreak/>
        <w:t xml:space="preserve">113. </w:t>
      </w:r>
      <w:r w:rsidRPr="00DC1A5F">
        <w:tab/>
        <w:t xml:space="preserve">Entonces reconoció que todavía era un hombre corriente. Se arrodilló ante los pies de </w:t>
      </w:r>
      <w:proofErr w:type="spellStart"/>
      <w:r w:rsidRPr="00DC1A5F">
        <w:t>Dhammadinna</w:t>
      </w:r>
      <w:proofErr w:type="spellEnd"/>
      <w:r w:rsidRPr="00DC1A5F">
        <w:t xml:space="preserve"> y dijo: “Ayúdeme, amigo </w:t>
      </w:r>
      <w:proofErr w:type="spellStart"/>
      <w:r w:rsidRPr="00DC1A5F">
        <w:t>Dhammadinna</w:t>
      </w:r>
      <w:proofErr w:type="spellEnd"/>
      <w:r w:rsidRPr="00DC1A5F">
        <w:t xml:space="preserve">”. “Venerable Señor, lo ayudaré; es por ello </w:t>
      </w:r>
      <w:proofErr w:type="gramStart"/>
      <w:r w:rsidRPr="00DC1A5F">
        <w:t>que</w:t>
      </w:r>
      <w:proofErr w:type="gramEnd"/>
      <w:r w:rsidRPr="00DC1A5F">
        <w:t xml:space="preserve"> he venido aquí. No se preocupe”. Entonces, le expuso un objeto de meditación. El Venerable adoptó el objeto de meditación impartido y siguió hasta consumar el sendero y con el tercer sendero consumó el estado de </w:t>
      </w:r>
      <w:r w:rsidRPr="00DC1A5F">
        <w:rPr>
          <w:i/>
        </w:rPr>
        <w:t>Arahant</w:t>
      </w:r>
      <w:r w:rsidRPr="00DC1A5F">
        <w:t xml:space="preserve">. El Venerable era un </w:t>
      </w:r>
      <w:proofErr w:type="spellStart"/>
      <w:r w:rsidRPr="00DC1A5F">
        <w:rPr>
          <w:i/>
        </w:rPr>
        <w:t>bhikkhu</w:t>
      </w:r>
      <w:proofErr w:type="spellEnd"/>
      <w:r w:rsidRPr="00DC1A5F">
        <w:t xml:space="preserve"> de temperamento iracundo, al parecer. Tales </w:t>
      </w:r>
      <w:proofErr w:type="spellStart"/>
      <w:r w:rsidRPr="00DC1A5F">
        <w:rPr>
          <w:i/>
        </w:rPr>
        <w:t>bhikkhu</w:t>
      </w:r>
      <w:r w:rsidRPr="00DC1A5F">
        <w:t>s</w:t>
      </w:r>
      <w:proofErr w:type="spellEnd"/>
      <w:r w:rsidRPr="00DC1A5F">
        <w:t xml:space="preserve"> vacilan a causa a la iluminación.</w:t>
      </w:r>
    </w:p>
    <w:p w14:paraId="182CDC37" w14:textId="77777777" w:rsidR="00597DE2" w:rsidRPr="00DC1A5F" w:rsidRDefault="00597DE2" w:rsidP="00597DE2">
      <w:r w:rsidRPr="00DC1A5F">
        <w:t xml:space="preserve">114. </w:t>
      </w:r>
      <w:r w:rsidRPr="00DC1A5F">
        <w:tab/>
        <w:t xml:space="preserve">2. El </w:t>
      </w:r>
      <w:r w:rsidRPr="00DC1A5F">
        <w:rPr>
          <w:i/>
          <w:iCs/>
        </w:rPr>
        <w:t>conocimiento</w:t>
      </w:r>
      <w:r w:rsidRPr="00DC1A5F">
        <w:t xml:space="preserve"> corresponderá al conocimiento debida a la sabiduría. Mientras él esté estimando y juzgando estados materiales e inmateriales, tal vez surja en él, como un relámpago, un conocimiento que será infalible, agudo, incisivo y muy profundo.</w:t>
      </w:r>
    </w:p>
    <w:p w14:paraId="0C08F30A" w14:textId="77777777" w:rsidR="00597DE2" w:rsidRPr="00DC1A5F" w:rsidRDefault="00597DE2" w:rsidP="00597DE2">
      <w:r w:rsidRPr="00DC1A5F">
        <w:t xml:space="preserve">115. </w:t>
      </w:r>
      <w:r w:rsidRPr="00DC1A5F">
        <w:tab/>
        <w:t xml:space="preserve">3. La </w:t>
      </w:r>
      <w:r w:rsidRPr="00DC1A5F">
        <w:rPr>
          <w:i/>
          <w:iCs/>
        </w:rPr>
        <w:t>felicidad arrobadora</w:t>
      </w:r>
      <w:r w:rsidRPr="00DC1A5F">
        <w:t xml:space="preserve"> corresponderá a la felicidad debida a la sabiduría. Quizás en dicho instante las cinco clases de felicidad, es decir, la felicidad menor, la felicidad momentánea, la felicidad abundante, la felicidad edificante y la felicidad penetrante (arrobadora) surgirán en él colmando todo su cuerpo.</w:t>
      </w:r>
    </w:p>
    <w:p w14:paraId="4E607DEE" w14:textId="77777777" w:rsidR="00597DE2" w:rsidRPr="00DC1A5F" w:rsidRDefault="00597DE2" w:rsidP="00597DE2">
      <w:r w:rsidRPr="00DC1A5F">
        <w:t xml:space="preserve">116. </w:t>
      </w:r>
      <w:r w:rsidRPr="00DC1A5F">
        <w:tab/>
        <w:t xml:space="preserve">4. La </w:t>
      </w:r>
      <w:r w:rsidRPr="00DC1A5F">
        <w:rPr>
          <w:i/>
          <w:iCs/>
        </w:rPr>
        <w:t>tranquilidad</w:t>
      </w:r>
      <w:r w:rsidRPr="00DC1A5F">
        <w:t xml:space="preserve"> corresponderá a la tranquilidad debida a la sabiduría. Mientras esté sentado en dicho instante, en su residencia, de día o de noche, tal vez [636] no haya fatiga, pesadez, rigidez, dificultad, o alguna enfermedad o torceduras en su cuerpo y su mente, sino que su cuerpo y su mente estarán tranquilos, ligeros, maleables, manejables, bastante agudos y compuestos. Con el cuerpo y la mente asistidos por esta tranquilidad, etc., él experimentará en dicho instante la dicha sobrehumana con respecto a la cual se dice:</w:t>
      </w:r>
    </w:p>
    <w:p w14:paraId="66CBEF3F" w14:textId="77777777" w:rsidR="00597DE2" w:rsidRPr="00DC1A5F" w:rsidRDefault="00597DE2" w:rsidP="00597DE2">
      <w:pPr>
        <w:pStyle w:val="VersoIngls01Sangria"/>
        <w:rPr>
          <w:sz w:val="16"/>
          <w:szCs w:val="20"/>
        </w:rPr>
      </w:pPr>
      <w:r w:rsidRPr="00DC1A5F">
        <w:rPr>
          <w:sz w:val="16"/>
          <w:szCs w:val="20"/>
        </w:rPr>
        <w:t xml:space="preserve">Cuando en un </w:t>
      </w:r>
      <w:proofErr w:type="spellStart"/>
      <w:r w:rsidRPr="00DC1A5F">
        <w:rPr>
          <w:i/>
          <w:sz w:val="16"/>
          <w:szCs w:val="20"/>
        </w:rPr>
        <w:t>bhikkhu</w:t>
      </w:r>
      <w:proofErr w:type="spellEnd"/>
      <w:r w:rsidRPr="00DC1A5F">
        <w:rPr>
          <w:sz w:val="16"/>
          <w:szCs w:val="20"/>
        </w:rPr>
        <w:t xml:space="preserve"> su mente esté tranquila</w:t>
      </w:r>
    </w:p>
    <w:p w14:paraId="38A63148" w14:textId="77777777" w:rsidR="00597DE2" w:rsidRPr="00DC1A5F" w:rsidRDefault="00597DE2" w:rsidP="00597DE2">
      <w:pPr>
        <w:pStyle w:val="VersoIngls01Sangria"/>
        <w:rPr>
          <w:sz w:val="16"/>
          <w:szCs w:val="20"/>
        </w:rPr>
      </w:pPr>
      <w:r w:rsidRPr="00DC1A5F">
        <w:rPr>
          <w:sz w:val="16"/>
          <w:szCs w:val="20"/>
        </w:rPr>
        <w:t>Se retirará a un lugar vacío,</w:t>
      </w:r>
    </w:p>
    <w:p w14:paraId="5ABD787D" w14:textId="77777777" w:rsidR="00597DE2" w:rsidRPr="00DC1A5F" w:rsidRDefault="00597DE2" w:rsidP="00597DE2">
      <w:pPr>
        <w:pStyle w:val="VersoIngls01Sangria"/>
        <w:rPr>
          <w:sz w:val="16"/>
          <w:szCs w:val="20"/>
        </w:rPr>
      </w:pPr>
      <w:r w:rsidRPr="00DC1A5F">
        <w:rPr>
          <w:sz w:val="16"/>
          <w:szCs w:val="20"/>
        </w:rPr>
        <w:t xml:space="preserve">Y su visión correcta del </w:t>
      </w:r>
      <w:r w:rsidRPr="00DC1A5F">
        <w:rPr>
          <w:i/>
          <w:sz w:val="16"/>
          <w:szCs w:val="20"/>
        </w:rPr>
        <w:t>Dhamma</w:t>
      </w:r>
      <w:r w:rsidRPr="00DC1A5F">
        <w:rPr>
          <w:sz w:val="16"/>
          <w:szCs w:val="20"/>
        </w:rPr>
        <w:t xml:space="preserve"> </w:t>
      </w:r>
    </w:p>
    <w:p w14:paraId="31C42B61" w14:textId="77777777" w:rsidR="00597DE2" w:rsidRPr="00DC1A5F" w:rsidRDefault="00597DE2" w:rsidP="00597DE2">
      <w:pPr>
        <w:pStyle w:val="VersoIngls01Sangria"/>
        <w:rPr>
          <w:sz w:val="16"/>
          <w:szCs w:val="20"/>
        </w:rPr>
      </w:pPr>
      <w:r w:rsidRPr="00DC1A5F">
        <w:rPr>
          <w:sz w:val="16"/>
          <w:szCs w:val="20"/>
        </w:rPr>
        <w:t>Le brindará una dicha sobrehumana.</w:t>
      </w:r>
    </w:p>
    <w:p w14:paraId="4DC0E528" w14:textId="77777777" w:rsidR="00597DE2" w:rsidRPr="00DC1A5F" w:rsidRDefault="00597DE2" w:rsidP="00597DE2">
      <w:pPr>
        <w:pStyle w:val="VersoIngls01Sangria"/>
        <w:rPr>
          <w:sz w:val="16"/>
          <w:szCs w:val="20"/>
        </w:rPr>
      </w:pPr>
      <w:r w:rsidRPr="00DC1A5F">
        <w:rPr>
          <w:sz w:val="16"/>
          <w:szCs w:val="20"/>
        </w:rPr>
        <w:t>Ello será porque comprenderá</w:t>
      </w:r>
    </w:p>
    <w:p w14:paraId="7C23FCDB" w14:textId="77777777" w:rsidR="00597DE2" w:rsidRPr="00DC1A5F" w:rsidRDefault="00597DE2" w:rsidP="00597DE2">
      <w:pPr>
        <w:pStyle w:val="VersoIngls01Sangria"/>
        <w:rPr>
          <w:sz w:val="16"/>
          <w:szCs w:val="20"/>
        </w:rPr>
      </w:pPr>
      <w:r w:rsidRPr="00DC1A5F">
        <w:rPr>
          <w:sz w:val="16"/>
          <w:szCs w:val="20"/>
        </w:rPr>
        <w:t>El surgimiento y la desaparición de los agregados.</w:t>
      </w:r>
    </w:p>
    <w:p w14:paraId="0BA848C9" w14:textId="77777777" w:rsidR="00597DE2" w:rsidRPr="00DC1A5F" w:rsidRDefault="00597DE2" w:rsidP="00597DE2">
      <w:pPr>
        <w:pStyle w:val="VersoIngls01Sangria"/>
        <w:rPr>
          <w:sz w:val="16"/>
          <w:szCs w:val="20"/>
        </w:rPr>
      </w:pPr>
      <w:r w:rsidRPr="00DC1A5F">
        <w:rPr>
          <w:sz w:val="16"/>
          <w:szCs w:val="20"/>
        </w:rPr>
        <w:t xml:space="preserve">En la cual él encontrará felicidad y dicha </w:t>
      </w:r>
    </w:p>
    <w:p w14:paraId="51FCF7CC" w14:textId="77777777" w:rsidR="00597DE2" w:rsidRPr="00DC1A5F" w:rsidRDefault="00597DE2" w:rsidP="00597DE2">
      <w:pPr>
        <w:pStyle w:val="VersoIngls01Sangria"/>
        <w:spacing w:after="100"/>
        <w:ind w:left="1418"/>
        <w:rPr>
          <w:sz w:val="16"/>
          <w:szCs w:val="20"/>
        </w:rPr>
      </w:pPr>
      <w:r w:rsidRPr="00DC1A5F">
        <w:rPr>
          <w:sz w:val="16"/>
          <w:szCs w:val="20"/>
        </w:rPr>
        <w:t>Y que reconocerá como lo inmortal (</w:t>
      </w:r>
      <w:proofErr w:type="spellStart"/>
      <w:r w:rsidRPr="00DC1A5F">
        <w:rPr>
          <w:sz w:val="16"/>
          <w:szCs w:val="20"/>
        </w:rPr>
        <w:t>Dhp</w:t>
      </w:r>
      <w:proofErr w:type="spellEnd"/>
      <w:r w:rsidRPr="00DC1A5F">
        <w:rPr>
          <w:sz w:val="16"/>
          <w:szCs w:val="20"/>
        </w:rPr>
        <w:t xml:space="preserve"> 373f.).</w:t>
      </w:r>
    </w:p>
    <w:p w14:paraId="70BB3076" w14:textId="77777777" w:rsidR="00597DE2" w:rsidRPr="00DC1A5F" w:rsidRDefault="00597DE2" w:rsidP="00597DE2">
      <w:pPr>
        <w:pStyle w:val="NormalConSangria"/>
      </w:pPr>
      <w:r w:rsidRPr="00DC1A5F">
        <w:t>Así surgirá en él la tranquilidad, asociada a la ligereza, etc., produciendo una dicha sobrehumana.</w:t>
      </w:r>
    </w:p>
    <w:p w14:paraId="583F1986" w14:textId="77777777" w:rsidR="00597DE2" w:rsidRPr="00DC1A5F" w:rsidRDefault="00597DE2" w:rsidP="00597DE2">
      <w:r w:rsidRPr="00DC1A5F">
        <w:t xml:space="preserve">117. </w:t>
      </w:r>
      <w:r w:rsidRPr="00DC1A5F">
        <w:tab/>
        <w:t xml:space="preserve">5. La </w:t>
      </w:r>
      <w:r w:rsidRPr="00DC1A5F">
        <w:rPr>
          <w:i/>
          <w:iCs/>
        </w:rPr>
        <w:t xml:space="preserve">dicha </w:t>
      </w:r>
      <w:r w:rsidRPr="00DC1A5F">
        <w:t>(</w:t>
      </w:r>
      <w:r w:rsidRPr="00DC1A5F">
        <w:rPr>
          <w:i/>
          <w:iCs/>
        </w:rPr>
        <w:t>placer</w:t>
      </w:r>
      <w:r w:rsidRPr="00DC1A5F">
        <w:t>) corresponderá a la dicha debida a la sabiduría. En dicho instante tal vez surja en él una dicha (placer) extremadamente sutil que inunde todo su cuerpo.</w:t>
      </w:r>
    </w:p>
    <w:p w14:paraId="07C310DC" w14:textId="77777777" w:rsidR="00597DE2" w:rsidRPr="00DC1A5F" w:rsidRDefault="00597DE2" w:rsidP="00597DE2">
      <w:r w:rsidRPr="00DC1A5F">
        <w:t xml:space="preserve">118. </w:t>
      </w:r>
      <w:r w:rsidRPr="00DC1A5F">
        <w:tab/>
        <w:t xml:space="preserve">6. La </w:t>
      </w:r>
      <w:r w:rsidRPr="00DC1A5F">
        <w:rPr>
          <w:i/>
          <w:iCs/>
        </w:rPr>
        <w:t>resolución</w:t>
      </w:r>
      <w:r w:rsidRPr="00DC1A5F">
        <w:t xml:space="preserve"> corresponderá a la fe. Porque una fe fuerte surgirá en aquél en asociación con la sabiduría en forma de extrema confianza en la consciencia y sus concomitantes.</w:t>
      </w:r>
    </w:p>
    <w:p w14:paraId="616A7FF7" w14:textId="77777777" w:rsidR="00597DE2" w:rsidRPr="00DC1A5F" w:rsidRDefault="00597DE2" w:rsidP="00597DE2">
      <w:r w:rsidRPr="00DC1A5F">
        <w:t xml:space="preserve">119. </w:t>
      </w:r>
      <w:r w:rsidRPr="00DC1A5F">
        <w:tab/>
        <w:t xml:space="preserve">7. El </w:t>
      </w:r>
      <w:r w:rsidRPr="00DC1A5F">
        <w:rPr>
          <w:i/>
          <w:iCs/>
        </w:rPr>
        <w:t>esfuerzo</w:t>
      </w:r>
      <w:r w:rsidRPr="00DC1A5F">
        <w:t xml:space="preserve"> corresponderá a la energía. Porque la energía bien ejercitada, ni demasiado laxa ni demasiado forzada, surgirá en aquél que se encuentre en asociación con la sabiduría.</w:t>
      </w:r>
    </w:p>
    <w:p w14:paraId="4DBC21D6" w14:textId="77777777" w:rsidR="00597DE2" w:rsidRPr="00DC1A5F" w:rsidRDefault="00597DE2" w:rsidP="00597DE2">
      <w:r w:rsidRPr="00DC1A5F">
        <w:t xml:space="preserve">120. </w:t>
      </w:r>
      <w:r w:rsidRPr="00DC1A5F">
        <w:tab/>
        <w:t xml:space="preserve">8. La </w:t>
      </w:r>
      <w:r w:rsidRPr="00DC1A5F">
        <w:rPr>
          <w:i/>
          <w:iCs/>
        </w:rPr>
        <w:t>seguridad</w:t>
      </w:r>
      <w:r w:rsidRPr="00DC1A5F">
        <w:t xml:space="preserve"> (</w:t>
      </w:r>
      <w:proofErr w:type="spellStart"/>
      <w:r w:rsidRPr="00DC1A5F">
        <w:t>lit.</w:t>
      </w:r>
      <w:proofErr w:type="spellEnd"/>
      <w:r w:rsidRPr="00DC1A5F">
        <w:t xml:space="preserve"> establecimiento) corresponderá a la atención plena. Ya que la atención plena y bien establecida (bien asegurada), bien fundada, que esté posicionada y sea tan inconmovible como el rey de unas montañas, surgirá en aquel que se encuentre en asociación con la sabiduría. Cualquier objeto que él advierta, al que reaccione conscientemente, al que preste atención, al que revise, aparecerá ante él (él estará seguro al respecto) debida a la atención plena, la cual llegue,</w:t>
      </w:r>
      <w:r w:rsidRPr="00DC1A5F">
        <w:rPr>
          <w:vertAlign w:val="superscript"/>
        </w:rPr>
        <w:t>36</w:t>
      </w:r>
      <w:r w:rsidRPr="00DC1A5F">
        <w:t xml:space="preserve"> al cual entre, tal como otro mundo aparecería ante quien poseyese el ojo divino.</w:t>
      </w:r>
    </w:p>
    <w:p w14:paraId="456AF94A" w14:textId="77777777" w:rsidR="00597DE2" w:rsidRPr="00DC1A5F" w:rsidRDefault="00597DE2" w:rsidP="00597DE2">
      <w:pPr>
        <w:pStyle w:val="PiedepginaLegal"/>
        <w:rPr>
          <w:sz w:val="8"/>
          <w:szCs w:val="16"/>
          <w:u w:val="single"/>
        </w:rPr>
      </w:pPr>
      <w:r w:rsidRPr="00DC1A5F">
        <w:rPr>
          <w:sz w:val="8"/>
          <w:szCs w:val="16"/>
          <w:u w:val="single"/>
        </w:rPr>
        <w:tab/>
      </w:r>
      <w:r w:rsidRPr="00DC1A5F">
        <w:rPr>
          <w:sz w:val="8"/>
          <w:szCs w:val="16"/>
          <w:u w:val="single"/>
        </w:rPr>
        <w:tab/>
      </w:r>
      <w:r w:rsidRPr="00DC1A5F">
        <w:rPr>
          <w:sz w:val="8"/>
          <w:szCs w:val="16"/>
          <w:u w:val="single"/>
        </w:rPr>
        <w:tab/>
      </w:r>
      <w:r w:rsidRPr="00DC1A5F">
        <w:rPr>
          <w:sz w:val="8"/>
          <w:szCs w:val="16"/>
          <w:u w:val="single"/>
        </w:rPr>
        <w:tab/>
        <w:t>–</w:t>
      </w:r>
    </w:p>
    <w:p w14:paraId="33EA70F6" w14:textId="77777777" w:rsidR="00597DE2" w:rsidRPr="00DC1A5F" w:rsidRDefault="00597DE2" w:rsidP="00597DE2">
      <w:pPr>
        <w:pStyle w:val="PiedepginaLegal"/>
        <w:numPr>
          <w:ilvl w:val="0"/>
          <w:numId w:val="9"/>
        </w:numPr>
        <w:tabs>
          <w:tab w:val="clear" w:pos="425"/>
          <w:tab w:val="left" w:pos="284"/>
        </w:tabs>
        <w:spacing w:after="160"/>
        <w:ind w:left="284" w:hanging="284"/>
      </w:pPr>
      <w:proofErr w:type="spellStart"/>
      <w:r w:rsidRPr="00DC1A5F">
        <w:rPr>
          <w:i/>
          <w:iCs/>
        </w:rPr>
        <w:t>Okkhandati</w:t>
      </w:r>
      <w:proofErr w:type="spellEnd"/>
      <w:r w:rsidRPr="00DC1A5F">
        <w:t>—“descender a”: no así en el PED; ver Cap. XXII. §34 y M–a I 238.</w:t>
      </w:r>
      <w:r w:rsidRPr="00DC1A5F">
        <w:br w:type="page"/>
      </w:r>
    </w:p>
    <w:p w14:paraId="43FC687B" w14:textId="77777777" w:rsidR="00597DE2" w:rsidRPr="00DC1A5F" w:rsidRDefault="00597DE2" w:rsidP="00597DE2">
      <w:r w:rsidRPr="00DC1A5F">
        <w:lastRenderedPageBreak/>
        <w:t xml:space="preserve">121. </w:t>
      </w:r>
      <w:r w:rsidRPr="00DC1A5F">
        <w:tab/>
        <w:t xml:space="preserve">9. La </w:t>
      </w:r>
      <w:r w:rsidRPr="00DC1A5F">
        <w:rPr>
          <w:i/>
          <w:iCs/>
        </w:rPr>
        <w:t>ecuanimidad</w:t>
      </w:r>
      <w:r w:rsidRPr="00DC1A5F">
        <w:t xml:space="preserve"> corresponderá tanto a la ecuanimidad respecto a la sabiduría como a la ecuanimidad respecto a la advertencia.</w:t>
      </w:r>
      <w:r w:rsidRPr="00DC1A5F">
        <w:rPr>
          <w:vertAlign w:val="superscript"/>
        </w:rPr>
        <w:t>37</w:t>
      </w:r>
      <w:r w:rsidRPr="00DC1A5F">
        <w:t xml:space="preserve"> Ya que la ecuanimidad con respecto a la sabiduría, que corresponderá a una neutralidad con respecto a las formaciones, surgirá fuertemente en él en tales instantes. También ésta corresponderá a la ecuanimidad respecto a la advertencia de la puerta mental. Cualquiera que sea el objeto al que se refiera, su advertencia funcionará de una manera tan incisiva y aguda como la de un relámpago, como una lanza al rojo vivo clavada en una cesta de hojas.</w:t>
      </w:r>
    </w:p>
    <w:p w14:paraId="45410BBA" w14:textId="77777777" w:rsidR="00597DE2" w:rsidRPr="00DC1A5F" w:rsidRDefault="00597DE2" w:rsidP="00597DE2">
      <w:r w:rsidRPr="00DC1A5F">
        <w:t xml:space="preserve">122. </w:t>
      </w:r>
      <w:r w:rsidRPr="00DC1A5F">
        <w:tab/>
        <w:t xml:space="preserve">10. El </w:t>
      </w:r>
      <w:r w:rsidRPr="00DC1A5F">
        <w:rPr>
          <w:i/>
          <w:iCs/>
        </w:rPr>
        <w:t>apego</w:t>
      </w:r>
      <w:r w:rsidRPr="00DC1A5F">
        <w:t xml:space="preserve"> corresponderá a un apego debido a la sabiduría. Ya que cuando su sabiduría esté adornada de iluminación, etc., surgirá en él apego, que será de un aspecto sutil y apacible, y se basará en el apego hacia esa sabiduría; y no será capaz de discernir sobre ese apego como una contaminación. [637]</w:t>
      </w:r>
    </w:p>
    <w:p w14:paraId="6B6BBEA0" w14:textId="77777777" w:rsidR="00597DE2" w:rsidRPr="00DC1A5F" w:rsidRDefault="00597DE2" w:rsidP="00597DE2">
      <w:r w:rsidRPr="00DC1A5F">
        <w:t xml:space="preserve">123. </w:t>
      </w:r>
      <w:r w:rsidRPr="00DC1A5F">
        <w:tab/>
        <w:t>Y como en el caso de la iluminación, así también será en el caso de las otras imperfecciones que puedan surgir, el meditador razonará así: “Tal conocimiento… tal felicidad arrobadora… tranquilidad… dicha… resolución… esfuerzo… seguridad… ecuanimidad… apego nunca surgió en mí antes. Seguramente he consumado el sendero, consumado la fruición”. Así, él adoptará lo que no sea el sendero como el sendero y lo que no sea la fruición como la fruición. Cuando adopte lo que no corresponda al sendero como sendero y lo que no corresponda a la fruición como fruición, el curso de su sabiduría se interrumpirá. Abandonará su objeto básico de meditación y se sentará simplemente disfrutando de su apego.</w:t>
      </w:r>
    </w:p>
    <w:p w14:paraId="1F7CFB16" w14:textId="77777777" w:rsidR="00597DE2" w:rsidRPr="00DC1A5F" w:rsidRDefault="00597DE2" w:rsidP="00597DE2">
      <w:r w:rsidRPr="00DC1A5F">
        <w:t xml:space="preserve">124. </w:t>
      </w:r>
      <w:r w:rsidRPr="00DC1A5F">
        <w:tab/>
        <w:t>Y aquí, a la iluminación, etc., se le llamarán imperfecciones porque corresponderán a una base para una imperfección, no porque sean [</w:t>
      </w:r>
      <w:proofErr w:type="spellStart"/>
      <w:r w:rsidRPr="00DC1A5F">
        <w:rPr>
          <w:i/>
          <w:iCs/>
        </w:rPr>
        <w:t>kāmmicamente</w:t>
      </w:r>
      <w:proofErr w:type="spellEnd"/>
      <w:r w:rsidRPr="00DC1A5F">
        <w:t>] improductivos. No obstante, el apego será tanto una imperfección como una base para la imperfección.</w:t>
      </w:r>
    </w:p>
    <w:p w14:paraId="18B93151" w14:textId="77777777" w:rsidR="00597DE2" w:rsidRPr="00DC1A5F" w:rsidRDefault="00597DE2" w:rsidP="00597DE2">
      <w:pPr>
        <w:pStyle w:val="NormalConSangria"/>
      </w:pPr>
      <w:r w:rsidRPr="00DC1A5F">
        <w:t>Como base de las imperfecciones de la sabiduría solamente sumarán 10; pero como diferentes formas de adoptarlas llegarán a 30.</w:t>
      </w:r>
    </w:p>
    <w:p w14:paraId="13A5BE5B" w14:textId="77777777" w:rsidR="00597DE2" w:rsidRPr="00DC1A5F" w:rsidRDefault="00597DE2" w:rsidP="00597DE2">
      <w:r w:rsidRPr="00DC1A5F">
        <w:t xml:space="preserve">125. </w:t>
      </w:r>
      <w:r w:rsidRPr="00DC1A5F">
        <w:tab/>
        <w:t>¿Cómo? Cuando un hombre lo adopte así, “la iluminación ha surgido en mí”, su forma de adoptarla se deberá a una visión incorrecta. Cuando la adopte así, “Cuán agradable es esta iluminación que ha surgido en mí”, su forma de adoptarla se deberá al orgullo (a la presunción). Cuando saboree la iluminación, su forma de adoptarla se deberá al deseo. Así, existirán 3 formas de adoptarlas en el caso de la iluminación, es decir, debida a la visión incorrecta, debido al orgullo (presunción) y debido al deseo. Así mismo será con el resto. Así llegarán a sumar 30 imperfecciones con sus tres formas de adoptarlas. Debido a su influencia, un meditador no lúcido e incauto vacilará y se distraerá con la iluminación, etc., y verá a cada una de ellas – a la iluminación y a lo restante – como “Esto es mío, esto soy yo, esto es mi alma” (M I 135). De ahí que los Venerables dijeran al respecto:</w:t>
      </w:r>
    </w:p>
    <w:p w14:paraId="588458F0" w14:textId="77777777" w:rsidR="00597DE2" w:rsidRPr="00DC1A5F" w:rsidRDefault="00597DE2" w:rsidP="00597DE2">
      <w:pPr>
        <w:pStyle w:val="VersoIngls01Sangria"/>
        <w:jc w:val="both"/>
        <w:rPr>
          <w:sz w:val="14"/>
          <w:szCs w:val="18"/>
        </w:rPr>
      </w:pPr>
      <w:r w:rsidRPr="00DC1A5F">
        <w:rPr>
          <w:sz w:val="14"/>
          <w:szCs w:val="18"/>
        </w:rPr>
        <w:t>Él vacilará sobre la iluminación,</w:t>
      </w:r>
    </w:p>
    <w:p w14:paraId="6854CBA6" w14:textId="77777777" w:rsidR="00597DE2" w:rsidRPr="00DC1A5F" w:rsidRDefault="00597DE2" w:rsidP="00597DE2">
      <w:pPr>
        <w:pStyle w:val="VersoIngls01Sangria"/>
        <w:jc w:val="both"/>
        <w:rPr>
          <w:sz w:val="14"/>
          <w:szCs w:val="18"/>
        </w:rPr>
      </w:pPr>
      <w:r w:rsidRPr="00DC1A5F">
        <w:rPr>
          <w:sz w:val="14"/>
          <w:szCs w:val="18"/>
        </w:rPr>
        <w:t>Y sobre el conocimiento, la felicidad arrobadora,</w:t>
      </w:r>
    </w:p>
    <w:p w14:paraId="18157EB1" w14:textId="77777777" w:rsidR="00597DE2" w:rsidRPr="00DC1A5F" w:rsidRDefault="00597DE2" w:rsidP="00597DE2">
      <w:pPr>
        <w:pStyle w:val="VersoIngls01Sangria"/>
        <w:jc w:val="both"/>
        <w:rPr>
          <w:sz w:val="14"/>
          <w:szCs w:val="18"/>
        </w:rPr>
      </w:pPr>
      <w:r w:rsidRPr="00DC1A5F">
        <w:rPr>
          <w:sz w:val="14"/>
          <w:szCs w:val="18"/>
        </w:rPr>
        <w:t>Sobre la tranquilidad, la dicha,</w:t>
      </w:r>
    </w:p>
    <w:p w14:paraId="0BAA088C" w14:textId="77777777" w:rsidR="00597DE2" w:rsidRPr="00DC1A5F" w:rsidRDefault="00597DE2" w:rsidP="00597DE2">
      <w:pPr>
        <w:pStyle w:val="VersoIngls01Sangria"/>
        <w:jc w:val="both"/>
        <w:rPr>
          <w:sz w:val="14"/>
          <w:szCs w:val="18"/>
        </w:rPr>
      </w:pPr>
      <w:r w:rsidRPr="00DC1A5F">
        <w:rPr>
          <w:sz w:val="14"/>
          <w:szCs w:val="18"/>
        </w:rPr>
        <w:t>mediante las cuales su mente se hará confusa;</w:t>
      </w:r>
    </w:p>
    <w:p w14:paraId="151697D6" w14:textId="77777777" w:rsidR="00597DE2" w:rsidRPr="00DC1A5F" w:rsidRDefault="00597DE2" w:rsidP="00597DE2">
      <w:pPr>
        <w:pStyle w:val="VersoIngls01Sangria"/>
        <w:jc w:val="both"/>
        <w:rPr>
          <w:sz w:val="14"/>
          <w:szCs w:val="18"/>
        </w:rPr>
      </w:pPr>
      <w:r w:rsidRPr="00DC1A5F">
        <w:rPr>
          <w:sz w:val="14"/>
          <w:szCs w:val="18"/>
        </w:rPr>
        <w:t>Vacilará sobre la resolución,</w:t>
      </w:r>
    </w:p>
    <w:p w14:paraId="1ECBB054" w14:textId="77777777" w:rsidR="00597DE2" w:rsidRPr="00DC1A5F" w:rsidRDefault="00597DE2" w:rsidP="00597DE2">
      <w:pPr>
        <w:pStyle w:val="VersoIngls01Sangria"/>
        <w:jc w:val="both"/>
        <w:rPr>
          <w:sz w:val="14"/>
          <w:szCs w:val="18"/>
        </w:rPr>
      </w:pPr>
      <w:r w:rsidRPr="00DC1A5F">
        <w:rPr>
          <w:sz w:val="14"/>
          <w:szCs w:val="18"/>
        </w:rPr>
        <w:t>El esfuerzo y también la seguridad,</w:t>
      </w:r>
    </w:p>
    <w:p w14:paraId="07385A37" w14:textId="77777777" w:rsidR="00597DE2" w:rsidRPr="00DC1A5F" w:rsidRDefault="00597DE2" w:rsidP="00597DE2">
      <w:pPr>
        <w:pStyle w:val="VersoIngls01Sangria"/>
        <w:jc w:val="both"/>
        <w:rPr>
          <w:sz w:val="14"/>
          <w:szCs w:val="18"/>
        </w:rPr>
      </w:pPr>
      <w:r w:rsidRPr="00DC1A5F">
        <w:rPr>
          <w:sz w:val="14"/>
          <w:szCs w:val="18"/>
        </w:rPr>
        <w:t>La ecuanimidad de la advertencia,</w:t>
      </w:r>
    </w:p>
    <w:p w14:paraId="17E99F57" w14:textId="77777777" w:rsidR="00597DE2" w:rsidRPr="00DC1A5F" w:rsidRDefault="00597DE2" w:rsidP="00597DE2">
      <w:pPr>
        <w:pStyle w:val="VersoIngls01Sangria"/>
        <w:jc w:val="both"/>
        <w:rPr>
          <w:sz w:val="14"/>
          <w:szCs w:val="18"/>
        </w:rPr>
      </w:pPr>
      <w:r w:rsidRPr="00DC1A5F">
        <w:rPr>
          <w:sz w:val="14"/>
          <w:szCs w:val="18"/>
        </w:rPr>
        <w:t>Y sobre la ecuanimidad y el apego (</w:t>
      </w:r>
      <w:proofErr w:type="spellStart"/>
      <w:r w:rsidRPr="00DC1A5F">
        <w:rPr>
          <w:i/>
          <w:iCs/>
          <w:sz w:val="14"/>
          <w:szCs w:val="18"/>
        </w:rPr>
        <w:t>Paṭis</w:t>
      </w:r>
      <w:proofErr w:type="spellEnd"/>
      <w:r w:rsidRPr="00DC1A5F">
        <w:rPr>
          <w:sz w:val="14"/>
          <w:szCs w:val="18"/>
        </w:rPr>
        <w:t xml:space="preserve"> II 102).</w:t>
      </w:r>
    </w:p>
    <w:p w14:paraId="78927849" w14:textId="77777777" w:rsidR="00597DE2" w:rsidRPr="00DC1A5F" w:rsidRDefault="00597DE2" w:rsidP="00597DE2">
      <w:pPr>
        <w:pStyle w:val="PiedepginaLegal"/>
        <w:rPr>
          <w:sz w:val="10"/>
          <w:szCs w:val="18"/>
          <w:u w:val="single"/>
        </w:rPr>
      </w:pPr>
      <w:r w:rsidRPr="00DC1A5F">
        <w:rPr>
          <w:sz w:val="10"/>
          <w:szCs w:val="18"/>
          <w:u w:val="single"/>
        </w:rPr>
        <w:tab/>
      </w:r>
      <w:r w:rsidRPr="00DC1A5F">
        <w:rPr>
          <w:sz w:val="10"/>
          <w:szCs w:val="18"/>
          <w:u w:val="single"/>
        </w:rPr>
        <w:tab/>
      </w:r>
      <w:r w:rsidRPr="00DC1A5F">
        <w:rPr>
          <w:sz w:val="10"/>
          <w:szCs w:val="18"/>
          <w:u w:val="single"/>
        </w:rPr>
        <w:tab/>
      </w:r>
      <w:r w:rsidRPr="00DC1A5F">
        <w:rPr>
          <w:sz w:val="10"/>
          <w:szCs w:val="18"/>
          <w:u w:val="single"/>
        </w:rPr>
        <w:tab/>
        <w:t>–</w:t>
      </w:r>
    </w:p>
    <w:p w14:paraId="261D84C1" w14:textId="77777777" w:rsidR="00597DE2" w:rsidRPr="00DC1A5F" w:rsidRDefault="00597DE2" w:rsidP="00597DE2">
      <w:pPr>
        <w:pStyle w:val="PiedepginaLegal"/>
        <w:numPr>
          <w:ilvl w:val="0"/>
          <w:numId w:val="9"/>
        </w:numPr>
        <w:tabs>
          <w:tab w:val="clear" w:pos="425"/>
          <w:tab w:val="left" w:pos="284"/>
        </w:tabs>
        <w:spacing w:after="160"/>
        <w:ind w:left="284" w:hanging="284"/>
      </w:pPr>
      <w:r w:rsidRPr="00DC1A5F">
        <w:t>“</w:t>
      </w:r>
      <w:r w:rsidRPr="00DC1A5F">
        <w:rPr>
          <w:i/>
          <w:iCs/>
        </w:rPr>
        <w:t>’Ecuanimidad con respecto a la sabiduría</w:t>
      </w:r>
      <w:r w:rsidRPr="00DC1A5F">
        <w:t>’ corresponderá a la neutralidad en la investigación de las formaciones debido a que el campo objetivo ya habrá sido investigado. No obstante, en significado, cuando ocurra así, será sólo neutralidad. A la volición asociada con la advertencia de la puerta mental se le designará ‘</w:t>
      </w:r>
      <w:r w:rsidRPr="00DC1A5F">
        <w:rPr>
          <w:i/>
          <w:iCs/>
        </w:rPr>
        <w:t>ecuanimidad</w:t>
      </w:r>
      <w:r w:rsidRPr="00DC1A5F">
        <w:t xml:space="preserve"> (</w:t>
      </w:r>
      <w:r w:rsidRPr="00DC1A5F">
        <w:rPr>
          <w:i/>
        </w:rPr>
        <w:t>upekkhā</w:t>
      </w:r>
      <w:r w:rsidRPr="00DC1A5F">
        <w:t xml:space="preserve">) </w:t>
      </w:r>
      <w:r w:rsidRPr="00DC1A5F">
        <w:rPr>
          <w:i/>
          <w:iCs/>
        </w:rPr>
        <w:t>respecto a la advertencia</w:t>
      </w:r>
      <w:r w:rsidRPr="00DC1A5F">
        <w:t>’ ya que ocurrirá en la advertencia como una observación (</w:t>
      </w:r>
      <w:proofErr w:type="spellStart"/>
      <w:r w:rsidRPr="00DC1A5F">
        <w:rPr>
          <w:i/>
          <w:iCs/>
        </w:rPr>
        <w:t>ajjhupekkhana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819).</w:t>
      </w:r>
      <w:r w:rsidRPr="00DC1A5F">
        <w:br w:type="page"/>
      </w:r>
    </w:p>
    <w:p w14:paraId="557A99E2" w14:textId="77777777" w:rsidR="00597DE2" w:rsidRPr="00DC1A5F" w:rsidRDefault="00597DE2" w:rsidP="00597DE2">
      <w:r w:rsidRPr="00DC1A5F">
        <w:lastRenderedPageBreak/>
        <w:t xml:space="preserve">126. </w:t>
      </w:r>
      <w:r w:rsidRPr="00DC1A5F">
        <w:tab/>
        <w:t xml:space="preserve">No </w:t>
      </w:r>
      <w:proofErr w:type="gramStart"/>
      <w:r w:rsidRPr="00DC1A5F">
        <w:t>obstante,  cuando</w:t>
      </w:r>
      <w:proofErr w:type="gramEnd"/>
      <w:r w:rsidRPr="00DC1A5F">
        <w:t xml:space="preserve"> surja la iluminación, etc., un meditador lúcido, cauteloso y dotado de discreción, o bien la definirá y la examinará con entendimiento, así: “Esta iluminación ha surgido en mí.</w:t>
      </w:r>
      <w:r w:rsidRPr="00DC1A5F">
        <w:rPr>
          <w:vertAlign w:val="superscript"/>
        </w:rPr>
        <w:t>38</w:t>
      </w:r>
      <w:r w:rsidRPr="00DC1A5F">
        <w:t xml:space="preserve"> No obstante, es impermanente, formada, surgida condicionalmente, sujeta a la destrucción, sujeta a la desaparición, sujeta al desvanecimiento, sujeta a la cesación”. O también, reflexionará así: “Si la iluminación fuera alma, sería correcto adoptarla como alma; pero dado que es no–alma, ha sido adoptada como alma. Por lo tanto, es </w:t>
      </w:r>
      <w:r w:rsidRPr="00DC1A5F">
        <w:rPr>
          <w:i/>
          <w:iCs/>
        </w:rPr>
        <w:t>no–alma</w:t>
      </w:r>
      <w:r w:rsidRPr="00DC1A5F">
        <w:t xml:space="preserve"> en el sentido de que no se puede ejercerse ningún poder sobre él; es </w:t>
      </w:r>
      <w:r w:rsidRPr="00DC1A5F">
        <w:rPr>
          <w:i/>
          <w:iCs/>
        </w:rPr>
        <w:t>impermanente</w:t>
      </w:r>
      <w:r w:rsidRPr="00DC1A5F">
        <w:t xml:space="preserve"> en el sentido de no existir después de haber existido; es </w:t>
      </w:r>
      <w:r w:rsidRPr="00DC1A5F">
        <w:rPr>
          <w:i/>
          <w:iCs/>
        </w:rPr>
        <w:t>insatisfactoria</w:t>
      </w:r>
      <w:r w:rsidRPr="00DC1A5F">
        <w:t xml:space="preserve"> en el sentido de opresión debido a su surgimiento y desaparición”, todo lo cual deberá ser tratado en detalle de acuerdo con el método expuesto bajo el séptuplo inmaterial (§83). Y como en el caso de la iluminación, también ocurrirá con las imperfecciones restantes.</w:t>
      </w:r>
    </w:p>
    <w:p w14:paraId="5B6E4EAA" w14:textId="77777777" w:rsidR="00597DE2" w:rsidRPr="00DC1A5F" w:rsidRDefault="00597DE2" w:rsidP="00597DE2">
      <w:r w:rsidRPr="00DC1A5F">
        <w:t xml:space="preserve">127. </w:t>
      </w:r>
      <w:r w:rsidRPr="00DC1A5F">
        <w:tab/>
        <w:t>Habiéndolo investigado así, observará la iluminación como “Esto no es mío, esto no soy yo, esto no es mi alma”. [638] Observará el conocimiento... (</w:t>
      </w:r>
      <w:proofErr w:type="gramStart"/>
      <w:r w:rsidRPr="00DC1A5F">
        <w:t>etc.)...</w:t>
      </w:r>
      <w:proofErr w:type="gramEnd"/>
      <w:r w:rsidRPr="00DC1A5F">
        <w:t xml:space="preserve"> el apego como “Esto no es mío, esto no soy yo, esto no es mi alma”. Al observar así, no titubeará ni vacilará con respecto a la iluminación y las imperfecciones restantes. De ahí que los Venerables mencionasen al respecto:</w:t>
      </w:r>
    </w:p>
    <w:p w14:paraId="31CCA840" w14:textId="77777777" w:rsidR="00597DE2" w:rsidRPr="00DC1A5F" w:rsidRDefault="00597DE2" w:rsidP="00597DE2">
      <w:pPr>
        <w:pStyle w:val="VersoIngls01Sangria"/>
        <w:rPr>
          <w:sz w:val="16"/>
          <w:szCs w:val="20"/>
        </w:rPr>
      </w:pPr>
      <w:r w:rsidRPr="00DC1A5F">
        <w:rPr>
          <w:sz w:val="16"/>
          <w:szCs w:val="20"/>
        </w:rPr>
        <w:t>Así que cuando un hombre de entendimiento haya</w:t>
      </w:r>
    </w:p>
    <w:p w14:paraId="135F6696" w14:textId="77777777" w:rsidR="00597DE2" w:rsidRPr="00DC1A5F" w:rsidRDefault="00597DE2" w:rsidP="00597DE2">
      <w:pPr>
        <w:pStyle w:val="VersoIngls01Sangria"/>
        <w:rPr>
          <w:sz w:val="16"/>
          <w:szCs w:val="20"/>
        </w:rPr>
      </w:pPr>
      <w:r w:rsidRPr="00DC1A5F">
        <w:rPr>
          <w:sz w:val="16"/>
          <w:szCs w:val="20"/>
        </w:rPr>
        <w:t>Examinado estas diez imperfecciones y entonces, sea hábil</w:t>
      </w:r>
    </w:p>
    <w:p w14:paraId="4DEF38F8" w14:textId="77777777" w:rsidR="00597DE2" w:rsidRPr="00DC1A5F" w:rsidRDefault="00597DE2" w:rsidP="00597DE2">
      <w:pPr>
        <w:pStyle w:val="VersoIngls01Sangria"/>
        <w:rPr>
          <w:sz w:val="16"/>
          <w:szCs w:val="20"/>
        </w:rPr>
      </w:pPr>
      <w:r w:rsidRPr="00DC1A5F">
        <w:rPr>
          <w:sz w:val="16"/>
          <w:szCs w:val="20"/>
        </w:rPr>
        <w:t>Ante la agitación por estados superiores</w:t>
      </w:r>
    </w:p>
    <w:p w14:paraId="6D696FF0" w14:textId="77777777" w:rsidR="00597DE2" w:rsidRPr="00DC1A5F" w:rsidRDefault="00597DE2" w:rsidP="00597DE2">
      <w:pPr>
        <w:pStyle w:val="VersoIngls01Sangria"/>
        <w:spacing w:after="100"/>
        <w:ind w:left="1418"/>
        <w:rPr>
          <w:sz w:val="16"/>
          <w:szCs w:val="20"/>
        </w:rPr>
      </w:pPr>
      <w:r w:rsidRPr="00DC1A5F">
        <w:rPr>
          <w:sz w:val="16"/>
          <w:szCs w:val="20"/>
        </w:rPr>
        <w:t>No caerá más preso ante tal vacilación (</w:t>
      </w:r>
      <w:proofErr w:type="spellStart"/>
      <w:r w:rsidRPr="00DC1A5F">
        <w:rPr>
          <w:i/>
          <w:iCs/>
          <w:sz w:val="16"/>
          <w:szCs w:val="20"/>
        </w:rPr>
        <w:t>Paṭis</w:t>
      </w:r>
      <w:proofErr w:type="spellEnd"/>
      <w:r w:rsidRPr="00DC1A5F">
        <w:rPr>
          <w:sz w:val="16"/>
          <w:szCs w:val="20"/>
        </w:rPr>
        <w:t xml:space="preserve"> II 102).</w:t>
      </w:r>
    </w:p>
    <w:p w14:paraId="00F82EF8" w14:textId="77777777" w:rsidR="00597DE2" w:rsidRPr="00DC1A5F" w:rsidRDefault="00597DE2" w:rsidP="00597DE2">
      <w:r w:rsidRPr="00DC1A5F">
        <w:t xml:space="preserve">128. </w:t>
      </w:r>
      <w:r w:rsidRPr="00DC1A5F">
        <w:tab/>
        <w:t>Así, él desentrañará esta madeja de 30 imperfecciones, sin caer preso de ninguna vacilación. Él definirá lo que sea el sendero y lo que no sea el sendero así: “Estados consistentes de la iluminación, etc., no es el sendero; no obstante, sí lo es la sabiduría del conocimiento libre de imperfecciones y mantener su curso”.</w:t>
      </w:r>
    </w:p>
    <w:p w14:paraId="4C2E9F68" w14:textId="77777777" w:rsidR="00597DE2" w:rsidRPr="00DC1A5F" w:rsidRDefault="00597DE2" w:rsidP="00597DE2">
      <w:r w:rsidRPr="00DC1A5F">
        <w:t xml:space="preserve">129. </w:t>
      </w:r>
      <w:r w:rsidRPr="00DC1A5F">
        <w:tab/>
        <w:t>El conocimiento que se establezca en él al llegar a conocer el sendero y el no–sendero, así, “Éste es el sendero, éste no es el sendero”, deberá entenderse como la purificación mediante el conocimiento y la visión de lo que es el sendero y lo que no es el sendero.</w:t>
      </w:r>
    </w:p>
    <w:p w14:paraId="33A64548" w14:textId="77777777" w:rsidR="00597DE2" w:rsidRPr="00DC1A5F" w:rsidRDefault="00597DE2" w:rsidP="00597DE2">
      <w:r w:rsidRPr="00DC1A5F">
        <w:t xml:space="preserve">130. </w:t>
      </w:r>
      <w:r w:rsidRPr="00DC1A5F">
        <w:tab/>
        <w:t>Entonces, en este punto, él habrá llegado a la definición de las siguientes 3 verdades. ¿Cuáles? La definición de la noble verdad del sufrimiento se habrá efectuado mediante la definición de la mentalidad–materialidad en la purificación de la visión. La definición de la noble verdad del origen del sufrimiento se habrá efectuado mediante el discernimiento de las condiciones de la purificación de la disipación de la duda. La definición de la noble verdad del sendero se habrá efectuado con el énfasis del sendero correcto en esta purificación mediante el conocimiento y la visión de lo que es el sendero y lo que no es el sendero. De este modo la definición de 3 de las 4 nobles verdades la habrá efectuado él; sólo y en primer lugar, a través de un conocimiento mundano.</w:t>
      </w:r>
    </w:p>
    <w:p w14:paraId="0CBC9AB3" w14:textId="77777777" w:rsidR="00597DE2" w:rsidRPr="00DC1A5F" w:rsidRDefault="00597DE2" w:rsidP="00597DE2">
      <w:pPr>
        <w:ind w:left="709" w:right="1043"/>
      </w:pPr>
      <w:r w:rsidRPr="00DC1A5F">
        <w:t xml:space="preserve">Éste ha sido el vigésimo capítulo bajo el nombre de “Purificación Mediante el Conocimiento y la Visión de lo que es el Sendero y lo que No es el Sendero” del Tratado sobre el Desarrollo del Entendimiento del </w:t>
      </w:r>
      <w:r w:rsidRPr="00DC1A5F">
        <w:rPr>
          <w:i/>
          <w:iCs/>
        </w:rPr>
        <w:t>Sendero de la Purificación</w:t>
      </w:r>
      <w:r w:rsidRPr="00DC1A5F">
        <w:t xml:space="preserve"> compuesto para alegría de buenas personas.</w:t>
      </w:r>
    </w:p>
    <w:p w14:paraId="3A8779B4" w14:textId="77777777" w:rsidR="00597DE2" w:rsidRPr="00DC1A5F" w:rsidRDefault="00597DE2" w:rsidP="00597DE2">
      <w:pPr>
        <w:pStyle w:val="PiedepginaLegal"/>
        <w:rPr>
          <w:sz w:val="10"/>
          <w:szCs w:val="18"/>
          <w:u w:val="single"/>
        </w:rPr>
      </w:pPr>
      <w:r w:rsidRPr="00DC1A5F">
        <w:rPr>
          <w:sz w:val="10"/>
          <w:szCs w:val="18"/>
          <w:u w:val="single"/>
        </w:rPr>
        <w:tab/>
      </w:r>
      <w:r w:rsidRPr="00DC1A5F">
        <w:rPr>
          <w:sz w:val="10"/>
          <w:szCs w:val="18"/>
          <w:u w:val="single"/>
        </w:rPr>
        <w:tab/>
      </w:r>
      <w:r w:rsidRPr="00DC1A5F">
        <w:rPr>
          <w:sz w:val="10"/>
          <w:szCs w:val="18"/>
          <w:u w:val="single"/>
        </w:rPr>
        <w:tab/>
      </w:r>
      <w:r w:rsidRPr="00DC1A5F">
        <w:rPr>
          <w:sz w:val="10"/>
          <w:szCs w:val="18"/>
          <w:u w:val="single"/>
        </w:rPr>
        <w:tab/>
        <w:t>.</w:t>
      </w:r>
    </w:p>
    <w:p w14:paraId="7A54BC76" w14:textId="77777777" w:rsidR="00597DE2" w:rsidRPr="00DC1A5F" w:rsidRDefault="00597DE2" w:rsidP="00597DE2">
      <w:pPr>
        <w:pStyle w:val="PiedepginaLegal"/>
        <w:numPr>
          <w:ilvl w:val="0"/>
          <w:numId w:val="9"/>
        </w:numPr>
        <w:tabs>
          <w:tab w:val="clear" w:pos="425"/>
          <w:tab w:val="left" w:pos="284"/>
        </w:tabs>
        <w:ind w:left="284" w:hanging="284"/>
      </w:pPr>
      <w:proofErr w:type="spellStart"/>
      <w:r w:rsidRPr="00DC1A5F">
        <w:t>Vism</w:t>
      </w:r>
      <w:proofErr w:type="spellEnd"/>
      <w:r w:rsidRPr="00DC1A5F">
        <w:t>–</w:t>
      </w:r>
      <w:proofErr w:type="spellStart"/>
      <w:r w:rsidRPr="00DC1A5F">
        <w:t>mhṭ</w:t>
      </w:r>
      <w:proofErr w:type="spellEnd"/>
      <w:r w:rsidRPr="00DC1A5F">
        <w:t xml:space="preserve"> hace a referencia a “</w:t>
      </w:r>
      <w:proofErr w:type="spellStart"/>
      <w:r w:rsidRPr="00DC1A5F">
        <w:rPr>
          <w:i/>
          <w:iCs/>
        </w:rPr>
        <w:t>ayaṃ</w:t>
      </w:r>
      <w:proofErr w:type="spellEnd"/>
      <w:r w:rsidRPr="00DC1A5F">
        <w:rPr>
          <w:i/>
          <w:iCs/>
        </w:rPr>
        <w:t xml:space="preserve"> </w:t>
      </w:r>
      <w:proofErr w:type="spellStart"/>
      <w:r w:rsidRPr="00DC1A5F">
        <w:rPr>
          <w:i/>
          <w:iCs/>
        </w:rPr>
        <w:t>kho</w:t>
      </w:r>
      <w:proofErr w:type="spellEnd"/>
      <w:r w:rsidRPr="00DC1A5F">
        <w:rPr>
          <w:i/>
          <w:iCs/>
        </w:rPr>
        <w:t xml:space="preserve"> so</w:t>
      </w:r>
      <w:r w:rsidRPr="00DC1A5F">
        <w:t>” en lugar de “</w:t>
      </w:r>
      <w:proofErr w:type="spellStart"/>
      <w:r w:rsidRPr="00DC1A5F">
        <w:rPr>
          <w:i/>
          <w:iCs/>
        </w:rPr>
        <w:t>ayaṃ</w:t>
      </w:r>
      <w:proofErr w:type="spellEnd"/>
      <w:r w:rsidRPr="00DC1A5F">
        <w:rPr>
          <w:i/>
          <w:iCs/>
        </w:rPr>
        <w:t xml:space="preserve"> </w:t>
      </w:r>
      <w:proofErr w:type="spellStart"/>
      <w:r w:rsidRPr="00DC1A5F">
        <w:rPr>
          <w:i/>
          <w:iCs/>
        </w:rPr>
        <w:t>kho</w:t>
      </w:r>
      <w:proofErr w:type="spellEnd"/>
      <w:r w:rsidRPr="00DC1A5F">
        <w:rPr>
          <w:i/>
          <w:iCs/>
        </w:rPr>
        <w:t xml:space="preserve"> me</w:t>
      </w:r>
      <w:r w:rsidRPr="00DC1A5F">
        <w:t xml:space="preserve">” en las ediciones </w:t>
      </w:r>
      <w:proofErr w:type="spellStart"/>
      <w:r w:rsidRPr="00DC1A5F">
        <w:t>Ee</w:t>
      </w:r>
      <w:proofErr w:type="spellEnd"/>
      <w:r w:rsidRPr="00DC1A5F">
        <w:t xml:space="preserve"> y Ae.</w:t>
      </w:r>
    </w:p>
    <w:p w14:paraId="1FCF0569" w14:textId="77777777" w:rsidR="00597DE2" w:rsidRPr="00DC1A5F" w:rsidRDefault="00597DE2" w:rsidP="00597DE2">
      <w:pPr>
        <w:ind w:left="708" w:right="1326"/>
      </w:pPr>
    </w:p>
    <w:p w14:paraId="640F6170" w14:textId="77777777" w:rsidR="00597DE2" w:rsidRPr="00DC1A5F" w:rsidRDefault="00597DE2" w:rsidP="00597DE2">
      <w:pPr>
        <w:tabs>
          <w:tab w:val="clear" w:pos="425"/>
        </w:tabs>
        <w:spacing w:after="160"/>
      </w:pPr>
      <w:r w:rsidRPr="00DC1A5F">
        <w:br w:type="page"/>
      </w:r>
    </w:p>
    <w:p w14:paraId="3D19ECCA" w14:textId="77777777" w:rsidR="00597DE2" w:rsidRPr="00DC1A5F" w:rsidRDefault="00597DE2" w:rsidP="00597DE2"/>
    <w:p w14:paraId="269DD8D3" w14:textId="77777777" w:rsidR="00597DE2" w:rsidRPr="00DC1A5F" w:rsidRDefault="00597DE2" w:rsidP="00597DE2"/>
    <w:p w14:paraId="1093EF85" w14:textId="77777777" w:rsidR="00597DE2" w:rsidRPr="00DC1A5F" w:rsidRDefault="00597DE2" w:rsidP="00597DE2"/>
    <w:p w14:paraId="16588521" w14:textId="77777777" w:rsidR="00597DE2" w:rsidRPr="00DC1A5F" w:rsidRDefault="00597DE2" w:rsidP="00597DE2"/>
    <w:p w14:paraId="5CF80539" w14:textId="77777777" w:rsidR="00597DE2" w:rsidRPr="00DC1A5F" w:rsidRDefault="00597DE2" w:rsidP="00597DE2">
      <w:pPr>
        <w:pStyle w:val="Ttulo2"/>
        <w:jc w:val="center"/>
      </w:pPr>
      <w:bookmarkStart w:id="9" w:name="_Toc142334416"/>
      <w:r w:rsidRPr="00DC1A5F">
        <w:t xml:space="preserve">Capítulo XXI </w:t>
      </w:r>
      <w:r w:rsidRPr="00DC1A5F">
        <w:br/>
        <w:t xml:space="preserve">Purificación Mediante el Conocimiento </w:t>
      </w:r>
      <w:r w:rsidRPr="00DC1A5F">
        <w:br/>
        <w:t>y la Visión del Sendero</w:t>
      </w:r>
      <w:bookmarkEnd w:id="9"/>
    </w:p>
    <w:p w14:paraId="31ED4B6D" w14:textId="77777777" w:rsidR="00597DE2" w:rsidRPr="00DC1A5F" w:rsidRDefault="00597DE2" w:rsidP="00597DE2"/>
    <w:p w14:paraId="777367C4" w14:textId="77777777" w:rsidR="00597DE2" w:rsidRPr="00DC1A5F" w:rsidRDefault="00597DE2" w:rsidP="00597DE2">
      <w:pPr>
        <w:pStyle w:val="Textoindependiente"/>
        <w:jc w:val="center"/>
        <w:rPr>
          <w:b/>
          <w:bCs/>
          <w:i/>
          <w:sz w:val="20"/>
          <w:szCs w:val="24"/>
        </w:rPr>
      </w:pPr>
      <w:r w:rsidRPr="00DC1A5F">
        <w:rPr>
          <w:b/>
          <w:bCs/>
          <w:iCs/>
          <w:sz w:val="20"/>
          <w:szCs w:val="24"/>
        </w:rPr>
        <w:t>(</w:t>
      </w:r>
      <w:proofErr w:type="spellStart"/>
      <w:r w:rsidRPr="00DC1A5F">
        <w:rPr>
          <w:b/>
          <w:bCs/>
          <w:i/>
          <w:sz w:val="20"/>
          <w:szCs w:val="24"/>
        </w:rPr>
        <w:t>Paṭipadā</w:t>
      </w:r>
      <w:proofErr w:type="spellEnd"/>
      <w:r w:rsidRPr="00DC1A5F">
        <w:rPr>
          <w:b/>
          <w:bCs/>
          <w:i/>
          <w:sz w:val="20"/>
          <w:szCs w:val="24"/>
        </w:rPr>
        <w:t>–</w:t>
      </w:r>
      <w:proofErr w:type="spellStart"/>
      <w:r w:rsidRPr="00DC1A5F">
        <w:rPr>
          <w:b/>
          <w:bCs/>
          <w:i/>
          <w:sz w:val="20"/>
          <w:szCs w:val="24"/>
        </w:rPr>
        <w:t>ñāṇadassana</w:t>
      </w:r>
      <w:proofErr w:type="spellEnd"/>
      <w:r w:rsidRPr="00DC1A5F">
        <w:rPr>
          <w:b/>
          <w:bCs/>
          <w:i/>
          <w:sz w:val="20"/>
          <w:szCs w:val="24"/>
        </w:rPr>
        <w:t>–</w:t>
      </w:r>
      <w:proofErr w:type="spellStart"/>
      <w:r w:rsidRPr="00DC1A5F">
        <w:rPr>
          <w:b/>
          <w:bCs/>
          <w:i/>
          <w:sz w:val="20"/>
          <w:szCs w:val="24"/>
        </w:rPr>
        <w:t>visuddhi</w:t>
      </w:r>
      <w:proofErr w:type="spellEnd"/>
      <w:r w:rsidRPr="00DC1A5F">
        <w:rPr>
          <w:b/>
          <w:bCs/>
          <w:i/>
          <w:sz w:val="20"/>
          <w:szCs w:val="24"/>
        </w:rPr>
        <w:t>–</w:t>
      </w:r>
      <w:proofErr w:type="spellStart"/>
      <w:r w:rsidRPr="00DC1A5F">
        <w:rPr>
          <w:b/>
          <w:bCs/>
          <w:i/>
          <w:sz w:val="20"/>
          <w:szCs w:val="24"/>
        </w:rPr>
        <w:t>niddesa</w:t>
      </w:r>
      <w:proofErr w:type="spellEnd"/>
      <w:r w:rsidRPr="00DC1A5F">
        <w:rPr>
          <w:b/>
          <w:bCs/>
          <w:iCs/>
          <w:sz w:val="20"/>
          <w:szCs w:val="24"/>
        </w:rPr>
        <w:t>)</w:t>
      </w:r>
    </w:p>
    <w:p w14:paraId="2160BBDF" w14:textId="77777777" w:rsidR="00597DE2" w:rsidRPr="00DC1A5F" w:rsidRDefault="00597DE2" w:rsidP="00597DE2">
      <w:pPr>
        <w:pStyle w:val="Textoindependiente"/>
      </w:pPr>
      <w:r w:rsidRPr="00DC1A5F">
        <w:t xml:space="preserve">1. </w:t>
      </w:r>
      <w:r w:rsidRPr="00DC1A5F">
        <w:tab/>
        <w:t>[639] Ahora bien, la sabiduría–revelativa llegará a su consumación por medio de 8 conocimientos y el conocimiento de conformidad de la verdad</w:t>
      </w:r>
      <w:r w:rsidRPr="00DC1A5F">
        <w:rPr>
          <w:vertAlign w:val="superscript"/>
        </w:rPr>
        <w:t>1</w:t>
      </w:r>
      <w:r w:rsidRPr="00DC1A5F">
        <w:t xml:space="preserve"> corresponderá al noveno; esto será lo que se conoce como </w:t>
      </w:r>
      <w:r w:rsidRPr="00DC1A5F">
        <w:rPr>
          <w:i/>
          <w:iCs/>
        </w:rPr>
        <w:t>purificación mediante el conocimiento y la visión del sendero</w:t>
      </w:r>
      <w:r w:rsidRPr="00DC1A5F">
        <w:t>.</w:t>
      </w:r>
    </w:p>
    <w:p w14:paraId="1714229F" w14:textId="77777777" w:rsidR="00597DE2" w:rsidRPr="00DC1A5F" w:rsidRDefault="00597DE2" w:rsidP="00597DE2">
      <w:pPr>
        <w:pStyle w:val="NormalConSangria"/>
      </w:pPr>
      <w:r w:rsidRPr="00DC1A5F">
        <w:t>Estos 8 conocimientos deberán entenderse de la siguiente manera: (1) el conocimiento de la contemplación del surgimiento y la desaparición, que corresponderá a una sabiduría–revelativa libre de imperfecciones y constante en su curso, (2) conocimiento de la contemplación de la disolución, (3) conocimiento de la apariencia de terror, (4) conocimiento de la contemplación del peligro, (5) conocimiento de la contemplación del desapasionamiento, (6) conocimiento del deseo de la liberación, (7) conocimiento de la contemplación de la reflexión y (8) conocimiento de la ecuanimidad acerca de las formaciones.</w:t>
      </w:r>
      <w:r w:rsidRPr="00DC1A5F">
        <w:rPr>
          <w:vertAlign w:val="superscript"/>
        </w:rPr>
        <w:t>2</w:t>
      </w:r>
      <w:r w:rsidRPr="00DC1A5F">
        <w:t xml:space="preserve"> “Conocimiento de la conformidad con la verdad como noveno” corresponderá a un término para tal conformidad.</w:t>
      </w:r>
    </w:p>
    <w:p w14:paraId="7A80E19C" w14:textId="77777777" w:rsidR="00597DE2" w:rsidRPr="00DC1A5F" w:rsidRDefault="00597DE2" w:rsidP="00597DE2">
      <w:pPr>
        <w:pStyle w:val="NormalConSangria"/>
      </w:pPr>
      <w:r w:rsidRPr="00DC1A5F">
        <w:t>Entonces, quien quiera perfeccionar esto, deberá hacer de este tipo de conocimientos su tarea, comenzando con el conocimiento del surgimiento y la desaparición libre de imperfecciones.</w:t>
      </w:r>
    </w:p>
    <w:p w14:paraId="3D5C1230" w14:textId="77777777" w:rsidR="00597DE2" w:rsidRPr="00DC1A5F" w:rsidRDefault="00597DE2" w:rsidP="00597DE2">
      <w:r w:rsidRPr="00DC1A5F">
        <w:t xml:space="preserve">2. </w:t>
      </w:r>
      <w:r w:rsidRPr="00DC1A5F">
        <w:tab/>
        <w:t>No obstante, ¿por qué él persistirá nuevamente en el conocimiento del surgimiento y la desaparición? Para observar sus 3 características. El conocimiento del surgimiento y la desaparición ya tratado, al estar imposibilitado debidas a las 10 imperfecciones, no fue capaz de</w:t>
      </w:r>
    </w:p>
    <w:p w14:paraId="1032804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C70BAAC"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“Él llamará conocimiento de conformidad al </w:t>
      </w:r>
      <w:r w:rsidRPr="00DC1A5F">
        <w:rPr>
          <w:i/>
          <w:iCs/>
        </w:rPr>
        <w:t>‘conocimiento en conformidad con la verdad’</w:t>
      </w:r>
      <w:r w:rsidRPr="00DC1A5F">
        <w:t xml:space="preserve"> ya que será adecuado para penetrar en las verdades debido a la desaparición de la oscuridad más densa de la ilusión que oculte las verdades” (</w:t>
      </w:r>
      <w:proofErr w:type="spellStart"/>
      <w:r w:rsidRPr="00DC1A5F">
        <w:t>Vism</w:t>
      </w:r>
      <w:proofErr w:type="spellEnd"/>
      <w:r w:rsidRPr="00DC1A5F">
        <w:t>–</w:t>
      </w:r>
      <w:proofErr w:type="spellStart"/>
      <w:r w:rsidRPr="00DC1A5F">
        <w:t>mhṭ</w:t>
      </w:r>
      <w:proofErr w:type="spellEnd"/>
      <w:r w:rsidRPr="00DC1A5F">
        <w:t xml:space="preserve"> 822). El término </w:t>
      </w:r>
      <w:proofErr w:type="spellStart"/>
      <w:r w:rsidRPr="00DC1A5F">
        <w:rPr>
          <w:i/>
          <w:iCs/>
        </w:rPr>
        <w:t>saccānulomikañāṇa</w:t>
      </w:r>
      <w:proofErr w:type="spellEnd"/>
      <w:r w:rsidRPr="00DC1A5F">
        <w:t xml:space="preserve">, “conocimiento en conformidad con la verdad”, aparece en el </w:t>
      </w:r>
      <w:proofErr w:type="spellStart"/>
      <w:r w:rsidRPr="00DC1A5F">
        <w:t>Vibh</w:t>
      </w:r>
      <w:proofErr w:type="spellEnd"/>
      <w:r w:rsidRPr="00DC1A5F">
        <w:t xml:space="preserve"> 315. El término </w:t>
      </w:r>
      <w:proofErr w:type="spellStart"/>
      <w:r w:rsidRPr="00DC1A5F">
        <w:rPr>
          <w:i/>
          <w:iCs/>
        </w:rPr>
        <w:t>anulomañāṇa</w:t>
      </w:r>
      <w:proofErr w:type="spellEnd"/>
      <w:r w:rsidRPr="00DC1A5F">
        <w:t xml:space="preserve">, “conocimiento en conformidad”, aparece en el </w:t>
      </w:r>
      <w:proofErr w:type="spellStart"/>
      <w:r w:rsidRPr="00DC1A5F">
        <w:rPr>
          <w:i/>
          <w:iCs/>
        </w:rPr>
        <w:t>Paṭṭhāna</w:t>
      </w:r>
      <w:proofErr w:type="spellEnd"/>
      <w:r w:rsidRPr="00DC1A5F">
        <w:t xml:space="preserve"> (</w:t>
      </w:r>
      <w:proofErr w:type="spellStart"/>
      <w:r w:rsidRPr="00DC1A5F">
        <w:rPr>
          <w:i/>
          <w:iCs/>
        </w:rPr>
        <w:t>Paṭṭh</w:t>
      </w:r>
      <w:proofErr w:type="spellEnd"/>
      <w:r w:rsidRPr="00DC1A5F">
        <w:t xml:space="preserve"> I 159), pero aparentemente no en ninguna otra parte de los </w:t>
      </w:r>
      <w:proofErr w:type="spellStart"/>
      <w:r w:rsidRPr="00DC1A5F">
        <w:rPr>
          <w:i/>
          <w:iCs/>
        </w:rPr>
        <w:t>Piṭakas</w:t>
      </w:r>
      <w:proofErr w:type="spellEnd"/>
      <w:r w:rsidRPr="00DC1A5F">
        <w:t xml:space="preserve">. </w:t>
      </w:r>
    </w:p>
    <w:p w14:paraId="0BB65B3D" w14:textId="77777777" w:rsidR="00597DE2" w:rsidRPr="00DC1A5F" w:rsidRDefault="00597DE2" w:rsidP="00597DE2">
      <w:pPr>
        <w:pStyle w:val="PiedepginaLegal"/>
        <w:numPr>
          <w:ilvl w:val="0"/>
          <w:numId w:val="10"/>
        </w:numPr>
        <w:tabs>
          <w:tab w:val="clear" w:pos="425"/>
          <w:tab w:val="left" w:pos="284"/>
        </w:tabs>
        <w:spacing w:after="160"/>
        <w:ind w:left="284" w:hanging="284"/>
      </w:pPr>
      <w:r w:rsidRPr="00DC1A5F">
        <w:t xml:space="preserve">“El conocimiento del surgimiento y la desaparición que se haya vuelto familiar deberá entenderse como perteneciente al entendimiento pleno como abandono. La contemplación de sólo la disolución de las formaciones corresponderá a la contemplación de la disolución; esa misma contemplación como conocimiento corresponderá </w:t>
      </w:r>
      <w:proofErr w:type="gramStart"/>
      <w:r w:rsidRPr="00DC1A5F">
        <w:t xml:space="preserve">a la </w:t>
      </w:r>
      <w:r w:rsidRPr="00DC1A5F">
        <w:rPr>
          <w:i/>
          <w:iCs/>
        </w:rPr>
        <w:t>conocimiento</w:t>
      </w:r>
      <w:proofErr w:type="gramEnd"/>
      <w:r w:rsidRPr="00DC1A5F">
        <w:rPr>
          <w:i/>
          <w:iCs/>
        </w:rPr>
        <w:t xml:space="preserve"> de la contemplación de la disolución</w:t>
      </w:r>
      <w:r w:rsidRPr="00DC1A5F">
        <w:t xml:space="preserve">. Aquel que por medio de ello observe las cosas tal y como son, se sentirá aterrorizado, por eso será terror. El conocimiento que perciba el aspecto aterrador de los estados de los tres planos de la existencia cuando aparezcan como aterradores corresponderá al </w:t>
      </w:r>
      <w:r w:rsidRPr="00DC1A5F">
        <w:rPr>
          <w:i/>
          <w:iCs/>
        </w:rPr>
        <w:t>conocimiento de la apariencia de terror</w:t>
      </w:r>
      <w:r w:rsidRPr="00DC1A5F">
        <w:t xml:space="preserve">. Uno deseará liberarse, por lo tanto, será alguien que aspire por la liberación: es decir, ya sea como consciencia o como persona. Su (el) estado corresponderá al deseo de la liberación. Eso mismo, como conocimiento corresponderá </w:t>
      </w:r>
      <w:r w:rsidRPr="00DC1A5F">
        <w:rPr>
          <w:i/>
          <w:iCs/>
        </w:rPr>
        <w:t>al conocimiento del</w:t>
      </w:r>
      <w:r w:rsidRPr="00DC1A5F">
        <w:t xml:space="preserve"> </w:t>
      </w:r>
      <w:r w:rsidRPr="00DC1A5F">
        <w:rPr>
          <w:i/>
          <w:iCs/>
        </w:rPr>
        <w:t>deseo de la liberación</w:t>
      </w:r>
      <w:r w:rsidRPr="00DC1A5F">
        <w:t xml:space="preserve">. El conocimiento que ocurra en el modo de reflexionar corresponderá nuevamente al </w:t>
      </w:r>
      <w:r w:rsidRPr="00DC1A5F">
        <w:rPr>
          <w:i/>
          <w:iCs/>
        </w:rPr>
        <w:t>conocimiento de la contemplación de la reflexión</w:t>
      </w:r>
      <w:r w:rsidRPr="00DC1A5F">
        <w:t>. El conocimiento que ocurra al observar (</w:t>
      </w:r>
      <w:proofErr w:type="spellStart"/>
      <w:r w:rsidRPr="00DC1A5F">
        <w:rPr>
          <w:i/>
          <w:iCs/>
        </w:rPr>
        <w:t>upekkhanā</w:t>
      </w:r>
      <w:proofErr w:type="spellEnd"/>
      <w:r w:rsidRPr="00DC1A5F">
        <w:t>) las formaciones con indiferencia (</w:t>
      </w:r>
      <w:proofErr w:type="spellStart"/>
      <w:r w:rsidRPr="00DC1A5F">
        <w:rPr>
          <w:i/>
          <w:iCs/>
        </w:rPr>
        <w:t>nirapekkhatā</w:t>
      </w:r>
      <w:proofErr w:type="spellEnd"/>
      <w:r w:rsidRPr="00DC1A5F">
        <w:t>) corresponderá al conocimiento de la ecuanimidad (</w:t>
      </w:r>
      <w:r w:rsidRPr="00DC1A5F">
        <w:rPr>
          <w:i/>
        </w:rPr>
        <w:t>upekkhā</w:t>
      </w:r>
      <w:r w:rsidRPr="00DC1A5F">
        <w:t>) con respecto las formaciones” (</w:t>
      </w:r>
      <w:proofErr w:type="spellStart"/>
      <w:r w:rsidRPr="00DC1A5F">
        <w:t>Vism</w:t>
      </w:r>
      <w:proofErr w:type="spellEnd"/>
      <w:r w:rsidRPr="00DC1A5F">
        <w:t>–</w:t>
      </w:r>
      <w:proofErr w:type="spellStart"/>
      <w:r w:rsidRPr="00DC1A5F">
        <w:t>mhṭ</w:t>
      </w:r>
      <w:proofErr w:type="spellEnd"/>
      <w:r w:rsidRPr="00DC1A5F">
        <w:t xml:space="preserve"> 822–23).</w:t>
      </w:r>
      <w:r w:rsidRPr="00DC1A5F">
        <w:br w:type="page"/>
      </w:r>
    </w:p>
    <w:p w14:paraId="6DD6E549" w14:textId="77777777" w:rsidR="00597DE2" w:rsidRPr="00DC1A5F" w:rsidRDefault="00597DE2" w:rsidP="00597DE2"/>
    <w:p w14:paraId="68270F36" w14:textId="77777777" w:rsidR="00597DE2" w:rsidRPr="00DC1A5F" w:rsidRDefault="00597DE2" w:rsidP="00597DE2">
      <w:pPr>
        <w:pStyle w:val="Textoindependiente"/>
      </w:pPr>
      <w:r w:rsidRPr="00DC1A5F">
        <w:t>observar las 3 características en su verdadera magnitud; no obstante, una vez libre de imperfecciones, será capaz de hacerlo. Así que aquí debería procurarlo nuevamente para observar estas características. [640]</w:t>
      </w:r>
    </w:p>
    <w:p w14:paraId="3D7F87D3" w14:textId="77777777" w:rsidR="00597DE2" w:rsidRPr="00DC1A5F" w:rsidRDefault="00597DE2" w:rsidP="00597DE2">
      <w:pPr>
        <w:pStyle w:val="Ttulo3"/>
        <w:ind w:left="708"/>
      </w:pPr>
      <w:r w:rsidRPr="00DC1A5F">
        <w:t>[Sabiduría–Revelativa: Los Ocho Conocimientos]</w:t>
      </w:r>
    </w:p>
    <w:p w14:paraId="608A7122" w14:textId="77777777" w:rsidR="00597DE2" w:rsidRPr="00DC1A5F" w:rsidRDefault="00597DE2" w:rsidP="00597DE2">
      <w:pPr>
        <w:pStyle w:val="Ttulo4"/>
        <w:ind w:left="708"/>
      </w:pPr>
      <w:r w:rsidRPr="00DC1A5F">
        <w:rPr>
          <w:i w:val="0"/>
          <w:iCs w:val="0"/>
        </w:rPr>
        <w:t>[</w:t>
      </w:r>
      <w:r w:rsidRPr="00DC1A5F">
        <w:t>1. Conocimiento del Surgimiento y la Desaparición —II</w:t>
      </w:r>
      <w:r w:rsidRPr="00DC1A5F">
        <w:rPr>
          <w:i w:val="0"/>
          <w:iCs w:val="0"/>
        </w:rPr>
        <w:t>]</w:t>
      </w:r>
    </w:p>
    <w:p w14:paraId="3A230A21" w14:textId="77777777" w:rsidR="00597DE2" w:rsidRPr="00DC1A5F" w:rsidRDefault="00597DE2" w:rsidP="00597DE2">
      <w:r w:rsidRPr="00DC1A5F">
        <w:t xml:space="preserve">3. </w:t>
      </w:r>
      <w:r w:rsidRPr="00DC1A5F">
        <w:tab/>
        <w:t xml:space="preserve">Ahora bien, las características no se manifestarán cuando no se preste atención a algo y, por lo tanto, algo las ocultará. ¿Qué es ese algo? En primer lugar, la característica de la </w:t>
      </w:r>
      <w:r w:rsidRPr="00DC1A5F">
        <w:rPr>
          <w:i/>
          <w:iCs/>
        </w:rPr>
        <w:t>impermanencia</w:t>
      </w:r>
      <w:r w:rsidRPr="00DC1A5F">
        <w:t xml:space="preserve"> no se hará evidente cuando no se preste atención al </w:t>
      </w:r>
      <w:r w:rsidRPr="00DC1A5F">
        <w:rPr>
          <w:i/>
          <w:iCs/>
        </w:rPr>
        <w:t>surgimiento y a la desaparición</w:t>
      </w:r>
      <w:r w:rsidRPr="00DC1A5F">
        <w:t xml:space="preserve">, se ocultará a través de </w:t>
      </w:r>
      <w:r w:rsidRPr="00DC1A5F">
        <w:rPr>
          <w:i/>
          <w:iCs/>
        </w:rPr>
        <w:t>continuidad</w:t>
      </w:r>
      <w:r w:rsidRPr="00DC1A5F">
        <w:t xml:space="preserve">. La característica de la </w:t>
      </w:r>
      <w:r w:rsidRPr="00DC1A5F">
        <w:rPr>
          <w:i/>
          <w:iCs/>
        </w:rPr>
        <w:t>insatisfactoriedad</w:t>
      </w:r>
      <w:r w:rsidRPr="00DC1A5F">
        <w:t xml:space="preserve"> no se manifestará cuando no se preste atención a la </w:t>
      </w:r>
      <w:r w:rsidRPr="00DC1A5F">
        <w:rPr>
          <w:i/>
          <w:iCs/>
        </w:rPr>
        <w:t>opresión continua</w:t>
      </w:r>
      <w:r w:rsidRPr="00DC1A5F">
        <w:t xml:space="preserve">, se ocultará bajo las </w:t>
      </w:r>
      <w:r w:rsidRPr="00DC1A5F">
        <w:rPr>
          <w:i/>
          <w:iCs/>
        </w:rPr>
        <w:t>posturas</w:t>
      </w:r>
      <w:r w:rsidRPr="00DC1A5F">
        <w:t xml:space="preserve">. La característica del </w:t>
      </w:r>
      <w:r w:rsidRPr="00DC1A5F">
        <w:rPr>
          <w:i/>
          <w:iCs/>
        </w:rPr>
        <w:t>no–alma</w:t>
      </w:r>
      <w:r w:rsidRPr="00DC1A5F">
        <w:t xml:space="preserve"> no se hará evidente cuando no se preste atención a la </w:t>
      </w:r>
      <w:r w:rsidRPr="00DC1A5F">
        <w:rPr>
          <w:i/>
          <w:iCs/>
        </w:rPr>
        <w:t>resolución en los diversos elementos</w:t>
      </w:r>
      <w:r w:rsidRPr="00DC1A5F">
        <w:t xml:space="preserve">, se ocultará por medio de la </w:t>
      </w:r>
      <w:r w:rsidRPr="00DC1A5F">
        <w:rPr>
          <w:i/>
          <w:iCs/>
        </w:rPr>
        <w:t>compacidad</w:t>
      </w:r>
      <w:r w:rsidRPr="00DC1A5F">
        <w:t xml:space="preserve">. </w:t>
      </w:r>
    </w:p>
    <w:p w14:paraId="6D487997" w14:textId="77777777" w:rsidR="00597DE2" w:rsidRPr="00DC1A5F" w:rsidRDefault="00597DE2" w:rsidP="00597DE2">
      <w:r w:rsidRPr="00DC1A5F">
        <w:t xml:space="preserve">4. </w:t>
      </w:r>
      <w:r w:rsidRPr="00DC1A5F">
        <w:tab/>
        <w:t xml:space="preserve">Sin embargo, cuando la </w:t>
      </w:r>
      <w:r w:rsidRPr="00DC1A5F">
        <w:rPr>
          <w:i/>
          <w:iCs/>
        </w:rPr>
        <w:t>continuidad</w:t>
      </w:r>
      <w:r w:rsidRPr="00DC1A5F">
        <w:t xml:space="preserve"> se interrumpa al discernir en el surgimiento y la desaparición, la característica de la </w:t>
      </w:r>
      <w:r w:rsidRPr="00DC1A5F">
        <w:rPr>
          <w:i/>
          <w:iCs/>
        </w:rPr>
        <w:t>impermanencia</w:t>
      </w:r>
      <w:r w:rsidRPr="00DC1A5F">
        <w:t xml:space="preserve"> se hará aparente en su verdadera naturaleza.</w:t>
      </w:r>
    </w:p>
    <w:p w14:paraId="106D7B63" w14:textId="77777777" w:rsidR="00597DE2" w:rsidRPr="00DC1A5F" w:rsidRDefault="00597DE2" w:rsidP="00597DE2">
      <w:pPr>
        <w:pStyle w:val="NormalConSangria"/>
        <w:rPr>
          <w:vertAlign w:val="superscript"/>
        </w:rPr>
      </w:pPr>
      <w:r w:rsidRPr="00DC1A5F">
        <w:t xml:space="preserve">Cuando las posturas sean expuestas ante la atención sobre la opresión continua, la característica de la </w:t>
      </w:r>
      <w:r w:rsidRPr="00DC1A5F">
        <w:rPr>
          <w:i/>
          <w:iCs/>
        </w:rPr>
        <w:t>insatisfactoriedad</w:t>
      </w:r>
      <w:r w:rsidRPr="00DC1A5F">
        <w:t xml:space="preserve"> se hará evidente en su verdadera naturaleza. Cuando la resolución de la </w:t>
      </w:r>
      <w:r w:rsidRPr="00DC1A5F">
        <w:rPr>
          <w:i/>
          <w:iCs/>
        </w:rPr>
        <w:t>compacidad</w:t>
      </w:r>
      <w:r w:rsidRPr="00DC1A5F">
        <w:t xml:space="preserve"> se efectúe mediante la </w:t>
      </w:r>
      <w:r w:rsidRPr="00DC1A5F">
        <w:rPr>
          <w:i/>
          <w:iCs/>
        </w:rPr>
        <w:t>resolución en los elementos</w:t>
      </w:r>
      <w:r w:rsidRPr="00DC1A5F">
        <w:t xml:space="preserve">, la característica del </w:t>
      </w:r>
      <w:r w:rsidRPr="00DC1A5F">
        <w:rPr>
          <w:i/>
          <w:iCs/>
        </w:rPr>
        <w:t>no–alma</w:t>
      </w:r>
      <w:r w:rsidRPr="00DC1A5F">
        <w:t xml:space="preserve"> se hará evidente en su verdadera magnitud.</w:t>
      </w:r>
      <w:r w:rsidRPr="00DC1A5F">
        <w:rPr>
          <w:vertAlign w:val="superscript"/>
        </w:rPr>
        <w:t>3</w:t>
      </w:r>
    </w:p>
    <w:p w14:paraId="53233D3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9F11073"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Cf. </w:t>
      </w:r>
      <w:proofErr w:type="spellStart"/>
      <w:r w:rsidRPr="00DC1A5F">
        <w:t>Peṭ</w:t>
      </w:r>
      <w:proofErr w:type="spellEnd"/>
      <w:r w:rsidRPr="00DC1A5F">
        <w:t xml:space="preserve"> 128. En el comentario del </w:t>
      </w:r>
      <w:proofErr w:type="spellStart"/>
      <w:r w:rsidRPr="00DC1A5F">
        <w:rPr>
          <w:i/>
          <w:iCs/>
        </w:rPr>
        <w:t>Āyatana</w:t>
      </w:r>
      <w:proofErr w:type="spellEnd"/>
      <w:r w:rsidRPr="00DC1A5F">
        <w:rPr>
          <w:i/>
          <w:iCs/>
        </w:rPr>
        <w:t>–</w:t>
      </w:r>
      <w:proofErr w:type="spellStart"/>
      <w:r w:rsidRPr="00DC1A5F">
        <w:rPr>
          <w:i/>
          <w:iCs/>
        </w:rPr>
        <w:t>Vibhaṅga</w:t>
      </w:r>
      <w:proofErr w:type="spellEnd"/>
      <w:r w:rsidRPr="00DC1A5F">
        <w:t xml:space="preserve"> encontramos: “La impermanencia es obvia, similarmente a un plato (digamos) que se caiga y se rompa; … la insatisfactoriedad es evidente, como la aparición de un forúnculo (digamos) en el cuerpo; …no obstante, la característica del no–alma no es obvia; … Ya sea que surjan o no los Seres Perfectos, las características de la impermanencia y la insatisfactoriedad se dan a conocer, pero a menos que surja un </w:t>
      </w:r>
      <w:r w:rsidRPr="00DC1A5F">
        <w:rPr>
          <w:i/>
        </w:rPr>
        <w:t>Buddha</w:t>
      </w:r>
      <w:r w:rsidRPr="00DC1A5F">
        <w:t>, la característica del no–alma no se dará a conocer” (</w:t>
      </w:r>
      <w:proofErr w:type="spellStart"/>
      <w:r w:rsidRPr="00DC1A5F">
        <w:t>Vibh</w:t>
      </w:r>
      <w:proofErr w:type="spellEnd"/>
      <w:r w:rsidRPr="00DC1A5F">
        <w:t>–a 49–50, abreviado para mayor claridad).</w:t>
      </w:r>
    </w:p>
    <w:p w14:paraId="0010C39A" w14:textId="77777777" w:rsidR="00597DE2" w:rsidRPr="00DC1A5F" w:rsidRDefault="00597DE2" w:rsidP="00597DE2">
      <w:pPr>
        <w:pStyle w:val="PiedepginaLegal"/>
      </w:pPr>
      <w:r w:rsidRPr="00DC1A5F">
        <w:tab/>
      </w:r>
      <w:r w:rsidRPr="00DC1A5F">
        <w:tab/>
        <w:t xml:space="preserve">Nuevamente, en el comentario a </w:t>
      </w:r>
      <w:proofErr w:type="spellStart"/>
      <w:r w:rsidRPr="00DC1A5F">
        <w:rPr>
          <w:i/>
          <w:iCs/>
        </w:rPr>
        <w:t>Majjhima</w:t>
      </w:r>
      <w:proofErr w:type="spellEnd"/>
      <w:r w:rsidRPr="00DC1A5F">
        <w:rPr>
          <w:i/>
          <w:iCs/>
        </w:rPr>
        <w:t xml:space="preserve"> Nikāya Sutta</w:t>
      </w:r>
      <w:r w:rsidRPr="00DC1A5F">
        <w:t xml:space="preserve"> 22: “Habiendo sido, no lo es más, por lo tanto es impermanente; será impermanente por 4 razones, es decir, en el sentido del estado de surgimiento y desaparición; en el sentido del cambio, de la temporalidad y de oponerse a la permanencia. Será insatisfactorio por el modo de opresión; será insatisfactorio por 4 razones, es decir, en el sentido de arder, de ser difícil de soportar, de ser una base para el dolor y de oponerse al placer... Será no–alma debido al modo de no–susceptibilidad al ejercicio del dominio; será no–alma por 4 razones, es decir, en el sentido del vacío, de no poseer un amo o dueño, de no poseer ningún Señor Supremo y de oponerse al alma (M–a II 113, abreviado para mayor claridad).</w:t>
      </w:r>
    </w:p>
    <w:p w14:paraId="1E2CAAC9" w14:textId="77777777" w:rsidR="00597DE2" w:rsidRPr="00DC1A5F" w:rsidRDefault="00597DE2" w:rsidP="00597DE2">
      <w:pPr>
        <w:pStyle w:val="PiedepginaLegal"/>
      </w:pPr>
      <w:r w:rsidRPr="00DC1A5F">
        <w:tab/>
      </w:r>
      <w:r w:rsidRPr="00DC1A5F">
        <w:tab/>
        <w:t xml:space="preserve">Comentando este párrafo del </w:t>
      </w:r>
      <w:proofErr w:type="spellStart"/>
      <w:r w:rsidRPr="00DC1A5F">
        <w:t>Vism</w:t>
      </w:r>
      <w:proofErr w:type="spellEnd"/>
      <w:r w:rsidRPr="00DC1A5F">
        <w:t xml:space="preserve">, el </w:t>
      </w:r>
      <w:proofErr w:type="spellStart"/>
      <w:r w:rsidRPr="00DC1A5F">
        <w:t>Vism</w:t>
      </w:r>
      <w:proofErr w:type="spellEnd"/>
      <w:r w:rsidRPr="00DC1A5F">
        <w:t>–</w:t>
      </w:r>
      <w:proofErr w:type="spellStart"/>
      <w:r w:rsidRPr="00DC1A5F">
        <w:t>mhṭ</w:t>
      </w:r>
      <w:proofErr w:type="spellEnd"/>
      <w:r w:rsidRPr="00DC1A5F">
        <w:t xml:space="preserve"> menciona: “‘</w:t>
      </w:r>
      <w:r w:rsidRPr="00DC1A5F">
        <w:rPr>
          <w:i/>
          <w:iCs/>
        </w:rPr>
        <w:t>Cuando la continuidad sufre una disrupción’</w:t>
      </w:r>
      <w:r w:rsidRPr="00DC1A5F">
        <w:t xml:space="preserve"> significa que la continuidad es expuesta al observar la otredad perpetua de los estados a medida que estos ocurran secuencialmente. Ya que no será a través de la conexión de los estados que la característica de la impermanencia se haga evidente para quien observe correctamente el surgimiento y la desaparición, sino que la característica se hará más evidente a través de su desconexión, como si fueran unas flechas de hierro. ‘</w:t>
      </w:r>
      <w:r w:rsidRPr="00DC1A5F">
        <w:rPr>
          <w:i/>
          <w:iCs/>
        </w:rPr>
        <w:t>Cuando las posturas estén expuestas’</w:t>
      </w:r>
      <w:r w:rsidRPr="00DC1A5F">
        <w:t xml:space="preserve"> significa cuando se exponga el ocultamiento del dolor que es realmente inherente a las posturas. Ya que cuando el dolor surja en una postura, la siguiente postura adoptada eliminará dicho dolor, por así decirlo, ocultándolo. Pero una vez que se conozca correctamente cómo el dolor en cualquier postura cambia,</w:t>
      </w:r>
    </w:p>
    <w:p w14:paraId="32A0B192" w14:textId="77777777" w:rsidR="00597DE2" w:rsidRPr="00DC1A5F" w:rsidRDefault="00597DE2" w:rsidP="00597DE2">
      <w:pPr>
        <w:tabs>
          <w:tab w:val="clear" w:pos="425"/>
        </w:tabs>
        <w:spacing w:after="160"/>
      </w:pPr>
      <w:r w:rsidRPr="00DC1A5F">
        <w:br w:type="page"/>
      </w:r>
    </w:p>
    <w:p w14:paraId="59C8F944" w14:textId="77777777" w:rsidR="00597DE2" w:rsidRPr="00DC1A5F" w:rsidRDefault="00597DE2" w:rsidP="00597DE2"/>
    <w:p w14:paraId="0E0F8DA2" w14:textId="77777777" w:rsidR="00597DE2" w:rsidRPr="00DC1A5F" w:rsidRDefault="00597DE2" w:rsidP="00597DE2">
      <w:r w:rsidRPr="00DC1A5F">
        <w:t xml:space="preserve">5. </w:t>
      </w:r>
      <w:r w:rsidRPr="00DC1A5F">
        <w:tab/>
        <w:t>Y aquí deberán entenderse las siguientes diferencias: lo impermanente y la característica de la impermanencia; lo insatisfactorio y la característico de lo insatisfactorio; lo no–alma y la característica del no–alma.</w:t>
      </w:r>
    </w:p>
    <w:p w14:paraId="05B930DC" w14:textId="77777777" w:rsidR="00597DE2" w:rsidRPr="00DC1A5F" w:rsidRDefault="00597DE2" w:rsidP="00597DE2">
      <w:pPr>
        <w:rPr>
          <w:vertAlign w:val="superscript"/>
        </w:rPr>
      </w:pPr>
      <w:r w:rsidRPr="00DC1A5F">
        <w:t xml:space="preserve">6. </w:t>
      </w:r>
      <w:r w:rsidRPr="00DC1A5F">
        <w:tab/>
        <w:t>Aquí, los 5 agregados son impermanentes. ¿Por qué? Porque surgen, desaparecen y cambian, o debida a su inexistencia después de haber sido. El surgimiento, la desaparición y el cambio corresponden a las características de la impermanencia; o la alteración del modo, en otras palabras, la inexistencia después de haber existido corresponderá a la característica de la impermanencia.</w:t>
      </w:r>
      <w:r w:rsidRPr="00DC1A5F">
        <w:rPr>
          <w:vertAlign w:val="superscript"/>
        </w:rPr>
        <w:t>4</w:t>
      </w:r>
    </w:p>
    <w:p w14:paraId="2C941375" w14:textId="77777777" w:rsidR="00597DE2" w:rsidRPr="00DC1A5F" w:rsidRDefault="00597DE2" w:rsidP="00597DE2">
      <w:r w:rsidRPr="00DC1A5F">
        <w:t xml:space="preserve">7. </w:t>
      </w:r>
      <w:r w:rsidRPr="00DC1A5F">
        <w:tab/>
        <w:t>Esos mismos 5 agregados son insatisfactorios debido a la siguiente afirmación, “Lo que sea impermanente será insatisfactorio” (S III 22). ¿Por qué? Debida a la continua opresión. El modo de estar continuamente oprimido corresponderá a la característica de la insatisfactoriedad.</w:t>
      </w:r>
    </w:p>
    <w:p w14:paraId="47BB376F" w14:textId="77777777" w:rsidR="00597DE2" w:rsidRPr="00DC1A5F" w:rsidRDefault="00597DE2" w:rsidP="00597DE2">
      <w:r w:rsidRPr="00DC1A5F">
        <w:t xml:space="preserve">8. </w:t>
      </w:r>
      <w:r w:rsidRPr="00DC1A5F">
        <w:tab/>
        <w:t>Esos mismos 5 agregados son no–alma debida a la afirmación, “Lo que sea insatisfactorio será no–alma” (S III 22). ¿Por qué? Debido a que no existe ningún ejercicio de poder sobre ellos. El rasgo de insusceptibilidad al ejercicio del poder corresponderá a la característica de no–alma.</w:t>
      </w:r>
    </w:p>
    <w:p w14:paraId="744A858C" w14:textId="77777777" w:rsidR="00597DE2" w:rsidRPr="00DC1A5F" w:rsidRDefault="00597DE2" w:rsidP="00597DE2">
      <w:r w:rsidRPr="00DC1A5F">
        <w:t xml:space="preserve">9. </w:t>
      </w:r>
      <w:r w:rsidRPr="00DC1A5F">
        <w:tab/>
        <w:t>El meditador observará todo esto en su verdadera naturaleza mediante el conocimiento de la contemplación del surgimiento y la desaparición, en otras palabras, con una sabiduría–revelativa libre de imperfecciones y firme en su curso.</w:t>
      </w:r>
    </w:p>
    <w:p w14:paraId="69F23F19" w14:textId="77777777" w:rsidR="00597DE2" w:rsidRPr="00DC1A5F" w:rsidRDefault="00597DE2" w:rsidP="00597DE2">
      <w:pPr>
        <w:pStyle w:val="Ttulo4"/>
        <w:ind w:left="708"/>
      </w:pPr>
      <w:r w:rsidRPr="00DC1A5F">
        <w:rPr>
          <w:i w:val="0"/>
          <w:iCs w:val="0"/>
        </w:rPr>
        <w:t>[</w:t>
      </w:r>
      <w:r w:rsidRPr="00DC1A5F">
        <w:t>2. Conocimiento de la Disolución</w:t>
      </w:r>
      <w:r w:rsidRPr="00DC1A5F">
        <w:rPr>
          <w:i w:val="0"/>
          <w:iCs w:val="0"/>
        </w:rPr>
        <w:t>]</w:t>
      </w:r>
    </w:p>
    <w:p w14:paraId="0D6B8A03" w14:textId="77777777" w:rsidR="00597DE2" w:rsidRPr="00DC1A5F" w:rsidRDefault="00597DE2" w:rsidP="00597DE2">
      <w:r w:rsidRPr="00DC1A5F">
        <w:t xml:space="preserve">10. </w:t>
      </w:r>
      <w:r w:rsidRPr="00DC1A5F">
        <w:tab/>
        <w:t xml:space="preserve">Cuando observe repetidamente y así, él examine e investigue los estados materiales e inmateriales, para observar </w:t>
      </w:r>
      <w:proofErr w:type="spellStart"/>
      <w:r w:rsidRPr="00DC1A5F">
        <w:t>cómmo</w:t>
      </w:r>
      <w:proofErr w:type="spellEnd"/>
      <w:r w:rsidRPr="00DC1A5F">
        <w:t xml:space="preserve"> son </w:t>
      </w:r>
      <w:r w:rsidRPr="00DC1A5F">
        <w:rPr>
          <w:i/>
          <w:iCs/>
        </w:rPr>
        <w:t>impermanentes</w:t>
      </w:r>
      <w:r w:rsidRPr="00DC1A5F">
        <w:t xml:space="preserve">, </w:t>
      </w:r>
      <w:r w:rsidRPr="00DC1A5F">
        <w:rPr>
          <w:i/>
          <w:iCs/>
        </w:rPr>
        <w:t>insatisfactorios</w:t>
      </w:r>
      <w:r w:rsidRPr="00DC1A5F">
        <w:t xml:space="preserve"> y </w:t>
      </w:r>
      <w:r w:rsidRPr="00DC1A5F">
        <w:rPr>
          <w:i/>
          <w:iCs/>
        </w:rPr>
        <w:t>no–alma</w:t>
      </w:r>
      <w:r w:rsidRPr="00DC1A5F">
        <w:t>, entonces, si su conocimiento trabaja con agudeza, las formaciones se harán evidentes</w:t>
      </w:r>
    </w:p>
    <w:p w14:paraId="719A4617"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67FD89E" w14:textId="77777777" w:rsidR="00597DE2" w:rsidRPr="00DC1A5F" w:rsidRDefault="00597DE2" w:rsidP="00597DE2">
      <w:pPr>
        <w:pStyle w:val="PiedepginaLegal"/>
      </w:pPr>
      <w:r w:rsidRPr="00DC1A5F">
        <w:t>…</w:t>
      </w:r>
    </w:p>
    <w:p w14:paraId="31A5ED68" w14:textId="77777777" w:rsidR="00597DE2" w:rsidRPr="00DC1A5F" w:rsidRDefault="00597DE2" w:rsidP="00597DE2">
      <w:pPr>
        <w:pStyle w:val="PiedepginaLegal"/>
      </w:pPr>
      <w:r w:rsidRPr="00DC1A5F">
        <w:tab/>
        <w:t>sustituyendo esa postura por otra, entonces quedará expuesto el ocultamiento del dolor que haya en ellos porque se habrá hecho evidente que las formaciones estarán siendo incesantemente abrumadas por el dolor. La ‘</w:t>
      </w:r>
      <w:r w:rsidRPr="00DC1A5F">
        <w:rPr>
          <w:i/>
          <w:iCs/>
        </w:rPr>
        <w:t>resolución de la compacidad’</w:t>
      </w:r>
      <w:r w:rsidRPr="00DC1A5F">
        <w:t xml:space="preserve"> se efectuará resolviendo [lo que parezca compacto] de esta manera, ‘El elemento tierra es uno, el elemento agua es otro’, etc., distinguiendo cada uno; y así, ‘El contacto es uno, la sensación es otra’, etc., distinguiendo a cada uno </w:t>
      </w:r>
      <w:r w:rsidRPr="00DC1A5F">
        <w:rPr>
          <w:color w:val="833C0B" w:themeColor="accent2" w:themeShade="80"/>
          <w:spacing w:val="0"/>
          <w:u w:color="000000"/>
        </w:rPr>
        <w:t>independientemente</w:t>
      </w:r>
      <w:r w:rsidRPr="00DC1A5F">
        <w:t>. “Cuando se efectúe la resolución de la compacidad” significará que se habrá analizado lo que sea compacto como una masa y lo que sea compacto como función o como objeto</w:t>
      </w:r>
      <w:r w:rsidRPr="00DC1A5F">
        <w:rPr>
          <w:color w:val="833C0B" w:themeColor="accent2" w:themeShade="80"/>
        </w:rPr>
        <w:t>. Porque cuando hayan surgido los estados materiales e inmateriales estabilizándose mutuamente, como la mentalidad y la materialidad, por ejemplo, entonces, debido a una interpretación incorrecta al respecto, como una unidad, se asumirá la compacidad de la masa al no someter a las formaciones a presión</w:t>
      </w:r>
      <w:r w:rsidRPr="00DC1A5F">
        <w:t>. Y del mismo modo se supondrá la compacidad de función cuando, aunque existan diferencias definidas en las funciones de tal o cual estado, se adopten como una sola. Y del mismo modo se supondrá la compacidad del objeto cuando, aunque existan diferencias en las formas en que los estados que tomen los objetos los conviertan en sus objetos, esos objetos se adopten como uno. No obstante, cuando sean observados después de resolverlos por medio del conocimiento en estos elementos, se desintegrarán como una espuma sometida a la compresión de una mano. Serán solamente estados (</w:t>
      </w:r>
      <w:r w:rsidRPr="00DC1A5F">
        <w:rPr>
          <w:i/>
        </w:rPr>
        <w:t>dhamma</w:t>
      </w:r>
      <w:r w:rsidRPr="00DC1A5F">
        <w:t>) que ocurrirán debido a las condiciones y al vacío. De esta manera, la característica del no–alma se hará más evidente” (</w:t>
      </w:r>
      <w:proofErr w:type="spellStart"/>
      <w:r w:rsidRPr="00DC1A5F">
        <w:t>Vism</w:t>
      </w:r>
      <w:proofErr w:type="spellEnd"/>
      <w:r w:rsidRPr="00DC1A5F">
        <w:t>–</w:t>
      </w:r>
      <w:proofErr w:type="spellStart"/>
      <w:r w:rsidRPr="00DC1A5F">
        <w:t>mhṭ</w:t>
      </w:r>
      <w:proofErr w:type="spellEnd"/>
      <w:r w:rsidRPr="00DC1A5F">
        <w:t xml:space="preserve"> 824).</w:t>
      </w:r>
    </w:p>
    <w:p w14:paraId="4591779D" w14:textId="77777777" w:rsidR="00597DE2" w:rsidRPr="00DC1A5F" w:rsidRDefault="00597DE2" w:rsidP="00597DE2">
      <w:pPr>
        <w:pStyle w:val="PiedepginaLegal"/>
        <w:numPr>
          <w:ilvl w:val="0"/>
          <w:numId w:val="10"/>
        </w:numPr>
        <w:tabs>
          <w:tab w:val="clear" w:pos="425"/>
          <w:tab w:val="left" w:pos="284"/>
        </w:tabs>
        <w:ind w:left="284" w:hanging="284"/>
      </w:pPr>
      <w:r w:rsidRPr="00DC1A5F">
        <w:t>“Estas modalidades, es decir, las 3 características, no están incluidas en los agregados porque corresponden a estados sin esencia individual (</w:t>
      </w:r>
      <w:proofErr w:type="spellStart"/>
      <w:r w:rsidRPr="00DC1A5F">
        <w:rPr>
          <w:i/>
          <w:iCs/>
        </w:rPr>
        <w:t>asabhāva</w:t>
      </w:r>
      <w:proofErr w:type="spellEnd"/>
      <w:r w:rsidRPr="00DC1A5F">
        <w:rPr>
          <w:i/>
          <w:iCs/>
        </w:rPr>
        <w:t>–</w:t>
      </w:r>
      <w:proofErr w:type="spellStart"/>
      <w:r w:rsidRPr="00DC1A5F">
        <w:rPr>
          <w:i/>
          <w:iCs/>
        </w:rPr>
        <w:t>dhammā</w:t>
      </w:r>
      <w:proofErr w:type="spellEnd"/>
      <w:r w:rsidRPr="00DC1A5F">
        <w:t>); y no están separados de los agregados porque son inaprensibles sin agregados. No obstante, deberán entenderse como diferencias conceptuales apropiadas (</w:t>
      </w:r>
      <w:proofErr w:type="spellStart"/>
      <w:r w:rsidRPr="00DC1A5F">
        <w:rPr>
          <w:i/>
          <w:iCs/>
        </w:rPr>
        <w:t>paññatti</w:t>
      </w:r>
      <w:proofErr w:type="spellEnd"/>
      <w:r w:rsidRPr="00DC1A5F">
        <w:rPr>
          <w:i/>
          <w:iCs/>
        </w:rPr>
        <w:t>–</w:t>
      </w:r>
      <w:proofErr w:type="spellStart"/>
      <w:r w:rsidRPr="00DC1A5F">
        <w:rPr>
          <w:i/>
          <w:iCs/>
        </w:rPr>
        <w:t>visesā</w:t>
      </w:r>
      <w:proofErr w:type="spellEnd"/>
      <w:r w:rsidRPr="00DC1A5F">
        <w:t>) que serán motivo de diferenciación en la explicación de los peligros en los 5 agregados y que serán permisibles para el uso común con respecto a los 5 agregados” (</w:t>
      </w:r>
      <w:proofErr w:type="spellStart"/>
      <w:r w:rsidRPr="00DC1A5F">
        <w:t>Vism</w:t>
      </w:r>
      <w:proofErr w:type="spellEnd"/>
      <w:r w:rsidRPr="00DC1A5F">
        <w:t>–</w:t>
      </w:r>
      <w:proofErr w:type="spellStart"/>
      <w:r w:rsidRPr="00DC1A5F">
        <w:t>mhṭ</w:t>
      </w:r>
      <w:proofErr w:type="spellEnd"/>
      <w:r w:rsidRPr="00DC1A5F">
        <w:t xml:space="preserve"> 825).</w:t>
      </w:r>
    </w:p>
    <w:p w14:paraId="78A68ACA" w14:textId="77777777" w:rsidR="00597DE2" w:rsidRPr="00DC1A5F" w:rsidRDefault="00597DE2" w:rsidP="00597DE2">
      <w:pPr>
        <w:tabs>
          <w:tab w:val="clear" w:pos="425"/>
        </w:tabs>
        <w:spacing w:after="160"/>
      </w:pPr>
      <w:r w:rsidRPr="00DC1A5F">
        <w:br w:type="page"/>
      </w:r>
    </w:p>
    <w:p w14:paraId="28274F89" w14:textId="77777777" w:rsidR="00597DE2" w:rsidRPr="00DC1A5F" w:rsidRDefault="00597DE2" w:rsidP="00597DE2">
      <w:pPr>
        <w:pStyle w:val="Textoindependiente"/>
      </w:pPr>
      <w:r w:rsidRPr="00DC1A5F">
        <w:lastRenderedPageBreak/>
        <w:t>rápidamente.</w:t>
      </w:r>
      <w:r w:rsidRPr="00DC1A5F">
        <w:rPr>
          <w:vertAlign w:val="superscript"/>
        </w:rPr>
        <w:t>5</w:t>
      </w:r>
      <w:r w:rsidRPr="00DC1A5F">
        <w:t xml:space="preserve"> Una vez que su conocimiento trabaje agudamente y las formaciones se hagan evidentes, rápidamente, ya no extenderá su atención plena a su surgimiento, presencia, ocurrencia o signo, sino que la aplicará solo a su cesación como destrucción, desaparición y ruptura.</w:t>
      </w:r>
      <w:r w:rsidRPr="00DC1A5F">
        <w:rPr>
          <w:vertAlign w:val="superscript"/>
        </w:rPr>
        <w:t>6</w:t>
      </w:r>
      <w:r w:rsidRPr="00DC1A5F">
        <w:t xml:space="preserve"> [641]</w:t>
      </w:r>
    </w:p>
    <w:p w14:paraId="072300D5" w14:textId="77777777" w:rsidR="00597DE2" w:rsidRPr="00DC1A5F" w:rsidRDefault="00597DE2" w:rsidP="00597DE2">
      <w:r w:rsidRPr="00DC1A5F">
        <w:t xml:space="preserve">11. </w:t>
      </w:r>
      <w:r w:rsidRPr="00DC1A5F">
        <w:tab/>
        <w:t>Cuando el conocimiento de la sabiduría–revelativa haya surgido en él de esta manera, de modo que se observe cómo el campo de las formaciones, habiendo surgido así, cesan también así, se le llamará contemplación de la disolución en esa etapa,</w:t>
      </w:r>
      <w:r w:rsidRPr="00DC1A5F">
        <w:rPr>
          <w:vertAlign w:val="superscript"/>
        </w:rPr>
        <w:t>7</w:t>
      </w:r>
      <w:r w:rsidRPr="00DC1A5F">
        <w:t xml:space="preserve"> con referencia a lo cual se dice:</w:t>
      </w:r>
    </w:p>
    <w:p w14:paraId="64E3987C" w14:textId="77777777" w:rsidR="00597DE2" w:rsidRPr="00DC1A5F" w:rsidRDefault="00597DE2" w:rsidP="00597DE2">
      <w:pPr>
        <w:pStyle w:val="NormalConSangria"/>
      </w:pPr>
      <w:r w:rsidRPr="00DC1A5F">
        <w:t>“Con respecto al entendimiento de la contemplación de la disolución, después de reflexionar sobre un objeto — ¿cómo se da este conocimiento de la sabiduría–revelativa?</w:t>
      </w:r>
    </w:p>
    <w:p w14:paraId="0A5DB43A" w14:textId="77777777" w:rsidR="00597DE2" w:rsidRPr="00DC1A5F" w:rsidRDefault="00597DE2" w:rsidP="00597DE2">
      <w:pPr>
        <w:pStyle w:val="NormalConSangria"/>
      </w:pPr>
      <w:r w:rsidRPr="00DC1A5F">
        <w:t>“La consciencia con la materialidad como su objeto, surge y desaparece. Habiendo reflexionado sobre dicho objeto, él contemplará la disolución de esa consciencia.</w:t>
      </w:r>
    </w:p>
    <w:p w14:paraId="47D7CD1E" w14:textId="77777777" w:rsidR="00597DE2" w:rsidRPr="00DC1A5F" w:rsidRDefault="00597DE2" w:rsidP="00597DE2">
      <w:pPr>
        <w:pStyle w:val="NormalConSangria"/>
      </w:pPr>
      <w:r w:rsidRPr="00DC1A5F">
        <w:t>“‘Él contemplará’: ¿cómo contemplará? Él lo contemplará como impermanente, no como permanente; lo contemplará como insatisfactorio, no como satisfactorio; lo contemplará como no–alma, no como alma; se volverá desapasionado, no se complacerá con ello; él producirá el desvanecimiento de la codicia, no la inflamará; él producirá la cesación, no la originación; él renunciará, no se apegará. Contemplándolo como impermanente, abandonará la percepción de permanencia. Contemplándolo como insatisfactorio, abandonará su percepción de placer. Contemplándolo como no–alma, abandonará la percepción de alma. Volviéndose desapasionado, abandonará el placer. Haciendo que se disipe, abandonará la codicia. Produciendo la cesación, abandonará la originación. Renunciando, abandonará el apego.</w:t>
      </w:r>
    </w:p>
    <w:p w14:paraId="3CE4CCA5" w14:textId="77777777" w:rsidR="00597DE2" w:rsidRPr="00DC1A5F" w:rsidRDefault="00597DE2" w:rsidP="00597DE2">
      <w:pPr>
        <w:pStyle w:val="NormalConSangria"/>
      </w:pPr>
      <w:r w:rsidRPr="00DC1A5F">
        <w:t xml:space="preserve">“La consciencia con la sensación como su objeto... La consciencia con la percepción como su objeto... con las formaciones como su objeto... con la consciencia como su objeto... con el ojo como su objeto... (etc.—ver </w:t>
      </w:r>
      <w:proofErr w:type="gramStart"/>
      <w:r w:rsidRPr="00DC1A5F">
        <w:t>XX.9)...</w:t>
      </w:r>
      <w:proofErr w:type="gramEnd"/>
      <w:r w:rsidRPr="00DC1A5F">
        <w:t xml:space="preserve"> con el envejecimiento y la muerte como su objeto... Renunciando a ello, abandonará la codicia.</w:t>
      </w:r>
    </w:p>
    <w:p w14:paraId="308B9A21" w14:textId="77777777" w:rsidR="00597DE2" w:rsidRPr="00DC1A5F" w:rsidRDefault="00597DE2" w:rsidP="00597DE2">
      <w:pPr>
        <w:pStyle w:val="VersoIngls01Sangria"/>
        <w:rPr>
          <w:sz w:val="16"/>
          <w:szCs w:val="20"/>
        </w:rPr>
      </w:pPr>
      <w:r w:rsidRPr="00DC1A5F">
        <w:rPr>
          <w:sz w:val="16"/>
          <w:szCs w:val="20"/>
        </w:rPr>
        <w:t>“La sustitución del objeto,</w:t>
      </w:r>
    </w:p>
    <w:p w14:paraId="76A4A2B3" w14:textId="77777777" w:rsidR="00597DE2" w:rsidRPr="00DC1A5F" w:rsidRDefault="00597DE2" w:rsidP="00597DE2">
      <w:pPr>
        <w:pStyle w:val="VersoIngls01Sangria"/>
        <w:rPr>
          <w:sz w:val="16"/>
          <w:szCs w:val="20"/>
        </w:rPr>
      </w:pPr>
      <w:r w:rsidRPr="00DC1A5F">
        <w:rPr>
          <w:sz w:val="16"/>
          <w:szCs w:val="20"/>
        </w:rPr>
        <w:t xml:space="preserve">La transferencia de entendimiento, </w:t>
      </w:r>
    </w:p>
    <w:p w14:paraId="2502AE81" w14:textId="77777777" w:rsidR="00597DE2" w:rsidRPr="00DC1A5F" w:rsidRDefault="00597DE2" w:rsidP="00597DE2">
      <w:pPr>
        <w:pStyle w:val="VersoIngls01Sangria"/>
        <w:rPr>
          <w:sz w:val="16"/>
          <w:szCs w:val="20"/>
        </w:rPr>
      </w:pPr>
      <w:r w:rsidRPr="00DC1A5F">
        <w:rPr>
          <w:sz w:val="16"/>
          <w:szCs w:val="20"/>
        </w:rPr>
        <w:t>El poder de la advertencia — éstos</w:t>
      </w:r>
    </w:p>
    <w:p w14:paraId="72ED5FE7" w14:textId="77777777" w:rsidR="00597DE2" w:rsidRPr="00DC1A5F" w:rsidRDefault="00597DE2" w:rsidP="00597DE2">
      <w:pPr>
        <w:pStyle w:val="VersoIngls01Sangria"/>
        <w:spacing w:after="100"/>
        <w:ind w:left="1418"/>
        <w:rPr>
          <w:sz w:val="16"/>
          <w:szCs w:val="20"/>
        </w:rPr>
      </w:pPr>
      <w:r w:rsidRPr="00DC1A5F">
        <w:rPr>
          <w:sz w:val="16"/>
          <w:szCs w:val="20"/>
        </w:rPr>
        <w:t>Corresponderán a la sabiduría–revelativa</w:t>
      </w:r>
      <w:r w:rsidRPr="00DC1A5F">
        <w:rPr>
          <w:sz w:val="14"/>
          <w:szCs w:val="18"/>
        </w:rPr>
        <w:t xml:space="preserve"> </w:t>
      </w:r>
      <w:r w:rsidRPr="00DC1A5F">
        <w:rPr>
          <w:sz w:val="16"/>
          <w:szCs w:val="20"/>
        </w:rPr>
        <w:t>que seguirá a la reflexión.</w:t>
      </w:r>
    </w:p>
    <w:p w14:paraId="17852758" w14:textId="77777777" w:rsidR="00597DE2" w:rsidRPr="00DC1A5F" w:rsidRDefault="00597DE2" w:rsidP="00597DE2">
      <w:pPr>
        <w:pStyle w:val="VersoIngls01Sangria"/>
        <w:rPr>
          <w:sz w:val="16"/>
          <w:szCs w:val="20"/>
        </w:rPr>
      </w:pPr>
      <w:r w:rsidRPr="00DC1A5F">
        <w:rPr>
          <w:sz w:val="16"/>
          <w:szCs w:val="20"/>
        </w:rPr>
        <w:t>“Definiendo a ambos como equivalentes</w:t>
      </w:r>
    </w:p>
    <w:p w14:paraId="6A430959" w14:textId="77777777" w:rsidR="00597DE2" w:rsidRPr="00DC1A5F" w:rsidRDefault="00597DE2" w:rsidP="00597DE2">
      <w:pPr>
        <w:pStyle w:val="VersoIngls01Sangria"/>
        <w:rPr>
          <w:sz w:val="16"/>
          <w:szCs w:val="20"/>
        </w:rPr>
      </w:pPr>
      <w:r w:rsidRPr="00DC1A5F">
        <w:rPr>
          <w:sz w:val="16"/>
          <w:szCs w:val="20"/>
        </w:rPr>
        <w:t>Por inferencia, a partir de ese mismo objeto,</w:t>
      </w:r>
    </w:p>
    <w:p w14:paraId="28CA85E2" w14:textId="77777777" w:rsidR="00597DE2" w:rsidRPr="00DC1A5F" w:rsidRDefault="00597DE2" w:rsidP="00597DE2">
      <w:pPr>
        <w:pStyle w:val="VersoIngls01Sangria"/>
        <w:rPr>
          <w:sz w:val="16"/>
          <w:szCs w:val="20"/>
        </w:rPr>
      </w:pPr>
      <w:r w:rsidRPr="00DC1A5F">
        <w:rPr>
          <w:sz w:val="16"/>
          <w:szCs w:val="20"/>
        </w:rPr>
        <w:t xml:space="preserve">Con intención hacia la cesación — éstos </w:t>
      </w:r>
    </w:p>
    <w:p w14:paraId="7C7EEDD0" w14:textId="77777777" w:rsidR="00597DE2" w:rsidRPr="00DC1A5F" w:rsidRDefault="00597DE2" w:rsidP="00597DE2">
      <w:pPr>
        <w:pStyle w:val="VersoIngls01Sangria"/>
        <w:spacing w:after="100"/>
        <w:ind w:left="1418"/>
        <w:rPr>
          <w:sz w:val="16"/>
          <w:szCs w:val="20"/>
        </w:rPr>
      </w:pPr>
      <w:r w:rsidRPr="00DC1A5F">
        <w:rPr>
          <w:sz w:val="16"/>
          <w:szCs w:val="20"/>
        </w:rPr>
        <w:t>Corresponderán a la sabiduría–revelativa</w:t>
      </w:r>
      <w:r w:rsidRPr="00DC1A5F">
        <w:rPr>
          <w:sz w:val="14"/>
          <w:szCs w:val="18"/>
        </w:rPr>
        <w:t xml:space="preserve"> </w:t>
      </w:r>
      <w:r w:rsidRPr="00DC1A5F">
        <w:rPr>
          <w:sz w:val="16"/>
          <w:szCs w:val="20"/>
        </w:rPr>
        <w:t>sobre la marca de la desaparición.</w:t>
      </w:r>
    </w:p>
    <w:p w14:paraId="2C76460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069C2AD" w14:textId="77777777" w:rsidR="00597DE2" w:rsidRPr="00DC1A5F" w:rsidRDefault="00597DE2" w:rsidP="00597DE2">
      <w:pPr>
        <w:pStyle w:val="PiedepginaLegal"/>
        <w:numPr>
          <w:ilvl w:val="0"/>
          <w:numId w:val="10"/>
        </w:numPr>
        <w:tabs>
          <w:tab w:val="clear" w:pos="425"/>
          <w:tab w:val="left" w:pos="284"/>
        </w:tabs>
        <w:ind w:left="284" w:hanging="284"/>
      </w:pPr>
      <w:r w:rsidRPr="00DC1A5F">
        <w:t>“La agudeza del conocimiento surgirá debido a la familiaridad con el desarrollo. Y cuando se haga familiar, el desarrollo ocurrirá como si estuviera absorbido en el objeto debido a la ausencia de distracción” (</w:t>
      </w:r>
      <w:proofErr w:type="spellStart"/>
      <w:r w:rsidRPr="00DC1A5F">
        <w:t>Vism</w:t>
      </w:r>
      <w:proofErr w:type="spellEnd"/>
      <w:r w:rsidRPr="00DC1A5F">
        <w:t>–</w:t>
      </w:r>
      <w:proofErr w:type="spellStart"/>
      <w:r w:rsidRPr="00DC1A5F">
        <w:t>mhṭ</w:t>
      </w:r>
      <w:proofErr w:type="spellEnd"/>
      <w:r w:rsidRPr="00DC1A5F">
        <w:t xml:space="preserve"> 825).</w:t>
      </w:r>
    </w:p>
    <w:p w14:paraId="045E46E9"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 “’El</w:t>
      </w:r>
      <w:r w:rsidRPr="00DC1A5F">
        <w:rPr>
          <w:i/>
          <w:iCs/>
        </w:rPr>
        <w:t xml:space="preserve"> surgimiento’</w:t>
      </w:r>
      <w:r w:rsidRPr="00DC1A5F">
        <w:t xml:space="preserve"> corresponderá a la alteración consistente de la generación. ‘La </w:t>
      </w:r>
      <w:r w:rsidRPr="00DC1A5F">
        <w:rPr>
          <w:i/>
          <w:iCs/>
        </w:rPr>
        <w:t>presencia’</w:t>
      </w:r>
      <w:r w:rsidRPr="00DC1A5F">
        <w:t xml:space="preserve"> corresponderá a la llegada hacia la presencia: hacia el envejecimiento, es lo que se quiere decir. “</w:t>
      </w:r>
      <w:r w:rsidRPr="00DC1A5F">
        <w:rPr>
          <w:i/>
          <w:iCs/>
        </w:rPr>
        <w:t>Ocurrencia</w:t>
      </w:r>
      <w:r w:rsidRPr="00DC1A5F">
        <w:t xml:space="preserve">” corresponderá a la ocurrencia de aquello a lo que uno se apegue. ‘El </w:t>
      </w:r>
      <w:r w:rsidRPr="00DC1A5F">
        <w:rPr>
          <w:i/>
          <w:iCs/>
        </w:rPr>
        <w:t>signo’</w:t>
      </w:r>
      <w:r w:rsidRPr="00DC1A5F">
        <w:t xml:space="preserve"> corresponderá al signo de las formaciones; a la apariencia de las formaciones como entidades comprensibles, que se deberá a la compacidad de la masa, etc.; y la individualización de la función, corresponderá al signo de las formaciones” (</w:t>
      </w:r>
      <w:proofErr w:type="spellStart"/>
      <w:r w:rsidRPr="00DC1A5F">
        <w:t>Vism</w:t>
      </w:r>
      <w:proofErr w:type="spellEnd"/>
      <w:r w:rsidRPr="00DC1A5F">
        <w:t>–</w:t>
      </w:r>
      <w:proofErr w:type="spellStart"/>
      <w:r w:rsidRPr="00DC1A5F">
        <w:t>mhṭ</w:t>
      </w:r>
      <w:proofErr w:type="spellEnd"/>
      <w:r w:rsidRPr="00DC1A5F">
        <w:t xml:space="preserve"> 826). Ver también n.12.</w:t>
      </w:r>
    </w:p>
    <w:p w14:paraId="2FD306E0" w14:textId="77777777" w:rsidR="00597DE2" w:rsidRPr="00DC1A5F" w:rsidRDefault="00597DE2" w:rsidP="00597DE2">
      <w:pPr>
        <w:pStyle w:val="PiedepginaLegal"/>
      </w:pPr>
      <w:r w:rsidRPr="00DC1A5F">
        <w:tab/>
      </w:r>
      <w:r w:rsidRPr="00DC1A5F">
        <w:tab/>
        <w:t>“Se trata de una cesación momentánea que corresponderá, en otras palabras, a ‘</w:t>
      </w:r>
      <w:r w:rsidRPr="00DC1A5F">
        <w:rPr>
          <w:i/>
          <w:iCs/>
        </w:rPr>
        <w:t>la cesación como destrucción, desaparición y ruptura</w:t>
      </w:r>
      <w:r w:rsidRPr="00DC1A5F">
        <w:t>’” (</w:t>
      </w:r>
      <w:proofErr w:type="spellStart"/>
      <w:r w:rsidRPr="00DC1A5F">
        <w:t>Vism</w:t>
      </w:r>
      <w:proofErr w:type="spellEnd"/>
      <w:r w:rsidRPr="00DC1A5F">
        <w:t>–</w:t>
      </w:r>
      <w:proofErr w:type="spellStart"/>
      <w:r w:rsidRPr="00DC1A5F">
        <w:t>mhṭ</w:t>
      </w:r>
      <w:proofErr w:type="spellEnd"/>
      <w:r w:rsidRPr="00DC1A5F">
        <w:t xml:space="preserve"> 826).</w:t>
      </w:r>
    </w:p>
    <w:p w14:paraId="4DBB9BFC" w14:textId="77777777" w:rsidR="00597DE2" w:rsidRPr="00DC1A5F" w:rsidRDefault="00597DE2" w:rsidP="00597DE2">
      <w:pPr>
        <w:pStyle w:val="PiedepginaLegal"/>
        <w:numPr>
          <w:ilvl w:val="0"/>
          <w:numId w:val="10"/>
        </w:numPr>
        <w:tabs>
          <w:tab w:val="clear" w:pos="425"/>
          <w:tab w:val="left" w:pos="284"/>
        </w:tabs>
        <w:ind w:left="284" w:hanging="284"/>
      </w:pPr>
      <w:proofErr w:type="spellStart"/>
      <w:r w:rsidRPr="00DC1A5F">
        <w:rPr>
          <w:i/>
          <w:iCs/>
        </w:rPr>
        <w:t>Etasmiṃ</w:t>
      </w:r>
      <w:proofErr w:type="spellEnd"/>
      <w:r w:rsidRPr="00DC1A5F">
        <w:rPr>
          <w:i/>
          <w:iCs/>
        </w:rPr>
        <w:t xml:space="preserve"> </w:t>
      </w:r>
      <w:proofErr w:type="spellStart"/>
      <w:r w:rsidRPr="00DC1A5F">
        <w:rPr>
          <w:i/>
          <w:iCs/>
        </w:rPr>
        <w:t>khaṇe</w:t>
      </w:r>
      <w:proofErr w:type="spellEnd"/>
      <w:r w:rsidRPr="00DC1A5F">
        <w:t xml:space="preserve"> (o </w:t>
      </w:r>
      <w:proofErr w:type="spellStart"/>
      <w:r w:rsidRPr="00DC1A5F">
        <w:rPr>
          <w:i/>
          <w:iCs/>
        </w:rPr>
        <w:t>etasmiṃ</w:t>
      </w:r>
      <w:proofErr w:type="spellEnd"/>
      <w:r w:rsidRPr="00DC1A5F">
        <w:rPr>
          <w:i/>
          <w:iCs/>
        </w:rPr>
        <w:t xml:space="preserve"> </w:t>
      </w:r>
      <w:proofErr w:type="spellStart"/>
      <w:r w:rsidRPr="00DC1A5F">
        <w:rPr>
          <w:i/>
          <w:iCs/>
        </w:rPr>
        <w:t>ṭhāne</w:t>
      </w:r>
      <w:proofErr w:type="spellEnd"/>
      <w:r w:rsidRPr="00DC1A5F">
        <w:t xml:space="preserve">) pareciera una mejor lectura aquí que </w:t>
      </w:r>
      <w:proofErr w:type="spellStart"/>
      <w:r w:rsidRPr="00DC1A5F">
        <w:rPr>
          <w:i/>
          <w:iCs/>
        </w:rPr>
        <w:t>ekasmiṃ</w:t>
      </w:r>
      <w:proofErr w:type="spellEnd"/>
      <w:r w:rsidRPr="00DC1A5F">
        <w:rPr>
          <w:i/>
          <w:iCs/>
        </w:rPr>
        <w:t xml:space="preserve"> </w:t>
      </w:r>
      <w:proofErr w:type="spellStart"/>
      <w:r w:rsidRPr="00DC1A5F">
        <w:rPr>
          <w:i/>
          <w:iCs/>
        </w:rPr>
        <w:t>khaṇe</w:t>
      </w:r>
      <w:proofErr w:type="spellEnd"/>
      <w:r w:rsidRPr="00DC1A5F">
        <w:rPr>
          <w:i/>
          <w:iCs/>
        </w:rPr>
        <w:t>’</w:t>
      </w:r>
      <w:r w:rsidRPr="00DC1A5F">
        <w:t>; cf. frases paralelas al final de §29, 30, 31.</w:t>
      </w:r>
    </w:p>
    <w:p w14:paraId="315BFFDE" w14:textId="77777777" w:rsidR="00597DE2" w:rsidRPr="00DC1A5F" w:rsidRDefault="00597DE2" w:rsidP="00597DE2">
      <w:pPr>
        <w:tabs>
          <w:tab w:val="clear" w:pos="425"/>
        </w:tabs>
        <w:spacing w:after="160"/>
      </w:pPr>
      <w:r w:rsidRPr="00DC1A5F">
        <w:br w:type="page"/>
      </w:r>
    </w:p>
    <w:p w14:paraId="3173C203" w14:textId="77777777" w:rsidR="00597DE2" w:rsidRPr="00DC1A5F" w:rsidRDefault="00597DE2" w:rsidP="00597DE2">
      <w:pPr>
        <w:pStyle w:val="VersoIngls01Sangria"/>
        <w:rPr>
          <w:sz w:val="16"/>
          <w:szCs w:val="20"/>
        </w:rPr>
      </w:pPr>
      <w:r w:rsidRPr="00DC1A5F">
        <w:rPr>
          <w:sz w:val="16"/>
          <w:szCs w:val="20"/>
        </w:rPr>
        <w:lastRenderedPageBreak/>
        <w:t>“Habiendo reflexionado sobre el objeto</w:t>
      </w:r>
    </w:p>
    <w:p w14:paraId="40E6C92D" w14:textId="77777777" w:rsidR="00597DE2" w:rsidRPr="00DC1A5F" w:rsidRDefault="00597DE2" w:rsidP="00597DE2">
      <w:pPr>
        <w:pStyle w:val="VersoIngls01Sangria"/>
        <w:rPr>
          <w:sz w:val="16"/>
          <w:szCs w:val="20"/>
        </w:rPr>
      </w:pPr>
      <w:r w:rsidRPr="00DC1A5F">
        <w:rPr>
          <w:sz w:val="16"/>
          <w:szCs w:val="20"/>
        </w:rPr>
        <w:t>Él contemplará la disolución,</w:t>
      </w:r>
    </w:p>
    <w:p w14:paraId="70C0A640" w14:textId="77777777" w:rsidR="00597DE2" w:rsidRPr="00DC1A5F" w:rsidRDefault="00597DE2" w:rsidP="00597DE2">
      <w:pPr>
        <w:pStyle w:val="VersoIngls01Sangria"/>
        <w:rPr>
          <w:sz w:val="16"/>
          <w:szCs w:val="20"/>
        </w:rPr>
      </w:pPr>
      <w:r w:rsidRPr="00DC1A5F">
        <w:rPr>
          <w:sz w:val="16"/>
          <w:szCs w:val="20"/>
        </w:rPr>
        <w:t xml:space="preserve">Su apariencia, entonces, como vacía — esto </w:t>
      </w:r>
    </w:p>
    <w:p w14:paraId="29B6DC76" w14:textId="77777777" w:rsidR="00597DE2" w:rsidRPr="00DC1A5F" w:rsidRDefault="00597DE2" w:rsidP="00597DE2">
      <w:pPr>
        <w:pStyle w:val="VersoIngls01Sangria"/>
        <w:spacing w:after="100"/>
        <w:ind w:left="1418"/>
        <w:rPr>
          <w:sz w:val="16"/>
          <w:szCs w:val="20"/>
        </w:rPr>
      </w:pPr>
      <w:r w:rsidRPr="00DC1A5F">
        <w:rPr>
          <w:sz w:val="16"/>
          <w:szCs w:val="20"/>
        </w:rPr>
        <w:t>Corresponderá a la sabiduría–revelativa de un entendimiento superior.</w:t>
      </w:r>
    </w:p>
    <w:p w14:paraId="67347468" w14:textId="77777777" w:rsidR="00597DE2" w:rsidRPr="00DC1A5F" w:rsidRDefault="00597DE2" w:rsidP="00597DE2">
      <w:pPr>
        <w:pStyle w:val="VersoIngls01Sangria"/>
        <w:rPr>
          <w:sz w:val="16"/>
          <w:szCs w:val="20"/>
        </w:rPr>
      </w:pPr>
      <w:r w:rsidRPr="00DC1A5F">
        <w:rPr>
          <w:sz w:val="16"/>
          <w:szCs w:val="20"/>
        </w:rPr>
        <w:t>“Al ser lúcido en las tres contemplaciones,</w:t>
      </w:r>
    </w:p>
    <w:p w14:paraId="626295F1" w14:textId="77777777" w:rsidR="00597DE2" w:rsidRPr="00DC1A5F" w:rsidRDefault="00597DE2" w:rsidP="00597DE2">
      <w:pPr>
        <w:pStyle w:val="VersoIngls01Sangria"/>
        <w:rPr>
          <w:sz w:val="16"/>
          <w:szCs w:val="20"/>
        </w:rPr>
      </w:pPr>
      <w:r w:rsidRPr="00DC1A5F">
        <w:rPr>
          <w:sz w:val="16"/>
          <w:szCs w:val="20"/>
        </w:rPr>
        <w:t>Y también en la visión cuádruple y</w:t>
      </w:r>
    </w:p>
    <w:p w14:paraId="7B1F286C" w14:textId="77777777" w:rsidR="00597DE2" w:rsidRPr="00DC1A5F" w:rsidRDefault="00597DE2" w:rsidP="00597DE2">
      <w:pPr>
        <w:pStyle w:val="VersoIngls01Sangria"/>
        <w:rPr>
          <w:sz w:val="16"/>
          <w:szCs w:val="20"/>
        </w:rPr>
      </w:pPr>
      <w:r w:rsidRPr="00DC1A5F">
        <w:rPr>
          <w:sz w:val="16"/>
          <w:szCs w:val="20"/>
        </w:rPr>
        <w:t>Hábil en las tres apariencias,</w:t>
      </w:r>
    </w:p>
    <w:p w14:paraId="755EAA52" w14:textId="77777777" w:rsidR="00597DE2" w:rsidRPr="00DC1A5F" w:rsidRDefault="00597DE2" w:rsidP="00597DE2">
      <w:pPr>
        <w:pStyle w:val="VersoIngls01Sangria"/>
        <w:spacing w:after="100"/>
        <w:ind w:left="1418"/>
        <w:rPr>
          <w:sz w:val="16"/>
          <w:szCs w:val="20"/>
        </w:rPr>
      </w:pPr>
      <w:r w:rsidRPr="00DC1A5F">
        <w:rPr>
          <w:sz w:val="16"/>
          <w:szCs w:val="20"/>
        </w:rPr>
        <w:t>Las diversas visiones incorrectas no lo estremecerán jamás.</w:t>
      </w:r>
    </w:p>
    <w:p w14:paraId="4BB90BFE" w14:textId="77777777" w:rsidR="00597DE2" w:rsidRPr="00DC1A5F" w:rsidRDefault="00597DE2" w:rsidP="00597DE2">
      <w:pPr>
        <w:pStyle w:val="NormalConSangria"/>
      </w:pPr>
      <w:r w:rsidRPr="00DC1A5F">
        <w:t>“El conocimiento se dará en el sentido de ser conocido y el entendimiento en el sentido del acto de entenderlo. Por eso se dijo al respecto: ‘El entendimiento de contemplar la disolución, después de reflexionar sobre un objeto, corresponderá al conocimiento de la sabiduría–revelativa” (</w:t>
      </w:r>
      <w:proofErr w:type="spellStart"/>
      <w:r w:rsidRPr="00DC1A5F">
        <w:rPr>
          <w:i/>
          <w:iCs/>
        </w:rPr>
        <w:t>Paṭis</w:t>
      </w:r>
      <w:proofErr w:type="spellEnd"/>
      <w:r w:rsidRPr="00DC1A5F">
        <w:t xml:space="preserve"> I 57f).</w:t>
      </w:r>
    </w:p>
    <w:p w14:paraId="150DE106" w14:textId="77777777" w:rsidR="00597DE2" w:rsidRPr="00DC1A5F" w:rsidRDefault="00597DE2" w:rsidP="00597DE2">
      <w:r w:rsidRPr="00DC1A5F">
        <w:t xml:space="preserve">12. </w:t>
      </w:r>
      <w:r w:rsidRPr="00DC1A5F">
        <w:tab/>
        <w:t xml:space="preserve">Aquí, </w:t>
      </w:r>
      <w:r w:rsidRPr="00DC1A5F">
        <w:rPr>
          <w:i/>
          <w:iCs/>
        </w:rPr>
        <w:t>después de reflexionar sobre un objeto</w:t>
      </w:r>
      <w:r w:rsidRPr="00DC1A5F">
        <w:t xml:space="preserve"> se refiere a haber reflexionado sobre, a haber conocido cualquier objeto; el significado es, habiéndolo observado como susceptible de destrucción y desaparición. </w:t>
      </w:r>
      <w:r w:rsidRPr="00DC1A5F">
        <w:rPr>
          <w:i/>
          <w:iCs/>
        </w:rPr>
        <w:t>El entendimiento de la contemplación de la disolución</w:t>
      </w:r>
      <w:r w:rsidRPr="00DC1A5F">
        <w:t xml:space="preserve">: a cualquier entendimiento de la contemplación de la disolución del conocimiento surgido después de reflexionar sobre el objeto como susceptible de destrucción y desaparición, se le denominará </w:t>
      </w:r>
      <w:r w:rsidRPr="00DC1A5F">
        <w:rPr>
          <w:i/>
          <w:iCs/>
        </w:rPr>
        <w:t>conocimiento de la sabiduría–revelativa</w:t>
      </w:r>
      <w:r w:rsidRPr="00DC1A5F">
        <w:t xml:space="preserve">. [642] </w:t>
      </w:r>
      <w:r w:rsidRPr="00DC1A5F">
        <w:rPr>
          <w:i/>
          <w:iCs/>
        </w:rPr>
        <w:t>Cómo</w:t>
      </w:r>
      <w:r w:rsidRPr="00DC1A5F">
        <w:t xml:space="preserve"> posee el significado de una pregunta que muestre el deseo de una exposición.</w:t>
      </w:r>
    </w:p>
    <w:p w14:paraId="507E5D2C" w14:textId="77777777" w:rsidR="00597DE2" w:rsidRPr="00DC1A5F" w:rsidRDefault="00597DE2" w:rsidP="00597DE2">
      <w:r w:rsidRPr="00DC1A5F">
        <w:t xml:space="preserve">13. </w:t>
      </w:r>
      <w:r w:rsidRPr="00DC1A5F">
        <w:tab/>
        <w:t xml:space="preserve">A continuación, con el objetivo de exponer cómo se produce ello, se hará referencia a la consciencia con la materialidad como su objeto, etc. Aquí, la consciencia con la materialidad como su objeto surgirá y se disolverá: </w:t>
      </w:r>
      <w:proofErr w:type="spellStart"/>
      <w:r w:rsidRPr="00DC1A5F">
        <w:rPr>
          <w:i/>
          <w:iCs/>
        </w:rPr>
        <w:t>rūpārammaṇaṃ</w:t>
      </w:r>
      <w:proofErr w:type="spellEnd"/>
      <w:r w:rsidRPr="00DC1A5F">
        <w:rPr>
          <w:i/>
          <w:iCs/>
        </w:rPr>
        <w:t xml:space="preserve"> </w:t>
      </w:r>
      <w:proofErr w:type="spellStart"/>
      <w:r w:rsidRPr="00DC1A5F">
        <w:rPr>
          <w:i/>
          <w:iCs/>
        </w:rPr>
        <w:t>cittaṃ</w:t>
      </w:r>
      <w:proofErr w:type="spellEnd"/>
      <w:r w:rsidRPr="00DC1A5F">
        <w:rPr>
          <w:i/>
          <w:iCs/>
        </w:rPr>
        <w:t xml:space="preserve"> </w:t>
      </w:r>
      <w:proofErr w:type="spellStart"/>
      <w:r w:rsidRPr="00DC1A5F">
        <w:rPr>
          <w:i/>
          <w:iCs/>
        </w:rPr>
        <w:t>uppajjitvā</w:t>
      </w:r>
      <w:proofErr w:type="spellEnd"/>
      <w:r w:rsidRPr="00DC1A5F">
        <w:rPr>
          <w:i/>
          <w:iCs/>
        </w:rPr>
        <w:t xml:space="preserve"> </w:t>
      </w:r>
      <w:proofErr w:type="spellStart"/>
      <w:r w:rsidRPr="00DC1A5F">
        <w:rPr>
          <w:i/>
          <w:iCs/>
        </w:rPr>
        <w:t>bhijjati</w:t>
      </w:r>
      <w:proofErr w:type="spellEnd"/>
      <w:r w:rsidRPr="00DC1A5F">
        <w:rPr>
          <w:i/>
          <w:iCs/>
        </w:rPr>
        <w:t xml:space="preserve"> </w:t>
      </w:r>
      <w:r w:rsidRPr="00DC1A5F">
        <w:t xml:space="preserve">será el equivalente </w:t>
      </w:r>
      <w:r w:rsidRPr="00DC1A5F">
        <w:rPr>
          <w:color w:val="833C0B" w:themeColor="accent2" w:themeShade="80"/>
          <w:u w:color="000000"/>
        </w:rPr>
        <w:t xml:space="preserve">de </w:t>
      </w:r>
      <w:proofErr w:type="spellStart"/>
      <w:r w:rsidRPr="00DC1A5F">
        <w:rPr>
          <w:i/>
          <w:iCs/>
          <w:color w:val="833C0B" w:themeColor="accent2" w:themeShade="80"/>
          <w:u w:color="000000"/>
        </w:rPr>
        <w:t>rūpārammaṇaṃ</w:t>
      </w:r>
      <w:proofErr w:type="spellEnd"/>
      <w:r w:rsidRPr="00DC1A5F">
        <w:rPr>
          <w:i/>
          <w:iCs/>
          <w:color w:val="833C0B" w:themeColor="accent2" w:themeShade="80"/>
          <w:u w:color="000000"/>
        </w:rPr>
        <w:t xml:space="preserve"> </w:t>
      </w:r>
      <w:proofErr w:type="spellStart"/>
      <w:r w:rsidRPr="00DC1A5F">
        <w:rPr>
          <w:i/>
          <w:iCs/>
          <w:color w:val="833C0B" w:themeColor="accent2" w:themeShade="80"/>
          <w:u w:color="000000"/>
        </w:rPr>
        <w:t>cittaṃ</w:t>
      </w:r>
      <w:proofErr w:type="spellEnd"/>
      <w:r w:rsidRPr="00DC1A5F">
        <w:rPr>
          <w:i/>
          <w:iCs/>
          <w:color w:val="833C0B" w:themeColor="accent2" w:themeShade="80"/>
          <w:u w:color="000000"/>
        </w:rPr>
        <w:t xml:space="preserve"> </w:t>
      </w:r>
      <w:proofErr w:type="spellStart"/>
      <w:r w:rsidRPr="00DC1A5F">
        <w:rPr>
          <w:i/>
          <w:iCs/>
          <w:color w:val="833C0B" w:themeColor="accent2" w:themeShade="80"/>
          <w:u w:color="000000"/>
        </w:rPr>
        <w:t>uppajjitvā</w:t>
      </w:r>
      <w:proofErr w:type="spellEnd"/>
      <w:r w:rsidRPr="00DC1A5F">
        <w:rPr>
          <w:i/>
          <w:iCs/>
          <w:color w:val="833C0B" w:themeColor="accent2" w:themeShade="80"/>
          <w:u w:color="000000"/>
        </w:rPr>
        <w:t xml:space="preserve"> </w:t>
      </w:r>
      <w:proofErr w:type="spellStart"/>
      <w:r w:rsidRPr="00DC1A5F">
        <w:rPr>
          <w:i/>
          <w:iCs/>
          <w:color w:val="833C0B" w:themeColor="accent2" w:themeShade="80"/>
          <w:u w:color="000000"/>
        </w:rPr>
        <w:t>bhijjati</w:t>
      </w:r>
      <w:proofErr w:type="spellEnd"/>
      <w:r w:rsidRPr="00DC1A5F">
        <w:t xml:space="preserve">; o el significado podría corresponder a </w:t>
      </w:r>
      <w:proofErr w:type="spellStart"/>
      <w:r w:rsidRPr="00DC1A5F">
        <w:rPr>
          <w:i/>
          <w:iCs/>
        </w:rPr>
        <w:t>rūpārammaṇabhāve</w:t>
      </w:r>
      <w:proofErr w:type="spellEnd"/>
      <w:r w:rsidRPr="00DC1A5F">
        <w:rPr>
          <w:i/>
          <w:iCs/>
        </w:rPr>
        <w:t xml:space="preserve"> </w:t>
      </w:r>
      <w:proofErr w:type="spellStart"/>
      <w:r w:rsidRPr="00DC1A5F">
        <w:rPr>
          <w:i/>
          <w:iCs/>
        </w:rPr>
        <w:t>cittaṃ</w:t>
      </w:r>
      <w:proofErr w:type="spellEnd"/>
      <w:r w:rsidRPr="00DC1A5F">
        <w:rPr>
          <w:i/>
          <w:iCs/>
        </w:rPr>
        <w:t xml:space="preserve"> </w:t>
      </w:r>
      <w:proofErr w:type="spellStart"/>
      <w:r w:rsidRPr="00DC1A5F">
        <w:rPr>
          <w:i/>
          <w:iCs/>
        </w:rPr>
        <w:t>uppajjitvā</w:t>
      </w:r>
      <w:proofErr w:type="spellEnd"/>
      <w:r w:rsidRPr="00DC1A5F">
        <w:rPr>
          <w:i/>
          <w:iCs/>
        </w:rPr>
        <w:t xml:space="preserve"> </w:t>
      </w:r>
      <w:proofErr w:type="spellStart"/>
      <w:r w:rsidRPr="00DC1A5F">
        <w:rPr>
          <w:i/>
          <w:iCs/>
        </w:rPr>
        <w:t>bhijjati</w:t>
      </w:r>
      <w:proofErr w:type="spellEnd"/>
      <w:r w:rsidRPr="00DC1A5F">
        <w:t xml:space="preserve"> [sustitución gramatical alternativa]. </w:t>
      </w:r>
      <w:r w:rsidRPr="00DC1A5F">
        <w:rPr>
          <w:i/>
          <w:iCs/>
        </w:rPr>
        <w:t>Habiendo reflexionado sobre ese objeto</w:t>
      </w:r>
      <w:r w:rsidRPr="00DC1A5F">
        <w:t xml:space="preserve">: habiendo reflexionado sobre, habiéndolo conocido, ese objeto consistente de materialidad; el significado es: habiéndolo visto como susceptible de destrucción y desaparición. </w:t>
      </w:r>
      <w:r w:rsidRPr="00DC1A5F">
        <w:rPr>
          <w:i/>
          <w:iCs/>
        </w:rPr>
        <w:t>Él contempla la disolución de esa consciencia</w:t>
      </w:r>
      <w:r w:rsidRPr="00DC1A5F">
        <w:t>: por medio de una consciencia subsiguiente él contemplará la disolución de esa consciencia con cuyo objeto consistente de materialidad era observado como susceptible de destrucción y desaparición. De ahí que los Venerables dijeran al respecto: “Él observa con sabiduría–revelativa tanto lo conocido como el conocimiento en cuestión”.</w:t>
      </w:r>
    </w:p>
    <w:p w14:paraId="1AC95174" w14:textId="77777777" w:rsidR="00597DE2" w:rsidRPr="00DC1A5F" w:rsidRDefault="00597DE2" w:rsidP="00597DE2">
      <w:r w:rsidRPr="00DC1A5F">
        <w:t xml:space="preserve">14. </w:t>
      </w:r>
      <w:r w:rsidRPr="00DC1A5F">
        <w:tab/>
      </w:r>
      <w:r w:rsidRPr="00DC1A5F">
        <w:rPr>
          <w:i/>
          <w:iCs/>
        </w:rPr>
        <w:t>Él</w:t>
      </w:r>
      <w:r w:rsidRPr="00DC1A5F">
        <w:t xml:space="preserve"> </w:t>
      </w:r>
      <w:r w:rsidRPr="00DC1A5F">
        <w:rPr>
          <w:i/>
          <w:iCs/>
        </w:rPr>
        <w:t>contempla</w:t>
      </w:r>
      <w:r w:rsidRPr="00DC1A5F">
        <w:t xml:space="preserve"> (</w:t>
      </w:r>
      <w:proofErr w:type="spellStart"/>
      <w:r w:rsidRPr="00DC1A5F">
        <w:rPr>
          <w:i/>
          <w:iCs/>
        </w:rPr>
        <w:t>anupassati</w:t>
      </w:r>
      <w:proofErr w:type="spellEnd"/>
      <w:r w:rsidRPr="00DC1A5F">
        <w:t>): él observará siempre consecuentemente (</w:t>
      </w:r>
      <w:proofErr w:type="spellStart"/>
      <w:r w:rsidRPr="00DC1A5F">
        <w:rPr>
          <w:i/>
          <w:iCs/>
        </w:rPr>
        <w:t>anu</w:t>
      </w:r>
      <w:proofErr w:type="spellEnd"/>
      <w:r w:rsidRPr="00DC1A5F">
        <w:rPr>
          <w:i/>
          <w:iCs/>
        </w:rPr>
        <w:t xml:space="preserve"> </w:t>
      </w:r>
      <w:proofErr w:type="spellStart"/>
      <w:r w:rsidRPr="00DC1A5F">
        <w:rPr>
          <w:i/>
          <w:iCs/>
        </w:rPr>
        <w:t>anu</w:t>
      </w:r>
      <w:proofErr w:type="spellEnd"/>
      <w:r w:rsidRPr="00DC1A5F">
        <w:rPr>
          <w:i/>
          <w:iCs/>
        </w:rPr>
        <w:t xml:space="preserve"> </w:t>
      </w:r>
      <w:proofErr w:type="spellStart"/>
      <w:r w:rsidRPr="00DC1A5F">
        <w:rPr>
          <w:i/>
          <w:iCs/>
        </w:rPr>
        <w:t>passati</w:t>
      </w:r>
      <w:proofErr w:type="spellEnd"/>
      <w:r w:rsidRPr="00DC1A5F">
        <w:t xml:space="preserve">); el significado es que él observará una y otra vez de varios modos. Por eso se dice: “Él contempla”: </w:t>
      </w:r>
      <w:r w:rsidRPr="00DC1A5F">
        <w:rPr>
          <w:i/>
          <w:iCs/>
        </w:rPr>
        <w:t>¿Cómo lo contempla? Él lo contempla como impermanente,</w:t>
      </w:r>
      <w:r w:rsidRPr="00DC1A5F">
        <w:t xml:space="preserve"> etc.</w:t>
      </w:r>
    </w:p>
    <w:p w14:paraId="38469B45" w14:textId="77777777" w:rsidR="00597DE2" w:rsidRPr="00DC1A5F" w:rsidRDefault="00597DE2" w:rsidP="00597DE2">
      <w:r w:rsidRPr="00DC1A5F">
        <w:t xml:space="preserve">15. </w:t>
      </w:r>
      <w:r w:rsidRPr="00DC1A5F">
        <w:tab/>
        <w:t xml:space="preserve">Aquí, la disolución será el punto culminante de la impermanencia y así, el meditador que contemple la disolución contemplará todo el campo de las formaciones como </w:t>
      </w:r>
      <w:r w:rsidRPr="00DC1A5F">
        <w:rPr>
          <w:i/>
          <w:iCs/>
        </w:rPr>
        <w:t>impermanentes</w:t>
      </w:r>
      <w:r w:rsidRPr="00DC1A5F">
        <w:t xml:space="preserve">, </w:t>
      </w:r>
      <w:r w:rsidRPr="00DC1A5F">
        <w:rPr>
          <w:i/>
          <w:iCs/>
        </w:rPr>
        <w:t>no como permanentes</w:t>
      </w:r>
      <w:r w:rsidRPr="00DC1A5F">
        <w:t>.</w:t>
      </w:r>
      <w:r w:rsidRPr="00DC1A5F">
        <w:rPr>
          <w:vertAlign w:val="superscript"/>
        </w:rPr>
        <w:t>8</w:t>
      </w:r>
      <w:r w:rsidRPr="00DC1A5F">
        <w:t xml:space="preserve"> Luego, debido a la insatisfactoriedad de lo que sea impermanente y debido a </w:t>
      </w:r>
    </w:p>
    <w:p w14:paraId="07BF6E87"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5FFD6F5" w14:textId="77777777" w:rsidR="00597DE2" w:rsidRPr="00DC1A5F" w:rsidRDefault="00597DE2" w:rsidP="00597DE2">
      <w:pPr>
        <w:pStyle w:val="PiedepginaLegal"/>
        <w:numPr>
          <w:ilvl w:val="0"/>
          <w:numId w:val="10"/>
        </w:numPr>
        <w:tabs>
          <w:tab w:val="clear" w:pos="425"/>
          <w:tab w:val="left" w:pos="284"/>
        </w:tabs>
        <w:spacing w:after="160"/>
        <w:ind w:left="284" w:hanging="284"/>
      </w:pPr>
      <w:r w:rsidRPr="00DC1A5F">
        <w:t xml:space="preserve">“’Él los contemplará como impermanentes’ aquí significa no mediante un conocimiento inferencial así, ‘Impermanente en el sentido de disolución’, como alguien que se encontraría comprendiendo las formaciones mediante grupos (XX.13–14), ni observando la </w:t>
      </w:r>
      <w:r w:rsidRPr="00DC1A5F">
        <w:rPr>
          <w:i/>
          <w:iCs/>
        </w:rPr>
        <w:t>desaparición</w:t>
      </w:r>
      <w:r w:rsidRPr="00DC1A5F">
        <w:t xml:space="preserve"> precedida por la aprehensión del </w:t>
      </w:r>
      <w:r w:rsidRPr="00DC1A5F">
        <w:rPr>
          <w:i/>
          <w:iCs/>
        </w:rPr>
        <w:t>surgimiento</w:t>
      </w:r>
      <w:r w:rsidRPr="00DC1A5F">
        <w:t xml:space="preserve">, como un principiante de la sabiduría–revelativa (Cap. XX. §93s.); sino que se dará después de que el </w:t>
      </w:r>
      <w:r w:rsidRPr="00DC1A5F">
        <w:rPr>
          <w:i/>
          <w:iCs/>
        </w:rPr>
        <w:t>surgimiento</w:t>
      </w:r>
      <w:r w:rsidRPr="00DC1A5F">
        <w:t xml:space="preserve"> y la </w:t>
      </w:r>
      <w:r w:rsidRPr="00DC1A5F">
        <w:rPr>
          <w:i/>
          <w:iCs/>
        </w:rPr>
        <w:t>desaparición</w:t>
      </w:r>
      <w:r w:rsidRPr="00DC1A5F">
        <w:t xml:space="preserve"> se hayan vuelto aparentes como una experiencia real, a través de la influencia del conocimiento del surgimiento y la desaparición que entonces deje de lado el surgimiento en la forma indicada y contemple las formaciones como impermanentes al observar solamente su disolución. No obstante, cuando los observe así, no habrá rastro en él de ninguna aprehensión de ellos como permanentes” (</w:t>
      </w:r>
      <w:proofErr w:type="spellStart"/>
      <w:r w:rsidRPr="00DC1A5F">
        <w:t>Vism</w:t>
      </w:r>
      <w:proofErr w:type="spellEnd"/>
      <w:r w:rsidRPr="00DC1A5F">
        <w:t>–</w:t>
      </w:r>
      <w:proofErr w:type="spellStart"/>
      <w:r w:rsidRPr="00DC1A5F">
        <w:t>mhṭ</w:t>
      </w:r>
      <w:proofErr w:type="spellEnd"/>
      <w:r w:rsidRPr="00DC1A5F">
        <w:t xml:space="preserve"> 827).</w:t>
      </w:r>
      <w:r w:rsidRPr="00DC1A5F">
        <w:br w:type="page"/>
      </w:r>
    </w:p>
    <w:p w14:paraId="52E64B65" w14:textId="77777777" w:rsidR="00597DE2" w:rsidRPr="00DC1A5F" w:rsidRDefault="00597DE2" w:rsidP="00597DE2">
      <w:pPr>
        <w:pStyle w:val="Textoindependiente"/>
      </w:pPr>
      <w:r w:rsidRPr="00DC1A5F">
        <w:lastRenderedPageBreak/>
        <w:t xml:space="preserve">la inexistencia de un alma en aquello que sea insatisfactorio, él contemplará todo ese campo de formaciones </w:t>
      </w:r>
      <w:r w:rsidRPr="00DC1A5F">
        <w:rPr>
          <w:i/>
          <w:iCs/>
        </w:rPr>
        <w:t xml:space="preserve">como algo insatisfactorio, no como satisfactorio, lo contemplará como no–alma, no como alma. </w:t>
      </w:r>
    </w:p>
    <w:p w14:paraId="67E74C16" w14:textId="77777777" w:rsidR="00597DE2" w:rsidRPr="00DC1A5F" w:rsidRDefault="00597DE2" w:rsidP="00597DE2">
      <w:r w:rsidRPr="00DC1A5F">
        <w:t xml:space="preserve">16. </w:t>
      </w:r>
      <w:r w:rsidRPr="00DC1A5F">
        <w:tab/>
        <w:t xml:space="preserve">No obstante, lo que sea impermanente, insatisfactorio y no–alma, no será algo de lo que haya porqué complacerse; y lo que no sea algo por </w:t>
      </w:r>
      <w:proofErr w:type="gramStart"/>
      <w:r w:rsidRPr="00DC1A5F">
        <w:t>lo  qué</w:t>
      </w:r>
      <w:proofErr w:type="gramEnd"/>
      <w:r w:rsidRPr="00DC1A5F">
        <w:t xml:space="preserve"> complacerse no será motivo para el surgimiento de una codicia; en consecuencia, cuando ese campo de formaciones sea observado como impermanente, insatisfactorio y no–alma, de acuerdo con la contemplación de la disolución, entonces </w:t>
      </w:r>
      <w:r w:rsidRPr="00DC1A5F">
        <w:rPr>
          <w:i/>
          <w:iCs/>
        </w:rPr>
        <w:t>él</w:t>
      </w:r>
      <w:r w:rsidRPr="00DC1A5F">
        <w:t xml:space="preserve"> </w:t>
      </w:r>
      <w:r w:rsidRPr="00DC1A5F">
        <w:rPr>
          <w:i/>
          <w:iCs/>
        </w:rPr>
        <w:t>se desapasionará al respecto, no se complacerá al respecto; él hará que la codicia se disipe, no que se infatúe</w:t>
      </w:r>
      <w:r w:rsidRPr="00DC1A5F">
        <w:t xml:space="preserve">. Cuando no se inflame así la codicia, </w:t>
      </w:r>
      <w:r w:rsidRPr="00DC1A5F">
        <w:rPr>
          <w:i/>
          <w:iCs/>
        </w:rPr>
        <w:t>provocará su cesación</w:t>
      </w:r>
      <w:r w:rsidRPr="00DC1A5F">
        <w:t xml:space="preserve">, no su </w:t>
      </w:r>
      <w:r w:rsidRPr="00DC1A5F">
        <w:rPr>
          <w:i/>
          <w:iCs/>
        </w:rPr>
        <w:t>originación</w:t>
      </w:r>
      <w:r w:rsidRPr="00DC1A5F">
        <w:t>, lo que ocurrirá primero mediante un conocimiento mundano</w:t>
      </w:r>
      <w:r w:rsidRPr="00DC1A5F">
        <w:rPr>
          <w:vertAlign w:val="superscript"/>
        </w:rPr>
        <w:t>9</w:t>
      </w:r>
      <w:r w:rsidRPr="00DC1A5F">
        <w:t>; el significado es que él no causará ninguna originación.</w:t>
      </w:r>
    </w:p>
    <w:p w14:paraId="2F5EE580" w14:textId="77777777" w:rsidR="00597DE2" w:rsidRPr="00DC1A5F" w:rsidRDefault="00597DE2" w:rsidP="00597DE2">
      <w:r w:rsidRPr="00DC1A5F">
        <w:t xml:space="preserve">17. </w:t>
      </w:r>
      <w:r w:rsidRPr="00DC1A5F">
        <w:tab/>
        <w:t>O alternativamente, habiendo causado así el desvanecimiento de la codicia y causado la cesación del campo de las formaciones vistas, producirá la cesación también de lo no visto por medio del conocimiento inferencial, no lo originará; el significado es que sólo prestará atención a su cesación, que observará sólo a su cesación, no a su originación.</w:t>
      </w:r>
    </w:p>
    <w:p w14:paraId="66971C7D" w14:textId="77777777" w:rsidR="00597DE2" w:rsidRPr="00DC1A5F" w:rsidRDefault="00597DE2" w:rsidP="00597DE2">
      <w:r w:rsidRPr="00DC1A5F">
        <w:t xml:space="preserve">18. </w:t>
      </w:r>
      <w:r w:rsidRPr="00DC1A5F">
        <w:tab/>
        <w:t xml:space="preserve">Progresando así, </w:t>
      </w:r>
      <w:r w:rsidRPr="00DC1A5F">
        <w:rPr>
          <w:i/>
          <w:iCs/>
        </w:rPr>
        <w:t>él renunciará, no se apegará</w:t>
      </w:r>
      <w:r w:rsidRPr="00DC1A5F">
        <w:t>. ¿Qué significa esto? Lo que se quiere decir es que a esta contemplación de la impermanencia, etc., también se le denominará tanto “</w:t>
      </w:r>
      <w:r w:rsidRPr="00DC1A5F">
        <w:rPr>
          <w:i/>
          <w:iCs/>
        </w:rPr>
        <w:t>renunciación</w:t>
      </w:r>
      <w:r w:rsidRPr="00DC1A5F">
        <w:t xml:space="preserve"> como </w:t>
      </w:r>
      <w:r w:rsidRPr="00DC1A5F">
        <w:rPr>
          <w:i/>
          <w:iCs/>
        </w:rPr>
        <w:t>abandono</w:t>
      </w:r>
      <w:r w:rsidRPr="00DC1A5F">
        <w:t xml:space="preserve">” como una “renunciación como entrada hacia algo” (ver </w:t>
      </w:r>
      <w:proofErr w:type="spellStart"/>
      <w:r w:rsidRPr="00DC1A5F">
        <w:rPr>
          <w:i/>
          <w:iCs/>
        </w:rPr>
        <w:t>Paṭis</w:t>
      </w:r>
      <w:proofErr w:type="spellEnd"/>
      <w:r w:rsidRPr="00DC1A5F">
        <w:t xml:space="preserve"> I 194) porque, por medio de la sustitución de cualidades opuestas, él abandonará las impurezas junto con las formaciones </w:t>
      </w:r>
      <w:proofErr w:type="spellStart"/>
      <w:r w:rsidRPr="00DC1A5F">
        <w:rPr>
          <w:i/>
        </w:rPr>
        <w:t>kammicas</w:t>
      </w:r>
      <w:proofErr w:type="spellEnd"/>
      <w:r w:rsidRPr="00DC1A5F">
        <w:t xml:space="preserve"> productoras de agregados y porque, al observar la insatisfactoriedad de lo que se forme, [643] también entrará a, se inclinará </w:t>
      </w:r>
      <w:proofErr w:type="spellStart"/>
      <w:r w:rsidRPr="00DC1A5F">
        <w:t>hacia</w:t>
      </w:r>
      <w:proofErr w:type="spellEnd"/>
      <w:r w:rsidRPr="00DC1A5F">
        <w:t xml:space="preserve">, el </w:t>
      </w:r>
      <w:r w:rsidRPr="00DC1A5F">
        <w:rPr>
          <w:i/>
          <w:iCs/>
        </w:rPr>
        <w:t>Nibbāna</w:t>
      </w:r>
      <w:r w:rsidRPr="00DC1A5F">
        <w:t xml:space="preserve">, que será lo opuesto a lo </w:t>
      </w:r>
      <w:r w:rsidRPr="00DC1A5F">
        <w:rPr>
          <w:color w:val="833C0B" w:themeColor="accent2" w:themeShade="80"/>
        </w:rPr>
        <w:t>condicionado</w:t>
      </w:r>
      <w:r w:rsidRPr="00DC1A5F">
        <w:t xml:space="preserve">. Por lo tanto, el </w:t>
      </w:r>
      <w:proofErr w:type="spellStart"/>
      <w:r w:rsidRPr="00DC1A5F">
        <w:rPr>
          <w:i/>
        </w:rPr>
        <w:t>bhikkhu</w:t>
      </w:r>
      <w:proofErr w:type="spellEnd"/>
      <w:r w:rsidRPr="00DC1A5F">
        <w:t xml:space="preserve"> que desarrolle esa contemplación abandonará las impurezas y consumará el </w:t>
      </w:r>
      <w:r w:rsidRPr="00DC1A5F">
        <w:rPr>
          <w:i/>
          <w:iCs/>
        </w:rPr>
        <w:t>Nibbāna</w:t>
      </w:r>
      <w:r w:rsidRPr="00DC1A5F">
        <w:t xml:space="preserve"> de la manera indicada, no se apegará a (ni se adherirá a) las impurezas provocando nuevos renacimientos, ni se apegará a (ni se aferrará a) un objeto formado sin poder observar su insatisfactoriedad. Por eso se dijo al respecto: él renunciará, no se apegará.</w:t>
      </w:r>
    </w:p>
    <w:p w14:paraId="4E2CE211" w14:textId="77777777" w:rsidR="00597DE2" w:rsidRPr="00DC1A5F" w:rsidRDefault="00597DE2" w:rsidP="00597DE2">
      <w:r w:rsidRPr="00DC1A5F">
        <w:t xml:space="preserve">19. </w:t>
      </w:r>
      <w:r w:rsidRPr="00DC1A5F">
        <w:tab/>
        <w:t xml:space="preserve">Ahora bien, para exponer qué estados serán abandonados por estas tres clases del conocimiento, se dice: </w:t>
      </w:r>
      <w:r w:rsidRPr="00DC1A5F">
        <w:rPr>
          <w:i/>
          <w:iCs/>
        </w:rPr>
        <w:t>contemplándolo como impermanente, se abandonará la percepción de la permanencia</w:t>
      </w:r>
      <w:r w:rsidRPr="00DC1A5F">
        <w:t>, etc. Aquí, la dicha corresponderá al deseo acompañado de felicidad. El resto será como ya se ha mencionado.</w:t>
      </w:r>
    </w:p>
    <w:p w14:paraId="2AE98D47" w14:textId="77777777" w:rsidR="00597DE2" w:rsidRPr="00DC1A5F" w:rsidRDefault="00597DE2" w:rsidP="00597DE2">
      <w:r w:rsidRPr="00DC1A5F">
        <w:t xml:space="preserve">20. </w:t>
      </w:r>
      <w:r w:rsidRPr="00DC1A5F">
        <w:tab/>
        <w:t xml:space="preserve">En cuanto a las estrofas: </w:t>
      </w:r>
      <w:r w:rsidRPr="00DC1A5F">
        <w:rPr>
          <w:i/>
          <w:iCs/>
        </w:rPr>
        <w:t>la sustitución del objeto</w:t>
      </w:r>
      <w:r w:rsidRPr="00DC1A5F">
        <w:t xml:space="preserve"> significa que después de observar la disolución de la </w:t>
      </w:r>
      <w:r w:rsidRPr="00DC1A5F">
        <w:rPr>
          <w:i/>
          <w:iCs/>
        </w:rPr>
        <w:t>materialidad</w:t>
      </w:r>
      <w:r w:rsidRPr="00DC1A5F">
        <w:t xml:space="preserve">, se dará la sustitución de ese primer objeto por otro objeto, al observar la disolución de la </w:t>
      </w:r>
      <w:r w:rsidRPr="00DC1A5F">
        <w:rPr>
          <w:i/>
          <w:iCs/>
        </w:rPr>
        <w:t>consciencia</w:t>
      </w:r>
      <w:r w:rsidRPr="00DC1A5F">
        <w:t xml:space="preserve"> mediante la cual la disolución de la materialidad fue observada. La </w:t>
      </w:r>
      <w:r w:rsidRPr="00DC1A5F">
        <w:rPr>
          <w:i/>
          <w:iCs/>
        </w:rPr>
        <w:t xml:space="preserve">transferencia de entendimiento </w:t>
      </w:r>
      <w:r w:rsidRPr="00DC1A5F">
        <w:t xml:space="preserve">corresponderá al </w:t>
      </w:r>
      <w:r w:rsidRPr="00DC1A5F">
        <w:rPr>
          <w:i/>
          <w:iCs/>
        </w:rPr>
        <w:t>abandono</w:t>
      </w:r>
      <w:r w:rsidRPr="00DC1A5F">
        <w:t xml:space="preserve"> del </w:t>
      </w:r>
      <w:r w:rsidRPr="00DC1A5F">
        <w:rPr>
          <w:i/>
          <w:iCs/>
        </w:rPr>
        <w:t>surgimiento</w:t>
      </w:r>
      <w:r w:rsidRPr="00DC1A5F">
        <w:t xml:space="preserve"> y a la </w:t>
      </w:r>
      <w:r w:rsidRPr="00DC1A5F">
        <w:rPr>
          <w:i/>
          <w:iCs/>
        </w:rPr>
        <w:t>especialización</w:t>
      </w:r>
      <w:r w:rsidRPr="00DC1A5F">
        <w:t xml:space="preserve"> en la </w:t>
      </w:r>
      <w:r w:rsidRPr="00DC1A5F">
        <w:rPr>
          <w:i/>
          <w:iCs/>
        </w:rPr>
        <w:t>desaparición</w:t>
      </w:r>
      <w:r w:rsidRPr="00DC1A5F">
        <w:t xml:space="preserve">. El </w:t>
      </w:r>
      <w:r w:rsidRPr="00DC1A5F">
        <w:rPr>
          <w:i/>
          <w:iCs/>
        </w:rPr>
        <w:t xml:space="preserve">poder de la advertencia </w:t>
      </w:r>
      <w:r w:rsidRPr="00DC1A5F">
        <w:t xml:space="preserve">corresponderá a la habilidad, después de observar la disolución de la materialidad, para advertir </w:t>
      </w:r>
      <w:r w:rsidRPr="00DC1A5F">
        <w:rPr>
          <w:color w:val="833C0B" w:themeColor="accent2" w:themeShade="80"/>
          <w:u w:color="000000"/>
        </w:rPr>
        <w:t>la experiencia</w:t>
      </w:r>
      <w:r w:rsidRPr="00DC1A5F">
        <w:t xml:space="preserve"> inmediatamente con el propósito de observar la disolución de la consciencia que tenía como objeto dicha disolución. </w:t>
      </w:r>
      <w:r w:rsidRPr="00DC1A5F">
        <w:rPr>
          <w:i/>
          <w:iCs/>
        </w:rPr>
        <w:t>Estos corresponderán a la sabiduría–revelativa penetrativa que le sigue a la reflexión:</w:t>
      </w:r>
      <w:r w:rsidRPr="00DC1A5F">
        <w:t xml:space="preserve"> a esto se le denominará contemplación de la disolución después de la reflexión sobre un objeto.</w:t>
      </w:r>
    </w:p>
    <w:p w14:paraId="5CDDB43C" w14:textId="77777777" w:rsidR="00597DE2" w:rsidRPr="00DC1A5F" w:rsidRDefault="00597DE2" w:rsidP="00597DE2">
      <w:r w:rsidRPr="00DC1A5F">
        <w:t xml:space="preserve">21. </w:t>
      </w:r>
      <w:r w:rsidRPr="00DC1A5F">
        <w:tab/>
      </w:r>
      <w:r w:rsidRPr="00DC1A5F">
        <w:rPr>
          <w:i/>
          <w:iCs/>
        </w:rPr>
        <w:t>Definiendo ambos como iguales por inferencia de ese mismo objeto</w:t>
      </w:r>
      <w:r w:rsidRPr="00DC1A5F">
        <w:t xml:space="preserve">: el significado es que por inferencia, por inducción, a partir del objeto observado por la experiencia real, él definirá que </w:t>
      </w:r>
    </w:p>
    <w:p w14:paraId="40583AA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3CF4F92" w14:textId="77777777" w:rsidR="00597DE2" w:rsidRPr="00DC1A5F" w:rsidRDefault="00597DE2" w:rsidP="00597DE2">
      <w:pPr>
        <w:pStyle w:val="PiedepginaLegal"/>
        <w:numPr>
          <w:ilvl w:val="0"/>
          <w:numId w:val="10"/>
        </w:numPr>
        <w:tabs>
          <w:tab w:val="clear" w:pos="425"/>
          <w:tab w:val="left" w:pos="284"/>
        </w:tabs>
        <w:spacing w:after="160"/>
        <w:ind w:left="284" w:hanging="284"/>
      </w:pPr>
      <w:r w:rsidRPr="00DC1A5F">
        <w:t>“‘</w:t>
      </w:r>
      <w:r w:rsidRPr="00DC1A5F">
        <w:rPr>
          <w:i/>
          <w:iCs/>
        </w:rPr>
        <w:t>Producirá la cesación’</w:t>
      </w:r>
      <w:r w:rsidRPr="00DC1A5F">
        <w:t xml:space="preserve">: él hará que la codicia alcance la cesación de la supresión; el significado es que él lo suprimirá. Es por eso </w:t>
      </w:r>
      <w:proofErr w:type="gramStart"/>
      <w:r w:rsidRPr="00DC1A5F">
        <w:t>que</w:t>
      </w:r>
      <w:proofErr w:type="gramEnd"/>
      <w:r w:rsidRPr="00DC1A5F">
        <w:t xml:space="preserve"> él dijo ‘por medio del conocimiento mundano’. Y puesto que habría represión, ¿cómo podría haber un surgimiento? Por lo tanto, él dijo ‘</w:t>
      </w:r>
      <w:r w:rsidRPr="00DC1A5F">
        <w:rPr>
          <w:i/>
          <w:iCs/>
        </w:rPr>
        <w:t>no su originación</w:t>
      </w:r>
      <w:r w:rsidRPr="00DC1A5F">
        <w:t>’” (</w:t>
      </w:r>
      <w:proofErr w:type="spellStart"/>
      <w:r w:rsidRPr="00DC1A5F">
        <w:t>Vism</w:t>
      </w:r>
      <w:proofErr w:type="spellEnd"/>
      <w:r w:rsidRPr="00DC1A5F">
        <w:t>–</w:t>
      </w:r>
      <w:proofErr w:type="spellStart"/>
      <w:r w:rsidRPr="00DC1A5F">
        <w:t>mhṭ</w:t>
      </w:r>
      <w:proofErr w:type="spellEnd"/>
      <w:r w:rsidRPr="00DC1A5F">
        <w:t xml:space="preserve"> 828).</w:t>
      </w:r>
      <w:r w:rsidRPr="00DC1A5F">
        <w:br w:type="page"/>
      </w:r>
    </w:p>
    <w:p w14:paraId="132C5647" w14:textId="77777777" w:rsidR="00597DE2" w:rsidRPr="00DC1A5F" w:rsidRDefault="00597DE2" w:rsidP="00597DE2">
      <w:pPr>
        <w:pStyle w:val="Textoindependiente"/>
      </w:pPr>
      <w:r w:rsidRPr="00DC1A5F">
        <w:lastRenderedPageBreak/>
        <w:t>ambos [lo observado y lo no</w:t>
      </w:r>
      <w:r w:rsidRPr="00DC1A5F">
        <w:rPr>
          <w:rFonts w:cs="Cormorant"/>
        </w:rPr>
        <w:t>‒</w:t>
      </w:r>
      <w:r w:rsidRPr="00DC1A5F">
        <w:t xml:space="preserve">visto] poseerán una sola esencia individual así: </w:t>
      </w:r>
      <w:proofErr w:type="gramStart"/>
      <w:r w:rsidRPr="00DC1A5F">
        <w:t>“ El</w:t>
      </w:r>
      <w:proofErr w:type="gramEnd"/>
      <w:r w:rsidRPr="00DC1A5F">
        <w:t xml:space="preserve"> campo de las formaciones se disolvió en el pasado y se disolverá en el futuro, tal como lo hace en el presente. Y esto es dicho por los Venerables al respecto: </w:t>
      </w:r>
    </w:p>
    <w:p w14:paraId="26F6AB26" w14:textId="77777777" w:rsidR="00597DE2" w:rsidRPr="00DC1A5F" w:rsidRDefault="00597DE2" w:rsidP="00597DE2">
      <w:pPr>
        <w:pStyle w:val="VersoIngls01Sangria"/>
        <w:rPr>
          <w:sz w:val="16"/>
          <w:szCs w:val="20"/>
        </w:rPr>
      </w:pPr>
      <w:r w:rsidRPr="00DC1A5F">
        <w:rPr>
          <w:sz w:val="16"/>
          <w:szCs w:val="20"/>
        </w:rPr>
        <w:t>“Con la visión de aquellos presentes purificados</w:t>
      </w:r>
    </w:p>
    <w:p w14:paraId="6010A3F9" w14:textId="77777777" w:rsidR="00597DE2" w:rsidRPr="00DC1A5F" w:rsidRDefault="00597DE2" w:rsidP="00597DE2">
      <w:pPr>
        <w:pStyle w:val="VersoIngls01Sangria"/>
        <w:rPr>
          <w:sz w:val="16"/>
          <w:szCs w:val="20"/>
        </w:rPr>
      </w:pPr>
      <w:r w:rsidRPr="00DC1A5F">
        <w:rPr>
          <w:sz w:val="16"/>
          <w:szCs w:val="20"/>
        </w:rPr>
        <w:t>Él inferirá que el pasado y el futuro son equivalentes;</w:t>
      </w:r>
    </w:p>
    <w:p w14:paraId="796F791F" w14:textId="77777777" w:rsidR="00597DE2" w:rsidRPr="00DC1A5F" w:rsidRDefault="00597DE2" w:rsidP="00597DE2">
      <w:pPr>
        <w:pStyle w:val="VersoIngls01Sangria"/>
        <w:rPr>
          <w:sz w:val="16"/>
          <w:szCs w:val="20"/>
        </w:rPr>
      </w:pPr>
      <w:r w:rsidRPr="00DC1A5F">
        <w:rPr>
          <w:sz w:val="16"/>
          <w:szCs w:val="20"/>
        </w:rPr>
        <w:t>Él inferirá que todas las formaciones desaparecerán,</w:t>
      </w:r>
    </w:p>
    <w:p w14:paraId="44868928" w14:textId="77777777" w:rsidR="00597DE2" w:rsidRPr="00DC1A5F" w:rsidRDefault="00597DE2" w:rsidP="00597DE2">
      <w:pPr>
        <w:pStyle w:val="VersoIngls01Sangria"/>
        <w:spacing w:after="100"/>
        <w:ind w:left="1418"/>
        <w:rPr>
          <w:sz w:val="16"/>
          <w:szCs w:val="20"/>
        </w:rPr>
      </w:pPr>
      <w:r w:rsidRPr="00DC1A5F">
        <w:rPr>
          <w:sz w:val="16"/>
          <w:szCs w:val="20"/>
        </w:rPr>
        <w:t>Como las gotas de rocío cuando sale el sol por la mañana.</w:t>
      </w:r>
    </w:p>
    <w:p w14:paraId="784896C6" w14:textId="77777777" w:rsidR="00597DE2" w:rsidRPr="00DC1A5F" w:rsidRDefault="00597DE2" w:rsidP="00597DE2">
      <w:r w:rsidRPr="00DC1A5F">
        <w:t xml:space="preserve">22. </w:t>
      </w:r>
      <w:r w:rsidRPr="00DC1A5F">
        <w:tab/>
      </w:r>
      <w:r w:rsidRPr="00DC1A5F">
        <w:rPr>
          <w:i/>
          <w:iCs/>
        </w:rPr>
        <w:t>Intención hacia la cesación</w:t>
      </w:r>
      <w:r w:rsidRPr="00DC1A5F">
        <w:t xml:space="preserve">: después de dar así a ambos una sola definición basada en su disolución, él se inclinará así en una intención hacia la cesación, es decir, de esa misma disolución. El significado es que le dará importancia, se inclinará, tenderá, se orientará hacia ello. </w:t>
      </w:r>
      <w:r w:rsidRPr="00DC1A5F">
        <w:rPr>
          <w:i/>
          <w:iCs/>
        </w:rPr>
        <w:t>Estos corresponderán a la sabiduría–revelativa sobre la marca de la desaparición</w:t>
      </w:r>
      <w:r w:rsidRPr="00DC1A5F">
        <w:t>: lo que se quiere decir es que a esto se le designará como la sabiduría–revelativa de la característica de la desaparición.</w:t>
      </w:r>
    </w:p>
    <w:p w14:paraId="13CD2291" w14:textId="77777777" w:rsidR="00597DE2" w:rsidRPr="00DC1A5F" w:rsidRDefault="00597DE2" w:rsidP="00597DE2">
      <w:r w:rsidRPr="00DC1A5F">
        <w:t xml:space="preserve">23. </w:t>
      </w:r>
      <w:r w:rsidRPr="00DC1A5F">
        <w:tab/>
      </w:r>
      <w:r w:rsidRPr="00DC1A5F">
        <w:rPr>
          <w:i/>
          <w:iCs/>
        </w:rPr>
        <w:t>Habiendo reflexionado sobre el objeto</w:t>
      </w:r>
      <w:r w:rsidRPr="00DC1A5F">
        <w:t xml:space="preserve">: habiendo conocido primero el objeto consistente de la materialidad, etc. </w:t>
      </w:r>
      <w:r w:rsidRPr="00DC1A5F">
        <w:rPr>
          <w:i/>
          <w:iCs/>
        </w:rPr>
        <w:t>él contemplará la disolución</w:t>
      </w:r>
      <w:r w:rsidRPr="00DC1A5F">
        <w:t>: habiendo observado la disolución de ese objeto, él contemplará la disolución de la consciencia que tenía como su objeto. [644]</w:t>
      </w:r>
    </w:p>
    <w:p w14:paraId="3FB3D93C" w14:textId="77777777" w:rsidR="00597DE2" w:rsidRPr="00DC1A5F" w:rsidRDefault="00597DE2" w:rsidP="00597DE2">
      <w:r w:rsidRPr="00DC1A5F">
        <w:t xml:space="preserve">24. </w:t>
      </w:r>
      <w:r w:rsidRPr="00DC1A5F">
        <w:tab/>
      </w:r>
      <w:r w:rsidRPr="00DC1A5F">
        <w:rPr>
          <w:i/>
          <w:iCs/>
        </w:rPr>
        <w:t>Su apariencia, entonces, como vacía</w:t>
      </w:r>
      <w:r w:rsidRPr="00DC1A5F">
        <w:t xml:space="preserve">: mientras contemple así la disolución, logrará hacer que las formaciones aparezcan como vacías de la siguiente manera, “las formaciones solamente se destruyen; su destrucción es </w:t>
      </w:r>
      <w:r w:rsidRPr="00DC1A5F">
        <w:rPr>
          <w:color w:val="833C0B" w:themeColor="accent2" w:themeShade="80"/>
          <w:u w:color="000000"/>
        </w:rPr>
        <w:t>sólo</w:t>
      </w:r>
      <w:r w:rsidRPr="00DC1A5F">
        <w:t xml:space="preserve"> muerte; no existe nada más en lo absoluto</w:t>
      </w:r>
      <w:r w:rsidRPr="00DC1A5F">
        <w:rPr>
          <w:vertAlign w:val="superscript"/>
        </w:rPr>
        <w:t>10</w:t>
      </w:r>
      <w:r w:rsidRPr="00DC1A5F">
        <w:t>.” De ahí que los Venerables dijeran al respecto:</w:t>
      </w:r>
    </w:p>
    <w:p w14:paraId="71A1B45A" w14:textId="77777777" w:rsidR="00597DE2" w:rsidRPr="00DC1A5F" w:rsidRDefault="00597DE2" w:rsidP="00597DE2">
      <w:pPr>
        <w:pStyle w:val="VersoIngls01Sangria"/>
        <w:rPr>
          <w:sz w:val="16"/>
          <w:szCs w:val="20"/>
        </w:rPr>
      </w:pPr>
      <w:r w:rsidRPr="00DC1A5F">
        <w:rPr>
          <w:sz w:val="16"/>
          <w:szCs w:val="20"/>
        </w:rPr>
        <w:t xml:space="preserve">“Los agregados cesarán y nada más existirá; </w:t>
      </w:r>
    </w:p>
    <w:p w14:paraId="6390CD90" w14:textId="77777777" w:rsidR="00597DE2" w:rsidRPr="00DC1A5F" w:rsidRDefault="00597DE2" w:rsidP="00597DE2">
      <w:pPr>
        <w:pStyle w:val="VersoIngls01Sangria"/>
        <w:rPr>
          <w:sz w:val="16"/>
          <w:szCs w:val="20"/>
        </w:rPr>
      </w:pPr>
      <w:r w:rsidRPr="00DC1A5F">
        <w:rPr>
          <w:sz w:val="16"/>
          <w:szCs w:val="20"/>
        </w:rPr>
        <w:t xml:space="preserve">La destrucción de los agregados se reconocerá como </w:t>
      </w:r>
      <w:r w:rsidRPr="00DC1A5F">
        <w:rPr>
          <w:color w:val="833C0B" w:themeColor="accent2" w:themeShade="80"/>
          <w:sz w:val="16"/>
          <w:szCs w:val="20"/>
          <w:u w:color="000000"/>
        </w:rPr>
        <w:t>sólo</w:t>
      </w:r>
      <w:r w:rsidRPr="00DC1A5F">
        <w:rPr>
          <w:sz w:val="16"/>
          <w:szCs w:val="20"/>
        </w:rPr>
        <w:t xml:space="preserve"> muerte.</w:t>
      </w:r>
    </w:p>
    <w:p w14:paraId="452B0AAB" w14:textId="77777777" w:rsidR="00597DE2" w:rsidRPr="00DC1A5F" w:rsidRDefault="00597DE2" w:rsidP="00597DE2">
      <w:pPr>
        <w:pStyle w:val="VersoIngls01Sangria"/>
        <w:rPr>
          <w:sz w:val="16"/>
          <w:szCs w:val="20"/>
        </w:rPr>
      </w:pPr>
      <w:r w:rsidRPr="00DC1A5F">
        <w:rPr>
          <w:sz w:val="16"/>
          <w:szCs w:val="20"/>
        </w:rPr>
        <w:t>Él observará su destrucción con firmeza,</w:t>
      </w:r>
    </w:p>
    <w:p w14:paraId="1F45178B" w14:textId="77777777" w:rsidR="00597DE2" w:rsidRPr="00DC1A5F" w:rsidRDefault="00597DE2" w:rsidP="00597DE2">
      <w:pPr>
        <w:pStyle w:val="VersoIngls01Sangria"/>
        <w:spacing w:after="100"/>
        <w:ind w:left="1418"/>
        <w:rPr>
          <w:sz w:val="16"/>
          <w:szCs w:val="20"/>
        </w:rPr>
      </w:pPr>
      <w:r w:rsidRPr="00DC1A5F">
        <w:rPr>
          <w:sz w:val="16"/>
          <w:szCs w:val="20"/>
        </w:rPr>
        <w:t xml:space="preserve">Como quien perforase una gema con un diamante </w:t>
      </w:r>
      <w:r w:rsidRPr="00DC1A5F">
        <w:rPr>
          <w:sz w:val="16"/>
          <w:szCs w:val="20"/>
          <w:vertAlign w:val="superscript"/>
        </w:rPr>
        <w:t>11</w:t>
      </w:r>
      <w:r w:rsidRPr="00DC1A5F">
        <w:rPr>
          <w:sz w:val="16"/>
          <w:szCs w:val="20"/>
        </w:rPr>
        <w:t>.”</w:t>
      </w:r>
    </w:p>
    <w:p w14:paraId="38A4E5AC" w14:textId="77777777" w:rsidR="00597DE2" w:rsidRPr="00DC1A5F" w:rsidRDefault="00597DE2" w:rsidP="00597DE2">
      <w:r w:rsidRPr="00DC1A5F">
        <w:t xml:space="preserve">25. </w:t>
      </w:r>
      <w:r w:rsidRPr="00DC1A5F">
        <w:tab/>
      </w:r>
      <w:r w:rsidRPr="00DC1A5F">
        <w:rPr>
          <w:i/>
          <w:iCs/>
        </w:rPr>
        <w:t>Esto corresponderá a la sabiduría–revelativa de un estado de entendimiento superior</w:t>
      </w:r>
      <w:r w:rsidRPr="00DC1A5F">
        <w:t>: lo que se quiere decir es que a la reflexión sobre el objeto, a la contemplación de la disolución y a la apariencia como vacía se le denominarán sabiduría–revelativa de un entendimiento superior.</w:t>
      </w:r>
    </w:p>
    <w:p w14:paraId="290BB77A" w14:textId="77777777" w:rsidR="00597DE2" w:rsidRPr="00DC1A5F" w:rsidRDefault="00597DE2" w:rsidP="00597DE2">
      <w:r w:rsidRPr="00DC1A5F">
        <w:t xml:space="preserve">26. </w:t>
      </w:r>
      <w:r w:rsidRPr="00DC1A5F">
        <w:tab/>
      </w:r>
      <w:r w:rsidRPr="00DC1A5F">
        <w:rPr>
          <w:i/>
          <w:iCs/>
        </w:rPr>
        <w:t>Al ser lúcido en las tres contemplaciones</w:t>
      </w:r>
      <w:r w:rsidRPr="00DC1A5F">
        <w:t xml:space="preserve">: se refiere a un </w:t>
      </w:r>
      <w:proofErr w:type="spellStart"/>
      <w:r w:rsidRPr="00DC1A5F">
        <w:rPr>
          <w:i/>
        </w:rPr>
        <w:t>bhikkhu</w:t>
      </w:r>
      <w:proofErr w:type="spellEnd"/>
      <w:r w:rsidRPr="00DC1A5F">
        <w:t xml:space="preserve"> que sea competente en las 3 contemplaciones, comenzando con la contemplación de la </w:t>
      </w:r>
      <w:r w:rsidRPr="00DC1A5F">
        <w:rPr>
          <w:i/>
          <w:iCs/>
        </w:rPr>
        <w:t>impermanencia</w:t>
      </w:r>
      <w:r w:rsidRPr="00DC1A5F">
        <w:t xml:space="preserve">. </w:t>
      </w:r>
      <w:r w:rsidRPr="00DC1A5F">
        <w:rPr>
          <w:i/>
          <w:iCs/>
        </w:rPr>
        <w:t>Y también en la visión cuádruple:</w:t>
      </w:r>
      <w:r w:rsidRPr="00DC1A5F">
        <w:t xml:space="preserve"> se refiere a los 4 tipos de visión comenzando con el desapasionamiento. </w:t>
      </w:r>
      <w:r w:rsidRPr="00DC1A5F">
        <w:rPr>
          <w:i/>
          <w:iCs/>
        </w:rPr>
        <w:t>Lúcido en las tres apariencias</w:t>
      </w:r>
      <w:r w:rsidRPr="00DC1A5F">
        <w:t>: y debido a la habilidad en esta triple apariencia, es decir, como sujeto a la destrucción y desaparición, como terror y vacío.</w:t>
      </w:r>
      <w:r w:rsidRPr="00DC1A5F">
        <w:rPr>
          <w:vertAlign w:val="superscript"/>
        </w:rPr>
        <w:t>12</w:t>
      </w:r>
      <w:r w:rsidRPr="00DC1A5F">
        <w:t xml:space="preserve"> </w:t>
      </w:r>
      <w:r w:rsidRPr="00DC1A5F">
        <w:rPr>
          <w:i/>
          <w:iCs/>
        </w:rPr>
        <w:t>Las diversas visiones incorrectas no lo estremecerán</w:t>
      </w:r>
      <w:r w:rsidRPr="00DC1A5F">
        <w:t>: no vacilará debido a los diversos tipos de visiones incorrectas, como la visión eternalista.</w:t>
      </w:r>
    </w:p>
    <w:p w14:paraId="418A7B7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8AE79C3" w14:textId="77777777" w:rsidR="00597DE2" w:rsidRPr="00DC1A5F" w:rsidRDefault="00597DE2" w:rsidP="00597DE2">
      <w:pPr>
        <w:pStyle w:val="PiedepginaLegal"/>
        <w:numPr>
          <w:ilvl w:val="0"/>
          <w:numId w:val="10"/>
        </w:numPr>
        <w:tabs>
          <w:tab w:val="clear" w:pos="425"/>
          <w:tab w:val="left" w:pos="284"/>
        </w:tabs>
        <w:ind w:left="284" w:hanging="284"/>
      </w:pPr>
      <w:r w:rsidRPr="00DC1A5F">
        <w:t>“Aquí, en este mundo, no existe ningún alma que sea algo distinto e independiente de los agregados” (</w:t>
      </w:r>
      <w:proofErr w:type="spellStart"/>
      <w:r w:rsidRPr="00DC1A5F">
        <w:t>Vism</w:t>
      </w:r>
      <w:proofErr w:type="spellEnd"/>
      <w:r w:rsidRPr="00DC1A5F">
        <w:t>–</w:t>
      </w:r>
      <w:proofErr w:type="spellStart"/>
      <w:r w:rsidRPr="00DC1A5F">
        <w:t>mhṭ</w:t>
      </w:r>
      <w:proofErr w:type="spellEnd"/>
      <w:r w:rsidRPr="00DC1A5F">
        <w:t xml:space="preserve"> 830). Cf. también: “Cuando cualquier asceta o </w:t>
      </w:r>
      <w:proofErr w:type="spellStart"/>
      <w:r w:rsidRPr="00DC1A5F">
        <w:rPr>
          <w:i/>
          <w:iCs/>
        </w:rPr>
        <w:t>brahman</w:t>
      </w:r>
      <w:proofErr w:type="spellEnd"/>
      <w:r w:rsidRPr="00DC1A5F">
        <w:t xml:space="preserve"> se vea a sí mismo en sus diversas formas, todos ellos observarán solamente los cinco agregados, o uno de ellos” (S IV 46).</w:t>
      </w:r>
    </w:p>
    <w:p w14:paraId="58821444" w14:textId="77777777" w:rsidR="00597DE2" w:rsidRPr="00DC1A5F" w:rsidRDefault="00597DE2" w:rsidP="00597DE2">
      <w:pPr>
        <w:pStyle w:val="PiedepginaLegal"/>
        <w:numPr>
          <w:ilvl w:val="0"/>
          <w:numId w:val="10"/>
        </w:numPr>
        <w:tabs>
          <w:tab w:val="clear" w:pos="425"/>
          <w:tab w:val="left" w:pos="284"/>
        </w:tabs>
        <w:ind w:left="284" w:hanging="284"/>
      </w:pPr>
      <w:r w:rsidRPr="00DC1A5F">
        <w:t>“Así como un hombre hábil que perforase una gema con una herramienta observaría y tendría en cuenta solo el agujero que esté perforando, no el color de la gema, etc., así también, el meditador sabiamente tendrá en cuenta solamente la disolución incesante de las formaciones, no las formaciones” (</w:t>
      </w:r>
      <w:proofErr w:type="spellStart"/>
      <w:r w:rsidRPr="00DC1A5F">
        <w:t>Vism</w:t>
      </w:r>
      <w:proofErr w:type="spellEnd"/>
      <w:r w:rsidRPr="00DC1A5F">
        <w:t>–</w:t>
      </w:r>
      <w:proofErr w:type="spellStart"/>
      <w:r w:rsidRPr="00DC1A5F">
        <w:t>mhṭ</w:t>
      </w:r>
      <w:proofErr w:type="spellEnd"/>
      <w:r w:rsidRPr="00DC1A5F">
        <w:t xml:space="preserve"> 830).</w:t>
      </w:r>
    </w:p>
    <w:p w14:paraId="11505A3C" w14:textId="77777777" w:rsidR="00597DE2" w:rsidRPr="00DC1A5F" w:rsidRDefault="00597DE2" w:rsidP="00597DE2">
      <w:pPr>
        <w:pStyle w:val="PiedepginaLegal"/>
        <w:numPr>
          <w:ilvl w:val="0"/>
          <w:numId w:val="10"/>
        </w:numPr>
        <w:tabs>
          <w:tab w:val="clear" w:pos="425"/>
          <w:tab w:val="left" w:pos="284"/>
        </w:tabs>
        <w:ind w:left="284" w:hanging="284"/>
      </w:pPr>
      <w:r w:rsidRPr="00DC1A5F">
        <w:t>El texto de Harvard dice “</w:t>
      </w:r>
      <w:proofErr w:type="spellStart"/>
      <w:r w:rsidRPr="00DC1A5F">
        <w:rPr>
          <w:i/>
          <w:iCs/>
        </w:rPr>
        <w:t>khayato</w:t>
      </w:r>
      <w:proofErr w:type="spellEnd"/>
      <w:r w:rsidRPr="00DC1A5F">
        <w:rPr>
          <w:i/>
          <w:iCs/>
        </w:rPr>
        <w:t xml:space="preserve"> </w:t>
      </w:r>
      <w:proofErr w:type="spellStart"/>
      <w:r w:rsidRPr="00DC1A5F">
        <w:rPr>
          <w:i/>
          <w:iCs/>
        </w:rPr>
        <w:t>vayato</w:t>
      </w:r>
      <w:proofErr w:type="spellEnd"/>
      <w:r w:rsidRPr="00DC1A5F">
        <w:rPr>
          <w:i/>
          <w:iCs/>
        </w:rPr>
        <w:t xml:space="preserve"> </w:t>
      </w:r>
      <w:proofErr w:type="spellStart"/>
      <w:r w:rsidRPr="00DC1A5F">
        <w:rPr>
          <w:i/>
          <w:iCs/>
        </w:rPr>
        <w:t>suññato</w:t>
      </w:r>
      <w:proofErr w:type="spellEnd"/>
      <w:r w:rsidRPr="00DC1A5F">
        <w:rPr>
          <w:i/>
          <w:iCs/>
        </w:rPr>
        <w:t xml:space="preserve"> ti</w:t>
      </w:r>
      <w:r w:rsidRPr="00DC1A5F">
        <w:t xml:space="preserve">—como destrucción, como desaparición, como vacío”. No obstante, el </w:t>
      </w:r>
      <w:proofErr w:type="spellStart"/>
      <w:r w:rsidRPr="00DC1A5F">
        <w:t>Vism</w:t>
      </w:r>
      <w:proofErr w:type="spellEnd"/>
      <w:r w:rsidRPr="00DC1A5F">
        <w:t>–</w:t>
      </w:r>
      <w:proofErr w:type="spellStart"/>
      <w:r w:rsidRPr="00DC1A5F">
        <w:t>mhṭ</w:t>
      </w:r>
      <w:proofErr w:type="spellEnd"/>
      <w:r w:rsidRPr="00DC1A5F">
        <w:t xml:space="preserve"> menciona lo siguiente: “‘</w:t>
      </w:r>
      <w:r w:rsidRPr="00DC1A5F">
        <w:rPr>
          <w:i/>
          <w:iCs/>
        </w:rPr>
        <w:t>Las tres apariencias</w:t>
      </w:r>
      <w:r w:rsidRPr="00DC1A5F">
        <w:t xml:space="preserve">’: en la apariencia triple como impermanente, etc. Ya que la apariencia como </w:t>
      </w:r>
      <w:r w:rsidRPr="00DC1A5F">
        <w:rPr>
          <w:i/>
          <w:iCs/>
        </w:rPr>
        <w:t>destrucción y desaparición</w:t>
      </w:r>
      <w:r w:rsidRPr="00DC1A5F">
        <w:t xml:space="preserve"> corresponderá a la apariencia como </w:t>
      </w:r>
      <w:r w:rsidRPr="00DC1A5F">
        <w:rPr>
          <w:i/>
          <w:iCs/>
        </w:rPr>
        <w:t>impermanente</w:t>
      </w:r>
      <w:r w:rsidRPr="00DC1A5F">
        <w:t xml:space="preserve">, la apariencia como </w:t>
      </w:r>
      <w:r w:rsidRPr="00DC1A5F">
        <w:rPr>
          <w:i/>
          <w:iCs/>
        </w:rPr>
        <w:t>terror</w:t>
      </w:r>
      <w:r w:rsidRPr="00DC1A5F">
        <w:t xml:space="preserve"> corresponderá a la apariencia como </w:t>
      </w:r>
      <w:r w:rsidRPr="00DC1A5F">
        <w:rPr>
          <w:i/>
          <w:iCs/>
        </w:rPr>
        <w:t>insatisfactorio</w:t>
      </w:r>
      <w:r w:rsidRPr="00DC1A5F">
        <w:t xml:space="preserve"> y la apariencia como </w:t>
      </w:r>
      <w:r w:rsidRPr="00DC1A5F">
        <w:rPr>
          <w:i/>
          <w:iCs/>
        </w:rPr>
        <w:t>vacío</w:t>
      </w:r>
      <w:r w:rsidRPr="00DC1A5F">
        <w:t xml:space="preserve">, a la apariencia como </w:t>
      </w:r>
      <w:r w:rsidRPr="00DC1A5F">
        <w:rPr>
          <w:i/>
          <w:iCs/>
        </w:rPr>
        <w:t>no–alma</w:t>
      </w:r>
      <w:r w:rsidRPr="00DC1A5F">
        <w:t xml:space="preserve"> (</w:t>
      </w:r>
      <w:proofErr w:type="spellStart"/>
      <w:r w:rsidRPr="00DC1A5F">
        <w:t>Vism</w:t>
      </w:r>
      <w:proofErr w:type="spellEnd"/>
      <w:r w:rsidRPr="00DC1A5F">
        <w:t>–</w:t>
      </w:r>
      <w:proofErr w:type="spellStart"/>
      <w:r w:rsidRPr="00DC1A5F">
        <w:t>mhṭ</w:t>
      </w:r>
      <w:proofErr w:type="spellEnd"/>
      <w:r w:rsidRPr="00DC1A5F">
        <w:t xml:space="preserve"> 830).</w:t>
      </w:r>
    </w:p>
    <w:p w14:paraId="52A267FE" w14:textId="77777777" w:rsidR="00597DE2" w:rsidRPr="00DC1A5F" w:rsidRDefault="00597DE2" w:rsidP="00597DE2">
      <w:pPr>
        <w:tabs>
          <w:tab w:val="clear" w:pos="425"/>
        </w:tabs>
        <w:spacing w:after="160"/>
      </w:pPr>
      <w:r w:rsidRPr="00DC1A5F">
        <w:br w:type="page"/>
      </w:r>
    </w:p>
    <w:p w14:paraId="3B7C5DF4" w14:textId="77777777" w:rsidR="00597DE2" w:rsidRPr="00DC1A5F" w:rsidRDefault="00597DE2" w:rsidP="00597DE2">
      <w:pPr>
        <w:pStyle w:val="Textoindependiente"/>
      </w:pPr>
      <w:r w:rsidRPr="00DC1A5F">
        <w:lastRenderedPageBreak/>
        <w:t xml:space="preserve">27. </w:t>
      </w:r>
      <w:r w:rsidRPr="00DC1A5F">
        <w:tab/>
        <w:t xml:space="preserve">Cuando ya no vacile y así, constantemente, tenga presente que lo incesante también cesará, lo no disuelto también se disolverá, entonces desestimará el surgimiento, la presencia, la ocurrencia de la experiencia y el signo de todas las formaciones, las cuales se seguirán destruyéndose, como una frágil cerámica siendo aplastada, como un polvo fino siendo dispersado, como las semillas de sésamo siendo tostadas y entonces él sólo observará su colapso. Así como un hombre con ojos, parado a orillas de un lago o a orillas de un río durante una fuerte lluvia, vería aparecer grandes burbujas en la superficie del agua y romperse tan pronto como aparecieran, así también, él observará cómo se destruyen las formaciones, surgiendo todo el tiempo. El </w:t>
      </w:r>
      <w:r w:rsidRPr="00DC1A5F">
        <w:rPr>
          <w:i/>
          <w:iCs/>
        </w:rPr>
        <w:t>Bhagavā</w:t>
      </w:r>
      <w:r w:rsidRPr="00DC1A5F">
        <w:t xml:space="preserve"> dijo con respecto a tal meditador:</w:t>
      </w:r>
    </w:p>
    <w:p w14:paraId="2D2D3BF3" w14:textId="77777777" w:rsidR="00597DE2" w:rsidRPr="00DC1A5F" w:rsidRDefault="00597DE2" w:rsidP="00597DE2">
      <w:pPr>
        <w:pStyle w:val="VersoIngls01Sangria"/>
        <w:rPr>
          <w:sz w:val="16"/>
          <w:szCs w:val="20"/>
        </w:rPr>
      </w:pPr>
      <w:r w:rsidRPr="00DC1A5F">
        <w:rPr>
          <w:sz w:val="16"/>
          <w:szCs w:val="20"/>
        </w:rPr>
        <w:t>“Y el que observe el mundo</w:t>
      </w:r>
    </w:p>
    <w:p w14:paraId="3B6198BE" w14:textId="77777777" w:rsidR="00597DE2" w:rsidRPr="00DC1A5F" w:rsidRDefault="00597DE2" w:rsidP="00597DE2">
      <w:pPr>
        <w:pStyle w:val="VersoIngls01Sangria"/>
        <w:rPr>
          <w:sz w:val="16"/>
          <w:szCs w:val="20"/>
        </w:rPr>
      </w:pPr>
      <w:r w:rsidRPr="00DC1A5F">
        <w:rPr>
          <w:sz w:val="16"/>
          <w:szCs w:val="20"/>
        </w:rPr>
        <w:t>Como quien observase una burbuja,</w:t>
      </w:r>
    </w:p>
    <w:p w14:paraId="2A2D8518" w14:textId="77777777" w:rsidR="00597DE2" w:rsidRPr="00DC1A5F" w:rsidRDefault="00597DE2" w:rsidP="00597DE2">
      <w:pPr>
        <w:pStyle w:val="VersoIngls01Sangria"/>
        <w:rPr>
          <w:sz w:val="16"/>
          <w:szCs w:val="20"/>
        </w:rPr>
      </w:pPr>
      <w:r w:rsidRPr="00DC1A5F">
        <w:rPr>
          <w:sz w:val="16"/>
          <w:szCs w:val="20"/>
        </w:rPr>
        <w:t>Como quien contemplase un espejismo,</w:t>
      </w:r>
    </w:p>
    <w:p w14:paraId="2F57BBEB" w14:textId="77777777" w:rsidR="00597DE2" w:rsidRPr="00DC1A5F" w:rsidRDefault="00597DE2" w:rsidP="00597DE2">
      <w:pPr>
        <w:pStyle w:val="VersoIngls01Sangria"/>
        <w:spacing w:after="100"/>
        <w:ind w:left="1418"/>
        <w:rPr>
          <w:sz w:val="16"/>
          <w:szCs w:val="20"/>
        </w:rPr>
      </w:pPr>
      <w:r w:rsidRPr="00DC1A5F">
        <w:rPr>
          <w:sz w:val="16"/>
          <w:szCs w:val="20"/>
        </w:rPr>
        <w:t>Será invisible a la visión del Rey de la Muerte” (</w:t>
      </w:r>
      <w:proofErr w:type="spellStart"/>
      <w:r w:rsidRPr="00DC1A5F">
        <w:rPr>
          <w:sz w:val="16"/>
          <w:szCs w:val="20"/>
        </w:rPr>
        <w:t>Dhp</w:t>
      </w:r>
      <w:proofErr w:type="spellEnd"/>
      <w:r w:rsidRPr="00DC1A5F">
        <w:rPr>
          <w:sz w:val="16"/>
          <w:szCs w:val="20"/>
        </w:rPr>
        <w:t xml:space="preserve"> 170).</w:t>
      </w:r>
    </w:p>
    <w:p w14:paraId="53D0E3D0" w14:textId="77777777" w:rsidR="00597DE2" w:rsidRPr="00DC1A5F" w:rsidRDefault="00597DE2" w:rsidP="00597DE2">
      <w:pPr>
        <w:pStyle w:val="Textoindependiente"/>
      </w:pPr>
      <w:r w:rsidRPr="00DC1A5F">
        <w:t xml:space="preserve">28. </w:t>
      </w:r>
      <w:r w:rsidRPr="00DC1A5F">
        <w:tab/>
        <w:t>Cuando él observe así, constantemente, que todas las formaciones se destruyen todo el tiempo, entonces la contemplación de la disolución se fortalecerá en él, trayendo consigo 8 ventajas, las cuales serán éstas: (1) abandono de la visión incorrecta sobre el devenir, (2) abandono del apego hacia la vida, (3) aplicación constante, (4) un sustento puro, (5) no más ansiedad, (6) ausencia de miedo, (7) adquisición de paciencia y gentileza, y (8) conquista sobre la aversión (aburrimiento) y placer sensual. [645] Por eso decían los Venerables:</w:t>
      </w:r>
    </w:p>
    <w:p w14:paraId="0FC07A4F" w14:textId="77777777" w:rsidR="00597DE2" w:rsidRPr="00DC1A5F" w:rsidRDefault="00597DE2" w:rsidP="00597DE2">
      <w:pPr>
        <w:pStyle w:val="VersoIngls01Sangria"/>
        <w:rPr>
          <w:sz w:val="16"/>
          <w:szCs w:val="20"/>
        </w:rPr>
      </w:pPr>
      <w:r w:rsidRPr="00DC1A5F">
        <w:rPr>
          <w:sz w:val="16"/>
          <w:szCs w:val="20"/>
        </w:rPr>
        <w:t>“Al observar estas ocho cualidades perfectas</w:t>
      </w:r>
    </w:p>
    <w:p w14:paraId="6620D0B5" w14:textId="77777777" w:rsidR="00597DE2" w:rsidRPr="00DC1A5F" w:rsidRDefault="00597DE2" w:rsidP="00597DE2">
      <w:pPr>
        <w:pStyle w:val="VersoIngls01Sangria"/>
        <w:rPr>
          <w:sz w:val="16"/>
          <w:szCs w:val="20"/>
        </w:rPr>
      </w:pPr>
      <w:r w:rsidRPr="00DC1A5F">
        <w:rPr>
          <w:sz w:val="16"/>
          <w:szCs w:val="20"/>
        </w:rPr>
        <w:t>Él comprenderá las formaciones constantemente,</w:t>
      </w:r>
    </w:p>
    <w:p w14:paraId="13F3AFCF" w14:textId="77777777" w:rsidR="00597DE2" w:rsidRPr="00DC1A5F" w:rsidRDefault="00597DE2" w:rsidP="00597DE2">
      <w:pPr>
        <w:pStyle w:val="VersoIngls01Sangria"/>
        <w:rPr>
          <w:sz w:val="16"/>
          <w:szCs w:val="20"/>
        </w:rPr>
      </w:pPr>
      <w:r w:rsidRPr="00DC1A5F">
        <w:rPr>
          <w:sz w:val="16"/>
          <w:szCs w:val="20"/>
        </w:rPr>
        <w:t>Observará la destrucción con el objeto de consumar</w:t>
      </w:r>
    </w:p>
    <w:p w14:paraId="06AC5BF0" w14:textId="77777777" w:rsidR="00597DE2" w:rsidRPr="00DC1A5F" w:rsidRDefault="00597DE2" w:rsidP="00597DE2">
      <w:pPr>
        <w:pStyle w:val="VersoIngls01Sangria"/>
        <w:spacing w:after="100"/>
        <w:ind w:left="1418"/>
        <w:rPr>
          <w:sz w:val="16"/>
          <w:szCs w:val="20"/>
        </w:rPr>
      </w:pPr>
      <w:r w:rsidRPr="00DC1A5F">
        <w:rPr>
          <w:sz w:val="16"/>
          <w:szCs w:val="20"/>
        </w:rPr>
        <w:t>Lo Inmortal, como el sabio del turbante ardiente.” (ver SV 440)</w:t>
      </w:r>
    </w:p>
    <w:p w14:paraId="1D4FC175" w14:textId="77777777" w:rsidR="00597DE2" w:rsidRPr="00DC1A5F" w:rsidRDefault="00597DE2" w:rsidP="00597DE2">
      <w:pPr>
        <w:pStyle w:val="NormalConSangria"/>
      </w:pPr>
      <w:r w:rsidRPr="00DC1A5F">
        <w:t>Con esto se ha culminado la sección del conocimiento sobre la contemplación de la disolución.</w:t>
      </w:r>
    </w:p>
    <w:p w14:paraId="17BD72FC" w14:textId="77777777" w:rsidR="00597DE2" w:rsidRPr="00DC1A5F" w:rsidRDefault="00597DE2" w:rsidP="00597DE2">
      <w:pPr>
        <w:pStyle w:val="Ttulo4"/>
        <w:ind w:left="708"/>
      </w:pPr>
      <w:r w:rsidRPr="00DC1A5F">
        <w:rPr>
          <w:i w:val="0"/>
          <w:iCs w:val="0"/>
        </w:rPr>
        <w:t>[</w:t>
      </w:r>
      <w:r w:rsidRPr="00DC1A5F">
        <w:t>3. Conocimiento de la Apariencia de Terror</w:t>
      </w:r>
      <w:r w:rsidRPr="00DC1A5F">
        <w:rPr>
          <w:i w:val="0"/>
          <w:iCs w:val="0"/>
        </w:rPr>
        <w:t>]</w:t>
      </w:r>
    </w:p>
    <w:p w14:paraId="59F0D9FA" w14:textId="77777777" w:rsidR="00597DE2" w:rsidRPr="00DC1A5F" w:rsidRDefault="00597DE2" w:rsidP="00597DE2">
      <w:r w:rsidRPr="00DC1A5F">
        <w:t xml:space="preserve">29. </w:t>
      </w:r>
      <w:r w:rsidRPr="00DC1A5F">
        <w:tab/>
        <w:t>Como él repetirá, desarrollará y cultivará así la contemplación de la disolución, cuyo objeto será la cesación consistente de la destrucción, desaparición y ruptura de todas las formaciones, entonces las formaciones clasificadas según todo tipo de devenir, generación, destino, estación, o plano existencial, se le aparecerán en forma de un gran terror, como leones, tigres, leopardos, osos, hienas, espíritus, ogros, toros feroces, perros salvajes, elefantes salvajes enloquecidos por el celo, horribles serpientes venenosas, rayos, osarios, campos de batalla, carboneras en llamas, etc., él se parecerá a un hombre tímido que desee vivir en paz. Cuando observe cómo las formaciones pasadas hayan cesado, cómo las presentes estén cesando y cómo las que se generarán en el futuro también cesarán de la misma manera, entonces en esa etapa, surgirá en él lo que se conoce como el conocimiento de la apariencia de terror.</w:t>
      </w:r>
    </w:p>
    <w:p w14:paraId="07E74103" w14:textId="77777777" w:rsidR="00597DE2" w:rsidRPr="00DC1A5F" w:rsidRDefault="00597DE2" w:rsidP="00597DE2">
      <w:r w:rsidRPr="00DC1A5F">
        <w:t xml:space="preserve">30. </w:t>
      </w:r>
      <w:r w:rsidRPr="00DC1A5F">
        <w:tab/>
      </w:r>
      <w:r w:rsidRPr="00DC1A5F">
        <w:rPr>
          <w:i/>
          <w:iCs/>
        </w:rPr>
        <w:t>Aquí un símil</w:t>
      </w:r>
      <w:r w:rsidRPr="00DC1A5F">
        <w:t xml:space="preserve">: tres hijos de una mujer habían ofendido a un rey, al parecer. El rey ordenó que les cortaran la cabeza. Ella fue con sus hijos al lugar de ejecución. Cuando le cortaron la cabeza al mayor, se dispusieron a cortarle la cabeza al del medio. Al ver que la cabeza del mayor ya estaba cortada y la del medio siendo cortada, ella perdió la esperanza por el más joven, pensando: “A él también le irá como a ellos”. Ahora bien, el hecho de que el meditador observe la cesación de las formaciones pasadas será como la mujer que vea cómo le cortan la cabeza al hijo </w:t>
      </w:r>
    </w:p>
    <w:p w14:paraId="4DB5C6DD" w14:textId="77777777" w:rsidR="00597DE2" w:rsidRPr="00DC1A5F" w:rsidRDefault="00597DE2" w:rsidP="00597DE2">
      <w:pPr>
        <w:tabs>
          <w:tab w:val="clear" w:pos="425"/>
        </w:tabs>
        <w:spacing w:after="160"/>
      </w:pPr>
      <w:r w:rsidRPr="00DC1A5F">
        <w:br w:type="page"/>
      </w:r>
    </w:p>
    <w:p w14:paraId="519ADDA8" w14:textId="77777777" w:rsidR="00597DE2" w:rsidRPr="00DC1A5F" w:rsidRDefault="00597DE2" w:rsidP="00597DE2">
      <w:pPr>
        <w:pStyle w:val="Textoindependiente"/>
      </w:pPr>
      <w:r w:rsidRPr="00DC1A5F">
        <w:lastRenderedPageBreak/>
        <w:t>mayor. El que él observe la cesación de las formaciones presentes será como ella al ver que le cortan la cabeza al del medio. El que él observe la cesación de aquellas en el futuro, pensando: “Las formaciones que se generarán en el futuro también cesarán”, será como ella perdiendo la esperanza por el hijo menor, pensando: “A él también le irá como a ellos”. Cuando él observe en esa etapa así, el conocimiento de la apariencia de terror surgirá en él.</w:t>
      </w:r>
    </w:p>
    <w:p w14:paraId="3D3659E9" w14:textId="77777777" w:rsidR="00597DE2" w:rsidRPr="00DC1A5F" w:rsidRDefault="00597DE2" w:rsidP="00597DE2">
      <w:r w:rsidRPr="00DC1A5F">
        <w:t xml:space="preserve">31. </w:t>
      </w:r>
      <w:r w:rsidRPr="00DC1A5F">
        <w:tab/>
        <w:t>Otro símil: una mujer con el útero infectado había, al parecer, dado a luz a diez hijos. [646] De éstos, nueve ya habían muerto y uno se encontraba muriendo en sus manos. Había otro en su vientre. Al ver que nueve se encontraban muertos y el décimo se estaba muriendo, perdió la esperanza en el que encontraba en su vientre, pensando: “También le irá como al resto”. Aquí, el hecho de que el meditador observe la cesación de las formaciones pasadas, será como la mujer que recuerde la muerte de sus nueve hijos. Que el meditador observe la cesación de los presentes será como si ella viera el estado moribundo del que tuvo en sus manos. Observar la cesación de aquellas formaciones en el futuro será como ella perdiendo la esperanza sobre el que se encontraba en su vientre. Cuando él observe esa etapa así, el conocimiento de la apariencia de terror surgirá en él.</w:t>
      </w:r>
    </w:p>
    <w:p w14:paraId="69241E5A" w14:textId="77777777" w:rsidR="00597DE2" w:rsidRPr="00DC1A5F" w:rsidRDefault="00597DE2" w:rsidP="00597DE2">
      <w:r w:rsidRPr="00DC1A5F">
        <w:t xml:space="preserve">32. </w:t>
      </w:r>
      <w:r w:rsidRPr="00DC1A5F">
        <w:tab/>
        <w:t>No obstante, el conocimiento de la apariencia de terror [en sí mismo] ¿temerá o no temerá? No temerá. Porque será simplemente un juicio llano de que las formaciones pasadas habrían cesado, de que las presentes están cesando y de que las futuras cesarán. Así como un hombre con ojos que observase tres pozos de carbón en la puerta de una ciudad no tendría miedo, ya que sólo se formaría un simple juicio de que todos los que cayesen en ellos sufrirían no poco dolor; o así como un hombre con ojos mirase tres puntas colocadas en fila, una punta de acacia, una punta de hierro y una punta de oro, él mismo no tendría miedo, ya que sólo se formaría un simple juicio de que todos los que caigan sobre estas puntas sufrirían de no poco dolor; así también, el conocimiento de la apariencia de terror no se temerá en sí mismo; sólo se formará un juicio simple de que en los tres tipos de devenir se asemejan a las tres pozos de carbón y a las tres espigas; de que las formaciones pasadas han cesado, las presentes están cesando y las futuras cesarán.</w:t>
      </w:r>
    </w:p>
    <w:p w14:paraId="29AD5350" w14:textId="77777777" w:rsidR="00597DE2" w:rsidRPr="00DC1A5F" w:rsidRDefault="00597DE2" w:rsidP="00597DE2">
      <w:r w:rsidRPr="00DC1A5F">
        <w:t xml:space="preserve">33. </w:t>
      </w:r>
      <w:r w:rsidRPr="00DC1A5F">
        <w:tab/>
        <w:t xml:space="preserve">No obstante, se le llama “apariencia de terror” sólo porque las formaciones en todo tipo de devenir, generación, destino, posición o </w:t>
      </w:r>
      <w:proofErr w:type="gramStart"/>
      <w:r w:rsidRPr="00DC1A5F">
        <w:t>planos,</w:t>
      </w:r>
      <w:proofErr w:type="gramEnd"/>
      <w:r w:rsidRPr="00DC1A5F">
        <w:t xml:space="preserve"> serán temerosas por estar destinadas a la destrucción y, por lo tanto, aparecerán solo como terror.</w:t>
      </w:r>
    </w:p>
    <w:p w14:paraId="7961FE20" w14:textId="77777777" w:rsidR="00597DE2" w:rsidRPr="00DC1A5F" w:rsidRDefault="00597DE2" w:rsidP="00597DE2">
      <w:pPr>
        <w:pStyle w:val="NormalConSangria"/>
      </w:pPr>
      <w:r w:rsidRPr="00DC1A5F">
        <w:t xml:space="preserve">Aquí está el texto sobre su apariencia como terror para él: “Cuando él lleve a la mente </w:t>
      </w:r>
      <w:r w:rsidRPr="00DC1A5F">
        <w:rPr>
          <w:color w:val="833C0B" w:themeColor="accent2" w:themeShade="80"/>
          <w:u w:color="000000"/>
        </w:rPr>
        <w:t>su observación</w:t>
      </w:r>
      <w:r w:rsidRPr="00DC1A5F">
        <w:t xml:space="preserve"> como impermanente, ¿qué le parecerá como terror? Cuando lleve a la mente </w:t>
      </w:r>
      <w:r w:rsidRPr="00DC1A5F">
        <w:rPr>
          <w:color w:val="833C0B" w:themeColor="accent2" w:themeShade="80"/>
          <w:u w:color="000000"/>
        </w:rPr>
        <w:t>su observación</w:t>
      </w:r>
      <w:r w:rsidRPr="00DC1A5F">
        <w:t xml:space="preserve"> como insatisfactoriedad, ¿qué le parecerá como terror? Cuando lleve a la mente </w:t>
      </w:r>
      <w:r w:rsidRPr="00DC1A5F">
        <w:rPr>
          <w:color w:val="833C0B" w:themeColor="accent2" w:themeShade="80"/>
          <w:u w:color="000000"/>
        </w:rPr>
        <w:t>su observación</w:t>
      </w:r>
      <w:r w:rsidRPr="00DC1A5F">
        <w:t xml:space="preserve"> como no–alma, ¿qué le parecerá como terror? Cuando lleve a la mente </w:t>
      </w:r>
      <w:r w:rsidRPr="00DC1A5F">
        <w:rPr>
          <w:color w:val="833C0B" w:themeColor="accent2" w:themeShade="80"/>
          <w:u w:color="000000"/>
        </w:rPr>
        <w:t>su observación</w:t>
      </w:r>
      <w:r w:rsidRPr="00DC1A5F">
        <w:t xml:space="preserve"> como impermanente, el signo se le aparecerá como terror. Cuando lleve a la mente </w:t>
      </w:r>
      <w:r w:rsidRPr="00DC1A5F">
        <w:rPr>
          <w:color w:val="833C0B" w:themeColor="accent2" w:themeShade="80"/>
          <w:u w:color="000000"/>
        </w:rPr>
        <w:t>su observación</w:t>
      </w:r>
      <w:r w:rsidRPr="00DC1A5F">
        <w:t xml:space="preserve"> como insatisfactoriedad, la ocurrencia se le aparecerá como terror. Cuando lleve a la mente </w:t>
      </w:r>
      <w:r w:rsidRPr="00DC1A5F">
        <w:rPr>
          <w:color w:val="833C0B" w:themeColor="accent2" w:themeShade="80"/>
          <w:u w:color="000000"/>
        </w:rPr>
        <w:t>su observación</w:t>
      </w:r>
      <w:r w:rsidRPr="00DC1A5F">
        <w:t xml:space="preserve"> como no–alma, el signo y la ocurrencia le aparecerán como terror” (</w:t>
      </w:r>
      <w:proofErr w:type="spellStart"/>
      <w:r w:rsidRPr="00DC1A5F">
        <w:rPr>
          <w:i/>
          <w:iCs/>
        </w:rPr>
        <w:t>Paṭis</w:t>
      </w:r>
      <w:proofErr w:type="spellEnd"/>
      <w:r w:rsidRPr="00DC1A5F">
        <w:t xml:space="preserve"> II 63).</w:t>
      </w:r>
    </w:p>
    <w:p w14:paraId="3F5EF834" w14:textId="77777777" w:rsidR="00597DE2" w:rsidRPr="00DC1A5F" w:rsidRDefault="00597DE2" w:rsidP="00597DE2">
      <w:r w:rsidRPr="00DC1A5F">
        <w:t xml:space="preserve">34. </w:t>
      </w:r>
      <w:r w:rsidRPr="00DC1A5F">
        <w:tab/>
        <w:t xml:space="preserve">Aquí, el </w:t>
      </w:r>
      <w:r w:rsidRPr="00DC1A5F">
        <w:rPr>
          <w:i/>
          <w:iCs/>
        </w:rPr>
        <w:t>signo</w:t>
      </w:r>
      <w:r w:rsidRPr="00DC1A5F">
        <w:t xml:space="preserve"> corresponderá al signo de las formaciones. Éste corresponderá a un término para las formaciones pasadas, presentes y futuras en sí mismas. [647] Él sólo observará la muerte de las formaciones cuando las lleve a la mente como impermanentes y, así, el signo se le aparecerá como terror. La ocurrencia corresponderá a una ocurrencia en el devenir material e inmaterial. Él observará el acontecimiento —aunque ordinariamente considerado como placer— sólo como un estado de estar continuamente oprimido cuando lo lleve a la mente como insatisfactoriedad y, así, el acontecimiento se le aparecerá como terror.</w:t>
      </w:r>
    </w:p>
    <w:p w14:paraId="3964AFFE" w14:textId="77777777" w:rsidR="00597DE2" w:rsidRPr="00DC1A5F" w:rsidRDefault="00597DE2" w:rsidP="00597DE2">
      <w:pPr>
        <w:pStyle w:val="NormalConSangria"/>
      </w:pPr>
      <w:r w:rsidRPr="00DC1A5F">
        <w:lastRenderedPageBreak/>
        <w:t>Él observará tanto el signo como el acontecimiento como vacío, vano, desierto, sin poder ni guía, como una aldea vacía, como un espejismo, como una ciudad de duendes, etc., cuando lo lleve a la mente como no–alma, y así el signo y la ocurrencia le aparecerán como terror.</w:t>
      </w:r>
    </w:p>
    <w:p w14:paraId="66C07997" w14:textId="77777777" w:rsidR="00597DE2" w:rsidRPr="00DC1A5F" w:rsidRDefault="00597DE2" w:rsidP="00597DE2">
      <w:pPr>
        <w:pStyle w:val="NormalConSangria"/>
      </w:pPr>
      <w:r w:rsidRPr="00DC1A5F">
        <w:t>Con esto se ha terminado la sección del conocimiento de la apariencia de terror.</w:t>
      </w:r>
    </w:p>
    <w:p w14:paraId="0105794A" w14:textId="77777777" w:rsidR="00597DE2" w:rsidRPr="00DC1A5F" w:rsidRDefault="00597DE2" w:rsidP="00597DE2">
      <w:pPr>
        <w:pStyle w:val="Ttulo4"/>
        <w:ind w:left="708"/>
      </w:pPr>
      <w:r w:rsidRPr="00DC1A5F">
        <w:rPr>
          <w:i w:val="0"/>
          <w:iCs w:val="0"/>
        </w:rPr>
        <w:t>[</w:t>
      </w:r>
      <w:r w:rsidRPr="00DC1A5F">
        <w:t>4. Conocimiento del Peligro</w:t>
      </w:r>
      <w:r w:rsidRPr="00DC1A5F">
        <w:rPr>
          <w:i w:val="0"/>
          <w:iCs w:val="0"/>
        </w:rPr>
        <w:t>]</w:t>
      </w:r>
    </w:p>
    <w:p w14:paraId="4A0AC0C8" w14:textId="77777777" w:rsidR="00597DE2" w:rsidRPr="00DC1A5F" w:rsidRDefault="00597DE2" w:rsidP="00597DE2">
      <w:r w:rsidRPr="00DC1A5F">
        <w:t xml:space="preserve">35. </w:t>
      </w:r>
      <w:r w:rsidRPr="00DC1A5F">
        <w:tab/>
        <w:t>A medida que repita, desarrolle y cultive el conocimiento de la apariencia de terror, no encontrará asilo, ni refugio, ni lugar a donde acudir, ni refugio en ningún tipo de devenir, generación, destino, estación o plano existencial. En todos los tipos de devenir, generación, destino, estación y plano existencial, no habrá una sola formación en la que pueda depositar sus esperanzas o a la que pueda aferrarse. Los 3 tipos de devenir aparecerán ante sus ojos como si fueran fosos de carbón, llenos de brasas encendidas; los 4 elementos primarios serán como unas horribles serpientes venenosas (S IV 174); los 5 agregados como unos asesinos con las armas en alto (S IV 174); las 6 bases internas como una aldea vacía; las 6 bases externas como los asaltantes que saquearon estas aldeas vacías (S IV 174–75); las 7 estados de la consciencia y los 9 planos de la existencia serán como si ardieran, llamearan y brillaran con los 11 fuegos (ver S IV 19) y todas las formaciones aparecerán como una enorme masa de peligros desprovistos de satisfacción o sustancia, como un tumor, como una enfermedad, como un dardo, una calamidad, una aflicción (ver M I 436). ¿Cómo?</w:t>
      </w:r>
    </w:p>
    <w:p w14:paraId="19929BA4" w14:textId="77777777" w:rsidR="00597DE2" w:rsidRPr="00DC1A5F" w:rsidRDefault="00597DE2" w:rsidP="00597DE2">
      <w:r w:rsidRPr="00DC1A5F">
        <w:t xml:space="preserve">36. </w:t>
      </w:r>
      <w:r w:rsidRPr="00DC1A5F">
        <w:tab/>
        <w:t>Estos aparecerán como un matorral en un bosque de aspecto aparentemente agradable pero infestado de bestias, como si fuera una cueva llena de tigres, como si fuera una fuente de agua frecuentada por monstruos y ogros, como un enemigo con la espada en alto, como una comida envenenada, como un camino acosado por ladrones, como el carbón ardiente, como un campo de batalla entre dos ejércitos en pugna, donde apareciera un hombre tímido que quisiera huir y vivir en paz. Y así, tal como ese hombre sería asustado, horrorizado y se le erizaría el cabello cuando se encontrase con un matorral infestado de bestias, etc., y lo observase como nada más que peligro, así también, cuando todas las formaciones hayan aparecido como terror mediante la contemplación de la disolución, este meditador los observará como absolutamente desprovistos de cualquier núcleo o satisfacción y como si fueran nada más que peligros.</w:t>
      </w:r>
    </w:p>
    <w:p w14:paraId="28699F7F" w14:textId="77777777" w:rsidR="00597DE2" w:rsidRPr="00DC1A5F" w:rsidRDefault="00597DE2" w:rsidP="00597DE2">
      <w:r w:rsidRPr="00DC1A5F">
        <w:t xml:space="preserve">37. </w:t>
      </w:r>
      <w:r w:rsidRPr="00DC1A5F">
        <w:tab/>
        <w:t>“¿Cómo se dará que el entendimiento de la apariencia de terror corresponda al conocimiento del peligro? [648]</w:t>
      </w:r>
    </w:p>
    <w:p w14:paraId="77189876" w14:textId="77777777" w:rsidR="00597DE2" w:rsidRPr="00DC1A5F" w:rsidRDefault="00597DE2" w:rsidP="00597DE2">
      <w:pPr>
        <w:pStyle w:val="NormalConSangria"/>
        <w:rPr>
          <w:sz w:val="16"/>
          <w:szCs w:val="20"/>
        </w:rPr>
      </w:pPr>
      <w:r w:rsidRPr="00DC1A5F">
        <w:rPr>
          <w:sz w:val="16"/>
          <w:szCs w:val="20"/>
        </w:rPr>
        <w:t xml:space="preserve">“(1.a.) El entendimiento de la apariencia de terror así ‘el surgimiento es terror’, corresponderá al conocimiento del peligro. El entendiendo de la apariencia de terror así ‘La ocurrencia es terror’... ‘El signo es terror’... ‘La acumulación es terror’... ‘El vínculo–de–renacimiento es terror’... ‘El destino es terror’... ‘La generación es terror’... ‘El nacimiento es terror’... ‘La vejez es terror’... ‘La enfermedad es terror’... ‘La muerte es terror’... ‘La tristeza es terror’... el entendimiento de la apariencia de terror así ‘La lamentación es terror’, corresponderá al conocimiento de la apariencia de peligro. El entendimiento de la apariencia de terror así ‘La desesperación es terror’, corresponderá al conocimiento del peligro. </w:t>
      </w:r>
    </w:p>
    <w:p w14:paraId="059DD218" w14:textId="77777777" w:rsidR="00597DE2" w:rsidRPr="00DC1A5F" w:rsidRDefault="00597DE2" w:rsidP="00597DE2">
      <w:pPr>
        <w:pStyle w:val="NormalConSangria"/>
        <w:rPr>
          <w:sz w:val="16"/>
          <w:szCs w:val="20"/>
        </w:rPr>
      </w:pPr>
      <w:r w:rsidRPr="00DC1A5F">
        <w:rPr>
          <w:sz w:val="16"/>
          <w:szCs w:val="20"/>
        </w:rPr>
        <w:t>“(1.b.) El conocimiento de un estado de paz corresponderá a lo siguiente: ‘El no–surgimiento es seguridad’. El conocimiento de un estado de paz corresponderá a: ‘La no–ocurrencia es seguridad’... (</w:t>
      </w:r>
      <w:proofErr w:type="gramStart"/>
      <w:r w:rsidRPr="00DC1A5F">
        <w:rPr>
          <w:sz w:val="16"/>
          <w:szCs w:val="20"/>
        </w:rPr>
        <w:t>etc.)...</w:t>
      </w:r>
      <w:proofErr w:type="gramEnd"/>
      <w:r w:rsidRPr="00DC1A5F">
        <w:rPr>
          <w:sz w:val="16"/>
          <w:szCs w:val="20"/>
        </w:rPr>
        <w:t xml:space="preserve"> El conocimiento de un estado de paz corresponderá a: ‘La no–desesperación es seguridad’.</w:t>
      </w:r>
    </w:p>
    <w:p w14:paraId="12919380" w14:textId="77777777" w:rsidR="00597DE2" w:rsidRPr="00DC1A5F" w:rsidRDefault="00597DE2" w:rsidP="00597DE2">
      <w:pPr>
        <w:pStyle w:val="NormalConSangria"/>
        <w:spacing w:after="60"/>
        <w:rPr>
          <w:sz w:val="16"/>
          <w:szCs w:val="20"/>
        </w:rPr>
      </w:pPr>
      <w:r w:rsidRPr="00DC1A5F">
        <w:rPr>
          <w:sz w:val="16"/>
          <w:szCs w:val="20"/>
        </w:rPr>
        <w:t>“(1.c.) El conocimiento de un estado de paz corresponderá a: ‘El surgimiento es terror; el no–surgimiento es seguridad”. El conocimiento de un estado de paz será este: “La ocurrencia es terror; la no–ocurrencia es seguridad’… (</w:t>
      </w:r>
      <w:proofErr w:type="gramStart"/>
      <w:r w:rsidRPr="00DC1A5F">
        <w:rPr>
          <w:sz w:val="16"/>
          <w:szCs w:val="20"/>
        </w:rPr>
        <w:t>etc.)…</w:t>
      </w:r>
      <w:proofErr w:type="gramEnd"/>
      <w:r w:rsidRPr="00DC1A5F">
        <w:rPr>
          <w:sz w:val="16"/>
          <w:szCs w:val="20"/>
        </w:rPr>
        <w:t xml:space="preserve"> El conocimiento de un estado de paz corresponderá a: ‘La desesperación es terror; la no–desesperación es seguridad”.</w:t>
      </w:r>
    </w:p>
    <w:p w14:paraId="75D4527D" w14:textId="77777777" w:rsidR="00597DE2" w:rsidRPr="00DC1A5F" w:rsidRDefault="00597DE2" w:rsidP="00597DE2">
      <w:pPr>
        <w:pStyle w:val="NormalConSangria"/>
        <w:spacing w:after="60"/>
        <w:rPr>
          <w:sz w:val="16"/>
          <w:szCs w:val="20"/>
        </w:rPr>
      </w:pPr>
      <w:r w:rsidRPr="00DC1A5F">
        <w:rPr>
          <w:sz w:val="16"/>
          <w:szCs w:val="20"/>
        </w:rPr>
        <w:lastRenderedPageBreak/>
        <w:t>“(2.a.) El entendimiento de la apariencia de terror así ‘El surgimiento es sufrimiento’, corresponderá al conocimiento del peligro. El entendimiento de la apariencia de terror así ‘La ocurrencia es sufrimiento’... (</w:t>
      </w:r>
      <w:proofErr w:type="gramStart"/>
      <w:r w:rsidRPr="00DC1A5F">
        <w:rPr>
          <w:sz w:val="16"/>
          <w:szCs w:val="20"/>
        </w:rPr>
        <w:t>etc.)...</w:t>
      </w:r>
      <w:proofErr w:type="gramEnd"/>
      <w:r w:rsidRPr="00DC1A5F">
        <w:rPr>
          <w:sz w:val="16"/>
          <w:szCs w:val="20"/>
        </w:rPr>
        <w:t xml:space="preserve"> ‘La desesperación es sufrimiento’ corresponderá al conocimiento del peligro.</w:t>
      </w:r>
    </w:p>
    <w:p w14:paraId="6D6D8011" w14:textId="77777777" w:rsidR="00597DE2" w:rsidRPr="00DC1A5F" w:rsidRDefault="00597DE2" w:rsidP="00597DE2">
      <w:pPr>
        <w:pStyle w:val="NormalConSangria"/>
        <w:spacing w:after="60"/>
        <w:rPr>
          <w:sz w:val="16"/>
          <w:szCs w:val="20"/>
        </w:rPr>
      </w:pPr>
      <w:r w:rsidRPr="00DC1A5F">
        <w:rPr>
          <w:sz w:val="16"/>
          <w:szCs w:val="20"/>
        </w:rPr>
        <w:t>“(2.b.) El conocimiento de un estado de paz corresponderá a: ‘La no–ocurrencia es felicidad’… (</w:t>
      </w:r>
      <w:proofErr w:type="gramStart"/>
      <w:r w:rsidRPr="00DC1A5F">
        <w:rPr>
          <w:sz w:val="16"/>
          <w:szCs w:val="20"/>
        </w:rPr>
        <w:t>etc.)…</w:t>
      </w:r>
      <w:proofErr w:type="gramEnd"/>
      <w:r w:rsidRPr="00DC1A5F">
        <w:rPr>
          <w:sz w:val="16"/>
          <w:szCs w:val="20"/>
        </w:rPr>
        <w:t xml:space="preserve"> El conocimiento de un estado de paz corresponderá a: ‘La no–desesperación es felicidad’.</w:t>
      </w:r>
    </w:p>
    <w:p w14:paraId="1CD6F35B" w14:textId="77777777" w:rsidR="00597DE2" w:rsidRPr="00DC1A5F" w:rsidRDefault="00597DE2" w:rsidP="00597DE2">
      <w:pPr>
        <w:pStyle w:val="NormalConSangria"/>
        <w:spacing w:after="60"/>
        <w:rPr>
          <w:sz w:val="16"/>
          <w:szCs w:val="20"/>
        </w:rPr>
      </w:pPr>
      <w:r w:rsidRPr="00DC1A5F">
        <w:rPr>
          <w:sz w:val="16"/>
          <w:szCs w:val="20"/>
        </w:rPr>
        <w:t>“(2.c.) El conocimiento de un estado de paz corresponderá a: ‘El surgimiento es sufrimiento; el no–surgimiento es dicha”. El conocimiento de un estado de paz corresponderá a: “La ocurrencia es sufrimiento; la no–ocurrencia es dicha’… (</w:t>
      </w:r>
      <w:proofErr w:type="gramStart"/>
      <w:r w:rsidRPr="00DC1A5F">
        <w:rPr>
          <w:sz w:val="16"/>
          <w:szCs w:val="20"/>
        </w:rPr>
        <w:t>etc.)…</w:t>
      </w:r>
      <w:proofErr w:type="gramEnd"/>
      <w:r w:rsidRPr="00DC1A5F">
        <w:rPr>
          <w:sz w:val="16"/>
          <w:szCs w:val="20"/>
        </w:rPr>
        <w:t xml:space="preserve"> El conocimiento de un estado de paz corresponderá a: ‘La desesperación es sufrimiento; la no–desesperación es felicidad.</w:t>
      </w:r>
    </w:p>
    <w:p w14:paraId="7D42A22D" w14:textId="77777777" w:rsidR="00597DE2" w:rsidRPr="00DC1A5F" w:rsidRDefault="00597DE2" w:rsidP="00597DE2">
      <w:pPr>
        <w:pStyle w:val="NormalConSangria"/>
        <w:spacing w:after="60"/>
        <w:rPr>
          <w:sz w:val="16"/>
          <w:szCs w:val="20"/>
        </w:rPr>
      </w:pPr>
      <w:r w:rsidRPr="00DC1A5F">
        <w:rPr>
          <w:sz w:val="16"/>
          <w:szCs w:val="20"/>
        </w:rPr>
        <w:t>“(3.a.) El entendimiento de la apariencia de terror así ‘El surgimiento es mundano’, corresponderá al conocimiento del peligro. El entendimiento de la apariencia así, ‘La ocurrencia es mundana’... (</w:t>
      </w:r>
      <w:proofErr w:type="gramStart"/>
      <w:r w:rsidRPr="00DC1A5F">
        <w:rPr>
          <w:sz w:val="16"/>
          <w:szCs w:val="20"/>
        </w:rPr>
        <w:t>etc.)...</w:t>
      </w:r>
      <w:proofErr w:type="gramEnd"/>
      <w:r w:rsidRPr="00DC1A5F">
        <w:rPr>
          <w:sz w:val="16"/>
          <w:szCs w:val="20"/>
        </w:rPr>
        <w:t xml:space="preserve"> ‘La desesperación es mundana’ corresponderá al conocimiento del peligro.</w:t>
      </w:r>
    </w:p>
    <w:p w14:paraId="00549A6D" w14:textId="77777777" w:rsidR="00597DE2" w:rsidRPr="00DC1A5F" w:rsidRDefault="00597DE2" w:rsidP="00597DE2">
      <w:pPr>
        <w:pStyle w:val="NormalConSangria"/>
        <w:spacing w:after="60"/>
        <w:rPr>
          <w:sz w:val="16"/>
          <w:szCs w:val="20"/>
        </w:rPr>
      </w:pPr>
      <w:r w:rsidRPr="00DC1A5F">
        <w:rPr>
          <w:sz w:val="16"/>
          <w:szCs w:val="20"/>
        </w:rPr>
        <w:t>“(3.b.) El entendimiento de un estado de paz así: ‘El no–surgimiento es no–mundano’. El entendimiento del estado de paz así: ‘La no–ocurrencia es no–mundana’... (</w:t>
      </w:r>
      <w:proofErr w:type="gramStart"/>
      <w:r w:rsidRPr="00DC1A5F">
        <w:rPr>
          <w:sz w:val="16"/>
          <w:szCs w:val="20"/>
        </w:rPr>
        <w:t>etc.)...</w:t>
      </w:r>
      <w:proofErr w:type="gramEnd"/>
      <w:r w:rsidRPr="00DC1A5F">
        <w:rPr>
          <w:sz w:val="16"/>
          <w:szCs w:val="20"/>
        </w:rPr>
        <w:t xml:space="preserve"> El conocimiento de un estado de paz corresponderá a: ‘La no–desesperación es no–mundana’.</w:t>
      </w:r>
    </w:p>
    <w:p w14:paraId="48B507A9" w14:textId="77777777" w:rsidR="00597DE2" w:rsidRPr="00DC1A5F" w:rsidRDefault="00597DE2" w:rsidP="00597DE2">
      <w:pPr>
        <w:pStyle w:val="NormalConSangria"/>
        <w:spacing w:after="60"/>
        <w:rPr>
          <w:sz w:val="16"/>
          <w:szCs w:val="20"/>
        </w:rPr>
      </w:pPr>
      <w:r w:rsidRPr="00DC1A5F">
        <w:rPr>
          <w:sz w:val="16"/>
          <w:szCs w:val="20"/>
        </w:rPr>
        <w:t>“(3.c.) El conocimiento de un estado de paz corresponderá a: ‘El surgimiento es mundano; el no–surgimiento no es mundano”. El conocimiento de un estado de paz corresponderá a: “La ocurrencia es mundana; la no–ocurrencia es mundana’… (</w:t>
      </w:r>
      <w:proofErr w:type="gramStart"/>
      <w:r w:rsidRPr="00DC1A5F">
        <w:rPr>
          <w:sz w:val="16"/>
          <w:szCs w:val="20"/>
        </w:rPr>
        <w:t>etc.)…</w:t>
      </w:r>
      <w:proofErr w:type="gramEnd"/>
      <w:r w:rsidRPr="00DC1A5F">
        <w:rPr>
          <w:sz w:val="16"/>
          <w:szCs w:val="20"/>
        </w:rPr>
        <w:t xml:space="preserve"> El conocimiento de un estado de paz corresponderá a: ‘La desesperación es mundana; la no–desesperación no es mundana”.</w:t>
      </w:r>
    </w:p>
    <w:p w14:paraId="63F3C3D9" w14:textId="77777777" w:rsidR="00597DE2" w:rsidRPr="00DC1A5F" w:rsidRDefault="00597DE2" w:rsidP="00597DE2">
      <w:pPr>
        <w:pStyle w:val="NormalConSangria"/>
        <w:spacing w:after="60"/>
        <w:rPr>
          <w:sz w:val="16"/>
          <w:szCs w:val="20"/>
        </w:rPr>
      </w:pPr>
      <w:r w:rsidRPr="00DC1A5F">
        <w:rPr>
          <w:sz w:val="16"/>
          <w:szCs w:val="20"/>
        </w:rPr>
        <w:t>“(4.a.) El entendimiento de la apariencia de terror así ‘El surgimiento es una formación’, corresponderá al conocimiento del peligro. El entendimiento de la apariencia de terror así ‘La ocurrencia es una formación’… (</w:t>
      </w:r>
      <w:proofErr w:type="gramStart"/>
      <w:r w:rsidRPr="00DC1A5F">
        <w:rPr>
          <w:sz w:val="16"/>
          <w:szCs w:val="20"/>
        </w:rPr>
        <w:t>etc.)…</w:t>
      </w:r>
      <w:proofErr w:type="gramEnd"/>
      <w:r w:rsidRPr="00DC1A5F">
        <w:rPr>
          <w:sz w:val="16"/>
          <w:szCs w:val="20"/>
        </w:rPr>
        <w:t xml:space="preserve"> ‘La desesperación es una formación’ corresponderá a un conocimiento del peligro.</w:t>
      </w:r>
    </w:p>
    <w:p w14:paraId="19AD41D0" w14:textId="77777777" w:rsidR="00597DE2" w:rsidRPr="00DC1A5F" w:rsidRDefault="00597DE2" w:rsidP="00597DE2">
      <w:pPr>
        <w:pStyle w:val="NormalConSangria"/>
        <w:spacing w:after="60"/>
        <w:rPr>
          <w:sz w:val="16"/>
          <w:szCs w:val="20"/>
        </w:rPr>
      </w:pPr>
      <w:r w:rsidRPr="00DC1A5F">
        <w:rPr>
          <w:sz w:val="16"/>
          <w:szCs w:val="20"/>
        </w:rPr>
        <w:t xml:space="preserve">“(4.b.) El conocimiento de un estado de paz corresponderá a: ‘El no–surgimiento es el </w:t>
      </w:r>
      <w:r w:rsidRPr="00DC1A5F">
        <w:rPr>
          <w:i/>
          <w:iCs/>
          <w:sz w:val="16"/>
          <w:szCs w:val="20"/>
        </w:rPr>
        <w:t>Nibbāna’</w:t>
      </w:r>
      <w:r w:rsidRPr="00DC1A5F">
        <w:rPr>
          <w:sz w:val="16"/>
          <w:szCs w:val="20"/>
        </w:rPr>
        <w:t xml:space="preserve">. El conocimiento de un estado de paz corresponderá a: ‘La no–ocurrencia es el </w:t>
      </w:r>
      <w:r w:rsidRPr="00DC1A5F">
        <w:rPr>
          <w:i/>
          <w:iCs/>
          <w:sz w:val="16"/>
          <w:szCs w:val="20"/>
        </w:rPr>
        <w:t>Nibbāna’</w:t>
      </w:r>
      <w:r w:rsidRPr="00DC1A5F">
        <w:rPr>
          <w:sz w:val="16"/>
          <w:szCs w:val="20"/>
        </w:rPr>
        <w:t>… (</w:t>
      </w:r>
      <w:proofErr w:type="gramStart"/>
      <w:r w:rsidRPr="00DC1A5F">
        <w:rPr>
          <w:sz w:val="16"/>
          <w:szCs w:val="20"/>
        </w:rPr>
        <w:t>etc.)…</w:t>
      </w:r>
      <w:proofErr w:type="gramEnd"/>
      <w:r w:rsidRPr="00DC1A5F">
        <w:rPr>
          <w:sz w:val="16"/>
          <w:szCs w:val="20"/>
        </w:rPr>
        <w:t xml:space="preserve"> El conocimiento de un estado de paz corresponderá a: ‘La no–desesperación es el </w:t>
      </w:r>
      <w:r w:rsidRPr="00DC1A5F">
        <w:rPr>
          <w:i/>
          <w:iCs/>
          <w:sz w:val="16"/>
          <w:szCs w:val="20"/>
        </w:rPr>
        <w:t>Nibbāna’</w:t>
      </w:r>
      <w:r w:rsidRPr="00DC1A5F">
        <w:rPr>
          <w:sz w:val="16"/>
          <w:szCs w:val="20"/>
        </w:rPr>
        <w:t>.</w:t>
      </w:r>
    </w:p>
    <w:p w14:paraId="26C28435" w14:textId="77777777" w:rsidR="00597DE2" w:rsidRPr="00DC1A5F" w:rsidRDefault="00597DE2" w:rsidP="00597DE2">
      <w:pPr>
        <w:pStyle w:val="NormalConSangria"/>
        <w:spacing w:after="60"/>
        <w:rPr>
          <w:sz w:val="16"/>
          <w:szCs w:val="20"/>
        </w:rPr>
      </w:pPr>
      <w:r w:rsidRPr="00DC1A5F">
        <w:rPr>
          <w:sz w:val="16"/>
          <w:szCs w:val="20"/>
        </w:rPr>
        <w:t xml:space="preserve">“(4.c.) El conocimiento de un estado de paz corresponderá a: ‘El surgimiento es una formación; el no–surgimiento es el </w:t>
      </w:r>
      <w:r w:rsidRPr="00DC1A5F">
        <w:rPr>
          <w:i/>
          <w:iCs/>
          <w:sz w:val="16"/>
          <w:szCs w:val="20"/>
        </w:rPr>
        <w:t>Nibbāna</w:t>
      </w:r>
      <w:r w:rsidRPr="00DC1A5F">
        <w:rPr>
          <w:sz w:val="16"/>
          <w:szCs w:val="20"/>
        </w:rPr>
        <w:t xml:space="preserve">”. El conocimiento de un estado de paz corresponderá a: “La ocurrencia es una formación; la no–ocurrencia es el </w:t>
      </w:r>
      <w:r w:rsidRPr="00DC1A5F">
        <w:rPr>
          <w:i/>
          <w:iCs/>
          <w:sz w:val="16"/>
          <w:szCs w:val="20"/>
        </w:rPr>
        <w:t>Nibbāna’</w:t>
      </w:r>
      <w:r w:rsidRPr="00DC1A5F">
        <w:rPr>
          <w:sz w:val="16"/>
          <w:szCs w:val="20"/>
        </w:rPr>
        <w:t>… (</w:t>
      </w:r>
      <w:proofErr w:type="gramStart"/>
      <w:r w:rsidRPr="00DC1A5F">
        <w:rPr>
          <w:sz w:val="16"/>
          <w:szCs w:val="20"/>
        </w:rPr>
        <w:t>etc.)…</w:t>
      </w:r>
      <w:proofErr w:type="gramEnd"/>
      <w:r w:rsidRPr="00DC1A5F">
        <w:rPr>
          <w:sz w:val="16"/>
          <w:szCs w:val="20"/>
        </w:rPr>
        <w:t xml:space="preserve"> El conocimiento de un estado de paz corresponderá a: ‘La desesperación es una formación; la no–desesperación es el </w:t>
      </w:r>
      <w:r w:rsidRPr="00DC1A5F">
        <w:rPr>
          <w:i/>
          <w:iCs/>
          <w:sz w:val="16"/>
          <w:szCs w:val="20"/>
        </w:rPr>
        <w:t>Nibbāna</w:t>
      </w:r>
      <w:r w:rsidRPr="00DC1A5F">
        <w:rPr>
          <w:sz w:val="16"/>
          <w:szCs w:val="20"/>
        </w:rPr>
        <w:t>.’ [649]</w:t>
      </w:r>
    </w:p>
    <w:p w14:paraId="0F56AF36" w14:textId="77777777" w:rsidR="00597DE2" w:rsidRPr="00DC1A5F" w:rsidRDefault="00597DE2" w:rsidP="00597DE2">
      <w:pPr>
        <w:pStyle w:val="NormalConSangria"/>
        <w:spacing w:after="60"/>
        <w:rPr>
          <w:sz w:val="16"/>
          <w:szCs w:val="20"/>
        </w:rPr>
      </w:pPr>
    </w:p>
    <w:p w14:paraId="0B8C68D0" w14:textId="77777777" w:rsidR="00597DE2" w:rsidRPr="00DC1A5F" w:rsidRDefault="00597DE2" w:rsidP="00597DE2">
      <w:pPr>
        <w:pStyle w:val="VersoIngls01Sangria"/>
        <w:rPr>
          <w:sz w:val="16"/>
          <w:szCs w:val="16"/>
        </w:rPr>
      </w:pPr>
      <w:r w:rsidRPr="00DC1A5F">
        <w:rPr>
          <w:sz w:val="16"/>
          <w:szCs w:val="16"/>
        </w:rPr>
        <w:t>“Él contemplará como sufrimiento</w:t>
      </w:r>
    </w:p>
    <w:p w14:paraId="249D9DE6" w14:textId="77777777" w:rsidR="00597DE2" w:rsidRPr="00DC1A5F" w:rsidRDefault="00597DE2" w:rsidP="00597DE2">
      <w:pPr>
        <w:pStyle w:val="VersoIngls01Sangria"/>
        <w:rPr>
          <w:sz w:val="16"/>
          <w:szCs w:val="16"/>
        </w:rPr>
      </w:pPr>
      <w:r w:rsidRPr="00DC1A5F">
        <w:rPr>
          <w:sz w:val="16"/>
          <w:szCs w:val="16"/>
        </w:rPr>
        <w:t xml:space="preserve">El surgimiento, la ocurrencia y el signo, </w:t>
      </w:r>
    </w:p>
    <w:p w14:paraId="4DBF4C15" w14:textId="77777777" w:rsidR="00597DE2" w:rsidRPr="00DC1A5F" w:rsidRDefault="00597DE2" w:rsidP="00597DE2">
      <w:pPr>
        <w:pStyle w:val="VersoIngls01Sangria"/>
        <w:rPr>
          <w:sz w:val="16"/>
          <w:szCs w:val="16"/>
        </w:rPr>
      </w:pPr>
      <w:r w:rsidRPr="00DC1A5F">
        <w:rPr>
          <w:sz w:val="16"/>
          <w:szCs w:val="16"/>
        </w:rPr>
        <w:t xml:space="preserve">La acumulación, el vínculo–de–renacimiento — </w:t>
      </w:r>
    </w:p>
    <w:p w14:paraId="3ED69F11" w14:textId="77777777" w:rsidR="00597DE2" w:rsidRPr="00DC1A5F" w:rsidRDefault="00597DE2" w:rsidP="00597DE2">
      <w:pPr>
        <w:pStyle w:val="VersoIngls01Sangria"/>
        <w:spacing w:after="60"/>
        <w:ind w:left="1418"/>
        <w:rPr>
          <w:sz w:val="16"/>
          <w:szCs w:val="16"/>
        </w:rPr>
      </w:pPr>
      <w:r w:rsidRPr="00DC1A5F">
        <w:rPr>
          <w:sz w:val="16"/>
          <w:szCs w:val="16"/>
        </w:rPr>
        <w:t>Y este conocimiento desarrollado por él, corresponderá a uno de peligro.</w:t>
      </w:r>
    </w:p>
    <w:p w14:paraId="4AA1160F" w14:textId="77777777" w:rsidR="00597DE2" w:rsidRPr="00DC1A5F" w:rsidRDefault="00597DE2" w:rsidP="00597DE2">
      <w:pPr>
        <w:pStyle w:val="VersoIngls01Sangria"/>
        <w:rPr>
          <w:sz w:val="16"/>
          <w:szCs w:val="16"/>
        </w:rPr>
      </w:pPr>
      <w:r w:rsidRPr="00DC1A5F">
        <w:rPr>
          <w:sz w:val="16"/>
          <w:szCs w:val="16"/>
        </w:rPr>
        <w:t xml:space="preserve">“Él contemplará como dicha </w:t>
      </w:r>
      <w:proofErr w:type="spellStart"/>
      <w:r w:rsidRPr="00DC1A5F">
        <w:rPr>
          <w:sz w:val="16"/>
          <w:szCs w:val="16"/>
        </w:rPr>
        <w:t>el</w:t>
      </w:r>
      <w:proofErr w:type="spellEnd"/>
      <w:r w:rsidRPr="00DC1A5F">
        <w:rPr>
          <w:sz w:val="16"/>
          <w:szCs w:val="16"/>
        </w:rPr>
        <w:t xml:space="preserve"> no–surgimiento,</w:t>
      </w:r>
    </w:p>
    <w:p w14:paraId="20D810D9" w14:textId="77777777" w:rsidR="00597DE2" w:rsidRPr="00DC1A5F" w:rsidRDefault="00597DE2" w:rsidP="00597DE2">
      <w:pPr>
        <w:pStyle w:val="VersoIngls01Sangria"/>
        <w:rPr>
          <w:sz w:val="16"/>
          <w:szCs w:val="16"/>
        </w:rPr>
      </w:pPr>
      <w:r w:rsidRPr="00DC1A5F">
        <w:rPr>
          <w:sz w:val="16"/>
          <w:szCs w:val="16"/>
        </w:rPr>
        <w:t xml:space="preserve">La no–ocurrencia y el no–signo, </w:t>
      </w:r>
    </w:p>
    <w:p w14:paraId="1C0B0EAE" w14:textId="77777777" w:rsidR="00597DE2" w:rsidRPr="00DC1A5F" w:rsidRDefault="00597DE2" w:rsidP="00597DE2">
      <w:pPr>
        <w:pStyle w:val="VersoIngls01Sangria"/>
        <w:rPr>
          <w:sz w:val="16"/>
          <w:szCs w:val="16"/>
        </w:rPr>
      </w:pPr>
      <w:r w:rsidRPr="00DC1A5F">
        <w:rPr>
          <w:sz w:val="16"/>
          <w:szCs w:val="16"/>
        </w:rPr>
        <w:t xml:space="preserve">La no–acumulación, el no–vínculo–de–renacimiento— </w:t>
      </w:r>
    </w:p>
    <w:p w14:paraId="6F3EE560" w14:textId="77777777" w:rsidR="00597DE2" w:rsidRPr="00DC1A5F" w:rsidRDefault="00597DE2" w:rsidP="00597DE2">
      <w:pPr>
        <w:pStyle w:val="VersoIngls01Sangria"/>
        <w:spacing w:after="60"/>
        <w:ind w:left="1418"/>
        <w:rPr>
          <w:sz w:val="16"/>
          <w:szCs w:val="16"/>
        </w:rPr>
      </w:pPr>
      <w:r w:rsidRPr="00DC1A5F">
        <w:rPr>
          <w:sz w:val="16"/>
          <w:szCs w:val="16"/>
        </w:rPr>
        <w:t>Y este conocimiento desarrollado por él, corresponderá a uno de paz.</w:t>
      </w:r>
    </w:p>
    <w:p w14:paraId="5AF28E9B" w14:textId="77777777" w:rsidR="00597DE2" w:rsidRPr="00DC1A5F" w:rsidRDefault="00597DE2" w:rsidP="00597DE2">
      <w:pPr>
        <w:pStyle w:val="VersoIngls01Sangria"/>
        <w:rPr>
          <w:sz w:val="16"/>
          <w:szCs w:val="16"/>
        </w:rPr>
      </w:pPr>
      <w:r w:rsidRPr="00DC1A5F">
        <w:rPr>
          <w:sz w:val="16"/>
          <w:szCs w:val="16"/>
        </w:rPr>
        <w:t>“Este conocimiento sobre el peligro posee</w:t>
      </w:r>
    </w:p>
    <w:p w14:paraId="2655BE88" w14:textId="77777777" w:rsidR="00597DE2" w:rsidRPr="00DC1A5F" w:rsidRDefault="00597DE2" w:rsidP="00597DE2">
      <w:pPr>
        <w:pStyle w:val="VersoIngls01Sangria"/>
        <w:rPr>
          <w:sz w:val="16"/>
          <w:szCs w:val="16"/>
        </w:rPr>
      </w:pPr>
      <w:r w:rsidRPr="00DC1A5F">
        <w:rPr>
          <w:sz w:val="16"/>
          <w:szCs w:val="16"/>
        </w:rPr>
        <w:t xml:space="preserve">Cinco fuentes para su originación; </w:t>
      </w:r>
    </w:p>
    <w:p w14:paraId="427B224D" w14:textId="77777777" w:rsidR="00597DE2" w:rsidRPr="00DC1A5F" w:rsidRDefault="00597DE2" w:rsidP="00597DE2">
      <w:pPr>
        <w:pStyle w:val="VersoIngls01Sangria"/>
        <w:rPr>
          <w:sz w:val="16"/>
          <w:szCs w:val="16"/>
        </w:rPr>
      </w:pPr>
      <w:r w:rsidRPr="00DC1A5F">
        <w:rPr>
          <w:sz w:val="16"/>
          <w:szCs w:val="16"/>
        </w:rPr>
        <w:t xml:space="preserve">El conocimiento de la paz también poseerá cinco: </w:t>
      </w:r>
    </w:p>
    <w:p w14:paraId="08DFB4F9" w14:textId="77777777" w:rsidR="00597DE2" w:rsidRPr="00DC1A5F" w:rsidRDefault="00597DE2" w:rsidP="00597DE2">
      <w:pPr>
        <w:pStyle w:val="VersoIngls01Sangria"/>
        <w:spacing w:after="100"/>
        <w:ind w:left="1418"/>
        <w:rPr>
          <w:sz w:val="16"/>
          <w:szCs w:val="16"/>
        </w:rPr>
      </w:pPr>
      <w:r w:rsidRPr="00DC1A5F">
        <w:rPr>
          <w:sz w:val="16"/>
          <w:szCs w:val="16"/>
        </w:rPr>
        <w:t xml:space="preserve">Estos serán Diez conocimientos que él entenderá. </w:t>
      </w:r>
    </w:p>
    <w:p w14:paraId="092E7580" w14:textId="77777777" w:rsidR="00597DE2" w:rsidRPr="00DC1A5F" w:rsidRDefault="00597DE2" w:rsidP="00597DE2">
      <w:pPr>
        <w:pStyle w:val="VersoIngls01Sangria"/>
        <w:rPr>
          <w:sz w:val="16"/>
          <w:szCs w:val="16"/>
        </w:rPr>
      </w:pPr>
      <w:r w:rsidRPr="00DC1A5F">
        <w:rPr>
          <w:sz w:val="16"/>
          <w:szCs w:val="16"/>
        </w:rPr>
        <w:t xml:space="preserve">“Cuando sea hábil en estos dos tipos de conocimiento </w:t>
      </w:r>
    </w:p>
    <w:p w14:paraId="565E5616" w14:textId="77777777" w:rsidR="00597DE2" w:rsidRPr="00DC1A5F" w:rsidRDefault="00597DE2" w:rsidP="00597DE2">
      <w:pPr>
        <w:pStyle w:val="VersoIngls01Sangria"/>
        <w:spacing w:after="100"/>
        <w:ind w:left="1418"/>
        <w:rPr>
          <w:sz w:val="16"/>
          <w:szCs w:val="16"/>
        </w:rPr>
      </w:pPr>
      <w:r w:rsidRPr="00DC1A5F">
        <w:rPr>
          <w:sz w:val="16"/>
          <w:szCs w:val="16"/>
        </w:rPr>
        <w:t>Las diversas visiones incorrectas no lo estremecerán más.</w:t>
      </w:r>
    </w:p>
    <w:p w14:paraId="7C1978BC" w14:textId="77777777" w:rsidR="00597DE2" w:rsidRPr="00DC1A5F" w:rsidRDefault="00597DE2" w:rsidP="00597DE2">
      <w:pPr>
        <w:tabs>
          <w:tab w:val="clear" w:pos="425"/>
        </w:tabs>
        <w:spacing w:after="160"/>
      </w:pPr>
      <w:r w:rsidRPr="00DC1A5F">
        <w:br w:type="page"/>
      </w:r>
    </w:p>
    <w:p w14:paraId="7839AFF7" w14:textId="77777777" w:rsidR="00597DE2" w:rsidRPr="00DC1A5F" w:rsidRDefault="00597DE2" w:rsidP="00597DE2">
      <w:pPr>
        <w:pStyle w:val="NormalConSangria"/>
      </w:pPr>
    </w:p>
    <w:p w14:paraId="582097AE" w14:textId="77777777" w:rsidR="00597DE2" w:rsidRPr="00DC1A5F" w:rsidRDefault="00597DE2" w:rsidP="00597DE2">
      <w:pPr>
        <w:pStyle w:val="NormalConSangria"/>
      </w:pPr>
      <w:r w:rsidRPr="00DC1A5F">
        <w:t>“El conocimiento se dará en el sentido de ser conocido y el entendimiento se dará en el sentido del acto de entender aquello. Por eso se dijo al respecto: ‘El entendimiento de la apariencia de terror corresponderá al conocimiento del peligro’” (</w:t>
      </w:r>
      <w:proofErr w:type="spellStart"/>
      <w:r w:rsidRPr="00DC1A5F">
        <w:rPr>
          <w:i/>
          <w:iCs/>
        </w:rPr>
        <w:t>Paṭis</w:t>
      </w:r>
      <w:proofErr w:type="spellEnd"/>
      <w:r w:rsidRPr="00DC1A5F">
        <w:t xml:space="preserve"> I 59f).</w:t>
      </w:r>
    </w:p>
    <w:p w14:paraId="7567DF46" w14:textId="77777777" w:rsidR="00597DE2" w:rsidRPr="00DC1A5F" w:rsidRDefault="00597DE2" w:rsidP="00597DE2">
      <w:r w:rsidRPr="00DC1A5F">
        <w:t xml:space="preserve">38. </w:t>
      </w:r>
      <w:r w:rsidRPr="00DC1A5F">
        <w:tab/>
        <w:t xml:space="preserve">Aquí, el </w:t>
      </w:r>
      <w:r w:rsidRPr="00DC1A5F">
        <w:rPr>
          <w:i/>
          <w:iCs/>
        </w:rPr>
        <w:t>surgimiento</w:t>
      </w:r>
      <w:r w:rsidRPr="00DC1A5F">
        <w:t xml:space="preserve"> corresponderá a la apariencia de este devenir con el </w:t>
      </w:r>
      <w:proofErr w:type="spellStart"/>
      <w:r w:rsidRPr="00DC1A5F">
        <w:rPr>
          <w:i/>
        </w:rPr>
        <w:t>kamma</w:t>
      </w:r>
      <w:proofErr w:type="spellEnd"/>
      <w:r w:rsidRPr="00DC1A5F">
        <w:t xml:space="preserve"> del pasado como su condición. La</w:t>
      </w:r>
      <w:r w:rsidRPr="00DC1A5F">
        <w:rPr>
          <w:i/>
          <w:iCs/>
        </w:rPr>
        <w:t xml:space="preserve"> ocurrencia</w:t>
      </w:r>
      <w:r w:rsidRPr="00DC1A5F">
        <w:t xml:space="preserve"> corresponderá a la ocurrencia de lo que haya surgido de esta manera. El </w:t>
      </w:r>
      <w:r w:rsidRPr="00DC1A5F">
        <w:rPr>
          <w:i/>
          <w:iCs/>
        </w:rPr>
        <w:t>signo</w:t>
      </w:r>
      <w:r w:rsidRPr="00DC1A5F">
        <w:t xml:space="preserve"> corresponderá al signo de todas las formaciones. La </w:t>
      </w:r>
      <w:r w:rsidRPr="00DC1A5F">
        <w:rPr>
          <w:i/>
          <w:iCs/>
        </w:rPr>
        <w:t>acumulación</w:t>
      </w:r>
      <w:r w:rsidRPr="00DC1A5F">
        <w:t xml:space="preserve"> corresponderá al </w:t>
      </w:r>
      <w:proofErr w:type="spellStart"/>
      <w:r w:rsidRPr="00DC1A5F">
        <w:rPr>
          <w:i/>
        </w:rPr>
        <w:t>kamma</w:t>
      </w:r>
      <w:proofErr w:type="spellEnd"/>
      <w:r w:rsidRPr="00DC1A5F">
        <w:t xml:space="preserve"> que será causa del futuro vínculo–de–renacimiento. El </w:t>
      </w:r>
      <w:r w:rsidRPr="00DC1A5F">
        <w:rPr>
          <w:i/>
          <w:iCs/>
        </w:rPr>
        <w:t>vínculo–de–renacimiento</w:t>
      </w:r>
      <w:r w:rsidRPr="00DC1A5F">
        <w:t xml:space="preserve"> corresponderá a una apariencia futura. El </w:t>
      </w:r>
      <w:r w:rsidRPr="00DC1A5F">
        <w:rPr>
          <w:i/>
          <w:iCs/>
        </w:rPr>
        <w:t>destino</w:t>
      </w:r>
      <w:r w:rsidRPr="00DC1A5F">
        <w:t xml:space="preserve"> corresponderá al destino en el que tendrá lugar el vínculo–de–renacimiento. La </w:t>
      </w:r>
      <w:r w:rsidRPr="00DC1A5F">
        <w:rPr>
          <w:i/>
          <w:iCs/>
        </w:rPr>
        <w:t>generación</w:t>
      </w:r>
      <w:r w:rsidRPr="00DC1A5F">
        <w:t xml:space="preserve"> corresponderá a la generación de los agregados. El </w:t>
      </w:r>
      <w:r w:rsidRPr="00DC1A5F">
        <w:rPr>
          <w:i/>
          <w:iCs/>
        </w:rPr>
        <w:t>resurgimiento</w:t>
      </w:r>
      <w:r w:rsidRPr="00DC1A5F">
        <w:t xml:space="preserve"> corresponderá a la ocurrencia del resultado </w:t>
      </w:r>
      <w:proofErr w:type="spellStart"/>
      <w:r w:rsidRPr="00DC1A5F">
        <w:rPr>
          <w:i/>
        </w:rPr>
        <w:t>kammico</w:t>
      </w:r>
      <w:proofErr w:type="spellEnd"/>
      <w:r w:rsidRPr="00DC1A5F">
        <w:t xml:space="preserve"> expresado así: “En aquel que lo haya experimentado o en alguien que haya renacido en él” (</w:t>
      </w:r>
      <w:proofErr w:type="spellStart"/>
      <w:r w:rsidRPr="00DC1A5F">
        <w:t>Dhs</w:t>
      </w:r>
      <w:proofErr w:type="spellEnd"/>
      <w:r w:rsidRPr="00DC1A5F">
        <w:t xml:space="preserve"> §1282). El </w:t>
      </w:r>
      <w:r w:rsidRPr="00DC1A5F">
        <w:rPr>
          <w:i/>
          <w:iCs/>
        </w:rPr>
        <w:t>renacimiento</w:t>
      </w:r>
      <w:r w:rsidRPr="00DC1A5F">
        <w:t xml:space="preserve"> corresponderá al nacimiento con el devenir como su condición, en sí misma una condición para el envejecimiento, etc. El envejecimiento, la enfermedad, la muerte, </w:t>
      </w:r>
      <w:proofErr w:type="gramStart"/>
      <w:r w:rsidRPr="00DC1A5F">
        <w:t>etc.,</w:t>
      </w:r>
      <w:proofErr w:type="gramEnd"/>
      <w:r w:rsidRPr="00DC1A5F">
        <w:t xml:space="preserve"> serán entonces evidentes.</w:t>
      </w:r>
    </w:p>
    <w:p w14:paraId="2CED844E" w14:textId="77777777" w:rsidR="00597DE2" w:rsidRPr="00DC1A5F" w:rsidRDefault="00597DE2" w:rsidP="00597DE2">
      <w:r w:rsidRPr="00DC1A5F">
        <w:t xml:space="preserve">39. </w:t>
      </w:r>
      <w:r w:rsidRPr="00DC1A5F">
        <w:tab/>
        <w:t xml:space="preserve">Y aquí sólo los 5 que comienzan con el </w:t>
      </w:r>
      <w:r w:rsidRPr="00DC1A5F">
        <w:rPr>
          <w:i/>
          <w:iCs/>
        </w:rPr>
        <w:t>surgimiento</w:t>
      </w:r>
      <w:r w:rsidRPr="00DC1A5F">
        <w:t xml:space="preserve"> se mencionarán como objetos reales del conocimiento de peligro; el resto serán sinónimos de ellos. Para el par, </w:t>
      </w:r>
      <w:r w:rsidRPr="00DC1A5F">
        <w:rPr>
          <w:i/>
          <w:iCs/>
        </w:rPr>
        <w:t>generación</w:t>
      </w:r>
      <w:r w:rsidRPr="00DC1A5F">
        <w:t xml:space="preserve"> y </w:t>
      </w:r>
      <w:r w:rsidRPr="00DC1A5F">
        <w:rPr>
          <w:i/>
          <w:iCs/>
        </w:rPr>
        <w:t>nacimiento</w:t>
      </w:r>
      <w:r w:rsidRPr="00DC1A5F">
        <w:t xml:space="preserve">, estos serán sinónimos tanto del </w:t>
      </w:r>
      <w:r w:rsidRPr="00DC1A5F">
        <w:rPr>
          <w:i/>
          <w:iCs/>
        </w:rPr>
        <w:t>surgimiento</w:t>
      </w:r>
      <w:r w:rsidRPr="00DC1A5F">
        <w:t xml:space="preserve"> como del </w:t>
      </w:r>
      <w:r w:rsidRPr="00DC1A5F">
        <w:rPr>
          <w:i/>
          <w:iCs/>
        </w:rPr>
        <w:t>vínculo–de–renacimiento</w:t>
      </w:r>
      <w:r w:rsidRPr="00DC1A5F">
        <w:t xml:space="preserve">. El par, </w:t>
      </w:r>
      <w:r w:rsidRPr="00DC1A5F">
        <w:rPr>
          <w:i/>
          <w:iCs/>
        </w:rPr>
        <w:t>destino y resurgimiento</w:t>
      </w:r>
      <w:r w:rsidRPr="00DC1A5F">
        <w:t>, serán sinónimos de ocurrencia. El envejecimiento, etc., serán sinónimos del signo. Por eso se dijo al respecto:</w:t>
      </w:r>
    </w:p>
    <w:p w14:paraId="2EF97230" w14:textId="77777777" w:rsidR="00597DE2" w:rsidRPr="00DC1A5F" w:rsidRDefault="00597DE2" w:rsidP="00597DE2">
      <w:pPr>
        <w:pStyle w:val="VersoIngls01Sangria"/>
        <w:rPr>
          <w:sz w:val="16"/>
          <w:szCs w:val="20"/>
        </w:rPr>
      </w:pPr>
      <w:r w:rsidRPr="00DC1A5F">
        <w:rPr>
          <w:sz w:val="16"/>
          <w:szCs w:val="20"/>
        </w:rPr>
        <w:t>“Él contemplará como sufrimiento</w:t>
      </w:r>
    </w:p>
    <w:p w14:paraId="329E6AB6" w14:textId="77777777" w:rsidR="00597DE2" w:rsidRPr="00DC1A5F" w:rsidRDefault="00597DE2" w:rsidP="00597DE2">
      <w:pPr>
        <w:pStyle w:val="VersoIngls01Sangria"/>
        <w:rPr>
          <w:sz w:val="16"/>
          <w:szCs w:val="20"/>
        </w:rPr>
      </w:pPr>
      <w:r w:rsidRPr="00DC1A5F">
        <w:rPr>
          <w:sz w:val="16"/>
          <w:szCs w:val="20"/>
        </w:rPr>
        <w:t>El surgimiento, la ocurrencia y el signo,</w:t>
      </w:r>
    </w:p>
    <w:p w14:paraId="0270A8B4" w14:textId="77777777" w:rsidR="00597DE2" w:rsidRPr="00DC1A5F" w:rsidRDefault="00597DE2" w:rsidP="00597DE2">
      <w:pPr>
        <w:pStyle w:val="VersoIngls01Sangria"/>
        <w:rPr>
          <w:sz w:val="16"/>
          <w:szCs w:val="20"/>
        </w:rPr>
      </w:pPr>
      <w:r w:rsidRPr="00DC1A5F">
        <w:rPr>
          <w:sz w:val="16"/>
          <w:szCs w:val="20"/>
        </w:rPr>
        <w:t>La acumulación, el vínculo–de–renacimiento—</w:t>
      </w:r>
    </w:p>
    <w:p w14:paraId="3704BA0A" w14:textId="77777777" w:rsidR="00597DE2" w:rsidRPr="00DC1A5F" w:rsidRDefault="00597DE2" w:rsidP="00597DE2">
      <w:pPr>
        <w:pStyle w:val="VersoIngls01Sangria"/>
        <w:rPr>
          <w:sz w:val="16"/>
          <w:szCs w:val="20"/>
        </w:rPr>
      </w:pPr>
      <w:r w:rsidRPr="00DC1A5F">
        <w:rPr>
          <w:sz w:val="16"/>
          <w:szCs w:val="20"/>
        </w:rPr>
        <w:t xml:space="preserve">Y este conocimiento desarrollado por él corresponderá a uno de peligro.” </w:t>
      </w:r>
    </w:p>
    <w:p w14:paraId="4B61D166" w14:textId="77777777" w:rsidR="00597DE2" w:rsidRPr="00DC1A5F" w:rsidRDefault="00597DE2" w:rsidP="00597DE2">
      <w:pPr>
        <w:pStyle w:val="NormalConSangria"/>
        <w:spacing w:after="0"/>
        <w:rPr>
          <w:sz w:val="12"/>
          <w:szCs w:val="16"/>
        </w:rPr>
      </w:pPr>
      <w:r w:rsidRPr="00DC1A5F">
        <w:rPr>
          <w:sz w:val="12"/>
          <w:szCs w:val="16"/>
        </w:rPr>
        <w:t>Y:</w:t>
      </w:r>
    </w:p>
    <w:p w14:paraId="02AB16A4" w14:textId="77777777" w:rsidR="00597DE2" w:rsidRPr="00DC1A5F" w:rsidRDefault="00597DE2" w:rsidP="00597DE2">
      <w:pPr>
        <w:pStyle w:val="VersoIngls01Sangria"/>
        <w:rPr>
          <w:sz w:val="16"/>
          <w:szCs w:val="20"/>
        </w:rPr>
      </w:pPr>
      <w:r w:rsidRPr="00DC1A5F">
        <w:rPr>
          <w:sz w:val="16"/>
          <w:szCs w:val="20"/>
        </w:rPr>
        <w:t>“Este conocimiento sobre el peligro tendrá</w:t>
      </w:r>
    </w:p>
    <w:p w14:paraId="78904A39" w14:textId="77777777" w:rsidR="00597DE2" w:rsidRPr="00DC1A5F" w:rsidRDefault="00597DE2" w:rsidP="00597DE2">
      <w:pPr>
        <w:pStyle w:val="VersoIngls01Sangria"/>
        <w:spacing w:after="100"/>
        <w:ind w:left="1418"/>
        <w:rPr>
          <w:sz w:val="16"/>
          <w:szCs w:val="20"/>
        </w:rPr>
      </w:pPr>
      <w:r w:rsidRPr="00DC1A5F">
        <w:rPr>
          <w:sz w:val="16"/>
          <w:szCs w:val="20"/>
        </w:rPr>
        <w:t>cinco fuentes para su originación” (§37).</w:t>
      </w:r>
    </w:p>
    <w:p w14:paraId="527C52D6" w14:textId="77777777" w:rsidR="00597DE2" w:rsidRPr="00DC1A5F" w:rsidRDefault="00597DE2" w:rsidP="00597DE2">
      <w:r w:rsidRPr="00DC1A5F">
        <w:t xml:space="preserve">40. </w:t>
      </w:r>
      <w:r w:rsidRPr="00DC1A5F">
        <w:tab/>
        <w:t xml:space="preserve">El </w:t>
      </w:r>
      <w:r w:rsidRPr="00DC1A5F">
        <w:rPr>
          <w:i/>
          <w:iCs/>
        </w:rPr>
        <w:t>conocimiento de un estado de paz corresponderá a: “El no–surgimiento es seguridad</w:t>
      </w:r>
      <w:r w:rsidRPr="00DC1A5F">
        <w:t>”, etc.: esto, sin embargo, deberá entenderse como si fuese dicho con el propósito de mostrar el tipo de conocimiento opuesto al conocimiento de peligro. O cuando se afirme así, de que habrá seguridad sin terror y libre de peligros, se hará así con el propósito de consolar a aquellos que estén disgustados en sus corazones al ver el peligro a través de la apariencia de terror. O bien, cuando surjan, etc., habrán aparecido claramente ante un hombre como terror, su mente se inclinará hacia sus opuestos y así se dice al respecto [650] con el propósito de exponer las ventajas del conocimiento de peligro establecido a través de la apariencia de terror.</w:t>
      </w:r>
    </w:p>
    <w:p w14:paraId="0682BC54" w14:textId="77777777" w:rsidR="00597DE2" w:rsidRPr="00DC1A5F" w:rsidRDefault="00597DE2" w:rsidP="00597DE2">
      <w:r w:rsidRPr="00DC1A5F">
        <w:t xml:space="preserve">41. </w:t>
      </w:r>
      <w:r w:rsidRPr="00DC1A5F">
        <w:tab/>
        <w:t xml:space="preserve">Y aquí (1.a.) lo que sea terror corresponderá definitivamente al (2.a) </w:t>
      </w:r>
      <w:r w:rsidRPr="00DC1A5F">
        <w:rPr>
          <w:i/>
          <w:iCs/>
        </w:rPr>
        <w:t>sufrimiento</w:t>
      </w:r>
      <w:r w:rsidRPr="00DC1A5F">
        <w:t>, y lo que sea sufrimiento corresponderá puramente a lo (3.a.) mundano, ya que no estará libre de la mundanalidad del ciclo del devenir, mundano y de las impurezas,</w:t>
      </w:r>
      <w:r w:rsidRPr="00DC1A5F">
        <w:rPr>
          <w:vertAlign w:val="superscript"/>
        </w:rPr>
        <w:t>13</w:t>
      </w:r>
      <w:r w:rsidRPr="00DC1A5F">
        <w:t xml:space="preserve"> y lo que sea mundano consistirá únicamente de (4.a) formaciones. Por lo tanto, se dice que (2.a) el </w:t>
      </w:r>
      <w:r w:rsidRPr="00DC1A5F">
        <w:rPr>
          <w:i/>
          <w:iCs/>
        </w:rPr>
        <w:t>entendimiento de la apariencia de terror</w:t>
      </w:r>
      <w:r w:rsidRPr="00DC1A5F">
        <w:t xml:space="preserve"> así “el surgimiento es sufrimiento”, corresponderá al conocimiento de</w:t>
      </w:r>
    </w:p>
    <w:p w14:paraId="607F9B2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A705A06" w14:textId="77777777" w:rsidR="00597DE2" w:rsidRPr="00DC1A5F" w:rsidRDefault="00597DE2" w:rsidP="00597DE2">
      <w:pPr>
        <w:pStyle w:val="PiedepginaLegal"/>
        <w:numPr>
          <w:ilvl w:val="0"/>
          <w:numId w:val="10"/>
        </w:numPr>
        <w:tabs>
          <w:tab w:val="clear" w:pos="425"/>
          <w:tab w:val="left" w:pos="284"/>
        </w:tabs>
        <w:spacing w:after="160"/>
        <w:ind w:left="284" w:hanging="284"/>
      </w:pPr>
      <w:r w:rsidRPr="00DC1A5F">
        <w:t xml:space="preserve">El </w:t>
      </w:r>
      <w:proofErr w:type="spellStart"/>
      <w:r w:rsidRPr="00DC1A5F">
        <w:t>Vism</w:t>
      </w:r>
      <w:proofErr w:type="spellEnd"/>
      <w:r w:rsidRPr="00DC1A5F">
        <w:t>–</w:t>
      </w:r>
      <w:proofErr w:type="spellStart"/>
      <w:r w:rsidRPr="00DC1A5F">
        <w:t>mhṭ</w:t>
      </w:r>
      <w:proofErr w:type="spellEnd"/>
      <w:r w:rsidRPr="00DC1A5F">
        <w:t xml:space="preserve"> define las 3 clases de mundanalidad (</w:t>
      </w:r>
      <w:proofErr w:type="spellStart"/>
      <w:r w:rsidRPr="00DC1A5F">
        <w:rPr>
          <w:i/>
          <w:iCs/>
        </w:rPr>
        <w:t>āmisa</w:t>
      </w:r>
      <w:proofErr w:type="spellEnd"/>
      <w:r w:rsidRPr="00DC1A5F">
        <w:t xml:space="preserve">) de la siguiente manera: (i) </w:t>
      </w:r>
      <w:r w:rsidRPr="00DC1A5F">
        <w:rPr>
          <w:i/>
          <w:iCs/>
        </w:rPr>
        <w:t xml:space="preserve">La mundanalidad de los ciclos </w:t>
      </w:r>
      <w:r w:rsidRPr="00DC1A5F">
        <w:t>(</w:t>
      </w:r>
      <w:proofErr w:type="spellStart"/>
      <w:r w:rsidRPr="00DC1A5F">
        <w:rPr>
          <w:i/>
          <w:iCs/>
        </w:rPr>
        <w:t>vaṭṭāmisa</w:t>
      </w:r>
      <w:proofErr w:type="spellEnd"/>
      <w:r w:rsidRPr="00DC1A5F">
        <w:t>) corresponderá a la de los 3 ciclos del devenir: pasado, presente y futuro; (</w:t>
      </w:r>
      <w:proofErr w:type="spellStart"/>
      <w:r w:rsidRPr="00DC1A5F">
        <w:t>ii</w:t>
      </w:r>
      <w:proofErr w:type="spellEnd"/>
      <w:r w:rsidRPr="00DC1A5F">
        <w:t xml:space="preserve">) la </w:t>
      </w:r>
      <w:r w:rsidRPr="00DC1A5F">
        <w:rPr>
          <w:i/>
          <w:iCs/>
        </w:rPr>
        <w:t>mundanalidad del mundo</w:t>
      </w:r>
      <w:r w:rsidRPr="00DC1A5F">
        <w:t xml:space="preserve"> (</w:t>
      </w:r>
      <w:proofErr w:type="spellStart"/>
      <w:r w:rsidRPr="00DC1A5F">
        <w:rPr>
          <w:i/>
          <w:iCs/>
        </w:rPr>
        <w:t>lokāmisa</w:t>
      </w:r>
      <w:proofErr w:type="spellEnd"/>
      <w:r w:rsidRPr="00DC1A5F">
        <w:t>) la cual corresponde a las 5 cuerdas del deseo sensorial (es decir, los objetos del deseo sensorial, incluida la comida, etc.) porque éstas son accesibles a las corrupciones; (</w:t>
      </w:r>
      <w:proofErr w:type="spellStart"/>
      <w:r w:rsidRPr="00DC1A5F">
        <w:t>iii</w:t>
      </w:r>
      <w:proofErr w:type="spellEnd"/>
      <w:r w:rsidRPr="00DC1A5F">
        <w:t xml:space="preserve">) </w:t>
      </w:r>
      <w:r w:rsidRPr="00DC1A5F">
        <w:rPr>
          <w:i/>
          <w:iCs/>
        </w:rPr>
        <w:t xml:space="preserve">la mundanalidad de las contaminaciones </w:t>
      </w:r>
      <w:r w:rsidRPr="00DC1A5F">
        <w:t>(</w:t>
      </w:r>
      <w:proofErr w:type="spellStart"/>
      <w:r w:rsidRPr="00DC1A5F">
        <w:rPr>
          <w:i/>
          <w:iCs/>
        </w:rPr>
        <w:t>kilesāmisa</w:t>
      </w:r>
      <w:proofErr w:type="spellEnd"/>
      <w:r w:rsidRPr="00DC1A5F">
        <w:t xml:space="preserve">) corresponderán a las impurezas en sí (ver </w:t>
      </w:r>
      <w:proofErr w:type="spellStart"/>
      <w:r w:rsidRPr="00DC1A5F">
        <w:t>Vism</w:t>
      </w:r>
      <w:proofErr w:type="spellEnd"/>
      <w:r w:rsidRPr="00DC1A5F">
        <w:t>–</w:t>
      </w:r>
      <w:proofErr w:type="spellStart"/>
      <w:r w:rsidRPr="00DC1A5F">
        <w:t>mhṭ</w:t>
      </w:r>
      <w:proofErr w:type="spellEnd"/>
      <w:r w:rsidRPr="00DC1A5F">
        <w:t xml:space="preserve"> 836).</w:t>
      </w:r>
      <w:r w:rsidRPr="00DC1A5F">
        <w:br w:type="page"/>
      </w:r>
    </w:p>
    <w:p w14:paraId="633A61C2" w14:textId="77777777" w:rsidR="00597DE2" w:rsidRPr="00DC1A5F" w:rsidRDefault="00597DE2" w:rsidP="00597DE2">
      <w:pPr>
        <w:pStyle w:val="Textoindependiente"/>
      </w:pPr>
      <w:r w:rsidRPr="00DC1A5F">
        <w:lastRenderedPageBreak/>
        <w:t>peligro, etc. Y si bien esto es así, todavía existirá una diferencia que deberá entenderse aquí en la forma en que ocurran estas cosas, comenzando con “el surgimiento”, ya que habrá una diferencia en su modo con el modo del terror, el modo del sufrimiento y el modo de la mundanalidad.</w:t>
      </w:r>
    </w:p>
    <w:p w14:paraId="51C5378D" w14:textId="77777777" w:rsidR="00597DE2" w:rsidRPr="00DC1A5F" w:rsidRDefault="00597DE2" w:rsidP="00597DE2">
      <w:r w:rsidRPr="00DC1A5F">
        <w:t xml:space="preserve">42. </w:t>
      </w:r>
      <w:r w:rsidRPr="00DC1A5F">
        <w:tab/>
      </w:r>
      <w:r w:rsidRPr="00DC1A5F">
        <w:rPr>
          <w:i/>
          <w:iCs/>
        </w:rPr>
        <w:t>Diez conocimientos que él conocerá</w:t>
      </w:r>
      <w:r w:rsidRPr="00DC1A5F">
        <w:t xml:space="preserve">: el que entienda el conocimiento de peligro comprenderá, penetrará, consumará, 10 tipos de conocimiento, es decir, los cinco basados ​​en el surgimiento, etc., y los cinco en el no–surgimiento, etc. </w:t>
      </w:r>
      <w:r w:rsidRPr="00DC1A5F">
        <w:rPr>
          <w:i/>
          <w:iCs/>
        </w:rPr>
        <w:t>Cuando sea hábil en estas dos clases de conocimiento</w:t>
      </w:r>
      <w:r w:rsidRPr="00DC1A5F">
        <w:t xml:space="preserve">: se refiere a la habilidad en ambos, es decir, al conocimiento de peligro y al conocimiento de un estado de paz. </w:t>
      </w:r>
      <w:r w:rsidRPr="00DC1A5F">
        <w:rPr>
          <w:i/>
          <w:iCs/>
        </w:rPr>
        <w:t>Las diversas visiones incorrectas no lo estremecerán más</w:t>
      </w:r>
      <w:r w:rsidRPr="00DC1A5F">
        <w:t xml:space="preserve">: él no vacilará más con respecto a las diversas visiones </w:t>
      </w:r>
      <w:r w:rsidRPr="00DC1A5F">
        <w:rPr>
          <w:color w:val="833C0B" w:themeColor="accent2" w:themeShade="80"/>
        </w:rPr>
        <w:t>correctas</w:t>
      </w:r>
      <w:r w:rsidRPr="00DC1A5F">
        <w:t xml:space="preserve"> que ocurran como “El </w:t>
      </w:r>
      <w:r w:rsidRPr="00DC1A5F">
        <w:rPr>
          <w:i/>
          <w:iCs/>
        </w:rPr>
        <w:t>Nibbāna</w:t>
      </w:r>
      <w:r w:rsidRPr="00DC1A5F">
        <w:t xml:space="preserve"> último es aquí y ahora”. Lo restante quedará claro.</w:t>
      </w:r>
    </w:p>
    <w:p w14:paraId="15F10187" w14:textId="77777777" w:rsidR="00597DE2" w:rsidRPr="00DC1A5F" w:rsidRDefault="00597DE2" w:rsidP="00597DE2">
      <w:pPr>
        <w:pStyle w:val="NormalConSangria"/>
      </w:pPr>
      <w:r w:rsidRPr="00DC1A5F">
        <w:t>Con esto se ha culminado la sección del conocimiento de la contemplación de peligro.</w:t>
      </w:r>
    </w:p>
    <w:p w14:paraId="59D461B2" w14:textId="77777777" w:rsidR="00597DE2" w:rsidRPr="00DC1A5F" w:rsidRDefault="00597DE2" w:rsidP="00597DE2">
      <w:pPr>
        <w:pStyle w:val="Ttulo4"/>
        <w:ind w:left="708"/>
      </w:pPr>
      <w:r w:rsidRPr="00DC1A5F">
        <w:rPr>
          <w:i w:val="0"/>
          <w:iCs w:val="0"/>
        </w:rPr>
        <w:t>[</w:t>
      </w:r>
      <w:r w:rsidRPr="00DC1A5F">
        <w:t>5. Conocimiento Del Desapasionamiento</w:t>
      </w:r>
      <w:r w:rsidRPr="00DC1A5F">
        <w:rPr>
          <w:i w:val="0"/>
          <w:iCs w:val="0"/>
        </w:rPr>
        <w:t>]</w:t>
      </w:r>
    </w:p>
    <w:p w14:paraId="43B4D8B5" w14:textId="77777777" w:rsidR="00597DE2" w:rsidRPr="00DC1A5F" w:rsidRDefault="00597DE2" w:rsidP="00597DE2">
      <w:r w:rsidRPr="00DC1A5F">
        <w:t xml:space="preserve">43. </w:t>
      </w:r>
      <w:r w:rsidRPr="00DC1A5F">
        <w:tab/>
        <w:t xml:space="preserve">Cuando él observe así todas las formaciones como un peligro, se volverá desapasionado al respecto, se sentirá insatisfecho, no se complacerá en el campo múltiple de las formaciones que pertenecerán a cualquier tipo de devenir, destino, estado de consciencia o plano existencial. Así como un cisne dorado que amase las estribaciones del Pico </w:t>
      </w:r>
      <w:proofErr w:type="spellStart"/>
      <w:r w:rsidRPr="00DC1A5F">
        <w:t>Citta</w:t>
      </w:r>
      <w:proofErr w:type="spellEnd"/>
      <w:r w:rsidRPr="00DC1A5F">
        <w:t xml:space="preserve"> encontraría placer, no en un charco inmundo en la puerta de un pueblo de unos marginados, sino y únicamente en los siete grandes lagos (ver Cap. XIII. §38), así también este cisne–meditador encontrará placer, no en las múltiples formaciones observadas claramente como peligro, sino sólo en las 7 contemplaciones, porque se complacerá en su desarrollo. Y así como un león, el rey de las bestias, no se complacería cuando se le meta en una jaula de oro, sino sólo en los Himalayas, con sus tres mil leguas de extensión, así también, el león–meditador se complacerá, no en el triple devenir de los destinos felices,</w:t>
      </w:r>
      <w:r w:rsidRPr="00DC1A5F">
        <w:rPr>
          <w:vertAlign w:val="superscript"/>
        </w:rPr>
        <w:t>14</w:t>
      </w:r>
      <w:r w:rsidRPr="00DC1A5F">
        <w:t xml:space="preserve"> sino y solamente, con las 3 contemplaciones. Y así como </w:t>
      </w:r>
      <w:proofErr w:type="spellStart"/>
      <w:r w:rsidRPr="00DC1A5F">
        <w:t>Chaddanta</w:t>
      </w:r>
      <w:proofErr w:type="spellEnd"/>
      <w:r w:rsidRPr="00DC1A5F">
        <w:t>, el Rey de los elefantes, todo blanco con la postura séptuple, poseído de un poder sobrenatural, que viajaría por el aire,</w:t>
      </w:r>
      <w:r w:rsidRPr="00DC1A5F">
        <w:rPr>
          <w:vertAlign w:val="superscript"/>
        </w:rPr>
        <w:t>15</w:t>
      </w:r>
      <w:r w:rsidRPr="00DC1A5F">
        <w:t xml:space="preserve"> encontraría placer, no en medio de un pueblo, sino solo en el lago y en el bosque </w:t>
      </w:r>
      <w:proofErr w:type="spellStart"/>
      <w:r w:rsidRPr="00DC1A5F">
        <w:t>Chaddanta</w:t>
      </w:r>
      <w:proofErr w:type="spellEnd"/>
      <w:r w:rsidRPr="00DC1A5F">
        <w:t xml:space="preserve"> entre los Himalayas, [651] así también este elefante–meditador encontrará dicha, no en cualquier formación, sino y únicamente, en el estado de paz que se aprecie a través del siguiente pasaje “El no–surgimiento es seguridad”, y su mente tenderá, se inclinará y orientará hacia ello.</w:t>
      </w:r>
    </w:p>
    <w:p w14:paraId="0BEA78F0" w14:textId="77777777" w:rsidR="00597DE2" w:rsidRPr="00DC1A5F" w:rsidRDefault="00597DE2" w:rsidP="00597DE2">
      <w:pPr>
        <w:pStyle w:val="NormalConSangria"/>
      </w:pPr>
      <w:r w:rsidRPr="00DC1A5F">
        <w:t>Con esto se ha culminado la sección del conocimiento de la contemplación del desapasionamiento.</w:t>
      </w:r>
    </w:p>
    <w:p w14:paraId="3D2E5938" w14:textId="77777777" w:rsidR="00597DE2" w:rsidRPr="00DC1A5F" w:rsidRDefault="00597DE2" w:rsidP="00597DE2">
      <w:r w:rsidRPr="00DC1A5F">
        <w:t xml:space="preserve">44. </w:t>
      </w:r>
      <w:r w:rsidRPr="00DC1A5F">
        <w:tab/>
        <w:t xml:space="preserve">El conocimiento de la contemplación de peligro será lo mismo que los dos últimos tipos de conocimiento en significado. De ahí que los Venerables dijesen: “En el conocimiento de la apariencia de terror mientras uno posea solo tres términos: él observará todas las formaciones como terror, así surgirá el término ‘apariencia de terror’; hará surgir la apariencia de peligro en esas mismas formaciones, así surgirá el término de la ‘contemplación de peligro’; así surgirá, desapasionándose de esas mismas formaciones y así mismo surgirá el término de la </w:t>
      </w:r>
    </w:p>
    <w:p w14:paraId="36217E81" w14:textId="77777777" w:rsidR="00597DE2" w:rsidRPr="00DC1A5F" w:rsidRDefault="00597DE2" w:rsidP="00597DE2">
      <w:pPr>
        <w:pStyle w:val="PiedepginaLegal"/>
        <w:rPr>
          <w:sz w:val="4"/>
          <w:szCs w:val="12"/>
          <w:u w:val="single"/>
        </w:rPr>
      </w:pPr>
      <w:r w:rsidRPr="00DC1A5F">
        <w:rPr>
          <w:sz w:val="4"/>
          <w:szCs w:val="12"/>
          <w:u w:val="single"/>
        </w:rPr>
        <w:tab/>
      </w:r>
      <w:r w:rsidRPr="00DC1A5F">
        <w:rPr>
          <w:sz w:val="4"/>
          <w:szCs w:val="12"/>
          <w:u w:val="single"/>
        </w:rPr>
        <w:tab/>
      </w:r>
      <w:r w:rsidRPr="00DC1A5F">
        <w:rPr>
          <w:sz w:val="4"/>
          <w:szCs w:val="12"/>
          <w:u w:val="single"/>
        </w:rPr>
        <w:tab/>
      </w:r>
      <w:r w:rsidRPr="00DC1A5F">
        <w:rPr>
          <w:sz w:val="4"/>
          <w:szCs w:val="12"/>
          <w:u w:val="single"/>
        </w:rPr>
        <w:tab/>
        <w:t>.</w:t>
      </w:r>
    </w:p>
    <w:p w14:paraId="3DFEE771"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La referencia corresponde a los destinos felices del mundo de los deseos sensoriales (de los seres humanos y de las deidades), al mundo </w:t>
      </w:r>
      <w:r w:rsidRPr="00DC1A5F">
        <w:rPr>
          <w:i/>
        </w:rPr>
        <w:t>Brahmā</w:t>
      </w:r>
      <w:r w:rsidRPr="00DC1A5F">
        <w:t xml:space="preserve"> de la materia sutil y al mundo </w:t>
      </w:r>
      <w:r w:rsidRPr="00DC1A5F">
        <w:rPr>
          <w:i/>
        </w:rPr>
        <w:t>Brahmā</w:t>
      </w:r>
      <w:r w:rsidRPr="00DC1A5F">
        <w:t xml:space="preserve"> inmaterial.</w:t>
      </w:r>
    </w:p>
    <w:p w14:paraId="7701A5F3" w14:textId="77777777" w:rsidR="00597DE2" w:rsidRPr="00DC1A5F" w:rsidRDefault="00597DE2" w:rsidP="00597DE2">
      <w:pPr>
        <w:pStyle w:val="PiedepginaLegal"/>
        <w:numPr>
          <w:ilvl w:val="0"/>
          <w:numId w:val="10"/>
        </w:numPr>
        <w:tabs>
          <w:tab w:val="clear" w:pos="425"/>
          <w:tab w:val="left" w:pos="284"/>
        </w:tabs>
        <w:spacing w:after="160"/>
        <w:ind w:left="284" w:hanging="284"/>
      </w:pPr>
      <w:r w:rsidRPr="00DC1A5F">
        <w:t xml:space="preserve">Para “los diez tipos de elefantes” de los cuales el </w:t>
      </w:r>
      <w:proofErr w:type="spellStart"/>
      <w:r w:rsidRPr="00DC1A5F">
        <w:rPr>
          <w:i/>
          <w:iCs/>
        </w:rPr>
        <w:t>Chaddanta</w:t>
      </w:r>
      <w:proofErr w:type="spellEnd"/>
      <w:r w:rsidRPr="00DC1A5F">
        <w:t xml:space="preserve"> (el de seis dientes) es el “mejor” ver M–a II 25. Cf. también con la descripción del elefante llamado “</w:t>
      </w:r>
      <w:proofErr w:type="spellStart"/>
      <w:r w:rsidRPr="00DC1A5F">
        <w:rPr>
          <w:i/>
        </w:rPr>
        <w:t>Uposatha</w:t>
      </w:r>
      <w:proofErr w:type="spellEnd"/>
      <w:r w:rsidRPr="00DC1A5F">
        <w:t>”, uno de los 7 tesoros de un Monarca Universal que hace girar la Rueda (M II 173). Sobre la expresión “con la postura séptuple” (</w:t>
      </w:r>
      <w:proofErr w:type="spellStart"/>
      <w:r w:rsidRPr="00DC1A5F">
        <w:rPr>
          <w:i/>
          <w:iCs/>
        </w:rPr>
        <w:t>sattappatiṭṭha</w:t>
      </w:r>
      <w:proofErr w:type="spellEnd"/>
      <w:r w:rsidRPr="00DC1A5F">
        <w:t xml:space="preserve">), en el </w:t>
      </w:r>
      <w:proofErr w:type="spellStart"/>
      <w:r w:rsidRPr="00DC1A5F">
        <w:t>Vism</w:t>
      </w:r>
      <w:proofErr w:type="spellEnd"/>
      <w:r w:rsidRPr="00DC1A5F">
        <w:t>–</w:t>
      </w:r>
      <w:proofErr w:type="spellStart"/>
      <w:r w:rsidRPr="00DC1A5F">
        <w:t>mhṭ</w:t>
      </w:r>
      <w:proofErr w:type="spellEnd"/>
      <w:r w:rsidRPr="00DC1A5F">
        <w:t xml:space="preserve"> se dice “</w:t>
      </w:r>
      <w:proofErr w:type="spellStart"/>
      <w:r w:rsidRPr="00DC1A5F">
        <w:rPr>
          <w:i/>
          <w:iCs/>
        </w:rPr>
        <w:t>Hatthapāda</w:t>
      </w:r>
      <w:proofErr w:type="spellEnd"/>
      <w:r w:rsidRPr="00DC1A5F">
        <w:rPr>
          <w:i/>
          <w:iCs/>
        </w:rPr>
        <w:t>–</w:t>
      </w:r>
      <w:proofErr w:type="spellStart"/>
      <w:r w:rsidRPr="00DC1A5F">
        <w:rPr>
          <w:i/>
          <w:iCs/>
        </w:rPr>
        <w:t>vālavatthikosehi</w:t>
      </w:r>
      <w:proofErr w:type="spellEnd"/>
      <w:r w:rsidRPr="00DC1A5F">
        <w:rPr>
          <w:i/>
          <w:iCs/>
        </w:rPr>
        <w:t xml:space="preserve"> </w:t>
      </w:r>
      <w:proofErr w:type="spellStart"/>
      <w:r w:rsidRPr="00DC1A5F">
        <w:rPr>
          <w:i/>
          <w:iCs/>
        </w:rPr>
        <w:t>bhūmiphusanehi</w:t>
      </w:r>
      <w:proofErr w:type="spellEnd"/>
      <w:r w:rsidRPr="00DC1A5F">
        <w:rPr>
          <w:i/>
          <w:iCs/>
        </w:rPr>
        <w:t xml:space="preserve"> </w:t>
      </w:r>
      <w:proofErr w:type="spellStart"/>
      <w:r w:rsidRPr="00DC1A5F">
        <w:rPr>
          <w:i/>
          <w:iCs/>
        </w:rPr>
        <w:t>sattahi</w:t>
      </w:r>
      <w:proofErr w:type="spellEnd"/>
      <w:r w:rsidRPr="00DC1A5F">
        <w:rPr>
          <w:i/>
          <w:iCs/>
        </w:rPr>
        <w:t xml:space="preserve"> </w:t>
      </w:r>
      <w:proofErr w:type="spellStart"/>
      <w:r w:rsidRPr="00DC1A5F">
        <w:rPr>
          <w:i/>
          <w:iCs/>
        </w:rPr>
        <w:t>patiṭṭhito</w:t>
      </w:r>
      <w:proofErr w:type="spellEnd"/>
      <w:r w:rsidRPr="00DC1A5F">
        <w:rPr>
          <w:i/>
          <w:iCs/>
        </w:rPr>
        <w:t xml:space="preserve"> ti </w:t>
      </w:r>
      <w:proofErr w:type="spellStart"/>
      <w:r w:rsidRPr="00DC1A5F">
        <w:rPr>
          <w:i/>
          <w:iCs/>
        </w:rPr>
        <w:t>sattapatiṭṭho</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838).</w:t>
      </w:r>
      <w:r w:rsidRPr="00DC1A5F">
        <w:br w:type="page"/>
      </w:r>
    </w:p>
    <w:p w14:paraId="15485B8F" w14:textId="77777777" w:rsidR="00597DE2" w:rsidRPr="00DC1A5F" w:rsidRDefault="00597DE2" w:rsidP="00597DE2">
      <w:pPr>
        <w:pStyle w:val="Textoindependiente"/>
      </w:pPr>
      <w:r w:rsidRPr="00DC1A5F">
        <w:lastRenderedPageBreak/>
        <w:t>“contemplación del desapasionamiento”. También se dice en el texto lo siguiente: “El entendimiento de la apariencia de terror, el conocimiento del peligro y el desapasionamiento: estas 3 cosas serán una en significado y diferentes sólo en la letra” (</w:t>
      </w:r>
      <w:proofErr w:type="spellStart"/>
      <w:r w:rsidRPr="00DC1A5F">
        <w:rPr>
          <w:i/>
          <w:iCs/>
        </w:rPr>
        <w:t>Paṭis</w:t>
      </w:r>
      <w:proofErr w:type="spellEnd"/>
      <w:r w:rsidRPr="00DC1A5F">
        <w:t xml:space="preserve"> II 63).</w:t>
      </w:r>
    </w:p>
    <w:p w14:paraId="13ED2F3B" w14:textId="77777777" w:rsidR="00597DE2" w:rsidRPr="00DC1A5F" w:rsidRDefault="00597DE2" w:rsidP="00597DE2">
      <w:pPr>
        <w:pStyle w:val="Ttulo4"/>
        <w:ind w:left="708"/>
      </w:pPr>
      <w:r w:rsidRPr="00DC1A5F">
        <w:rPr>
          <w:i w:val="0"/>
          <w:iCs w:val="0"/>
        </w:rPr>
        <w:t>[</w:t>
      </w:r>
      <w:r w:rsidRPr="00DC1A5F">
        <w:t>6. Conocimiento del Deseo de Liberación</w:t>
      </w:r>
      <w:r w:rsidRPr="00DC1A5F">
        <w:rPr>
          <w:i w:val="0"/>
          <w:iCs w:val="0"/>
        </w:rPr>
        <w:t>]</w:t>
      </w:r>
    </w:p>
    <w:p w14:paraId="0D399958" w14:textId="77777777" w:rsidR="00597DE2" w:rsidRPr="00DC1A5F" w:rsidRDefault="00597DE2" w:rsidP="00597DE2">
      <w:r w:rsidRPr="00DC1A5F">
        <w:t xml:space="preserve">45. </w:t>
      </w:r>
      <w:r w:rsidRPr="00DC1A5F">
        <w:tab/>
        <w:t>Cuando, debido a este conocimiento del desapasionamiento, este miembro de clan se vuelva desapasionado, se sienta insatisfecho, no se complazca en ninguna de las múltiples formaciones en cualquier tipo de devenir, generación, destino, estado de consciencia o plano existencial, su mente ya no se apegará, se unirá, ni se aferrará a ellos y se volverá deseoso de librarse de todo este campo de formaciones y escapar de él. ¿De qué manera?</w:t>
      </w:r>
    </w:p>
    <w:p w14:paraId="75BC6D34" w14:textId="77777777" w:rsidR="00597DE2" w:rsidRPr="00DC1A5F" w:rsidRDefault="00597DE2" w:rsidP="00597DE2">
      <w:r w:rsidRPr="00DC1A5F">
        <w:t>46. ​​</w:t>
      </w:r>
      <w:r w:rsidRPr="00DC1A5F">
        <w:tab/>
        <w:t xml:space="preserve">Así como un pez en una red, una rana en las fauces de una serpiente, un ave de la selva encerrada en una jaula, un ciervo caído en las garras de una fuerte trampa, una serpiente en manos de un encantador de serpientes, un elefante atrapado rápidamente en un gran pantano, un </w:t>
      </w:r>
      <w:proofErr w:type="spellStart"/>
      <w:r w:rsidRPr="00DC1A5F">
        <w:rPr>
          <w:i/>
          <w:iCs/>
        </w:rPr>
        <w:t>nāga</w:t>
      </w:r>
      <w:proofErr w:type="spellEnd"/>
      <w:r w:rsidRPr="00DC1A5F">
        <w:t xml:space="preserve"> real en la boca de un </w:t>
      </w:r>
      <w:proofErr w:type="spellStart"/>
      <w:r w:rsidRPr="00DC1A5F">
        <w:rPr>
          <w:i/>
          <w:iCs/>
        </w:rPr>
        <w:t>supaṇṇa</w:t>
      </w:r>
      <w:proofErr w:type="spellEnd"/>
      <w:r w:rsidRPr="00DC1A5F">
        <w:t xml:space="preserve">, así como la Luna dentro de la boca de </w:t>
      </w:r>
      <w:r w:rsidRPr="00DC1A5F">
        <w:rPr>
          <w:i/>
          <w:iCs/>
        </w:rPr>
        <w:t>Rāhu</w:t>
      </w:r>
      <w:r w:rsidRPr="00DC1A5F">
        <w:t>,</w:t>
      </w:r>
      <w:r w:rsidRPr="00DC1A5F">
        <w:rPr>
          <w:vertAlign w:val="superscript"/>
        </w:rPr>
        <w:t>16</w:t>
      </w:r>
      <w:r w:rsidRPr="00DC1A5F">
        <w:t xml:space="preserve"> así como un hombre rodeado de enemigos, etc.— así como éstos se sentirían deseosos de ser liberados, de encontrar un escape de estas cosas, así también la mente del meditador se sentirá deseosa de liberarse de todo el campo de las formaciones y escapar de él. Entonces, cuando ya no confíe en ninguna formación y desee liberarse de todo el campo de las formaciones, surgirá en él el conocimiento del deseo de la liberación.</w:t>
      </w:r>
    </w:p>
    <w:p w14:paraId="58B6527C" w14:textId="77777777" w:rsidR="00597DE2" w:rsidRPr="00DC1A5F" w:rsidRDefault="00597DE2" w:rsidP="00597DE2">
      <w:pPr>
        <w:pStyle w:val="NormalConSangria"/>
      </w:pPr>
      <w:r w:rsidRPr="00DC1A5F">
        <w:t>Con esto se ha culminado la sección del conocimiento del deseo de liberación.</w:t>
      </w:r>
    </w:p>
    <w:p w14:paraId="65873CC8" w14:textId="77777777" w:rsidR="00597DE2" w:rsidRPr="00DC1A5F" w:rsidRDefault="00597DE2" w:rsidP="00597DE2">
      <w:pPr>
        <w:pStyle w:val="Ttulo4"/>
        <w:ind w:left="708"/>
      </w:pPr>
      <w:r w:rsidRPr="00DC1A5F">
        <w:rPr>
          <w:i w:val="0"/>
          <w:iCs w:val="0"/>
        </w:rPr>
        <w:t>[</w:t>
      </w:r>
      <w:r w:rsidRPr="00DC1A5F">
        <w:t>7. Conocimiento de la Reflexión</w:t>
      </w:r>
      <w:r w:rsidRPr="00DC1A5F">
        <w:rPr>
          <w:i w:val="0"/>
          <w:iCs w:val="0"/>
        </w:rPr>
        <w:t>]</w:t>
      </w:r>
    </w:p>
    <w:p w14:paraId="1033A76A" w14:textId="77777777" w:rsidR="00597DE2" w:rsidRPr="00DC1A5F" w:rsidRDefault="00597DE2" w:rsidP="00597DE2">
      <w:r w:rsidRPr="00DC1A5F">
        <w:t xml:space="preserve">47. </w:t>
      </w:r>
      <w:r w:rsidRPr="00DC1A5F">
        <w:tab/>
        <w:t>Sintiéndose así deseoso de librarse de todas las múltiples formaciones en cualquier tipo de devenir, generación, destino, estación o plano existencial, para ser liberado de todo el campo de las formaciones [652], nuevamente discernirá sobre esas mismas formaciones, atribuyéndolas a ellas las 3 características mediante el conocimiento de la contemplación reflexiva.</w:t>
      </w:r>
    </w:p>
    <w:p w14:paraId="28AA506C" w14:textId="77777777" w:rsidR="00597DE2" w:rsidRPr="00DC1A5F" w:rsidRDefault="00597DE2" w:rsidP="00597DE2">
      <w:r w:rsidRPr="00DC1A5F">
        <w:t xml:space="preserve">48. </w:t>
      </w:r>
      <w:r w:rsidRPr="00DC1A5F">
        <w:tab/>
        <w:t>Él observará todas las formaciones como impermanentes por las siguientes razones: porque no son continuas, por ser temporales, por estar limitadas por el surgimiento y la desaparición, porque se desintegran, porque son volubles, perecederas, no perdurables, sujetas a cambios, por no poseer ningún núcleo, por ser aniquiladas, formadas, sujetas a la muerte, etc.</w:t>
      </w:r>
    </w:p>
    <w:p w14:paraId="28DBFA94" w14:textId="77777777" w:rsidR="00597DE2" w:rsidRPr="00DC1A5F" w:rsidRDefault="00597DE2" w:rsidP="00597DE2">
      <w:pPr>
        <w:pStyle w:val="NormalConSangria"/>
      </w:pPr>
      <w:r w:rsidRPr="00DC1A5F">
        <w:t xml:space="preserve">Las observará como insatisfactorias por las siguientes razones: porque están continuamente oprimidas, difíciles de soportar, por ser la base del dolor, de una enfermedad, de un tumor, de un dardo, de una calamidad, de una aflicción, una plaga, un desastre, un terror, una amenaza, por no poseer protección, refugio, abrigo, por ser un peligro, la raíz de una calamidad, por ser un asesino, algo sujeto a las contaminaciones, por ser el cebo de </w:t>
      </w:r>
      <w:r w:rsidRPr="00DC1A5F">
        <w:rPr>
          <w:i/>
        </w:rPr>
        <w:t>Māra</w:t>
      </w:r>
      <w:r w:rsidRPr="00DC1A5F">
        <w:t>, por estar sujeta al nacimiento, al envejecimiento, a la enfermedad, a la aflicción, al dolor, a la angustia, a la desesperación, a las contaminaciones, etc.</w:t>
      </w:r>
    </w:p>
    <w:p w14:paraId="1A28D436" w14:textId="77777777" w:rsidR="00597DE2" w:rsidRPr="00DC1A5F" w:rsidRDefault="00597DE2" w:rsidP="00597DE2">
      <w:pPr>
        <w:pStyle w:val="NormalConSangria"/>
      </w:pPr>
      <w:r w:rsidRPr="00DC1A5F">
        <w:t>Él observará todas las formaciones como un defecto (como antiestéticas)— como una característica auxiliar del dolor— por las siguientes razones: porque serán objetables, hediondas, repugnantes, repulsivas, porque no se verán afectadas por ningún camuflaje, por ser espantosas, repugnantes, etc.</w:t>
      </w:r>
    </w:p>
    <w:p w14:paraId="2B61EA4B" w14:textId="77777777" w:rsidR="00597DE2" w:rsidRPr="00DC1A5F" w:rsidRDefault="00597DE2" w:rsidP="00597DE2">
      <w:pPr>
        <w:pStyle w:val="NormalConSangria"/>
      </w:pPr>
      <w:r w:rsidRPr="00DC1A5F">
        <w:t xml:space="preserve">Él observará todas las formaciones como no–alma por las siguientes razones: porque serán </w:t>
      </w:r>
    </w:p>
    <w:p w14:paraId="66660E71" w14:textId="77777777" w:rsidR="00597DE2" w:rsidRPr="00DC1A5F" w:rsidRDefault="00597DE2" w:rsidP="00597DE2">
      <w:pPr>
        <w:pStyle w:val="PiedepginaLegal"/>
        <w:rPr>
          <w:sz w:val="8"/>
          <w:szCs w:val="16"/>
          <w:u w:val="single"/>
        </w:rPr>
      </w:pPr>
      <w:r w:rsidRPr="00DC1A5F">
        <w:rPr>
          <w:sz w:val="8"/>
          <w:szCs w:val="16"/>
          <w:u w:val="single"/>
        </w:rPr>
        <w:tab/>
      </w:r>
      <w:r w:rsidRPr="00DC1A5F">
        <w:rPr>
          <w:sz w:val="8"/>
          <w:szCs w:val="16"/>
          <w:u w:val="single"/>
        </w:rPr>
        <w:tab/>
      </w:r>
      <w:r w:rsidRPr="00DC1A5F">
        <w:rPr>
          <w:sz w:val="8"/>
          <w:szCs w:val="16"/>
          <w:u w:val="single"/>
        </w:rPr>
        <w:tab/>
      </w:r>
      <w:r w:rsidRPr="00DC1A5F">
        <w:rPr>
          <w:sz w:val="8"/>
          <w:szCs w:val="16"/>
          <w:u w:val="single"/>
        </w:rPr>
        <w:tab/>
        <w:t>.</w:t>
      </w:r>
    </w:p>
    <w:p w14:paraId="74450507" w14:textId="77777777" w:rsidR="00597DE2" w:rsidRPr="00DC1A5F" w:rsidRDefault="00597DE2" w:rsidP="00597DE2">
      <w:pPr>
        <w:pStyle w:val="PiedepginaLegal"/>
        <w:numPr>
          <w:ilvl w:val="0"/>
          <w:numId w:val="10"/>
        </w:numPr>
        <w:tabs>
          <w:tab w:val="clear" w:pos="425"/>
          <w:tab w:val="left" w:pos="284"/>
        </w:tabs>
        <w:ind w:left="284" w:hanging="284"/>
      </w:pPr>
      <w:proofErr w:type="spellStart"/>
      <w:r w:rsidRPr="00DC1A5F">
        <w:rPr>
          <w:i/>
          <w:iCs/>
        </w:rPr>
        <w:t>Rāhu</w:t>
      </w:r>
      <w:proofErr w:type="spellEnd"/>
      <w:r w:rsidRPr="00DC1A5F">
        <w:t xml:space="preserve"> es el nombre del eclipse de Sol o de Luna, personalizado como un demonio que los captura en su boca (ver S I 50–51 y M I 87).</w:t>
      </w:r>
      <w:r w:rsidRPr="00DC1A5F">
        <w:br w:type="page"/>
      </w:r>
    </w:p>
    <w:p w14:paraId="16DEC0AD" w14:textId="77777777" w:rsidR="00597DE2" w:rsidRPr="00DC1A5F" w:rsidRDefault="00597DE2" w:rsidP="00597DE2">
      <w:r w:rsidRPr="00DC1A5F">
        <w:lastRenderedPageBreak/>
        <w:t>ajenas, vacías, vanas, desiertas, sin dueño, sin Señor Supremo, sin nadie que ejerza poder sobre ellas, etc.</w:t>
      </w:r>
    </w:p>
    <w:p w14:paraId="7A926C4F" w14:textId="77777777" w:rsidR="00597DE2" w:rsidRPr="00DC1A5F" w:rsidRDefault="00597DE2" w:rsidP="00597DE2">
      <w:pPr>
        <w:pStyle w:val="NormalConSangria"/>
      </w:pPr>
      <w:r w:rsidRPr="00DC1A5F">
        <w:t>Es cuando observe así estas formaciones que se dice que las discernirá atribuyéndoles las 3 características.</w:t>
      </w:r>
    </w:p>
    <w:p w14:paraId="5E520D21" w14:textId="77777777" w:rsidR="00597DE2" w:rsidRPr="00DC1A5F" w:rsidRDefault="00597DE2" w:rsidP="00597DE2">
      <w:r w:rsidRPr="00DC1A5F">
        <w:t xml:space="preserve">49. </w:t>
      </w:r>
      <w:r w:rsidRPr="00DC1A5F">
        <w:tab/>
        <w:t xml:space="preserve">No obstante, ¿por qué las discernirá así? Con el objeto de plantearse los medios para la liberación. Aquí un símil: un hombre pensó en atrapar un pez, así que tomó una red de pescar y la arrojó al agua. Metió la mano en la boca de la red, debajo del agua, y agarró una serpiente por el cuello. Se alegró, pensando: “He pescado un pez”. Creyendo que había atrapado un pez grande, lo levantó para verlo. Cuando vio </w:t>
      </w:r>
      <w:proofErr w:type="gramStart"/>
      <w:r w:rsidRPr="00DC1A5F">
        <w:t>su tres marcas</w:t>
      </w:r>
      <w:proofErr w:type="gramEnd"/>
      <w:r w:rsidRPr="00DC1A5F">
        <w:t>, él se dio cuenta que era una serpiente y se asustó. Vio el peligro, se sintió desapasionamiento (sintió repulsión) por lo que había agarrado y deseó ser librado de ello. Planteándose un medio para librarse de ella, desenvolvió lo enrollado en su mano, comenzando desde la punta de su cola. Luego, levantó el brazo y cuando hubo debilitado a la serpiente, girándola dos o tres veces alrededor de su cabeza, la arrojó lejos, gritando: “¡Fuera de aquí, serpiente asquerosa!”. Entonces, dirigiéndose rápidamente a tierra firme, se quedó mirando hacia atrás, desde donde había llegado, pensando: “¡Dios mío, me he librado de las fauces de una serpiente enorme!”</w:t>
      </w:r>
    </w:p>
    <w:p w14:paraId="0CCEA3B4" w14:textId="77777777" w:rsidR="00597DE2" w:rsidRPr="00DC1A5F" w:rsidRDefault="00597DE2" w:rsidP="00597DE2">
      <w:r w:rsidRPr="00DC1A5F">
        <w:t xml:space="preserve">50. </w:t>
      </w:r>
      <w:r w:rsidRPr="00DC1A5F">
        <w:tab/>
        <w:t>Aquí, al momento en el que un meditador se alegre al principio de haber adoptado el cuerpo de una persona, será como el momento en que el hombre se alegrase de haber agarrado a la serpiente por el cuello. Al hecho de que este meditador observe las tres características de las formaciones después de haber reconocido la compacidad de los elementos primarios, será como el hom</w:t>
      </w:r>
      <w:r w:rsidRPr="00DC1A5F">
        <w:rPr>
          <w:u w:color="000000"/>
        </w:rPr>
        <w:t xml:space="preserve">bre al darse cuenta de las tres marcas al sacar la cabeza de la serpiente de la boca de la red. [653] El </w:t>
      </w:r>
      <w:r w:rsidRPr="00DC1A5F">
        <w:rPr>
          <w:i/>
          <w:iCs/>
          <w:u w:color="000000"/>
        </w:rPr>
        <w:t>conocimiento de la apariencia de terror</w:t>
      </w:r>
      <w:r w:rsidRPr="00DC1A5F">
        <w:rPr>
          <w:u w:color="000000"/>
        </w:rPr>
        <w:t xml:space="preserve"> del meditador será como el momento en que el hombre se asuntase. El conocimiento de la contemplación de peligro será como el del hombre al apreciar el peligro. El conocimiento de la contemplación del desapasionamiento al </w:t>
      </w:r>
      <w:proofErr w:type="gramStart"/>
      <w:r w:rsidRPr="00DC1A5F">
        <w:rPr>
          <w:u w:color="000000"/>
        </w:rPr>
        <w:t>respecto,</w:t>
      </w:r>
      <w:proofErr w:type="gramEnd"/>
      <w:r w:rsidRPr="00DC1A5F">
        <w:rPr>
          <w:u w:color="000000"/>
        </w:rPr>
        <w:t xml:space="preserve"> será como el</w:t>
      </w:r>
      <w:r w:rsidRPr="00DC1A5F">
        <w:rPr>
          <w:color w:val="833C0B" w:themeColor="accent2" w:themeShade="80"/>
          <w:u w:color="000000"/>
        </w:rPr>
        <w:t xml:space="preserve"> </w:t>
      </w:r>
      <w:r w:rsidRPr="00DC1A5F">
        <w:rPr>
          <w:u w:color="000000"/>
        </w:rPr>
        <w:t>desapasionamiento (la repulsión) del pescador por lo que hubo agarrado. El conocimiento del</w:t>
      </w:r>
      <w:r w:rsidRPr="00DC1A5F">
        <w:t xml:space="preserve"> deseo de liberación será como la liberación del hombre de la serpiente. La atribución de las tres características de las formaciones, mediante el conocimiento de la contemplación de la reflexión, será como el hombre al plantearse un medio para librarse de la serpiente. Porque así como el hombre debilitó a la serpiente balanceándola, manteniéndola alejada y haciéndola incapaz de morderlo, para así completamente librarse de ella, así también, este meditador debilitará las formaciones balanceándolas con la atribución de las 3 características, haciéndolas incapaces de resurgir nuevamente en las modalidades de permanencia, placer, belleza y alma, librándose así plenamente de ellas. Por eso se dijo anteriormente que él las discernirá así “para plantearse los medios de su liberación”.</w:t>
      </w:r>
    </w:p>
    <w:p w14:paraId="6E6AD567" w14:textId="77777777" w:rsidR="00597DE2" w:rsidRPr="00DC1A5F" w:rsidRDefault="00597DE2" w:rsidP="00597DE2">
      <w:r w:rsidRPr="00DC1A5F">
        <w:t xml:space="preserve">51. </w:t>
      </w:r>
      <w:r w:rsidRPr="00DC1A5F">
        <w:tab/>
        <w:t>En este punto, habrá surgido en él el conocimiento de la reflexión, con referencia a lo cual se dice: “Cuando las evoque en la mente como impermanentes, ¿surgirá en él el conocimiento después de la reflexión de qué? Cuando las evoque en la mente como insatisfactorias… como no–alma, ¿surgirá en él el conocimiento después de la reflexión de qué? Cuando las evoque en la mente como impermanentes, surgirá en él el conocimiento después de reflexionar en el signo. Cuando las evoque en la mente como insatisfactorias, surgirá en él el conocimiento después de reflexionar en su ocurrencia. Cuando las evoque en la mente como no–alma, surgirá en él el conocimiento después de reflexionar en su signo y su ocurrencia” (</w:t>
      </w:r>
      <w:proofErr w:type="spellStart"/>
      <w:r w:rsidRPr="00DC1A5F">
        <w:rPr>
          <w:i/>
          <w:iCs/>
        </w:rPr>
        <w:t>Paṭis</w:t>
      </w:r>
      <w:proofErr w:type="spellEnd"/>
      <w:r w:rsidRPr="00DC1A5F">
        <w:t xml:space="preserve"> II 63).</w:t>
      </w:r>
    </w:p>
    <w:p w14:paraId="1389C649" w14:textId="77777777" w:rsidR="00597DE2" w:rsidRPr="00DC1A5F" w:rsidRDefault="00597DE2" w:rsidP="00597DE2">
      <w:pPr>
        <w:tabs>
          <w:tab w:val="clear" w:pos="425"/>
        </w:tabs>
        <w:spacing w:after="160"/>
      </w:pPr>
      <w:r w:rsidRPr="00DC1A5F">
        <w:br w:type="page"/>
      </w:r>
    </w:p>
    <w:p w14:paraId="2788875B" w14:textId="77777777" w:rsidR="00597DE2" w:rsidRPr="00DC1A5F" w:rsidRDefault="00597DE2" w:rsidP="00597DE2"/>
    <w:p w14:paraId="3BBD87AC" w14:textId="77777777" w:rsidR="00597DE2" w:rsidRPr="00DC1A5F" w:rsidRDefault="00597DE2" w:rsidP="00597DE2">
      <w:pPr>
        <w:pStyle w:val="Textoindependiente"/>
      </w:pPr>
      <w:r w:rsidRPr="00DC1A5F">
        <w:t xml:space="preserve">52. </w:t>
      </w:r>
      <w:r w:rsidRPr="00DC1A5F">
        <w:tab/>
        <w:t xml:space="preserve">Aquí </w:t>
      </w:r>
      <w:r w:rsidRPr="00DC1A5F">
        <w:rPr>
          <w:i/>
          <w:iCs/>
        </w:rPr>
        <w:t>después de reflexionar en el signo</w:t>
      </w:r>
      <w:r w:rsidRPr="00DC1A5F">
        <w:t xml:space="preserve"> significará habiendo conocido el signo de las formaciones por medio de la característica de la impermanencia como no–perdurable y temporal. Por supuesto, no</w:t>
      </w:r>
      <w:r w:rsidRPr="00DC1A5F">
        <w:rPr>
          <w:vertAlign w:val="superscript"/>
        </w:rPr>
        <w:t>17</w:t>
      </w:r>
      <w:r w:rsidRPr="00DC1A5F">
        <w:t xml:space="preserve"> es que, habiendo conocido esto primero, surgirá luego el conocimiento; pero se expresará de esta manera según el uso común al respecto, como en el pasaje que comienza con, “Debido a (</w:t>
      </w:r>
      <w:proofErr w:type="spellStart"/>
      <w:r w:rsidRPr="00DC1A5F">
        <w:t>lit.</w:t>
      </w:r>
      <w:proofErr w:type="spellEnd"/>
      <w:r w:rsidRPr="00DC1A5F">
        <w:t xml:space="preserve"> al haber dependido de) la mente y el objeto mental, se origina la consciencia mental” (M I 112), etc. O bien, podrá entenderse, tal como es expresado según el método de la identidad, identificando lo precedente con lo subsiguiente. El significado de las dos expresiones restantes, es decir, “la ocurrencia” y “el signo y la ocurrencia” deberán entenderse de la misma manera.</w:t>
      </w:r>
    </w:p>
    <w:p w14:paraId="710AB49D" w14:textId="77777777" w:rsidR="00597DE2" w:rsidRPr="00DC1A5F" w:rsidRDefault="00597DE2" w:rsidP="00597DE2">
      <w:pPr>
        <w:pStyle w:val="NormalConSangria"/>
      </w:pPr>
      <w:r w:rsidRPr="00DC1A5F">
        <w:t>Con esto se ha culminado la sección del conocimiento de la contemplación de la reflexión.</w:t>
      </w:r>
    </w:p>
    <w:p w14:paraId="42BFD0CA" w14:textId="77777777" w:rsidR="00597DE2" w:rsidRPr="00DC1A5F" w:rsidRDefault="00597DE2" w:rsidP="00597DE2">
      <w:pPr>
        <w:pStyle w:val="Ttulo3"/>
        <w:ind w:left="709"/>
      </w:pPr>
      <w:r w:rsidRPr="00DC1A5F">
        <w:t>[Discernimiento de Toda Formación como vacía]</w:t>
      </w:r>
    </w:p>
    <w:p w14:paraId="53B9A2A2" w14:textId="77777777" w:rsidR="00597DE2" w:rsidRPr="00DC1A5F" w:rsidRDefault="00597DE2" w:rsidP="00597DE2">
      <w:r w:rsidRPr="00DC1A5F">
        <w:t xml:space="preserve">53. </w:t>
      </w:r>
      <w:r w:rsidRPr="00DC1A5F">
        <w:tab/>
        <w:t>Habiendo así discernido, mediante el conocimiento de la contemplación de la reflexión, de que “Todas las formaciones son vacías” (ver S III 167), él discernirá nuevamente en el vacío a través de una doble relación lógica</w:t>
      </w:r>
      <w:r w:rsidRPr="00DC1A5F">
        <w:rPr>
          <w:vertAlign w:val="superscript"/>
        </w:rPr>
        <w:t>18</w:t>
      </w:r>
      <w:r w:rsidRPr="00DC1A5F">
        <w:t xml:space="preserve"> así: “Esto está vacío de alma o de aquello perteneciente a un alma” (M II 263; </w:t>
      </w:r>
      <w:proofErr w:type="spellStart"/>
      <w:r w:rsidRPr="00DC1A5F">
        <w:rPr>
          <w:i/>
          <w:iCs/>
        </w:rPr>
        <w:t>Paṭis</w:t>
      </w:r>
      <w:proofErr w:type="spellEnd"/>
      <w:r w:rsidRPr="00DC1A5F">
        <w:t xml:space="preserve"> II 36).</w:t>
      </w:r>
    </w:p>
    <w:p w14:paraId="13A1051C" w14:textId="77777777" w:rsidR="00597DE2" w:rsidRPr="00DC1A5F" w:rsidRDefault="00597DE2" w:rsidP="00597DE2">
      <w:pPr>
        <w:pStyle w:val="NormalConSangria"/>
      </w:pPr>
      <w:r w:rsidRPr="00DC1A5F">
        <w:t>Cuando él haya observado que no existe ninguna alma en lo absoluto y ninguna otra cosa o ser ocupando la posición como propiedad de un alma, volverá a discernir en la vacuidad de la cuádruple relación lógica, tal como se establece en el siguiente [654] pasaje: “Yo no me encuentro en ninguna propiedad de nadie, y tampoco existe ninguna propiedad mía en nadie (</w:t>
      </w:r>
      <w:proofErr w:type="spellStart"/>
      <w:r w:rsidRPr="00DC1A5F">
        <w:rPr>
          <w:i/>
          <w:iCs/>
        </w:rPr>
        <w:t>nāhaṃ</w:t>
      </w:r>
      <w:proofErr w:type="spellEnd"/>
      <w:r w:rsidRPr="00DC1A5F">
        <w:rPr>
          <w:i/>
          <w:iCs/>
        </w:rPr>
        <w:t xml:space="preserve"> </w:t>
      </w:r>
      <w:proofErr w:type="spellStart"/>
      <w:r w:rsidRPr="00DC1A5F">
        <w:rPr>
          <w:i/>
          <w:iCs/>
        </w:rPr>
        <w:t>kvacani</w:t>
      </w:r>
      <w:proofErr w:type="spellEnd"/>
      <w:r w:rsidRPr="00DC1A5F">
        <w:rPr>
          <w:i/>
          <w:iCs/>
        </w:rPr>
        <w:t xml:space="preserve"> </w:t>
      </w:r>
      <w:proofErr w:type="spellStart"/>
      <w:r w:rsidRPr="00DC1A5F">
        <w:rPr>
          <w:i/>
          <w:iCs/>
        </w:rPr>
        <w:t>kassaci</w:t>
      </w:r>
      <w:proofErr w:type="spellEnd"/>
      <w:r w:rsidRPr="00DC1A5F">
        <w:rPr>
          <w:i/>
          <w:iCs/>
        </w:rPr>
        <w:t xml:space="preserve"> </w:t>
      </w:r>
      <w:proofErr w:type="spellStart"/>
      <w:r w:rsidRPr="00DC1A5F">
        <w:rPr>
          <w:i/>
          <w:iCs/>
        </w:rPr>
        <w:t>kiñcanat</w:t>
      </w:r>
      <w:proofErr w:type="spellEnd"/>
      <w:r w:rsidRPr="00DC1A5F">
        <w:rPr>
          <w:i/>
          <w:iCs/>
        </w:rPr>
        <w:t xml:space="preserve">’ </w:t>
      </w:r>
      <w:proofErr w:type="spellStart"/>
      <w:r w:rsidRPr="00DC1A5F">
        <w:rPr>
          <w:i/>
          <w:iCs/>
        </w:rPr>
        <w:t>asmií</w:t>
      </w:r>
      <w:proofErr w:type="spellEnd"/>
      <w:r w:rsidRPr="00DC1A5F">
        <w:rPr>
          <w:i/>
          <w:iCs/>
        </w:rPr>
        <w:t xml:space="preserve"> </w:t>
      </w:r>
      <w:proofErr w:type="spellStart"/>
      <w:r w:rsidRPr="00DC1A5F">
        <w:rPr>
          <w:i/>
          <w:iCs/>
        </w:rPr>
        <w:t>na</w:t>
      </w:r>
      <w:proofErr w:type="spellEnd"/>
      <w:r w:rsidRPr="00DC1A5F">
        <w:rPr>
          <w:i/>
          <w:iCs/>
        </w:rPr>
        <w:t xml:space="preserve"> ca mama </w:t>
      </w:r>
      <w:proofErr w:type="spellStart"/>
      <w:r w:rsidRPr="00DC1A5F">
        <w:rPr>
          <w:i/>
          <w:iCs/>
        </w:rPr>
        <w:t>kvacani</w:t>
      </w:r>
      <w:proofErr w:type="spellEnd"/>
      <w:r w:rsidRPr="00DC1A5F">
        <w:rPr>
          <w:i/>
          <w:iCs/>
        </w:rPr>
        <w:t xml:space="preserve"> </w:t>
      </w:r>
      <w:proofErr w:type="spellStart"/>
      <w:r w:rsidRPr="00DC1A5F">
        <w:rPr>
          <w:i/>
          <w:iCs/>
        </w:rPr>
        <w:t>kismiñci</w:t>
      </w:r>
      <w:proofErr w:type="spellEnd"/>
      <w:r w:rsidRPr="00DC1A5F">
        <w:rPr>
          <w:i/>
          <w:iCs/>
        </w:rPr>
        <w:t xml:space="preserve"> </w:t>
      </w:r>
      <w:proofErr w:type="spellStart"/>
      <w:r w:rsidRPr="00DC1A5F">
        <w:rPr>
          <w:i/>
          <w:iCs/>
        </w:rPr>
        <w:t>kiñcanat</w:t>
      </w:r>
      <w:proofErr w:type="spellEnd"/>
      <w:r w:rsidRPr="00DC1A5F">
        <w:rPr>
          <w:i/>
          <w:iCs/>
        </w:rPr>
        <w:t xml:space="preserve">’ </w:t>
      </w:r>
      <w:proofErr w:type="spellStart"/>
      <w:r w:rsidRPr="00DC1A5F">
        <w:rPr>
          <w:i/>
          <w:iCs/>
        </w:rPr>
        <w:t>atthi</w:t>
      </w:r>
      <w:proofErr w:type="spellEnd"/>
      <w:r w:rsidRPr="00DC1A5F">
        <w:t>)” (M II 263).</w:t>
      </w:r>
      <w:r w:rsidRPr="00DC1A5F">
        <w:rPr>
          <w:vertAlign w:val="superscript"/>
        </w:rPr>
        <w:t>19</w:t>
      </w:r>
      <w:r w:rsidRPr="00DC1A5F">
        <w:t xml:space="preserve"> ¿Cómo?</w:t>
      </w:r>
    </w:p>
    <w:p w14:paraId="234DB80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7988DA5" w14:textId="77777777" w:rsidR="00597DE2" w:rsidRPr="00DC1A5F" w:rsidRDefault="00597DE2" w:rsidP="00597DE2">
      <w:pPr>
        <w:pStyle w:val="PiedepginaLegal"/>
        <w:numPr>
          <w:ilvl w:val="0"/>
          <w:numId w:val="10"/>
        </w:numPr>
        <w:tabs>
          <w:tab w:val="clear" w:pos="425"/>
          <w:tab w:val="left" w:pos="284"/>
        </w:tabs>
        <w:ind w:left="284" w:hanging="284"/>
      </w:pPr>
      <w:r w:rsidRPr="00DC1A5F">
        <w:t>El sentido pareciera requerir la lectura, “</w:t>
      </w:r>
      <w:proofErr w:type="spellStart"/>
      <w:r w:rsidRPr="00DC1A5F">
        <w:rPr>
          <w:i/>
          <w:iCs/>
        </w:rPr>
        <w:t>Kāmañ</w:t>
      </w:r>
      <w:proofErr w:type="spellEnd"/>
      <w:r w:rsidRPr="00DC1A5F">
        <w:rPr>
          <w:i/>
          <w:iCs/>
        </w:rPr>
        <w:t xml:space="preserve"> ca </w:t>
      </w:r>
      <w:proofErr w:type="spellStart"/>
      <w:r w:rsidRPr="00DC1A5F">
        <w:rPr>
          <w:i/>
          <w:iCs/>
        </w:rPr>
        <w:t>na</w:t>
      </w:r>
      <w:proofErr w:type="spellEnd"/>
      <w:r w:rsidRPr="00DC1A5F">
        <w:rPr>
          <w:i/>
          <w:iCs/>
        </w:rPr>
        <w:t xml:space="preserve"> </w:t>
      </w:r>
      <w:proofErr w:type="spellStart"/>
      <w:proofErr w:type="gramStart"/>
      <w:r w:rsidRPr="00DC1A5F">
        <w:rPr>
          <w:i/>
          <w:iCs/>
        </w:rPr>
        <w:t>paṭhamaí</w:t>
      </w:r>
      <w:proofErr w:type="spellEnd"/>
      <w:r w:rsidRPr="00DC1A5F">
        <w:t>”…</w:t>
      </w:r>
      <w:proofErr w:type="gramEnd"/>
    </w:p>
    <w:p w14:paraId="327EF53E" w14:textId="77777777" w:rsidR="00597DE2" w:rsidRPr="00DC1A5F" w:rsidRDefault="00597DE2" w:rsidP="00597DE2">
      <w:pPr>
        <w:pStyle w:val="PiedepginaLegal"/>
        <w:numPr>
          <w:ilvl w:val="0"/>
          <w:numId w:val="10"/>
        </w:numPr>
        <w:tabs>
          <w:tab w:val="clear" w:pos="425"/>
          <w:tab w:val="left" w:pos="284"/>
        </w:tabs>
        <w:ind w:left="284" w:hanging="284"/>
      </w:pPr>
      <w:proofErr w:type="spellStart"/>
      <w:r w:rsidRPr="00DC1A5F">
        <w:rPr>
          <w:i/>
          <w:iCs/>
        </w:rPr>
        <w:t>Dvikoṭika</w:t>
      </w:r>
      <w:proofErr w:type="spellEnd"/>
      <w:r w:rsidRPr="00DC1A5F">
        <w:t xml:space="preserve"> (“relación lógica doble”) y </w:t>
      </w:r>
      <w:proofErr w:type="spellStart"/>
      <w:r w:rsidRPr="00DC1A5F">
        <w:rPr>
          <w:i/>
          <w:iCs/>
        </w:rPr>
        <w:t>catukoṭika</w:t>
      </w:r>
      <w:proofErr w:type="spellEnd"/>
      <w:r w:rsidRPr="00DC1A5F">
        <w:t xml:space="preserve"> (“relación lógica cuádruple”): </w:t>
      </w:r>
      <w:proofErr w:type="spellStart"/>
      <w:r w:rsidRPr="00DC1A5F">
        <w:t>Skr</w:t>
      </w:r>
      <w:proofErr w:type="spellEnd"/>
      <w:r w:rsidRPr="00DC1A5F">
        <w:t xml:space="preserve">. </w:t>
      </w:r>
      <w:proofErr w:type="spellStart"/>
      <w:r w:rsidRPr="00DC1A5F">
        <w:rPr>
          <w:i/>
          <w:iCs/>
        </w:rPr>
        <w:t>catuḥkoṭi</w:t>
      </w:r>
      <w:proofErr w:type="spellEnd"/>
      <w:r w:rsidRPr="00DC1A5F">
        <w:t xml:space="preserve"> (cf. Th. </w:t>
      </w:r>
      <w:proofErr w:type="spellStart"/>
      <w:r w:rsidRPr="00DC1A5F">
        <w:t>Stcherbatsky</w:t>
      </w:r>
      <w:proofErr w:type="spellEnd"/>
      <w:r w:rsidRPr="00DC1A5F">
        <w:t xml:space="preserve">, </w:t>
      </w:r>
      <w:proofErr w:type="spellStart"/>
      <w:r w:rsidRPr="00DC1A5F">
        <w:rPr>
          <w:i/>
          <w:iCs/>
        </w:rPr>
        <w:t>Buddhist</w:t>
      </w:r>
      <w:proofErr w:type="spellEnd"/>
      <w:r w:rsidRPr="00DC1A5F">
        <w:rPr>
          <w:i/>
          <w:iCs/>
        </w:rPr>
        <w:t xml:space="preserve"> </w:t>
      </w:r>
      <w:proofErr w:type="spellStart"/>
      <w:r w:rsidRPr="00DC1A5F">
        <w:rPr>
          <w:i/>
          <w:iCs/>
        </w:rPr>
        <w:t>Logic</w:t>
      </w:r>
      <w:proofErr w:type="spellEnd"/>
      <w:r w:rsidRPr="00DC1A5F">
        <w:t>, págs. 60–61, nota 5).</w:t>
      </w:r>
    </w:p>
    <w:p w14:paraId="4B932091"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Hay una serie de lecturas variantes sobre este pasaje en el </w:t>
      </w:r>
      <w:proofErr w:type="spellStart"/>
      <w:r w:rsidRPr="00DC1A5F">
        <w:rPr>
          <w:i/>
          <w:iCs/>
        </w:rPr>
        <w:t>sutta</w:t>
      </w:r>
      <w:proofErr w:type="spellEnd"/>
      <w:r w:rsidRPr="00DC1A5F">
        <w:t xml:space="preserve"> (que se encuentra en otro lugar como sigue: A I 206; II 177; cf. III 170). También hay otras lecturas variantes del comentario, reproducidas en el M–a IV 63–65 y en el comentario del A II 177. Las lecturas adoptadas aquí corresponden a aquellas que muestran un estudio de los diversos contextos. El pasaje es difícil.</w:t>
      </w:r>
    </w:p>
    <w:p w14:paraId="66553ABB" w14:textId="77777777" w:rsidR="00597DE2" w:rsidRPr="00DC1A5F" w:rsidRDefault="00597DE2" w:rsidP="00597DE2">
      <w:pPr>
        <w:pStyle w:val="PiedepginaLegal"/>
      </w:pPr>
      <w:r w:rsidRPr="00DC1A5F">
        <w:tab/>
      </w:r>
      <w:r w:rsidRPr="00DC1A5F">
        <w:tab/>
        <w:t xml:space="preserve">El pasaje del </w:t>
      </w:r>
      <w:proofErr w:type="spellStart"/>
      <w:r w:rsidRPr="00DC1A5F">
        <w:rPr>
          <w:i/>
          <w:iCs/>
        </w:rPr>
        <w:t>sutta</w:t>
      </w:r>
      <w:proofErr w:type="spellEnd"/>
      <w:r w:rsidRPr="00DC1A5F">
        <w:t xml:space="preserve"> pareciera haber correspondido a una frase corriente entre los no–budistas, por sus diversos escenarios, como una especie de eslogan para los ascetas desnudos (A I 206); y se usa para describir la base consistente del vacío (M II 263), cuyo sentido último se incorporó a la enseñanza del </w:t>
      </w:r>
      <w:r w:rsidRPr="00DC1A5F">
        <w:rPr>
          <w:i/>
        </w:rPr>
        <w:t>Buddha</w:t>
      </w:r>
      <w:r w:rsidRPr="00DC1A5F">
        <w:t xml:space="preserve"> como una descripción que pudiese convertirse en la base para una visión correcta o incorrecta, según se trate.</w:t>
      </w:r>
    </w:p>
    <w:p w14:paraId="6EBB12E3" w14:textId="77777777" w:rsidR="00597DE2" w:rsidRPr="00DC1A5F" w:rsidRDefault="00597DE2" w:rsidP="00597DE2">
      <w:pPr>
        <w:pStyle w:val="PiedepginaLegal"/>
      </w:pPr>
      <w:r w:rsidRPr="00DC1A5F">
        <w:tab/>
      </w:r>
      <w:r w:rsidRPr="00DC1A5F">
        <w:tab/>
        <w:t xml:space="preserve">La interpretación del comentario que se expone aquí está resumida en el </w:t>
      </w:r>
      <w:proofErr w:type="spellStart"/>
      <w:r w:rsidRPr="00DC1A5F">
        <w:t>Vism</w:t>
      </w:r>
      <w:proofErr w:type="spellEnd"/>
      <w:r w:rsidRPr="00DC1A5F">
        <w:t>–</w:t>
      </w:r>
      <w:proofErr w:type="spellStart"/>
      <w:r w:rsidRPr="00DC1A5F">
        <w:t>mhṭ</w:t>
      </w:r>
      <w:proofErr w:type="spellEnd"/>
      <w:r w:rsidRPr="00DC1A5F">
        <w:t xml:space="preserve"> de la siguiente manera: “‘</w:t>
      </w:r>
      <w:proofErr w:type="spellStart"/>
      <w:r w:rsidRPr="00DC1A5F">
        <w:rPr>
          <w:i/>
          <w:iCs/>
        </w:rPr>
        <w:t>Nāhaṃ</w:t>
      </w:r>
      <w:proofErr w:type="spellEnd"/>
      <w:r w:rsidRPr="00DC1A5F">
        <w:rPr>
          <w:i/>
          <w:iCs/>
        </w:rPr>
        <w:t xml:space="preserve"> </w:t>
      </w:r>
      <w:proofErr w:type="spellStart"/>
      <w:r w:rsidRPr="00DC1A5F">
        <w:rPr>
          <w:i/>
          <w:iCs/>
        </w:rPr>
        <w:t>kvacini</w:t>
      </w:r>
      <w:proofErr w:type="spellEnd"/>
      <w:r w:rsidRPr="00DC1A5F">
        <w:rPr>
          <w:i/>
          <w:iCs/>
        </w:rPr>
        <w:t>’</w:t>
      </w:r>
      <w:r w:rsidRPr="00DC1A5F">
        <w:t>: él observará la inexistencia de su propia alma. ‘</w:t>
      </w:r>
      <w:proofErr w:type="spellStart"/>
      <w:r w:rsidRPr="00DC1A5F">
        <w:rPr>
          <w:i/>
          <w:iCs/>
        </w:rPr>
        <w:t>Na</w:t>
      </w:r>
      <w:proofErr w:type="spellEnd"/>
      <w:r w:rsidRPr="00DC1A5F">
        <w:rPr>
          <w:i/>
          <w:iCs/>
        </w:rPr>
        <w:t xml:space="preserve"> </w:t>
      </w:r>
      <w:proofErr w:type="spellStart"/>
      <w:r w:rsidRPr="00DC1A5F">
        <w:rPr>
          <w:i/>
          <w:iCs/>
        </w:rPr>
        <w:t>kassaci</w:t>
      </w:r>
      <w:proofErr w:type="spellEnd"/>
      <w:r w:rsidRPr="00DC1A5F">
        <w:rPr>
          <w:i/>
          <w:iCs/>
        </w:rPr>
        <w:t xml:space="preserve"> </w:t>
      </w:r>
      <w:proofErr w:type="spellStart"/>
      <w:r w:rsidRPr="00DC1A5F">
        <w:rPr>
          <w:i/>
          <w:iCs/>
        </w:rPr>
        <w:t>kiñcanat’asmií</w:t>
      </w:r>
      <w:proofErr w:type="spellEnd"/>
      <w:r w:rsidRPr="00DC1A5F">
        <w:rPr>
          <w:i/>
          <w:iCs/>
        </w:rPr>
        <w:t>’</w:t>
      </w:r>
      <w:r w:rsidRPr="00DC1A5F">
        <w:t>: también se observará a sí mismo como carente de propiedad de ninguna otra alma. ‘</w:t>
      </w:r>
      <w:proofErr w:type="spellStart"/>
      <w:r w:rsidRPr="00DC1A5F">
        <w:rPr>
          <w:i/>
          <w:iCs/>
        </w:rPr>
        <w:t>Na</w:t>
      </w:r>
      <w:proofErr w:type="spellEnd"/>
      <w:r w:rsidRPr="00DC1A5F">
        <w:rPr>
          <w:i/>
          <w:iCs/>
        </w:rPr>
        <w:t xml:space="preserve"> ca mama’</w:t>
      </w:r>
      <w:r w:rsidRPr="00DC1A5F">
        <w:t xml:space="preserve">: estas palabras deben interpretarse tal como se indica. </w:t>
      </w:r>
      <w:r w:rsidRPr="00DC1A5F">
        <w:rPr>
          <w:i/>
          <w:iCs/>
        </w:rPr>
        <w:t>‘</w:t>
      </w:r>
      <w:proofErr w:type="spellStart"/>
      <w:r w:rsidRPr="00DC1A5F">
        <w:rPr>
          <w:i/>
          <w:iCs/>
        </w:rPr>
        <w:t>Atthi</w:t>
      </w:r>
      <w:proofErr w:type="spellEnd"/>
      <w:r w:rsidRPr="00DC1A5F">
        <w:rPr>
          <w:i/>
          <w:iCs/>
        </w:rPr>
        <w:t>’</w:t>
      </w:r>
      <w:r w:rsidRPr="00DC1A5F">
        <w:t xml:space="preserve"> se aplica a cada cláusula. Él observará la inexistencia del alma de otro así, ‘No existe ninguna otra alma en ninguna parte’. Él observará en otro, que dicho otro no es propiedad de ninguna otra alma así, ‘Mi propiedad de aquella otra alma no existe’. Así, este simple conglomerado de formaciones será apreciado, al discernirlo con el vacío de la relación lógica cuádruple, como vacía de alma o de la propiedad de un alma en los agregados internos y externos’” (</w:t>
      </w:r>
      <w:proofErr w:type="spellStart"/>
      <w:r w:rsidRPr="00DC1A5F">
        <w:t>Vism</w:t>
      </w:r>
      <w:proofErr w:type="spellEnd"/>
      <w:r w:rsidRPr="00DC1A5F">
        <w:t>–</w:t>
      </w:r>
      <w:proofErr w:type="spellStart"/>
      <w:r w:rsidRPr="00DC1A5F">
        <w:t>mhṭ</w:t>
      </w:r>
      <w:proofErr w:type="spellEnd"/>
      <w:r w:rsidRPr="00DC1A5F">
        <w:t xml:space="preserve"> 840–41 = </w:t>
      </w:r>
      <w:proofErr w:type="spellStart"/>
      <w:r w:rsidRPr="00DC1A5F">
        <w:rPr>
          <w:i/>
          <w:iCs/>
        </w:rPr>
        <w:t>ṭīkā</w:t>
      </w:r>
      <w:proofErr w:type="spellEnd"/>
      <w:r w:rsidRPr="00DC1A5F">
        <w:t xml:space="preserve"> a MN 106).</w:t>
      </w:r>
    </w:p>
    <w:p w14:paraId="19D09171" w14:textId="77777777" w:rsidR="00597DE2" w:rsidRPr="00DC1A5F" w:rsidRDefault="00597DE2" w:rsidP="00597DE2">
      <w:pPr>
        <w:tabs>
          <w:tab w:val="clear" w:pos="425"/>
        </w:tabs>
        <w:spacing w:after="160"/>
      </w:pPr>
      <w:r w:rsidRPr="00DC1A5F">
        <w:br w:type="page"/>
      </w:r>
    </w:p>
    <w:p w14:paraId="71686301" w14:textId="77777777" w:rsidR="00597DE2" w:rsidRPr="00DC1A5F" w:rsidRDefault="00597DE2" w:rsidP="00597DE2"/>
    <w:p w14:paraId="4CAB1E17" w14:textId="77777777" w:rsidR="00597DE2" w:rsidRPr="00DC1A5F" w:rsidRDefault="00597DE2" w:rsidP="00597DE2">
      <w:r w:rsidRPr="00DC1A5F">
        <w:t xml:space="preserve">54. </w:t>
      </w:r>
      <w:r w:rsidRPr="00DC1A5F">
        <w:tab/>
        <w:t>(i) Este meditador, al meditar “</w:t>
      </w:r>
      <w:r w:rsidRPr="00DC1A5F">
        <w:rPr>
          <w:i/>
          <w:iCs/>
        </w:rPr>
        <w:t>no me encuentro en ninguna propiedad de nadie</w:t>
      </w:r>
      <w:r w:rsidRPr="00DC1A5F">
        <w:t>” (</w:t>
      </w:r>
      <w:proofErr w:type="spellStart"/>
      <w:r w:rsidRPr="00DC1A5F">
        <w:rPr>
          <w:i/>
          <w:iCs/>
        </w:rPr>
        <w:t>nāhaṃ</w:t>
      </w:r>
      <w:proofErr w:type="spellEnd"/>
      <w:r w:rsidRPr="00DC1A5F">
        <w:rPr>
          <w:i/>
          <w:iCs/>
        </w:rPr>
        <w:t xml:space="preserve"> </w:t>
      </w:r>
      <w:proofErr w:type="spellStart"/>
      <w:r w:rsidRPr="00DC1A5F">
        <w:rPr>
          <w:i/>
          <w:iCs/>
        </w:rPr>
        <w:t>kvacani</w:t>
      </w:r>
      <w:proofErr w:type="spellEnd"/>
      <w:r w:rsidRPr="00DC1A5F">
        <w:t>), no percibirá ninguna alma en ninguna parte; (</w:t>
      </w:r>
      <w:proofErr w:type="spellStart"/>
      <w:r w:rsidRPr="00DC1A5F">
        <w:t>ii</w:t>
      </w:r>
      <w:proofErr w:type="spellEnd"/>
      <w:r w:rsidRPr="00DC1A5F">
        <w:t>) al pensar “</w:t>
      </w:r>
      <w:r w:rsidRPr="00DC1A5F">
        <w:rPr>
          <w:i/>
          <w:iCs/>
        </w:rPr>
        <w:t>no me encuentro bajo propiedad de nadie</w:t>
      </w:r>
      <w:r w:rsidRPr="00DC1A5F">
        <w:t>” (</w:t>
      </w:r>
      <w:proofErr w:type="spellStart"/>
      <w:r w:rsidRPr="00DC1A5F">
        <w:rPr>
          <w:i/>
          <w:iCs/>
        </w:rPr>
        <w:t>kassaci</w:t>
      </w:r>
      <w:proofErr w:type="spellEnd"/>
      <w:r w:rsidRPr="00DC1A5F">
        <w:rPr>
          <w:i/>
          <w:iCs/>
        </w:rPr>
        <w:t xml:space="preserve"> </w:t>
      </w:r>
      <w:proofErr w:type="spellStart"/>
      <w:r w:rsidRPr="00DC1A5F">
        <w:rPr>
          <w:i/>
          <w:iCs/>
        </w:rPr>
        <w:t>kiñcanat</w:t>
      </w:r>
      <w:proofErr w:type="spellEnd"/>
      <w:r w:rsidRPr="00DC1A5F">
        <w:rPr>
          <w:i/>
          <w:iCs/>
        </w:rPr>
        <w:t>’</w:t>
      </w:r>
      <w:r w:rsidRPr="00DC1A5F">
        <w:t xml:space="preserve"> </w:t>
      </w:r>
      <w:proofErr w:type="spellStart"/>
      <w:r w:rsidRPr="00DC1A5F">
        <w:rPr>
          <w:i/>
          <w:iCs/>
        </w:rPr>
        <w:t>asmií</w:t>
      </w:r>
      <w:proofErr w:type="spellEnd"/>
      <w:r w:rsidRPr="00DC1A5F">
        <w:t>), no percibirá ninguna alma a ser inferida bajo propiedad de otro ser; el significado es que él no percibirá ninguna alma deducible concebida como un hermano suyo, en el caso de un hermano;</w:t>
      </w:r>
      <w:r w:rsidRPr="00DC1A5F">
        <w:rPr>
          <w:vertAlign w:val="superscript"/>
        </w:rPr>
        <w:t>20</w:t>
      </w:r>
      <w:r w:rsidRPr="00DC1A5F">
        <w:t xml:space="preserve"> o un amigo suyo, en el caso de un amigo; o una propiedad suya en el caso de una propiedad; (</w:t>
      </w:r>
      <w:proofErr w:type="spellStart"/>
      <w:r w:rsidRPr="00DC1A5F">
        <w:t>iii</w:t>
      </w:r>
      <w:proofErr w:type="spellEnd"/>
      <w:r w:rsidRPr="00DC1A5F">
        <w:t>) En cuanto a la frase, “</w:t>
      </w:r>
      <w:r w:rsidRPr="00DC1A5F">
        <w:rPr>
          <w:i/>
          <w:iCs/>
        </w:rPr>
        <w:t>tampoco ninguna alma en propiedad de nadie</w:t>
      </w:r>
      <w:r w:rsidRPr="00DC1A5F">
        <w:t>” (</w:t>
      </w:r>
      <w:proofErr w:type="spellStart"/>
      <w:r w:rsidRPr="00DC1A5F">
        <w:rPr>
          <w:i/>
          <w:iCs/>
        </w:rPr>
        <w:t>na</w:t>
      </w:r>
      <w:proofErr w:type="spellEnd"/>
      <w:r w:rsidRPr="00DC1A5F">
        <w:rPr>
          <w:i/>
          <w:iCs/>
        </w:rPr>
        <w:t xml:space="preserve"> ca mama </w:t>
      </w:r>
      <w:proofErr w:type="spellStart"/>
      <w:r w:rsidRPr="00DC1A5F">
        <w:rPr>
          <w:i/>
          <w:iCs/>
        </w:rPr>
        <w:t>kvacani</w:t>
      </w:r>
      <w:proofErr w:type="spellEnd"/>
      <w:r w:rsidRPr="00DC1A5F">
        <w:t xml:space="preserve">), dejando de lado la palabra </w:t>
      </w:r>
      <w:r w:rsidRPr="00DC1A5F">
        <w:rPr>
          <w:i/>
          <w:iCs/>
        </w:rPr>
        <w:t>mía</w:t>
      </w:r>
      <w:r w:rsidRPr="00DC1A5F">
        <w:t xml:space="preserve"> (</w:t>
      </w:r>
      <w:r w:rsidRPr="00DC1A5F">
        <w:rPr>
          <w:i/>
          <w:iCs/>
        </w:rPr>
        <w:t>mama</w:t>
      </w:r>
      <w:r w:rsidRPr="00DC1A5F">
        <w:t>) aquí, por el momento, las palabras “ni en ningún lugar” (</w:t>
      </w:r>
      <w:proofErr w:type="spellStart"/>
      <w:r w:rsidRPr="00DC1A5F">
        <w:rPr>
          <w:i/>
          <w:iCs/>
        </w:rPr>
        <w:t>na</w:t>
      </w:r>
      <w:proofErr w:type="spellEnd"/>
      <w:r w:rsidRPr="00DC1A5F">
        <w:rPr>
          <w:i/>
          <w:iCs/>
        </w:rPr>
        <w:t xml:space="preserve"> ca </w:t>
      </w:r>
      <w:proofErr w:type="spellStart"/>
      <w:r w:rsidRPr="00DC1A5F">
        <w:rPr>
          <w:i/>
          <w:iCs/>
        </w:rPr>
        <w:t>kvacani</w:t>
      </w:r>
      <w:proofErr w:type="spellEnd"/>
      <w:r w:rsidRPr="00DC1A5F">
        <w:t xml:space="preserve">) significan que </w:t>
      </w:r>
      <w:r w:rsidRPr="00DC1A5F">
        <w:rPr>
          <w:u w:color="000000"/>
        </w:rPr>
        <w:t xml:space="preserve">él no </w:t>
      </w:r>
      <w:r w:rsidRPr="00DC1A5F">
        <w:t>percibirá</w:t>
      </w:r>
      <w:r w:rsidRPr="00DC1A5F">
        <w:rPr>
          <w:u w:color="000000"/>
        </w:rPr>
        <w:t xml:space="preserve"> ninguna alma ajena en ninguna parte; (</w:t>
      </w:r>
      <w:proofErr w:type="spellStart"/>
      <w:r w:rsidRPr="00DC1A5F">
        <w:rPr>
          <w:u w:color="000000"/>
        </w:rPr>
        <w:t>iv</w:t>
      </w:r>
      <w:proofErr w:type="spellEnd"/>
      <w:r w:rsidRPr="00DC1A5F">
        <w:rPr>
          <w:u w:color="000000"/>
        </w:rPr>
        <w:t xml:space="preserve">) Ahora bien, introduciendo la palabra </w:t>
      </w:r>
      <w:r w:rsidRPr="00DC1A5F">
        <w:rPr>
          <w:color w:val="000000"/>
          <w:u w:color="000000"/>
          <w14:textFill>
            <w14:solidFill>
              <w14:srgbClr w14:val="000000">
                <w14:lumMod w14:val="50000"/>
              </w14:srgbClr>
            </w14:solidFill>
          </w14:textFill>
        </w:rPr>
        <w:t>“</w:t>
      </w:r>
      <w:r w:rsidRPr="00DC1A5F">
        <w:rPr>
          <w:u w:color="000000"/>
        </w:rPr>
        <w:t>m</w:t>
      </w:r>
      <w:r w:rsidRPr="00DC1A5F">
        <w:rPr>
          <w:color w:val="000000"/>
          <w:u w:color="000000"/>
          <w14:textFill>
            <w14:solidFill>
              <w14:srgbClr w14:val="000000">
                <w14:lumMod w14:val="50000"/>
              </w14:srgbClr>
            </w14:solidFill>
          </w14:textFill>
        </w:rPr>
        <w:t>ía”</w:t>
      </w:r>
      <w:r w:rsidRPr="00DC1A5F">
        <w:rPr>
          <w:u w:color="000000"/>
        </w:rPr>
        <w:t xml:space="preserve"> (</w:t>
      </w:r>
      <w:r w:rsidRPr="00DC1A5F">
        <w:rPr>
          <w:i/>
          <w:iCs/>
          <w:u w:color="000000"/>
        </w:rPr>
        <w:t>mama</w:t>
      </w:r>
      <w:r w:rsidRPr="00DC1A5F">
        <w:rPr>
          <w:u w:color="000000"/>
        </w:rPr>
        <w:t xml:space="preserve">), tenemos </w:t>
      </w:r>
      <w:r w:rsidRPr="00DC1A5F">
        <w:rPr>
          <w:color w:val="000000"/>
          <w:u w:color="000000"/>
          <w14:textFill>
            <w14:solidFill>
              <w14:srgbClr w14:val="000000">
                <w14:lumMod w14:val="50000"/>
              </w14:srgbClr>
            </w14:solidFill>
          </w14:textFill>
        </w:rPr>
        <w:t>que “</w:t>
      </w:r>
      <w:r w:rsidRPr="00DC1A5F">
        <w:rPr>
          <w:i/>
          <w:iCs/>
          <w:color w:val="000000"/>
          <w:u w:color="000000"/>
          <w14:textFill>
            <w14:solidFill>
              <w14:srgbClr w14:val="000000">
                <w14:lumMod w14:val="50000"/>
              </w14:srgbClr>
            </w14:solidFill>
          </w14:textFill>
        </w:rPr>
        <w:t>tampoco existirá alma debido a mi propiedad</w:t>
      </w:r>
      <w:r w:rsidRPr="00DC1A5F">
        <w:rPr>
          <w:color w:val="000000"/>
          <w:u w:color="000000"/>
          <w14:textFill>
            <w14:solidFill>
              <w14:srgbClr w14:val="000000">
                <w14:lumMod w14:val="50000"/>
              </w14:srgbClr>
            </w14:solidFill>
          </w14:textFill>
        </w:rPr>
        <w:t>”</w:t>
      </w:r>
      <w:r w:rsidRPr="00DC1A5F">
        <w:rPr>
          <w:u w:color="000000"/>
        </w:rPr>
        <w:t xml:space="preserve"> (</w:t>
      </w:r>
      <w:r w:rsidRPr="00DC1A5F">
        <w:rPr>
          <w:i/>
          <w:iCs/>
          <w:u w:color="000000"/>
        </w:rPr>
        <w:t xml:space="preserve">mama </w:t>
      </w:r>
      <w:proofErr w:type="spellStart"/>
      <w:r w:rsidRPr="00DC1A5F">
        <w:rPr>
          <w:i/>
          <w:iCs/>
          <w:u w:color="000000"/>
        </w:rPr>
        <w:t>kismiñci</w:t>
      </w:r>
      <w:proofErr w:type="spellEnd"/>
      <w:r w:rsidRPr="00DC1A5F">
        <w:rPr>
          <w:i/>
          <w:iCs/>
          <w:u w:color="000000"/>
        </w:rPr>
        <w:t xml:space="preserve"> </w:t>
      </w:r>
      <w:proofErr w:type="spellStart"/>
      <w:r w:rsidRPr="00DC1A5F">
        <w:rPr>
          <w:i/>
          <w:iCs/>
          <w:u w:color="000000"/>
        </w:rPr>
        <w:t>kiñcanat</w:t>
      </w:r>
      <w:proofErr w:type="spellEnd"/>
      <w:r w:rsidRPr="00DC1A5F">
        <w:rPr>
          <w:i/>
          <w:iCs/>
          <w:u w:color="000000"/>
        </w:rPr>
        <w:t xml:space="preserve">’ </w:t>
      </w:r>
      <w:proofErr w:type="spellStart"/>
      <w:r w:rsidRPr="00DC1A5F">
        <w:rPr>
          <w:i/>
          <w:iCs/>
          <w:u w:color="000000"/>
        </w:rPr>
        <w:t>atthi</w:t>
      </w:r>
      <w:proofErr w:type="spellEnd"/>
      <w:r w:rsidRPr="00DC1A5F">
        <w:rPr>
          <w:u w:color="000000"/>
        </w:rPr>
        <w:t xml:space="preserve">): él no </w:t>
      </w:r>
      <w:r w:rsidRPr="00DC1A5F">
        <w:t>percibirá</w:t>
      </w:r>
      <w:r w:rsidRPr="00DC1A5F">
        <w:rPr>
          <w:color w:val="000000"/>
          <w:u w:color="000000"/>
          <w14:textFill>
            <w14:solidFill>
              <w14:srgbClr w14:val="000000">
                <w14:lumMod w14:val="50000"/>
              </w14:srgbClr>
            </w14:solidFill>
          </w14:textFill>
        </w:rPr>
        <w:t xml:space="preserve"> cosas </w:t>
      </w:r>
      <w:r w:rsidRPr="00DC1A5F">
        <w:rPr>
          <w:u w:color="000000"/>
        </w:rPr>
        <w:t>así,</w:t>
      </w:r>
      <w:r w:rsidRPr="00DC1A5F">
        <w:rPr>
          <w:u w:color="000000"/>
          <w:vertAlign w:val="superscript"/>
        </w:rPr>
        <w:t>21</w:t>
      </w:r>
      <w:r w:rsidRPr="00DC1A5F">
        <w:rPr>
          <w:u w:color="000000"/>
        </w:rPr>
        <w:t xml:space="preserve"> “</w:t>
      </w:r>
      <w:r w:rsidRPr="00DC1A5F">
        <w:rPr>
          <w:i/>
          <w:iCs/>
          <w:u w:color="000000"/>
        </w:rPr>
        <w:t>ninguna alma existirá debido a algún estado de mi propiedad</w:t>
      </w:r>
      <w:r w:rsidRPr="00DC1A5F">
        <w:rPr>
          <w:u w:color="000000"/>
        </w:rPr>
        <w:t>” [</w:t>
      </w:r>
      <w:r w:rsidRPr="00DC1A5F">
        <w:rPr>
          <w:color w:val="000000"/>
          <w:u w:color="000000"/>
          <w14:textFill>
            <w14:solidFill>
              <w14:srgbClr w14:val="000000">
                <w14:lumMod w14:val="50000"/>
              </w14:srgbClr>
            </w14:solidFill>
          </w14:textFill>
        </w:rPr>
        <w:t>de ello</w:t>
      </w:r>
      <w:r w:rsidRPr="00DC1A5F">
        <w:rPr>
          <w:u w:color="000000"/>
        </w:rPr>
        <w:t xml:space="preserve">]”; el significado es que él no </w:t>
      </w:r>
      <w:r w:rsidRPr="00DC1A5F">
        <w:t>percibirá</w:t>
      </w:r>
      <w:r w:rsidRPr="00DC1A5F">
        <w:rPr>
          <w:u w:color="000000"/>
        </w:rPr>
        <w:t xml:space="preserve"> en ningún caso el </w:t>
      </w:r>
      <w:r w:rsidRPr="00DC1A5F">
        <w:rPr>
          <w:color w:val="000000"/>
          <w:u w:color="000000"/>
          <w14:textFill>
            <w14:solidFill>
              <w14:srgbClr w14:val="000000">
                <w14:lumMod w14:val="50000"/>
              </w14:srgbClr>
            </w14:solidFill>
          </w14:textFill>
        </w:rPr>
        <w:t>alma</w:t>
      </w:r>
      <w:r w:rsidRPr="00DC1A5F">
        <w:rPr>
          <w:u w:color="000000"/>
        </w:rPr>
        <w:t xml:space="preserve"> de otro </w:t>
      </w:r>
      <w:r w:rsidRPr="00DC1A5F">
        <w:rPr>
          <w:color w:val="000000"/>
          <w:u w:color="000000"/>
          <w14:textFill>
            <w14:solidFill>
              <w14:srgbClr w14:val="000000">
                <w14:lumMod w14:val="50000"/>
              </w14:srgbClr>
            </w14:solidFill>
          </w14:textFill>
        </w:rPr>
        <w:t xml:space="preserve">ser </w:t>
      </w:r>
      <w:r w:rsidRPr="00DC1A5F">
        <w:rPr>
          <w:u w:color="000000"/>
        </w:rPr>
        <w:t>deducible debido a</w:t>
      </w:r>
      <w:r w:rsidRPr="00DC1A5F">
        <w:rPr>
          <w:color w:val="000000"/>
          <w:u w:color="000000"/>
          <w14:textFill>
            <w14:solidFill>
              <w14:srgbClr w14:val="000000">
                <w14:lumMod w14:val="50000"/>
              </w14:srgbClr>
            </w14:solidFill>
          </w14:textFill>
        </w:rPr>
        <w:t>l</w:t>
      </w:r>
      <w:r w:rsidRPr="00DC1A5F">
        <w:rPr>
          <w:u w:color="000000"/>
        </w:rPr>
        <w:t xml:space="preserve"> hecho de </w:t>
      </w:r>
      <w:r w:rsidRPr="00DC1A5F">
        <w:rPr>
          <w:color w:val="000000"/>
          <w:u w:color="000000"/>
          <w14:textFill>
            <w14:solidFill>
              <w14:srgbClr w14:val="000000">
                <w14:lumMod w14:val="50000"/>
              </w14:srgbClr>
            </w14:solidFill>
          </w14:textFill>
        </w:rPr>
        <w:t>ser “</w:t>
      </w:r>
      <w:r w:rsidRPr="00DC1A5F">
        <w:rPr>
          <w:bCs/>
          <w:color w:val="000000"/>
          <w:u w:color="000000"/>
          <w14:textFill>
            <w14:solidFill>
              <w14:srgbClr w14:val="000000">
                <w14:lumMod w14:val="50000"/>
              </w14:srgbClr>
            </w14:solidFill>
          </w14:textFill>
        </w:rPr>
        <w:t>su”</w:t>
      </w:r>
      <w:r w:rsidRPr="00DC1A5F">
        <w:rPr>
          <w:color w:val="000000"/>
          <w:u w:color="000000"/>
          <w14:textFill>
            <w14:solidFill>
              <w14:srgbClr w14:val="000000">
                <w14:lumMod w14:val="50000"/>
              </w14:srgbClr>
            </w14:solidFill>
          </w14:textFill>
        </w:rPr>
        <w:t xml:space="preserve"> </w:t>
      </w:r>
      <w:r w:rsidRPr="00DC1A5F">
        <w:rPr>
          <w:u w:color="000000"/>
        </w:rPr>
        <w:t>hermano, en el caso de un hermano, “</w:t>
      </w:r>
      <w:r w:rsidRPr="00DC1A5F">
        <w:rPr>
          <w:bCs/>
          <w:color w:val="000000"/>
          <w:u w:color="000000"/>
          <w14:textFill>
            <w14:solidFill>
              <w14:srgbClr w14:val="000000">
                <w14:lumMod w14:val="50000"/>
              </w14:srgbClr>
            </w14:solidFill>
          </w14:textFill>
        </w:rPr>
        <w:t>su</w:t>
      </w:r>
      <w:r w:rsidRPr="00DC1A5F">
        <w:rPr>
          <w:u w:color="000000"/>
        </w:rPr>
        <w:t>” amigo en el caso de un amigo, “</w:t>
      </w:r>
      <w:r w:rsidRPr="00DC1A5F">
        <w:rPr>
          <w:bCs/>
          <w:color w:val="000000"/>
          <w:u w:color="000000"/>
          <w14:textFill>
            <w14:solidFill>
              <w14:srgbClr w14:val="000000">
                <w14:lumMod w14:val="50000"/>
              </w14:srgbClr>
            </w14:solidFill>
          </w14:textFill>
        </w:rPr>
        <w:t>su”</w:t>
      </w:r>
      <w:r w:rsidRPr="00DC1A5F">
        <w:rPr>
          <w:color w:val="000000"/>
          <w:u w:color="000000"/>
          <w14:textFill>
            <w14:solidFill>
              <w14:srgbClr w14:val="000000">
                <w14:lumMod w14:val="50000"/>
              </w14:srgbClr>
            </w14:solidFill>
          </w14:textFill>
        </w:rPr>
        <w:t xml:space="preserve"> </w:t>
      </w:r>
      <w:r w:rsidRPr="00DC1A5F">
        <w:rPr>
          <w:u w:color="000000"/>
        </w:rPr>
        <w:t xml:space="preserve">propiedad en el caso de una propiedad. Por lo tanto (i) él no </w:t>
      </w:r>
      <w:r w:rsidRPr="00DC1A5F">
        <w:t>percibirá</w:t>
      </w:r>
      <w:r w:rsidRPr="00DC1A5F">
        <w:rPr>
          <w:u w:color="000000"/>
        </w:rPr>
        <w:t xml:space="preserve"> ningún alma en ninguna parte de “su” propiedad;</w:t>
      </w:r>
      <w:r w:rsidRPr="00DC1A5F">
        <w:t xml:space="preserve"> (</w:t>
      </w:r>
      <w:proofErr w:type="spellStart"/>
      <w:r w:rsidRPr="00DC1A5F">
        <w:t>ii</w:t>
      </w:r>
      <w:proofErr w:type="spellEnd"/>
      <w:r w:rsidRPr="00DC1A5F">
        <w:t>) ni lo percibirá como deducible al hecho de pertenecerle a otro; (</w:t>
      </w:r>
      <w:proofErr w:type="spellStart"/>
      <w:r w:rsidRPr="00DC1A5F">
        <w:t>iii</w:t>
      </w:r>
      <w:proofErr w:type="spellEnd"/>
      <w:r w:rsidRPr="00DC1A5F">
        <w:t>) ni se percibirá a sí mismo en otro ser; (</w:t>
      </w:r>
      <w:proofErr w:type="spellStart"/>
      <w:r w:rsidRPr="00DC1A5F">
        <w:t>iv</w:t>
      </w:r>
      <w:proofErr w:type="spellEnd"/>
      <w:r w:rsidRPr="00DC1A5F">
        <w:t>) ni percibirá a otro ser como deducible del hecho de su propia posesión.</w:t>
      </w:r>
      <w:r w:rsidRPr="00DC1A5F">
        <w:rPr>
          <w:vertAlign w:val="superscript"/>
        </w:rPr>
        <w:t>23</w:t>
      </w:r>
      <w:r w:rsidRPr="00DC1A5F">
        <w:t xml:space="preserve"> Así discernirá en el vacío mediante la cuádrupla relación lógica.</w:t>
      </w:r>
    </w:p>
    <w:p w14:paraId="5BAE3497" w14:textId="77777777" w:rsidR="00597DE2" w:rsidRPr="00DC1A5F" w:rsidRDefault="00597DE2" w:rsidP="00597DE2">
      <w:r w:rsidRPr="00DC1A5F">
        <w:t xml:space="preserve">55. </w:t>
      </w:r>
      <w:r w:rsidRPr="00DC1A5F">
        <w:tab/>
        <w:t>Habiendo discernido así en el vacío mediante la cuádrupla relación lógica, él discernirá en el vacío nuevamente en 6 modos. ¿Cómo? el ojo (i) está vacío de alma, (</w:t>
      </w:r>
      <w:proofErr w:type="spellStart"/>
      <w:r w:rsidRPr="00DC1A5F">
        <w:t>ii</w:t>
      </w:r>
      <w:proofErr w:type="spellEnd"/>
      <w:r w:rsidRPr="00DC1A5F">
        <w:t>) o de la propiedad de un alma, (</w:t>
      </w:r>
      <w:proofErr w:type="spellStart"/>
      <w:r w:rsidRPr="00DC1A5F">
        <w:t>iii</w:t>
      </w:r>
      <w:proofErr w:type="spellEnd"/>
      <w:r w:rsidRPr="00DC1A5F">
        <w:t>) o de la permanencia, (</w:t>
      </w:r>
      <w:proofErr w:type="spellStart"/>
      <w:r w:rsidRPr="00DC1A5F">
        <w:t>iv</w:t>
      </w:r>
      <w:proofErr w:type="spellEnd"/>
      <w:r w:rsidRPr="00DC1A5F">
        <w:t>) o de una duración, (v) o de una eternidad, (vi) o de no estar sujeto al cambio; … la mente … los objetos visibles … los objetos mentales … la consciencia visual … la consciencia mental … el contacto mental … (</w:t>
      </w:r>
      <w:proofErr w:type="spellStart"/>
      <w:r w:rsidRPr="00DC1A5F">
        <w:t>Nidd</w:t>
      </w:r>
      <w:proofErr w:type="spellEnd"/>
      <w:r w:rsidRPr="00DC1A5F">
        <w:t xml:space="preserve"> II 187 (Se); </w:t>
      </w:r>
      <w:proofErr w:type="spellStart"/>
      <w:r w:rsidRPr="00DC1A5F">
        <w:t>Nidd</w:t>
      </w:r>
      <w:proofErr w:type="spellEnd"/>
      <w:r w:rsidRPr="00DC1A5F">
        <w:t xml:space="preserve"> II 279 (</w:t>
      </w:r>
      <w:proofErr w:type="spellStart"/>
      <w:r w:rsidRPr="00DC1A5F">
        <w:t>Ee</w:t>
      </w:r>
      <w:proofErr w:type="spellEnd"/>
      <w:r w:rsidRPr="00DC1A5F">
        <w:t>); cf. S IV 54) y esto deberá continuar hasta la vejez y la muerte (ver XX.9).</w:t>
      </w:r>
    </w:p>
    <w:p w14:paraId="452475B3" w14:textId="77777777" w:rsidR="00597DE2" w:rsidRPr="00DC1A5F" w:rsidRDefault="00597DE2" w:rsidP="00597DE2">
      <w:r w:rsidRPr="00DC1A5F">
        <w:t xml:space="preserve">56. </w:t>
      </w:r>
      <w:r w:rsidRPr="00DC1A5F">
        <w:tab/>
        <w:t>Habiendo discernido así en el vacío en los 6 modos, lo discernirá nuevamente en 8 modos, es decir: “La materialidad no posee núcleo, carece de núcleo, no tiene núcleo, en lo que se refiere a (i) cualquier núcleo permanente, o (</w:t>
      </w:r>
      <w:proofErr w:type="spellStart"/>
      <w:r w:rsidRPr="00DC1A5F">
        <w:t>ii</w:t>
      </w:r>
      <w:proofErr w:type="spellEnd"/>
      <w:r w:rsidRPr="00DC1A5F">
        <w:t>) núcleo perdurable, o (</w:t>
      </w:r>
      <w:proofErr w:type="spellStart"/>
      <w:r w:rsidRPr="00DC1A5F">
        <w:t>iii</w:t>
      </w:r>
      <w:proofErr w:type="spellEnd"/>
      <w:r w:rsidRPr="00DC1A5F">
        <w:t>) núcleo del placer, o (</w:t>
      </w:r>
      <w:proofErr w:type="spellStart"/>
      <w:r w:rsidRPr="00DC1A5F">
        <w:t>iv</w:t>
      </w:r>
      <w:proofErr w:type="spellEnd"/>
      <w:r w:rsidRPr="00DC1A5F">
        <w:t>) núcleo del alma, o en lo que se refiere a (v) lo que sea permanente, o (vi) perdurable, o (</w:t>
      </w:r>
      <w:proofErr w:type="spellStart"/>
      <w:r w:rsidRPr="00DC1A5F">
        <w:t>vii</w:t>
      </w:r>
      <w:proofErr w:type="spellEnd"/>
      <w:r w:rsidRPr="00DC1A5F">
        <w:t>) eterno, o (</w:t>
      </w:r>
      <w:proofErr w:type="spellStart"/>
      <w:r w:rsidRPr="00DC1A5F">
        <w:t>viii</w:t>
      </w:r>
      <w:proofErr w:type="spellEnd"/>
      <w:r w:rsidRPr="00DC1A5F">
        <w:t xml:space="preserve">) lo que no esté sujeto al cambio. La sensación... la percepción... la formación... la consciencia... el ojo... (etc., véase </w:t>
      </w:r>
      <w:proofErr w:type="gramStart"/>
      <w:r w:rsidRPr="00DC1A5F">
        <w:t>XX.9)...</w:t>
      </w:r>
      <w:proofErr w:type="gramEnd"/>
      <w:r w:rsidRPr="00DC1A5F">
        <w:t xml:space="preserve"> el envejecimiento–y–la–muerte no poseen núcleo, carece de núcleo, no tiene núcleo, en lo que se refiere a cualquier núcleo permanente, o núcleo perdurable, o núcleo del placer, o núcleo de alma, o en lo que se refiere a lo que sea permanente, perdurable, eterno, o un núcleo que no esté sujeto al cambio. Así como una caña no posee alma, carece de alma, no tiene alma; así como una planta de ricino, un árbol </w:t>
      </w:r>
      <w:proofErr w:type="spellStart"/>
      <w:r w:rsidRPr="00DC1A5F">
        <w:rPr>
          <w:i/>
          <w:iCs/>
        </w:rPr>
        <w:t>udumbara</w:t>
      </w:r>
      <w:proofErr w:type="spellEnd"/>
      <w:r w:rsidRPr="00DC1A5F">
        <w:t xml:space="preserve"> (higo), un árbol </w:t>
      </w:r>
      <w:proofErr w:type="spellStart"/>
      <w:r w:rsidRPr="00DC1A5F">
        <w:rPr>
          <w:i/>
          <w:iCs/>
        </w:rPr>
        <w:t>setavaccha</w:t>
      </w:r>
      <w:proofErr w:type="spellEnd"/>
      <w:r w:rsidRPr="00DC1A5F">
        <w:t xml:space="preserve">, un árbol </w:t>
      </w:r>
      <w:proofErr w:type="spellStart"/>
      <w:r w:rsidRPr="00DC1A5F">
        <w:rPr>
          <w:i/>
          <w:iCs/>
        </w:rPr>
        <w:t>pāḷibhaddaka</w:t>
      </w:r>
      <w:proofErr w:type="spellEnd"/>
      <w:r w:rsidRPr="00DC1A5F">
        <w:t>, un trozo de espuma, una burbuja en el agua, un espejismo, un tronco de plátano, [655] un truco de prestidigitación, no poseen núcleo, carecen de núcleo, no tienen ningún núcleo, así también la materialidad... (etc.)... la vejez–y–la–muerte no poseen ningún núcleo... o lo que esté sujeto al cambio” (</w:t>
      </w:r>
      <w:proofErr w:type="spellStart"/>
      <w:r w:rsidRPr="00DC1A5F">
        <w:t>Nidd</w:t>
      </w:r>
      <w:proofErr w:type="spellEnd"/>
      <w:r w:rsidRPr="00DC1A5F">
        <w:t xml:space="preserve"> II 184–85 (Se); </w:t>
      </w:r>
      <w:proofErr w:type="spellStart"/>
      <w:r w:rsidRPr="00DC1A5F">
        <w:t>Nidd</w:t>
      </w:r>
      <w:proofErr w:type="spellEnd"/>
      <w:r w:rsidRPr="00DC1A5F">
        <w:t xml:space="preserve"> II 278–89 (</w:t>
      </w:r>
      <w:proofErr w:type="spellStart"/>
      <w:r w:rsidRPr="00DC1A5F">
        <w:t>Ee</w:t>
      </w:r>
      <w:proofErr w:type="spellEnd"/>
      <w:r w:rsidRPr="00DC1A5F">
        <w:t>)) .</w:t>
      </w:r>
    </w:p>
    <w:p w14:paraId="22C41CA3" w14:textId="77777777" w:rsidR="00597DE2" w:rsidRPr="00DC1A5F" w:rsidRDefault="00597DE2" w:rsidP="00597DE2">
      <w:pPr>
        <w:pStyle w:val="PiedepginaLegal"/>
        <w:rPr>
          <w:sz w:val="10"/>
          <w:szCs w:val="18"/>
          <w:u w:val="single"/>
        </w:rPr>
      </w:pPr>
      <w:r w:rsidRPr="00DC1A5F">
        <w:rPr>
          <w:sz w:val="10"/>
          <w:szCs w:val="18"/>
          <w:u w:val="single"/>
        </w:rPr>
        <w:tab/>
      </w:r>
      <w:r w:rsidRPr="00DC1A5F">
        <w:rPr>
          <w:sz w:val="10"/>
          <w:szCs w:val="18"/>
          <w:u w:val="single"/>
        </w:rPr>
        <w:tab/>
      </w:r>
      <w:r w:rsidRPr="00DC1A5F">
        <w:rPr>
          <w:sz w:val="10"/>
          <w:szCs w:val="18"/>
          <w:u w:val="single"/>
        </w:rPr>
        <w:tab/>
      </w:r>
      <w:r w:rsidRPr="00DC1A5F">
        <w:rPr>
          <w:sz w:val="10"/>
          <w:szCs w:val="18"/>
          <w:u w:val="single"/>
        </w:rPr>
        <w:tab/>
        <w:t>.</w:t>
      </w:r>
    </w:p>
    <w:p w14:paraId="588B4D10" w14:textId="77777777" w:rsidR="00597DE2" w:rsidRPr="00DC1A5F" w:rsidRDefault="00597DE2" w:rsidP="00597DE2">
      <w:pPr>
        <w:pStyle w:val="PiedepginaLegal"/>
        <w:numPr>
          <w:ilvl w:val="0"/>
          <w:numId w:val="10"/>
        </w:numPr>
        <w:tabs>
          <w:tab w:val="clear" w:pos="425"/>
          <w:tab w:val="left" w:pos="284"/>
        </w:tabs>
        <w:ind w:left="284" w:hanging="284"/>
      </w:pPr>
      <w:proofErr w:type="spellStart"/>
      <w:r w:rsidRPr="00DC1A5F">
        <w:rPr>
          <w:i/>
          <w:iCs/>
        </w:rPr>
        <w:t>Bhātiṭṭhāne</w:t>
      </w:r>
      <w:proofErr w:type="spellEnd"/>
      <w:r w:rsidRPr="00DC1A5F">
        <w:t xml:space="preserve">—“en el caso de un hermano”: la forma </w:t>
      </w:r>
      <w:proofErr w:type="spellStart"/>
      <w:r w:rsidRPr="00DC1A5F">
        <w:rPr>
          <w:i/>
          <w:iCs/>
        </w:rPr>
        <w:t>bhāti</w:t>
      </w:r>
      <w:proofErr w:type="spellEnd"/>
      <w:r w:rsidRPr="00DC1A5F">
        <w:t xml:space="preserve"> no se muestra en el PED.</w:t>
      </w:r>
    </w:p>
    <w:p w14:paraId="73185353"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Léase “… </w:t>
      </w:r>
      <w:proofErr w:type="spellStart"/>
      <w:r w:rsidRPr="00DC1A5F">
        <w:rPr>
          <w:i/>
          <w:iCs/>
        </w:rPr>
        <w:t>ṭhapetvā</w:t>
      </w:r>
      <w:proofErr w:type="spellEnd"/>
      <w:r w:rsidRPr="00DC1A5F">
        <w:rPr>
          <w:i/>
          <w:iCs/>
        </w:rPr>
        <w:t xml:space="preserve"> </w:t>
      </w:r>
      <w:proofErr w:type="spellStart"/>
      <w:r w:rsidRPr="00DC1A5F">
        <w:rPr>
          <w:i/>
          <w:iCs/>
        </w:rPr>
        <w:t>na</w:t>
      </w:r>
      <w:proofErr w:type="spellEnd"/>
      <w:r w:rsidRPr="00DC1A5F">
        <w:rPr>
          <w:i/>
          <w:iCs/>
        </w:rPr>
        <w:t xml:space="preserve"> ca </w:t>
      </w:r>
      <w:proofErr w:type="spellStart"/>
      <w:r w:rsidRPr="00DC1A5F">
        <w:rPr>
          <w:i/>
          <w:iCs/>
        </w:rPr>
        <w:t>kvacini</w:t>
      </w:r>
      <w:proofErr w:type="spellEnd"/>
      <w:r w:rsidRPr="00DC1A5F">
        <w:rPr>
          <w:i/>
          <w:iCs/>
        </w:rPr>
        <w:t xml:space="preserve"> (:) </w:t>
      </w:r>
      <w:proofErr w:type="spellStart"/>
      <w:r w:rsidRPr="00DC1A5F">
        <w:rPr>
          <w:i/>
          <w:iCs/>
        </w:rPr>
        <w:t>parassa</w:t>
      </w:r>
      <w:proofErr w:type="spellEnd"/>
      <w:r w:rsidRPr="00DC1A5F">
        <w:rPr>
          <w:i/>
          <w:iCs/>
        </w:rPr>
        <w:t xml:space="preserve"> ca </w:t>
      </w:r>
      <w:proofErr w:type="spellStart"/>
      <w:r w:rsidRPr="00DC1A5F">
        <w:rPr>
          <w:i/>
          <w:iCs/>
        </w:rPr>
        <w:t>attānaṃ</w:t>
      </w:r>
      <w:proofErr w:type="spellEnd"/>
      <w:r w:rsidRPr="00DC1A5F">
        <w:rPr>
          <w:i/>
          <w:iCs/>
        </w:rPr>
        <w:t xml:space="preserve"> </w:t>
      </w:r>
      <w:proofErr w:type="spellStart"/>
      <w:r w:rsidRPr="00DC1A5F">
        <w:rPr>
          <w:i/>
          <w:iCs/>
        </w:rPr>
        <w:t>kvaci</w:t>
      </w:r>
      <w:proofErr w:type="spellEnd"/>
      <w:r w:rsidRPr="00DC1A5F">
        <w:rPr>
          <w:i/>
          <w:iCs/>
        </w:rPr>
        <w:t xml:space="preserve"> </w:t>
      </w:r>
      <w:proofErr w:type="spellStart"/>
      <w:r w:rsidRPr="00DC1A5F">
        <w:rPr>
          <w:i/>
          <w:iCs/>
        </w:rPr>
        <w:t>na</w:t>
      </w:r>
      <w:proofErr w:type="spellEnd"/>
      <w:r w:rsidRPr="00DC1A5F">
        <w:rPr>
          <w:i/>
          <w:iCs/>
        </w:rPr>
        <w:t xml:space="preserve"> </w:t>
      </w:r>
      <w:proofErr w:type="spellStart"/>
      <w:r w:rsidRPr="00DC1A5F">
        <w:rPr>
          <w:i/>
          <w:iCs/>
        </w:rPr>
        <w:t>passatī</w:t>
      </w:r>
      <w:proofErr w:type="spellEnd"/>
      <w:r w:rsidRPr="00DC1A5F">
        <w:rPr>
          <w:i/>
          <w:iCs/>
        </w:rPr>
        <w:t xml:space="preserve"> ti </w:t>
      </w:r>
      <w:proofErr w:type="spellStart"/>
      <w:r w:rsidRPr="00DC1A5F">
        <w:rPr>
          <w:i/>
          <w:iCs/>
        </w:rPr>
        <w:t>ayaṃ</w:t>
      </w:r>
      <w:proofErr w:type="spellEnd"/>
      <w:r w:rsidRPr="00DC1A5F">
        <w:rPr>
          <w:i/>
          <w:iCs/>
        </w:rPr>
        <w:t xml:space="preserve"> </w:t>
      </w:r>
      <w:proofErr w:type="spellStart"/>
      <w:r w:rsidRPr="00DC1A5F">
        <w:rPr>
          <w:i/>
          <w:iCs/>
        </w:rPr>
        <w:t>attho</w:t>
      </w:r>
      <w:proofErr w:type="spellEnd"/>
      <w:r w:rsidRPr="00DC1A5F">
        <w:rPr>
          <w:i/>
          <w:iCs/>
        </w:rPr>
        <w:t xml:space="preserve">; </w:t>
      </w:r>
      <w:proofErr w:type="spellStart"/>
      <w:r w:rsidRPr="00DC1A5F">
        <w:rPr>
          <w:i/>
          <w:iCs/>
        </w:rPr>
        <w:t>idāni</w:t>
      </w:r>
      <w:proofErr w:type="spellEnd"/>
      <w:r w:rsidRPr="00DC1A5F">
        <w:t xml:space="preserve">…” con Ce </w:t>
      </w:r>
      <w:proofErr w:type="spellStart"/>
      <w:r w:rsidRPr="00DC1A5F">
        <w:t>deñ</w:t>
      </w:r>
      <w:proofErr w:type="spellEnd"/>
      <w:r w:rsidRPr="00DC1A5F">
        <w:t xml:space="preserve"> M–a y A–a</w:t>
      </w:r>
    </w:p>
    <w:p w14:paraId="0741824E" w14:textId="77777777" w:rsidR="00597DE2" w:rsidRPr="00DC1A5F" w:rsidRDefault="00597DE2" w:rsidP="00597DE2">
      <w:pPr>
        <w:pStyle w:val="PiedepginaLegal"/>
        <w:numPr>
          <w:ilvl w:val="0"/>
          <w:numId w:val="10"/>
        </w:numPr>
        <w:tabs>
          <w:tab w:val="clear" w:pos="425"/>
          <w:tab w:val="left" w:pos="284"/>
        </w:tabs>
        <w:ind w:left="284" w:hanging="284"/>
      </w:pPr>
      <w:r w:rsidRPr="00DC1A5F">
        <w:t>El M–a ed. cingalés (</w:t>
      </w:r>
      <w:proofErr w:type="spellStart"/>
      <w:r w:rsidRPr="00DC1A5F">
        <w:rPr>
          <w:i/>
          <w:iCs/>
        </w:rPr>
        <w:t>Aluvihāra</w:t>
      </w:r>
      <w:proofErr w:type="spellEnd"/>
      <w:r w:rsidRPr="00DC1A5F">
        <w:t xml:space="preserve">) considera </w:t>
      </w:r>
      <w:proofErr w:type="spellStart"/>
      <w:r w:rsidRPr="00DC1A5F">
        <w:rPr>
          <w:i/>
          <w:iCs/>
        </w:rPr>
        <w:t>kiñcanabhāvena</w:t>
      </w:r>
      <w:proofErr w:type="spellEnd"/>
      <w:r w:rsidRPr="00DC1A5F">
        <w:t xml:space="preserve"> aquí en lugar de </w:t>
      </w:r>
      <w:proofErr w:type="spellStart"/>
      <w:r w:rsidRPr="00DC1A5F">
        <w:rPr>
          <w:i/>
          <w:iCs/>
        </w:rPr>
        <w:t>kiñcana</w:t>
      </w:r>
      <w:proofErr w:type="spellEnd"/>
      <w:r w:rsidRPr="00DC1A5F">
        <w:rPr>
          <w:i/>
          <w:iCs/>
        </w:rPr>
        <w:t>–</w:t>
      </w:r>
      <w:proofErr w:type="spellStart"/>
      <w:r w:rsidRPr="00DC1A5F">
        <w:rPr>
          <w:i/>
          <w:iCs/>
        </w:rPr>
        <w:t>bhāve</w:t>
      </w:r>
      <w:proofErr w:type="spellEnd"/>
      <w:r w:rsidRPr="00DC1A5F">
        <w:t>.</w:t>
      </w:r>
    </w:p>
    <w:p w14:paraId="77309438"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En la ed. cingalés del M–a y A–a se lee aquí: </w:t>
      </w:r>
      <w:r w:rsidRPr="00DC1A5F">
        <w:rPr>
          <w:i/>
          <w:iCs/>
        </w:rPr>
        <w:t xml:space="preserve">“… </w:t>
      </w:r>
      <w:proofErr w:type="spellStart"/>
      <w:r w:rsidRPr="00DC1A5F">
        <w:rPr>
          <w:i/>
          <w:iCs/>
        </w:rPr>
        <w:t>upanetabbaṃ</w:t>
      </w:r>
      <w:proofErr w:type="spellEnd"/>
      <w:r w:rsidRPr="00DC1A5F">
        <w:rPr>
          <w:i/>
          <w:iCs/>
        </w:rPr>
        <w:t xml:space="preserve"> </w:t>
      </w:r>
      <w:proofErr w:type="spellStart"/>
      <w:r w:rsidRPr="00DC1A5F">
        <w:rPr>
          <w:i/>
          <w:iCs/>
        </w:rPr>
        <w:t>passati</w:t>
      </w:r>
      <w:proofErr w:type="spellEnd"/>
      <w:r w:rsidRPr="00DC1A5F">
        <w:rPr>
          <w:i/>
          <w:iCs/>
        </w:rPr>
        <w:t xml:space="preserve">, </w:t>
      </w:r>
      <w:proofErr w:type="spellStart"/>
      <w:r w:rsidRPr="00DC1A5F">
        <w:rPr>
          <w:i/>
          <w:iCs/>
        </w:rPr>
        <w:t>na</w:t>
      </w:r>
      <w:proofErr w:type="spellEnd"/>
      <w:r w:rsidRPr="00DC1A5F">
        <w:rPr>
          <w:i/>
          <w:iCs/>
        </w:rPr>
        <w:t xml:space="preserve"> </w:t>
      </w:r>
      <w:proofErr w:type="spellStart"/>
      <w:r w:rsidRPr="00DC1A5F">
        <w:rPr>
          <w:i/>
          <w:iCs/>
        </w:rPr>
        <w:t>parassa</w:t>
      </w:r>
      <w:proofErr w:type="spellEnd"/>
      <w:r w:rsidRPr="00DC1A5F">
        <w:rPr>
          <w:i/>
          <w:iCs/>
        </w:rPr>
        <w:t xml:space="preserve"> </w:t>
      </w:r>
      <w:proofErr w:type="spellStart"/>
      <w:r w:rsidRPr="00DC1A5F">
        <w:rPr>
          <w:i/>
          <w:iCs/>
        </w:rPr>
        <w:t>attānaṃ</w:t>
      </w:r>
      <w:proofErr w:type="spellEnd"/>
      <w:r w:rsidRPr="00DC1A5F">
        <w:rPr>
          <w:i/>
          <w:iCs/>
        </w:rPr>
        <w:t xml:space="preserve"> </w:t>
      </w:r>
      <w:proofErr w:type="spellStart"/>
      <w:r w:rsidRPr="00DC1A5F">
        <w:rPr>
          <w:i/>
          <w:iCs/>
        </w:rPr>
        <w:t>passati</w:t>
      </w:r>
      <w:proofErr w:type="spellEnd"/>
      <w:r w:rsidRPr="00DC1A5F">
        <w:rPr>
          <w:i/>
          <w:iCs/>
        </w:rPr>
        <w:t xml:space="preserve">, </w:t>
      </w:r>
      <w:proofErr w:type="spellStart"/>
      <w:r w:rsidRPr="00DC1A5F">
        <w:rPr>
          <w:i/>
          <w:iCs/>
        </w:rPr>
        <w:t>na</w:t>
      </w:r>
      <w:proofErr w:type="spellEnd"/>
      <w:r w:rsidRPr="00DC1A5F">
        <w:rPr>
          <w:i/>
          <w:iCs/>
        </w:rPr>
        <w:t xml:space="preserve"> </w:t>
      </w:r>
      <w:proofErr w:type="spellStart"/>
      <w:r w:rsidRPr="00DC1A5F">
        <w:rPr>
          <w:i/>
          <w:iCs/>
        </w:rPr>
        <w:t>parassa</w:t>
      </w:r>
      <w:proofErr w:type="spellEnd"/>
      <w:r w:rsidRPr="00DC1A5F">
        <w:rPr>
          <w:i/>
          <w:iCs/>
        </w:rPr>
        <w:t xml:space="preserve"> </w:t>
      </w:r>
      <w:proofErr w:type="spellStart"/>
      <w:r w:rsidRPr="00DC1A5F">
        <w:rPr>
          <w:i/>
          <w:iCs/>
        </w:rPr>
        <w:t>attano</w:t>
      </w:r>
      <w:proofErr w:type="spellEnd"/>
      <w:r w:rsidRPr="00DC1A5F">
        <w:rPr>
          <w:i/>
          <w:iCs/>
        </w:rPr>
        <w:t xml:space="preserve"> </w:t>
      </w:r>
      <w:proofErr w:type="spellStart"/>
      <w:r w:rsidRPr="00DC1A5F">
        <w:rPr>
          <w:i/>
          <w:iCs/>
        </w:rPr>
        <w:t>kiñcanabhāve</w:t>
      </w:r>
      <w:proofErr w:type="spellEnd"/>
      <w:r w:rsidRPr="00DC1A5F">
        <w:rPr>
          <w:i/>
          <w:iCs/>
        </w:rPr>
        <w:t xml:space="preserve"> </w:t>
      </w:r>
      <w:proofErr w:type="spellStart"/>
      <w:r w:rsidRPr="00DC1A5F">
        <w:rPr>
          <w:i/>
          <w:iCs/>
        </w:rPr>
        <w:t>upanetabbaṃ</w:t>
      </w:r>
      <w:proofErr w:type="spellEnd"/>
      <w:r w:rsidRPr="00DC1A5F">
        <w:rPr>
          <w:i/>
          <w:iCs/>
        </w:rPr>
        <w:t xml:space="preserve"> </w:t>
      </w:r>
      <w:proofErr w:type="spellStart"/>
      <w:r w:rsidRPr="00DC1A5F">
        <w:rPr>
          <w:i/>
          <w:iCs/>
        </w:rPr>
        <w:t>passati</w:t>
      </w:r>
      <w:proofErr w:type="spellEnd"/>
      <w:r w:rsidRPr="00DC1A5F">
        <w:t>”, tal como lo exige el sentido común.</w:t>
      </w:r>
    </w:p>
    <w:p w14:paraId="1DB316CA" w14:textId="77777777" w:rsidR="00597DE2" w:rsidRPr="00DC1A5F" w:rsidRDefault="00597DE2" w:rsidP="00597DE2">
      <w:pPr>
        <w:tabs>
          <w:tab w:val="clear" w:pos="425"/>
        </w:tabs>
        <w:spacing w:after="160"/>
      </w:pPr>
      <w:r w:rsidRPr="00DC1A5F">
        <w:br w:type="page"/>
      </w:r>
    </w:p>
    <w:p w14:paraId="7A7E1354" w14:textId="77777777" w:rsidR="00597DE2" w:rsidRPr="00DC1A5F" w:rsidRDefault="00597DE2" w:rsidP="00597DE2"/>
    <w:p w14:paraId="51B87673" w14:textId="77777777" w:rsidR="00597DE2" w:rsidRPr="00DC1A5F" w:rsidRDefault="00597DE2" w:rsidP="00597DE2">
      <w:r w:rsidRPr="00DC1A5F">
        <w:t xml:space="preserve">57. </w:t>
      </w:r>
      <w:r w:rsidRPr="00DC1A5F">
        <w:tab/>
        <w:t>Habiendo discernido así en el vacío en 8 modos, lo discernirá de nuevo en 10 modos. ¿Cómo? “Él observará la materialidad como vacía, vana, como no–alma, como carente de un Señor Supremo, como incapaz de convertirse en lo que uno quiera, como incapaz de ser poseída [como uno lo desee], como no–susceptible al ejercicio del dominio, como un extraño, como excluido de pasado y de futuro. Él observará la sensación ... (</w:t>
      </w:r>
      <w:proofErr w:type="gramStart"/>
      <w:r w:rsidRPr="00DC1A5F">
        <w:t>etc.)...</w:t>
      </w:r>
      <w:proofErr w:type="gramEnd"/>
      <w:r w:rsidRPr="00DC1A5F">
        <w:t xml:space="preserve"> la consciencia como vacía... como excluída”.</w:t>
      </w:r>
      <w:r w:rsidRPr="00DC1A5F">
        <w:rPr>
          <w:vertAlign w:val="superscript"/>
        </w:rPr>
        <w:t>24</w:t>
      </w:r>
      <w:r w:rsidRPr="00DC1A5F">
        <w:t xml:space="preserve"> (</w:t>
      </w:r>
      <w:proofErr w:type="spellStart"/>
      <w:r w:rsidRPr="00DC1A5F">
        <w:t>Nidd</w:t>
      </w:r>
      <w:proofErr w:type="spellEnd"/>
      <w:r w:rsidRPr="00DC1A5F">
        <w:t xml:space="preserve"> II 279 (</w:t>
      </w:r>
      <w:proofErr w:type="spellStart"/>
      <w:r w:rsidRPr="00DC1A5F">
        <w:t>Ee</w:t>
      </w:r>
      <w:proofErr w:type="spellEnd"/>
      <w:r w:rsidRPr="00DC1A5F">
        <w:t>)).</w:t>
      </w:r>
    </w:p>
    <w:p w14:paraId="2CA4FA36" w14:textId="77777777" w:rsidR="00597DE2" w:rsidRPr="00DC1A5F" w:rsidRDefault="00597DE2" w:rsidP="00597DE2">
      <w:r w:rsidRPr="00DC1A5F">
        <w:t xml:space="preserve">58. </w:t>
      </w:r>
      <w:r w:rsidRPr="00DC1A5F">
        <w:tab/>
        <w:t>Habiendo discernido así el vacío en 10 modos, volverá a discernirlo en 12 modos, es decir: “La materialidad no es ningún ser vivo,</w:t>
      </w:r>
      <w:r w:rsidRPr="00DC1A5F">
        <w:rPr>
          <w:vertAlign w:val="superscript"/>
        </w:rPr>
        <w:t>25</w:t>
      </w:r>
      <w:r w:rsidRPr="00DC1A5F">
        <w:t xml:space="preserve"> ni un alma, ni un ser humano, ni un hombre, nada femenino, nada masculino, ni un alma, ninguna propiedad personal de alguien, ni un yo, ni un mío, ni ningún otro, ni de nadie. La sensación… (</w:t>
      </w:r>
      <w:proofErr w:type="gramStart"/>
      <w:r w:rsidRPr="00DC1A5F">
        <w:t>etc.)…</w:t>
      </w:r>
      <w:proofErr w:type="gramEnd"/>
      <w:r w:rsidRPr="00DC1A5F">
        <w:t xml:space="preserve"> la consciencia… ni de nadie (</w:t>
      </w:r>
      <w:proofErr w:type="spellStart"/>
      <w:r w:rsidRPr="00DC1A5F">
        <w:t>Nidd</w:t>
      </w:r>
      <w:proofErr w:type="spellEnd"/>
      <w:r w:rsidRPr="00DC1A5F">
        <w:t xml:space="preserve"> II 186 (Se); </w:t>
      </w:r>
      <w:proofErr w:type="spellStart"/>
      <w:r w:rsidRPr="00DC1A5F">
        <w:t>Nidd</w:t>
      </w:r>
      <w:proofErr w:type="spellEnd"/>
      <w:r w:rsidRPr="00DC1A5F">
        <w:t xml:space="preserve"> II 280 (</w:t>
      </w:r>
      <w:proofErr w:type="spellStart"/>
      <w:r w:rsidRPr="00DC1A5F">
        <w:t>Ee</w:t>
      </w:r>
      <w:proofErr w:type="spellEnd"/>
      <w:r w:rsidRPr="00DC1A5F">
        <w:t>)).</w:t>
      </w:r>
    </w:p>
    <w:p w14:paraId="501FBAB0" w14:textId="77777777" w:rsidR="00597DE2" w:rsidRPr="00DC1A5F" w:rsidRDefault="00597DE2" w:rsidP="00597DE2">
      <w:r w:rsidRPr="00DC1A5F">
        <w:t xml:space="preserve">59. </w:t>
      </w:r>
      <w:r w:rsidRPr="00DC1A5F">
        <w:tab/>
        <w:t>Habiendo discernido así en el vacío en 12 modos, lo discernirá, de nuevo, en 42 modos a través del pleno entendimiento como investigación. Él percibirá la materialidad como impermanente, insatisfactoria, como una enfermedad, un tumor, un dardo, una calamidad, una aflicción, como algo extraño, como algo que se desintegre, como una plaga, un desastre, un terror, una amenaza, como algo voluble, perecedero, imperdurable, como carente de protección, de cobijo, de refugio, como inapropiado para un refugio, como vacío, vano, desierto, no–alma, como insatisfactorio,</w:t>
      </w:r>
      <w:r w:rsidRPr="00DC1A5F">
        <w:rPr>
          <w:vertAlign w:val="superscript"/>
        </w:rPr>
        <w:t>26</w:t>
      </w:r>
      <w:r w:rsidRPr="00DC1A5F">
        <w:t xml:space="preserve"> como un peligro, como sujeto al cambio, como carente de núcleo, como la raíz de una calamidad, como un asesino, como una aniquilación inminente, como sujeta a las corrupciones, como formada, como el cebo de </w:t>
      </w:r>
      <w:r w:rsidRPr="00DC1A5F">
        <w:rPr>
          <w:i/>
        </w:rPr>
        <w:t>Māra</w:t>
      </w:r>
      <w:r w:rsidRPr="00DC1A5F">
        <w:t>, como sujeta al nacimiento, a la vejez, a la enfermedad, a la muerte, a la aflicción, la lamentación, el dolor, la angustia y la desesperación; como surgimiento, como desaparición; como un peligro,</w:t>
      </w:r>
      <w:r w:rsidRPr="00DC1A5F">
        <w:rPr>
          <w:vertAlign w:val="superscript"/>
        </w:rPr>
        <w:t>27</w:t>
      </w:r>
      <w:r w:rsidRPr="00DC1A5F">
        <w:t xml:space="preserve"> como una necesidad de escape. Verá la sensación... (</w:t>
      </w:r>
      <w:proofErr w:type="gramStart"/>
      <w:r w:rsidRPr="00DC1A5F">
        <w:t>etc.)...</w:t>
      </w:r>
      <w:proofErr w:type="gramEnd"/>
      <w:r w:rsidRPr="00DC1A5F">
        <w:t xml:space="preserve"> la consciencia... como una necesidad de escape (cf. </w:t>
      </w:r>
      <w:proofErr w:type="spellStart"/>
      <w:r w:rsidRPr="00DC1A5F">
        <w:rPr>
          <w:i/>
          <w:iCs/>
        </w:rPr>
        <w:t>Paṭis</w:t>
      </w:r>
      <w:proofErr w:type="spellEnd"/>
      <w:r w:rsidRPr="00DC1A5F">
        <w:t xml:space="preserve"> II 238).</w:t>
      </w:r>
    </w:p>
    <w:p w14:paraId="6C49E04E" w14:textId="77777777" w:rsidR="00597DE2" w:rsidRPr="00DC1A5F" w:rsidRDefault="00597DE2" w:rsidP="00597DE2">
      <w:r w:rsidRPr="00DC1A5F">
        <w:t xml:space="preserve">60. </w:t>
      </w:r>
      <w:r w:rsidRPr="00DC1A5F">
        <w:tab/>
        <w:t>Y esto también se dice al respecto:</w:t>
      </w:r>
      <w:r w:rsidRPr="00DC1A5F">
        <w:rPr>
          <w:vertAlign w:val="superscript"/>
        </w:rPr>
        <w:t>28</w:t>
      </w:r>
      <w:r w:rsidRPr="00DC1A5F">
        <w:t xml:space="preserve"> “Cuando él perciba la materialidad como impermanente… como una necesidad de escape, él percibirá al mundo como algo vacío. Cuando observe la sensación ... (</w:t>
      </w:r>
      <w:proofErr w:type="gramStart"/>
      <w:r w:rsidRPr="00DC1A5F">
        <w:t>etc.)...</w:t>
      </w:r>
      <w:proofErr w:type="gramEnd"/>
      <w:r w:rsidRPr="00DC1A5F">
        <w:t xml:space="preserve"> la consciencia como impermanente... como una necesidad de escape, percibirá al mundo como algo vacío”. [656]</w:t>
      </w:r>
    </w:p>
    <w:p w14:paraId="692EFF87" w14:textId="77777777" w:rsidR="00597DE2" w:rsidRPr="00DC1A5F" w:rsidRDefault="00597DE2" w:rsidP="00597DE2">
      <w:pPr>
        <w:pStyle w:val="VersoIngls01Sangria"/>
        <w:rPr>
          <w:sz w:val="16"/>
          <w:szCs w:val="20"/>
        </w:rPr>
      </w:pPr>
      <w:r w:rsidRPr="00DC1A5F">
        <w:rPr>
          <w:sz w:val="16"/>
          <w:szCs w:val="20"/>
        </w:rPr>
        <w:t>“Al observar el mundo como algo vacío:</w:t>
      </w:r>
    </w:p>
    <w:p w14:paraId="4B0DCD29" w14:textId="77777777" w:rsidR="00597DE2" w:rsidRPr="00DC1A5F" w:rsidRDefault="00597DE2" w:rsidP="00597DE2">
      <w:pPr>
        <w:pStyle w:val="VersoIngls01Sangria"/>
        <w:rPr>
          <w:sz w:val="16"/>
          <w:szCs w:val="20"/>
        </w:rPr>
      </w:pPr>
      <w:r w:rsidRPr="00DC1A5F">
        <w:rPr>
          <w:sz w:val="16"/>
          <w:szCs w:val="20"/>
        </w:rPr>
        <w:t xml:space="preserve">Así, </w:t>
      </w:r>
      <w:proofErr w:type="spellStart"/>
      <w:r w:rsidRPr="00DC1A5F">
        <w:rPr>
          <w:sz w:val="16"/>
          <w:szCs w:val="20"/>
        </w:rPr>
        <w:t>Mogharāja</w:t>
      </w:r>
      <w:proofErr w:type="spellEnd"/>
      <w:r w:rsidRPr="00DC1A5F">
        <w:rPr>
          <w:sz w:val="16"/>
          <w:szCs w:val="20"/>
        </w:rPr>
        <w:t>, siempre consciente,</w:t>
      </w:r>
    </w:p>
    <w:p w14:paraId="6B84860B" w14:textId="77777777" w:rsidR="00597DE2" w:rsidRPr="00DC1A5F" w:rsidRDefault="00597DE2" w:rsidP="00597DE2">
      <w:pPr>
        <w:pStyle w:val="VersoIngls01Sangria"/>
        <w:rPr>
          <w:sz w:val="16"/>
          <w:szCs w:val="20"/>
        </w:rPr>
      </w:pPr>
      <w:r w:rsidRPr="00DC1A5F">
        <w:rPr>
          <w:sz w:val="16"/>
          <w:szCs w:val="20"/>
        </w:rPr>
        <w:t>Él podrá escapar de las garras de la muerte.</w:t>
      </w:r>
    </w:p>
    <w:p w14:paraId="56174044"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5095CAD"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Siendo la causa y el efecto independientes uno del otro (ver </w:t>
      </w:r>
      <w:proofErr w:type="spellStart"/>
      <w:r w:rsidRPr="00DC1A5F">
        <w:t>Vism</w:t>
      </w:r>
      <w:proofErr w:type="spellEnd"/>
      <w:r w:rsidRPr="00DC1A5F">
        <w:t>–</w:t>
      </w:r>
      <w:proofErr w:type="spellStart"/>
      <w:r w:rsidRPr="00DC1A5F">
        <w:t>mhṭ</w:t>
      </w:r>
      <w:proofErr w:type="spellEnd"/>
      <w:r w:rsidRPr="00DC1A5F">
        <w:t xml:space="preserve"> 842).</w:t>
      </w:r>
    </w:p>
    <w:p w14:paraId="633528DF" w14:textId="77777777" w:rsidR="00597DE2" w:rsidRPr="00DC1A5F" w:rsidRDefault="00597DE2" w:rsidP="00597DE2">
      <w:pPr>
        <w:pStyle w:val="PiedepginaLegal"/>
        <w:numPr>
          <w:ilvl w:val="0"/>
          <w:numId w:val="10"/>
        </w:numPr>
        <w:tabs>
          <w:tab w:val="clear" w:pos="425"/>
          <w:tab w:val="left" w:pos="284"/>
        </w:tabs>
        <w:ind w:left="284" w:hanging="284"/>
      </w:pPr>
      <w:r w:rsidRPr="00DC1A5F">
        <w:t>“Un significado como ‘lo que en el uso común mundano se designa como un ser no es materialidad’ no se pretende aquí porque no está implícito en lo que se dice al respecto; porque el uso común mundano no habla de la simple materialidad como un ser. Lo que se entiende como un ser es el alma el cual es conjeturado por los ajenos a la dispensación” (</w:t>
      </w:r>
      <w:proofErr w:type="spellStart"/>
      <w:r w:rsidRPr="00DC1A5F">
        <w:t>Vism</w:t>
      </w:r>
      <w:proofErr w:type="spellEnd"/>
      <w:r w:rsidRPr="00DC1A5F">
        <w:t>–</w:t>
      </w:r>
      <w:proofErr w:type="spellStart"/>
      <w:r w:rsidRPr="00DC1A5F">
        <w:t>mhṭ</w:t>
      </w:r>
      <w:proofErr w:type="spellEnd"/>
      <w:r w:rsidRPr="00DC1A5F">
        <w:t xml:space="preserve"> 842).</w:t>
      </w:r>
    </w:p>
    <w:p w14:paraId="096DCC8E" w14:textId="77777777" w:rsidR="00597DE2" w:rsidRPr="00DC1A5F" w:rsidRDefault="00597DE2" w:rsidP="00597DE2">
      <w:pPr>
        <w:pStyle w:val="PiedepginaLegal"/>
        <w:numPr>
          <w:ilvl w:val="0"/>
          <w:numId w:val="10"/>
        </w:numPr>
        <w:tabs>
          <w:tab w:val="clear" w:pos="425"/>
          <w:tab w:val="left" w:pos="284"/>
        </w:tabs>
        <w:ind w:left="284" w:hanging="284"/>
      </w:pPr>
      <w:r w:rsidRPr="00DC1A5F">
        <w:t>“Esto no se encuentra en el texto. Si lo fuera, existiría 43 modos” (</w:t>
      </w:r>
      <w:proofErr w:type="spellStart"/>
      <w:r w:rsidRPr="00DC1A5F">
        <w:t>Vism</w:t>
      </w:r>
      <w:proofErr w:type="spellEnd"/>
      <w:r w:rsidRPr="00DC1A5F">
        <w:t>–</w:t>
      </w:r>
      <w:proofErr w:type="spellStart"/>
      <w:r w:rsidRPr="00DC1A5F">
        <w:t>mhṭ</w:t>
      </w:r>
      <w:proofErr w:type="spellEnd"/>
      <w:r w:rsidRPr="00DC1A5F">
        <w:t xml:space="preserve"> 842).</w:t>
      </w:r>
    </w:p>
    <w:p w14:paraId="544D1962" w14:textId="77777777" w:rsidR="00597DE2" w:rsidRPr="00DC1A5F" w:rsidRDefault="00597DE2" w:rsidP="00597DE2">
      <w:pPr>
        <w:pStyle w:val="PiedepginaLegal"/>
        <w:numPr>
          <w:ilvl w:val="0"/>
          <w:numId w:val="10"/>
        </w:numPr>
        <w:tabs>
          <w:tab w:val="clear" w:pos="425"/>
          <w:tab w:val="left" w:pos="284"/>
        </w:tabs>
        <w:ind w:left="284" w:hanging="284"/>
      </w:pPr>
      <w:r w:rsidRPr="00DC1A5F">
        <w:t>“Aunque ya se haya descrito como un peligro para exponerlo como tal, se volverá a utilizar la palabra para exponer que se opone al placer (a la satisfacción)” (</w:t>
      </w:r>
      <w:proofErr w:type="spellStart"/>
      <w:r w:rsidRPr="00DC1A5F">
        <w:t>Vism</w:t>
      </w:r>
      <w:proofErr w:type="spellEnd"/>
      <w:r w:rsidRPr="00DC1A5F">
        <w:t>–</w:t>
      </w:r>
      <w:proofErr w:type="spellStart"/>
      <w:r w:rsidRPr="00DC1A5F">
        <w:t>mhṭ</w:t>
      </w:r>
      <w:proofErr w:type="spellEnd"/>
      <w:r w:rsidRPr="00DC1A5F">
        <w:t xml:space="preserve"> 843).</w:t>
      </w:r>
    </w:p>
    <w:p w14:paraId="2CD3AE7A"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El </w:t>
      </w:r>
      <w:proofErr w:type="spellStart"/>
      <w:r w:rsidRPr="00DC1A5F">
        <w:t>Vism</w:t>
      </w:r>
      <w:proofErr w:type="spellEnd"/>
      <w:r w:rsidRPr="00DC1A5F">
        <w:t>–</w:t>
      </w:r>
      <w:proofErr w:type="spellStart"/>
      <w:r w:rsidRPr="00DC1A5F">
        <w:t>mhṭ</w:t>
      </w:r>
      <w:proofErr w:type="spellEnd"/>
      <w:r w:rsidRPr="00DC1A5F">
        <w:t xml:space="preserve"> (p. 843) pareciera sugerir que esto se cita del </w:t>
      </w:r>
      <w:proofErr w:type="spellStart"/>
      <w:r w:rsidRPr="00DC1A5F">
        <w:rPr>
          <w:i/>
          <w:iCs/>
        </w:rPr>
        <w:t>Niddesa</w:t>
      </w:r>
      <w:proofErr w:type="spellEnd"/>
      <w:r w:rsidRPr="00DC1A5F">
        <w:t xml:space="preserve">, pero no se encuentra en el </w:t>
      </w:r>
      <w:proofErr w:type="spellStart"/>
      <w:r w:rsidRPr="00DC1A5F">
        <w:t>Nidd</w:t>
      </w:r>
      <w:proofErr w:type="spellEnd"/>
      <w:r w:rsidRPr="00DC1A5F">
        <w:t xml:space="preserve"> II bajo esta forma. Cf. </w:t>
      </w:r>
      <w:proofErr w:type="spellStart"/>
      <w:r w:rsidRPr="00DC1A5F">
        <w:t>Nidd</w:t>
      </w:r>
      <w:proofErr w:type="spellEnd"/>
      <w:r w:rsidRPr="00DC1A5F">
        <w:t xml:space="preserve"> II 162 (Be): </w:t>
      </w:r>
      <w:proofErr w:type="spellStart"/>
      <w:r w:rsidRPr="00DC1A5F">
        <w:rPr>
          <w:i/>
          <w:iCs/>
        </w:rPr>
        <w:t>Atha</w:t>
      </w:r>
      <w:proofErr w:type="spellEnd"/>
      <w:r w:rsidRPr="00DC1A5F">
        <w:rPr>
          <w:i/>
          <w:iCs/>
        </w:rPr>
        <w:t xml:space="preserve"> </w:t>
      </w:r>
      <w:proofErr w:type="spellStart"/>
      <w:r w:rsidRPr="00DC1A5F">
        <w:rPr>
          <w:i/>
          <w:iCs/>
        </w:rPr>
        <w:t>vā</w:t>
      </w:r>
      <w:proofErr w:type="spellEnd"/>
      <w:r w:rsidRPr="00DC1A5F">
        <w:rPr>
          <w:i/>
          <w:iCs/>
        </w:rPr>
        <w:t xml:space="preserve">, </w:t>
      </w:r>
      <w:proofErr w:type="spellStart"/>
      <w:r w:rsidRPr="00DC1A5F">
        <w:rPr>
          <w:i/>
          <w:iCs/>
        </w:rPr>
        <w:t>vedanaṃ</w:t>
      </w:r>
      <w:proofErr w:type="spellEnd"/>
      <w:r w:rsidRPr="00DC1A5F">
        <w:rPr>
          <w:i/>
          <w:iCs/>
        </w:rPr>
        <w:t xml:space="preserve"> </w:t>
      </w:r>
      <w:proofErr w:type="spellStart"/>
      <w:r w:rsidRPr="00DC1A5F">
        <w:rPr>
          <w:i/>
          <w:iCs/>
        </w:rPr>
        <w:t>aniccato</w:t>
      </w:r>
      <w:proofErr w:type="spellEnd"/>
      <w:r w:rsidRPr="00DC1A5F">
        <w:rPr>
          <w:i/>
          <w:iCs/>
        </w:rPr>
        <w:t xml:space="preserve">... </w:t>
      </w:r>
      <w:proofErr w:type="spellStart"/>
      <w:r w:rsidRPr="00DC1A5F">
        <w:rPr>
          <w:i/>
          <w:iCs/>
        </w:rPr>
        <w:t>dukkhato</w:t>
      </w:r>
      <w:proofErr w:type="spellEnd"/>
      <w:r w:rsidRPr="00DC1A5F">
        <w:rPr>
          <w:i/>
          <w:iCs/>
        </w:rPr>
        <w:t xml:space="preserve"> </w:t>
      </w:r>
      <w:proofErr w:type="spellStart"/>
      <w:r w:rsidRPr="00DC1A5F">
        <w:rPr>
          <w:i/>
          <w:iCs/>
        </w:rPr>
        <w:t>rogato</w:t>
      </w:r>
      <w:proofErr w:type="spellEnd"/>
      <w:r w:rsidRPr="00DC1A5F">
        <w:rPr>
          <w:i/>
          <w:iCs/>
        </w:rPr>
        <w:t xml:space="preserve"> </w:t>
      </w:r>
      <w:proofErr w:type="spellStart"/>
      <w:r w:rsidRPr="00DC1A5F">
        <w:rPr>
          <w:i/>
          <w:iCs/>
        </w:rPr>
        <w:t>gaóḍato</w:t>
      </w:r>
      <w:proofErr w:type="spellEnd"/>
      <w:r w:rsidRPr="00DC1A5F">
        <w:rPr>
          <w:i/>
          <w:iCs/>
        </w:rPr>
        <w:t xml:space="preserve"> </w:t>
      </w:r>
      <w:proofErr w:type="spellStart"/>
      <w:r w:rsidRPr="00DC1A5F">
        <w:rPr>
          <w:i/>
          <w:iCs/>
        </w:rPr>
        <w:t>sallato</w:t>
      </w:r>
      <w:proofErr w:type="spellEnd"/>
      <w:r w:rsidRPr="00DC1A5F">
        <w:rPr>
          <w:i/>
          <w:iCs/>
        </w:rPr>
        <w:t xml:space="preserve"> </w:t>
      </w:r>
      <w:proofErr w:type="spellStart"/>
      <w:r w:rsidRPr="00DC1A5F">
        <w:rPr>
          <w:i/>
          <w:iCs/>
        </w:rPr>
        <w:t>aghato</w:t>
      </w:r>
      <w:proofErr w:type="spellEnd"/>
      <w:r w:rsidRPr="00DC1A5F">
        <w:rPr>
          <w:i/>
          <w:iCs/>
        </w:rPr>
        <w:t xml:space="preserve"> </w:t>
      </w:r>
      <w:proofErr w:type="spellStart"/>
      <w:r w:rsidRPr="00DC1A5F">
        <w:rPr>
          <w:i/>
          <w:iCs/>
        </w:rPr>
        <w:t>ābādhato</w:t>
      </w:r>
      <w:proofErr w:type="spellEnd"/>
      <w:r w:rsidRPr="00DC1A5F">
        <w:rPr>
          <w:i/>
          <w:iCs/>
        </w:rPr>
        <w:t xml:space="preserve">... pe... </w:t>
      </w:r>
      <w:proofErr w:type="spellStart"/>
      <w:r w:rsidRPr="00DC1A5F">
        <w:rPr>
          <w:i/>
          <w:iCs/>
        </w:rPr>
        <w:t>nissaraṇato</w:t>
      </w:r>
      <w:proofErr w:type="spellEnd"/>
      <w:r w:rsidRPr="00DC1A5F">
        <w:rPr>
          <w:i/>
          <w:iCs/>
        </w:rPr>
        <w:t xml:space="preserve"> </w:t>
      </w:r>
      <w:proofErr w:type="spellStart"/>
      <w:r w:rsidRPr="00DC1A5F">
        <w:rPr>
          <w:i/>
          <w:iCs/>
        </w:rPr>
        <w:t>passanto</w:t>
      </w:r>
      <w:proofErr w:type="spellEnd"/>
      <w:r w:rsidRPr="00DC1A5F">
        <w:rPr>
          <w:i/>
          <w:iCs/>
        </w:rPr>
        <w:t xml:space="preserve"> </w:t>
      </w:r>
      <w:proofErr w:type="spellStart"/>
      <w:r w:rsidRPr="00DC1A5F">
        <w:rPr>
          <w:i/>
          <w:iCs/>
        </w:rPr>
        <w:t>vedanaṃ</w:t>
      </w:r>
      <w:proofErr w:type="spellEnd"/>
      <w:r w:rsidRPr="00DC1A5F">
        <w:rPr>
          <w:i/>
          <w:iCs/>
        </w:rPr>
        <w:t xml:space="preserve"> </w:t>
      </w:r>
      <w:proofErr w:type="spellStart"/>
      <w:r w:rsidRPr="00DC1A5F">
        <w:rPr>
          <w:i/>
          <w:iCs/>
        </w:rPr>
        <w:t>nābhinandati</w:t>
      </w:r>
      <w:proofErr w:type="spellEnd"/>
      <w:r w:rsidRPr="00DC1A5F">
        <w:t>...</w:t>
      </w:r>
    </w:p>
    <w:p w14:paraId="4FD94B0C" w14:textId="77777777" w:rsidR="00597DE2" w:rsidRPr="00DC1A5F" w:rsidRDefault="00597DE2" w:rsidP="00597DE2">
      <w:pPr>
        <w:pStyle w:val="VersoIngls01Sangria"/>
      </w:pPr>
    </w:p>
    <w:p w14:paraId="5E20E532" w14:textId="77777777" w:rsidR="00597DE2" w:rsidRPr="00DC1A5F" w:rsidRDefault="00597DE2" w:rsidP="00597DE2">
      <w:pPr>
        <w:tabs>
          <w:tab w:val="clear" w:pos="425"/>
        </w:tabs>
        <w:spacing w:after="160"/>
      </w:pPr>
      <w:r w:rsidRPr="00DC1A5F">
        <w:br w:type="page"/>
      </w:r>
    </w:p>
    <w:p w14:paraId="2F05A733" w14:textId="77777777" w:rsidR="00597DE2" w:rsidRPr="00DC1A5F" w:rsidRDefault="00597DE2" w:rsidP="00597DE2">
      <w:pPr>
        <w:pStyle w:val="VersoIngls01Sangria"/>
        <w:rPr>
          <w:sz w:val="16"/>
          <w:szCs w:val="20"/>
        </w:rPr>
      </w:pPr>
    </w:p>
    <w:p w14:paraId="06EC28EC" w14:textId="77777777" w:rsidR="00597DE2" w:rsidRPr="00DC1A5F" w:rsidRDefault="00597DE2" w:rsidP="00597DE2">
      <w:pPr>
        <w:pStyle w:val="VersoIngls01Sangria"/>
        <w:rPr>
          <w:sz w:val="16"/>
          <w:szCs w:val="20"/>
        </w:rPr>
      </w:pPr>
      <w:r w:rsidRPr="00DC1A5F">
        <w:rPr>
          <w:sz w:val="16"/>
          <w:szCs w:val="20"/>
        </w:rPr>
        <w:t>Renunciando a creer en un alma.</w:t>
      </w:r>
    </w:p>
    <w:p w14:paraId="2CEA8D99" w14:textId="77777777" w:rsidR="00597DE2" w:rsidRPr="00DC1A5F" w:rsidRDefault="00597DE2" w:rsidP="00597DE2">
      <w:pPr>
        <w:pStyle w:val="VersoIngls01Sangria"/>
        <w:rPr>
          <w:sz w:val="16"/>
          <w:szCs w:val="20"/>
        </w:rPr>
      </w:pPr>
      <w:r w:rsidRPr="00DC1A5F">
        <w:rPr>
          <w:sz w:val="16"/>
          <w:szCs w:val="20"/>
        </w:rPr>
        <w:t>Ya que el Rey de la Muerte no podrá percibir al hombre</w:t>
      </w:r>
    </w:p>
    <w:p w14:paraId="3D46F256" w14:textId="77777777" w:rsidR="00597DE2" w:rsidRPr="00DC1A5F" w:rsidRDefault="00597DE2" w:rsidP="00597DE2">
      <w:pPr>
        <w:pStyle w:val="VersoIngls01Sangria"/>
        <w:spacing w:after="100"/>
        <w:ind w:left="1418"/>
        <w:rPr>
          <w:sz w:val="16"/>
          <w:szCs w:val="20"/>
          <w:vertAlign w:val="superscript"/>
        </w:rPr>
      </w:pPr>
      <w:r w:rsidRPr="00DC1A5F">
        <w:rPr>
          <w:sz w:val="16"/>
          <w:szCs w:val="20"/>
        </w:rPr>
        <w:t>Que observe al mundo de esta manera”.</w:t>
      </w:r>
      <w:r w:rsidRPr="00DC1A5F">
        <w:rPr>
          <w:sz w:val="16"/>
          <w:szCs w:val="20"/>
          <w:vertAlign w:val="superscript"/>
        </w:rPr>
        <w:t>29</w:t>
      </w:r>
    </w:p>
    <w:p w14:paraId="65CB9938" w14:textId="77777777" w:rsidR="00597DE2" w:rsidRPr="00DC1A5F" w:rsidRDefault="00597DE2" w:rsidP="00597DE2">
      <w:pPr>
        <w:pStyle w:val="Ttulo4"/>
        <w:ind w:left="708"/>
      </w:pPr>
      <w:r w:rsidRPr="00DC1A5F">
        <w:rPr>
          <w:i w:val="0"/>
          <w:iCs w:val="0"/>
        </w:rPr>
        <w:t>[</w:t>
      </w:r>
      <w:r w:rsidRPr="00DC1A5F">
        <w:t>8. Conocimiento de la Ecuanimidad con Respecto a las Formaciones</w:t>
      </w:r>
      <w:r w:rsidRPr="00DC1A5F">
        <w:rPr>
          <w:i w:val="0"/>
          <w:iCs w:val="0"/>
        </w:rPr>
        <w:t>]</w:t>
      </w:r>
    </w:p>
    <w:p w14:paraId="4EC1DA3A" w14:textId="77777777" w:rsidR="00597DE2" w:rsidRPr="00DC1A5F" w:rsidRDefault="00597DE2" w:rsidP="00597DE2">
      <w:r w:rsidRPr="00DC1A5F">
        <w:t xml:space="preserve">61. </w:t>
      </w:r>
      <w:r w:rsidRPr="00DC1A5F">
        <w:tab/>
        <w:t>Cuando haya discernido respecto a las formaciones, atribuyéndoles las 3 características y percibiéndolas como vacías, entonces él abandonará tanto el terror como el placer, se hará indiferente hacia ellas y permanecerá neutral respecto a ellas, no las adoptará ni como alma ni como mías, será como un hombre que se haya divorciado de su mujer.</w:t>
      </w:r>
    </w:p>
    <w:p w14:paraId="7DDDB796" w14:textId="77777777" w:rsidR="00597DE2" w:rsidRPr="00DC1A5F" w:rsidRDefault="00597DE2" w:rsidP="00597DE2">
      <w:r w:rsidRPr="00DC1A5F">
        <w:t xml:space="preserve">62. </w:t>
      </w:r>
      <w:r w:rsidRPr="00DC1A5F">
        <w:tab/>
        <w:t>Supongamos que un hombre esté casado con una esposa encantadora, deseable y elegante y que esté tan profundamente enamorado que no pueda soportar separarse ni siquiera un momento de ella. Él se sentiría perturbado y disgustado al verla de pie, sentada o hablando o riendo con otro hombre, entonces se sentiría muy infeliz; no obstante, con el paso del tiempo, cuando haya descubierto los defectos de la mujer, queriendo librarse de ella, finalmente se divorciará y ya no la considerará como “mía”; y en adelante, aunque la vea haciendo lo que fuera con quien fuera, no se perturbará ni disgustará, sino y por el contrario, se mostraría indiferente y neutral. Así también, este meditador, queriendo liberarse de todas las formaciones, discernirá en ellas mediante la contemplación de la reflexión; luego, al no apreciar nada que pueda ser adoptado como “yo” o como “mío”, abandonará tanto al terror como el placer, entonces se hará indiferente y neutral hacia todas las formaciones.</w:t>
      </w:r>
    </w:p>
    <w:p w14:paraId="3DD8F180" w14:textId="77777777" w:rsidR="00597DE2" w:rsidRPr="00DC1A5F" w:rsidRDefault="00597DE2" w:rsidP="00597DE2">
      <w:r w:rsidRPr="00DC1A5F">
        <w:t xml:space="preserve">63. </w:t>
      </w:r>
      <w:r w:rsidRPr="00DC1A5F">
        <w:tab/>
        <w:t>Cuando él conozca y observe así, su corazón retrocederá, se retraerá y se inhibirá ante las 3 clases de devenir, las 4 clases de generación, las 5 clases de destino, las 7 estaciones de la consciencia y los 9 planos existenciales; su corazón ya no se complacerá con ellos. Se establecerá la ecuanimidad o la repulsión al respecto. Así como las gotas de agua retrocederían, se retraerían y se distanciarían sobre una hoja de loto cuando ésta se incline un poco y no se extienda, así también su corazón… etc.  Así como la pluma de un ave o un trozo de tendón arrojado al fuego se contraería, se retraería, inhibiría y no se expandiría, así también su corazón retrocederá, se retraerá y se inhibirá ante los 3 tipos de devenir... O se establecerá en la ecuanimidad o en la repulsión al respecto.</w:t>
      </w:r>
    </w:p>
    <w:p w14:paraId="46B586A7" w14:textId="77777777" w:rsidR="00597DE2" w:rsidRPr="00DC1A5F" w:rsidRDefault="00597DE2" w:rsidP="00597DE2">
      <w:pPr>
        <w:pStyle w:val="NormalConSangria"/>
      </w:pPr>
      <w:r w:rsidRPr="00DC1A5F">
        <w:t xml:space="preserve">Es de esta forma que surgirá en él lo que se </w:t>
      </w:r>
      <w:proofErr w:type="gramStart"/>
      <w:r w:rsidRPr="00DC1A5F">
        <w:t>denomina como</w:t>
      </w:r>
      <w:proofErr w:type="gramEnd"/>
      <w:r w:rsidRPr="00DC1A5F">
        <w:t xml:space="preserve"> conocimiento de la ecuanimidad con respecto a las formaciones.</w:t>
      </w:r>
    </w:p>
    <w:p w14:paraId="3CFB95A0" w14:textId="77777777" w:rsidR="00597DE2" w:rsidRPr="00DC1A5F" w:rsidRDefault="00597DE2" w:rsidP="00597DE2">
      <w:r w:rsidRPr="00DC1A5F">
        <w:t xml:space="preserve">64. </w:t>
      </w:r>
      <w:r w:rsidRPr="00DC1A5F">
        <w:tab/>
        <w:t xml:space="preserve">No obstante, si este conocimiento percibiese el </w:t>
      </w:r>
      <w:r w:rsidRPr="00DC1A5F">
        <w:rPr>
          <w:i/>
          <w:iCs/>
        </w:rPr>
        <w:t>Nibbāna</w:t>
      </w:r>
      <w:r w:rsidRPr="00DC1A5F">
        <w:t xml:space="preserve">, el estado de paz, como apacible, rechazará la ocurrencia de todas las formaciones y entrará sólo en el </w:t>
      </w:r>
      <w:r w:rsidRPr="00DC1A5F">
        <w:rPr>
          <w:i/>
          <w:iCs/>
        </w:rPr>
        <w:t>Nibbāna</w:t>
      </w:r>
      <w:r w:rsidRPr="00DC1A5F">
        <w:t xml:space="preserve">. Si no percibiese el </w:t>
      </w:r>
      <w:r w:rsidRPr="00DC1A5F">
        <w:rPr>
          <w:i/>
          <w:iCs/>
        </w:rPr>
        <w:t>Nibbāna</w:t>
      </w:r>
      <w:r w:rsidRPr="00DC1A5F">
        <w:t xml:space="preserve"> como apacible, [657] ocurrirá una y otra vez con formaciones como su objeto, como el cuervo de los marineros.</w:t>
      </w:r>
    </w:p>
    <w:p w14:paraId="1AA7F69D" w14:textId="77777777" w:rsidR="00597DE2" w:rsidRPr="00DC1A5F" w:rsidRDefault="00597DE2" w:rsidP="00597DE2">
      <w:r w:rsidRPr="00DC1A5F">
        <w:t xml:space="preserve">65. </w:t>
      </w:r>
      <w:r w:rsidRPr="00DC1A5F">
        <w:tab/>
        <w:t>Cuando los mercaderes abordan un barco, pareciera que llevasen consigo lo que se conoce como un cuervo buscador de tierra firme. Cuando el barco es desviado de su curso por los vendavales y va a la deriva sin tierra a la vista, sueltan al cuervo buscador de tierra firme. Éste despega del tope del mástil,</w:t>
      </w:r>
      <w:r w:rsidRPr="00DC1A5F">
        <w:rPr>
          <w:vertAlign w:val="superscript"/>
        </w:rPr>
        <w:t>30</w:t>
      </w:r>
      <w:r w:rsidRPr="00DC1A5F">
        <w:t xml:space="preserve"> y después de explorar </w:t>
      </w:r>
      <w:proofErr w:type="gramStart"/>
      <w:r w:rsidRPr="00DC1A5F">
        <w:t>todos las direcciones</w:t>
      </w:r>
      <w:proofErr w:type="gramEnd"/>
      <w:r w:rsidRPr="00DC1A5F">
        <w:t>, si ve tierra, volará directamente hacia ella; si no, volverá y se posará nuevamente en el tope del mástil. Así también, si el</w:t>
      </w:r>
    </w:p>
    <w:p w14:paraId="38ACB68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4E45767"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Sn 1119: </w:t>
      </w:r>
      <w:proofErr w:type="spellStart"/>
      <w:r w:rsidRPr="00DC1A5F">
        <w:t>Nidd</w:t>
      </w:r>
      <w:proofErr w:type="spellEnd"/>
      <w:r w:rsidRPr="00DC1A5F">
        <w:t xml:space="preserve"> II 190 (Se); </w:t>
      </w:r>
      <w:proofErr w:type="spellStart"/>
      <w:r w:rsidRPr="00DC1A5F">
        <w:t>Nidd</w:t>
      </w:r>
      <w:proofErr w:type="spellEnd"/>
      <w:r w:rsidRPr="00DC1A5F">
        <w:t xml:space="preserve"> II 278 (</w:t>
      </w:r>
      <w:proofErr w:type="spellStart"/>
      <w:r w:rsidRPr="00DC1A5F">
        <w:t>Ee</w:t>
      </w:r>
      <w:proofErr w:type="spellEnd"/>
      <w:r w:rsidRPr="00DC1A5F">
        <w:t>)</w:t>
      </w:r>
    </w:p>
    <w:p w14:paraId="56F9E0E2" w14:textId="77777777" w:rsidR="00597DE2" w:rsidRPr="00DC1A5F" w:rsidRDefault="00597DE2" w:rsidP="00597DE2">
      <w:pPr>
        <w:pStyle w:val="PiedepginaLegal"/>
        <w:numPr>
          <w:ilvl w:val="0"/>
          <w:numId w:val="10"/>
        </w:numPr>
        <w:tabs>
          <w:tab w:val="clear" w:pos="425"/>
          <w:tab w:val="left" w:pos="284"/>
        </w:tabs>
        <w:ind w:left="284" w:hanging="284"/>
      </w:pPr>
      <w:proofErr w:type="spellStart"/>
      <w:r w:rsidRPr="00DC1A5F">
        <w:rPr>
          <w:i/>
          <w:iCs/>
        </w:rPr>
        <w:t>Kūpaka</w:t>
      </w:r>
      <w:proofErr w:type="spellEnd"/>
      <w:r w:rsidRPr="00DC1A5F">
        <w:rPr>
          <w:i/>
          <w:iCs/>
        </w:rPr>
        <w:t>–</w:t>
      </w:r>
      <w:proofErr w:type="spellStart"/>
      <w:r w:rsidRPr="00DC1A5F">
        <w:rPr>
          <w:i/>
          <w:iCs/>
        </w:rPr>
        <w:t>yaṭṭhi</w:t>
      </w:r>
      <w:proofErr w:type="spellEnd"/>
      <w:r w:rsidRPr="00DC1A5F">
        <w:rPr>
          <w:i/>
          <w:iCs/>
        </w:rPr>
        <w:t>—“encabezado”</w:t>
      </w:r>
      <w:r w:rsidRPr="00DC1A5F">
        <w:t xml:space="preserve"> (?): la palabra </w:t>
      </w:r>
      <w:proofErr w:type="spellStart"/>
      <w:r w:rsidRPr="00DC1A5F">
        <w:rPr>
          <w:i/>
          <w:iCs/>
        </w:rPr>
        <w:t>kūpaka</w:t>
      </w:r>
      <w:proofErr w:type="spellEnd"/>
      <w:r w:rsidRPr="00DC1A5F">
        <w:t xml:space="preserve"> aparece en el PED, solo como equivalente de </w:t>
      </w:r>
      <w:proofErr w:type="spellStart"/>
      <w:r w:rsidRPr="00DC1A5F">
        <w:rPr>
          <w:i/>
          <w:iCs/>
        </w:rPr>
        <w:t>kūpa</w:t>
      </w:r>
      <w:proofErr w:type="spellEnd"/>
      <w:r w:rsidRPr="00DC1A5F">
        <w:t xml:space="preserve"> = un agujero. Cf. D I 222 para este símil.</w:t>
      </w:r>
    </w:p>
    <w:p w14:paraId="4B352F78" w14:textId="77777777" w:rsidR="00597DE2" w:rsidRPr="00DC1A5F" w:rsidRDefault="00597DE2" w:rsidP="00597DE2">
      <w:pPr>
        <w:tabs>
          <w:tab w:val="clear" w:pos="425"/>
        </w:tabs>
        <w:spacing w:after="160"/>
      </w:pPr>
      <w:r w:rsidRPr="00DC1A5F">
        <w:br w:type="page"/>
      </w:r>
    </w:p>
    <w:p w14:paraId="526AE19D" w14:textId="77777777" w:rsidR="00597DE2" w:rsidRPr="00DC1A5F" w:rsidRDefault="00597DE2" w:rsidP="00597DE2">
      <w:pPr>
        <w:pStyle w:val="Textoindependiente"/>
      </w:pPr>
    </w:p>
    <w:p w14:paraId="695E27C3" w14:textId="77777777" w:rsidR="00597DE2" w:rsidRPr="00DC1A5F" w:rsidRDefault="00597DE2" w:rsidP="00597DE2">
      <w:pPr>
        <w:pStyle w:val="Textoindependiente"/>
      </w:pPr>
      <w:r w:rsidRPr="00DC1A5F">
        <w:t xml:space="preserve">conocimiento de la ecuanimidad acerca de las formaciones percibiera el </w:t>
      </w:r>
      <w:r w:rsidRPr="00DC1A5F">
        <w:rPr>
          <w:i/>
          <w:iCs/>
        </w:rPr>
        <w:t>Nibbāna</w:t>
      </w:r>
      <w:r w:rsidRPr="00DC1A5F">
        <w:t xml:space="preserve">, el estado de paz, como apacible, rechazará la ocurrencia de todas las formaciones y entrará sólo en el </w:t>
      </w:r>
      <w:r w:rsidRPr="00DC1A5F">
        <w:rPr>
          <w:i/>
          <w:iCs/>
        </w:rPr>
        <w:t>Nibbāna</w:t>
      </w:r>
      <w:r w:rsidRPr="00DC1A5F">
        <w:t>. Pero si no lo percibiese, ocurrirá una y otra vez con las formaciones como su objeto.</w:t>
      </w:r>
    </w:p>
    <w:p w14:paraId="5C285AF9" w14:textId="77777777" w:rsidR="00597DE2" w:rsidRPr="00DC1A5F" w:rsidRDefault="00597DE2" w:rsidP="00597DE2">
      <w:pPr>
        <w:pStyle w:val="Textoindependiente"/>
      </w:pPr>
      <w:r w:rsidRPr="00DC1A5F">
        <w:t xml:space="preserve">66. </w:t>
      </w:r>
      <w:r w:rsidRPr="00DC1A5F">
        <w:tab/>
        <w:t>Ahora bien, después de discernir en las formaciones por medio de los diversos modos descritos, como si tamizara la harina al borde de una bandeja, como si cardara el algodón del que se hayan extraído sus semillas,</w:t>
      </w:r>
      <w:r w:rsidRPr="00DC1A5F">
        <w:rPr>
          <w:vertAlign w:val="superscript"/>
        </w:rPr>
        <w:t>31</w:t>
      </w:r>
      <w:r w:rsidRPr="00DC1A5F">
        <w:t xml:space="preserve"> después de abandonar el terror y el placer, después de volverse neutral respecto a la investigación de las formaciones, él persistirá todavía en la triple contemplación. Y al hacerlo, este conocimiento de una sabiduría–revelativa entrará en estado de la triple entrada hacia la liberación y se convertirá en una condición para la clasificación de los 7 tipos de personas nobles.</w:t>
      </w:r>
    </w:p>
    <w:p w14:paraId="1336FB52" w14:textId="77777777" w:rsidR="00597DE2" w:rsidRPr="00DC1A5F" w:rsidRDefault="00597DE2" w:rsidP="00597DE2">
      <w:pPr>
        <w:pStyle w:val="Ttulo3"/>
        <w:ind w:left="709"/>
      </w:pPr>
      <w:r w:rsidRPr="00DC1A5F">
        <w:t>[La Puerta Triple hacia La Liberación]</w:t>
      </w:r>
    </w:p>
    <w:p w14:paraId="3F542BBE" w14:textId="77777777" w:rsidR="00597DE2" w:rsidRPr="00DC1A5F" w:rsidRDefault="00597DE2" w:rsidP="00597DE2">
      <w:pPr>
        <w:pStyle w:val="NormalConSangria"/>
        <w:rPr>
          <w:vertAlign w:val="superscript"/>
        </w:rPr>
      </w:pPr>
      <w:r w:rsidRPr="00DC1A5F">
        <w:t>Éste entrará ahora en el estado de la triple entrada hacia la liberación con el predominio de una de las tres facultades, según se produzca la contemplación en una de las tres formas.</w:t>
      </w:r>
      <w:r w:rsidRPr="00DC1A5F">
        <w:rPr>
          <w:vertAlign w:val="superscript"/>
        </w:rPr>
        <w:t>32</w:t>
      </w:r>
    </w:p>
    <w:p w14:paraId="1B1EDF48" w14:textId="77777777" w:rsidR="00597DE2" w:rsidRPr="00DC1A5F" w:rsidRDefault="00597DE2" w:rsidP="00597DE2">
      <w:pPr>
        <w:rPr>
          <w:vertAlign w:val="superscript"/>
        </w:rPr>
      </w:pPr>
      <w:r w:rsidRPr="00DC1A5F">
        <w:t xml:space="preserve">67. </w:t>
      </w:r>
      <w:r w:rsidRPr="00DC1A5F">
        <w:tab/>
        <w:t>Pues serán a las 3 contemplaciones a las que se les denominarán las tres entradas hacia la liberación, según se dice al respecto: “No obstante, estas tres entradas hacia la liberación conducirán hacia el escape del mundo, es decir, (i) al observar todas las formaciones como limitadas, circunscritas y a la entrada de la consciencia en el elemento sin signo, (</w:t>
      </w:r>
      <w:proofErr w:type="spellStart"/>
      <w:r w:rsidRPr="00DC1A5F">
        <w:t>ii</w:t>
      </w:r>
      <w:proofErr w:type="spellEnd"/>
      <w:r w:rsidRPr="00DC1A5F">
        <w:t>) a la agitación mental con respecto a todas las formaciones y a la entrada de la consciencia en el elemento sin</w:t>
      </w:r>
      <w:r w:rsidRPr="00DC1A5F">
        <w:rPr>
          <w:i/>
          <w:iCs/>
        </w:rPr>
        <w:t>–</w:t>
      </w:r>
      <w:r w:rsidRPr="00DC1A5F">
        <w:t>signo, (</w:t>
      </w:r>
      <w:proofErr w:type="spellStart"/>
      <w:r w:rsidRPr="00DC1A5F">
        <w:t>iii</w:t>
      </w:r>
      <w:proofErr w:type="spellEnd"/>
      <w:r w:rsidRPr="00DC1A5F">
        <w:t>) al ver todas las cosas (</w:t>
      </w:r>
      <w:r w:rsidRPr="00DC1A5F">
        <w:rPr>
          <w:i/>
        </w:rPr>
        <w:t>dhamma</w:t>
      </w:r>
      <w:r w:rsidRPr="00DC1A5F">
        <w:t>) como ajenas y al entrar en la consciencia del elemento de la vacuidad. Estas 3 puertas hacia la liberación conducirán hacia el escape de este mundo” (</w:t>
      </w:r>
      <w:proofErr w:type="spellStart"/>
      <w:r w:rsidRPr="00DC1A5F">
        <w:rPr>
          <w:i/>
          <w:iCs/>
        </w:rPr>
        <w:t>Paṭis</w:t>
      </w:r>
      <w:proofErr w:type="spellEnd"/>
      <w:r w:rsidRPr="00DC1A5F">
        <w:t xml:space="preserve"> II 48).</w:t>
      </w:r>
      <w:r w:rsidRPr="00DC1A5F">
        <w:rPr>
          <w:vertAlign w:val="superscript"/>
        </w:rPr>
        <w:t>33</w:t>
      </w:r>
    </w:p>
    <w:p w14:paraId="0A689D09" w14:textId="77777777" w:rsidR="00597DE2" w:rsidRPr="00DC1A5F" w:rsidRDefault="00597DE2" w:rsidP="00597DE2">
      <w:r w:rsidRPr="00DC1A5F">
        <w:t xml:space="preserve">68. </w:t>
      </w:r>
      <w:r w:rsidRPr="00DC1A5F">
        <w:tab/>
        <w:t xml:space="preserve">Aquí, </w:t>
      </w:r>
      <w:r w:rsidRPr="00DC1A5F">
        <w:rPr>
          <w:i/>
          <w:iCs/>
        </w:rPr>
        <w:t>como limitado y circunscrito</w:t>
      </w:r>
      <w:r w:rsidRPr="00DC1A5F">
        <w:t xml:space="preserve"> significa tanto como limitado por el surgimiento y la desaparición, como circunscrito por ellos; porque la contemplación de la impermanencia los limitará así, “Las formaciones no han existido antes de su surgimiento”, y al procurar su destino, las observará circunscritas así, “Éstas no irán más allá de su desaparición, se desvanecerán aquí”.</w:t>
      </w:r>
    </w:p>
    <w:p w14:paraId="6A5D078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DF5EAA2" w14:textId="77777777" w:rsidR="00597DE2" w:rsidRPr="00DC1A5F" w:rsidRDefault="00597DE2" w:rsidP="00597DE2">
      <w:pPr>
        <w:pStyle w:val="PiedepginaLegal"/>
        <w:numPr>
          <w:ilvl w:val="0"/>
          <w:numId w:val="10"/>
        </w:numPr>
        <w:tabs>
          <w:tab w:val="clear" w:pos="425"/>
          <w:tab w:val="left" w:pos="284"/>
        </w:tabs>
        <w:ind w:left="284" w:hanging="284"/>
      </w:pPr>
      <w:proofErr w:type="spellStart"/>
      <w:r w:rsidRPr="00DC1A5F">
        <w:rPr>
          <w:i/>
          <w:iCs/>
        </w:rPr>
        <w:t>Vaṭṭayamāna</w:t>
      </w:r>
      <w:proofErr w:type="spellEnd"/>
      <w:r w:rsidRPr="00DC1A5F">
        <w:t xml:space="preserve">—“tamizar”: no así en el PED; el </w:t>
      </w:r>
      <w:proofErr w:type="spellStart"/>
      <w:r w:rsidRPr="00DC1A5F">
        <w:t>Vism</w:t>
      </w:r>
      <w:proofErr w:type="spellEnd"/>
      <w:r w:rsidRPr="00DC1A5F">
        <w:t>–</w:t>
      </w:r>
      <w:proofErr w:type="spellStart"/>
      <w:r w:rsidRPr="00DC1A5F">
        <w:t>mhṭ</w:t>
      </w:r>
      <w:proofErr w:type="spellEnd"/>
      <w:r w:rsidRPr="00DC1A5F">
        <w:t xml:space="preserve"> lo cita con </w:t>
      </w:r>
      <w:proofErr w:type="spellStart"/>
      <w:r w:rsidRPr="00DC1A5F">
        <w:rPr>
          <w:i/>
          <w:iCs/>
        </w:rPr>
        <w:t>niccoriyamāna</w:t>
      </w:r>
      <w:proofErr w:type="spellEnd"/>
      <w:r w:rsidRPr="00DC1A5F">
        <w:t xml:space="preserve">, tampoco así en el PED. </w:t>
      </w:r>
      <w:proofErr w:type="spellStart"/>
      <w:r w:rsidRPr="00DC1A5F">
        <w:rPr>
          <w:i/>
          <w:iCs/>
        </w:rPr>
        <w:t>Nibbaṭṭita</w:t>
      </w:r>
      <w:proofErr w:type="spellEnd"/>
      <w:r w:rsidRPr="00DC1A5F">
        <w:t xml:space="preserve">—“seleccionado”: ​​no así en el PED. El </w:t>
      </w:r>
      <w:proofErr w:type="spellStart"/>
      <w:r w:rsidRPr="00DC1A5F">
        <w:t>Vism</w:t>
      </w:r>
      <w:proofErr w:type="spellEnd"/>
      <w:r w:rsidRPr="00DC1A5F">
        <w:t>–</w:t>
      </w:r>
      <w:proofErr w:type="spellStart"/>
      <w:r w:rsidRPr="00DC1A5F">
        <w:t>mhṭ</w:t>
      </w:r>
      <w:proofErr w:type="spellEnd"/>
      <w:r w:rsidRPr="00DC1A5F">
        <w:t xml:space="preserve"> cita </w:t>
      </w:r>
      <w:proofErr w:type="spellStart"/>
      <w:r w:rsidRPr="00DC1A5F">
        <w:rPr>
          <w:i/>
          <w:iCs/>
        </w:rPr>
        <w:t>nibbaṭṭita</w:t>
      </w:r>
      <w:proofErr w:type="spellEnd"/>
      <w:r w:rsidRPr="00DC1A5F">
        <w:rPr>
          <w:i/>
          <w:iCs/>
        </w:rPr>
        <w:t>–</w:t>
      </w:r>
      <w:proofErr w:type="spellStart"/>
      <w:r w:rsidRPr="00DC1A5F">
        <w:rPr>
          <w:i/>
          <w:iCs/>
        </w:rPr>
        <w:t>kappāsaṃ</w:t>
      </w:r>
      <w:proofErr w:type="spellEnd"/>
      <w:r w:rsidRPr="00DC1A5F">
        <w:rPr>
          <w:i/>
          <w:iCs/>
        </w:rPr>
        <w:t xml:space="preserve"> </w:t>
      </w:r>
      <w:r w:rsidRPr="00DC1A5F">
        <w:t xml:space="preserve">con </w:t>
      </w:r>
      <w:proofErr w:type="spellStart"/>
      <w:r w:rsidRPr="00DC1A5F">
        <w:rPr>
          <w:i/>
          <w:iCs/>
        </w:rPr>
        <w:t>nibaṭṭita</w:t>
      </w:r>
      <w:proofErr w:type="spellEnd"/>
      <w:r w:rsidRPr="00DC1A5F">
        <w:rPr>
          <w:i/>
          <w:iCs/>
        </w:rPr>
        <w:t>–</w:t>
      </w:r>
      <w:proofErr w:type="spellStart"/>
      <w:r w:rsidRPr="00DC1A5F">
        <w:rPr>
          <w:i/>
          <w:iCs/>
        </w:rPr>
        <w:t>bīja</w:t>
      </w:r>
      <w:proofErr w:type="spellEnd"/>
      <w:r w:rsidRPr="00DC1A5F">
        <w:rPr>
          <w:i/>
          <w:iCs/>
        </w:rPr>
        <w:t>–</w:t>
      </w:r>
      <w:proofErr w:type="spellStart"/>
      <w:r w:rsidRPr="00DC1A5F">
        <w:rPr>
          <w:i/>
          <w:iCs/>
        </w:rPr>
        <w:t>kappāsaí</w:t>
      </w:r>
      <w:proofErr w:type="spellEnd"/>
      <w:r w:rsidRPr="00DC1A5F">
        <w:t xml:space="preserve">.” </w:t>
      </w:r>
      <w:proofErr w:type="spellStart"/>
      <w:r w:rsidRPr="00DC1A5F">
        <w:rPr>
          <w:i/>
          <w:iCs/>
        </w:rPr>
        <w:t>Vihaṭamāna</w:t>
      </w:r>
      <w:proofErr w:type="spellEnd"/>
      <w:r w:rsidRPr="00DC1A5F">
        <w:t xml:space="preserve">—“cardar”: no así en el PED; citado por el </w:t>
      </w:r>
      <w:proofErr w:type="spellStart"/>
      <w:r w:rsidRPr="00DC1A5F">
        <w:t>Vism-mhṭ</w:t>
      </w:r>
      <w:proofErr w:type="spellEnd"/>
      <w:r w:rsidRPr="00DC1A5F">
        <w:t xml:space="preserve"> con </w:t>
      </w:r>
      <w:proofErr w:type="spellStart"/>
      <w:r w:rsidRPr="00DC1A5F">
        <w:rPr>
          <w:i/>
          <w:iCs/>
        </w:rPr>
        <w:t>dhūnakena</w:t>
      </w:r>
      <w:proofErr w:type="spellEnd"/>
      <w:r w:rsidRPr="00DC1A5F">
        <w:t xml:space="preserve"> (no así en el PED) </w:t>
      </w:r>
      <w:proofErr w:type="spellStart"/>
      <w:r w:rsidRPr="00DC1A5F">
        <w:rPr>
          <w:i/>
          <w:iCs/>
        </w:rPr>
        <w:t>vihaññamānaṃ</w:t>
      </w:r>
      <w:proofErr w:type="spellEnd"/>
      <w:r w:rsidRPr="00DC1A5F">
        <w:rPr>
          <w:i/>
          <w:iCs/>
        </w:rPr>
        <w:t xml:space="preserve"> </w:t>
      </w:r>
      <w:proofErr w:type="spellStart"/>
      <w:r w:rsidRPr="00DC1A5F">
        <w:rPr>
          <w:i/>
          <w:iCs/>
        </w:rPr>
        <w:t>viya</w:t>
      </w:r>
      <w:proofErr w:type="spellEnd"/>
      <w:r w:rsidRPr="00DC1A5F">
        <w:t xml:space="preserve"> (</w:t>
      </w:r>
      <w:proofErr w:type="spellStart"/>
      <w:r w:rsidRPr="00DC1A5F">
        <w:t>Vism</w:t>
      </w:r>
      <w:proofErr w:type="spellEnd"/>
      <w:r w:rsidRPr="00DC1A5F">
        <w:t>–</w:t>
      </w:r>
      <w:proofErr w:type="spellStart"/>
      <w:r w:rsidRPr="00DC1A5F">
        <w:t>mhṭ</w:t>
      </w:r>
      <w:proofErr w:type="spellEnd"/>
      <w:r w:rsidRPr="00DC1A5F">
        <w:t xml:space="preserve"> 844).</w:t>
      </w:r>
    </w:p>
    <w:p w14:paraId="2E370B9D"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Cuando la sabiduría–revelativa consuma su culminación, se asienta en una de las 3 contemplaciones [la </w:t>
      </w:r>
      <w:r w:rsidRPr="00DC1A5F">
        <w:rPr>
          <w:i/>
          <w:iCs/>
        </w:rPr>
        <w:t>impermanencia</w:t>
      </w:r>
      <w:r w:rsidRPr="00DC1A5F">
        <w:t xml:space="preserve">, la </w:t>
      </w:r>
      <w:r w:rsidRPr="00DC1A5F">
        <w:rPr>
          <w:i/>
          <w:iCs/>
        </w:rPr>
        <w:t>insatisfactoriedad</w:t>
      </w:r>
      <w:r w:rsidRPr="00DC1A5F">
        <w:t xml:space="preserve"> o el </w:t>
      </w:r>
      <w:r w:rsidRPr="00DC1A5F">
        <w:rPr>
          <w:i/>
          <w:iCs/>
        </w:rPr>
        <w:t>no–alma</w:t>
      </w:r>
      <w:r w:rsidRPr="00DC1A5F">
        <w:t xml:space="preserve">] y en esta etapa del desarrollo las “7 contemplaciones” y las “18 contemplaciones” (o “sabiduría principal”). estarán todas incluida en las 3 (ver </w:t>
      </w:r>
      <w:proofErr w:type="spellStart"/>
      <w:r w:rsidRPr="00DC1A5F">
        <w:t>Vism</w:t>
      </w:r>
      <w:proofErr w:type="spellEnd"/>
      <w:r w:rsidRPr="00DC1A5F">
        <w:t>–</w:t>
      </w:r>
      <w:proofErr w:type="spellStart"/>
      <w:r w:rsidRPr="00DC1A5F">
        <w:t>mhṭ</w:t>
      </w:r>
      <w:proofErr w:type="spellEnd"/>
      <w:r w:rsidRPr="00DC1A5F">
        <w:t xml:space="preserve"> 844). </w:t>
      </w:r>
    </w:p>
    <w:p w14:paraId="10C559CF"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“La contemplación de la </w:t>
      </w:r>
      <w:r w:rsidRPr="00DC1A5F">
        <w:rPr>
          <w:i/>
          <w:iCs/>
        </w:rPr>
        <w:t>impermanencia</w:t>
      </w:r>
      <w:r w:rsidRPr="00DC1A5F">
        <w:t xml:space="preserve"> observará las formaciones como limitadas por el </w:t>
      </w:r>
      <w:r w:rsidRPr="00DC1A5F">
        <w:rPr>
          <w:i/>
          <w:iCs/>
        </w:rPr>
        <w:t>surgimiento</w:t>
      </w:r>
      <w:r w:rsidRPr="00DC1A5F">
        <w:t xml:space="preserve"> al principio y por la </w:t>
      </w:r>
      <w:r w:rsidRPr="00DC1A5F">
        <w:rPr>
          <w:i/>
          <w:iCs/>
        </w:rPr>
        <w:t>desaparición</w:t>
      </w:r>
      <w:r w:rsidRPr="00DC1A5F">
        <w:t xml:space="preserve"> al final, y constatará que es porque poseen un principio y un final que son impermanentes. ‘</w:t>
      </w:r>
      <w:r w:rsidRPr="00DC1A5F">
        <w:rPr>
          <w:i/>
          <w:iCs/>
        </w:rPr>
        <w:t>En el elemento sin signo’</w:t>
      </w:r>
      <w:r w:rsidRPr="00DC1A5F">
        <w:t>: en el elemento informe, al que se le da el nombre de ‘sin signo’ porque es lo opuesto al signo de las formaciones. ‘</w:t>
      </w:r>
      <w:r w:rsidRPr="00DC1A5F">
        <w:rPr>
          <w:i/>
          <w:iCs/>
        </w:rPr>
        <w:t>A la entrada de la consciencia</w:t>
      </w:r>
      <w:r w:rsidRPr="00DC1A5F">
        <w:t>’: a la entrada completa de la consciencia superior por medio del estado de conocimiento de conformidad, después de delimitarla. ‘</w:t>
      </w:r>
      <w:r w:rsidRPr="00DC1A5F">
        <w:rPr>
          <w:i/>
          <w:iCs/>
        </w:rPr>
        <w:t>En el no–deseo’</w:t>
      </w:r>
      <w:r w:rsidRPr="00DC1A5F">
        <w:t>: en el elemento informe, al que se le da el nombre de ‘no–deseo’ debido a la inexistencia del deseo a causa de la codicia, etc. ‘</w:t>
      </w:r>
      <w:r w:rsidRPr="00DC1A5F">
        <w:rPr>
          <w:i/>
          <w:iCs/>
        </w:rPr>
        <w:t>En el vacío’</w:t>
      </w:r>
      <w:r w:rsidRPr="00DC1A5F">
        <w:t>: en el elemento sin forma, al que se le da el nombre de ‘vacío’ como producto de carecer de alma” (</w:t>
      </w:r>
      <w:proofErr w:type="spellStart"/>
      <w:r w:rsidRPr="00DC1A5F">
        <w:t>Vism</w:t>
      </w:r>
      <w:proofErr w:type="spellEnd"/>
      <w:r w:rsidRPr="00DC1A5F">
        <w:t>–</w:t>
      </w:r>
      <w:proofErr w:type="spellStart"/>
      <w:r w:rsidRPr="00DC1A5F">
        <w:t>mhṭ</w:t>
      </w:r>
      <w:proofErr w:type="spellEnd"/>
      <w:r w:rsidRPr="00DC1A5F">
        <w:t xml:space="preserve"> 845).</w:t>
      </w:r>
    </w:p>
    <w:p w14:paraId="7E131085" w14:textId="77777777" w:rsidR="00597DE2" w:rsidRPr="00DC1A5F" w:rsidRDefault="00597DE2" w:rsidP="00597DE2">
      <w:pPr>
        <w:tabs>
          <w:tab w:val="clear" w:pos="425"/>
        </w:tabs>
        <w:spacing w:after="160"/>
      </w:pPr>
      <w:r w:rsidRPr="00DC1A5F">
        <w:br w:type="page"/>
      </w:r>
    </w:p>
    <w:p w14:paraId="3C6DB29B" w14:textId="77777777" w:rsidR="00597DE2" w:rsidRPr="00DC1A5F" w:rsidRDefault="00597DE2" w:rsidP="00597DE2">
      <w:r w:rsidRPr="00DC1A5F">
        <w:rPr>
          <w:i/>
          <w:iCs/>
        </w:rPr>
        <w:lastRenderedPageBreak/>
        <w:t>A la agitación mental</w:t>
      </w:r>
      <w:r w:rsidRPr="00DC1A5F">
        <w:t xml:space="preserve">: al asignar a la consciencia un sentido de urgencia; pues con la contemplación de la insatisfactoriedad, la consciencia adquirirá un sentido de urgencia con respecto a las formaciones. [658] </w:t>
      </w:r>
      <w:r w:rsidRPr="00DC1A5F">
        <w:rPr>
          <w:i/>
          <w:iCs/>
        </w:rPr>
        <w:t>Al ver… como ajeno:</w:t>
      </w:r>
      <w:r w:rsidRPr="00DC1A5F">
        <w:t xml:space="preserve"> al contemplarlos como no–alma, así: “No–yo”, “No–mío”.</w:t>
      </w:r>
    </w:p>
    <w:p w14:paraId="5769BA8D" w14:textId="77777777" w:rsidR="00597DE2" w:rsidRPr="00DC1A5F" w:rsidRDefault="00597DE2" w:rsidP="00597DE2">
      <w:r w:rsidRPr="00DC1A5F">
        <w:t xml:space="preserve">69. </w:t>
      </w:r>
      <w:r w:rsidRPr="00DC1A5F">
        <w:tab/>
        <w:t xml:space="preserve">Así, estas tres afirmaciones deberán entenderse para expresar las contemplaciones de la impermanencia, etc. Por lo tanto, en respuesta a la siguiente pregunta formulada en el </w:t>
      </w:r>
      <w:proofErr w:type="spellStart"/>
      <w:r w:rsidRPr="00DC1A5F">
        <w:rPr>
          <w:i/>
          <w:iCs/>
        </w:rPr>
        <w:t>Paṭisambhidā</w:t>
      </w:r>
      <w:proofErr w:type="spellEnd"/>
      <w:r w:rsidRPr="00DC1A5F">
        <w:rPr>
          <w:i/>
          <w:iCs/>
        </w:rPr>
        <w:t>,</w:t>
      </w:r>
      <w:r w:rsidRPr="00DC1A5F">
        <w:t xml:space="preserve"> se dice al respecto: “Cuando él las evoque mentalmente como impermanentes, las formaciones parecerán susceptibles de destrucción. Cuando las evoque mentalmente como insatisfactorias, las formaciones aparecerán como terror. Cuando las evoque mentalmente como no–alma, las formaciones aparecerán como vacías” (</w:t>
      </w:r>
      <w:proofErr w:type="spellStart"/>
      <w:r w:rsidRPr="00DC1A5F">
        <w:rPr>
          <w:i/>
          <w:iCs/>
        </w:rPr>
        <w:t>Paṭis</w:t>
      </w:r>
      <w:proofErr w:type="spellEnd"/>
      <w:r w:rsidRPr="00DC1A5F">
        <w:t xml:space="preserve"> II 48).</w:t>
      </w:r>
    </w:p>
    <w:p w14:paraId="0E268FB0" w14:textId="77777777" w:rsidR="00597DE2" w:rsidRPr="00DC1A5F" w:rsidRDefault="00597DE2" w:rsidP="00597DE2">
      <w:r w:rsidRPr="00DC1A5F">
        <w:t xml:space="preserve">70. </w:t>
      </w:r>
      <w:r w:rsidRPr="00DC1A5F">
        <w:tab/>
        <w:t xml:space="preserve">¿Cuáles son las liberaciones hacia las cuales estas contemplaciones serán sus entradas? Serán estas 3, es decir, el no–signo, el no–deseo y el vacío. Ante lo cual, se dice al respecto: “Cuando alguien que posea una gran resolución evoque mentalmente las formaciones como impermanentes, adquirirá la liberación </w:t>
      </w:r>
      <w:r w:rsidRPr="00DC1A5F">
        <w:rPr>
          <w:i/>
          <w:iCs/>
        </w:rPr>
        <w:t>sin–signos</w:t>
      </w:r>
      <w:r w:rsidRPr="00DC1A5F">
        <w:t xml:space="preserve">. Cuando alguien que posea una gran tranquilidad las evoque mentalmente como insatisfactorias, adquirirá la liberación </w:t>
      </w:r>
      <w:r w:rsidRPr="00DC1A5F">
        <w:rPr>
          <w:i/>
          <w:iCs/>
        </w:rPr>
        <w:t>sin deseos</w:t>
      </w:r>
      <w:r w:rsidRPr="00DC1A5F">
        <w:t xml:space="preserve">. Cuando alguien que posea gran sabiduría–revelativa las evoque mentalmente como no–alma, adquirirá la liberación del </w:t>
      </w:r>
      <w:r w:rsidRPr="00DC1A5F">
        <w:rPr>
          <w:i/>
          <w:iCs/>
        </w:rPr>
        <w:t>vacío</w:t>
      </w:r>
      <w:r w:rsidRPr="00DC1A5F">
        <w:t>” (</w:t>
      </w:r>
      <w:proofErr w:type="spellStart"/>
      <w:r w:rsidRPr="00DC1A5F">
        <w:rPr>
          <w:i/>
          <w:iCs/>
        </w:rPr>
        <w:t>Paṭis</w:t>
      </w:r>
      <w:proofErr w:type="spellEnd"/>
      <w:r w:rsidRPr="00DC1A5F">
        <w:t xml:space="preserve"> II 58).</w:t>
      </w:r>
    </w:p>
    <w:p w14:paraId="78630BF4" w14:textId="77777777" w:rsidR="00597DE2" w:rsidRPr="00DC1A5F" w:rsidRDefault="00597DE2" w:rsidP="00597DE2">
      <w:r w:rsidRPr="00DC1A5F">
        <w:t xml:space="preserve">71. </w:t>
      </w:r>
      <w:r w:rsidRPr="00DC1A5F">
        <w:tab/>
        <w:t xml:space="preserve">Y aquí, la </w:t>
      </w:r>
      <w:r w:rsidRPr="00DC1A5F">
        <w:rPr>
          <w:i/>
          <w:iCs/>
        </w:rPr>
        <w:t>liberación</w:t>
      </w:r>
      <w:r w:rsidRPr="00DC1A5F">
        <w:t xml:space="preserve"> </w:t>
      </w:r>
      <w:r w:rsidRPr="00DC1A5F">
        <w:rPr>
          <w:i/>
          <w:iCs/>
        </w:rPr>
        <w:t>sin signos</w:t>
      </w:r>
      <w:r w:rsidRPr="00DC1A5F">
        <w:t xml:space="preserve"> deberá entenderse como el noble sendero que haya ocurrido al hacer del </w:t>
      </w:r>
      <w:r w:rsidRPr="00DC1A5F">
        <w:rPr>
          <w:i/>
          <w:iCs/>
        </w:rPr>
        <w:t>Nibbāna</w:t>
      </w:r>
      <w:r w:rsidRPr="00DC1A5F">
        <w:t xml:space="preserve"> su objeto a través del aspecto del no–signo. Ya que ese sendero no poseerá signos debido a que habrá surgido el elemento sin signos y corresponderá a una liberación debida a la liberación de las corrupciones.</w:t>
      </w:r>
      <w:r w:rsidRPr="00DC1A5F">
        <w:rPr>
          <w:vertAlign w:val="superscript"/>
        </w:rPr>
        <w:t>34</w:t>
      </w:r>
      <w:r w:rsidRPr="00DC1A5F">
        <w:t xml:space="preserve"> De la misma manera, el sendero que haya ocurrido al hacer del </w:t>
      </w:r>
      <w:r w:rsidRPr="00DC1A5F">
        <w:rPr>
          <w:i/>
          <w:iCs/>
        </w:rPr>
        <w:t>Nibbāna</w:t>
      </w:r>
      <w:r w:rsidRPr="00DC1A5F">
        <w:t xml:space="preserve"> su objeto a través del aspecto sin deseos, no poseerá deseos. Y el sendero que haya ocurrido al hacer del </w:t>
      </w:r>
      <w:r w:rsidRPr="00DC1A5F">
        <w:rPr>
          <w:i/>
          <w:iCs/>
        </w:rPr>
        <w:t>Nibbāna</w:t>
      </w:r>
      <w:r w:rsidRPr="00DC1A5F">
        <w:t xml:space="preserve"> su objeto a través del aspecto del vacío se encontrará vacío.</w:t>
      </w:r>
    </w:p>
    <w:p w14:paraId="0ACE989D" w14:textId="77777777" w:rsidR="00597DE2" w:rsidRPr="00DC1A5F" w:rsidRDefault="00597DE2" w:rsidP="00597DE2">
      <w:r w:rsidRPr="00DC1A5F">
        <w:t xml:space="preserve">72. </w:t>
      </w:r>
      <w:r w:rsidRPr="00DC1A5F">
        <w:tab/>
        <w:t xml:space="preserve">No obstante, se dice en el </w:t>
      </w:r>
      <w:proofErr w:type="spellStart"/>
      <w:r w:rsidRPr="00DC1A5F">
        <w:rPr>
          <w:i/>
          <w:iCs/>
        </w:rPr>
        <w:t>Abhidhamma</w:t>
      </w:r>
      <w:proofErr w:type="spellEnd"/>
      <w:r w:rsidRPr="00DC1A5F">
        <w:t xml:space="preserve"> al respecto: “En el momento en que él desarrolle el </w:t>
      </w:r>
      <w:proofErr w:type="spellStart"/>
      <w:r w:rsidRPr="00DC1A5F">
        <w:rPr>
          <w:i/>
        </w:rPr>
        <w:t>jhāna</w:t>
      </w:r>
      <w:proofErr w:type="spellEnd"/>
      <w:r w:rsidRPr="00DC1A5F">
        <w:t xml:space="preserve"> supramundano que sea un escape y conduzca hacia la dispersión, habiendo abandonado el campo de las visiones incorrectas al alcanzar el primer grado, aislado de los deseos sensoriales, él entrará y habitará en el primer </w:t>
      </w:r>
      <w:proofErr w:type="spellStart"/>
      <w:r w:rsidRPr="00DC1A5F">
        <w:rPr>
          <w:i/>
        </w:rPr>
        <w:t>jhāna</w:t>
      </w:r>
      <w:proofErr w:type="spellEnd"/>
      <w:r w:rsidRPr="00DC1A5F">
        <w:t>, el cual carecerá de deseos... y que se encontrará vacío” (</w:t>
      </w:r>
      <w:proofErr w:type="spellStart"/>
      <w:r w:rsidRPr="00DC1A5F">
        <w:t>Dhs</w:t>
      </w:r>
      <w:proofErr w:type="spellEnd"/>
      <w:r w:rsidRPr="00DC1A5F">
        <w:t xml:space="preserve"> §510), mencionando así solo dos liberaciones. Esto se refiere a la forma en que llegará la sabiduría del sendero y se expresa literalmente.</w:t>
      </w:r>
    </w:p>
    <w:p w14:paraId="32C17403" w14:textId="77777777" w:rsidR="00597DE2" w:rsidRPr="00DC1A5F" w:rsidRDefault="00597DE2" w:rsidP="00597DE2">
      <w:r w:rsidRPr="00DC1A5F">
        <w:t xml:space="preserve">73. </w:t>
      </w:r>
      <w:r w:rsidRPr="00DC1A5F">
        <w:tab/>
        <w:t xml:space="preserve">Sin embargo, en la sabiduría–revelativa de </w:t>
      </w:r>
      <w:proofErr w:type="spellStart"/>
      <w:r w:rsidRPr="00DC1A5F">
        <w:rPr>
          <w:i/>
          <w:iCs/>
        </w:rPr>
        <w:t>Paṭisambhidā</w:t>
      </w:r>
      <w:proofErr w:type="spellEnd"/>
      <w:r w:rsidRPr="00DC1A5F">
        <w:t xml:space="preserve">, el conocimiento se expresará de la siguiente manera: (i) Se expresará en primer lugar como la liberación del vacío mediante la liberación de </w:t>
      </w:r>
      <w:proofErr w:type="gramStart"/>
      <w:r w:rsidRPr="00DC1A5F">
        <w:t>la formaciones malinterpretadas</w:t>
      </w:r>
      <w:proofErr w:type="gramEnd"/>
      <w:r w:rsidRPr="00DC1A5F">
        <w:t xml:space="preserve">: “El conocimiento de la contemplación de la impermanencia corresponderá a la liberación del vacío, ya que permitirá liberarse de la </w:t>
      </w:r>
    </w:p>
    <w:p w14:paraId="428C5AA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D7F728C" w14:textId="77777777" w:rsidR="00597DE2" w:rsidRPr="00DC1A5F" w:rsidRDefault="00597DE2" w:rsidP="00597DE2">
      <w:pPr>
        <w:pStyle w:val="PiedepginaLegal"/>
      </w:pPr>
      <w:r w:rsidRPr="00DC1A5F">
        <w:t>…</w:t>
      </w:r>
      <w:r w:rsidRPr="00DC1A5F">
        <w:tab/>
      </w:r>
    </w:p>
    <w:p w14:paraId="3D5A1437"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“Aquel que procure sabiduría–revelativa discerniendo en las formaciones según su signo, por medio de la contemplación de la </w:t>
      </w:r>
      <w:r w:rsidRPr="00DC1A5F">
        <w:rPr>
          <w:i/>
          <w:iCs/>
        </w:rPr>
        <w:t>impermanencia</w:t>
      </w:r>
      <w:r w:rsidRPr="00DC1A5F">
        <w:t xml:space="preserve"> y resuelva de acuerdo con el aspecto </w:t>
      </w:r>
      <w:r w:rsidRPr="00DC1A5F">
        <w:rPr>
          <w:i/>
          <w:iCs/>
        </w:rPr>
        <w:t>sin signo</w:t>
      </w:r>
      <w:r w:rsidRPr="00DC1A5F">
        <w:t xml:space="preserve">, así, ‘Donde este signo de las formaciones es completamente inexistente, es decir, en el </w:t>
      </w:r>
      <w:r w:rsidRPr="00DC1A5F">
        <w:rPr>
          <w:i/>
          <w:iCs/>
        </w:rPr>
        <w:t>Nibbāna</w:t>
      </w:r>
      <w:r w:rsidRPr="00DC1A5F">
        <w:t xml:space="preserve"> </w:t>
      </w:r>
      <w:r w:rsidRPr="00DC1A5F">
        <w:rPr>
          <w:i/>
          <w:iCs/>
        </w:rPr>
        <w:t>sin signo’</w:t>
      </w:r>
      <w:r w:rsidRPr="00DC1A5F">
        <w:t xml:space="preserve"> se unirá la sabiduría que conducirá al emerger con el sendero. Entonces el sendero consumará el </w:t>
      </w:r>
      <w:r w:rsidRPr="00DC1A5F">
        <w:rPr>
          <w:i/>
          <w:iCs/>
        </w:rPr>
        <w:t>Nibbāna</w:t>
      </w:r>
      <w:r w:rsidRPr="00DC1A5F">
        <w:t xml:space="preserve"> para él como sin signos. El aspecto sin signos del </w:t>
      </w:r>
      <w:r w:rsidRPr="00DC1A5F">
        <w:rPr>
          <w:i/>
          <w:iCs/>
        </w:rPr>
        <w:t>Nibbāna</w:t>
      </w:r>
      <w:r w:rsidRPr="00DC1A5F">
        <w:t xml:space="preserve"> no será creado por el sendero o por la sabiduría; por el contrario, corresponderá al establecimiento de la esencia individual del</w:t>
      </w:r>
      <w:r w:rsidRPr="00DC1A5F">
        <w:rPr>
          <w:i/>
          <w:iCs/>
        </w:rPr>
        <w:t xml:space="preserve"> Nibbāna</w:t>
      </w:r>
      <w:r w:rsidRPr="00DC1A5F">
        <w:t xml:space="preserve"> y al sendero se le denominará </w:t>
      </w:r>
      <w:r w:rsidRPr="00DC1A5F">
        <w:rPr>
          <w:i/>
          <w:iCs/>
        </w:rPr>
        <w:t>sin signos</w:t>
      </w:r>
      <w:r w:rsidRPr="00DC1A5F">
        <w:t xml:space="preserve"> porque poseerá ello como su objeto. Aquel que se resuelva en lo que no posea deseos, manteniendo alejado a este deseo por medio de la contemplación del dolor, y aquel que se resuelva en el vacío, manteniendo alejada la creencia en uno mismo por medio de la contemplación del no–alma, ambos deberán ser interpretados de la misma manera. (</w:t>
      </w:r>
      <w:proofErr w:type="spellStart"/>
      <w:r w:rsidRPr="00DC1A5F">
        <w:t>Vism</w:t>
      </w:r>
      <w:proofErr w:type="spellEnd"/>
      <w:r w:rsidRPr="00DC1A5F">
        <w:t>–</w:t>
      </w:r>
      <w:proofErr w:type="spellStart"/>
      <w:r w:rsidRPr="00DC1A5F">
        <w:t>mhṭ</w:t>
      </w:r>
      <w:proofErr w:type="spellEnd"/>
      <w:r w:rsidRPr="00DC1A5F">
        <w:t xml:space="preserve"> 846).</w:t>
      </w:r>
      <w:r w:rsidRPr="00DC1A5F">
        <w:br w:type="page"/>
      </w:r>
    </w:p>
    <w:p w14:paraId="43C65407" w14:textId="77777777" w:rsidR="00597DE2" w:rsidRPr="00DC1A5F" w:rsidRDefault="00597DE2" w:rsidP="00597DE2">
      <w:pPr>
        <w:pStyle w:val="Textoindependiente"/>
      </w:pPr>
      <w:r w:rsidRPr="00DC1A5F">
        <w:lastRenderedPageBreak/>
        <w:t>interpretación sobre ellas, como permanentes; el conocimiento de la contemplación de la insatisfactoriedad corresponderá a la liberación del vacío, ya que permitirá liberarse de interpretarlas como satisfactorias; el conocimiento de la contemplación del no–alma corresponderá a la liberación del vacío ya que permitirá liberarse de interpretarlas como alma” (</w:t>
      </w:r>
      <w:proofErr w:type="spellStart"/>
      <w:r w:rsidRPr="00DC1A5F">
        <w:rPr>
          <w:i/>
          <w:iCs/>
        </w:rPr>
        <w:t>Paṭis</w:t>
      </w:r>
      <w:proofErr w:type="spellEnd"/>
      <w:r w:rsidRPr="00DC1A5F">
        <w:t xml:space="preserve"> II 67). (</w:t>
      </w:r>
      <w:proofErr w:type="spellStart"/>
      <w:r w:rsidRPr="00DC1A5F">
        <w:t>ii</w:t>
      </w:r>
      <w:proofErr w:type="spellEnd"/>
      <w:r w:rsidRPr="00DC1A5F">
        <w:t>) Entonces, se expresará como la liberación sin signos al permitir liberarse de los signos: “El conocimiento de la contemplación de la impermanencia corresponderá a la liberación sin signos ya que permitirá liberarse del signo de las formaciones como permanentes; el conocimiento de la contemplación de la insatisfactoriedad corresponderá a la liberación sin signos ya que permitirá liberarse del signo de las formaciones como agradables; el conocimiento de la contemplación como no–alma corresponderá a la liberación sin signos ya que permitirá liberarse del signo de las formaciones como alma” (</w:t>
      </w:r>
      <w:proofErr w:type="spellStart"/>
      <w:r w:rsidRPr="00DC1A5F">
        <w:rPr>
          <w:i/>
          <w:iCs/>
        </w:rPr>
        <w:t>Paṭis</w:t>
      </w:r>
      <w:proofErr w:type="spellEnd"/>
      <w:r w:rsidRPr="00DC1A5F">
        <w:t xml:space="preserve"> II 68). [659] (</w:t>
      </w:r>
      <w:proofErr w:type="spellStart"/>
      <w:r w:rsidRPr="00DC1A5F">
        <w:t>iii</w:t>
      </w:r>
      <w:proofErr w:type="spellEnd"/>
      <w:r w:rsidRPr="00DC1A5F">
        <w:t>) Por último, se expresará como la liberación sin deseos debida a la liberación del deseo: “El conocimiento de la contemplación de la impermanencia corresponderá a la liberación sin deseos ya que permitirá liberarse del deseo hacia las formaciones como permanentes; el conocimiento de la contemplación de la insatisfactoriedad corresponderá a la liberación sin deseos ya que permitirá liberarse del deseo hacia ellas como satisfactorias; el conocimiento de la contemplación del no–alma corresponderá a la liberación sin deseos ya que permitirá liberarse del deseo hacia ellas como alma” (</w:t>
      </w:r>
      <w:proofErr w:type="spellStart"/>
      <w:r w:rsidRPr="00DC1A5F">
        <w:rPr>
          <w:i/>
          <w:iCs/>
        </w:rPr>
        <w:t>Paṭis</w:t>
      </w:r>
      <w:proofErr w:type="spellEnd"/>
      <w:r w:rsidRPr="00DC1A5F">
        <w:t xml:space="preserve"> II 68). No obstante, aunque sea expresado así, el conocimiento de la sabiduría–revelativa no carecerá literalmente de signos, ya que no se abandonará el signo de las formaciones como formado, aquí, como distinto del signo de lo impermanente, etc. Sin embargo, será literalmente vacío y sin deseos. Y es en el momento del noble sendero que se distinguirá la liberación, y eso se hará según la manera de llegar al sendero del conocimiento de la sabiduría–revelativa.</w:t>
      </w:r>
      <w:r w:rsidRPr="00DC1A5F">
        <w:rPr>
          <w:vertAlign w:val="superscript"/>
        </w:rPr>
        <w:t>35</w:t>
      </w:r>
      <w:r w:rsidRPr="00DC1A5F">
        <w:t xml:space="preserve"> Deberá entenderse que ello corresponderá a la razón por la cual solo se declaran dos tipos de liberación en el </w:t>
      </w:r>
      <w:proofErr w:type="spellStart"/>
      <w:r w:rsidRPr="00DC1A5F">
        <w:rPr>
          <w:i/>
          <w:iCs/>
        </w:rPr>
        <w:t>Abhidhamma</w:t>
      </w:r>
      <w:proofErr w:type="spellEnd"/>
      <w:r w:rsidRPr="00DC1A5F">
        <w:t xml:space="preserve">, es decir, la de la ausencia de deseos y la del vacío. </w:t>
      </w:r>
    </w:p>
    <w:p w14:paraId="2A92666A" w14:textId="77777777" w:rsidR="00597DE2" w:rsidRPr="00DC1A5F" w:rsidRDefault="00597DE2" w:rsidP="00597DE2">
      <w:pPr>
        <w:pStyle w:val="NormalConSangria"/>
      </w:pPr>
      <w:r w:rsidRPr="00DC1A5F">
        <w:t>Éste corresponde, en primer lugar, al tratado sobre las liberaciones.</w:t>
      </w:r>
    </w:p>
    <w:p w14:paraId="4D6FAA2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FDE819D"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“¿Por qué la </w:t>
      </w:r>
      <w:r w:rsidRPr="00DC1A5F">
        <w:rPr>
          <w:i/>
          <w:iCs/>
        </w:rPr>
        <w:t>sabiduría–revelativa sin signos</w:t>
      </w:r>
      <w:r w:rsidRPr="00DC1A5F">
        <w:t xml:space="preserve"> no podría dar su propio nombre al sendero cuando ha llegado al punto de llegada al sendero? Por supuesto, la </w:t>
      </w:r>
      <w:r w:rsidRPr="00DC1A5F">
        <w:rPr>
          <w:i/>
          <w:iCs/>
        </w:rPr>
        <w:t>sabiduría sin signos</w:t>
      </w:r>
      <w:r w:rsidRPr="00DC1A5F">
        <w:t xml:space="preserve"> se menciona en los </w:t>
      </w:r>
      <w:r w:rsidRPr="00DC1A5F">
        <w:rPr>
          <w:i/>
          <w:iCs/>
        </w:rPr>
        <w:t>suttas</w:t>
      </w:r>
      <w:r w:rsidRPr="00DC1A5F">
        <w:t xml:space="preserve"> así: “Desarrollen lo sin signos y desháganse de la tendencia subyacente hacia la presunción” (Sn 342). Sin embargo, aunque elimine los signos de la permanencia, de su duración y de sí misma, todavía poseerá un signo en sí mismo y se ocupará de estados que poseerán un signo. Una vez más, el </w:t>
      </w:r>
      <w:proofErr w:type="spellStart"/>
      <w:r w:rsidRPr="00DC1A5F">
        <w:rPr>
          <w:i/>
          <w:iCs/>
        </w:rPr>
        <w:t>Abhidhamma</w:t>
      </w:r>
      <w:proofErr w:type="spellEnd"/>
      <w:r w:rsidRPr="00DC1A5F">
        <w:t xml:space="preserve"> corresponde a la enseñanza del sentido último y, en el sentido último, la causa de un sendero sin signos estará ausente. Ya que la </w:t>
      </w:r>
      <w:r w:rsidRPr="00DC1A5F">
        <w:rPr>
          <w:i/>
          <w:iCs/>
        </w:rPr>
        <w:t>liberación sin signos</w:t>
      </w:r>
      <w:r w:rsidRPr="00DC1A5F">
        <w:t xml:space="preserve"> se afirma de acuerdo con la contemplación de la impermanencia y en ello predominará la facultad de la fe</w:t>
      </w:r>
      <w:r w:rsidRPr="00DC1A5F">
        <w:rPr>
          <w:color w:val="833C0B" w:themeColor="accent2" w:themeShade="80"/>
        </w:rPr>
        <w:t xml:space="preserve">. </w:t>
      </w:r>
      <w:r w:rsidRPr="00DC1A5F">
        <w:t xml:space="preserve">No obstante, la facultad de la fe no estará representada por ninguno de los factores del sendero. Y por tanto, no podría dar su nombre al sendero ya que no forma parte de él. En el caso de los otros dos, la </w:t>
      </w:r>
      <w:r w:rsidRPr="00DC1A5F">
        <w:rPr>
          <w:i/>
          <w:iCs/>
        </w:rPr>
        <w:t>liberación sin deseo</w:t>
      </w:r>
      <w:r w:rsidRPr="00DC1A5F">
        <w:t xml:space="preserve">s se deberá a la contemplación de la insatisfactoriedad, y la </w:t>
      </w:r>
      <w:r w:rsidRPr="00DC1A5F">
        <w:rPr>
          <w:i/>
          <w:iCs/>
        </w:rPr>
        <w:t>liberación del vacío</w:t>
      </w:r>
      <w:r w:rsidRPr="00DC1A5F">
        <w:t xml:space="preserve"> se deberá a la contemplación de lo no–alma. Ahora bien, la facultad de la concentración predominará en la liberación sin deseos y la facultad del entendimiento en la liberación del vacío. Entonces, dado que estos también corresponderán a factores del sendero, podrán dar sus propios nombres al sendero; pero no existirá un sendero sin signos porque se encuentra carente el factor. Eso dicen algunos. No obstante, hay otros que mencionan que existe un sendero sin signos y que, aunque no reciba su nombre de la forma en que llegue a él la sabiduría–revelativa, recibirá su nombre de una cualidad especial propia y de su objeto. En su opinión, los senderos del vacío y sin deseo también deberían recibir sus nombres de sus propias cualidades especiales y también de sus objetos. Eso es incorrecto. ¿Por qué? Porque el sendero recibe su nombre por 2 razones, es decir, debido a su propia naturaleza y debido a lo que se opone; el sentido es, por su esencia individual y por aquello a lo que se opone. </w:t>
      </w:r>
      <w:r w:rsidRPr="00DC1A5F">
        <w:rPr>
          <w:color w:val="auto"/>
        </w:rPr>
        <w:t>Ya que el sendero sin deseos estará libre de deseos producto de la codicia, etc., y el sendero vacío también está libre de codicia, por lo que ambos recibirán sus nombres de su esencia individual. De manera similar, el sendero sin deseos será contrario al deseo y el sendero del vacío será contrario a la mala interpretación del alma, por lo que obtendrá sus nombres de aquello a lo que se oponga.</w:t>
      </w:r>
      <w:r w:rsidRPr="00DC1A5F">
        <w:rPr>
          <w:color w:val="833C0B" w:themeColor="accent2" w:themeShade="80"/>
        </w:rPr>
        <w:t xml:space="preserve"> </w:t>
      </w:r>
      <w:r w:rsidRPr="00DC1A5F">
        <w:t xml:space="preserve">Por otra parte, el sendero sin signos recibirá su nombre sólo debido a su propia naturaleza y debido a la inexistencia en él de los signos de la codicia, etc., o de los signos de la </w:t>
      </w:r>
      <w:r w:rsidRPr="00DC1A5F">
        <w:rPr>
          <w:i/>
          <w:iCs/>
        </w:rPr>
        <w:t>permanencia</w:t>
      </w:r>
      <w:r w:rsidRPr="00DC1A5F">
        <w:t>, etc., pero no por aquello a lo que se oponga. Por ello no se opone a la contemplación de la impermanencia,</w:t>
      </w:r>
    </w:p>
    <w:p w14:paraId="261F44C5" w14:textId="77777777" w:rsidR="00597DE2" w:rsidRPr="00DC1A5F" w:rsidRDefault="00597DE2" w:rsidP="00597DE2">
      <w:pPr>
        <w:pStyle w:val="NormalConSangria"/>
      </w:pPr>
    </w:p>
    <w:p w14:paraId="189E0027" w14:textId="77777777" w:rsidR="00597DE2" w:rsidRPr="00DC1A5F" w:rsidRDefault="00597DE2" w:rsidP="00597DE2">
      <w:pPr>
        <w:pStyle w:val="Ttulo3"/>
        <w:ind w:left="709"/>
      </w:pPr>
      <w:r w:rsidRPr="00DC1A5F">
        <w:t>[Las Siete Clases de Personas Nobles]</w:t>
      </w:r>
    </w:p>
    <w:p w14:paraId="00788FB2" w14:textId="77777777" w:rsidR="00597DE2" w:rsidRPr="00DC1A5F" w:rsidRDefault="00597DE2" w:rsidP="00597DE2">
      <w:r w:rsidRPr="00DC1A5F">
        <w:t xml:space="preserve">74. </w:t>
      </w:r>
      <w:r w:rsidRPr="00DC1A5F">
        <w:tab/>
        <w:t xml:space="preserve">Se dijo anteriormente: “…se convertirá en una condición para la clasificación de los 7 tipos de personas nobles”. (§66) Al respecto, existen, en primer lugar, estos 7 tipos de personas nobles: (1) el devoto por fe, (2) el liberado mediante la fe, (3) el </w:t>
      </w:r>
      <w:proofErr w:type="gramStart"/>
      <w:r w:rsidRPr="00DC1A5F">
        <w:t>testigo presencial</w:t>
      </w:r>
      <w:proofErr w:type="gramEnd"/>
      <w:r w:rsidRPr="00DC1A5F">
        <w:t xml:space="preserve">, (4) alguien liberado en ambos sentidos, (5) el devoto del </w:t>
      </w:r>
      <w:r w:rsidRPr="00DC1A5F">
        <w:rPr>
          <w:i/>
        </w:rPr>
        <w:t>Dhamma</w:t>
      </w:r>
      <w:r w:rsidRPr="00DC1A5F">
        <w:t>, (6) el de consumada–visión, y (7) alguien que se ha liberado mediante el entendimiento. Este conocimiento de la ecuanimidad con respecto a las formaciones será una condición para que sean planteado como de estas 7 clases.</w:t>
      </w:r>
    </w:p>
    <w:p w14:paraId="2C2D43A2" w14:textId="77777777" w:rsidR="00597DE2" w:rsidRPr="00DC1A5F" w:rsidRDefault="00597DE2" w:rsidP="00597DE2">
      <w:r w:rsidRPr="00DC1A5F">
        <w:t xml:space="preserve">75. </w:t>
      </w:r>
      <w:r w:rsidRPr="00DC1A5F">
        <w:tab/>
        <w:t xml:space="preserve">Cuando un hombre evoque mentalmente las formaciones como impermanentes y mantenga una gran resolución, adquirirá la facultad de la fe, (1) se convertirá en un </w:t>
      </w:r>
      <w:r w:rsidRPr="00DC1A5F">
        <w:rPr>
          <w:i/>
          <w:iCs/>
        </w:rPr>
        <w:t>devoto por fe</w:t>
      </w:r>
      <w:r w:rsidRPr="00DC1A5F">
        <w:t xml:space="preserve"> en el momento del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y en los otros 7 casos, es decir, en los tres senderos superiores y las cuatro fruiciones, él se convertirá en (2) alguien </w:t>
      </w:r>
      <w:r w:rsidRPr="00DC1A5F">
        <w:rPr>
          <w:i/>
          <w:iCs/>
        </w:rPr>
        <w:t>liberado mediante la fe</w:t>
      </w:r>
      <w:r w:rsidRPr="00DC1A5F">
        <w:t xml:space="preserve">. Cuando un hombre evoque mentalmente las formaciones como insatisfactorias y mantengan una gran tranquilidad, adquirirá la facultad de la concentración, (3) se le llama </w:t>
      </w:r>
      <w:proofErr w:type="gramStart"/>
      <w:r w:rsidRPr="00DC1A5F">
        <w:rPr>
          <w:i/>
          <w:iCs/>
        </w:rPr>
        <w:t>testigo presencial</w:t>
      </w:r>
      <w:proofErr w:type="gramEnd"/>
      <w:r w:rsidRPr="00DC1A5F">
        <w:t xml:space="preserve"> en los 8 casos. (4) Se le llamará </w:t>
      </w:r>
      <w:r w:rsidRPr="00DC1A5F">
        <w:rPr>
          <w:i/>
          <w:iCs/>
        </w:rPr>
        <w:t>alguien liberado en ambos sentidos</w:t>
      </w:r>
      <w:r w:rsidRPr="00DC1A5F">
        <w:t xml:space="preserve"> cuando haya consumado la fruición más elevada después de haber desarrollado también las </w:t>
      </w:r>
      <w:proofErr w:type="spellStart"/>
      <w:r w:rsidRPr="00DC1A5F">
        <w:rPr>
          <w:i/>
        </w:rPr>
        <w:t>jhāna</w:t>
      </w:r>
      <w:r w:rsidRPr="00DC1A5F">
        <w:t>s</w:t>
      </w:r>
      <w:proofErr w:type="spellEnd"/>
      <w:r w:rsidRPr="00DC1A5F">
        <w:t xml:space="preserve"> inmateriales. Cuando un hombre evoque mentalmente las formaciones como no–alma y mantenga una gran sabiduría, adquirirá la facultad del entendimiento, se volverá (5) un </w:t>
      </w:r>
      <w:r w:rsidRPr="00DC1A5F">
        <w:rPr>
          <w:i/>
          <w:iCs/>
        </w:rPr>
        <w:t>devoto del</w:t>
      </w:r>
      <w:r w:rsidRPr="00DC1A5F">
        <w:t xml:space="preserve"> </w:t>
      </w:r>
      <w:r w:rsidRPr="00DC1A5F">
        <w:rPr>
          <w:i/>
        </w:rPr>
        <w:t>Dhamma</w:t>
      </w:r>
      <w:r w:rsidRPr="00DC1A5F">
        <w:t xml:space="preserve"> en el momento del sendero de la entrada a la corriente; (6) en los siguientes 6 casos se convertirá en alguien que haya consumado la visión correcta; y (7) en el caso de la fruición más elevada, se convertirá en alguien que se ha liberado mediante el entendimiento.</w:t>
      </w:r>
    </w:p>
    <w:p w14:paraId="5F885885" w14:textId="77777777" w:rsidR="00597DE2" w:rsidRPr="00DC1A5F" w:rsidRDefault="00597DE2" w:rsidP="00597DE2">
      <w:r w:rsidRPr="00DC1A5F">
        <w:t xml:space="preserve">76. </w:t>
      </w:r>
      <w:r w:rsidRPr="00DC1A5F">
        <w:tab/>
        <w:t>(1) Esto se dice al respecto: “Cuando evoque mentalmente las formaciones como impermanentes, la facultad de la fe se encontrará en exceso en él. Con la facultad de la fe en exceso, adquirirá el sendero de la entrada a la corriente. Por eso, se le llamará como alguien ‘devoto mediante la fe’” (</w:t>
      </w:r>
      <w:proofErr w:type="spellStart"/>
      <w:r w:rsidRPr="00DC1A5F">
        <w:rPr>
          <w:i/>
          <w:iCs/>
        </w:rPr>
        <w:t>Paṭis</w:t>
      </w:r>
      <w:proofErr w:type="spellEnd"/>
      <w:r w:rsidRPr="00DC1A5F">
        <w:t xml:space="preserve"> II 53). [660] Del mismo modo, (2) “Cuando evoque mentalmente las formaciones como impermanentes, la facultad de la fe estará en exceso en él. Con la facultad de la fe en exceso se consumará la fruición de la entrada a la corriente. Por eso se le llamará como ‘alguien liberado mediante la fe’” (</w:t>
      </w:r>
      <w:proofErr w:type="spellStart"/>
      <w:r w:rsidRPr="00DC1A5F">
        <w:rPr>
          <w:i/>
          <w:iCs/>
        </w:rPr>
        <w:t>Paṭis</w:t>
      </w:r>
      <w:proofErr w:type="spellEnd"/>
      <w:r w:rsidRPr="00DC1A5F">
        <w:t xml:space="preserve"> II 53).</w:t>
      </w:r>
    </w:p>
    <w:p w14:paraId="0CB8D447" w14:textId="77777777" w:rsidR="00597DE2" w:rsidRPr="00DC1A5F" w:rsidRDefault="00597DE2" w:rsidP="00597DE2">
      <w:pPr>
        <w:pStyle w:val="PiedepginaLegal"/>
        <w:rPr>
          <w:u w:val="single"/>
        </w:rPr>
      </w:pPr>
      <w:r w:rsidRPr="00DC1A5F">
        <w:t xml:space="preserve"> </w:t>
      </w:r>
      <w:r w:rsidRPr="00DC1A5F">
        <w:rPr>
          <w:u w:val="single"/>
        </w:rPr>
        <w:tab/>
      </w:r>
      <w:r w:rsidRPr="00DC1A5F">
        <w:rPr>
          <w:u w:val="single"/>
        </w:rPr>
        <w:tab/>
      </w:r>
      <w:r w:rsidRPr="00DC1A5F">
        <w:rPr>
          <w:u w:val="single"/>
        </w:rPr>
        <w:tab/>
      </w:r>
      <w:r w:rsidRPr="00DC1A5F">
        <w:rPr>
          <w:u w:val="single"/>
        </w:rPr>
        <w:tab/>
        <w:t>.</w:t>
      </w:r>
    </w:p>
    <w:p w14:paraId="29B45D71" w14:textId="77777777" w:rsidR="00597DE2" w:rsidRPr="00DC1A5F" w:rsidRDefault="00597DE2" w:rsidP="00597DE2">
      <w:pPr>
        <w:pStyle w:val="PiedepginaLegal"/>
      </w:pPr>
      <w:r w:rsidRPr="00DC1A5F">
        <w:t>…</w:t>
      </w:r>
      <w:r w:rsidRPr="00DC1A5F">
        <w:tab/>
        <w:t xml:space="preserve">que tiene por objeto el signo de las formaciones, como formadas, sino que permanecerá </w:t>
      </w:r>
      <w:proofErr w:type="gramStart"/>
      <w:r w:rsidRPr="00DC1A5F">
        <w:t>de acuerdo a</w:t>
      </w:r>
      <w:proofErr w:type="gramEnd"/>
      <w:r w:rsidRPr="00DC1A5F">
        <w:t xml:space="preserve"> ella. Así que un sendero sin signos será del todo inadmisible por el método </w:t>
      </w:r>
      <w:proofErr w:type="spellStart"/>
      <w:r w:rsidRPr="00DC1A5F">
        <w:rPr>
          <w:i/>
          <w:iCs/>
        </w:rPr>
        <w:t>Abhidhamma</w:t>
      </w:r>
      <w:proofErr w:type="spellEnd"/>
      <w:r w:rsidRPr="00DC1A5F">
        <w:t>. Por eso se dice al respecto: “Esto se refiere a la forma en que la sabiduría–revelativa llegará al sendero y esto se expresa en el sentido literal” (§72).</w:t>
      </w:r>
    </w:p>
    <w:p w14:paraId="077193FE" w14:textId="77777777" w:rsidR="00597DE2" w:rsidRPr="00DC1A5F" w:rsidRDefault="00597DE2" w:rsidP="00597DE2">
      <w:pPr>
        <w:pStyle w:val="PiedepginaLegal"/>
      </w:pPr>
      <w:r w:rsidRPr="00DC1A5F">
        <w:tab/>
      </w:r>
      <w:r w:rsidRPr="00DC1A5F">
        <w:tab/>
        <w:t xml:space="preserve">“Sin embargo, por el método </w:t>
      </w:r>
      <w:proofErr w:type="spellStart"/>
      <w:r w:rsidRPr="00DC1A5F">
        <w:rPr>
          <w:i/>
          <w:iCs/>
        </w:rPr>
        <w:t>Suttanta</w:t>
      </w:r>
      <w:proofErr w:type="spellEnd"/>
      <w:r w:rsidRPr="00DC1A5F">
        <w:t xml:space="preserve"> será admisible un sendero sin signos. Pues de acuerdo a esto, de cualquier manera que la sabiduría–revelativa conducente al emerger (ver § 83) efectúe su comprensión, todavía conducirá al emerger del sendero y cuando esté en el punto de su llegada, le dará en consecuencia su propio nombre al sendero, cuando al emerger, debido a la comprensión como impermanente, el sendero no posea signos, cuando al emerger debido a la comprensión como insatisfactoria, no posea deseos, y cuando al emerger, debido a la comprensión como no–alma, sea vacía. Adoptando esto como un comentario del </w:t>
      </w:r>
      <w:proofErr w:type="spellStart"/>
      <w:r w:rsidRPr="00DC1A5F">
        <w:rPr>
          <w:i/>
          <w:iCs/>
        </w:rPr>
        <w:t>sutta</w:t>
      </w:r>
      <w:proofErr w:type="spellEnd"/>
      <w:r w:rsidRPr="00DC1A5F">
        <w:t xml:space="preserve">, por lo tanto, aquí se diferenciarán 3 liberaciones. No obstante, en el </w:t>
      </w:r>
      <w:proofErr w:type="spellStart"/>
      <w:r w:rsidRPr="00DC1A5F">
        <w:rPr>
          <w:i/>
          <w:iCs/>
        </w:rPr>
        <w:t>Paṭisambhidā</w:t>
      </w:r>
      <w:proofErr w:type="spellEnd"/>
      <w:r w:rsidRPr="00DC1A5F">
        <w:t xml:space="preserve">, la liberación de la interpretación incorrecta, del signo y del deseo, se adoptan respectivamente como la llegada de los 3 tipos de comprensión a esa liberación, y lo que se describe es un estado correspondiente a la liberación del vacío, etc., respectivamente, en los senderos que sigan a esa liberación. No es cuestión de tratar esto literalmente, razón por la cual se dijo: ‘Sin embargo, en el conocimiento de la sabiduría del </w:t>
      </w:r>
      <w:proofErr w:type="spellStart"/>
      <w:r w:rsidRPr="00DC1A5F">
        <w:rPr>
          <w:i/>
          <w:iCs/>
        </w:rPr>
        <w:t>Paṭisambhidā</w:t>
      </w:r>
      <w:proofErr w:type="spellEnd"/>
      <w:r w:rsidRPr="00DC1A5F">
        <w:rPr>
          <w:i/>
          <w:iCs/>
        </w:rPr>
        <w:t>’</w:t>
      </w:r>
      <w:r w:rsidRPr="00DC1A5F">
        <w:t xml:space="preserve"> etc.” (</w:t>
      </w:r>
      <w:proofErr w:type="spellStart"/>
      <w:r w:rsidRPr="00DC1A5F">
        <w:t>Vism</w:t>
      </w:r>
      <w:proofErr w:type="spellEnd"/>
      <w:r w:rsidRPr="00DC1A5F">
        <w:t>–</w:t>
      </w:r>
      <w:proofErr w:type="spellStart"/>
      <w:r w:rsidRPr="00DC1A5F">
        <w:t>mhṭ</w:t>
      </w:r>
      <w:proofErr w:type="spellEnd"/>
      <w:r w:rsidRPr="00DC1A5F">
        <w:t xml:space="preserve"> 846–48).</w:t>
      </w:r>
    </w:p>
    <w:p w14:paraId="2B4725E1" w14:textId="77777777" w:rsidR="00597DE2" w:rsidRPr="00DC1A5F" w:rsidRDefault="00597DE2" w:rsidP="00597DE2">
      <w:pPr>
        <w:tabs>
          <w:tab w:val="clear" w:pos="425"/>
        </w:tabs>
        <w:spacing w:after="160"/>
      </w:pPr>
      <w:r w:rsidRPr="00DC1A5F">
        <w:br w:type="page"/>
      </w:r>
    </w:p>
    <w:p w14:paraId="638501D4" w14:textId="77777777" w:rsidR="00597DE2" w:rsidRPr="00DC1A5F" w:rsidRDefault="00597DE2" w:rsidP="00597DE2">
      <w:pPr>
        <w:spacing w:after="80"/>
      </w:pPr>
      <w:r w:rsidRPr="00DC1A5F">
        <w:lastRenderedPageBreak/>
        <w:t xml:space="preserve">77. </w:t>
      </w:r>
      <w:r w:rsidRPr="00DC1A5F">
        <w:tab/>
        <w:t>Se dice además: “En el momento del primer sendero: (2) él habrá sido liberado por tener fe (</w:t>
      </w:r>
      <w:proofErr w:type="spellStart"/>
      <w:r w:rsidRPr="00DC1A5F">
        <w:rPr>
          <w:i/>
          <w:iCs/>
        </w:rPr>
        <w:t>saddahanto</w:t>
      </w:r>
      <w:proofErr w:type="spellEnd"/>
      <w:r w:rsidRPr="00DC1A5F">
        <w:t xml:space="preserve"> </w:t>
      </w:r>
      <w:proofErr w:type="spellStart"/>
      <w:r w:rsidRPr="00DC1A5F">
        <w:rPr>
          <w:i/>
          <w:iCs/>
        </w:rPr>
        <w:t>vimutto</w:t>
      </w:r>
      <w:proofErr w:type="spellEnd"/>
      <w:r w:rsidRPr="00DC1A5F">
        <w:t xml:space="preserve">), por lo que será alguien liberado mediante la fe; (3) él habrá consumado el </w:t>
      </w:r>
      <w:r w:rsidRPr="00DC1A5F">
        <w:rPr>
          <w:i/>
          <w:iCs/>
        </w:rPr>
        <w:t>Nibbāna</w:t>
      </w:r>
      <w:r w:rsidRPr="00DC1A5F">
        <w:t xml:space="preserve"> mediante la experiencia, por lo que será alguien </w:t>
      </w:r>
      <w:proofErr w:type="gramStart"/>
      <w:r w:rsidRPr="00DC1A5F">
        <w:t>testigo presencial</w:t>
      </w:r>
      <w:proofErr w:type="gramEnd"/>
      <w:r w:rsidRPr="00DC1A5F">
        <w:t xml:space="preserve"> al respecto; (6) él habrá consumado el </w:t>
      </w:r>
      <w:r w:rsidRPr="00DC1A5F">
        <w:rPr>
          <w:i/>
          <w:iCs/>
        </w:rPr>
        <w:t>Nibbāna</w:t>
      </w:r>
      <w:r w:rsidRPr="00DC1A5F">
        <w:t xml:space="preserve"> por medio de la visión, por lo que será alguien que lo habrá consumado mediante la visión. En los momentos de los tres senderos restantes: (2) él será liberado mediante la fe (</w:t>
      </w:r>
      <w:proofErr w:type="spellStart"/>
      <w:r w:rsidRPr="00DC1A5F">
        <w:rPr>
          <w:i/>
          <w:iCs/>
        </w:rPr>
        <w:t>saddahanto</w:t>
      </w:r>
      <w:proofErr w:type="spellEnd"/>
      <w:r w:rsidRPr="00DC1A5F">
        <w:t xml:space="preserve"> </w:t>
      </w:r>
      <w:proofErr w:type="spellStart"/>
      <w:r w:rsidRPr="00DC1A5F">
        <w:rPr>
          <w:i/>
          <w:iCs/>
        </w:rPr>
        <w:t>vimuccati</w:t>
      </w:r>
      <w:proofErr w:type="spellEnd"/>
      <w:r w:rsidRPr="00DC1A5F">
        <w:t xml:space="preserve">), por lo tanto, será alguien liberado mediante la fe; (3) primero experimentará la experiencia del </w:t>
      </w:r>
      <w:proofErr w:type="spellStart"/>
      <w:r w:rsidRPr="00DC1A5F">
        <w:rPr>
          <w:i/>
        </w:rPr>
        <w:t>jhāna</w:t>
      </w:r>
      <w:proofErr w:type="spellEnd"/>
      <w:r w:rsidRPr="00DC1A5F">
        <w:t xml:space="preserve"> para luego consumar la cesación, el </w:t>
      </w:r>
      <w:r w:rsidRPr="00DC1A5F">
        <w:rPr>
          <w:i/>
          <w:iCs/>
        </w:rPr>
        <w:t>Nibbāna</w:t>
      </w:r>
      <w:r w:rsidRPr="00DC1A5F">
        <w:t xml:space="preserve">, por lo que será un testigo presencial al respecto; (6) se sabrá, se verá, se reconocerá, se realizará y se experimentará mediante el entendimiento de que las formaciones son insatisfactorias y la cesación es dicha, por lo que será alguien que lo consumará mediante la visión </w:t>
      </w:r>
      <w:r w:rsidRPr="00DC1A5F">
        <w:rPr>
          <w:color w:val="833C0B" w:themeColor="accent2" w:themeShade="80"/>
          <w:u w:color="000000"/>
        </w:rPr>
        <w:t>correcta</w:t>
      </w:r>
      <w:r w:rsidRPr="00DC1A5F">
        <w:t>” (</w:t>
      </w:r>
      <w:proofErr w:type="spellStart"/>
      <w:r w:rsidRPr="00DC1A5F">
        <w:rPr>
          <w:i/>
          <w:iCs/>
        </w:rPr>
        <w:t>Paṭis</w:t>
      </w:r>
      <w:proofErr w:type="spellEnd"/>
      <w:r w:rsidRPr="00DC1A5F">
        <w:t xml:space="preserve"> II 52).</w:t>
      </w:r>
    </w:p>
    <w:p w14:paraId="00A3FABC" w14:textId="77777777" w:rsidR="00597DE2" w:rsidRPr="00DC1A5F" w:rsidRDefault="00597DE2" w:rsidP="00597DE2">
      <w:pPr>
        <w:spacing w:after="80"/>
      </w:pPr>
      <w:r w:rsidRPr="00DC1A5F">
        <w:t xml:space="preserve">78. </w:t>
      </w:r>
      <w:r w:rsidRPr="00DC1A5F">
        <w:tab/>
        <w:t>En cuanto a las cuatro restantes, sin embargo, el significado de la palabra debe entenderse así: (1) él proseguirá (</w:t>
      </w:r>
      <w:proofErr w:type="spellStart"/>
      <w:r w:rsidRPr="00DC1A5F">
        <w:rPr>
          <w:i/>
          <w:iCs/>
        </w:rPr>
        <w:t>anusarati</w:t>
      </w:r>
      <w:proofErr w:type="spellEnd"/>
      <w:r w:rsidRPr="00DC1A5F">
        <w:t xml:space="preserve">) con la fe, por lo que será un </w:t>
      </w:r>
      <w:r w:rsidRPr="00DC1A5F">
        <w:rPr>
          <w:i/>
          <w:iCs/>
        </w:rPr>
        <w:t xml:space="preserve">devoto mediante la fe </w:t>
      </w:r>
      <w:r w:rsidRPr="00DC1A5F">
        <w:t>(</w:t>
      </w:r>
      <w:proofErr w:type="spellStart"/>
      <w:r w:rsidRPr="00DC1A5F">
        <w:rPr>
          <w:i/>
          <w:iCs/>
        </w:rPr>
        <w:t>saddhānusāri</w:t>
      </w:r>
      <w:proofErr w:type="spellEnd"/>
      <w:r w:rsidRPr="00DC1A5F">
        <w:t xml:space="preserve">); o él proseguirá, él irá, por medio de la fe, por lo que será alguien </w:t>
      </w:r>
      <w:r w:rsidRPr="00DC1A5F">
        <w:rPr>
          <w:i/>
          <w:iCs/>
        </w:rPr>
        <w:t>devoto por fe.</w:t>
      </w:r>
      <w:r w:rsidRPr="00DC1A5F">
        <w:t xml:space="preserve"> (5) Asimismo, él proseguirá el </w:t>
      </w:r>
      <w:r w:rsidRPr="00DC1A5F">
        <w:rPr>
          <w:i/>
        </w:rPr>
        <w:t>Dhamma</w:t>
      </w:r>
      <w:r w:rsidRPr="00DC1A5F">
        <w:t xml:space="preserve"> llamado entendimiento, o él proseguirá por medio del </w:t>
      </w:r>
      <w:r w:rsidRPr="00DC1A5F">
        <w:rPr>
          <w:i/>
        </w:rPr>
        <w:t>Dhamma</w:t>
      </w:r>
      <w:r w:rsidRPr="00DC1A5F">
        <w:t xml:space="preserve">, por lo que será alguien </w:t>
      </w:r>
      <w:r w:rsidRPr="00DC1A5F">
        <w:rPr>
          <w:i/>
          <w:iCs/>
        </w:rPr>
        <w:t>devoto del</w:t>
      </w:r>
      <w:r w:rsidRPr="00DC1A5F">
        <w:t xml:space="preserve"> </w:t>
      </w:r>
      <w:r w:rsidRPr="00DC1A5F">
        <w:rPr>
          <w:i/>
        </w:rPr>
        <w:t>Dhamma</w:t>
      </w:r>
      <w:r w:rsidRPr="00DC1A5F">
        <w:t xml:space="preserve">. (4) Él se liberará en ambos sentidos, por medio del </w:t>
      </w:r>
      <w:proofErr w:type="spellStart"/>
      <w:r w:rsidRPr="00DC1A5F">
        <w:rPr>
          <w:i/>
        </w:rPr>
        <w:t>jhāna</w:t>
      </w:r>
      <w:proofErr w:type="spellEnd"/>
      <w:r w:rsidRPr="00DC1A5F">
        <w:t xml:space="preserve"> inmaterial y el noble sendero, por lo tanto, será liberado en ambos sentidos. (7) Mediante el entendimiento, él se liberará, por lo tanto, será alguien liberado mediante el entendimiento.</w:t>
      </w:r>
    </w:p>
    <w:p w14:paraId="2DD6B42C" w14:textId="77777777" w:rsidR="00597DE2" w:rsidRPr="00DC1A5F" w:rsidRDefault="00597DE2" w:rsidP="00597DE2">
      <w:pPr>
        <w:pStyle w:val="Ttulo3"/>
        <w:ind w:left="708"/>
      </w:pPr>
      <w:r w:rsidRPr="00DC1A5F">
        <w:t>[Los Tres Últimos Conocimientos Son Uno]</w:t>
      </w:r>
    </w:p>
    <w:p w14:paraId="20CAC677" w14:textId="77777777" w:rsidR="00597DE2" w:rsidRPr="00DC1A5F" w:rsidRDefault="00597DE2" w:rsidP="00597DE2">
      <w:pPr>
        <w:spacing w:after="80"/>
      </w:pPr>
      <w:r w:rsidRPr="00DC1A5F">
        <w:t xml:space="preserve">79. </w:t>
      </w:r>
      <w:r w:rsidRPr="00DC1A5F">
        <w:tab/>
        <w:t>Este conocimiento de la ecuanimidad con respecto a las formaciones tiene el mismo significado que los 2 tipos que lo preceden. De ahí que los Venerables dijesen al respecto: “Este conocimiento de la ecuanimidad con respecto a las formaciones es uno solo y posee 3 denominaciones. Al principio, posee el nombre de conocimiento del deseo de liberación. En el medio posee la denominación del conocimiento de la reflexión. Al final, cuando haya llegado a su culminación, se le denominará el conocimiento de la ecuanimidad con respecto a las formaciones.”</w:t>
      </w:r>
    </w:p>
    <w:p w14:paraId="1E2C9757" w14:textId="77777777" w:rsidR="00597DE2" w:rsidRPr="00DC1A5F" w:rsidRDefault="00597DE2" w:rsidP="00597DE2">
      <w:pPr>
        <w:spacing w:after="80"/>
      </w:pPr>
      <w:r w:rsidRPr="00DC1A5F">
        <w:t xml:space="preserve">80. </w:t>
      </w:r>
      <w:r w:rsidRPr="00DC1A5F">
        <w:tab/>
        <w:t>“¿Cómo es que el entendimiento del deseo de la liberación, de la reflexión y de la compostura corresponderá al conocimiento de los tipos de ecuanimidad con respecto a las formaciones? El entendimiento del deseo de la liberación, de la reflexión y la compostura ocupada en el surgimiento, corresponderá al conocimiento de la ecuanimidad con respecto a las formaciones. El entendimiento del deseo de la liberación, de la reflexión y de la compostura ocupada en la ocurrencia... el signo... (etc., ver §</w:t>
      </w:r>
      <w:proofErr w:type="gramStart"/>
      <w:r w:rsidRPr="00DC1A5F">
        <w:t>37)...</w:t>
      </w:r>
      <w:proofErr w:type="gramEnd"/>
      <w:r w:rsidRPr="00DC1A5F">
        <w:t xml:space="preserve"> la desesperación, corresponderá al conocimiento de la ecuanimidad con respecto a las formaciones” (</w:t>
      </w:r>
      <w:proofErr w:type="spellStart"/>
      <w:r w:rsidRPr="00DC1A5F">
        <w:rPr>
          <w:i/>
          <w:iCs/>
        </w:rPr>
        <w:t>Paṭis</w:t>
      </w:r>
      <w:proofErr w:type="spellEnd"/>
      <w:r w:rsidRPr="00DC1A5F">
        <w:t xml:space="preserve"> I 60f.).</w:t>
      </w:r>
    </w:p>
    <w:p w14:paraId="2FB6A71B" w14:textId="77777777" w:rsidR="00597DE2" w:rsidRPr="00DC1A5F" w:rsidRDefault="00597DE2" w:rsidP="00597DE2">
      <w:pPr>
        <w:spacing w:after="80"/>
      </w:pPr>
      <w:r w:rsidRPr="00DC1A5F">
        <w:t xml:space="preserve">81. </w:t>
      </w:r>
      <w:r w:rsidRPr="00DC1A5F">
        <w:tab/>
        <w:t xml:space="preserve">Aquí, el compuesto </w:t>
      </w:r>
      <w:proofErr w:type="spellStart"/>
      <w:r w:rsidRPr="00DC1A5F">
        <w:rPr>
          <w:i/>
          <w:iCs/>
        </w:rPr>
        <w:t>muñcitukamyatā</w:t>
      </w:r>
      <w:proofErr w:type="spellEnd"/>
      <w:r w:rsidRPr="00DC1A5F">
        <w:rPr>
          <w:i/>
          <w:iCs/>
        </w:rPr>
        <w:t>–</w:t>
      </w:r>
      <w:proofErr w:type="spellStart"/>
      <w:r w:rsidRPr="00DC1A5F">
        <w:rPr>
          <w:i/>
          <w:iCs/>
        </w:rPr>
        <w:t>paṭisaṅkhā</w:t>
      </w:r>
      <w:proofErr w:type="spellEnd"/>
      <w:r w:rsidRPr="00DC1A5F">
        <w:rPr>
          <w:i/>
          <w:iCs/>
        </w:rPr>
        <w:t>–</w:t>
      </w:r>
      <w:proofErr w:type="spellStart"/>
      <w:r w:rsidRPr="00DC1A5F">
        <w:rPr>
          <w:i/>
          <w:iCs/>
        </w:rPr>
        <w:t>santiṭṭhanā</w:t>
      </w:r>
      <w:proofErr w:type="spellEnd"/>
      <w:r w:rsidRPr="00DC1A5F">
        <w:t xml:space="preserve"> (“consistente del deseo de liberación, la reflexión y la compostura”) deberá resolverse en </w:t>
      </w:r>
      <w:proofErr w:type="spellStart"/>
      <w:r w:rsidRPr="00DC1A5F">
        <w:rPr>
          <w:i/>
          <w:iCs/>
        </w:rPr>
        <w:t>muñcitukamyatā</w:t>
      </w:r>
      <w:proofErr w:type="spellEnd"/>
      <w:r w:rsidRPr="00DC1A5F">
        <w:t xml:space="preserve"> </w:t>
      </w:r>
      <w:r w:rsidRPr="00DC1A5F">
        <w:rPr>
          <w:i/>
          <w:iCs/>
        </w:rPr>
        <w:t xml:space="preserve">ca </w:t>
      </w:r>
      <w:proofErr w:type="spellStart"/>
      <w:r w:rsidRPr="00DC1A5F">
        <w:rPr>
          <w:i/>
          <w:iCs/>
        </w:rPr>
        <w:t>sā</w:t>
      </w:r>
      <w:proofErr w:type="spellEnd"/>
      <w:r w:rsidRPr="00DC1A5F">
        <w:rPr>
          <w:i/>
          <w:iCs/>
        </w:rPr>
        <w:t xml:space="preserve"> </w:t>
      </w:r>
      <w:proofErr w:type="spellStart"/>
      <w:r w:rsidRPr="00DC1A5F">
        <w:rPr>
          <w:i/>
          <w:iCs/>
        </w:rPr>
        <w:t>paṭisaṅkhā</w:t>
      </w:r>
      <w:proofErr w:type="spellEnd"/>
      <w:r w:rsidRPr="00DC1A5F">
        <w:rPr>
          <w:i/>
          <w:iCs/>
        </w:rPr>
        <w:t xml:space="preserve"> ca </w:t>
      </w:r>
      <w:proofErr w:type="spellStart"/>
      <w:r w:rsidRPr="00DC1A5F">
        <w:rPr>
          <w:i/>
          <w:iCs/>
        </w:rPr>
        <w:t>santiṭṭhanā</w:t>
      </w:r>
      <w:proofErr w:type="spellEnd"/>
      <w:r w:rsidRPr="00DC1A5F">
        <w:rPr>
          <w:i/>
          <w:iCs/>
        </w:rPr>
        <w:t xml:space="preserve"> ca</w:t>
      </w:r>
      <w:r w:rsidRPr="00DC1A5F">
        <w:t xml:space="preserve">. Así, [661] en la primera etapa </w:t>
      </w:r>
      <w:r w:rsidRPr="00DC1A5F">
        <w:rPr>
          <w:color w:val="833C0B" w:themeColor="accent2" w:themeShade="80"/>
          <w:u w:color="000000"/>
        </w:rPr>
        <w:t>este conocimiento</w:t>
      </w:r>
      <w:r w:rsidRPr="00DC1A5F">
        <w:t xml:space="preserve"> corresponderá al deseo de abandono, al deseo de ser liberado, al surgimiento, etc., en alguien que se haya vuelto desapasionado mediante el conocimiento del desapasionamiento, lo cual corresponderá al </w:t>
      </w:r>
      <w:r w:rsidRPr="00DC1A5F">
        <w:rPr>
          <w:i/>
          <w:iCs/>
        </w:rPr>
        <w:t>deseo de la liberación</w:t>
      </w:r>
      <w:r w:rsidRPr="00DC1A5F">
        <w:t xml:space="preserve">. Es la reflexión en la etapa intermedia, con el propósito de encontrar un medio para la liberación, lo que corresponderá a la </w:t>
      </w:r>
      <w:r w:rsidRPr="00DC1A5F">
        <w:rPr>
          <w:i/>
          <w:iCs/>
        </w:rPr>
        <w:t>reflexión</w:t>
      </w:r>
      <w:r w:rsidRPr="00DC1A5F">
        <w:t xml:space="preserve">. Es la apreciación ecuánime, en la etapa final, al ser entregado, lo que corresponderá a la </w:t>
      </w:r>
      <w:r w:rsidRPr="00DC1A5F">
        <w:rPr>
          <w:i/>
          <w:iCs/>
        </w:rPr>
        <w:t>compostura</w:t>
      </w:r>
      <w:r w:rsidRPr="00DC1A5F">
        <w:t>. Se dice al respecto: “El surgimiento es formación; él observa con ecuanimidad esas formaciones; por lo tanto, se trata de una ecuanimidad con respecto a las formaciones” (</w:t>
      </w:r>
      <w:proofErr w:type="spellStart"/>
      <w:r w:rsidRPr="00DC1A5F">
        <w:rPr>
          <w:i/>
          <w:iCs/>
        </w:rPr>
        <w:t>Paṭis</w:t>
      </w:r>
      <w:proofErr w:type="spellEnd"/>
      <w:r w:rsidRPr="00DC1A5F">
        <w:t xml:space="preserve"> I 61), etc. Así que éste será sólo un tipo de conocimiento.</w:t>
      </w:r>
    </w:p>
    <w:p w14:paraId="0D358560" w14:textId="77777777" w:rsidR="00597DE2" w:rsidRPr="00DC1A5F" w:rsidRDefault="00597DE2" w:rsidP="00597DE2">
      <w:pPr>
        <w:spacing w:after="80"/>
      </w:pPr>
      <w:r w:rsidRPr="00DC1A5F">
        <w:t xml:space="preserve">82. </w:t>
      </w:r>
      <w:r w:rsidRPr="00DC1A5F">
        <w:tab/>
        <w:t xml:space="preserve">Además, se podrá entender de que esto sea así, del siguiente texto; ya que esto se dice al respecto: “El deseo de la liberación, la contemplación de la reflexión y la ecuanimidad con </w:t>
      </w:r>
      <w:r w:rsidRPr="00DC1A5F">
        <w:br w:type="page"/>
      </w:r>
    </w:p>
    <w:p w14:paraId="594A6570" w14:textId="77777777" w:rsidR="00597DE2" w:rsidRPr="00DC1A5F" w:rsidRDefault="00597DE2" w:rsidP="00597DE2">
      <w:r w:rsidRPr="00DC1A5F">
        <w:lastRenderedPageBreak/>
        <w:t>respecto a las formaciones: estas cosas serán una en significado y sólo diferentes en su letra” (</w:t>
      </w:r>
      <w:proofErr w:type="spellStart"/>
      <w:r w:rsidRPr="00DC1A5F">
        <w:rPr>
          <w:i/>
          <w:iCs/>
        </w:rPr>
        <w:t>Paṭis</w:t>
      </w:r>
      <w:proofErr w:type="spellEnd"/>
      <w:r w:rsidRPr="00DC1A5F">
        <w:t xml:space="preserve"> II 64).</w:t>
      </w:r>
    </w:p>
    <w:p w14:paraId="16226CAB" w14:textId="77777777" w:rsidR="00597DE2" w:rsidRPr="00DC1A5F" w:rsidRDefault="00597DE2" w:rsidP="00597DE2">
      <w:pPr>
        <w:pStyle w:val="Ttulo3"/>
        <w:ind w:left="708"/>
      </w:pPr>
      <w:r w:rsidRPr="00DC1A5F">
        <w:t>[La Sabiduría–Revelativa Conducente Hacia el Emerger]</w:t>
      </w:r>
    </w:p>
    <w:p w14:paraId="41AF985D" w14:textId="77777777" w:rsidR="00597DE2" w:rsidRPr="00DC1A5F" w:rsidRDefault="00597DE2" w:rsidP="00597DE2">
      <w:r w:rsidRPr="00DC1A5F">
        <w:t xml:space="preserve">83. </w:t>
      </w:r>
      <w:r w:rsidRPr="00DC1A5F">
        <w:tab/>
        <w:t xml:space="preserve">Ahora bien, cuando este miembro de clan haya desarrollado la ecuanimidad con respecto a las </w:t>
      </w:r>
      <w:r w:rsidRPr="00DC1A5F">
        <w:rPr>
          <w:i/>
          <w:iCs/>
        </w:rPr>
        <w:t>formaciones</w:t>
      </w:r>
      <w:r w:rsidRPr="00DC1A5F">
        <w:t xml:space="preserve">, su sabiduría habrá alcanzado la culminación y lo conducirá hacia un sentido de urgencia. “La sabiduría habrá alcanzado su culminación” o “la sabiduría–revelativa conducente hacia el emerger” corresponderá a 3 nombres para los 3 tipos de conocimiento que comienzan con la ecuanimidad con respecto a las </w:t>
      </w:r>
      <w:r w:rsidRPr="00DC1A5F">
        <w:rPr>
          <w:i/>
          <w:iCs/>
        </w:rPr>
        <w:t>formaciones</w:t>
      </w:r>
      <w:r w:rsidRPr="00DC1A5F">
        <w:t xml:space="preserve">, es decir, ecuanimidad con respecto a las </w:t>
      </w:r>
      <w:r w:rsidRPr="00DC1A5F">
        <w:rPr>
          <w:i/>
          <w:iCs/>
        </w:rPr>
        <w:t>formaciones</w:t>
      </w:r>
      <w:r w:rsidRPr="00DC1A5F">
        <w:t xml:space="preserve">, a la </w:t>
      </w:r>
      <w:r w:rsidRPr="00DC1A5F">
        <w:rPr>
          <w:i/>
          <w:iCs/>
        </w:rPr>
        <w:t>conformidad</w:t>
      </w:r>
      <w:r w:rsidRPr="00DC1A5F">
        <w:t xml:space="preserve"> y al </w:t>
      </w:r>
      <w:r w:rsidRPr="00DC1A5F">
        <w:rPr>
          <w:i/>
          <w:iCs/>
        </w:rPr>
        <w:t>cambio de linaje</w:t>
      </w:r>
      <w:r w:rsidRPr="00DC1A5F">
        <w:t>. Él habrá “alcanzado su culminación” porque habrá alcanzado la etapa final culminante. Se dice que lo “conducirá hacia el emerger” porque se dirigirá hacia este emerger. Al sendero se le denominará “emerger” porque emergerá externamente de la base objetiva interpretada como un signo y también internamente de la ocurrencia de las contaminaciones.</w:t>
      </w:r>
      <w:r w:rsidRPr="00DC1A5F">
        <w:rPr>
          <w:vertAlign w:val="superscript"/>
        </w:rPr>
        <w:t>36</w:t>
      </w:r>
      <w:r w:rsidRPr="00DC1A5F">
        <w:t xml:space="preserve"> Se dirigirá hacia ello, por lo que conducirá hacia este emerger; el significado es que confluirá con el sendero.</w:t>
      </w:r>
    </w:p>
    <w:p w14:paraId="08750320" w14:textId="77777777" w:rsidR="00597DE2" w:rsidRPr="00DC1A5F" w:rsidRDefault="00597DE2" w:rsidP="00597DE2">
      <w:r w:rsidRPr="00DC1A5F">
        <w:t xml:space="preserve">84. </w:t>
      </w:r>
      <w:r w:rsidRPr="00DC1A5F">
        <w:tab/>
        <w:t>Aquí, para efectos de una aclaración, se presenta esta lista sobre los tipos de emerger clasificados según la manera de interpretarlos: (1) después de interpretar lo interno</w:t>
      </w:r>
      <w:r w:rsidRPr="00DC1A5F">
        <w:rPr>
          <w:vertAlign w:val="superscript"/>
        </w:rPr>
        <w:t>37</w:t>
      </w:r>
      <w:r w:rsidRPr="00DC1A5F">
        <w:t xml:space="preserve"> emergerá de lo interno, (2) después de interpretar lo interno emergerá de lo externo, (3) después de interpretar lo externo emergerá de lo externo, (4) después de interpretar lo externo emergerá de lo interno; (5) después de interpretar lo material emergerá de lo material, (6) después de interpretar lo material emergerá de lo inmaterial, (7) después de interpretar lo inmaterial emergerá de lo inmaterial, (8) después de interpretar lo inmaterial emergerá de lo material; (9) emergerá en un solo instante desde los cinco agregados; (10) después de interpretarlo como impermanente emergerá de lo impermanente, (11) después de interpretarlo como impermanente emergerá de lo insatisfactorio, (12) después de interpretarlo como impermanente emergerá de lo no–alma; (13) después de interpretarlo como insatisfactorio emergerá de lo insatisfactorio, (14) después de interpretarlo como insatisfactorio emergerá de lo impermanente, (15) después de interpretarlo como insatisfactorio emergerá de lo no–alma, (16) después de interpretarlo como no–alma emergerá de lo no–alma, (17) después de interpretarlo como no–alma emergerá de lo impermanente, (18) después de interpretarlo como no–alma emergerá de lo insatisfactorio. ¿Cómo?</w:t>
      </w:r>
    </w:p>
    <w:p w14:paraId="0C05A637" w14:textId="77777777" w:rsidR="00597DE2" w:rsidRPr="00DC1A5F" w:rsidRDefault="00597DE2" w:rsidP="00597DE2">
      <w:r w:rsidRPr="00DC1A5F">
        <w:t>85.</w:t>
      </w:r>
      <w:r w:rsidRPr="00DC1A5F">
        <w:tab/>
        <w:t xml:space="preserve">Aquí (1) alguien hará su interpretación al principio con sus propias formaciones internas. Después de interpretarlas, las observará. No obstante, el surgimiento del sendero no se producirá al observar lo llanamente interno, ya que también se deberá observar lo externo, por lo que </w:t>
      </w:r>
    </w:p>
    <w:p w14:paraId="4FC63950" w14:textId="77777777" w:rsidR="00597DE2" w:rsidRPr="00DC1A5F" w:rsidRDefault="00597DE2" w:rsidP="00597DE2">
      <w:pPr>
        <w:pStyle w:val="PiedepginaLegal"/>
        <w:rPr>
          <w:sz w:val="10"/>
          <w:szCs w:val="18"/>
          <w:u w:val="single"/>
        </w:rPr>
      </w:pPr>
      <w:r w:rsidRPr="00DC1A5F">
        <w:rPr>
          <w:sz w:val="10"/>
          <w:szCs w:val="18"/>
          <w:u w:val="single"/>
        </w:rPr>
        <w:tab/>
      </w:r>
      <w:r w:rsidRPr="00DC1A5F">
        <w:rPr>
          <w:sz w:val="10"/>
          <w:szCs w:val="18"/>
          <w:u w:val="single"/>
        </w:rPr>
        <w:tab/>
      </w:r>
      <w:r w:rsidRPr="00DC1A5F">
        <w:rPr>
          <w:sz w:val="10"/>
          <w:szCs w:val="18"/>
          <w:u w:val="single"/>
        </w:rPr>
        <w:tab/>
      </w:r>
      <w:r w:rsidRPr="00DC1A5F">
        <w:rPr>
          <w:sz w:val="10"/>
          <w:szCs w:val="18"/>
          <w:u w:val="single"/>
        </w:rPr>
        <w:tab/>
        <w:t>.</w:t>
      </w:r>
    </w:p>
    <w:p w14:paraId="029187C9" w14:textId="77777777" w:rsidR="00597DE2" w:rsidRPr="00DC1A5F" w:rsidRDefault="00597DE2" w:rsidP="00597DE2">
      <w:pPr>
        <w:pStyle w:val="PiedepginaLegal"/>
        <w:numPr>
          <w:ilvl w:val="0"/>
          <w:numId w:val="10"/>
        </w:numPr>
        <w:tabs>
          <w:tab w:val="clear" w:pos="425"/>
          <w:tab w:val="left" w:pos="284"/>
        </w:tabs>
        <w:ind w:left="284" w:hanging="284"/>
      </w:pPr>
      <w:r w:rsidRPr="00DC1A5F">
        <w:t>“‘</w:t>
      </w:r>
      <w:r w:rsidRPr="00DC1A5F">
        <w:rPr>
          <w:i/>
          <w:iCs/>
        </w:rPr>
        <w:t>Del objeto interpretado como el signo’</w:t>
      </w:r>
      <w:r w:rsidRPr="00DC1A5F">
        <w:t>: del quíntuplo de los agregados como objeto de sabiduría; ya que a ese quíntuplo de agregados se le denominará “objeto interpretado” debido a su interpretación, en otras palabras, debido a que hace dominio de la sabiduría–revelativa. Y aunque se encuentre incluido en la propia continuidad, se le denominará, sin embargo, “externo” porque se observará como algo ajeno; es por ello también por lo que en otros contextos se le denominará como ‘externo a todos los signos’ (</w:t>
      </w:r>
      <w:proofErr w:type="spellStart"/>
      <w:r w:rsidRPr="00DC1A5F">
        <w:rPr>
          <w:i/>
          <w:iCs/>
        </w:rPr>
        <w:t>Paṭis</w:t>
      </w:r>
      <w:proofErr w:type="spellEnd"/>
      <w:r w:rsidRPr="00DC1A5F">
        <w:t xml:space="preserve"> I 71). ‘Internamente desde la ocurrencia’: desde la ocurrencia de una visión incorrecta, etc., en la propia continuidad de uno y desde las impurezas y desde los agregados que ocurran como consecuencia de ellas. Ya que se afirma así porque habrá una ocurrencia de la contaminación en la propia continuidad de uno y porque habrá una ocurrencia de acumulación de agregados producidos por esa contaminación cuando no haya un desarrollo del sendero. Y el emerger consistirá tanto en hacer de estos el objeto como de producir su no–obligación de surgir en el futuro” (</w:t>
      </w:r>
      <w:proofErr w:type="spellStart"/>
      <w:r w:rsidRPr="00DC1A5F">
        <w:t>Vism</w:t>
      </w:r>
      <w:proofErr w:type="spellEnd"/>
      <w:r w:rsidRPr="00DC1A5F">
        <w:t>–</w:t>
      </w:r>
      <w:proofErr w:type="spellStart"/>
      <w:r w:rsidRPr="00DC1A5F">
        <w:t>mhṭ</w:t>
      </w:r>
      <w:proofErr w:type="spellEnd"/>
      <w:r w:rsidRPr="00DC1A5F">
        <w:t xml:space="preserve"> 853).</w:t>
      </w:r>
    </w:p>
    <w:p w14:paraId="2412D5B4" w14:textId="77777777" w:rsidR="00597DE2" w:rsidRPr="00DC1A5F" w:rsidRDefault="00597DE2" w:rsidP="00597DE2">
      <w:pPr>
        <w:pStyle w:val="PiedepginaLegal"/>
        <w:numPr>
          <w:ilvl w:val="0"/>
          <w:numId w:val="10"/>
        </w:numPr>
        <w:tabs>
          <w:tab w:val="clear" w:pos="425"/>
          <w:tab w:val="left" w:pos="284"/>
        </w:tabs>
        <w:ind w:left="284" w:hanging="284"/>
      </w:pPr>
      <w:r w:rsidRPr="00DC1A5F">
        <w:t>“</w:t>
      </w:r>
      <w:r w:rsidRPr="00DC1A5F">
        <w:rPr>
          <w:i/>
          <w:iCs/>
        </w:rPr>
        <w:t>’Emergerá de lo interno’</w:t>
      </w:r>
      <w:r w:rsidRPr="00DC1A5F">
        <w:t xml:space="preserve"> se dice en sentido figurado debido al hecho de que, en este caso, la sabiduría que conduzca al emerger poseerá como objeto un estado interno. Sin embargo, en el sentido literal, el sendero emergerá de ambos” (</w:t>
      </w:r>
      <w:proofErr w:type="spellStart"/>
      <w:r w:rsidRPr="00DC1A5F">
        <w:t>Vism</w:t>
      </w:r>
      <w:proofErr w:type="spellEnd"/>
      <w:r w:rsidRPr="00DC1A5F">
        <w:t>–</w:t>
      </w:r>
      <w:proofErr w:type="spellStart"/>
      <w:r w:rsidRPr="00DC1A5F">
        <w:t>mhṭ</w:t>
      </w:r>
      <w:proofErr w:type="spellEnd"/>
      <w:r w:rsidRPr="00DC1A5F">
        <w:t xml:space="preserve"> 853).</w:t>
      </w:r>
      <w:r w:rsidRPr="00DC1A5F">
        <w:br w:type="page"/>
      </w:r>
    </w:p>
    <w:p w14:paraId="019D3044" w14:textId="77777777" w:rsidR="00597DE2" w:rsidRPr="00DC1A5F" w:rsidRDefault="00597DE2" w:rsidP="00597DE2">
      <w:pPr>
        <w:pStyle w:val="Textoindependiente"/>
      </w:pPr>
      <w:r w:rsidRPr="00DC1A5F">
        <w:lastRenderedPageBreak/>
        <w:t>él observará los agregados de otros seres, así como las formaciones no adheridas a las cosas inanimadas, como impermanentes, insatisfactorias y no–alma. En un instante [662] él comprenderá lo interno y en otro lo externo. Al hacerlo, la sabiduría–revelativa se unirá con el sendero mientras él esté comprendiendo lo interno. Entonces se dirá de él que “después de interpretar lo interno emergerá de lo interno”. (2) Si su sabiduría–revelativa se une con el sendero en el momento en que esté comprendiendo lo externo, se dirá de él que “después de interpretar lo interno emergerá de lo externo”. (3) De manera similar, será en el caso de “después de interpretar lo externo emergerá de lo externo”, y (4) “de lo interno”.</w:t>
      </w:r>
    </w:p>
    <w:p w14:paraId="06514AF7" w14:textId="77777777" w:rsidR="00597DE2" w:rsidRPr="00DC1A5F" w:rsidRDefault="00597DE2" w:rsidP="00597DE2">
      <w:r w:rsidRPr="00DC1A5F">
        <w:t xml:space="preserve">86. </w:t>
      </w:r>
      <w:r w:rsidRPr="00DC1A5F">
        <w:tab/>
        <w:t>(5) Otro hará su interpretación al principio con la materialidad. Cuando haya hecho ello, observará la materialidad de los primarios y la materialidad derivada de ellos, conjuntamente. No obstante, el surgimiento no se producirá a través de la visión de la simple materialidad ya que lo inmaterial también deberá observarse, por lo que él lo observará como mentalidad inmaterial a la sensación, a la percepción, a las formaciones y a la consciencia que hayan surgido al hacer de esa materialidad su objeto. En un instante comprenderá lo material y en otro lo inmaterial. Mientras lo haga, la sabiduría–revelativa se unirá con el sendero mientras comprenda la materialidad. Se dirá de él, entonces, que “después de interpretar lo material emergerá de lo material”. (6) No obstante, si su sabiduría–revelativa se une con el sendero en el momento en que esté comprendiendo lo inmaterial, se dirá de él que “después de interpretar lo material emergerá de lo inmaterial”. (7) De manera similar será en el caso de “después de interpretar lo inmaterial emergerá de lo inmaterial”, y (8) “de lo material”.</w:t>
      </w:r>
    </w:p>
    <w:p w14:paraId="77B5AA4A" w14:textId="77777777" w:rsidR="00597DE2" w:rsidRPr="00DC1A5F" w:rsidRDefault="00597DE2" w:rsidP="00597DE2">
      <w:r w:rsidRPr="00DC1A5F">
        <w:t xml:space="preserve">87. </w:t>
      </w:r>
      <w:r w:rsidRPr="00DC1A5F">
        <w:tab/>
        <w:t>(9) Cuando haya hecho así su interpretación siguiente, “Todo lo que esté sujeto a un surgimiento estará sujeto a la cesación” (M I 380), y así también, en el momento de emerger, se dirá que él “emergerá en un solo instante de los cinco agregados”.</w:t>
      </w:r>
    </w:p>
    <w:p w14:paraId="0F52C5F1" w14:textId="77777777" w:rsidR="00597DE2" w:rsidRPr="00DC1A5F" w:rsidRDefault="00597DE2" w:rsidP="00597DE2">
      <w:r w:rsidRPr="00DC1A5F">
        <w:t xml:space="preserve">88. </w:t>
      </w:r>
      <w:r w:rsidRPr="00DC1A5F">
        <w:tab/>
        <w:t>(10) Un meditador comprenderá las formaciones como impermanentes al principio. No obstante, el surgimiento no se producirá a través de su llana comprensión como impermanente, ya que deberá haber también una comprensión de ellas como insatisfactorias y no–alma, por lo que las comprenderá como insatisfactorias y no–alma. Mientras así lo haga, surgirá el emerger mientras las comprenda como impermanentes. Entonces, se dirá de él que “después de interpretarlo como impermanente emergerá de lo impermanente”, (11)– (12) No obstante, si el emerger se produjese en él mientras las comprendiese como insatisfactorio… como no–alma, entonces se dirá que “después de interpretarlo como impermanente emergerá de lo insatisfactorio … de lo no–alma”. De manera similar, en los casos de emerger después de interpretarlo (13)–(15) como insatisfactorio y (16)–(18) como no–alma.</w:t>
      </w:r>
    </w:p>
    <w:p w14:paraId="758055BC" w14:textId="77777777" w:rsidR="00597DE2" w:rsidRPr="00DC1A5F" w:rsidRDefault="00597DE2" w:rsidP="00597DE2">
      <w:pPr>
        <w:rPr>
          <w:u w:color="000000"/>
        </w:rPr>
      </w:pPr>
      <w:r w:rsidRPr="00DC1A5F">
        <w:t xml:space="preserve">89. </w:t>
      </w:r>
      <w:r w:rsidRPr="00DC1A5F">
        <w:tab/>
        <w:t xml:space="preserve">Y ya sea que ellos hayan interpretado al principio lo impermanente, lo insatisfactorio o lo no–alma, cuando llegue el momento de </w:t>
      </w:r>
      <w:r w:rsidRPr="00DC1A5F">
        <w:rPr>
          <w:i/>
          <w:iCs/>
        </w:rPr>
        <w:t>emerger</w:t>
      </w:r>
      <w:r w:rsidRPr="00DC1A5F">
        <w:t xml:space="preserve">, si este emerger tuviese lugar mientras se contemplase lo impermanente, entonces los 3 meditadores adquirirán la facultad de la fe, ya que poseerán gran resolución; serán liberados mediante la liberación sin–signo y así, se harán </w:t>
      </w:r>
      <w:r w:rsidRPr="00DC1A5F">
        <w:rPr>
          <w:i/>
          <w:iCs/>
        </w:rPr>
        <w:t>devotos mediante la fe</w:t>
      </w:r>
      <w:r w:rsidRPr="00DC1A5F">
        <w:t xml:space="preserve"> en el momento del primer sendero; y en las 7 etapas restantes serán liberados mediante esta fe. [663] Si este emerger se diese de lo insatisfactorio, entonces los 3 meditadores adquirirán la facultad de la concentración, ya que poseerán gran tranquilidad; serán liberados mediante la liberación sin deseos y en los 8 estados se harán </w:t>
      </w:r>
      <w:proofErr w:type="gramStart"/>
      <w:r w:rsidRPr="00DC1A5F">
        <w:t>testigos presenciales</w:t>
      </w:r>
      <w:proofErr w:type="gramEnd"/>
      <w:r w:rsidRPr="00DC1A5F">
        <w:t xml:space="preserve"> de ello. </w:t>
      </w:r>
    </w:p>
    <w:p w14:paraId="57660D6C" w14:textId="77777777" w:rsidR="00597DE2" w:rsidRPr="00DC1A5F" w:rsidRDefault="00597DE2" w:rsidP="00597DE2">
      <w:pPr>
        <w:tabs>
          <w:tab w:val="clear" w:pos="425"/>
        </w:tabs>
        <w:spacing w:after="160"/>
      </w:pPr>
      <w:r w:rsidRPr="00DC1A5F">
        <w:br w:type="page"/>
      </w:r>
    </w:p>
    <w:p w14:paraId="011DD975" w14:textId="77777777" w:rsidR="00597DE2" w:rsidRPr="00DC1A5F" w:rsidRDefault="00597DE2" w:rsidP="00597DE2">
      <w:pPr>
        <w:pStyle w:val="Textoindependiente"/>
      </w:pPr>
      <w:r w:rsidRPr="00DC1A5F">
        <w:rPr>
          <w:u w:color="000000"/>
        </w:rPr>
        <w:lastRenderedPageBreak/>
        <w:t xml:space="preserve">De ellos, el que desarrolle un </w:t>
      </w:r>
      <w:proofErr w:type="spellStart"/>
      <w:r w:rsidRPr="00DC1A5F">
        <w:rPr>
          <w:i/>
          <w:u w:color="000000"/>
        </w:rPr>
        <w:t>jhāna</w:t>
      </w:r>
      <w:proofErr w:type="spellEnd"/>
      <w:r w:rsidRPr="00DC1A5F">
        <w:rPr>
          <w:u w:color="000000"/>
        </w:rPr>
        <w:t xml:space="preserve"> inmaterial como base para su </w:t>
      </w:r>
      <w:r w:rsidRPr="00DC1A5F">
        <w:t>sabiduría–revelativa</w:t>
      </w:r>
      <w:r w:rsidRPr="00DC1A5F">
        <w:rPr>
          <w:u w:color="000000"/>
        </w:rPr>
        <w:t xml:space="preserve"> será, en el caso de la fruición más elevada, liberado en ambos sentidos. Y luego, si el emerger se produjese al contemplar lo no–alma, los 3 meditadores adquirirán la facultad del </w:t>
      </w:r>
      <w:r w:rsidRPr="00DC1A5F">
        <w:t xml:space="preserve">entendimiento ya que habrán desarrollado una gran sabiduría–revelativa; serán liberados mediante la liberación del vacío. Se harán </w:t>
      </w:r>
      <w:r w:rsidRPr="00DC1A5F">
        <w:rPr>
          <w:i/>
          <w:iCs/>
        </w:rPr>
        <w:t>devotos del Dhamma</w:t>
      </w:r>
      <w:r w:rsidRPr="00DC1A5F">
        <w:t xml:space="preserve"> en el momento del primer sendero. En los siguientes 6 casos, se convertirán en aquellos de consumada–visión. En el caso de la fruición suprema, serán liberados mediante el entendimiento.</w:t>
      </w:r>
    </w:p>
    <w:p w14:paraId="712BFC39" w14:textId="77777777" w:rsidR="00597DE2" w:rsidRPr="00DC1A5F" w:rsidRDefault="00597DE2" w:rsidP="00597DE2">
      <w:pPr>
        <w:pStyle w:val="Ttulo3"/>
        <w:ind w:left="708"/>
      </w:pPr>
      <w:r w:rsidRPr="00DC1A5F">
        <w:t>[Los Doce Símiles]</w:t>
      </w:r>
    </w:p>
    <w:p w14:paraId="3F7802AE" w14:textId="77777777" w:rsidR="00597DE2" w:rsidRPr="00DC1A5F" w:rsidRDefault="00597DE2" w:rsidP="00597DE2">
      <w:pPr>
        <w:pStyle w:val="Textoindependiente"/>
      </w:pPr>
      <w:r w:rsidRPr="00DC1A5F">
        <w:t xml:space="preserve">90. </w:t>
      </w:r>
      <w:r w:rsidRPr="00DC1A5F">
        <w:tab/>
        <w:t>Ahora bien, para explicar esta sabiduría–revelativa conducente al emerger y a los tipos de conocimiento que la precedan y la sigan deberá entenderse 12 símiles. Aquí la lista:</w:t>
      </w:r>
    </w:p>
    <w:p w14:paraId="7A0BA8D8" w14:textId="77777777" w:rsidR="00597DE2" w:rsidRPr="00DC1A5F" w:rsidRDefault="00597DE2" w:rsidP="00597DE2">
      <w:pPr>
        <w:pStyle w:val="VersoIngls01Sangria"/>
      </w:pPr>
      <w:r w:rsidRPr="00DC1A5F">
        <w:t xml:space="preserve">(1) el símil del murciélago de frutos, (2) de la serpiente negra  </w:t>
      </w:r>
    </w:p>
    <w:p w14:paraId="2C596C4B" w14:textId="77777777" w:rsidR="00597DE2" w:rsidRPr="00DC1A5F" w:rsidRDefault="00597DE2" w:rsidP="00597DE2">
      <w:pPr>
        <w:pStyle w:val="VersoIngls01Sangria"/>
      </w:pPr>
      <w:r w:rsidRPr="00DC1A5F">
        <w:t xml:space="preserve">(3) de la casa, (4) de los bueyes, (5) del demonio necrófago, </w:t>
      </w:r>
    </w:p>
    <w:p w14:paraId="7D9C3C9A" w14:textId="77777777" w:rsidR="00597DE2" w:rsidRPr="00DC1A5F" w:rsidRDefault="00597DE2" w:rsidP="00597DE2">
      <w:pPr>
        <w:pStyle w:val="VersoIngls01Sangria"/>
      </w:pPr>
      <w:r w:rsidRPr="00DC1A5F">
        <w:t xml:space="preserve">(6) del niño, (7) del hambre, (8) de la </w:t>
      </w:r>
      <w:proofErr w:type="gramStart"/>
      <w:r w:rsidRPr="00DC1A5F">
        <w:t>sed,  (</w:t>
      </w:r>
      <w:proofErr w:type="gramEnd"/>
      <w:r w:rsidRPr="00DC1A5F">
        <w:t xml:space="preserve">9) del frío, (10) del calor,  </w:t>
      </w:r>
    </w:p>
    <w:p w14:paraId="6DCDEB76" w14:textId="77777777" w:rsidR="00597DE2" w:rsidRPr="00DC1A5F" w:rsidRDefault="00597DE2" w:rsidP="00597DE2">
      <w:pPr>
        <w:pStyle w:val="VersoIngls01Sangria"/>
        <w:spacing w:after="100"/>
        <w:ind w:left="1418"/>
      </w:pPr>
      <w:r w:rsidRPr="00DC1A5F">
        <w:t>(11) de la oscuridad, y también (12) del veneno.</w:t>
      </w:r>
    </w:p>
    <w:p w14:paraId="0FCEF01A" w14:textId="77777777" w:rsidR="00597DE2" w:rsidRPr="00DC1A5F" w:rsidRDefault="00597DE2" w:rsidP="00597DE2">
      <w:pPr>
        <w:pStyle w:val="NormalConSangria"/>
        <w:rPr>
          <w:vertAlign w:val="superscript"/>
        </w:rPr>
      </w:pPr>
      <w:r w:rsidRPr="00DC1A5F">
        <w:t>Se puede hacer una pausa para traer estos símiles a cualquier tipo de conocimiento, desde la apariencia de terror hacia adelante. No obstante, si son expuestos aquí, entonces todo se hará claro desde la apariencia de terror hasta el conocimiento de la fruición, razón por la cual se dijo que deberían ser expuestos aquí.</w:t>
      </w:r>
      <w:r w:rsidRPr="00DC1A5F">
        <w:rPr>
          <w:vertAlign w:val="superscript"/>
        </w:rPr>
        <w:t>38</w:t>
      </w:r>
    </w:p>
    <w:p w14:paraId="10DDCE05" w14:textId="77777777" w:rsidR="00597DE2" w:rsidRPr="00DC1A5F" w:rsidRDefault="00597DE2" w:rsidP="00597DE2">
      <w:r w:rsidRPr="00DC1A5F">
        <w:t xml:space="preserve">91. </w:t>
      </w:r>
      <w:r w:rsidRPr="00DC1A5F">
        <w:tab/>
        <w:t xml:space="preserve">1. </w:t>
      </w:r>
      <w:r w:rsidRPr="00DC1A5F">
        <w:rPr>
          <w:i/>
          <w:iCs/>
        </w:rPr>
        <w:t>El símil del murciélago de frutos</w:t>
      </w:r>
      <w:r w:rsidRPr="00DC1A5F">
        <w:t>. Al parecer, existía un murciélago de frutos. Se había posado en un árbol de miel (</w:t>
      </w:r>
      <w:proofErr w:type="spellStart"/>
      <w:r w:rsidRPr="00DC1A5F">
        <w:rPr>
          <w:i/>
          <w:iCs/>
        </w:rPr>
        <w:t>madhuka</w:t>
      </w:r>
      <w:proofErr w:type="spellEnd"/>
      <w:r w:rsidRPr="00DC1A5F">
        <w:t>) de cinco ramas, pensando: “Aquí encontraré flores o frutos”. Investigó una rama pero no vio flores ni frutos que valiesen la pena tomar. Y como con la primera rama, probó también con la segunda, la tercera, la cuarta y la quinta, pero no encontró nada. Éste pensó: “Este árbol es estéril; no hay nada que valga la pena tomar de aquí”, por lo que perdió interés en dicho árbol. Se subió a una rama recta y, asomando la cabeza por un hueco en el follaje, miró hacia arriba, voló hacia los aires y se posó en otro árbol.</w:t>
      </w:r>
    </w:p>
    <w:p w14:paraId="28354E9D" w14:textId="77777777" w:rsidR="00597DE2" w:rsidRPr="00DC1A5F" w:rsidRDefault="00597DE2" w:rsidP="00597DE2">
      <w:r w:rsidRPr="00DC1A5F">
        <w:t xml:space="preserve">92. </w:t>
      </w:r>
      <w:r w:rsidRPr="00DC1A5F">
        <w:tab/>
        <w:t xml:space="preserve">Aquí, el meditador debe ser considerado como un </w:t>
      </w:r>
      <w:r w:rsidRPr="00DC1A5F">
        <w:rPr>
          <w:i/>
          <w:iCs/>
        </w:rPr>
        <w:t>murciélago de frutos</w:t>
      </w:r>
      <w:r w:rsidRPr="00DC1A5F">
        <w:t xml:space="preserve">. Los 5 agregados como objetos del apego serán como el árbol de miel de cinco ramas. La interpretación del meditador de los 5 agregados será como el murciélago de frutos que se posó en el árbol. </w:t>
      </w:r>
      <w:r w:rsidRPr="00DC1A5F">
        <w:rPr>
          <w:u w:color="000000"/>
        </w:rPr>
        <w:t>Su comprensión del agregado de la materialidad, al no ver nada allí que valga la pena tomar, su comprensión de los agregados restantes, todo ello, será como el murciélago probando encontrar algo en cada rama y al no encontrar nada que valga la pena, procederá a la continuación de su búsqueda, probando con el resto de las ramas.</w:t>
      </w:r>
      <w:r w:rsidRPr="00DC1A5F">
        <w:t xml:space="preserve"> Su triple conocimiento, que comienza con el deseo de la liberación, después de que se haya vuelto desapasionado hacia los cinco agregados, [664] al apreciar la característica de la impermanencia, etc., serán como el murciélago, pensando: “Este árbol es estéril; no hay nada que valga la pena aquí” y parecida a la pérdida de su interés. Su conocimiento de la conformidad será como el murciélago trepando por la rama. Su conocimiento del cambio de linaje será como el murciélago sacando la cabeza y mirando hacia arriba. Su conocimiento del sendero será como si el murciélago volara hacia los aires. Su conocimiento de la fruición será como el murciélago posándose en un nuevo árbol.</w:t>
      </w:r>
    </w:p>
    <w:p w14:paraId="2015AAB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A43D5FF" w14:textId="77777777" w:rsidR="00597DE2" w:rsidRPr="00DC1A5F" w:rsidRDefault="00597DE2" w:rsidP="00597DE2">
      <w:pPr>
        <w:pStyle w:val="PiedepginaLegal"/>
        <w:numPr>
          <w:ilvl w:val="0"/>
          <w:numId w:val="10"/>
        </w:numPr>
        <w:tabs>
          <w:tab w:val="clear" w:pos="425"/>
          <w:tab w:val="left" w:pos="284"/>
        </w:tabs>
        <w:ind w:left="284" w:hanging="284"/>
      </w:pPr>
      <w:r w:rsidRPr="00DC1A5F">
        <w:t>“Mencionado en el Discurso sobre la Purificación (</w:t>
      </w:r>
      <w:proofErr w:type="spellStart"/>
      <w:r w:rsidRPr="00DC1A5F">
        <w:rPr>
          <w:i/>
          <w:iCs/>
        </w:rPr>
        <w:t>visuddhi</w:t>
      </w:r>
      <w:proofErr w:type="spellEnd"/>
      <w:r w:rsidRPr="00DC1A5F">
        <w:rPr>
          <w:i/>
          <w:iCs/>
        </w:rPr>
        <w:t>–</w:t>
      </w:r>
      <w:proofErr w:type="spellStart"/>
      <w:r w:rsidRPr="00DC1A5F">
        <w:rPr>
          <w:i/>
          <w:iCs/>
        </w:rPr>
        <w:t>kathā</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855). Véase XX.77.</w:t>
      </w:r>
    </w:p>
    <w:p w14:paraId="17758077" w14:textId="77777777" w:rsidR="00597DE2" w:rsidRPr="00DC1A5F" w:rsidRDefault="00597DE2" w:rsidP="00597DE2">
      <w:pPr>
        <w:tabs>
          <w:tab w:val="clear" w:pos="425"/>
        </w:tabs>
        <w:spacing w:after="160"/>
      </w:pPr>
      <w:r w:rsidRPr="00DC1A5F">
        <w:br w:type="page"/>
      </w:r>
    </w:p>
    <w:p w14:paraId="11CE0D34" w14:textId="77777777" w:rsidR="00597DE2" w:rsidRPr="00DC1A5F" w:rsidRDefault="00597DE2" w:rsidP="00597DE2">
      <w:r w:rsidRPr="00DC1A5F">
        <w:lastRenderedPageBreak/>
        <w:t xml:space="preserve">93. </w:t>
      </w:r>
      <w:r w:rsidRPr="00DC1A5F">
        <w:tab/>
        <w:t xml:space="preserve">2. </w:t>
      </w:r>
      <w:r w:rsidRPr="00DC1A5F">
        <w:rPr>
          <w:i/>
          <w:iCs/>
        </w:rPr>
        <w:t>De</w:t>
      </w:r>
      <w:r w:rsidRPr="00DC1A5F">
        <w:t xml:space="preserve"> </w:t>
      </w:r>
      <w:r w:rsidRPr="00DC1A5F">
        <w:rPr>
          <w:i/>
          <w:iCs/>
        </w:rPr>
        <w:t>la serpiente negra</w:t>
      </w:r>
      <w:r w:rsidRPr="00DC1A5F">
        <w:t>. Este símil ya se ha expuesto (§49). No obstante, la aplicación del símil aquí es ésta. El conocimiento del cambio de linaje será como tirar una serpiente. El conocimiento del sendero, como el hombre que se parase y mirase hacia atrás, desde donde había provenido, después de liberarse de ella. El conocimiento de la fruición será como estar de pie en un lugar libre de miedo, después de haber escapado. Ésta es la diferencia.</w:t>
      </w:r>
    </w:p>
    <w:p w14:paraId="28DD51AB" w14:textId="77777777" w:rsidR="00597DE2" w:rsidRPr="00DC1A5F" w:rsidRDefault="00597DE2" w:rsidP="00597DE2">
      <w:r w:rsidRPr="00DC1A5F">
        <w:t xml:space="preserve">94. </w:t>
      </w:r>
      <w:r w:rsidRPr="00DC1A5F">
        <w:tab/>
        <w:t xml:space="preserve">3. </w:t>
      </w:r>
      <w:r w:rsidRPr="00DC1A5F">
        <w:rPr>
          <w:i/>
          <w:iCs/>
        </w:rPr>
        <w:t>De la Casa.</w:t>
      </w:r>
      <w:r w:rsidRPr="00DC1A5F">
        <w:t xml:space="preserve"> El dueño de una casa, al parecer, comió por la noche, se metió a su cama y se durmió. La casa se incendió. Cuando despertó y vio el fuego, se asustó. Pensó: “Sería bueno si pudiera escapar de aquí sin quemarme”. Mirando a su alrededor, vio una salida. Al salir, huyó rápidamente hacia un lugar seguro y permaneció allí.</w:t>
      </w:r>
    </w:p>
    <w:p w14:paraId="4D92D56D" w14:textId="77777777" w:rsidR="00597DE2" w:rsidRPr="00DC1A5F" w:rsidRDefault="00597DE2" w:rsidP="00597DE2">
      <w:r w:rsidRPr="00DC1A5F">
        <w:t xml:space="preserve">95. </w:t>
      </w:r>
      <w:r w:rsidRPr="00DC1A5F">
        <w:tab/>
        <w:t xml:space="preserve">Aquí, el hombre necio y ordinario que adopte los cinco agregados como un “yo” o un “mío”, será como el dueño de la casa que se quede dormido después de haber comido y haberse acostado en la cama. El conocimiento de la apariencia de terror, después de entrar en el sendero correcto y apreciar las tres características, será como el momento en que el hombre se asuste al despertar y ver el fuego. El conocimiento del deseo de la liberación será como el hombre que busque </w:t>
      </w:r>
      <w:proofErr w:type="gramStart"/>
      <w:r w:rsidRPr="00DC1A5F">
        <w:t>una escape</w:t>
      </w:r>
      <w:proofErr w:type="gramEnd"/>
      <w:r w:rsidRPr="00DC1A5F">
        <w:t>. El conocimiento de la conformidad será como el hombre encontrado este escape. El cambio de linaje será como si el hombre escapara rápidamente. El conocimiento de la fruición será como permanecer en un lugar seguro.</w:t>
      </w:r>
    </w:p>
    <w:p w14:paraId="15129B4E" w14:textId="77777777" w:rsidR="00597DE2" w:rsidRPr="00DC1A5F" w:rsidRDefault="00597DE2" w:rsidP="00597DE2">
      <w:r w:rsidRPr="00DC1A5F">
        <w:t xml:space="preserve">96. </w:t>
      </w:r>
      <w:r w:rsidRPr="00DC1A5F">
        <w:tab/>
        <w:t xml:space="preserve">4. </w:t>
      </w:r>
      <w:r w:rsidRPr="00DC1A5F">
        <w:rPr>
          <w:i/>
          <w:iCs/>
        </w:rPr>
        <w:t>De los bueyes</w:t>
      </w:r>
      <w:r w:rsidRPr="00DC1A5F">
        <w:t>. Una noche, al parecer, mientras un granjero dormía, sus bueyes salieron del establo y se escaparon. Cuando acudió al lugar, al amanecer, y miró hacia adentro, encontró que ellos se habían escapado. Yendo a buscarlos, vio los bueyes de un rey. Entonces pensó que eran suyos y los hizo regresar. Cuando amaneció, reconoció que no eran los suyos, sino los bueyes del rey. Se sintió asustado. Pensando: “Escaparé antes de que los hombres del rey me atrapen como un ladrón, me arruinen y me destruyan”, abandonó los bueyes. Escapando rápidamente, se detuvo en un lugar libre de miedo.</w:t>
      </w:r>
    </w:p>
    <w:p w14:paraId="05DCB79C" w14:textId="77777777" w:rsidR="00597DE2" w:rsidRPr="00DC1A5F" w:rsidRDefault="00597DE2" w:rsidP="00597DE2">
      <w:r w:rsidRPr="00DC1A5F">
        <w:t xml:space="preserve">97. </w:t>
      </w:r>
      <w:r w:rsidRPr="00DC1A5F">
        <w:tab/>
        <w:t>Aquí, el hombre necio y ordinario que adopte los 5 agregados como un “yo” o un “mío” será como si el hombre tomara los bueyes del rey. El hecho de que el meditador reconozca los 5 agregados como impermanentes, insatisfactorios y no–alma, por medio de las 3 características, será como si el hombre reconociera los bueyes como los del rey cuando haya amanecido. El conocimiento de la apariencia de terror será como el momento en que el hombre se sienta asustado. El deseo de la liberación será como el deseo del hombre de abandonarlos y escapar. El cambio de linaje será como el escape de este hombre. El sendero será como su escape. La fruición será como si el hombre encontrara un lugar seguro y sin miedo, después de haber escapado. [665]</w:t>
      </w:r>
    </w:p>
    <w:p w14:paraId="7F7C9EF4" w14:textId="77777777" w:rsidR="00597DE2" w:rsidRPr="00DC1A5F" w:rsidRDefault="00597DE2" w:rsidP="00597DE2">
      <w:r w:rsidRPr="00DC1A5F">
        <w:t xml:space="preserve">98. </w:t>
      </w:r>
      <w:r w:rsidRPr="00DC1A5F">
        <w:tab/>
        <w:t xml:space="preserve">5. </w:t>
      </w:r>
      <w:r w:rsidRPr="00DC1A5F">
        <w:rPr>
          <w:i/>
          <w:iCs/>
        </w:rPr>
        <w:t>Del necrófago</w:t>
      </w:r>
      <w:r w:rsidRPr="00DC1A5F">
        <w:t xml:space="preserve">. Al parecer, un hombre se fue a vivir con una </w:t>
      </w:r>
      <w:proofErr w:type="gramStart"/>
      <w:r w:rsidRPr="00DC1A5F">
        <w:t>demonio necrófaga</w:t>
      </w:r>
      <w:proofErr w:type="gramEnd"/>
      <w:r w:rsidRPr="00DC1A5F">
        <w:t>. Por la noche, creyendo que estaba dormido, fue al lugar donde estaban expuestos los muertos y comenzó a comer carne humana. Él se preguntó hacia dónde había ido su compañera y la siguió. Cuando la vio comer carne humana, supo que no era un ser humano. Se sintió asustado y pensó: “Escaparé antes de que me coma”. Huyendo rápidamente, llegó a un lugar seguro y permaneció allí.</w:t>
      </w:r>
    </w:p>
    <w:p w14:paraId="6AEAFB30" w14:textId="77777777" w:rsidR="00597DE2" w:rsidRPr="00DC1A5F" w:rsidRDefault="00597DE2" w:rsidP="00597DE2">
      <w:r w:rsidRPr="00DC1A5F">
        <w:t xml:space="preserve">99. </w:t>
      </w:r>
      <w:r w:rsidRPr="00DC1A5F">
        <w:tab/>
        <w:t xml:space="preserve">Aquí, adoptar los agregados como un “yo” y un “mío” será como el hombre viviendo con la </w:t>
      </w:r>
      <w:proofErr w:type="gramStart"/>
      <w:r w:rsidRPr="00DC1A5F">
        <w:t>demonio necrófaga</w:t>
      </w:r>
      <w:proofErr w:type="gramEnd"/>
      <w:r w:rsidRPr="00DC1A5F">
        <w:t xml:space="preserve">. Reconocer los agregados como impermanentes, etc., al apreciar las tres características será como el hombre en el momento de reconocer </w:t>
      </w:r>
      <w:proofErr w:type="gramStart"/>
      <w:r w:rsidRPr="00DC1A5F">
        <w:t>a la demonio</w:t>
      </w:r>
      <w:proofErr w:type="gramEnd"/>
      <w:r w:rsidRPr="00DC1A5F">
        <w:t xml:space="preserve"> viendo comer carne humana en el cementerio. La apariencia de terror será como el momento en el que el </w:t>
      </w:r>
      <w:r w:rsidRPr="00DC1A5F">
        <w:br w:type="page"/>
      </w:r>
    </w:p>
    <w:p w14:paraId="53B346B7" w14:textId="77777777" w:rsidR="00597DE2" w:rsidRPr="00DC1A5F" w:rsidRDefault="00597DE2" w:rsidP="00597DE2">
      <w:pPr>
        <w:pStyle w:val="Textoindependiente"/>
      </w:pPr>
      <w:r w:rsidRPr="00DC1A5F">
        <w:lastRenderedPageBreak/>
        <w:t>hombre se sintió asustado. El deseo de la liberación será como su deseo por escapar. El cambio de linaje será como huir del lugar de los muertos. El sendero será como su veloz escape. La fruición será como encontrarse en un lugar sin ningún temor.</w:t>
      </w:r>
    </w:p>
    <w:p w14:paraId="1FACB213" w14:textId="77777777" w:rsidR="00597DE2" w:rsidRPr="00DC1A5F" w:rsidRDefault="00597DE2" w:rsidP="00597DE2">
      <w:r w:rsidRPr="00DC1A5F">
        <w:t xml:space="preserve">100. </w:t>
      </w:r>
      <w:r w:rsidRPr="00DC1A5F">
        <w:tab/>
        <w:t>6</w:t>
      </w:r>
      <w:r w:rsidRPr="00DC1A5F">
        <w:rPr>
          <w:i/>
          <w:iCs/>
        </w:rPr>
        <w:t>. Del Niño</w:t>
      </w:r>
      <w:r w:rsidRPr="00DC1A5F">
        <w:t>. Al parecer, una mujer quería mucho a su hijo. Mientras estaba sentada en un piso superior, escuchó el sonido de un niño en la calle. Preguntándose: “¿Alguien está lastimando a mi hijo?”, Se apresuró a bajar. Confundiendo al niño con su propio hijo, tomó al hijo de otra persona. Luego reconoció que el hijo era de otra persona y se avergonzó, entonces miró a su alrededor y pensó: “Que nadie diga que soy una ladrona de bebés”. bajó al niño allí mismo y rápidamente regresó al piso superior y se sentó.</w:t>
      </w:r>
    </w:p>
    <w:p w14:paraId="3F384357" w14:textId="77777777" w:rsidR="00597DE2" w:rsidRPr="00DC1A5F" w:rsidRDefault="00597DE2" w:rsidP="00597DE2">
      <w:r w:rsidRPr="00DC1A5F">
        <w:t xml:space="preserve">101. </w:t>
      </w:r>
      <w:r w:rsidRPr="00DC1A5F">
        <w:tab/>
        <w:t>Aquí, adoptar los 5 agregados como un “yo” o un “mío” será como la mujer al confundir el hijo de otra persona con el suyo. El reconocimiento de que “Esto no soy yo, esto no es mío” por medio de las 3 características, será como ella al reconocer que el hijo era de otra persona. El conocimiento del deseo de la liberación será como ella al mirar a su alrededor. El conocimiento de la conformidad será como ella dejando al niño ahí mismo. El cambio de linaje será como el momento en que la mujer se parase en la calle después de dejar al niño en el piso. El sendero será como el regreso de la mujer al piso superior. La fruición será como la mujer al sentarse, después de haber regresado a su piso.</w:t>
      </w:r>
    </w:p>
    <w:p w14:paraId="6C7C4289" w14:textId="77777777" w:rsidR="00597DE2" w:rsidRPr="00DC1A5F" w:rsidRDefault="00597DE2" w:rsidP="00597DE2">
      <w:r w:rsidRPr="00DC1A5F">
        <w:t xml:space="preserve">102. </w:t>
      </w:r>
      <w:r w:rsidRPr="00DC1A5F">
        <w:tab/>
      </w:r>
      <w:r w:rsidRPr="00DC1A5F">
        <w:rPr>
          <w:i/>
          <w:iCs/>
        </w:rPr>
        <w:t>7–12</w:t>
      </w:r>
      <w:r w:rsidRPr="00DC1A5F">
        <w:t xml:space="preserve">. </w:t>
      </w:r>
      <w:r w:rsidRPr="00DC1A5F">
        <w:rPr>
          <w:i/>
          <w:iCs/>
        </w:rPr>
        <w:t>El símil del Hambre, de la Sed, del Frío, del Calor, de la Oscuridad y del Veneno</w:t>
      </w:r>
      <w:r w:rsidRPr="00DC1A5F">
        <w:t>. Estos seis símiles, sin embargo, se dan con el propósito de exponer que aquel que desarrolle la sabiduría–revelativa conducente hacia el emerger tenderá, se inclinará y se dirigirá en la dirección de los estados supramundanos.</w:t>
      </w:r>
    </w:p>
    <w:p w14:paraId="76116B1E" w14:textId="77777777" w:rsidR="00597DE2" w:rsidRPr="00DC1A5F" w:rsidRDefault="00597DE2" w:rsidP="00597DE2">
      <w:r w:rsidRPr="00DC1A5F">
        <w:t xml:space="preserve">103. </w:t>
      </w:r>
      <w:r w:rsidRPr="00DC1A5F">
        <w:tab/>
      </w:r>
      <w:r w:rsidRPr="00DC1A5F">
        <w:rPr>
          <w:i/>
          <w:iCs/>
        </w:rPr>
        <w:t>7</w:t>
      </w:r>
      <w:r w:rsidRPr="00DC1A5F">
        <w:t>. Así como un hombre que se desmayase de hambre y, hambriento, anhelase una comida sabrosa, así también, el meditador hambriento con el hambre del ciclo de renacimientos anhelará el alimento consistente de la atención plena orientada hacia el cuerpo, el cual poseerá el sabor de la inmortalidad.</w:t>
      </w:r>
    </w:p>
    <w:p w14:paraId="154746BA" w14:textId="77777777" w:rsidR="00597DE2" w:rsidRPr="00DC1A5F" w:rsidRDefault="00597DE2" w:rsidP="00597DE2">
      <w:r w:rsidRPr="00DC1A5F">
        <w:t xml:space="preserve">104. </w:t>
      </w:r>
      <w:r w:rsidRPr="00DC1A5F">
        <w:tab/>
      </w:r>
      <w:r w:rsidRPr="00DC1A5F">
        <w:rPr>
          <w:i/>
          <w:iCs/>
        </w:rPr>
        <w:t>8.</w:t>
      </w:r>
      <w:r w:rsidRPr="00DC1A5F">
        <w:t xml:space="preserve"> Así como un hombre sediento, cuya garganta y boca estén resecas, anhelaría una bebida con muchos ingredientes, así también este meditador [666], reseco con la sed del ciclo de renacimientos anhelará el noble brebaje del Noble Óctuple </w:t>
      </w:r>
      <w:proofErr w:type="gramStart"/>
      <w:r w:rsidRPr="00DC1A5F">
        <w:t>Sendero .</w:t>
      </w:r>
      <w:proofErr w:type="gramEnd"/>
    </w:p>
    <w:p w14:paraId="6A71058A" w14:textId="77777777" w:rsidR="00597DE2" w:rsidRPr="00DC1A5F" w:rsidRDefault="00597DE2" w:rsidP="00597DE2">
      <w:r w:rsidRPr="00DC1A5F">
        <w:t xml:space="preserve">105. </w:t>
      </w:r>
      <w:r w:rsidRPr="00DC1A5F">
        <w:tab/>
      </w:r>
      <w:r w:rsidRPr="00DC1A5F">
        <w:rPr>
          <w:i/>
          <w:iCs/>
        </w:rPr>
        <w:t>9</w:t>
      </w:r>
      <w:r w:rsidRPr="00DC1A5F">
        <w:t xml:space="preserve">. Así como un hombre congelado por el frío anhelaría calor, así también este meditador congelado con el frío del deseo y el afecto egocéntrico hacia el ciclo de </w:t>
      </w:r>
      <w:proofErr w:type="gramStart"/>
      <w:r w:rsidRPr="00DC1A5F">
        <w:t>renacimientos,</w:t>
      </w:r>
      <w:proofErr w:type="gramEnd"/>
      <w:r w:rsidRPr="00DC1A5F">
        <w:t xml:space="preserve"> anhelará el fuego del sendero que queme las impurezas.</w:t>
      </w:r>
    </w:p>
    <w:p w14:paraId="0CEE7346" w14:textId="77777777" w:rsidR="00597DE2" w:rsidRPr="00DC1A5F" w:rsidRDefault="00597DE2" w:rsidP="00597DE2">
      <w:r w:rsidRPr="00DC1A5F">
        <w:t xml:space="preserve">106. </w:t>
      </w:r>
      <w:r w:rsidRPr="00DC1A5F">
        <w:tab/>
      </w:r>
      <w:r w:rsidRPr="00DC1A5F">
        <w:rPr>
          <w:i/>
          <w:iCs/>
        </w:rPr>
        <w:t>10</w:t>
      </w:r>
      <w:r w:rsidRPr="00DC1A5F">
        <w:t xml:space="preserve">. Así como un hombre que se desmayase por el calor anhelaría algo de frescor, así también este meditador quemado con el calor de los 11 fuegos (ver S IV 19) del ciclo de renacimientos anhelará el </w:t>
      </w:r>
      <w:r w:rsidRPr="00DC1A5F">
        <w:rPr>
          <w:i/>
          <w:iCs/>
        </w:rPr>
        <w:t>Nibbāna</w:t>
      </w:r>
      <w:r w:rsidRPr="00DC1A5F">
        <w:t>.</w:t>
      </w:r>
    </w:p>
    <w:p w14:paraId="32C90CBD" w14:textId="77777777" w:rsidR="00597DE2" w:rsidRPr="00DC1A5F" w:rsidRDefault="00597DE2" w:rsidP="00597DE2">
      <w:pPr>
        <w:pStyle w:val="Textoindependiente"/>
      </w:pPr>
      <w:r w:rsidRPr="00DC1A5F">
        <w:t xml:space="preserve">107. </w:t>
      </w:r>
      <w:r w:rsidRPr="00DC1A5F">
        <w:tab/>
      </w:r>
      <w:r w:rsidRPr="00DC1A5F">
        <w:rPr>
          <w:i/>
          <w:iCs/>
        </w:rPr>
        <w:t>11</w:t>
      </w:r>
      <w:r w:rsidRPr="00DC1A5F">
        <w:t>. Así como un hombre cegado por la oscuridad anhelaría un poco de luz, así también este meditador, envuelto y rodeado por la oscuridad de la ignorancia, anhelará la luz del conocimiento consistente del desarrollo del sendero.</w:t>
      </w:r>
    </w:p>
    <w:p w14:paraId="65FA6D00" w14:textId="77777777" w:rsidR="00597DE2" w:rsidRPr="00DC1A5F" w:rsidRDefault="00597DE2" w:rsidP="00597DE2">
      <w:r w:rsidRPr="00DC1A5F">
        <w:t xml:space="preserve">108. </w:t>
      </w:r>
      <w:r w:rsidRPr="00DC1A5F">
        <w:tab/>
      </w:r>
      <w:r w:rsidRPr="00DC1A5F">
        <w:rPr>
          <w:i/>
          <w:iCs/>
        </w:rPr>
        <w:t>12</w:t>
      </w:r>
      <w:r w:rsidRPr="00DC1A5F">
        <w:t xml:space="preserve">. Así como un hombre enfermo por un veneno anhelaría su antídoto, así también este meditador enfermo con el veneno de las contaminaciones anhelará el </w:t>
      </w:r>
      <w:r w:rsidRPr="00DC1A5F">
        <w:rPr>
          <w:i/>
          <w:iCs/>
        </w:rPr>
        <w:t>Nibbāna</w:t>
      </w:r>
      <w:r w:rsidRPr="00DC1A5F">
        <w:t>, la medicina inmortal que destruirá el veneno de las contaminaciones.</w:t>
      </w:r>
    </w:p>
    <w:p w14:paraId="533477A2" w14:textId="77777777" w:rsidR="00597DE2" w:rsidRPr="00DC1A5F" w:rsidRDefault="00597DE2" w:rsidP="00597DE2">
      <w:r w:rsidRPr="00DC1A5F">
        <w:t xml:space="preserve">109. </w:t>
      </w:r>
      <w:r w:rsidRPr="00DC1A5F">
        <w:tab/>
        <w:t xml:space="preserve">Por eso se dijo anteriormente: “Cuando él conozca y observe así, su corazón retrocederá, se retraerá y se inhibirá ante las 3 clases de devenir, las 4 clases de generación, las 5 clases de destino, las 7 estaciones de la consciencia y los 9 planos </w:t>
      </w:r>
      <w:proofErr w:type="gramStart"/>
      <w:r w:rsidRPr="00DC1A5F">
        <w:t>existenciales ;</w:t>
      </w:r>
      <w:proofErr w:type="gramEnd"/>
      <w:r w:rsidRPr="00DC1A5F">
        <w:t xml:space="preserve"> su corazón ya no </w:t>
      </w:r>
      <w:r w:rsidRPr="00DC1A5F">
        <w:br w:type="page"/>
      </w:r>
    </w:p>
    <w:p w14:paraId="1EDE6B81" w14:textId="77777777" w:rsidR="00597DE2" w:rsidRPr="00DC1A5F" w:rsidRDefault="00597DE2" w:rsidP="00597DE2">
      <w:pPr>
        <w:pStyle w:val="Textoindependiente"/>
      </w:pPr>
      <w:r w:rsidRPr="00DC1A5F">
        <w:lastRenderedPageBreak/>
        <w:t>Procurará por ellos. Así como las gotas de agua retroceden, se retraen y se inhiben sobre una hoja de loto que se incline un poco…” (§63), lo cual deberá adoptarse plenamente en la forma ya indicada.</w:t>
      </w:r>
    </w:p>
    <w:p w14:paraId="55CEEBAF" w14:textId="77777777" w:rsidR="00597DE2" w:rsidRPr="00DC1A5F" w:rsidRDefault="00597DE2" w:rsidP="00597DE2">
      <w:pPr>
        <w:pStyle w:val="Textoindependiente"/>
      </w:pPr>
      <w:r w:rsidRPr="00DC1A5F">
        <w:t xml:space="preserve">110. </w:t>
      </w:r>
      <w:r w:rsidRPr="00DC1A5F">
        <w:tab/>
        <w:t>No obstante, en este punto, a él se le llamará “el que camina apartado”, con referencia a quien se dice:</w:t>
      </w:r>
    </w:p>
    <w:p w14:paraId="7E347EC6" w14:textId="77777777" w:rsidR="00597DE2" w:rsidRPr="00DC1A5F" w:rsidRDefault="00597DE2" w:rsidP="00597DE2">
      <w:pPr>
        <w:pStyle w:val="VersoIngls01Sangria"/>
        <w:rPr>
          <w:sz w:val="16"/>
          <w:szCs w:val="20"/>
        </w:rPr>
      </w:pPr>
      <w:r w:rsidRPr="00DC1A5F">
        <w:rPr>
          <w:sz w:val="16"/>
          <w:szCs w:val="20"/>
        </w:rPr>
        <w:t xml:space="preserve">“Cuando un </w:t>
      </w:r>
      <w:proofErr w:type="spellStart"/>
      <w:r w:rsidRPr="00DC1A5F">
        <w:rPr>
          <w:i/>
          <w:sz w:val="16"/>
          <w:szCs w:val="20"/>
        </w:rPr>
        <w:t>bhikkhu</w:t>
      </w:r>
      <w:proofErr w:type="spellEnd"/>
      <w:r w:rsidRPr="00DC1A5F">
        <w:rPr>
          <w:sz w:val="16"/>
          <w:szCs w:val="20"/>
        </w:rPr>
        <w:t xml:space="preserve"> se mantenga apartado</w:t>
      </w:r>
    </w:p>
    <w:p w14:paraId="3EF068D7" w14:textId="77777777" w:rsidR="00597DE2" w:rsidRPr="00DC1A5F" w:rsidRDefault="00597DE2" w:rsidP="00597DE2">
      <w:pPr>
        <w:pStyle w:val="VersoIngls01Sangria"/>
        <w:rPr>
          <w:sz w:val="16"/>
          <w:szCs w:val="20"/>
        </w:rPr>
      </w:pPr>
      <w:r w:rsidRPr="00DC1A5F">
        <w:rPr>
          <w:sz w:val="16"/>
          <w:szCs w:val="20"/>
        </w:rPr>
        <w:t>y cultive la reclusión mental,</w:t>
      </w:r>
    </w:p>
    <w:p w14:paraId="27F2E423" w14:textId="77777777" w:rsidR="00597DE2" w:rsidRPr="00DC1A5F" w:rsidRDefault="00597DE2" w:rsidP="00597DE2">
      <w:pPr>
        <w:pStyle w:val="VersoIngls01Sangria"/>
        <w:rPr>
          <w:sz w:val="16"/>
          <w:szCs w:val="20"/>
        </w:rPr>
      </w:pPr>
      <w:r w:rsidRPr="00DC1A5F">
        <w:rPr>
          <w:sz w:val="16"/>
          <w:szCs w:val="20"/>
        </w:rPr>
        <w:t>Le convendrá, como dicen,</w:t>
      </w:r>
    </w:p>
    <w:p w14:paraId="2C26D900" w14:textId="77777777" w:rsidR="00597DE2" w:rsidRPr="00DC1A5F" w:rsidRDefault="00597DE2" w:rsidP="00597DE2">
      <w:pPr>
        <w:pStyle w:val="VersoIngls01Sangria"/>
        <w:spacing w:after="100"/>
        <w:ind w:left="1418"/>
        <w:rPr>
          <w:sz w:val="16"/>
          <w:szCs w:val="20"/>
        </w:rPr>
      </w:pPr>
      <w:r w:rsidRPr="00DC1A5F">
        <w:rPr>
          <w:sz w:val="16"/>
          <w:szCs w:val="20"/>
        </w:rPr>
        <w:t>No exponerse más en ese devenir” (Sn 810).</w:t>
      </w:r>
    </w:p>
    <w:p w14:paraId="695F9702" w14:textId="77777777" w:rsidR="00597DE2" w:rsidRPr="00DC1A5F" w:rsidRDefault="00597DE2" w:rsidP="00597DE2">
      <w:pPr>
        <w:pStyle w:val="Ttulo3"/>
        <w:ind w:left="708"/>
      </w:pPr>
      <w:r w:rsidRPr="00DC1A5F">
        <w:t>[La Diferencia entre los Factores del Noble Sendero, etc.]</w:t>
      </w:r>
    </w:p>
    <w:p w14:paraId="133128E8" w14:textId="77777777" w:rsidR="00597DE2" w:rsidRPr="00DC1A5F" w:rsidRDefault="00597DE2" w:rsidP="00597DE2">
      <w:r w:rsidRPr="00DC1A5F">
        <w:t xml:space="preserve">111. </w:t>
      </w:r>
      <w:r w:rsidRPr="00DC1A5F">
        <w:tab/>
        <w:t xml:space="preserve">Este conocimiento de la ecuanimidad acerca de las formaciones gobernará el hecho de que el meditador se mantenga apartado. Además, regirá la diferencia entre el número de factores de la iluminación, los factores del sendero y los factores </w:t>
      </w:r>
      <w:proofErr w:type="spellStart"/>
      <w:r w:rsidRPr="00DC1A5F">
        <w:rPr>
          <w:i/>
        </w:rPr>
        <w:t>jhānicos</w:t>
      </w:r>
      <w:proofErr w:type="spellEnd"/>
      <w:r w:rsidRPr="00DC1A5F">
        <w:t xml:space="preserve"> del noble sendero, el modo de progreso y el tipo de liberación. Ya que, mientras algunos Venerables dicen que es el </w:t>
      </w:r>
      <w:proofErr w:type="spellStart"/>
      <w:r w:rsidRPr="00DC1A5F">
        <w:rPr>
          <w:i/>
        </w:rPr>
        <w:t>jhāna</w:t>
      </w:r>
      <w:proofErr w:type="spellEnd"/>
      <w:r w:rsidRPr="00DC1A5F">
        <w:t xml:space="preserve"> utilizado como base para la sabiduría–revelativa conducente al emerger, lo que gobernará la diferencia en el número de factores de la iluminación, de factores de sendero y de factores </w:t>
      </w:r>
      <w:proofErr w:type="spellStart"/>
      <w:r w:rsidRPr="00DC1A5F">
        <w:rPr>
          <w:i/>
        </w:rPr>
        <w:t>jhānicos</w:t>
      </w:r>
      <w:proofErr w:type="spellEnd"/>
      <w:r w:rsidRPr="00DC1A5F">
        <w:t>, otros dicen que son los agregados hechos objeto de la sabiduría–revelativa los que gobernarán, mientras que otros dicen que es la inclinación personal la que gobernará;</w:t>
      </w:r>
      <w:r w:rsidRPr="00DC1A5F">
        <w:rPr>
          <w:vertAlign w:val="superscript"/>
        </w:rPr>
        <w:t>39</w:t>
      </w:r>
      <w:r w:rsidRPr="00DC1A5F">
        <w:t xml:space="preserve"> no obstante, es sólo esta sabiduría–revelativa preliminar y la sabiduría–revelativa conducente al emerger las que deberán entenderse cómo lo que gobierne en su doctrina.</w:t>
      </w:r>
    </w:p>
    <w:p w14:paraId="5FFB0573" w14:textId="77777777" w:rsidR="00597DE2" w:rsidRPr="00DC1A5F" w:rsidRDefault="00597DE2" w:rsidP="00597DE2">
      <w:r w:rsidRPr="00DC1A5F">
        <w:t xml:space="preserve">112. </w:t>
      </w:r>
      <w:r w:rsidRPr="00DC1A5F">
        <w:tab/>
        <w:t xml:space="preserve">Tratamiento de estas tres teorías en orden: De acuerdo con el gobierno de la sabiduría–revelativa, el sendero que surja en un practicante de </w:t>
      </w:r>
      <w:r w:rsidRPr="00DC1A5F">
        <w:rPr>
          <w:i/>
          <w:iCs/>
        </w:rPr>
        <w:t>sólo–sabiduría–revelativa</w:t>
      </w:r>
      <w:r w:rsidRPr="00DC1A5F">
        <w:t xml:space="preserve"> (de la sabiduría a secas) y el sendero que surja en alguien que posea una absorción </w:t>
      </w:r>
      <w:proofErr w:type="spellStart"/>
      <w:r w:rsidRPr="00DC1A5F">
        <w:rPr>
          <w:i/>
        </w:rPr>
        <w:t>jhānica</w:t>
      </w:r>
      <w:proofErr w:type="spellEnd"/>
      <w:r w:rsidRPr="00DC1A5F">
        <w:rPr>
          <w:i/>
        </w:rPr>
        <w:t>,</w:t>
      </w:r>
      <w:r w:rsidRPr="00DC1A5F">
        <w:t xml:space="preserve"> pero que no haya hecho de dicho </w:t>
      </w:r>
      <w:proofErr w:type="spellStart"/>
      <w:r w:rsidRPr="00DC1A5F">
        <w:rPr>
          <w:i/>
        </w:rPr>
        <w:t>jhāna</w:t>
      </w:r>
      <w:proofErr w:type="spellEnd"/>
      <w:r w:rsidRPr="00DC1A5F">
        <w:t xml:space="preserve"> la base para la sabiduría–revelativa y el sendero que surja al comprender las formaciones no relacionadas después de usar el primer </w:t>
      </w:r>
      <w:proofErr w:type="spellStart"/>
      <w:r w:rsidRPr="00DC1A5F">
        <w:rPr>
          <w:i/>
        </w:rPr>
        <w:t>jhāna</w:t>
      </w:r>
      <w:proofErr w:type="spellEnd"/>
      <w:r w:rsidRPr="00DC1A5F">
        <w:t xml:space="preserve"> como base para la sabiduría–revelativa, corresponderán [667] únicamente a los senderos del primer </w:t>
      </w:r>
      <w:proofErr w:type="spellStart"/>
      <w:r w:rsidRPr="00DC1A5F">
        <w:rPr>
          <w:i/>
        </w:rPr>
        <w:t>jhāna</w:t>
      </w:r>
      <w:proofErr w:type="spellEnd"/>
      <w:r w:rsidRPr="00DC1A5F">
        <w:t xml:space="preserve">. En cada caso se manifestará 7 factores de la iluminación, 8 factores del sendero y 5 factores </w:t>
      </w:r>
      <w:proofErr w:type="spellStart"/>
      <w:r w:rsidRPr="00DC1A5F">
        <w:rPr>
          <w:i/>
        </w:rPr>
        <w:t>jhānicos</w:t>
      </w:r>
      <w:proofErr w:type="spellEnd"/>
      <w:r w:rsidRPr="00DC1A5F">
        <w:t>. Ya que si bien su sabiduría–revelativa preliminar podría estar acompañada de alegría y podría estar acompañada de ecuanimidad, cuando su sabiduría–revelativa alcance el estado de la ecuanimidad con respecto a las formaciones en el momento del emerger, estará acompañada de dicha.</w:t>
      </w:r>
    </w:p>
    <w:p w14:paraId="3C0CFD52" w14:textId="77777777" w:rsidR="00597DE2" w:rsidRPr="00DC1A5F" w:rsidRDefault="00597DE2" w:rsidP="00597DE2">
      <w:r w:rsidRPr="00DC1A5F">
        <w:t xml:space="preserve">113. </w:t>
      </w:r>
      <w:r w:rsidRPr="00DC1A5F">
        <w:tab/>
        <w:t xml:space="preserve">Cuando se hace que los senderos surjan utilizando el segundo, tercer y cuarto </w:t>
      </w:r>
      <w:proofErr w:type="spellStart"/>
      <w:r w:rsidRPr="00DC1A5F">
        <w:rPr>
          <w:i/>
        </w:rPr>
        <w:t>jhāna</w:t>
      </w:r>
      <w:r w:rsidRPr="00DC1A5F">
        <w:t>s</w:t>
      </w:r>
      <w:proofErr w:type="spellEnd"/>
      <w:r w:rsidRPr="00DC1A5F">
        <w:t xml:space="preserve"> en el cálculo quíntuple, como base para la sabiduría–revelativa, entonces el </w:t>
      </w:r>
      <w:proofErr w:type="spellStart"/>
      <w:r w:rsidRPr="00DC1A5F">
        <w:rPr>
          <w:i/>
        </w:rPr>
        <w:t>jhāna</w:t>
      </w:r>
      <w:proofErr w:type="spellEnd"/>
      <w:r w:rsidRPr="00DC1A5F">
        <w:t xml:space="preserve"> en esos senderos tendrá 4, 3 y 2 factores, respectivamente. En cada caso, sin embargo, los factores del sendero serán 7, y en el cuarto caso se manifestará 6 factores de iluminación. Esta diferencia se deberá tanto al gobierno del </w:t>
      </w:r>
      <w:proofErr w:type="spellStart"/>
      <w:r w:rsidRPr="00DC1A5F">
        <w:rPr>
          <w:i/>
        </w:rPr>
        <w:t>jhāna</w:t>
      </w:r>
      <w:proofErr w:type="spellEnd"/>
      <w:r w:rsidRPr="00DC1A5F">
        <w:t xml:space="preserve"> básico como al gobierno de la sabiduría–revelativa. Ya que, nuevamente, mientras que su visión preliminar podría estar acompañada de dicha y podría estar acompañada de ecuanimidad, su sabiduría–revelativa conducente al emerger estará acompañada únicamente de dicha.</w:t>
      </w:r>
    </w:p>
    <w:p w14:paraId="595F05E2" w14:textId="77777777" w:rsidR="00597DE2" w:rsidRPr="00DC1A5F" w:rsidRDefault="00597DE2" w:rsidP="00597DE2">
      <w:r w:rsidRPr="00DC1A5F">
        <w:t xml:space="preserve">114. </w:t>
      </w:r>
      <w:r w:rsidRPr="00DC1A5F">
        <w:tab/>
        <w:t xml:space="preserve">Sin embargo, cuando el sendero se produzca haciendo del quinto </w:t>
      </w:r>
      <w:proofErr w:type="spellStart"/>
      <w:r w:rsidRPr="00DC1A5F">
        <w:rPr>
          <w:i/>
        </w:rPr>
        <w:t>jhāna</w:t>
      </w:r>
      <w:proofErr w:type="spellEnd"/>
      <w:r w:rsidRPr="00DC1A5F">
        <w:t xml:space="preserve"> la base para la sabiduría–revelativa, entonces los factores </w:t>
      </w:r>
      <w:proofErr w:type="spellStart"/>
      <w:r w:rsidRPr="00DC1A5F">
        <w:rPr>
          <w:i/>
        </w:rPr>
        <w:t>jhānicos</w:t>
      </w:r>
      <w:proofErr w:type="spellEnd"/>
      <w:r w:rsidRPr="00DC1A5F">
        <w:t xml:space="preserve"> serán 2, es decir, la ecuanimidad y la </w:t>
      </w:r>
    </w:p>
    <w:p w14:paraId="2D7199C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A261A1F" w14:textId="77777777" w:rsidR="00597DE2" w:rsidRPr="00DC1A5F" w:rsidRDefault="00597DE2" w:rsidP="00597DE2">
      <w:pPr>
        <w:pStyle w:val="PiedepginaLegal"/>
        <w:numPr>
          <w:ilvl w:val="0"/>
          <w:numId w:val="10"/>
        </w:numPr>
        <w:tabs>
          <w:tab w:val="clear" w:pos="425"/>
          <w:tab w:val="left" w:pos="284"/>
        </w:tabs>
        <w:spacing w:after="160"/>
        <w:ind w:left="284" w:hanging="284"/>
      </w:pPr>
      <w:r w:rsidRPr="00DC1A5F">
        <w:t>“El primer ‘</w:t>
      </w:r>
      <w:r w:rsidRPr="00DC1A5F">
        <w:rPr>
          <w:i/>
          <w:iCs/>
        </w:rPr>
        <w:t>algunos’</w:t>
      </w:r>
      <w:r w:rsidRPr="00DC1A5F">
        <w:t xml:space="preserve"> se refiere al Venerable Tipiṭaka </w:t>
      </w:r>
      <w:proofErr w:type="spellStart"/>
      <w:r w:rsidRPr="00DC1A5F">
        <w:t>Cūḷa</w:t>
      </w:r>
      <w:proofErr w:type="spellEnd"/>
      <w:r w:rsidRPr="00DC1A5F">
        <w:t>–</w:t>
      </w:r>
      <w:proofErr w:type="spellStart"/>
      <w:r w:rsidRPr="00DC1A5F">
        <w:t>Nāga</w:t>
      </w:r>
      <w:proofErr w:type="spellEnd"/>
      <w:r w:rsidRPr="00DC1A5F">
        <w:t>. El segundo ‘</w:t>
      </w:r>
      <w:r w:rsidRPr="00DC1A5F">
        <w:rPr>
          <w:i/>
          <w:iCs/>
        </w:rPr>
        <w:t>algunos’</w:t>
      </w:r>
      <w:r w:rsidRPr="00DC1A5F">
        <w:t xml:space="preserve"> se refiere al Venerable Mahā </w:t>
      </w:r>
      <w:proofErr w:type="spellStart"/>
      <w:r w:rsidRPr="00DC1A5F">
        <w:t>Datta</w:t>
      </w:r>
      <w:proofErr w:type="spellEnd"/>
      <w:r w:rsidRPr="00DC1A5F">
        <w:t xml:space="preserve">, habitante de </w:t>
      </w:r>
      <w:proofErr w:type="spellStart"/>
      <w:r w:rsidRPr="00DC1A5F">
        <w:t>Moravāpi</w:t>
      </w:r>
      <w:proofErr w:type="spellEnd"/>
      <w:r w:rsidRPr="00DC1A5F">
        <w:t>. El tercero ‘</w:t>
      </w:r>
      <w:r w:rsidRPr="00DC1A5F">
        <w:rPr>
          <w:i/>
          <w:iCs/>
        </w:rPr>
        <w:t>algunos’</w:t>
      </w:r>
      <w:r w:rsidRPr="00DC1A5F">
        <w:t xml:space="preserve"> se refiere al Venerable Tipiṭaka </w:t>
      </w:r>
      <w:proofErr w:type="spellStart"/>
      <w:r w:rsidRPr="00DC1A5F">
        <w:t>Cūḷa</w:t>
      </w:r>
      <w:proofErr w:type="spellEnd"/>
      <w:r w:rsidRPr="00DC1A5F">
        <w:t xml:space="preserve"> </w:t>
      </w:r>
      <w:proofErr w:type="spellStart"/>
      <w:r w:rsidRPr="00DC1A5F">
        <w:t>Abhaya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856).</w:t>
      </w:r>
      <w:r w:rsidRPr="00DC1A5F">
        <w:br w:type="page"/>
      </w:r>
    </w:p>
    <w:p w14:paraId="22C5107F" w14:textId="77777777" w:rsidR="00597DE2" w:rsidRPr="00DC1A5F" w:rsidRDefault="00597DE2" w:rsidP="00597DE2">
      <w:pPr>
        <w:pStyle w:val="Textoindependiente"/>
      </w:pPr>
      <w:r w:rsidRPr="00DC1A5F">
        <w:lastRenderedPageBreak/>
        <w:t xml:space="preserve">unificación mental, y se manifestará 6 factores de la iluminación y 7 factores del sendero. Esta diferencia también se deberá a ambos tipos de gobierno. Ya que en este caso la sabiduría preliminar irá acompañada de dicha o de ecuanimidad, pero la que conduzca al emerger irá acompañada únicamente de ecuanimidad. El mismo método se aplicará en el caso del sendero que surja al hacer de los </w:t>
      </w:r>
      <w:proofErr w:type="spellStart"/>
      <w:r w:rsidRPr="00DC1A5F">
        <w:rPr>
          <w:i/>
        </w:rPr>
        <w:t>jhāna</w:t>
      </w:r>
      <w:r w:rsidRPr="00DC1A5F">
        <w:t>s</w:t>
      </w:r>
      <w:proofErr w:type="spellEnd"/>
      <w:r w:rsidRPr="00DC1A5F">
        <w:t xml:space="preserve"> inmateriales la base para la sabiduría. </w:t>
      </w:r>
    </w:p>
    <w:p w14:paraId="7D16AE13" w14:textId="77777777" w:rsidR="00597DE2" w:rsidRPr="00DC1A5F" w:rsidRDefault="00597DE2" w:rsidP="00597DE2">
      <w:pPr>
        <w:pStyle w:val="NormalConSangria"/>
      </w:pPr>
      <w:r w:rsidRPr="00DC1A5F">
        <w:t xml:space="preserve">También al emerger del </w:t>
      </w:r>
      <w:proofErr w:type="spellStart"/>
      <w:r w:rsidRPr="00DC1A5F">
        <w:rPr>
          <w:i/>
        </w:rPr>
        <w:t>jhāna</w:t>
      </w:r>
      <w:proofErr w:type="spellEnd"/>
      <w:r w:rsidRPr="00DC1A5F">
        <w:t xml:space="preserve"> como base para la sabiduría, el sendero se habrá producido mediante la comprensión sin importar qué formaciones, no relacionadas con ese </w:t>
      </w:r>
      <w:proofErr w:type="spellStart"/>
      <w:r w:rsidRPr="00DC1A5F">
        <w:rPr>
          <w:i/>
        </w:rPr>
        <w:t>jhāna</w:t>
      </w:r>
      <w:proofErr w:type="spellEnd"/>
      <w:r w:rsidRPr="00DC1A5F">
        <w:t>, entonces corresponderá a la absorción surgida en el punto más cercano al sendero la que lo hará como sí mismo, como el color del suelo lo hace con el color de un lagarto monitor.</w:t>
      </w:r>
    </w:p>
    <w:p w14:paraId="6A211C37" w14:textId="77777777" w:rsidR="00597DE2" w:rsidRPr="00DC1A5F" w:rsidRDefault="00597DE2" w:rsidP="00597DE2">
      <w:r w:rsidRPr="00DC1A5F">
        <w:t xml:space="preserve">115. </w:t>
      </w:r>
      <w:r w:rsidRPr="00DC1A5F">
        <w:tab/>
        <w:t>No obstante, en el caso de la teoría del segundo Venerable, el sendero será como la absorción, cualquiera que sea ésta, la que fuera fundamental para producir el sendero a través de la sabiduría de cualquiera de sus estados después de emerger de él. Y aquí, el gobierno de la sabiduría deberá entenderse de la misma forma que antes.</w:t>
      </w:r>
    </w:p>
    <w:p w14:paraId="13445A00" w14:textId="77777777" w:rsidR="00597DE2" w:rsidRPr="00DC1A5F" w:rsidRDefault="00597DE2" w:rsidP="00597DE2">
      <w:r w:rsidRPr="00DC1A5F">
        <w:t xml:space="preserve">116. </w:t>
      </w:r>
      <w:r w:rsidRPr="00DC1A5F">
        <w:tab/>
        <w:t xml:space="preserve">En el caso de la teoría del tercer Venerable, el sendero será como ese </w:t>
      </w:r>
      <w:proofErr w:type="spellStart"/>
      <w:r w:rsidRPr="00DC1A5F">
        <w:rPr>
          <w:i/>
        </w:rPr>
        <w:t>jhāna</w:t>
      </w:r>
      <w:proofErr w:type="spellEnd"/>
      <w:r w:rsidRPr="00DC1A5F">
        <w:t xml:space="preserve">, cualquiera que sea éste, el que se adapte a la inclinación personal, cuyo </w:t>
      </w:r>
      <w:proofErr w:type="spellStart"/>
      <w:r w:rsidRPr="00DC1A5F">
        <w:rPr>
          <w:i/>
        </w:rPr>
        <w:t>jhāna</w:t>
      </w:r>
      <w:proofErr w:type="spellEnd"/>
      <w:r w:rsidRPr="00DC1A5F">
        <w:t xml:space="preserve"> fuera instrumental para producir el sendero a través de la comprensión de cualquiera de sus estados, al usarlo como una base para la sabiduría. No obstante, esto no se logrará solo con una simple inclinación a menos que el </w:t>
      </w:r>
      <w:proofErr w:type="spellStart"/>
      <w:r w:rsidRPr="00DC1A5F">
        <w:rPr>
          <w:i/>
        </w:rPr>
        <w:t>jhāna</w:t>
      </w:r>
      <w:proofErr w:type="spellEnd"/>
      <w:r w:rsidRPr="00DC1A5F">
        <w:t xml:space="preserve"> se haya convertido en la base para la sabiduría o a menos que el </w:t>
      </w:r>
      <w:proofErr w:type="spellStart"/>
      <w:r w:rsidRPr="00DC1A5F">
        <w:rPr>
          <w:i/>
        </w:rPr>
        <w:t>jhāna</w:t>
      </w:r>
      <w:proofErr w:type="spellEnd"/>
      <w:r w:rsidRPr="00DC1A5F">
        <w:t xml:space="preserve"> haya sido comprendido; y este significado debería ser ilustrado a través el </w:t>
      </w:r>
      <w:proofErr w:type="spellStart"/>
      <w:r w:rsidRPr="00DC1A5F">
        <w:rPr>
          <w:i/>
          <w:iCs/>
        </w:rPr>
        <w:t>Nandakovāda</w:t>
      </w:r>
      <w:proofErr w:type="spellEnd"/>
      <w:r w:rsidRPr="00DC1A5F">
        <w:rPr>
          <w:i/>
          <w:iCs/>
        </w:rPr>
        <w:t xml:space="preserve"> Sutta</w:t>
      </w:r>
      <w:r w:rsidRPr="00DC1A5F">
        <w:t xml:space="preserve"> (ver M III 277 y </w:t>
      </w:r>
      <w:r w:rsidRPr="00DC1A5F">
        <w:rPr>
          <w:i/>
          <w:iCs/>
        </w:rPr>
        <w:t>Comentario</w:t>
      </w:r>
      <w:r w:rsidRPr="00DC1A5F">
        <w:t>). Y aquí también, el gobierno de la sabiduría deberá entenderse de la misma manera que antes.</w:t>
      </w:r>
    </w:p>
    <w:p w14:paraId="403D7AAE" w14:textId="77777777" w:rsidR="00597DE2" w:rsidRPr="00DC1A5F" w:rsidRDefault="00597DE2" w:rsidP="00597DE2">
      <w:pPr>
        <w:pStyle w:val="NormalConSangria"/>
      </w:pPr>
      <w:r w:rsidRPr="00DC1A5F">
        <w:t xml:space="preserve">Esto, en primer lugar, corresponderá a cómo ha de entenderse que la ecuanimidad con respecto a las formaciones gobierna los números de factores de la iluminación, los factores del sendero y los factores </w:t>
      </w:r>
      <w:proofErr w:type="spellStart"/>
      <w:r w:rsidRPr="00DC1A5F">
        <w:rPr>
          <w:i/>
        </w:rPr>
        <w:t>jhānicos</w:t>
      </w:r>
      <w:proofErr w:type="spellEnd"/>
      <w:r w:rsidRPr="00DC1A5F">
        <w:t>.</w:t>
      </w:r>
    </w:p>
    <w:p w14:paraId="11984665" w14:textId="77777777" w:rsidR="00597DE2" w:rsidRPr="00DC1A5F" w:rsidRDefault="00597DE2" w:rsidP="00597DE2">
      <w:r w:rsidRPr="00DC1A5F">
        <w:t xml:space="preserve">117. </w:t>
      </w:r>
      <w:r w:rsidRPr="00DC1A5F">
        <w:tab/>
        <w:t>[</w:t>
      </w:r>
      <w:r w:rsidRPr="00DC1A5F">
        <w:rPr>
          <w:i/>
          <w:iCs/>
        </w:rPr>
        <w:t>Progreso</w:t>
      </w:r>
      <w:r w:rsidRPr="00DC1A5F">
        <w:t xml:space="preserve">.] No obstante, si la sabiduría desde el principio sólo ha sido capaz de suprimir impurezas con dificultad, esfuerzo e impulso, entonces se le llamará “de difícil progreso”. [668] Al tipo de sabiduría contraria se le llamará “de fácil progreso”. Y cuando la manifestación del sendero, el objetivo de la </w:t>
      </w:r>
      <w:proofErr w:type="gramStart"/>
      <w:r w:rsidRPr="00DC1A5F">
        <w:t>sabiduría,</w:t>
      </w:r>
      <w:proofErr w:type="gramEnd"/>
      <w:r w:rsidRPr="00DC1A5F">
        <w:t xml:space="preserve"> se efectúe lentamente después de que se hayan suprimido las contaminaciones, entonces se le llamará “de conocimiento directo lento”. Al tipo opuesto se le llamará “de conocimiento directo rápido”. Entonces, esta ecuanimidad sobre las formaciones se encontrará en el punto de llegada y dará su propio nombre al sendero en cada caso y así, el sendero poseerá cuatro nombres, según el tipo de progreso (ver D III 228). </w:t>
      </w:r>
    </w:p>
    <w:p w14:paraId="19D15AB9" w14:textId="77777777" w:rsidR="00597DE2" w:rsidRPr="00DC1A5F" w:rsidRDefault="00597DE2" w:rsidP="00597DE2">
      <w:r w:rsidRPr="00DC1A5F">
        <w:t xml:space="preserve">118. </w:t>
      </w:r>
      <w:r w:rsidRPr="00DC1A5F">
        <w:tab/>
        <w:t xml:space="preserve">Para un determinado </w:t>
      </w:r>
      <w:proofErr w:type="spellStart"/>
      <w:r w:rsidRPr="00DC1A5F">
        <w:rPr>
          <w:i/>
        </w:rPr>
        <w:t>bhikkhu</w:t>
      </w:r>
      <w:proofErr w:type="spellEnd"/>
      <w:r w:rsidRPr="00DC1A5F">
        <w:rPr>
          <w:i/>
        </w:rPr>
        <w:t>,</w:t>
      </w:r>
      <w:r w:rsidRPr="00DC1A5F">
        <w:t xml:space="preserve"> este progreso puede ser diferente en los 4 senderos, mientras que para otro podría mantenerse de la misma manera. Para los </w:t>
      </w:r>
      <w:r w:rsidRPr="00DC1A5F">
        <w:rPr>
          <w:i/>
        </w:rPr>
        <w:t>Buddha</w:t>
      </w:r>
      <w:r w:rsidRPr="00DC1A5F">
        <w:t xml:space="preserve">s, sin embargo, los cuatro senderos serán de fácil progreso y conocimiento directo rápido. Asimismo, es el caso del General del </w:t>
      </w:r>
      <w:r w:rsidRPr="00DC1A5F">
        <w:rPr>
          <w:i/>
        </w:rPr>
        <w:t>Dhamma</w:t>
      </w:r>
      <w:r w:rsidRPr="00DC1A5F">
        <w:t xml:space="preserve"> [el Venerable Sāriputta]. No obstante, en el caso del Venerable Mahā Moggallāna, el primer sendero fue de progreso fácil y conocimiento directo rápido, pero los otros fueron de progreso difícil y conocimiento directo lento.</w:t>
      </w:r>
    </w:p>
    <w:p w14:paraId="0F92305E" w14:textId="77777777" w:rsidR="00597DE2" w:rsidRPr="00DC1A5F" w:rsidRDefault="00597DE2" w:rsidP="00597DE2">
      <w:r w:rsidRPr="00DC1A5F">
        <w:t xml:space="preserve">119. </w:t>
      </w:r>
      <w:r w:rsidRPr="00DC1A5F">
        <w:tab/>
        <w:t>[</w:t>
      </w:r>
      <w:r w:rsidRPr="00DC1A5F">
        <w:rPr>
          <w:i/>
          <w:iCs/>
        </w:rPr>
        <w:t>Predominio</w:t>
      </w:r>
      <w:r w:rsidRPr="00DC1A5F">
        <w:t>.] Y así como es con los tipos de progreso, también será con los tipos de predominio,</w:t>
      </w:r>
      <w:r w:rsidRPr="00DC1A5F">
        <w:rPr>
          <w:vertAlign w:val="superscript"/>
        </w:rPr>
        <w:t>40</w:t>
      </w:r>
      <w:r w:rsidRPr="00DC1A5F">
        <w:t xml:space="preserve"> los cuales, para un determinado </w:t>
      </w:r>
      <w:proofErr w:type="spellStart"/>
      <w:r w:rsidRPr="00DC1A5F">
        <w:rPr>
          <w:i/>
        </w:rPr>
        <w:t>bhikkhu</w:t>
      </w:r>
      <w:proofErr w:type="spellEnd"/>
      <w:r w:rsidRPr="00DC1A5F">
        <w:rPr>
          <w:i/>
        </w:rPr>
        <w:t>,</w:t>
      </w:r>
      <w:r w:rsidRPr="00DC1A5F">
        <w:t xml:space="preserve"> podrían ser diferentes en los 4 senderos y para </w:t>
      </w:r>
    </w:p>
    <w:p w14:paraId="765652B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8B07578" w14:textId="77777777" w:rsidR="00597DE2" w:rsidRPr="00DC1A5F" w:rsidRDefault="00597DE2" w:rsidP="00597DE2">
      <w:pPr>
        <w:pStyle w:val="PiedepginaLegal"/>
        <w:numPr>
          <w:ilvl w:val="0"/>
          <w:numId w:val="10"/>
        </w:numPr>
        <w:tabs>
          <w:tab w:val="clear" w:pos="425"/>
          <w:tab w:val="left" w:pos="284"/>
        </w:tabs>
        <w:spacing w:after="160"/>
        <w:ind w:left="284" w:hanging="284"/>
      </w:pPr>
      <w:r w:rsidRPr="00DC1A5F">
        <w:t>Los 4 predominios corresponden a: el celo (deseo), la energía, la consciencia y la indagación. Cf. cuatro senderos hacia el poder (</w:t>
      </w:r>
      <w:proofErr w:type="spellStart"/>
      <w:r w:rsidRPr="00DC1A5F">
        <w:t>Dhs</w:t>
      </w:r>
      <w:proofErr w:type="spellEnd"/>
      <w:r w:rsidRPr="00DC1A5F">
        <w:t xml:space="preserve"> §73–74; </w:t>
      </w:r>
      <w:proofErr w:type="spellStart"/>
      <w:r w:rsidRPr="00DC1A5F">
        <w:t>Vibh</w:t>
      </w:r>
      <w:proofErr w:type="spellEnd"/>
      <w:r w:rsidRPr="00DC1A5F">
        <w:t xml:space="preserve"> 216 y </w:t>
      </w:r>
      <w:proofErr w:type="spellStart"/>
      <w:r w:rsidRPr="00DC1A5F">
        <w:t>Comy</w:t>
      </w:r>
      <w:proofErr w:type="spellEnd"/>
      <w:r w:rsidRPr="00DC1A5F">
        <w:t>.).</w:t>
      </w:r>
      <w:r w:rsidRPr="00DC1A5F">
        <w:br w:type="page"/>
      </w:r>
    </w:p>
    <w:p w14:paraId="54977CF2" w14:textId="77777777" w:rsidR="00597DE2" w:rsidRPr="00DC1A5F" w:rsidRDefault="00597DE2" w:rsidP="00597DE2"/>
    <w:p w14:paraId="52A12F86" w14:textId="77777777" w:rsidR="00597DE2" w:rsidRPr="00DC1A5F" w:rsidRDefault="00597DE2" w:rsidP="00597DE2">
      <w:r w:rsidRPr="00DC1A5F">
        <w:t>otro, lo mismo. Entonces, será la ecuanimidad con respecto a las formaciones la que gobernará la diferencia en el progreso. [</w:t>
      </w:r>
      <w:r w:rsidRPr="00DC1A5F">
        <w:rPr>
          <w:i/>
          <w:iCs/>
        </w:rPr>
        <w:t>Liberación</w:t>
      </w:r>
      <w:r w:rsidRPr="00DC1A5F">
        <w:t>.] Sin embargo, ya se ha mencionado cómo regirá la diferencia en la liberación [§66s.].</w:t>
      </w:r>
    </w:p>
    <w:p w14:paraId="0CA8F8D5" w14:textId="77777777" w:rsidR="00597DE2" w:rsidRPr="00DC1A5F" w:rsidRDefault="00597DE2" w:rsidP="00597DE2">
      <w:r w:rsidRPr="00DC1A5F">
        <w:t xml:space="preserve">120. </w:t>
      </w:r>
      <w:r w:rsidRPr="00DC1A5F">
        <w:tab/>
        <w:t>Además, el sendero recibirá sus nombres por 5 razones, es decir, (1) debido a su propia naturaleza, o (2) debido a lo que se oponga, o (3) debido a su propia cualidad especial, o (4) debido a su objeto, o (5) o debido a la vía de llegada.</w:t>
      </w:r>
    </w:p>
    <w:p w14:paraId="495EABFD" w14:textId="77777777" w:rsidR="00597DE2" w:rsidRPr="00DC1A5F" w:rsidRDefault="00597DE2" w:rsidP="00597DE2">
      <w:r w:rsidRPr="00DC1A5F">
        <w:t xml:space="preserve">121. </w:t>
      </w:r>
      <w:r w:rsidRPr="00DC1A5F">
        <w:tab/>
        <w:t xml:space="preserve">1. Si la ecuanimidad con respecto a las formaciones indujese al emerger al comprender las formaciones como impermanentes, la liberación tendrá lugar como una liberación sin–signos. Si indujese al emerger al comprenderlas como insatisfactorias, la liberación se producirá con la liberación sin deseo. Si indujese al emerger al comprenderlas como no–alma, la liberación tendrá lugar a través de la liberación del vacío. Éste será su nombre según </w:t>
      </w:r>
      <w:r w:rsidRPr="00DC1A5F">
        <w:rPr>
          <w:i/>
          <w:iCs/>
        </w:rPr>
        <w:t>su propia naturaleza.</w:t>
      </w:r>
    </w:p>
    <w:p w14:paraId="4FF8F3FB" w14:textId="77777777" w:rsidR="00597DE2" w:rsidRPr="00DC1A5F" w:rsidRDefault="00597DE2" w:rsidP="00597DE2">
      <w:pPr>
        <w:rPr>
          <w:i/>
          <w:iCs/>
        </w:rPr>
      </w:pPr>
      <w:r w:rsidRPr="00DC1A5F">
        <w:t xml:space="preserve">122. </w:t>
      </w:r>
      <w:r w:rsidRPr="00DC1A5F">
        <w:tab/>
        <w:t xml:space="preserve">2. Cuando se llegue a este sendero con el abandono de los signos de la permanencia, perdurabilidad y eternidad, efectuando la resolución de las formaciones compactas por medio de la contemplación de la impermanencia, entonces se le denominará sendero sin signo. Cuando se llegue a él con el agotamiento del deseo y el anhelo, abandonando la percepción de placer por medio de la contemplación de la </w:t>
      </w:r>
      <w:r w:rsidRPr="00DC1A5F">
        <w:rPr>
          <w:i/>
          <w:iCs/>
        </w:rPr>
        <w:t>insatisfactoriedad</w:t>
      </w:r>
      <w:r w:rsidRPr="00DC1A5F">
        <w:t xml:space="preserve">, entonces se le llamará sin deseo. Cuando las formaciones se observen como vacías al abandonar la percepción de alma, de un ser vivo, de una persona, por medio de la contemplación de lo no–alma, entonces se le llamará vacuo. Este será su nombre </w:t>
      </w:r>
      <w:r w:rsidRPr="00DC1A5F">
        <w:rPr>
          <w:i/>
          <w:iCs/>
        </w:rPr>
        <w:t>debido</w:t>
      </w:r>
      <w:r w:rsidRPr="00DC1A5F">
        <w:t xml:space="preserve"> a </w:t>
      </w:r>
      <w:r w:rsidRPr="00DC1A5F">
        <w:rPr>
          <w:i/>
          <w:iCs/>
        </w:rPr>
        <w:t>lo que se oponga.</w:t>
      </w:r>
    </w:p>
    <w:p w14:paraId="1CB4D3AE" w14:textId="77777777" w:rsidR="00597DE2" w:rsidRPr="00DC1A5F" w:rsidRDefault="00597DE2" w:rsidP="00597DE2">
      <w:pPr>
        <w:rPr>
          <w:i/>
          <w:iCs/>
        </w:rPr>
      </w:pPr>
      <w:r w:rsidRPr="00DC1A5F">
        <w:t xml:space="preserve">123. </w:t>
      </w:r>
      <w:r w:rsidRPr="00DC1A5F">
        <w:tab/>
        <w:t xml:space="preserve">3. Será vacua porque carecerá de codicia, etc. No poseerá signo debido a la ausencia del signo de la materialidad, etc., o a la ausencia solamente del signo de la codicia, etc. Carecerá de deseo debido a la ausencia de deseo como codicia, etc. Éste corresponderá a su nombre </w:t>
      </w:r>
      <w:r w:rsidRPr="00DC1A5F">
        <w:rPr>
          <w:i/>
          <w:iCs/>
        </w:rPr>
        <w:t>debida a su propia</w:t>
      </w:r>
      <w:r w:rsidRPr="00DC1A5F">
        <w:t xml:space="preserve"> </w:t>
      </w:r>
      <w:r w:rsidRPr="00DC1A5F">
        <w:rPr>
          <w:i/>
          <w:iCs/>
        </w:rPr>
        <w:t>cualidad especial.</w:t>
      </w:r>
    </w:p>
    <w:p w14:paraId="6029787A" w14:textId="77777777" w:rsidR="00597DE2" w:rsidRPr="00DC1A5F" w:rsidRDefault="00597DE2" w:rsidP="00597DE2">
      <w:r w:rsidRPr="00DC1A5F">
        <w:t xml:space="preserve">124. </w:t>
      </w:r>
      <w:r w:rsidRPr="00DC1A5F">
        <w:tab/>
        <w:t xml:space="preserve">4. También se le llamará vacía, sin signos y sin deseos, porque hará del vacío, del no–signo y del no–deseo del </w:t>
      </w:r>
      <w:r w:rsidRPr="00DC1A5F">
        <w:rPr>
          <w:i/>
          <w:iCs/>
        </w:rPr>
        <w:t>Nibbāna</w:t>
      </w:r>
      <w:r w:rsidRPr="00DC1A5F">
        <w:t xml:space="preserve"> su objeto. Éste corresponderá a </w:t>
      </w:r>
      <w:r w:rsidRPr="00DC1A5F">
        <w:rPr>
          <w:i/>
          <w:iCs/>
        </w:rPr>
        <w:t>su nombre</w:t>
      </w:r>
      <w:r w:rsidRPr="00DC1A5F">
        <w:t xml:space="preserve"> según </w:t>
      </w:r>
      <w:r w:rsidRPr="00DC1A5F">
        <w:rPr>
          <w:i/>
          <w:iCs/>
        </w:rPr>
        <w:t>su objeto</w:t>
      </w:r>
      <w:r w:rsidRPr="00DC1A5F">
        <w:t>. [669]</w:t>
      </w:r>
    </w:p>
    <w:p w14:paraId="31FFB7FD" w14:textId="77777777" w:rsidR="00597DE2" w:rsidRPr="00DC1A5F" w:rsidRDefault="00597DE2" w:rsidP="00597DE2">
      <w:r w:rsidRPr="00DC1A5F">
        <w:t xml:space="preserve">125. </w:t>
      </w:r>
      <w:r w:rsidRPr="00DC1A5F">
        <w:tab/>
        <w:t>5. El sendero de llegada será doble, es decir, el curso de llegada de la sabiduría–revelativa se aplicará al sendero y el curso del sendero de llegada se aplicará a la fruición.</w:t>
      </w:r>
    </w:p>
    <w:p w14:paraId="3A422C51" w14:textId="77777777" w:rsidR="00597DE2" w:rsidRPr="00DC1A5F" w:rsidRDefault="00597DE2" w:rsidP="00597DE2">
      <w:pPr>
        <w:pStyle w:val="NormalConSangria"/>
      </w:pPr>
      <w:r w:rsidRPr="00DC1A5F">
        <w:t>Ahora bien, la contemplación de la característica de lo no–alma se le llamará vacía y al sendero al que se llegue mediante la sabiduría–revelativa vacía se le llamará vacío.</w:t>
      </w:r>
    </w:p>
    <w:p w14:paraId="17AAFD3D" w14:textId="77777777" w:rsidR="00597DE2" w:rsidRPr="00DC1A5F" w:rsidRDefault="00597DE2" w:rsidP="00597DE2">
      <w:pPr>
        <w:pStyle w:val="NormalConSangria"/>
      </w:pPr>
      <w:r w:rsidRPr="00DC1A5F">
        <w:t>Una vez más, a la contemplación de la impermanencia se le denominará sin signos y al sendero al que se llegue mediante la sabiduría–revelativa sin signos, se le denominará sin signos.</w:t>
      </w:r>
    </w:p>
    <w:p w14:paraId="15C1D086" w14:textId="77777777" w:rsidR="00597DE2" w:rsidRPr="00DC1A5F" w:rsidRDefault="00597DE2" w:rsidP="00597DE2">
      <w:r w:rsidRPr="00DC1A5F">
        <w:t xml:space="preserve">126. </w:t>
      </w:r>
      <w:r w:rsidRPr="00DC1A5F">
        <w:tab/>
        <w:t xml:space="preserve">No obstante, mientras este nombre sería inadmisible mediante el método </w:t>
      </w:r>
      <w:r w:rsidRPr="00DC1A5F">
        <w:rPr>
          <w:i/>
          <w:iCs/>
        </w:rPr>
        <w:t>Abhidhamma</w:t>
      </w:r>
      <w:r w:rsidRPr="00DC1A5F">
        <w:t>,</w:t>
      </w:r>
      <w:r w:rsidRPr="00DC1A5F">
        <w:rPr>
          <w:vertAlign w:val="superscript"/>
        </w:rPr>
        <w:t>41</w:t>
      </w:r>
      <w:r w:rsidRPr="00DC1A5F">
        <w:t xml:space="preserve"> será admisible mediante el método </w:t>
      </w:r>
      <w:proofErr w:type="spellStart"/>
      <w:r w:rsidRPr="00DC1A5F">
        <w:rPr>
          <w:i/>
          <w:iCs/>
        </w:rPr>
        <w:t>Suttanta</w:t>
      </w:r>
      <w:proofErr w:type="spellEnd"/>
      <w:r w:rsidRPr="00DC1A5F">
        <w:t xml:space="preserve">; ya que, dicen, mediante ese método el cambio de linaje adoptará el nombre de “sin signo” al hacer del </w:t>
      </w:r>
      <w:r w:rsidRPr="00DC1A5F">
        <w:rPr>
          <w:i/>
          <w:iCs/>
        </w:rPr>
        <w:t>Nibbāna</w:t>
      </w:r>
      <w:r w:rsidRPr="00DC1A5F">
        <w:t xml:space="preserve"> sin signo su objeto y mientras permanezca en el punto de llegada, le deberá su nombre al sendero.</w:t>
      </w:r>
    </w:p>
    <w:p w14:paraId="4769637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119D4AD"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“Si esto fuera así, ¿entonces el sendero que le seguiría a la contemplación de la impermanencia no estaría incluido en el </w:t>
      </w:r>
      <w:proofErr w:type="spellStart"/>
      <w:r w:rsidRPr="00DC1A5F">
        <w:rPr>
          <w:i/>
          <w:iCs/>
        </w:rPr>
        <w:t>Abhidhamma</w:t>
      </w:r>
      <w:proofErr w:type="spellEnd"/>
      <w:r w:rsidRPr="00DC1A5F">
        <w:t>? No es así; porque sí está incluido en el método del ‘progreso simple’ (</w:t>
      </w:r>
      <w:proofErr w:type="spellStart"/>
      <w:r w:rsidRPr="00DC1A5F">
        <w:rPr>
          <w:i/>
          <w:iCs/>
        </w:rPr>
        <w:t>suddhika</w:t>
      </w:r>
      <w:proofErr w:type="spellEnd"/>
      <w:r w:rsidRPr="00DC1A5F">
        <w:rPr>
          <w:i/>
          <w:iCs/>
        </w:rPr>
        <w:t xml:space="preserve"> </w:t>
      </w:r>
      <w:proofErr w:type="spellStart"/>
      <w:r w:rsidRPr="00DC1A5F">
        <w:rPr>
          <w:i/>
          <w:iCs/>
        </w:rPr>
        <w:t>paṭipadā</w:t>
      </w:r>
      <w:proofErr w:type="spellEnd"/>
      <w:r w:rsidRPr="00DC1A5F">
        <w:t xml:space="preserve">—ver </w:t>
      </w:r>
      <w:proofErr w:type="spellStart"/>
      <w:r w:rsidRPr="00DC1A5F">
        <w:t>Dhs</w:t>
      </w:r>
      <w:proofErr w:type="spellEnd"/>
      <w:r w:rsidRPr="00DC1A5F">
        <w:t xml:space="preserve"> §§339–340)” (</w:t>
      </w:r>
      <w:proofErr w:type="spellStart"/>
      <w:r w:rsidRPr="00DC1A5F">
        <w:t>Vism</w:t>
      </w:r>
      <w:proofErr w:type="spellEnd"/>
      <w:r w:rsidRPr="00DC1A5F">
        <w:t>–</w:t>
      </w:r>
      <w:proofErr w:type="spellStart"/>
      <w:r w:rsidRPr="00DC1A5F">
        <w:t>mhṭ</w:t>
      </w:r>
      <w:proofErr w:type="spellEnd"/>
      <w:r w:rsidRPr="00DC1A5F">
        <w:t xml:space="preserve"> 861).</w:t>
      </w:r>
    </w:p>
    <w:p w14:paraId="4700C1C5" w14:textId="77777777" w:rsidR="00597DE2" w:rsidRPr="00DC1A5F" w:rsidRDefault="00597DE2" w:rsidP="00597DE2">
      <w:pPr>
        <w:pStyle w:val="NormalConSangria"/>
      </w:pPr>
    </w:p>
    <w:p w14:paraId="03168301" w14:textId="77777777" w:rsidR="00597DE2" w:rsidRPr="00DC1A5F" w:rsidRDefault="00597DE2" w:rsidP="00597DE2">
      <w:pPr>
        <w:pStyle w:val="NormalConSangria"/>
      </w:pPr>
      <w:r w:rsidRPr="00DC1A5F">
        <w:br w:type="page"/>
      </w:r>
    </w:p>
    <w:p w14:paraId="11AC6813" w14:textId="77777777" w:rsidR="00597DE2" w:rsidRPr="00DC1A5F" w:rsidRDefault="00597DE2" w:rsidP="00597DE2">
      <w:pPr>
        <w:tabs>
          <w:tab w:val="clear" w:pos="425"/>
        </w:tabs>
        <w:spacing w:after="160"/>
      </w:pPr>
    </w:p>
    <w:p w14:paraId="1E2168EA" w14:textId="77777777" w:rsidR="00597DE2" w:rsidRPr="00DC1A5F" w:rsidRDefault="00597DE2" w:rsidP="00597DE2">
      <w:pPr>
        <w:pStyle w:val="NormalConSangria"/>
      </w:pPr>
      <w:r w:rsidRPr="00DC1A5F">
        <w:t xml:space="preserve">Por lo tanto, al sendero se le llamará sin signo. Y a su fruición también podrá llamársele sin signo </w:t>
      </w:r>
      <w:proofErr w:type="gramStart"/>
      <w:r w:rsidRPr="00DC1A5F">
        <w:t>de acuerdo a</w:t>
      </w:r>
      <w:proofErr w:type="gramEnd"/>
      <w:r w:rsidRPr="00DC1A5F">
        <w:t xml:space="preserve"> la forma de llegada del sendero.</w:t>
      </w:r>
    </w:p>
    <w:p w14:paraId="02C2927B" w14:textId="77777777" w:rsidR="00597DE2" w:rsidRPr="00DC1A5F" w:rsidRDefault="00597DE2" w:rsidP="00597DE2">
      <w:pPr>
        <w:pStyle w:val="Textoindependiente"/>
      </w:pPr>
      <w:r w:rsidRPr="00DC1A5F">
        <w:t xml:space="preserve">127. </w:t>
      </w:r>
      <w:r w:rsidRPr="00DC1A5F">
        <w:tab/>
        <w:t xml:space="preserve">Por último, a la contemplación de la insatisfactoriedad se le designará como </w:t>
      </w:r>
      <w:proofErr w:type="spellStart"/>
      <w:r w:rsidRPr="00DC1A5F">
        <w:t>sin</w:t>
      </w:r>
      <w:proofErr w:type="spellEnd"/>
      <w:r w:rsidRPr="00DC1A5F">
        <w:t xml:space="preserve"> deseos ya que ésta llegará al sendero drenando el deseo hacia las formaciones. Al sendero al que se llegue mediante la sabiduría–revelativa sin deseos se le denominará sin deseos. A la fruición del sendero sin deseos se le denominará sin deseos.</w:t>
      </w:r>
    </w:p>
    <w:p w14:paraId="7D7A385F" w14:textId="77777777" w:rsidR="00597DE2" w:rsidRPr="00DC1A5F" w:rsidRDefault="00597DE2" w:rsidP="00597DE2">
      <w:pPr>
        <w:pStyle w:val="NormalConSangria"/>
      </w:pPr>
      <w:r w:rsidRPr="00DC1A5F">
        <w:t xml:space="preserve">De esta manera, la sabiduría–revelativa asignará su propio nombre al sendero y el sendero se lo traspasará a su fruición. Éste corresponderá a su nombre según </w:t>
      </w:r>
      <w:r w:rsidRPr="00DC1A5F">
        <w:rPr>
          <w:i/>
          <w:iCs/>
        </w:rPr>
        <w:t>la forma de llegada</w:t>
      </w:r>
      <w:r w:rsidRPr="00DC1A5F">
        <w:t>.</w:t>
      </w:r>
    </w:p>
    <w:p w14:paraId="54D17D7D" w14:textId="77777777" w:rsidR="00597DE2" w:rsidRPr="00DC1A5F" w:rsidRDefault="00597DE2" w:rsidP="00597DE2">
      <w:pPr>
        <w:pStyle w:val="NormalConSangria"/>
      </w:pPr>
      <w:r w:rsidRPr="00DC1A5F">
        <w:t>Así es cómo la ecuanimidad hacia las formaciones regirá la diferencia de las liberaciones.</w:t>
      </w:r>
    </w:p>
    <w:p w14:paraId="03C80140" w14:textId="77777777" w:rsidR="00597DE2" w:rsidRPr="00DC1A5F" w:rsidRDefault="00597DE2" w:rsidP="00597DE2">
      <w:pPr>
        <w:pStyle w:val="NormalConSangria"/>
      </w:pPr>
      <w:r w:rsidRPr="00DC1A5F">
        <w:t>Con esto se ha culminado la exposición sobre la ecuanimidad hacia las formaciones.</w:t>
      </w:r>
    </w:p>
    <w:p w14:paraId="2AE4A9C0" w14:textId="77777777" w:rsidR="00597DE2" w:rsidRPr="00DC1A5F" w:rsidRDefault="00597DE2" w:rsidP="00597DE2">
      <w:pPr>
        <w:pStyle w:val="Ttulo4"/>
        <w:ind w:left="709"/>
      </w:pPr>
      <w:r w:rsidRPr="00DC1A5F">
        <w:t>[9. El Conocimiento de la Conformidad]</w:t>
      </w:r>
    </w:p>
    <w:p w14:paraId="2150F8C1" w14:textId="77777777" w:rsidR="00597DE2" w:rsidRPr="00DC1A5F" w:rsidRDefault="00597DE2" w:rsidP="00597DE2">
      <w:r w:rsidRPr="00DC1A5F">
        <w:t xml:space="preserve">128. </w:t>
      </w:r>
      <w:r w:rsidRPr="00DC1A5F">
        <w:tab/>
        <w:t>A medida que repita, desarrolle y cultive esta ecuanimidad con respecto a las formaciones, su fe se hará más resuelta, su energía se ejercerá mejor, su atención se establecerá mejor, su mente se concentrará mejor, mientras que su ecuanimidad con respecto a las formaciones se haga más sutil.</w:t>
      </w:r>
    </w:p>
    <w:p w14:paraId="3A63BAF6" w14:textId="77777777" w:rsidR="00597DE2" w:rsidRPr="00DC1A5F" w:rsidRDefault="00597DE2" w:rsidP="00597DE2">
      <w:r w:rsidRPr="00DC1A5F">
        <w:t xml:space="preserve">129. </w:t>
      </w:r>
      <w:r w:rsidRPr="00DC1A5F">
        <w:tab/>
        <w:t>Él pensará entonces: “Ahora surgirá el sendero”. La ecuanimidad con respecto a las formaciones, después de comprender las formaciones como impermanentes, insatisfactorias o no–alma, se hundirá en el continuum vital. Junto al continuum vital, surgirá la advertencia de la puerta mental, haciendo de las formaciones su objeto, como impermanente, insatisfactoria o no–alma, de acuerdo con el sendero adoptado mediante la ecuanimidad con respecto a las formaciones. Luego, junto a la consciencia funcional [de la advertencia] que surgiese desplazando al continuum vital, surgirá la primera consciencia impulsiva que hará de las formaciones su objeto del mismo modo, manteniendo la continuidad de la consciencia. A esto se le denominará “trabajo preliminar”. Junto a éste, surgirá una segunda consciencia impulsiva que hará igualmente de las formaciones su objeto. A esto se le denominará “</w:t>
      </w:r>
      <w:r w:rsidRPr="00DC1A5F">
        <w:rPr>
          <w:i/>
          <w:iCs/>
        </w:rPr>
        <w:t>acceso</w:t>
      </w:r>
      <w:r w:rsidRPr="00DC1A5F">
        <w:t>”. Junto a éste [670] surgirá también una tercera consciencia impulsiva que hará, del mismo modo, de las formaciones su objeto. A esto se le denominará “conformidad”.</w:t>
      </w:r>
    </w:p>
    <w:p w14:paraId="1F0847B6" w14:textId="77777777" w:rsidR="00597DE2" w:rsidRPr="00DC1A5F" w:rsidRDefault="00597DE2" w:rsidP="00597DE2">
      <w:r w:rsidRPr="00DC1A5F">
        <w:t xml:space="preserve">130. </w:t>
      </w:r>
      <w:r w:rsidRPr="00DC1A5F">
        <w:tab/>
        <w:t>Estos serán sus nombres individuales. No obstante, será admisible llamar a los 3 impulsos “repetición”, “trabajo preliminar”, “acceso” o “conformidad”, indistintamente.</w:t>
      </w:r>
    </w:p>
    <w:p w14:paraId="1BB3CA84" w14:textId="77777777" w:rsidR="00597DE2" w:rsidRPr="00DC1A5F" w:rsidRDefault="00597DE2" w:rsidP="00597DE2">
      <w:pPr>
        <w:pStyle w:val="NormalConSangria"/>
      </w:pPr>
      <w:r w:rsidRPr="00DC1A5F">
        <w:t>¿Conformidad con respecto a qué? A lo que le preceda y a lo que le siga. Ya que se ajustará a las funciones de la verdad tanto de los 8 tipos previos de conocimiento de la sabiduría–revelativa como de los 37 estados partícipes de la iluminación que les siga.</w:t>
      </w:r>
    </w:p>
    <w:p w14:paraId="5B6CE2A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B40CD94" w14:textId="77777777" w:rsidR="00597DE2" w:rsidRPr="00DC1A5F" w:rsidRDefault="00597DE2" w:rsidP="00597DE2">
      <w:pPr>
        <w:pStyle w:val="PiedepginaLegal"/>
        <w:numPr>
          <w:ilvl w:val="0"/>
          <w:numId w:val="10"/>
        </w:numPr>
        <w:tabs>
          <w:tab w:val="clear" w:pos="425"/>
          <w:tab w:val="left" w:pos="284"/>
        </w:tabs>
        <w:ind w:left="284" w:hanging="284"/>
      </w:pPr>
      <w:r w:rsidRPr="00DC1A5F">
        <w:rPr>
          <w:i/>
          <w:iCs/>
        </w:rPr>
        <w:t>“‘Mantener la continuidad de la consciencia’</w:t>
      </w:r>
      <w:r w:rsidRPr="00DC1A5F">
        <w:t xml:space="preserve"> mediante la ausencia de la interrupción, en otras palabras, de las ocurrencias de la consciencia disimilar. Ya que cuando el continuum vital [que corresponda al elemento mente–consciencia] sea desplazado por el elemento mental funcional [de la advertencia de 5 puertas (70)], la ocurrencia de la consciencia funcional producirá una interrupción, un intervalo, entre la aparición de la consciencia resultante [es decir, del continuum vital y la consciencia que le siga]. No obstante, esto no será así con la advertencia de la puerta mental (71) [que corresponderá al elemento de la consciencia mental]” (</w:t>
      </w:r>
      <w:proofErr w:type="spellStart"/>
      <w:r w:rsidRPr="00DC1A5F">
        <w:t>Vism</w:t>
      </w:r>
      <w:proofErr w:type="spellEnd"/>
      <w:r w:rsidRPr="00DC1A5F">
        <w:t>–</w:t>
      </w:r>
      <w:proofErr w:type="spellStart"/>
      <w:r w:rsidRPr="00DC1A5F">
        <w:t>mhṭ</w:t>
      </w:r>
      <w:proofErr w:type="spellEnd"/>
      <w:r w:rsidRPr="00DC1A5F">
        <w:t xml:space="preserve"> 862). Ver Tabla V, Serie Cognitiva.</w:t>
      </w:r>
    </w:p>
    <w:p w14:paraId="001B9297" w14:textId="77777777" w:rsidR="00597DE2" w:rsidRPr="00DC1A5F" w:rsidRDefault="00597DE2" w:rsidP="00597DE2">
      <w:pPr>
        <w:tabs>
          <w:tab w:val="clear" w:pos="425"/>
        </w:tabs>
        <w:spacing w:after="160"/>
      </w:pPr>
      <w:r w:rsidRPr="00DC1A5F">
        <w:br w:type="page"/>
      </w:r>
    </w:p>
    <w:p w14:paraId="3CD36D05" w14:textId="77777777" w:rsidR="00597DE2" w:rsidRPr="00DC1A5F" w:rsidRDefault="00597DE2" w:rsidP="00597DE2">
      <w:pPr>
        <w:pStyle w:val="Textoindependiente"/>
      </w:pPr>
      <w:r w:rsidRPr="00DC1A5F">
        <w:lastRenderedPageBreak/>
        <w:t xml:space="preserve">131. </w:t>
      </w:r>
      <w:r w:rsidRPr="00DC1A5F">
        <w:tab/>
        <w:t xml:space="preserve">Dado que su ocurrencia dependerá de las formaciones a través de la comprensión de las características de la impermanencia, etc., por así decirlo, se dice al respecto: </w:t>
      </w:r>
      <w:r w:rsidRPr="00DC1A5F">
        <w:rPr>
          <w:u w:color="000000"/>
        </w:rPr>
        <w:t>“El conocimiento del surgimiento y la desaparición ciertamente observó el surgimiento y la desaparición de precisamente aquellos estados que poseían un surgimiento y una desaparición” y “La contemplación de la disolución de hecho observó la disolución precisamente de aquellos estados que poseían una disolución” y “Fue precisamente lo que fue terrible lo que apareció como terror ante el conocimiento de la apariencia de terror” y “La contemplación del peligro de hecho observó el peligro precisamente de lo que fue peligroso” y “El conocimiento del desapasionamiento de hecho se volvió desapasionado precisamente hacia aquello que debería ser considerado con desapasionante” y “El conocimiento del deseo de la liberación de hecho produjo el deseo de la liberación precisamente de lo que debería dar lugar a una liberación” y “Lo que fue reflexionado mediante el conocimiento de la reflexión fue precisamente sobre lo que debía reflexionarse” y “Lo que se observó con ecuanimidad, mediante la ecuanimidad con respecto a las formaciones, se dio, precisamente, como de hecho debería darse, observándolo con ecuanimidad.”</w:t>
      </w:r>
      <w:r w:rsidRPr="00DC1A5F">
        <w:rPr>
          <w:color w:val="833C0B" w:themeColor="accent2" w:themeShade="80"/>
          <w:u w:color="000000"/>
        </w:rPr>
        <w:t xml:space="preserve"> </w:t>
      </w:r>
      <w:r w:rsidRPr="00DC1A5F">
        <w:t>Por lo tanto, todo esto se ajusta a las funciones de la verdad, tanto por medio de estos 8 tipos de conocimiento como por los 37 estados que participen en la iluminación que les siga, debido a que deberán consumarse entrando en ello.</w:t>
      </w:r>
    </w:p>
    <w:p w14:paraId="160A1B35" w14:textId="77777777" w:rsidR="00597DE2" w:rsidRPr="00DC1A5F" w:rsidRDefault="00597DE2" w:rsidP="00597DE2">
      <w:pPr>
        <w:pStyle w:val="Textoindependiente"/>
      </w:pPr>
      <w:r w:rsidRPr="00DC1A5F">
        <w:t xml:space="preserve">132. </w:t>
      </w:r>
      <w:r w:rsidRPr="00DC1A5F">
        <w:tab/>
        <w:t xml:space="preserve">Así como un rey justo, que se sentase en el lugar de un juicio, escuchando los pronunciamientos de los jueces mientras excluyese </w:t>
      </w:r>
      <w:proofErr w:type="gramStart"/>
      <w:r w:rsidRPr="00DC1A5F">
        <w:t>su prejuicios</w:t>
      </w:r>
      <w:proofErr w:type="gramEnd"/>
      <w:r w:rsidRPr="00DC1A5F">
        <w:t xml:space="preserve"> y se mantuviese imparcial, se ajustaría tanto a sus pronunciamientos como a la antigua costumbre real diciendo: “Que así sea”, así también será aquí.</w:t>
      </w:r>
    </w:p>
    <w:p w14:paraId="1CC27F92" w14:textId="77777777" w:rsidR="00597DE2" w:rsidRPr="00DC1A5F" w:rsidRDefault="00597DE2" w:rsidP="00597DE2">
      <w:r w:rsidRPr="00DC1A5F">
        <w:t xml:space="preserve">133. </w:t>
      </w:r>
      <w:r w:rsidRPr="00DC1A5F">
        <w:tab/>
        <w:t xml:space="preserve">La </w:t>
      </w:r>
      <w:r w:rsidRPr="00DC1A5F">
        <w:rPr>
          <w:i/>
          <w:iCs/>
        </w:rPr>
        <w:t>conformidad</w:t>
      </w:r>
      <w:r w:rsidRPr="00DC1A5F">
        <w:t xml:space="preserve"> será como el rey, los </w:t>
      </w:r>
      <w:r w:rsidRPr="00DC1A5F">
        <w:rPr>
          <w:i/>
          <w:iCs/>
        </w:rPr>
        <w:t>8 tipos de conocimiento</w:t>
      </w:r>
      <w:r w:rsidRPr="00DC1A5F">
        <w:t xml:space="preserve">, como los ocho jueces; </w:t>
      </w:r>
      <w:r w:rsidRPr="00DC1A5F">
        <w:rPr>
          <w:i/>
          <w:iCs/>
        </w:rPr>
        <w:t>los 37 estados que participan de la iluminación</w:t>
      </w:r>
      <w:r w:rsidRPr="00DC1A5F">
        <w:t xml:space="preserve">, como la antigua costumbre real. Al respecto, así como el rey se ajustaría </w:t>
      </w:r>
      <w:proofErr w:type="gramStart"/>
      <w:r w:rsidRPr="00DC1A5F">
        <w:t>al afirmación</w:t>
      </w:r>
      <w:proofErr w:type="gramEnd"/>
      <w:r w:rsidRPr="00DC1A5F">
        <w:t xml:space="preserve"> “Que así sea” tanto para los pronunciamientos de los jueces como para la costumbre real, así mismo, esta conformidad, que surgirá dependiendo de las formaciones a través de la comprensión de la impermanencia, etc., se ajustará a la función de la verdad, tanto de los 8 tipos de conocimiento como de los 37 estados que participen en la iluminación que le siguen. Por ello se le llamará “conocimiento en conformidad a la verdad”. [671] </w:t>
      </w:r>
    </w:p>
    <w:p w14:paraId="6CA4CA2B" w14:textId="77777777" w:rsidR="00597DE2" w:rsidRPr="00DC1A5F" w:rsidRDefault="00597DE2" w:rsidP="00597DE2">
      <w:pPr>
        <w:pStyle w:val="NormalConSangria"/>
      </w:pPr>
      <w:r w:rsidRPr="00DC1A5F">
        <w:t>Con esto se ha culminado el conocimiento de la conformidad.</w:t>
      </w:r>
    </w:p>
    <w:p w14:paraId="08ECD46D" w14:textId="77777777" w:rsidR="00597DE2" w:rsidRPr="00DC1A5F" w:rsidRDefault="00597DE2" w:rsidP="00597DE2">
      <w:r w:rsidRPr="00DC1A5F">
        <w:t xml:space="preserve">134. </w:t>
      </w:r>
      <w:r w:rsidRPr="00DC1A5F">
        <w:tab/>
        <w:t>Aunque este conocimiento de la conformidad corresponde al final de la sabiduría que conduce al emerger, el cual tiene a las formaciones como su objeto, el conocimiento del cambio de linaje será el último de todos los tipos de sabiduría conducentes al emerger.</w:t>
      </w:r>
    </w:p>
    <w:p w14:paraId="009E165E" w14:textId="77777777" w:rsidR="00597DE2" w:rsidRPr="00DC1A5F" w:rsidRDefault="00597DE2" w:rsidP="00597DE2">
      <w:pPr>
        <w:pStyle w:val="Ttulo3"/>
        <w:ind w:left="708"/>
      </w:pPr>
      <w:r w:rsidRPr="00DC1A5F">
        <w:t>[</w:t>
      </w:r>
      <w:r w:rsidRPr="00DC1A5F">
        <w:rPr>
          <w:i/>
          <w:iCs/>
        </w:rPr>
        <w:t>Sutta</w:t>
      </w:r>
      <w:r w:rsidRPr="00DC1A5F">
        <w:t>s de Referencia]</w:t>
      </w:r>
    </w:p>
    <w:p w14:paraId="4BCCD38A" w14:textId="77777777" w:rsidR="00597DE2" w:rsidRPr="00DC1A5F" w:rsidRDefault="00597DE2" w:rsidP="00597DE2">
      <w:r w:rsidRPr="00DC1A5F">
        <w:t xml:space="preserve">135. </w:t>
      </w:r>
      <w:r w:rsidRPr="00DC1A5F">
        <w:tab/>
        <w:t xml:space="preserve">Ahora bien, las siguientes referencias de los </w:t>
      </w:r>
      <w:r w:rsidRPr="00DC1A5F">
        <w:rPr>
          <w:i/>
          <w:iCs/>
        </w:rPr>
        <w:t>suttas</w:t>
      </w:r>
      <w:r w:rsidRPr="00DC1A5F">
        <w:t xml:space="preserve"> deberán entenderse para no interpretar incorrectamente lo respectivo a la </w:t>
      </w:r>
      <w:r w:rsidRPr="00DC1A5F">
        <w:rPr>
          <w:i/>
          <w:iCs/>
        </w:rPr>
        <w:t>sabiduría conducente hacia el emerger</w:t>
      </w:r>
      <w:r w:rsidRPr="00DC1A5F">
        <w:t xml:space="preserve">. Ya que en el </w:t>
      </w:r>
      <w:proofErr w:type="spellStart"/>
      <w:r w:rsidRPr="00DC1A5F">
        <w:rPr>
          <w:i/>
          <w:iCs/>
        </w:rPr>
        <w:t>Saḷāyatana</w:t>
      </w:r>
      <w:proofErr w:type="spellEnd"/>
      <w:r w:rsidRPr="00DC1A5F">
        <w:rPr>
          <w:i/>
          <w:iCs/>
        </w:rPr>
        <w:t>–</w:t>
      </w:r>
      <w:proofErr w:type="spellStart"/>
      <w:r w:rsidRPr="00DC1A5F">
        <w:rPr>
          <w:i/>
          <w:iCs/>
        </w:rPr>
        <w:t>vibhaṅga</w:t>
      </w:r>
      <w:proofErr w:type="spellEnd"/>
      <w:r w:rsidRPr="00DC1A5F">
        <w:rPr>
          <w:i/>
          <w:iCs/>
        </w:rPr>
        <w:t xml:space="preserve"> Sutta,</w:t>
      </w:r>
      <w:r w:rsidRPr="00DC1A5F">
        <w:t xml:space="preserve"> a esta sabiduría conducente hacia </w:t>
      </w:r>
      <w:r w:rsidRPr="00DC1A5F">
        <w:rPr>
          <w:i/>
          <w:iCs/>
        </w:rPr>
        <w:t>el emerger</w:t>
      </w:r>
      <w:r w:rsidRPr="00DC1A5F">
        <w:t xml:space="preserve"> se le denomina “distanciamiento” (</w:t>
      </w:r>
      <w:proofErr w:type="spellStart"/>
      <w:r w:rsidRPr="00DC1A5F">
        <w:rPr>
          <w:i/>
          <w:iCs/>
        </w:rPr>
        <w:t>atammayatā</w:t>
      </w:r>
      <w:proofErr w:type="spellEnd"/>
      <w:r w:rsidRPr="00DC1A5F">
        <w:t>)</w:t>
      </w:r>
      <w:r w:rsidRPr="00DC1A5F">
        <w:rPr>
          <w:vertAlign w:val="superscript"/>
        </w:rPr>
        <w:t>43</w:t>
      </w:r>
      <w:r w:rsidRPr="00DC1A5F">
        <w:t>, por lo tanto, se dice al respecto: “</w:t>
      </w:r>
      <w:proofErr w:type="spellStart"/>
      <w:r w:rsidRPr="00DC1A5F">
        <w:rPr>
          <w:i/>
        </w:rPr>
        <w:t>Bhikkhu</w:t>
      </w:r>
      <w:r w:rsidRPr="00DC1A5F">
        <w:t>s</w:t>
      </w:r>
      <w:proofErr w:type="spellEnd"/>
      <w:r w:rsidRPr="00DC1A5F">
        <w:t>, dependiente y yacido en el abandono del distanciamiento, en la superación, en la ecuanimidad unificada, la basada en la unidad”</w:t>
      </w:r>
    </w:p>
    <w:p w14:paraId="0BDC223D"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71A3995" w14:textId="77777777" w:rsidR="00597DE2" w:rsidRPr="00DC1A5F" w:rsidRDefault="00597DE2" w:rsidP="00597DE2">
      <w:pPr>
        <w:pStyle w:val="PiedepginaLegal"/>
        <w:numPr>
          <w:ilvl w:val="0"/>
          <w:numId w:val="10"/>
        </w:numPr>
        <w:tabs>
          <w:tab w:val="clear" w:pos="425"/>
          <w:tab w:val="left" w:pos="284"/>
        </w:tabs>
        <w:ind w:left="284" w:hanging="284"/>
      </w:pPr>
      <w:r w:rsidRPr="00DC1A5F">
        <w:t>“Distanciamiento”—</w:t>
      </w:r>
      <w:proofErr w:type="spellStart"/>
      <w:r w:rsidRPr="00DC1A5F">
        <w:rPr>
          <w:i/>
          <w:iCs/>
        </w:rPr>
        <w:t>atammayatā</w:t>
      </w:r>
      <w:proofErr w:type="spellEnd"/>
      <w:r w:rsidRPr="00DC1A5F">
        <w:t xml:space="preserve">: no en PED. Véase también M III 43. La palabra se compone de </w:t>
      </w:r>
      <w:r w:rsidRPr="00DC1A5F">
        <w:br/>
      </w:r>
      <w:r w:rsidRPr="00DC1A5F">
        <w:rPr>
          <w:i/>
          <w:iCs/>
        </w:rPr>
        <w:t xml:space="preserve">a + </w:t>
      </w:r>
      <w:proofErr w:type="spellStart"/>
      <w:r w:rsidRPr="00DC1A5F">
        <w:rPr>
          <w:i/>
          <w:iCs/>
        </w:rPr>
        <w:t>taṃ</w:t>
      </w:r>
      <w:proofErr w:type="spellEnd"/>
      <w:r w:rsidRPr="00DC1A5F">
        <w:rPr>
          <w:i/>
          <w:iCs/>
        </w:rPr>
        <w:t xml:space="preserve"> +</w:t>
      </w:r>
      <w:r w:rsidRPr="00DC1A5F">
        <w:t xml:space="preserve"> </w:t>
      </w:r>
      <w:r w:rsidRPr="00DC1A5F">
        <w:rPr>
          <w:i/>
          <w:iCs/>
        </w:rPr>
        <w:t xml:space="preserve">maya + </w:t>
      </w:r>
      <w:proofErr w:type="spellStart"/>
      <w:r w:rsidRPr="00DC1A5F">
        <w:rPr>
          <w:i/>
          <w:iCs/>
        </w:rPr>
        <w:t>tā</w:t>
      </w:r>
      <w:proofErr w:type="spellEnd"/>
      <w:r w:rsidRPr="00DC1A5F">
        <w:t xml:space="preserve"> = “no–producido–de–ello”. Su significado corresponde al desapego hacia cualquier forma de ser.</w:t>
      </w:r>
    </w:p>
    <w:p w14:paraId="641FBE2D" w14:textId="77777777" w:rsidR="00597DE2" w:rsidRPr="00DC1A5F" w:rsidRDefault="00597DE2" w:rsidP="00597DE2">
      <w:r w:rsidRPr="00DC1A5F">
        <w:br w:type="page"/>
      </w:r>
    </w:p>
    <w:p w14:paraId="30CFB544" w14:textId="77777777" w:rsidR="00597DE2" w:rsidRPr="00DC1A5F" w:rsidRDefault="00597DE2" w:rsidP="00597DE2"/>
    <w:p w14:paraId="2B69C147" w14:textId="77777777" w:rsidR="00597DE2" w:rsidRPr="00DC1A5F" w:rsidRDefault="00597DE2" w:rsidP="00597DE2">
      <w:r w:rsidRPr="00DC1A5F">
        <w:t xml:space="preserve"> (M III 220). En el </w:t>
      </w:r>
      <w:proofErr w:type="spellStart"/>
      <w:r w:rsidRPr="00DC1A5F">
        <w:rPr>
          <w:i/>
          <w:iCs/>
        </w:rPr>
        <w:t>Alagadda</w:t>
      </w:r>
      <w:proofErr w:type="spellEnd"/>
      <w:r w:rsidRPr="00DC1A5F">
        <w:rPr>
          <w:i/>
          <w:iCs/>
        </w:rPr>
        <w:t xml:space="preserve"> Sutta</w:t>
      </w:r>
      <w:r w:rsidRPr="00DC1A5F">
        <w:t xml:space="preserve"> se le llama “desapasionamiento” (</w:t>
      </w:r>
      <w:proofErr w:type="spellStart"/>
      <w:r w:rsidRPr="00DC1A5F">
        <w:rPr>
          <w:i/>
          <w:iCs/>
        </w:rPr>
        <w:t>nibbidā</w:t>
      </w:r>
      <w:proofErr w:type="spellEnd"/>
      <w:r w:rsidRPr="00DC1A5F">
        <w:t>) y, por lo tanto, “Al habitar desapasionado, su codicia se desvanecerá. Con el desvanecimiento de la codicia él se liberará” (M I 139).</w:t>
      </w:r>
    </w:p>
    <w:p w14:paraId="132896E3" w14:textId="77777777" w:rsidR="00597DE2" w:rsidRPr="00DC1A5F" w:rsidRDefault="00597DE2" w:rsidP="00597DE2">
      <w:pPr>
        <w:pStyle w:val="NormalConSangria"/>
      </w:pPr>
      <w:r w:rsidRPr="00DC1A5F">
        <w:t xml:space="preserve">En el </w:t>
      </w:r>
      <w:proofErr w:type="spellStart"/>
      <w:r w:rsidRPr="00DC1A5F">
        <w:rPr>
          <w:i/>
          <w:iCs/>
        </w:rPr>
        <w:t>Susīma</w:t>
      </w:r>
      <w:proofErr w:type="spellEnd"/>
      <w:r w:rsidRPr="00DC1A5F">
        <w:rPr>
          <w:i/>
          <w:iCs/>
        </w:rPr>
        <w:t xml:space="preserve"> Sutta,</w:t>
      </w:r>
      <w:r w:rsidRPr="00DC1A5F">
        <w:t xml:space="preserve"> a esta sabiduría se le denomina “conocimiento de la relación de los estados” (</w:t>
      </w:r>
      <w:proofErr w:type="spellStart"/>
      <w:r w:rsidRPr="00DC1A5F">
        <w:rPr>
          <w:i/>
          <w:iCs/>
        </w:rPr>
        <w:t>dhammaṭṭhiti</w:t>
      </w:r>
      <w:proofErr w:type="spellEnd"/>
      <w:r w:rsidRPr="00DC1A5F">
        <w:t>–</w:t>
      </w:r>
      <w:proofErr w:type="spellStart"/>
      <w:r w:rsidRPr="00DC1A5F">
        <w:t>ñāóa</w:t>
      </w:r>
      <w:proofErr w:type="spellEnd"/>
      <w:r w:rsidRPr="00DC1A5F">
        <w:t xml:space="preserve">), así: “Previamente, </w:t>
      </w:r>
      <w:proofErr w:type="spellStart"/>
      <w:r w:rsidRPr="00DC1A5F">
        <w:rPr>
          <w:i/>
          <w:iCs/>
        </w:rPr>
        <w:t>Susīma</w:t>
      </w:r>
      <w:proofErr w:type="spellEnd"/>
      <w:r w:rsidRPr="00DC1A5F">
        <w:t xml:space="preserve">, se manifestará un conocimiento sobre la relación </w:t>
      </w:r>
      <w:r w:rsidRPr="00DC1A5F">
        <w:rPr>
          <w:color w:val="833C0B" w:themeColor="accent2" w:themeShade="80"/>
          <w:u w:color="000000"/>
        </w:rPr>
        <w:t>causal</w:t>
      </w:r>
      <w:r w:rsidRPr="00DC1A5F">
        <w:rPr>
          <w:i/>
          <w:iCs/>
        </w:rPr>
        <w:t xml:space="preserve"> </w:t>
      </w:r>
      <w:r w:rsidRPr="00DC1A5F">
        <w:t xml:space="preserve">de los estados; posteriormente, el conocimiento del </w:t>
      </w:r>
      <w:r w:rsidRPr="00DC1A5F">
        <w:rPr>
          <w:i/>
          <w:iCs/>
        </w:rPr>
        <w:t>Nibbāna</w:t>
      </w:r>
      <w:r w:rsidRPr="00DC1A5F">
        <w:t xml:space="preserve">” (S II 124). En el </w:t>
      </w:r>
      <w:proofErr w:type="spellStart"/>
      <w:r w:rsidRPr="00DC1A5F">
        <w:rPr>
          <w:i/>
          <w:iCs/>
        </w:rPr>
        <w:t>Poṭṭhapāda</w:t>
      </w:r>
      <w:proofErr w:type="spellEnd"/>
      <w:r w:rsidRPr="00DC1A5F">
        <w:rPr>
          <w:i/>
          <w:iCs/>
        </w:rPr>
        <w:t xml:space="preserve"> Sutta</w:t>
      </w:r>
      <w:r w:rsidRPr="00DC1A5F">
        <w:t xml:space="preserve"> se le denomina “culminación de la percepción” (</w:t>
      </w:r>
      <w:proofErr w:type="spellStart"/>
      <w:r w:rsidRPr="00DC1A5F">
        <w:rPr>
          <w:i/>
          <w:iCs/>
        </w:rPr>
        <w:t>saññagga</w:t>
      </w:r>
      <w:proofErr w:type="spellEnd"/>
      <w:r w:rsidRPr="00DC1A5F">
        <w:t xml:space="preserve">), así: “Primero, </w:t>
      </w:r>
      <w:proofErr w:type="spellStart"/>
      <w:r w:rsidRPr="00DC1A5F">
        <w:rPr>
          <w:i/>
          <w:iCs/>
        </w:rPr>
        <w:t>Poṭṭhapāda</w:t>
      </w:r>
      <w:proofErr w:type="spellEnd"/>
      <w:r w:rsidRPr="00DC1A5F">
        <w:t xml:space="preserve">, surgirá la culminación de la percepción y, luego, el conocimiento” (D I 185). En el </w:t>
      </w:r>
      <w:proofErr w:type="spellStart"/>
      <w:r w:rsidRPr="00DC1A5F">
        <w:rPr>
          <w:i/>
          <w:iCs/>
        </w:rPr>
        <w:t>Dasuttara</w:t>
      </w:r>
      <w:proofErr w:type="spellEnd"/>
      <w:r w:rsidRPr="00DC1A5F">
        <w:rPr>
          <w:i/>
          <w:iCs/>
        </w:rPr>
        <w:t xml:space="preserve"> Sutta,</w:t>
      </w:r>
      <w:r w:rsidRPr="00DC1A5F">
        <w:t xml:space="preserve"> se le denomina el “principal factor de la pureza” (</w:t>
      </w:r>
      <w:proofErr w:type="spellStart"/>
      <w:r w:rsidRPr="00DC1A5F">
        <w:rPr>
          <w:i/>
          <w:iCs/>
        </w:rPr>
        <w:t>parisuddhi</w:t>
      </w:r>
      <w:proofErr w:type="spellEnd"/>
      <w:r w:rsidRPr="00DC1A5F">
        <w:rPr>
          <w:i/>
          <w:iCs/>
        </w:rPr>
        <w:t>–</w:t>
      </w:r>
      <w:proofErr w:type="spellStart"/>
      <w:r w:rsidRPr="00DC1A5F">
        <w:rPr>
          <w:i/>
          <w:iCs/>
        </w:rPr>
        <w:t>padhāniyaṅga</w:t>
      </w:r>
      <w:proofErr w:type="spellEnd"/>
      <w:r w:rsidRPr="00DC1A5F">
        <w:t>), así: “La purificación mediante el conocimiento y la visión del sendero corresponderá al principal factor de la pureza” (D III 288).</w:t>
      </w:r>
    </w:p>
    <w:p w14:paraId="173150FE" w14:textId="77777777" w:rsidR="00597DE2" w:rsidRPr="00DC1A5F" w:rsidRDefault="00597DE2" w:rsidP="00597DE2">
      <w:pPr>
        <w:pStyle w:val="NormalConSangria"/>
      </w:pPr>
      <w:r w:rsidRPr="00DC1A5F">
        <w:t xml:space="preserve">En el </w:t>
      </w:r>
      <w:proofErr w:type="spellStart"/>
      <w:r w:rsidRPr="00DC1A5F">
        <w:rPr>
          <w:i/>
          <w:iCs/>
        </w:rPr>
        <w:t>Paṭisambhidāmagga</w:t>
      </w:r>
      <w:proofErr w:type="spellEnd"/>
      <w:r w:rsidRPr="00DC1A5F">
        <w:rPr>
          <w:i/>
          <w:iCs/>
        </w:rPr>
        <w:t xml:space="preserve">, </w:t>
      </w:r>
      <w:r w:rsidRPr="00DC1A5F">
        <w:t>a la sabiduría</w:t>
      </w:r>
      <w:r w:rsidRPr="00DC1A5F">
        <w:rPr>
          <w:i/>
          <w:iCs/>
        </w:rPr>
        <w:t xml:space="preserve"> </w:t>
      </w:r>
      <w:r w:rsidRPr="00DC1A5F">
        <w:t>se le denomina mediante 3 nombres, así: “Deseo por la liberación, contemplación de la reflexión y ecuanimidad con respecto a las formaciones: estas cosas serán una en significado y sólo, diferentes en la letra” (</w:t>
      </w:r>
      <w:proofErr w:type="spellStart"/>
      <w:r w:rsidRPr="00DC1A5F">
        <w:rPr>
          <w:i/>
          <w:iCs/>
        </w:rPr>
        <w:t>Paṭis</w:t>
      </w:r>
      <w:proofErr w:type="spellEnd"/>
      <w:r w:rsidRPr="00DC1A5F">
        <w:t xml:space="preserve"> II 64). En el </w:t>
      </w:r>
      <w:proofErr w:type="spellStart"/>
      <w:r w:rsidRPr="00DC1A5F">
        <w:rPr>
          <w:i/>
          <w:iCs/>
        </w:rPr>
        <w:t>Paṭṭhāna</w:t>
      </w:r>
      <w:proofErr w:type="spellEnd"/>
      <w:r w:rsidRPr="00DC1A5F">
        <w:rPr>
          <w:i/>
          <w:iCs/>
        </w:rPr>
        <w:t>,</w:t>
      </w:r>
      <w:r w:rsidRPr="00DC1A5F">
        <w:t xml:space="preserve"> a esta sabiduría se le denomina mediante dos nombres, así: “conformidad con respecto al cambio de linaje” y “conformidad con respecto a la purificación”.</w:t>
      </w:r>
      <w:r w:rsidRPr="00DC1A5F">
        <w:rPr>
          <w:vertAlign w:val="superscript"/>
        </w:rPr>
        <w:t>44</w:t>
      </w:r>
      <w:r w:rsidRPr="00DC1A5F">
        <w:t xml:space="preserve"> (</w:t>
      </w:r>
      <w:proofErr w:type="spellStart"/>
      <w:r w:rsidRPr="00DC1A5F">
        <w:rPr>
          <w:i/>
          <w:iCs/>
        </w:rPr>
        <w:t>Paṭṭh</w:t>
      </w:r>
      <w:proofErr w:type="spellEnd"/>
      <w:r w:rsidRPr="00DC1A5F">
        <w:t xml:space="preserve"> 1, 159).</w:t>
      </w:r>
    </w:p>
    <w:p w14:paraId="59FCE189" w14:textId="77777777" w:rsidR="00597DE2" w:rsidRPr="00DC1A5F" w:rsidRDefault="00597DE2" w:rsidP="00597DE2">
      <w:pPr>
        <w:pStyle w:val="NormalConSangria"/>
      </w:pPr>
      <w:r w:rsidRPr="00DC1A5F">
        <w:t xml:space="preserve">En el </w:t>
      </w:r>
      <w:proofErr w:type="spellStart"/>
      <w:r w:rsidRPr="00DC1A5F">
        <w:rPr>
          <w:i/>
          <w:iCs/>
        </w:rPr>
        <w:t>Rathavinīta</w:t>
      </w:r>
      <w:proofErr w:type="spellEnd"/>
      <w:r w:rsidRPr="00DC1A5F">
        <w:rPr>
          <w:i/>
          <w:iCs/>
        </w:rPr>
        <w:t xml:space="preserve"> Sutta,</w:t>
      </w:r>
      <w:r w:rsidRPr="00DC1A5F">
        <w:t xml:space="preserve"> se le denomina “purificación mediante el conocimiento y la visión del sendero”, así: “¿Pero cómo, amigo, cómo se da el propósito de la purificación mediante el conocimiento y la visión del sendero mediante el cual se habita en una vida de pureza bajo un </w:t>
      </w:r>
      <w:r w:rsidRPr="00DC1A5F">
        <w:rPr>
          <w:i/>
          <w:iCs/>
        </w:rPr>
        <w:t>Bhagavā</w:t>
      </w:r>
      <w:r w:rsidRPr="00DC1A5F">
        <w:t>?” (M I 147).</w:t>
      </w:r>
    </w:p>
    <w:p w14:paraId="556526A0" w14:textId="77777777" w:rsidR="00597DE2" w:rsidRPr="00DC1A5F" w:rsidRDefault="00597DE2" w:rsidP="00597DE2">
      <w:pPr>
        <w:pStyle w:val="VersoIngls01Sangria"/>
        <w:tabs>
          <w:tab w:val="clear" w:pos="425"/>
          <w:tab w:val="left" w:pos="1843"/>
        </w:tabs>
        <w:ind w:left="0"/>
        <w:rPr>
          <w:sz w:val="16"/>
          <w:szCs w:val="20"/>
        </w:rPr>
      </w:pPr>
      <w:r w:rsidRPr="00DC1A5F">
        <w:t xml:space="preserve">136. </w:t>
      </w:r>
      <w:r w:rsidRPr="00DC1A5F">
        <w:tab/>
        <w:t>El</w:t>
      </w:r>
      <w:r w:rsidRPr="00DC1A5F">
        <w:rPr>
          <w:sz w:val="16"/>
          <w:szCs w:val="20"/>
        </w:rPr>
        <w:t xml:space="preserve"> Mayor Sabio lo proclamó así:</w:t>
      </w:r>
    </w:p>
    <w:p w14:paraId="2487AA82" w14:textId="77777777" w:rsidR="00597DE2" w:rsidRPr="00DC1A5F" w:rsidRDefault="00597DE2" w:rsidP="00597DE2">
      <w:pPr>
        <w:pStyle w:val="VersoIngls01Sangria"/>
        <w:ind w:left="1843"/>
        <w:rPr>
          <w:sz w:val="16"/>
          <w:szCs w:val="20"/>
        </w:rPr>
      </w:pPr>
      <w:r w:rsidRPr="00DC1A5F">
        <w:rPr>
          <w:sz w:val="16"/>
          <w:szCs w:val="20"/>
        </w:rPr>
        <w:t xml:space="preserve">Esta sabiduría apaciguada y purificada, </w:t>
      </w:r>
    </w:p>
    <w:p w14:paraId="03A503AA" w14:textId="77777777" w:rsidR="00597DE2" w:rsidRPr="00DC1A5F" w:rsidRDefault="00597DE2" w:rsidP="00597DE2">
      <w:pPr>
        <w:pStyle w:val="VersoIngls01Sangria"/>
        <w:ind w:left="1843"/>
        <w:rPr>
          <w:sz w:val="16"/>
          <w:szCs w:val="20"/>
        </w:rPr>
      </w:pPr>
      <w:r w:rsidRPr="00DC1A5F">
        <w:rPr>
          <w:sz w:val="16"/>
          <w:szCs w:val="20"/>
        </w:rPr>
        <w:t xml:space="preserve">Conducente además hacia el emerger, </w:t>
      </w:r>
    </w:p>
    <w:p w14:paraId="6C8A3A57" w14:textId="77777777" w:rsidR="00597DE2" w:rsidRPr="00DC1A5F" w:rsidRDefault="00597DE2" w:rsidP="00597DE2">
      <w:pPr>
        <w:pStyle w:val="VersoIngls01Sangria"/>
        <w:ind w:left="1843"/>
        <w:rPr>
          <w:sz w:val="16"/>
          <w:szCs w:val="20"/>
        </w:rPr>
      </w:pPr>
      <w:r w:rsidRPr="00DC1A5F">
        <w:rPr>
          <w:sz w:val="16"/>
          <w:szCs w:val="20"/>
        </w:rPr>
        <w:t>Han sido, sus muchos nombres, impecablemente seleccionados.</w:t>
      </w:r>
    </w:p>
    <w:p w14:paraId="0DED148B" w14:textId="77777777" w:rsidR="00597DE2" w:rsidRPr="00DC1A5F" w:rsidRDefault="00597DE2" w:rsidP="00597DE2">
      <w:pPr>
        <w:pStyle w:val="VersoIngls01Sangria"/>
        <w:ind w:left="1843"/>
        <w:rPr>
          <w:sz w:val="16"/>
          <w:szCs w:val="20"/>
        </w:rPr>
      </w:pPr>
      <w:r w:rsidRPr="00DC1A5F">
        <w:rPr>
          <w:sz w:val="16"/>
          <w:szCs w:val="20"/>
        </w:rPr>
        <w:t>El cenagal del sufrimiento del renacimiento</w:t>
      </w:r>
    </w:p>
    <w:p w14:paraId="5B39D290" w14:textId="77777777" w:rsidR="00597DE2" w:rsidRPr="00DC1A5F" w:rsidRDefault="00597DE2" w:rsidP="00597DE2">
      <w:pPr>
        <w:pStyle w:val="VersoIngls01Sangria"/>
        <w:ind w:left="1843"/>
        <w:rPr>
          <w:sz w:val="16"/>
          <w:szCs w:val="20"/>
        </w:rPr>
      </w:pPr>
      <w:r w:rsidRPr="00DC1A5F">
        <w:rPr>
          <w:sz w:val="16"/>
          <w:szCs w:val="20"/>
        </w:rPr>
        <w:t>Es vasto y terrible; un hombre</w:t>
      </w:r>
    </w:p>
    <w:p w14:paraId="544FD5BF" w14:textId="77777777" w:rsidR="00597DE2" w:rsidRPr="00DC1A5F" w:rsidRDefault="00597DE2" w:rsidP="00597DE2">
      <w:pPr>
        <w:pStyle w:val="VersoIngls01Sangria"/>
        <w:ind w:left="1843"/>
        <w:rPr>
          <w:sz w:val="16"/>
          <w:szCs w:val="20"/>
        </w:rPr>
      </w:pPr>
      <w:r w:rsidRPr="00DC1A5F">
        <w:rPr>
          <w:sz w:val="16"/>
          <w:szCs w:val="20"/>
        </w:rPr>
        <w:t xml:space="preserve">Debería sabiamente esforzarse lo mejor que pueda, </w:t>
      </w:r>
    </w:p>
    <w:p w14:paraId="15C7EEC2" w14:textId="77777777" w:rsidR="00597DE2" w:rsidRPr="00DC1A5F" w:rsidRDefault="00597DE2" w:rsidP="00597DE2">
      <w:pPr>
        <w:pStyle w:val="VersoIngls01Sangria"/>
        <w:spacing w:after="100"/>
        <w:ind w:left="1843"/>
        <w:rPr>
          <w:sz w:val="16"/>
          <w:szCs w:val="20"/>
        </w:rPr>
      </w:pPr>
      <w:r w:rsidRPr="00DC1A5F">
        <w:rPr>
          <w:sz w:val="16"/>
          <w:szCs w:val="20"/>
        </w:rPr>
        <w:t>Si quiere desarrollar este emerger.</w:t>
      </w:r>
    </w:p>
    <w:p w14:paraId="321F514F" w14:textId="77777777" w:rsidR="00597DE2" w:rsidRPr="00DC1A5F" w:rsidRDefault="00597DE2" w:rsidP="00597DE2">
      <w:pPr>
        <w:ind w:left="709" w:right="1043"/>
      </w:pPr>
      <w:r w:rsidRPr="00DC1A5F">
        <w:t xml:space="preserve">Éste ha sido el vigésimo primer capítulo bajo el título de “Purificación mediante el Conocimiento y la Visión del Sendero” del Tratado sobre el Desarrollo del Entendimiento del </w:t>
      </w:r>
      <w:r w:rsidRPr="00DC1A5F">
        <w:rPr>
          <w:i/>
          <w:iCs/>
        </w:rPr>
        <w:t xml:space="preserve">Sendero de la Purificación </w:t>
      </w:r>
      <w:r w:rsidRPr="00DC1A5F">
        <w:t>compuesto para alegría de buenas personas.</w:t>
      </w:r>
    </w:p>
    <w:p w14:paraId="767F0C74" w14:textId="77777777" w:rsidR="00597DE2" w:rsidRPr="00DC1A5F" w:rsidRDefault="00597DE2" w:rsidP="00597DE2">
      <w:pPr>
        <w:tabs>
          <w:tab w:val="clear" w:pos="425"/>
        </w:tabs>
        <w:spacing w:after="160"/>
      </w:pPr>
    </w:p>
    <w:p w14:paraId="030DA64C" w14:textId="77777777" w:rsidR="00597DE2" w:rsidRPr="00DC1A5F" w:rsidRDefault="00597DE2" w:rsidP="00597DE2">
      <w:pPr>
        <w:tabs>
          <w:tab w:val="clear" w:pos="425"/>
        </w:tabs>
        <w:spacing w:after="160"/>
      </w:pPr>
    </w:p>
    <w:p w14:paraId="3DB1514E" w14:textId="77777777" w:rsidR="00597DE2" w:rsidRPr="00DC1A5F" w:rsidRDefault="00597DE2" w:rsidP="00597DE2">
      <w:pPr>
        <w:tabs>
          <w:tab w:val="clear" w:pos="425"/>
        </w:tabs>
        <w:spacing w:after="160"/>
      </w:pPr>
    </w:p>
    <w:p w14:paraId="5688F0CF" w14:textId="77777777" w:rsidR="00597DE2" w:rsidRPr="00DC1A5F" w:rsidRDefault="00597DE2" w:rsidP="00597DE2">
      <w:pPr>
        <w:tabs>
          <w:tab w:val="clear" w:pos="425"/>
        </w:tabs>
        <w:spacing w:after="160"/>
      </w:pPr>
    </w:p>
    <w:p w14:paraId="5E8B0D0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77F27CD" w14:textId="77777777" w:rsidR="00597DE2" w:rsidRPr="00DC1A5F" w:rsidRDefault="00597DE2" w:rsidP="00597DE2">
      <w:pPr>
        <w:pStyle w:val="PiedepginaLegal"/>
        <w:numPr>
          <w:ilvl w:val="0"/>
          <w:numId w:val="10"/>
        </w:numPr>
        <w:tabs>
          <w:tab w:val="clear" w:pos="425"/>
          <w:tab w:val="left" w:pos="284"/>
        </w:tabs>
        <w:ind w:left="284" w:hanging="284"/>
      </w:pPr>
      <w:r w:rsidRPr="00DC1A5F">
        <w:t xml:space="preserve">La palabra </w:t>
      </w:r>
      <w:proofErr w:type="spellStart"/>
      <w:r w:rsidRPr="00DC1A5F">
        <w:rPr>
          <w:i/>
          <w:iCs/>
        </w:rPr>
        <w:t>vodāna</w:t>
      </w:r>
      <w:proofErr w:type="spellEnd"/>
      <w:r w:rsidRPr="00DC1A5F">
        <w:t xml:space="preserve"> (“purificación”) es utilizada, en general, en el sentido más amplio de “purificar”, en el Cap. I. §143. Para un sentido más técnico bajo este contexto, según el </w:t>
      </w:r>
      <w:proofErr w:type="spellStart"/>
      <w:r w:rsidRPr="00DC1A5F">
        <w:rPr>
          <w:i/>
          <w:iCs/>
        </w:rPr>
        <w:t>Abhidhamma</w:t>
      </w:r>
      <w:proofErr w:type="spellEnd"/>
      <w:r w:rsidRPr="00DC1A5F">
        <w:rPr>
          <w:i/>
          <w:iCs/>
        </w:rPr>
        <w:t>,</w:t>
      </w:r>
      <w:r w:rsidRPr="00DC1A5F">
        <w:t xml:space="preserve"> consultar el Cap. XXII, nota 7.</w:t>
      </w:r>
    </w:p>
    <w:p w14:paraId="042692AE" w14:textId="77777777" w:rsidR="00597DE2" w:rsidRPr="00DC1A5F" w:rsidRDefault="00597DE2" w:rsidP="00597DE2">
      <w:pPr>
        <w:pStyle w:val="PiedepginaLegal"/>
      </w:pPr>
      <w:r w:rsidRPr="00DC1A5F">
        <w:br w:type="page"/>
      </w:r>
    </w:p>
    <w:p w14:paraId="56D5E152" w14:textId="77777777" w:rsidR="00597DE2" w:rsidRPr="00DC1A5F" w:rsidRDefault="00597DE2" w:rsidP="00597DE2">
      <w:pPr>
        <w:pStyle w:val="NormalConSangria"/>
      </w:pPr>
    </w:p>
    <w:p w14:paraId="6631E4E6" w14:textId="77777777" w:rsidR="00597DE2" w:rsidRPr="00DC1A5F" w:rsidRDefault="00597DE2" w:rsidP="00597DE2">
      <w:pPr>
        <w:pStyle w:val="Ttulo2"/>
        <w:jc w:val="center"/>
      </w:pPr>
      <w:bookmarkStart w:id="10" w:name="_Toc142334417"/>
      <w:r w:rsidRPr="00DC1A5F">
        <w:t>Capítulo XXII</w:t>
      </w:r>
      <w:r w:rsidRPr="00DC1A5F">
        <w:br/>
        <w:t xml:space="preserve">Purificación Mediante </w:t>
      </w:r>
      <w:r w:rsidRPr="00DC1A5F">
        <w:br/>
        <w:t>el Conocimiento y la Visión</w:t>
      </w:r>
      <w:bookmarkEnd w:id="10"/>
    </w:p>
    <w:p w14:paraId="23272ACA" w14:textId="77777777" w:rsidR="00597DE2" w:rsidRPr="00DC1A5F" w:rsidRDefault="00597DE2" w:rsidP="00597DE2"/>
    <w:p w14:paraId="30A15C0E" w14:textId="77777777" w:rsidR="00597DE2" w:rsidRPr="00DC1A5F" w:rsidRDefault="00597DE2" w:rsidP="00597DE2">
      <w:pPr>
        <w:pStyle w:val="NormalConSangria"/>
        <w:jc w:val="center"/>
        <w:rPr>
          <w:b/>
          <w:bCs/>
          <w:sz w:val="22"/>
          <w:szCs w:val="28"/>
        </w:rPr>
      </w:pPr>
      <w:r w:rsidRPr="00DC1A5F">
        <w:rPr>
          <w:b/>
          <w:bCs/>
          <w:sz w:val="22"/>
          <w:szCs w:val="28"/>
        </w:rPr>
        <w:t>(</w:t>
      </w:r>
      <w:proofErr w:type="spellStart"/>
      <w:r w:rsidRPr="00DC1A5F">
        <w:rPr>
          <w:b/>
          <w:bCs/>
          <w:i/>
          <w:iCs/>
          <w:sz w:val="22"/>
          <w:szCs w:val="28"/>
        </w:rPr>
        <w:t>Ñāṇadassana</w:t>
      </w:r>
      <w:proofErr w:type="spellEnd"/>
      <w:r w:rsidRPr="00DC1A5F">
        <w:rPr>
          <w:b/>
          <w:bCs/>
          <w:i/>
          <w:iCs/>
          <w:sz w:val="22"/>
          <w:szCs w:val="28"/>
        </w:rPr>
        <w:t>–</w:t>
      </w:r>
      <w:proofErr w:type="spellStart"/>
      <w:r w:rsidRPr="00DC1A5F">
        <w:rPr>
          <w:b/>
          <w:bCs/>
          <w:i/>
          <w:iCs/>
          <w:sz w:val="22"/>
          <w:szCs w:val="28"/>
        </w:rPr>
        <w:t>visuddhi</w:t>
      </w:r>
      <w:proofErr w:type="spellEnd"/>
      <w:r w:rsidRPr="00DC1A5F">
        <w:rPr>
          <w:b/>
          <w:bCs/>
          <w:i/>
          <w:iCs/>
          <w:sz w:val="22"/>
          <w:szCs w:val="28"/>
        </w:rPr>
        <w:t>–</w:t>
      </w:r>
      <w:proofErr w:type="spellStart"/>
      <w:r w:rsidRPr="00DC1A5F">
        <w:rPr>
          <w:b/>
          <w:bCs/>
          <w:i/>
          <w:iCs/>
          <w:sz w:val="22"/>
          <w:szCs w:val="28"/>
        </w:rPr>
        <w:t>niddesa</w:t>
      </w:r>
      <w:proofErr w:type="spellEnd"/>
      <w:r w:rsidRPr="00DC1A5F">
        <w:rPr>
          <w:b/>
          <w:bCs/>
          <w:sz w:val="22"/>
          <w:szCs w:val="28"/>
        </w:rPr>
        <w:t>)</w:t>
      </w:r>
    </w:p>
    <w:p w14:paraId="3955424E" w14:textId="77777777" w:rsidR="00597DE2" w:rsidRPr="00DC1A5F" w:rsidRDefault="00597DE2" w:rsidP="00597DE2">
      <w:pPr>
        <w:pStyle w:val="Ttulo3"/>
        <w:ind w:left="708"/>
      </w:pPr>
      <w:r w:rsidRPr="00DC1A5F">
        <w:t>[I. Cambio de linaje, Los Senderos y Las Fruición]</w:t>
      </w:r>
    </w:p>
    <w:p w14:paraId="16DD6D2D" w14:textId="77777777" w:rsidR="00597DE2" w:rsidRPr="00DC1A5F" w:rsidRDefault="00597DE2" w:rsidP="00597DE2">
      <w:r w:rsidRPr="00DC1A5F">
        <w:t xml:space="preserve">1. </w:t>
      </w:r>
      <w:r w:rsidRPr="00DC1A5F">
        <w:tab/>
        <w:t xml:space="preserve">[672] El </w:t>
      </w:r>
      <w:r w:rsidRPr="00DC1A5F">
        <w:rPr>
          <w:i/>
          <w:iCs/>
        </w:rPr>
        <w:t>conocimiento del cambio–de–linaje</w:t>
      </w:r>
      <w:r w:rsidRPr="00DC1A5F">
        <w:t xml:space="preserve"> vendrá después. Su posición será la de advertir el sendero, por lo que no pertenecerá ni a la purificación mediante el conocimiento y la visión del sendero, ni a la purificación mediante el conocimiento y la visión, sino que, siendo intermedia, será en realidad inasignable. Sin embargo, se considerará como una sabiduría–revelativa porque estará en consonancia con la sabiduría.</w:t>
      </w:r>
    </w:p>
    <w:p w14:paraId="47B20BB9" w14:textId="77777777" w:rsidR="00597DE2" w:rsidRPr="00DC1A5F" w:rsidRDefault="00597DE2" w:rsidP="00597DE2">
      <w:r w:rsidRPr="00DC1A5F">
        <w:t xml:space="preserve">2. </w:t>
      </w:r>
      <w:r w:rsidRPr="00DC1A5F">
        <w:tab/>
        <w:t xml:space="preserve">La purificación mediante el conocimiento y la visión consistirá propiamente del conocimiento de </w:t>
      </w:r>
      <w:r w:rsidRPr="00DC1A5F">
        <w:rPr>
          <w:color w:val="833C0B" w:themeColor="accent2" w:themeShade="80"/>
          <w:u w:color="000000"/>
        </w:rPr>
        <w:t>la consumación de</w:t>
      </w:r>
      <w:r w:rsidRPr="00DC1A5F">
        <w:t xml:space="preserve"> los cuatro senderos, es decir, 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el sendero del retornante–por–única–vez, el sendero del no–retornante y el sendero del estado de </w:t>
      </w:r>
      <w:r w:rsidRPr="00DC1A5F">
        <w:rPr>
          <w:i/>
        </w:rPr>
        <w:t>Arahant</w:t>
      </w:r>
      <w:r w:rsidRPr="00DC1A5F">
        <w:t>.</w:t>
      </w:r>
    </w:p>
    <w:p w14:paraId="147890C6" w14:textId="77777777" w:rsidR="00597DE2" w:rsidRPr="00DC1A5F" w:rsidRDefault="00597DE2" w:rsidP="00597DE2">
      <w:pPr>
        <w:pStyle w:val="Ttulo3"/>
        <w:ind w:left="708"/>
      </w:pPr>
      <w:r w:rsidRPr="00DC1A5F">
        <w:t>[El Primer Sendero: La Primera Persona Noble]</w:t>
      </w:r>
    </w:p>
    <w:p w14:paraId="7056CA3A" w14:textId="77777777" w:rsidR="00597DE2" w:rsidRPr="00DC1A5F" w:rsidRDefault="00597DE2" w:rsidP="00597DE2">
      <w:r w:rsidRPr="00DC1A5F">
        <w:t xml:space="preserve">3. </w:t>
      </w:r>
      <w:r w:rsidRPr="00DC1A5F">
        <w:tab/>
        <w:t>Al respecto, nada más necesitará ser realizado por quien quiera consumar, en primer lugar, el conocimiento del primer sendero. Porque lo que necesitará hacer ya lo habrá hecho, despertando la sabiduría–revelativa que termina con el conocimiento de la conformidad.</w:t>
      </w:r>
    </w:p>
    <w:p w14:paraId="4C990C27" w14:textId="77777777" w:rsidR="00597DE2" w:rsidRPr="00DC1A5F" w:rsidRDefault="00597DE2" w:rsidP="00597DE2">
      <w:r w:rsidRPr="00DC1A5F">
        <w:t xml:space="preserve">4. </w:t>
      </w:r>
      <w:r w:rsidRPr="00DC1A5F">
        <w:tab/>
        <w:t>Tan pronto como el conocimiento de la conformidad haya surgido así en él y la espesa oscuridad que oculta las verdades haya sido disipada mediante la respectiva fuerza propia de cada una de las tres clases de conformidad (ver XXI.129f.), entonces, su consciencia ya no entrará, ni se asentará, ni resolverá en ningún campo de las formaciones, tampoco se aferrará, se unirá o se apegará a ellas, sino que se inhibirá, se retraerá y distanciará, como lo haría el agua de una hoja de loto; y cada signo como su objeto, cada ocurrencia como su objeto, aparecerán como un impedimento.</w:t>
      </w:r>
    </w:p>
    <w:p w14:paraId="26742264" w14:textId="77777777" w:rsidR="00597DE2" w:rsidRPr="00DC1A5F" w:rsidRDefault="00597DE2" w:rsidP="00597DE2">
      <w:r w:rsidRPr="00DC1A5F">
        <w:t xml:space="preserve">5. </w:t>
      </w:r>
      <w:r w:rsidRPr="00DC1A5F">
        <w:tab/>
        <w:t xml:space="preserve">Entonces, mientras todo signo y ocurrencia le aparezca como un impedimento, cuando la repetición del conocimiento de la conformidad haya terminado, surgirá en él el conocimiento del cambio de linaje, el cual adoptará como su objeto al no–signo, a la no–ocurrencia, a la no–formación, a la cesación, al </w:t>
      </w:r>
      <w:r w:rsidRPr="00DC1A5F">
        <w:rPr>
          <w:i/>
          <w:iCs/>
        </w:rPr>
        <w:t>Nibbāna —</w:t>
      </w:r>
      <w:r w:rsidRPr="00DC1A5F">
        <w:t xml:space="preserve"> cuyo conocimiento traspasará el linaje, la categoría, el plano del hombre ordinario y entrará en el linaje, la categoría, el plano, de los hombres Nobles, </w:t>
      </w:r>
      <w:r w:rsidRPr="00DC1A5F">
        <w:rPr>
          <w:i/>
          <w:iCs/>
        </w:rPr>
        <w:t xml:space="preserve">— </w:t>
      </w:r>
      <w:r w:rsidRPr="00DC1A5F">
        <w:t xml:space="preserve">que, siendo la primera advertencia, la primera preocupación, la primera reacción, el </w:t>
      </w:r>
      <w:r w:rsidRPr="00DC1A5F">
        <w:rPr>
          <w:i/>
          <w:iCs/>
        </w:rPr>
        <w:t>Nibbāna</w:t>
      </w:r>
      <w:r w:rsidRPr="00DC1A5F">
        <w:t xml:space="preserve"> como su objeto, cumplirá el estado de una condición para el sendero de 6 maneras, como condiciones de proximidad, [673] contigüidad, repetición, soporte decisivo, ausencia y desaparición, lo cual corresponderá a la cúspide culminante de la sabiduría–revelativa, la cual será irrevocable, de la cual se dice al respecto:</w:t>
      </w:r>
    </w:p>
    <w:p w14:paraId="50581139" w14:textId="77777777" w:rsidR="00597DE2" w:rsidRPr="00DC1A5F" w:rsidRDefault="00597DE2" w:rsidP="00597DE2">
      <w:pPr>
        <w:tabs>
          <w:tab w:val="clear" w:pos="425"/>
        </w:tabs>
        <w:spacing w:after="160"/>
      </w:pPr>
      <w:r w:rsidRPr="00DC1A5F">
        <w:br w:type="page"/>
      </w:r>
    </w:p>
    <w:p w14:paraId="5D9988B4" w14:textId="77777777" w:rsidR="00597DE2" w:rsidRPr="00DC1A5F" w:rsidRDefault="00597DE2" w:rsidP="00597DE2"/>
    <w:p w14:paraId="661E48CA" w14:textId="77777777" w:rsidR="00597DE2" w:rsidRPr="00DC1A5F" w:rsidRDefault="00597DE2" w:rsidP="00597DE2">
      <w:r w:rsidRPr="00DC1A5F">
        <w:t>“¿Cómo es que el entendimiento del emerger y el distanciamiento de lo externo</w:t>
      </w:r>
      <w:r w:rsidRPr="00DC1A5F">
        <w:rPr>
          <w:vertAlign w:val="superscript"/>
        </w:rPr>
        <w:t>1</w:t>
      </w:r>
      <w:r w:rsidRPr="00DC1A5F">
        <w:t xml:space="preserve"> corresponderá al conocimiento del cambio de linaje?</w:t>
      </w:r>
    </w:p>
    <w:p w14:paraId="32DB60B3" w14:textId="77777777" w:rsidR="00597DE2" w:rsidRPr="00DC1A5F" w:rsidRDefault="00597DE2" w:rsidP="00597DE2">
      <w:pPr>
        <w:pStyle w:val="NormalConSangria"/>
      </w:pPr>
      <w:r w:rsidRPr="00DC1A5F">
        <w:t>“El entendimiento trascenderá el emerger, por lo que corresponderá a un cambio de linaje. Éste trascenderá la ocurrencia... el signo... la acumulación... el vínculo–de–renacimiento... el destino... la generación... el resurgimiento... el renacimiento... el envejecimiento... la enfermedad... la muerte... el dolor... la lamentación...]. El entendimiento trascenderá la desesperación, por lo que corresponderá a un cambio de linaje. Éste trascenderá exteriormente el signo de las formaciones, por lo tanto corresponderá a un cambio de linaje.</w:t>
      </w:r>
    </w:p>
    <w:p w14:paraId="25197B69" w14:textId="77777777" w:rsidR="00597DE2" w:rsidRPr="00DC1A5F" w:rsidRDefault="00597DE2" w:rsidP="00597DE2">
      <w:pPr>
        <w:pStyle w:val="NormalConSangria"/>
      </w:pPr>
      <w:r w:rsidRPr="00DC1A5F">
        <w:t>“Este entendimiento penetrará en</w:t>
      </w:r>
      <w:r w:rsidRPr="00DC1A5F">
        <w:rPr>
          <w:vertAlign w:val="superscript"/>
        </w:rPr>
        <w:t>2</w:t>
      </w:r>
      <w:r w:rsidRPr="00DC1A5F">
        <w:t xml:space="preserve"> el no–surgimiento, por lo tanto, corresponderá a un cambio de linaje. Éste penetrará en la no–ocurrencia, entonces corresponderá a un cambio–de–linaje… (</w:t>
      </w:r>
      <w:proofErr w:type="gramStart"/>
      <w:r w:rsidRPr="00DC1A5F">
        <w:t>etc.)…</w:t>
      </w:r>
      <w:proofErr w:type="gramEnd"/>
      <w:r w:rsidRPr="00DC1A5F">
        <w:t xml:space="preserve"> penetrará en la no–desesperación, por lo tanto corresponderá a un cambio–de–linaje. Penetrará en la cesación, en el </w:t>
      </w:r>
      <w:r w:rsidRPr="00DC1A5F">
        <w:rPr>
          <w:i/>
          <w:iCs/>
        </w:rPr>
        <w:t>Nibbāna</w:t>
      </w:r>
      <w:r w:rsidRPr="00DC1A5F">
        <w:t>, por lo que corresponderá a un cambio de linaje.</w:t>
      </w:r>
    </w:p>
    <w:p w14:paraId="5DA03074" w14:textId="77777777" w:rsidR="00597DE2" w:rsidRPr="00DC1A5F" w:rsidRDefault="00597DE2" w:rsidP="00597DE2">
      <w:pPr>
        <w:pStyle w:val="NormalConSangria"/>
      </w:pPr>
      <w:r w:rsidRPr="00DC1A5F">
        <w:t>“Habiendo superado el surgimiento, penetrará en el no–surgimiento, por lo que corresponderá a un cambio de linaje…” (</w:t>
      </w:r>
      <w:proofErr w:type="spellStart"/>
      <w:r w:rsidRPr="00DC1A5F">
        <w:rPr>
          <w:i/>
          <w:iCs/>
        </w:rPr>
        <w:t>Paṭis</w:t>
      </w:r>
      <w:proofErr w:type="spellEnd"/>
      <w:r w:rsidRPr="00DC1A5F">
        <w:t xml:space="preserve"> I 56) etc., todo lo siguiente deberá citarse similarmente.</w:t>
      </w:r>
    </w:p>
    <w:p w14:paraId="656FACA7" w14:textId="77777777" w:rsidR="00597DE2" w:rsidRPr="00DC1A5F" w:rsidRDefault="00597DE2" w:rsidP="00597DE2">
      <w:pPr>
        <w:rPr>
          <w:u w:color="000000"/>
        </w:rPr>
      </w:pPr>
      <w:r w:rsidRPr="00DC1A5F">
        <w:t xml:space="preserve">6. </w:t>
      </w:r>
      <w:r w:rsidRPr="00DC1A5F">
        <w:tab/>
        <w:t xml:space="preserve">Aquí un símil que ilustrará cómo la </w:t>
      </w:r>
      <w:r w:rsidRPr="00DC1A5F">
        <w:rPr>
          <w:i/>
          <w:iCs/>
        </w:rPr>
        <w:t>conformidad</w:t>
      </w:r>
      <w:r w:rsidRPr="00DC1A5F">
        <w:t xml:space="preserve"> y el </w:t>
      </w:r>
      <w:r w:rsidRPr="00DC1A5F">
        <w:rPr>
          <w:i/>
          <w:iCs/>
        </w:rPr>
        <w:t>cambio–de–linaje</w:t>
      </w:r>
      <w:r w:rsidRPr="00DC1A5F">
        <w:t xml:space="preserve"> ocurrirán con diferentes objetos, aunque ocurran en una sola serie cognitiva y con una sola advertencia. Supongamos que un hombre quisiera saltar a través de un ancho río y llegar a la otra orilla, a la opuesta; éste correría rápido y, agarrando una cuerda atada a la rama de un árbol en la orilla cercana del río y, colgándose de un poste, saltaría con el cuerpo inclinado y orientado en dirección hacia la otra orilla y, cuando llegase a la otra orilla, se soltaría de la cuerda, caería sobre esta orilla, tambaleándose primero pero luego sostenido por esa otra orilla</w:t>
      </w:r>
      <w:r w:rsidRPr="00DC1A5F">
        <w:rPr>
          <w:u w:color="000000"/>
        </w:rPr>
        <w:t xml:space="preserve">; así también este meditador, que desee establecerse en el </w:t>
      </w:r>
      <w:r w:rsidRPr="00DC1A5F">
        <w:rPr>
          <w:i/>
          <w:iCs/>
          <w:u w:color="000000"/>
        </w:rPr>
        <w:t>Nibbāna</w:t>
      </w:r>
      <w:r w:rsidRPr="00DC1A5F">
        <w:rPr>
          <w:u w:color="000000"/>
        </w:rPr>
        <w:t xml:space="preserve">, en la otra orilla, opuesta a los tipos de devenir, generación, destino, estación y plano existencial, correrá rápidamente, por medio de la contemplación del surgimiento y la desaparición, etc., y, agarrándose de la conformidad y advirtiendo la impermanencia, la insatisfactoriedad o el no–alma, con la cuerda de la materialidad atada a la rama de su individualidad y colgante de ella, o a uno de los postes, comenzando con la sensación, saltará con la primera consciencia de la conformidad, sin soltarse de ella, y con la segunda se dirigirá, se inclinará y se orientará hacia el </w:t>
      </w:r>
      <w:r w:rsidRPr="00DC1A5F">
        <w:rPr>
          <w:i/>
          <w:iCs/>
          <w:u w:color="000000"/>
        </w:rPr>
        <w:t>Nibbāna</w:t>
      </w:r>
      <w:r w:rsidRPr="00DC1A5F">
        <w:rPr>
          <w:u w:color="000000"/>
        </w:rPr>
        <w:t>, como el cuerpo que tendió, se inclinó y se orientó hacia la otra orilla;</w:t>
      </w:r>
      <w:r w:rsidRPr="00DC1A5F">
        <w:rPr>
          <w:color w:val="833C0B" w:themeColor="accent2" w:themeShade="80"/>
          <w:u w:color="000000"/>
        </w:rPr>
        <w:t xml:space="preserve"> </w:t>
      </w:r>
      <w:r w:rsidRPr="00DC1A5F">
        <w:rPr>
          <w:u w:color="000000"/>
        </w:rPr>
        <w:t xml:space="preserve">luego, estando con el tercero junto al </w:t>
      </w:r>
      <w:r w:rsidRPr="00DC1A5F">
        <w:rPr>
          <w:i/>
          <w:iCs/>
          <w:u w:color="000000"/>
        </w:rPr>
        <w:t>Nibbāna</w:t>
      </w:r>
      <w:r w:rsidRPr="00DC1A5F">
        <w:rPr>
          <w:u w:color="000000"/>
        </w:rPr>
        <w:t xml:space="preserve">, que entonces será alcanzable, como el otro llegando por encima a la orilla opuesta, dejará ir esa información como objeto con la cesación de esa consciencia y con la consciencia del cambio–de–linaje, arribará al </w:t>
      </w:r>
      <w:r w:rsidRPr="00DC1A5F">
        <w:rPr>
          <w:i/>
          <w:iCs/>
          <w:u w:color="000000"/>
        </w:rPr>
        <w:t>Nibbāna</w:t>
      </w:r>
      <w:r w:rsidRPr="00DC1A5F">
        <w:rPr>
          <w:u w:color="000000"/>
        </w:rPr>
        <w:t xml:space="preserve"> inmaterial, a la otra orilla; no obstante, también tambaleándose, como lo hizo el otro hombre, por falta de una repetición previa, todavía no estará debidamente firme en el objeto individual. Después de ello, será estabilizado mediante el conocimiento del sendero.</w:t>
      </w:r>
    </w:p>
    <w:p w14:paraId="083F6CB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4399CF8" w14:textId="77777777" w:rsidR="00597DE2" w:rsidRPr="00DC1A5F" w:rsidRDefault="00597DE2" w:rsidP="00597DE2">
      <w:pPr>
        <w:pStyle w:val="PiedepginaLegal"/>
        <w:numPr>
          <w:ilvl w:val="0"/>
          <w:numId w:val="11"/>
        </w:numPr>
        <w:tabs>
          <w:tab w:val="clear" w:pos="425"/>
          <w:tab w:val="left" w:pos="284"/>
        </w:tabs>
        <w:ind w:left="284" w:hanging="284"/>
      </w:pPr>
      <w:r w:rsidRPr="00DC1A5F">
        <w:t>“‘</w:t>
      </w:r>
      <w:r w:rsidRPr="00DC1A5F">
        <w:rPr>
          <w:i/>
          <w:iCs/>
        </w:rPr>
        <w:t>De emerger y alejarse de lo externo’</w:t>
      </w:r>
      <w:r w:rsidRPr="00DC1A5F">
        <w:t>: corresponde al entendimiento del distanciamiento de lo que se esté efectuando, ese alejamiento corresponderá al emerger del campo de las formaciones; se denominará externo porque la existencia del elemento inmaterial será externa” (</w:t>
      </w:r>
      <w:proofErr w:type="spellStart"/>
      <w:r w:rsidRPr="00DC1A5F">
        <w:t>Vism</w:t>
      </w:r>
      <w:proofErr w:type="spellEnd"/>
      <w:r w:rsidRPr="00DC1A5F">
        <w:t>–</w:t>
      </w:r>
      <w:proofErr w:type="spellStart"/>
      <w:r w:rsidRPr="00DC1A5F">
        <w:t>mhṭ</w:t>
      </w:r>
      <w:proofErr w:type="spellEnd"/>
      <w:r w:rsidRPr="00DC1A5F">
        <w:t xml:space="preserve"> 866). El elemento informe (= </w:t>
      </w:r>
      <w:r w:rsidRPr="00DC1A5F">
        <w:rPr>
          <w:i/>
          <w:iCs/>
        </w:rPr>
        <w:t>Nibbāna</w:t>
      </w:r>
      <w:r w:rsidRPr="00DC1A5F">
        <w:t>) se clasifica como “externo” bajo el triplo interno (</w:t>
      </w:r>
      <w:proofErr w:type="spellStart"/>
      <w:r w:rsidRPr="00DC1A5F">
        <w:rPr>
          <w:i/>
          <w:iCs/>
        </w:rPr>
        <w:t>ajjhattika</w:t>
      </w:r>
      <w:proofErr w:type="spellEnd"/>
      <w:r w:rsidRPr="00DC1A5F">
        <w:t xml:space="preserve">) del </w:t>
      </w:r>
      <w:proofErr w:type="spellStart"/>
      <w:r w:rsidRPr="00DC1A5F">
        <w:rPr>
          <w:i/>
          <w:iCs/>
        </w:rPr>
        <w:t>Abhidhamma</w:t>
      </w:r>
      <w:proofErr w:type="spellEnd"/>
      <w:r w:rsidRPr="00DC1A5F">
        <w:t xml:space="preserve"> </w:t>
      </w:r>
      <w:proofErr w:type="spellStart"/>
      <w:r w:rsidRPr="00DC1A5F">
        <w:rPr>
          <w:i/>
          <w:iCs/>
        </w:rPr>
        <w:t>Mātikā</w:t>
      </w:r>
      <w:proofErr w:type="spellEnd"/>
      <w:r w:rsidRPr="00DC1A5F">
        <w:t xml:space="preserve"> (ver </w:t>
      </w:r>
      <w:proofErr w:type="spellStart"/>
      <w:r w:rsidRPr="00DC1A5F">
        <w:t>Dhs</w:t>
      </w:r>
      <w:proofErr w:type="spellEnd"/>
      <w:r w:rsidRPr="00DC1A5F">
        <w:t xml:space="preserve"> 2 y p. 241).</w:t>
      </w:r>
    </w:p>
    <w:p w14:paraId="31478154" w14:textId="77777777" w:rsidR="00597DE2" w:rsidRPr="00DC1A5F" w:rsidRDefault="00597DE2" w:rsidP="00597DE2">
      <w:pPr>
        <w:pStyle w:val="PiedepginaLegal"/>
        <w:numPr>
          <w:ilvl w:val="0"/>
          <w:numId w:val="11"/>
        </w:numPr>
        <w:tabs>
          <w:tab w:val="clear" w:pos="425"/>
          <w:tab w:val="left" w:pos="284"/>
        </w:tabs>
        <w:ind w:left="284" w:hanging="284"/>
      </w:pPr>
      <w:r w:rsidRPr="00DC1A5F">
        <w:tab/>
      </w:r>
      <w:proofErr w:type="spellStart"/>
      <w:r w:rsidRPr="00DC1A5F">
        <w:rPr>
          <w:i/>
          <w:iCs/>
        </w:rPr>
        <w:t>Pakkhandati</w:t>
      </w:r>
      <w:proofErr w:type="spellEnd"/>
      <w:r w:rsidRPr="00DC1A5F">
        <w:t>—“</w:t>
      </w:r>
      <w:r w:rsidRPr="00DC1A5F">
        <w:rPr>
          <w:i/>
          <w:iCs/>
        </w:rPr>
        <w:t>entrar en</w:t>
      </w:r>
      <w:r w:rsidRPr="00DC1A5F">
        <w:t xml:space="preserve"> </w:t>
      </w:r>
      <w:proofErr w:type="spellStart"/>
      <w:r w:rsidRPr="00DC1A5F">
        <w:t>es</w:t>
      </w:r>
      <w:proofErr w:type="spellEnd"/>
      <w:r w:rsidRPr="00DC1A5F">
        <w:t xml:space="preserve"> citado allí como </w:t>
      </w:r>
      <w:proofErr w:type="spellStart"/>
      <w:r w:rsidRPr="00DC1A5F">
        <w:rPr>
          <w:i/>
          <w:iCs/>
        </w:rPr>
        <w:t>anupavisati</w:t>
      </w:r>
      <w:proofErr w:type="spellEnd"/>
      <w:r w:rsidRPr="00DC1A5F">
        <w:t xml:space="preserve"> (</w:t>
      </w:r>
      <w:r w:rsidRPr="00DC1A5F">
        <w:rPr>
          <w:i/>
          <w:iCs/>
        </w:rPr>
        <w:t>entra</w:t>
      </w:r>
      <w:r w:rsidRPr="00DC1A5F">
        <w:t xml:space="preserve"> en el </w:t>
      </w:r>
      <w:proofErr w:type="spellStart"/>
      <w:r w:rsidRPr="00DC1A5F">
        <w:t>Vism</w:t>
      </w:r>
      <w:proofErr w:type="spellEnd"/>
      <w:r w:rsidRPr="00DC1A5F">
        <w:t>–</w:t>
      </w:r>
      <w:proofErr w:type="spellStart"/>
      <w:r w:rsidRPr="00DC1A5F">
        <w:t>mhṭ</w:t>
      </w:r>
      <w:proofErr w:type="spellEnd"/>
      <w:r w:rsidRPr="00DC1A5F">
        <w:t xml:space="preserve"> (p. 566), que corresponde al sentido requerido y podría adoptarse como basado en el modismo de los </w:t>
      </w:r>
      <w:r w:rsidRPr="00DC1A5F">
        <w:rPr>
          <w:i/>
          <w:iCs/>
        </w:rPr>
        <w:t>Suttas</w:t>
      </w:r>
      <w:r w:rsidRPr="00DC1A5F">
        <w:t>, “</w:t>
      </w:r>
      <w:proofErr w:type="spellStart"/>
      <w:r w:rsidRPr="00DC1A5F">
        <w:rPr>
          <w:i/>
          <w:iCs/>
        </w:rPr>
        <w:t>Cintāṃ</w:t>
      </w:r>
      <w:proofErr w:type="spellEnd"/>
      <w:r w:rsidRPr="00DC1A5F">
        <w:t xml:space="preserve"> </w:t>
      </w:r>
      <w:proofErr w:type="spellStart"/>
      <w:r w:rsidRPr="00DC1A5F">
        <w:rPr>
          <w:i/>
          <w:iCs/>
        </w:rPr>
        <w:t>pakkhandati</w:t>
      </w:r>
      <w:proofErr w:type="spellEnd"/>
      <w:r w:rsidRPr="00DC1A5F">
        <w:rPr>
          <w:i/>
          <w:iCs/>
        </w:rPr>
        <w:t xml:space="preserve"> </w:t>
      </w:r>
      <w:proofErr w:type="spellStart"/>
      <w:r w:rsidRPr="00DC1A5F">
        <w:rPr>
          <w:i/>
          <w:iCs/>
        </w:rPr>
        <w:t>pasīdati</w:t>
      </w:r>
      <w:proofErr w:type="spellEnd"/>
      <w:r w:rsidRPr="00DC1A5F">
        <w:t xml:space="preserve"> </w:t>
      </w:r>
      <w:proofErr w:type="spellStart"/>
      <w:r w:rsidRPr="00DC1A5F">
        <w:rPr>
          <w:i/>
          <w:iCs/>
        </w:rPr>
        <w:t>santiṭṭhati</w:t>
      </w:r>
      <w:proofErr w:type="spellEnd"/>
      <w:r w:rsidRPr="00DC1A5F">
        <w:rPr>
          <w:i/>
          <w:iCs/>
        </w:rPr>
        <w:t xml:space="preserve"> </w:t>
      </w:r>
      <w:proofErr w:type="spellStart"/>
      <w:r w:rsidRPr="00DC1A5F">
        <w:rPr>
          <w:i/>
          <w:iCs/>
        </w:rPr>
        <w:t>adhimuccati</w:t>
      </w:r>
      <w:proofErr w:type="spellEnd"/>
      <w:r w:rsidRPr="00DC1A5F">
        <w:t>—la mente entra en [ello], se asienta, es estable y resuelta” (M I 186), lo que obviamente sería inapropiado aquí.</w:t>
      </w:r>
    </w:p>
    <w:p w14:paraId="1F3945F0" w14:textId="77777777" w:rsidR="00597DE2" w:rsidRPr="00DC1A5F" w:rsidRDefault="00597DE2" w:rsidP="00597DE2">
      <w:pPr>
        <w:tabs>
          <w:tab w:val="clear" w:pos="425"/>
        </w:tabs>
        <w:spacing w:after="160"/>
      </w:pPr>
      <w:r w:rsidRPr="00DC1A5F">
        <w:br w:type="page"/>
      </w:r>
    </w:p>
    <w:p w14:paraId="733CDA88" w14:textId="77777777" w:rsidR="00597DE2" w:rsidRPr="00DC1A5F" w:rsidRDefault="00597DE2" w:rsidP="00597DE2">
      <w:r w:rsidRPr="00DC1A5F">
        <w:lastRenderedPageBreak/>
        <w:t xml:space="preserve">7. </w:t>
      </w:r>
      <w:r w:rsidRPr="00DC1A5F">
        <w:tab/>
        <w:t xml:space="preserve">Aquí, la conformidad será capaz de disipar la oscuridad de las impurezas que oculten las verdades, pero será incapaz de hacer del </w:t>
      </w:r>
      <w:r w:rsidRPr="00DC1A5F">
        <w:rPr>
          <w:i/>
          <w:iCs/>
        </w:rPr>
        <w:t>Nibbāna</w:t>
      </w:r>
      <w:r w:rsidRPr="00DC1A5F">
        <w:t xml:space="preserve"> su objeto. El sólo cambio–de–linaje podrá hacer del </w:t>
      </w:r>
      <w:r w:rsidRPr="00DC1A5F">
        <w:rPr>
          <w:i/>
          <w:iCs/>
        </w:rPr>
        <w:t>Nibbāna</w:t>
      </w:r>
      <w:r w:rsidRPr="00DC1A5F">
        <w:t xml:space="preserve"> su objeto, pero será incapaz de disipar la oscuridad que oculta las verdades.</w:t>
      </w:r>
    </w:p>
    <w:p w14:paraId="00988527" w14:textId="77777777" w:rsidR="00597DE2" w:rsidRPr="00DC1A5F" w:rsidRDefault="00597DE2" w:rsidP="00597DE2">
      <w:r w:rsidRPr="00DC1A5F">
        <w:t xml:space="preserve">8. </w:t>
      </w:r>
      <w:r w:rsidRPr="00DC1A5F">
        <w:tab/>
        <w:t>Aquí otro símil: [674] Un hombre con ojos salió de noche, al parecer, para averiguar la conjunción de las estrellas, así que comenzó a observar hacia arriba para ver la Luna. Ésta se encontraba invisible porque estaba oculta por las nubes. Entonces, se levantó un viento y se llevó las espesas nubes; luego otro viento sopló las nubes medianas; y otro sopló también las nubes finas. Entonces, el hombre vio la Luna en el cielo, libre de nubes, para finalmente descubrir la conjunción de las estrellas.</w:t>
      </w:r>
    </w:p>
    <w:p w14:paraId="7638D273" w14:textId="77777777" w:rsidR="00597DE2" w:rsidRPr="00DC1A5F" w:rsidRDefault="00597DE2" w:rsidP="00597DE2">
      <w:r w:rsidRPr="00DC1A5F">
        <w:t xml:space="preserve">9. </w:t>
      </w:r>
      <w:r w:rsidRPr="00DC1A5F">
        <w:tab/>
        <w:t xml:space="preserve">Aquí, las oscuridades densas, medianas y sutiles que oculten las verdades serán como las tres clases de nubes. Los 3 tipos de consciencia de conformidad serán como los 3 vientos. El conocimiento del cambio–de–linaje será como el hombre con ojos. El </w:t>
      </w:r>
      <w:r w:rsidRPr="00DC1A5F">
        <w:rPr>
          <w:i/>
          <w:iCs/>
        </w:rPr>
        <w:t>Nibbāna</w:t>
      </w:r>
      <w:r w:rsidRPr="00DC1A5F">
        <w:t xml:space="preserve"> será como la </w:t>
      </w:r>
      <w:r w:rsidRPr="00DC1A5F">
        <w:rPr>
          <w:i/>
          <w:iCs/>
        </w:rPr>
        <w:t>Luna</w:t>
      </w:r>
      <w:r w:rsidRPr="00DC1A5F">
        <w:t xml:space="preserve">. La disipación de la oscuridad que oculte las verdades por medio de cada tipo de consciencia de conformidad será como el soplo sucesivo de las nubes a través de cada viento. El conocimiento del cambio–de–linaje corresponderá a la visión del claro </w:t>
      </w:r>
      <w:r w:rsidRPr="00DC1A5F">
        <w:rPr>
          <w:i/>
          <w:iCs/>
        </w:rPr>
        <w:t>Nibbāna</w:t>
      </w:r>
      <w:r w:rsidRPr="00DC1A5F">
        <w:t xml:space="preserve"> cuando la oscuridad que ocultaba las verdades haya desaparecido, será como si el hombre viera el claro de la Luna en el cielo libre de nubes.</w:t>
      </w:r>
    </w:p>
    <w:p w14:paraId="7CEE8933" w14:textId="77777777" w:rsidR="00597DE2" w:rsidRPr="00DC1A5F" w:rsidRDefault="00597DE2" w:rsidP="00597DE2">
      <w:r w:rsidRPr="00DC1A5F">
        <w:t xml:space="preserve">10. </w:t>
      </w:r>
      <w:r w:rsidRPr="00DC1A5F">
        <w:tab/>
        <w:t xml:space="preserve">Así como los tres vientos solo podrían soplar las nubes que ocultaban la Luna pero no podían ver a la Luna en sí, así también los tres tipos de conformidad solo podrán disipar la oscuridad que oculten las verdades pero no podrán consumar el </w:t>
      </w:r>
      <w:r w:rsidRPr="00DC1A5F">
        <w:rPr>
          <w:i/>
          <w:iCs/>
        </w:rPr>
        <w:t>Nibbāna</w:t>
      </w:r>
      <w:r w:rsidRPr="00DC1A5F">
        <w:t xml:space="preserve">. Así como el hombre solo podría ver la Luna pero no podría soplar las nubes, así también el conocimiento del cambio–de–linaje solo podará consumar el </w:t>
      </w:r>
      <w:r w:rsidRPr="00DC1A5F">
        <w:rPr>
          <w:i/>
          <w:iCs/>
        </w:rPr>
        <w:t>Nibbāna</w:t>
      </w:r>
      <w:r w:rsidRPr="00DC1A5F">
        <w:t xml:space="preserve"> pero no podrá disipar las impurezas. Por lo tanto, se le denominará “advertencia hacia el sendero”.</w:t>
      </w:r>
    </w:p>
    <w:p w14:paraId="661265D5" w14:textId="77777777" w:rsidR="00597DE2" w:rsidRPr="00DC1A5F" w:rsidRDefault="00597DE2" w:rsidP="00597DE2">
      <w:r w:rsidRPr="00DC1A5F">
        <w:t xml:space="preserve">11. </w:t>
      </w:r>
      <w:r w:rsidRPr="00DC1A5F">
        <w:tab/>
        <w:t xml:space="preserve">Ya que, aunque no sea la advertencia, ocupará la posición de esta advertencia; y luego, después, por así decirlo, dará un signo al sendero para llegar a manifestarse. Y sin detenerse ahí, después de la señal dada por ese conocimiento del cambio–de–linaje, el sendero le seguirá en una continuidad ininterrumpida y, mientras esto se dé, será atravesada y explotada la masa de la codicia, la masa del odio y la masa de la ilusión jamás antes atravesada y explotada (cf. </w:t>
      </w:r>
      <w:proofErr w:type="spellStart"/>
      <w:r w:rsidRPr="00DC1A5F">
        <w:rPr>
          <w:i/>
          <w:iCs/>
        </w:rPr>
        <w:t>Paṭis</w:t>
      </w:r>
      <w:proofErr w:type="spellEnd"/>
      <w:r w:rsidRPr="00DC1A5F">
        <w:t xml:space="preserve"> II 20).</w:t>
      </w:r>
    </w:p>
    <w:p w14:paraId="6AD98367" w14:textId="77777777" w:rsidR="00597DE2" w:rsidRPr="00DC1A5F" w:rsidRDefault="00597DE2" w:rsidP="00597DE2">
      <w:r w:rsidRPr="00DC1A5F">
        <w:t xml:space="preserve">12. </w:t>
      </w:r>
      <w:r w:rsidRPr="00DC1A5F">
        <w:tab/>
        <w:t>Aquí se da otro símil al respecto. Un arquero, al parecer, tenía un blanco</w:t>
      </w:r>
      <w:r w:rsidRPr="00DC1A5F">
        <w:rPr>
          <w:vertAlign w:val="superscript"/>
        </w:rPr>
        <w:t>3</w:t>
      </w:r>
      <w:r w:rsidRPr="00DC1A5F">
        <w:t xml:space="preserve"> colocado a una distancia de ocho </w:t>
      </w:r>
      <w:proofErr w:type="spellStart"/>
      <w:r w:rsidRPr="00DC1A5F">
        <w:rPr>
          <w:i/>
          <w:iCs/>
        </w:rPr>
        <w:t>usabhas</w:t>
      </w:r>
      <w:proofErr w:type="spellEnd"/>
      <w:r w:rsidRPr="00DC1A5F">
        <w:t xml:space="preserve"> (alrededor de 100 yardas), y cubriéndose la cara con una tela y armándose con una flecha, se paró sobre un disco (una plataforma giratoria). Otro hombre hizo girar el artilugio del disco y, cuando el blanco estuvo frente al arquero, le dio una señal con un madero. Sin pausa después de la señal, el arquero disparó la flecha y dio en el blanco.</w:t>
      </w:r>
    </w:p>
    <w:p w14:paraId="3592FD41" w14:textId="77777777" w:rsidR="00597DE2" w:rsidRPr="00DC1A5F" w:rsidRDefault="00597DE2" w:rsidP="00597DE2">
      <w:r w:rsidRPr="00DC1A5F">
        <w:t xml:space="preserve">13. </w:t>
      </w:r>
      <w:r w:rsidRPr="00DC1A5F">
        <w:tab/>
        <w:t xml:space="preserve">Aquí, el conocimiento del cambio–de–linaje será como la señal dada mediante el madero; el conocimiento del sendero, como el arquero; el conocimiento del sendero [675] que haga del </w:t>
      </w:r>
      <w:r w:rsidRPr="00DC1A5F">
        <w:rPr>
          <w:i/>
          <w:iCs/>
        </w:rPr>
        <w:t>Nibbāna</w:t>
      </w:r>
      <w:r w:rsidRPr="00DC1A5F">
        <w:t xml:space="preserve"> su objeto, sin pausa, después de la señal dada por el cambio–de–linaje, la perforación y explosión de la masa de codicia, odio e ilusión </w:t>
      </w:r>
      <w:proofErr w:type="gramStart"/>
      <w:r w:rsidRPr="00DC1A5F">
        <w:t>nunca antes</w:t>
      </w:r>
      <w:proofErr w:type="gramEnd"/>
      <w:r w:rsidRPr="00DC1A5F">
        <w:t xml:space="preserve"> perforada y explotada, será como el arquero que le dé al blanco sin ninguna pausa ante la señal.</w:t>
      </w:r>
    </w:p>
    <w:p w14:paraId="630A83B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56D2E20" w14:textId="77777777" w:rsidR="00597DE2" w:rsidRPr="00DC1A5F" w:rsidRDefault="00597DE2" w:rsidP="00597DE2">
      <w:pPr>
        <w:pStyle w:val="PiedepginaLegal"/>
        <w:numPr>
          <w:ilvl w:val="0"/>
          <w:numId w:val="11"/>
        </w:numPr>
        <w:tabs>
          <w:tab w:val="clear" w:pos="425"/>
          <w:tab w:val="left" w:pos="284"/>
        </w:tabs>
        <w:ind w:left="284" w:hanging="284"/>
      </w:pPr>
      <w:proofErr w:type="spellStart"/>
      <w:r w:rsidRPr="00DC1A5F">
        <w:rPr>
          <w:i/>
          <w:iCs/>
        </w:rPr>
        <w:t>Phalakasataṃ</w:t>
      </w:r>
      <w:proofErr w:type="spellEnd"/>
      <w:r w:rsidRPr="00DC1A5F">
        <w:t xml:space="preserve">—“objetivo”: no así en el PED. El </w:t>
      </w:r>
      <w:proofErr w:type="spellStart"/>
      <w:r w:rsidRPr="00DC1A5F">
        <w:t>Vism</w:t>
      </w:r>
      <w:proofErr w:type="spellEnd"/>
      <w:r w:rsidRPr="00DC1A5F">
        <w:t>–</w:t>
      </w:r>
      <w:proofErr w:type="spellStart"/>
      <w:r w:rsidRPr="00DC1A5F">
        <w:t>mhṭ</w:t>
      </w:r>
      <w:proofErr w:type="spellEnd"/>
      <w:r w:rsidRPr="00DC1A5F">
        <w:t xml:space="preserve"> menciona “</w:t>
      </w:r>
      <w:proofErr w:type="spellStart"/>
      <w:r w:rsidRPr="00DC1A5F">
        <w:rPr>
          <w:i/>
          <w:iCs/>
        </w:rPr>
        <w:t>Phalakasatan</w:t>
      </w:r>
      <w:proofErr w:type="spellEnd"/>
      <w:r w:rsidRPr="00DC1A5F">
        <w:rPr>
          <w:i/>
          <w:iCs/>
        </w:rPr>
        <w:t xml:space="preserve"> ti asana–</w:t>
      </w:r>
      <w:proofErr w:type="spellStart"/>
      <w:r w:rsidRPr="00DC1A5F">
        <w:rPr>
          <w:i/>
          <w:iCs/>
        </w:rPr>
        <w:t>sāramayaṃ</w:t>
      </w:r>
      <w:proofErr w:type="spellEnd"/>
      <w:r w:rsidRPr="00DC1A5F">
        <w:rPr>
          <w:i/>
          <w:iCs/>
        </w:rPr>
        <w:t xml:space="preserve"> </w:t>
      </w:r>
      <w:proofErr w:type="spellStart"/>
      <w:r w:rsidRPr="00DC1A5F">
        <w:rPr>
          <w:i/>
          <w:iCs/>
        </w:rPr>
        <w:t>phalakasataṃ</w:t>
      </w:r>
      <w:proofErr w:type="spellEnd"/>
      <w:r w:rsidRPr="00DC1A5F">
        <w:rPr>
          <w:i/>
          <w:iCs/>
        </w:rPr>
        <w:t>— un “</w:t>
      </w:r>
      <w:proofErr w:type="spellStart"/>
      <w:r w:rsidRPr="00DC1A5F">
        <w:rPr>
          <w:i/>
          <w:iCs/>
        </w:rPr>
        <w:t>phalakasata</w:t>
      </w:r>
      <w:proofErr w:type="spellEnd"/>
      <w:r w:rsidRPr="00DC1A5F">
        <w:rPr>
          <w:i/>
          <w:iCs/>
        </w:rPr>
        <w:t>”</w:t>
      </w:r>
      <w:r w:rsidRPr="00DC1A5F">
        <w:t xml:space="preserve"> está compuesto del corazón (la médula) del árbol </w:t>
      </w:r>
      <w:r w:rsidRPr="00DC1A5F">
        <w:rPr>
          <w:i/>
          <w:iCs/>
        </w:rPr>
        <w:t>asana</w:t>
      </w:r>
      <w:r w:rsidRPr="00DC1A5F">
        <w:t xml:space="preserve">”. El “artilugio de la rueda” se asemeja a una rueda de alfarero, según el </w:t>
      </w:r>
      <w:proofErr w:type="spellStart"/>
      <w:r w:rsidRPr="00DC1A5F">
        <w:t>Vism</w:t>
      </w:r>
      <w:proofErr w:type="spellEnd"/>
      <w:r w:rsidRPr="00DC1A5F">
        <w:t>–</w:t>
      </w:r>
      <w:proofErr w:type="spellStart"/>
      <w:r w:rsidRPr="00DC1A5F">
        <w:t>mhṭ</w:t>
      </w:r>
      <w:proofErr w:type="spellEnd"/>
      <w:r w:rsidRPr="00DC1A5F">
        <w:t xml:space="preserve"> (p.867).</w:t>
      </w:r>
    </w:p>
    <w:p w14:paraId="688F3F24" w14:textId="77777777" w:rsidR="00597DE2" w:rsidRPr="00DC1A5F" w:rsidRDefault="00597DE2" w:rsidP="00597DE2">
      <w:pPr>
        <w:tabs>
          <w:tab w:val="clear" w:pos="425"/>
        </w:tabs>
        <w:spacing w:after="160"/>
      </w:pPr>
      <w:r w:rsidRPr="00DC1A5F">
        <w:br w:type="page"/>
      </w:r>
    </w:p>
    <w:p w14:paraId="5A7626C9" w14:textId="77777777" w:rsidR="00597DE2" w:rsidRPr="00DC1A5F" w:rsidRDefault="00597DE2" w:rsidP="00597DE2">
      <w:r w:rsidRPr="00DC1A5F">
        <w:lastRenderedPageBreak/>
        <w:t xml:space="preserve">14. </w:t>
      </w:r>
      <w:r w:rsidRPr="00DC1A5F">
        <w:tab/>
        <w:t>Y no sólo producirá la perforación de esta masa de codicia, etc., sino que también secará el océano del sufrimiento del ciclo de renacimientos cuyo inicio jamás será conocido. Cerrará todas las puertas hacia los estados de perdición. Proporcionará una experiencia real de los Siete Nobles Tesoros.</w:t>
      </w:r>
      <w:r w:rsidRPr="00DC1A5F">
        <w:rPr>
          <w:vertAlign w:val="superscript"/>
        </w:rPr>
        <w:t>4</w:t>
      </w:r>
      <w:r w:rsidRPr="00DC1A5F">
        <w:t xml:space="preserve"> Abandonará el óctuple sendero incorrecto. Disipará toda enemistad y temor.</w:t>
      </w:r>
      <w:r w:rsidRPr="00DC1A5F">
        <w:rPr>
          <w:vertAlign w:val="superscript"/>
        </w:rPr>
        <w:t>5</w:t>
      </w:r>
      <w:r w:rsidRPr="00DC1A5F">
        <w:t xml:space="preserve"> Conducirá hacia el estado de un hijo nacido del pecho del Plenamente Iluminado (ver S II 221). Y esto lo conducirá hacia la adquisición de muchos cientos de otras bendiciones. Así, corresponderá al conocimiento asociado al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siendo proveedor de muchos cientos de bendiciones y de lo que se </w:t>
      </w:r>
      <w:proofErr w:type="gramStart"/>
      <w:r w:rsidRPr="00DC1A5F">
        <w:t>denominará como</w:t>
      </w:r>
      <w:proofErr w:type="gramEnd"/>
      <w:r w:rsidRPr="00DC1A5F">
        <w:t xml:space="preserve"> el conocimiento del sendero de la entrada a la corriente.</w:t>
      </w:r>
    </w:p>
    <w:p w14:paraId="01BADDA4" w14:textId="77777777" w:rsidR="00597DE2" w:rsidRPr="00DC1A5F" w:rsidRDefault="00597DE2" w:rsidP="00597DE2">
      <w:pPr>
        <w:pStyle w:val="NormalConSangria"/>
      </w:pPr>
      <w:r w:rsidRPr="00DC1A5F">
        <w:t>Con esto se ha culminado la sección del primer tipo de conocimiento del sendero.</w:t>
      </w:r>
    </w:p>
    <w:p w14:paraId="78D59047" w14:textId="77777777" w:rsidR="00597DE2" w:rsidRPr="00DC1A5F" w:rsidRDefault="00597DE2" w:rsidP="00597DE2">
      <w:pPr>
        <w:pStyle w:val="Ttulo3"/>
        <w:ind w:left="708"/>
      </w:pPr>
      <w:r w:rsidRPr="00DC1A5F">
        <w:t>[La Primera Fruición — La Segunda Persona Noble]</w:t>
      </w:r>
    </w:p>
    <w:p w14:paraId="340CDA60" w14:textId="77777777" w:rsidR="00597DE2" w:rsidRPr="00DC1A5F" w:rsidRDefault="00597DE2" w:rsidP="00597DE2">
      <w:r w:rsidRPr="00DC1A5F">
        <w:t xml:space="preserve">15. </w:t>
      </w:r>
      <w:r w:rsidRPr="00DC1A5F">
        <w:tab/>
        <w:t>Inmediatamente después de ese conocimiento, sin embargo, surgirán dos o tres consciencias de la fruición del sendero, que corresponderá a su efecto. Ya que será debido a este mismo hecho de que la consciencia productiva supramundana se manifestará inmediatamente, que se dice al respecto: “Y a lo que él llame concentración con efecto inmediato” (Sn 226), y “Lentamente alcanzará lo que posea un resultado inmediato con respecto a la destrucción de las contaminaciones” (A II 149), etc.</w:t>
      </w:r>
    </w:p>
    <w:p w14:paraId="6C22528A" w14:textId="77777777" w:rsidR="00597DE2" w:rsidRPr="00DC1A5F" w:rsidRDefault="00597DE2" w:rsidP="00597DE2">
      <w:r w:rsidRPr="00DC1A5F">
        <w:t xml:space="preserve">16. </w:t>
      </w:r>
      <w:r w:rsidRPr="00DC1A5F">
        <w:tab/>
        <w:t>Algunos, sin embargo, dicen que habrá 1, 2, 3, 4 o hasta 5 consciencias de la fruición. Esto es inadmisible. Ya que el conocimiento del cambio–de–linaje surgirá al final de la repetición de la conformidad, por lo que, como mínimo, debería darse 2 consciencias de conformidad, ya que una sola no actuaría como condición de repetición. Y una sola serie de impulsiones tendría como máximo 7 consciencias impulsivas. En consecuencia, esa serie que contenga 2 conformidades y 1 cambio–de–linaje, como la tercera, y la consciencia de sendero, como la cuarta, poseerá las 3 consciencias de la fruición. Aquello que posea 3 conformidades y 1 cambio–de–linaje, como la cuarta, y la consciencia del sendero, como la quinta, poseerá las 2 consciencias de la fruición. Esto será así porque se dijo anteriormente: “Surgirán dos o tres consciencias de la fruición”.</w:t>
      </w:r>
    </w:p>
    <w:p w14:paraId="7BC564C7" w14:textId="77777777" w:rsidR="00597DE2" w:rsidRPr="00DC1A5F" w:rsidRDefault="00597DE2" w:rsidP="00597DE2">
      <w:r w:rsidRPr="00DC1A5F">
        <w:t xml:space="preserve">17. </w:t>
      </w:r>
      <w:r w:rsidRPr="00DC1A5F">
        <w:tab/>
        <w:t>Entonces, algunos dicen que lo que posea 4 conformidades, un cambio–de–linaje, como la quinta, y la consciencia del sendero, como la sexta, poseerá una consciencia de la fruición. No obstante, se refuta esto, ya que es la cuarta o quinta impulsión, la que alcanzará el sendero, no las siguientes, debido a su proximidad al continuum vital (ver IV.75). Así que eso no podrá aceptarse como correcto. [676]</w:t>
      </w:r>
    </w:p>
    <w:p w14:paraId="5EB80ED1" w14:textId="77777777" w:rsidR="00597DE2" w:rsidRPr="00DC1A5F" w:rsidRDefault="00597DE2" w:rsidP="00597DE2">
      <w:r w:rsidRPr="00DC1A5F">
        <w:t xml:space="preserve">18. </w:t>
      </w:r>
      <w:r w:rsidRPr="00DC1A5F">
        <w:tab/>
        <w:t>Y en este punto, al entrante</w:t>
      </w:r>
      <w:r w:rsidRPr="00DC1A5F">
        <w:rPr>
          <w:rFonts w:cs="Cormorant"/>
        </w:rPr>
        <w:t>‒</w:t>
      </w:r>
      <w:r w:rsidRPr="00DC1A5F">
        <w:t>a</w:t>
      </w:r>
      <w:r w:rsidRPr="00DC1A5F">
        <w:rPr>
          <w:rFonts w:cs="Cormorant"/>
        </w:rPr>
        <w:t>‒</w:t>
      </w:r>
      <w:r w:rsidRPr="00DC1A5F">
        <w:t>la</w:t>
      </w:r>
      <w:r w:rsidRPr="00DC1A5F">
        <w:rPr>
          <w:rFonts w:cs="Cormorant"/>
        </w:rPr>
        <w:t>‒</w:t>
      </w:r>
      <w:r w:rsidRPr="00DC1A5F">
        <w:t>corriente se le denominará la segunda persona noble. Por más negligente que sea, estará destinado a poner fin al sufrimiento cuando haya viajado y atravesado por el ciclo de renacimientos, entre deidades y seres humanos, por séptima vez.</w:t>
      </w:r>
    </w:p>
    <w:p w14:paraId="561D50C0" w14:textId="77777777" w:rsidR="00597DE2" w:rsidRPr="00DC1A5F" w:rsidRDefault="00597DE2" w:rsidP="00597DE2">
      <w:r w:rsidRPr="00DC1A5F">
        <w:t xml:space="preserve">19. </w:t>
      </w:r>
      <w:r w:rsidRPr="00DC1A5F">
        <w:tab/>
        <w:t xml:space="preserve">Al final de la fruición, su consciencia entrará en el continuum vital. Después de ello, su consciencia surgirá como una advertencia de la puerta mental que interrumpirá el continuum </w:t>
      </w:r>
    </w:p>
    <w:p w14:paraId="3DAFB40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8999DE6" w14:textId="77777777" w:rsidR="00597DE2" w:rsidRPr="00DC1A5F" w:rsidRDefault="00597DE2" w:rsidP="00597DE2">
      <w:pPr>
        <w:pStyle w:val="PiedepginaLegal"/>
        <w:numPr>
          <w:ilvl w:val="0"/>
          <w:numId w:val="11"/>
        </w:numPr>
        <w:tabs>
          <w:tab w:val="clear" w:pos="425"/>
          <w:tab w:val="left" w:pos="284"/>
        </w:tabs>
        <w:ind w:left="284" w:hanging="284"/>
      </w:pPr>
      <w:r w:rsidRPr="00DC1A5F">
        <w:t>Los 7 (nobles) tesoros corresponden a: la fe, la virtud, la consciencia, la vergüenza, el aprendizaje, la generosidad y el entendimiento (D III 251).</w:t>
      </w:r>
    </w:p>
    <w:p w14:paraId="584B4CFB" w14:textId="77777777" w:rsidR="00597DE2" w:rsidRPr="00DC1A5F" w:rsidRDefault="00597DE2" w:rsidP="00597DE2">
      <w:pPr>
        <w:pStyle w:val="PiedepginaLegal"/>
        <w:numPr>
          <w:ilvl w:val="0"/>
          <w:numId w:val="11"/>
        </w:numPr>
        <w:tabs>
          <w:tab w:val="clear" w:pos="425"/>
          <w:tab w:val="left" w:pos="284"/>
        </w:tabs>
        <w:ind w:left="284" w:hanging="284"/>
      </w:pPr>
      <w:r w:rsidRPr="00DC1A5F">
        <w:t xml:space="preserve">Ver las 5 clases de enemistad y miedo en el S II 68f. El </w:t>
      </w:r>
      <w:proofErr w:type="spellStart"/>
      <w:r w:rsidRPr="00DC1A5F">
        <w:t>Vism</w:t>
      </w:r>
      <w:proofErr w:type="spellEnd"/>
      <w:r w:rsidRPr="00DC1A5F">
        <w:t>–</w:t>
      </w:r>
      <w:proofErr w:type="spellStart"/>
      <w:r w:rsidRPr="00DC1A5F">
        <w:t>mhṭ</w:t>
      </w:r>
      <w:proofErr w:type="spellEnd"/>
      <w:r w:rsidRPr="00DC1A5F">
        <w:t>, sin embargo, afirma: “Los 5 tipos de enemistad que comienzan con matar a los seres vivos y los 25 grandes terrores (</w:t>
      </w:r>
      <w:r w:rsidRPr="00DC1A5F">
        <w:rPr>
          <w:i/>
          <w:iCs/>
        </w:rPr>
        <w:t>Mahā</w:t>
      </w:r>
      <w:r w:rsidRPr="00DC1A5F">
        <w:t>–</w:t>
      </w:r>
      <w:proofErr w:type="spellStart"/>
      <w:r w:rsidRPr="00DC1A5F">
        <w:rPr>
          <w:i/>
          <w:iCs/>
        </w:rPr>
        <w:t>bhayāni</w:t>
      </w:r>
      <w:proofErr w:type="spellEnd"/>
      <w:r w:rsidRPr="00DC1A5F">
        <w:t>) corresponde a lo que constituye ‘</w:t>
      </w:r>
      <w:r w:rsidRPr="00DC1A5F">
        <w:rPr>
          <w:i/>
          <w:iCs/>
        </w:rPr>
        <w:t>toda enemistad y miedo’</w:t>
      </w:r>
      <w:r w:rsidRPr="00DC1A5F">
        <w:t>” (</w:t>
      </w:r>
      <w:proofErr w:type="spellStart"/>
      <w:r w:rsidRPr="00DC1A5F">
        <w:t>Vism</w:t>
      </w:r>
      <w:proofErr w:type="spellEnd"/>
      <w:r w:rsidRPr="00DC1A5F">
        <w:t>–</w:t>
      </w:r>
      <w:proofErr w:type="spellStart"/>
      <w:r w:rsidRPr="00DC1A5F">
        <w:t>mhṭ</w:t>
      </w:r>
      <w:proofErr w:type="spellEnd"/>
      <w:r w:rsidRPr="00DC1A5F">
        <w:t xml:space="preserve"> 867).</w:t>
      </w:r>
    </w:p>
    <w:p w14:paraId="5BD51D83" w14:textId="77777777" w:rsidR="00597DE2" w:rsidRPr="00DC1A5F" w:rsidRDefault="00597DE2" w:rsidP="00597DE2">
      <w:pPr>
        <w:tabs>
          <w:tab w:val="clear" w:pos="425"/>
        </w:tabs>
        <w:spacing w:after="160"/>
      </w:pPr>
      <w:r w:rsidRPr="00DC1A5F">
        <w:br w:type="page"/>
      </w:r>
    </w:p>
    <w:p w14:paraId="19DA0CC0" w14:textId="77777777" w:rsidR="00597DE2" w:rsidRPr="00DC1A5F" w:rsidRDefault="00597DE2" w:rsidP="00597DE2">
      <w:r w:rsidRPr="00DC1A5F">
        <w:lastRenderedPageBreak/>
        <w:t xml:space="preserve">vital, con el fin de examinar el sendero. Cuando esto haya cesado, surgirán 7 impulsos de revisión del sendero. Después de volver a entrar en el continuum vital, la advertencia, etc., su consciencia surgirá de nuevo, de la misma manera, con el propósito de revisar la fruición, etc. Con el surgimiento de éstos, él examinará el sendero, examinará la fruición, examinará las impurezas abandonadas, examinará las impurezas que aún queden por abandonar y examinará el </w:t>
      </w:r>
      <w:r w:rsidRPr="00DC1A5F">
        <w:rPr>
          <w:i/>
          <w:iCs/>
        </w:rPr>
        <w:t>Nibbāna</w:t>
      </w:r>
      <w:r w:rsidRPr="00DC1A5F">
        <w:t>.</w:t>
      </w:r>
    </w:p>
    <w:p w14:paraId="5D27D347" w14:textId="77777777" w:rsidR="00597DE2" w:rsidRPr="00DC1A5F" w:rsidRDefault="00597DE2" w:rsidP="00597DE2">
      <w:r w:rsidRPr="00DC1A5F">
        <w:t xml:space="preserve">20. </w:t>
      </w:r>
      <w:r w:rsidRPr="00DC1A5F">
        <w:tab/>
        <w:t xml:space="preserve">Él examinará el sendero así, “Así que éste es el sendero que he recorrido”. A continuación, examinará la fruición después de ello, así: “Ésta es la bendición que he adquirido”. A continuación, examinará las impurezas que hayan sido abandonadas: “Éstas son las impurezas abandonadas en mí”. A continuación, examinará las impurezas que aún deban ser eliminadas por los tres senderos superiores: “Éstas son las impurezas que aún faltan abandonar en mí”. Y, por último, examinará el </w:t>
      </w:r>
      <w:r w:rsidRPr="00DC1A5F">
        <w:rPr>
          <w:i/>
          <w:iCs/>
        </w:rPr>
        <w:t>Nibbāna</w:t>
      </w:r>
      <w:r w:rsidRPr="00DC1A5F">
        <w:t xml:space="preserve"> inmortal así: “Éste es el estado (el </w:t>
      </w:r>
      <w:r w:rsidRPr="00DC1A5F">
        <w:rPr>
          <w:i/>
        </w:rPr>
        <w:t>dhamma</w:t>
      </w:r>
      <w:r w:rsidRPr="00DC1A5F">
        <w:t>) en el que he penetrado como objeto”. Así que el noble discípulo que entre en la corriente poseerá estos 5 tipos de examinación.</w:t>
      </w:r>
    </w:p>
    <w:p w14:paraId="5BE1271A" w14:textId="77777777" w:rsidR="00597DE2" w:rsidRPr="00DC1A5F" w:rsidRDefault="00597DE2" w:rsidP="00597DE2">
      <w:r w:rsidRPr="00DC1A5F">
        <w:t xml:space="preserve">21. </w:t>
      </w:r>
      <w:r w:rsidRPr="00DC1A5F">
        <w:tab/>
        <w:t xml:space="preserve">Y como en el caso del que entre a la corriente, así también será en los casos del retornante por única vez y del no–retornante. No obstante, el </w:t>
      </w:r>
      <w:r w:rsidRPr="00DC1A5F">
        <w:rPr>
          <w:i/>
        </w:rPr>
        <w:t>Arahant</w:t>
      </w:r>
      <w:r w:rsidRPr="00DC1A5F">
        <w:t xml:space="preserve"> no hará ninguna examinación de las impurezas restantes. Entonces, todos los tipos de examinación sumarán 19. Este corresponderá al número máximo de revisiones. Los instructores podrán o no hacer la examinación de las impurezas abandonadas o las que aún queden por abandonar. De hecho, fue debido a la ausencia de tal examinación que el </w:t>
      </w:r>
      <w:proofErr w:type="spellStart"/>
      <w:r w:rsidRPr="00DC1A5F">
        <w:rPr>
          <w:iCs/>
        </w:rPr>
        <w:t>Mahānāma</w:t>
      </w:r>
      <w:proofErr w:type="spellEnd"/>
      <w:r w:rsidRPr="00DC1A5F">
        <w:t xml:space="preserve"> le preguntó al </w:t>
      </w:r>
      <w:r w:rsidRPr="00DC1A5F">
        <w:rPr>
          <w:i/>
          <w:iCs/>
        </w:rPr>
        <w:t>Bhagavā</w:t>
      </w:r>
      <w:r w:rsidRPr="00DC1A5F">
        <w:t>: “¿Bajo qué estado aún sin abandonar internamente se dan a veces estados de codicia que invadan mi mente y habiten en ella?” (M I 91) lo cual debe ser citado en su totalidad.</w:t>
      </w:r>
    </w:p>
    <w:p w14:paraId="67A60841" w14:textId="77777777" w:rsidR="00597DE2" w:rsidRPr="00DC1A5F" w:rsidRDefault="00597DE2" w:rsidP="00597DE2">
      <w:pPr>
        <w:pStyle w:val="Ttulo3"/>
        <w:ind w:left="708"/>
      </w:pPr>
      <w:r w:rsidRPr="00DC1A5F">
        <w:t>[El Segundo Sendero: La Tercera Persona Noble]</w:t>
      </w:r>
    </w:p>
    <w:p w14:paraId="67979075" w14:textId="77777777" w:rsidR="00597DE2" w:rsidRPr="00DC1A5F" w:rsidRDefault="00597DE2" w:rsidP="00597DE2">
      <w:r w:rsidRPr="00DC1A5F">
        <w:t xml:space="preserve">22. </w:t>
      </w:r>
      <w:r w:rsidRPr="00DC1A5F">
        <w:tab/>
        <w:t>Sin embargo, después de realizar así esta examinación, ya sea sentado en una misma sesión o en otra ocasión, el noble discípulo que entre a la corriente se entregará a la tarea de consumar el segundo plano, atenuando tanto la codicia hacia los deseos sensoriales como, hacia la mala voluntad. Él pondrá en juego las facultades,</w:t>
      </w:r>
      <w:r w:rsidRPr="00DC1A5F">
        <w:rPr>
          <w:vertAlign w:val="superscript"/>
        </w:rPr>
        <w:t>6</w:t>
      </w:r>
      <w:r w:rsidRPr="00DC1A5F">
        <w:t xml:space="preserve"> los poderes y los factores de la iluminación, trabajará sobre ese mismo campo de formaciones, clasificadas como materialidad, sensación, percepción, formaciones y consciencia, con el conocimiento de que son, efectivamente, impermanentes, insatisfactorias y no–alma, y así, él se embarcará en la serie progresiva de diversos entendimientos.</w:t>
      </w:r>
    </w:p>
    <w:p w14:paraId="3C8DD975" w14:textId="77777777" w:rsidR="00597DE2" w:rsidRPr="00DC1A5F" w:rsidRDefault="00597DE2" w:rsidP="00597DE2">
      <w:r w:rsidRPr="00DC1A5F">
        <w:t>23.</w:t>
      </w:r>
      <w:r w:rsidRPr="00DC1A5F">
        <w:tab/>
        <w:t>Cuando [677] haya procedido así y cuando, al final de la ecuanimidad acerca de las formaciones, la conformidad y el conocimiento del cambio de linaje</w:t>
      </w:r>
      <w:r w:rsidRPr="00DC1A5F">
        <w:rPr>
          <w:vertAlign w:val="superscript"/>
        </w:rPr>
        <w:t>7</w:t>
      </w:r>
      <w:r w:rsidRPr="00DC1A5F">
        <w:t xml:space="preserve"> hayan surgido en una sola </w:t>
      </w:r>
    </w:p>
    <w:p w14:paraId="28DC2822"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0FC76E5" w14:textId="77777777" w:rsidR="00597DE2" w:rsidRPr="00DC1A5F" w:rsidRDefault="00597DE2" w:rsidP="00597DE2">
      <w:pPr>
        <w:pStyle w:val="PiedepginaLegal"/>
        <w:numPr>
          <w:ilvl w:val="0"/>
          <w:numId w:val="11"/>
        </w:numPr>
        <w:tabs>
          <w:tab w:val="clear" w:pos="425"/>
          <w:tab w:val="left" w:pos="284"/>
        </w:tabs>
        <w:ind w:left="284" w:hanging="284"/>
      </w:pPr>
      <w:r w:rsidRPr="00DC1A5F">
        <w:t>Para el uso de la expresión “llevar a cabo”—</w:t>
      </w:r>
      <w:proofErr w:type="spellStart"/>
      <w:r w:rsidRPr="00DC1A5F">
        <w:rPr>
          <w:i/>
          <w:iCs/>
        </w:rPr>
        <w:t>samodhāneti</w:t>
      </w:r>
      <w:proofErr w:type="spellEnd"/>
      <w:r w:rsidRPr="00DC1A5F">
        <w:t xml:space="preserve"> en este sentido ver </w:t>
      </w:r>
      <w:proofErr w:type="spellStart"/>
      <w:r w:rsidRPr="00DC1A5F">
        <w:rPr>
          <w:i/>
          <w:iCs/>
        </w:rPr>
        <w:t>Paṭis</w:t>
      </w:r>
      <w:proofErr w:type="spellEnd"/>
      <w:r w:rsidRPr="00DC1A5F">
        <w:t xml:space="preserve"> I 181.</w:t>
      </w:r>
    </w:p>
    <w:p w14:paraId="106A012B" w14:textId="77777777" w:rsidR="00597DE2" w:rsidRPr="00DC1A5F" w:rsidRDefault="00597DE2" w:rsidP="00597DE2">
      <w:pPr>
        <w:pStyle w:val="PiedepginaLegal"/>
        <w:numPr>
          <w:ilvl w:val="0"/>
          <w:numId w:val="11"/>
        </w:numPr>
        <w:tabs>
          <w:tab w:val="clear" w:pos="425"/>
          <w:tab w:val="left" w:pos="284"/>
        </w:tabs>
        <w:ind w:left="284" w:hanging="284"/>
      </w:pPr>
      <w:r w:rsidRPr="00DC1A5F">
        <w:t>“Aquí ‘</w:t>
      </w:r>
      <w:r w:rsidRPr="00DC1A5F">
        <w:rPr>
          <w:i/>
          <w:iCs/>
        </w:rPr>
        <w:t>cambio de linaje’</w:t>
      </w:r>
      <w:r w:rsidRPr="00DC1A5F">
        <w:t xml:space="preserve"> significará ‘como cambio de linaje’; ya que al conocimiento que defina el comienzo del primer sendero se le denominará así en el sentido literal ya que trascenderá el linaje del hombre ordinario y desarrollará el linaje del Hombre Noble. No obstante, a esto se le denomina ‘cambio de linaje’ en sentido figurado, debido a su similitud con el otro cambio de linaje. También se le denomina ‘purificación’ (</w:t>
      </w:r>
      <w:proofErr w:type="spellStart"/>
      <w:r w:rsidRPr="00DC1A5F">
        <w:rPr>
          <w:i/>
          <w:iCs/>
        </w:rPr>
        <w:t>vodāna</w:t>
      </w:r>
      <w:proofErr w:type="spellEnd"/>
      <w:r w:rsidRPr="00DC1A5F">
        <w:t xml:space="preserve">) porque purificará ciertas impurezas y porque hará de la purificación absoluta su objeto. Por eso se dice en el </w:t>
      </w:r>
      <w:proofErr w:type="spellStart"/>
      <w:r w:rsidRPr="00DC1A5F">
        <w:rPr>
          <w:i/>
          <w:iCs/>
        </w:rPr>
        <w:t>Paṭṭhāna</w:t>
      </w:r>
      <w:proofErr w:type="spellEnd"/>
      <w:r w:rsidRPr="00DC1A5F">
        <w:t>: “La conformidad es una condición, como condición de proximidad, para la purificación” (</w:t>
      </w:r>
      <w:proofErr w:type="spellStart"/>
      <w:r w:rsidRPr="00DC1A5F">
        <w:t>Paṭṭh</w:t>
      </w:r>
      <w:proofErr w:type="spellEnd"/>
      <w:r w:rsidRPr="00DC1A5F">
        <w:t xml:space="preserve"> I 59). No obstante, aquí se dice ‘</w:t>
      </w:r>
      <w:r w:rsidRPr="00DC1A5F">
        <w:rPr>
          <w:i/>
          <w:iCs/>
        </w:rPr>
        <w:t>próximo al cambio de linaje’</w:t>
      </w:r>
      <w:r w:rsidRPr="00DC1A5F">
        <w:t xml:space="preserve"> debido a que en el </w:t>
      </w:r>
      <w:proofErr w:type="spellStart"/>
      <w:r w:rsidRPr="00DC1A5F">
        <w:rPr>
          <w:i/>
          <w:iCs/>
        </w:rPr>
        <w:t>Paṭisambhidāmagga</w:t>
      </w:r>
      <w:proofErr w:type="spellEnd"/>
      <w:r w:rsidRPr="00DC1A5F">
        <w:t xml:space="preserve"> se menciona que con el propósito de ‘trascender el surgimiento’, etc., ‘8 estados de cambio de linaje surgirán a través de la concentración’ y ’10 estados de cambio de linaje surgirá a través de la concentración’ y ‘10 estados de cambio de linaje surgirán a través de la sabiduría–revelativa’ (</w:t>
      </w:r>
      <w:proofErr w:type="spellStart"/>
      <w:r w:rsidRPr="00DC1A5F">
        <w:rPr>
          <w:i/>
          <w:iCs/>
        </w:rPr>
        <w:t>Paṭis</w:t>
      </w:r>
      <w:proofErr w:type="spellEnd"/>
      <w:r w:rsidRPr="00DC1A5F">
        <w:t xml:space="preserve"> I 68–69), y se expone de la misma manera en esta página” (</w:t>
      </w:r>
      <w:proofErr w:type="spellStart"/>
      <w:r w:rsidRPr="00DC1A5F">
        <w:t>Vism</w:t>
      </w:r>
      <w:proofErr w:type="spellEnd"/>
      <w:r w:rsidRPr="00DC1A5F">
        <w:t>–</w:t>
      </w:r>
      <w:proofErr w:type="spellStart"/>
      <w:r w:rsidRPr="00DC1A5F">
        <w:t>mhṭ</w:t>
      </w:r>
      <w:proofErr w:type="spellEnd"/>
      <w:r w:rsidRPr="00DC1A5F">
        <w:t xml:space="preserve"> 869).</w:t>
      </w:r>
    </w:p>
    <w:p w14:paraId="4DBB7728" w14:textId="77777777" w:rsidR="00597DE2" w:rsidRPr="00DC1A5F" w:rsidRDefault="00597DE2" w:rsidP="00597DE2">
      <w:pPr>
        <w:tabs>
          <w:tab w:val="clear" w:pos="425"/>
        </w:tabs>
        <w:spacing w:after="160"/>
      </w:pPr>
      <w:r w:rsidRPr="00DC1A5F">
        <w:br w:type="page"/>
      </w:r>
    </w:p>
    <w:p w14:paraId="2BD71DA3" w14:textId="77777777" w:rsidR="00597DE2" w:rsidRPr="00DC1A5F" w:rsidRDefault="00597DE2" w:rsidP="00597DE2">
      <w:pPr>
        <w:pStyle w:val="Textoindependiente"/>
        <w:rPr>
          <w:u w:color="000000"/>
        </w:rPr>
      </w:pPr>
      <w:r w:rsidRPr="00DC1A5F">
        <w:lastRenderedPageBreak/>
        <w:t xml:space="preserve">advertencia, en la forma ya descrita, entonces surgirá el sendero del retornante–por–única–vez próximo </w:t>
      </w:r>
      <w:r w:rsidRPr="00DC1A5F">
        <w:rPr>
          <w:i/>
          <w:iCs/>
        </w:rPr>
        <w:t>al cambio–de–linaje</w:t>
      </w:r>
      <w:r w:rsidRPr="00DC1A5F">
        <w:t xml:space="preserve">. El conocimiento asociado a ello corresponderá al </w:t>
      </w:r>
      <w:r w:rsidRPr="00DC1A5F">
        <w:rPr>
          <w:i/>
          <w:iCs/>
          <w:u w:color="000000"/>
        </w:rPr>
        <w:t>conocimiento del sendero retornante–por–única–vez</w:t>
      </w:r>
      <w:r w:rsidRPr="00DC1A5F">
        <w:rPr>
          <w:u w:color="000000"/>
        </w:rPr>
        <w:t>.</w:t>
      </w:r>
    </w:p>
    <w:p w14:paraId="7698C377" w14:textId="77777777" w:rsidR="00597DE2" w:rsidRPr="00DC1A5F" w:rsidRDefault="00597DE2" w:rsidP="00597DE2">
      <w:pPr>
        <w:pStyle w:val="NormalConSangria"/>
      </w:pPr>
      <w:r w:rsidRPr="00DC1A5F">
        <w:t>Con esto ha concluido la sección del segundo tipo de conocimiento del sendero.</w:t>
      </w:r>
    </w:p>
    <w:p w14:paraId="5D8F907C" w14:textId="77777777" w:rsidR="00597DE2" w:rsidRPr="00DC1A5F" w:rsidRDefault="00597DE2" w:rsidP="00597DE2">
      <w:pPr>
        <w:pStyle w:val="Ttulo3"/>
        <w:ind w:left="708"/>
      </w:pPr>
      <w:r w:rsidRPr="00DC1A5F">
        <w:t>[La Segunda Fruición — La Cuarta Persona Noble]</w:t>
      </w:r>
    </w:p>
    <w:p w14:paraId="67A6C062" w14:textId="77777777" w:rsidR="00597DE2" w:rsidRPr="00DC1A5F" w:rsidRDefault="00597DE2" w:rsidP="00597DE2">
      <w:pPr>
        <w:pStyle w:val="Textoindependiente"/>
      </w:pPr>
      <w:r w:rsidRPr="00DC1A5F">
        <w:t xml:space="preserve">24. </w:t>
      </w:r>
      <w:r w:rsidRPr="00DC1A5F">
        <w:tab/>
        <w:t>Deberá entenderse que la consciencia de la fruición le seguirá inmediatamente a este conocimiento de la misma manera que antes. No obstante, en este punto, a éste retornante por única vez se le denominará la cuarta persona noble. Éste estará destinado a poner fin a todo el sufrimiento después de regresar una vez más a este mundo. Entonces se manifestará la examinación de la manera ya descrita.</w:t>
      </w:r>
    </w:p>
    <w:p w14:paraId="032F598E" w14:textId="77777777" w:rsidR="00597DE2" w:rsidRPr="00DC1A5F" w:rsidRDefault="00597DE2" w:rsidP="00597DE2">
      <w:pPr>
        <w:pStyle w:val="Ttulo3"/>
        <w:ind w:left="708"/>
      </w:pPr>
      <w:r w:rsidRPr="00DC1A5F">
        <w:t>[El Tercer Sendero — La Quinta Persona Noble]</w:t>
      </w:r>
    </w:p>
    <w:p w14:paraId="4A8B49EB" w14:textId="77777777" w:rsidR="00597DE2" w:rsidRPr="00DC1A5F" w:rsidRDefault="00597DE2" w:rsidP="00597DE2">
      <w:r w:rsidRPr="00DC1A5F">
        <w:t xml:space="preserve">25. </w:t>
      </w:r>
      <w:r w:rsidRPr="00DC1A5F">
        <w:tab/>
        <w:t xml:space="preserve">Ahora bien, después de la examinación respectiva, ya sea sentado en la misma sesión de meditación o en otra ocasión, este noble discípulo, el cual ya será un </w:t>
      </w:r>
      <w:r w:rsidRPr="00DC1A5F">
        <w:rPr>
          <w:i/>
          <w:iCs/>
        </w:rPr>
        <w:t>retornante por única vez</w:t>
      </w:r>
      <w:r w:rsidRPr="00DC1A5F">
        <w:t xml:space="preserve"> se aplicará en la tarea de consumar el tercer plano abandonando, sin dejar rastro, tanto de la codicia hacia los deseos sensoriales como de la mala voluntad. Él pondrá en juego las facultades, los poderes y los factores de la iluminación y trabajará sobre ese mismo campo de formaciones con el conocimiento de que son impermanentes, insatisfactorias y no–alma, y así, se embarcará en una serie progresiva de diversas sabidurías–</w:t>
      </w:r>
      <w:proofErr w:type="spellStart"/>
      <w:r w:rsidRPr="00DC1A5F">
        <w:t>revelativas</w:t>
      </w:r>
      <w:proofErr w:type="spellEnd"/>
      <w:r w:rsidRPr="00DC1A5F">
        <w:t>.</w:t>
      </w:r>
    </w:p>
    <w:p w14:paraId="5C9F9217" w14:textId="77777777" w:rsidR="00597DE2" w:rsidRPr="00DC1A5F" w:rsidRDefault="00597DE2" w:rsidP="00597DE2">
      <w:r w:rsidRPr="00DC1A5F">
        <w:t xml:space="preserve">26. </w:t>
      </w:r>
      <w:r w:rsidRPr="00DC1A5F">
        <w:tab/>
        <w:t xml:space="preserve">Cuando lo haya hecho, y cuando, al final de la ecuanimidad con respecto a las formaciones, la conformidad y el cambio–de–linaje habrán surgido en una sola advertencia en la forma ya descrita, entonces surgirá el sendero del </w:t>
      </w:r>
      <w:r w:rsidRPr="00DC1A5F">
        <w:rPr>
          <w:i/>
          <w:iCs/>
        </w:rPr>
        <w:t>no–retorno</w:t>
      </w:r>
      <w:r w:rsidRPr="00DC1A5F">
        <w:t xml:space="preserve"> junto </w:t>
      </w:r>
      <w:r w:rsidRPr="00DC1A5F">
        <w:rPr>
          <w:i/>
          <w:iCs/>
        </w:rPr>
        <w:t>al cambio–de–linaje</w:t>
      </w:r>
      <w:r w:rsidRPr="00DC1A5F">
        <w:t xml:space="preserve">. El conocimiento al respecto corresponderá al </w:t>
      </w:r>
      <w:r w:rsidRPr="00DC1A5F">
        <w:rPr>
          <w:i/>
          <w:iCs/>
        </w:rPr>
        <w:t>conocimiento del sendero del no–retorno</w:t>
      </w:r>
      <w:r w:rsidRPr="00DC1A5F">
        <w:t>.</w:t>
      </w:r>
    </w:p>
    <w:p w14:paraId="70B46567" w14:textId="77777777" w:rsidR="00597DE2" w:rsidRPr="00DC1A5F" w:rsidRDefault="00597DE2" w:rsidP="00597DE2">
      <w:pPr>
        <w:pStyle w:val="NormalConSangria"/>
      </w:pPr>
      <w:r w:rsidRPr="00DC1A5F">
        <w:t>Con esto ha culminado la sección del tercer tipo de conocimiento del sendero.</w:t>
      </w:r>
    </w:p>
    <w:p w14:paraId="53A31395" w14:textId="77777777" w:rsidR="00597DE2" w:rsidRPr="00DC1A5F" w:rsidRDefault="00597DE2" w:rsidP="00597DE2">
      <w:pPr>
        <w:pStyle w:val="Ttulo3"/>
        <w:ind w:left="708"/>
      </w:pPr>
      <w:r w:rsidRPr="00DC1A5F">
        <w:t>[La Tercera Fruición — La Sexta Persona Noble]</w:t>
      </w:r>
    </w:p>
    <w:p w14:paraId="32331C03" w14:textId="77777777" w:rsidR="00597DE2" w:rsidRPr="00DC1A5F" w:rsidRDefault="00597DE2" w:rsidP="00597DE2">
      <w:pPr>
        <w:pStyle w:val="Textoindependiente"/>
      </w:pPr>
      <w:r w:rsidRPr="00DC1A5F">
        <w:t xml:space="preserve">27. </w:t>
      </w:r>
      <w:r w:rsidRPr="00DC1A5F">
        <w:tab/>
        <w:t xml:space="preserve">Deberá entenderse que las consciencias de la fruición le seguirán inmediatamente a este conocimiento de la misma manera que antes. No obstante, en este punto, a este no–retornante se le denominará la sexta persona noble. Después de su muerte, reaparecerá en forma </w:t>
      </w:r>
      <w:proofErr w:type="spellStart"/>
      <w:r w:rsidRPr="00DC1A5F">
        <w:t>apariciomsñ</w:t>
      </w:r>
      <w:proofErr w:type="spellEnd"/>
      <w:r w:rsidRPr="00DC1A5F">
        <w:t>, en otro lugar y consumará allí la extinción completa sin ningún retorno jamás, sin volver nunca más a este mundo humano a través del vínculo–de–renacimiento. Entonces, se producirá la examinación al respecto y de la manera ya descrita.</w:t>
      </w:r>
    </w:p>
    <w:p w14:paraId="6DC6739B" w14:textId="77777777" w:rsidR="00597DE2" w:rsidRPr="00DC1A5F" w:rsidRDefault="00597DE2" w:rsidP="00597DE2">
      <w:pPr>
        <w:pStyle w:val="Ttulo3"/>
        <w:ind w:left="708"/>
      </w:pPr>
      <w:r w:rsidRPr="00DC1A5F">
        <w:t>[El Cuarto Sendero — La Séptima Persona Noble]</w:t>
      </w:r>
    </w:p>
    <w:p w14:paraId="714DFD50" w14:textId="77777777" w:rsidR="00597DE2" w:rsidRPr="00DC1A5F" w:rsidRDefault="00597DE2" w:rsidP="00597DE2">
      <w:r w:rsidRPr="00DC1A5F">
        <w:t xml:space="preserve">28. </w:t>
      </w:r>
      <w:r w:rsidRPr="00DC1A5F">
        <w:tab/>
        <w:t>Ahora bien, después de efectuar así su examinación, ya sea sentado en la misma sesión de meditación o en otra ocasión, este noble discípulo no–retornante se entregará a la tarea de consumar al cuarto plano, abandonando, sin ningún residuo, codicia hacia la materia sutil, el deseo hacia la esfera inmaterial, la presunción (orgullo), la agitación y la ignorancia. Él pondrá en juego las facultades, los poderes y los factores de la iluminación; trabajará [678] y revelará ese mismo campo de formaciones con el conocimiento de que son impermanentes, insatisfactorias y no–alma, y así, se embarcará en una serie progresiva de diversos entendimientos.</w:t>
      </w:r>
    </w:p>
    <w:p w14:paraId="57FBD794" w14:textId="77777777" w:rsidR="00597DE2" w:rsidRPr="00DC1A5F" w:rsidRDefault="00597DE2" w:rsidP="00597DE2">
      <w:pPr>
        <w:tabs>
          <w:tab w:val="clear" w:pos="425"/>
        </w:tabs>
        <w:spacing w:after="160"/>
      </w:pPr>
      <w:r w:rsidRPr="00DC1A5F">
        <w:br w:type="page"/>
      </w:r>
    </w:p>
    <w:p w14:paraId="738A29CC" w14:textId="77777777" w:rsidR="00597DE2" w:rsidRPr="00DC1A5F" w:rsidRDefault="00597DE2" w:rsidP="00597DE2">
      <w:pPr>
        <w:pStyle w:val="Textoindependiente"/>
      </w:pPr>
      <w:r w:rsidRPr="00DC1A5F">
        <w:lastRenderedPageBreak/>
        <w:t xml:space="preserve">29. </w:t>
      </w:r>
      <w:r w:rsidRPr="00DC1A5F">
        <w:tab/>
        <w:t xml:space="preserve">Cuando lo haya hecho y, cuando al final de la ecuanimidad acerca de las formaciones, la conformidad y el cambio–de–linaje hayan surgido en una sola advertencia, entonces el sendero del </w:t>
      </w:r>
      <w:r w:rsidRPr="00DC1A5F">
        <w:rPr>
          <w:i/>
        </w:rPr>
        <w:t>Arahant</w:t>
      </w:r>
      <w:r w:rsidRPr="00DC1A5F">
        <w:t xml:space="preserve"> surgirá junto al cambio–de–linaje. El conocimiento asociado a ello corresponderá al conocimiento del sendero del estado de </w:t>
      </w:r>
      <w:r w:rsidRPr="00DC1A5F">
        <w:rPr>
          <w:i/>
        </w:rPr>
        <w:t>Arahant</w:t>
      </w:r>
      <w:r w:rsidRPr="00DC1A5F">
        <w:t>.</w:t>
      </w:r>
    </w:p>
    <w:p w14:paraId="16725991" w14:textId="77777777" w:rsidR="00597DE2" w:rsidRPr="00DC1A5F" w:rsidRDefault="00597DE2" w:rsidP="00597DE2">
      <w:pPr>
        <w:pStyle w:val="NormalConSangria"/>
      </w:pPr>
      <w:r w:rsidRPr="00DC1A5F">
        <w:t>Con esto ha culminado la sección del cuarto tipo de conocimiento sobre el sendero.</w:t>
      </w:r>
    </w:p>
    <w:p w14:paraId="3BE2DD3A" w14:textId="77777777" w:rsidR="00597DE2" w:rsidRPr="00DC1A5F" w:rsidRDefault="00597DE2" w:rsidP="00597DE2">
      <w:pPr>
        <w:pStyle w:val="Ttulo3"/>
        <w:ind w:left="708"/>
      </w:pPr>
      <w:r w:rsidRPr="00DC1A5F">
        <w:t>[La Cuarta Fruición: La Octava Persona]</w:t>
      </w:r>
    </w:p>
    <w:p w14:paraId="094DD3D7" w14:textId="77777777" w:rsidR="00597DE2" w:rsidRPr="00DC1A5F" w:rsidRDefault="00597DE2" w:rsidP="00597DE2">
      <w:r w:rsidRPr="00DC1A5F">
        <w:t xml:space="preserve">30. </w:t>
      </w:r>
      <w:r w:rsidRPr="00DC1A5F">
        <w:tab/>
        <w:t xml:space="preserve">Deberá entenderse que la consciencia de la fruición le seguirá inmediatamente a este conocimiento de la misma manera que antes. Y en este punto, este </w:t>
      </w:r>
      <w:r w:rsidRPr="00DC1A5F">
        <w:rPr>
          <w:i/>
        </w:rPr>
        <w:t>Arahant</w:t>
      </w:r>
      <w:r w:rsidRPr="00DC1A5F">
        <w:t xml:space="preserve"> será denominado la octava noble persona. Él será uno de los Grandes Seres de contaminaciones destruidas, portará su último cuerpo, habrá abandonado la carga, habrá alcanzado su meta y habrá destruido la cadena del devenir, se encontrará precisamente liberado mediante el conocimiento final y será digno de la más elevada ofrenda en el mundo con sus deidades.</w:t>
      </w:r>
    </w:p>
    <w:p w14:paraId="09C48373" w14:textId="77777777" w:rsidR="00597DE2" w:rsidRPr="00DC1A5F" w:rsidRDefault="00597DE2" w:rsidP="00597DE2">
      <w:r w:rsidRPr="00DC1A5F">
        <w:t xml:space="preserve">31. </w:t>
      </w:r>
      <w:r w:rsidRPr="00DC1A5F">
        <w:tab/>
        <w:t xml:space="preserve">Por tanto, cuando se dijo anteriormente: “Sin embargo, la purificación mediante el conocimiento y la visión consistirá precisamente del conocimiento de los cuatro senderos: el sendero de la entrada a la corriente, el sendero del retorno único, el sendero del no–retorno y el sendero del estado de </w:t>
      </w:r>
      <w:r w:rsidRPr="00DC1A5F">
        <w:rPr>
          <w:i/>
        </w:rPr>
        <w:t>Arahant</w:t>
      </w:r>
      <w:r w:rsidRPr="00DC1A5F">
        <w:t>” (§2), se refería a estos cuatro tipos de conocimiento a ser consumados en este orden.</w:t>
      </w:r>
    </w:p>
    <w:p w14:paraId="52F389EC" w14:textId="77777777" w:rsidR="00597DE2" w:rsidRPr="00DC1A5F" w:rsidRDefault="00597DE2" w:rsidP="00597DE2">
      <w:pPr>
        <w:pStyle w:val="Ttulo3"/>
        <w:ind w:left="708"/>
      </w:pPr>
      <w:r w:rsidRPr="00DC1A5F">
        <w:t>[II. Los Estados Asociados al Sendero, etc.]</w:t>
      </w:r>
    </w:p>
    <w:p w14:paraId="63FF16F2" w14:textId="77777777" w:rsidR="00597DE2" w:rsidRPr="00DC1A5F" w:rsidRDefault="00597DE2" w:rsidP="00597DE2">
      <w:r w:rsidRPr="00DC1A5F">
        <w:t xml:space="preserve">32. </w:t>
      </w:r>
      <w:r w:rsidRPr="00DC1A5F">
        <w:tab/>
        <w:t>Ahora bien, para apreciar el valor de esta misma purificación mediante el conocimiento y la visión con sus cuatro clases de conocimiento</w:t>
      </w:r>
      <w:r w:rsidRPr="00DC1A5F">
        <w:rPr>
          <w:sz w:val="16"/>
          <w:szCs w:val="20"/>
        </w:rPr>
        <w:t xml:space="preserve"> </w:t>
      </w:r>
      <w:r w:rsidRPr="00DC1A5F">
        <w:t>deberán ser reconocidos según su esencia individual:</w:t>
      </w:r>
    </w:p>
    <w:p w14:paraId="4C20378D" w14:textId="77777777" w:rsidR="00597DE2" w:rsidRPr="00DC1A5F" w:rsidRDefault="00597DE2" w:rsidP="00597DE2">
      <w:pPr>
        <w:pStyle w:val="NumReload2"/>
        <w:rPr>
          <w:sz w:val="16"/>
          <w:szCs w:val="20"/>
        </w:rPr>
      </w:pPr>
      <w:r w:rsidRPr="00DC1A5F">
        <w:rPr>
          <w:sz w:val="16"/>
          <w:szCs w:val="20"/>
        </w:rPr>
        <w:tab/>
        <w:t xml:space="preserve">(1). </w:t>
      </w:r>
      <w:r w:rsidRPr="00DC1A5F">
        <w:rPr>
          <w:sz w:val="16"/>
          <w:szCs w:val="20"/>
        </w:rPr>
        <w:tab/>
        <w:t>La consumación de los estados que intervienen en la iluminación,</w:t>
      </w:r>
    </w:p>
    <w:p w14:paraId="0AFFFCCF" w14:textId="77777777" w:rsidR="00597DE2" w:rsidRPr="00DC1A5F" w:rsidRDefault="00597DE2" w:rsidP="00597DE2">
      <w:pPr>
        <w:pStyle w:val="NumReload2"/>
        <w:rPr>
          <w:sz w:val="16"/>
          <w:szCs w:val="20"/>
        </w:rPr>
      </w:pPr>
      <w:r w:rsidRPr="00DC1A5F">
        <w:rPr>
          <w:sz w:val="16"/>
          <w:szCs w:val="20"/>
        </w:rPr>
        <w:tab/>
        <w:t xml:space="preserve">(2). </w:t>
      </w:r>
      <w:r w:rsidRPr="00DC1A5F">
        <w:rPr>
          <w:sz w:val="16"/>
          <w:szCs w:val="20"/>
        </w:rPr>
        <w:tab/>
        <w:t xml:space="preserve">El </w:t>
      </w:r>
      <w:proofErr w:type="gramStart"/>
      <w:r w:rsidRPr="00DC1A5F">
        <w:rPr>
          <w:sz w:val="16"/>
          <w:szCs w:val="20"/>
        </w:rPr>
        <w:t>emerger,  (</w:t>
      </w:r>
      <w:proofErr w:type="gramEnd"/>
      <w:r w:rsidRPr="00DC1A5F">
        <w:rPr>
          <w:sz w:val="16"/>
          <w:szCs w:val="20"/>
        </w:rPr>
        <w:t>3). El acoplamiento de los poderes,</w:t>
      </w:r>
    </w:p>
    <w:p w14:paraId="199249D9" w14:textId="77777777" w:rsidR="00597DE2" w:rsidRPr="00DC1A5F" w:rsidRDefault="00597DE2" w:rsidP="00597DE2">
      <w:pPr>
        <w:pStyle w:val="NumReload2"/>
        <w:rPr>
          <w:sz w:val="16"/>
          <w:szCs w:val="20"/>
        </w:rPr>
      </w:pPr>
      <w:r w:rsidRPr="00DC1A5F">
        <w:rPr>
          <w:sz w:val="16"/>
          <w:szCs w:val="20"/>
        </w:rPr>
        <w:tab/>
        <w:t xml:space="preserve">(4). </w:t>
      </w:r>
      <w:r w:rsidRPr="00DC1A5F">
        <w:rPr>
          <w:sz w:val="16"/>
          <w:szCs w:val="20"/>
        </w:rPr>
        <w:tab/>
        <w:t>Los tipos de estados que deberían ser abandonados,</w:t>
      </w:r>
    </w:p>
    <w:p w14:paraId="1C27C999" w14:textId="77777777" w:rsidR="00597DE2" w:rsidRPr="00DC1A5F" w:rsidRDefault="00597DE2" w:rsidP="00597DE2">
      <w:pPr>
        <w:pStyle w:val="NumReload2"/>
        <w:rPr>
          <w:sz w:val="16"/>
          <w:szCs w:val="20"/>
        </w:rPr>
      </w:pPr>
      <w:r w:rsidRPr="00DC1A5F">
        <w:rPr>
          <w:sz w:val="16"/>
          <w:szCs w:val="20"/>
        </w:rPr>
        <w:tab/>
        <w:t xml:space="preserve">(5). </w:t>
      </w:r>
      <w:r w:rsidRPr="00DC1A5F">
        <w:rPr>
          <w:sz w:val="16"/>
          <w:szCs w:val="20"/>
        </w:rPr>
        <w:tab/>
        <w:t>También, el acto de su abandono,</w:t>
      </w:r>
    </w:p>
    <w:p w14:paraId="3D6DBC29" w14:textId="77777777" w:rsidR="00597DE2" w:rsidRPr="00DC1A5F" w:rsidRDefault="00597DE2" w:rsidP="00597DE2">
      <w:pPr>
        <w:pStyle w:val="NumReload2"/>
        <w:rPr>
          <w:sz w:val="16"/>
          <w:szCs w:val="20"/>
        </w:rPr>
      </w:pPr>
      <w:r w:rsidRPr="00DC1A5F">
        <w:rPr>
          <w:sz w:val="16"/>
          <w:szCs w:val="20"/>
        </w:rPr>
        <w:tab/>
        <w:t xml:space="preserve">(6). </w:t>
      </w:r>
      <w:r w:rsidRPr="00DC1A5F">
        <w:rPr>
          <w:sz w:val="16"/>
          <w:szCs w:val="20"/>
        </w:rPr>
        <w:tab/>
        <w:t>Las funciones del pleno entendimiento y el resto, tal como se establece cuando se penetran las verdades,</w:t>
      </w:r>
    </w:p>
    <w:p w14:paraId="35D858F9" w14:textId="77777777" w:rsidR="00597DE2" w:rsidRPr="00DC1A5F" w:rsidRDefault="00597DE2" w:rsidP="00597DE2">
      <w:pPr>
        <w:pStyle w:val="NumReload2"/>
        <w:spacing w:after="100"/>
        <w:rPr>
          <w:sz w:val="16"/>
          <w:szCs w:val="20"/>
        </w:rPr>
      </w:pPr>
      <w:r w:rsidRPr="00DC1A5F">
        <w:rPr>
          <w:sz w:val="16"/>
          <w:szCs w:val="20"/>
        </w:rPr>
        <w:tab/>
        <w:t xml:space="preserve">(7). </w:t>
      </w:r>
      <w:r w:rsidRPr="00DC1A5F">
        <w:rPr>
          <w:sz w:val="16"/>
          <w:szCs w:val="20"/>
        </w:rPr>
        <w:tab/>
        <w:t>Cada uno de los cuales, como se menciona, deberán ser reconocidos según su esencia individual</w:t>
      </w:r>
    </w:p>
    <w:p w14:paraId="47DA0766" w14:textId="77777777" w:rsidR="00597DE2" w:rsidRPr="00DC1A5F" w:rsidRDefault="00597DE2" w:rsidP="00597DE2">
      <w:pPr>
        <w:rPr>
          <w:vertAlign w:val="superscript"/>
        </w:rPr>
      </w:pPr>
      <w:r w:rsidRPr="00DC1A5F">
        <w:t xml:space="preserve">33. </w:t>
      </w:r>
      <w:r w:rsidRPr="00DC1A5F">
        <w:tab/>
        <w:t xml:space="preserve">1. Aquí, </w:t>
      </w:r>
      <w:r w:rsidRPr="00DC1A5F">
        <w:rPr>
          <w:i/>
          <w:iCs/>
        </w:rPr>
        <w:t>la consumación de los estados partícipes de la iluminación</w:t>
      </w:r>
      <w:r w:rsidRPr="00DC1A5F">
        <w:t xml:space="preserve"> corresponderá a la consumación de aquellos estados que hayan intervenido en la iluminación. Ya que corresponderá a los siguientes 37 estados: los 4 fundamentos de la atención plena (MN 10), los 4 emprendimientos correctos (M II 11), los 4 senderos hacia el poder (M I 103), las 5 facultades (M II 12), los 5 poderes (M II 12), los 7 factores de la iluminación (M I 11), y el Noble Óctuple Sendero (D II 311f.). Y se dirá que estos “intervienen en la iluminación” porque formarán parte del Noble Óctuple Sendero, al cual se le denomina “iluminación” en el sentido de iluminar, y “forman parte” de ello porque son útiles.</w:t>
      </w:r>
      <w:r w:rsidRPr="00DC1A5F">
        <w:rPr>
          <w:vertAlign w:val="superscript"/>
        </w:rPr>
        <w:t>8</w:t>
      </w:r>
    </w:p>
    <w:p w14:paraId="125A9DB6" w14:textId="77777777" w:rsidR="00597DE2" w:rsidRPr="00DC1A5F" w:rsidRDefault="00597DE2" w:rsidP="00597DE2">
      <w:pPr>
        <w:pStyle w:val="PiedepginaLegal"/>
        <w:rPr>
          <w:sz w:val="10"/>
          <w:szCs w:val="18"/>
          <w:u w:val="single"/>
        </w:rPr>
      </w:pPr>
      <w:r w:rsidRPr="00DC1A5F">
        <w:rPr>
          <w:sz w:val="10"/>
          <w:szCs w:val="18"/>
          <w:u w:val="single"/>
        </w:rPr>
        <w:tab/>
      </w:r>
      <w:r w:rsidRPr="00DC1A5F">
        <w:rPr>
          <w:sz w:val="10"/>
          <w:szCs w:val="18"/>
          <w:u w:val="single"/>
        </w:rPr>
        <w:tab/>
      </w:r>
      <w:r w:rsidRPr="00DC1A5F">
        <w:rPr>
          <w:sz w:val="10"/>
          <w:szCs w:val="18"/>
          <w:u w:val="single"/>
        </w:rPr>
        <w:tab/>
      </w:r>
      <w:r w:rsidRPr="00DC1A5F">
        <w:rPr>
          <w:sz w:val="10"/>
          <w:szCs w:val="18"/>
          <w:u w:val="single"/>
        </w:rPr>
        <w:tab/>
        <w:t>.</w:t>
      </w:r>
    </w:p>
    <w:p w14:paraId="396117CC" w14:textId="77777777" w:rsidR="00597DE2" w:rsidRPr="00DC1A5F" w:rsidRDefault="00597DE2" w:rsidP="00597DE2">
      <w:pPr>
        <w:pStyle w:val="PiedepginaLegal"/>
        <w:numPr>
          <w:ilvl w:val="0"/>
          <w:numId w:val="11"/>
        </w:numPr>
        <w:tabs>
          <w:tab w:val="clear" w:pos="425"/>
          <w:tab w:val="left" w:pos="284"/>
        </w:tabs>
        <w:spacing w:after="160"/>
        <w:ind w:left="284" w:hanging="284"/>
      </w:pPr>
      <w:r w:rsidRPr="00DC1A5F">
        <w:t xml:space="preserve">Los 4 fundamentos de la atención plena se comentan en su totalidad en el comentario del MN 10 (= comentario a DN 22). Los esfuerzos correctos se comentan completamente en el comentario del </w:t>
      </w:r>
      <w:proofErr w:type="spellStart"/>
      <w:r w:rsidRPr="00DC1A5F">
        <w:rPr>
          <w:i/>
          <w:iCs/>
        </w:rPr>
        <w:t>Sammappadhāna</w:t>
      </w:r>
      <w:proofErr w:type="spellEnd"/>
      <w:r w:rsidRPr="00DC1A5F">
        <w:rPr>
          <w:i/>
          <w:iCs/>
        </w:rPr>
        <w:t xml:space="preserve"> </w:t>
      </w:r>
      <w:proofErr w:type="spellStart"/>
      <w:r w:rsidRPr="00DC1A5F">
        <w:rPr>
          <w:i/>
          <w:iCs/>
        </w:rPr>
        <w:t>Vibhaṅga</w:t>
      </w:r>
      <w:proofErr w:type="spellEnd"/>
      <w:r w:rsidRPr="00DC1A5F">
        <w:t xml:space="preserve"> (cf. M–a II 243ff.; también A–a como comentario del AN </w:t>
      </w:r>
      <w:proofErr w:type="gramStart"/>
      <w:r w:rsidRPr="00DC1A5F">
        <w:t>1:II</w:t>
      </w:r>
      <w:proofErr w:type="gramEnd"/>
      <w:r w:rsidRPr="00DC1A5F">
        <w:t xml:space="preserve"> 1). Los 4 senderos hacia el poder se comentan brevemente en el M–a II 69 y completamente en el comentario del M–a I 82f. y más completamente en el comentario del </w:t>
      </w:r>
      <w:proofErr w:type="spellStart"/>
      <w:r w:rsidRPr="00DC1A5F">
        <w:rPr>
          <w:i/>
          <w:iCs/>
        </w:rPr>
        <w:t>Bojjhaṅga</w:t>
      </w:r>
      <w:proofErr w:type="spellEnd"/>
      <w:r w:rsidRPr="00DC1A5F">
        <w:rPr>
          <w:i/>
          <w:iCs/>
        </w:rPr>
        <w:t xml:space="preserve"> </w:t>
      </w:r>
      <w:proofErr w:type="spellStart"/>
      <w:r w:rsidRPr="00DC1A5F">
        <w:rPr>
          <w:i/>
          <w:iCs/>
        </w:rPr>
        <w:t>Vibhaṅga</w:t>
      </w:r>
      <w:proofErr w:type="spellEnd"/>
      <w:r w:rsidRPr="00DC1A5F">
        <w:rPr>
          <w:i/>
          <w:iCs/>
        </w:rPr>
        <w:t>.</w:t>
      </w:r>
      <w:r w:rsidRPr="00DC1A5F">
        <w:t xml:space="preserve"> El Noble Óctuple Sendero se comenta en M–a I 105 y desde un ángulo diferente del </w:t>
      </w:r>
      <w:r w:rsidRPr="00DC1A5F">
        <w:rPr>
          <w:i/>
          <w:iCs/>
        </w:rPr>
        <w:t>Comentario</w:t>
      </w:r>
      <w:r w:rsidRPr="00DC1A5F">
        <w:t xml:space="preserve"> </w:t>
      </w:r>
      <w:proofErr w:type="spellStart"/>
      <w:r w:rsidRPr="00DC1A5F">
        <w:rPr>
          <w:i/>
          <w:iCs/>
        </w:rPr>
        <w:t>Magga</w:t>
      </w:r>
      <w:proofErr w:type="spellEnd"/>
      <w:r w:rsidRPr="00DC1A5F">
        <w:rPr>
          <w:i/>
          <w:iCs/>
        </w:rPr>
        <w:t xml:space="preserve"> </w:t>
      </w:r>
      <w:proofErr w:type="spellStart"/>
      <w:r w:rsidRPr="00DC1A5F">
        <w:rPr>
          <w:i/>
          <w:iCs/>
        </w:rPr>
        <w:t>Vibhaṅga</w:t>
      </w:r>
      <w:proofErr w:type="spellEnd"/>
      <w:r w:rsidRPr="00DC1A5F">
        <w:t>.</w:t>
      </w:r>
      <w:r w:rsidRPr="00DC1A5F">
        <w:br w:type="page"/>
      </w:r>
    </w:p>
    <w:p w14:paraId="5CDACE4A" w14:textId="77777777" w:rsidR="00597DE2" w:rsidRPr="00DC1A5F" w:rsidRDefault="00597DE2" w:rsidP="00597DE2">
      <w:r w:rsidRPr="00DC1A5F">
        <w:lastRenderedPageBreak/>
        <w:t xml:space="preserve">34. </w:t>
      </w:r>
      <w:r w:rsidRPr="00DC1A5F">
        <w:tab/>
        <w:t>“</w:t>
      </w:r>
      <w:r w:rsidRPr="00DC1A5F">
        <w:rPr>
          <w:i/>
          <w:iCs/>
        </w:rPr>
        <w:t>Fundamento</w:t>
      </w:r>
      <w:r w:rsidRPr="00DC1A5F">
        <w:t>” (</w:t>
      </w:r>
      <w:proofErr w:type="spellStart"/>
      <w:r w:rsidRPr="00DC1A5F">
        <w:rPr>
          <w:i/>
          <w:iCs/>
        </w:rPr>
        <w:t>paṭṭhāna</w:t>
      </w:r>
      <w:proofErr w:type="spellEnd"/>
      <w:r w:rsidRPr="00DC1A5F">
        <w:t>) se refiere al establecimiento (</w:t>
      </w:r>
      <w:proofErr w:type="spellStart"/>
      <w:r w:rsidRPr="00DC1A5F">
        <w:rPr>
          <w:i/>
          <w:iCs/>
        </w:rPr>
        <w:t>upaṭṭhāna</w:t>
      </w:r>
      <w:proofErr w:type="spellEnd"/>
      <w:r w:rsidRPr="00DC1A5F">
        <w:t>) descendiendo hasta, al descender sobre tales y cuales objetos.</w:t>
      </w:r>
      <w:r w:rsidRPr="00DC1A5F">
        <w:rPr>
          <w:vertAlign w:val="superscript"/>
        </w:rPr>
        <w:t>9</w:t>
      </w:r>
      <w:r w:rsidRPr="00DC1A5F">
        <w:t xml:space="preserve"> La atención plena, en sí misma, como una base (establecimiento), corresponderá a la “base de la atención plena”. Será de 4 tipos, porque ocurrirá con respecto al cuerpo, a la sensación, a la consciencia y a los objetos mentales (</w:t>
      </w:r>
      <w:r w:rsidRPr="00DC1A5F">
        <w:rPr>
          <w:i/>
        </w:rPr>
        <w:t>dhamma</w:t>
      </w:r>
      <w:r w:rsidRPr="00DC1A5F">
        <w:t>), adoptándolo como repugnantes, insatisfactorios, impermanentes y no–alma, y porque cumplirá la función del abandono de la percepción de belleza, placer, permanencia y alma. [679] Por eso se dice que son “los cuatro fundamentos de la atención plena”.</w:t>
      </w:r>
    </w:p>
    <w:p w14:paraId="5128DD46" w14:textId="77777777" w:rsidR="00597DE2" w:rsidRPr="00DC1A5F" w:rsidRDefault="00597DE2" w:rsidP="00597DE2">
      <w:r w:rsidRPr="00DC1A5F">
        <w:t xml:space="preserve">35. </w:t>
      </w:r>
      <w:r w:rsidRPr="00DC1A5F">
        <w:tab/>
        <w:t>Ellos se esfuerzan (</w:t>
      </w:r>
      <w:proofErr w:type="spellStart"/>
      <w:r w:rsidRPr="00DC1A5F">
        <w:rPr>
          <w:i/>
          <w:iCs/>
        </w:rPr>
        <w:t>padahanti</w:t>
      </w:r>
      <w:proofErr w:type="spellEnd"/>
      <w:r w:rsidRPr="00DC1A5F">
        <w:t>) por medio de ello, es así cómo será un esfuerzo (</w:t>
      </w:r>
      <w:proofErr w:type="spellStart"/>
      <w:r w:rsidRPr="00DC1A5F">
        <w:rPr>
          <w:i/>
          <w:iCs/>
        </w:rPr>
        <w:t>padhāna</w:t>
      </w:r>
      <w:proofErr w:type="spellEnd"/>
      <w:r w:rsidRPr="00DC1A5F">
        <w:t>); un buen esfuerzo corresponderá a un esfuerzo correcto (</w:t>
      </w:r>
      <w:proofErr w:type="spellStart"/>
      <w:r w:rsidRPr="00DC1A5F">
        <w:rPr>
          <w:i/>
        </w:rPr>
        <w:t>sammā</w:t>
      </w:r>
      <w:proofErr w:type="spellEnd"/>
      <w:r w:rsidRPr="00DC1A5F">
        <w:t>). O alternativamente: a través de ellos, la gente se esfuerza correctamente (</w:t>
      </w:r>
      <w:proofErr w:type="spellStart"/>
      <w:r w:rsidRPr="00DC1A5F">
        <w:rPr>
          <w:i/>
        </w:rPr>
        <w:t>sammā</w:t>
      </w:r>
      <w:proofErr w:type="spellEnd"/>
      <w:r w:rsidRPr="00DC1A5F">
        <w:t xml:space="preserve"> </w:t>
      </w:r>
      <w:proofErr w:type="spellStart"/>
      <w:r w:rsidRPr="00DC1A5F">
        <w:rPr>
          <w:i/>
          <w:iCs/>
        </w:rPr>
        <w:t>padahanti</w:t>
      </w:r>
      <w:proofErr w:type="spellEnd"/>
      <w:r w:rsidRPr="00DC1A5F">
        <w:t>), por lo que corresponderá a un esfuerzo correcto (</w:t>
      </w:r>
      <w:proofErr w:type="spellStart"/>
      <w:r w:rsidRPr="00DC1A5F">
        <w:rPr>
          <w:i/>
          <w:iCs/>
        </w:rPr>
        <w:t>sammappadhāna</w:t>
      </w:r>
      <w:proofErr w:type="spellEnd"/>
      <w:r w:rsidRPr="00DC1A5F">
        <w:t>). O, alternativamente: será bueno debido a que abandonará lo inapropiado de las contaminaciones y corresponderá a un esfuerzo, debido a que producirá bienestar y dará precedencia (</w:t>
      </w:r>
      <w:proofErr w:type="spellStart"/>
      <w:r w:rsidRPr="00DC1A5F">
        <w:rPr>
          <w:i/>
          <w:iCs/>
        </w:rPr>
        <w:t>padhāna</w:t>
      </w:r>
      <w:proofErr w:type="spellEnd"/>
      <w:r w:rsidRPr="00DC1A5F">
        <w:t>–</w:t>
      </w:r>
      <w:proofErr w:type="spellStart"/>
      <w:r w:rsidRPr="00DC1A5F">
        <w:rPr>
          <w:i/>
          <w:iCs/>
        </w:rPr>
        <w:t>bhāva</w:t>
      </w:r>
      <w:proofErr w:type="spellEnd"/>
      <w:r w:rsidRPr="00DC1A5F">
        <w:rPr>
          <w:i/>
          <w:iCs/>
        </w:rPr>
        <w:t>–</w:t>
      </w:r>
      <w:proofErr w:type="spellStart"/>
      <w:r w:rsidRPr="00DC1A5F">
        <w:rPr>
          <w:i/>
          <w:iCs/>
        </w:rPr>
        <w:t>kāraṇ</w:t>
      </w:r>
      <w:r w:rsidRPr="00DC1A5F">
        <w:t>a</w:t>
      </w:r>
      <w:proofErr w:type="spellEnd"/>
      <w:r w:rsidRPr="00DC1A5F">
        <w:t>) en el sentido de producir bienestar y dicha, por lo que corresponderá a un esfuerzo correcto. Éste corresponderá a un término apropiado para la energía. Éste cumplirá las funciones de abandonar las cosas que hayan surgido, que no sean productivas, impedirá que surjan las que aún no hayan surgido, despertando cosas productivas aún no surgidas y, finalmente, mantendrá las que ya hayan surgido; es así cómo suman 4 esfuerzos. Por ello se les llama “cuatro esfuerzos correctos”.</w:t>
      </w:r>
    </w:p>
    <w:p w14:paraId="27BDB1F4" w14:textId="77777777" w:rsidR="00597DE2" w:rsidRPr="00DC1A5F" w:rsidRDefault="00597DE2" w:rsidP="00597DE2">
      <w:r w:rsidRPr="00DC1A5F">
        <w:t xml:space="preserve">36. </w:t>
      </w:r>
      <w:r w:rsidRPr="00DC1A5F">
        <w:tab/>
        <w:t>El poder (</w:t>
      </w:r>
      <w:proofErr w:type="spellStart"/>
      <w:r w:rsidRPr="00DC1A5F">
        <w:rPr>
          <w:i/>
          <w:iCs/>
        </w:rPr>
        <w:t>iddhi</w:t>
      </w:r>
      <w:proofErr w:type="spellEnd"/>
      <w:r w:rsidRPr="00DC1A5F">
        <w:t>) se dará en el sentido de éxito (</w:t>
      </w:r>
      <w:proofErr w:type="spellStart"/>
      <w:r w:rsidRPr="00DC1A5F">
        <w:rPr>
          <w:i/>
          <w:iCs/>
        </w:rPr>
        <w:t>ijjhana</w:t>
      </w:r>
      <w:proofErr w:type="spellEnd"/>
      <w:r w:rsidRPr="00DC1A5F">
        <w:t>), tal como ya se ha descrito anteriormente (Cap. XII. 44). Es el curso (base—</w:t>
      </w:r>
      <w:proofErr w:type="spellStart"/>
      <w:r w:rsidRPr="00DC1A5F">
        <w:rPr>
          <w:i/>
          <w:iCs/>
        </w:rPr>
        <w:t>pāda</w:t>
      </w:r>
      <w:proofErr w:type="spellEnd"/>
      <w:r w:rsidRPr="00DC1A5F">
        <w:t>) hacia ese poder (hacia ese éxito—</w:t>
      </w:r>
      <w:proofErr w:type="spellStart"/>
      <w:r w:rsidRPr="00DC1A5F">
        <w:rPr>
          <w:i/>
          <w:iCs/>
        </w:rPr>
        <w:t>iddhi</w:t>
      </w:r>
      <w:proofErr w:type="spellEnd"/>
      <w:r w:rsidRPr="00DC1A5F">
        <w:t>), en el sentido de ser el precursor de dicho éxito que esté asociado con él y en el sentido de corresponder a la causa previa de tal éxito, el cual será su efecto; por lo tanto, será así un sendero hacia el poder (una base para el éxito). Son 4, como el celo (deseo), etc. Por ello se les llama “los cuatro senderos hacia el poder”, según se dice al respecto: “Los cuatro senderos hacia el poder: el sendero hacia al poder consistente del celo, sendero hacia al poder consistente de la energía, sendero hacia al poder consistente de pureza natural de la consciencia, sendero hacia al poder consistente de la investigación” (</w:t>
      </w:r>
      <w:proofErr w:type="spellStart"/>
      <w:r w:rsidRPr="00DC1A5F">
        <w:t>Vibh</w:t>
      </w:r>
      <w:proofErr w:type="spellEnd"/>
      <w:r w:rsidRPr="00DC1A5F">
        <w:t xml:space="preserve"> 223). Estos serán únicamente supramundanos. No obstante, debido a las palabras “Si un </w:t>
      </w:r>
      <w:proofErr w:type="spellStart"/>
      <w:r w:rsidRPr="00DC1A5F">
        <w:rPr>
          <w:i/>
        </w:rPr>
        <w:t>bhikkhu</w:t>
      </w:r>
      <w:proofErr w:type="spellEnd"/>
      <w:r w:rsidRPr="00DC1A5F">
        <w:t xml:space="preserve"> desarrollarse concentración, obtendrá unificación mental al hacer que el celo sea predominante, a esto se le llamará concentración a través del celo” (</w:t>
      </w:r>
      <w:proofErr w:type="spellStart"/>
      <w:r w:rsidRPr="00DC1A5F">
        <w:t>Vibh</w:t>
      </w:r>
      <w:proofErr w:type="spellEnd"/>
      <w:r w:rsidRPr="00DC1A5F">
        <w:t xml:space="preserve"> 216), etc., también podrán ser mundanos, como estados adquiridos por medio del predominio del celo, etc. respectivamente.</w:t>
      </w:r>
    </w:p>
    <w:p w14:paraId="3360AA38" w14:textId="77777777" w:rsidR="00597DE2" w:rsidRPr="00DC1A5F" w:rsidRDefault="00597DE2" w:rsidP="00597DE2">
      <w:r w:rsidRPr="00DC1A5F">
        <w:t xml:space="preserve">37. </w:t>
      </w:r>
      <w:r w:rsidRPr="00DC1A5F">
        <w:tab/>
        <w:t>“Facultad” corresponderá al sentido de predominio, es decir, de disipación, ya que estos estados, como facultades, disiparán la ausencia de fe, la ociosidad, la negligencia, la distracción y la confusión, respectivamente.</w:t>
      </w:r>
    </w:p>
    <w:p w14:paraId="1E6EF240" w14:textId="77777777" w:rsidR="00597DE2" w:rsidRPr="00DC1A5F" w:rsidRDefault="00597DE2" w:rsidP="00597DE2">
      <w:pPr>
        <w:pStyle w:val="NormalConSangria"/>
      </w:pPr>
      <w:r w:rsidRPr="00DC1A5F">
        <w:t>El término “poder” poseerá un sentido de firmeza, ya que estos estados, como poderes, serán ​​incapaces de ser vencidos por la ausencia de fe, etc., respectivamente. Ambos constan de 5 factores, consistentes de la fe, la energía, la atención plena, la concentración y el entendimiento. Por eso se les dice “cinco facultades” y/o “cinco poderes”:</w:t>
      </w:r>
    </w:p>
    <w:p w14:paraId="215034C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D06751E" w14:textId="77777777" w:rsidR="00597DE2" w:rsidRPr="00DC1A5F" w:rsidRDefault="00597DE2" w:rsidP="00597DE2">
      <w:pPr>
        <w:pStyle w:val="PiedepginaLegal"/>
      </w:pPr>
      <w:r w:rsidRPr="00DC1A5F">
        <w:t>…</w:t>
      </w:r>
      <w:r w:rsidRPr="00DC1A5F">
        <w:tab/>
        <w:t xml:space="preserve">Las 5 facultades y los 5 poderes aparentemente no se tratan en los </w:t>
      </w:r>
      <w:r w:rsidRPr="00DC1A5F">
        <w:rPr>
          <w:i/>
          <w:iCs/>
        </w:rPr>
        <w:t>Comentarios</w:t>
      </w:r>
      <w:r w:rsidRPr="00DC1A5F">
        <w:t xml:space="preserve"> </w:t>
      </w:r>
      <w:proofErr w:type="spellStart"/>
      <w:r w:rsidRPr="00DC1A5F">
        <w:rPr>
          <w:i/>
          <w:iCs/>
        </w:rPr>
        <w:t>Nikaya</w:t>
      </w:r>
      <w:proofErr w:type="spellEnd"/>
      <w:r w:rsidRPr="00DC1A5F">
        <w:t xml:space="preserve"> y </w:t>
      </w:r>
      <w:proofErr w:type="spellStart"/>
      <w:r w:rsidRPr="00DC1A5F">
        <w:rPr>
          <w:i/>
          <w:iCs/>
        </w:rPr>
        <w:t>Abhidhamma</w:t>
      </w:r>
      <w:proofErr w:type="spellEnd"/>
      <w:r w:rsidRPr="00DC1A5F">
        <w:t xml:space="preserve"> los cuales añaden lo que se menciona aquí (§37).</w:t>
      </w:r>
    </w:p>
    <w:p w14:paraId="1BC7AECE" w14:textId="77777777" w:rsidR="00597DE2" w:rsidRPr="00DC1A5F" w:rsidRDefault="00597DE2" w:rsidP="00597DE2">
      <w:pPr>
        <w:pStyle w:val="PiedepginaLegal"/>
        <w:numPr>
          <w:ilvl w:val="0"/>
          <w:numId w:val="11"/>
        </w:numPr>
        <w:tabs>
          <w:tab w:val="clear" w:pos="425"/>
          <w:tab w:val="left" w:pos="284"/>
        </w:tabs>
        <w:spacing w:after="160"/>
        <w:ind w:left="284" w:hanging="284"/>
      </w:pPr>
      <w:r w:rsidRPr="00DC1A5F">
        <w:t xml:space="preserve">El </w:t>
      </w:r>
      <w:proofErr w:type="spellStart"/>
      <w:r w:rsidRPr="00DC1A5F">
        <w:rPr>
          <w:i/>
          <w:iCs/>
        </w:rPr>
        <w:t>Paṭisambhidā</w:t>
      </w:r>
      <w:proofErr w:type="spellEnd"/>
      <w:r w:rsidRPr="00DC1A5F">
        <w:t xml:space="preserve"> (</w:t>
      </w:r>
      <w:proofErr w:type="spellStart"/>
      <w:r w:rsidRPr="00DC1A5F">
        <w:rPr>
          <w:i/>
          <w:iCs/>
        </w:rPr>
        <w:t>Paṭis</w:t>
      </w:r>
      <w:proofErr w:type="spellEnd"/>
      <w:r w:rsidRPr="00DC1A5F">
        <w:t xml:space="preserve"> I 177) deriva </w:t>
      </w:r>
      <w:proofErr w:type="spellStart"/>
      <w:r w:rsidRPr="00DC1A5F">
        <w:rPr>
          <w:i/>
          <w:iCs/>
        </w:rPr>
        <w:t>satipaṭṭhāna</w:t>
      </w:r>
      <w:proofErr w:type="spellEnd"/>
      <w:r w:rsidRPr="00DC1A5F">
        <w:t xml:space="preserve"> de </w:t>
      </w:r>
      <w:proofErr w:type="spellStart"/>
      <w:r w:rsidRPr="00DC1A5F">
        <w:rPr>
          <w:i/>
          <w:iCs/>
        </w:rPr>
        <w:t>sati</w:t>
      </w:r>
      <w:proofErr w:type="spellEnd"/>
      <w:r w:rsidRPr="00DC1A5F">
        <w:t xml:space="preserve"> (atención plena) y de </w:t>
      </w:r>
      <w:proofErr w:type="spellStart"/>
      <w:r w:rsidRPr="00DC1A5F">
        <w:rPr>
          <w:i/>
          <w:iCs/>
        </w:rPr>
        <w:t>paṭṭhāna</w:t>
      </w:r>
      <w:proofErr w:type="spellEnd"/>
      <w:r w:rsidRPr="00DC1A5F">
        <w:t xml:space="preserve"> (fundamento, establecimiento). Los comentarios prefieren derivarlo de </w:t>
      </w:r>
      <w:proofErr w:type="spellStart"/>
      <w:r w:rsidRPr="00DC1A5F">
        <w:rPr>
          <w:i/>
          <w:iCs/>
        </w:rPr>
        <w:t>sati</w:t>
      </w:r>
      <w:proofErr w:type="spellEnd"/>
      <w:r w:rsidRPr="00DC1A5F">
        <w:t xml:space="preserve"> y </w:t>
      </w:r>
      <w:proofErr w:type="spellStart"/>
      <w:r w:rsidRPr="00DC1A5F">
        <w:rPr>
          <w:i/>
          <w:iCs/>
        </w:rPr>
        <w:t>upaṭṭhāna</w:t>
      </w:r>
      <w:proofErr w:type="spellEnd"/>
      <w:r w:rsidRPr="00DC1A5F">
        <w:t xml:space="preserve"> (</w:t>
      </w:r>
      <w:r w:rsidRPr="00DC1A5F">
        <w:rPr>
          <w:i/>
          <w:iCs/>
        </w:rPr>
        <w:t>establecimiento</w:t>
      </w:r>
      <w:r w:rsidRPr="00DC1A5F">
        <w:t xml:space="preserve">, </w:t>
      </w:r>
      <w:r w:rsidRPr="00DC1A5F">
        <w:rPr>
          <w:i/>
          <w:iCs/>
        </w:rPr>
        <w:t>apariencia</w:t>
      </w:r>
      <w:r w:rsidRPr="00DC1A5F">
        <w:t xml:space="preserve"> y también </w:t>
      </w:r>
      <w:r w:rsidRPr="00DC1A5F">
        <w:rPr>
          <w:i/>
          <w:iCs/>
        </w:rPr>
        <w:t>aguardar</w:t>
      </w:r>
      <w:r w:rsidRPr="00DC1A5F">
        <w:t xml:space="preserve">: ver M–a I 238). Las lecturas de la </w:t>
      </w:r>
      <w:proofErr w:type="spellStart"/>
      <w:r w:rsidRPr="00DC1A5F">
        <w:t>Ee</w:t>
      </w:r>
      <w:proofErr w:type="spellEnd"/>
      <w:r w:rsidRPr="00DC1A5F">
        <w:t xml:space="preserve"> y </w:t>
      </w:r>
      <w:proofErr w:type="spellStart"/>
      <w:r w:rsidRPr="00DC1A5F">
        <w:t>Ae</w:t>
      </w:r>
      <w:proofErr w:type="spellEnd"/>
      <w:r w:rsidRPr="00DC1A5F">
        <w:t xml:space="preserve"> eds. discrepan aquí y se ha seguido la de la primera, aunque el resultado sea muy similar.</w:t>
      </w:r>
      <w:r w:rsidRPr="00DC1A5F">
        <w:br w:type="page"/>
      </w:r>
    </w:p>
    <w:p w14:paraId="5689E36F" w14:textId="77777777" w:rsidR="00597DE2" w:rsidRPr="00DC1A5F" w:rsidRDefault="00597DE2" w:rsidP="00597DE2">
      <w:r w:rsidRPr="00DC1A5F">
        <w:lastRenderedPageBreak/>
        <w:t xml:space="preserve">38. </w:t>
      </w:r>
      <w:r w:rsidRPr="00DC1A5F">
        <w:tab/>
        <w:t>La atención plena, la investigación de los estados, la energía, la dicha, la tranquilidad, la concentración y la ecuanimidad, como factores en un ser que esté iluminando, corresponderán a los “siete factores de la iluminación”. Y la visión correcta, el pensamiento correcto, el lenguaje correcto, la acción correcta, el sustento correcto, el esfuerzo correcto, la atención correcta y, finalmente, la concentración correcta, corresponderán a ​​los 8 “factores del sendero” en el sentido de representar un escape. Por lo tanto, se les denomina “los siete factores de la iluminación” y “el Noble Óctuple Sendero”.</w:t>
      </w:r>
    </w:p>
    <w:p w14:paraId="02E707EC" w14:textId="77777777" w:rsidR="00597DE2" w:rsidRPr="00DC1A5F" w:rsidRDefault="00597DE2" w:rsidP="00597DE2">
      <w:r w:rsidRPr="00DC1A5F">
        <w:t xml:space="preserve">39. </w:t>
      </w:r>
      <w:r w:rsidRPr="00DC1A5F">
        <w:tab/>
        <w:t>Es así como se exponen estos 37 estados constituyentes de la iluminación.</w:t>
      </w:r>
    </w:p>
    <w:p w14:paraId="7427A01B" w14:textId="77777777" w:rsidR="00597DE2" w:rsidRPr="00DC1A5F" w:rsidRDefault="00597DE2" w:rsidP="00597DE2">
      <w:pPr>
        <w:pStyle w:val="NormalConSangria"/>
      </w:pPr>
      <w:r w:rsidRPr="00DC1A5F">
        <w:t>Ahora bien, en la etapa anterior, cuando se produzca la sabiduría mundana, ésta se encontrará en una pluralidad de consciencias de la siguiente manera: el fundamento de la atención plena, consistente de la contemplación del cuerpo, se encontrará en alguien que discierna el cuerpo en las siguientes 14 formas;</w:t>
      </w:r>
      <w:r w:rsidRPr="00DC1A5F">
        <w:rPr>
          <w:vertAlign w:val="superscript"/>
        </w:rPr>
        <w:t>10</w:t>
      </w:r>
      <w:r w:rsidRPr="00DC1A5F">
        <w:t xml:space="preserve"> (1) el fundamento de la atención plena consistente de la contemplación de la sensación, en alguien que discierna en los 9 senderos; (2) </w:t>
      </w:r>
      <w:r w:rsidRPr="00DC1A5F">
        <w:rPr>
          <w:u w:color="000000"/>
        </w:rPr>
        <w:t xml:space="preserve">el fundamento de la atención plena consistente de la contemplación mental, en alguien que discierna la forma de la consciencia de 16 maneras; [680] </w:t>
      </w:r>
      <w:r w:rsidRPr="00DC1A5F">
        <w:t xml:space="preserve">(3) </w:t>
      </w:r>
      <w:r w:rsidRPr="00DC1A5F">
        <w:rPr>
          <w:u w:color="000000"/>
        </w:rPr>
        <w:t xml:space="preserve">el fundamento de la atención plena consistente de la contemplación de los objetos mentales, en alguien que discierna en los objetos mentales de 5 maneras. </w:t>
      </w:r>
      <w:r w:rsidRPr="00DC1A5F">
        <w:t xml:space="preserve">(4) </w:t>
      </w:r>
      <w:r w:rsidRPr="00DC1A5F">
        <w:rPr>
          <w:u w:color="000000"/>
        </w:rPr>
        <w:t xml:space="preserve">Y en el momento en que, al ver el surgimiento en otro de un estado improductivo, que aún no haya surgido en su propia persona, él se esforzará para que no surja así: </w:t>
      </w:r>
      <w:r w:rsidRPr="00DC1A5F">
        <w:t xml:space="preserve">“No me comportaré como aquel que ha hecho que esto haya surgido y es así cómo esto no volverá a surgir más en mí”, entonces él habrá realizado el primer emprendimiento correcto; (5) cuando, al ver algo improductivo en su propio comportamiento, se esfuerce por abandonarlo, entonces realizará el segundo; (6) cuando se esfuerce por despertar un </w:t>
      </w:r>
      <w:proofErr w:type="spellStart"/>
      <w:r w:rsidRPr="00DC1A5F">
        <w:rPr>
          <w:i/>
        </w:rPr>
        <w:t>jhāna</w:t>
      </w:r>
      <w:proofErr w:type="spellEnd"/>
      <w:r w:rsidRPr="00DC1A5F">
        <w:t xml:space="preserve"> o una sabiduría que hasta entonces no hubiese surgido en dicha persona, realizará el tercero; (7) y cuando despierte una y otra vez la que ya haya surgido en virtud de que no disminuya, realizará el cuarto. (8) Y en el momento de despertar un estado productivo con el celo como fuerza motriz, se encontrará en el sendero hacia el poder consistente del celo, (9)-(11) [y así sucesivamente con los tres senderos restantes hacia el poder]. (12) Y en el momento de abstenerse de un lenguaje incorrecto, habrá de hablar correctamente, y así sucesivamente con la abstención de (13) actuar incorrectamente y (14) sustentarse incorrectamente.</w:t>
      </w:r>
      <w:r w:rsidRPr="00DC1A5F">
        <w:rPr>
          <w:vertAlign w:val="superscript"/>
        </w:rPr>
        <w:t>11</w:t>
      </w:r>
    </w:p>
    <w:p w14:paraId="2F360E91" w14:textId="77777777" w:rsidR="00597DE2" w:rsidRPr="00DC1A5F" w:rsidRDefault="00597DE2" w:rsidP="00597DE2">
      <w:pPr>
        <w:pStyle w:val="NormalConSangria"/>
      </w:pPr>
      <w:r w:rsidRPr="00DC1A5F">
        <w:t>En el momento del surgimiento de cualquiera de los 4 tipos de conocimiento del sendero, todos estos estados se encontrarán en una sola consciencia. En el momento de la fruición se encontrarán los 33, es decir, los 37 excepto los 4 esfuerzos correctos.</w:t>
      </w:r>
    </w:p>
    <w:p w14:paraId="47D9AAA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04751B5F" w14:textId="77777777" w:rsidR="00597DE2" w:rsidRPr="00DC1A5F" w:rsidRDefault="00597DE2" w:rsidP="00597DE2">
      <w:pPr>
        <w:pStyle w:val="PiedepginaLegal"/>
        <w:numPr>
          <w:ilvl w:val="0"/>
          <w:numId w:val="11"/>
        </w:numPr>
        <w:tabs>
          <w:tab w:val="clear" w:pos="425"/>
          <w:tab w:val="left" w:pos="284"/>
        </w:tabs>
        <w:ind w:left="284" w:hanging="284"/>
      </w:pPr>
      <w:r w:rsidRPr="00DC1A5F">
        <w:t xml:space="preserve">Esta cifra se refiere al número de diferentes contemplaciones descritas en el décimo </w:t>
      </w:r>
      <w:proofErr w:type="spellStart"/>
      <w:r w:rsidRPr="00DC1A5F">
        <w:rPr>
          <w:i/>
          <w:iCs/>
        </w:rPr>
        <w:t>sutta</w:t>
      </w:r>
      <w:proofErr w:type="spellEnd"/>
      <w:r w:rsidRPr="00DC1A5F">
        <w:t xml:space="preserve"> del </w:t>
      </w:r>
      <w:proofErr w:type="spellStart"/>
      <w:r w:rsidRPr="00DC1A5F">
        <w:rPr>
          <w:i/>
          <w:iCs/>
        </w:rPr>
        <w:t>Majjhima</w:t>
      </w:r>
      <w:proofErr w:type="spellEnd"/>
      <w:r w:rsidRPr="00DC1A5F">
        <w:rPr>
          <w:i/>
          <w:iCs/>
        </w:rPr>
        <w:t xml:space="preserve"> Nikāya</w:t>
      </w:r>
      <w:r w:rsidRPr="00DC1A5F">
        <w:t xml:space="preserve"> (= DN 22).</w:t>
      </w:r>
    </w:p>
    <w:p w14:paraId="1BA7B64C" w14:textId="77777777" w:rsidR="00597DE2" w:rsidRPr="00DC1A5F" w:rsidRDefault="00597DE2" w:rsidP="00597DE2">
      <w:pPr>
        <w:pStyle w:val="PiedepginaLegal"/>
        <w:numPr>
          <w:ilvl w:val="0"/>
          <w:numId w:val="11"/>
        </w:numPr>
        <w:tabs>
          <w:tab w:val="clear" w:pos="425"/>
          <w:tab w:val="left" w:pos="284"/>
        </w:tabs>
        <w:ind w:left="284" w:hanging="284"/>
      </w:pPr>
      <w:r w:rsidRPr="00DC1A5F">
        <w:t>Estas 3 abstinencias corresponden al “estado previo” del Noble Óctuple Sendero (ver M III 289).</w:t>
      </w:r>
    </w:p>
    <w:p w14:paraId="0C095096" w14:textId="77777777" w:rsidR="00597DE2" w:rsidRPr="00DC1A5F" w:rsidRDefault="00597DE2" w:rsidP="00597DE2">
      <w:pPr>
        <w:pStyle w:val="PiedepginaLegal"/>
      </w:pPr>
      <w:r w:rsidRPr="00DC1A5F">
        <w:tab/>
      </w:r>
      <w:r w:rsidRPr="00DC1A5F">
        <w:tab/>
        <w:t xml:space="preserve">“Solo el sendero hacia el poder consistente de celo y lenguaje </w:t>
      </w:r>
      <w:proofErr w:type="gramStart"/>
      <w:r w:rsidRPr="00DC1A5F">
        <w:t>correcto,</w:t>
      </w:r>
      <w:proofErr w:type="gramEnd"/>
      <w:r w:rsidRPr="00DC1A5F">
        <w:t xml:space="preserve"> está realmente incluido aquí; pero cuando estos se mencionan, los senderos restantes hacia el poder y las dos abstinencias restantes también estarán implícitas en el significado. El significado de esta oración debe entenderse de acuerdo con la ‘categoría de las características’ (</w:t>
      </w:r>
      <w:r w:rsidRPr="00DC1A5F">
        <w:rPr>
          <w:i/>
          <w:iCs/>
        </w:rPr>
        <w:t>lakkhaṇa–</w:t>
      </w:r>
      <w:proofErr w:type="spellStart"/>
      <w:r w:rsidRPr="00DC1A5F">
        <w:rPr>
          <w:i/>
          <w:iCs/>
        </w:rPr>
        <w:t>hāra</w:t>
      </w:r>
      <w:proofErr w:type="spellEnd"/>
      <w:r w:rsidRPr="00DC1A5F">
        <w:t xml:space="preserve">—ver </w:t>
      </w:r>
      <w:proofErr w:type="spellStart"/>
      <w:r w:rsidRPr="00DC1A5F">
        <w:rPr>
          <w:i/>
          <w:iCs/>
        </w:rPr>
        <w:t>Nettipakaraṇa</w:t>
      </w:r>
      <w:proofErr w:type="spellEnd"/>
      <w:r w:rsidRPr="00DC1A5F">
        <w:t>)” (</w:t>
      </w:r>
      <w:proofErr w:type="spellStart"/>
      <w:r w:rsidRPr="00DC1A5F">
        <w:t>Vism</w:t>
      </w:r>
      <w:proofErr w:type="spellEnd"/>
      <w:r w:rsidRPr="00DC1A5F">
        <w:t>–</w:t>
      </w:r>
      <w:proofErr w:type="spellStart"/>
      <w:r w:rsidRPr="00DC1A5F">
        <w:t>mhṭ</w:t>
      </w:r>
      <w:proofErr w:type="spellEnd"/>
      <w:r w:rsidRPr="00DC1A5F">
        <w:t xml:space="preserve"> 872). Esta regla de </w:t>
      </w:r>
      <w:proofErr w:type="spellStart"/>
      <w:r w:rsidRPr="00DC1A5F">
        <w:rPr>
          <w:i/>
          <w:iCs/>
        </w:rPr>
        <w:t>Netti</w:t>
      </w:r>
      <w:proofErr w:type="spellEnd"/>
      <w:r w:rsidRPr="00DC1A5F">
        <w:t xml:space="preserve"> dice:</w:t>
      </w:r>
    </w:p>
    <w:p w14:paraId="5C654F33" w14:textId="77777777" w:rsidR="00597DE2" w:rsidRPr="00DC1A5F" w:rsidRDefault="00597DE2" w:rsidP="00597DE2">
      <w:pPr>
        <w:pStyle w:val="PiedepginaLegal"/>
        <w:spacing w:after="0"/>
        <w:ind w:left="1276"/>
        <w:rPr>
          <w:sz w:val="12"/>
          <w:szCs w:val="20"/>
        </w:rPr>
      </w:pPr>
      <w:r w:rsidRPr="00DC1A5F">
        <w:rPr>
          <w:sz w:val="12"/>
          <w:szCs w:val="20"/>
        </w:rPr>
        <w:t>“Cuando una cosa haya sido definida, entonces aquellas cosas</w:t>
      </w:r>
    </w:p>
    <w:p w14:paraId="359C4706" w14:textId="77777777" w:rsidR="00597DE2" w:rsidRPr="00DC1A5F" w:rsidRDefault="00597DE2" w:rsidP="00597DE2">
      <w:pPr>
        <w:pStyle w:val="PiedepginaLegal"/>
        <w:spacing w:after="0"/>
        <w:ind w:left="1276"/>
        <w:rPr>
          <w:sz w:val="12"/>
          <w:szCs w:val="20"/>
        </w:rPr>
      </w:pPr>
      <w:r w:rsidRPr="00DC1A5F">
        <w:rPr>
          <w:sz w:val="12"/>
          <w:szCs w:val="20"/>
        </w:rPr>
        <w:t>Que estén en característica con ella</w:t>
      </w:r>
    </w:p>
    <w:p w14:paraId="475D6F72" w14:textId="77777777" w:rsidR="00597DE2" w:rsidRPr="00DC1A5F" w:rsidRDefault="00597DE2" w:rsidP="00597DE2">
      <w:pPr>
        <w:pStyle w:val="PiedepginaLegal"/>
        <w:spacing w:after="0"/>
        <w:ind w:left="1276"/>
        <w:rPr>
          <w:sz w:val="12"/>
          <w:szCs w:val="20"/>
        </w:rPr>
      </w:pPr>
      <w:r w:rsidRPr="00DC1A5F">
        <w:rPr>
          <w:sz w:val="12"/>
          <w:szCs w:val="20"/>
        </w:rPr>
        <w:t>También serán definidas: ésta es la formulación</w:t>
      </w:r>
    </w:p>
    <w:p w14:paraId="66894014" w14:textId="77777777" w:rsidR="00597DE2" w:rsidRPr="00DC1A5F" w:rsidRDefault="00597DE2" w:rsidP="00597DE2">
      <w:pPr>
        <w:pStyle w:val="PiedepginaLegal"/>
        <w:spacing w:after="0"/>
        <w:ind w:left="1276"/>
        <w:rPr>
          <w:sz w:val="12"/>
          <w:szCs w:val="20"/>
        </w:rPr>
      </w:pPr>
      <w:r w:rsidRPr="00DC1A5F">
        <w:rPr>
          <w:sz w:val="12"/>
          <w:szCs w:val="20"/>
        </w:rPr>
        <w:t>De la categoría de las características” (</w:t>
      </w:r>
      <w:proofErr w:type="spellStart"/>
      <w:r w:rsidRPr="00DC1A5F">
        <w:rPr>
          <w:i/>
          <w:iCs/>
          <w:sz w:val="12"/>
          <w:szCs w:val="20"/>
        </w:rPr>
        <w:t>Netti</w:t>
      </w:r>
      <w:proofErr w:type="spellEnd"/>
      <w:r w:rsidRPr="00DC1A5F">
        <w:rPr>
          <w:sz w:val="12"/>
          <w:szCs w:val="20"/>
        </w:rPr>
        <w:t xml:space="preserve"> 3).</w:t>
      </w:r>
    </w:p>
    <w:p w14:paraId="3A6C2D09" w14:textId="77777777" w:rsidR="00597DE2" w:rsidRPr="00DC1A5F" w:rsidRDefault="00597DE2" w:rsidP="00597DE2">
      <w:pPr>
        <w:pStyle w:val="PiedepginaLegal"/>
      </w:pPr>
    </w:p>
    <w:p w14:paraId="63089014" w14:textId="77777777" w:rsidR="00597DE2" w:rsidRPr="00DC1A5F" w:rsidRDefault="00597DE2" w:rsidP="00597DE2">
      <w:pPr>
        <w:tabs>
          <w:tab w:val="clear" w:pos="425"/>
        </w:tabs>
        <w:spacing w:after="160"/>
      </w:pPr>
      <w:r w:rsidRPr="00DC1A5F">
        <w:br w:type="page"/>
      </w:r>
    </w:p>
    <w:p w14:paraId="5A8C38FD" w14:textId="77777777" w:rsidR="00597DE2" w:rsidRPr="00DC1A5F" w:rsidRDefault="00597DE2" w:rsidP="00597DE2">
      <w:r w:rsidRPr="00DC1A5F">
        <w:lastRenderedPageBreak/>
        <w:t xml:space="preserve">40. </w:t>
      </w:r>
      <w:r w:rsidRPr="00DC1A5F">
        <w:tab/>
        <w:t xml:space="preserve">Cuando estos se encuentren así en una sola consciencia, será el único tipo de atención cuyo objeto sea el </w:t>
      </w:r>
      <w:r w:rsidRPr="00DC1A5F">
        <w:rPr>
          <w:i/>
          <w:iCs/>
        </w:rPr>
        <w:t>Nibbāna,</w:t>
      </w:r>
      <w:r w:rsidRPr="00DC1A5F">
        <w:t xml:space="preserve"> a lo cual se le llamará “los 4 fundamentos de la atención” porque cumplirá la función de abandonar las 4 percepciones de belleza, etc., en 4 cosas comenzando por el cuerpo. Además, al único tipo de energía se le llama también “4 esfuerzos correctos” porque cumplirá las 4 funciones comenzando con prevenir el surgimiento de lo que no haya surgido improductivamente. No obstante, no habrá disminución ni incremento con el resto.</w:t>
      </w:r>
    </w:p>
    <w:p w14:paraId="50732710" w14:textId="77777777" w:rsidR="00597DE2" w:rsidRPr="00DC1A5F" w:rsidRDefault="00597DE2" w:rsidP="00597DE2">
      <w:pPr>
        <w:pStyle w:val="VersoIngls01Sangria"/>
        <w:ind w:left="0"/>
        <w:rPr>
          <w:szCs w:val="18"/>
        </w:rPr>
      </w:pPr>
      <w:r w:rsidRPr="00DC1A5F">
        <w:rPr>
          <w:szCs w:val="18"/>
        </w:rPr>
        <w:t xml:space="preserve">41. </w:t>
      </w:r>
      <w:r w:rsidRPr="00DC1A5F">
        <w:rPr>
          <w:szCs w:val="18"/>
        </w:rPr>
        <w:tab/>
        <w:t>Además, se dirá de ellos:</w:t>
      </w:r>
    </w:p>
    <w:p w14:paraId="6CAE72E4" w14:textId="77777777" w:rsidR="00597DE2" w:rsidRPr="00DC1A5F" w:rsidRDefault="00597DE2" w:rsidP="00597DE2">
      <w:pPr>
        <w:pStyle w:val="VersoIngls01Sangria"/>
        <w:rPr>
          <w:sz w:val="16"/>
          <w:szCs w:val="20"/>
        </w:rPr>
      </w:pPr>
      <w:r w:rsidRPr="00DC1A5F">
        <w:rPr>
          <w:sz w:val="16"/>
          <w:szCs w:val="20"/>
        </w:rPr>
        <w:t>Nueve de una manera, uno de dos maneras,</w:t>
      </w:r>
    </w:p>
    <w:p w14:paraId="7B7A8C1C" w14:textId="77777777" w:rsidR="00597DE2" w:rsidRPr="00DC1A5F" w:rsidRDefault="00597DE2" w:rsidP="00597DE2">
      <w:pPr>
        <w:pStyle w:val="VersoIngls01Sangria"/>
        <w:rPr>
          <w:sz w:val="16"/>
          <w:szCs w:val="20"/>
        </w:rPr>
      </w:pPr>
      <w:r w:rsidRPr="00DC1A5F">
        <w:rPr>
          <w:sz w:val="16"/>
          <w:szCs w:val="20"/>
        </w:rPr>
        <w:t xml:space="preserve">Luego, de cuatro maneras y de cinco maneras, </w:t>
      </w:r>
    </w:p>
    <w:p w14:paraId="275E14F8" w14:textId="77777777" w:rsidR="00597DE2" w:rsidRPr="00DC1A5F" w:rsidRDefault="00597DE2" w:rsidP="00597DE2">
      <w:pPr>
        <w:pStyle w:val="VersoIngls01Sangria"/>
        <w:rPr>
          <w:sz w:val="16"/>
          <w:szCs w:val="20"/>
        </w:rPr>
      </w:pPr>
      <w:r w:rsidRPr="00DC1A5F">
        <w:rPr>
          <w:sz w:val="16"/>
          <w:szCs w:val="20"/>
        </w:rPr>
        <w:t xml:space="preserve">De ocho maneras y también de nueve maneras— </w:t>
      </w:r>
    </w:p>
    <w:p w14:paraId="5F573F3D" w14:textId="77777777" w:rsidR="00597DE2" w:rsidRPr="00DC1A5F" w:rsidRDefault="00597DE2" w:rsidP="00597DE2">
      <w:pPr>
        <w:pStyle w:val="VersoIngls01Sangria"/>
        <w:spacing w:after="100"/>
        <w:ind w:left="1418"/>
        <w:rPr>
          <w:sz w:val="16"/>
          <w:szCs w:val="20"/>
        </w:rPr>
      </w:pPr>
      <w:r w:rsidRPr="00DC1A5F">
        <w:rPr>
          <w:sz w:val="16"/>
          <w:szCs w:val="20"/>
        </w:rPr>
        <w:t xml:space="preserve">Así, de seis formas llegarán a darse </w:t>
      </w:r>
      <w:r w:rsidRPr="00DC1A5F">
        <w:rPr>
          <w:color w:val="833C0B" w:themeColor="accent2" w:themeShade="80"/>
          <w:sz w:val="16"/>
          <w:szCs w:val="20"/>
          <w:u w:color="000000"/>
        </w:rPr>
        <w:t>las diferentes maneras</w:t>
      </w:r>
      <w:r w:rsidRPr="00DC1A5F">
        <w:rPr>
          <w:sz w:val="16"/>
          <w:szCs w:val="20"/>
        </w:rPr>
        <w:t>.</w:t>
      </w:r>
    </w:p>
    <w:p w14:paraId="3121FC80" w14:textId="77777777" w:rsidR="00597DE2" w:rsidRPr="00DC1A5F" w:rsidRDefault="00597DE2" w:rsidP="00597DE2">
      <w:r w:rsidRPr="00DC1A5F">
        <w:t xml:space="preserve">42. </w:t>
      </w:r>
      <w:r w:rsidRPr="00DC1A5F">
        <w:tab/>
        <w:t xml:space="preserve">(i) </w:t>
      </w:r>
      <w:r w:rsidRPr="00DC1A5F">
        <w:rPr>
          <w:i/>
          <w:iCs/>
        </w:rPr>
        <w:t>Nueve de una manera</w:t>
      </w:r>
      <w:r w:rsidRPr="00DC1A5F">
        <w:t>: estos nueve corresponden al celo, la consciencia, la felicidad, la tranquilidad, la ecuanimidad, al pensamiento, el lenguaje, la acción y al sustento; y éstos se encontrarán “en una sola manera” como sendero hacia el poder consistente del celo, etc., ya que no pertenecerán a ningún otro grupo. (</w:t>
      </w:r>
      <w:proofErr w:type="spellStart"/>
      <w:r w:rsidRPr="00DC1A5F">
        <w:t>ii</w:t>
      </w:r>
      <w:proofErr w:type="spellEnd"/>
      <w:r w:rsidRPr="00DC1A5F">
        <w:t xml:space="preserve">) </w:t>
      </w:r>
      <w:r w:rsidRPr="00DC1A5F">
        <w:rPr>
          <w:i/>
          <w:iCs/>
        </w:rPr>
        <w:t>Uno de dos maneras</w:t>
      </w:r>
      <w:r w:rsidRPr="00DC1A5F">
        <w:t>: la fe se encontrará “de dos maneras”, como facultad y como poder. (</w:t>
      </w:r>
      <w:proofErr w:type="spellStart"/>
      <w:r w:rsidRPr="00DC1A5F">
        <w:t>iii</w:t>
      </w:r>
      <w:proofErr w:type="spellEnd"/>
      <w:r w:rsidRPr="00DC1A5F">
        <w:t xml:space="preserve">) </w:t>
      </w:r>
      <w:r w:rsidRPr="00DC1A5F">
        <w:rPr>
          <w:i/>
          <w:iCs/>
        </w:rPr>
        <w:t>Luego de cuatro maneras</w:t>
      </w:r>
      <w:r w:rsidRPr="00DC1A5F">
        <w:t>, y (</w:t>
      </w:r>
      <w:proofErr w:type="spellStart"/>
      <w:r w:rsidRPr="00DC1A5F">
        <w:t>iv</w:t>
      </w:r>
      <w:proofErr w:type="spellEnd"/>
      <w:r w:rsidRPr="00DC1A5F">
        <w:t xml:space="preserve">) </w:t>
      </w:r>
      <w:r w:rsidRPr="00DC1A5F">
        <w:rPr>
          <w:i/>
          <w:iCs/>
        </w:rPr>
        <w:t>de cinco maneras</w:t>
      </w:r>
      <w:r w:rsidRPr="00DC1A5F">
        <w:t xml:space="preserve">: el significado es que otro se encontrará de 4 maneras y otro de 5. Aquí, la concentración será “una de las cuatro maneras”, ya que será una facultad, un poder, un factor de iluminación y un factor del sendero; el entendimiento será “uno de cinco maneras” ya que corresponderá a estos 4 y también a 1 sendero hacia el poder. (v) </w:t>
      </w:r>
      <w:r w:rsidRPr="00DC1A5F">
        <w:rPr>
          <w:i/>
          <w:iCs/>
        </w:rPr>
        <w:t>De ocho maneras</w:t>
      </w:r>
      <w:r w:rsidRPr="00DC1A5F">
        <w:t xml:space="preserve">, y (vi) </w:t>
      </w:r>
      <w:r w:rsidRPr="00DC1A5F">
        <w:rPr>
          <w:i/>
          <w:iCs/>
        </w:rPr>
        <w:t>De nueve maneras</w:t>
      </w:r>
      <w:r w:rsidRPr="00DC1A5F">
        <w:t xml:space="preserve"> también: el significado es que otro se encontrará de 8 maneras y otro de 9 maneras. La atención plena será 1 “de ocho maneras”, ya que corresponderá a los 4 de la atención plena, 1 facultad, 1 poder, 1 factor de iluminación y 1 factor del sendero; la energía será la que se dé “de nueve maneras”, ya que corresponderá a 4 emprendimientos correctos, 1 camino hacia el poder, 1 facultad, 1 poder, 1 factor de la iluminación y 1 factor del sendero. [681] Entonces:</w:t>
      </w:r>
    </w:p>
    <w:p w14:paraId="7FE07F35" w14:textId="77777777" w:rsidR="00597DE2" w:rsidRPr="00DC1A5F" w:rsidRDefault="00597DE2" w:rsidP="00597DE2">
      <w:pPr>
        <w:pStyle w:val="VersoIngls01Sangria"/>
        <w:ind w:left="0"/>
        <w:rPr>
          <w:sz w:val="16"/>
          <w:szCs w:val="20"/>
        </w:rPr>
      </w:pPr>
      <w:r w:rsidRPr="00DC1A5F">
        <w:t xml:space="preserve">43. </w:t>
      </w:r>
      <w:r w:rsidRPr="00DC1A5F">
        <w:tab/>
      </w:r>
      <w:r w:rsidRPr="00DC1A5F">
        <w:tab/>
      </w:r>
      <w:r w:rsidRPr="00DC1A5F">
        <w:tab/>
      </w:r>
      <w:r w:rsidRPr="00DC1A5F">
        <w:rPr>
          <w:sz w:val="16"/>
          <w:szCs w:val="20"/>
        </w:rPr>
        <w:t>Los estados que se comparten en la iluminación</w:t>
      </w:r>
    </w:p>
    <w:p w14:paraId="627D03BF" w14:textId="77777777" w:rsidR="00597DE2" w:rsidRPr="00DC1A5F" w:rsidRDefault="00597DE2" w:rsidP="00597DE2">
      <w:pPr>
        <w:pStyle w:val="VersoIngls01Sangria"/>
        <w:rPr>
          <w:sz w:val="16"/>
          <w:szCs w:val="20"/>
        </w:rPr>
      </w:pPr>
      <w:r w:rsidRPr="00DC1A5F">
        <w:rPr>
          <w:sz w:val="16"/>
          <w:szCs w:val="20"/>
        </w:rPr>
        <w:t>Son catorce, sin distribución;</w:t>
      </w:r>
    </w:p>
    <w:p w14:paraId="71059B03" w14:textId="77777777" w:rsidR="00597DE2" w:rsidRPr="00DC1A5F" w:rsidRDefault="00597DE2" w:rsidP="00597DE2">
      <w:pPr>
        <w:pStyle w:val="VersoIngls01Sangria"/>
        <w:rPr>
          <w:sz w:val="16"/>
          <w:szCs w:val="20"/>
        </w:rPr>
      </w:pPr>
      <w:r w:rsidRPr="00DC1A5F">
        <w:rPr>
          <w:sz w:val="16"/>
          <w:szCs w:val="20"/>
        </w:rPr>
        <w:t>Sumarán treinta y siete estados entre grupos distribuidos.</w:t>
      </w:r>
    </w:p>
    <w:p w14:paraId="7F18C01E" w14:textId="77777777" w:rsidR="00597DE2" w:rsidRPr="00DC1A5F" w:rsidRDefault="00597DE2" w:rsidP="00597DE2">
      <w:pPr>
        <w:pStyle w:val="VersoIngls01Sangria"/>
        <w:rPr>
          <w:sz w:val="16"/>
          <w:szCs w:val="20"/>
        </w:rPr>
      </w:pPr>
      <w:r w:rsidRPr="00DC1A5F">
        <w:rPr>
          <w:sz w:val="16"/>
          <w:szCs w:val="20"/>
        </w:rPr>
        <w:t>Mientras cada uno realice la tarea adecuada</w:t>
      </w:r>
    </w:p>
    <w:p w14:paraId="738F2CD1" w14:textId="77777777" w:rsidR="00597DE2" w:rsidRPr="00DC1A5F" w:rsidRDefault="00597DE2" w:rsidP="00597DE2">
      <w:pPr>
        <w:pStyle w:val="VersoIngls01Sangria"/>
        <w:rPr>
          <w:sz w:val="16"/>
          <w:szCs w:val="20"/>
        </w:rPr>
      </w:pPr>
      <w:r w:rsidRPr="00DC1A5F">
        <w:rPr>
          <w:sz w:val="16"/>
          <w:szCs w:val="20"/>
        </w:rPr>
        <w:t>que a su especial suerte le corresponda,</w:t>
      </w:r>
    </w:p>
    <w:p w14:paraId="56B739BF" w14:textId="77777777" w:rsidR="00597DE2" w:rsidRPr="00DC1A5F" w:rsidRDefault="00597DE2" w:rsidP="00597DE2">
      <w:pPr>
        <w:pStyle w:val="VersoIngls01Sangria"/>
        <w:rPr>
          <w:sz w:val="16"/>
          <w:szCs w:val="20"/>
        </w:rPr>
      </w:pPr>
      <w:r w:rsidRPr="00DC1A5F">
        <w:rPr>
          <w:sz w:val="16"/>
          <w:szCs w:val="20"/>
        </w:rPr>
        <w:t>Todos surgirán cuando</w:t>
      </w:r>
    </w:p>
    <w:p w14:paraId="4E2F3CE9" w14:textId="77777777" w:rsidR="00597DE2" w:rsidRPr="00DC1A5F" w:rsidRDefault="00597DE2" w:rsidP="00597DE2">
      <w:pPr>
        <w:pStyle w:val="VersoIngls01Sangria"/>
        <w:spacing w:after="100"/>
        <w:ind w:left="1418"/>
        <w:rPr>
          <w:sz w:val="16"/>
          <w:szCs w:val="20"/>
        </w:rPr>
      </w:pPr>
      <w:r w:rsidRPr="00DC1A5F">
        <w:rPr>
          <w:sz w:val="16"/>
          <w:szCs w:val="20"/>
        </w:rPr>
        <w:t>El Noble Óctuple Sendero se haya consumado.</w:t>
      </w:r>
    </w:p>
    <w:p w14:paraId="05409F66" w14:textId="77777777" w:rsidR="00597DE2" w:rsidRPr="00DC1A5F" w:rsidRDefault="00597DE2" w:rsidP="00597DE2">
      <w:pPr>
        <w:pStyle w:val="NormalConSangria"/>
      </w:pPr>
      <w:r w:rsidRPr="00DC1A5F">
        <w:t>Así es cómo deberá entenderse aquí, en primer lugar, el “desarrollo de los estados que intervienen en la iluminación”.</w:t>
      </w:r>
    </w:p>
    <w:p w14:paraId="1B2FBCFC" w14:textId="77777777" w:rsidR="00597DE2" w:rsidRPr="00DC1A5F" w:rsidRDefault="00597DE2" w:rsidP="00597DE2">
      <w:r w:rsidRPr="00DC1A5F">
        <w:t xml:space="preserve">44. </w:t>
      </w:r>
      <w:r w:rsidRPr="00DC1A5F">
        <w:tab/>
        <w:t xml:space="preserve">2. </w:t>
      </w:r>
      <w:r w:rsidRPr="00DC1A5F">
        <w:rPr>
          <w:i/>
          <w:iCs/>
        </w:rPr>
        <w:t xml:space="preserve">Emerger </w:t>
      </w:r>
      <w:r w:rsidRPr="00DC1A5F">
        <w:t xml:space="preserve">y 3. </w:t>
      </w:r>
      <w:r w:rsidRPr="00DC1A5F">
        <w:rPr>
          <w:i/>
          <w:iCs/>
        </w:rPr>
        <w:t>acoplamiento</w:t>
      </w:r>
      <w:r w:rsidRPr="00DC1A5F">
        <w:t xml:space="preserve"> </w:t>
      </w:r>
      <w:r w:rsidRPr="00DC1A5F">
        <w:rPr>
          <w:i/>
          <w:iCs/>
        </w:rPr>
        <w:t>de los poderes</w:t>
      </w:r>
      <w:r w:rsidRPr="00DC1A5F">
        <w:t xml:space="preserve">: la resolución del </w:t>
      </w:r>
      <w:r w:rsidRPr="00DC1A5F">
        <w:rPr>
          <w:i/>
          <w:iCs/>
        </w:rPr>
        <w:t xml:space="preserve">compuesto </w:t>
      </w:r>
      <w:proofErr w:type="spellStart"/>
      <w:r w:rsidRPr="00DC1A5F">
        <w:rPr>
          <w:i/>
          <w:iCs/>
        </w:rPr>
        <w:t>vuṭṭhānabalasamāyoga</w:t>
      </w:r>
      <w:proofErr w:type="spellEnd"/>
      <w:r w:rsidRPr="00DC1A5F">
        <w:rPr>
          <w:i/>
          <w:iCs/>
        </w:rPr>
        <w:t xml:space="preserve"> es </w:t>
      </w:r>
      <w:proofErr w:type="spellStart"/>
      <w:r w:rsidRPr="00DC1A5F">
        <w:rPr>
          <w:i/>
          <w:iCs/>
        </w:rPr>
        <w:t>vuṭṭhānañ</w:t>
      </w:r>
      <w:proofErr w:type="spellEnd"/>
      <w:r w:rsidRPr="00DC1A5F">
        <w:rPr>
          <w:i/>
          <w:iCs/>
        </w:rPr>
        <w:t xml:space="preserve"> </w:t>
      </w:r>
      <w:proofErr w:type="spellStart"/>
      <w:r w:rsidRPr="00DC1A5F">
        <w:rPr>
          <w:i/>
          <w:iCs/>
        </w:rPr>
        <w:t>c’eva</w:t>
      </w:r>
      <w:proofErr w:type="spellEnd"/>
      <w:r w:rsidRPr="00DC1A5F">
        <w:rPr>
          <w:i/>
          <w:iCs/>
        </w:rPr>
        <w:t xml:space="preserve"> bala–</w:t>
      </w:r>
      <w:proofErr w:type="spellStart"/>
      <w:r w:rsidRPr="00DC1A5F">
        <w:rPr>
          <w:i/>
          <w:iCs/>
        </w:rPr>
        <w:t>samāyogo</w:t>
      </w:r>
      <w:proofErr w:type="spellEnd"/>
      <w:r w:rsidRPr="00DC1A5F">
        <w:rPr>
          <w:i/>
          <w:iCs/>
        </w:rPr>
        <w:t xml:space="preserve"> ca</w:t>
      </w:r>
      <w:r w:rsidRPr="00DC1A5F">
        <w:t>.</w:t>
      </w:r>
    </w:p>
    <w:p w14:paraId="1171DA7A" w14:textId="77777777" w:rsidR="00597DE2" w:rsidRPr="00DC1A5F" w:rsidRDefault="00597DE2" w:rsidP="00597DE2">
      <w:pPr>
        <w:pStyle w:val="NormalConSangria"/>
      </w:pPr>
      <w:r w:rsidRPr="00DC1A5F">
        <w:t xml:space="preserve">[2. </w:t>
      </w:r>
      <w:r w:rsidRPr="00DC1A5F">
        <w:rPr>
          <w:i/>
          <w:iCs/>
        </w:rPr>
        <w:t>Emerger</w:t>
      </w:r>
      <w:r w:rsidRPr="00DC1A5F">
        <w:t>:] la sabiduría mundana no inducirá ningún emerger ni siquiera de la ocurrencia de la contaminación interna, porque no truncará la originación, el cual corresponde al acto de causar o producir una ocurrencia,</w:t>
      </w:r>
      <w:r w:rsidRPr="00DC1A5F">
        <w:rPr>
          <w:vertAlign w:val="superscript"/>
        </w:rPr>
        <w:t>12</w:t>
      </w:r>
      <w:r w:rsidRPr="00DC1A5F">
        <w:t xml:space="preserve"> ni desde el signo de las formaciones externas, porque tendrá al signo como su objeto.</w:t>
      </w:r>
    </w:p>
    <w:p w14:paraId="57D7465F"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78B3925C" w14:textId="77777777" w:rsidR="00597DE2" w:rsidRPr="00DC1A5F" w:rsidRDefault="00597DE2" w:rsidP="00597DE2">
      <w:pPr>
        <w:pStyle w:val="PiedepginaLegal"/>
        <w:numPr>
          <w:ilvl w:val="0"/>
          <w:numId w:val="11"/>
        </w:numPr>
        <w:tabs>
          <w:tab w:val="clear" w:pos="425"/>
          <w:tab w:val="left" w:pos="284"/>
        </w:tabs>
        <w:ind w:left="284" w:hanging="284"/>
      </w:pPr>
      <w:r w:rsidRPr="00DC1A5F">
        <w:t>“</w:t>
      </w:r>
      <w:r w:rsidRPr="00DC1A5F">
        <w:rPr>
          <w:i/>
          <w:iCs/>
        </w:rPr>
        <w:t>El surgimiento</w:t>
      </w:r>
      <w:r w:rsidRPr="00DC1A5F">
        <w:t xml:space="preserve"> del signo consiste en abandonar el signo de las formaciones y hacer del </w:t>
      </w:r>
      <w:r w:rsidRPr="00DC1A5F">
        <w:rPr>
          <w:i/>
          <w:iCs/>
        </w:rPr>
        <w:t>Nibbāna</w:t>
      </w:r>
      <w:r w:rsidRPr="00DC1A5F">
        <w:t xml:space="preserve"> el objeto. El emerger de la ocurrencia consiste en entrar en el estado de no–obligación ante la ocurrencia de resultado </w:t>
      </w:r>
      <w:proofErr w:type="spellStart"/>
      <w:r w:rsidRPr="00DC1A5F">
        <w:rPr>
          <w:i/>
          <w:iCs/>
        </w:rPr>
        <w:t>kammico</w:t>
      </w:r>
      <w:proofErr w:type="spellEnd"/>
      <w:r w:rsidRPr="00DC1A5F">
        <w:t xml:space="preserve"> en el futuro provocando la cesación de la causa” (</w:t>
      </w:r>
      <w:proofErr w:type="spellStart"/>
      <w:r w:rsidRPr="00DC1A5F">
        <w:t>Vism</w:t>
      </w:r>
      <w:proofErr w:type="spellEnd"/>
      <w:r w:rsidRPr="00DC1A5F">
        <w:t>–</w:t>
      </w:r>
      <w:proofErr w:type="spellStart"/>
      <w:r w:rsidRPr="00DC1A5F">
        <w:t>mhṭ</w:t>
      </w:r>
      <w:proofErr w:type="spellEnd"/>
      <w:r w:rsidRPr="00DC1A5F">
        <w:t xml:space="preserve"> 874).</w:t>
      </w:r>
    </w:p>
    <w:p w14:paraId="1C02CA30" w14:textId="77777777" w:rsidR="00597DE2" w:rsidRPr="00DC1A5F" w:rsidRDefault="00597DE2" w:rsidP="00597DE2">
      <w:pPr>
        <w:tabs>
          <w:tab w:val="clear" w:pos="425"/>
        </w:tabs>
        <w:spacing w:after="160"/>
      </w:pPr>
      <w:r w:rsidRPr="00DC1A5F">
        <w:br w:type="page"/>
      </w:r>
    </w:p>
    <w:p w14:paraId="3213432B" w14:textId="77777777" w:rsidR="00597DE2" w:rsidRPr="00DC1A5F" w:rsidRDefault="00597DE2" w:rsidP="00597DE2">
      <w:pPr>
        <w:pStyle w:val="NormalConSangria"/>
      </w:pPr>
      <w:r w:rsidRPr="00DC1A5F">
        <w:lastRenderedPageBreak/>
        <w:t xml:space="preserve">El conocimiento del cambio de linaje no inducirá al emerger desde la ocurrencia, internamente, porque no eliminará la originación, pero si inducirá al emerger desde el signo, externamente, porque poseerá al </w:t>
      </w:r>
      <w:r w:rsidRPr="00DC1A5F">
        <w:rPr>
          <w:i/>
          <w:iCs/>
        </w:rPr>
        <w:t>Nibbāna</w:t>
      </w:r>
      <w:r w:rsidRPr="00DC1A5F">
        <w:t xml:space="preserve"> como su objeto; así se dará el emerger desde uno. Por lo tanto, se dice al respecto: “El entendimiento del emerger y el distanciamiento de lo externo corresponderá al conocimiento del cambio de linaje” (</w:t>
      </w:r>
      <w:proofErr w:type="spellStart"/>
      <w:r w:rsidRPr="00DC1A5F">
        <w:rPr>
          <w:i/>
          <w:iCs/>
        </w:rPr>
        <w:t>Paṭis</w:t>
      </w:r>
      <w:proofErr w:type="spellEnd"/>
      <w:r w:rsidRPr="00DC1A5F">
        <w:t xml:space="preserve"> I 66). Del mismo modo, todo el pasaje, “Habiéndose distanciado del surgimiento, penetrará en el no–surgimiento, por lo que corresponderá a un cambio de linaje. Habiéndose distanciado de la ocurrencia… (etc.— para la elisión, véase el Cap. XXI. §</w:t>
      </w:r>
      <w:proofErr w:type="gramStart"/>
      <w:r w:rsidRPr="00DC1A5F">
        <w:t>37)…</w:t>
      </w:r>
      <w:proofErr w:type="gramEnd"/>
      <w:r w:rsidRPr="00DC1A5F">
        <w:t xml:space="preserve"> [Habiéndose distanciado del signo de las formaciones externas, penetrará en la cesación, en el </w:t>
      </w:r>
      <w:r w:rsidRPr="00DC1A5F">
        <w:rPr>
          <w:i/>
          <w:iCs/>
        </w:rPr>
        <w:t>Nibbāna</w:t>
      </w:r>
      <w:r w:rsidRPr="00DC1A5F">
        <w:t>, por lo tanto corresponderá a un cambio de linaje]” (</w:t>
      </w:r>
      <w:proofErr w:type="spellStart"/>
      <w:r w:rsidRPr="00DC1A5F">
        <w:rPr>
          <w:i/>
          <w:iCs/>
        </w:rPr>
        <w:t>Paṭis</w:t>
      </w:r>
      <w:proofErr w:type="spellEnd"/>
      <w:r w:rsidRPr="00DC1A5F">
        <w:t xml:space="preserve"> I 67), esto es lo que debe entenderse aquí.</w:t>
      </w:r>
    </w:p>
    <w:p w14:paraId="28049726" w14:textId="77777777" w:rsidR="00597DE2" w:rsidRPr="00DC1A5F" w:rsidRDefault="00597DE2" w:rsidP="00597DE2">
      <w:pPr>
        <w:pStyle w:val="NormalConSangria"/>
      </w:pPr>
      <w:r w:rsidRPr="00DC1A5F">
        <w:t>Estos 4 tipos de conocimiento del sendero emergerán del signo porque poseerán como su objeto lo no–signo, y también de la ocurrencia porque truncarán la originación. Entonces surgirán de ambos. Por eso se dice al respecto:</w:t>
      </w:r>
    </w:p>
    <w:p w14:paraId="53274E11" w14:textId="77777777" w:rsidR="00597DE2" w:rsidRPr="00DC1A5F" w:rsidRDefault="00597DE2" w:rsidP="00597DE2">
      <w:pPr>
        <w:pStyle w:val="Textoindependiente"/>
      </w:pPr>
      <w:r w:rsidRPr="00DC1A5F">
        <w:t xml:space="preserve">45. </w:t>
      </w:r>
      <w:r w:rsidRPr="00DC1A5F">
        <w:tab/>
        <w:t>“¿Cómo es que el entendimiento del emerger y el distanciamiento de ambos corresponderá al conocimiento del sendero?</w:t>
      </w:r>
    </w:p>
    <w:p w14:paraId="25EAC409" w14:textId="77777777" w:rsidR="00597DE2" w:rsidRPr="00DC1A5F" w:rsidRDefault="00597DE2" w:rsidP="00597DE2">
      <w:pPr>
        <w:pStyle w:val="NormalConSangria"/>
      </w:pPr>
      <w:r w:rsidRPr="00DC1A5F">
        <w:t>“En el momento del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corriente, la visión correcta en el sentido de observación (a) emergerá de la visión incorrecta y emergerá de las impurezas y de los agregados que ocurran como consecuencia de esta visión incorrecta,</w:t>
      </w:r>
      <w:r w:rsidRPr="00DC1A5F">
        <w:rPr>
          <w:vertAlign w:val="superscript"/>
        </w:rPr>
        <w:t>13</w:t>
      </w:r>
      <w:r w:rsidRPr="00DC1A5F">
        <w:t xml:space="preserve"> y (b) externamente emergerá de todos los signos; por eso se dijo al respecto: El entendimiento del surgimiento y el distanciamiento de ambos corresponderá al conocimiento del sendero. El pensamiento correcto, en el sentido de direccionalidad, emergerá del pensamiento incorrecto... El lenguaje correcto, en el sentido de abarcamiento, emergerá del lenguaje incorrecto... La acción correcta, en el sentido de originación, emergerá de la acción incorrecta... El sustento correcto, en el sentido de purificación, emergerá del sustento incorrecto... El esfuerzo correcto, en el sentido de ejercer, emergerá de un esfuerzo incorrecto... La atención correcta, en el sentido de establecimiento, emergerá de la atención incorrecta... La concentración correcta, en el sentido de no–distracción, emergerá de la concentración incorrecta y emergerá de las corrupciones y de los agregados que ocurran como consecuencia de ello [de la concentración incorrecta], y, externamente, emergerá de todos los signos; por eso se dijo al respecto: El entendimiento del surgimiento y el distanciamiento de ambos corresponderá al conocimiento del sendero.</w:t>
      </w:r>
    </w:p>
    <w:p w14:paraId="3A6F494A" w14:textId="77777777" w:rsidR="00597DE2" w:rsidRPr="00DC1A5F" w:rsidRDefault="00597DE2" w:rsidP="00597DE2">
      <w:pPr>
        <w:pStyle w:val="NormalConSangria"/>
      </w:pPr>
      <w:r w:rsidRPr="00DC1A5F">
        <w:t xml:space="preserve">“En el momento del sendero del retornante–por–única–vez, la visión correcta en el sentido de observación… La concentración correcta en el sentido de no–distracción (a) emergerá del denso grillete de la codicia hacia los deseos sensoriales, del denso grillete del resentimiento, de la densa tendencia </w:t>
      </w:r>
      <w:proofErr w:type="spellStart"/>
      <w:r w:rsidRPr="00DC1A5F">
        <w:t>subyacemte</w:t>
      </w:r>
      <w:proofErr w:type="spellEnd"/>
      <w:r w:rsidRPr="00DC1A5F">
        <w:t xml:space="preserve"> hacia la codicia hacia los deseos sensoriales y de la densa tendencia inherente hacia al resentimiento, y surgirá de las corrupciones y de los agregados consiguientes a ello, y, externamente, (b) emergerá de todos los signos; por eso se dijo al respecto: el entendimiento del surgimiento y el distanciamiento de ambos corresponderá al conocimiento del sendero].</w:t>
      </w:r>
    </w:p>
    <w:p w14:paraId="5A5B6250" w14:textId="77777777" w:rsidR="00597DE2" w:rsidRPr="00DC1A5F" w:rsidRDefault="00597DE2" w:rsidP="00597DE2">
      <w:pPr>
        <w:pStyle w:val="NormalConSangria"/>
      </w:pPr>
      <w:r w:rsidRPr="00DC1A5F">
        <w:t>“En el momento del sendero del no–retorno, la visión correcta en el sentido de observación… La concentración correcta en el sentido de no–distracción (a) surgirá [682] del</w:t>
      </w:r>
    </w:p>
    <w:p w14:paraId="7ED78D5F" w14:textId="77777777" w:rsidR="00597DE2" w:rsidRPr="00DC1A5F" w:rsidRDefault="00597DE2" w:rsidP="00597DE2">
      <w:pPr>
        <w:pStyle w:val="PiedepginaLegal"/>
        <w:rPr>
          <w:u w:val="single"/>
        </w:rPr>
      </w:pPr>
      <w:r w:rsidRPr="00DC1A5F">
        <w:t xml:space="preserve"> </w:t>
      </w:r>
      <w:r w:rsidRPr="00DC1A5F">
        <w:rPr>
          <w:u w:val="single"/>
        </w:rPr>
        <w:tab/>
      </w:r>
      <w:r w:rsidRPr="00DC1A5F">
        <w:rPr>
          <w:u w:val="single"/>
        </w:rPr>
        <w:tab/>
      </w:r>
      <w:r w:rsidRPr="00DC1A5F">
        <w:rPr>
          <w:u w:val="single"/>
        </w:rPr>
        <w:tab/>
      </w:r>
      <w:r w:rsidRPr="00DC1A5F">
        <w:rPr>
          <w:u w:val="single"/>
        </w:rPr>
        <w:tab/>
        <w:t>.</w:t>
      </w:r>
    </w:p>
    <w:p w14:paraId="2E576E73" w14:textId="77777777" w:rsidR="00597DE2" w:rsidRPr="00DC1A5F" w:rsidRDefault="00597DE2" w:rsidP="00597DE2">
      <w:pPr>
        <w:pStyle w:val="PiedepginaLegal"/>
      </w:pPr>
      <w:r w:rsidRPr="00DC1A5F">
        <w:t>…</w:t>
      </w:r>
      <w:r w:rsidRPr="00DC1A5F">
        <w:tab/>
      </w:r>
    </w:p>
    <w:p w14:paraId="6B34EBD8" w14:textId="77777777" w:rsidR="00597DE2" w:rsidRPr="00DC1A5F" w:rsidRDefault="00597DE2" w:rsidP="00597DE2">
      <w:pPr>
        <w:pStyle w:val="PiedepginaLegal"/>
        <w:numPr>
          <w:ilvl w:val="0"/>
          <w:numId w:val="11"/>
        </w:numPr>
        <w:tabs>
          <w:tab w:val="clear" w:pos="425"/>
          <w:tab w:val="left" w:pos="284"/>
        </w:tabs>
        <w:ind w:left="284" w:hanging="284"/>
      </w:pPr>
      <w:r w:rsidRPr="00DC1A5F">
        <w:t>“Ello emerge de las contaminaciones de la incertidumbre, etc., que ocurrirán como consecuencia de dicha visión, lo cual es incorrecto, ya que conduce hacia los estados de perdición” (</w:t>
      </w:r>
      <w:proofErr w:type="spellStart"/>
      <w:r w:rsidRPr="00DC1A5F">
        <w:t>Vism</w:t>
      </w:r>
      <w:proofErr w:type="spellEnd"/>
      <w:r w:rsidRPr="00DC1A5F">
        <w:t>–</w:t>
      </w:r>
      <w:proofErr w:type="spellStart"/>
      <w:r w:rsidRPr="00DC1A5F">
        <w:t>mhṭ</w:t>
      </w:r>
      <w:proofErr w:type="spellEnd"/>
      <w:r w:rsidRPr="00DC1A5F">
        <w:t xml:space="preserve"> 874).</w:t>
      </w:r>
      <w:r w:rsidRPr="00DC1A5F">
        <w:br w:type="page"/>
      </w:r>
    </w:p>
    <w:p w14:paraId="6848B4E7" w14:textId="77777777" w:rsidR="00597DE2" w:rsidRPr="00DC1A5F" w:rsidRDefault="00597DE2" w:rsidP="00597DE2">
      <w:pPr>
        <w:pStyle w:val="Textoindependiente"/>
      </w:pPr>
      <w:r w:rsidRPr="00DC1A5F">
        <w:lastRenderedPageBreak/>
        <w:t>impedimento residual de la codicia hacia los deseos sensoriales, del impedimento residual del resentimiento, de la tendencia residual inherente hacia codicia por los deseos sensoriales, de la tendencia residual inherente hacia el resentimiento y surgirá de las corrupciones y de los agregados que ocurran como consecuencia de ello y, externamente, (b) emergerá de todos los signos; por eso se dijo al respecto: el entendimiento del surgimiento y el distanciamiento de ambos corresponderá al conocimiento del sendero.</w:t>
      </w:r>
    </w:p>
    <w:p w14:paraId="4850F070" w14:textId="77777777" w:rsidR="00597DE2" w:rsidRPr="00DC1A5F" w:rsidRDefault="00597DE2" w:rsidP="00597DE2">
      <w:pPr>
        <w:pStyle w:val="NormalConSangria"/>
      </w:pPr>
      <w:r w:rsidRPr="00DC1A5F">
        <w:t xml:space="preserve">“En el momento del sendero del </w:t>
      </w:r>
      <w:r w:rsidRPr="00DC1A5F">
        <w:rPr>
          <w:i/>
        </w:rPr>
        <w:t>Arahant</w:t>
      </w:r>
      <w:r w:rsidRPr="00DC1A5F">
        <w:t>, la visión correcta en el sentido de observación… La concentración correcta en el sentido de no–distracción (a) surgirá de la codicia hacia la existencia material sutil, de la codicia hacia la existencia inmaterial, de la presunción (orgullo), de la agitación, de la ignorancia, de la tendencia subyacente hacia la presunción (orgullo), de la tendencia subyacente hacia la codicia por el devenir, de la tendencia a hacia la ignorancia y emergerá de las corrupciones y de los agregados que ocurran como consecuencia de ello, y (b) externamente emergerá de todos los signos; por eso se dijo al respecto: El entendimiento del surgimiento y el distanciamiento de ambos corresponderá al conocimiento del sendero” (</w:t>
      </w:r>
      <w:proofErr w:type="spellStart"/>
      <w:r w:rsidRPr="00DC1A5F">
        <w:rPr>
          <w:i/>
          <w:iCs/>
        </w:rPr>
        <w:t>Paṭis</w:t>
      </w:r>
      <w:proofErr w:type="spellEnd"/>
      <w:r w:rsidRPr="00DC1A5F">
        <w:t xml:space="preserve"> I 69f.).</w:t>
      </w:r>
    </w:p>
    <w:p w14:paraId="6424CF74" w14:textId="77777777" w:rsidR="00597DE2" w:rsidRPr="00DC1A5F" w:rsidRDefault="00597DE2" w:rsidP="00597DE2">
      <w:r w:rsidRPr="00DC1A5F">
        <w:t>46. ​​</w:t>
      </w:r>
      <w:r w:rsidRPr="00DC1A5F">
        <w:tab/>
        <w:t xml:space="preserve">3. </w:t>
      </w:r>
      <w:r w:rsidRPr="00DC1A5F">
        <w:rPr>
          <w:i/>
          <w:iCs/>
        </w:rPr>
        <w:t>Acoplamiento de los poderes</w:t>
      </w:r>
      <w:r w:rsidRPr="00DC1A5F">
        <w:t>: En el momento de desarrollar las 8 absorciones mundanas, el poder de la serenidad se encontrará en exceso, mientras que en el momento de desarrollar la contemplación de la impermanencia, etc., el poder de la sabiduría–revelativa se encontrará en exceso. No obstante, en el momento del noble sendero se darán acoplados en el sentido de que ninguno disipará al otro. Entonces se dará un acoplamiento de poderes en el caso de cada uno de estos 4 tipos de conocimiento, según se dice al respecto: “Cuando él emerja de las impurezas asociadas a la agitación y los agregados, su unificación mental, no–distracción, concentración, tendrá como dominio la cesación. Cuando emerja de las contaminaciones asociadas a la ignorancia y a los agregados, su sabiduría–revelativa en el sentido de contemplación tendrá como dominio la cesación. De modo que la serenidad y la sabiduría–revelativa poseerán una sola naturaleza en el sentido de emerger, se encontrarán acopladas y ninguna disipará a la otra. Por eso se dijo al respecto: él desarrollará la serenidad y la sabiduría–revelativa conjuntamente en el sentido de emerger” (</w:t>
      </w:r>
      <w:proofErr w:type="spellStart"/>
      <w:r w:rsidRPr="00DC1A5F">
        <w:rPr>
          <w:i/>
          <w:iCs/>
        </w:rPr>
        <w:t>Paṭis</w:t>
      </w:r>
      <w:proofErr w:type="spellEnd"/>
      <w:r w:rsidRPr="00DC1A5F">
        <w:t xml:space="preserve"> II 98).</w:t>
      </w:r>
    </w:p>
    <w:p w14:paraId="73377C04" w14:textId="77777777" w:rsidR="00597DE2" w:rsidRPr="00DC1A5F" w:rsidRDefault="00597DE2" w:rsidP="00597DE2">
      <w:pPr>
        <w:pStyle w:val="NormalConSangria"/>
      </w:pPr>
      <w:r w:rsidRPr="00DC1A5F">
        <w:t>“Emerger” y “acoplamiento de los poderes” deberán entenderse aquí de esta manera.</w:t>
      </w:r>
    </w:p>
    <w:p w14:paraId="329D8E5B" w14:textId="77777777" w:rsidR="00597DE2" w:rsidRPr="00DC1A5F" w:rsidRDefault="00597DE2" w:rsidP="00597DE2">
      <w:r w:rsidRPr="00DC1A5F">
        <w:t xml:space="preserve">47. </w:t>
      </w:r>
      <w:r w:rsidRPr="00DC1A5F">
        <w:tab/>
        <w:t xml:space="preserve">4. </w:t>
      </w:r>
      <w:r w:rsidRPr="00DC1A5F">
        <w:rPr>
          <w:i/>
          <w:iCs/>
        </w:rPr>
        <w:t>Los tipos de estados que deben ser abandonados</w:t>
      </w:r>
      <w:r w:rsidRPr="00DC1A5F">
        <w:t xml:space="preserve">, 5. </w:t>
      </w:r>
      <w:r w:rsidRPr="00DC1A5F">
        <w:rPr>
          <w:i/>
          <w:iCs/>
        </w:rPr>
        <w:t>también el acto de su abandono</w:t>
      </w:r>
      <w:r w:rsidRPr="00DC1A5F">
        <w:t>: ahora bien, qué estados deberán ser abandonados por qué tipo de conocimiento entre estos 4 deberán entenderse y también el acto de abandonarlos. Ya que cada uno e independientemente provocará el acto de abandono de los estados llamados grilletes, contaminaciones, incorrecciones, estados mundanos, tipos de avaricia, perversiones, ataduras, malos senderos, corrupciones, inundaciones, esclavitud, obstáculos, adherencias, apegos, tendencias subyacentes, manchas, cursos de acción improductiva y, además, pensamientos improductivos.</w:t>
      </w:r>
    </w:p>
    <w:p w14:paraId="616AF7EC" w14:textId="77777777" w:rsidR="00597DE2" w:rsidRPr="00DC1A5F" w:rsidRDefault="00597DE2" w:rsidP="00597DE2">
      <w:r w:rsidRPr="00DC1A5F">
        <w:t xml:space="preserve">48. </w:t>
      </w:r>
      <w:r w:rsidRPr="00DC1A5F">
        <w:tab/>
        <w:t xml:space="preserve">Aquí, los </w:t>
      </w:r>
      <w:r w:rsidRPr="00DC1A5F">
        <w:rPr>
          <w:i/>
          <w:iCs/>
        </w:rPr>
        <w:t>grilletes o trabas</w:t>
      </w:r>
      <w:r w:rsidRPr="00DC1A5F">
        <w:t xml:space="preserve"> corresponderán a 10 estados que comienzan con la codicia hacia la materia sutil, llamada así porque encadenan a los agregados de esa vida a los agregados de la próxima vida, o al </w:t>
      </w:r>
      <w:proofErr w:type="spellStart"/>
      <w:r w:rsidRPr="00DC1A5F">
        <w:rPr>
          <w:i/>
        </w:rPr>
        <w:t>kamma</w:t>
      </w:r>
      <w:proofErr w:type="spellEnd"/>
      <w:r w:rsidRPr="00DC1A5F">
        <w:t xml:space="preserve"> a su efecto, o a los seres al sufrimiento. Mientras éstos existan, los demás no cesarán. Y de estos grilletes, la codicia hacia la materia sutil, la codicia hacia lo inmaterial, hacia la presunción (orgullo), la agitación y la ignorancia, todos estos corresponderán a los 5 grilletes superiores porque encadenarán a los seres a los agregados, etc., producidos en formas de devenir superior, [683] mientras que la visión incorrecta identitaria, la duda y la adhesión </w:t>
      </w:r>
    </w:p>
    <w:p w14:paraId="5FB601C8" w14:textId="77777777" w:rsidR="00597DE2" w:rsidRPr="00DC1A5F" w:rsidRDefault="00597DE2" w:rsidP="00597DE2">
      <w:pPr>
        <w:tabs>
          <w:tab w:val="clear" w:pos="425"/>
        </w:tabs>
        <w:spacing w:after="160"/>
      </w:pPr>
      <w:r w:rsidRPr="00DC1A5F">
        <w:br w:type="page"/>
      </w:r>
    </w:p>
    <w:p w14:paraId="646F48D2" w14:textId="77777777" w:rsidR="00597DE2" w:rsidRPr="00DC1A5F" w:rsidRDefault="00597DE2" w:rsidP="00597DE2">
      <w:pPr>
        <w:pStyle w:val="Textoindependiente"/>
      </w:pPr>
      <w:r w:rsidRPr="00DC1A5F">
        <w:lastRenderedPageBreak/>
        <w:t>hacia ritos y votos, la codicia hacia los deseos sensoriales y la mala voluntad son denominados los 5 grilletes inferiores, porque encadenarán a los seres a los agregados, etc., producidos en las formas de devenir inferiores.</w:t>
      </w:r>
    </w:p>
    <w:p w14:paraId="1C498119" w14:textId="77777777" w:rsidR="00597DE2" w:rsidRPr="00DC1A5F" w:rsidRDefault="00597DE2" w:rsidP="00597DE2">
      <w:r w:rsidRPr="00DC1A5F">
        <w:t xml:space="preserve">49. </w:t>
      </w:r>
      <w:r w:rsidRPr="00DC1A5F">
        <w:tab/>
        <w:t xml:space="preserve">Las </w:t>
      </w:r>
      <w:r w:rsidRPr="00DC1A5F">
        <w:rPr>
          <w:i/>
          <w:iCs/>
        </w:rPr>
        <w:t>impurezas</w:t>
      </w:r>
      <w:r w:rsidRPr="00DC1A5F">
        <w:t xml:space="preserve"> corresponderán a 10 estados, es decir, a la codicia, el odio, la ilusión, a la presunción (orgullo), a la visión incorrecta, a la incertidumbre, a la rigidez [de mente], a la agitación, a la falta de consciencia, a la </w:t>
      </w:r>
      <w:r w:rsidRPr="00DC1A5F">
        <w:rPr>
          <w:color w:val="833C0B" w:themeColor="accent2" w:themeShade="80"/>
        </w:rPr>
        <w:t>negligencia moral</w:t>
      </w:r>
      <w:r w:rsidRPr="00DC1A5F">
        <w:t>. Se le llamarán así porque ellos mismos están contaminados y porque contaminan a sus estados asociados.</w:t>
      </w:r>
    </w:p>
    <w:p w14:paraId="4AEA69A2" w14:textId="77777777" w:rsidR="00597DE2" w:rsidRPr="00DC1A5F" w:rsidRDefault="00597DE2" w:rsidP="00597DE2">
      <w:r w:rsidRPr="00DC1A5F">
        <w:t xml:space="preserve">50. </w:t>
      </w:r>
      <w:r w:rsidRPr="00DC1A5F">
        <w:tab/>
        <w:t xml:space="preserve">Las </w:t>
      </w:r>
      <w:r w:rsidRPr="00DC1A5F">
        <w:rPr>
          <w:i/>
          <w:iCs/>
        </w:rPr>
        <w:t xml:space="preserve">incorrecciones </w:t>
      </w:r>
      <w:r w:rsidRPr="00DC1A5F">
        <w:t xml:space="preserve">corresponderán a 8 estados, es decir, a la visión incorrecta, al pensamiento incorrecto, al lenguaje incorrecto, a la acción incorrecta, al sustento incorrecto, al esfuerzo incorrecto, a la atención incorrecta, a la concentración incorrecta, que con el </w:t>
      </w:r>
      <w:proofErr w:type="gramStart"/>
      <w:r w:rsidRPr="00DC1A5F">
        <w:t>conocimiento incorrecto y la liberación incorrecta</w:t>
      </w:r>
      <w:proofErr w:type="gramEnd"/>
      <w:r w:rsidRPr="00DC1A5F">
        <w:t>,</w:t>
      </w:r>
      <w:r w:rsidRPr="00DC1A5F">
        <w:rPr>
          <w:vertAlign w:val="superscript"/>
        </w:rPr>
        <w:t>14</w:t>
      </w:r>
      <w:r w:rsidRPr="00DC1A5F">
        <w:t xml:space="preserve"> llegan a diez inexactitudes. Se le llamarán así porque ocurrirán de forma incorrecta.</w:t>
      </w:r>
    </w:p>
    <w:p w14:paraId="1DE3459E" w14:textId="77777777" w:rsidR="00597DE2" w:rsidRPr="00DC1A5F" w:rsidRDefault="00597DE2" w:rsidP="00597DE2">
      <w:r w:rsidRPr="00DC1A5F">
        <w:t xml:space="preserve">51. </w:t>
      </w:r>
      <w:r w:rsidRPr="00DC1A5F">
        <w:tab/>
        <w:t xml:space="preserve">Los </w:t>
      </w:r>
      <w:r w:rsidRPr="00DC1A5F">
        <w:rPr>
          <w:i/>
          <w:iCs/>
        </w:rPr>
        <w:t>estados mundanos</w:t>
      </w:r>
      <w:r w:rsidRPr="00DC1A5F">
        <w:t xml:space="preserve"> corresponderán a 8, es decir, a la ganancia, a la pérdida, a la fama, a la desgracia, al placer, al dolor, a la culpa y a la alabanza. Se les llamará así porque se sucederán continuamente mientras el mundo persista. No obstante, cuando se incluyan los estados mundanos, entonces debido al uso metafórico del nombre de la causa por su efecto, la </w:t>
      </w:r>
      <w:r w:rsidRPr="00DC1A5F">
        <w:rPr>
          <w:i/>
          <w:iCs/>
        </w:rPr>
        <w:t>aprobación</w:t>
      </w:r>
      <w:r w:rsidRPr="00DC1A5F">
        <w:t xml:space="preserve"> que se desarrolle por el objeto de la ganancia, etc., y el </w:t>
      </w:r>
      <w:r w:rsidRPr="00DC1A5F">
        <w:rPr>
          <w:i/>
          <w:iCs/>
        </w:rPr>
        <w:t>resentimiento</w:t>
      </w:r>
      <w:r w:rsidRPr="00DC1A5F">
        <w:t xml:space="preserve"> que se desarrolle por el objeto de pérdida, etc. también deberán entenderse como incluidos.</w:t>
      </w:r>
    </w:p>
    <w:p w14:paraId="32F2891A" w14:textId="77777777" w:rsidR="00597DE2" w:rsidRPr="00DC1A5F" w:rsidRDefault="00597DE2" w:rsidP="00597DE2">
      <w:r w:rsidRPr="00DC1A5F">
        <w:t xml:space="preserve">52. </w:t>
      </w:r>
      <w:r w:rsidRPr="00DC1A5F">
        <w:tab/>
        <w:t xml:space="preserve">Los </w:t>
      </w:r>
      <w:r w:rsidRPr="00DC1A5F">
        <w:rPr>
          <w:i/>
          <w:iCs/>
        </w:rPr>
        <w:t>tipos de avaricia</w:t>
      </w:r>
      <w:r w:rsidRPr="00DC1A5F">
        <w:t xml:space="preserve"> corresponderán a 5, es decir, a la avaricia hacia las viviendas, a las familias, a las ganancias, al </w:t>
      </w:r>
      <w:r w:rsidRPr="00DC1A5F">
        <w:rPr>
          <w:i/>
        </w:rPr>
        <w:t>Dhamma</w:t>
      </w:r>
      <w:r w:rsidRPr="00DC1A5F">
        <w:t xml:space="preserve"> y a la alabanza, que ocurran como incapacidad de soportar compartir con otros cualquiera de estas cosas, comenzando con las viviendas.</w:t>
      </w:r>
    </w:p>
    <w:p w14:paraId="1D8287F5" w14:textId="77777777" w:rsidR="00597DE2" w:rsidRPr="00DC1A5F" w:rsidRDefault="00597DE2" w:rsidP="00597DE2">
      <w:r w:rsidRPr="00DC1A5F">
        <w:t xml:space="preserve">53. </w:t>
      </w:r>
      <w:r w:rsidRPr="00DC1A5F">
        <w:tab/>
        <w:t xml:space="preserve">Las </w:t>
      </w:r>
      <w:r w:rsidRPr="00DC1A5F">
        <w:rPr>
          <w:i/>
          <w:iCs/>
        </w:rPr>
        <w:t>perversiones</w:t>
      </w:r>
      <w:r w:rsidRPr="00DC1A5F">
        <w:t xml:space="preserve"> corresponderán a 3: a las perversiones de la percepción, de la consciencia y de la visión incorrecta, que ocurran al aprehender objetos que son impermanentes, insatisfactorios, no–alma y repugnantes (feos), como permanentes, satisfactorios, alma y bellos.</w:t>
      </w:r>
    </w:p>
    <w:p w14:paraId="33A68FDB" w14:textId="77777777" w:rsidR="00597DE2" w:rsidRPr="00DC1A5F" w:rsidRDefault="00597DE2" w:rsidP="00597DE2">
      <w:r w:rsidRPr="00DC1A5F">
        <w:t xml:space="preserve">54. </w:t>
      </w:r>
      <w:r w:rsidRPr="00DC1A5F">
        <w:tab/>
        <w:t xml:space="preserve">Las </w:t>
      </w:r>
      <w:r w:rsidRPr="00DC1A5F">
        <w:rPr>
          <w:i/>
          <w:iCs/>
        </w:rPr>
        <w:t>ataduras</w:t>
      </w:r>
      <w:r w:rsidRPr="00DC1A5F">
        <w:t xml:space="preserve"> corresponderán a 4 comenzando con la codicia, llamados así porque atan al cuerpo mental y al cuerpo material. Se describen como “el lazo corporal de la codicia, el lazo corporal de la mala voluntad, el lazo corporal de la adhesión a reglas y ritos, y el lazo corporal de la insistencia (malinterpretación) que ‘Sólo esto corresponden a la verdad’” (</w:t>
      </w:r>
      <w:proofErr w:type="spellStart"/>
      <w:r w:rsidRPr="00DC1A5F">
        <w:t>Vibh</w:t>
      </w:r>
      <w:proofErr w:type="spellEnd"/>
      <w:r w:rsidRPr="00DC1A5F">
        <w:t xml:space="preserve"> 374).</w:t>
      </w:r>
    </w:p>
    <w:p w14:paraId="17E993D6" w14:textId="77777777" w:rsidR="00597DE2" w:rsidRPr="00DC1A5F" w:rsidRDefault="00597DE2" w:rsidP="00597DE2">
      <w:r w:rsidRPr="00DC1A5F">
        <w:t xml:space="preserve">55. </w:t>
      </w:r>
      <w:r w:rsidRPr="00DC1A5F">
        <w:tab/>
        <w:t xml:space="preserve">Los </w:t>
      </w:r>
      <w:r w:rsidRPr="00DC1A5F">
        <w:rPr>
          <w:i/>
          <w:iCs/>
        </w:rPr>
        <w:t>malos senderos</w:t>
      </w:r>
      <w:r w:rsidRPr="00DC1A5F">
        <w:t xml:space="preserve"> corresponderán a un término para el hacer de lo que no se deba hacer y para el no hacer de lo que se deba hacer, por medio del celo (deseo), el odio, la ilusión y el miedo. Se les llama “malos senderos” porque corresponderán a senderos que no deben ser recorridos por los Nobles.</w:t>
      </w:r>
    </w:p>
    <w:p w14:paraId="76D932F5" w14:textId="77777777" w:rsidR="00597DE2" w:rsidRPr="00DC1A5F" w:rsidRDefault="00597DE2" w:rsidP="00597DE2">
      <w:r w:rsidRPr="00DC1A5F">
        <w:t xml:space="preserve">56. </w:t>
      </w:r>
      <w:r w:rsidRPr="00DC1A5F">
        <w:tab/>
      </w:r>
      <w:r w:rsidRPr="00DC1A5F">
        <w:rPr>
          <w:i/>
          <w:iCs/>
        </w:rPr>
        <w:t xml:space="preserve">Corrupciones </w:t>
      </w:r>
      <w:r w:rsidRPr="00DC1A5F">
        <w:t>(</w:t>
      </w:r>
      <w:proofErr w:type="spellStart"/>
      <w:r w:rsidRPr="00DC1A5F">
        <w:rPr>
          <w:i/>
          <w:iCs/>
        </w:rPr>
        <w:t>āsava</w:t>
      </w:r>
      <w:proofErr w:type="spellEnd"/>
      <w:r w:rsidRPr="00DC1A5F">
        <w:t>): en cuanto a (</w:t>
      </w:r>
      <w:r w:rsidRPr="00DC1A5F">
        <w:rPr>
          <w:i/>
          <w:iCs/>
        </w:rPr>
        <w:t>ā</w:t>
      </w:r>
      <w:r w:rsidRPr="00DC1A5F">
        <w:t>) se refiere al cambio de linaje, en el caso de estados de consciencia y en cuanto a (</w:t>
      </w:r>
      <w:r w:rsidRPr="00DC1A5F">
        <w:rPr>
          <w:i/>
          <w:iCs/>
        </w:rPr>
        <w:t>ā</w:t>
      </w:r>
      <w:r w:rsidRPr="00DC1A5F">
        <w:t>) se refiere al apogeo del devenir, en el caso de los tipos de devenir, es decir, en el cuarto estado inmaterial, se darán exudaciones (</w:t>
      </w:r>
      <w:proofErr w:type="spellStart"/>
      <w:r w:rsidRPr="00DC1A5F">
        <w:rPr>
          <w:i/>
          <w:iCs/>
        </w:rPr>
        <w:t>savana</w:t>
      </w:r>
      <w:proofErr w:type="spellEnd"/>
      <w:r w:rsidRPr="00DC1A5F">
        <w:t>) debido a la naturaleza formada del objeto. Éste corresponderá a un término para la codicia hacia los deseos sensoriales, la codicia hacia el devenir, la visión incorrecta y la ignorancia, debido a la exudación (</w:t>
      </w:r>
      <w:proofErr w:type="spellStart"/>
      <w:r w:rsidRPr="00DC1A5F">
        <w:rPr>
          <w:i/>
          <w:iCs/>
        </w:rPr>
        <w:t>savana</w:t>
      </w:r>
      <w:proofErr w:type="spellEnd"/>
      <w:r w:rsidRPr="00DC1A5F">
        <w:t>) de estas impurezas en las puertas sensoriales, desprotegidas como el agua de las grietas de una olla</w:t>
      </w:r>
    </w:p>
    <w:p w14:paraId="0584E66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686D700" w14:textId="77777777" w:rsidR="00597DE2" w:rsidRPr="00DC1A5F" w:rsidRDefault="00597DE2" w:rsidP="00597DE2">
      <w:pPr>
        <w:pStyle w:val="PiedepginaLegal"/>
        <w:numPr>
          <w:ilvl w:val="0"/>
          <w:numId w:val="11"/>
        </w:numPr>
        <w:tabs>
          <w:tab w:val="clear" w:pos="425"/>
          <w:tab w:val="left" w:pos="284"/>
        </w:tabs>
        <w:spacing w:after="160"/>
        <w:ind w:left="284" w:hanging="284"/>
      </w:pPr>
      <w:r w:rsidRPr="00DC1A5F">
        <w:t>“‘</w:t>
      </w:r>
      <w:r w:rsidRPr="00DC1A5F">
        <w:rPr>
          <w:i/>
          <w:iCs/>
        </w:rPr>
        <w:t>Conocimiento incorrecto’</w:t>
      </w:r>
      <w:r w:rsidRPr="00DC1A5F">
        <w:t>, el cual será incorrecto por no ocurrir correctamente [es decir, en conformidad con la verdad], y será incorrecto y equívoco debido a interpretaciones incorrectas, etc., corresponderá a una llana ilusión. ‘</w:t>
      </w:r>
      <w:r w:rsidRPr="00DC1A5F">
        <w:rPr>
          <w:i/>
          <w:iCs/>
        </w:rPr>
        <w:t>Liberación incorrecta’</w:t>
      </w:r>
      <w:r w:rsidRPr="00DC1A5F">
        <w:t xml:space="preserve"> es la noción incorrecta de la liberación que supondrá que la liberación tendrá lugar en un ‘</w:t>
      </w:r>
      <w:r w:rsidRPr="00DC1A5F">
        <w:rPr>
          <w:i/>
          <w:iCs/>
        </w:rPr>
        <w:t>ápice mundial</w:t>
      </w:r>
      <w:r w:rsidRPr="00DC1A5F">
        <w:t>’ (</w:t>
      </w:r>
      <w:proofErr w:type="spellStart"/>
      <w:r w:rsidRPr="00DC1A5F">
        <w:rPr>
          <w:i/>
          <w:iCs/>
        </w:rPr>
        <w:t>lokathūpika</w:t>
      </w:r>
      <w:proofErr w:type="spellEnd"/>
      <w:r w:rsidRPr="00DC1A5F">
        <w:t>–ver XVI.85), etc.” (</w:t>
      </w:r>
      <w:proofErr w:type="spellStart"/>
      <w:r w:rsidRPr="00DC1A5F">
        <w:t>Vism</w:t>
      </w:r>
      <w:proofErr w:type="spellEnd"/>
      <w:r w:rsidRPr="00DC1A5F">
        <w:t>–</w:t>
      </w:r>
      <w:proofErr w:type="spellStart"/>
      <w:r w:rsidRPr="00DC1A5F">
        <w:t>mhṭ</w:t>
      </w:r>
      <w:proofErr w:type="spellEnd"/>
      <w:r w:rsidRPr="00DC1A5F">
        <w:t xml:space="preserve"> 886).</w:t>
      </w:r>
      <w:r w:rsidRPr="00DC1A5F">
        <w:br w:type="page"/>
      </w:r>
    </w:p>
    <w:p w14:paraId="0DF30AF2" w14:textId="77777777" w:rsidR="00597DE2" w:rsidRPr="00DC1A5F" w:rsidRDefault="00597DE2" w:rsidP="00597DE2">
      <w:pPr>
        <w:pStyle w:val="Textoindependiente"/>
        <w:spacing w:after="60"/>
      </w:pPr>
      <w:r w:rsidRPr="00DC1A5F">
        <w:lastRenderedPageBreak/>
        <w:t>de barro, en el sentido de un goteo constante, o porque producirán (</w:t>
      </w:r>
      <w:proofErr w:type="spellStart"/>
      <w:r w:rsidRPr="00DC1A5F">
        <w:rPr>
          <w:i/>
          <w:iCs/>
        </w:rPr>
        <w:t>savana</w:t>
      </w:r>
      <w:proofErr w:type="spellEnd"/>
      <w:r w:rsidRPr="00DC1A5F">
        <w:t>) el sufrimiento del ciclo de renacimientos.</w:t>
      </w:r>
      <w:r w:rsidRPr="00DC1A5F">
        <w:rPr>
          <w:vertAlign w:val="superscript"/>
        </w:rPr>
        <w:t>15</w:t>
      </w:r>
      <w:r w:rsidRPr="00DC1A5F">
        <w:t xml:space="preserve"> [684]</w:t>
      </w:r>
    </w:p>
    <w:p w14:paraId="3FF7A7A0" w14:textId="77777777" w:rsidR="00597DE2" w:rsidRPr="00DC1A5F" w:rsidRDefault="00597DE2" w:rsidP="00597DE2">
      <w:pPr>
        <w:pStyle w:val="NormalConSangria"/>
        <w:spacing w:after="60"/>
      </w:pPr>
      <w:r w:rsidRPr="00DC1A5F">
        <w:t xml:space="preserve">A las </w:t>
      </w:r>
      <w:r w:rsidRPr="00DC1A5F">
        <w:rPr>
          <w:i/>
          <w:iCs/>
        </w:rPr>
        <w:t>inundaciones</w:t>
      </w:r>
      <w:r w:rsidRPr="00DC1A5F">
        <w:t xml:space="preserve"> se les llamarán así en el sentido de ser arrastradas hacia el océano del devenir, y en el sentido de que serán difíciles de cruzar.</w:t>
      </w:r>
    </w:p>
    <w:p w14:paraId="1AE68A6E" w14:textId="77777777" w:rsidR="00597DE2" w:rsidRPr="00DC1A5F" w:rsidRDefault="00597DE2" w:rsidP="00597DE2">
      <w:pPr>
        <w:pStyle w:val="NormalConSangria"/>
        <w:spacing w:after="60"/>
      </w:pPr>
      <w:r w:rsidRPr="00DC1A5F">
        <w:t xml:space="preserve">A las </w:t>
      </w:r>
      <w:r w:rsidRPr="00DC1A5F">
        <w:rPr>
          <w:i/>
          <w:iCs/>
        </w:rPr>
        <w:t xml:space="preserve">ataduras </w:t>
      </w:r>
      <w:r w:rsidRPr="00DC1A5F">
        <w:t>se les denominarán así porque no permitirán la desvinculación de un objeto y la desvinculación del sufrimiento. Tanto las “inundaciones” como las “ataduras” corresponderán a los términos de las contaminaciones ya mencionadas.</w:t>
      </w:r>
    </w:p>
    <w:p w14:paraId="1959679E" w14:textId="77777777" w:rsidR="00597DE2" w:rsidRPr="00DC1A5F" w:rsidRDefault="00597DE2" w:rsidP="00597DE2">
      <w:pPr>
        <w:spacing w:after="60"/>
      </w:pPr>
      <w:r w:rsidRPr="00DC1A5F">
        <w:t xml:space="preserve">57. </w:t>
      </w:r>
      <w:r w:rsidRPr="00DC1A5F">
        <w:tab/>
        <w:t xml:space="preserve">Los </w:t>
      </w:r>
      <w:r w:rsidRPr="00DC1A5F">
        <w:rPr>
          <w:i/>
          <w:iCs/>
        </w:rPr>
        <w:t>obstáculos</w:t>
      </w:r>
      <w:r w:rsidRPr="00DC1A5F">
        <w:t xml:space="preserve"> serán 5: la pasión, la mala voluntad, la rigidez y el letargo, la agitación y preocupación y, finalmente, la incertidumbre, en el sentido de obstrucción, entorpecimiento y ocultación de la realidad de la consciencia (IV.86).</w:t>
      </w:r>
    </w:p>
    <w:p w14:paraId="15E8E115" w14:textId="77777777" w:rsidR="00597DE2" w:rsidRPr="00DC1A5F" w:rsidRDefault="00597DE2" w:rsidP="00597DE2">
      <w:pPr>
        <w:spacing w:after="60"/>
      </w:pPr>
      <w:r w:rsidRPr="00DC1A5F">
        <w:t xml:space="preserve">58. </w:t>
      </w:r>
      <w:r w:rsidRPr="00DC1A5F">
        <w:tab/>
      </w:r>
      <w:r w:rsidRPr="00DC1A5F">
        <w:rPr>
          <w:i/>
          <w:iCs/>
        </w:rPr>
        <w:t>Adherencia</w:t>
      </w:r>
      <w:r w:rsidRPr="00DC1A5F">
        <w:t xml:space="preserve"> (</w:t>
      </w:r>
      <w:r w:rsidRPr="00DC1A5F">
        <w:rPr>
          <w:i/>
          <w:iCs/>
        </w:rPr>
        <w:t>malentendido</w:t>
      </w:r>
      <w:r w:rsidRPr="00DC1A5F">
        <w:t>—</w:t>
      </w:r>
      <w:r w:rsidRPr="00DC1A5F">
        <w:rPr>
          <w:i/>
          <w:iCs/>
        </w:rPr>
        <w:t>parāmāsa</w:t>
      </w:r>
      <w:r w:rsidRPr="00DC1A5F">
        <w:t>) corresponderá a un término para una visión incorrecta, porque ocurrirá en el aspecto de omisión de una esencia individual correspondiente a un estado determinado (</w:t>
      </w:r>
      <w:r w:rsidRPr="00DC1A5F">
        <w:rPr>
          <w:i/>
        </w:rPr>
        <w:t>dhamma</w:t>
      </w:r>
      <w:r w:rsidRPr="00DC1A5F">
        <w:t>) y una aprehensión (</w:t>
      </w:r>
      <w:proofErr w:type="spellStart"/>
      <w:r w:rsidRPr="00DC1A5F">
        <w:rPr>
          <w:i/>
          <w:iCs/>
        </w:rPr>
        <w:t>āmasana</w:t>
      </w:r>
      <w:proofErr w:type="spellEnd"/>
      <w:r w:rsidRPr="00DC1A5F">
        <w:t>) para otra situación (</w:t>
      </w:r>
      <w:proofErr w:type="spellStart"/>
      <w:r w:rsidRPr="00DC1A5F">
        <w:rPr>
          <w:i/>
          <w:iCs/>
        </w:rPr>
        <w:t>parato</w:t>
      </w:r>
      <w:proofErr w:type="spellEnd"/>
      <w:r w:rsidRPr="00DC1A5F">
        <w:t>) correspondiente a una esencia individual irreal.</w:t>
      </w:r>
    </w:p>
    <w:p w14:paraId="220F9D73" w14:textId="77777777" w:rsidR="00597DE2" w:rsidRPr="00DC1A5F" w:rsidRDefault="00597DE2" w:rsidP="00597DE2">
      <w:pPr>
        <w:spacing w:after="60"/>
      </w:pPr>
      <w:r w:rsidRPr="00DC1A5F">
        <w:t xml:space="preserve">59. </w:t>
      </w:r>
      <w:r w:rsidRPr="00DC1A5F">
        <w:tab/>
        <w:t xml:space="preserve">Los </w:t>
      </w:r>
      <w:r w:rsidRPr="00DC1A5F">
        <w:rPr>
          <w:i/>
          <w:iCs/>
        </w:rPr>
        <w:t>apegos</w:t>
      </w:r>
      <w:r w:rsidRPr="00DC1A5F">
        <w:t xml:space="preserve"> corresponderá en número a 4 y comienzan con el apego hacia el deseo sensorial descrito en todos sus aspectos en la Descripción de la Originación Dependiente (Cap. XVII.240f.).</w:t>
      </w:r>
    </w:p>
    <w:p w14:paraId="4C180ECE" w14:textId="77777777" w:rsidR="00597DE2" w:rsidRPr="00DC1A5F" w:rsidRDefault="00597DE2" w:rsidP="00597DE2">
      <w:pPr>
        <w:spacing w:after="60"/>
      </w:pPr>
      <w:r w:rsidRPr="00DC1A5F">
        <w:t>60.</w:t>
      </w:r>
      <w:r w:rsidRPr="00DC1A5F">
        <w:tab/>
      </w:r>
      <w:r w:rsidRPr="00DC1A5F">
        <w:rPr>
          <w:i/>
          <w:iCs/>
        </w:rPr>
        <w:t>Las tendencias subyacentes</w:t>
      </w:r>
      <w:r w:rsidRPr="00DC1A5F">
        <w:t xml:space="preserve"> corresponden en número a 7, es decir, la codicia hacia los deseos sensuales, etc., en el sentido de estar fuertemente enraizado, expresado así: la tendencia subyacente hacia la codicia por los deseos sensoriales, la tendencia subyacente hacia el resentimiento, la presunción (orgullo), la visión incorrecta, la incertidumbre, la codicia hacia el devenir y la ignorancia. Ya que será debido a su obstinación que se les llamará tendencias subyacentes (</w:t>
      </w:r>
      <w:proofErr w:type="spellStart"/>
      <w:r w:rsidRPr="00DC1A5F">
        <w:rPr>
          <w:i/>
          <w:iCs/>
        </w:rPr>
        <w:t>anusaya</w:t>
      </w:r>
      <w:proofErr w:type="spellEnd"/>
      <w:r w:rsidRPr="00DC1A5F">
        <w:t>) ya que éstas serán inherentes (</w:t>
      </w:r>
      <w:proofErr w:type="spellStart"/>
      <w:r w:rsidRPr="00DC1A5F">
        <w:rPr>
          <w:i/>
          <w:iCs/>
        </w:rPr>
        <w:t>anusenti</w:t>
      </w:r>
      <w:proofErr w:type="spellEnd"/>
      <w:r w:rsidRPr="00DC1A5F">
        <w:t>) como una causa para el surgimiento de la codicia hacia los deseos sensoriales, etc., una y otra vez.</w:t>
      </w:r>
    </w:p>
    <w:p w14:paraId="51FCE05B" w14:textId="77777777" w:rsidR="00597DE2" w:rsidRPr="00DC1A5F" w:rsidRDefault="00597DE2" w:rsidP="00597DE2">
      <w:pPr>
        <w:spacing w:after="60"/>
      </w:pPr>
      <w:r w:rsidRPr="00DC1A5F">
        <w:t xml:space="preserve">61. </w:t>
      </w:r>
      <w:r w:rsidRPr="00DC1A5F">
        <w:tab/>
        <w:t xml:space="preserve">Las </w:t>
      </w:r>
      <w:r w:rsidRPr="00DC1A5F">
        <w:rPr>
          <w:i/>
          <w:iCs/>
        </w:rPr>
        <w:t>manchas</w:t>
      </w:r>
      <w:r w:rsidRPr="00DC1A5F">
        <w:t xml:space="preserve"> corresponderán a 3: al deseo, la aversión y la ilusión. Se les llamarán así porque se </w:t>
      </w:r>
      <w:proofErr w:type="spellStart"/>
      <w:r w:rsidRPr="00DC1A5F">
        <w:t>cncontraán</w:t>
      </w:r>
      <w:proofErr w:type="spellEnd"/>
      <w:r w:rsidRPr="00DC1A5F">
        <w:t xml:space="preserve"> siempre sucias, por sí mismas como el aceite, el lodo y el barro, y porque ensuciarán otras cosas.</w:t>
      </w:r>
    </w:p>
    <w:p w14:paraId="6D37F5FF" w14:textId="77777777" w:rsidR="00597DE2" w:rsidRPr="00DC1A5F" w:rsidRDefault="00597DE2" w:rsidP="00597DE2">
      <w:pPr>
        <w:spacing w:after="60"/>
      </w:pPr>
      <w:r w:rsidRPr="00DC1A5F">
        <w:t xml:space="preserve">62. </w:t>
      </w:r>
      <w:r w:rsidRPr="00DC1A5F">
        <w:tab/>
        <w:t xml:space="preserve">Los </w:t>
      </w:r>
      <w:r w:rsidRPr="00DC1A5F">
        <w:rPr>
          <w:i/>
          <w:iCs/>
        </w:rPr>
        <w:t>cursos de acción</w:t>
      </w:r>
      <w:r w:rsidRPr="00DC1A5F">
        <w:t xml:space="preserve"> </w:t>
      </w:r>
      <w:r w:rsidRPr="00DC1A5F">
        <w:rPr>
          <w:i/>
          <w:iCs/>
        </w:rPr>
        <w:t>improductivos</w:t>
      </w:r>
      <w:r w:rsidRPr="00DC1A5F">
        <w:t xml:space="preserve"> corresponderán 10: matar seres vivos, tomar lo que no haya sido concedido, sexualidad incorrecta; lenguaje falso, lenguaje malicioso, lenguaje rudo, el chisme; la codicia, la mala voluntad y las visiones incorrectas. Se le llamarán así porque corresponderá tanto a acciones improductivas (</w:t>
      </w:r>
      <w:proofErr w:type="spellStart"/>
      <w:r w:rsidRPr="00DC1A5F">
        <w:rPr>
          <w:i/>
        </w:rPr>
        <w:t>kamma</w:t>
      </w:r>
      <w:proofErr w:type="spellEnd"/>
      <w:r w:rsidRPr="00DC1A5F">
        <w:t>) como los cursos que conducirán hacia los destinos infelices.</w:t>
      </w:r>
    </w:p>
    <w:p w14:paraId="16E529E8" w14:textId="77777777" w:rsidR="00597DE2" w:rsidRPr="00DC1A5F" w:rsidRDefault="00597DE2" w:rsidP="00597DE2">
      <w:pPr>
        <w:spacing w:after="60"/>
      </w:pPr>
      <w:r w:rsidRPr="00DC1A5F">
        <w:t xml:space="preserve">63. </w:t>
      </w:r>
      <w:r w:rsidRPr="00DC1A5F">
        <w:tab/>
        <w:t xml:space="preserve">Los </w:t>
      </w:r>
      <w:r w:rsidRPr="00DC1A5F">
        <w:rPr>
          <w:i/>
          <w:iCs/>
        </w:rPr>
        <w:t>pensamientos que surgen improductivamente</w:t>
      </w:r>
      <w:r w:rsidRPr="00DC1A5F">
        <w:t xml:space="preserve"> corresponderán a 12, los cuales </w:t>
      </w:r>
      <w:proofErr w:type="gramStart"/>
      <w:r w:rsidRPr="00DC1A5F">
        <w:t>consisten de</w:t>
      </w:r>
      <w:proofErr w:type="gramEnd"/>
      <w:r w:rsidRPr="00DC1A5F">
        <w:t xml:space="preserve"> 8 arraigados en la codicia, de 2 arraigados en la aversión y 2, en la ignorancia (XIV.89f.).</w:t>
      </w:r>
    </w:p>
    <w:p w14:paraId="70855CE7" w14:textId="77777777" w:rsidR="00597DE2" w:rsidRPr="00DC1A5F" w:rsidRDefault="00597DE2" w:rsidP="00597DE2">
      <w:pPr>
        <w:spacing w:after="60"/>
      </w:pPr>
      <w:r w:rsidRPr="00DC1A5F">
        <w:t xml:space="preserve">64. </w:t>
      </w:r>
      <w:r w:rsidRPr="00DC1A5F">
        <w:tab/>
        <w:t>Así que estos 4 tipos de conocimiento, cada uno e independientemente, abandonarán estos estados comenzando con los grilletes. ¿Cómo?</w:t>
      </w:r>
    </w:p>
    <w:p w14:paraId="474A0FE4" w14:textId="77777777" w:rsidR="00597DE2" w:rsidRPr="00DC1A5F" w:rsidRDefault="00597DE2" w:rsidP="00597DE2">
      <w:pPr>
        <w:pStyle w:val="NormalConSangria"/>
        <w:spacing w:after="60"/>
      </w:pPr>
      <w:r w:rsidRPr="00DC1A5F">
        <w:t xml:space="preserve">Los 5 estados eliminados por el primer conocimiento, en el caso de los </w:t>
      </w:r>
      <w:r w:rsidRPr="00DC1A5F">
        <w:rPr>
          <w:i/>
          <w:iCs/>
        </w:rPr>
        <w:t>grilletes</w:t>
      </w:r>
      <w:r w:rsidRPr="00DC1A5F">
        <w:t xml:space="preserve">, en primer lugar, serán: la visión incorrecta de la personalidad, la duda, el apego hacia reglas y </w:t>
      </w:r>
      <w:proofErr w:type="gramStart"/>
      <w:r w:rsidRPr="00DC1A5F">
        <w:t>ritos,  los</w:t>
      </w:r>
      <w:proofErr w:type="gramEnd"/>
      <w:r w:rsidRPr="00DC1A5F">
        <w:t xml:space="preserve"> deseos sensuales y la mala voluntad que sea lo suficientemente fuertes como para conducir</w:t>
      </w:r>
    </w:p>
    <w:p w14:paraId="7F506EF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BBE3BCB" w14:textId="77777777" w:rsidR="00597DE2" w:rsidRPr="00DC1A5F" w:rsidRDefault="00597DE2" w:rsidP="00597DE2">
      <w:pPr>
        <w:pStyle w:val="PiedepginaLegal"/>
        <w:numPr>
          <w:ilvl w:val="0"/>
          <w:numId w:val="11"/>
        </w:numPr>
        <w:tabs>
          <w:tab w:val="clear" w:pos="425"/>
          <w:tab w:val="left" w:pos="284"/>
        </w:tabs>
        <w:spacing w:after="160"/>
        <w:ind w:left="284" w:hanging="284"/>
      </w:pPr>
      <w:r w:rsidRPr="00DC1A5F">
        <w:rPr>
          <w:sz w:val="12"/>
          <w:szCs w:val="20"/>
        </w:rPr>
        <w:t xml:space="preserve">El significado de este párrafo se aclara mediante la referencia al </w:t>
      </w:r>
      <w:proofErr w:type="spellStart"/>
      <w:r w:rsidRPr="00DC1A5F">
        <w:rPr>
          <w:i/>
          <w:iCs/>
          <w:sz w:val="12"/>
          <w:szCs w:val="20"/>
        </w:rPr>
        <w:t>Atthasālinī</w:t>
      </w:r>
      <w:proofErr w:type="spellEnd"/>
      <w:r w:rsidRPr="00DC1A5F">
        <w:rPr>
          <w:sz w:val="12"/>
          <w:szCs w:val="20"/>
        </w:rPr>
        <w:t xml:space="preserve"> (</w:t>
      </w:r>
      <w:proofErr w:type="spellStart"/>
      <w:r w:rsidRPr="00DC1A5F">
        <w:rPr>
          <w:sz w:val="12"/>
          <w:szCs w:val="20"/>
        </w:rPr>
        <w:t>Dhs</w:t>
      </w:r>
      <w:proofErr w:type="spellEnd"/>
      <w:r w:rsidRPr="00DC1A5F">
        <w:rPr>
          <w:sz w:val="12"/>
          <w:szCs w:val="20"/>
        </w:rPr>
        <w:t xml:space="preserve">–a 48) y al </w:t>
      </w:r>
      <w:proofErr w:type="spellStart"/>
      <w:r w:rsidRPr="00DC1A5F">
        <w:rPr>
          <w:i/>
          <w:iCs/>
          <w:sz w:val="12"/>
          <w:szCs w:val="20"/>
        </w:rPr>
        <w:t>Mūla</w:t>
      </w:r>
      <w:proofErr w:type="spellEnd"/>
      <w:r w:rsidRPr="00DC1A5F">
        <w:rPr>
          <w:i/>
          <w:iCs/>
          <w:sz w:val="12"/>
          <w:szCs w:val="20"/>
        </w:rPr>
        <w:t xml:space="preserve"> </w:t>
      </w:r>
      <w:proofErr w:type="spellStart"/>
      <w:r w:rsidRPr="00DC1A5F">
        <w:rPr>
          <w:i/>
          <w:iCs/>
          <w:sz w:val="12"/>
          <w:szCs w:val="20"/>
        </w:rPr>
        <w:t>Ṭīkā</w:t>
      </w:r>
      <w:proofErr w:type="spellEnd"/>
      <w:r w:rsidRPr="00DC1A5F">
        <w:rPr>
          <w:sz w:val="12"/>
          <w:szCs w:val="20"/>
        </w:rPr>
        <w:t xml:space="preserve"> (</w:t>
      </w:r>
      <w:proofErr w:type="spellStart"/>
      <w:r w:rsidRPr="00DC1A5F">
        <w:rPr>
          <w:sz w:val="12"/>
          <w:szCs w:val="20"/>
        </w:rPr>
        <w:t>Dhs</w:t>
      </w:r>
      <w:proofErr w:type="spellEnd"/>
      <w:r w:rsidRPr="00DC1A5F">
        <w:rPr>
          <w:sz w:val="12"/>
          <w:szCs w:val="20"/>
        </w:rPr>
        <w:t xml:space="preserve">–ṭ 51), donde el uso de la </w:t>
      </w:r>
      <w:r w:rsidRPr="00DC1A5F">
        <w:rPr>
          <w:i/>
          <w:iCs/>
          <w:sz w:val="12"/>
          <w:szCs w:val="20"/>
        </w:rPr>
        <w:t>ā</w:t>
      </w:r>
      <w:r w:rsidRPr="00DC1A5F">
        <w:rPr>
          <w:sz w:val="12"/>
          <w:szCs w:val="20"/>
        </w:rPr>
        <w:t xml:space="preserve"> como adverbio en el sentido de “tan lejos como” se explica indirectamente con el correspondiente ablativo (</w:t>
      </w:r>
      <w:proofErr w:type="spellStart"/>
      <w:r w:rsidRPr="00DC1A5F">
        <w:rPr>
          <w:i/>
          <w:iCs/>
          <w:sz w:val="12"/>
          <w:szCs w:val="20"/>
        </w:rPr>
        <w:t>gotrabhuto</w:t>
      </w:r>
      <w:proofErr w:type="spellEnd"/>
      <w:r w:rsidRPr="00DC1A5F">
        <w:rPr>
          <w:sz w:val="12"/>
          <w:szCs w:val="20"/>
        </w:rPr>
        <w:t xml:space="preserve">, etc.); el ablativo propiamente pertenece a </w:t>
      </w:r>
      <w:proofErr w:type="spellStart"/>
      <w:r w:rsidRPr="00DC1A5F">
        <w:rPr>
          <w:i/>
          <w:iCs/>
          <w:sz w:val="12"/>
          <w:szCs w:val="20"/>
        </w:rPr>
        <w:t>savana</w:t>
      </w:r>
      <w:proofErr w:type="spellEnd"/>
      <w:r w:rsidRPr="00DC1A5F">
        <w:rPr>
          <w:sz w:val="12"/>
          <w:szCs w:val="20"/>
        </w:rPr>
        <w:t xml:space="preserve"> (es decir, </w:t>
      </w:r>
      <w:r w:rsidRPr="00DC1A5F">
        <w:rPr>
          <w:i/>
          <w:iCs/>
          <w:sz w:val="12"/>
          <w:szCs w:val="20"/>
        </w:rPr>
        <w:t>exudaciones de</w:t>
      </w:r>
      <w:r w:rsidRPr="00DC1A5F">
        <w:rPr>
          <w:sz w:val="12"/>
          <w:szCs w:val="20"/>
        </w:rPr>
        <w:t xml:space="preserve">). El </w:t>
      </w:r>
      <w:proofErr w:type="spellStart"/>
      <w:r w:rsidRPr="00DC1A5F">
        <w:rPr>
          <w:sz w:val="12"/>
          <w:szCs w:val="20"/>
        </w:rPr>
        <w:t>Vism</w:t>
      </w:r>
      <w:proofErr w:type="spellEnd"/>
      <w:r w:rsidRPr="00DC1A5F">
        <w:rPr>
          <w:sz w:val="12"/>
          <w:szCs w:val="20"/>
        </w:rPr>
        <w:t>–</w:t>
      </w:r>
      <w:proofErr w:type="spellStart"/>
      <w:r w:rsidRPr="00DC1A5F">
        <w:rPr>
          <w:sz w:val="12"/>
          <w:szCs w:val="20"/>
        </w:rPr>
        <w:t>mhṭ</w:t>
      </w:r>
      <w:proofErr w:type="spellEnd"/>
      <w:r w:rsidRPr="00DC1A5F">
        <w:rPr>
          <w:sz w:val="12"/>
          <w:szCs w:val="20"/>
        </w:rPr>
        <w:t xml:space="preserve"> sólo dice: “‘Exudaciones’ (</w:t>
      </w:r>
      <w:proofErr w:type="spellStart"/>
      <w:r w:rsidRPr="00DC1A5F">
        <w:rPr>
          <w:i/>
          <w:iCs/>
          <w:sz w:val="12"/>
          <w:szCs w:val="20"/>
        </w:rPr>
        <w:t>savana</w:t>
      </w:r>
      <w:proofErr w:type="spellEnd"/>
      <w:r w:rsidRPr="00DC1A5F">
        <w:rPr>
          <w:sz w:val="12"/>
          <w:szCs w:val="20"/>
        </w:rPr>
        <w:t xml:space="preserve">) debidas a la ocurrencia, </w:t>
      </w:r>
      <w:proofErr w:type="spellStart"/>
      <w:r w:rsidRPr="00DC1A5F">
        <w:rPr>
          <w:i/>
          <w:iCs/>
          <w:sz w:val="12"/>
          <w:szCs w:val="20"/>
        </w:rPr>
        <w:t>savanato</w:t>
      </w:r>
      <w:proofErr w:type="spellEnd"/>
      <w:r w:rsidRPr="00DC1A5F">
        <w:rPr>
          <w:sz w:val="12"/>
          <w:szCs w:val="20"/>
        </w:rPr>
        <w:t xml:space="preserve"> (“debido a la exudación”) es debido a un fluir de inmundicia a causa de la contaminación. </w:t>
      </w:r>
      <w:proofErr w:type="spellStart"/>
      <w:r w:rsidRPr="00DC1A5F">
        <w:rPr>
          <w:i/>
          <w:iCs/>
          <w:sz w:val="12"/>
          <w:szCs w:val="20"/>
        </w:rPr>
        <w:t>Savanato</w:t>
      </w:r>
      <w:proofErr w:type="spellEnd"/>
      <w:r w:rsidRPr="00DC1A5F">
        <w:rPr>
          <w:sz w:val="12"/>
          <w:szCs w:val="20"/>
        </w:rPr>
        <w:t xml:space="preserve"> (“debido a la producción”) la segunda vez debida al </w:t>
      </w:r>
      <w:r w:rsidRPr="00DC1A5F">
        <w:rPr>
          <w:i/>
          <w:iCs/>
          <w:sz w:val="12"/>
          <w:szCs w:val="20"/>
        </w:rPr>
        <w:t>agotamiento</w:t>
      </w:r>
      <w:r w:rsidRPr="00DC1A5F">
        <w:rPr>
          <w:sz w:val="12"/>
          <w:szCs w:val="20"/>
        </w:rPr>
        <w:t xml:space="preserve"> (</w:t>
      </w:r>
      <w:proofErr w:type="spellStart"/>
      <w:r w:rsidRPr="00DC1A5F">
        <w:rPr>
          <w:i/>
          <w:iCs/>
          <w:sz w:val="12"/>
          <w:szCs w:val="20"/>
        </w:rPr>
        <w:t>pasavana</w:t>
      </w:r>
      <w:proofErr w:type="spellEnd"/>
      <w:r w:rsidRPr="00DC1A5F">
        <w:rPr>
          <w:sz w:val="12"/>
          <w:szCs w:val="20"/>
        </w:rPr>
        <w:t>)” (</w:t>
      </w:r>
      <w:proofErr w:type="spellStart"/>
      <w:r w:rsidRPr="00DC1A5F">
        <w:rPr>
          <w:sz w:val="12"/>
          <w:szCs w:val="20"/>
        </w:rPr>
        <w:t>Vism</w:t>
      </w:r>
      <w:proofErr w:type="spellEnd"/>
      <w:r w:rsidRPr="00DC1A5F">
        <w:rPr>
          <w:sz w:val="12"/>
          <w:szCs w:val="20"/>
        </w:rPr>
        <w:t>–</w:t>
      </w:r>
      <w:proofErr w:type="spellStart"/>
      <w:r w:rsidRPr="00DC1A5F">
        <w:rPr>
          <w:sz w:val="12"/>
          <w:szCs w:val="20"/>
        </w:rPr>
        <w:t>mhṭ</w:t>
      </w:r>
      <w:proofErr w:type="spellEnd"/>
      <w:r w:rsidRPr="00DC1A5F">
        <w:rPr>
          <w:sz w:val="12"/>
          <w:szCs w:val="20"/>
        </w:rPr>
        <w:t xml:space="preserve"> 876. Cf. también M–a I 61).</w:t>
      </w:r>
      <w:r w:rsidRPr="00DC1A5F">
        <w:br w:type="page"/>
      </w:r>
    </w:p>
    <w:p w14:paraId="5C08C5F8" w14:textId="77777777" w:rsidR="00597DE2" w:rsidRPr="00DC1A5F" w:rsidRDefault="00597DE2" w:rsidP="00597DE2">
      <w:pPr>
        <w:pStyle w:val="Textoindependiente"/>
      </w:pPr>
      <w:r w:rsidRPr="00DC1A5F">
        <w:lastRenderedPageBreak/>
        <w:t>hacia los estados de perdición. El deseo denso restante hacia los deseos sensoriales y la mala voluntad serán eliminados por el segundo conocimiento. La codicia sutil hacia los deseos sensoriales y la mala voluntad sólo serán realmente eliminados por el tercer conocimiento. Los cinco grilletes que comienzan con el deseo hacia la materia sutil solo serán realmente eliminados por el cuarto conocimiento.</w:t>
      </w:r>
    </w:p>
    <w:p w14:paraId="579F9229" w14:textId="77777777" w:rsidR="00597DE2" w:rsidRPr="00DC1A5F" w:rsidRDefault="00597DE2" w:rsidP="00597DE2">
      <w:pPr>
        <w:pStyle w:val="NormalConSangria"/>
      </w:pPr>
      <w:r w:rsidRPr="00DC1A5F">
        <w:t>En lo que siga, no especificaremos en todos los casos la expresión “sólo serán realmente”; sin embargo, todo lo que digamos que sea eliminado por medio de uno de los tres conocimientos superiores, deberán entenderse como un estado residual solamente, el cual será eliminado por el conocimiento superior; porque en ese estado ya se habrá vuelto no conducente hacia estados de perdición por el conocimiento precedente.</w:t>
      </w:r>
    </w:p>
    <w:p w14:paraId="1FB70B49" w14:textId="77777777" w:rsidR="00597DE2" w:rsidRPr="00DC1A5F" w:rsidRDefault="00597DE2" w:rsidP="00597DE2">
      <w:r w:rsidRPr="00DC1A5F">
        <w:t xml:space="preserve">65. </w:t>
      </w:r>
      <w:r w:rsidRPr="00DC1A5F">
        <w:tab/>
        <w:t xml:space="preserve">En el caso de las </w:t>
      </w:r>
      <w:r w:rsidRPr="00DC1A5F">
        <w:rPr>
          <w:i/>
          <w:iCs/>
        </w:rPr>
        <w:t>impurezas</w:t>
      </w:r>
      <w:r w:rsidRPr="00DC1A5F">
        <w:t>, la visión incorrecta y la incertidumbre serán eliminadas por el primer conocimiento. El odio será eliminado por el tercer conocimiento. El deseo, la ignorancia, la presunción (orgullo), la rigidez mental, la agitación, la falta de consciencia y la desvergüenza serán eliminados por el cuarto conocimiento.</w:t>
      </w:r>
    </w:p>
    <w:p w14:paraId="4C38A192" w14:textId="77777777" w:rsidR="00597DE2" w:rsidRPr="00DC1A5F" w:rsidRDefault="00597DE2" w:rsidP="00597DE2">
      <w:r w:rsidRPr="00DC1A5F">
        <w:t xml:space="preserve">66. </w:t>
      </w:r>
      <w:r w:rsidRPr="00DC1A5F">
        <w:tab/>
        <w:t xml:space="preserve">En el caso de las </w:t>
      </w:r>
      <w:r w:rsidRPr="00DC1A5F">
        <w:rPr>
          <w:i/>
          <w:iCs/>
        </w:rPr>
        <w:t>incorrecciones</w:t>
      </w:r>
      <w:r w:rsidRPr="00DC1A5F">
        <w:t xml:space="preserve">, la visión incorrecta, el lenguaje incorrecto, la </w:t>
      </w:r>
      <w:proofErr w:type="gramStart"/>
      <w:r w:rsidRPr="00DC1A5F">
        <w:t>acción incorrecta y el sustento incorrecto</w:t>
      </w:r>
      <w:proofErr w:type="gramEnd"/>
      <w:r w:rsidRPr="00DC1A5F">
        <w:t xml:space="preserve"> [685] serán ​​eliminados por el primer conocimiento. El pensamiento incorrecto, el lenguaje malicioso y el lenguaje rudo será eliminados mediante el tercer conocimiento. Y aquí, sólo la volición deberá entenderse como lenguaje. El cuarto conocimiento eliminará los chismes, el esfuerzo incorrecto, la atención incorrecta, la concentración incorrecta, la </w:t>
      </w:r>
      <w:proofErr w:type="gramStart"/>
      <w:r w:rsidRPr="00DC1A5F">
        <w:t>liberación incorrecta y el conocimiento incorrecto</w:t>
      </w:r>
      <w:proofErr w:type="gramEnd"/>
      <w:r w:rsidRPr="00DC1A5F">
        <w:t>.</w:t>
      </w:r>
    </w:p>
    <w:p w14:paraId="339B44C4" w14:textId="77777777" w:rsidR="00597DE2" w:rsidRPr="00DC1A5F" w:rsidRDefault="00597DE2" w:rsidP="00597DE2">
      <w:r w:rsidRPr="00DC1A5F">
        <w:t xml:space="preserve">67. </w:t>
      </w:r>
      <w:r w:rsidRPr="00DC1A5F">
        <w:tab/>
        <w:t xml:space="preserve">En el caso de los </w:t>
      </w:r>
      <w:r w:rsidRPr="00DC1A5F">
        <w:rPr>
          <w:i/>
          <w:iCs/>
        </w:rPr>
        <w:t>estados mundanos</w:t>
      </w:r>
      <w:r w:rsidRPr="00DC1A5F">
        <w:t>, la mala voluntad será eliminada por el tercer conocimiento, y la aprobación, por el cuarto conocimiento. Algunos dicen que el cuarto conocimiento eliminará la aprobación de la fama y el elogio.</w:t>
      </w:r>
    </w:p>
    <w:p w14:paraId="66A9EE2A" w14:textId="77777777" w:rsidR="00597DE2" w:rsidRPr="00DC1A5F" w:rsidRDefault="00597DE2" w:rsidP="00597DE2">
      <w:pPr>
        <w:pStyle w:val="NormalConSangria"/>
      </w:pPr>
      <w:r w:rsidRPr="00DC1A5F">
        <w:t xml:space="preserve">Los </w:t>
      </w:r>
      <w:r w:rsidRPr="00DC1A5F">
        <w:rPr>
          <w:i/>
          <w:iCs/>
        </w:rPr>
        <w:t>tipos de avaricia</w:t>
      </w:r>
      <w:r w:rsidRPr="00DC1A5F">
        <w:t xml:space="preserve"> serán eliminados por el primer conocimiento, solamente.</w:t>
      </w:r>
    </w:p>
    <w:p w14:paraId="2022AEBB" w14:textId="77777777" w:rsidR="00597DE2" w:rsidRPr="00DC1A5F" w:rsidRDefault="00597DE2" w:rsidP="00597DE2">
      <w:r w:rsidRPr="00DC1A5F">
        <w:t xml:space="preserve">68. </w:t>
      </w:r>
      <w:r w:rsidRPr="00DC1A5F">
        <w:tab/>
        <w:t xml:space="preserve">En el caso de las </w:t>
      </w:r>
      <w:r w:rsidRPr="00DC1A5F">
        <w:rPr>
          <w:i/>
          <w:iCs/>
        </w:rPr>
        <w:t>corrupciones</w:t>
      </w:r>
      <w:r w:rsidRPr="00DC1A5F">
        <w:t xml:space="preserve">, se eliminarán las corrupciones de la percepción, de la consciencia y de la visión incorrecta, que encontrarían permanencia en lo impermanente y alma en lo no–alma, la perversión de la visión incorrecta que encontraría placer en el dolor y belleza en lo repugnante, éstas serán erradicadas por medio del primer conocimiento. Las perversiones de la percepción y la consciencia que encuentren belleza en lo </w:t>
      </w:r>
      <w:proofErr w:type="gramStart"/>
      <w:r w:rsidRPr="00DC1A5F">
        <w:t>inmundo,</w:t>
      </w:r>
      <w:proofErr w:type="gramEnd"/>
      <w:r w:rsidRPr="00DC1A5F">
        <w:t xml:space="preserve"> serán eliminadas por el tercer sendero. Las perversiones de la percepción y la consciencia que encuentren placer en lo insatisfactorio serán eliminadas por el cuarto conocimiento.</w:t>
      </w:r>
    </w:p>
    <w:p w14:paraId="6D95FDDE" w14:textId="77777777" w:rsidR="00597DE2" w:rsidRPr="00DC1A5F" w:rsidRDefault="00597DE2" w:rsidP="00597DE2">
      <w:r w:rsidRPr="00DC1A5F">
        <w:t xml:space="preserve">69. </w:t>
      </w:r>
      <w:r w:rsidRPr="00DC1A5F">
        <w:tab/>
        <w:t xml:space="preserve">En el caso de las </w:t>
      </w:r>
      <w:r w:rsidRPr="00DC1A5F">
        <w:rPr>
          <w:i/>
          <w:iCs/>
        </w:rPr>
        <w:t>ataduras</w:t>
      </w:r>
      <w:r w:rsidRPr="00DC1A5F">
        <w:t xml:space="preserve">, las ataduras corporales de la adhesión hacia reglas y rituales y las de la insistencia (de la mala interpretación) de que “Ésta es la verdad”, serán eliminadas por el primer conocimiento. El lazo corporal de la mala voluntad será </w:t>
      </w:r>
      <w:proofErr w:type="gramStart"/>
      <w:r w:rsidRPr="00DC1A5F">
        <w:t>eliminada</w:t>
      </w:r>
      <w:proofErr w:type="gramEnd"/>
      <w:r w:rsidRPr="00DC1A5F">
        <w:t xml:space="preserve"> por el tercer conocimiento. La restante atadura de la insistencia será eliminada por el cuarto sendero.</w:t>
      </w:r>
    </w:p>
    <w:p w14:paraId="2E3927DC" w14:textId="77777777" w:rsidR="00597DE2" w:rsidRPr="00DC1A5F" w:rsidRDefault="00597DE2" w:rsidP="00597DE2">
      <w:pPr>
        <w:pStyle w:val="NormalConSangria"/>
      </w:pPr>
      <w:r w:rsidRPr="00DC1A5F">
        <w:t xml:space="preserve">Los </w:t>
      </w:r>
      <w:r w:rsidRPr="00DC1A5F">
        <w:rPr>
          <w:i/>
          <w:iCs/>
        </w:rPr>
        <w:t xml:space="preserve">malos senderos </w:t>
      </w:r>
      <w:r w:rsidRPr="00DC1A5F">
        <w:t>serán eliminados por el primer conocimiento, solamente.</w:t>
      </w:r>
    </w:p>
    <w:p w14:paraId="61BAE049" w14:textId="77777777" w:rsidR="00597DE2" w:rsidRPr="00DC1A5F" w:rsidRDefault="00597DE2" w:rsidP="00597DE2">
      <w:r w:rsidRPr="00DC1A5F">
        <w:t xml:space="preserve">70. </w:t>
      </w:r>
      <w:r w:rsidRPr="00DC1A5F">
        <w:tab/>
        <w:t xml:space="preserve">En el caso de las </w:t>
      </w:r>
      <w:r w:rsidRPr="00DC1A5F">
        <w:rPr>
          <w:i/>
          <w:iCs/>
        </w:rPr>
        <w:t>corrupciones</w:t>
      </w:r>
      <w:r w:rsidRPr="00DC1A5F">
        <w:t>, la corrupción de la visión incorrecta se eliminará por el primer conocimiento. La corrupción del deseo sensorial será eliminada por el tercer conocimiento. Las otras dos serán eliminadas por el cuarto conocimiento.</w:t>
      </w:r>
    </w:p>
    <w:p w14:paraId="593B47A8" w14:textId="77777777" w:rsidR="00597DE2" w:rsidRPr="00DC1A5F" w:rsidRDefault="00597DE2" w:rsidP="00597DE2">
      <w:pPr>
        <w:pStyle w:val="NormalConSangria"/>
      </w:pPr>
      <w:r w:rsidRPr="00DC1A5F">
        <w:t>Lo mismo se aplicará en el caso de las inundaciones y las ataduras.</w:t>
      </w:r>
    </w:p>
    <w:p w14:paraId="5238CA87" w14:textId="77777777" w:rsidR="00597DE2" w:rsidRPr="00DC1A5F" w:rsidRDefault="00597DE2" w:rsidP="00597DE2">
      <w:r w:rsidRPr="00DC1A5F">
        <w:t xml:space="preserve">71. </w:t>
      </w:r>
      <w:r w:rsidRPr="00DC1A5F">
        <w:tab/>
        <w:t xml:space="preserve">En el caso de los </w:t>
      </w:r>
      <w:r w:rsidRPr="00DC1A5F">
        <w:rPr>
          <w:i/>
          <w:iCs/>
        </w:rPr>
        <w:t>obstáculos</w:t>
      </w:r>
      <w:r w:rsidRPr="00DC1A5F">
        <w:t xml:space="preserve">, el obstáculo de la incertidumbre será eliminado por el primer conocimiento. Los 3, la pasión, la mala voluntad y la preocupación, serán eliminados por </w:t>
      </w:r>
      <w:r w:rsidRPr="00DC1A5F">
        <w:br w:type="page"/>
      </w:r>
    </w:p>
    <w:p w14:paraId="67BE765B" w14:textId="77777777" w:rsidR="00597DE2" w:rsidRPr="00DC1A5F" w:rsidRDefault="00597DE2" w:rsidP="00597DE2">
      <w:pPr>
        <w:pStyle w:val="Textoindependiente"/>
      </w:pPr>
      <w:r w:rsidRPr="00DC1A5F">
        <w:lastRenderedPageBreak/>
        <w:t>el tercer conocimiento. La rigidez, el letargo y la agitación serán eliminados por el cuarto conocimiento.</w:t>
      </w:r>
    </w:p>
    <w:p w14:paraId="10CF6EAF" w14:textId="77777777" w:rsidR="00597DE2" w:rsidRPr="00DC1A5F" w:rsidRDefault="00597DE2" w:rsidP="00597DE2">
      <w:pPr>
        <w:pStyle w:val="NormalConSangria"/>
      </w:pPr>
      <w:r w:rsidRPr="00DC1A5F">
        <w:t xml:space="preserve">La </w:t>
      </w:r>
      <w:r w:rsidRPr="00DC1A5F">
        <w:rPr>
          <w:i/>
          <w:iCs/>
        </w:rPr>
        <w:t>adherencia</w:t>
      </w:r>
      <w:r w:rsidRPr="00DC1A5F">
        <w:t xml:space="preserve"> será eliminada por el primer conocimiento, solamente.</w:t>
      </w:r>
    </w:p>
    <w:p w14:paraId="00D5D917" w14:textId="77777777" w:rsidR="00597DE2" w:rsidRPr="00DC1A5F" w:rsidRDefault="00597DE2" w:rsidP="00597DE2">
      <w:r w:rsidRPr="00DC1A5F">
        <w:t xml:space="preserve">72. </w:t>
      </w:r>
      <w:r w:rsidRPr="00DC1A5F">
        <w:tab/>
        <w:t xml:space="preserve">En el caso de los </w:t>
      </w:r>
      <w:r w:rsidRPr="00DC1A5F">
        <w:rPr>
          <w:i/>
          <w:iCs/>
        </w:rPr>
        <w:t>apegos</w:t>
      </w:r>
      <w:r w:rsidRPr="00DC1A5F">
        <w:t xml:space="preserve">, ya que de acuerdo con lo que se da en los textos todos los estados mundanos corresponderán a los deseos sensoriales, es decir, a los deseos sensoriales como objeto (ver </w:t>
      </w:r>
      <w:proofErr w:type="spellStart"/>
      <w:r w:rsidRPr="00DC1A5F">
        <w:t>Nidd</w:t>
      </w:r>
      <w:proofErr w:type="spellEnd"/>
      <w:r w:rsidRPr="00DC1A5F">
        <w:t xml:space="preserve"> I 1–2), y así, la codicia tanto hacia la materia sutil como hacia lo inmaterial caerá bajo el concepto de apego hacia el deseo sensorial, por lo que el apego hacia el deseo sensorial será eliminado por el cuarto conocimiento. Los demás serán eliminados por el primer conocimiento.</w:t>
      </w:r>
    </w:p>
    <w:p w14:paraId="26F5EC99" w14:textId="77777777" w:rsidR="00597DE2" w:rsidRPr="00DC1A5F" w:rsidRDefault="00597DE2" w:rsidP="00597DE2">
      <w:r w:rsidRPr="00DC1A5F">
        <w:t xml:space="preserve">73. </w:t>
      </w:r>
      <w:r w:rsidRPr="00DC1A5F">
        <w:tab/>
        <w:t xml:space="preserve">En el caso de las </w:t>
      </w:r>
      <w:r w:rsidRPr="00DC1A5F">
        <w:rPr>
          <w:i/>
          <w:iCs/>
        </w:rPr>
        <w:t>tendencias subyacentes</w:t>
      </w:r>
      <w:r w:rsidRPr="00DC1A5F">
        <w:t>, las tendencias subyacentes de la visión incorrecta y de la incertidumbre serán eliminadas por el primer conocimiento. Las tendencias subyacentes de la codicia hacia los deseos sensoriales y de la mala voluntad serán eliminadas por el tercer conocimiento. Las tendencias subyacentes de la presunción (del orgullo), de la codicia hacia el devenir y de la ignorancia serán eliminadas por el cuarto conocimiento.</w:t>
      </w:r>
    </w:p>
    <w:p w14:paraId="438267A0" w14:textId="77777777" w:rsidR="00597DE2" w:rsidRPr="00DC1A5F" w:rsidRDefault="00597DE2" w:rsidP="00597DE2">
      <w:r w:rsidRPr="00DC1A5F">
        <w:t xml:space="preserve">74. </w:t>
      </w:r>
      <w:r w:rsidRPr="00DC1A5F">
        <w:tab/>
        <w:t xml:space="preserve">En el caso de las </w:t>
      </w:r>
      <w:r w:rsidRPr="00DC1A5F">
        <w:rPr>
          <w:i/>
          <w:iCs/>
        </w:rPr>
        <w:t>manchas</w:t>
      </w:r>
      <w:r w:rsidRPr="00DC1A5F">
        <w:t>, la mancha del odio será eliminada por el tercer conocimiento, las demás sobre eliminadas por el cuarto conocimiento.</w:t>
      </w:r>
    </w:p>
    <w:p w14:paraId="7CCE3362" w14:textId="77777777" w:rsidR="00597DE2" w:rsidRPr="00DC1A5F" w:rsidRDefault="00597DE2" w:rsidP="00597DE2">
      <w:r w:rsidRPr="00DC1A5F">
        <w:t xml:space="preserve">75. </w:t>
      </w:r>
      <w:r w:rsidRPr="00DC1A5F">
        <w:tab/>
        <w:t xml:space="preserve">En el caso de los </w:t>
      </w:r>
      <w:r w:rsidRPr="00DC1A5F">
        <w:rPr>
          <w:i/>
          <w:iCs/>
        </w:rPr>
        <w:t>cursos de acción improductivos</w:t>
      </w:r>
      <w:r w:rsidRPr="00DC1A5F">
        <w:t xml:space="preserve">, matar seres vivos, tomar lo que no haya sido dado, la conducta sexual inapropiada, el </w:t>
      </w:r>
      <w:proofErr w:type="gramStart"/>
      <w:r w:rsidRPr="00DC1A5F">
        <w:t>lenguaje incorrecto y la visión incorrecta</w:t>
      </w:r>
      <w:proofErr w:type="gramEnd"/>
      <w:r w:rsidRPr="00DC1A5F">
        <w:t xml:space="preserve"> serán eliminados por el primer conocimiento. Los 3, es decir, el lenguaje malicioso, el lenguaje rudo y la mala voluntad, serán eliminados por el tercer conocimiento. El chisme y la codicia serán eliminados por el cuarto conocimiento.</w:t>
      </w:r>
    </w:p>
    <w:p w14:paraId="0D963F6D" w14:textId="77777777" w:rsidR="00597DE2" w:rsidRPr="00DC1A5F" w:rsidRDefault="00597DE2" w:rsidP="00597DE2">
      <w:r w:rsidRPr="00DC1A5F">
        <w:t xml:space="preserve">76. </w:t>
      </w:r>
      <w:r w:rsidRPr="00DC1A5F">
        <w:tab/>
        <w:t>En el caso del</w:t>
      </w:r>
      <w:r w:rsidRPr="00DC1A5F">
        <w:rPr>
          <w:i/>
          <w:iCs/>
        </w:rPr>
        <w:t xml:space="preserve"> surgimiento</w:t>
      </w:r>
      <w:r w:rsidRPr="00DC1A5F">
        <w:t xml:space="preserve"> </w:t>
      </w:r>
      <w:r w:rsidRPr="00DC1A5F">
        <w:rPr>
          <w:i/>
          <w:iCs/>
        </w:rPr>
        <w:t>de</w:t>
      </w:r>
      <w:r w:rsidRPr="00DC1A5F">
        <w:t xml:space="preserve"> </w:t>
      </w:r>
      <w:r w:rsidRPr="00DC1A5F">
        <w:rPr>
          <w:i/>
          <w:iCs/>
        </w:rPr>
        <w:t>pensamientos improductivos</w:t>
      </w:r>
      <w:r w:rsidRPr="00DC1A5F">
        <w:t>, los 4 asociados con la visión incorrecta y 1 asociado con la incertidumbre, haciendo 5, serán eliminados mediante el primer conocimiento. Los 2 asociados con la mala voluntad serán eliminados mediante el tercer conocimiento. Los demás serán eliminados por el cuarto conocimiento.</w:t>
      </w:r>
    </w:p>
    <w:p w14:paraId="580BDFC9" w14:textId="77777777" w:rsidR="00597DE2" w:rsidRPr="00DC1A5F" w:rsidRDefault="00597DE2" w:rsidP="00597DE2">
      <w:r w:rsidRPr="00DC1A5F">
        <w:t xml:space="preserve">77. </w:t>
      </w:r>
      <w:r w:rsidRPr="00DC1A5F">
        <w:tab/>
        <w:t xml:space="preserve">Y lo que sea eliminado por cualquiera de ellos será abandonado por ello. Es por eso </w:t>
      </w:r>
      <w:proofErr w:type="gramStart"/>
      <w:r w:rsidRPr="00DC1A5F">
        <w:t>que</w:t>
      </w:r>
      <w:proofErr w:type="gramEnd"/>
      <w:r w:rsidRPr="00DC1A5F">
        <w:t xml:space="preserve"> se dijo anteriormente: “Así que estos 4 tipos de conocimiento, cada uno e independientemente, abandonarán estos estados comenzando con los grilletes”.</w:t>
      </w:r>
    </w:p>
    <w:p w14:paraId="5A94FBC8" w14:textId="77777777" w:rsidR="00597DE2" w:rsidRPr="00DC1A5F" w:rsidRDefault="00597DE2" w:rsidP="00597DE2">
      <w:pPr>
        <w:rPr>
          <w:vertAlign w:val="superscript"/>
        </w:rPr>
      </w:pPr>
      <w:r w:rsidRPr="00DC1A5F">
        <w:t xml:space="preserve">78. </w:t>
      </w:r>
      <w:r w:rsidRPr="00DC1A5F">
        <w:tab/>
        <w:t xml:space="preserve">5. </w:t>
      </w:r>
      <w:r w:rsidRPr="00DC1A5F">
        <w:rPr>
          <w:i/>
          <w:iCs/>
        </w:rPr>
        <w:t>El acto de abandono</w:t>
      </w:r>
      <w:r w:rsidRPr="00DC1A5F">
        <w:t>: no obstante, ¿cómo se dará entonces? ¿Estos conocimientos abandonarán estos estados cuando sean pasados, cuando sean futuros o cuando [686] sean ​​presentes? ¿Cuál será la posición aquí? Si, en primer lugar, se dijera que los abandonarán en el pasado o en el futuro, le seguiría que el esfuerzo sería infructuoso. ¿Por qué? Porque lo que habría que abandonar sería inexistente. Por otro lado, si se diese cuando estén presentes, sería igualmente infructuoso, porque las cosas a abandonar existirían simultáneamente con el esfuerzo y le seguiría que existiría un desarrollo de un sendero contenido de impurezas, o le seguiría que las impurezas estarían disociadas de la consciencia, aunque no exista tal cosa como una impureza presente disociada de la consciencia.</w:t>
      </w:r>
      <w:r w:rsidRPr="00DC1A5F">
        <w:rPr>
          <w:vertAlign w:val="superscript"/>
        </w:rPr>
        <w:t>16</w:t>
      </w:r>
    </w:p>
    <w:p w14:paraId="208C18B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99D4EB8" w14:textId="77777777" w:rsidR="00597DE2" w:rsidRPr="00DC1A5F" w:rsidRDefault="00597DE2" w:rsidP="00597DE2">
      <w:pPr>
        <w:pStyle w:val="PiedepginaLegal"/>
        <w:numPr>
          <w:ilvl w:val="0"/>
          <w:numId w:val="11"/>
        </w:numPr>
        <w:tabs>
          <w:tab w:val="clear" w:pos="425"/>
          <w:tab w:val="left" w:pos="284"/>
        </w:tabs>
        <w:spacing w:after="160"/>
        <w:ind w:left="284" w:hanging="284"/>
      </w:pPr>
      <w:r w:rsidRPr="00DC1A5F">
        <w:t xml:space="preserve">“La intención es: </w:t>
      </w:r>
      <w:r w:rsidRPr="00DC1A5F">
        <w:rPr>
          <w:color w:val="1F3864" w:themeColor="accent1" w:themeShade="80"/>
        </w:rPr>
        <w:t>o se sigue que existe una disociación de las corrupciones de la consciencia, como la de las formaciones según aquellos que afirman que las formaciones existen disociadas de la conscienci</w:t>
      </w:r>
      <w:r w:rsidRPr="00DC1A5F">
        <w:t>a. Él dijo, ‘no existe tal cosa como una corrupción presente disociada de la consciencia’ con el objeto de exponer que ésa era simplemente la opinión de aquellos que hacían tal afirmación. Ya que, cuando los estados inmateriales estén realmente ocurriendo por poseer una sola base y estar incluidos en los tres instantes, estos estarán presentes; entonces, ¿cómo podría disociarse ello de la consciencia? En consecuencia, aquí no existirá disociación de la consciencia” (</w:t>
      </w:r>
      <w:proofErr w:type="spellStart"/>
      <w:r w:rsidRPr="00DC1A5F">
        <w:t>Vism</w:t>
      </w:r>
      <w:proofErr w:type="spellEnd"/>
      <w:r w:rsidRPr="00DC1A5F">
        <w:t>–</w:t>
      </w:r>
      <w:proofErr w:type="spellStart"/>
      <w:r w:rsidRPr="00DC1A5F">
        <w:t>mhṭ</w:t>
      </w:r>
      <w:proofErr w:type="spellEnd"/>
      <w:r w:rsidRPr="00DC1A5F">
        <w:t xml:space="preserve"> 878).</w:t>
      </w:r>
      <w:r w:rsidRPr="00DC1A5F">
        <w:br w:type="page"/>
      </w:r>
    </w:p>
    <w:p w14:paraId="62E1B6B1" w14:textId="77777777" w:rsidR="00597DE2" w:rsidRPr="00DC1A5F" w:rsidRDefault="00597DE2" w:rsidP="00597DE2">
      <w:r w:rsidRPr="00DC1A5F">
        <w:lastRenderedPageBreak/>
        <w:t xml:space="preserve">79. </w:t>
      </w:r>
      <w:r w:rsidRPr="00DC1A5F">
        <w:tab/>
        <w:t xml:space="preserve">Ése no sería un argumento original; porque en el texto primero se formula la pregunta: “Cuando un hombre abandona las impurezas, ¿abandona las impurezas pasadas?, ¿abandona </w:t>
      </w:r>
      <w:proofErr w:type="gramStart"/>
      <w:r w:rsidRPr="00DC1A5F">
        <w:t>la impurezas futuras</w:t>
      </w:r>
      <w:proofErr w:type="gramEnd"/>
      <w:r w:rsidRPr="00DC1A5F">
        <w:t>? o ¿abandonará las impurezas presentes?” Por lo tanto, la objeción se planteará de esta manera: “Si él abandonase las impurezas pasadas, destruiría lo que ya habría sido destruido, haría cesar lo que ya haya habría sido cesado, haría desaparecer lo que ya habría desaparecido, haría que se apacigüe lo que ya se habría apaciguado. Lo que sea pasado, lo que sea inexistente, eso él abandonaría.” No obstante, esto se niega de la siguiente manera: “Él no abandonará las impurezas pasadas”. Por otro lado, la objeción se plantea así: “Si abandonase impurezas futuras, abandonaría lo que no hubiese nacido, abandonaría lo que no se hubiese generado, abandonaría lo que no hubiese surgido, abandonaría lo que no se hubiese manifestado. Lo que sea futuro, lo que sea inexistente, eso él abandonaría.” No obstante, esto se niega de esta manera: “Él no abandonará las impurezas futuras”. Nuevamente, la otra objeción se plantea así: “Si abandonase impurezas presentes, entonces, aunque inflamado por la codicia, abandonaría la codicia, aunque corrompido por el odio, abandonaría el odio, aunque estuviese engañado, abandonaría la ilusión, aunque encadenado,</w:t>
      </w:r>
      <w:r w:rsidRPr="00DC1A5F">
        <w:rPr>
          <w:vertAlign w:val="superscript"/>
        </w:rPr>
        <w:t>17</w:t>
      </w:r>
      <w:r w:rsidRPr="00DC1A5F">
        <w:t xml:space="preserve"> abandonaría la presunción (orgullo), aunque percibiese incorrectamente. abandonaría la visión incorrecta, aunque estuviese distraído, abandonaría la agitación, aunque no fuese decidido, abandonaría la incertidumbre, aunque no tuviese hábitos inveterados, abandonaría la tendencia subyacente, los estados oscuros y brillantes ocurrirían conjuntamente y se daría el desarrollo de un sendero que poseería contaminaciones.” No obstante, todo esto se negará por medio de lo siguiente: “Él no abandonará las impurezas pasadas, no abandonará las impurezas futuras, no abandonará las impurezas presentes”. Finalmente se puede preguntar: “¿Entonces no se podrá dar el desarrollo del sendero, no se dará la consumación de la fruición, no se dará el abandono de las impurezas, no se dará la penetración en el </w:t>
      </w:r>
      <w:r w:rsidRPr="00DC1A5F">
        <w:rPr>
          <w:i/>
        </w:rPr>
        <w:t>Dhamma</w:t>
      </w:r>
      <w:r w:rsidRPr="00DC1A5F">
        <w:t xml:space="preserve"> (la convergencia de los estados)?” Ante esto se afirmará: “Sí existirá el desarrollo de un sendero … existirá una penetración del </w:t>
      </w:r>
      <w:r w:rsidRPr="00DC1A5F">
        <w:rPr>
          <w:i/>
        </w:rPr>
        <w:t>Dhamma</w:t>
      </w:r>
      <w:r w:rsidRPr="00DC1A5F">
        <w:t xml:space="preserve"> (una convergencia de estados)”.</w:t>
      </w:r>
    </w:p>
    <w:p w14:paraId="082A99F1" w14:textId="77777777" w:rsidR="00597DE2" w:rsidRPr="00DC1A5F" w:rsidRDefault="00597DE2" w:rsidP="00597DE2">
      <w:pPr>
        <w:pStyle w:val="NormalConSangria"/>
      </w:pPr>
      <w:r w:rsidRPr="00DC1A5F">
        <w:t xml:space="preserve">Y cuando se pregunte: “¿De qué manera se dará ello?” se deberá responder con esto: “Supongamos que hubiese un árbol joven con frutos no nacidos y un hombre cortara su raíz, entonces los frutos no nacidos del árbol permanecerían sin nacer y no llegarían nunca a surgir, permanecerían no generados y no llegarían a ser generados, permanecerían no surgidos y no llegarían a surgir, permanecerían </w:t>
      </w:r>
      <w:proofErr w:type="spellStart"/>
      <w:r w:rsidRPr="00DC1A5F">
        <w:t>inmanifestados</w:t>
      </w:r>
      <w:proofErr w:type="spellEnd"/>
      <w:r w:rsidRPr="00DC1A5F">
        <w:t xml:space="preserve"> y no llegarían a manifestarse. Así también, el surgimiento es una causa, el surgimiento es una condición, para la generación de impurezas. Al ver el peligro en las contaminaciones, la consciencia entrará en el no–surgimiento. Con la entrada de la consciencia en el no–surgimiento, las contaminaciones que se generarían mediante el surgimiento como su condición permanecerán sin surgir y no llegarán a nacer... se mantendrán sin manifestarse y no llegarán a manifestarse. Así que con la cesación de la causa se dará la cesación del sufrimiento. [687] La ​​ocurrencia será una causa... El signo será una causa... La acumulación será una causa, la acumulación será una condición, para la generación de contaminaciones. Al ver el peligro en la acumulación, la consciencia entrará en la no–acumulación. Con la entrada de la consciencia en la no–acumulación, las corrupciones que se generarían con la acumulación como su condición se mantendrán sin surgir y no llegarán a surgir... se mantendrá sin manifestarse y no llegarán a manifestarse. Así que con la cesación de la causa se dará la cesación del sufrimiento. Así se dará el desarrollo del sendero, se dará la consumación de la fruición, se dará el abandono de las contaminaciones y se dará la penetración en el </w:t>
      </w:r>
      <w:r w:rsidRPr="00DC1A5F">
        <w:rPr>
          <w:i/>
        </w:rPr>
        <w:t>Dhamma</w:t>
      </w:r>
      <w:r w:rsidRPr="00DC1A5F">
        <w:t>” (</w:t>
      </w:r>
      <w:proofErr w:type="spellStart"/>
      <w:r w:rsidRPr="00DC1A5F">
        <w:rPr>
          <w:i/>
          <w:iCs/>
        </w:rPr>
        <w:t>Paṭis</w:t>
      </w:r>
      <w:proofErr w:type="spellEnd"/>
      <w:r w:rsidRPr="00DC1A5F">
        <w:t xml:space="preserve"> II 217–19).</w:t>
      </w:r>
    </w:p>
    <w:p w14:paraId="65606CC5"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3F39A093" w14:textId="77777777" w:rsidR="00597DE2" w:rsidRPr="00DC1A5F" w:rsidRDefault="00597DE2" w:rsidP="00597DE2">
      <w:pPr>
        <w:pStyle w:val="PiedepginaLegal"/>
        <w:numPr>
          <w:ilvl w:val="0"/>
          <w:numId w:val="11"/>
        </w:numPr>
        <w:tabs>
          <w:tab w:val="clear" w:pos="425"/>
          <w:tab w:val="left" w:pos="284"/>
        </w:tabs>
        <w:spacing w:after="160"/>
        <w:ind w:left="284" w:hanging="284"/>
      </w:pPr>
      <w:r w:rsidRPr="00DC1A5F">
        <w:t>“‘</w:t>
      </w:r>
      <w:r w:rsidRPr="00DC1A5F">
        <w:rPr>
          <w:i/>
          <w:iCs/>
        </w:rPr>
        <w:t>Encadenado’</w:t>
      </w:r>
      <w:r w:rsidRPr="00DC1A5F">
        <w:t>: aquel cuya consciencia se encuentre encadenada por la presunción (orgullo)” (</w:t>
      </w:r>
      <w:proofErr w:type="spellStart"/>
      <w:r w:rsidRPr="00DC1A5F">
        <w:t>Vism</w:t>
      </w:r>
      <w:proofErr w:type="spellEnd"/>
      <w:r w:rsidRPr="00DC1A5F">
        <w:t>–</w:t>
      </w:r>
      <w:proofErr w:type="spellStart"/>
      <w:r w:rsidRPr="00DC1A5F">
        <w:t>mhṭ</w:t>
      </w:r>
      <w:proofErr w:type="spellEnd"/>
      <w:r w:rsidRPr="00DC1A5F">
        <w:t xml:space="preserve"> 878).</w:t>
      </w:r>
      <w:r w:rsidRPr="00DC1A5F">
        <w:br w:type="page"/>
      </w:r>
    </w:p>
    <w:p w14:paraId="20D20D88" w14:textId="77777777" w:rsidR="00597DE2" w:rsidRPr="00DC1A5F" w:rsidRDefault="00597DE2" w:rsidP="00597DE2">
      <w:r w:rsidRPr="00DC1A5F">
        <w:lastRenderedPageBreak/>
        <w:t xml:space="preserve">80. </w:t>
      </w:r>
      <w:r w:rsidRPr="00DC1A5F">
        <w:tab/>
        <w:t xml:space="preserve">¿Qué muestra esto? Muestra el abandono de las impurezas que posea un suelo para crecer. </w:t>
      </w:r>
      <w:proofErr w:type="gramStart"/>
      <w:r w:rsidRPr="00DC1A5F">
        <w:t>Pero,</w:t>
      </w:r>
      <w:proofErr w:type="gramEnd"/>
      <w:r w:rsidRPr="00DC1A5F">
        <w:t xml:space="preserve"> ¿las impurezas que tienen suelo para crecer son ​​pasadas, futuras o presentes? Son simplemente los que se describen como “surgidos por tener suelo para crecer”.</w:t>
      </w:r>
    </w:p>
    <w:p w14:paraId="355DE3FD" w14:textId="77777777" w:rsidR="00597DE2" w:rsidRPr="00DC1A5F" w:rsidRDefault="00597DE2" w:rsidP="00597DE2">
      <w:r w:rsidRPr="00DC1A5F">
        <w:t xml:space="preserve">81. </w:t>
      </w:r>
      <w:r w:rsidRPr="00DC1A5F">
        <w:tab/>
        <w:t xml:space="preserve">Ahora bien, existen varios significados para el término “surgido”, es decir, (i) surgido como “realmente </w:t>
      </w:r>
      <w:r w:rsidRPr="00DC1A5F">
        <w:rPr>
          <w:color w:val="833C0B" w:themeColor="accent2" w:themeShade="80"/>
          <w:u w:color="000000"/>
        </w:rPr>
        <w:t>estuviese</w:t>
      </w:r>
      <w:r w:rsidRPr="00DC1A5F">
        <w:t xml:space="preserve"> ocurriendo”, (</w:t>
      </w:r>
      <w:proofErr w:type="spellStart"/>
      <w:r w:rsidRPr="00DC1A5F">
        <w:t>ii</w:t>
      </w:r>
      <w:proofErr w:type="spellEnd"/>
      <w:r w:rsidRPr="00DC1A5F">
        <w:t>) surgido como “</w:t>
      </w:r>
      <w:r w:rsidRPr="00DC1A5F">
        <w:rPr>
          <w:color w:val="833C0B" w:themeColor="accent2" w:themeShade="80"/>
          <w:u w:color="000000"/>
        </w:rPr>
        <w:t>habiendo</w:t>
      </w:r>
      <w:r w:rsidRPr="00DC1A5F">
        <w:t xml:space="preserve"> estado y desaparecido”, (</w:t>
      </w:r>
      <w:proofErr w:type="spellStart"/>
      <w:r w:rsidRPr="00DC1A5F">
        <w:t>iii</w:t>
      </w:r>
      <w:proofErr w:type="spellEnd"/>
      <w:r w:rsidRPr="00DC1A5F">
        <w:t>) surgido “mediante una oportunidad” y (</w:t>
      </w:r>
      <w:proofErr w:type="spellStart"/>
      <w:r w:rsidRPr="00DC1A5F">
        <w:t>iv</w:t>
      </w:r>
      <w:proofErr w:type="spellEnd"/>
      <w:r w:rsidRPr="00DC1A5F">
        <w:t>) surgido “por poseer suelo para crecer”.</w:t>
      </w:r>
    </w:p>
    <w:p w14:paraId="6E00229F" w14:textId="77777777" w:rsidR="00597DE2" w:rsidRPr="00DC1A5F" w:rsidRDefault="00597DE2" w:rsidP="00597DE2">
      <w:pPr>
        <w:pStyle w:val="NormalConSangria"/>
      </w:pPr>
      <w:r w:rsidRPr="00DC1A5F">
        <w:t xml:space="preserve">Al respecto, (i) a todo lo que se considere que posea 3 momentos de; surgimiento, envejecimiento, [es decir, presencia] y disolución, se les denominará </w:t>
      </w:r>
      <w:r w:rsidRPr="00DC1A5F">
        <w:rPr>
          <w:i/>
          <w:iCs/>
        </w:rPr>
        <w:t>surgido como en realidad estuviese ocurriendo</w:t>
      </w:r>
      <w:r w:rsidRPr="00DC1A5F">
        <w:t>.</w:t>
      </w:r>
    </w:p>
    <w:p w14:paraId="163D1311" w14:textId="77777777" w:rsidR="00597DE2" w:rsidRPr="00DC1A5F" w:rsidRDefault="00597DE2" w:rsidP="00597DE2">
      <w:pPr>
        <w:pStyle w:val="NormalConSangria"/>
      </w:pPr>
      <w:r w:rsidRPr="00DC1A5F">
        <w:t>(</w:t>
      </w:r>
      <w:proofErr w:type="spellStart"/>
      <w:r w:rsidRPr="00DC1A5F">
        <w:t>ii</w:t>
      </w:r>
      <w:proofErr w:type="spellEnd"/>
      <w:r w:rsidRPr="00DC1A5F">
        <w:t xml:space="preserve">) El resultado </w:t>
      </w:r>
      <w:proofErr w:type="spellStart"/>
      <w:r w:rsidRPr="00DC1A5F">
        <w:rPr>
          <w:i/>
        </w:rPr>
        <w:t>kammico</w:t>
      </w:r>
      <w:proofErr w:type="spellEnd"/>
      <w:r w:rsidRPr="00DC1A5F">
        <w:t xml:space="preserve"> productivo e improductivo experimentado como estímulo de un objeto y cesado—considerado como “experimentado y desaparecido” (</w:t>
      </w:r>
      <w:proofErr w:type="spellStart"/>
      <w:r w:rsidRPr="00DC1A5F">
        <w:rPr>
          <w:i/>
          <w:iCs/>
        </w:rPr>
        <w:t>anubhūtāpagata</w:t>
      </w:r>
      <w:proofErr w:type="spellEnd"/>
      <w:r w:rsidRPr="00DC1A5F">
        <w:t>)—, y también cualquier cosa formada, cuando haya alcanzado los 3 instantes que comienzan con el surgimiento y haya cesado –contados como ‘</w:t>
      </w:r>
      <w:r w:rsidRPr="00DC1A5F">
        <w:rPr>
          <w:color w:val="833C0B" w:themeColor="accent2" w:themeShade="80"/>
          <w:u w:color="000000"/>
        </w:rPr>
        <w:t>habiendo</w:t>
      </w:r>
      <w:r w:rsidRPr="00DC1A5F">
        <w:t xml:space="preserve"> estado y desaparecido (</w:t>
      </w:r>
      <w:proofErr w:type="spellStart"/>
      <w:r w:rsidRPr="00DC1A5F">
        <w:rPr>
          <w:i/>
          <w:iCs/>
        </w:rPr>
        <w:t>hutvāpagata</w:t>
      </w:r>
      <w:proofErr w:type="spellEnd"/>
      <w:r w:rsidRPr="00DC1A5F">
        <w:t xml:space="preserve">)—, se denominarán </w:t>
      </w:r>
      <w:r w:rsidRPr="00DC1A5F">
        <w:rPr>
          <w:i/>
          <w:iCs/>
        </w:rPr>
        <w:t>surgidos</w:t>
      </w:r>
      <w:r w:rsidRPr="00DC1A5F">
        <w:t xml:space="preserve"> </w:t>
      </w:r>
      <w:r w:rsidRPr="00DC1A5F">
        <w:rPr>
          <w:i/>
          <w:iCs/>
        </w:rPr>
        <w:t xml:space="preserve">como estado y desaparecido </w:t>
      </w:r>
      <w:r w:rsidRPr="00DC1A5F">
        <w:t>(</w:t>
      </w:r>
      <w:proofErr w:type="spellStart"/>
      <w:r w:rsidRPr="00DC1A5F">
        <w:rPr>
          <w:i/>
          <w:iCs/>
        </w:rPr>
        <w:t>bhūtāpagata</w:t>
      </w:r>
      <w:proofErr w:type="spellEnd"/>
      <w:r w:rsidRPr="00DC1A5F">
        <w:t>).</w:t>
      </w:r>
    </w:p>
    <w:p w14:paraId="40113CD5" w14:textId="77777777" w:rsidR="00597DE2" w:rsidRPr="00DC1A5F" w:rsidRDefault="00597DE2" w:rsidP="00597DE2">
      <w:pPr>
        <w:pStyle w:val="NormalConSangria"/>
      </w:pPr>
      <w:r w:rsidRPr="00DC1A5F">
        <w:t>(</w:t>
      </w:r>
      <w:proofErr w:type="spellStart"/>
      <w:r w:rsidRPr="00DC1A5F">
        <w:t>iii</w:t>
      </w:r>
      <w:proofErr w:type="spellEnd"/>
      <w:r w:rsidRPr="00DC1A5F">
        <w:t xml:space="preserve">) El </w:t>
      </w:r>
      <w:proofErr w:type="spellStart"/>
      <w:r w:rsidRPr="00DC1A5F">
        <w:rPr>
          <w:i/>
        </w:rPr>
        <w:t>kamma</w:t>
      </w:r>
      <w:proofErr w:type="spellEnd"/>
      <w:r w:rsidRPr="00DC1A5F">
        <w:t xml:space="preserve"> descrito en el pasaje que comienza con, “Actos que él cometió en el pasado” (M III 164), incluso cuando en realidad sea pasado, se le denominará </w:t>
      </w:r>
      <w:r w:rsidRPr="00DC1A5F">
        <w:rPr>
          <w:i/>
          <w:iCs/>
        </w:rPr>
        <w:t>surgido mediante una oportunidad</w:t>
      </w:r>
      <w:r w:rsidRPr="00DC1A5F">
        <w:t xml:space="preserve"> porque alcanzará presencia al inhibir a otro </w:t>
      </w:r>
      <w:proofErr w:type="spellStart"/>
      <w:r w:rsidRPr="00DC1A5F">
        <w:rPr>
          <w:i/>
        </w:rPr>
        <w:t>kamma</w:t>
      </w:r>
      <w:proofErr w:type="spellEnd"/>
      <w:r w:rsidRPr="00DC1A5F">
        <w:t xml:space="preserve"> maduro y haciendo de él la oportunidad para su propio resultado (ver XIX.16). Y el resultado </w:t>
      </w:r>
      <w:proofErr w:type="spellStart"/>
      <w:r w:rsidRPr="00DC1A5F">
        <w:rPr>
          <w:i/>
        </w:rPr>
        <w:t>kammico</w:t>
      </w:r>
      <w:proofErr w:type="spellEnd"/>
      <w:r w:rsidRPr="00DC1A5F">
        <w:rPr>
          <w:i/>
        </w:rPr>
        <w:t xml:space="preserve"> </w:t>
      </w:r>
      <w:r w:rsidRPr="00DC1A5F">
        <w:t>que posea su oportunidad hecha de esta manera, incluso cuando aún no haya surgido, también se le llamará “surgido mediante una oportunidad producida”, porque será seguro que surgirá cuando una oportunidad para ello se haya manifestado así.</w:t>
      </w:r>
    </w:p>
    <w:p w14:paraId="7057800F" w14:textId="77777777" w:rsidR="00597DE2" w:rsidRPr="00DC1A5F" w:rsidRDefault="00597DE2" w:rsidP="00597DE2">
      <w:pPr>
        <w:pStyle w:val="NormalConSangria"/>
      </w:pPr>
      <w:r w:rsidRPr="00DC1A5F">
        <w:t>(</w:t>
      </w:r>
      <w:proofErr w:type="spellStart"/>
      <w:r w:rsidRPr="00DC1A5F">
        <w:t>iv</w:t>
      </w:r>
      <w:proofErr w:type="spellEnd"/>
      <w:r w:rsidRPr="00DC1A5F">
        <w:t xml:space="preserve">) Si bien un </w:t>
      </w:r>
      <w:proofErr w:type="spellStart"/>
      <w:r w:rsidRPr="00DC1A5F">
        <w:rPr>
          <w:i/>
        </w:rPr>
        <w:t>kamma</w:t>
      </w:r>
      <w:proofErr w:type="spellEnd"/>
      <w:r w:rsidRPr="00DC1A5F">
        <w:t xml:space="preserve"> improductivo todavía no haya sido erradicado en algún suelo (plano)</w:t>
      </w:r>
      <w:r w:rsidRPr="00DC1A5F">
        <w:rPr>
          <w:vertAlign w:val="superscript"/>
        </w:rPr>
        <w:t>18</w:t>
      </w:r>
      <w:r w:rsidRPr="00DC1A5F">
        <w:t xml:space="preserve"> determinado, se le denominará </w:t>
      </w:r>
      <w:r w:rsidRPr="00DC1A5F">
        <w:rPr>
          <w:i/>
          <w:iCs/>
        </w:rPr>
        <w:t>surgido por poseer suelo</w:t>
      </w:r>
      <w:r w:rsidRPr="00DC1A5F">
        <w:t xml:space="preserve"> </w:t>
      </w:r>
      <w:r w:rsidRPr="00DC1A5F">
        <w:rPr>
          <w:i/>
          <w:iCs/>
        </w:rPr>
        <w:t>para crecer</w:t>
      </w:r>
      <w:r w:rsidRPr="00DC1A5F">
        <w:t>.</w:t>
      </w:r>
    </w:p>
    <w:p w14:paraId="67D8A0A1" w14:textId="77777777" w:rsidR="00597DE2" w:rsidRPr="00DC1A5F" w:rsidRDefault="00597DE2" w:rsidP="00597DE2">
      <w:r w:rsidRPr="00DC1A5F">
        <w:t xml:space="preserve">82. </w:t>
      </w:r>
      <w:r w:rsidRPr="00DC1A5F">
        <w:tab/>
        <w:t>Y aquí, deberá entenderse la diferencia entre el suelo y lo que posea suelo. Porque “suelo” (plano) significará los 5 agregados en los 3 planos del devenir, objetos de la sabiduría–revelativa.</w:t>
      </w:r>
      <w:r w:rsidRPr="00DC1A5F">
        <w:rPr>
          <w:vertAlign w:val="superscript"/>
        </w:rPr>
        <w:t>19</w:t>
      </w:r>
      <w:r w:rsidRPr="00DC1A5F">
        <w:t xml:space="preserve"> “Lo que posea suelo” corresponderá a una expresión para las contaminaciones que puedan surgir con respecto a estos agregados. Esas impurezas poseerán ese suelo (plano). Es por eso </w:t>
      </w:r>
      <w:proofErr w:type="gramStart"/>
      <w:r w:rsidRPr="00DC1A5F">
        <w:t>que</w:t>
      </w:r>
      <w:proofErr w:type="gramEnd"/>
      <w:r w:rsidRPr="00DC1A5F">
        <w:t xml:space="preserve"> se dice “por poseer suelo para crecer”. </w:t>
      </w:r>
    </w:p>
    <w:p w14:paraId="7C9730F4" w14:textId="77777777" w:rsidR="00597DE2" w:rsidRPr="00DC1A5F" w:rsidRDefault="00597DE2" w:rsidP="00597DE2">
      <w:r w:rsidRPr="00DC1A5F">
        <w:t xml:space="preserve">83. </w:t>
      </w:r>
      <w:r w:rsidRPr="00DC1A5F">
        <w:tab/>
        <w:t xml:space="preserve">Y no es a esto a lo que se refiere objetivamente. Porque las contaminaciones relacionadas con un objeto surgirán con respecto a cualquier agregado, incluidos los pasados ​​o futuros, así también como los presentes y también con respecto a los agregados [subjetivamente] completamente entendidos en alguien [más] cuyas contaminaciones hayan sido destruidas, como aquellos que surgió en el hombre rico </w:t>
      </w:r>
      <w:proofErr w:type="spellStart"/>
      <w:r w:rsidRPr="00DC1A5F">
        <w:t>Soreyya</w:t>
      </w:r>
      <w:proofErr w:type="spellEnd"/>
      <w:r w:rsidRPr="00DC1A5F">
        <w:t xml:space="preserve"> con respecto a los agregados de Mahā </w:t>
      </w:r>
      <w:proofErr w:type="spellStart"/>
      <w:r w:rsidRPr="00DC1A5F">
        <w:t>Kaccāna</w:t>
      </w:r>
      <w:proofErr w:type="spellEnd"/>
      <w:r w:rsidRPr="00DC1A5F">
        <w:t xml:space="preserve"> (</w:t>
      </w:r>
      <w:proofErr w:type="spellStart"/>
      <w:r w:rsidRPr="00DC1A5F">
        <w:t>Dhp</w:t>
      </w:r>
      <w:proofErr w:type="spellEnd"/>
      <w:r w:rsidRPr="00DC1A5F">
        <w:t xml:space="preserve">–a I 325) y en el estudiante </w:t>
      </w:r>
      <w:r w:rsidRPr="00DC1A5F">
        <w:rPr>
          <w:i/>
          <w:iCs/>
        </w:rPr>
        <w:t>brahmán</w:t>
      </w:r>
      <w:r w:rsidRPr="00DC1A5F">
        <w:t xml:space="preserve"> </w:t>
      </w:r>
      <w:proofErr w:type="spellStart"/>
      <w:r w:rsidRPr="00DC1A5F">
        <w:t>Nanda</w:t>
      </w:r>
      <w:proofErr w:type="spellEnd"/>
      <w:r w:rsidRPr="00DC1A5F">
        <w:t xml:space="preserve"> con respecto a </w:t>
      </w:r>
      <w:proofErr w:type="spellStart"/>
      <w:r w:rsidRPr="00DC1A5F">
        <w:t>Uppalavaṇṇā</w:t>
      </w:r>
      <w:proofErr w:type="spellEnd"/>
      <w:r w:rsidRPr="00DC1A5F">
        <w:t xml:space="preserve"> (</w:t>
      </w:r>
      <w:proofErr w:type="spellStart"/>
      <w:r w:rsidRPr="00DC1A5F">
        <w:t>Dhp</w:t>
      </w:r>
      <w:proofErr w:type="spellEnd"/>
      <w:r w:rsidRPr="00DC1A5F">
        <w:t xml:space="preserve">–a II 49), etc. Y si eso fuera a lo que se denominase “surgido por poseer suelo para crecer” nadie podría abandonar la </w:t>
      </w:r>
    </w:p>
    <w:p w14:paraId="4F3DF32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16A527CF" w14:textId="77777777" w:rsidR="00597DE2" w:rsidRPr="00DC1A5F" w:rsidRDefault="00597DE2" w:rsidP="00597DE2">
      <w:pPr>
        <w:pStyle w:val="PiedepginaLegal"/>
        <w:numPr>
          <w:ilvl w:val="0"/>
          <w:numId w:val="11"/>
        </w:numPr>
        <w:tabs>
          <w:tab w:val="clear" w:pos="425"/>
          <w:tab w:val="left" w:pos="284"/>
        </w:tabs>
        <w:ind w:left="284" w:hanging="284"/>
      </w:pPr>
      <w:r w:rsidRPr="00DC1A5F">
        <w:t>“‘</w:t>
      </w:r>
      <w:r w:rsidRPr="00DC1A5F">
        <w:rPr>
          <w:i/>
          <w:iCs/>
        </w:rPr>
        <w:t>En cualquier plano determinado’</w:t>
      </w:r>
      <w:r w:rsidRPr="00DC1A5F">
        <w:t xml:space="preserve"> se refieren a los agregados como objetos del apego, considerados como una persona humana o divina” (</w:t>
      </w:r>
      <w:proofErr w:type="spellStart"/>
      <w:r w:rsidRPr="00DC1A5F">
        <w:t>Vism</w:t>
      </w:r>
      <w:proofErr w:type="spellEnd"/>
      <w:r w:rsidRPr="00DC1A5F">
        <w:t>–</w:t>
      </w:r>
      <w:proofErr w:type="spellStart"/>
      <w:r w:rsidRPr="00DC1A5F">
        <w:t>mhṭ</w:t>
      </w:r>
      <w:proofErr w:type="spellEnd"/>
      <w:r w:rsidRPr="00DC1A5F">
        <w:t xml:space="preserve"> 879).</w:t>
      </w:r>
    </w:p>
    <w:p w14:paraId="58F4FC7A" w14:textId="77777777" w:rsidR="00597DE2" w:rsidRPr="00DC1A5F" w:rsidRDefault="00597DE2" w:rsidP="00597DE2">
      <w:pPr>
        <w:pStyle w:val="PiedepginaLegal"/>
        <w:numPr>
          <w:ilvl w:val="0"/>
          <w:numId w:val="11"/>
        </w:numPr>
        <w:tabs>
          <w:tab w:val="clear" w:pos="425"/>
          <w:tab w:val="left" w:pos="284"/>
        </w:tabs>
        <w:ind w:left="284" w:hanging="284"/>
      </w:pPr>
      <w:r w:rsidRPr="00DC1A5F">
        <w:t>“Con las palabras ‘los cuales son objetos de la sabiduría–revelativa’, él indica el estado no plenamente comprendido de los agregados, no simplemente el hecho de que sean objetos de la sabiduría–revelativa, lo cual se comprobaría adoptando sólo los 3 planos. Ya que no son los agregados completamente entendidos, entre los agregados que constituyen la base subjetiva, lo que se entenderá como el ‘suelo de las impurezas’” (</w:t>
      </w:r>
      <w:proofErr w:type="spellStart"/>
      <w:r w:rsidRPr="00DC1A5F">
        <w:t>Vism</w:t>
      </w:r>
      <w:proofErr w:type="spellEnd"/>
      <w:r w:rsidRPr="00DC1A5F">
        <w:t>–</w:t>
      </w:r>
      <w:proofErr w:type="spellStart"/>
      <w:r w:rsidRPr="00DC1A5F">
        <w:t>mhṭ</w:t>
      </w:r>
      <w:proofErr w:type="spellEnd"/>
      <w:r w:rsidRPr="00DC1A5F">
        <w:t xml:space="preserve"> 880).</w:t>
      </w:r>
    </w:p>
    <w:p w14:paraId="4986AAB6" w14:textId="77777777" w:rsidR="00597DE2" w:rsidRPr="00DC1A5F" w:rsidRDefault="00597DE2" w:rsidP="00597DE2">
      <w:pPr>
        <w:pStyle w:val="PiedepginaLegal"/>
      </w:pPr>
    </w:p>
    <w:p w14:paraId="4E4FF284" w14:textId="77777777" w:rsidR="00597DE2" w:rsidRPr="00DC1A5F" w:rsidRDefault="00597DE2" w:rsidP="00597DE2">
      <w:pPr>
        <w:tabs>
          <w:tab w:val="clear" w:pos="425"/>
        </w:tabs>
        <w:spacing w:after="160"/>
      </w:pPr>
      <w:r w:rsidRPr="00DC1A5F">
        <w:br w:type="page"/>
      </w:r>
    </w:p>
    <w:p w14:paraId="6C178918" w14:textId="77777777" w:rsidR="00597DE2" w:rsidRPr="00DC1A5F" w:rsidRDefault="00597DE2" w:rsidP="00597DE2">
      <w:pPr>
        <w:pStyle w:val="Textoindependiente"/>
      </w:pPr>
      <w:r w:rsidRPr="00DC1A5F">
        <w:lastRenderedPageBreak/>
        <w:t>raíz del devenir porque sería irrenunciable. No obstante, “surgido por poseer suelo para crecer” deberá entenderse subjetivamente con respecto a la base para ellos en uno mismo.</w:t>
      </w:r>
      <w:r w:rsidRPr="00DC1A5F">
        <w:rPr>
          <w:vertAlign w:val="superscript"/>
        </w:rPr>
        <w:t>20</w:t>
      </w:r>
      <w:r w:rsidRPr="00DC1A5F">
        <w:t xml:space="preserve"> Ya que las corrupciones que serán la raíz del ciclo serán inherentes a los agregados en uno mismo, que no se comprenderán completamente mediante la sabiduría–revelativa desde el instante en que surjan esos agregados. Y eso es lo que deberá entenderse como “surgido por poseer suelo para crecer”, en el sentido de que no serán abandonados. [688]</w:t>
      </w:r>
    </w:p>
    <w:p w14:paraId="5DF34112" w14:textId="77777777" w:rsidR="00597DE2" w:rsidRPr="00DC1A5F" w:rsidRDefault="00597DE2" w:rsidP="00597DE2">
      <w:r w:rsidRPr="00DC1A5F">
        <w:t xml:space="preserve">84. </w:t>
      </w:r>
      <w:r w:rsidRPr="00DC1A5F">
        <w:tab/>
        <w:t>Ahora bien, cuando las corrupciones sean subyacentes, en el sentido de no ser abandonadas, en los agregados de alguien, serán solo esos agregados suyos los que corresponderán a la base de esas corrupciones, no a los agregados pertenecientes a un ser. Y solo los agregados pasados, no otra cosa, corresponderán a la base de las impurezas que sean subyacentes a los agregados pasados. Asimismo, será en el caso de los agregados futuros, etc. Del mismo modo, solo los agregados de la esfera sensorial, no otros, corresponderán a la base de las impurezas que sean subyacentes sin el abandono a los agregados de la esfera sensorial. Así mismo, en el caso de la materia sutil y la esfera inmaterial.</w:t>
      </w:r>
    </w:p>
    <w:p w14:paraId="58144A58" w14:textId="77777777" w:rsidR="00597DE2" w:rsidRPr="00DC1A5F" w:rsidRDefault="00597DE2" w:rsidP="00597DE2">
      <w:r w:rsidRPr="00DC1A5F">
        <w:t>85.</w:t>
      </w:r>
      <w:r w:rsidRPr="00DC1A5F">
        <w:tab/>
        <w:t>No obstante, en el caso del entrante</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etc., cuando una impureza determinada, que sea una raíz para el ciclo de renacimientos, haya sido abandonada por medio de un sendero determinado en los agregados de una persona noble determinada, entonces sus agregados ya no serán llamados como el “suelo” para tal contaminación, ya que ya no corresponderán a una base para ello. Sin embargo, en un hombre ordinario, las corrupciones que sean raíz del ciclo de renacimientos, no se abandonarán en lo absoluto y así, cualquier </w:t>
      </w:r>
      <w:proofErr w:type="spellStart"/>
      <w:r w:rsidRPr="00DC1A5F">
        <w:rPr>
          <w:i/>
        </w:rPr>
        <w:t>kamma</w:t>
      </w:r>
      <w:proofErr w:type="spellEnd"/>
      <w:r w:rsidRPr="00DC1A5F">
        <w:t xml:space="preserve"> que se realice siempre será productivo o improductivo. Entonces, para él, el ciclo de renacimientos continuará girando con el </w:t>
      </w:r>
      <w:proofErr w:type="spellStart"/>
      <w:r w:rsidRPr="00DC1A5F">
        <w:rPr>
          <w:i/>
        </w:rPr>
        <w:t>kamma</w:t>
      </w:r>
      <w:proofErr w:type="spellEnd"/>
      <w:r w:rsidRPr="00DC1A5F">
        <w:t xml:space="preserve"> y las corrupciones como su condición.</w:t>
      </w:r>
    </w:p>
    <w:p w14:paraId="1D750702" w14:textId="77777777" w:rsidR="00597DE2" w:rsidRPr="00DC1A5F" w:rsidRDefault="00597DE2" w:rsidP="00597DE2">
      <w:r w:rsidRPr="00DC1A5F">
        <w:t xml:space="preserve">86. </w:t>
      </w:r>
      <w:r w:rsidRPr="00DC1A5F">
        <w:tab/>
        <w:t>No obstante, mientras la impureza sea así la raíz del ciclo de renacimientos, no se podrá decir que estará sola en el agregado de la materialidad y no en los otros agregados, comenzando con la sensación... que estará solo en el agregado de la consciencia y no en los otros agregados, comenzando con la materialidad. ¿Por qué? Porque será subyacente a los 5 agregados indiscriminadamente. ¿Cómo? Como el jugo de humus, etc., en un árbol.</w:t>
      </w:r>
    </w:p>
    <w:p w14:paraId="2D9AA6ED" w14:textId="77777777" w:rsidR="00597DE2" w:rsidRPr="00DC1A5F" w:rsidRDefault="00597DE2" w:rsidP="00597DE2">
      <w:r w:rsidRPr="00DC1A5F">
        <w:t xml:space="preserve">87. </w:t>
      </w:r>
      <w:r w:rsidRPr="00DC1A5F">
        <w:tab/>
        <w:t>Ya que cuando un gran árbol se encuentra creciendo sobre la superficie de la tierra sostenido por las esencias de humus y agua y, con eso como su condición, crecen sus raíces, troncos, ramas, retoños, follajes, flores y frutos, hasta llenar el cielo, y continúa el linaje del árbol a través de la sucesión de la semilla hasta el final del eón, no se podrá decir que la esencia del humus, etc., se encuentre sólo en su raíz y no en el tronco, etc., …que se encuentre sólo en el fruto y no en la raíz, etc., ¿Por qué? Porque éste se esparcirá indistintamente a través de todo el árbol desde su raíz.</w:t>
      </w:r>
    </w:p>
    <w:p w14:paraId="2102ABB7" w14:textId="77777777" w:rsidR="00597DE2" w:rsidRPr="00DC1A5F" w:rsidRDefault="00597DE2" w:rsidP="00597DE2">
      <w:r w:rsidRPr="00DC1A5F">
        <w:t xml:space="preserve">88. </w:t>
      </w:r>
      <w:r w:rsidRPr="00DC1A5F">
        <w:tab/>
        <w:t xml:space="preserve">No </w:t>
      </w:r>
      <w:proofErr w:type="gramStart"/>
      <w:r w:rsidRPr="00DC1A5F">
        <w:t>obstante,  si</w:t>
      </w:r>
      <w:proofErr w:type="gramEnd"/>
      <w:r w:rsidRPr="00DC1A5F">
        <w:t xml:space="preserve"> algún hombre que sintiese repugnancia hacia las flores, frutos, etc., de ese mismo árbol, pudiese perforarlo por sus cuatro lados con una espina envenenada llamada “espina </w:t>
      </w:r>
      <w:proofErr w:type="spellStart"/>
      <w:r w:rsidRPr="00DC1A5F">
        <w:rPr>
          <w:i/>
          <w:iCs/>
        </w:rPr>
        <w:t>maṇḍūka</w:t>
      </w:r>
      <w:proofErr w:type="spellEnd"/>
      <w:r w:rsidRPr="00DC1A5F">
        <w:t>”, entonces el árbol, estando envenenado, ya no sería capaz de prolongar su vida. su continuidad, ya que se habría vuelto estéril con la contaminación de las esencias de humus y del agua.</w:t>
      </w:r>
    </w:p>
    <w:p w14:paraId="7E82483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71A7EA3" w14:textId="77777777" w:rsidR="00597DE2" w:rsidRPr="00DC1A5F" w:rsidRDefault="00597DE2" w:rsidP="00597DE2">
      <w:pPr>
        <w:pStyle w:val="PiedepginaLegal"/>
        <w:numPr>
          <w:ilvl w:val="0"/>
          <w:numId w:val="11"/>
        </w:numPr>
        <w:tabs>
          <w:tab w:val="clear" w:pos="425"/>
          <w:tab w:val="left" w:pos="284"/>
        </w:tabs>
        <w:ind w:left="284" w:hanging="284"/>
      </w:pPr>
      <w:r w:rsidRPr="00DC1A5F">
        <w:t>“Nadie podría abandonar la raíz del devenir si estuviera en la continuidad de otro. ‘</w:t>
      </w:r>
      <w:r w:rsidRPr="00DC1A5F">
        <w:rPr>
          <w:i/>
          <w:iCs/>
        </w:rPr>
        <w:t>Con respecto a las bases</w:t>
      </w:r>
      <w:r w:rsidRPr="00DC1A5F">
        <w:t xml:space="preserve"> [</w:t>
      </w:r>
      <w:r w:rsidRPr="00DC1A5F">
        <w:rPr>
          <w:i/>
          <w:iCs/>
        </w:rPr>
        <w:t>de ellos en uno mismo</w:t>
      </w:r>
      <w:r w:rsidRPr="00DC1A5F">
        <w:t>]’ significa como el lugar de su surgimiento; en ese devenir o continuidad particular” (</w:t>
      </w:r>
      <w:proofErr w:type="spellStart"/>
      <w:r w:rsidRPr="00DC1A5F">
        <w:t>Vism</w:t>
      </w:r>
      <w:proofErr w:type="spellEnd"/>
      <w:r w:rsidRPr="00DC1A5F">
        <w:t>–</w:t>
      </w:r>
      <w:proofErr w:type="spellStart"/>
      <w:r w:rsidRPr="00DC1A5F">
        <w:t>mhṭ</w:t>
      </w:r>
      <w:proofErr w:type="spellEnd"/>
      <w:r w:rsidRPr="00DC1A5F">
        <w:t xml:space="preserve"> 880).</w:t>
      </w:r>
      <w:r w:rsidRPr="00DC1A5F">
        <w:br w:type="page"/>
      </w:r>
    </w:p>
    <w:p w14:paraId="7E7926D3" w14:textId="77777777" w:rsidR="00597DE2" w:rsidRPr="00DC1A5F" w:rsidRDefault="00597DE2" w:rsidP="00597DE2">
      <w:pPr>
        <w:pStyle w:val="NormalConSangria"/>
        <w:spacing w:after="80"/>
      </w:pPr>
      <w:r w:rsidRPr="00DC1A5F">
        <w:lastRenderedPageBreak/>
        <w:t xml:space="preserve">Así también un miembro de clan que sienta repugnancia (desapego) hacia el surgimiento de los agregados, se comprometerá en consumar los 4 senderos en su propia continuidad, el cual se asemejará a la aplicación del veneno al árbol por los cuatro costados efectuado por parte del hombre en cuestión. Entonces se hará incapaz de prolongar la continuidad hacia un devenir posterior. Ahora bien, </w:t>
      </w:r>
      <w:r w:rsidRPr="00DC1A5F">
        <w:rPr>
          <w:color w:val="833C0B" w:themeColor="accent2" w:themeShade="80"/>
          <w:u w:color="000000"/>
        </w:rPr>
        <w:t xml:space="preserve">la continuidad de sus agregados </w:t>
      </w:r>
      <w:r w:rsidRPr="00DC1A5F">
        <w:t xml:space="preserve">será improductiva en el devenir futuro ya que todos los tipos de </w:t>
      </w:r>
      <w:proofErr w:type="spellStart"/>
      <w:r w:rsidRPr="00DC1A5F">
        <w:rPr>
          <w:i/>
        </w:rPr>
        <w:t>kamma</w:t>
      </w:r>
      <w:proofErr w:type="spellEnd"/>
      <w:r w:rsidRPr="00DC1A5F">
        <w:t xml:space="preserve"> que comiencen con el </w:t>
      </w:r>
      <w:proofErr w:type="spellStart"/>
      <w:r w:rsidRPr="00DC1A5F">
        <w:rPr>
          <w:i/>
        </w:rPr>
        <w:t>kamma</w:t>
      </w:r>
      <w:proofErr w:type="spellEnd"/>
      <w:r w:rsidRPr="00DC1A5F">
        <w:t xml:space="preserve"> corporal serán entonces simplemente funcionales: ya que el efecto del veneno de los 4 senderos habrá exterminado por completo las impurezas que sean raíz del ciclo de renacimientos. [689] Al estar libre de apegos, inevitablemente se consumará, con la cesación de la última consciencia, la extinción completa [el </w:t>
      </w:r>
      <w:r w:rsidRPr="00DC1A5F">
        <w:rPr>
          <w:i/>
          <w:iCs/>
        </w:rPr>
        <w:t>Nibbāna</w:t>
      </w:r>
      <w:r w:rsidRPr="00DC1A5F">
        <w:t>], como si un fuego se quedase sin más combustible. Así es como deberá entenderse la diferencia entre lo que posea suelo y lo que no posea suelo.</w:t>
      </w:r>
    </w:p>
    <w:p w14:paraId="08D37746" w14:textId="77777777" w:rsidR="00597DE2" w:rsidRPr="00DC1A5F" w:rsidRDefault="00597DE2" w:rsidP="00597DE2">
      <w:pPr>
        <w:spacing w:after="80"/>
      </w:pPr>
      <w:r w:rsidRPr="00DC1A5F">
        <w:t xml:space="preserve">89. </w:t>
      </w:r>
      <w:r w:rsidRPr="00DC1A5F">
        <w:tab/>
        <w:t>Además de estos, existirá otras cuatro formas de clasificar lo “surgido”, es decir, (v) lo surgido como ocurrencia, (vi) lo surgido con la aprehensión de un objeto, (</w:t>
      </w:r>
      <w:proofErr w:type="spellStart"/>
      <w:r w:rsidRPr="00DC1A5F">
        <w:t>vii</w:t>
      </w:r>
      <w:proofErr w:type="spellEnd"/>
      <w:r w:rsidRPr="00DC1A5F">
        <w:t>) lo surgido a través de la no–supresión, (</w:t>
      </w:r>
      <w:proofErr w:type="spellStart"/>
      <w:r w:rsidRPr="00DC1A5F">
        <w:t>viii</w:t>
      </w:r>
      <w:proofErr w:type="spellEnd"/>
      <w:r w:rsidRPr="00DC1A5F">
        <w:t>) lo surgido a través de la no–abolición.</w:t>
      </w:r>
    </w:p>
    <w:p w14:paraId="33936D68" w14:textId="77777777" w:rsidR="00597DE2" w:rsidRPr="00DC1A5F" w:rsidRDefault="00597DE2" w:rsidP="00597DE2">
      <w:pPr>
        <w:pStyle w:val="NormalConSangria"/>
        <w:spacing w:after="80"/>
      </w:pPr>
      <w:r w:rsidRPr="00DC1A5F">
        <w:t xml:space="preserve">Aquí, (v) </w:t>
      </w:r>
      <w:r w:rsidRPr="00DC1A5F">
        <w:rPr>
          <w:i/>
          <w:iCs/>
        </w:rPr>
        <w:t xml:space="preserve">lo surgido como ocurrencia </w:t>
      </w:r>
      <w:r w:rsidRPr="00DC1A5F">
        <w:t>será lo mismo que (i) “surgido como realmente esté ocurriendo”.</w:t>
      </w:r>
    </w:p>
    <w:p w14:paraId="39D8F25E" w14:textId="77777777" w:rsidR="00597DE2" w:rsidRPr="00DC1A5F" w:rsidRDefault="00597DE2" w:rsidP="00597DE2">
      <w:pPr>
        <w:pStyle w:val="NormalConSangria"/>
        <w:spacing w:after="80"/>
      </w:pPr>
      <w:r w:rsidRPr="00DC1A5F">
        <w:t>(vi) Cuando un objeto, en algún momento pasado, haya entrado en el foco visual, etc., y la contaminación no surja en tal momento, sino con toda su fuerza más adelante, simplemente porque el objeto haya sido aprehendido, entonces a esa contaminación se le denominará surgido con la aprehensión de un objeto, como la contaminación que surgió en el Venerable Mahā–</w:t>
      </w:r>
      <w:proofErr w:type="spellStart"/>
      <w:r w:rsidRPr="00DC1A5F">
        <w:t>Tissa</w:t>
      </w:r>
      <w:proofErr w:type="spellEnd"/>
      <w:r w:rsidRPr="00DC1A5F">
        <w:t xml:space="preserve"> después de ver la forma de una persona del sexo opuesto mientras deambulaba por ofrendas en el pueblo de </w:t>
      </w:r>
      <w:proofErr w:type="spellStart"/>
      <w:r w:rsidRPr="00DC1A5F">
        <w:t>Kalyāna</w:t>
      </w:r>
      <w:proofErr w:type="spellEnd"/>
      <w:r w:rsidRPr="00DC1A5F">
        <w:t xml:space="preserve"> (cf. M–a I 66 y A–a </w:t>
      </w:r>
      <w:proofErr w:type="spellStart"/>
      <w:r w:rsidRPr="00DC1A5F">
        <w:t>a</w:t>
      </w:r>
      <w:proofErr w:type="spellEnd"/>
      <w:r w:rsidRPr="00DC1A5F">
        <w:t xml:space="preserve"> </w:t>
      </w:r>
      <w:proofErr w:type="spellStart"/>
      <w:r w:rsidRPr="00DC1A5F">
        <w:t>A</w:t>
      </w:r>
      <w:proofErr w:type="spellEnd"/>
      <w:r w:rsidRPr="00DC1A5F">
        <w:t xml:space="preserve"> I 4).</w:t>
      </w:r>
    </w:p>
    <w:p w14:paraId="52D6D3D8" w14:textId="77777777" w:rsidR="00597DE2" w:rsidRPr="00DC1A5F" w:rsidRDefault="00597DE2" w:rsidP="00597DE2">
      <w:pPr>
        <w:pStyle w:val="NormalConSangria"/>
        <w:spacing w:after="80"/>
      </w:pPr>
      <w:r w:rsidRPr="00DC1A5F">
        <w:t>(</w:t>
      </w:r>
      <w:proofErr w:type="spellStart"/>
      <w:r w:rsidRPr="00DC1A5F">
        <w:t>vii</w:t>
      </w:r>
      <w:proofErr w:type="spellEnd"/>
      <w:r w:rsidRPr="00DC1A5F">
        <w:t xml:space="preserve">) Siempre que una impureza no sea suprimida por la serenidad o la sabiduría–revelativa, aunque no haya entrado realmente en la continuidad consciente, se la denominará, no obstante, como </w:t>
      </w:r>
      <w:r w:rsidRPr="00DC1A5F">
        <w:rPr>
          <w:i/>
          <w:iCs/>
        </w:rPr>
        <w:t>surgido a través de la no–abolición,</w:t>
      </w:r>
      <w:r w:rsidRPr="00DC1A5F">
        <w:t xml:space="preserve"> ya que no existirá causa que impida que surja si se dieran las condiciones adecuadas y combinadas. (</w:t>
      </w:r>
      <w:proofErr w:type="spellStart"/>
      <w:r w:rsidRPr="00DC1A5F">
        <w:t>viii</w:t>
      </w:r>
      <w:proofErr w:type="spellEnd"/>
      <w:r w:rsidRPr="00DC1A5F">
        <w:t xml:space="preserve">) No obstante, incluso cuando sean suprimidos por la serenidad o la sabiduría–revelativa, todavía se les denominará </w:t>
      </w:r>
      <w:r w:rsidRPr="00DC1A5F">
        <w:rPr>
          <w:i/>
          <w:iCs/>
        </w:rPr>
        <w:t>surgido a través de la no–abolición</w:t>
      </w:r>
      <w:r w:rsidRPr="00DC1A5F">
        <w:t xml:space="preserve"> ya que la necesidad de su surgimiento no habrá sido trascendida a menos que hayan sido truncadas mediante el sendero. Como el Venerable que había desarrollado las 8 absorciones y las impurezas que surgieron en él mientras viajaba por el aire, al escuchar el sonido de una mujer cantando con una voz dulce mientras recogía flores en un bosque de árboles.</w:t>
      </w:r>
    </w:p>
    <w:p w14:paraId="1689DB31" w14:textId="77777777" w:rsidR="00597DE2" w:rsidRPr="00DC1A5F" w:rsidRDefault="00597DE2" w:rsidP="00597DE2">
      <w:pPr>
        <w:spacing w:after="80"/>
      </w:pPr>
      <w:r w:rsidRPr="00DC1A5F">
        <w:t xml:space="preserve">90. </w:t>
      </w:r>
      <w:r w:rsidRPr="00DC1A5F">
        <w:tab/>
        <w:t>Y las 3 clases, es decir, (vi) lo surgido con la aprehensión de un objeto, (</w:t>
      </w:r>
      <w:proofErr w:type="spellStart"/>
      <w:r w:rsidRPr="00DC1A5F">
        <w:t>vii</w:t>
      </w:r>
      <w:proofErr w:type="spellEnd"/>
      <w:r w:rsidRPr="00DC1A5F">
        <w:t>) lo surgido mediante la no–supresión, y (</w:t>
      </w:r>
      <w:proofErr w:type="spellStart"/>
      <w:r w:rsidRPr="00DC1A5F">
        <w:t>vii</w:t>
      </w:r>
      <w:proofErr w:type="spellEnd"/>
      <w:r w:rsidRPr="00DC1A5F">
        <w:t>) lo surgido mediante la no–abolición, deberán entenderse incluidas en (</w:t>
      </w:r>
      <w:proofErr w:type="spellStart"/>
      <w:r w:rsidRPr="00DC1A5F">
        <w:t>iv</w:t>
      </w:r>
      <w:proofErr w:type="spellEnd"/>
      <w:r w:rsidRPr="00DC1A5F">
        <w:t>) lo surgido debido a la posesión del suelo [para su germinación].</w:t>
      </w:r>
    </w:p>
    <w:p w14:paraId="41AA927C" w14:textId="77777777" w:rsidR="00597DE2" w:rsidRPr="00DC1A5F" w:rsidRDefault="00597DE2" w:rsidP="00597DE2">
      <w:pPr>
        <w:spacing w:after="80"/>
      </w:pPr>
      <w:r w:rsidRPr="00DC1A5F">
        <w:t xml:space="preserve">91. </w:t>
      </w:r>
      <w:r w:rsidRPr="00DC1A5F">
        <w:tab/>
        <w:t>Por lo tanto, en lo que respecta a los tipos de “surgido” declarados, los 4 tipos de surgimientos, es decir, (i) como realmente ocurran, (</w:t>
      </w:r>
      <w:proofErr w:type="spellStart"/>
      <w:r w:rsidRPr="00DC1A5F">
        <w:t>ii</w:t>
      </w:r>
      <w:proofErr w:type="spellEnd"/>
      <w:r w:rsidRPr="00DC1A5F">
        <w:t>) como algo que haya surgido y desaparecido, (</w:t>
      </w:r>
      <w:proofErr w:type="spellStart"/>
      <w:r w:rsidRPr="00DC1A5F">
        <w:t>iii</w:t>
      </w:r>
      <w:proofErr w:type="spellEnd"/>
      <w:r w:rsidRPr="00DC1A5F">
        <w:t>) mediante una oportunidad manifiesta, y (v) como ocurrencia, no podrán ser abandonados por cualquiera de estos cuatro tipos de conocimiento ya que no podrán ser eliminados por los senderos. No obstante, los 4 tipos de “surgido”, es decir, (</w:t>
      </w:r>
      <w:proofErr w:type="spellStart"/>
      <w:r w:rsidRPr="00DC1A5F">
        <w:t>iv</w:t>
      </w:r>
      <w:proofErr w:type="spellEnd"/>
      <w:r w:rsidRPr="00DC1A5F">
        <w:t>) el debido a la posesión del suelo [para su germinación], (vi) debido a la aprehensión de un objeto, (</w:t>
      </w:r>
      <w:proofErr w:type="spellStart"/>
      <w:r w:rsidRPr="00DC1A5F">
        <w:t>vii</w:t>
      </w:r>
      <w:proofErr w:type="spellEnd"/>
      <w:r w:rsidRPr="00DC1A5F">
        <w:t>) debido a la no–supresión, y (</w:t>
      </w:r>
      <w:proofErr w:type="spellStart"/>
      <w:r w:rsidRPr="00DC1A5F">
        <w:t>viii</w:t>
      </w:r>
      <w:proofErr w:type="spellEnd"/>
      <w:r w:rsidRPr="00DC1A5F">
        <w:t>) a la no–abolición, podrán ser abandonados ya que un determinado conocimiento mundano o supramundano, cuando surja, anulará un determinado surgimiento entre estos modos de surgimiento.</w:t>
      </w:r>
    </w:p>
    <w:p w14:paraId="47C274EA" w14:textId="77777777" w:rsidR="00597DE2" w:rsidRPr="00DC1A5F" w:rsidRDefault="00597DE2" w:rsidP="00597DE2">
      <w:pPr>
        <w:pStyle w:val="NormalConSangria"/>
        <w:spacing w:after="80"/>
      </w:pPr>
      <w:r w:rsidRPr="00DC1A5F">
        <w:t xml:space="preserve">Así que aquí “los tipos de estados que hayan de ser abandonados, también el acto de su abandono” (§32). deberá conocerse de esta forma. </w:t>
      </w:r>
      <w:r w:rsidRPr="00DC1A5F">
        <w:br w:type="page"/>
      </w:r>
    </w:p>
    <w:p w14:paraId="0A0C14FF" w14:textId="77777777" w:rsidR="00597DE2" w:rsidRPr="00DC1A5F" w:rsidRDefault="00597DE2" w:rsidP="00597DE2">
      <w:pPr>
        <w:pStyle w:val="Ttulo3"/>
        <w:ind w:left="708"/>
      </w:pPr>
      <w:r w:rsidRPr="00DC1A5F">
        <w:lastRenderedPageBreak/>
        <w:t>[Las Cuatro Funciones]</w:t>
      </w:r>
    </w:p>
    <w:p w14:paraId="0C8E21E7" w14:textId="77777777" w:rsidR="00597DE2" w:rsidRPr="00DC1A5F" w:rsidRDefault="00597DE2" w:rsidP="00597DE2">
      <w:pPr>
        <w:pStyle w:val="VersoIngls01Sangria"/>
        <w:ind w:left="0"/>
        <w:rPr>
          <w:sz w:val="14"/>
          <w:szCs w:val="18"/>
        </w:rPr>
      </w:pPr>
      <w:r w:rsidRPr="00DC1A5F">
        <w:t xml:space="preserve">92. </w:t>
      </w:r>
      <w:r w:rsidRPr="00DC1A5F">
        <w:tab/>
      </w:r>
      <w:r w:rsidRPr="00DC1A5F">
        <w:tab/>
      </w:r>
      <w:r w:rsidRPr="00DC1A5F">
        <w:tab/>
      </w:r>
      <w:r w:rsidRPr="00DC1A5F">
        <w:rPr>
          <w:sz w:val="14"/>
          <w:szCs w:val="18"/>
        </w:rPr>
        <w:t>(6) Las funciones del pleno entendimiento y lo restante,</w:t>
      </w:r>
    </w:p>
    <w:p w14:paraId="43B7554A" w14:textId="77777777" w:rsidR="00597DE2" w:rsidRPr="00DC1A5F" w:rsidRDefault="00597DE2" w:rsidP="00597DE2">
      <w:pPr>
        <w:pStyle w:val="VersoIngls01Sangria"/>
        <w:rPr>
          <w:sz w:val="14"/>
          <w:szCs w:val="18"/>
        </w:rPr>
      </w:pPr>
      <w:r w:rsidRPr="00DC1A5F">
        <w:rPr>
          <w:sz w:val="14"/>
          <w:szCs w:val="18"/>
        </w:rPr>
        <w:t>Tal como se establecen cuando se penetran en las verdades,</w:t>
      </w:r>
    </w:p>
    <w:p w14:paraId="6B4FBE77" w14:textId="77777777" w:rsidR="00597DE2" w:rsidRPr="00DC1A5F" w:rsidRDefault="00597DE2" w:rsidP="00597DE2">
      <w:pPr>
        <w:pStyle w:val="VersoIngls01Sangria"/>
        <w:rPr>
          <w:sz w:val="14"/>
          <w:szCs w:val="18"/>
        </w:rPr>
      </w:pPr>
      <w:r w:rsidRPr="00DC1A5F">
        <w:rPr>
          <w:sz w:val="14"/>
          <w:szCs w:val="18"/>
        </w:rPr>
        <w:t xml:space="preserve">(7) Cada una deberá ser reconocida </w:t>
      </w:r>
    </w:p>
    <w:p w14:paraId="6D4AB91D" w14:textId="77777777" w:rsidR="00597DE2" w:rsidRPr="00DC1A5F" w:rsidRDefault="00597DE2" w:rsidP="00597DE2">
      <w:pPr>
        <w:pStyle w:val="VersoIngls01Sangria"/>
        <w:rPr>
          <w:sz w:val="14"/>
          <w:szCs w:val="18"/>
        </w:rPr>
      </w:pPr>
      <w:r w:rsidRPr="00DC1A5F">
        <w:rPr>
          <w:sz w:val="14"/>
          <w:szCs w:val="18"/>
        </w:rPr>
        <w:t>Según su esencia individual. (§32)</w:t>
      </w:r>
    </w:p>
    <w:p w14:paraId="66AC7E4D" w14:textId="77777777" w:rsidR="00597DE2" w:rsidRPr="00DC1A5F" w:rsidRDefault="00597DE2" w:rsidP="00597DE2">
      <w:pPr>
        <w:pStyle w:val="Ttulo3"/>
        <w:ind w:left="708"/>
      </w:pPr>
      <w:r w:rsidRPr="00DC1A5F">
        <w:t>[Las Cuatro Funciones En Un Solo Momento]</w:t>
      </w:r>
    </w:p>
    <w:p w14:paraId="0276380D" w14:textId="77777777" w:rsidR="00597DE2" w:rsidRPr="00DC1A5F" w:rsidRDefault="00597DE2" w:rsidP="00597DE2">
      <w:pPr>
        <w:pStyle w:val="NormalConSangria"/>
        <w:spacing w:after="60"/>
      </w:pPr>
      <w:r w:rsidRPr="00DC1A5F">
        <w:rPr>
          <w:i/>
          <w:iCs/>
        </w:rPr>
        <w:t>6</w:t>
      </w:r>
      <w:r w:rsidRPr="00DC1A5F">
        <w:t xml:space="preserve">. Ahora bien, a la hora de consumar las verdades se dirá que cada uno de los 4 conocimientos [senderos] ejercerá 4 funciones en un solo momento. Estos corresponderán al pleno entendimiento, el abandono, la consumación y el desarrollo; y cada uno de ellos deberá ser reconocido según su esencia individual. [690] Porque esto se ha dicho por los Venerables: “Así como una lámpara realizaría las cuatro funciones simultáneamente en un solo momento —quemar la mecha, disipar la oscuridad, hacer aparecer la luz y consumir el aceite—, así también, el conocimiento del sendero consumará las 4 </w:t>
      </w:r>
      <w:r w:rsidRPr="00DC1A5F">
        <w:rPr>
          <w:color w:val="833C0B" w:themeColor="accent2" w:themeShade="80"/>
          <w:u w:color="000000"/>
        </w:rPr>
        <w:t>nobles</w:t>
      </w:r>
      <w:r w:rsidRPr="00DC1A5F">
        <w:t xml:space="preserve"> verdades simultáneamente en un solo momento: penetrará en el sufrimiento al hacerlo con pleno entendimiento, penetrará en el origen del sufrimiento al hacerlo a través del abandono, penetrará en el sendero al hacerlo mediante el desarrollo y penetrará en la cesación al hacerlo mediante la consumación” (ver </w:t>
      </w:r>
      <w:proofErr w:type="spellStart"/>
      <w:r w:rsidRPr="00DC1A5F">
        <w:t>Peṭ</w:t>
      </w:r>
      <w:proofErr w:type="spellEnd"/>
      <w:r w:rsidRPr="00DC1A5F">
        <w:t xml:space="preserve"> 134). ¿Qué significa esto? Al hacer de la cesación su objeto, consumará, observará y atravesará las 4 nobles verdades”.</w:t>
      </w:r>
    </w:p>
    <w:p w14:paraId="0C5109AA" w14:textId="77777777" w:rsidR="00597DE2" w:rsidRPr="00DC1A5F" w:rsidRDefault="00597DE2" w:rsidP="00597DE2">
      <w:pPr>
        <w:spacing w:after="60"/>
      </w:pPr>
      <w:r w:rsidRPr="00DC1A5F">
        <w:t xml:space="preserve">93. </w:t>
      </w:r>
      <w:r w:rsidRPr="00DC1A5F">
        <w:tab/>
        <w:t>Ya que esto se dice al respecto: “</w:t>
      </w:r>
      <w:proofErr w:type="spellStart"/>
      <w:r w:rsidRPr="00DC1A5F">
        <w:rPr>
          <w:i/>
        </w:rPr>
        <w:t>Bhikkhu</w:t>
      </w:r>
      <w:r w:rsidRPr="00DC1A5F">
        <w:t>s</w:t>
      </w:r>
      <w:proofErr w:type="spellEnd"/>
      <w:r w:rsidRPr="00DC1A5F">
        <w:t>, aquel que observe el sufrimiento observará también el origen del sufrimiento, observará también la cesación del sufrimiento, observará también el sendero que conduce a la cesación del sufrimiento” (S V 437), etc., y así deberá entenderse cada una de las tres nobles verdades con respecto a sus complementarias. Además, se dice al respecto: “El conocimiento de quien posea el sendero corresponderá al conocimiento del sufrimiento, al conocimiento del origen del sufrimiento, al conocimiento de la cesación del sufrimiento y al conocimiento del sendero que conduce hacia la cesación del sufrimiento</w:t>
      </w:r>
      <w:proofErr w:type="gramStart"/>
      <w:r w:rsidRPr="00DC1A5F">
        <w:t>. ”</w:t>
      </w:r>
      <w:proofErr w:type="gramEnd"/>
      <w:r w:rsidRPr="00DC1A5F">
        <w:t xml:space="preserve"> (</w:t>
      </w:r>
      <w:r w:rsidRPr="00DC1A5F">
        <w:rPr>
          <w:i/>
          <w:iCs/>
        </w:rPr>
        <w:t>Patis</w:t>
      </w:r>
      <w:r w:rsidRPr="00DC1A5F">
        <w:t xml:space="preserve"> I 119).</w:t>
      </w:r>
    </w:p>
    <w:p w14:paraId="1BEC886B" w14:textId="77777777" w:rsidR="00597DE2" w:rsidRPr="00DC1A5F" w:rsidRDefault="00597DE2" w:rsidP="00597DE2">
      <w:pPr>
        <w:spacing w:after="60"/>
      </w:pPr>
      <w:r w:rsidRPr="00DC1A5F">
        <w:t xml:space="preserve">94. </w:t>
      </w:r>
      <w:r w:rsidRPr="00DC1A5F">
        <w:tab/>
        <w:t>Así como una lámpara quemase una mecha, así mismo, el sendero del conocimiento comprenderá plenamente el sufrimiento; como la lámpara disiparía la oscuridad, así mismo, el conocimiento abandonará su origen; como la lámpara haría aparecer la luz, así mismo, el conocimiento, como visión correcta, desarrollará el sendero, es decir, los estados consistentes de un pensamiento correcto, etc., al actuar como consciencia, etc., para ellos; y así como la lámpara consumiría el aceite, así mismo, el conocimiento consumará la cesación, que pondrá fin a las impurezas. Así deberá entenderse la aplicación del símil.</w:t>
      </w:r>
    </w:p>
    <w:p w14:paraId="5C3A2A2E" w14:textId="77777777" w:rsidR="00597DE2" w:rsidRPr="00DC1A5F" w:rsidRDefault="00597DE2" w:rsidP="00597DE2">
      <w:pPr>
        <w:spacing w:after="60"/>
      </w:pPr>
      <w:r w:rsidRPr="00DC1A5F">
        <w:t xml:space="preserve">95. </w:t>
      </w:r>
      <w:r w:rsidRPr="00DC1A5F">
        <w:tab/>
        <w:t>Otro método: así como el Sol, cuando sale, realiza cuatro funciones simultáneamente con su surgimiento: iluminar los objetos visibles, disipar las tinieblas, hacer que se vea la luz y aliviar el frío; así también, el conocimiento del sendero... penetrará hasta la cesación al hacerlo por medio de la consumación. Y aquí también, así como el Sol iluminaría los objetos visibles, así también, el conocimiento del sendero comprenderá plenamente al sufrimiento; así como el Sol disiparía las tinieblas, así también, el conocimiento del sendero abandonará su originación; así como el Sol haría que se vea la luz, así también el conocimiento del sendero, como visión correcta, desarrollará los otros factores del sendero, actuando como su condición coetánea, etc.; así como el Sol aliviaría el frío, así también, el conocimiento del sendero consumará la cesación, que será el tranquilizante de las contaminaciones. Así deberá entenderse la aplicación del símil.</w:t>
      </w:r>
    </w:p>
    <w:p w14:paraId="3E7115F1" w14:textId="77777777" w:rsidR="00597DE2" w:rsidRPr="00DC1A5F" w:rsidRDefault="00597DE2" w:rsidP="00597DE2">
      <w:pPr>
        <w:spacing w:after="60"/>
      </w:pPr>
      <w:r w:rsidRPr="00DC1A5F">
        <w:t xml:space="preserve">96. </w:t>
      </w:r>
      <w:r w:rsidRPr="00DC1A5F">
        <w:tab/>
        <w:t>Otro método: como una balsa realiza cuatro funciones simultáneamente en un solo momento: partir de la orilla más cercana, dividir la corriente, llevar su carga, [691] y aproximarse</w:t>
      </w:r>
      <w:r w:rsidRPr="00DC1A5F">
        <w:br w:type="page"/>
      </w:r>
    </w:p>
    <w:p w14:paraId="13639E03" w14:textId="77777777" w:rsidR="00597DE2" w:rsidRPr="00DC1A5F" w:rsidRDefault="00597DE2" w:rsidP="00597DE2">
      <w:pPr>
        <w:pStyle w:val="Textoindependiente"/>
      </w:pPr>
      <w:r w:rsidRPr="00DC1A5F">
        <w:lastRenderedPageBreak/>
        <w:t>a otra orilla, así también, el conocimiento del sendero... penetrará hasta la cesación al hacerlo por medio de la consumación. Y aquí, así como la balsa abandonaría la orilla más cercana, así también, el conocimiento del sendero comprenderá completamente el sufrimiento; así como la balsa se abriría paso entre la corriente, así también, el conocimiento del sendero abandonará la originación; así como la balsa llevaría su carga, así también, el conocimiento del sendero desarrollará los otros factores del sendero actuando como su condición consciente, etc.; a medida que la balsa se aproxime a la otra orilla, así también, el conocimiento del sendero consumará la cesación, que corresponderá a la otra orilla. Así deberá entenderse la aplicación del símil.</w:t>
      </w:r>
    </w:p>
    <w:p w14:paraId="6FB19C4C" w14:textId="77777777" w:rsidR="00597DE2" w:rsidRPr="00DC1A5F" w:rsidRDefault="00597DE2" w:rsidP="00597DE2">
      <w:r w:rsidRPr="00DC1A5F">
        <w:t xml:space="preserve">97. </w:t>
      </w:r>
      <w:r w:rsidRPr="00DC1A5F">
        <w:tab/>
        <w:t>Así que, cuando su conocimiento se dé con las 4 funciones en un solo instante en el momento de penetrar las 4 nobles verdades, entonces las 4 verdades poseerán una sola penetración en el sentido de veracidad (realidad) de 16 maneras, tal como está dicho: “¿Cómo se dará una consumación única de las 4 nobles verdades en el sentido de veracidad? Se dará una consumación única de las 4 nobles verdades en el sentido de veracidad a través de 16 aspectos: el sufrimiento tiene el significado de oprimir, el significado de ser formado, el significado de quemar (tormento), el significado de cambio, como su significado de legitimidad; su origen tiene el significado de acumulación, significado de fuente, significado de esclavitud, significado de impedimento, como su significado de legitimidad; la cesación tiene el significado de escape, el significado de reclusión, el significado de no estar formado, el significado de la inmortalidad, como su significado de legitimidad; el sendero tiene el significado de un escape, el significado de causa, el significado de la visión, el significado del dominio, como su significado de legitimidad. Las 4 nobles verdades en estos 16 senderos se incluyen como una sola. Lo que se incluya como una es la unidad. La unidad será consumada por un único conocimiento. Así las 4 nobles verdades poseerán una sola consumación” (</w:t>
      </w:r>
      <w:proofErr w:type="spellStart"/>
      <w:r w:rsidRPr="00DC1A5F">
        <w:rPr>
          <w:i/>
          <w:iCs/>
        </w:rPr>
        <w:t>Paṭis</w:t>
      </w:r>
      <w:proofErr w:type="spellEnd"/>
      <w:r w:rsidRPr="00DC1A5F">
        <w:t xml:space="preserve"> II 107).</w:t>
      </w:r>
    </w:p>
    <w:p w14:paraId="0BC60D31" w14:textId="77777777" w:rsidR="00597DE2" w:rsidRPr="00DC1A5F" w:rsidRDefault="00597DE2" w:rsidP="00597DE2">
      <w:r w:rsidRPr="00DC1A5F">
        <w:t xml:space="preserve">98. </w:t>
      </w:r>
      <w:r w:rsidRPr="00DC1A5F">
        <w:tab/>
        <w:t>Aquí se podría preguntar: “Ya que existen otros significados sobre el sufrimiento, etc., también, como ‘una enfermedad, un tumor’ (</w:t>
      </w:r>
      <w:proofErr w:type="spellStart"/>
      <w:r w:rsidRPr="00DC1A5F">
        <w:rPr>
          <w:i/>
          <w:iCs/>
        </w:rPr>
        <w:t>Paṭis</w:t>
      </w:r>
      <w:proofErr w:type="spellEnd"/>
      <w:r w:rsidRPr="00DC1A5F">
        <w:t xml:space="preserve"> II 238; M I 435), etc., ¿por qué entonces se mencionan solo 4 aspectos de cada una?” Responderemos que en este contexto será mejor por lo que se evidencie al observar las otras 3 verdades, en cada caso.</w:t>
      </w:r>
    </w:p>
    <w:p w14:paraId="47F4D4C3" w14:textId="77777777" w:rsidR="00597DE2" w:rsidRPr="00DC1A5F" w:rsidRDefault="00597DE2" w:rsidP="00597DE2">
      <w:pPr>
        <w:pStyle w:val="NormalConSangria"/>
      </w:pPr>
      <w:r w:rsidRPr="00DC1A5F">
        <w:t>En primer lugar, en el pasaje que comienza, “Al respecto, ¿qué significa el conocimiento del sufrimiento? Es el entendimiento, el acto de entender… que surgirá contingente al sufrimiento” (</w:t>
      </w:r>
      <w:proofErr w:type="spellStart"/>
      <w:r w:rsidRPr="00DC1A5F">
        <w:rPr>
          <w:i/>
          <w:iCs/>
        </w:rPr>
        <w:t>Paṭis</w:t>
      </w:r>
      <w:proofErr w:type="spellEnd"/>
      <w:r w:rsidRPr="00DC1A5F">
        <w:t xml:space="preserve"> I 119), el conocimiento de las verdades se presentará como poseedora de una sola verdad como su objeto, individualmente. No obstante, en el pasaje que comienza, “</w:t>
      </w:r>
      <w:proofErr w:type="spellStart"/>
      <w:r w:rsidRPr="00DC1A5F">
        <w:rPr>
          <w:i/>
        </w:rPr>
        <w:t>Bhikkhu</w:t>
      </w:r>
      <w:r w:rsidRPr="00DC1A5F">
        <w:t>s</w:t>
      </w:r>
      <w:proofErr w:type="spellEnd"/>
      <w:r w:rsidRPr="00DC1A5F">
        <w:t>, el que observe el sufrimiento también observará su origen” (S V 437), se presenta cumpliendo una función con respecto a las otras 3 verdades, simultáneamente, al hacer de una de ellas su objeto.</w:t>
      </w:r>
    </w:p>
    <w:p w14:paraId="16930D04" w14:textId="77777777" w:rsidR="00597DE2" w:rsidRPr="00DC1A5F" w:rsidRDefault="00597DE2" w:rsidP="00597DE2">
      <w:r w:rsidRPr="00DC1A5F">
        <w:t xml:space="preserve">99. </w:t>
      </w:r>
      <w:r w:rsidRPr="00DC1A5F">
        <w:tab/>
        <w:t xml:space="preserve">En cuanto a estos dos contextos, cuando, primero, el conocimiento haga de cada verdad su objeto singularmente, entonces, cuando el sufrimiento se haga objeto, el sufrimiento tendrá la característica de </w:t>
      </w:r>
      <w:r w:rsidRPr="00DC1A5F">
        <w:rPr>
          <w:i/>
          <w:iCs/>
        </w:rPr>
        <w:t>opresión</w:t>
      </w:r>
      <w:r w:rsidRPr="00DC1A5F">
        <w:t xml:space="preserve"> como su esencia individual, pero </w:t>
      </w:r>
      <w:r w:rsidRPr="00DC1A5F">
        <w:rPr>
          <w:i/>
          <w:iCs/>
        </w:rPr>
        <w:t>su sentido de ser formado</w:t>
      </w:r>
      <w:r w:rsidRPr="00DC1A5F">
        <w:t xml:space="preserve"> se hará evidente al observar el </w:t>
      </w:r>
      <w:r w:rsidRPr="00DC1A5F">
        <w:rPr>
          <w:i/>
          <w:iCs/>
        </w:rPr>
        <w:t>origen</w:t>
      </w:r>
      <w:r w:rsidRPr="00DC1A5F">
        <w:t xml:space="preserve">, porque ese sufrimiento será acumulado, formado, aglutinado, por el </w:t>
      </w:r>
      <w:r w:rsidRPr="00DC1A5F">
        <w:rPr>
          <w:i/>
          <w:iCs/>
        </w:rPr>
        <w:t>origen</w:t>
      </w:r>
      <w:r w:rsidRPr="00DC1A5F">
        <w:t xml:space="preserve">, que tendrá la característica de acumularse. Luego, el refrescante sendero eliminará el ardor de las contaminaciones, [692] y así la </w:t>
      </w:r>
      <w:r w:rsidRPr="00DC1A5F">
        <w:rPr>
          <w:i/>
          <w:iCs/>
        </w:rPr>
        <w:t>sensación de ardor</w:t>
      </w:r>
      <w:r w:rsidRPr="00DC1A5F">
        <w:t xml:space="preserve"> del sufrimiento se hará evidente al apreciar el </w:t>
      </w:r>
      <w:r w:rsidRPr="00DC1A5F">
        <w:rPr>
          <w:i/>
          <w:iCs/>
        </w:rPr>
        <w:t>sendero</w:t>
      </w:r>
      <w:r w:rsidRPr="00DC1A5F">
        <w:t>, como la fealdad de la belleza (</w:t>
      </w:r>
      <w:proofErr w:type="spellStart"/>
      <w:r w:rsidRPr="00DC1A5F">
        <w:t>Sundarī</w:t>
      </w:r>
      <w:proofErr w:type="spellEnd"/>
      <w:r w:rsidRPr="00DC1A5F">
        <w:t xml:space="preserve">) se produjo en el Venerable </w:t>
      </w:r>
      <w:proofErr w:type="spellStart"/>
      <w:r w:rsidRPr="00DC1A5F">
        <w:t>Nanda</w:t>
      </w:r>
      <w:proofErr w:type="spellEnd"/>
      <w:r w:rsidRPr="00DC1A5F">
        <w:t xml:space="preserve"> al ver a unas ninfas celestiales (ver </w:t>
      </w:r>
      <w:proofErr w:type="spellStart"/>
      <w:r w:rsidRPr="00DC1A5F">
        <w:t>Ud</w:t>
      </w:r>
      <w:proofErr w:type="spellEnd"/>
      <w:r w:rsidRPr="00DC1A5F">
        <w:t xml:space="preserve"> 23). No obstante, su </w:t>
      </w:r>
      <w:r w:rsidRPr="00DC1A5F">
        <w:rPr>
          <w:i/>
          <w:iCs/>
        </w:rPr>
        <w:t>sentido de cambio</w:t>
      </w:r>
      <w:r w:rsidRPr="00DC1A5F">
        <w:t xml:space="preserve"> se hará evidente al apreciar la cesación como algo que no se encuentra sujeto a los cambios, lo que no requerirá explicación.</w:t>
      </w:r>
    </w:p>
    <w:p w14:paraId="22671391" w14:textId="77777777" w:rsidR="00597DE2" w:rsidRPr="00DC1A5F" w:rsidRDefault="00597DE2" w:rsidP="00597DE2">
      <w:pPr>
        <w:tabs>
          <w:tab w:val="clear" w:pos="425"/>
        </w:tabs>
        <w:spacing w:after="160"/>
      </w:pPr>
      <w:r w:rsidRPr="00DC1A5F">
        <w:br w:type="page"/>
      </w:r>
    </w:p>
    <w:p w14:paraId="67667598" w14:textId="77777777" w:rsidR="00597DE2" w:rsidRPr="00DC1A5F" w:rsidRDefault="00597DE2" w:rsidP="00597DE2">
      <w:r w:rsidRPr="00DC1A5F">
        <w:lastRenderedPageBreak/>
        <w:t xml:space="preserve">100. </w:t>
      </w:r>
      <w:r w:rsidRPr="00DC1A5F">
        <w:tab/>
        <w:t xml:space="preserve">Asimismo, cuando el </w:t>
      </w:r>
      <w:r w:rsidRPr="00DC1A5F">
        <w:rPr>
          <w:i/>
          <w:iCs/>
        </w:rPr>
        <w:t>origen</w:t>
      </w:r>
      <w:r w:rsidRPr="00DC1A5F">
        <w:t xml:space="preserve"> se haga objeto, este </w:t>
      </w:r>
      <w:r w:rsidRPr="00DC1A5F">
        <w:rPr>
          <w:i/>
          <w:iCs/>
        </w:rPr>
        <w:t>origen</w:t>
      </w:r>
      <w:r w:rsidRPr="00DC1A5F">
        <w:t xml:space="preserve"> poseerá la característica de acumularse, como su esencia individual; pero su </w:t>
      </w:r>
      <w:r w:rsidRPr="00DC1A5F">
        <w:rPr>
          <w:i/>
          <w:iCs/>
        </w:rPr>
        <w:t>sentido de originación</w:t>
      </w:r>
      <w:r w:rsidRPr="00DC1A5F">
        <w:t xml:space="preserve"> se hará evidente al apreciar el </w:t>
      </w:r>
      <w:r w:rsidRPr="00DC1A5F">
        <w:rPr>
          <w:i/>
          <w:iCs/>
        </w:rPr>
        <w:t>sufrimiento</w:t>
      </w:r>
      <w:r w:rsidRPr="00DC1A5F">
        <w:t xml:space="preserve">, así como el hecho de que una comida inadecuada sería la fuente de una enfermedad, se hará evidente al apreciar cómo surge una enfermedad debida a tal comida. Su </w:t>
      </w:r>
      <w:r w:rsidRPr="00DC1A5F">
        <w:rPr>
          <w:i/>
          <w:iCs/>
        </w:rPr>
        <w:t>sentido de esclavitud</w:t>
      </w:r>
      <w:r w:rsidRPr="00DC1A5F">
        <w:t xml:space="preserve"> se hará evidente al apreciar la </w:t>
      </w:r>
      <w:r w:rsidRPr="00DC1A5F">
        <w:rPr>
          <w:i/>
          <w:iCs/>
        </w:rPr>
        <w:t>cesación</w:t>
      </w:r>
      <w:r w:rsidRPr="00DC1A5F">
        <w:t xml:space="preserve">, la cual no poseerá ataduras. Y su </w:t>
      </w:r>
      <w:r w:rsidRPr="00DC1A5F">
        <w:rPr>
          <w:i/>
          <w:iCs/>
        </w:rPr>
        <w:t>sentido de impedimento</w:t>
      </w:r>
      <w:r w:rsidRPr="00DC1A5F">
        <w:t xml:space="preserve"> se hará evidente al apreciar el </w:t>
      </w:r>
      <w:r w:rsidRPr="00DC1A5F">
        <w:rPr>
          <w:i/>
          <w:iCs/>
        </w:rPr>
        <w:t>sendero</w:t>
      </w:r>
      <w:r w:rsidRPr="00DC1A5F">
        <w:t>, que corresponderá al escape.</w:t>
      </w:r>
    </w:p>
    <w:p w14:paraId="60BA32D7" w14:textId="77777777" w:rsidR="00597DE2" w:rsidRPr="00DC1A5F" w:rsidRDefault="00597DE2" w:rsidP="00597DE2">
      <w:r w:rsidRPr="00DC1A5F">
        <w:t xml:space="preserve">101. </w:t>
      </w:r>
      <w:r w:rsidRPr="00DC1A5F">
        <w:tab/>
        <w:t xml:space="preserve">Asimismo, cuando la </w:t>
      </w:r>
      <w:r w:rsidRPr="00DC1A5F">
        <w:rPr>
          <w:i/>
          <w:iCs/>
        </w:rPr>
        <w:t>cesación</w:t>
      </w:r>
      <w:r w:rsidRPr="00DC1A5F">
        <w:t xml:space="preserve"> se haga objeto, la </w:t>
      </w:r>
      <w:r w:rsidRPr="00DC1A5F">
        <w:rPr>
          <w:i/>
          <w:iCs/>
        </w:rPr>
        <w:t>cesación</w:t>
      </w:r>
      <w:r w:rsidRPr="00DC1A5F">
        <w:t xml:space="preserve"> tendrá la característica de un </w:t>
      </w:r>
      <w:r w:rsidRPr="00DC1A5F">
        <w:rPr>
          <w:i/>
          <w:iCs/>
        </w:rPr>
        <w:t>escape</w:t>
      </w:r>
      <w:r w:rsidRPr="00DC1A5F">
        <w:t xml:space="preserve">. No obstante, su </w:t>
      </w:r>
      <w:r w:rsidRPr="00DC1A5F">
        <w:rPr>
          <w:i/>
          <w:iCs/>
        </w:rPr>
        <w:t>sentido de reclusión</w:t>
      </w:r>
      <w:r w:rsidRPr="00DC1A5F">
        <w:t xml:space="preserve"> se hará evidente al apreciar el </w:t>
      </w:r>
      <w:r w:rsidRPr="00DC1A5F">
        <w:rPr>
          <w:i/>
          <w:iCs/>
        </w:rPr>
        <w:t>origen</w:t>
      </w:r>
      <w:r w:rsidRPr="00DC1A5F">
        <w:t xml:space="preserve"> como algo no recluido. </w:t>
      </w:r>
      <w:r w:rsidRPr="00DC1A5F">
        <w:rPr>
          <w:i/>
          <w:iCs/>
        </w:rPr>
        <w:t>Su sentido de no estar formado</w:t>
      </w:r>
      <w:r w:rsidRPr="00DC1A5F">
        <w:t xml:space="preserve"> se hará evidente al apreciar el </w:t>
      </w:r>
      <w:r w:rsidRPr="00DC1A5F">
        <w:rPr>
          <w:i/>
          <w:iCs/>
        </w:rPr>
        <w:t>sendero</w:t>
      </w:r>
      <w:r w:rsidRPr="00DC1A5F">
        <w:t xml:space="preserve">; porque </w:t>
      </w:r>
      <w:proofErr w:type="gramStart"/>
      <w:r w:rsidRPr="00DC1A5F">
        <w:t>nunca antes</w:t>
      </w:r>
      <w:proofErr w:type="gramEnd"/>
      <w:r w:rsidRPr="00DC1A5F">
        <w:t xml:space="preserve"> se habría visto el </w:t>
      </w:r>
      <w:r w:rsidRPr="00DC1A5F">
        <w:rPr>
          <w:i/>
          <w:iCs/>
        </w:rPr>
        <w:t>sendero</w:t>
      </w:r>
      <w:r w:rsidRPr="00DC1A5F">
        <w:t xml:space="preserve"> del ciclo sin comienzo de renacimientos, y sin embargo incluso eso estará formado, ya que poseerá condiciones y, así, lo inmaterial de lo que no posea condiciones se volverá bastante claro. No obstante, su </w:t>
      </w:r>
      <w:r w:rsidRPr="00DC1A5F">
        <w:rPr>
          <w:i/>
          <w:iCs/>
        </w:rPr>
        <w:t>sentido de ser inmortal</w:t>
      </w:r>
      <w:r w:rsidRPr="00DC1A5F">
        <w:t xml:space="preserve"> se hará evidente al apreciar el </w:t>
      </w:r>
      <w:r w:rsidRPr="00DC1A5F">
        <w:rPr>
          <w:i/>
          <w:iCs/>
        </w:rPr>
        <w:t>sufrimiento</w:t>
      </w:r>
      <w:r w:rsidRPr="00DC1A5F">
        <w:t xml:space="preserve">; porque el </w:t>
      </w:r>
      <w:r w:rsidRPr="00DC1A5F">
        <w:rPr>
          <w:i/>
          <w:iCs/>
        </w:rPr>
        <w:t>sufrimiento</w:t>
      </w:r>
      <w:r w:rsidRPr="00DC1A5F">
        <w:t xml:space="preserve"> se referirá a un veneno y el </w:t>
      </w:r>
      <w:r w:rsidRPr="00DC1A5F">
        <w:rPr>
          <w:i/>
          <w:iCs/>
        </w:rPr>
        <w:t>Nibbāna</w:t>
      </w:r>
      <w:r w:rsidRPr="00DC1A5F">
        <w:t xml:space="preserve"> a lo inmortal.</w:t>
      </w:r>
    </w:p>
    <w:p w14:paraId="623D4E26" w14:textId="77777777" w:rsidR="00597DE2" w:rsidRPr="00DC1A5F" w:rsidRDefault="00597DE2" w:rsidP="00597DE2">
      <w:r w:rsidRPr="00DC1A5F">
        <w:t xml:space="preserve">102. </w:t>
      </w:r>
      <w:r w:rsidRPr="00DC1A5F">
        <w:tab/>
        <w:t xml:space="preserve">Asimismo, cuando el </w:t>
      </w:r>
      <w:r w:rsidRPr="00DC1A5F">
        <w:rPr>
          <w:i/>
          <w:iCs/>
        </w:rPr>
        <w:t>sendero</w:t>
      </w:r>
      <w:r w:rsidRPr="00DC1A5F">
        <w:t xml:space="preserve"> se convierta en su objeto, el sendero poseerá la característica de un </w:t>
      </w:r>
      <w:r w:rsidRPr="00DC1A5F">
        <w:rPr>
          <w:i/>
          <w:iCs/>
        </w:rPr>
        <w:t>escape</w:t>
      </w:r>
      <w:r w:rsidRPr="00DC1A5F">
        <w:t xml:space="preserve">. No obstante, su </w:t>
      </w:r>
      <w:r w:rsidRPr="00DC1A5F">
        <w:rPr>
          <w:i/>
          <w:iCs/>
        </w:rPr>
        <w:t>sentido de causa</w:t>
      </w:r>
      <w:r w:rsidRPr="00DC1A5F">
        <w:t xml:space="preserve"> se hará evidente al apreciar su </w:t>
      </w:r>
      <w:r w:rsidRPr="00DC1A5F">
        <w:rPr>
          <w:i/>
          <w:iCs/>
        </w:rPr>
        <w:t>originación</w:t>
      </w:r>
      <w:r w:rsidRPr="00DC1A5F">
        <w:t xml:space="preserve"> de esta manera: “Ésa no es la causa, sino y por el contrario, ésta corresponde a la causa para consumar el </w:t>
      </w:r>
      <w:r w:rsidRPr="00DC1A5F">
        <w:rPr>
          <w:i/>
          <w:iCs/>
        </w:rPr>
        <w:t>Nibbāna</w:t>
      </w:r>
      <w:r w:rsidRPr="00DC1A5F">
        <w:t xml:space="preserve">”. Su </w:t>
      </w:r>
      <w:r w:rsidRPr="00DC1A5F">
        <w:rPr>
          <w:i/>
          <w:iCs/>
        </w:rPr>
        <w:t>sentido de la visión</w:t>
      </w:r>
      <w:r w:rsidRPr="00DC1A5F">
        <w:t xml:space="preserve"> se hará evidente al observar, como la claridad del ojo se vuelve evidente para quien vea objetos visibles muy sutiles y piense: “¡Qué claro está mi ojo!” Su </w:t>
      </w:r>
      <w:r w:rsidRPr="00DC1A5F">
        <w:rPr>
          <w:i/>
          <w:iCs/>
        </w:rPr>
        <w:t>sentido de dominio</w:t>
      </w:r>
      <w:r w:rsidRPr="00DC1A5F">
        <w:t xml:space="preserve"> se hará evidente al apreciar el </w:t>
      </w:r>
      <w:r w:rsidRPr="00DC1A5F">
        <w:rPr>
          <w:i/>
          <w:iCs/>
        </w:rPr>
        <w:t>sufrimiento</w:t>
      </w:r>
      <w:r w:rsidRPr="00DC1A5F">
        <w:t>, así como la superioridad de las personas señoriales se haría evidente al observar a los miserables afligidos por muchas enfermedades.</w:t>
      </w:r>
    </w:p>
    <w:p w14:paraId="64EC0528" w14:textId="77777777" w:rsidR="00597DE2" w:rsidRPr="00DC1A5F" w:rsidRDefault="00597DE2" w:rsidP="00597DE2">
      <w:r w:rsidRPr="00DC1A5F">
        <w:t xml:space="preserve">103. </w:t>
      </w:r>
      <w:r w:rsidRPr="00DC1A5F">
        <w:tab/>
        <w:t>Entonces, en este primer contexto, se declararán 4 sentidos para cada verdad porque en el caso de cada verdad, individualmente, un sentido se hará evidente como la característica específica, mientras que los otros 3 se harán evidentes al apreciar las 3 verdades restantes.</w:t>
      </w:r>
    </w:p>
    <w:p w14:paraId="4D8ECB50" w14:textId="77777777" w:rsidR="00597DE2" w:rsidRPr="00DC1A5F" w:rsidRDefault="00597DE2" w:rsidP="00597DE2">
      <w:pPr>
        <w:pStyle w:val="NormalConSangria"/>
      </w:pPr>
      <w:r w:rsidRPr="00DC1A5F">
        <w:t xml:space="preserve">En el momento de la consumación del sendero, sin embargo, todos estos sentidos serán penetrados simultáneamente por un solo conocimiento que poseerá 4 funciones con respecto al </w:t>
      </w:r>
      <w:r w:rsidRPr="00DC1A5F">
        <w:rPr>
          <w:i/>
          <w:iCs/>
        </w:rPr>
        <w:t>sufrimiento</w:t>
      </w:r>
      <w:r w:rsidRPr="00DC1A5F">
        <w:t xml:space="preserve"> y los restantes. No obstante, con respecto a aquellos que quieran que las diferentes nobles verdades sean penetradas independientemente, se menciona mayor detalle en el </w:t>
      </w:r>
      <w:proofErr w:type="spellStart"/>
      <w:r w:rsidRPr="00DC1A5F">
        <w:rPr>
          <w:i/>
          <w:iCs/>
        </w:rPr>
        <w:t>Abhidhamma</w:t>
      </w:r>
      <w:proofErr w:type="spellEnd"/>
      <w:r w:rsidRPr="00DC1A5F">
        <w:t xml:space="preserve"> del </w:t>
      </w:r>
      <w:proofErr w:type="spellStart"/>
      <w:r w:rsidRPr="00DC1A5F">
        <w:rPr>
          <w:i/>
          <w:iCs/>
        </w:rPr>
        <w:t>Kathāvatthu</w:t>
      </w:r>
      <w:proofErr w:type="spellEnd"/>
      <w:r w:rsidRPr="00DC1A5F">
        <w:t xml:space="preserve"> (Kv 212–20).</w:t>
      </w:r>
    </w:p>
    <w:p w14:paraId="7A1A9899" w14:textId="77777777" w:rsidR="00597DE2" w:rsidRPr="00DC1A5F" w:rsidRDefault="00597DE2" w:rsidP="00597DE2">
      <w:pPr>
        <w:pStyle w:val="Ttulo3"/>
        <w:ind w:left="708"/>
      </w:pPr>
      <w:r w:rsidRPr="00DC1A5F">
        <w:t>[Las Cuatro Funciones Descritas Independientemente]</w:t>
      </w:r>
    </w:p>
    <w:p w14:paraId="695D0BEF" w14:textId="77777777" w:rsidR="00597DE2" w:rsidRPr="00DC1A5F" w:rsidRDefault="00597DE2" w:rsidP="00597DE2">
      <w:pPr>
        <w:pStyle w:val="Textoindependiente"/>
      </w:pPr>
      <w:r w:rsidRPr="00DC1A5F">
        <w:t xml:space="preserve">104. </w:t>
      </w:r>
      <w:r w:rsidRPr="00DC1A5F">
        <w:tab/>
      </w:r>
      <w:r w:rsidRPr="00DC1A5F">
        <w:rPr>
          <w:i/>
          <w:iCs/>
        </w:rPr>
        <w:t>7</w:t>
      </w:r>
      <w:r w:rsidRPr="00DC1A5F">
        <w:t>. Ahora bien, en cuanto a esas 4 funciones que comienzan con el pleno entendimiento, que se mencionaron anteriormente (§92):</w:t>
      </w:r>
    </w:p>
    <w:p w14:paraId="319FAE76" w14:textId="77777777" w:rsidR="00597DE2" w:rsidRPr="00DC1A5F" w:rsidRDefault="00597DE2" w:rsidP="00597DE2">
      <w:pPr>
        <w:pStyle w:val="VersoIngls01Sangria"/>
        <w:rPr>
          <w:sz w:val="16"/>
          <w:szCs w:val="20"/>
        </w:rPr>
      </w:pPr>
      <w:r w:rsidRPr="00DC1A5F">
        <w:rPr>
          <w:sz w:val="16"/>
          <w:szCs w:val="20"/>
        </w:rPr>
        <w:t>(a) El entendimiento pleno será triple;</w:t>
      </w:r>
    </w:p>
    <w:p w14:paraId="55F4A827" w14:textId="77777777" w:rsidR="00597DE2" w:rsidRPr="00DC1A5F" w:rsidRDefault="00597DE2" w:rsidP="00597DE2">
      <w:pPr>
        <w:pStyle w:val="VersoIngls01Sangria"/>
        <w:rPr>
          <w:sz w:val="16"/>
          <w:szCs w:val="20"/>
        </w:rPr>
      </w:pPr>
      <w:r w:rsidRPr="00DC1A5F">
        <w:rPr>
          <w:sz w:val="16"/>
          <w:szCs w:val="20"/>
        </w:rPr>
        <w:t xml:space="preserve">Así también (b) el abandono, y (c) la </w:t>
      </w:r>
      <w:r w:rsidRPr="00DC1A5F">
        <w:rPr>
          <w:color w:val="833C0B" w:themeColor="accent2" w:themeShade="80"/>
          <w:sz w:val="16"/>
          <w:szCs w:val="20"/>
          <w:u w:color="000000"/>
        </w:rPr>
        <w:t>consumación</w:t>
      </w:r>
      <w:r w:rsidRPr="00DC1A5F">
        <w:rPr>
          <w:sz w:val="16"/>
          <w:szCs w:val="20"/>
        </w:rPr>
        <w:t xml:space="preserve">, </w:t>
      </w:r>
    </w:p>
    <w:p w14:paraId="25E3BE5B" w14:textId="77777777" w:rsidR="00597DE2" w:rsidRPr="00DC1A5F" w:rsidRDefault="00597DE2" w:rsidP="00597DE2">
      <w:pPr>
        <w:pStyle w:val="VersoIngls01Sangria"/>
        <w:rPr>
          <w:sz w:val="16"/>
          <w:szCs w:val="20"/>
        </w:rPr>
      </w:pPr>
      <w:r w:rsidRPr="00DC1A5F">
        <w:rPr>
          <w:sz w:val="16"/>
          <w:szCs w:val="20"/>
        </w:rPr>
        <w:t xml:space="preserve">Y (d) se mencionan dos desarrollos— </w:t>
      </w:r>
    </w:p>
    <w:p w14:paraId="2D0A68E6" w14:textId="77777777" w:rsidR="00597DE2" w:rsidRPr="00DC1A5F" w:rsidRDefault="00597DE2" w:rsidP="00597DE2">
      <w:pPr>
        <w:pStyle w:val="VersoIngls01Sangria"/>
        <w:spacing w:after="100"/>
        <w:ind w:left="1418"/>
        <w:rPr>
          <w:sz w:val="16"/>
          <w:szCs w:val="20"/>
        </w:rPr>
      </w:pPr>
      <w:r w:rsidRPr="00DC1A5F">
        <w:rPr>
          <w:sz w:val="16"/>
          <w:szCs w:val="20"/>
        </w:rPr>
        <w:t>Así deberá conocerse esta exposición.</w:t>
      </w:r>
    </w:p>
    <w:p w14:paraId="0367101B" w14:textId="77777777" w:rsidR="00597DE2" w:rsidRPr="00DC1A5F" w:rsidRDefault="00597DE2" w:rsidP="00597DE2">
      <w:r w:rsidRPr="00DC1A5F">
        <w:t xml:space="preserve">105. </w:t>
      </w:r>
      <w:r w:rsidRPr="00DC1A5F">
        <w:tab/>
        <w:t xml:space="preserve">(a) </w:t>
      </w:r>
      <w:r w:rsidRPr="00DC1A5F">
        <w:rPr>
          <w:i/>
          <w:iCs/>
        </w:rPr>
        <w:t>El entendimiento total es triple</w:t>
      </w:r>
      <w:r w:rsidRPr="00DC1A5F">
        <w:t>, es decir, (i) el pleno entendimiento como lo conocido, (</w:t>
      </w:r>
      <w:proofErr w:type="spellStart"/>
      <w:r w:rsidRPr="00DC1A5F">
        <w:t>ii</w:t>
      </w:r>
      <w:proofErr w:type="spellEnd"/>
      <w:r w:rsidRPr="00DC1A5F">
        <w:t>) el pleno entendimiento como investigación (juzgamiento), y (</w:t>
      </w:r>
      <w:proofErr w:type="spellStart"/>
      <w:r w:rsidRPr="00DC1A5F">
        <w:t>iii</w:t>
      </w:r>
      <w:proofErr w:type="spellEnd"/>
      <w:r w:rsidRPr="00DC1A5F">
        <w:t>) el pleno entendimiento como abandono (ver XX.3).</w:t>
      </w:r>
    </w:p>
    <w:p w14:paraId="23E19967" w14:textId="77777777" w:rsidR="00597DE2" w:rsidRPr="00DC1A5F" w:rsidRDefault="00597DE2" w:rsidP="00597DE2">
      <w:r w:rsidRPr="00DC1A5F">
        <w:t xml:space="preserve">106. </w:t>
      </w:r>
      <w:r w:rsidRPr="00DC1A5F">
        <w:tab/>
        <w:t xml:space="preserve">(i) Aquí, </w:t>
      </w:r>
      <w:r w:rsidRPr="00DC1A5F">
        <w:rPr>
          <w:i/>
          <w:iCs/>
        </w:rPr>
        <w:t>el entendimiento total como lo conocido</w:t>
      </w:r>
      <w:r w:rsidRPr="00DC1A5F">
        <w:t xml:space="preserve"> [693] se resumirá así: “El entendimiento que corresponda al conocimiento directo corresponderá al conocimiento en el sentido de lo conocido” (</w:t>
      </w:r>
      <w:proofErr w:type="spellStart"/>
      <w:r w:rsidRPr="00DC1A5F">
        <w:rPr>
          <w:i/>
          <w:iCs/>
        </w:rPr>
        <w:t>Paṭis</w:t>
      </w:r>
      <w:proofErr w:type="spellEnd"/>
      <w:r w:rsidRPr="00DC1A5F">
        <w:t xml:space="preserve"> I 87). Se afirma brevemente así: “Todos los estados que se conozcan directamente</w:t>
      </w:r>
    </w:p>
    <w:p w14:paraId="20C6C3BC" w14:textId="77777777" w:rsidR="00597DE2" w:rsidRPr="00DC1A5F" w:rsidRDefault="00597DE2" w:rsidP="00597DE2">
      <w:pPr>
        <w:tabs>
          <w:tab w:val="clear" w:pos="425"/>
        </w:tabs>
        <w:spacing w:after="160"/>
      </w:pPr>
      <w:r w:rsidRPr="00DC1A5F">
        <w:br w:type="page"/>
      </w:r>
    </w:p>
    <w:p w14:paraId="044FC96F" w14:textId="77777777" w:rsidR="00597DE2" w:rsidRPr="00DC1A5F" w:rsidRDefault="00597DE2" w:rsidP="00597DE2"/>
    <w:p w14:paraId="03EF5B67" w14:textId="77777777" w:rsidR="00597DE2" w:rsidRPr="00DC1A5F" w:rsidRDefault="00597DE2" w:rsidP="00597DE2">
      <w:pPr>
        <w:pStyle w:val="Textoindependiente"/>
      </w:pPr>
      <w:r w:rsidRPr="00DC1A5F">
        <w:t>serán conocidos” (</w:t>
      </w:r>
      <w:proofErr w:type="spellStart"/>
      <w:r w:rsidRPr="00DC1A5F">
        <w:rPr>
          <w:i/>
          <w:iCs/>
        </w:rPr>
        <w:t>Paṭis</w:t>
      </w:r>
      <w:proofErr w:type="spellEnd"/>
      <w:r w:rsidRPr="00DC1A5F">
        <w:t xml:space="preserve"> I 87). Se expone en detalle al principio del pasaje: “</w:t>
      </w:r>
      <w:proofErr w:type="spellStart"/>
      <w:r w:rsidRPr="00DC1A5F">
        <w:rPr>
          <w:i/>
        </w:rPr>
        <w:t>Bhikkhu</w:t>
      </w:r>
      <w:r w:rsidRPr="00DC1A5F">
        <w:t>s</w:t>
      </w:r>
      <w:proofErr w:type="spellEnd"/>
      <w:r w:rsidRPr="00DC1A5F">
        <w:t>, todo debe ser conocido directamente. ¿Y qué es ese todo que debe ser conocido directamente? El ojo debe ser conocido directamente…” (</w:t>
      </w:r>
      <w:proofErr w:type="spellStart"/>
      <w:r w:rsidRPr="00DC1A5F">
        <w:rPr>
          <w:i/>
          <w:iCs/>
        </w:rPr>
        <w:t>Paṭis</w:t>
      </w:r>
      <w:proofErr w:type="spellEnd"/>
      <w:r w:rsidRPr="00DC1A5F">
        <w:t xml:space="preserve"> I 5). Su plano particular consumará el conocimiento directo de la mentalidad–materialidad con sus condiciones.</w:t>
      </w:r>
    </w:p>
    <w:p w14:paraId="10923B1D" w14:textId="77777777" w:rsidR="00597DE2" w:rsidRPr="00DC1A5F" w:rsidRDefault="00597DE2" w:rsidP="00597DE2">
      <w:r w:rsidRPr="00DC1A5F">
        <w:t xml:space="preserve">107. </w:t>
      </w:r>
      <w:r w:rsidRPr="00DC1A5F">
        <w:tab/>
        <w:t>(</w:t>
      </w:r>
      <w:proofErr w:type="spellStart"/>
      <w:r w:rsidRPr="00DC1A5F">
        <w:t>ii</w:t>
      </w:r>
      <w:proofErr w:type="spellEnd"/>
      <w:r w:rsidRPr="00DC1A5F">
        <w:t xml:space="preserve">) </w:t>
      </w:r>
      <w:proofErr w:type="gramStart"/>
      <w:r w:rsidRPr="00DC1A5F">
        <w:t xml:space="preserve">La </w:t>
      </w:r>
      <w:r w:rsidRPr="00DC1A5F">
        <w:rPr>
          <w:i/>
          <w:iCs/>
        </w:rPr>
        <w:t>entendimiento total</w:t>
      </w:r>
      <w:proofErr w:type="gramEnd"/>
      <w:r w:rsidRPr="00DC1A5F">
        <w:rPr>
          <w:i/>
          <w:iCs/>
        </w:rPr>
        <w:t xml:space="preserve"> como investigación</w:t>
      </w:r>
      <w:r w:rsidRPr="00DC1A5F">
        <w:t xml:space="preserve"> (</w:t>
      </w:r>
      <w:r w:rsidRPr="00DC1A5F">
        <w:rPr>
          <w:i/>
          <w:iCs/>
        </w:rPr>
        <w:t>juzgamiento</w:t>
      </w:r>
      <w:r w:rsidRPr="00DC1A5F">
        <w:t>) se resume así: “El entendimiento como pleno entendimiento corresponderá al conocimiento en el sentido de investigación (juicio)” (</w:t>
      </w:r>
      <w:proofErr w:type="spellStart"/>
      <w:r w:rsidRPr="00DC1A5F">
        <w:rPr>
          <w:i/>
          <w:iCs/>
        </w:rPr>
        <w:t>Paṭis</w:t>
      </w:r>
      <w:proofErr w:type="spellEnd"/>
      <w:r w:rsidRPr="00DC1A5F">
        <w:t xml:space="preserve"> I 87). Se afirma brevemente así: “Todos los estados que sean entendidos plenamente serán investigados (juzgados)” (</w:t>
      </w:r>
      <w:proofErr w:type="spellStart"/>
      <w:r w:rsidRPr="00DC1A5F">
        <w:rPr>
          <w:i/>
          <w:iCs/>
        </w:rPr>
        <w:t>Paṭis</w:t>
      </w:r>
      <w:proofErr w:type="spellEnd"/>
      <w:r w:rsidRPr="00DC1A5F">
        <w:t xml:space="preserve"> I 87). Esto se da en detalle al comienzo del pasaje: “</w:t>
      </w:r>
      <w:proofErr w:type="spellStart"/>
      <w:r w:rsidRPr="00DC1A5F">
        <w:rPr>
          <w:i/>
        </w:rPr>
        <w:t>Bhikkhu</w:t>
      </w:r>
      <w:r w:rsidRPr="00DC1A5F">
        <w:t>s</w:t>
      </w:r>
      <w:proofErr w:type="spellEnd"/>
      <w:r w:rsidRPr="00DC1A5F">
        <w:t>, todo debe entenderse plenamente. ¿Y qué es ese todo que ha de entenderse plenamente? El ojo debe ser entendido plenamente …” (</w:t>
      </w:r>
      <w:proofErr w:type="spellStart"/>
      <w:r w:rsidRPr="00DC1A5F">
        <w:rPr>
          <w:i/>
          <w:iCs/>
        </w:rPr>
        <w:t>Paṭis</w:t>
      </w:r>
      <w:proofErr w:type="spellEnd"/>
      <w:r w:rsidRPr="00DC1A5F">
        <w:t xml:space="preserve"> I 22) Su plano particular comienza con la comprensión mediante grupos y ocurrirá como investigación de la impermanencia, el sufrimiento y el no–alma, la cual se extenderá hasta llegar a la conformidad (cf. XX.4</w:t>
      </w:r>
      <w:proofErr w:type="gramStart"/>
      <w:r w:rsidRPr="00DC1A5F">
        <w:t>) .</w:t>
      </w:r>
      <w:proofErr w:type="gramEnd"/>
    </w:p>
    <w:p w14:paraId="54F27FF5" w14:textId="77777777" w:rsidR="00597DE2" w:rsidRPr="00DC1A5F" w:rsidRDefault="00597DE2" w:rsidP="00597DE2">
      <w:r w:rsidRPr="00DC1A5F">
        <w:t xml:space="preserve">108. </w:t>
      </w:r>
      <w:r w:rsidRPr="00DC1A5F">
        <w:tab/>
        <w:t>(</w:t>
      </w:r>
      <w:proofErr w:type="spellStart"/>
      <w:r w:rsidRPr="00DC1A5F">
        <w:t>iii</w:t>
      </w:r>
      <w:proofErr w:type="spellEnd"/>
      <w:r w:rsidRPr="00DC1A5F">
        <w:t>) El</w:t>
      </w:r>
      <w:r w:rsidRPr="00DC1A5F">
        <w:rPr>
          <w:i/>
          <w:iCs/>
        </w:rPr>
        <w:t xml:space="preserve"> entendimiento pleno como abandono</w:t>
      </w:r>
      <w:r w:rsidRPr="00DC1A5F">
        <w:t xml:space="preserve"> se resume así: “El entendimiento que corresponda al abandono se referirá al conocimiento en el sentido de renunciación” (</w:t>
      </w:r>
      <w:proofErr w:type="spellStart"/>
      <w:r w:rsidRPr="00DC1A5F">
        <w:rPr>
          <w:i/>
          <w:iCs/>
        </w:rPr>
        <w:t>Paṭis</w:t>
      </w:r>
      <w:proofErr w:type="spellEnd"/>
      <w:r w:rsidRPr="00DC1A5F">
        <w:t xml:space="preserve"> I 87). Se menciona en detalle así: “Cualquier estado que se abandone corresponderá a la renunciación” (</w:t>
      </w:r>
      <w:proofErr w:type="spellStart"/>
      <w:r w:rsidRPr="00DC1A5F">
        <w:t>Paṭis</w:t>
      </w:r>
      <w:proofErr w:type="spellEnd"/>
      <w:r w:rsidRPr="00DC1A5F">
        <w:t xml:space="preserve"> I 87). Esto ocurre en el comienzo del pasaje: “Mediante la contemplación de la impermanencia se abandonará la percepción de la permanencia…” (cf. </w:t>
      </w:r>
      <w:proofErr w:type="spellStart"/>
      <w:r w:rsidRPr="00DC1A5F">
        <w:rPr>
          <w:i/>
          <w:iCs/>
        </w:rPr>
        <w:t>Paṭis</w:t>
      </w:r>
      <w:proofErr w:type="spellEnd"/>
      <w:r w:rsidRPr="00DC1A5F">
        <w:t xml:space="preserve"> I 58). Su plano se extenderá desde la contemplación de la disolución hasta el conocimiento del sendero. Esto es lo que se pretende aquí.</w:t>
      </w:r>
    </w:p>
    <w:p w14:paraId="7623AB39" w14:textId="77777777" w:rsidR="00597DE2" w:rsidRPr="00DC1A5F" w:rsidRDefault="00597DE2" w:rsidP="00597DE2">
      <w:r w:rsidRPr="00DC1A5F">
        <w:t xml:space="preserve">109. </w:t>
      </w:r>
      <w:r w:rsidRPr="00DC1A5F">
        <w:tab/>
        <w:t>O alternativamente, el entendimiento total como lo conocido y entendido plenamente como investigación poseerá también a ese tercer tipo como su objetivo, y cualquier estado que un hombre abandone será ciertamente conocido e investigado, y así los 3 tipos de pleno entendimiento podrán entenderse de esta manera como la función del conocimiento del sendero.</w:t>
      </w:r>
    </w:p>
    <w:p w14:paraId="516CA603" w14:textId="77777777" w:rsidR="00597DE2" w:rsidRPr="00DC1A5F" w:rsidRDefault="00597DE2" w:rsidP="00597DE2">
      <w:r w:rsidRPr="00DC1A5F">
        <w:t xml:space="preserve">110. </w:t>
      </w:r>
      <w:r w:rsidRPr="00DC1A5F">
        <w:tab/>
        <w:t xml:space="preserve">(b) </w:t>
      </w:r>
      <w:r w:rsidRPr="00DC1A5F">
        <w:rPr>
          <w:i/>
          <w:iCs/>
        </w:rPr>
        <w:t>Así también el abandono</w:t>
      </w:r>
      <w:r w:rsidRPr="00DC1A5F">
        <w:t xml:space="preserve">: el </w:t>
      </w:r>
      <w:r w:rsidRPr="00DC1A5F">
        <w:rPr>
          <w:i/>
          <w:iCs/>
        </w:rPr>
        <w:t>abandono</w:t>
      </w:r>
      <w:r w:rsidRPr="00DC1A5F">
        <w:t xml:space="preserve"> también será triple, como entendimiento total, es decir, (i) abandono por supresión, (</w:t>
      </w:r>
      <w:proofErr w:type="spellStart"/>
      <w:r w:rsidRPr="00DC1A5F">
        <w:t>ii</w:t>
      </w:r>
      <w:proofErr w:type="spellEnd"/>
      <w:r w:rsidRPr="00DC1A5F">
        <w:t>) abandono por sustitución de sus opuestos, y (</w:t>
      </w:r>
      <w:proofErr w:type="spellStart"/>
      <w:r w:rsidRPr="00DC1A5F">
        <w:t>iii</w:t>
      </w:r>
      <w:proofErr w:type="spellEnd"/>
      <w:r w:rsidRPr="00DC1A5F">
        <w:t>) abandono mediante el truncamiento.</w:t>
      </w:r>
    </w:p>
    <w:p w14:paraId="5029A81E" w14:textId="77777777" w:rsidR="00597DE2" w:rsidRPr="00DC1A5F" w:rsidRDefault="00597DE2" w:rsidP="00597DE2">
      <w:r w:rsidRPr="00DC1A5F">
        <w:t xml:space="preserve">111. </w:t>
      </w:r>
      <w:r w:rsidRPr="00DC1A5F">
        <w:tab/>
        <w:t xml:space="preserve">(i) Aquí, cuando cualquiera de los tipos mundanos de concentración suprima estados opuestos tales como los obstáculos, ese acto de supresión, que será como presionar la hierba acuática colocando una vasija porosa sobre el agua llena de hierba, será llamado </w:t>
      </w:r>
      <w:r w:rsidRPr="00DC1A5F">
        <w:rPr>
          <w:i/>
          <w:iCs/>
        </w:rPr>
        <w:t>abandono por supresión</w:t>
      </w:r>
      <w:r w:rsidRPr="00DC1A5F">
        <w:t xml:space="preserve">. No obstante, la supresión de solo los obstáculos se da en el texto así: “Y habrá abandono de los obstáculos por supresión en aquel que desarrollo el primer </w:t>
      </w:r>
      <w:proofErr w:type="spellStart"/>
      <w:r w:rsidRPr="00DC1A5F">
        <w:rPr>
          <w:i/>
        </w:rPr>
        <w:t>jhāna</w:t>
      </w:r>
      <w:proofErr w:type="spellEnd"/>
      <w:r w:rsidRPr="00DC1A5F">
        <w:t>” (</w:t>
      </w:r>
      <w:proofErr w:type="spellStart"/>
      <w:r w:rsidRPr="00DC1A5F">
        <w:rPr>
          <w:i/>
          <w:iCs/>
        </w:rPr>
        <w:t>Paṭis</w:t>
      </w:r>
      <w:proofErr w:type="spellEnd"/>
      <w:r w:rsidRPr="00DC1A5F">
        <w:t xml:space="preserve"> I 27). Sin embargo, eso debe entenderse declarado así debido a la obviedad de la entonces supresión. Incluso antes y después del </w:t>
      </w:r>
      <w:proofErr w:type="spellStart"/>
      <w:r w:rsidRPr="00DC1A5F">
        <w:rPr>
          <w:i/>
        </w:rPr>
        <w:t>jhāna</w:t>
      </w:r>
      <w:proofErr w:type="spellEnd"/>
      <w:r w:rsidRPr="00DC1A5F">
        <w:t xml:space="preserve">, los obstáculos no invadirán la consciencia repentinamente; no obstante, la aplicación mental, etc., serán suprimidos sólo en el momento de la absorción real del segundo </w:t>
      </w:r>
      <w:proofErr w:type="spellStart"/>
      <w:r w:rsidRPr="00DC1A5F">
        <w:rPr>
          <w:i/>
        </w:rPr>
        <w:t>jhāna</w:t>
      </w:r>
      <w:proofErr w:type="spellEnd"/>
      <w:r w:rsidRPr="00DC1A5F">
        <w:t>, etc., y, entonces, la supresión de los obstáculos será obvia.</w:t>
      </w:r>
    </w:p>
    <w:p w14:paraId="6923575F" w14:textId="77777777" w:rsidR="00597DE2" w:rsidRPr="00DC1A5F" w:rsidRDefault="00597DE2" w:rsidP="00597DE2">
      <w:r w:rsidRPr="00DC1A5F">
        <w:t xml:space="preserve">112. </w:t>
      </w:r>
      <w:r w:rsidRPr="00DC1A5F">
        <w:tab/>
        <w:t>(</w:t>
      </w:r>
      <w:proofErr w:type="spellStart"/>
      <w:r w:rsidRPr="00DC1A5F">
        <w:t>ii</w:t>
      </w:r>
      <w:proofErr w:type="spellEnd"/>
      <w:r w:rsidRPr="00DC1A5F">
        <w:t xml:space="preserve">) Sin embargo, lo que se conoce como </w:t>
      </w:r>
      <w:r w:rsidRPr="00DC1A5F">
        <w:rPr>
          <w:i/>
          <w:iCs/>
        </w:rPr>
        <w:t>abandono por sustitución de sus opuestos</w:t>
      </w:r>
      <w:r w:rsidRPr="00DC1A5F">
        <w:t xml:space="preserve"> corresponderá al abandono de cualquier estado, dado que debería ser abandonado por medio de un factor particular del conocimiento, que como constituyente de la sabiduría–revelativa se le opondrá, como el abandono de la oscuridad de la noche por medio de la luz. [694] Éste es, de hecho, el abandono, en primer lugar, de la visión incorrecta identitaria a través de los medios de la delimitación de la mentalidad–materialidad; es, en segundo lugar, el abandono tanto de la visión </w:t>
      </w:r>
    </w:p>
    <w:p w14:paraId="0BDBB480" w14:textId="77777777" w:rsidR="00597DE2" w:rsidRPr="00DC1A5F" w:rsidRDefault="00597DE2" w:rsidP="00597DE2">
      <w:pPr>
        <w:tabs>
          <w:tab w:val="clear" w:pos="425"/>
        </w:tabs>
        <w:spacing w:after="160"/>
      </w:pPr>
      <w:r w:rsidRPr="00DC1A5F">
        <w:br w:type="page"/>
      </w:r>
    </w:p>
    <w:p w14:paraId="06A855F0" w14:textId="77777777" w:rsidR="00597DE2" w:rsidRPr="00DC1A5F" w:rsidRDefault="00597DE2" w:rsidP="00597DE2">
      <w:pPr>
        <w:pStyle w:val="Textoindependiente"/>
      </w:pPr>
      <w:r w:rsidRPr="00DC1A5F">
        <w:lastRenderedPageBreak/>
        <w:t>incorrecta de la incausalidad como de la visión incorrecta de la causalidad ficticia y también de la impureza de la duda a través del discernimiento de las condiciones; es el abandono de la aprehensión de un agregado como un “yo” y como un “mío” a través de los medios de la comprensión mediante grupos; es el abandono de la percepción del sendero de lo que no sea el sendero por medio de la definición de lo que sea el sendero y lo que no sea el sendero; es el abandono de la visión nihilista a través de los medios de observar el surgimiento; es el abandono de la visión eternalista por medio de la observación de la desaparición; es el abandono de la percepción del no–terror en donde haya terror, a través de la apariencia del terror; el abandono de la percepción del disfrute a través de los medios de observar el peligro; es el abandono de la percepción de la dicha a través de la contemplación del desapasionamiento (repulsión); es el abandono de la falta de deseo de la liberación a través de los medios del deseo de liberación; es el abandono de la no–reflexión por medio de la reflexión; es el abandono de no observar imparcialmente mediante de la ecuanimidad; es el abandono de la aprehensión contraria a la verdad por medio de la conformidad.</w:t>
      </w:r>
    </w:p>
    <w:p w14:paraId="02F59DF3" w14:textId="77777777" w:rsidR="00597DE2" w:rsidRPr="00DC1A5F" w:rsidRDefault="00597DE2" w:rsidP="00597DE2">
      <w:r w:rsidRPr="00DC1A5F">
        <w:t xml:space="preserve">113. </w:t>
      </w:r>
      <w:r w:rsidRPr="00DC1A5F">
        <w:tab/>
        <w:t xml:space="preserve">Y también en el caso de las 18 tipos principales de sabiduría–revelativa, el abandono por sustitución de sus opuestos será así: (1) el abandono de la percepción de permanencia, por medio de la contemplación de la impermanencia; (2) de la percepción de placer, por medio de la contemplación de la </w:t>
      </w:r>
      <w:r w:rsidRPr="00DC1A5F">
        <w:rPr>
          <w:i/>
          <w:iCs/>
        </w:rPr>
        <w:t>insatisfactoriedad</w:t>
      </w:r>
      <w:r w:rsidRPr="00DC1A5F">
        <w:t xml:space="preserve">; (3) de la percepción de alma, por medio de la contemplación del no–alma; (4) de la dicha, por medio de la contemplación del desapasionamiento (repulsión); (5) de la codicia, por medio de la contemplación del </w:t>
      </w:r>
      <w:r w:rsidRPr="00DC1A5F">
        <w:rPr>
          <w:i/>
          <w:iCs/>
        </w:rPr>
        <w:t>desvanecimiento</w:t>
      </w:r>
      <w:r w:rsidRPr="00DC1A5F">
        <w:t xml:space="preserve">; (6) de la originación, por medio de la contemplación de la cesación; (7) de la mezquindad, por medio de la contemplación de la renunciación; (8) de la percepción de compacidad, por medio de la contemplación de la destrucción; (9) de la acumulación, por medio de la contemplación de la desaparición; (10) de la percepción de perpetuidad, por medio de la contemplación del </w:t>
      </w:r>
      <w:r w:rsidRPr="00DC1A5F">
        <w:rPr>
          <w:i/>
          <w:iCs/>
        </w:rPr>
        <w:t>cambio</w:t>
      </w:r>
      <w:r w:rsidRPr="00DC1A5F">
        <w:t xml:space="preserve">; (11) del signo, por medio de la contemplación de lo sin signo; (12) del deseo, por medio de la contemplación del no–deseo; (13) de la interpretación incorrecta (insistencia), por medio de la contemplación del vacío; (14) de la interpretación incorrecta (insistir) debido al apego hacia un núcleo, a través de la sabiduría–revelativa de un estado de entendimiento superior; (15) de la interpretación incorrecta (insistencia) por medio de la confusión, por medio del conocimiento y la visión correctos; (16) de la interpretación incorrecta (insistencia) debido a la confianza en las formaciones, por medio de la contemplación del peligro en ellas; (17) de la no–reflexión, por medio de la contemplación reflexiva; (18) de la interpretación incorrecta (insistencia) por medio de la esclavitud, a través de la contemplación del distanciamiento (cf. </w:t>
      </w:r>
      <w:proofErr w:type="spellStart"/>
      <w:r w:rsidRPr="00DC1A5F">
        <w:rPr>
          <w:i/>
          <w:iCs/>
        </w:rPr>
        <w:t>Paṭis</w:t>
      </w:r>
      <w:proofErr w:type="spellEnd"/>
      <w:r w:rsidRPr="00DC1A5F">
        <w:t xml:space="preserve"> I 47).</w:t>
      </w:r>
    </w:p>
    <w:p w14:paraId="23B92AE0" w14:textId="77777777" w:rsidR="00597DE2" w:rsidRPr="00DC1A5F" w:rsidRDefault="00597DE2" w:rsidP="00597DE2">
      <w:r w:rsidRPr="00DC1A5F">
        <w:t xml:space="preserve">114. </w:t>
      </w:r>
      <w:r w:rsidRPr="00DC1A5F">
        <w:tab/>
        <w:t xml:space="preserve">Aquí, (1)–(7) la forma en que se produce el abandono de la percepción de permanencia, etc., a través de las 7 contemplaciones, comenzando con la de la impermanencia, ya ha sido explicada bajo la contemplación de la disolución </w:t>
      </w:r>
      <w:proofErr w:type="gramStart"/>
      <w:r w:rsidRPr="00DC1A5F">
        <w:t>( Cap.</w:t>
      </w:r>
      <w:proofErr w:type="gramEnd"/>
      <w:r w:rsidRPr="00DC1A5F">
        <w:t xml:space="preserve"> XXI.15f.).</w:t>
      </w:r>
    </w:p>
    <w:p w14:paraId="11AEA4AD" w14:textId="77777777" w:rsidR="00597DE2" w:rsidRPr="00DC1A5F" w:rsidRDefault="00597DE2" w:rsidP="00597DE2">
      <w:pPr>
        <w:pStyle w:val="NormalConSangria"/>
      </w:pPr>
      <w:r w:rsidRPr="00DC1A5F">
        <w:tab/>
        <w:t xml:space="preserve">(8) </w:t>
      </w:r>
      <w:r w:rsidRPr="00DC1A5F">
        <w:rPr>
          <w:i/>
          <w:iCs/>
        </w:rPr>
        <w:t>La contemplación de la destrucción,</w:t>
      </w:r>
      <w:r w:rsidRPr="00DC1A5F">
        <w:t xml:space="preserve"> sin embargo, corresponderá al conocimiento en quien efectúe la resolución de la compacidad y así observe la destrucción como “impermanente en el sentido de destrucción”. Por medio de ese conocimiento se llegará a abandonar la percepción de compacidad.</w:t>
      </w:r>
    </w:p>
    <w:p w14:paraId="73F04E65" w14:textId="77777777" w:rsidR="00597DE2" w:rsidRPr="00DC1A5F" w:rsidRDefault="00597DE2" w:rsidP="00597DE2">
      <w:pPr>
        <w:tabs>
          <w:tab w:val="clear" w:pos="425"/>
        </w:tabs>
        <w:spacing w:after="160"/>
      </w:pPr>
      <w:r w:rsidRPr="00DC1A5F">
        <w:br w:type="page"/>
      </w:r>
    </w:p>
    <w:p w14:paraId="64FC78D1" w14:textId="77777777" w:rsidR="00597DE2" w:rsidRPr="00DC1A5F" w:rsidRDefault="00597DE2" w:rsidP="00597DE2">
      <w:pPr>
        <w:pStyle w:val="Textoindependiente"/>
      </w:pPr>
      <w:r w:rsidRPr="00DC1A5F">
        <w:lastRenderedPageBreak/>
        <w:t xml:space="preserve">115. </w:t>
      </w:r>
      <w:r w:rsidRPr="00DC1A5F">
        <w:tab/>
        <w:t xml:space="preserve">(9) La contemplación </w:t>
      </w:r>
      <w:r w:rsidRPr="00DC1A5F">
        <w:rPr>
          <w:i/>
          <w:iCs/>
        </w:rPr>
        <w:t>de la</w:t>
      </w:r>
      <w:r w:rsidRPr="00DC1A5F">
        <w:t xml:space="preserve"> </w:t>
      </w:r>
      <w:r w:rsidRPr="00DC1A5F">
        <w:rPr>
          <w:i/>
          <w:iCs/>
          <w:u w:color="000000"/>
        </w:rPr>
        <w:t>desaparición</w:t>
      </w:r>
      <w:r w:rsidRPr="00DC1A5F">
        <w:rPr>
          <w:i/>
          <w:iCs/>
          <w:color w:val="833C0B" w:themeColor="accent2" w:themeShade="80"/>
        </w:rPr>
        <w:t xml:space="preserve"> </w:t>
      </w:r>
      <w:r w:rsidRPr="00DC1A5F">
        <w:t>se expresa así:</w:t>
      </w:r>
    </w:p>
    <w:p w14:paraId="44B3DB24" w14:textId="77777777" w:rsidR="00597DE2" w:rsidRPr="00DC1A5F" w:rsidRDefault="00597DE2" w:rsidP="00597DE2">
      <w:pPr>
        <w:pStyle w:val="VersoIngls01Sangria"/>
        <w:rPr>
          <w:sz w:val="16"/>
          <w:szCs w:val="20"/>
        </w:rPr>
      </w:pPr>
      <w:r w:rsidRPr="00DC1A5F">
        <w:rPr>
          <w:sz w:val="16"/>
          <w:szCs w:val="20"/>
        </w:rPr>
        <w:t>“Definiendo a ambos como equivalentes</w:t>
      </w:r>
    </w:p>
    <w:p w14:paraId="42EADF87" w14:textId="77777777" w:rsidR="00597DE2" w:rsidRPr="00DC1A5F" w:rsidRDefault="00597DE2" w:rsidP="00597DE2">
      <w:pPr>
        <w:pStyle w:val="VersoIngls01Sangria"/>
        <w:rPr>
          <w:sz w:val="16"/>
          <w:szCs w:val="20"/>
        </w:rPr>
      </w:pPr>
      <w:r w:rsidRPr="00DC1A5F">
        <w:rPr>
          <w:sz w:val="16"/>
          <w:szCs w:val="20"/>
        </w:rPr>
        <w:t>Por inferencia de ese mismo objeto.</w:t>
      </w:r>
    </w:p>
    <w:p w14:paraId="478E03A7" w14:textId="77777777" w:rsidR="00597DE2" w:rsidRPr="00DC1A5F" w:rsidRDefault="00597DE2" w:rsidP="00597DE2">
      <w:pPr>
        <w:pStyle w:val="VersoIngls01Sangria"/>
        <w:rPr>
          <w:sz w:val="16"/>
          <w:szCs w:val="20"/>
        </w:rPr>
      </w:pPr>
      <w:r w:rsidRPr="00DC1A5F">
        <w:rPr>
          <w:sz w:val="16"/>
          <w:szCs w:val="20"/>
        </w:rPr>
        <w:t>Intención sobre la cesación — estos</w:t>
      </w:r>
    </w:p>
    <w:p w14:paraId="2E2EEDB1" w14:textId="77777777" w:rsidR="00597DE2" w:rsidRPr="00DC1A5F" w:rsidRDefault="00597DE2" w:rsidP="00597DE2">
      <w:pPr>
        <w:pStyle w:val="VersoIngls01Sangria"/>
        <w:spacing w:after="100"/>
        <w:ind w:left="1418"/>
        <w:rPr>
          <w:sz w:val="16"/>
          <w:szCs w:val="20"/>
        </w:rPr>
      </w:pPr>
      <w:r w:rsidRPr="00DC1A5F">
        <w:rPr>
          <w:sz w:val="16"/>
          <w:szCs w:val="20"/>
        </w:rPr>
        <w:t xml:space="preserve">Corresponderán a la sabiduría–revelativa bajo el rasgo de la </w:t>
      </w:r>
      <w:r w:rsidRPr="00DC1A5F">
        <w:rPr>
          <w:i/>
          <w:iCs/>
          <w:sz w:val="16"/>
          <w:szCs w:val="20"/>
        </w:rPr>
        <w:t>desaparición</w:t>
      </w:r>
      <w:r w:rsidRPr="00DC1A5F">
        <w:rPr>
          <w:sz w:val="16"/>
          <w:szCs w:val="20"/>
        </w:rPr>
        <w:t>” (</w:t>
      </w:r>
      <w:proofErr w:type="spellStart"/>
      <w:r w:rsidRPr="00DC1A5F">
        <w:rPr>
          <w:i/>
          <w:iCs/>
          <w:sz w:val="16"/>
          <w:szCs w:val="20"/>
        </w:rPr>
        <w:t>Paṭis</w:t>
      </w:r>
      <w:proofErr w:type="spellEnd"/>
      <w:r w:rsidRPr="00DC1A5F">
        <w:rPr>
          <w:sz w:val="16"/>
          <w:szCs w:val="20"/>
        </w:rPr>
        <w:t xml:space="preserve"> I 58).</w:t>
      </w:r>
    </w:p>
    <w:p w14:paraId="596178D7" w14:textId="77777777" w:rsidR="00597DE2" w:rsidRPr="00DC1A5F" w:rsidRDefault="00597DE2" w:rsidP="00597DE2">
      <w:pPr>
        <w:pStyle w:val="NormalConSangria"/>
      </w:pPr>
      <w:r w:rsidRPr="00DC1A5F">
        <w:t xml:space="preserve">Ésta será la atención sobre la cesación, en otras palabras, sobre esa misma disolución, después de apreciar la disolución de las formaciones, tanto visibles como invisibles, mediante la experiencia personal y la inferencia, respectivamente. Por medio de esa contemplación llegará a manifestarse el abandono de la acumulación. Cuando un hombre observe con sabiduría–revelativa que “Las cosas por las cuales podría acumularse el </w:t>
      </w:r>
      <w:proofErr w:type="spellStart"/>
      <w:r w:rsidRPr="00DC1A5F">
        <w:rPr>
          <w:i/>
        </w:rPr>
        <w:t>kamma</w:t>
      </w:r>
      <w:proofErr w:type="spellEnd"/>
      <w:r w:rsidRPr="00DC1A5F">
        <w:t xml:space="preserve"> estarán sujetas [695] a la desaparición”, su consciencia ya no se inclinará a la acumulación.</w:t>
      </w:r>
    </w:p>
    <w:p w14:paraId="0B65AC45" w14:textId="77777777" w:rsidR="00597DE2" w:rsidRPr="00DC1A5F" w:rsidRDefault="00597DE2" w:rsidP="00597DE2">
      <w:r w:rsidRPr="00DC1A5F">
        <w:t xml:space="preserve">116. </w:t>
      </w:r>
      <w:r w:rsidRPr="00DC1A5F">
        <w:tab/>
        <w:t>(10) La contemplación del cambio corresponderá al acto de observar, de acuerdo con el séptuplo material, etc., cómo unas ocurrencias momentáneas de la continuidad que se dan de manera diferente a la divergencia gradual de cualquier definición; o corresponderá al acto de observar el cambio en los dos aspectos de la vejez y la muerte de lo que haya surgido. Por medio de esa contemplación se abandonará la percepción de perpetuidad.</w:t>
      </w:r>
    </w:p>
    <w:p w14:paraId="568E9693" w14:textId="77777777" w:rsidR="00597DE2" w:rsidRPr="00DC1A5F" w:rsidRDefault="00597DE2" w:rsidP="00597DE2">
      <w:r w:rsidRPr="00DC1A5F">
        <w:t xml:space="preserve">117. </w:t>
      </w:r>
      <w:r w:rsidRPr="00DC1A5F">
        <w:tab/>
        <w:t xml:space="preserve">(11) La </w:t>
      </w:r>
      <w:r w:rsidRPr="00DC1A5F">
        <w:rPr>
          <w:i/>
          <w:iCs/>
        </w:rPr>
        <w:t>contemplación de lo sin signo</w:t>
      </w:r>
      <w:r w:rsidRPr="00DC1A5F">
        <w:t xml:space="preserve"> corresponderá a lo mismo que la contemplación de la impermanencia. Por su medio se abandonará el signo de la permanencia.</w:t>
      </w:r>
    </w:p>
    <w:p w14:paraId="3733787E" w14:textId="77777777" w:rsidR="00597DE2" w:rsidRPr="00DC1A5F" w:rsidRDefault="00597DE2" w:rsidP="00597DE2">
      <w:r w:rsidRPr="00DC1A5F">
        <w:tab/>
        <w:t xml:space="preserve">(12) La </w:t>
      </w:r>
      <w:r w:rsidRPr="00DC1A5F">
        <w:rPr>
          <w:i/>
          <w:iCs/>
        </w:rPr>
        <w:t>contemplación del no–deseo</w:t>
      </w:r>
      <w:r w:rsidRPr="00DC1A5F">
        <w:t xml:space="preserve"> corresponderá a lo mismo que la contemplación de la insatisfactoriedad. Por sus medios, se abandonarán el deseo de placer y la esperanza del placer.</w:t>
      </w:r>
    </w:p>
    <w:p w14:paraId="4CA2539D" w14:textId="77777777" w:rsidR="00597DE2" w:rsidRPr="00DC1A5F" w:rsidRDefault="00597DE2" w:rsidP="00597DE2">
      <w:r w:rsidRPr="00DC1A5F">
        <w:tab/>
        <w:t xml:space="preserve">(13) La </w:t>
      </w:r>
      <w:r w:rsidRPr="00DC1A5F">
        <w:rPr>
          <w:i/>
          <w:iCs/>
        </w:rPr>
        <w:t>contemplación del vacío</w:t>
      </w:r>
      <w:r w:rsidRPr="00DC1A5F">
        <w:t xml:space="preserve"> corresponderá a lo mismo que la contemplación de lo no–alma. A través de sus medios, se abandonará la interpretación incorrecta (la insistencia) de que “existe un alma” (ver S IV 400).</w:t>
      </w:r>
    </w:p>
    <w:p w14:paraId="0A6E7FB6" w14:textId="77777777" w:rsidR="00597DE2" w:rsidRPr="00DC1A5F" w:rsidRDefault="00597DE2" w:rsidP="00597DE2">
      <w:r w:rsidRPr="00DC1A5F">
        <w:t xml:space="preserve">118. </w:t>
      </w:r>
      <w:r w:rsidRPr="00DC1A5F">
        <w:tab/>
        <w:t xml:space="preserve">(14) La </w:t>
      </w:r>
      <w:r w:rsidRPr="00DC1A5F">
        <w:rPr>
          <w:i/>
          <w:iCs/>
        </w:rPr>
        <w:t xml:space="preserve">sabiduría–revelativa </w:t>
      </w:r>
      <w:r w:rsidRPr="00DC1A5F">
        <w:t>de un estado de entendimiento superior se enunciará de la siguiente manera:</w:t>
      </w:r>
    </w:p>
    <w:p w14:paraId="4C261C25" w14:textId="77777777" w:rsidR="00597DE2" w:rsidRPr="00DC1A5F" w:rsidRDefault="00597DE2" w:rsidP="00597DE2">
      <w:pPr>
        <w:pStyle w:val="VersoIngls01Sangria"/>
        <w:rPr>
          <w:sz w:val="16"/>
          <w:szCs w:val="20"/>
        </w:rPr>
      </w:pPr>
      <w:r w:rsidRPr="00DC1A5F">
        <w:rPr>
          <w:sz w:val="16"/>
          <w:szCs w:val="20"/>
        </w:rPr>
        <w:t>“Habiendo reflexionado sobre el objeto,</w:t>
      </w:r>
    </w:p>
    <w:p w14:paraId="6D1285AA" w14:textId="77777777" w:rsidR="00597DE2" w:rsidRPr="00DC1A5F" w:rsidRDefault="00597DE2" w:rsidP="00597DE2">
      <w:pPr>
        <w:pStyle w:val="VersoIngls01Sangria"/>
        <w:rPr>
          <w:sz w:val="16"/>
          <w:szCs w:val="20"/>
        </w:rPr>
      </w:pPr>
      <w:r w:rsidRPr="00DC1A5F">
        <w:rPr>
          <w:sz w:val="16"/>
          <w:szCs w:val="20"/>
        </w:rPr>
        <w:t>Él contemplará la disolución,</w:t>
      </w:r>
    </w:p>
    <w:p w14:paraId="7A9EBCDF" w14:textId="77777777" w:rsidR="00597DE2" w:rsidRPr="00DC1A5F" w:rsidRDefault="00597DE2" w:rsidP="00597DE2">
      <w:pPr>
        <w:pStyle w:val="VersoIngls01Sangria"/>
        <w:rPr>
          <w:sz w:val="16"/>
          <w:szCs w:val="20"/>
        </w:rPr>
      </w:pPr>
      <w:r w:rsidRPr="00DC1A5F">
        <w:rPr>
          <w:sz w:val="16"/>
          <w:szCs w:val="20"/>
        </w:rPr>
        <w:t>Luego su apariencia como vacía — ésta</w:t>
      </w:r>
    </w:p>
    <w:p w14:paraId="36C0A96E" w14:textId="77777777" w:rsidR="00597DE2" w:rsidRPr="00DC1A5F" w:rsidRDefault="00597DE2" w:rsidP="00597DE2">
      <w:pPr>
        <w:pStyle w:val="VersoIngls01Sangria"/>
        <w:spacing w:after="100"/>
        <w:ind w:left="1418"/>
      </w:pPr>
      <w:r w:rsidRPr="00DC1A5F">
        <w:rPr>
          <w:sz w:val="16"/>
          <w:szCs w:val="20"/>
        </w:rPr>
        <w:t>Corresponderá a la sabiduría–revelativa de un entendimiento superior</w:t>
      </w:r>
      <w:r w:rsidRPr="00DC1A5F">
        <w:t>” (</w:t>
      </w:r>
      <w:proofErr w:type="spellStart"/>
      <w:r w:rsidRPr="00DC1A5F">
        <w:t>Paṭis</w:t>
      </w:r>
      <w:proofErr w:type="spellEnd"/>
      <w:r w:rsidRPr="00DC1A5F">
        <w:t xml:space="preserve"> I 58).</w:t>
      </w:r>
    </w:p>
    <w:p w14:paraId="1830A287" w14:textId="77777777" w:rsidR="00597DE2" w:rsidRPr="00DC1A5F" w:rsidRDefault="00597DE2" w:rsidP="00597DE2">
      <w:pPr>
        <w:pStyle w:val="NormalConSangria"/>
      </w:pPr>
      <w:r w:rsidRPr="00DC1A5F">
        <w:t>La sabiduría, así descrita, ocurrirá después de conocer la materialidad, etc., como objeto, al observar la disolución tanto de ese objeto como de la consciencia al respecto y a la aprehensión de la vacuidad a través de la disolución así: “Sólo las formaciones se destruyen. Esto corresponde a la muerte de las formaciones. No existe nada más al respecto”. Adoptando esa sabiduría como un entendimiento superior y otra sabiduría con respecto a los estados, se le denominará “sabiduría de los estados correspondientes a un entendimiento superior”. A través de sus medios se abandonará la interpretación incorrecta (la insistencia) debido al apego hacia un núcleo, ya que se habrá observado claramente que no existe ningún núcleo de permanencia ni ningún núcleo de ninguna alma.</w:t>
      </w:r>
    </w:p>
    <w:p w14:paraId="1CD7C60C" w14:textId="77777777" w:rsidR="00597DE2" w:rsidRPr="00DC1A5F" w:rsidRDefault="00597DE2" w:rsidP="00597DE2">
      <w:pPr>
        <w:pStyle w:val="Textoindependiente"/>
      </w:pPr>
      <w:r w:rsidRPr="00DC1A5F">
        <w:t xml:space="preserve">119. </w:t>
      </w:r>
      <w:r w:rsidRPr="00DC1A5F">
        <w:tab/>
        <w:t xml:space="preserve">(15) El </w:t>
      </w:r>
      <w:r w:rsidRPr="00DC1A5F">
        <w:rPr>
          <w:i/>
          <w:iCs/>
        </w:rPr>
        <w:t>conocimiento y la visión correctos</w:t>
      </w:r>
      <w:r w:rsidRPr="00DC1A5F">
        <w:t xml:space="preserve"> corresponderá al discernimiento de la mentalidad–materialidad con sus respectivas condiciones. Por su medio, la interpretación incorrecta (la insistiendo) debido a la confusión que se produce así, “¿Estuve yo en el pasado?” (M I 8), y así, “El mundo fue creado por un Señor Supremo”, serán abandonados.</w:t>
      </w:r>
    </w:p>
    <w:p w14:paraId="1CD58C42" w14:textId="77777777" w:rsidR="00597DE2" w:rsidRPr="00DC1A5F" w:rsidRDefault="00597DE2" w:rsidP="00597DE2">
      <w:pPr>
        <w:tabs>
          <w:tab w:val="clear" w:pos="425"/>
        </w:tabs>
        <w:spacing w:after="160"/>
      </w:pPr>
      <w:r w:rsidRPr="00DC1A5F">
        <w:br w:type="page"/>
      </w:r>
    </w:p>
    <w:p w14:paraId="477287E8" w14:textId="77777777" w:rsidR="00597DE2" w:rsidRPr="00DC1A5F" w:rsidRDefault="00597DE2" w:rsidP="00597DE2">
      <w:r w:rsidRPr="00DC1A5F">
        <w:lastRenderedPageBreak/>
        <w:t xml:space="preserve">120. </w:t>
      </w:r>
      <w:r w:rsidRPr="00DC1A5F">
        <w:tab/>
        <w:t xml:space="preserve">(16) La </w:t>
      </w:r>
      <w:r w:rsidRPr="00DC1A5F">
        <w:rPr>
          <w:i/>
          <w:iCs/>
        </w:rPr>
        <w:t>contemplación del peligro</w:t>
      </w:r>
      <w:r w:rsidRPr="00DC1A5F">
        <w:t xml:space="preserve"> corresponderá al conocimiento que observará el peligro en todo tipo de devenir, etc., el cual surgirá debido a la apariencia de terror al respecto. A través de sus medios, se abandonará la interpretación incorrecta (la insistencia) debida a la confiabilidad, ya que no se observará ninguna formación en la que se podrá confiar como refugio.</w:t>
      </w:r>
    </w:p>
    <w:p w14:paraId="0FD4B783" w14:textId="77777777" w:rsidR="00597DE2" w:rsidRPr="00DC1A5F" w:rsidRDefault="00597DE2" w:rsidP="00597DE2">
      <w:pPr>
        <w:pStyle w:val="NormalConSangria"/>
      </w:pPr>
      <w:r w:rsidRPr="00DC1A5F">
        <w:tab/>
        <w:t xml:space="preserve">(17) La </w:t>
      </w:r>
      <w:r w:rsidRPr="00DC1A5F">
        <w:rPr>
          <w:i/>
          <w:iCs/>
        </w:rPr>
        <w:t>contemplación de la reflexión</w:t>
      </w:r>
      <w:r w:rsidRPr="00DC1A5F">
        <w:t xml:space="preserve"> corresponderá a una reflexión que efectuará los medios hacia la liberación. Por su medio se abandonará la irreflexión.</w:t>
      </w:r>
    </w:p>
    <w:p w14:paraId="6E90C31A" w14:textId="77777777" w:rsidR="00597DE2" w:rsidRPr="00DC1A5F" w:rsidRDefault="00597DE2" w:rsidP="00597DE2">
      <w:r w:rsidRPr="00DC1A5F">
        <w:t xml:space="preserve">121. </w:t>
      </w:r>
      <w:r w:rsidRPr="00DC1A5F">
        <w:tab/>
        <w:t xml:space="preserve">(18) La </w:t>
      </w:r>
      <w:r w:rsidRPr="00DC1A5F">
        <w:rPr>
          <w:i/>
          <w:iCs/>
        </w:rPr>
        <w:t xml:space="preserve">contemplación del distanciamiento </w:t>
      </w:r>
      <w:r w:rsidRPr="00DC1A5F">
        <w:t xml:space="preserve">corresponderá a la ecuanimidad con respecto a las formaciones y a la conformidad. Porque en ese punto, se dice, que su mente se inhibirá, se retraerá y distanciará de todo el campo de las formaciones, como lo haría una gota de agua en una hoja de loto que se inclinase un poco. Es por eso </w:t>
      </w:r>
      <w:proofErr w:type="gramStart"/>
      <w:r w:rsidRPr="00DC1A5F">
        <w:t>que</w:t>
      </w:r>
      <w:proofErr w:type="gramEnd"/>
      <w:r w:rsidRPr="00DC1A5F">
        <w:t>, a través de sus medios, se abandonará la interpretación incorrecta (la insistencia) debida a la esclavitud. [696] El significado es: abandono de la ocurrencia de la corrupción consistente de la interpretación incorrecta de lo contaminado debido a la esclavitud de los deseos sensoriales, etc.</w:t>
      </w:r>
    </w:p>
    <w:p w14:paraId="4299A439" w14:textId="77777777" w:rsidR="00597DE2" w:rsidRPr="00DC1A5F" w:rsidRDefault="00597DE2" w:rsidP="00597DE2">
      <w:pPr>
        <w:pStyle w:val="NormalConSangria"/>
      </w:pPr>
      <w:r w:rsidRPr="00DC1A5F">
        <w:t xml:space="preserve">El abandono por sustitución de los opuestos deberá entenderse en detalle tal como se ha expuesto. No obstante, en los textos se dice brevemente lo siguiente: “El abandono de las visiones incorrectas mediante sustitución de los opuestos se producirá en quien desarrolle la concentración </w:t>
      </w:r>
      <w:r w:rsidRPr="00DC1A5F">
        <w:rPr>
          <w:color w:val="833C0B" w:themeColor="accent2" w:themeShade="80"/>
          <w:u w:color="000000"/>
        </w:rPr>
        <w:t>participando</w:t>
      </w:r>
      <w:r w:rsidRPr="00DC1A5F">
        <w:t xml:space="preserve"> de la penetración” (</w:t>
      </w:r>
      <w:proofErr w:type="spellStart"/>
      <w:r w:rsidRPr="00DC1A5F">
        <w:rPr>
          <w:i/>
          <w:iCs/>
        </w:rPr>
        <w:t>Paṭis</w:t>
      </w:r>
      <w:proofErr w:type="spellEnd"/>
      <w:r w:rsidRPr="00DC1A5F">
        <w:t xml:space="preserve"> I 27).</w:t>
      </w:r>
    </w:p>
    <w:p w14:paraId="1B3DE837" w14:textId="77777777" w:rsidR="00597DE2" w:rsidRPr="00DC1A5F" w:rsidRDefault="00597DE2" w:rsidP="00597DE2">
      <w:r w:rsidRPr="00DC1A5F">
        <w:t xml:space="preserve">122. </w:t>
      </w:r>
      <w:r w:rsidRPr="00DC1A5F">
        <w:tab/>
        <w:t>(</w:t>
      </w:r>
      <w:proofErr w:type="spellStart"/>
      <w:r w:rsidRPr="00DC1A5F">
        <w:t>iii</w:t>
      </w:r>
      <w:proofErr w:type="spellEnd"/>
      <w:r w:rsidRPr="00DC1A5F">
        <w:t xml:space="preserve">) Al abandono de los estados, comenzando con los grilletes, por medio del noble sendero del conocimiento de tal manera que éstos nunca volverán a ocurrir, como un árbol impactado por un rayo, se le denominará </w:t>
      </w:r>
      <w:r w:rsidRPr="00DC1A5F">
        <w:rPr>
          <w:i/>
          <w:iCs/>
        </w:rPr>
        <w:t>abandono mediante su erradicación</w:t>
      </w:r>
      <w:r w:rsidRPr="00DC1A5F">
        <w:t>. Con referencia a esto, se dice al respecto: “El abandono mediante la erradicación se producirá en quien desarrolle el sendero supramundano que conducirá hacia la destrucción de las corrupciones” (</w:t>
      </w:r>
      <w:proofErr w:type="spellStart"/>
      <w:r w:rsidRPr="00DC1A5F">
        <w:rPr>
          <w:i/>
          <w:iCs/>
        </w:rPr>
        <w:t>Paṭis</w:t>
      </w:r>
      <w:proofErr w:type="spellEnd"/>
      <w:r w:rsidRPr="00DC1A5F">
        <w:t xml:space="preserve"> I 27).</w:t>
      </w:r>
    </w:p>
    <w:p w14:paraId="310240BA" w14:textId="77777777" w:rsidR="00597DE2" w:rsidRPr="00DC1A5F" w:rsidRDefault="00597DE2" w:rsidP="00597DE2">
      <w:r w:rsidRPr="00DC1A5F">
        <w:t xml:space="preserve">123. </w:t>
      </w:r>
      <w:r w:rsidRPr="00DC1A5F">
        <w:tab/>
        <w:t>Entonces, de estos tres tipos de abandono, solo abandono mediante el truncamiento es lo que se pretende aquí. No obstante, dado que el abandono previo por supresión y sustitución por opuestos en ese meditador también tendrá ese tercer tipo como objetivo, los 3 tipos de abandono podrán entenderse de esta manera como una función del conocimiento del sendero. Ya que cuando un hombre haya obtenido un imperio matando a reyes enemigos, a lo que él haya cometido</w:t>
      </w:r>
      <w:r w:rsidRPr="00DC1A5F">
        <w:rPr>
          <w:vertAlign w:val="superscript"/>
        </w:rPr>
        <w:t>9</w:t>
      </w:r>
      <w:r w:rsidRPr="00DC1A5F">
        <w:t xml:space="preserve"> antes de ello también se le llamará “cometido por el rey”.</w:t>
      </w:r>
    </w:p>
    <w:p w14:paraId="3E79E2A2" w14:textId="77777777" w:rsidR="00597DE2" w:rsidRPr="00DC1A5F" w:rsidRDefault="00597DE2" w:rsidP="00597DE2">
      <w:r w:rsidRPr="00DC1A5F">
        <w:t xml:space="preserve">124. </w:t>
      </w:r>
      <w:r w:rsidRPr="00DC1A5F">
        <w:tab/>
        <w:t xml:space="preserve">(c) La </w:t>
      </w:r>
      <w:r w:rsidRPr="00DC1A5F">
        <w:rPr>
          <w:i/>
          <w:iCs/>
        </w:rPr>
        <w:t>consumación</w:t>
      </w:r>
      <w:r w:rsidRPr="00DC1A5F">
        <w:t xml:space="preserve"> se divide en 2: como (i) consumación mundana, y (</w:t>
      </w:r>
      <w:proofErr w:type="spellStart"/>
      <w:r w:rsidRPr="00DC1A5F">
        <w:t>ii</w:t>
      </w:r>
      <w:proofErr w:type="spellEnd"/>
      <w:r w:rsidRPr="00DC1A5F">
        <w:t>) consumación supramundana. También serán 3, con la subdivisión de lo supramundano en 2, como observación y desarrollo.</w:t>
      </w:r>
    </w:p>
    <w:p w14:paraId="64F82A21" w14:textId="77777777" w:rsidR="00597DE2" w:rsidRPr="00DC1A5F" w:rsidRDefault="00597DE2" w:rsidP="00597DE2">
      <w:r w:rsidRPr="00DC1A5F">
        <w:t xml:space="preserve">125. </w:t>
      </w:r>
      <w:r w:rsidRPr="00DC1A5F">
        <w:tab/>
        <w:t>(i) Aquí, al contacto (</w:t>
      </w:r>
      <w:proofErr w:type="spellStart"/>
      <w:r w:rsidRPr="00DC1A5F">
        <w:rPr>
          <w:i/>
          <w:iCs/>
        </w:rPr>
        <w:t>phassanā</w:t>
      </w:r>
      <w:proofErr w:type="spellEnd"/>
      <w:r w:rsidRPr="00DC1A5F">
        <w:t xml:space="preserve">) del primer </w:t>
      </w:r>
      <w:proofErr w:type="spellStart"/>
      <w:r w:rsidRPr="00DC1A5F">
        <w:rPr>
          <w:i/>
        </w:rPr>
        <w:t>jhāna</w:t>
      </w:r>
      <w:proofErr w:type="spellEnd"/>
      <w:r w:rsidRPr="00DC1A5F">
        <w:t xml:space="preserve">, etc., tal como se da en el pasaje que comienza con “Soy un </w:t>
      </w:r>
      <w:proofErr w:type="spellStart"/>
      <w:r w:rsidRPr="00DC1A5F">
        <w:t>obtenedor</w:t>
      </w:r>
      <w:proofErr w:type="spellEnd"/>
      <w:r w:rsidRPr="00DC1A5F">
        <w:t xml:space="preserve">, un maestro del primer </w:t>
      </w:r>
      <w:proofErr w:type="spellStart"/>
      <w:r w:rsidRPr="00DC1A5F">
        <w:rPr>
          <w:i/>
        </w:rPr>
        <w:t>jhāna</w:t>
      </w:r>
      <w:proofErr w:type="spellEnd"/>
      <w:r w:rsidRPr="00DC1A5F">
        <w:t xml:space="preserve">; el primer </w:t>
      </w:r>
      <w:proofErr w:type="spellStart"/>
      <w:r w:rsidRPr="00DC1A5F">
        <w:rPr>
          <w:i/>
        </w:rPr>
        <w:t>jhāna</w:t>
      </w:r>
      <w:proofErr w:type="spellEnd"/>
      <w:r w:rsidRPr="00DC1A5F">
        <w:t xml:space="preserve"> ha sido realizado por mí” (</w:t>
      </w:r>
      <w:proofErr w:type="spellStart"/>
      <w:r w:rsidRPr="00DC1A5F">
        <w:t>Vin</w:t>
      </w:r>
      <w:proofErr w:type="spellEnd"/>
      <w:r w:rsidRPr="00DC1A5F">
        <w:t xml:space="preserve"> III 93–94), se le denominará consumación mundana. El “contacto” (</w:t>
      </w:r>
      <w:proofErr w:type="spellStart"/>
      <w:r w:rsidRPr="00DC1A5F">
        <w:rPr>
          <w:i/>
          <w:iCs/>
        </w:rPr>
        <w:t>phassanā</w:t>
      </w:r>
      <w:proofErr w:type="spellEnd"/>
      <w:r w:rsidRPr="00DC1A5F">
        <w:t>) corresponderá a hacer contacto (</w:t>
      </w:r>
      <w:proofErr w:type="spellStart"/>
      <w:r w:rsidRPr="00DC1A5F">
        <w:rPr>
          <w:i/>
          <w:iCs/>
        </w:rPr>
        <w:t>phusanā</w:t>
      </w:r>
      <w:proofErr w:type="spellEnd"/>
      <w:r w:rsidRPr="00DC1A5F">
        <w:t>) mediante el contacto (</w:t>
      </w:r>
      <w:proofErr w:type="spellStart"/>
      <w:r w:rsidRPr="00DC1A5F">
        <w:rPr>
          <w:i/>
          <w:iCs/>
        </w:rPr>
        <w:t>phassa</w:t>
      </w:r>
      <w:proofErr w:type="spellEnd"/>
      <w:r w:rsidRPr="00DC1A5F">
        <w:t>) del conocimiento a través de la experiencia personal al consumarla, así, “Esto ha sido consumado por mí”.</w:t>
      </w:r>
      <w:r w:rsidRPr="00DC1A5F">
        <w:rPr>
          <w:vertAlign w:val="superscript"/>
        </w:rPr>
        <w:t>21</w:t>
      </w:r>
      <w:r w:rsidRPr="00DC1A5F">
        <w:t xml:space="preserve"> Con referencia a este significado, la consumación se resumirá así, “El entendimiento que corresponda a la consumación corresponderá al conocimiento en el sentido de contacto” (</w:t>
      </w:r>
      <w:proofErr w:type="spellStart"/>
      <w:r w:rsidRPr="00DC1A5F">
        <w:rPr>
          <w:i/>
          <w:iCs/>
        </w:rPr>
        <w:t>Paṭis</w:t>
      </w:r>
      <w:proofErr w:type="spellEnd"/>
      <w:r w:rsidRPr="00DC1A5F">
        <w:t xml:space="preserve"> I 87), después de</w:t>
      </w:r>
    </w:p>
    <w:p w14:paraId="1F75268E"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C54E502" w14:textId="77777777" w:rsidR="00597DE2" w:rsidRPr="00DC1A5F" w:rsidRDefault="00597DE2" w:rsidP="00597DE2">
      <w:pPr>
        <w:pStyle w:val="PiedepginaLegal"/>
        <w:numPr>
          <w:ilvl w:val="0"/>
          <w:numId w:val="11"/>
        </w:numPr>
        <w:tabs>
          <w:tab w:val="clear" w:pos="425"/>
          <w:tab w:val="left" w:pos="284"/>
        </w:tabs>
        <w:spacing w:after="160"/>
        <w:ind w:left="284" w:hanging="284"/>
      </w:pPr>
      <w:r w:rsidRPr="00DC1A5F">
        <w:t>“‘</w:t>
      </w:r>
      <w:r w:rsidRPr="00DC1A5F">
        <w:rPr>
          <w:i/>
          <w:iCs/>
        </w:rPr>
        <w:t>Con el contacto del conocimiento mediante la experiencia personal’</w:t>
      </w:r>
      <w:r w:rsidRPr="00DC1A5F">
        <w:t xml:space="preserve"> significa mediante la experiencia personal de aquello como objeto, que es como se le llama al ‘contacto del conocimiento’. Las palabras ‘Mediante la experiencia personal’ excluye adoptarlo como un objeto mediante la inferencia. Ya que lo que se pretende aquí, como ‘contacto del conocimiento’, es conocer mediante la experiencia personal a través de una examinación, ‘Esto es así’” (</w:t>
      </w:r>
      <w:proofErr w:type="spellStart"/>
      <w:r w:rsidRPr="00DC1A5F">
        <w:t>Vism</w:t>
      </w:r>
      <w:proofErr w:type="spellEnd"/>
      <w:r w:rsidRPr="00DC1A5F">
        <w:t>–</w:t>
      </w:r>
      <w:proofErr w:type="spellStart"/>
      <w:r w:rsidRPr="00DC1A5F">
        <w:t>mhṭ</w:t>
      </w:r>
      <w:proofErr w:type="spellEnd"/>
      <w:r w:rsidRPr="00DC1A5F">
        <w:t xml:space="preserve"> 888).</w:t>
      </w:r>
      <w:r w:rsidRPr="00DC1A5F">
        <w:br w:type="page"/>
      </w:r>
    </w:p>
    <w:p w14:paraId="0FE26C40" w14:textId="77777777" w:rsidR="00597DE2" w:rsidRPr="00DC1A5F" w:rsidRDefault="00597DE2" w:rsidP="00597DE2">
      <w:pPr>
        <w:pStyle w:val="Textoindependiente"/>
      </w:pPr>
      <w:r w:rsidRPr="00DC1A5F">
        <w:lastRenderedPageBreak/>
        <w:t>lo cual se describe así, “Todos los estados que se consumen harán contacto” (</w:t>
      </w:r>
      <w:proofErr w:type="spellStart"/>
      <w:r w:rsidRPr="00DC1A5F">
        <w:rPr>
          <w:i/>
          <w:iCs/>
        </w:rPr>
        <w:t>Paṭis</w:t>
      </w:r>
      <w:proofErr w:type="spellEnd"/>
      <w:r w:rsidRPr="00DC1A5F">
        <w:t xml:space="preserve"> I 87).</w:t>
      </w:r>
    </w:p>
    <w:p w14:paraId="7C5F83BA" w14:textId="77777777" w:rsidR="00597DE2" w:rsidRPr="00DC1A5F" w:rsidRDefault="00597DE2" w:rsidP="00597DE2">
      <w:r w:rsidRPr="00DC1A5F">
        <w:t xml:space="preserve">126. </w:t>
      </w:r>
      <w:r w:rsidRPr="00DC1A5F">
        <w:tab/>
        <w:t>También se consumarán aquellos estados que no se susciten en la propia continuidad y se conozcan mediante un conocimiento que dependa de otro; pues se dice al respecto, “</w:t>
      </w:r>
      <w:proofErr w:type="spellStart"/>
      <w:r w:rsidRPr="00DC1A5F">
        <w:rPr>
          <w:i/>
        </w:rPr>
        <w:t>Bhikkhu</w:t>
      </w:r>
      <w:r w:rsidRPr="00DC1A5F">
        <w:t>s</w:t>
      </w:r>
      <w:proofErr w:type="spellEnd"/>
      <w:r w:rsidRPr="00DC1A5F">
        <w:t>, todo debe ser consumado. ¿Y qué es ese todo que debe consumarse? El ojo debe ser consumado” (</w:t>
      </w:r>
      <w:proofErr w:type="spellStart"/>
      <w:r w:rsidRPr="00DC1A5F">
        <w:rPr>
          <w:i/>
          <w:iCs/>
        </w:rPr>
        <w:t>Paṭis</w:t>
      </w:r>
      <w:proofErr w:type="spellEnd"/>
      <w:r w:rsidRPr="00DC1A5F">
        <w:t xml:space="preserve"> I 35), etc. Y se dice además: “Quien observe la materialidad la consumará. Aquel que observe [697] la sensación... la percepción... las formaciones... la consciencia, las consumará. El que observe el ojo... (etc., véase </w:t>
      </w:r>
      <w:proofErr w:type="gramStart"/>
      <w:r w:rsidRPr="00DC1A5F">
        <w:t>XX.9)...</w:t>
      </w:r>
      <w:proofErr w:type="gramEnd"/>
      <w:r w:rsidRPr="00DC1A5F">
        <w:t xml:space="preserve"> el envejecimiento y la muerte los consumará. Aquel que observe el sufrimiento... (etc.).</w:t>
      </w:r>
      <w:r w:rsidRPr="00DC1A5F">
        <w:rPr>
          <w:vertAlign w:val="superscript"/>
        </w:rPr>
        <w:t>22</w:t>
      </w:r>
      <w:r w:rsidRPr="00DC1A5F">
        <w:t xml:space="preserve">. Aquel que observe el </w:t>
      </w:r>
      <w:r w:rsidRPr="00DC1A5F">
        <w:rPr>
          <w:i/>
          <w:iCs/>
        </w:rPr>
        <w:t>Nibbāna</w:t>
      </w:r>
      <w:r w:rsidRPr="00DC1A5F">
        <w:t>, que se funda en la inmortalidad en el sentido de fin, término, lo consumará. Cualquier estado que se consume se dará por medio del contacto” (</w:t>
      </w:r>
      <w:proofErr w:type="spellStart"/>
      <w:r w:rsidRPr="00DC1A5F">
        <w:rPr>
          <w:i/>
          <w:iCs/>
        </w:rPr>
        <w:t>Paṭis</w:t>
      </w:r>
      <w:proofErr w:type="spellEnd"/>
      <w:r w:rsidRPr="00DC1A5F">
        <w:t xml:space="preserve"> I 35).</w:t>
      </w:r>
    </w:p>
    <w:p w14:paraId="774D646A" w14:textId="77777777" w:rsidR="00597DE2" w:rsidRPr="00DC1A5F" w:rsidRDefault="00597DE2" w:rsidP="00597DE2">
      <w:r w:rsidRPr="00DC1A5F">
        <w:t>127.</w:t>
      </w:r>
      <w:r w:rsidRPr="00DC1A5F">
        <w:tab/>
        <w:t xml:space="preserve"> (</w:t>
      </w:r>
      <w:proofErr w:type="spellStart"/>
      <w:r w:rsidRPr="00DC1A5F">
        <w:t>ii</w:t>
      </w:r>
      <w:proofErr w:type="spellEnd"/>
      <w:r w:rsidRPr="00DC1A5F">
        <w:t xml:space="preserve">) La visión del </w:t>
      </w:r>
      <w:r w:rsidRPr="00DC1A5F">
        <w:rPr>
          <w:i/>
          <w:iCs/>
        </w:rPr>
        <w:t>Nibbāna</w:t>
      </w:r>
      <w:r w:rsidRPr="00DC1A5F">
        <w:t xml:space="preserve"> en el momento del primer sendero corresponderá a una consumación como observación. En los otros momentos del sendero se estará realizando como un </w:t>
      </w:r>
      <w:r w:rsidRPr="00DC1A5F">
        <w:rPr>
          <w:i/>
          <w:iCs/>
        </w:rPr>
        <w:t>desarrollo mundano</w:t>
      </w:r>
      <w:r w:rsidRPr="00DC1A5F">
        <w:t xml:space="preserve">. Y se pretende que sea aquí doble. Entonces, la consumación del </w:t>
      </w:r>
      <w:r w:rsidRPr="00DC1A5F">
        <w:rPr>
          <w:i/>
          <w:iCs/>
        </w:rPr>
        <w:t>Nibbāna</w:t>
      </w:r>
      <w:r w:rsidRPr="00DC1A5F">
        <w:t xml:space="preserve"> como observación y desarrollo deberá entenderse como una función de este conocimiento.</w:t>
      </w:r>
    </w:p>
    <w:p w14:paraId="6F121B6F" w14:textId="77777777" w:rsidR="00597DE2" w:rsidRPr="00DC1A5F" w:rsidRDefault="00597DE2" w:rsidP="00597DE2">
      <w:r w:rsidRPr="00DC1A5F">
        <w:t>128.</w:t>
      </w:r>
      <w:r w:rsidRPr="00DC1A5F">
        <w:tab/>
        <w:t xml:space="preserve"> (d) </w:t>
      </w:r>
      <w:r w:rsidRPr="00DC1A5F">
        <w:rPr>
          <w:i/>
          <w:iCs/>
        </w:rPr>
        <w:t>Y se reconocerán dos desarrollos</w:t>
      </w:r>
      <w:r w:rsidRPr="00DC1A5F">
        <w:t>: no obstante, el desarrollo también se considerará doble, es decir, como (i) desarrollo mundano y (</w:t>
      </w:r>
      <w:proofErr w:type="spellStart"/>
      <w:r w:rsidRPr="00DC1A5F">
        <w:t>ii</w:t>
      </w:r>
      <w:proofErr w:type="spellEnd"/>
      <w:r w:rsidRPr="00DC1A5F">
        <w:t>) como desarrollo supramundano.</w:t>
      </w:r>
    </w:p>
    <w:p w14:paraId="24B364F1" w14:textId="77777777" w:rsidR="00597DE2" w:rsidRPr="00DC1A5F" w:rsidRDefault="00597DE2" w:rsidP="00597DE2">
      <w:pPr>
        <w:pStyle w:val="NormalConSangria"/>
      </w:pPr>
      <w:r w:rsidRPr="00DC1A5F">
        <w:tab/>
        <w:t xml:space="preserve">(i) Aquí, el surgimiento de la virtud, la concentración y entendimiento mundanos, la influencia de la continuidad por medio de ellos, corresponderán al </w:t>
      </w:r>
      <w:r w:rsidRPr="00DC1A5F">
        <w:rPr>
          <w:i/>
          <w:iCs/>
        </w:rPr>
        <w:t>desarrollo mundano</w:t>
      </w:r>
      <w:r w:rsidRPr="00DC1A5F">
        <w:t>. Y (</w:t>
      </w:r>
      <w:proofErr w:type="spellStart"/>
      <w:r w:rsidRPr="00DC1A5F">
        <w:t>ii</w:t>
      </w:r>
      <w:proofErr w:type="spellEnd"/>
      <w:r w:rsidRPr="00DC1A5F">
        <w:t xml:space="preserve">) el surgimiento de la virtud, la concentración y el entendimiento supramundanos, la influencia de ellos en la continuidad, corresponderán a un </w:t>
      </w:r>
      <w:r w:rsidRPr="00DC1A5F">
        <w:rPr>
          <w:i/>
          <w:iCs/>
        </w:rPr>
        <w:t>desarrollo supramundano</w:t>
      </w:r>
      <w:r w:rsidRPr="00DC1A5F">
        <w:t>. De estos, lo supramundano es lo que se pretende aquí. Pues, este cuádruple conocimiento suscitará la virtud supramundana, etc., ya que éste corresponderá a su condición de consciencia e influirá en la continuidad por medio de ellos. Así que sólo el desarrollo supramundano corresponderá a una función de él. Por lo tanto éstas son:</w:t>
      </w:r>
    </w:p>
    <w:p w14:paraId="11342F85" w14:textId="77777777" w:rsidR="00597DE2" w:rsidRPr="00DC1A5F" w:rsidRDefault="00597DE2" w:rsidP="00597DE2">
      <w:pPr>
        <w:pStyle w:val="VersoIngls01Sangria"/>
        <w:rPr>
          <w:sz w:val="16"/>
          <w:szCs w:val="20"/>
        </w:rPr>
      </w:pPr>
      <w:r w:rsidRPr="00DC1A5F">
        <w:rPr>
          <w:sz w:val="16"/>
          <w:szCs w:val="20"/>
        </w:rPr>
        <w:t>Las funciones del pleno entendimiento y las restantes</w:t>
      </w:r>
    </w:p>
    <w:p w14:paraId="1A0FBD1D" w14:textId="77777777" w:rsidR="00597DE2" w:rsidRPr="00DC1A5F" w:rsidRDefault="00597DE2" w:rsidP="00597DE2">
      <w:pPr>
        <w:pStyle w:val="VersoIngls01Sangria"/>
        <w:rPr>
          <w:sz w:val="16"/>
          <w:szCs w:val="20"/>
        </w:rPr>
      </w:pPr>
      <w:r w:rsidRPr="00DC1A5F">
        <w:rPr>
          <w:sz w:val="16"/>
          <w:szCs w:val="20"/>
        </w:rPr>
        <w:t>Tal como se haya establecido al consumar las verdades,</w:t>
      </w:r>
    </w:p>
    <w:p w14:paraId="68D6B310" w14:textId="77777777" w:rsidR="00597DE2" w:rsidRPr="00DC1A5F" w:rsidRDefault="00597DE2" w:rsidP="00597DE2">
      <w:pPr>
        <w:pStyle w:val="VersoIngls01Sangria"/>
        <w:rPr>
          <w:sz w:val="16"/>
          <w:szCs w:val="20"/>
        </w:rPr>
      </w:pPr>
      <w:r w:rsidRPr="00DC1A5F">
        <w:rPr>
          <w:sz w:val="16"/>
          <w:szCs w:val="20"/>
        </w:rPr>
        <w:t xml:space="preserve">Cada una de las cuales deberá ser reconocida </w:t>
      </w:r>
    </w:p>
    <w:p w14:paraId="0FA04921" w14:textId="77777777" w:rsidR="00597DE2" w:rsidRPr="00DC1A5F" w:rsidRDefault="00597DE2" w:rsidP="00597DE2">
      <w:pPr>
        <w:pStyle w:val="VersoIngls01Sangria"/>
        <w:rPr>
          <w:sz w:val="16"/>
          <w:szCs w:val="20"/>
        </w:rPr>
      </w:pPr>
      <w:r w:rsidRPr="00DC1A5F">
        <w:rPr>
          <w:sz w:val="16"/>
          <w:szCs w:val="20"/>
        </w:rPr>
        <w:t>Según su esencia individual.</w:t>
      </w:r>
    </w:p>
    <w:p w14:paraId="13222213" w14:textId="77777777" w:rsidR="00597DE2" w:rsidRPr="00DC1A5F" w:rsidRDefault="00597DE2" w:rsidP="00597DE2">
      <w:pPr>
        <w:pStyle w:val="Ttulo3"/>
        <w:ind w:left="708"/>
      </w:pPr>
      <w:r w:rsidRPr="00DC1A5F">
        <w:t>[Conclusión]</w:t>
      </w:r>
    </w:p>
    <w:p w14:paraId="1F81F764" w14:textId="77777777" w:rsidR="00597DE2" w:rsidRPr="00DC1A5F" w:rsidRDefault="00597DE2" w:rsidP="00597DE2">
      <w:pPr>
        <w:pStyle w:val="Textoindependiente"/>
      </w:pPr>
      <w:r w:rsidRPr="00DC1A5F">
        <w:t xml:space="preserve">129. </w:t>
      </w:r>
      <w:r w:rsidRPr="00DC1A5F">
        <w:tab/>
        <w:t>Ahora, con referencia a la estrofa:</w:t>
      </w:r>
    </w:p>
    <w:p w14:paraId="57FC6B8D" w14:textId="77777777" w:rsidR="00597DE2" w:rsidRPr="00DC1A5F" w:rsidRDefault="00597DE2" w:rsidP="00597DE2">
      <w:pPr>
        <w:pStyle w:val="VersoIngls01Sangria"/>
        <w:rPr>
          <w:sz w:val="16"/>
          <w:szCs w:val="20"/>
        </w:rPr>
      </w:pPr>
      <w:r w:rsidRPr="00DC1A5F">
        <w:rPr>
          <w:sz w:val="16"/>
          <w:szCs w:val="20"/>
        </w:rPr>
        <w:t>“Cuando un hombre sabio, bien establecido en la virtud,</w:t>
      </w:r>
    </w:p>
    <w:p w14:paraId="09B6F138" w14:textId="77777777" w:rsidR="00597DE2" w:rsidRPr="00DC1A5F" w:rsidRDefault="00597DE2" w:rsidP="00597DE2">
      <w:pPr>
        <w:pStyle w:val="VersoIngls01Sangria"/>
        <w:spacing w:after="100"/>
        <w:ind w:left="1418"/>
        <w:rPr>
          <w:sz w:val="16"/>
          <w:szCs w:val="20"/>
        </w:rPr>
      </w:pPr>
      <w:r w:rsidRPr="00DC1A5F">
        <w:rPr>
          <w:sz w:val="16"/>
          <w:szCs w:val="20"/>
        </w:rPr>
        <w:t>Desarrolle consciencia y entendimiento” (I.1),</w:t>
      </w:r>
    </w:p>
    <w:p w14:paraId="4A50A186" w14:textId="77777777" w:rsidR="00597DE2" w:rsidRPr="00DC1A5F" w:rsidRDefault="00597DE2" w:rsidP="00597DE2">
      <w:pPr>
        <w:pStyle w:val="Textoindependiente"/>
      </w:pPr>
      <w:r w:rsidRPr="00DC1A5F">
        <w:t xml:space="preserve">la cual se mencionó “Después de que se haya perfeccionado dos purificaciones que corresponderán a las ‘raíces’, entonces él podrá desarrollar las 5 purificaciones las cuales corresponderán al ‘tronco’” (XIV.32). Y en este punto se concluye la exposición detallada del sistema para el </w:t>
      </w:r>
    </w:p>
    <w:p w14:paraId="125163A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768CC91" w14:textId="77777777" w:rsidR="00597DE2" w:rsidRPr="00DC1A5F" w:rsidRDefault="00597DE2" w:rsidP="00597DE2">
      <w:pPr>
        <w:pStyle w:val="PiedepginaLegal"/>
        <w:numPr>
          <w:ilvl w:val="0"/>
          <w:numId w:val="11"/>
        </w:numPr>
        <w:tabs>
          <w:tab w:val="clear" w:pos="425"/>
          <w:tab w:val="left" w:pos="284"/>
        </w:tabs>
        <w:ind w:left="284" w:hanging="284"/>
      </w:pPr>
      <w:r w:rsidRPr="00DC1A5F">
        <w:t xml:space="preserve">La primera elisión aquí — “El ojo... envejecimiento y muerte” — se explica en XX.9. La segunda elisión—“Aquel que observe el sufrimiento… Aquel que observe el </w:t>
      </w:r>
      <w:r w:rsidRPr="00DC1A5F">
        <w:rPr>
          <w:i/>
          <w:iCs/>
        </w:rPr>
        <w:t>Nibbāna</w:t>
      </w:r>
      <w:r w:rsidRPr="00DC1A5F">
        <w:t xml:space="preserve">, que se funda en lo inmortal en el sentido de fin…”—cubrirá todas las cosas enumeradas en el </w:t>
      </w:r>
      <w:proofErr w:type="spellStart"/>
      <w:r w:rsidRPr="00DC1A5F">
        <w:rPr>
          <w:i/>
          <w:iCs/>
        </w:rPr>
        <w:t>Paṭis</w:t>
      </w:r>
      <w:proofErr w:type="spellEnd"/>
      <w:r w:rsidRPr="00DC1A5F">
        <w:t xml:space="preserve"> I 8, línea 18 (N.B. el nuevo párrafo en el texto del </w:t>
      </w:r>
      <w:proofErr w:type="spellStart"/>
      <w:r w:rsidRPr="00DC1A5F">
        <w:rPr>
          <w:i/>
          <w:iCs/>
        </w:rPr>
        <w:t>Paṭis</w:t>
      </w:r>
      <w:proofErr w:type="spellEnd"/>
      <w:r w:rsidRPr="00DC1A5F">
        <w:t xml:space="preserve"> debe comenzar con las palabras “</w:t>
      </w:r>
      <w:proofErr w:type="spellStart"/>
      <w:r w:rsidRPr="00DC1A5F">
        <w:rPr>
          <w:i/>
        </w:rPr>
        <w:t>dukkhaṃ</w:t>
      </w:r>
      <w:proofErr w:type="spellEnd"/>
      <w:r w:rsidRPr="00DC1A5F">
        <w:rPr>
          <w:i/>
        </w:rPr>
        <w:t xml:space="preserve"> </w:t>
      </w:r>
      <w:proofErr w:type="spellStart"/>
      <w:r w:rsidRPr="00DC1A5F">
        <w:rPr>
          <w:i/>
          <w:iCs/>
        </w:rPr>
        <w:t>abhiññeyyaṃ</w:t>
      </w:r>
      <w:proofErr w:type="spellEnd"/>
      <w:r w:rsidRPr="00DC1A5F">
        <w:t xml:space="preserve">” hasta la página 22, línea 11, </w:t>
      </w:r>
      <w:proofErr w:type="spellStart"/>
      <w:r w:rsidRPr="00DC1A5F">
        <w:rPr>
          <w:i/>
          <w:iCs/>
        </w:rPr>
        <w:t>amatogadhaṃ</w:t>
      </w:r>
      <w:proofErr w:type="spellEnd"/>
      <w:r w:rsidRPr="00DC1A5F">
        <w:rPr>
          <w:i/>
          <w:iCs/>
        </w:rPr>
        <w:t xml:space="preserve"> </w:t>
      </w:r>
      <w:proofErr w:type="spellStart"/>
      <w:r w:rsidRPr="00DC1A5F">
        <w:rPr>
          <w:i/>
          <w:iCs/>
        </w:rPr>
        <w:t>nibbānaṃ</w:t>
      </w:r>
      <w:proofErr w:type="spellEnd"/>
      <w:r w:rsidRPr="00DC1A5F">
        <w:rPr>
          <w:i/>
          <w:iCs/>
        </w:rPr>
        <w:t xml:space="preserve"> </w:t>
      </w:r>
      <w:proofErr w:type="spellStart"/>
      <w:r w:rsidRPr="00DC1A5F">
        <w:rPr>
          <w:i/>
          <w:iCs/>
        </w:rPr>
        <w:t>pariyosānatthaṃ</w:t>
      </w:r>
      <w:proofErr w:type="spellEnd"/>
      <w:r w:rsidRPr="00DC1A5F">
        <w:rPr>
          <w:i/>
          <w:iCs/>
        </w:rPr>
        <w:t xml:space="preserve"> </w:t>
      </w:r>
      <w:proofErr w:type="spellStart"/>
      <w:r w:rsidRPr="00DC1A5F">
        <w:rPr>
          <w:i/>
          <w:iCs/>
        </w:rPr>
        <w:t>abhiññeyyaṃ</w:t>
      </w:r>
      <w:proofErr w:type="spellEnd"/>
      <w:r w:rsidRPr="00DC1A5F">
        <w:t>). En este caso, sin embargo (</w:t>
      </w:r>
      <w:proofErr w:type="spellStart"/>
      <w:r w:rsidRPr="00DC1A5F">
        <w:rPr>
          <w:i/>
          <w:iCs/>
        </w:rPr>
        <w:t>Paṭis</w:t>
      </w:r>
      <w:proofErr w:type="spellEnd"/>
      <w:r w:rsidRPr="00DC1A5F">
        <w:t xml:space="preserve"> I 35), </w:t>
      </w:r>
      <w:proofErr w:type="spellStart"/>
      <w:r w:rsidRPr="00DC1A5F">
        <w:rPr>
          <w:i/>
          <w:iCs/>
        </w:rPr>
        <w:t>sacchikātabba</w:t>
      </w:r>
      <w:proofErr w:type="spellEnd"/>
      <w:r w:rsidRPr="00DC1A5F">
        <w:t xml:space="preserve"> (“ser consumado”), etc., se sustituirá por </w:t>
      </w:r>
      <w:proofErr w:type="spellStart"/>
      <w:r w:rsidRPr="00DC1A5F">
        <w:rPr>
          <w:i/>
          <w:iCs/>
        </w:rPr>
        <w:t>abhiññeyya</w:t>
      </w:r>
      <w:proofErr w:type="spellEnd"/>
      <w:r w:rsidRPr="00DC1A5F">
        <w:t xml:space="preserve"> (“a ser conocido directamente”).</w:t>
      </w:r>
    </w:p>
    <w:p w14:paraId="6A7CBAC7" w14:textId="77777777" w:rsidR="00597DE2" w:rsidRPr="00DC1A5F" w:rsidRDefault="00597DE2" w:rsidP="00597DE2">
      <w:pPr>
        <w:pStyle w:val="NormalConSangria"/>
      </w:pPr>
      <w:r w:rsidRPr="00DC1A5F">
        <w:br w:type="page"/>
      </w:r>
    </w:p>
    <w:p w14:paraId="4E1657E8" w14:textId="77777777" w:rsidR="00597DE2" w:rsidRPr="00DC1A5F" w:rsidRDefault="00597DE2" w:rsidP="00597DE2"/>
    <w:p w14:paraId="4A374389" w14:textId="77777777" w:rsidR="00597DE2" w:rsidRPr="00DC1A5F" w:rsidRDefault="00597DE2" w:rsidP="00597DE2">
      <w:pPr>
        <w:pStyle w:val="Textoindependiente"/>
      </w:pPr>
      <w:r w:rsidRPr="00DC1A5F">
        <w:t>desarrollo del entendimiento de manera adecuada, tal como se ha legado. Así que la pregunta, “¿Cómo debe éste desarrollarse?” (XIV.32) ha sido ahora respondida.</w:t>
      </w:r>
    </w:p>
    <w:p w14:paraId="4526B9F5" w14:textId="77777777" w:rsidR="00597DE2" w:rsidRPr="00DC1A5F" w:rsidRDefault="00597DE2" w:rsidP="00597DE2">
      <w:pPr>
        <w:ind w:left="709" w:right="1043"/>
      </w:pPr>
      <w:r w:rsidRPr="00DC1A5F">
        <w:t xml:space="preserve">Éste ha sido el vigésimo segundo capítulo, bajo el título de “Descripción de la Purificación mediante el Conocimiento y la Visión” del </w:t>
      </w:r>
      <w:r w:rsidRPr="00DC1A5F">
        <w:br/>
        <w:t xml:space="preserve">tratado sobre el Desarrollo del Entendimiento del </w:t>
      </w:r>
      <w:r w:rsidRPr="00DC1A5F">
        <w:rPr>
          <w:i/>
          <w:iCs/>
        </w:rPr>
        <w:t xml:space="preserve">Sendero de la </w:t>
      </w:r>
      <w:r w:rsidRPr="00DC1A5F">
        <w:rPr>
          <w:i/>
          <w:iCs/>
        </w:rPr>
        <w:br/>
        <w:t>Purificación</w:t>
      </w:r>
      <w:r w:rsidRPr="00DC1A5F">
        <w:t xml:space="preserve"> compuesto para alegría de buenas personas.</w:t>
      </w:r>
    </w:p>
    <w:p w14:paraId="79B8C803" w14:textId="77777777" w:rsidR="00597DE2" w:rsidRPr="00DC1A5F" w:rsidRDefault="00597DE2" w:rsidP="00597DE2"/>
    <w:p w14:paraId="40DE1D64" w14:textId="77777777" w:rsidR="00597DE2" w:rsidRPr="00DC1A5F" w:rsidRDefault="00597DE2" w:rsidP="00597DE2">
      <w:pPr>
        <w:tabs>
          <w:tab w:val="clear" w:pos="425"/>
        </w:tabs>
        <w:spacing w:after="160"/>
      </w:pPr>
      <w:r w:rsidRPr="00DC1A5F">
        <w:br w:type="page"/>
      </w:r>
    </w:p>
    <w:p w14:paraId="241A5A60" w14:textId="77777777" w:rsidR="00597DE2" w:rsidRPr="00DC1A5F" w:rsidRDefault="00597DE2" w:rsidP="00597DE2">
      <w:pPr>
        <w:tabs>
          <w:tab w:val="clear" w:pos="425"/>
        </w:tabs>
        <w:spacing w:after="160"/>
      </w:pPr>
    </w:p>
    <w:p w14:paraId="2209CE92" w14:textId="77777777" w:rsidR="00597DE2" w:rsidRPr="00DC1A5F" w:rsidRDefault="00597DE2" w:rsidP="00597DE2">
      <w:pPr>
        <w:tabs>
          <w:tab w:val="clear" w:pos="425"/>
        </w:tabs>
        <w:spacing w:after="160"/>
      </w:pPr>
    </w:p>
    <w:p w14:paraId="6D468BA1" w14:textId="77777777" w:rsidR="00597DE2" w:rsidRPr="00DC1A5F" w:rsidRDefault="00597DE2" w:rsidP="00597DE2">
      <w:pPr>
        <w:pStyle w:val="Ttulo2"/>
        <w:jc w:val="center"/>
      </w:pPr>
      <w:bookmarkStart w:id="11" w:name="_Toc142334418"/>
      <w:r w:rsidRPr="00DC1A5F">
        <w:t>Capítulo XXIII</w:t>
      </w:r>
      <w:r w:rsidRPr="00DC1A5F">
        <w:br/>
        <w:t xml:space="preserve">Los Beneficios del </w:t>
      </w:r>
      <w:r w:rsidRPr="00DC1A5F">
        <w:br/>
        <w:t>Desarrollo de la Sabiduría</w:t>
      </w:r>
      <w:bookmarkEnd w:id="11"/>
    </w:p>
    <w:p w14:paraId="4667A276" w14:textId="77777777" w:rsidR="00597DE2" w:rsidRPr="00DC1A5F" w:rsidRDefault="00597DE2" w:rsidP="00597DE2"/>
    <w:p w14:paraId="10D07631" w14:textId="77777777" w:rsidR="00597DE2" w:rsidRPr="00DC1A5F" w:rsidRDefault="00597DE2" w:rsidP="00597DE2">
      <w:pPr>
        <w:pStyle w:val="Textoindependiente"/>
        <w:jc w:val="center"/>
        <w:rPr>
          <w:b/>
          <w:bCs/>
          <w:i/>
        </w:rPr>
      </w:pPr>
      <w:r w:rsidRPr="00DC1A5F">
        <w:rPr>
          <w:b/>
          <w:bCs/>
          <w:i/>
        </w:rPr>
        <w:t>(</w:t>
      </w:r>
      <w:proofErr w:type="spellStart"/>
      <w:r w:rsidRPr="00DC1A5F">
        <w:rPr>
          <w:b/>
          <w:bCs/>
          <w:i/>
        </w:rPr>
        <w:t>Pañābhāvanānisaṃsa</w:t>
      </w:r>
      <w:proofErr w:type="spellEnd"/>
      <w:r w:rsidRPr="00DC1A5F">
        <w:rPr>
          <w:b/>
          <w:bCs/>
          <w:i/>
        </w:rPr>
        <w:t>–</w:t>
      </w:r>
      <w:proofErr w:type="spellStart"/>
      <w:r w:rsidRPr="00DC1A5F">
        <w:rPr>
          <w:b/>
          <w:bCs/>
          <w:i/>
        </w:rPr>
        <w:t>niddesa</w:t>
      </w:r>
      <w:proofErr w:type="spellEnd"/>
      <w:r w:rsidRPr="00DC1A5F">
        <w:rPr>
          <w:b/>
          <w:bCs/>
          <w:i/>
        </w:rPr>
        <w:t>)</w:t>
      </w:r>
    </w:p>
    <w:p w14:paraId="2852E9CE" w14:textId="77777777" w:rsidR="00597DE2" w:rsidRPr="00DC1A5F" w:rsidRDefault="00597DE2" w:rsidP="00597DE2">
      <w:r w:rsidRPr="00DC1A5F">
        <w:t xml:space="preserve">1. </w:t>
      </w:r>
      <w:r w:rsidRPr="00DC1A5F">
        <w:tab/>
        <w:t xml:space="preserve">(vi) </w:t>
      </w:r>
      <w:r w:rsidRPr="00DC1A5F">
        <w:rPr>
          <w:rStyle w:val="Ttulo4Car"/>
        </w:rPr>
        <w:t>¿Cuáles son los beneficios del desarrollo del Entendimiento?</w:t>
      </w:r>
      <w:r w:rsidRPr="00DC1A5F">
        <w:t xml:space="preserve"> (Ver xiv.1) [698]</w:t>
      </w:r>
    </w:p>
    <w:p w14:paraId="0FE03990" w14:textId="77777777" w:rsidR="00597DE2" w:rsidRPr="00DC1A5F" w:rsidRDefault="00597DE2" w:rsidP="00597DE2">
      <w:pPr>
        <w:pStyle w:val="NormalConSangria"/>
      </w:pPr>
      <w:r w:rsidRPr="00DC1A5F">
        <w:t>A esta pregunta, que se hizo anteriormente, responderemos que este desarrollo del entendimiento posee muchos cientos de beneficios. No obstante, sería imposible explicar sus beneficios en detalle, pero aun así, se ha dedicado un tiempo para su tratamiento. Sin embargo, brevemente, sus beneficios deberán entenderse como los siguientes: (A) eliminación de diversas contaminaciones, (B) experiencia del sabor de la noble fruición, (C) capacidad para consumar la absorción de la cesación y (D) obtención de la dignidad de recibir presentes, etc.</w:t>
      </w:r>
    </w:p>
    <w:p w14:paraId="280D05DB" w14:textId="77777777" w:rsidR="00597DE2" w:rsidRPr="00DC1A5F" w:rsidRDefault="00597DE2" w:rsidP="00597DE2">
      <w:pPr>
        <w:pStyle w:val="Ttulo3"/>
        <w:ind w:left="708"/>
      </w:pPr>
      <w:r w:rsidRPr="00DC1A5F">
        <w:t>[A. Eliminación de las Impurezas]</w:t>
      </w:r>
    </w:p>
    <w:p w14:paraId="16A67369" w14:textId="77777777" w:rsidR="00597DE2" w:rsidRPr="00DC1A5F" w:rsidRDefault="00597DE2" w:rsidP="00597DE2">
      <w:pPr>
        <w:pStyle w:val="Textoindependiente"/>
      </w:pPr>
      <w:r w:rsidRPr="00DC1A5F">
        <w:t xml:space="preserve">2. </w:t>
      </w:r>
      <w:r w:rsidRPr="00DC1A5F">
        <w:tab/>
        <w:t>En este documento, deberá entenderse que uno de los beneficios del desarrollo mundano del entendimiento será la eliminación de diversas contaminaciones que comienzan con la visión incorrecta identitaria. Esto comenzará con la delimitación de la materialidad–mentalidad. Luego, uno de los beneficios del desarrollo supramundano del entendimiento corresponderá a la eliminación, en el momento de la consumación del sendero, de diversas contaminaciones que comienzan con los grilletes.</w:t>
      </w:r>
    </w:p>
    <w:p w14:paraId="0AA63640" w14:textId="77777777" w:rsidR="00597DE2" w:rsidRPr="00DC1A5F" w:rsidRDefault="00597DE2" w:rsidP="00597DE2">
      <w:pPr>
        <w:pStyle w:val="VersoIngls01Sangria"/>
        <w:rPr>
          <w:sz w:val="16"/>
          <w:szCs w:val="20"/>
        </w:rPr>
      </w:pPr>
      <w:r w:rsidRPr="00DC1A5F">
        <w:rPr>
          <w:sz w:val="16"/>
          <w:szCs w:val="20"/>
        </w:rPr>
        <w:t xml:space="preserve">Con un terrible impacto, el rayo </w:t>
      </w:r>
    </w:p>
    <w:p w14:paraId="257BE415" w14:textId="77777777" w:rsidR="00597DE2" w:rsidRPr="00DC1A5F" w:rsidRDefault="00597DE2" w:rsidP="00597DE2">
      <w:pPr>
        <w:pStyle w:val="VersoIngls01Sangria"/>
        <w:rPr>
          <w:sz w:val="16"/>
          <w:szCs w:val="20"/>
        </w:rPr>
      </w:pPr>
      <w:r w:rsidRPr="00DC1A5F">
        <w:rPr>
          <w:sz w:val="16"/>
          <w:szCs w:val="20"/>
        </w:rPr>
        <w:t>Destruye una roca.</w:t>
      </w:r>
    </w:p>
    <w:p w14:paraId="1CE9C143" w14:textId="77777777" w:rsidR="00597DE2" w:rsidRPr="00DC1A5F" w:rsidRDefault="00597DE2" w:rsidP="00597DE2">
      <w:pPr>
        <w:pStyle w:val="VersoIngls01Sangria"/>
        <w:rPr>
          <w:sz w:val="16"/>
          <w:szCs w:val="20"/>
        </w:rPr>
      </w:pPr>
      <w:r w:rsidRPr="00DC1A5F">
        <w:rPr>
          <w:sz w:val="16"/>
          <w:szCs w:val="20"/>
        </w:rPr>
        <w:t>El fuego, azotado por el viento conducente,</w:t>
      </w:r>
    </w:p>
    <w:p w14:paraId="4EA7F3B1" w14:textId="77777777" w:rsidR="00597DE2" w:rsidRPr="00DC1A5F" w:rsidRDefault="00597DE2" w:rsidP="00597DE2">
      <w:pPr>
        <w:pStyle w:val="VersoIngls01Sangria"/>
        <w:spacing w:after="100"/>
        <w:ind w:left="1418"/>
        <w:rPr>
          <w:sz w:val="16"/>
          <w:szCs w:val="20"/>
        </w:rPr>
      </w:pPr>
      <w:r w:rsidRPr="00DC1A5F">
        <w:rPr>
          <w:sz w:val="16"/>
          <w:szCs w:val="20"/>
        </w:rPr>
        <w:t>Destruye la madera.</w:t>
      </w:r>
    </w:p>
    <w:p w14:paraId="1C3CAAAA" w14:textId="77777777" w:rsidR="00597DE2" w:rsidRPr="00DC1A5F" w:rsidRDefault="00597DE2" w:rsidP="00597DE2">
      <w:pPr>
        <w:pStyle w:val="VersoIngls01Sangria"/>
        <w:rPr>
          <w:sz w:val="16"/>
          <w:szCs w:val="20"/>
        </w:rPr>
      </w:pPr>
      <w:r w:rsidRPr="00DC1A5F">
        <w:rPr>
          <w:sz w:val="16"/>
          <w:szCs w:val="20"/>
        </w:rPr>
        <w:t xml:space="preserve">El orbe radiante de la llama solar </w:t>
      </w:r>
    </w:p>
    <w:p w14:paraId="5E6BFBAC" w14:textId="77777777" w:rsidR="00597DE2" w:rsidRPr="00DC1A5F" w:rsidRDefault="00597DE2" w:rsidP="00597DE2">
      <w:pPr>
        <w:pStyle w:val="VersoIngls01Sangria"/>
        <w:rPr>
          <w:sz w:val="16"/>
          <w:szCs w:val="20"/>
        </w:rPr>
      </w:pPr>
      <w:r w:rsidRPr="00DC1A5F">
        <w:rPr>
          <w:sz w:val="16"/>
          <w:szCs w:val="20"/>
        </w:rPr>
        <w:t>Destruye la oscuridad.</w:t>
      </w:r>
    </w:p>
    <w:p w14:paraId="6FA2CCFF" w14:textId="77777777" w:rsidR="00597DE2" w:rsidRPr="00DC1A5F" w:rsidRDefault="00597DE2" w:rsidP="00597DE2">
      <w:pPr>
        <w:pStyle w:val="VersoIngls01Sangria"/>
        <w:rPr>
          <w:sz w:val="16"/>
          <w:szCs w:val="20"/>
        </w:rPr>
      </w:pPr>
      <w:r w:rsidRPr="00DC1A5F">
        <w:rPr>
          <w:sz w:val="16"/>
          <w:szCs w:val="20"/>
        </w:rPr>
        <w:t xml:space="preserve">El entendimiento desarrollado también </w:t>
      </w:r>
    </w:p>
    <w:p w14:paraId="539F58D5" w14:textId="77777777" w:rsidR="00597DE2" w:rsidRPr="00DC1A5F" w:rsidRDefault="00597DE2" w:rsidP="00597DE2">
      <w:pPr>
        <w:pStyle w:val="VersoIngls01Sangria"/>
        <w:spacing w:after="100"/>
        <w:ind w:left="1418"/>
        <w:rPr>
          <w:sz w:val="16"/>
          <w:szCs w:val="20"/>
        </w:rPr>
      </w:pPr>
      <w:r w:rsidRPr="00DC1A5F">
        <w:rPr>
          <w:sz w:val="16"/>
          <w:szCs w:val="20"/>
        </w:rPr>
        <w:t xml:space="preserve">Destruye los </w:t>
      </w:r>
      <w:r w:rsidRPr="00DC1A5F">
        <w:rPr>
          <w:color w:val="833C0B" w:themeColor="accent2" w:themeShade="80"/>
          <w:sz w:val="16"/>
          <w:szCs w:val="20"/>
          <w:u w:color="000000"/>
        </w:rPr>
        <w:t>patrones de comportamiento</w:t>
      </w:r>
      <w:r w:rsidRPr="00DC1A5F">
        <w:rPr>
          <w:sz w:val="16"/>
          <w:szCs w:val="20"/>
        </w:rPr>
        <w:t>.</w:t>
      </w:r>
    </w:p>
    <w:p w14:paraId="231FC982" w14:textId="77777777" w:rsidR="00597DE2" w:rsidRPr="00DC1A5F" w:rsidRDefault="00597DE2" w:rsidP="00597DE2">
      <w:pPr>
        <w:pStyle w:val="VersoIngls01Sangria"/>
        <w:rPr>
          <w:sz w:val="16"/>
          <w:szCs w:val="20"/>
        </w:rPr>
      </w:pPr>
      <w:r w:rsidRPr="00DC1A5F">
        <w:rPr>
          <w:sz w:val="16"/>
          <w:szCs w:val="20"/>
        </w:rPr>
        <w:t xml:space="preserve">La disipación del crecimiento de contaminaciones mentales, </w:t>
      </w:r>
    </w:p>
    <w:p w14:paraId="158249CF" w14:textId="77777777" w:rsidR="00597DE2" w:rsidRPr="00DC1A5F" w:rsidRDefault="00597DE2" w:rsidP="00597DE2">
      <w:pPr>
        <w:pStyle w:val="VersoIngls01Sangria"/>
        <w:rPr>
          <w:sz w:val="16"/>
          <w:szCs w:val="20"/>
        </w:rPr>
      </w:pPr>
      <w:r w:rsidRPr="00DC1A5F">
        <w:rPr>
          <w:sz w:val="16"/>
          <w:szCs w:val="20"/>
        </w:rPr>
        <w:t xml:space="preserve">Fuente de toda aflicción. </w:t>
      </w:r>
    </w:p>
    <w:p w14:paraId="42564BE9" w14:textId="77777777" w:rsidR="00597DE2" w:rsidRPr="00DC1A5F" w:rsidRDefault="00597DE2" w:rsidP="00597DE2">
      <w:pPr>
        <w:pStyle w:val="VersoIngls01Sangria"/>
        <w:rPr>
          <w:sz w:val="16"/>
          <w:szCs w:val="20"/>
        </w:rPr>
      </w:pPr>
      <w:r w:rsidRPr="00DC1A5F">
        <w:rPr>
          <w:sz w:val="16"/>
          <w:szCs w:val="20"/>
        </w:rPr>
        <w:t>Esta bendición y en esta misma vida</w:t>
      </w:r>
    </w:p>
    <w:p w14:paraId="03AB0EF4" w14:textId="77777777" w:rsidR="00597DE2" w:rsidRPr="00DC1A5F" w:rsidRDefault="00597DE2" w:rsidP="00597DE2">
      <w:pPr>
        <w:pStyle w:val="VersoIngls01Sangria"/>
        <w:spacing w:after="100"/>
        <w:ind w:left="1418"/>
        <w:rPr>
          <w:sz w:val="16"/>
          <w:szCs w:val="20"/>
        </w:rPr>
      </w:pPr>
      <w:r w:rsidRPr="00DC1A5F">
        <w:rPr>
          <w:sz w:val="16"/>
          <w:szCs w:val="20"/>
        </w:rPr>
        <w:t>Cualquier hombre podrá consumar.</w:t>
      </w:r>
    </w:p>
    <w:p w14:paraId="546949EE" w14:textId="77777777" w:rsidR="00597DE2" w:rsidRPr="00DC1A5F" w:rsidRDefault="00597DE2" w:rsidP="00597DE2">
      <w:pPr>
        <w:pStyle w:val="Ttulo3"/>
        <w:ind w:left="708"/>
      </w:pPr>
      <w:r w:rsidRPr="00DC1A5F">
        <w:t>[B. El Sabor de la Noble Fruición]</w:t>
      </w:r>
    </w:p>
    <w:p w14:paraId="66461E81" w14:textId="77777777" w:rsidR="00597DE2" w:rsidRPr="00DC1A5F" w:rsidRDefault="00597DE2" w:rsidP="00597DE2">
      <w:pPr>
        <w:pStyle w:val="Textoindependiente"/>
        <w:ind w:left="425" w:hanging="425"/>
      </w:pPr>
      <w:r w:rsidRPr="00DC1A5F">
        <w:t xml:space="preserve">3. </w:t>
      </w:r>
      <w:r w:rsidRPr="00DC1A5F">
        <w:tab/>
        <w:t>No solo la eliminación de diversas contaminaciones, sino también la experiencia del sabor de la noble fruición será un beneficio del desarrollo del entendimiento. [699] Ya que es a la fruición de la entrada de la corriente, etc. — los frutos del ascetismo—, a la que se le denomina</w:t>
      </w:r>
    </w:p>
    <w:p w14:paraId="2B0D1C0C" w14:textId="77777777" w:rsidR="00597DE2" w:rsidRPr="00DC1A5F" w:rsidRDefault="00597DE2" w:rsidP="00597DE2">
      <w:pPr>
        <w:tabs>
          <w:tab w:val="clear" w:pos="425"/>
        </w:tabs>
        <w:spacing w:after="160"/>
      </w:pPr>
      <w:r w:rsidRPr="00DC1A5F">
        <w:br w:type="page"/>
      </w:r>
    </w:p>
    <w:p w14:paraId="30F9C264" w14:textId="77777777" w:rsidR="00597DE2" w:rsidRPr="00DC1A5F" w:rsidRDefault="00597DE2" w:rsidP="00597DE2">
      <w:pPr>
        <w:pStyle w:val="Textoindependiente"/>
      </w:pPr>
      <w:r w:rsidRPr="00DC1A5F">
        <w:lastRenderedPageBreak/>
        <w:t>“fruición noble”. Su sabor se experimenta de 2 maneras, es decir, en su ocurrencia en la serie cognitiva del sendero y en su ocurrencia en la consumación de la fruición. De éstos, solo se ha expuesto su aparición en la serie cognitiva del sendero (Cap. XXII. §3s.).</w:t>
      </w:r>
    </w:p>
    <w:p w14:paraId="78A33B7C" w14:textId="77777777" w:rsidR="00597DE2" w:rsidRPr="00DC1A5F" w:rsidRDefault="00597DE2" w:rsidP="00597DE2">
      <w:r w:rsidRPr="00DC1A5F">
        <w:t xml:space="preserve">4. </w:t>
      </w:r>
      <w:r w:rsidRPr="00DC1A5F">
        <w:tab/>
        <w:t>Además, cuando la gente dice que la fruición consiste simplemente del abandono de los grilletes</w:t>
      </w:r>
      <w:r w:rsidRPr="00DC1A5F">
        <w:rPr>
          <w:vertAlign w:val="superscript"/>
        </w:rPr>
        <w:t>1</w:t>
      </w:r>
      <w:r w:rsidRPr="00DC1A5F">
        <w:t xml:space="preserve"> y nada más que ello, se puede citar el siguiente </w:t>
      </w:r>
      <w:proofErr w:type="spellStart"/>
      <w:r w:rsidRPr="00DC1A5F">
        <w:rPr>
          <w:i/>
          <w:iCs/>
        </w:rPr>
        <w:t>sutta</w:t>
      </w:r>
      <w:proofErr w:type="spellEnd"/>
      <w:r w:rsidRPr="00DC1A5F">
        <w:t xml:space="preserve"> para convencerlos de que están equivocados: “¿Cómo es que el entendimiento de la tranquilización del esfuerzo corresponderá al conocimiento de la fruición? En el momento del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corriente, la visión correcta en el sentido de observación emergerá de la visión incorrecta, emergerá de las impurezas y de los agregados que ocurran como consecuencia de esa visión incorrecta, y externamente emergerá de todos los signos. La visión correcta surgirá debido a la tranquilización de ese esfuerzo. Éste corresponderá a la fruición del sendero” (</w:t>
      </w:r>
      <w:proofErr w:type="spellStart"/>
      <w:r w:rsidRPr="00DC1A5F">
        <w:rPr>
          <w:i/>
          <w:iCs/>
        </w:rPr>
        <w:t>Paṭis</w:t>
      </w:r>
      <w:proofErr w:type="spellEnd"/>
      <w:r w:rsidRPr="00DC1A5F">
        <w:t xml:space="preserve"> I 71), y esto debe ser expuesto en detalle. También pasajes tales como, “Los cuatro senderos y las cuatro fruiciones — estos estados poseerán un objeto inconmensurable” (</w:t>
      </w:r>
      <w:proofErr w:type="spellStart"/>
      <w:r w:rsidRPr="00DC1A5F">
        <w:t>Dhs</w:t>
      </w:r>
      <w:proofErr w:type="spellEnd"/>
      <w:r w:rsidRPr="00DC1A5F">
        <w:t xml:space="preserve"> §1408), y, “Un estado excelso será una condición, como condición de proximidad, para un estado inmensurable” (</w:t>
      </w:r>
      <w:proofErr w:type="spellStart"/>
      <w:r w:rsidRPr="00DC1A5F">
        <w:t>Paṭṭh</w:t>
      </w:r>
      <w:proofErr w:type="spellEnd"/>
      <w:r w:rsidRPr="00DC1A5F">
        <w:t xml:space="preserve"> II 227 (Be)), establece aquí el significado.</w:t>
      </w:r>
    </w:p>
    <w:p w14:paraId="292DF6FD" w14:textId="77777777" w:rsidR="00597DE2" w:rsidRPr="00DC1A5F" w:rsidRDefault="00597DE2" w:rsidP="00597DE2">
      <w:r w:rsidRPr="00DC1A5F">
        <w:t xml:space="preserve">5. </w:t>
      </w:r>
      <w:r w:rsidRPr="00DC1A5F">
        <w:tab/>
        <w:t>Sin embargo, para exponer cómo ocurre en la consumación de la fruición, existe el siguiente conjunto de preguntas:</w:t>
      </w:r>
    </w:p>
    <w:p w14:paraId="636913F6" w14:textId="77777777" w:rsidR="00597DE2" w:rsidRPr="00DC1A5F" w:rsidRDefault="00597DE2" w:rsidP="00597DE2">
      <w:pPr>
        <w:pStyle w:val="NumReload2"/>
      </w:pPr>
      <w:r w:rsidRPr="00DC1A5F">
        <w:tab/>
        <w:t xml:space="preserve">(i). </w:t>
      </w:r>
      <w:r w:rsidRPr="00DC1A5F">
        <w:tab/>
        <w:t>¿Qué es la consumación de la fruición?</w:t>
      </w:r>
    </w:p>
    <w:p w14:paraId="512FAC38" w14:textId="77777777" w:rsidR="00597DE2" w:rsidRPr="00DC1A5F" w:rsidRDefault="00597DE2" w:rsidP="00597DE2">
      <w:pPr>
        <w:pStyle w:val="NumReload2"/>
      </w:pPr>
      <w:r w:rsidRPr="00DC1A5F">
        <w:tab/>
        <w:t>(</w:t>
      </w:r>
      <w:proofErr w:type="spellStart"/>
      <w:r w:rsidRPr="00DC1A5F">
        <w:t>ii</w:t>
      </w:r>
      <w:proofErr w:type="spellEnd"/>
      <w:r w:rsidRPr="00DC1A5F">
        <w:t xml:space="preserve">). </w:t>
      </w:r>
      <w:r w:rsidRPr="00DC1A5F">
        <w:tab/>
        <w:t>¿Quién la consuma?</w:t>
      </w:r>
    </w:p>
    <w:p w14:paraId="2CEEB0BE" w14:textId="77777777" w:rsidR="00597DE2" w:rsidRPr="00DC1A5F" w:rsidRDefault="00597DE2" w:rsidP="00597DE2">
      <w:pPr>
        <w:pStyle w:val="NumReload2"/>
      </w:pPr>
      <w:r w:rsidRPr="00DC1A5F">
        <w:tab/>
        <w:t>(</w:t>
      </w:r>
      <w:proofErr w:type="spellStart"/>
      <w:r w:rsidRPr="00DC1A5F">
        <w:t>iii</w:t>
      </w:r>
      <w:proofErr w:type="spellEnd"/>
      <w:r w:rsidRPr="00DC1A5F">
        <w:t xml:space="preserve">). </w:t>
      </w:r>
      <w:r w:rsidRPr="00DC1A5F">
        <w:tab/>
        <w:t>¿Quiénes no la consuman?</w:t>
      </w:r>
    </w:p>
    <w:p w14:paraId="5BFF3F0A" w14:textId="77777777" w:rsidR="00597DE2" w:rsidRPr="00DC1A5F" w:rsidRDefault="00597DE2" w:rsidP="00597DE2">
      <w:pPr>
        <w:pStyle w:val="NumReload2"/>
      </w:pPr>
      <w:r w:rsidRPr="00DC1A5F">
        <w:tab/>
        <w:t>(</w:t>
      </w:r>
      <w:proofErr w:type="spellStart"/>
      <w:r w:rsidRPr="00DC1A5F">
        <w:t>iv</w:t>
      </w:r>
      <w:proofErr w:type="spellEnd"/>
      <w:r w:rsidRPr="00DC1A5F">
        <w:t xml:space="preserve">). </w:t>
      </w:r>
      <w:r w:rsidRPr="00DC1A5F">
        <w:tab/>
        <w:t>¿Por qué la consuman?</w:t>
      </w:r>
    </w:p>
    <w:p w14:paraId="6A22508D" w14:textId="77777777" w:rsidR="00597DE2" w:rsidRPr="00DC1A5F" w:rsidRDefault="00597DE2" w:rsidP="00597DE2">
      <w:pPr>
        <w:pStyle w:val="NumReload2"/>
      </w:pPr>
      <w:r w:rsidRPr="00DC1A5F">
        <w:tab/>
        <w:t xml:space="preserve">(v). </w:t>
      </w:r>
      <w:r w:rsidRPr="00DC1A5F">
        <w:tab/>
        <w:t>¿Cómo se da su consumación?</w:t>
      </w:r>
    </w:p>
    <w:p w14:paraId="41791CF8" w14:textId="77777777" w:rsidR="00597DE2" w:rsidRPr="00DC1A5F" w:rsidRDefault="00597DE2" w:rsidP="00597DE2">
      <w:pPr>
        <w:pStyle w:val="NumReload2"/>
      </w:pPr>
      <w:r w:rsidRPr="00DC1A5F">
        <w:tab/>
        <w:t xml:space="preserve">(vi). </w:t>
      </w:r>
      <w:r w:rsidRPr="00DC1A5F">
        <w:tab/>
        <w:t>¿Cómo se hace para que perdure?</w:t>
      </w:r>
    </w:p>
    <w:p w14:paraId="5E593793" w14:textId="77777777" w:rsidR="00597DE2" w:rsidRPr="00DC1A5F" w:rsidRDefault="00597DE2" w:rsidP="00597DE2">
      <w:pPr>
        <w:pStyle w:val="NumReload2"/>
      </w:pPr>
      <w:r w:rsidRPr="00DC1A5F">
        <w:tab/>
        <w:t>(</w:t>
      </w:r>
      <w:proofErr w:type="spellStart"/>
      <w:r w:rsidRPr="00DC1A5F">
        <w:t>vii</w:t>
      </w:r>
      <w:proofErr w:type="spellEnd"/>
      <w:r w:rsidRPr="00DC1A5F">
        <w:t xml:space="preserve">). </w:t>
      </w:r>
      <w:r w:rsidRPr="00DC1A5F">
        <w:tab/>
        <w:t>¿Cómo se produce el emerger de ella?</w:t>
      </w:r>
    </w:p>
    <w:p w14:paraId="1FB5E84F" w14:textId="77777777" w:rsidR="00597DE2" w:rsidRPr="00DC1A5F" w:rsidRDefault="00597DE2" w:rsidP="00597DE2">
      <w:pPr>
        <w:pStyle w:val="NumReload2"/>
      </w:pPr>
      <w:r w:rsidRPr="00DC1A5F">
        <w:tab/>
        <w:t>(</w:t>
      </w:r>
      <w:proofErr w:type="spellStart"/>
      <w:r w:rsidRPr="00DC1A5F">
        <w:t>viii</w:t>
      </w:r>
      <w:proofErr w:type="spellEnd"/>
      <w:r w:rsidRPr="00DC1A5F">
        <w:t xml:space="preserve">). </w:t>
      </w:r>
      <w:r w:rsidRPr="00DC1A5F">
        <w:tab/>
        <w:t>¿Qué le sigue a la fruición?</w:t>
      </w:r>
    </w:p>
    <w:p w14:paraId="209DD360" w14:textId="77777777" w:rsidR="00597DE2" w:rsidRPr="00DC1A5F" w:rsidRDefault="00597DE2" w:rsidP="00597DE2">
      <w:pPr>
        <w:pStyle w:val="NumReload2"/>
        <w:spacing w:after="100"/>
      </w:pPr>
      <w:r w:rsidRPr="00DC1A5F">
        <w:tab/>
        <w:t xml:space="preserve"> (</w:t>
      </w:r>
      <w:proofErr w:type="spellStart"/>
      <w:r w:rsidRPr="00DC1A5F">
        <w:t>ix</w:t>
      </w:r>
      <w:proofErr w:type="spellEnd"/>
      <w:r w:rsidRPr="00DC1A5F">
        <w:t xml:space="preserve">). </w:t>
      </w:r>
      <w:r w:rsidRPr="00DC1A5F">
        <w:tab/>
        <w:t>¿Qué se encuentra contiguo a la fruición?</w:t>
      </w:r>
    </w:p>
    <w:p w14:paraId="61C2D7F3" w14:textId="77777777" w:rsidR="00597DE2" w:rsidRPr="00DC1A5F" w:rsidRDefault="00597DE2" w:rsidP="00597DE2">
      <w:r w:rsidRPr="00DC1A5F">
        <w:t>6.</w:t>
      </w:r>
      <w:r w:rsidRPr="00DC1A5F">
        <w:tab/>
        <w:t xml:space="preserve"> Al respecto, (i) </w:t>
      </w:r>
      <w:r w:rsidRPr="00DC1A5F">
        <w:rPr>
          <w:i/>
          <w:iCs/>
        </w:rPr>
        <w:t>¿Qué es la consumación de la fruición?</w:t>
      </w:r>
      <w:r w:rsidRPr="00DC1A5F">
        <w:t xml:space="preserve"> Es la absorción de la cesación en la que consiste la noble fruición.</w:t>
      </w:r>
    </w:p>
    <w:p w14:paraId="0AE36976" w14:textId="77777777" w:rsidR="00597DE2" w:rsidRPr="00DC1A5F" w:rsidRDefault="00597DE2" w:rsidP="00597DE2">
      <w:pPr>
        <w:pStyle w:val="NormalConSangria"/>
      </w:pPr>
      <w:r w:rsidRPr="00DC1A5F">
        <w:t>(</w:t>
      </w:r>
      <w:proofErr w:type="spellStart"/>
      <w:r w:rsidRPr="00DC1A5F">
        <w:t>ii</w:t>
      </w:r>
      <w:proofErr w:type="spellEnd"/>
      <w:r w:rsidRPr="00DC1A5F">
        <w:t xml:space="preserve">) </w:t>
      </w:r>
      <w:r w:rsidRPr="00DC1A5F">
        <w:rPr>
          <w:i/>
          <w:iCs/>
        </w:rPr>
        <w:t>¿Quién la consuma?</w:t>
      </w:r>
      <w:r w:rsidRPr="00DC1A5F">
        <w:t xml:space="preserve"> (</w:t>
      </w:r>
      <w:proofErr w:type="spellStart"/>
      <w:r w:rsidRPr="00DC1A5F">
        <w:t>iii</w:t>
      </w:r>
      <w:proofErr w:type="spellEnd"/>
      <w:r w:rsidRPr="00DC1A5F">
        <w:t xml:space="preserve">) </w:t>
      </w:r>
      <w:r w:rsidRPr="00DC1A5F">
        <w:rPr>
          <w:i/>
          <w:iCs/>
        </w:rPr>
        <w:t>¿Quiénes no la consuman?</w:t>
      </w:r>
      <w:r w:rsidRPr="00DC1A5F">
        <w:t xml:space="preserve"> Ningún hombre ordinario puede consumarla. ¿Por qué? Porque está fuera de su alcance. No obstante, todos los Nobles la consuman. ¿Por qué? Porque está dentro de su alcance. No obstante, aquellos que hayan llegado a un sendero superior no consumarán una fruición inferior porque el estado de cada personaje sucesivo será más apacible que el inferior inmediato. Y aquellos que solo hayan consumado un sendero inferior no consumarán una fruición superior porque se encontrará más allá de su alcance. No obstante, cada uno consumará su fruición correspondiente. Esto es lo que se ha acordado aquí.</w:t>
      </w:r>
    </w:p>
    <w:p w14:paraId="515181B9" w14:textId="77777777" w:rsidR="00597DE2" w:rsidRPr="00DC1A5F" w:rsidRDefault="00597DE2" w:rsidP="00597DE2">
      <w:r w:rsidRPr="00DC1A5F">
        <w:t xml:space="preserve">7. </w:t>
      </w:r>
      <w:r w:rsidRPr="00DC1A5F">
        <w:tab/>
        <w:t>Sin embargo, existen algunos que dicen que el entrante</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y el retornante–por–única–vez no la consumarán y que solo los 2 que estén por encima de ellos lo harán. La </w:t>
      </w:r>
    </w:p>
    <w:p w14:paraId="3EEA7657"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3CAC32B" w14:textId="77777777" w:rsidR="00597DE2" w:rsidRPr="00DC1A5F" w:rsidRDefault="00597DE2" w:rsidP="00597DE2">
      <w:pPr>
        <w:pStyle w:val="PiedepginaLegal"/>
      </w:pPr>
      <w:r w:rsidRPr="00DC1A5F">
        <w:t xml:space="preserve">1. </w:t>
      </w:r>
      <w:r w:rsidRPr="00DC1A5F">
        <w:tab/>
        <w:t xml:space="preserve">“Los que sostienen esto son los </w:t>
      </w:r>
      <w:proofErr w:type="spellStart"/>
      <w:r w:rsidRPr="00DC1A5F">
        <w:rPr>
          <w:i/>
          <w:iCs/>
        </w:rPr>
        <w:t>Andhakas</w:t>
      </w:r>
      <w:proofErr w:type="spellEnd"/>
      <w:r w:rsidRPr="00DC1A5F">
        <w:t xml:space="preserve">, etc.; ya que interpretan incorrectamente el </w:t>
      </w:r>
      <w:proofErr w:type="spellStart"/>
      <w:r w:rsidRPr="00DC1A5F">
        <w:rPr>
          <w:i/>
          <w:iCs/>
        </w:rPr>
        <w:t>sutta</w:t>
      </w:r>
      <w:proofErr w:type="spellEnd"/>
      <w:r w:rsidRPr="00DC1A5F">
        <w:t xml:space="preserve"> que dice: “Se habla del estado de </w:t>
      </w:r>
      <w:r w:rsidRPr="00DC1A5F">
        <w:rPr>
          <w:i/>
          <w:iCs/>
        </w:rPr>
        <w:t>Arahant</w:t>
      </w:r>
      <w:r w:rsidRPr="00DC1A5F">
        <w:t xml:space="preserve">, amigo Sāriputta; ¿Qué es el estado de </w:t>
      </w:r>
      <w:r w:rsidRPr="00DC1A5F">
        <w:rPr>
          <w:i/>
          <w:iCs/>
        </w:rPr>
        <w:t>Arahant</w:t>
      </w:r>
      <w:r w:rsidRPr="00DC1A5F">
        <w:t xml:space="preserve">?— Es la destrucción de la codicia, la destrucción del odio, la destrucción de la ilusión: a eso es a lo que se le llama </w:t>
      </w:r>
      <w:r w:rsidRPr="00DC1A5F">
        <w:rPr>
          <w:i/>
          <w:iCs/>
        </w:rPr>
        <w:t>estado de</w:t>
      </w:r>
      <w:r w:rsidRPr="00DC1A5F">
        <w:t xml:space="preserve"> </w:t>
      </w:r>
      <w:r w:rsidRPr="00DC1A5F">
        <w:rPr>
          <w:i/>
          <w:iCs/>
        </w:rPr>
        <w:t>Arahant</w:t>
      </w:r>
      <w:r w:rsidRPr="00DC1A5F">
        <w:t xml:space="preserve">” (S IV 252), adoptarlo literalmente y afirmar que no existe nada a lo que pueda llamarse </w:t>
      </w:r>
      <w:r w:rsidRPr="00DC1A5F">
        <w:rPr>
          <w:i/>
          <w:iCs/>
        </w:rPr>
        <w:t>estado de</w:t>
      </w:r>
      <w:r w:rsidRPr="00DC1A5F">
        <w:t xml:space="preserve"> </w:t>
      </w:r>
      <w:r w:rsidRPr="00DC1A5F">
        <w:rPr>
          <w:i/>
          <w:iCs/>
        </w:rPr>
        <w:t>Arahant,</w:t>
      </w:r>
      <w:r w:rsidRPr="00DC1A5F">
        <w:t xml:space="preserve"> ya que corresponde sólo al abandono de las contaminaciones, al cual se le denomina así debido al uso común. Y ellos niegan que exista otras fruiciones”. (</w:t>
      </w:r>
      <w:proofErr w:type="spellStart"/>
      <w:r w:rsidRPr="00DC1A5F">
        <w:t>Vism</w:t>
      </w:r>
      <w:proofErr w:type="spellEnd"/>
      <w:r w:rsidRPr="00DC1A5F">
        <w:t>–</w:t>
      </w:r>
      <w:proofErr w:type="spellStart"/>
      <w:r w:rsidRPr="00DC1A5F">
        <w:t>mhṭ</w:t>
      </w:r>
      <w:proofErr w:type="spellEnd"/>
      <w:r w:rsidRPr="00DC1A5F">
        <w:t xml:space="preserve"> 891).</w:t>
      </w:r>
    </w:p>
    <w:p w14:paraId="54AE211C" w14:textId="77777777" w:rsidR="00597DE2" w:rsidRPr="00DC1A5F" w:rsidRDefault="00597DE2" w:rsidP="00597DE2">
      <w:pPr>
        <w:pStyle w:val="PiedepginaLegal"/>
      </w:pPr>
    </w:p>
    <w:p w14:paraId="37391CDE" w14:textId="77777777" w:rsidR="00597DE2" w:rsidRPr="00DC1A5F" w:rsidRDefault="00597DE2" w:rsidP="00597DE2">
      <w:pPr>
        <w:pStyle w:val="PiedepginaLegal"/>
      </w:pPr>
      <w:r w:rsidRPr="00DC1A5F">
        <w:br w:type="page"/>
      </w:r>
    </w:p>
    <w:p w14:paraId="2515477E" w14:textId="77777777" w:rsidR="00597DE2" w:rsidRPr="00DC1A5F" w:rsidRDefault="00597DE2" w:rsidP="00597DE2">
      <w:r w:rsidRPr="00DC1A5F">
        <w:lastRenderedPageBreak/>
        <w:t xml:space="preserve">razón que dan afirma que solo estos 2 demuestran poseer un </w:t>
      </w:r>
      <w:r w:rsidRPr="00DC1A5F">
        <w:rPr>
          <w:color w:val="833C0B" w:themeColor="accent2" w:themeShade="80"/>
          <w:u w:color="000000"/>
        </w:rPr>
        <w:t>desarrollo consumado</w:t>
      </w:r>
      <w:r w:rsidRPr="00DC1A5F">
        <w:t xml:space="preserve"> de la concentración. No </w:t>
      </w:r>
      <w:proofErr w:type="gramStart"/>
      <w:r w:rsidRPr="00DC1A5F">
        <w:t>obstante,  ésa</w:t>
      </w:r>
      <w:proofErr w:type="gramEnd"/>
      <w:r w:rsidRPr="00DC1A5F">
        <w:t xml:space="preserve"> no es la razón, ya que incluso un hombre común desarrollará una concentración mundana que se encuentre bajo su disposición. No obstante, ¿por qué discutir aquí sobre cuál es y cuál no es la razón? ¿No se habla acaso en los textos de la siguiente manera?</w:t>
      </w:r>
    </w:p>
    <w:p w14:paraId="3C647441" w14:textId="77777777" w:rsidR="00597DE2" w:rsidRPr="00DC1A5F" w:rsidRDefault="00597DE2" w:rsidP="00597DE2">
      <w:pPr>
        <w:pStyle w:val="NormalConSangria"/>
      </w:pPr>
      <w:r w:rsidRPr="00DC1A5F">
        <w:t>“¿Qué diez estados de cambio de linaje surgen [700] a través de la sabiduría–revelativa?</w:t>
      </w:r>
    </w:p>
    <w:p w14:paraId="74CCC664" w14:textId="77777777" w:rsidR="00597DE2" w:rsidRPr="00DC1A5F" w:rsidRDefault="00597DE2" w:rsidP="00597DE2">
      <w:pPr>
        <w:pStyle w:val="NormalConSangria"/>
      </w:pPr>
      <w:r w:rsidRPr="00DC1A5F">
        <w:t>“Con el fin de consumar 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corriente, se trasciende el surgimiento, la ocurrencia... (etc., véase XXII.5) ... la desesperación y, externamente, el signo de las formaciones, por lo que corresponderá a un cambio de linaje.</w:t>
      </w:r>
    </w:p>
    <w:p w14:paraId="6EE3CFEE" w14:textId="77777777" w:rsidR="00597DE2" w:rsidRPr="00DC1A5F" w:rsidRDefault="00597DE2" w:rsidP="00597DE2">
      <w:pPr>
        <w:pStyle w:val="NormalConSangria"/>
      </w:pPr>
      <w:r w:rsidRPr="00DC1A5F">
        <w:t>“Con el propósito de consumar la fruición de la entrada</w:t>
      </w:r>
      <w:r w:rsidRPr="00DC1A5F">
        <w:rPr>
          <w:rFonts w:cs="Cormorant"/>
        </w:rPr>
        <w:t>‒</w:t>
      </w:r>
      <w:r w:rsidRPr="00DC1A5F">
        <w:t>a</w:t>
      </w:r>
      <w:r w:rsidRPr="00DC1A5F">
        <w:rPr>
          <w:rFonts w:cs="Cormorant"/>
        </w:rPr>
        <w:t>‒</w:t>
      </w:r>
      <w:r w:rsidRPr="00DC1A5F">
        <w:t>la</w:t>
      </w:r>
      <w:r w:rsidRPr="00DC1A5F">
        <w:rPr>
          <w:rFonts w:cs="Cormorant"/>
        </w:rPr>
        <w:t>‒</w:t>
      </w:r>
      <w:r w:rsidRPr="00DC1A5F">
        <w:t>corriente …</w:t>
      </w:r>
    </w:p>
    <w:p w14:paraId="34ACC2FD" w14:textId="77777777" w:rsidR="00597DE2" w:rsidRPr="00DC1A5F" w:rsidRDefault="00597DE2" w:rsidP="00597DE2">
      <w:pPr>
        <w:pStyle w:val="NormalConSangria"/>
      </w:pPr>
      <w:r w:rsidRPr="00DC1A5F">
        <w:t>“Con el propósito de consumar el sendero del retorno único…</w:t>
      </w:r>
    </w:p>
    <w:p w14:paraId="62C1428B" w14:textId="77777777" w:rsidR="00597DE2" w:rsidRPr="00DC1A5F" w:rsidRDefault="00597DE2" w:rsidP="00597DE2">
      <w:pPr>
        <w:pStyle w:val="NormalConSangria"/>
      </w:pPr>
      <w:r w:rsidRPr="00DC1A5F">
        <w:t>“Con el propósito de consumar la fruición del retorno único…</w:t>
      </w:r>
    </w:p>
    <w:p w14:paraId="2B22B826" w14:textId="77777777" w:rsidR="00597DE2" w:rsidRPr="00DC1A5F" w:rsidRDefault="00597DE2" w:rsidP="00597DE2">
      <w:pPr>
        <w:pStyle w:val="NormalConSangria"/>
      </w:pPr>
      <w:r w:rsidRPr="00DC1A5F">
        <w:t>“Con el propósito de consumar el sendero del no–retorno…</w:t>
      </w:r>
    </w:p>
    <w:p w14:paraId="6DFF41A0" w14:textId="77777777" w:rsidR="00597DE2" w:rsidRPr="00DC1A5F" w:rsidRDefault="00597DE2" w:rsidP="00597DE2">
      <w:pPr>
        <w:pStyle w:val="NormalConSangria"/>
      </w:pPr>
      <w:r w:rsidRPr="00DC1A5F">
        <w:t>“Con el propósito de consumar la fruición no–retorno…</w:t>
      </w:r>
    </w:p>
    <w:p w14:paraId="74857D53" w14:textId="77777777" w:rsidR="00597DE2" w:rsidRPr="00DC1A5F" w:rsidRDefault="00597DE2" w:rsidP="00597DE2">
      <w:pPr>
        <w:pStyle w:val="NormalConSangria"/>
      </w:pPr>
      <w:r w:rsidRPr="00DC1A5F">
        <w:t xml:space="preserve">“Con el propósito de consumar el sendero del </w:t>
      </w:r>
      <w:r w:rsidRPr="00DC1A5F">
        <w:rPr>
          <w:i/>
          <w:iCs/>
        </w:rPr>
        <w:t>Arahant</w:t>
      </w:r>
      <w:r w:rsidRPr="00DC1A5F">
        <w:t>…</w:t>
      </w:r>
    </w:p>
    <w:p w14:paraId="4025D010" w14:textId="77777777" w:rsidR="00597DE2" w:rsidRPr="00DC1A5F" w:rsidRDefault="00597DE2" w:rsidP="00597DE2">
      <w:pPr>
        <w:pStyle w:val="NormalConSangria"/>
      </w:pPr>
      <w:r w:rsidRPr="00DC1A5F">
        <w:t xml:space="preserve">“Con el propósito de consumar la fruición del </w:t>
      </w:r>
      <w:r w:rsidRPr="00DC1A5F">
        <w:rPr>
          <w:i/>
          <w:iCs/>
        </w:rPr>
        <w:t>Arahant</w:t>
      </w:r>
      <w:r w:rsidRPr="00DC1A5F">
        <w:t>…</w:t>
      </w:r>
    </w:p>
    <w:p w14:paraId="05ABD9D8" w14:textId="77777777" w:rsidR="00597DE2" w:rsidRPr="00DC1A5F" w:rsidRDefault="00597DE2" w:rsidP="00597DE2">
      <w:pPr>
        <w:pStyle w:val="NormalConSangria"/>
      </w:pPr>
      <w:r w:rsidRPr="00DC1A5F">
        <w:t>“Con el propósito de consumar el estado en el vacío…</w:t>
      </w:r>
    </w:p>
    <w:p w14:paraId="2CD0F9C1" w14:textId="77777777" w:rsidR="00597DE2" w:rsidRPr="00DC1A5F" w:rsidRDefault="00597DE2" w:rsidP="00597DE2">
      <w:pPr>
        <w:pStyle w:val="NormalConSangria"/>
      </w:pPr>
      <w:r w:rsidRPr="00DC1A5F">
        <w:t>“Con el propósito de consumar el estado sin</w:t>
      </w:r>
      <w:r w:rsidRPr="00DC1A5F">
        <w:rPr>
          <w:i/>
          <w:iCs/>
        </w:rPr>
        <w:t>–</w:t>
      </w:r>
      <w:r w:rsidRPr="00DC1A5F">
        <w:t>signo, se trasciende el surgimiento, la ocurrencia… (</w:t>
      </w:r>
      <w:proofErr w:type="gramStart"/>
      <w:r w:rsidRPr="00DC1A5F">
        <w:t>etc.)…</w:t>
      </w:r>
      <w:proofErr w:type="gramEnd"/>
      <w:r w:rsidRPr="00DC1A5F">
        <w:t xml:space="preserve"> la desesperación, y externamente el signo de las formaciones, por lo que corresponderá a un cambio de linaje” (</w:t>
      </w:r>
      <w:proofErr w:type="spellStart"/>
      <w:r w:rsidRPr="00DC1A5F">
        <w:t>Paṭis</w:t>
      </w:r>
      <w:proofErr w:type="spellEnd"/>
      <w:r w:rsidRPr="00DC1A5F">
        <w:t xml:space="preserve"> I 68). De ahí deberá concluirse que todos los Nobles consuman cada uno su correspondiente fruición.</w:t>
      </w:r>
    </w:p>
    <w:p w14:paraId="680A231F" w14:textId="77777777" w:rsidR="00597DE2" w:rsidRPr="00DC1A5F" w:rsidRDefault="00597DE2" w:rsidP="00597DE2">
      <w:r w:rsidRPr="00DC1A5F">
        <w:t xml:space="preserve">8. </w:t>
      </w:r>
      <w:r w:rsidRPr="00DC1A5F">
        <w:tab/>
        <w:t>(</w:t>
      </w:r>
      <w:proofErr w:type="spellStart"/>
      <w:r w:rsidRPr="00DC1A5F">
        <w:t>iv</w:t>
      </w:r>
      <w:proofErr w:type="spellEnd"/>
      <w:r w:rsidRPr="00DC1A5F">
        <w:t xml:space="preserve">) </w:t>
      </w:r>
      <w:r w:rsidRPr="00DC1A5F">
        <w:rPr>
          <w:i/>
          <w:iCs/>
        </w:rPr>
        <w:t>¿Por qué la consuman?</w:t>
      </w:r>
      <w:r w:rsidRPr="00DC1A5F">
        <w:t xml:space="preserve"> Con el propósito de habitar en la dicha aquí y ahora. Porque así como un rey experimentaría éxtasis real y una deidad experimentaría éxtasis divino, así también, los Nobles piensan: “Experimentaremos el noble éxtasis supramundano”, y después de decidir la duración, consuman la absorción de la fruición cuando y cuanto lo deseen.</w:t>
      </w:r>
    </w:p>
    <w:p w14:paraId="67F25D70" w14:textId="77777777" w:rsidR="00597DE2" w:rsidRPr="00DC1A5F" w:rsidRDefault="00597DE2" w:rsidP="00597DE2">
      <w:r w:rsidRPr="00DC1A5F">
        <w:t xml:space="preserve">9. </w:t>
      </w:r>
      <w:r w:rsidRPr="00DC1A5F">
        <w:tab/>
        <w:t xml:space="preserve">(v) </w:t>
      </w:r>
      <w:r w:rsidRPr="00DC1A5F">
        <w:rPr>
          <w:i/>
          <w:iCs/>
        </w:rPr>
        <w:t>¿Cómo se da su correspondiente consumación?</w:t>
      </w:r>
      <w:r w:rsidRPr="00DC1A5F">
        <w:t xml:space="preserve"> (vi) </w:t>
      </w:r>
      <w:r w:rsidRPr="00DC1A5F">
        <w:rPr>
          <w:i/>
          <w:iCs/>
        </w:rPr>
        <w:t xml:space="preserve">¿Cómo se hace para que perdure? </w:t>
      </w:r>
      <w:r w:rsidRPr="00DC1A5F">
        <w:t>(</w:t>
      </w:r>
      <w:proofErr w:type="spellStart"/>
      <w:r w:rsidRPr="00DC1A5F">
        <w:t>vii</w:t>
      </w:r>
      <w:proofErr w:type="spellEnd"/>
      <w:r w:rsidRPr="00DC1A5F">
        <w:t xml:space="preserve">) </w:t>
      </w:r>
      <w:r w:rsidRPr="00DC1A5F">
        <w:rPr>
          <w:i/>
          <w:iCs/>
        </w:rPr>
        <w:t>¿Cómo se produce el emerger de ella?</w:t>
      </w:r>
    </w:p>
    <w:p w14:paraId="57F77138" w14:textId="77777777" w:rsidR="00597DE2" w:rsidRPr="00DC1A5F" w:rsidRDefault="00597DE2" w:rsidP="00597DE2">
      <w:pPr>
        <w:pStyle w:val="NormalConSangria"/>
      </w:pPr>
      <w:r w:rsidRPr="00DC1A5F">
        <w:tab/>
        <w:t xml:space="preserve">(v) En primer lugar, la consumación se producirá debido a 2 razones: para no traer a la mente ningún objeto que no sea el </w:t>
      </w:r>
      <w:r w:rsidRPr="00DC1A5F">
        <w:rPr>
          <w:i/>
          <w:iCs/>
        </w:rPr>
        <w:t>Nibbāna</w:t>
      </w:r>
      <w:r w:rsidRPr="00DC1A5F">
        <w:t xml:space="preserve"> y para traer a la mente el </w:t>
      </w:r>
      <w:r w:rsidRPr="00DC1A5F">
        <w:rPr>
          <w:i/>
          <w:iCs/>
        </w:rPr>
        <w:t>Nibbāna</w:t>
      </w:r>
      <w:r w:rsidRPr="00DC1A5F">
        <w:t>, según lo que se dice al respecto: “Amigo, existe 2 condiciones para la activación de la liberación mental sin signos, éstas son: el no traer a la mente todos los signos y el traer a la mente el elemento sin signo” (M I 296).</w:t>
      </w:r>
    </w:p>
    <w:p w14:paraId="4ABF61E3" w14:textId="77777777" w:rsidR="00597DE2" w:rsidRPr="00DC1A5F" w:rsidRDefault="00597DE2" w:rsidP="00597DE2">
      <w:r w:rsidRPr="00DC1A5F">
        <w:t xml:space="preserve">10. </w:t>
      </w:r>
      <w:r w:rsidRPr="00DC1A5F">
        <w:tab/>
        <w:t xml:space="preserve">Ahora bien, el proceso para consumarlo es el siguiente. Un discípulo noble que busque </w:t>
      </w:r>
      <w:r w:rsidRPr="00DC1A5F">
        <w:rPr>
          <w:color w:val="833C0B" w:themeColor="accent2" w:themeShade="80"/>
          <w:u w:color="000000"/>
        </w:rPr>
        <w:t>la activación</w:t>
      </w:r>
      <w:r w:rsidRPr="00DC1A5F">
        <w:t xml:space="preserve"> de la fruición deberá retirarse a un lugar solitario. Debería observar las formaciones con sabiduría de acuerdo con el surgimiento y la desaparición, etc. Cuando dicha </w:t>
      </w:r>
    </w:p>
    <w:p w14:paraId="2B1B1490"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8F09CA6" w14:textId="77777777" w:rsidR="00597DE2" w:rsidRPr="00DC1A5F" w:rsidRDefault="00597DE2" w:rsidP="00597DE2">
      <w:pPr>
        <w:pStyle w:val="PiedepginaLegal"/>
      </w:pPr>
      <w:r w:rsidRPr="00DC1A5F">
        <w:t xml:space="preserve">2. </w:t>
      </w:r>
      <w:r w:rsidRPr="00DC1A5F">
        <w:tab/>
        <w:t xml:space="preserve">La cita en los textos del </w:t>
      </w:r>
      <w:proofErr w:type="spellStart"/>
      <w:r w:rsidRPr="00DC1A5F">
        <w:t>Vism</w:t>
      </w:r>
      <w:proofErr w:type="spellEnd"/>
      <w:r w:rsidRPr="00DC1A5F">
        <w:t xml:space="preserve"> no concuerda del todo con el texto del </w:t>
      </w:r>
      <w:proofErr w:type="spellStart"/>
      <w:r w:rsidRPr="00DC1A5F">
        <w:rPr>
          <w:i/>
          <w:iCs/>
        </w:rPr>
        <w:t>Paṭis</w:t>
      </w:r>
      <w:proofErr w:type="spellEnd"/>
      <w:r w:rsidRPr="00DC1A5F">
        <w:t xml:space="preserve"> (</w:t>
      </w:r>
      <w:proofErr w:type="spellStart"/>
      <w:r w:rsidRPr="00DC1A5F">
        <w:t>Ee</w:t>
      </w:r>
      <w:proofErr w:type="spellEnd"/>
      <w:r w:rsidRPr="00DC1A5F">
        <w:t>) donde (como el sentido lo exigiría) las palabras “</w:t>
      </w:r>
      <w:proofErr w:type="spellStart"/>
      <w:r w:rsidRPr="00DC1A5F">
        <w:rPr>
          <w:i/>
          <w:iCs/>
        </w:rPr>
        <w:t>bahiddhā</w:t>
      </w:r>
      <w:proofErr w:type="spellEnd"/>
      <w:r w:rsidRPr="00DC1A5F">
        <w:rPr>
          <w:i/>
          <w:iCs/>
        </w:rPr>
        <w:t xml:space="preserve"> </w:t>
      </w:r>
      <w:proofErr w:type="spellStart"/>
      <w:r w:rsidRPr="00DC1A5F">
        <w:rPr>
          <w:i/>
          <w:iCs/>
        </w:rPr>
        <w:t>saòkhāranimittaṃ</w:t>
      </w:r>
      <w:proofErr w:type="spellEnd"/>
      <w:r w:rsidRPr="00DC1A5F">
        <w:t>” no le siguen a las 4 fruiciones y a los 2 estados sino solo a los 4 senderos.</w:t>
      </w:r>
    </w:p>
    <w:p w14:paraId="51B658F5" w14:textId="77777777" w:rsidR="00597DE2" w:rsidRPr="00DC1A5F" w:rsidRDefault="00597DE2" w:rsidP="00597DE2">
      <w:pPr>
        <w:pStyle w:val="PiedepginaLegal"/>
      </w:pPr>
      <w:r w:rsidRPr="00DC1A5F">
        <w:t xml:space="preserve">3. </w:t>
      </w:r>
      <w:r w:rsidRPr="00DC1A5F">
        <w:tab/>
        <w:t>“Aunque sean estados resultantes, sin embargo, los estados de la consumación de la fruición ocurrirán en la persona noble solo cuando él lo decida, ya que no surgirán sin el trabajo preliminar y lo harán solo cuando se les asigne predominio” (</w:t>
      </w:r>
      <w:proofErr w:type="spellStart"/>
      <w:r w:rsidRPr="00DC1A5F">
        <w:t>Vism</w:t>
      </w:r>
      <w:proofErr w:type="spellEnd"/>
      <w:r w:rsidRPr="00DC1A5F">
        <w:t>–</w:t>
      </w:r>
      <w:proofErr w:type="spellStart"/>
      <w:r w:rsidRPr="00DC1A5F">
        <w:t>mhṭ</w:t>
      </w:r>
      <w:proofErr w:type="spellEnd"/>
      <w:r w:rsidRPr="00DC1A5F">
        <w:t xml:space="preserve"> 895).</w:t>
      </w:r>
      <w:r w:rsidRPr="00DC1A5F">
        <w:br w:type="page"/>
      </w:r>
    </w:p>
    <w:p w14:paraId="5B7F81E0" w14:textId="77777777" w:rsidR="00597DE2" w:rsidRPr="00DC1A5F" w:rsidRDefault="00597DE2" w:rsidP="00597DE2">
      <w:r w:rsidRPr="00DC1A5F">
        <w:lastRenderedPageBreak/>
        <w:t>sabiduría–revelativa haya progresado hasta la conformidad, entonces llegará el conocimiento del cambio de linaje con las formaciones como su objeto. E inmediatamente, contiguamente, la consciencia se absorberá en la cesación con la activación de la fruición. Y aquí será sólo la fruición, no el sendero, lo que surgirá incluso en un instructor, porque su tendencia corresponderá a la consumación de la fruición.</w:t>
      </w:r>
    </w:p>
    <w:p w14:paraId="45A6442B" w14:textId="77777777" w:rsidR="00597DE2" w:rsidRPr="00DC1A5F" w:rsidRDefault="00597DE2" w:rsidP="00597DE2">
      <w:r w:rsidRPr="00DC1A5F">
        <w:t xml:space="preserve">11. </w:t>
      </w:r>
      <w:r w:rsidRPr="00DC1A5F">
        <w:tab/>
        <w:t>No obstante, hay quienes dicen que cuando un entrante</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se embarca en la sabiduría–revelativa, pensando: “Activaré el estado de la fruición”, se convierte en retornante por única vez y un retornante por única vez, en un no–retornante. A ellos se les debe decir: “En ese caso, el no retornante se convertiría en un </w:t>
      </w:r>
      <w:r w:rsidRPr="00DC1A5F">
        <w:rPr>
          <w:i/>
          <w:iCs/>
        </w:rPr>
        <w:t>Arahant</w:t>
      </w:r>
      <w:r w:rsidRPr="00DC1A5F">
        <w:t xml:space="preserve"> y un </w:t>
      </w:r>
      <w:r w:rsidRPr="00DC1A5F">
        <w:rPr>
          <w:i/>
          <w:iCs/>
        </w:rPr>
        <w:t>Arahant</w:t>
      </w:r>
      <w:r w:rsidRPr="00DC1A5F">
        <w:t xml:space="preserve">, en un </w:t>
      </w:r>
      <w:proofErr w:type="spellStart"/>
      <w:r w:rsidRPr="00DC1A5F">
        <w:rPr>
          <w:i/>
          <w:iCs/>
        </w:rPr>
        <w:t>Paccekabuddha</w:t>
      </w:r>
      <w:proofErr w:type="spellEnd"/>
      <w:r w:rsidRPr="00DC1A5F">
        <w:t xml:space="preserve"> y un </w:t>
      </w:r>
      <w:proofErr w:type="spellStart"/>
      <w:r w:rsidRPr="00DC1A5F">
        <w:rPr>
          <w:i/>
          <w:iCs/>
        </w:rPr>
        <w:t>Paccekabuddha</w:t>
      </w:r>
      <w:proofErr w:type="spellEnd"/>
      <w:r w:rsidRPr="00DC1A5F">
        <w:t xml:space="preserve">, en un </w:t>
      </w:r>
      <w:r w:rsidRPr="00DC1A5F">
        <w:rPr>
          <w:i/>
          <w:iCs/>
        </w:rPr>
        <w:t>Buddha</w:t>
      </w:r>
      <w:r w:rsidRPr="00DC1A5F">
        <w:t xml:space="preserve">. Por eso, y porque también contradice el texto antes citado, nada de ello debe aceptarse. Sólo debe aceptarse lo siguiente: la fruición misma, no el sendero, surgirá también en un instructor. Y si el sendero al que haya llegado posee el primer </w:t>
      </w:r>
      <w:proofErr w:type="spellStart"/>
      <w:r w:rsidRPr="00DC1A5F">
        <w:rPr>
          <w:i/>
          <w:iCs/>
        </w:rPr>
        <w:t>jhāna</w:t>
      </w:r>
      <w:proofErr w:type="spellEnd"/>
      <w:r w:rsidRPr="00DC1A5F">
        <w:t xml:space="preserve">, su fruición también tendrá el primer </w:t>
      </w:r>
      <w:proofErr w:type="spellStart"/>
      <w:r w:rsidRPr="00DC1A5F">
        <w:rPr>
          <w:i/>
          <w:iCs/>
        </w:rPr>
        <w:t>jhāna</w:t>
      </w:r>
      <w:proofErr w:type="spellEnd"/>
      <w:r w:rsidRPr="00DC1A5F">
        <w:t xml:space="preserve"> cuando surja. Si el sendero posee el segundo, también lo tendrá la fruición. Y así será con los otros </w:t>
      </w:r>
      <w:proofErr w:type="spellStart"/>
      <w:r w:rsidRPr="00DC1A5F">
        <w:rPr>
          <w:i/>
          <w:iCs/>
        </w:rPr>
        <w:t>jhānas</w:t>
      </w:r>
      <w:proofErr w:type="spellEnd"/>
      <w:r w:rsidRPr="00DC1A5F">
        <w:t xml:space="preserve">.” </w:t>
      </w:r>
    </w:p>
    <w:p w14:paraId="1691FEA4" w14:textId="77777777" w:rsidR="00597DE2" w:rsidRPr="00DC1A5F" w:rsidRDefault="00597DE2" w:rsidP="00597DE2">
      <w:pPr>
        <w:pStyle w:val="NormalConSangria"/>
      </w:pPr>
      <w:r w:rsidRPr="00DC1A5F">
        <w:t>Esto, en primer lugar, corresponde a cómo se producirá la absorción de la consumación. [701]</w:t>
      </w:r>
    </w:p>
    <w:p w14:paraId="79E284F5" w14:textId="77777777" w:rsidR="00597DE2" w:rsidRPr="00DC1A5F" w:rsidRDefault="00597DE2" w:rsidP="00597DE2">
      <w:pPr>
        <w:pStyle w:val="Textoindependiente"/>
      </w:pPr>
      <w:r w:rsidRPr="00DC1A5F">
        <w:t xml:space="preserve">12. </w:t>
      </w:r>
      <w:r w:rsidRPr="00DC1A5F">
        <w:tab/>
        <w:t>(vi) Se hará que perdure de 3 maneras, según las palabras: “Amigo, existen tres condiciones para la sabiduría–revelativa de la liberación mental sin</w:t>
      </w:r>
      <w:r w:rsidRPr="00DC1A5F">
        <w:rPr>
          <w:i/>
          <w:iCs/>
        </w:rPr>
        <w:t>–</w:t>
      </w:r>
      <w:r w:rsidRPr="00DC1A5F">
        <w:t>signos, éstos son: el no traer a la mente todos los signos, el traer a la mente el elemento sin signo, adicionalmente a la volición previa” (M I 296–97). Aquí, la volición previa corresponderá a la predeterminación del tiempo antes de la activación de la fruición; ya que se determinará así, “emergeré en tal momento”, que perdurará hasta que llegue ese momento. Así es cómo se hará para que perdure.</w:t>
      </w:r>
    </w:p>
    <w:p w14:paraId="0213B1BB" w14:textId="77777777" w:rsidR="00597DE2" w:rsidRPr="00DC1A5F" w:rsidRDefault="00597DE2" w:rsidP="00597DE2">
      <w:r w:rsidRPr="00DC1A5F">
        <w:t xml:space="preserve">13. </w:t>
      </w:r>
      <w:r w:rsidRPr="00DC1A5F">
        <w:tab/>
        <w:t>(</w:t>
      </w:r>
      <w:proofErr w:type="spellStart"/>
      <w:r w:rsidRPr="00DC1A5F">
        <w:t>vii</w:t>
      </w:r>
      <w:proofErr w:type="spellEnd"/>
      <w:r w:rsidRPr="00DC1A5F">
        <w:t>) Emerger de ella se producirá de 2 maneras, según las palabras: “Amigo, existen dos condiciones para el emerger de la liberación mental sin signos: son traer a la mente todos los signos y no traer a la mente el elemento sin signo” (M I 297). Aquí, de todos los signos significa el signo de la materialidad, el signo de la sensación, la percepción, las formaciones y la consciencia. Por supuesto, un hombre no traerá todos esos agregados a la mente a la vez, pero esto se expone así aquí para incluir a todos. De modo que el surgimiento de la activación de la fruición se producirá en él cuando traiga a la mente cualquiera que sea el objeto del continuum vital.</w:t>
      </w:r>
    </w:p>
    <w:p w14:paraId="4895F6D3" w14:textId="77777777" w:rsidR="00597DE2" w:rsidRPr="00DC1A5F" w:rsidRDefault="00597DE2" w:rsidP="00597DE2">
      <w:r w:rsidRPr="00DC1A5F">
        <w:t xml:space="preserve">14. </w:t>
      </w:r>
      <w:r w:rsidRPr="00DC1A5F">
        <w:tab/>
        <w:t>(</w:t>
      </w:r>
      <w:proofErr w:type="spellStart"/>
      <w:r w:rsidRPr="00DC1A5F">
        <w:t>viii</w:t>
      </w:r>
      <w:proofErr w:type="spellEnd"/>
      <w:r w:rsidRPr="00DC1A5F">
        <w:t xml:space="preserve">) </w:t>
      </w:r>
      <w:r w:rsidRPr="00DC1A5F">
        <w:rPr>
          <w:i/>
          <w:iCs/>
        </w:rPr>
        <w:t>¿Qué le sigue a la fruición?</w:t>
      </w:r>
      <w:r w:rsidRPr="00DC1A5F">
        <w:t xml:space="preserve"> (</w:t>
      </w:r>
      <w:proofErr w:type="spellStart"/>
      <w:r w:rsidRPr="00DC1A5F">
        <w:t>ix</w:t>
      </w:r>
      <w:proofErr w:type="spellEnd"/>
      <w:r w:rsidRPr="00DC1A5F">
        <w:t xml:space="preserve">) </w:t>
      </w:r>
      <w:r w:rsidRPr="00DC1A5F">
        <w:rPr>
          <w:i/>
          <w:iCs/>
        </w:rPr>
        <w:t>¿Qué se da contiguamente a la fruición</w:t>
      </w:r>
      <w:r w:rsidRPr="00DC1A5F">
        <w:t>? En el primer caso (</w:t>
      </w:r>
      <w:proofErr w:type="spellStart"/>
      <w:r w:rsidRPr="00DC1A5F">
        <w:t>viii</w:t>
      </w:r>
      <w:proofErr w:type="spellEnd"/>
      <w:r w:rsidRPr="00DC1A5F">
        <w:t>) o la fruición misma estará próxima a la fruición o el continuum vital estará próximo a ella. No obstante, (</w:t>
      </w:r>
      <w:proofErr w:type="spellStart"/>
      <w:r w:rsidRPr="00DC1A5F">
        <w:t>ix</w:t>
      </w:r>
      <w:proofErr w:type="spellEnd"/>
      <w:r w:rsidRPr="00DC1A5F">
        <w:t>) habrá una fruición que esté (a) próxima al sendero, (b) habrá otra próxima a la fruición, (c) habrá otra próxima al cambio de linaje, y (d) otra, próxima a la base consistente de la no–percepción–ni–no–percepción.</w:t>
      </w:r>
    </w:p>
    <w:p w14:paraId="3C2AD6B8"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27C280F" w14:textId="77777777" w:rsidR="00597DE2" w:rsidRPr="00DC1A5F" w:rsidRDefault="00597DE2" w:rsidP="00597DE2">
      <w:pPr>
        <w:pStyle w:val="PiedepginaLegal"/>
        <w:ind w:left="285" w:hanging="285"/>
        <w:rPr>
          <w:sz w:val="12"/>
          <w:szCs w:val="20"/>
        </w:rPr>
      </w:pPr>
      <w:r w:rsidRPr="00DC1A5F">
        <w:rPr>
          <w:sz w:val="12"/>
          <w:szCs w:val="20"/>
        </w:rPr>
        <w:t xml:space="preserve">4. </w:t>
      </w:r>
      <w:r w:rsidRPr="00DC1A5F">
        <w:rPr>
          <w:sz w:val="12"/>
          <w:szCs w:val="20"/>
        </w:rPr>
        <w:tab/>
        <w:t xml:space="preserve">“¿Por qué el cambio de linaje no posee al </w:t>
      </w:r>
      <w:r w:rsidRPr="00DC1A5F">
        <w:rPr>
          <w:i/>
          <w:iCs/>
          <w:sz w:val="12"/>
          <w:szCs w:val="20"/>
        </w:rPr>
        <w:t>Nibbāna</w:t>
      </w:r>
      <w:r w:rsidRPr="00DC1A5F">
        <w:rPr>
          <w:sz w:val="12"/>
          <w:szCs w:val="20"/>
        </w:rPr>
        <w:t xml:space="preserve"> como su objeto aquí como lo hace cuando precede al sendero? Porque los estados pertenecientes a la fruición no están asociados a </w:t>
      </w:r>
      <w:proofErr w:type="gramStart"/>
      <w:r w:rsidRPr="00DC1A5F">
        <w:rPr>
          <w:sz w:val="12"/>
          <w:szCs w:val="20"/>
        </w:rPr>
        <w:t>una escape</w:t>
      </w:r>
      <w:proofErr w:type="gramEnd"/>
      <w:r w:rsidRPr="00DC1A5F">
        <w:rPr>
          <w:sz w:val="12"/>
          <w:szCs w:val="20"/>
        </w:rPr>
        <w:t xml:space="preserve"> [como en el caso del sendero]. Por esto se dice: ‘¿Qué estados representan un escape? Los 4 senderos no incluidos’ (</w:t>
      </w:r>
      <w:proofErr w:type="spellStart"/>
      <w:r w:rsidRPr="00DC1A5F">
        <w:rPr>
          <w:sz w:val="12"/>
          <w:szCs w:val="20"/>
        </w:rPr>
        <w:t>Dhs</w:t>
      </w:r>
      <w:proofErr w:type="spellEnd"/>
      <w:r w:rsidRPr="00DC1A5F">
        <w:rPr>
          <w:sz w:val="12"/>
          <w:szCs w:val="20"/>
        </w:rPr>
        <w:t xml:space="preserve"> §1592)” (</w:t>
      </w:r>
      <w:proofErr w:type="spellStart"/>
      <w:r w:rsidRPr="00DC1A5F">
        <w:rPr>
          <w:sz w:val="12"/>
          <w:szCs w:val="20"/>
        </w:rPr>
        <w:t>Vism</w:t>
      </w:r>
      <w:proofErr w:type="spellEnd"/>
      <w:r w:rsidRPr="00DC1A5F">
        <w:rPr>
          <w:sz w:val="12"/>
          <w:szCs w:val="20"/>
        </w:rPr>
        <w:t>–</w:t>
      </w:r>
      <w:proofErr w:type="spellStart"/>
      <w:r w:rsidRPr="00DC1A5F">
        <w:rPr>
          <w:sz w:val="12"/>
          <w:szCs w:val="20"/>
        </w:rPr>
        <w:t>mhṭ</w:t>
      </w:r>
      <w:proofErr w:type="spellEnd"/>
      <w:r w:rsidRPr="00DC1A5F">
        <w:rPr>
          <w:sz w:val="12"/>
          <w:szCs w:val="20"/>
        </w:rPr>
        <w:t xml:space="preserve"> 895).</w:t>
      </w:r>
    </w:p>
    <w:p w14:paraId="0019B1C7" w14:textId="77777777" w:rsidR="00597DE2" w:rsidRPr="00DC1A5F" w:rsidRDefault="00597DE2" w:rsidP="00597DE2">
      <w:pPr>
        <w:pStyle w:val="PiedepginaLegal"/>
        <w:rPr>
          <w:sz w:val="12"/>
          <w:szCs w:val="20"/>
        </w:rPr>
      </w:pPr>
      <w:r w:rsidRPr="00DC1A5F">
        <w:rPr>
          <w:sz w:val="12"/>
          <w:szCs w:val="20"/>
        </w:rPr>
        <w:t xml:space="preserve">5. </w:t>
      </w:r>
      <w:r w:rsidRPr="00DC1A5F">
        <w:rPr>
          <w:sz w:val="12"/>
          <w:szCs w:val="20"/>
        </w:rPr>
        <w:tab/>
        <w:t xml:space="preserve">“Los del Monasterio </w:t>
      </w:r>
      <w:proofErr w:type="spellStart"/>
      <w:r w:rsidRPr="00DC1A5F">
        <w:rPr>
          <w:sz w:val="12"/>
          <w:szCs w:val="20"/>
        </w:rPr>
        <w:t>Abhayagiri</w:t>
      </w:r>
      <w:proofErr w:type="spellEnd"/>
      <w:r w:rsidRPr="00DC1A5F">
        <w:rPr>
          <w:sz w:val="12"/>
          <w:szCs w:val="20"/>
        </w:rPr>
        <w:t xml:space="preserve"> en </w:t>
      </w:r>
      <w:proofErr w:type="spellStart"/>
      <w:r w:rsidRPr="00DC1A5F">
        <w:rPr>
          <w:sz w:val="12"/>
          <w:szCs w:val="20"/>
        </w:rPr>
        <w:t>Anurādhapura</w:t>
      </w:r>
      <w:proofErr w:type="spellEnd"/>
      <w:r w:rsidRPr="00DC1A5F">
        <w:rPr>
          <w:sz w:val="12"/>
          <w:szCs w:val="20"/>
        </w:rPr>
        <w:t>” (</w:t>
      </w:r>
      <w:proofErr w:type="spellStart"/>
      <w:r w:rsidRPr="00DC1A5F">
        <w:rPr>
          <w:sz w:val="12"/>
          <w:szCs w:val="20"/>
        </w:rPr>
        <w:t>Vism</w:t>
      </w:r>
      <w:proofErr w:type="spellEnd"/>
      <w:r w:rsidRPr="00DC1A5F">
        <w:rPr>
          <w:sz w:val="12"/>
          <w:szCs w:val="20"/>
        </w:rPr>
        <w:t>–</w:t>
      </w:r>
      <w:proofErr w:type="spellStart"/>
      <w:r w:rsidRPr="00DC1A5F">
        <w:rPr>
          <w:sz w:val="12"/>
          <w:szCs w:val="20"/>
        </w:rPr>
        <w:t>mhṭ</w:t>
      </w:r>
      <w:proofErr w:type="spellEnd"/>
      <w:r w:rsidRPr="00DC1A5F">
        <w:rPr>
          <w:sz w:val="12"/>
          <w:szCs w:val="20"/>
        </w:rPr>
        <w:t xml:space="preserve"> 895). </w:t>
      </w:r>
    </w:p>
    <w:p w14:paraId="74C5C91A" w14:textId="77777777" w:rsidR="00597DE2" w:rsidRPr="00DC1A5F" w:rsidRDefault="00597DE2" w:rsidP="00597DE2">
      <w:pPr>
        <w:pStyle w:val="PiedepginaLegal"/>
        <w:rPr>
          <w:sz w:val="12"/>
          <w:szCs w:val="20"/>
        </w:rPr>
      </w:pPr>
      <w:r w:rsidRPr="00DC1A5F">
        <w:rPr>
          <w:sz w:val="12"/>
          <w:szCs w:val="20"/>
        </w:rPr>
        <w:t xml:space="preserve">6. </w:t>
      </w:r>
      <w:r w:rsidRPr="00DC1A5F">
        <w:rPr>
          <w:sz w:val="12"/>
          <w:szCs w:val="20"/>
        </w:rPr>
        <w:tab/>
        <w:t>“La ‘</w:t>
      </w:r>
      <w:r w:rsidRPr="00DC1A5F">
        <w:rPr>
          <w:i/>
          <w:iCs/>
          <w:sz w:val="12"/>
          <w:szCs w:val="20"/>
        </w:rPr>
        <w:t>volición’</w:t>
      </w:r>
      <w:r w:rsidRPr="00DC1A5F">
        <w:rPr>
          <w:sz w:val="12"/>
          <w:szCs w:val="20"/>
        </w:rPr>
        <w:t xml:space="preserve"> se logra después de decidir el límite de tiempo de esta manera, ‘Cuando la Luna o el Sol hayan llegado hasta tal posición, emergeré’, lo cual corresponderá a un acto de volición” (</w:t>
      </w:r>
      <w:proofErr w:type="spellStart"/>
      <w:r w:rsidRPr="00DC1A5F">
        <w:rPr>
          <w:sz w:val="12"/>
          <w:szCs w:val="20"/>
        </w:rPr>
        <w:t>Vism</w:t>
      </w:r>
      <w:proofErr w:type="spellEnd"/>
      <w:r w:rsidRPr="00DC1A5F">
        <w:rPr>
          <w:sz w:val="12"/>
          <w:szCs w:val="20"/>
        </w:rPr>
        <w:t>–</w:t>
      </w:r>
      <w:proofErr w:type="spellStart"/>
      <w:r w:rsidRPr="00DC1A5F">
        <w:rPr>
          <w:sz w:val="12"/>
          <w:szCs w:val="20"/>
        </w:rPr>
        <w:t>mhṭ</w:t>
      </w:r>
      <w:proofErr w:type="spellEnd"/>
      <w:r w:rsidRPr="00DC1A5F">
        <w:rPr>
          <w:sz w:val="12"/>
          <w:szCs w:val="20"/>
        </w:rPr>
        <w:t xml:space="preserve"> 897</w:t>
      </w:r>
      <w:proofErr w:type="gramStart"/>
      <w:r w:rsidRPr="00DC1A5F">
        <w:rPr>
          <w:sz w:val="12"/>
          <w:szCs w:val="20"/>
        </w:rPr>
        <w:t>) .</w:t>
      </w:r>
      <w:proofErr w:type="gramEnd"/>
    </w:p>
    <w:p w14:paraId="62C0D1EC" w14:textId="77777777" w:rsidR="00597DE2" w:rsidRPr="00DC1A5F" w:rsidRDefault="00597DE2" w:rsidP="00597DE2">
      <w:pPr>
        <w:pStyle w:val="PiedepginaLegal"/>
        <w:rPr>
          <w:sz w:val="12"/>
          <w:szCs w:val="20"/>
        </w:rPr>
      </w:pPr>
      <w:r w:rsidRPr="00DC1A5F">
        <w:rPr>
          <w:sz w:val="12"/>
          <w:szCs w:val="20"/>
        </w:rPr>
        <w:t xml:space="preserve">7. </w:t>
      </w:r>
      <w:r w:rsidRPr="00DC1A5F">
        <w:rPr>
          <w:sz w:val="12"/>
          <w:szCs w:val="20"/>
        </w:rPr>
        <w:tab/>
        <w:t xml:space="preserve">“Es porque se le denomina ‘emerger de la consumación’ tan pronto como haya surgido la consciencia del continuum vital que se dice ‘él traerá a la mente aquello que corresponda al objeto del continuum vital’. </w:t>
      </w:r>
      <w:proofErr w:type="spellStart"/>
      <w:r w:rsidRPr="00DC1A5F">
        <w:rPr>
          <w:i/>
          <w:iCs/>
          <w:sz w:val="12"/>
          <w:szCs w:val="20"/>
        </w:rPr>
        <w:t>Kamma</w:t>
      </w:r>
      <w:proofErr w:type="spellEnd"/>
      <w:r w:rsidRPr="00DC1A5F">
        <w:rPr>
          <w:sz w:val="12"/>
          <w:szCs w:val="20"/>
        </w:rPr>
        <w:t>, etc., serán denominados objetos del continuum vital (ver Capítulo XVII, §133ff.)” (</w:t>
      </w:r>
      <w:proofErr w:type="spellStart"/>
      <w:r w:rsidRPr="00DC1A5F">
        <w:rPr>
          <w:sz w:val="12"/>
          <w:szCs w:val="20"/>
        </w:rPr>
        <w:t>Vism</w:t>
      </w:r>
      <w:proofErr w:type="spellEnd"/>
      <w:r w:rsidRPr="00DC1A5F">
        <w:rPr>
          <w:sz w:val="12"/>
          <w:szCs w:val="20"/>
        </w:rPr>
        <w:t>–</w:t>
      </w:r>
      <w:proofErr w:type="spellStart"/>
      <w:r w:rsidRPr="00DC1A5F">
        <w:rPr>
          <w:sz w:val="12"/>
          <w:szCs w:val="20"/>
        </w:rPr>
        <w:t>mhṭ</w:t>
      </w:r>
      <w:proofErr w:type="spellEnd"/>
      <w:r w:rsidRPr="00DC1A5F">
        <w:rPr>
          <w:sz w:val="12"/>
          <w:szCs w:val="20"/>
        </w:rPr>
        <w:t xml:space="preserve"> 897)</w:t>
      </w:r>
      <w:r w:rsidRPr="00DC1A5F">
        <w:rPr>
          <w:sz w:val="12"/>
          <w:szCs w:val="20"/>
        </w:rPr>
        <w:br w:type="page"/>
      </w:r>
    </w:p>
    <w:p w14:paraId="1A422C5E" w14:textId="77777777" w:rsidR="00597DE2" w:rsidRPr="00DC1A5F" w:rsidRDefault="00597DE2" w:rsidP="00597DE2"/>
    <w:p w14:paraId="77ACDF9F" w14:textId="77777777" w:rsidR="00597DE2" w:rsidRPr="00DC1A5F" w:rsidRDefault="00597DE2" w:rsidP="00597DE2">
      <w:r w:rsidRPr="00DC1A5F">
        <w:t xml:space="preserve">Al respecto, (a) </w:t>
      </w:r>
      <w:r w:rsidRPr="00DC1A5F">
        <w:rPr>
          <w:i/>
          <w:iCs/>
        </w:rPr>
        <w:t>una estará próxima el sendero</w:t>
      </w:r>
      <w:r w:rsidRPr="00DC1A5F">
        <w:t xml:space="preserve"> en la serie cognitiva del sendero. (b) Cada una posterior a otra anterior estará próxima a la fruición. (c) Cada primera fruición en las absorciones de la fruición estará próxima al cambio de linaje. Y la conformidad deberá entenderse aquí como “cambio de linaje”; pues esto se dice en el </w:t>
      </w:r>
      <w:proofErr w:type="spellStart"/>
      <w:r w:rsidRPr="00DC1A5F">
        <w:rPr>
          <w:i/>
          <w:iCs/>
        </w:rPr>
        <w:t>Paṭṭhāna</w:t>
      </w:r>
      <w:proofErr w:type="spellEnd"/>
      <w:r w:rsidRPr="00DC1A5F">
        <w:t xml:space="preserve">: “En el </w:t>
      </w:r>
      <w:r w:rsidRPr="00DC1A5F">
        <w:rPr>
          <w:i/>
          <w:iCs/>
        </w:rPr>
        <w:t>Arahant</w:t>
      </w:r>
      <w:r w:rsidRPr="00DC1A5F">
        <w:t>, la conformidad será una condición, como condición de proximidad, para la consumación de la fruición. En los instructores, la conformidad será una condición, como condición de proximidad, para la consumación de la fruición” (</w:t>
      </w:r>
      <w:proofErr w:type="spellStart"/>
      <w:r w:rsidRPr="00DC1A5F">
        <w:rPr>
          <w:i/>
          <w:iCs/>
        </w:rPr>
        <w:t>Paṭṭh</w:t>
      </w:r>
      <w:proofErr w:type="spellEnd"/>
      <w:r w:rsidRPr="00DC1A5F">
        <w:t xml:space="preserve"> I 159). (d) La fruición por medio de la cual surja la absorción de la cesación estará próxima a la base consistente de la no–percepción–no–percepción.</w:t>
      </w:r>
    </w:p>
    <w:p w14:paraId="3E0BCFEC" w14:textId="77777777" w:rsidR="00597DE2" w:rsidRPr="00DC1A5F" w:rsidRDefault="00597DE2" w:rsidP="00597DE2">
      <w:r w:rsidRPr="00DC1A5F">
        <w:t xml:space="preserve">15. </w:t>
      </w:r>
      <w:r w:rsidRPr="00DC1A5F">
        <w:tab/>
        <w:t xml:space="preserve">Aquí, todo excepto la fruición que surja en la serie cognitiva del </w:t>
      </w:r>
      <w:proofErr w:type="gramStart"/>
      <w:r w:rsidRPr="00DC1A5F">
        <w:t>sendero,</w:t>
      </w:r>
      <w:proofErr w:type="gramEnd"/>
      <w:r w:rsidRPr="00DC1A5F">
        <w:t xml:space="preserve"> ocurrirá como una consumación de la fruición. Entonces, ya sea que surja en la serie cognitiva del sendero o en la consumación de la fruición:</w:t>
      </w:r>
    </w:p>
    <w:p w14:paraId="66345FA2" w14:textId="77777777" w:rsidR="00597DE2" w:rsidRPr="00DC1A5F" w:rsidRDefault="00597DE2" w:rsidP="00597DE2">
      <w:pPr>
        <w:pStyle w:val="VersoIngls01Sangria"/>
        <w:rPr>
          <w:sz w:val="16"/>
          <w:szCs w:val="20"/>
        </w:rPr>
      </w:pPr>
      <w:r w:rsidRPr="00DC1A5F">
        <w:rPr>
          <w:sz w:val="16"/>
          <w:szCs w:val="20"/>
        </w:rPr>
        <w:t>La fruición sublime del ascetismo,</w:t>
      </w:r>
    </w:p>
    <w:p w14:paraId="0245ADF6" w14:textId="77777777" w:rsidR="00597DE2" w:rsidRPr="00DC1A5F" w:rsidRDefault="00597DE2" w:rsidP="00597DE2">
      <w:pPr>
        <w:pStyle w:val="VersoIngls01Sangria"/>
        <w:rPr>
          <w:sz w:val="16"/>
          <w:szCs w:val="20"/>
        </w:rPr>
      </w:pPr>
      <w:r w:rsidRPr="00DC1A5F">
        <w:rPr>
          <w:sz w:val="16"/>
          <w:szCs w:val="20"/>
        </w:rPr>
        <w:t>Aquella que tranquiliza toda angustia,</w:t>
      </w:r>
    </w:p>
    <w:p w14:paraId="462F5D41" w14:textId="77777777" w:rsidR="00597DE2" w:rsidRPr="00DC1A5F" w:rsidRDefault="00597DE2" w:rsidP="00597DE2">
      <w:pPr>
        <w:pStyle w:val="VersoIngls01Sangria"/>
        <w:rPr>
          <w:sz w:val="16"/>
          <w:szCs w:val="20"/>
        </w:rPr>
      </w:pPr>
      <w:r w:rsidRPr="00DC1A5F">
        <w:rPr>
          <w:sz w:val="16"/>
          <w:szCs w:val="20"/>
        </w:rPr>
        <w:t>Su belleza en los Inmortales trazará</w:t>
      </w:r>
    </w:p>
    <w:p w14:paraId="22196ADF" w14:textId="77777777" w:rsidR="00597DE2" w:rsidRPr="00DC1A5F" w:rsidRDefault="00597DE2" w:rsidP="00597DE2">
      <w:pPr>
        <w:pStyle w:val="VersoIngls01Sangria"/>
        <w:spacing w:after="100"/>
        <w:ind w:left="1418"/>
        <w:rPr>
          <w:sz w:val="16"/>
          <w:szCs w:val="20"/>
        </w:rPr>
      </w:pPr>
      <w:r w:rsidRPr="00DC1A5F">
        <w:rPr>
          <w:sz w:val="16"/>
          <w:szCs w:val="20"/>
        </w:rPr>
        <w:t>Su calma debido a la ausencia de toda mundanalidad. [702]</w:t>
      </w:r>
    </w:p>
    <w:p w14:paraId="4425B8D7" w14:textId="77777777" w:rsidR="00597DE2" w:rsidRPr="00DC1A5F" w:rsidRDefault="00597DE2" w:rsidP="00597DE2">
      <w:pPr>
        <w:pStyle w:val="VersoIngls01Sangria"/>
        <w:rPr>
          <w:sz w:val="16"/>
          <w:szCs w:val="20"/>
        </w:rPr>
      </w:pPr>
      <w:r w:rsidRPr="00DC1A5F">
        <w:rPr>
          <w:sz w:val="16"/>
          <w:szCs w:val="20"/>
        </w:rPr>
        <w:t xml:space="preserve">De una </w:t>
      </w:r>
      <w:proofErr w:type="gramStart"/>
      <w:r w:rsidRPr="00DC1A5F">
        <w:rPr>
          <w:sz w:val="16"/>
          <w:szCs w:val="20"/>
        </w:rPr>
        <w:t>dicha dulce</w:t>
      </w:r>
      <w:proofErr w:type="gramEnd"/>
      <w:r w:rsidRPr="00DC1A5F">
        <w:rPr>
          <w:sz w:val="16"/>
          <w:szCs w:val="20"/>
        </w:rPr>
        <w:t xml:space="preserve"> y purificadora</w:t>
      </w:r>
    </w:p>
    <w:p w14:paraId="7630E30C" w14:textId="77777777" w:rsidR="00597DE2" w:rsidRPr="00DC1A5F" w:rsidRDefault="00597DE2" w:rsidP="00597DE2">
      <w:pPr>
        <w:pStyle w:val="VersoIngls01Sangria"/>
        <w:rPr>
          <w:sz w:val="16"/>
          <w:szCs w:val="20"/>
        </w:rPr>
      </w:pPr>
      <w:r w:rsidRPr="00DC1A5F">
        <w:rPr>
          <w:sz w:val="16"/>
          <w:szCs w:val="20"/>
        </w:rPr>
        <w:t xml:space="preserve">Será además un manantial, </w:t>
      </w:r>
    </w:p>
    <w:p w14:paraId="4C83467C" w14:textId="77777777" w:rsidR="00597DE2" w:rsidRPr="00DC1A5F" w:rsidRDefault="00597DE2" w:rsidP="00597DE2">
      <w:pPr>
        <w:pStyle w:val="VersoIngls01Sangria"/>
        <w:rPr>
          <w:sz w:val="16"/>
          <w:szCs w:val="20"/>
        </w:rPr>
      </w:pPr>
      <w:r w:rsidRPr="00DC1A5F">
        <w:rPr>
          <w:sz w:val="16"/>
          <w:szCs w:val="20"/>
        </w:rPr>
        <w:t>Cuya dulce ambrosía como la miel</w:t>
      </w:r>
    </w:p>
    <w:p w14:paraId="6333D817" w14:textId="77777777" w:rsidR="00597DE2" w:rsidRPr="00DC1A5F" w:rsidRDefault="00597DE2" w:rsidP="00597DE2">
      <w:pPr>
        <w:pStyle w:val="VersoIngls01Sangria"/>
        <w:spacing w:after="100"/>
        <w:ind w:left="1418"/>
        <w:rPr>
          <w:sz w:val="16"/>
          <w:szCs w:val="20"/>
        </w:rPr>
      </w:pPr>
      <w:r w:rsidRPr="00DC1A5F">
        <w:rPr>
          <w:sz w:val="16"/>
          <w:szCs w:val="20"/>
        </w:rPr>
        <w:t>Proporcionará un sustento inmortal.</w:t>
      </w:r>
    </w:p>
    <w:p w14:paraId="56F5CA6A" w14:textId="77777777" w:rsidR="00597DE2" w:rsidRPr="00DC1A5F" w:rsidRDefault="00597DE2" w:rsidP="00597DE2">
      <w:pPr>
        <w:pStyle w:val="VersoIngls01Sangria"/>
        <w:rPr>
          <w:sz w:val="16"/>
          <w:szCs w:val="20"/>
        </w:rPr>
      </w:pPr>
      <w:r w:rsidRPr="00DC1A5F">
        <w:rPr>
          <w:sz w:val="16"/>
          <w:szCs w:val="20"/>
        </w:rPr>
        <w:t>Ahora bien, si un hombre sabio cultivase</w:t>
      </w:r>
    </w:p>
    <w:p w14:paraId="2E63191A" w14:textId="77777777" w:rsidR="00597DE2" w:rsidRPr="00DC1A5F" w:rsidRDefault="00597DE2" w:rsidP="00597DE2">
      <w:pPr>
        <w:pStyle w:val="VersoIngls01Sangria"/>
        <w:rPr>
          <w:sz w:val="16"/>
          <w:szCs w:val="20"/>
        </w:rPr>
      </w:pPr>
      <w:r w:rsidRPr="00DC1A5F">
        <w:rPr>
          <w:sz w:val="16"/>
          <w:szCs w:val="20"/>
        </w:rPr>
        <w:t>Su entendimiento, él conocerá</w:t>
      </w:r>
    </w:p>
    <w:p w14:paraId="2AC6D70F" w14:textId="77777777" w:rsidR="00597DE2" w:rsidRPr="00DC1A5F" w:rsidRDefault="00597DE2" w:rsidP="00597DE2">
      <w:pPr>
        <w:pStyle w:val="VersoIngls01Sangria"/>
        <w:rPr>
          <w:sz w:val="16"/>
          <w:szCs w:val="20"/>
        </w:rPr>
      </w:pPr>
      <w:r w:rsidRPr="00DC1A5F">
        <w:rPr>
          <w:sz w:val="16"/>
          <w:szCs w:val="20"/>
        </w:rPr>
        <w:t xml:space="preserve">Esta dicha sin par, que corresponderá al sabor </w:t>
      </w:r>
    </w:p>
    <w:p w14:paraId="29352168" w14:textId="77777777" w:rsidR="00597DE2" w:rsidRPr="00DC1A5F" w:rsidRDefault="00597DE2" w:rsidP="00597DE2">
      <w:pPr>
        <w:pStyle w:val="VersoIngls01Sangria"/>
        <w:spacing w:after="100"/>
        <w:ind w:left="1418"/>
        <w:rPr>
          <w:sz w:val="16"/>
          <w:szCs w:val="20"/>
        </w:rPr>
      </w:pPr>
      <w:r w:rsidRPr="00DC1A5F">
        <w:rPr>
          <w:sz w:val="16"/>
          <w:szCs w:val="20"/>
        </w:rPr>
        <w:t>Proporcionado por la noble fruición; y es por ello</w:t>
      </w:r>
    </w:p>
    <w:p w14:paraId="764F6D24" w14:textId="77777777" w:rsidR="00597DE2" w:rsidRPr="00DC1A5F" w:rsidRDefault="00597DE2" w:rsidP="00597DE2">
      <w:pPr>
        <w:pStyle w:val="VersoIngls01Sangria"/>
        <w:rPr>
          <w:sz w:val="16"/>
          <w:szCs w:val="20"/>
        </w:rPr>
      </w:pPr>
      <w:r w:rsidRPr="00DC1A5F">
        <w:rPr>
          <w:sz w:val="16"/>
          <w:szCs w:val="20"/>
        </w:rPr>
        <w:t>Ésta sea la razón por la que ellos la llamen</w:t>
      </w:r>
    </w:p>
    <w:p w14:paraId="601B0087" w14:textId="77777777" w:rsidR="00597DE2" w:rsidRPr="00DC1A5F" w:rsidRDefault="00597DE2" w:rsidP="00597DE2">
      <w:pPr>
        <w:pStyle w:val="VersoIngls01Sangria"/>
        <w:rPr>
          <w:sz w:val="16"/>
          <w:szCs w:val="20"/>
        </w:rPr>
      </w:pPr>
      <w:r w:rsidRPr="00DC1A5F">
        <w:rPr>
          <w:sz w:val="16"/>
          <w:szCs w:val="20"/>
        </w:rPr>
        <w:t xml:space="preserve">La experiencia correcta, aquí y ahora, </w:t>
      </w:r>
    </w:p>
    <w:p w14:paraId="06F01E07" w14:textId="77777777" w:rsidR="00597DE2" w:rsidRPr="00DC1A5F" w:rsidRDefault="00597DE2" w:rsidP="00597DE2">
      <w:pPr>
        <w:pStyle w:val="VersoIngls01Sangria"/>
        <w:rPr>
          <w:sz w:val="16"/>
          <w:szCs w:val="20"/>
        </w:rPr>
      </w:pPr>
      <w:r w:rsidRPr="00DC1A5F">
        <w:rPr>
          <w:sz w:val="16"/>
          <w:szCs w:val="20"/>
        </w:rPr>
        <w:t>Del sabor de la noble fruición</w:t>
      </w:r>
    </w:p>
    <w:p w14:paraId="44BCA3FF" w14:textId="77777777" w:rsidR="00597DE2" w:rsidRPr="00DC1A5F" w:rsidRDefault="00597DE2" w:rsidP="00597DE2">
      <w:pPr>
        <w:pStyle w:val="VersoIngls01Sangria"/>
        <w:spacing w:after="100"/>
        <w:ind w:left="1418"/>
        <w:rPr>
          <w:sz w:val="16"/>
          <w:szCs w:val="20"/>
        </w:rPr>
      </w:pPr>
      <w:r w:rsidRPr="00DC1A5F">
        <w:rPr>
          <w:sz w:val="16"/>
          <w:szCs w:val="20"/>
        </w:rPr>
        <w:t>Una bendición de una sabiduría–revelativa consumada.</w:t>
      </w:r>
    </w:p>
    <w:p w14:paraId="13EC42FC" w14:textId="77777777" w:rsidR="00597DE2" w:rsidRPr="00DC1A5F" w:rsidRDefault="00597DE2" w:rsidP="00597DE2">
      <w:pPr>
        <w:pStyle w:val="Ttulo3"/>
        <w:ind w:left="708"/>
      </w:pPr>
      <w:r w:rsidRPr="00DC1A5F">
        <w:t>[C. La Consumación de la Cesación]</w:t>
      </w:r>
    </w:p>
    <w:p w14:paraId="69D26CC0" w14:textId="77777777" w:rsidR="00597DE2" w:rsidRPr="00DC1A5F" w:rsidRDefault="00597DE2" w:rsidP="00597DE2">
      <w:r w:rsidRPr="00DC1A5F">
        <w:t xml:space="preserve">16. </w:t>
      </w:r>
      <w:r w:rsidRPr="00DC1A5F">
        <w:tab/>
        <w:t>Y no sólo la experiencia del sabor de la noble fruición, sino también la capacidad de desarrollar la consumación de la cesación deberá entenderse como un beneficio del desarrollo del entendimiento.</w:t>
      </w:r>
    </w:p>
    <w:p w14:paraId="48A2EC39" w14:textId="77777777" w:rsidR="00597DE2" w:rsidRPr="00DC1A5F" w:rsidRDefault="00597DE2" w:rsidP="00597DE2">
      <w:r w:rsidRPr="00DC1A5F">
        <w:t xml:space="preserve">17. </w:t>
      </w:r>
      <w:r w:rsidRPr="00DC1A5F">
        <w:tab/>
        <w:t>Ahora, con el objeto de explicar la consumación de la cesación, existe el siguiente conjunto de preguntas:</w:t>
      </w:r>
    </w:p>
    <w:p w14:paraId="2D4D24D2" w14:textId="77777777" w:rsidR="00597DE2" w:rsidRPr="00DC1A5F" w:rsidRDefault="00597DE2" w:rsidP="00597DE2">
      <w:pPr>
        <w:pStyle w:val="NumReload2"/>
      </w:pPr>
      <w:r w:rsidRPr="00DC1A5F">
        <w:tab/>
        <w:t xml:space="preserve">(i). </w:t>
      </w:r>
      <w:r w:rsidRPr="00DC1A5F">
        <w:tab/>
        <w:t>¿Qué es la consumación de la cesación?</w:t>
      </w:r>
    </w:p>
    <w:p w14:paraId="038A452A" w14:textId="77777777" w:rsidR="00597DE2" w:rsidRPr="00DC1A5F" w:rsidRDefault="00597DE2" w:rsidP="00597DE2">
      <w:pPr>
        <w:pStyle w:val="NumReload2"/>
      </w:pPr>
      <w:r w:rsidRPr="00DC1A5F">
        <w:tab/>
        <w:t>(</w:t>
      </w:r>
      <w:proofErr w:type="spellStart"/>
      <w:r w:rsidRPr="00DC1A5F">
        <w:t>ii</w:t>
      </w:r>
      <w:proofErr w:type="spellEnd"/>
      <w:r w:rsidRPr="00DC1A5F">
        <w:t>).</w:t>
      </w:r>
      <w:r w:rsidRPr="00DC1A5F">
        <w:tab/>
        <w:t xml:space="preserve"> ¿Quiénes la consuman?</w:t>
      </w:r>
    </w:p>
    <w:p w14:paraId="6A8C0A90" w14:textId="77777777" w:rsidR="00597DE2" w:rsidRPr="00DC1A5F" w:rsidRDefault="00597DE2" w:rsidP="00597DE2">
      <w:pPr>
        <w:pStyle w:val="NumReload2"/>
      </w:pPr>
      <w:r w:rsidRPr="00DC1A5F">
        <w:tab/>
        <w:t>(</w:t>
      </w:r>
      <w:proofErr w:type="spellStart"/>
      <w:r w:rsidRPr="00DC1A5F">
        <w:t>iii</w:t>
      </w:r>
      <w:proofErr w:type="spellEnd"/>
      <w:r w:rsidRPr="00DC1A5F">
        <w:t xml:space="preserve">). </w:t>
      </w:r>
      <w:r w:rsidRPr="00DC1A5F">
        <w:tab/>
        <w:t>¿Quiénes no la consuman?</w:t>
      </w:r>
    </w:p>
    <w:p w14:paraId="197E19E5" w14:textId="77777777" w:rsidR="00597DE2" w:rsidRPr="00DC1A5F" w:rsidRDefault="00597DE2" w:rsidP="00597DE2">
      <w:pPr>
        <w:pStyle w:val="NumReload2"/>
      </w:pPr>
      <w:r w:rsidRPr="00DC1A5F">
        <w:tab/>
        <w:t>(</w:t>
      </w:r>
      <w:proofErr w:type="spellStart"/>
      <w:r w:rsidRPr="00DC1A5F">
        <w:t>iv</w:t>
      </w:r>
      <w:proofErr w:type="spellEnd"/>
      <w:r w:rsidRPr="00DC1A5F">
        <w:t xml:space="preserve">). </w:t>
      </w:r>
      <w:r w:rsidRPr="00DC1A5F">
        <w:tab/>
        <w:t>¿Dónde la consuman?</w:t>
      </w:r>
    </w:p>
    <w:p w14:paraId="15B42908" w14:textId="77777777" w:rsidR="00597DE2" w:rsidRPr="00DC1A5F" w:rsidRDefault="00597DE2" w:rsidP="00597DE2">
      <w:pPr>
        <w:pStyle w:val="NumReload2"/>
      </w:pPr>
      <w:r w:rsidRPr="00DC1A5F">
        <w:tab/>
        <w:t xml:space="preserve">(v). </w:t>
      </w:r>
      <w:r w:rsidRPr="00DC1A5F">
        <w:tab/>
        <w:t>¿Por qué se consuma?</w:t>
      </w:r>
    </w:p>
    <w:p w14:paraId="3B96CC48" w14:textId="77777777" w:rsidR="00597DE2" w:rsidRPr="00DC1A5F" w:rsidRDefault="00597DE2" w:rsidP="00597DE2">
      <w:pPr>
        <w:pStyle w:val="NumReload2"/>
      </w:pPr>
      <w:r w:rsidRPr="00DC1A5F">
        <w:tab/>
        <w:t xml:space="preserve">(vi). </w:t>
      </w:r>
      <w:r w:rsidRPr="00DC1A5F">
        <w:tab/>
        <w:t>¿Cómo se da su consumación?</w:t>
      </w:r>
    </w:p>
    <w:p w14:paraId="2327BEB9" w14:textId="77777777" w:rsidR="00597DE2" w:rsidRPr="00DC1A5F" w:rsidRDefault="00597DE2" w:rsidP="00597DE2">
      <w:pPr>
        <w:pStyle w:val="NumReload2"/>
      </w:pPr>
      <w:r w:rsidRPr="00DC1A5F">
        <w:tab/>
        <w:t>(</w:t>
      </w:r>
      <w:proofErr w:type="spellStart"/>
      <w:r w:rsidRPr="00DC1A5F">
        <w:t>vii</w:t>
      </w:r>
      <w:proofErr w:type="spellEnd"/>
      <w:r w:rsidRPr="00DC1A5F">
        <w:t xml:space="preserve">). </w:t>
      </w:r>
      <w:r w:rsidRPr="00DC1A5F">
        <w:tab/>
        <w:t>¿Cómo se hace para que perdure?</w:t>
      </w:r>
    </w:p>
    <w:p w14:paraId="46CC8D82" w14:textId="77777777" w:rsidR="00597DE2" w:rsidRPr="00DC1A5F" w:rsidRDefault="00597DE2" w:rsidP="00597DE2">
      <w:pPr>
        <w:pStyle w:val="NumReload2"/>
      </w:pPr>
      <w:r w:rsidRPr="00DC1A5F">
        <w:tab/>
        <w:t>(</w:t>
      </w:r>
      <w:proofErr w:type="spellStart"/>
      <w:r w:rsidRPr="00DC1A5F">
        <w:t>viii</w:t>
      </w:r>
      <w:proofErr w:type="spellEnd"/>
      <w:r w:rsidRPr="00DC1A5F">
        <w:t xml:space="preserve">). </w:t>
      </w:r>
      <w:r w:rsidRPr="00DC1A5F">
        <w:tab/>
        <w:t>¿Cómo se produce el emerger de ella?</w:t>
      </w:r>
    </w:p>
    <w:p w14:paraId="305D86F3" w14:textId="77777777" w:rsidR="00597DE2" w:rsidRPr="00DC1A5F" w:rsidRDefault="00597DE2" w:rsidP="00597DE2">
      <w:pPr>
        <w:tabs>
          <w:tab w:val="clear" w:pos="425"/>
        </w:tabs>
        <w:spacing w:after="160"/>
      </w:pPr>
      <w:r w:rsidRPr="00DC1A5F">
        <w:br w:type="page"/>
      </w:r>
    </w:p>
    <w:p w14:paraId="0F0EE023" w14:textId="77777777" w:rsidR="00597DE2" w:rsidRPr="00DC1A5F" w:rsidRDefault="00597DE2" w:rsidP="00597DE2">
      <w:pPr>
        <w:pStyle w:val="NumReload2"/>
      </w:pPr>
      <w:r w:rsidRPr="00DC1A5F">
        <w:lastRenderedPageBreak/>
        <w:tab/>
        <w:t>(</w:t>
      </w:r>
      <w:proofErr w:type="spellStart"/>
      <w:r w:rsidRPr="00DC1A5F">
        <w:t>ix</w:t>
      </w:r>
      <w:proofErr w:type="spellEnd"/>
      <w:r w:rsidRPr="00DC1A5F">
        <w:t xml:space="preserve">). </w:t>
      </w:r>
      <w:r w:rsidRPr="00DC1A5F">
        <w:tab/>
        <w:t>¿Hacia qué tiende la mente de quien haya emergido de ella?</w:t>
      </w:r>
    </w:p>
    <w:p w14:paraId="48B9599C" w14:textId="77777777" w:rsidR="00597DE2" w:rsidRPr="00DC1A5F" w:rsidRDefault="00597DE2" w:rsidP="00597DE2">
      <w:pPr>
        <w:pStyle w:val="NumReload2"/>
      </w:pPr>
      <w:r w:rsidRPr="00DC1A5F">
        <w:tab/>
        <w:t xml:space="preserve">(x). </w:t>
      </w:r>
      <w:r w:rsidRPr="00DC1A5F">
        <w:tab/>
        <w:t>¿Cuál es la diferencia entre alguien que la haya consumado y alguien que se encuentre muerto?</w:t>
      </w:r>
    </w:p>
    <w:p w14:paraId="09AF86AC" w14:textId="77777777" w:rsidR="00597DE2" w:rsidRPr="00DC1A5F" w:rsidRDefault="00597DE2" w:rsidP="00597DE2">
      <w:pPr>
        <w:pStyle w:val="NumReload2"/>
      </w:pPr>
      <w:r w:rsidRPr="00DC1A5F">
        <w:tab/>
        <w:t xml:space="preserve">(xi). </w:t>
      </w:r>
      <w:r w:rsidRPr="00DC1A5F">
        <w:tab/>
        <w:t>¿La consumación de la cesación es formada o no–formada, mundana o supramundana, producido o no–producida?</w:t>
      </w:r>
    </w:p>
    <w:p w14:paraId="2DCE3586" w14:textId="77777777" w:rsidR="00597DE2" w:rsidRPr="00DC1A5F" w:rsidRDefault="00597DE2" w:rsidP="00597DE2">
      <w:r w:rsidRPr="00DC1A5F">
        <w:t xml:space="preserve">18. </w:t>
      </w:r>
      <w:r w:rsidRPr="00DC1A5F">
        <w:tab/>
        <w:t xml:space="preserve">Al respecto, (i) </w:t>
      </w:r>
      <w:r w:rsidRPr="00DC1A5F">
        <w:rPr>
          <w:i/>
          <w:iCs/>
        </w:rPr>
        <w:t>¿A qué se le denomina absorción de la cesación?</w:t>
      </w:r>
      <w:r w:rsidRPr="00DC1A5F">
        <w:t xml:space="preserve"> Es la no–ocurrencia de la consciencia y sus concomitantes mentales debido a su cesación progresiva.</w:t>
      </w:r>
    </w:p>
    <w:p w14:paraId="5AE822A1" w14:textId="77777777" w:rsidR="00597DE2" w:rsidRPr="00DC1A5F" w:rsidRDefault="00597DE2" w:rsidP="00597DE2">
      <w:pPr>
        <w:pStyle w:val="NormalConSangria"/>
      </w:pPr>
      <w:r w:rsidRPr="00DC1A5F">
        <w:t>(</w:t>
      </w:r>
      <w:proofErr w:type="spellStart"/>
      <w:r w:rsidRPr="00DC1A5F">
        <w:t>ii</w:t>
      </w:r>
      <w:proofErr w:type="spellEnd"/>
      <w:r w:rsidRPr="00DC1A5F">
        <w:rPr>
          <w:i/>
          <w:iCs/>
        </w:rPr>
        <w:t>) ¿Quiénes la consuman?</w:t>
      </w:r>
      <w:r w:rsidRPr="00DC1A5F">
        <w:t xml:space="preserve"> (</w:t>
      </w:r>
      <w:proofErr w:type="spellStart"/>
      <w:r w:rsidRPr="00DC1A5F">
        <w:t>iii</w:t>
      </w:r>
      <w:proofErr w:type="spellEnd"/>
      <w:r w:rsidRPr="00DC1A5F">
        <w:t xml:space="preserve">) </w:t>
      </w:r>
      <w:r w:rsidRPr="00DC1A5F">
        <w:rPr>
          <w:i/>
          <w:iCs/>
        </w:rPr>
        <w:t>¿Quiénes no la consuman?</w:t>
      </w:r>
      <w:r w:rsidRPr="00DC1A5F">
        <w:t xml:space="preserve"> No pueden consumar la absorción de la cesación hombres ordinarios, entrante</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o retornantes–por–única–vez o no–retornantes o </w:t>
      </w:r>
      <w:r w:rsidRPr="00DC1A5F">
        <w:rPr>
          <w:i/>
          <w:iCs/>
        </w:rPr>
        <w:t>Arahants</w:t>
      </w:r>
      <w:r w:rsidRPr="00DC1A5F">
        <w:t xml:space="preserve"> que sean practicantes del desarrollo de </w:t>
      </w:r>
      <w:r w:rsidRPr="00DC1A5F">
        <w:rPr>
          <w:i/>
          <w:iCs/>
        </w:rPr>
        <w:t>sólo–sabiduría–revelativa.</w:t>
      </w:r>
      <w:r w:rsidRPr="00DC1A5F">
        <w:t xml:space="preserve"> No obstante, tanto no–retornantes como aquellos </w:t>
      </w:r>
      <w:r w:rsidRPr="00DC1A5F">
        <w:rPr>
          <w:i/>
          <w:iCs/>
        </w:rPr>
        <w:t>Arahants</w:t>
      </w:r>
      <w:r w:rsidRPr="00DC1A5F">
        <w:t xml:space="preserve"> de corrupciones destruidas que hayan desarrollado las 8 absorciones podrán consumar la absorción de la </w:t>
      </w:r>
      <w:proofErr w:type="spellStart"/>
      <w:r w:rsidRPr="00DC1A5F">
        <w:t>censación</w:t>
      </w:r>
      <w:proofErr w:type="spellEnd"/>
      <w:r w:rsidRPr="00DC1A5F">
        <w:t xml:space="preserve">. Ya que se dice lo siguiente al respecto: “El entendimiento que sea un </w:t>
      </w:r>
      <w:proofErr w:type="spellStart"/>
      <w:r w:rsidRPr="00DC1A5F">
        <w:t>doinio</w:t>
      </w:r>
      <w:proofErr w:type="spellEnd"/>
      <w:r w:rsidRPr="00DC1A5F">
        <w:t xml:space="preserve"> debido a la posesión de 2 poderes, al </w:t>
      </w:r>
      <w:proofErr w:type="spellStart"/>
      <w:r w:rsidRPr="00DC1A5F">
        <w:t>apacigamiento</w:t>
      </w:r>
      <w:proofErr w:type="spellEnd"/>
      <w:r w:rsidRPr="00DC1A5F">
        <w:t xml:space="preserve"> de 3 formaciones, a las 16 clases de ejercicio del conocimiento y a las 9 clases de ejercicio de concentración, corresponderán al conocimiento de la consumación de la cesación” (</w:t>
      </w:r>
      <w:r w:rsidRPr="00DC1A5F">
        <w:rPr>
          <w:i/>
          <w:iCs/>
        </w:rPr>
        <w:t>Patis</w:t>
      </w:r>
      <w:r w:rsidRPr="00DC1A5F">
        <w:t xml:space="preserve"> I 97). Y estas calificaciones no se encontrarán juntas en ninguna otra persona que no sean los no–retornantes y aquellos </w:t>
      </w:r>
      <w:r w:rsidRPr="00DC1A5F">
        <w:rPr>
          <w:i/>
          <w:iCs/>
        </w:rPr>
        <w:t>Arahants</w:t>
      </w:r>
      <w:r w:rsidRPr="00DC1A5F">
        <w:t xml:space="preserve"> cuyas corrupciones hayan sido destruidas, que además haya desarrollado </w:t>
      </w:r>
      <w:proofErr w:type="gramStart"/>
      <w:r w:rsidRPr="00DC1A5F">
        <w:t>los 8 absorciones</w:t>
      </w:r>
      <w:proofErr w:type="gramEnd"/>
      <w:r w:rsidRPr="00DC1A5F">
        <w:t>. Por ello, sólo ellos y ningún otro meditador lo podrá consumar.</w:t>
      </w:r>
    </w:p>
    <w:p w14:paraId="1685693C" w14:textId="77777777" w:rsidR="00597DE2" w:rsidRPr="00DC1A5F" w:rsidRDefault="00597DE2" w:rsidP="00597DE2">
      <w:r w:rsidRPr="00DC1A5F">
        <w:t xml:space="preserve">19. </w:t>
      </w:r>
      <w:r w:rsidRPr="00DC1A5F">
        <w:tab/>
        <w:t>No obstante, ¿Cuáles son los 2 poderes? ¿Y las 3 formaciones… y la maestría? Aquí no es necesario que mencionemos nada al respecto; ya que todo ha sido expuesto en la descripción del resumen [citado arriba], según lo que se dice al respecto:</w:t>
      </w:r>
    </w:p>
    <w:p w14:paraId="1722E81C" w14:textId="77777777" w:rsidR="00597DE2" w:rsidRPr="00DC1A5F" w:rsidRDefault="00597DE2" w:rsidP="00597DE2">
      <w:r w:rsidRPr="00DC1A5F">
        <w:t xml:space="preserve">20. </w:t>
      </w:r>
      <w:r w:rsidRPr="00DC1A5F">
        <w:tab/>
        <w:t>“</w:t>
      </w:r>
      <w:r w:rsidRPr="00DC1A5F">
        <w:rPr>
          <w:i/>
          <w:iCs/>
        </w:rPr>
        <w:t>De los 2 poderes</w:t>
      </w:r>
      <w:r w:rsidRPr="00DC1A5F">
        <w:t>: de los 2 poderes: el poder de la serenidad y el poder de la sabiduría–revelativa. [703]</w:t>
      </w:r>
    </w:p>
    <w:p w14:paraId="312F2E53" w14:textId="77777777" w:rsidR="00597DE2" w:rsidRPr="00DC1A5F" w:rsidRDefault="00597DE2" w:rsidP="00597DE2">
      <w:pPr>
        <w:pStyle w:val="NormalConSangria"/>
      </w:pPr>
      <w:r w:rsidRPr="00DC1A5F">
        <w:t xml:space="preserve">“¿Qué es </w:t>
      </w:r>
      <w:r w:rsidRPr="00DC1A5F">
        <w:rPr>
          <w:i/>
          <w:iCs/>
        </w:rPr>
        <w:t>serenidad</w:t>
      </w:r>
      <w:r w:rsidRPr="00DC1A5F">
        <w:t xml:space="preserve"> como poder? La unificación mental y la no–distracción debida a la renunciación corresponderán a la serenidad como poder. La unificación mental y la no–distracción debido a la no–mala–voluntad corresponderá a la serenidad como poder. La unificación mental y la no–distracción debido a la percepción de la ligereza… [la no distracción… la definición de los estados (</w:t>
      </w:r>
      <w:r w:rsidRPr="00DC1A5F">
        <w:rPr>
          <w:i/>
          <w:iCs/>
        </w:rPr>
        <w:t>dhamma</w:t>
      </w:r>
      <w:r w:rsidRPr="00DC1A5F">
        <w:t xml:space="preserve">)… al conocimiento… la alegría… las 8 absorciones, los 10 </w:t>
      </w:r>
      <w:proofErr w:type="spellStart"/>
      <w:r w:rsidRPr="00DC1A5F">
        <w:rPr>
          <w:i/>
          <w:iCs/>
        </w:rPr>
        <w:t>kasiṇas</w:t>
      </w:r>
      <w:proofErr w:type="spellEnd"/>
      <w:r w:rsidRPr="00DC1A5F">
        <w:t>, a las 10 evocaciones, las 9 contemplaciones de cementerios y los 32 modos de atención plena de la respiración]... la unificación mental y la no–distracción debido a la exhalación en alguien que esté contemplando la renunciación, corresponderán a la serenidad como poder.</w:t>
      </w:r>
    </w:p>
    <w:p w14:paraId="7A10E9CF" w14:textId="77777777" w:rsidR="00597DE2" w:rsidRPr="00DC1A5F" w:rsidRDefault="00597DE2" w:rsidP="00597DE2">
      <w:r w:rsidRPr="00DC1A5F">
        <w:t xml:space="preserve">21. </w:t>
      </w:r>
      <w:r w:rsidRPr="00DC1A5F">
        <w:tab/>
        <w:t xml:space="preserve">“¿En qué sentido la serenidad será un poder? Debido al primer </w:t>
      </w:r>
      <w:proofErr w:type="spellStart"/>
      <w:r w:rsidRPr="00DC1A5F">
        <w:rPr>
          <w:i/>
          <w:iCs/>
        </w:rPr>
        <w:t>jhāna</w:t>
      </w:r>
      <w:proofErr w:type="spellEnd"/>
      <w:r w:rsidRPr="00DC1A5F">
        <w:t xml:space="preserve">, no oscilará respecto a los obstáculos, por ello la serenidad corresponderá a un poder. Debido al segundo </w:t>
      </w:r>
      <w:proofErr w:type="spellStart"/>
      <w:r w:rsidRPr="00DC1A5F">
        <w:rPr>
          <w:i/>
          <w:iCs/>
        </w:rPr>
        <w:t>jhāna</w:t>
      </w:r>
      <w:proofErr w:type="spellEnd"/>
      <w:r w:rsidRPr="00DC1A5F">
        <w:t>, no vacilará debido a la aplicación y la sustentación mental, por ello la serenidad corresponderá a un poder... (</w:t>
      </w:r>
      <w:proofErr w:type="gramStart"/>
      <w:r w:rsidRPr="00DC1A5F">
        <w:t>etc.)...</w:t>
      </w:r>
      <w:proofErr w:type="gramEnd"/>
      <w:r w:rsidRPr="00DC1A5F">
        <w:t xml:space="preserve"> Debido a que la base consistente de la no–percepción–ni–no–percepción, no vacilará debido a la percepción de la base consistente del vacío, así será cómo la serenidad corresponderá a un poder. No vacilará ni se perturbará a causa de la agitación, a causa de las impurezas y los agregados que acompañen a la agitación, por lo que la serenidad corresponderá a un poder. Este será el poder de la serenidad.</w:t>
      </w:r>
    </w:p>
    <w:p w14:paraId="75E6AB39"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D43A1D2" w14:textId="77777777" w:rsidR="00597DE2" w:rsidRPr="00DC1A5F" w:rsidRDefault="00597DE2" w:rsidP="00597DE2">
      <w:pPr>
        <w:pStyle w:val="PiedepginaLegal"/>
      </w:pPr>
      <w:r w:rsidRPr="00DC1A5F">
        <w:t xml:space="preserve">8. </w:t>
      </w:r>
      <w:r w:rsidRPr="00DC1A5F">
        <w:tab/>
        <w:t xml:space="preserve">La lista entre paréntesis representa en forma resumida las cosas enumeradas en el </w:t>
      </w:r>
      <w:proofErr w:type="spellStart"/>
      <w:r w:rsidRPr="00DC1A5F">
        <w:rPr>
          <w:i/>
          <w:iCs/>
        </w:rPr>
        <w:t>Paṭis</w:t>
      </w:r>
      <w:proofErr w:type="spellEnd"/>
      <w:r w:rsidRPr="00DC1A5F">
        <w:t xml:space="preserve"> I 94–95, repetidas en este contexto en el </w:t>
      </w:r>
      <w:proofErr w:type="spellStart"/>
      <w:r w:rsidRPr="00DC1A5F">
        <w:rPr>
          <w:i/>
          <w:iCs/>
        </w:rPr>
        <w:t>Paṭisambhidā</w:t>
      </w:r>
      <w:proofErr w:type="spellEnd"/>
      <w:r w:rsidRPr="00DC1A5F">
        <w:t xml:space="preserve"> pero omitidas en la cita del </w:t>
      </w:r>
      <w:proofErr w:type="spellStart"/>
      <w:r w:rsidRPr="00DC1A5F">
        <w:t>Vism</w:t>
      </w:r>
      <w:proofErr w:type="spellEnd"/>
      <w:r w:rsidRPr="00DC1A5F">
        <w:t>.</w:t>
      </w:r>
    </w:p>
    <w:p w14:paraId="16A3AF5D" w14:textId="77777777" w:rsidR="00597DE2" w:rsidRPr="00DC1A5F" w:rsidRDefault="00597DE2" w:rsidP="00597DE2">
      <w:pPr>
        <w:pStyle w:val="PiedepginaLegal"/>
      </w:pPr>
      <w:r w:rsidRPr="00DC1A5F">
        <w:t xml:space="preserve">9. </w:t>
      </w:r>
      <w:r w:rsidRPr="00DC1A5F">
        <w:tab/>
        <w:t xml:space="preserve">La serenidad que se muestra aquí se refiere a la concentración de acceso (ver </w:t>
      </w:r>
      <w:proofErr w:type="spellStart"/>
      <w:r w:rsidRPr="00DC1A5F">
        <w:t>Vism</w:t>
      </w:r>
      <w:proofErr w:type="spellEnd"/>
      <w:r w:rsidRPr="00DC1A5F">
        <w:t>–</w:t>
      </w:r>
      <w:proofErr w:type="spellStart"/>
      <w:r w:rsidRPr="00DC1A5F">
        <w:t>mhṭ</w:t>
      </w:r>
      <w:proofErr w:type="spellEnd"/>
      <w:r w:rsidRPr="00DC1A5F">
        <w:t xml:space="preserve"> 899)</w:t>
      </w:r>
    </w:p>
    <w:p w14:paraId="208B2D7F" w14:textId="77777777" w:rsidR="00597DE2" w:rsidRPr="00DC1A5F" w:rsidRDefault="00597DE2" w:rsidP="00597DE2">
      <w:pPr>
        <w:tabs>
          <w:tab w:val="clear" w:pos="425"/>
        </w:tabs>
        <w:spacing w:after="160"/>
      </w:pPr>
      <w:r w:rsidRPr="00DC1A5F">
        <w:br w:type="page"/>
      </w:r>
    </w:p>
    <w:p w14:paraId="165D2925" w14:textId="77777777" w:rsidR="00597DE2" w:rsidRPr="00DC1A5F" w:rsidRDefault="00597DE2" w:rsidP="00597DE2">
      <w:r w:rsidRPr="00DC1A5F">
        <w:lastRenderedPageBreak/>
        <w:t xml:space="preserve">22. </w:t>
      </w:r>
      <w:r w:rsidRPr="00DC1A5F">
        <w:tab/>
        <w:t>“¿Qué es la sabiduría–revelativa como poder? La contemplación de la impermanencia corresponderá a la sabiduría–revelativa como un poder. La contemplación de la insatisfactoriedad... La contemplación del no–alma... La contemplación del desapasionamiento... La contemplación del desvanecimiento... La contemplación de la cesación... La contemplación de la renunciación corresponderá a la sabiduría–revelativa como un poder. La contemplación de la impermanencia en la materialidad... (</w:t>
      </w:r>
      <w:proofErr w:type="gramStart"/>
      <w:r w:rsidRPr="00DC1A5F">
        <w:t>etc.)...</w:t>
      </w:r>
      <w:proofErr w:type="gramEnd"/>
      <w:r w:rsidRPr="00DC1A5F">
        <w:t xml:space="preserve"> La contemplación de la renunciación en la materialidad corresponderá a la sabiduría–revelativa como un poder. La contemplación de la impermanencia de la sensación... de la percepción... de las formaciones... de la consciencia corresponderá a la sabiduría–revelativa como un poder... La contemplación de la renuncia en la consciencia corresponderá a la sabiduría–revelativa como un poder. La contemplación de la impermanencia en el ojo... (etc., véase </w:t>
      </w:r>
      <w:proofErr w:type="gramStart"/>
      <w:r w:rsidRPr="00DC1A5F">
        <w:t>XX.9)...</w:t>
      </w:r>
      <w:proofErr w:type="gramEnd"/>
      <w:r w:rsidRPr="00DC1A5F">
        <w:t xml:space="preserve"> La contemplación de la impermanencia en el envejecimiento y la muerte... (</w:t>
      </w:r>
      <w:proofErr w:type="gramStart"/>
      <w:r w:rsidRPr="00DC1A5F">
        <w:t>etc.)...</w:t>
      </w:r>
      <w:proofErr w:type="gramEnd"/>
      <w:r w:rsidRPr="00DC1A5F">
        <w:t xml:space="preserve"> La contemplación de la renunciación en el envejecimiento y la muerte corresponderá a la sabiduría–revelativa como un poder.</w:t>
      </w:r>
    </w:p>
    <w:p w14:paraId="0F003946" w14:textId="77777777" w:rsidR="00597DE2" w:rsidRPr="00DC1A5F" w:rsidRDefault="00597DE2" w:rsidP="00597DE2">
      <w:r w:rsidRPr="00DC1A5F">
        <w:t xml:space="preserve">23. </w:t>
      </w:r>
      <w:r w:rsidRPr="00DC1A5F">
        <w:tab/>
        <w:t>“¿En qué sentido será la sabiduría–revelativa un poder? Debido a la contemplación de la impermanencia, no vacilará debido a la percepción de permanencia, por ello la sabiduría se manifestará así como un poder. Debido a la contemplación del dolor no vacilará sobre una percepción de placer... Debido a la contemplación del no–alma no vacilará sobre la percepción de alma... Debido a la contemplación del desapasionamiento no vacilará sobre un placer... Debido a la contemplación de la desaparición, no vacilará a causa de la codicia... Debido a la contemplación de la cesación, no vacilará a causa del surgimiento... Debido a la contemplación de la renunciación, no vacilará a causa de la mezquindad, por lo tanto, la sabiduría–revelativa corresponderá así a un poder. No vacilará ni se perturbará ni titubeará a causa de la ignorancia ni a causa de las impurezas o los agregados que acompañen a la ignorancia, por lo que la sabiduría–revelativa corresponderá así a un poder.</w:t>
      </w:r>
    </w:p>
    <w:p w14:paraId="16A1FB30" w14:textId="77777777" w:rsidR="00597DE2" w:rsidRPr="00DC1A5F" w:rsidRDefault="00597DE2" w:rsidP="00597DE2">
      <w:r w:rsidRPr="00DC1A5F">
        <w:t xml:space="preserve">24. </w:t>
      </w:r>
      <w:r w:rsidRPr="00DC1A5F">
        <w:tab/>
        <w:t>“</w:t>
      </w:r>
      <w:r w:rsidRPr="00DC1A5F">
        <w:rPr>
          <w:i/>
          <w:iCs/>
        </w:rPr>
        <w:t>Debido al apaciguamiento de 3 formaciones</w:t>
      </w:r>
      <w:r w:rsidRPr="00DC1A5F">
        <w:t xml:space="preserve">: ¿debido al apaciguamiento de qué 3 formaciones? En aquel que haya desarrollado el segundo </w:t>
      </w:r>
      <w:proofErr w:type="spellStart"/>
      <w:r w:rsidRPr="00DC1A5F">
        <w:rPr>
          <w:i/>
          <w:iCs/>
        </w:rPr>
        <w:t>jhāna</w:t>
      </w:r>
      <w:proofErr w:type="spellEnd"/>
      <w:r w:rsidRPr="00DC1A5F">
        <w:t xml:space="preserve">, las formaciones verbales consistente de aplicación y sustentación mental se encontrarán bastante apaciguadas. En aquel que haya desarrollado el cuarto </w:t>
      </w:r>
      <w:proofErr w:type="spellStart"/>
      <w:r w:rsidRPr="00DC1A5F">
        <w:rPr>
          <w:i/>
          <w:iCs/>
        </w:rPr>
        <w:t>jhāna</w:t>
      </w:r>
      <w:proofErr w:type="spellEnd"/>
      <w:r w:rsidRPr="00DC1A5F">
        <w:t xml:space="preserve">, las formaciones corporales que </w:t>
      </w:r>
      <w:proofErr w:type="gramStart"/>
      <w:r w:rsidRPr="00DC1A5F">
        <w:t>consistan de</w:t>
      </w:r>
      <w:proofErr w:type="gramEnd"/>
      <w:r w:rsidRPr="00DC1A5F">
        <w:t xml:space="preserve"> la inhalación y exhalación se encontrarán bastante apaciguadas. En aquel que haya desarrollado la cesación de la percepción y la sensación, las formaciones mentales que </w:t>
      </w:r>
      <w:proofErr w:type="gramStart"/>
      <w:r w:rsidRPr="00DC1A5F">
        <w:t>consistan de</w:t>
      </w:r>
      <w:proofErr w:type="gramEnd"/>
      <w:r w:rsidRPr="00DC1A5F">
        <w:t xml:space="preserve"> la sensación y la percepción se encontrarán bastante apaciguadas. Esto se deberá a la tranquilización de estas 3 formaciones.</w:t>
      </w:r>
    </w:p>
    <w:p w14:paraId="5F2E2239" w14:textId="77777777" w:rsidR="00597DE2" w:rsidRPr="00DC1A5F" w:rsidRDefault="00597DE2" w:rsidP="00597DE2">
      <w:r w:rsidRPr="00DC1A5F">
        <w:t xml:space="preserve">25. </w:t>
      </w:r>
      <w:r w:rsidRPr="00DC1A5F">
        <w:tab/>
        <w:t>“Debido a 16 tipos de ejercicio de conocimiento: ¿debido a qué 16 tipos de ejercicio del conocimiento? La contemplación de la impermanencia será una especie de ejercicio del conocimiento. La contemplación del dolor... La contemplación del no–alma... La contemplación del desapasionamiento... La contemplación del desvanecimiento... La contemplación de la cesación... La contemplación del abandono... La contemplación del distanciamiento corresponderá a una especie de ejercicio del conocimiento. [704] El sendero de la entrada</w:t>
      </w:r>
      <w:r w:rsidRPr="00DC1A5F">
        <w:rPr>
          <w:rFonts w:cs="Cormorant"/>
        </w:rPr>
        <w:t>‒</w:t>
      </w:r>
      <w:r w:rsidRPr="00DC1A5F">
        <w:t>a</w:t>
      </w:r>
      <w:r w:rsidRPr="00DC1A5F">
        <w:rPr>
          <w:rFonts w:cs="Cormorant"/>
        </w:rPr>
        <w:t>‒</w:t>
      </w:r>
      <w:r w:rsidRPr="00DC1A5F">
        <w:t>la</w:t>
      </w:r>
      <w:r w:rsidRPr="00DC1A5F">
        <w:rPr>
          <w:rFonts w:cs="Cormorant"/>
        </w:rPr>
        <w:t>‒</w:t>
      </w:r>
      <w:r w:rsidRPr="00DC1A5F">
        <w:t xml:space="preserve">corriente será una especie de ejercicio del conocimiento. La consumación de la fruición de la entrada a la corriente... El sendero del retornante–por–única–vez... la consumación de la fruición del retorno único... El sendero del no–retorno... la consumación de la fruición del no–retorno... El sendero del </w:t>
      </w:r>
      <w:r w:rsidRPr="00DC1A5F">
        <w:rPr>
          <w:i/>
          <w:iCs/>
        </w:rPr>
        <w:t>Arahant</w:t>
      </w:r>
      <w:r w:rsidRPr="00DC1A5F">
        <w:t xml:space="preserve">... La consumación de la fruición del estado de </w:t>
      </w:r>
      <w:r w:rsidRPr="00DC1A5F">
        <w:rPr>
          <w:i/>
          <w:iCs/>
        </w:rPr>
        <w:t>Arahant</w:t>
      </w:r>
      <w:r w:rsidRPr="00DC1A5F">
        <w:t xml:space="preserve"> corresponderá a una especie de ejercicio del conocimiento. Esto se deberá a estos 16 tipos de ejercicio del conocimiento.</w:t>
      </w:r>
    </w:p>
    <w:p w14:paraId="07E3D0FB" w14:textId="77777777" w:rsidR="00597DE2" w:rsidRPr="00DC1A5F" w:rsidRDefault="00597DE2" w:rsidP="00597DE2">
      <w:r w:rsidRPr="00DC1A5F">
        <w:t xml:space="preserve">26. </w:t>
      </w:r>
      <w:r w:rsidRPr="00DC1A5F">
        <w:tab/>
        <w:t xml:space="preserve">“Debido a 9 clases de ejercicio de concentración: ¿debido a qué 9 clases de ejercicio de </w:t>
      </w:r>
      <w:r w:rsidRPr="00DC1A5F">
        <w:br w:type="page"/>
      </w:r>
    </w:p>
    <w:p w14:paraId="49D4F2B7" w14:textId="77777777" w:rsidR="00597DE2" w:rsidRPr="00DC1A5F" w:rsidRDefault="00597DE2" w:rsidP="00597DE2">
      <w:r w:rsidRPr="00DC1A5F">
        <w:lastRenderedPageBreak/>
        <w:t xml:space="preserve">concentración? El primer </w:t>
      </w:r>
      <w:proofErr w:type="spellStart"/>
      <w:r w:rsidRPr="00DC1A5F">
        <w:rPr>
          <w:i/>
          <w:iCs/>
        </w:rPr>
        <w:t>jhāna</w:t>
      </w:r>
      <w:proofErr w:type="spellEnd"/>
      <w:r w:rsidRPr="00DC1A5F">
        <w:t xml:space="preserve"> será una especie de ejercicio de concentración. El segundo </w:t>
      </w:r>
      <w:proofErr w:type="spellStart"/>
      <w:r w:rsidRPr="00DC1A5F">
        <w:rPr>
          <w:i/>
          <w:iCs/>
        </w:rPr>
        <w:t>jhāna</w:t>
      </w:r>
      <w:proofErr w:type="spellEnd"/>
      <w:r w:rsidRPr="00DC1A5F">
        <w:t xml:space="preserve">... [El tercer </w:t>
      </w:r>
      <w:proofErr w:type="spellStart"/>
      <w:r w:rsidRPr="00DC1A5F">
        <w:rPr>
          <w:i/>
          <w:iCs/>
        </w:rPr>
        <w:t>jhāna</w:t>
      </w:r>
      <w:proofErr w:type="spellEnd"/>
      <w:r w:rsidRPr="00DC1A5F">
        <w:t xml:space="preserve">... El cuarto </w:t>
      </w:r>
      <w:proofErr w:type="spellStart"/>
      <w:r w:rsidRPr="00DC1A5F">
        <w:rPr>
          <w:i/>
          <w:iCs/>
        </w:rPr>
        <w:t>jhāna</w:t>
      </w:r>
      <w:proofErr w:type="spellEnd"/>
      <w:r w:rsidRPr="00DC1A5F">
        <w:t xml:space="preserve">... La absorción de la base consistente del espacio infinito... La absorción de la base consistente de la consciencia infinita… La absorción de la base consistente del vacío...]. La absorción de la base consistente de la no–percepción–ni–no–percepción corresponderá a una especie de ejercicio de concentración. Y la aplicación y sustentación mental, la felicidad, la dicha y la unificación mental que tengan como propósito el desarrollo del primer </w:t>
      </w:r>
      <w:proofErr w:type="spellStart"/>
      <w:r w:rsidRPr="00DC1A5F">
        <w:rPr>
          <w:i/>
          <w:iCs/>
        </w:rPr>
        <w:t>jhāna</w:t>
      </w:r>
      <w:proofErr w:type="spellEnd"/>
      <w:r w:rsidRPr="00DC1A5F">
        <w:t>… (</w:t>
      </w:r>
      <w:proofErr w:type="gramStart"/>
      <w:r w:rsidRPr="00DC1A5F">
        <w:t>etc.)…</w:t>
      </w:r>
      <w:proofErr w:type="gramEnd"/>
      <w:r w:rsidRPr="00DC1A5F">
        <w:t xml:space="preserve"> Y la aplicación y sustentación mental, la felicidad, la dicha y la unificación mental que tenga como propósito desarrollar la absorción de la base consistente de la no–percepción–ni–no–percepción. Esto se deberá a estos 9 tipos de ejercicios de concentración.</w:t>
      </w:r>
    </w:p>
    <w:p w14:paraId="097045E7" w14:textId="77777777" w:rsidR="00597DE2" w:rsidRPr="00DC1A5F" w:rsidRDefault="00597DE2" w:rsidP="00597DE2">
      <w:r w:rsidRPr="00DC1A5F">
        <w:t xml:space="preserve">27. </w:t>
      </w:r>
      <w:r w:rsidRPr="00DC1A5F">
        <w:tab/>
        <w:t xml:space="preserve">“Maestría: existen 5 clases de maestría. La maestría en el advertir, en el alcanzar, en el resolver, en el emerger, en la examinación. Él advertirá el primer </w:t>
      </w:r>
      <w:proofErr w:type="spellStart"/>
      <w:r w:rsidRPr="00DC1A5F">
        <w:rPr>
          <w:i/>
          <w:iCs/>
        </w:rPr>
        <w:t>jhāna</w:t>
      </w:r>
      <w:proofErr w:type="spellEnd"/>
      <w:r w:rsidRPr="00DC1A5F">
        <w:t xml:space="preserve"> donde, cuando y durante el tiempo que lo desee, no tendrá dificultad para advertirlo, por lo tanto, corresponderá a una maestría en el advertir. Consumará el primer </w:t>
      </w:r>
      <w:proofErr w:type="spellStart"/>
      <w:r w:rsidRPr="00DC1A5F">
        <w:rPr>
          <w:i/>
          <w:iCs/>
        </w:rPr>
        <w:t>jhāna</w:t>
      </w:r>
      <w:proofErr w:type="spellEnd"/>
      <w:r w:rsidRPr="00DC1A5F">
        <w:t xml:space="preserve"> donde, cuando y durante el tiempo que lo desee, no tendrá dificultad para consumarlo, por lo tanto, corresponderá a una maestría en esta consumación. Él resolverá sobre la duración del primer </w:t>
      </w:r>
      <w:proofErr w:type="spellStart"/>
      <w:r w:rsidRPr="00DC1A5F">
        <w:rPr>
          <w:i/>
          <w:iCs/>
        </w:rPr>
        <w:t>jhāna</w:t>
      </w:r>
      <w:proofErr w:type="spellEnd"/>
      <w:r w:rsidRPr="00DC1A5F">
        <w:t xml:space="preserve"> donde, … por lo tanto, corresponderá a una maestría en la resolución. Emergerá del primer </w:t>
      </w:r>
      <w:proofErr w:type="spellStart"/>
      <w:r w:rsidRPr="00DC1A5F">
        <w:rPr>
          <w:i/>
          <w:iCs/>
        </w:rPr>
        <w:t>jhāna</w:t>
      </w:r>
      <w:proofErr w:type="spellEnd"/>
      <w:r w:rsidRPr="00DC1A5F">
        <w:t xml:space="preserve">, … por lo tanto, corresponderá a una maestría en el emerger. Él examinará el primer </w:t>
      </w:r>
      <w:proofErr w:type="spellStart"/>
      <w:r w:rsidRPr="00DC1A5F">
        <w:rPr>
          <w:i/>
          <w:iCs/>
        </w:rPr>
        <w:t>jhāna</w:t>
      </w:r>
      <w:proofErr w:type="spellEnd"/>
      <w:r w:rsidRPr="00DC1A5F">
        <w:t xml:space="preserve"> donde, cuando y durante el tiempo que lo desee, no tendrá dificultad para examinarlo, por lo tanto, corresponderá a una maestría en la examinación. Él advertirá el segundo </w:t>
      </w:r>
      <w:proofErr w:type="spellStart"/>
      <w:r w:rsidRPr="00DC1A5F">
        <w:rPr>
          <w:i/>
          <w:iCs/>
        </w:rPr>
        <w:t>jhāna</w:t>
      </w:r>
      <w:proofErr w:type="spellEnd"/>
      <w:r w:rsidRPr="00DC1A5F">
        <w:t>... (</w:t>
      </w:r>
      <w:proofErr w:type="gramStart"/>
      <w:r w:rsidRPr="00DC1A5F">
        <w:t>etc.)...</w:t>
      </w:r>
      <w:proofErr w:type="gramEnd"/>
      <w:r w:rsidRPr="00DC1A5F">
        <w:t xml:space="preserve"> Él examinará la consumación de la base consistente de la no–percepción–ni–no–percepción donde, cuando y durante el tiempo que lo desee, no tendrá dificultad para examinarlo, por lo tanto, corresponderá a una maestría en la examinación. Estos corresponderán a los 5 tipos de maestría” (</w:t>
      </w:r>
      <w:proofErr w:type="spellStart"/>
      <w:r w:rsidRPr="00DC1A5F">
        <w:rPr>
          <w:i/>
          <w:iCs/>
        </w:rPr>
        <w:t>Paṭis</w:t>
      </w:r>
      <w:proofErr w:type="spellEnd"/>
      <w:r w:rsidRPr="00DC1A5F">
        <w:t xml:space="preserve"> I 97–100).</w:t>
      </w:r>
    </w:p>
    <w:p w14:paraId="33366637" w14:textId="77777777" w:rsidR="00597DE2" w:rsidRPr="00DC1A5F" w:rsidRDefault="00597DE2" w:rsidP="00597DE2">
      <w:r w:rsidRPr="00DC1A5F">
        <w:t xml:space="preserve">28. </w:t>
      </w:r>
      <w:r w:rsidRPr="00DC1A5F">
        <w:tab/>
        <w:t>Y aquí las palabras: “Debido a 16 tipos de ejercicio del conocimiento” significa el máximo. No obstante, en un no–retornante, la maestría se deberá a 14 tipos de ejercicio del conocimiento. Si es así, ¿no se produciría también en el retornante único debido a 12? ¿Y en el entrante</w:t>
      </w:r>
      <w:r w:rsidRPr="00DC1A5F">
        <w:rPr>
          <w:rFonts w:cs="Cormorant"/>
        </w:rPr>
        <w:t>‒</w:t>
      </w:r>
      <w:r w:rsidRPr="00DC1A5F">
        <w:t>a</w:t>
      </w:r>
      <w:r w:rsidRPr="00DC1A5F">
        <w:rPr>
          <w:rFonts w:cs="Cormorant"/>
        </w:rPr>
        <w:t>‒</w:t>
      </w:r>
      <w:r w:rsidRPr="00DC1A5F">
        <w:t>la</w:t>
      </w:r>
      <w:r w:rsidRPr="00DC1A5F">
        <w:rPr>
          <w:rFonts w:cs="Cormorant"/>
        </w:rPr>
        <w:t>‒</w:t>
      </w:r>
      <w:r w:rsidRPr="00DC1A5F">
        <w:t>corriente debido a 10? — No es así. Porque la codicia basada en las cuerdas del deseo sensual, obstáculo para la concentración, no será abandonada en ellos. Es porque eso no se abandonará en ellos que el poder de la serenidad no se perfeccionaría. Como no se encontrará perfeccionado, no serán capaces, debido a la falta de este poder, alcanzar la consumación de la cesación, el cual deberá ser alcanzado mediante 2 poderes. No obstante, estos se abandonarán en no–retornante y así se perfeccionará su poder. Cuando su poder será perfeccionado, será capaz de consumarla.</w:t>
      </w:r>
    </w:p>
    <w:p w14:paraId="48FC27C4" w14:textId="77777777" w:rsidR="00597DE2" w:rsidRPr="00DC1A5F" w:rsidRDefault="00597DE2" w:rsidP="00597DE2">
      <w:pPr>
        <w:pStyle w:val="NormalConSangria"/>
      </w:pPr>
      <w:r w:rsidRPr="00DC1A5F">
        <w:t xml:space="preserve">Por lo tanto, el </w:t>
      </w:r>
      <w:r w:rsidRPr="00DC1A5F">
        <w:rPr>
          <w:i/>
          <w:iCs/>
        </w:rPr>
        <w:t>Bhagavā</w:t>
      </w:r>
      <w:r w:rsidRPr="00DC1A5F">
        <w:t xml:space="preserve"> dijo: “La consciencia productiva de la base consistente de la no–percepción–ni–no–percepción en alguien que emerja de la cesación será una condición, como condición de proximidad, para la consumación de la fruición” (</w:t>
      </w:r>
      <w:proofErr w:type="spellStart"/>
      <w:r w:rsidRPr="00DC1A5F">
        <w:t>Paṭṭh</w:t>
      </w:r>
      <w:proofErr w:type="spellEnd"/>
      <w:r w:rsidRPr="00DC1A5F">
        <w:t xml:space="preserve"> I 159). Ya que esto se menciona así en el Gran Libro del </w:t>
      </w:r>
      <w:proofErr w:type="spellStart"/>
      <w:r w:rsidRPr="00DC1A5F">
        <w:rPr>
          <w:i/>
          <w:iCs/>
        </w:rPr>
        <w:t>Paṭṭhāna</w:t>
      </w:r>
      <w:proofErr w:type="spellEnd"/>
      <w:r w:rsidRPr="00DC1A5F">
        <w:t xml:space="preserve"> con referencia únicamente a los no–retornantes que emerjan de la cesación. [705]</w:t>
      </w:r>
    </w:p>
    <w:p w14:paraId="0C8E779A"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508F09EA" w14:textId="77777777" w:rsidR="00597DE2" w:rsidRPr="00DC1A5F" w:rsidRDefault="00597DE2" w:rsidP="00597DE2">
      <w:pPr>
        <w:pStyle w:val="PiedepginaLegal"/>
        <w:rPr>
          <w:color w:val="auto"/>
        </w:rPr>
      </w:pPr>
      <w:r w:rsidRPr="00DC1A5F">
        <w:rPr>
          <w:color w:val="auto"/>
        </w:rPr>
        <w:t xml:space="preserve">10. </w:t>
      </w:r>
      <w:r w:rsidRPr="00DC1A5F">
        <w:rPr>
          <w:color w:val="auto"/>
        </w:rPr>
        <w:tab/>
        <w:t xml:space="preserve">Los 9 corresponden a los 4 </w:t>
      </w:r>
      <w:proofErr w:type="spellStart"/>
      <w:r w:rsidRPr="00DC1A5F">
        <w:rPr>
          <w:i/>
          <w:iCs/>
          <w:color w:val="auto"/>
        </w:rPr>
        <w:t>jhānas</w:t>
      </w:r>
      <w:proofErr w:type="spellEnd"/>
      <w:r w:rsidRPr="00DC1A5F">
        <w:rPr>
          <w:color w:val="auto"/>
        </w:rPr>
        <w:t xml:space="preserve"> materiales sutiles, los 4 </w:t>
      </w:r>
      <w:proofErr w:type="spellStart"/>
      <w:r w:rsidRPr="00DC1A5F">
        <w:rPr>
          <w:i/>
          <w:iCs/>
          <w:color w:val="auto"/>
        </w:rPr>
        <w:t>jhānas</w:t>
      </w:r>
      <w:proofErr w:type="spellEnd"/>
      <w:r w:rsidRPr="00DC1A5F">
        <w:rPr>
          <w:color w:val="auto"/>
        </w:rPr>
        <w:t xml:space="preserve"> inmateriales y a la concentración de acceso que precede a cada </w:t>
      </w:r>
      <w:proofErr w:type="gramStart"/>
      <w:r w:rsidRPr="00DC1A5F">
        <w:rPr>
          <w:color w:val="auto"/>
        </w:rPr>
        <w:t>uno</w:t>
      </w:r>
      <w:proofErr w:type="gramEnd"/>
      <w:r w:rsidRPr="00DC1A5F">
        <w:rPr>
          <w:color w:val="auto"/>
        </w:rPr>
        <w:t xml:space="preserve"> de las 8 absorciones, descritos en la última oración y contabilizados como 1.</w:t>
      </w:r>
    </w:p>
    <w:p w14:paraId="1A7C2DFA" w14:textId="77777777" w:rsidR="00597DE2" w:rsidRPr="00DC1A5F" w:rsidRDefault="00597DE2" w:rsidP="00597DE2">
      <w:pPr>
        <w:pStyle w:val="PiedepginaLegal"/>
        <w:rPr>
          <w:color w:val="auto"/>
        </w:rPr>
      </w:pPr>
      <w:r w:rsidRPr="00DC1A5F">
        <w:rPr>
          <w:color w:val="auto"/>
        </w:rPr>
        <w:t xml:space="preserve">11. </w:t>
      </w:r>
      <w:r w:rsidRPr="00DC1A5F">
        <w:rPr>
          <w:color w:val="auto"/>
        </w:rPr>
        <w:tab/>
        <w:t xml:space="preserve">“La palabra ‘productiva’ utilizada en este pasaje del </w:t>
      </w:r>
      <w:proofErr w:type="spellStart"/>
      <w:r w:rsidRPr="00DC1A5F">
        <w:rPr>
          <w:i/>
          <w:iCs/>
          <w:color w:val="auto"/>
        </w:rPr>
        <w:t>Pa</w:t>
      </w:r>
      <w:r w:rsidRPr="00DC1A5F">
        <w:rPr>
          <w:i/>
          <w:iCs/>
        </w:rPr>
        <w:t>ṭṭ</w:t>
      </w:r>
      <w:r w:rsidRPr="00DC1A5F">
        <w:rPr>
          <w:i/>
          <w:iCs/>
          <w:color w:val="auto"/>
        </w:rPr>
        <w:t>h</w:t>
      </w:r>
      <w:r w:rsidRPr="00DC1A5F">
        <w:rPr>
          <w:i/>
          <w:iCs/>
        </w:rPr>
        <w:t>ā</w:t>
      </w:r>
      <w:r w:rsidRPr="00DC1A5F">
        <w:rPr>
          <w:i/>
          <w:iCs/>
          <w:color w:val="auto"/>
        </w:rPr>
        <w:t>na</w:t>
      </w:r>
      <w:proofErr w:type="spellEnd"/>
      <w:r w:rsidRPr="00DC1A5F">
        <w:rPr>
          <w:color w:val="auto"/>
        </w:rPr>
        <w:t xml:space="preserve"> muestra que se aplicará solo a los </w:t>
      </w:r>
      <w:r w:rsidRPr="00DC1A5F">
        <w:rPr>
          <w:color w:val="auto"/>
        </w:rPr>
        <w:br/>
        <w:t>no–retornantes, de lo contrario se habría dicho ‘funcional’” (</w:t>
      </w:r>
      <w:proofErr w:type="spellStart"/>
      <w:r w:rsidRPr="00DC1A5F">
        <w:rPr>
          <w:color w:val="auto"/>
        </w:rPr>
        <w:t>Vism</w:t>
      </w:r>
      <w:proofErr w:type="spellEnd"/>
      <w:r w:rsidRPr="00DC1A5F">
        <w:rPr>
          <w:color w:val="auto"/>
        </w:rPr>
        <w:t>–</w:t>
      </w:r>
      <w:proofErr w:type="spellStart"/>
      <w:r w:rsidRPr="00DC1A5F">
        <w:rPr>
          <w:color w:val="auto"/>
        </w:rPr>
        <w:t>mh</w:t>
      </w:r>
      <w:r w:rsidRPr="00DC1A5F">
        <w:t>ṭ</w:t>
      </w:r>
      <w:proofErr w:type="spellEnd"/>
      <w:r w:rsidRPr="00DC1A5F">
        <w:rPr>
          <w:color w:val="auto"/>
        </w:rPr>
        <w:t xml:space="preserve"> 902)</w:t>
      </w:r>
    </w:p>
    <w:p w14:paraId="28FC8CBD" w14:textId="77777777" w:rsidR="00597DE2" w:rsidRPr="00DC1A5F" w:rsidRDefault="00597DE2" w:rsidP="00597DE2">
      <w:pPr>
        <w:tabs>
          <w:tab w:val="clear" w:pos="425"/>
        </w:tabs>
        <w:spacing w:after="160"/>
      </w:pPr>
      <w:r w:rsidRPr="00DC1A5F">
        <w:br w:type="page"/>
      </w:r>
    </w:p>
    <w:p w14:paraId="7BAFFBFC" w14:textId="77777777" w:rsidR="00597DE2" w:rsidRPr="00DC1A5F" w:rsidRDefault="00597DE2" w:rsidP="00597DE2">
      <w:r w:rsidRPr="00DC1A5F">
        <w:lastRenderedPageBreak/>
        <w:t xml:space="preserve">29. </w:t>
      </w:r>
      <w:r w:rsidRPr="00DC1A5F">
        <w:tab/>
        <w:t>(</w:t>
      </w:r>
      <w:proofErr w:type="spellStart"/>
      <w:r w:rsidRPr="00DC1A5F">
        <w:t>iv</w:t>
      </w:r>
      <w:proofErr w:type="spellEnd"/>
      <w:r w:rsidRPr="00DC1A5F">
        <w:t>) ¿</w:t>
      </w:r>
      <w:r w:rsidRPr="00DC1A5F">
        <w:rPr>
          <w:i/>
          <w:iCs/>
        </w:rPr>
        <w:t>Dónde la consuman</w:t>
      </w:r>
      <w:r w:rsidRPr="00DC1A5F">
        <w:t xml:space="preserve">? En el devenir de los 5 constituyentes. ¿Por qué? Debido a la necesidad de la sucesión de todas las absorciones (cf. S IV 217). No obstante, en el devenir de los 4 constituyentes no surgirá el primer </w:t>
      </w:r>
      <w:proofErr w:type="spellStart"/>
      <w:r w:rsidRPr="00DC1A5F">
        <w:rPr>
          <w:i/>
          <w:iCs/>
        </w:rPr>
        <w:t>jhāna</w:t>
      </w:r>
      <w:proofErr w:type="spellEnd"/>
      <w:r w:rsidRPr="00DC1A5F">
        <w:t>, etc., por lo que no será posible consumarlo allí. Sin embargo, algunos dicen que se deberá a la falta de una base física para la mente allí.</w:t>
      </w:r>
    </w:p>
    <w:p w14:paraId="2962DDC5" w14:textId="77777777" w:rsidR="00597DE2" w:rsidRPr="00DC1A5F" w:rsidRDefault="00597DE2" w:rsidP="00597DE2">
      <w:r w:rsidRPr="00DC1A5F">
        <w:t xml:space="preserve">30. </w:t>
      </w:r>
      <w:r w:rsidRPr="00DC1A5F">
        <w:tab/>
        <w:t>(v) ¿</w:t>
      </w:r>
      <w:r w:rsidRPr="00DC1A5F">
        <w:rPr>
          <w:i/>
          <w:iCs/>
        </w:rPr>
        <w:t>Por qué la consuman</w:t>
      </w:r>
      <w:r w:rsidRPr="00DC1A5F">
        <w:t xml:space="preserve">? Estando cansados ​​del surgimiento y </w:t>
      </w:r>
      <w:proofErr w:type="gramStart"/>
      <w:r w:rsidRPr="00DC1A5F">
        <w:t>las disolución</w:t>
      </w:r>
      <w:proofErr w:type="gramEnd"/>
      <w:r w:rsidRPr="00DC1A5F">
        <w:t xml:space="preserve"> de las formaciones, la consuman pensando: “Habitemos en la dicha de carecer de consciencia, aquí y ahora, consumando la cesación del </w:t>
      </w:r>
      <w:r w:rsidRPr="00DC1A5F">
        <w:rPr>
          <w:i/>
          <w:iCs/>
        </w:rPr>
        <w:t>Nibbāna</w:t>
      </w:r>
      <w:r w:rsidRPr="00DC1A5F">
        <w:t>”.</w:t>
      </w:r>
    </w:p>
    <w:p w14:paraId="50E2A5B5" w14:textId="77777777" w:rsidR="00597DE2" w:rsidRPr="00DC1A5F" w:rsidRDefault="00597DE2" w:rsidP="00597DE2">
      <w:r w:rsidRPr="00DC1A5F">
        <w:t xml:space="preserve">31. </w:t>
      </w:r>
      <w:r w:rsidRPr="00DC1A5F">
        <w:tab/>
        <w:t>(vi) ¿</w:t>
      </w:r>
      <w:r w:rsidRPr="00DC1A5F">
        <w:rPr>
          <w:i/>
          <w:iCs/>
        </w:rPr>
        <w:t>Cómo se da su consumación</w:t>
      </w:r>
      <w:r w:rsidRPr="00DC1A5F">
        <w:t>? Ocurrirá en quien realice las tareas preparatorias esforzándose con serenidad y sabiduría–revelativa, provocando la cesación de la consciencia perteneciente a la base consistente de la no–percepción–ni–no–percepción. Aquel que se esfuerce solo con serenidad consumará la base consistente de la no–percepción–ni–no–percepción y habitará allí, mientras que aquel que se esfuerce con sólo–sabiduría–revelativa consumará la absorción de la fruición y habitará allí. No obstante, aquel que luche con ambos será quien logrará, después de realizar las tareas preparatorias, causar la cesación de la consciencia perteneciente a la base consistente de la no–percepción–ni–no–percepción. Ésta es una exposición en resumen.</w:t>
      </w:r>
    </w:p>
    <w:p w14:paraId="21FBF41C" w14:textId="77777777" w:rsidR="00597DE2" w:rsidRPr="00DC1A5F" w:rsidRDefault="00597DE2" w:rsidP="00597DE2">
      <w:r w:rsidRPr="00DC1A5F">
        <w:t xml:space="preserve">32. </w:t>
      </w:r>
      <w:r w:rsidRPr="00DC1A5F">
        <w:tab/>
        <w:t xml:space="preserve">No obstante, el detalle es el siguiente. Cuando un </w:t>
      </w:r>
      <w:proofErr w:type="spellStart"/>
      <w:r w:rsidRPr="00DC1A5F">
        <w:rPr>
          <w:i/>
          <w:iCs/>
        </w:rPr>
        <w:t>bhikkhu</w:t>
      </w:r>
      <w:proofErr w:type="spellEnd"/>
      <w:r w:rsidRPr="00DC1A5F">
        <w:t xml:space="preserve"> que desee consumar la cesación haya terminado todo lo que tenga que ver con su alimentación y se haya lavado bien las manos y los pies, se siente en un asiento bien preparado, en un lugar apartado; habiendo cruzado las piernas, erguido el cuerpo, establecido la atención plena en frente de él, desarrollará el primer </w:t>
      </w:r>
      <w:proofErr w:type="spellStart"/>
      <w:r w:rsidRPr="00DC1A5F">
        <w:rPr>
          <w:i/>
          <w:iCs/>
        </w:rPr>
        <w:t>jhāna</w:t>
      </w:r>
      <w:proofErr w:type="spellEnd"/>
      <w:r w:rsidRPr="00DC1A5F">
        <w:t xml:space="preserve"> y al emerger él observará las formaciones en él con sabiduría–revelativa como impermanentes, insatisfactorias y no–alma.</w:t>
      </w:r>
    </w:p>
    <w:p w14:paraId="59D0AA77" w14:textId="77777777" w:rsidR="00597DE2" w:rsidRPr="00DC1A5F" w:rsidRDefault="00597DE2" w:rsidP="00597DE2">
      <w:r w:rsidRPr="00DC1A5F">
        <w:t xml:space="preserve">33. </w:t>
      </w:r>
      <w:r w:rsidRPr="00DC1A5F">
        <w:tab/>
        <w:t>Esta sabiduría–revelativa será triple: como una sabiduría que discierna sobre las formaciones, como una sabiduría para consumar la fruición y como una sabiduría para consumar la cesación. Aquí, la sabiduría–revelativa que discierna sobre las formaciones, ya sean entumecidas o agudas, será la causa próxima solo para un sendero. La sabiduría–revelativa para la consumación de una fruición, que sólo sea válida cuando se agudice, será similar a la del desarrollo de un sendero. La sabiduría–revelativa para consumar la cesación será solo válida cuando sea ni demasiado entumecida ni demasiado entusiasta. Por lo tanto, observará esas formaciones con una sabiduría–revelativa que no será ni demasiado entumecida ni demasiado aguda.</w:t>
      </w:r>
    </w:p>
    <w:p w14:paraId="35287E55" w14:textId="77777777" w:rsidR="00597DE2" w:rsidRPr="00DC1A5F" w:rsidRDefault="00597DE2" w:rsidP="00597DE2">
      <w:r w:rsidRPr="00DC1A5F">
        <w:t xml:space="preserve">34. </w:t>
      </w:r>
      <w:r w:rsidRPr="00DC1A5F">
        <w:tab/>
        <w:t xml:space="preserve">Después de ello, desarrollará el segundo </w:t>
      </w:r>
      <w:proofErr w:type="spellStart"/>
      <w:r w:rsidRPr="00DC1A5F">
        <w:rPr>
          <w:i/>
          <w:iCs/>
        </w:rPr>
        <w:t>jhāna</w:t>
      </w:r>
      <w:proofErr w:type="spellEnd"/>
      <w:r w:rsidRPr="00DC1A5F">
        <w:t xml:space="preserve"> y al emerger de él observará las formaciones con sabiduría–revelativa de la misma manera. Después de eso, desarrollará el tercer </w:t>
      </w:r>
      <w:proofErr w:type="spellStart"/>
      <w:r w:rsidRPr="00DC1A5F">
        <w:rPr>
          <w:i/>
          <w:iCs/>
        </w:rPr>
        <w:t>jhāna</w:t>
      </w:r>
      <w:proofErr w:type="spellEnd"/>
      <w:r w:rsidRPr="00DC1A5F">
        <w:t>... (</w:t>
      </w:r>
      <w:proofErr w:type="gramStart"/>
      <w:r w:rsidRPr="00DC1A5F">
        <w:t>etc.)...</w:t>
      </w:r>
      <w:proofErr w:type="gramEnd"/>
      <w:r w:rsidRPr="00DC1A5F">
        <w:t xml:space="preserve"> Después de eso, desarrollará la base consistente de la consciencia infinita y al emerger observará las formaciones en ella de la misma manera. Asimismo desarrollará la base consistente del vacío.</w:t>
      </w:r>
    </w:p>
    <w:p w14:paraId="6D835A51"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632CD4A7" w14:textId="77777777" w:rsidR="00597DE2" w:rsidRPr="00DC1A5F" w:rsidRDefault="00597DE2" w:rsidP="00597DE2">
      <w:pPr>
        <w:pStyle w:val="PiedepginaLegal"/>
      </w:pPr>
      <w:r w:rsidRPr="00DC1A5F">
        <w:t xml:space="preserve">12. </w:t>
      </w:r>
      <w:r w:rsidRPr="00DC1A5F">
        <w:tab/>
        <w:t>“Dicen ello debido a la ausencia de la base del corazón; pero el sentido se deberá a la ausencia de la base llamada cuerpo físico. Ya que si alguien lograra la cesación en los planos inmateriales, él se volvería indefinible (</w:t>
      </w:r>
      <w:proofErr w:type="spellStart"/>
      <w:r w:rsidRPr="00DC1A5F">
        <w:rPr>
          <w:i/>
          <w:iCs/>
        </w:rPr>
        <w:t>appaññattika</w:t>
      </w:r>
      <w:proofErr w:type="spellEnd"/>
      <w:r w:rsidRPr="00DC1A5F">
        <w:t xml:space="preserve">) debido a ninguna existencia de cualquier consciencia o consciencia concomitante en lo absoluto y sería como si hubiese consumado el </w:t>
      </w:r>
      <w:r w:rsidRPr="00DC1A5F">
        <w:rPr>
          <w:i/>
          <w:iCs/>
        </w:rPr>
        <w:t>Nibbāna</w:t>
      </w:r>
      <w:r w:rsidRPr="00DC1A5F">
        <w:t xml:space="preserve"> final sin residuos de los resultados del apego del pasado; ya que ¿qué residuos de los resultados del apego del pasado podría predicarse de él cuando haya entrado en cesación? Así que será debido a la falta de los factores necesarios que no se consumará la absorción de la cesación en los mundos inmateriales” (</w:t>
      </w:r>
      <w:proofErr w:type="spellStart"/>
      <w:r w:rsidRPr="00DC1A5F">
        <w:t>Vism</w:t>
      </w:r>
      <w:proofErr w:type="spellEnd"/>
      <w:r w:rsidRPr="00DC1A5F">
        <w:t>–</w:t>
      </w:r>
      <w:proofErr w:type="spellStart"/>
      <w:r w:rsidRPr="00DC1A5F">
        <w:t>mhṭ</w:t>
      </w:r>
      <w:proofErr w:type="spellEnd"/>
      <w:r w:rsidRPr="00DC1A5F">
        <w:t xml:space="preserve"> 902).</w:t>
      </w:r>
    </w:p>
    <w:p w14:paraId="49E6F4FE" w14:textId="77777777" w:rsidR="00597DE2" w:rsidRPr="00DC1A5F" w:rsidRDefault="00597DE2" w:rsidP="00597DE2">
      <w:pPr>
        <w:pStyle w:val="PiedepginaLegal"/>
      </w:pPr>
      <w:r w:rsidRPr="00DC1A5F">
        <w:t xml:space="preserve">13. </w:t>
      </w:r>
      <w:r w:rsidRPr="00DC1A5F">
        <w:tab/>
        <w:t>“‘</w:t>
      </w:r>
      <w:r w:rsidRPr="00DC1A5F">
        <w:rPr>
          <w:i/>
          <w:iCs/>
        </w:rPr>
        <w:t>Consumar la cesación correspondiente al Nibbāna’</w:t>
      </w:r>
      <w:r w:rsidRPr="00DC1A5F">
        <w:t xml:space="preserve">: como si consumara el </w:t>
      </w:r>
      <w:r w:rsidRPr="00DC1A5F">
        <w:rPr>
          <w:i/>
          <w:iCs/>
        </w:rPr>
        <w:t>Nibbāna</w:t>
      </w:r>
      <w:r w:rsidRPr="00DC1A5F">
        <w:t xml:space="preserve"> sin residuos del resultado del apego del pasado. ‘En dicha’ significa sin sufrimiento” (</w:t>
      </w:r>
      <w:proofErr w:type="spellStart"/>
      <w:r w:rsidRPr="00DC1A5F">
        <w:t>Vism</w:t>
      </w:r>
      <w:proofErr w:type="spellEnd"/>
      <w:r w:rsidRPr="00DC1A5F">
        <w:t>–</w:t>
      </w:r>
      <w:proofErr w:type="spellStart"/>
      <w:r w:rsidRPr="00DC1A5F">
        <w:t>mhṭ</w:t>
      </w:r>
      <w:proofErr w:type="spellEnd"/>
      <w:r w:rsidRPr="00DC1A5F">
        <w:t xml:space="preserve"> 902</w:t>
      </w:r>
      <w:r w:rsidRPr="00DC1A5F">
        <w:br w:type="page"/>
      </w:r>
    </w:p>
    <w:p w14:paraId="3C518472" w14:textId="77777777" w:rsidR="00597DE2" w:rsidRPr="00DC1A5F" w:rsidRDefault="00597DE2" w:rsidP="00597DE2">
      <w:r w:rsidRPr="00DC1A5F">
        <w:lastRenderedPageBreak/>
        <w:t>Al emerger de allí realizará la cuádruple tarea preparatoria, es decir, respecto (a) al no perjuicio a la propiedad ajena, (b) a aguardar por la Comunidad, (c) a la convocatoria del Maestro, y (d) al límite de la duración. [706]</w:t>
      </w:r>
    </w:p>
    <w:p w14:paraId="1E52F0E4" w14:textId="77777777" w:rsidR="00597DE2" w:rsidRPr="00DC1A5F" w:rsidRDefault="00597DE2" w:rsidP="00597DE2">
      <w:r w:rsidRPr="00DC1A5F">
        <w:t xml:space="preserve">35. </w:t>
      </w:r>
      <w:r w:rsidRPr="00DC1A5F">
        <w:tab/>
        <w:t xml:space="preserve">(a) Aquí, el no perjuicio de la propiedad ajena se referirá a lo que el </w:t>
      </w:r>
      <w:proofErr w:type="spellStart"/>
      <w:r w:rsidRPr="00DC1A5F">
        <w:rPr>
          <w:i/>
          <w:iCs/>
        </w:rPr>
        <w:t>bhikkhu</w:t>
      </w:r>
      <w:proofErr w:type="spellEnd"/>
      <w:r w:rsidRPr="00DC1A5F">
        <w:t xml:space="preserve"> posea sobre él que no sea parte de su propiedad personal: un ropaje y un cuenco, una cama o una silla, una sala de estar, o cualquier otro tipo de requisito conservado por él, pero también propiedad de otros </w:t>
      </w:r>
      <w:proofErr w:type="spellStart"/>
      <w:r w:rsidRPr="00DC1A5F">
        <w:rPr>
          <w:i/>
          <w:iCs/>
        </w:rPr>
        <w:t>bhikkhus</w:t>
      </w:r>
      <w:proofErr w:type="spellEnd"/>
      <w:r w:rsidRPr="00DC1A5F">
        <w:t>. Deberá resolverse</w:t>
      </w:r>
      <w:r w:rsidRPr="00DC1A5F">
        <w:rPr>
          <w:vertAlign w:val="superscript"/>
        </w:rPr>
        <w:t>14</w:t>
      </w:r>
      <w:r w:rsidRPr="00DC1A5F">
        <w:t xml:space="preserve"> que dicha propiedad no sufra ningún perjuicio, que no sea destruida por fuego, agua, viento, ladrones, ratas, etc. Aquí el modo de la resolución: “Durante estos siete días, que esto y aquello no sean quemados por el fuego; que no sea arrastrado por el agua; que no sea estropeado por el viento; que no sea robado por ningún ladrón; que no sea devorado por las ratas, etc. Cuando haya emergido así, esto no correrá ningún peligro durante los siete días.</w:t>
      </w:r>
    </w:p>
    <w:p w14:paraId="6EF02EBF" w14:textId="77777777" w:rsidR="00597DE2" w:rsidRPr="00DC1A5F" w:rsidRDefault="00597DE2" w:rsidP="00597DE2">
      <w:r w:rsidRPr="00DC1A5F">
        <w:t xml:space="preserve">36. </w:t>
      </w:r>
      <w:r w:rsidRPr="00DC1A5F">
        <w:tab/>
        <w:t xml:space="preserve">Si no los resolviese así, podrían ser destruidos por el fuego, etc., como en el caso del Venerable Mahā </w:t>
      </w:r>
      <w:proofErr w:type="spellStart"/>
      <w:r w:rsidRPr="00DC1A5F">
        <w:t>Nāga</w:t>
      </w:r>
      <w:proofErr w:type="spellEnd"/>
      <w:r w:rsidRPr="00DC1A5F">
        <w:t xml:space="preserve">. El Venerable, al parecer, fue a buscar ofrendas al pueblo donde vivía su madre, una seguidora laica. Ella le dio gachas de arroz y lo sentó en la sala de estar. El Venerable se sentó y logró la cesación. Mientras estaba sentado allí, el salón se incendió. Los otros </w:t>
      </w:r>
      <w:proofErr w:type="spellStart"/>
      <w:r w:rsidRPr="00DC1A5F">
        <w:rPr>
          <w:i/>
          <w:iCs/>
        </w:rPr>
        <w:t>bhikkhus</w:t>
      </w:r>
      <w:proofErr w:type="spellEnd"/>
      <w:r w:rsidRPr="00DC1A5F">
        <w:t xml:space="preserve"> tomaron sus asientos y huyeron. Los aldeanos se reunieron y, al ver al Venerable, dijeron: “¡Qué monje tan perezoso! ¡Qué monje tan perezoso!” El fuego quemó el techo de paja, los bambúes y las maderas y rodeó al Venerable. La gente trajo agua y apagaron el incendio. Quitaron las cenizas, hicieron reparaciones, esparcieron flores y luego aguardaron respetuosamente. El Venerable emergió a la hora que lo había determinado. Al verlos, dijo: “¡He sido descubierto!”, Y se elevó en el aire y se dirigió a la isla </w:t>
      </w:r>
      <w:proofErr w:type="spellStart"/>
      <w:r w:rsidRPr="00DC1A5F">
        <w:t>Piyaṅgu</w:t>
      </w:r>
      <w:proofErr w:type="spellEnd"/>
      <w:r w:rsidRPr="00DC1A5F">
        <w:t>. Esto es lo que significa “no ocasionar perjuicio a la propiedad ajena”.</w:t>
      </w:r>
    </w:p>
    <w:p w14:paraId="0F3E4003" w14:textId="77777777" w:rsidR="00597DE2" w:rsidRPr="00DC1A5F" w:rsidRDefault="00597DE2" w:rsidP="00597DE2">
      <w:r w:rsidRPr="00DC1A5F">
        <w:t xml:space="preserve">37. </w:t>
      </w:r>
      <w:r w:rsidRPr="00DC1A5F">
        <w:tab/>
        <w:t xml:space="preserve">No se debe hacer una resolución especial sobre lo que sea su propiedad personal, como los ropajes internos y externos o el asiento en el que esté sentado. Él protegerá todo ello por medio de la cesación misma, como en el caso del Venerable </w:t>
      </w:r>
      <w:proofErr w:type="spellStart"/>
      <w:r w:rsidRPr="00DC1A5F">
        <w:t>Sañjīva</w:t>
      </w:r>
      <w:proofErr w:type="spellEnd"/>
      <w:r w:rsidRPr="00DC1A5F">
        <w:t xml:space="preserve">. Y esto se dice al respecto: “Hubo éxito mediante la intervención de la concentración del Venerable </w:t>
      </w:r>
      <w:proofErr w:type="spellStart"/>
      <w:r w:rsidRPr="00DC1A5F">
        <w:t>Sañjīva</w:t>
      </w:r>
      <w:proofErr w:type="spellEnd"/>
      <w:r w:rsidRPr="00DC1A5F">
        <w:t>. Hubo éxito mediante la intervención de la concentración del Venerable Sāriputta” (</w:t>
      </w:r>
      <w:proofErr w:type="spellStart"/>
      <w:r w:rsidRPr="00DC1A5F">
        <w:t>Paṭis</w:t>
      </w:r>
      <w:proofErr w:type="spellEnd"/>
      <w:r w:rsidRPr="00DC1A5F">
        <w:t xml:space="preserve"> I 212—ver XII.30).</w:t>
      </w:r>
    </w:p>
    <w:p w14:paraId="622A78D9" w14:textId="77777777" w:rsidR="00597DE2" w:rsidRPr="00DC1A5F" w:rsidRDefault="00597DE2" w:rsidP="00597DE2">
      <w:r w:rsidRPr="00DC1A5F">
        <w:t xml:space="preserve">38. </w:t>
      </w:r>
      <w:r w:rsidRPr="00DC1A5F">
        <w:tab/>
        <w:t xml:space="preserve">(b) Aguardar por la Comunidad significa habitar aguardando por la Comunidad. El significado es el siguiente: hasta que este </w:t>
      </w:r>
      <w:proofErr w:type="spellStart"/>
      <w:r w:rsidRPr="00DC1A5F">
        <w:rPr>
          <w:i/>
          <w:iCs/>
        </w:rPr>
        <w:t>bhikkhu</w:t>
      </w:r>
      <w:proofErr w:type="spellEnd"/>
      <w:r w:rsidRPr="00DC1A5F">
        <w:t xml:space="preserve"> regrese, no se llevarán a cabo los actos de la Comunidad. Y aquí no se refiere al aguardar mismo por la Comunidad lo que será la tarea preparatoria, sino a la advertencia de tal aguardar. Por lo tanto, debe advertirse de esta manera: “Mientras esté sentado durante siete días en el logro de la cesación, si la Comunidad quisiera promulgar una resolución, etc., emergeré antes de que cualquier </w:t>
      </w:r>
      <w:proofErr w:type="spellStart"/>
      <w:r w:rsidRPr="00DC1A5F">
        <w:rPr>
          <w:i/>
          <w:iCs/>
        </w:rPr>
        <w:t>bhikkhu</w:t>
      </w:r>
      <w:proofErr w:type="spellEnd"/>
      <w:r w:rsidRPr="00DC1A5F">
        <w:t xml:space="preserve"> venga a convocarme”. [707] Aquel que lo consume así, después de hacer esto, emergerá exactamente en ese momento.</w:t>
      </w:r>
    </w:p>
    <w:p w14:paraId="126AFACC"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2D240F0B" w14:textId="77777777" w:rsidR="00597DE2" w:rsidRPr="00DC1A5F" w:rsidRDefault="00597DE2" w:rsidP="00597DE2">
      <w:pPr>
        <w:pStyle w:val="PiedepginaLegal"/>
      </w:pPr>
      <w:r w:rsidRPr="00DC1A5F">
        <w:t xml:space="preserve">14. </w:t>
      </w:r>
      <w:r w:rsidRPr="00DC1A5F">
        <w:tab/>
        <w:t>“‘</w:t>
      </w:r>
      <w:r w:rsidRPr="00DC1A5F">
        <w:rPr>
          <w:i/>
          <w:iCs/>
        </w:rPr>
        <w:t>Debería ser resuelto’</w:t>
      </w:r>
      <w:r w:rsidRPr="00DC1A5F">
        <w:t xml:space="preserve">: el pensamiento debe surgir. Ya que aquí la determinación consistirá en hacer surgir el pensamiento. En </w:t>
      </w:r>
      <w:proofErr w:type="spellStart"/>
      <w:r w:rsidRPr="00DC1A5F">
        <w:t>el</w:t>
      </w:r>
      <w:proofErr w:type="spellEnd"/>
      <w:r w:rsidRPr="00DC1A5F">
        <w:t xml:space="preserve"> no–surgimiento de la materialidad originada de la consciencia, etc., y en la ausencia de soporte de una condición </w:t>
      </w:r>
      <w:proofErr w:type="spellStart"/>
      <w:r w:rsidRPr="00DC1A5F">
        <w:t>posnaciente</w:t>
      </w:r>
      <w:proofErr w:type="spellEnd"/>
      <w:r w:rsidRPr="00DC1A5F">
        <w:t>, etc., el cuerpo físico continuará igual solamente durante 7 días; después de ello se sufrirá de un desgaste. Así que él se limitará a la duración de 7 días cuando consume la cesación, así lo dicen” (</w:t>
      </w:r>
      <w:proofErr w:type="spellStart"/>
      <w:r w:rsidRPr="00DC1A5F">
        <w:t>Vism</w:t>
      </w:r>
      <w:proofErr w:type="spellEnd"/>
      <w:r w:rsidRPr="00DC1A5F">
        <w:t>–</w:t>
      </w:r>
      <w:proofErr w:type="spellStart"/>
      <w:r w:rsidRPr="00DC1A5F">
        <w:t>mhṭ</w:t>
      </w:r>
      <w:proofErr w:type="spellEnd"/>
      <w:r w:rsidRPr="00DC1A5F">
        <w:t xml:space="preserve"> 903).</w:t>
      </w:r>
    </w:p>
    <w:p w14:paraId="5B61F5E8" w14:textId="77777777" w:rsidR="00597DE2" w:rsidRPr="00DC1A5F" w:rsidRDefault="00597DE2" w:rsidP="00597DE2">
      <w:pPr>
        <w:pStyle w:val="PiedepginaLegal"/>
      </w:pPr>
      <w:r w:rsidRPr="00DC1A5F">
        <w:t xml:space="preserve">15. </w:t>
      </w:r>
      <w:r w:rsidRPr="00DC1A5F">
        <w:tab/>
      </w:r>
      <w:proofErr w:type="spellStart"/>
      <w:r w:rsidRPr="00DC1A5F">
        <w:rPr>
          <w:i/>
          <w:iCs/>
        </w:rPr>
        <w:t>Paribhaṇḍa</w:t>
      </w:r>
      <w:proofErr w:type="spellEnd"/>
      <w:r w:rsidRPr="00DC1A5F">
        <w:t>—“trabajo de remiendo”: este significado no se da en el PED; cf. M–a IV 157 (remiendo de ropajes viejos), y M–a I 291.</w:t>
      </w:r>
    </w:p>
    <w:p w14:paraId="5823A81C" w14:textId="77777777" w:rsidR="00597DE2" w:rsidRPr="00DC1A5F" w:rsidRDefault="00597DE2" w:rsidP="00597DE2">
      <w:pPr>
        <w:tabs>
          <w:tab w:val="clear" w:pos="425"/>
        </w:tabs>
        <w:spacing w:after="160"/>
      </w:pPr>
      <w:r w:rsidRPr="00DC1A5F">
        <w:br w:type="page"/>
      </w:r>
    </w:p>
    <w:p w14:paraId="6AF52A6A" w14:textId="77777777" w:rsidR="00597DE2" w:rsidRPr="00DC1A5F" w:rsidRDefault="00597DE2" w:rsidP="00597DE2">
      <w:r w:rsidRPr="00DC1A5F">
        <w:lastRenderedPageBreak/>
        <w:t xml:space="preserve">39. </w:t>
      </w:r>
      <w:r w:rsidRPr="00DC1A5F">
        <w:tab/>
        <w:t xml:space="preserve">No obstante, si no lo hiciera, entonces la Comunidad se reuniría probablemente y, al no verlo, se preguntaría: “¿Dónde se encuentra tal monje?” Ellos responderían: “Él ha consumado la cesación”. La Comunidad enviaría a un </w:t>
      </w:r>
      <w:proofErr w:type="spellStart"/>
      <w:r w:rsidRPr="00DC1A5F">
        <w:rPr>
          <w:i/>
          <w:iCs/>
        </w:rPr>
        <w:t>bhikkhu</w:t>
      </w:r>
      <w:proofErr w:type="spellEnd"/>
      <w:r w:rsidRPr="00DC1A5F">
        <w:t xml:space="preserve"> y le diría: “Vaya y llámelo en nombre de la Comunidad”. Entonces, tan pronto como el </w:t>
      </w:r>
      <w:proofErr w:type="spellStart"/>
      <w:r w:rsidRPr="00DC1A5F">
        <w:rPr>
          <w:i/>
          <w:iCs/>
        </w:rPr>
        <w:t>bhikkhu</w:t>
      </w:r>
      <w:proofErr w:type="spellEnd"/>
      <w:r w:rsidRPr="00DC1A5F">
        <w:t xml:space="preserve"> fuese a su alcance y simplemente dijese: “La comunidad lo está esperando, amigo”, Él emergería. Tal es la importancia del orden de la Comunidad. Por lo tanto, debe consumar la cesación de tal manera que, advirtiéndolo anticipadamente, emergerá de su absorción por sí mismo.</w:t>
      </w:r>
    </w:p>
    <w:p w14:paraId="5A690218" w14:textId="77777777" w:rsidR="00597DE2" w:rsidRPr="00DC1A5F" w:rsidRDefault="00597DE2" w:rsidP="00597DE2">
      <w:r w:rsidRPr="00DC1A5F">
        <w:t xml:space="preserve">40. </w:t>
      </w:r>
      <w:r w:rsidRPr="00DC1A5F">
        <w:tab/>
        <w:t xml:space="preserve">(c) La convocatoria del Maestro: aquí también será la advertencia de la convocatoria del Maestro lo que constituirá la tarea preparatoria. Así que ello también debería ser advertido de esta manera: “Mientras esté sentado durante siete días en la consumación de la cesación, si el Maestro, después de examinar un caso, diera a conocer un curso de entrenamiento, o enseñase el </w:t>
      </w:r>
      <w:r w:rsidRPr="00DC1A5F">
        <w:rPr>
          <w:i/>
          <w:iCs/>
        </w:rPr>
        <w:t>Dhamma</w:t>
      </w:r>
      <w:r w:rsidRPr="00DC1A5F">
        <w:t>, origen de cuyo discurso correspondería a alguna necesidad que hubiese surgido,</w:t>
      </w:r>
      <w:r w:rsidRPr="00DC1A5F">
        <w:rPr>
          <w:vertAlign w:val="superscript"/>
        </w:rPr>
        <w:t>16</w:t>
      </w:r>
      <w:r w:rsidRPr="00DC1A5F">
        <w:t xml:space="preserve"> emergeré antes de que alguien venga a buscarme”. Ya que cuando se haya sentado después de hacerlo, emergerá exactamente en ese momento.</w:t>
      </w:r>
    </w:p>
    <w:p w14:paraId="0982279E" w14:textId="77777777" w:rsidR="00597DE2" w:rsidRPr="00DC1A5F" w:rsidRDefault="00597DE2" w:rsidP="00597DE2">
      <w:r w:rsidRPr="00DC1A5F">
        <w:t xml:space="preserve">41. </w:t>
      </w:r>
      <w:r w:rsidRPr="00DC1A5F">
        <w:tab/>
        <w:t xml:space="preserve">No obstante, si no lo hiciera, cuando la Comunidad se reuniese, el Maestro, al no verlo, preguntaría: “¿Dónde se encuentra tal monje?” Ellos responderían: “Él ha consumado la cesación”. Luego se enviaría a un </w:t>
      </w:r>
      <w:proofErr w:type="spellStart"/>
      <w:r w:rsidRPr="00DC1A5F">
        <w:rPr>
          <w:i/>
          <w:iCs/>
        </w:rPr>
        <w:t>bhikkhu</w:t>
      </w:r>
      <w:proofErr w:type="spellEnd"/>
      <w:r w:rsidRPr="00DC1A5F">
        <w:t xml:space="preserve"> y se le diría: “Vaya y convóquelo en mi nombre”. Tan pronto como el </w:t>
      </w:r>
      <w:proofErr w:type="spellStart"/>
      <w:r w:rsidRPr="00DC1A5F">
        <w:rPr>
          <w:i/>
          <w:iCs/>
        </w:rPr>
        <w:t>bhikkhu</w:t>
      </w:r>
      <w:proofErr w:type="spellEnd"/>
      <w:r w:rsidRPr="00DC1A5F">
        <w:t xml:space="preserve"> fuese a su alcance y simplemente dijese: “El Maestro ha convocado al Venerable”, éste emergerá de su absorción. Tal será la importancia de la convocatoria del Maestro. Por lo tanto, deberá consumar la cesación de tal manera que, advirtiéndolo anticipadamente, emergerá él mismo en el presente caso correspondiente.</w:t>
      </w:r>
    </w:p>
    <w:p w14:paraId="61368428" w14:textId="77777777" w:rsidR="00597DE2" w:rsidRPr="00DC1A5F" w:rsidRDefault="00597DE2" w:rsidP="00597DE2">
      <w:r w:rsidRPr="00DC1A5F">
        <w:t xml:space="preserve">42. </w:t>
      </w:r>
      <w:r w:rsidRPr="00DC1A5F">
        <w:tab/>
        <w:t xml:space="preserve">(d) El límite de duración corresponderá al límite de duración de la vida. Este </w:t>
      </w:r>
      <w:proofErr w:type="spellStart"/>
      <w:r w:rsidRPr="00DC1A5F">
        <w:rPr>
          <w:i/>
          <w:iCs/>
        </w:rPr>
        <w:t>bhikkhu</w:t>
      </w:r>
      <w:proofErr w:type="spellEnd"/>
      <w:r w:rsidRPr="00DC1A5F">
        <w:t xml:space="preserve"> deberá tener mucho cuidado para determinar cuál será el límite de la duración de su vida. Debe consumar la cesación sólo después de advertir lo siguiente: “¿Seguirán ocurriendo mis propias formaciones vitales durante siete días o no?” Ya que si consumase la cesación sin advertir cuando las formaciones vitales deban cesar dentro de los siete días, entonces, dado que la consumación de la cesación no podrá evitar su muerte, ya que no existiría muerte durante la cesación, en consecuencia emergería de la cesación mientras tanto. Por lo tanto, deberá consumarla sólo después de advertir al respecto. Porque se dice que si bien podría estar permitido omitir la advertencia a los demás, esto debe ser advertido.</w:t>
      </w:r>
    </w:p>
    <w:p w14:paraId="0378CF5F" w14:textId="77777777" w:rsidR="00597DE2" w:rsidRPr="00DC1A5F" w:rsidRDefault="00597DE2" w:rsidP="00597DE2">
      <w:r w:rsidRPr="00DC1A5F">
        <w:t xml:space="preserve">43. </w:t>
      </w:r>
      <w:r w:rsidRPr="00DC1A5F">
        <w:tab/>
        <w:t xml:space="preserve">Ahora bien, cuando haya consumado así la base consistente del vacío y haya emergido y realizado esta tarea preparatoria, entonces desarrollará la base consistente de la no–percepción–ni–no–percepción. Luego, después de que hayan transcurrido uno o dos turnos de </w:t>
      </w:r>
    </w:p>
    <w:p w14:paraId="4CB82503" w14:textId="77777777" w:rsidR="00597DE2" w:rsidRPr="00DC1A5F" w:rsidRDefault="00597DE2" w:rsidP="00597DE2">
      <w:pPr>
        <w:pStyle w:val="PiedepginaLegal"/>
        <w:rPr>
          <w:u w:val="single"/>
        </w:rPr>
      </w:pPr>
      <w:r w:rsidRPr="00DC1A5F">
        <w:rPr>
          <w:u w:val="single"/>
        </w:rPr>
        <w:tab/>
      </w:r>
      <w:r w:rsidRPr="00DC1A5F">
        <w:rPr>
          <w:u w:val="single"/>
        </w:rPr>
        <w:tab/>
      </w:r>
      <w:r w:rsidRPr="00DC1A5F">
        <w:rPr>
          <w:u w:val="single"/>
        </w:rPr>
        <w:tab/>
      </w:r>
      <w:r w:rsidRPr="00DC1A5F">
        <w:rPr>
          <w:u w:val="single"/>
        </w:rPr>
        <w:tab/>
        <w:t>.</w:t>
      </w:r>
    </w:p>
    <w:p w14:paraId="4F70B217" w14:textId="77777777" w:rsidR="00597DE2" w:rsidRPr="00DC1A5F" w:rsidRDefault="00597DE2" w:rsidP="00597DE2">
      <w:pPr>
        <w:pStyle w:val="PiedepginaLegal"/>
      </w:pPr>
      <w:r w:rsidRPr="00DC1A5F">
        <w:t xml:space="preserve">16. </w:t>
      </w:r>
      <w:r w:rsidRPr="00DC1A5F">
        <w:tab/>
        <w:t xml:space="preserve">La palabra </w:t>
      </w:r>
      <w:proofErr w:type="spellStart"/>
      <w:r w:rsidRPr="00DC1A5F">
        <w:rPr>
          <w:i/>
          <w:iCs/>
        </w:rPr>
        <w:t>atthuppatti</w:t>
      </w:r>
      <w:proofErr w:type="spellEnd"/>
      <w:r w:rsidRPr="00DC1A5F">
        <w:t xml:space="preserve"> (“siendo la originación una necesidad surgida”) corresponde a un término proveniente de un comentario técnico. “Existen cuatro clases de originación (</w:t>
      </w:r>
      <w:proofErr w:type="spellStart"/>
      <w:r w:rsidRPr="00DC1A5F">
        <w:rPr>
          <w:i/>
          <w:iCs/>
        </w:rPr>
        <w:t>uppatti</w:t>
      </w:r>
      <w:proofErr w:type="spellEnd"/>
      <w:r w:rsidRPr="00DC1A5F">
        <w:t xml:space="preserve">) o del establecimiento según los </w:t>
      </w:r>
      <w:r w:rsidRPr="00DC1A5F">
        <w:rPr>
          <w:i/>
          <w:iCs/>
        </w:rPr>
        <w:t>suttas</w:t>
      </w:r>
      <w:r w:rsidRPr="00DC1A5F">
        <w:t xml:space="preserve"> (</w:t>
      </w:r>
      <w:proofErr w:type="spellStart"/>
      <w:r w:rsidRPr="00DC1A5F">
        <w:rPr>
          <w:i/>
          <w:iCs/>
        </w:rPr>
        <w:t>suttanikkhepa</w:t>
      </w:r>
      <w:proofErr w:type="spellEnd"/>
      <w:r w:rsidRPr="00DC1A5F">
        <w:t>): una debida a la propia inclinación del hablante (</w:t>
      </w:r>
      <w:proofErr w:type="spellStart"/>
      <w:r w:rsidRPr="00DC1A5F">
        <w:rPr>
          <w:i/>
          <w:iCs/>
        </w:rPr>
        <w:t>attajjhāsaya</w:t>
      </w:r>
      <w:proofErr w:type="spellEnd"/>
      <w:r w:rsidRPr="00DC1A5F">
        <w:t>), otra debida a la inclinación de otro (</w:t>
      </w:r>
      <w:proofErr w:type="spellStart"/>
      <w:r w:rsidRPr="00DC1A5F">
        <w:rPr>
          <w:i/>
          <w:iCs/>
        </w:rPr>
        <w:t>parajjhāsaya</w:t>
      </w:r>
      <w:proofErr w:type="spellEnd"/>
      <w:r w:rsidRPr="00DC1A5F">
        <w:t>), como resultado de una pregunta formulada (</w:t>
      </w:r>
      <w:proofErr w:type="spellStart"/>
      <w:r w:rsidRPr="00DC1A5F">
        <w:rPr>
          <w:i/>
          <w:iCs/>
        </w:rPr>
        <w:t>pucchāvasika</w:t>
      </w:r>
      <w:proofErr w:type="spellEnd"/>
      <w:r w:rsidRPr="00DC1A5F">
        <w:t>), y a causa de una necesidad surgida (</w:t>
      </w:r>
      <w:proofErr w:type="spellStart"/>
      <w:r w:rsidRPr="00DC1A5F">
        <w:rPr>
          <w:i/>
          <w:iCs/>
        </w:rPr>
        <w:t>atthuppattika</w:t>
      </w:r>
      <w:proofErr w:type="spellEnd"/>
      <w:r w:rsidRPr="00DC1A5F">
        <w:t>)’ (M–a I 15, ver también Ch. III.88).</w:t>
      </w:r>
    </w:p>
    <w:p w14:paraId="316CF991" w14:textId="77777777" w:rsidR="00597DE2" w:rsidRPr="00DC1A5F" w:rsidRDefault="00597DE2" w:rsidP="00597DE2">
      <w:pPr>
        <w:pStyle w:val="PiedepginaLegal"/>
      </w:pPr>
      <w:r w:rsidRPr="00DC1A5F">
        <w:t xml:space="preserve">17. </w:t>
      </w:r>
      <w:r w:rsidRPr="00DC1A5F">
        <w:tab/>
        <w:t>“‘</w:t>
      </w:r>
      <w:r w:rsidRPr="00DC1A5F">
        <w:rPr>
          <w:i/>
          <w:iCs/>
        </w:rPr>
        <w:t>Formaciones vitale</w:t>
      </w:r>
      <w:r w:rsidRPr="00DC1A5F">
        <w:t xml:space="preserve">s’ posee el mismo significado que duración de la vida; aunque algunos dicen que corresponde a la duración de la vida, del calor y de la consciencia. Estos corresponderán al único objeto de su consciencia normal. No existirá muerte durante la cesación porque la muerte tendrá lugar por medio del continuum vital final [de la consciencia]. Él deberá consumarlo solo después de advertir así: “Que no ocurra la muerte súbita”. Ya que en el caso de una muerte súbita, no podría declarar el conocimiento último, aconsejar a los </w:t>
      </w:r>
      <w:proofErr w:type="spellStart"/>
      <w:r w:rsidRPr="00DC1A5F">
        <w:rPr>
          <w:i/>
          <w:iCs/>
        </w:rPr>
        <w:t>bhikkhus</w:t>
      </w:r>
      <w:proofErr w:type="spellEnd"/>
      <w:r w:rsidRPr="00DC1A5F">
        <w:t xml:space="preserve"> y testificar sobre el poder de la Dispensación. Y no se consumaría el sendero más elevado en el caso de un no–retornante” (</w:t>
      </w:r>
      <w:proofErr w:type="spellStart"/>
      <w:r w:rsidRPr="00DC1A5F">
        <w:t>Vism</w:t>
      </w:r>
      <w:proofErr w:type="spellEnd"/>
      <w:r w:rsidRPr="00DC1A5F">
        <w:t>–</w:t>
      </w:r>
      <w:proofErr w:type="spellStart"/>
      <w:r w:rsidRPr="00DC1A5F">
        <w:t>mhþ</w:t>
      </w:r>
      <w:proofErr w:type="spellEnd"/>
      <w:r w:rsidRPr="00DC1A5F">
        <w:t xml:space="preserve"> 904).</w:t>
      </w:r>
    </w:p>
    <w:p w14:paraId="3CAF0804" w14:textId="77777777" w:rsidR="00597DE2" w:rsidRPr="00DC1A5F" w:rsidRDefault="00597DE2" w:rsidP="00597DE2">
      <w:pPr>
        <w:tabs>
          <w:tab w:val="clear" w:pos="425"/>
        </w:tabs>
        <w:spacing w:after="160"/>
      </w:pPr>
      <w:r w:rsidRPr="00DC1A5F">
        <w:br w:type="page"/>
      </w:r>
    </w:p>
    <w:p w14:paraId="21D36137" w14:textId="77777777" w:rsidR="00597DE2" w:rsidRPr="00DC1A5F" w:rsidRDefault="00597DE2" w:rsidP="00597DE2"/>
    <w:p w14:paraId="454533B4" w14:textId="77777777" w:rsidR="00597DE2" w:rsidRPr="00DC1A5F" w:rsidRDefault="00597DE2" w:rsidP="00597DE2">
      <w:r w:rsidRPr="00DC1A5F">
        <w:t xml:space="preserve">consciencia, habitará sin consciencia y consumará la cesación. No obstante, ¿por qué las consciencias no seguirán ocurriendo en él después de dos consciencias? Porque el esfuerzo se dirigirá hacia la cesación. Ya que el ascenso de dicho </w:t>
      </w:r>
      <w:proofErr w:type="spellStart"/>
      <w:r w:rsidRPr="00DC1A5F">
        <w:rPr>
          <w:i/>
          <w:iCs/>
        </w:rPr>
        <w:t>bhikkhu</w:t>
      </w:r>
      <w:proofErr w:type="spellEnd"/>
      <w:r w:rsidRPr="00DC1A5F">
        <w:t xml:space="preserve"> a través de las 8 absorciones, acoplando los estados de serenidad y sabiduría, [708] estará dirigido hacia una cesación sucesiva, no hacia el desarrollo la base consistente de la no–percepción–ni–no–percepción. Así, será debido a que el esfuerzo estará dirigido hacia la cesación que no ocurrirán más que dos consciencias.</w:t>
      </w:r>
    </w:p>
    <w:p w14:paraId="0ADD4720" w14:textId="77777777" w:rsidR="00597DE2" w:rsidRPr="00DC1A5F" w:rsidRDefault="00597DE2" w:rsidP="00597DE2">
      <w:r w:rsidRPr="00DC1A5F">
        <w:t xml:space="preserve">44. </w:t>
      </w:r>
      <w:r w:rsidRPr="00DC1A5F">
        <w:tab/>
        <w:t xml:space="preserve">No obstante, si un </w:t>
      </w:r>
      <w:proofErr w:type="spellStart"/>
      <w:r w:rsidRPr="00DC1A5F">
        <w:rPr>
          <w:i/>
          <w:iCs/>
        </w:rPr>
        <w:t>bhikkhu</w:t>
      </w:r>
      <w:proofErr w:type="spellEnd"/>
      <w:r w:rsidRPr="00DC1A5F">
        <w:t xml:space="preserve"> emergiera de la base consistente del vacío sin haber realizado esta tarea preparatoria y luego desarrollase la base consistente de la no–percepción–ni–no–percepción, entonces será incapaz de habitar sin consciencia: retornaría a la base consistente del vacío y se instalaría allí.</w:t>
      </w:r>
    </w:p>
    <w:p w14:paraId="65FE5C15" w14:textId="77777777" w:rsidR="00597DE2" w:rsidRPr="00DC1A5F" w:rsidRDefault="00597DE2" w:rsidP="00597DE2">
      <w:r w:rsidRPr="00DC1A5F">
        <w:t xml:space="preserve">45. </w:t>
      </w:r>
      <w:r w:rsidRPr="00DC1A5F">
        <w:tab/>
        <w:t>Y aquí se podría narrar el símil del hombre y el camino no recorrido anteriormente. Un hombre que no había recorrido previamente cierto camino llegó a un barranco cortado por el agua, o después de cruzar un pantano profundo llegó a una roca calentada por un Sol feroz. Luego, sin arreglarse la ropa interior y exterior, descendió por el barranco pero volvió a subirlo por miedo a mojar sus pertenencias y se quedó en la orilla; o subió a la roca pero al quemarse los pies volvió al lado más cercano y aguardó allí.</w:t>
      </w:r>
    </w:p>
    <w:p w14:paraId="6A1F7A14" w14:textId="77777777" w:rsidR="00597DE2" w:rsidRPr="00DC1A5F" w:rsidRDefault="00597DE2" w:rsidP="00597DE2">
      <w:r w:rsidRPr="00DC1A5F">
        <w:t xml:space="preserve">46. </w:t>
      </w:r>
      <w:r w:rsidRPr="00DC1A5F">
        <w:tab/>
        <w:t xml:space="preserve">​​Al respecto, así como el hombre, tan pronto como hubo descendido por el barranco, o el que caminaba sobre la roca caliente, hubo regresado y quedado en un lado cercano, porque no se habría ocupado de la disposición de sus prendas interiores y exteriores, así también, tan pronto como el meditador haya desarrollado la base consistente de la no–percepción–ni–no–percepción, retrocederá y permanecerá en la base consistente del vacío porque la tarea preparatoria no se habrá hecho. </w:t>
      </w:r>
    </w:p>
    <w:p w14:paraId="549B330C" w14:textId="77777777" w:rsidR="00597DE2" w:rsidRPr="00DC1A5F" w:rsidRDefault="00597DE2" w:rsidP="00597DE2">
      <w:r w:rsidRPr="00DC1A5F">
        <w:t xml:space="preserve">47. </w:t>
      </w:r>
      <w:r w:rsidRPr="00DC1A5F">
        <w:tab/>
        <w:t xml:space="preserve">Así como un hombre que hubiese recorrido ese camino antes llegaría a tal lugar, se pondría su ropa interior con seguridad y tomaría la otra en su mano, cruzaría el barranco, o actuaría como si pisara ligeramente sobre la caliente roca y, en consecuencia, llegaría al otro lado, así también, cuando el </w:t>
      </w:r>
      <w:proofErr w:type="spellStart"/>
      <w:r w:rsidRPr="00DC1A5F">
        <w:rPr>
          <w:i/>
          <w:iCs/>
        </w:rPr>
        <w:t>bhikkhu</w:t>
      </w:r>
      <w:proofErr w:type="spellEnd"/>
      <w:r w:rsidRPr="00DC1A5F">
        <w:t xml:space="preserve"> realice la tarea preparatoria y luego desarrolle la base consistente de la no-percepción-ni-no-percepción, entonces consumará la cesación, lo cual corresponderá a la otra orilla, al habitar sin consciencia.</w:t>
      </w:r>
    </w:p>
    <w:p w14:paraId="61022EC5" w14:textId="77777777" w:rsidR="00597DE2" w:rsidRPr="00DC1A5F" w:rsidRDefault="00597DE2" w:rsidP="00597DE2">
      <w:r w:rsidRPr="00DC1A5F">
        <w:t xml:space="preserve">48. </w:t>
      </w:r>
      <w:r w:rsidRPr="00DC1A5F">
        <w:tab/>
        <w:t>(</w:t>
      </w:r>
      <w:proofErr w:type="spellStart"/>
      <w:r w:rsidRPr="00DC1A5F">
        <w:t>vii</w:t>
      </w:r>
      <w:proofErr w:type="spellEnd"/>
      <w:r w:rsidRPr="00DC1A5F">
        <w:t>) ¿</w:t>
      </w:r>
      <w:r w:rsidRPr="00DC1A5F">
        <w:rPr>
          <w:i/>
          <w:iCs/>
        </w:rPr>
        <w:t>Cómo se hace para que perdure</w:t>
      </w:r>
      <w:r w:rsidRPr="00DC1A5F">
        <w:t>? Perdurará el tiempo predeterminado para su duración, a no ser que se interrumpa entretanto por el agotamiento de la vida, por el aguardar de la Comunidad, o por la convocatoria del Maestro.</w:t>
      </w:r>
    </w:p>
    <w:p w14:paraId="2BC92C7C" w14:textId="77777777" w:rsidR="00597DE2" w:rsidRPr="00DC1A5F" w:rsidRDefault="00597DE2" w:rsidP="00597DE2">
      <w:r w:rsidRPr="00DC1A5F">
        <w:t xml:space="preserve">49. </w:t>
      </w:r>
      <w:r w:rsidRPr="00DC1A5F">
        <w:tab/>
        <w:t>(</w:t>
      </w:r>
      <w:proofErr w:type="spellStart"/>
      <w:r w:rsidRPr="00DC1A5F">
        <w:t>viii</w:t>
      </w:r>
      <w:proofErr w:type="spellEnd"/>
      <w:r w:rsidRPr="00DC1A5F">
        <w:t>) ¿</w:t>
      </w:r>
      <w:r w:rsidRPr="00DC1A5F">
        <w:rPr>
          <w:i/>
          <w:iCs/>
        </w:rPr>
        <w:t>Cómo se produce el emerger de ella</w:t>
      </w:r>
      <w:r w:rsidRPr="00DC1A5F">
        <w:t xml:space="preserve">? El emerger se producirá de 2 maneras: por medio de la fruición del no–retorno en el caso del que no–retornantes, o por medio de la fruición del estado de </w:t>
      </w:r>
      <w:r w:rsidRPr="00DC1A5F">
        <w:rPr>
          <w:i/>
          <w:iCs/>
        </w:rPr>
        <w:t>Arahant</w:t>
      </w:r>
      <w:r w:rsidRPr="00DC1A5F">
        <w:t xml:space="preserve"> en el caso del </w:t>
      </w:r>
      <w:r w:rsidRPr="00DC1A5F">
        <w:rPr>
          <w:i/>
          <w:iCs/>
        </w:rPr>
        <w:t>Arahant</w:t>
      </w:r>
      <w:r w:rsidRPr="00DC1A5F">
        <w:t>.</w:t>
      </w:r>
    </w:p>
    <w:p w14:paraId="5FBC609E" w14:textId="77777777" w:rsidR="00597DE2" w:rsidRPr="00DC1A5F" w:rsidRDefault="00597DE2" w:rsidP="00597DE2">
      <w:r w:rsidRPr="00DC1A5F">
        <w:t xml:space="preserve">50. </w:t>
      </w:r>
      <w:r w:rsidRPr="00DC1A5F">
        <w:tab/>
        <w:t>(</w:t>
      </w:r>
      <w:proofErr w:type="spellStart"/>
      <w:r w:rsidRPr="00DC1A5F">
        <w:t>ix</w:t>
      </w:r>
      <w:proofErr w:type="spellEnd"/>
      <w:r w:rsidRPr="00DC1A5F">
        <w:t>) ¿</w:t>
      </w:r>
      <w:r w:rsidRPr="00DC1A5F">
        <w:rPr>
          <w:i/>
          <w:iCs/>
        </w:rPr>
        <w:t>Hacia qué tiende la mente en alguien que haya emergido</w:t>
      </w:r>
      <w:r w:rsidRPr="00DC1A5F">
        <w:t xml:space="preserve">? Tenderá hacia el </w:t>
      </w:r>
      <w:r w:rsidRPr="00DC1A5F">
        <w:rPr>
          <w:i/>
          <w:iCs/>
        </w:rPr>
        <w:t>Nibbāna</w:t>
      </w:r>
      <w:r w:rsidRPr="00DC1A5F">
        <w:t xml:space="preserve">. Porque eso se dice al respecto: “Cuando un </w:t>
      </w:r>
      <w:proofErr w:type="spellStart"/>
      <w:r w:rsidRPr="00DC1A5F">
        <w:rPr>
          <w:i/>
          <w:iCs/>
        </w:rPr>
        <w:t>bhikkhu</w:t>
      </w:r>
      <w:proofErr w:type="spellEnd"/>
      <w:r w:rsidRPr="00DC1A5F">
        <w:t xml:space="preserve"> haya emergido de la consumación de la cesación de la percepción y la sensación, amigo Visākhā, su consciencia se inclinará hacia la reclusión, tenderá hacia la reclusión, aguardará por la reclusión” (M I 302). [709]</w:t>
      </w:r>
    </w:p>
    <w:p w14:paraId="58D389DA" w14:textId="77777777" w:rsidR="00597DE2" w:rsidRPr="00DC1A5F" w:rsidRDefault="00597DE2" w:rsidP="00597DE2">
      <w:pPr>
        <w:tabs>
          <w:tab w:val="clear" w:pos="425"/>
        </w:tabs>
        <w:spacing w:after="160"/>
      </w:pPr>
      <w:r w:rsidRPr="00DC1A5F">
        <w:br w:type="page"/>
      </w:r>
    </w:p>
    <w:p w14:paraId="465C6515" w14:textId="77777777" w:rsidR="00597DE2" w:rsidRPr="00DC1A5F" w:rsidRDefault="00597DE2" w:rsidP="00597DE2"/>
    <w:p w14:paraId="619EBE41" w14:textId="77777777" w:rsidR="00597DE2" w:rsidRPr="00DC1A5F" w:rsidRDefault="00597DE2" w:rsidP="00597DE2">
      <w:r w:rsidRPr="00DC1A5F">
        <w:t xml:space="preserve">51. </w:t>
      </w:r>
      <w:r w:rsidRPr="00DC1A5F">
        <w:tab/>
        <w:t>(x) ¿</w:t>
      </w:r>
      <w:r w:rsidRPr="00DC1A5F">
        <w:rPr>
          <w:i/>
          <w:iCs/>
        </w:rPr>
        <w:t>Cuál es la diferencia entre alguien que haya consumado la cesación y alguien que esté muerto</w:t>
      </w:r>
      <w:r w:rsidRPr="00DC1A5F">
        <w:t xml:space="preserve">? Esto también se da en un </w:t>
      </w:r>
      <w:proofErr w:type="spellStart"/>
      <w:r w:rsidRPr="00DC1A5F">
        <w:rPr>
          <w:i/>
          <w:iCs/>
        </w:rPr>
        <w:t>sutta</w:t>
      </w:r>
      <w:proofErr w:type="spellEnd"/>
      <w:r w:rsidRPr="00DC1A5F">
        <w:t xml:space="preserve">, se dice al respecto: “Cuando un </w:t>
      </w:r>
      <w:proofErr w:type="spellStart"/>
      <w:r w:rsidRPr="00DC1A5F">
        <w:rPr>
          <w:i/>
          <w:iCs/>
        </w:rPr>
        <w:t>bhikkhu</w:t>
      </w:r>
      <w:proofErr w:type="spellEnd"/>
      <w:r w:rsidRPr="00DC1A5F">
        <w:t xml:space="preserve"> esté muerto, amigo, habrá completado su vida, sus formaciones corporales habrán cesado y estarán completamente calmadas, sus formaciones verbales habrán cesado y estarán completamente calmadas, sus formaciones mentales habrán cesado y estarán completamente calmadas. las formaciones habrán cesado y estarán completamente calmadas, su vida estará agotada, su calor habrá disminuido y sus facultades se encontrarán destruidas. Cuando un </w:t>
      </w:r>
      <w:proofErr w:type="spellStart"/>
      <w:r w:rsidRPr="00DC1A5F">
        <w:rPr>
          <w:i/>
          <w:iCs/>
        </w:rPr>
        <w:t>bhikkhu</w:t>
      </w:r>
      <w:proofErr w:type="spellEnd"/>
      <w:r w:rsidRPr="00DC1A5F">
        <w:t xml:space="preserve"> haya entrado en la cesación de la percepción y la sensación, sus formaciones corporales habrán cesado y estarán completamente calmadas, sus formaciones verbales habrán cesado y estarán completamente calmadas, sus formaciones mentales habrán cesado y estarán completamente calmadas, su vida no se habrá terminado, su calor no se habrá amainado, sus facultades se encontrarán intactas” (M I 296).</w:t>
      </w:r>
    </w:p>
    <w:p w14:paraId="21F5A579" w14:textId="77777777" w:rsidR="00597DE2" w:rsidRPr="00DC1A5F" w:rsidRDefault="00597DE2" w:rsidP="00597DE2">
      <w:r w:rsidRPr="00DC1A5F">
        <w:t xml:space="preserve">52. </w:t>
      </w:r>
      <w:r w:rsidRPr="00DC1A5F">
        <w:tab/>
        <w:t>(xi) En cuanto a la pregunta, ¿</w:t>
      </w:r>
      <w:r w:rsidRPr="00DC1A5F">
        <w:rPr>
          <w:i/>
          <w:iCs/>
        </w:rPr>
        <w:t>La consumación de la cesación es formada o no–formada, etc</w:t>
      </w:r>
      <w:r w:rsidRPr="00DC1A5F">
        <w:t>.? No es clasificable como formada o no–formada, mundana o supramundana. ¿Por qué? Porque no poseerá esencia individual. No obstante, como llegará a ser consumada por quien lo consume, será lícito decir que habrá sido producida y no no–producida.</w:t>
      </w:r>
    </w:p>
    <w:p w14:paraId="67D9CEF9" w14:textId="77777777" w:rsidR="00597DE2" w:rsidRPr="00DC1A5F" w:rsidRDefault="00597DE2" w:rsidP="00597DE2">
      <w:pPr>
        <w:pStyle w:val="VersoIngls01Sangria"/>
        <w:rPr>
          <w:sz w:val="16"/>
          <w:szCs w:val="20"/>
        </w:rPr>
      </w:pPr>
      <w:r w:rsidRPr="00DC1A5F">
        <w:rPr>
          <w:sz w:val="16"/>
          <w:szCs w:val="20"/>
        </w:rPr>
        <w:t>Ésta también será la consumación que</w:t>
      </w:r>
    </w:p>
    <w:p w14:paraId="29E61341" w14:textId="77777777" w:rsidR="00597DE2" w:rsidRPr="00DC1A5F" w:rsidRDefault="00597DE2" w:rsidP="00597DE2">
      <w:pPr>
        <w:pStyle w:val="VersoIngls01Sangria"/>
        <w:rPr>
          <w:sz w:val="16"/>
          <w:szCs w:val="20"/>
        </w:rPr>
      </w:pPr>
      <w:r w:rsidRPr="00DC1A5F">
        <w:rPr>
          <w:sz w:val="16"/>
          <w:szCs w:val="20"/>
        </w:rPr>
        <w:t xml:space="preserve">Un Noble podrá cultivar; </w:t>
      </w:r>
    </w:p>
    <w:p w14:paraId="7A7D748F" w14:textId="77777777" w:rsidR="00597DE2" w:rsidRPr="00DC1A5F" w:rsidRDefault="00597DE2" w:rsidP="00597DE2">
      <w:pPr>
        <w:pStyle w:val="VersoIngls01Sangria"/>
        <w:rPr>
          <w:sz w:val="16"/>
          <w:szCs w:val="20"/>
        </w:rPr>
      </w:pPr>
      <w:r w:rsidRPr="00DC1A5F">
        <w:rPr>
          <w:sz w:val="16"/>
          <w:szCs w:val="20"/>
        </w:rPr>
        <w:t xml:space="preserve">La paz que ésta confiera se considera </w:t>
      </w:r>
    </w:p>
    <w:p w14:paraId="39ED8AE2" w14:textId="77777777" w:rsidR="00597DE2" w:rsidRPr="00DC1A5F" w:rsidRDefault="00597DE2" w:rsidP="00597DE2">
      <w:pPr>
        <w:pStyle w:val="VersoIngls01Sangria"/>
        <w:spacing w:after="100"/>
        <w:ind w:left="1418"/>
        <w:rPr>
          <w:sz w:val="16"/>
          <w:szCs w:val="20"/>
        </w:rPr>
      </w:pPr>
      <w:r w:rsidRPr="00DC1A5F">
        <w:rPr>
          <w:i/>
          <w:iCs/>
          <w:sz w:val="16"/>
          <w:szCs w:val="20"/>
        </w:rPr>
        <w:t>El Nibbāna</w:t>
      </w:r>
      <w:r w:rsidRPr="00DC1A5F">
        <w:rPr>
          <w:sz w:val="16"/>
          <w:szCs w:val="20"/>
        </w:rPr>
        <w:t xml:space="preserve"> del aquí y ahora.</w:t>
      </w:r>
    </w:p>
    <w:p w14:paraId="68F5E088" w14:textId="77777777" w:rsidR="00597DE2" w:rsidRPr="00DC1A5F" w:rsidRDefault="00597DE2" w:rsidP="00597DE2">
      <w:pPr>
        <w:pStyle w:val="VersoIngls01Sangria"/>
        <w:rPr>
          <w:sz w:val="16"/>
          <w:szCs w:val="20"/>
        </w:rPr>
      </w:pPr>
      <w:r w:rsidRPr="00DC1A5F">
        <w:rPr>
          <w:sz w:val="16"/>
          <w:szCs w:val="20"/>
        </w:rPr>
        <w:t>Un hombre sabio al desarrollar</w:t>
      </w:r>
    </w:p>
    <w:p w14:paraId="3BB3B8D8" w14:textId="77777777" w:rsidR="00597DE2" w:rsidRPr="00DC1A5F" w:rsidRDefault="00597DE2" w:rsidP="00597DE2">
      <w:pPr>
        <w:pStyle w:val="VersoIngls01Sangria"/>
        <w:rPr>
          <w:sz w:val="16"/>
          <w:szCs w:val="20"/>
        </w:rPr>
      </w:pPr>
      <w:r w:rsidRPr="00DC1A5F">
        <w:rPr>
          <w:sz w:val="16"/>
          <w:szCs w:val="20"/>
        </w:rPr>
        <w:t xml:space="preserve">El noble entendimiento podrá </w:t>
      </w:r>
    </w:p>
    <w:p w14:paraId="78C6FE79" w14:textId="77777777" w:rsidR="00597DE2" w:rsidRPr="00DC1A5F" w:rsidRDefault="00597DE2" w:rsidP="00597DE2">
      <w:pPr>
        <w:pStyle w:val="VersoIngls01Sangria"/>
        <w:rPr>
          <w:sz w:val="16"/>
          <w:szCs w:val="20"/>
        </w:rPr>
      </w:pPr>
      <w:r w:rsidRPr="00DC1A5F">
        <w:rPr>
          <w:sz w:val="16"/>
          <w:szCs w:val="20"/>
        </w:rPr>
        <w:t>Con ello mismo dotarse;</w:t>
      </w:r>
    </w:p>
    <w:p w14:paraId="051D5728" w14:textId="77777777" w:rsidR="00597DE2" w:rsidRPr="00DC1A5F" w:rsidRDefault="00597DE2" w:rsidP="00597DE2">
      <w:pPr>
        <w:pStyle w:val="VersoIngls01Sangria"/>
        <w:rPr>
          <w:sz w:val="16"/>
          <w:szCs w:val="20"/>
        </w:rPr>
      </w:pPr>
      <w:r w:rsidRPr="00DC1A5F">
        <w:rPr>
          <w:sz w:val="16"/>
          <w:szCs w:val="20"/>
        </w:rPr>
        <w:t>Entonces a esta habilidad se le llamará también</w:t>
      </w:r>
    </w:p>
    <w:p w14:paraId="51A53BEC" w14:textId="77777777" w:rsidR="00597DE2" w:rsidRPr="00DC1A5F" w:rsidRDefault="00597DE2" w:rsidP="00597DE2">
      <w:pPr>
        <w:pStyle w:val="VersoIngls01Sangria"/>
        <w:rPr>
          <w:sz w:val="16"/>
          <w:szCs w:val="20"/>
        </w:rPr>
      </w:pPr>
      <w:r w:rsidRPr="00DC1A5F">
        <w:rPr>
          <w:sz w:val="16"/>
          <w:szCs w:val="20"/>
        </w:rPr>
        <w:t xml:space="preserve">La bendición del entendimiento, </w:t>
      </w:r>
    </w:p>
    <w:p w14:paraId="4AF8B4E2" w14:textId="77777777" w:rsidR="00597DE2" w:rsidRPr="00DC1A5F" w:rsidRDefault="00597DE2" w:rsidP="00597DE2">
      <w:pPr>
        <w:pStyle w:val="VersoIngls01Sangria"/>
        <w:rPr>
          <w:sz w:val="16"/>
          <w:szCs w:val="20"/>
        </w:rPr>
      </w:pPr>
      <w:r w:rsidRPr="00DC1A5F">
        <w:rPr>
          <w:sz w:val="16"/>
          <w:szCs w:val="20"/>
        </w:rPr>
        <w:t>Que los nobles senderos permiten.</w:t>
      </w:r>
    </w:p>
    <w:p w14:paraId="42402E60" w14:textId="77777777" w:rsidR="00597DE2" w:rsidRPr="00DC1A5F" w:rsidRDefault="00597DE2" w:rsidP="00597DE2">
      <w:pPr>
        <w:pStyle w:val="Ttulo3"/>
        <w:ind w:left="708"/>
      </w:pPr>
      <w:r w:rsidRPr="00DC1A5F">
        <w:t>[D. Digno de Recepción de Presentes]</w:t>
      </w:r>
    </w:p>
    <w:p w14:paraId="333FDE69" w14:textId="77777777" w:rsidR="00597DE2" w:rsidRPr="00DC1A5F" w:rsidRDefault="00597DE2" w:rsidP="00597DE2">
      <w:r w:rsidRPr="00DC1A5F">
        <w:t xml:space="preserve">53. </w:t>
      </w:r>
      <w:r w:rsidRPr="00DC1A5F">
        <w:tab/>
        <w:t>Y no sólo la capacidad de lograr la cesación, sino también la consumación de la dignidad para recibir presentes deberá entenderse como un beneficio de este desarrollo supramundano del entendimiento.</w:t>
      </w:r>
    </w:p>
    <w:p w14:paraId="34442B33" w14:textId="77777777" w:rsidR="00597DE2" w:rsidRPr="00DC1A5F" w:rsidRDefault="00597DE2" w:rsidP="00597DE2">
      <w:r w:rsidRPr="00DC1A5F">
        <w:t xml:space="preserve">54. </w:t>
      </w:r>
      <w:r w:rsidRPr="00DC1A5F">
        <w:tab/>
        <w:t>Ya que, hablando en general, se deberá a que el entendimiento se habrá desarrollado de estas cuatro maneras que una persona que la haya desarrollado será digna de recepción de presentes provenientes de este mundo con sus divinidades, será digna de hospitalidad digna de ofrendas y apta para un saludo reverencial, como un incomparable campo de méritos</w:t>
      </w:r>
    </w:p>
    <w:p w14:paraId="363A2130" w14:textId="77777777" w:rsidR="00597DE2" w:rsidRPr="00DC1A5F" w:rsidRDefault="00597DE2" w:rsidP="00597DE2">
      <w:pPr>
        <w:pStyle w:val="PiedepginaLegal"/>
        <w:rPr>
          <w:sz w:val="12"/>
          <w:szCs w:val="20"/>
          <w:u w:val="single"/>
        </w:rPr>
      </w:pPr>
      <w:r w:rsidRPr="00DC1A5F">
        <w:rPr>
          <w:sz w:val="12"/>
          <w:szCs w:val="20"/>
          <w:u w:val="single"/>
        </w:rPr>
        <w:tab/>
      </w:r>
      <w:r w:rsidRPr="00DC1A5F">
        <w:rPr>
          <w:sz w:val="12"/>
          <w:szCs w:val="20"/>
          <w:u w:val="single"/>
        </w:rPr>
        <w:tab/>
      </w:r>
      <w:r w:rsidRPr="00DC1A5F">
        <w:rPr>
          <w:sz w:val="12"/>
          <w:szCs w:val="20"/>
          <w:u w:val="single"/>
        </w:rPr>
        <w:tab/>
      </w:r>
      <w:r w:rsidRPr="00DC1A5F">
        <w:rPr>
          <w:sz w:val="12"/>
          <w:szCs w:val="20"/>
          <w:u w:val="single"/>
        </w:rPr>
        <w:tab/>
        <w:t>.</w:t>
      </w:r>
    </w:p>
    <w:p w14:paraId="6F180A39" w14:textId="77777777" w:rsidR="00597DE2" w:rsidRPr="00DC1A5F" w:rsidRDefault="00597DE2" w:rsidP="00597DE2">
      <w:pPr>
        <w:pStyle w:val="PiedepginaLegal"/>
        <w:rPr>
          <w:sz w:val="12"/>
          <w:szCs w:val="20"/>
        </w:rPr>
      </w:pPr>
      <w:r w:rsidRPr="00DC1A5F">
        <w:rPr>
          <w:sz w:val="12"/>
          <w:szCs w:val="20"/>
        </w:rPr>
        <w:t xml:space="preserve">18. </w:t>
      </w:r>
      <w:r w:rsidRPr="00DC1A5F">
        <w:rPr>
          <w:sz w:val="12"/>
          <w:szCs w:val="20"/>
        </w:rPr>
        <w:tab/>
        <w:t xml:space="preserve">Las sutilezas de la palabra </w:t>
      </w:r>
      <w:proofErr w:type="spellStart"/>
      <w:r w:rsidRPr="00DC1A5F">
        <w:rPr>
          <w:i/>
          <w:iCs/>
          <w:sz w:val="12"/>
          <w:szCs w:val="20"/>
        </w:rPr>
        <w:t>nipphanna</w:t>
      </w:r>
      <w:proofErr w:type="spellEnd"/>
      <w:r w:rsidRPr="00DC1A5F">
        <w:rPr>
          <w:sz w:val="12"/>
          <w:szCs w:val="20"/>
        </w:rPr>
        <w:t xml:space="preserve"> quedarán más claras citando un párrafo del </w:t>
      </w:r>
      <w:proofErr w:type="spellStart"/>
      <w:r w:rsidRPr="00DC1A5F">
        <w:rPr>
          <w:i/>
          <w:iCs/>
          <w:sz w:val="12"/>
          <w:szCs w:val="20"/>
        </w:rPr>
        <w:t>Sammohavinodanī</w:t>
      </w:r>
      <w:proofErr w:type="spellEnd"/>
      <w:r w:rsidRPr="00DC1A5F">
        <w:rPr>
          <w:sz w:val="12"/>
          <w:szCs w:val="20"/>
        </w:rPr>
        <w:t xml:space="preserve"> (</w:t>
      </w:r>
      <w:proofErr w:type="spellStart"/>
      <w:r w:rsidRPr="00DC1A5F">
        <w:rPr>
          <w:sz w:val="12"/>
          <w:szCs w:val="20"/>
        </w:rPr>
        <w:t>Vibh</w:t>
      </w:r>
      <w:proofErr w:type="spellEnd"/>
      <w:r w:rsidRPr="00DC1A5F">
        <w:rPr>
          <w:sz w:val="12"/>
          <w:szCs w:val="20"/>
        </w:rPr>
        <w:t>–a 29): “Los cinco agregados son producidos positivamente (</w:t>
      </w:r>
      <w:proofErr w:type="spellStart"/>
      <w:r w:rsidRPr="00DC1A5F">
        <w:rPr>
          <w:i/>
          <w:iCs/>
          <w:sz w:val="12"/>
          <w:szCs w:val="20"/>
        </w:rPr>
        <w:t>parinipphanna</w:t>
      </w:r>
      <w:proofErr w:type="spellEnd"/>
      <w:r w:rsidRPr="00DC1A5F">
        <w:rPr>
          <w:sz w:val="12"/>
          <w:szCs w:val="20"/>
        </w:rPr>
        <w:t>) siempre, no producidos negativamente (</w:t>
      </w:r>
      <w:proofErr w:type="spellStart"/>
      <w:r w:rsidRPr="00DC1A5F">
        <w:rPr>
          <w:i/>
          <w:iCs/>
          <w:sz w:val="12"/>
          <w:szCs w:val="20"/>
        </w:rPr>
        <w:t>aparinipphanna</w:t>
      </w:r>
      <w:proofErr w:type="spellEnd"/>
      <w:r w:rsidRPr="00DC1A5F">
        <w:rPr>
          <w:sz w:val="12"/>
          <w:szCs w:val="20"/>
        </w:rPr>
        <w:t>); siempre serán formados, no no–formados. Además, también se producirán (</w:t>
      </w:r>
      <w:proofErr w:type="spellStart"/>
      <w:r w:rsidRPr="00DC1A5F">
        <w:rPr>
          <w:i/>
          <w:iCs/>
          <w:sz w:val="12"/>
          <w:szCs w:val="20"/>
        </w:rPr>
        <w:t>nipphanna</w:t>
      </w:r>
      <w:proofErr w:type="spellEnd"/>
      <w:r w:rsidRPr="00DC1A5F">
        <w:rPr>
          <w:sz w:val="12"/>
          <w:szCs w:val="20"/>
        </w:rPr>
        <w:t xml:space="preserve">). Ya que entre los </w:t>
      </w:r>
      <w:r w:rsidRPr="00DC1A5F">
        <w:rPr>
          <w:i/>
          <w:iCs/>
          <w:sz w:val="12"/>
          <w:szCs w:val="20"/>
        </w:rPr>
        <w:t>dhammas</w:t>
      </w:r>
      <w:r w:rsidRPr="00DC1A5F">
        <w:rPr>
          <w:sz w:val="12"/>
          <w:szCs w:val="20"/>
        </w:rPr>
        <w:t xml:space="preserve"> que correspondan a esencias individuales (</w:t>
      </w:r>
      <w:proofErr w:type="spellStart"/>
      <w:r w:rsidRPr="00DC1A5F">
        <w:rPr>
          <w:i/>
          <w:iCs/>
          <w:sz w:val="12"/>
          <w:szCs w:val="20"/>
        </w:rPr>
        <w:t>sabhāva</w:t>
      </w:r>
      <w:proofErr w:type="spellEnd"/>
      <w:r w:rsidRPr="00DC1A5F">
        <w:rPr>
          <w:sz w:val="12"/>
          <w:szCs w:val="20"/>
        </w:rPr>
        <w:t>–</w:t>
      </w:r>
      <w:r w:rsidRPr="00DC1A5F">
        <w:rPr>
          <w:i/>
          <w:iCs/>
          <w:sz w:val="12"/>
          <w:szCs w:val="20"/>
        </w:rPr>
        <w:t>dhamma</w:t>
      </w:r>
      <w:r w:rsidRPr="00DC1A5F">
        <w:rPr>
          <w:sz w:val="12"/>
          <w:szCs w:val="20"/>
        </w:rPr>
        <w:t xml:space="preserve">), solo el </w:t>
      </w:r>
      <w:r w:rsidRPr="00DC1A5F">
        <w:rPr>
          <w:i/>
          <w:iCs/>
          <w:sz w:val="12"/>
          <w:szCs w:val="20"/>
        </w:rPr>
        <w:t>Nibbāna</w:t>
      </w:r>
      <w:r w:rsidRPr="00DC1A5F">
        <w:rPr>
          <w:sz w:val="12"/>
          <w:szCs w:val="20"/>
        </w:rPr>
        <w:t xml:space="preserve"> será el que no se produzca positivamente ni se produzca (</w:t>
      </w:r>
      <w:proofErr w:type="spellStart"/>
      <w:r w:rsidRPr="00DC1A5F">
        <w:rPr>
          <w:i/>
          <w:iCs/>
          <w:sz w:val="12"/>
          <w:szCs w:val="20"/>
        </w:rPr>
        <w:t>anipphanna</w:t>
      </w:r>
      <w:proofErr w:type="spellEnd"/>
      <w:r w:rsidRPr="00DC1A5F">
        <w:rPr>
          <w:sz w:val="12"/>
          <w:szCs w:val="20"/>
        </w:rPr>
        <w:t xml:space="preserve">) </w:t>
      </w:r>
      <w:r w:rsidRPr="00DC1A5F">
        <w:rPr>
          <w:color w:val="833C0B" w:themeColor="accent2" w:themeShade="80"/>
          <w:sz w:val="12"/>
          <w:szCs w:val="20"/>
        </w:rPr>
        <w:t>de ninguna manera</w:t>
      </w:r>
      <w:r w:rsidRPr="00DC1A5F">
        <w:rPr>
          <w:sz w:val="12"/>
          <w:szCs w:val="20"/>
        </w:rPr>
        <w:t xml:space="preserve">”. El </w:t>
      </w:r>
      <w:proofErr w:type="spellStart"/>
      <w:r w:rsidRPr="00DC1A5F">
        <w:rPr>
          <w:i/>
          <w:iCs/>
          <w:sz w:val="12"/>
          <w:szCs w:val="20"/>
        </w:rPr>
        <w:t>Mūla</w:t>
      </w:r>
      <w:proofErr w:type="spellEnd"/>
      <w:r w:rsidRPr="00DC1A5F">
        <w:rPr>
          <w:i/>
          <w:iCs/>
          <w:sz w:val="12"/>
          <w:szCs w:val="20"/>
        </w:rPr>
        <w:t xml:space="preserve"> </w:t>
      </w:r>
      <w:proofErr w:type="spellStart"/>
      <w:r w:rsidRPr="00DC1A5F">
        <w:rPr>
          <w:i/>
          <w:iCs/>
          <w:sz w:val="12"/>
          <w:szCs w:val="20"/>
        </w:rPr>
        <w:t>Ṭìkā</w:t>
      </w:r>
      <w:proofErr w:type="spellEnd"/>
      <w:r w:rsidRPr="00DC1A5F">
        <w:rPr>
          <w:sz w:val="12"/>
          <w:szCs w:val="20"/>
        </w:rPr>
        <w:t xml:space="preserve"> comenta al respecto: “¿Cuál es la diferencia entre lo producido positivamente y lo producido? Se producirá positivamente un </w:t>
      </w:r>
      <w:r w:rsidRPr="00DC1A5F">
        <w:rPr>
          <w:i/>
          <w:iCs/>
          <w:sz w:val="12"/>
          <w:szCs w:val="20"/>
        </w:rPr>
        <w:t>dhamma</w:t>
      </w:r>
      <w:r w:rsidRPr="00DC1A5F">
        <w:rPr>
          <w:sz w:val="12"/>
          <w:szCs w:val="20"/>
        </w:rPr>
        <w:t xml:space="preserve"> que sea una esencia individual con un principio y un fin en el tiempo, producido por medio de ciertas condiciones y marcado a través de las tres características. No obstante, además de esto, lo que se produzca [pero no se produzca positivamente] corresponderá a un </w:t>
      </w:r>
      <w:r w:rsidRPr="00DC1A5F">
        <w:rPr>
          <w:i/>
          <w:iCs/>
          <w:sz w:val="12"/>
          <w:szCs w:val="20"/>
        </w:rPr>
        <w:t>dhamma</w:t>
      </w:r>
      <w:r w:rsidRPr="00DC1A5F">
        <w:rPr>
          <w:sz w:val="12"/>
          <w:szCs w:val="20"/>
        </w:rPr>
        <w:t xml:space="preserve"> sin esencia individual (</w:t>
      </w:r>
      <w:proofErr w:type="spellStart"/>
      <w:r w:rsidRPr="00DC1A5F">
        <w:rPr>
          <w:i/>
          <w:iCs/>
          <w:sz w:val="12"/>
          <w:szCs w:val="20"/>
        </w:rPr>
        <w:t>asabhāva</w:t>
      </w:r>
      <w:proofErr w:type="spellEnd"/>
      <w:r w:rsidRPr="00DC1A5F">
        <w:rPr>
          <w:sz w:val="12"/>
          <w:szCs w:val="20"/>
        </w:rPr>
        <w:t>–</w:t>
      </w:r>
      <w:r w:rsidRPr="00DC1A5F">
        <w:rPr>
          <w:i/>
          <w:iCs/>
          <w:sz w:val="12"/>
          <w:szCs w:val="20"/>
        </w:rPr>
        <w:t>dhamma</w:t>
      </w:r>
      <w:r w:rsidRPr="00DC1A5F">
        <w:rPr>
          <w:sz w:val="12"/>
          <w:szCs w:val="20"/>
        </w:rPr>
        <w:t>) cuando se produzca adoptando un nombre o consumando la consumación de la cesación” (</w:t>
      </w:r>
      <w:proofErr w:type="spellStart"/>
      <w:r w:rsidRPr="00DC1A5F">
        <w:rPr>
          <w:sz w:val="12"/>
          <w:szCs w:val="20"/>
        </w:rPr>
        <w:t>Vibh</w:t>
      </w:r>
      <w:proofErr w:type="spellEnd"/>
      <w:r w:rsidRPr="00DC1A5F">
        <w:rPr>
          <w:sz w:val="12"/>
          <w:szCs w:val="20"/>
        </w:rPr>
        <w:t xml:space="preserve">–a </w:t>
      </w:r>
      <w:proofErr w:type="gramStart"/>
      <w:r w:rsidRPr="00DC1A5F">
        <w:rPr>
          <w:sz w:val="12"/>
          <w:szCs w:val="20"/>
        </w:rPr>
        <w:t>23 )</w:t>
      </w:r>
      <w:proofErr w:type="gramEnd"/>
      <w:r w:rsidRPr="00DC1A5F">
        <w:rPr>
          <w:sz w:val="12"/>
          <w:szCs w:val="20"/>
        </w:rPr>
        <w:t>. Cf. también XIV.72 y 77</w:t>
      </w:r>
      <w:r w:rsidRPr="00DC1A5F">
        <w:rPr>
          <w:sz w:val="12"/>
          <w:szCs w:val="20"/>
        </w:rPr>
        <w:br w:type="page"/>
      </w:r>
    </w:p>
    <w:p w14:paraId="084D1A1B" w14:textId="77777777" w:rsidR="00597DE2" w:rsidRPr="00DC1A5F" w:rsidRDefault="00597DE2" w:rsidP="00597DE2">
      <w:r w:rsidRPr="00DC1A5F">
        <w:lastRenderedPageBreak/>
        <w:t>para el mundo.</w:t>
      </w:r>
    </w:p>
    <w:p w14:paraId="10EF38C8" w14:textId="77777777" w:rsidR="00597DE2" w:rsidRPr="00DC1A5F" w:rsidRDefault="00597DE2" w:rsidP="00597DE2">
      <w:r w:rsidRPr="00DC1A5F">
        <w:t xml:space="preserve">55. </w:t>
      </w:r>
      <w:r w:rsidRPr="00DC1A5F">
        <w:tab/>
        <w:t>No obstante, en particular y en primer lugar, se le denominará a él: “aquel que renacerá siete veces a lo sumo” aquel que llegue al desarrollo del entendimiento del primer sendero con una sabiduría entumecida y facultades laxas; él atravesará el ciclo de renacimientos en siete ocasiones posteriores pero a través de destinos felices. Al que consume la cesación con mediana sabiduría y medianas facultades se le denominará “el que irá de una noble familia a otra noble familia”; con dos o tres renacimientos en familias nobles, éste pondrá fin a todo sufrimiento. Al que consume la cesación con una sabiduría aguda y facultades también agudas se le denominará: “el que germinará una sola vez más”; con un renacimiento más en el mundo humano, éste pondrá fin al sufrimiento (ver A I 133).</w:t>
      </w:r>
    </w:p>
    <w:p w14:paraId="44620242" w14:textId="77777777" w:rsidR="00597DE2" w:rsidRPr="00DC1A5F" w:rsidRDefault="00597DE2" w:rsidP="00597DE2">
      <w:pPr>
        <w:pStyle w:val="NormalConSangria"/>
      </w:pPr>
      <w:r w:rsidRPr="00DC1A5F">
        <w:t>Al que desarrolle el entendimiento del segundo sendero, se le denominará retornante–por–única–vez. Éste renacerá una vez más en este mundo y pondrá así fin a todo sufrimiento. [710]</w:t>
      </w:r>
    </w:p>
    <w:p w14:paraId="7EFD8141" w14:textId="77777777" w:rsidR="00597DE2" w:rsidRPr="00DC1A5F" w:rsidRDefault="00597DE2" w:rsidP="00597DE2">
      <w:r w:rsidRPr="00DC1A5F">
        <w:t xml:space="preserve">56. </w:t>
      </w:r>
      <w:r w:rsidRPr="00DC1A5F">
        <w:tab/>
        <w:t xml:space="preserve">Al que desarrolle el entendimiento del tercer sendero, se le denominará un no–retornante. De acuerdo con la diferencia de sus facultades, consumará su curso en 1 de 5 maneras, después de haber dejado atrás a este mundo: se convertirá en “alguien que consumará el </w:t>
      </w:r>
      <w:r w:rsidRPr="00DC1A5F">
        <w:rPr>
          <w:i/>
          <w:iCs/>
        </w:rPr>
        <w:t>Nibbāna</w:t>
      </w:r>
      <w:r w:rsidRPr="00DC1A5F">
        <w:t xml:space="preserve"> tempranamente en su próxima existencia” o “alguien que consumará el </w:t>
      </w:r>
      <w:r w:rsidRPr="00DC1A5F">
        <w:rPr>
          <w:i/>
          <w:iCs/>
        </w:rPr>
        <w:t>Nibbāna</w:t>
      </w:r>
      <w:r w:rsidRPr="00DC1A5F">
        <w:t xml:space="preserve"> luego de transcurrida la mitad de su próxima existencia” o “alguien que consumará el </w:t>
      </w:r>
      <w:r w:rsidRPr="00DC1A5F">
        <w:rPr>
          <w:i/>
          <w:iCs/>
        </w:rPr>
        <w:t>Nibbāna</w:t>
      </w:r>
      <w:r w:rsidRPr="00DC1A5F">
        <w:t xml:space="preserve"> espontáneamente” o “alguien que consumará el </w:t>
      </w:r>
      <w:r w:rsidRPr="00DC1A5F">
        <w:rPr>
          <w:i/>
          <w:iCs/>
        </w:rPr>
        <w:t>Nibbāna</w:t>
      </w:r>
      <w:r w:rsidRPr="00DC1A5F">
        <w:t xml:space="preserve"> mediante una incitación” o “alguien que ascenderá al destino de los Dioses Supremos” (ver D III 237).</w:t>
      </w:r>
    </w:p>
    <w:p w14:paraId="5E548E4D" w14:textId="77777777" w:rsidR="00597DE2" w:rsidRPr="00DC1A5F" w:rsidRDefault="00597DE2" w:rsidP="00597DE2">
      <w:r w:rsidRPr="00DC1A5F">
        <w:t xml:space="preserve">57. </w:t>
      </w:r>
      <w:r w:rsidRPr="00DC1A5F">
        <w:tab/>
        <w:t xml:space="preserve">Aquí, </w:t>
      </w:r>
      <w:r w:rsidRPr="00DC1A5F">
        <w:rPr>
          <w:i/>
          <w:iCs/>
        </w:rPr>
        <w:t>quien consume el Nibbāna tempranamente en su próxima existencia</w:t>
      </w:r>
      <w:r w:rsidRPr="00DC1A5F">
        <w:t xml:space="preserve">, consumará el </w:t>
      </w:r>
      <w:r w:rsidRPr="00DC1A5F">
        <w:rPr>
          <w:i/>
          <w:iCs/>
        </w:rPr>
        <w:t>Nibbāna</w:t>
      </w:r>
      <w:r w:rsidRPr="00DC1A5F">
        <w:t xml:space="preserve"> después de renacer en cualquier lugar de los Reinos Puros, sin llegar a la mitad de su vida en dicho reino. </w:t>
      </w:r>
      <w:r w:rsidRPr="00DC1A5F">
        <w:rPr>
          <w:i/>
          <w:iCs/>
        </w:rPr>
        <w:t>Aquel que consume el Nibbāna luego de la mitad de su próxima existencia</w:t>
      </w:r>
      <w:r w:rsidRPr="00DC1A5F">
        <w:t xml:space="preserve">, corresponden a quien consumará el </w:t>
      </w:r>
      <w:r w:rsidRPr="00DC1A5F">
        <w:rPr>
          <w:i/>
          <w:iCs/>
        </w:rPr>
        <w:t>Nibbāna</w:t>
      </w:r>
      <w:r w:rsidRPr="00DC1A5F">
        <w:t xml:space="preserve"> después de la mitad de su vida en su próxima existencia. Aquel que consume el </w:t>
      </w:r>
      <w:r w:rsidRPr="00DC1A5F">
        <w:rPr>
          <w:i/>
          <w:iCs/>
        </w:rPr>
        <w:t>Nibbāna</w:t>
      </w:r>
      <w:r w:rsidRPr="00DC1A5F">
        <w:t xml:space="preserve"> espontáneamente, generará el sendero más elevado sin ayuda y con poco esfuerzo. Aquel que consume el </w:t>
      </w:r>
      <w:r w:rsidRPr="00DC1A5F">
        <w:rPr>
          <w:i/>
          <w:iCs/>
        </w:rPr>
        <w:t>Nibbāna</w:t>
      </w:r>
      <w:r w:rsidRPr="00DC1A5F">
        <w:t xml:space="preserve"> mediante una motivación generará el sendero más elevado mediante alguna motivación, con esfuerzo. Aquel que ascienda hacia el destino de los Dioses Supremos, ascenderá desde donde renazca en los Reinos Puros hasta el devenir de los Dioses Supremos y allí consumará el </w:t>
      </w:r>
      <w:r w:rsidRPr="00DC1A5F">
        <w:rPr>
          <w:i/>
          <w:iCs/>
        </w:rPr>
        <w:t>Nibbāna</w:t>
      </w:r>
      <w:r w:rsidRPr="00DC1A5F">
        <w:t>.</w:t>
      </w:r>
    </w:p>
    <w:p w14:paraId="6CE40B31" w14:textId="77777777" w:rsidR="00597DE2" w:rsidRPr="00DC1A5F" w:rsidRDefault="00597DE2" w:rsidP="00597DE2">
      <w:r w:rsidRPr="00DC1A5F">
        <w:t xml:space="preserve">58. </w:t>
      </w:r>
      <w:r w:rsidRPr="00DC1A5F">
        <w:tab/>
        <w:t xml:space="preserve">Al desarrollar el entendimiento del cuarto sendero, uno será “liberado mediante la fe”, otro, “mediante el entendimiento”; otro, “en ambos sentidos”; otro “mediante una y clara triple visión”; otro, “mediante los seis tipos de conocimiento–directo”; otro será “uno de los grandes cuyas contaminaciones hayan sido destruidas y que haya llegado a la categoría de la discriminación”. Fue de quien había desarrollado el cuarto sendero que se dijo al respecto: “No </w:t>
      </w:r>
      <w:proofErr w:type="gramStart"/>
      <w:r w:rsidRPr="00DC1A5F">
        <w:t>obstante,  éste</w:t>
      </w:r>
      <w:proofErr w:type="gramEnd"/>
      <w:r w:rsidRPr="00DC1A5F">
        <w:t xml:space="preserve"> corresponderá Al momento del sendero en el que se dice que se habrá desenredado este enredo: en el momento de la fruición se habrá desenredado este enredo y será digno de la ofrendas más elevadas de este mundo con sus divinidades” (I.7).</w:t>
      </w:r>
    </w:p>
    <w:p w14:paraId="038E543C" w14:textId="77777777" w:rsidR="00597DE2" w:rsidRPr="00DC1A5F" w:rsidRDefault="00597DE2" w:rsidP="00597DE2">
      <w:pPr>
        <w:pStyle w:val="VersoIngls01Sangria"/>
        <w:ind w:left="0"/>
        <w:rPr>
          <w:sz w:val="16"/>
          <w:szCs w:val="20"/>
        </w:rPr>
      </w:pPr>
      <w:r w:rsidRPr="00DC1A5F">
        <w:t xml:space="preserve">59. </w:t>
      </w:r>
      <w:r w:rsidRPr="00DC1A5F">
        <w:tab/>
      </w:r>
      <w:r w:rsidRPr="00DC1A5F">
        <w:tab/>
      </w:r>
      <w:r w:rsidRPr="00DC1A5F">
        <w:tab/>
      </w:r>
      <w:r w:rsidRPr="00DC1A5F">
        <w:rPr>
          <w:sz w:val="16"/>
          <w:szCs w:val="20"/>
        </w:rPr>
        <w:t>El noble entendimiento, cuando sea</w:t>
      </w:r>
    </w:p>
    <w:p w14:paraId="064237F9" w14:textId="77777777" w:rsidR="00597DE2" w:rsidRPr="00DC1A5F" w:rsidRDefault="00597DE2" w:rsidP="00597DE2">
      <w:pPr>
        <w:pStyle w:val="VersoIngls01Sangria"/>
        <w:rPr>
          <w:sz w:val="16"/>
          <w:szCs w:val="20"/>
        </w:rPr>
      </w:pPr>
      <w:r w:rsidRPr="00DC1A5F">
        <w:rPr>
          <w:sz w:val="16"/>
          <w:szCs w:val="20"/>
        </w:rPr>
        <w:t xml:space="preserve">Desarrollado, obtendrá estas bendiciones; </w:t>
      </w:r>
    </w:p>
    <w:p w14:paraId="356A0B72" w14:textId="77777777" w:rsidR="00597DE2" w:rsidRPr="00DC1A5F" w:rsidRDefault="00597DE2" w:rsidP="00597DE2">
      <w:pPr>
        <w:pStyle w:val="VersoIngls01Sangria"/>
        <w:rPr>
          <w:sz w:val="16"/>
          <w:szCs w:val="20"/>
        </w:rPr>
      </w:pPr>
      <w:r w:rsidRPr="00DC1A5F">
        <w:rPr>
          <w:sz w:val="16"/>
          <w:szCs w:val="20"/>
        </w:rPr>
        <w:t xml:space="preserve">En consecuencia, los hombres de discernimiento </w:t>
      </w:r>
    </w:p>
    <w:p w14:paraId="4045F2E6" w14:textId="77777777" w:rsidR="00597DE2" w:rsidRPr="00DC1A5F" w:rsidRDefault="00597DE2" w:rsidP="00597DE2">
      <w:pPr>
        <w:pStyle w:val="VersoIngls01Sangria"/>
        <w:spacing w:after="100"/>
        <w:ind w:left="1418"/>
        <w:rPr>
          <w:sz w:val="16"/>
          <w:szCs w:val="20"/>
        </w:rPr>
      </w:pPr>
      <w:r w:rsidRPr="00DC1A5F">
        <w:rPr>
          <w:sz w:val="16"/>
          <w:szCs w:val="20"/>
        </w:rPr>
        <w:t>Se regocijan de sobremanera en ello.</w:t>
      </w:r>
    </w:p>
    <w:p w14:paraId="56843D44" w14:textId="77777777" w:rsidR="00597DE2" w:rsidRPr="00DC1A5F" w:rsidRDefault="00597DE2" w:rsidP="00597DE2">
      <w:r w:rsidRPr="00DC1A5F">
        <w:t xml:space="preserve">60. </w:t>
      </w:r>
      <w:r w:rsidRPr="00DC1A5F">
        <w:tab/>
        <w:t xml:space="preserve">Y en este punto, el desarrollo del entendimiento con sus beneficios, que se muestra en el </w:t>
      </w:r>
      <w:r w:rsidRPr="00DC1A5F">
        <w:rPr>
          <w:i/>
          <w:iCs/>
        </w:rPr>
        <w:t>Sendero de la Purificación</w:t>
      </w:r>
      <w:r w:rsidRPr="00DC1A5F">
        <w:t xml:space="preserve"> con sus correspondientes términos de virtud, concentración y entendimiento, el cual se expone en la siguiente estrofa:</w:t>
      </w:r>
      <w:r w:rsidRPr="00DC1A5F">
        <w:br w:type="page"/>
      </w:r>
    </w:p>
    <w:p w14:paraId="2A2F4022" w14:textId="77777777" w:rsidR="00597DE2" w:rsidRPr="00DC1A5F" w:rsidRDefault="00597DE2" w:rsidP="00597DE2">
      <w:pPr>
        <w:pStyle w:val="VersoIngls01Sangria"/>
        <w:ind w:left="1560"/>
      </w:pPr>
    </w:p>
    <w:p w14:paraId="71BC1770" w14:textId="77777777" w:rsidR="00597DE2" w:rsidRPr="00DC1A5F" w:rsidRDefault="00597DE2" w:rsidP="00597DE2">
      <w:pPr>
        <w:pStyle w:val="VersoIngls01Sangria"/>
        <w:ind w:left="1560"/>
        <w:rPr>
          <w:sz w:val="16"/>
          <w:szCs w:val="20"/>
        </w:rPr>
      </w:pPr>
      <w:r w:rsidRPr="00DC1A5F">
        <w:rPr>
          <w:sz w:val="16"/>
          <w:szCs w:val="20"/>
        </w:rPr>
        <w:t>“Cuando un hombre sabio, bien establecido en la virtud,</w:t>
      </w:r>
    </w:p>
    <w:p w14:paraId="57DC21A4" w14:textId="77777777" w:rsidR="00597DE2" w:rsidRPr="00DC1A5F" w:rsidRDefault="00597DE2" w:rsidP="00597DE2">
      <w:pPr>
        <w:pStyle w:val="VersoIngls01Sangria"/>
        <w:ind w:left="1560"/>
        <w:rPr>
          <w:sz w:val="16"/>
          <w:szCs w:val="20"/>
        </w:rPr>
      </w:pPr>
      <w:r w:rsidRPr="00DC1A5F">
        <w:rPr>
          <w:sz w:val="16"/>
          <w:szCs w:val="20"/>
        </w:rPr>
        <w:t>Desarrolle consciencia y sabiduría,</w:t>
      </w:r>
    </w:p>
    <w:p w14:paraId="33037775" w14:textId="77777777" w:rsidR="00597DE2" w:rsidRPr="00DC1A5F" w:rsidRDefault="00597DE2" w:rsidP="00597DE2">
      <w:pPr>
        <w:pStyle w:val="VersoIngls01Sangria"/>
        <w:ind w:left="1560"/>
        <w:rPr>
          <w:sz w:val="16"/>
          <w:szCs w:val="20"/>
        </w:rPr>
      </w:pPr>
      <w:r w:rsidRPr="00DC1A5F">
        <w:rPr>
          <w:sz w:val="16"/>
          <w:szCs w:val="20"/>
        </w:rPr>
        <w:t xml:space="preserve">Entonces, como un </w:t>
      </w:r>
      <w:proofErr w:type="spellStart"/>
      <w:r w:rsidRPr="00DC1A5F">
        <w:rPr>
          <w:i/>
          <w:iCs/>
          <w:sz w:val="16"/>
          <w:szCs w:val="20"/>
        </w:rPr>
        <w:t>bhikkhu</w:t>
      </w:r>
      <w:proofErr w:type="spellEnd"/>
      <w:r w:rsidRPr="00DC1A5F">
        <w:rPr>
          <w:sz w:val="16"/>
          <w:szCs w:val="20"/>
        </w:rPr>
        <w:t xml:space="preserve"> ardiente y sagaz,</w:t>
      </w:r>
    </w:p>
    <w:p w14:paraId="270A860B" w14:textId="77777777" w:rsidR="00597DE2" w:rsidRPr="00DC1A5F" w:rsidRDefault="00597DE2" w:rsidP="00597DE2">
      <w:pPr>
        <w:pStyle w:val="VersoIngls01Sangria"/>
        <w:ind w:left="1560"/>
        <w:rPr>
          <w:sz w:val="16"/>
          <w:szCs w:val="20"/>
        </w:rPr>
      </w:pPr>
      <w:r w:rsidRPr="00DC1A5F">
        <w:rPr>
          <w:sz w:val="16"/>
          <w:szCs w:val="20"/>
        </w:rPr>
        <w:t>Logrará desenredar este enredo” (I.1),</w:t>
      </w:r>
    </w:p>
    <w:p w14:paraId="59C512DC" w14:textId="77777777" w:rsidR="00597DE2" w:rsidRPr="00DC1A5F" w:rsidRDefault="00597DE2" w:rsidP="00597DE2">
      <w:pPr>
        <w:pStyle w:val="VersoIngls01Sangria"/>
        <w:ind w:left="1560"/>
        <w:rPr>
          <w:sz w:val="16"/>
          <w:szCs w:val="20"/>
        </w:rPr>
      </w:pPr>
    </w:p>
    <w:p w14:paraId="78716AF8" w14:textId="77777777" w:rsidR="00597DE2" w:rsidRPr="00DC1A5F" w:rsidRDefault="00597DE2" w:rsidP="00597DE2">
      <w:r w:rsidRPr="00DC1A5F">
        <w:t>habrá sido plenamente expuesto.</w:t>
      </w:r>
    </w:p>
    <w:p w14:paraId="32219F42" w14:textId="77777777" w:rsidR="00597DE2" w:rsidRPr="00DC1A5F" w:rsidRDefault="00597DE2" w:rsidP="00597DE2">
      <w:pPr>
        <w:ind w:left="709" w:right="1043"/>
      </w:pPr>
      <w:r w:rsidRPr="00DC1A5F">
        <w:t xml:space="preserve">Éste ha sido el vigésimo tercer capítulo bajo el título “Descripción de los Beneficios del Entendimiento” del Tratado sobre el Desarrollo del Entendimiento del </w:t>
      </w:r>
      <w:r w:rsidRPr="00DC1A5F">
        <w:rPr>
          <w:i/>
          <w:iCs/>
        </w:rPr>
        <w:t>Sendero de la Purificación</w:t>
      </w:r>
      <w:r w:rsidRPr="00DC1A5F">
        <w:t xml:space="preserve"> compuesto para alegría de buenas personas.</w:t>
      </w:r>
    </w:p>
    <w:p w14:paraId="4EE787DC" w14:textId="77777777" w:rsidR="00597DE2" w:rsidRPr="00DC1A5F" w:rsidRDefault="00597DE2" w:rsidP="00597DE2"/>
    <w:p w14:paraId="2353D771" w14:textId="77777777" w:rsidR="00597DE2" w:rsidRPr="00DC1A5F" w:rsidRDefault="00597DE2" w:rsidP="00597DE2">
      <w:pPr>
        <w:tabs>
          <w:tab w:val="clear" w:pos="425"/>
        </w:tabs>
        <w:spacing w:after="160"/>
      </w:pPr>
      <w:r w:rsidRPr="00DC1A5F">
        <w:br w:type="page"/>
      </w:r>
    </w:p>
    <w:p w14:paraId="627CDFB1" w14:textId="77777777" w:rsidR="00597DE2" w:rsidRPr="00DC1A5F" w:rsidRDefault="00597DE2" w:rsidP="00597DE2"/>
    <w:p w14:paraId="6B9E7ABD" w14:textId="77777777" w:rsidR="00597DE2" w:rsidRPr="00DC1A5F" w:rsidRDefault="00597DE2" w:rsidP="00597DE2"/>
    <w:p w14:paraId="39D7A503" w14:textId="77777777" w:rsidR="00597DE2" w:rsidRPr="00DC1A5F" w:rsidRDefault="00597DE2" w:rsidP="00597DE2">
      <w:pPr>
        <w:pStyle w:val="Ttulo2"/>
        <w:jc w:val="center"/>
      </w:pPr>
      <w:bookmarkStart w:id="12" w:name="_Toc142334419"/>
      <w:r w:rsidRPr="00DC1A5F">
        <w:t>Conclusión</w:t>
      </w:r>
      <w:bookmarkEnd w:id="12"/>
    </w:p>
    <w:p w14:paraId="20E243C7" w14:textId="77777777" w:rsidR="00597DE2" w:rsidRPr="00DC1A5F" w:rsidRDefault="00597DE2" w:rsidP="00597DE2">
      <w:pPr>
        <w:pStyle w:val="Textoindependiente"/>
      </w:pPr>
      <w:r w:rsidRPr="00DC1A5F">
        <w:t>Después de citar esta estrofa,</w:t>
      </w:r>
    </w:p>
    <w:p w14:paraId="234EDB0C" w14:textId="77777777" w:rsidR="00597DE2" w:rsidRPr="00DC1A5F" w:rsidRDefault="00597DE2" w:rsidP="00597DE2">
      <w:pPr>
        <w:pStyle w:val="VersoIngls01Sangria"/>
        <w:rPr>
          <w:sz w:val="16"/>
          <w:szCs w:val="20"/>
        </w:rPr>
      </w:pPr>
      <w:r w:rsidRPr="00DC1A5F">
        <w:rPr>
          <w:sz w:val="16"/>
          <w:szCs w:val="20"/>
        </w:rPr>
        <w:t>“Cuando un hombre sabio, bien establecido en la virtud,</w:t>
      </w:r>
    </w:p>
    <w:p w14:paraId="23362637" w14:textId="77777777" w:rsidR="00597DE2" w:rsidRPr="00DC1A5F" w:rsidRDefault="00597DE2" w:rsidP="00597DE2">
      <w:pPr>
        <w:pStyle w:val="VersoIngls01Sangria"/>
        <w:rPr>
          <w:sz w:val="16"/>
          <w:szCs w:val="20"/>
        </w:rPr>
      </w:pPr>
      <w:r w:rsidRPr="00DC1A5F">
        <w:rPr>
          <w:sz w:val="16"/>
          <w:szCs w:val="20"/>
        </w:rPr>
        <w:t>Desarrolle consciencia y sabiduría,</w:t>
      </w:r>
    </w:p>
    <w:p w14:paraId="6F64D110" w14:textId="77777777" w:rsidR="00597DE2" w:rsidRPr="00DC1A5F" w:rsidRDefault="00597DE2" w:rsidP="00597DE2">
      <w:pPr>
        <w:pStyle w:val="VersoIngls01Sangria"/>
        <w:rPr>
          <w:sz w:val="16"/>
          <w:szCs w:val="20"/>
        </w:rPr>
      </w:pPr>
      <w:r w:rsidRPr="00DC1A5F">
        <w:rPr>
          <w:sz w:val="16"/>
          <w:szCs w:val="20"/>
        </w:rPr>
        <w:t xml:space="preserve">Entonces, como un </w:t>
      </w:r>
      <w:proofErr w:type="spellStart"/>
      <w:r w:rsidRPr="00DC1A5F">
        <w:rPr>
          <w:i/>
          <w:iCs/>
          <w:sz w:val="16"/>
          <w:szCs w:val="20"/>
        </w:rPr>
        <w:t>bhikkhu</w:t>
      </w:r>
      <w:proofErr w:type="spellEnd"/>
      <w:r w:rsidRPr="00DC1A5F">
        <w:rPr>
          <w:sz w:val="16"/>
          <w:szCs w:val="20"/>
        </w:rPr>
        <w:t xml:space="preserve"> ardiente y sagaz, </w:t>
      </w:r>
    </w:p>
    <w:p w14:paraId="09B53ECA" w14:textId="77777777" w:rsidR="00597DE2" w:rsidRPr="00DC1A5F" w:rsidRDefault="00597DE2" w:rsidP="00597DE2">
      <w:pPr>
        <w:pStyle w:val="VersoIngls01Sangria"/>
        <w:spacing w:after="100"/>
        <w:ind w:left="1418"/>
        <w:rPr>
          <w:sz w:val="16"/>
          <w:szCs w:val="20"/>
        </w:rPr>
      </w:pPr>
      <w:r w:rsidRPr="00DC1A5F">
        <w:rPr>
          <w:sz w:val="16"/>
          <w:szCs w:val="20"/>
        </w:rPr>
        <w:t>Logrará desenredar este enredo” (I.1),</w:t>
      </w:r>
    </w:p>
    <w:p w14:paraId="0936751F" w14:textId="77777777" w:rsidR="00597DE2" w:rsidRPr="00DC1A5F" w:rsidRDefault="00597DE2" w:rsidP="00597DE2">
      <w:pPr>
        <w:pStyle w:val="NormalConSangria"/>
      </w:pPr>
      <w:r w:rsidRPr="00DC1A5F">
        <w:t>Entonces, dijimos:</w:t>
      </w:r>
    </w:p>
    <w:p w14:paraId="0937E069" w14:textId="77777777" w:rsidR="00597DE2" w:rsidRPr="00DC1A5F" w:rsidRDefault="00597DE2" w:rsidP="00597DE2">
      <w:pPr>
        <w:pStyle w:val="VersoIngls01Sangria"/>
        <w:rPr>
          <w:sz w:val="16"/>
          <w:szCs w:val="20"/>
        </w:rPr>
      </w:pPr>
      <w:r w:rsidRPr="00DC1A5F">
        <w:rPr>
          <w:sz w:val="16"/>
          <w:szCs w:val="20"/>
        </w:rPr>
        <w:t>“Mi tarea será ahora establecer el verdadero sentido de esto,</w:t>
      </w:r>
    </w:p>
    <w:p w14:paraId="3FA8CDD3" w14:textId="77777777" w:rsidR="00597DE2" w:rsidRPr="00DC1A5F" w:rsidRDefault="00597DE2" w:rsidP="00597DE2">
      <w:pPr>
        <w:pStyle w:val="VersoIngls01Sangria"/>
        <w:rPr>
          <w:sz w:val="16"/>
          <w:szCs w:val="20"/>
        </w:rPr>
      </w:pPr>
      <w:r w:rsidRPr="00DC1A5F">
        <w:rPr>
          <w:sz w:val="16"/>
          <w:szCs w:val="20"/>
        </w:rPr>
        <w:t>Dividido en la virtud y lo restante,</w:t>
      </w:r>
    </w:p>
    <w:p w14:paraId="49ECDB89" w14:textId="77777777" w:rsidR="00597DE2" w:rsidRPr="00DC1A5F" w:rsidRDefault="00597DE2" w:rsidP="00597DE2">
      <w:pPr>
        <w:pStyle w:val="VersoIngls01Sangria"/>
        <w:rPr>
          <w:sz w:val="16"/>
          <w:szCs w:val="20"/>
        </w:rPr>
      </w:pPr>
      <w:r w:rsidRPr="00DC1A5F">
        <w:rPr>
          <w:sz w:val="16"/>
          <w:szCs w:val="20"/>
        </w:rPr>
        <w:t>De este mismo verso compuesto por el Gran Sabio.</w:t>
      </w:r>
    </w:p>
    <w:p w14:paraId="1EAF0657" w14:textId="77777777" w:rsidR="00597DE2" w:rsidRPr="00DC1A5F" w:rsidRDefault="00597DE2" w:rsidP="00597DE2">
      <w:pPr>
        <w:pStyle w:val="VersoIngls01Sangria"/>
        <w:rPr>
          <w:sz w:val="16"/>
          <w:szCs w:val="20"/>
        </w:rPr>
      </w:pPr>
      <w:r w:rsidRPr="00DC1A5F">
        <w:rPr>
          <w:sz w:val="16"/>
          <w:szCs w:val="20"/>
        </w:rPr>
        <w:t>Habida aquí en la Dispensación del Vencedor</w:t>
      </w:r>
    </w:p>
    <w:p w14:paraId="3B92FCD7" w14:textId="77777777" w:rsidR="00597DE2" w:rsidRPr="00DC1A5F" w:rsidRDefault="00597DE2" w:rsidP="00597DE2">
      <w:pPr>
        <w:pStyle w:val="VersoIngls01Sangria"/>
        <w:rPr>
          <w:sz w:val="16"/>
          <w:szCs w:val="20"/>
        </w:rPr>
      </w:pPr>
      <w:r w:rsidRPr="00DC1A5F">
        <w:rPr>
          <w:sz w:val="16"/>
          <w:szCs w:val="20"/>
        </w:rPr>
        <w:t>Y quien aunque deseando pureza</w:t>
      </w:r>
    </w:p>
    <w:p w14:paraId="10FA97A7" w14:textId="77777777" w:rsidR="00597DE2" w:rsidRPr="00DC1A5F" w:rsidRDefault="00597DE2" w:rsidP="00597DE2">
      <w:pPr>
        <w:pStyle w:val="VersoIngls01Sangria"/>
        <w:rPr>
          <w:sz w:val="16"/>
          <w:szCs w:val="20"/>
        </w:rPr>
      </w:pPr>
      <w:r w:rsidRPr="00DC1A5F">
        <w:rPr>
          <w:sz w:val="16"/>
          <w:szCs w:val="20"/>
        </w:rPr>
        <w:t>No posea el correcto conocimiento del sendero correcto y seguro,</w:t>
      </w:r>
    </w:p>
    <w:p w14:paraId="7898A972" w14:textId="77777777" w:rsidR="00597DE2" w:rsidRPr="00DC1A5F" w:rsidRDefault="00597DE2" w:rsidP="00597DE2">
      <w:pPr>
        <w:pStyle w:val="VersoIngls01Sangria"/>
        <w:rPr>
          <w:sz w:val="16"/>
          <w:szCs w:val="20"/>
        </w:rPr>
      </w:pPr>
      <w:r w:rsidRPr="00DC1A5F">
        <w:rPr>
          <w:sz w:val="16"/>
          <w:szCs w:val="20"/>
        </w:rPr>
        <w:t xml:space="preserve">Que comprenda a la virtud y los otros dos, </w:t>
      </w:r>
    </w:p>
    <w:p w14:paraId="13A97B12" w14:textId="77777777" w:rsidR="00597DE2" w:rsidRPr="00DC1A5F" w:rsidRDefault="00597DE2" w:rsidP="00597DE2">
      <w:pPr>
        <w:pStyle w:val="VersoIngls01Sangria"/>
        <w:rPr>
          <w:sz w:val="16"/>
          <w:szCs w:val="20"/>
        </w:rPr>
      </w:pPr>
      <w:r w:rsidRPr="00DC1A5F">
        <w:rPr>
          <w:sz w:val="16"/>
          <w:szCs w:val="20"/>
        </w:rPr>
        <w:t>Difícil de encontrar, conducente hacia la pureza.</w:t>
      </w:r>
    </w:p>
    <w:p w14:paraId="67E3105E" w14:textId="77777777" w:rsidR="00597DE2" w:rsidRPr="00DC1A5F" w:rsidRDefault="00597DE2" w:rsidP="00597DE2">
      <w:pPr>
        <w:pStyle w:val="VersoIngls01Sangria"/>
        <w:rPr>
          <w:sz w:val="16"/>
          <w:szCs w:val="20"/>
        </w:rPr>
      </w:pPr>
      <w:r w:rsidRPr="00DC1A5F">
        <w:rPr>
          <w:sz w:val="16"/>
          <w:szCs w:val="20"/>
        </w:rPr>
        <w:t>Quienes, aunque se esfuercen, aquí no obtengan pureza.</w:t>
      </w:r>
    </w:p>
    <w:p w14:paraId="0CF7D426" w14:textId="77777777" w:rsidR="00597DE2" w:rsidRPr="00DC1A5F" w:rsidRDefault="00597DE2" w:rsidP="00597DE2">
      <w:pPr>
        <w:pStyle w:val="VersoIngls01Sangria"/>
        <w:rPr>
          <w:sz w:val="16"/>
          <w:szCs w:val="20"/>
        </w:rPr>
      </w:pPr>
      <w:r w:rsidRPr="00DC1A5F">
        <w:rPr>
          <w:sz w:val="16"/>
          <w:szCs w:val="20"/>
        </w:rPr>
        <w:t>A ellos les expondré el Sendero reconfortante</w:t>
      </w:r>
    </w:p>
    <w:p w14:paraId="1A925BCC" w14:textId="77777777" w:rsidR="00597DE2" w:rsidRPr="00DC1A5F" w:rsidRDefault="00597DE2" w:rsidP="00597DE2">
      <w:pPr>
        <w:pStyle w:val="VersoIngls01Sangria"/>
        <w:rPr>
          <w:sz w:val="16"/>
          <w:szCs w:val="20"/>
        </w:rPr>
      </w:pPr>
      <w:r w:rsidRPr="00DC1A5F">
        <w:rPr>
          <w:sz w:val="16"/>
          <w:szCs w:val="20"/>
        </w:rPr>
        <w:t>De la Purificación, pura en sus exposiciones</w:t>
      </w:r>
    </w:p>
    <w:p w14:paraId="7BD8581A" w14:textId="77777777" w:rsidR="00597DE2" w:rsidRPr="00DC1A5F" w:rsidRDefault="00597DE2" w:rsidP="00597DE2">
      <w:pPr>
        <w:pStyle w:val="VersoIngls01Sangria"/>
        <w:rPr>
          <w:sz w:val="16"/>
          <w:szCs w:val="20"/>
        </w:rPr>
      </w:pPr>
      <w:r w:rsidRPr="00DC1A5F">
        <w:rPr>
          <w:sz w:val="16"/>
          <w:szCs w:val="20"/>
        </w:rPr>
        <w:t xml:space="preserve">Yacido en la enseñanza de los moradores </w:t>
      </w:r>
    </w:p>
    <w:p w14:paraId="35B8EA16" w14:textId="77777777" w:rsidR="00597DE2" w:rsidRPr="00DC1A5F" w:rsidRDefault="00597DE2" w:rsidP="00597DE2">
      <w:pPr>
        <w:pStyle w:val="VersoIngls01Sangria"/>
        <w:rPr>
          <w:sz w:val="16"/>
          <w:szCs w:val="20"/>
        </w:rPr>
      </w:pPr>
      <w:r w:rsidRPr="00DC1A5F">
        <w:rPr>
          <w:sz w:val="16"/>
          <w:szCs w:val="20"/>
        </w:rPr>
        <w:t xml:space="preserve">Del Gran Monasterio; qué todos aquellos </w:t>
      </w:r>
    </w:p>
    <w:p w14:paraId="11F92596" w14:textId="77777777" w:rsidR="00597DE2" w:rsidRPr="00DC1A5F" w:rsidRDefault="00597DE2" w:rsidP="00597DE2">
      <w:pPr>
        <w:pStyle w:val="VersoIngls01Sangria"/>
        <w:rPr>
          <w:sz w:val="16"/>
          <w:szCs w:val="20"/>
        </w:rPr>
      </w:pPr>
      <w:r w:rsidRPr="00DC1A5F">
        <w:rPr>
          <w:sz w:val="16"/>
          <w:szCs w:val="20"/>
        </w:rPr>
        <w:t>Buenos hombres que deseen pureza</w:t>
      </w:r>
    </w:p>
    <w:p w14:paraId="1E23ABEF" w14:textId="77777777" w:rsidR="00597DE2" w:rsidRPr="00DC1A5F" w:rsidRDefault="00597DE2" w:rsidP="00597DE2">
      <w:pPr>
        <w:pStyle w:val="VersoIngls01Sangria"/>
        <w:spacing w:after="100"/>
        <w:ind w:left="1418"/>
        <w:rPr>
          <w:sz w:val="16"/>
          <w:szCs w:val="20"/>
        </w:rPr>
      </w:pPr>
      <w:r w:rsidRPr="00DC1A5F">
        <w:rPr>
          <w:sz w:val="16"/>
          <w:szCs w:val="20"/>
        </w:rPr>
        <w:t>Escuchen atentamente mi exposición”. (I.4)</w:t>
      </w:r>
    </w:p>
    <w:p w14:paraId="5987AB64" w14:textId="77777777" w:rsidR="00597DE2" w:rsidRPr="00DC1A5F" w:rsidRDefault="00597DE2" w:rsidP="00597DE2">
      <w:pPr>
        <w:pStyle w:val="NormalConSangria"/>
      </w:pPr>
      <w:r w:rsidRPr="00DC1A5F">
        <w:t>Ahora bien, hasta este punto, todo ello ha sido expuesto. Y aquí:</w:t>
      </w:r>
    </w:p>
    <w:p w14:paraId="44C704AD" w14:textId="77777777" w:rsidR="00597DE2" w:rsidRPr="00DC1A5F" w:rsidRDefault="00597DE2" w:rsidP="00597DE2">
      <w:pPr>
        <w:pStyle w:val="VersoIngls01Sangria"/>
        <w:rPr>
          <w:sz w:val="16"/>
          <w:szCs w:val="20"/>
        </w:rPr>
      </w:pPr>
      <w:r w:rsidRPr="00DC1A5F">
        <w:rPr>
          <w:sz w:val="16"/>
          <w:szCs w:val="20"/>
        </w:rPr>
        <w:t>Ahora bien, que la exposición tal como se ha expuesto</w:t>
      </w:r>
    </w:p>
    <w:p w14:paraId="220B4986" w14:textId="77777777" w:rsidR="00597DE2" w:rsidRPr="00DC1A5F" w:rsidRDefault="00597DE2" w:rsidP="00597DE2">
      <w:pPr>
        <w:pStyle w:val="VersoIngls01Sangria"/>
        <w:rPr>
          <w:sz w:val="16"/>
          <w:szCs w:val="20"/>
        </w:rPr>
      </w:pPr>
      <w:r w:rsidRPr="00DC1A5F">
        <w:rPr>
          <w:sz w:val="16"/>
          <w:szCs w:val="20"/>
        </w:rPr>
        <w:t>Está casi libre de errores y fallas.</w:t>
      </w:r>
    </w:p>
    <w:p w14:paraId="26106A01" w14:textId="77777777" w:rsidR="00597DE2" w:rsidRPr="00DC1A5F" w:rsidRDefault="00597DE2" w:rsidP="00597DE2">
      <w:pPr>
        <w:pStyle w:val="VersoIngls01Sangria"/>
        <w:rPr>
          <w:sz w:val="16"/>
          <w:szCs w:val="20"/>
        </w:rPr>
      </w:pPr>
      <w:r w:rsidRPr="00DC1A5F">
        <w:rPr>
          <w:sz w:val="16"/>
          <w:szCs w:val="20"/>
        </w:rPr>
        <w:t>Después de recopilar todas las exposiciones</w:t>
      </w:r>
    </w:p>
    <w:p w14:paraId="5EBF7769" w14:textId="77777777" w:rsidR="00597DE2" w:rsidRPr="00DC1A5F" w:rsidRDefault="00597DE2" w:rsidP="00597DE2">
      <w:pPr>
        <w:pStyle w:val="VersoIngls01Sangria"/>
        <w:rPr>
          <w:sz w:val="16"/>
          <w:szCs w:val="20"/>
        </w:rPr>
      </w:pPr>
      <w:r w:rsidRPr="00DC1A5F">
        <w:rPr>
          <w:sz w:val="16"/>
          <w:szCs w:val="20"/>
        </w:rPr>
        <w:t>De todos estos significados clasificados como virtud y lo restante</w:t>
      </w:r>
    </w:p>
    <w:p w14:paraId="7254E92F" w14:textId="77777777" w:rsidR="00597DE2" w:rsidRPr="00DC1A5F" w:rsidRDefault="00597DE2" w:rsidP="00597DE2">
      <w:pPr>
        <w:pStyle w:val="VersoIngls01Sangria"/>
        <w:rPr>
          <w:sz w:val="16"/>
          <w:szCs w:val="20"/>
        </w:rPr>
      </w:pPr>
      <w:r w:rsidRPr="00DC1A5F">
        <w:rPr>
          <w:sz w:val="16"/>
          <w:szCs w:val="20"/>
        </w:rPr>
        <w:t>Indicado en el sistema de comentarios.</w:t>
      </w:r>
    </w:p>
    <w:p w14:paraId="3E829B72" w14:textId="77777777" w:rsidR="00597DE2" w:rsidRPr="00DC1A5F" w:rsidRDefault="00597DE2" w:rsidP="00597DE2">
      <w:pPr>
        <w:pStyle w:val="VersoIngls01Sangria"/>
        <w:rPr>
          <w:sz w:val="16"/>
          <w:szCs w:val="20"/>
        </w:rPr>
      </w:pPr>
      <w:r w:rsidRPr="00DC1A5F">
        <w:rPr>
          <w:sz w:val="16"/>
          <w:szCs w:val="20"/>
        </w:rPr>
        <w:t xml:space="preserve">De los cinco </w:t>
      </w:r>
      <w:proofErr w:type="spellStart"/>
      <w:r w:rsidRPr="00DC1A5F">
        <w:rPr>
          <w:i/>
          <w:iCs/>
          <w:sz w:val="16"/>
          <w:szCs w:val="20"/>
        </w:rPr>
        <w:t>Nikāyas</w:t>
      </w:r>
      <w:proofErr w:type="spellEnd"/>
      <w:r w:rsidRPr="00DC1A5F">
        <w:rPr>
          <w:sz w:val="16"/>
          <w:szCs w:val="20"/>
        </w:rPr>
        <w:t>, por esta razón</w:t>
      </w:r>
    </w:p>
    <w:p w14:paraId="3392497E" w14:textId="77777777" w:rsidR="00597DE2" w:rsidRPr="00DC1A5F" w:rsidRDefault="00597DE2" w:rsidP="00597DE2">
      <w:pPr>
        <w:pStyle w:val="VersoIngls01Sangria"/>
        <w:rPr>
          <w:sz w:val="16"/>
          <w:szCs w:val="20"/>
        </w:rPr>
      </w:pPr>
      <w:r w:rsidRPr="00DC1A5F">
        <w:rPr>
          <w:sz w:val="16"/>
          <w:szCs w:val="20"/>
        </w:rPr>
        <w:t xml:space="preserve">Que los meditadores, puros en entendimiento, </w:t>
      </w:r>
    </w:p>
    <w:p w14:paraId="0E1A41E4" w14:textId="77777777" w:rsidR="00597DE2" w:rsidRPr="00DC1A5F" w:rsidRDefault="00597DE2" w:rsidP="00597DE2">
      <w:pPr>
        <w:pStyle w:val="VersoIngls01Sangria"/>
        <w:rPr>
          <w:sz w:val="16"/>
          <w:szCs w:val="20"/>
        </w:rPr>
      </w:pPr>
      <w:r w:rsidRPr="00DC1A5F">
        <w:rPr>
          <w:sz w:val="16"/>
          <w:szCs w:val="20"/>
        </w:rPr>
        <w:t xml:space="preserve">Deseosos de la purificación muestren debidamente </w:t>
      </w:r>
    </w:p>
    <w:p w14:paraId="205E7683" w14:textId="77777777" w:rsidR="00597DE2" w:rsidRPr="00DC1A5F" w:rsidRDefault="00597DE2" w:rsidP="00597DE2">
      <w:pPr>
        <w:pStyle w:val="VersoIngls01Sangria"/>
        <w:rPr>
          <w:sz w:val="16"/>
          <w:szCs w:val="20"/>
        </w:rPr>
      </w:pPr>
      <w:r w:rsidRPr="00DC1A5F">
        <w:rPr>
          <w:sz w:val="16"/>
          <w:szCs w:val="20"/>
        </w:rPr>
        <w:t xml:space="preserve">Reverencia hacia este </w:t>
      </w:r>
      <w:r w:rsidRPr="00DC1A5F">
        <w:rPr>
          <w:i/>
          <w:iCs/>
          <w:sz w:val="16"/>
          <w:szCs w:val="20"/>
        </w:rPr>
        <w:t>Sendero de la Purificación</w:t>
      </w:r>
      <w:r w:rsidRPr="00DC1A5F">
        <w:rPr>
          <w:sz w:val="16"/>
          <w:szCs w:val="20"/>
        </w:rPr>
        <w:t>.</w:t>
      </w:r>
    </w:p>
    <w:p w14:paraId="62F53948" w14:textId="77777777" w:rsidR="00597DE2" w:rsidRPr="00DC1A5F" w:rsidRDefault="00597DE2" w:rsidP="00597DE2"/>
    <w:p w14:paraId="74A37A1C" w14:textId="77777777" w:rsidR="00597DE2" w:rsidRPr="00DC1A5F" w:rsidRDefault="00597DE2" w:rsidP="00597DE2">
      <w:pPr>
        <w:jc w:val="center"/>
      </w:pPr>
      <w:r w:rsidRPr="00DC1A5F">
        <w:t>* * *</w:t>
      </w:r>
    </w:p>
    <w:p w14:paraId="3E908726" w14:textId="77777777" w:rsidR="00597DE2" w:rsidRPr="00DC1A5F" w:rsidRDefault="00597DE2" w:rsidP="00597DE2">
      <w:pPr>
        <w:tabs>
          <w:tab w:val="clear" w:pos="425"/>
        </w:tabs>
        <w:spacing w:after="160"/>
      </w:pPr>
      <w:r w:rsidRPr="00DC1A5F">
        <w:br w:type="page"/>
      </w:r>
    </w:p>
    <w:p w14:paraId="499D83C3" w14:textId="77777777" w:rsidR="00597DE2" w:rsidRPr="00DC1A5F" w:rsidRDefault="00597DE2" w:rsidP="00597DE2">
      <w:pPr>
        <w:pStyle w:val="VersoIngls01Sangria"/>
      </w:pPr>
    </w:p>
    <w:p w14:paraId="3AD4AA34" w14:textId="77777777" w:rsidR="00597DE2" w:rsidRPr="00DC1A5F" w:rsidRDefault="00597DE2" w:rsidP="00597DE2">
      <w:pPr>
        <w:pStyle w:val="VersoIngls01Sangria"/>
        <w:rPr>
          <w:sz w:val="16"/>
          <w:szCs w:val="20"/>
        </w:rPr>
      </w:pPr>
      <w:r w:rsidRPr="00DC1A5F">
        <w:rPr>
          <w:sz w:val="16"/>
          <w:szCs w:val="20"/>
        </w:rPr>
        <w:t>Qué la reserva de mérito que haya logrado personalmente</w:t>
      </w:r>
    </w:p>
    <w:p w14:paraId="0B9268FB" w14:textId="77777777" w:rsidR="00597DE2" w:rsidRPr="00DC1A5F" w:rsidRDefault="00597DE2" w:rsidP="00597DE2">
      <w:pPr>
        <w:pStyle w:val="VersoIngls01Sangria"/>
        <w:rPr>
          <w:sz w:val="16"/>
          <w:szCs w:val="20"/>
        </w:rPr>
      </w:pPr>
      <w:r w:rsidRPr="00DC1A5F">
        <w:rPr>
          <w:sz w:val="16"/>
          <w:szCs w:val="20"/>
        </w:rPr>
        <w:t xml:space="preserve">Deseando esta exposición sobre este Buen </w:t>
      </w:r>
      <w:r w:rsidRPr="00DC1A5F">
        <w:rPr>
          <w:i/>
          <w:iCs/>
          <w:sz w:val="16"/>
          <w:szCs w:val="20"/>
        </w:rPr>
        <w:t>Dhamma</w:t>
      </w:r>
    </w:p>
    <w:p w14:paraId="0AD221BB" w14:textId="77777777" w:rsidR="00597DE2" w:rsidRPr="00DC1A5F" w:rsidRDefault="00597DE2" w:rsidP="00597DE2">
      <w:pPr>
        <w:pStyle w:val="VersoIngls01Sangria"/>
        <w:rPr>
          <w:sz w:val="16"/>
          <w:szCs w:val="20"/>
        </w:rPr>
      </w:pPr>
      <w:r w:rsidRPr="00DC1A5F">
        <w:rPr>
          <w:sz w:val="16"/>
          <w:szCs w:val="20"/>
        </w:rPr>
        <w:t>Al hacer esto, aceptando la sugerencia</w:t>
      </w:r>
    </w:p>
    <w:p w14:paraId="3A64AD6B" w14:textId="77777777" w:rsidR="00597DE2" w:rsidRPr="00DC1A5F" w:rsidRDefault="00597DE2" w:rsidP="00597DE2">
      <w:pPr>
        <w:pStyle w:val="VersoIngls01Sangria"/>
        <w:rPr>
          <w:sz w:val="16"/>
          <w:szCs w:val="20"/>
        </w:rPr>
      </w:pPr>
      <w:r w:rsidRPr="00DC1A5F">
        <w:rPr>
          <w:sz w:val="16"/>
          <w:szCs w:val="20"/>
        </w:rPr>
        <w:t xml:space="preserve">del Venerable </w:t>
      </w:r>
      <w:proofErr w:type="spellStart"/>
      <w:r w:rsidRPr="00DC1A5F">
        <w:rPr>
          <w:sz w:val="16"/>
          <w:szCs w:val="20"/>
        </w:rPr>
        <w:t>Saṅghapāla</w:t>
      </w:r>
      <w:proofErr w:type="spellEnd"/>
      <w:r w:rsidRPr="00DC1A5F">
        <w:rPr>
          <w:sz w:val="16"/>
          <w:szCs w:val="20"/>
        </w:rPr>
        <w:t>,</w:t>
      </w:r>
    </w:p>
    <w:p w14:paraId="435DBB56" w14:textId="77777777" w:rsidR="00597DE2" w:rsidRPr="00DC1A5F" w:rsidRDefault="00597DE2" w:rsidP="00597DE2">
      <w:pPr>
        <w:pStyle w:val="VersoIngls01Sangria"/>
        <w:rPr>
          <w:sz w:val="16"/>
          <w:szCs w:val="20"/>
        </w:rPr>
      </w:pPr>
      <w:r w:rsidRPr="00DC1A5F">
        <w:rPr>
          <w:sz w:val="16"/>
          <w:szCs w:val="20"/>
        </w:rPr>
        <w:t xml:space="preserve">Alguien nacido en una línea de famosos Venerables </w:t>
      </w:r>
    </w:p>
    <w:p w14:paraId="7DE8A76F" w14:textId="77777777" w:rsidR="00597DE2" w:rsidRPr="00DC1A5F" w:rsidRDefault="00597DE2" w:rsidP="00597DE2">
      <w:pPr>
        <w:pStyle w:val="VersoIngls01Sangria"/>
        <w:rPr>
          <w:sz w:val="16"/>
          <w:szCs w:val="20"/>
        </w:rPr>
      </w:pPr>
      <w:r w:rsidRPr="00DC1A5F">
        <w:rPr>
          <w:sz w:val="16"/>
          <w:szCs w:val="20"/>
        </w:rPr>
        <w:t>Residente del Gran Monasterio,</w:t>
      </w:r>
    </w:p>
    <w:p w14:paraId="616C3B51" w14:textId="77777777" w:rsidR="00597DE2" w:rsidRPr="00DC1A5F" w:rsidRDefault="00597DE2" w:rsidP="00597DE2">
      <w:pPr>
        <w:pStyle w:val="VersoIngls01Sangria"/>
        <w:rPr>
          <w:sz w:val="16"/>
          <w:szCs w:val="20"/>
        </w:rPr>
      </w:pPr>
      <w:r w:rsidRPr="00DC1A5F">
        <w:rPr>
          <w:sz w:val="16"/>
          <w:szCs w:val="20"/>
        </w:rPr>
        <w:t xml:space="preserve">Un verdadero </w:t>
      </w:r>
      <w:proofErr w:type="spellStart"/>
      <w:r w:rsidRPr="00DC1A5F">
        <w:rPr>
          <w:i/>
          <w:iCs/>
          <w:sz w:val="16"/>
          <w:szCs w:val="20"/>
        </w:rPr>
        <w:t>Vibhajjavādin</w:t>
      </w:r>
      <w:proofErr w:type="spellEnd"/>
      <w:r w:rsidRPr="00DC1A5F">
        <w:rPr>
          <w:sz w:val="16"/>
          <w:szCs w:val="20"/>
        </w:rPr>
        <w:t>, sabio,</w:t>
      </w:r>
    </w:p>
    <w:p w14:paraId="102C8525" w14:textId="77777777" w:rsidR="00597DE2" w:rsidRPr="00DC1A5F" w:rsidRDefault="00597DE2" w:rsidP="00597DE2">
      <w:pPr>
        <w:pStyle w:val="VersoIngls01Sangria"/>
        <w:rPr>
          <w:sz w:val="16"/>
          <w:szCs w:val="20"/>
        </w:rPr>
      </w:pPr>
      <w:r w:rsidRPr="00DC1A5F">
        <w:rPr>
          <w:sz w:val="16"/>
          <w:szCs w:val="20"/>
        </w:rPr>
        <w:t>Que habita en la más pura sencillez, devoto</w:t>
      </w:r>
    </w:p>
    <w:p w14:paraId="16FC9371" w14:textId="77777777" w:rsidR="00597DE2" w:rsidRPr="00DC1A5F" w:rsidRDefault="00597DE2" w:rsidP="00597DE2">
      <w:pPr>
        <w:pStyle w:val="VersoIngls01Sangria"/>
        <w:rPr>
          <w:sz w:val="16"/>
          <w:szCs w:val="20"/>
        </w:rPr>
      </w:pPr>
      <w:r w:rsidRPr="00DC1A5F">
        <w:rPr>
          <w:sz w:val="16"/>
          <w:szCs w:val="20"/>
        </w:rPr>
        <w:t>De la observancia de la disciplina y la práctica,</w:t>
      </w:r>
    </w:p>
    <w:p w14:paraId="72B115F6" w14:textId="77777777" w:rsidR="00597DE2" w:rsidRPr="00DC1A5F" w:rsidRDefault="00597DE2" w:rsidP="00597DE2">
      <w:pPr>
        <w:pStyle w:val="VersoIngls01Sangria"/>
        <w:rPr>
          <w:sz w:val="16"/>
          <w:szCs w:val="20"/>
        </w:rPr>
      </w:pPr>
      <w:r w:rsidRPr="00DC1A5F">
        <w:rPr>
          <w:sz w:val="16"/>
          <w:szCs w:val="20"/>
        </w:rPr>
        <w:t>Cuya mente de cualidades virtuosas como la paciencia,</w:t>
      </w:r>
    </w:p>
    <w:p w14:paraId="0EA47C40" w14:textId="77777777" w:rsidR="00597DE2" w:rsidRPr="00DC1A5F" w:rsidRDefault="00597DE2" w:rsidP="00597DE2">
      <w:pPr>
        <w:pStyle w:val="VersoIngls01Sangria"/>
        <w:rPr>
          <w:sz w:val="16"/>
          <w:szCs w:val="20"/>
        </w:rPr>
      </w:pPr>
      <w:r w:rsidRPr="00DC1A5F">
        <w:rPr>
          <w:sz w:val="16"/>
          <w:szCs w:val="20"/>
        </w:rPr>
        <w:t>La dulzura, la bondad amorosa, etc., es agraciada —</w:t>
      </w:r>
    </w:p>
    <w:p w14:paraId="573F5CB8" w14:textId="77777777" w:rsidR="00597DE2" w:rsidRPr="00DC1A5F" w:rsidRDefault="00597DE2" w:rsidP="00597DE2">
      <w:pPr>
        <w:pStyle w:val="VersoIngls01Sangria"/>
        <w:rPr>
          <w:sz w:val="16"/>
          <w:szCs w:val="20"/>
        </w:rPr>
      </w:pPr>
      <w:r w:rsidRPr="00DC1A5F">
        <w:rPr>
          <w:sz w:val="16"/>
          <w:szCs w:val="20"/>
        </w:rPr>
        <w:t xml:space="preserve">Por el poder de esa reserva de méritos, </w:t>
      </w:r>
    </w:p>
    <w:p w14:paraId="34D4E4E6" w14:textId="77777777" w:rsidR="00597DE2" w:rsidRPr="00DC1A5F" w:rsidRDefault="00597DE2" w:rsidP="00597DE2">
      <w:pPr>
        <w:pStyle w:val="VersoIngls01Sangria"/>
        <w:rPr>
          <w:sz w:val="16"/>
          <w:szCs w:val="20"/>
        </w:rPr>
      </w:pPr>
      <w:r w:rsidRPr="00DC1A5F">
        <w:rPr>
          <w:sz w:val="16"/>
          <w:szCs w:val="20"/>
        </w:rPr>
        <w:t>Que cada ser prospere dichosamente.</w:t>
      </w:r>
    </w:p>
    <w:p w14:paraId="665E0E2A" w14:textId="77777777" w:rsidR="00597DE2" w:rsidRPr="00DC1A5F" w:rsidRDefault="00597DE2" w:rsidP="00597DE2">
      <w:pPr>
        <w:pStyle w:val="VersoIngls01Sangria"/>
        <w:rPr>
          <w:sz w:val="16"/>
          <w:szCs w:val="20"/>
        </w:rPr>
      </w:pPr>
      <w:r w:rsidRPr="00DC1A5F">
        <w:rPr>
          <w:sz w:val="16"/>
          <w:szCs w:val="20"/>
        </w:rPr>
        <w:t xml:space="preserve">Y ahora que el </w:t>
      </w:r>
      <w:r w:rsidRPr="00DC1A5F">
        <w:rPr>
          <w:i/>
          <w:iCs/>
          <w:sz w:val="16"/>
          <w:szCs w:val="20"/>
        </w:rPr>
        <w:t>Sendero de la Purificación</w:t>
      </w:r>
      <w:r w:rsidRPr="00DC1A5F">
        <w:rPr>
          <w:sz w:val="16"/>
          <w:szCs w:val="20"/>
        </w:rPr>
        <w:t>,</w:t>
      </w:r>
    </w:p>
    <w:p w14:paraId="41524D74" w14:textId="77777777" w:rsidR="00597DE2" w:rsidRPr="00DC1A5F" w:rsidRDefault="00597DE2" w:rsidP="00597DE2">
      <w:pPr>
        <w:pStyle w:val="VersoIngls01Sangria"/>
        <w:rPr>
          <w:sz w:val="16"/>
          <w:szCs w:val="20"/>
        </w:rPr>
      </w:pPr>
      <w:r w:rsidRPr="00DC1A5F">
        <w:rPr>
          <w:sz w:val="16"/>
          <w:szCs w:val="20"/>
        </w:rPr>
        <w:t>Con sus cincuenta y ocho secciones de recitación.</w:t>
      </w:r>
    </w:p>
    <w:p w14:paraId="0D724013" w14:textId="77777777" w:rsidR="00597DE2" w:rsidRPr="00DC1A5F" w:rsidRDefault="00597DE2" w:rsidP="00597DE2">
      <w:pPr>
        <w:pStyle w:val="VersoIngls01Sangria"/>
        <w:rPr>
          <w:sz w:val="16"/>
          <w:szCs w:val="20"/>
        </w:rPr>
      </w:pPr>
      <w:r w:rsidRPr="00DC1A5F">
        <w:rPr>
          <w:sz w:val="16"/>
          <w:szCs w:val="20"/>
        </w:rPr>
        <w:t>En el texto, se acaba de culminar y se adjunta</w:t>
      </w:r>
    </w:p>
    <w:p w14:paraId="7310BFB6" w14:textId="77777777" w:rsidR="00597DE2" w:rsidRPr="00DC1A5F" w:rsidRDefault="00597DE2" w:rsidP="00597DE2">
      <w:pPr>
        <w:pStyle w:val="VersoIngls01Sangria"/>
        <w:rPr>
          <w:sz w:val="16"/>
          <w:szCs w:val="20"/>
        </w:rPr>
      </w:pPr>
      <w:r w:rsidRPr="00DC1A5F">
        <w:rPr>
          <w:sz w:val="16"/>
          <w:szCs w:val="20"/>
        </w:rPr>
        <w:t xml:space="preserve">Sin obstáculos, de tal manera que todos aquellos </w:t>
      </w:r>
    </w:p>
    <w:p w14:paraId="6497ACC4" w14:textId="77777777" w:rsidR="00597DE2" w:rsidRPr="00DC1A5F" w:rsidRDefault="00597DE2" w:rsidP="00597DE2">
      <w:pPr>
        <w:pStyle w:val="VersoIngls01Sangria"/>
        <w:rPr>
          <w:sz w:val="16"/>
          <w:szCs w:val="20"/>
        </w:rPr>
      </w:pPr>
      <w:r w:rsidRPr="00DC1A5F">
        <w:rPr>
          <w:sz w:val="16"/>
          <w:szCs w:val="20"/>
        </w:rPr>
        <w:t>Que en el mundo dependan de lo que sea correcto</w:t>
      </w:r>
    </w:p>
    <w:p w14:paraId="29CBBA97" w14:textId="77777777" w:rsidR="00597DE2" w:rsidRPr="00DC1A5F" w:rsidRDefault="00597DE2" w:rsidP="00597DE2">
      <w:pPr>
        <w:pStyle w:val="VersoIngls01Sangria"/>
        <w:spacing w:after="100"/>
        <w:ind w:left="1418"/>
        <w:rPr>
          <w:sz w:val="16"/>
          <w:szCs w:val="20"/>
        </w:rPr>
      </w:pPr>
      <w:r w:rsidRPr="00DC1A5F">
        <w:rPr>
          <w:sz w:val="16"/>
          <w:szCs w:val="20"/>
        </w:rPr>
        <w:t>Alegres de corazón, prontamente triunfen sin rezagarse.</w:t>
      </w:r>
    </w:p>
    <w:p w14:paraId="07C1EF1A" w14:textId="77777777" w:rsidR="00597DE2" w:rsidRPr="00DC1A5F" w:rsidRDefault="00597DE2" w:rsidP="00597DE2">
      <w:pPr>
        <w:pStyle w:val="VersoIngls01Sangria"/>
        <w:spacing w:after="100"/>
        <w:ind w:left="1418"/>
        <w:rPr>
          <w:sz w:val="16"/>
          <w:szCs w:val="20"/>
        </w:rPr>
      </w:pPr>
    </w:p>
    <w:p w14:paraId="35FE6D6C" w14:textId="77777777" w:rsidR="00597DE2" w:rsidRPr="00DC1A5F" w:rsidRDefault="00597DE2" w:rsidP="00597DE2">
      <w:pPr>
        <w:pStyle w:val="VersoIngls01Sangria"/>
        <w:spacing w:after="100"/>
        <w:ind w:left="1418"/>
        <w:rPr>
          <w:sz w:val="16"/>
          <w:szCs w:val="20"/>
        </w:rPr>
      </w:pPr>
    </w:p>
    <w:p w14:paraId="7CB88BD1" w14:textId="77777777" w:rsidR="00597DE2" w:rsidRPr="00DC1A5F" w:rsidRDefault="00597DE2" w:rsidP="00597DE2">
      <w:pPr>
        <w:pStyle w:val="Ttulo3"/>
        <w:ind w:left="708"/>
      </w:pPr>
      <w:r w:rsidRPr="00DC1A5F">
        <w:t>[Nota Final]</w:t>
      </w:r>
    </w:p>
    <w:p w14:paraId="4ED8CAFC" w14:textId="77777777" w:rsidR="00597DE2" w:rsidRPr="00DC1A5F" w:rsidRDefault="00597DE2" w:rsidP="00597DE2">
      <w:pPr>
        <w:pStyle w:val="Textoindependiente"/>
      </w:pPr>
      <w:r w:rsidRPr="00DC1A5F">
        <w:t xml:space="preserve">Este </w:t>
      </w:r>
      <w:r w:rsidRPr="00DC1A5F">
        <w:rPr>
          <w:i/>
          <w:iCs/>
        </w:rPr>
        <w:t>Sendero de la Purificación</w:t>
      </w:r>
      <w:r w:rsidRPr="00DC1A5F">
        <w:t xml:space="preserve"> lo realizó el Venerable que se adornó de suprema y pura fe, de sabiduría y energía, en quien se reunía un concurso de cualidades rectas, apacibles, etc., debidas a la práctica de la virtud, capaz de profundizar al respecto y sondeando las visiones de su propio credo y las de los demás, poseedor de agudeza en entendimiento, fuerte en el conocimiento infalible de la Dispensación del Maestro, dividida en los tres </w:t>
      </w:r>
      <w:proofErr w:type="spellStart"/>
      <w:r w:rsidRPr="00DC1A5F">
        <w:rPr>
          <w:i/>
          <w:iCs/>
        </w:rPr>
        <w:t>Piṭakas</w:t>
      </w:r>
      <w:proofErr w:type="spellEnd"/>
      <w:r w:rsidRPr="00DC1A5F">
        <w:t xml:space="preserve"> con sus comentarios; gran expositor, dotado de un discurso dulce y noble que brotara de la facilidad nacida de la perfección del instrumento verbal, orador de lo que se dice apropiadamente, orador superlativo, gran poeta, ornamento entre el linaje de los Venerables que residen en el Gran Monasterio y que son lumbreras del linaje de los Venerables, con una iluminación inmaculada de los estados sobrehumanos que están embellecidos mediante las cualidades especiales de los seis tipos de conocimiento directo y sus diversas categorías de discriminación, quien se haya purificado abundantemente, quien lleva el nombre de Buddhaghosa, conferido por los Venerables y quien debe ser considerando bajo el título “de </w:t>
      </w:r>
      <w:proofErr w:type="spellStart"/>
      <w:r w:rsidRPr="00DC1A5F">
        <w:t>Moraṇḍaceṭaka</w:t>
      </w:r>
      <w:proofErr w:type="spellEnd"/>
      <w:r w:rsidRPr="00DC1A5F">
        <w:t>.”</w:t>
      </w:r>
    </w:p>
    <w:p w14:paraId="6DEFFB56" w14:textId="77777777" w:rsidR="00597DE2" w:rsidRPr="00DC1A5F" w:rsidRDefault="00597DE2" w:rsidP="00597DE2">
      <w:pPr>
        <w:pStyle w:val="VersoIngls01Sangria"/>
        <w:rPr>
          <w:sz w:val="16"/>
          <w:szCs w:val="20"/>
        </w:rPr>
      </w:pPr>
      <w:r w:rsidRPr="00DC1A5F">
        <w:rPr>
          <w:sz w:val="16"/>
          <w:szCs w:val="20"/>
        </w:rPr>
        <w:t xml:space="preserve">Que se preserve esto aquí </w:t>
      </w:r>
      <w:proofErr w:type="spellStart"/>
      <w:r w:rsidRPr="00DC1A5F">
        <w:rPr>
          <w:sz w:val="16"/>
          <w:szCs w:val="20"/>
        </w:rPr>
        <w:t>exponsición</w:t>
      </w:r>
      <w:proofErr w:type="spellEnd"/>
    </w:p>
    <w:p w14:paraId="2A8A119F" w14:textId="77777777" w:rsidR="00597DE2" w:rsidRPr="00DC1A5F" w:rsidRDefault="00597DE2" w:rsidP="00597DE2">
      <w:pPr>
        <w:pStyle w:val="VersoIngls01Sangria"/>
        <w:rPr>
          <w:sz w:val="16"/>
          <w:szCs w:val="20"/>
        </w:rPr>
      </w:pPr>
      <w:r w:rsidRPr="00DC1A5F">
        <w:rPr>
          <w:sz w:val="16"/>
          <w:szCs w:val="20"/>
        </w:rPr>
        <w:t>Del sendero hacia la pureza de la virtud, etc.,</w:t>
      </w:r>
    </w:p>
    <w:p w14:paraId="0DD2D283" w14:textId="77777777" w:rsidR="00597DE2" w:rsidRPr="00DC1A5F" w:rsidRDefault="00597DE2" w:rsidP="00597DE2">
      <w:pPr>
        <w:pStyle w:val="VersoIngls01Sangria"/>
        <w:rPr>
          <w:sz w:val="16"/>
          <w:szCs w:val="20"/>
        </w:rPr>
      </w:pPr>
      <w:r w:rsidRPr="00DC1A5F">
        <w:rPr>
          <w:sz w:val="16"/>
          <w:szCs w:val="20"/>
        </w:rPr>
        <w:t>Para los miembros del clan que procuren los medios</w:t>
      </w:r>
    </w:p>
    <w:p w14:paraId="6BE2A595" w14:textId="77777777" w:rsidR="00597DE2" w:rsidRPr="00DC1A5F" w:rsidRDefault="00597DE2" w:rsidP="00597DE2">
      <w:pPr>
        <w:pStyle w:val="VersoIngls01Sangria"/>
        <w:rPr>
          <w:sz w:val="16"/>
          <w:szCs w:val="20"/>
        </w:rPr>
      </w:pPr>
      <w:r w:rsidRPr="00DC1A5F">
        <w:rPr>
          <w:sz w:val="16"/>
          <w:szCs w:val="20"/>
        </w:rPr>
        <w:t>Para transportarlos a través de mundos,</w:t>
      </w:r>
    </w:p>
    <w:p w14:paraId="70F73598" w14:textId="77777777" w:rsidR="00597DE2" w:rsidRPr="00DC1A5F" w:rsidRDefault="00597DE2" w:rsidP="00597DE2">
      <w:pPr>
        <w:pStyle w:val="VersoIngls01Sangria"/>
        <w:rPr>
          <w:sz w:val="16"/>
          <w:szCs w:val="20"/>
        </w:rPr>
      </w:pPr>
      <w:r w:rsidRPr="00DC1A5F">
        <w:rPr>
          <w:sz w:val="16"/>
          <w:szCs w:val="20"/>
        </w:rPr>
        <w:t>Ya que mientras perdure en este mundo</w:t>
      </w:r>
    </w:p>
    <w:p w14:paraId="56CFFAC8" w14:textId="77777777" w:rsidR="00597DE2" w:rsidRPr="00DC1A5F" w:rsidRDefault="00597DE2" w:rsidP="00597DE2">
      <w:pPr>
        <w:pStyle w:val="VersoIngls01Sangria"/>
        <w:rPr>
          <w:sz w:val="16"/>
          <w:szCs w:val="20"/>
        </w:rPr>
      </w:pPr>
      <w:r w:rsidRPr="00DC1A5F">
        <w:rPr>
          <w:sz w:val="16"/>
          <w:szCs w:val="20"/>
        </w:rPr>
        <w:t xml:space="preserve">Perdurará el nombre de “el Iluminado”, </w:t>
      </w:r>
    </w:p>
    <w:p w14:paraId="03D4C086" w14:textId="77777777" w:rsidR="00597DE2" w:rsidRPr="00DC1A5F" w:rsidRDefault="00597DE2" w:rsidP="00597DE2">
      <w:pPr>
        <w:pStyle w:val="VersoIngls01Sangria"/>
        <w:rPr>
          <w:sz w:val="16"/>
          <w:szCs w:val="20"/>
        </w:rPr>
      </w:pPr>
      <w:r w:rsidRPr="00DC1A5F">
        <w:rPr>
          <w:sz w:val="16"/>
          <w:szCs w:val="20"/>
        </w:rPr>
        <w:t>Mediante el cual, purificado en mente así,</w:t>
      </w:r>
    </w:p>
    <w:p w14:paraId="13EA7D72" w14:textId="77777777" w:rsidR="00597DE2" w:rsidRPr="00DC1A5F" w:rsidRDefault="00597DE2" w:rsidP="00597DE2">
      <w:pPr>
        <w:pStyle w:val="VersoIngls01Sangria"/>
        <w:rPr>
          <w:sz w:val="16"/>
          <w:szCs w:val="20"/>
        </w:rPr>
      </w:pPr>
      <w:r w:rsidRPr="00DC1A5F">
        <w:rPr>
          <w:sz w:val="16"/>
          <w:szCs w:val="20"/>
        </w:rPr>
        <w:t xml:space="preserve">Es conocido como el Venerable Sabio, como el </w:t>
      </w:r>
      <w:proofErr w:type="gramStart"/>
      <w:r w:rsidRPr="00DC1A5F">
        <w:rPr>
          <w:sz w:val="16"/>
          <w:szCs w:val="20"/>
        </w:rPr>
        <w:t>Comandante</w:t>
      </w:r>
      <w:proofErr w:type="gramEnd"/>
      <w:r w:rsidRPr="00DC1A5F">
        <w:rPr>
          <w:sz w:val="16"/>
          <w:szCs w:val="20"/>
        </w:rPr>
        <w:t xml:space="preserve"> del Mundo.</w:t>
      </w:r>
    </w:p>
    <w:p w14:paraId="25DB2AB3" w14:textId="77777777" w:rsidR="00597DE2" w:rsidRPr="00DC1A5F" w:rsidRDefault="00597DE2" w:rsidP="00597DE2">
      <w:pPr>
        <w:tabs>
          <w:tab w:val="clear" w:pos="425"/>
        </w:tabs>
        <w:spacing w:after="160"/>
      </w:pPr>
      <w:r w:rsidRPr="00DC1A5F">
        <w:br w:type="page"/>
      </w:r>
    </w:p>
    <w:p w14:paraId="6401D5EA" w14:textId="77777777" w:rsidR="00597DE2" w:rsidRPr="00DC1A5F" w:rsidRDefault="00597DE2" w:rsidP="00597DE2"/>
    <w:p w14:paraId="35785763" w14:textId="77777777" w:rsidR="00597DE2" w:rsidRPr="00DC1A5F" w:rsidRDefault="00597DE2" w:rsidP="00597DE2">
      <w:pPr>
        <w:pStyle w:val="Ttulo3"/>
      </w:pPr>
      <w:r w:rsidRPr="00DC1A5F">
        <w:t>Conclusión</w:t>
      </w:r>
    </w:p>
    <w:p w14:paraId="64BD4196" w14:textId="77777777" w:rsidR="00597DE2" w:rsidRPr="00DC1A5F" w:rsidRDefault="00597DE2" w:rsidP="00597DE2">
      <w:pPr>
        <w:pStyle w:val="NormalConSangria"/>
      </w:pPr>
      <w:r w:rsidRPr="00DC1A5F">
        <w:t>[Los siguientes versos se encuentran solo en textos cingaleses:]</w:t>
      </w:r>
    </w:p>
    <w:p w14:paraId="4B8A026A" w14:textId="77777777" w:rsidR="00597DE2" w:rsidRPr="00DC1A5F" w:rsidRDefault="00597DE2" w:rsidP="00597DE2">
      <w:pPr>
        <w:pStyle w:val="VersoIngls01Sangria"/>
        <w:rPr>
          <w:sz w:val="16"/>
          <w:szCs w:val="20"/>
        </w:rPr>
      </w:pPr>
      <w:r w:rsidRPr="00DC1A5F">
        <w:rPr>
          <w:sz w:val="16"/>
          <w:szCs w:val="20"/>
        </w:rPr>
        <w:t>Qué mediante el desempeño de semejante mérito</w:t>
      </w:r>
    </w:p>
    <w:p w14:paraId="088B7E11" w14:textId="77777777" w:rsidR="00597DE2" w:rsidRPr="00DC1A5F" w:rsidRDefault="00597DE2" w:rsidP="00597DE2">
      <w:pPr>
        <w:pStyle w:val="VersoIngls01Sangria"/>
        <w:rPr>
          <w:sz w:val="16"/>
          <w:szCs w:val="20"/>
        </w:rPr>
      </w:pPr>
      <w:r w:rsidRPr="00DC1A5F">
        <w:rPr>
          <w:sz w:val="16"/>
          <w:szCs w:val="20"/>
        </w:rPr>
        <w:t>Como el logrado por mí a través de éste</w:t>
      </w:r>
    </w:p>
    <w:p w14:paraId="6A7018AE" w14:textId="77777777" w:rsidR="00597DE2" w:rsidRPr="00DC1A5F" w:rsidRDefault="00597DE2" w:rsidP="00597DE2">
      <w:pPr>
        <w:pStyle w:val="VersoIngls01Sangria"/>
        <w:rPr>
          <w:sz w:val="16"/>
          <w:szCs w:val="20"/>
        </w:rPr>
      </w:pPr>
      <w:r w:rsidRPr="00DC1A5F">
        <w:rPr>
          <w:sz w:val="16"/>
          <w:szCs w:val="20"/>
        </w:rPr>
        <w:t>Y cualquier otro recurso aún disponible,</w:t>
      </w:r>
    </w:p>
    <w:p w14:paraId="696FC87D" w14:textId="77777777" w:rsidR="00597DE2" w:rsidRPr="00DC1A5F" w:rsidRDefault="00597DE2" w:rsidP="00597DE2">
      <w:pPr>
        <w:pStyle w:val="VersoIngls01Sangria"/>
        <w:rPr>
          <w:sz w:val="16"/>
          <w:szCs w:val="20"/>
        </w:rPr>
      </w:pPr>
      <w:r w:rsidRPr="00DC1A5F">
        <w:rPr>
          <w:sz w:val="16"/>
          <w:szCs w:val="20"/>
        </w:rPr>
        <w:t>Qué así sea en mi próximo devenir</w:t>
      </w:r>
    </w:p>
    <w:p w14:paraId="006B583A" w14:textId="77777777" w:rsidR="00597DE2" w:rsidRPr="00DC1A5F" w:rsidRDefault="00597DE2" w:rsidP="00597DE2">
      <w:pPr>
        <w:pStyle w:val="VersoIngls01Sangria"/>
        <w:rPr>
          <w:sz w:val="16"/>
          <w:szCs w:val="20"/>
        </w:rPr>
      </w:pPr>
      <w:r w:rsidRPr="00DC1A5F">
        <w:rPr>
          <w:sz w:val="16"/>
          <w:szCs w:val="20"/>
        </w:rPr>
        <w:t xml:space="preserve">Contemplando las alegrías del </w:t>
      </w:r>
      <w:proofErr w:type="spellStart"/>
      <w:r w:rsidRPr="00DC1A5F">
        <w:rPr>
          <w:i/>
          <w:iCs/>
          <w:sz w:val="16"/>
          <w:szCs w:val="20"/>
        </w:rPr>
        <w:t>Tāvatiṃsa</w:t>
      </w:r>
      <w:proofErr w:type="spellEnd"/>
      <w:r w:rsidRPr="00DC1A5F">
        <w:rPr>
          <w:sz w:val="16"/>
          <w:szCs w:val="20"/>
        </w:rPr>
        <w:t>,</w:t>
      </w:r>
    </w:p>
    <w:p w14:paraId="3124635E" w14:textId="77777777" w:rsidR="00597DE2" w:rsidRPr="00DC1A5F" w:rsidRDefault="00597DE2" w:rsidP="00597DE2">
      <w:pPr>
        <w:pStyle w:val="VersoIngls01Sangria"/>
        <w:rPr>
          <w:sz w:val="16"/>
          <w:szCs w:val="20"/>
        </w:rPr>
      </w:pPr>
      <w:r w:rsidRPr="00DC1A5F">
        <w:rPr>
          <w:sz w:val="16"/>
          <w:szCs w:val="20"/>
        </w:rPr>
        <w:t xml:space="preserve">Alegre en las cualidades de la virtud </w:t>
      </w:r>
    </w:p>
    <w:p w14:paraId="5C04CCC3" w14:textId="77777777" w:rsidR="00597DE2" w:rsidRPr="00DC1A5F" w:rsidRDefault="00597DE2" w:rsidP="00597DE2">
      <w:pPr>
        <w:pStyle w:val="VersoIngls01Sangria"/>
        <w:rPr>
          <w:sz w:val="16"/>
          <w:szCs w:val="20"/>
        </w:rPr>
      </w:pPr>
      <w:r w:rsidRPr="00DC1A5F">
        <w:rPr>
          <w:sz w:val="16"/>
          <w:szCs w:val="20"/>
        </w:rPr>
        <w:t>Y desapegado de los deseos sensoriales.</w:t>
      </w:r>
    </w:p>
    <w:p w14:paraId="3F304259" w14:textId="77777777" w:rsidR="00597DE2" w:rsidRPr="00DC1A5F" w:rsidRDefault="00597DE2" w:rsidP="00597DE2">
      <w:pPr>
        <w:pStyle w:val="VersoIngls01Sangria"/>
        <w:rPr>
          <w:sz w:val="16"/>
          <w:szCs w:val="20"/>
        </w:rPr>
      </w:pPr>
      <w:r w:rsidRPr="00DC1A5F">
        <w:rPr>
          <w:sz w:val="16"/>
          <w:szCs w:val="20"/>
        </w:rPr>
        <w:t>Qué logre consumar la primera fruición,</w:t>
      </w:r>
    </w:p>
    <w:p w14:paraId="396E28E6" w14:textId="77777777" w:rsidR="00597DE2" w:rsidRPr="00DC1A5F" w:rsidRDefault="00597DE2" w:rsidP="00597DE2">
      <w:pPr>
        <w:pStyle w:val="VersoIngls01Sangria"/>
        <w:rPr>
          <w:sz w:val="16"/>
          <w:szCs w:val="20"/>
        </w:rPr>
      </w:pPr>
      <w:r w:rsidRPr="00DC1A5F">
        <w:rPr>
          <w:sz w:val="16"/>
          <w:szCs w:val="20"/>
        </w:rPr>
        <w:t>Al ver en mi última existencia al</w:t>
      </w:r>
    </w:p>
    <w:p w14:paraId="5223CDDB" w14:textId="77777777" w:rsidR="00597DE2" w:rsidRPr="00DC1A5F" w:rsidRDefault="00597DE2" w:rsidP="00597DE2">
      <w:pPr>
        <w:pStyle w:val="VersoIngls01Sangria"/>
        <w:rPr>
          <w:sz w:val="16"/>
          <w:szCs w:val="20"/>
        </w:rPr>
      </w:pPr>
      <w:r w:rsidRPr="00DC1A5F">
        <w:rPr>
          <w:color w:val="833C0B" w:themeColor="accent2" w:themeShade="80"/>
          <w:sz w:val="16"/>
          <w:szCs w:val="20"/>
          <w:u w:color="000000"/>
        </w:rPr>
        <w:t>Venerable</w:t>
      </w:r>
      <w:r w:rsidRPr="00DC1A5F">
        <w:rPr>
          <w:sz w:val="16"/>
          <w:szCs w:val="20"/>
        </w:rPr>
        <w:t xml:space="preserve"> </w:t>
      </w:r>
      <w:proofErr w:type="spellStart"/>
      <w:r w:rsidRPr="00DC1A5F">
        <w:rPr>
          <w:sz w:val="16"/>
          <w:szCs w:val="20"/>
        </w:rPr>
        <w:t>Metteyya</w:t>
      </w:r>
      <w:proofErr w:type="spellEnd"/>
      <w:r w:rsidRPr="00DC1A5F">
        <w:rPr>
          <w:sz w:val="16"/>
          <w:szCs w:val="20"/>
        </w:rPr>
        <w:t>, al Señor de los Sabios, al Más Elevado</w:t>
      </w:r>
    </w:p>
    <w:p w14:paraId="429D1D48" w14:textId="77777777" w:rsidR="00597DE2" w:rsidRPr="00DC1A5F" w:rsidRDefault="00597DE2" w:rsidP="00597DE2">
      <w:pPr>
        <w:pStyle w:val="VersoIngls01Sangria"/>
        <w:rPr>
          <w:sz w:val="16"/>
          <w:szCs w:val="20"/>
        </w:rPr>
      </w:pPr>
      <w:r w:rsidRPr="00DC1A5F">
        <w:rPr>
          <w:sz w:val="16"/>
          <w:szCs w:val="20"/>
        </w:rPr>
        <w:t>De los seres en el Mundo,</w:t>
      </w:r>
    </w:p>
    <w:p w14:paraId="20791B04" w14:textId="77777777" w:rsidR="00597DE2" w:rsidRPr="00DC1A5F" w:rsidRDefault="00597DE2" w:rsidP="00597DE2">
      <w:pPr>
        <w:pStyle w:val="VersoIngls01Sangria"/>
        <w:rPr>
          <w:sz w:val="16"/>
          <w:szCs w:val="20"/>
        </w:rPr>
      </w:pPr>
      <w:r w:rsidRPr="00DC1A5F">
        <w:rPr>
          <w:sz w:val="16"/>
          <w:szCs w:val="20"/>
        </w:rPr>
        <w:t>A este Servidor que se complacerá en el bienestar de todos los seres,</w:t>
      </w:r>
    </w:p>
    <w:p w14:paraId="610E2358" w14:textId="77777777" w:rsidR="00597DE2" w:rsidRPr="00DC1A5F" w:rsidRDefault="00597DE2" w:rsidP="00597DE2">
      <w:pPr>
        <w:pStyle w:val="VersoIngls01Sangria"/>
        <w:rPr>
          <w:sz w:val="16"/>
          <w:szCs w:val="20"/>
        </w:rPr>
      </w:pPr>
      <w:r w:rsidRPr="00DC1A5F">
        <w:rPr>
          <w:sz w:val="16"/>
          <w:szCs w:val="20"/>
        </w:rPr>
        <w:t>Y que yo pueda escuchar de este Santo proclamar</w:t>
      </w:r>
    </w:p>
    <w:p w14:paraId="766EDE54" w14:textId="77777777" w:rsidR="00597DE2" w:rsidRPr="00DC1A5F" w:rsidRDefault="00597DE2" w:rsidP="00597DE2">
      <w:pPr>
        <w:pStyle w:val="VersoIngls01Sangria"/>
        <w:rPr>
          <w:sz w:val="16"/>
          <w:szCs w:val="20"/>
        </w:rPr>
      </w:pPr>
      <w:r w:rsidRPr="00DC1A5F">
        <w:rPr>
          <w:sz w:val="16"/>
          <w:szCs w:val="20"/>
        </w:rPr>
        <w:t xml:space="preserve">La Enseñanza del Noble </w:t>
      </w:r>
      <w:r w:rsidRPr="00DC1A5F">
        <w:rPr>
          <w:i/>
          <w:iCs/>
          <w:sz w:val="16"/>
          <w:szCs w:val="20"/>
        </w:rPr>
        <w:t>Dhamma</w:t>
      </w:r>
      <w:r w:rsidRPr="00DC1A5F">
        <w:rPr>
          <w:sz w:val="16"/>
          <w:szCs w:val="20"/>
        </w:rPr>
        <w:t xml:space="preserve">, </w:t>
      </w:r>
    </w:p>
    <w:p w14:paraId="165423EB" w14:textId="77777777" w:rsidR="00597DE2" w:rsidRPr="00DC1A5F" w:rsidRDefault="00597DE2" w:rsidP="00597DE2">
      <w:pPr>
        <w:pStyle w:val="VersoIngls01Sangria"/>
        <w:rPr>
          <w:sz w:val="16"/>
          <w:szCs w:val="20"/>
        </w:rPr>
      </w:pPr>
      <w:r w:rsidRPr="00DC1A5F">
        <w:rPr>
          <w:sz w:val="16"/>
          <w:szCs w:val="20"/>
        </w:rPr>
        <w:t>Qué pueda honrar la Dispensación del Vencedor</w:t>
      </w:r>
    </w:p>
    <w:p w14:paraId="34F2BB53" w14:textId="77777777" w:rsidR="00597DE2" w:rsidRPr="00DC1A5F" w:rsidRDefault="00597DE2" w:rsidP="00597DE2">
      <w:pPr>
        <w:pStyle w:val="VersoIngls01Sangria"/>
        <w:rPr>
          <w:sz w:val="16"/>
          <w:szCs w:val="20"/>
        </w:rPr>
      </w:pPr>
      <w:r w:rsidRPr="00DC1A5F">
        <w:rPr>
          <w:sz w:val="16"/>
          <w:szCs w:val="20"/>
        </w:rPr>
        <w:t>Consumando así su fruto más elevado.</w:t>
      </w:r>
    </w:p>
    <w:p w14:paraId="5F092788" w14:textId="77777777" w:rsidR="00597DE2" w:rsidRPr="00DC1A5F" w:rsidRDefault="00597DE2" w:rsidP="00597DE2">
      <w:pPr>
        <w:pStyle w:val="VersoIngls01Sangria"/>
        <w:rPr>
          <w:sz w:val="16"/>
          <w:szCs w:val="20"/>
        </w:rPr>
      </w:pPr>
    </w:p>
    <w:p w14:paraId="7D3E7813" w14:textId="77777777" w:rsidR="00597DE2" w:rsidRPr="00DC1A5F" w:rsidRDefault="00597DE2" w:rsidP="00597DE2">
      <w:pPr>
        <w:pStyle w:val="NormalConSangria"/>
      </w:pPr>
      <w:r w:rsidRPr="00DC1A5F">
        <w:t>[Los siguientes versos se encuentran solo en los textos birmanos:]</w:t>
      </w:r>
    </w:p>
    <w:p w14:paraId="609171C7" w14:textId="77777777" w:rsidR="00597DE2" w:rsidRPr="00DC1A5F" w:rsidRDefault="00597DE2" w:rsidP="00597DE2">
      <w:pPr>
        <w:pStyle w:val="VersoIngls01Sangria"/>
        <w:rPr>
          <w:i/>
          <w:iCs/>
          <w:sz w:val="16"/>
          <w:szCs w:val="20"/>
        </w:rPr>
      </w:pPr>
      <w:r w:rsidRPr="00DC1A5F">
        <w:rPr>
          <w:sz w:val="16"/>
          <w:szCs w:val="20"/>
        </w:rPr>
        <w:t xml:space="preserve">La exposición del </w:t>
      </w:r>
      <w:r w:rsidRPr="00DC1A5F">
        <w:rPr>
          <w:i/>
          <w:iCs/>
          <w:sz w:val="16"/>
          <w:szCs w:val="20"/>
        </w:rPr>
        <w:t>Sendero de la Purificación</w:t>
      </w:r>
    </w:p>
    <w:p w14:paraId="46C6C951" w14:textId="77777777" w:rsidR="00597DE2" w:rsidRPr="00DC1A5F" w:rsidRDefault="00597DE2" w:rsidP="00597DE2">
      <w:pPr>
        <w:pStyle w:val="VersoIngls01Sangria"/>
        <w:rPr>
          <w:sz w:val="16"/>
          <w:szCs w:val="20"/>
        </w:rPr>
      </w:pPr>
      <w:r w:rsidRPr="00DC1A5F">
        <w:rPr>
          <w:sz w:val="16"/>
          <w:szCs w:val="20"/>
        </w:rPr>
        <w:t>Ha sido compuesta así para alegría de buenas personas;</w:t>
      </w:r>
    </w:p>
    <w:p w14:paraId="53260317" w14:textId="77777777" w:rsidR="00597DE2" w:rsidRPr="00DC1A5F" w:rsidRDefault="00597DE2" w:rsidP="00597DE2">
      <w:pPr>
        <w:pStyle w:val="VersoIngls01Sangria"/>
        <w:rPr>
          <w:sz w:val="16"/>
          <w:szCs w:val="20"/>
        </w:rPr>
      </w:pPr>
      <w:r w:rsidRPr="00DC1A5F">
        <w:rPr>
          <w:sz w:val="16"/>
          <w:szCs w:val="20"/>
        </w:rPr>
        <w:t>No obstante, por medio del texto Pali,</w:t>
      </w:r>
    </w:p>
    <w:p w14:paraId="74515AF3" w14:textId="77777777" w:rsidR="00597DE2" w:rsidRPr="00DC1A5F" w:rsidRDefault="00597DE2" w:rsidP="00597DE2">
      <w:pPr>
        <w:pStyle w:val="VersoIngls01Sangria"/>
        <w:rPr>
          <w:sz w:val="16"/>
          <w:szCs w:val="20"/>
        </w:rPr>
      </w:pPr>
      <w:r w:rsidRPr="00DC1A5F">
        <w:rPr>
          <w:sz w:val="16"/>
          <w:szCs w:val="20"/>
        </w:rPr>
        <w:t>Éste contiene cincuenta y ocho secciones de recitación.</w:t>
      </w:r>
    </w:p>
    <w:p w14:paraId="701B150F" w14:textId="77777777" w:rsidR="00597DE2" w:rsidRPr="00DC1A5F" w:rsidRDefault="00597DE2" w:rsidP="00597DE2">
      <w:pPr>
        <w:pStyle w:val="VersoIngls01Sangria"/>
      </w:pPr>
    </w:p>
    <w:p w14:paraId="5A03D928" w14:textId="77777777" w:rsidR="00597DE2" w:rsidRPr="00DC1A5F" w:rsidRDefault="00597DE2" w:rsidP="00597DE2">
      <w:pPr>
        <w:pStyle w:val="VersoIngls01Sangria"/>
      </w:pPr>
    </w:p>
    <w:p w14:paraId="60AEC558" w14:textId="77777777" w:rsidR="00597DE2" w:rsidRPr="00DC1A5F" w:rsidRDefault="00597DE2" w:rsidP="00597DE2"/>
    <w:p w14:paraId="2BD5BDCD" w14:textId="77777777" w:rsidR="00597DE2" w:rsidRPr="00DC1A5F" w:rsidRDefault="00597DE2" w:rsidP="00597DE2"/>
    <w:p w14:paraId="41DF2C7A" w14:textId="77777777" w:rsidR="00597DE2" w:rsidRPr="00DC1A5F" w:rsidRDefault="00597DE2" w:rsidP="00597DE2">
      <w:pPr>
        <w:pStyle w:val="Ttulo2"/>
        <w:jc w:val="center"/>
      </w:pPr>
      <w:bookmarkStart w:id="13" w:name="_Toc142334420"/>
      <w:r w:rsidRPr="00DC1A5F">
        <w:t>Fin</w:t>
      </w:r>
      <w:bookmarkEnd w:id="13"/>
    </w:p>
    <w:p w14:paraId="29BA1758" w14:textId="77777777" w:rsidR="00597DE2" w:rsidRPr="00DC1A5F" w:rsidRDefault="00597DE2" w:rsidP="00597DE2">
      <w:pPr>
        <w:tabs>
          <w:tab w:val="clear" w:pos="425"/>
        </w:tabs>
        <w:spacing w:after="160"/>
      </w:pPr>
      <w:r w:rsidRPr="00DC1A5F">
        <w:br w:type="page"/>
      </w:r>
    </w:p>
    <w:p w14:paraId="631E4855" w14:textId="77777777" w:rsidR="00597DE2" w:rsidRPr="00DC1A5F" w:rsidRDefault="00597DE2" w:rsidP="00597DE2"/>
    <w:p w14:paraId="1BC9DC04" w14:textId="77777777" w:rsidR="00597DE2" w:rsidRDefault="00597DE2" w:rsidP="00597DE2">
      <w:pPr>
        <w:tabs>
          <w:tab w:val="clear" w:pos="425"/>
        </w:tabs>
        <w:spacing w:after="160"/>
      </w:pPr>
      <w:r>
        <w:br w:type="page"/>
      </w:r>
    </w:p>
    <w:p w14:paraId="2A0A57F3" w14:textId="77777777" w:rsidR="00597DE2" w:rsidRPr="00DC1A5F" w:rsidRDefault="00597DE2" w:rsidP="00597DE2"/>
    <w:p w14:paraId="69DCDE97" w14:textId="77777777" w:rsidR="00597DE2" w:rsidRPr="00DC1A5F" w:rsidRDefault="00597DE2" w:rsidP="00597DE2"/>
    <w:p w14:paraId="59543479" w14:textId="77777777" w:rsidR="00597DE2" w:rsidRPr="00DC1A5F" w:rsidRDefault="00597DE2" w:rsidP="00597DE2"/>
    <w:p w14:paraId="0E6DFC32" w14:textId="77777777" w:rsidR="00597DE2" w:rsidRPr="00DC1A5F" w:rsidRDefault="00597DE2" w:rsidP="00597DE2">
      <w:pPr>
        <w:pStyle w:val="Ttulo1"/>
      </w:pPr>
      <w:bookmarkStart w:id="14" w:name="_Toc142334421"/>
      <w:r w:rsidRPr="00DC1A5F">
        <w:t>Índice,</w:t>
      </w:r>
      <w:r w:rsidRPr="00DC1A5F">
        <w:br/>
        <w:t>Glosario y</w:t>
      </w:r>
      <w:r w:rsidRPr="00DC1A5F">
        <w:br/>
        <w:t>Tablas I al VI</w:t>
      </w:r>
      <w:bookmarkEnd w:id="14"/>
    </w:p>
    <w:p w14:paraId="2C70D5C5" w14:textId="77777777" w:rsidR="00597DE2" w:rsidRDefault="00597DE2" w:rsidP="00597DE2">
      <w:pPr>
        <w:tabs>
          <w:tab w:val="clear" w:pos="425"/>
        </w:tabs>
        <w:spacing w:after="160"/>
      </w:pPr>
      <w:r w:rsidRPr="00DC1A5F">
        <w:br w:type="page"/>
      </w:r>
    </w:p>
    <w:p w14:paraId="7FC5A49A" w14:textId="77777777" w:rsidR="00597DE2" w:rsidRPr="00DC1A5F" w:rsidRDefault="00597DE2" w:rsidP="00597DE2">
      <w:pPr>
        <w:tabs>
          <w:tab w:val="clear" w:pos="425"/>
        </w:tabs>
        <w:spacing w:after="160"/>
      </w:pPr>
    </w:p>
    <w:p w14:paraId="5C48B76E" w14:textId="77777777" w:rsidR="00597DE2" w:rsidRDefault="00597DE2" w:rsidP="00597DE2">
      <w:pPr>
        <w:tabs>
          <w:tab w:val="clear" w:pos="425"/>
        </w:tabs>
        <w:spacing w:after="160"/>
        <w:sectPr w:rsidR="00597DE2" w:rsidSect="00305694">
          <w:footerReference w:type="default" r:id="rId23"/>
          <w:footnotePr>
            <w:numRestart w:val="eachSect"/>
          </w:footnotePr>
          <w:pgSz w:w="8641" w:h="12962"/>
          <w:pgMar w:top="851" w:right="964" w:bottom="964" w:left="964" w:header="709" w:footer="709" w:gutter="0"/>
          <w:cols w:space="708"/>
          <w:docGrid w:linePitch="360"/>
        </w:sectPr>
      </w:pPr>
    </w:p>
    <w:p w14:paraId="6CB1F12B" w14:textId="77777777" w:rsidR="00597DE2" w:rsidRPr="00DC1A5F" w:rsidRDefault="00597DE2" w:rsidP="00597DE2">
      <w:pPr>
        <w:tabs>
          <w:tab w:val="clear" w:pos="425"/>
        </w:tabs>
        <w:spacing w:after="160"/>
      </w:pPr>
    </w:p>
    <w:p w14:paraId="017DE248" w14:textId="77777777" w:rsidR="00597DE2" w:rsidRPr="00DC1A5F" w:rsidRDefault="00597DE2" w:rsidP="00597DE2"/>
    <w:p w14:paraId="555E87BF" w14:textId="77777777" w:rsidR="00597DE2" w:rsidRPr="00DC1A5F" w:rsidRDefault="00597DE2" w:rsidP="00597DE2">
      <w:bookmarkStart w:id="15" w:name="_Toc142334422"/>
    </w:p>
    <w:p w14:paraId="268A8EF2" w14:textId="77777777" w:rsidR="00597DE2" w:rsidRPr="00DC1A5F" w:rsidRDefault="00597DE2" w:rsidP="00597DE2"/>
    <w:p w14:paraId="2C9A8FB7" w14:textId="77777777" w:rsidR="00597DE2" w:rsidRPr="00DC1A5F" w:rsidRDefault="00597DE2" w:rsidP="00597DE2"/>
    <w:p w14:paraId="408822FE" w14:textId="77777777" w:rsidR="00597DE2" w:rsidRPr="00DC1A5F" w:rsidRDefault="00597DE2" w:rsidP="00597DE2"/>
    <w:p w14:paraId="41B33700" w14:textId="77777777" w:rsidR="00597DE2" w:rsidRPr="00DC1A5F" w:rsidRDefault="00597DE2" w:rsidP="00597DE2">
      <w:pPr>
        <w:pStyle w:val="Ttulo2"/>
        <w:jc w:val="center"/>
      </w:pPr>
      <w:r w:rsidRPr="00DC1A5F">
        <w:t>Índice</w:t>
      </w:r>
      <w:bookmarkEnd w:id="15"/>
    </w:p>
    <w:p w14:paraId="1351D4D8" w14:textId="77777777" w:rsidR="00597DE2" w:rsidRPr="00DC1A5F" w:rsidRDefault="00597DE2" w:rsidP="00597DE2">
      <w:pPr>
        <w:jc w:val="center"/>
        <w:rPr>
          <w:smallCaps/>
          <w:sz w:val="19"/>
        </w:rPr>
      </w:pPr>
      <w:r w:rsidRPr="00DC1A5F">
        <w:rPr>
          <w:smallCaps/>
          <w:sz w:val="19"/>
        </w:rPr>
        <w:t>De sujetos y Nombres Propios</w:t>
      </w:r>
    </w:p>
    <w:p w14:paraId="455F0DC7" w14:textId="77777777" w:rsidR="00597DE2" w:rsidRPr="00DC1A5F" w:rsidRDefault="00597DE2" w:rsidP="00597DE2">
      <w:pPr>
        <w:pStyle w:val="NormalConSangria"/>
        <w:jc w:val="center"/>
        <w:rPr>
          <w:sz w:val="16"/>
          <w:szCs w:val="20"/>
        </w:rPr>
      </w:pPr>
      <w:r w:rsidRPr="00DC1A5F">
        <w:rPr>
          <w:sz w:val="16"/>
          <w:szCs w:val="20"/>
        </w:rPr>
        <w:t xml:space="preserve">Todas las referencias son a </w:t>
      </w:r>
      <w:proofErr w:type="spellStart"/>
      <w:r w:rsidRPr="00DC1A5F">
        <w:rPr>
          <w:sz w:val="16"/>
          <w:szCs w:val="20"/>
        </w:rPr>
        <w:t>nūmeros</w:t>
      </w:r>
      <w:proofErr w:type="spellEnd"/>
      <w:r w:rsidRPr="00DC1A5F">
        <w:rPr>
          <w:sz w:val="16"/>
          <w:szCs w:val="20"/>
        </w:rPr>
        <w:t xml:space="preserve"> de capítulos y </w:t>
      </w:r>
      <w:proofErr w:type="spellStart"/>
      <w:r w:rsidRPr="00DC1A5F">
        <w:rPr>
          <w:sz w:val="16"/>
          <w:szCs w:val="20"/>
        </w:rPr>
        <w:t>pārrafos</w:t>
      </w:r>
      <w:proofErr w:type="spellEnd"/>
      <w:r w:rsidRPr="00DC1A5F">
        <w:rPr>
          <w:sz w:val="16"/>
          <w:szCs w:val="20"/>
        </w:rPr>
        <w:t>.</w:t>
      </w:r>
    </w:p>
    <w:p w14:paraId="6AA064AE" w14:textId="77777777" w:rsidR="00597DE2" w:rsidRPr="00DC1A5F" w:rsidRDefault="00597DE2" w:rsidP="00597DE2"/>
    <w:p w14:paraId="26435BCD" w14:textId="77777777" w:rsidR="00597DE2" w:rsidRPr="00DC1A5F" w:rsidRDefault="00597DE2" w:rsidP="00597DE2">
      <w:pPr>
        <w:pStyle w:val="Textoindependiente"/>
        <w:sectPr w:rsidR="00597DE2" w:rsidRPr="00DC1A5F" w:rsidSect="00305694">
          <w:footerReference w:type="default" r:id="rId24"/>
          <w:footnotePr>
            <w:numRestart w:val="eachSect"/>
          </w:footnotePr>
          <w:pgSz w:w="8641" w:h="12962"/>
          <w:pgMar w:top="851" w:right="964" w:bottom="964" w:left="964" w:header="709" w:footer="709" w:gutter="0"/>
          <w:pgNumType w:start="809"/>
          <w:cols w:space="708"/>
          <w:docGrid w:linePitch="360"/>
        </w:sectPr>
      </w:pPr>
    </w:p>
    <w:p w14:paraId="0125933B" w14:textId="77777777" w:rsidR="00597DE2" w:rsidRDefault="00597DE2" w:rsidP="00597DE2">
      <w:pPr>
        <w:pStyle w:val="ParrafoApendice"/>
        <w:rPr>
          <w:lang w:val="es-PE"/>
        </w:rPr>
      </w:pPr>
      <w:bookmarkStart w:id="16" w:name="_Toc142334423"/>
    </w:p>
    <w:p w14:paraId="198DE40D" w14:textId="77777777" w:rsidR="00597DE2" w:rsidRPr="005B6D62" w:rsidRDefault="00597DE2" w:rsidP="00597DE2">
      <w:pPr>
        <w:pStyle w:val="ParrafoApendice"/>
        <w:rPr>
          <w:lang w:val="es-PE"/>
        </w:rPr>
      </w:pPr>
      <w:r w:rsidRPr="005B6D62">
        <w:rPr>
          <w:lang w:val="es-PE"/>
        </w:rPr>
        <w:t>“cuestión agarrada de la mano” (</w:t>
      </w:r>
      <w:proofErr w:type="spellStart"/>
      <w:r w:rsidRPr="005B6D62">
        <w:rPr>
          <w:i/>
          <w:iCs/>
          <w:lang w:val="es-PE"/>
        </w:rPr>
        <w:t>hatthagahaṃapañhā</w:t>
      </w:r>
      <w:proofErr w:type="spellEnd"/>
      <w:r w:rsidRPr="005B6D62">
        <w:rPr>
          <w:lang w:val="es-PE"/>
        </w:rPr>
        <w:t xml:space="preserve">) VIII.142 </w:t>
      </w:r>
    </w:p>
    <w:p w14:paraId="7372813D" w14:textId="77777777" w:rsidR="00597DE2" w:rsidRPr="005B6D62" w:rsidRDefault="00597DE2" w:rsidP="00597DE2">
      <w:pPr>
        <w:pStyle w:val="ParrafoApendice"/>
        <w:rPr>
          <w:lang w:val="es-PE"/>
        </w:rPr>
      </w:pPr>
      <w:r w:rsidRPr="005B6D62">
        <w:rPr>
          <w:lang w:val="es-PE"/>
        </w:rPr>
        <w:t>Abandono (</w:t>
      </w:r>
      <w:proofErr w:type="spellStart"/>
      <w:r w:rsidRPr="005B6D62">
        <w:rPr>
          <w:i/>
          <w:iCs/>
          <w:lang w:val="es-PE"/>
        </w:rPr>
        <w:t>pahāna</w:t>
      </w:r>
      <w:proofErr w:type="spellEnd"/>
      <w:r w:rsidRPr="005B6D62">
        <w:rPr>
          <w:lang w:val="es-PE"/>
        </w:rPr>
        <w:t>) I.12, 140f.; XX.89; XXII.34, 47s., 78f., 92, 108, 113; XXIII.4</w:t>
      </w:r>
    </w:p>
    <w:p w14:paraId="0AD5078C" w14:textId="77777777" w:rsidR="00597DE2" w:rsidRPr="005B6D62" w:rsidRDefault="00597DE2" w:rsidP="00597DE2">
      <w:pPr>
        <w:pStyle w:val="ParrafoApendice"/>
        <w:rPr>
          <w:lang w:val="es-PE"/>
        </w:rPr>
      </w:pPr>
      <w:r w:rsidRPr="005B6D62">
        <w:rPr>
          <w:lang w:val="es-PE"/>
        </w:rPr>
        <w:t>abandono, renunciación (</w:t>
      </w:r>
      <w:proofErr w:type="spellStart"/>
      <w:r w:rsidRPr="005B6D62">
        <w:rPr>
          <w:i/>
          <w:iCs/>
          <w:lang w:val="es-PE"/>
        </w:rPr>
        <w:t>pariccāga</w:t>
      </w:r>
      <w:proofErr w:type="spellEnd"/>
      <w:r w:rsidRPr="005B6D62">
        <w:rPr>
          <w:lang w:val="es-PE"/>
        </w:rPr>
        <w:t xml:space="preserve">) VIII.236; XXI.18 </w:t>
      </w:r>
    </w:p>
    <w:p w14:paraId="298F43D4" w14:textId="77777777" w:rsidR="00597DE2" w:rsidRPr="00EE1687" w:rsidRDefault="00597DE2" w:rsidP="00597DE2">
      <w:pPr>
        <w:pStyle w:val="ParrafoApendice"/>
        <w:rPr>
          <w:lang w:val="es-PE"/>
        </w:rPr>
      </w:pPr>
      <w:r w:rsidRPr="00B321B7">
        <w:rPr>
          <w:lang w:val="es-PE"/>
        </w:rPr>
        <w:t>ab</w:t>
      </w:r>
      <w:r>
        <w:rPr>
          <w:lang w:val="es-PE"/>
        </w:rPr>
        <w:t>andono,</w:t>
      </w:r>
      <w:r w:rsidRPr="00B321B7">
        <w:rPr>
          <w:lang w:val="es-PE"/>
        </w:rPr>
        <w:t xml:space="preserve"> renunciación (</w:t>
      </w:r>
      <w:proofErr w:type="spellStart"/>
      <w:r w:rsidRPr="00B321B7">
        <w:rPr>
          <w:i/>
          <w:iCs/>
          <w:lang w:val="es-PE"/>
        </w:rPr>
        <w:t>paṭinissagga</w:t>
      </w:r>
      <w:proofErr w:type="spellEnd"/>
      <w:r w:rsidRPr="00B321B7">
        <w:rPr>
          <w:lang w:val="es-PE"/>
        </w:rPr>
        <w:t xml:space="preserve">) I.140; III.128; VIII.236; XXI.18. </w:t>
      </w:r>
      <w:r w:rsidRPr="00EE1687">
        <w:rPr>
          <w:lang w:val="es-PE"/>
        </w:rPr>
        <w:t xml:space="preserve">Ver </w:t>
      </w:r>
      <w:r w:rsidRPr="00DA4203">
        <w:rPr>
          <w:lang w:val="es-PE"/>
        </w:rPr>
        <w:t xml:space="preserve">también </w:t>
      </w:r>
      <w:r w:rsidRPr="00DA4203">
        <w:rPr>
          <w:i/>
          <w:iCs/>
          <w:lang w:val="es-PE"/>
        </w:rPr>
        <w:t>contemplación del a</w:t>
      </w:r>
      <w:r w:rsidRPr="00EE1687">
        <w:rPr>
          <w:lang w:val="es-PE"/>
        </w:rPr>
        <w:t xml:space="preserve">. </w:t>
      </w:r>
    </w:p>
    <w:p w14:paraId="7829D7CE" w14:textId="77777777" w:rsidR="00597DE2" w:rsidRPr="005B6D62" w:rsidRDefault="00597DE2" w:rsidP="00597DE2">
      <w:pPr>
        <w:pStyle w:val="ParrafoApendice"/>
        <w:rPr>
          <w:lang w:val="es-PE"/>
        </w:rPr>
      </w:pPr>
      <w:proofErr w:type="spellStart"/>
      <w:r w:rsidRPr="005B6D62">
        <w:rPr>
          <w:i/>
          <w:iCs/>
          <w:lang w:val="es-PE"/>
        </w:rPr>
        <w:t>Ābhassara</w:t>
      </w:r>
      <w:proofErr w:type="spellEnd"/>
      <w:r w:rsidRPr="005B6D62">
        <w:rPr>
          <w:lang w:val="es-PE"/>
        </w:rPr>
        <w:t xml:space="preserve"> (Transmisión de Radiación) </w:t>
      </w:r>
      <w:proofErr w:type="spellStart"/>
      <w:r w:rsidRPr="005B6D62">
        <w:rPr>
          <w:lang w:val="es-PE"/>
        </w:rPr>
        <w:t>Deities</w:t>
      </w:r>
      <w:proofErr w:type="spellEnd"/>
      <w:r w:rsidRPr="005B6D62">
        <w:rPr>
          <w:lang w:val="es-PE"/>
        </w:rPr>
        <w:t xml:space="preserve"> XIII.41</w:t>
      </w:r>
    </w:p>
    <w:p w14:paraId="7848F816" w14:textId="77777777" w:rsidR="00597DE2" w:rsidRPr="005B6D62" w:rsidRDefault="00597DE2" w:rsidP="00597DE2">
      <w:pPr>
        <w:pStyle w:val="ParrafoApendice"/>
        <w:rPr>
          <w:lang w:val="es-PE"/>
        </w:rPr>
      </w:pPr>
      <w:proofErr w:type="spellStart"/>
      <w:r w:rsidRPr="005B6D62">
        <w:rPr>
          <w:lang w:val="es-PE"/>
        </w:rPr>
        <w:t>Abhaya</w:t>
      </w:r>
      <w:proofErr w:type="spellEnd"/>
      <w:r w:rsidRPr="005B6D62">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Dīghabhāóaka</w:t>
      </w:r>
      <w:proofErr w:type="spellEnd"/>
      <w:r w:rsidRPr="005B6D62">
        <w:rPr>
          <w:lang w:val="es-PE"/>
        </w:rPr>
        <w:t xml:space="preserve"> I.99; VIII.142</w:t>
      </w:r>
    </w:p>
    <w:p w14:paraId="226266BF" w14:textId="77777777" w:rsidR="00597DE2" w:rsidRPr="005B6D62" w:rsidRDefault="00597DE2" w:rsidP="00597DE2">
      <w:pPr>
        <w:pStyle w:val="ParrafoApendice"/>
        <w:rPr>
          <w:lang w:val="es-PE"/>
        </w:rPr>
      </w:pPr>
      <w:proofErr w:type="spellStart"/>
      <w:r w:rsidRPr="005B6D62">
        <w:rPr>
          <w:lang w:val="es-PE"/>
        </w:rPr>
        <w:t>Abhaya</w:t>
      </w:r>
      <w:proofErr w:type="spellEnd"/>
      <w:r w:rsidRPr="005B6D62">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Pīṭha</w:t>
      </w:r>
      <w:proofErr w:type="spellEnd"/>
      <w:r w:rsidRPr="005B6D62">
        <w:rPr>
          <w:lang w:val="es-PE"/>
        </w:rPr>
        <w:t xml:space="preserve"> II.74</w:t>
      </w:r>
    </w:p>
    <w:p w14:paraId="340C5F84" w14:textId="77777777" w:rsidR="00597DE2" w:rsidRPr="005B6D62" w:rsidRDefault="00597DE2" w:rsidP="00597DE2">
      <w:pPr>
        <w:pStyle w:val="ParrafoApendice"/>
        <w:rPr>
          <w:lang w:val="es-PE"/>
        </w:rPr>
      </w:pPr>
      <w:proofErr w:type="spellStart"/>
      <w:r w:rsidRPr="005B6D62">
        <w:rPr>
          <w:lang w:val="es-PE"/>
        </w:rPr>
        <w:t>Abhaya</w:t>
      </w:r>
      <w:proofErr w:type="spellEnd"/>
      <w:r w:rsidRPr="005B6D62">
        <w:rPr>
          <w:lang w:val="es-PE"/>
        </w:rPr>
        <w:t xml:space="preserve"> </w:t>
      </w:r>
      <w:proofErr w:type="spellStart"/>
      <w:r w:rsidRPr="005B6D62">
        <w:rPr>
          <w:lang w:val="es-PE"/>
        </w:rPr>
        <w:t>Thera</w:t>
      </w:r>
      <w:proofErr w:type="spellEnd"/>
      <w:r w:rsidRPr="005B6D62">
        <w:rPr>
          <w:lang w:val="es-PE"/>
        </w:rPr>
        <w:t xml:space="preserve">, Tipiṭaka </w:t>
      </w:r>
      <w:proofErr w:type="spellStart"/>
      <w:r w:rsidRPr="005B6D62">
        <w:rPr>
          <w:lang w:val="es-PE"/>
        </w:rPr>
        <w:t>Cūḷa</w:t>
      </w:r>
      <w:proofErr w:type="spellEnd"/>
      <w:r w:rsidRPr="005B6D62">
        <w:rPr>
          <w:lang w:val="es-PE"/>
        </w:rPr>
        <w:t xml:space="preserve"> II.35; III.53; XII.89, 101; XIII.n.38</w:t>
      </w:r>
    </w:p>
    <w:p w14:paraId="59B91249" w14:textId="77777777" w:rsidR="00597DE2" w:rsidRPr="005B6D62" w:rsidRDefault="00597DE2" w:rsidP="00597DE2">
      <w:pPr>
        <w:pStyle w:val="ParrafoApendice"/>
        <w:rPr>
          <w:lang w:val="es-PE"/>
        </w:rPr>
      </w:pPr>
      <w:proofErr w:type="spellStart"/>
      <w:r w:rsidRPr="005B6D62">
        <w:rPr>
          <w:lang w:val="es-PE"/>
        </w:rPr>
        <w:t>Abhayagiri</w:t>
      </w:r>
      <w:proofErr w:type="spellEnd"/>
      <w:r w:rsidRPr="005B6D62">
        <w:rPr>
          <w:lang w:val="es-PE"/>
        </w:rPr>
        <w:t xml:space="preserve"> (Monasterio) I.n.18; XII.n.25; XIV.n.31; XXIII.n.5</w:t>
      </w:r>
    </w:p>
    <w:p w14:paraId="2BFF515D" w14:textId="77777777" w:rsidR="00597DE2" w:rsidRPr="005B6D62" w:rsidRDefault="00597DE2" w:rsidP="00597DE2">
      <w:pPr>
        <w:pStyle w:val="ParrafoApendice"/>
        <w:rPr>
          <w:lang w:val="es-PE"/>
        </w:rPr>
      </w:pPr>
      <w:proofErr w:type="spellStart"/>
      <w:r w:rsidRPr="005B6D62">
        <w:rPr>
          <w:i/>
          <w:iCs/>
          <w:lang w:val="es-PE"/>
        </w:rPr>
        <w:t>Abhidhamma</w:t>
      </w:r>
      <w:proofErr w:type="spellEnd"/>
      <w:r w:rsidRPr="005B6D62">
        <w:rPr>
          <w:lang w:val="es-PE"/>
        </w:rPr>
        <w:t xml:space="preserve"> XII.72; XIII.n.20; XIV.24, 58, 185; XXI.72, 126 </w:t>
      </w:r>
    </w:p>
    <w:p w14:paraId="7CE12443" w14:textId="77777777" w:rsidR="00597DE2" w:rsidRPr="005B6D62" w:rsidRDefault="00597DE2" w:rsidP="00597DE2">
      <w:pPr>
        <w:pStyle w:val="ParrafoApendice"/>
        <w:rPr>
          <w:lang w:val="es-PE"/>
        </w:rPr>
      </w:pPr>
      <w:r w:rsidRPr="005B6D62">
        <w:rPr>
          <w:lang w:val="es-PE"/>
        </w:rPr>
        <w:t>absorción (</w:t>
      </w:r>
      <w:proofErr w:type="spellStart"/>
      <w:r w:rsidRPr="005B6D62">
        <w:rPr>
          <w:i/>
          <w:iCs/>
          <w:lang w:val="es-PE"/>
        </w:rPr>
        <w:t>appanā</w:t>
      </w:r>
      <w:proofErr w:type="spellEnd"/>
      <w:r w:rsidRPr="005B6D62">
        <w:rPr>
          <w:lang w:val="es-PE"/>
        </w:rPr>
        <w:t>) III.5, 6, 106; IV.33, 72, 74f., 102; XIII.5; XVI.77; XXIII.6</w:t>
      </w:r>
    </w:p>
    <w:p w14:paraId="6439297B" w14:textId="77777777" w:rsidR="00597DE2" w:rsidRPr="006D0608" w:rsidRDefault="00597DE2" w:rsidP="00597DE2">
      <w:pPr>
        <w:pStyle w:val="ParrafoApendice"/>
        <w:rPr>
          <w:lang w:val="es-PE"/>
        </w:rPr>
      </w:pPr>
      <w:r w:rsidRPr="006D0608">
        <w:rPr>
          <w:lang w:val="es-PE"/>
        </w:rPr>
        <w:t>absorción (</w:t>
      </w:r>
      <w:proofErr w:type="spellStart"/>
      <w:r w:rsidRPr="006D0608">
        <w:rPr>
          <w:i/>
          <w:iCs/>
          <w:lang w:val="es-PE"/>
        </w:rPr>
        <w:t>samāpatti</w:t>
      </w:r>
      <w:proofErr w:type="spellEnd"/>
      <w:r w:rsidRPr="006D0608">
        <w:rPr>
          <w:lang w:val="es-PE"/>
        </w:rPr>
        <w:t xml:space="preserve">) XII.2; XIV.188, 197, 201; XVII.264; XVIII.1; XX.9; XXII.46; XXIII.18, 20 </w:t>
      </w:r>
    </w:p>
    <w:p w14:paraId="7FF9395C" w14:textId="77777777" w:rsidR="00597DE2" w:rsidRPr="005B6D62" w:rsidRDefault="00597DE2" w:rsidP="00597DE2">
      <w:pPr>
        <w:pStyle w:val="ParrafoApendice"/>
        <w:rPr>
          <w:lang w:val="es-PE"/>
        </w:rPr>
      </w:pPr>
      <w:r w:rsidRPr="005B6D62">
        <w:rPr>
          <w:lang w:val="es-PE"/>
        </w:rPr>
        <w:t>abstención (</w:t>
      </w:r>
      <w:proofErr w:type="spellStart"/>
      <w:r w:rsidRPr="005B6D62">
        <w:rPr>
          <w:i/>
          <w:iCs/>
          <w:lang w:val="es-PE"/>
        </w:rPr>
        <w:t>veramaṇī</w:t>
      </w:r>
      <w:proofErr w:type="spellEnd"/>
      <w:r w:rsidRPr="005B6D62">
        <w:rPr>
          <w:lang w:val="es-PE"/>
        </w:rPr>
        <w:t>) I.28, 140; XVII.40</w:t>
      </w:r>
    </w:p>
    <w:p w14:paraId="171A6AEC" w14:textId="77777777" w:rsidR="00597DE2" w:rsidRPr="005B6D62" w:rsidRDefault="00597DE2" w:rsidP="00597DE2">
      <w:pPr>
        <w:pStyle w:val="ParrafoApendice"/>
        <w:rPr>
          <w:lang w:val="es-PE"/>
        </w:rPr>
      </w:pPr>
      <w:r w:rsidRPr="005B6D62">
        <w:rPr>
          <w:lang w:val="es-PE"/>
        </w:rPr>
        <w:t>abstenerse (</w:t>
      </w:r>
      <w:proofErr w:type="spellStart"/>
      <w:r w:rsidRPr="005B6D62">
        <w:rPr>
          <w:i/>
          <w:iCs/>
          <w:lang w:val="es-PE"/>
        </w:rPr>
        <w:t>viramana</w:t>
      </w:r>
      <w:proofErr w:type="spellEnd"/>
      <w:r w:rsidRPr="005B6D62">
        <w:rPr>
          <w:lang w:val="es-PE"/>
        </w:rPr>
        <w:t xml:space="preserve">) XXII.39 </w:t>
      </w:r>
    </w:p>
    <w:p w14:paraId="6B8493CF" w14:textId="77777777" w:rsidR="00597DE2" w:rsidRPr="005B6D62" w:rsidRDefault="00597DE2" w:rsidP="00597DE2">
      <w:pPr>
        <w:pStyle w:val="ParrafoApendice"/>
        <w:rPr>
          <w:lang w:val="es-PE"/>
        </w:rPr>
      </w:pPr>
      <w:r w:rsidRPr="005B6D62">
        <w:rPr>
          <w:lang w:val="es-PE"/>
        </w:rPr>
        <w:t>abstinencia (</w:t>
      </w:r>
      <w:proofErr w:type="spellStart"/>
      <w:r w:rsidRPr="005B6D62">
        <w:rPr>
          <w:i/>
          <w:iCs/>
          <w:lang w:val="es-PE"/>
        </w:rPr>
        <w:t>virati</w:t>
      </w:r>
      <w:proofErr w:type="spellEnd"/>
      <w:r w:rsidRPr="005B6D62">
        <w:rPr>
          <w:lang w:val="es-PE"/>
        </w:rPr>
        <w:t>) I.18, 28, 84; XIV.133, 155s., 181, 184; XVI.26, 78s.</w:t>
      </w:r>
    </w:p>
    <w:p w14:paraId="58274F41" w14:textId="77777777" w:rsidR="00597DE2" w:rsidRPr="005B6D62" w:rsidRDefault="00597DE2" w:rsidP="00597DE2">
      <w:pPr>
        <w:pStyle w:val="ParrafoApendice"/>
        <w:rPr>
          <w:lang w:val="es-PE"/>
        </w:rPr>
      </w:pPr>
      <w:r w:rsidRPr="005B6D62">
        <w:rPr>
          <w:lang w:val="es-PE"/>
        </w:rPr>
        <w:t>acceso (</w:t>
      </w:r>
      <w:proofErr w:type="spellStart"/>
      <w:r w:rsidRPr="005B6D62">
        <w:rPr>
          <w:i/>
          <w:iCs/>
          <w:lang w:val="es-PE"/>
        </w:rPr>
        <w:t>upacāra</w:t>
      </w:r>
      <w:proofErr w:type="spellEnd"/>
      <w:r w:rsidRPr="005B6D62">
        <w:rPr>
          <w:lang w:val="es-PE"/>
        </w:rPr>
        <w:t xml:space="preserve">) III.5, 6, 8f., 15, 106; IV.32f., 74, 185s.; X.9; XVIII.1; XXI.129 </w:t>
      </w:r>
    </w:p>
    <w:p w14:paraId="77184F8B" w14:textId="77777777" w:rsidR="00597DE2" w:rsidRPr="005B6D62" w:rsidRDefault="00597DE2" w:rsidP="00597DE2">
      <w:pPr>
        <w:pStyle w:val="ParrafoApendice"/>
        <w:rPr>
          <w:lang w:val="es-PE"/>
        </w:rPr>
      </w:pPr>
      <w:r w:rsidRPr="005B6D62">
        <w:rPr>
          <w:lang w:val="es-PE"/>
        </w:rPr>
        <w:t>acción (</w:t>
      </w:r>
      <w:r w:rsidRPr="005B6D62">
        <w:rPr>
          <w:i/>
          <w:iCs/>
          <w:lang w:val="es-PE"/>
        </w:rPr>
        <w:t>kammanta</w:t>
      </w:r>
      <w:r w:rsidRPr="005B6D62">
        <w:rPr>
          <w:lang w:val="es-PE"/>
        </w:rPr>
        <w:t xml:space="preserve">) XXII.42, 45, 66 </w:t>
      </w:r>
    </w:p>
    <w:p w14:paraId="7AB08D04" w14:textId="77777777" w:rsidR="00597DE2" w:rsidRDefault="00597DE2" w:rsidP="00597DE2">
      <w:pPr>
        <w:pStyle w:val="ParrafoApendice"/>
        <w:rPr>
          <w:lang w:val="es-PE"/>
        </w:rPr>
      </w:pPr>
      <w:r>
        <w:rPr>
          <w:lang w:val="es-PE"/>
        </w:rPr>
        <w:t>a</w:t>
      </w:r>
      <w:r w:rsidRPr="00F2046C">
        <w:rPr>
          <w:lang w:val="es-PE"/>
        </w:rPr>
        <w:t>cción correcta (</w:t>
      </w:r>
      <w:proofErr w:type="spellStart"/>
      <w:r w:rsidRPr="00F2046C">
        <w:rPr>
          <w:i/>
          <w:iCs/>
          <w:lang w:val="es-PE"/>
        </w:rPr>
        <w:t>sammā</w:t>
      </w:r>
      <w:proofErr w:type="spellEnd"/>
      <w:r w:rsidRPr="00F2046C">
        <w:rPr>
          <w:i/>
          <w:iCs/>
          <w:lang w:val="es-PE"/>
        </w:rPr>
        <w:t>–kammanta</w:t>
      </w:r>
      <w:r w:rsidRPr="00F2046C">
        <w:rPr>
          <w:lang w:val="es-PE"/>
        </w:rPr>
        <w:t xml:space="preserve">) XVI.79, 86, 95; XXII.45; </w:t>
      </w:r>
      <w:r w:rsidRPr="00C95517">
        <w:rPr>
          <w:i/>
          <w:iCs/>
          <w:lang w:val="es-PE"/>
        </w:rPr>
        <w:t>concentración c.</w:t>
      </w:r>
      <w:r w:rsidRPr="00F2046C">
        <w:rPr>
          <w:lang w:val="es-PE"/>
        </w:rPr>
        <w:t xml:space="preserve"> (</w:t>
      </w:r>
      <w:r w:rsidRPr="00C95517">
        <w:rPr>
          <w:i/>
          <w:iCs/>
          <w:lang w:val="es-PE"/>
        </w:rPr>
        <w:t>s.–samādhi</w:t>
      </w:r>
      <w:r w:rsidRPr="00F2046C">
        <w:rPr>
          <w:lang w:val="es-PE"/>
        </w:rPr>
        <w:t xml:space="preserve">) XVI.83, 86, </w:t>
      </w:r>
      <w:r>
        <w:rPr>
          <w:lang w:val="es-PE"/>
        </w:rPr>
        <w:br w:type="column"/>
      </w:r>
    </w:p>
    <w:p w14:paraId="621EC6AA" w14:textId="77777777" w:rsidR="00597DE2" w:rsidRPr="00F2046C" w:rsidRDefault="00597DE2" w:rsidP="00597DE2">
      <w:pPr>
        <w:pStyle w:val="ParrafoApendice"/>
        <w:rPr>
          <w:lang w:val="es-PE"/>
        </w:rPr>
      </w:pPr>
      <w:r w:rsidRPr="00F2046C">
        <w:rPr>
          <w:lang w:val="es-PE"/>
        </w:rPr>
        <w:t xml:space="preserve">95; XXII.45; </w:t>
      </w:r>
      <w:r w:rsidRPr="00A940F5">
        <w:rPr>
          <w:i/>
          <w:iCs/>
          <w:lang w:val="es-PE"/>
        </w:rPr>
        <w:t>emprendimiento c.</w:t>
      </w:r>
      <w:r w:rsidRPr="00F2046C">
        <w:rPr>
          <w:lang w:val="es-PE"/>
        </w:rPr>
        <w:t xml:space="preserve"> (</w:t>
      </w:r>
      <w:r w:rsidRPr="009A4DDE">
        <w:rPr>
          <w:i/>
          <w:iCs/>
          <w:lang w:val="es-PE"/>
        </w:rPr>
        <w:t>s.–</w:t>
      </w:r>
      <w:proofErr w:type="spellStart"/>
      <w:r w:rsidRPr="009A4DDE">
        <w:rPr>
          <w:i/>
          <w:iCs/>
          <w:lang w:val="es-PE"/>
        </w:rPr>
        <w:t>ppadhāna</w:t>
      </w:r>
      <w:proofErr w:type="spellEnd"/>
      <w:r w:rsidRPr="00F2046C">
        <w:rPr>
          <w:lang w:val="es-PE"/>
        </w:rPr>
        <w:t xml:space="preserve">) I.6; XII.51; XXII.33, 39, 42; </w:t>
      </w:r>
      <w:r w:rsidRPr="00BE3BD4">
        <w:rPr>
          <w:i/>
          <w:iCs/>
          <w:lang w:val="es-PE"/>
        </w:rPr>
        <w:t>esfuerzo c.</w:t>
      </w:r>
      <w:r w:rsidRPr="00F2046C">
        <w:rPr>
          <w:lang w:val="es-PE"/>
        </w:rPr>
        <w:t xml:space="preserve"> (</w:t>
      </w:r>
      <w:r w:rsidRPr="00BE3BD4">
        <w:rPr>
          <w:i/>
          <w:iCs/>
          <w:lang w:val="es-PE"/>
        </w:rPr>
        <w:t>s.–vāyāma</w:t>
      </w:r>
      <w:r w:rsidRPr="00F2046C">
        <w:rPr>
          <w:lang w:val="es-PE"/>
        </w:rPr>
        <w:t>) XVI.81, 86, 95</w:t>
      </w:r>
      <w:r>
        <w:rPr>
          <w:lang w:val="es-PE"/>
        </w:rPr>
        <w:t>s</w:t>
      </w:r>
      <w:r w:rsidRPr="00F2046C">
        <w:rPr>
          <w:lang w:val="es-PE"/>
        </w:rPr>
        <w:t xml:space="preserve">.; XXII.45; </w:t>
      </w:r>
      <w:r w:rsidRPr="00BE3BD4">
        <w:rPr>
          <w:i/>
          <w:iCs/>
          <w:lang w:val="es-PE"/>
        </w:rPr>
        <w:t>sustento c.</w:t>
      </w:r>
      <w:r>
        <w:rPr>
          <w:lang w:val="es-PE"/>
        </w:rPr>
        <w:t xml:space="preserve"> </w:t>
      </w:r>
      <w:r w:rsidRPr="00F2046C">
        <w:rPr>
          <w:lang w:val="es-PE"/>
        </w:rPr>
        <w:t>(</w:t>
      </w:r>
      <w:r w:rsidRPr="00BE3BD4">
        <w:rPr>
          <w:i/>
          <w:iCs/>
          <w:lang w:val="es-PE"/>
        </w:rPr>
        <w:t>s.–</w:t>
      </w:r>
      <w:proofErr w:type="spellStart"/>
      <w:r w:rsidRPr="00BE3BD4">
        <w:rPr>
          <w:i/>
          <w:iCs/>
          <w:lang w:val="es-PE"/>
        </w:rPr>
        <w:t>ājīva</w:t>
      </w:r>
      <w:proofErr w:type="spellEnd"/>
      <w:r w:rsidRPr="00F2046C">
        <w:rPr>
          <w:lang w:val="es-PE"/>
        </w:rPr>
        <w:t xml:space="preserve">) XVI.80, 86, 95; XXII.45; </w:t>
      </w:r>
      <w:r w:rsidRPr="00486DD4">
        <w:rPr>
          <w:i/>
          <w:iCs/>
          <w:lang w:val="es-PE"/>
        </w:rPr>
        <w:t>atención c.</w:t>
      </w:r>
      <w:r>
        <w:rPr>
          <w:lang w:val="es-PE"/>
        </w:rPr>
        <w:t xml:space="preserve"> </w:t>
      </w:r>
      <w:r w:rsidRPr="00F2046C">
        <w:rPr>
          <w:lang w:val="es-PE"/>
        </w:rPr>
        <w:t>(</w:t>
      </w:r>
      <w:r w:rsidRPr="00486DD4">
        <w:rPr>
          <w:i/>
          <w:iCs/>
          <w:lang w:val="es-PE"/>
        </w:rPr>
        <w:t>s.–</w:t>
      </w:r>
      <w:proofErr w:type="spellStart"/>
      <w:r w:rsidRPr="00486DD4">
        <w:rPr>
          <w:i/>
          <w:iCs/>
          <w:lang w:val="es-PE"/>
        </w:rPr>
        <w:t>sati</w:t>
      </w:r>
      <w:proofErr w:type="spellEnd"/>
      <w:r w:rsidRPr="00F2046C">
        <w:rPr>
          <w:lang w:val="es-PE"/>
        </w:rPr>
        <w:t xml:space="preserve">) XVI.82, 86, 95f.; XXII.45; </w:t>
      </w:r>
      <w:r w:rsidRPr="00486DD4">
        <w:rPr>
          <w:i/>
          <w:iCs/>
          <w:lang w:val="es-PE"/>
        </w:rPr>
        <w:t>lenguaje c.</w:t>
      </w:r>
      <w:r>
        <w:rPr>
          <w:lang w:val="es-PE"/>
        </w:rPr>
        <w:t xml:space="preserve"> </w:t>
      </w:r>
      <w:r w:rsidRPr="00F2046C">
        <w:rPr>
          <w:lang w:val="es-PE"/>
        </w:rPr>
        <w:t>(</w:t>
      </w:r>
      <w:r w:rsidRPr="00486DD4">
        <w:rPr>
          <w:i/>
          <w:iCs/>
          <w:lang w:val="es-PE"/>
        </w:rPr>
        <w:t>s.–vācā</w:t>
      </w:r>
      <w:r w:rsidRPr="00F2046C">
        <w:rPr>
          <w:lang w:val="es-PE"/>
        </w:rPr>
        <w:t xml:space="preserve">) XVI.78, 86, 95f.; XXII.45; </w:t>
      </w:r>
      <w:r w:rsidRPr="00486DD4">
        <w:rPr>
          <w:i/>
          <w:iCs/>
          <w:lang w:val="es-PE"/>
        </w:rPr>
        <w:t>pensamiento c.</w:t>
      </w:r>
      <w:r>
        <w:rPr>
          <w:lang w:val="es-PE"/>
        </w:rPr>
        <w:t xml:space="preserve"> </w:t>
      </w:r>
      <w:r w:rsidRPr="00F2046C">
        <w:rPr>
          <w:lang w:val="es-PE"/>
        </w:rPr>
        <w:t>(</w:t>
      </w:r>
      <w:r w:rsidRPr="00486DD4">
        <w:rPr>
          <w:i/>
          <w:iCs/>
          <w:lang w:val="es-PE"/>
        </w:rPr>
        <w:t>s.–saṅkappa</w:t>
      </w:r>
      <w:r w:rsidRPr="00F2046C">
        <w:rPr>
          <w:lang w:val="es-PE"/>
        </w:rPr>
        <w:t xml:space="preserve">) XVI.77, 86, 95f.; XXII.45; </w:t>
      </w:r>
      <w:r w:rsidRPr="00486DD4">
        <w:rPr>
          <w:i/>
          <w:iCs/>
          <w:lang w:val="es-PE"/>
        </w:rPr>
        <w:t>visión c.</w:t>
      </w:r>
      <w:r>
        <w:rPr>
          <w:lang w:val="es-PE"/>
        </w:rPr>
        <w:t xml:space="preserve"> </w:t>
      </w:r>
      <w:r w:rsidRPr="00F2046C">
        <w:rPr>
          <w:lang w:val="es-PE"/>
        </w:rPr>
        <w:t>(</w:t>
      </w:r>
      <w:r w:rsidRPr="00486DD4">
        <w:rPr>
          <w:i/>
          <w:iCs/>
          <w:lang w:val="es-PE"/>
        </w:rPr>
        <w:t>s.–diṭṭhi</w:t>
      </w:r>
      <w:r w:rsidRPr="00F2046C">
        <w:rPr>
          <w:lang w:val="es-PE"/>
        </w:rPr>
        <w:t xml:space="preserve">) I.17; XIV.84; XVI.76, 86, 95; XVII.9; XXII.38, 45; XX– III.4; </w:t>
      </w:r>
      <w:r w:rsidRPr="00462924">
        <w:rPr>
          <w:i/>
          <w:iCs/>
          <w:lang w:val="es-PE"/>
        </w:rPr>
        <w:t>visión c.</w:t>
      </w:r>
      <w:r>
        <w:rPr>
          <w:lang w:val="es-PE"/>
        </w:rPr>
        <w:t xml:space="preserve"> </w:t>
      </w:r>
      <w:r w:rsidRPr="00F2046C">
        <w:rPr>
          <w:lang w:val="es-PE"/>
        </w:rPr>
        <w:t>(</w:t>
      </w:r>
      <w:r w:rsidRPr="00462924">
        <w:rPr>
          <w:i/>
          <w:iCs/>
          <w:lang w:val="es-PE"/>
        </w:rPr>
        <w:t>s.–dassana</w:t>
      </w:r>
      <w:r w:rsidRPr="00F2046C">
        <w:rPr>
          <w:lang w:val="es-PE"/>
        </w:rPr>
        <w:t xml:space="preserve">) XIX.25 </w:t>
      </w:r>
    </w:p>
    <w:p w14:paraId="51B85D78" w14:textId="77777777" w:rsidR="00597DE2" w:rsidRPr="005B6D62" w:rsidRDefault="00597DE2" w:rsidP="00597DE2">
      <w:pPr>
        <w:pStyle w:val="ParrafoApendice"/>
        <w:rPr>
          <w:lang w:val="es-PE"/>
        </w:rPr>
      </w:pPr>
      <w:r w:rsidRPr="005B6D62">
        <w:rPr>
          <w:lang w:val="es-PE"/>
        </w:rPr>
        <w:t>acción incorrecta (</w:t>
      </w:r>
      <w:proofErr w:type="spellStart"/>
      <w:r w:rsidRPr="005B6D62">
        <w:rPr>
          <w:i/>
          <w:iCs/>
          <w:lang w:val="es-PE"/>
        </w:rPr>
        <w:t>duccarita</w:t>
      </w:r>
      <w:proofErr w:type="spellEnd"/>
      <w:r w:rsidRPr="005B6D62">
        <w:rPr>
          <w:lang w:val="es-PE"/>
        </w:rPr>
        <w:t xml:space="preserve">) I.13; VII.59, n.25; XIV.155, 160 </w:t>
      </w:r>
    </w:p>
    <w:p w14:paraId="28E6AC25" w14:textId="77777777" w:rsidR="00597DE2" w:rsidRPr="00DC4620" w:rsidRDefault="00597DE2" w:rsidP="00597DE2">
      <w:pPr>
        <w:pStyle w:val="ParrafoApendice"/>
        <w:rPr>
          <w:color w:val="833C0B" w:themeColor="accent2" w:themeShade="80"/>
          <w:lang w:val="es-PE"/>
        </w:rPr>
      </w:pPr>
      <w:r w:rsidRPr="00DC4620">
        <w:rPr>
          <w:color w:val="833C0B" w:themeColor="accent2" w:themeShade="80"/>
          <w:lang w:val="es-PE"/>
        </w:rPr>
        <w:t>acción incorrecta (</w:t>
      </w:r>
      <w:proofErr w:type="spellStart"/>
      <w:r w:rsidRPr="00DC4620">
        <w:rPr>
          <w:i/>
          <w:iCs/>
          <w:color w:val="833C0B" w:themeColor="accent2" w:themeShade="80"/>
          <w:lang w:val="es-PE"/>
        </w:rPr>
        <w:t>dukkata</w:t>
      </w:r>
      <w:proofErr w:type="spellEnd"/>
      <w:r w:rsidRPr="00DC4620">
        <w:rPr>
          <w:color w:val="833C0B" w:themeColor="accent2" w:themeShade="80"/>
          <w:lang w:val="es-PE"/>
        </w:rPr>
        <w:t xml:space="preserve">) 160 </w:t>
      </w:r>
    </w:p>
    <w:p w14:paraId="3466E255" w14:textId="77777777" w:rsidR="00597DE2" w:rsidRPr="005B6D62" w:rsidRDefault="00597DE2" w:rsidP="00597DE2">
      <w:pPr>
        <w:pStyle w:val="ParrafoApendice"/>
        <w:rPr>
          <w:lang w:val="es-PE"/>
        </w:rPr>
      </w:pPr>
      <w:r w:rsidRPr="005B6D62">
        <w:rPr>
          <w:lang w:val="es-PE"/>
        </w:rPr>
        <w:t xml:space="preserve">acciones, ver </w:t>
      </w:r>
      <w:proofErr w:type="spellStart"/>
      <w:r w:rsidRPr="005B6D62">
        <w:rPr>
          <w:lang w:val="es-PE"/>
        </w:rPr>
        <w:t>kamma</w:t>
      </w:r>
      <w:proofErr w:type="spellEnd"/>
    </w:p>
    <w:p w14:paraId="6A059704" w14:textId="77777777" w:rsidR="00597DE2" w:rsidRPr="005B6D62" w:rsidRDefault="00597DE2" w:rsidP="00597DE2">
      <w:pPr>
        <w:pStyle w:val="ParrafoApendice"/>
        <w:rPr>
          <w:lang w:val="es-PE"/>
        </w:rPr>
      </w:pPr>
      <w:r w:rsidRPr="005B6D62">
        <w:rPr>
          <w:lang w:val="es-PE"/>
        </w:rPr>
        <w:t xml:space="preserve">acoplamiento, acoplado, </w:t>
      </w:r>
      <w:r w:rsidRPr="005B6D62">
        <w:rPr>
          <w:color w:val="833C0B" w:themeColor="accent2" w:themeShade="80"/>
          <w:u w:color="000000"/>
          <w:lang w:val="es-PE"/>
        </w:rPr>
        <w:t>acopladamente</w:t>
      </w:r>
      <w:r w:rsidRPr="005B6D62">
        <w:rPr>
          <w:lang w:val="es-PE"/>
        </w:rPr>
        <w:t xml:space="preserve"> (</w:t>
      </w:r>
      <w:proofErr w:type="spellStart"/>
      <w:r w:rsidRPr="005B6D62">
        <w:rPr>
          <w:i/>
          <w:iCs/>
          <w:lang w:val="es-PE"/>
        </w:rPr>
        <w:t>yuganaddha</w:t>
      </w:r>
      <w:proofErr w:type="spellEnd"/>
      <w:r w:rsidRPr="005B6D62">
        <w:rPr>
          <w:lang w:val="es-PE"/>
        </w:rPr>
        <w:t xml:space="preserve">) IV.117; XXII.46; XXIII.43 </w:t>
      </w:r>
    </w:p>
    <w:p w14:paraId="737F60DF" w14:textId="77777777" w:rsidR="00597DE2" w:rsidRPr="005B6D62" w:rsidRDefault="00597DE2" w:rsidP="00597DE2">
      <w:pPr>
        <w:pStyle w:val="ParrafoApendice"/>
        <w:rPr>
          <w:lang w:val="es-PE"/>
        </w:rPr>
      </w:pPr>
      <w:r w:rsidRPr="005B6D62">
        <w:rPr>
          <w:lang w:val="es-PE"/>
        </w:rPr>
        <w:t>acumulación (</w:t>
      </w:r>
      <w:proofErr w:type="spellStart"/>
      <w:r w:rsidRPr="005B6D62">
        <w:rPr>
          <w:i/>
          <w:iCs/>
          <w:lang w:val="es-PE"/>
        </w:rPr>
        <w:t>āyūhana</w:t>
      </w:r>
      <w:proofErr w:type="spellEnd"/>
      <w:r w:rsidRPr="005B6D62">
        <w:rPr>
          <w:lang w:val="es-PE"/>
        </w:rPr>
        <w:t>) I.140; XIV. 132, 135; XVII.61, 292f.; XIX.13; XX.90; XXI.37, 38, 80; XXII.5, 79, 97, 113, 115.</w:t>
      </w:r>
    </w:p>
    <w:p w14:paraId="78B444D8" w14:textId="77777777" w:rsidR="00597DE2" w:rsidRPr="00B73F4C" w:rsidRDefault="00597DE2" w:rsidP="00597DE2">
      <w:pPr>
        <w:pStyle w:val="ParrafoApendice"/>
        <w:rPr>
          <w:lang w:val="es-PE"/>
        </w:rPr>
      </w:pPr>
      <w:r w:rsidRPr="00B73F4C">
        <w:rPr>
          <w:lang w:val="es-PE"/>
        </w:rPr>
        <w:t>adec</w:t>
      </w:r>
      <w:r>
        <w:rPr>
          <w:lang w:val="es-PE"/>
        </w:rPr>
        <w:t xml:space="preserve">uado/a, conveniente </w:t>
      </w:r>
      <w:r w:rsidRPr="00B73F4C">
        <w:rPr>
          <w:lang w:val="es-PE"/>
        </w:rPr>
        <w:t>(</w:t>
      </w:r>
      <w:proofErr w:type="spellStart"/>
      <w:r w:rsidRPr="00B73F4C">
        <w:rPr>
          <w:i/>
          <w:iCs/>
          <w:lang w:val="es-PE"/>
        </w:rPr>
        <w:t>sappāya</w:t>
      </w:r>
      <w:proofErr w:type="spellEnd"/>
      <w:r w:rsidRPr="00B73F4C">
        <w:rPr>
          <w:lang w:val="es-PE"/>
        </w:rPr>
        <w:t>) III.16, 97</w:t>
      </w:r>
      <w:r>
        <w:rPr>
          <w:lang w:val="es-PE"/>
        </w:rPr>
        <w:t>s</w:t>
      </w:r>
      <w:r w:rsidRPr="00B73F4C">
        <w:rPr>
          <w:lang w:val="es-PE"/>
        </w:rPr>
        <w:t>., 121; IV.35</w:t>
      </w:r>
    </w:p>
    <w:p w14:paraId="36C1F9CC" w14:textId="77777777" w:rsidR="00597DE2" w:rsidRPr="005B6D62" w:rsidRDefault="00597DE2" w:rsidP="00597DE2">
      <w:pPr>
        <w:pStyle w:val="ParrafoApendice"/>
        <w:rPr>
          <w:lang w:val="es-PE"/>
        </w:rPr>
      </w:pPr>
      <w:r w:rsidRPr="005B6D62">
        <w:rPr>
          <w:lang w:val="es-PE"/>
        </w:rPr>
        <w:t>adherencia (</w:t>
      </w:r>
      <w:r w:rsidRPr="005B6D62">
        <w:rPr>
          <w:i/>
          <w:iCs/>
          <w:lang w:val="es-PE"/>
        </w:rPr>
        <w:t>parāmāsa</w:t>
      </w:r>
      <w:r w:rsidRPr="005B6D62">
        <w:rPr>
          <w:lang w:val="es-PE"/>
        </w:rPr>
        <w:t>) I.35; VII.104; XVII.293, 308, XXII.48, 58, 71. Ver también malentendido.</w:t>
      </w:r>
    </w:p>
    <w:p w14:paraId="4A98CD2B" w14:textId="77777777" w:rsidR="00597DE2" w:rsidRPr="005B6D62" w:rsidRDefault="00597DE2" w:rsidP="00597DE2">
      <w:pPr>
        <w:pStyle w:val="ParrafoApendice"/>
        <w:rPr>
          <w:lang w:val="es-PE"/>
        </w:rPr>
      </w:pPr>
      <w:r w:rsidRPr="005B6D62">
        <w:rPr>
          <w:lang w:val="es-PE"/>
        </w:rPr>
        <w:t>adherido–a, apegado–a (</w:t>
      </w:r>
      <w:proofErr w:type="spellStart"/>
      <w:r w:rsidRPr="005B6D62">
        <w:rPr>
          <w:i/>
          <w:iCs/>
          <w:lang w:val="es-PE"/>
        </w:rPr>
        <w:t>upādiṇṇa</w:t>
      </w:r>
      <w:proofErr w:type="spellEnd"/>
      <w:r w:rsidRPr="005B6D62">
        <w:rPr>
          <w:lang w:val="es-PE"/>
        </w:rPr>
        <w:t xml:space="preserve">, </w:t>
      </w:r>
      <w:proofErr w:type="spellStart"/>
      <w:r w:rsidRPr="005B6D62">
        <w:rPr>
          <w:i/>
          <w:iCs/>
          <w:lang w:val="es-PE"/>
        </w:rPr>
        <w:t>upādiṇṇaka</w:t>
      </w:r>
      <w:proofErr w:type="spellEnd"/>
      <w:r w:rsidRPr="005B6D62">
        <w:rPr>
          <w:lang w:val="es-PE"/>
        </w:rPr>
        <w:t xml:space="preserve">) VIII.130; XI.31s., 97, 102; XII.104s., n.20; XIII.91; XIV.52, 62, 72s., </w:t>
      </w:r>
      <w:r w:rsidRPr="005B6D62">
        <w:rPr>
          <w:color w:val="833C0B" w:themeColor="accent2" w:themeShade="80"/>
          <w:u w:color="000000"/>
          <w:lang w:val="es-PE"/>
        </w:rPr>
        <w:t>204</w:t>
      </w:r>
      <w:r w:rsidRPr="005B6D62">
        <w:rPr>
          <w:lang w:val="es-PE"/>
        </w:rPr>
        <w:t xml:space="preserve">, n.23; XVII.255; XX.40 ver también </w:t>
      </w:r>
      <w:proofErr w:type="spellStart"/>
      <w:r w:rsidRPr="005B6D62">
        <w:rPr>
          <w:i/>
          <w:iCs/>
          <w:lang w:val="es-PE"/>
        </w:rPr>
        <w:t>kammikamente</w:t>
      </w:r>
      <w:proofErr w:type="spellEnd"/>
      <w:r w:rsidRPr="005B6D62">
        <w:rPr>
          <w:i/>
          <w:iCs/>
          <w:lang w:val="es-PE"/>
        </w:rPr>
        <w:t xml:space="preserve"> adquirido</w:t>
      </w:r>
    </w:p>
    <w:p w14:paraId="6303BE17" w14:textId="77777777" w:rsidR="00597DE2" w:rsidRDefault="00597DE2" w:rsidP="00597DE2">
      <w:pPr>
        <w:pStyle w:val="ParrafoApendice"/>
        <w:rPr>
          <w:lang w:val="es-PE"/>
        </w:rPr>
      </w:pPr>
      <w:r w:rsidRPr="005B6D62">
        <w:rPr>
          <w:lang w:val="es-PE"/>
        </w:rPr>
        <w:t>advertencia (</w:t>
      </w:r>
      <w:proofErr w:type="spellStart"/>
      <w:r w:rsidRPr="005B6D62">
        <w:rPr>
          <w:i/>
          <w:iCs/>
          <w:lang w:val="es-PE"/>
        </w:rPr>
        <w:t>āvajjana</w:t>
      </w:r>
      <w:proofErr w:type="spellEnd"/>
      <w:r w:rsidRPr="005B6D62">
        <w:rPr>
          <w:lang w:val="es-PE"/>
        </w:rPr>
        <w:t xml:space="preserve">) I.57; IV.74, 78, 132, 138, n.13; XIII.5, 27, 101, 118; XIV.107; 115s., 121s., 152; XV.34f., n.5; XVII.137, 232; XX.44, 121; XXI.129; XXII.1s., 10, 19, 26; XXIII.27, 38 </w:t>
      </w:r>
    </w:p>
    <w:p w14:paraId="21A05F89" w14:textId="77777777" w:rsidR="00597DE2" w:rsidRDefault="00597DE2" w:rsidP="00597DE2">
      <w:pPr>
        <w:pStyle w:val="ParrafoApendice"/>
        <w:rPr>
          <w:lang w:val="es-PE"/>
        </w:rPr>
      </w:pPr>
    </w:p>
    <w:p w14:paraId="207DC2D1" w14:textId="77777777" w:rsidR="00597DE2" w:rsidRDefault="00597DE2" w:rsidP="00597DE2">
      <w:pPr>
        <w:pStyle w:val="ParrafoApendice"/>
        <w:rPr>
          <w:lang w:val="es-PE"/>
        </w:rPr>
        <w:sectPr w:rsidR="00597DE2" w:rsidSect="00305694">
          <w:footnotePr>
            <w:numRestart w:val="eachSect"/>
          </w:footnotePr>
          <w:type w:val="continuous"/>
          <w:pgSz w:w="8641" w:h="12962"/>
          <w:pgMar w:top="851" w:right="964" w:bottom="964" w:left="964" w:header="709" w:footer="709" w:gutter="0"/>
          <w:pgNumType w:start="833"/>
          <w:cols w:num="2" w:space="708"/>
          <w:docGrid w:linePitch="360"/>
        </w:sectPr>
      </w:pPr>
    </w:p>
    <w:p w14:paraId="13A7A0AC" w14:textId="77777777" w:rsidR="00597DE2" w:rsidRPr="005B6D62" w:rsidRDefault="00597DE2" w:rsidP="00597DE2">
      <w:pPr>
        <w:pStyle w:val="ParrafoApendice"/>
        <w:rPr>
          <w:lang w:val="es-PE"/>
        </w:rPr>
      </w:pPr>
    </w:p>
    <w:p w14:paraId="20CBAAAC" w14:textId="77777777" w:rsidR="00597DE2" w:rsidRPr="005B6D62" w:rsidRDefault="00597DE2" w:rsidP="00597DE2">
      <w:pPr>
        <w:pStyle w:val="ParrafoApendice"/>
        <w:rPr>
          <w:lang w:val="es-PE"/>
        </w:rPr>
      </w:pPr>
      <w:r w:rsidRPr="005B6D62">
        <w:rPr>
          <w:lang w:val="es-PE"/>
        </w:rPr>
        <w:t>aflicción (</w:t>
      </w:r>
      <w:proofErr w:type="spellStart"/>
      <w:r w:rsidRPr="005B6D62">
        <w:rPr>
          <w:i/>
          <w:iCs/>
          <w:lang w:val="es-PE"/>
        </w:rPr>
        <w:t>ābādha</w:t>
      </w:r>
      <w:proofErr w:type="spellEnd"/>
      <w:r w:rsidRPr="005B6D62">
        <w:rPr>
          <w:lang w:val="es-PE"/>
        </w:rPr>
        <w:t xml:space="preserve">) I.92, 97; III.50 </w:t>
      </w:r>
    </w:p>
    <w:p w14:paraId="405F4733" w14:textId="77777777" w:rsidR="00597DE2" w:rsidRPr="005B6D62" w:rsidRDefault="00597DE2" w:rsidP="00597DE2">
      <w:pPr>
        <w:pStyle w:val="ParrafoApendice"/>
        <w:rPr>
          <w:lang w:val="es-PE"/>
        </w:rPr>
      </w:pPr>
      <w:r w:rsidRPr="005B6D62">
        <w:rPr>
          <w:lang w:val="es-PE"/>
        </w:rPr>
        <w:t>aflicción (</w:t>
      </w:r>
      <w:proofErr w:type="spellStart"/>
      <w:r w:rsidRPr="005B6D62">
        <w:rPr>
          <w:i/>
          <w:iCs/>
          <w:lang w:val="es-PE"/>
        </w:rPr>
        <w:t>domanassa</w:t>
      </w:r>
      <w:proofErr w:type="spellEnd"/>
      <w:r w:rsidRPr="005B6D62">
        <w:rPr>
          <w:lang w:val="es-PE"/>
        </w:rPr>
        <w:t xml:space="preserve">) I.42; IV.184, </w:t>
      </w:r>
      <w:r w:rsidRPr="005B6D62">
        <w:rPr>
          <w:strike/>
          <w:color w:val="833C0B" w:themeColor="accent2" w:themeShade="80"/>
          <w:u w:color="000000"/>
          <w:lang w:val="es-PE"/>
        </w:rPr>
        <w:t>n.48</w:t>
      </w:r>
      <w:r w:rsidRPr="005B6D62">
        <w:rPr>
          <w:lang w:val="es-PE"/>
        </w:rPr>
        <w:t>; IX.99, 111; XIII.9; XIV.</w:t>
      </w:r>
      <w:r w:rsidRPr="005B6D62">
        <w:rPr>
          <w:color w:val="833C0B" w:themeColor="accent2" w:themeShade="80"/>
          <w:u w:color="000000"/>
          <w:lang w:val="es-PE"/>
        </w:rPr>
        <w:t>92</w:t>
      </w:r>
      <w:r w:rsidRPr="005B6D62">
        <w:rPr>
          <w:lang w:val="es-PE"/>
        </w:rPr>
        <w:t>, 127s.; XV.28; XVI.</w:t>
      </w:r>
      <w:r w:rsidRPr="005B6D62">
        <w:rPr>
          <w:color w:val="833C0B" w:themeColor="accent2" w:themeShade="80"/>
          <w:u w:color="000000"/>
          <w:lang w:val="es-PE"/>
        </w:rPr>
        <w:t>1s,</w:t>
      </w:r>
      <w:r w:rsidRPr="005B6D62">
        <w:rPr>
          <w:lang w:val="es-PE"/>
        </w:rPr>
        <w:t xml:space="preserve"> 31, 50s.; XVII.48; </w:t>
      </w:r>
      <w:r w:rsidRPr="005B6D62">
        <w:rPr>
          <w:strike/>
          <w:color w:val="833C0B" w:themeColor="accent2" w:themeShade="80"/>
          <w:u w:color="000000"/>
          <w:lang w:val="es-PE"/>
        </w:rPr>
        <w:t>XX.71</w:t>
      </w:r>
      <w:r w:rsidRPr="005B6D62">
        <w:rPr>
          <w:lang w:val="es-PE"/>
        </w:rPr>
        <w:t xml:space="preserve">; </w:t>
      </w:r>
      <w:r w:rsidRPr="005B6D62">
        <w:rPr>
          <w:i/>
          <w:iCs/>
          <w:lang w:val="es-PE"/>
        </w:rPr>
        <w:t>elemento–a</w:t>
      </w:r>
      <w:r w:rsidRPr="005B6D62">
        <w:rPr>
          <w:lang w:val="es-PE"/>
        </w:rPr>
        <w:t>. (</w:t>
      </w:r>
      <w:proofErr w:type="spellStart"/>
      <w:r w:rsidRPr="005B6D62">
        <w:rPr>
          <w:i/>
          <w:iCs/>
          <w:lang w:val="es-PE"/>
        </w:rPr>
        <w:t>domanassadhātu</w:t>
      </w:r>
      <w:proofErr w:type="spellEnd"/>
      <w:r w:rsidRPr="005B6D62">
        <w:rPr>
          <w:lang w:val="es-PE"/>
        </w:rPr>
        <w:t xml:space="preserve">) XV.28; </w:t>
      </w:r>
      <w:r w:rsidRPr="005B6D62">
        <w:rPr>
          <w:i/>
          <w:iCs/>
          <w:lang w:val="es-PE"/>
        </w:rPr>
        <w:t>facultad–a</w:t>
      </w:r>
      <w:r w:rsidRPr="005B6D62">
        <w:rPr>
          <w:lang w:val="es-PE"/>
        </w:rPr>
        <w:t>. (</w:t>
      </w:r>
      <w:proofErr w:type="spellStart"/>
      <w:r w:rsidRPr="005B6D62">
        <w:rPr>
          <w:i/>
          <w:iCs/>
          <w:lang w:val="es-PE"/>
        </w:rPr>
        <w:t>domanassa</w:t>
      </w:r>
      <w:proofErr w:type="spellEnd"/>
      <w:r w:rsidRPr="005B6D62">
        <w:rPr>
          <w:lang w:val="es-PE"/>
        </w:rPr>
        <w:t>–</w:t>
      </w:r>
      <w:proofErr w:type="spellStart"/>
      <w:r w:rsidRPr="005B6D62">
        <w:rPr>
          <w:i/>
          <w:iCs/>
          <w:lang w:val="es-PE"/>
        </w:rPr>
        <w:t>indriya</w:t>
      </w:r>
      <w:proofErr w:type="spellEnd"/>
      <w:r w:rsidRPr="005B6D62">
        <w:rPr>
          <w:lang w:val="es-PE"/>
        </w:rPr>
        <w:t xml:space="preserve">) XIII.9; XVI.1 </w:t>
      </w:r>
    </w:p>
    <w:p w14:paraId="223B4AA4" w14:textId="77777777" w:rsidR="00597DE2" w:rsidRPr="007A00D0" w:rsidRDefault="00597DE2" w:rsidP="00597DE2">
      <w:pPr>
        <w:pStyle w:val="ParrafoApendice"/>
        <w:rPr>
          <w:lang w:val="es-PE"/>
        </w:rPr>
      </w:pPr>
      <w:r>
        <w:rPr>
          <w:lang w:val="es-PE"/>
        </w:rPr>
        <w:t>a</w:t>
      </w:r>
      <w:r w:rsidRPr="007A00D0">
        <w:rPr>
          <w:lang w:val="es-PE"/>
        </w:rPr>
        <w:t>flicción, tristez</w:t>
      </w:r>
      <w:r>
        <w:rPr>
          <w:lang w:val="es-PE"/>
        </w:rPr>
        <w:t>a</w:t>
      </w:r>
      <w:r w:rsidRPr="007A00D0">
        <w:rPr>
          <w:lang w:val="es-PE"/>
        </w:rPr>
        <w:t xml:space="preserve"> (</w:t>
      </w:r>
      <w:proofErr w:type="spellStart"/>
      <w:r w:rsidRPr="007A00D0">
        <w:rPr>
          <w:i/>
          <w:iCs/>
          <w:lang w:val="es-PE"/>
        </w:rPr>
        <w:t>soka</w:t>
      </w:r>
      <w:proofErr w:type="spellEnd"/>
      <w:r w:rsidRPr="007A00D0">
        <w:rPr>
          <w:lang w:val="es-PE"/>
        </w:rPr>
        <w:t xml:space="preserve">) IX.94; XVI.31, 48; XVII.2, 48, 57, 272 </w:t>
      </w:r>
    </w:p>
    <w:p w14:paraId="57AB4A9F" w14:textId="77777777" w:rsidR="00597DE2" w:rsidRPr="005B6D62" w:rsidRDefault="00597DE2" w:rsidP="00597DE2">
      <w:pPr>
        <w:pStyle w:val="ParrafoApendice"/>
        <w:rPr>
          <w:lang w:val="es-PE"/>
        </w:rPr>
      </w:pPr>
      <w:r w:rsidRPr="005B6D62">
        <w:rPr>
          <w:lang w:val="es-PE"/>
        </w:rPr>
        <w:t>agitación (</w:t>
      </w:r>
      <w:r w:rsidRPr="005B6D62">
        <w:rPr>
          <w:i/>
          <w:iCs/>
          <w:lang w:val="es-PE"/>
        </w:rPr>
        <w:t>uddhacca</w:t>
      </w:r>
      <w:r w:rsidRPr="005B6D62">
        <w:rPr>
          <w:lang w:val="es-PE"/>
        </w:rPr>
        <w:t>) I.140; III.95; IV.47, 72; VIII.74; XII.17; XIV.93, 159, 165, 170, 176, 178; XVII.61; XX.106; XXII.28, 45, 48, 49; a.–y–preocupación (</w:t>
      </w:r>
      <w:r w:rsidRPr="005B6D62">
        <w:rPr>
          <w:i/>
          <w:iCs/>
          <w:lang w:val="es-PE"/>
        </w:rPr>
        <w:t>uddhacca–</w:t>
      </w:r>
      <w:proofErr w:type="spellStart"/>
      <w:r w:rsidRPr="005B6D62">
        <w:rPr>
          <w:i/>
          <w:iCs/>
          <w:lang w:val="es-PE"/>
        </w:rPr>
        <w:t>kukkucca</w:t>
      </w:r>
      <w:proofErr w:type="spellEnd"/>
      <w:r w:rsidRPr="005B6D62">
        <w:rPr>
          <w:lang w:val="es-PE"/>
        </w:rPr>
        <w:t xml:space="preserve">) IV.86, 104 </w:t>
      </w:r>
    </w:p>
    <w:p w14:paraId="615A95D1" w14:textId="77777777" w:rsidR="00597DE2" w:rsidRPr="005B6D62" w:rsidRDefault="00597DE2" w:rsidP="00597DE2">
      <w:pPr>
        <w:pStyle w:val="ParrafoApendice"/>
        <w:rPr>
          <w:lang w:val="es-PE"/>
        </w:rPr>
      </w:pPr>
      <w:r w:rsidRPr="005B6D62">
        <w:rPr>
          <w:lang w:val="es-PE"/>
        </w:rPr>
        <w:t>agregado (</w:t>
      </w:r>
      <w:proofErr w:type="spellStart"/>
      <w:r w:rsidRPr="005B6D62">
        <w:rPr>
          <w:i/>
          <w:iCs/>
          <w:lang w:val="es-PE"/>
        </w:rPr>
        <w:t>khandha</w:t>
      </w:r>
      <w:proofErr w:type="spellEnd"/>
      <w:r w:rsidRPr="005B6D62">
        <w:rPr>
          <w:lang w:val="es-PE"/>
        </w:rPr>
        <w:t xml:space="preserve">) VII.16, 28, 38; VIII.39, 234, 236; X.41, 53; XII.52; XIII.13, 17s., 120; XIV </w:t>
      </w:r>
      <w:r w:rsidRPr="005B6D62">
        <w:rPr>
          <w:color w:val="833C0B" w:themeColor="accent2" w:themeShade="80"/>
          <w:u w:color="000000"/>
          <w:lang w:val="es-PE"/>
        </w:rPr>
        <w:t>a lo largo de</w:t>
      </w:r>
      <w:r w:rsidRPr="005B6D62">
        <w:rPr>
          <w:lang w:val="es-PE"/>
        </w:rPr>
        <w:t xml:space="preserve">, 19, 33, 213s., 216s.; XV.21; XVI.33, 44, 57, 68s., 73; XVII.77, 113, 159, 258, 263, </w:t>
      </w:r>
      <w:r w:rsidRPr="005B6D62">
        <w:rPr>
          <w:u w:color="000000"/>
          <w:lang w:val="es-PE"/>
        </w:rPr>
        <w:t>n.4</w:t>
      </w:r>
      <w:r w:rsidRPr="005B6D62">
        <w:rPr>
          <w:lang w:val="es-PE"/>
        </w:rPr>
        <w:t xml:space="preserve">; XVIII.13s.; XX.9, 20, 28, 97s.; XXI.6, 18, 35, 87, 111, </w:t>
      </w:r>
      <w:r w:rsidRPr="005B6D62">
        <w:rPr>
          <w:color w:val="833C0B" w:themeColor="accent2" w:themeShade="80"/>
          <w:u w:color="000000"/>
          <w:lang w:val="es-PE"/>
        </w:rPr>
        <w:t>n.4</w:t>
      </w:r>
      <w:r w:rsidRPr="005B6D62">
        <w:rPr>
          <w:lang w:val="es-PE"/>
        </w:rPr>
        <w:t>; XXII.45, 48; XXIII.4, n.18; a. como objeto del apego (</w:t>
      </w:r>
      <w:proofErr w:type="spellStart"/>
      <w:r w:rsidRPr="005B6D62">
        <w:rPr>
          <w:i/>
          <w:iCs/>
          <w:lang w:val="es-PE"/>
        </w:rPr>
        <w:t>upādāna</w:t>
      </w:r>
      <w:proofErr w:type="spellEnd"/>
      <w:r w:rsidRPr="005B6D62">
        <w:rPr>
          <w:i/>
          <w:iCs/>
          <w:lang w:val="es-PE"/>
        </w:rPr>
        <w:t>–</w:t>
      </w:r>
      <w:proofErr w:type="spellStart"/>
      <w:r w:rsidRPr="005B6D62">
        <w:rPr>
          <w:i/>
          <w:iCs/>
          <w:lang w:val="es-PE"/>
        </w:rPr>
        <w:t>kkhandha</w:t>
      </w:r>
      <w:proofErr w:type="spellEnd"/>
      <w:r w:rsidRPr="005B6D62">
        <w:rPr>
          <w:lang w:val="es-PE"/>
        </w:rPr>
        <w:t xml:space="preserve">) VII.38; XIV.214; XVI.31, 57s., 92 </w:t>
      </w:r>
    </w:p>
    <w:p w14:paraId="6B326DE1" w14:textId="77777777" w:rsidR="00597DE2" w:rsidRPr="005B6D62" w:rsidRDefault="00597DE2" w:rsidP="00597DE2">
      <w:pPr>
        <w:pStyle w:val="ParrafoApendice"/>
        <w:rPr>
          <w:lang w:val="es-PE"/>
        </w:rPr>
      </w:pPr>
      <w:r>
        <w:rPr>
          <w:lang w:val="es-PE"/>
        </w:rPr>
        <w:t>agua</w:t>
      </w:r>
      <w:r w:rsidRPr="005B6D62">
        <w:rPr>
          <w:lang w:val="es-PE"/>
        </w:rPr>
        <w:t xml:space="preserve"> (</w:t>
      </w:r>
      <w:proofErr w:type="spellStart"/>
      <w:r w:rsidRPr="00AB7DF9">
        <w:rPr>
          <w:i/>
          <w:iCs/>
          <w:lang w:val="es-PE"/>
        </w:rPr>
        <w:t>udaka</w:t>
      </w:r>
      <w:proofErr w:type="spellEnd"/>
      <w:r w:rsidRPr="005B6D62">
        <w:rPr>
          <w:lang w:val="es-PE"/>
        </w:rPr>
        <w:t xml:space="preserve">) XIII.43, </w:t>
      </w:r>
      <w:r w:rsidRPr="00597E41">
        <w:rPr>
          <w:color w:val="833C0B" w:themeColor="accent2" w:themeShade="80"/>
          <w:lang w:val="es-PE"/>
        </w:rPr>
        <w:t>65</w:t>
      </w:r>
      <w:r w:rsidRPr="005B6D62">
        <w:rPr>
          <w:lang w:val="es-PE"/>
        </w:rPr>
        <w:t>; (</w:t>
      </w:r>
      <w:proofErr w:type="spellStart"/>
      <w:r w:rsidRPr="0026014C">
        <w:rPr>
          <w:i/>
          <w:iCs/>
          <w:lang w:val="es-PE"/>
        </w:rPr>
        <w:t>āpo</w:t>
      </w:r>
      <w:proofErr w:type="spellEnd"/>
      <w:r w:rsidRPr="005B6D62">
        <w:rPr>
          <w:lang w:val="es-PE"/>
        </w:rPr>
        <w:t xml:space="preserve">) XI.35, 41, 87; XIII.30, 56; XIV.35, 73, n.32; </w:t>
      </w:r>
      <w:r w:rsidRPr="0043257B">
        <w:rPr>
          <w:i/>
          <w:iCs/>
          <w:lang w:val="es-PE"/>
        </w:rPr>
        <w:t>elemento agua</w:t>
      </w:r>
      <w:r w:rsidRPr="005B6D62">
        <w:rPr>
          <w:lang w:val="es-PE"/>
        </w:rPr>
        <w:t xml:space="preserve"> (</w:t>
      </w:r>
      <w:proofErr w:type="spellStart"/>
      <w:r w:rsidRPr="0043257B">
        <w:rPr>
          <w:i/>
          <w:iCs/>
          <w:lang w:val="es-PE"/>
        </w:rPr>
        <w:t>āpo</w:t>
      </w:r>
      <w:proofErr w:type="spellEnd"/>
      <w:r w:rsidRPr="0043257B">
        <w:rPr>
          <w:i/>
          <w:iCs/>
          <w:lang w:val="es-PE"/>
        </w:rPr>
        <w:t>–</w:t>
      </w:r>
      <w:proofErr w:type="spellStart"/>
      <w:r w:rsidRPr="0043257B">
        <w:rPr>
          <w:i/>
          <w:iCs/>
          <w:lang w:val="es-PE"/>
        </w:rPr>
        <w:t>dhātu</w:t>
      </w:r>
      <w:proofErr w:type="spellEnd"/>
      <w:r w:rsidRPr="005B6D62">
        <w:rPr>
          <w:lang w:val="es-PE"/>
        </w:rPr>
        <w:t>) XI.28</w:t>
      </w:r>
      <w:r>
        <w:rPr>
          <w:lang w:val="es-PE"/>
        </w:rPr>
        <w:t>s</w:t>
      </w:r>
      <w:r w:rsidRPr="005B6D62">
        <w:rPr>
          <w:lang w:val="es-PE"/>
        </w:rPr>
        <w:t xml:space="preserve">., </w:t>
      </w:r>
      <w:r w:rsidRPr="004667FA">
        <w:rPr>
          <w:color w:val="833C0B" w:themeColor="accent2" w:themeShade="80"/>
          <w:lang w:val="es-PE"/>
        </w:rPr>
        <w:t>88</w:t>
      </w:r>
      <w:r>
        <w:rPr>
          <w:lang w:val="es-PE"/>
        </w:rPr>
        <w:t>s</w:t>
      </w:r>
      <w:r w:rsidRPr="005B6D62">
        <w:rPr>
          <w:lang w:val="es-PE"/>
        </w:rPr>
        <w:t xml:space="preserve">.; </w:t>
      </w:r>
      <w:proofErr w:type="spellStart"/>
      <w:r>
        <w:rPr>
          <w:i/>
          <w:iCs/>
          <w:lang w:val="es-PE"/>
        </w:rPr>
        <w:t>kasiṇa</w:t>
      </w:r>
      <w:proofErr w:type="spellEnd"/>
      <w:r>
        <w:rPr>
          <w:i/>
          <w:iCs/>
          <w:lang w:val="es-PE"/>
        </w:rPr>
        <w:t xml:space="preserve"> agua</w:t>
      </w:r>
      <w:r w:rsidRPr="005B6D62">
        <w:rPr>
          <w:lang w:val="es-PE"/>
        </w:rPr>
        <w:t>, (</w:t>
      </w:r>
      <w:proofErr w:type="spellStart"/>
      <w:r w:rsidRPr="00451FA9">
        <w:rPr>
          <w:i/>
          <w:iCs/>
          <w:lang w:val="es-PE"/>
        </w:rPr>
        <w:t>āpo</w:t>
      </w:r>
      <w:proofErr w:type="spellEnd"/>
      <w:r w:rsidRPr="00451FA9">
        <w:rPr>
          <w:i/>
          <w:iCs/>
          <w:lang w:val="es-PE"/>
        </w:rPr>
        <w:t>–</w:t>
      </w:r>
      <w:proofErr w:type="spellStart"/>
      <w:r w:rsidRPr="00451FA9">
        <w:rPr>
          <w:i/>
          <w:iCs/>
          <w:lang w:val="es-PE"/>
        </w:rPr>
        <w:t>kasiṇa</w:t>
      </w:r>
      <w:proofErr w:type="spellEnd"/>
      <w:r w:rsidRPr="005B6D62">
        <w:rPr>
          <w:lang w:val="es-PE"/>
        </w:rPr>
        <w:t xml:space="preserve">) III.105; V.1; XII.92 </w:t>
      </w:r>
    </w:p>
    <w:p w14:paraId="08AE53B7" w14:textId="77777777" w:rsidR="00597DE2" w:rsidRPr="005B6D62" w:rsidRDefault="00597DE2" w:rsidP="00597DE2">
      <w:pPr>
        <w:pStyle w:val="ParrafoApendice"/>
        <w:rPr>
          <w:lang w:val="es-PE"/>
        </w:rPr>
      </w:pPr>
      <w:r w:rsidRPr="005B6D62">
        <w:rPr>
          <w:lang w:val="es-PE"/>
        </w:rPr>
        <w:t>aire (</w:t>
      </w:r>
      <w:proofErr w:type="spellStart"/>
      <w:r w:rsidRPr="005B6D62">
        <w:rPr>
          <w:i/>
          <w:iCs/>
          <w:lang w:val="es-PE"/>
        </w:rPr>
        <w:t>vāta</w:t>
      </w:r>
      <w:proofErr w:type="spellEnd"/>
      <w:r w:rsidRPr="005B6D62">
        <w:rPr>
          <w:lang w:val="es-PE"/>
        </w:rPr>
        <w:t>) VIII.182; XIII.</w:t>
      </w:r>
      <w:r w:rsidRPr="005B6D62">
        <w:rPr>
          <w:color w:val="833C0B" w:themeColor="accent2" w:themeShade="80"/>
          <w:u w:color="000000"/>
          <w:lang w:val="es-PE"/>
        </w:rPr>
        <w:t>43</w:t>
      </w:r>
      <w:r w:rsidRPr="005B6D62">
        <w:rPr>
          <w:lang w:val="es-PE"/>
        </w:rPr>
        <w:t>; a. (</w:t>
      </w:r>
      <w:proofErr w:type="spellStart"/>
      <w:r w:rsidRPr="005B6D62">
        <w:rPr>
          <w:i/>
          <w:iCs/>
          <w:lang w:val="es-PE"/>
        </w:rPr>
        <w:t>vāyo</w:t>
      </w:r>
      <w:proofErr w:type="spellEnd"/>
      <w:r w:rsidRPr="005B6D62">
        <w:rPr>
          <w:lang w:val="es-PE"/>
        </w:rPr>
        <w:t>) XIII.30, 59; XIV.35s.; XV.39; elemento a. (</w:t>
      </w:r>
      <w:proofErr w:type="spellStart"/>
      <w:r w:rsidRPr="005B6D62">
        <w:rPr>
          <w:i/>
          <w:iCs/>
          <w:lang w:val="es-PE"/>
        </w:rPr>
        <w:t>vāyo</w:t>
      </w:r>
      <w:proofErr w:type="spellEnd"/>
      <w:r w:rsidRPr="005B6D62">
        <w:rPr>
          <w:i/>
          <w:iCs/>
          <w:lang w:val="es-PE"/>
        </w:rPr>
        <w:t>–</w:t>
      </w:r>
      <w:proofErr w:type="spellStart"/>
      <w:r w:rsidRPr="005B6D62">
        <w:rPr>
          <w:i/>
          <w:iCs/>
          <w:lang w:val="es-PE"/>
        </w:rPr>
        <w:t>dhātu</w:t>
      </w:r>
      <w:proofErr w:type="spellEnd"/>
      <w:r w:rsidRPr="005B6D62">
        <w:rPr>
          <w:lang w:val="es-PE"/>
        </w:rPr>
        <w:t>) XI.</w:t>
      </w:r>
      <w:r w:rsidRPr="005B6D62">
        <w:rPr>
          <w:color w:val="833C0B" w:themeColor="accent2" w:themeShade="80"/>
          <w:u w:color="000000"/>
          <w:lang w:val="es-PE"/>
        </w:rPr>
        <w:t>28s., 37, 41, 87 (no hay);</w:t>
      </w:r>
      <w:r w:rsidRPr="005B6D62">
        <w:rPr>
          <w:lang w:val="es-PE"/>
        </w:rPr>
        <w:t xml:space="preserve"> XIV.35, 61, n.27, n.32; XV.30; </w:t>
      </w:r>
      <w:proofErr w:type="spellStart"/>
      <w:r w:rsidRPr="005B6D62">
        <w:rPr>
          <w:i/>
          <w:iCs/>
          <w:lang w:val="es-PE"/>
        </w:rPr>
        <w:t>kasiṇa</w:t>
      </w:r>
      <w:proofErr w:type="spellEnd"/>
      <w:r w:rsidRPr="005B6D62">
        <w:rPr>
          <w:lang w:val="es-PE"/>
        </w:rPr>
        <w:t xml:space="preserve"> a. (</w:t>
      </w:r>
      <w:proofErr w:type="spellStart"/>
      <w:r w:rsidRPr="005B6D62">
        <w:rPr>
          <w:i/>
          <w:iCs/>
          <w:lang w:val="es-PE"/>
        </w:rPr>
        <w:t>vāyo</w:t>
      </w:r>
      <w:proofErr w:type="spellEnd"/>
      <w:r w:rsidRPr="005B6D62">
        <w:rPr>
          <w:i/>
          <w:iCs/>
          <w:lang w:val="es-PE"/>
        </w:rPr>
        <w:t>–</w:t>
      </w:r>
      <w:proofErr w:type="spellStart"/>
      <w:r w:rsidRPr="005B6D62">
        <w:rPr>
          <w:i/>
          <w:iCs/>
          <w:lang w:val="es-PE"/>
        </w:rPr>
        <w:t>kasiṇa</w:t>
      </w:r>
      <w:proofErr w:type="spellEnd"/>
      <w:r w:rsidRPr="005B6D62">
        <w:rPr>
          <w:lang w:val="es-PE"/>
        </w:rPr>
        <w:t>) III.105; XII.132; XIII.35</w:t>
      </w:r>
    </w:p>
    <w:p w14:paraId="22CE5A71" w14:textId="77777777" w:rsidR="00597DE2" w:rsidRPr="005B6D62" w:rsidRDefault="00597DE2" w:rsidP="00597DE2">
      <w:pPr>
        <w:pStyle w:val="ParrafoApendice"/>
        <w:rPr>
          <w:lang w:val="es-PE"/>
        </w:rPr>
      </w:pPr>
      <w:proofErr w:type="spellStart"/>
      <w:r w:rsidRPr="005B6D62">
        <w:rPr>
          <w:i/>
          <w:iCs/>
          <w:lang w:val="es-PE"/>
        </w:rPr>
        <w:t>Akaniṭṭha</w:t>
      </w:r>
      <w:proofErr w:type="spellEnd"/>
      <w:r w:rsidRPr="005B6D62">
        <w:rPr>
          <w:lang w:val="es-PE"/>
        </w:rPr>
        <w:t xml:space="preserve"> Dioses (Supremos) XII.78; XIV.193; XXIII.56s.; </w:t>
      </w:r>
      <w:proofErr w:type="spellStart"/>
      <w:r w:rsidRPr="005B6D62">
        <w:rPr>
          <w:i/>
          <w:iCs/>
          <w:lang w:val="es-PE"/>
        </w:rPr>
        <w:t>akaniṭṭhagāmin</w:t>
      </w:r>
      <w:proofErr w:type="spellEnd"/>
      <w:r w:rsidRPr="005B6D62">
        <w:rPr>
          <w:lang w:val="es-PE"/>
        </w:rPr>
        <w:t xml:space="preserve"> XXIII.56</w:t>
      </w:r>
    </w:p>
    <w:p w14:paraId="6170550D" w14:textId="77777777" w:rsidR="00597DE2" w:rsidRPr="005B6D62" w:rsidRDefault="00597DE2" w:rsidP="00597DE2">
      <w:pPr>
        <w:pStyle w:val="ParrafoApendice"/>
        <w:rPr>
          <w:lang w:val="es-PE"/>
        </w:rPr>
      </w:pPr>
      <w:proofErr w:type="spellStart"/>
      <w:r w:rsidRPr="005B6D62">
        <w:rPr>
          <w:lang w:val="es-PE"/>
        </w:rPr>
        <w:t>Ākāsacetiya</w:t>
      </w:r>
      <w:proofErr w:type="spellEnd"/>
      <w:r w:rsidRPr="005B6D62">
        <w:rPr>
          <w:lang w:val="es-PE"/>
        </w:rPr>
        <w:t xml:space="preserve"> (el santuario) IV.96 </w:t>
      </w:r>
    </w:p>
    <w:p w14:paraId="2D7BAFD0" w14:textId="77777777" w:rsidR="00597DE2" w:rsidRPr="005B6D62" w:rsidRDefault="00597DE2" w:rsidP="00597DE2">
      <w:pPr>
        <w:pStyle w:val="ParrafoApendice"/>
        <w:rPr>
          <w:lang w:val="es-PE"/>
        </w:rPr>
      </w:pPr>
      <w:proofErr w:type="spellStart"/>
      <w:r w:rsidRPr="005B6D62">
        <w:rPr>
          <w:lang w:val="es-PE"/>
        </w:rPr>
        <w:t>Āḷāra</w:t>
      </w:r>
      <w:proofErr w:type="spellEnd"/>
      <w:r w:rsidRPr="005B6D62">
        <w:rPr>
          <w:lang w:val="es-PE"/>
        </w:rPr>
        <w:t xml:space="preserve"> Kālāma X.19 </w:t>
      </w:r>
    </w:p>
    <w:p w14:paraId="7D147B1A" w14:textId="77777777" w:rsidR="00597DE2" w:rsidRPr="007B2A8B" w:rsidRDefault="00597DE2" w:rsidP="00597DE2">
      <w:pPr>
        <w:pStyle w:val="ParrafoApendice"/>
        <w:rPr>
          <w:lang w:val="es-PE"/>
        </w:rPr>
      </w:pPr>
      <w:r>
        <w:rPr>
          <w:lang w:val="es-PE"/>
        </w:rPr>
        <w:t>a</w:t>
      </w:r>
      <w:r w:rsidRPr="007B2A8B">
        <w:rPr>
          <w:lang w:val="es-PE"/>
        </w:rPr>
        <w:t xml:space="preserve">ldea, </w:t>
      </w:r>
      <w:r>
        <w:rPr>
          <w:lang w:val="es-PE"/>
        </w:rPr>
        <w:t xml:space="preserve">pueblo, </w:t>
      </w:r>
      <w:r w:rsidRPr="007B2A8B">
        <w:rPr>
          <w:lang w:val="es-PE"/>
        </w:rPr>
        <w:t>(</w:t>
      </w:r>
      <w:proofErr w:type="spellStart"/>
      <w:r w:rsidRPr="007B2A8B">
        <w:rPr>
          <w:i/>
          <w:iCs/>
          <w:lang w:val="es-PE"/>
        </w:rPr>
        <w:t>gāma</w:t>
      </w:r>
      <w:proofErr w:type="spellEnd"/>
      <w:r w:rsidRPr="007B2A8B">
        <w:rPr>
          <w:lang w:val="es-PE"/>
        </w:rPr>
        <w:t xml:space="preserve">) II.48; VIII.158 </w:t>
      </w:r>
    </w:p>
    <w:p w14:paraId="15C38BA9" w14:textId="77777777" w:rsidR="00597DE2" w:rsidRPr="005B6D62" w:rsidRDefault="00597DE2" w:rsidP="00597DE2">
      <w:pPr>
        <w:pStyle w:val="ParrafoApendice"/>
        <w:rPr>
          <w:lang w:val="es-PE"/>
        </w:rPr>
      </w:pPr>
      <w:r w:rsidRPr="005B6D62">
        <w:rPr>
          <w:lang w:val="es-PE"/>
        </w:rPr>
        <w:t>alegría (</w:t>
      </w:r>
      <w:proofErr w:type="spellStart"/>
      <w:r w:rsidRPr="005B6D62">
        <w:rPr>
          <w:i/>
          <w:iCs/>
          <w:lang w:val="es-PE"/>
        </w:rPr>
        <w:t>pahāsa</w:t>
      </w:r>
      <w:proofErr w:type="spellEnd"/>
      <w:r w:rsidRPr="005B6D62">
        <w:rPr>
          <w:lang w:val="es-PE"/>
        </w:rPr>
        <w:t>) IX.95</w:t>
      </w:r>
    </w:p>
    <w:p w14:paraId="09D18593" w14:textId="77777777" w:rsidR="00597DE2" w:rsidRPr="005B6D62" w:rsidRDefault="00597DE2" w:rsidP="00597DE2">
      <w:pPr>
        <w:pStyle w:val="ParrafoApendice"/>
        <w:rPr>
          <w:lang w:val="es-PE"/>
        </w:rPr>
      </w:pPr>
      <w:r w:rsidRPr="005B6D62">
        <w:rPr>
          <w:lang w:val="es-PE"/>
        </w:rPr>
        <w:t>alegría (</w:t>
      </w:r>
      <w:proofErr w:type="spellStart"/>
      <w:r w:rsidRPr="005B6D62">
        <w:rPr>
          <w:i/>
          <w:iCs/>
          <w:lang w:val="es-PE"/>
        </w:rPr>
        <w:t>pāmujja</w:t>
      </w:r>
      <w:proofErr w:type="spellEnd"/>
      <w:r w:rsidRPr="005B6D62">
        <w:rPr>
          <w:lang w:val="es-PE"/>
        </w:rPr>
        <w:t xml:space="preserve">) I.32, 140 </w:t>
      </w:r>
    </w:p>
    <w:p w14:paraId="45FE0E33" w14:textId="77777777" w:rsidR="00597DE2" w:rsidRPr="005B6D62" w:rsidRDefault="00597DE2" w:rsidP="00597DE2">
      <w:pPr>
        <w:pStyle w:val="ParrafoApendice"/>
        <w:rPr>
          <w:lang w:val="es-PE"/>
        </w:rPr>
      </w:pPr>
      <w:r w:rsidRPr="005B6D62">
        <w:rPr>
          <w:lang w:val="es-PE"/>
        </w:rPr>
        <w:t>alegría altruista (</w:t>
      </w:r>
      <w:proofErr w:type="spellStart"/>
      <w:r w:rsidRPr="005B6D62">
        <w:rPr>
          <w:i/>
          <w:iCs/>
          <w:lang w:val="es-PE"/>
        </w:rPr>
        <w:t>muditā</w:t>
      </w:r>
      <w:proofErr w:type="spellEnd"/>
      <w:r w:rsidRPr="005B6D62">
        <w:rPr>
          <w:lang w:val="es-PE"/>
        </w:rPr>
        <w:t xml:space="preserve">) III.105s.; VII.18; IX.84s., 95, 100, 119, 122; XIV.133, 154s., 181 </w:t>
      </w:r>
    </w:p>
    <w:p w14:paraId="3E73A467" w14:textId="77777777" w:rsidR="00597DE2" w:rsidRPr="00575852" w:rsidRDefault="00597DE2" w:rsidP="00597DE2">
      <w:pPr>
        <w:pStyle w:val="ParrafoApendice"/>
        <w:rPr>
          <w:lang w:val="es-PE"/>
        </w:rPr>
      </w:pPr>
      <w:r w:rsidRPr="0049246F">
        <w:rPr>
          <w:lang w:val="es-PE"/>
        </w:rPr>
        <w:t>alimentos duros (</w:t>
      </w:r>
      <w:proofErr w:type="spellStart"/>
      <w:r w:rsidRPr="00D548B4">
        <w:rPr>
          <w:i/>
          <w:iCs/>
          <w:lang w:val="es-PE"/>
        </w:rPr>
        <w:t>kabaliṅkārāhāra</w:t>
      </w:r>
      <w:proofErr w:type="spellEnd"/>
      <w:r w:rsidRPr="0049246F">
        <w:rPr>
          <w:lang w:val="es-PE"/>
        </w:rPr>
        <w:t xml:space="preserve">), </w:t>
      </w:r>
      <w:r>
        <w:rPr>
          <w:lang w:val="es-PE"/>
        </w:rPr>
        <w:t xml:space="preserve">ver </w:t>
      </w:r>
      <w:r w:rsidRPr="0049246F">
        <w:rPr>
          <w:i/>
          <w:iCs/>
          <w:lang w:val="es-PE"/>
        </w:rPr>
        <w:t>nutrimento físico</w:t>
      </w:r>
      <w:r>
        <w:rPr>
          <w:lang w:val="es-PE"/>
        </w:rPr>
        <w:t xml:space="preserve"> </w:t>
      </w:r>
    </w:p>
    <w:p w14:paraId="7576D024" w14:textId="77777777" w:rsidR="00597DE2" w:rsidRPr="00AA7FEE" w:rsidRDefault="00597DE2" w:rsidP="00597DE2">
      <w:pPr>
        <w:pStyle w:val="ParrafoApendice"/>
        <w:rPr>
          <w:lang w:val="es-PE"/>
        </w:rPr>
      </w:pPr>
      <w:r>
        <w:rPr>
          <w:lang w:val="es-PE"/>
        </w:rPr>
        <w:t>alma</w:t>
      </w:r>
      <w:r w:rsidRPr="00AA7FEE">
        <w:rPr>
          <w:lang w:val="es-PE"/>
        </w:rPr>
        <w:t xml:space="preserve"> (</w:t>
      </w:r>
      <w:proofErr w:type="spellStart"/>
      <w:r w:rsidRPr="00624C8D">
        <w:rPr>
          <w:i/>
          <w:iCs/>
          <w:lang w:val="es-PE"/>
        </w:rPr>
        <w:t>attā</w:t>
      </w:r>
      <w:proofErr w:type="spellEnd"/>
      <w:r w:rsidRPr="00AA7FEE">
        <w:rPr>
          <w:lang w:val="es-PE"/>
        </w:rPr>
        <w:t xml:space="preserve">) I.34, 93, 140; VIII.233, n.65; IX.10, 47, 54, </w:t>
      </w:r>
      <w:r w:rsidRPr="005C627B">
        <w:rPr>
          <w:strike/>
          <w:color w:val="833C0B" w:themeColor="accent2" w:themeShade="80"/>
          <w:lang w:val="es-PE"/>
        </w:rPr>
        <w:t>n.6</w:t>
      </w:r>
      <w:r w:rsidRPr="00AA7FEE">
        <w:rPr>
          <w:lang w:val="es-PE"/>
        </w:rPr>
        <w:t xml:space="preserve">; XI.32, </w:t>
      </w:r>
      <w:r w:rsidRPr="00BC32F8">
        <w:rPr>
          <w:color w:val="833C0B" w:themeColor="accent2" w:themeShade="80"/>
          <w:lang w:val="es-PE"/>
        </w:rPr>
        <w:t>n.22</w:t>
      </w:r>
      <w:r w:rsidRPr="00AA7FEE">
        <w:rPr>
          <w:lang w:val="es-PE"/>
        </w:rPr>
        <w:t>, n.29; XIV.213, 216, 228; XV.21, 40; XVI.16, 24, 85, 90, n.25; XVII.116</w:t>
      </w:r>
      <w:r w:rsidRPr="008707A3">
        <w:rPr>
          <w:color w:val="833C0B" w:themeColor="accent2" w:themeShade="80"/>
          <w:lang w:val="es-PE"/>
        </w:rPr>
        <w:t>s.</w:t>
      </w:r>
      <w:r w:rsidRPr="00AA7FEE">
        <w:rPr>
          <w:lang w:val="es-PE"/>
        </w:rPr>
        <w:t xml:space="preserve">, 282, </w:t>
      </w:r>
      <w:r w:rsidRPr="00861D8D">
        <w:rPr>
          <w:color w:val="833C0B" w:themeColor="accent2" w:themeShade="80"/>
          <w:lang w:val="es-PE"/>
        </w:rPr>
        <w:t>302s</w:t>
      </w:r>
      <w:r w:rsidRPr="00742F8B">
        <w:rPr>
          <w:color w:val="833C0B" w:themeColor="accent2" w:themeShade="80"/>
          <w:lang w:val="es-PE"/>
        </w:rPr>
        <w:t>.</w:t>
      </w:r>
      <w:r w:rsidRPr="00AA7FEE">
        <w:rPr>
          <w:lang w:val="es-PE"/>
        </w:rPr>
        <w:t>, 312; XVIII.n.9; XX.16, 84, 90, 126; XXI.53, 56, n.10; XXII.117</w:t>
      </w:r>
      <w:r>
        <w:rPr>
          <w:lang w:val="es-PE"/>
        </w:rPr>
        <w:t>s</w:t>
      </w:r>
      <w:r w:rsidRPr="00AA7FEE">
        <w:rPr>
          <w:lang w:val="es-PE"/>
        </w:rPr>
        <w:t>.</w:t>
      </w:r>
      <w:r>
        <w:rPr>
          <w:lang w:val="es-PE"/>
        </w:rPr>
        <w:br w:type="column"/>
      </w:r>
    </w:p>
    <w:p w14:paraId="6A1BF547" w14:textId="77777777" w:rsidR="00597DE2" w:rsidRPr="00291B88" w:rsidRDefault="00597DE2" w:rsidP="00597DE2">
      <w:pPr>
        <w:pStyle w:val="ParrafoApendice"/>
        <w:rPr>
          <w:lang w:val="es-PE"/>
        </w:rPr>
      </w:pPr>
      <w:r w:rsidRPr="00291B88">
        <w:rPr>
          <w:lang w:val="es-PE"/>
        </w:rPr>
        <w:t>alma (</w:t>
      </w:r>
      <w:proofErr w:type="spellStart"/>
      <w:r w:rsidRPr="00291B88">
        <w:rPr>
          <w:i/>
          <w:iCs/>
          <w:lang w:val="es-PE"/>
        </w:rPr>
        <w:t>jīva</w:t>
      </w:r>
      <w:proofErr w:type="spellEnd"/>
      <w:r w:rsidRPr="00291B88">
        <w:rPr>
          <w:lang w:val="es-PE"/>
        </w:rPr>
        <w:t xml:space="preserve">) IV.143; VII.n.1; XV.22, 32; XVII.n.9 </w:t>
      </w:r>
    </w:p>
    <w:p w14:paraId="4D9D9CE7" w14:textId="77777777" w:rsidR="00597DE2" w:rsidRPr="005B6D62" w:rsidRDefault="00597DE2" w:rsidP="00597DE2">
      <w:pPr>
        <w:pStyle w:val="ParrafoApendice"/>
        <w:rPr>
          <w:lang w:val="es-PE"/>
        </w:rPr>
      </w:pPr>
      <w:r w:rsidRPr="005B6D62">
        <w:rPr>
          <w:lang w:val="es-PE"/>
        </w:rPr>
        <w:t>alterabilidad, alteración (</w:t>
      </w:r>
      <w:proofErr w:type="spellStart"/>
      <w:r w:rsidRPr="005B6D62">
        <w:rPr>
          <w:i/>
          <w:iCs/>
          <w:lang w:val="es-PE"/>
        </w:rPr>
        <w:t>vikāra</w:t>
      </w:r>
      <w:proofErr w:type="spellEnd"/>
      <w:r w:rsidRPr="005B6D62">
        <w:rPr>
          <w:lang w:val="es-PE"/>
        </w:rPr>
        <w:t>) XIII.112; XIV.65, 77; XVII.14</w:t>
      </w:r>
    </w:p>
    <w:p w14:paraId="32992A47" w14:textId="77777777" w:rsidR="00597DE2" w:rsidRPr="005B6D62" w:rsidRDefault="00597DE2" w:rsidP="00597DE2">
      <w:pPr>
        <w:pStyle w:val="ParrafoApendice"/>
        <w:rPr>
          <w:lang w:val="es-PE"/>
        </w:rPr>
      </w:pPr>
      <w:r w:rsidRPr="005B6D62">
        <w:rPr>
          <w:lang w:val="es-PE"/>
        </w:rPr>
        <w:t>amigo (</w:t>
      </w:r>
      <w:proofErr w:type="spellStart"/>
      <w:r w:rsidRPr="005B6D62">
        <w:rPr>
          <w:i/>
          <w:iCs/>
          <w:lang w:val="es-PE"/>
        </w:rPr>
        <w:t>mitta</w:t>
      </w:r>
      <w:proofErr w:type="spellEnd"/>
      <w:r w:rsidRPr="005B6D62">
        <w:rPr>
          <w:lang w:val="es-PE"/>
        </w:rPr>
        <w:t xml:space="preserve">) 149; III.61s., 95 </w:t>
      </w:r>
    </w:p>
    <w:p w14:paraId="38F7AFE6" w14:textId="77777777" w:rsidR="00597DE2" w:rsidRPr="005B6D62" w:rsidRDefault="00597DE2" w:rsidP="00597DE2">
      <w:pPr>
        <w:pStyle w:val="ParrafoApendice"/>
        <w:rPr>
          <w:lang w:val="es-PE"/>
        </w:rPr>
      </w:pPr>
      <w:r w:rsidRPr="005B6D62">
        <w:rPr>
          <w:lang w:val="es-PE"/>
        </w:rPr>
        <w:t>amor-benevolente (</w:t>
      </w:r>
      <w:r w:rsidRPr="005B6D62">
        <w:rPr>
          <w:i/>
          <w:iCs/>
          <w:lang w:val="es-PE"/>
        </w:rPr>
        <w:t>mettā</w:t>
      </w:r>
      <w:r w:rsidRPr="005B6D62">
        <w:rPr>
          <w:lang w:val="es-PE"/>
        </w:rPr>
        <w:t xml:space="preserve">) III.57s., 105s., 122; VII.18, 28; IX.1s., 92s., 98, 119s.; XII.34, 37; XIII.34; XIV.154 </w:t>
      </w:r>
    </w:p>
    <w:p w14:paraId="1123D6AF" w14:textId="77777777" w:rsidR="00597DE2" w:rsidRPr="005B6D62" w:rsidRDefault="00597DE2" w:rsidP="00597DE2">
      <w:pPr>
        <w:pStyle w:val="ParrafoApendice"/>
        <w:rPr>
          <w:lang w:val="es-PE"/>
        </w:rPr>
      </w:pPr>
      <w:r w:rsidRPr="005B6D62">
        <w:rPr>
          <w:lang w:val="es-PE"/>
        </w:rPr>
        <w:t xml:space="preserve">Ānanda </w:t>
      </w:r>
      <w:proofErr w:type="spellStart"/>
      <w:r w:rsidRPr="005B6D62">
        <w:rPr>
          <w:lang w:val="es-PE"/>
        </w:rPr>
        <w:t>Thera</w:t>
      </w:r>
      <w:proofErr w:type="spellEnd"/>
      <w:r w:rsidRPr="005B6D62">
        <w:rPr>
          <w:lang w:val="es-PE"/>
        </w:rPr>
        <w:t xml:space="preserve"> I.103; XIV.27 </w:t>
      </w:r>
    </w:p>
    <w:p w14:paraId="26EFC008" w14:textId="77777777" w:rsidR="00597DE2" w:rsidRPr="005B6D62" w:rsidRDefault="00597DE2" w:rsidP="00597DE2">
      <w:pPr>
        <w:pStyle w:val="ParrafoApendice"/>
        <w:rPr>
          <w:lang w:val="es-PE"/>
        </w:rPr>
      </w:pPr>
      <w:proofErr w:type="spellStart"/>
      <w:r w:rsidRPr="005B6D62">
        <w:rPr>
          <w:lang w:val="es-PE"/>
        </w:rPr>
        <w:t>Anāthapiṇḍika</w:t>
      </w:r>
      <w:proofErr w:type="spellEnd"/>
      <w:r w:rsidRPr="005B6D62">
        <w:rPr>
          <w:lang w:val="es-PE"/>
        </w:rPr>
        <w:t xml:space="preserve"> XII.74, 106</w:t>
      </w:r>
    </w:p>
    <w:p w14:paraId="56A6BF2F" w14:textId="77777777" w:rsidR="00597DE2" w:rsidRPr="005B6D62" w:rsidRDefault="00597DE2" w:rsidP="00597DE2">
      <w:pPr>
        <w:pStyle w:val="ParrafoApendice"/>
        <w:rPr>
          <w:lang w:val="es-PE"/>
        </w:rPr>
      </w:pPr>
      <w:proofErr w:type="spellStart"/>
      <w:r w:rsidRPr="005B6D62">
        <w:rPr>
          <w:lang w:val="es-PE"/>
        </w:rPr>
        <w:t>Anāthapiṇḍika</w:t>
      </w:r>
      <w:proofErr w:type="spellEnd"/>
      <w:r w:rsidRPr="005B6D62">
        <w:rPr>
          <w:lang w:val="es-PE"/>
        </w:rPr>
        <w:t xml:space="preserve">, </w:t>
      </w:r>
      <w:proofErr w:type="spellStart"/>
      <w:r w:rsidRPr="005B6D62">
        <w:rPr>
          <w:lang w:val="es-PE"/>
        </w:rPr>
        <w:t>Cūḷa</w:t>
      </w:r>
      <w:proofErr w:type="spellEnd"/>
      <w:r w:rsidRPr="005B6D62">
        <w:rPr>
          <w:lang w:val="es-PE"/>
        </w:rPr>
        <w:t xml:space="preserve"> XII.74 </w:t>
      </w:r>
    </w:p>
    <w:p w14:paraId="56014477" w14:textId="77777777" w:rsidR="00597DE2" w:rsidRPr="005B6D62" w:rsidRDefault="00597DE2" w:rsidP="00597DE2">
      <w:pPr>
        <w:pStyle w:val="ParrafoApendice"/>
        <w:rPr>
          <w:lang w:val="es-PE"/>
        </w:rPr>
      </w:pPr>
      <w:proofErr w:type="spellStart"/>
      <w:r w:rsidRPr="005B6D62">
        <w:rPr>
          <w:lang w:val="es-PE"/>
        </w:rPr>
        <w:t>Andhaka</w:t>
      </w:r>
      <w:proofErr w:type="spellEnd"/>
      <w:r w:rsidRPr="005B6D62">
        <w:rPr>
          <w:lang w:val="es-PE"/>
        </w:rPr>
        <w:t xml:space="preserve"> XXIII.n.1</w:t>
      </w:r>
    </w:p>
    <w:p w14:paraId="09AC73A2" w14:textId="77777777" w:rsidR="00597DE2" w:rsidRPr="005B6D62" w:rsidRDefault="00597DE2" w:rsidP="00597DE2">
      <w:pPr>
        <w:pStyle w:val="ParrafoApendice"/>
        <w:rPr>
          <w:lang w:val="es-PE"/>
        </w:rPr>
      </w:pPr>
      <w:r w:rsidRPr="005B6D62">
        <w:rPr>
          <w:lang w:val="es-PE"/>
        </w:rPr>
        <w:t xml:space="preserve">Aṅgulimāla </w:t>
      </w:r>
      <w:proofErr w:type="spellStart"/>
      <w:r w:rsidRPr="005B6D62">
        <w:rPr>
          <w:lang w:val="es-PE"/>
        </w:rPr>
        <w:t>Thera</w:t>
      </w:r>
      <w:proofErr w:type="spellEnd"/>
      <w:r w:rsidRPr="005B6D62">
        <w:rPr>
          <w:lang w:val="es-PE"/>
        </w:rPr>
        <w:t xml:space="preserve"> XII.125 </w:t>
      </w:r>
    </w:p>
    <w:p w14:paraId="37DCBEA1" w14:textId="77777777" w:rsidR="00597DE2" w:rsidRPr="005B6D62" w:rsidRDefault="00597DE2" w:rsidP="00597DE2">
      <w:pPr>
        <w:pStyle w:val="ParrafoApendice"/>
        <w:rPr>
          <w:lang w:val="es-PE"/>
        </w:rPr>
      </w:pPr>
      <w:proofErr w:type="spellStart"/>
      <w:r w:rsidRPr="005B6D62">
        <w:rPr>
          <w:lang w:val="es-PE"/>
        </w:rPr>
        <w:t>Anojā</w:t>
      </w:r>
      <w:proofErr w:type="spellEnd"/>
      <w:r w:rsidRPr="005B6D62">
        <w:rPr>
          <w:lang w:val="es-PE"/>
        </w:rPr>
        <w:t>–</w:t>
      </w:r>
      <w:proofErr w:type="spellStart"/>
      <w:r w:rsidRPr="005B6D62">
        <w:rPr>
          <w:lang w:val="es-PE"/>
        </w:rPr>
        <w:t>devī</w:t>
      </w:r>
      <w:proofErr w:type="spellEnd"/>
      <w:r w:rsidRPr="005B6D62">
        <w:rPr>
          <w:lang w:val="es-PE"/>
        </w:rPr>
        <w:t xml:space="preserve"> XII.82 </w:t>
      </w:r>
    </w:p>
    <w:p w14:paraId="2A8A09D8" w14:textId="77777777" w:rsidR="00597DE2" w:rsidRPr="005B6D62" w:rsidRDefault="00597DE2" w:rsidP="00597DE2">
      <w:pPr>
        <w:pStyle w:val="ParrafoApendice"/>
        <w:rPr>
          <w:u w:color="000000"/>
          <w:lang w:val="es-PE"/>
        </w:rPr>
      </w:pPr>
      <w:proofErr w:type="spellStart"/>
      <w:r w:rsidRPr="005B6D62">
        <w:rPr>
          <w:u w:color="000000"/>
          <w:lang w:val="es-PE"/>
        </w:rPr>
        <w:t>Anotatta</w:t>
      </w:r>
      <w:proofErr w:type="spellEnd"/>
      <w:r w:rsidRPr="005B6D62">
        <w:rPr>
          <w:u w:color="000000"/>
          <w:lang w:val="es-PE"/>
        </w:rPr>
        <w:t xml:space="preserve">, Lago XII.73; XIII.38 </w:t>
      </w:r>
    </w:p>
    <w:p w14:paraId="0CA877C4" w14:textId="77777777" w:rsidR="00597DE2" w:rsidRPr="005B6D62" w:rsidRDefault="00597DE2" w:rsidP="00597DE2">
      <w:pPr>
        <w:pStyle w:val="ParrafoApendice"/>
        <w:rPr>
          <w:lang w:val="es-PE"/>
        </w:rPr>
      </w:pPr>
      <w:proofErr w:type="spellStart"/>
      <w:r w:rsidRPr="005B6D62">
        <w:rPr>
          <w:i/>
          <w:iCs/>
          <w:lang w:val="es-PE"/>
        </w:rPr>
        <w:t>antarāparinibbāyin</w:t>
      </w:r>
      <w:proofErr w:type="spellEnd"/>
      <w:r w:rsidRPr="005B6D62">
        <w:rPr>
          <w:lang w:val="es-PE"/>
        </w:rPr>
        <w:t xml:space="preserve"> XXIII.56 </w:t>
      </w:r>
    </w:p>
    <w:p w14:paraId="36075AF1" w14:textId="77777777" w:rsidR="00597DE2" w:rsidRPr="005B6D62" w:rsidRDefault="00597DE2" w:rsidP="00597DE2">
      <w:pPr>
        <w:pStyle w:val="ParrafoApendice"/>
        <w:rPr>
          <w:lang w:val="es-PE"/>
        </w:rPr>
      </w:pPr>
      <w:r w:rsidRPr="005B6D62">
        <w:rPr>
          <w:lang w:val="es-PE"/>
        </w:rPr>
        <w:t xml:space="preserve">Anula </w:t>
      </w:r>
      <w:proofErr w:type="spellStart"/>
      <w:r w:rsidRPr="005B6D62">
        <w:rPr>
          <w:lang w:val="es-PE"/>
        </w:rPr>
        <w:t>Thera</w:t>
      </w:r>
      <w:proofErr w:type="spellEnd"/>
      <w:r w:rsidRPr="005B6D62">
        <w:rPr>
          <w:lang w:val="es-PE"/>
        </w:rPr>
        <w:t>, Mahā XII.128</w:t>
      </w:r>
    </w:p>
    <w:p w14:paraId="5338A6FE" w14:textId="77777777" w:rsidR="00597DE2" w:rsidRPr="005B6D62" w:rsidRDefault="00597DE2" w:rsidP="00597DE2">
      <w:pPr>
        <w:pStyle w:val="ParrafoApendice"/>
        <w:rPr>
          <w:lang w:val="es-PE"/>
        </w:rPr>
      </w:pPr>
      <w:proofErr w:type="spellStart"/>
      <w:r w:rsidRPr="005B6D62">
        <w:rPr>
          <w:lang w:val="es-PE"/>
        </w:rPr>
        <w:t>Anurādhapura</w:t>
      </w:r>
      <w:proofErr w:type="spellEnd"/>
      <w:r w:rsidRPr="005B6D62">
        <w:rPr>
          <w:lang w:val="es-PE"/>
        </w:rPr>
        <w:t xml:space="preserve"> I.55; II.48; III.31 </w:t>
      </w:r>
    </w:p>
    <w:p w14:paraId="3F6B3724" w14:textId="77777777" w:rsidR="00597DE2" w:rsidRPr="005B6D62" w:rsidRDefault="00597DE2" w:rsidP="00597DE2">
      <w:pPr>
        <w:pStyle w:val="ParrafoApendice"/>
        <w:rPr>
          <w:u w:color="000000"/>
          <w:lang w:val="es-PE"/>
        </w:rPr>
      </w:pPr>
      <w:proofErr w:type="spellStart"/>
      <w:r w:rsidRPr="005B6D62">
        <w:rPr>
          <w:u w:color="000000"/>
          <w:lang w:val="es-PE"/>
        </w:rPr>
        <w:t>Anuruddha</w:t>
      </w:r>
      <w:proofErr w:type="spellEnd"/>
      <w:r w:rsidRPr="005B6D62">
        <w:rPr>
          <w:u w:color="000000"/>
          <w:lang w:val="es-PE"/>
        </w:rPr>
        <w:t xml:space="preserve"> </w:t>
      </w:r>
      <w:proofErr w:type="spellStart"/>
      <w:r w:rsidRPr="005B6D62">
        <w:rPr>
          <w:u w:color="000000"/>
          <w:lang w:val="es-PE"/>
        </w:rPr>
        <w:t>Thera</w:t>
      </w:r>
      <w:proofErr w:type="spellEnd"/>
      <w:r w:rsidRPr="005B6D62">
        <w:rPr>
          <w:u w:color="000000"/>
          <w:lang w:val="es-PE"/>
        </w:rPr>
        <w:t xml:space="preserve"> II.18; XII.74 usuario–de cualquier–lecho (</w:t>
      </w:r>
      <w:proofErr w:type="spellStart"/>
      <w:r w:rsidRPr="005B6D62">
        <w:rPr>
          <w:i/>
          <w:iCs/>
          <w:u w:color="000000"/>
          <w:lang w:val="es-PE"/>
        </w:rPr>
        <w:t>yathāsanthatika</w:t>
      </w:r>
      <w:proofErr w:type="spellEnd"/>
      <w:r w:rsidRPr="005B6D62">
        <w:rPr>
          <w:u w:color="000000"/>
          <w:lang w:val="es-PE"/>
        </w:rPr>
        <w:t xml:space="preserve">) II.2s., 69 </w:t>
      </w:r>
    </w:p>
    <w:p w14:paraId="0F2F23E4" w14:textId="77777777" w:rsidR="00597DE2" w:rsidRPr="005B6D62" w:rsidRDefault="00597DE2" w:rsidP="00597DE2">
      <w:pPr>
        <w:pStyle w:val="ParrafoApendice"/>
        <w:rPr>
          <w:lang w:val="es-PE"/>
        </w:rPr>
      </w:pPr>
      <w:proofErr w:type="spellStart"/>
      <w:r w:rsidRPr="005B6D62">
        <w:rPr>
          <w:i/>
          <w:iCs/>
          <w:lang w:val="es-PE"/>
        </w:rPr>
        <w:t>Aparagoyāna</w:t>
      </w:r>
      <w:proofErr w:type="spellEnd"/>
      <w:r w:rsidRPr="005B6D62">
        <w:rPr>
          <w:lang w:val="es-PE"/>
        </w:rPr>
        <w:t xml:space="preserve"> VII.</w:t>
      </w:r>
      <w:r w:rsidRPr="005B6D62">
        <w:rPr>
          <w:color w:val="833C0B" w:themeColor="accent2" w:themeShade="80"/>
          <w:u w:color="000000"/>
          <w:lang w:val="es-PE"/>
        </w:rPr>
        <w:t xml:space="preserve">44 </w:t>
      </w:r>
    </w:p>
    <w:p w14:paraId="1E80A411" w14:textId="77777777" w:rsidR="00597DE2" w:rsidRPr="005B6D62" w:rsidRDefault="00597DE2" w:rsidP="00597DE2">
      <w:pPr>
        <w:pStyle w:val="ParrafoApendice"/>
        <w:rPr>
          <w:u w:color="000000"/>
          <w:lang w:val="es-PE"/>
        </w:rPr>
      </w:pPr>
      <w:r w:rsidRPr="005B6D62">
        <w:rPr>
          <w:u w:color="000000"/>
          <w:lang w:val="es-PE"/>
        </w:rPr>
        <w:t>apariencia de terror (</w:t>
      </w:r>
      <w:proofErr w:type="spellStart"/>
      <w:r w:rsidRPr="005B6D62">
        <w:rPr>
          <w:i/>
          <w:iCs/>
          <w:u w:color="000000"/>
          <w:lang w:val="es-PE"/>
        </w:rPr>
        <w:t>bhayatupaṭṭhāna</w:t>
      </w:r>
      <w:proofErr w:type="spellEnd"/>
      <w:r w:rsidRPr="005B6D62">
        <w:rPr>
          <w:u w:color="000000"/>
          <w:lang w:val="es-PE"/>
        </w:rPr>
        <w:t xml:space="preserve">) XXI.29s., 99, 131; XXII.120 </w:t>
      </w:r>
    </w:p>
    <w:p w14:paraId="4822E988" w14:textId="77777777" w:rsidR="00597DE2" w:rsidRPr="002C102E" w:rsidRDefault="00597DE2" w:rsidP="00597DE2">
      <w:pPr>
        <w:pStyle w:val="ParrafoApendice"/>
      </w:pPr>
      <w:proofErr w:type="spellStart"/>
      <w:r w:rsidRPr="002C102E">
        <w:t>apego</w:t>
      </w:r>
      <w:proofErr w:type="spellEnd"/>
      <w:r w:rsidRPr="002C102E">
        <w:t xml:space="preserve"> (</w:t>
      </w:r>
      <w:proofErr w:type="spellStart"/>
      <w:r w:rsidRPr="002C102E">
        <w:rPr>
          <w:i/>
          <w:iCs/>
        </w:rPr>
        <w:t>nikanti</w:t>
      </w:r>
      <w:proofErr w:type="spellEnd"/>
      <w:r w:rsidRPr="002C102E">
        <w:t xml:space="preserve">) X.6, </w:t>
      </w:r>
      <w:r w:rsidRPr="002C102E">
        <w:rPr>
          <w:color w:val="833C0B" w:themeColor="accent2" w:themeShade="80"/>
          <w:u w:color="000000"/>
        </w:rPr>
        <w:t>25,32,40</w:t>
      </w:r>
      <w:r w:rsidRPr="002C102E">
        <w:t xml:space="preserve">; XI. 3; XVII. </w:t>
      </w:r>
      <w:r w:rsidRPr="002C102E">
        <w:rPr>
          <w:color w:val="833C0B" w:themeColor="accent2" w:themeShade="80"/>
          <w:u w:color="000000"/>
        </w:rPr>
        <w:t>2, 30, 41s, 187,239s, 247s, 268s</w:t>
      </w:r>
      <w:r w:rsidRPr="002C102E">
        <w:t>, 292</w:t>
      </w:r>
      <w:r w:rsidRPr="002C102E">
        <w:rPr>
          <w:color w:val="833C0B" w:themeColor="accent2" w:themeShade="80"/>
          <w:u w:color="000000"/>
        </w:rPr>
        <w:t>s, 299s</w:t>
      </w:r>
      <w:r w:rsidRPr="002C102E">
        <w:t xml:space="preserve">; </w:t>
      </w:r>
      <w:r w:rsidRPr="002C102E">
        <w:rPr>
          <w:color w:val="833C0B" w:themeColor="accent2" w:themeShade="80"/>
          <w:u w:color="000000"/>
        </w:rPr>
        <w:t>XVIII. 7, 28</w:t>
      </w:r>
      <w:r w:rsidRPr="002C102E">
        <w:t xml:space="preserve">; XIX. </w:t>
      </w:r>
      <w:r w:rsidRPr="002C102E">
        <w:rPr>
          <w:color w:val="833C0B" w:themeColor="accent2" w:themeShade="80"/>
          <w:u w:color="000000"/>
        </w:rPr>
        <w:t>4, 9, 11,</w:t>
      </w:r>
      <w:r w:rsidRPr="002C102E">
        <w:t xml:space="preserve"> 13; XX. </w:t>
      </w:r>
      <w:r w:rsidRPr="002C102E">
        <w:rPr>
          <w:color w:val="833C0B" w:themeColor="accent2" w:themeShade="80"/>
          <w:u w:color="000000"/>
        </w:rPr>
        <w:t xml:space="preserve">4, 76, 90s, </w:t>
      </w:r>
      <w:r w:rsidRPr="002C102E">
        <w:t>82</w:t>
      </w:r>
      <w:r w:rsidRPr="002C102E">
        <w:rPr>
          <w:color w:val="833C0B" w:themeColor="accent2" w:themeShade="80"/>
          <w:u w:color="000000"/>
        </w:rPr>
        <w:t>s</w:t>
      </w:r>
      <w:r w:rsidRPr="002C102E">
        <w:t xml:space="preserve">, 122; XXI.28 </w:t>
      </w:r>
    </w:p>
    <w:p w14:paraId="7E65D993" w14:textId="77777777" w:rsidR="00597DE2" w:rsidRPr="006D0608" w:rsidRDefault="00597DE2" w:rsidP="00597DE2">
      <w:pPr>
        <w:pStyle w:val="ParrafoApendice"/>
      </w:pPr>
      <w:proofErr w:type="spellStart"/>
      <w:r w:rsidRPr="006D0608">
        <w:t>apego</w:t>
      </w:r>
      <w:proofErr w:type="spellEnd"/>
      <w:r w:rsidRPr="006D0608">
        <w:t xml:space="preserve"> (</w:t>
      </w:r>
      <w:proofErr w:type="spellStart"/>
      <w:r w:rsidRPr="006D0608">
        <w:rPr>
          <w:i/>
          <w:iCs/>
        </w:rPr>
        <w:t>upādāna</w:t>
      </w:r>
      <w:proofErr w:type="spellEnd"/>
      <w:r w:rsidRPr="006D0608">
        <w:t xml:space="preserve">) I.32; IV.87; VII.15s., 59, n.4; XIV.202, 214s., 225s.; XVII.2, 48, 51s, 239s., 292; XIX.4, 13; XXII.59, 72 </w:t>
      </w:r>
    </w:p>
    <w:p w14:paraId="2458CE12" w14:textId="77777777" w:rsidR="00597DE2" w:rsidRPr="005B6D62" w:rsidRDefault="00597DE2" w:rsidP="00597DE2">
      <w:pPr>
        <w:pStyle w:val="ParrafoApendice"/>
        <w:rPr>
          <w:u w:color="000000"/>
          <w:lang w:val="es-PE"/>
        </w:rPr>
      </w:pPr>
      <w:r w:rsidRPr="005B6D62">
        <w:rPr>
          <w:u w:color="000000"/>
          <w:lang w:val="es-PE"/>
        </w:rPr>
        <w:t>apelación (</w:t>
      </w:r>
      <w:proofErr w:type="spellStart"/>
      <w:r w:rsidRPr="005B6D62">
        <w:rPr>
          <w:i/>
          <w:iCs/>
          <w:u w:color="000000"/>
          <w:lang w:val="es-PE"/>
        </w:rPr>
        <w:t>paññatti</w:t>
      </w:r>
      <w:proofErr w:type="spellEnd"/>
      <w:r w:rsidRPr="005B6D62">
        <w:rPr>
          <w:u w:color="000000"/>
          <w:lang w:val="es-PE"/>
        </w:rPr>
        <w:t xml:space="preserve">), ver concepto </w:t>
      </w:r>
    </w:p>
    <w:p w14:paraId="7DE65124" w14:textId="77777777" w:rsidR="00597DE2" w:rsidRPr="005B6D62" w:rsidRDefault="00597DE2" w:rsidP="00597DE2">
      <w:pPr>
        <w:pStyle w:val="ParrafoApendice"/>
        <w:rPr>
          <w:lang w:val="es-PE"/>
        </w:rPr>
      </w:pPr>
      <w:r w:rsidRPr="005B6D62">
        <w:rPr>
          <w:lang w:val="es-PE"/>
        </w:rPr>
        <w:t>apertura (</w:t>
      </w:r>
      <w:r w:rsidRPr="005B6D62">
        <w:rPr>
          <w:i/>
          <w:iCs/>
          <w:lang w:val="es-PE"/>
        </w:rPr>
        <w:t>vivara</w:t>
      </w:r>
      <w:r w:rsidRPr="005B6D62">
        <w:rPr>
          <w:lang w:val="es-PE"/>
        </w:rPr>
        <w:t xml:space="preserve">) XIV.42, 63; XV.39 </w:t>
      </w:r>
    </w:p>
    <w:p w14:paraId="07C3D2A9" w14:textId="77777777" w:rsidR="00597DE2" w:rsidRPr="005B6D62" w:rsidRDefault="00597DE2" w:rsidP="00597DE2">
      <w:pPr>
        <w:pStyle w:val="ParrafoApendice"/>
        <w:rPr>
          <w:u w:color="000000"/>
          <w:lang w:val="es-PE"/>
        </w:rPr>
      </w:pPr>
      <w:r w:rsidRPr="005B6D62">
        <w:rPr>
          <w:u w:color="000000"/>
          <w:lang w:val="es-PE"/>
        </w:rPr>
        <w:t xml:space="preserve">aplicación </w:t>
      </w:r>
      <w:proofErr w:type="gramStart"/>
      <w:r w:rsidRPr="005B6D62">
        <w:rPr>
          <w:u w:color="000000"/>
          <w:lang w:val="es-PE"/>
        </w:rPr>
        <w:t>mental  (</w:t>
      </w:r>
      <w:proofErr w:type="spellStart"/>
      <w:proofErr w:type="gramEnd"/>
      <w:r w:rsidRPr="005B6D62">
        <w:rPr>
          <w:i/>
          <w:iCs/>
          <w:u w:color="000000"/>
          <w:lang w:val="es-PE"/>
        </w:rPr>
        <w:t>vitakka</w:t>
      </w:r>
      <w:proofErr w:type="spellEnd"/>
      <w:r w:rsidRPr="005B6D62">
        <w:rPr>
          <w:u w:color="000000"/>
          <w:lang w:val="es-PE"/>
        </w:rPr>
        <w:t xml:space="preserve">) I.140; III.5, 11, 21, 25s., 122; IV.74, 86, 88s., 132; VI.86; VII.28, 59, n.25; VIII.233, 238; IX.112s.; XIV.86, 133, 136, 157s., 170, 176, 180; XVI.86, 99; XVII.160; XVIII.3; XX.9; XXIII.24,26 </w:t>
      </w:r>
    </w:p>
    <w:p w14:paraId="7E75452E" w14:textId="77777777" w:rsidR="00597DE2" w:rsidRPr="00AA7FEE" w:rsidRDefault="00597DE2" w:rsidP="00597DE2">
      <w:pPr>
        <w:pStyle w:val="ParrafoApendice"/>
        <w:rPr>
          <w:lang w:val="es-PE"/>
        </w:rPr>
      </w:pPr>
      <w:r>
        <w:rPr>
          <w:lang w:val="es-PE"/>
        </w:rPr>
        <w:t xml:space="preserve">apreciación, observación </w:t>
      </w:r>
      <w:r w:rsidRPr="00AA7FEE">
        <w:rPr>
          <w:lang w:val="es-PE"/>
        </w:rPr>
        <w:t>(</w:t>
      </w:r>
      <w:r w:rsidRPr="00AE0502">
        <w:rPr>
          <w:i/>
          <w:iCs/>
          <w:lang w:val="es-PE"/>
        </w:rPr>
        <w:t>dassana</w:t>
      </w:r>
      <w:r w:rsidRPr="00AA7FEE">
        <w:rPr>
          <w:lang w:val="es-PE"/>
        </w:rPr>
        <w:t xml:space="preserve">) I.5; IV.45; XIV.13, 117, 123; XVI.95; XVII.127; XXII.45, 127 </w:t>
      </w:r>
    </w:p>
    <w:p w14:paraId="73EBE0DB" w14:textId="77777777" w:rsidR="00597DE2" w:rsidRPr="005B6D62" w:rsidRDefault="00597DE2" w:rsidP="00597DE2">
      <w:pPr>
        <w:pStyle w:val="ParrafoApendice"/>
        <w:rPr>
          <w:lang w:val="es-PE"/>
        </w:rPr>
      </w:pPr>
      <w:r w:rsidRPr="005B6D62">
        <w:rPr>
          <w:lang w:val="es-PE"/>
        </w:rPr>
        <w:t>aprobación (</w:t>
      </w:r>
      <w:proofErr w:type="spellStart"/>
      <w:r w:rsidRPr="005B6D62">
        <w:rPr>
          <w:i/>
          <w:iCs/>
          <w:lang w:val="es-PE"/>
        </w:rPr>
        <w:t>anunaya</w:t>
      </w:r>
      <w:proofErr w:type="spellEnd"/>
      <w:r w:rsidRPr="005B6D62">
        <w:rPr>
          <w:lang w:val="es-PE"/>
        </w:rPr>
        <w:t xml:space="preserve">) VI.67; IX.88, 96; XXII.51 </w:t>
      </w:r>
    </w:p>
    <w:p w14:paraId="3B1E282C" w14:textId="77777777" w:rsidR="00597DE2" w:rsidRPr="005B6D62" w:rsidRDefault="00597DE2" w:rsidP="00597DE2">
      <w:pPr>
        <w:pStyle w:val="ParrafoApendice"/>
        <w:rPr>
          <w:lang w:val="es-PE"/>
        </w:rPr>
      </w:pPr>
      <w:r w:rsidRPr="005B6D62">
        <w:rPr>
          <w:i/>
          <w:iCs/>
          <w:lang w:val="es-PE"/>
        </w:rPr>
        <w:t>arahant</w:t>
      </w:r>
      <w:r w:rsidRPr="005B6D62">
        <w:rPr>
          <w:lang w:val="es-PE"/>
        </w:rPr>
        <w:t xml:space="preserve"> (</w:t>
      </w:r>
      <w:r w:rsidRPr="005B6D62">
        <w:rPr>
          <w:i/>
          <w:iCs/>
          <w:lang w:val="es-PE"/>
        </w:rPr>
        <w:t>arahant</w:t>
      </w:r>
      <w:r w:rsidRPr="005B6D62">
        <w:rPr>
          <w:lang w:val="es-PE"/>
        </w:rPr>
        <w:t xml:space="preserve">) I.139; VII.4s.; XIII.110; XIV.108s., 206; XXII.45; XXIII.7, 11, 14, 18, 58 </w:t>
      </w:r>
    </w:p>
    <w:p w14:paraId="0EF7E825" w14:textId="77777777" w:rsidR="00597DE2" w:rsidRPr="005B6D62" w:rsidRDefault="00597DE2" w:rsidP="00597DE2">
      <w:pPr>
        <w:pStyle w:val="ParrafoApendice"/>
        <w:rPr>
          <w:lang w:val="es-PE"/>
        </w:rPr>
      </w:pPr>
      <w:r w:rsidRPr="005B6D62">
        <w:rPr>
          <w:lang w:val="es-PE"/>
        </w:rPr>
        <w:t xml:space="preserve">Árbol </w:t>
      </w:r>
      <w:proofErr w:type="spellStart"/>
      <w:r w:rsidRPr="005B6D62">
        <w:rPr>
          <w:lang w:val="es-PE"/>
        </w:rPr>
        <w:t>Jambu</w:t>
      </w:r>
      <w:proofErr w:type="spellEnd"/>
      <w:r w:rsidRPr="005B6D62">
        <w:rPr>
          <w:lang w:val="es-PE"/>
        </w:rPr>
        <w:t xml:space="preserve"> VII.42 </w:t>
      </w:r>
    </w:p>
    <w:p w14:paraId="579183D8" w14:textId="77777777" w:rsidR="00597DE2" w:rsidRPr="005B6D62" w:rsidRDefault="00597DE2" w:rsidP="00597DE2">
      <w:pPr>
        <w:pStyle w:val="ParrafoApendice"/>
        <w:rPr>
          <w:lang w:val="es-PE"/>
        </w:rPr>
      </w:pPr>
      <w:r w:rsidRPr="005B6D62">
        <w:rPr>
          <w:lang w:val="es-PE"/>
        </w:rPr>
        <w:t>ascetismo del buey (</w:t>
      </w:r>
      <w:proofErr w:type="spellStart"/>
      <w:r w:rsidRPr="005B6D62">
        <w:rPr>
          <w:i/>
          <w:iCs/>
          <w:lang w:val="es-PE"/>
        </w:rPr>
        <w:t>go</w:t>
      </w:r>
      <w:proofErr w:type="spellEnd"/>
      <w:r w:rsidRPr="005B6D62">
        <w:rPr>
          <w:i/>
          <w:iCs/>
          <w:lang w:val="es-PE"/>
        </w:rPr>
        <w:t>–sīla</w:t>
      </w:r>
      <w:r w:rsidRPr="005B6D62">
        <w:rPr>
          <w:lang w:val="es-PE"/>
        </w:rPr>
        <w:t xml:space="preserve">) XVII.241; </w:t>
      </w:r>
      <w:r w:rsidRPr="005B6D62">
        <w:rPr>
          <w:i/>
          <w:iCs/>
          <w:lang w:val="es-PE"/>
        </w:rPr>
        <w:t>práctica del buey</w:t>
      </w:r>
      <w:r w:rsidRPr="005B6D62">
        <w:rPr>
          <w:lang w:val="es-PE"/>
        </w:rPr>
        <w:t xml:space="preserve"> (</w:t>
      </w:r>
      <w:proofErr w:type="spellStart"/>
      <w:r w:rsidRPr="005B6D62">
        <w:rPr>
          <w:i/>
          <w:iCs/>
          <w:lang w:val="es-PE"/>
        </w:rPr>
        <w:t>go</w:t>
      </w:r>
      <w:proofErr w:type="spellEnd"/>
      <w:r w:rsidRPr="005B6D62">
        <w:rPr>
          <w:i/>
          <w:iCs/>
          <w:lang w:val="es-PE"/>
        </w:rPr>
        <w:t>–</w:t>
      </w:r>
      <w:proofErr w:type="spellStart"/>
      <w:r w:rsidRPr="005B6D62">
        <w:rPr>
          <w:i/>
          <w:iCs/>
          <w:lang w:val="es-PE"/>
        </w:rPr>
        <w:t>kiriyā</w:t>
      </w:r>
      <w:proofErr w:type="spellEnd"/>
      <w:r w:rsidRPr="005B6D62">
        <w:rPr>
          <w:lang w:val="es-PE"/>
        </w:rPr>
        <w:t>) XVII.246</w:t>
      </w:r>
    </w:p>
    <w:p w14:paraId="047BDC59" w14:textId="77777777" w:rsidR="00597DE2" w:rsidRPr="005B6D62" w:rsidRDefault="00597DE2" w:rsidP="00597DE2">
      <w:pPr>
        <w:pStyle w:val="ParrafoApendice"/>
        <w:rPr>
          <w:lang w:val="es-PE"/>
        </w:rPr>
      </w:pPr>
      <w:proofErr w:type="spellStart"/>
      <w:r w:rsidRPr="005B6D62">
        <w:rPr>
          <w:lang w:val="es-PE"/>
        </w:rPr>
        <w:t>Asoka</w:t>
      </w:r>
      <w:proofErr w:type="spellEnd"/>
      <w:r w:rsidRPr="005B6D62">
        <w:rPr>
          <w:lang w:val="es-PE"/>
        </w:rPr>
        <w:t xml:space="preserve"> III.111; VII.23; VIII.14</w:t>
      </w:r>
    </w:p>
    <w:p w14:paraId="1EC104DF" w14:textId="77777777" w:rsidR="00597DE2" w:rsidRDefault="00597DE2" w:rsidP="00597DE2">
      <w:pPr>
        <w:pStyle w:val="ParrafoApendice"/>
        <w:rPr>
          <w:lang w:val="es-PE"/>
        </w:rPr>
      </w:pPr>
      <w:proofErr w:type="spellStart"/>
      <w:r w:rsidRPr="005B6D62">
        <w:rPr>
          <w:lang w:val="es-PE"/>
        </w:rPr>
        <w:t>Assagutta</w:t>
      </w:r>
      <w:proofErr w:type="spellEnd"/>
      <w:r w:rsidRPr="005B6D62">
        <w:rPr>
          <w:lang w:val="es-PE"/>
        </w:rPr>
        <w:t xml:space="preserve"> </w:t>
      </w:r>
      <w:proofErr w:type="spellStart"/>
      <w:r w:rsidRPr="005B6D62">
        <w:rPr>
          <w:lang w:val="es-PE"/>
        </w:rPr>
        <w:t>Thera</w:t>
      </w:r>
      <w:proofErr w:type="spellEnd"/>
      <w:r w:rsidRPr="005B6D62">
        <w:rPr>
          <w:lang w:val="es-PE"/>
        </w:rPr>
        <w:t xml:space="preserve"> III.63; XIII.107 </w:t>
      </w:r>
      <w:r>
        <w:rPr>
          <w:lang w:val="es-PE"/>
        </w:rPr>
        <w:br w:type="page"/>
      </w:r>
    </w:p>
    <w:p w14:paraId="6DE49DE0" w14:textId="77777777" w:rsidR="00597DE2" w:rsidRPr="005B6D62" w:rsidRDefault="00597DE2" w:rsidP="00597DE2">
      <w:pPr>
        <w:pStyle w:val="ParrafoApendice"/>
        <w:rPr>
          <w:lang w:val="es-PE"/>
        </w:rPr>
      </w:pPr>
    </w:p>
    <w:p w14:paraId="7689836C" w14:textId="77777777" w:rsidR="00597DE2" w:rsidRPr="005B6D62" w:rsidRDefault="00597DE2" w:rsidP="00597DE2">
      <w:pPr>
        <w:pStyle w:val="ParrafoApendice"/>
        <w:rPr>
          <w:lang w:val="es-PE"/>
        </w:rPr>
      </w:pPr>
      <w:proofErr w:type="spellStart"/>
      <w:r w:rsidRPr="005B6D62">
        <w:rPr>
          <w:lang w:val="es-PE"/>
        </w:rPr>
        <w:t>Assakaṇṇapabbata</w:t>
      </w:r>
      <w:proofErr w:type="spellEnd"/>
      <w:r w:rsidRPr="005B6D62">
        <w:rPr>
          <w:lang w:val="es-PE"/>
        </w:rPr>
        <w:t xml:space="preserve"> VII.42 </w:t>
      </w:r>
    </w:p>
    <w:p w14:paraId="1483B98D" w14:textId="77777777" w:rsidR="00597DE2" w:rsidRPr="005B6D62" w:rsidRDefault="00597DE2" w:rsidP="00597DE2">
      <w:pPr>
        <w:pStyle w:val="ParrafoApendice"/>
        <w:rPr>
          <w:lang w:val="es-PE"/>
        </w:rPr>
      </w:pPr>
      <w:r w:rsidRPr="005B6D62">
        <w:rPr>
          <w:i/>
          <w:iCs/>
          <w:lang w:val="es-PE"/>
        </w:rPr>
        <w:t>asura</w:t>
      </w:r>
      <w:r w:rsidRPr="005B6D62">
        <w:rPr>
          <w:lang w:val="es-PE"/>
        </w:rPr>
        <w:t xml:space="preserve"> (demonio) VII.43s., n.</w:t>
      </w:r>
      <w:r w:rsidRPr="005B6D62">
        <w:rPr>
          <w:color w:val="833C0B" w:themeColor="accent2" w:themeShade="80"/>
          <w:u w:color="000000"/>
          <w:lang w:val="es-PE"/>
        </w:rPr>
        <w:t xml:space="preserve">14, </w:t>
      </w:r>
      <w:r w:rsidRPr="005B6D62">
        <w:rPr>
          <w:strike/>
          <w:color w:val="833C0B" w:themeColor="accent2" w:themeShade="80"/>
          <w:u w:color="000000"/>
          <w:lang w:val="es-PE"/>
        </w:rPr>
        <w:t>15</w:t>
      </w:r>
      <w:r w:rsidRPr="005B6D62">
        <w:rPr>
          <w:lang w:val="es-PE"/>
        </w:rPr>
        <w:t xml:space="preserve">; XII.137; XIII.93 </w:t>
      </w:r>
    </w:p>
    <w:p w14:paraId="1C721EAE" w14:textId="77777777" w:rsidR="00597DE2" w:rsidRPr="005B6D62" w:rsidRDefault="00597DE2" w:rsidP="00597DE2">
      <w:pPr>
        <w:pStyle w:val="ParrafoApendice"/>
        <w:rPr>
          <w:lang w:val="es-PE"/>
        </w:rPr>
      </w:pPr>
      <w:r w:rsidRPr="006D0608">
        <w:rPr>
          <w:lang w:val="es-PE"/>
        </w:rPr>
        <w:t>atención (</w:t>
      </w:r>
      <w:proofErr w:type="spellStart"/>
      <w:r w:rsidRPr="006D0608">
        <w:rPr>
          <w:i/>
          <w:iCs/>
          <w:lang w:val="es-PE"/>
        </w:rPr>
        <w:t>manasikāra</w:t>
      </w:r>
      <w:proofErr w:type="spellEnd"/>
      <w:r w:rsidRPr="006D0608">
        <w:rPr>
          <w:lang w:val="es-PE"/>
        </w:rPr>
        <w:t xml:space="preserve">) III.22, 26; IV. </w:t>
      </w:r>
      <w:r w:rsidRPr="006D0608">
        <w:rPr>
          <w:color w:val="833C0B" w:themeColor="accent2" w:themeShade="80"/>
          <w:u w:color="000000"/>
          <w:lang w:val="es-PE"/>
        </w:rPr>
        <w:t>29s,</w:t>
      </w:r>
      <w:r w:rsidRPr="006D0608">
        <w:rPr>
          <w:lang w:val="es-PE"/>
        </w:rPr>
        <w:t xml:space="preserve"> 52</w:t>
      </w:r>
      <w:r w:rsidRPr="006D0608">
        <w:rPr>
          <w:color w:val="833C0B" w:themeColor="accent2" w:themeShade="80"/>
          <w:u w:color="000000"/>
          <w:lang w:val="es-PE"/>
        </w:rPr>
        <w:t>s</w:t>
      </w:r>
      <w:r w:rsidRPr="006D0608">
        <w:rPr>
          <w:lang w:val="es-PE"/>
        </w:rPr>
        <w:t xml:space="preserve">, 59; VII. </w:t>
      </w:r>
      <w:r w:rsidRPr="006D0608">
        <w:rPr>
          <w:color w:val="833C0B" w:themeColor="accent2" w:themeShade="80"/>
          <w:u w:color="000000"/>
          <w:lang w:val="es-PE"/>
        </w:rPr>
        <w:t>1s,</w:t>
      </w:r>
      <w:r w:rsidRPr="006D0608">
        <w:rPr>
          <w:lang w:val="es-PE"/>
        </w:rPr>
        <w:t xml:space="preserve"> 59; VIII.4s., 48, 61s.; XIV.133</w:t>
      </w:r>
      <w:r w:rsidRPr="006D0608">
        <w:rPr>
          <w:color w:val="833C0B" w:themeColor="accent2" w:themeShade="80"/>
          <w:u w:color="000000"/>
          <w:lang w:val="es-PE"/>
        </w:rPr>
        <w:t>s</w:t>
      </w:r>
      <w:r w:rsidRPr="006D0608">
        <w:rPr>
          <w:lang w:val="es-PE"/>
        </w:rPr>
        <w:t xml:space="preserve">, 152, 159, 163, 170, 176, 178s.; XV.39; XVIII.8, </w:t>
      </w:r>
      <w:r w:rsidRPr="006D0608">
        <w:rPr>
          <w:color w:val="833C0B" w:themeColor="accent2" w:themeShade="80"/>
          <w:u w:color="000000"/>
          <w:lang w:val="es-PE"/>
        </w:rPr>
        <w:t>15s</w:t>
      </w:r>
      <w:r w:rsidRPr="006D0608">
        <w:rPr>
          <w:lang w:val="es-PE"/>
        </w:rPr>
        <w:t xml:space="preserve">; XIX. </w:t>
      </w:r>
      <w:r w:rsidRPr="006D0608">
        <w:rPr>
          <w:color w:val="833C0B" w:themeColor="accent2" w:themeShade="80"/>
          <w:u w:color="000000"/>
          <w:lang w:val="es-PE"/>
        </w:rPr>
        <w:t>4,</w:t>
      </w:r>
      <w:r w:rsidRPr="006D0608">
        <w:rPr>
          <w:lang w:val="es-PE"/>
        </w:rPr>
        <w:t xml:space="preserve"> 8; XX. </w:t>
      </w:r>
      <w:r w:rsidRPr="006D0608">
        <w:rPr>
          <w:color w:val="833C0B" w:themeColor="accent2" w:themeShade="80"/>
          <w:u w:color="000000"/>
          <w:lang w:val="es-PE"/>
        </w:rPr>
        <w:t>17,</w:t>
      </w:r>
      <w:r w:rsidRPr="006D0608">
        <w:rPr>
          <w:lang w:val="es-PE"/>
        </w:rPr>
        <w:t xml:space="preserve"> 44; XXIII</w:t>
      </w:r>
      <w:r w:rsidRPr="006D0608">
        <w:rPr>
          <w:color w:val="833C0B" w:themeColor="accent2" w:themeShade="80"/>
          <w:u w:color="000000"/>
          <w:lang w:val="es-PE"/>
        </w:rPr>
        <w:t>.12 {N.H.}</w:t>
      </w:r>
      <w:r w:rsidRPr="006D0608">
        <w:rPr>
          <w:lang w:val="es-PE"/>
        </w:rPr>
        <w:t xml:space="preserve">. </w:t>
      </w:r>
      <w:r w:rsidRPr="005B6D62">
        <w:rPr>
          <w:lang w:val="es-PE"/>
        </w:rPr>
        <w:t>Ver también conducir la mente; a. dirigida a los elementos (</w:t>
      </w:r>
      <w:proofErr w:type="spellStart"/>
      <w:r w:rsidRPr="005B6D62">
        <w:rPr>
          <w:i/>
          <w:iCs/>
          <w:lang w:val="es-PE"/>
        </w:rPr>
        <w:t>dhātu</w:t>
      </w:r>
      <w:proofErr w:type="spellEnd"/>
      <w:r w:rsidRPr="005B6D62">
        <w:rPr>
          <w:i/>
          <w:iCs/>
          <w:lang w:val="es-PE"/>
        </w:rPr>
        <w:t>–</w:t>
      </w:r>
      <w:proofErr w:type="spellStart"/>
      <w:r w:rsidRPr="005B6D62">
        <w:rPr>
          <w:i/>
          <w:iCs/>
          <w:lang w:val="es-PE"/>
        </w:rPr>
        <w:t>manasikāra</w:t>
      </w:r>
      <w:proofErr w:type="spellEnd"/>
      <w:r w:rsidRPr="005B6D62">
        <w:rPr>
          <w:lang w:val="es-PE"/>
        </w:rPr>
        <w:t>) VIII.43; XI.27; a. (</w:t>
      </w:r>
      <w:proofErr w:type="spellStart"/>
      <w:r w:rsidRPr="005B6D62">
        <w:rPr>
          <w:i/>
          <w:iCs/>
          <w:lang w:val="es-PE"/>
        </w:rPr>
        <w:t>avadhāna</w:t>
      </w:r>
      <w:proofErr w:type="spellEnd"/>
      <w:r w:rsidRPr="005B6D62">
        <w:rPr>
          <w:lang w:val="es-PE"/>
        </w:rPr>
        <w:t>) I.32</w:t>
      </w:r>
    </w:p>
    <w:p w14:paraId="610FC57C" w14:textId="77777777" w:rsidR="00597DE2" w:rsidRPr="005B6D62" w:rsidRDefault="00597DE2" w:rsidP="00597DE2">
      <w:pPr>
        <w:pStyle w:val="ParrafoApendice"/>
        <w:rPr>
          <w:lang w:val="es-PE"/>
        </w:rPr>
      </w:pPr>
      <w:r w:rsidRPr="005B6D62">
        <w:rPr>
          <w:lang w:val="es-PE"/>
        </w:rPr>
        <w:t>atención plena (</w:t>
      </w:r>
      <w:proofErr w:type="spellStart"/>
      <w:r w:rsidRPr="005B6D62">
        <w:rPr>
          <w:i/>
          <w:iCs/>
          <w:lang w:val="es-PE"/>
        </w:rPr>
        <w:t>sampajañña</w:t>
      </w:r>
      <w:proofErr w:type="spellEnd"/>
      <w:r w:rsidRPr="005B6D62">
        <w:rPr>
          <w:lang w:val="es-PE"/>
        </w:rPr>
        <w:t>) I.</w:t>
      </w:r>
      <w:r w:rsidRPr="005B6D62">
        <w:rPr>
          <w:color w:val="833C0B" w:themeColor="accent2" w:themeShade="80"/>
          <w:u w:color="000000"/>
          <w:lang w:val="es-PE"/>
        </w:rPr>
        <w:t>22s,</w:t>
      </w:r>
      <w:r w:rsidRPr="005B6D62">
        <w:rPr>
          <w:lang w:val="es-PE"/>
        </w:rPr>
        <w:t xml:space="preserve"> 48; III.95; IV.172; VIII.</w:t>
      </w:r>
      <w:r w:rsidRPr="005B6D62">
        <w:rPr>
          <w:color w:val="833C0B" w:themeColor="accent2" w:themeShade="80"/>
          <w:u w:color="000000"/>
          <w:lang w:val="es-PE"/>
        </w:rPr>
        <w:t>3s,</w:t>
      </w:r>
      <w:r w:rsidRPr="005B6D62">
        <w:rPr>
          <w:lang w:val="es-PE"/>
        </w:rPr>
        <w:t xml:space="preserve"> 43 </w:t>
      </w:r>
    </w:p>
    <w:p w14:paraId="351822CE" w14:textId="77777777" w:rsidR="00597DE2" w:rsidRPr="005B6D62" w:rsidRDefault="00597DE2" w:rsidP="00597DE2">
      <w:pPr>
        <w:pStyle w:val="ParrafoApendice"/>
        <w:rPr>
          <w:lang w:val="es-PE"/>
        </w:rPr>
      </w:pPr>
      <w:r w:rsidRPr="005B6D62">
        <w:rPr>
          <w:lang w:val="es-PE"/>
        </w:rPr>
        <w:t>atención plena (</w:t>
      </w:r>
      <w:proofErr w:type="spellStart"/>
      <w:r w:rsidRPr="005B6D62">
        <w:rPr>
          <w:i/>
          <w:iCs/>
          <w:lang w:val="es-PE"/>
        </w:rPr>
        <w:t>sati</w:t>
      </w:r>
      <w:proofErr w:type="spellEnd"/>
      <w:r w:rsidRPr="005B6D62">
        <w:rPr>
          <w:lang w:val="es-PE"/>
        </w:rPr>
        <w:t xml:space="preserve">) I.18, 26, 51, 56, 100; III.95; IV.45, 49, 172, 194; VII.n.8; XII.17; XIII.13; XIV.133, 141; XVI.1, 86; XX.120; XXI.10; XXII.34, 38s., 42, 45, 66; </w:t>
      </w:r>
      <w:r w:rsidRPr="005B6D62">
        <w:rPr>
          <w:i/>
          <w:iCs/>
          <w:lang w:val="es-PE"/>
        </w:rPr>
        <w:t>a. ocupada en el cuerpo</w:t>
      </w:r>
      <w:r w:rsidRPr="005B6D62">
        <w:rPr>
          <w:lang w:val="es-PE"/>
        </w:rPr>
        <w:t xml:space="preserve"> (</w:t>
      </w:r>
      <w:proofErr w:type="spellStart"/>
      <w:r w:rsidRPr="005B6D62">
        <w:rPr>
          <w:i/>
          <w:iCs/>
          <w:lang w:val="es-PE"/>
        </w:rPr>
        <w:t>kāyagatā</w:t>
      </w:r>
      <w:proofErr w:type="spellEnd"/>
      <w:r w:rsidRPr="005B6D62">
        <w:rPr>
          <w:i/>
          <w:iCs/>
          <w:lang w:val="es-PE"/>
        </w:rPr>
        <w:t xml:space="preserve"> </w:t>
      </w:r>
      <w:proofErr w:type="spellStart"/>
      <w:r w:rsidRPr="005B6D62">
        <w:rPr>
          <w:i/>
          <w:iCs/>
          <w:lang w:val="es-PE"/>
        </w:rPr>
        <w:t>sati</w:t>
      </w:r>
      <w:proofErr w:type="spellEnd"/>
      <w:r w:rsidRPr="005B6D62">
        <w:rPr>
          <w:lang w:val="es-PE"/>
        </w:rPr>
        <w:t>) III.105s.; VIII.42s.; XI.26; atención en la respiración (</w:t>
      </w:r>
      <w:r w:rsidRPr="005B6D62">
        <w:rPr>
          <w:i/>
          <w:iCs/>
          <w:lang w:val="es-PE"/>
        </w:rPr>
        <w:t>ānāpāna–</w:t>
      </w:r>
      <w:proofErr w:type="spellStart"/>
      <w:r w:rsidRPr="005B6D62">
        <w:rPr>
          <w:i/>
          <w:iCs/>
          <w:lang w:val="es-PE"/>
        </w:rPr>
        <w:t>sati</w:t>
      </w:r>
      <w:proofErr w:type="spellEnd"/>
      <w:r w:rsidRPr="005B6D62">
        <w:rPr>
          <w:lang w:val="es-PE"/>
        </w:rPr>
        <w:t xml:space="preserve">) III.105s., 122; VIII.43, 145s.; XXIII.20; </w:t>
      </w:r>
      <w:r w:rsidRPr="005B6D62">
        <w:rPr>
          <w:i/>
          <w:iCs/>
          <w:lang w:val="es-PE"/>
        </w:rPr>
        <w:t>atención sobre la muerte</w:t>
      </w:r>
      <w:r w:rsidRPr="005B6D62">
        <w:rPr>
          <w:lang w:val="es-PE"/>
        </w:rPr>
        <w:t xml:space="preserve"> (</w:t>
      </w:r>
      <w:proofErr w:type="spellStart"/>
      <w:r w:rsidRPr="005B6D62">
        <w:rPr>
          <w:i/>
          <w:iCs/>
          <w:lang w:val="es-PE"/>
        </w:rPr>
        <w:t>māraṇa</w:t>
      </w:r>
      <w:proofErr w:type="spellEnd"/>
      <w:r w:rsidRPr="005B6D62">
        <w:rPr>
          <w:i/>
          <w:iCs/>
          <w:lang w:val="es-PE"/>
        </w:rPr>
        <w:t>–</w:t>
      </w:r>
      <w:proofErr w:type="spellStart"/>
      <w:r w:rsidRPr="005B6D62">
        <w:rPr>
          <w:i/>
          <w:iCs/>
          <w:lang w:val="es-PE"/>
        </w:rPr>
        <w:t>sati</w:t>
      </w:r>
      <w:proofErr w:type="spellEnd"/>
      <w:r w:rsidRPr="005B6D62">
        <w:rPr>
          <w:lang w:val="es-PE"/>
        </w:rPr>
        <w:t>) III.6, 57s., 105; VIII.1s.</w:t>
      </w:r>
    </w:p>
    <w:p w14:paraId="79FBFCDE" w14:textId="77777777" w:rsidR="00597DE2" w:rsidRPr="005B6D62" w:rsidRDefault="00597DE2" w:rsidP="00597DE2">
      <w:pPr>
        <w:pStyle w:val="ParrafoApendice"/>
        <w:rPr>
          <w:lang w:val="es-PE"/>
        </w:rPr>
      </w:pPr>
      <w:r w:rsidRPr="005B6D62">
        <w:rPr>
          <w:lang w:val="es-PE"/>
        </w:rPr>
        <w:t>átomo (</w:t>
      </w:r>
      <w:proofErr w:type="spellStart"/>
      <w:r w:rsidRPr="005B6D62">
        <w:rPr>
          <w:i/>
          <w:iCs/>
          <w:lang w:val="es-PE"/>
        </w:rPr>
        <w:t>aṇu</w:t>
      </w:r>
      <w:proofErr w:type="spellEnd"/>
      <w:r w:rsidRPr="005B6D62">
        <w:rPr>
          <w:lang w:val="es-PE"/>
        </w:rPr>
        <w:t xml:space="preserve">) XI. </w:t>
      </w:r>
      <w:r w:rsidRPr="005B6D62">
        <w:rPr>
          <w:color w:val="833C0B" w:themeColor="accent2" w:themeShade="80"/>
          <w:u w:color="000000"/>
          <w:lang w:val="es-PE"/>
        </w:rPr>
        <w:t>89,</w:t>
      </w:r>
      <w:r w:rsidRPr="005B6D62">
        <w:rPr>
          <w:lang w:val="es-PE"/>
        </w:rPr>
        <w:t xml:space="preserve"> n.31; XVI.72, 91; XVII.117, </w:t>
      </w:r>
      <w:r w:rsidRPr="005B6D62">
        <w:rPr>
          <w:color w:val="833C0B" w:themeColor="accent2" w:themeShade="80"/>
          <w:u w:color="000000"/>
          <w:lang w:val="es-PE"/>
        </w:rPr>
        <w:t>{n.3}</w:t>
      </w:r>
    </w:p>
    <w:p w14:paraId="5320CE27" w14:textId="77777777" w:rsidR="00597DE2" w:rsidRPr="005B6D62" w:rsidRDefault="00597DE2" w:rsidP="00597DE2">
      <w:pPr>
        <w:pStyle w:val="ParrafoApendice"/>
        <w:rPr>
          <w:lang w:val="es-PE"/>
        </w:rPr>
      </w:pPr>
      <w:r w:rsidRPr="005B6D62">
        <w:rPr>
          <w:lang w:val="es-PE"/>
        </w:rPr>
        <w:t>ausencia (</w:t>
      </w:r>
      <w:proofErr w:type="spellStart"/>
      <w:r w:rsidRPr="005B6D62">
        <w:rPr>
          <w:i/>
          <w:iCs/>
          <w:lang w:val="es-PE"/>
        </w:rPr>
        <w:t>abhāva</w:t>
      </w:r>
      <w:proofErr w:type="spellEnd"/>
      <w:r w:rsidRPr="005B6D62">
        <w:rPr>
          <w:lang w:val="es-PE"/>
        </w:rPr>
        <w:t>) VIII.</w:t>
      </w:r>
      <w:r w:rsidRPr="005B6D62">
        <w:rPr>
          <w:color w:val="833C0B" w:themeColor="accent2" w:themeShade="80"/>
          <w:u w:color="000000"/>
          <w:lang w:val="es-PE"/>
        </w:rPr>
        <w:t>247</w:t>
      </w:r>
      <w:r w:rsidRPr="005B6D62">
        <w:rPr>
          <w:lang w:val="es-PE"/>
        </w:rPr>
        <w:t>; IX.123; XVI.68</w:t>
      </w:r>
    </w:p>
    <w:p w14:paraId="2C919199" w14:textId="77777777" w:rsidR="00597DE2" w:rsidRPr="005B6D62" w:rsidRDefault="00597DE2" w:rsidP="00597DE2">
      <w:pPr>
        <w:pStyle w:val="ParrafoApendice"/>
        <w:rPr>
          <w:lang w:val="es-PE"/>
        </w:rPr>
      </w:pPr>
      <w:r w:rsidRPr="005B6D62">
        <w:rPr>
          <w:lang w:val="es-PE"/>
        </w:rPr>
        <w:t>avaricia (</w:t>
      </w:r>
      <w:proofErr w:type="spellStart"/>
      <w:r w:rsidRPr="005B6D62">
        <w:rPr>
          <w:i/>
          <w:iCs/>
          <w:lang w:val="es-PE"/>
        </w:rPr>
        <w:t>macchariya</w:t>
      </w:r>
      <w:proofErr w:type="spellEnd"/>
      <w:r w:rsidRPr="005B6D62">
        <w:rPr>
          <w:i/>
          <w:iCs/>
          <w:lang w:val="es-PE"/>
        </w:rPr>
        <w:t xml:space="preserve">, </w:t>
      </w:r>
      <w:proofErr w:type="spellStart"/>
      <w:r w:rsidRPr="005B6D62">
        <w:rPr>
          <w:i/>
          <w:iCs/>
          <w:lang w:val="es-PE"/>
        </w:rPr>
        <w:t>macchera</w:t>
      </w:r>
      <w:proofErr w:type="spellEnd"/>
      <w:r w:rsidRPr="005B6D62">
        <w:rPr>
          <w:lang w:val="es-PE"/>
        </w:rPr>
        <w:t xml:space="preserve">) I.151; III.95; VII.59, 107s.; XIV.170, 173; XXII. </w:t>
      </w:r>
      <w:r w:rsidRPr="005B6D62">
        <w:rPr>
          <w:color w:val="833C0B" w:themeColor="accent2" w:themeShade="80"/>
          <w:u w:color="000000"/>
          <w:lang w:val="es-PE"/>
        </w:rPr>
        <w:t>47,</w:t>
      </w:r>
      <w:r w:rsidRPr="005B6D62">
        <w:rPr>
          <w:lang w:val="es-PE"/>
        </w:rPr>
        <w:t xml:space="preserve"> 52, 67 </w:t>
      </w:r>
    </w:p>
    <w:p w14:paraId="678B75D8" w14:textId="77777777" w:rsidR="00597DE2" w:rsidRPr="005B6D62" w:rsidRDefault="00597DE2" w:rsidP="00597DE2">
      <w:pPr>
        <w:pStyle w:val="ParrafoApendice"/>
        <w:rPr>
          <w:lang w:val="es-PE"/>
        </w:rPr>
      </w:pPr>
      <w:r w:rsidRPr="005B6D62">
        <w:rPr>
          <w:lang w:val="es-PE"/>
        </w:rPr>
        <w:t>avaricia, mezquindad, apego (</w:t>
      </w:r>
      <w:proofErr w:type="spellStart"/>
      <w:r w:rsidRPr="005B6D62">
        <w:rPr>
          <w:i/>
          <w:iCs/>
          <w:lang w:val="es-PE"/>
        </w:rPr>
        <w:t>ādāna</w:t>
      </w:r>
      <w:proofErr w:type="spellEnd"/>
      <w:r w:rsidRPr="005B6D62">
        <w:rPr>
          <w:lang w:val="es-PE"/>
        </w:rPr>
        <w:t>) I.140; VIII.233; XVII.308; XX.90; XXI.11; XXII.113, 118; XXIII.23</w:t>
      </w:r>
    </w:p>
    <w:p w14:paraId="6C34C272" w14:textId="77777777" w:rsidR="00597DE2" w:rsidRPr="005B6D62" w:rsidRDefault="00597DE2" w:rsidP="00597DE2">
      <w:pPr>
        <w:pStyle w:val="ParrafoApendice"/>
        <w:rPr>
          <w:lang w:val="es-PE"/>
        </w:rPr>
      </w:pPr>
      <w:r w:rsidRPr="005B6D62">
        <w:rPr>
          <w:lang w:val="es-PE"/>
        </w:rPr>
        <w:t>aversión (</w:t>
      </w:r>
      <w:proofErr w:type="spellStart"/>
      <w:r w:rsidRPr="005B6D62">
        <w:rPr>
          <w:i/>
          <w:iCs/>
          <w:lang w:val="es-PE"/>
        </w:rPr>
        <w:t>arati</w:t>
      </w:r>
      <w:proofErr w:type="spellEnd"/>
      <w:r w:rsidRPr="005B6D62">
        <w:rPr>
          <w:lang w:val="es-PE"/>
        </w:rPr>
        <w:t xml:space="preserve">) I.140 </w:t>
      </w:r>
      <w:r w:rsidRPr="005B6D62">
        <w:rPr>
          <w:color w:val="833C0B" w:themeColor="accent2" w:themeShade="80"/>
          <w:u w:color="000000"/>
          <w:lang w:val="es-PE"/>
        </w:rPr>
        <w:t>{N.H}</w:t>
      </w:r>
      <w:r w:rsidRPr="005B6D62">
        <w:rPr>
          <w:lang w:val="es-PE"/>
        </w:rPr>
        <w:t xml:space="preserve">; IX.95, 100; XXI.28. Ver también </w:t>
      </w:r>
      <w:proofErr w:type="spellStart"/>
      <w:r w:rsidRPr="005B6D62">
        <w:rPr>
          <w:lang w:val="es-PE"/>
        </w:rPr>
        <w:t>See</w:t>
      </w:r>
      <w:proofErr w:type="spellEnd"/>
      <w:r w:rsidRPr="005B6D62">
        <w:rPr>
          <w:lang w:val="es-PE"/>
        </w:rPr>
        <w:t xml:space="preserve"> </w:t>
      </w:r>
      <w:proofErr w:type="spellStart"/>
      <w:r w:rsidRPr="005B6D62">
        <w:rPr>
          <w:lang w:val="es-PE"/>
        </w:rPr>
        <w:t>also</w:t>
      </w:r>
      <w:proofErr w:type="spellEnd"/>
      <w:r w:rsidRPr="005B6D62">
        <w:rPr>
          <w:lang w:val="es-PE"/>
        </w:rPr>
        <w:t xml:space="preserve"> hastío.</w:t>
      </w:r>
    </w:p>
    <w:p w14:paraId="3F148D98" w14:textId="77777777" w:rsidR="00597DE2" w:rsidRPr="005B6D62" w:rsidRDefault="00597DE2" w:rsidP="00597DE2">
      <w:pPr>
        <w:pStyle w:val="ParrafoApendice"/>
        <w:rPr>
          <w:lang w:val="es-PE"/>
        </w:rPr>
      </w:pPr>
      <w:proofErr w:type="spellStart"/>
      <w:r w:rsidRPr="005B6D62">
        <w:rPr>
          <w:i/>
          <w:iCs/>
          <w:lang w:val="es-PE"/>
        </w:rPr>
        <w:t>Avīci</w:t>
      </w:r>
      <w:proofErr w:type="spellEnd"/>
      <w:r w:rsidRPr="005B6D62">
        <w:rPr>
          <w:lang w:val="es-PE"/>
        </w:rPr>
        <w:t xml:space="preserve"> VII.44; XII.71, 78, 80; XIII.93; XV.27 </w:t>
      </w:r>
    </w:p>
    <w:p w14:paraId="1288D591" w14:textId="77777777" w:rsidR="00597DE2" w:rsidRPr="002C102E" w:rsidRDefault="00597DE2" w:rsidP="00597DE2">
      <w:pPr>
        <w:pStyle w:val="ParrafoApendice"/>
      </w:pPr>
      <w:r w:rsidRPr="002C102E">
        <w:t>Bahula Thera III.84</w:t>
      </w:r>
    </w:p>
    <w:p w14:paraId="2675CAE2" w14:textId="77777777" w:rsidR="00597DE2" w:rsidRPr="002C102E" w:rsidRDefault="00597DE2" w:rsidP="00597DE2">
      <w:pPr>
        <w:pStyle w:val="ParrafoApendice"/>
      </w:pPr>
      <w:proofErr w:type="spellStart"/>
      <w:r w:rsidRPr="002C102E">
        <w:t>Bakkula</w:t>
      </w:r>
      <w:proofErr w:type="spellEnd"/>
      <w:r w:rsidRPr="002C102E">
        <w:t xml:space="preserve"> Thera II.82; XII.26</w:t>
      </w:r>
    </w:p>
    <w:p w14:paraId="0FF50437" w14:textId="77777777" w:rsidR="00597DE2" w:rsidRPr="002C102E" w:rsidRDefault="00597DE2" w:rsidP="00597DE2">
      <w:pPr>
        <w:pStyle w:val="ParrafoApendice"/>
      </w:pPr>
      <w:r w:rsidRPr="002C102E">
        <w:t>Baladeva VIII.19</w:t>
      </w:r>
    </w:p>
    <w:p w14:paraId="45AF69BA" w14:textId="77777777" w:rsidR="00597DE2" w:rsidRPr="002C102E" w:rsidRDefault="00597DE2" w:rsidP="00597DE2">
      <w:pPr>
        <w:pStyle w:val="ParrafoApendice"/>
      </w:pPr>
      <w:r w:rsidRPr="002C102E">
        <w:t>base (</w:t>
      </w:r>
      <w:proofErr w:type="spellStart"/>
      <w:r w:rsidRPr="002C102E">
        <w:rPr>
          <w:i/>
          <w:iCs/>
        </w:rPr>
        <w:t>āyatana</w:t>
      </w:r>
      <w:proofErr w:type="spellEnd"/>
      <w:r w:rsidRPr="002C102E">
        <w:t>) I.2</w:t>
      </w:r>
      <w:r w:rsidRPr="002C102E">
        <w:rPr>
          <w:color w:val="833C0B" w:themeColor="accent2" w:themeShade="80"/>
          <w:u w:color="000000"/>
        </w:rPr>
        <w:t>s</w:t>
      </w:r>
      <w:r w:rsidRPr="002C102E">
        <w:t>; VII.12</w:t>
      </w:r>
      <w:r w:rsidRPr="002C102E">
        <w:rPr>
          <w:color w:val="833C0B" w:themeColor="accent2" w:themeShade="80"/>
          <w:u w:color="000000"/>
        </w:rPr>
        <w:t>s</w:t>
      </w:r>
      <w:r w:rsidRPr="002C102E">
        <w:t>, 28, 38; X.24; XV.1s., 4; XVII.1</w:t>
      </w:r>
      <w:r w:rsidRPr="002C102E">
        <w:rPr>
          <w:color w:val="833C0B" w:themeColor="accent2" w:themeShade="80"/>
          <w:u w:color="000000"/>
        </w:rPr>
        <w:t>s</w:t>
      </w:r>
      <w:r w:rsidRPr="002C102E">
        <w:t>, 48, 51, 56</w:t>
      </w:r>
      <w:r w:rsidRPr="002C102E">
        <w:rPr>
          <w:color w:val="833C0B" w:themeColor="accent2" w:themeShade="80"/>
          <w:u w:color="000000"/>
        </w:rPr>
        <w:t>s</w:t>
      </w:r>
      <w:r w:rsidRPr="002C102E">
        <w:t xml:space="preserve">, 204s., 294; XVIII.12; XIX.13; XX.9; XXI.35 </w:t>
      </w:r>
    </w:p>
    <w:p w14:paraId="7577E3CD" w14:textId="77777777" w:rsidR="00597DE2" w:rsidRPr="00200A36" w:rsidRDefault="00597DE2" w:rsidP="00597DE2">
      <w:pPr>
        <w:pStyle w:val="ParrafoApendice"/>
      </w:pPr>
      <w:r w:rsidRPr="00C71EC8">
        <w:t xml:space="preserve">base </w:t>
      </w:r>
      <w:proofErr w:type="spellStart"/>
      <w:r w:rsidRPr="00C71EC8">
        <w:t>consistente</w:t>
      </w:r>
      <w:proofErr w:type="spellEnd"/>
      <w:r w:rsidRPr="00C71EC8">
        <w:t xml:space="preserve"> de la </w:t>
      </w:r>
      <w:proofErr w:type="spellStart"/>
      <w:r w:rsidRPr="00C71EC8">
        <w:t>consciencia</w:t>
      </w:r>
      <w:proofErr w:type="spellEnd"/>
      <w:r w:rsidRPr="00C71EC8">
        <w:t xml:space="preserve"> </w:t>
      </w:r>
      <w:proofErr w:type="spellStart"/>
      <w:r w:rsidRPr="00C71EC8">
        <w:t>infinita</w:t>
      </w:r>
      <w:proofErr w:type="spellEnd"/>
      <w:r w:rsidRPr="00C71EC8">
        <w:t xml:space="preserve"> (</w:t>
      </w:r>
      <w:proofErr w:type="spellStart"/>
      <w:r w:rsidRPr="00C71EC8">
        <w:rPr>
          <w:i/>
          <w:iCs/>
        </w:rPr>
        <w:t>viññāṇañcāyatana</w:t>
      </w:r>
      <w:proofErr w:type="spellEnd"/>
      <w:r w:rsidRPr="00C71EC8">
        <w:t xml:space="preserve">) I.140; III.105s.; IX.119, 122; X.25s.; XIV.87, </w:t>
      </w:r>
      <w:r w:rsidRPr="00C71EC8">
        <w:rPr>
          <w:color w:val="833C0B" w:themeColor="accent2" w:themeShade="80"/>
          <w:u w:color="000000"/>
        </w:rPr>
        <w:t>206 {N.H.}</w:t>
      </w:r>
      <w:r w:rsidRPr="00C71EC8">
        <w:t xml:space="preserve">; XV.25s., XVII.125, 135; XXIII.21, 26, 34; </w:t>
      </w:r>
      <w:proofErr w:type="spellStart"/>
      <w:r w:rsidRPr="00C71EC8">
        <w:t>b.c.d.</w:t>
      </w:r>
      <w:proofErr w:type="spellEnd"/>
      <w:r w:rsidRPr="00C71EC8">
        <w:t xml:space="preserve"> </w:t>
      </w:r>
      <w:proofErr w:type="spellStart"/>
      <w:r w:rsidRPr="00C71EC8">
        <w:t>el</w:t>
      </w:r>
      <w:proofErr w:type="spellEnd"/>
      <w:r w:rsidRPr="00C71EC8">
        <w:t xml:space="preserve"> </w:t>
      </w:r>
      <w:proofErr w:type="spellStart"/>
      <w:r w:rsidRPr="00C71EC8">
        <w:t>espacio</w:t>
      </w:r>
      <w:proofErr w:type="spellEnd"/>
      <w:r w:rsidRPr="00C71EC8">
        <w:t xml:space="preserve"> </w:t>
      </w:r>
      <w:proofErr w:type="spellStart"/>
      <w:r w:rsidRPr="00C71EC8">
        <w:t>infinito</w:t>
      </w:r>
      <w:proofErr w:type="spellEnd"/>
      <w:r w:rsidRPr="00C71EC8">
        <w:t xml:space="preserve"> (</w:t>
      </w:r>
      <w:proofErr w:type="spellStart"/>
      <w:r w:rsidRPr="00C71EC8">
        <w:rPr>
          <w:i/>
          <w:iCs/>
        </w:rPr>
        <w:t>ākāsānañcāyatana</w:t>
      </w:r>
      <w:proofErr w:type="spellEnd"/>
      <w:r w:rsidRPr="00C71EC8">
        <w:t xml:space="preserve">) I.140; III.105s.; VII.19; IX.119, 121; X.1s.; XIV.87, 206; XV.25, 26; XVII.125, 184; XXIII. </w:t>
      </w:r>
      <w:r w:rsidRPr="00200A36">
        <w:rPr>
          <w:color w:val="833C0B" w:themeColor="accent2" w:themeShade="80"/>
          <w:u w:color="000000"/>
        </w:rPr>
        <w:t>21, {N.H.}</w:t>
      </w:r>
      <w:r w:rsidRPr="00200A36">
        <w:t xml:space="preserve"> 26; </w:t>
      </w:r>
      <w:proofErr w:type="spellStart"/>
      <w:r w:rsidRPr="00200A36">
        <w:t>b.c.d.</w:t>
      </w:r>
      <w:proofErr w:type="spellEnd"/>
      <w:r w:rsidRPr="00200A36">
        <w:t xml:space="preserve"> la no-</w:t>
      </w:r>
      <w:proofErr w:type="spellStart"/>
      <w:r w:rsidRPr="00200A36">
        <w:t>percepción</w:t>
      </w:r>
      <w:proofErr w:type="spellEnd"/>
      <w:r w:rsidRPr="00200A36">
        <w:t>-</w:t>
      </w:r>
      <w:proofErr w:type="spellStart"/>
      <w:r w:rsidRPr="00200A36">
        <w:t>ni</w:t>
      </w:r>
      <w:proofErr w:type="spellEnd"/>
      <w:r w:rsidRPr="00200A36">
        <w:t>-no-</w:t>
      </w:r>
      <w:proofErr w:type="spellStart"/>
      <w:proofErr w:type="gramStart"/>
      <w:r w:rsidRPr="00200A36">
        <w:t>percepción</w:t>
      </w:r>
      <w:proofErr w:type="spellEnd"/>
      <w:r w:rsidRPr="00200A36">
        <w:t xml:space="preserve">  (</w:t>
      </w:r>
      <w:proofErr w:type="spellStart"/>
      <w:proofErr w:type="gramEnd"/>
      <w:r w:rsidRPr="00200A36">
        <w:rPr>
          <w:i/>
          <w:iCs/>
        </w:rPr>
        <w:t>nevasaññānāsaññāyatana</w:t>
      </w:r>
      <w:proofErr w:type="spellEnd"/>
      <w:r w:rsidRPr="00200A36">
        <w:t xml:space="preserve">) I.140; III.105s.; IV.78; IX.104; XIV. </w:t>
      </w:r>
      <w:r w:rsidRPr="00200A36">
        <w:rPr>
          <w:color w:val="833C0B" w:themeColor="accent2" w:themeShade="80"/>
          <w:u w:color="000000"/>
        </w:rPr>
        <w:t>87</w:t>
      </w:r>
      <w:r w:rsidRPr="00200A36">
        <w:t xml:space="preserve">, 206; XV.25, 26; XVII.75, 125, 135; XXIII.14, 21, 26, 28, 31, 43; </w:t>
      </w:r>
      <w:proofErr w:type="spellStart"/>
      <w:r w:rsidRPr="00200A36">
        <w:t>b.c.d.</w:t>
      </w:r>
      <w:proofErr w:type="spellEnd"/>
      <w:r w:rsidRPr="00200A36">
        <w:t xml:space="preserve"> </w:t>
      </w:r>
      <w:proofErr w:type="spellStart"/>
      <w:r w:rsidRPr="00200A36">
        <w:t>el</w:t>
      </w:r>
      <w:proofErr w:type="spellEnd"/>
      <w:r w:rsidRPr="00200A36">
        <w:t xml:space="preserve"> </w:t>
      </w:r>
      <w:proofErr w:type="spellStart"/>
      <w:r w:rsidRPr="00200A36">
        <w:t>vacío</w:t>
      </w:r>
      <w:proofErr w:type="spellEnd"/>
      <w:r w:rsidRPr="00200A36">
        <w:t xml:space="preserve"> (</w:t>
      </w:r>
      <w:proofErr w:type="spellStart"/>
      <w:r w:rsidRPr="00200A36">
        <w:rPr>
          <w:i/>
          <w:iCs/>
        </w:rPr>
        <w:t>ākiñcaññāyatana</w:t>
      </w:r>
      <w:proofErr w:type="spellEnd"/>
      <w:r w:rsidRPr="00200A36">
        <w:t xml:space="preserve">) I.140; III.105s.; IX.119, 123; XIV.87, 206; XV.25s; XVII.125; XXIII.21, 26, 34, 43 </w:t>
      </w:r>
      <w:r>
        <w:br w:type="column"/>
      </w:r>
    </w:p>
    <w:p w14:paraId="136B2A82" w14:textId="77777777" w:rsidR="00597DE2" w:rsidRPr="005B6D62" w:rsidRDefault="00597DE2" w:rsidP="00597DE2">
      <w:pPr>
        <w:pStyle w:val="ParrafoApendice"/>
        <w:rPr>
          <w:lang w:val="es-PE"/>
        </w:rPr>
      </w:pPr>
      <w:r w:rsidRPr="005B6D62">
        <w:rPr>
          <w:lang w:val="es-PE"/>
        </w:rPr>
        <w:t>base del dominio (</w:t>
      </w:r>
      <w:proofErr w:type="spellStart"/>
      <w:r w:rsidRPr="005B6D62">
        <w:rPr>
          <w:i/>
          <w:iCs/>
          <w:lang w:val="es-PE"/>
        </w:rPr>
        <w:t>abhibhāyatana</w:t>
      </w:r>
      <w:proofErr w:type="spellEnd"/>
      <w:r w:rsidRPr="005B6D62">
        <w:rPr>
          <w:lang w:val="es-PE"/>
        </w:rPr>
        <w:t xml:space="preserve">) </w:t>
      </w:r>
      <w:r w:rsidRPr="005B6D62">
        <w:rPr>
          <w:u w:color="000000"/>
          <w:lang w:val="es-PE"/>
        </w:rPr>
        <w:t>V.28,</w:t>
      </w:r>
      <w:r w:rsidRPr="005B6D62">
        <w:rPr>
          <w:color w:val="833C0B" w:themeColor="accent2" w:themeShade="80"/>
          <w:u w:color="000000"/>
          <w:lang w:val="es-PE"/>
        </w:rPr>
        <w:t xml:space="preserve"> </w:t>
      </w:r>
      <w:r w:rsidRPr="005B6D62">
        <w:rPr>
          <w:lang w:val="es-PE"/>
        </w:rPr>
        <w:t xml:space="preserve">32; VIII.n.37; X.n.3 </w:t>
      </w:r>
    </w:p>
    <w:p w14:paraId="114A7A99" w14:textId="77777777" w:rsidR="00597DE2" w:rsidRPr="005B6D62" w:rsidRDefault="00597DE2" w:rsidP="00597DE2">
      <w:pPr>
        <w:pStyle w:val="ParrafoApendice"/>
        <w:rPr>
          <w:lang w:val="es-PE"/>
        </w:rPr>
      </w:pPr>
      <w:r w:rsidRPr="005B6D62">
        <w:rPr>
          <w:lang w:val="es-PE"/>
        </w:rPr>
        <w:t>base del éxito, ver sendero hacia el poder</w:t>
      </w:r>
    </w:p>
    <w:p w14:paraId="714DE9FD" w14:textId="77777777" w:rsidR="00597DE2" w:rsidRDefault="00597DE2" w:rsidP="00597DE2">
      <w:pPr>
        <w:pStyle w:val="ParrafoApendice"/>
        <w:rPr>
          <w:i/>
          <w:iCs/>
          <w:lang w:val="es-PE"/>
        </w:rPr>
      </w:pPr>
      <w:r w:rsidRPr="005B6D62">
        <w:rPr>
          <w:lang w:val="es-PE"/>
        </w:rPr>
        <w:t>base física (</w:t>
      </w:r>
      <w:proofErr w:type="spellStart"/>
      <w:r w:rsidRPr="00C42E21">
        <w:rPr>
          <w:i/>
          <w:iCs/>
          <w:lang w:val="es-PE"/>
        </w:rPr>
        <w:t>vatthu</w:t>
      </w:r>
      <w:proofErr w:type="spellEnd"/>
      <w:r w:rsidRPr="005B6D62">
        <w:rPr>
          <w:lang w:val="es-PE"/>
        </w:rPr>
        <w:t xml:space="preserve">), </w:t>
      </w:r>
      <w:r>
        <w:rPr>
          <w:lang w:val="es-PE"/>
        </w:rPr>
        <w:t xml:space="preserve">ver también </w:t>
      </w:r>
      <w:r w:rsidRPr="00F53DA3">
        <w:rPr>
          <w:i/>
          <w:iCs/>
          <w:lang w:val="es-PE"/>
        </w:rPr>
        <w:t>base</w:t>
      </w:r>
    </w:p>
    <w:p w14:paraId="551687C5" w14:textId="77777777" w:rsidR="00597DE2" w:rsidRPr="005B6D62" w:rsidRDefault="00597DE2" w:rsidP="00597DE2">
      <w:pPr>
        <w:pStyle w:val="ParrafoApendice"/>
        <w:rPr>
          <w:lang w:val="es-PE"/>
        </w:rPr>
      </w:pPr>
      <w:r w:rsidRPr="005B6D62">
        <w:rPr>
          <w:lang w:val="es-PE"/>
        </w:rPr>
        <w:t>base objetiva (</w:t>
      </w:r>
      <w:proofErr w:type="spellStart"/>
      <w:r w:rsidRPr="005B6D62">
        <w:rPr>
          <w:i/>
          <w:iCs/>
          <w:lang w:val="es-PE"/>
        </w:rPr>
        <w:t>vatthu</w:t>
      </w:r>
      <w:proofErr w:type="spellEnd"/>
      <w:r w:rsidRPr="005B6D62">
        <w:rPr>
          <w:lang w:val="es-PE"/>
        </w:rPr>
        <w:t xml:space="preserve">) XXI.83; </w:t>
      </w:r>
      <w:r w:rsidRPr="005B6D62">
        <w:rPr>
          <w:i/>
          <w:iCs/>
          <w:lang w:val="es-PE"/>
        </w:rPr>
        <w:t>campo objetivo</w:t>
      </w:r>
      <w:r w:rsidRPr="005B6D62">
        <w:rPr>
          <w:lang w:val="es-PE"/>
        </w:rPr>
        <w:t xml:space="preserve"> (</w:t>
      </w:r>
      <w:proofErr w:type="spellStart"/>
      <w:r w:rsidRPr="005B6D62">
        <w:rPr>
          <w:i/>
          <w:iCs/>
          <w:lang w:val="es-PE"/>
        </w:rPr>
        <w:t>visaya</w:t>
      </w:r>
      <w:proofErr w:type="spellEnd"/>
      <w:r w:rsidRPr="005B6D62">
        <w:rPr>
          <w:lang w:val="es-PE"/>
        </w:rPr>
        <w:t xml:space="preserve">) VII.n.7; XIV.46, 54, 76, 130, 134, 197, 213; XV.11; XVII.51, 163; </w:t>
      </w:r>
      <w:r w:rsidRPr="005B6D62">
        <w:rPr>
          <w:color w:val="833C0B" w:themeColor="accent2" w:themeShade="80"/>
          <w:u w:color="000000"/>
          <w:lang w:val="es-PE"/>
        </w:rPr>
        <w:t>XVIII</w:t>
      </w:r>
      <w:r w:rsidRPr="005B6D62">
        <w:rPr>
          <w:lang w:val="es-PE"/>
        </w:rPr>
        <w:t xml:space="preserve">.11 </w:t>
      </w:r>
    </w:p>
    <w:p w14:paraId="5C6369F4" w14:textId="77777777" w:rsidR="00597DE2" w:rsidRPr="005B6D62" w:rsidRDefault="00597DE2" w:rsidP="00597DE2">
      <w:pPr>
        <w:pStyle w:val="ParrafoApendice"/>
        <w:rPr>
          <w:u w:color="000000"/>
          <w:lang w:val="es-PE"/>
        </w:rPr>
      </w:pPr>
      <w:r w:rsidRPr="005B6D62">
        <w:rPr>
          <w:u w:color="000000"/>
          <w:lang w:val="es-PE"/>
        </w:rPr>
        <w:t>base, física (</w:t>
      </w:r>
      <w:proofErr w:type="spellStart"/>
      <w:r w:rsidRPr="005B6D62">
        <w:rPr>
          <w:i/>
          <w:iCs/>
          <w:u w:color="000000"/>
          <w:lang w:val="es-PE"/>
        </w:rPr>
        <w:t>vatthu</w:t>
      </w:r>
      <w:proofErr w:type="spellEnd"/>
      <w:r w:rsidRPr="005B6D62">
        <w:rPr>
          <w:u w:color="000000"/>
          <w:lang w:val="es-PE"/>
        </w:rPr>
        <w:t xml:space="preserve">) I.53; X.16; XI.107; XIV.47, 52, 78; XVII.51, 127s, 151, 189, 193, 204; XVIII.7; XX.25, 31; XXI.83; </w:t>
      </w:r>
      <w:r w:rsidRPr="005B6D62">
        <w:rPr>
          <w:color w:val="833C0B" w:themeColor="accent2" w:themeShade="80"/>
          <w:u w:color="000000"/>
          <w:lang w:val="es-PE"/>
        </w:rPr>
        <w:t>XXII.29 {N.H.}.</w:t>
      </w:r>
      <w:r w:rsidRPr="005B6D62">
        <w:rPr>
          <w:u w:color="000000"/>
          <w:lang w:val="es-PE"/>
        </w:rPr>
        <w:t xml:space="preserve"> Ver también b. del corazón.</w:t>
      </w:r>
    </w:p>
    <w:p w14:paraId="6CE4AA3A" w14:textId="77777777" w:rsidR="00597DE2" w:rsidRPr="00910DEA" w:rsidRDefault="00597DE2" w:rsidP="00597DE2">
      <w:pPr>
        <w:pStyle w:val="ParrafoApendice"/>
        <w:rPr>
          <w:lang w:val="es-PE"/>
        </w:rPr>
      </w:pPr>
      <w:r w:rsidRPr="00910DEA">
        <w:rPr>
          <w:lang w:val="es-PE"/>
        </w:rPr>
        <w:t xml:space="preserve">base–sensual, ver </w:t>
      </w:r>
      <w:r w:rsidRPr="00910DEA">
        <w:rPr>
          <w:i/>
          <w:iCs/>
          <w:lang w:val="es-PE"/>
        </w:rPr>
        <w:t>base</w:t>
      </w:r>
      <w:r w:rsidRPr="00910DEA">
        <w:rPr>
          <w:lang w:val="es-PE"/>
        </w:rPr>
        <w:t xml:space="preserve"> </w:t>
      </w:r>
    </w:p>
    <w:p w14:paraId="1B636530" w14:textId="77777777" w:rsidR="00597DE2" w:rsidRPr="005B6D62" w:rsidRDefault="00597DE2" w:rsidP="00597DE2">
      <w:pPr>
        <w:pStyle w:val="ParrafoApendice"/>
        <w:rPr>
          <w:lang w:val="es-PE"/>
        </w:rPr>
      </w:pPr>
      <w:r w:rsidRPr="005B6D62">
        <w:rPr>
          <w:lang w:val="es-PE"/>
        </w:rPr>
        <w:t>básico (</w:t>
      </w:r>
      <w:proofErr w:type="spellStart"/>
      <w:r w:rsidRPr="005B6D62">
        <w:rPr>
          <w:i/>
          <w:iCs/>
          <w:lang w:val="es-PE"/>
        </w:rPr>
        <w:t>padhāna</w:t>
      </w:r>
      <w:proofErr w:type="spellEnd"/>
      <w:r w:rsidRPr="005B6D62">
        <w:rPr>
          <w:lang w:val="es-PE"/>
        </w:rPr>
        <w:t xml:space="preserve">) XVII.107, 281 </w:t>
      </w:r>
    </w:p>
    <w:p w14:paraId="4F2DAE7D" w14:textId="77777777" w:rsidR="00597DE2" w:rsidRPr="005B6D62" w:rsidRDefault="00597DE2" w:rsidP="00597DE2">
      <w:pPr>
        <w:pStyle w:val="ParrafoApendice"/>
        <w:rPr>
          <w:lang w:val="es-PE"/>
        </w:rPr>
      </w:pPr>
      <w:r w:rsidRPr="005B6D62">
        <w:rPr>
          <w:lang w:val="es-PE"/>
        </w:rPr>
        <w:t>bebé dentro del útero (</w:t>
      </w:r>
      <w:proofErr w:type="spellStart"/>
      <w:r w:rsidRPr="005B6D62">
        <w:rPr>
          <w:i/>
          <w:iCs/>
          <w:lang w:val="es-PE"/>
        </w:rPr>
        <w:t>gabbhaseyyaka</w:t>
      </w:r>
      <w:proofErr w:type="spellEnd"/>
      <w:r w:rsidRPr="005B6D62">
        <w:rPr>
          <w:lang w:val="es-PE"/>
        </w:rPr>
        <w:t>) XVII.286; XX.22</w:t>
      </w:r>
    </w:p>
    <w:p w14:paraId="268BD943" w14:textId="77777777" w:rsidR="00597DE2" w:rsidRPr="005B6D62" w:rsidRDefault="00597DE2" w:rsidP="00597DE2">
      <w:pPr>
        <w:pStyle w:val="ParrafoApendice"/>
        <w:rPr>
          <w:lang w:val="es-PE"/>
        </w:rPr>
      </w:pPr>
      <w:r w:rsidRPr="005B6D62">
        <w:rPr>
          <w:lang w:val="es-PE"/>
        </w:rPr>
        <w:t xml:space="preserve">bello, </w:t>
      </w:r>
      <w:proofErr w:type="spellStart"/>
      <w:r w:rsidRPr="005B6D62">
        <w:rPr>
          <w:lang w:val="es-PE"/>
        </w:rPr>
        <w:t>beelleza</w:t>
      </w:r>
      <w:proofErr w:type="spellEnd"/>
      <w:r w:rsidRPr="005B6D62">
        <w:rPr>
          <w:lang w:val="es-PE"/>
        </w:rPr>
        <w:t xml:space="preserve"> (</w:t>
      </w:r>
      <w:proofErr w:type="spellStart"/>
      <w:r w:rsidRPr="005B6D62">
        <w:rPr>
          <w:i/>
          <w:iCs/>
          <w:lang w:val="es-PE"/>
        </w:rPr>
        <w:t>subha</w:t>
      </w:r>
      <w:proofErr w:type="spellEnd"/>
      <w:r w:rsidRPr="005B6D62">
        <w:rPr>
          <w:lang w:val="es-PE"/>
        </w:rPr>
        <w:t>) I.n.14; V.32; IX.120s.; XIV.226; XV.26, 40; XVI.16, 85, 90; XVII.283; XXI.56. ver también percepción de b.; el elemento b. (</w:t>
      </w:r>
      <w:proofErr w:type="spellStart"/>
      <w:r w:rsidRPr="005B6D62">
        <w:rPr>
          <w:i/>
          <w:iCs/>
          <w:lang w:val="es-PE"/>
        </w:rPr>
        <w:t>subha</w:t>
      </w:r>
      <w:proofErr w:type="spellEnd"/>
      <w:r w:rsidRPr="005B6D62">
        <w:rPr>
          <w:i/>
          <w:iCs/>
          <w:lang w:val="es-PE"/>
        </w:rPr>
        <w:t>–</w:t>
      </w:r>
      <w:proofErr w:type="spellStart"/>
      <w:r w:rsidRPr="005B6D62">
        <w:rPr>
          <w:i/>
          <w:iCs/>
          <w:lang w:val="es-PE"/>
        </w:rPr>
        <w:t>dhātu</w:t>
      </w:r>
      <w:proofErr w:type="spellEnd"/>
      <w:r w:rsidRPr="005B6D62">
        <w:rPr>
          <w:lang w:val="es-PE"/>
        </w:rPr>
        <w:t>) XV.25s.</w:t>
      </w:r>
    </w:p>
    <w:p w14:paraId="5E1AAFBD" w14:textId="77777777" w:rsidR="00597DE2" w:rsidRPr="005B6D62" w:rsidRDefault="00597DE2" w:rsidP="00597DE2">
      <w:pPr>
        <w:pStyle w:val="ParrafoApendice"/>
        <w:rPr>
          <w:u w:color="000000"/>
          <w:lang w:val="es-PE"/>
        </w:rPr>
      </w:pPr>
      <w:proofErr w:type="spellStart"/>
      <w:r w:rsidRPr="005B6D62">
        <w:rPr>
          <w:u w:color="000000"/>
          <w:lang w:val="es-PE"/>
        </w:rPr>
        <w:t>Bhaddiya</w:t>
      </w:r>
      <w:proofErr w:type="spellEnd"/>
      <w:r w:rsidRPr="005B6D62">
        <w:rPr>
          <w:u w:color="000000"/>
          <w:lang w:val="es-PE"/>
        </w:rPr>
        <w:t xml:space="preserve"> </w:t>
      </w:r>
      <w:proofErr w:type="spellStart"/>
      <w:r w:rsidRPr="005B6D62">
        <w:rPr>
          <w:u w:color="000000"/>
          <w:lang w:val="es-PE"/>
        </w:rPr>
        <w:t>Thera</w:t>
      </w:r>
      <w:proofErr w:type="spellEnd"/>
      <w:r w:rsidRPr="005B6D62">
        <w:rPr>
          <w:u w:color="000000"/>
          <w:lang w:val="es-PE"/>
        </w:rPr>
        <w:t xml:space="preserve"> XII.110</w:t>
      </w:r>
    </w:p>
    <w:p w14:paraId="40D4BBAE" w14:textId="77777777" w:rsidR="00597DE2" w:rsidRPr="006D0608" w:rsidRDefault="00597DE2" w:rsidP="00597DE2">
      <w:pPr>
        <w:pStyle w:val="ParrafoApendice"/>
        <w:rPr>
          <w:lang w:val="es-PE"/>
        </w:rPr>
      </w:pPr>
      <w:proofErr w:type="spellStart"/>
      <w:r w:rsidRPr="006D0608">
        <w:rPr>
          <w:color w:val="833C0B" w:themeColor="accent2" w:themeShade="80"/>
          <w:u w:color="000000"/>
          <w:lang w:val="es-PE"/>
        </w:rPr>
        <w:t>Bhandumant</w:t>
      </w:r>
      <w:proofErr w:type="spellEnd"/>
      <w:r w:rsidRPr="006D0608">
        <w:rPr>
          <w:lang w:val="es-PE"/>
        </w:rPr>
        <w:t xml:space="preserve"> XIII.123 </w:t>
      </w:r>
    </w:p>
    <w:p w14:paraId="3C30C9C5" w14:textId="77777777" w:rsidR="00597DE2" w:rsidRPr="006D0608" w:rsidRDefault="00597DE2" w:rsidP="00597DE2">
      <w:pPr>
        <w:pStyle w:val="ParrafoApendice"/>
        <w:rPr>
          <w:lang w:val="es-PE"/>
        </w:rPr>
      </w:pPr>
      <w:proofErr w:type="spellStart"/>
      <w:r w:rsidRPr="006D0608">
        <w:rPr>
          <w:color w:val="833C0B" w:themeColor="accent2" w:themeShade="80"/>
          <w:u w:color="000000"/>
          <w:lang w:val="es-PE"/>
        </w:rPr>
        <w:t>Bhandumatī</w:t>
      </w:r>
      <w:proofErr w:type="spellEnd"/>
      <w:r w:rsidRPr="006D0608">
        <w:rPr>
          <w:lang w:val="es-PE"/>
        </w:rPr>
        <w:t xml:space="preserve"> XIII.123 </w:t>
      </w:r>
    </w:p>
    <w:p w14:paraId="36B94FF3" w14:textId="77777777" w:rsidR="00597DE2" w:rsidRPr="005B6D62" w:rsidRDefault="00597DE2" w:rsidP="00597DE2">
      <w:pPr>
        <w:pStyle w:val="ParrafoApendice"/>
        <w:rPr>
          <w:lang w:val="es-PE"/>
        </w:rPr>
      </w:pPr>
      <w:proofErr w:type="spellStart"/>
      <w:r w:rsidRPr="005B6D62">
        <w:rPr>
          <w:i/>
          <w:iCs/>
          <w:lang w:val="es-PE"/>
        </w:rPr>
        <w:t>bhikkhu</w:t>
      </w:r>
      <w:proofErr w:type="spellEnd"/>
      <w:r w:rsidRPr="005B6D62">
        <w:rPr>
          <w:lang w:val="es-PE"/>
        </w:rPr>
        <w:t xml:space="preserve"> (</w:t>
      </w:r>
      <w:proofErr w:type="spellStart"/>
      <w:r w:rsidRPr="005B6D62">
        <w:rPr>
          <w:i/>
          <w:iCs/>
          <w:lang w:val="es-PE"/>
        </w:rPr>
        <w:t>bhikkhu</w:t>
      </w:r>
      <w:proofErr w:type="spellEnd"/>
      <w:r w:rsidRPr="005B6D62">
        <w:rPr>
          <w:lang w:val="es-PE"/>
        </w:rPr>
        <w:t xml:space="preserve">) I.7, 40, 43; II.90s.; </w:t>
      </w:r>
      <w:r w:rsidRPr="005B6D62">
        <w:rPr>
          <w:color w:val="833C0B" w:themeColor="accent2" w:themeShade="80"/>
          <w:u w:color="000000"/>
          <w:lang w:val="es-PE"/>
        </w:rPr>
        <w:t>II.n.12</w:t>
      </w:r>
      <w:r w:rsidRPr="005B6D62">
        <w:rPr>
          <w:lang w:val="es-PE"/>
        </w:rPr>
        <w:t xml:space="preserve"> </w:t>
      </w:r>
      <w:r w:rsidRPr="005B6D62">
        <w:rPr>
          <w:color w:val="833C0B" w:themeColor="accent2" w:themeShade="80"/>
          <w:u w:color="000000"/>
          <w:lang w:val="es-PE"/>
        </w:rPr>
        <w:t>{N.H.}</w:t>
      </w:r>
    </w:p>
    <w:p w14:paraId="7E3CFEC1" w14:textId="77777777" w:rsidR="00597DE2" w:rsidRPr="002C102E" w:rsidRDefault="00597DE2" w:rsidP="00597DE2">
      <w:pPr>
        <w:pStyle w:val="ParrafoApendice"/>
      </w:pPr>
      <w:proofErr w:type="spellStart"/>
      <w:r w:rsidRPr="002C102E">
        <w:rPr>
          <w:i/>
          <w:iCs/>
        </w:rPr>
        <w:t>bhikkhunī</w:t>
      </w:r>
      <w:proofErr w:type="spellEnd"/>
      <w:r w:rsidRPr="002C102E">
        <w:t xml:space="preserve"> (</w:t>
      </w:r>
      <w:proofErr w:type="spellStart"/>
      <w:r w:rsidRPr="002C102E">
        <w:rPr>
          <w:i/>
          <w:iCs/>
        </w:rPr>
        <w:t>bhikkhunī</w:t>
      </w:r>
      <w:proofErr w:type="spellEnd"/>
      <w:r w:rsidRPr="002C102E">
        <w:t>) I.40; II.90s.</w:t>
      </w:r>
    </w:p>
    <w:p w14:paraId="05063E62" w14:textId="77777777" w:rsidR="00597DE2" w:rsidRPr="002C102E" w:rsidRDefault="00597DE2" w:rsidP="00597DE2">
      <w:pPr>
        <w:pStyle w:val="ParrafoApendice"/>
      </w:pPr>
      <w:proofErr w:type="spellStart"/>
      <w:r w:rsidRPr="002C102E">
        <w:t>Bhīmasena</w:t>
      </w:r>
      <w:proofErr w:type="spellEnd"/>
      <w:r w:rsidRPr="002C102E">
        <w:t xml:space="preserve"> VIII.19</w:t>
      </w:r>
    </w:p>
    <w:p w14:paraId="5B93EA46" w14:textId="77777777" w:rsidR="00597DE2" w:rsidRPr="002C102E" w:rsidRDefault="00597DE2" w:rsidP="00597DE2">
      <w:pPr>
        <w:pStyle w:val="ParrafoApendice"/>
      </w:pPr>
      <w:proofErr w:type="spellStart"/>
      <w:r w:rsidRPr="002C102E">
        <w:t>Bhūtapāla</w:t>
      </w:r>
      <w:proofErr w:type="spellEnd"/>
      <w:r w:rsidRPr="002C102E">
        <w:t xml:space="preserve"> Thera XII.26, 29 </w:t>
      </w:r>
    </w:p>
    <w:p w14:paraId="548F73DE" w14:textId="77777777" w:rsidR="00597DE2" w:rsidRPr="005B6D62" w:rsidRDefault="00597DE2" w:rsidP="00597DE2">
      <w:pPr>
        <w:pStyle w:val="ParrafoApendice"/>
        <w:rPr>
          <w:lang w:val="es-PE"/>
        </w:rPr>
      </w:pPr>
      <w:r w:rsidRPr="005B6D62">
        <w:rPr>
          <w:lang w:val="es-PE"/>
        </w:rPr>
        <w:t>Bienaventurado (</w:t>
      </w:r>
      <w:proofErr w:type="spellStart"/>
      <w:r w:rsidRPr="005B6D62">
        <w:rPr>
          <w:i/>
          <w:iCs/>
          <w:lang w:val="es-PE"/>
        </w:rPr>
        <w:t>bhagavant</w:t>
      </w:r>
      <w:proofErr w:type="spellEnd"/>
      <w:r w:rsidRPr="005B6D62">
        <w:rPr>
          <w:lang w:val="es-PE"/>
        </w:rPr>
        <w:t xml:space="preserve">) IV.132; VII.55s.; XII.71s.; XX.n.20 </w:t>
      </w:r>
    </w:p>
    <w:p w14:paraId="1E5CEFD4" w14:textId="77777777" w:rsidR="00597DE2" w:rsidRPr="005B6D62" w:rsidRDefault="00597DE2" w:rsidP="00597DE2">
      <w:pPr>
        <w:pStyle w:val="ParrafoApendice"/>
        <w:rPr>
          <w:lang w:val="es-PE"/>
        </w:rPr>
      </w:pPr>
      <w:r w:rsidRPr="005B6D62">
        <w:rPr>
          <w:lang w:val="es-PE"/>
        </w:rPr>
        <w:t>bilis (</w:t>
      </w:r>
      <w:proofErr w:type="spellStart"/>
      <w:r w:rsidRPr="005B6D62">
        <w:rPr>
          <w:i/>
          <w:iCs/>
          <w:lang w:val="es-PE"/>
        </w:rPr>
        <w:t>pitta</w:t>
      </w:r>
      <w:proofErr w:type="spellEnd"/>
      <w:r w:rsidRPr="005B6D62">
        <w:rPr>
          <w:lang w:val="es-PE"/>
        </w:rPr>
        <w:t xml:space="preserve">) VIII.127; XI.17; XIII.2, 73 </w:t>
      </w:r>
    </w:p>
    <w:p w14:paraId="6E696C3C" w14:textId="77777777" w:rsidR="00597DE2" w:rsidRPr="005B6D62" w:rsidRDefault="00597DE2" w:rsidP="00597DE2">
      <w:pPr>
        <w:pStyle w:val="ParrafoApendice"/>
        <w:rPr>
          <w:lang w:val="es-PE"/>
        </w:rPr>
      </w:pPr>
      <w:r w:rsidRPr="005B6D62">
        <w:rPr>
          <w:lang w:val="es-PE"/>
        </w:rPr>
        <w:t xml:space="preserve">Bimbisāra VII.23 </w:t>
      </w:r>
    </w:p>
    <w:p w14:paraId="5D6A19EE" w14:textId="77777777" w:rsidR="00597DE2" w:rsidRPr="005B6D62" w:rsidRDefault="00597DE2" w:rsidP="00597DE2">
      <w:pPr>
        <w:pStyle w:val="ParrafoApendice"/>
        <w:rPr>
          <w:lang w:val="es-PE"/>
        </w:rPr>
      </w:pPr>
      <w:r w:rsidRPr="005B6D62">
        <w:rPr>
          <w:i/>
          <w:iCs/>
          <w:lang w:val="es-PE"/>
        </w:rPr>
        <w:t>Bodhisatta</w:t>
      </w:r>
      <w:r w:rsidRPr="005B6D62">
        <w:rPr>
          <w:lang w:val="es-PE"/>
        </w:rPr>
        <w:t xml:space="preserve"> (</w:t>
      </w:r>
      <w:proofErr w:type="spellStart"/>
      <w:r w:rsidRPr="005B6D62">
        <w:rPr>
          <w:i/>
          <w:iCs/>
          <w:lang w:val="es-PE"/>
        </w:rPr>
        <w:t>bodhisatta</w:t>
      </w:r>
      <w:proofErr w:type="spellEnd"/>
      <w:r w:rsidRPr="005B6D62">
        <w:rPr>
          <w:lang w:val="es-PE"/>
        </w:rPr>
        <w:t xml:space="preserve">) I.41; III.128; </w:t>
      </w:r>
      <w:r w:rsidRPr="005B6D62">
        <w:rPr>
          <w:color w:val="833C0B" w:themeColor="accent2" w:themeShade="80"/>
          <w:u w:color="000000"/>
          <w:lang w:val="es-PE"/>
        </w:rPr>
        <w:t>XIII.54</w:t>
      </w:r>
      <w:r w:rsidRPr="005B6D62">
        <w:rPr>
          <w:lang w:val="es-PE"/>
        </w:rPr>
        <w:t xml:space="preserve"> </w:t>
      </w:r>
      <w:r w:rsidRPr="005B6D62">
        <w:rPr>
          <w:color w:val="833C0B" w:themeColor="accent2" w:themeShade="80"/>
          <w:u w:color="000000"/>
          <w:lang w:val="es-PE"/>
        </w:rPr>
        <w:t>{N.H.}</w:t>
      </w:r>
    </w:p>
    <w:p w14:paraId="4A719B19" w14:textId="77777777" w:rsidR="00597DE2" w:rsidRPr="005B6D62" w:rsidRDefault="00597DE2" w:rsidP="00597DE2">
      <w:pPr>
        <w:pStyle w:val="ParrafoApendice"/>
        <w:rPr>
          <w:lang w:val="es-PE"/>
        </w:rPr>
      </w:pPr>
      <w:r w:rsidRPr="005B6D62">
        <w:rPr>
          <w:lang w:val="es-PE"/>
        </w:rPr>
        <w:t>bosque (</w:t>
      </w:r>
      <w:proofErr w:type="spellStart"/>
      <w:r w:rsidRPr="005B6D62">
        <w:rPr>
          <w:i/>
          <w:iCs/>
          <w:lang w:val="es-PE"/>
        </w:rPr>
        <w:t>arañña</w:t>
      </w:r>
      <w:proofErr w:type="spellEnd"/>
      <w:r w:rsidRPr="005B6D62">
        <w:rPr>
          <w:lang w:val="es-PE"/>
        </w:rPr>
        <w:t>) II.9, 48; VIII.</w:t>
      </w:r>
      <w:r w:rsidRPr="005B6D62">
        <w:rPr>
          <w:color w:val="833C0B" w:themeColor="accent2" w:themeShade="80"/>
          <w:u w:color="000000"/>
          <w:lang w:val="es-PE"/>
        </w:rPr>
        <w:t>42s,</w:t>
      </w:r>
      <w:r w:rsidRPr="005B6D62">
        <w:rPr>
          <w:lang w:val="es-PE"/>
        </w:rPr>
        <w:t xml:space="preserve"> 158</w:t>
      </w:r>
      <w:r w:rsidRPr="005B6D62">
        <w:rPr>
          <w:i/>
          <w:iCs/>
          <w:lang w:val="es-PE"/>
        </w:rPr>
        <w:t>; habitante del b</w:t>
      </w:r>
      <w:r w:rsidRPr="005B6D62">
        <w:rPr>
          <w:lang w:val="es-PE"/>
        </w:rPr>
        <w:t>. (</w:t>
      </w:r>
      <w:proofErr w:type="spellStart"/>
      <w:r w:rsidRPr="005B6D62">
        <w:rPr>
          <w:i/>
          <w:iCs/>
          <w:lang w:val="es-PE"/>
        </w:rPr>
        <w:t>āraññika</w:t>
      </w:r>
      <w:proofErr w:type="spellEnd"/>
      <w:r w:rsidRPr="005B6D62">
        <w:rPr>
          <w:lang w:val="es-PE"/>
        </w:rPr>
        <w:t xml:space="preserve">) II.2, 47 </w:t>
      </w:r>
    </w:p>
    <w:p w14:paraId="0357ED8B" w14:textId="77777777" w:rsidR="00597DE2" w:rsidRPr="005B6D62" w:rsidRDefault="00597DE2" w:rsidP="00597DE2">
      <w:pPr>
        <w:pStyle w:val="ParrafoApendice"/>
        <w:rPr>
          <w:lang w:val="es-PE"/>
        </w:rPr>
      </w:pPr>
      <w:r w:rsidRPr="005B6D62">
        <w:rPr>
          <w:i/>
          <w:iCs/>
          <w:lang w:val="es-PE"/>
        </w:rPr>
        <w:t>Brahmā</w:t>
      </w:r>
      <w:r w:rsidRPr="005B6D62">
        <w:rPr>
          <w:lang w:val="es-PE"/>
        </w:rPr>
        <w:t xml:space="preserve"> IX.106; XII.79, 137; XVII.156, 282; XVIII.24</w:t>
      </w:r>
    </w:p>
    <w:p w14:paraId="5F40B0B5" w14:textId="77777777" w:rsidR="00597DE2" w:rsidRPr="005B6D62" w:rsidRDefault="00597DE2" w:rsidP="00597DE2">
      <w:pPr>
        <w:pStyle w:val="ParrafoApendice"/>
        <w:rPr>
          <w:lang w:val="es-PE"/>
        </w:rPr>
      </w:pPr>
      <w:r w:rsidRPr="005B6D62">
        <w:rPr>
          <w:lang w:val="es-PE"/>
        </w:rPr>
        <w:t xml:space="preserve">Brahmā </w:t>
      </w:r>
      <w:proofErr w:type="spellStart"/>
      <w:r w:rsidRPr="005B6D62">
        <w:rPr>
          <w:lang w:val="es-PE"/>
        </w:rPr>
        <w:t>Sahampati</w:t>
      </w:r>
      <w:proofErr w:type="spellEnd"/>
      <w:r w:rsidRPr="005B6D62">
        <w:rPr>
          <w:lang w:val="es-PE"/>
        </w:rPr>
        <w:t xml:space="preserve"> VII.23</w:t>
      </w:r>
    </w:p>
    <w:p w14:paraId="4FC7E6F8" w14:textId="77777777" w:rsidR="00597DE2" w:rsidRPr="005B6D62" w:rsidRDefault="00597DE2" w:rsidP="00597DE2">
      <w:pPr>
        <w:pStyle w:val="ParrafoApendice"/>
        <w:rPr>
          <w:lang w:val="es-PE"/>
        </w:rPr>
      </w:pPr>
      <w:r w:rsidRPr="005B6D62">
        <w:rPr>
          <w:lang w:val="es-PE"/>
        </w:rPr>
        <w:t>Brahman (</w:t>
      </w:r>
      <w:proofErr w:type="spellStart"/>
      <w:r w:rsidRPr="005B6D62">
        <w:rPr>
          <w:i/>
          <w:iCs/>
          <w:lang w:val="es-PE"/>
        </w:rPr>
        <w:t>brāhmaṇa</w:t>
      </w:r>
      <w:proofErr w:type="spellEnd"/>
      <w:r w:rsidRPr="005B6D62">
        <w:rPr>
          <w:lang w:val="es-PE"/>
        </w:rPr>
        <w:t xml:space="preserve">) I.93 </w:t>
      </w:r>
    </w:p>
    <w:p w14:paraId="42F4A26B" w14:textId="77777777" w:rsidR="00597DE2" w:rsidRPr="005B6D62" w:rsidRDefault="00597DE2" w:rsidP="00597DE2">
      <w:pPr>
        <w:pStyle w:val="ParrafoApendice"/>
        <w:rPr>
          <w:lang w:val="es-PE"/>
        </w:rPr>
      </w:pPr>
      <w:proofErr w:type="spellStart"/>
      <w:r w:rsidRPr="005B6D62">
        <w:rPr>
          <w:lang w:val="es-PE"/>
        </w:rPr>
        <w:t>Brahmavatī</w:t>
      </w:r>
      <w:proofErr w:type="spellEnd"/>
      <w:r w:rsidRPr="005B6D62">
        <w:rPr>
          <w:lang w:val="es-PE"/>
        </w:rPr>
        <w:t xml:space="preserve"> XIII.127</w:t>
      </w:r>
    </w:p>
    <w:p w14:paraId="3E07B30B" w14:textId="77777777" w:rsidR="00597DE2" w:rsidRPr="005B6D62" w:rsidRDefault="00597DE2" w:rsidP="00597DE2">
      <w:pPr>
        <w:pStyle w:val="ParrafoApendice"/>
        <w:rPr>
          <w:lang w:val="es-PE"/>
        </w:rPr>
      </w:pPr>
      <w:r w:rsidRPr="005B6D62">
        <w:rPr>
          <w:i/>
          <w:iCs/>
          <w:lang w:val="es-PE"/>
        </w:rPr>
        <w:t>Buddha</w:t>
      </w:r>
      <w:r w:rsidRPr="005B6D62">
        <w:rPr>
          <w:lang w:val="es-PE"/>
        </w:rPr>
        <w:t xml:space="preserve"> (</w:t>
      </w:r>
      <w:r w:rsidRPr="005B6D62">
        <w:rPr>
          <w:i/>
          <w:iCs/>
          <w:lang w:val="es-PE"/>
        </w:rPr>
        <w:t>Buddha</w:t>
      </w:r>
      <w:r w:rsidRPr="005B6D62">
        <w:rPr>
          <w:lang w:val="es-PE"/>
        </w:rPr>
        <w:t>), ver Iluminado</w:t>
      </w:r>
    </w:p>
    <w:p w14:paraId="486C9479" w14:textId="77777777" w:rsidR="00597DE2" w:rsidRPr="005B6D62" w:rsidRDefault="00597DE2" w:rsidP="00597DE2">
      <w:pPr>
        <w:pStyle w:val="ParrafoApendice"/>
        <w:rPr>
          <w:lang w:val="es-PE"/>
        </w:rPr>
      </w:pPr>
      <w:proofErr w:type="spellStart"/>
      <w:r w:rsidRPr="005B6D62">
        <w:rPr>
          <w:lang w:val="es-PE"/>
        </w:rPr>
        <w:t>Buddharakkhita</w:t>
      </w:r>
      <w:proofErr w:type="spellEnd"/>
      <w:r w:rsidRPr="005B6D62">
        <w:rPr>
          <w:lang w:val="es-PE"/>
        </w:rPr>
        <w:t xml:space="preserve"> </w:t>
      </w:r>
      <w:proofErr w:type="spellStart"/>
      <w:r w:rsidRPr="005B6D62">
        <w:rPr>
          <w:lang w:val="es-PE"/>
        </w:rPr>
        <w:t>Thera</w:t>
      </w:r>
      <w:proofErr w:type="spellEnd"/>
      <w:r w:rsidRPr="005B6D62">
        <w:rPr>
          <w:lang w:val="es-PE"/>
        </w:rPr>
        <w:t xml:space="preserve"> IV.135; XII.9</w:t>
      </w:r>
    </w:p>
    <w:p w14:paraId="0888B9E1" w14:textId="77777777" w:rsidR="00597DE2" w:rsidRPr="005B6D62" w:rsidRDefault="00597DE2" w:rsidP="00597DE2">
      <w:pPr>
        <w:pStyle w:val="ParrafoApendice"/>
        <w:rPr>
          <w:lang w:val="es-PE"/>
        </w:rPr>
      </w:pPr>
      <w:r w:rsidRPr="005B6D62">
        <w:rPr>
          <w:lang w:val="es-PE"/>
        </w:rPr>
        <w:t>buscador de casa–en–casa (</w:t>
      </w:r>
      <w:proofErr w:type="spellStart"/>
      <w:r w:rsidRPr="005B6D62">
        <w:rPr>
          <w:i/>
          <w:iCs/>
          <w:lang w:val="es-PE"/>
        </w:rPr>
        <w:t>sapadāna</w:t>
      </w:r>
      <w:proofErr w:type="spellEnd"/>
      <w:r w:rsidRPr="005B6D62">
        <w:rPr>
          <w:i/>
          <w:iCs/>
          <w:lang w:val="es-PE"/>
        </w:rPr>
        <w:t>–</w:t>
      </w:r>
      <w:proofErr w:type="spellStart"/>
      <w:r w:rsidRPr="005B6D62">
        <w:rPr>
          <w:i/>
          <w:iCs/>
          <w:lang w:val="es-PE"/>
        </w:rPr>
        <w:t>cārika</w:t>
      </w:r>
      <w:proofErr w:type="spellEnd"/>
      <w:r w:rsidRPr="005B6D62">
        <w:rPr>
          <w:lang w:val="es-PE"/>
        </w:rPr>
        <w:t xml:space="preserve">) II.2, 31 </w:t>
      </w:r>
    </w:p>
    <w:p w14:paraId="004FB101" w14:textId="77777777" w:rsidR="00597DE2" w:rsidRPr="00AA7FEE" w:rsidRDefault="00597DE2" w:rsidP="00597DE2">
      <w:pPr>
        <w:pStyle w:val="ParrafoApendice"/>
        <w:rPr>
          <w:lang w:val="es-PE"/>
        </w:rPr>
      </w:pPr>
      <w:r>
        <w:rPr>
          <w:lang w:val="es-PE"/>
        </w:rPr>
        <w:t>búsqueda</w:t>
      </w:r>
      <w:r w:rsidRPr="00AA7FEE">
        <w:rPr>
          <w:lang w:val="es-PE"/>
        </w:rPr>
        <w:t xml:space="preserve"> (</w:t>
      </w:r>
      <w:proofErr w:type="spellStart"/>
      <w:r w:rsidRPr="00847E64">
        <w:rPr>
          <w:i/>
          <w:iCs/>
          <w:lang w:val="es-PE"/>
        </w:rPr>
        <w:t>esanā</w:t>
      </w:r>
      <w:proofErr w:type="spellEnd"/>
      <w:r w:rsidRPr="00AA7FEE">
        <w:rPr>
          <w:lang w:val="es-PE"/>
        </w:rPr>
        <w:t xml:space="preserve">) III.58, 124 </w:t>
      </w:r>
    </w:p>
    <w:p w14:paraId="0C4612B0" w14:textId="77777777" w:rsidR="00597DE2" w:rsidRPr="005B6D62" w:rsidRDefault="00597DE2" w:rsidP="00597DE2">
      <w:pPr>
        <w:pStyle w:val="ParrafoApendice"/>
        <w:rPr>
          <w:lang w:val="es-PE"/>
        </w:rPr>
      </w:pPr>
      <w:r w:rsidRPr="005B6D62">
        <w:rPr>
          <w:lang w:val="es-PE"/>
        </w:rPr>
        <w:t>cabellos de la cabeza (</w:t>
      </w:r>
      <w:proofErr w:type="spellStart"/>
      <w:r w:rsidRPr="005B6D62">
        <w:rPr>
          <w:i/>
          <w:iCs/>
          <w:lang w:val="es-PE"/>
        </w:rPr>
        <w:t>kesa</w:t>
      </w:r>
      <w:proofErr w:type="spellEnd"/>
      <w:r w:rsidRPr="005B6D62">
        <w:rPr>
          <w:lang w:val="es-PE"/>
        </w:rPr>
        <w:t>) VII.28; VIII.</w:t>
      </w:r>
      <w:r w:rsidRPr="005B6D62">
        <w:rPr>
          <w:color w:val="833C0B" w:themeColor="accent2" w:themeShade="80"/>
          <w:u w:color="000000"/>
          <w:lang w:val="es-PE"/>
        </w:rPr>
        <w:t>44s,</w:t>
      </w:r>
      <w:r w:rsidRPr="005B6D62">
        <w:rPr>
          <w:lang w:val="es-PE"/>
        </w:rPr>
        <w:t xml:space="preserve"> 83; XI.</w:t>
      </w:r>
      <w:r w:rsidRPr="005B6D62">
        <w:rPr>
          <w:color w:val="833C0B" w:themeColor="accent2" w:themeShade="80"/>
          <w:u w:color="000000"/>
          <w:lang w:val="es-PE"/>
        </w:rPr>
        <w:t>21s,</w:t>
      </w:r>
      <w:r w:rsidRPr="005B6D62">
        <w:rPr>
          <w:lang w:val="es-PE"/>
        </w:rPr>
        <w:t xml:space="preserve"> 48 </w:t>
      </w:r>
    </w:p>
    <w:p w14:paraId="77479A90" w14:textId="77777777" w:rsidR="00597DE2" w:rsidRDefault="00597DE2" w:rsidP="00597DE2">
      <w:pPr>
        <w:pStyle w:val="ParrafoApendice"/>
        <w:rPr>
          <w:lang w:val="es-PE"/>
        </w:rPr>
      </w:pPr>
      <w:r>
        <w:rPr>
          <w:lang w:val="es-PE"/>
        </w:rPr>
        <w:t>cadena</w:t>
      </w:r>
      <w:r w:rsidRPr="005B6D62">
        <w:rPr>
          <w:lang w:val="es-PE"/>
        </w:rPr>
        <w:t>, mental (</w:t>
      </w:r>
      <w:proofErr w:type="spellStart"/>
      <w:r w:rsidRPr="006B433F">
        <w:rPr>
          <w:i/>
          <w:iCs/>
          <w:lang w:val="es-PE"/>
        </w:rPr>
        <w:t>cetaso</w:t>
      </w:r>
      <w:proofErr w:type="spellEnd"/>
      <w:r w:rsidRPr="006B433F">
        <w:rPr>
          <w:i/>
          <w:iCs/>
          <w:lang w:val="es-PE"/>
        </w:rPr>
        <w:t xml:space="preserve"> </w:t>
      </w:r>
      <w:proofErr w:type="spellStart"/>
      <w:r w:rsidRPr="006B433F">
        <w:rPr>
          <w:i/>
          <w:iCs/>
          <w:lang w:val="es-PE"/>
        </w:rPr>
        <w:t>vinibandha</w:t>
      </w:r>
      <w:proofErr w:type="spellEnd"/>
      <w:r w:rsidRPr="005B6D62">
        <w:rPr>
          <w:lang w:val="es-PE"/>
        </w:rPr>
        <w:t>) VII.59, n.25</w:t>
      </w:r>
    </w:p>
    <w:p w14:paraId="11019079" w14:textId="77777777" w:rsidR="00597DE2" w:rsidRDefault="00597DE2" w:rsidP="00597DE2">
      <w:pPr>
        <w:pStyle w:val="ParrafoApendice"/>
        <w:rPr>
          <w:lang w:val="es-PE"/>
        </w:rPr>
      </w:pPr>
    </w:p>
    <w:p w14:paraId="04103A91" w14:textId="77777777" w:rsidR="00597DE2" w:rsidRDefault="00597DE2" w:rsidP="00597DE2">
      <w:pPr>
        <w:pStyle w:val="ParrafoApendice"/>
        <w:rPr>
          <w:lang w:val="es-PE"/>
        </w:rPr>
        <w:sectPr w:rsidR="00597DE2" w:rsidSect="00305694">
          <w:footerReference w:type="default" r:id="rId25"/>
          <w:footnotePr>
            <w:numRestart w:val="eachSect"/>
          </w:footnotePr>
          <w:pgSz w:w="8641" w:h="12962"/>
          <w:pgMar w:top="851" w:right="964" w:bottom="964" w:left="964" w:header="709" w:footer="709" w:gutter="0"/>
          <w:pgNumType w:start="810"/>
          <w:cols w:num="2" w:space="708"/>
          <w:docGrid w:linePitch="360"/>
        </w:sectPr>
      </w:pPr>
    </w:p>
    <w:p w14:paraId="7DA38086" w14:textId="77777777" w:rsidR="00597DE2" w:rsidRPr="005B6D62" w:rsidRDefault="00597DE2" w:rsidP="00597DE2">
      <w:pPr>
        <w:pStyle w:val="ParrafoApendice"/>
        <w:rPr>
          <w:lang w:val="es-PE"/>
        </w:rPr>
      </w:pPr>
    </w:p>
    <w:p w14:paraId="04868932" w14:textId="77777777" w:rsidR="00597DE2" w:rsidRPr="005B6D62" w:rsidRDefault="00597DE2" w:rsidP="00597DE2">
      <w:pPr>
        <w:pStyle w:val="ParrafoApendice"/>
        <w:rPr>
          <w:lang w:val="es-PE"/>
        </w:rPr>
      </w:pPr>
      <w:r w:rsidRPr="005B6D62">
        <w:rPr>
          <w:lang w:val="es-PE"/>
        </w:rPr>
        <w:t>cambio (</w:t>
      </w:r>
      <w:proofErr w:type="spellStart"/>
      <w:r w:rsidRPr="005B6D62">
        <w:rPr>
          <w:i/>
          <w:iCs/>
          <w:lang w:val="es-PE"/>
        </w:rPr>
        <w:t>aññathatta</w:t>
      </w:r>
      <w:proofErr w:type="spellEnd"/>
      <w:r w:rsidRPr="005B6D62">
        <w:rPr>
          <w:lang w:val="es-PE"/>
        </w:rPr>
        <w:t>) VIII.234; (</w:t>
      </w:r>
      <w:proofErr w:type="spellStart"/>
      <w:r w:rsidRPr="005B6D62">
        <w:rPr>
          <w:i/>
          <w:iCs/>
          <w:lang w:val="es-PE"/>
        </w:rPr>
        <w:t>pariṇāma</w:t>
      </w:r>
      <w:proofErr w:type="spellEnd"/>
      <w:r w:rsidRPr="005B6D62">
        <w:rPr>
          <w:lang w:val="es-PE"/>
        </w:rPr>
        <w:t xml:space="preserve">, </w:t>
      </w:r>
      <w:proofErr w:type="spellStart"/>
      <w:r w:rsidRPr="005B6D62">
        <w:rPr>
          <w:i/>
          <w:iCs/>
          <w:lang w:val="es-PE"/>
        </w:rPr>
        <w:t>vipariṇāma</w:t>
      </w:r>
      <w:proofErr w:type="spellEnd"/>
      <w:r w:rsidRPr="005B6D62">
        <w:rPr>
          <w:lang w:val="es-PE"/>
        </w:rPr>
        <w:t xml:space="preserve">) I.140; XVII.63s; XX.97; </w:t>
      </w:r>
      <w:r w:rsidRPr="005B6D62">
        <w:rPr>
          <w:color w:val="833C0B" w:themeColor="accent2" w:themeShade="80"/>
          <w:u w:color="000000"/>
          <w:lang w:val="es-PE"/>
        </w:rPr>
        <w:t>XXI.116. {N.H.}</w:t>
      </w:r>
      <w:r w:rsidRPr="005B6D62">
        <w:rPr>
          <w:lang w:val="es-PE"/>
        </w:rPr>
        <w:t xml:space="preserve"> Ver también contemplación del c.</w:t>
      </w:r>
    </w:p>
    <w:p w14:paraId="384A0806" w14:textId="77777777" w:rsidR="00597DE2" w:rsidRPr="005B6D62" w:rsidRDefault="00597DE2" w:rsidP="00597DE2">
      <w:pPr>
        <w:pStyle w:val="ParrafoApendice"/>
        <w:rPr>
          <w:lang w:val="es-PE"/>
        </w:rPr>
      </w:pPr>
      <w:r w:rsidRPr="005B6D62">
        <w:rPr>
          <w:lang w:val="es-PE"/>
        </w:rPr>
        <w:t>cambio–de–</w:t>
      </w:r>
      <w:proofErr w:type="spellStart"/>
      <w:r w:rsidRPr="005B6D62">
        <w:rPr>
          <w:lang w:val="es-PE"/>
        </w:rPr>
        <w:t>lineage</w:t>
      </w:r>
      <w:proofErr w:type="spellEnd"/>
      <w:r w:rsidRPr="005B6D62">
        <w:rPr>
          <w:lang w:val="es-PE"/>
        </w:rPr>
        <w:t xml:space="preserve"> (</w:t>
      </w:r>
      <w:proofErr w:type="spellStart"/>
      <w:r w:rsidRPr="005B6D62">
        <w:rPr>
          <w:i/>
          <w:iCs/>
          <w:lang w:val="es-PE"/>
        </w:rPr>
        <w:t>gotrabhū</w:t>
      </w:r>
      <w:proofErr w:type="spellEnd"/>
      <w:r w:rsidRPr="005B6D62">
        <w:rPr>
          <w:lang w:val="es-PE"/>
        </w:rPr>
        <w:t xml:space="preserve">) IV.74, n.18; XIII.5; XIV.28, 121; XVII.81; XXI.101, 126, 134; XXII.5f., 44, 56; XXIII.7, 14 </w:t>
      </w:r>
    </w:p>
    <w:p w14:paraId="0B22A540" w14:textId="77777777" w:rsidR="00597DE2" w:rsidRPr="005B6D62" w:rsidRDefault="00597DE2" w:rsidP="00597DE2">
      <w:pPr>
        <w:pStyle w:val="ParrafoApendice"/>
        <w:rPr>
          <w:lang w:val="es-PE"/>
        </w:rPr>
      </w:pPr>
      <w:r w:rsidRPr="005B6D62">
        <w:rPr>
          <w:lang w:val="es-PE"/>
        </w:rPr>
        <w:t>caminante (</w:t>
      </w:r>
      <w:proofErr w:type="spellStart"/>
      <w:r w:rsidRPr="005B6D62">
        <w:rPr>
          <w:i/>
          <w:iCs/>
          <w:lang w:val="es-PE"/>
        </w:rPr>
        <w:t>gamaka</w:t>
      </w:r>
      <w:proofErr w:type="spellEnd"/>
      <w:r w:rsidRPr="005B6D62">
        <w:rPr>
          <w:lang w:val="es-PE"/>
        </w:rPr>
        <w:t>) XVI.90</w:t>
      </w:r>
    </w:p>
    <w:p w14:paraId="4B2A3E46" w14:textId="77777777" w:rsidR="00597DE2" w:rsidRPr="005B6D62" w:rsidRDefault="00597DE2" w:rsidP="00597DE2">
      <w:pPr>
        <w:pStyle w:val="ParrafoApendice"/>
        <w:rPr>
          <w:lang w:val="es-PE"/>
        </w:rPr>
      </w:pPr>
      <w:proofErr w:type="spellStart"/>
      <w:r w:rsidRPr="005B6D62">
        <w:rPr>
          <w:lang w:val="es-PE"/>
        </w:rPr>
        <w:t>Campā</w:t>
      </w:r>
      <w:proofErr w:type="spellEnd"/>
      <w:r w:rsidRPr="005B6D62">
        <w:rPr>
          <w:lang w:val="es-PE"/>
        </w:rPr>
        <w:t xml:space="preserve"> VII.51</w:t>
      </w:r>
    </w:p>
    <w:p w14:paraId="2EA3DBD9" w14:textId="77777777" w:rsidR="00597DE2" w:rsidRPr="005B6D62" w:rsidRDefault="00597DE2" w:rsidP="00597DE2">
      <w:pPr>
        <w:pStyle w:val="ParrafoApendice"/>
        <w:rPr>
          <w:lang w:val="es-PE"/>
        </w:rPr>
      </w:pPr>
      <w:r w:rsidRPr="005B6D62">
        <w:rPr>
          <w:lang w:val="es-PE"/>
        </w:rPr>
        <w:t>campo, esfera (</w:t>
      </w:r>
      <w:proofErr w:type="spellStart"/>
      <w:r w:rsidRPr="005B6D62">
        <w:rPr>
          <w:i/>
          <w:iCs/>
          <w:lang w:val="es-PE"/>
        </w:rPr>
        <w:t>khetta</w:t>
      </w:r>
      <w:proofErr w:type="spellEnd"/>
      <w:r w:rsidRPr="005B6D62">
        <w:rPr>
          <w:lang w:val="es-PE"/>
        </w:rPr>
        <w:t xml:space="preserve">) XIII.31 </w:t>
      </w:r>
    </w:p>
    <w:p w14:paraId="5F35D432" w14:textId="77777777" w:rsidR="00597DE2" w:rsidRPr="005B6D62" w:rsidRDefault="00597DE2" w:rsidP="00597DE2">
      <w:pPr>
        <w:pStyle w:val="ParrafoApendice"/>
        <w:rPr>
          <w:lang w:val="es-PE"/>
        </w:rPr>
      </w:pPr>
      <w:r w:rsidRPr="005B6D62">
        <w:rPr>
          <w:lang w:val="es-PE"/>
        </w:rPr>
        <w:t>campos objetivos contiguos (</w:t>
      </w:r>
      <w:proofErr w:type="spellStart"/>
      <w:r w:rsidRPr="005B6D62">
        <w:rPr>
          <w:i/>
          <w:iCs/>
          <w:lang w:val="es-PE"/>
        </w:rPr>
        <w:t>sampattavisaya</w:t>
      </w:r>
      <w:proofErr w:type="spellEnd"/>
      <w:r w:rsidRPr="005B6D62">
        <w:rPr>
          <w:lang w:val="es-PE"/>
        </w:rPr>
        <w:t>) XIV.46, 76; XVII.56</w:t>
      </w:r>
    </w:p>
    <w:p w14:paraId="2F1A5D21" w14:textId="77777777" w:rsidR="00597DE2" w:rsidRPr="005B6D62" w:rsidRDefault="00597DE2" w:rsidP="00597DE2">
      <w:pPr>
        <w:pStyle w:val="ParrafoApendice"/>
        <w:rPr>
          <w:lang w:val="es-PE"/>
        </w:rPr>
      </w:pPr>
      <w:proofErr w:type="spellStart"/>
      <w:r w:rsidRPr="005B6D62">
        <w:rPr>
          <w:lang w:val="es-PE"/>
        </w:rPr>
        <w:t>Candapadumasiri</w:t>
      </w:r>
      <w:proofErr w:type="spellEnd"/>
      <w:r w:rsidRPr="005B6D62">
        <w:rPr>
          <w:lang w:val="es-PE"/>
        </w:rPr>
        <w:t xml:space="preserve"> XII.42</w:t>
      </w:r>
    </w:p>
    <w:p w14:paraId="21738219" w14:textId="77777777" w:rsidR="00597DE2" w:rsidRPr="005B6D62" w:rsidRDefault="00597DE2" w:rsidP="00597DE2">
      <w:pPr>
        <w:pStyle w:val="ParrafoApendice"/>
        <w:rPr>
          <w:lang w:val="es-PE"/>
        </w:rPr>
      </w:pPr>
      <w:proofErr w:type="spellStart"/>
      <w:r w:rsidRPr="005B6D62">
        <w:rPr>
          <w:lang w:val="es-PE"/>
        </w:rPr>
        <w:t>Cāṇura</w:t>
      </w:r>
      <w:proofErr w:type="spellEnd"/>
      <w:r w:rsidRPr="005B6D62">
        <w:rPr>
          <w:lang w:val="es-PE"/>
        </w:rPr>
        <w:t xml:space="preserve"> VIII.19</w:t>
      </w:r>
    </w:p>
    <w:p w14:paraId="6752BB04" w14:textId="77777777" w:rsidR="00597DE2" w:rsidRPr="005B6D62" w:rsidRDefault="00597DE2" w:rsidP="00597DE2">
      <w:pPr>
        <w:pStyle w:val="ParrafoApendice"/>
        <w:rPr>
          <w:lang w:val="es-PE"/>
        </w:rPr>
      </w:pPr>
      <w:r w:rsidRPr="005B6D62">
        <w:rPr>
          <w:lang w:val="es-PE"/>
        </w:rPr>
        <w:t>característica (</w:t>
      </w:r>
      <w:r w:rsidRPr="005B6D62">
        <w:rPr>
          <w:i/>
          <w:iCs/>
          <w:lang w:val="es-PE"/>
        </w:rPr>
        <w:t>lakkhaṇa</w:t>
      </w:r>
      <w:r w:rsidRPr="005B6D62">
        <w:rPr>
          <w:lang w:val="es-PE"/>
        </w:rPr>
        <w:t xml:space="preserve">) I.20; VIII.180, </w:t>
      </w:r>
      <w:r w:rsidRPr="005B6D62">
        <w:rPr>
          <w:color w:val="833C0B" w:themeColor="accent2" w:themeShade="80"/>
          <w:u w:color="000000"/>
          <w:lang w:val="es-PE"/>
        </w:rPr>
        <w:t>n.62</w:t>
      </w:r>
      <w:r w:rsidRPr="005B6D62">
        <w:rPr>
          <w:lang w:val="es-PE"/>
        </w:rPr>
        <w:t>; XIV.3, 8</w:t>
      </w:r>
      <w:r w:rsidRPr="005B6D62">
        <w:rPr>
          <w:color w:val="833C0B" w:themeColor="accent2" w:themeShade="80"/>
          <w:u w:color="000000"/>
          <w:lang w:val="es-PE"/>
        </w:rPr>
        <w:t>s</w:t>
      </w:r>
      <w:r w:rsidRPr="005B6D62">
        <w:rPr>
          <w:lang w:val="es-PE"/>
        </w:rPr>
        <w:t>, 77; XVII.51; XVIII.19; XX.3s., 45s.; XXI.2s., 52, n.4; XXII.99s., n.11</w:t>
      </w:r>
    </w:p>
    <w:p w14:paraId="6BDD82A9" w14:textId="77777777" w:rsidR="00597DE2" w:rsidRPr="005B6D62" w:rsidRDefault="00597DE2" w:rsidP="00597DE2">
      <w:pPr>
        <w:pStyle w:val="ParrafoApendice"/>
        <w:rPr>
          <w:lang w:val="es-PE"/>
        </w:rPr>
      </w:pPr>
      <w:r w:rsidRPr="005B6D62">
        <w:rPr>
          <w:lang w:val="es-PE"/>
        </w:rPr>
        <w:t>carencia de/de pocos deseos (</w:t>
      </w:r>
      <w:proofErr w:type="spellStart"/>
      <w:r w:rsidRPr="005B6D62">
        <w:rPr>
          <w:i/>
          <w:iCs/>
          <w:lang w:val="es-PE"/>
        </w:rPr>
        <w:t>appicchatā</w:t>
      </w:r>
      <w:proofErr w:type="spellEnd"/>
      <w:r w:rsidRPr="005B6D62">
        <w:rPr>
          <w:lang w:val="es-PE"/>
        </w:rPr>
        <w:t xml:space="preserve">) I.151; II.12s., 83s.; XIV.155; XVI.86 </w:t>
      </w:r>
    </w:p>
    <w:p w14:paraId="2BEA710D" w14:textId="77777777" w:rsidR="00597DE2" w:rsidRPr="005B6D62" w:rsidRDefault="00597DE2" w:rsidP="00597DE2">
      <w:pPr>
        <w:pStyle w:val="ParrafoApendice"/>
        <w:rPr>
          <w:lang w:val="es-PE"/>
        </w:rPr>
      </w:pPr>
      <w:proofErr w:type="spellStart"/>
      <w:r w:rsidRPr="005B6D62">
        <w:rPr>
          <w:lang w:val="es-PE"/>
        </w:rPr>
        <w:t>Catumahārājā</w:t>
      </w:r>
      <w:proofErr w:type="spellEnd"/>
      <w:r w:rsidRPr="005B6D62">
        <w:rPr>
          <w:lang w:val="es-PE"/>
        </w:rPr>
        <w:t xml:space="preserve"> (Cuatro Reyes Divinos) VII.42; XIII.41 </w:t>
      </w:r>
    </w:p>
    <w:p w14:paraId="5BFFC9AD" w14:textId="77777777" w:rsidR="00597DE2" w:rsidRPr="005B6D62" w:rsidRDefault="00597DE2" w:rsidP="00597DE2">
      <w:pPr>
        <w:pStyle w:val="ParrafoApendice"/>
        <w:rPr>
          <w:lang w:val="es-PE"/>
        </w:rPr>
      </w:pPr>
      <w:r w:rsidRPr="005B6D62">
        <w:rPr>
          <w:lang w:val="es-PE"/>
        </w:rPr>
        <w:t>causa (</w:t>
      </w:r>
      <w:proofErr w:type="spellStart"/>
      <w:r w:rsidRPr="005B6D62">
        <w:rPr>
          <w:i/>
          <w:iCs/>
          <w:lang w:val="es-PE"/>
        </w:rPr>
        <w:t>hetu</w:t>
      </w:r>
      <w:proofErr w:type="spellEnd"/>
      <w:r w:rsidRPr="005B6D62">
        <w:rPr>
          <w:lang w:val="es-PE"/>
        </w:rPr>
        <w:t>) XIV.22s., 191, n.74; XV.24; XVI.28, 85, 91, 104; XVII.14s, 67, 105, 286s., 291, 310; XIX.2s; XX.102; XXII.97. Ver también c. raíz.</w:t>
      </w:r>
    </w:p>
    <w:p w14:paraId="7EE8D666" w14:textId="77777777" w:rsidR="00597DE2" w:rsidRPr="0080460A" w:rsidRDefault="00597DE2" w:rsidP="00597DE2">
      <w:pPr>
        <w:pStyle w:val="ParrafoApendice"/>
        <w:rPr>
          <w:lang w:val="es-PE"/>
        </w:rPr>
      </w:pPr>
      <w:r w:rsidRPr="0080460A">
        <w:rPr>
          <w:lang w:val="es-PE"/>
        </w:rPr>
        <w:t>causa–</w:t>
      </w:r>
      <w:r>
        <w:rPr>
          <w:lang w:val="es-PE"/>
        </w:rPr>
        <w:t xml:space="preserve">raíz </w:t>
      </w:r>
      <w:r w:rsidRPr="0080460A">
        <w:rPr>
          <w:lang w:val="es-PE"/>
        </w:rPr>
        <w:t>(</w:t>
      </w:r>
      <w:proofErr w:type="spellStart"/>
      <w:r w:rsidRPr="0080460A">
        <w:rPr>
          <w:i/>
          <w:iCs/>
          <w:lang w:val="es-PE"/>
        </w:rPr>
        <w:t>hetu</w:t>
      </w:r>
      <w:proofErr w:type="spellEnd"/>
      <w:r w:rsidRPr="0080460A">
        <w:rPr>
          <w:lang w:val="es-PE"/>
        </w:rPr>
        <w:t>) III.83; XIV.72, 94</w:t>
      </w:r>
      <w:r>
        <w:rPr>
          <w:lang w:val="es-PE"/>
        </w:rPr>
        <w:t>s</w:t>
      </w:r>
      <w:r w:rsidRPr="0080460A">
        <w:rPr>
          <w:lang w:val="es-PE"/>
        </w:rPr>
        <w:t>., 111, 116, 127, 179, 206, n.2 XVII.54, 66</w:t>
      </w:r>
      <w:r>
        <w:rPr>
          <w:lang w:val="es-PE"/>
        </w:rPr>
        <w:t>s</w:t>
      </w:r>
      <w:r w:rsidRPr="0080460A">
        <w:rPr>
          <w:lang w:val="es-PE"/>
        </w:rPr>
        <w:t>., 160</w:t>
      </w:r>
    </w:p>
    <w:p w14:paraId="4575FE1E" w14:textId="77777777" w:rsidR="00597DE2" w:rsidRDefault="00597DE2" w:rsidP="00597DE2">
      <w:pPr>
        <w:pStyle w:val="ParrafoApendice"/>
        <w:rPr>
          <w:lang w:val="es-PE"/>
        </w:rPr>
      </w:pPr>
      <w:r w:rsidRPr="00DC5FE8">
        <w:rPr>
          <w:lang w:val="es-PE"/>
        </w:rPr>
        <w:t>celo (</w:t>
      </w:r>
      <w:r w:rsidRPr="00DC5FE8">
        <w:rPr>
          <w:i/>
          <w:iCs/>
          <w:lang w:val="es-PE"/>
        </w:rPr>
        <w:t>chanda</w:t>
      </w:r>
      <w:r w:rsidRPr="00DC5FE8">
        <w:rPr>
          <w:lang w:val="es-PE"/>
        </w:rPr>
        <w:t>) I.33; III.24; IV.85, n.24; IX.102; XII.12, 50; XIV.133, 150, 159, 170; XVI.86; XVII.72; XXII.36, 39, 42, 55</w:t>
      </w:r>
    </w:p>
    <w:p w14:paraId="5AA29080" w14:textId="77777777" w:rsidR="00597DE2" w:rsidRPr="005B6D62" w:rsidRDefault="00597DE2" w:rsidP="00597DE2">
      <w:pPr>
        <w:pStyle w:val="ParrafoApendice"/>
        <w:rPr>
          <w:lang w:val="es-PE"/>
        </w:rPr>
      </w:pPr>
      <w:r w:rsidRPr="005B6D62">
        <w:rPr>
          <w:lang w:val="es-PE"/>
        </w:rPr>
        <w:t>cerebro (</w:t>
      </w:r>
      <w:proofErr w:type="spellStart"/>
      <w:r w:rsidRPr="005B6D62">
        <w:rPr>
          <w:i/>
          <w:iCs/>
          <w:lang w:val="es-PE"/>
        </w:rPr>
        <w:t>matthaluṅga</w:t>
      </w:r>
      <w:proofErr w:type="spellEnd"/>
      <w:r w:rsidRPr="005B6D62">
        <w:rPr>
          <w:lang w:val="es-PE"/>
        </w:rPr>
        <w:t>) VI.25; VIII.44, 126, 136; XI.34, 68</w:t>
      </w:r>
    </w:p>
    <w:p w14:paraId="298E62E8" w14:textId="77777777" w:rsidR="00597DE2" w:rsidRPr="005B6D62" w:rsidRDefault="00597DE2" w:rsidP="00597DE2">
      <w:pPr>
        <w:pStyle w:val="ParrafoApendice"/>
        <w:rPr>
          <w:lang w:val="es-PE"/>
        </w:rPr>
      </w:pPr>
      <w:r w:rsidRPr="005B6D62">
        <w:rPr>
          <w:lang w:val="es-PE"/>
        </w:rPr>
        <w:t>cesación (</w:t>
      </w:r>
      <w:proofErr w:type="spellStart"/>
      <w:r w:rsidRPr="005B6D62">
        <w:rPr>
          <w:i/>
          <w:iCs/>
          <w:lang w:val="es-PE"/>
        </w:rPr>
        <w:t>nirodha</w:t>
      </w:r>
      <w:proofErr w:type="spellEnd"/>
      <w:r w:rsidRPr="005B6D62">
        <w:rPr>
          <w:lang w:val="es-PE"/>
        </w:rPr>
        <w:t>) I.140; IV.78, 186; VII.27s; XVI.15, 18, 23s., 62s., 94; XVII.62; XX.7, 100; XXI.10s, 77; XXII.5, 46s, 92; XXIII. 6, 10s, 28; absorción de la cesación (</w:t>
      </w:r>
      <w:proofErr w:type="spellStart"/>
      <w:r w:rsidRPr="005B6D62">
        <w:rPr>
          <w:i/>
          <w:iCs/>
          <w:lang w:val="es-PE"/>
        </w:rPr>
        <w:t>nirodha</w:t>
      </w:r>
      <w:proofErr w:type="spellEnd"/>
      <w:r w:rsidRPr="005B6D62">
        <w:rPr>
          <w:i/>
          <w:iCs/>
          <w:lang w:val="es-PE"/>
        </w:rPr>
        <w:t>–</w:t>
      </w:r>
      <w:proofErr w:type="spellStart"/>
      <w:r w:rsidRPr="005B6D62">
        <w:rPr>
          <w:i/>
          <w:iCs/>
          <w:lang w:val="es-PE"/>
        </w:rPr>
        <w:t>samāpatti</w:t>
      </w:r>
      <w:proofErr w:type="spellEnd"/>
      <w:r w:rsidRPr="005B6D62">
        <w:rPr>
          <w:lang w:val="es-PE"/>
        </w:rPr>
        <w:t>) III.120; IX.104; XI.124; XII.32; XVII.47; XXIII.14; 17s. Ver también contemplación de la c.</w:t>
      </w:r>
    </w:p>
    <w:p w14:paraId="5675210B" w14:textId="77777777" w:rsidR="00597DE2" w:rsidRPr="005B6D62" w:rsidRDefault="00597DE2" w:rsidP="00597DE2">
      <w:pPr>
        <w:pStyle w:val="ParrafoApendice"/>
        <w:rPr>
          <w:lang w:val="es-PE"/>
        </w:rPr>
      </w:pPr>
      <w:proofErr w:type="spellStart"/>
      <w:r w:rsidRPr="005B6D62">
        <w:rPr>
          <w:lang w:val="es-PE"/>
        </w:rPr>
        <w:t>Cetiyagiri</w:t>
      </w:r>
      <w:proofErr w:type="spellEnd"/>
      <w:r w:rsidRPr="005B6D62">
        <w:rPr>
          <w:lang w:val="es-PE"/>
        </w:rPr>
        <w:t xml:space="preserve"> IV.10</w:t>
      </w:r>
    </w:p>
    <w:p w14:paraId="668176C4" w14:textId="77777777" w:rsidR="00597DE2" w:rsidRPr="005B6D62" w:rsidRDefault="00597DE2" w:rsidP="00597DE2">
      <w:pPr>
        <w:pStyle w:val="ParrafoApendice"/>
        <w:rPr>
          <w:lang w:val="es-PE"/>
        </w:rPr>
      </w:pPr>
      <w:proofErr w:type="spellStart"/>
      <w:r w:rsidRPr="005B6D62">
        <w:rPr>
          <w:lang w:val="es-PE"/>
        </w:rPr>
        <w:t>Cetiyapabbata</w:t>
      </w:r>
      <w:proofErr w:type="spellEnd"/>
      <w:r w:rsidRPr="005B6D62">
        <w:rPr>
          <w:lang w:val="es-PE"/>
        </w:rPr>
        <w:t xml:space="preserve"> I.55; II.13; VI.88</w:t>
      </w:r>
    </w:p>
    <w:p w14:paraId="0FB619E5" w14:textId="77777777" w:rsidR="00597DE2" w:rsidRPr="005B6D62" w:rsidRDefault="00597DE2" w:rsidP="00597DE2">
      <w:pPr>
        <w:pStyle w:val="ParrafoApendice"/>
        <w:rPr>
          <w:lang w:val="es-PE"/>
        </w:rPr>
      </w:pPr>
      <w:proofErr w:type="spellStart"/>
      <w:r w:rsidRPr="005B6D62">
        <w:rPr>
          <w:lang w:val="es-PE"/>
        </w:rPr>
        <w:t>Chaddanta</w:t>
      </w:r>
      <w:proofErr w:type="spellEnd"/>
      <w:r w:rsidRPr="005B6D62">
        <w:rPr>
          <w:lang w:val="es-PE"/>
        </w:rPr>
        <w:t xml:space="preserve"> </w:t>
      </w:r>
      <w:proofErr w:type="spellStart"/>
      <w:r w:rsidRPr="005B6D62">
        <w:rPr>
          <w:lang w:val="es-PE"/>
        </w:rPr>
        <w:t>Nāgarājā</w:t>
      </w:r>
      <w:proofErr w:type="spellEnd"/>
      <w:r w:rsidRPr="005B6D62">
        <w:rPr>
          <w:lang w:val="es-PE"/>
        </w:rPr>
        <w:t xml:space="preserve"> XXI.43 </w:t>
      </w:r>
    </w:p>
    <w:p w14:paraId="580C0DC1" w14:textId="77777777" w:rsidR="00597DE2" w:rsidRPr="005B6D62" w:rsidRDefault="00597DE2" w:rsidP="00597DE2">
      <w:pPr>
        <w:pStyle w:val="ParrafoApendice"/>
        <w:rPr>
          <w:lang w:val="es-PE"/>
        </w:rPr>
      </w:pPr>
      <w:proofErr w:type="spellStart"/>
      <w:r w:rsidRPr="005B6D62">
        <w:rPr>
          <w:lang w:val="es-PE"/>
        </w:rPr>
        <w:t>Chaddanta</w:t>
      </w:r>
      <w:proofErr w:type="spellEnd"/>
      <w:r w:rsidRPr="005B6D62">
        <w:rPr>
          <w:lang w:val="es-PE"/>
        </w:rPr>
        <w:t xml:space="preserve">, Lago XIII.38; XXI.43 </w:t>
      </w:r>
    </w:p>
    <w:p w14:paraId="61787B5B" w14:textId="77777777" w:rsidR="00597DE2" w:rsidRPr="00791D0B" w:rsidRDefault="00597DE2" w:rsidP="00597DE2">
      <w:pPr>
        <w:pStyle w:val="ParrafoApendice"/>
        <w:rPr>
          <w:lang w:val="es-PE"/>
        </w:rPr>
      </w:pPr>
      <w:r w:rsidRPr="00791D0B">
        <w:rPr>
          <w:lang w:val="es-PE"/>
        </w:rPr>
        <w:t>charla indirecta (</w:t>
      </w:r>
      <w:proofErr w:type="spellStart"/>
      <w:r w:rsidRPr="00791D0B">
        <w:rPr>
          <w:i/>
          <w:iCs/>
          <w:lang w:val="es-PE"/>
        </w:rPr>
        <w:t>parikathā</w:t>
      </w:r>
      <w:proofErr w:type="spellEnd"/>
      <w:r w:rsidRPr="00791D0B">
        <w:rPr>
          <w:lang w:val="es-PE"/>
        </w:rPr>
        <w:t xml:space="preserve">) I.63, 79, 113s. </w:t>
      </w:r>
    </w:p>
    <w:p w14:paraId="66212E85" w14:textId="77777777" w:rsidR="00597DE2" w:rsidRPr="00D33CBB" w:rsidRDefault="00597DE2" w:rsidP="00597DE2">
      <w:pPr>
        <w:pStyle w:val="ParrafoApendice"/>
        <w:rPr>
          <w:lang w:val="es-PE"/>
        </w:rPr>
      </w:pPr>
      <w:r w:rsidRPr="00D33CBB">
        <w:rPr>
          <w:lang w:val="es-PE"/>
        </w:rPr>
        <w:t>charla, las 10 instancias para una (</w:t>
      </w:r>
      <w:r w:rsidRPr="00D33CBB">
        <w:rPr>
          <w:i/>
          <w:iCs/>
          <w:lang w:val="es-PE"/>
        </w:rPr>
        <w:t>dasa–</w:t>
      </w:r>
      <w:proofErr w:type="spellStart"/>
      <w:r w:rsidRPr="00D33CBB">
        <w:rPr>
          <w:i/>
          <w:iCs/>
          <w:lang w:val="es-PE"/>
        </w:rPr>
        <w:t>kathāvatthu</w:t>
      </w:r>
      <w:proofErr w:type="spellEnd"/>
      <w:r w:rsidRPr="00D33CBB">
        <w:rPr>
          <w:lang w:val="es-PE"/>
        </w:rPr>
        <w:t xml:space="preserve">) I.49; IV.38; </w:t>
      </w:r>
      <w:r w:rsidRPr="00982408">
        <w:rPr>
          <w:i/>
          <w:iCs/>
          <w:lang w:val="es-PE"/>
        </w:rPr>
        <w:t>32 tipos de charla sin propósito</w:t>
      </w:r>
      <w:r w:rsidRPr="00D33CBB">
        <w:rPr>
          <w:lang w:val="es-PE"/>
        </w:rPr>
        <w:t xml:space="preserve"> (</w:t>
      </w:r>
      <w:proofErr w:type="spellStart"/>
      <w:r w:rsidRPr="00982408">
        <w:rPr>
          <w:i/>
          <w:iCs/>
          <w:lang w:val="es-PE"/>
        </w:rPr>
        <w:t>tiracchāna</w:t>
      </w:r>
      <w:proofErr w:type="spellEnd"/>
      <w:r w:rsidRPr="00982408">
        <w:rPr>
          <w:i/>
          <w:iCs/>
          <w:lang w:val="es-PE"/>
        </w:rPr>
        <w:t>–</w:t>
      </w:r>
      <w:proofErr w:type="spellStart"/>
      <w:r w:rsidRPr="00982408">
        <w:rPr>
          <w:i/>
          <w:iCs/>
          <w:lang w:val="es-PE"/>
        </w:rPr>
        <w:t>kathā</w:t>
      </w:r>
      <w:proofErr w:type="spellEnd"/>
      <w:r w:rsidRPr="00D33CBB">
        <w:rPr>
          <w:lang w:val="es-PE"/>
        </w:rPr>
        <w:t>) IV.n.15</w:t>
      </w:r>
    </w:p>
    <w:p w14:paraId="220283B4" w14:textId="77777777" w:rsidR="00597DE2" w:rsidRPr="005B6D62" w:rsidRDefault="00597DE2" w:rsidP="00597DE2">
      <w:pPr>
        <w:pStyle w:val="ParrafoApendice"/>
        <w:rPr>
          <w:lang w:val="es-PE"/>
        </w:rPr>
      </w:pPr>
      <w:r w:rsidRPr="005B6D62">
        <w:rPr>
          <w:lang w:val="es-PE"/>
        </w:rPr>
        <w:t>chisme (</w:t>
      </w:r>
      <w:proofErr w:type="spellStart"/>
      <w:r w:rsidRPr="005B6D62">
        <w:rPr>
          <w:i/>
          <w:iCs/>
          <w:lang w:val="es-PE"/>
        </w:rPr>
        <w:t>samphappalāpa</w:t>
      </w:r>
      <w:proofErr w:type="spellEnd"/>
      <w:r w:rsidRPr="005B6D62">
        <w:rPr>
          <w:lang w:val="es-PE"/>
        </w:rPr>
        <w:t>) I.140; XXII.</w:t>
      </w:r>
      <w:r w:rsidRPr="005B6D62">
        <w:rPr>
          <w:color w:val="833C0B" w:themeColor="accent2" w:themeShade="80"/>
          <w:u w:color="000000"/>
          <w:lang w:val="es-PE"/>
        </w:rPr>
        <w:t>62,</w:t>
      </w:r>
      <w:r w:rsidRPr="005B6D62">
        <w:rPr>
          <w:lang w:val="es-PE"/>
        </w:rPr>
        <w:t xml:space="preserve"> 66</w:t>
      </w:r>
    </w:p>
    <w:p w14:paraId="55834CA2" w14:textId="77777777" w:rsidR="00597DE2" w:rsidRDefault="00597DE2" w:rsidP="00597DE2">
      <w:pPr>
        <w:pStyle w:val="ParrafoApendice"/>
        <w:rPr>
          <w:lang w:val="es-PE"/>
        </w:rPr>
      </w:pPr>
      <w:r>
        <w:rPr>
          <w:lang w:val="es-PE"/>
        </w:rPr>
        <w:br w:type="column"/>
      </w:r>
    </w:p>
    <w:p w14:paraId="291FBE31" w14:textId="77777777" w:rsidR="00597DE2" w:rsidRPr="001547C7" w:rsidRDefault="00597DE2" w:rsidP="00597DE2">
      <w:pPr>
        <w:pStyle w:val="ParrafoApendice"/>
        <w:rPr>
          <w:lang w:val="es-PE"/>
        </w:rPr>
      </w:pPr>
      <w:r w:rsidRPr="001547C7">
        <w:rPr>
          <w:lang w:val="es-PE"/>
        </w:rPr>
        <w:t>ciclo de contaminaciones (</w:t>
      </w:r>
      <w:proofErr w:type="spellStart"/>
      <w:r w:rsidRPr="001547C7">
        <w:rPr>
          <w:i/>
          <w:iCs/>
          <w:lang w:val="es-PE"/>
        </w:rPr>
        <w:t>kilesa</w:t>
      </w:r>
      <w:proofErr w:type="spellEnd"/>
      <w:r w:rsidRPr="001547C7">
        <w:rPr>
          <w:i/>
          <w:iCs/>
          <w:lang w:val="es-PE"/>
        </w:rPr>
        <w:t>–</w:t>
      </w:r>
      <w:proofErr w:type="spellStart"/>
      <w:r w:rsidRPr="001547C7">
        <w:rPr>
          <w:i/>
          <w:iCs/>
          <w:lang w:val="es-PE"/>
        </w:rPr>
        <w:t>vaṭṭa</w:t>
      </w:r>
      <w:proofErr w:type="spellEnd"/>
      <w:r w:rsidRPr="001547C7">
        <w:rPr>
          <w:lang w:val="es-PE"/>
        </w:rPr>
        <w:t xml:space="preserve">) XVII.298; </w:t>
      </w:r>
      <w:r w:rsidRPr="00072B16">
        <w:rPr>
          <w:i/>
          <w:iCs/>
          <w:lang w:val="es-PE"/>
        </w:rPr>
        <w:t xml:space="preserve">c. </w:t>
      </w:r>
      <w:proofErr w:type="spellStart"/>
      <w:r w:rsidRPr="00072B16">
        <w:rPr>
          <w:i/>
          <w:iCs/>
          <w:lang w:val="es-PE"/>
        </w:rPr>
        <w:t>kammico</w:t>
      </w:r>
      <w:proofErr w:type="spellEnd"/>
      <w:r w:rsidRPr="001547C7">
        <w:rPr>
          <w:lang w:val="es-PE"/>
        </w:rPr>
        <w:t xml:space="preserve"> (</w:t>
      </w:r>
      <w:proofErr w:type="spellStart"/>
      <w:r w:rsidRPr="00481EF1">
        <w:rPr>
          <w:i/>
          <w:iCs/>
          <w:lang w:val="es-PE"/>
        </w:rPr>
        <w:t>kamma</w:t>
      </w:r>
      <w:proofErr w:type="spellEnd"/>
      <w:r w:rsidRPr="00481EF1">
        <w:rPr>
          <w:i/>
          <w:iCs/>
          <w:lang w:val="es-PE"/>
        </w:rPr>
        <w:t>–</w:t>
      </w:r>
      <w:proofErr w:type="spellStart"/>
      <w:r w:rsidRPr="00481EF1">
        <w:rPr>
          <w:i/>
          <w:iCs/>
          <w:lang w:val="es-PE"/>
        </w:rPr>
        <w:t>vaṭṭa</w:t>
      </w:r>
      <w:proofErr w:type="spellEnd"/>
      <w:r w:rsidRPr="001547C7">
        <w:rPr>
          <w:lang w:val="es-PE"/>
        </w:rPr>
        <w:t xml:space="preserve">) XVII.298; XIX.17; </w:t>
      </w:r>
      <w:r w:rsidRPr="003E3FF9">
        <w:rPr>
          <w:i/>
          <w:iCs/>
          <w:lang w:val="es-PE"/>
        </w:rPr>
        <w:t xml:space="preserve">c. de </w:t>
      </w:r>
      <w:r>
        <w:rPr>
          <w:i/>
          <w:iCs/>
          <w:lang w:val="es-PE"/>
        </w:rPr>
        <w:t>resul</w:t>
      </w:r>
      <w:r w:rsidRPr="003E3FF9">
        <w:rPr>
          <w:i/>
          <w:iCs/>
          <w:lang w:val="es-PE"/>
        </w:rPr>
        <w:t xml:space="preserve">tado </w:t>
      </w:r>
      <w:proofErr w:type="spellStart"/>
      <w:r w:rsidRPr="003E3FF9">
        <w:rPr>
          <w:i/>
          <w:iCs/>
          <w:lang w:val="es-PE"/>
        </w:rPr>
        <w:t>kammico</w:t>
      </w:r>
      <w:proofErr w:type="spellEnd"/>
      <w:r w:rsidRPr="001547C7">
        <w:rPr>
          <w:lang w:val="es-PE"/>
        </w:rPr>
        <w:t xml:space="preserve"> (</w:t>
      </w:r>
      <w:proofErr w:type="spellStart"/>
      <w:r w:rsidRPr="003E3FF9">
        <w:rPr>
          <w:i/>
          <w:iCs/>
          <w:lang w:val="es-PE"/>
        </w:rPr>
        <w:t>vipāka</w:t>
      </w:r>
      <w:proofErr w:type="spellEnd"/>
      <w:r w:rsidRPr="003E3FF9">
        <w:rPr>
          <w:i/>
          <w:iCs/>
          <w:lang w:val="es-PE"/>
        </w:rPr>
        <w:t>–</w:t>
      </w:r>
      <w:proofErr w:type="spellStart"/>
      <w:r w:rsidRPr="003E3FF9">
        <w:rPr>
          <w:i/>
          <w:iCs/>
          <w:lang w:val="es-PE"/>
        </w:rPr>
        <w:t>vaṭṭa</w:t>
      </w:r>
      <w:proofErr w:type="spellEnd"/>
      <w:r w:rsidRPr="001547C7">
        <w:rPr>
          <w:lang w:val="es-PE"/>
        </w:rPr>
        <w:t xml:space="preserve">) XVII.298; XIX.17; </w:t>
      </w:r>
      <w:r w:rsidRPr="00F34599">
        <w:rPr>
          <w:i/>
          <w:iCs/>
          <w:lang w:val="es-PE"/>
        </w:rPr>
        <w:t>c. de renacimientos</w:t>
      </w:r>
      <w:r w:rsidRPr="001547C7">
        <w:rPr>
          <w:lang w:val="es-PE"/>
        </w:rPr>
        <w:t xml:space="preserve"> (</w:t>
      </w:r>
      <w:proofErr w:type="spellStart"/>
      <w:r w:rsidRPr="00F34599">
        <w:rPr>
          <w:i/>
          <w:iCs/>
          <w:lang w:val="es-PE"/>
        </w:rPr>
        <w:t>saṃsāra</w:t>
      </w:r>
      <w:proofErr w:type="spellEnd"/>
      <w:r w:rsidRPr="001547C7">
        <w:rPr>
          <w:lang w:val="es-PE"/>
        </w:rPr>
        <w:t xml:space="preserve">) XV.4, 20; XVII.62, 115, 244, 286, 314; XIX.14; XXII.14, 18 </w:t>
      </w:r>
    </w:p>
    <w:p w14:paraId="41D02163" w14:textId="77777777" w:rsidR="00597DE2" w:rsidRPr="005B6D62" w:rsidRDefault="00597DE2" w:rsidP="00597DE2">
      <w:pPr>
        <w:pStyle w:val="ParrafoApendice"/>
        <w:rPr>
          <w:lang w:val="es-PE"/>
        </w:rPr>
      </w:pPr>
      <w:r w:rsidRPr="005B6D62">
        <w:rPr>
          <w:lang w:val="es-PE"/>
        </w:rPr>
        <w:t>cielo, celestial (</w:t>
      </w:r>
      <w:proofErr w:type="spellStart"/>
      <w:r w:rsidRPr="005B6D62">
        <w:rPr>
          <w:i/>
          <w:iCs/>
          <w:lang w:val="es-PE"/>
        </w:rPr>
        <w:t>sagga</w:t>
      </w:r>
      <w:proofErr w:type="spellEnd"/>
      <w:r w:rsidRPr="005B6D62">
        <w:rPr>
          <w:lang w:val="es-PE"/>
        </w:rPr>
        <w:t xml:space="preserve">) VII.17, n.14; XIII.83, 94 </w:t>
      </w:r>
    </w:p>
    <w:p w14:paraId="689DA6A8" w14:textId="77777777" w:rsidR="00597DE2" w:rsidRPr="00AA7FEE" w:rsidRDefault="00597DE2" w:rsidP="00597DE2">
      <w:pPr>
        <w:pStyle w:val="ParrafoApendice"/>
        <w:rPr>
          <w:lang w:val="es-PE"/>
        </w:rPr>
      </w:pPr>
      <w:r>
        <w:rPr>
          <w:lang w:val="es-PE"/>
        </w:rPr>
        <w:t>ciencia</w:t>
      </w:r>
      <w:r w:rsidRPr="00AA7FEE">
        <w:rPr>
          <w:lang w:val="es-PE"/>
        </w:rPr>
        <w:t xml:space="preserve"> (</w:t>
      </w:r>
      <w:proofErr w:type="spellStart"/>
      <w:r w:rsidRPr="00DC4475">
        <w:rPr>
          <w:i/>
          <w:iCs/>
          <w:lang w:val="es-PE"/>
        </w:rPr>
        <w:t>vijjā</w:t>
      </w:r>
      <w:proofErr w:type="spellEnd"/>
      <w:r w:rsidRPr="00AA7FEE">
        <w:rPr>
          <w:lang w:val="es-PE"/>
        </w:rPr>
        <w:t xml:space="preserve">) XIV.14 </w:t>
      </w:r>
    </w:p>
    <w:p w14:paraId="030F771E" w14:textId="77777777" w:rsidR="00597DE2" w:rsidRPr="005B6D62" w:rsidRDefault="00597DE2" w:rsidP="00597DE2">
      <w:pPr>
        <w:pStyle w:val="ParrafoApendice"/>
        <w:rPr>
          <w:lang w:val="es-PE"/>
        </w:rPr>
      </w:pPr>
      <w:r w:rsidRPr="005B6D62">
        <w:rPr>
          <w:lang w:val="es-PE"/>
        </w:rPr>
        <w:t>Cinco Crestas (</w:t>
      </w:r>
      <w:proofErr w:type="spellStart"/>
      <w:r w:rsidRPr="005B6D62">
        <w:rPr>
          <w:i/>
          <w:iCs/>
          <w:lang w:val="es-PE"/>
        </w:rPr>
        <w:t>pañcasikha</w:t>
      </w:r>
      <w:proofErr w:type="spellEnd"/>
      <w:r w:rsidRPr="005B6D62">
        <w:rPr>
          <w:lang w:val="es-PE"/>
        </w:rPr>
        <w:t xml:space="preserve">) XII.79 </w:t>
      </w:r>
    </w:p>
    <w:p w14:paraId="03596596" w14:textId="77777777" w:rsidR="00597DE2" w:rsidRPr="005B6D62" w:rsidRDefault="00597DE2" w:rsidP="00597DE2">
      <w:pPr>
        <w:pStyle w:val="ParrafoApendice"/>
        <w:rPr>
          <w:lang w:val="es-PE"/>
        </w:rPr>
      </w:pPr>
      <w:proofErr w:type="spellStart"/>
      <w:r w:rsidRPr="005B6D62">
        <w:rPr>
          <w:lang w:val="es-PE"/>
        </w:rPr>
        <w:t>Cīragumba</w:t>
      </w:r>
      <w:proofErr w:type="spellEnd"/>
      <w:r w:rsidRPr="005B6D62">
        <w:rPr>
          <w:lang w:val="es-PE"/>
        </w:rPr>
        <w:t xml:space="preserve"> I.122, </w:t>
      </w:r>
      <w:r w:rsidRPr="005B6D62">
        <w:rPr>
          <w:color w:val="833C0B" w:themeColor="accent2" w:themeShade="80"/>
          <w:u w:color="000000"/>
          <w:lang w:val="es-PE"/>
        </w:rPr>
        <w:t>132</w:t>
      </w:r>
    </w:p>
    <w:p w14:paraId="179ADB00" w14:textId="77777777" w:rsidR="00597DE2" w:rsidRPr="005B6D62" w:rsidRDefault="00597DE2" w:rsidP="00597DE2">
      <w:pPr>
        <w:pStyle w:val="ParrafoApendice"/>
        <w:rPr>
          <w:lang w:val="es-PE"/>
        </w:rPr>
      </w:pPr>
      <w:proofErr w:type="spellStart"/>
      <w:r w:rsidRPr="005B6D62">
        <w:rPr>
          <w:lang w:val="es-PE"/>
        </w:rPr>
        <w:t>Citrapāṭaliya</w:t>
      </w:r>
      <w:proofErr w:type="spellEnd"/>
      <w:r w:rsidRPr="005B6D62">
        <w:rPr>
          <w:lang w:val="es-PE"/>
        </w:rPr>
        <w:t>, el árbol VII.43</w:t>
      </w:r>
    </w:p>
    <w:p w14:paraId="2AD05F9D" w14:textId="77777777" w:rsidR="00597DE2" w:rsidRPr="005B6D62" w:rsidRDefault="00597DE2" w:rsidP="00597DE2">
      <w:pPr>
        <w:pStyle w:val="ParrafoApendice"/>
        <w:rPr>
          <w:lang w:val="es-PE"/>
        </w:rPr>
      </w:pPr>
      <w:proofErr w:type="spellStart"/>
      <w:r w:rsidRPr="005B6D62">
        <w:rPr>
          <w:lang w:val="es-PE"/>
        </w:rPr>
        <w:t>Citta</w:t>
      </w:r>
      <w:proofErr w:type="spellEnd"/>
      <w:r w:rsidRPr="005B6D62">
        <w:rPr>
          <w:lang w:val="es-PE"/>
        </w:rPr>
        <w:t>, el laico, XIV.27</w:t>
      </w:r>
    </w:p>
    <w:p w14:paraId="16F0E5B6" w14:textId="77777777" w:rsidR="00597DE2" w:rsidRPr="005B6D62" w:rsidRDefault="00597DE2" w:rsidP="00597DE2">
      <w:pPr>
        <w:pStyle w:val="ParrafoApendice"/>
        <w:rPr>
          <w:lang w:val="es-PE"/>
        </w:rPr>
      </w:pPr>
      <w:proofErr w:type="spellStart"/>
      <w:r w:rsidRPr="005B6D62">
        <w:rPr>
          <w:lang w:val="es-PE"/>
        </w:rPr>
        <w:t>Citta</w:t>
      </w:r>
      <w:proofErr w:type="spellEnd"/>
      <w:r w:rsidRPr="005B6D62">
        <w:rPr>
          <w:lang w:val="es-PE"/>
        </w:rPr>
        <w:t>, Pico XXI.43</w:t>
      </w:r>
    </w:p>
    <w:p w14:paraId="32A946E1" w14:textId="77777777" w:rsidR="00597DE2" w:rsidRPr="002C102E" w:rsidRDefault="00597DE2" w:rsidP="00597DE2">
      <w:pPr>
        <w:pStyle w:val="ParrafoApendice"/>
      </w:pPr>
      <w:proofErr w:type="spellStart"/>
      <w:r w:rsidRPr="002C102E">
        <w:t>Cittagutta</w:t>
      </w:r>
      <w:proofErr w:type="spellEnd"/>
      <w:r w:rsidRPr="002C102E">
        <w:t xml:space="preserve"> Thera I.104s., V.5, 15</w:t>
      </w:r>
    </w:p>
    <w:p w14:paraId="2310FA12" w14:textId="77777777" w:rsidR="00597DE2" w:rsidRPr="002C102E" w:rsidRDefault="00597DE2" w:rsidP="00597DE2">
      <w:pPr>
        <w:pStyle w:val="ParrafoApendice"/>
      </w:pPr>
      <w:proofErr w:type="spellStart"/>
      <w:r w:rsidRPr="002C102E">
        <w:t>Cittalapabbata</w:t>
      </w:r>
      <w:proofErr w:type="spellEnd"/>
      <w:r w:rsidRPr="002C102E">
        <w:t xml:space="preserve"> IV.10, 36; V.15; VIII.243; IX.39, 68; XX.109s.</w:t>
      </w:r>
    </w:p>
    <w:p w14:paraId="5D565BF1" w14:textId="77777777" w:rsidR="00597DE2" w:rsidRPr="005B6D62" w:rsidRDefault="00597DE2" w:rsidP="00597DE2">
      <w:pPr>
        <w:pStyle w:val="ParrafoApendice"/>
        <w:rPr>
          <w:lang w:val="es-PE"/>
        </w:rPr>
      </w:pPr>
      <w:r w:rsidRPr="005B6D62">
        <w:rPr>
          <w:lang w:val="es-PE"/>
        </w:rPr>
        <w:t>codicia (</w:t>
      </w:r>
      <w:proofErr w:type="spellStart"/>
      <w:r w:rsidRPr="005B6D62">
        <w:rPr>
          <w:i/>
          <w:iCs/>
          <w:lang w:val="es-PE"/>
        </w:rPr>
        <w:t>abhijjhā</w:t>
      </w:r>
      <w:proofErr w:type="spellEnd"/>
      <w:r w:rsidRPr="005B6D62">
        <w:rPr>
          <w:lang w:val="es-PE"/>
        </w:rPr>
        <w:t xml:space="preserve">) I.42, 140; XII.19; XVII.251 </w:t>
      </w:r>
    </w:p>
    <w:p w14:paraId="5512151D" w14:textId="77777777" w:rsidR="00597DE2" w:rsidRPr="005B6D62" w:rsidRDefault="00597DE2" w:rsidP="00597DE2">
      <w:pPr>
        <w:pStyle w:val="ParrafoApendice"/>
        <w:rPr>
          <w:lang w:val="es-PE"/>
        </w:rPr>
      </w:pPr>
      <w:r w:rsidRPr="005B6D62">
        <w:rPr>
          <w:lang w:val="es-PE"/>
        </w:rPr>
        <w:t>codicia (</w:t>
      </w:r>
      <w:proofErr w:type="spellStart"/>
      <w:r w:rsidRPr="005B6D62">
        <w:rPr>
          <w:i/>
          <w:iCs/>
          <w:lang w:val="es-PE"/>
        </w:rPr>
        <w:t>lobha</w:t>
      </w:r>
      <w:proofErr w:type="spellEnd"/>
      <w:r w:rsidRPr="005B6D62">
        <w:rPr>
          <w:lang w:val="es-PE"/>
        </w:rPr>
        <w:t>) II.84; III.95, 128; IV.87; VII.</w:t>
      </w:r>
      <w:r w:rsidRPr="005B6D62">
        <w:rPr>
          <w:color w:val="833C0B" w:themeColor="accent2" w:themeShade="80"/>
          <w:u w:color="000000"/>
          <w:lang w:val="es-PE"/>
        </w:rPr>
        <w:t>6,</w:t>
      </w:r>
      <w:r w:rsidRPr="005B6D62">
        <w:rPr>
          <w:lang w:val="es-PE"/>
        </w:rPr>
        <w:t xml:space="preserve"> 59; XIII.</w:t>
      </w:r>
      <w:r w:rsidRPr="005B6D62">
        <w:rPr>
          <w:color w:val="833C0B" w:themeColor="accent2" w:themeShade="80"/>
          <w:u w:color="000000"/>
          <w:lang w:val="es-PE"/>
        </w:rPr>
        <w:t>11s,</w:t>
      </w:r>
      <w:r w:rsidRPr="005B6D62">
        <w:rPr>
          <w:lang w:val="es-PE"/>
        </w:rPr>
        <w:t xml:space="preserve"> 64, 77; XIV.90, 159, 161</w:t>
      </w:r>
      <w:r w:rsidRPr="005B6D62">
        <w:rPr>
          <w:color w:val="833C0B" w:themeColor="accent2" w:themeShade="80"/>
          <w:u w:color="000000"/>
          <w:lang w:val="es-PE"/>
        </w:rPr>
        <w:t>s</w:t>
      </w:r>
      <w:r w:rsidRPr="005B6D62">
        <w:rPr>
          <w:lang w:val="es-PE"/>
        </w:rPr>
        <w:t>, 205; XVII.129; XXII.11</w:t>
      </w:r>
      <w:r w:rsidRPr="005B6D62">
        <w:rPr>
          <w:color w:val="833C0B" w:themeColor="accent2" w:themeShade="80"/>
          <w:u w:color="000000"/>
          <w:lang w:val="es-PE"/>
        </w:rPr>
        <w:t>s</w:t>
      </w:r>
      <w:r w:rsidRPr="005B6D62">
        <w:rPr>
          <w:lang w:val="es-PE"/>
        </w:rPr>
        <w:t>, 49, 61; (</w:t>
      </w:r>
      <w:r w:rsidRPr="005B6D62">
        <w:rPr>
          <w:i/>
          <w:iCs/>
          <w:lang w:val="es-PE"/>
        </w:rPr>
        <w:t>rāga</w:t>
      </w:r>
      <w:r w:rsidRPr="005B6D62">
        <w:rPr>
          <w:lang w:val="es-PE"/>
        </w:rPr>
        <w:t>) I.90, 137, 140; II.86; III.74s., 122; IV.85, 192, n.24; VII.</w:t>
      </w:r>
      <w:r w:rsidRPr="005B6D62">
        <w:rPr>
          <w:color w:val="833C0B" w:themeColor="accent2" w:themeShade="80"/>
          <w:u w:color="000000"/>
          <w:lang w:val="es-PE"/>
        </w:rPr>
        <w:t>6s,</w:t>
      </w:r>
      <w:r w:rsidRPr="005B6D62">
        <w:rPr>
          <w:lang w:val="es-PE"/>
        </w:rPr>
        <w:t xml:space="preserve"> 76; VIII.233, 247; IX.97s., 101; XII.63; XVI.61. 69; XVII.103, 138, 235; XX.90; XXI.11, 123; XXII.28, 48, 60, 113; XXIII.23 </w:t>
      </w:r>
    </w:p>
    <w:p w14:paraId="31C0D28D" w14:textId="77777777" w:rsidR="00597DE2" w:rsidRPr="005B6D62" w:rsidRDefault="00597DE2" w:rsidP="00597DE2">
      <w:pPr>
        <w:pStyle w:val="ParrafoApendice"/>
        <w:rPr>
          <w:lang w:val="es-PE"/>
        </w:rPr>
      </w:pPr>
      <w:r w:rsidRPr="005B6D62">
        <w:rPr>
          <w:lang w:val="es-PE"/>
        </w:rPr>
        <w:t>código (</w:t>
      </w:r>
      <w:proofErr w:type="spellStart"/>
      <w:r w:rsidRPr="005B6D62">
        <w:rPr>
          <w:i/>
          <w:iCs/>
          <w:lang w:val="es-PE"/>
        </w:rPr>
        <w:t>mātikā</w:t>
      </w:r>
      <w:proofErr w:type="spellEnd"/>
      <w:r w:rsidRPr="005B6D62">
        <w:rPr>
          <w:lang w:val="es-PE"/>
        </w:rPr>
        <w:t xml:space="preserve">) I.27, n.11; III.31, n.9; IV.19; IX.67 </w:t>
      </w:r>
    </w:p>
    <w:p w14:paraId="4D5A3CF8" w14:textId="77777777" w:rsidR="00597DE2" w:rsidRPr="002C102E" w:rsidRDefault="00597DE2" w:rsidP="00597DE2">
      <w:pPr>
        <w:pStyle w:val="ParrafoApendice"/>
      </w:pPr>
      <w:proofErr w:type="spellStart"/>
      <w:r w:rsidRPr="002C102E">
        <w:t>coincidencia</w:t>
      </w:r>
      <w:proofErr w:type="spellEnd"/>
      <w:r w:rsidRPr="002C102E">
        <w:t xml:space="preserve"> (</w:t>
      </w:r>
      <w:proofErr w:type="spellStart"/>
      <w:r w:rsidRPr="002C102E">
        <w:rPr>
          <w:i/>
          <w:iCs/>
        </w:rPr>
        <w:t>saṅgati</w:t>
      </w:r>
      <w:proofErr w:type="spellEnd"/>
      <w:r w:rsidRPr="002C102E">
        <w:t>) XVII.</w:t>
      </w:r>
      <w:r w:rsidRPr="002C102E">
        <w:rPr>
          <w:color w:val="833C0B" w:themeColor="accent2" w:themeShade="80"/>
          <w:u w:color="000000"/>
        </w:rPr>
        <w:t>51, 117,</w:t>
      </w:r>
      <w:r w:rsidRPr="002C102E">
        <w:t xml:space="preserve"> 308 </w:t>
      </w:r>
    </w:p>
    <w:p w14:paraId="19E1D674" w14:textId="77777777" w:rsidR="00597DE2" w:rsidRPr="002C102E" w:rsidRDefault="00597DE2" w:rsidP="00597DE2">
      <w:pPr>
        <w:pStyle w:val="ParrafoApendice"/>
      </w:pPr>
      <w:r w:rsidRPr="002C102E">
        <w:t>color (</w:t>
      </w:r>
      <w:proofErr w:type="spellStart"/>
      <w:r w:rsidRPr="002C102E">
        <w:rPr>
          <w:i/>
          <w:iCs/>
        </w:rPr>
        <w:t>vaṇṇa</w:t>
      </w:r>
      <w:proofErr w:type="spellEnd"/>
      <w:r w:rsidRPr="002C102E">
        <w:t xml:space="preserve">) IV.29; XI. 16s, 88; XIV. </w:t>
      </w:r>
      <w:r w:rsidRPr="002C102E">
        <w:rPr>
          <w:color w:val="833C0B" w:themeColor="accent2" w:themeShade="80"/>
          <w:u w:color="000000"/>
        </w:rPr>
        <w:t>44,</w:t>
      </w:r>
      <w:r w:rsidRPr="002C102E">
        <w:t xml:space="preserve"> 47s; </w:t>
      </w:r>
      <w:r w:rsidRPr="002C102E">
        <w:rPr>
          <w:color w:val="833C0B" w:themeColor="accent2" w:themeShade="80"/>
          <w:u w:color="000000"/>
        </w:rPr>
        <w:t>XV. 3s, 21;</w:t>
      </w:r>
      <w:r w:rsidRPr="002C102E">
        <w:t xml:space="preserve"> XVII. </w:t>
      </w:r>
      <w:r w:rsidRPr="002C102E">
        <w:rPr>
          <w:color w:val="833C0B" w:themeColor="accent2" w:themeShade="80"/>
          <w:u w:color="000000"/>
        </w:rPr>
        <w:t>69,</w:t>
      </w:r>
      <w:r w:rsidRPr="002C102E">
        <w:t xml:space="preserve"> 156; XVIII.5s.</w:t>
      </w:r>
    </w:p>
    <w:p w14:paraId="07ECEA40" w14:textId="77777777" w:rsidR="00597DE2" w:rsidRPr="005B6D62" w:rsidRDefault="00597DE2" w:rsidP="00597DE2">
      <w:pPr>
        <w:pStyle w:val="ParrafoApendice"/>
        <w:rPr>
          <w:lang w:val="es-PE"/>
        </w:rPr>
      </w:pPr>
      <w:r w:rsidRPr="005B6D62">
        <w:rPr>
          <w:lang w:val="es-PE"/>
        </w:rPr>
        <w:t>comensal de alimentos de un cuenco (</w:t>
      </w:r>
      <w:proofErr w:type="spellStart"/>
      <w:r w:rsidRPr="005B6D62">
        <w:rPr>
          <w:i/>
          <w:iCs/>
          <w:lang w:val="es-PE"/>
        </w:rPr>
        <w:t>patta</w:t>
      </w:r>
      <w:proofErr w:type="spellEnd"/>
      <w:r w:rsidRPr="005B6D62">
        <w:rPr>
          <w:i/>
          <w:iCs/>
          <w:lang w:val="es-PE"/>
        </w:rPr>
        <w:t>–</w:t>
      </w:r>
      <w:proofErr w:type="spellStart"/>
      <w:r w:rsidRPr="005B6D62">
        <w:rPr>
          <w:i/>
          <w:iCs/>
          <w:lang w:val="es-PE"/>
        </w:rPr>
        <w:t>piṇḍika</w:t>
      </w:r>
      <w:proofErr w:type="spellEnd"/>
      <w:r w:rsidRPr="005B6D62">
        <w:rPr>
          <w:lang w:val="es-PE"/>
        </w:rPr>
        <w:t>) II.2, 39</w:t>
      </w:r>
    </w:p>
    <w:p w14:paraId="26E33F04" w14:textId="77777777" w:rsidR="00597DE2" w:rsidRPr="005B6D62" w:rsidRDefault="00597DE2" w:rsidP="00597DE2">
      <w:pPr>
        <w:pStyle w:val="ParrafoApendice"/>
        <w:rPr>
          <w:lang w:val="es-PE"/>
        </w:rPr>
      </w:pPr>
      <w:r w:rsidRPr="005B6D62">
        <w:rPr>
          <w:lang w:val="es-PE"/>
        </w:rPr>
        <w:t>comida (</w:t>
      </w:r>
      <w:proofErr w:type="spellStart"/>
      <w:r w:rsidRPr="005B6D62">
        <w:rPr>
          <w:i/>
          <w:iCs/>
          <w:lang w:val="es-PE"/>
        </w:rPr>
        <w:t>ogha</w:t>
      </w:r>
      <w:proofErr w:type="spellEnd"/>
      <w:r w:rsidRPr="005B6D62">
        <w:rPr>
          <w:lang w:val="es-PE"/>
        </w:rPr>
        <w:t xml:space="preserve">) </w:t>
      </w:r>
      <w:r w:rsidRPr="005B6D62">
        <w:rPr>
          <w:strike/>
          <w:color w:val="833C0B" w:themeColor="accent2" w:themeShade="80"/>
          <w:u w:color="000000"/>
          <w:lang w:val="es-PE"/>
        </w:rPr>
        <w:t>IV.87</w:t>
      </w:r>
      <w:r w:rsidRPr="005B6D62">
        <w:rPr>
          <w:lang w:val="es-PE"/>
        </w:rPr>
        <w:t>; VII.59; XIV.</w:t>
      </w:r>
      <w:r w:rsidRPr="005B6D62">
        <w:rPr>
          <w:strike/>
          <w:color w:val="833C0B" w:themeColor="accent2" w:themeShade="80"/>
          <w:u w:color="000000"/>
          <w:lang w:val="es-PE"/>
        </w:rPr>
        <w:t>202</w:t>
      </w:r>
      <w:r w:rsidRPr="005B6D62">
        <w:rPr>
          <w:lang w:val="es-PE"/>
        </w:rPr>
        <w:t xml:space="preserve">, 226s.; </w:t>
      </w:r>
      <w:r w:rsidRPr="005B6D62">
        <w:rPr>
          <w:color w:val="833C0B" w:themeColor="accent2" w:themeShade="80"/>
          <w:u w:color="000000"/>
          <w:lang w:val="es-PE"/>
        </w:rPr>
        <w:t>XXII</w:t>
      </w:r>
      <w:r w:rsidRPr="005B6D62">
        <w:rPr>
          <w:lang w:val="es-PE"/>
        </w:rPr>
        <w:t>.</w:t>
      </w:r>
      <w:r w:rsidRPr="005B6D62">
        <w:rPr>
          <w:strike/>
          <w:color w:val="833C0B" w:themeColor="accent2" w:themeShade="80"/>
          <w:u w:color="000000"/>
          <w:lang w:val="es-PE"/>
        </w:rPr>
        <w:t>56</w:t>
      </w:r>
      <w:r w:rsidRPr="005B6D62">
        <w:rPr>
          <w:lang w:val="es-PE"/>
        </w:rPr>
        <w:t xml:space="preserve">, </w:t>
      </w:r>
      <w:r w:rsidRPr="005B6D62">
        <w:rPr>
          <w:strike/>
          <w:color w:val="833C0B" w:themeColor="accent2" w:themeShade="80"/>
          <w:u w:color="000000"/>
          <w:lang w:val="es-PE"/>
        </w:rPr>
        <w:t>70</w:t>
      </w:r>
      <w:r w:rsidRPr="005B6D62">
        <w:rPr>
          <w:lang w:val="es-PE"/>
        </w:rPr>
        <w:t xml:space="preserve"> </w:t>
      </w:r>
    </w:p>
    <w:p w14:paraId="76F544E8" w14:textId="77777777" w:rsidR="00597DE2" w:rsidRPr="005B6D62" w:rsidRDefault="00597DE2" w:rsidP="00597DE2">
      <w:pPr>
        <w:pStyle w:val="ParrafoApendice"/>
        <w:rPr>
          <w:lang w:val="es-PE"/>
        </w:rPr>
      </w:pPr>
      <w:r w:rsidRPr="005B6D62">
        <w:rPr>
          <w:lang w:val="es-PE"/>
        </w:rPr>
        <w:t>comida, alimento (</w:t>
      </w:r>
      <w:proofErr w:type="spellStart"/>
      <w:r w:rsidRPr="005B6D62">
        <w:rPr>
          <w:i/>
          <w:iCs/>
          <w:lang w:val="es-PE"/>
        </w:rPr>
        <w:t>āhāra</w:t>
      </w:r>
      <w:proofErr w:type="spellEnd"/>
      <w:r w:rsidRPr="005B6D62">
        <w:rPr>
          <w:lang w:val="es-PE"/>
        </w:rPr>
        <w:t xml:space="preserve">), ver también </w:t>
      </w:r>
      <w:r w:rsidRPr="005B6D62">
        <w:rPr>
          <w:i/>
          <w:iCs/>
          <w:lang w:val="es-PE"/>
        </w:rPr>
        <w:t>nutrimento</w:t>
      </w:r>
      <w:r w:rsidRPr="005B6D62">
        <w:rPr>
          <w:lang w:val="es-PE"/>
        </w:rPr>
        <w:t>; (</w:t>
      </w:r>
      <w:proofErr w:type="spellStart"/>
      <w:r w:rsidRPr="005B6D62">
        <w:rPr>
          <w:i/>
          <w:iCs/>
          <w:lang w:val="es-PE"/>
        </w:rPr>
        <w:t>bhojana</w:t>
      </w:r>
      <w:proofErr w:type="spellEnd"/>
      <w:r w:rsidRPr="005B6D62">
        <w:rPr>
          <w:lang w:val="es-PE"/>
        </w:rPr>
        <w:t xml:space="preserve">) I.93; IV.40 </w:t>
      </w:r>
    </w:p>
    <w:p w14:paraId="3A616AEC" w14:textId="77777777" w:rsidR="00597DE2" w:rsidRPr="005B6D62" w:rsidRDefault="00597DE2" w:rsidP="00597DE2">
      <w:pPr>
        <w:pStyle w:val="ParrafoApendice"/>
        <w:rPr>
          <w:lang w:val="es-PE"/>
        </w:rPr>
      </w:pPr>
      <w:r w:rsidRPr="005B6D62">
        <w:rPr>
          <w:lang w:val="es-PE"/>
        </w:rPr>
        <w:t>comienzo (</w:t>
      </w:r>
      <w:proofErr w:type="spellStart"/>
      <w:r w:rsidRPr="005B6D62">
        <w:rPr>
          <w:i/>
          <w:iCs/>
          <w:lang w:val="es-PE"/>
        </w:rPr>
        <w:t>ādi</w:t>
      </w:r>
      <w:proofErr w:type="spellEnd"/>
      <w:r w:rsidRPr="005B6D62">
        <w:rPr>
          <w:lang w:val="es-PE"/>
        </w:rPr>
        <w:t xml:space="preserve">) VIII.n.54; XVII.36, 280s. </w:t>
      </w:r>
    </w:p>
    <w:p w14:paraId="464FB647" w14:textId="77777777" w:rsidR="00597DE2" w:rsidRPr="005B6D62" w:rsidRDefault="00597DE2" w:rsidP="00597DE2">
      <w:pPr>
        <w:pStyle w:val="ParrafoApendice"/>
        <w:rPr>
          <w:lang w:val="es-PE"/>
        </w:rPr>
      </w:pPr>
      <w:r w:rsidRPr="005B6D62">
        <w:rPr>
          <w:lang w:val="es-PE"/>
        </w:rPr>
        <w:t xml:space="preserve">comisión de un </w:t>
      </w:r>
      <w:proofErr w:type="spellStart"/>
      <w:r w:rsidRPr="005B6D62">
        <w:rPr>
          <w:i/>
          <w:iCs/>
          <w:lang w:val="es-PE"/>
        </w:rPr>
        <w:t>kamma</w:t>
      </w:r>
      <w:proofErr w:type="spellEnd"/>
      <w:r w:rsidRPr="005B6D62">
        <w:rPr>
          <w:lang w:val="es-PE"/>
        </w:rPr>
        <w:t xml:space="preserve"> (</w:t>
      </w:r>
      <w:proofErr w:type="spellStart"/>
      <w:r w:rsidRPr="005B6D62">
        <w:rPr>
          <w:i/>
          <w:iCs/>
          <w:lang w:val="es-PE"/>
        </w:rPr>
        <w:t>kaṭatta</w:t>
      </w:r>
      <w:proofErr w:type="spellEnd"/>
      <w:r w:rsidRPr="005B6D62">
        <w:rPr>
          <w:lang w:val="es-PE"/>
        </w:rPr>
        <w:t xml:space="preserve">) XVII.89, 122, 174 </w:t>
      </w:r>
    </w:p>
    <w:p w14:paraId="7B1093C3" w14:textId="77777777" w:rsidR="00597DE2" w:rsidRPr="005B6D62" w:rsidRDefault="00597DE2" w:rsidP="00597DE2">
      <w:pPr>
        <w:pStyle w:val="ParrafoApendice"/>
        <w:rPr>
          <w:lang w:val="es-PE"/>
        </w:rPr>
      </w:pPr>
      <w:r w:rsidRPr="005B6D62">
        <w:rPr>
          <w:lang w:val="es-PE"/>
        </w:rPr>
        <w:t>compacidad (</w:t>
      </w:r>
      <w:proofErr w:type="spellStart"/>
      <w:r w:rsidRPr="005B6D62">
        <w:rPr>
          <w:i/>
          <w:iCs/>
          <w:lang w:val="es-PE"/>
        </w:rPr>
        <w:t>ghana</w:t>
      </w:r>
      <w:proofErr w:type="spellEnd"/>
      <w:r w:rsidRPr="005B6D62">
        <w:rPr>
          <w:lang w:val="es-PE"/>
        </w:rPr>
        <w:t xml:space="preserve">) I.140; </w:t>
      </w:r>
      <w:r w:rsidRPr="005B6D62">
        <w:rPr>
          <w:color w:val="833C0B" w:themeColor="accent2" w:themeShade="80"/>
          <w:u w:color="000000"/>
          <w:lang w:val="es-PE"/>
        </w:rPr>
        <w:t>VI,85</w:t>
      </w:r>
      <w:r w:rsidRPr="005B6D62">
        <w:rPr>
          <w:lang w:val="es-PE"/>
        </w:rPr>
        <w:t>; XI.30,</w:t>
      </w:r>
      <w:r w:rsidRPr="005B6D62">
        <w:rPr>
          <w:color w:val="833C0B" w:themeColor="accent2" w:themeShade="80"/>
          <w:u w:color="000000"/>
          <w:lang w:val="es-PE"/>
        </w:rPr>
        <w:t xml:space="preserve"> 123</w:t>
      </w:r>
      <w:r w:rsidRPr="005B6D62">
        <w:rPr>
          <w:lang w:val="es-PE"/>
        </w:rPr>
        <w:t>; XIV.213; XX.90; XXI.4</w:t>
      </w:r>
      <w:r w:rsidRPr="005B6D62">
        <w:rPr>
          <w:color w:val="833C0B" w:themeColor="accent2" w:themeShade="80"/>
          <w:u w:color="000000"/>
          <w:lang w:val="es-PE"/>
        </w:rPr>
        <w:t>s</w:t>
      </w:r>
      <w:r w:rsidRPr="005B6D62">
        <w:rPr>
          <w:lang w:val="es-PE"/>
        </w:rPr>
        <w:t xml:space="preserve">, 50, </w:t>
      </w:r>
      <w:r w:rsidRPr="005B6D62">
        <w:rPr>
          <w:color w:val="833C0B" w:themeColor="accent2" w:themeShade="80"/>
          <w:u w:color="000000"/>
          <w:lang w:val="es-PE"/>
        </w:rPr>
        <w:t>113s,</w:t>
      </w:r>
      <w:r w:rsidRPr="005B6D62">
        <w:rPr>
          <w:lang w:val="es-PE"/>
        </w:rPr>
        <w:t xml:space="preserve"> </w:t>
      </w:r>
      <w:r w:rsidRPr="005B6D62">
        <w:rPr>
          <w:u w:color="000000"/>
          <w:lang w:val="es-PE"/>
        </w:rPr>
        <w:t>122,</w:t>
      </w:r>
      <w:r w:rsidRPr="005B6D62">
        <w:rPr>
          <w:lang w:val="es-PE"/>
        </w:rPr>
        <w:t xml:space="preserve"> n.3; XXII.114 </w:t>
      </w:r>
    </w:p>
    <w:p w14:paraId="4601951A" w14:textId="77777777" w:rsidR="00597DE2" w:rsidRPr="006D0608" w:rsidRDefault="00597DE2" w:rsidP="00597DE2">
      <w:pPr>
        <w:pStyle w:val="ParrafoApendice"/>
        <w:rPr>
          <w:lang w:val="es-PE"/>
        </w:rPr>
      </w:pPr>
      <w:r w:rsidRPr="006D0608">
        <w:rPr>
          <w:lang w:val="es-PE"/>
        </w:rPr>
        <w:t>compasión (</w:t>
      </w:r>
      <w:proofErr w:type="spellStart"/>
      <w:r w:rsidRPr="006D0608">
        <w:rPr>
          <w:i/>
          <w:iCs/>
          <w:lang w:val="es-PE"/>
        </w:rPr>
        <w:t>karuṇā</w:t>
      </w:r>
      <w:proofErr w:type="spellEnd"/>
      <w:r w:rsidRPr="006D0608">
        <w:rPr>
          <w:lang w:val="es-PE"/>
        </w:rPr>
        <w:t xml:space="preserve">) II. 29, 79, III. 105s.; VII.18, 32, n.7, n.9; IX. </w:t>
      </w:r>
      <w:r w:rsidRPr="006D0608">
        <w:rPr>
          <w:color w:val="833C0B" w:themeColor="accent2" w:themeShade="80"/>
          <w:u w:color="000000"/>
          <w:lang w:val="es-PE"/>
        </w:rPr>
        <w:t>1, 20s</w:t>
      </w:r>
      <w:r w:rsidRPr="006D0608">
        <w:rPr>
          <w:lang w:val="es-PE"/>
        </w:rPr>
        <w:t xml:space="preserve">, 77s., 92, 94, 99s, 119, 121; XIV.133, 154, 157s, 181, n.67 </w:t>
      </w:r>
    </w:p>
    <w:p w14:paraId="45C1EAA0" w14:textId="77777777" w:rsidR="00597DE2" w:rsidRPr="004C6121" w:rsidRDefault="00597DE2" w:rsidP="00597DE2">
      <w:pPr>
        <w:pStyle w:val="ParrafoApendice"/>
        <w:rPr>
          <w:lang w:val="es-PE"/>
        </w:rPr>
      </w:pPr>
      <w:r>
        <w:rPr>
          <w:lang w:val="es-PE"/>
        </w:rPr>
        <w:t>competencia,</w:t>
      </w:r>
      <w:r w:rsidRPr="004C6121">
        <w:rPr>
          <w:lang w:val="es-PE"/>
        </w:rPr>
        <w:t xml:space="preserve"> proficiencia</w:t>
      </w:r>
      <w:r>
        <w:rPr>
          <w:lang w:val="es-PE"/>
        </w:rPr>
        <w:t xml:space="preserve"> </w:t>
      </w:r>
      <w:r w:rsidRPr="004C6121">
        <w:rPr>
          <w:lang w:val="es-PE"/>
        </w:rPr>
        <w:t>(</w:t>
      </w:r>
      <w:proofErr w:type="spellStart"/>
      <w:r w:rsidRPr="00DA1AF2">
        <w:rPr>
          <w:i/>
          <w:iCs/>
          <w:lang w:val="es-PE"/>
        </w:rPr>
        <w:t>pāguññatā</w:t>
      </w:r>
      <w:proofErr w:type="spellEnd"/>
      <w:r w:rsidRPr="004C6121">
        <w:rPr>
          <w:lang w:val="es-PE"/>
        </w:rPr>
        <w:t xml:space="preserve">) XIV.133, 148 </w:t>
      </w:r>
    </w:p>
    <w:p w14:paraId="3B52D058" w14:textId="77777777" w:rsidR="00597DE2" w:rsidRPr="005B6D62" w:rsidRDefault="00597DE2" w:rsidP="00597DE2">
      <w:pPr>
        <w:pStyle w:val="ParrafoApendice"/>
        <w:rPr>
          <w:lang w:val="es-PE"/>
        </w:rPr>
      </w:pPr>
      <w:r w:rsidRPr="005B6D62">
        <w:rPr>
          <w:lang w:val="es-PE"/>
        </w:rPr>
        <w:t>comportamiento (</w:t>
      </w:r>
      <w:proofErr w:type="spellStart"/>
      <w:r w:rsidRPr="005B6D62">
        <w:rPr>
          <w:i/>
          <w:iCs/>
          <w:lang w:val="es-PE"/>
        </w:rPr>
        <w:t>iriyāpatha</w:t>
      </w:r>
      <w:proofErr w:type="spellEnd"/>
      <w:r w:rsidRPr="005B6D62">
        <w:rPr>
          <w:lang w:val="es-PE"/>
        </w:rPr>
        <w:t xml:space="preserve">) I.61, 70. Ver también </w:t>
      </w:r>
      <w:r w:rsidRPr="005B6D62">
        <w:rPr>
          <w:i/>
          <w:iCs/>
          <w:lang w:val="es-PE"/>
        </w:rPr>
        <w:t>postura</w:t>
      </w:r>
    </w:p>
    <w:p w14:paraId="730FA019" w14:textId="77777777" w:rsidR="00597DE2" w:rsidRDefault="00597DE2" w:rsidP="00597DE2">
      <w:pPr>
        <w:pStyle w:val="ParrafoApendice"/>
        <w:rPr>
          <w:lang w:val="es-PE"/>
        </w:rPr>
      </w:pPr>
      <w:r>
        <w:rPr>
          <w:lang w:val="es-PE"/>
        </w:rPr>
        <w:br w:type="page"/>
      </w:r>
    </w:p>
    <w:p w14:paraId="397DE102" w14:textId="77777777" w:rsidR="00597DE2" w:rsidRDefault="00597DE2" w:rsidP="00597DE2">
      <w:pPr>
        <w:pStyle w:val="ParrafoApendice"/>
        <w:rPr>
          <w:lang w:val="es-PE"/>
        </w:rPr>
      </w:pPr>
    </w:p>
    <w:p w14:paraId="2D2DE25E" w14:textId="77777777" w:rsidR="00597DE2" w:rsidRPr="005B6D62" w:rsidRDefault="00597DE2" w:rsidP="00597DE2">
      <w:pPr>
        <w:pStyle w:val="ParrafoApendice"/>
        <w:rPr>
          <w:lang w:val="es-PE"/>
        </w:rPr>
      </w:pPr>
      <w:r w:rsidRPr="005B6D62">
        <w:rPr>
          <w:lang w:val="es-PE"/>
        </w:rPr>
        <w:t>comprendiendo, comprensión (</w:t>
      </w:r>
      <w:proofErr w:type="spellStart"/>
      <w:r w:rsidRPr="005B6D62">
        <w:rPr>
          <w:i/>
          <w:iCs/>
          <w:lang w:val="es-PE"/>
        </w:rPr>
        <w:t>sammasana</w:t>
      </w:r>
      <w:proofErr w:type="spellEnd"/>
      <w:r w:rsidRPr="005B6D62">
        <w:rPr>
          <w:lang w:val="es-PE"/>
        </w:rPr>
        <w:t>) I.133, n.36; VIII.</w:t>
      </w:r>
      <w:r w:rsidRPr="005B6D62">
        <w:rPr>
          <w:color w:val="833C0B" w:themeColor="accent2" w:themeShade="80"/>
          <w:u w:color="000000"/>
          <w:lang w:val="es-PE"/>
        </w:rPr>
        <w:t>155s,</w:t>
      </w:r>
      <w:r w:rsidRPr="005B6D62">
        <w:rPr>
          <w:lang w:val="es-PE"/>
        </w:rPr>
        <w:t xml:space="preserve"> 224; X.38, 53; XVII.102; XVIII.15, n.5; XX.2s., 75s., 93; XXI.85s.; XXII.107, 112 </w:t>
      </w:r>
    </w:p>
    <w:p w14:paraId="5452056A" w14:textId="77777777" w:rsidR="00597DE2" w:rsidRPr="005B6D62" w:rsidRDefault="00597DE2" w:rsidP="00597DE2">
      <w:pPr>
        <w:pStyle w:val="ParrafoApendice"/>
        <w:rPr>
          <w:color w:val="833C0B" w:themeColor="accent2" w:themeShade="80"/>
          <w:u w:color="000000"/>
          <w:lang w:val="es-PE"/>
        </w:rPr>
      </w:pPr>
      <w:r w:rsidRPr="005B6D62">
        <w:rPr>
          <w:color w:val="833C0B" w:themeColor="accent2" w:themeShade="80"/>
          <w:u w:color="000000"/>
          <w:lang w:val="es-PE"/>
        </w:rPr>
        <w:t>compromiso (</w:t>
      </w:r>
      <w:proofErr w:type="spellStart"/>
      <w:r w:rsidRPr="005B6D62">
        <w:rPr>
          <w:i/>
          <w:iCs/>
          <w:color w:val="833C0B" w:themeColor="accent2" w:themeShade="80"/>
          <w:u w:color="000000"/>
          <w:lang w:val="es-PE"/>
        </w:rPr>
        <w:t>abhinipāta</w:t>
      </w:r>
      <w:proofErr w:type="spellEnd"/>
      <w:r w:rsidRPr="005B6D62">
        <w:rPr>
          <w:color w:val="833C0B" w:themeColor="accent2" w:themeShade="80"/>
          <w:u w:color="000000"/>
          <w:lang w:val="es-PE"/>
        </w:rPr>
        <w:t>) XVIII.19 {N.H.}</w:t>
      </w:r>
    </w:p>
    <w:p w14:paraId="69A6A878" w14:textId="77777777" w:rsidR="00597DE2" w:rsidRPr="005B6D62" w:rsidRDefault="00597DE2" w:rsidP="00597DE2">
      <w:pPr>
        <w:pStyle w:val="ParrafoApendice"/>
        <w:rPr>
          <w:lang w:val="es-PE"/>
        </w:rPr>
      </w:pPr>
      <w:r w:rsidRPr="005B6D62">
        <w:rPr>
          <w:lang w:val="es-PE"/>
        </w:rPr>
        <w:t>común a (</w:t>
      </w:r>
      <w:proofErr w:type="spellStart"/>
      <w:r w:rsidRPr="005B6D62">
        <w:rPr>
          <w:i/>
          <w:iCs/>
          <w:lang w:val="es-PE"/>
        </w:rPr>
        <w:t>sādhāraṇa</w:t>
      </w:r>
      <w:proofErr w:type="spellEnd"/>
      <w:r w:rsidRPr="005B6D62">
        <w:rPr>
          <w:lang w:val="es-PE"/>
        </w:rPr>
        <w:t xml:space="preserve">) XVII.107; XIX.8 </w:t>
      </w:r>
    </w:p>
    <w:p w14:paraId="3999F230" w14:textId="77777777" w:rsidR="00597DE2" w:rsidRPr="006D0608" w:rsidRDefault="00597DE2" w:rsidP="00597DE2">
      <w:pPr>
        <w:pStyle w:val="ParrafoApendice"/>
      </w:pPr>
      <w:r w:rsidRPr="005B6D62">
        <w:rPr>
          <w:lang w:val="es-PE"/>
        </w:rPr>
        <w:t>comunidad (</w:t>
      </w:r>
      <w:proofErr w:type="spellStart"/>
      <w:r w:rsidRPr="005B6D62">
        <w:rPr>
          <w:i/>
          <w:iCs/>
          <w:lang w:val="es-PE"/>
        </w:rPr>
        <w:t>saṅgha</w:t>
      </w:r>
      <w:proofErr w:type="spellEnd"/>
      <w:r w:rsidRPr="005B6D62">
        <w:rPr>
          <w:lang w:val="es-PE"/>
        </w:rPr>
        <w:t>) I.46; III.57; VII.1, 89s., XXIII.</w:t>
      </w:r>
      <w:r w:rsidRPr="005B6D62">
        <w:rPr>
          <w:color w:val="833C0B" w:themeColor="accent2" w:themeShade="80"/>
          <w:u w:color="000000"/>
          <w:lang w:val="es-PE"/>
        </w:rPr>
        <w:t>34</w:t>
      </w:r>
      <w:r w:rsidRPr="005B6D62">
        <w:rPr>
          <w:lang w:val="es-PE"/>
        </w:rPr>
        <w:t xml:space="preserve">, 38. </w:t>
      </w:r>
      <w:r w:rsidRPr="006D0608">
        <w:t xml:space="preserve">Ver </w:t>
      </w:r>
      <w:proofErr w:type="spellStart"/>
      <w:r w:rsidRPr="006D0608">
        <w:t>también</w:t>
      </w:r>
      <w:proofErr w:type="spellEnd"/>
      <w:r w:rsidRPr="006D0608">
        <w:t xml:space="preserve"> </w:t>
      </w:r>
      <w:r w:rsidRPr="006D0608">
        <w:rPr>
          <w:i/>
          <w:iCs/>
        </w:rPr>
        <w:t>Orden</w:t>
      </w:r>
      <w:r w:rsidRPr="006D0608">
        <w:t xml:space="preserve"> </w:t>
      </w:r>
    </w:p>
    <w:p w14:paraId="61ECF92C" w14:textId="77777777" w:rsidR="00597DE2" w:rsidRPr="002C102E" w:rsidRDefault="00597DE2" w:rsidP="00597DE2">
      <w:pPr>
        <w:pStyle w:val="ParrafoApendice"/>
      </w:pPr>
      <w:proofErr w:type="spellStart"/>
      <w:r w:rsidRPr="002C102E">
        <w:t>concentración</w:t>
      </w:r>
      <w:proofErr w:type="spellEnd"/>
      <w:r w:rsidRPr="002C102E">
        <w:t xml:space="preserve"> (</w:t>
      </w:r>
      <w:r w:rsidRPr="002C102E">
        <w:rPr>
          <w:i/>
          <w:iCs/>
        </w:rPr>
        <w:t>samādhi</w:t>
      </w:r>
      <w:r w:rsidRPr="002C102E">
        <w:t>) I. 7, 32, n.3, n.4; III.</w:t>
      </w:r>
      <w:r w:rsidRPr="002C102E">
        <w:rPr>
          <w:color w:val="833C0B" w:themeColor="accent2" w:themeShade="80"/>
          <w:u w:color="000000"/>
        </w:rPr>
        <w:t xml:space="preserve">1, </w:t>
      </w:r>
      <w:r w:rsidRPr="002C102E">
        <w:t xml:space="preserve">2, 4s, 21, 56, n.3; IV.30s, 45s., 51s, 86, 99, 117; VII.n.1, 4s; VIII. </w:t>
      </w:r>
      <w:r w:rsidRPr="002C102E">
        <w:rPr>
          <w:color w:val="833C0B" w:themeColor="accent2" w:themeShade="80"/>
          <w:u w:color="000000"/>
        </w:rPr>
        <w:t>42,</w:t>
      </w:r>
      <w:r w:rsidRPr="002C102E">
        <w:t xml:space="preserve"> 74s, 231s.; IX.104, 112s., n.17; XI. 25s, 44, 118s.; XII</w:t>
      </w:r>
      <w:r w:rsidRPr="002C102E">
        <w:rPr>
          <w:color w:val="833C0B" w:themeColor="accent2" w:themeShade="80"/>
          <w:u w:color="000000"/>
        </w:rPr>
        <w:t>. 1s.</w:t>
      </w:r>
      <w:r w:rsidRPr="002C102E">
        <w:t xml:space="preserve">17, 30, 50s.; XIII. </w:t>
      </w:r>
      <w:r w:rsidRPr="002C102E">
        <w:rPr>
          <w:color w:val="833C0B" w:themeColor="accent2" w:themeShade="80"/>
          <w:u w:color="000000"/>
        </w:rPr>
        <w:t>4,</w:t>
      </w:r>
      <w:r w:rsidRPr="002C102E">
        <w:t xml:space="preserve"> </w:t>
      </w:r>
      <w:r w:rsidRPr="002C102E">
        <w:rPr>
          <w:color w:val="833C0B" w:themeColor="accent2" w:themeShade="80"/>
          <w:u w:color="000000"/>
        </w:rPr>
        <w:t>12s,</w:t>
      </w:r>
      <w:r w:rsidRPr="002C102E">
        <w:t xml:space="preserve"> n.1, n.3; XIV. 1s, 86, 133, 139, 159, 170, 177s., 183; XVI. 1s, 86, 95; XVII.314; XVIII.1s;</w:t>
      </w:r>
      <w:r w:rsidRPr="002C102E">
        <w:rPr>
          <w:strike/>
          <w:color w:val="833C0B" w:themeColor="accent2" w:themeShade="80"/>
          <w:u w:color="000000"/>
        </w:rPr>
        <w:t xml:space="preserve"> XXII.</w:t>
      </w:r>
      <w:r w:rsidRPr="002C102E">
        <w:rPr>
          <w:color w:val="833C0B" w:themeColor="accent2" w:themeShade="80"/>
          <w:u w:color="000000"/>
        </w:rPr>
        <w:t>XXI</w:t>
      </w:r>
      <w:r w:rsidRPr="002C102E">
        <w:rPr>
          <w:u w:color="000000"/>
        </w:rPr>
        <w:t>. 75, 89, n35;</w:t>
      </w:r>
      <w:r w:rsidRPr="002C102E">
        <w:t xml:space="preserve"> XXII.</w:t>
      </w:r>
      <w:r w:rsidRPr="002C102E">
        <w:rPr>
          <w:color w:val="833C0B" w:themeColor="accent2" w:themeShade="80"/>
          <w:u w:color="000000"/>
        </w:rPr>
        <w:t xml:space="preserve"> 15</w:t>
      </w:r>
      <w:r w:rsidRPr="002C102E">
        <w:t xml:space="preserve">, </w:t>
      </w:r>
      <w:r w:rsidRPr="002C102E">
        <w:rPr>
          <w:color w:val="833C0B" w:themeColor="accent2" w:themeShade="80"/>
          <w:u w:color="000000"/>
        </w:rPr>
        <w:t>36s,</w:t>
      </w:r>
      <w:r w:rsidRPr="002C102E">
        <w:t xml:space="preserve"> 42, 45s, 66s, 128, </w:t>
      </w:r>
      <w:r w:rsidRPr="002C102E">
        <w:rPr>
          <w:color w:val="833C0B" w:themeColor="accent2" w:themeShade="80"/>
          <w:u w:color="000000"/>
        </w:rPr>
        <w:t>n7</w:t>
      </w:r>
      <w:r w:rsidRPr="002C102E">
        <w:t>; XXIII.7s, 26, 37</w:t>
      </w:r>
    </w:p>
    <w:p w14:paraId="5B1FEFBD" w14:textId="77777777" w:rsidR="00597DE2" w:rsidRPr="002C102E" w:rsidRDefault="00597DE2" w:rsidP="00597DE2">
      <w:pPr>
        <w:pStyle w:val="ParrafoApendice"/>
      </w:pPr>
      <w:proofErr w:type="spellStart"/>
      <w:r w:rsidRPr="002C102E">
        <w:t>concepto</w:t>
      </w:r>
      <w:proofErr w:type="spellEnd"/>
      <w:r w:rsidRPr="002C102E">
        <w:t xml:space="preserve"> (</w:t>
      </w:r>
      <w:proofErr w:type="spellStart"/>
      <w:r w:rsidRPr="002C102E">
        <w:rPr>
          <w:i/>
          <w:iCs/>
        </w:rPr>
        <w:t>paññatti</w:t>
      </w:r>
      <w:proofErr w:type="spellEnd"/>
      <w:r w:rsidRPr="002C102E">
        <w:t xml:space="preserve">) II.n.18; IV.29, </w:t>
      </w:r>
      <w:r w:rsidRPr="002C102E">
        <w:rPr>
          <w:color w:val="833C0B" w:themeColor="accent2" w:themeShade="80"/>
          <w:u w:color="000000"/>
        </w:rPr>
        <w:t>n8</w:t>
      </w:r>
      <w:r w:rsidRPr="002C102E">
        <w:t xml:space="preserve">; VIII.39, 66, n.11; IX.54, 102, n.6; XI. </w:t>
      </w:r>
      <w:r w:rsidRPr="002C102E">
        <w:rPr>
          <w:strike/>
          <w:color w:val="833C0B" w:themeColor="accent2" w:themeShade="80"/>
          <w:u w:color="000000"/>
        </w:rPr>
        <w:t>n.17</w:t>
      </w:r>
      <w:r w:rsidRPr="002C102E">
        <w:t xml:space="preserve">, n.18, n.30; </w:t>
      </w:r>
      <w:r w:rsidRPr="002C102E">
        <w:rPr>
          <w:strike/>
          <w:color w:val="833C0B" w:themeColor="accent2" w:themeShade="80"/>
          <w:u w:color="000000"/>
        </w:rPr>
        <w:t>XXI.n.4</w:t>
      </w:r>
    </w:p>
    <w:p w14:paraId="733D0EEE" w14:textId="77777777" w:rsidR="00597DE2" w:rsidRPr="005B6D62" w:rsidRDefault="00597DE2" w:rsidP="00597DE2">
      <w:pPr>
        <w:pStyle w:val="ParrafoApendice"/>
        <w:rPr>
          <w:lang w:val="es-PE"/>
        </w:rPr>
      </w:pPr>
      <w:r w:rsidRPr="005B6D62">
        <w:rPr>
          <w:lang w:val="es-PE"/>
        </w:rPr>
        <w:t xml:space="preserve">concomitante, ver consciencia–c. </w:t>
      </w:r>
    </w:p>
    <w:p w14:paraId="0872C889" w14:textId="77777777" w:rsidR="00597DE2" w:rsidRPr="005B6D62" w:rsidRDefault="00597DE2" w:rsidP="00597DE2">
      <w:pPr>
        <w:pStyle w:val="ParrafoApendice"/>
        <w:rPr>
          <w:lang w:val="es-PE"/>
        </w:rPr>
      </w:pPr>
      <w:r w:rsidRPr="005B6D62">
        <w:rPr>
          <w:lang w:val="es-PE"/>
        </w:rPr>
        <w:t>concurrencia (</w:t>
      </w:r>
      <w:proofErr w:type="spellStart"/>
      <w:r w:rsidRPr="005B6D62">
        <w:rPr>
          <w:i/>
          <w:iCs/>
          <w:lang w:val="es-PE"/>
        </w:rPr>
        <w:t>sannipāta</w:t>
      </w:r>
      <w:proofErr w:type="spellEnd"/>
      <w:r w:rsidRPr="005B6D62">
        <w:rPr>
          <w:lang w:val="es-PE"/>
        </w:rPr>
        <w:t xml:space="preserve">) XIV.134; XVII.308 </w:t>
      </w:r>
    </w:p>
    <w:p w14:paraId="3683DDDA" w14:textId="77777777" w:rsidR="00597DE2" w:rsidRPr="005B6D62" w:rsidRDefault="00597DE2" w:rsidP="00597DE2">
      <w:pPr>
        <w:pStyle w:val="ParrafoApendice"/>
        <w:rPr>
          <w:lang w:val="es-PE"/>
        </w:rPr>
      </w:pPr>
      <w:r w:rsidRPr="005B6D62">
        <w:rPr>
          <w:lang w:val="es-PE"/>
        </w:rPr>
        <w:t>condición (</w:t>
      </w:r>
      <w:proofErr w:type="spellStart"/>
      <w:r w:rsidRPr="005B6D62">
        <w:rPr>
          <w:i/>
          <w:iCs/>
          <w:lang w:val="es-PE"/>
        </w:rPr>
        <w:t>paccaya</w:t>
      </w:r>
      <w:proofErr w:type="spellEnd"/>
      <w:r w:rsidRPr="005B6D62">
        <w:rPr>
          <w:lang w:val="es-PE"/>
        </w:rPr>
        <w:t xml:space="preserve">) VIII.180, n.54; IX.109, 111s.; XIV.23, 73, 122, 191, n.74; XV.14, 32, 35s.; XVII.2, 66s., n.2; XIX </w:t>
      </w:r>
      <w:r w:rsidRPr="005B6D62">
        <w:rPr>
          <w:i/>
          <w:iCs/>
          <w:lang w:val="es-PE"/>
        </w:rPr>
        <w:t>passim</w:t>
      </w:r>
      <w:r w:rsidRPr="005B6D62">
        <w:rPr>
          <w:lang w:val="es-PE"/>
        </w:rPr>
        <w:t xml:space="preserve">, 2, 13; XX.27s, </w:t>
      </w:r>
      <w:r w:rsidRPr="005B6D62">
        <w:rPr>
          <w:strike/>
          <w:color w:val="833C0B" w:themeColor="accent2" w:themeShade="80"/>
          <w:u w:color="000000"/>
          <w:lang w:val="es-PE"/>
        </w:rPr>
        <w:t>97</w:t>
      </w:r>
      <w:r w:rsidRPr="005B6D62">
        <w:rPr>
          <w:lang w:val="es-PE"/>
        </w:rPr>
        <w:t xml:space="preserve">; XXII.5 </w:t>
      </w:r>
    </w:p>
    <w:p w14:paraId="7BE2C2DE" w14:textId="77777777" w:rsidR="00597DE2" w:rsidRPr="005B6D62" w:rsidRDefault="00597DE2" w:rsidP="00597DE2">
      <w:pPr>
        <w:pStyle w:val="ParrafoApendice"/>
        <w:rPr>
          <w:lang w:val="es-PE"/>
        </w:rPr>
      </w:pPr>
      <w:r w:rsidRPr="005B6D62">
        <w:rPr>
          <w:lang w:val="es-PE"/>
        </w:rPr>
        <w:t>condicionalidad, especifica (</w:t>
      </w:r>
      <w:proofErr w:type="spellStart"/>
      <w:r w:rsidRPr="005B6D62">
        <w:rPr>
          <w:i/>
          <w:iCs/>
          <w:lang w:val="es-PE"/>
        </w:rPr>
        <w:t>idappaccayatā</w:t>
      </w:r>
      <w:proofErr w:type="spellEnd"/>
      <w:r w:rsidRPr="005B6D62">
        <w:rPr>
          <w:lang w:val="es-PE"/>
        </w:rPr>
        <w:t xml:space="preserve">) XVII.5s., 58 </w:t>
      </w:r>
    </w:p>
    <w:p w14:paraId="455AB436" w14:textId="77777777" w:rsidR="00597DE2" w:rsidRPr="005155FB" w:rsidRDefault="00597DE2" w:rsidP="00597DE2">
      <w:pPr>
        <w:pStyle w:val="ParrafoApendice"/>
        <w:rPr>
          <w:lang w:val="es-PE"/>
        </w:rPr>
      </w:pPr>
      <w:r w:rsidRPr="005155FB">
        <w:rPr>
          <w:lang w:val="es-PE"/>
        </w:rPr>
        <w:t>confianza</w:t>
      </w:r>
      <w:r>
        <w:rPr>
          <w:lang w:val="es-PE"/>
        </w:rPr>
        <w:t>, confiabilidad</w:t>
      </w:r>
      <w:r w:rsidRPr="005155FB">
        <w:rPr>
          <w:lang w:val="es-PE"/>
        </w:rPr>
        <w:t xml:space="preserve"> (</w:t>
      </w:r>
      <w:proofErr w:type="spellStart"/>
      <w:r w:rsidRPr="005155FB">
        <w:rPr>
          <w:i/>
          <w:iCs/>
          <w:lang w:val="es-PE"/>
        </w:rPr>
        <w:t>ālaya</w:t>
      </w:r>
      <w:proofErr w:type="spellEnd"/>
      <w:r w:rsidRPr="005155FB">
        <w:rPr>
          <w:lang w:val="es-PE"/>
        </w:rPr>
        <w:t xml:space="preserve">) I.140; VIII.245; XX.90; XXII.113, 120 </w:t>
      </w:r>
    </w:p>
    <w:p w14:paraId="43C0554E" w14:textId="77777777" w:rsidR="00597DE2" w:rsidRPr="005B6D62" w:rsidRDefault="00597DE2" w:rsidP="00597DE2">
      <w:pPr>
        <w:pStyle w:val="ParrafoApendice"/>
        <w:rPr>
          <w:lang w:val="es-PE"/>
        </w:rPr>
      </w:pPr>
      <w:r w:rsidRPr="005B6D62">
        <w:rPr>
          <w:lang w:val="es-PE"/>
        </w:rPr>
        <w:t>conformidad (</w:t>
      </w:r>
      <w:proofErr w:type="spellStart"/>
      <w:r w:rsidRPr="005B6D62">
        <w:rPr>
          <w:i/>
          <w:iCs/>
          <w:lang w:val="es-PE"/>
        </w:rPr>
        <w:t>anuloma</w:t>
      </w:r>
      <w:proofErr w:type="spellEnd"/>
      <w:r w:rsidRPr="005B6D62">
        <w:rPr>
          <w:lang w:val="es-PE"/>
        </w:rPr>
        <w:t xml:space="preserve">) IV.74, n.13; XIII.5; XIV.28; XX.18; XXI.1, 128s.; XXII.6, 16, 23, 121, n.7; XXIII.14 </w:t>
      </w:r>
    </w:p>
    <w:p w14:paraId="44957B6F" w14:textId="77777777" w:rsidR="00597DE2" w:rsidRPr="005B6D62" w:rsidRDefault="00597DE2" w:rsidP="00597DE2">
      <w:pPr>
        <w:pStyle w:val="ParrafoApendice"/>
        <w:rPr>
          <w:lang w:val="es-PE"/>
        </w:rPr>
      </w:pPr>
      <w:r w:rsidRPr="005B6D62">
        <w:rPr>
          <w:lang w:val="es-PE"/>
        </w:rPr>
        <w:t>confusión (</w:t>
      </w:r>
      <w:proofErr w:type="spellStart"/>
      <w:r w:rsidRPr="005B6D62">
        <w:rPr>
          <w:i/>
          <w:iCs/>
          <w:lang w:val="es-PE"/>
        </w:rPr>
        <w:t>sammoha</w:t>
      </w:r>
      <w:proofErr w:type="spellEnd"/>
      <w:r w:rsidRPr="005B6D62">
        <w:rPr>
          <w:lang w:val="es-PE"/>
        </w:rPr>
        <w:t>) I.140; XVIII.25; XX.90; XXII.113, 119</w:t>
      </w:r>
    </w:p>
    <w:p w14:paraId="35AD32F5" w14:textId="77777777" w:rsidR="00597DE2" w:rsidRPr="005B6D62" w:rsidRDefault="00597DE2" w:rsidP="00597DE2">
      <w:pPr>
        <w:pStyle w:val="ParrafoApendice"/>
        <w:rPr>
          <w:lang w:val="es-PE"/>
        </w:rPr>
      </w:pPr>
      <w:r w:rsidRPr="005B6D62">
        <w:rPr>
          <w:lang w:val="es-PE"/>
        </w:rPr>
        <w:t xml:space="preserve">congregación </w:t>
      </w:r>
      <w:proofErr w:type="spellStart"/>
      <w:r w:rsidRPr="005B6D62">
        <w:rPr>
          <w:lang w:val="es-PE"/>
        </w:rPr>
        <w:t>assembly</w:t>
      </w:r>
      <w:proofErr w:type="spellEnd"/>
      <w:r w:rsidRPr="005B6D62">
        <w:rPr>
          <w:lang w:val="es-PE"/>
        </w:rPr>
        <w:t xml:space="preserve"> (</w:t>
      </w:r>
      <w:proofErr w:type="spellStart"/>
      <w:r w:rsidRPr="005B6D62">
        <w:rPr>
          <w:i/>
          <w:iCs/>
          <w:lang w:val="es-PE"/>
        </w:rPr>
        <w:t>parisā</w:t>
      </w:r>
      <w:proofErr w:type="spellEnd"/>
      <w:r w:rsidRPr="005B6D62">
        <w:rPr>
          <w:lang w:val="es-PE"/>
        </w:rPr>
        <w:t>) IV.</w:t>
      </w:r>
      <w:r w:rsidRPr="005B6D62">
        <w:rPr>
          <w:color w:val="833C0B" w:themeColor="accent2" w:themeShade="80"/>
          <w:u w:color="000000"/>
          <w:lang w:val="es-PE"/>
        </w:rPr>
        <w:t>n.28</w:t>
      </w:r>
      <w:r w:rsidRPr="005B6D62">
        <w:rPr>
          <w:lang w:val="es-PE"/>
        </w:rPr>
        <w:t xml:space="preserve"> </w:t>
      </w:r>
      <w:r w:rsidRPr="005B6D62">
        <w:rPr>
          <w:color w:val="833C0B" w:themeColor="accent2" w:themeShade="80"/>
          <w:u w:color="000000"/>
          <w:lang w:val="es-PE"/>
        </w:rPr>
        <w:t>{N.H.}</w:t>
      </w:r>
    </w:p>
    <w:p w14:paraId="5088AE7B" w14:textId="77777777" w:rsidR="00597DE2" w:rsidRPr="005B6D62" w:rsidRDefault="00597DE2" w:rsidP="00597DE2">
      <w:pPr>
        <w:pStyle w:val="ParrafoApendice"/>
        <w:rPr>
          <w:lang w:val="es-PE"/>
        </w:rPr>
      </w:pPr>
      <w:r w:rsidRPr="005B6D62">
        <w:rPr>
          <w:lang w:val="es-PE"/>
        </w:rPr>
        <w:t>conocimiento (</w:t>
      </w:r>
      <w:r w:rsidRPr="005B6D62">
        <w:rPr>
          <w:i/>
          <w:iCs/>
          <w:lang w:val="es-PE"/>
        </w:rPr>
        <w:t>ñāṇa</w:t>
      </w:r>
      <w:r w:rsidRPr="005B6D62">
        <w:rPr>
          <w:lang w:val="es-PE"/>
        </w:rPr>
        <w:t>) I.18, 140; II.84; IV.118; VII.7</w:t>
      </w:r>
      <w:r w:rsidRPr="005B6D62">
        <w:rPr>
          <w:color w:val="833C0B" w:themeColor="accent2" w:themeShade="80"/>
          <w:u w:color="000000"/>
          <w:lang w:val="es-PE"/>
        </w:rPr>
        <w:t>s.</w:t>
      </w:r>
      <w:r w:rsidRPr="005B6D62">
        <w:rPr>
          <w:lang w:val="es-PE"/>
        </w:rPr>
        <w:t xml:space="preserve">, n.7; VIII.174; IX.124; XII.26; XIII </w:t>
      </w:r>
      <w:r w:rsidRPr="005B6D62">
        <w:rPr>
          <w:i/>
          <w:iCs/>
          <w:lang w:val="es-PE"/>
        </w:rPr>
        <w:t>passim</w:t>
      </w:r>
      <w:r w:rsidRPr="005B6D62">
        <w:rPr>
          <w:lang w:val="es-PE"/>
        </w:rPr>
        <w:t>, n.6; XIV.2, 20s., 83, 126; XV.21; XX.94, 114, 129s.; XXI.12</w:t>
      </w:r>
      <w:r w:rsidRPr="005B6D62">
        <w:rPr>
          <w:color w:val="833C0B" w:themeColor="accent2" w:themeShade="80"/>
          <w:u w:color="000000"/>
          <w:lang w:val="es-PE"/>
        </w:rPr>
        <w:t>s.</w:t>
      </w:r>
      <w:r w:rsidRPr="005B6D62">
        <w:rPr>
          <w:lang w:val="es-PE"/>
        </w:rPr>
        <w:t xml:space="preserve">, 52; XXII.25, 46, 66; XXIII.20; </w:t>
      </w:r>
      <w:r w:rsidRPr="005B6D62">
        <w:rPr>
          <w:i/>
          <w:iCs/>
          <w:lang w:val="es-PE"/>
        </w:rPr>
        <w:t>c. de la conformidad con la verdad</w:t>
      </w:r>
      <w:r w:rsidRPr="005B6D62">
        <w:rPr>
          <w:lang w:val="es-PE"/>
        </w:rPr>
        <w:t xml:space="preserve"> (</w:t>
      </w:r>
      <w:proofErr w:type="spellStart"/>
      <w:r w:rsidRPr="005B6D62">
        <w:rPr>
          <w:i/>
          <w:iCs/>
          <w:lang w:val="es-PE"/>
        </w:rPr>
        <w:t>saccānulomika</w:t>
      </w:r>
      <w:proofErr w:type="spellEnd"/>
      <w:r w:rsidRPr="005B6D62">
        <w:rPr>
          <w:i/>
          <w:iCs/>
          <w:lang w:val="es-PE"/>
        </w:rPr>
        <w:t>–</w:t>
      </w:r>
      <w:proofErr w:type="spellStart"/>
      <w:r w:rsidRPr="005B6D62">
        <w:rPr>
          <w:i/>
          <w:iCs/>
          <w:lang w:val="es-PE"/>
        </w:rPr>
        <w:t>ñāna</w:t>
      </w:r>
      <w:proofErr w:type="spellEnd"/>
      <w:r w:rsidRPr="005B6D62">
        <w:rPr>
          <w:lang w:val="es-PE"/>
        </w:rPr>
        <w:t xml:space="preserve">) XXI.1. </w:t>
      </w:r>
      <w:r w:rsidRPr="005B6D62">
        <w:rPr>
          <w:i/>
          <w:iCs/>
          <w:lang w:val="es-PE"/>
        </w:rPr>
        <w:t>c. del desapasionamiento</w:t>
      </w:r>
      <w:r w:rsidRPr="005B6D62">
        <w:rPr>
          <w:lang w:val="es-PE"/>
        </w:rPr>
        <w:t xml:space="preserve"> (</w:t>
      </w:r>
      <w:proofErr w:type="spellStart"/>
      <w:r w:rsidRPr="005B6D62">
        <w:rPr>
          <w:i/>
          <w:iCs/>
          <w:lang w:val="es-PE"/>
        </w:rPr>
        <w:t>nibbidā</w:t>
      </w:r>
      <w:proofErr w:type="spellEnd"/>
      <w:r w:rsidRPr="005B6D62">
        <w:rPr>
          <w:lang w:val="es-PE"/>
        </w:rPr>
        <w:t>–</w:t>
      </w:r>
      <w:r w:rsidRPr="005B6D62">
        <w:rPr>
          <w:i/>
          <w:iCs/>
          <w:lang w:val="es-PE"/>
        </w:rPr>
        <w:t>ñāṇa</w:t>
      </w:r>
      <w:r w:rsidRPr="005B6D62">
        <w:rPr>
          <w:lang w:val="es-PE"/>
        </w:rPr>
        <w:t xml:space="preserve">) XXI.81, 131; </w:t>
      </w:r>
      <w:r w:rsidRPr="005B6D62">
        <w:rPr>
          <w:i/>
          <w:iCs/>
          <w:lang w:val="es-PE"/>
        </w:rPr>
        <w:t>c. de los renacimientos/destinos de acuerdo a las acciones cometidas</w:t>
      </w:r>
      <w:r w:rsidRPr="005B6D62">
        <w:rPr>
          <w:lang w:val="es-PE"/>
        </w:rPr>
        <w:t xml:space="preserve"> (</w:t>
      </w:r>
      <w:proofErr w:type="spellStart"/>
      <w:r w:rsidRPr="005B6D62">
        <w:rPr>
          <w:i/>
          <w:iCs/>
          <w:lang w:val="es-PE"/>
        </w:rPr>
        <w:t>yathā</w:t>
      </w:r>
      <w:proofErr w:type="spellEnd"/>
      <w:r w:rsidRPr="005B6D62">
        <w:rPr>
          <w:i/>
          <w:iCs/>
          <w:lang w:val="es-PE"/>
        </w:rPr>
        <w:t>–</w:t>
      </w:r>
      <w:proofErr w:type="spellStart"/>
      <w:r w:rsidRPr="005B6D62">
        <w:rPr>
          <w:i/>
          <w:iCs/>
          <w:lang w:val="es-PE"/>
        </w:rPr>
        <w:t>kammūpaga</w:t>
      </w:r>
      <w:proofErr w:type="spellEnd"/>
      <w:r w:rsidRPr="005B6D62">
        <w:rPr>
          <w:i/>
          <w:iCs/>
          <w:lang w:val="es-PE"/>
        </w:rPr>
        <w:t>–ñāṇa</w:t>
      </w:r>
      <w:r w:rsidRPr="005B6D62">
        <w:rPr>
          <w:lang w:val="es-PE"/>
        </w:rPr>
        <w:t xml:space="preserve">) XIII.78s., 103, 122, 128; </w:t>
      </w:r>
      <w:r w:rsidRPr="005B6D62">
        <w:rPr>
          <w:i/>
          <w:iCs/>
          <w:lang w:val="es-PE"/>
        </w:rPr>
        <w:t>c. del futuro</w:t>
      </w:r>
      <w:r w:rsidRPr="005B6D62">
        <w:rPr>
          <w:lang w:val="es-PE"/>
        </w:rPr>
        <w:t xml:space="preserve"> (</w:t>
      </w:r>
      <w:proofErr w:type="spellStart"/>
      <w:r w:rsidRPr="005B6D62">
        <w:rPr>
          <w:i/>
          <w:iCs/>
          <w:lang w:val="es-PE"/>
        </w:rPr>
        <w:t>anāgataṃsa</w:t>
      </w:r>
      <w:proofErr w:type="spellEnd"/>
      <w:r w:rsidRPr="005B6D62">
        <w:rPr>
          <w:lang w:val="es-PE"/>
        </w:rPr>
        <w:t>–</w:t>
      </w:r>
      <w:r w:rsidRPr="005B6D62">
        <w:rPr>
          <w:i/>
          <w:iCs/>
          <w:lang w:val="es-PE"/>
        </w:rPr>
        <w:t>ñāṇa</w:t>
      </w:r>
      <w:r w:rsidRPr="005B6D62">
        <w:rPr>
          <w:lang w:val="es-PE"/>
        </w:rPr>
        <w:t xml:space="preserve">) XIII.80, 103, 122, 125; </w:t>
      </w:r>
      <w:r w:rsidRPr="005B6D62">
        <w:rPr>
          <w:i/>
          <w:iCs/>
          <w:lang w:val="es-PE"/>
        </w:rPr>
        <w:t>c. del fallecimiento y reaparición de los seres</w:t>
      </w:r>
      <w:r w:rsidRPr="005B6D62">
        <w:rPr>
          <w:lang w:val="es-PE"/>
        </w:rPr>
        <w:t xml:space="preserve"> (</w:t>
      </w:r>
      <w:proofErr w:type="spellStart"/>
      <w:r w:rsidRPr="005B6D62">
        <w:rPr>
          <w:i/>
          <w:iCs/>
          <w:lang w:val="es-PE"/>
        </w:rPr>
        <w:t>cutūpapāta</w:t>
      </w:r>
      <w:proofErr w:type="spellEnd"/>
      <w:r w:rsidRPr="005B6D62">
        <w:rPr>
          <w:i/>
          <w:iCs/>
          <w:lang w:val="es-PE"/>
        </w:rPr>
        <w:t>–ñāṇa</w:t>
      </w:r>
      <w:r w:rsidRPr="005B6D62">
        <w:rPr>
          <w:lang w:val="es-PE"/>
        </w:rPr>
        <w:t xml:space="preserve">) XII.2; XIII.72; </w:t>
      </w:r>
      <w:r w:rsidRPr="005B6D62">
        <w:rPr>
          <w:i/>
          <w:iCs/>
          <w:lang w:val="es-PE"/>
        </w:rPr>
        <w:t>c. de la penetración de otras mentes</w:t>
      </w:r>
      <w:r w:rsidRPr="005B6D62">
        <w:rPr>
          <w:lang w:val="es-PE"/>
        </w:rPr>
        <w:t xml:space="preserve"> (</w:t>
      </w:r>
      <w:proofErr w:type="spellStart"/>
      <w:r w:rsidRPr="005B6D62">
        <w:rPr>
          <w:i/>
          <w:iCs/>
          <w:lang w:val="es-PE"/>
        </w:rPr>
        <w:t>cetopariya</w:t>
      </w:r>
      <w:proofErr w:type="spellEnd"/>
      <w:r w:rsidRPr="005B6D62">
        <w:rPr>
          <w:lang w:val="es-PE"/>
        </w:rPr>
        <w:t>–</w:t>
      </w:r>
      <w:r w:rsidRPr="005B6D62">
        <w:rPr>
          <w:i/>
          <w:iCs/>
          <w:lang w:val="es-PE"/>
        </w:rPr>
        <w:t>ñāṇa</w:t>
      </w:r>
      <w:r w:rsidRPr="005B6D62">
        <w:rPr>
          <w:lang w:val="es-PE"/>
        </w:rPr>
        <w:t xml:space="preserve">) III.96; XII.2, 136; XIII.8, 110, </w:t>
      </w:r>
      <w:r w:rsidRPr="005B6D62">
        <w:rPr>
          <w:color w:val="833C0B" w:themeColor="accent2" w:themeShade="80"/>
          <w:u w:color="000000"/>
          <w:lang w:val="es-PE"/>
        </w:rPr>
        <w:t>121</w:t>
      </w:r>
      <w:r w:rsidRPr="005B6D62">
        <w:rPr>
          <w:lang w:val="es-PE"/>
        </w:rPr>
        <w:t xml:space="preserve">; </w:t>
      </w:r>
      <w:r w:rsidRPr="005B6D62">
        <w:rPr>
          <w:i/>
          <w:iCs/>
          <w:lang w:val="es-PE"/>
        </w:rPr>
        <w:t xml:space="preserve">c. de la relación </w:t>
      </w:r>
      <w:r w:rsidRPr="005B6D62">
        <w:rPr>
          <w:i/>
          <w:iCs/>
          <w:color w:val="833C0B" w:themeColor="accent2" w:themeShade="80"/>
          <w:u w:color="000000"/>
          <w:lang w:val="es-PE"/>
        </w:rPr>
        <w:t>causal</w:t>
      </w:r>
      <w:r w:rsidRPr="005B6D62">
        <w:rPr>
          <w:i/>
          <w:iCs/>
          <w:lang w:val="es-PE"/>
        </w:rPr>
        <w:t xml:space="preserve"> de los estados</w:t>
      </w:r>
      <w:r w:rsidRPr="005B6D62">
        <w:rPr>
          <w:lang w:val="es-PE"/>
        </w:rPr>
        <w:t xml:space="preserve"> </w:t>
      </w:r>
      <w:r>
        <w:rPr>
          <w:lang w:val="es-PE"/>
        </w:rPr>
        <w:br w:type="column"/>
      </w:r>
      <w:r>
        <w:rPr>
          <w:lang w:val="es-PE"/>
        </w:rPr>
        <w:br/>
      </w:r>
      <w:r w:rsidRPr="005B6D62">
        <w:rPr>
          <w:lang w:val="es-PE"/>
        </w:rPr>
        <w:t>(</w:t>
      </w:r>
      <w:proofErr w:type="spellStart"/>
      <w:r w:rsidRPr="005B6D62">
        <w:rPr>
          <w:i/>
          <w:iCs/>
          <w:lang w:val="es-PE"/>
        </w:rPr>
        <w:t>dhammaṭṭhiti</w:t>
      </w:r>
      <w:proofErr w:type="spellEnd"/>
      <w:r w:rsidRPr="005B6D62">
        <w:rPr>
          <w:i/>
          <w:iCs/>
          <w:lang w:val="es-PE"/>
        </w:rPr>
        <w:t>–ñāṇa</w:t>
      </w:r>
      <w:r w:rsidRPr="005B6D62">
        <w:rPr>
          <w:lang w:val="es-PE"/>
        </w:rPr>
        <w:t xml:space="preserve">) VII.20; XIX.25; XXI.135; </w:t>
      </w:r>
      <w:r w:rsidRPr="005B6D62">
        <w:rPr>
          <w:i/>
          <w:iCs/>
          <w:lang w:val="es-PE"/>
        </w:rPr>
        <w:t>c. del surgimiento y desaparición</w:t>
      </w:r>
      <w:r w:rsidRPr="005B6D62">
        <w:rPr>
          <w:lang w:val="es-PE"/>
        </w:rPr>
        <w:t xml:space="preserve"> (</w:t>
      </w:r>
      <w:proofErr w:type="spellStart"/>
      <w:r w:rsidRPr="005B6D62">
        <w:rPr>
          <w:i/>
          <w:iCs/>
          <w:lang w:val="es-PE"/>
        </w:rPr>
        <w:t>udayabbaya</w:t>
      </w:r>
      <w:proofErr w:type="spellEnd"/>
      <w:r w:rsidRPr="005B6D62">
        <w:rPr>
          <w:i/>
          <w:iCs/>
          <w:lang w:val="es-PE"/>
        </w:rPr>
        <w:t>–ñāṇa</w:t>
      </w:r>
      <w:r w:rsidRPr="005B6D62">
        <w:rPr>
          <w:lang w:val="es-PE"/>
        </w:rPr>
        <w:t xml:space="preserve">) XXI. </w:t>
      </w:r>
      <w:r w:rsidRPr="005B6D62">
        <w:rPr>
          <w:color w:val="833C0B" w:themeColor="accent2" w:themeShade="80"/>
          <w:u w:color="000000"/>
          <w:lang w:val="es-PE"/>
        </w:rPr>
        <w:t>1s.,</w:t>
      </w:r>
      <w:r w:rsidRPr="005B6D62">
        <w:rPr>
          <w:lang w:val="es-PE"/>
        </w:rPr>
        <w:t xml:space="preserve">131; </w:t>
      </w:r>
      <w:r w:rsidRPr="005B6D62">
        <w:rPr>
          <w:i/>
          <w:iCs/>
          <w:lang w:val="es-PE"/>
        </w:rPr>
        <w:t>c. del sendero</w:t>
      </w:r>
      <w:r w:rsidRPr="005B6D62">
        <w:rPr>
          <w:lang w:val="es-PE"/>
        </w:rPr>
        <w:t xml:space="preserve"> (</w:t>
      </w:r>
      <w:proofErr w:type="spellStart"/>
      <w:r w:rsidRPr="005B6D62">
        <w:rPr>
          <w:i/>
          <w:iCs/>
          <w:lang w:val="es-PE"/>
        </w:rPr>
        <w:t>magga</w:t>
      </w:r>
      <w:proofErr w:type="spellEnd"/>
      <w:r w:rsidRPr="005B6D62">
        <w:rPr>
          <w:lang w:val="es-PE"/>
        </w:rPr>
        <w:t>–</w:t>
      </w:r>
      <w:r w:rsidRPr="005B6D62">
        <w:rPr>
          <w:i/>
          <w:iCs/>
          <w:lang w:val="es-PE"/>
        </w:rPr>
        <w:t>ñāṇa</w:t>
      </w:r>
      <w:r w:rsidRPr="005B6D62">
        <w:rPr>
          <w:lang w:val="es-PE"/>
        </w:rPr>
        <w:t xml:space="preserve">) XXII.3s., 22s., 25s, 28; </w:t>
      </w:r>
      <w:r w:rsidRPr="005B6D62">
        <w:rPr>
          <w:i/>
          <w:iCs/>
          <w:color w:val="833C0B" w:themeColor="accent2" w:themeShade="80"/>
          <w:u w:color="000000"/>
          <w:lang w:val="es-PE"/>
        </w:rPr>
        <w:t>c. de la examinación</w:t>
      </w:r>
      <w:r w:rsidRPr="005B6D62">
        <w:rPr>
          <w:color w:val="833C0B" w:themeColor="accent2" w:themeShade="80"/>
          <w:u w:color="000000"/>
          <w:lang w:val="es-PE"/>
        </w:rPr>
        <w:t xml:space="preserve"> (</w:t>
      </w:r>
      <w:proofErr w:type="spellStart"/>
      <w:r w:rsidRPr="005B6D62">
        <w:rPr>
          <w:i/>
          <w:iCs/>
          <w:color w:val="833C0B" w:themeColor="accent2" w:themeShade="80"/>
          <w:u w:color="000000"/>
          <w:lang w:val="es-PE"/>
        </w:rPr>
        <w:t>paccavekkhaṇa</w:t>
      </w:r>
      <w:proofErr w:type="spellEnd"/>
      <w:r w:rsidRPr="005B6D62">
        <w:rPr>
          <w:i/>
          <w:iCs/>
          <w:color w:val="833C0B" w:themeColor="accent2" w:themeShade="80"/>
          <w:u w:color="000000"/>
          <w:lang w:val="es-PE"/>
        </w:rPr>
        <w:t>–ñāṇa</w:t>
      </w:r>
      <w:r w:rsidRPr="005B6D62">
        <w:rPr>
          <w:color w:val="833C0B" w:themeColor="accent2" w:themeShade="80"/>
          <w:u w:color="000000"/>
          <w:lang w:val="es-PE"/>
        </w:rPr>
        <w:t>) 132;</w:t>
      </w:r>
      <w:r w:rsidRPr="005B6D62">
        <w:rPr>
          <w:lang w:val="es-PE"/>
        </w:rPr>
        <w:t xml:space="preserve"> </w:t>
      </w:r>
      <w:r w:rsidRPr="005B6D62">
        <w:rPr>
          <w:i/>
          <w:iCs/>
          <w:lang w:val="es-PE"/>
        </w:rPr>
        <w:t>c. de la visión de la liberación</w:t>
      </w:r>
      <w:r w:rsidRPr="005B6D62">
        <w:rPr>
          <w:lang w:val="es-PE"/>
        </w:rPr>
        <w:t xml:space="preserve"> (</w:t>
      </w:r>
      <w:proofErr w:type="spellStart"/>
      <w:r w:rsidRPr="005B6D62">
        <w:rPr>
          <w:i/>
          <w:iCs/>
          <w:lang w:val="es-PE"/>
        </w:rPr>
        <w:t>vimutti</w:t>
      </w:r>
      <w:proofErr w:type="spellEnd"/>
      <w:r w:rsidRPr="005B6D62">
        <w:rPr>
          <w:lang w:val="es-PE"/>
        </w:rPr>
        <w:t>–</w:t>
      </w:r>
      <w:proofErr w:type="spellStart"/>
      <w:r w:rsidRPr="005B6D62">
        <w:rPr>
          <w:i/>
          <w:iCs/>
          <w:lang w:val="es-PE"/>
        </w:rPr>
        <w:t>ñāṇadassana</w:t>
      </w:r>
      <w:proofErr w:type="spellEnd"/>
      <w:r w:rsidRPr="005B6D62">
        <w:rPr>
          <w:lang w:val="es-PE"/>
        </w:rPr>
        <w:t>) I.32</w:t>
      </w:r>
    </w:p>
    <w:p w14:paraId="269A777B" w14:textId="77777777" w:rsidR="00597DE2" w:rsidRPr="005B6D62" w:rsidRDefault="00597DE2" w:rsidP="00597DE2">
      <w:pPr>
        <w:pStyle w:val="ParrafoApendice"/>
        <w:rPr>
          <w:lang w:val="es-PE"/>
        </w:rPr>
      </w:pPr>
      <w:r w:rsidRPr="005B6D62">
        <w:rPr>
          <w:lang w:val="es-PE"/>
        </w:rPr>
        <w:t>conocimiento correcto (</w:t>
      </w:r>
      <w:proofErr w:type="spellStart"/>
      <w:r w:rsidRPr="005B6D62">
        <w:rPr>
          <w:i/>
          <w:iCs/>
          <w:lang w:val="es-PE"/>
        </w:rPr>
        <w:t>yathābhūtañāṇa</w:t>
      </w:r>
      <w:proofErr w:type="spellEnd"/>
      <w:r w:rsidRPr="005B6D62">
        <w:rPr>
          <w:lang w:val="es-PE"/>
        </w:rPr>
        <w:t xml:space="preserve">) XIX.25 </w:t>
      </w:r>
    </w:p>
    <w:p w14:paraId="0EE67883" w14:textId="77777777" w:rsidR="00597DE2" w:rsidRPr="005B6D62" w:rsidRDefault="00597DE2" w:rsidP="00597DE2">
      <w:pPr>
        <w:pStyle w:val="ParrafoApendice"/>
        <w:rPr>
          <w:lang w:val="es-PE"/>
        </w:rPr>
      </w:pPr>
      <w:r w:rsidRPr="005B6D62">
        <w:rPr>
          <w:lang w:val="es-PE"/>
        </w:rPr>
        <w:t>conocimiento directo (</w:t>
      </w:r>
      <w:proofErr w:type="spellStart"/>
      <w:r w:rsidRPr="005B6D62">
        <w:rPr>
          <w:i/>
          <w:iCs/>
          <w:lang w:val="es-PE"/>
        </w:rPr>
        <w:t>abhiññā</w:t>
      </w:r>
      <w:proofErr w:type="spellEnd"/>
      <w:r w:rsidRPr="005B6D62">
        <w:rPr>
          <w:lang w:val="es-PE"/>
        </w:rPr>
        <w:t xml:space="preserve">) I.11, 140, n.6; III.5, 14s., 120; IV.75, 78; VII.30; XI.122; XII </w:t>
      </w:r>
      <w:r w:rsidRPr="005B6D62">
        <w:rPr>
          <w:i/>
          <w:iCs/>
          <w:lang w:val="es-PE"/>
        </w:rPr>
        <w:t>passim</w:t>
      </w:r>
      <w:r w:rsidRPr="005B6D62">
        <w:rPr>
          <w:lang w:val="es-PE"/>
        </w:rPr>
        <w:t xml:space="preserve">; XIII </w:t>
      </w:r>
      <w:r w:rsidRPr="005B6D62">
        <w:rPr>
          <w:i/>
          <w:iCs/>
          <w:lang w:val="es-PE"/>
        </w:rPr>
        <w:t>passim</w:t>
      </w:r>
      <w:r w:rsidRPr="005B6D62">
        <w:rPr>
          <w:lang w:val="es-PE"/>
        </w:rPr>
        <w:t xml:space="preserve">; XVII.61, 102; XX.3, 31; XXII.106; XXIII.58 </w:t>
      </w:r>
    </w:p>
    <w:p w14:paraId="3AA9F05D" w14:textId="77777777" w:rsidR="00597DE2" w:rsidRPr="005B6D62" w:rsidRDefault="00597DE2" w:rsidP="00597DE2">
      <w:pPr>
        <w:pStyle w:val="ParrafoApendice"/>
        <w:rPr>
          <w:lang w:val="es-PE"/>
        </w:rPr>
      </w:pPr>
      <w:r w:rsidRPr="005B6D62">
        <w:rPr>
          <w:lang w:val="es-PE"/>
        </w:rPr>
        <w:t>conocimiento inferencial (</w:t>
      </w:r>
      <w:proofErr w:type="spellStart"/>
      <w:r w:rsidRPr="005B6D62">
        <w:rPr>
          <w:i/>
          <w:iCs/>
          <w:lang w:val="es-PE"/>
        </w:rPr>
        <w:t>anvaya</w:t>
      </w:r>
      <w:proofErr w:type="spellEnd"/>
      <w:r w:rsidRPr="005B6D62">
        <w:rPr>
          <w:lang w:val="es-PE"/>
        </w:rPr>
        <w:t>–</w:t>
      </w:r>
      <w:r w:rsidRPr="005B6D62">
        <w:rPr>
          <w:i/>
          <w:iCs/>
          <w:lang w:val="es-PE"/>
        </w:rPr>
        <w:t>ñāṇa</w:t>
      </w:r>
      <w:r w:rsidRPr="005B6D62">
        <w:rPr>
          <w:lang w:val="es-PE"/>
        </w:rPr>
        <w:t xml:space="preserve">) XXI.17; XXII.115 </w:t>
      </w:r>
    </w:p>
    <w:p w14:paraId="2476F129" w14:textId="77777777" w:rsidR="00597DE2" w:rsidRPr="005B6D62" w:rsidRDefault="00597DE2" w:rsidP="00597DE2">
      <w:pPr>
        <w:pStyle w:val="ParrafoApendice"/>
        <w:rPr>
          <w:lang w:val="es-PE"/>
        </w:rPr>
      </w:pPr>
      <w:r w:rsidRPr="005B6D62">
        <w:rPr>
          <w:lang w:val="es-PE"/>
        </w:rPr>
        <w:t>conocimiento último (</w:t>
      </w:r>
      <w:proofErr w:type="spellStart"/>
      <w:r w:rsidRPr="005B6D62">
        <w:rPr>
          <w:i/>
          <w:iCs/>
          <w:lang w:val="es-PE"/>
        </w:rPr>
        <w:t>aññā</w:t>
      </w:r>
      <w:proofErr w:type="spellEnd"/>
      <w:r w:rsidRPr="005B6D62">
        <w:rPr>
          <w:lang w:val="es-PE"/>
        </w:rPr>
        <w:t xml:space="preserve">) XVI.3; XXIII.n.17 </w:t>
      </w:r>
    </w:p>
    <w:p w14:paraId="020E6F6A" w14:textId="77777777" w:rsidR="00597DE2" w:rsidRPr="005B6D62" w:rsidRDefault="00597DE2" w:rsidP="00597DE2">
      <w:pPr>
        <w:pStyle w:val="ParrafoApendice"/>
        <w:rPr>
          <w:lang w:val="es-PE"/>
        </w:rPr>
      </w:pPr>
      <w:r w:rsidRPr="005B6D62">
        <w:rPr>
          <w:lang w:val="es-PE"/>
        </w:rPr>
        <w:t>conocimiento y visión correctos (</w:t>
      </w:r>
      <w:proofErr w:type="spellStart"/>
      <w:r w:rsidRPr="005B6D62">
        <w:rPr>
          <w:i/>
          <w:iCs/>
          <w:lang w:val="es-PE"/>
        </w:rPr>
        <w:t>yathābhūtañāṇadassana</w:t>
      </w:r>
      <w:proofErr w:type="spellEnd"/>
      <w:r w:rsidRPr="005B6D62">
        <w:rPr>
          <w:lang w:val="es-PE"/>
        </w:rPr>
        <w:t>) I.32, 140; XX.90; XXII.113</w:t>
      </w:r>
      <w:r w:rsidRPr="005B6D62">
        <w:rPr>
          <w:color w:val="833C0B" w:themeColor="accent2" w:themeShade="80"/>
          <w:u w:color="000000"/>
          <w:lang w:val="es-PE"/>
        </w:rPr>
        <w:t>s</w:t>
      </w:r>
      <w:r w:rsidRPr="005B6D62">
        <w:rPr>
          <w:lang w:val="es-PE"/>
        </w:rPr>
        <w:t xml:space="preserve">, 119 </w:t>
      </w:r>
    </w:p>
    <w:p w14:paraId="7ED4EDDA" w14:textId="77777777" w:rsidR="00597DE2" w:rsidRPr="005B6D62" w:rsidRDefault="00597DE2" w:rsidP="00597DE2">
      <w:pPr>
        <w:pStyle w:val="ParrafoApendice"/>
        <w:rPr>
          <w:lang w:val="es-PE"/>
        </w:rPr>
      </w:pPr>
      <w:r w:rsidRPr="005B6D62">
        <w:rPr>
          <w:lang w:val="es-PE"/>
        </w:rPr>
        <w:t>consciencia (</w:t>
      </w:r>
      <w:r w:rsidRPr="005B6D62">
        <w:rPr>
          <w:i/>
          <w:iCs/>
          <w:lang w:val="es-PE"/>
        </w:rPr>
        <w:t>viññāṇa</w:t>
      </w:r>
      <w:r w:rsidRPr="005B6D62">
        <w:rPr>
          <w:lang w:val="es-PE"/>
        </w:rPr>
        <w:t>) I.53, 57, n.14; V.n.5; VII.10, 28, n.13; IX.122; X.25s., 50; XI.1s., 107; XII.n.21; XIV.3, 6, 81s., 129, 214; XV.9s., 27; XVII.2, 48, 51, 54, 120s., 294; XVIII.8, 11, 13, 21; XIX.13, 23; XX.6, 9, 31, 43, 78, 94; XXI.11, 56; XXII.36, 42, 53, 126; XXIII.13, 18, 22</w:t>
      </w:r>
      <w:r w:rsidRPr="005B6D62">
        <w:rPr>
          <w:color w:val="833C0B" w:themeColor="accent2" w:themeShade="80"/>
          <w:u w:color="000000"/>
          <w:lang w:val="es-PE"/>
        </w:rPr>
        <w:t>s</w:t>
      </w:r>
      <w:r w:rsidRPr="005B6D62">
        <w:rPr>
          <w:lang w:val="es-PE"/>
        </w:rPr>
        <w:t xml:space="preserve">, 30 </w:t>
      </w:r>
    </w:p>
    <w:p w14:paraId="49B5B4D1" w14:textId="77777777" w:rsidR="00597DE2" w:rsidRPr="005B6D62" w:rsidRDefault="00597DE2" w:rsidP="00597DE2">
      <w:pPr>
        <w:pStyle w:val="ParrafoApendice"/>
        <w:rPr>
          <w:lang w:val="es-PE"/>
        </w:rPr>
      </w:pPr>
      <w:r w:rsidRPr="005B6D62">
        <w:rPr>
          <w:lang w:val="es-PE"/>
        </w:rPr>
        <w:t>consciencia superior (</w:t>
      </w:r>
      <w:proofErr w:type="spellStart"/>
      <w:r w:rsidRPr="005B6D62">
        <w:rPr>
          <w:i/>
          <w:iCs/>
          <w:lang w:val="es-PE"/>
        </w:rPr>
        <w:t>adhicitta</w:t>
      </w:r>
      <w:proofErr w:type="spellEnd"/>
      <w:r w:rsidRPr="005B6D62">
        <w:rPr>
          <w:lang w:val="es-PE"/>
        </w:rPr>
        <w:t xml:space="preserve">) I.10; VIII.73s., 173 </w:t>
      </w:r>
    </w:p>
    <w:p w14:paraId="5AE680A1" w14:textId="77777777" w:rsidR="00597DE2" w:rsidRPr="005B6D62" w:rsidRDefault="00597DE2" w:rsidP="00597DE2">
      <w:pPr>
        <w:pStyle w:val="ParrafoApendice"/>
        <w:rPr>
          <w:lang w:val="es-PE"/>
        </w:rPr>
      </w:pPr>
      <w:r w:rsidRPr="005B6D62">
        <w:rPr>
          <w:u w:color="000000"/>
          <w:lang w:val="es-PE"/>
        </w:rPr>
        <w:t>consciencia</w:t>
      </w:r>
      <w:r w:rsidRPr="005B6D62">
        <w:rPr>
          <w:lang w:val="es-PE"/>
        </w:rPr>
        <w:t>, (forma de) conciencia (</w:t>
      </w:r>
      <w:proofErr w:type="spellStart"/>
      <w:r w:rsidRPr="005B6D62">
        <w:rPr>
          <w:i/>
          <w:iCs/>
          <w:lang w:val="es-PE"/>
        </w:rPr>
        <w:t>citta</w:t>
      </w:r>
      <w:proofErr w:type="spellEnd"/>
      <w:r w:rsidRPr="005B6D62">
        <w:rPr>
          <w:lang w:val="es-PE"/>
        </w:rPr>
        <w:t>) I.7, 33; II.12, 78; III.24; IV.115s., n.13; VIII.39, 145, 173, 231, 241; X.10; XI.94, 111; XII.12, 50, 130, 133; XIII.5s., 118; XIV.12, 47, 61s., 75, 82, 116; XV.4, 26; XVII.72, 193; XVIII.5; XIX.9; XX.26, 30s., 71; XXI.11, 129; XXII.15, 42</w:t>
      </w:r>
    </w:p>
    <w:p w14:paraId="57E17DFF" w14:textId="77777777" w:rsidR="00597DE2" w:rsidRPr="005B6D62" w:rsidRDefault="00597DE2" w:rsidP="00597DE2">
      <w:pPr>
        <w:pStyle w:val="ParrafoApendice"/>
        <w:rPr>
          <w:lang w:val="es-PE"/>
        </w:rPr>
      </w:pPr>
      <w:r w:rsidRPr="005B6D62">
        <w:rPr>
          <w:lang w:val="es-PE"/>
        </w:rPr>
        <w:t>consciencia–concomitante (</w:t>
      </w:r>
      <w:proofErr w:type="spellStart"/>
      <w:r w:rsidRPr="005B6D62">
        <w:rPr>
          <w:i/>
          <w:iCs/>
          <w:lang w:val="es-PE"/>
        </w:rPr>
        <w:t>cetasika</w:t>
      </w:r>
      <w:proofErr w:type="spellEnd"/>
      <w:r w:rsidRPr="005B6D62">
        <w:rPr>
          <w:lang w:val="es-PE"/>
        </w:rPr>
        <w:t>) I.17, n.7; II.12; III.3, n.2; IV.</w:t>
      </w:r>
      <w:r w:rsidRPr="005B6D62">
        <w:rPr>
          <w:color w:val="833C0B" w:themeColor="accent2" w:themeShade="80"/>
          <w:u w:color="000000"/>
          <w:lang w:val="es-PE"/>
        </w:rPr>
        <w:t>n.13 {N.H.}</w:t>
      </w:r>
      <w:r w:rsidRPr="005B6D62">
        <w:rPr>
          <w:lang w:val="es-PE"/>
        </w:rPr>
        <w:t xml:space="preserve">; X.22, 48; XIV.6; XVII.72; XVIII.8; XXIII.18 </w:t>
      </w:r>
    </w:p>
    <w:p w14:paraId="00AB93DB" w14:textId="77777777" w:rsidR="00597DE2" w:rsidRPr="005B6D62" w:rsidRDefault="00597DE2" w:rsidP="00597DE2">
      <w:pPr>
        <w:pStyle w:val="ParrafoApendice"/>
        <w:rPr>
          <w:lang w:val="es-PE"/>
        </w:rPr>
      </w:pPr>
      <w:r w:rsidRPr="005B6D62">
        <w:rPr>
          <w:lang w:val="es-PE"/>
        </w:rPr>
        <w:t>constituyente del devenir (</w:t>
      </w:r>
      <w:proofErr w:type="spellStart"/>
      <w:r w:rsidRPr="005B6D62">
        <w:rPr>
          <w:i/>
          <w:iCs/>
          <w:lang w:val="es-PE"/>
        </w:rPr>
        <w:t>vokāra</w:t>
      </w:r>
      <w:proofErr w:type="spellEnd"/>
      <w:r w:rsidRPr="005B6D62">
        <w:rPr>
          <w:lang w:val="es-PE"/>
        </w:rPr>
        <w:t xml:space="preserve">) VII.n.6; XVII.254 </w:t>
      </w:r>
    </w:p>
    <w:p w14:paraId="5153E178" w14:textId="77777777" w:rsidR="00597DE2" w:rsidRPr="00603CDD" w:rsidRDefault="00597DE2" w:rsidP="00597DE2">
      <w:pPr>
        <w:pStyle w:val="ParrafoApendice"/>
        <w:rPr>
          <w:lang w:val="es-PE"/>
        </w:rPr>
      </w:pPr>
      <w:r w:rsidRPr="00603CDD">
        <w:rPr>
          <w:lang w:val="es-PE"/>
        </w:rPr>
        <w:t>consumación</w:t>
      </w:r>
      <w:r>
        <w:rPr>
          <w:lang w:val="es-PE"/>
        </w:rPr>
        <w:t>,</w:t>
      </w:r>
      <w:r w:rsidRPr="00603CDD">
        <w:rPr>
          <w:lang w:val="es-PE"/>
        </w:rPr>
        <w:t xml:space="preserve"> realización (</w:t>
      </w:r>
      <w:proofErr w:type="spellStart"/>
      <w:r w:rsidRPr="00E76DD3">
        <w:rPr>
          <w:i/>
          <w:iCs/>
          <w:lang w:val="es-PE"/>
        </w:rPr>
        <w:t>sacchikiriyā</w:t>
      </w:r>
      <w:proofErr w:type="spellEnd"/>
      <w:r w:rsidRPr="00603CDD">
        <w:rPr>
          <w:lang w:val="es-PE"/>
        </w:rPr>
        <w:t>) XXII.92, 124</w:t>
      </w:r>
      <w:r>
        <w:rPr>
          <w:lang w:val="es-PE"/>
        </w:rPr>
        <w:t>s</w:t>
      </w:r>
      <w:r w:rsidRPr="00603CDD">
        <w:rPr>
          <w:lang w:val="es-PE"/>
        </w:rPr>
        <w:t xml:space="preserve">. </w:t>
      </w:r>
    </w:p>
    <w:p w14:paraId="19FD992E" w14:textId="77777777" w:rsidR="00597DE2" w:rsidRPr="006D0608" w:rsidRDefault="00597DE2" w:rsidP="00597DE2">
      <w:pPr>
        <w:pStyle w:val="ParrafoApendice"/>
        <w:rPr>
          <w:lang w:val="es-PE"/>
        </w:rPr>
      </w:pPr>
      <w:r w:rsidRPr="006D0608">
        <w:rPr>
          <w:lang w:val="es-PE"/>
        </w:rPr>
        <w:t>consumada–visión (</w:t>
      </w:r>
      <w:proofErr w:type="spellStart"/>
      <w:r w:rsidRPr="006D0608">
        <w:rPr>
          <w:i/>
          <w:iCs/>
          <w:lang w:val="es-PE"/>
        </w:rPr>
        <w:t>diṭṭhippatta</w:t>
      </w:r>
      <w:proofErr w:type="spellEnd"/>
      <w:r w:rsidRPr="006D0608">
        <w:rPr>
          <w:lang w:val="es-PE"/>
        </w:rPr>
        <w:t xml:space="preserve">) XXI.74, 89 </w:t>
      </w:r>
    </w:p>
    <w:p w14:paraId="30EA3DD2" w14:textId="77777777" w:rsidR="00597DE2" w:rsidRPr="005B6D62" w:rsidRDefault="00597DE2" w:rsidP="00597DE2">
      <w:pPr>
        <w:pStyle w:val="ParrafoApendice"/>
        <w:rPr>
          <w:lang w:val="es-PE"/>
        </w:rPr>
      </w:pPr>
      <w:r w:rsidRPr="005B6D62">
        <w:rPr>
          <w:lang w:val="es-PE"/>
        </w:rPr>
        <w:t>contacto (</w:t>
      </w:r>
      <w:proofErr w:type="spellStart"/>
      <w:r w:rsidRPr="005B6D62">
        <w:rPr>
          <w:i/>
          <w:iCs/>
          <w:lang w:val="es-PE"/>
        </w:rPr>
        <w:t>phassa</w:t>
      </w:r>
      <w:proofErr w:type="spellEnd"/>
      <w:r w:rsidRPr="005B6D62">
        <w:rPr>
          <w:lang w:val="es-PE"/>
        </w:rPr>
        <w:t>) IV.140; VII.13</w:t>
      </w:r>
      <w:r w:rsidRPr="005B6D62">
        <w:rPr>
          <w:color w:val="833C0B" w:themeColor="accent2" w:themeShade="80"/>
          <w:u w:color="000000"/>
          <w:lang w:val="es-PE"/>
        </w:rPr>
        <w:t>s</w:t>
      </w:r>
      <w:r w:rsidRPr="005B6D62">
        <w:rPr>
          <w:lang w:val="es-PE"/>
        </w:rPr>
        <w:t>, 28; X.</w:t>
      </w:r>
      <w:r w:rsidRPr="005B6D62">
        <w:rPr>
          <w:color w:val="833C0B" w:themeColor="accent2" w:themeShade="80"/>
          <w:u w:color="000000"/>
          <w:lang w:val="es-PE"/>
        </w:rPr>
        <w:t xml:space="preserve">7s, </w:t>
      </w:r>
      <w:r w:rsidRPr="005B6D62">
        <w:rPr>
          <w:lang w:val="es-PE"/>
        </w:rPr>
        <w:t>50; XI.1s., n.2; XIV.6</w:t>
      </w:r>
      <w:r w:rsidRPr="005B6D62">
        <w:rPr>
          <w:color w:val="833C0B" w:themeColor="accent2" w:themeShade="80"/>
          <w:u w:color="000000"/>
          <w:lang w:val="es-PE"/>
        </w:rPr>
        <w:t>s</w:t>
      </w:r>
      <w:r w:rsidRPr="005B6D62">
        <w:rPr>
          <w:lang w:val="es-PE"/>
        </w:rPr>
        <w:t>, 133s., 159, 170, 176, 179, 227, n.61, n.81; XVII.2</w:t>
      </w:r>
      <w:r w:rsidRPr="005B6D62">
        <w:rPr>
          <w:color w:val="833C0B" w:themeColor="accent2" w:themeShade="80"/>
          <w:u w:color="000000"/>
          <w:lang w:val="es-PE"/>
        </w:rPr>
        <w:t>s</w:t>
      </w:r>
      <w:r w:rsidRPr="005B6D62">
        <w:rPr>
          <w:lang w:val="es-PE"/>
        </w:rPr>
        <w:t>, 48, 51, 56, 220s., 294; XVIII.8, 11, 18s.; XIX.13; XX.9, 77, 97; c. quíntuplo (</w:t>
      </w:r>
      <w:proofErr w:type="spellStart"/>
      <w:r w:rsidRPr="005B6D62">
        <w:rPr>
          <w:i/>
          <w:iCs/>
          <w:lang w:val="es-PE"/>
        </w:rPr>
        <w:t>phassa</w:t>
      </w:r>
      <w:proofErr w:type="spellEnd"/>
      <w:r w:rsidRPr="005B6D62">
        <w:rPr>
          <w:i/>
          <w:iCs/>
          <w:lang w:val="es-PE"/>
        </w:rPr>
        <w:t>–</w:t>
      </w:r>
      <w:proofErr w:type="spellStart"/>
      <w:r w:rsidRPr="005B6D62">
        <w:rPr>
          <w:i/>
          <w:iCs/>
          <w:lang w:val="es-PE"/>
        </w:rPr>
        <w:t>pañcamaka</w:t>
      </w:r>
      <w:proofErr w:type="spellEnd"/>
      <w:r w:rsidRPr="005B6D62">
        <w:rPr>
          <w:lang w:val="es-PE"/>
        </w:rPr>
        <w:t xml:space="preserve">) XX.77 </w:t>
      </w:r>
    </w:p>
    <w:p w14:paraId="25527F67" w14:textId="77777777" w:rsidR="00597DE2" w:rsidRDefault="00597DE2" w:rsidP="00597DE2">
      <w:pPr>
        <w:pStyle w:val="ParrafoApendice"/>
        <w:rPr>
          <w:lang w:val="es-PE"/>
        </w:rPr>
      </w:pPr>
      <w:r w:rsidRPr="005B6D62">
        <w:rPr>
          <w:lang w:val="es-PE"/>
        </w:rPr>
        <w:t>contemplación (</w:t>
      </w:r>
      <w:proofErr w:type="spellStart"/>
      <w:r w:rsidRPr="005B6D62">
        <w:rPr>
          <w:i/>
          <w:iCs/>
          <w:lang w:val="es-PE"/>
        </w:rPr>
        <w:t>anupassanā</w:t>
      </w:r>
      <w:proofErr w:type="spellEnd"/>
      <w:r w:rsidRPr="005B6D62">
        <w:rPr>
          <w:lang w:val="es-PE"/>
        </w:rPr>
        <w:t>) VIII.234, 236; las siete c. (</w:t>
      </w:r>
      <w:proofErr w:type="spellStart"/>
      <w:r w:rsidRPr="005B6D62">
        <w:rPr>
          <w:i/>
          <w:iCs/>
          <w:lang w:val="es-PE"/>
        </w:rPr>
        <w:t>sattānupassanā</w:t>
      </w:r>
      <w:proofErr w:type="spellEnd"/>
      <w:r w:rsidRPr="005B6D62">
        <w:rPr>
          <w:lang w:val="es-PE"/>
        </w:rPr>
        <w:t>) XX.4; XXI.15s., 43; XXII.114; c. del cuerpo (</w:t>
      </w:r>
      <w:proofErr w:type="spellStart"/>
      <w:r w:rsidRPr="005B6D62">
        <w:rPr>
          <w:i/>
          <w:iCs/>
          <w:lang w:val="es-PE"/>
        </w:rPr>
        <w:t>kāyānup</w:t>
      </w:r>
      <w:proofErr w:type="spellEnd"/>
      <w:r w:rsidRPr="005B6D62">
        <w:rPr>
          <w:lang w:val="es-PE"/>
        </w:rPr>
        <w:t>.) VIII.168; IX.113; c. de la cesación (</w:t>
      </w:r>
      <w:proofErr w:type="spellStart"/>
      <w:r w:rsidRPr="005B6D62">
        <w:rPr>
          <w:i/>
          <w:iCs/>
          <w:lang w:val="es-PE"/>
        </w:rPr>
        <w:t>nirodhānup</w:t>
      </w:r>
      <w:proofErr w:type="spellEnd"/>
      <w:r w:rsidRPr="005B6D62">
        <w:rPr>
          <w:lang w:val="es-PE"/>
        </w:rPr>
        <w:t xml:space="preserve">.) I.140; VIII.233; XX.90; XXII.113; XXIII.22s.; c. del cambio </w:t>
      </w:r>
      <w:r>
        <w:rPr>
          <w:lang w:val="es-PE"/>
        </w:rPr>
        <w:br w:type="page"/>
      </w:r>
    </w:p>
    <w:p w14:paraId="68EE4B49" w14:textId="77777777" w:rsidR="00597DE2" w:rsidRPr="005B6D62" w:rsidRDefault="00597DE2" w:rsidP="00597DE2">
      <w:pPr>
        <w:pStyle w:val="ParrafoApendice"/>
        <w:rPr>
          <w:lang w:val="es-PE"/>
        </w:rPr>
      </w:pPr>
      <w:r>
        <w:rPr>
          <w:lang w:val="es-PE"/>
        </w:rPr>
        <w:lastRenderedPageBreak/>
        <w:br/>
      </w:r>
      <w:r w:rsidRPr="005B6D62">
        <w:rPr>
          <w:lang w:val="es-PE"/>
        </w:rPr>
        <w:t>(</w:t>
      </w:r>
      <w:proofErr w:type="spellStart"/>
      <w:r w:rsidRPr="005B6D62">
        <w:rPr>
          <w:i/>
          <w:iCs/>
          <w:lang w:val="es-PE"/>
        </w:rPr>
        <w:t>vipariṇāmānup</w:t>
      </w:r>
      <w:proofErr w:type="spellEnd"/>
      <w:r w:rsidRPr="005B6D62">
        <w:rPr>
          <w:lang w:val="es-PE"/>
        </w:rPr>
        <w:t>.) I.140; XX.90; XXII.113, 116; c. del peligro (</w:t>
      </w:r>
      <w:proofErr w:type="spellStart"/>
      <w:r w:rsidRPr="005B6D62">
        <w:rPr>
          <w:i/>
          <w:iCs/>
          <w:lang w:val="es-PE"/>
        </w:rPr>
        <w:t>ādināvanup</w:t>
      </w:r>
      <w:proofErr w:type="spellEnd"/>
      <w:r w:rsidRPr="005B6D62">
        <w:rPr>
          <w:lang w:val="es-PE"/>
        </w:rPr>
        <w:t xml:space="preserve">.) I.140; VIII.43; XX.90; XXI.35s.; XXII.113, 120; c. del no-deseo </w:t>
      </w:r>
      <w:r w:rsidRPr="005B6D62">
        <w:rPr>
          <w:lang w:val="es-PE"/>
        </w:rPr>
        <w:br/>
        <w:t>(</w:t>
      </w:r>
      <w:proofErr w:type="spellStart"/>
      <w:r w:rsidRPr="005B6D62">
        <w:rPr>
          <w:i/>
          <w:iCs/>
          <w:lang w:val="es-PE"/>
        </w:rPr>
        <w:t>appaṇihitānup</w:t>
      </w:r>
      <w:proofErr w:type="spellEnd"/>
      <w:r w:rsidRPr="005B6D62">
        <w:rPr>
          <w:lang w:val="es-PE"/>
        </w:rPr>
        <w:t xml:space="preserve">.) I.140; XX.90; XXII.113, </w:t>
      </w:r>
      <w:r w:rsidRPr="005B6D62">
        <w:rPr>
          <w:strike/>
          <w:color w:val="833C0B" w:themeColor="accent2" w:themeShade="80"/>
          <w:u w:color="000000"/>
          <w:lang w:val="es-PE"/>
        </w:rPr>
        <w:t>117</w:t>
      </w:r>
      <w:r w:rsidRPr="005B6D62">
        <w:rPr>
          <w:lang w:val="es-PE"/>
        </w:rPr>
        <w:t>; c. de la destrucción (</w:t>
      </w:r>
      <w:proofErr w:type="spellStart"/>
      <w:r w:rsidRPr="005B6D62">
        <w:rPr>
          <w:i/>
          <w:iCs/>
          <w:lang w:val="es-PE"/>
        </w:rPr>
        <w:t>khayānup</w:t>
      </w:r>
      <w:proofErr w:type="spellEnd"/>
      <w:r w:rsidRPr="005B6D62">
        <w:rPr>
          <w:lang w:val="es-PE"/>
        </w:rPr>
        <w:t>.) I.140; XX.90; XXII.113, 114; c. del desapasionamiento (</w:t>
      </w:r>
      <w:proofErr w:type="spellStart"/>
      <w:r w:rsidRPr="005B6D62">
        <w:rPr>
          <w:i/>
          <w:iCs/>
          <w:lang w:val="es-PE"/>
        </w:rPr>
        <w:t>nibbidānup</w:t>
      </w:r>
      <w:proofErr w:type="spellEnd"/>
      <w:r w:rsidRPr="005B6D62">
        <w:rPr>
          <w:lang w:val="es-PE"/>
        </w:rPr>
        <w:t>.) I.140; VIII.233; XX.90; XXI.43s.; XXII.113; XXIII.22s.; c. de la disolución (</w:t>
      </w:r>
      <w:proofErr w:type="spellStart"/>
      <w:r w:rsidRPr="005B6D62">
        <w:rPr>
          <w:i/>
          <w:iCs/>
          <w:lang w:val="es-PE"/>
        </w:rPr>
        <w:t>bhaṅgānup</w:t>
      </w:r>
      <w:proofErr w:type="spellEnd"/>
      <w:r w:rsidRPr="005B6D62">
        <w:rPr>
          <w:lang w:val="es-PE"/>
        </w:rPr>
        <w:t>.) VIII.224; XX.4; XXI.10s., 25, 131; XXII.108, 114; c. del desvanecimiento (</w:t>
      </w:r>
      <w:proofErr w:type="spellStart"/>
      <w:r w:rsidRPr="005B6D62">
        <w:rPr>
          <w:i/>
          <w:iCs/>
          <w:lang w:val="es-PE"/>
        </w:rPr>
        <w:t>virāgānup</w:t>
      </w:r>
      <w:proofErr w:type="spellEnd"/>
      <w:r w:rsidRPr="005B6D62">
        <w:rPr>
          <w:lang w:val="es-PE"/>
        </w:rPr>
        <w:t>.) I.140; VIII.233; XX.90; XXII.113; XXIII.22s.; c. de la desaparición (</w:t>
      </w:r>
      <w:proofErr w:type="spellStart"/>
      <w:r w:rsidRPr="005B6D62">
        <w:rPr>
          <w:i/>
          <w:iCs/>
          <w:lang w:val="es-PE"/>
        </w:rPr>
        <w:t>vayānup</w:t>
      </w:r>
      <w:proofErr w:type="spellEnd"/>
      <w:r w:rsidRPr="005B6D62">
        <w:rPr>
          <w:lang w:val="es-PE"/>
        </w:rPr>
        <w:t>.) I.140; XX.90; XXII.113, 115; c. de la impermanencia (</w:t>
      </w:r>
      <w:proofErr w:type="spellStart"/>
      <w:r w:rsidRPr="005B6D62">
        <w:rPr>
          <w:i/>
          <w:iCs/>
          <w:lang w:val="es-PE"/>
        </w:rPr>
        <w:t>aniccānup</w:t>
      </w:r>
      <w:proofErr w:type="spellEnd"/>
      <w:r w:rsidRPr="005B6D62">
        <w:rPr>
          <w:lang w:val="es-PE"/>
        </w:rPr>
        <w:t>.) I.140; VIII.233; XX.4</w:t>
      </w:r>
      <w:r w:rsidRPr="005B6D62">
        <w:rPr>
          <w:color w:val="833C0B" w:themeColor="accent2" w:themeShade="80"/>
          <w:u w:color="000000"/>
          <w:lang w:val="es-PE"/>
        </w:rPr>
        <w:t>s</w:t>
      </w:r>
      <w:r w:rsidRPr="005B6D62">
        <w:rPr>
          <w:lang w:val="es-PE"/>
        </w:rPr>
        <w:t>, 20, 90; XXI.</w:t>
      </w:r>
      <w:r w:rsidRPr="005B6D62">
        <w:rPr>
          <w:color w:val="833C0B" w:themeColor="accent2" w:themeShade="80"/>
          <w:u w:color="000000"/>
          <w:lang w:val="es-PE"/>
        </w:rPr>
        <w:t>1s</w:t>
      </w:r>
      <w:r w:rsidRPr="005B6D62">
        <w:rPr>
          <w:lang w:val="es-PE"/>
        </w:rPr>
        <w:t>, 26, 122; XXII.46</w:t>
      </w:r>
      <w:r w:rsidRPr="005B6D62">
        <w:rPr>
          <w:color w:val="833C0B" w:themeColor="accent2" w:themeShade="80"/>
          <w:u w:color="000000"/>
          <w:lang w:val="es-PE"/>
        </w:rPr>
        <w:t>s</w:t>
      </w:r>
      <w:r w:rsidRPr="005B6D62">
        <w:rPr>
          <w:lang w:val="es-PE"/>
        </w:rPr>
        <w:t>, 108, 113; XXIII.22s. c. del no–alma (</w:t>
      </w:r>
      <w:proofErr w:type="spellStart"/>
      <w:r w:rsidRPr="005B6D62">
        <w:rPr>
          <w:i/>
          <w:iCs/>
          <w:lang w:val="es-PE"/>
        </w:rPr>
        <w:t>anattānup</w:t>
      </w:r>
      <w:proofErr w:type="spellEnd"/>
      <w:r w:rsidRPr="005B6D62">
        <w:rPr>
          <w:lang w:val="es-PE"/>
        </w:rPr>
        <w:t>.) I.140; VIII.233; XX.4</w:t>
      </w:r>
      <w:r w:rsidRPr="005B6D62">
        <w:rPr>
          <w:color w:val="833C0B" w:themeColor="accent2" w:themeShade="80"/>
          <w:u w:color="000000"/>
          <w:lang w:val="es-PE"/>
        </w:rPr>
        <w:t>s</w:t>
      </w:r>
      <w:r w:rsidRPr="005B6D62">
        <w:rPr>
          <w:lang w:val="es-PE"/>
        </w:rPr>
        <w:t>, 20, 90; XXI.122; XXII.113; XXIII.22s</w:t>
      </w:r>
      <w:r w:rsidRPr="005B6D62">
        <w:rPr>
          <w:u w:color="000000"/>
          <w:lang w:val="es-PE"/>
        </w:rPr>
        <w:t>.; c. de l</w:t>
      </w:r>
      <w:r w:rsidRPr="005B6D62">
        <w:rPr>
          <w:color w:val="000000"/>
          <w:u w:color="000000"/>
          <w:lang w:val="es-PE"/>
          <w14:textFill>
            <w14:solidFill>
              <w14:srgbClr w14:val="000000">
                <w14:lumMod w14:val="50000"/>
              </w14:srgbClr>
            </w14:solidFill>
          </w14:textFill>
        </w:rPr>
        <w:t>a</w:t>
      </w:r>
      <w:r w:rsidRPr="005B6D62">
        <w:rPr>
          <w:u w:color="000000"/>
          <w:lang w:val="es-PE"/>
        </w:rPr>
        <w:t xml:space="preserve"> insatisfactori</w:t>
      </w:r>
      <w:r w:rsidRPr="005B6D62">
        <w:rPr>
          <w:color w:val="000000"/>
          <w:u w:color="000000"/>
          <w:lang w:val="es-PE"/>
          <w14:textFill>
            <w14:solidFill>
              <w14:srgbClr w14:val="000000">
                <w14:lumMod w14:val="50000"/>
              </w14:srgbClr>
            </w14:solidFill>
          </w14:textFill>
        </w:rPr>
        <w:t>edad, del dolor</w:t>
      </w:r>
      <w:r w:rsidRPr="005B6D62">
        <w:rPr>
          <w:u w:color="000000"/>
          <w:lang w:val="es-PE"/>
        </w:rPr>
        <w:t xml:space="preserve"> (</w:t>
      </w:r>
      <w:proofErr w:type="spellStart"/>
      <w:r w:rsidRPr="005B6D62">
        <w:rPr>
          <w:i/>
          <w:iCs/>
          <w:u w:color="000000"/>
          <w:lang w:val="es-PE"/>
        </w:rPr>
        <w:t>dukkhānup</w:t>
      </w:r>
      <w:proofErr w:type="spellEnd"/>
      <w:r w:rsidRPr="005B6D62">
        <w:rPr>
          <w:u w:color="000000"/>
          <w:lang w:val="es-PE"/>
        </w:rPr>
        <w:t>.) I.140; VIII.233; XX.4, 20, 90; XXI.122; XXII.113; XXIII.22f.; c. reflexiva (</w:t>
      </w:r>
      <w:proofErr w:type="spellStart"/>
      <w:r w:rsidRPr="005B6D62">
        <w:rPr>
          <w:i/>
          <w:iCs/>
          <w:u w:color="000000"/>
          <w:lang w:val="es-PE"/>
        </w:rPr>
        <w:t>paṭisaṅkhānup</w:t>
      </w:r>
      <w:proofErr w:type="spellEnd"/>
      <w:r w:rsidRPr="005B6D62">
        <w:rPr>
          <w:u w:color="000000"/>
          <w:lang w:val="es-PE"/>
        </w:rPr>
        <w:t>.) I.140; XX.90; XXI.47, 62, 82; XXII.113, 120</w:t>
      </w:r>
      <w:r w:rsidRPr="005B6D62">
        <w:rPr>
          <w:color w:val="385623" w:themeColor="accent6" w:themeShade="80"/>
          <w:u w:color="000000"/>
          <w:lang w:val="es-PE"/>
        </w:rPr>
        <w:t xml:space="preserve">; </w:t>
      </w:r>
      <w:r w:rsidRPr="005B6D62">
        <w:rPr>
          <w:u w:color="000000"/>
          <w:lang w:val="es-PE"/>
        </w:rPr>
        <w:t>c. de la renunciación (</w:t>
      </w:r>
      <w:proofErr w:type="spellStart"/>
      <w:r w:rsidRPr="005B6D62">
        <w:rPr>
          <w:i/>
          <w:iCs/>
          <w:u w:color="000000"/>
          <w:lang w:val="es-PE"/>
        </w:rPr>
        <w:t>paṭinissaggānup</w:t>
      </w:r>
      <w:proofErr w:type="spellEnd"/>
      <w:r w:rsidRPr="005B6D62">
        <w:rPr>
          <w:u w:color="000000"/>
          <w:lang w:val="es-PE"/>
        </w:rPr>
        <w:t>.) VIII.233, 236; XX.90; XXII.113; XXIII.22</w:t>
      </w:r>
      <w:r w:rsidRPr="005B6D62">
        <w:rPr>
          <w:color w:val="000000"/>
          <w:u w:color="000000"/>
          <w:lang w:val="es-PE"/>
          <w14:textFill>
            <w14:solidFill>
              <w14:srgbClr w14:val="000000">
                <w14:lumMod w14:val="50000"/>
              </w14:srgbClr>
            </w14:solidFill>
          </w14:textFill>
        </w:rPr>
        <w:t>s</w:t>
      </w:r>
      <w:r w:rsidRPr="005B6D62">
        <w:rPr>
          <w:u w:color="000000"/>
          <w:lang w:val="es-PE"/>
        </w:rPr>
        <w:t>.; c</w:t>
      </w:r>
      <w:r w:rsidRPr="005B6D62">
        <w:rPr>
          <w:lang w:val="es-PE"/>
        </w:rPr>
        <w:t>. del surgimiento y la desaparición (</w:t>
      </w:r>
      <w:proofErr w:type="spellStart"/>
      <w:r w:rsidRPr="005B6D62">
        <w:rPr>
          <w:i/>
          <w:iCs/>
          <w:lang w:val="es-PE"/>
        </w:rPr>
        <w:t>udayabbayānup</w:t>
      </w:r>
      <w:proofErr w:type="spellEnd"/>
      <w:r w:rsidRPr="005B6D62">
        <w:rPr>
          <w:lang w:val="es-PE"/>
        </w:rPr>
        <w:t>.) VIII.224; XX.4, 93s.; XXI.1; c. del no–signo (</w:t>
      </w:r>
      <w:proofErr w:type="spellStart"/>
      <w:r w:rsidRPr="005B6D62">
        <w:rPr>
          <w:i/>
          <w:iCs/>
          <w:lang w:val="es-PE"/>
        </w:rPr>
        <w:t>animittānup</w:t>
      </w:r>
      <w:proofErr w:type="spellEnd"/>
      <w:r w:rsidRPr="005B6D62">
        <w:rPr>
          <w:lang w:val="es-PE"/>
        </w:rPr>
        <w:t>.) I.140; XX.90; XXII.113, 117; c. del distanciamiento (</w:t>
      </w:r>
      <w:proofErr w:type="spellStart"/>
      <w:r w:rsidRPr="005B6D62">
        <w:rPr>
          <w:i/>
          <w:iCs/>
          <w:lang w:val="es-PE"/>
        </w:rPr>
        <w:t>vivaṭṭānup</w:t>
      </w:r>
      <w:proofErr w:type="spellEnd"/>
      <w:r w:rsidRPr="005B6D62">
        <w:rPr>
          <w:lang w:val="es-PE"/>
        </w:rPr>
        <w:t xml:space="preserve">.) I.140; XX.90; XXII.113, 121; XXIII.25; c. del </w:t>
      </w:r>
      <w:proofErr w:type="gramStart"/>
      <w:r w:rsidRPr="005B6D62">
        <w:rPr>
          <w:lang w:val="es-PE"/>
        </w:rPr>
        <w:t>vacío  (</w:t>
      </w:r>
      <w:proofErr w:type="spellStart"/>
      <w:proofErr w:type="gramEnd"/>
      <w:r w:rsidRPr="005B6D62">
        <w:rPr>
          <w:i/>
          <w:iCs/>
          <w:lang w:val="es-PE"/>
        </w:rPr>
        <w:t>suññatānupassanā</w:t>
      </w:r>
      <w:proofErr w:type="spellEnd"/>
      <w:r w:rsidRPr="005B6D62">
        <w:rPr>
          <w:lang w:val="es-PE"/>
        </w:rPr>
        <w:t>) I.140; XX.90; XXII.113, 117</w:t>
      </w:r>
    </w:p>
    <w:p w14:paraId="18CB2A8E" w14:textId="77777777" w:rsidR="00597DE2" w:rsidRPr="005B6D62" w:rsidRDefault="00597DE2" w:rsidP="00597DE2">
      <w:pPr>
        <w:pStyle w:val="ParrafoApendice"/>
        <w:rPr>
          <w:u w:color="000000"/>
          <w:lang w:val="es-PE"/>
        </w:rPr>
      </w:pPr>
      <w:r w:rsidRPr="005B6D62">
        <w:rPr>
          <w:u w:color="000000"/>
          <w:lang w:val="es-PE"/>
        </w:rPr>
        <w:t>contemplación de cementerios (</w:t>
      </w:r>
      <w:proofErr w:type="spellStart"/>
      <w:r w:rsidRPr="005B6D62">
        <w:rPr>
          <w:i/>
          <w:iCs/>
          <w:u w:color="000000"/>
          <w:lang w:val="es-PE"/>
        </w:rPr>
        <w:t>sīvathikā</w:t>
      </w:r>
      <w:proofErr w:type="spellEnd"/>
      <w:r w:rsidRPr="005B6D62">
        <w:rPr>
          <w:u w:color="000000"/>
          <w:lang w:val="es-PE"/>
        </w:rPr>
        <w:t>) VIII.43; XXIII.20; es decir, habitante de cementerios (</w:t>
      </w:r>
      <w:proofErr w:type="spellStart"/>
      <w:r w:rsidRPr="005B6D62">
        <w:rPr>
          <w:i/>
          <w:iCs/>
          <w:u w:color="000000"/>
          <w:lang w:val="es-PE"/>
        </w:rPr>
        <w:t>sosānika</w:t>
      </w:r>
      <w:proofErr w:type="spellEnd"/>
      <w:r w:rsidRPr="005B6D62">
        <w:rPr>
          <w:u w:color="000000"/>
          <w:lang w:val="es-PE"/>
        </w:rPr>
        <w:t xml:space="preserve">) II.2,64 </w:t>
      </w:r>
    </w:p>
    <w:p w14:paraId="452C46CD" w14:textId="77777777" w:rsidR="00597DE2" w:rsidRPr="005B6D62" w:rsidRDefault="00597DE2" w:rsidP="00597DE2">
      <w:pPr>
        <w:pStyle w:val="ParrafoApendice"/>
        <w:rPr>
          <w:lang w:val="es-PE"/>
        </w:rPr>
      </w:pPr>
      <w:r w:rsidRPr="005B6D62">
        <w:rPr>
          <w:lang w:val="es-PE"/>
        </w:rPr>
        <w:t>contentamiento (</w:t>
      </w:r>
      <w:proofErr w:type="spellStart"/>
      <w:r w:rsidRPr="005B6D62">
        <w:rPr>
          <w:i/>
          <w:iCs/>
          <w:lang w:val="es-PE"/>
        </w:rPr>
        <w:t>santuṭṭhitā</w:t>
      </w:r>
      <w:proofErr w:type="spellEnd"/>
      <w:r w:rsidRPr="005B6D62">
        <w:rPr>
          <w:lang w:val="es-PE"/>
        </w:rPr>
        <w:t xml:space="preserve">) I.151; II.1, 83; XVI.86 </w:t>
      </w:r>
    </w:p>
    <w:p w14:paraId="4EA50FAC" w14:textId="77777777" w:rsidR="00597DE2" w:rsidRPr="005B6D62" w:rsidRDefault="00597DE2" w:rsidP="00597DE2">
      <w:pPr>
        <w:pStyle w:val="ParrafoApendice"/>
        <w:rPr>
          <w:lang w:val="es-PE"/>
        </w:rPr>
      </w:pPr>
      <w:r w:rsidRPr="005B6D62">
        <w:rPr>
          <w:lang w:val="es-PE"/>
        </w:rPr>
        <w:t>continuidad (</w:t>
      </w:r>
      <w:proofErr w:type="spellStart"/>
      <w:r w:rsidRPr="005B6D62">
        <w:rPr>
          <w:i/>
          <w:iCs/>
          <w:lang w:val="es-PE"/>
        </w:rPr>
        <w:t>santāna</w:t>
      </w:r>
      <w:proofErr w:type="spellEnd"/>
      <w:r w:rsidRPr="005B6D62">
        <w:rPr>
          <w:lang w:val="es-PE"/>
        </w:rPr>
        <w:t>) VIII.n.11; XIII.13, 111s.; XIV.114s., 123; (</w:t>
      </w:r>
      <w:proofErr w:type="spellStart"/>
      <w:r w:rsidRPr="005B6D62">
        <w:rPr>
          <w:i/>
          <w:iCs/>
          <w:lang w:val="es-PE"/>
        </w:rPr>
        <w:t>santati</w:t>
      </w:r>
      <w:proofErr w:type="spellEnd"/>
      <w:r w:rsidRPr="005B6D62">
        <w:rPr>
          <w:lang w:val="es-PE"/>
        </w:rPr>
        <w:t xml:space="preserve">) XI.112, </w:t>
      </w:r>
      <w:r w:rsidRPr="005B6D62">
        <w:rPr>
          <w:strike/>
          <w:color w:val="833C0B" w:themeColor="accent2" w:themeShade="80"/>
          <w:u w:color="000000"/>
          <w:lang w:val="es-PE"/>
        </w:rPr>
        <w:t>n.21</w:t>
      </w:r>
      <w:r w:rsidRPr="005B6D62">
        <w:rPr>
          <w:lang w:val="es-PE"/>
        </w:rPr>
        <w:t>; XIII.111, 113; XIV.66, 114, 124, 186, 188s., 197; XVII.74</w:t>
      </w:r>
      <w:r w:rsidRPr="005B6D62">
        <w:rPr>
          <w:color w:val="833C0B" w:themeColor="accent2" w:themeShade="80"/>
          <w:u w:color="000000"/>
          <w:lang w:val="es-PE"/>
        </w:rPr>
        <w:t>s</w:t>
      </w:r>
      <w:r w:rsidRPr="005B6D62">
        <w:rPr>
          <w:lang w:val="es-PE"/>
        </w:rPr>
        <w:t>, 165, 170, 189, 204, 223, 271, 310; XIX.23; XX.22, 26</w:t>
      </w:r>
      <w:r w:rsidRPr="005B6D62">
        <w:rPr>
          <w:color w:val="833C0B" w:themeColor="accent2" w:themeShade="80"/>
          <w:u w:color="000000"/>
          <w:lang w:val="es-PE"/>
        </w:rPr>
        <w:t>s</w:t>
      </w:r>
      <w:r w:rsidRPr="005B6D62">
        <w:rPr>
          <w:lang w:val="es-PE"/>
        </w:rPr>
        <w:t xml:space="preserve">, 102, n.23; XXI.3, n.3, </w:t>
      </w:r>
      <w:r w:rsidRPr="005B6D62">
        <w:rPr>
          <w:strike/>
          <w:color w:val="833C0B" w:themeColor="accent2" w:themeShade="80"/>
          <w:u w:color="000000"/>
          <w:lang w:val="es-PE"/>
        </w:rPr>
        <w:t>n.41</w:t>
      </w:r>
      <w:r w:rsidRPr="005B6D62">
        <w:rPr>
          <w:lang w:val="es-PE"/>
        </w:rPr>
        <w:t>; XXII.89, 128</w:t>
      </w:r>
    </w:p>
    <w:p w14:paraId="2D571439" w14:textId="77777777" w:rsidR="00597DE2" w:rsidRPr="005B6D62" w:rsidRDefault="00597DE2" w:rsidP="00597DE2">
      <w:pPr>
        <w:pStyle w:val="ParrafoApendice"/>
        <w:rPr>
          <w:lang w:val="es-PE"/>
        </w:rPr>
      </w:pPr>
      <w:r w:rsidRPr="005B6D62">
        <w:rPr>
          <w:lang w:val="es-PE"/>
        </w:rPr>
        <w:t>continuidad orgánica (</w:t>
      </w:r>
      <w:proofErr w:type="spellStart"/>
      <w:r w:rsidRPr="005B6D62">
        <w:rPr>
          <w:i/>
          <w:iCs/>
          <w:lang w:val="es-PE"/>
        </w:rPr>
        <w:t>santati</w:t>
      </w:r>
      <w:proofErr w:type="spellEnd"/>
      <w:r w:rsidRPr="005B6D62">
        <w:rPr>
          <w:i/>
          <w:iCs/>
          <w:lang w:val="es-PE"/>
        </w:rPr>
        <w:t>–</w:t>
      </w:r>
      <w:proofErr w:type="spellStart"/>
      <w:r w:rsidRPr="005B6D62">
        <w:rPr>
          <w:i/>
          <w:iCs/>
          <w:lang w:val="es-PE"/>
        </w:rPr>
        <w:t>sīsa</w:t>
      </w:r>
      <w:proofErr w:type="spellEnd"/>
      <w:r w:rsidRPr="005B6D62">
        <w:rPr>
          <w:lang w:val="es-PE"/>
        </w:rPr>
        <w:t>) XVII.189s.</w:t>
      </w:r>
    </w:p>
    <w:p w14:paraId="00AFA747" w14:textId="77777777" w:rsidR="00597DE2" w:rsidRPr="005B6D62" w:rsidRDefault="00597DE2" w:rsidP="00597DE2">
      <w:pPr>
        <w:pStyle w:val="ParrafoApendice"/>
        <w:rPr>
          <w:lang w:val="es-PE"/>
        </w:rPr>
      </w:pPr>
      <w:r w:rsidRPr="005B6D62">
        <w:rPr>
          <w:lang w:val="es-PE"/>
        </w:rPr>
        <w:t>contorno, límite (</w:t>
      </w:r>
      <w:proofErr w:type="spellStart"/>
      <w:r w:rsidRPr="005B6D62">
        <w:rPr>
          <w:i/>
          <w:iCs/>
          <w:lang w:val="es-PE"/>
        </w:rPr>
        <w:t>sīmā</w:t>
      </w:r>
      <w:proofErr w:type="spellEnd"/>
      <w:r w:rsidRPr="005B6D62">
        <w:rPr>
          <w:lang w:val="es-PE"/>
        </w:rPr>
        <w:t xml:space="preserve">) III.n.16; IV.127 </w:t>
      </w:r>
    </w:p>
    <w:p w14:paraId="6DB0F6BA" w14:textId="77777777" w:rsidR="00597DE2" w:rsidRPr="005B6D62" w:rsidRDefault="00597DE2" w:rsidP="00597DE2">
      <w:pPr>
        <w:pStyle w:val="ParrafoApendice"/>
        <w:rPr>
          <w:lang w:val="es-PE"/>
        </w:rPr>
      </w:pPr>
      <w:r w:rsidRPr="005B6D62">
        <w:rPr>
          <w:lang w:val="es-PE"/>
        </w:rPr>
        <w:t>contracción (</w:t>
      </w:r>
      <w:proofErr w:type="spellStart"/>
      <w:r w:rsidRPr="005B6D62">
        <w:rPr>
          <w:i/>
          <w:iCs/>
          <w:lang w:val="es-PE"/>
        </w:rPr>
        <w:t>saṇvaṭṭa</w:t>
      </w:r>
      <w:proofErr w:type="spellEnd"/>
      <w:r w:rsidRPr="005B6D62">
        <w:rPr>
          <w:lang w:val="es-PE"/>
        </w:rPr>
        <w:t>) XIII.28s.</w:t>
      </w:r>
    </w:p>
    <w:p w14:paraId="38F636A8" w14:textId="77777777" w:rsidR="00597DE2" w:rsidRPr="005B6D62" w:rsidRDefault="00597DE2" w:rsidP="00597DE2">
      <w:pPr>
        <w:pStyle w:val="ParrafoApendice"/>
        <w:rPr>
          <w:lang w:val="es-PE"/>
        </w:rPr>
      </w:pPr>
      <w:r w:rsidRPr="005B6D62">
        <w:rPr>
          <w:lang w:val="es-PE"/>
        </w:rPr>
        <w:t>convencional, convención (</w:t>
      </w:r>
      <w:proofErr w:type="spellStart"/>
      <w:r w:rsidRPr="005B6D62">
        <w:rPr>
          <w:i/>
          <w:iCs/>
          <w:lang w:val="es-PE"/>
        </w:rPr>
        <w:t>sammuti</w:t>
      </w:r>
      <w:proofErr w:type="spellEnd"/>
      <w:r w:rsidRPr="005B6D62">
        <w:rPr>
          <w:lang w:val="es-PE"/>
        </w:rPr>
        <w:t xml:space="preserve">) VII.n.7, </w:t>
      </w:r>
      <w:r w:rsidRPr="005B6D62">
        <w:rPr>
          <w:strike/>
          <w:color w:val="833C0B" w:themeColor="accent2" w:themeShade="80"/>
          <w:u w:color="000000"/>
          <w:lang w:val="es-PE"/>
        </w:rPr>
        <w:t>n.19</w:t>
      </w:r>
      <w:r w:rsidRPr="005B6D62">
        <w:rPr>
          <w:lang w:val="es-PE"/>
        </w:rPr>
        <w:t xml:space="preserve">; VIII.1; XVI.n.18; XVII.171 </w:t>
      </w:r>
    </w:p>
    <w:p w14:paraId="589B9E6D" w14:textId="77777777" w:rsidR="00597DE2" w:rsidRPr="00B84A5F" w:rsidRDefault="00597DE2" w:rsidP="00597DE2">
      <w:pPr>
        <w:pStyle w:val="ParrafoApendice"/>
        <w:rPr>
          <w:lang w:val="es-PE"/>
        </w:rPr>
      </w:pPr>
      <w:r w:rsidRPr="00B84A5F">
        <w:rPr>
          <w:lang w:val="es-PE"/>
        </w:rPr>
        <w:t>conversar, hablar (</w:t>
      </w:r>
      <w:proofErr w:type="spellStart"/>
      <w:r w:rsidRPr="00B84A5F">
        <w:rPr>
          <w:i/>
          <w:iCs/>
          <w:lang w:val="es-PE"/>
        </w:rPr>
        <w:t>lapanā</w:t>
      </w:r>
      <w:proofErr w:type="spellEnd"/>
      <w:r w:rsidRPr="00B84A5F">
        <w:rPr>
          <w:lang w:val="es-PE"/>
        </w:rPr>
        <w:t xml:space="preserve">) I.42, 62, 72 </w:t>
      </w:r>
    </w:p>
    <w:p w14:paraId="65199BCE" w14:textId="77777777" w:rsidR="00597DE2" w:rsidRPr="005B6D62" w:rsidRDefault="00597DE2" w:rsidP="00597DE2">
      <w:pPr>
        <w:pStyle w:val="ParrafoApendice"/>
        <w:rPr>
          <w:lang w:val="es-PE"/>
        </w:rPr>
      </w:pPr>
      <w:proofErr w:type="spellStart"/>
      <w:r w:rsidRPr="005B6D62">
        <w:rPr>
          <w:lang w:val="es-PE"/>
        </w:rPr>
        <w:t>coolness</w:t>
      </w:r>
      <w:proofErr w:type="spellEnd"/>
      <w:r w:rsidRPr="005B6D62">
        <w:rPr>
          <w:lang w:val="es-PE"/>
        </w:rPr>
        <w:t xml:space="preserve"> (</w:t>
      </w:r>
      <w:proofErr w:type="spellStart"/>
      <w:r w:rsidRPr="005B6D62">
        <w:rPr>
          <w:i/>
          <w:iCs/>
          <w:lang w:val="es-PE"/>
        </w:rPr>
        <w:t>sītibhāva</w:t>
      </w:r>
      <w:proofErr w:type="spellEnd"/>
      <w:r w:rsidRPr="005B6D62">
        <w:rPr>
          <w:lang w:val="es-PE"/>
        </w:rPr>
        <w:t xml:space="preserve">) VIII.77 </w:t>
      </w:r>
    </w:p>
    <w:p w14:paraId="227B105E" w14:textId="77777777" w:rsidR="00597DE2" w:rsidRPr="005B6D62" w:rsidRDefault="00597DE2" w:rsidP="00597DE2">
      <w:pPr>
        <w:pStyle w:val="ParrafoApendice"/>
        <w:rPr>
          <w:lang w:val="es-PE"/>
        </w:rPr>
      </w:pPr>
      <w:proofErr w:type="spellStart"/>
      <w:r w:rsidRPr="005B6D62">
        <w:rPr>
          <w:lang w:val="es-PE"/>
        </w:rPr>
        <w:t>co</w:t>
      </w:r>
      <w:proofErr w:type="spellEnd"/>
      <w:r w:rsidRPr="005B6D62">
        <w:rPr>
          <w:lang w:val="es-PE"/>
        </w:rPr>
        <w:t>–presencia (</w:t>
      </w:r>
      <w:proofErr w:type="spellStart"/>
      <w:r w:rsidRPr="005B6D62">
        <w:rPr>
          <w:i/>
          <w:iCs/>
          <w:lang w:val="es-PE"/>
        </w:rPr>
        <w:t>saṇṭhāna</w:t>
      </w:r>
      <w:proofErr w:type="spellEnd"/>
      <w:r w:rsidRPr="005B6D62">
        <w:rPr>
          <w:lang w:val="es-PE"/>
        </w:rPr>
        <w:t>) XVII.76; (</w:t>
      </w:r>
      <w:proofErr w:type="spellStart"/>
      <w:r w:rsidRPr="005B6D62">
        <w:rPr>
          <w:i/>
          <w:iCs/>
          <w:lang w:val="es-PE"/>
        </w:rPr>
        <w:t>sahaṭṭhāna</w:t>
      </w:r>
      <w:proofErr w:type="spellEnd"/>
      <w:r w:rsidRPr="005B6D62">
        <w:rPr>
          <w:lang w:val="es-PE"/>
        </w:rPr>
        <w:t>) XIII.116</w:t>
      </w:r>
      <w:r>
        <w:rPr>
          <w:lang w:val="es-PE"/>
        </w:rPr>
        <w:br w:type="column"/>
      </w:r>
    </w:p>
    <w:p w14:paraId="662FBA84" w14:textId="77777777" w:rsidR="00597DE2" w:rsidRPr="005B6D62" w:rsidRDefault="00597DE2" w:rsidP="00597DE2">
      <w:pPr>
        <w:pStyle w:val="ParrafoApendice"/>
        <w:rPr>
          <w:lang w:val="es-PE"/>
        </w:rPr>
      </w:pPr>
      <w:r w:rsidRPr="005B6D62">
        <w:rPr>
          <w:lang w:val="es-PE"/>
        </w:rPr>
        <w:t>corazón (</w:t>
      </w:r>
      <w:proofErr w:type="spellStart"/>
      <w:r w:rsidRPr="005B6D62">
        <w:rPr>
          <w:i/>
          <w:iCs/>
          <w:lang w:val="es-PE"/>
        </w:rPr>
        <w:t>hadaya</w:t>
      </w:r>
      <w:proofErr w:type="spellEnd"/>
      <w:r w:rsidRPr="005B6D62">
        <w:rPr>
          <w:lang w:val="es-PE"/>
        </w:rPr>
        <w:t>) VIII.</w:t>
      </w:r>
      <w:r w:rsidRPr="005B6D62">
        <w:rPr>
          <w:color w:val="833C0B" w:themeColor="accent2" w:themeShade="80"/>
          <w:u w:color="000000"/>
          <w:lang w:val="es-PE"/>
        </w:rPr>
        <w:t>53s,</w:t>
      </w:r>
      <w:r w:rsidRPr="005B6D62">
        <w:rPr>
          <w:lang w:val="es-PE"/>
        </w:rPr>
        <w:t xml:space="preserve"> 111; XI.59; XIII.9; XIV.</w:t>
      </w:r>
      <w:r w:rsidRPr="005B6D62">
        <w:rPr>
          <w:color w:val="833C0B" w:themeColor="accent2" w:themeShade="80"/>
          <w:u w:color="000000"/>
          <w:lang w:val="es-PE"/>
        </w:rPr>
        <w:t>36,</w:t>
      </w:r>
      <w:r w:rsidRPr="005B6D62">
        <w:rPr>
          <w:lang w:val="es-PE"/>
        </w:rPr>
        <w:t xml:space="preserve"> 78s; XV.3; XVIII.4; </w:t>
      </w:r>
      <w:r w:rsidRPr="005B6D62">
        <w:rPr>
          <w:i/>
          <w:iCs/>
          <w:lang w:val="es-PE"/>
        </w:rPr>
        <w:t>base del c.</w:t>
      </w:r>
      <w:r w:rsidRPr="005B6D62">
        <w:rPr>
          <w:lang w:val="es-PE"/>
        </w:rPr>
        <w:t xml:space="preserve"> (</w:t>
      </w:r>
      <w:proofErr w:type="spellStart"/>
      <w:r w:rsidRPr="005B6D62">
        <w:rPr>
          <w:i/>
          <w:iCs/>
          <w:lang w:val="es-PE"/>
        </w:rPr>
        <w:t>hadayavatthu</w:t>
      </w:r>
      <w:proofErr w:type="spellEnd"/>
      <w:r w:rsidRPr="005B6D62">
        <w:rPr>
          <w:lang w:val="es-PE"/>
        </w:rPr>
        <w:t>) XIII.99, n.5; XIV.60, 78, 97, 108, 128, n.13, n.26, n.47; XVII.128, 163, 209, n.36; XVIII.7; XX.</w:t>
      </w:r>
      <w:r w:rsidRPr="005B6D62">
        <w:rPr>
          <w:color w:val="833C0B" w:themeColor="accent2" w:themeShade="80"/>
          <w:u w:color="000000"/>
          <w:lang w:val="es-PE"/>
        </w:rPr>
        <w:t>25s,</w:t>
      </w:r>
      <w:r w:rsidRPr="005B6D62">
        <w:rPr>
          <w:lang w:val="es-PE"/>
        </w:rPr>
        <w:t xml:space="preserve"> 70; XXIII.n.12</w:t>
      </w:r>
    </w:p>
    <w:p w14:paraId="50134806" w14:textId="77777777" w:rsidR="00597DE2" w:rsidRPr="005B6D62" w:rsidRDefault="00597DE2" w:rsidP="00597DE2">
      <w:pPr>
        <w:pStyle w:val="ParrafoApendice"/>
        <w:rPr>
          <w:lang w:val="es-PE"/>
        </w:rPr>
      </w:pPr>
      <w:r w:rsidRPr="005B6D62">
        <w:rPr>
          <w:lang w:val="es-PE"/>
        </w:rPr>
        <w:t>corrupción (</w:t>
      </w:r>
      <w:proofErr w:type="spellStart"/>
      <w:r w:rsidRPr="005B6D62">
        <w:rPr>
          <w:i/>
          <w:iCs/>
          <w:lang w:val="es-PE"/>
        </w:rPr>
        <w:t>āsava</w:t>
      </w:r>
      <w:proofErr w:type="spellEnd"/>
      <w:r w:rsidRPr="005B6D62">
        <w:rPr>
          <w:lang w:val="es-PE"/>
        </w:rPr>
        <w:t>) I.32, 127, 131; IV.87; VII.7, 59; XIV.8, 10, 72, 202, 214, 226f.; XVI.104; XVII.36, 53, 275; XXII.30, 56, 70; XXI–II.18</w:t>
      </w:r>
    </w:p>
    <w:p w14:paraId="0EBEE181" w14:textId="77777777" w:rsidR="00597DE2" w:rsidRPr="005B6D62" w:rsidRDefault="00597DE2" w:rsidP="00597DE2">
      <w:pPr>
        <w:pStyle w:val="ParrafoApendice"/>
        <w:rPr>
          <w:lang w:val="es-PE"/>
        </w:rPr>
      </w:pPr>
      <w:r w:rsidRPr="005B6D62">
        <w:rPr>
          <w:lang w:val="es-PE"/>
        </w:rPr>
        <w:t>cosa que respira (</w:t>
      </w:r>
      <w:proofErr w:type="spellStart"/>
      <w:r w:rsidRPr="005B6D62">
        <w:rPr>
          <w:i/>
          <w:iCs/>
          <w:lang w:val="es-PE"/>
        </w:rPr>
        <w:t>pāṇa</w:t>
      </w:r>
      <w:proofErr w:type="spellEnd"/>
      <w:r w:rsidRPr="005B6D62">
        <w:rPr>
          <w:lang w:val="es-PE"/>
        </w:rPr>
        <w:t xml:space="preserve">) </w:t>
      </w:r>
      <w:r w:rsidRPr="005B6D62">
        <w:rPr>
          <w:color w:val="833C0B" w:themeColor="accent2" w:themeShade="80"/>
          <w:u w:color="000000"/>
          <w:lang w:val="es-PE"/>
        </w:rPr>
        <w:t>I.140 {N.H.}</w:t>
      </w:r>
      <w:r w:rsidRPr="005B6D62">
        <w:rPr>
          <w:lang w:val="es-PE"/>
        </w:rPr>
        <w:t xml:space="preserve">; IX.54. Ver también cosa viviente </w:t>
      </w:r>
    </w:p>
    <w:p w14:paraId="4BDDC4BD" w14:textId="77777777" w:rsidR="00597DE2" w:rsidRPr="005B6D62" w:rsidRDefault="00597DE2" w:rsidP="00597DE2">
      <w:pPr>
        <w:pStyle w:val="ParrafoApendice"/>
        <w:rPr>
          <w:lang w:val="es-PE"/>
        </w:rPr>
      </w:pPr>
      <w:r w:rsidRPr="005B6D62">
        <w:rPr>
          <w:lang w:val="es-PE"/>
        </w:rPr>
        <w:t>creado por la mente (</w:t>
      </w:r>
      <w:r w:rsidRPr="005B6D62">
        <w:rPr>
          <w:i/>
          <w:iCs/>
          <w:lang w:val="es-PE"/>
        </w:rPr>
        <w:t>mano–maya</w:t>
      </w:r>
      <w:r w:rsidRPr="005B6D62">
        <w:rPr>
          <w:lang w:val="es-PE"/>
        </w:rPr>
        <w:t>) VII.30; XII.135, 139</w:t>
      </w:r>
    </w:p>
    <w:p w14:paraId="15D16D51" w14:textId="77777777" w:rsidR="00597DE2" w:rsidRPr="005B6D62" w:rsidRDefault="00597DE2" w:rsidP="00597DE2">
      <w:pPr>
        <w:pStyle w:val="ParrafoApendice"/>
        <w:rPr>
          <w:lang w:val="es-PE"/>
        </w:rPr>
      </w:pPr>
      <w:r w:rsidRPr="005B6D62">
        <w:rPr>
          <w:lang w:val="es-PE"/>
        </w:rPr>
        <w:t>crecimiento (</w:t>
      </w:r>
      <w:proofErr w:type="spellStart"/>
      <w:r w:rsidRPr="005B6D62">
        <w:rPr>
          <w:i/>
          <w:iCs/>
          <w:lang w:val="es-PE"/>
        </w:rPr>
        <w:t>upacaya</w:t>
      </w:r>
      <w:proofErr w:type="spellEnd"/>
      <w:r w:rsidRPr="005B6D62">
        <w:rPr>
          <w:lang w:val="es-PE"/>
        </w:rPr>
        <w:t xml:space="preserve">) XIV.66; XVII.74 </w:t>
      </w:r>
    </w:p>
    <w:p w14:paraId="1E5B6A0F" w14:textId="77777777" w:rsidR="00597DE2" w:rsidRPr="005B6D62" w:rsidRDefault="00597DE2" w:rsidP="00597DE2">
      <w:pPr>
        <w:pStyle w:val="ParrafoApendice"/>
        <w:rPr>
          <w:lang w:val="es-PE"/>
        </w:rPr>
      </w:pPr>
      <w:r w:rsidRPr="005B6D62">
        <w:rPr>
          <w:lang w:val="es-PE"/>
        </w:rPr>
        <w:t>crueldad (</w:t>
      </w:r>
      <w:proofErr w:type="spellStart"/>
      <w:r w:rsidRPr="005B6D62">
        <w:rPr>
          <w:i/>
          <w:iCs/>
          <w:lang w:val="es-PE"/>
        </w:rPr>
        <w:t>vihiṃsā</w:t>
      </w:r>
      <w:proofErr w:type="spellEnd"/>
      <w:r w:rsidRPr="005B6D62">
        <w:rPr>
          <w:lang w:val="es-PE"/>
        </w:rPr>
        <w:t xml:space="preserve">) IX.94, 99; XV.28 </w:t>
      </w:r>
    </w:p>
    <w:p w14:paraId="34008CAE" w14:textId="77777777" w:rsidR="00597DE2" w:rsidRPr="005A569D" w:rsidRDefault="00597DE2" w:rsidP="00597DE2">
      <w:pPr>
        <w:pStyle w:val="ParrafoApendice"/>
        <w:rPr>
          <w:lang w:val="es-PE"/>
        </w:rPr>
      </w:pPr>
      <w:r w:rsidRPr="005A569D">
        <w:rPr>
          <w:lang w:val="es-PE"/>
        </w:rPr>
        <w:t>cualidad</w:t>
      </w:r>
      <w:r>
        <w:rPr>
          <w:lang w:val="es-PE"/>
        </w:rPr>
        <w:t>es</w:t>
      </w:r>
      <w:r w:rsidRPr="005A569D">
        <w:rPr>
          <w:lang w:val="es-PE"/>
        </w:rPr>
        <w:t xml:space="preserve"> especial</w:t>
      </w:r>
      <w:r>
        <w:rPr>
          <w:lang w:val="es-PE"/>
        </w:rPr>
        <w:t>es</w:t>
      </w:r>
      <w:r w:rsidRPr="005A569D">
        <w:rPr>
          <w:lang w:val="es-PE"/>
        </w:rPr>
        <w:t xml:space="preserve"> (</w:t>
      </w:r>
      <w:proofErr w:type="spellStart"/>
      <w:r w:rsidRPr="005A569D">
        <w:rPr>
          <w:i/>
          <w:iCs/>
          <w:lang w:val="es-PE"/>
        </w:rPr>
        <w:t>guṇa</w:t>
      </w:r>
      <w:proofErr w:type="spellEnd"/>
      <w:r w:rsidRPr="005A569D">
        <w:rPr>
          <w:lang w:val="es-PE"/>
        </w:rPr>
        <w:t xml:space="preserve">) VII.1, 66; VIII.245 </w:t>
      </w:r>
    </w:p>
    <w:p w14:paraId="1421B0C7" w14:textId="77777777" w:rsidR="00597DE2" w:rsidRPr="005B6D62" w:rsidRDefault="00597DE2" w:rsidP="00597DE2">
      <w:pPr>
        <w:pStyle w:val="ParrafoApendice"/>
        <w:rPr>
          <w:lang w:val="es-PE"/>
        </w:rPr>
      </w:pPr>
      <w:r w:rsidRPr="005B6D62">
        <w:rPr>
          <w:lang w:val="es-PE"/>
        </w:rPr>
        <w:t>cuerpo (</w:t>
      </w:r>
      <w:proofErr w:type="spellStart"/>
      <w:r w:rsidRPr="005B6D62">
        <w:rPr>
          <w:i/>
          <w:iCs/>
          <w:lang w:val="es-PE"/>
        </w:rPr>
        <w:t>kāya</w:t>
      </w:r>
      <w:proofErr w:type="spellEnd"/>
      <w:r w:rsidRPr="005B6D62">
        <w:rPr>
          <w:lang w:val="es-PE"/>
        </w:rPr>
        <w:t>) III.105; VII.1; VIII.42; XI.28, 92; XII.130, 133; XIV.41, 46, 52, 58, 117, 128, 144; XV.3; XVI.10; XVII.61; XVIII.n.9; XIX.4; XXII.34, 54; XXIII.n.14. Ver también contemplación del c., &amp; atención ocupada en el c.</w:t>
      </w:r>
      <w:proofErr w:type="gramStart"/>
      <w:r w:rsidRPr="005B6D62">
        <w:rPr>
          <w:lang w:val="es-PE"/>
        </w:rPr>
        <w:t>;  base</w:t>
      </w:r>
      <w:proofErr w:type="gramEnd"/>
      <w:r w:rsidRPr="005B6D62">
        <w:rPr>
          <w:lang w:val="es-PE"/>
        </w:rPr>
        <w:t xml:space="preserve"> corporal (</w:t>
      </w:r>
      <w:proofErr w:type="spellStart"/>
      <w:r w:rsidRPr="005B6D62">
        <w:rPr>
          <w:i/>
          <w:iCs/>
          <w:lang w:val="es-PE"/>
        </w:rPr>
        <w:t>kāyāyatana</w:t>
      </w:r>
      <w:proofErr w:type="spellEnd"/>
      <w:r w:rsidRPr="005B6D62">
        <w:rPr>
          <w:lang w:val="es-PE"/>
        </w:rPr>
        <w:t>) XV.3s.; consciencia corporal (</w:t>
      </w:r>
      <w:proofErr w:type="spellStart"/>
      <w:r w:rsidRPr="005B6D62">
        <w:rPr>
          <w:i/>
          <w:iCs/>
          <w:lang w:val="es-PE"/>
        </w:rPr>
        <w:t>kāya</w:t>
      </w:r>
      <w:proofErr w:type="spellEnd"/>
      <w:r w:rsidRPr="005B6D62">
        <w:rPr>
          <w:lang w:val="es-PE"/>
        </w:rPr>
        <w:t>–</w:t>
      </w:r>
      <w:r w:rsidRPr="005B6D62">
        <w:rPr>
          <w:i/>
          <w:iCs/>
          <w:lang w:val="es-PE"/>
        </w:rPr>
        <w:t>viññāṇa</w:t>
      </w:r>
      <w:r w:rsidRPr="005B6D62">
        <w:rPr>
          <w:lang w:val="es-PE"/>
        </w:rPr>
        <w:t>) XIV</w:t>
      </w:r>
      <w:r w:rsidRPr="005B6D62">
        <w:rPr>
          <w:color w:val="833C0B" w:themeColor="accent2" w:themeShade="80"/>
          <w:u w:color="000000"/>
          <w:lang w:val="es-PE"/>
        </w:rPr>
        <w:t>.96 {N.H.}</w:t>
      </w:r>
      <w:r w:rsidRPr="005B6D62">
        <w:rPr>
          <w:lang w:val="es-PE"/>
        </w:rPr>
        <w:t>, 117, 179, 220; elemento de la consciencia corporal (</w:t>
      </w:r>
      <w:proofErr w:type="spellStart"/>
      <w:r w:rsidRPr="005B6D62">
        <w:rPr>
          <w:i/>
          <w:iCs/>
          <w:lang w:val="es-PE"/>
        </w:rPr>
        <w:t>kāya</w:t>
      </w:r>
      <w:proofErr w:type="spellEnd"/>
      <w:r w:rsidRPr="005B6D62">
        <w:rPr>
          <w:i/>
          <w:iCs/>
          <w:lang w:val="es-PE"/>
        </w:rPr>
        <w:t>–viññāṇa–</w:t>
      </w:r>
      <w:proofErr w:type="spellStart"/>
      <w:r w:rsidRPr="005B6D62">
        <w:rPr>
          <w:i/>
          <w:iCs/>
          <w:lang w:val="es-PE"/>
        </w:rPr>
        <w:t>dhātu</w:t>
      </w:r>
      <w:proofErr w:type="spellEnd"/>
      <w:r w:rsidRPr="005B6D62">
        <w:rPr>
          <w:lang w:val="es-PE"/>
        </w:rPr>
        <w:t>) XV.17s.; décuplo corporal (</w:t>
      </w:r>
      <w:proofErr w:type="spellStart"/>
      <w:r w:rsidRPr="005B6D62">
        <w:rPr>
          <w:i/>
          <w:iCs/>
          <w:lang w:val="es-PE"/>
        </w:rPr>
        <w:t>kāya</w:t>
      </w:r>
      <w:proofErr w:type="spellEnd"/>
      <w:r w:rsidRPr="005B6D62">
        <w:rPr>
          <w:i/>
          <w:iCs/>
          <w:lang w:val="es-PE"/>
        </w:rPr>
        <w:t>–</w:t>
      </w:r>
      <w:proofErr w:type="spellStart"/>
      <w:r w:rsidRPr="005B6D62">
        <w:rPr>
          <w:i/>
          <w:iCs/>
          <w:lang w:val="es-PE"/>
        </w:rPr>
        <w:t>dasaka</w:t>
      </w:r>
      <w:proofErr w:type="spellEnd"/>
      <w:r w:rsidRPr="005B6D62">
        <w:rPr>
          <w:lang w:val="es-PE"/>
        </w:rPr>
        <w:t>) XVII.151, 156, 189; puerta corporal (</w:t>
      </w:r>
      <w:proofErr w:type="spellStart"/>
      <w:r w:rsidRPr="005B6D62">
        <w:rPr>
          <w:i/>
          <w:iCs/>
          <w:lang w:val="es-PE"/>
        </w:rPr>
        <w:t>kāya</w:t>
      </w:r>
      <w:proofErr w:type="spellEnd"/>
      <w:r w:rsidRPr="005B6D62">
        <w:rPr>
          <w:i/>
          <w:iCs/>
          <w:lang w:val="es-PE"/>
        </w:rPr>
        <w:t>–</w:t>
      </w:r>
      <w:proofErr w:type="spellStart"/>
      <w:r w:rsidRPr="005B6D62">
        <w:rPr>
          <w:i/>
          <w:iCs/>
          <w:lang w:val="es-PE"/>
        </w:rPr>
        <w:t>dvāra</w:t>
      </w:r>
      <w:proofErr w:type="spellEnd"/>
      <w:r w:rsidRPr="005B6D62">
        <w:rPr>
          <w:lang w:val="es-PE"/>
        </w:rPr>
        <w:t>) XVII.61; elemento corporal (</w:t>
      </w:r>
      <w:proofErr w:type="spellStart"/>
      <w:r w:rsidRPr="005B6D62">
        <w:rPr>
          <w:i/>
          <w:iCs/>
          <w:lang w:val="es-PE"/>
        </w:rPr>
        <w:t>kāya</w:t>
      </w:r>
      <w:proofErr w:type="spellEnd"/>
      <w:r w:rsidRPr="005B6D62">
        <w:rPr>
          <w:i/>
          <w:iCs/>
          <w:lang w:val="es-PE"/>
        </w:rPr>
        <w:t>–</w:t>
      </w:r>
      <w:proofErr w:type="spellStart"/>
      <w:r w:rsidRPr="005B6D62">
        <w:rPr>
          <w:i/>
          <w:iCs/>
          <w:lang w:val="es-PE"/>
        </w:rPr>
        <w:t>dhātu</w:t>
      </w:r>
      <w:proofErr w:type="spellEnd"/>
      <w:r w:rsidRPr="005B6D62">
        <w:rPr>
          <w:lang w:val="es-PE"/>
        </w:rPr>
        <w:t>) XV.17s.; facultad corporal (</w:t>
      </w:r>
      <w:proofErr w:type="spellStart"/>
      <w:r w:rsidRPr="005B6D62">
        <w:rPr>
          <w:i/>
          <w:iCs/>
          <w:lang w:val="es-PE"/>
        </w:rPr>
        <w:t>kāyindriya</w:t>
      </w:r>
      <w:proofErr w:type="spellEnd"/>
      <w:r w:rsidRPr="005B6D62">
        <w:rPr>
          <w:lang w:val="es-PE"/>
        </w:rPr>
        <w:t>) XIV.128; XVI.1; testigo presencial (</w:t>
      </w:r>
      <w:proofErr w:type="spellStart"/>
      <w:r w:rsidRPr="005B6D62">
        <w:rPr>
          <w:i/>
          <w:iCs/>
          <w:lang w:val="es-PE"/>
        </w:rPr>
        <w:t>kāya</w:t>
      </w:r>
      <w:proofErr w:type="spellEnd"/>
      <w:r w:rsidRPr="005B6D62">
        <w:rPr>
          <w:i/>
          <w:iCs/>
          <w:lang w:val="es-PE"/>
        </w:rPr>
        <w:t>–</w:t>
      </w:r>
      <w:proofErr w:type="spellStart"/>
      <w:r w:rsidRPr="005B6D62">
        <w:rPr>
          <w:i/>
          <w:iCs/>
          <w:lang w:val="es-PE"/>
        </w:rPr>
        <w:t>sakkhi</w:t>
      </w:r>
      <w:proofErr w:type="spellEnd"/>
      <w:r w:rsidRPr="005B6D62">
        <w:rPr>
          <w:lang w:val="es-PE"/>
        </w:rPr>
        <w:t xml:space="preserve">) XXI.74, 77 </w:t>
      </w:r>
    </w:p>
    <w:p w14:paraId="6B87734B" w14:textId="77777777" w:rsidR="00597DE2" w:rsidRPr="005B6D62" w:rsidRDefault="00597DE2" w:rsidP="00597DE2">
      <w:pPr>
        <w:pStyle w:val="ParrafoApendice"/>
        <w:rPr>
          <w:lang w:val="es-PE"/>
        </w:rPr>
      </w:pPr>
      <w:r w:rsidRPr="005B6D62">
        <w:rPr>
          <w:lang w:val="es-PE"/>
        </w:rPr>
        <w:t>cuerpo mental (</w:t>
      </w:r>
      <w:proofErr w:type="spellStart"/>
      <w:r w:rsidRPr="005B6D62">
        <w:rPr>
          <w:i/>
          <w:iCs/>
          <w:lang w:val="es-PE"/>
        </w:rPr>
        <w:t>nāma</w:t>
      </w:r>
      <w:proofErr w:type="spellEnd"/>
      <w:r w:rsidRPr="005B6D62">
        <w:rPr>
          <w:i/>
          <w:iCs/>
          <w:lang w:val="es-PE"/>
        </w:rPr>
        <w:t>–</w:t>
      </w:r>
      <w:proofErr w:type="spellStart"/>
      <w:r w:rsidRPr="005B6D62">
        <w:rPr>
          <w:i/>
          <w:iCs/>
          <w:lang w:val="es-PE"/>
        </w:rPr>
        <w:t>kāya</w:t>
      </w:r>
      <w:proofErr w:type="spellEnd"/>
      <w:r w:rsidRPr="005B6D62">
        <w:rPr>
          <w:lang w:val="es-PE"/>
        </w:rPr>
        <w:t xml:space="preserve">) XIV.133s.; XVIII.36; XIX.5; </w:t>
      </w:r>
      <w:r w:rsidRPr="005B6D62">
        <w:rPr>
          <w:i/>
          <w:iCs/>
          <w:lang w:val="es-PE"/>
        </w:rPr>
        <w:t>datum mental, objeto mental</w:t>
      </w:r>
      <w:r w:rsidRPr="005B6D62">
        <w:rPr>
          <w:lang w:val="es-PE"/>
        </w:rPr>
        <w:t xml:space="preserve"> (</w:t>
      </w:r>
      <w:r w:rsidRPr="005B6D62">
        <w:rPr>
          <w:i/>
          <w:iCs/>
          <w:lang w:val="es-PE"/>
        </w:rPr>
        <w:t>dhamma</w:t>
      </w:r>
      <w:r w:rsidRPr="005B6D62">
        <w:rPr>
          <w:lang w:val="es-PE"/>
        </w:rPr>
        <w:t xml:space="preserve">) I.n.1; XXII.34; </w:t>
      </w:r>
      <w:r w:rsidRPr="005B6D62">
        <w:rPr>
          <w:i/>
          <w:iCs/>
          <w:lang w:val="es-PE"/>
        </w:rPr>
        <w:t>base del objeto mental</w:t>
      </w:r>
      <w:r w:rsidRPr="005B6D62">
        <w:rPr>
          <w:lang w:val="es-PE"/>
        </w:rPr>
        <w:t xml:space="preserve"> (</w:t>
      </w:r>
      <w:proofErr w:type="spellStart"/>
      <w:r w:rsidRPr="005B6D62">
        <w:rPr>
          <w:i/>
          <w:iCs/>
          <w:lang w:val="es-PE"/>
        </w:rPr>
        <w:t>dhammāyatana</w:t>
      </w:r>
      <w:proofErr w:type="spellEnd"/>
      <w:r w:rsidRPr="005B6D62">
        <w:rPr>
          <w:lang w:val="es-PE"/>
        </w:rPr>
        <w:t xml:space="preserve">) X.49; XV.3; XVIII.14; </w:t>
      </w:r>
      <w:r w:rsidRPr="005B6D62">
        <w:rPr>
          <w:i/>
          <w:iCs/>
          <w:lang w:val="es-PE"/>
        </w:rPr>
        <w:t>elemento del objeto mental</w:t>
      </w:r>
      <w:r w:rsidRPr="005B6D62">
        <w:rPr>
          <w:lang w:val="es-PE"/>
        </w:rPr>
        <w:t xml:space="preserve"> (</w:t>
      </w:r>
      <w:r w:rsidRPr="005B6D62">
        <w:rPr>
          <w:i/>
          <w:iCs/>
          <w:lang w:val="es-PE"/>
        </w:rPr>
        <w:t>dhamma–</w:t>
      </w:r>
      <w:proofErr w:type="spellStart"/>
      <w:r w:rsidRPr="005B6D62">
        <w:rPr>
          <w:i/>
          <w:iCs/>
          <w:lang w:val="es-PE"/>
        </w:rPr>
        <w:t>dhātu</w:t>
      </w:r>
      <w:proofErr w:type="spellEnd"/>
      <w:r w:rsidRPr="005B6D62">
        <w:rPr>
          <w:lang w:val="es-PE"/>
        </w:rPr>
        <w:t xml:space="preserve">) XV.17; </w:t>
      </w:r>
      <w:r w:rsidRPr="005B6D62">
        <w:rPr>
          <w:i/>
          <w:iCs/>
          <w:lang w:val="es-PE"/>
        </w:rPr>
        <w:t>formación mental</w:t>
      </w:r>
      <w:r w:rsidRPr="005B6D62">
        <w:rPr>
          <w:lang w:val="es-PE"/>
        </w:rPr>
        <w:t xml:space="preserve"> (</w:t>
      </w:r>
      <w:proofErr w:type="spellStart"/>
      <w:r w:rsidRPr="005B6D62">
        <w:rPr>
          <w:i/>
          <w:iCs/>
          <w:lang w:val="es-PE"/>
        </w:rPr>
        <w:t>citta</w:t>
      </w:r>
      <w:proofErr w:type="spellEnd"/>
      <w:r w:rsidRPr="005B6D62">
        <w:rPr>
          <w:i/>
          <w:iCs/>
          <w:lang w:val="es-PE"/>
        </w:rPr>
        <w:t>–</w:t>
      </w:r>
      <w:proofErr w:type="spellStart"/>
      <w:r w:rsidRPr="005B6D62">
        <w:rPr>
          <w:i/>
          <w:iCs/>
          <w:lang w:val="es-PE"/>
        </w:rPr>
        <w:t>saṅkhāra</w:t>
      </w:r>
      <w:proofErr w:type="spellEnd"/>
      <w:r w:rsidRPr="005B6D62">
        <w:rPr>
          <w:lang w:val="es-PE"/>
        </w:rPr>
        <w:t xml:space="preserve">) VIII.229; XVII.61; XXIII.24, 51; </w:t>
      </w:r>
      <w:r w:rsidRPr="005B6D62">
        <w:rPr>
          <w:i/>
          <w:iCs/>
          <w:lang w:val="es-PE"/>
        </w:rPr>
        <w:t>volición mental</w:t>
      </w:r>
      <w:r w:rsidRPr="005B6D62">
        <w:rPr>
          <w:lang w:val="es-PE"/>
        </w:rPr>
        <w:t xml:space="preserve"> (</w:t>
      </w:r>
      <w:r w:rsidRPr="005B6D62">
        <w:rPr>
          <w:i/>
          <w:iCs/>
          <w:lang w:val="es-PE"/>
        </w:rPr>
        <w:t>mano–</w:t>
      </w:r>
      <w:proofErr w:type="spellStart"/>
      <w:r w:rsidRPr="005B6D62">
        <w:rPr>
          <w:i/>
          <w:iCs/>
          <w:lang w:val="es-PE"/>
        </w:rPr>
        <w:t>sañcetanā</w:t>
      </w:r>
      <w:proofErr w:type="spellEnd"/>
      <w:r w:rsidRPr="005B6D62">
        <w:rPr>
          <w:lang w:val="es-PE"/>
        </w:rPr>
        <w:t xml:space="preserve">) XIV.228; XVII.61 </w:t>
      </w:r>
    </w:p>
    <w:p w14:paraId="465EFC82" w14:textId="77777777" w:rsidR="00597DE2" w:rsidRPr="005B6D62" w:rsidRDefault="00597DE2" w:rsidP="00597DE2">
      <w:pPr>
        <w:pStyle w:val="ParrafoApendice"/>
        <w:rPr>
          <w:lang w:val="es-PE"/>
        </w:rPr>
      </w:pPr>
      <w:proofErr w:type="spellStart"/>
      <w:r w:rsidRPr="005B6D62">
        <w:rPr>
          <w:i/>
          <w:iCs/>
          <w:lang w:val="es-PE"/>
        </w:rPr>
        <w:t>Cūḷa</w:t>
      </w:r>
      <w:proofErr w:type="spellEnd"/>
      <w:r w:rsidRPr="005B6D62">
        <w:rPr>
          <w:lang w:val="es-PE"/>
        </w:rPr>
        <w:t>–</w:t>
      </w:r>
      <w:proofErr w:type="spellStart"/>
      <w:r w:rsidRPr="005B6D62">
        <w:rPr>
          <w:i/>
          <w:iCs/>
          <w:lang w:val="es-PE"/>
        </w:rPr>
        <w:t>Abhaya</w:t>
      </w:r>
      <w:proofErr w:type="spellEnd"/>
      <w:r w:rsidRPr="005B6D62">
        <w:rPr>
          <w:lang w:val="es-PE"/>
        </w:rPr>
        <w:t xml:space="preserve">, etc., ver bajo nombre de individuos, </w:t>
      </w:r>
      <w:proofErr w:type="spellStart"/>
      <w:r w:rsidRPr="005B6D62">
        <w:rPr>
          <w:lang w:val="es-PE"/>
        </w:rPr>
        <w:t>Abhaya</w:t>
      </w:r>
      <w:proofErr w:type="spellEnd"/>
      <w:r w:rsidRPr="005B6D62">
        <w:rPr>
          <w:lang w:val="es-PE"/>
        </w:rPr>
        <w:t>, etc.</w:t>
      </w:r>
    </w:p>
    <w:p w14:paraId="4509CF3C" w14:textId="77777777" w:rsidR="00597DE2" w:rsidRPr="005B6D62" w:rsidRDefault="00597DE2" w:rsidP="00597DE2">
      <w:pPr>
        <w:pStyle w:val="ParrafoApendice"/>
        <w:rPr>
          <w:lang w:val="es-PE"/>
        </w:rPr>
      </w:pPr>
      <w:proofErr w:type="spellStart"/>
      <w:r w:rsidRPr="005B6D62">
        <w:rPr>
          <w:i/>
          <w:iCs/>
          <w:lang w:val="es-PE"/>
        </w:rPr>
        <w:t>Cūḷa</w:t>
      </w:r>
      <w:proofErr w:type="spellEnd"/>
      <w:r w:rsidRPr="005B6D62">
        <w:rPr>
          <w:lang w:val="es-PE"/>
        </w:rPr>
        <w:t>–</w:t>
      </w:r>
      <w:proofErr w:type="spellStart"/>
      <w:r w:rsidRPr="005B6D62">
        <w:rPr>
          <w:i/>
          <w:iCs/>
          <w:lang w:val="es-PE"/>
        </w:rPr>
        <w:t>Nāga</w:t>
      </w:r>
      <w:proofErr w:type="spellEnd"/>
      <w:r w:rsidRPr="005B6D62">
        <w:rPr>
          <w:lang w:val="es-PE"/>
        </w:rPr>
        <w:t>–</w:t>
      </w:r>
      <w:r w:rsidRPr="005B6D62">
        <w:rPr>
          <w:i/>
          <w:iCs/>
          <w:lang w:val="es-PE"/>
        </w:rPr>
        <w:t>Lena</w:t>
      </w:r>
      <w:r w:rsidRPr="005B6D62">
        <w:rPr>
          <w:lang w:val="es-PE"/>
        </w:rPr>
        <w:t xml:space="preserve"> (Cueva) IV.36 </w:t>
      </w:r>
    </w:p>
    <w:p w14:paraId="245FF9A1" w14:textId="77777777" w:rsidR="00597DE2" w:rsidRPr="005B6D62" w:rsidRDefault="00597DE2" w:rsidP="00597DE2">
      <w:pPr>
        <w:pStyle w:val="ParrafoApendice"/>
        <w:rPr>
          <w:lang w:val="es-PE"/>
        </w:rPr>
      </w:pPr>
      <w:r w:rsidRPr="005B6D62">
        <w:rPr>
          <w:lang w:val="es-PE"/>
        </w:rPr>
        <w:t>curiosidad (</w:t>
      </w:r>
      <w:proofErr w:type="spellStart"/>
      <w:r w:rsidRPr="005B6D62">
        <w:rPr>
          <w:i/>
          <w:iCs/>
          <w:lang w:val="es-PE"/>
        </w:rPr>
        <w:t>īhaka</w:t>
      </w:r>
      <w:proofErr w:type="spellEnd"/>
      <w:r w:rsidRPr="005B6D62">
        <w:rPr>
          <w:lang w:val="es-PE"/>
        </w:rPr>
        <w:t xml:space="preserve">) XVIII.31 </w:t>
      </w:r>
    </w:p>
    <w:p w14:paraId="10F85E3F" w14:textId="77777777" w:rsidR="00597DE2" w:rsidRPr="005B6D62" w:rsidRDefault="00597DE2" w:rsidP="00597DE2">
      <w:pPr>
        <w:pStyle w:val="ParrafoApendice"/>
        <w:rPr>
          <w:lang w:val="es-PE"/>
        </w:rPr>
      </w:pPr>
      <w:r w:rsidRPr="005B6D62">
        <w:rPr>
          <w:lang w:val="es-PE"/>
        </w:rPr>
        <w:t>curso de acción (</w:t>
      </w:r>
      <w:proofErr w:type="spellStart"/>
      <w:r w:rsidRPr="005B6D62">
        <w:rPr>
          <w:i/>
          <w:iCs/>
          <w:lang w:val="es-PE"/>
        </w:rPr>
        <w:t>kamma</w:t>
      </w:r>
      <w:proofErr w:type="spellEnd"/>
      <w:r w:rsidRPr="005B6D62">
        <w:rPr>
          <w:i/>
          <w:iCs/>
          <w:lang w:val="es-PE"/>
        </w:rPr>
        <w:t>–</w:t>
      </w:r>
      <w:proofErr w:type="spellStart"/>
      <w:r w:rsidRPr="005B6D62">
        <w:rPr>
          <w:i/>
          <w:iCs/>
          <w:lang w:val="es-PE"/>
        </w:rPr>
        <w:t>patha</w:t>
      </w:r>
      <w:proofErr w:type="spellEnd"/>
      <w:r w:rsidRPr="005B6D62">
        <w:rPr>
          <w:lang w:val="es-PE"/>
        </w:rPr>
        <w:t>) I.17; VII.59, n.25; XXII.</w:t>
      </w:r>
      <w:r w:rsidRPr="005B6D62">
        <w:rPr>
          <w:strike/>
          <w:color w:val="833C0B" w:themeColor="accent2" w:themeShade="80"/>
          <w:u w:color="000000"/>
          <w:lang w:val="es-PE"/>
        </w:rPr>
        <w:t>63</w:t>
      </w:r>
      <w:r w:rsidRPr="005B6D62">
        <w:rPr>
          <w:lang w:val="es-PE"/>
        </w:rPr>
        <w:t>, 75</w:t>
      </w:r>
    </w:p>
    <w:p w14:paraId="234458AD" w14:textId="77777777" w:rsidR="00597DE2" w:rsidRPr="005B6D62" w:rsidRDefault="00597DE2" w:rsidP="00597DE2">
      <w:pPr>
        <w:pStyle w:val="ParrafoApendice"/>
        <w:rPr>
          <w:lang w:val="es-PE"/>
        </w:rPr>
      </w:pPr>
      <w:r w:rsidRPr="005B6D62">
        <w:rPr>
          <w:lang w:val="es-PE"/>
        </w:rPr>
        <w:t>curso de una existencia (</w:t>
      </w:r>
      <w:proofErr w:type="spellStart"/>
      <w:r w:rsidRPr="005B6D62">
        <w:rPr>
          <w:i/>
          <w:iCs/>
          <w:lang w:val="es-PE"/>
        </w:rPr>
        <w:t>pavatta</w:t>
      </w:r>
      <w:proofErr w:type="spellEnd"/>
      <w:r w:rsidRPr="005B6D62">
        <w:rPr>
          <w:i/>
          <w:iCs/>
          <w:lang w:val="es-PE"/>
        </w:rPr>
        <w:t xml:space="preserve">, </w:t>
      </w:r>
      <w:proofErr w:type="spellStart"/>
      <w:r w:rsidRPr="005B6D62">
        <w:rPr>
          <w:i/>
          <w:iCs/>
          <w:lang w:val="es-PE"/>
        </w:rPr>
        <w:t>pavatti</w:t>
      </w:r>
      <w:proofErr w:type="spellEnd"/>
      <w:r w:rsidRPr="005B6D62">
        <w:rPr>
          <w:lang w:val="es-PE"/>
        </w:rPr>
        <w:t>) XVI.23s, 42; XVII.</w:t>
      </w:r>
      <w:r w:rsidRPr="005B6D62">
        <w:rPr>
          <w:color w:val="833C0B" w:themeColor="accent2" w:themeShade="80"/>
          <w:u w:color="000000"/>
          <w:lang w:val="es-PE"/>
        </w:rPr>
        <w:t>6s,</w:t>
      </w:r>
      <w:r w:rsidRPr="005B6D62">
        <w:rPr>
          <w:lang w:val="es-PE"/>
        </w:rPr>
        <w:t xml:space="preserve"> 89, 126s., 193</w:t>
      </w:r>
      <w:r w:rsidRPr="005B6D62">
        <w:rPr>
          <w:color w:val="833C0B" w:themeColor="accent2" w:themeShade="80"/>
          <w:u w:color="000000"/>
          <w:lang w:val="es-PE"/>
        </w:rPr>
        <w:t>s</w:t>
      </w:r>
      <w:r w:rsidRPr="005B6D62">
        <w:rPr>
          <w:lang w:val="es-PE"/>
        </w:rPr>
        <w:t xml:space="preserve">; XIX.16; XX.44. Ver también ocurrencia. </w:t>
      </w:r>
    </w:p>
    <w:p w14:paraId="100AAAC2" w14:textId="77777777" w:rsidR="00597DE2" w:rsidRDefault="00597DE2" w:rsidP="00597DE2">
      <w:pPr>
        <w:pStyle w:val="ParrafoApendice"/>
        <w:rPr>
          <w:lang w:val="es-PE"/>
        </w:rPr>
      </w:pPr>
      <w:proofErr w:type="spellStart"/>
      <w:r w:rsidRPr="006D0608">
        <w:rPr>
          <w:lang w:val="es-PE"/>
        </w:rPr>
        <w:t>Dakkhiṇagiri</w:t>
      </w:r>
      <w:proofErr w:type="spellEnd"/>
      <w:r w:rsidRPr="006D0608">
        <w:rPr>
          <w:lang w:val="es-PE"/>
        </w:rPr>
        <w:t xml:space="preserve"> IV.10</w:t>
      </w:r>
      <w:r>
        <w:rPr>
          <w:lang w:val="es-PE"/>
        </w:rPr>
        <w:br w:type="page"/>
      </w:r>
    </w:p>
    <w:p w14:paraId="04459A04" w14:textId="77777777" w:rsidR="00597DE2" w:rsidRPr="006D0608" w:rsidRDefault="00597DE2" w:rsidP="00597DE2">
      <w:pPr>
        <w:pStyle w:val="ParrafoApendice"/>
        <w:rPr>
          <w:lang w:val="es-PE"/>
        </w:rPr>
      </w:pPr>
    </w:p>
    <w:p w14:paraId="7D322E24" w14:textId="77777777" w:rsidR="00597DE2" w:rsidRPr="006D0608" w:rsidRDefault="00597DE2" w:rsidP="00597DE2">
      <w:pPr>
        <w:pStyle w:val="ParrafoApendice"/>
        <w:rPr>
          <w:lang w:val="es-PE"/>
        </w:rPr>
      </w:pPr>
      <w:proofErr w:type="spellStart"/>
      <w:r w:rsidRPr="006D0608">
        <w:rPr>
          <w:lang w:val="es-PE"/>
        </w:rPr>
        <w:t>Dānava</w:t>
      </w:r>
      <w:proofErr w:type="spellEnd"/>
      <w:r w:rsidRPr="006D0608">
        <w:rPr>
          <w:lang w:val="es-PE"/>
        </w:rPr>
        <w:t xml:space="preserve"> (</w:t>
      </w:r>
      <w:proofErr w:type="spellStart"/>
      <w:r w:rsidRPr="006D0608">
        <w:rPr>
          <w:lang w:val="es-PE"/>
        </w:rPr>
        <w:t>Demon</w:t>
      </w:r>
      <w:proofErr w:type="spellEnd"/>
      <w:r w:rsidRPr="006D0608">
        <w:rPr>
          <w:lang w:val="es-PE"/>
        </w:rPr>
        <w:t xml:space="preserve">) XI.97 </w:t>
      </w:r>
    </w:p>
    <w:p w14:paraId="09211F1B" w14:textId="77777777" w:rsidR="00597DE2" w:rsidRPr="006D0608" w:rsidRDefault="00597DE2" w:rsidP="00597DE2">
      <w:pPr>
        <w:pStyle w:val="ParrafoApendice"/>
        <w:rPr>
          <w:lang w:val="es-PE"/>
        </w:rPr>
      </w:pPr>
      <w:proofErr w:type="spellStart"/>
      <w:r w:rsidRPr="006D0608">
        <w:rPr>
          <w:lang w:val="es-PE"/>
        </w:rPr>
        <w:t>danger</w:t>
      </w:r>
      <w:proofErr w:type="spellEnd"/>
      <w:r w:rsidRPr="006D0608">
        <w:rPr>
          <w:lang w:val="es-PE"/>
        </w:rPr>
        <w:t xml:space="preserve"> (</w:t>
      </w:r>
      <w:proofErr w:type="spellStart"/>
      <w:r w:rsidRPr="006D0608">
        <w:rPr>
          <w:lang w:val="es-PE"/>
        </w:rPr>
        <w:t>ādīnava</w:t>
      </w:r>
      <w:proofErr w:type="spellEnd"/>
      <w:r w:rsidRPr="006D0608">
        <w:rPr>
          <w:lang w:val="es-PE"/>
        </w:rPr>
        <w:t xml:space="preserve">), </w:t>
      </w:r>
      <w:proofErr w:type="spellStart"/>
      <w:r w:rsidRPr="006D0608">
        <w:rPr>
          <w:lang w:val="es-PE"/>
        </w:rPr>
        <w:t>see</w:t>
      </w:r>
      <w:proofErr w:type="spellEnd"/>
      <w:r w:rsidRPr="006D0608">
        <w:rPr>
          <w:lang w:val="es-PE"/>
        </w:rPr>
        <w:t xml:space="preserve"> </w:t>
      </w:r>
      <w:proofErr w:type="spellStart"/>
      <w:r w:rsidRPr="006D0608">
        <w:rPr>
          <w:lang w:val="es-PE"/>
        </w:rPr>
        <w:t>contemplation</w:t>
      </w:r>
      <w:proofErr w:type="spellEnd"/>
      <w:r w:rsidRPr="006D0608">
        <w:rPr>
          <w:lang w:val="es-PE"/>
        </w:rPr>
        <w:t xml:space="preserve"> of d.</w:t>
      </w:r>
    </w:p>
    <w:p w14:paraId="56B30462" w14:textId="77777777" w:rsidR="00597DE2" w:rsidRPr="005B6D62" w:rsidRDefault="00597DE2" w:rsidP="00597DE2">
      <w:pPr>
        <w:pStyle w:val="ParrafoApendice"/>
        <w:rPr>
          <w:lang w:val="es-PE"/>
        </w:rPr>
      </w:pPr>
      <w:proofErr w:type="spellStart"/>
      <w:r w:rsidRPr="005B6D62">
        <w:rPr>
          <w:lang w:val="es-PE"/>
        </w:rPr>
        <w:t>Datta</w:t>
      </w:r>
      <w:proofErr w:type="spellEnd"/>
      <w:r w:rsidRPr="005B6D62">
        <w:rPr>
          <w:lang w:val="es-PE"/>
        </w:rPr>
        <w:t xml:space="preserve"> </w:t>
      </w:r>
      <w:proofErr w:type="spellStart"/>
      <w:r w:rsidRPr="005B6D62">
        <w:rPr>
          <w:lang w:val="es-PE"/>
        </w:rPr>
        <w:t>Thera</w:t>
      </w:r>
      <w:proofErr w:type="spellEnd"/>
      <w:r w:rsidRPr="005B6D62">
        <w:rPr>
          <w:lang w:val="es-PE"/>
        </w:rPr>
        <w:t xml:space="preserve">, Mahā XX.110; </w:t>
      </w:r>
      <w:r w:rsidRPr="005B6D62">
        <w:rPr>
          <w:strike/>
          <w:color w:val="833C0B" w:themeColor="accent2" w:themeShade="80"/>
          <w:u w:color="000000"/>
          <w:lang w:val="es-PE"/>
        </w:rPr>
        <w:t>XXI.n.38</w:t>
      </w:r>
      <w:r w:rsidRPr="005B6D62">
        <w:rPr>
          <w:lang w:val="es-PE"/>
        </w:rPr>
        <w:t xml:space="preserve"> </w:t>
      </w:r>
    </w:p>
    <w:p w14:paraId="2CBBF892" w14:textId="77777777" w:rsidR="00597DE2" w:rsidRPr="005B6D62" w:rsidRDefault="00597DE2" w:rsidP="00597DE2">
      <w:pPr>
        <w:pStyle w:val="ParrafoApendice"/>
        <w:rPr>
          <w:lang w:val="es-PE"/>
        </w:rPr>
      </w:pPr>
      <w:proofErr w:type="spellStart"/>
      <w:r w:rsidRPr="005B6D62">
        <w:rPr>
          <w:lang w:val="es-PE"/>
        </w:rPr>
        <w:t>Datta</w:t>
      </w:r>
      <w:proofErr w:type="spellEnd"/>
      <w:r w:rsidRPr="005B6D62">
        <w:rPr>
          <w:lang w:val="es-PE"/>
        </w:rPr>
        <w:t>–</w:t>
      </w:r>
      <w:proofErr w:type="spellStart"/>
      <w:r w:rsidRPr="005B6D62">
        <w:rPr>
          <w:lang w:val="es-PE"/>
        </w:rPr>
        <w:t>Abhaya</w:t>
      </w:r>
      <w:proofErr w:type="spellEnd"/>
      <w:r w:rsidRPr="005B6D62">
        <w:rPr>
          <w:lang w:val="es-PE"/>
        </w:rPr>
        <w:t xml:space="preserve"> </w:t>
      </w:r>
      <w:proofErr w:type="spellStart"/>
      <w:r w:rsidRPr="005B6D62">
        <w:rPr>
          <w:lang w:val="es-PE"/>
        </w:rPr>
        <w:t>Thera</w:t>
      </w:r>
      <w:proofErr w:type="spellEnd"/>
      <w:r w:rsidRPr="005B6D62">
        <w:rPr>
          <w:lang w:val="es-PE"/>
        </w:rPr>
        <w:t xml:space="preserve"> III.84 </w:t>
      </w:r>
    </w:p>
    <w:p w14:paraId="423BD221" w14:textId="77777777" w:rsidR="00597DE2" w:rsidRPr="005B6D62" w:rsidRDefault="00597DE2" w:rsidP="00597DE2">
      <w:pPr>
        <w:pStyle w:val="ParrafoApendice"/>
        <w:rPr>
          <w:lang w:val="es-PE"/>
        </w:rPr>
      </w:pPr>
      <w:r w:rsidRPr="005B6D62">
        <w:rPr>
          <w:lang w:val="es-PE"/>
        </w:rPr>
        <w:t>deber (</w:t>
      </w:r>
      <w:proofErr w:type="spellStart"/>
      <w:r w:rsidRPr="005B6D62">
        <w:rPr>
          <w:i/>
          <w:iCs/>
          <w:lang w:val="es-PE"/>
        </w:rPr>
        <w:t>vatta</w:t>
      </w:r>
      <w:proofErr w:type="spellEnd"/>
      <w:r w:rsidRPr="005B6D62">
        <w:rPr>
          <w:lang w:val="es-PE"/>
        </w:rPr>
        <w:t xml:space="preserve">) I.17; III.66s.; IV.3 </w:t>
      </w:r>
    </w:p>
    <w:p w14:paraId="0BF914B5" w14:textId="77777777" w:rsidR="00597DE2" w:rsidRPr="005B6D62" w:rsidRDefault="00597DE2" w:rsidP="00597DE2">
      <w:pPr>
        <w:pStyle w:val="ParrafoApendice"/>
        <w:rPr>
          <w:lang w:val="es-PE"/>
        </w:rPr>
      </w:pPr>
      <w:r w:rsidRPr="005B6D62">
        <w:rPr>
          <w:lang w:val="es-PE"/>
        </w:rPr>
        <w:t>década (</w:t>
      </w:r>
      <w:proofErr w:type="spellStart"/>
      <w:r w:rsidRPr="005B6D62">
        <w:rPr>
          <w:lang w:val="es-PE"/>
        </w:rPr>
        <w:t>dasaka</w:t>
      </w:r>
      <w:proofErr w:type="spellEnd"/>
      <w:r w:rsidRPr="005B6D62">
        <w:rPr>
          <w:lang w:val="es-PE"/>
        </w:rPr>
        <w:t xml:space="preserve">) XX.50s. </w:t>
      </w:r>
    </w:p>
    <w:p w14:paraId="6D9C19A0" w14:textId="77777777" w:rsidR="00597DE2" w:rsidRPr="005B6D62" w:rsidRDefault="00597DE2" w:rsidP="00597DE2">
      <w:pPr>
        <w:pStyle w:val="ParrafoApendice"/>
        <w:rPr>
          <w:lang w:val="es-PE"/>
        </w:rPr>
      </w:pPr>
      <w:r w:rsidRPr="005B6D62">
        <w:rPr>
          <w:lang w:val="es-PE"/>
        </w:rPr>
        <w:t>décuplo (</w:t>
      </w:r>
      <w:proofErr w:type="spellStart"/>
      <w:r w:rsidRPr="005B6D62">
        <w:rPr>
          <w:i/>
          <w:iCs/>
          <w:lang w:val="es-PE"/>
        </w:rPr>
        <w:t>dasaka</w:t>
      </w:r>
      <w:proofErr w:type="spellEnd"/>
      <w:r w:rsidRPr="005B6D62">
        <w:rPr>
          <w:lang w:val="es-PE"/>
        </w:rPr>
        <w:t xml:space="preserve">) XVII.149, 151s., 156, 189s., n.26; XVIII.5f.; XX.22, 28, 70 </w:t>
      </w:r>
    </w:p>
    <w:p w14:paraId="188FFFF8" w14:textId="77777777" w:rsidR="00597DE2" w:rsidRPr="005B6D62" w:rsidRDefault="00597DE2" w:rsidP="00597DE2">
      <w:pPr>
        <w:pStyle w:val="ParrafoApendice"/>
        <w:rPr>
          <w:lang w:val="es-PE"/>
        </w:rPr>
      </w:pPr>
      <w:r w:rsidRPr="005B6D62">
        <w:rPr>
          <w:lang w:val="es-PE"/>
        </w:rPr>
        <w:t>definición (</w:t>
      </w:r>
      <w:proofErr w:type="spellStart"/>
      <w:r w:rsidRPr="005B6D62">
        <w:rPr>
          <w:i/>
          <w:iCs/>
          <w:lang w:val="es-PE"/>
        </w:rPr>
        <w:t>vavatthāna</w:t>
      </w:r>
      <w:proofErr w:type="spellEnd"/>
      <w:r w:rsidRPr="005B6D62">
        <w:rPr>
          <w:lang w:val="es-PE"/>
        </w:rPr>
        <w:t>) XI.27; XIV.11; XVIII.37; XX.130; d. de los estados (</w:t>
      </w:r>
      <w:r w:rsidRPr="005B6D62">
        <w:rPr>
          <w:i/>
          <w:iCs/>
          <w:lang w:val="es-PE"/>
        </w:rPr>
        <w:t>dhamma</w:t>
      </w:r>
      <w:r w:rsidRPr="005B6D62">
        <w:rPr>
          <w:lang w:val="es-PE"/>
        </w:rPr>
        <w:t>–</w:t>
      </w:r>
      <w:proofErr w:type="spellStart"/>
      <w:r w:rsidRPr="005B6D62">
        <w:rPr>
          <w:i/>
          <w:iCs/>
          <w:lang w:val="es-PE"/>
        </w:rPr>
        <w:t>vavatthāna</w:t>
      </w:r>
      <w:proofErr w:type="spellEnd"/>
      <w:r w:rsidRPr="005B6D62">
        <w:rPr>
          <w:lang w:val="es-PE"/>
        </w:rPr>
        <w:t>) I.140; d. de los cuatro elementos (</w:t>
      </w:r>
      <w:proofErr w:type="spellStart"/>
      <w:r w:rsidRPr="005B6D62">
        <w:rPr>
          <w:i/>
          <w:iCs/>
          <w:lang w:val="es-PE"/>
        </w:rPr>
        <w:t>catudhātu</w:t>
      </w:r>
      <w:proofErr w:type="spellEnd"/>
      <w:r w:rsidRPr="005B6D62">
        <w:rPr>
          <w:i/>
          <w:iCs/>
          <w:lang w:val="es-PE"/>
        </w:rPr>
        <w:t>–</w:t>
      </w:r>
      <w:proofErr w:type="spellStart"/>
      <w:r w:rsidRPr="005B6D62">
        <w:rPr>
          <w:i/>
          <w:iCs/>
          <w:lang w:val="es-PE"/>
        </w:rPr>
        <w:t>vavatthāna</w:t>
      </w:r>
      <w:proofErr w:type="spellEnd"/>
      <w:r w:rsidRPr="005B6D62">
        <w:rPr>
          <w:lang w:val="es-PE"/>
        </w:rPr>
        <w:t>) III.6, 105; XI.27s.</w:t>
      </w:r>
    </w:p>
    <w:p w14:paraId="675B95D9" w14:textId="77777777" w:rsidR="00597DE2" w:rsidRPr="005B6D62" w:rsidRDefault="00597DE2" w:rsidP="00597DE2">
      <w:pPr>
        <w:pStyle w:val="ParrafoApendice"/>
        <w:rPr>
          <w:lang w:val="es-PE"/>
        </w:rPr>
      </w:pPr>
      <w:r w:rsidRPr="005B6D62">
        <w:rPr>
          <w:lang w:val="es-PE"/>
        </w:rPr>
        <w:t>definitorio, el (</w:t>
      </w:r>
      <w:proofErr w:type="spellStart"/>
      <w:r w:rsidRPr="005B6D62">
        <w:rPr>
          <w:i/>
          <w:iCs/>
          <w:lang w:val="es-PE"/>
        </w:rPr>
        <w:t>eka</w:t>
      </w:r>
      <w:proofErr w:type="spellEnd"/>
      <w:r w:rsidRPr="005B6D62">
        <w:rPr>
          <w:i/>
          <w:iCs/>
          <w:lang w:val="es-PE"/>
        </w:rPr>
        <w:t>–</w:t>
      </w:r>
      <w:proofErr w:type="spellStart"/>
      <w:r w:rsidRPr="005B6D62">
        <w:rPr>
          <w:i/>
          <w:iCs/>
          <w:lang w:val="es-PE"/>
        </w:rPr>
        <w:t>vavatthāna</w:t>
      </w:r>
      <w:proofErr w:type="spellEnd"/>
      <w:r w:rsidRPr="005B6D62">
        <w:rPr>
          <w:lang w:val="es-PE"/>
        </w:rPr>
        <w:t xml:space="preserve">) II.105 </w:t>
      </w:r>
    </w:p>
    <w:p w14:paraId="3F908DFC" w14:textId="77777777" w:rsidR="00597DE2" w:rsidRPr="005B6D62" w:rsidRDefault="00597DE2" w:rsidP="00597DE2">
      <w:pPr>
        <w:pStyle w:val="ParrafoApendice"/>
        <w:rPr>
          <w:lang w:val="es-PE"/>
        </w:rPr>
      </w:pPr>
      <w:r w:rsidRPr="005B6D62">
        <w:rPr>
          <w:lang w:val="es-PE"/>
        </w:rPr>
        <w:t>deidad (</w:t>
      </w:r>
      <w:r w:rsidRPr="005B6D62">
        <w:rPr>
          <w:i/>
          <w:iCs/>
          <w:lang w:val="es-PE"/>
        </w:rPr>
        <w:t>deva</w:t>
      </w:r>
      <w:r w:rsidRPr="005B6D62">
        <w:rPr>
          <w:lang w:val="es-PE"/>
        </w:rPr>
        <w:t xml:space="preserve">, </w:t>
      </w:r>
      <w:proofErr w:type="spellStart"/>
      <w:r w:rsidRPr="005B6D62">
        <w:rPr>
          <w:i/>
          <w:iCs/>
          <w:lang w:val="es-PE"/>
        </w:rPr>
        <w:t>devatā</w:t>
      </w:r>
      <w:proofErr w:type="spellEnd"/>
      <w:r w:rsidRPr="005B6D62">
        <w:rPr>
          <w:lang w:val="es-PE"/>
        </w:rPr>
        <w:t>) I.150; III.58, 118; VII.1, 59, 115s., n.14; IX.69; X.24; XI.97; XII.72; XIV.111, 193; XVII.134, 154</w:t>
      </w:r>
      <w:r w:rsidRPr="005B6D62">
        <w:rPr>
          <w:color w:val="833C0B" w:themeColor="accent2" w:themeShade="80"/>
          <w:u w:color="000000"/>
          <w:lang w:val="es-PE"/>
        </w:rPr>
        <w:t>s</w:t>
      </w:r>
      <w:r w:rsidRPr="005B6D62">
        <w:rPr>
          <w:lang w:val="es-PE"/>
        </w:rPr>
        <w:t>, 278, n.43; XX.15</w:t>
      </w:r>
    </w:p>
    <w:p w14:paraId="27A3C275" w14:textId="77777777" w:rsidR="00597DE2" w:rsidRPr="005B6D62" w:rsidRDefault="00597DE2" w:rsidP="00597DE2">
      <w:pPr>
        <w:pStyle w:val="ParrafoApendice"/>
        <w:rPr>
          <w:lang w:val="es-PE"/>
        </w:rPr>
      </w:pPr>
      <w:r w:rsidRPr="005B6D62">
        <w:rPr>
          <w:lang w:val="es-PE"/>
        </w:rPr>
        <w:t>delicado (</w:t>
      </w:r>
      <w:proofErr w:type="spellStart"/>
      <w:r w:rsidRPr="005B6D62">
        <w:rPr>
          <w:i/>
          <w:iCs/>
          <w:lang w:val="es-PE"/>
        </w:rPr>
        <w:t>niyyātita</w:t>
      </w:r>
      <w:proofErr w:type="spellEnd"/>
      <w:r w:rsidRPr="005B6D62">
        <w:rPr>
          <w:lang w:val="es-PE"/>
        </w:rPr>
        <w:t xml:space="preserve">) III.124 </w:t>
      </w:r>
    </w:p>
    <w:p w14:paraId="5067C809" w14:textId="77777777" w:rsidR="00597DE2" w:rsidRPr="005B6D62" w:rsidRDefault="00597DE2" w:rsidP="00597DE2">
      <w:pPr>
        <w:pStyle w:val="ParrafoApendice"/>
        <w:rPr>
          <w:lang w:val="es-PE"/>
        </w:rPr>
      </w:pPr>
      <w:r w:rsidRPr="005B6D62">
        <w:rPr>
          <w:lang w:val="es-PE"/>
        </w:rPr>
        <w:t>delimitación de las formaciones (</w:t>
      </w:r>
      <w:proofErr w:type="spellStart"/>
      <w:r w:rsidRPr="005B6D62">
        <w:rPr>
          <w:i/>
          <w:iCs/>
          <w:lang w:val="es-PE"/>
        </w:rPr>
        <w:t>saṅkhārapariccheda</w:t>
      </w:r>
      <w:proofErr w:type="spellEnd"/>
      <w:r w:rsidRPr="005B6D62">
        <w:rPr>
          <w:lang w:val="es-PE"/>
        </w:rPr>
        <w:t>) XVIII.37; XX.4; XXII.112</w:t>
      </w:r>
    </w:p>
    <w:p w14:paraId="3871F0B0" w14:textId="77777777" w:rsidR="00597DE2" w:rsidRPr="006D0608" w:rsidRDefault="00597DE2" w:rsidP="00597DE2">
      <w:pPr>
        <w:pStyle w:val="ParrafoApendice"/>
      </w:pPr>
      <w:proofErr w:type="spellStart"/>
      <w:r w:rsidRPr="006D0608">
        <w:t>denso</w:t>
      </w:r>
      <w:proofErr w:type="spellEnd"/>
      <w:r w:rsidRPr="006D0608">
        <w:t xml:space="preserve">, </w:t>
      </w:r>
      <w:proofErr w:type="spellStart"/>
      <w:r w:rsidRPr="006D0608">
        <w:t>burdo</w:t>
      </w:r>
      <w:proofErr w:type="spellEnd"/>
      <w:r w:rsidRPr="006D0608">
        <w:t xml:space="preserve"> (</w:t>
      </w:r>
      <w:proofErr w:type="spellStart"/>
      <w:r w:rsidRPr="006D0608">
        <w:rPr>
          <w:i/>
          <w:iCs/>
        </w:rPr>
        <w:t>oḷārika</w:t>
      </w:r>
      <w:proofErr w:type="spellEnd"/>
      <w:r w:rsidRPr="006D0608">
        <w:t>) VIII.176; XIV.72s, 192, 198, 203s.</w:t>
      </w:r>
    </w:p>
    <w:p w14:paraId="062B6D9A" w14:textId="77777777" w:rsidR="00597DE2" w:rsidRPr="005B6D62" w:rsidRDefault="00597DE2" w:rsidP="00597DE2">
      <w:pPr>
        <w:pStyle w:val="ParrafoApendice"/>
        <w:rPr>
          <w:lang w:val="es-PE"/>
        </w:rPr>
      </w:pPr>
      <w:r w:rsidRPr="005B6D62">
        <w:rPr>
          <w:lang w:val="es-PE"/>
        </w:rPr>
        <w:t>desaparición (</w:t>
      </w:r>
      <w:proofErr w:type="spellStart"/>
      <w:r w:rsidRPr="005B6D62">
        <w:rPr>
          <w:i/>
          <w:iCs/>
          <w:lang w:val="es-PE"/>
        </w:rPr>
        <w:t>vāya</w:t>
      </w:r>
      <w:proofErr w:type="spellEnd"/>
      <w:r w:rsidRPr="005B6D62">
        <w:rPr>
          <w:lang w:val="es-PE"/>
        </w:rPr>
        <w:t xml:space="preserve">) I.140; VIII.227, 231, 233; XIV.69; XV.15; XVI.35; XVII.102; XX.7, 94; XXI.6, 22. Consultar también </w:t>
      </w:r>
      <w:r w:rsidRPr="005B6D62">
        <w:rPr>
          <w:i/>
          <w:iCs/>
          <w:lang w:val="es-PE"/>
        </w:rPr>
        <w:t>surgimiento y d.</w:t>
      </w:r>
      <w:r w:rsidRPr="005B6D62">
        <w:rPr>
          <w:lang w:val="es-PE"/>
        </w:rPr>
        <w:t xml:space="preserve">, </w:t>
      </w:r>
      <w:r w:rsidRPr="005B6D62">
        <w:rPr>
          <w:i/>
          <w:iCs/>
          <w:lang w:val="es-PE"/>
        </w:rPr>
        <w:t>contemplación de la d</w:t>
      </w:r>
      <w:r w:rsidRPr="005B6D62">
        <w:rPr>
          <w:lang w:val="es-PE"/>
        </w:rPr>
        <w:t xml:space="preserve">., y </w:t>
      </w:r>
      <w:r w:rsidRPr="005B6D62">
        <w:rPr>
          <w:i/>
          <w:iCs/>
          <w:lang w:val="es-PE"/>
        </w:rPr>
        <w:t>contemplación del surgimiento y la d.</w:t>
      </w:r>
      <w:r w:rsidRPr="005B6D62">
        <w:rPr>
          <w:lang w:val="es-PE"/>
        </w:rPr>
        <w:t xml:space="preserve"> </w:t>
      </w:r>
    </w:p>
    <w:p w14:paraId="4B18625E" w14:textId="77777777" w:rsidR="00597DE2" w:rsidRPr="005B6D62" w:rsidRDefault="00597DE2" w:rsidP="00597DE2">
      <w:pPr>
        <w:pStyle w:val="ParrafoApendice"/>
        <w:rPr>
          <w:lang w:val="es-PE"/>
        </w:rPr>
      </w:pPr>
      <w:r w:rsidRPr="005B6D62">
        <w:rPr>
          <w:lang w:val="es-PE"/>
        </w:rPr>
        <w:t>desapasionamiento (</w:t>
      </w:r>
      <w:proofErr w:type="spellStart"/>
      <w:r w:rsidRPr="005B6D62">
        <w:rPr>
          <w:i/>
          <w:iCs/>
          <w:lang w:val="es-PE"/>
        </w:rPr>
        <w:t>nibbidā</w:t>
      </w:r>
      <w:proofErr w:type="spellEnd"/>
      <w:r w:rsidRPr="005B6D62">
        <w:rPr>
          <w:lang w:val="es-PE"/>
        </w:rPr>
        <w:t xml:space="preserve">) I.32, 140; III.22; VIII.224; X.52; XXI.26, 135. Consultar también </w:t>
      </w:r>
      <w:r w:rsidRPr="005B6D62">
        <w:rPr>
          <w:i/>
          <w:iCs/>
          <w:lang w:val="es-PE"/>
        </w:rPr>
        <w:t>contemplación del d</w:t>
      </w:r>
      <w:r w:rsidRPr="005B6D62">
        <w:rPr>
          <w:lang w:val="es-PE"/>
        </w:rPr>
        <w:t>.</w:t>
      </w:r>
    </w:p>
    <w:p w14:paraId="01829D8C" w14:textId="77777777" w:rsidR="00597DE2" w:rsidRPr="005B6D62" w:rsidRDefault="00597DE2" w:rsidP="00597DE2">
      <w:pPr>
        <w:pStyle w:val="ParrafoApendice"/>
        <w:rPr>
          <w:lang w:val="es-PE"/>
        </w:rPr>
      </w:pPr>
      <w:r w:rsidRPr="005B6D62">
        <w:rPr>
          <w:lang w:val="es-PE"/>
        </w:rPr>
        <w:t>desarrollo, en desarrollo (</w:t>
      </w:r>
      <w:proofErr w:type="spellStart"/>
      <w:r w:rsidRPr="005B6D62">
        <w:rPr>
          <w:i/>
          <w:iCs/>
          <w:lang w:val="es-PE"/>
        </w:rPr>
        <w:t>bhāvanā</w:t>
      </w:r>
      <w:proofErr w:type="spellEnd"/>
      <w:r w:rsidRPr="005B6D62">
        <w:rPr>
          <w:lang w:val="es-PE"/>
        </w:rPr>
        <w:t xml:space="preserve">) I.140; III.27s.; XIV.13, 206; XVI.95, 102; XVII.60, 76; XXII.92, 124, 128 </w:t>
      </w:r>
    </w:p>
    <w:p w14:paraId="0AE2BED5" w14:textId="77777777" w:rsidR="00597DE2" w:rsidRPr="00FC741B" w:rsidRDefault="00597DE2" w:rsidP="00597DE2">
      <w:pPr>
        <w:pStyle w:val="ParrafoApendice"/>
        <w:rPr>
          <w:lang w:val="es-PE"/>
        </w:rPr>
      </w:pPr>
      <w:r w:rsidRPr="00FC741B">
        <w:rPr>
          <w:lang w:val="es-PE"/>
        </w:rPr>
        <w:t>desconocido/a</w:t>
      </w:r>
      <w:r>
        <w:rPr>
          <w:lang w:val="es-PE"/>
        </w:rPr>
        <w:t>, desconocimiento</w:t>
      </w:r>
      <w:r w:rsidRPr="00FC741B">
        <w:rPr>
          <w:lang w:val="es-PE"/>
        </w:rPr>
        <w:t xml:space="preserve"> (</w:t>
      </w:r>
      <w:proofErr w:type="spellStart"/>
      <w:r w:rsidRPr="00FC741B">
        <w:rPr>
          <w:i/>
          <w:iCs/>
          <w:lang w:val="es-PE"/>
        </w:rPr>
        <w:t>aññāṇa</w:t>
      </w:r>
      <w:proofErr w:type="spellEnd"/>
      <w:r w:rsidRPr="00FC741B">
        <w:rPr>
          <w:lang w:val="es-PE"/>
        </w:rPr>
        <w:t xml:space="preserve">) I.57; IX.96, </w:t>
      </w:r>
      <w:r w:rsidRPr="008F040A">
        <w:rPr>
          <w:color w:val="833C0B" w:themeColor="accent2" w:themeShade="80"/>
          <w:lang w:val="es-PE"/>
        </w:rPr>
        <w:t>101</w:t>
      </w:r>
      <w:r w:rsidRPr="00FC741B">
        <w:rPr>
          <w:lang w:val="es-PE"/>
        </w:rPr>
        <w:t xml:space="preserve"> </w:t>
      </w:r>
    </w:p>
    <w:p w14:paraId="37BFA2FC" w14:textId="77777777" w:rsidR="00597DE2" w:rsidRPr="005B6D62" w:rsidRDefault="00597DE2" w:rsidP="00597DE2">
      <w:pPr>
        <w:pStyle w:val="ParrafoApendice"/>
        <w:rPr>
          <w:lang w:val="es-PE"/>
        </w:rPr>
      </w:pPr>
      <w:r w:rsidRPr="005B6D62">
        <w:rPr>
          <w:lang w:val="es-PE"/>
        </w:rPr>
        <w:t>deseable (</w:t>
      </w:r>
      <w:proofErr w:type="spellStart"/>
      <w:r w:rsidRPr="005B6D62">
        <w:rPr>
          <w:i/>
          <w:iCs/>
          <w:lang w:val="es-PE"/>
        </w:rPr>
        <w:t>iṭṭha</w:t>
      </w:r>
      <w:proofErr w:type="spellEnd"/>
      <w:r w:rsidRPr="005B6D62">
        <w:rPr>
          <w:lang w:val="es-PE"/>
        </w:rPr>
        <w:t xml:space="preserve">) XVII.127, 178 </w:t>
      </w:r>
    </w:p>
    <w:p w14:paraId="4DDC65F7" w14:textId="77777777" w:rsidR="00597DE2" w:rsidRPr="005B6D62" w:rsidRDefault="00597DE2" w:rsidP="00597DE2">
      <w:pPr>
        <w:pStyle w:val="ParrafoApendice"/>
        <w:rPr>
          <w:lang w:val="es-PE"/>
        </w:rPr>
      </w:pPr>
      <w:r w:rsidRPr="005B6D62">
        <w:rPr>
          <w:lang w:val="es-PE"/>
        </w:rPr>
        <w:t>deseo (</w:t>
      </w:r>
      <w:proofErr w:type="spellStart"/>
      <w:r w:rsidRPr="005B6D62">
        <w:rPr>
          <w:i/>
          <w:iCs/>
          <w:lang w:val="es-PE"/>
        </w:rPr>
        <w:t>paṇidhi</w:t>
      </w:r>
      <w:proofErr w:type="spellEnd"/>
      <w:r w:rsidRPr="005B6D62">
        <w:rPr>
          <w:lang w:val="es-PE"/>
        </w:rPr>
        <w:t>) I.140; XX.90; XXI.73, 122; XXII.113, 117 deseo, sensualidad, ver d. sensual</w:t>
      </w:r>
    </w:p>
    <w:p w14:paraId="1B4090BF" w14:textId="77777777" w:rsidR="00597DE2" w:rsidRPr="005B6D62" w:rsidRDefault="00597DE2" w:rsidP="00597DE2">
      <w:pPr>
        <w:pStyle w:val="ParrafoApendice"/>
        <w:rPr>
          <w:lang w:val="es-PE"/>
        </w:rPr>
      </w:pPr>
      <w:r w:rsidRPr="005B6D62">
        <w:rPr>
          <w:lang w:val="es-PE"/>
        </w:rPr>
        <w:t>deseo (</w:t>
      </w:r>
      <w:proofErr w:type="spellStart"/>
      <w:r w:rsidRPr="005B6D62">
        <w:rPr>
          <w:i/>
          <w:iCs/>
          <w:lang w:val="es-PE"/>
        </w:rPr>
        <w:t>tanhā</w:t>
      </w:r>
      <w:proofErr w:type="spellEnd"/>
      <w:r w:rsidRPr="005B6D62">
        <w:rPr>
          <w:lang w:val="es-PE"/>
        </w:rPr>
        <w:t xml:space="preserve">) I.2, 13; III.17, 78; IV.87; VII.7s., 15, 27s., 59, n.25; VIII.247; XI.26; XIV.162, n.14; XVI.23, 28, 31, 61, 86, 93; XVII.37, 48, 51, 163, 233s., 286, 292; XIX.4, 13; XX.9, 82, 97, 125; XXI.19 </w:t>
      </w:r>
    </w:p>
    <w:p w14:paraId="16FDA4F7" w14:textId="77777777" w:rsidR="00597DE2" w:rsidRPr="005B6D62" w:rsidRDefault="00597DE2" w:rsidP="00597DE2">
      <w:pPr>
        <w:pStyle w:val="ParrafoApendice"/>
        <w:rPr>
          <w:lang w:val="es-PE"/>
        </w:rPr>
      </w:pPr>
      <w:r w:rsidRPr="005B6D62">
        <w:rPr>
          <w:lang w:val="es-PE"/>
        </w:rPr>
        <w:t>deseo por la liberación (</w:t>
      </w:r>
      <w:proofErr w:type="spellStart"/>
      <w:r w:rsidRPr="005B6D62">
        <w:rPr>
          <w:i/>
          <w:iCs/>
          <w:lang w:val="es-PE"/>
        </w:rPr>
        <w:t>muccitukamyatā</w:t>
      </w:r>
      <w:proofErr w:type="spellEnd"/>
      <w:r w:rsidRPr="005B6D62">
        <w:rPr>
          <w:lang w:val="es-PE"/>
        </w:rPr>
        <w:t>) XXI.45, 79, 99, 131s.</w:t>
      </w:r>
    </w:p>
    <w:p w14:paraId="1BAE4657" w14:textId="77777777" w:rsidR="00597DE2" w:rsidRPr="00575DEA" w:rsidRDefault="00597DE2" w:rsidP="00597DE2">
      <w:pPr>
        <w:pStyle w:val="ParrafoApendice"/>
        <w:rPr>
          <w:lang w:val="es-PE"/>
        </w:rPr>
      </w:pPr>
      <w:r w:rsidRPr="00575DEA">
        <w:rPr>
          <w:lang w:val="es-PE"/>
        </w:rPr>
        <w:t xml:space="preserve">deseo sensorial, </w:t>
      </w:r>
      <w:r>
        <w:rPr>
          <w:lang w:val="es-PE"/>
        </w:rPr>
        <w:t>deseo sensual</w:t>
      </w:r>
      <w:r w:rsidRPr="00575DEA">
        <w:rPr>
          <w:lang w:val="es-PE"/>
        </w:rPr>
        <w:t xml:space="preserve"> (</w:t>
      </w:r>
      <w:proofErr w:type="spellStart"/>
      <w:r w:rsidRPr="00575DEA">
        <w:rPr>
          <w:i/>
          <w:iCs/>
          <w:lang w:val="es-PE"/>
        </w:rPr>
        <w:t>kāma</w:t>
      </w:r>
      <w:proofErr w:type="spellEnd"/>
      <w:r w:rsidRPr="00575DEA">
        <w:rPr>
          <w:lang w:val="es-PE"/>
        </w:rPr>
        <w:t>) III.26; IV.82</w:t>
      </w:r>
      <w:r>
        <w:rPr>
          <w:lang w:val="es-PE"/>
        </w:rPr>
        <w:t>s</w:t>
      </w:r>
      <w:r w:rsidRPr="00575DEA">
        <w:rPr>
          <w:lang w:val="es-PE"/>
        </w:rPr>
        <w:t>., n.24; VII.n.4; XIV.91, 226, n.36; XV.27; XVI.93; XVII.63, 240</w:t>
      </w:r>
      <w:r>
        <w:rPr>
          <w:lang w:val="es-PE"/>
        </w:rPr>
        <w:t>s</w:t>
      </w:r>
      <w:r w:rsidRPr="00575DEA">
        <w:rPr>
          <w:lang w:val="es-PE"/>
        </w:rPr>
        <w:t xml:space="preserve">., 262; XXI.n.13; XXII.48 </w:t>
      </w:r>
    </w:p>
    <w:p w14:paraId="07CD2A56" w14:textId="77777777" w:rsidR="00597DE2" w:rsidRPr="00E93A50" w:rsidRDefault="00597DE2" w:rsidP="00597DE2">
      <w:pPr>
        <w:pStyle w:val="ParrafoApendice"/>
        <w:rPr>
          <w:lang w:val="es-PE"/>
        </w:rPr>
      </w:pPr>
      <w:r w:rsidRPr="00E93A50">
        <w:rPr>
          <w:lang w:val="es-PE"/>
        </w:rPr>
        <w:t xml:space="preserve">deseos, ver </w:t>
      </w:r>
      <w:r w:rsidRPr="00E93A50">
        <w:rPr>
          <w:i/>
          <w:iCs/>
          <w:lang w:val="es-PE"/>
        </w:rPr>
        <w:t>maldad de los deseos</w:t>
      </w:r>
      <w:r w:rsidRPr="00E93A50">
        <w:rPr>
          <w:lang w:val="es-PE"/>
        </w:rPr>
        <w:t xml:space="preserve"> &amp; </w:t>
      </w:r>
      <w:r w:rsidRPr="00E93A50">
        <w:rPr>
          <w:i/>
          <w:iCs/>
          <w:lang w:val="es-PE"/>
        </w:rPr>
        <w:t>carestía de deseos</w:t>
      </w:r>
      <w:r w:rsidRPr="00E93A50">
        <w:rPr>
          <w:lang w:val="es-PE"/>
        </w:rPr>
        <w:t>.</w:t>
      </w:r>
      <w:r>
        <w:rPr>
          <w:lang w:val="es-PE"/>
        </w:rPr>
        <w:br w:type="column"/>
      </w:r>
    </w:p>
    <w:p w14:paraId="64DDD798" w14:textId="77777777" w:rsidR="00597DE2" w:rsidRPr="005B6D62" w:rsidRDefault="00597DE2" w:rsidP="00597DE2">
      <w:pPr>
        <w:pStyle w:val="ParrafoApendice"/>
        <w:rPr>
          <w:lang w:val="es-PE"/>
        </w:rPr>
      </w:pPr>
      <w:r w:rsidRPr="005B6D62">
        <w:rPr>
          <w:lang w:val="es-PE"/>
        </w:rPr>
        <w:t>desesperación (</w:t>
      </w:r>
      <w:proofErr w:type="spellStart"/>
      <w:r w:rsidRPr="005B6D62">
        <w:rPr>
          <w:i/>
          <w:iCs/>
          <w:lang w:val="es-PE"/>
        </w:rPr>
        <w:t>upāyāsa</w:t>
      </w:r>
      <w:proofErr w:type="spellEnd"/>
      <w:r w:rsidRPr="005B6D62">
        <w:rPr>
          <w:lang w:val="es-PE"/>
        </w:rPr>
        <w:t xml:space="preserve">) XVI.31, 52s.; XVII.2, 48 </w:t>
      </w:r>
    </w:p>
    <w:p w14:paraId="2DA4BE75" w14:textId="77777777" w:rsidR="00597DE2" w:rsidRPr="001E0243" w:rsidRDefault="00597DE2" w:rsidP="00597DE2">
      <w:pPr>
        <w:pStyle w:val="ParrafoApendice"/>
        <w:rPr>
          <w:lang w:val="es-PE"/>
        </w:rPr>
      </w:pPr>
      <w:r w:rsidRPr="001E0243">
        <w:rPr>
          <w:lang w:val="es-PE"/>
        </w:rPr>
        <w:t>desiertos del corazón (</w:t>
      </w:r>
      <w:proofErr w:type="spellStart"/>
      <w:r w:rsidRPr="001E0243">
        <w:rPr>
          <w:i/>
          <w:iCs/>
          <w:lang w:val="es-PE"/>
        </w:rPr>
        <w:t>ceto</w:t>
      </w:r>
      <w:proofErr w:type="spellEnd"/>
      <w:r w:rsidRPr="001E0243">
        <w:rPr>
          <w:i/>
          <w:iCs/>
          <w:lang w:val="es-PE"/>
        </w:rPr>
        <w:t>–</w:t>
      </w:r>
      <w:proofErr w:type="spellStart"/>
      <w:r w:rsidRPr="001E0243">
        <w:rPr>
          <w:i/>
          <w:iCs/>
          <w:lang w:val="es-PE"/>
        </w:rPr>
        <w:t>khila</w:t>
      </w:r>
      <w:proofErr w:type="spellEnd"/>
      <w:r w:rsidRPr="001E0243">
        <w:rPr>
          <w:lang w:val="es-PE"/>
        </w:rPr>
        <w:t xml:space="preserve">) VII.59 </w:t>
      </w:r>
    </w:p>
    <w:p w14:paraId="242B58FC" w14:textId="77777777" w:rsidR="00597DE2" w:rsidRPr="003E0982" w:rsidRDefault="00597DE2" w:rsidP="00597DE2">
      <w:pPr>
        <w:pStyle w:val="ParrafoApendice"/>
        <w:rPr>
          <w:lang w:val="es-PE"/>
        </w:rPr>
      </w:pPr>
      <w:r w:rsidRPr="003E0982">
        <w:rPr>
          <w:lang w:val="es-PE"/>
        </w:rPr>
        <w:t>desinterés (</w:t>
      </w:r>
      <w:proofErr w:type="spellStart"/>
      <w:r w:rsidRPr="003E0982">
        <w:rPr>
          <w:i/>
          <w:iCs/>
          <w:lang w:val="es-PE"/>
        </w:rPr>
        <w:t>avyāpāra</w:t>
      </w:r>
      <w:proofErr w:type="spellEnd"/>
      <w:r w:rsidRPr="003E0982">
        <w:rPr>
          <w:lang w:val="es-PE"/>
        </w:rPr>
        <w:t>) XVII.312, n.14; XX.102</w:t>
      </w:r>
    </w:p>
    <w:p w14:paraId="2E018427" w14:textId="77777777" w:rsidR="00597DE2" w:rsidRPr="0004207D" w:rsidRDefault="00597DE2" w:rsidP="00597DE2">
      <w:pPr>
        <w:pStyle w:val="ParrafoApendice"/>
        <w:rPr>
          <w:lang w:val="es-PE"/>
        </w:rPr>
      </w:pPr>
      <w:r w:rsidRPr="0004207D">
        <w:rPr>
          <w:lang w:val="es-PE"/>
        </w:rPr>
        <w:t>despreocupado (</w:t>
      </w:r>
      <w:proofErr w:type="spellStart"/>
      <w:r w:rsidRPr="0004207D">
        <w:rPr>
          <w:i/>
          <w:iCs/>
          <w:lang w:val="es-PE"/>
        </w:rPr>
        <w:t>anābhoga</w:t>
      </w:r>
      <w:proofErr w:type="spellEnd"/>
      <w:r w:rsidRPr="0004207D">
        <w:rPr>
          <w:lang w:val="es-PE"/>
        </w:rPr>
        <w:t>) IV.171; IX.108</w:t>
      </w:r>
    </w:p>
    <w:p w14:paraId="0B37A663" w14:textId="77777777" w:rsidR="00597DE2" w:rsidRPr="005B6D62" w:rsidRDefault="00597DE2" w:rsidP="00597DE2">
      <w:pPr>
        <w:pStyle w:val="ParrafoApendice"/>
        <w:rPr>
          <w:lang w:val="es-PE"/>
        </w:rPr>
      </w:pPr>
      <w:r w:rsidRPr="005B6D62">
        <w:rPr>
          <w:lang w:val="es-PE"/>
        </w:rPr>
        <w:t>destino (</w:t>
      </w:r>
      <w:proofErr w:type="spellStart"/>
      <w:r w:rsidRPr="005B6D62">
        <w:rPr>
          <w:i/>
          <w:iCs/>
          <w:lang w:val="es-PE"/>
        </w:rPr>
        <w:t>niyati</w:t>
      </w:r>
      <w:proofErr w:type="spellEnd"/>
      <w:r w:rsidRPr="005B6D62">
        <w:rPr>
          <w:lang w:val="es-PE"/>
        </w:rPr>
        <w:t xml:space="preserve">) XVII.117 </w:t>
      </w:r>
    </w:p>
    <w:p w14:paraId="70F6CBC0" w14:textId="77777777" w:rsidR="00597DE2" w:rsidRPr="005B6D62" w:rsidRDefault="00597DE2" w:rsidP="00597DE2">
      <w:pPr>
        <w:pStyle w:val="ParrafoApendice"/>
        <w:rPr>
          <w:lang w:val="es-PE"/>
        </w:rPr>
      </w:pPr>
      <w:r w:rsidRPr="005B6D62">
        <w:rPr>
          <w:lang w:val="es-PE"/>
        </w:rPr>
        <w:t>destino feliz (</w:t>
      </w:r>
      <w:proofErr w:type="spellStart"/>
      <w:r w:rsidRPr="005B6D62">
        <w:rPr>
          <w:i/>
          <w:iCs/>
          <w:lang w:val="es-PE"/>
        </w:rPr>
        <w:t>sugati</w:t>
      </w:r>
      <w:proofErr w:type="spellEnd"/>
      <w:r w:rsidRPr="005B6D62">
        <w:rPr>
          <w:lang w:val="es-PE"/>
        </w:rPr>
        <w:t>) XVII</w:t>
      </w:r>
      <w:r w:rsidRPr="005B6D62">
        <w:rPr>
          <w:color w:val="833C0B" w:themeColor="accent2" w:themeShade="80"/>
          <w:u w:color="000000"/>
          <w:lang w:val="es-PE"/>
        </w:rPr>
        <w:t>.38s</w:t>
      </w:r>
      <w:r w:rsidRPr="005B6D62">
        <w:rPr>
          <w:lang w:val="es-PE"/>
        </w:rPr>
        <w:t xml:space="preserve">, 135s., 160 </w:t>
      </w:r>
    </w:p>
    <w:p w14:paraId="46F36FE6" w14:textId="77777777" w:rsidR="00597DE2" w:rsidRPr="005B6D62" w:rsidRDefault="00597DE2" w:rsidP="00597DE2">
      <w:pPr>
        <w:pStyle w:val="ParrafoApendice"/>
        <w:rPr>
          <w:lang w:val="es-PE"/>
        </w:rPr>
      </w:pPr>
      <w:r w:rsidRPr="005B6D62">
        <w:rPr>
          <w:lang w:val="es-PE"/>
        </w:rPr>
        <w:t>destino, destinación (</w:t>
      </w:r>
      <w:proofErr w:type="spellStart"/>
      <w:r w:rsidRPr="005B6D62">
        <w:rPr>
          <w:i/>
          <w:iCs/>
          <w:lang w:val="es-PE"/>
        </w:rPr>
        <w:t>gati</w:t>
      </w:r>
      <w:proofErr w:type="spellEnd"/>
      <w:r w:rsidRPr="005B6D62">
        <w:rPr>
          <w:lang w:val="es-PE"/>
        </w:rPr>
        <w:t xml:space="preserve">) VIII.34; XIII.69, 92s.; XIV.111, 113; XVII.135, 148, 160 </w:t>
      </w:r>
    </w:p>
    <w:p w14:paraId="04189ACF" w14:textId="77777777" w:rsidR="00597DE2" w:rsidRPr="007838C8" w:rsidRDefault="00597DE2" w:rsidP="00597DE2">
      <w:pPr>
        <w:pStyle w:val="ParrafoApendice"/>
        <w:rPr>
          <w:lang w:val="es-PE"/>
        </w:rPr>
      </w:pPr>
      <w:r w:rsidRPr="007838C8">
        <w:rPr>
          <w:lang w:val="es-PE"/>
        </w:rPr>
        <w:t>destinos infe</w:t>
      </w:r>
      <w:r>
        <w:rPr>
          <w:lang w:val="es-PE"/>
        </w:rPr>
        <w:t>lices</w:t>
      </w:r>
      <w:r w:rsidRPr="007838C8">
        <w:rPr>
          <w:lang w:val="es-PE"/>
        </w:rPr>
        <w:t xml:space="preserve"> (</w:t>
      </w:r>
      <w:proofErr w:type="spellStart"/>
      <w:r w:rsidRPr="007838C8">
        <w:rPr>
          <w:i/>
          <w:iCs/>
          <w:lang w:val="es-PE"/>
        </w:rPr>
        <w:t>duggati</w:t>
      </w:r>
      <w:proofErr w:type="spellEnd"/>
      <w:r w:rsidRPr="007838C8">
        <w:rPr>
          <w:lang w:val="es-PE"/>
        </w:rPr>
        <w:t>) XVII.135</w:t>
      </w:r>
      <w:r>
        <w:rPr>
          <w:lang w:val="es-PE"/>
        </w:rPr>
        <w:t>s</w:t>
      </w:r>
      <w:r w:rsidRPr="007838C8">
        <w:rPr>
          <w:lang w:val="es-PE"/>
        </w:rPr>
        <w:t>., 160</w:t>
      </w:r>
    </w:p>
    <w:p w14:paraId="3EF798EB" w14:textId="77777777" w:rsidR="00597DE2" w:rsidRPr="005B6D62" w:rsidRDefault="00597DE2" w:rsidP="00597DE2">
      <w:pPr>
        <w:pStyle w:val="ParrafoApendice"/>
        <w:rPr>
          <w:lang w:val="es-PE"/>
        </w:rPr>
      </w:pPr>
      <w:r w:rsidRPr="005B6D62">
        <w:rPr>
          <w:lang w:val="es-PE"/>
        </w:rPr>
        <w:t>destrucción (</w:t>
      </w:r>
      <w:proofErr w:type="spellStart"/>
      <w:r w:rsidRPr="005B6D62">
        <w:rPr>
          <w:i/>
          <w:iCs/>
          <w:lang w:val="es-PE"/>
        </w:rPr>
        <w:t>khaya</w:t>
      </w:r>
      <w:proofErr w:type="spellEnd"/>
      <w:r w:rsidRPr="005B6D62">
        <w:rPr>
          <w:lang w:val="es-PE"/>
        </w:rPr>
        <w:t>) I.140; VIII.227, 231, 233; X.38; XI.104; XIV.69; XVI.69; XVII.102; XX.14, 21, 40; XXI.10, 24, 69; XXII.122. Ver también contemplación de la destrucción de la d.</w:t>
      </w:r>
    </w:p>
    <w:p w14:paraId="3BB23F2C" w14:textId="77777777" w:rsidR="00597DE2" w:rsidRPr="005B6D62" w:rsidRDefault="00597DE2" w:rsidP="00597DE2">
      <w:pPr>
        <w:pStyle w:val="ParrafoApendice"/>
        <w:rPr>
          <w:lang w:val="es-PE"/>
        </w:rPr>
      </w:pPr>
      <w:r w:rsidRPr="005B6D62">
        <w:rPr>
          <w:lang w:val="es-PE"/>
        </w:rPr>
        <w:t>desvanecimiento (</w:t>
      </w:r>
      <w:proofErr w:type="spellStart"/>
      <w:r w:rsidRPr="005B6D62">
        <w:rPr>
          <w:i/>
          <w:iCs/>
          <w:lang w:val="es-PE"/>
        </w:rPr>
        <w:t>virāga</w:t>
      </w:r>
      <w:proofErr w:type="spellEnd"/>
      <w:r w:rsidRPr="005B6D62">
        <w:rPr>
          <w:lang w:val="es-PE"/>
        </w:rPr>
        <w:t xml:space="preserve">) I.32, 140; VIII.235, 245; XX.7; XXI.11. Consultar también </w:t>
      </w:r>
      <w:r w:rsidRPr="005B6D62">
        <w:rPr>
          <w:i/>
          <w:iCs/>
          <w:lang w:val="es-PE"/>
        </w:rPr>
        <w:t>la contemplación del d.</w:t>
      </w:r>
      <w:r w:rsidRPr="005B6D62">
        <w:rPr>
          <w:lang w:val="es-PE"/>
        </w:rPr>
        <w:t xml:space="preserve"> </w:t>
      </w:r>
    </w:p>
    <w:p w14:paraId="402E3F9E" w14:textId="77777777" w:rsidR="00597DE2" w:rsidRPr="005B6D62" w:rsidRDefault="00597DE2" w:rsidP="00597DE2">
      <w:pPr>
        <w:pStyle w:val="ParrafoApendice"/>
        <w:rPr>
          <w:lang w:val="es-PE"/>
        </w:rPr>
      </w:pPr>
      <w:r w:rsidRPr="005B6D62">
        <w:rPr>
          <w:color w:val="833C0B" w:themeColor="accent2" w:themeShade="80"/>
          <w:u w:color="000000"/>
          <w:lang w:val="es-PE"/>
        </w:rPr>
        <w:t>desvergüenza</w:t>
      </w:r>
      <w:r w:rsidRPr="005B6D62">
        <w:rPr>
          <w:lang w:val="es-PE"/>
        </w:rPr>
        <w:t xml:space="preserve"> (</w:t>
      </w:r>
      <w:proofErr w:type="spellStart"/>
      <w:r w:rsidRPr="005B6D62">
        <w:rPr>
          <w:i/>
          <w:iCs/>
          <w:lang w:val="es-PE"/>
        </w:rPr>
        <w:t>ahiri</w:t>
      </w:r>
      <w:proofErr w:type="spellEnd"/>
      <w:r w:rsidRPr="005B6D62">
        <w:rPr>
          <w:lang w:val="es-PE"/>
        </w:rPr>
        <w:t xml:space="preserve">) VII.59; XIV.159, 170, 176; XXII.49 </w:t>
      </w:r>
    </w:p>
    <w:p w14:paraId="494B78EC" w14:textId="77777777" w:rsidR="00597DE2" w:rsidRPr="005B6D62" w:rsidRDefault="00597DE2" w:rsidP="00597DE2">
      <w:pPr>
        <w:pStyle w:val="ParrafoApendice"/>
        <w:rPr>
          <w:lang w:val="es-PE"/>
        </w:rPr>
      </w:pPr>
      <w:r w:rsidRPr="005B6D62">
        <w:rPr>
          <w:lang w:val="es-PE"/>
        </w:rPr>
        <w:t>determinación (</w:t>
      </w:r>
      <w:proofErr w:type="spellStart"/>
      <w:r w:rsidRPr="005B6D62">
        <w:rPr>
          <w:i/>
          <w:iCs/>
          <w:lang w:val="es-PE"/>
        </w:rPr>
        <w:t>voṭṭhapana</w:t>
      </w:r>
      <w:proofErr w:type="spellEnd"/>
      <w:r w:rsidRPr="005B6D62">
        <w:rPr>
          <w:lang w:val="es-PE"/>
        </w:rPr>
        <w:t>) I.57; IV.n.13; XIV.108, 120; XV.36; XVII.138; XX.44</w:t>
      </w:r>
    </w:p>
    <w:p w14:paraId="6F6ADE7B" w14:textId="77777777" w:rsidR="00597DE2" w:rsidRPr="005B6D62" w:rsidRDefault="00597DE2" w:rsidP="00597DE2">
      <w:pPr>
        <w:pStyle w:val="ParrafoApendice"/>
        <w:rPr>
          <w:lang w:val="es-PE"/>
        </w:rPr>
      </w:pPr>
      <w:r w:rsidRPr="005B6D62">
        <w:rPr>
          <w:lang w:val="es-PE"/>
        </w:rPr>
        <w:t xml:space="preserve">Deva </w:t>
      </w:r>
      <w:proofErr w:type="spellStart"/>
      <w:r w:rsidRPr="005B6D62">
        <w:rPr>
          <w:lang w:val="es-PE"/>
        </w:rPr>
        <w:t>Thera</w:t>
      </w:r>
      <w:proofErr w:type="spellEnd"/>
      <w:r w:rsidRPr="005B6D62">
        <w:rPr>
          <w:lang w:val="es-PE"/>
        </w:rPr>
        <w:t xml:space="preserve">, Mahā VIII.49 </w:t>
      </w:r>
    </w:p>
    <w:p w14:paraId="71E61256" w14:textId="77777777" w:rsidR="00597DE2" w:rsidRPr="005B6D62" w:rsidRDefault="00597DE2" w:rsidP="00597DE2">
      <w:pPr>
        <w:pStyle w:val="ParrafoApendice"/>
        <w:rPr>
          <w:lang w:val="es-PE"/>
        </w:rPr>
      </w:pPr>
      <w:r w:rsidRPr="005B6D62">
        <w:rPr>
          <w:lang w:val="es-PE"/>
        </w:rPr>
        <w:t>Devadatta XII.138</w:t>
      </w:r>
    </w:p>
    <w:p w14:paraId="225A5E9C" w14:textId="77777777" w:rsidR="00597DE2" w:rsidRPr="005B6D62" w:rsidRDefault="00597DE2" w:rsidP="00597DE2">
      <w:pPr>
        <w:pStyle w:val="ParrafoApendice"/>
        <w:rPr>
          <w:lang w:val="es-PE"/>
        </w:rPr>
      </w:pPr>
      <w:proofErr w:type="spellStart"/>
      <w:r w:rsidRPr="005B6D62">
        <w:rPr>
          <w:lang w:val="es-PE"/>
        </w:rPr>
        <w:t>Devaputtaraṭṭha</w:t>
      </w:r>
      <w:proofErr w:type="spellEnd"/>
      <w:r w:rsidRPr="005B6D62">
        <w:rPr>
          <w:lang w:val="es-PE"/>
        </w:rPr>
        <w:t xml:space="preserve"> VIII.243 </w:t>
      </w:r>
    </w:p>
    <w:p w14:paraId="7FEC59C4" w14:textId="77777777" w:rsidR="00597DE2" w:rsidRPr="005B6D62" w:rsidRDefault="00597DE2" w:rsidP="00597DE2">
      <w:pPr>
        <w:pStyle w:val="ParrafoApendice"/>
        <w:rPr>
          <w:u w:color="000000"/>
          <w:lang w:val="es-PE"/>
        </w:rPr>
      </w:pPr>
      <w:r w:rsidRPr="005B6D62">
        <w:rPr>
          <w:lang w:val="es-PE"/>
        </w:rPr>
        <w:t>devenir (</w:t>
      </w:r>
      <w:proofErr w:type="spellStart"/>
      <w:r w:rsidRPr="005B6D62">
        <w:rPr>
          <w:i/>
          <w:iCs/>
          <w:lang w:val="es-PE"/>
        </w:rPr>
        <w:t>bhava</w:t>
      </w:r>
      <w:proofErr w:type="spellEnd"/>
      <w:r w:rsidRPr="005B6D62">
        <w:rPr>
          <w:lang w:val="es-PE"/>
        </w:rPr>
        <w:t xml:space="preserve">) I.32; IV.78; VII.15, 28, n.6; VIII.241; XI.2; XIII.28, 69, 114; </w:t>
      </w:r>
      <w:r w:rsidRPr="005B6D62">
        <w:rPr>
          <w:u w:color="000000"/>
          <w:lang w:val="es-PE"/>
        </w:rPr>
        <w:t>XIV.112, 124, 227; XVI.34, 92;</w:t>
      </w:r>
      <w:r w:rsidRPr="005B6D62">
        <w:rPr>
          <w:color w:val="833C0B" w:themeColor="accent2" w:themeShade="80"/>
          <w:u w:color="000000"/>
          <w:lang w:val="es-PE"/>
        </w:rPr>
        <w:t xml:space="preserve"> XVII.2 {N.H.}, </w:t>
      </w:r>
      <w:r w:rsidRPr="005B6D62">
        <w:rPr>
          <w:u w:color="000000"/>
          <w:lang w:val="es-PE"/>
        </w:rPr>
        <w:t>37, 40, 48, 51, 126, 162, 176, 235, 250s., 273s., 292, n.20;</w:t>
      </w:r>
      <w:r w:rsidRPr="005B6D62">
        <w:rPr>
          <w:color w:val="833C0B" w:themeColor="accent2" w:themeShade="80"/>
          <w:u w:color="000000"/>
          <w:lang w:val="es-PE"/>
        </w:rPr>
        <w:t xml:space="preserve"> </w:t>
      </w:r>
      <w:r w:rsidRPr="005B6D62">
        <w:rPr>
          <w:u w:color="000000"/>
          <w:lang w:val="es-PE"/>
        </w:rPr>
        <w:t xml:space="preserve">XVIII.30; XIX.13; XX.9; XXI.34s.; XXII.56; XXIII.29 </w:t>
      </w:r>
    </w:p>
    <w:p w14:paraId="293C9EE7" w14:textId="77777777" w:rsidR="00597DE2" w:rsidRPr="005B6D62" w:rsidRDefault="00597DE2" w:rsidP="00597DE2">
      <w:pPr>
        <w:pStyle w:val="ParrafoApendice"/>
        <w:rPr>
          <w:lang w:val="es-PE"/>
        </w:rPr>
      </w:pPr>
      <w:r w:rsidRPr="005B6D62">
        <w:rPr>
          <w:lang w:val="es-PE"/>
        </w:rPr>
        <w:t>devenir de la materia sutil (</w:t>
      </w:r>
      <w:r w:rsidRPr="005B6D62">
        <w:rPr>
          <w:i/>
          <w:iCs/>
          <w:lang w:val="es-PE"/>
        </w:rPr>
        <w:t>rūpa–</w:t>
      </w:r>
      <w:proofErr w:type="spellStart"/>
      <w:r w:rsidRPr="005B6D62">
        <w:rPr>
          <w:i/>
          <w:iCs/>
          <w:lang w:val="es-PE"/>
        </w:rPr>
        <w:t>bhava</w:t>
      </w:r>
      <w:proofErr w:type="spellEnd"/>
      <w:r w:rsidRPr="005B6D62">
        <w:rPr>
          <w:lang w:val="es-PE"/>
        </w:rPr>
        <w:t>) IV.78; VII.9s.; VIII.241; esfera de la materia sutil (</w:t>
      </w:r>
      <w:proofErr w:type="spellStart"/>
      <w:r w:rsidRPr="005B6D62">
        <w:rPr>
          <w:i/>
          <w:iCs/>
          <w:lang w:val="es-PE"/>
        </w:rPr>
        <w:t>rūpāvacara</w:t>
      </w:r>
      <w:proofErr w:type="spellEnd"/>
      <w:r w:rsidRPr="005B6D62">
        <w:rPr>
          <w:lang w:val="es-PE"/>
        </w:rPr>
        <w:t>) III.13, 23; IV.74, 138; X.2s., 18; XIII.5; XIV.15, 86, 104, 112, 127, 157, 182, n.36; XVI.92; XX.31</w:t>
      </w:r>
    </w:p>
    <w:p w14:paraId="15A8D093" w14:textId="77777777" w:rsidR="00597DE2" w:rsidRPr="005B6D62" w:rsidRDefault="00597DE2" w:rsidP="00597DE2">
      <w:pPr>
        <w:pStyle w:val="ParrafoApendice"/>
        <w:rPr>
          <w:lang w:val="es-PE"/>
        </w:rPr>
      </w:pPr>
      <w:r w:rsidRPr="005B6D62">
        <w:rPr>
          <w:lang w:val="es-PE"/>
        </w:rPr>
        <w:t>devenir material (</w:t>
      </w:r>
      <w:r w:rsidRPr="005B6D62">
        <w:rPr>
          <w:i/>
          <w:iCs/>
          <w:lang w:val="es-PE"/>
        </w:rPr>
        <w:t>rūpa–</w:t>
      </w:r>
      <w:proofErr w:type="spellStart"/>
      <w:r w:rsidRPr="005B6D62">
        <w:rPr>
          <w:i/>
          <w:iCs/>
          <w:lang w:val="es-PE"/>
        </w:rPr>
        <w:t>bhava</w:t>
      </w:r>
      <w:proofErr w:type="spellEnd"/>
      <w:r w:rsidRPr="005B6D62">
        <w:rPr>
          <w:lang w:val="es-PE"/>
        </w:rPr>
        <w:t xml:space="preserve">) XXI.34; </w:t>
      </w:r>
      <w:r w:rsidRPr="005B6D62">
        <w:rPr>
          <w:i/>
          <w:iCs/>
          <w:lang w:val="es-PE"/>
        </w:rPr>
        <w:t xml:space="preserve">cuerpo material </w:t>
      </w:r>
      <w:r w:rsidRPr="005B6D62">
        <w:rPr>
          <w:lang w:val="es-PE"/>
        </w:rPr>
        <w:t>(</w:t>
      </w:r>
      <w:r w:rsidRPr="005B6D62">
        <w:rPr>
          <w:i/>
          <w:iCs/>
          <w:lang w:val="es-PE"/>
        </w:rPr>
        <w:t>rūpa–</w:t>
      </w:r>
      <w:proofErr w:type="spellStart"/>
      <w:r w:rsidRPr="005B6D62">
        <w:rPr>
          <w:i/>
          <w:iCs/>
          <w:lang w:val="es-PE"/>
        </w:rPr>
        <w:t>kāya</w:t>
      </w:r>
      <w:proofErr w:type="spellEnd"/>
      <w:r w:rsidRPr="005B6D62">
        <w:rPr>
          <w:lang w:val="es-PE"/>
        </w:rPr>
        <w:t xml:space="preserve">) XVIII.36; </w:t>
      </w:r>
      <w:r w:rsidRPr="005B6D62">
        <w:rPr>
          <w:i/>
          <w:iCs/>
          <w:lang w:val="es-PE"/>
        </w:rPr>
        <w:t>séptuplo material</w:t>
      </w:r>
      <w:r w:rsidRPr="005B6D62">
        <w:rPr>
          <w:lang w:val="es-PE"/>
        </w:rPr>
        <w:t xml:space="preserve"> (</w:t>
      </w:r>
      <w:r w:rsidRPr="005B6D62">
        <w:rPr>
          <w:i/>
          <w:iCs/>
          <w:lang w:val="es-PE"/>
        </w:rPr>
        <w:t>rūpa–</w:t>
      </w:r>
      <w:proofErr w:type="spellStart"/>
      <w:r w:rsidRPr="005B6D62">
        <w:rPr>
          <w:i/>
          <w:iCs/>
          <w:lang w:val="es-PE"/>
        </w:rPr>
        <w:t>sattaka</w:t>
      </w:r>
      <w:proofErr w:type="spellEnd"/>
      <w:r w:rsidRPr="005B6D62">
        <w:rPr>
          <w:lang w:val="es-PE"/>
        </w:rPr>
        <w:t>) XX.45s.</w:t>
      </w:r>
    </w:p>
    <w:p w14:paraId="085643EA" w14:textId="77777777" w:rsidR="00597DE2" w:rsidRPr="00910DEA" w:rsidRDefault="00597DE2" w:rsidP="00597DE2">
      <w:pPr>
        <w:pStyle w:val="ParrafoApendice"/>
        <w:rPr>
          <w:lang w:val="es-PE"/>
        </w:rPr>
      </w:pPr>
      <w:r w:rsidRPr="00910DEA">
        <w:rPr>
          <w:lang w:val="es-PE"/>
        </w:rPr>
        <w:t xml:space="preserve">devenir sensorial, </w:t>
      </w:r>
      <w:r>
        <w:rPr>
          <w:lang w:val="es-PE"/>
        </w:rPr>
        <w:t>devenir del deseo sensorial</w:t>
      </w:r>
      <w:r w:rsidRPr="00910DEA">
        <w:rPr>
          <w:lang w:val="es-PE"/>
        </w:rPr>
        <w:t>. (</w:t>
      </w:r>
      <w:proofErr w:type="spellStart"/>
      <w:r w:rsidRPr="00910DEA">
        <w:rPr>
          <w:i/>
          <w:iCs/>
          <w:lang w:val="es-PE"/>
        </w:rPr>
        <w:t>kāmabhava</w:t>
      </w:r>
      <w:proofErr w:type="spellEnd"/>
      <w:r w:rsidRPr="00910DEA">
        <w:rPr>
          <w:lang w:val="es-PE"/>
        </w:rPr>
        <w:t>) VII.9</w:t>
      </w:r>
      <w:r>
        <w:rPr>
          <w:lang w:val="es-PE"/>
        </w:rPr>
        <w:t>s</w:t>
      </w:r>
      <w:r w:rsidRPr="00910DEA">
        <w:rPr>
          <w:lang w:val="es-PE"/>
        </w:rPr>
        <w:t>.; XVII.150, 180</w:t>
      </w:r>
    </w:p>
    <w:p w14:paraId="7078176F" w14:textId="77777777" w:rsidR="00597DE2" w:rsidRPr="005B6D62" w:rsidRDefault="00597DE2" w:rsidP="00597DE2">
      <w:pPr>
        <w:pStyle w:val="ParrafoApendice"/>
        <w:rPr>
          <w:lang w:val="es-PE"/>
        </w:rPr>
      </w:pPr>
      <w:r w:rsidRPr="005B6D62">
        <w:rPr>
          <w:lang w:val="es-PE"/>
        </w:rPr>
        <w:t>devoto por fe (</w:t>
      </w:r>
      <w:proofErr w:type="spellStart"/>
      <w:r w:rsidRPr="005B6D62">
        <w:rPr>
          <w:i/>
          <w:iCs/>
          <w:lang w:val="es-PE"/>
        </w:rPr>
        <w:t>saddhānusārin</w:t>
      </w:r>
      <w:proofErr w:type="spellEnd"/>
      <w:r w:rsidRPr="005B6D62">
        <w:rPr>
          <w:lang w:val="es-PE"/>
        </w:rPr>
        <w:t xml:space="preserve">) XXI.74, 89 </w:t>
      </w:r>
    </w:p>
    <w:p w14:paraId="4A27FCB4" w14:textId="77777777" w:rsidR="00597DE2" w:rsidRPr="005B6D62" w:rsidRDefault="00597DE2" w:rsidP="00597DE2">
      <w:pPr>
        <w:pStyle w:val="ParrafoApendice"/>
        <w:rPr>
          <w:lang w:val="es-PE"/>
        </w:rPr>
      </w:pPr>
      <w:r w:rsidRPr="005B6D62">
        <w:rPr>
          <w:lang w:val="es-PE"/>
        </w:rPr>
        <w:t>dhamma (</w:t>
      </w:r>
      <w:r w:rsidRPr="005B6D62">
        <w:rPr>
          <w:i/>
          <w:iCs/>
          <w:lang w:val="es-PE"/>
        </w:rPr>
        <w:t>dhamma</w:t>
      </w:r>
      <w:r w:rsidRPr="005B6D62">
        <w:rPr>
          <w:lang w:val="es-PE"/>
        </w:rPr>
        <w:t>) I.34; VII.1</w:t>
      </w:r>
      <w:r w:rsidRPr="005B6D62">
        <w:rPr>
          <w:color w:val="833C0B" w:themeColor="accent2" w:themeShade="80"/>
          <w:u w:color="000000"/>
          <w:lang w:val="es-PE"/>
        </w:rPr>
        <w:t>s</w:t>
      </w:r>
      <w:r w:rsidRPr="005B6D62">
        <w:rPr>
          <w:lang w:val="es-PE"/>
        </w:rPr>
        <w:t>, 60, 68s., n.1, n.4, n.7; VIII.</w:t>
      </w:r>
      <w:r w:rsidRPr="005B6D62">
        <w:rPr>
          <w:color w:val="833C0B" w:themeColor="accent2" w:themeShade="80"/>
          <w:u w:color="000000"/>
          <w:lang w:val="es-PE"/>
        </w:rPr>
        <w:t>23s</w:t>
      </w:r>
      <w:r w:rsidRPr="005B6D62">
        <w:rPr>
          <w:lang w:val="es-PE"/>
        </w:rPr>
        <w:t xml:space="preserve">, 245, n.54, n.65, n.68, n.70; X.n.7; XI.104; XII.n.21; XIV.23, n.27, n.78; XVI.n.25; XXII.79; XXIII.n.18. Ver también ley &amp; estado; cuerpo de </w:t>
      </w:r>
      <w:proofErr w:type="spellStart"/>
      <w:r w:rsidRPr="005B6D62">
        <w:rPr>
          <w:lang w:val="es-PE"/>
        </w:rPr>
        <w:t>dh</w:t>
      </w:r>
      <w:proofErr w:type="spellEnd"/>
      <w:r w:rsidRPr="005B6D62">
        <w:rPr>
          <w:lang w:val="es-PE"/>
        </w:rPr>
        <w:t>. (</w:t>
      </w:r>
      <w:r w:rsidRPr="005B6D62">
        <w:rPr>
          <w:i/>
          <w:iCs/>
          <w:lang w:val="es-PE"/>
        </w:rPr>
        <w:t>dhamma–</w:t>
      </w:r>
      <w:proofErr w:type="spellStart"/>
      <w:r w:rsidRPr="005B6D62">
        <w:rPr>
          <w:i/>
          <w:iCs/>
          <w:lang w:val="es-PE"/>
        </w:rPr>
        <w:t>kāya</w:t>
      </w:r>
      <w:proofErr w:type="spellEnd"/>
      <w:r w:rsidRPr="005B6D62">
        <w:rPr>
          <w:lang w:val="es-PE"/>
        </w:rPr>
        <w:t xml:space="preserve">) VII.60; VIII.23; devoto de </w:t>
      </w:r>
      <w:proofErr w:type="spellStart"/>
      <w:r w:rsidRPr="005B6D62">
        <w:rPr>
          <w:lang w:val="es-PE"/>
        </w:rPr>
        <w:t>dh</w:t>
      </w:r>
      <w:proofErr w:type="spellEnd"/>
      <w:r w:rsidRPr="005B6D62">
        <w:rPr>
          <w:lang w:val="es-PE"/>
        </w:rPr>
        <w:t>. (</w:t>
      </w:r>
      <w:proofErr w:type="spellStart"/>
      <w:r w:rsidRPr="005B6D62">
        <w:rPr>
          <w:i/>
          <w:iCs/>
          <w:lang w:val="es-PE"/>
        </w:rPr>
        <w:t>dhammānusārin</w:t>
      </w:r>
      <w:proofErr w:type="spellEnd"/>
      <w:r w:rsidRPr="005B6D62">
        <w:rPr>
          <w:lang w:val="es-PE"/>
        </w:rPr>
        <w:t>) XXI.74, 89</w:t>
      </w:r>
    </w:p>
    <w:p w14:paraId="7B165722" w14:textId="77777777" w:rsidR="00597DE2" w:rsidRDefault="00597DE2" w:rsidP="00597DE2">
      <w:pPr>
        <w:pStyle w:val="ParrafoApendice"/>
        <w:rPr>
          <w:lang w:val="es-PE"/>
        </w:rPr>
      </w:pPr>
      <w:proofErr w:type="spellStart"/>
      <w:r w:rsidRPr="005B6D62">
        <w:rPr>
          <w:lang w:val="es-PE"/>
        </w:rPr>
        <w:t>Dhammadinna</w:t>
      </w:r>
      <w:proofErr w:type="spellEnd"/>
      <w:r w:rsidRPr="005B6D62">
        <w:rPr>
          <w:lang w:val="es-PE"/>
        </w:rPr>
        <w:t xml:space="preserve"> </w:t>
      </w:r>
      <w:proofErr w:type="spellStart"/>
      <w:r w:rsidRPr="005B6D62">
        <w:rPr>
          <w:lang w:val="es-PE"/>
        </w:rPr>
        <w:t>Thera</w:t>
      </w:r>
      <w:proofErr w:type="spellEnd"/>
      <w:r w:rsidRPr="005B6D62">
        <w:rPr>
          <w:lang w:val="es-PE"/>
        </w:rPr>
        <w:t>, XII.80; XX.111</w:t>
      </w:r>
      <w:r>
        <w:rPr>
          <w:lang w:val="es-PE"/>
        </w:rPr>
        <w:br w:type="page"/>
      </w:r>
    </w:p>
    <w:p w14:paraId="2319BA13" w14:textId="77777777" w:rsidR="00597DE2" w:rsidRPr="005B6D62" w:rsidRDefault="00597DE2" w:rsidP="00597DE2">
      <w:pPr>
        <w:pStyle w:val="ParrafoApendice"/>
        <w:rPr>
          <w:lang w:val="es-PE"/>
        </w:rPr>
      </w:pPr>
    </w:p>
    <w:p w14:paraId="2D043528" w14:textId="77777777" w:rsidR="00597DE2" w:rsidRPr="005B6D62" w:rsidRDefault="00597DE2" w:rsidP="00597DE2">
      <w:pPr>
        <w:pStyle w:val="ParrafoApendice"/>
        <w:rPr>
          <w:lang w:val="es-PE"/>
        </w:rPr>
      </w:pPr>
      <w:proofErr w:type="spellStart"/>
      <w:r w:rsidRPr="005B6D62">
        <w:rPr>
          <w:lang w:val="es-PE"/>
        </w:rPr>
        <w:t>Dhammaguttā</w:t>
      </w:r>
      <w:proofErr w:type="spellEnd"/>
      <w:r w:rsidRPr="005B6D62">
        <w:rPr>
          <w:lang w:val="es-PE"/>
        </w:rPr>
        <w:t xml:space="preserve"> XII.39</w:t>
      </w:r>
    </w:p>
    <w:p w14:paraId="15781999" w14:textId="77777777" w:rsidR="00597DE2" w:rsidRPr="005B6D62" w:rsidRDefault="00597DE2" w:rsidP="00597DE2">
      <w:pPr>
        <w:pStyle w:val="ParrafoApendice"/>
        <w:rPr>
          <w:lang w:val="es-PE"/>
        </w:rPr>
      </w:pPr>
      <w:proofErr w:type="spellStart"/>
      <w:r w:rsidRPr="005B6D62">
        <w:rPr>
          <w:lang w:val="es-PE"/>
        </w:rPr>
        <w:t>Dhammarakkhita</w:t>
      </w:r>
      <w:proofErr w:type="spellEnd"/>
      <w:r w:rsidRPr="005B6D62">
        <w:rPr>
          <w:lang w:val="es-PE"/>
        </w:rPr>
        <w:t xml:space="preserve"> </w:t>
      </w:r>
      <w:proofErr w:type="spellStart"/>
      <w:r w:rsidRPr="005B6D62">
        <w:rPr>
          <w:lang w:val="es-PE"/>
        </w:rPr>
        <w:t>Thera</w:t>
      </w:r>
      <w:proofErr w:type="spellEnd"/>
      <w:r w:rsidRPr="005B6D62">
        <w:rPr>
          <w:lang w:val="es-PE"/>
        </w:rPr>
        <w:t>, Mahā III.53</w:t>
      </w:r>
    </w:p>
    <w:p w14:paraId="3B7AC2CC" w14:textId="77777777" w:rsidR="00597DE2" w:rsidRPr="005B6D62" w:rsidRDefault="00597DE2" w:rsidP="00597DE2">
      <w:pPr>
        <w:pStyle w:val="ParrafoApendice"/>
        <w:rPr>
          <w:lang w:val="es-PE"/>
        </w:rPr>
      </w:pPr>
      <w:proofErr w:type="spellStart"/>
      <w:r w:rsidRPr="005B6D62">
        <w:rPr>
          <w:lang w:val="es-PE"/>
        </w:rPr>
        <w:t>Dhammāsoka</w:t>
      </w:r>
      <w:proofErr w:type="spellEnd"/>
      <w:r w:rsidRPr="005B6D62">
        <w:rPr>
          <w:lang w:val="es-PE"/>
        </w:rPr>
        <w:t xml:space="preserve"> III.111</w:t>
      </w:r>
    </w:p>
    <w:p w14:paraId="6F8FD922" w14:textId="77777777" w:rsidR="00597DE2" w:rsidRPr="005B6D62" w:rsidRDefault="00597DE2" w:rsidP="00597DE2">
      <w:pPr>
        <w:pStyle w:val="ParrafoApendice"/>
        <w:rPr>
          <w:lang w:val="es-PE"/>
        </w:rPr>
      </w:pPr>
      <w:proofErr w:type="spellStart"/>
      <w:r w:rsidRPr="005B6D62">
        <w:rPr>
          <w:lang w:val="es-PE"/>
        </w:rPr>
        <w:t>Dhammika</w:t>
      </w:r>
      <w:proofErr w:type="spellEnd"/>
      <w:r w:rsidRPr="005B6D62">
        <w:rPr>
          <w:lang w:val="es-PE"/>
        </w:rPr>
        <w:t xml:space="preserve"> XIV.27</w:t>
      </w:r>
    </w:p>
    <w:p w14:paraId="7C89E30F" w14:textId="77777777" w:rsidR="00597DE2" w:rsidRPr="005B6D62" w:rsidRDefault="00597DE2" w:rsidP="00597DE2">
      <w:pPr>
        <w:pStyle w:val="ParrafoApendice"/>
        <w:rPr>
          <w:lang w:val="es-PE"/>
        </w:rPr>
      </w:pPr>
      <w:proofErr w:type="spellStart"/>
      <w:r w:rsidRPr="005B6D62">
        <w:rPr>
          <w:lang w:val="es-PE"/>
        </w:rPr>
        <w:t>Dhanañjaya</w:t>
      </w:r>
      <w:proofErr w:type="spellEnd"/>
      <w:r w:rsidRPr="005B6D62">
        <w:rPr>
          <w:lang w:val="es-PE"/>
        </w:rPr>
        <w:t xml:space="preserve"> XII.42 </w:t>
      </w:r>
    </w:p>
    <w:p w14:paraId="50D8C470" w14:textId="77777777" w:rsidR="00597DE2" w:rsidRPr="005B6D62" w:rsidRDefault="00597DE2" w:rsidP="00597DE2">
      <w:pPr>
        <w:pStyle w:val="ParrafoApendice"/>
        <w:rPr>
          <w:lang w:val="es-PE"/>
        </w:rPr>
      </w:pPr>
      <w:r w:rsidRPr="005B6D62">
        <w:rPr>
          <w:lang w:val="es-PE"/>
        </w:rPr>
        <w:t>diada (</w:t>
      </w:r>
      <w:proofErr w:type="spellStart"/>
      <w:r w:rsidRPr="005B6D62">
        <w:rPr>
          <w:i/>
          <w:iCs/>
          <w:lang w:val="es-PE"/>
        </w:rPr>
        <w:t>duka</w:t>
      </w:r>
      <w:proofErr w:type="spellEnd"/>
      <w:r w:rsidRPr="005B6D62">
        <w:rPr>
          <w:lang w:val="es-PE"/>
        </w:rPr>
        <w:t xml:space="preserve">) XIII.n.20 </w:t>
      </w:r>
    </w:p>
    <w:p w14:paraId="26F4DE9F" w14:textId="77777777" w:rsidR="00597DE2" w:rsidRPr="005B6D62" w:rsidRDefault="00597DE2" w:rsidP="00597DE2">
      <w:pPr>
        <w:pStyle w:val="ParrafoApendice"/>
        <w:rPr>
          <w:u w:color="000000"/>
          <w:lang w:val="es-PE"/>
        </w:rPr>
      </w:pPr>
      <w:r w:rsidRPr="005B6D62">
        <w:rPr>
          <w:u w:color="000000"/>
          <w:lang w:val="es-PE"/>
        </w:rPr>
        <w:t>dicha (</w:t>
      </w:r>
      <w:proofErr w:type="spellStart"/>
      <w:r w:rsidRPr="005B6D62">
        <w:rPr>
          <w:i/>
          <w:iCs/>
          <w:u w:color="000000"/>
          <w:lang w:val="es-PE"/>
        </w:rPr>
        <w:t>sukha</w:t>
      </w:r>
      <w:proofErr w:type="spellEnd"/>
      <w:r w:rsidRPr="005B6D62">
        <w:rPr>
          <w:u w:color="000000"/>
          <w:lang w:val="es-PE"/>
        </w:rPr>
        <w:t xml:space="preserve">) I.32; III.5, 9, 12, 21, n.6; IV.74, 86, 99, 182; VIII.230; XII.131; XIV.86, 139; XX.117; XXI.37; XXIII.8, 26. Ver también </w:t>
      </w:r>
      <w:proofErr w:type="spellStart"/>
      <w:r w:rsidRPr="005B6D62">
        <w:rPr>
          <w:u w:color="000000"/>
          <w:lang w:val="es-PE"/>
        </w:rPr>
        <w:t>percepcción</w:t>
      </w:r>
      <w:proofErr w:type="spellEnd"/>
      <w:r w:rsidRPr="005B6D62">
        <w:rPr>
          <w:u w:color="000000"/>
          <w:lang w:val="es-PE"/>
        </w:rPr>
        <w:t xml:space="preserve"> de d. y placer</w:t>
      </w:r>
    </w:p>
    <w:p w14:paraId="1B0D3CC0" w14:textId="77777777" w:rsidR="00597DE2" w:rsidRPr="005B6D62" w:rsidRDefault="00597DE2" w:rsidP="00597DE2">
      <w:pPr>
        <w:pStyle w:val="ParrafoApendice"/>
        <w:rPr>
          <w:lang w:val="es-PE"/>
        </w:rPr>
      </w:pPr>
      <w:r w:rsidRPr="005B6D62">
        <w:rPr>
          <w:lang w:val="es-PE"/>
        </w:rPr>
        <w:t>Dicha, alegría (</w:t>
      </w:r>
      <w:proofErr w:type="spellStart"/>
      <w:r w:rsidRPr="005B6D62">
        <w:rPr>
          <w:i/>
          <w:iCs/>
          <w:lang w:val="es-PE"/>
        </w:rPr>
        <w:t>somanassa</w:t>
      </w:r>
      <w:proofErr w:type="spellEnd"/>
      <w:r w:rsidRPr="005B6D62">
        <w:rPr>
          <w:lang w:val="es-PE"/>
        </w:rPr>
        <w:t xml:space="preserve">) I.140; IV.184; IX.88, 100, 111; XIII.9; XIV.12s., 83, 98s., 109, 119, 126s., 180; XV. </w:t>
      </w:r>
      <w:r w:rsidRPr="005B6D62">
        <w:rPr>
          <w:color w:val="833C0B" w:themeColor="accent2" w:themeShade="80"/>
          <w:u w:color="000000"/>
          <w:lang w:val="es-PE"/>
        </w:rPr>
        <w:t>10s.,</w:t>
      </w:r>
      <w:r w:rsidRPr="005B6D62">
        <w:rPr>
          <w:lang w:val="es-PE"/>
        </w:rPr>
        <w:t xml:space="preserve"> 28; XX.31, 71; XXI.</w:t>
      </w:r>
      <w:r w:rsidRPr="005B6D62">
        <w:rPr>
          <w:color w:val="833C0B" w:themeColor="accent2" w:themeShade="80"/>
          <w:u w:color="000000"/>
          <w:lang w:val="es-PE"/>
        </w:rPr>
        <w:t>38s.,</w:t>
      </w:r>
      <w:r w:rsidRPr="005B6D62">
        <w:rPr>
          <w:lang w:val="es-PE"/>
        </w:rPr>
        <w:t xml:space="preserve"> </w:t>
      </w:r>
      <w:r w:rsidRPr="005B6D62">
        <w:rPr>
          <w:strike/>
          <w:color w:val="833C0B" w:themeColor="accent2" w:themeShade="80"/>
          <w:u w:color="000000"/>
          <w:lang w:val="es-PE"/>
        </w:rPr>
        <w:t>114</w:t>
      </w:r>
      <w:r w:rsidRPr="005B6D62">
        <w:rPr>
          <w:lang w:val="es-PE"/>
        </w:rPr>
        <w:t xml:space="preserve">; </w:t>
      </w:r>
      <w:r w:rsidRPr="005B6D62">
        <w:rPr>
          <w:i/>
          <w:iCs/>
          <w:lang w:val="es-PE"/>
        </w:rPr>
        <w:t xml:space="preserve">facultad de la alegría </w:t>
      </w:r>
      <w:r w:rsidRPr="005B6D62">
        <w:rPr>
          <w:lang w:val="es-PE"/>
        </w:rPr>
        <w:t>(</w:t>
      </w:r>
      <w:proofErr w:type="spellStart"/>
      <w:r w:rsidRPr="005B6D62">
        <w:rPr>
          <w:i/>
          <w:iCs/>
          <w:lang w:val="es-PE"/>
        </w:rPr>
        <w:t>somanassindriya</w:t>
      </w:r>
      <w:proofErr w:type="spellEnd"/>
      <w:r w:rsidRPr="005B6D62">
        <w:rPr>
          <w:lang w:val="es-PE"/>
        </w:rPr>
        <w:t>) XIII.9; XVI.1</w:t>
      </w:r>
    </w:p>
    <w:p w14:paraId="65E0540F" w14:textId="77777777" w:rsidR="00597DE2" w:rsidRPr="005B6D62" w:rsidRDefault="00597DE2" w:rsidP="00597DE2">
      <w:pPr>
        <w:pStyle w:val="ParrafoApendice"/>
        <w:rPr>
          <w:lang w:val="es-PE"/>
        </w:rPr>
      </w:pPr>
      <w:proofErr w:type="spellStart"/>
      <w:r w:rsidRPr="005B6D62">
        <w:rPr>
          <w:lang w:val="es-PE"/>
        </w:rPr>
        <w:t>Dīpaṅkara</w:t>
      </w:r>
      <w:proofErr w:type="spellEnd"/>
      <w:r w:rsidRPr="005B6D62">
        <w:rPr>
          <w:lang w:val="es-PE"/>
        </w:rPr>
        <w:t xml:space="preserve"> VII.34 </w:t>
      </w:r>
    </w:p>
    <w:p w14:paraId="6A05BA22" w14:textId="77777777" w:rsidR="00597DE2" w:rsidRPr="005B6D62" w:rsidRDefault="00597DE2" w:rsidP="00597DE2">
      <w:pPr>
        <w:pStyle w:val="ParrafoApendice"/>
        <w:rPr>
          <w:lang w:val="es-PE"/>
        </w:rPr>
      </w:pPr>
      <w:r w:rsidRPr="005B6D62">
        <w:rPr>
          <w:lang w:val="es-PE"/>
        </w:rPr>
        <w:t>dirigir hacia (</w:t>
      </w:r>
      <w:proofErr w:type="spellStart"/>
      <w:r w:rsidRPr="005B6D62">
        <w:rPr>
          <w:i/>
          <w:iCs/>
          <w:lang w:val="es-PE"/>
        </w:rPr>
        <w:t>abhiniropana</w:t>
      </w:r>
      <w:proofErr w:type="spellEnd"/>
      <w:r w:rsidRPr="005B6D62">
        <w:rPr>
          <w:lang w:val="es-PE"/>
        </w:rPr>
        <w:t xml:space="preserve">) IV.90; XVI.77, 100 </w:t>
      </w:r>
    </w:p>
    <w:p w14:paraId="78C29FC3" w14:textId="77777777" w:rsidR="00597DE2" w:rsidRPr="005B6D62" w:rsidRDefault="00597DE2" w:rsidP="00597DE2">
      <w:pPr>
        <w:pStyle w:val="ParrafoApendice"/>
        <w:rPr>
          <w:lang w:val="es-PE"/>
        </w:rPr>
      </w:pPr>
      <w:r w:rsidRPr="005B6D62">
        <w:rPr>
          <w:lang w:val="es-PE"/>
        </w:rPr>
        <w:t>discernimiento (</w:t>
      </w:r>
      <w:proofErr w:type="spellStart"/>
      <w:r w:rsidRPr="005B6D62">
        <w:rPr>
          <w:i/>
          <w:iCs/>
          <w:lang w:val="es-PE"/>
        </w:rPr>
        <w:t>pariggaha</w:t>
      </w:r>
      <w:proofErr w:type="spellEnd"/>
      <w:r w:rsidRPr="005B6D62">
        <w:rPr>
          <w:lang w:val="es-PE"/>
        </w:rPr>
        <w:t xml:space="preserve">) IV.114; VIII.180; XVIII.3s.; XIX.4s.; XXII.39; </w:t>
      </w:r>
      <w:r w:rsidRPr="005B6D62">
        <w:rPr>
          <w:i/>
          <w:iCs/>
          <w:lang w:val="es-PE"/>
        </w:rPr>
        <w:t>d.</w:t>
      </w:r>
      <w:r w:rsidRPr="005B6D62">
        <w:rPr>
          <w:lang w:val="es-PE"/>
        </w:rPr>
        <w:t xml:space="preserve"> </w:t>
      </w:r>
      <w:r w:rsidRPr="005B6D62">
        <w:rPr>
          <w:i/>
          <w:iCs/>
          <w:lang w:val="es-PE"/>
        </w:rPr>
        <w:t>de las condiciones</w:t>
      </w:r>
      <w:r w:rsidRPr="005B6D62">
        <w:rPr>
          <w:lang w:val="es-PE"/>
        </w:rPr>
        <w:t xml:space="preserve"> (</w:t>
      </w:r>
      <w:proofErr w:type="spellStart"/>
      <w:r w:rsidRPr="005B6D62">
        <w:rPr>
          <w:i/>
          <w:iCs/>
          <w:lang w:val="es-PE"/>
        </w:rPr>
        <w:t>paccayapariggaha</w:t>
      </w:r>
      <w:proofErr w:type="spellEnd"/>
      <w:r w:rsidRPr="005B6D62">
        <w:rPr>
          <w:lang w:val="es-PE"/>
        </w:rPr>
        <w:t xml:space="preserve">) XIX </w:t>
      </w:r>
      <w:r w:rsidRPr="005B6D62">
        <w:rPr>
          <w:i/>
          <w:iCs/>
          <w:lang w:val="es-PE"/>
        </w:rPr>
        <w:t>passim</w:t>
      </w:r>
      <w:r w:rsidRPr="005B6D62">
        <w:rPr>
          <w:lang w:val="es-PE"/>
        </w:rPr>
        <w:t xml:space="preserve">; XX.4s, 130; XXII.112 </w:t>
      </w:r>
    </w:p>
    <w:p w14:paraId="5D77EDE1" w14:textId="77777777" w:rsidR="00597DE2" w:rsidRPr="005B6D62" w:rsidRDefault="00597DE2" w:rsidP="00597DE2">
      <w:pPr>
        <w:pStyle w:val="ParrafoApendice"/>
        <w:rPr>
          <w:lang w:val="es-PE"/>
        </w:rPr>
      </w:pPr>
      <w:r w:rsidRPr="005B6D62">
        <w:rPr>
          <w:lang w:val="es-PE"/>
        </w:rPr>
        <w:t>disciplina (</w:t>
      </w:r>
      <w:proofErr w:type="spellStart"/>
      <w:r w:rsidRPr="005B6D62">
        <w:rPr>
          <w:i/>
          <w:iCs/>
          <w:lang w:val="es-PE"/>
        </w:rPr>
        <w:t>vinaya</w:t>
      </w:r>
      <w:proofErr w:type="spellEnd"/>
      <w:r w:rsidRPr="005B6D62">
        <w:rPr>
          <w:lang w:val="es-PE"/>
        </w:rPr>
        <w:t xml:space="preserve">) I.32 </w:t>
      </w:r>
    </w:p>
    <w:p w14:paraId="5CEDBC42" w14:textId="77777777" w:rsidR="00597DE2" w:rsidRPr="005B6D62" w:rsidRDefault="00597DE2" w:rsidP="00597DE2">
      <w:pPr>
        <w:pStyle w:val="ParrafoApendice"/>
        <w:rPr>
          <w:lang w:val="es-PE"/>
        </w:rPr>
      </w:pPr>
      <w:r w:rsidRPr="005B6D62">
        <w:rPr>
          <w:lang w:val="es-PE"/>
        </w:rPr>
        <w:t>discípulo (</w:t>
      </w:r>
      <w:proofErr w:type="spellStart"/>
      <w:r w:rsidRPr="005B6D62">
        <w:rPr>
          <w:i/>
          <w:iCs/>
          <w:lang w:val="es-PE"/>
        </w:rPr>
        <w:t>sāvaka</w:t>
      </w:r>
      <w:proofErr w:type="spellEnd"/>
      <w:r w:rsidRPr="005B6D62">
        <w:rPr>
          <w:lang w:val="es-PE"/>
        </w:rPr>
        <w:t xml:space="preserve">) I.98, 131; IV.55; XIV.31 </w:t>
      </w:r>
    </w:p>
    <w:p w14:paraId="275C22EB" w14:textId="77777777" w:rsidR="00597DE2" w:rsidRPr="005B6D62" w:rsidRDefault="00597DE2" w:rsidP="00597DE2">
      <w:pPr>
        <w:pStyle w:val="ParrafoApendice"/>
        <w:rPr>
          <w:lang w:val="es-PE"/>
        </w:rPr>
      </w:pPr>
      <w:r w:rsidRPr="005B6D62">
        <w:rPr>
          <w:lang w:val="es-PE"/>
        </w:rPr>
        <w:t>discordia (</w:t>
      </w:r>
      <w:proofErr w:type="spellStart"/>
      <w:r w:rsidRPr="005B6D62">
        <w:rPr>
          <w:i/>
          <w:iCs/>
          <w:lang w:val="es-PE"/>
        </w:rPr>
        <w:t>vivāda</w:t>
      </w:r>
      <w:proofErr w:type="spellEnd"/>
      <w:r w:rsidRPr="005B6D62">
        <w:rPr>
          <w:lang w:val="es-PE"/>
        </w:rPr>
        <w:t>) VII.59</w:t>
      </w:r>
    </w:p>
    <w:p w14:paraId="14B45D47" w14:textId="77777777" w:rsidR="00597DE2" w:rsidRPr="005B6D62" w:rsidRDefault="00597DE2" w:rsidP="00597DE2">
      <w:pPr>
        <w:pStyle w:val="ParrafoApendice"/>
        <w:rPr>
          <w:lang w:val="es-PE"/>
        </w:rPr>
      </w:pPr>
      <w:r w:rsidRPr="005B6D62">
        <w:rPr>
          <w:lang w:val="es-PE"/>
        </w:rPr>
        <w:t>discriminación (</w:t>
      </w:r>
      <w:proofErr w:type="spellStart"/>
      <w:r w:rsidRPr="005B6D62">
        <w:rPr>
          <w:i/>
          <w:iCs/>
          <w:lang w:val="es-PE"/>
        </w:rPr>
        <w:t>paṭisambhidā</w:t>
      </w:r>
      <w:proofErr w:type="spellEnd"/>
      <w:r w:rsidRPr="005B6D62">
        <w:rPr>
          <w:lang w:val="es-PE"/>
        </w:rPr>
        <w:t xml:space="preserve">) I.11; XIV.21s.; XVII.33, 305; XX.111; XXIII.58 </w:t>
      </w:r>
    </w:p>
    <w:p w14:paraId="666B2057" w14:textId="77777777" w:rsidR="00597DE2" w:rsidRPr="005B6D62" w:rsidRDefault="00597DE2" w:rsidP="00597DE2">
      <w:pPr>
        <w:pStyle w:val="ParrafoApendice"/>
        <w:rPr>
          <w:lang w:val="es-PE"/>
        </w:rPr>
      </w:pPr>
      <w:r w:rsidRPr="005B6D62">
        <w:rPr>
          <w:lang w:val="es-PE"/>
        </w:rPr>
        <w:t>disolución (</w:t>
      </w:r>
      <w:proofErr w:type="spellStart"/>
      <w:r w:rsidRPr="005B6D62">
        <w:rPr>
          <w:i/>
          <w:iCs/>
          <w:lang w:val="es-PE"/>
        </w:rPr>
        <w:t>bhaṅga</w:t>
      </w:r>
      <w:proofErr w:type="spellEnd"/>
      <w:r w:rsidRPr="005B6D62">
        <w:rPr>
          <w:lang w:val="es-PE"/>
        </w:rPr>
        <w:t xml:space="preserve">) VIII.234, 242; XIII.111; XIV.59, XIX.11; XX.22, 26; XXI.11; XXII.115, 118. Consultar también </w:t>
      </w:r>
      <w:r w:rsidRPr="005B6D62">
        <w:rPr>
          <w:i/>
          <w:iCs/>
          <w:lang w:val="es-PE"/>
        </w:rPr>
        <w:t>contemplación de la</w:t>
      </w:r>
      <w:r w:rsidRPr="005B6D62">
        <w:rPr>
          <w:lang w:val="es-PE"/>
        </w:rPr>
        <w:t xml:space="preserve"> </w:t>
      </w:r>
      <w:r w:rsidRPr="005B6D62">
        <w:rPr>
          <w:i/>
          <w:iCs/>
          <w:lang w:val="es-PE"/>
        </w:rPr>
        <w:t>d.</w:t>
      </w:r>
    </w:p>
    <w:p w14:paraId="36C4A89C" w14:textId="77777777" w:rsidR="00597DE2" w:rsidRPr="005B6D62" w:rsidRDefault="00597DE2" w:rsidP="00597DE2">
      <w:pPr>
        <w:pStyle w:val="ParrafoApendice"/>
        <w:rPr>
          <w:lang w:val="es-PE"/>
        </w:rPr>
      </w:pPr>
      <w:r w:rsidRPr="005B6D62">
        <w:rPr>
          <w:lang w:val="es-PE"/>
        </w:rPr>
        <w:t>dispensación (</w:t>
      </w:r>
      <w:proofErr w:type="spellStart"/>
      <w:r w:rsidRPr="005B6D62">
        <w:rPr>
          <w:i/>
          <w:iCs/>
          <w:lang w:val="es-PE"/>
        </w:rPr>
        <w:t>sāsana</w:t>
      </w:r>
      <w:proofErr w:type="spellEnd"/>
      <w:r w:rsidRPr="005B6D62">
        <w:rPr>
          <w:lang w:val="es-PE"/>
        </w:rPr>
        <w:t xml:space="preserve">) I.10; VIII.152 </w:t>
      </w:r>
    </w:p>
    <w:p w14:paraId="31853DF1" w14:textId="77777777" w:rsidR="00597DE2" w:rsidRPr="005B6D62" w:rsidRDefault="00597DE2" w:rsidP="00597DE2">
      <w:pPr>
        <w:pStyle w:val="ParrafoApendice"/>
        <w:rPr>
          <w:lang w:val="es-PE"/>
        </w:rPr>
      </w:pPr>
      <w:r w:rsidRPr="005B6D62">
        <w:rPr>
          <w:lang w:val="es-PE"/>
        </w:rPr>
        <w:t>distanciamiento (</w:t>
      </w:r>
      <w:proofErr w:type="spellStart"/>
      <w:r w:rsidRPr="005B6D62">
        <w:rPr>
          <w:i/>
          <w:iCs/>
          <w:lang w:val="es-PE"/>
        </w:rPr>
        <w:t>atammayatā</w:t>
      </w:r>
      <w:proofErr w:type="spellEnd"/>
      <w:r w:rsidRPr="005B6D62">
        <w:rPr>
          <w:lang w:val="es-PE"/>
        </w:rPr>
        <w:t xml:space="preserve">) XXI.135 </w:t>
      </w:r>
    </w:p>
    <w:p w14:paraId="5FA61526" w14:textId="77777777" w:rsidR="00597DE2" w:rsidRPr="00762FA7" w:rsidRDefault="00597DE2" w:rsidP="00597DE2">
      <w:pPr>
        <w:pStyle w:val="ParrafoApendice"/>
        <w:rPr>
          <w:lang w:val="es-PE"/>
        </w:rPr>
      </w:pPr>
      <w:r w:rsidRPr="00762FA7">
        <w:rPr>
          <w:lang w:val="es-PE"/>
        </w:rPr>
        <w:t>distanciamiento (</w:t>
      </w:r>
      <w:proofErr w:type="spellStart"/>
      <w:r w:rsidRPr="00762FA7">
        <w:rPr>
          <w:i/>
          <w:iCs/>
          <w:lang w:val="es-PE"/>
        </w:rPr>
        <w:t>vivaṭṭa</w:t>
      </w:r>
      <w:proofErr w:type="spellEnd"/>
      <w:r w:rsidRPr="00762FA7">
        <w:rPr>
          <w:lang w:val="es-PE"/>
        </w:rPr>
        <w:t>) I.140; VI.43. Ver también</w:t>
      </w:r>
      <w:r w:rsidRPr="00762FA7">
        <w:rPr>
          <w:i/>
          <w:iCs/>
          <w:lang w:val="es-PE"/>
        </w:rPr>
        <w:t xml:space="preserve"> contemplación del d.</w:t>
      </w:r>
      <w:r w:rsidRPr="00762FA7">
        <w:rPr>
          <w:lang w:val="es-PE"/>
        </w:rPr>
        <w:t xml:space="preserve"> </w:t>
      </w:r>
    </w:p>
    <w:p w14:paraId="01864167" w14:textId="77777777" w:rsidR="00597DE2" w:rsidRPr="005B6D62" w:rsidRDefault="00597DE2" w:rsidP="00597DE2">
      <w:pPr>
        <w:pStyle w:val="ParrafoApendice"/>
        <w:rPr>
          <w:lang w:val="es-PE"/>
        </w:rPr>
      </w:pPr>
      <w:r w:rsidRPr="005B6D62">
        <w:rPr>
          <w:lang w:val="es-PE"/>
        </w:rPr>
        <w:t>distensión (</w:t>
      </w:r>
      <w:proofErr w:type="spellStart"/>
      <w:r w:rsidRPr="005B6D62">
        <w:rPr>
          <w:i/>
          <w:iCs/>
          <w:lang w:val="es-PE"/>
        </w:rPr>
        <w:t>vitthambhana</w:t>
      </w:r>
      <w:proofErr w:type="spellEnd"/>
      <w:r w:rsidRPr="005B6D62">
        <w:rPr>
          <w:lang w:val="es-PE"/>
        </w:rPr>
        <w:t>) XI.37, 84s., 89s., 93, n.</w:t>
      </w:r>
      <w:r w:rsidRPr="005B6D62">
        <w:rPr>
          <w:strike/>
          <w:color w:val="833C0B" w:themeColor="accent2" w:themeShade="80"/>
          <w:u w:color="000000"/>
          <w:lang w:val="es-PE"/>
        </w:rPr>
        <w:t>23</w:t>
      </w:r>
      <w:r w:rsidRPr="005B6D62">
        <w:rPr>
          <w:color w:val="833C0B" w:themeColor="accent2" w:themeShade="80"/>
          <w:u w:color="000000"/>
          <w:lang w:val="es-PE"/>
        </w:rPr>
        <w:t xml:space="preserve">24 </w:t>
      </w:r>
    </w:p>
    <w:p w14:paraId="1687C3CB" w14:textId="77777777" w:rsidR="00597DE2" w:rsidRPr="005B6D62" w:rsidRDefault="00597DE2" w:rsidP="00597DE2">
      <w:pPr>
        <w:pStyle w:val="ParrafoApendice"/>
        <w:rPr>
          <w:lang w:val="es-PE"/>
        </w:rPr>
      </w:pPr>
      <w:r w:rsidRPr="005B6D62">
        <w:rPr>
          <w:lang w:val="es-PE"/>
        </w:rPr>
        <w:t>distinción (</w:t>
      </w:r>
      <w:proofErr w:type="spellStart"/>
      <w:r w:rsidRPr="005B6D62">
        <w:rPr>
          <w:i/>
          <w:iCs/>
          <w:lang w:val="es-PE"/>
        </w:rPr>
        <w:t>visesa</w:t>
      </w:r>
      <w:proofErr w:type="spellEnd"/>
      <w:r w:rsidRPr="005B6D62">
        <w:rPr>
          <w:lang w:val="es-PE"/>
        </w:rPr>
        <w:t xml:space="preserve">) III.22, 26, 128 </w:t>
      </w:r>
    </w:p>
    <w:p w14:paraId="716EFF23" w14:textId="77777777" w:rsidR="00597DE2" w:rsidRPr="005B6D62" w:rsidRDefault="00597DE2" w:rsidP="00597DE2">
      <w:pPr>
        <w:pStyle w:val="ParrafoApendice"/>
        <w:rPr>
          <w:lang w:val="es-PE"/>
        </w:rPr>
      </w:pPr>
      <w:r w:rsidRPr="005B6D62">
        <w:rPr>
          <w:lang w:val="es-PE"/>
        </w:rPr>
        <w:t>distracción (</w:t>
      </w:r>
      <w:proofErr w:type="spellStart"/>
      <w:r w:rsidRPr="005B6D62">
        <w:rPr>
          <w:i/>
          <w:iCs/>
          <w:lang w:val="es-PE"/>
        </w:rPr>
        <w:t>vikkhepa</w:t>
      </w:r>
      <w:proofErr w:type="spellEnd"/>
      <w:r w:rsidRPr="005B6D62">
        <w:rPr>
          <w:lang w:val="es-PE"/>
        </w:rPr>
        <w:t xml:space="preserve">) III.4, n.3 </w:t>
      </w:r>
    </w:p>
    <w:p w14:paraId="4A3ED67E" w14:textId="77777777" w:rsidR="00597DE2" w:rsidRPr="005B6D62" w:rsidRDefault="00597DE2" w:rsidP="00597DE2">
      <w:pPr>
        <w:pStyle w:val="ParrafoApendice"/>
        <w:rPr>
          <w:lang w:val="es-PE"/>
        </w:rPr>
      </w:pPr>
      <w:r w:rsidRPr="005B6D62">
        <w:rPr>
          <w:lang w:val="es-PE"/>
        </w:rPr>
        <w:t>diversidad (</w:t>
      </w:r>
      <w:proofErr w:type="spellStart"/>
      <w:r w:rsidRPr="005B6D62">
        <w:rPr>
          <w:i/>
          <w:iCs/>
          <w:lang w:val="es-PE"/>
        </w:rPr>
        <w:t>nānatta</w:t>
      </w:r>
      <w:proofErr w:type="spellEnd"/>
      <w:r w:rsidRPr="005B6D62">
        <w:rPr>
          <w:lang w:val="es-PE"/>
        </w:rPr>
        <w:t xml:space="preserve">) XVII.309, 311; XX.102 </w:t>
      </w:r>
    </w:p>
    <w:p w14:paraId="67B769E0" w14:textId="77777777" w:rsidR="00597DE2" w:rsidRPr="005B6D62" w:rsidRDefault="00597DE2" w:rsidP="00597DE2">
      <w:pPr>
        <w:pStyle w:val="ParrafoApendice"/>
        <w:rPr>
          <w:lang w:val="es-PE"/>
        </w:rPr>
      </w:pPr>
      <w:r w:rsidRPr="005B6D62">
        <w:rPr>
          <w:lang w:val="es-PE"/>
        </w:rPr>
        <w:t>diversificación (</w:t>
      </w:r>
      <w:proofErr w:type="spellStart"/>
      <w:r w:rsidRPr="005B6D62">
        <w:rPr>
          <w:i/>
          <w:iCs/>
          <w:lang w:val="es-PE"/>
        </w:rPr>
        <w:t>papañca</w:t>
      </w:r>
      <w:proofErr w:type="spellEnd"/>
      <w:r w:rsidRPr="005B6D62">
        <w:rPr>
          <w:lang w:val="es-PE"/>
        </w:rPr>
        <w:t xml:space="preserve">) VII.59; XVI.n.17 </w:t>
      </w:r>
    </w:p>
    <w:p w14:paraId="0265A8DF" w14:textId="77777777" w:rsidR="00597DE2" w:rsidRPr="00163A23" w:rsidRDefault="00597DE2" w:rsidP="00597DE2">
      <w:pPr>
        <w:pStyle w:val="ParrafoApendice"/>
        <w:rPr>
          <w:lang w:val="es-PE"/>
        </w:rPr>
      </w:pPr>
      <w:r w:rsidRPr="00163A23">
        <w:rPr>
          <w:lang w:val="es-PE"/>
        </w:rPr>
        <w:t>doctrina–del–</w:t>
      </w:r>
      <w:r>
        <w:rPr>
          <w:lang w:val="es-PE"/>
        </w:rPr>
        <w:t xml:space="preserve">alma </w:t>
      </w:r>
      <w:r w:rsidRPr="00163A23">
        <w:rPr>
          <w:lang w:val="es-PE"/>
        </w:rPr>
        <w:t>(</w:t>
      </w:r>
      <w:proofErr w:type="spellStart"/>
      <w:r w:rsidRPr="00163A23">
        <w:rPr>
          <w:i/>
          <w:iCs/>
          <w:lang w:val="es-PE"/>
        </w:rPr>
        <w:t>atta</w:t>
      </w:r>
      <w:proofErr w:type="spellEnd"/>
      <w:r w:rsidRPr="00163A23">
        <w:rPr>
          <w:i/>
          <w:iCs/>
          <w:lang w:val="es-PE"/>
        </w:rPr>
        <w:t>–</w:t>
      </w:r>
      <w:proofErr w:type="spellStart"/>
      <w:r w:rsidRPr="00163A23">
        <w:rPr>
          <w:i/>
          <w:iCs/>
          <w:lang w:val="es-PE"/>
        </w:rPr>
        <w:t>vāda</w:t>
      </w:r>
      <w:proofErr w:type="spellEnd"/>
      <w:r w:rsidRPr="00163A23">
        <w:rPr>
          <w:lang w:val="es-PE"/>
        </w:rPr>
        <w:t xml:space="preserve">) XVII.240s. </w:t>
      </w:r>
    </w:p>
    <w:p w14:paraId="110C151B" w14:textId="77777777" w:rsidR="00597DE2" w:rsidRPr="005B6D62" w:rsidRDefault="00597DE2" w:rsidP="00597DE2">
      <w:pPr>
        <w:pStyle w:val="ParrafoApendice"/>
        <w:rPr>
          <w:lang w:val="es-PE"/>
        </w:rPr>
      </w:pPr>
      <w:r w:rsidRPr="005B6D62">
        <w:rPr>
          <w:lang w:val="es-PE"/>
        </w:rPr>
        <w:t>dominio (</w:t>
      </w:r>
      <w:proofErr w:type="spellStart"/>
      <w:r w:rsidRPr="005B6D62">
        <w:rPr>
          <w:i/>
          <w:iCs/>
          <w:lang w:val="es-PE"/>
        </w:rPr>
        <w:t>gocara</w:t>
      </w:r>
      <w:proofErr w:type="spellEnd"/>
      <w:r w:rsidRPr="005B6D62">
        <w:rPr>
          <w:lang w:val="es-PE"/>
        </w:rPr>
        <w:t xml:space="preserve">) X.20; XIV.26; XV.11; XXII.46 </w:t>
      </w:r>
    </w:p>
    <w:p w14:paraId="17927917" w14:textId="77777777" w:rsidR="00597DE2" w:rsidRPr="005B6D62" w:rsidRDefault="00597DE2" w:rsidP="00597DE2">
      <w:pPr>
        <w:pStyle w:val="ParrafoApendice"/>
        <w:rPr>
          <w:lang w:val="es-PE"/>
        </w:rPr>
      </w:pPr>
      <w:r w:rsidRPr="005B6D62">
        <w:rPr>
          <w:lang w:val="es-PE"/>
        </w:rPr>
        <w:t>duda (</w:t>
      </w:r>
      <w:proofErr w:type="spellStart"/>
      <w:r w:rsidRPr="005B6D62">
        <w:rPr>
          <w:i/>
          <w:iCs/>
          <w:lang w:val="es-PE"/>
        </w:rPr>
        <w:t>kaṅkhā</w:t>
      </w:r>
      <w:proofErr w:type="spellEnd"/>
      <w:r w:rsidRPr="005B6D62">
        <w:rPr>
          <w:lang w:val="es-PE"/>
        </w:rPr>
        <w:t xml:space="preserve">) VIII.224; XIX </w:t>
      </w:r>
      <w:r w:rsidRPr="005B6D62">
        <w:rPr>
          <w:i/>
          <w:iCs/>
          <w:lang w:val="es-PE"/>
        </w:rPr>
        <w:t>passim</w:t>
      </w:r>
      <w:r w:rsidRPr="005B6D62">
        <w:rPr>
          <w:lang w:val="es-PE"/>
        </w:rPr>
        <w:t xml:space="preserve">; XXII.112 </w:t>
      </w:r>
    </w:p>
    <w:p w14:paraId="693C2E63" w14:textId="77777777" w:rsidR="00597DE2" w:rsidRPr="005B6D62" w:rsidRDefault="00597DE2" w:rsidP="00597DE2">
      <w:pPr>
        <w:pStyle w:val="ParrafoApendice"/>
        <w:rPr>
          <w:lang w:val="es-PE"/>
        </w:rPr>
      </w:pPr>
      <w:r w:rsidRPr="005B6D62">
        <w:rPr>
          <w:lang w:val="es-PE"/>
        </w:rPr>
        <w:t>duración, perdurabilidad (</w:t>
      </w:r>
      <w:proofErr w:type="spellStart"/>
      <w:r w:rsidRPr="005B6D62">
        <w:rPr>
          <w:i/>
          <w:iCs/>
          <w:lang w:val="es-PE"/>
        </w:rPr>
        <w:t>dhuva</w:t>
      </w:r>
      <w:proofErr w:type="spellEnd"/>
      <w:r w:rsidRPr="005B6D62">
        <w:rPr>
          <w:i/>
          <w:iCs/>
          <w:lang w:val="es-PE"/>
        </w:rPr>
        <w:t>–</w:t>
      </w:r>
      <w:proofErr w:type="spellStart"/>
      <w:r w:rsidRPr="005B6D62">
        <w:rPr>
          <w:i/>
          <w:iCs/>
          <w:lang w:val="es-PE"/>
        </w:rPr>
        <w:t>bhāva</w:t>
      </w:r>
      <w:proofErr w:type="spellEnd"/>
      <w:r w:rsidRPr="005B6D62">
        <w:rPr>
          <w:lang w:val="es-PE"/>
        </w:rPr>
        <w:t xml:space="preserve">) XVI.16, 85, 90; XVII.283 </w:t>
      </w:r>
    </w:p>
    <w:p w14:paraId="44CC6D4C" w14:textId="77777777" w:rsidR="00597DE2" w:rsidRPr="005B6D62" w:rsidRDefault="00597DE2" w:rsidP="00597DE2">
      <w:pPr>
        <w:pStyle w:val="ParrafoApendice"/>
        <w:rPr>
          <w:lang w:val="es-PE"/>
        </w:rPr>
      </w:pPr>
      <w:r w:rsidRPr="005B6D62">
        <w:rPr>
          <w:lang w:val="es-PE"/>
        </w:rPr>
        <w:t>ecuanimidad (</w:t>
      </w:r>
      <w:r w:rsidRPr="005B6D62">
        <w:rPr>
          <w:i/>
          <w:iCs/>
          <w:lang w:val="es-PE"/>
        </w:rPr>
        <w:t>upekkhā</w:t>
      </w:r>
      <w:r w:rsidRPr="005B6D62">
        <w:rPr>
          <w:lang w:val="es-PE"/>
        </w:rPr>
        <w:t>) I.n.14; III.5, 9, 12, 21, 105s., n.6; IV.51, 112s., 156s., 182, 193; VII.18; VIII.74; IX.88s., 92, 96, 101, 119, 123; XII.37, 131; XIII.9; XIV.12, 83, 85s., 119, 126s., 154; XV.28; XVI.86; XVII.160; XX.44, 121; XXI.63, 83, 114; XXII.42; e. con respecto a las formaciones (</w:t>
      </w:r>
      <w:proofErr w:type="spellStart"/>
      <w:r w:rsidRPr="005B6D62">
        <w:rPr>
          <w:i/>
          <w:iCs/>
          <w:lang w:val="es-PE"/>
        </w:rPr>
        <w:t>saṅkhārupekkhā</w:t>
      </w:r>
      <w:proofErr w:type="spellEnd"/>
      <w:r w:rsidRPr="005B6D62">
        <w:rPr>
          <w:lang w:val="es-PE"/>
        </w:rPr>
        <w:t xml:space="preserve">) </w:t>
      </w:r>
      <w:r>
        <w:rPr>
          <w:lang w:val="es-PE"/>
        </w:rPr>
        <w:br/>
      </w:r>
      <w:r>
        <w:rPr>
          <w:lang w:val="es-PE"/>
        </w:rPr>
        <w:br w:type="column"/>
      </w:r>
      <w:r>
        <w:rPr>
          <w:lang w:val="es-PE"/>
        </w:rPr>
        <w:br/>
      </w:r>
      <w:r w:rsidRPr="005B6D62">
        <w:rPr>
          <w:lang w:val="es-PE"/>
        </w:rPr>
        <w:t>XXI.61s., 79, 131, 135; XXII.23, 26, 29, 121; facultad de la e. (</w:t>
      </w:r>
      <w:proofErr w:type="spellStart"/>
      <w:r w:rsidRPr="005B6D62">
        <w:rPr>
          <w:i/>
          <w:iCs/>
          <w:lang w:val="es-PE"/>
        </w:rPr>
        <w:t>upekkhindriya</w:t>
      </w:r>
      <w:proofErr w:type="spellEnd"/>
      <w:r w:rsidRPr="005B6D62">
        <w:rPr>
          <w:lang w:val="es-PE"/>
        </w:rPr>
        <w:t xml:space="preserve">) XIII.9; XVI.1 </w:t>
      </w:r>
    </w:p>
    <w:p w14:paraId="7189D493" w14:textId="77777777" w:rsidR="00597DE2" w:rsidRPr="005B6D62" w:rsidRDefault="00597DE2" w:rsidP="00597DE2">
      <w:pPr>
        <w:pStyle w:val="ParrafoApendice"/>
        <w:rPr>
          <w:lang w:val="es-PE"/>
        </w:rPr>
      </w:pPr>
      <w:r w:rsidRPr="005B6D62">
        <w:rPr>
          <w:lang w:val="es-PE"/>
        </w:rPr>
        <w:t>efecto de una/la causa (</w:t>
      </w:r>
      <w:proofErr w:type="spellStart"/>
      <w:r w:rsidRPr="005B6D62">
        <w:rPr>
          <w:i/>
          <w:iCs/>
          <w:lang w:val="es-PE"/>
        </w:rPr>
        <w:t>phala</w:t>
      </w:r>
      <w:proofErr w:type="spellEnd"/>
      <w:r w:rsidRPr="005B6D62">
        <w:rPr>
          <w:lang w:val="es-PE"/>
        </w:rPr>
        <w:t xml:space="preserve">) XIV.22; XV.24; XVI.63, 85; XVII.105, 168, 174, 250, 288s., 291, 310; XX.102; XXII.48 </w:t>
      </w:r>
    </w:p>
    <w:p w14:paraId="4FACEEAF" w14:textId="77777777" w:rsidR="00597DE2" w:rsidRPr="005B6D62" w:rsidRDefault="00597DE2" w:rsidP="00597DE2">
      <w:pPr>
        <w:pStyle w:val="ParrafoApendice"/>
        <w:rPr>
          <w:color w:val="833C0B" w:themeColor="accent2" w:themeShade="80"/>
          <w:u w:color="000000"/>
          <w:lang w:val="es-PE"/>
        </w:rPr>
      </w:pPr>
      <w:proofErr w:type="spellStart"/>
      <w:r w:rsidRPr="005B6D62">
        <w:rPr>
          <w:i/>
          <w:iCs/>
          <w:color w:val="833C0B" w:themeColor="accent2" w:themeShade="80"/>
          <w:u w:color="000000"/>
          <w:lang w:val="es-PE"/>
        </w:rPr>
        <w:t>ekabījin</w:t>
      </w:r>
      <w:proofErr w:type="spellEnd"/>
      <w:r w:rsidRPr="005B6D62">
        <w:rPr>
          <w:color w:val="833C0B" w:themeColor="accent2" w:themeShade="80"/>
          <w:u w:color="000000"/>
          <w:lang w:val="es-PE"/>
        </w:rPr>
        <w:t xml:space="preserve"> XXIII.55 </w:t>
      </w:r>
    </w:p>
    <w:p w14:paraId="384D7CFA" w14:textId="77777777" w:rsidR="00597DE2" w:rsidRPr="005B6D62" w:rsidRDefault="00597DE2" w:rsidP="00597DE2">
      <w:pPr>
        <w:pStyle w:val="ParrafoApendice"/>
        <w:rPr>
          <w:lang w:val="es-PE"/>
        </w:rPr>
      </w:pPr>
      <w:r w:rsidRPr="005B6D62">
        <w:rPr>
          <w:lang w:val="es-PE"/>
        </w:rPr>
        <w:t>el de una sesión (</w:t>
      </w:r>
      <w:proofErr w:type="spellStart"/>
      <w:r w:rsidRPr="005B6D62">
        <w:rPr>
          <w:lang w:val="es-PE"/>
        </w:rPr>
        <w:t>ekāsanika</w:t>
      </w:r>
      <w:proofErr w:type="spellEnd"/>
      <w:r w:rsidRPr="005B6D62">
        <w:rPr>
          <w:lang w:val="es-PE"/>
        </w:rPr>
        <w:t xml:space="preserve">) II.2, 35 </w:t>
      </w:r>
    </w:p>
    <w:p w14:paraId="0FC04EA7" w14:textId="77777777" w:rsidR="00597DE2" w:rsidRPr="005B6D62" w:rsidRDefault="00597DE2" w:rsidP="00597DE2">
      <w:pPr>
        <w:pStyle w:val="ParrafoApendice"/>
        <w:rPr>
          <w:lang w:val="es-PE"/>
        </w:rPr>
      </w:pPr>
      <w:r w:rsidRPr="005B6D62">
        <w:rPr>
          <w:lang w:val="es-PE"/>
        </w:rPr>
        <w:t>El Descenso de los Dioses (</w:t>
      </w:r>
      <w:proofErr w:type="spellStart"/>
      <w:r w:rsidRPr="005B6D62">
        <w:rPr>
          <w:i/>
          <w:iCs/>
          <w:lang w:val="es-PE"/>
        </w:rPr>
        <w:t>devorohaṇa</w:t>
      </w:r>
      <w:proofErr w:type="spellEnd"/>
      <w:r w:rsidRPr="005B6D62">
        <w:rPr>
          <w:lang w:val="es-PE"/>
        </w:rPr>
        <w:t>)</w:t>
      </w:r>
      <w:r w:rsidRPr="005B6D62">
        <w:rPr>
          <w:color w:val="833C0B" w:themeColor="accent2" w:themeShade="80"/>
          <w:u w:color="000000"/>
          <w:lang w:val="es-PE"/>
        </w:rPr>
        <w:t xml:space="preserve"> XII</w:t>
      </w:r>
      <w:r w:rsidRPr="005B6D62">
        <w:rPr>
          <w:lang w:val="es-PE"/>
        </w:rPr>
        <w:t xml:space="preserve">.72s. </w:t>
      </w:r>
    </w:p>
    <w:p w14:paraId="5F960940" w14:textId="77777777" w:rsidR="00597DE2" w:rsidRPr="005B6D62" w:rsidRDefault="00597DE2" w:rsidP="00597DE2">
      <w:pPr>
        <w:pStyle w:val="ParrafoApendice"/>
        <w:rPr>
          <w:lang w:val="es-PE"/>
        </w:rPr>
      </w:pPr>
      <w:r w:rsidRPr="005B6D62">
        <w:rPr>
          <w:lang w:val="es-PE"/>
        </w:rPr>
        <w:t>El Perfecto (</w:t>
      </w:r>
      <w:proofErr w:type="spellStart"/>
      <w:r w:rsidRPr="005B6D62">
        <w:rPr>
          <w:i/>
          <w:iCs/>
          <w:lang w:val="es-PE"/>
        </w:rPr>
        <w:t>tathāgata</w:t>
      </w:r>
      <w:proofErr w:type="spellEnd"/>
      <w:r w:rsidRPr="005B6D62">
        <w:rPr>
          <w:lang w:val="es-PE"/>
        </w:rPr>
        <w:t xml:space="preserve">) VII.n.10 </w:t>
      </w:r>
    </w:p>
    <w:p w14:paraId="19EDB904" w14:textId="77777777" w:rsidR="00597DE2" w:rsidRPr="005B6D62" w:rsidRDefault="00597DE2" w:rsidP="00597DE2">
      <w:pPr>
        <w:pStyle w:val="ParrafoApendice"/>
        <w:rPr>
          <w:lang w:val="es-PE"/>
        </w:rPr>
      </w:pPr>
      <w:r w:rsidRPr="005B6D62">
        <w:rPr>
          <w:lang w:val="es-PE"/>
        </w:rPr>
        <w:t>elefante (</w:t>
      </w:r>
      <w:proofErr w:type="spellStart"/>
      <w:r w:rsidRPr="005B6D62">
        <w:rPr>
          <w:i/>
          <w:iCs/>
          <w:lang w:val="es-PE"/>
        </w:rPr>
        <w:t>hatthin</w:t>
      </w:r>
      <w:proofErr w:type="spellEnd"/>
      <w:r w:rsidRPr="005B6D62">
        <w:rPr>
          <w:lang w:val="es-PE"/>
        </w:rPr>
        <w:t xml:space="preserve">) XXI.n.15 </w:t>
      </w:r>
    </w:p>
    <w:p w14:paraId="4FDF7CFC" w14:textId="77777777" w:rsidR="00597DE2" w:rsidRPr="005B6D62" w:rsidRDefault="00597DE2" w:rsidP="00597DE2">
      <w:pPr>
        <w:pStyle w:val="ParrafoApendice"/>
        <w:rPr>
          <w:lang w:val="es-PE"/>
        </w:rPr>
      </w:pPr>
      <w:r w:rsidRPr="005B6D62">
        <w:rPr>
          <w:lang w:val="es-PE"/>
        </w:rPr>
        <w:t>elemento (</w:t>
      </w:r>
      <w:proofErr w:type="spellStart"/>
      <w:r w:rsidRPr="005B6D62">
        <w:rPr>
          <w:i/>
          <w:iCs/>
          <w:lang w:val="es-PE"/>
        </w:rPr>
        <w:t>dhātu</w:t>
      </w:r>
      <w:proofErr w:type="spellEnd"/>
      <w:r w:rsidRPr="005B6D62">
        <w:rPr>
          <w:lang w:val="es-PE"/>
        </w:rPr>
        <w:t xml:space="preserve">) I.86, 97; III.80; VII.28, 38, n.1; VIII.43, 60s, 159, 180, </w:t>
      </w:r>
      <w:r w:rsidRPr="005B6D62">
        <w:rPr>
          <w:strike/>
          <w:color w:val="833C0B" w:themeColor="accent2" w:themeShade="80"/>
          <w:u w:color="000000"/>
          <w:lang w:val="es-PE"/>
        </w:rPr>
        <w:t>n.43, n.68</w:t>
      </w:r>
      <w:r w:rsidRPr="005B6D62">
        <w:rPr>
          <w:lang w:val="es-PE"/>
        </w:rPr>
        <w:t xml:space="preserve">; IX.38; XI.27s., 87s., 93, 104, n.19; XII.37; XIV.47, 65; XV.17s., n.11; XVI.59; XVII.156; XVIII.5, 9, 19; XX.9, 64 </w:t>
      </w:r>
    </w:p>
    <w:p w14:paraId="4BCAA1AB" w14:textId="77777777" w:rsidR="00597DE2" w:rsidRPr="005B6D62" w:rsidRDefault="00597DE2" w:rsidP="00597DE2">
      <w:pPr>
        <w:pStyle w:val="ParrafoApendice"/>
        <w:rPr>
          <w:lang w:val="es-PE"/>
        </w:rPr>
      </w:pPr>
      <w:r w:rsidRPr="005B6D62">
        <w:rPr>
          <w:lang w:val="es-PE"/>
        </w:rPr>
        <w:t>elemento del oído divino (</w:t>
      </w:r>
      <w:proofErr w:type="spellStart"/>
      <w:r w:rsidRPr="005B6D62">
        <w:rPr>
          <w:i/>
          <w:iCs/>
          <w:lang w:val="es-PE"/>
        </w:rPr>
        <w:t>dibba</w:t>
      </w:r>
      <w:proofErr w:type="spellEnd"/>
      <w:r w:rsidRPr="005B6D62">
        <w:rPr>
          <w:i/>
          <w:iCs/>
          <w:lang w:val="es-PE"/>
        </w:rPr>
        <w:t>–</w:t>
      </w:r>
      <w:proofErr w:type="spellStart"/>
      <w:r w:rsidRPr="005B6D62">
        <w:rPr>
          <w:i/>
          <w:iCs/>
          <w:lang w:val="es-PE"/>
        </w:rPr>
        <w:t>sotadhātu</w:t>
      </w:r>
      <w:proofErr w:type="spellEnd"/>
      <w:r w:rsidRPr="005B6D62">
        <w:rPr>
          <w:lang w:val="es-PE"/>
        </w:rPr>
        <w:t xml:space="preserve">) III.109; XII.2s, 136; XIII.1s., 109 </w:t>
      </w:r>
    </w:p>
    <w:p w14:paraId="37A8F9F5" w14:textId="77777777" w:rsidR="00597DE2" w:rsidRPr="00C7553D" w:rsidRDefault="00597DE2" w:rsidP="00597DE2">
      <w:pPr>
        <w:pStyle w:val="ParrafoApendice"/>
        <w:rPr>
          <w:lang w:val="es-PE"/>
        </w:rPr>
      </w:pPr>
      <w:r>
        <w:rPr>
          <w:lang w:val="es-PE"/>
        </w:rPr>
        <w:t>e</w:t>
      </w:r>
      <w:r w:rsidRPr="00C7553D">
        <w:rPr>
          <w:lang w:val="es-PE"/>
        </w:rPr>
        <w:t>l</w:t>
      </w:r>
      <w:r>
        <w:rPr>
          <w:lang w:val="es-PE"/>
        </w:rPr>
        <w:t>emento primario</w:t>
      </w:r>
      <w:r w:rsidRPr="00C7553D">
        <w:rPr>
          <w:lang w:val="es-PE"/>
        </w:rPr>
        <w:t xml:space="preserve"> (</w:t>
      </w:r>
      <w:r w:rsidRPr="00C7553D">
        <w:rPr>
          <w:i/>
          <w:iCs/>
          <w:lang w:val="es-PE"/>
        </w:rPr>
        <w:t>bhūta</w:t>
      </w:r>
      <w:r w:rsidRPr="00C7553D">
        <w:rPr>
          <w:lang w:val="es-PE"/>
        </w:rPr>
        <w:t xml:space="preserve">), </w:t>
      </w:r>
      <w:r>
        <w:rPr>
          <w:lang w:val="es-PE"/>
        </w:rPr>
        <w:t xml:space="preserve">grandes primarios </w:t>
      </w:r>
      <w:r w:rsidRPr="00C7553D">
        <w:rPr>
          <w:lang w:val="es-PE"/>
        </w:rPr>
        <w:t>(</w:t>
      </w:r>
      <w:proofErr w:type="spellStart"/>
      <w:r w:rsidRPr="00A80D77">
        <w:rPr>
          <w:i/>
          <w:iCs/>
          <w:lang w:val="es-PE"/>
        </w:rPr>
        <w:t>mahā</w:t>
      </w:r>
      <w:proofErr w:type="spellEnd"/>
      <w:r w:rsidRPr="00A80D77">
        <w:rPr>
          <w:i/>
          <w:iCs/>
          <w:lang w:val="es-PE"/>
        </w:rPr>
        <w:t>–bhūta</w:t>
      </w:r>
      <w:r w:rsidRPr="00C7553D">
        <w:rPr>
          <w:lang w:val="es-PE"/>
        </w:rPr>
        <w:t>) VIII.27</w:t>
      </w:r>
      <w:r>
        <w:rPr>
          <w:lang w:val="es-PE"/>
        </w:rPr>
        <w:t>s</w:t>
      </w:r>
      <w:r w:rsidRPr="00C7553D">
        <w:rPr>
          <w:lang w:val="es-PE"/>
        </w:rPr>
        <w:t>., 45, 180; XI.</w:t>
      </w:r>
      <w:r w:rsidRPr="00CC4C78">
        <w:rPr>
          <w:color w:val="833C0B" w:themeColor="accent2" w:themeShade="80"/>
          <w:lang w:val="es-PE"/>
        </w:rPr>
        <w:t>43s.</w:t>
      </w:r>
      <w:r>
        <w:rPr>
          <w:lang w:val="es-PE"/>
        </w:rPr>
        <w:t xml:space="preserve">, </w:t>
      </w:r>
      <w:r w:rsidRPr="00C7553D">
        <w:rPr>
          <w:lang w:val="es-PE"/>
        </w:rPr>
        <w:t>96; XIV.34</w:t>
      </w:r>
      <w:r w:rsidRPr="00BF6CC8">
        <w:rPr>
          <w:color w:val="833C0B" w:themeColor="accent2" w:themeShade="80"/>
          <w:lang w:val="es-PE"/>
        </w:rPr>
        <w:t>s.</w:t>
      </w:r>
      <w:r w:rsidRPr="00C7553D">
        <w:rPr>
          <w:lang w:val="es-PE"/>
        </w:rPr>
        <w:t>, n.17, n.18, n.27, n.32; XVII.156; XVIII.4, 14, 24; XXI.35, 86</w:t>
      </w:r>
    </w:p>
    <w:p w14:paraId="688A07DD" w14:textId="77777777" w:rsidR="00597DE2" w:rsidRPr="005B6D62" w:rsidRDefault="00597DE2" w:rsidP="00597DE2">
      <w:pPr>
        <w:pStyle w:val="ParrafoApendice"/>
        <w:rPr>
          <w:lang w:val="es-PE"/>
        </w:rPr>
      </w:pPr>
      <w:r w:rsidRPr="005B6D62">
        <w:rPr>
          <w:lang w:val="es-PE"/>
        </w:rPr>
        <w:t>elemento–iniciativa (</w:t>
      </w:r>
      <w:proofErr w:type="spellStart"/>
      <w:r w:rsidRPr="005B6D62">
        <w:rPr>
          <w:i/>
          <w:iCs/>
          <w:lang w:val="es-PE"/>
        </w:rPr>
        <w:t>ārambha</w:t>
      </w:r>
      <w:proofErr w:type="spellEnd"/>
      <w:r w:rsidRPr="005B6D62">
        <w:rPr>
          <w:i/>
          <w:iCs/>
          <w:lang w:val="es-PE"/>
        </w:rPr>
        <w:t>–</w:t>
      </w:r>
      <w:proofErr w:type="spellStart"/>
      <w:r w:rsidRPr="005B6D62">
        <w:rPr>
          <w:i/>
          <w:iCs/>
          <w:lang w:val="es-PE"/>
        </w:rPr>
        <w:t>dhātu</w:t>
      </w:r>
      <w:proofErr w:type="spellEnd"/>
      <w:r w:rsidRPr="005B6D62">
        <w:rPr>
          <w:lang w:val="es-PE"/>
        </w:rPr>
        <w:t xml:space="preserve">) IV.52, 124; XV.25, 28 </w:t>
      </w:r>
    </w:p>
    <w:p w14:paraId="125C9DA7" w14:textId="77777777" w:rsidR="00597DE2" w:rsidRPr="005B6D62" w:rsidRDefault="00597DE2" w:rsidP="00597DE2">
      <w:pPr>
        <w:pStyle w:val="ParrafoApendice"/>
        <w:rPr>
          <w:lang w:val="es-PE"/>
        </w:rPr>
      </w:pPr>
      <w:r w:rsidRPr="005B6D62">
        <w:rPr>
          <w:lang w:val="es-PE"/>
        </w:rPr>
        <w:t>elevada virtud (</w:t>
      </w:r>
      <w:proofErr w:type="spellStart"/>
      <w:r w:rsidRPr="005B6D62">
        <w:rPr>
          <w:i/>
          <w:iCs/>
          <w:lang w:val="es-PE"/>
        </w:rPr>
        <w:t>adhisīla</w:t>
      </w:r>
      <w:proofErr w:type="spellEnd"/>
      <w:r w:rsidRPr="005B6D62">
        <w:rPr>
          <w:lang w:val="es-PE"/>
        </w:rPr>
        <w:t xml:space="preserve">) I.10; VIII.173 </w:t>
      </w:r>
    </w:p>
    <w:p w14:paraId="0618C685" w14:textId="77777777" w:rsidR="00597DE2" w:rsidRPr="005B6D62" w:rsidRDefault="00597DE2" w:rsidP="00597DE2">
      <w:pPr>
        <w:pStyle w:val="ParrafoApendice"/>
        <w:rPr>
          <w:lang w:val="es-PE"/>
        </w:rPr>
      </w:pPr>
      <w:r w:rsidRPr="005B6D62">
        <w:rPr>
          <w:lang w:val="es-PE"/>
        </w:rPr>
        <w:t>elevado entendimiento (</w:t>
      </w:r>
      <w:proofErr w:type="spellStart"/>
      <w:r w:rsidRPr="005B6D62">
        <w:rPr>
          <w:i/>
          <w:iCs/>
          <w:lang w:val="es-PE"/>
        </w:rPr>
        <w:t>adhipaññā</w:t>
      </w:r>
      <w:proofErr w:type="spellEnd"/>
      <w:r w:rsidRPr="005B6D62">
        <w:rPr>
          <w:lang w:val="es-PE"/>
        </w:rPr>
        <w:t xml:space="preserve">) I.10; VIII.173 </w:t>
      </w:r>
    </w:p>
    <w:p w14:paraId="7F848E4A" w14:textId="77777777" w:rsidR="00597DE2" w:rsidRPr="005B6D62" w:rsidRDefault="00597DE2" w:rsidP="00597DE2">
      <w:pPr>
        <w:pStyle w:val="ParrafoApendice"/>
        <w:rPr>
          <w:lang w:val="es-PE"/>
        </w:rPr>
      </w:pPr>
      <w:r w:rsidRPr="005B6D62">
        <w:rPr>
          <w:lang w:val="es-PE"/>
        </w:rPr>
        <w:t>embrión (</w:t>
      </w:r>
      <w:proofErr w:type="spellStart"/>
      <w:r w:rsidRPr="005B6D62">
        <w:rPr>
          <w:i/>
          <w:iCs/>
          <w:lang w:val="es-PE"/>
        </w:rPr>
        <w:t>kalala</w:t>
      </w:r>
      <w:proofErr w:type="spellEnd"/>
      <w:r w:rsidRPr="005B6D62">
        <w:rPr>
          <w:lang w:val="es-PE"/>
        </w:rPr>
        <w:t xml:space="preserve">) VIII.30; XVII.117, 152 </w:t>
      </w:r>
    </w:p>
    <w:p w14:paraId="1B53B302" w14:textId="77777777" w:rsidR="00597DE2" w:rsidRPr="005B6D62" w:rsidRDefault="00597DE2" w:rsidP="00597DE2">
      <w:pPr>
        <w:pStyle w:val="ParrafoApendice"/>
        <w:rPr>
          <w:lang w:val="es-PE"/>
        </w:rPr>
      </w:pPr>
      <w:r w:rsidRPr="005B6D62">
        <w:rPr>
          <w:lang w:val="es-PE"/>
        </w:rPr>
        <w:t>emerger (</w:t>
      </w:r>
      <w:proofErr w:type="spellStart"/>
      <w:r w:rsidRPr="005B6D62">
        <w:rPr>
          <w:i/>
          <w:iCs/>
          <w:lang w:val="es-PE"/>
        </w:rPr>
        <w:t>vuṭṭhāna</w:t>
      </w:r>
      <w:proofErr w:type="spellEnd"/>
      <w:r w:rsidRPr="005B6D62">
        <w:rPr>
          <w:lang w:val="es-PE"/>
        </w:rPr>
        <w:t xml:space="preserve">) IV.131; XVI.23; XX.44s.; XXI.83s.; XXIII.13, 49 </w:t>
      </w:r>
    </w:p>
    <w:p w14:paraId="75070C98" w14:textId="77777777" w:rsidR="00597DE2" w:rsidRPr="005B6D62" w:rsidRDefault="00597DE2" w:rsidP="00597DE2">
      <w:pPr>
        <w:pStyle w:val="ParrafoApendice"/>
        <w:rPr>
          <w:lang w:val="es-PE"/>
        </w:rPr>
      </w:pPr>
      <w:r w:rsidRPr="005B6D62">
        <w:rPr>
          <w:lang w:val="es-PE"/>
        </w:rPr>
        <w:t>energía (</w:t>
      </w:r>
      <w:proofErr w:type="spellStart"/>
      <w:r w:rsidRPr="005B6D62">
        <w:rPr>
          <w:i/>
          <w:iCs/>
          <w:lang w:val="es-PE"/>
        </w:rPr>
        <w:t>viriya</w:t>
      </w:r>
      <w:proofErr w:type="spellEnd"/>
      <w:r w:rsidRPr="005B6D62">
        <w:rPr>
          <w:lang w:val="es-PE"/>
        </w:rPr>
        <w:t xml:space="preserve">) I.18, 26, 33, 111; II.88; III.24; IV.45s., 51, 72, 113; VII.7, n.8; IX.124; XII.12, 17, 50; XIV.133, 137, 159, 170, 176, 183; XVI.1, 86; XVII.72; XX.119; XXII.35s. </w:t>
      </w:r>
    </w:p>
    <w:p w14:paraId="2A7B1E41" w14:textId="77777777" w:rsidR="00597DE2" w:rsidRPr="00152F22" w:rsidRDefault="00597DE2" w:rsidP="00597DE2">
      <w:pPr>
        <w:pStyle w:val="ParrafoApendice"/>
        <w:rPr>
          <w:lang w:val="es-PE"/>
        </w:rPr>
      </w:pPr>
      <w:r w:rsidRPr="00152F22">
        <w:rPr>
          <w:lang w:val="es-PE"/>
        </w:rPr>
        <w:t>enfermedad (</w:t>
      </w:r>
      <w:proofErr w:type="spellStart"/>
      <w:r w:rsidRPr="00152F22">
        <w:rPr>
          <w:i/>
          <w:iCs/>
          <w:lang w:val="es-PE"/>
        </w:rPr>
        <w:t>byādhi</w:t>
      </w:r>
      <w:proofErr w:type="spellEnd"/>
      <w:r w:rsidRPr="00152F22">
        <w:rPr>
          <w:lang w:val="es-PE"/>
        </w:rPr>
        <w:t xml:space="preserve">) IV.63 </w:t>
      </w:r>
    </w:p>
    <w:p w14:paraId="504460FB" w14:textId="77777777" w:rsidR="00597DE2" w:rsidRPr="005B6D62" w:rsidRDefault="00597DE2" w:rsidP="00597DE2">
      <w:pPr>
        <w:pStyle w:val="ParrafoApendice"/>
        <w:rPr>
          <w:lang w:val="es-PE"/>
        </w:rPr>
      </w:pPr>
      <w:r w:rsidRPr="005B6D62">
        <w:rPr>
          <w:lang w:val="es-PE"/>
        </w:rPr>
        <w:t>enfermedad (</w:t>
      </w:r>
      <w:proofErr w:type="spellStart"/>
      <w:r w:rsidRPr="005B6D62">
        <w:rPr>
          <w:i/>
          <w:iCs/>
          <w:lang w:val="es-PE"/>
        </w:rPr>
        <w:t>roga</w:t>
      </w:r>
      <w:proofErr w:type="spellEnd"/>
      <w:r w:rsidRPr="005B6D62">
        <w:rPr>
          <w:lang w:val="es-PE"/>
        </w:rPr>
        <w:t xml:space="preserve">) XI.21; XX.18; XXI.35, 48, 59; XXII.98 </w:t>
      </w:r>
    </w:p>
    <w:p w14:paraId="6A494DF4" w14:textId="77777777" w:rsidR="00597DE2" w:rsidRPr="005B6D62" w:rsidRDefault="00597DE2" w:rsidP="00597DE2">
      <w:pPr>
        <w:pStyle w:val="ParrafoApendice"/>
        <w:rPr>
          <w:lang w:val="es-PE"/>
        </w:rPr>
      </w:pPr>
      <w:r w:rsidRPr="005B6D62">
        <w:rPr>
          <w:lang w:val="es-PE"/>
        </w:rPr>
        <w:t>engaño (</w:t>
      </w:r>
      <w:proofErr w:type="spellStart"/>
      <w:r w:rsidRPr="005B6D62">
        <w:rPr>
          <w:i/>
          <w:iCs/>
          <w:lang w:val="es-PE"/>
        </w:rPr>
        <w:t>māyā</w:t>
      </w:r>
      <w:proofErr w:type="spellEnd"/>
      <w:r w:rsidRPr="005B6D62">
        <w:rPr>
          <w:lang w:val="es-PE"/>
        </w:rPr>
        <w:t xml:space="preserve">) I.151; III.95; VII.59 </w:t>
      </w:r>
    </w:p>
    <w:p w14:paraId="19408281" w14:textId="77777777" w:rsidR="00597DE2" w:rsidRPr="005B6D62" w:rsidRDefault="00597DE2" w:rsidP="00597DE2">
      <w:pPr>
        <w:pStyle w:val="ParrafoApendice"/>
        <w:rPr>
          <w:lang w:val="es-PE"/>
        </w:rPr>
      </w:pPr>
      <w:r w:rsidRPr="005B6D62">
        <w:rPr>
          <w:lang w:val="es-PE"/>
        </w:rPr>
        <w:t>engaño (</w:t>
      </w:r>
      <w:proofErr w:type="spellStart"/>
      <w:r w:rsidRPr="005B6D62">
        <w:rPr>
          <w:i/>
          <w:iCs/>
          <w:lang w:val="es-PE"/>
        </w:rPr>
        <w:t>sāṭheyya</w:t>
      </w:r>
      <w:proofErr w:type="spellEnd"/>
      <w:r w:rsidRPr="005B6D62">
        <w:rPr>
          <w:lang w:val="es-PE"/>
        </w:rPr>
        <w:t xml:space="preserve">) I.151; III.95; VII.59 </w:t>
      </w:r>
    </w:p>
    <w:p w14:paraId="5ADB41D0" w14:textId="77777777" w:rsidR="00597DE2" w:rsidRPr="00787A44" w:rsidRDefault="00597DE2" w:rsidP="00597DE2">
      <w:pPr>
        <w:pStyle w:val="ParrafoApendice"/>
        <w:rPr>
          <w:lang w:val="es-PE"/>
        </w:rPr>
      </w:pPr>
      <w:r>
        <w:rPr>
          <w:lang w:val="es-PE"/>
        </w:rPr>
        <w:t>E</w:t>
      </w:r>
      <w:r w:rsidRPr="00787A44">
        <w:rPr>
          <w:lang w:val="es-PE"/>
        </w:rPr>
        <w:t>nseñanza (</w:t>
      </w:r>
      <w:proofErr w:type="spellStart"/>
      <w:r w:rsidRPr="00787A44">
        <w:rPr>
          <w:i/>
          <w:iCs/>
          <w:lang w:val="es-PE"/>
        </w:rPr>
        <w:t>desanā</w:t>
      </w:r>
      <w:proofErr w:type="spellEnd"/>
      <w:r w:rsidRPr="00787A44">
        <w:rPr>
          <w:lang w:val="es-PE"/>
        </w:rPr>
        <w:t xml:space="preserve">) I.126 </w:t>
      </w:r>
    </w:p>
    <w:p w14:paraId="2878B62F" w14:textId="77777777" w:rsidR="00597DE2" w:rsidRPr="003D757F" w:rsidRDefault="00597DE2" w:rsidP="00597DE2">
      <w:pPr>
        <w:pStyle w:val="ParrafoApendice"/>
        <w:rPr>
          <w:lang w:val="es-PE"/>
        </w:rPr>
      </w:pPr>
      <w:r w:rsidRPr="003D757F">
        <w:rPr>
          <w:lang w:val="es-PE"/>
        </w:rPr>
        <w:t>en</w:t>
      </w:r>
      <w:r>
        <w:rPr>
          <w:lang w:val="es-PE"/>
        </w:rPr>
        <w:t>tendimiento, sabiduría</w:t>
      </w:r>
      <w:r w:rsidRPr="003D757F">
        <w:rPr>
          <w:lang w:val="es-PE"/>
        </w:rPr>
        <w:t xml:space="preserve"> (</w:t>
      </w:r>
      <w:r w:rsidRPr="003D757F">
        <w:rPr>
          <w:i/>
          <w:iCs/>
          <w:lang w:val="es-PE"/>
        </w:rPr>
        <w:t>paññā</w:t>
      </w:r>
      <w:r w:rsidRPr="003D757F">
        <w:rPr>
          <w:lang w:val="es-PE"/>
        </w:rPr>
        <w:t>) I.7, 123; III.15; IV.45, 117</w:t>
      </w:r>
      <w:r>
        <w:rPr>
          <w:lang w:val="es-PE"/>
        </w:rPr>
        <w:t>s</w:t>
      </w:r>
      <w:r w:rsidRPr="003D757F">
        <w:rPr>
          <w:lang w:val="es-PE"/>
        </w:rPr>
        <w:t>.; V.41; VII.n.8, n.9; VIII.111, 173; IX.124; XII.17; XIV.2</w:t>
      </w:r>
      <w:r>
        <w:rPr>
          <w:lang w:val="es-PE"/>
        </w:rPr>
        <w:t>s</w:t>
      </w:r>
      <w:r w:rsidRPr="003D757F">
        <w:rPr>
          <w:lang w:val="es-PE"/>
        </w:rPr>
        <w:t>.; XVI.1, 86, 99; XX.3, 7; XXI.12, 37, 74</w:t>
      </w:r>
      <w:r>
        <w:rPr>
          <w:lang w:val="es-PE"/>
        </w:rPr>
        <w:t>s</w:t>
      </w:r>
      <w:r w:rsidRPr="003D757F">
        <w:rPr>
          <w:lang w:val="es-PE"/>
        </w:rPr>
        <w:t xml:space="preserve">., 89; XXII.42, 45, 98; </w:t>
      </w:r>
      <w:r w:rsidRPr="00122EBC">
        <w:rPr>
          <w:color w:val="833C0B" w:themeColor="accent2" w:themeShade="80"/>
          <w:lang w:val="es-PE"/>
        </w:rPr>
        <w:t>XXIII</w:t>
      </w:r>
      <w:r w:rsidRPr="003D757F">
        <w:rPr>
          <w:lang w:val="es-PE"/>
        </w:rPr>
        <w:t xml:space="preserve">.2 </w:t>
      </w:r>
    </w:p>
    <w:p w14:paraId="39F1F8F3" w14:textId="77777777" w:rsidR="00597DE2" w:rsidRPr="005B6D62" w:rsidRDefault="00597DE2" w:rsidP="00597DE2">
      <w:pPr>
        <w:pStyle w:val="ParrafoApendice"/>
        <w:rPr>
          <w:lang w:val="es-PE"/>
        </w:rPr>
      </w:pPr>
      <w:r w:rsidRPr="005B6D62">
        <w:rPr>
          <w:lang w:val="es-PE"/>
        </w:rPr>
        <w:t>entidad comprensible (</w:t>
      </w:r>
      <w:proofErr w:type="spellStart"/>
      <w:r w:rsidRPr="005B6D62">
        <w:rPr>
          <w:i/>
          <w:iCs/>
          <w:lang w:val="es-PE"/>
        </w:rPr>
        <w:t>viggaha</w:t>
      </w:r>
      <w:proofErr w:type="spellEnd"/>
      <w:r w:rsidRPr="005B6D62">
        <w:rPr>
          <w:lang w:val="es-PE"/>
        </w:rPr>
        <w:t xml:space="preserve">) XV.n.1; XVI.n.6; XX.n.28 </w:t>
      </w:r>
    </w:p>
    <w:p w14:paraId="12E84DE2" w14:textId="77777777" w:rsidR="00597DE2" w:rsidRPr="005B6D62" w:rsidRDefault="00597DE2" w:rsidP="00597DE2">
      <w:pPr>
        <w:pStyle w:val="ParrafoApendice"/>
        <w:rPr>
          <w:lang w:val="es-PE"/>
        </w:rPr>
      </w:pPr>
      <w:r w:rsidRPr="005B6D62">
        <w:rPr>
          <w:lang w:val="es-PE"/>
        </w:rPr>
        <w:t>Entrada a (</w:t>
      </w:r>
      <w:proofErr w:type="spellStart"/>
      <w:r w:rsidRPr="005B6D62">
        <w:rPr>
          <w:i/>
          <w:iCs/>
          <w:lang w:val="es-PE"/>
        </w:rPr>
        <w:t>pakkhandana</w:t>
      </w:r>
      <w:proofErr w:type="spellEnd"/>
      <w:r w:rsidRPr="005B6D62">
        <w:rPr>
          <w:lang w:val="es-PE"/>
        </w:rPr>
        <w:t xml:space="preserve">) XIV.140; XXI.18; XXII.n.2 </w:t>
      </w:r>
    </w:p>
    <w:p w14:paraId="75009524" w14:textId="77777777" w:rsidR="00597DE2" w:rsidRPr="00B23AA7" w:rsidRDefault="00597DE2" w:rsidP="00597DE2">
      <w:pPr>
        <w:pStyle w:val="ParrafoApendice"/>
        <w:rPr>
          <w:lang w:val="es-PE"/>
        </w:rPr>
      </w:pPr>
      <w:bookmarkStart w:id="17" w:name="_Hlk158063973"/>
      <w:r w:rsidRPr="00F1111C">
        <w:rPr>
          <w:lang w:val="es-PE"/>
        </w:rPr>
        <w:t>en</w:t>
      </w:r>
      <w:r>
        <w:rPr>
          <w:lang w:val="es-PE"/>
        </w:rPr>
        <w:t>trada</w:t>
      </w:r>
      <w:r>
        <w:rPr>
          <w:rFonts w:cs="Cormorant"/>
          <w:lang w:val="es-PE"/>
        </w:rPr>
        <w:t>‒</w:t>
      </w:r>
      <w:r>
        <w:rPr>
          <w:lang w:val="es-PE"/>
        </w:rPr>
        <w:t>a</w:t>
      </w:r>
      <w:r>
        <w:rPr>
          <w:rFonts w:cs="Cormorant"/>
          <w:lang w:val="es-PE"/>
        </w:rPr>
        <w:t>‒</w:t>
      </w:r>
      <w:r>
        <w:rPr>
          <w:lang w:val="es-PE"/>
        </w:rPr>
        <w:t>la</w:t>
      </w:r>
      <w:r>
        <w:rPr>
          <w:rFonts w:cs="Cormorant"/>
          <w:lang w:val="es-PE"/>
        </w:rPr>
        <w:t>‒</w:t>
      </w:r>
      <w:r>
        <w:rPr>
          <w:lang w:val="es-PE"/>
        </w:rPr>
        <w:t>corriente</w:t>
      </w:r>
      <w:r w:rsidRPr="00F1111C">
        <w:rPr>
          <w:lang w:val="es-PE"/>
        </w:rPr>
        <w:t xml:space="preserve"> </w:t>
      </w:r>
      <w:bookmarkEnd w:id="17"/>
      <w:r w:rsidRPr="00B23AA7">
        <w:rPr>
          <w:lang w:val="es-PE"/>
        </w:rPr>
        <w:t>(</w:t>
      </w:r>
      <w:proofErr w:type="spellStart"/>
      <w:r w:rsidRPr="00B23AA7">
        <w:rPr>
          <w:i/>
          <w:iCs/>
          <w:lang w:val="es-PE"/>
        </w:rPr>
        <w:t>sotāpatti</w:t>
      </w:r>
      <w:proofErr w:type="spellEnd"/>
      <w:r w:rsidRPr="00B23AA7">
        <w:rPr>
          <w:lang w:val="es-PE"/>
        </w:rPr>
        <w:t xml:space="preserve">) I.14, 140; XIV.206, n.63; XVII.245; XXI.75; XXII.2, 14, 45; XXIII.4, 7, 25 </w:t>
      </w:r>
      <w:r>
        <w:rPr>
          <w:lang w:val="es-PE"/>
        </w:rPr>
        <w:br w:type="column"/>
      </w:r>
    </w:p>
    <w:p w14:paraId="32666F34" w14:textId="77777777" w:rsidR="00597DE2" w:rsidRPr="00F1111C" w:rsidRDefault="00597DE2" w:rsidP="00597DE2">
      <w:pPr>
        <w:pStyle w:val="ParrafoApendice"/>
        <w:rPr>
          <w:lang w:val="es-PE"/>
        </w:rPr>
      </w:pPr>
      <w:r w:rsidRPr="00F1111C">
        <w:rPr>
          <w:lang w:val="es-PE"/>
        </w:rPr>
        <w:t>en</w:t>
      </w:r>
      <w:r>
        <w:rPr>
          <w:lang w:val="es-PE"/>
        </w:rPr>
        <w:t>trante</w:t>
      </w:r>
      <w:r>
        <w:rPr>
          <w:rFonts w:cs="Cormorant"/>
          <w:lang w:val="es-PE"/>
        </w:rPr>
        <w:t>‒</w:t>
      </w:r>
      <w:r>
        <w:rPr>
          <w:lang w:val="es-PE"/>
        </w:rPr>
        <w:t>a</w:t>
      </w:r>
      <w:r>
        <w:rPr>
          <w:rFonts w:cs="Cormorant"/>
          <w:lang w:val="es-PE"/>
        </w:rPr>
        <w:t>‒</w:t>
      </w:r>
      <w:r>
        <w:rPr>
          <w:lang w:val="es-PE"/>
        </w:rPr>
        <w:t>la</w:t>
      </w:r>
      <w:r>
        <w:rPr>
          <w:rFonts w:cs="Cormorant"/>
          <w:lang w:val="es-PE"/>
        </w:rPr>
        <w:t>‒</w:t>
      </w:r>
      <w:r>
        <w:rPr>
          <w:lang w:val="es-PE"/>
        </w:rPr>
        <w:t>corriente</w:t>
      </w:r>
      <w:r w:rsidRPr="00F1111C">
        <w:rPr>
          <w:lang w:val="es-PE"/>
        </w:rPr>
        <w:t xml:space="preserve"> (</w:t>
      </w:r>
      <w:r w:rsidRPr="00F1111C">
        <w:rPr>
          <w:i/>
          <w:iCs/>
          <w:lang w:val="es-PE"/>
        </w:rPr>
        <w:t>sotāpanna</w:t>
      </w:r>
      <w:r w:rsidRPr="00F1111C">
        <w:rPr>
          <w:lang w:val="es-PE"/>
        </w:rPr>
        <w:t xml:space="preserve">) III.128; XIII.110; XIX.27; XXII.18; XXIII.7, 18, 55 </w:t>
      </w:r>
    </w:p>
    <w:p w14:paraId="1EC4F1BD" w14:textId="77777777" w:rsidR="00597DE2" w:rsidRPr="005B6D62" w:rsidRDefault="00597DE2" w:rsidP="00597DE2">
      <w:pPr>
        <w:pStyle w:val="ParrafoApendice"/>
        <w:rPr>
          <w:lang w:val="es-PE"/>
        </w:rPr>
      </w:pPr>
      <w:r w:rsidRPr="00F1111C">
        <w:rPr>
          <w:lang w:val="es-PE"/>
        </w:rPr>
        <w:t>en</w:t>
      </w:r>
      <w:r>
        <w:rPr>
          <w:lang w:val="es-PE"/>
        </w:rPr>
        <w:t>trante</w:t>
      </w:r>
      <w:r>
        <w:rPr>
          <w:rFonts w:cs="Cormorant"/>
          <w:lang w:val="es-PE"/>
        </w:rPr>
        <w:t>‒</w:t>
      </w:r>
      <w:r>
        <w:rPr>
          <w:lang w:val="es-PE"/>
        </w:rPr>
        <w:t>a</w:t>
      </w:r>
      <w:r>
        <w:rPr>
          <w:rFonts w:cs="Cormorant"/>
          <w:lang w:val="es-PE"/>
        </w:rPr>
        <w:t>‒</w:t>
      </w:r>
      <w:r>
        <w:rPr>
          <w:lang w:val="es-PE"/>
        </w:rPr>
        <w:t>la</w:t>
      </w:r>
      <w:r>
        <w:rPr>
          <w:rFonts w:cs="Cormorant"/>
          <w:lang w:val="es-PE"/>
        </w:rPr>
        <w:t>‒</w:t>
      </w:r>
      <w:r>
        <w:rPr>
          <w:lang w:val="es-PE"/>
        </w:rPr>
        <w:t>corriente</w:t>
      </w:r>
      <w:r w:rsidRPr="00F1111C">
        <w:rPr>
          <w:lang w:val="es-PE"/>
        </w:rPr>
        <w:t xml:space="preserve"> </w:t>
      </w:r>
      <w:r w:rsidRPr="005B6D62">
        <w:rPr>
          <w:lang w:val="es-PE"/>
        </w:rPr>
        <w:t>men</w:t>
      </w:r>
      <w:r>
        <w:rPr>
          <w:lang w:val="es-PE"/>
        </w:rPr>
        <w:t>or</w:t>
      </w:r>
      <w:r w:rsidRPr="005B6D62">
        <w:rPr>
          <w:lang w:val="es-PE"/>
        </w:rPr>
        <w:t xml:space="preserve"> (</w:t>
      </w:r>
      <w:proofErr w:type="spellStart"/>
      <w:r w:rsidRPr="005B6D62">
        <w:rPr>
          <w:i/>
          <w:iCs/>
          <w:lang w:val="es-PE"/>
        </w:rPr>
        <w:t>cūḷa</w:t>
      </w:r>
      <w:proofErr w:type="spellEnd"/>
      <w:r w:rsidRPr="005B6D62">
        <w:rPr>
          <w:lang w:val="es-PE"/>
        </w:rPr>
        <w:t>–</w:t>
      </w:r>
      <w:r w:rsidRPr="005B6D62">
        <w:rPr>
          <w:i/>
          <w:iCs/>
          <w:lang w:val="es-PE"/>
        </w:rPr>
        <w:t>sotāpanna</w:t>
      </w:r>
      <w:r w:rsidRPr="005B6D62">
        <w:rPr>
          <w:lang w:val="es-PE"/>
        </w:rPr>
        <w:t xml:space="preserve">) XIX.27 </w:t>
      </w:r>
    </w:p>
    <w:p w14:paraId="047A9CF5" w14:textId="77777777" w:rsidR="00597DE2" w:rsidRPr="00E76AB0" w:rsidRDefault="00597DE2" w:rsidP="00597DE2">
      <w:pPr>
        <w:pStyle w:val="ParrafoApendice"/>
        <w:rPr>
          <w:lang w:val="es-PE"/>
        </w:rPr>
      </w:pPr>
      <w:r w:rsidRPr="00E76AB0">
        <w:rPr>
          <w:lang w:val="es-PE"/>
        </w:rPr>
        <w:t>entrenamiento (</w:t>
      </w:r>
      <w:proofErr w:type="spellStart"/>
      <w:r w:rsidRPr="00E76AB0">
        <w:rPr>
          <w:i/>
          <w:iCs/>
          <w:lang w:val="es-PE"/>
        </w:rPr>
        <w:t>sikkhā</w:t>
      </w:r>
      <w:proofErr w:type="spellEnd"/>
      <w:r w:rsidRPr="00E76AB0">
        <w:rPr>
          <w:lang w:val="es-PE"/>
        </w:rPr>
        <w:t xml:space="preserve">) I.10; </w:t>
      </w:r>
      <w:r w:rsidRPr="0017033D">
        <w:rPr>
          <w:i/>
          <w:iCs/>
          <w:lang w:val="es-PE"/>
        </w:rPr>
        <w:t>preceptos de</w:t>
      </w:r>
      <w:r>
        <w:rPr>
          <w:lang w:val="es-PE"/>
        </w:rPr>
        <w:t xml:space="preserve"> </w:t>
      </w:r>
      <w:r w:rsidRPr="00AC3382">
        <w:rPr>
          <w:i/>
          <w:iCs/>
          <w:lang w:val="es-PE"/>
        </w:rPr>
        <w:t>entrenamiento</w:t>
      </w:r>
      <w:r w:rsidRPr="00E76AB0">
        <w:rPr>
          <w:lang w:val="es-PE"/>
        </w:rPr>
        <w:t xml:space="preserve"> (</w:t>
      </w:r>
      <w:proofErr w:type="spellStart"/>
      <w:r w:rsidRPr="00AC3382">
        <w:rPr>
          <w:i/>
          <w:iCs/>
          <w:lang w:val="es-PE"/>
        </w:rPr>
        <w:t>sikkhā</w:t>
      </w:r>
      <w:proofErr w:type="spellEnd"/>
      <w:r w:rsidRPr="00AC3382">
        <w:rPr>
          <w:i/>
          <w:iCs/>
          <w:lang w:val="es-PE"/>
        </w:rPr>
        <w:t>–pada</w:t>
      </w:r>
      <w:r w:rsidRPr="00E76AB0">
        <w:rPr>
          <w:lang w:val="es-PE"/>
        </w:rPr>
        <w:t xml:space="preserve">) I.40, 52, 98, 131; XIV.8; </w:t>
      </w:r>
      <w:r w:rsidRPr="00D20518">
        <w:rPr>
          <w:i/>
          <w:iCs/>
          <w:lang w:val="es-PE"/>
        </w:rPr>
        <w:t>regla de entrenamiento menor</w:t>
      </w:r>
      <w:r>
        <w:rPr>
          <w:lang w:val="es-PE"/>
        </w:rPr>
        <w:t xml:space="preserve"> </w:t>
      </w:r>
      <w:r w:rsidRPr="00E76AB0">
        <w:rPr>
          <w:lang w:val="es-PE"/>
        </w:rPr>
        <w:t>(</w:t>
      </w:r>
      <w:proofErr w:type="spellStart"/>
      <w:r w:rsidRPr="00D20518">
        <w:rPr>
          <w:i/>
          <w:iCs/>
          <w:lang w:val="es-PE"/>
        </w:rPr>
        <w:t>sekhiya</w:t>
      </w:r>
      <w:proofErr w:type="spellEnd"/>
      <w:r w:rsidRPr="00D20518">
        <w:rPr>
          <w:i/>
          <w:iCs/>
          <w:lang w:val="es-PE"/>
        </w:rPr>
        <w:t>–dhamma</w:t>
      </w:r>
      <w:r w:rsidRPr="00E76AB0">
        <w:rPr>
          <w:lang w:val="es-PE"/>
        </w:rPr>
        <w:t>) I.52; II.29</w:t>
      </w:r>
    </w:p>
    <w:p w14:paraId="6EE40671" w14:textId="77777777" w:rsidR="00597DE2" w:rsidRPr="005B6D62" w:rsidRDefault="00597DE2" w:rsidP="00597DE2">
      <w:pPr>
        <w:pStyle w:val="ParrafoApendice"/>
        <w:rPr>
          <w:lang w:val="es-PE"/>
        </w:rPr>
      </w:pPr>
      <w:r w:rsidRPr="005B6D62">
        <w:rPr>
          <w:lang w:val="es-PE"/>
        </w:rPr>
        <w:t>envidia (</w:t>
      </w:r>
      <w:proofErr w:type="spellStart"/>
      <w:r w:rsidRPr="005B6D62">
        <w:rPr>
          <w:i/>
          <w:iCs/>
          <w:lang w:val="es-PE"/>
        </w:rPr>
        <w:t>issā</w:t>
      </w:r>
      <w:proofErr w:type="spellEnd"/>
      <w:r w:rsidRPr="005B6D62">
        <w:rPr>
          <w:lang w:val="es-PE"/>
        </w:rPr>
        <w:t xml:space="preserve">) III.95; VII.59; XIV.170, 172 </w:t>
      </w:r>
    </w:p>
    <w:p w14:paraId="3CD81A08" w14:textId="77777777" w:rsidR="00597DE2" w:rsidRPr="005B6D62" w:rsidRDefault="00597DE2" w:rsidP="00597DE2">
      <w:pPr>
        <w:pStyle w:val="ParrafoApendice"/>
        <w:rPr>
          <w:lang w:val="es-PE"/>
        </w:rPr>
      </w:pPr>
      <w:r w:rsidRPr="005B6D62">
        <w:rPr>
          <w:lang w:val="es-PE"/>
        </w:rPr>
        <w:t>eón (</w:t>
      </w:r>
      <w:r w:rsidRPr="005B6D62">
        <w:rPr>
          <w:i/>
          <w:iCs/>
          <w:lang w:val="es-PE"/>
        </w:rPr>
        <w:t>kappa</w:t>
      </w:r>
      <w:r w:rsidRPr="005B6D62">
        <w:rPr>
          <w:lang w:val="es-PE"/>
        </w:rPr>
        <w:t xml:space="preserve">) XI.102; XIII.16; </w:t>
      </w:r>
      <w:r w:rsidRPr="005B6D62">
        <w:rPr>
          <w:strike/>
          <w:color w:val="833C0B" w:themeColor="accent2" w:themeShade="80"/>
          <w:u w:color="000000"/>
          <w:lang w:val="es-PE"/>
        </w:rPr>
        <w:t>XI.205</w:t>
      </w:r>
      <w:r w:rsidRPr="005B6D62">
        <w:rPr>
          <w:lang w:val="es-PE"/>
        </w:rPr>
        <w:t>; XX.73</w:t>
      </w:r>
    </w:p>
    <w:p w14:paraId="496B7DD9" w14:textId="77777777" w:rsidR="00597DE2" w:rsidRPr="005B6D62" w:rsidRDefault="00597DE2" w:rsidP="00597DE2">
      <w:pPr>
        <w:pStyle w:val="ParrafoApendice"/>
        <w:rPr>
          <w:lang w:val="es-PE"/>
        </w:rPr>
      </w:pPr>
      <w:r w:rsidRPr="005B6D62">
        <w:rPr>
          <w:lang w:val="es-PE"/>
        </w:rPr>
        <w:t>equilibrio (</w:t>
      </w:r>
      <w:proofErr w:type="spellStart"/>
      <w:r w:rsidRPr="005B6D62">
        <w:rPr>
          <w:i/>
          <w:iCs/>
          <w:lang w:val="es-PE"/>
        </w:rPr>
        <w:t>tādibhāva</w:t>
      </w:r>
      <w:proofErr w:type="spellEnd"/>
      <w:r w:rsidRPr="005B6D62">
        <w:rPr>
          <w:lang w:val="es-PE"/>
        </w:rPr>
        <w:t xml:space="preserve">) I.10; VII.71 </w:t>
      </w:r>
    </w:p>
    <w:p w14:paraId="3BC7B89C" w14:textId="77777777" w:rsidR="00597DE2" w:rsidRPr="005B6D62" w:rsidRDefault="00597DE2" w:rsidP="00597DE2">
      <w:pPr>
        <w:pStyle w:val="ParrafoApendice"/>
        <w:rPr>
          <w:lang w:val="es-PE"/>
        </w:rPr>
      </w:pPr>
      <w:r w:rsidRPr="005B6D62">
        <w:rPr>
          <w:lang w:val="es-PE"/>
        </w:rPr>
        <w:t>erradicación (</w:t>
      </w:r>
      <w:proofErr w:type="spellStart"/>
      <w:r w:rsidRPr="005B6D62">
        <w:rPr>
          <w:i/>
          <w:iCs/>
          <w:lang w:val="es-PE"/>
        </w:rPr>
        <w:t>samuccheda</w:t>
      </w:r>
      <w:proofErr w:type="spellEnd"/>
      <w:r w:rsidRPr="005B6D62">
        <w:rPr>
          <w:lang w:val="es-PE"/>
        </w:rPr>
        <w:t>) I.12; XXII.122</w:t>
      </w:r>
    </w:p>
    <w:p w14:paraId="78021D26" w14:textId="77777777" w:rsidR="00597DE2" w:rsidRPr="005B6D62" w:rsidRDefault="00597DE2" w:rsidP="00597DE2">
      <w:pPr>
        <w:pStyle w:val="ParrafoApendice"/>
        <w:rPr>
          <w:lang w:val="es-PE"/>
        </w:rPr>
      </w:pPr>
      <w:r w:rsidRPr="005B6D62">
        <w:rPr>
          <w:lang w:val="es-PE"/>
        </w:rPr>
        <w:t>error, ver adherencia, apego</w:t>
      </w:r>
    </w:p>
    <w:p w14:paraId="04252AE7" w14:textId="77777777" w:rsidR="00597DE2" w:rsidRPr="005B6D62" w:rsidRDefault="00597DE2" w:rsidP="00597DE2">
      <w:pPr>
        <w:pStyle w:val="ParrafoApendice"/>
        <w:rPr>
          <w:lang w:val="es-PE"/>
        </w:rPr>
      </w:pPr>
      <w:r w:rsidRPr="005B6D62">
        <w:rPr>
          <w:lang w:val="es-PE"/>
        </w:rPr>
        <w:t>escape (</w:t>
      </w:r>
      <w:proofErr w:type="spellStart"/>
      <w:r w:rsidRPr="005B6D62">
        <w:rPr>
          <w:i/>
          <w:iCs/>
          <w:lang w:val="es-PE"/>
        </w:rPr>
        <w:t>nissaraṇa</w:t>
      </w:r>
      <w:proofErr w:type="spellEnd"/>
      <w:r w:rsidRPr="005B6D62">
        <w:rPr>
          <w:lang w:val="es-PE"/>
        </w:rPr>
        <w:t xml:space="preserve">) I.32; IV.82; VII.29; XVI.15 </w:t>
      </w:r>
    </w:p>
    <w:p w14:paraId="20EB8935" w14:textId="77777777" w:rsidR="00597DE2" w:rsidRPr="005B6D62" w:rsidRDefault="00597DE2" w:rsidP="00597DE2">
      <w:pPr>
        <w:pStyle w:val="ParrafoApendice"/>
        <w:rPr>
          <w:lang w:val="es-PE"/>
        </w:rPr>
      </w:pPr>
      <w:r w:rsidRPr="005B6D62">
        <w:rPr>
          <w:lang w:val="es-PE"/>
        </w:rPr>
        <w:t>escape (</w:t>
      </w:r>
      <w:proofErr w:type="spellStart"/>
      <w:r w:rsidRPr="005B6D62">
        <w:rPr>
          <w:i/>
          <w:iCs/>
          <w:lang w:val="es-PE"/>
        </w:rPr>
        <w:t>niyyāna</w:t>
      </w:r>
      <w:proofErr w:type="spellEnd"/>
      <w:r w:rsidRPr="005B6D62">
        <w:rPr>
          <w:lang w:val="es-PE"/>
        </w:rPr>
        <w:t xml:space="preserve">) XVI.15, 25; XXI.67; XXII.38, 97 </w:t>
      </w:r>
    </w:p>
    <w:p w14:paraId="06FB6CF5" w14:textId="77777777" w:rsidR="00597DE2" w:rsidRPr="005B6D62" w:rsidRDefault="00597DE2" w:rsidP="00597DE2">
      <w:pPr>
        <w:pStyle w:val="ParrafoApendice"/>
        <w:rPr>
          <w:lang w:val="es-PE"/>
        </w:rPr>
      </w:pPr>
      <w:r w:rsidRPr="005B6D62">
        <w:rPr>
          <w:lang w:val="es-PE"/>
        </w:rPr>
        <w:t>esclavitud (</w:t>
      </w:r>
      <w:proofErr w:type="spellStart"/>
      <w:r w:rsidRPr="005B6D62">
        <w:rPr>
          <w:i/>
          <w:iCs/>
          <w:lang w:val="es-PE"/>
        </w:rPr>
        <w:t>saṃyoga</w:t>
      </w:r>
      <w:proofErr w:type="spellEnd"/>
      <w:r w:rsidRPr="005B6D62">
        <w:rPr>
          <w:lang w:val="es-PE"/>
        </w:rPr>
        <w:t xml:space="preserve">) I.140; XIV.162; XX.90; XXII.97, 113, 121 </w:t>
      </w:r>
    </w:p>
    <w:p w14:paraId="768F970B" w14:textId="77777777" w:rsidR="00597DE2" w:rsidRPr="00AA7FEE" w:rsidRDefault="00597DE2" w:rsidP="00597DE2">
      <w:pPr>
        <w:pStyle w:val="ParrafoApendice"/>
        <w:rPr>
          <w:lang w:val="es-PE"/>
        </w:rPr>
      </w:pPr>
      <w:r>
        <w:rPr>
          <w:lang w:val="es-PE"/>
        </w:rPr>
        <w:t>escrituras</w:t>
      </w:r>
      <w:r w:rsidRPr="00AA7FEE">
        <w:rPr>
          <w:lang w:val="es-PE"/>
        </w:rPr>
        <w:t xml:space="preserve"> (</w:t>
      </w:r>
      <w:proofErr w:type="spellStart"/>
      <w:r w:rsidRPr="00FA067C">
        <w:rPr>
          <w:i/>
          <w:iCs/>
          <w:lang w:val="es-PE"/>
        </w:rPr>
        <w:t>pariyatti</w:t>
      </w:r>
      <w:proofErr w:type="spellEnd"/>
      <w:r w:rsidRPr="00AA7FEE">
        <w:rPr>
          <w:lang w:val="es-PE"/>
        </w:rPr>
        <w:t xml:space="preserve">) VII.n.1 </w:t>
      </w:r>
    </w:p>
    <w:p w14:paraId="7DA268FE" w14:textId="77777777" w:rsidR="00597DE2" w:rsidRPr="005B6D62" w:rsidRDefault="00597DE2" w:rsidP="00597DE2">
      <w:pPr>
        <w:pStyle w:val="ParrafoApendice"/>
        <w:rPr>
          <w:lang w:val="es-PE"/>
        </w:rPr>
      </w:pPr>
      <w:r w:rsidRPr="005B6D62">
        <w:rPr>
          <w:lang w:val="es-PE"/>
        </w:rPr>
        <w:t>escuchar, oír (</w:t>
      </w:r>
      <w:proofErr w:type="spellStart"/>
      <w:r w:rsidRPr="005B6D62">
        <w:rPr>
          <w:i/>
          <w:iCs/>
          <w:lang w:val="es-PE"/>
        </w:rPr>
        <w:t>savana</w:t>
      </w:r>
      <w:proofErr w:type="spellEnd"/>
      <w:r w:rsidRPr="005B6D62">
        <w:rPr>
          <w:lang w:val="es-PE"/>
        </w:rPr>
        <w:t>) XIV.117; XVII.</w:t>
      </w:r>
      <w:r w:rsidRPr="005B6D62">
        <w:rPr>
          <w:color w:val="833C0B" w:themeColor="accent2" w:themeShade="80"/>
          <w:u w:color="000000"/>
          <w:lang w:val="es-PE"/>
        </w:rPr>
        <w:t>51,</w:t>
      </w:r>
      <w:r w:rsidRPr="005B6D62">
        <w:rPr>
          <w:lang w:val="es-PE"/>
        </w:rPr>
        <w:t xml:space="preserve"> 127 </w:t>
      </w:r>
    </w:p>
    <w:p w14:paraId="5AA2DCF8" w14:textId="77777777" w:rsidR="00597DE2" w:rsidRPr="005B6D62" w:rsidRDefault="00597DE2" w:rsidP="00597DE2">
      <w:pPr>
        <w:pStyle w:val="ParrafoApendice"/>
        <w:rPr>
          <w:lang w:val="es-PE"/>
        </w:rPr>
      </w:pPr>
      <w:r w:rsidRPr="005B6D62">
        <w:rPr>
          <w:lang w:val="es-PE"/>
        </w:rPr>
        <w:t>esencia (</w:t>
      </w:r>
      <w:proofErr w:type="spellStart"/>
      <w:r w:rsidRPr="005B6D62">
        <w:rPr>
          <w:i/>
          <w:iCs/>
          <w:lang w:val="es-PE"/>
        </w:rPr>
        <w:t>bhāva</w:t>
      </w:r>
      <w:proofErr w:type="spellEnd"/>
      <w:r w:rsidRPr="005B6D62">
        <w:rPr>
          <w:lang w:val="es-PE"/>
        </w:rPr>
        <w:t xml:space="preserve">) </w:t>
      </w:r>
      <w:r w:rsidRPr="005B6D62">
        <w:rPr>
          <w:strike/>
          <w:color w:val="833C0B" w:themeColor="accent2" w:themeShade="80"/>
          <w:u w:color="000000"/>
          <w:lang w:val="es-PE"/>
        </w:rPr>
        <w:t>I.32</w:t>
      </w:r>
      <w:r w:rsidRPr="005B6D62">
        <w:rPr>
          <w:lang w:val="es-PE"/>
        </w:rPr>
        <w:t xml:space="preserve">; VIII.234, </w:t>
      </w:r>
      <w:r w:rsidRPr="005B6D62">
        <w:rPr>
          <w:color w:val="833C0B" w:themeColor="accent2" w:themeShade="80"/>
          <w:u w:color="000000"/>
          <w:lang w:val="es-PE"/>
        </w:rPr>
        <w:t>n.68</w:t>
      </w:r>
      <w:r w:rsidRPr="005B6D62">
        <w:rPr>
          <w:lang w:val="es-PE"/>
        </w:rPr>
        <w:t>; XVII.14; e., individual (</w:t>
      </w:r>
      <w:proofErr w:type="spellStart"/>
      <w:r w:rsidRPr="005B6D62">
        <w:rPr>
          <w:i/>
          <w:iCs/>
          <w:lang w:val="es-PE"/>
        </w:rPr>
        <w:t>sabhāva</w:t>
      </w:r>
      <w:proofErr w:type="spellEnd"/>
      <w:r w:rsidRPr="005B6D62">
        <w:rPr>
          <w:lang w:val="es-PE"/>
        </w:rPr>
        <w:t xml:space="preserve">), consultar e. individual. </w:t>
      </w:r>
    </w:p>
    <w:p w14:paraId="35040A4F" w14:textId="77777777" w:rsidR="00597DE2" w:rsidRPr="005B6D62" w:rsidRDefault="00597DE2" w:rsidP="00597DE2">
      <w:pPr>
        <w:pStyle w:val="ParrafoApendice"/>
        <w:rPr>
          <w:lang w:val="es-PE"/>
        </w:rPr>
      </w:pPr>
      <w:r w:rsidRPr="005B6D62">
        <w:rPr>
          <w:lang w:val="es-PE"/>
        </w:rPr>
        <w:t>esencia nutriente (</w:t>
      </w:r>
      <w:proofErr w:type="spellStart"/>
      <w:r w:rsidRPr="005B6D62">
        <w:rPr>
          <w:i/>
          <w:iCs/>
          <w:lang w:val="es-PE"/>
        </w:rPr>
        <w:t>ojā</w:t>
      </w:r>
      <w:proofErr w:type="spellEnd"/>
      <w:r w:rsidRPr="005B6D62">
        <w:rPr>
          <w:lang w:val="es-PE"/>
        </w:rPr>
        <w:t xml:space="preserve">) XI.2, 88; XIV.70; </w:t>
      </w:r>
      <w:r w:rsidRPr="005B6D62">
        <w:rPr>
          <w:strike/>
          <w:color w:val="833C0B" w:themeColor="accent2" w:themeShade="80"/>
          <w:u w:color="000000"/>
          <w:lang w:val="es-PE"/>
        </w:rPr>
        <w:t>XVII.256;</w:t>
      </w:r>
      <w:r w:rsidRPr="005B6D62">
        <w:rPr>
          <w:lang w:val="es-PE"/>
        </w:rPr>
        <w:t xml:space="preserve"> XVIII.5s.; XX.29</w:t>
      </w:r>
    </w:p>
    <w:p w14:paraId="770C47F8" w14:textId="77777777" w:rsidR="00597DE2" w:rsidRPr="00A02ED4" w:rsidRDefault="00597DE2" w:rsidP="00597DE2">
      <w:pPr>
        <w:pStyle w:val="ParrafoApendice"/>
        <w:rPr>
          <w:lang w:val="es-PE"/>
        </w:rPr>
      </w:pPr>
      <w:r w:rsidRPr="00A02ED4">
        <w:rPr>
          <w:lang w:val="es-PE"/>
        </w:rPr>
        <w:t>Esencia Primordi</w:t>
      </w:r>
      <w:r>
        <w:rPr>
          <w:lang w:val="es-PE"/>
        </w:rPr>
        <w:t>al</w:t>
      </w:r>
      <w:r w:rsidRPr="00A02ED4">
        <w:rPr>
          <w:lang w:val="es-PE"/>
        </w:rPr>
        <w:t xml:space="preserve"> (</w:t>
      </w:r>
      <w:proofErr w:type="spellStart"/>
      <w:r w:rsidRPr="00A144D5">
        <w:rPr>
          <w:i/>
          <w:iCs/>
          <w:lang w:val="es-PE"/>
        </w:rPr>
        <w:t>pakati</w:t>
      </w:r>
      <w:proofErr w:type="spellEnd"/>
      <w:r w:rsidRPr="00A02ED4">
        <w:rPr>
          <w:lang w:val="es-PE"/>
        </w:rPr>
        <w:t xml:space="preserve">) XI.n.29; XVI.91; XVII.8, 36; XVIII.n.9 </w:t>
      </w:r>
    </w:p>
    <w:p w14:paraId="2D31FC0B" w14:textId="77777777" w:rsidR="00597DE2" w:rsidRPr="005B6D62" w:rsidRDefault="00597DE2" w:rsidP="00597DE2">
      <w:pPr>
        <w:pStyle w:val="ParrafoApendice"/>
        <w:rPr>
          <w:lang w:val="es-PE"/>
        </w:rPr>
      </w:pPr>
      <w:r w:rsidRPr="005B6D62">
        <w:rPr>
          <w:lang w:val="es-PE"/>
        </w:rPr>
        <w:t>esencial individual (</w:t>
      </w:r>
      <w:proofErr w:type="spellStart"/>
      <w:r w:rsidRPr="005B6D62">
        <w:rPr>
          <w:i/>
          <w:iCs/>
          <w:lang w:val="es-PE"/>
        </w:rPr>
        <w:t>sabhāva</w:t>
      </w:r>
      <w:proofErr w:type="spellEnd"/>
      <w:r w:rsidRPr="005B6D62">
        <w:rPr>
          <w:lang w:val="es-PE"/>
        </w:rPr>
        <w:t>) I.n.14; III.115s.; IV.45, 53; V.n.5; VI.35, 84; VII.n.1; VIII.40, 246,</w:t>
      </w:r>
      <w:r w:rsidRPr="005B6D62">
        <w:rPr>
          <w:color w:val="833C0B" w:themeColor="accent2" w:themeShade="80"/>
          <w:u w:color="000000"/>
          <w:lang w:val="es-PE"/>
        </w:rPr>
        <w:t xml:space="preserve"> n.11,</w:t>
      </w:r>
      <w:r w:rsidRPr="005B6D62">
        <w:rPr>
          <w:lang w:val="es-PE"/>
        </w:rPr>
        <w:t xml:space="preserve"> n.12, n.16, </w:t>
      </w:r>
      <w:r w:rsidRPr="005B6D62">
        <w:rPr>
          <w:color w:val="833C0B" w:themeColor="accent2" w:themeShade="80"/>
          <w:u w:color="000000"/>
          <w:lang w:val="es-PE"/>
        </w:rPr>
        <w:t>n.66</w:t>
      </w:r>
      <w:r w:rsidRPr="005B6D62">
        <w:rPr>
          <w:lang w:val="es-PE"/>
        </w:rPr>
        <w:t xml:space="preserve">, </w:t>
      </w:r>
      <w:r w:rsidRPr="005B6D62">
        <w:rPr>
          <w:color w:val="833C0B" w:themeColor="accent2" w:themeShade="80"/>
          <w:u w:color="000000"/>
          <w:lang w:val="es-PE"/>
        </w:rPr>
        <w:t>n.71</w:t>
      </w:r>
      <w:r w:rsidRPr="005B6D62">
        <w:rPr>
          <w:lang w:val="es-PE"/>
        </w:rPr>
        <w:t xml:space="preserve">; IX.123; X.20, n.7; XI.25, 27, 42, n.18; XIV.7s., 68, 73, 82, 91, 126s., 129, 143, 163, 198, 200, 203s., </w:t>
      </w:r>
      <w:r w:rsidRPr="005B6D62">
        <w:rPr>
          <w:color w:val="833C0B" w:themeColor="accent2" w:themeShade="80"/>
          <w:u w:color="000000"/>
          <w:lang w:val="es-PE"/>
        </w:rPr>
        <w:t>n.3</w:t>
      </w:r>
      <w:r w:rsidRPr="005B6D62">
        <w:rPr>
          <w:lang w:val="es-PE"/>
        </w:rPr>
        <w:t>; XV.</w:t>
      </w:r>
      <w:r w:rsidRPr="005B6D62">
        <w:rPr>
          <w:u w:color="000000"/>
          <w:lang w:val="es-PE"/>
        </w:rPr>
        <w:t>14, 15, 21s.,</w:t>
      </w:r>
      <w:r w:rsidRPr="005B6D62">
        <w:rPr>
          <w:color w:val="833C0B" w:themeColor="accent2" w:themeShade="80"/>
          <w:u w:color="000000"/>
          <w:lang w:val="es-PE"/>
        </w:rPr>
        <w:t xml:space="preserve"> </w:t>
      </w:r>
      <w:r w:rsidRPr="005B6D62">
        <w:rPr>
          <w:u w:color="000000"/>
          <w:lang w:val="es-PE"/>
        </w:rPr>
        <w:t>26</w:t>
      </w:r>
      <w:r w:rsidRPr="005B6D62">
        <w:rPr>
          <w:lang w:val="es-PE"/>
        </w:rPr>
        <w:t xml:space="preserve">, </w:t>
      </w:r>
      <w:r w:rsidRPr="005B6D62">
        <w:rPr>
          <w:u w:color="000000"/>
          <w:lang w:val="es-PE"/>
        </w:rPr>
        <w:t>32;</w:t>
      </w:r>
      <w:r w:rsidRPr="005B6D62">
        <w:rPr>
          <w:lang w:val="es-PE"/>
        </w:rPr>
        <w:t xml:space="preserve"> XVI.</w:t>
      </w:r>
      <w:r w:rsidRPr="005B6D62">
        <w:rPr>
          <w:u w:color="000000"/>
          <w:lang w:val="es-PE"/>
        </w:rPr>
        <w:t xml:space="preserve">35, 85, n.23; </w:t>
      </w:r>
      <w:r w:rsidRPr="005B6D62">
        <w:rPr>
          <w:lang w:val="es-PE"/>
        </w:rPr>
        <w:t>XVII.</w:t>
      </w:r>
      <w:r w:rsidRPr="005B6D62">
        <w:rPr>
          <w:color w:val="833C0B" w:themeColor="accent2" w:themeShade="80"/>
          <w:u w:color="000000"/>
          <w:lang w:val="es-PE"/>
        </w:rPr>
        <w:t>69</w:t>
      </w:r>
      <w:r w:rsidRPr="005B6D62">
        <w:rPr>
          <w:lang w:val="es-PE"/>
        </w:rPr>
        <w:t>, 110</w:t>
      </w:r>
      <w:r w:rsidRPr="005B6D62">
        <w:rPr>
          <w:color w:val="833C0B" w:themeColor="accent2" w:themeShade="80"/>
          <w:u w:color="000000"/>
          <w:lang w:val="es-PE"/>
        </w:rPr>
        <w:t>s</w:t>
      </w:r>
      <w:r w:rsidRPr="005B6D62">
        <w:rPr>
          <w:lang w:val="es-PE"/>
        </w:rPr>
        <w:t xml:space="preserve">, 312, n.6; XX.103; XXI. n.4, </w:t>
      </w:r>
      <w:r w:rsidRPr="005B6D62">
        <w:rPr>
          <w:color w:val="833C0B" w:themeColor="accent2" w:themeShade="80"/>
          <w:u w:color="000000"/>
          <w:lang w:val="es-PE"/>
        </w:rPr>
        <w:t>n.34</w:t>
      </w:r>
      <w:r w:rsidRPr="005B6D62">
        <w:rPr>
          <w:lang w:val="es-PE"/>
        </w:rPr>
        <w:t>; XXII.58, 92, 100; XXIII.52, n.18</w:t>
      </w:r>
    </w:p>
    <w:p w14:paraId="719EEAB7" w14:textId="77777777" w:rsidR="00597DE2" w:rsidRPr="005B6D62" w:rsidRDefault="00597DE2" w:rsidP="00597DE2">
      <w:pPr>
        <w:pStyle w:val="ParrafoApendice"/>
        <w:rPr>
          <w:lang w:val="es-PE"/>
        </w:rPr>
      </w:pPr>
      <w:r w:rsidRPr="005B6D62">
        <w:rPr>
          <w:lang w:val="es-PE"/>
        </w:rPr>
        <w:t>esfera divina (</w:t>
      </w:r>
      <w:r w:rsidRPr="005B6D62">
        <w:rPr>
          <w:i/>
          <w:iCs/>
          <w:lang w:val="es-PE"/>
        </w:rPr>
        <w:t>deva–loka</w:t>
      </w:r>
      <w:r w:rsidRPr="005B6D62">
        <w:rPr>
          <w:lang w:val="es-PE"/>
        </w:rPr>
        <w:t xml:space="preserve">) XVII.141 </w:t>
      </w:r>
    </w:p>
    <w:p w14:paraId="789F5B93" w14:textId="77777777" w:rsidR="00597DE2" w:rsidRPr="00781736" w:rsidRDefault="00597DE2" w:rsidP="00597DE2">
      <w:pPr>
        <w:pStyle w:val="ParrafoApendice"/>
        <w:rPr>
          <w:lang w:val="es-PE"/>
        </w:rPr>
      </w:pPr>
      <w:r w:rsidRPr="00781736">
        <w:rPr>
          <w:lang w:val="es-PE"/>
        </w:rPr>
        <w:t>esfera sensorial, es</w:t>
      </w:r>
      <w:r>
        <w:rPr>
          <w:lang w:val="es-PE"/>
        </w:rPr>
        <w:t>fera sensual</w:t>
      </w:r>
      <w:r w:rsidRPr="00781736">
        <w:rPr>
          <w:lang w:val="es-PE"/>
        </w:rPr>
        <w:t xml:space="preserve">, </w:t>
      </w:r>
      <w:r>
        <w:rPr>
          <w:lang w:val="es-PE"/>
        </w:rPr>
        <w:t xml:space="preserve">esfera del deseo sensorial </w:t>
      </w:r>
      <w:r w:rsidRPr="00781736">
        <w:rPr>
          <w:lang w:val="es-PE"/>
        </w:rPr>
        <w:t>(</w:t>
      </w:r>
      <w:proofErr w:type="spellStart"/>
      <w:r w:rsidRPr="00781736">
        <w:rPr>
          <w:i/>
          <w:iCs/>
          <w:lang w:val="es-PE"/>
        </w:rPr>
        <w:t>kāmāvacara</w:t>
      </w:r>
      <w:proofErr w:type="spellEnd"/>
      <w:r w:rsidRPr="00781736">
        <w:rPr>
          <w:lang w:val="es-PE"/>
        </w:rPr>
        <w:t xml:space="preserve">) III.5, 23; IV.74, 138; X.10; XIII.5; XIV.15, 83, </w:t>
      </w:r>
      <w:r w:rsidRPr="00EF6DAD">
        <w:rPr>
          <w:color w:val="833C0B" w:themeColor="accent2" w:themeShade="80"/>
          <w:lang w:val="es-PE"/>
        </w:rPr>
        <w:t>94</w:t>
      </w:r>
      <w:r w:rsidRPr="00781736">
        <w:rPr>
          <w:lang w:val="es-PE"/>
        </w:rPr>
        <w:t xml:space="preserve">, 106, 111, 122, 127, 133, 181, 206, n.36; XVI.92; XVII.129, 136, 180, 262; XX.31, 43 </w:t>
      </w:r>
    </w:p>
    <w:p w14:paraId="1489023A" w14:textId="77777777" w:rsidR="00597DE2" w:rsidRPr="0058761F" w:rsidRDefault="00597DE2" w:rsidP="00597DE2">
      <w:pPr>
        <w:pStyle w:val="ParrafoApendice"/>
        <w:rPr>
          <w:lang w:val="es-PE"/>
        </w:rPr>
      </w:pPr>
      <w:r w:rsidRPr="0058761F">
        <w:rPr>
          <w:lang w:val="es-PE"/>
        </w:rPr>
        <w:t>Esferas Puras</w:t>
      </w:r>
      <w:r>
        <w:rPr>
          <w:lang w:val="es-PE"/>
        </w:rPr>
        <w:t>. Reinos/Planos Puros</w:t>
      </w:r>
      <w:r w:rsidRPr="0058761F">
        <w:rPr>
          <w:lang w:val="es-PE"/>
        </w:rPr>
        <w:t xml:space="preserve"> (</w:t>
      </w:r>
      <w:proofErr w:type="spellStart"/>
      <w:r w:rsidRPr="0058761F">
        <w:rPr>
          <w:i/>
          <w:iCs/>
          <w:lang w:val="es-PE"/>
        </w:rPr>
        <w:t>suddhāvāsa</w:t>
      </w:r>
      <w:proofErr w:type="spellEnd"/>
      <w:r w:rsidRPr="0058761F">
        <w:rPr>
          <w:lang w:val="es-PE"/>
        </w:rPr>
        <w:t xml:space="preserve">) XII.79; XXIII.57 </w:t>
      </w:r>
    </w:p>
    <w:p w14:paraId="67272D3B" w14:textId="77777777" w:rsidR="00597DE2" w:rsidRPr="005B6D62" w:rsidRDefault="00597DE2" w:rsidP="00597DE2">
      <w:pPr>
        <w:pStyle w:val="ParrafoApendice"/>
        <w:rPr>
          <w:lang w:val="es-PE"/>
        </w:rPr>
      </w:pPr>
      <w:r w:rsidRPr="005B6D62">
        <w:rPr>
          <w:lang w:val="es-PE"/>
        </w:rPr>
        <w:t>esfuerzo (</w:t>
      </w:r>
      <w:proofErr w:type="spellStart"/>
      <w:r w:rsidRPr="005B6D62">
        <w:rPr>
          <w:i/>
          <w:iCs/>
          <w:lang w:val="es-PE"/>
        </w:rPr>
        <w:t>padhāna</w:t>
      </w:r>
      <w:proofErr w:type="spellEnd"/>
      <w:r w:rsidRPr="005B6D62">
        <w:rPr>
          <w:lang w:val="es-PE"/>
        </w:rPr>
        <w:t xml:space="preserve">) IV.55; XII.50s.; XXII.33s., 39, 42 </w:t>
      </w:r>
    </w:p>
    <w:p w14:paraId="64FF192E" w14:textId="77777777" w:rsidR="00597DE2" w:rsidRPr="005B6D62" w:rsidRDefault="00597DE2" w:rsidP="00597DE2">
      <w:pPr>
        <w:pStyle w:val="ParrafoApendice"/>
        <w:rPr>
          <w:lang w:val="es-PE"/>
        </w:rPr>
      </w:pPr>
      <w:r w:rsidRPr="005B6D62">
        <w:rPr>
          <w:lang w:val="es-PE"/>
        </w:rPr>
        <w:t>esfuerzo (</w:t>
      </w:r>
      <w:proofErr w:type="spellStart"/>
      <w:r w:rsidRPr="005B6D62">
        <w:rPr>
          <w:i/>
          <w:iCs/>
          <w:lang w:val="es-PE"/>
        </w:rPr>
        <w:t>paggaha</w:t>
      </w:r>
      <w:proofErr w:type="spellEnd"/>
      <w:r w:rsidRPr="005B6D62">
        <w:rPr>
          <w:lang w:val="es-PE"/>
        </w:rPr>
        <w:t xml:space="preserve">) VIII.74; XX.119; XXII.45 </w:t>
      </w:r>
    </w:p>
    <w:p w14:paraId="2975F75E" w14:textId="77777777" w:rsidR="00597DE2" w:rsidRPr="005B6D62" w:rsidRDefault="00597DE2" w:rsidP="00597DE2">
      <w:pPr>
        <w:pStyle w:val="ParrafoApendice"/>
        <w:rPr>
          <w:lang w:val="es-PE"/>
        </w:rPr>
      </w:pPr>
      <w:r w:rsidRPr="005B6D62">
        <w:rPr>
          <w:lang w:val="es-PE"/>
        </w:rPr>
        <w:t>esfuerzo (</w:t>
      </w:r>
      <w:r w:rsidRPr="005B6D62">
        <w:rPr>
          <w:i/>
          <w:iCs/>
          <w:lang w:val="es-PE"/>
        </w:rPr>
        <w:t>vāyāma</w:t>
      </w:r>
      <w:r w:rsidRPr="005B6D62">
        <w:rPr>
          <w:lang w:val="es-PE"/>
        </w:rPr>
        <w:t>) XXII.39, 66; (</w:t>
      </w:r>
      <w:proofErr w:type="spellStart"/>
      <w:r w:rsidRPr="005B6D62">
        <w:rPr>
          <w:i/>
          <w:iCs/>
          <w:lang w:val="es-PE"/>
        </w:rPr>
        <w:t>padhāna</w:t>
      </w:r>
      <w:proofErr w:type="spellEnd"/>
      <w:r w:rsidRPr="005B6D62">
        <w:rPr>
          <w:lang w:val="es-PE"/>
        </w:rPr>
        <w:t xml:space="preserve">), consultar emprendimiento </w:t>
      </w:r>
    </w:p>
    <w:p w14:paraId="2D9F9C14" w14:textId="77777777" w:rsidR="00597DE2" w:rsidRPr="00B57780" w:rsidRDefault="00597DE2" w:rsidP="00597DE2">
      <w:pPr>
        <w:pStyle w:val="ParrafoApendice"/>
        <w:rPr>
          <w:lang w:val="es-PE"/>
        </w:rPr>
      </w:pPr>
      <w:r w:rsidRPr="00B57780">
        <w:rPr>
          <w:lang w:val="es-PE"/>
        </w:rPr>
        <w:t>es</w:t>
      </w:r>
      <w:r>
        <w:rPr>
          <w:lang w:val="es-PE"/>
        </w:rPr>
        <w:t>pacio</w:t>
      </w:r>
      <w:r w:rsidRPr="00B57780">
        <w:rPr>
          <w:lang w:val="es-PE"/>
        </w:rPr>
        <w:t xml:space="preserve"> (</w:t>
      </w:r>
      <w:proofErr w:type="spellStart"/>
      <w:r w:rsidRPr="00B57780">
        <w:rPr>
          <w:i/>
          <w:iCs/>
          <w:lang w:val="es-PE"/>
        </w:rPr>
        <w:t>ākāsa</w:t>
      </w:r>
      <w:proofErr w:type="spellEnd"/>
      <w:r w:rsidRPr="00B57780">
        <w:rPr>
          <w:lang w:val="es-PE"/>
        </w:rPr>
        <w:t>) V.28, n.5; IX.122</w:t>
      </w:r>
      <w:r>
        <w:rPr>
          <w:lang w:val="es-PE"/>
        </w:rPr>
        <w:t>s</w:t>
      </w:r>
      <w:r w:rsidRPr="00B57780">
        <w:rPr>
          <w:lang w:val="es-PE"/>
        </w:rPr>
        <w:t>.; X.1</w:t>
      </w:r>
      <w:r>
        <w:rPr>
          <w:lang w:val="es-PE"/>
        </w:rPr>
        <w:t>s</w:t>
      </w:r>
      <w:r w:rsidRPr="00B57780">
        <w:rPr>
          <w:lang w:val="es-PE"/>
        </w:rPr>
        <w:t xml:space="preserve">.; XIII.41; </w:t>
      </w:r>
      <w:r w:rsidRPr="00B57780">
        <w:rPr>
          <w:i/>
          <w:iCs/>
          <w:lang w:val="es-PE"/>
        </w:rPr>
        <w:t>elemento del e.</w:t>
      </w:r>
      <w:r w:rsidRPr="00B57780">
        <w:rPr>
          <w:lang w:val="es-PE"/>
        </w:rPr>
        <w:t xml:space="preserve"> (</w:t>
      </w:r>
      <w:proofErr w:type="spellStart"/>
      <w:r w:rsidRPr="00B57780">
        <w:rPr>
          <w:i/>
          <w:iCs/>
          <w:lang w:val="es-PE"/>
        </w:rPr>
        <w:t>ākāsa</w:t>
      </w:r>
      <w:proofErr w:type="spellEnd"/>
      <w:r w:rsidRPr="00B57780">
        <w:rPr>
          <w:i/>
          <w:iCs/>
          <w:lang w:val="es-PE"/>
        </w:rPr>
        <w:t>–</w:t>
      </w:r>
      <w:proofErr w:type="spellStart"/>
      <w:r w:rsidRPr="00B57780">
        <w:rPr>
          <w:i/>
          <w:iCs/>
          <w:lang w:val="es-PE"/>
        </w:rPr>
        <w:t>dhātu</w:t>
      </w:r>
      <w:proofErr w:type="spellEnd"/>
      <w:r w:rsidRPr="00B57780">
        <w:rPr>
          <w:lang w:val="es-PE"/>
        </w:rPr>
        <w:t xml:space="preserve">) XV.25; </w:t>
      </w:r>
      <w:r w:rsidRPr="00AA382E">
        <w:rPr>
          <w:color w:val="833C0B" w:themeColor="accent2" w:themeShade="80"/>
          <w:lang w:val="es-PE"/>
        </w:rPr>
        <w:t>XVIII</w:t>
      </w:r>
      <w:r w:rsidRPr="00B57780">
        <w:rPr>
          <w:lang w:val="es-PE"/>
        </w:rPr>
        <w:t xml:space="preserve">.13; XX.32; </w:t>
      </w:r>
      <w:proofErr w:type="spellStart"/>
      <w:r w:rsidRPr="00BD7268">
        <w:rPr>
          <w:i/>
          <w:iCs/>
          <w:lang w:val="es-PE"/>
        </w:rPr>
        <w:t>kasiṇa</w:t>
      </w:r>
      <w:proofErr w:type="spellEnd"/>
      <w:r w:rsidRPr="00BD7268">
        <w:rPr>
          <w:i/>
          <w:iCs/>
          <w:lang w:val="es-PE"/>
        </w:rPr>
        <w:t xml:space="preserve"> e.</w:t>
      </w:r>
      <w:r>
        <w:rPr>
          <w:lang w:val="es-PE"/>
        </w:rPr>
        <w:t xml:space="preserve"> </w:t>
      </w:r>
      <w:r w:rsidRPr="00B57780">
        <w:rPr>
          <w:lang w:val="es-PE"/>
        </w:rPr>
        <w:t>(</w:t>
      </w:r>
      <w:proofErr w:type="spellStart"/>
      <w:r w:rsidRPr="00BD7268">
        <w:rPr>
          <w:i/>
          <w:iCs/>
          <w:lang w:val="es-PE"/>
        </w:rPr>
        <w:t>ākāsa</w:t>
      </w:r>
      <w:proofErr w:type="spellEnd"/>
      <w:r w:rsidRPr="00BD7268">
        <w:rPr>
          <w:i/>
          <w:iCs/>
          <w:lang w:val="es-PE"/>
        </w:rPr>
        <w:t>–</w:t>
      </w:r>
      <w:proofErr w:type="spellStart"/>
      <w:r w:rsidRPr="00BD7268">
        <w:rPr>
          <w:i/>
          <w:iCs/>
          <w:lang w:val="es-PE"/>
        </w:rPr>
        <w:t>kasiṇa</w:t>
      </w:r>
      <w:proofErr w:type="spellEnd"/>
      <w:r w:rsidRPr="00B57780">
        <w:rPr>
          <w:lang w:val="es-PE"/>
        </w:rPr>
        <w:t>) III.105</w:t>
      </w:r>
      <w:r>
        <w:rPr>
          <w:lang w:val="es-PE"/>
        </w:rPr>
        <w:t>s</w:t>
      </w:r>
      <w:r w:rsidRPr="00B57780">
        <w:rPr>
          <w:lang w:val="es-PE"/>
        </w:rPr>
        <w:t>.; V.</w:t>
      </w:r>
      <w:r w:rsidRPr="000434F6">
        <w:rPr>
          <w:strike/>
          <w:color w:val="833C0B" w:themeColor="accent2" w:themeShade="80"/>
          <w:lang w:val="es-PE"/>
        </w:rPr>
        <w:t>29</w:t>
      </w:r>
      <w:r w:rsidRPr="00B57780">
        <w:rPr>
          <w:lang w:val="es-PE"/>
        </w:rPr>
        <w:t xml:space="preserve">, 37; XII.88 </w:t>
      </w:r>
      <w:r>
        <w:rPr>
          <w:lang w:val="es-PE"/>
        </w:rPr>
        <w:br w:type="column"/>
      </w:r>
    </w:p>
    <w:p w14:paraId="5F337751" w14:textId="77777777" w:rsidR="00597DE2" w:rsidRPr="00FC6012" w:rsidRDefault="00597DE2" w:rsidP="00597DE2">
      <w:pPr>
        <w:pStyle w:val="ParrafoApendice"/>
        <w:rPr>
          <w:lang w:val="es-PE"/>
        </w:rPr>
      </w:pPr>
      <w:r w:rsidRPr="00FC6012">
        <w:rPr>
          <w:lang w:val="es-PE"/>
        </w:rPr>
        <w:t>es</w:t>
      </w:r>
      <w:r>
        <w:rPr>
          <w:lang w:val="es-PE"/>
        </w:rPr>
        <w:t>píritu</w:t>
      </w:r>
      <w:r w:rsidRPr="00FC6012">
        <w:rPr>
          <w:lang w:val="es-PE"/>
        </w:rPr>
        <w:t xml:space="preserve">, </w:t>
      </w:r>
      <w:r>
        <w:rPr>
          <w:lang w:val="es-PE"/>
        </w:rPr>
        <w:t xml:space="preserve">hada </w:t>
      </w:r>
      <w:r w:rsidRPr="00FC6012">
        <w:rPr>
          <w:lang w:val="es-PE"/>
        </w:rPr>
        <w:t>(</w:t>
      </w:r>
      <w:r w:rsidRPr="00FC6012">
        <w:rPr>
          <w:i/>
          <w:iCs/>
          <w:lang w:val="es-PE"/>
        </w:rPr>
        <w:t>yakkha</w:t>
      </w:r>
      <w:r w:rsidRPr="00FC6012">
        <w:rPr>
          <w:lang w:val="es-PE"/>
        </w:rPr>
        <w:t>) VII.42; XI.98</w:t>
      </w:r>
      <w:r>
        <w:rPr>
          <w:lang w:val="es-PE"/>
        </w:rPr>
        <w:t>s</w:t>
      </w:r>
      <w:r w:rsidRPr="00FC6012">
        <w:rPr>
          <w:lang w:val="es-PE"/>
        </w:rPr>
        <w:t>.; XII.31, n.19; XIII.100</w:t>
      </w:r>
    </w:p>
    <w:p w14:paraId="54754647" w14:textId="77777777" w:rsidR="00597DE2" w:rsidRPr="002D23EC" w:rsidRDefault="00597DE2" w:rsidP="00597DE2">
      <w:pPr>
        <w:pStyle w:val="ParrafoApendice"/>
        <w:rPr>
          <w:lang w:val="es-PE"/>
        </w:rPr>
      </w:pPr>
      <w:r>
        <w:rPr>
          <w:lang w:val="es-PE"/>
        </w:rPr>
        <w:t>espiritual, no</w:t>
      </w:r>
      <w:r>
        <w:rPr>
          <w:rFonts w:cs="Cormorant"/>
          <w:lang w:val="es-PE"/>
        </w:rPr>
        <w:t>–</w:t>
      </w:r>
      <w:r>
        <w:rPr>
          <w:lang w:val="es-PE"/>
        </w:rPr>
        <w:t>mundano</w:t>
      </w:r>
      <w:r w:rsidRPr="002D23EC">
        <w:rPr>
          <w:lang w:val="es-PE"/>
        </w:rPr>
        <w:t xml:space="preserve"> (</w:t>
      </w:r>
      <w:proofErr w:type="spellStart"/>
      <w:r w:rsidRPr="00BA77C2">
        <w:rPr>
          <w:i/>
          <w:iCs/>
          <w:lang w:val="es-PE"/>
        </w:rPr>
        <w:t>nirāmisa</w:t>
      </w:r>
      <w:proofErr w:type="spellEnd"/>
      <w:r w:rsidRPr="002D23EC">
        <w:rPr>
          <w:lang w:val="es-PE"/>
        </w:rPr>
        <w:t xml:space="preserve">) XXI.37 </w:t>
      </w:r>
    </w:p>
    <w:p w14:paraId="3215E231" w14:textId="77777777" w:rsidR="00597DE2" w:rsidRPr="00521107" w:rsidRDefault="00597DE2" w:rsidP="00597DE2">
      <w:pPr>
        <w:pStyle w:val="ParrafoApendice"/>
        <w:rPr>
          <w:lang w:val="es-PE"/>
        </w:rPr>
      </w:pPr>
      <w:r w:rsidRPr="00521107">
        <w:rPr>
          <w:lang w:val="es-PE"/>
        </w:rPr>
        <w:t>establecer</w:t>
      </w:r>
      <w:r>
        <w:rPr>
          <w:lang w:val="es-PE"/>
        </w:rPr>
        <w:t>se</w:t>
      </w:r>
      <w:r w:rsidRPr="00521107">
        <w:rPr>
          <w:lang w:val="es-PE"/>
        </w:rPr>
        <w:t xml:space="preserve"> (</w:t>
      </w:r>
      <w:proofErr w:type="spellStart"/>
      <w:r w:rsidRPr="00521107">
        <w:rPr>
          <w:i/>
          <w:iCs/>
          <w:lang w:val="es-PE"/>
        </w:rPr>
        <w:t>ācaya</w:t>
      </w:r>
      <w:proofErr w:type="spellEnd"/>
      <w:r w:rsidRPr="00521107">
        <w:rPr>
          <w:lang w:val="es-PE"/>
        </w:rPr>
        <w:t xml:space="preserve">) XIV.66 </w:t>
      </w:r>
    </w:p>
    <w:p w14:paraId="0C9347D2" w14:textId="77777777" w:rsidR="00597DE2" w:rsidRPr="00AA7FEE" w:rsidRDefault="00597DE2" w:rsidP="00597DE2">
      <w:pPr>
        <w:pStyle w:val="ParrafoApendice"/>
        <w:rPr>
          <w:lang w:val="es-PE"/>
        </w:rPr>
      </w:pPr>
      <w:r>
        <w:rPr>
          <w:lang w:val="es-PE"/>
        </w:rPr>
        <w:t>estación</w:t>
      </w:r>
      <w:r w:rsidRPr="00AA7FEE">
        <w:rPr>
          <w:lang w:val="es-PE"/>
        </w:rPr>
        <w:t xml:space="preserve"> (</w:t>
      </w:r>
      <w:proofErr w:type="spellStart"/>
      <w:r w:rsidRPr="00847E64">
        <w:rPr>
          <w:i/>
          <w:iCs/>
          <w:lang w:val="es-PE"/>
        </w:rPr>
        <w:t>utu</w:t>
      </w:r>
      <w:proofErr w:type="spellEnd"/>
      <w:r w:rsidRPr="00AA7FEE">
        <w:rPr>
          <w:lang w:val="es-PE"/>
        </w:rPr>
        <w:t xml:space="preserve">) VII.159; XX.55 </w:t>
      </w:r>
    </w:p>
    <w:p w14:paraId="09370AD9" w14:textId="77777777" w:rsidR="00597DE2" w:rsidRPr="00C32B3B" w:rsidRDefault="00597DE2" w:rsidP="00597DE2">
      <w:pPr>
        <w:pStyle w:val="ParrafoApendice"/>
        <w:rPr>
          <w:lang w:val="es-PE"/>
        </w:rPr>
      </w:pPr>
      <w:r w:rsidRPr="00C32B3B">
        <w:rPr>
          <w:lang w:val="es-PE"/>
        </w:rPr>
        <w:t>estacionariedad (</w:t>
      </w:r>
      <w:proofErr w:type="spellStart"/>
      <w:r w:rsidRPr="00C32B3B">
        <w:rPr>
          <w:i/>
          <w:iCs/>
          <w:lang w:val="es-PE"/>
        </w:rPr>
        <w:t>ṭhiti</w:t>
      </w:r>
      <w:proofErr w:type="spellEnd"/>
      <w:r w:rsidRPr="00C32B3B">
        <w:rPr>
          <w:lang w:val="es-PE"/>
        </w:rPr>
        <w:t xml:space="preserve">) I.39; III.22 </w:t>
      </w:r>
    </w:p>
    <w:p w14:paraId="1FA7EC38" w14:textId="77777777" w:rsidR="00597DE2" w:rsidRPr="0040117D" w:rsidRDefault="00597DE2" w:rsidP="00597DE2">
      <w:pPr>
        <w:pStyle w:val="ParrafoApendice"/>
        <w:rPr>
          <w:lang w:val="es-PE"/>
        </w:rPr>
      </w:pPr>
      <w:r w:rsidRPr="0040117D">
        <w:rPr>
          <w:lang w:val="es-PE"/>
        </w:rPr>
        <w:t>estado (</w:t>
      </w:r>
      <w:r w:rsidRPr="0040117D">
        <w:rPr>
          <w:i/>
          <w:iCs/>
          <w:lang w:val="es-PE"/>
        </w:rPr>
        <w:t>dhamma</w:t>
      </w:r>
      <w:r w:rsidRPr="0040117D">
        <w:rPr>
          <w:lang w:val="es-PE"/>
        </w:rPr>
        <w:t>) VII.n.1, n.4; XI.104; XIV.7; XVII.n.1; XIX.26; XX.8; XXII.20, 47. Ver también d</w:t>
      </w:r>
      <w:r w:rsidRPr="0040117D">
        <w:rPr>
          <w:i/>
          <w:iCs/>
          <w:lang w:val="es-PE"/>
        </w:rPr>
        <w:t>hamma</w:t>
      </w:r>
    </w:p>
    <w:p w14:paraId="081DDB77" w14:textId="77777777" w:rsidR="00597DE2" w:rsidRPr="005B6D62" w:rsidRDefault="00597DE2" w:rsidP="00597DE2">
      <w:pPr>
        <w:pStyle w:val="ParrafoApendice"/>
        <w:rPr>
          <w:lang w:val="es-PE"/>
        </w:rPr>
      </w:pPr>
      <w:r w:rsidRPr="005B6D62">
        <w:rPr>
          <w:lang w:val="es-PE"/>
        </w:rPr>
        <w:t>estado (</w:t>
      </w:r>
      <w:proofErr w:type="spellStart"/>
      <w:r w:rsidRPr="005B6D62">
        <w:rPr>
          <w:i/>
          <w:iCs/>
          <w:lang w:val="es-PE"/>
        </w:rPr>
        <w:t>vihāra</w:t>
      </w:r>
      <w:proofErr w:type="spellEnd"/>
      <w:r w:rsidRPr="005B6D62">
        <w:rPr>
          <w:lang w:val="es-PE"/>
        </w:rPr>
        <w:t>) VII.63, ver e. divinos.</w:t>
      </w:r>
    </w:p>
    <w:p w14:paraId="7C7923C4" w14:textId="77777777" w:rsidR="00597DE2" w:rsidRPr="005B6D62" w:rsidRDefault="00597DE2" w:rsidP="00597DE2">
      <w:pPr>
        <w:pStyle w:val="ParrafoApendice"/>
        <w:rPr>
          <w:lang w:val="es-PE"/>
        </w:rPr>
      </w:pPr>
      <w:r w:rsidRPr="005B6D62">
        <w:rPr>
          <w:i/>
          <w:iCs/>
          <w:lang w:val="es-PE"/>
        </w:rPr>
        <w:t>estado de arahant</w:t>
      </w:r>
      <w:r w:rsidRPr="005B6D62">
        <w:rPr>
          <w:lang w:val="es-PE"/>
        </w:rPr>
        <w:t xml:space="preserve"> (</w:t>
      </w:r>
      <w:proofErr w:type="spellStart"/>
      <w:r w:rsidRPr="005B6D62">
        <w:rPr>
          <w:i/>
          <w:iCs/>
          <w:lang w:val="es-PE"/>
        </w:rPr>
        <w:t>arahatta</w:t>
      </w:r>
      <w:proofErr w:type="spellEnd"/>
      <w:r w:rsidRPr="005B6D62">
        <w:rPr>
          <w:lang w:val="es-PE"/>
        </w:rPr>
        <w:t xml:space="preserve">) I.14, 37, 140; VIII.224, 243; IX.118; XIV.124; XVI.69; XVII.245; XXII.1s.; XXIII.25, n.1 </w:t>
      </w:r>
    </w:p>
    <w:p w14:paraId="4E5E179B" w14:textId="77777777" w:rsidR="00597DE2" w:rsidRPr="00575852" w:rsidRDefault="00597DE2" w:rsidP="00597DE2">
      <w:pPr>
        <w:pStyle w:val="ParrafoApendice"/>
        <w:rPr>
          <w:lang w:val="es-PE"/>
        </w:rPr>
      </w:pPr>
      <w:r w:rsidRPr="00575852">
        <w:rPr>
          <w:lang w:val="es-PE"/>
        </w:rPr>
        <w:t>esta</w:t>
      </w:r>
      <w:r>
        <w:rPr>
          <w:lang w:val="es-PE"/>
        </w:rPr>
        <w:t>do de consciencia</w:t>
      </w:r>
      <w:r w:rsidRPr="00575852">
        <w:rPr>
          <w:lang w:val="es-PE"/>
        </w:rPr>
        <w:t xml:space="preserve"> (</w:t>
      </w:r>
      <w:proofErr w:type="spellStart"/>
      <w:r w:rsidRPr="00623A56">
        <w:rPr>
          <w:i/>
          <w:iCs/>
          <w:lang w:val="es-PE"/>
        </w:rPr>
        <w:t>viññāṇaṭṭhiti</w:t>
      </w:r>
      <w:proofErr w:type="spellEnd"/>
      <w:r w:rsidRPr="00575852">
        <w:rPr>
          <w:lang w:val="es-PE"/>
        </w:rPr>
        <w:t xml:space="preserve">) VII.38, n.13; XIII.69; XVII.148; XXI.35 </w:t>
      </w:r>
    </w:p>
    <w:p w14:paraId="0ABC6376" w14:textId="77777777" w:rsidR="00597DE2" w:rsidRPr="005D017F" w:rsidRDefault="00597DE2" w:rsidP="00597DE2">
      <w:pPr>
        <w:pStyle w:val="ParrafoApendice"/>
        <w:rPr>
          <w:lang w:val="es-PE"/>
        </w:rPr>
      </w:pPr>
      <w:r w:rsidRPr="005D017F">
        <w:rPr>
          <w:lang w:val="es-PE"/>
        </w:rPr>
        <w:t>estado de paz (</w:t>
      </w:r>
      <w:proofErr w:type="spellStart"/>
      <w:r w:rsidRPr="005D017F">
        <w:rPr>
          <w:i/>
          <w:iCs/>
          <w:lang w:val="es-PE"/>
        </w:rPr>
        <w:t>santi</w:t>
      </w:r>
      <w:proofErr w:type="spellEnd"/>
      <w:r w:rsidRPr="005D017F">
        <w:rPr>
          <w:i/>
          <w:iCs/>
          <w:lang w:val="es-PE"/>
        </w:rPr>
        <w:t>–pada</w:t>
      </w:r>
      <w:r w:rsidRPr="005D017F">
        <w:rPr>
          <w:lang w:val="es-PE"/>
        </w:rPr>
        <w:t xml:space="preserve">) XXI.37 </w:t>
      </w:r>
    </w:p>
    <w:p w14:paraId="78406AA6" w14:textId="77777777" w:rsidR="00597DE2" w:rsidRPr="00E54A3E" w:rsidRDefault="00597DE2" w:rsidP="00597DE2">
      <w:pPr>
        <w:pStyle w:val="ParrafoApendice"/>
        <w:rPr>
          <w:lang w:val="es-PE"/>
        </w:rPr>
      </w:pPr>
      <w:r w:rsidRPr="00E54A3E">
        <w:rPr>
          <w:lang w:val="es-PE"/>
        </w:rPr>
        <w:t>estado de perdición (</w:t>
      </w:r>
      <w:proofErr w:type="spellStart"/>
      <w:r w:rsidRPr="00E54A3E">
        <w:rPr>
          <w:i/>
          <w:iCs/>
          <w:lang w:val="es-PE"/>
        </w:rPr>
        <w:t>apāya</w:t>
      </w:r>
      <w:proofErr w:type="spellEnd"/>
      <w:r w:rsidRPr="00E54A3E">
        <w:rPr>
          <w:lang w:val="es-PE"/>
        </w:rPr>
        <w:t>) IV. 63; VII.16; XIII.92; XIV.113; XVII.262; XXII.14</w:t>
      </w:r>
    </w:p>
    <w:p w14:paraId="5A4858C4" w14:textId="77777777" w:rsidR="00597DE2" w:rsidRPr="00ED5DFB" w:rsidRDefault="00597DE2" w:rsidP="00597DE2">
      <w:pPr>
        <w:pStyle w:val="ParrafoApendice"/>
        <w:rPr>
          <w:lang w:val="es-PE"/>
        </w:rPr>
      </w:pPr>
      <w:r w:rsidRPr="00ED5DFB">
        <w:rPr>
          <w:lang w:val="es-PE"/>
        </w:rPr>
        <w:t>estado mundano (</w:t>
      </w:r>
      <w:r w:rsidRPr="00ED5DFB">
        <w:rPr>
          <w:i/>
          <w:iCs/>
          <w:lang w:val="es-PE"/>
        </w:rPr>
        <w:t>loka–dhamma</w:t>
      </w:r>
      <w:r w:rsidRPr="00ED5DFB">
        <w:rPr>
          <w:lang w:val="es-PE"/>
        </w:rPr>
        <w:t xml:space="preserve">) VII.38; XXII.51, 67 </w:t>
      </w:r>
    </w:p>
    <w:p w14:paraId="248237CA" w14:textId="77777777" w:rsidR="00597DE2" w:rsidRPr="00E54A3E" w:rsidRDefault="00597DE2" w:rsidP="00597DE2">
      <w:pPr>
        <w:pStyle w:val="ParrafoApendice"/>
        <w:rPr>
          <w:lang w:val="es-PE"/>
        </w:rPr>
      </w:pPr>
      <w:r w:rsidRPr="00E54A3E">
        <w:rPr>
          <w:lang w:val="es-PE"/>
        </w:rPr>
        <w:t>estado partícipe de la il</w:t>
      </w:r>
      <w:r>
        <w:rPr>
          <w:lang w:val="es-PE"/>
        </w:rPr>
        <w:t>uminación</w:t>
      </w:r>
      <w:r w:rsidRPr="00E54A3E">
        <w:rPr>
          <w:lang w:val="es-PE"/>
        </w:rPr>
        <w:t xml:space="preserve"> (</w:t>
      </w:r>
      <w:proofErr w:type="spellStart"/>
      <w:r w:rsidRPr="00E54A3E">
        <w:rPr>
          <w:i/>
          <w:iCs/>
          <w:lang w:val="es-PE"/>
        </w:rPr>
        <w:t>bodhipakkhiya</w:t>
      </w:r>
      <w:proofErr w:type="spellEnd"/>
      <w:r w:rsidRPr="00E54A3E">
        <w:rPr>
          <w:i/>
          <w:iCs/>
          <w:lang w:val="es-PE"/>
        </w:rPr>
        <w:t>–dhamma</w:t>
      </w:r>
      <w:r w:rsidRPr="00E54A3E">
        <w:rPr>
          <w:lang w:val="es-PE"/>
        </w:rPr>
        <w:t>) XXI.130; XXII.33</w:t>
      </w:r>
    </w:p>
    <w:p w14:paraId="32A2F908" w14:textId="77777777" w:rsidR="00597DE2" w:rsidRPr="005B6D62" w:rsidRDefault="00597DE2" w:rsidP="00597DE2">
      <w:pPr>
        <w:pStyle w:val="ParrafoApendice"/>
        <w:rPr>
          <w:lang w:val="es-PE"/>
        </w:rPr>
      </w:pPr>
      <w:r w:rsidRPr="005B6D62">
        <w:rPr>
          <w:lang w:val="es-PE"/>
        </w:rPr>
        <w:t>estados divinos (</w:t>
      </w:r>
      <w:proofErr w:type="spellStart"/>
      <w:r w:rsidRPr="005B6D62">
        <w:rPr>
          <w:i/>
          <w:iCs/>
          <w:lang w:val="es-PE"/>
        </w:rPr>
        <w:t>brahma</w:t>
      </w:r>
      <w:proofErr w:type="spellEnd"/>
      <w:r w:rsidRPr="005B6D62">
        <w:rPr>
          <w:i/>
          <w:iCs/>
          <w:lang w:val="es-PE"/>
        </w:rPr>
        <w:t>–</w:t>
      </w:r>
      <w:proofErr w:type="spellStart"/>
      <w:r w:rsidRPr="005B6D62">
        <w:rPr>
          <w:i/>
          <w:iCs/>
          <w:lang w:val="es-PE"/>
        </w:rPr>
        <w:t>vihāra</w:t>
      </w:r>
      <w:proofErr w:type="spellEnd"/>
      <w:r w:rsidRPr="005B6D62">
        <w:rPr>
          <w:lang w:val="es-PE"/>
        </w:rPr>
        <w:t xml:space="preserve">) III.105s.; VII.63; IX </w:t>
      </w:r>
      <w:r w:rsidRPr="005B6D62">
        <w:rPr>
          <w:i/>
          <w:iCs/>
          <w:lang w:val="es-PE"/>
        </w:rPr>
        <w:t>passim</w:t>
      </w:r>
      <w:r w:rsidRPr="005B6D62">
        <w:rPr>
          <w:lang w:val="es-PE"/>
        </w:rPr>
        <w:t xml:space="preserve"> </w:t>
      </w:r>
    </w:p>
    <w:p w14:paraId="313867AC" w14:textId="77777777" w:rsidR="00597DE2" w:rsidRPr="00E121E3" w:rsidRDefault="00597DE2" w:rsidP="00597DE2">
      <w:pPr>
        <w:pStyle w:val="ParrafoApendice"/>
        <w:rPr>
          <w:lang w:val="es-PE"/>
        </w:rPr>
      </w:pPr>
      <w:r w:rsidRPr="00E121E3">
        <w:rPr>
          <w:lang w:val="es-PE"/>
        </w:rPr>
        <w:t xml:space="preserve">estructura de </w:t>
      </w:r>
      <w:r>
        <w:rPr>
          <w:lang w:val="es-PE"/>
        </w:rPr>
        <w:t xml:space="preserve">las </w:t>
      </w:r>
      <w:r w:rsidRPr="00E121E3">
        <w:rPr>
          <w:lang w:val="es-PE"/>
        </w:rPr>
        <w:t>condiciones (</w:t>
      </w:r>
      <w:proofErr w:type="spellStart"/>
      <w:r w:rsidRPr="00E121E3">
        <w:rPr>
          <w:i/>
          <w:iCs/>
          <w:lang w:val="es-PE"/>
        </w:rPr>
        <w:t>paccayākāra</w:t>
      </w:r>
      <w:proofErr w:type="spellEnd"/>
      <w:r w:rsidRPr="00E121E3">
        <w:rPr>
          <w:lang w:val="es-PE"/>
        </w:rPr>
        <w:t>) XVII.9</w:t>
      </w:r>
    </w:p>
    <w:p w14:paraId="5BEDFB10" w14:textId="77777777" w:rsidR="00597DE2" w:rsidRPr="00097D6C" w:rsidRDefault="00597DE2" w:rsidP="00597DE2">
      <w:pPr>
        <w:pStyle w:val="ParrafoApendice"/>
        <w:rPr>
          <w:lang w:val="es-PE"/>
        </w:rPr>
      </w:pPr>
      <w:r w:rsidRPr="00097D6C">
        <w:rPr>
          <w:lang w:val="es-PE"/>
        </w:rPr>
        <w:t>etapa de la vida (</w:t>
      </w:r>
      <w:r w:rsidRPr="00097D6C">
        <w:rPr>
          <w:i/>
          <w:iCs/>
          <w:lang w:val="es-PE"/>
        </w:rPr>
        <w:t>vaya</w:t>
      </w:r>
      <w:r w:rsidRPr="00097D6C">
        <w:rPr>
          <w:lang w:val="es-PE"/>
        </w:rPr>
        <w:t xml:space="preserve">) XX.48 </w:t>
      </w:r>
    </w:p>
    <w:p w14:paraId="53C57CE3" w14:textId="77777777" w:rsidR="00597DE2" w:rsidRPr="005B6D62" w:rsidRDefault="00597DE2" w:rsidP="00597DE2">
      <w:pPr>
        <w:pStyle w:val="ParrafoApendice"/>
        <w:rPr>
          <w:lang w:val="es-PE"/>
        </w:rPr>
      </w:pPr>
      <w:r w:rsidRPr="005B6D62">
        <w:rPr>
          <w:lang w:val="es-PE"/>
        </w:rPr>
        <w:t>eunuco (</w:t>
      </w:r>
      <w:proofErr w:type="spellStart"/>
      <w:r w:rsidRPr="005B6D62">
        <w:rPr>
          <w:i/>
          <w:iCs/>
          <w:lang w:val="es-PE"/>
        </w:rPr>
        <w:t>paṇḍaka</w:t>
      </w:r>
      <w:proofErr w:type="spellEnd"/>
      <w:r w:rsidRPr="005B6D62">
        <w:rPr>
          <w:lang w:val="es-PE"/>
        </w:rPr>
        <w:t xml:space="preserve">) V.41; XIV.111 </w:t>
      </w:r>
    </w:p>
    <w:p w14:paraId="5A54F5C4" w14:textId="77777777" w:rsidR="00597DE2" w:rsidRPr="005E29FE" w:rsidRDefault="00597DE2" w:rsidP="00597DE2">
      <w:pPr>
        <w:pStyle w:val="ParrafoApendice"/>
        <w:rPr>
          <w:lang w:val="es-PE"/>
        </w:rPr>
      </w:pPr>
      <w:r w:rsidRPr="005E29FE">
        <w:rPr>
          <w:lang w:val="es-PE"/>
        </w:rPr>
        <w:t>ev</w:t>
      </w:r>
      <w:r>
        <w:rPr>
          <w:lang w:val="es-PE"/>
        </w:rPr>
        <w:t>ocación/evocaciones</w:t>
      </w:r>
      <w:r w:rsidRPr="005E29FE">
        <w:rPr>
          <w:lang w:val="es-PE"/>
        </w:rPr>
        <w:t xml:space="preserve"> (</w:t>
      </w:r>
      <w:proofErr w:type="spellStart"/>
      <w:r w:rsidRPr="005E29FE">
        <w:rPr>
          <w:i/>
          <w:iCs/>
          <w:lang w:val="es-PE"/>
        </w:rPr>
        <w:t>anussati</w:t>
      </w:r>
      <w:proofErr w:type="spellEnd"/>
      <w:r w:rsidRPr="005E29FE">
        <w:rPr>
          <w:lang w:val="es-PE"/>
        </w:rPr>
        <w:t xml:space="preserve">) III.6, 105s.; VII </w:t>
      </w:r>
      <w:r w:rsidRPr="00774FE7">
        <w:rPr>
          <w:i/>
          <w:iCs/>
          <w:lang w:val="es-PE"/>
        </w:rPr>
        <w:t>passim</w:t>
      </w:r>
      <w:r w:rsidRPr="005E29FE">
        <w:rPr>
          <w:lang w:val="es-PE"/>
        </w:rPr>
        <w:t xml:space="preserve">, </w:t>
      </w:r>
      <w:r w:rsidRPr="005B2818">
        <w:rPr>
          <w:strike/>
          <w:color w:val="833C0B" w:themeColor="accent2" w:themeShade="80"/>
          <w:lang w:val="es-PE"/>
        </w:rPr>
        <w:t>28</w:t>
      </w:r>
      <w:r w:rsidRPr="005E29FE">
        <w:rPr>
          <w:lang w:val="es-PE"/>
        </w:rPr>
        <w:t xml:space="preserve">; VIII </w:t>
      </w:r>
      <w:r w:rsidRPr="00214392">
        <w:rPr>
          <w:i/>
          <w:iCs/>
          <w:lang w:val="es-PE"/>
        </w:rPr>
        <w:t>passim</w:t>
      </w:r>
      <w:r w:rsidRPr="005E29FE">
        <w:rPr>
          <w:lang w:val="es-PE"/>
        </w:rPr>
        <w:t>; XIII.13</w:t>
      </w:r>
      <w:r>
        <w:rPr>
          <w:lang w:val="es-PE"/>
        </w:rPr>
        <w:t>s</w:t>
      </w:r>
      <w:r w:rsidRPr="005E29FE">
        <w:rPr>
          <w:lang w:val="es-PE"/>
        </w:rPr>
        <w:t xml:space="preserve">.; XXIII.20; </w:t>
      </w:r>
      <w:r w:rsidRPr="00FE5C91">
        <w:rPr>
          <w:i/>
          <w:iCs/>
          <w:lang w:val="es-PE"/>
        </w:rPr>
        <w:t>e. de la Comunidad</w:t>
      </w:r>
      <w:r>
        <w:rPr>
          <w:lang w:val="es-PE"/>
        </w:rPr>
        <w:t xml:space="preserve"> </w:t>
      </w:r>
      <w:r w:rsidRPr="005E29FE">
        <w:rPr>
          <w:lang w:val="es-PE"/>
        </w:rPr>
        <w:t>(</w:t>
      </w:r>
      <w:proofErr w:type="spellStart"/>
      <w:r w:rsidRPr="0069556B">
        <w:rPr>
          <w:i/>
          <w:iCs/>
          <w:lang w:val="es-PE"/>
        </w:rPr>
        <w:t>saṅghānussati</w:t>
      </w:r>
      <w:proofErr w:type="spellEnd"/>
      <w:r w:rsidRPr="005E29FE">
        <w:rPr>
          <w:lang w:val="es-PE"/>
        </w:rPr>
        <w:t>) III.105</w:t>
      </w:r>
      <w:r>
        <w:rPr>
          <w:lang w:val="es-PE"/>
        </w:rPr>
        <w:t>s</w:t>
      </w:r>
      <w:r w:rsidRPr="005E29FE">
        <w:rPr>
          <w:lang w:val="es-PE"/>
        </w:rPr>
        <w:t xml:space="preserve">.; VII.89; </w:t>
      </w:r>
      <w:r w:rsidRPr="00FE5C91">
        <w:rPr>
          <w:i/>
          <w:iCs/>
          <w:lang w:val="es-PE"/>
        </w:rPr>
        <w:t>e. de la muerte</w:t>
      </w:r>
      <w:r w:rsidRPr="005E29FE">
        <w:rPr>
          <w:lang w:val="es-PE"/>
        </w:rPr>
        <w:t xml:space="preserve"> (</w:t>
      </w:r>
      <w:proofErr w:type="spellStart"/>
      <w:r w:rsidRPr="00A63062">
        <w:rPr>
          <w:i/>
          <w:iCs/>
          <w:lang w:val="es-PE"/>
        </w:rPr>
        <w:t>māraṇānussati</w:t>
      </w:r>
      <w:proofErr w:type="spellEnd"/>
      <w:r w:rsidRPr="005E29FE">
        <w:rPr>
          <w:lang w:val="es-PE"/>
        </w:rPr>
        <w:t xml:space="preserve">), </w:t>
      </w:r>
      <w:r>
        <w:rPr>
          <w:lang w:val="es-PE"/>
        </w:rPr>
        <w:t xml:space="preserve">ver </w:t>
      </w:r>
      <w:r>
        <w:rPr>
          <w:i/>
          <w:iCs/>
          <w:lang w:val="es-PE"/>
        </w:rPr>
        <w:t>consciencia de la muerte.</w:t>
      </w:r>
      <w:r w:rsidRPr="005E29FE">
        <w:rPr>
          <w:lang w:val="es-PE"/>
        </w:rPr>
        <w:t xml:space="preserve">.; </w:t>
      </w:r>
      <w:r w:rsidRPr="00A63062">
        <w:rPr>
          <w:i/>
          <w:iCs/>
          <w:lang w:val="es-PE"/>
        </w:rPr>
        <w:t>e. de las deidades</w:t>
      </w:r>
      <w:r>
        <w:rPr>
          <w:lang w:val="es-PE"/>
        </w:rPr>
        <w:t xml:space="preserve"> </w:t>
      </w:r>
      <w:r w:rsidRPr="005E29FE">
        <w:rPr>
          <w:lang w:val="es-PE"/>
        </w:rPr>
        <w:t>(</w:t>
      </w:r>
      <w:proofErr w:type="spellStart"/>
      <w:r w:rsidRPr="00A63062">
        <w:rPr>
          <w:i/>
          <w:iCs/>
          <w:lang w:val="es-PE"/>
        </w:rPr>
        <w:t>devatānussati</w:t>
      </w:r>
      <w:proofErr w:type="spellEnd"/>
      <w:r w:rsidRPr="005E29FE">
        <w:rPr>
          <w:lang w:val="es-PE"/>
        </w:rPr>
        <w:t>) III.105; VII.115</w:t>
      </w:r>
      <w:r>
        <w:rPr>
          <w:lang w:val="es-PE"/>
        </w:rPr>
        <w:t>s</w:t>
      </w:r>
      <w:r w:rsidRPr="005E29FE">
        <w:rPr>
          <w:lang w:val="es-PE"/>
        </w:rPr>
        <w:t xml:space="preserve">.; </w:t>
      </w:r>
      <w:r w:rsidRPr="00B63553">
        <w:rPr>
          <w:i/>
          <w:iCs/>
          <w:lang w:val="es-PE"/>
        </w:rPr>
        <w:t>e. del Iluminado</w:t>
      </w:r>
      <w:r w:rsidRPr="005E29FE">
        <w:rPr>
          <w:lang w:val="es-PE"/>
        </w:rPr>
        <w:t xml:space="preserve"> (</w:t>
      </w:r>
      <w:proofErr w:type="spellStart"/>
      <w:r w:rsidRPr="00B63553">
        <w:rPr>
          <w:i/>
          <w:iCs/>
          <w:lang w:val="es-PE"/>
        </w:rPr>
        <w:t>buddhānussati</w:t>
      </w:r>
      <w:proofErr w:type="spellEnd"/>
      <w:r w:rsidRPr="005E29FE">
        <w:rPr>
          <w:lang w:val="es-PE"/>
        </w:rPr>
        <w:t>) III.6, 105</w:t>
      </w:r>
      <w:r>
        <w:rPr>
          <w:lang w:val="es-PE"/>
        </w:rPr>
        <w:t>s</w:t>
      </w:r>
      <w:r w:rsidRPr="005E29FE">
        <w:rPr>
          <w:lang w:val="es-PE"/>
        </w:rPr>
        <w:t xml:space="preserve">.; VII.2.; </w:t>
      </w:r>
      <w:r w:rsidRPr="00B261D3">
        <w:rPr>
          <w:i/>
          <w:iCs/>
          <w:lang w:val="es-PE"/>
        </w:rPr>
        <w:t>e. de la generosidad</w:t>
      </w:r>
      <w:r w:rsidRPr="005E29FE">
        <w:rPr>
          <w:lang w:val="es-PE"/>
        </w:rPr>
        <w:t xml:space="preserve"> (</w:t>
      </w:r>
      <w:proofErr w:type="spellStart"/>
      <w:r w:rsidRPr="00B261D3">
        <w:rPr>
          <w:i/>
          <w:iCs/>
          <w:lang w:val="es-PE"/>
        </w:rPr>
        <w:t>cāgānussati</w:t>
      </w:r>
      <w:proofErr w:type="spellEnd"/>
      <w:r w:rsidRPr="005E29FE">
        <w:rPr>
          <w:lang w:val="es-PE"/>
        </w:rPr>
        <w:t>) III.105</w:t>
      </w:r>
      <w:r>
        <w:rPr>
          <w:lang w:val="es-PE"/>
        </w:rPr>
        <w:t>s</w:t>
      </w:r>
      <w:r w:rsidRPr="005E29FE">
        <w:rPr>
          <w:lang w:val="es-PE"/>
        </w:rPr>
        <w:t>.; VII.107</w:t>
      </w:r>
      <w:r>
        <w:rPr>
          <w:lang w:val="es-PE"/>
        </w:rPr>
        <w:t>s</w:t>
      </w:r>
      <w:r w:rsidRPr="005E29FE">
        <w:rPr>
          <w:lang w:val="es-PE"/>
        </w:rPr>
        <w:t xml:space="preserve">., </w:t>
      </w:r>
      <w:r w:rsidRPr="008E67D1">
        <w:rPr>
          <w:i/>
          <w:iCs/>
          <w:lang w:val="es-PE"/>
        </w:rPr>
        <w:t>e. del</w:t>
      </w:r>
      <w:r>
        <w:rPr>
          <w:lang w:val="es-PE"/>
        </w:rPr>
        <w:t xml:space="preserve"> </w:t>
      </w:r>
      <w:r w:rsidRPr="00712DEA">
        <w:rPr>
          <w:i/>
          <w:iCs/>
          <w:lang w:val="es-PE"/>
        </w:rPr>
        <w:t>Dhamma</w:t>
      </w:r>
      <w:r w:rsidRPr="005E29FE">
        <w:rPr>
          <w:lang w:val="es-PE"/>
        </w:rPr>
        <w:t xml:space="preserve"> (</w:t>
      </w:r>
      <w:proofErr w:type="spellStart"/>
      <w:r w:rsidRPr="00712DEA">
        <w:rPr>
          <w:i/>
          <w:iCs/>
          <w:lang w:val="es-PE"/>
        </w:rPr>
        <w:t>dhammānussati</w:t>
      </w:r>
      <w:proofErr w:type="spellEnd"/>
      <w:r w:rsidRPr="005E29FE">
        <w:rPr>
          <w:lang w:val="es-PE"/>
        </w:rPr>
        <w:t>) III.105</w:t>
      </w:r>
      <w:r>
        <w:rPr>
          <w:lang w:val="es-PE"/>
        </w:rPr>
        <w:t>s</w:t>
      </w:r>
      <w:r w:rsidRPr="005E29FE">
        <w:rPr>
          <w:lang w:val="es-PE"/>
        </w:rPr>
        <w:t>.; VII.68</w:t>
      </w:r>
      <w:r>
        <w:rPr>
          <w:lang w:val="es-PE"/>
        </w:rPr>
        <w:t>s</w:t>
      </w:r>
      <w:r w:rsidRPr="005E29FE">
        <w:rPr>
          <w:lang w:val="es-PE"/>
        </w:rPr>
        <w:t xml:space="preserve">.; </w:t>
      </w:r>
      <w:r w:rsidRPr="008E67D1">
        <w:rPr>
          <w:i/>
          <w:iCs/>
          <w:lang w:val="es-PE"/>
        </w:rPr>
        <w:t>recuerdo de vidas pasadas</w:t>
      </w:r>
      <w:r>
        <w:rPr>
          <w:lang w:val="es-PE"/>
        </w:rPr>
        <w:t xml:space="preserve"> </w:t>
      </w:r>
      <w:r w:rsidRPr="005E29FE">
        <w:rPr>
          <w:lang w:val="es-PE"/>
        </w:rPr>
        <w:t>(</w:t>
      </w:r>
      <w:proofErr w:type="spellStart"/>
      <w:r w:rsidRPr="008E67D1">
        <w:rPr>
          <w:i/>
          <w:iCs/>
          <w:lang w:val="es-PE"/>
        </w:rPr>
        <w:t>pubbenivāsānussati</w:t>
      </w:r>
      <w:proofErr w:type="spellEnd"/>
      <w:r w:rsidRPr="005E29FE">
        <w:rPr>
          <w:lang w:val="es-PE"/>
        </w:rPr>
        <w:t>) XII.2; XIII.13</w:t>
      </w:r>
      <w:r>
        <w:rPr>
          <w:lang w:val="es-PE"/>
        </w:rPr>
        <w:t>s</w:t>
      </w:r>
      <w:r w:rsidRPr="005E29FE">
        <w:rPr>
          <w:lang w:val="es-PE"/>
        </w:rPr>
        <w:t xml:space="preserve">., 120; </w:t>
      </w:r>
      <w:r w:rsidRPr="0054355E">
        <w:rPr>
          <w:i/>
          <w:iCs/>
          <w:lang w:val="es-PE"/>
        </w:rPr>
        <w:t>e. de la paz</w:t>
      </w:r>
      <w:r w:rsidRPr="005E29FE">
        <w:rPr>
          <w:lang w:val="es-PE"/>
        </w:rPr>
        <w:t xml:space="preserve"> (</w:t>
      </w:r>
      <w:proofErr w:type="spellStart"/>
      <w:r w:rsidRPr="0054355E">
        <w:rPr>
          <w:i/>
          <w:iCs/>
          <w:lang w:val="es-PE"/>
        </w:rPr>
        <w:t>upasamānussati</w:t>
      </w:r>
      <w:proofErr w:type="spellEnd"/>
      <w:r w:rsidRPr="005E29FE">
        <w:rPr>
          <w:lang w:val="es-PE"/>
        </w:rPr>
        <w:t>) III.6, 105</w:t>
      </w:r>
      <w:r>
        <w:rPr>
          <w:lang w:val="es-PE"/>
        </w:rPr>
        <w:t>s</w:t>
      </w:r>
      <w:r w:rsidRPr="005E29FE">
        <w:rPr>
          <w:lang w:val="es-PE"/>
        </w:rPr>
        <w:t>.; VIII.245</w:t>
      </w:r>
      <w:r>
        <w:rPr>
          <w:lang w:val="es-PE"/>
        </w:rPr>
        <w:t>s</w:t>
      </w:r>
      <w:r w:rsidRPr="005E29FE">
        <w:rPr>
          <w:lang w:val="es-PE"/>
        </w:rPr>
        <w:t xml:space="preserve">.; </w:t>
      </w:r>
      <w:r w:rsidRPr="00991240">
        <w:rPr>
          <w:i/>
          <w:iCs/>
          <w:lang w:val="es-PE"/>
        </w:rPr>
        <w:t>e. de la virtud</w:t>
      </w:r>
      <w:r w:rsidRPr="005E29FE">
        <w:rPr>
          <w:lang w:val="es-PE"/>
        </w:rPr>
        <w:t xml:space="preserve"> (</w:t>
      </w:r>
      <w:proofErr w:type="spellStart"/>
      <w:r w:rsidRPr="00991240">
        <w:rPr>
          <w:i/>
          <w:iCs/>
          <w:lang w:val="es-PE"/>
        </w:rPr>
        <w:t>sīlānussati</w:t>
      </w:r>
      <w:proofErr w:type="spellEnd"/>
      <w:r w:rsidRPr="005E29FE">
        <w:rPr>
          <w:lang w:val="es-PE"/>
        </w:rPr>
        <w:t>) III.105</w:t>
      </w:r>
      <w:r>
        <w:rPr>
          <w:lang w:val="es-PE"/>
        </w:rPr>
        <w:t>s</w:t>
      </w:r>
      <w:r w:rsidRPr="005E29FE">
        <w:rPr>
          <w:lang w:val="es-PE"/>
        </w:rPr>
        <w:t>.; VII.101</w:t>
      </w:r>
      <w:r>
        <w:rPr>
          <w:lang w:val="es-PE"/>
        </w:rPr>
        <w:t>s</w:t>
      </w:r>
      <w:r w:rsidRPr="005E29FE">
        <w:rPr>
          <w:lang w:val="es-PE"/>
        </w:rPr>
        <w:t xml:space="preserve">. </w:t>
      </w:r>
    </w:p>
    <w:p w14:paraId="0865503A" w14:textId="77777777" w:rsidR="00597DE2" w:rsidRPr="005B6D62" w:rsidRDefault="00597DE2" w:rsidP="00597DE2">
      <w:pPr>
        <w:pStyle w:val="ParrafoApendice"/>
        <w:rPr>
          <w:lang w:val="es-PE"/>
        </w:rPr>
      </w:pPr>
      <w:r w:rsidRPr="005B6D62">
        <w:rPr>
          <w:lang w:val="es-PE"/>
        </w:rPr>
        <w:t>evocar–en–la–mente (</w:t>
      </w:r>
      <w:proofErr w:type="spellStart"/>
      <w:r w:rsidRPr="005B6D62">
        <w:rPr>
          <w:i/>
          <w:iCs/>
          <w:lang w:val="es-PE"/>
        </w:rPr>
        <w:t>manasikāra</w:t>
      </w:r>
      <w:proofErr w:type="spellEnd"/>
      <w:r w:rsidRPr="005B6D62">
        <w:rPr>
          <w:lang w:val="es-PE"/>
        </w:rPr>
        <w:t>), ver atención</w:t>
      </w:r>
    </w:p>
    <w:p w14:paraId="31C36363" w14:textId="77777777" w:rsidR="00597DE2" w:rsidRPr="005B6D62" w:rsidRDefault="00597DE2" w:rsidP="00597DE2">
      <w:pPr>
        <w:pStyle w:val="ParrafoApendice"/>
        <w:rPr>
          <w:lang w:val="es-PE"/>
        </w:rPr>
      </w:pPr>
      <w:r w:rsidRPr="005B6D62">
        <w:rPr>
          <w:lang w:val="es-PE"/>
        </w:rPr>
        <w:t>excelsa (</w:t>
      </w:r>
      <w:proofErr w:type="spellStart"/>
      <w:r w:rsidRPr="005B6D62">
        <w:rPr>
          <w:i/>
          <w:iCs/>
          <w:lang w:val="es-PE"/>
        </w:rPr>
        <w:t>mahaggata</w:t>
      </w:r>
      <w:proofErr w:type="spellEnd"/>
      <w:r w:rsidRPr="005B6D62">
        <w:rPr>
          <w:lang w:val="es-PE"/>
        </w:rPr>
        <w:t xml:space="preserve">) II.5, 13; IV.74; X.34; XIII.12, 106, 120; XIV.15; XVII.53, 140; XIX.15; XX.44; XXIII.4 </w:t>
      </w:r>
    </w:p>
    <w:p w14:paraId="2FC8AE26" w14:textId="77777777" w:rsidR="00597DE2" w:rsidRPr="005B6D62" w:rsidRDefault="00597DE2" w:rsidP="00597DE2">
      <w:pPr>
        <w:pStyle w:val="ParrafoApendice"/>
        <w:rPr>
          <w:lang w:val="es-PE"/>
        </w:rPr>
      </w:pPr>
      <w:r w:rsidRPr="005B6D62">
        <w:rPr>
          <w:lang w:val="es-PE"/>
        </w:rPr>
        <w:t>exclusivo, absoluto (</w:t>
      </w:r>
      <w:proofErr w:type="spellStart"/>
      <w:r w:rsidRPr="005B6D62">
        <w:rPr>
          <w:i/>
          <w:iCs/>
          <w:lang w:val="es-PE"/>
        </w:rPr>
        <w:t>advaya</w:t>
      </w:r>
      <w:proofErr w:type="spellEnd"/>
      <w:r w:rsidRPr="005B6D62">
        <w:rPr>
          <w:lang w:val="es-PE"/>
        </w:rPr>
        <w:t xml:space="preserve">) V.38 </w:t>
      </w:r>
    </w:p>
    <w:p w14:paraId="40CDB1D6" w14:textId="77777777" w:rsidR="00597DE2" w:rsidRPr="005B6D62" w:rsidRDefault="00597DE2" w:rsidP="00597DE2">
      <w:pPr>
        <w:pStyle w:val="ParrafoApendice"/>
        <w:rPr>
          <w:lang w:val="es-PE"/>
        </w:rPr>
      </w:pPr>
      <w:r w:rsidRPr="005B6D62">
        <w:rPr>
          <w:lang w:val="es-PE"/>
        </w:rPr>
        <w:t>existencia (</w:t>
      </w:r>
      <w:proofErr w:type="spellStart"/>
      <w:r w:rsidRPr="005B6D62">
        <w:rPr>
          <w:i/>
          <w:iCs/>
          <w:lang w:val="es-PE"/>
        </w:rPr>
        <w:t>atthitā</w:t>
      </w:r>
      <w:proofErr w:type="spellEnd"/>
      <w:r w:rsidRPr="005B6D62">
        <w:rPr>
          <w:lang w:val="es-PE"/>
        </w:rPr>
        <w:t>) XVII.n.1; (</w:t>
      </w:r>
      <w:proofErr w:type="spellStart"/>
      <w:r w:rsidRPr="005B6D62">
        <w:rPr>
          <w:i/>
          <w:iCs/>
          <w:lang w:val="es-PE"/>
        </w:rPr>
        <w:t>atthibhāva</w:t>
      </w:r>
      <w:proofErr w:type="spellEnd"/>
      <w:r w:rsidRPr="005B6D62">
        <w:rPr>
          <w:lang w:val="es-PE"/>
        </w:rPr>
        <w:t>) XVII.n.16; (</w:t>
      </w:r>
      <w:proofErr w:type="spellStart"/>
      <w:r w:rsidRPr="005B6D62">
        <w:rPr>
          <w:i/>
          <w:iCs/>
          <w:lang w:val="es-PE"/>
        </w:rPr>
        <w:t>bhava</w:t>
      </w:r>
      <w:proofErr w:type="spellEnd"/>
      <w:r w:rsidRPr="005B6D62">
        <w:rPr>
          <w:lang w:val="es-PE"/>
        </w:rPr>
        <w:t>) VII.n.6; IX.</w:t>
      </w:r>
      <w:proofErr w:type="gramStart"/>
      <w:r w:rsidRPr="005B6D62">
        <w:rPr>
          <w:lang w:val="es-PE"/>
        </w:rPr>
        <w:t>97.Ver</w:t>
      </w:r>
      <w:proofErr w:type="gramEnd"/>
      <w:r w:rsidRPr="005B6D62">
        <w:rPr>
          <w:lang w:val="es-PE"/>
        </w:rPr>
        <w:t xml:space="preserve"> también </w:t>
      </w:r>
      <w:r w:rsidRPr="005B6D62">
        <w:rPr>
          <w:i/>
          <w:iCs/>
          <w:lang w:val="es-PE"/>
        </w:rPr>
        <w:t>devenir</w:t>
      </w:r>
    </w:p>
    <w:p w14:paraId="2E2C23E7" w14:textId="77777777" w:rsidR="00597DE2" w:rsidRPr="005B6D62" w:rsidRDefault="00597DE2" w:rsidP="00597DE2">
      <w:pPr>
        <w:pStyle w:val="ParrafoApendice"/>
        <w:rPr>
          <w:lang w:val="es-PE"/>
        </w:rPr>
      </w:pPr>
      <w:r w:rsidRPr="005B6D62">
        <w:rPr>
          <w:lang w:val="es-PE"/>
        </w:rPr>
        <w:t>existente (</w:t>
      </w:r>
      <w:proofErr w:type="spellStart"/>
      <w:r w:rsidRPr="005B6D62">
        <w:rPr>
          <w:i/>
          <w:iCs/>
          <w:lang w:val="es-PE"/>
        </w:rPr>
        <w:t>vijjamāna</w:t>
      </w:r>
      <w:proofErr w:type="spellEnd"/>
      <w:r w:rsidRPr="005B6D62">
        <w:rPr>
          <w:lang w:val="es-PE"/>
        </w:rPr>
        <w:t>) IX.123; (</w:t>
      </w:r>
      <w:proofErr w:type="spellStart"/>
      <w:r w:rsidRPr="005B6D62">
        <w:rPr>
          <w:i/>
          <w:iCs/>
          <w:lang w:val="es-PE"/>
        </w:rPr>
        <w:t>vattamāna</w:t>
      </w:r>
      <w:proofErr w:type="spellEnd"/>
      <w:r w:rsidRPr="005B6D62">
        <w:rPr>
          <w:lang w:val="es-PE"/>
        </w:rPr>
        <w:t xml:space="preserve">) XVI.68 </w:t>
      </w:r>
    </w:p>
    <w:p w14:paraId="6E6A217E" w14:textId="77777777" w:rsidR="00597DE2" w:rsidRPr="00126AEA" w:rsidRDefault="00597DE2" w:rsidP="00597DE2">
      <w:pPr>
        <w:pStyle w:val="ParrafoApendice"/>
        <w:rPr>
          <w:lang w:val="es-PE"/>
        </w:rPr>
      </w:pPr>
      <w:r w:rsidRPr="00126AEA">
        <w:rPr>
          <w:lang w:val="es-PE"/>
        </w:rPr>
        <w:t>éxito (</w:t>
      </w:r>
      <w:proofErr w:type="spellStart"/>
      <w:r w:rsidRPr="00126AEA">
        <w:rPr>
          <w:i/>
          <w:iCs/>
          <w:lang w:val="es-PE"/>
        </w:rPr>
        <w:t>iddhi</w:t>
      </w:r>
      <w:proofErr w:type="spellEnd"/>
      <w:r w:rsidRPr="00126AEA">
        <w:rPr>
          <w:lang w:val="es-PE"/>
        </w:rPr>
        <w:t xml:space="preserve">), ver </w:t>
      </w:r>
      <w:r w:rsidRPr="00126AEA">
        <w:rPr>
          <w:i/>
          <w:iCs/>
          <w:lang w:val="es-PE"/>
        </w:rPr>
        <w:t>poder, poder supernormal, sendero hacia el poder</w:t>
      </w:r>
    </w:p>
    <w:p w14:paraId="7893D109" w14:textId="77777777" w:rsidR="00597DE2" w:rsidRDefault="00597DE2" w:rsidP="00597DE2">
      <w:pPr>
        <w:pStyle w:val="ParrafoApendice"/>
        <w:rPr>
          <w:lang w:val="es-PE"/>
        </w:rPr>
      </w:pPr>
      <w:r w:rsidRPr="005B6D62">
        <w:rPr>
          <w:lang w:val="es-PE"/>
        </w:rPr>
        <w:t>expansión (</w:t>
      </w:r>
      <w:proofErr w:type="spellStart"/>
      <w:r w:rsidRPr="005B6D62">
        <w:rPr>
          <w:i/>
          <w:iCs/>
          <w:lang w:val="es-PE"/>
        </w:rPr>
        <w:t>vivaṭṭa</w:t>
      </w:r>
      <w:proofErr w:type="spellEnd"/>
      <w:r w:rsidRPr="005B6D62">
        <w:rPr>
          <w:lang w:val="es-PE"/>
        </w:rPr>
        <w:t xml:space="preserve">) XIII.28s.; XX.73 </w:t>
      </w:r>
      <w:r>
        <w:rPr>
          <w:lang w:val="es-PE"/>
        </w:rPr>
        <w:br w:type="page"/>
      </w:r>
    </w:p>
    <w:p w14:paraId="59C7469F" w14:textId="77777777" w:rsidR="00597DE2" w:rsidRPr="005B6D62" w:rsidRDefault="00597DE2" w:rsidP="00597DE2">
      <w:pPr>
        <w:pStyle w:val="ParrafoApendice"/>
        <w:rPr>
          <w:lang w:val="es-PE"/>
        </w:rPr>
      </w:pPr>
    </w:p>
    <w:p w14:paraId="4CED2172" w14:textId="77777777" w:rsidR="00597DE2" w:rsidRPr="005B6D62" w:rsidRDefault="00597DE2" w:rsidP="00597DE2">
      <w:pPr>
        <w:pStyle w:val="ParrafoApendice"/>
        <w:rPr>
          <w:lang w:val="es-PE"/>
        </w:rPr>
      </w:pPr>
      <w:r w:rsidRPr="005B6D62">
        <w:rPr>
          <w:lang w:val="es-PE"/>
        </w:rPr>
        <w:t>experimentador (</w:t>
      </w:r>
      <w:proofErr w:type="spellStart"/>
      <w:r w:rsidRPr="005B6D62">
        <w:rPr>
          <w:i/>
          <w:iCs/>
          <w:lang w:val="es-PE"/>
        </w:rPr>
        <w:t>upabhuñjaka</w:t>
      </w:r>
      <w:proofErr w:type="spellEnd"/>
      <w:r w:rsidRPr="005B6D62">
        <w:rPr>
          <w:lang w:val="es-PE"/>
        </w:rPr>
        <w:t>) XVII.171; (</w:t>
      </w:r>
      <w:proofErr w:type="spellStart"/>
      <w:r w:rsidRPr="005B6D62">
        <w:rPr>
          <w:i/>
          <w:iCs/>
          <w:lang w:val="es-PE"/>
        </w:rPr>
        <w:t>vedaka</w:t>
      </w:r>
      <w:proofErr w:type="spellEnd"/>
      <w:r w:rsidRPr="005B6D62">
        <w:rPr>
          <w:lang w:val="es-PE"/>
        </w:rPr>
        <w:t>) XVI.90; XVII.273, 282; XX.16</w:t>
      </w:r>
    </w:p>
    <w:p w14:paraId="4028EA88" w14:textId="77777777" w:rsidR="00597DE2" w:rsidRPr="005B6D62" w:rsidRDefault="00597DE2" w:rsidP="00597DE2">
      <w:pPr>
        <w:pStyle w:val="ParrafoApendice"/>
        <w:rPr>
          <w:lang w:val="es-PE"/>
        </w:rPr>
      </w:pPr>
      <w:r w:rsidRPr="005B6D62">
        <w:rPr>
          <w:lang w:val="es-PE"/>
        </w:rPr>
        <w:t>extensión (</w:t>
      </w:r>
      <w:proofErr w:type="spellStart"/>
      <w:r w:rsidRPr="005B6D62">
        <w:rPr>
          <w:i/>
          <w:iCs/>
          <w:lang w:val="es-PE"/>
        </w:rPr>
        <w:t>vaḍḍhana</w:t>
      </w:r>
      <w:proofErr w:type="spellEnd"/>
      <w:r w:rsidRPr="005B6D62">
        <w:rPr>
          <w:lang w:val="es-PE"/>
        </w:rPr>
        <w:t xml:space="preserve">) III.109; IV.126s.; V.26; XIII.6 </w:t>
      </w:r>
    </w:p>
    <w:p w14:paraId="7CBA2E42" w14:textId="77777777" w:rsidR="00597DE2" w:rsidRPr="005B6D62" w:rsidRDefault="00597DE2" w:rsidP="00597DE2">
      <w:pPr>
        <w:pStyle w:val="ParrafoApendice"/>
        <w:rPr>
          <w:lang w:val="es-PE"/>
        </w:rPr>
      </w:pPr>
      <w:r w:rsidRPr="005B6D62">
        <w:rPr>
          <w:lang w:val="es-PE"/>
        </w:rPr>
        <w:t>externo (</w:t>
      </w:r>
      <w:proofErr w:type="spellStart"/>
      <w:r w:rsidRPr="005B6D62">
        <w:rPr>
          <w:i/>
          <w:iCs/>
          <w:lang w:val="es-PE"/>
        </w:rPr>
        <w:t>bahiddhā</w:t>
      </w:r>
      <w:proofErr w:type="spellEnd"/>
      <w:r w:rsidRPr="005B6D62">
        <w:rPr>
          <w:i/>
          <w:iCs/>
          <w:lang w:val="es-PE"/>
        </w:rPr>
        <w:t xml:space="preserve">, </w:t>
      </w:r>
      <w:proofErr w:type="spellStart"/>
      <w:r w:rsidRPr="005B6D62">
        <w:rPr>
          <w:i/>
          <w:iCs/>
          <w:lang w:val="es-PE"/>
        </w:rPr>
        <w:t>bāhira</w:t>
      </w:r>
      <w:proofErr w:type="spellEnd"/>
      <w:r w:rsidRPr="005B6D62">
        <w:rPr>
          <w:lang w:val="es-PE"/>
        </w:rPr>
        <w:t xml:space="preserve">) XI.107; XIII.106s.; XIV.19, 73, 192, 198; XX.73; XXI.83s.; XXII.5, 45; XXIII.4 </w:t>
      </w:r>
    </w:p>
    <w:p w14:paraId="0D8D856D" w14:textId="77777777" w:rsidR="00597DE2" w:rsidRPr="005B6D62" w:rsidRDefault="00597DE2" w:rsidP="00597DE2">
      <w:pPr>
        <w:pStyle w:val="ParrafoApendice"/>
        <w:rPr>
          <w:lang w:val="es-PE"/>
        </w:rPr>
      </w:pPr>
      <w:r w:rsidRPr="005B6D62">
        <w:rPr>
          <w:lang w:val="es-PE"/>
        </w:rPr>
        <w:t>extinción (del deseo, etc.) (</w:t>
      </w:r>
      <w:r w:rsidRPr="005B6D62">
        <w:rPr>
          <w:i/>
          <w:iCs/>
          <w:lang w:val="es-PE"/>
        </w:rPr>
        <w:t>nibbāna</w:t>
      </w:r>
      <w:r w:rsidRPr="005B6D62">
        <w:rPr>
          <w:lang w:val="es-PE"/>
        </w:rPr>
        <w:t xml:space="preserve">, </w:t>
      </w:r>
      <w:r w:rsidRPr="005B6D62">
        <w:rPr>
          <w:i/>
          <w:iCs/>
          <w:lang w:val="es-PE"/>
        </w:rPr>
        <w:t>parinibbāna</w:t>
      </w:r>
      <w:r w:rsidRPr="005B6D62">
        <w:rPr>
          <w:lang w:val="es-PE"/>
        </w:rPr>
        <w:t xml:space="preserve">), ver </w:t>
      </w:r>
      <w:r w:rsidRPr="005B6D62">
        <w:rPr>
          <w:i/>
          <w:iCs/>
          <w:lang w:val="es-PE"/>
        </w:rPr>
        <w:t>Nibbāna</w:t>
      </w:r>
    </w:p>
    <w:p w14:paraId="09446C5C" w14:textId="77777777" w:rsidR="00597DE2" w:rsidRPr="005B6D62" w:rsidRDefault="00597DE2" w:rsidP="00597DE2">
      <w:pPr>
        <w:pStyle w:val="ParrafoApendice"/>
        <w:rPr>
          <w:lang w:val="es-PE"/>
        </w:rPr>
      </w:pPr>
      <w:r w:rsidRPr="005B6D62">
        <w:rPr>
          <w:lang w:val="es-PE"/>
        </w:rPr>
        <w:t>factor de iluminación (</w:t>
      </w:r>
      <w:proofErr w:type="spellStart"/>
      <w:r w:rsidRPr="005B6D62">
        <w:rPr>
          <w:i/>
          <w:iCs/>
          <w:lang w:val="es-PE"/>
        </w:rPr>
        <w:t>bojjhaṅga</w:t>
      </w:r>
      <w:proofErr w:type="spellEnd"/>
      <w:r w:rsidRPr="005B6D62">
        <w:rPr>
          <w:i/>
          <w:iCs/>
          <w:lang w:val="es-PE"/>
        </w:rPr>
        <w:t xml:space="preserve">, </w:t>
      </w:r>
      <w:proofErr w:type="spellStart"/>
      <w:r w:rsidRPr="005B6D62">
        <w:rPr>
          <w:i/>
          <w:iCs/>
          <w:lang w:val="es-PE"/>
        </w:rPr>
        <w:t>sambojjhaṅga</w:t>
      </w:r>
      <w:proofErr w:type="spellEnd"/>
      <w:r w:rsidRPr="005B6D62">
        <w:rPr>
          <w:lang w:val="es-PE"/>
        </w:rPr>
        <w:t>) IV.51s.; VIII.</w:t>
      </w:r>
      <w:r w:rsidRPr="005B6D62">
        <w:rPr>
          <w:strike/>
          <w:color w:val="833C0B" w:themeColor="accent2" w:themeShade="80"/>
          <w:u w:color="000000"/>
          <w:lang w:val="es-PE"/>
        </w:rPr>
        <w:t>141</w:t>
      </w:r>
      <w:r w:rsidRPr="005B6D62">
        <w:rPr>
          <w:lang w:val="es-PE"/>
        </w:rPr>
        <w:t xml:space="preserve">, 239; XVI.86; XX.21; XXI.111; XXII.22, 33, 38s., 42 </w:t>
      </w:r>
    </w:p>
    <w:p w14:paraId="20FDBD05" w14:textId="77777777" w:rsidR="00597DE2" w:rsidRPr="005B6D62" w:rsidRDefault="00597DE2" w:rsidP="00597DE2">
      <w:pPr>
        <w:pStyle w:val="ParrafoApendice"/>
        <w:rPr>
          <w:lang w:val="es-PE"/>
        </w:rPr>
      </w:pPr>
      <w:r w:rsidRPr="005B6D62">
        <w:rPr>
          <w:lang w:val="es-PE"/>
        </w:rPr>
        <w:t>facultad (</w:t>
      </w:r>
      <w:proofErr w:type="spellStart"/>
      <w:r w:rsidRPr="005B6D62">
        <w:rPr>
          <w:i/>
          <w:iCs/>
          <w:lang w:val="es-PE"/>
        </w:rPr>
        <w:t>indriya</w:t>
      </w:r>
      <w:proofErr w:type="spellEnd"/>
      <w:r w:rsidRPr="005B6D62">
        <w:rPr>
          <w:lang w:val="es-PE"/>
        </w:rPr>
        <w:t xml:space="preserve">) I.42, 56s., 100; III.18; IV.45, 61, 117s., 186; XI.107; XIV.58s., 73, 79, 115, 134; XVI.1s., 10, </w:t>
      </w:r>
      <w:r w:rsidRPr="005B6D62">
        <w:rPr>
          <w:u w:color="000000"/>
          <w:lang w:val="es-PE"/>
        </w:rPr>
        <w:t>86</w:t>
      </w:r>
      <w:r w:rsidRPr="005B6D62">
        <w:rPr>
          <w:lang w:val="es-PE"/>
        </w:rPr>
        <w:t xml:space="preserve">; XVII.91, 127, 150, 163; XVIII.n.8; XX.9, 21; XXI.75, 89, n.31; XXII.22, 33, 37, 42; XXIII.51, 55, 56 </w:t>
      </w:r>
    </w:p>
    <w:p w14:paraId="41493A1D" w14:textId="77777777" w:rsidR="00597DE2" w:rsidRPr="005B6D62" w:rsidRDefault="00597DE2" w:rsidP="00597DE2">
      <w:pPr>
        <w:pStyle w:val="ParrafoApendice"/>
        <w:rPr>
          <w:lang w:val="es-PE"/>
        </w:rPr>
      </w:pPr>
      <w:r w:rsidRPr="005B6D62">
        <w:rPr>
          <w:lang w:val="es-PE"/>
        </w:rPr>
        <w:t>facultad de la feminidad (</w:t>
      </w:r>
      <w:proofErr w:type="spellStart"/>
      <w:r w:rsidRPr="005B6D62">
        <w:rPr>
          <w:i/>
          <w:iCs/>
          <w:lang w:val="es-PE"/>
        </w:rPr>
        <w:t>itthindriya</w:t>
      </w:r>
      <w:proofErr w:type="spellEnd"/>
      <w:r w:rsidRPr="005B6D62">
        <w:rPr>
          <w:lang w:val="es-PE"/>
        </w:rPr>
        <w:t xml:space="preserve">) XIV.58; </w:t>
      </w:r>
      <w:r w:rsidRPr="005B6D62">
        <w:rPr>
          <w:strike/>
          <w:color w:val="833C0B" w:themeColor="accent2" w:themeShade="80"/>
          <w:u w:color="000000"/>
          <w:lang w:val="es-PE"/>
        </w:rPr>
        <w:t>XV.1</w:t>
      </w:r>
      <w:r w:rsidRPr="005B6D62">
        <w:rPr>
          <w:lang w:val="es-PE"/>
        </w:rPr>
        <w:t xml:space="preserve"> </w:t>
      </w:r>
    </w:p>
    <w:p w14:paraId="31474773" w14:textId="77777777" w:rsidR="00597DE2" w:rsidRPr="005B6D62" w:rsidRDefault="00597DE2" w:rsidP="00597DE2">
      <w:pPr>
        <w:pStyle w:val="ParrafoApendice"/>
        <w:rPr>
          <w:lang w:val="es-PE"/>
        </w:rPr>
      </w:pPr>
      <w:r w:rsidRPr="005B6D62">
        <w:rPr>
          <w:lang w:val="es-PE"/>
        </w:rPr>
        <w:t>facultad de la masculinidad (</w:t>
      </w:r>
      <w:proofErr w:type="spellStart"/>
      <w:r w:rsidRPr="005B6D62">
        <w:rPr>
          <w:i/>
          <w:iCs/>
          <w:lang w:val="es-PE"/>
        </w:rPr>
        <w:t>purisindriya</w:t>
      </w:r>
      <w:proofErr w:type="spellEnd"/>
      <w:r w:rsidRPr="005B6D62">
        <w:rPr>
          <w:lang w:val="es-PE"/>
        </w:rPr>
        <w:t xml:space="preserve">) XIV.58; XVI.1 </w:t>
      </w:r>
    </w:p>
    <w:p w14:paraId="168CC33F" w14:textId="77777777" w:rsidR="00597DE2" w:rsidRPr="005B6D62" w:rsidRDefault="00597DE2" w:rsidP="00597DE2">
      <w:pPr>
        <w:pStyle w:val="ParrafoApendice"/>
        <w:rPr>
          <w:lang w:val="es-PE"/>
        </w:rPr>
      </w:pPr>
      <w:r w:rsidRPr="005B6D62">
        <w:rPr>
          <w:lang w:val="es-PE"/>
        </w:rPr>
        <w:t>fantasma (</w:t>
      </w:r>
      <w:r w:rsidRPr="005B6D62">
        <w:rPr>
          <w:i/>
          <w:iCs/>
          <w:lang w:val="es-PE"/>
        </w:rPr>
        <w:t>peta</w:t>
      </w:r>
      <w:r w:rsidRPr="005B6D62">
        <w:rPr>
          <w:lang w:val="es-PE"/>
        </w:rPr>
        <w:t xml:space="preserve">) XIII.93; XVII.154, 178 </w:t>
      </w:r>
    </w:p>
    <w:p w14:paraId="312B11C4" w14:textId="77777777" w:rsidR="00597DE2" w:rsidRPr="005B6D62" w:rsidRDefault="00597DE2" w:rsidP="00597DE2">
      <w:pPr>
        <w:pStyle w:val="ParrafoApendice"/>
        <w:rPr>
          <w:lang w:val="es-PE"/>
        </w:rPr>
      </w:pPr>
      <w:r w:rsidRPr="005B6D62">
        <w:rPr>
          <w:lang w:val="es-PE"/>
        </w:rPr>
        <w:t>fatalismo (</w:t>
      </w:r>
      <w:proofErr w:type="spellStart"/>
      <w:r w:rsidRPr="005B6D62">
        <w:rPr>
          <w:i/>
          <w:iCs/>
          <w:lang w:val="es-PE"/>
        </w:rPr>
        <w:t>niyata</w:t>
      </w:r>
      <w:proofErr w:type="spellEnd"/>
      <w:r w:rsidRPr="005B6D62">
        <w:rPr>
          <w:i/>
          <w:iCs/>
          <w:lang w:val="es-PE"/>
        </w:rPr>
        <w:t>–</w:t>
      </w:r>
      <w:proofErr w:type="spellStart"/>
      <w:r w:rsidRPr="005B6D62">
        <w:rPr>
          <w:i/>
          <w:iCs/>
          <w:lang w:val="es-PE"/>
        </w:rPr>
        <w:t>vāda</w:t>
      </w:r>
      <w:proofErr w:type="spellEnd"/>
      <w:r w:rsidRPr="005B6D62">
        <w:rPr>
          <w:lang w:val="es-PE"/>
        </w:rPr>
        <w:t xml:space="preserve">) XVII.313 </w:t>
      </w:r>
    </w:p>
    <w:p w14:paraId="5C5569CA" w14:textId="77777777" w:rsidR="00597DE2" w:rsidRPr="005B6D62" w:rsidRDefault="00597DE2" w:rsidP="00597DE2">
      <w:pPr>
        <w:pStyle w:val="ParrafoApendice"/>
        <w:rPr>
          <w:lang w:val="es-PE"/>
        </w:rPr>
      </w:pPr>
      <w:r w:rsidRPr="005B6D62">
        <w:rPr>
          <w:lang w:val="es-PE"/>
        </w:rPr>
        <w:t>fe (</w:t>
      </w:r>
      <w:proofErr w:type="spellStart"/>
      <w:r w:rsidRPr="005B6D62">
        <w:rPr>
          <w:i/>
          <w:iCs/>
          <w:lang w:val="es-PE"/>
        </w:rPr>
        <w:t>saddhā</w:t>
      </w:r>
      <w:proofErr w:type="spellEnd"/>
      <w:r w:rsidRPr="005B6D62">
        <w:rPr>
          <w:lang w:val="es-PE"/>
        </w:rPr>
        <w:t xml:space="preserve">) I.26s, 68, 98; III.74s., 122; IV.45s, 142; VII.7, 115s., </w:t>
      </w:r>
      <w:r w:rsidRPr="005B6D62">
        <w:rPr>
          <w:strike/>
          <w:color w:val="833C0B" w:themeColor="accent2" w:themeShade="80"/>
          <w:u w:color="000000"/>
          <w:lang w:val="es-PE"/>
        </w:rPr>
        <w:t>n.4</w:t>
      </w:r>
      <w:r w:rsidRPr="005B6D62">
        <w:rPr>
          <w:lang w:val="es-PE"/>
        </w:rPr>
        <w:t xml:space="preserve">, n.8; XII.17; XIV.133, 140, 148, 155; XVI.1, 10, 86; XVII.84; XX.118; XXI.74, 89, 128, </w:t>
      </w:r>
      <w:r w:rsidRPr="005B6D62">
        <w:rPr>
          <w:strike/>
          <w:color w:val="833C0B" w:themeColor="accent2" w:themeShade="80"/>
          <w:u w:color="000000"/>
          <w:lang w:val="es-PE"/>
        </w:rPr>
        <w:t>n.34</w:t>
      </w:r>
      <w:r w:rsidRPr="005B6D62">
        <w:rPr>
          <w:lang w:val="es-PE"/>
        </w:rPr>
        <w:t xml:space="preserve">; XXII.37, 42 </w:t>
      </w:r>
    </w:p>
    <w:p w14:paraId="53C83F33" w14:textId="77777777" w:rsidR="00597DE2" w:rsidRPr="005B6D62" w:rsidRDefault="00597DE2" w:rsidP="00597DE2">
      <w:pPr>
        <w:pStyle w:val="ParrafoApendice"/>
        <w:rPr>
          <w:lang w:val="es-PE"/>
        </w:rPr>
      </w:pPr>
      <w:r w:rsidRPr="005B6D62">
        <w:rPr>
          <w:lang w:val="es-PE"/>
        </w:rPr>
        <w:t>felicidad (</w:t>
      </w:r>
      <w:proofErr w:type="spellStart"/>
      <w:r w:rsidRPr="005B6D62">
        <w:rPr>
          <w:i/>
          <w:iCs/>
          <w:lang w:val="es-PE"/>
        </w:rPr>
        <w:t>pīti</w:t>
      </w:r>
      <w:proofErr w:type="spellEnd"/>
      <w:r w:rsidRPr="005B6D62">
        <w:rPr>
          <w:lang w:val="es-PE"/>
        </w:rPr>
        <w:t>) I.32, 140; III.5, 8, 12, 21, n.6; IV.51, 74, 86, 94</w:t>
      </w:r>
      <w:r w:rsidRPr="005B6D62">
        <w:rPr>
          <w:color w:val="833C0B" w:themeColor="accent2" w:themeShade="80"/>
          <w:u w:color="000000"/>
          <w:lang w:val="es-PE"/>
        </w:rPr>
        <w:t>s</w:t>
      </w:r>
      <w:r w:rsidRPr="005B6D62">
        <w:rPr>
          <w:lang w:val="es-PE"/>
        </w:rPr>
        <w:t xml:space="preserve">, 182; VIII.226, 230; IX.112; XIV.86, 128, 133, 136, 156, 159, 169, 180; XVI.86; XVII.160; XX.115; XXI.19; XXII.42; XXIII.26 </w:t>
      </w:r>
    </w:p>
    <w:p w14:paraId="442D790B" w14:textId="77777777" w:rsidR="00597DE2" w:rsidRPr="005B6D62" w:rsidRDefault="00597DE2" w:rsidP="00597DE2">
      <w:pPr>
        <w:pStyle w:val="ParrafoApendice"/>
        <w:rPr>
          <w:lang w:val="es-PE"/>
        </w:rPr>
      </w:pPr>
      <w:r w:rsidRPr="005B6D62">
        <w:rPr>
          <w:lang w:val="es-PE"/>
        </w:rPr>
        <w:t>fenómeno (</w:t>
      </w:r>
      <w:r w:rsidRPr="005B6D62">
        <w:rPr>
          <w:i/>
          <w:iCs/>
          <w:lang w:val="es-PE"/>
        </w:rPr>
        <w:t>dhamma</w:t>
      </w:r>
      <w:r w:rsidRPr="005B6D62">
        <w:rPr>
          <w:lang w:val="es-PE"/>
        </w:rPr>
        <w:t xml:space="preserve">) VII.n.1; XIX.20 </w:t>
      </w:r>
    </w:p>
    <w:p w14:paraId="1F897BF5" w14:textId="77777777" w:rsidR="00597DE2" w:rsidRPr="005B6D62" w:rsidRDefault="00597DE2" w:rsidP="00597DE2">
      <w:pPr>
        <w:pStyle w:val="ParrafoApendice"/>
        <w:rPr>
          <w:lang w:val="es-PE"/>
        </w:rPr>
      </w:pPr>
      <w:r w:rsidRPr="005B6D62">
        <w:rPr>
          <w:lang w:val="es-PE"/>
        </w:rPr>
        <w:t>feto (</w:t>
      </w:r>
      <w:proofErr w:type="spellStart"/>
      <w:r w:rsidRPr="005B6D62">
        <w:rPr>
          <w:i/>
          <w:iCs/>
          <w:lang w:val="es-PE"/>
        </w:rPr>
        <w:t>gabbha</w:t>
      </w:r>
      <w:proofErr w:type="spellEnd"/>
      <w:r w:rsidRPr="005B6D62">
        <w:rPr>
          <w:lang w:val="es-PE"/>
        </w:rPr>
        <w:t xml:space="preserve">) IV.34. Ver también </w:t>
      </w:r>
      <w:r w:rsidRPr="005B6D62">
        <w:rPr>
          <w:i/>
          <w:iCs/>
          <w:lang w:val="es-PE"/>
        </w:rPr>
        <w:t>embrión</w:t>
      </w:r>
      <w:r w:rsidRPr="005B6D62">
        <w:rPr>
          <w:lang w:val="es-PE"/>
        </w:rPr>
        <w:t xml:space="preserve"> </w:t>
      </w:r>
    </w:p>
    <w:p w14:paraId="78651B20" w14:textId="77777777" w:rsidR="00597DE2" w:rsidRPr="004B41B4" w:rsidRDefault="00597DE2" w:rsidP="00597DE2">
      <w:pPr>
        <w:pStyle w:val="ParrafoApendice"/>
        <w:rPr>
          <w:lang w:val="es-PE"/>
        </w:rPr>
      </w:pPr>
      <w:r w:rsidRPr="004B41B4">
        <w:rPr>
          <w:lang w:val="es-PE"/>
        </w:rPr>
        <w:t>firmez</w:t>
      </w:r>
      <w:r>
        <w:rPr>
          <w:lang w:val="es-PE"/>
        </w:rPr>
        <w:t>a de consciencia</w:t>
      </w:r>
      <w:r w:rsidRPr="004B41B4">
        <w:rPr>
          <w:lang w:val="es-PE"/>
        </w:rPr>
        <w:t xml:space="preserve"> (</w:t>
      </w:r>
      <w:proofErr w:type="spellStart"/>
      <w:r w:rsidRPr="004B41B4">
        <w:rPr>
          <w:i/>
          <w:iCs/>
          <w:lang w:val="es-PE"/>
        </w:rPr>
        <w:t>cittaṭṭhiti</w:t>
      </w:r>
      <w:proofErr w:type="spellEnd"/>
      <w:r w:rsidRPr="004B41B4">
        <w:rPr>
          <w:lang w:val="es-PE"/>
        </w:rPr>
        <w:t>) IV.145; XIV.139, 176</w:t>
      </w:r>
      <w:r>
        <w:rPr>
          <w:lang w:val="es-PE"/>
        </w:rPr>
        <w:t>s</w:t>
      </w:r>
      <w:r w:rsidRPr="004B41B4">
        <w:rPr>
          <w:lang w:val="es-PE"/>
        </w:rPr>
        <w:t xml:space="preserve">., 179; XVIII.8 </w:t>
      </w:r>
    </w:p>
    <w:p w14:paraId="59CE9282" w14:textId="77777777" w:rsidR="00597DE2" w:rsidRPr="005B6D62" w:rsidRDefault="00597DE2" w:rsidP="00597DE2">
      <w:pPr>
        <w:pStyle w:val="ParrafoApendice"/>
        <w:rPr>
          <w:lang w:val="es-PE"/>
        </w:rPr>
      </w:pPr>
      <w:r w:rsidRPr="005B6D62">
        <w:rPr>
          <w:lang w:val="es-PE"/>
        </w:rPr>
        <w:t>físico/a (</w:t>
      </w:r>
      <w:proofErr w:type="spellStart"/>
      <w:r w:rsidRPr="005B6D62">
        <w:rPr>
          <w:i/>
          <w:iCs/>
          <w:lang w:val="es-PE"/>
        </w:rPr>
        <w:t>karaja</w:t>
      </w:r>
      <w:proofErr w:type="spellEnd"/>
      <w:r w:rsidRPr="005B6D62">
        <w:rPr>
          <w:lang w:val="es-PE"/>
        </w:rPr>
        <w:t xml:space="preserve">) X.2; XII.131 </w:t>
      </w:r>
    </w:p>
    <w:p w14:paraId="64D7770A" w14:textId="77777777" w:rsidR="00597DE2" w:rsidRPr="005B6D62" w:rsidRDefault="00597DE2" w:rsidP="00597DE2">
      <w:pPr>
        <w:pStyle w:val="ParrafoApendice"/>
        <w:rPr>
          <w:lang w:val="es-PE"/>
        </w:rPr>
      </w:pPr>
      <w:r w:rsidRPr="005B6D62">
        <w:rPr>
          <w:lang w:val="es-PE"/>
        </w:rPr>
        <w:t>flema (</w:t>
      </w:r>
      <w:proofErr w:type="spellStart"/>
      <w:r w:rsidRPr="005B6D62">
        <w:rPr>
          <w:i/>
          <w:iCs/>
          <w:lang w:val="es-PE"/>
        </w:rPr>
        <w:t>semha</w:t>
      </w:r>
      <w:proofErr w:type="spellEnd"/>
      <w:r w:rsidRPr="005B6D62">
        <w:rPr>
          <w:lang w:val="es-PE"/>
        </w:rPr>
        <w:t>) VIII.128; IX.17, 70; XIII.2, 73; XVII.16</w:t>
      </w:r>
    </w:p>
    <w:p w14:paraId="38FEB777" w14:textId="77777777" w:rsidR="00597DE2" w:rsidRPr="005B6D62" w:rsidRDefault="00597DE2" w:rsidP="00597DE2">
      <w:pPr>
        <w:pStyle w:val="ParrafoApendice"/>
        <w:rPr>
          <w:lang w:val="es-PE"/>
        </w:rPr>
      </w:pPr>
      <w:proofErr w:type="gramStart"/>
      <w:r w:rsidRPr="005B6D62">
        <w:rPr>
          <w:lang w:val="es-PE"/>
        </w:rPr>
        <w:t>foco  (</w:t>
      </w:r>
      <w:proofErr w:type="spellStart"/>
      <w:proofErr w:type="gramEnd"/>
      <w:r w:rsidRPr="005B6D62">
        <w:rPr>
          <w:i/>
          <w:iCs/>
          <w:lang w:val="es-PE"/>
        </w:rPr>
        <w:t>āpātha</w:t>
      </w:r>
      <w:proofErr w:type="spellEnd"/>
      <w:r w:rsidRPr="005B6D62">
        <w:rPr>
          <w:lang w:val="es-PE"/>
        </w:rPr>
        <w:t xml:space="preserve">) I.57; XIII.99; XIV.116, 134; XVII.127, 136, 235; XXII.89 </w:t>
      </w:r>
    </w:p>
    <w:p w14:paraId="1ED11B3C" w14:textId="77777777" w:rsidR="00597DE2" w:rsidRPr="0031336B" w:rsidRDefault="00597DE2" w:rsidP="00597DE2">
      <w:pPr>
        <w:pStyle w:val="ParrafoApendice"/>
        <w:rPr>
          <w:lang w:val="es-PE"/>
        </w:rPr>
      </w:pPr>
      <w:r w:rsidRPr="0031336B">
        <w:rPr>
          <w:lang w:val="es-PE"/>
        </w:rPr>
        <w:t>forma, figura (</w:t>
      </w:r>
      <w:proofErr w:type="spellStart"/>
      <w:r w:rsidRPr="0031336B">
        <w:rPr>
          <w:i/>
          <w:iCs/>
          <w:lang w:val="es-PE"/>
        </w:rPr>
        <w:t>saṇṭhāna</w:t>
      </w:r>
      <w:proofErr w:type="spellEnd"/>
      <w:r w:rsidRPr="0031336B">
        <w:rPr>
          <w:lang w:val="es-PE"/>
        </w:rPr>
        <w:t xml:space="preserve">) I.n.14; VIII.82; XIV.n.32 </w:t>
      </w:r>
    </w:p>
    <w:p w14:paraId="570E9FD1" w14:textId="77777777" w:rsidR="00597DE2" w:rsidRPr="005B6D62" w:rsidRDefault="00597DE2" w:rsidP="00597DE2">
      <w:pPr>
        <w:pStyle w:val="ParrafoApendice"/>
        <w:rPr>
          <w:lang w:val="es-PE"/>
        </w:rPr>
      </w:pPr>
      <w:r w:rsidRPr="005B6D62">
        <w:rPr>
          <w:lang w:val="es-PE"/>
        </w:rPr>
        <w:t>formación (</w:t>
      </w:r>
      <w:proofErr w:type="spellStart"/>
      <w:r w:rsidRPr="005B6D62">
        <w:rPr>
          <w:i/>
          <w:iCs/>
          <w:lang w:val="es-PE"/>
        </w:rPr>
        <w:t>saṅkhāra</w:t>
      </w:r>
      <w:proofErr w:type="spellEnd"/>
      <w:r w:rsidRPr="005B6D62">
        <w:rPr>
          <w:lang w:val="es-PE"/>
        </w:rPr>
        <w:t>) IV.62; VII.7s., 37, 59; VIII.175, 180, 236, 243; X.44s.; XIII.41; XIV.</w:t>
      </w:r>
      <w:r w:rsidRPr="005B6D62">
        <w:rPr>
          <w:color w:val="833C0B" w:themeColor="accent2" w:themeShade="80"/>
          <w:u w:color="000000"/>
          <w:lang w:val="es-PE"/>
        </w:rPr>
        <w:t>14s,</w:t>
      </w:r>
      <w:r w:rsidRPr="005B6D62">
        <w:rPr>
          <w:lang w:val="es-PE"/>
        </w:rPr>
        <w:t xml:space="preserve"> 131s., 214, n.81; </w:t>
      </w:r>
      <w:r w:rsidRPr="005B6D62">
        <w:rPr>
          <w:strike/>
          <w:color w:val="833C0B" w:themeColor="accent2" w:themeShade="80"/>
          <w:u w:color="000000"/>
          <w:lang w:val="es-PE"/>
        </w:rPr>
        <w:t>XV.14;</w:t>
      </w:r>
      <w:r w:rsidRPr="005B6D62">
        <w:rPr>
          <w:lang w:val="es-PE"/>
        </w:rPr>
        <w:t xml:space="preserve"> XVI.35, 52, 89; XVII.2s, 44, 51, 53, 60s., 163, 173, 199, 251, 292; XVIII.13, 19; XIX.11, 13; XX.6s., 21, 83, 94; XXI.21, 34, 57, 61s., 129; XXII.22; XXIII.10, 13, 22, 30 </w:t>
      </w:r>
    </w:p>
    <w:p w14:paraId="6715F8A7" w14:textId="77777777" w:rsidR="00597DE2" w:rsidRPr="005B6D62" w:rsidRDefault="00597DE2" w:rsidP="00597DE2">
      <w:pPr>
        <w:pStyle w:val="ParrafoApendice"/>
        <w:rPr>
          <w:lang w:val="es-PE"/>
        </w:rPr>
      </w:pPr>
      <w:r w:rsidRPr="005B6D62">
        <w:rPr>
          <w:lang w:val="es-PE"/>
        </w:rPr>
        <w:t>formación corporal (</w:t>
      </w:r>
      <w:proofErr w:type="spellStart"/>
      <w:r w:rsidRPr="005B6D62">
        <w:rPr>
          <w:i/>
          <w:iCs/>
          <w:lang w:val="es-PE"/>
        </w:rPr>
        <w:t>kāya</w:t>
      </w:r>
      <w:proofErr w:type="spellEnd"/>
      <w:r w:rsidRPr="005B6D62">
        <w:rPr>
          <w:i/>
          <w:iCs/>
          <w:lang w:val="es-PE"/>
        </w:rPr>
        <w:t>–</w:t>
      </w:r>
      <w:proofErr w:type="spellStart"/>
      <w:r w:rsidRPr="005B6D62">
        <w:rPr>
          <w:i/>
          <w:iCs/>
          <w:lang w:val="es-PE"/>
        </w:rPr>
        <w:t>saṅkhāra</w:t>
      </w:r>
      <w:proofErr w:type="spellEnd"/>
      <w:r w:rsidRPr="005B6D62">
        <w:rPr>
          <w:lang w:val="es-PE"/>
        </w:rPr>
        <w:t>) VIII.175s., XVII.61; XXIII.24, 51; intimación corporal (</w:t>
      </w:r>
      <w:proofErr w:type="spellStart"/>
      <w:r w:rsidRPr="005B6D62">
        <w:rPr>
          <w:i/>
          <w:iCs/>
          <w:lang w:val="es-PE"/>
        </w:rPr>
        <w:t>kāyaviññatti</w:t>
      </w:r>
      <w:proofErr w:type="spellEnd"/>
      <w:r w:rsidRPr="005B6D62">
        <w:rPr>
          <w:lang w:val="es-PE"/>
        </w:rPr>
        <w:t xml:space="preserve">) XIV.61; conducta incorrecta c. </w:t>
      </w:r>
      <w:r>
        <w:rPr>
          <w:lang w:val="es-PE"/>
        </w:rPr>
        <w:br w:type="column"/>
      </w:r>
      <w:r>
        <w:rPr>
          <w:lang w:val="es-PE"/>
        </w:rPr>
        <w:br/>
      </w:r>
      <w:r w:rsidRPr="005B6D62">
        <w:rPr>
          <w:lang w:val="es-PE"/>
        </w:rPr>
        <w:t>(</w:t>
      </w:r>
      <w:r w:rsidRPr="005B6D62">
        <w:rPr>
          <w:i/>
          <w:iCs/>
          <w:lang w:val="es-PE"/>
        </w:rPr>
        <w:t>k.</w:t>
      </w:r>
      <w:r w:rsidRPr="005B6D62">
        <w:rPr>
          <w:lang w:val="es-PE"/>
        </w:rPr>
        <w:t>–</w:t>
      </w:r>
      <w:proofErr w:type="spellStart"/>
      <w:r w:rsidRPr="005B6D62">
        <w:rPr>
          <w:i/>
          <w:iCs/>
          <w:lang w:val="es-PE"/>
        </w:rPr>
        <w:t>duccarita</w:t>
      </w:r>
      <w:proofErr w:type="spellEnd"/>
      <w:r w:rsidRPr="005B6D62">
        <w:rPr>
          <w:lang w:val="es-PE"/>
        </w:rPr>
        <w:t>) XIV.</w:t>
      </w:r>
      <w:r w:rsidRPr="005B6D62">
        <w:rPr>
          <w:color w:val="833C0B" w:themeColor="accent2" w:themeShade="80"/>
          <w:u w:color="000000"/>
          <w:lang w:val="es-PE"/>
        </w:rPr>
        <w:t>155</w:t>
      </w:r>
      <w:r w:rsidRPr="005B6D62">
        <w:rPr>
          <w:lang w:val="es-PE"/>
        </w:rPr>
        <w:t xml:space="preserve">, </w:t>
      </w:r>
      <w:r w:rsidRPr="005B6D62">
        <w:rPr>
          <w:color w:val="833C0B" w:themeColor="accent2" w:themeShade="80"/>
          <w:u w:color="000000"/>
          <w:lang w:val="es-PE"/>
        </w:rPr>
        <w:t>160</w:t>
      </w:r>
      <w:r w:rsidRPr="005B6D62">
        <w:rPr>
          <w:lang w:val="es-PE"/>
        </w:rPr>
        <w:t xml:space="preserve"> </w:t>
      </w:r>
      <w:r w:rsidRPr="005B6D62">
        <w:rPr>
          <w:color w:val="833C0B" w:themeColor="accent2" w:themeShade="80"/>
          <w:u w:color="000000"/>
          <w:lang w:val="es-PE"/>
        </w:rPr>
        <w:t>{N.H.}</w:t>
      </w:r>
      <w:r w:rsidRPr="005B6D62">
        <w:rPr>
          <w:lang w:val="es-PE"/>
        </w:rPr>
        <w:t>; facultad del dolor c. (</w:t>
      </w:r>
      <w:proofErr w:type="spellStart"/>
      <w:r w:rsidRPr="005B6D62">
        <w:rPr>
          <w:i/>
          <w:iCs/>
          <w:lang w:val="es-PE"/>
        </w:rPr>
        <w:t>dukkhindriya</w:t>
      </w:r>
      <w:proofErr w:type="spellEnd"/>
      <w:r w:rsidRPr="005B6D62">
        <w:rPr>
          <w:lang w:val="es-PE"/>
        </w:rPr>
        <w:t>) XVI.10; facultad del placer c. (</w:t>
      </w:r>
      <w:proofErr w:type="spellStart"/>
      <w:r w:rsidRPr="005B6D62">
        <w:rPr>
          <w:i/>
          <w:iCs/>
          <w:lang w:val="es-PE"/>
        </w:rPr>
        <w:t>sukhindriya</w:t>
      </w:r>
      <w:proofErr w:type="spellEnd"/>
      <w:r w:rsidRPr="005B6D62">
        <w:rPr>
          <w:lang w:val="es-PE"/>
        </w:rPr>
        <w:t>) XVI.10; volición–corporal (</w:t>
      </w:r>
      <w:r w:rsidRPr="005B6D62">
        <w:rPr>
          <w:i/>
          <w:iCs/>
          <w:lang w:val="es-PE"/>
        </w:rPr>
        <w:t>k.–</w:t>
      </w:r>
      <w:proofErr w:type="spellStart"/>
      <w:r w:rsidRPr="005B6D62">
        <w:rPr>
          <w:i/>
          <w:iCs/>
          <w:lang w:val="es-PE"/>
        </w:rPr>
        <w:t>sañcetanā</w:t>
      </w:r>
      <w:proofErr w:type="spellEnd"/>
      <w:r w:rsidRPr="005B6D62">
        <w:rPr>
          <w:lang w:val="es-PE"/>
        </w:rPr>
        <w:t xml:space="preserve"> XVII.61 </w:t>
      </w:r>
    </w:p>
    <w:p w14:paraId="50F115CE" w14:textId="77777777" w:rsidR="00597DE2" w:rsidRPr="00163B08" w:rsidRDefault="00597DE2" w:rsidP="00597DE2">
      <w:pPr>
        <w:pStyle w:val="ParrafoApendice"/>
        <w:rPr>
          <w:lang w:val="es-PE"/>
        </w:rPr>
      </w:pPr>
      <w:r>
        <w:rPr>
          <w:lang w:val="es-PE"/>
        </w:rPr>
        <w:t>f</w:t>
      </w:r>
      <w:r w:rsidRPr="00163B08">
        <w:rPr>
          <w:lang w:val="es-PE"/>
        </w:rPr>
        <w:t>ormación verbal (</w:t>
      </w:r>
      <w:proofErr w:type="spellStart"/>
      <w:r w:rsidRPr="00C27ACE">
        <w:rPr>
          <w:i/>
          <w:iCs/>
          <w:lang w:val="es-PE"/>
        </w:rPr>
        <w:t>vacī</w:t>
      </w:r>
      <w:proofErr w:type="spellEnd"/>
      <w:r w:rsidRPr="00C27ACE">
        <w:rPr>
          <w:i/>
          <w:iCs/>
          <w:lang w:val="es-PE"/>
        </w:rPr>
        <w:t>–</w:t>
      </w:r>
      <w:proofErr w:type="spellStart"/>
      <w:r w:rsidRPr="00C27ACE">
        <w:rPr>
          <w:i/>
          <w:iCs/>
          <w:lang w:val="es-PE"/>
        </w:rPr>
        <w:t>saṅkhāra</w:t>
      </w:r>
      <w:proofErr w:type="spellEnd"/>
      <w:r w:rsidRPr="00163B08">
        <w:rPr>
          <w:lang w:val="es-PE"/>
        </w:rPr>
        <w:t xml:space="preserve">) XVII.61; XXIII.24, 51; </w:t>
      </w:r>
      <w:r w:rsidRPr="00E0434F">
        <w:rPr>
          <w:i/>
          <w:iCs/>
          <w:lang w:val="es-PE"/>
        </w:rPr>
        <w:t>intimación verbal</w:t>
      </w:r>
      <w:r w:rsidRPr="00163B08">
        <w:rPr>
          <w:lang w:val="es-PE"/>
        </w:rPr>
        <w:t xml:space="preserve"> (</w:t>
      </w:r>
      <w:proofErr w:type="spellStart"/>
      <w:r w:rsidRPr="00E0434F">
        <w:rPr>
          <w:i/>
          <w:iCs/>
          <w:lang w:val="es-PE"/>
        </w:rPr>
        <w:t>vacī</w:t>
      </w:r>
      <w:proofErr w:type="spellEnd"/>
      <w:r w:rsidRPr="00E0434F">
        <w:rPr>
          <w:i/>
          <w:iCs/>
          <w:lang w:val="es-PE"/>
        </w:rPr>
        <w:t>–</w:t>
      </w:r>
      <w:proofErr w:type="spellStart"/>
      <w:r w:rsidRPr="00E0434F">
        <w:rPr>
          <w:i/>
          <w:iCs/>
          <w:lang w:val="es-PE"/>
        </w:rPr>
        <w:t>viññatti</w:t>
      </w:r>
      <w:proofErr w:type="spellEnd"/>
      <w:r w:rsidRPr="00163B08">
        <w:rPr>
          <w:lang w:val="es-PE"/>
        </w:rPr>
        <w:t>) XIV</w:t>
      </w:r>
      <w:r w:rsidRPr="006A34E3">
        <w:rPr>
          <w:color w:val="833C0B" w:themeColor="accent2" w:themeShade="80"/>
          <w:lang w:val="es-PE"/>
        </w:rPr>
        <w:t>.62</w:t>
      </w:r>
      <w:r w:rsidRPr="00163B08">
        <w:rPr>
          <w:lang w:val="es-PE"/>
        </w:rPr>
        <w:t xml:space="preserve">; </w:t>
      </w:r>
      <w:r w:rsidRPr="00173EC2">
        <w:rPr>
          <w:i/>
          <w:iCs/>
          <w:lang w:val="es-PE"/>
        </w:rPr>
        <w:t>conducta verbal incorrecta</w:t>
      </w:r>
      <w:r w:rsidRPr="00163B08">
        <w:rPr>
          <w:lang w:val="es-PE"/>
        </w:rPr>
        <w:t xml:space="preserve"> (</w:t>
      </w:r>
      <w:proofErr w:type="spellStart"/>
      <w:r w:rsidRPr="00173EC2">
        <w:rPr>
          <w:i/>
          <w:iCs/>
          <w:lang w:val="es-PE"/>
        </w:rPr>
        <w:t>vacī</w:t>
      </w:r>
      <w:proofErr w:type="spellEnd"/>
      <w:r w:rsidRPr="00173EC2">
        <w:rPr>
          <w:i/>
          <w:iCs/>
          <w:lang w:val="es-PE"/>
        </w:rPr>
        <w:t>–</w:t>
      </w:r>
      <w:proofErr w:type="spellStart"/>
      <w:r w:rsidRPr="00173EC2">
        <w:rPr>
          <w:i/>
          <w:iCs/>
          <w:lang w:val="es-PE"/>
        </w:rPr>
        <w:t>duccarita</w:t>
      </w:r>
      <w:proofErr w:type="spellEnd"/>
      <w:r w:rsidRPr="00163B08">
        <w:rPr>
          <w:lang w:val="es-PE"/>
        </w:rPr>
        <w:t xml:space="preserve">) XIV.133; </w:t>
      </w:r>
      <w:r w:rsidRPr="00D164B5">
        <w:rPr>
          <w:i/>
          <w:iCs/>
          <w:lang w:val="es-PE"/>
        </w:rPr>
        <w:t>volición verbal</w:t>
      </w:r>
      <w:r w:rsidRPr="00163B08">
        <w:rPr>
          <w:lang w:val="es-PE"/>
        </w:rPr>
        <w:t xml:space="preserve"> </w:t>
      </w:r>
      <w:r w:rsidRPr="00D164B5">
        <w:rPr>
          <w:lang w:val="es-PE"/>
        </w:rPr>
        <w:t>(</w:t>
      </w:r>
      <w:proofErr w:type="spellStart"/>
      <w:r w:rsidRPr="00D164B5">
        <w:rPr>
          <w:i/>
          <w:iCs/>
          <w:lang w:val="es-PE"/>
        </w:rPr>
        <w:t>vacī</w:t>
      </w:r>
      <w:proofErr w:type="spellEnd"/>
      <w:r w:rsidRPr="00D164B5">
        <w:rPr>
          <w:i/>
          <w:iCs/>
          <w:lang w:val="es-PE"/>
        </w:rPr>
        <w:t>–</w:t>
      </w:r>
      <w:proofErr w:type="spellStart"/>
      <w:r w:rsidRPr="00D164B5">
        <w:rPr>
          <w:i/>
          <w:iCs/>
          <w:lang w:val="es-PE"/>
        </w:rPr>
        <w:t>sañcetanā</w:t>
      </w:r>
      <w:proofErr w:type="spellEnd"/>
      <w:r w:rsidRPr="00163B08">
        <w:rPr>
          <w:lang w:val="es-PE"/>
        </w:rPr>
        <w:t xml:space="preserve">) XVII.61 </w:t>
      </w:r>
    </w:p>
    <w:p w14:paraId="4BDE5255" w14:textId="77777777" w:rsidR="00597DE2" w:rsidRPr="005B6D62" w:rsidRDefault="00597DE2" w:rsidP="00597DE2">
      <w:pPr>
        <w:pStyle w:val="ParrafoApendice"/>
        <w:rPr>
          <w:lang w:val="es-PE"/>
        </w:rPr>
      </w:pPr>
      <w:r>
        <w:rPr>
          <w:lang w:val="es-PE"/>
        </w:rPr>
        <w:t>formación vital</w:t>
      </w:r>
      <w:r w:rsidRPr="005B6D62">
        <w:rPr>
          <w:lang w:val="es-PE"/>
        </w:rPr>
        <w:t xml:space="preserve"> (</w:t>
      </w:r>
      <w:proofErr w:type="spellStart"/>
      <w:r w:rsidRPr="00137F4C">
        <w:rPr>
          <w:i/>
          <w:iCs/>
          <w:lang w:val="es-PE"/>
        </w:rPr>
        <w:t>āyu</w:t>
      </w:r>
      <w:proofErr w:type="spellEnd"/>
      <w:r w:rsidRPr="00137F4C">
        <w:rPr>
          <w:i/>
          <w:iCs/>
          <w:lang w:val="es-PE"/>
        </w:rPr>
        <w:t>–</w:t>
      </w:r>
      <w:proofErr w:type="spellStart"/>
      <w:r w:rsidRPr="00137F4C">
        <w:rPr>
          <w:i/>
          <w:iCs/>
          <w:lang w:val="es-PE"/>
        </w:rPr>
        <w:t>saṅkhāra</w:t>
      </w:r>
      <w:proofErr w:type="spellEnd"/>
      <w:r w:rsidRPr="005B6D62">
        <w:rPr>
          <w:lang w:val="es-PE"/>
        </w:rPr>
        <w:t>) VIII.244; XXIII.</w:t>
      </w:r>
      <w:r w:rsidRPr="00137F4C">
        <w:rPr>
          <w:color w:val="833C0B" w:themeColor="accent2" w:themeShade="80"/>
          <w:lang w:val="es-PE"/>
        </w:rPr>
        <w:t>41</w:t>
      </w:r>
      <w:r w:rsidRPr="005B6D62">
        <w:rPr>
          <w:lang w:val="es-PE"/>
        </w:rPr>
        <w:t xml:space="preserve"> </w:t>
      </w:r>
    </w:p>
    <w:p w14:paraId="2B096032" w14:textId="77777777" w:rsidR="00597DE2" w:rsidRPr="005B6D62" w:rsidRDefault="00597DE2" w:rsidP="00597DE2">
      <w:pPr>
        <w:pStyle w:val="ParrafoApendice"/>
        <w:rPr>
          <w:lang w:val="es-PE"/>
        </w:rPr>
      </w:pPr>
      <w:r w:rsidRPr="005B6D62">
        <w:rPr>
          <w:lang w:val="es-PE"/>
        </w:rPr>
        <w:t>formado (</w:t>
      </w:r>
      <w:proofErr w:type="spellStart"/>
      <w:r w:rsidRPr="005B6D62">
        <w:rPr>
          <w:i/>
          <w:iCs/>
          <w:lang w:val="es-PE"/>
        </w:rPr>
        <w:t>saṅkhata</w:t>
      </w:r>
      <w:proofErr w:type="spellEnd"/>
      <w:r w:rsidRPr="005B6D62">
        <w:rPr>
          <w:lang w:val="es-PE"/>
        </w:rPr>
        <w:t xml:space="preserve">) VII.83; VIII.245; XIV.216, 223; XV.15, 25, 40; XVI.23, 102; XVII.45; XX.17, 101; XXI.18 </w:t>
      </w:r>
    </w:p>
    <w:p w14:paraId="21BC256C" w14:textId="77777777" w:rsidR="00597DE2" w:rsidRPr="005B6D62" w:rsidRDefault="00597DE2" w:rsidP="00597DE2">
      <w:pPr>
        <w:pStyle w:val="ParrafoApendice"/>
        <w:rPr>
          <w:lang w:val="es-PE"/>
        </w:rPr>
      </w:pPr>
      <w:r w:rsidRPr="005B6D62">
        <w:rPr>
          <w:lang w:val="es-PE"/>
        </w:rPr>
        <w:t>frugalidad (</w:t>
      </w:r>
      <w:proofErr w:type="spellStart"/>
      <w:r w:rsidRPr="005B6D62">
        <w:rPr>
          <w:i/>
          <w:iCs/>
          <w:lang w:val="es-PE"/>
        </w:rPr>
        <w:t>sallekha</w:t>
      </w:r>
      <w:proofErr w:type="spellEnd"/>
      <w:r w:rsidRPr="005B6D62">
        <w:rPr>
          <w:lang w:val="es-PE"/>
        </w:rPr>
        <w:t>) I.116, 151; II.84, 86</w:t>
      </w:r>
    </w:p>
    <w:p w14:paraId="49F4701C" w14:textId="77777777" w:rsidR="00597DE2" w:rsidRPr="005B6D62" w:rsidRDefault="00597DE2" w:rsidP="00597DE2">
      <w:pPr>
        <w:pStyle w:val="ParrafoApendice"/>
        <w:rPr>
          <w:lang w:val="es-PE"/>
        </w:rPr>
      </w:pPr>
      <w:r w:rsidRPr="005B6D62">
        <w:rPr>
          <w:lang w:val="es-PE"/>
        </w:rPr>
        <w:t>fruición (</w:t>
      </w:r>
      <w:proofErr w:type="spellStart"/>
      <w:r w:rsidRPr="005B6D62">
        <w:rPr>
          <w:i/>
          <w:iCs/>
          <w:lang w:val="es-PE"/>
        </w:rPr>
        <w:t>phala</w:t>
      </w:r>
      <w:proofErr w:type="spellEnd"/>
      <w:r w:rsidRPr="005B6D62">
        <w:rPr>
          <w:lang w:val="es-PE"/>
        </w:rPr>
        <w:t>) I.35, 37; IV.78; VII.91; XIII.120; XIV.105, 121; XXI.125s.; XXII.15s.; XXIII.3, 28, 49; absorción de la f. (</w:t>
      </w:r>
      <w:proofErr w:type="spellStart"/>
      <w:r w:rsidRPr="005B6D62">
        <w:rPr>
          <w:i/>
          <w:iCs/>
          <w:lang w:val="es-PE"/>
        </w:rPr>
        <w:t>phala</w:t>
      </w:r>
      <w:proofErr w:type="spellEnd"/>
      <w:r w:rsidRPr="005B6D62">
        <w:rPr>
          <w:i/>
          <w:iCs/>
          <w:lang w:val="es-PE"/>
        </w:rPr>
        <w:t>–</w:t>
      </w:r>
      <w:proofErr w:type="spellStart"/>
      <w:r w:rsidRPr="005B6D62">
        <w:rPr>
          <w:i/>
          <w:iCs/>
          <w:lang w:val="es-PE"/>
        </w:rPr>
        <w:t>samāpatti</w:t>
      </w:r>
      <w:proofErr w:type="spellEnd"/>
      <w:r w:rsidRPr="005B6D62">
        <w:rPr>
          <w:lang w:val="es-PE"/>
        </w:rPr>
        <w:t xml:space="preserve">) </w:t>
      </w:r>
      <w:r w:rsidRPr="005B6D62">
        <w:rPr>
          <w:color w:val="833C0B" w:themeColor="accent2" w:themeShade="80"/>
          <w:u w:color="000000"/>
          <w:lang w:val="es-PE"/>
        </w:rPr>
        <w:t>IV.78</w:t>
      </w:r>
      <w:r w:rsidRPr="005B6D62">
        <w:rPr>
          <w:lang w:val="es-PE"/>
        </w:rPr>
        <w:t xml:space="preserve">; XXIII.3, 5 </w:t>
      </w:r>
    </w:p>
    <w:p w14:paraId="417DADC6" w14:textId="77777777" w:rsidR="00597DE2" w:rsidRPr="005B6D62" w:rsidRDefault="00597DE2" w:rsidP="00597DE2">
      <w:pPr>
        <w:pStyle w:val="ParrafoApendice"/>
        <w:rPr>
          <w:lang w:val="es-PE"/>
        </w:rPr>
      </w:pPr>
      <w:r w:rsidRPr="005B6D62">
        <w:rPr>
          <w:lang w:val="es-PE"/>
        </w:rPr>
        <w:t>frutos del ascetismo (</w:t>
      </w:r>
      <w:proofErr w:type="spellStart"/>
      <w:r w:rsidRPr="005B6D62">
        <w:rPr>
          <w:i/>
          <w:iCs/>
          <w:lang w:val="es-PE"/>
        </w:rPr>
        <w:t>sāmañña</w:t>
      </w:r>
      <w:proofErr w:type="spellEnd"/>
      <w:r w:rsidRPr="005B6D62">
        <w:rPr>
          <w:i/>
          <w:iCs/>
          <w:lang w:val="es-PE"/>
        </w:rPr>
        <w:t>–</w:t>
      </w:r>
      <w:proofErr w:type="spellStart"/>
      <w:r w:rsidRPr="005B6D62">
        <w:rPr>
          <w:i/>
          <w:iCs/>
          <w:lang w:val="es-PE"/>
        </w:rPr>
        <w:t>phala</w:t>
      </w:r>
      <w:proofErr w:type="spellEnd"/>
      <w:r w:rsidRPr="005B6D62">
        <w:rPr>
          <w:lang w:val="es-PE"/>
        </w:rPr>
        <w:t>) XVI.89; XXIII.3</w:t>
      </w:r>
    </w:p>
    <w:p w14:paraId="0D806956" w14:textId="77777777" w:rsidR="00597DE2" w:rsidRPr="005B6D62" w:rsidRDefault="00597DE2" w:rsidP="00597DE2">
      <w:pPr>
        <w:pStyle w:val="ParrafoApendice"/>
        <w:rPr>
          <w:lang w:val="es-PE"/>
        </w:rPr>
      </w:pPr>
      <w:r w:rsidRPr="005B6D62">
        <w:rPr>
          <w:lang w:val="es-PE"/>
        </w:rPr>
        <w:t>fuego (</w:t>
      </w:r>
      <w:r w:rsidRPr="005B6D62">
        <w:rPr>
          <w:i/>
          <w:iCs/>
          <w:lang w:val="es-PE"/>
        </w:rPr>
        <w:t>tejo</w:t>
      </w:r>
      <w:r w:rsidRPr="005B6D62">
        <w:rPr>
          <w:lang w:val="es-PE"/>
        </w:rPr>
        <w:t>) XIII.32s.; XIV.35; XV.34; XVIII.6; elemento f. (</w:t>
      </w:r>
      <w:r w:rsidRPr="005B6D62">
        <w:rPr>
          <w:i/>
          <w:iCs/>
          <w:lang w:val="es-PE"/>
        </w:rPr>
        <w:t>tejo–</w:t>
      </w:r>
      <w:proofErr w:type="spellStart"/>
      <w:r w:rsidRPr="005B6D62">
        <w:rPr>
          <w:i/>
          <w:iCs/>
          <w:lang w:val="es-PE"/>
        </w:rPr>
        <w:t>dhātu</w:t>
      </w:r>
      <w:proofErr w:type="spellEnd"/>
      <w:r w:rsidRPr="005B6D62">
        <w:rPr>
          <w:lang w:val="es-PE"/>
        </w:rPr>
        <w:t xml:space="preserve">) V.30; XI.28s., 36, 41, 87; XIV.35; XV.30; XX.40; </w:t>
      </w:r>
      <w:proofErr w:type="spellStart"/>
      <w:r w:rsidRPr="005B6D62">
        <w:rPr>
          <w:i/>
          <w:iCs/>
          <w:lang w:val="es-PE"/>
        </w:rPr>
        <w:t>kasiṇa</w:t>
      </w:r>
      <w:proofErr w:type="spellEnd"/>
      <w:r w:rsidRPr="005B6D62">
        <w:rPr>
          <w:lang w:val="es-PE"/>
        </w:rPr>
        <w:t xml:space="preserve"> f. (</w:t>
      </w:r>
      <w:r w:rsidRPr="005B6D62">
        <w:rPr>
          <w:i/>
          <w:iCs/>
          <w:lang w:val="es-PE"/>
        </w:rPr>
        <w:t>tejo–</w:t>
      </w:r>
      <w:proofErr w:type="spellStart"/>
      <w:r w:rsidRPr="005B6D62">
        <w:rPr>
          <w:i/>
          <w:iCs/>
          <w:lang w:val="es-PE"/>
        </w:rPr>
        <w:t>kasiṇa</w:t>
      </w:r>
      <w:proofErr w:type="spellEnd"/>
      <w:r w:rsidRPr="005B6D62">
        <w:rPr>
          <w:lang w:val="es-PE"/>
        </w:rPr>
        <w:t xml:space="preserve">) III.105s.; V.5; XIII.95 </w:t>
      </w:r>
    </w:p>
    <w:p w14:paraId="1255CB02" w14:textId="77777777" w:rsidR="00597DE2" w:rsidRPr="005B6D62" w:rsidRDefault="00597DE2" w:rsidP="00597DE2">
      <w:pPr>
        <w:pStyle w:val="ParrafoApendice"/>
        <w:rPr>
          <w:lang w:val="es-PE"/>
        </w:rPr>
      </w:pPr>
      <w:r w:rsidRPr="005B6D62">
        <w:rPr>
          <w:lang w:val="es-PE"/>
        </w:rPr>
        <w:t>función (</w:t>
      </w:r>
      <w:proofErr w:type="spellStart"/>
      <w:r w:rsidRPr="005B6D62">
        <w:rPr>
          <w:i/>
          <w:iCs/>
          <w:lang w:val="es-PE"/>
        </w:rPr>
        <w:t>kicca</w:t>
      </w:r>
      <w:proofErr w:type="spellEnd"/>
      <w:r w:rsidRPr="005B6D62">
        <w:rPr>
          <w:lang w:val="es-PE"/>
        </w:rPr>
        <w:t xml:space="preserve">, </w:t>
      </w:r>
      <w:r w:rsidRPr="005B6D62">
        <w:rPr>
          <w:i/>
          <w:iCs/>
          <w:lang w:val="es-PE"/>
        </w:rPr>
        <w:t>rasa</w:t>
      </w:r>
      <w:r w:rsidRPr="005B6D62">
        <w:rPr>
          <w:lang w:val="es-PE"/>
        </w:rPr>
        <w:t xml:space="preserve">) I.21; XXII.92 </w:t>
      </w:r>
    </w:p>
    <w:p w14:paraId="0059B923" w14:textId="77777777" w:rsidR="00597DE2" w:rsidRPr="005B6D62" w:rsidRDefault="00597DE2" w:rsidP="00597DE2">
      <w:pPr>
        <w:pStyle w:val="ParrafoApendice"/>
        <w:rPr>
          <w:lang w:val="es-PE"/>
        </w:rPr>
      </w:pPr>
      <w:r w:rsidRPr="005B6D62">
        <w:rPr>
          <w:lang w:val="es-PE"/>
        </w:rPr>
        <w:t>funcional (</w:t>
      </w:r>
      <w:proofErr w:type="spellStart"/>
      <w:r w:rsidRPr="005B6D62">
        <w:rPr>
          <w:i/>
          <w:iCs/>
          <w:lang w:val="es-PE"/>
        </w:rPr>
        <w:t>kriyā</w:t>
      </w:r>
      <w:proofErr w:type="spellEnd"/>
      <w:r w:rsidRPr="005B6D62">
        <w:rPr>
          <w:lang w:val="es-PE"/>
        </w:rPr>
        <w:t xml:space="preserve">) I.57; X.14; XIV.106s., 127, 183s.; XIX.8; XX.31, 44 </w:t>
      </w:r>
    </w:p>
    <w:p w14:paraId="0D202A0B" w14:textId="77777777" w:rsidR="00597DE2" w:rsidRPr="005B6D62" w:rsidRDefault="00597DE2" w:rsidP="00597DE2">
      <w:pPr>
        <w:pStyle w:val="ParrafoApendice"/>
        <w:rPr>
          <w:lang w:val="es-PE"/>
        </w:rPr>
      </w:pPr>
      <w:r w:rsidRPr="005B6D62">
        <w:rPr>
          <w:lang w:val="es-PE"/>
        </w:rPr>
        <w:t>fundamento de la atención (</w:t>
      </w:r>
      <w:proofErr w:type="spellStart"/>
      <w:r w:rsidRPr="005B6D62">
        <w:rPr>
          <w:i/>
          <w:iCs/>
          <w:lang w:val="es-PE"/>
        </w:rPr>
        <w:t>satipaṭṭhāna</w:t>
      </w:r>
      <w:proofErr w:type="spellEnd"/>
      <w:r w:rsidRPr="005B6D62">
        <w:rPr>
          <w:lang w:val="es-PE"/>
        </w:rPr>
        <w:t>) I.6, 51; VIII.239, n.47; XIV.141; XVI.86; XXII.33, 39, 42</w:t>
      </w:r>
    </w:p>
    <w:p w14:paraId="25F98F90" w14:textId="77777777" w:rsidR="00597DE2" w:rsidRPr="005B6D62" w:rsidRDefault="00597DE2" w:rsidP="00597DE2">
      <w:pPr>
        <w:pStyle w:val="ParrafoApendice"/>
        <w:rPr>
          <w:lang w:val="es-PE"/>
        </w:rPr>
      </w:pPr>
      <w:r w:rsidRPr="005B6D62">
        <w:rPr>
          <w:lang w:val="es-PE"/>
        </w:rPr>
        <w:t>ganancia (</w:t>
      </w:r>
      <w:proofErr w:type="spellStart"/>
      <w:r w:rsidRPr="005B6D62">
        <w:rPr>
          <w:i/>
          <w:iCs/>
          <w:lang w:val="es-PE"/>
        </w:rPr>
        <w:t>lābha</w:t>
      </w:r>
      <w:proofErr w:type="spellEnd"/>
      <w:r w:rsidRPr="005B6D62">
        <w:rPr>
          <w:lang w:val="es-PE"/>
        </w:rPr>
        <w:t xml:space="preserve">) I.31, 42, 61, 65 </w:t>
      </w:r>
    </w:p>
    <w:p w14:paraId="72054591" w14:textId="77777777" w:rsidR="00597DE2" w:rsidRPr="008611CC" w:rsidRDefault="00597DE2" w:rsidP="00597DE2">
      <w:pPr>
        <w:pStyle w:val="ParrafoApendice"/>
      </w:pPr>
      <w:proofErr w:type="spellStart"/>
      <w:r w:rsidRPr="008611CC">
        <w:t>Gaṅgā</w:t>
      </w:r>
      <w:proofErr w:type="spellEnd"/>
      <w:r w:rsidRPr="008611CC">
        <w:t xml:space="preserve"> (Ganges in India, </w:t>
      </w:r>
      <w:proofErr w:type="spellStart"/>
      <w:r w:rsidRPr="008611CC">
        <w:t>Mahaveli</w:t>
      </w:r>
      <w:proofErr w:type="spellEnd"/>
      <w:r w:rsidRPr="008611CC">
        <w:t xml:space="preserve"> in Sri Lanka) III.37, 53; IV.24; XII.128; XIII.n.19 </w:t>
      </w:r>
    </w:p>
    <w:p w14:paraId="4F4ABA75" w14:textId="77777777" w:rsidR="00597DE2" w:rsidRPr="005B6D62" w:rsidRDefault="00597DE2" w:rsidP="00597DE2">
      <w:pPr>
        <w:pStyle w:val="ParrafoApendice"/>
        <w:rPr>
          <w:lang w:val="es-PE"/>
        </w:rPr>
      </w:pPr>
      <w:proofErr w:type="spellStart"/>
      <w:r w:rsidRPr="005B6D62">
        <w:rPr>
          <w:lang w:val="es-PE"/>
        </w:rPr>
        <w:t>Garuḷa</w:t>
      </w:r>
      <w:proofErr w:type="spellEnd"/>
      <w:r w:rsidRPr="005B6D62">
        <w:rPr>
          <w:lang w:val="es-PE"/>
        </w:rPr>
        <w:t xml:space="preserve"> (demonio) VII.43; XII.n.19 </w:t>
      </w:r>
    </w:p>
    <w:p w14:paraId="00DFF698" w14:textId="77777777" w:rsidR="00597DE2" w:rsidRPr="005B6D62" w:rsidRDefault="00597DE2" w:rsidP="00597DE2">
      <w:pPr>
        <w:pStyle w:val="ParrafoApendice"/>
        <w:rPr>
          <w:lang w:val="es-PE"/>
        </w:rPr>
      </w:pPr>
      <w:r w:rsidRPr="005B6D62">
        <w:rPr>
          <w:lang w:val="es-PE"/>
        </w:rPr>
        <w:t>generación (</w:t>
      </w:r>
      <w:r w:rsidRPr="005B6D62">
        <w:rPr>
          <w:i/>
          <w:iCs/>
          <w:lang w:val="es-PE"/>
        </w:rPr>
        <w:t>yoni</w:t>
      </w:r>
      <w:r w:rsidRPr="005B6D62">
        <w:rPr>
          <w:lang w:val="es-PE"/>
        </w:rPr>
        <w:t xml:space="preserve">) XIII.69; </w:t>
      </w:r>
      <w:r w:rsidRPr="005B6D62">
        <w:rPr>
          <w:strike/>
          <w:color w:val="833C0B" w:themeColor="accent2" w:themeShade="80"/>
          <w:u w:color="000000"/>
          <w:lang w:val="es-PE"/>
        </w:rPr>
        <w:t>XVII</w:t>
      </w:r>
      <w:r w:rsidRPr="005B6D62">
        <w:rPr>
          <w:lang w:val="es-PE"/>
        </w:rPr>
        <w:t xml:space="preserve">.148 </w:t>
      </w:r>
    </w:p>
    <w:p w14:paraId="2B03E1C3" w14:textId="77777777" w:rsidR="00597DE2" w:rsidRPr="005B6D62" w:rsidRDefault="00597DE2" w:rsidP="00597DE2">
      <w:pPr>
        <w:pStyle w:val="ParrafoApendice"/>
        <w:rPr>
          <w:u w:color="000000"/>
          <w:lang w:val="es-PE"/>
        </w:rPr>
      </w:pPr>
      <w:r w:rsidRPr="005B6D62">
        <w:rPr>
          <w:u w:color="000000"/>
          <w:lang w:val="es-PE"/>
        </w:rPr>
        <w:t>generación animal (</w:t>
      </w:r>
      <w:proofErr w:type="spellStart"/>
      <w:r w:rsidRPr="005B6D62">
        <w:rPr>
          <w:i/>
          <w:iCs/>
          <w:u w:color="000000"/>
          <w:lang w:val="es-PE"/>
        </w:rPr>
        <w:t>tiracchānayoni</w:t>
      </w:r>
      <w:proofErr w:type="spellEnd"/>
      <w:r w:rsidRPr="005B6D62">
        <w:rPr>
          <w:u w:color="000000"/>
          <w:lang w:val="es-PE"/>
        </w:rPr>
        <w:t xml:space="preserve">) XIII.93; XIV.207; XVII.154 </w:t>
      </w:r>
    </w:p>
    <w:p w14:paraId="4EF8C6B0" w14:textId="77777777" w:rsidR="00597DE2" w:rsidRPr="005B6D62" w:rsidRDefault="00597DE2" w:rsidP="00597DE2">
      <w:pPr>
        <w:pStyle w:val="ParrafoApendice"/>
        <w:rPr>
          <w:lang w:val="es-PE"/>
        </w:rPr>
      </w:pPr>
      <w:r w:rsidRPr="005B6D62">
        <w:rPr>
          <w:lang w:val="es-PE"/>
        </w:rPr>
        <w:t xml:space="preserve">General del </w:t>
      </w:r>
      <w:r w:rsidRPr="005B6D62">
        <w:rPr>
          <w:i/>
          <w:iCs/>
          <w:lang w:val="es-PE"/>
        </w:rPr>
        <w:t>Dhamma</w:t>
      </w:r>
      <w:r w:rsidRPr="005B6D62">
        <w:rPr>
          <w:lang w:val="es-PE"/>
        </w:rPr>
        <w:t xml:space="preserve"> (</w:t>
      </w:r>
      <w:r w:rsidRPr="005B6D62">
        <w:rPr>
          <w:i/>
          <w:iCs/>
          <w:lang w:val="es-PE"/>
        </w:rPr>
        <w:t>dhamma–</w:t>
      </w:r>
      <w:proofErr w:type="spellStart"/>
      <w:r w:rsidRPr="005B6D62">
        <w:rPr>
          <w:i/>
          <w:iCs/>
          <w:lang w:val="es-PE"/>
        </w:rPr>
        <w:t>senāpati</w:t>
      </w:r>
      <w:proofErr w:type="spellEnd"/>
      <w:r w:rsidRPr="005B6D62">
        <w:rPr>
          <w:lang w:val="es-PE"/>
        </w:rPr>
        <w:t xml:space="preserve">). Consultar también Sāriputta </w:t>
      </w:r>
      <w:proofErr w:type="spellStart"/>
      <w:r w:rsidRPr="005B6D62">
        <w:rPr>
          <w:lang w:val="es-PE"/>
        </w:rPr>
        <w:t>Thera</w:t>
      </w:r>
      <w:proofErr w:type="spellEnd"/>
      <w:r w:rsidRPr="005B6D62">
        <w:rPr>
          <w:lang w:val="es-PE"/>
        </w:rPr>
        <w:t xml:space="preserve"> </w:t>
      </w:r>
    </w:p>
    <w:p w14:paraId="38EB32E7" w14:textId="77777777" w:rsidR="00597DE2" w:rsidRPr="005B6D62" w:rsidRDefault="00597DE2" w:rsidP="00597DE2">
      <w:pPr>
        <w:pStyle w:val="ParrafoApendice"/>
        <w:rPr>
          <w:lang w:val="es-PE"/>
        </w:rPr>
      </w:pPr>
      <w:r w:rsidRPr="005B6D62">
        <w:rPr>
          <w:lang w:val="es-PE"/>
        </w:rPr>
        <w:t>generosidad (</w:t>
      </w:r>
      <w:r w:rsidRPr="005B6D62">
        <w:rPr>
          <w:i/>
          <w:iCs/>
          <w:lang w:val="es-PE"/>
        </w:rPr>
        <w:t>cāga</w:t>
      </w:r>
      <w:r w:rsidRPr="005B6D62">
        <w:rPr>
          <w:lang w:val="es-PE"/>
        </w:rPr>
        <w:t xml:space="preserve">) VII.107s. </w:t>
      </w:r>
    </w:p>
    <w:p w14:paraId="320CABB9" w14:textId="77777777" w:rsidR="00597DE2" w:rsidRPr="005B6D62" w:rsidRDefault="00597DE2" w:rsidP="00597DE2">
      <w:pPr>
        <w:pStyle w:val="ParrafoApendice"/>
        <w:rPr>
          <w:lang w:val="es-PE"/>
        </w:rPr>
      </w:pPr>
      <w:proofErr w:type="spellStart"/>
      <w:r w:rsidRPr="005B6D62">
        <w:rPr>
          <w:lang w:val="es-PE"/>
        </w:rPr>
        <w:t>Ghosita</w:t>
      </w:r>
      <w:proofErr w:type="spellEnd"/>
      <w:r w:rsidRPr="005B6D62">
        <w:rPr>
          <w:lang w:val="es-PE"/>
        </w:rPr>
        <w:t xml:space="preserve"> XII.40s.</w:t>
      </w:r>
    </w:p>
    <w:p w14:paraId="2B24AFF3" w14:textId="77777777" w:rsidR="00597DE2" w:rsidRPr="005B6D62" w:rsidRDefault="00597DE2" w:rsidP="00597DE2">
      <w:pPr>
        <w:pStyle w:val="ParrafoApendice"/>
        <w:rPr>
          <w:lang w:val="es-PE"/>
        </w:rPr>
      </w:pPr>
      <w:proofErr w:type="spellStart"/>
      <w:r w:rsidRPr="005B6D62">
        <w:rPr>
          <w:lang w:val="es-PE"/>
        </w:rPr>
        <w:t>Girikaṇḍaka</w:t>
      </w:r>
      <w:proofErr w:type="spellEnd"/>
      <w:r w:rsidRPr="005B6D62">
        <w:rPr>
          <w:lang w:val="es-PE"/>
        </w:rPr>
        <w:t>–</w:t>
      </w:r>
      <w:proofErr w:type="spellStart"/>
      <w:r w:rsidRPr="005B6D62">
        <w:rPr>
          <w:lang w:val="es-PE"/>
        </w:rPr>
        <w:t>vihāra</w:t>
      </w:r>
      <w:proofErr w:type="spellEnd"/>
      <w:r w:rsidRPr="005B6D62">
        <w:rPr>
          <w:lang w:val="es-PE"/>
        </w:rPr>
        <w:t xml:space="preserve"> IV.96 </w:t>
      </w:r>
    </w:p>
    <w:p w14:paraId="397ECBA7" w14:textId="77777777" w:rsidR="00597DE2" w:rsidRPr="005B6D62" w:rsidRDefault="00597DE2" w:rsidP="00597DE2">
      <w:pPr>
        <w:pStyle w:val="ParrafoApendice"/>
        <w:rPr>
          <w:lang w:val="es-PE"/>
        </w:rPr>
      </w:pPr>
      <w:proofErr w:type="spellStart"/>
      <w:r w:rsidRPr="005B6D62">
        <w:rPr>
          <w:lang w:val="es-PE"/>
        </w:rPr>
        <w:t>Godatta</w:t>
      </w:r>
      <w:proofErr w:type="spellEnd"/>
      <w:r w:rsidRPr="005B6D62">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Abhidhammika</w:t>
      </w:r>
      <w:proofErr w:type="spellEnd"/>
      <w:r w:rsidRPr="005B6D62">
        <w:rPr>
          <w:lang w:val="es-PE"/>
        </w:rPr>
        <w:t xml:space="preserve"> IV.76 </w:t>
      </w:r>
    </w:p>
    <w:p w14:paraId="50579F5B" w14:textId="77777777" w:rsidR="00597DE2" w:rsidRPr="005B6D62" w:rsidRDefault="00597DE2" w:rsidP="00597DE2">
      <w:pPr>
        <w:pStyle w:val="ParrafoApendice"/>
        <w:rPr>
          <w:lang w:val="es-PE"/>
        </w:rPr>
      </w:pPr>
      <w:r w:rsidRPr="005B6D62">
        <w:rPr>
          <w:lang w:val="es-PE"/>
        </w:rPr>
        <w:t>Gran Monasterio (</w:t>
      </w:r>
      <w:proofErr w:type="spellStart"/>
      <w:r w:rsidRPr="005B6D62">
        <w:rPr>
          <w:i/>
          <w:iCs/>
          <w:lang w:val="es-PE"/>
        </w:rPr>
        <w:t>mahāvihāra</w:t>
      </w:r>
      <w:proofErr w:type="spellEnd"/>
      <w:r w:rsidRPr="005B6D62">
        <w:rPr>
          <w:lang w:val="es-PE"/>
        </w:rPr>
        <w:t>) I.4; III.53; IX.</w:t>
      </w:r>
      <w:r w:rsidRPr="005B6D62">
        <w:rPr>
          <w:color w:val="833C0B" w:themeColor="accent2" w:themeShade="80"/>
          <w:u w:color="000000"/>
          <w:lang w:val="es-PE"/>
        </w:rPr>
        <w:t>66</w:t>
      </w:r>
      <w:r w:rsidRPr="005B6D62">
        <w:rPr>
          <w:lang w:val="es-PE"/>
        </w:rPr>
        <w:t xml:space="preserve"> </w:t>
      </w:r>
    </w:p>
    <w:p w14:paraId="4C895028" w14:textId="77777777" w:rsidR="00597DE2" w:rsidRPr="005B6D62" w:rsidRDefault="00597DE2" w:rsidP="00597DE2">
      <w:pPr>
        <w:pStyle w:val="ParrafoApendice"/>
        <w:rPr>
          <w:lang w:val="es-PE"/>
        </w:rPr>
      </w:pPr>
      <w:r w:rsidRPr="005B6D62">
        <w:rPr>
          <w:lang w:val="es-PE"/>
        </w:rPr>
        <w:t>gran primario (</w:t>
      </w:r>
      <w:proofErr w:type="spellStart"/>
      <w:r w:rsidRPr="005B6D62">
        <w:rPr>
          <w:i/>
          <w:iCs/>
          <w:lang w:val="es-PE"/>
        </w:rPr>
        <w:t>mahā</w:t>
      </w:r>
      <w:proofErr w:type="spellEnd"/>
      <w:r w:rsidRPr="005B6D62">
        <w:rPr>
          <w:i/>
          <w:iCs/>
          <w:lang w:val="es-PE"/>
        </w:rPr>
        <w:t>–bhūta</w:t>
      </w:r>
      <w:r w:rsidRPr="005B6D62">
        <w:rPr>
          <w:lang w:val="es-PE"/>
        </w:rPr>
        <w:t xml:space="preserve">), consultar </w:t>
      </w:r>
      <w:r w:rsidRPr="005B6D62">
        <w:rPr>
          <w:i/>
          <w:iCs/>
          <w:lang w:val="es-PE"/>
        </w:rPr>
        <w:t>primario</w:t>
      </w:r>
    </w:p>
    <w:p w14:paraId="4AD4F02A" w14:textId="77777777" w:rsidR="00597DE2" w:rsidRPr="005B6D62" w:rsidRDefault="00597DE2" w:rsidP="00597DE2">
      <w:pPr>
        <w:pStyle w:val="ParrafoApendice"/>
        <w:rPr>
          <w:lang w:val="es-PE"/>
        </w:rPr>
      </w:pPr>
      <w:r w:rsidRPr="005B6D62">
        <w:rPr>
          <w:lang w:val="es-PE"/>
        </w:rPr>
        <w:t>Gran Santuario (</w:t>
      </w:r>
      <w:proofErr w:type="spellStart"/>
      <w:r w:rsidRPr="005B6D62">
        <w:rPr>
          <w:i/>
          <w:iCs/>
          <w:lang w:val="es-PE"/>
        </w:rPr>
        <w:t>mahācetiya</w:t>
      </w:r>
      <w:proofErr w:type="spellEnd"/>
      <w:r w:rsidRPr="005B6D62">
        <w:rPr>
          <w:lang w:val="es-PE"/>
        </w:rPr>
        <w:t xml:space="preserve">) IV.95 </w:t>
      </w:r>
    </w:p>
    <w:p w14:paraId="660E48BB" w14:textId="77777777" w:rsidR="00597DE2" w:rsidRDefault="00597DE2" w:rsidP="00597DE2">
      <w:pPr>
        <w:pStyle w:val="ParrafoApendice"/>
        <w:rPr>
          <w:lang w:val="es-PE"/>
        </w:rPr>
      </w:pPr>
      <w:r w:rsidRPr="005B6D62">
        <w:rPr>
          <w:lang w:val="es-PE"/>
        </w:rPr>
        <w:t>grillete (</w:t>
      </w:r>
      <w:r w:rsidRPr="005B6D62">
        <w:rPr>
          <w:i/>
          <w:iCs/>
          <w:lang w:val="es-PE"/>
        </w:rPr>
        <w:t>saṃyojana</w:t>
      </w:r>
      <w:r w:rsidRPr="005B6D62">
        <w:rPr>
          <w:lang w:val="es-PE"/>
        </w:rPr>
        <w:t xml:space="preserve">) IV.87; XIV.172; XXII.45, 47, 48, 122; XXIII.2 </w:t>
      </w:r>
      <w:r>
        <w:rPr>
          <w:lang w:val="es-PE"/>
        </w:rPr>
        <w:br w:type="page"/>
      </w:r>
    </w:p>
    <w:p w14:paraId="4D092718" w14:textId="77777777" w:rsidR="00597DE2" w:rsidRPr="005B6D62" w:rsidRDefault="00597DE2" w:rsidP="00597DE2">
      <w:pPr>
        <w:pStyle w:val="ParrafoApendice"/>
        <w:rPr>
          <w:lang w:val="es-PE"/>
        </w:rPr>
      </w:pPr>
    </w:p>
    <w:p w14:paraId="732D928A" w14:textId="77777777" w:rsidR="00597DE2" w:rsidRPr="00A5270A" w:rsidRDefault="00597DE2" w:rsidP="00597DE2">
      <w:pPr>
        <w:pStyle w:val="ParrafoApendice"/>
        <w:rPr>
          <w:lang w:val="es-PE"/>
        </w:rPr>
      </w:pPr>
      <w:r w:rsidRPr="00A5270A">
        <w:rPr>
          <w:lang w:val="es-PE"/>
        </w:rPr>
        <w:t>grupo (</w:t>
      </w:r>
      <w:proofErr w:type="spellStart"/>
      <w:r w:rsidRPr="00A5270A">
        <w:rPr>
          <w:i/>
          <w:iCs/>
          <w:lang w:val="es-PE"/>
        </w:rPr>
        <w:t>kalāpa</w:t>
      </w:r>
      <w:proofErr w:type="spellEnd"/>
      <w:r w:rsidRPr="00A5270A">
        <w:rPr>
          <w:lang w:val="es-PE"/>
        </w:rPr>
        <w:t xml:space="preserve">) VIII.224, n.45; XI.88; XIV.n.27, n.32; XVII.156; </w:t>
      </w:r>
      <w:r w:rsidRPr="00A5270A">
        <w:rPr>
          <w:color w:val="833C0B" w:themeColor="accent2" w:themeShade="80"/>
          <w:u w:color="000000"/>
          <w:lang w:val="es-PE"/>
        </w:rPr>
        <w:t>XVIII</w:t>
      </w:r>
      <w:r w:rsidRPr="00A5270A">
        <w:rPr>
          <w:lang w:val="es-PE"/>
        </w:rPr>
        <w:t xml:space="preserve">.n.5; XIX </w:t>
      </w:r>
      <w:r w:rsidRPr="00A5270A">
        <w:rPr>
          <w:i/>
          <w:iCs/>
          <w:lang w:val="es-PE"/>
        </w:rPr>
        <w:t>passim</w:t>
      </w:r>
      <w:r w:rsidRPr="00A5270A">
        <w:rPr>
          <w:lang w:val="es-PE"/>
        </w:rPr>
        <w:t xml:space="preserve">; XX.76s. </w:t>
      </w:r>
    </w:p>
    <w:p w14:paraId="365BBBA2" w14:textId="77777777" w:rsidR="00597DE2" w:rsidRPr="00BE1E56" w:rsidRDefault="00597DE2" w:rsidP="00597DE2">
      <w:pPr>
        <w:pStyle w:val="ParrafoApendice"/>
        <w:rPr>
          <w:lang w:val="es-PE"/>
        </w:rPr>
      </w:pPr>
      <w:r w:rsidRPr="00BE1E56">
        <w:rPr>
          <w:lang w:val="es-PE"/>
        </w:rPr>
        <w:t>gusano (</w:t>
      </w:r>
      <w:proofErr w:type="spellStart"/>
      <w:r w:rsidRPr="00BE1E56">
        <w:rPr>
          <w:i/>
          <w:iCs/>
          <w:lang w:val="es-PE"/>
        </w:rPr>
        <w:t>kimi</w:t>
      </w:r>
      <w:proofErr w:type="spellEnd"/>
      <w:r w:rsidRPr="00BE1E56">
        <w:rPr>
          <w:lang w:val="es-PE"/>
        </w:rPr>
        <w:t>) VI.77; VIII.25, 121</w:t>
      </w:r>
    </w:p>
    <w:p w14:paraId="783A074C" w14:textId="77777777" w:rsidR="00597DE2" w:rsidRPr="005B6D62" w:rsidRDefault="00597DE2" w:rsidP="00597DE2">
      <w:pPr>
        <w:pStyle w:val="ParrafoApendice"/>
        <w:rPr>
          <w:lang w:val="es-PE"/>
        </w:rPr>
      </w:pPr>
      <w:proofErr w:type="spellStart"/>
      <w:r w:rsidRPr="005B6D62">
        <w:rPr>
          <w:lang w:val="es-PE"/>
        </w:rPr>
        <w:t>Gutta</w:t>
      </w:r>
      <w:proofErr w:type="spellEnd"/>
      <w:r w:rsidRPr="005B6D62">
        <w:rPr>
          <w:lang w:val="es-PE"/>
        </w:rPr>
        <w:t xml:space="preserve"> </w:t>
      </w:r>
      <w:proofErr w:type="spellStart"/>
      <w:r w:rsidRPr="005B6D62">
        <w:rPr>
          <w:lang w:val="es-PE"/>
        </w:rPr>
        <w:t>Thera</w:t>
      </w:r>
      <w:proofErr w:type="spellEnd"/>
      <w:r w:rsidRPr="005B6D62">
        <w:rPr>
          <w:lang w:val="es-PE"/>
        </w:rPr>
        <w:t xml:space="preserve">, Mahā </w:t>
      </w:r>
      <w:proofErr w:type="spellStart"/>
      <w:r w:rsidRPr="005B6D62">
        <w:rPr>
          <w:lang w:val="es-PE"/>
        </w:rPr>
        <w:t>Rohaóa</w:t>
      </w:r>
      <w:proofErr w:type="spellEnd"/>
      <w:r w:rsidRPr="005B6D62">
        <w:rPr>
          <w:lang w:val="es-PE"/>
        </w:rPr>
        <w:t xml:space="preserve"> IV.135; XII.9 </w:t>
      </w:r>
    </w:p>
    <w:p w14:paraId="6536D975" w14:textId="77777777" w:rsidR="00597DE2" w:rsidRPr="005B6D62" w:rsidRDefault="00597DE2" w:rsidP="00597DE2">
      <w:pPr>
        <w:pStyle w:val="ParrafoApendice"/>
        <w:rPr>
          <w:lang w:val="es-PE"/>
        </w:rPr>
      </w:pPr>
      <w:r w:rsidRPr="005B6D62">
        <w:rPr>
          <w:lang w:val="es-PE"/>
        </w:rPr>
        <w:t>habitante al aire libre (</w:t>
      </w:r>
      <w:proofErr w:type="spellStart"/>
      <w:r w:rsidRPr="005B6D62">
        <w:rPr>
          <w:i/>
          <w:iCs/>
          <w:lang w:val="es-PE"/>
        </w:rPr>
        <w:t>abbhokāsika</w:t>
      </w:r>
      <w:proofErr w:type="spellEnd"/>
      <w:r w:rsidRPr="005B6D62">
        <w:rPr>
          <w:lang w:val="es-PE"/>
        </w:rPr>
        <w:t>) I.68; II.2, 60</w:t>
      </w:r>
    </w:p>
    <w:p w14:paraId="0441383F" w14:textId="77777777" w:rsidR="00597DE2" w:rsidRPr="000C461C" w:rsidRDefault="00597DE2" w:rsidP="00597DE2">
      <w:pPr>
        <w:pStyle w:val="ParrafoApendice"/>
        <w:rPr>
          <w:lang w:val="es-PE"/>
        </w:rPr>
      </w:pPr>
      <w:r>
        <w:rPr>
          <w:lang w:val="es-PE"/>
        </w:rPr>
        <w:t>habitante</w:t>
      </w:r>
      <w:r w:rsidRPr="000C461C">
        <w:rPr>
          <w:lang w:val="es-PE"/>
        </w:rPr>
        <w:t xml:space="preserve"> </w:t>
      </w:r>
      <w:r>
        <w:rPr>
          <w:lang w:val="es-PE"/>
        </w:rPr>
        <w:t>sobre</w:t>
      </w:r>
      <w:r w:rsidRPr="000C461C">
        <w:rPr>
          <w:lang w:val="es-PE"/>
        </w:rPr>
        <w:t xml:space="preserve"> </w:t>
      </w:r>
      <w:r>
        <w:rPr>
          <w:lang w:val="es-PE"/>
        </w:rPr>
        <w:t xml:space="preserve">las </w:t>
      </w:r>
      <w:r w:rsidRPr="000C461C">
        <w:rPr>
          <w:lang w:val="es-PE"/>
        </w:rPr>
        <w:t xml:space="preserve">raíces de </w:t>
      </w:r>
      <w:r>
        <w:rPr>
          <w:lang w:val="es-PE"/>
        </w:rPr>
        <w:t xml:space="preserve">un árbol </w:t>
      </w:r>
      <w:r w:rsidRPr="000C461C">
        <w:rPr>
          <w:lang w:val="es-PE"/>
        </w:rPr>
        <w:t>(</w:t>
      </w:r>
      <w:proofErr w:type="spellStart"/>
      <w:r w:rsidRPr="00CB6A86">
        <w:rPr>
          <w:i/>
          <w:iCs/>
          <w:lang w:val="es-PE"/>
        </w:rPr>
        <w:t>rukkhamūlika</w:t>
      </w:r>
      <w:proofErr w:type="spellEnd"/>
      <w:r w:rsidRPr="000C461C">
        <w:rPr>
          <w:lang w:val="es-PE"/>
        </w:rPr>
        <w:t>) I.68; II.2</w:t>
      </w:r>
      <w:r>
        <w:rPr>
          <w:lang w:val="es-PE"/>
        </w:rPr>
        <w:t>s</w:t>
      </w:r>
      <w:r w:rsidRPr="000C461C">
        <w:rPr>
          <w:lang w:val="es-PE"/>
        </w:rPr>
        <w:t xml:space="preserve">., 56 </w:t>
      </w:r>
    </w:p>
    <w:p w14:paraId="55177B16" w14:textId="77777777" w:rsidR="00597DE2" w:rsidRPr="005B6D62" w:rsidRDefault="00597DE2" w:rsidP="00597DE2">
      <w:pPr>
        <w:pStyle w:val="ParrafoApendice"/>
        <w:rPr>
          <w:lang w:val="es-PE"/>
        </w:rPr>
      </w:pPr>
      <w:r w:rsidRPr="005B6D62">
        <w:rPr>
          <w:lang w:val="es-PE"/>
        </w:rPr>
        <w:t>hábito (</w:t>
      </w:r>
      <w:r w:rsidRPr="005B6D62">
        <w:rPr>
          <w:i/>
          <w:iCs/>
          <w:lang w:val="es-PE"/>
        </w:rPr>
        <w:t>sīla</w:t>
      </w:r>
      <w:r w:rsidRPr="005B6D62">
        <w:rPr>
          <w:lang w:val="es-PE"/>
        </w:rPr>
        <w:t>) I.38</w:t>
      </w:r>
    </w:p>
    <w:p w14:paraId="00D9EFA9" w14:textId="77777777" w:rsidR="00597DE2" w:rsidRPr="005B6D62" w:rsidRDefault="00597DE2" w:rsidP="00597DE2">
      <w:pPr>
        <w:pStyle w:val="ParrafoApendice"/>
        <w:rPr>
          <w:lang w:val="es-PE"/>
        </w:rPr>
      </w:pPr>
      <w:proofErr w:type="spellStart"/>
      <w:r w:rsidRPr="005B6D62">
        <w:rPr>
          <w:lang w:val="es-PE"/>
        </w:rPr>
        <w:t>Haṃsapātana</w:t>
      </w:r>
      <w:proofErr w:type="spellEnd"/>
      <w:r w:rsidRPr="005B6D62">
        <w:rPr>
          <w:lang w:val="es-PE"/>
        </w:rPr>
        <w:t>, Lago XIII.38</w:t>
      </w:r>
    </w:p>
    <w:p w14:paraId="43CBD2C1" w14:textId="77777777" w:rsidR="00597DE2" w:rsidRPr="005B6D62" w:rsidRDefault="00597DE2" w:rsidP="00597DE2">
      <w:pPr>
        <w:pStyle w:val="ParrafoApendice"/>
        <w:rPr>
          <w:lang w:val="es-PE"/>
        </w:rPr>
      </w:pPr>
      <w:proofErr w:type="spellStart"/>
      <w:r w:rsidRPr="005B6D62">
        <w:rPr>
          <w:lang w:val="es-PE"/>
        </w:rPr>
        <w:t>Haṅkana</w:t>
      </w:r>
      <w:proofErr w:type="spellEnd"/>
      <w:r w:rsidRPr="005B6D62">
        <w:rPr>
          <w:lang w:val="es-PE"/>
        </w:rPr>
        <w:t xml:space="preserve"> XX.110</w:t>
      </w:r>
    </w:p>
    <w:p w14:paraId="7D60FDF8" w14:textId="77777777" w:rsidR="00597DE2" w:rsidRPr="005B6D62" w:rsidRDefault="00597DE2" w:rsidP="00597DE2">
      <w:pPr>
        <w:pStyle w:val="ParrafoApendice"/>
        <w:rPr>
          <w:lang w:val="es-PE"/>
        </w:rPr>
      </w:pPr>
      <w:r w:rsidRPr="005B6D62">
        <w:rPr>
          <w:lang w:val="es-PE"/>
        </w:rPr>
        <w:t>hastío (</w:t>
      </w:r>
      <w:proofErr w:type="spellStart"/>
      <w:r w:rsidRPr="005B6D62">
        <w:rPr>
          <w:i/>
          <w:iCs/>
          <w:lang w:val="es-PE"/>
        </w:rPr>
        <w:t>arati</w:t>
      </w:r>
      <w:proofErr w:type="spellEnd"/>
      <w:r w:rsidRPr="005B6D62">
        <w:rPr>
          <w:lang w:val="es-PE"/>
        </w:rPr>
        <w:t xml:space="preserve">), ver aversión </w:t>
      </w:r>
    </w:p>
    <w:p w14:paraId="0CFBFFD1" w14:textId="77777777" w:rsidR="00597DE2" w:rsidRPr="005B6D62" w:rsidRDefault="00597DE2" w:rsidP="00597DE2">
      <w:pPr>
        <w:pStyle w:val="ParrafoApendice"/>
        <w:rPr>
          <w:lang w:val="es-PE"/>
        </w:rPr>
      </w:pPr>
      <w:proofErr w:type="spellStart"/>
      <w:r w:rsidRPr="005B6D62">
        <w:rPr>
          <w:lang w:val="es-PE"/>
        </w:rPr>
        <w:t>Hatthikucchipabbhāra</w:t>
      </w:r>
      <w:proofErr w:type="spellEnd"/>
      <w:r w:rsidRPr="005B6D62">
        <w:rPr>
          <w:lang w:val="es-PE"/>
        </w:rPr>
        <w:t xml:space="preserve"> III.102; IV.10</w:t>
      </w:r>
    </w:p>
    <w:p w14:paraId="3A91BDFB" w14:textId="77777777" w:rsidR="00597DE2" w:rsidRPr="006D0608" w:rsidRDefault="00597DE2" w:rsidP="00597DE2">
      <w:pPr>
        <w:pStyle w:val="ParrafoApendice"/>
        <w:rPr>
          <w:lang w:val="es-PE"/>
        </w:rPr>
      </w:pPr>
      <w:r w:rsidRPr="006D0608">
        <w:rPr>
          <w:lang w:val="es-PE"/>
        </w:rPr>
        <w:t>Himalaya (</w:t>
      </w:r>
      <w:proofErr w:type="spellStart"/>
      <w:r w:rsidRPr="006D0608">
        <w:rPr>
          <w:i/>
          <w:iCs/>
          <w:lang w:val="es-PE"/>
        </w:rPr>
        <w:t>himavant</w:t>
      </w:r>
      <w:proofErr w:type="spellEnd"/>
      <w:r w:rsidRPr="006D0608">
        <w:rPr>
          <w:lang w:val="es-PE"/>
        </w:rPr>
        <w:t xml:space="preserve">) VII.42, n.16; XIII.38, 48; XXI.43 </w:t>
      </w:r>
    </w:p>
    <w:p w14:paraId="043223D9" w14:textId="77777777" w:rsidR="00597DE2" w:rsidRPr="005B6D62" w:rsidRDefault="00597DE2" w:rsidP="00597DE2">
      <w:pPr>
        <w:pStyle w:val="ParrafoApendice"/>
        <w:rPr>
          <w:lang w:val="es-PE"/>
        </w:rPr>
      </w:pPr>
      <w:r w:rsidRPr="005B6D62">
        <w:rPr>
          <w:lang w:val="es-PE"/>
        </w:rPr>
        <w:t>hinchazón (</w:t>
      </w:r>
      <w:proofErr w:type="spellStart"/>
      <w:r w:rsidRPr="005B6D62">
        <w:rPr>
          <w:i/>
          <w:iCs/>
          <w:lang w:val="es-PE"/>
        </w:rPr>
        <w:t>uddhumātaka</w:t>
      </w:r>
      <w:proofErr w:type="spellEnd"/>
      <w:r w:rsidRPr="005B6D62">
        <w:rPr>
          <w:lang w:val="es-PE"/>
        </w:rPr>
        <w:t xml:space="preserve">) III.105; VI.1; VII.28; VIII.43 </w:t>
      </w:r>
    </w:p>
    <w:p w14:paraId="1295F142" w14:textId="77777777" w:rsidR="00597DE2" w:rsidRPr="005B6D62" w:rsidRDefault="00597DE2" w:rsidP="00597DE2">
      <w:pPr>
        <w:pStyle w:val="ParrafoApendice"/>
        <w:rPr>
          <w:lang w:val="es-PE"/>
        </w:rPr>
      </w:pPr>
      <w:r w:rsidRPr="005B6D62">
        <w:rPr>
          <w:lang w:val="es-PE"/>
        </w:rPr>
        <w:t>hipocresía (</w:t>
      </w:r>
      <w:proofErr w:type="spellStart"/>
      <w:r w:rsidRPr="005B6D62">
        <w:rPr>
          <w:i/>
          <w:iCs/>
          <w:lang w:val="es-PE"/>
        </w:rPr>
        <w:t>vimhāpana</w:t>
      </w:r>
      <w:proofErr w:type="spellEnd"/>
      <w:r w:rsidRPr="005B6D62">
        <w:rPr>
          <w:lang w:val="es-PE"/>
        </w:rPr>
        <w:t xml:space="preserve">) I.67 </w:t>
      </w:r>
    </w:p>
    <w:p w14:paraId="1D553803" w14:textId="77777777" w:rsidR="00597DE2" w:rsidRPr="005B6D62" w:rsidRDefault="00597DE2" w:rsidP="00597DE2">
      <w:pPr>
        <w:pStyle w:val="ParrafoApendice"/>
        <w:rPr>
          <w:lang w:val="es-PE"/>
        </w:rPr>
      </w:pPr>
      <w:r w:rsidRPr="005B6D62">
        <w:rPr>
          <w:lang w:val="es-PE"/>
        </w:rPr>
        <w:t>hombre (</w:t>
      </w:r>
      <w:proofErr w:type="spellStart"/>
      <w:r w:rsidRPr="005B6D62">
        <w:rPr>
          <w:i/>
          <w:iCs/>
          <w:lang w:val="es-PE"/>
        </w:rPr>
        <w:t>purisa</w:t>
      </w:r>
      <w:proofErr w:type="spellEnd"/>
      <w:r w:rsidRPr="005B6D62">
        <w:rPr>
          <w:lang w:val="es-PE"/>
        </w:rPr>
        <w:t>) I.n.14; XI.30; XVII.n.4</w:t>
      </w:r>
    </w:p>
    <w:p w14:paraId="6952860E" w14:textId="77777777" w:rsidR="00597DE2" w:rsidRPr="005B6D62" w:rsidRDefault="00597DE2" w:rsidP="00597DE2">
      <w:pPr>
        <w:pStyle w:val="ParrafoApendice"/>
        <w:rPr>
          <w:lang w:val="es-PE"/>
        </w:rPr>
      </w:pPr>
      <w:r w:rsidRPr="005B6D62">
        <w:rPr>
          <w:lang w:val="es-PE"/>
        </w:rPr>
        <w:t>hombre ordinario (</w:t>
      </w:r>
      <w:r w:rsidRPr="005B6D62">
        <w:rPr>
          <w:i/>
          <w:iCs/>
          <w:lang w:val="es-PE"/>
        </w:rPr>
        <w:t>puthujjana</w:t>
      </w:r>
      <w:r w:rsidRPr="005B6D62">
        <w:rPr>
          <w:lang w:val="es-PE"/>
        </w:rPr>
        <w:t xml:space="preserve">) I.35, 135, 137; II.78; III.56; XI.121; XIII.110; XIV.109, 202; XV.42; XVI.67; XVII.39, 261; XXII.5, 85; XXIII.6, 18 </w:t>
      </w:r>
    </w:p>
    <w:p w14:paraId="1DEDC56B" w14:textId="77777777" w:rsidR="00597DE2" w:rsidRPr="005B6D62" w:rsidRDefault="00597DE2" w:rsidP="00597DE2">
      <w:pPr>
        <w:pStyle w:val="ParrafoApendice"/>
        <w:rPr>
          <w:lang w:val="es-PE"/>
        </w:rPr>
      </w:pPr>
      <w:r w:rsidRPr="005B6D62">
        <w:rPr>
          <w:lang w:val="es-PE"/>
        </w:rPr>
        <w:t>hombre ordinario y magnánimo (</w:t>
      </w:r>
      <w:proofErr w:type="spellStart"/>
      <w:r w:rsidRPr="005B6D62">
        <w:rPr>
          <w:i/>
          <w:iCs/>
          <w:lang w:val="es-PE"/>
        </w:rPr>
        <w:t>kalyāṇa</w:t>
      </w:r>
      <w:proofErr w:type="spellEnd"/>
      <w:r w:rsidRPr="005B6D62">
        <w:rPr>
          <w:i/>
          <w:iCs/>
          <w:lang w:val="es-PE"/>
        </w:rPr>
        <w:t>–puthujjana</w:t>
      </w:r>
      <w:r w:rsidRPr="005B6D62">
        <w:rPr>
          <w:lang w:val="es-PE"/>
        </w:rPr>
        <w:t>) I.35, 131</w:t>
      </w:r>
    </w:p>
    <w:p w14:paraId="45BB56CA" w14:textId="77777777" w:rsidR="00597DE2" w:rsidRPr="005B6D62" w:rsidRDefault="00597DE2" w:rsidP="00597DE2">
      <w:pPr>
        <w:pStyle w:val="ParrafoApendice"/>
        <w:rPr>
          <w:lang w:val="es-PE"/>
        </w:rPr>
      </w:pPr>
      <w:r w:rsidRPr="005B6D62">
        <w:rPr>
          <w:lang w:val="es-PE"/>
        </w:rPr>
        <w:t>humano (</w:t>
      </w:r>
      <w:proofErr w:type="spellStart"/>
      <w:r w:rsidRPr="005B6D62">
        <w:rPr>
          <w:i/>
          <w:iCs/>
          <w:lang w:val="es-PE"/>
        </w:rPr>
        <w:t>manussa</w:t>
      </w:r>
      <w:proofErr w:type="spellEnd"/>
      <w:r w:rsidRPr="005B6D62">
        <w:rPr>
          <w:lang w:val="es-PE"/>
        </w:rPr>
        <w:t xml:space="preserve">) XIV.111; XVII.154 </w:t>
      </w:r>
    </w:p>
    <w:p w14:paraId="3EFD50B6" w14:textId="77777777" w:rsidR="00597DE2" w:rsidRPr="005B6D62" w:rsidRDefault="00597DE2" w:rsidP="00597DE2">
      <w:pPr>
        <w:pStyle w:val="ParrafoApendice"/>
        <w:rPr>
          <w:lang w:val="es-PE"/>
        </w:rPr>
      </w:pPr>
      <w:r w:rsidRPr="005B6D62">
        <w:rPr>
          <w:lang w:val="es-PE"/>
        </w:rPr>
        <w:t>humor (</w:t>
      </w:r>
      <w:proofErr w:type="spellStart"/>
      <w:r w:rsidRPr="005B6D62">
        <w:rPr>
          <w:i/>
          <w:iCs/>
          <w:lang w:val="es-PE"/>
        </w:rPr>
        <w:t>dhātu</w:t>
      </w:r>
      <w:proofErr w:type="spellEnd"/>
      <w:r w:rsidRPr="005B6D62">
        <w:rPr>
          <w:lang w:val="es-PE"/>
        </w:rPr>
        <w:t>) VIII.159; (</w:t>
      </w:r>
      <w:r w:rsidRPr="005B6D62">
        <w:rPr>
          <w:i/>
          <w:iCs/>
          <w:lang w:val="es-PE"/>
        </w:rPr>
        <w:t>dosa</w:t>
      </w:r>
      <w:r w:rsidRPr="005B6D62">
        <w:rPr>
          <w:lang w:val="es-PE"/>
        </w:rPr>
        <w:t xml:space="preserve">) III.80 </w:t>
      </w:r>
    </w:p>
    <w:p w14:paraId="170E1AFB" w14:textId="77777777" w:rsidR="00597DE2" w:rsidRPr="005B6D62" w:rsidRDefault="00597DE2" w:rsidP="00597DE2">
      <w:pPr>
        <w:pStyle w:val="ParrafoApendice"/>
        <w:rPr>
          <w:lang w:val="es-PE"/>
        </w:rPr>
      </w:pPr>
      <w:r w:rsidRPr="005B6D62">
        <w:rPr>
          <w:lang w:val="es-PE"/>
        </w:rPr>
        <w:t>idea (</w:t>
      </w:r>
      <w:proofErr w:type="spellStart"/>
      <w:r w:rsidRPr="005B6D62">
        <w:rPr>
          <w:i/>
          <w:iCs/>
          <w:lang w:val="es-PE"/>
        </w:rPr>
        <w:t>anubodha</w:t>
      </w:r>
      <w:proofErr w:type="spellEnd"/>
      <w:r w:rsidRPr="005B6D62">
        <w:rPr>
          <w:lang w:val="es-PE"/>
        </w:rPr>
        <w:t xml:space="preserve">) XVI.84 </w:t>
      </w:r>
    </w:p>
    <w:p w14:paraId="132DBFE4" w14:textId="77777777" w:rsidR="00597DE2" w:rsidRPr="005B6D62" w:rsidRDefault="00597DE2" w:rsidP="00597DE2">
      <w:pPr>
        <w:pStyle w:val="ParrafoApendice"/>
        <w:rPr>
          <w:u w:color="000000"/>
          <w:lang w:val="es-PE"/>
        </w:rPr>
      </w:pPr>
      <w:r w:rsidRPr="005B6D62">
        <w:rPr>
          <w:u w:color="000000"/>
          <w:lang w:val="es-PE"/>
        </w:rPr>
        <w:t>identidad (</w:t>
      </w:r>
      <w:proofErr w:type="spellStart"/>
      <w:r w:rsidRPr="005B6D62">
        <w:rPr>
          <w:i/>
          <w:iCs/>
          <w:u w:color="000000"/>
          <w:lang w:val="es-PE"/>
        </w:rPr>
        <w:t>ekatta</w:t>
      </w:r>
      <w:proofErr w:type="spellEnd"/>
      <w:r w:rsidRPr="005B6D62">
        <w:rPr>
          <w:u w:color="000000"/>
          <w:lang w:val="es-PE"/>
        </w:rPr>
        <w:t>) XVII.167s, 309; XX.102; XXI.52</w:t>
      </w:r>
    </w:p>
    <w:p w14:paraId="5D2743DA" w14:textId="77777777" w:rsidR="00597DE2" w:rsidRPr="005B6D62" w:rsidRDefault="00597DE2" w:rsidP="00597DE2">
      <w:pPr>
        <w:pStyle w:val="ParrafoApendice"/>
        <w:rPr>
          <w:u w:color="000000"/>
          <w:lang w:val="es-PE"/>
        </w:rPr>
      </w:pPr>
      <w:r w:rsidRPr="005B6D62">
        <w:rPr>
          <w:u w:color="000000"/>
          <w:lang w:val="es-PE"/>
        </w:rPr>
        <w:t>ignorancia (</w:t>
      </w:r>
      <w:r w:rsidRPr="005B6D62">
        <w:rPr>
          <w:i/>
          <w:iCs/>
          <w:u w:color="000000"/>
          <w:lang w:val="es-PE"/>
        </w:rPr>
        <w:t>avijjā</w:t>
      </w:r>
      <w:r w:rsidRPr="005B6D62">
        <w:rPr>
          <w:u w:color="000000"/>
          <w:lang w:val="es-PE"/>
        </w:rPr>
        <w:t xml:space="preserve">) I.140; III.17; IV.87; VII.7s., 59; XII.17; XIV.229; XV.28; XVII.2s, 36, 43, 48, 49, 51s., 58s., 103s, 163, 274, 292; XX.8, 97; XXII.28, 45, 48, 56, 60 </w:t>
      </w:r>
    </w:p>
    <w:p w14:paraId="4662DA9C" w14:textId="77777777" w:rsidR="00597DE2" w:rsidRPr="005B6D62" w:rsidRDefault="00597DE2" w:rsidP="00597DE2">
      <w:pPr>
        <w:pStyle w:val="ParrafoApendice"/>
        <w:rPr>
          <w:lang w:val="es-PE"/>
        </w:rPr>
      </w:pPr>
      <w:proofErr w:type="spellStart"/>
      <w:r w:rsidRPr="005B6D62">
        <w:rPr>
          <w:lang w:val="es-PE"/>
        </w:rPr>
        <w:t>Illīsa</w:t>
      </w:r>
      <w:proofErr w:type="spellEnd"/>
      <w:r w:rsidRPr="005B6D62">
        <w:rPr>
          <w:lang w:val="es-PE"/>
        </w:rPr>
        <w:t xml:space="preserve"> XII.127</w:t>
      </w:r>
    </w:p>
    <w:p w14:paraId="59697966" w14:textId="77777777" w:rsidR="00597DE2" w:rsidRPr="005B6D62" w:rsidRDefault="00597DE2" w:rsidP="00597DE2">
      <w:pPr>
        <w:pStyle w:val="ParrafoApendice"/>
        <w:rPr>
          <w:lang w:val="es-PE"/>
        </w:rPr>
      </w:pPr>
      <w:r w:rsidRPr="005B6D62">
        <w:rPr>
          <w:lang w:val="es-PE"/>
        </w:rPr>
        <w:t>iluminación (</w:t>
      </w:r>
      <w:proofErr w:type="spellStart"/>
      <w:r w:rsidRPr="005B6D62">
        <w:rPr>
          <w:i/>
          <w:iCs/>
          <w:lang w:val="es-PE"/>
        </w:rPr>
        <w:t>bodhi</w:t>
      </w:r>
      <w:proofErr w:type="spellEnd"/>
      <w:r w:rsidRPr="005B6D62">
        <w:rPr>
          <w:i/>
          <w:iCs/>
          <w:lang w:val="es-PE"/>
        </w:rPr>
        <w:t xml:space="preserve">, </w:t>
      </w:r>
      <w:proofErr w:type="spellStart"/>
      <w:r w:rsidRPr="005B6D62">
        <w:rPr>
          <w:i/>
          <w:iCs/>
          <w:lang w:val="es-PE"/>
        </w:rPr>
        <w:t>sambodhi</w:t>
      </w:r>
      <w:proofErr w:type="spellEnd"/>
      <w:r w:rsidRPr="005B6D62">
        <w:rPr>
          <w:lang w:val="es-PE"/>
        </w:rPr>
        <w:t xml:space="preserve">) I.140 </w:t>
      </w:r>
    </w:p>
    <w:p w14:paraId="3E631905" w14:textId="77777777" w:rsidR="00597DE2" w:rsidRPr="005B6D62" w:rsidRDefault="00597DE2" w:rsidP="00597DE2">
      <w:pPr>
        <w:pStyle w:val="ParrafoApendice"/>
        <w:rPr>
          <w:lang w:val="es-PE"/>
        </w:rPr>
      </w:pPr>
      <w:r w:rsidRPr="005B6D62">
        <w:rPr>
          <w:lang w:val="es-PE"/>
        </w:rPr>
        <w:t>iluminación (</w:t>
      </w:r>
      <w:proofErr w:type="spellStart"/>
      <w:r w:rsidRPr="005B6D62">
        <w:rPr>
          <w:i/>
          <w:iCs/>
          <w:lang w:val="es-PE"/>
        </w:rPr>
        <w:t>obhāsa</w:t>
      </w:r>
      <w:proofErr w:type="spellEnd"/>
      <w:r w:rsidRPr="005B6D62">
        <w:rPr>
          <w:lang w:val="es-PE"/>
        </w:rPr>
        <w:t xml:space="preserve">) XII.17; XX.107 </w:t>
      </w:r>
    </w:p>
    <w:p w14:paraId="7AC39BEC" w14:textId="77777777" w:rsidR="00597DE2" w:rsidRPr="005B6D62" w:rsidRDefault="00597DE2" w:rsidP="00597DE2">
      <w:pPr>
        <w:pStyle w:val="ParrafoApendice"/>
        <w:rPr>
          <w:lang w:val="es-PE"/>
        </w:rPr>
      </w:pPr>
      <w:r w:rsidRPr="005B6D62">
        <w:rPr>
          <w:lang w:val="es-PE"/>
        </w:rPr>
        <w:t>Iluminado (</w:t>
      </w:r>
      <w:proofErr w:type="spellStart"/>
      <w:r w:rsidRPr="005B6D62">
        <w:rPr>
          <w:i/>
          <w:iCs/>
          <w:lang w:val="es-PE"/>
        </w:rPr>
        <w:t>buddha</w:t>
      </w:r>
      <w:proofErr w:type="spellEnd"/>
      <w:r w:rsidRPr="005B6D62">
        <w:rPr>
          <w:lang w:val="es-PE"/>
        </w:rPr>
        <w:t xml:space="preserve">) III.128; IV.55; VII.1s., 26, 52; VIII.23s, 155; IX.124; XI.17; </w:t>
      </w:r>
      <w:r w:rsidRPr="005B6D62">
        <w:rPr>
          <w:strike/>
          <w:color w:val="833C0B" w:themeColor="accent2" w:themeShade="80"/>
          <w:u w:color="000000"/>
          <w:lang w:val="es-PE"/>
        </w:rPr>
        <w:t>XII.1</w:t>
      </w:r>
      <w:r w:rsidRPr="005B6D62">
        <w:rPr>
          <w:lang w:val="es-PE"/>
        </w:rPr>
        <w:t xml:space="preserve">; XIII.16, 18, 31; XIV.31; XVI.20; XXI.118; XXIII.11 </w:t>
      </w:r>
    </w:p>
    <w:p w14:paraId="3D419509" w14:textId="77777777" w:rsidR="00597DE2" w:rsidRPr="005B6D62" w:rsidRDefault="00597DE2" w:rsidP="00597DE2">
      <w:pPr>
        <w:pStyle w:val="ParrafoApendice"/>
        <w:rPr>
          <w:lang w:val="es-PE"/>
        </w:rPr>
      </w:pPr>
      <w:r w:rsidRPr="005B6D62">
        <w:rPr>
          <w:lang w:val="es-PE"/>
        </w:rPr>
        <w:t>ilusión (</w:t>
      </w:r>
      <w:r w:rsidRPr="005B6D62">
        <w:rPr>
          <w:i/>
          <w:iCs/>
          <w:lang w:val="es-PE"/>
        </w:rPr>
        <w:t>moha</w:t>
      </w:r>
      <w:r w:rsidRPr="005B6D62">
        <w:rPr>
          <w:lang w:val="es-PE"/>
        </w:rPr>
        <w:t xml:space="preserve">) I.90, n.14; II.84, 86; III.74s., 95, 128; IV.87; VII.59; XII.63; XIII.64, 77; XIV.93, 159, 161, 170, 176; XVI.69; XVII.52, 292; XXII.11, 49, 61 </w:t>
      </w:r>
    </w:p>
    <w:p w14:paraId="17FF4E1E" w14:textId="77777777" w:rsidR="00597DE2" w:rsidRPr="005B6D62" w:rsidRDefault="00597DE2" w:rsidP="00597DE2">
      <w:pPr>
        <w:pStyle w:val="ParrafoApendice"/>
        <w:rPr>
          <w:lang w:val="es-PE"/>
        </w:rPr>
      </w:pPr>
      <w:r w:rsidRPr="005B6D62">
        <w:rPr>
          <w:lang w:val="es-PE"/>
        </w:rPr>
        <w:t>impacto (</w:t>
      </w:r>
      <w:proofErr w:type="spellStart"/>
      <w:r w:rsidRPr="005B6D62">
        <w:rPr>
          <w:i/>
          <w:iCs/>
          <w:lang w:val="es-PE"/>
        </w:rPr>
        <w:t>abhighāta</w:t>
      </w:r>
      <w:proofErr w:type="spellEnd"/>
      <w:r w:rsidRPr="005B6D62">
        <w:rPr>
          <w:lang w:val="es-PE"/>
        </w:rPr>
        <w:t xml:space="preserve">) XIV.37 </w:t>
      </w:r>
    </w:p>
    <w:p w14:paraId="38649231" w14:textId="77777777" w:rsidR="00597DE2" w:rsidRPr="005B6D62" w:rsidRDefault="00597DE2" w:rsidP="00597DE2">
      <w:pPr>
        <w:pStyle w:val="ParrafoApendice"/>
        <w:rPr>
          <w:lang w:val="es-PE"/>
        </w:rPr>
      </w:pPr>
      <w:r w:rsidRPr="005B6D62">
        <w:rPr>
          <w:lang w:val="es-PE"/>
        </w:rPr>
        <w:t>impedimento (</w:t>
      </w:r>
      <w:proofErr w:type="spellStart"/>
      <w:r w:rsidRPr="005B6D62">
        <w:rPr>
          <w:i/>
          <w:iCs/>
          <w:lang w:val="es-PE"/>
        </w:rPr>
        <w:t>palibodha</w:t>
      </w:r>
      <w:proofErr w:type="spellEnd"/>
      <w:r w:rsidRPr="005B6D62">
        <w:rPr>
          <w:lang w:val="es-PE"/>
        </w:rPr>
        <w:t xml:space="preserve">) III.29s.; IV.20; XVI.23; XXII.97 </w:t>
      </w:r>
    </w:p>
    <w:p w14:paraId="05492B9C" w14:textId="77777777" w:rsidR="00597DE2" w:rsidRPr="005B6D62" w:rsidRDefault="00597DE2" w:rsidP="00597DE2">
      <w:pPr>
        <w:pStyle w:val="ParrafoApendice"/>
        <w:rPr>
          <w:lang w:val="es-PE"/>
        </w:rPr>
      </w:pPr>
      <w:r w:rsidRPr="005B6D62">
        <w:rPr>
          <w:lang w:val="es-PE"/>
        </w:rPr>
        <w:t>impedimento, obstáculo (</w:t>
      </w:r>
      <w:proofErr w:type="spellStart"/>
      <w:r w:rsidRPr="005B6D62">
        <w:rPr>
          <w:i/>
          <w:iCs/>
          <w:lang w:val="es-PE"/>
        </w:rPr>
        <w:t>nivaraṇa</w:t>
      </w:r>
      <w:proofErr w:type="spellEnd"/>
      <w:r w:rsidRPr="005B6D62">
        <w:rPr>
          <w:lang w:val="es-PE"/>
        </w:rPr>
        <w:t>) I.140, III.15; IV.31s., 86, 104; VI.67; VII.59; VIII.</w:t>
      </w:r>
      <w:r w:rsidRPr="005B6D62">
        <w:rPr>
          <w:color w:val="833C0B" w:themeColor="accent2" w:themeShade="80"/>
          <w:u w:color="000000"/>
          <w:lang w:val="es-PE"/>
        </w:rPr>
        <w:t>7s,</w:t>
      </w:r>
      <w:r w:rsidRPr="005B6D62">
        <w:rPr>
          <w:lang w:val="es-PE"/>
        </w:rPr>
        <w:t xml:space="preserve"> 233; IX.102; XIV.</w:t>
      </w:r>
      <w:r w:rsidRPr="005B6D62">
        <w:rPr>
          <w:color w:val="833C0B" w:themeColor="accent2" w:themeShade="80"/>
          <w:u w:color="000000"/>
          <w:lang w:val="es-PE"/>
        </w:rPr>
        <w:t>71s,</w:t>
      </w:r>
      <w:r w:rsidRPr="005B6D62">
        <w:rPr>
          <w:lang w:val="es-PE"/>
        </w:rPr>
        <w:t xml:space="preserve"> 202; </w:t>
      </w:r>
      <w:r w:rsidRPr="005B6D62">
        <w:rPr>
          <w:color w:val="833C0B" w:themeColor="accent2" w:themeShade="80"/>
          <w:u w:color="000000"/>
          <w:lang w:val="es-PE"/>
        </w:rPr>
        <w:t>XXII</w:t>
      </w:r>
      <w:r w:rsidRPr="005B6D62">
        <w:rPr>
          <w:lang w:val="es-PE"/>
        </w:rPr>
        <w:t xml:space="preserve">.57, 71 </w:t>
      </w:r>
    </w:p>
    <w:p w14:paraId="631AAFED" w14:textId="77777777" w:rsidR="00597DE2" w:rsidRPr="005B6D62" w:rsidRDefault="00597DE2" w:rsidP="00597DE2">
      <w:pPr>
        <w:pStyle w:val="ParrafoApendice"/>
        <w:rPr>
          <w:lang w:val="es-PE"/>
        </w:rPr>
      </w:pPr>
      <w:r w:rsidRPr="005B6D62">
        <w:rPr>
          <w:lang w:val="es-PE"/>
        </w:rPr>
        <w:t>imperfección (</w:t>
      </w:r>
      <w:proofErr w:type="spellStart"/>
      <w:r w:rsidRPr="005B6D62">
        <w:rPr>
          <w:i/>
          <w:iCs/>
          <w:lang w:val="es-PE"/>
        </w:rPr>
        <w:t>upakkilesa</w:t>
      </w:r>
      <w:proofErr w:type="spellEnd"/>
      <w:r w:rsidRPr="005B6D62">
        <w:rPr>
          <w:lang w:val="es-PE"/>
        </w:rPr>
        <w:t xml:space="preserve">) VIII.224; XIII.2; XX.105s.; XXI.1 </w:t>
      </w:r>
      <w:r>
        <w:rPr>
          <w:lang w:val="es-PE"/>
        </w:rPr>
        <w:br w:type="column"/>
      </w:r>
    </w:p>
    <w:p w14:paraId="11DBF00A" w14:textId="77777777" w:rsidR="00597DE2" w:rsidRPr="005B6D62" w:rsidRDefault="00597DE2" w:rsidP="00597DE2">
      <w:pPr>
        <w:pStyle w:val="ParrafoApendice"/>
        <w:rPr>
          <w:u w:color="000000"/>
          <w:lang w:val="es-PE"/>
        </w:rPr>
      </w:pPr>
      <w:r w:rsidRPr="005B6D62">
        <w:rPr>
          <w:u w:color="000000"/>
          <w:lang w:val="es-PE"/>
        </w:rPr>
        <w:t>impermanente, impermanencia (</w:t>
      </w:r>
      <w:r w:rsidRPr="005B6D62">
        <w:rPr>
          <w:i/>
          <w:iCs/>
          <w:u w:color="000000"/>
          <w:lang w:val="es-PE"/>
        </w:rPr>
        <w:t>anicca</w:t>
      </w:r>
      <w:r w:rsidRPr="005B6D62">
        <w:rPr>
          <w:u w:color="000000"/>
          <w:lang w:val="es-PE"/>
        </w:rPr>
        <w:t xml:space="preserve">) I.140; VIII.234, n.65; XI.104, </w:t>
      </w:r>
      <w:r w:rsidRPr="005B6D62">
        <w:rPr>
          <w:color w:val="833C0B" w:themeColor="accent2" w:themeShade="80"/>
          <w:u w:color="000000"/>
          <w:lang w:val="es-PE"/>
        </w:rPr>
        <w:t>n.19</w:t>
      </w:r>
      <w:r w:rsidRPr="005B6D62">
        <w:rPr>
          <w:u w:color="000000"/>
          <w:lang w:val="es-PE"/>
        </w:rPr>
        <w:t xml:space="preserve">; XII.26; XIV.3, 69, 224, 229; XVI.89, 99; XIX.26; XX </w:t>
      </w:r>
      <w:r w:rsidRPr="005B6D62">
        <w:rPr>
          <w:i/>
          <w:iCs/>
          <w:u w:color="000000"/>
          <w:lang w:val="es-PE"/>
        </w:rPr>
        <w:t>passim</w:t>
      </w:r>
      <w:r w:rsidRPr="005B6D62">
        <w:rPr>
          <w:u w:color="000000"/>
          <w:lang w:val="es-PE"/>
        </w:rPr>
        <w:t>, 47s., 85, 103, 126; XXI.3s., 10s., 33, 48, 51, 59, 68, 88, 129, n.3; XXII.22, 53; XXIII.32</w:t>
      </w:r>
    </w:p>
    <w:p w14:paraId="3D947A69" w14:textId="77777777" w:rsidR="00597DE2" w:rsidRPr="005B6D62" w:rsidRDefault="00597DE2" w:rsidP="00597DE2">
      <w:pPr>
        <w:pStyle w:val="ParrafoApendice"/>
        <w:rPr>
          <w:lang w:val="es-PE"/>
        </w:rPr>
      </w:pPr>
      <w:r w:rsidRPr="005B6D62">
        <w:rPr>
          <w:lang w:val="es-PE"/>
        </w:rPr>
        <w:t>imperturbable (</w:t>
      </w:r>
      <w:proofErr w:type="spellStart"/>
      <w:r w:rsidRPr="005B6D62">
        <w:rPr>
          <w:i/>
          <w:iCs/>
          <w:lang w:val="es-PE"/>
        </w:rPr>
        <w:t>āneñja</w:t>
      </w:r>
      <w:proofErr w:type="spellEnd"/>
      <w:r w:rsidRPr="005B6D62">
        <w:rPr>
          <w:lang w:val="es-PE"/>
        </w:rPr>
        <w:t>) X.19; XII.2s., 16, n.1; XVII.44, 60s., 252.</w:t>
      </w:r>
    </w:p>
    <w:p w14:paraId="0428F2A1" w14:textId="77777777" w:rsidR="00597DE2" w:rsidRPr="008F040A" w:rsidRDefault="00597DE2" w:rsidP="00597DE2">
      <w:pPr>
        <w:pStyle w:val="ParrafoApendice"/>
        <w:rPr>
          <w:lang w:val="es-PE"/>
        </w:rPr>
      </w:pPr>
      <w:r w:rsidRPr="008F040A">
        <w:rPr>
          <w:lang w:val="es-PE"/>
        </w:rPr>
        <w:t>im</w:t>
      </w:r>
      <w:r>
        <w:rPr>
          <w:lang w:val="es-PE"/>
        </w:rPr>
        <w:t>productivo/a</w:t>
      </w:r>
      <w:r w:rsidRPr="008F040A">
        <w:rPr>
          <w:lang w:val="es-PE"/>
        </w:rPr>
        <w:t xml:space="preserve"> (</w:t>
      </w:r>
      <w:proofErr w:type="spellStart"/>
      <w:r w:rsidRPr="008F040A">
        <w:rPr>
          <w:i/>
          <w:iCs/>
          <w:lang w:val="es-PE"/>
        </w:rPr>
        <w:t>akusala</w:t>
      </w:r>
      <w:proofErr w:type="spellEnd"/>
      <w:r w:rsidRPr="008F040A">
        <w:rPr>
          <w:lang w:val="es-PE"/>
        </w:rPr>
        <w:t>) I.42, 52; IV.85; VII.59, n.25; X.16; XIII.64; XIV.23, 89</w:t>
      </w:r>
      <w:r>
        <w:rPr>
          <w:lang w:val="es-PE"/>
        </w:rPr>
        <w:t>s</w:t>
      </w:r>
      <w:r w:rsidRPr="008F040A">
        <w:rPr>
          <w:lang w:val="es-PE"/>
        </w:rPr>
        <w:t>., 101</w:t>
      </w:r>
      <w:r>
        <w:rPr>
          <w:lang w:val="es-PE"/>
        </w:rPr>
        <w:t>s</w:t>
      </w:r>
      <w:r w:rsidRPr="008F040A">
        <w:rPr>
          <w:lang w:val="es-PE"/>
        </w:rPr>
        <w:t>., 113, 117, 126</w:t>
      </w:r>
      <w:r>
        <w:rPr>
          <w:lang w:val="es-PE"/>
        </w:rPr>
        <w:t>s</w:t>
      </w:r>
      <w:r w:rsidRPr="008F040A">
        <w:rPr>
          <w:lang w:val="es-PE"/>
        </w:rPr>
        <w:t>., 129, 132, 159</w:t>
      </w:r>
      <w:r>
        <w:rPr>
          <w:lang w:val="es-PE"/>
        </w:rPr>
        <w:t>s</w:t>
      </w:r>
      <w:r w:rsidRPr="008F040A">
        <w:rPr>
          <w:lang w:val="es-PE"/>
        </w:rPr>
        <w:t>., 179, 193, 199, 205, 209; XVI.104; XVII.120; XIX.8; XX.28, 31, 44, 124; XXII.</w:t>
      </w:r>
      <w:r w:rsidRPr="00CA2274">
        <w:rPr>
          <w:color w:val="833C0B" w:themeColor="accent2" w:themeShade="80"/>
          <w:lang w:val="es-PE"/>
        </w:rPr>
        <w:t>5</w:t>
      </w:r>
      <w:r w:rsidRPr="008F040A">
        <w:rPr>
          <w:lang w:val="es-PE"/>
        </w:rPr>
        <w:t xml:space="preserve">, 62, 75, 85 </w:t>
      </w:r>
    </w:p>
    <w:p w14:paraId="31F0ADDB" w14:textId="77777777" w:rsidR="00597DE2" w:rsidRPr="005B6D62" w:rsidRDefault="00597DE2" w:rsidP="00597DE2">
      <w:pPr>
        <w:pStyle w:val="ParrafoApendice"/>
        <w:rPr>
          <w:lang w:val="es-PE"/>
        </w:rPr>
      </w:pPr>
      <w:r w:rsidRPr="005B6D62">
        <w:rPr>
          <w:lang w:val="es-PE"/>
        </w:rPr>
        <w:t>impulsión (</w:t>
      </w:r>
      <w:proofErr w:type="spellStart"/>
      <w:r w:rsidRPr="005B6D62">
        <w:rPr>
          <w:i/>
          <w:iCs/>
          <w:lang w:val="es-PE"/>
        </w:rPr>
        <w:t>javana</w:t>
      </w:r>
      <w:proofErr w:type="spellEnd"/>
      <w:r w:rsidRPr="005B6D62">
        <w:rPr>
          <w:lang w:val="es-PE"/>
        </w:rPr>
        <w:t xml:space="preserve">) I.57, n.16; IV.33, 74s., 132, 138, n.13, n.21, </w:t>
      </w:r>
      <w:r w:rsidRPr="005B6D62">
        <w:rPr>
          <w:strike/>
          <w:color w:val="833C0B" w:themeColor="accent2" w:themeShade="80"/>
          <w:u w:color="000000"/>
          <w:lang w:val="es-PE"/>
        </w:rPr>
        <w:t>n.22</w:t>
      </w:r>
      <w:r w:rsidRPr="005B6D62">
        <w:rPr>
          <w:lang w:val="es-PE"/>
        </w:rPr>
        <w:t>; X.10; XIII.5</w:t>
      </w:r>
      <w:r w:rsidRPr="005B6D62">
        <w:rPr>
          <w:color w:val="833C0B" w:themeColor="accent2" w:themeShade="80"/>
          <w:u w:color="000000"/>
          <w:lang w:val="es-PE"/>
        </w:rPr>
        <w:t>s</w:t>
      </w:r>
      <w:r w:rsidRPr="005B6D62">
        <w:rPr>
          <w:lang w:val="es-PE"/>
        </w:rPr>
        <w:t>, 117; XIV.</w:t>
      </w:r>
      <w:r w:rsidRPr="005B6D62">
        <w:rPr>
          <w:u w:color="000000"/>
          <w:lang w:val="es-PE"/>
        </w:rPr>
        <w:t>98</w:t>
      </w:r>
      <w:r w:rsidRPr="005B6D62">
        <w:rPr>
          <w:lang w:val="es-PE"/>
        </w:rPr>
        <w:t xml:space="preserve">, 121, 152, 188, 197, n.27; XV.36s.; XVII.87, 103, 129, 136s., 293; XIX.14; XX.44; XXI.129; XXII.16, 19 </w:t>
      </w:r>
    </w:p>
    <w:p w14:paraId="794A7A34" w14:textId="77777777" w:rsidR="00597DE2" w:rsidRPr="005B6D62" w:rsidRDefault="00597DE2" w:rsidP="00597DE2">
      <w:pPr>
        <w:pStyle w:val="ParrafoApendice"/>
        <w:rPr>
          <w:lang w:val="es-PE"/>
        </w:rPr>
      </w:pPr>
      <w:r w:rsidRPr="005B6D62">
        <w:rPr>
          <w:lang w:val="es-PE"/>
        </w:rPr>
        <w:t>impurezas (</w:t>
      </w:r>
      <w:proofErr w:type="spellStart"/>
      <w:r w:rsidRPr="005B6D62">
        <w:rPr>
          <w:i/>
          <w:iCs/>
          <w:lang w:val="es-PE"/>
        </w:rPr>
        <w:t>kilesa</w:t>
      </w:r>
      <w:proofErr w:type="spellEnd"/>
      <w:r w:rsidRPr="005B6D62">
        <w:rPr>
          <w:lang w:val="es-PE"/>
        </w:rPr>
        <w:t xml:space="preserve">, </w:t>
      </w:r>
      <w:proofErr w:type="spellStart"/>
      <w:r w:rsidRPr="005B6D62">
        <w:rPr>
          <w:i/>
          <w:iCs/>
          <w:lang w:val="es-PE"/>
        </w:rPr>
        <w:t>saṅkilesa</w:t>
      </w:r>
      <w:proofErr w:type="spellEnd"/>
      <w:r w:rsidRPr="005B6D62">
        <w:rPr>
          <w:lang w:val="es-PE"/>
        </w:rPr>
        <w:t xml:space="preserve">) I.13, 54, 140; III.18, </w:t>
      </w:r>
      <w:r w:rsidRPr="005B6D62">
        <w:rPr>
          <w:strike/>
          <w:color w:val="833C0B" w:themeColor="accent2" w:themeShade="80"/>
          <w:u w:color="000000"/>
          <w:lang w:val="es-PE"/>
        </w:rPr>
        <w:t>26</w:t>
      </w:r>
      <w:r w:rsidRPr="005B6D62">
        <w:rPr>
          <w:lang w:val="es-PE"/>
        </w:rPr>
        <w:t xml:space="preserve">; IV.31, 84s.; VII.59, n.25; VIII.236; XII.17; XIV.145, 199; XVI.68; XVII.136, 140, 244, 281; XX.110; XXI.18, 41, 105, 117; XXII.7, 19s., 45, 49, 65; </w:t>
      </w:r>
      <w:r w:rsidRPr="005B6D62">
        <w:rPr>
          <w:lang w:val="es-PE"/>
        </w:rPr>
        <w:br/>
        <w:t xml:space="preserve">XXIII.2 </w:t>
      </w:r>
    </w:p>
    <w:p w14:paraId="393F2051" w14:textId="77777777" w:rsidR="00597DE2" w:rsidRPr="005B6D62" w:rsidRDefault="00597DE2" w:rsidP="00597DE2">
      <w:pPr>
        <w:pStyle w:val="ParrafoApendice"/>
        <w:rPr>
          <w:lang w:val="es-PE"/>
        </w:rPr>
      </w:pPr>
      <w:r w:rsidRPr="005B6D62">
        <w:rPr>
          <w:lang w:val="es-PE"/>
        </w:rPr>
        <w:t>incalculable (</w:t>
      </w:r>
      <w:proofErr w:type="spellStart"/>
      <w:r w:rsidRPr="005B6D62">
        <w:rPr>
          <w:i/>
          <w:iCs/>
          <w:lang w:val="es-PE"/>
        </w:rPr>
        <w:t>asaṅkheyya</w:t>
      </w:r>
      <w:proofErr w:type="spellEnd"/>
      <w:r w:rsidRPr="005B6D62">
        <w:rPr>
          <w:lang w:val="es-PE"/>
        </w:rPr>
        <w:t xml:space="preserve">) XIII.16, 29, 55 </w:t>
      </w:r>
    </w:p>
    <w:p w14:paraId="45C78DFB" w14:textId="77777777" w:rsidR="00597DE2" w:rsidRPr="00241C2E" w:rsidRDefault="00597DE2" w:rsidP="00597DE2">
      <w:pPr>
        <w:pStyle w:val="ParrafoApendice"/>
        <w:rPr>
          <w:lang w:val="es-PE"/>
        </w:rPr>
      </w:pPr>
      <w:r w:rsidRPr="00241C2E">
        <w:rPr>
          <w:lang w:val="es-PE"/>
        </w:rPr>
        <w:t>ince</w:t>
      </w:r>
      <w:r>
        <w:rPr>
          <w:lang w:val="es-PE"/>
        </w:rPr>
        <w:t>rtidumbre</w:t>
      </w:r>
      <w:r w:rsidRPr="00241C2E">
        <w:rPr>
          <w:lang w:val="es-PE"/>
        </w:rPr>
        <w:t xml:space="preserve"> (</w:t>
      </w:r>
      <w:r w:rsidRPr="00241C2E">
        <w:rPr>
          <w:i/>
          <w:iCs/>
          <w:lang w:val="es-PE"/>
        </w:rPr>
        <w:t>vicikicchā</w:t>
      </w:r>
      <w:r w:rsidRPr="00241C2E">
        <w:rPr>
          <w:lang w:val="es-PE"/>
        </w:rPr>
        <w:t>) I.140; III.95; IV.86, 104; XIV.93, 176, 177</w:t>
      </w:r>
      <w:r>
        <w:rPr>
          <w:lang w:val="es-PE"/>
        </w:rPr>
        <w:t>s</w:t>
      </w:r>
      <w:r w:rsidRPr="00241C2E">
        <w:rPr>
          <w:lang w:val="es-PE"/>
        </w:rPr>
        <w:t>.; XIX.6, 10; XXII.</w:t>
      </w:r>
      <w:r w:rsidRPr="00F9112A">
        <w:rPr>
          <w:color w:val="833C0B" w:themeColor="accent2" w:themeShade="80"/>
          <w:lang w:val="es-PE"/>
        </w:rPr>
        <w:t>49</w:t>
      </w:r>
      <w:r w:rsidRPr="00241C2E">
        <w:rPr>
          <w:lang w:val="es-PE"/>
        </w:rPr>
        <w:t xml:space="preserve">, 60 </w:t>
      </w:r>
    </w:p>
    <w:p w14:paraId="139EA5C3" w14:textId="77777777" w:rsidR="00597DE2" w:rsidRPr="00793AAA" w:rsidRDefault="00597DE2" w:rsidP="00597DE2">
      <w:pPr>
        <w:pStyle w:val="ParrafoApendice"/>
        <w:rPr>
          <w:lang w:val="es-PE"/>
        </w:rPr>
      </w:pPr>
      <w:r w:rsidRPr="00793AAA">
        <w:rPr>
          <w:lang w:val="es-PE"/>
        </w:rPr>
        <w:t>incitado, inci</w:t>
      </w:r>
      <w:r>
        <w:rPr>
          <w:lang w:val="es-PE"/>
        </w:rPr>
        <w:t xml:space="preserve">tación </w:t>
      </w:r>
      <w:r w:rsidRPr="00793AAA">
        <w:rPr>
          <w:lang w:val="es-PE"/>
        </w:rPr>
        <w:t>(</w:t>
      </w:r>
      <w:proofErr w:type="spellStart"/>
      <w:r w:rsidRPr="00793AAA">
        <w:rPr>
          <w:i/>
          <w:iCs/>
          <w:lang w:val="es-PE"/>
        </w:rPr>
        <w:t>sasaṅkhāra</w:t>
      </w:r>
      <w:proofErr w:type="spellEnd"/>
      <w:r w:rsidRPr="00793AAA">
        <w:rPr>
          <w:lang w:val="es-PE"/>
        </w:rPr>
        <w:t xml:space="preserve">) XIV.83, 90, 100, 126, 156; XVII.52, 122 </w:t>
      </w:r>
    </w:p>
    <w:p w14:paraId="4849D992" w14:textId="77777777" w:rsidR="00597DE2" w:rsidRPr="005B6D62" w:rsidRDefault="00597DE2" w:rsidP="00597DE2">
      <w:pPr>
        <w:pStyle w:val="ParrafoApendice"/>
        <w:rPr>
          <w:lang w:val="es-PE"/>
        </w:rPr>
      </w:pPr>
      <w:r w:rsidRPr="005B6D62">
        <w:rPr>
          <w:lang w:val="es-PE"/>
        </w:rPr>
        <w:t>indeterminado (</w:t>
      </w:r>
      <w:proofErr w:type="spellStart"/>
      <w:r w:rsidRPr="005B6D62">
        <w:rPr>
          <w:lang w:val="es-PE"/>
        </w:rPr>
        <w:t>avyākata</w:t>
      </w:r>
      <w:proofErr w:type="spellEnd"/>
      <w:r w:rsidRPr="005B6D62">
        <w:rPr>
          <w:lang w:val="es-PE"/>
        </w:rPr>
        <w:t xml:space="preserve">) II.78; XIV.94, 126, 129, 132, 179s., 198, 209; XVII.51 </w:t>
      </w:r>
    </w:p>
    <w:p w14:paraId="542C8490" w14:textId="77777777" w:rsidR="00597DE2" w:rsidRPr="005B6D62" w:rsidRDefault="00597DE2" w:rsidP="00597DE2">
      <w:pPr>
        <w:pStyle w:val="ParrafoApendice"/>
        <w:rPr>
          <w:lang w:val="es-PE"/>
        </w:rPr>
      </w:pPr>
      <w:r w:rsidRPr="005B6D62">
        <w:rPr>
          <w:lang w:val="es-PE"/>
        </w:rPr>
        <w:t>individualidad (</w:t>
      </w:r>
      <w:r w:rsidRPr="005B6D62">
        <w:rPr>
          <w:i/>
          <w:iCs/>
          <w:lang w:val="es-PE"/>
        </w:rPr>
        <w:t>sakkāya</w:t>
      </w:r>
      <w:r w:rsidRPr="005B6D62">
        <w:rPr>
          <w:lang w:val="es-PE"/>
        </w:rPr>
        <w:t xml:space="preserve">) IV.155, 192; XVI.85; XVII.243; XXII.48, 112; XXIII.2 </w:t>
      </w:r>
    </w:p>
    <w:p w14:paraId="4AE66FF0" w14:textId="77777777" w:rsidR="00597DE2" w:rsidRPr="005B6D62" w:rsidRDefault="00597DE2" w:rsidP="00597DE2">
      <w:pPr>
        <w:pStyle w:val="ParrafoApendice"/>
        <w:rPr>
          <w:lang w:val="es-PE"/>
        </w:rPr>
      </w:pPr>
      <w:r w:rsidRPr="005B6D62">
        <w:rPr>
          <w:lang w:val="es-PE"/>
        </w:rPr>
        <w:t>Indra XII.137; XX.</w:t>
      </w:r>
      <w:r w:rsidRPr="005B6D62">
        <w:rPr>
          <w:strike/>
          <w:color w:val="833C0B" w:themeColor="accent2" w:themeShade="80"/>
          <w:u w:color="000000"/>
          <w:lang w:val="es-PE"/>
        </w:rPr>
        <w:t>114</w:t>
      </w:r>
      <w:r w:rsidRPr="005B6D62">
        <w:rPr>
          <w:lang w:val="es-PE"/>
        </w:rPr>
        <w:t xml:space="preserve">, </w:t>
      </w:r>
      <w:r w:rsidRPr="005B6D62">
        <w:rPr>
          <w:strike/>
          <w:color w:val="833C0B" w:themeColor="accent2" w:themeShade="80"/>
          <w:u w:color="000000"/>
          <w:lang w:val="es-PE"/>
        </w:rPr>
        <w:t>121</w:t>
      </w:r>
      <w:r w:rsidRPr="005B6D62">
        <w:rPr>
          <w:lang w:val="es-PE"/>
        </w:rPr>
        <w:t xml:space="preserve"> </w:t>
      </w:r>
    </w:p>
    <w:p w14:paraId="05612C0C" w14:textId="77777777" w:rsidR="00597DE2" w:rsidRPr="005B6D62" w:rsidRDefault="00597DE2" w:rsidP="00597DE2">
      <w:pPr>
        <w:pStyle w:val="ParrafoApendice"/>
        <w:rPr>
          <w:lang w:val="es-PE"/>
        </w:rPr>
      </w:pPr>
      <w:r w:rsidRPr="005B6D62">
        <w:rPr>
          <w:lang w:val="es-PE"/>
        </w:rPr>
        <w:t>inferencia (</w:t>
      </w:r>
      <w:proofErr w:type="spellStart"/>
      <w:r w:rsidRPr="005B6D62">
        <w:rPr>
          <w:i/>
          <w:iCs/>
          <w:lang w:val="es-PE"/>
        </w:rPr>
        <w:t>anumāna</w:t>
      </w:r>
      <w:proofErr w:type="spellEnd"/>
      <w:r w:rsidRPr="005B6D62">
        <w:rPr>
          <w:lang w:val="es-PE"/>
        </w:rPr>
        <w:t xml:space="preserve">) </w:t>
      </w:r>
      <w:r w:rsidRPr="005B6D62">
        <w:rPr>
          <w:strike/>
          <w:color w:val="833C0B" w:themeColor="accent2" w:themeShade="80"/>
          <w:u w:color="000000"/>
          <w:lang w:val="es-PE"/>
        </w:rPr>
        <w:t>XII.n.7</w:t>
      </w:r>
      <w:r w:rsidRPr="005B6D62">
        <w:rPr>
          <w:lang w:val="es-PE"/>
        </w:rPr>
        <w:t xml:space="preserve">; XVII.202; XX.n.13 </w:t>
      </w:r>
    </w:p>
    <w:p w14:paraId="7BE38460" w14:textId="77777777" w:rsidR="00597DE2" w:rsidRPr="005B6D62" w:rsidRDefault="00597DE2" w:rsidP="00597DE2">
      <w:pPr>
        <w:pStyle w:val="ParrafoApendice"/>
        <w:rPr>
          <w:lang w:val="es-PE"/>
        </w:rPr>
      </w:pPr>
      <w:r w:rsidRPr="005B6D62">
        <w:rPr>
          <w:lang w:val="es-PE"/>
        </w:rPr>
        <w:t>inferior (</w:t>
      </w:r>
      <w:proofErr w:type="spellStart"/>
      <w:r w:rsidRPr="005B6D62">
        <w:rPr>
          <w:i/>
          <w:iCs/>
          <w:lang w:val="es-PE"/>
        </w:rPr>
        <w:t>hīna</w:t>
      </w:r>
      <w:proofErr w:type="spellEnd"/>
      <w:r w:rsidRPr="005B6D62">
        <w:rPr>
          <w:lang w:val="es-PE"/>
        </w:rPr>
        <w:t xml:space="preserve">) I.33; XIV.193, 208; XV.29; XVII.53, 138 </w:t>
      </w:r>
    </w:p>
    <w:p w14:paraId="625A43AB" w14:textId="77777777" w:rsidR="00597DE2" w:rsidRPr="005B6D62" w:rsidRDefault="00597DE2" w:rsidP="00597DE2">
      <w:pPr>
        <w:pStyle w:val="ParrafoApendice"/>
        <w:rPr>
          <w:lang w:val="es-PE"/>
        </w:rPr>
      </w:pPr>
      <w:r w:rsidRPr="005B6D62">
        <w:rPr>
          <w:lang w:val="es-PE"/>
        </w:rPr>
        <w:t>inferioridad (</w:t>
      </w:r>
      <w:proofErr w:type="spellStart"/>
      <w:r w:rsidRPr="005B6D62">
        <w:rPr>
          <w:i/>
          <w:iCs/>
          <w:lang w:val="es-PE"/>
        </w:rPr>
        <w:t>hīnatā</w:t>
      </w:r>
      <w:proofErr w:type="spellEnd"/>
      <w:r w:rsidRPr="005B6D62">
        <w:rPr>
          <w:lang w:val="es-PE"/>
        </w:rPr>
        <w:t xml:space="preserve">) XVII.271 </w:t>
      </w:r>
    </w:p>
    <w:p w14:paraId="3BE2ED6F" w14:textId="77777777" w:rsidR="00597DE2" w:rsidRPr="005B6D62" w:rsidRDefault="00597DE2" w:rsidP="00597DE2">
      <w:pPr>
        <w:pStyle w:val="ParrafoApendice"/>
        <w:rPr>
          <w:lang w:val="es-PE"/>
        </w:rPr>
      </w:pPr>
      <w:r w:rsidRPr="005B6D62">
        <w:rPr>
          <w:lang w:val="es-PE"/>
        </w:rPr>
        <w:t>infierno (</w:t>
      </w:r>
      <w:proofErr w:type="spellStart"/>
      <w:r w:rsidRPr="005B6D62">
        <w:rPr>
          <w:i/>
          <w:iCs/>
          <w:lang w:val="es-PE"/>
        </w:rPr>
        <w:t>niraya</w:t>
      </w:r>
      <w:proofErr w:type="spellEnd"/>
      <w:r w:rsidRPr="005B6D62">
        <w:rPr>
          <w:lang w:val="es-PE"/>
        </w:rPr>
        <w:t xml:space="preserve">) I.156; VII.n.14; IX.20, n.3; XIII.33, 79, 92; XIV.193, 207; XVII.137, 153, 178 </w:t>
      </w:r>
    </w:p>
    <w:p w14:paraId="0BBB8DE6" w14:textId="77777777" w:rsidR="00597DE2" w:rsidRPr="005B6D62" w:rsidRDefault="00597DE2" w:rsidP="00597DE2">
      <w:pPr>
        <w:pStyle w:val="ParrafoApendice"/>
        <w:rPr>
          <w:lang w:val="es-PE"/>
        </w:rPr>
      </w:pPr>
      <w:r w:rsidRPr="005B6D62">
        <w:rPr>
          <w:lang w:val="es-PE"/>
        </w:rPr>
        <w:t>inherencia (</w:t>
      </w:r>
      <w:proofErr w:type="spellStart"/>
      <w:r w:rsidRPr="005B6D62">
        <w:rPr>
          <w:i/>
          <w:iCs/>
          <w:lang w:val="es-PE"/>
        </w:rPr>
        <w:t>samavāya</w:t>
      </w:r>
      <w:proofErr w:type="spellEnd"/>
      <w:r w:rsidRPr="005B6D62">
        <w:rPr>
          <w:lang w:val="es-PE"/>
        </w:rPr>
        <w:t xml:space="preserve">) XVI.91 </w:t>
      </w:r>
    </w:p>
    <w:p w14:paraId="353F6A7A" w14:textId="77777777" w:rsidR="00597DE2" w:rsidRDefault="00597DE2" w:rsidP="00597DE2">
      <w:pPr>
        <w:pStyle w:val="ParrafoApendice"/>
        <w:rPr>
          <w:u w:color="000000"/>
          <w:lang w:val="es-PE"/>
        </w:rPr>
      </w:pPr>
      <w:r w:rsidRPr="005B6D62">
        <w:rPr>
          <w:u w:color="000000"/>
          <w:lang w:val="es-PE"/>
        </w:rPr>
        <w:t>inmaterial (</w:t>
      </w:r>
      <w:r w:rsidRPr="005B6D62">
        <w:rPr>
          <w:i/>
          <w:iCs/>
          <w:u w:color="000000"/>
          <w:lang w:val="es-PE"/>
        </w:rPr>
        <w:t>arūpa</w:t>
      </w:r>
      <w:r w:rsidRPr="005B6D62">
        <w:rPr>
          <w:u w:color="000000"/>
          <w:lang w:val="es-PE"/>
        </w:rPr>
        <w:t xml:space="preserve">) VIII.180; XIV.n.26, n.36; XVIII.8, 15; XX.43; XXI.86; </w:t>
      </w:r>
      <w:r w:rsidRPr="005B6D62">
        <w:rPr>
          <w:i/>
          <w:iCs/>
          <w:u w:color="000000"/>
          <w:lang w:val="es-PE"/>
        </w:rPr>
        <w:t>devenir i.</w:t>
      </w:r>
      <w:r w:rsidRPr="005B6D62">
        <w:rPr>
          <w:u w:color="000000"/>
          <w:lang w:val="es-PE"/>
        </w:rPr>
        <w:t xml:space="preserve"> (</w:t>
      </w:r>
      <w:proofErr w:type="spellStart"/>
      <w:r w:rsidRPr="005B6D62">
        <w:rPr>
          <w:i/>
          <w:iCs/>
          <w:u w:color="000000"/>
          <w:lang w:val="es-PE"/>
        </w:rPr>
        <w:t>arūpabhava</w:t>
      </w:r>
      <w:proofErr w:type="spellEnd"/>
      <w:r w:rsidRPr="005B6D62">
        <w:rPr>
          <w:u w:color="000000"/>
          <w:lang w:val="es-PE"/>
        </w:rPr>
        <w:t xml:space="preserve">) III.3, 23s, 118; IV.78; VII.9s.; XVII.150; XXI.34; </w:t>
      </w:r>
      <w:r w:rsidRPr="005B6D62">
        <w:rPr>
          <w:i/>
          <w:iCs/>
          <w:u w:color="000000"/>
          <w:lang w:val="es-PE"/>
        </w:rPr>
        <w:t>séptuplo i</w:t>
      </w:r>
      <w:r w:rsidRPr="005B6D62">
        <w:rPr>
          <w:u w:color="000000"/>
          <w:lang w:val="es-PE"/>
        </w:rPr>
        <w:t>. (</w:t>
      </w:r>
      <w:r w:rsidRPr="005B6D62">
        <w:rPr>
          <w:i/>
          <w:iCs/>
          <w:u w:color="000000"/>
          <w:lang w:val="es-PE"/>
        </w:rPr>
        <w:t>arūpa–</w:t>
      </w:r>
      <w:proofErr w:type="spellStart"/>
      <w:r w:rsidRPr="005B6D62">
        <w:rPr>
          <w:i/>
          <w:iCs/>
          <w:u w:color="000000"/>
          <w:lang w:val="es-PE"/>
        </w:rPr>
        <w:t>sattaka</w:t>
      </w:r>
      <w:proofErr w:type="spellEnd"/>
      <w:r w:rsidRPr="005B6D62">
        <w:rPr>
          <w:u w:color="000000"/>
          <w:lang w:val="es-PE"/>
        </w:rPr>
        <w:t xml:space="preserve">) XX.76, 126; </w:t>
      </w:r>
      <w:r w:rsidRPr="005B6D62">
        <w:rPr>
          <w:i/>
          <w:iCs/>
          <w:u w:color="000000"/>
          <w:lang w:val="es-PE"/>
        </w:rPr>
        <w:t>esfera i.</w:t>
      </w:r>
      <w:r w:rsidRPr="005B6D62">
        <w:rPr>
          <w:u w:color="000000"/>
          <w:lang w:val="es-PE"/>
        </w:rPr>
        <w:t xml:space="preserve"> (</w:t>
      </w:r>
      <w:proofErr w:type="spellStart"/>
      <w:r w:rsidRPr="005B6D62">
        <w:rPr>
          <w:i/>
          <w:iCs/>
          <w:u w:color="000000"/>
          <w:lang w:val="es-PE"/>
        </w:rPr>
        <w:t>arūpāvacara</w:t>
      </w:r>
      <w:proofErr w:type="spellEnd"/>
      <w:r w:rsidRPr="005B6D62">
        <w:rPr>
          <w:u w:color="000000"/>
          <w:lang w:val="es-PE"/>
        </w:rPr>
        <w:t xml:space="preserve">) III.13, 23; X.10; XIV.15, 87, 104, 109, 182, 206; XVI.92; XX.31; </w:t>
      </w:r>
      <w:r w:rsidRPr="005B6D62">
        <w:rPr>
          <w:i/>
          <w:iCs/>
          <w:u w:color="000000"/>
          <w:lang w:val="es-PE"/>
        </w:rPr>
        <w:t>estado i.</w:t>
      </w:r>
      <w:r w:rsidRPr="005B6D62">
        <w:rPr>
          <w:u w:color="000000"/>
          <w:lang w:val="es-PE"/>
        </w:rPr>
        <w:t xml:space="preserve"> (</w:t>
      </w:r>
      <w:proofErr w:type="spellStart"/>
      <w:r w:rsidRPr="005B6D62">
        <w:rPr>
          <w:i/>
          <w:iCs/>
          <w:u w:color="000000"/>
          <w:lang w:val="es-PE"/>
        </w:rPr>
        <w:t>āruppa</w:t>
      </w:r>
      <w:proofErr w:type="spellEnd"/>
      <w:r w:rsidRPr="005B6D62">
        <w:rPr>
          <w:u w:color="000000"/>
          <w:lang w:val="es-PE"/>
        </w:rPr>
        <w:t xml:space="preserve">) III.105; V.n.5; VII.28; XI.104; X. </w:t>
      </w:r>
      <w:r w:rsidRPr="005B6D62">
        <w:rPr>
          <w:i/>
          <w:iCs/>
          <w:u w:color="000000"/>
          <w:lang w:val="es-PE"/>
        </w:rPr>
        <w:t>passim</w:t>
      </w:r>
      <w:r w:rsidRPr="005B6D62">
        <w:rPr>
          <w:u w:color="000000"/>
          <w:lang w:val="es-PE"/>
        </w:rPr>
        <w:t xml:space="preserve">; XIV.87; </w:t>
      </w:r>
      <w:r w:rsidRPr="005B6D62">
        <w:rPr>
          <w:i/>
          <w:iCs/>
          <w:u w:color="000000"/>
          <w:lang w:val="es-PE"/>
        </w:rPr>
        <w:t>plano i.</w:t>
      </w:r>
      <w:r w:rsidRPr="005B6D62">
        <w:rPr>
          <w:u w:color="000000"/>
          <w:lang w:val="es-PE"/>
        </w:rPr>
        <w:t xml:space="preserve"> (</w:t>
      </w:r>
      <w:r w:rsidRPr="005B6D62">
        <w:rPr>
          <w:i/>
          <w:iCs/>
          <w:u w:color="000000"/>
          <w:lang w:val="es-PE"/>
        </w:rPr>
        <w:t>arūpa–loka</w:t>
      </w:r>
      <w:r w:rsidRPr="005B6D62">
        <w:rPr>
          <w:u w:color="000000"/>
          <w:lang w:val="es-PE"/>
        </w:rPr>
        <w:t xml:space="preserve">) XVI.85; XVII.134; XXIII.n.12 </w:t>
      </w:r>
      <w:r>
        <w:rPr>
          <w:u w:color="000000"/>
          <w:lang w:val="es-PE"/>
        </w:rPr>
        <w:br w:type="page"/>
      </w:r>
    </w:p>
    <w:p w14:paraId="5CE48D74" w14:textId="77777777" w:rsidR="00597DE2" w:rsidRPr="005B6D62" w:rsidRDefault="00597DE2" w:rsidP="00597DE2">
      <w:pPr>
        <w:pStyle w:val="ParrafoApendice"/>
        <w:rPr>
          <w:u w:color="000000"/>
          <w:lang w:val="es-PE"/>
        </w:rPr>
      </w:pPr>
    </w:p>
    <w:p w14:paraId="471391C1" w14:textId="77777777" w:rsidR="00597DE2" w:rsidRPr="005B6D62" w:rsidRDefault="00597DE2" w:rsidP="00597DE2">
      <w:pPr>
        <w:pStyle w:val="ParrafoApendice"/>
        <w:rPr>
          <w:lang w:val="es-PE"/>
        </w:rPr>
      </w:pPr>
      <w:r w:rsidRPr="005B6D62">
        <w:rPr>
          <w:lang w:val="es-PE"/>
        </w:rPr>
        <w:t>inmensurable, inconmensurable, infinito (</w:t>
      </w:r>
      <w:proofErr w:type="spellStart"/>
      <w:r w:rsidRPr="005B6D62">
        <w:rPr>
          <w:i/>
          <w:iCs/>
          <w:lang w:val="es-PE"/>
        </w:rPr>
        <w:t>appamāṇa</w:t>
      </w:r>
      <w:proofErr w:type="spellEnd"/>
      <w:r w:rsidRPr="005B6D62">
        <w:rPr>
          <w:lang w:val="es-PE"/>
        </w:rPr>
        <w:t xml:space="preserve">) III.5, 13, 20, 112; XIII.120; XIV.15; </w:t>
      </w:r>
      <w:r w:rsidRPr="005B6D62">
        <w:rPr>
          <w:i/>
          <w:iCs/>
          <w:lang w:val="es-PE"/>
        </w:rPr>
        <w:t>estado inmensurable</w:t>
      </w:r>
      <w:r w:rsidRPr="005B6D62">
        <w:rPr>
          <w:lang w:val="es-PE"/>
        </w:rPr>
        <w:t xml:space="preserve"> (</w:t>
      </w:r>
      <w:proofErr w:type="spellStart"/>
      <w:r w:rsidRPr="005B6D62">
        <w:rPr>
          <w:i/>
          <w:iCs/>
          <w:lang w:val="es-PE"/>
        </w:rPr>
        <w:t>appamaññā</w:t>
      </w:r>
      <w:proofErr w:type="spellEnd"/>
      <w:r w:rsidRPr="005B6D62">
        <w:rPr>
          <w:lang w:val="es-PE"/>
        </w:rPr>
        <w:t xml:space="preserve">) VII.28; IX </w:t>
      </w:r>
      <w:r w:rsidRPr="005B6D62">
        <w:rPr>
          <w:i/>
          <w:iCs/>
          <w:lang w:val="es-PE"/>
        </w:rPr>
        <w:t>passim</w:t>
      </w:r>
      <w:r w:rsidRPr="005B6D62">
        <w:rPr>
          <w:lang w:val="es-PE"/>
        </w:rPr>
        <w:t xml:space="preserve">, 105, 110; XX.9; XXIII.4 </w:t>
      </w:r>
    </w:p>
    <w:p w14:paraId="54CB6131" w14:textId="77777777" w:rsidR="00597DE2" w:rsidRPr="005B6D62" w:rsidRDefault="00597DE2" w:rsidP="00597DE2">
      <w:pPr>
        <w:pStyle w:val="ParrafoApendice"/>
        <w:rPr>
          <w:lang w:val="es-PE"/>
        </w:rPr>
      </w:pPr>
      <w:r w:rsidRPr="005B6D62">
        <w:rPr>
          <w:lang w:val="es-PE"/>
        </w:rPr>
        <w:t>inmortalidad (</w:t>
      </w:r>
      <w:r w:rsidRPr="005B6D62">
        <w:rPr>
          <w:i/>
          <w:iCs/>
          <w:lang w:val="es-PE"/>
        </w:rPr>
        <w:t>amata</w:t>
      </w:r>
      <w:r w:rsidRPr="005B6D62">
        <w:rPr>
          <w:lang w:val="es-PE"/>
        </w:rPr>
        <w:t xml:space="preserve">) XV.42; XVI.10, 15, 90; XXI.103; XXII.20 </w:t>
      </w:r>
    </w:p>
    <w:p w14:paraId="195C8AF7" w14:textId="77777777" w:rsidR="00597DE2" w:rsidRPr="005B6D62" w:rsidRDefault="00597DE2" w:rsidP="00597DE2">
      <w:pPr>
        <w:pStyle w:val="ParrafoApendice"/>
        <w:rPr>
          <w:lang w:val="es-PE"/>
        </w:rPr>
      </w:pPr>
      <w:r w:rsidRPr="005B6D62">
        <w:rPr>
          <w:lang w:val="es-PE"/>
        </w:rPr>
        <w:t>insatisfactoriedad, dolor, doloroso (</w:t>
      </w:r>
      <w:r w:rsidRPr="005B6D62">
        <w:rPr>
          <w:i/>
          <w:iCs/>
          <w:lang w:val="es-PE"/>
        </w:rPr>
        <w:t>dukkha</w:t>
      </w:r>
      <w:r w:rsidRPr="005B6D62">
        <w:rPr>
          <w:lang w:val="es-PE"/>
        </w:rPr>
        <w:t xml:space="preserve">) I.140; IV.184; IX.123; XI.104; XIV.3, 102, 127s., 200, 220; XV.28; XVI.1, 10, 31, 50, 99; XVII.2, 48; XIX.26; XX </w:t>
      </w:r>
      <w:r w:rsidRPr="005B6D62">
        <w:rPr>
          <w:i/>
          <w:iCs/>
          <w:lang w:val="es-PE"/>
        </w:rPr>
        <w:t>passim</w:t>
      </w:r>
      <w:r w:rsidRPr="005B6D62">
        <w:rPr>
          <w:lang w:val="es-PE"/>
        </w:rPr>
        <w:t xml:space="preserve">; XXI.3s., 34, 48, 51, 59, 69, 88, 129, n.3; XXII.22, 53; XXIII.32. Consultar </w:t>
      </w:r>
      <w:r w:rsidRPr="005B6D62">
        <w:rPr>
          <w:i/>
          <w:iCs/>
          <w:lang w:val="es-PE"/>
        </w:rPr>
        <w:t>también contemplación de la insatisfactoriedad y el sufrimiento</w:t>
      </w:r>
      <w:r w:rsidRPr="005B6D62">
        <w:rPr>
          <w:lang w:val="es-PE"/>
        </w:rPr>
        <w:t xml:space="preserve"> </w:t>
      </w:r>
    </w:p>
    <w:p w14:paraId="0E4BEA5E" w14:textId="77777777" w:rsidR="00597DE2" w:rsidRPr="005B6D62" w:rsidRDefault="00597DE2" w:rsidP="00597DE2">
      <w:pPr>
        <w:pStyle w:val="ParrafoApendice"/>
        <w:rPr>
          <w:lang w:val="es-PE"/>
        </w:rPr>
      </w:pPr>
      <w:r w:rsidRPr="005B6D62">
        <w:rPr>
          <w:lang w:val="es-PE"/>
        </w:rPr>
        <w:t>insistencia (</w:t>
      </w:r>
      <w:proofErr w:type="spellStart"/>
      <w:r w:rsidRPr="005B6D62">
        <w:rPr>
          <w:i/>
          <w:iCs/>
          <w:lang w:val="es-PE"/>
        </w:rPr>
        <w:t>abhinivesa</w:t>
      </w:r>
      <w:proofErr w:type="spellEnd"/>
      <w:r w:rsidRPr="005B6D62">
        <w:rPr>
          <w:lang w:val="es-PE"/>
        </w:rPr>
        <w:t xml:space="preserve">) I.140. Consultar también </w:t>
      </w:r>
      <w:r w:rsidRPr="005B6D62">
        <w:rPr>
          <w:i/>
          <w:iCs/>
          <w:lang w:val="es-PE"/>
        </w:rPr>
        <w:t>interpretar.</w:t>
      </w:r>
    </w:p>
    <w:p w14:paraId="116ADA50" w14:textId="77777777" w:rsidR="00597DE2" w:rsidRPr="009C69F6" w:rsidRDefault="00597DE2" w:rsidP="00597DE2">
      <w:pPr>
        <w:pStyle w:val="ParrafoApendice"/>
        <w:rPr>
          <w:lang w:val="es-PE"/>
        </w:rPr>
      </w:pPr>
      <w:r>
        <w:rPr>
          <w:lang w:val="es-PE"/>
        </w:rPr>
        <w:t xml:space="preserve">instructor, mentor </w:t>
      </w:r>
      <w:r w:rsidRPr="009C69F6">
        <w:rPr>
          <w:lang w:val="es-PE"/>
        </w:rPr>
        <w:t>(</w:t>
      </w:r>
      <w:proofErr w:type="spellStart"/>
      <w:r w:rsidRPr="00961A15">
        <w:rPr>
          <w:i/>
          <w:iCs/>
          <w:lang w:val="es-PE"/>
        </w:rPr>
        <w:t>sekha</w:t>
      </w:r>
      <w:proofErr w:type="spellEnd"/>
      <w:r w:rsidRPr="009C69F6">
        <w:rPr>
          <w:lang w:val="es-PE"/>
        </w:rPr>
        <w:t xml:space="preserve">) I.35, 37, 127, 131, 137; II.78; XI.121; XIV.27, 109; XVI.104; XVII.81; XXII.21; XXIII.10 </w:t>
      </w:r>
    </w:p>
    <w:p w14:paraId="4B45F173" w14:textId="77777777" w:rsidR="00597DE2" w:rsidRPr="005B6D62" w:rsidRDefault="00597DE2" w:rsidP="00597DE2">
      <w:pPr>
        <w:pStyle w:val="ParrafoApendice"/>
        <w:rPr>
          <w:lang w:val="es-PE"/>
        </w:rPr>
      </w:pPr>
      <w:r w:rsidRPr="005B6D62">
        <w:rPr>
          <w:lang w:val="es-PE"/>
        </w:rPr>
        <w:t>insulto (</w:t>
      </w:r>
      <w:proofErr w:type="spellStart"/>
      <w:r w:rsidRPr="005B6D62">
        <w:rPr>
          <w:i/>
          <w:iCs/>
          <w:lang w:val="es-PE"/>
        </w:rPr>
        <w:t>akkosa</w:t>
      </w:r>
      <w:proofErr w:type="spellEnd"/>
      <w:r w:rsidRPr="005B6D62">
        <w:rPr>
          <w:lang w:val="es-PE"/>
        </w:rPr>
        <w:t>) I.n.</w:t>
      </w:r>
      <w:r w:rsidRPr="005B6D62">
        <w:rPr>
          <w:color w:val="833C0B" w:themeColor="accent2" w:themeShade="80"/>
          <w:u w:color="000000"/>
          <w:lang w:val="es-PE"/>
        </w:rPr>
        <w:t>25</w:t>
      </w:r>
    </w:p>
    <w:p w14:paraId="554CA011" w14:textId="77777777" w:rsidR="00597DE2" w:rsidRPr="005B6D62" w:rsidRDefault="00597DE2" w:rsidP="00597DE2">
      <w:pPr>
        <w:pStyle w:val="ParrafoApendice"/>
        <w:rPr>
          <w:lang w:val="es-PE"/>
        </w:rPr>
      </w:pPr>
      <w:r w:rsidRPr="005B6D62">
        <w:rPr>
          <w:lang w:val="es-PE"/>
        </w:rPr>
        <w:t>intención (</w:t>
      </w:r>
      <w:proofErr w:type="spellStart"/>
      <w:r w:rsidRPr="005B6D62">
        <w:rPr>
          <w:i/>
          <w:iCs/>
          <w:lang w:val="es-PE"/>
        </w:rPr>
        <w:t>adhippāya</w:t>
      </w:r>
      <w:proofErr w:type="spellEnd"/>
      <w:r w:rsidRPr="005B6D62">
        <w:rPr>
          <w:lang w:val="es-PE"/>
        </w:rPr>
        <w:t xml:space="preserve">) XIV.61, n.27 </w:t>
      </w:r>
    </w:p>
    <w:p w14:paraId="77A59D77" w14:textId="77777777" w:rsidR="00597DE2" w:rsidRPr="005B6D62" w:rsidRDefault="00597DE2" w:rsidP="00597DE2">
      <w:pPr>
        <w:pStyle w:val="ParrafoApendice"/>
        <w:rPr>
          <w:lang w:val="es-PE"/>
        </w:rPr>
      </w:pPr>
      <w:r w:rsidRPr="005B6D62">
        <w:rPr>
          <w:lang w:val="es-PE"/>
        </w:rPr>
        <w:t>interés (</w:t>
      </w:r>
      <w:proofErr w:type="spellStart"/>
      <w:r w:rsidRPr="005B6D62">
        <w:rPr>
          <w:i/>
          <w:iCs/>
          <w:lang w:val="es-PE"/>
        </w:rPr>
        <w:t>vyāpāra</w:t>
      </w:r>
      <w:proofErr w:type="spellEnd"/>
      <w:r w:rsidRPr="005B6D62">
        <w:rPr>
          <w:lang w:val="es-PE"/>
        </w:rPr>
        <w:t xml:space="preserve">) XVIII.31. Consultar también </w:t>
      </w:r>
      <w:r w:rsidRPr="005B6D62">
        <w:rPr>
          <w:i/>
          <w:iCs/>
          <w:lang w:val="es-PE"/>
        </w:rPr>
        <w:t>desinterés</w:t>
      </w:r>
      <w:r w:rsidRPr="005B6D62">
        <w:rPr>
          <w:lang w:val="es-PE"/>
        </w:rPr>
        <w:t>.</w:t>
      </w:r>
    </w:p>
    <w:p w14:paraId="2796D0A6" w14:textId="77777777" w:rsidR="00597DE2" w:rsidRPr="005B6D62" w:rsidRDefault="00597DE2" w:rsidP="00597DE2">
      <w:pPr>
        <w:pStyle w:val="ParrafoApendice"/>
        <w:rPr>
          <w:lang w:val="es-PE"/>
        </w:rPr>
      </w:pPr>
      <w:r w:rsidRPr="005B6D62">
        <w:rPr>
          <w:lang w:val="es-PE"/>
        </w:rPr>
        <w:t>interno/a (</w:t>
      </w:r>
      <w:proofErr w:type="spellStart"/>
      <w:r w:rsidRPr="005B6D62">
        <w:rPr>
          <w:lang w:val="es-PE"/>
        </w:rPr>
        <w:t>ajjhatta</w:t>
      </w:r>
      <w:proofErr w:type="spellEnd"/>
      <w:r w:rsidRPr="005B6D62">
        <w:rPr>
          <w:lang w:val="es-PE"/>
        </w:rPr>
        <w:t>) IV.141; XI.</w:t>
      </w:r>
      <w:r w:rsidRPr="005B6D62">
        <w:rPr>
          <w:color w:val="833C0B" w:themeColor="accent2" w:themeShade="80"/>
          <w:u w:color="000000"/>
          <w:lang w:val="es-PE"/>
        </w:rPr>
        <w:t>31s</w:t>
      </w:r>
      <w:r w:rsidRPr="005B6D62">
        <w:rPr>
          <w:lang w:val="es-PE"/>
        </w:rPr>
        <w:t>.; XIII.105s.; XIV.</w:t>
      </w:r>
      <w:r w:rsidRPr="005B6D62">
        <w:rPr>
          <w:strike/>
          <w:color w:val="833C0B" w:themeColor="accent2" w:themeShade="80"/>
          <w:u w:color="000000"/>
          <w:lang w:val="es-PE"/>
        </w:rPr>
        <w:t>10,</w:t>
      </w:r>
      <w:r w:rsidRPr="005B6D62">
        <w:rPr>
          <w:lang w:val="es-PE"/>
        </w:rPr>
        <w:t xml:space="preserve"> 19, 73, 192, 198, 224, n.75; XXI.83s. </w:t>
      </w:r>
    </w:p>
    <w:p w14:paraId="5FCF31DE" w14:textId="77777777" w:rsidR="00597DE2" w:rsidRPr="005B6D62" w:rsidRDefault="00597DE2" w:rsidP="00597DE2">
      <w:pPr>
        <w:pStyle w:val="ParrafoApendice"/>
        <w:rPr>
          <w:lang w:val="es-PE"/>
        </w:rPr>
      </w:pPr>
      <w:r w:rsidRPr="005B6D62">
        <w:rPr>
          <w:lang w:val="es-PE"/>
        </w:rPr>
        <w:t>interpretación (</w:t>
      </w:r>
      <w:proofErr w:type="spellStart"/>
      <w:r w:rsidRPr="005B6D62">
        <w:rPr>
          <w:i/>
          <w:iCs/>
          <w:lang w:val="es-PE"/>
        </w:rPr>
        <w:t>abhinivesa</w:t>
      </w:r>
      <w:proofErr w:type="spellEnd"/>
      <w:r w:rsidRPr="005B6D62">
        <w:rPr>
          <w:lang w:val="es-PE"/>
        </w:rPr>
        <w:t xml:space="preserve">) I.140, n.14; XIII.10; XIV.8, 19s, 130, 164, 228, n.6; XVII.244; XX.90; XXI.73, 83s.; XXII.54, 113, 118, 120. Consultar también malinterpretación &amp; insistencia </w:t>
      </w:r>
    </w:p>
    <w:p w14:paraId="2AB8E904" w14:textId="77777777" w:rsidR="00597DE2" w:rsidRPr="005B6D62" w:rsidRDefault="00597DE2" w:rsidP="00597DE2">
      <w:pPr>
        <w:pStyle w:val="ParrafoApendice"/>
        <w:rPr>
          <w:i/>
          <w:iCs/>
          <w:lang w:val="es-PE"/>
        </w:rPr>
      </w:pPr>
      <w:r w:rsidRPr="005B6D62">
        <w:rPr>
          <w:lang w:val="es-PE"/>
        </w:rPr>
        <w:t>interpretación incorrecta (</w:t>
      </w:r>
      <w:proofErr w:type="spellStart"/>
      <w:r w:rsidRPr="005B6D62">
        <w:rPr>
          <w:i/>
          <w:iCs/>
          <w:lang w:val="es-PE"/>
        </w:rPr>
        <w:t>abhinivesa</w:t>
      </w:r>
      <w:proofErr w:type="spellEnd"/>
      <w:r w:rsidRPr="005B6D62">
        <w:rPr>
          <w:lang w:val="es-PE"/>
        </w:rPr>
        <w:t xml:space="preserve">), ver </w:t>
      </w:r>
      <w:r w:rsidRPr="005B6D62">
        <w:rPr>
          <w:i/>
          <w:iCs/>
          <w:lang w:val="es-PE"/>
        </w:rPr>
        <w:t>interpretación</w:t>
      </w:r>
    </w:p>
    <w:p w14:paraId="12D0105A" w14:textId="77777777" w:rsidR="00597DE2" w:rsidRPr="005B6D62" w:rsidRDefault="00597DE2" w:rsidP="00597DE2">
      <w:pPr>
        <w:pStyle w:val="ParrafoApendice"/>
        <w:rPr>
          <w:lang w:val="es-PE"/>
        </w:rPr>
      </w:pPr>
      <w:r w:rsidRPr="005B6D62">
        <w:rPr>
          <w:lang w:val="es-PE"/>
        </w:rPr>
        <w:t>intervención (</w:t>
      </w:r>
      <w:proofErr w:type="spellStart"/>
      <w:r w:rsidRPr="005B6D62">
        <w:rPr>
          <w:i/>
          <w:iCs/>
          <w:lang w:val="es-PE"/>
        </w:rPr>
        <w:t>vipphāra</w:t>
      </w:r>
      <w:proofErr w:type="spellEnd"/>
      <w:r w:rsidRPr="005B6D62">
        <w:rPr>
          <w:lang w:val="es-PE"/>
        </w:rPr>
        <w:t xml:space="preserve">) IV.89; XII.27; XIV.132, n.58 </w:t>
      </w:r>
    </w:p>
    <w:p w14:paraId="531014A0" w14:textId="77777777" w:rsidR="00597DE2" w:rsidRPr="005B6D62" w:rsidRDefault="00597DE2" w:rsidP="00597DE2">
      <w:pPr>
        <w:pStyle w:val="ParrafoApendice"/>
        <w:rPr>
          <w:lang w:val="es-PE"/>
        </w:rPr>
      </w:pPr>
      <w:r w:rsidRPr="005B6D62">
        <w:rPr>
          <w:lang w:val="es-PE"/>
        </w:rPr>
        <w:t>intimación (</w:t>
      </w:r>
      <w:proofErr w:type="spellStart"/>
      <w:r w:rsidRPr="005B6D62">
        <w:rPr>
          <w:i/>
          <w:iCs/>
          <w:lang w:val="es-PE"/>
        </w:rPr>
        <w:t>viññatti</w:t>
      </w:r>
      <w:proofErr w:type="spellEnd"/>
      <w:r w:rsidRPr="005B6D62">
        <w:rPr>
          <w:lang w:val="es-PE"/>
        </w:rPr>
        <w:t xml:space="preserve">) I.n.16; XI.107; XIV.61s., 79, n.27, n.33; XVII.61; XX.31 </w:t>
      </w:r>
    </w:p>
    <w:p w14:paraId="2AF4265A" w14:textId="77777777" w:rsidR="00597DE2" w:rsidRPr="005B6D62" w:rsidRDefault="00597DE2" w:rsidP="00597DE2">
      <w:pPr>
        <w:pStyle w:val="ParrafoApendice"/>
        <w:rPr>
          <w:lang w:val="es-PE"/>
        </w:rPr>
      </w:pPr>
      <w:r w:rsidRPr="005B6D62">
        <w:rPr>
          <w:lang w:val="es-PE"/>
        </w:rPr>
        <w:t>investigación (</w:t>
      </w:r>
      <w:proofErr w:type="spellStart"/>
      <w:r w:rsidRPr="005B6D62">
        <w:rPr>
          <w:i/>
          <w:iCs/>
          <w:lang w:val="es-PE"/>
        </w:rPr>
        <w:t>santīraṇa</w:t>
      </w:r>
      <w:proofErr w:type="spellEnd"/>
      <w:r w:rsidRPr="005B6D62">
        <w:rPr>
          <w:lang w:val="es-PE"/>
        </w:rPr>
        <w:t xml:space="preserve">) I.57; XIV.97s., 119; XV.36; XVII.129; XX.44 </w:t>
      </w:r>
    </w:p>
    <w:p w14:paraId="73701792" w14:textId="77777777" w:rsidR="00597DE2" w:rsidRPr="005B6D62" w:rsidRDefault="00597DE2" w:rsidP="00597DE2">
      <w:pPr>
        <w:pStyle w:val="ParrafoApendice"/>
        <w:rPr>
          <w:lang w:val="es-PE"/>
        </w:rPr>
      </w:pPr>
      <w:r w:rsidRPr="005B6D62">
        <w:rPr>
          <w:lang w:val="es-PE"/>
        </w:rPr>
        <w:t>investigación (</w:t>
      </w:r>
      <w:proofErr w:type="spellStart"/>
      <w:r w:rsidRPr="005B6D62">
        <w:rPr>
          <w:i/>
          <w:iCs/>
          <w:lang w:val="es-PE"/>
        </w:rPr>
        <w:t>vīmaṃsā</w:t>
      </w:r>
      <w:proofErr w:type="spellEnd"/>
      <w:r w:rsidRPr="005B6D62">
        <w:rPr>
          <w:lang w:val="es-PE"/>
        </w:rPr>
        <w:t xml:space="preserve">) I.33; II.24; XII.12, 50; XVI.86; XVII.72; XXII.36 </w:t>
      </w:r>
    </w:p>
    <w:p w14:paraId="2E4523D1" w14:textId="77777777" w:rsidR="00597DE2" w:rsidRPr="005B6D62" w:rsidRDefault="00597DE2" w:rsidP="00597DE2">
      <w:pPr>
        <w:pStyle w:val="ParrafoApendice"/>
        <w:rPr>
          <w:lang w:val="es-PE"/>
        </w:rPr>
      </w:pPr>
      <w:r w:rsidRPr="005B6D62">
        <w:rPr>
          <w:lang w:val="es-PE"/>
        </w:rPr>
        <w:t>investigación–de–los–estados (</w:t>
      </w:r>
      <w:proofErr w:type="spellStart"/>
      <w:r w:rsidRPr="005B6D62">
        <w:rPr>
          <w:i/>
          <w:iCs/>
          <w:lang w:val="es-PE"/>
        </w:rPr>
        <w:t>dhammavicaya</w:t>
      </w:r>
      <w:proofErr w:type="spellEnd"/>
      <w:r w:rsidRPr="005B6D62">
        <w:rPr>
          <w:lang w:val="es-PE"/>
        </w:rPr>
        <w:t>) IV.51; XVI.86</w:t>
      </w:r>
    </w:p>
    <w:p w14:paraId="2D7BD26F" w14:textId="77777777" w:rsidR="00597DE2" w:rsidRPr="005B6D62" w:rsidRDefault="00597DE2" w:rsidP="00597DE2">
      <w:pPr>
        <w:pStyle w:val="ParrafoApendice"/>
        <w:rPr>
          <w:lang w:val="es-PE"/>
        </w:rPr>
      </w:pPr>
      <w:r w:rsidRPr="005B6D62">
        <w:rPr>
          <w:lang w:val="es-PE"/>
        </w:rPr>
        <w:t>ir y regresar con el objeto de meditación (</w:t>
      </w:r>
      <w:proofErr w:type="spellStart"/>
      <w:r w:rsidRPr="005B6D62">
        <w:rPr>
          <w:i/>
          <w:iCs/>
          <w:lang w:val="es-PE"/>
        </w:rPr>
        <w:t>gatapaccāgata</w:t>
      </w:r>
      <w:proofErr w:type="spellEnd"/>
      <w:r w:rsidRPr="005B6D62">
        <w:rPr>
          <w:lang w:val="es-PE"/>
        </w:rPr>
        <w:t>) XIV.28</w:t>
      </w:r>
    </w:p>
    <w:p w14:paraId="0244A712" w14:textId="77777777" w:rsidR="00597DE2" w:rsidRPr="005B6D62" w:rsidRDefault="00597DE2" w:rsidP="00597DE2">
      <w:pPr>
        <w:pStyle w:val="ParrafoApendice"/>
        <w:rPr>
          <w:u w:color="000000"/>
          <w:lang w:val="es-PE"/>
        </w:rPr>
      </w:pPr>
      <w:r w:rsidRPr="005B6D62">
        <w:rPr>
          <w:u w:color="000000"/>
          <w:lang w:val="es-PE"/>
        </w:rPr>
        <w:t>ira (</w:t>
      </w:r>
      <w:proofErr w:type="spellStart"/>
      <w:r w:rsidRPr="005B6D62">
        <w:rPr>
          <w:i/>
          <w:iCs/>
          <w:u w:color="000000"/>
          <w:lang w:val="es-PE"/>
        </w:rPr>
        <w:t>kodha</w:t>
      </w:r>
      <w:proofErr w:type="spellEnd"/>
      <w:r w:rsidRPr="005B6D62">
        <w:rPr>
          <w:u w:color="000000"/>
          <w:lang w:val="es-PE"/>
        </w:rPr>
        <w:t>) I.151; III.95; VII.59, 103, n.25; IX.15</w:t>
      </w:r>
    </w:p>
    <w:p w14:paraId="1ECA209A" w14:textId="77777777" w:rsidR="00597DE2" w:rsidRPr="005B6D62" w:rsidRDefault="00597DE2" w:rsidP="00597DE2">
      <w:pPr>
        <w:pStyle w:val="ParrafoApendice"/>
        <w:rPr>
          <w:lang w:val="es-PE"/>
        </w:rPr>
      </w:pPr>
      <w:proofErr w:type="spellStart"/>
      <w:r w:rsidRPr="005B6D62">
        <w:rPr>
          <w:lang w:val="es-PE"/>
        </w:rPr>
        <w:t>Īsadharapabbata</w:t>
      </w:r>
      <w:proofErr w:type="spellEnd"/>
      <w:r w:rsidRPr="005B6D62">
        <w:rPr>
          <w:lang w:val="es-PE"/>
        </w:rPr>
        <w:t xml:space="preserve"> VII.42</w:t>
      </w:r>
    </w:p>
    <w:p w14:paraId="4B517D3A" w14:textId="77777777" w:rsidR="00597DE2" w:rsidRPr="005B6D62" w:rsidRDefault="00597DE2" w:rsidP="00597DE2">
      <w:pPr>
        <w:pStyle w:val="ParrafoApendice"/>
        <w:rPr>
          <w:lang w:val="es-PE"/>
        </w:rPr>
      </w:pPr>
      <w:proofErr w:type="spellStart"/>
      <w:r w:rsidRPr="005B6D62">
        <w:rPr>
          <w:lang w:val="es-PE"/>
        </w:rPr>
        <w:t>Jambu</w:t>
      </w:r>
      <w:proofErr w:type="spellEnd"/>
      <w:r w:rsidRPr="005B6D62">
        <w:rPr>
          <w:lang w:val="es-PE"/>
        </w:rPr>
        <w:t xml:space="preserve"> (</w:t>
      </w:r>
      <w:r w:rsidRPr="005B6D62">
        <w:rPr>
          <w:i/>
          <w:iCs/>
          <w:lang w:val="es-PE"/>
        </w:rPr>
        <w:t>manzano–pomarrosa</w:t>
      </w:r>
      <w:r w:rsidRPr="005B6D62">
        <w:rPr>
          <w:lang w:val="es-PE"/>
        </w:rPr>
        <w:t xml:space="preserve">) Río </w:t>
      </w:r>
      <w:proofErr w:type="spellStart"/>
      <w:r w:rsidRPr="005B6D62">
        <w:rPr>
          <w:lang w:val="es-PE"/>
        </w:rPr>
        <w:t>Jambu</w:t>
      </w:r>
      <w:proofErr w:type="spellEnd"/>
      <w:r w:rsidRPr="005B6D62">
        <w:rPr>
          <w:lang w:val="es-PE"/>
        </w:rPr>
        <w:t xml:space="preserve"> I.n.37 </w:t>
      </w:r>
    </w:p>
    <w:p w14:paraId="103DFD47" w14:textId="77777777" w:rsidR="00597DE2" w:rsidRPr="002C102E" w:rsidRDefault="00597DE2" w:rsidP="00597DE2">
      <w:pPr>
        <w:pStyle w:val="ParrafoApendice"/>
      </w:pPr>
      <w:proofErr w:type="spellStart"/>
      <w:r w:rsidRPr="002C102E">
        <w:t>Jambudīpa</w:t>
      </w:r>
      <w:proofErr w:type="spellEnd"/>
      <w:r w:rsidRPr="002C102E">
        <w:t xml:space="preserve"> (India) V.2; VII.23, 42, 44; XII.</w:t>
      </w:r>
      <w:r w:rsidRPr="002C102E">
        <w:rPr>
          <w:color w:val="833C0B" w:themeColor="accent2" w:themeShade="80"/>
          <w:u w:color="000000"/>
        </w:rPr>
        <w:t>42s</w:t>
      </w:r>
      <w:r w:rsidRPr="002C102E">
        <w:t>, 75; XX.n.1</w:t>
      </w:r>
      <w:r>
        <w:br w:type="column"/>
      </w:r>
    </w:p>
    <w:p w14:paraId="352A5327" w14:textId="77777777" w:rsidR="00597DE2" w:rsidRPr="006D0608" w:rsidRDefault="00597DE2" w:rsidP="00597DE2">
      <w:pPr>
        <w:pStyle w:val="ParrafoApendice"/>
      </w:pPr>
      <w:proofErr w:type="spellStart"/>
      <w:r w:rsidRPr="006D0608">
        <w:t>Jaṭilaka</w:t>
      </w:r>
      <w:proofErr w:type="spellEnd"/>
      <w:r w:rsidRPr="006D0608">
        <w:t xml:space="preserve"> VIII.18; XII.40 </w:t>
      </w:r>
    </w:p>
    <w:p w14:paraId="33C4C826" w14:textId="77777777" w:rsidR="00597DE2" w:rsidRPr="006D0608" w:rsidRDefault="00597DE2" w:rsidP="00597DE2">
      <w:pPr>
        <w:pStyle w:val="ParrafoApendice"/>
      </w:pPr>
      <w:proofErr w:type="spellStart"/>
      <w:r w:rsidRPr="006D0608">
        <w:t>jhāna</w:t>
      </w:r>
      <w:proofErr w:type="spellEnd"/>
      <w:r w:rsidRPr="006D0608">
        <w:t xml:space="preserve"> (</w:t>
      </w:r>
      <w:proofErr w:type="spellStart"/>
      <w:r w:rsidRPr="006D0608">
        <w:rPr>
          <w:i/>
          <w:iCs/>
        </w:rPr>
        <w:t>jhāna</w:t>
      </w:r>
      <w:proofErr w:type="spellEnd"/>
      <w:r w:rsidRPr="006D0608">
        <w:t xml:space="preserve">) I.6, 140; III.5, 8, 11, 21, 107; IV.78, 79s.; VIII.141s., 179, 227, 233, 241; IX.90; X </w:t>
      </w:r>
      <w:r w:rsidRPr="006D0608">
        <w:rPr>
          <w:i/>
          <w:iCs/>
        </w:rPr>
        <w:t>passim</w:t>
      </w:r>
      <w:r w:rsidRPr="006D0608">
        <w:t xml:space="preserve">; XII.2s., 130; XIII.5s., 35; XIV.12, 86s., 127, 158, 206; XVII.66, 92, 143; XVIII.3; XX.9; XXI.75, 111, 116; XXIII.11, 21, 26, 29; </w:t>
      </w:r>
      <w:r w:rsidRPr="006D0608">
        <w:rPr>
          <w:i/>
          <w:iCs/>
        </w:rPr>
        <w:t xml:space="preserve">factor </w:t>
      </w:r>
      <w:proofErr w:type="spellStart"/>
      <w:r w:rsidRPr="006D0608">
        <w:rPr>
          <w:i/>
          <w:iCs/>
        </w:rPr>
        <w:t>jhānico</w:t>
      </w:r>
      <w:proofErr w:type="spellEnd"/>
      <w:r w:rsidRPr="006D0608">
        <w:t xml:space="preserve"> (</w:t>
      </w:r>
      <w:proofErr w:type="spellStart"/>
      <w:r w:rsidRPr="006D0608">
        <w:rPr>
          <w:i/>
          <w:iCs/>
        </w:rPr>
        <w:t>jhānaṅga</w:t>
      </w:r>
      <w:proofErr w:type="spellEnd"/>
      <w:r w:rsidRPr="006D0608">
        <w:t>) III.5, 21, 25; IV.32, 86, 132; VI.67; VII.28; XII.7; XIV.86; XVIII.3; XXI.113s.</w:t>
      </w:r>
    </w:p>
    <w:p w14:paraId="1F3F3080" w14:textId="77777777" w:rsidR="00597DE2" w:rsidRPr="006D0608" w:rsidRDefault="00597DE2" w:rsidP="00597DE2">
      <w:pPr>
        <w:pStyle w:val="ParrafoApendice"/>
      </w:pPr>
      <w:proofErr w:type="spellStart"/>
      <w:r w:rsidRPr="006D0608">
        <w:t>Jīvaka</w:t>
      </w:r>
      <w:proofErr w:type="spellEnd"/>
      <w:r w:rsidRPr="006D0608">
        <w:t xml:space="preserve"> XII.61</w:t>
      </w:r>
    </w:p>
    <w:p w14:paraId="5634580B" w14:textId="77777777" w:rsidR="00597DE2" w:rsidRPr="006D0608" w:rsidRDefault="00597DE2" w:rsidP="00597DE2">
      <w:pPr>
        <w:pStyle w:val="ParrafoApendice"/>
      </w:pPr>
      <w:r w:rsidRPr="006D0608">
        <w:t xml:space="preserve">Jotika VIII.18; XII.40 </w:t>
      </w:r>
    </w:p>
    <w:p w14:paraId="31228B05" w14:textId="77777777" w:rsidR="00597DE2" w:rsidRPr="006D0608" w:rsidRDefault="00597DE2" w:rsidP="00597DE2">
      <w:pPr>
        <w:pStyle w:val="ParrafoApendice"/>
      </w:pPr>
      <w:proofErr w:type="spellStart"/>
      <w:r w:rsidRPr="006D0608">
        <w:t>Kaccāna</w:t>
      </w:r>
      <w:proofErr w:type="spellEnd"/>
      <w:r w:rsidRPr="006D0608">
        <w:t xml:space="preserve"> Thera, Mahā XXII.83</w:t>
      </w:r>
    </w:p>
    <w:p w14:paraId="153BFD4F" w14:textId="77777777" w:rsidR="00597DE2" w:rsidRPr="006D0608" w:rsidRDefault="00597DE2" w:rsidP="00597DE2">
      <w:pPr>
        <w:pStyle w:val="ParrafoApendice"/>
      </w:pPr>
      <w:r w:rsidRPr="006D0608">
        <w:t>Kadamba, árbol VII.43</w:t>
      </w:r>
    </w:p>
    <w:p w14:paraId="397185E8" w14:textId="77777777" w:rsidR="00597DE2" w:rsidRPr="006D0608" w:rsidRDefault="00597DE2" w:rsidP="00597DE2">
      <w:pPr>
        <w:pStyle w:val="ParrafoApendice"/>
      </w:pPr>
      <w:proofErr w:type="spellStart"/>
      <w:r w:rsidRPr="006D0608">
        <w:t>Kākavaḷiya</w:t>
      </w:r>
      <w:proofErr w:type="spellEnd"/>
      <w:r w:rsidRPr="006D0608">
        <w:t xml:space="preserve"> XII.127</w:t>
      </w:r>
    </w:p>
    <w:p w14:paraId="532AF6B0" w14:textId="77777777" w:rsidR="00597DE2" w:rsidRPr="006D0608" w:rsidRDefault="00597DE2" w:rsidP="00597DE2">
      <w:pPr>
        <w:pStyle w:val="ParrafoApendice"/>
      </w:pPr>
      <w:proofErr w:type="spellStart"/>
      <w:r w:rsidRPr="006D0608">
        <w:t>Kāḷadīghavāpi</w:t>
      </w:r>
      <w:proofErr w:type="spellEnd"/>
      <w:r w:rsidRPr="006D0608">
        <w:t xml:space="preserve"> VI.77</w:t>
      </w:r>
    </w:p>
    <w:p w14:paraId="32469CDF" w14:textId="77777777" w:rsidR="00597DE2" w:rsidRPr="006D0608" w:rsidRDefault="00597DE2" w:rsidP="00597DE2">
      <w:pPr>
        <w:pStyle w:val="ParrafoApendice"/>
      </w:pPr>
      <w:proofErr w:type="spellStart"/>
      <w:r w:rsidRPr="006D0608">
        <w:t>Kalyāṇagāma</w:t>
      </w:r>
      <w:proofErr w:type="spellEnd"/>
      <w:r w:rsidRPr="006D0608">
        <w:t xml:space="preserve"> XXII.89 </w:t>
      </w:r>
    </w:p>
    <w:p w14:paraId="59FCF62B" w14:textId="77777777" w:rsidR="00597DE2" w:rsidRPr="006D0608" w:rsidRDefault="00597DE2" w:rsidP="00597DE2">
      <w:pPr>
        <w:pStyle w:val="ParrafoApendice"/>
      </w:pPr>
      <w:proofErr w:type="spellStart"/>
      <w:r w:rsidRPr="006D0608">
        <w:t>Kambojā</w:t>
      </w:r>
      <w:proofErr w:type="spellEnd"/>
      <w:r w:rsidRPr="006D0608">
        <w:t xml:space="preserve"> X.28</w:t>
      </w:r>
    </w:p>
    <w:p w14:paraId="587CC3AF" w14:textId="77777777" w:rsidR="00597DE2" w:rsidRPr="005B6D62" w:rsidRDefault="00597DE2" w:rsidP="00597DE2">
      <w:pPr>
        <w:pStyle w:val="ParrafoApendice"/>
        <w:rPr>
          <w:lang w:val="es-PE"/>
        </w:rPr>
      </w:pPr>
      <w:proofErr w:type="spellStart"/>
      <w:r w:rsidRPr="006D0608">
        <w:t>kamma</w:t>
      </w:r>
      <w:proofErr w:type="spellEnd"/>
      <w:r w:rsidRPr="006D0608">
        <w:t xml:space="preserve"> (</w:t>
      </w:r>
      <w:proofErr w:type="spellStart"/>
      <w:r w:rsidRPr="006D0608">
        <w:rPr>
          <w:i/>
          <w:iCs/>
        </w:rPr>
        <w:t>kamma</w:t>
      </w:r>
      <w:proofErr w:type="spellEnd"/>
      <w:r w:rsidRPr="006D0608">
        <w:t>) I.6s., 155, n.9; III.</w:t>
      </w:r>
      <w:r w:rsidRPr="006D0608">
        <w:rPr>
          <w:color w:val="833C0B" w:themeColor="accent2" w:themeShade="80"/>
          <w:u w:color="000000"/>
        </w:rPr>
        <w:t>45s.</w:t>
      </w:r>
      <w:r w:rsidRPr="006D0608">
        <w:t>, 83s.; V.40s., n.6; VII.16s.; VIII.2s., 3; IX.23, 96; XI.111; XII.n.12; XIII.2, 35, 73, 78; XIV.37s., 45</w:t>
      </w:r>
      <w:r w:rsidRPr="006D0608">
        <w:rPr>
          <w:color w:val="833C0B" w:themeColor="accent2" w:themeShade="80"/>
          <w:u w:color="000000"/>
        </w:rPr>
        <w:t>s.</w:t>
      </w:r>
      <w:r w:rsidRPr="006D0608">
        <w:t xml:space="preserve">, 74s., 111s., 122, 188, 220, n.14, n.21, n.40, n.74; XVI.5; XVII.38s., 45, 51, 66, 88, 136, 139, 174, 250; XIX.4, 8s., 13s.; XX.22, 27s., 43, 97; XXI.38; XXII.48, 81, 85, 88; </w:t>
      </w:r>
      <w:proofErr w:type="spellStart"/>
      <w:r w:rsidRPr="006D0608">
        <w:rPr>
          <w:i/>
          <w:iCs/>
        </w:rPr>
        <w:t>nacido</w:t>
      </w:r>
      <w:proofErr w:type="spellEnd"/>
      <w:r w:rsidRPr="006D0608">
        <w:rPr>
          <w:i/>
          <w:iCs/>
        </w:rPr>
        <w:t>/a del k</w:t>
      </w:r>
      <w:r w:rsidRPr="006D0608">
        <w:t>. (</w:t>
      </w:r>
      <w:proofErr w:type="spellStart"/>
      <w:r w:rsidRPr="006D0608">
        <w:rPr>
          <w:i/>
          <w:iCs/>
        </w:rPr>
        <w:t>kamma</w:t>
      </w:r>
      <w:proofErr w:type="spellEnd"/>
      <w:r w:rsidRPr="006D0608">
        <w:rPr>
          <w:i/>
          <w:iCs/>
        </w:rPr>
        <w:t>–ja</w:t>
      </w:r>
      <w:r w:rsidRPr="006D0608">
        <w:t>) X.</w:t>
      </w:r>
      <w:r w:rsidRPr="006D0608">
        <w:rPr>
          <w:strike/>
          <w:color w:val="833C0B" w:themeColor="accent2" w:themeShade="80"/>
          <w:u w:color="000000"/>
        </w:rPr>
        <w:t>2</w:t>
      </w:r>
      <w:r w:rsidRPr="006D0608">
        <w:t xml:space="preserve">; XIV.74; XVII.196; XX.27s., 70; </w:t>
      </w:r>
      <w:proofErr w:type="spellStart"/>
      <w:r w:rsidRPr="006D0608">
        <w:rPr>
          <w:i/>
          <w:iCs/>
        </w:rPr>
        <w:t>originado</w:t>
      </w:r>
      <w:proofErr w:type="spellEnd"/>
      <w:r w:rsidRPr="006D0608">
        <w:rPr>
          <w:i/>
          <w:iCs/>
        </w:rPr>
        <w:t xml:space="preserve">/a </w:t>
      </w:r>
      <w:proofErr w:type="spellStart"/>
      <w:r w:rsidRPr="006D0608">
        <w:rPr>
          <w:i/>
          <w:iCs/>
        </w:rPr>
        <w:t>por</w:t>
      </w:r>
      <w:proofErr w:type="spellEnd"/>
      <w:r w:rsidRPr="006D0608">
        <w:rPr>
          <w:i/>
          <w:iCs/>
        </w:rPr>
        <w:t xml:space="preserve"> </w:t>
      </w:r>
      <w:proofErr w:type="spellStart"/>
      <w:r w:rsidRPr="006D0608">
        <w:rPr>
          <w:i/>
          <w:iCs/>
        </w:rPr>
        <w:t>el</w:t>
      </w:r>
      <w:proofErr w:type="spellEnd"/>
      <w:r w:rsidRPr="006D0608">
        <w:rPr>
          <w:i/>
          <w:iCs/>
        </w:rPr>
        <w:t xml:space="preserve"> k</w:t>
      </w:r>
      <w:r w:rsidRPr="006D0608">
        <w:t>. (</w:t>
      </w:r>
      <w:proofErr w:type="spellStart"/>
      <w:r w:rsidRPr="006D0608">
        <w:rPr>
          <w:i/>
          <w:iCs/>
        </w:rPr>
        <w:t>kammasamuṭṭhāna</w:t>
      </w:r>
      <w:proofErr w:type="spellEnd"/>
      <w:r w:rsidRPr="006D0608">
        <w:t xml:space="preserve">) XI.35, 88, 94, 111; XIV.188; XVII.194, 199, 202; XVIII.5, 22; XIX.9, 27s.; </w:t>
      </w:r>
      <w:r w:rsidRPr="006D0608">
        <w:rPr>
          <w:i/>
          <w:iCs/>
        </w:rPr>
        <w:t xml:space="preserve">k. </w:t>
      </w:r>
      <w:proofErr w:type="spellStart"/>
      <w:r w:rsidRPr="006D0608">
        <w:rPr>
          <w:i/>
          <w:iCs/>
        </w:rPr>
        <w:t>cometido</w:t>
      </w:r>
      <w:proofErr w:type="spellEnd"/>
      <w:r w:rsidRPr="006D0608">
        <w:t xml:space="preserve"> (</w:t>
      </w:r>
      <w:proofErr w:type="spellStart"/>
      <w:r w:rsidRPr="006D0608">
        <w:rPr>
          <w:i/>
          <w:iCs/>
        </w:rPr>
        <w:t>kaṭatta</w:t>
      </w:r>
      <w:proofErr w:type="spellEnd"/>
      <w:r w:rsidRPr="006D0608">
        <w:t xml:space="preserve">) XVII.89, 122, 174; </w:t>
      </w:r>
      <w:proofErr w:type="spellStart"/>
      <w:r w:rsidRPr="006D0608">
        <w:rPr>
          <w:i/>
          <w:iCs/>
        </w:rPr>
        <w:t>devenir</w:t>
      </w:r>
      <w:proofErr w:type="spellEnd"/>
      <w:r w:rsidRPr="006D0608">
        <w:rPr>
          <w:i/>
          <w:iCs/>
        </w:rPr>
        <w:t xml:space="preserve"> del </w:t>
      </w:r>
      <w:proofErr w:type="spellStart"/>
      <w:r w:rsidRPr="006D0608">
        <w:rPr>
          <w:i/>
          <w:iCs/>
        </w:rPr>
        <w:t>proceso</w:t>
      </w:r>
      <w:proofErr w:type="spellEnd"/>
      <w:r w:rsidRPr="006D0608">
        <w:rPr>
          <w:i/>
          <w:iCs/>
        </w:rPr>
        <w:t xml:space="preserve"> </w:t>
      </w:r>
      <w:proofErr w:type="spellStart"/>
      <w:r w:rsidRPr="006D0608">
        <w:rPr>
          <w:i/>
          <w:iCs/>
        </w:rPr>
        <w:t>kammico</w:t>
      </w:r>
      <w:proofErr w:type="spellEnd"/>
      <w:r w:rsidRPr="006D0608">
        <w:t xml:space="preserve">  (</w:t>
      </w:r>
      <w:proofErr w:type="spellStart"/>
      <w:r w:rsidRPr="006D0608">
        <w:rPr>
          <w:i/>
          <w:iCs/>
        </w:rPr>
        <w:t>kamma</w:t>
      </w:r>
      <w:proofErr w:type="spellEnd"/>
      <w:r w:rsidRPr="006D0608">
        <w:rPr>
          <w:i/>
          <w:iCs/>
        </w:rPr>
        <w:t>–bhava</w:t>
      </w:r>
      <w:r w:rsidRPr="006D0608">
        <w:t xml:space="preserve">) VII.16s.; XVII.250s., 292; XIX.15; </w:t>
      </w:r>
      <w:r w:rsidRPr="006D0608">
        <w:rPr>
          <w:i/>
          <w:iCs/>
        </w:rPr>
        <w:t>k.–</w:t>
      </w:r>
      <w:proofErr w:type="spellStart"/>
      <w:r w:rsidRPr="006D0608">
        <w:rPr>
          <w:i/>
          <w:iCs/>
        </w:rPr>
        <w:t>resultante</w:t>
      </w:r>
      <w:proofErr w:type="spellEnd"/>
      <w:r w:rsidRPr="006D0608">
        <w:t xml:space="preserve"> (</w:t>
      </w:r>
      <w:proofErr w:type="spellStart"/>
      <w:r w:rsidRPr="006D0608">
        <w:rPr>
          <w:i/>
          <w:iCs/>
        </w:rPr>
        <w:t>vipāka</w:t>
      </w:r>
      <w:proofErr w:type="spellEnd"/>
      <w:r w:rsidRPr="006D0608">
        <w:t xml:space="preserve">) V.40s.; XV.34; XVII.51, 66, 89, 120, 134; XIX.8; XXII.81. </w:t>
      </w:r>
      <w:r w:rsidRPr="005B6D62">
        <w:rPr>
          <w:lang w:val="es-PE"/>
        </w:rPr>
        <w:t xml:space="preserve">Véase también </w:t>
      </w:r>
      <w:r w:rsidRPr="005B6D62">
        <w:rPr>
          <w:i/>
          <w:iCs/>
          <w:lang w:val="es-PE"/>
        </w:rPr>
        <w:t>efecto</w:t>
      </w:r>
      <w:r w:rsidRPr="005B6D62">
        <w:rPr>
          <w:lang w:val="es-PE"/>
        </w:rPr>
        <w:t xml:space="preserve">. </w:t>
      </w:r>
    </w:p>
    <w:p w14:paraId="456BF846" w14:textId="77777777" w:rsidR="00597DE2" w:rsidRPr="005B6D62" w:rsidRDefault="00597DE2" w:rsidP="00597DE2">
      <w:pPr>
        <w:pStyle w:val="ParrafoApendice"/>
        <w:rPr>
          <w:lang w:val="es-PE"/>
        </w:rPr>
      </w:pPr>
      <w:proofErr w:type="spellStart"/>
      <w:r w:rsidRPr="005B6D62">
        <w:rPr>
          <w:lang w:val="es-PE"/>
        </w:rPr>
        <w:t>kamma</w:t>
      </w:r>
      <w:proofErr w:type="spellEnd"/>
      <w:r w:rsidRPr="005B6D62">
        <w:rPr>
          <w:lang w:val="es-PE"/>
        </w:rPr>
        <w:t xml:space="preserve"> caduco (</w:t>
      </w:r>
      <w:proofErr w:type="spellStart"/>
      <w:r w:rsidRPr="005B6D62">
        <w:rPr>
          <w:i/>
          <w:iCs/>
          <w:lang w:val="es-PE"/>
        </w:rPr>
        <w:t>ahosi</w:t>
      </w:r>
      <w:proofErr w:type="spellEnd"/>
      <w:r w:rsidRPr="005B6D62">
        <w:rPr>
          <w:i/>
          <w:iCs/>
          <w:lang w:val="es-PE"/>
        </w:rPr>
        <w:t>–</w:t>
      </w:r>
      <w:proofErr w:type="spellStart"/>
      <w:r w:rsidRPr="005B6D62">
        <w:rPr>
          <w:i/>
          <w:iCs/>
          <w:lang w:val="es-PE"/>
        </w:rPr>
        <w:t>kamma</w:t>
      </w:r>
      <w:proofErr w:type="spellEnd"/>
      <w:r w:rsidRPr="005B6D62">
        <w:rPr>
          <w:lang w:val="es-PE"/>
        </w:rPr>
        <w:t xml:space="preserve">) XIX.14 </w:t>
      </w:r>
    </w:p>
    <w:p w14:paraId="5A207E41" w14:textId="77777777" w:rsidR="00597DE2" w:rsidRPr="005B6D62" w:rsidRDefault="00597DE2" w:rsidP="00597DE2">
      <w:pPr>
        <w:pStyle w:val="ParrafoApendice"/>
        <w:rPr>
          <w:lang w:val="es-PE"/>
        </w:rPr>
      </w:pPr>
      <w:proofErr w:type="spellStart"/>
      <w:r w:rsidRPr="005B6D62">
        <w:rPr>
          <w:lang w:val="es-PE"/>
        </w:rPr>
        <w:t>kammicamente</w:t>
      </w:r>
      <w:proofErr w:type="spellEnd"/>
      <w:r w:rsidRPr="005B6D62">
        <w:rPr>
          <w:lang w:val="es-PE"/>
        </w:rPr>
        <w:t xml:space="preserve"> adquirido (</w:t>
      </w:r>
      <w:proofErr w:type="spellStart"/>
      <w:r w:rsidRPr="005B6D62">
        <w:rPr>
          <w:i/>
          <w:iCs/>
          <w:lang w:val="es-PE"/>
        </w:rPr>
        <w:t>upādiṇṇa</w:t>
      </w:r>
      <w:proofErr w:type="spellEnd"/>
      <w:r w:rsidRPr="005B6D62">
        <w:rPr>
          <w:lang w:val="es-PE"/>
        </w:rPr>
        <w:t xml:space="preserve">), ver también </w:t>
      </w:r>
      <w:r w:rsidRPr="005B6D62">
        <w:rPr>
          <w:i/>
          <w:iCs/>
          <w:lang w:val="es-PE"/>
        </w:rPr>
        <w:t>aferrado</w:t>
      </w:r>
      <w:r w:rsidRPr="005B6D62">
        <w:rPr>
          <w:i/>
          <w:lang w:val="es-PE"/>
        </w:rPr>
        <w:t>–</w:t>
      </w:r>
      <w:r w:rsidRPr="005B6D62">
        <w:rPr>
          <w:i/>
          <w:iCs/>
          <w:lang w:val="es-PE"/>
        </w:rPr>
        <w:t>a</w:t>
      </w:r>
    </w:p>
    <w:p w14:paraId="2B9861E0" w14:textId="77777777" w:rsidR="00597DE2" w:rsidRPr="005B6D62" w:rsidRDefault="00597DE2" w:rsidP="00597DE2">
      <w:pPr>
        <w:pStyle w:val="ParrafoApendice"/>
        <w:rPr>
          <w:lang w:val="es-PE"/>
        </w:rPr>
      </w:pPr>
      <w:proofErr w:type="spellStart"/>
      <w:r w:rsidRPr="005B6D62">
        <w:rPr>
          <w:lang w:val="es-PE"/>
        </w:rPr>
        <w:t>Kaṇāda</w:t>
      </w:r>
      <w:proofErr w:type="spellEnd"/>
      <w:r w:rsidRPr="005B6D62">
        <w:rPr>
          <w:lang w:val="es-PE"/>
        </w:rPr>
        <w:t xml:space="preserve"> XIV.n.19</w:t>
      </w:r>
    </w:p>
    <w:p w14:paraId="0FEF952F" w14:textId="77777777" w:rsidR="00597DE2" w:rsidRPr="005B6D62" w:rsidRDefault="00597DE2" w:rsidP="00597DE2">
      <w:pPr>
        <w:pStyle w:val="ParrafoApendice"/>
        <w:rPr>
          <w:lang w:val="es-PE"/>
        </w:rPr>
      </w:pPr>
      <w:proofErr w:type="spellStart"/>
      <w:r w:rsidRPr="005B6D62">
        <w:rPr>
          <w:lang w:val="es-PE"/>
        </w:rPr>
        <w:t>Kaṇṇamuṇḍaka</w:t>
      </w:r>
      <w:proofErr w:type="spellEnd"/>
      <w:r w:rsidRPr="005B6D62">
        <w:rPr>
          <w:lang w:val="es-PE"/>
        </w:rPr>
        <w:t>, Lago XIII.38</w:t>
      </w:r>
    </w:p>
    <w:p w14:paraId="753AF880" w14:textId="77777777" w:rsidR="00597DE2" w:rsidRPr="005B6D62" w:rsidRDefault="00597DE2" w:rsidP="00597DE2">
      <w:pPr>
        <w:pStyle w:val="ParrafoApendice"/>
        <w:rPr>
          <w:lang w:val="es-PE"/>
        </w:rPr>
      </w:pPr>
      <w:r w:rsidRPr="005B6D62">
        <w:rPr>
          <w:lang w:val="es-PE"/>
        </w:rPr>
        <w:t>Kappa, árbol VII.43</w:t>
      </w:r>
    </w:p>
    <w:p w14:paraId="725C2AD4" w14:textId="77777777" w:rsidR="00597DE2" w:rsidRPr="005B6D62" w:rsidRDefault="00597DE2" w:rsidP="00597DE2">
      <w:pPr>
        <w:pStyle w:val="ParrafoApendice"/>
        <w:rPr>
          <w:lang w:val="es-PE"/>
        </w:rPr>
      </w:pPr>
      <w:proofErr w:type="spellStart"/>
      <w:r w:rsidRPr="005B6D62">
        <w:rPr>
          <w:lang w:val="es-PE"/>
        </w:rPr>
        <w:t>Kappina</w:t>
      </w:r>
      <w:proofErr w:type="spellEnd"/>
      <w:r w:rsidRPr="005B6D62">
        <w:rPr>
          <w:lang w:val="es-PE"/>
        </w:rPr>
        <w:t xml:space="preserve"> </w:t>
      </w:r>
      <w:proofErr w:type="spellStart"/>
      <w:r w:rsidRPr="005B6D62">
        <w:rPr>
          <w:lang w:val="es-PE"/>
        </w:rPr>
        <w:t>Thera</w:t>
      </w:r>
      <w:proofErr w:type="spellEnd"/>
      <w:r w:rsidRPr="005B6D62">
        <w:rPr>
          <w:lang w:val="es-PE"/>
        </w:rPr>
        <w:t>, Mahā XII.82</w:t>
      </w:r>
    </w:p>
    <w:p w14:paraId="54E3E93F" w14:textId="77777777" w:rsidR="00597DE2" w:rsidRPr="005B6D62" w:rsidRDefault="00597DE2" w:rsidP="00597DE2">
      <w:pPr>
        <w:pStyle w:val="ParrafoApendice"/>
        <w:rPr>
          <w:lang w:val="es-PE"/>
        </w:rPr>
      </w:pPr>
      <w:proofErr w:type="spellStart"/>
      <w:r w:rsidRPr="005B6D62">
        <w:rPr>
          <w:lang w:val="es-PE"/>
        </w:rPr>
        <w:t>Karañjiya</w:t>
      </w:r>
      <w:proofErr w:type="spellEnd"/>
      <w:r w:rsidRPr="005B6D62">
        <w:rPr>
          <w:lang w:val="es-PE"/>
        </w:rPr>
        <w:t>–</w:t>
      </w:r>
      <w:proofErr w:type="spellStart"/>
      <w:r w:rsidRPr="005B6D62">
        <w:rPr>
          <w:lang w:val="es-PE"/>
        </w:rPr>
        <w:t>vihāra</w:t>
      </w:r>
      <w:proofErr w:type="spellEnd"/>
      <w:r w:rsidRPr="005B6D62">
        <w:rPr>
          <w:lang w:val="es-PE"/>
        </w:rPr>
        <w:t>, Mahā VIII.243</w:t>
      </w:r>
    </w:p>
    <w:p w14:paraId="4677F4D2" w14:textId="77777777" w:rsidR="00597DE2" w:rsidRPr="005B6D62" w:rsidRDefault="00597DE2" w:rsidP="00597DE2">
      <w:pPr>
        <w:pStyle w:val="ParrafoApendice"/>
        <w:rPr>
          <w:lang w:val="es-PE"/>
        </w:rPr>
      </w:pPr>
      <w:proofErr w:type="spellStart"/>
      <w:r w:rsidRPr="005B6D62">
        <w:rPr>
          <w:lang w:val="es-PE"/>
        </w:rPr>
        <w:t>Karavīka</w:t>
      </w:r>
      <w:proofErr w:type="spellEnd"/>
      <w:r w:rsidRPr="005B6D62">
        <w:rPr>
          <w:lang w:val="es-PE"/>
        </w:rPr>
        <w:t>, pájaro, III.111</w:t>
      </w:r>
    </w:p>
    <w:p w14:paraId="02F7FB74" w14:textId="77777777" w:rsidR="00597DE2" w:rsidRPr="005B6D62" w:rsidRDefault="00597DE2" w:rsidP="00597DE2">
      <w:pPr>
        <w:pStyle w:val="ParrafoApendice"/>
        <w:rPr>
          <w:lang w:val="es-PE"/>
        </w:rPr>
      </w:pPr>
      <w:proofErr w:type="spellStart"/>
      <w:r w:rsidRPr="005B6D62">
        <w:rPr>
          <w:lang w:val="es-PE"/>
        </w:rPr>
        <w:t>Karavīka</w:t>
      </w:r>
      <w:proofErr w:type="spellEnd"/>
      <w:r w:rsidRPr="005B6D62">
        <w:rPr>
          <w:lang w:val="es-PE"/>
        </w:rPr>
        <w:t>–</w:t>
      </w:r>
      <w:proofErr w:type="spellStart"/>
      <w:r w:rsidRPr="005B6D62">
        <w:rPr>
          <w:lang w:val="es-PE"/>
        </w:rPr>
        <w:t>pabbata</w:t>
      </w:r>
      <w:proofErr w:type="spellEnd"/>
      <w:r w:rsidRPr="005B6D62">
        <w:rPr>
          <w:lang w:val="es-PE"/>
        </w:rPr>
        <w:t xml:space="preserve"> VII.42 </w:t>
      </w:r>
    </w:p>
    <w:p w14:paraId="7E763879" w14:textId="77777777" w:rsidR="00597DE2" w:rsidRPr="005B6D62" w:rsidRDefault="00597DE2" w:rsidP="00597DE2">
      <w:pPr>
        <w:pStyle w:val="ParrafoApendice"/>
        <w:rPr>
          <w:lang w:val="es-PE"/>
        </w:rPr>
      </w:pPr>
      <w:proofErr w:type="spellStart"/>
      <w:r w:rsidRPr="005B6D62">
        <w:rPr>
          <w:lang w:val="es-PE"/>
        </w:rPr>
        <w:t>Karuliyagiri</w:t>
      </w:r>
      <w:proofErr w:type="spellEnd"/>
      <w:r w:rsidRPr="005B6D62">
        <w:rPr>
          <w:lang w:val="es-PE"/>
        </w:rPr>
        <w:t xml:space="preserve"> (</w:t>
      </w:r>
      <w:proofErr w:type="spellStart"/>
      <w:r w:rsidRPr="005B6D62">
        <w:rPr>
          <w:lang w:val="es-PE"/>
        </w:rPr>
        <w:t>Karaliya</w:t>
      </w:r>
      <w:proofErr w:type="spellEnd"/>
      <w:r w:rsidRPr="005B6D62">
        <w:rPr>
          <w:lang w:val="es-PE"/>
        </w:rPr>
        <w:t xml:space="preserve">–, </w:t>
      </w:r>
      <w:proofErr w:type="spellStart"/>
      <w:r w:rsidRPr="005B6D62">
        <w:rPr>
          <w:lang w:val="es-PE"/>
        </w:rPr>
        <w:t>Karuḷiya</w:t>
      </w:r>
      <w:proofErr w:type="spellEnd"/>
      <w:r w:rsidRPr="005B6D62">
        <w:rPr>
          <w:lang w:val="es-PE"/>
        </w:rPr>
        <w:t>–) III.52</w:t>
      </w:r>
    </w:p>
    <w:p w14:paraId="18618807" w14:textId="77777777" w:rsidR="00597DE2" w:rsidRDefault="00597DE2" w:rsidP="00597DE2">
      <w:pPr>
        <w:pStyle w:val="ParrafoApendice"/>
        <w:rPr>
          <w:lang w:val="es-PE"/>
        </w:rPr>
      </w:pPr>
      <w:proofErr w:type="spellStart"/>
      <w:r w:rsidRPr="005B6D62">
        <w:rPr>
          <w:lang w:val="es-PE"/>
        </w:rPr>
        <w:t>Kasiṇa</w:t>
      </w:r>
      <w:proofErr w:type="spellEnd"/>
      <w:r w:rsidRPr="005B6D62">
        <w:rPr>
          <w:lang w:val="es-PE"/>
        </w:rPr>
        <w:t xml:space="preserve"> (</w:t>
      </w:r>
      <w:proofErr w:type="spellStart"/>
      <w:r w:rsidRPr="005B6D62">
        <w:rPr>
          <w:i/>
          <w:iCs/>
          <w:lang w:val="es-PE"/>
        </w:rPr>
        <w:t>kasiṇa</w:t>
      </w:r>
      <w:proofErr w:type="spellEnd"/>
      <w:r w:rsidRPr="005B6D62">
        <w:rPr>
          <w:lang w:val="es-PE"/>
        </w:rPr>
        <w:t xml:space="preserve">) III.97s, 105s., 119; IV </w:t>
      </w:r>
      <w:r w:rsidRPr="005B6D62">
        <w:rPr>
          <w:i/>
          <w:iCs/>
          <w:lang w:val="es-PE"/>
        </w:rPr>
        <w:t>passim</w:t>
      </w:r>
      <w:r w:rsidRPr="005B6D62">
        <w:rPr>
          <w:lang w:val="es-PE"/>
        </w:rPr>
        <w:t xml:space="preserve">; V </w:t>
      </w:r>
      <w:r w:rsidRPr="005B6D62">
        <w:rPr>
          <w:i/>
          <w:iCs/>
          <w:lang w:val="es-PE"/>
        </w:rPr>
        <w:t>passim</w:t>
      </w:r>
      <w:r w:rsidRPr="005B6D62">
        <w:rPr>
          <w:lang w:val="es-PE"/>
        </w:rPr>
        <w:t>, n.5; VII.28; IX.</w:t>
      </w:r>
      <w:r w:rsidRPr="005B6D62">
        <w:rPr>
          <w:strike/>
          <w:color w:val="833C0B" w:themeColor="accent2" w:themeShade="80"/>
          <w:u w:color="000000"/>
          <w:lang w:val="es-PE"/>
        </w:rPr>
        <w:t>90s.,</w:t>
      </w:r>
      <w:r w:rsidRPr="005B6D62">
        <w:rPr>
          <w:lang w:val="es-PE"/>
        </w:rPr>
        <w:t xml:space="preserve"> 104, 121; X.1s.; XI.</w:t>
      </w:r>
      <w:r w:rsidRPr="005B6D62">
        <w:rPr>
          <w:color w:val="833C0B" w:themeColor="accent2" w:themeShade="80"/>
          <w:u w:color="000000"/>
          <w:lang w:val="es-PE"/>
        </w:rPr>
        <w:t>n.19</w:t>
      </w:r>
      <w:r w:rsidRPr="005B6D62">
        <w:rPr>
          <w:lang w:val="es-PE"/>
        </w:rPr>
        <w:t>; XII.2s., 88s.; XIII.95; XVII.143; XX.9; XXIII.20</w:t>
      </w:r>
      <w:r>
        <w:rPr>
          <w:lang w:val="es-PE"/>
        </w:rPr>
        <w:br w:type="page"/>
      </w:r>
    </w:p>
    <w:p w14:paraId="70AC27B7" w14:textId="77777777" w:rsidR="00597DE2" w:rsidRPr="005B6D62" w:rsidRDefault="00597DE2" w:rsidP="00597DE2">
      <w:pPr>
        <w:pStyle w:val="ParrafoApendice"/>
        <w:rPr>
          <w:lang w:val="es-PE"/>
        </w:rPr>
      </w:pPr>
    </w:p>
    <w:p w14:paraId="177C9A02" w14:textId="77777777" w:rsidR="00597DE2" w:rsidRPr="00792193" w:rsidRDefault="00597DE2" w:rsidP="00597DE2">
      <w:pPr>
        <w:pStyle w:val="ParrafoApendice"/>
        <w:rPr>
          <w:lang w:val="es-PE"/>
        </w:rPr>
      </w:pPr>
      <w:proofErr w:type="spellStart"/>
      <w:r w:rsidRPr="00792193">
        <w:rPr>
          <w:i/>
          <w:iCs/>
          <w:lang w:val="es-PE"/>
        </w:rPr>
        <w:t>kasiṇa</w:t>
      </w:r>
      <w:proofErr w:type="spellEnd"/>
      <w:r>
        <w:rPr>
          <w:lang w:val="es-PE"/>
        </w:rPr>
        <w:t xml:space="preserve"> blanco</w:t>
      </w:r>
      <w:r w:rsidRPr="00792193">
        <w:rPr>
          <w:lang w:val="es-PE"/>
        </w:rPr>
        <w:t xml:space="preserve"> (</w:t>
      </w:r>
      <w:proofErr w:type="spellStart"/>
      <w:r w:rsidRPr="00792193">
        <w:rPr>
          <w:i/>
          <w:iCs/>
          <w:lang w:val="es-PE"/>
        </w:rPr>
        <w:t>odāta</w:t>
      </w:r>
      <w:proofErr w:type="spellEnd"/>
      <w:r w:rsidRPr="00792193">
        <w:rPr>
          <w:i/>
          <w:iCs/>
          <w:lang w:val="es-PE"/>
        </w:rPr>
        <w:t>–</w:t>
      </w:r>
      <w:proofErr w:type="spellStart"/>
      <w:r w:rsidRPr="00792193">
        <w:rPr>
          <w:i/>
          <w:iCs/>
          <w:lang w:val="es-PE"/>
        </w:rPr>
        <w:t>kasina</w:t>
      </w:r>
      <w:proofErr w:type="spellEnd"/>
      <w:r w:rsidRPr="00792193">
        <w:rPr>
          <w:lang w:val="es-PE"/>
        </w:rPr>
        <w:t>) III.105</w:t>
      </w:r>
      <w:r>
        <w:rPr>
          <w:lang w:val="es-PE"/>
        </w:rPr>
        <w:t>s</w:t>
      </w:r>
      <w:r w:rsidRPr="00792193">
        <w:rPr>
          <w:lang w:val="es-PE"/>
        </w:rPr>
        <w:t xml:space="preserve">.; </w:t>
      </w:r>
      <w:r w:rsidRPr="00B14085">
        <w:rPr>
          <w:color w:val="833C0B" w:themeColor="accent2" w:themeShade="80"/>
          <w:lang w:val="es-PE"/>
        </w:rPr>
        <w:t>V.16</w:t>
      </w:r>
      <w:r w:rsidRPr="00792193">
        <w:rPr>
          <w:lang w:val="es-PE"/>
        </w:rPr>
        <w:t xml:space="preserve">; XIII.95 </w:t>
      </w:r>
    </w:p>
    <w:p w14:paraId="222D0264" w14:textId="77777777" w:rsidR="00597DE2" w:rsidRPr="005B6D62" w:rsidRDefault="00597DE2" w:rsidP="00597DE2">
      <w:pPr>
        <w:pStyle w:val="ParrafoApendice"/>
        <w:rPr>
          <w:lang w:val="es-PE"/>
        </w:rPr>
      </w:pPr>
      <w:r w:rsidRPr="005B6D62">
        <w:rPr>
          <w:lang w:val="es-PE"/>
        </w:rPr>
        <w:t xml:space="preserve">Kassapa </w:t>
      </w:r>
      <w:proofErr w:type="spellStart"/>
      <w:r w:rsidRPr="005B6D62">
        <w:rPr>
          <w:lang w:val="es-PE"/>
        </w:rPr>
        <w:t>Thera</w:t>
      </w:r>
      <w:proofErr w:type="spellEnd"/>
      <w:r w:rsidRPr="005B6D62">
        <w:rPr>
          <w:lang w:val="es-PE"/>
        </w:rPr>
        <w:t xml:space="preserve"> I.41; II.32; XII.126; XIII.</w:t>
      </w:r>
      <w:r w:rsidRPr="005B6D62">
        <w:rPr>
          <w:color w:val="833C0B" w:themeColor="accent2" w:themeShade="80"/>
          <w:u w:color="000000"/>
          <w:lang w:val="es-PE"/>
        </w:rPr>
        <w:t>67,</w:t>
      </w:r>
      <w:r w:rsidRPr="005B6D62">
        <w:rPr>
          <w:lang w:val="es-PE"/>
        </w:rPr>
        <w:t xml:space="preserve"> 107</w:t>
      </w:r>
    </w:p>
    <w:p w14:paraId="33C16AA1" w14:textId="77777777" w:rsidR="00597DE2" w:rsidRPr="005B6D62" w:rsidRDefault="00597DE2" w:rsidP="00597DE2">
      <w:pPr>
        <w:pStyle w:val="ParrafoApendice"/>
        <w:rPr>
          <w:lang w:val="es-PE"/>
        </w:rPr>
      </w:pPr>
      <w:proofErr w:type="spellStart"/>
      <w:r w:rsidRPr="005B6D62">
        <w:rPr>
          <w:lang w:val="es-PE"/>
        </w:rPr>
        <w:t>Kaṭakandhakāra</w:t>
      </w:r>
      <w:proofErr w:type="spellEnd"/>
      <w:r w:rsidRPr="005B6D62">
        <w:rPr>
          <w:lang w:val="es-PE"/>
        </w:rPr>
        <w:t xml:space="preserve"> VII.127</w:t>
      </w:r>
    </w:p>
    <w:p w14:paraId="1E247416" w14:textId="77777777" w:rsidR="00597DE2" w:rsidRPr="005B6D62" w:rsidRDefault="00597DE2" w:rsidP="00597DE2">
      <w:pPr>
        <w:pStyle w:val="ParrafoApendice"/>
        <w:rPr>
          <w:lang w:val="es-PE"/>
        </w:rPr>
      </w:pPr>
      <w:proofErr w:type="spellStart"/>
      <w:r w:rsidRPr="005B6D62">
        <w:rPr>
          <w:lang w:val="es-PE"/>
        </w:rPr>
        <w:t>Khāṇu</w:t>
      </w:r>
      <w:proofErr w:type="spellEnd"/>
      <w:r w:rsidRPr="005B6D62">
        <w:rPr>
          <w:lang w:val="es-PE"/>
        </w:rPr>
        <w:t>–</w:t>
      </w:r>
      <w:proofErr w:type="spellStart"/>
      <w:r w:rsidRPr="005B6D62">
        <w:rPr>
          <w:lang w:val="es-PE"/>
        </w:rPr>
        <w:t>Kondañña</w:t>
      </w:r>
      <w:proofErr w:type="spellEnd"/>
      <w:r w:rsidRPr="005B6D62">
        <w:rPr>
          <w:lang w:val="es-PE"/>
        </w:rPr>
        <w:t xml:space="preserve"> </w:t>
      </w:r>
      <w:proofErr w:type="spellStart"/>
      <w:r w:rsidRPr="005B6D62">
        <w:rPr>
          <w:lang w:val="es-PE"/>
        </w:rPr>
        <w:t>Thera</w:t>
      </w:r>
      <w:proofErr w:type="spellEnd"/>
      <w:r w:rsidRPr="005B6D62">
        <w:rPr>
          <w:lang w:val="es-PE"/>
        </w:rPr>
        <w:t xml:space="preserve"> XII.30, 33 </w:t>
      </w:r>
    </w:p>
    <w:p w14:paraId="77864269" w14:textId="77777777" w:rsidR="00597DE2" w:rsidRPr="005B6D62" w:rsidRDefault="00597DE2" w:rsidP="00597DE2">
      <w:pPr>
        <w:pStyle w:val="ParrafoApendice"/>
        <w:rPr>
          <w:lang w:val="es-PE"/>
        </w:rPr>
      </w:pPr>
      <w:proofErr w:type="spellStart"/>
      <w:r w:rsidRPr="005B6D62">
        <w:rPr>
          <w:lang w:val="es-PE"/>
        </w:rPr>
        <w:t>Khattiya</w:t>
      </w:r>
      <w:proofErr w:type="spellEnd"/>
      <w:r w:rsidRPr="005B6D62">
        <w:rPr>
          <w:lang w:val="es-PE"/>
        </w:rPr>
        <w:t xml:space="preserve"> (Noble Guerrero) XIII.54 </w:t>
      </w:r>
    </w:p>
    <w:p w14:paraId="74AEAEDA" w14:textId="77777777" w:rsidR="00597DE2" w:rsidRPr="005B6D62" w:rsidRDefault="00597DE2" w:rsidP="00597DE2">
      <w:pPr>
        <w:pStyle w:val="ParrafoApendice"/>
        <w:rPr>
          <w:lang w:val="es-PE"/>
        </w:rPr>
      </w:pPr>
      <w:proofErr w:type="spellStart"/>
      <w:r w:rsidRPr="005B6D62">
        <w:rPr>
          <w:lang w:val="es-PE"/>
        </w:rPr>
        <w:t>Khujjuttarā</w:t>
      </w:r>
      <w:proofErr w:type="spellEnd"/>
      <w:r w:rsidRPr="005B6D62">
        <w:rPr>
          <w:lang w:val="es-PE"/>
        </w:rPr>
        <w:t xml:space="preserve"> </w:t>
      </w:r>
      <w:proofErr w:type="spellStart"/>
      <w:r w:rsidRPr="005B6D62">
        <w:rPr>
          <w:lang w:val="es-PE"/>
        </w:rPr>
        <w:t>upāsikā</w:t>
      </w:r>
      <w:proofErr w:type="spellEnd"/>
      <w:r w:rsidRPr="005B6D62">
        <w:rPr>
          <w:lang w:val="es-PE"/>
        </w:rPr>
        <w:t xml:space="preserve"> XIV.27 </w:t>
      </w:r>
    </w:p>
    <w:p w14:paraId="6C76D302" w14:textId="77777777" w:rsidR="00597DE2" w:rsidRPr="005B6D62" w:rsidRDefault="00597DE2" w:rsidP="00597DE2">
      <w:pPr>
        <w:pStyle w:val="ParrafoApendice"/>
        <w:rPr>
          <w:strike/>
          <w:color w:val="833C0B" w:themeColor="accent2" w:themeShade="80"/>
          <w:u w:color="000000"/>
          <w:lang w:val="es-PE"/>
        </w:rPr>
      </w:pPr>
      <w:proofErr w:type="spellStart"/>
      <w:r w:rsidRPr="005B6D62">
        <w:rPr>
          <w:strike/>
          <w:color w:val="833C0B" w:themeColor="accent2" w:themeShade="80"/>
          <w:u w:color="000000"/>
          <w:lang w:val="es-PE"/>
        </w:rPr>
        <w:t>kolaṅkola</w:t>
      </w:r>
      <w:proofErr w:type="spellEnd"/>
      <w:r w:rsidRPr="005B6D62">
        <w:rPr>
          <w:strike/>
          <w:color w:val="833C0B" w:themeColor="accent2" w:themeShade="80"/>
          <w:u w:color="000000"/>
          <w:lang w:val="es-PE"/>
        </w:rPr>
        <w:t xml:space="preserve"> XXIII.55 </w:t>
      </w:r>
    </w:p>
    <w:p w14:paraId="2589F0A2" w14:textId="77777777" w:rsidR="00597DE2" w:rsidRPr="005B6D62" w:rsidRDefault="00597DE2" w:rsidP="00597DE2">
      <w:pPr>
        <w:pStyle w:val="ParrafoApendice"/>
        <w:rPr>
          <w:lang w:val="es-PE"/>
        </w:rPr>
      </w:pPr>
      <w:proofErr w:type="spellStart"/>
      <w:r w:rsidRPr="005B6D62">
        <w:rPr>
          <w:lang w:val="es-PE"/>
        </w:rPr>
        <w:t>Koraṇḍaka</w:t>
      </w:r>
      <w:proofErr w:type="spellEnd"/>
      <w:r w:rsidRPr="005B6D62">
        <w:rPr>
          <w:lang w:val="es-PE"/>
        </w:rPr>
        <w:t>–</w:t>
      </w:r>
      <w:proofErr w:type="spellStart"/>
      <w:r w:rsidRPr="005B6D62">
        <w:rPr>
          <w:lang w:val="es-PE"/>
        </w:rPr>
        <w:t>vihāra</w:t>
      </w:r>
      <w:proofErr w:type="spellEnd"/>
      <w:r w:rsidRPr="005B6D62">
        <w:rPr>
          <w:lang w:val="es-PE"/>
        </w:rPr>
        <w:t xml:space="preserve"> III.36</w:t>
      </w:r>
    </w:p>
    <w:p w14:paraId="37E148E6" w14:textId="77777777" w:rsidR="00597DE2" w:rsidRPr="005B6D62" w:rsidRDefault="00597DE2" w:rsidP="00597DE2">
      <w:pPr>
        <w:pStyle w:val="ParrafoApendice"/>
        <w:rPr>
          <w:lang w:val="es-PE"/>
        </w:rPr>
      </w:pPr>
      <w:proofErr w:type="spellStart"/>
      <w:r w:rsidRPr="005B6D62">
        <w:rPr>
          <w:lang w:val="es-PE"/>
        </w:rPr>
        <w:t>Kosala</w:t>
      </w:r>
      <w:proofErr w:type="spellEnd"/>
      <w:r w:rsidRPr="005B6D62">
        <w:rPr>
          <w:lang w:val="es-PE"/>
        </w:rPr>
        <w:t xml:space="preserve"> VII.23</w:t>
      </w:r>
    </w:p>
    <w:p w14:paraId="58B6756C" w14:textId="77777777" w:rsidR="00597DE2" w:rsidRPr="005B6D62" w:rsidRDefault="00597DE2" w:rsidP="00597DE2">
      <w:pPr>
        <w:pStyle w:val="ParrafoApendice"/>
        <w:rPr>
          <w:lang w:val="es-PE"/>
        </w:rPr>
      </w:pPr>
      <w:proofErr w:type="spellStart"/>
      <w:r w:rsidRPr="005B6D62">
        <w:rPr>
          <w:lang w:val="es-PE"/>
        </w:rPr>
        <w:t>Koṭapabbata</w:t>
      </w:r>
      <w:proofErr w:type="spellEnd"/>
      <w:r w:rsidRPr="005B6D62">
        <w:rPr>
          <w:lang w:val="es-PE"/>
        </w:rPr>
        <w:t xml:space="preserve"> VIII.243</w:t>
      </w:r>
    </w:p>
    <w:p w14:paraId="6AC39037" w14:textId="77777777" w:rsidR="00597DE2" w:rsidRPr="005B6D62" w:rsidRDefault="00597DE2" w:rsidP="00597DE2">
      <w:pPr>
        <w:pStyle w:val="ParrafoApendice"/>
        <w:rPr>
          <w:lang w:val="es-PE"/>
        </w:rPr>
      </w:pPr>
      <w:proofErr w:type="spellStart"/>
      <w:r w:rsidRPr="005B6D62">
        <w:rPr>
          <w:lang w:val="es-PE"/>
        </w:rPr>
        <w:t>Kumbhakāragāma</w:t>
      </w:r>
      <w:proofErr w:type="spellEnd"/>
      <w:r w:rsidRPr="005B6D62">
        <w:rPr>
          <w:lang w:val="es-PE"/>
        </w:rPr>
        <w:t xml:space="preserve"> III.33</w:t>
      </w:r>
    </w:p>
    <w:p w14:paraId="6B8081F8" w14:textId="77777777" w:rsidR="00597DE2" w:rsidRPr="005B6D62" w:rsidRDefault="00597DE2" w:rsidP="00597DE2">
      <w:pPr>
        <w:pStyle w:val="ParrafoApendice"/>
        <w:rPr>
          <w:lang w:val="es-PE"/>
        </w:rPr>
      </w:pPr>
      <w:proofErr w:type="spellStart"/>
      <w:r w:rsidRPr="005B6D62">
        <w:rPr>
          <w:lang w:val="es-PE"/>
        </w:rPr>
        <w:t>Kumbhaṇḍa</w:t>
      </w:r>
      <w:proofErr w:type="spellEnd"/>
      <w:r w:rsidRPr="005B6D62">
        <w:rPr>
          <w:lang w:val="es-PE"/>
        </w:rPr>
        <w:t xml:space="preserve"> (demonio) XII.n.19</w:t>
      </w:r>
    </w:p>
    <w:p w14:paraId="3C06E7D4" w14:textId="77777777" w:rsidR="00597DE2" w:rsidRPr="005B6D62" w:rsidRDefault="00597DE2" w:rsidP="00597DE2">
      <w:pPr>
        <w:pStyle w:val="ParrafoApendice"/>
        <w:rPr>
          <w:lang w:val="es-PE"/>
        </w:rPr>
      </w:pPr>
      <w:proofErr w:type="spellStart"/>
      <w:r w:rsidRPr="005B6D62">
        <w:rPr>
          <w:lang w:val="es-PE"/>
        </w:rPr>
        <w:t>Kuṇāla</w:t>
      </w:r>
      <w:proofErr w:type="spellEnd"/>
      <w:r w:rsidRPr="005B6D62">
        <w:rPr>
          <w:lang w:val="es-PE"/>
        </w:rPr>
        <w:t xml:space="preserve">, Lake XIII.38 </w:t>
      </w:r>
    </w:p>
    <w:p w14:paraId="6FF876AC" w14:textId="77777777" w:rsidR="00597DE2" w:rsidRPr="005B6D62" w:rsidRDefault="00597DE2" w:rsidP="00597DE2">
      <w:pPr>
        <w:pStyle w:val="ParrafoApendice"/>
        <w:rPr>
          <w:lang w:val="es-PE"/>
        </w:rPr>
      </w:pPr>
      <w:proofErr w:type="spellStart"/>
      <w:r w:rsidRPr="005B6D62">
        <w:rPr>
          <w:lang w:val="es-PE"/>
        </w:rPr>
        <w:t>Kuraṇḍaka</w:t>
      </w:r>
      <w:proofErr w:type="spellEnd"/>
      <w:r w:rsidRPr="005B6D62">
        <w:rPr>
          <w:lang w:val="es-PE"/>
        </w:rPr>
        <w:t>–</w:t>
      </w:r>
      <w:proofErr w:type="spellStart"/>
      <w:r w:rsidRPr="005B6D62">
        <w:rPr>
          <w:lang w:val="es-PE"/>
        </w:rPr>
        <w:t>mahā</w:t>
      </w:r>
      <w:proofErr w:type="spellEnd"/>
      <w:r w:rsidRPr="005B6D62">
        <w:rPr>
          <w:lang w:val="es-PE"/>
        </w:rPr>
        <w:t>–</w:t>
      </w:r>
      <w:proofErr w:type="spellStart"/>
      <w:r w:rsidRPr="005B6D62">
        <w:rPr>
          <w:lang w:val="es-PE"/>
        </w:rPr>
        <w:t>leṇa</w:t>
      </w:r>
      <w:proofErr w:type="spellEnd"/>
      <w:r w:rsidRPr="005B6D62">
        <w:rPr>
          <w:lang w:val="es-PE"/>
        </w:rPr>
        <w:t xml:space="preserve"> I.104 </w:t>
      </w:r>
    </w:p>
    <w:p w14:paraId="29ED8957" w14:textId="77777777" w:rsidR="00597DE2" w:rsidRPr="009133FD" w:rsidRDefault="00597DE2" w:rsidP="00597DE2">
      <w:pPr>
        <w:pStyle w:val="ParrafoApendice"/>
        <w:rPr>
          <w:lang w:val="es-PE"/>
        </w:rPr>
      </w:pPr>
      <w:r w:rsidRPr="009133FD">
        <w:rPr>
          <w:lang w:val="es-PE"/>
        </w:rPr>
        <w:t>la rueda del ciclo de renacimiento</w:t>
      </w:r>
      <w:r>
        <w:rPr>
          <w:lang w:val="es-PE"/>
        </w:rPr>
        <w:t>s</w:t>
      </w:r>
      <w:r w:rsidRPr="009133FD">
        <w:rPr>
          <w:lang w:val="es-PE"/>
        </w:rPr>
        <w:t xml:space="preserve"> (</w:t>
      </w:r>
      <w:proofErr w:type="spellStart"/>
      <w:r w:rsidRPr="00755F47">
        <w:rPr>
          <w:i/>
          <w:iCs/>
          <w:lang w:val="es-PE"/>
        </w:rPr>
        <w:t>saṃsāra</w:t>
      </w:r>
      <w:proofErr w:type="spellEnd"/>
      <w:r w:rsidRPr="00487559">
        <w:rPr>
          <w:i/>
          <w:iCs/>
          <w:lang w:val="es-PE"/>
        </w:rPr>
        <w:t>–</w:t>
      </w:r>
      <w:proofErr w:type="spellStart"/>
      <w:r w:rsidRPr="00755F47">
        <w:rPr>
          <w:i/>
          <w:iCs/>
          <w:lang w:val="es-PE"/>
        </w:rPr>
        <w:t>cakka</w:t>
      </w:r>
      <w:proofErr w:type="spellEnd"/>
      <w:r w:rsidRPr="009133FD">
        <w:rPr>
          <w:lang w:val="es-PE"/>
        </w:rPr>
        <w:t>) VII.7</w:t>
      </w:r>
      <w:r>
        <w:rPr>
          <w:lang w:val="es-PE"/>
        </w:rPr>
        <w:t>s</w:t>
      </w:r>
    </w:p>
    <w:p w14:paraId="18BA94F7" w14:textId="77777777" w:rsidR="00597DE2" w:rsidRPr="00487559" w:rsidRDefault="00597DE2" w:rsidP="00597DE2">
      <w:pPr>
        <w:pStyle w:val="ParrafoApendice"/>
        <w:rPr>
          <w:lang w:val="es-PE"/>
        </w:rPr>
      </w:pPr>
      <w:r w:rsidRPr="00487559">
        <w:rPr>
          <w:lang w:val="es-PE"/>
        </w:rPr>
        <w:t>la rueda del devenir (</w:t>
      </w:r>
      <w:proofErr w:type="spellStart"/>
      <w:r w:rsidRPr="00487559">
        <w:rPr>
          <w:i/>
          <w:iCs/>
          <w:lang w:val="es-PE"/>
        </w:rPr>
        <w:t>bhava</w:t>
      </w:r>
      <w:proofErr w:type="spellEnd"/>
      <w:r w:rsidRPr="00487559">
        <w:rPr>
          <w:i/>
          <w:iCs/>
          <w:lang w:val="es-PE"/>
        </w:rPr>
        <w:t>–</w:t>
      </w:r>
      <w:proofErr w:type="spellStart"/>
      <w:r w:rsidRPr="00487559">
        <w:rPr>
          <w:i/>
          <w:iCs/>
          <w:lang w:val="es-PE"/>
        </w:rPr>
        <w:t>cakka</w:t>
      </w:r>
      <w:proofErr w:type="spellEnd"/>
      <w:r w:rsidRPr="00487559">
        <w:rPr>
          <w:lang w:val="es-PE"/>
        </w:rPr>
        <w:t>) XVII.273f.</w:t>
      </w:r>
    </w:p>
    <w:p w14:paraId="48F190B6" w14:textId="77777777" w:rsidR="00597DE2" w:rsidRPr="005B6D62" w:rsidRDefault="00597DE2" w:rsidP="00597DE2">
      <w:pPr>
        <w:pStyle w:val="ParrafoApendice"/>
        <w:rPr>
          <w:lang w:val="es-PE"/>
        </w:rPr>
      </w:pPr>
      <w:r w:rsidRPr="005B6D62">
        <w:rPr>
          <w:lang w:val="es-PE"/>
        </w:rPr>
        <w:t>lagos, los 7 grandes (</w:t>
      </w:r>
      <w:proofErr w:type="spellStart"/>
      <w:r w:rsidRPr="005B6D62">
        <w:rPr>
          <w:i/>
          <w:iCs/>
          <w:lang w:val="es-PE"/>
        </w:rPr>
        <w:t>satta</w:t>
      </w:r>
      <w:proofErr w:type="spellEnd"/>
      <w:r w:rsidRPr="005B6D62">
        <w:rPr>
          <w:i/>
          <w:iCs/>
          <w:lang w:val="es-PE"/>
        </w:rPr>
        <w:t xml:space="preserve"> </w:t>
      </w:r>
      <w:proofErr w:type="spellStart"/>
      <w:r w:rsidRPr="005B6D62">
        <w:rPr>
          <w:i/>
          <w:iCs/>
          <w:lang w:val="es-PE"/>
        </w:rPr>
        <w:t>mahāsarā</w:t>
      </w:r>
      <w:proofErr w:type="spellEnd"/>
      <w:r w:rsidRPr="005B6D62">
        <w:rPr>
          <w:lang w:val="es-PE"/>
        </w:rPr>
        <w:t xml:space="preserve">) XIII.38; XXI.43 </w:t>
      </w:r>
    </w:p>
    <w:p w14:paraId="76496CCE" w14:textId="77777777" w:rsidR="00597DE2" w:rsidRPr="005B6D62" w:rsidRDefault="00597DE2" w:rsidP="00597DE2">
      <w:pPr>
        <w:pStyle w:val="ParrafoApendice"/>
        <w:rPr>
          <w:lang w:val="es-PE"/>
        </w:rPr>
      </w:pPr>
      <w:r w:rsidRPr="005B6D62">
        <w:rPr>
          <w:lang w:val="es-PE"/>
        </w:rPr>
        <w:t>lamentación (</w:t>
      </w:r>
      <w:proofErr w:type="spellStart"/>
      <w:r w:rsidRPr="005B6D62">
        <w:rPr>
          <w:i/>
          <w:iCs/>
          <w:lang w:val="es-PE"/>
        </w:rPr>
        <w:t>parideva</w:t>
      </w:r>
      <w:proofErr w:type="spellEnd"/>
      <w:r w:rsidRPr="005B6D62">
        <w:rPr>
          <w:lang w:val="es-PE"/>
        </w:rPr>
        <w:t xml:space="preserve">) XVI.31, 49; XVII.2, 48 </w:t>
      </w:r>
    </w:p>
    <w:p w14:paraId="79E0211B" w14:textId="77777777" w:rsidR="00597DE2" w:rsidRPr="005B6D62" w:rsidRDefault="00597DE2" w:rsidP="00597DE2">
      <w:pPr>
        <w:pStyle w:val="ParrafoApendice"/>
        <w:rPr>
          <w:lang w:val="es-PE"/>
        </w:rPr>
      </w:pPr>
      <w:r w:rsidRPr="005B6D62">
        <w:rPr>
          <w:lang w:val="es-PE"/>
        </w:rPr>
        <w:t>las cuerdas del deseo sensorial, las cinco (</w:t>
      </w:r>
      <w:proofErr w:type="spellStart"/>
      <w:r w:rsidRPr="005B6D62">
        <w:rPr>
          <w:i/>
          <w:iCs/>
          <w:lang w:val="es-PE"/>
        </w:rPr>
        <w:t>pañcakāmaguṇa</w:t>
      </w:r>
      <w:proofErr w:type="spellEnd"/>
      <w:r w:rsidRPr="005B6D62">
        <w:rPr>
          <w:lang w:val="es-PE"/>
        </w:rPr>
        <w:t>) I.155s.; IV.87, n.24. Ver también deseo sensorial</w:t>
      </w:r>
    </w:p>
    <w:p w14:paraId="2662F5D5" w14:textId="77777777" w:rsidR="00597DE2" w:rsidRPr="009C69F6" w:rsidRDefault="00597DE2" w:rsidP="00597DE2">
      <w:pPr>
        <w:pStyle w:val="ParrafoApendice"/>
        <w:rPr>
          <w:lang w:val="es-PE"/>
        </w:rPr>
      </w:pPr>
      <w:r>
        <w:rPr>
          <w:lang w:val="es-PE"/>
        </w:rPr>
        <w:t>lazo</w:t>
      </w:r>
      <w:r w:rsidRPr="009C69F6">
        <w:rPr>
          <w:lang w:val="es-PE"/>
        </w:rPr>
        <w:t xml:space="preserve"> (</w:t>
      </w:r>
      <w:proofErr w:type="spellStart"/>
      <w:r w:rsidRPr="00D86CCF">
        <w:rPr>
          <w:i/>
          <w:iCs/>
          <w:lang w:val="es-PE"/>
        </w:rPr>
        <w:t>gantha</w:t>
      </w:r>
      <w:proofErr w:type="spellEnd"/>
      <w:r w:rsidRPr="009C69F6">
        <w:rPr>
          <w:lang w:val="es-PE"/>
        </w:rPr>
        <w:t xml:space="preserve">) IV.87; VII.59; XIV.202, 226; XXII.54, 69 </w:t>
      </w:r>
    </w:p>
    <w:p w14:paraId="3D7DAAF2" w14:textId="77777777" w:rsidR="00597DE2" w:rsidRPr="005B6D62" w:rsidRDefault="00597DE2" w:rsidP="00597DE2">
      <w:pPr>
        <w:pStyle w:val="ParrafoApendice"/>
        <w:rPr>
          <w:lang w:val="es-PE"/>
        </w:rPr>
      </w:pPr>
      <w:r w:rsidRPr="005B6D62">
        <w:rPr>
          <w:lang w:val="es-PE"/>
        </w:rPr>
        <w:t>lejana/o (</w:t>
      </w:r>
      <w:proofErr w:type="spellStart"/>
      <w:r w:rsidRPr="005B6D62">
        <w:rPr>
          <w:i/>
          <w:iCs/>
          <w:lang w:val="es-PE"/>
        </w:rPr>
        <w:t>dūra</w:t>
      </w:r>
      <w:proofErr w:type="spellEnd"/>
      <w:r w:rsidRPr="005B6D62">
        <w:rPr>
          <w:lang w:val="es-PE"/>
        </w:rPr>
        <w:t xml:space="preserve">) XIV.73, 194, 209 </w:t>
      </w:r>
    </w:p>
    <w:p w14:paraId="1913D318" w14:textId="77777777" w:rsidR="00597DE2" w:rsidRPr="009C69F6" w:rsidRDefault="00597DE2" w:rsidP="00597DE2">
      <w:pPr>
        <w:pStyle w:val="ParrafoApendice"/>
        <w:rPr>
          <w:lang w:val="es-PE"/>
        </w:rPr>
      </w:pPr>
      <w:r>
        <w:rPr>
          <w:lang w:val="es-PE"/>
        </w:rPr>
        <w:t>lengua</w:t>
      </w:r>
      <w:r w:rsidRPr="009C69F6">
        <w:rPr>
          <w:lang w:val="es-PE"/>
        </w:rPr>
        <w:t xml:space="preserve"> (</w:t>
      </w:r>
      <w:proofErr w:type="spellStart"/>
      <w:r w:rsidRPr="00365DD9">
        <w:rPr>
          <w:i/>
          <w:iCs/>
          <w:lang w:val="es-PE"/>
        </w:rPr>
        <w:t>jivhā</w:t>
      </w:r>
      <w:proofErr w:type="spellEnd"/>
      <w:r w:rsidRPr="009C69F6">
        <w:rPr>
          <w:lang w:val="es-PE"/>
        </w:rPr>
        <w:t xml:space="preserve">) XIV.40, 46, 51, 117; XVI.10; XVII.156; XX.70; </w:t>
      </w:r>
      <w:r w:rsidRPr="003E4FCA">
        <w:rPr>
          <w:i/>
          <w:iCs/>
          <w:lang w:val="es-PE"/>
        </w:rPr>
        <w:t>base de la lengua</w:t>
      </w:r>
      <w:r w:rsidRPr="009C69F6">
        <w:rPr>
          <w:lang w:val="es-PE"/>
        </w:rPr>
        <w:t xml:space="preserve"> (</w:t>
      </w:r>
      <w:proofErr w:type="spellStart"/>
      <w:r w:rsidRPr="003E4FCA">
        <w:rPr>
          <w:i/>
          <w:iCs/>
          <w:lang w:val="es-PE"/>
        </w:rPr>
        <w:t>jivhāyatana</w:t>
      </w:r>
      <w:proofErr w:type="spellEnd"/>
      <w:r w:rsidRPr="009C69F6">
        <w:rPr>
          <w:lang w:val="es-PE"/>
        </w:rPr>
        <w:t xml:space="preserve">) XV.3; </w:t>
      </w:r>
      <w:r w:rsidRPr="005C6731">
        <w:rPr>
          <w:i/>
          <w:iCs/>
          <w:lang w:val="es-PE"/>
        </w:rPr>
        <w:t>consciencia de la lengua</w:t>
      </w:r>
      <w:r w:rsidRPr="009C69F6">
        <w:rPr>
          <w:lang w:val="es-PE"/>
        </w:rPr>
        <w:t xml:space="preserve"> (</w:t>
      </w:r>
      <w:proofErr w:type="spellStart"/>
      <w:r w:rsidRPr="005C6731">
        <w:rPr>
          <w:i/>
          <w:iCs/>
          <w:lang w:val="es-PE"/>
        </w:rPr>
        <w:t>jivhā</w:t>
      </w:r>
      <w:proofErr w:type="spellEnd"/>
      <w:r w:rsidRPr="005C6731">
        <w:rPr>
          <w:i/>
          <w:iCs/>
          <w:lang w:val="es-PE"/>
        </w:rPr>
        <w:t>–viññā</w:t>
      </w:r>
      <w:r>
        <w:rPr>
          <w:i/>
          <w:iCs/>
          <w:lang w:val="es-PE"/>
        </w:rPr>
        <w:t>ṇ</w:t>
      </w:r>
      <w:r w:rsidRPr="005C6731">
        <w:rPr>
          <w:i/>
          <w:iCs/>
          <w:lang w:val="es-PE"/>
        </w:rPr>
        <w:t>a</w:t>
      </w:r>
      <w:r w:rsidRPr="009C69F6">
        <w:rPr>
          <w:lang w:val="es-PE"/>
        </w:rPr>
        <w:t xml:space="preserve">) XIV.96, 117, 179; </w:t>
      </w:r>
      <w:r>
        <w:rPr>
          <w:i/>
          <w:iCs/>
          <w:lang w:val="es-PE"/>
        </w:rPr>
        <w:t>elemento de la consciencia de la lengua, e. c. gustativa</w:t>
      </w:r>
      <w:r w:rsidRPr="009C69F6">
        <w:rPr>
          <w:lang w:val="es-PE"/>
        </w:rPr>
        <w:t xml:space="preserve"> (</w:t>
      </w:r>
      <w:proofErr w:type="spellStart"/>
      <w:r w:rsidRPr="00E7753F">
        <w:rPr>
          <w:i/>
          <w:iCs/>
          <w:lang w:val="es-PE"/>
        </w:rPr>
        <w:t>jivhāviññāṇa</w:t>
      </w:r>
      <w:proofErr w:type="spellEnd"/>
      <w:r w:rsidRPr="00E7753F">
        <w:rPr>
          <w:i/>
          <w:iCs/>
          <w:lang w:val="es-PE"/>
        </w:rPr>
        <w:t>–</w:t>
      </w:r>
      <w:proofErr w:type="spellStart"/>
      <w:r w:rsidRPr="00E7753F">
        <w:rPr>
          <w:i/>
          <w:iCs/>
          <w:lang w:val="es-PE"/>
        </w:rPr>
        <w:t>dhātu</w:t>
      </w:r>
      <w:proofErr w:type="spellEnd"/>
      <w:r w:rsidRPr="009C69F6">
        <w:rPr>
          <w:lang w:val="es-PE"/>
        </w:rPr>
        <w:t xml:space="preserve">) XV.17; </w:t>
      </w:r>
      <w:r w:rsidRPr="00122E15">
        <w:rPr>
          <w:i/>
          <w:iCs/>
          <w:lang w:val="es-PE"/>
        </w:rPr>
        <w:t xml:space="preserve">elemento </w:t>
      </w:r>
      <w:r>
        <w:rPr>
          <w:i/>
          <w:iCs/>
          <w:lang w:val="es-PE"/>
        </w:rPr>
        <w:t>lingual</w:t>
      </w:r>
      <w:r>
        <w:rPr>
          <w:lang w:val="es-PE"/>
        </w:rPr>
        <w:t xml:space="preserve"> </w:t>
      </w:r>
      <w:r w:rsidRPr="009C69F6">
        <w:rPr>
          <w:lang w:val="es-PE"/>
        </w:rPr>
        <w:t>(</w:t>
      </w:r>
      <w:proofErr w:type="spellStart"/>
      <w:r w:rsidRPr="00122E15">
        <w:rPr>
          <w:i/>
          <w:iCs/>
          <w:lang w:val="es-PE"/>
        </w:rPr>
        <w:t>jivhā</w:t>
      </w:r>
      <w:proofErr w:type="spellEnd"/>
      <w:r w:rsidRPr="00122E15">
        <w:rPr>
          <w:i/>
          <w:iCs/>
          <w:lang w:val="es-PE"/>
        </w:rPr>
        <w:t>–</w:t>
      </w:r>
      <w:proofErr w:type="spellStart"/>
      <w:r w:rsidRPr="00122E15">
        <w:rPr>
          <w:i/>
          <w:iCs/>
          <w:lang w:val="es-PE"/>
        </w:rPr>
        <w:t>dhātu</w:t>
      </w:r>
      <w:proofErr w:type="spellEnd"/>
      <w:r w:rsidRPr="009C69F6">
        <w:rPr>
          <w:lang w:val="es-PE"/>
        </w:rPr>
        <w:t xml:space="preserve">) XV.17; </w:t>
      </w:r>
      <w:r>
        <w:rPr>
          <w:lang w:val="es-PE"/>
        </w:rPr>
        <w:t xml:space="preserve">facultad de la lengua </w:t>
      </w:r>
      <w:r w:rsidRPr="009C69F6">
        <w:rPr>
          <w:lang w:val="es-PE"/>
        </w:rPr>
        <w:t>(</w:t>
      </w:r>
      <w:proofErr w:type="spellStart"/>
      <w:r w:rsidRPr="009C767B">
        <w:rPr>
          <w:i/>
          <w:iCs/>
          <w:lang w:val="es-PE"/>
        </w:rPr>
        <w:t>jivhindriya</w:t>
      </w:r>
      <w:proofErr w:type="spellEnd"/>
      <w:r w:rsidRPr="009C69F6">
        <w:rPr>
          <w:lang w:val="es-PE"/>
        </w:rPr>
        <w:t>) XVI.1</w:t>
      </w:r>
    </w:p>
    <w:p w14:paraId="2895F6A5" w14:textId="77777777" w:rsidR="00597DE2" w:rsidRPr="005B6D62" w:rsidRDefault="00597DE2" w:rsidP="00597DE2">
      <w:pPr>
        <w:pStyle w:val="ParrafoApendice"/>
        <w:rPr>
          <w:lang w:val="es-PE"/>
        </w:rPr>
      </w:pPr>
      <w:r w:rsidRPr="005B6D62">
        <w:rPr>
          <w:lang w:val="es-PE"/>
        </w:rPr>
        <w:t>lenguaje (</w:t>
      </w:r>
      <w:proofErr w:type="spellStart"/>
      <w:r w:rsidRPr="005B6D62">
        <w:rPr>
          <w:i/>
          <w:iCs/>
          <w:lang w:val="es-PE"/>
        </w:rPr>
        <w:t>nirutti</w:t>
      </w:r>
      <w:proofErr w:type="spellEnd"/>
      <w:r w:rsidRPr="005B6D62">
        <w:rPr>
          <w:lang w:val="es-PE"/>
        </w:rPr>
        <w:t xml:space="preserve">) VII.58; XIV.21s. </w:t>
      </w:r>
    </w:p>
    <w:p w14:paraId="1C23D0E4" w14:textId="77777777" w:rsidR="00597DE2" w:rsidRPr="00575852" w:rsidRDefault="00597DE2" w:rsidP="00597DE2">
      <w:pPr>
        <w:pStyle w:val="ParrafoApendice"/>
        <w:rPr>
          <w:lang w:val="es-PE"/>
        </w:rPr>
      </w:pPr>
      <w:r w:rsidRPr="005A569D">
        <w:rPr>
          <w:lang w:val="es-PE"/>
        </w:rPr>
        <w:t>lenguaje (</w:t>
      </w:r>
      <w:r w:rsidRPr="005A569D">
        <w:rPr>
          <w:i/>
          <w:iCs/>
          <w:lang w:val="es-PE"/>
        </w:rPr>
        <w:t>vācā</w:t>
      </w:r>
      <w:r w:rsidRPr="005A569D">
        <w:rPr>
          <w:lang w:val="es-PE"/>
        </w:rPr>
        <w:t xml:space="preserve">) XXII.42. </w:t>
      </w:r>
      <w:r>
        <w:rPr>
          <w:lang w:val="es-PE"/>
        </w:rPr>
        <w:t xml:space="preserve">Ver también </w:t>
      </w:r>
      <w:r w:rsidRPr="005A569D">
        <w:rPr>
          <w:i/>
          <w:iCs/>
          <w:lang w:val="es-PE"/>
        </w:rPr>
        <w:t>l. correcto</w:t>
      </w:r>
      <w:r w:rsidRPr="005A569D">
        <w:rPr>
          <w:lang w:val="es-PE"/>
        </w:rPr>
        <w:t xml:space="preserve">.; </w:t>
      </w:r>
      <w:r w:rsidRPr="005C01BC">
        <w:rPr>
          <w:i/>
          <w:iCs/>
          <w:lang w:val="es-PE"/>
        </w:rPr>
        <w:t>puerta del lenguaje</w:t>
      </w:r>
      <w:r>
        <w:rPr>
          <w:lang w:val="es-PE"/>
        </w:rPr>
        <w:t xml:space="preserve"> </w:t>
      </w:r>
      <w:r w:rsidRPr="005A569D">
        <w:rPr>
          <w:lang w:val="es-PE"/>
        </w:rPr>
        <w:t>(</w:t>
      </w:r>
      <w:proofErr w:type="spellStart"/>
      <w:r w:rsidRPr="005C01BC">
        <w:rPr>
          <w:i/>
          <w:iCs/>
          <w:lang w:val="es-PE"/>
        </w:rPr>
        <w:t>vacīdvāra</w:t>
      </w:r>
      <w:proofErr w:type="spellEnd"/>
      <w:r w:rsidRPr="005A569D">
        <w:rPr>
          <w:lang w:val="es-PE"/>
        </w:rPr>
        <w:t xml:space="preserve">) XVII.61; </w:t>
      </w:r>
      <w:r w:rsidRPr="00C658FD">
        <w:rPr>
          <w:i/>
          <w:iCs/>
          <w:lang w:val="es-PE"/>
        </w:rPr>
        <w:t xml:space="preserve">lenguaje </w:t>
      </w:r>
      <w:r>
        <w:rPr>
          <w:i/>
          <w:iCs/>
          <w:lang w:val="es-PE"/>
        </w:rPr>
        <w:t>expresivo</w:t>
      </w:r>
      <w:r w:rsidRPr="005A569D">
        <w:rPr>
          <w:lang w:val="es-PE"/>
        </w:rPr>
        <w:t xml:space="preserve"> (</w:t>
      </w:r>
      <w:proofErr w:type="spellStart"/>
      <w:r w:rsidRPr="005C01BC">
        <w:rPr>
          <w:i/>
          <w:iCs/>
          <w:lang w:val="es-PE"/>
        </w:rPr>
        <w:t>vacībheda</w:t>
      </w:r>
      <w:proofErr w:type="spellEnd"/>
      <w:r w:rsidRPr="005A569D">
        <w:rPr>
          <w:lang w:val="es-PE"/>
        </w:rPr>
        <w:t>)</w:t>
      </w:r>
      <w:r w:rsidRPr="00575852">
        <w:rPr>
          <w:lang w:val="es-PE"/>
        </w:rPr>
        <w:t xml:space="preserve"> XIV.62 </w:t>
      </w:r>
    </w:p>
    <w:p w14:paraId="2511701B" w14:textId="77777777" w:rsidR="00597DE2" w:rsidRPr="005B6D62" w:rsidRDefault="00597DE2" w:rsidP="00597DE2">
      <w:pPr>
        <w:pStyle w:val="ParrafoApendice"/>
        <w:rPr>
          <w:lang w:val="es-PE"/>
        </w:rPr>
      </w:pPr>
      <w:r w:rsidRPr="005B6D62">
        <w:rPr>
          <w:lang w:val="es-PE"/>
        </w:rPr>
        <w:t>lenguaje falso (</w:t>
      </w:r>
      <w:proofErr w:type="spellStart"/>
      <w:r w:rsidRPr="005B6D62">
        <w:rPr>
          <w:i/>
          <w:iCs/>
          <w:lang w:val="es-PE"/>
        </w:rPr>
        <w:t>musāvāda</w:t>
      </w:r>
      <w:proofErr w:type="spellEnd"/>
      <w:r w:rsidRPr="005B6D62">
        <w:rPr>
          <w:lang w:val="es-PE"/>
        </w:rPr>
        <w:t xml:space="preserve">) I.140; XXII.66 </w:t>
      </w:r>
    </w:p>
    <w:p w14:paraId="290674E8" w14:textId="77777777" w:rsidR="00597DE2" w:rsidRPr="005B6D62" w:rsidRDefault="00597DE2" w:rsidP="00597DE2">
      <w:pPr>
        <w:pStyle w:val="ParrafoApendice"/>
        <w:rPr>
          <w:lang w:val="es-PE"/>
        </w:rPr>
      </w:pPr>
      <w:r w:rsidRPr="005B6D62">
        <w:rPr>
          <w:lang w:val="es-PE"/>
        </w:rPr>
        <w:t>lenguaje malicioso (</w:t>
      </w:r>
      <w:proofErr w:type="spellStart"/>
      <w:r w:rsidRPr="005B6D62">
        <w:rPr>
          <w:i/>
          <w:iCs/>
          <w:lang w:val="es-PE"/>
        </w:rPr>
        <w:t>pisuṇā</w:t>
      </w:r>
      <w:proofErr w:type="spellEnd"/>
      <w:r w:rsidRPr="005B6D62">
        <w:rPr>
          <w:i/>
          <w:iCs/>
          <w:lang w:val="es-PE"/>
        </w:rPr>
        <w:t>–vācā</w:t>
      </w:r>
      <w:r w:rsidRPr="005B6D62">
        <w:rPr>
          <w:lang w:val="es-PE"/>
        </w:rPr>
        <w:t>) I.140; XXII.66</w:t>
      </w:r>
    </w:p>
    <w:p w14:paraId="77BFAB7D" w14:textId="77777777" w:rsidR="00597DE2" w:rsidRPr="005B6D62" w:rsidRDefault="00597DE2" w:rsidP="00597DE2">
      <w:pPr>
        <w:pStyle w:val="ParrafoApendice"/>
        <w:rPr>
          <w:lang w:val="es-PE"/>
        </w:rPr>
      </w:pPr>
      <w:r w:rsidRPr="005B6D62">
        <w:rPr>
          <w:lang w:val="es-PE"/>
        </w:rPr>
        <w:t>lenguaje rudo (</w:t>
      </w:r>
      <w:proofErr w:type="spellStart"/>
      <w:r w:rsidRPr="005B6D62">
        <w:rPr>
          <w:i/>
          <w:iCs/>
          <w:lang w:val="es-PE"/>
        </w:rPr>
        <w:t>pharusa</w:t>
      </w:r>
      <w:proofErr w:type="spellEnd"/>
      <w:r w:rsidRPr="005B6D62">
        <w:rPr>
          <w:i/>
          <w:iCs/>
          <w:lang w:val="es-PE"/>
        </w:rPr>
        <w:t>–vācā</w:t>
      </w:r>
      <w:r w:rsidRPr="005B6D62">
        <w:rPr>
          <w:lang w:val="es-PE"/>
        </w:rPr>
        <w:t xml:space="preserve">) I.140; XXII.66 </w:t>
      </w:r>
    </w:p>
    <w:p w14:paraId="0F22D7FE" w14:textId="77777777" w:rsidR="00597DE2" w:rsidRPr="009C69F6" w:rsidRDefault="00597DE2" w:rsidP="00597DE2">
      <w:pPr>
        <w:pStyle w:val="ParrafoApendice"/>
        <w:rPr>
          <w:lang w:val="es-PE"/>
        </w:rPr>
      </w:pPr>
      <w:r>
        <w:rPr>
          <w:lang w:val="es-PE"/>
        </w:rPr>
        <w:t>letargo, cansancio</w:t>
      </w:r>
      <w:r w:rsidRPr="009C69F6">
        <w:rPr>
          <w:lang w:val="es-PE"/>
        </w:rPr>
        <w:t xml:space="preserve"> (</w:t>
      </w:r>
      <w:proofErr w:type="spellStart"/>
      <w:r w:rsidRPr="004D5D14">
        <w:rPr>
          <w:i/>
          <w:iCs/>
          <w:lang w:val="es-PE"/>
        </w:rPr>
        <w:t>middha</w:t>
      </w:r>
      <w:proofErr w:type="spellEnd"/>
      <w:r w:rsidRPr="009C69F6">
        <w:rPr>
          <w:lang w:val="es-PE"/>
        </w:rPr>
        <w:t>) III.95; XIV.71</w:t>
      </w:r>
    </w:p>
    <w:p w14:paraId="46C4EF3C" w14:textId="77777777" w:rsidR="00597DE2" w:rsidRPr="005B6D62" w:rsidRDefault="00597DE2" w:rsidP="00597DE2">
      <w:pPr>
        <w:pStyle w:val="ParrafoApendice"/>
        <w:rPr>
          <w:u w:color="000000"/>
          <w:lang w:val="es-PE"/>
        </w:rPr>
      </w:pPr>
      <w:r w:rsidRPr="005B6D62">
        <w:rPr>
          <w:u w:color="000000"/>
          <w:lang w:val="es-PE"/>
        </w:rPr>
        <w:t>letargo, cansancio, entumecimiento (</w:t>
      </w:r>
      <w:proofErr w:type="spellStart"/>
      <w:r w:rsidRPr="005B6D62">
        <w:rPr>
          <w:i/>
          <w:iCs/>
          <w:u w:color="000000"/>
          <w:lang w:val="es-PE"/>
        </w:rPr>
        <w:t>kosajja</w:t>
      </w:r>
      <w:proofErr w:type="spellEnd"/>
      <w:r w:rsidRPr="005B6D62">
        <w:rPr>
          <w:u w:color="000000"/>
          <w:lang w:val="es-PE"/>
        </w:rPr>
        <w:t xml:space="preserve">) IV.47, 72; VIII.74; XII.17 </w:t>
      </w:r>
    </w:p>
    <w:p w14:paraId="0C1AA0F9" w14:textId="77777777" w:rsidR="00597DE2" w:rsidRPr="005B6D62" w:rsidRDefault="00597DE2" w:rsidP="00597DE2">
      <w:pPr>
        <w:pStyle w:val="ParrafoApendice"/>
        <w:rPr>
          <w:lang w:val="es-PE"/>
        </w:rPr>
      </w:pPr>
      <w:r w:rsidRPr="005B6D62">
        <w:rPr>
          <w:lang w:val="es-PE"/>
        </w:rPr>
        <w:t>ley (</w:t>
      </w:r>
      <w:r w:rsidRPr="005B6D62">
        <w:rPr>
          <w:i/>
          <w:iCs/>
          <w:lang w:val="es-PE"/>
        </w:rPr>
        <w:t>dhamma</w:t>
      </w:r>
      <w:r w:rsidRPr="005B6D62">
        <w:rPr>
          <w:lang w:val="es-PE"/>
        </w:rPr>
        <w:t xml:space="preserve">) VII.68, n.1; XIV.21s.; XVII.25 Ver también </w:t>
      </w:r>
      <w:r w:rsidRPr="005B6D62">
        <w:rPr>
          <w:i/>
          <w:iCs/>
          <w:lang w:val="es-PE"/>
        </w:rPr>
        <w:t>dhamma</w:t>
      </w:r>
    </w:p>
    <w:p w14:paraId="749E3191" w14:textId="77777777" w:rsidR="00597DE2" w:rsidRPr="005B6D62" w:rsidRDefault="00597DE2" w:rsidP="00597DE2">
      <w:pPr>
        <w:pStyle w:val="ParrafoApendice"/>
        <w:rPr>
          <w:lang w:val="es-PE"/>
        </w:rPr>
      </w:pPr>
      <w:r w:rsidRPr="005B6D62">
        <w:rPr>
          <w:lang w:val="es-PE"/>
        </w:rPr>
        <w:t>liberación (</w:t>
      </w:r>
      <w:proofErr w:type="spellStart"/>
      <w:r w:rsidRPr="005B6D62">
        <w:rPr>
          <w:i/>
          <w:iCs/>
          <w:lang w:val="es-PE"/>
        </w:rPr>
        <w:t>vimokkha</w:t>
      </w:r>
      <w:proofErr w:type="spellEnd"/>
      <w:r w:rsidRPr="005B6D62">
        <w:rPr>
          <w:lang w:val="es-PE"/>
        </w:rPr>
        <w:t xml:space="preserve">) V.32; VII.48, 63; IX.120; X.n.3; XIV.31; XVII.281; XXI.66f., 119 </w:t>
      </w:r>
      <w:r>
        <w:rPr>
          <w:lang w:val="es-PE"/>
        </w:rPr>
        <w:br w:type="column"/>
      </w:r>
    </w:p>
    <w:p w14:paraId="73E081F5" w14:textId="77777777" w:rsidR="00597DE2" w:rsidRPr="005B6D62" w:rsidRDefault="00597DE2" w:rsidP="00597DE2">
      <w:pPr>
        <w:pStyle w:val="ParrafoApendice"/>
        <w:rPr>
          <w:lang w:val="es-PE"/>
        </w:rPr>
      </w:pPr>
      <w:r w:rsidRPr="005B6D62">
        <w:rPr>
          <w:lang w:val="es-PE"/>
        </w:rPr>
        <w:t>liberación (</w:t>
      </w:r>
      <w:proofErr w:type="spellStart"/>
      <w:r w:rsidRPr="005B6D62">
        <w:rPr>
          <w:i/>
          <w:iCs/>
          <w:lang w:val="es-PE"/>
        </w:rPr>
        <w:t>vimutti</w:t>
      </w:r>
      <w:proofErr w:type="spellEnd"/>
      <w:r w:rsidRPr="005B6D62">
        <w:rPr>
          <w:lang w:val="es-PE"/>
        </w:rPr>
        <w:t>) I.32; IV.117; VIII.239; XIII.12; XXII.66, ver l. mental.</w:t>
      </w:r>
    </w:p>
    <w:p w14:paraId="06E67EA1" w14:textId="77777777" w:rsidR="00597DE2" w:rsidRPr="005B6D62" w:rsidRDefault="00597DE2" w:rsidP="00597DE2">
      <w:pPr>
        <w:pStyle w:val="ParrafoApendice"/>
        <w:rPr>
          <w:lang w:val="es-PE"/>
        </w:rPr>
      </w:pPr>
      <w:r w:rsidRPr="005B6D62">
        <w:rPr>
          <w:lang w:val="es-PE"/>
        </w:rPr>
        <w:t>liberado en ambas formas (</w:t>
      </w:r>
      <w:proofErr w:type="spellStart"/>
      <w:r w:rsidRPr="005B6D62">
        <w:rPr>
          <w:i/>
          <w:iCs/>
          <w:lang w:val="es-PE"/>
        </w:rPr>
        <w:t>ubhatobhāga</w:t>
      </w:r>
      <w:proofErr w:type="spellEnd"/>
      <w:r w:rsidRPr="005B6D62">
        <w:rPr>
          <w:i/>
          <w:iCs/>
          <w:lang w:val="es-PE"/>
        </w:rPr>
        <w:t>–</w:t>
      </w:r>
      <w:proofErr w:type="spellStart"/>
      <w:r w:rsidRPr="005B6D62">
        <w:rPr>
          <w:i/>
          <w:iCs/>
          <w:lang w:val="es-PE"/>
        </w:rPr>
        <w:t>vimutta</w:t>
      </w:r>
      <w:proofErr w:type="spellEnd"/>
      <w:r w:rsidRPr="005B6D62">
        <w:rPr>
          <w:lang w:val="es-PE"/>
        </w:rPr>
        <w:t xml:space="preserve">) XXI.74, 89; XXIII.58; </w:t>
      </w:r>
      <w:r w:rsidRPr="005B6D62">
        <w:rPr>
          <w:i/>
          <w:iCs/>
          <w:lang w:val="es-PE"/>
        </w:rPr>
        <w:t>I. mediante la fe</w:t>
      </w:r>
      <w:r w:rsidRPr="005B6D62">
        <w:rPr>
          <w:lang w:val="es-PE"/>
        </w:rPr>
        <w:t xml:space="preserve"> (</w:t>
      </w:r>
      <w:proofErr w:type="spellStart"/>
      <w:r w:rsidRPr="005B6D62">
        <w:rPr>
          <w:i/>
          <w:iCs/>
          <w:lang w:val="es-PE"/>
        </w:rPr>
        <w:t>saddhā</w:t>
      </w:r>
      <w:proofErr w:type="spellEnd"/>
      <w:r w:rsidRPr="005B6D62">
        <w:rPr>
          <w:i/>
          <w:iCs/>
          <w:lang w:val="es-PE"/>
        </w:rPr>
        <w:t>–</w:t>
      </w:r>
      <w:proofErr w:type="spellStart"/>
      <w:r w:rsidRPr="005B6D62">
        <w:rPr>
          <w:i/>
          <w:iCs/>
          <w:lang w:val="es-PE"/>
        </w:rPr>
        <w:t>vimutta</w:t>
      </w:r>
      <w:proofErr w:type="spellEnd"/>
      <w:r w:rsidRPr="005B6D62">
        <w:rPr>
          <w:lang w:val="es-PE"/>
        </w:rPr>
        <w:t>) XXI.74, 89; XXIII.38;</w:t>
      </w:r>
      <w:r w:rsidRPr="005B6D62">
        <w:rPr>
          <w:i/>
          <w:iCs/>
          <w:lang w:val="es-PE"/>
        </w:rPr>
        <w:t xml:space="preserve"> I. mediante el entendimiento</w:t>
      </w:r>
      <w:r w:rsidRPr="005B6D62">
        <w:rPr>
          <w:lang w:val="es-PE"/>
        </w:rPr>
        <w:t xml:space="preserve"> (</w:t>
      </w:r>
      <w:r w:rsidRPr="005B6D62">
        <w:rPr>
          <w:i/>
          <w:iCs/>
          <w:lang w:val="es-PE"/>
        </w:rPr>
        <w:t>paññā–</w:t>
      </w:r>
      <w:proofErr w:type="spellStart"/>
      <w:r w:rsidRPr="005B6D62">
        <w:rPr>
          <w:i/>
          <w:iCs/>
          <w:lang w:val="es-PE"/>
        </w:rPr>
        <w:t>vimutta</w:t>
      </w:r>
      <w:proofErr w:type="spellEnd"/>
      <w:r w:rsidRPr="005B6D62">
        <w:rPr>
          <w:lang w:val="es-PE"/>
        </w:rPr>
        <w:t xml:space="preserve">) XXI.74, 89; XXIII.58 </w:t>
      </w:r>
    </w:p>
    <w:p w14:paraId="5394AC3F" w14:textId="77777777" w:rsidR="00597DE2" w:rsidRPr="005B6D62" w:rsidRDefault="00597DE2" w:rsidP="00597DE2">
      <w:pPr>
        <w:pStyle w:val="ParrafoApendice"/>
        <w:rPr>
          <w:lang w:val="es-PE"/>
        </w:rPr>
      </w:pPr>
      <w:r w:rsidRPr="005B6D62">
        <w:rPr>
          <w:lang w:val="es-PE"/>
        </w:rPr>
        <w:t>libro (</w:t>
      </w:r>
      <w:proofErr w:type="spellStart"/>
      <w:r w:rsidRPr="005B6D62">
        <w:rPr>
          <w:i/>
          <w:iCs/>
          <w:lang w:val="es-PE"/>
        </w:rPr>
        <w:t>gantha</w:t>
      </w:r>
      <w:proofErr w:type="spellEnd"/>
      <w:r w:rsidRPr="005B6D62">
        <w:rPr>
          <w:lang w:val="es-PE"/>
        </w:rPr>
        <w:t xml:space="preserve">) III.51, 126 </w:t>
      </w:r>
    </w:p>
    <w:p w14:paraId="09A0CADA" w14:textId="77777777" w:rsidR="00597DE2" w:rsidRPr="005B6D62" w:rsidRDefault="00597DE2" w:rsidP="00597DE2">
      <w:pPr>
        <w:pStyle w:val="ParrafoApendice"/>
        <w:rPr>
          <w:lang w:val="es-PE"/>
        </w:rPr>
      </w:pPr>
      <w:r w:rsidRPr="005B6D62">
        <w:rPr>
          <w:lang w:val="es-PE"/>
        </w:rPr>
        <w:t>ligereza (</w:t>
      </w:r>
      <w:proofErr w:type="spellStart"/>
      <w:r w:rsidRPr="005B6D62">
        <w:rPr>
          <w:i/>
          <w:iCs/>
          <w:lang w:val="es-PE"/>
        </w:rPr>
        <w:t>lahutā</w:t>
      </w:r>
      <w:proofErr w:type="spellEnd"/>
      <w:r w:rsidRPr="005B6D62">
        <w:rPr>
          <w:lang w:val="es-PE"/>
        </w:rPr>
        <w:t xml:space="preserve">) XIV.64, 76, 79, 133, 145; XVIII.13; XX.23, 32, 36 </w:t>
      </w:r>
    </w:p>
    <w:p w14:paraId="7892B820" w14:textId="77777777" w:rsidR="00597DE2" w:rsidRPr="005B6D62" w:rsidRDefault="00597DE2" w:rsidP="00597DE2">
      <w:pPr>
        <w:pStyle w:val="ParrafoApendice"/>
        <w:rPr>
          <w:lang w:val="es-PE"/>
        </w:rPr>
      </w:pPr>
      <w:r w:rsidRPr="005B6D62">
        <w:rPr>
          <w:lang w:val="es-PE"/>
        </w:rPr>
        <w:t>limitado/a (</w:t>
      </w:r>
      <w:proofErr w:type="spellStart"/>
      <w:r w:rsidRPr="005B6D62">
        <w:rPr>
          <w:i/>
          <w:iCs/>
          <w:lang w:val="es-PE"/>
        </w:rPr>
        <w:t>paritta</w:t>
      </w:r>
      <w:proofErr w:type="spellEnd"/>
      <w:r w:rsidRPr="005B6D62">
        <w:rPr>
          <w:lang w:val="es-PE"/>
        </w:rPr>
        <w:t xml:space="preserve">) III.5, 13, 20, 112; IV.74; XIII.105f.; XIV.15; XVII.53 </w:t>
      </w:r>
    </w:p>
    <w:p w14:paraId="2FAEA6E7" w14:textId="77777777" w:rsidR="00597DE2" w:rsidRPr="005B6D62" w:rsidRDefault="00597DE2" w:rsidP="00597DE2">
      <w:pPr>
        <w:pStyle w:val="ParrafoApendice"/>
        <w:rPr>
          <w:lang w:val="es-PE"/>
        </w:rPr>
      </w:pPr>
      <w:r w:rsidRPr="005B6D62">
        <w:rPr>
          <w:lang w:val="es-PE"/>
        </w:rPr>
        <w:t>linaje (</w:t>
      </w:r>
      <w:proofErr w:type="spellStart"/>
      <w:r w:rsidRPr="005B6D62">
        <w:rPr>
          <w:i/>
          <w:iCs/>
          <w:lang w:val="es-PE"/>
        </w:rPr>
        <w:t>gotta</w:t>
      </w:r>
      <w:proofErr w:type="spellEnd"/>
      <w:r w:rsidRPr="005B6D62">
        <w:rPr>
          <w:lang w:val="es-PE"/>
        </w:rPr>
        <w:t xml:space="preserve">) IV.74; XIII.123 </w:t>
      </w:r>
    </w:p>
    <w:p w14:paraId="5A45A862" w14:textId="77777777" w:rsidR="00597DE2" w:rsidRPr="005B6D62" w:rsidRDefault="00597DE2" w:rsidP="00597DE2">
      <w:pPr>
        <w:pStyle w:val="ParrafoApendice"/>
        <w:rPr>
          <w:lang w:val="es-PE"/>
        </w:rPr>
      </w:pPr>
      <w:r w:rsidRPr="005B6D62">
        <w:rPr>
          <w:lang w:val="es-PE"/>
        </w:rPr>
        <w:t>longitud, extensión (</w:t>
      </w:r>
      <w:proofErr w:type="spellStart"/>
      <w:r w:rsidRPr="005B6D62">
        <w:rPr>
          <w:i/>
          <w:iCs/>
          <w:lang w:val="es-PE"/>
        </w:rPr>
        <w:t>addhā</w:t>
      </w:r>
      <w:proofErr w:type="spellEnd"/>
      <w:r w:rsidRPr="005B6D62">
        <w:rPr>
          <w:lang w:val="es-PE"/>
        </w:rPr>
        <w:t xml:space="preserve">, </w:t>
      </w:r>
      <w:proofErr w:type="spellStart"/>
      <w:r w:rsidRPr="005B6D62">
        <w:rPr>
          <w:i/>
          <w:iCs/>
          <w:lang w:val="es-PE"/>
        </w:rPr>
        <w:t>addhāna</w:t>
      </w:r>
      <w:proofErr w:type="spellEnd"/>
      <w:r w:rsidRPr="005B6D62">
        <w:rPr>
          <w:lang w:val="es-PE"/>
        </w:rPr>
        <w:t xml:space="preserve">) IV.78; VIII.165; XIII.111s.; XIV.186s. </w:t>
      </w:r>
    </w:p>
    <w:p w14:paraId="3D59A7D8" w14:textId="77777777" w:rsidR="00597DE2" w:rsidRPr="005B6D62" w:rsidRDefault="00597DE2" w:rsidP="00597DE2">
      <w:pPr>
        <w:pStyle w:val="ParrafoApendice"/>
        <w:rPr>
          <w:lang w:val="es-PE"/>
        </w:rPr>
      </w:pPr>
      <w:r w:rsidRPr="005B6D62">
        <w:rPr>
          <w:lang w:val="es-PE"/>
        </w:rPr>
        <w:t xml:space="preserve">Los Cuatro Reyes Divinos, ver </w:t>
      </w:r>
      <w:proofErr w:type="spellStart"/>
      <w:r w:rsidRPr="005B6D62">
        <w:rPr>
          <w:lang w:val="es-PE"/>
        </w:rPr>
        <w:t>Catumahārājā</w:t>
      </w:r>
      <w:proofErr w:type="spellEnd"/>
      <w:r w:rsidRPr="005B6D62">
        <w:rPr>
          <w:lang w:val="es-PE"/>
        </w:rPr>
        <w:t xml:space="preserve"> </w:t>
      </w:r>
    </w:p>
    <w:p w14:paraId="3388E70E" w14:textId="77777777" w:rsidR="00597DE2" w:rsidRPr="007C0700" w:rsidRDefault="00597DE2" w:rsidP="00597DE2">
      <w:pPr>
        <w:pStyle w:val="ParrafoApendice"/>
        <w:rPr>
          <w:lang w:val="es-PE"/>
        </w:rPr>
      </w:pPr>
      <w:r w:rsidRPr="007C0700">
        <w:rPr>
          <w:lang w:val="es-PE"/>
        </w:rPr>
        <w:t xml:space="preserve">Los Treinta y Tres Dioses, ver </w:t>
      </w:r>
      <w:proofErr w:type="spellStart"/>
      <w:r w:rsidRPr="007C0700">
        <w:rPr>
          <w:i/>
          <w:iCs/>
          <w:lang w:val="es-PE"/>
        </w:rPr>
        <w:t>Tāvatiṃsa</w:t>
      </w:r>
      <w:proofErr w:type="spellEnd"/>
      <w:r w:rsidRPr="007C0700">
        <w:rPr>
          <w:lang w:val="es-PE"/>
        </w:rPr>
        <w:t xml:space="preserve"> </w:t>
      </w:r>
    </w:p>
    <w:p w14:paraId="2614D8E8" w14:textId="77777777" w:rsidR="00597DE2" w:rsidRPr="00AE099E" w:rsidRDefault="00597DE2" w:rsidP="00597DE2">
      <w:pPr>
        <w:pStyle w:val="ParrafoApendice"/>
        <w:rPr>
          <w:lang w:val="es-PE"/>
        </w:rPr>
      </w:pPr>
      <w:r w:rsidRPr="00AE099E">
        <w:rPr>
          <w:lang w:val="es-PE"/>
        </w:rPr>
        <w:t>lugar de desc</w:t>
      </w:r>
      <w:r>
        <w:rPr>
          <w:lang w:val="es-PE"/>
        </w:rPr>
        <w:t>anso</w:t>
      </w:r>
      <w:r w:rsidRPr="00AE099E">
        <w:rPr>
          <w:lang w:val="es-PE"/>
        </w:rPr>
        <w:t xml:space="preserve"> (</w:t>
      </w:r>
      <w:proofErr w:type="spellStart"/>
      <w:r w:rsidRPr="0059002C">
        <w:rPr>
          <w:i/>
          <w:iCs/>
          <w:lang w:val="es-PE"/>
        </w:rPr>
        <w:t>senāsana</w:t>
      </w:r>
      <w:proofErr w:type="spellEnd"/>
      <w:r w:rsidRPr="00AE099E">
        <w:rPr>
          <w:lang w:val="es-PE"/>
        </w:rPr>
        <w:t xml:space="preserve">) I.68, 95; </w:t>
      </w:r>
      <w:r w:rsidRPr="0024699E">
        <w:rPr>
          <w:color w:val="833C0B" w:themeColor="accent2" w:themeShade="80"/>
          <w:lang w:val="es-PE"/>
        </w:rPr>
        <w:t>III.98</w:t>
      </w:r>
      <w:r w:rsidRPr="00AE099E">
        <w:rPr>
          <w:lang w:val="es-PE"/>
        </w:rPr>
        <w:t xml:space="preserve">; IV.19; VIII.158, n.42 </w:t>
      </w:r>
    </w:p>
    <w:p w14:paraId="08D20770" w14:textId="77777777" w:rsidR="00597DE2" w:rsidRPr="005B6D62" w:rsidRDefault="00597DE2" w:rsidP="00597DE2">
      <w:pPr>
        <w:pStyle w:val="ParrafoApendice"/>
        <w:rPr>
          <w:lang w:val="es-PE"/>
        </w:rPr>
      </w:pPr>
      <w:r w:rsidRPr="005B6D62">
        <w:rPr>
          <w:lang w:val="es-PE"/>
        </w:rPr>
        <w:t>Luna (</w:t>
      </w:r>
      <w:proofErr w:type="spellStart"/>
      <w:r w:rsidRPr="005B6D62">
        <w:rPr>
          <w:i/>
          <w:iCs/>
          <w:lang w:val="es-PE"/>
        </w:rPr>
        <w:t>canda</w:t>
      </w:r>
      <w:proofErr w:type="spellEnd"/>
      <w:r w:rsidRPr="005B6D62">
        <w:rPr>
          <w:lang w:val="es-PE"/>
        </w:rPr>
        <w:t xml:space="preserve">) I.n.10; VII.44; XII.102; XIII.46 </w:t>
      </w:r>
    </w:p>
    <w:p w14:paraId="7C740E47" w14:textId="77777777" w:rsidR="00597DE2" w:rsidRPr="005B6D62" w:rsidRDefault="00597DE2" w:rsidP="00597DE2">
      <w:pPr>
        <w:pStyle w:val="ParrafoApendice"/>
        <w:rPr>
          <w:lang w:val="es-PE"/>
        </w:rPr>
      </w:pPr>
      <w:r w:rsidRPr="005B6D62">
        <w:rPr>
          <w:lang w:val="es-PE"/>
        </w:rPr>
        <w:t>luz (</w:t>
      </w:r>
      <w:proofErr w:type="spellStart"/>
      <w:r w:rsidRPr="005B6D62">
        <w:rPr>
          <w:i/>
          <w:iCs/>
          <w:lang w:val="es-PE"/>
        </w:rPr>
        <w:t>āloka</w:t>
      </w:r>
      <w:proofErr w:type="spellEnd"/>
      <w:r w:rsidRPr="005B6D62">
        <w:rPr>
          <w:lang w:val="es-PE"/>
        </w:rPr>
        <w:t xml:space="preserve">) I.n.14; V.n.5; XIII.9, 79; XV.39; XX.108s.; </w:t>
      </w:r>
      <w:proofErr w:type="spellStart"/>
      <w:r w:rsidRPr="005B6D62">
        <w:rPr>
          <w:i/>
          <w:iCs/>
          <w:lang w:val="es-PE"/>
        </w:rPr>
        <w:t>kasiṇa</w:t>
      </w:r>
      <w:proofErr w:type="spellEnd"/>
      <w:r w:rsidRPr="005B6D62">
        <w:rPr>
          <w:i/>
          <w:iCs/>
          <w:lang w:val="es-PE"/>
        </w:rPr>
        <w:t xml:space="preserve"> luz</w:t>
      </w:r>
      <w:r w:rsidRPr="005B6D62">
        <w:rPr>
          <w:lang w:val="es-PE"/>
        </w:rPr>
        <w:t xml:space="preserve"> (</w:t>
      </w:r>
      <w:proofErr w:type="spellStart"/>
      <w:r w:rsidRPr="005B6D62">
        <w:rPr>
          <w:i/>
          <w:iCs/>
          <w:lang w:val="es-PE"/>
        </w:rPr>
        <w:t>āloka</w:t>
      </w:r>
      <w:proofErr w:type="spellEnd"/>
      <w:r w:rsidRPr="005B6D62">
        <w:rPr>
          <w:i/>
          <w:iCs/>
          <w:lang w:val="es-PE"/>
        </w:rPr>
        <w:t>–</w:t>
      </w:r>
      <w:proofErr w:type="spellStart"/>
      <w:r w:rsidRPr="005B6D62">
        <w:rPr>
          <w:i/>
          <w:iCs/>
          <w:lang w:val="es-PE"/>
        </w:rPr>
        <w:t>kasiṇa</w:t>
      </w:r>
      <w:proofErr w:type="spellEnd"/>
      <w:r w:rsidRPr="005B6D62">
        <w:rPr>
          <w:lang w:val="es-PE"/>
        </w:rPr>
        <w:t xml:space="preserve">) III.105; V.21; XIII.95 </w:t>
      </w:r>
    </w:p>
    <w:p w14:paraId="0B54BBA6" w14:textId="77777777" w:rsidR="00597DE2" w:rsidRPr="005B6D62" w:rsidRDefault="00597DE2" w:rsidP="00597DE2">
      <w:pPr>
        <w:pStyle w:val="ParrafoApendice"/>
        <w:rPr>
          <w:lang w:val="es-PE"/>
        </w:rPr>
      </w:pPr>
      <w:r w:rsidRPr="005B6D62">
        <w:rPr>
          <w:lang w:val="es-PE"/>
        </w:rPr>
        <w:t>maestría, dominio (</w:t>
      </w:r>
      <w:proofErr w:type="spellStart"/>
      <w:r w:rsidRPr="005B6D62">
        <w:rPr>
          <w:i/>
          <w:iCs/>
          <w:lang w:val="es-PE"/>
        </w:rPr>
        <w:t>vasi</w:t>
      </w:r>
      <w:proofErr w:type="spellEnd"/>
      <w:r w:rsidRPr="005B6D62">
        <w:rPr>
          <w:lang w:val="es-PE"/>
        </w:rPr>
        <w:t xml:space="preserve">) IV.131; XX.102 </w:t>
      </w:r>
    </w:p>
    <w:p w14:paraId="4CAF7A8A" w14:textId="77777777" w:rsidR="00597DE2" w:rsidRPr="00787A44" w:rsidRDefault="00597DE2" w:rsidP="00597DE2">
      <w:pPr>
        <w:pStyle w:val="ParrafoApendice"/>
        <w:rPr>
          <w:lang w:val="es-PE"/>
        </w:rPr>
      </w:pPr>
      <w:r w:rsidRPr="00787A44">
        <w:rPr>
          <w:lang w:val="es-PE"/>
        </w:rPr>
        <w:t>maestro (</w:t>
      </w:r>
      <w:proofErr w:type="spellStart"/>
      <w:r w:rsidRPr="00787A44">
        <w:rPr>
          <w:i/>
          <w:iCs/>
          <w:lang w:val="es-PE"/>
        </w:rPr>
        <w:t>ācariya</w:t>
      </w:r>
      <w:proofErr w:type="spellEnd"/>
      <w:r w:rsidRPr="00787A44">
        <w:rPr>
          <w:lang w:val="es-PE"/>
        </w:rPr>
        <w:t xml:space="preserve">) III.47, 126 </w:t>
      </w:r>
    </w:p>
    <w:p w14:paraId="02FCD28F" w14:textId="77777777" w:rsidR="00597DE2" w:rsidRPr="005B6D62" w:rsidRDefault="00597DE2" w:rsidP="00597DE2">
      <w:pPr>
        <w:pStyle w:val="ParrafoApendice"/>
        <w:rPr>
          <w:lang w:val="es-PE"/>
        </w:rPr>
      </w:pPr>
      <w:r w:rsidRPr="005B6D62">
        <w:rPr>
          <w:lang w:val="es-PE"/>
        </w:rPr>
        <w:t xml:space="preserve">Magadha XIV.25, 30; </w:t>
      </w:r>
      <w:r w:rsidRPr="005B6D62">
        <w:rPr>
          <w:strike/>
          <w:color w:val="833C0B" w:themeColor="accent2" w:themeShade="80"/>
          <w:u w:color="000000"/>
          <w:lang w:val="es-PE"/>
        </w:rPr>
        <w:t>XVIII.25</w:t>
      </w:r>
      <w:r w:rsidRPr="005B6D62">
        <w:rPr>
          <w:lang w:val="es-PE"/>
        </w:rPr>
        <w:t xml:space="preserve"> </w:t>
      </w:r>
    </w:p>
    <w:p w14:paraId="382663EF" w14:textId="77777777" w:rsidR="00597DE2" w:rsidRPr="005B6D62" w:rsidRDefault="00597DE2" w:rsidP="00597DE2">
      <w:pPr>
        <w:pStyle w:val="ParrafoApendice"/>
        <w:rPr>
          <w:lang w:val="es-PE"/>
        </w:rPr>
      </w:pPr>
      <w:proofErr w:type="spellStart"/>
      <w:r w:rsidRPr="005B6D62">
        <w:rPr>
          <w:lang w:val="es-PE"/>
        </w:rPr>
        <w:t>Māgaṇḍiya</w:t>
      </w:r>
      <w:proofErr w:type="spellEnd"/>
      <w:r w:rsidRPr="005B6D62">
        <w:rPr>
          <w:lang w:val="es-PE"/>
        </w:rPr>
        <w:t xml:space="preserve"> XII.35 </w:t>
      </w:r>
    </w:p>
    <w:p w14:paraId="33D49335" w14:textId="77777777" w:rsidR="00597DE2" w:rsidRPr="005B6D62" w:rsidRDefault="00597DE2" w:rsidP="00597DE2">
      <w:pPr>
        <w:pStyle w:val="ParrafoApendice"/>
        <w:rPr>
          <w:lang w:val="es-PE"/>
        </w:rPr>
      </w:pPr>
      <w:r w:rsidRPr="005B6D62">
        <w:rPr>
          <w:lang w:val="es-PE"/>
        </w:rPr>
        <w:t xml:space="preserve">Mahā–Anula </w:t>
      </w:r>
      <w:proofErr w:type="spellStart"/>
      <w:r w:rsidRPr="005B6D62">
        <w:rPr>
          <w:lang w:val="es-PE"/>
        </w:rPr>
        <w:t>Thera</w:t>
      </w:r>
      <w:proofErr w:type="spellEnd"/>
      <w:r w:rsidRPr="005B6D62">
        <w:rPr>
          <w:lang w:val="es-PE"/>
        </w:rPr>
        <w:t xml:space="preserve">, etc., consultar bajo el criterio de nombre personales </w:t>
      </w:r>
      <w:r w:rsidRPr="005B6D62">
        <w:rPr>
          <w:i/>
          <w:iCs/>
          <w:lang w:val="es-PE"/>
        </w:rPr>
        <w:t>Anula,</w:t>
      </w:r>
      <w:r w:rsidRPr="005B6D62">
        <w:rPr>
          <w:lang w:val="es-PE"/>
        </w:rPr>
        <w:t xml:space="preserve"> etc.</w:t>
      </w:r>
    </w:p>
    <w:p w14:paraId="7D201864" w14:textId="77777777" w:rsidR="00597DE2" w:rsidRPr="002C102E" w:rsidRDefault="00597DE2" w:rsidP="00597DE2">
      <w:pPr>
        <w:pStyle w:val="ParrafoApendice"/>
      </w:pPr>
      <w:r w:rsidRPr="002C102E">
        <w:t>Mahā–Brahmā XII.79</w:t>
      </w:r>
    </w:p>
    <w:p w14:paraId="5354A0C0" w14:textId="77777777" w:rsidR="00597DE2" w:rsidRPr="002C102E" w:rsidRDefault="00597DE2" w:rsidP="00597DE2">
      <w:pPr>
        <w:pStyle w:val="ParrafoApendice"/>
      </w:pPr>
      <w:r w:rsidRPr="002C102E">
        <w:t>Mahā–</w:t>
      </w:r>
      <w:proofErr w:type="spellStart"/>
      <w:r w:rsidRPr="002C102E">
        <w:t>cetiya</w:t>
      </w:r>
      <w:proofErr w:type="spellEnd"/>
      <w:r w:rsidRPr="002C102E">
        <w:t>, see Great Shrine</w:t>
      </w:r>
    </w:p>
    <w:p w14:paraId="70A7B94B" w14:textId="77777777" w:rsidR="00597DE2" w:rsidRPr="002C102E" w:rsidRDefault="00597DE2" w:rsidP="00597DE2">
      <w:pPr>
        <w:pStyle w:val="ParrafoApendice"/>
      </w:pPr>
      <w:proofErr w:type="spellStart"/>
      <w:r w:rsidRPr="002C102E">
        <w:t>Mahāgāma</w:t>
      </w:r>
      <w:proofErr w:type="spellEnd"/>
      <w:r w:rsidRPr="002C102E">
        <w:t xml:space="preserve"> I.106</w:t>
      </w:r>
    </w:p>
    <w:p w14:paraId="6D7C6063" w14:textId="77777777" w:rsidR="00597DE2" w:rsidRPr="002C102E" w:rsidRDefault="00597DE2" w:rsidP="00597DE2">
      <w:pPr>
        <w:pStyle w:val="ParrafoApendice"/>
      </w:pPr>
      <w:r w:rsidRPr="002C102E">
        <w:t>Mahaka XII.84</w:t>
      </w:r>
    </w:p>
    <w:p w14:paraId="578AB6C4" w14:textId="77777777" w:rsidR="00597DE2" w:rsidRPr="002C102E" w:rsidRDefault="00597DE2" w:rsidP="00597DE2">
      <w:pPr>
        <w:pStyle w:val="ParrafoApendice"/>
      </w:pPr>
      <w:proofErr w:type="spellStart"/>
      <w:r w:rsidRPr="002C102E">
        <w:t>Mahānāma</w:t>
      </w:r>
      <w:proofErr w:type="spellEnd"/>
      <w:r w:rsidRPr="002C102E">
        <w:t xml:space="preserve"> VII.111; XXII.21 </w:t>
      </w:r>
    </w:p>
    <w:p w14:paraId="7F926054" w14:textId="77777777" w:rsidR="00597DE2" w:rsidRPr="002C102E" w:rsidRDefault="00597DE2" w:rsidP="00597DE2">
      <w:pPr>
        <w:pStyle w:val="ParrafoApendice"/>
      </w:pPr>
      <w:proofErr w:type="spellStart"/>
      <w:r w:rsidRPr="002C102E">
        <w:t>Mahāsammata</w:t>
      </w:r>
      <w:proofErr w:type="spellEnd"/>
      <w:r w:rsidRPr="002C102E">
        <w:t xml:space="preserve"> VIII.17; XIII.54</w:t>
      </w:r>
    </w:p>
    <w:p w14:paraId="2D8682A2" w14:textId="77777777" w:rsidR="00597DE2" w:rsidRPr="002C102E" w:rsidRDefault="00597DE2" w:rsidP="00597DE2">
      <w:pPr>
        <w:pStyle w:val="ParrafoApendice"/>
      </w:pPr>
      <w:proofErr w:type="spellStart"/>
      <w:r w:rsidRPr="002C102E">
        <w:t>Mahāsaṅghika</w:t>
      </w:r>
      <w:proofErr w:type="spellEnd"/>
      <w:r w:rsidRPr="002C102E">
        <w:t xml:space="preserve"> XIV.n.16</w:t>
      </w:r>
    </w:p>
    <w:p w14:paraId="1C4E4E1B" w14:textId="77777777" w:rsidR="00597DE2" w:rsidRPr="005B6D62" w:rsidRDefault="00597DE2" w:rsidP="00597DE2">
      <w:pPr>
        <w:pStyle w:val="ParrafoApendice"/>
        <w:rPr>
          <w:lang w:val="es-PE"/>
        </w:rPr>
      </w:pPr>
      <w:proofErr w:type="spellStart"/>
      <w:r w:rsidRPr="005B6D62">
        <w:rPr>
          <w:lang w:val="es-PE"/>
        </w:rPr>
        <w:t>Mahātittha</w:t>
      </w:r>
      <w:proofErr w:type="spellEnd"/>
      <w:r w:rsidRPr="005B6D62">
        <w:rPr>
          <w:lang w:val="es-PE"/>
        </w:rPr>
        <w:t xml:space="preserve"> V.2</w:t>
      </w:r>
    </w:p>
    <w:p w14:paraId="03171FB4" w14:textId="77777777" w:rsidR="00597DE2" w:rsidRPr="005B6D62" w:rsidRDefault="00597DE2" w:rsidP="00597DE2">
      <w:pPr>
        <w:pStyle w:val="ParrafoApendice"/>
        <w:rPr>
          <w:lang w:val="es-PE"/>
        </w:rPr>
      </w:pPr>
      <w:proofErr w:type="spellStart"/>
      <w:r w:rsidRPr="005B6D62">
        <w:rPr>
          <w:lang w:val="es-PE"/>
        </w:rPr>
        <w:t>Mahāvaṭṭani</w:t>
      </w:r>
      <w:proofErr w:type="spellEnd"/>
      <w:r w:rsidRPr="005B6D62">
        <w:rPr>
          <w:lang w:val="es-PE"/>
        </w:rPr>
        <w:t>, Bosque de I.99</w:t>
      </w:r>
    </w:p>
    <w:p w14:paraId="2927F137" w14:textId="77777777" w:rsidR="00597DE2" w:rsidRPr="005B6D62" w:rsidRDefault="00597DE2" w:rsidP="00597DE2">
      <w:pPr>
        <w:pStyle w:val="ParrafoApendice"/>
        <w:rPr>
          <w:lang w:val="es-PE"/>
        </w:rPr>
      </w:pPr>
      <w:proofErr w:type="spellStart"/>
      <w:r w:rsidRPr="005B6D62">
        <w:rPr>
          <w:lang w:val="es-PE"/>
        </w:rPr>
        <w:t>Mahāvihāra</w:t>
      </w:r>
      <w:proofErr w:type="spellEnd"/>
      <w:r w:rsidRPr="005B6D62">
        <w:rPr>
          <w:lang w:val="es-PE"/>
        </w:rPr>
        <w:t xml:space="preserve">, ver </w:t>
      </w:r>
      <w:r w:rsidRPr="005B6D62">
        <w:rPr>
          <w:i/>
          <w:iCs/>
          <w:lang w:val="es-PE"/>
        </w:rPr>
        <w:t>El Gran Monasterio</w:t>
      </w:r>
    </w:p>
    <w:p w14:paraId="7C5DA6FE" w14:textId="77777777" w:rsidR="00597DE2" w:rsidRPr="005B6D62" w:rsidRDefault="00597DE2" w:rsidP="00597DE2">
      <w:pPr>
        <w:pStyle w:val="ParrafoApendice"/>
        <w:rPr>
          <w:lang w:val="es-PE"/>
        </w:rPr>
      </w:pPr>
      <w:proofErr w:type="spellStart"/>
      <w:r w:rsidRPr="005B6D62">
        <w:rPr>
          <w:lang w:val="es-PE"/>
        </w:rPr>
        <w:t>Mahinda</w:t>
      </w:r>
      <w:proofErr w:type="spellEnd"/>
      <w:r w:rsidRPr="005B6D62">
        <w:rPr>
          <w:lang w:val="es-PE"/>
        </w:rPr>
        <w:t xml:space="preserve"> </w:t>
      </w:r>
      <w:proofErr w:type="spellStart"/>
      <w:r w:rsidRPr="005B6D62">
        <w:rPr>
          <w:lang w:val="es-PE"/>
        </w:rPr>
        <w:t>Thera</w:t>
      </w:r>
      <w:proofErr w:type="spellEnd"/>
      <w:r w:rsidRPr="005B6D62">
        <w:rPr>
          <w:lang w:val="es-PE"/>
        </w:rPr>
        <w:t xml:space="preserve"> XII.83</w:t>
      </w:r>
    </w:p>
    <w:p w14:paraId="2FDC5137" w14:textId="77777777" w:rsidR="00597DE2" w:rsidRPr="005B6D62" w:rsidRDefault="00597DE2" w:rsidP="00597DE2">
      <w:pPr>
        <w:pStyle w:val="ParrafoApendice"/>
        <w:rPr>
          <w:lang w:val="es-PE"/>
        </w:rPr>
      </w:pPr>
      <w:proofErr w:type="spellStart"/>
      <w:r w:rsidRPr="005B6D62">
        <w:rPr>
          <w:lang w:val="es-PE"/>
        </w:rPr>
        <w:t>Mahinda</w:t>
      </w:r>
      <w:proofErr w:type="spellEnd"/>
      <w:r w:rsidRPr="005B6D62">
        <w:rPr>
          <w:lang w:val="es-PE"/>
        </w:rPr>
        <w:t>–</w:t>
      </w:r>
      <w:proofErr w:type="spellStart"/>
      <w:r w:rsidRPr="005B6D62">
        <w:rPr>
          <w:lang w:val="es-PE"/>
        </w:rPr>
        <w:t>guhā</w:t>
      </w:r>
      <w:proofErr w:type="spellEnd"/>
      <w:r w:rsidRPr="005B6D62">
        <w:rPr>
          <w:lang w:val="es-PE"/>
        </w:rPr>
        <w:t xml:space="preserve"> (</w:t>
      </w:r>
      <w:proofErr w:type="spellStart"/>
      <w:r w:rsidRPr="005B6D62">
        <w:rPr>
          <w:lang w:val="es-PE"/>
        </w:rPr>
        <w:t>M.’s</w:t>
      </w:r>
      <w:proofErr w:type="spellEnd"/>
      <w:r w:rsidRPr="005B6D62">
        <w:rPr>
          <w:lang w:val="es-PE"/>
        </w:rPr>
        <w:t xml:space="preserve"> Cave) III.102</w:t>
      </w:r>
    </w:p>
    <w:p w14:paraId="32247709" w14:textId="77777777" w:rsidR="00597DE2" w:rsidRPr="005B6D62" w:rsidRDefault="00597DE2" w:rsidP="00597DE2">
      <w:pPr>
        <w:pStyle w:val="ParrafoApendice"/>
        <w:rPr>
          <w:lang w:val="es-PE"/>
        </w:rPr>
      </w:pPr>
      <w:r w:rsidRPr="005B6D62">
        <w:rPr>
          <w:lang w:val="es-PE"/>
        </w:rPr>
        <w:t>mal camino (</w:t>
      </w:r>
      <w:proofErr w:type="spellStart"/>
      <w:r w:rsidRPr="005B6D62">
        <w:rPr>
          <w:i/>
          <w:iCs/>
          <w:lang w:val="es-PE"/>
        </w:rPr>
        <w:t>agati</w:t>
      </w:r>
      <w:proofErr w:type="spellEnd"/>
      <w:r w:rsidRPr="005B6D62">
        <w:rPr>
          <w:lang w:val="es-PE"/>
        </w:rPr>
        <w:t xml:space="preserve">) VII.59; XXII.55, 69 </w:t>
      </w:r>
    </w:p>
    <w:p w14:paraId="3BF755C2" w14:textId="77777777" w:rsidR="00597DE2" w:rsidRPr="004023BD" w:rsidRDefault="00597DE2" w:rsidP="00597DE2">
      <w:pPr>
        <w:pStyle w:val="ParrafoApendice"/>
        <w:rPr>
          <w:lang w:val="es-PE"/>
        </w:rPr>
      </w:pPr>
      <w:r>
        <w:rPr>
          <w:lang w:val="es-PE"/>
        </w:rPr>
        <w:t>mal/es, incorrecto/a, incorreción</w:t>
      </w:r>
      <w:r w:rsidRPr="004023BD">
        <w:rPr>
          <w:lang w:val="es-PE"/>
        </w:rPr>
        <w:t xml:space="preserve"> (</w:t>
      </w:r>
      <w:proofErr w:type="spellStart"/>
      <w:r w:rsidRPr="004023BD">
        <w:rPr>
          <w:i/>
          <w:iCs/>
          <w:lang w:val="es-PE"/>
        </w:rPr>
        <w:t>micchatta</w:t>
      </w:r>
      <w:proofErr w:type="spellEnd"/>
      <w:r w:rsidRPr="004023BD">
        <w:rPr>
          <w:lang w:val="es-PE"/>
        </w:rPr>
        <w:t xml:space="preserve">) VII.59; XVII.53; XXII.50, 66 </w:t>
      </w:r>
    </w:p>
    <w:p w14:paraId="1AA1C3E1" w14:textId="77777777" w:rsidR="00597DE2" w:rsidRDefault="00597DE2" w:rsidP="00597DE2">
      <w:pPr>
        <w:pStyle w:val="ParrafoApendice"/>
        <w:rPr>
          <w:u w:color="000000"/>
          <w:lang w:val="es-PE"/>
        </w:rPr>
      </w:pPr>
      <w:r w:rsidRPr="005B6D62">
        <w:rPr>
          <w:u w:color="000000"/>
          <w:lang w:val="es-PE"/>
        </w:rPr>
        <w:t>mala-voluntad (</w:t>
      </w:r>
      <w:r w:rsidRPr="005B6D62">
        <w:rPr>
          <w:i/>
          <w:iCs/>
          <w:u w:color="000000"/>
          <w:lang w:val="es-PE"/>
        </w:rPr>
        <w:t>vyāpāda</w:t>
      </w:r>
      <w:r w:rsidRPr="005B6D62">
        <w:rPr>
          <w:u w:color="000000"/>
          <w:lang w:val="es-PE"/>
        </w:rPr>
        <w:t xml:space="preserve">) I.140; III.122; IV.86, 104; IX.93, 98; XIV.227; XV.28; XVI.10; XXII.25, 54,62 </w:t>
      </w:r>
      <w:r>
        <w:rPr>
          <w:u w:color="000000"/>
          <w:lang w:val="es-PE"/>
        </w:rPr>
        <w:br w:type="page"/>
      </w:r>
    </w:p>
    <w:p w14:paraId="4AE43E64" w14:textId="77777777" w:rsidR="00597DE2" w:rsidRPr="005B6D62" w:rsidRDefault="00597DE2" w:rsidP="00597DE2">
      <w:pPr>
        <w:pStyle w:val="ParrafoApendice"/>
        <w:rPr>
          <w:u w:color="000000"/>
          <w:lang w:val="es-PE"/>
        </w:rPr>
      </w:pPr>
    </w:p>
    <w:p w14:paraId="313A7040" w14:textId="77777777" w:rsidR="00597DE2" w:rsidRPr="005B6D62" w:rsidRDefault="00597DE2" w:rsidP="00597DE2">
      <w:pPr>
        <w:pStyle w:val="ParrafoApendice"/>
        <w:rPr>
          <w:lang w:val="es-PE"/>
        </w:rPr>
      </w:pPr>
      <w:r w:rsidRPr="005B6D62">
        <w:rPr>
          <w:lang w:val="es-PE"/>
        </w:rPr>
        <w:t xml:space="preserve">Malaya (País Montañoso, Sri Lanka) III.51; VIII.49 </w:t>
      </w:r>
    </w:p>
    <w:p w14:paraId="29F10CA3" w14:textId="77777777" w:rsidR="00597DE2" w:rsidRPr="005B6D62" w:rsidRDefault="00597DE2" w:rsidP="00597DE2">
      <w:pPr>
        <w:pStyle w:val="ParrafoApendice"/>
        <w:rPr>
          <w:lang w:val="es-PE"/>
        </w:rPr>
      </w:pPr>
      <w:r w:rsidRPr="005B6D62">
        <w:rPr>
          <w:lang w:val="es-PE"/>
        </w:rPr>
        <w:t>maldad en los deseos (</w:t>
      </w:r>
      <w:proofErr w:type="spellStart"/>
      <w:r w:rsidRPr="005B6D62">
        <w:rPr>
          <w:i/>
          <w:iCs/>
          <w:lang w:val="es-PE"/>
        </w:rPr>
        <w:t>pāpicchatā</w:t>
      </w:r>
      <w:proofErr w:type="spellEnd"/>
      <w:r w:rsidRPr="005B6D62">
        <w:rPr>
          <w:lang w:val="es-PE"/>
        </w:rPr>
        <w:t xml:space="preserve">) III.95 </w:t>
      </w:r>
    </w:p>
    <w:p w14:paraId="1F7E8456" w14:textId="77777777" w:rsidR="00597DE2" w:rsidRPr="005B6D62" w:rsidRDefault="00597DE2" w:rsidP="00597DE2">
      <w:pPr>
        <w:pStyle w:val="ParrafoApendice"/>
        <w:rPr>
          <w:lang w:val="es-PE"/>
        </w:rPr>
      </w:pPr>
      <w:r w:rsidRPr="005B6D62">
        <w:rPr>
          <w:lang w:val="es-PE"/>
        </w:rPr>
        <w:t>maleabilidad (</w:t>
      </w:r>
      <w:proofErr w:type="spellStart"/>
      <w:r w:rsidRPr="005B6D62">
        <w:rPr>
          <w:i/>
          <w:iCs/>
          <w:lang w:val="es-PE"/>
        </w:rPr>
        <w:t>mudutā</w:t>
      </w:r>
      <w:proofErr w:type="spellEnd"/>
      <w:r w:rsidRPr="005B6D62">
        <w:rPr>
          <w:lang w:val="es-PE"/>
        </w:rPr>
        <w:t xml:space="preserve">) XIV.64, 133, 146; XVIII.13 </w:t>
      </w:r>
    </w:p>
    <w:p w14:paraId="53A796C8" w14:textId="77777777" w:rsidR="00597DE2" w:rsidRPr="005B6D62" w:rsidRDefault="00597DE2" w:rsidP="00597DE2">
      <w:pPr>
        <w:pStyle w:val="ParrafoApendice"/>
        <w:rPr>
          <w:lang w:val="es-PE"/>
        </w:rPr>
      </w:pPr>
      <w:proofErr w:type="spellStart"/>
      <w:r w:rsidRPr="005B6D62">
        <w:rPr>
          <w:lang w:val="es-PE"/>
        </w:rPr>
        <w:t>Mallaka</w:t>
      </w:r>
      <w:proofErr w:type="spellEnd"/>
      <w:r w:rsidRPr="005B6D62">
        <w:rPr>
          <w:lang w:val="es-PE"/>
        </w:rPr>
        <w:t xml:space="preserve"> </w:t>
      </w:r>
      <w:proofErr w:type="spellStart"/>
      <w:r w:rsidRPr="005B6D62">
        <w:rPr>
          <w:lang w:val="es-PE"/>
        </w:rPr>
        <w:t>Thera</w:t>
      </w:r>
      <w:proofErr w:type="spellEnd"/>
      <w:r w:rsidRPr="005B6D62">
        <w:rPr>
          <w:lang w:val="es-PE"/>
        </w:rPr>
        <w:t xml:space="preserve"> IV.23; VIII.142 </w:t>
      </w:r>
    </w:p>
    <w:p w14:paraId="5F5051B1" w14:textId="77777777" w:rsidR="00597DE2" w:rsidRPr="00122D1E" w:rsidRDefault="00597DE2" w:rsidP="00597DE2">
      <w:pPr>
        <w:pStyle w:val="ParrafoApendice"/>
        <w:rPr>
          <w:lang w:val="es-PE"/>
        </w:rPr>
      </w:pPr>
      <w:r w:rsidRPr="00122D1E">
        <w:rPr>
          <w:lang w:val="es-PE"/>
        </w:rPr>
        <w:t>mancha, contaminación (</w:t>
      </w:r>
      <w:r w:rsidRPr="00122D1E">
        <w:rPr>
          <w:i/>
          <w:iCs/>
          <w:lang w:val="es-PE"/>
        </w:rPr>
        <w:t>mala</w:t>
      </w:r>
      <w:r w:rsidRPr="00122D1E">
        <w:rPr>
          <w:lang w:val="es-PE"/>
        </w:rPr>
        <w:t xml:space="preserve">) VII.59; XXII.61, 74 </w:t>
      </w:r>
    </w:p>
    <w:p w14:paraId="275AE7BE" w14:textId="77777777" w:rsidR="00597DE2" w:rsidRPr="005B6D62" w:rsidRDefault="00597DE2" w:rsidP="00597DE2">
      <w:pPr>
        <w:pStyle w:val="ParrafoApendice"/>
        <w:rPr>
          <w:lang w:val="es-PE"/>
        </w:rPr>
      </w:pPr>
      <w:proofErr w:type="spellStart"/>
      <w:r w:rsidRPr="005B6D62">
        <w:rPr>
          <w:lang w:val="es-PE"/>
        </w:rPr>
        <w:t>Maṇḍūka</w:t>
      </w:r>
      <w:proofErr w:type="spellEnd"/>
      <w:r w:rsidRPr="005B6D62">
        <w:rPr>
          <w:lang w:val="es-PE"/>
        </w:rPr>
        <w:t xml:space="preserve"> Devaputta VII.51</w:t>
      </w:r>
    </w:p>
    <w:p w14:paraId="657921D6" w14:textId="77777777" w:rsidR="00597DE2" w:rsidRPr="001E0243" w:rsidRDefault="00597DE2" w:rsidP="00597DE2">
      <w:pPr>
        <w:pStyle w:val="ParrafoApendice"/>
        <w:rPr>
          <w:lang w:val="es-PE"/>
        </w:rPr>
      </w:pPr>
      <w:r>
        <w:rPr>
          <w:lang w:val="es-PE"/>
        </w:rPr>
        <w:t>manejabilidad</w:t>
      </w:r>
      <w:r w:rsidRPr="001E0243">
        <w:rPr>
          <w:lang w:val="es-PE"/>
        </w:rPr>
        <w:t xml:space="preserve"> (</w:t>
      </w:r>
      <w:proofErr w:type="spellStart"/>
      <w:r w:rsidRPr="001E0243">
        <w:rPr>
          <w:i/>
          <w:iCs/>
          <w:lang w:val="es-PE"/>
        </w:rPr>
        <w:t>kammaññatā</w:t>
      </w:r>
      <w:proofErr w:type="spellEnd"/>
      <w:r w:rsidRPr="001E0243">
        <w:rPr>
          <w:lang w:val="es-PE"/>
        </w:rPr>
        <w:t xml:space="preserve">) XIV.64, 133, 147 </w:t>
      </w:r>
    </w:p>
    <w:p w14:paraId="73140952" w14:textId="77777777" w:rsidR="00597DE2" w:rsidRPr="005B6D62" w:rsidRDefault="00597DE2" w:rsidP="00597DE2">
      <w:pPr>
        <w:pStyle w:val="ParrafoApendice"/>
        <w:rPr>
          <w:lang w:val="es-PE"/>
        </w:rPr>
      </w:pPr>
      <w:proofErr w:type="spellStart"/>
      <w:r w:rsidRPr="005B6D62">
        <w:rPr>
          <w:lang w:val="es-PE"/>
        </w:rPr>
        <w:t>Maṇiliyā</w:t>
      </w:r>
      <w:proofErr w:type="spellEnd"/>
      <w:r w:rsidRPr="005B6D62">
        <w:rPr>
          <w:lang w:val="es-PE"/>
        </w:rPr>
        <w:t xml:space="preserve"> IX.69</w:t>
      </w:r>
    </w:p>
    <w:p w14:paraId="62B69549" w14:textId="77777777" w:rsidR="00597DE2" w:rsidRPr="005B6D62" w:rsidRDefault="00597DE2" w:rsidP="00597DE2">
      <w:pPr>
        <w:pStyle w:val="ParrafoApendice"/>
        <w:rPr>
          <w:lang w:val="es-PE"/>
        </w:rPr>
      </w:pPr>
      <w:r w:rsidRPr="005B6D62">
        <w:rPr>
          <w:lang w:val="es-PE"/>
        </w:rPr>
        <w:t xml:space="preserve">Māra VII.59, 128, n.14; XII.10; XX.19 </w:t>
      </w:r>
    </w:p>
    <w:p w14:paraId="1189ED29" w14:textId="77777777" w:rsidR="00597DE2" w:rsidRPr="005B6D62" w:rsidRDefault="00597DE2" w:rsidP="00597DE2">
      <w:pPr>
        <w:pStyle w:val="ParrafoApendice"/>
        <w:rPr>
          <w:lang w:val="es-PE"/>
        </w:rPr>
      </w:pPr>
      <w:r w:rsidRPr="005B6D62">
        <w:rPr>
          <w:lang w:val="es-PE"/>
        </w:rPr>
        <w:t>matar seres vivos (</w:t>
      </w:r>
      <w:proofErr w:type="spellStart"/>
      <w:r w:rsidRPr="005B6D62">
        <w:rPr>
          <w:i/>
          <w:iCs/>
          <w:lang w:val="es-PE"/>
        </w:rPr>
        <w:t>pāṇātipāta</w:t>
      </w:r>
      <w:proofErr w:type="spellEnd"/>
      <w:r w:rsidRPr="005B6D62">
        <w:rPr>
          <w:lang w:val="es-PE"/>
        </w:rPr>
        <w:t>) I.17</w:t>
      </w:r>
      <w:r w:rsidRPr="005B6D62">
        <w:rPr>
          <w:color w:val="833C0B" w:themeColor="accent2" w:themeShade="80"/>
          <w:u w:color="000000"/>
          <w:lang w:val="es-PE"/>
        </w:rPr>
        <w:t>s.</w:t>
      </w:r>
      <w:r w:rsidRPr="005B6D62">
        <w:rPr>
          <w:lang w:val="es-PE"/>
        </w:rPr>
        <w:t xml:space="preserve">, 140; XVII.39, 60; XXII.62 </w:t>
      </w:r>
    </w:p>
    <w:p w14:paraId="735BF6FD" w14:textId="77777777" w:rsidR="00597DE2" w:rsidRPr="005B6D62" w:rsidRDefault="00597DE2" w:rsidP="00597DE2">
      <w:pPr>
        <w:pStyle w:val="ParrafoApendice"/>
        <w:rPr>
          <w:lang w:val="es-PE"/>
        </w:rPr>
      </w:pPr>
      <w:r w:rsidRPr="005B6D62">
        <w:rPr>
          <w:lang w:val="es-PE"/>
        </w:rPr>
        <w:t>materia concreta (</w:t>
      </w:r>
      <w:r w:rsidRPr="005B6D62">
        <w:rPr>
          <w:i/>
          <w:iCs/>
          <w:lang w:val="es-PE"/>
        </w:rPr>
        <w:t>rūpa–rūpa</w:t>
      </w:r>
      <w:r w:rsidRPr="005B6D62">
        <w:rPr>
          <w:lang w:val="es-PE"/>
        </w:rPr>
        <w:t xml:space="preserve">) XIV.77; XVII.189, 191; XVIII.13 </w:t>
      </w:r>
    </w:p>
    <w:p w14:paraId="2A1F317C" w14:textId="77777777" w:rsidR="00597DE2" w:rsidRPr="005B6D62" w:rsidRDefault="00597DE2" w:rsidP="00597DE2">
      <w:pPr>
        <w:pStyle w:val="ParrafoApendice"/>
        <w:rPr>
          <w:u w:color="000000"/>
          <w:lang w:val="es-PE"/>
        </w:rPr>
      </w:pPr>
      <w:r w:rsidRPr="005B6D62">
        <w:rPr>
          <w:u w:color="000000"/>
          <w:lang w:val="es-PE"/>
        </w:rPr>
        <w:t>materia delimitante (</w:t>
      </w:r>
      <w:proofErr w:type="spellStart"/>
      <w:r w:rsidRPr="005B6D62">
        <w:rPr>
          <w:i/>
          <w:iCs/>
          <w:u w:color="000000"/>
          <w:lang w:val="es-PE"/>
        </w:rPr>
        <w:t>pariccheda</w:t>
      </w:r>
      <w:proofErr w:type="spellEnd"/>
      <w:r w:rsidRPr="005B6D62">
        <w:rPr>
          <w:i/>
          <w:iCs/>
          <w:u w:color="000000"/>
          <w:lang w:val="es-PE"/>
        </w:rPr>
        <w:t>–rūpa</w:t>
      </w:r>
      <w:r w:rsidRPr="005B6D62">
        <w:rPr>
          <w:u w:color="000000"/>
          <w:lang w:val="es-PE"/>
        </w:rPr>
        <w:t xml:space="preserve">) XIV.77 </w:t>
      </w:r>
    </w:p>
    <w:p w14:paraId="09BA3958" w14:textId="77777777" w:rsidR="00597DE2" w:rsidRPr="005B6D62" w:rsidRDefault="00597DE2" w:rsidP="00597DE2">
      <w:pPr>
        <w:pStyle w:val="ParrafoApendice"/>
        <w:rPr>
          <w:lang w:val="es-PE"/>
        </w:rPr>
      </w:pPr>
      <w:r w:rsidRPr="005B6D62">
        <w:rPr>
          <w:lang w:val="es-PE"/>
        </w:rPr>
        <w:t>materialidad derivada, m. derivativa. (</w:t>
      </w:r>
      <w:proofErr w:type="spellStart"/>
      <w:r w:rsidRPr="005B6D62">
        <w:rPr>
          <w:i/>
          <w:iCs/>
          <w:lang w:val="es-PE"/>
        </w:rPr>
        <w:t>upādā</w:t>
      </w:r>
      <w:proofErr w:type="spellEnd"/>
      <w:r w:rsidRPr="005B6D62">
        <w:rPr>
          <w:i/>
          <w:iCs/>
          <w:lang w:val="es-PE"/>
        </w:rPr>
        <w:t>–rūpa</w:t>
      </w:r>
      <w:r w:rsidRPr="005B6D62">
        <w:rPr>
          <w:lang w:val="es-PE"/>
        </w:rPr>
        <w:t>) VIII.180; XIV.36s.; XVII.77; XVIII.4, 14</w:t>
      </w:r>
    </w:p>
    <w:p w14:paraId="48368989" w14:textId="77777777" w:rsidR="00597DE2" w:rsidRPr="005B6D62" w:rsidRDefault="00597DE2" w:rsidP="00597DE2">
      <w:pPr>
        <w:pStyle w:val="ParrafoApendice"/>
        <w:rPr>
          <w:lang w:val="es-PE"/>
        </w:rPr>
      </w:pPr>
      <w:r w:rsidRPr="005B6D62">
        <w:rPr>
          <w:lang w:val="es-PE"/>
        </w:rPr>
        <w:t>materialidad natural (</w:t>
      </w:r>
      <w:proofErr w:type="spellStart"/>
      <w:r w:rsidRPr="005B6D62">
        <w:rPr>
          <w:i/>
          <w:iCs/>
          <w:lang w:val="es-PE"/>
        </w:rPr>
        <w:t>dhammatā</w:t>
      </w:r>
      <w:proofErr w:type="spellEnd"/>
      <w:r w:rsidRPr="005B6D62">
        <w:rPr>
          <w:i/>
          <w:iCs/>
          <w:lang w:val="es-PE"/>
        </w:rPr>
        <w:t>–rūpa</w:t>
      </w:r>
      <w:r w:rsidRPr="005B6D62">
        <w:rPr>
          <w:lang w:val="es-PE"/>
        </w:rPr>
        <w:t>) XX.73.</w:t>
      </w:r>
    </w:p>
    <w:p w14:paraId="6F4718D2" w14:textId="77777777" w:rsidR="00597DE2" w:rsidRPr="005B6D62" w:rsidRDefault="00597DE2" w:rsidP="00597DE2">
      <w:pPr>
        <w:pStyle w:val="ParrafoApendice"/>
        <w:rPr>
          <w:lang w:val="es-PE"/>
        </w:rPr>
      </w:pPr>
      <w:r w:rsidRPr="005B6D62">
        <w:rPr>
          <w:lang w:val="es-PE"/>
        </w:rPr>
        <w:t>materialidad, materia (</w:t>
      </w:r>
      <w:r w:rsidRPr="005B6D62">
        <w:rPr>
          <w:i/>
          <w:iCs/>
          <w:lang w:val="es-PE"/>
        </w:rPr>
        <w:t>rūpa</w:t>
      </w:r>
      <w:r w:rsidRPr="005B6D62">
        <w:rPr>
          <w:lang w:val="es-PE"/>
        </w:rPr>
        <w:t xml:space="preserve">) I.140, n.14; VII.28, 38; VIII.180, </w:t>
      </w:r>
      <w:r w:rsidRPr="005B6D62">
        <w:rPr>
          <w:color w:val="833C0B" w:themeColor="accent2" w:themeShade="80"/>
          <w:u w:color="000000"/>
          <w:lang w:val="es-PE"/>
        </w:rPr>
        <w:t>234</w:t>
      </w:r>
      <w:r w:rsidRPr="005B6D62">
        <w:rPr>
          <w:lang w:val="es-PE"/>
        </w:rPr>
        <w:t>; IX.121; X.1s.; XI.2, 26, 96; XII.n.20, n.21; XIII.9</w:t>
      </w:r>
      <w:r w:rsidRPr="005B6D62">
        <w:rPr>
          <w:color w:val="833C0B" w:themeColor="accent2" w:themeShade="80"/>
          <w:u w:color="000000"/>
          <w:lang w:val="es-PE"/>
        </w:rPr>
        <w:t>s</w:t>
      </w:r>
      <w:r w:rsidRPr="005B6D62">
        <w:rPr>
          <w:lang w:val="es-PE"/>
        </w:rPr>
        <w:t xml:space="preserve">, 113, 124, n.17; XIV.8, 11, 33s., 195, 214, </w:t>
      </w:r>
      <w:r w:rsidRPr="005B6D62">
        <w:rPr>
          <w:color w:val="833C0B" w:themeColor="accent2" w:themeShade="80"/>
          <w:u w:color="000000"/>
          <w:lang w:val="es-PE"/>
        </w:rPr>
        <w:t>224</w:t>
      </w:r>
      <w:r w:rsidRPr="005B6D62">
        <w:rPr>
          <w:lang w:val="es-PE"/>
        </w:rPr>
        <w:t xml:space="preserve">; XV.13s.; XVI.93; XVII.48, 51, 69, 72s., 148s., 187, 193, 197; XVIII </w:t>
      </w:r>
      <w:r w:rsidRPr="005B6D62">
        <w:rPr>
          <w:i/>
          <w:iCs/>
          <w:lang w:val="es-PE"/>
        </w:rPr>
        <w:t>passim</w:t>
      </w:r>
      <w:r w:rsidRPr="005B6D62">
        <w:rPr>
          <w:lang w:val="es-PE"/>
        </w:rPr>
        <w:t xml:space="preserve">, 8; XX.7, 9, 22s., 68, 73; XXI.10, 56, 86; XXII.22, 126; XXIII.13, 22 </w:t>
      </w:r>
    </w:p>
    <w:p w14:paraId="15901825" w14:textId="77777777" w:rsidR="00597DE2" w:rsidRPr="005B6D62" w:rsidRDefault="00597DE2" w:rsidP="00597DE2">
      <w:pPr>
        <w:pStyle w:val="ParrafoApendice"/>
        <w:rPr>
          <w:lang w:val="es-PE"/>
        </w:rPr>
      </w:pPr>
      <w:proofErr w:type="spellStart"/>
      <w:r w:rsidRPr="005B6D62">
        <w:rPr>
          <w:lang w:val="es-PE"/>
        </w:rPr>
        <w:t>mātikā</w:t>
      </w:r>
      <w:proofErr w:type="spellEnd"/>
      <w:r w:rsidRPr="005B6D62">
        <w:rPr>
          <w:lang w:val="es-PE"/>
        </w:rPr>
        <w:t>, ver horario y código</w:t>
      </w:r>
    </w:p>
    <w:p w14:paraId="53FAEDA0" w14:textId="77777777" w:rsidR="00597DE2" w:rsidRPr="005B6D62" w:rsidRDefault="00597DE2" w:rsidP="00597DE2">
      <w:pPr>
        <w:pStyle w:val="ParrafoApendice"/>
        <w:rPr>
          <w:lang w:val="es-PE"/>
        </w:rPr>
      </w:pPr>
      <w:r w:rsidRPr="005B6D62">
        <w:rPr>
          <w:lang w:val="es-PE"/>
        </w:rPr>
        <w:t>medicina (</w:t>
      </w:r>
      <w:proofErr w:type="spellStart"/>
      <w:r w:rsidRPr="005B6D62">
        <w:rPr>
          <w:i/>
          <w:iCs/>
          <w:lang w:val="es-PE"/>
        </w:rPr>
        <w:t>bhesajja</w:t>
      </w:r>
      <w:proofErr w:type="spellEnd"/>
      <w:r w:rsidRPr="005B6D62">
        <w:rPr>
          <w:lang w:val="es-PE"/>
        </w:rPr>
        <w:t xml:space="preserve">) I.96, 115 </w:t>
      </w:r>
    </w:p>
    <w:p w14:paraId="5C7AF714" w14:textId="77777777" w:rsidR="00597DE2" w:rsidRPr="005B6D62" w:rsidRDefault="00597DE2" w:rsidP="00597DE2">
      <w:pPr>
        <w:pStyle w:val="ParrafoApendice"/>
        <w:rPr>
          <w:lang w:val="es-PE"/>
        </w:rPr>
      </w:pPr>
      <w:r w:rsidRPr="005B6D62">
        <w:rPr>
          <w:lang w:val="es-PE"/>
        </w:rPr>
        <w:t>medios (</w:t>
      </w:r>
      <w:proofErr w:type="spellStart"/>
      <w:r w:rsidRPr="005B6D62">
        <w:rPr>
          <w:i/>
          <w:iCs/>
          <w:lang w:val="es-PE"/>
        </w:rPr>
        <w:t>upāya</w:t>
      </w:r>
      <w:proofErr w:type="spellEnd"/>
      <w:r w:rsidRPr="005B6D62">
        <w:rPr>
          <w:lang w:val="es-PE"/>
        </w:rPr>
        <w:t xml:space="preserve">) I.85; XVI.28 </w:t>
      </w:r>
    </w:p>
    <w:p w14:paraId="74659FF1" w14:textId="77777777" w:rsidR="00597DE2" w:rsidRPr="005B6D62" w:rsidRDefault="00597DE2" w:rsidP="00597DE2">
      <w:pPr>
        <w:pStyle w:val="ParrafoApendice"/>
        <w:rPr>
          <w:lang w:val="es-PE"/>
        </w:rPr>
      </w:pPr>
      <w:proofErr w:type="spellStart"/>
      <w:r w:rsidRPr="005B6D62">
        <w:rPr>
          <w:lang w:val="es-PE"/>
        </w:rPr>
        <w:t>Meṇḍaka</w:t>
      </w:r>
      <w:proofErr w:type="spellEnd"/>
      <w:r w:rsidRPr="005B6D62">
        <w:rPr>
          <w:lang w:val="es-PE"/>
        </w:rPr>
        <w:t xml:space="preserve"> VIII.18; XII.40s.</w:t>
      </w:r>
    </w:p>
    <w:p w14:paraId="79B5CD0B" w14:textId="77777777" w:rsidR="00597DE2" w:rsidRPr="005B6D62" w:rsidRDefault="00597DE2" w:rsidP="00597DE2">
      <w:pPr>
        <w:pStyle w:val="ParrafoApendice"/>
        <w:rPr>
          <w:lang w:val="es-PE"/>
        </w:rPr>
      </w:pPr>
      <w:r w:rsidRPr="005B6D62">
        <w:rPr>
          <w:lang w:val="es-PE"/>
        </w:rPr>
        <w:t>mentalidad (</w:t>
      </w:r>
      <w:proofErr w:type="spellStart"/>
      <w:r w:rsidRPr="005B6D62">
        <w:rPr>
          <w:i/>
          <w:iCs/>
          <w:lang w:val="es-PE"/>
        </w:rPr>
        <w:t>nāma</w:t>
      </w:r>
      <w:proofErr w:type="spellEnd"/>
      <w:r w:rsidRPr="005B6D62">
        <w:rPr>
          <w:lang w:val="es-PE"/>
        </w:rPr>
        <w:t xml:space="preserve">) VII.38; XIV.8, 11, n.35; XV.13; XVII.48, 51, 187, 206s.; XVIII </w:t>
      </w:r>
      <w:r w:rsidRPr="005B6D62">
        <w:rPr>
          <w:i/>
          <w:iCs/>
          <w:lang w:val="es-PE"/>
        </w:rPr>
        <w:t>passim</w:t>
      </w:r>
      <w:r w:rsidRPr="005B6D62">
        <w:rPr>
          <w:lang w:val="es-PE"/>
        </w:rPr>
        <w:t>, 8</w:t>
      </w:r>
    </w:p>
    <w:p w14:paraId="4E881FCC" w14:textId="77777777" w:rsidR="00597DE2" w:rsidRPr="005B6D62" w:rsidRDefault="00597DE2" w:rsidP="00597DE2">
      <w:pPr>
        <w:pStyle w:val="ParrafoApendice"/>
        <w:rPr>
          <w:lang w:val="es-PE"/>
        </w:rPr>
      </w:pPr>
      <w:r w:rsidRPr="005B6D62">
        <w:rPr>
          <w:lang w:val="es-PE"/>
        </w:rPr>
        <w:t>mentalidad–materialidad (</w:t>
      </w:r>
      <w:proofErr w:type="spellStart"/>
      <w:r w:rsidRPr="005B6D62">
        <w:rPr>
          <w:i/>
          <w:iCs/>
          <w:lang w:val="es-PE"/>
        </w:rPr>
        <w:t>nāma</w:t>
      </w:r>
      <w:proofErr w:type="spellEnd"/>
      <w:r w:rsidRPr="005B6D62">
        <w:rPr>
          <w:i/>
          <w:iCs/>
          <w:lang w:val="es-PE"/>
        </w:rPr>
        <w:t>–rūpa</w:t>
      </w:r>
      <w:r w:rsidRPr="005B6D62">
        <w:rPr>
          <w:lang w:val="es-PE"/>
        </w:rPr>
        <w:t xml:space="preserve">) VII.11, 38; VIII.180, 222s.; XI.2; XII.24s.; XV.13; XVI.92; XVII.2, 55, 186s., 218s., 294; </w:t>
      </w:r>
      <w:r w:rsidRPr="005B6D62">
        <w:rPr>
          <w:color w:val="833C0B" w:themeColor="accent2" w:themeShade="80"/>
          <w:u w:color="000000"/>
          <w:lang w:val="es-PE"/>
        </w:rPr>
        <w:t>XVIII</w:t>
      </w:r>
      <w:r w:rsidRPr="005B6D62">
        <w:rPr>
          <w:lang w:val="es-PE"/>
        </w:rPr>
        <w:t xml:space="preserve"> </w:t>
      </w:r>
      <w:r w:rsidRPr="005B6D62">
        <w:rPr>
          <w:i/>
          <w:iCs/>
          <w:lang w:val="es-PE"/>
        </w:rPr>
        <w:t>passim</w:t>
      </w:r>
      <w:r w:rsidRPr="005B6D62">
        <w:rPr>
          <w:lang w:val="es-PE"/>
        </w:rPr>
        <w:t xml:space="preserve">; XIX.1s.; </w:t>
      </w:r>
      <w:r w:rsidRPr="005B6D62">
        <w:rPr>
          <w:color w:val="833C0B" w:themeColor="accent2" w:themeShade="80"/>
          <w:u w:color="000000"/>
          <w:lang w:val="es-PE"/>
        </w:rPr>
        <w:t>XXIII</w:t>
      </w:r>
      <w:r w:rsidRPr="005B6D62">
        <w:rPr>
          <w:lang w:val="es-PE"/>
        </w:rPr>
        <w:t>.2s.</w:t>
      </w:r>
    </w:p>
    <w:p w14:paraId="5738B83D" w14:textId="77777777" w:rsidR="00597DE2" w:rsidRPr="005B6D62" w:rsidRDefault="00597DE2" w:rsidP="00597DE2">
      <w:pPr>
        <w:pStyle w:val="ParrafoApendice"/>
        <w:rPr>
          <w:lang w:val="es-PE"/>
        </w:rPr>
      </w:pPr>
      <w:r w:rsidRPr="005B6D62">
        <w:rPr>
          <w:lang w:val="es-PE"/>
        </w:rPr>
        <w:t>mente (</w:t>
      </w:r>
      <w:proofErr w:type="spellStart"/>
      <w:r w:rsidRPr="005B6D62">
        <w:rPr>
          <w:i/>
          <w:iCs/>
          <w:lang w:val="es-PE"/>
        </w:rPr>
        <w:t>citta</w:t>
      </w:r>
      <w:proofErr w:type="spellEnd"/>
      <w:r w:rsidRPr="005B6D62">
        <w:rPr>
          <w:lang w:val="es-PE"/>
        </w:rPr>
        <w:t xml:space="preserve">) I.103; XIV.n.35. Ver también </w:t>
      </w:r>
      <w:r w:rsidRPr="005B6D62">
        <w:rPr>
          <w:i/>
          <w:iCs/>
          <w:lang w:val="es-PE"/>
        </w:rPr>
        <w:t>consciencia</w:t>
      </w:r>
      <w:r w:rsidRPr="005B6D62">
        <w:rPr>
          <w:lang w:val="es-PE"/>
        </w:rPr>
        <w:t>; (</w:t>
      </w:r>
      <w:r w:rsidRPr="005B6D62">
        <w:rPr>
          <w:i/>
          <w:iCs/>
          <w:lang w:val="es-PE"/>
        </w:rPr>
        <w:t>mano</w:t>
      </w:r>
      <w:r w:rsidRPr="005B6D62">
        <w:rPr>
          <w:lang w:val="es-PE"/>
        </w:rPr>
        <w:t>) XIV.82; XV.</w:t>
      </w:r>
      <w:r w:rsidRPr="005B6D62">
        <w:rPr>
          <w:color w:val="833C0B" w:themeColor="accent2" w:themeShade="80"/>
          <w:u w:color="000000"/>
          <w:lang w:val="es-PE"/>
        </w:rPr>
        <w:t>4</w:t>
      </w:r>
      <w:r w:rsidRPr="005B6D62">
        <w:rPr>
          <w:lang w:val="es-PE"/>
        </w:rPr>
        <w:t xml:space="preserve">, 12; XVI.10; XX.70; </w:t>
      </w:r>
      <w:r w:rsidRPr="005B6D62">
        <w:rPr>
          <w:i/>
          <w:iCs/>
          <w:lang w:val="es-PE"/>
        </w:rPr>
        <w:t>base mental</w:t>
      </w:r>
      <w:r w:rsidRPr="005B6D62">
        <w:rPr>
          <w:lang w:val="es-PE"/>
        </w:rPr>
        <w:t xml:space="preserve"> (</w:t>
      </w:r>
      <w:proofErr w:type="spellStart"/>
      <w:r w:rsidRPr="005B6D62">
        <w:rPr>
          <w:i/>
          <w:iCs/>
          <w:lang w:val="es-PE"/>
        </w:rPr>
        <w:t>manāyatana</w:t>
      </w:r>
      <w:proofErr w:type="spellEnd"/>
      <w:r w:rsidRPr="005B6D62">
        <w:rPr>
          <w:lang w:val="es-PE"/>
        </w:rPr>
        <w:t>) X.49; XV.</w:t>
      </w:r>
      <w:r w:rsidRPr="005B6D62">
        <w:rPr>
          <w:color w:val="833C0B" w:themeColor="accent2" w:themeShade="80"/>
          <w:u w:color="000000"/>
          <w:lang w:val="es-PE"/>
        </w:rPr>
        <w:t>1</w:t>
      </w:r>
      <w:r w:rsidRPr="005B6D62">
        <w:rPr>
          <w:lang w:val="es-PE"/>
        </w:rPr>
        <w:t xml:space="preserve">s.; XVIII.12; </w:t>
      </w:r>
      <w:r w:rsidRPr="005B6D62">
        <w:rPr>
          <w:i/>
          <w:iCs/>
          <w:lang w:val="es-PE"/>
        </w:rPr>
        <w:t>consciencia mental</w:t>
      </w:r>
      <w:r w:rsidRPr="005B6D62">
        <w:rPr>
          <w:lang w:val="es-PE"/>
        </w:rPr>
        <w:t xml:space="preserve"> (</w:t>
      </w:r>
      <w:proofErr w:type="spellStart"/>
      <w:r w:rsidRPr="005B6D62">
        <w:rPr>
          <w:i/>
          <w:iCs/>
          <w:lang w:val="es-PE"/>
        </w:rPr>
        <w:t>manoviññāṇa</w:t>
      </w:r>
      <w:proofErr w:type="spellEnd"/>
      <w:r w:rsidRPr="005B6D62">
        <w:rPr>
          <w:lang w:val="es-PE"/>
        </w:rPr>
        <w:t xml:space="preserve">) XVII.120; </w:t>
      </w:r>
      <w:r w:rsidRPr="005B6D62">
        <w:rPr>
          <w:i/>
          <w:iCs/>
          <w:lang w:val="es-PE"/>
        </w:rPr>
        <w:t>elemento de la consciencia mental</w:t>
      </w:r>
      <w:r w:rsidRPr="005B6D62">
        <w:rPr>
          <w:lang w:val="es-PE"/>
        </w:rPr>
        <w:t xml:space="preserve"> (</w:t>
      </w:r>
      <w:proofErr w:type="spellStart"/>
      <w:r w:rsidRPr="005B6D62">
        <w:rPr>
          <w:i/>
          <w:iCs/>
          <w:lang w:val="es-PE"/>
        </w:rPr>
        <w:t>manoviññāṇa</w:t>
      </w:r>
      <w:proofErr w:type="spellEnd"/>
      <w:r w:rsidRPr="005B6D62">
        <w:rPr>
          <w:i/>
          <w:iCs/>
          <w:lang w:val="es-PE"/>
        </w:rPr>
        <w:t>–</w:t>
      </w:r>
      <w:proofErr w:type="spellStart"/>
      <w:r w:rsidRPr="005B6D62">
        <w:rPr>
          <w:i/>
          <w:iCs/>
          <w:lang w:val="es-PE"/>
        </w:rPr>
        <w:t>dhātu</w:t>
      </w:r>
      <w:proofErr w:type="spellEnd"/>
      <w:r w:rsidRPr="005B6D62">
        <w:rPr>
          <w:lang w:val="es-PE"/>
        </w:rPr>
        <w:t xml:space="preserve">) I.57; IV.n.13; VIII.111; X.20; XIV.60, 95, 97, 99, 108, 116, 120s., 180, n.26; XV.17; XVII.73, 120s.; XVIII.8, 11; XX.31, 44; </w:t>
      </w:r>
      <w:r w:rsidRPr="005B6D62">
        <w:rPr>
          <w:i/>
          <w:iCs/>
          <w:lang w:val="es-PE"/>
        </w:rPr>
        <w:t xml:space="preserve">liberación mental </w:t>
      </w:r>
      <w:r w:rsidRPr="005B6D62">
        <w:rPr>
          <w:lang w:val="es-PE"/>
        </w:rPr>
        <w:t>(</w:t>
      </w:r>
      <w:proofErr w:type="spellStart"/>
      <w:r w:rsidRPr="005B6D62">
        <w:rPr>
          <w:i/>
          <w:iCs/>
          <w:lang w:val="es-PE"/>
        </w:rPr>
        <w:t>ceto</w:t>
      </w:r>
      <w:proofErr w:type="spellEnd"/>
      <w:r w:rsidRPr="005B6D62">
        <w:rPr>
          <w:i/>
          <w:iCs/>
          <w:lang w:val="es-PE"/>
        </w:rPr>
        <w:t>–</w:t>
      </w:r>
      <w:proofErr w:type="spellStart"/>
      <w:r w:rsidRPr="005B6D62">
        <w:rPr>
          <w:i/>
          <w:iCs/>
          <w:lang w:val="es-PE"/>
        </w:rPr>
        <w:t>vimutti</w:t>
      </w:r>
      <w:proofErr w:type="spellEnd"/>
      <w:r w:rsidRPr="005B6D62">
        <w:rPr>
          <w:lang w:val="es-PE"/>
        </w:rPr>
        <w:t xml:space="preserve">) IV.191; IX.50, 115s.; </w:t>
      </w:r>
      <w:r w:rsidRPr="005B6D62">
        <w:rPr>
          <w:i/>
          <w:iCs/>
          <w:lang w:val="es-PE"/>
        </w:rPr>
        <w:t>puerta mental</w:t>
      </w:r>
      <w:r w:rsidRPr="005B6D62">
        <w:rPr>
          <w:lang w:val="es-PE"/>
        </w:rPr>
        <w:t xml:space="preserve"> (</w:t>
      </w:r>
      <w:r w:rsidRPr="005B6D62">
        <w:rPr>
          <w:i/>
          <w:iCs/>
          <w:lang w:val="es-PE"/>
        </w:rPr>
        <w:t>mano–</w:t>
      </w:r>
      <w:proofErr w:type="spellStart"/>
      <w:r w:rsidRPr="005B6D62">
        <w:rPr>
          <w:i/>
          <w:iCs/>
          <w:lang w:val="es-PE"/>
        </w:rPr>
        <w:t>dvāra</w:t>
      </w:r>
      <w:proofErr w:type="spellEnd"/>
      <w:r w:rsidRPr="005B6D62">
        <w:rPr>
          <w:lang w:val="es-PE"/>
        </w:rPr>
        <w:t xml:space="preserve">) XIV.116; XVII.61; XX.44, 70, 121; XXI.129; XXII.19; </w:t>
      </w:r>
      <w:r w:rsidRPr="005B6D62">
        <w:rPr>
          <w:i/>
          <w:iCs/>
          <w:lang w:val="es-PE"/>
        </w:rPr>
        <w:t>elemento mental</w:t>
      </w:r>
      <w:r w:rsidRPr="005B6D62">
        <w:rPr>
          <w:lang w:val="es-PE"/>
        </w:rPr>
        <w:t xml:space="preserve"> (</w:t>
      </w:r>
      <w:r w:rsidRPr="005B6D62">
        <w:rPr>
          <w:i/>
          <w:iCs/>
          <w:lang w:val="es-PE"/>
        </w:rPr>
        <w:t>mano–</w:t>
      </w:r>
      <w:proofErr w:type="spellStart"/>
      <w:r w:rsidRPr="005B6D62">
        <w:rPr>
          <w:i/>
          <w:iCs/>
          <w:lang w:val="es-PE"/>
        </w:rPr>
        <w:t>dhātu</w:t>
      </w:r>
      <w:proofErr w:type="spellEnd"/>
      <w:r w:rsidRPr="005B6D62">
        <w:rPr>
          <w:lang w:val="es-PE"/>
        </w:rPr>
        <w:t xml:space="preserve">) I.57; IV.n.13; VIII.111; X.20; XIV.60, 95s., 107, 115, 118s., 180, n.26; </w:t>
      </w:r>
      <w:r w:rsidRPr="005B6D62">
        <w:rPr>
          <w:strike/>
          <w:color w:val="833C0B" w:themeColor="accent2" w:themeShade="80"/>
          <w:u w:color="000000"/>
          <w:lang w:val="es-PE"/>
        </w:rPr>
        <w:t>XV.7</w:t>
      </w:r>
      <w:r w:rsidRPr="005B6D62">
        <w:rPr>
          <w:lang w:val="es-PE"/>
        </w:rPr>
        <w:t>; XVII.73, 120s.; XVIII.8, 11; XIX.23</w:t>
      </w:r>
      <w:r w:rsidRPr="005B6D62">
        <w:rPr>
          <w:strike/>
          <w:color w:val="833C0B" w:themeColor="accent2" w:themeShade="80"/>
          <w:u w:color="000000"/>
          <w:lang w:val="es-PE"/>
        </w:rPr>
        <w:t>, 31</w:t>
      </w:r>
      <w:r w:rsidRPr="005B6D62">
        <w:rPr>
          <w:lang w:val="es-PE"/>
        </w:rPr>
        <w:t xml:space="preserve">; </w:t>
      </w:r>
      <w:r w:rsidRPr="005B6D62">
        <w:rPr>
          <w:i/>
          <w:iCs/>
          <w:lang w:val="es-PE"/>
        </w:rPr>
        <w:t>facultad mental</w:t>
      </w:r>
      <w:r w:rsidRPr="005B6D62">
        <w:rPr>
          <w:lang w:val="es-PE"/>
        </w:rPr>
        <w:t xml:space="preserve"> (</w:t>
      </w:r>
      <w:proofErr w:type="spellStart"/>
      <w:r w:rsidRPr="005B6D62">
        <w:rPr>
          <w:i/>
          <w:iCs/>
          <w:lang w:val="es-PE"/>
        </w:rPr>
        <w:t>manindriya</w:t>
      </w:r>
      <w:proofErr w:type="spellEnd"/>
      <w:r w:rsidRPr="005B6D62">
        <w:rPr>
          <w:lang w:val="es-PE"/>
        </w:rPr>
        <w:t xml:space="preserve">) XVI.1, 10 </w:t>
      </w:r>
      <w:r>
        <w:rPr>
          <w:lang w:val="es-PE"/>
        </w:rPr>
        <w:br w:type="column"/>
      </w:r>
    </w:p>
    <w:p w14:paraId="3600E1EA" w14:textId="77777777" w:rsidR="00597DE2" w:rsidRPr="005B6D62" w:rsidRDefault="00597DE2" w:rsidP="00597DE2">
      <w:pPr>
        <w:pStyle w:val="ParrafoApendice"/>
        <w:rPr>
          <w:lang w:val="es-PE"/>
        </w:rPr>
      </w:pPr>
      <w:r w:rsidRPr="005B6D62">
        <w:rPr>
          <w:lang w:val="es-PE"/>
        </w:rPr>
        <w:t>mérito (</w:t>
      </w:r>
      <w:proofErr w:type="spellStart"/>
      <w:r w:rsidRPr="005B6D62">
        <w:rPr>
          <w:i/>
          <w:iCs/>
          <w:lang w:val="es-PE"/>
        </w:rPr>
        <w:t>puñña</w:t>
      </w:r>
      <w:proofErr w:type="spellEnd"/>
      <w:r w:rsidRPr="005B6D62">
        <w:rPr>
          <w:lang w:val="es-PE"/>
        </w:rPr>
        <w:t xml:space="preserve">) I.68; VI.22; VII.n.1; XII.40; XVII.60s., 102, 119, 177, 251 </w:t>
      </w:r>
    </w:p>
    <w:p w14:paraId="5AE79B1C" w14:textId="77777777" w:rsidR="00597DE2" w:rsidRPr="005B6D62" w:rsidRDefault="00597DE2" w:rsidP="00597DE2">
      <w:pPr>
        <w:pStyle w:val="ParrafoApendice"/>
        <w:rPr>
          <w:lang w:val="es-PE"/>
        </w:rPr>
      </w:pPr>
      <w:r w:rsidRPr="005B6D62">
        <w:rPr>
          <w:lang w:val="es-PE"/>
        </w:rPr>
        <w:t>método (</w:t>
      </w:r>
      <w:r w:rsidRPr="005B6D62">
        <w:rPr>
          <w:i/>
          <w:iCs/>
          <w:lang w:val="es-PE"/>
        </w:rPr>
        <w:t>naya</w:t>
      </w:r>
      <w:r w:rsidRPr="005B6D62">
        <w:rPr>
          <w:lang w:val="es-PE"/>
        </w:rPr>
        <w:t>) XVII.11, 33, 309s.; XX.102; XXI.52</w:t>
      </w:r>
    </w:p>
    <w:p w14:paraId="0236577E" w14:textId="77777777" w:rsidR="00597DE2" w:rsidRPr="005B6D62" w:rsidRDefault="00597DE2" w:rsidP="00597DE2">
      <w:pPr>
        <w:pStyle w:val="ParrafoApendice"/>
        <w:rPr>
          <w:lang w:val="es-PE"/>
        </w:rPr>
      </w:pPr>
      <w:proofErr w:type="spellStart"/>
      <w:r w:rsidRPr="005B6D62">
        <w:rPr>
          <w:lang w:val="es-PE"/>
        </w:rPr>
        <w:t>Metteyya</w:t>
      </w:r>
      <w:proofErr w:type="spellEnd"/>
      <w:r w:rsidRPr="005B6D62">
        <w:rPr>
          <w:lang w:val="es-PE"/>
        </w:rPr>
        <w:t xml:space="preserve"> </w:t>
      </w:r>
      <w:proofErr w:type="spellStart"/>
      <w:r w:rsidRPr="005B6D62">
        <w:rPr>
          <w:lang w:val="es-PE"/>
        </w:rPr>
        <w:t>Bhagavant</w:t>
      </w:r>
      <w:proofErr w:type="spellEnd"/>
      <w:r w:rsidRPr="005B6D62">
        <w:rPr>
          <w:lang w:val="es-PE"/>
        </w:rPr>
        <w:t xml:space="preserve"> I.135; XIII.127</w:t>
      </w:r>
    </w:p>
    <w:p w14:paraId="79C739D6" w14:textId="77777777" w:rsidR="00597DE2" w:rsidRPr="005B6D62" w:rsidRDefault="00597DE2" w:rsidP="00597DE2">
      <w:pPr>
        <w:pStyle w:val="ParrafoApendice"/>
        <w:rPr>
          <w:lang w:val="es-PE"/>
        </w:rPr>
      </w:pPr>
      <w:r w:rsidRPr="005B6D62">
        <w:rPr>
          <w:lang w:val="es-PE"/>
        </w:rPr>
        <w:t>miembro de clan (</w:t>
      </w:r>
      <w:proofErr w:type="spellStart"/>
      <w:r w:rsidRPr="005B6D62">
        <w:rPr>
          <w:i/>
          <w:iCs/>
          <w:lang w:val="es-PE"/>
        </w:rPr>
        <w:t>kulaputta</w:t>
      </w:r>
      <w:proofErr w:type="spellEnd"/>
      <w:r w:rsidRPr="005B6D62">
        <w:rPr>
          <w:lang w:val="es-PE"/>
        </w:rPr>
        <w:t xml:space="preserve">) I.18; XX.105 </w:t>
      </w:r>
    </w:p>
    <w:p w14:paraId="6B02C85E" w14:textId="77777777" w:rsidR="00597DE2" w:rsidRPr="00762FA7" w:rsidRDefault="00597DE2" w:rsidP="00597DE2">
      <w:pPr>
        <w:pStyle w:val="ParrafoApendice"/>
        <w:rPr>
          <w:lang w:val="es-PE"/>
        </w:rPr>
      </w:pPr>
      <w:r>
        <w:rPr>
          <w:lang w:val="es-PE"/>
        </w:rPr>
        <w:t>m</w:t>
      </w:r>
      <w:r w:rsidRPr="00762FA7">
        <w:rPr>
          <w:lang w:val="es-PE"/>
        </w:rPr>
        <w:t>ilagro gemelo (</w:t>
      </w:r>
      <w:proofErr w:type="spellStart"/>
      <w:r w:rsidRPr="00762FA7">
        <w:rPr>
          <w:i/>
          <w:iCs/>
          <w:lang w:val="es-PE"/>
        </w:rPr>
        <w:t>yamaka</w:t>
      </w:r>
      <w:proofErr w:type="spellEnd"/>
      <w:r w:rsidRPr="00762FA7">
        <w:rPr>
          <w:i/>
          <w:iCs/>
          <w:lang w:val="es-PE"/>
        </w:rPr>
        <w:t>–</w:t>
      </w:r>
      <w:proofErr w:type="spellStart"/>
      <w:r w:rsidRPr="00762FA7">
        <w:rPr>
          <w:i/>
          <w:iCs/>
          <w:lang w:val="es-PE"/>
        </w:rPr>
        <w:t>pāṭihāriya</w:t>
      </w:r>
      <w:proofErr w:type="spellEnd"/>
      <w:r w:rsidRPr="00762FA7">
        <w:rPr>
          <w:lang w:val="es-PE"/>
        </w:rPr>
        <w:t>) IV.132; VII.n.7; XII.72, 84</w:t>
      </w:r>
    </w:p>
    <w:p w14:paraId="64CDB834" w14:textId="77777777" w:rsidR="00597DE2" w:rsidRPr="005B6D62" w:rsidRDefault="00597DE2" w:rsidP="00597DE2">
      <w:pPr>
        <w:pStyle w:val="ParrafoApendice"/>
        <w:rPr>
          <w:lang w:val="es-PE"/>
        </w:rPr>
      </w:pPr>
      <w:r w:rsidRPr="005B6D62">
        <w:rPr>
          <w:lang w:val="es-PE"/>
        </w:rPr>
        <w:t>milagro, maravilla (</w:t>
      </w:r>
      <w:proofErr w:type="spellStart"/>
      <w:r w:rsidRPr="005B6D62">
        <w:rPr>
          <w:i/>
          <w:iCs/>
          <w:lang w:val="es-PE"/>
        </w:rPr>
        <w:t>pāṭihāriya</w:t>
      </w:r>
      <w:proofErr w:type="spellEnd"/>
      <w:r w:rsidRPr="005B6D62">
        <w:rPr>
          <w:lang w:val="es-PE"/>
        </w:rPr>
        <w:t xml:space="preserve">) XII.71, 74 </w:t>
      </w:r>
    </w:p>
    <w:p w14:paraId="43209F0C" w14:textId="77777777" w:rsidR="00597DE2" w:rsidRPr="005B6D62" w:rsidRDefault="00597DE2" w:rsidP="00597DE2">
      <w:pPr>
        <w:pStyle w:val="ParrafoApendice"/>
        <w:rPr>
          <w:lang w:val="es-PE"/>
        </w:rPr>
      </w:pPr>
      <w:proofErr w:type="spellStart"/>
      <w:r w:rsidRPr="005B6D62">
        <w:rPr>
          <w:lang w:val="es-PE"/>
        </w:rPr>
        <w:t>Mīḷhābhaya</w:t>
      </w:r>
      <w:proofErr w:type="spellEnd"/>
      <w:r w:rsidRPr="005B6D62">
        <w:rPr>
          <w:lang w:val="es-PE"/>
        </w:rPr>
        <w:t xml:space="preserve"> </w:t>
      </w:r>
      <w:proofErr w:type="spellStart"/>
      <w:r w:rsidRPr="005B6D62">
        <w:rPr>
          <w:lang w:val="es-PE"/>
        </w:rPr>
        <w:t>Therā</w:t>
      </w:r>
      <w:proofErr w:type="spellEnd"/>
      <w:r w:rsidRPr="005B6D62">
        <w:rPr>
          <w:lang w:val="es-PE"/>
        </w:rPr>
        <w:t xml:space="preserve">, ver </w:t>
      </w:r>
      <w:proofErr w:type="spellStart"/>
      <w:r w:rsidRPr="005B6D62">
        <w:rPr>
          <w:lang w:val="es-PE"/>
        </w:rPr>
        <w:t>Abhaya</w:t>
      </w:r>
      <w:proofErr w:type="spellEnd"/>
      <w:r w:rsidRPr="005B6D62">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Pīṭha</w:t>
      </w:r>
      <w:proofErr w:type="spellEnd"/>
    </w:p>
    <w:p w14:paraId="55826860" w14:textId="77777777" w:rsidR="00597DE2" w:rsidRPr="006D0608" w:rsidRDefault="00597DE2" w:rsidP="00597DE2">
      <w:pPr>
        <w:pStyle w:val="ParrafoApendice"/>
      </w:pPr>
      <w:proofErr w:type="spellStart"/>
      <w:r w:rsidRPr="006D0608">
        <w:t>Missaka</w:t>
      </w:r>
      <w:proofErr w:type="spellEnd"/>
      <w:r w:rsidRPr="006D0608">
        <w:t xml:space="preserve"> Grove XIII.79 </w:t>
      </w:r>
    </w:p>
    <w:p w14:paraId="06EAFCA0" w14:textId="77777777" w:rsidR="00597DE2" w:rsidRPr="006D0608" w:rsidRDefault="00597DE2" w:rsidP="00597DE2">
      <w:pPr>
        <w:pStyle w:val="ParrafoApendice"/>
      </w:pPr>
      <w:r w:rsidRPr="006D0608">
        <w:t xml:space="preserve">Mitta Thera, Mahā I.104, 109 </w:t>
      </w:r>
    </w:p>
    <w:p w14:paraId="7FEA401E" w14:textId="77777777" w:rsidR="00597DE2" w:rsidRPr="005B6D62" w:rsidRDefault="00597DE2" w:rsidP="00597DE2">
      <w:pPr>
        <w:pStyle w:val="ParrafoApendice"/>
        <w:rPr>
          <w:i/>
          <w:iCs/>
          <w:lang w:val="es-PE"/>
        </w:rPr>
      </w:pPr>
      <w:r w:rsidRPr="005B6D62">
        <w:rPr>
          <w:lang w:val="es-PE"/>
        </w:rPr>
        <w:t>modo (</w:t>
      </w:r>
      <w:proofErr w:type="spellStart"/>
      <w:r w:rsidRPr="005B6D62">
        <w:rPr>
          <w:i/>
          <w:iCs/>
          <w:lang w:val="es-PE"/>
        </w:rPr>
        <w:t>ākāra</w:t>
      </w:r>
      <w:proofErr w:type="spellEnd"/>
      <w:r w:rsidRPr="005B6D62">
        <w:rPr>
          <w:lang w:val="es-PE"/>
        </w:rPr>
        <w:t xml:space="preserve">) I.n.14; XIV.61f., 66; XVII.14; XVIII.13; XXI.6s., Ver también </w:t>
      </w:r>
      <w:r w:rsidRPr="005B6D62">
        <w:rPr>
          <w:i/>
          <w:iCs/>
          <w:lang w:val="es-PE"/>
        </w:rPr>
        <w:t>aspecto</w:t>
      </w:r>
    </w:p>
    <w:p w14:paraId="58AAAF5D" w14:textId="77777777" w:rsidR="00597DE2" w:rsidRPr="005B6D62" w:rsidRDefault="00597DE2" w:rsidP="00597DE2">
      <w:pPr>
        <w:pStyle w:val="ParrafoApendice"/>
        <w:rPr>
          <w:lang w:val="es-PE"/>
        </w:rPr>
      </w:pPr>
      <w:r w:rsidRPr="005B6D62">
        <w:rPr>
          <w:lang w:val="es-PE"/>
        </w:rPr>
        <w:t xml:space="preserve">Moggallāna </w:t>
      </w:r>
      <w:proofErr w:type="spellStart"/>
      <w:r w:rsidRPr="005B6D62">
        <w:rPr>
          <w:lang w:val="es-PE"/>
        </w:rPr>
        <w:t>Thera</w:t>
      </w:r>
      <w:proofErr w:type="spellEnd"/>
      <w:r w:rsidRPr="005B6D62">
        <w:rPr>
          <w:lang w:val="es-PE"/>
        </w:rPr>
        <w:t xml:space="preserve">, Mahā I.117; IV.133; VIII.20; XII.76, 105s., 111s., </w:t>
      </w:r>
      <w:r w:rsidRPr="005B6D62">
        <w:rPr>
          <w:u w:color="000000"/>
          <w:lang w:val="es-PE"/>
        </w:rPr>
        <w:t>122</w:t>
      </w:r>
      <w:r w:rsidRPr="005B6D62">
        <w:rPr>
          <w:lang w:val="es-PE"/>
        </w:rPr>
        <w:t>, 127; XXI.118</w:t>
      </w:r>
    </w:p>
    <w:p w14:paraId="2716755A" w14:textId="77777777" w:rsidR="00597DE2" w:rsidRPr="005B6D62" w:rsidRDefault="00597DE2" w:rsidP="00597DE2">
      <w:pPr>
        <w:pStyle w:val="ParrafoApendice"/>
        <w:rPr>
          <w:u w:color="000000"/>
          <w:lang w:val="es-PE"/>
        </w:rPr>
      </w:pPr>
      <w:r w:rsidRPr="005B6D62">
        <w:rPr>
          <w:u w:color="000000"/>
          <w:lang w:val="es-PE"/>
        </w:rPr>
        <w:t>molestia (</w:t>
      </w:r>
      <w:proofErr w:type="spellStart"/>
      <w:r w:rsidRPr="005B6D62">
        <w:rPr>
          <w:i/>
          <w:iCs/>
          <w:u w:color="000000"/>
          <w:lang w:val="es-PE"/>
        </w:rPr>
        <w:t>āghāta</w:t>
      </w:r>
      <w:proofErr w:type="spellEnd"/>
      <w:r w:rsidRPr="005B6D62">
        <w:rPr>
          <w:u w:color="000000"/>
          <w:lang w:val="es-PE"/>
        </w:rPr>
        <w:t>) IV.87; IX.21, 93; XIV.143, 171</w:t>
      </w:r>
    </w:p>
    <w:p w14:paraId="23A0CD1F" w14:textId="77777777" w:rsidR="00597DE2" w:rsidRPr="005B6D62" w:rsidRDefault="00597DE2" w:rsidP="00597DE2">
      <w:pPr>
        <w:pStyle w:val="ParrafoApendice"/>
        <w:rPr>
          <w:lang w:val="es-PE"/>
        </w:rPr>
      </w:pPr>
      <w:r w:rsidRPr="005B6D62">
        <w:rPr>
          <w:lang w:val="es-PE"/>
        </w:rPr>
        <w:t>momento (</w:t>
      </w:r>
      <w:proofErr w:type="spellStart"/>
      <w:r w:rsidRPr="005B6D62">
        <w:rPr>
          <w:i/>
          <w:iCs/>
          <w:lang w:val="es-PE"/>
        </w:rPr>
        <w:t>khaṇa</w:t>
      </w:r>
      <w:proofErr w:type="spellEnd"/>
      <w:r w:rsidRPr="005B6D62">
        <w:rPr>
          <w:lang w:val="es-PE"/>
        </w:rPr>
        <w:t>) IV.78, 99, n.22, n.</w:t>
      </w:r>
      <w:r w:rsidRPr="005B6D62">
        <w:rPr>
          <w:color w:val="833C0B" w:themeColor="accent2" w:themeShade="80"/>
          <w:u w:color="000000"/>
          <w:lang w:val="es-PE"/>
        </w:rPr>
        <w:t>34</w:t>
      </w:r>
      <w:r w:rsidRPr="005B6D62">
        <w:rPr>
          <w:lang w:val="es-PE"/>
        </w:rPr>
        <w:t xml:space="preserve">; XIV.190, 197; XVI.75; XVII.193; XIX.9; XX.22, 97, </w:t>
      </w:r>
      <w:r w:rsidRPr="005B6D62">
        <w:rPr>
          <w:color w:val="833C0B" w:themeColor="accent2" w:themeShade="80"/>
          <w:u w:color="000000"/>
          <w:lang w:val="es-PE"/>
        </w:rPr>
        <w:t>100s.;</w:t>
      </w:r>
      <w:r w:rsidRPr="005B6D62">
        <w:rPr>
          <w:lang w:val="es-PE"/>
        </w:rPr>
        <w:t xml:space="preserve"> XXII.</w:t>
      </w:r>
      <w:r w:rsidRPr="005B6D62">
        <w:rPr>
          <w:color w:val="833C0B" w:themeColor="accent2" w:themeShade="80"/>
          <w:u w:color="000000"/>
          <w:lang w:val="es-PE"/>
        </w:rPr>
        <w:t>93</w:t>
      </w:r>
      <w:r w:rsidRPr="005B6D62">
        <w:rPr>
          <w:lang w:val="es-PE"/>
        </w:rPr>
        <w:t xml:space="preserve">s. Ver también </w:t>
      </w:r>
      <w:r w:rsidRPr="005B6D62">
        <w:rPr>
          <w:i/>
          <w:iCs/>
          <w:lang w:val="es-PE"/>
        </w:rPr>
        <w:t>concentración instantánea y momentánea</w:t>
      </w:r>
      <w:r w:rsidRPr="005B6D62">
        <w:rPr>
          <w:lang w:val="es-PE"/>
        </w:rPr>
        <w:t xml:space="preserve"> (</w:t>
      </w:r>
      <w:proofErr w:type="spellStart"/>
      <w:r w:rsidRPr="005B6D62">
        <w:rPr>
          <w:i/>
          <w:iCs/>
          <w:lang w:val="es-PE"/>
        </w:rPr>
        <w:t>khaṇika</w:t>
      </w:r>
      <w:proofErr w:type="spellEnd"/>
      <w:r w:rsidRPr="005B6D62">
        <w:rPr>
          <w:i/>
          <w:iCs/>
          <w:lang w:val="es-PE"/>
        </w:rPr>
        <w:t>–samādhi</w:t>
      </w:r>
      <w:r w:rsidRPr="005B6D62">
        <w:rPr>
          <w:lang w:val="es-PE"/>
        </w:rPr>
        <w:t>) I.n.3, n.4; IV.99; VIII.</w:t>
      </w:r>
      <w:r w:rsidRPr="005B6D62">
        <w:rPr>
          <w:color w:val="833C0B" w:themeColor="accent2" w:themeShade="80"/>
          <w:u w:color="000000"/>
          <w:lang w:val="es-PE"/>
        </w:rPr>
        <w:t>n.64</w:t>
      </w:r>
      <w:r w:rsidRPr="005B6D62">
        <w:rPr>
          <w:lang w:val="es-PE"/>
        </w:rPr>
        <w:t>; IX.n.</w:t>
      </w:r>
      <w:r w:rsidRPr="005B6D62">
        <w:rPr>
          <w:color w:val="833C0B" w:themeColor="accent2" w:themeShade="80"/>
          <w:u w:color="000000"/>
          <w:lang w:val="es-PE"/>
        </w:rPr>
        <w:t>18</w:t>
      </w:r>
      <w:r w:rsidRPr="005B6D62">
        <w:rPr>
          <w:lang w:val="es-PE"/>
        </w:rPr>
        <w:t>; XIII.n.1, n.3; unificación momentánea (</w:t>
      </w:r>
      <w:proofErr w:type="spellStart"/>
      <w:r w:rsidRPr="005B6D62">
        <w:rPr>
          <w:i/>
          <w:iCs/>
          <w:lang w:val="es-PE"/>
        </w:rPr>
        <w:t>khaṇika</w:t>
      </w:r>
      <w:proofErr w:type="spellEnd"/>
      <w:r w:rsidRPr="005B6D62">
        <w:rPr>
          <w:i/>
          <w:iCs/>
          <w:lang w:val="es-PE"/>
        </w:rPr>
        <w:t>–</w:t>
      </w:r>
      <w:proofErr w:type="spellStart"/>
      <w:r w:rsidRPr="005B6D62">
        <w:rPr>
          <w:i/>
          <w:iCs/>
          <w:lang w:val="es-PE"/>
        </w:rPr>
        <w:t>ekaggatā</w:t>
      </w:r>
      <w:proofErr w:type="spellEnd"/>
      <w:r w:rsidRPr="005B6D62">
        <w:rPr>
          <w:lang w:val="es-PE"/>
        </w:rPr>
        <w:t xml:space="preserve">) VIII.232, </w:t>
      </w:r>
      <w:r w:rsidRPr="005B6D62">
        <w:rPr>
          <w:color w:val="833C0B" w:themeColor="accent2" w:themeShade="80"/>
          <w:u w:color="000000"/>
          <w:lang w:val="es-PE"/>
        </w:rPr>
        <w:t>n.64</w:t>
      </w:r>
      <w:r w:rsidRPr="005B6D62">
        <w:rPr>
          <w:lang w:val="es-PE"/>
        </w:rPr>
        <w:t xml:space="preserve"> </w:t>
      </w:r>
    </w:p>
    <w:p w14:paraId="6AE9E66A" w14:textId="77777777" w:rsidR="00597DE2" w:rsidRPr="00F41CC0" w:rsidRDefault="00597DE2" w:rsidP="00597DE2">
      <w:pPr>
        <w:pStyle w:val="ParrafoApendice"/>
        <w:rPr>
          <w:lang w:val="es-PE"/>
        </w:rPr>
      </w:pPr>
      <w:r w:rsidRPr="00F41CC0">
        <w:rPr>
          <w:lang w:val="es-PE"/>
        </w:rPr>
        <w:t xml:space="preserve">monarca </w:t>
      </w:r>
      <w:r>
        <w:rPr>
          <w:lang w:val="es-PE"/>
        </w:rPr>
        <w:t xml:space="preserve">de la </w:t>
      </w:r>
      <w:r w:rsidRPr="00F41CC0">
        <w:rPr>
          <w:lang w:val="es-PE"/>
        </w:rPr>
        <w:t>ru</w:t>
      </w:r>
      <w:r>
        <w:rPr>
          <w:lang w:val="es-PE"/>
        </w:rPr>
        <w:t>eda</w:t>
      </w:r>
      <w:r w:rsidRPr="00F41CC0">
        <w:rPr>
          <w:lang w:val="es-PE"/>
        </w:rPr>
        <w:t xml:space="preserve"> </w:t>
      </w:r>
      <w:r>
        <w:rPr>
          <w:lang w:val="es-PE"/>
        </w:rPr>
        <w:t xml:space="preserve">girante </w:t>
      </w:r>
      <w:r w:rsidRPr="00F41CC0">
        <w:rPr>
          <w:lang w:val="es-PE"/>
        </w:rPr>
        <w:t>(</w:t>
      </w:r>
      <w:proofErr w:type="spellStart"/>
      <w:r w:rsidRPr="00CE7755">
        <w:rPr>
          <w:i/>
          <w:iCs/>
          <w:lang w:val="es-PE"/>
        </w:rPr>
        <w:t>cakkavattin</w:t>
      </w:r>
      <w:proofErr w:type="spellEnd"/>
      <w:r w:rsidRPr="00F41CC0">
        <w:rPr>
          <w:lang w:val="es-PE"/>
        </w:rPr>
        <w:t>) VIII.</w:t>
      </w:r>
      <w:r w:rsidRPr="00245DFD">
        <w:rPr>
          <w:color w:val="833C0B" w:themeColor="accent2" w:themeShade="80"/>
          <w:lang w:val="es-PE"/>
        </w:rPr>
        <w:t>n.62</w:t>
      </w:r>
      <w:r w:rsidRPr="00F41CC0">
        <w:rPr>
          <w:lang w:val="es-PE"/>
        </w:rPr>
        <w:t>; XII.</w:t>
      </w:r>
      <w:r>
        <w:rPr>
          <w:lang w:val="es-PE"/>
        </w:rPr>
        <w:t xml:space="preserve">21, </w:t>
      </w:r>
      <w:r w:rsidRPr="00F41CC0">
        <w:rPr>
          <w:lang w:val="es-PE"/>
        </w:rPr>
        <w:t xml:space="preserve">40 </w:t>
      </w:r>
    </w:p>
    <w:p w14:paraId="2A396DA4" w14:textId="77777777" w:rsidR="00597DE2" w:rsidRPr="005B6D62" w:rsidRDefault="00597DE2" w:rsidP="00597DE2">
      <w:pPr>
        <w:pStyle w:val="ParrafoApendice"/>
        <w:rPr>
          <w:lang w:val="es-PE"/>
        </w:rPr>
      </w:pPr>
      <w:r w:rsidRPr="005B6D62">
        <w:rPr>
          <w:lang w:val="es-PE"/>
        </w:rPr>
        <w:t>monasterio (Vihāra) I.69; IV.2s.</w:t>
      </w:r>
    </w:p>
    <w:p w14:paraId="782FED3D" w14:textId="77777777" w:rsidR="00597DE2" w:rsidRPr="005B6D62" w:rsidRDefault="00597DE2" w:rsidP="00597DE2">
      <w:pPr>
        <w:pStyle w:val="ParrafoApendice"/>
        <w:rPr>
          <w:lang w:val="es-PE"/>
        </w:rPr>
      </w:pPr>
      <w:r w:rsidRPr="005B6D62">
        <w:rPr>
          <w:lang w:val="es-PE"/>
        </w:rPr>
        <w:t>mortificación del ser, auto mortificación (</w:t>
      </w:r>
      <w:proofErr w:type="spellStart"/>
      <w:r w:rsidRPr="005B6D62">
        <w:rPr>
          <w:i/>
          <w:iCs/>
          <w:lang w:val="es-PE"/>
        </w:rPr>
        <w:t>atta</w:t>
      </w:r>
      <w:proofErr w:type="spellEnd"/>
      <w:r w:rsidRPr="005B6D62">
        <w:rPr>
          <w:i/>
          <w:iCs/>
          <w:lang w:val="es-PE"/>
        </w:rPr>
        <w:t>–</w:t>
      </w:r>
      <w:proofErr w:type="spellStart"/>
      <w:r w:rsidRPr="005B6D62">
        <w:rPr>
          <w:i/>
          <w:iCs/>
          <w:lang w:val="es-PE"/>
        </w:rPr>
        <w:t>kilamatha</w:t>
      </w:r>
      <w:proofErr w:type="spellEnd"/>
      <w:r w:rsidRPr="005B6D62">
        <w:rPr>
          <w:lang w:val="es-PE"/>
        </w:rPr>
        <w:t xml:space="preserve">) </w:t>
      </w:r>
      <w:proofErr w:type="gramStart"/>
      <w:r w:rsidRPr="005B6D62">
        <w:rPr>
          <w:lang w:val="es-PE"/>
        </w:rPr>
        <w:t>I.93;II</w:t>
      </w:r>
      <w:proofErr w:type="gramEnd"/>
      <w:r w:rsidRPr="005B6D62">
        <w:rPr>
          <w:lang w:val="es-PE"/>
        </w:rPr>
        <w:t xml:space="preserve">.84 </w:t>
      </w:r>
    </w:p>
    <w:p w14:paraId="61AD33FF" w14:textId="77777777" w:rsidR="00597DE2" w:rsidRPr="005B6D62" w:rsidRDefault="00597DE2" w:rsidP="00597DE2">
      <w:pPr>
        <w:pStyle w:val="ParrafoApendice"/>
        <w:rPr>
          <w:lang w:val="es-PE"/>
        </w:rPr>
      </w:pPr>
      <w:r w:rsidRPr="005B6D62">
        <w:rPr>
          <w:lang w:val="es-PE"/>
        </w:rPr>
        <w:t>movimiento (</w:t>
      </w:r>
      <w:proofErr w:type="spellStart"/>
      <w:r w:rsidRPr="005B6D62">
        <w:rPr>
          <w:i/>
          <w:iCs/>
          <w:lang w:val="es-PE"/>
        </w:rPr>
        <w:t>calana</w:t>
      </w:r>
      <w:proofErr w:type="spellEnd"/>
      <w:r w:rsidRPr="005B6D62">
        <w:rPr>
          <w:lang w:val="es-PE"/>
        </w:rPr>
        <w:t xml:space="preserve">) XIVn.27, n.29 </w:t>
      </w:r>
    </w:p>
    <w:p w14:paraId="4CB09AC6" w14:textId="77777777" w:rsidR="00597DE2" w:rsidRPr="005B6D62" w:rsidRDefault="00597DE2" w:rsidP="00597DE2">
      <w:pPr>
        <w:pStyle w:val="ParrafoApendice"/>
        <w:rPr>
          <w:lang w:val="es-PE"/>
        </w:rPr>
      </w:pPr>
      <w:r w:rsidRPr="005B6D62">
        <w:rPr>
          <w:lang w:val="es-PE"/>
        </w:rPr>
        <w:t>movimiento (</w:t>
      </w:r>
      <w:proofErr w:type="spellStart"/>
      <w:r w:rsidRPr="005B6D62">
        <w:rPr>
          <w:i/>
          <w:iCs/>
          <w:lang w:val="es-PE"/>
        </w:rPr>
        <w:t>gati</w:t>
      </w:r>
      <w:proofErr w:type="spellEnd"/>
      <w:r w:rsidRPr="005B6D62">
        <w:rPr>
          <w:lang w:val="es-PE"/>
        </w:rPr>
        <w:t xml:space="preserve">) VIII.n.54 </w:t>
      </w:r>
    </w:p>
    <w:p w14:paraId="2E2E6F4E" w14:textId="77777777" w:rsidR="00597DE2" w:rsidRPr="005B6D62" w:rsidRDefault="00597DE2" w:rsidP="00597DE2">
      <w:pPr>
        <w:pStyle w:val="ParrafoApendice"/>
        <w:rPr>
          <w:lang w:val="es-PE"/>
        </w:rPr>
      </w:pPr>
      <w:r w:rsidRPr="005B6D62">
        <w:rPr>
          <w:lang w:val="es-PE"/>
        </w:rPr>
        <w:t>muerte (</w:t>
      </w:r>
      <w:proofErr w:type="spellStart"/>
      <w:r w:rsidRPr="005B6D62">
        <w:rPr>
          <w:i/>
          <w:iCs/>
          <w:lang w:val="es-PE"/>
        </w:rPr>
        <w:t>cuti</w:t>
      </w:r>
      <w:proofErr w:type="spellEnd"/>
      <w:r w:rsidRPr="005B6D62">
        <w:rPr>
          <w:lang w:val="es-PE"/>
        </w:rPr>
        <w:t>) IV.n.13; VIII.241; XIII.14, 17s., 24, 76; XIV.98, 110, 123; XVII.113s., 131s., 135s., 164, 232, n.43, n.45; XIX.24; XX.31, 43, 47; (</w:t>
      </w:r>
      <w:proofErr w:type="spellStart"/>
      <w:r w:rsidRPr="005B6D62">
        <w:rPr>
          <w:i/>
          <w:iCs/>
          <w:lang w:val="es-PE"/>
        </w:rPr>
        <w:t>māraṇa</w:t>
      </w:r>
      <w:proofErr w:type="spellEnd"/>
      <w:r w:rsidRPr="005B6D62">
        <w:rPr>
          <w:lang w:val="es-PE"/>
        </w:rPr>
        <w:t xml:space="preserve">) III.105; IV.63; VII.1, 16, 59; VIII.1s.; IX.7, 75; XIII.91; XIV.111; XVI.31, 46s., 59; XVII.48, 163, 278; XVIII.30; XIX.15; XX.25; XXI.24, 34; XXII.116, 118; XXIII.42, n.17 </w:t>
      </w:r>
    </w:p>
    <w:p w14:paraId="4670C0DA" w14:textId="77777777" w:rsidR="00597DE2" w:rsidRPr="00E93A50" w:rsidRDefault="00597DE2" w:rsidP="00597DE2">
      <w:pPr>
        <w:pStyle w:val="ParrafoApendice"/>
        <w:rPr>
          <w:lang w:val="es-PE"/>
        </w:rPr>
      </w:pPr>
      <w:r w:rsidRPr="00E93A50">
        <w:rPr>
          <w:lang w:val="es-PE"/>
        </w:rPr>
        <w:t>mujer (</w:t>
      </w:r>
      <w:proofErr w:type="spellStart"/>
      <w:r w:rsidRPr="00E93A50">
        <w:rPr>
          <w:i/>
          <w:iCs/>
          <w:lang w:val="es-PE"/>
        </w:rPr>
        <w:t>itthi</w:t>
      </w:r>
      <w:proofErr w:type="spellEnd"/>
      <w:r w:rsidRPr="00E93A50">
        <w:rPr>
          <w:lang w:val="es-PE"/>
        </w:rPr>
        <w:t>) I.n.14; XVII.n.4</w:t>
      </w:r>
    </w:p>
    <w:p w14:paraId="6EA349E7" w14:textId="77777777" w:rsidR="00597DE2" w:rsidRPr="005D024F" w:rsidRDefault="00597DE2" w:rsidP="00597DE2">
      <w:pPr>
        <w:pStyle w:val="ParrafoApendice"/>
        <w:rPr>
          <w:lang w:val="es-PE"/>
        </w:rPr>
      </w:pPr>
      <w:r w:rsidRPr="005D024F">
        <w:rPr>
          <w:lang w:val="es-PE"/>
        </w:rPr>
        <w:t>mundan</w:t>
      </w:r>
      <w:r>
        <w:rPr>
          <w:lang w:val="es-PE"/>
        </w:rPr>
        <w:t xml:space="preserve">idad/mundanalidad </w:t>
      </w:r>
      <w:r w:rsidRPr="005D024F">
        <w:rPr>
          <w:lang w:val="es-PE"/>
        </w:rPr>
        <w:t>(</w:t>
      </w:r>
      <w:proofErr w:type="spellStart"/>
      <w:r w:rsidRPr="005D024F">
        <w:rPr>
          <w:i/>
          <w:iCs/>
          <w:lang w:val="es-PE"/>
        </w:rPr>
        <w:t>āmisa</w:t>
      </w:r>
      <w:proofErr w:type="spellEnd"/>
      <w:r w:rsidRPr="005D024F">
        <w:rPr>
          <w:lang w:val="es-PE"/>
        </w:rPr>
        <w:t xml:space="preserve">) XXI.n.13 </w:t>
      </w:r>
    </w:p>
    <w:p w14:paraId="0957138A" w14:textId="77777777" w:rsidR="00597DE2" w:rsidRPr="005B6D62" w:rsidRDefault="00597DE2" w:rsidP="00597DE2">
      <w:pPr>
        <w:pStyle w:val="ParrafoApendice"/>
        <w:rPr>
          <w:lang w:val="es-PE"/>
        </w:rPr>
      </w:pPr>
      <w:r w:rsidRPr="005B6D62">
        <w:rPr>
          <w:lang w:val="es-PE"/>
        </w:rPr>
        <w:t>mundano (</w:t>
      </w:r>
      <w:proofErr w:type="spellStart"/>
      <w:r w:rsidRPr="005B6D62">
        <w:rPr>
          <w:i/>
          <w:iCs/>
          <w:lang w:val="es-PE"/>
        </w:rPr>
        <w:t>lokiya</w:t>
      </w:r>
      <w:proofErr w:type="spellEnd"/>
      <w:r w:rsidRPr="005B6D62">
        <w:rPr>
          <w:lang w:val="es-PE"/>
        </w:rPr>
        <w:t>) I.29, 32, n.4; III.5, 7, n.5; XIV.9, 202; XVI.102; XVII.120; XVIII.8s; XX.43, 130; XXI.16; XXII.39, 46, 124, 128; XXIII.2s., 52</w:t>
      </w:r>
    </w:p>
    <w:p w14:paraId="6C9548E8" w14:textId="77777777" w:rsidR="00597DE2" w:rsidRPr="00ED5DFB" w:rsidRDefault="00597DE2" w:rsidP="00597DE2">
      <w:pPr>
        <w:pStyle w:val="ParrafoApendice"/>
        <w:rPr>
          <w:lang w:val="es-PE"/>
        </w:rPr>
      </w:pPr>
      <w:r w:rsidRPr="00ED5DFB">
        <w:rPr>
          <w:lang w:val="es-PE"/>
        </w:rPr>
        <w:t>mundano/a (</w:t>
      </w:r>
      <w:proofErr w:type="spellStart"/>
      <w:r w:rsidRPr="00ED5DFB">
        <w:rPr>
          <w:i/>
          <w:iCs/>
          <w:lang w:val="es-PE"/>
        </w:rPr>
        <w:t>sāmisa</w:t>
      </w:r>
      <w:proofErr w:type="spellEnd"/>
      <w:r w:rsidRPr="00ED5DFB">
        <w:rPr>
          <w:lang w:val="es-PE"/>
        </w:rPr>
        <w:t>) XXI.37, 41</w:t>
      </w:r>
    </w:p>
    <w:p w14:paraId="361AD9D4" w14:textId="77777777" w:rsidR="00597DE2" w:rsidRDefault="00597DE2" w:rsidP="00597DE2">
      <w:pPr>
        <w:pStyle w:val="ParrafoApendice"/>
        <w:rPr>
          <w:lang w:val="es-PE"/>
        </w:rPr>
      </w:pPr>
      <w:r w:rsidRPr="00E93A50">
        <w:rPr>
          <w:lang w:val="es-PE"/>
        </w:rPr>
        <w:t>mu</w:t>
      </w:r>
      <w:r>
        <w:rPr>
          <w:lang w:val="es-PE"/>
        </w:rPr>
        <w:t>ndo, plano, esfera</w:t>
      </w:r>
      <w:r w:rsidRPr="00E93A50">
        <w:rPr>
          <w:lang w:val="es-PE"/>
        </w:rPr>
        <w:t xml:space="preserve"> (</w:t>
      </w:r>
      <w:r w:rsidRPr="00E93A50">
        <w:rPr>
          <w:i/>
          <w:iCs/>
          <w:lang w:val="es-PE"/>
        </w:rPr>
        <w:t>loka</w:t>
      </w:r>
      <w:r w:rsidRPr="00E93A50">
        <w:rPr>
          <w:lang w:val="es-PE"/>
        </w:rPr>
        <w:t>) I.34; III.n.5; VII.36</w:t>
      </w:r>
      <w:r>
        <w:rPr>
          <w:lang w:val="es-PE"/>
        </w:rPr>
        <w:t>s</w:t>
      </w:r>
      <w:r w:rsidRPr="00E93A50">
        <w:rPr>
          <w:lang w:val="es-PE"/>
        </w:rPr>
        <w:t xml:space="preserve">.; VIII.39, n.11; XIII.94; XIV.n.36; XVI.85, n.23; XVII.134; XX.72; </w:t>
      </w:r>
      <w:r>
        <w:rPr>
          <w:lang w:val="es-PE"/>
        </w:rPr>
        <w:t>cúspide del mundo</w:t>
      </w:r>
      <w:r w:rsidRPr="00E93A50">
        <w:rPr>
          <w:lang w:val="es-PE"/>
        </w:rPr>
        <w:t xml:space="preserve">, </w:t>
      </w:r>
      <w:r>
        <w:rPr>
          <w:lang w:val="es-PE"/>
        </w:rPr>
        <w:t xml:space="preserve">santuario del mundo </w:t>
      </w:r>
      <w:r w:rsidRPr="00E93A50">
        <w:rPr>
          <w:lang w:val="es-PE"/>
        </w:rPr>
        <w:t>(</w:t>
      </w:r>
      <w:r w:rsidRPr="00854FBA">
        <w:rPr>
          <w:i/>
          <w:iCs/>
          <w:lang w:val="es-PE"/>
        </w:rPr>
        <w:t>loka–</w:t>
      </w:r>
      <w:proofErr w:type="spellStart"/>
      <w:r w:rsidRPr="00854FBA">
        <w:rPr>
          <w:i/>
          <w:iCs/>
          <w:lang w:val="es-PE"/>
        </w:rPr>
        <w:t>thūpika</w:t>
      </w:r>
      <w:proofErr w:type="spellEnd"/>
      <w:r w:rsidRPr="00E93A50">
        <w:rPr>
          <w:lang w:val="es-PE"/>
        </w:rPr>
        <w:t xml:space="preserve">) XVI.85; </w:t>
      </w:r>
      <w:r>
        <w:rPr>
          <w:lang w:val="es-PE"/>
        </w:rPr>
        <w:t>elemento del mundo</w:t>
      </w:r>
      <w:r w:rsidRPr="00E93A50">
        <w:rPr>
          <w:lang w:val="es-PE"/>
        </w:rPr>
        <w:t xml:space="preserve"> (</w:t>
      </w:r>
      <w:r w:rsidRPr="003F0905">
        <w:rPr>
          <w:i/>
          <w:iCs/>
          <w:lang w:val="es-PE"/>
        </w:rPr>
        <w:t>loka–</w:t>
      </w:r>
      <w:proofErr w:type="spellStart"/>
      <w:r w:rsidRPr="003F0905">
        <w:rPr>
          <w:i/>
          <w:iCs/>
          <w:lang w:val="es-PE"/>
        </w:rPr>
        <w:t>dhātu</w:t>
      </w:r>
      <w:proofErr w:type="spellEnd"/>
      <w:r w:rsidRPr="00E93A50">
        <w:rPr>
          <w:lang w:val="es-PE"/>
        </w:rPr>
        <w:t xml:space="preserve">) VII.44, n.14; XII.78, 106; </w:t>
      </w:r>
    </w:p>
    <w:p w14:paraId="3F236312" w14:textId="77777777" w:rsidR="00597DE2" w:rsidRDefault="00597DE2" w:rsidP="00597DE2">
      <w:pPr>
        <w:tabs>
          <w:tab w:val="clear" w:pos="425"/>
        </w:tabs>
        <w:spacing w:after="160"/>
        <w:rPr>
          <w:sz w:val="16"/>
          <w:szCs w:val="18"/>
        </w:rPr>
      </w:pPr>
      <w:r>
        <w:br w:type="page"/>
      </w:r>
    </w:p>
    <w:p w14:paraId="4B9C8733" w14:textId="77777777" w:rsidR="00597DE2" w:rsidRPr="00E93A50" w:rsidRDefault="00597DE2" w:rsidP="00597DE2">
      <w:pPr>
        <w:pStyle w:val="ParrafoApendice"/>
        <w:rPr>
          <w:lang w:val="es-PE"/>
        </w:rPr>
      </w:pPr>
      <w:r>
        <w:rPr>
          <w:lang w:val="es-PE"/>
        </w:rPr>
        <w:lastRenderedPageBreak/>
        <w:br/>
        <w:t>deidades comandantes de un mundo</w:t>
      </w:r>
      <w:r w:rsidRPr="00E93A50">
        <w:rPr>
          <w:lang w:val="es-PE"/>
        </w:rPr>
        <w:t xml:space="preserve"> (</w:t>
      </w:r>
      <w:r w:rsidRPr="00C61CF5">
        <w:rPr>
          <w:i/>
          <w:iCs/>
          <w:lang w:val="es-PE"/>
        </w:rPr>
        <w:t>loka–</w:t>
      </w:r>
      <w:proofErr w:type="spellStart"/>
      <w:r w:rsidRPr="00C61CF5">
        <w:rPr>
          <w:i/>
          <w:iCs/>
          <w:lang w:val="es-PE"/>
        </w:rPr>
        <w:t>vyūha</w:t>
      </w:r>
      <w:proofErr w:type="spellEnd"/>
      <w:r w:rsidRPr="00C61CF5">
        <w:rPr>
          <w:i/>
          <w:iCs/>
          <w:lang w:val="es-PE"/>
        </w:rPr>
        <w:t>–</w:t>
      </w:r>
      <w:proofErr w:type="spellStart"/>
      <w:r w:rsidRPr="00C61CF5">
        <w:rPr>
          <w:i/>
          <w:iCs/>
          <w:lang w:val="es-PE"/>
        </w:rPr>
        <w:t>devā</w:t>
      </w:r>
      <w:proofErr w:type="spellEnd"/>
      <w:r w:rsidRPr="00E93A50">
        <w:rPr>
          <w:lang w:val="es-PE"/>
        </w:rPr>
        <w:t xml:space="preserve">) XIII.34; </w:t>
      </w:r>
      <w:r w:rsidRPr="00290E6A">
        <w:rPr>
          <w:i/>
          <w:iCs/>
          <w:lang w:val="es-PE"/>
        </w:rPr>
        <w:t>mundo inter espacial</w:t>
      </w:r>
      <w:r w:rsidRPr="00E93A50">
        <w:rPr>
          <w:lang w:val="es-PE"/>
        </w:rPr>
        <w:t xml:space="preserve"> (</w:t>
      </w:r>
      <w:proofErr w:type="spellStart"/>
      <w:r w:rsidRPr="00290E6A">
        <w:rPr>
          <w:i/>
          <w:iCs/>
          <w:lang w:val="es-PE"/>
        </w:rPr>
        <w:t>lokantara</w:t>
      </w:r>
      <w:proofErr w:type="spellEnd"/>
      <w:r w:rsidRPr="00E93A50">
        <w:rPr>
          <w:lang w:val="es-PE"/>
        </w:rPr>
        <w:t xml:space="preserve">) VII.n.14; XVI.43; </w:t>
      </w:r>
      <w:r>
        <w:rPr>
          <w:i/>
          <w:iCs/>
          <w:lang w:val="es-PE"/>
        </w:rPr>
        <w:t>alma del mundo</w:t>
      </w:r>
      <w:r w:rsidRPr="00E93A50">
        <w:rPr>
          <w:lang w:val="es-PE"/>
        </w:rPr>
        <w:t xml:space="preserve">, </w:t>
      </w:r>
      <w:proofErr w:type="spellStart"/>
      <w:r w:rsidRPr="00E93A50">
        <w:rPr>
          <w:lang w:val="es-PE"/>
        </w:rPr>
        <w:t>Puru</w:t>
      </w:r>
      <w:r>
        <w:rPr>
          <w:lang w:val="es-PE"/>
        </w:rPr>
        <w:t>s</w:t>
      </w:r>
      <w:r w:rsidRPr="00E93A50">
        <w:rPr>
          <w:lang w:val="es-PE"/>
        </w:rPr>
        <w:t>a</w:t>
      </w:r>
      <w:proofErr w:type="spellEnd"/>
      <w:r w:rsidRPr="00E93A50">
        <w:rPr>
          <w:lang w:val="es-PE"/>
        </w:rPr>
        <w:t xml:space="preserve"> (</w:t>
      </w:r>
      <w:proofErr w:type="spellStart"/>
      <w:r w:rsidRPr="00B75012">
        <w:rPr>
          <w:i/>
          <w:iCs/>
          <w:lang w:val="es-PE"/>
        </w:rPr>
        <w:t>purisa</w:t>
      </w:r>
      <w:proofErr w:type="spellEnd"/>
      <w:r w:rsidRPr="00E93A50">
        <w:rPr>
          <w:lang w:val="es-PE"/>
        </w:rPr>
        <w:t xml:space="preserve">) XVII.8, n.3; XVIII.n.9; </w:t>
      </w:r>
      <w:r w:rsidRPr="009C4885">
        <w:rPr>
          <w:i/>
          <w:iCs/>
          <w:lang w:val="es-PE"/>
        </w:rPr>
        <w:t xml:space="preserve">esfera </w:t>
      </w:r>
      <w:r>
        <w:rPr>
          <w:i/>
          <w:iCs/>
          <w:lang w:val="es-PE"/>
        </w:rPr>
        <w:t xml:space="preserve">terrestre / estelar / </w:t>
      </w:r>
      <w:r w:rsidRPr="00E93A50">
        <w:rPr>
          <w:lang w:val="es-PE"/>
        </w:rPr>
        <w:t>(</w:t>
      </w:r>
      <w:proofErr w:type="spellStart"/>
      <w:r w:rsidRPr="0087105D">
        <w:rPr>
          <w:i/>
          <w:iCs/>
          <w:lang w:val="es-PE"/>
        </w:rPr>
        <w:t>cakka</w:t>
      </w:r>
      <w:proofErr w:type="spellEnd"/>
      <w:r w:rsidRPr="0087105D">
        <w:rPr>
          <w:i/>
          <w:iCs/>
          <w:lang w:val="es-PE"/>
        </w:rPr>
        <w:t>–</w:t>
      </w:r>
      <w:proofErr w:type="spellStart"/>
      <w:r w:rsidRPr="0087105D">
        <w:rPr>
          <w:i/>
          <w:iCs/>
          <w:lang w:val="es-PE"/>
        </w:rPr>
        <w:t>vāla</w:t>
      </w:r>
      <w:proofErr w:type="spellEnd"/>
      <w:r w:rsidRPr="00E93A50">
        <w:rPr>
          <w:lang w:val="es-PE"/>
        </w:rPr>
        <w:t>) VII.40, 44, n.14; IX.103; X.6; XII.72, 78, 88; XIII.3, 31, 48</w:t>
      </w:r>
      <w:r>
        <w:rPr>
          <w:lang w:val="es-PE"/>
        </w:rPr>
        <w:t>s</w:t>
      </w:r>
      <w:r w:rsidRPr="00E93A50">
        <w:rPr>
          <w:lang w:val="es-PE"/>
        </w:rPr>
        <w:t xml:space="preserve">. </w:t>
      </w:r>
    </w:p>
    <w:p w14:paraId="4EFB8B50" w14:textId="77777777" w:rsidR="00597DE2" w:rsidRPr="005B6D62" w:rsidRDefault="00597DE2" w:rsidP="00597DE2">
      <w:pPr>
        <w:pStyle w:val="ParrafoApendice"/>
        <w:rPr>
          <w:u w:color="000000"/>
          <w:lang w:val="es-PE"/>
        </w:rPr>
      </w:pPr>
      <w:r w:rsidRPr="005B6D62">
        <w:rPr>
          <w:u w:color="000000"/>
          <w:lang w:val="es-PE"/>
        </w:rPr>
        <w:t>nacido–aparicionalmente (</w:t>
      </w:r>
      <w:proofErr w:type="spellStart"/>
      <w:r w:rsidRPr="005B6D62">
        <w:rPr>
          <w:i/>
          <w:iCs/>
          <w:u w:color="000000"/>
          <w:lang w:val="es-PE"/>
        </w:rPr>
        <w:t>opapātika</w:t>
      </w:r>
      <w:proofErr w:type="spellEnd"/>
      <w:r w:rsidRPr="005B6D62">
        <w:rPr>
          <w:u w:color="000000"/>
          <w:lang w:val="es-PE"/>
        </w:rPr>
        <w:t xml:space="preserve">) XVII.154, 191, 286; XX.26; XXII.27 </w:t>
      </w:r>
    </w:p>
    <w:p w14:paraId="231C6976" w14:textId="77777777" w:rsidR="00597DE2" w:rsidRPr="005B6D62" w:rsidRDefault="00597DE2" w:rsidP="00597DE2">
      <w:pPr>
        <w:pStyle w:val="ParrafoApendice"/>
        <w:rPr>
          <w:u w:color="000000"/>
          <w:lang w:val="es-PE"/>
        </w:rPr>
      </w:pPr>
      <w:r w:rsidRPr="005B6D62">
        <w:rPr>
          <w:u w:color="000000"/>
          <w:lang w:val="es-PE"/>
        </w:rPr>
        <w:t>nacimiento (</w:t>
      </w:r>
      <w:proofErr w:type="spellStart"/>
      <w:r w:rsidRPr="005B6D62">
        <w:rPr>
          <w:i/>
          <w:iCs/>
          <w:u w:color="000000"/>
          <w:lang w:val="es-PE"/>
        </w:rPr>
        <w:t>jāti</w:t>
      </w:r>
      <w:proofErr w:type="spellEnd"/>
      <w:r w:rsidRPr="005B6D62">
        <w:rPr>
          <w:u w:color="000000"/>
          <w:lang w:val="es-PE"/>
        </w:rPr>
        <w:t>) IV.63; VII.16; VIII.10; XIII.28; XVI.32s., 58; XVII.2, 49, 51, 63, 270s.</w:t>
      </w:r>
    </w:p>
    <w:p w14:paraId="14068ED7" w14:textId="77777777" w:rsidR="00597DE2" w:rsidRPr="005B6D62" w:rsidRDefault="00597DE2" w:rsidP="00597DE2">
      <w:pPr>
        <w:pStyle w:val="ParrafoApendice"/>
        <w:rPr>
          <w:lang w:val="es-PE"/>
        </w:rPr>
      </w:pPr>
      <w:proofErr w:type="spellStart"/>
      <w:r w:rsidRPr="005B6D62">
        <w:rPr>
          <w:lang w:val="es-PE"/>
        </w:rPr>
        <w:t>Nāga</w:t>
      </w:r>
      <w:proofErr w:type="spellEnd"/>
      <w:r w:rsidRPr="005B6D62">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Karuliyagiri</w:t>
      </w:r>
      <w:proofErr w:type="spellEnd"/>
      <w:r w:rsidRPr="005B6D62">
        <w:rPr>
          <w:lang w:val="es-PE"/>
        </w:rPr>
        <w:t>–</w:t>
      </w:r>
      <w:proofErr w:type="spellStart"/>
      <w:r w:rsidRPr="005B6D62">
        <w:rPr>
          <w:lang w:val="es-PE"/>
        </w:rPr>
        <w:t>vāsin</w:t>
      </w:r>
      <w:proofErr w:type="spellEnd"/>
      <w:r w:rsidRPr="005B6D62">
        <w:rPr>
          <w:lang w:val="es-PE"/>
        </w:rPr>
        <w:t xml:space="preserve"> III.52</w:t>
      </w:r>
    </w:p>
    <w:p w14:paraId="5AA27FB5" w14:textId="77777777" w:rsidR="00597DE2" w:rsidRPr="005B6D62" w:rsidRDefault="00597DE2" w:rsidP="00597DE2">
      <w:pPr>
        <w:pStyle w:val="ParrafoApendice"/>
        <w:rPr>
          <w:lang w:val="es-PE"/>
        </w:rPr>
      </w:pPr>
      <w:proofErr w:type="spellStart"/>
      <w:r w:rsidRPr="005B6D62">
        <w:rPr>
          <w:lang w:val="es-PE"/>
        </w:rPr>
        <w:t>Nāga</w:t>
      </w:r>
      <w:proofErr w:type="spellEnd"/>
      <w:r w:rsidRPr="005B6D62">
        <w:rPr>
          <w:lang w:val="es-PE"/>
        </w:rPr>
        <w:t xml:space="preserve"> </w:t>
      </w:r>
      <w:proofErr w:type="spellStart"/>
      <w:r w:rsidRPr="005B6D62">
        <w:rPr>
          <w:lang w:val="es-PE"/>
        </w:rPr>
        <w:t>Thera</w:t>
      </w:r>
      <w:proofErr w:type="spellEnd"/>
      <w:r w:rsidRPr="005B6D62">
        <w:rPr>
          <w:lang w:val="es-PE"/>
        </w:rPr>
        <w:t>, Mahā XXIII.36</w:t>
      </w:r>
    </w:p>
    <w:p w14:paraId="270A2609" w14:textId="77777777" w:rsidR="00597DE2" w:rsidRPr="005B6D62" w:rsidRDefault="00597DE2" w:rsidP="00597DE2">
      <w:pPr>
        <w:pStyle w:val="ParrafoApendice"/>
        <w:rPr>
          <w:lang w:val="es-PE"/>
        </w:rPr>
      </w:pPr>
      <w:proofErr w:type="spellStart"/>
      <w:r w:rsidRPr="005B6D62">
        <w:rPr>
          <w:lang w:val="es-PE"/>
        </w:rPr>
        <w:t>Nāga</w:t>
      </w:r>
      <w:proofErr w:type="spellEnd"/>
      <w:r w:rsidRPr="005B6D62">
        <w:rPr>
          <w:lang w:val="es-PE"/>
        </w:rPr>
        <w:t xml:space="preserve"> </w:t>
      </w:r>
      <w:proofErr w:type="spellStart"/>
      <w:r w:rsidRPr="005B6D62">
        <w:rPr>
          <w:lang w:val="es-PE"/>
        </w:rPr>
        <w:t>Thera</w:t>
      </w:r>
      <w:proofErr w:type="spellEnd"/>
      <w:r w:rsidRPr="005B6D62">
        <w:rPr>
          <w:lang w:val="es-PE"/>
        </w:rPr>
        <w:t xml:space="preserve">, Mahā, </w:t>
      </w:r>
      <w:proofErr w:type="spellStart"/>
      <w:r w:rsidRPr="005B6D62">
        <w:rPr>
          <w:lang w:val="es-PE"/>
        </w:rPr>
        <w:t>Uccāvālika</w:t>
      </w:r>
      <w:proofErr w:type="spellEnd"/>
      <w:r w:rsidRPr="005B6D62">
        <w:rPr>
          <w:lang w:val="es-PE"/>
        </w:rPr>
        <w:t>–</w:t>
      </w:r>
      <w:proofErr w:type="spellStart"/>
      <w:r w:rsidRPr="005B6D62">
        <w:rPr>
          <w:lang w:val="es-PE"/>
        </w:rPr>
        <w:t>vāsin</w:t>
      </w:r>
      <w:proofErr w:type="spellEnd"/>
      <w:r w:rsidRPr="005B6D62">
        <w:rPr>
          <w:lang w:val="es-PE"/>
        </w:rPr>
        <w:t xml:space="preserve"> XX.110s.</w:t>
      </w:r>
    </w:p>
    <w:p w14:paraId="4B61F498" w14:textId="77777777" w:rsidR="00597DE2" w:rsidRPr="005B6D62" w:rsidRDefault="00597DE2" w:rsidP="00597DE2">
      <w:pPr>
        <w:pStyle w:val="ParrafoApendice"/>
        <w:rPr>
          <w:lang w:val="es-PE"/>
        </w:rPr>
      </w:pPr>
      <w:proofErr w:type="spellStart"/>
      <w:r w:rsidRPr="005B6D62">
        <w:rPr>
          <w:lang w:val="es-PE"/>
        </w:rPr>
        <w:t>Nāga</w:t>
      </w:r>
      <w:proofErr w:type="spellEnd"/>
      <w:r w:rsidRPr="005B6D62">
        <w:rPr>
          <w:lang w:val="es-PE"/>
        </w:rPr>
        <w:t xml:space="preserve"> </w:t>
      </w:r>
      <w:proofErr w:type="spellStart"/>
      <w:r w:rsidRPr="005B6D62">
        <w:rPr>
          <w:lang w:val="es-PE"/>
        </w:rPr>
        <w:t>Thera</w:t>
      </w:r>
      <w:proofErr w:type="spellEnd"/>
      <w:r w:rsidRPr="005B6D62">
        <w:rPr>
          <w:lang w:val="es-PE"/>
        </w:rPr>
        <w:t xml:space="preserve">, Tipiṭaka </w:t>
      </w:r>
      <w:proofErr w:type="spellStart"/>
      <w:r w:rsidRPr="005B6D62">
        <w:rPr>
          <w:lang w:val="es-PE"/>
        </w:rPr>
        <w:t>Cūḷa</w:t>
      </w:r>
      <w:proofErr w:type="spellEnd"/>
      <w:r w:rsidRPr="005B6D62">
        <w:rPr>
          <w:lang w:val="es-PE"/>
        </w:rPr>
        <w:t xml:space="preserve"> XII.105; XXI.n.38 </w:t>
      </w:r>
    </w:p>
    <w:p w14:paraId="07F15672" w14:textId="77777777" w:rsidR="00597DE2" w:rsidRPr="005B6D62" w:rsidRDefault="00597DE2" w:rsidP="00597DE2">
      <w:pPr>
        <w:pStyle w:val="ParrafoApendice"/>
        <w:rPr>
          <w:lang w:val="es-PE"/>
        </w:rPr>
      </w:pPr>
      <w:proofErr w:type="spellStart"/>
      <w:r w:rsidRPr="005B6D62">
        <w:rPr>
          <w:lang w:val="es-PE"/>
        </w:rPr>
        <w:t>Nāga</w:t>
      </w:r>
      <w:proofErr w:type="spellEnd"/>
      <w:r w:rsidRPr="005B6D62">
        <w:rPr>
          <w:lang w:val="es-PE"/>
        </w:rPr>
        <w:t xml:space="preserve"> XII.100, 106s., 137, n.19; XIII.93; XXI.</w:t>
      </w:r>
      <w:r w:rsidRPr="005B6D62">
        <w:rPr>
          <w:strike/>
          <w:color w:val="833C0B" w:themeColor="accent2" w:themeShade="80"/>
          <w:u w:color="000000"/>
          <w:lang w:val="es-PE"/>
        </w:rPr>
        <w:t>43</w:t>
      </w:r>
      <w:r w:rsidRPr="005B6D62">
        <w:rPr>
          <w:lang w:val="es-PE"/>
        </w:rPr>
        <w:t>, 46</w:t>
      </w:r>
    </w:p>
    <w:p w14:paraId="508E041E" w14:textId="77777777" w:rsidR="00597DE2" w:rsidRPr="005B6D62" w:rsidRDefault="00597DE2" w:rsidP="00597DE2">
      <w:pPr>
        <w:pStyle w:val="ParrafoApendice"/>
        <w:rPr>
          <w:lang w:val="es-PE"/>
        </w:rPr>
      </w:pPr>
      <w:proofErr w:type="spellStart"/>
      <w:r w:rsidRPr="005B6D62">
        <w:rPr>
          <w:lang w:val="es-PE"/>
        </w:rPr>
        <w:t>Nāgapabbata</w:t>
      </w:r>
      <w:proofErr w:type="spellEnd"/>
      <w:r w:rsidRPr="005B6D62">
        <w:rPr>
          <w:lang w:val="es-PE"/>
        </w:rPr>
        <w:t xml:space="preserve"> IV.36</w:t>
      </w:r>
    </w:p>
    <w:p w14:paraId="7340CF48" w14:textId="77777777" w:rsidR="00597DE2" w:rsidRPr="005B6D62" w:rsidRDefault="00597DE2" w:rsidP="00597DE2">
      <w:pPr>
        <w:pStyle w:val="ParrafoApendice"/>
        <w:rPr>
          <w:lang w:val="es-PE"/>
        </w:rPr>
      </w:pPr>
      <w:proofErr w:type="spellStart"/>
      <w:r w:rsidRPr="005B6D62">
        <w:rPr>
          <w:lang w:val="es-PE"/>
        </w:rPr>
        <w:t>Nanda</w:t>
      </w:r>
      <w:proofErr w:type="spellEnd"/>
      <w:r w:rsidRPr="005B6D62">
        <w:rPr>
          <w:lang w:val="es-PE"/>
        </w:rPr>
        <w:t xml:space="preserve"> </w:t>
      </w:r>
      <w:proofErr w:type="spellStart"/>
      <w:r w:rsidRPr="005B6D62">
        <w:rPr>
          <w:lang w:val="es-PE"/>
        </w:rPr>
        <w:t>Thera</w:t>
      </w:r>
      <w:proofErr w:type="spellEnd"/>
      <w:r w:rsidRPr="005B6D62">
        <w:rPr>
          <w:lang w:val="es-PE"/>
        </w:rPr>
        <w:t xml:space="preserve"> XXII.99</w:t>
      </w:r>
    </w:p>
    <w:p w14:paraId="185CFBF0" w14:textId="77777777" w:rsidR="00597DE2" w:rsidRPr="005B6D62" w:rsidRDefault="00597DE2" w:rsidP="00597DE2">
      <w:pPr>
        <w:pStyle w:val="ParrafoApendice"/>
        <w:rPr>
          <w:lang w:val="es-PE"/>
        </w:rPr>
      </w:pPr>
      <w:proofErr w:type="spellStart"/>
      <w:r w:rsidRPr="005B6D62">
        <w:rPr>
          <w:lang w:val="es-PE"/>
        </w:rPr>
        <w:t>Nanda</w:t>
      </w:r>
      <w:proofErr w:type="spellEnd"/>
      <w:r w:rsidRPr="005B6D62">
        <w:rPr>
          <w:lang w:val="es-PE"/>
        </w:rPr>
        <w:t xml:space="preserve">, </w:t>
      </w:r>
      <w:r w:rsidRPr="005B6D62">
        <w:rPr>
          <w:i/>
          <w:iCs/>
          <w:lang w:val="es-PE"/>
        </w:rPr>
        <w:t>el estudiante brahmán</w:t>
      </w:r>
      <w:r w:rsidRPr="005B6D62">
        <w:rPr>
          <w:lang w:val="es-PE"/>
        </w:rPr>
        <w:t xml:space="preserve"> (</w:t>
      </w:r>
      <w:proofErr w:type="spellStart"/>
      <w:r w:rsidRPr="005B6D62">
        <w:rPr>
          <w:lang w:val="es-PE"/>
        </w:rPr>
        <w:t>Nandamāṇava</w:t>
      </w:r>
      <w:proofErr w:type="spellEnd"/>
      <w:r w:rsidRPr="005B6D62">
        <w:rPr>
          <w:lang w:val="es-PE"/>
        </w:rPr>
        <w:t>) XXII.83</w:t>
      </w:r>
    </w:p>
    <w:p w14:paraId="4239E68D" w14:textId="77777777" w:rsidR="00597DE2" w:rsidRPr="005B6D62" w:rsidRDefault="00597DE2" w:rsidP="00597DE2">
      <w:pPr>
        <w:pStyle w:val="ParrafoApendice"/>
        <w:rPr>
          <w:lang w:val="es-PE"/>
        </w:rPr>
      </w:pPr>
      <w:proofErr w:type="spellStart"/>
      <w:r w:rsidRPr="005B6D62">
        <w:rPr>
          <w:lang w:val="es-PE"/>
        </w:rPr>
        <w:t>Nanda</w:t>
      </w:r>
      <w:proofErr w:type="spellEnd"/>
      <w:r w:rsidRPr="005B6D62">
        <w:rPr>
          <w:lang w:val="es-PE"/>
        </w:rPr>
        <w:t xml:space="preserve">, ver </w:t>
      </w:r>
      <w:proofErr w:type="spellStart"/>
      <w:r w:rsidRPr="005B6D62">
        <w:rPr>
          <w:lang w:val="es-PE"/>
        </w:rPr>
        <w:t>Nandopananda</w:t>
      </w:r>
      <w:proofErr w:type="spellEnd"/>
    </w:p>
    <w:p w14:paraId="424E8A30" w14:textId="77777777" w:rsidR="00597DE2" w:rsidRPr="005B6D62" w:rsidRDefault="00597DE2" w:rsidP="00597DE2">
      <w:pPr>
        <w:pStyle w:val="ParrafoApendice"/>
        <w:rPr>
          <w:lang w:val="es-PE"/>
        </w:rPr>
      </w:pPr>
      <w:proofErr w:type="spellStart"/>
      <w:r w:rsidRPr="005B6D62">
        <w:rPr>
          <w:lang w:val="es-PE"/>
        </w:rPr>
        <w:t>Nandana</w:t>
      </w:r>
      <w:proofErr w:type="spellEnd"/>
      <w:r w:rsidRPr="005B6D62">
        <w:rPr>
          <w:lang w:val="es-PE"/>
        </w:rPr>
        <w:t xml:space="preserve">, Bosque XIII.79 </w:t>
      </w:r>
    </w:p>
    <w:p w14:paraId="5A181A8B" w14:textId="77777777" w:rsidR="00597DE2" w:rsidRPr="005B6D62" w:rsidRDefault="00597DE2" w:rsidP="00597DE2">
      <w:pPr>
        <w:pStyle w:val="ParrafoApendice"/>
        <w:rPr>
          <w:lang w:val="es-PE"/>
        </w:rPr>
      </w:pPr>
      <w:proofErr w:type="spellStart"/>
      <w:r w:rsidRPr="005B6D62">
        <w:rPr>
          <w:lang w:val="es-PE"/>
        </w:rPr>
        <w:t>Nandopananda</w:t>
      </w:r>
      <w:proofErr w:type="spellEnd"/>
      <w:r w:rsidRPr="005B6D62">
        <w:rPr>
          <w:lang w:val="es-PE"/>
        </w:rPr>
        <w:t xml:space="preserve"> IV.133; XII.106s.</w:t>
      </w:r>
    </w:p>
    <w:p w14:paraId="69BF2ECB" w14:textId="77777777" w:rsidR="00597DE2" w:rsidRPr="005B6D62" w:rsidRDefault="00597DE2" w:rsidP="00597DE2">
      <w:pPr>
        <w:pStyle w:val="ParrafoApendice"/>
        <w:rPr>
          <w:lang w:val="es-PE"/>
        </w:rPr>
      </w:pPr>
      <w:r w:rsidRPr="005B6D62">
        <w:rPr>
          <w:lang w:val="es-PE"/>
        </w:rPr>
        <w:t>nariz (</w:t>
      </w:r>
      <w:proofErr w:type="spellStart"/>
      <w:r w:rsidRPr="005B6D62">
        <w:rPr>
          <w:i/>
          <w:iCs/>
          <w:lang w:val="es-PE"/>
        </w:rPr>
        <w:t>ghāna</w:t>
      </w:r>
      <w:proofErr w:type="spellEnd"/>
      <w:r w:rsidRPr="005B6D62">
        <w:rPr>
          <w:lang w:val="es-PE"/>
        </w:rPr>
        <w:t xml:space="preserve">) XIV.36, 39, 46, 50, 117; XVI.10; XX.70; </w:t>
      </w:r>
      <w:r w:rsidRPr="005B6D62">
        <w:rPr>
          <w:i/>
          <w:iCs/>
          <w:lang w:val="es-PE"/>
        </w:rPr>
        <w:t>base de la n.</w:t>
      </w:r>
      <w:r w:rsidRPr="005B6D62">
        <w:rPr>
          <w:lang w:val="es-PE"/>
        </w:rPr>
        <w:t xml:space="preserve"> (</w:t>
      </w:r>
      <w:proofErr w:type="spellStart"/>
      <w:r w:rsidRPr="005B6D62">
        <w:rPr>
          <w:i/>
          <w:iCs/>
          <w:lang w:val="es-PE"/>
        </w:rPr>
        <w:t>ghānāyatana</w:t>
      </w:r>
      <w:proofErr w:type="spellEnd"/>
      <w:r w:rsidRPr="005B6D62">
        <w:rPr>
          <w:lang w:val="es-PE"/>
        </w:rPr>
        <w:t xml:space="preserve">) XV.3s.; </w:t>
      </w:r>
      <w:r w:rsidRPr="005B6D62">
        <w:rPr>
          <w:i/>
          <w:iCs/>
          <w:lang w:val="es-PE"/>
        </w:rPr>
        <w:t>consciencia de la n.</w:t>
      </w:r>
      <w:r w:rsidRPr="005B6D62">
        <w:rPr>
          <w:lang w:val="es-PE"/>
        </w:rPr>
        <w:t xml:space="preserve"> (</w:t>
      </w:r>
      <w:proofErr w:type="spellStart"/>
      <w:r w:rsidRPr="005B6D62">
        <w:rPr>
          <w:i/>
          <w:iCs/>
          <w:lang w:val="es-PE"/>
        </w:rPr>
        <w:t>ghānaviññāṇa</w:t>
      </w:r>
      <w:proofErr w:type="spellEnd"/>
      <w:r w:rsidRPr="005B6D62">
        <w:rPr>
          <w:lang w:val="es-PE"/>
        </w:rPr>
        <w:t xml:space="preserve">) XIV.95s., 117, 179; </w:t>
      </w:r>
      <w:r w:rsidRPr="005B6D62">
        <w:rPr>
          <w:i/>
          <w:iCs/>
          <w:lang w:val="es-PE"/>
        </w:rPr>
        <w:t>elemento de la consciencia de la n./olfativa</w:t>
      </w:r>
      <w:r w:rsidRPr="005B6D62">
        <w:rPr>
          <w:lang w:val="es-PE"/>
        </w:rPr>
        <w:t xml:space="preserve"> (</w:t>
      </w:r>
      <w:proofErr w:type="spellStart"/>
      <w:r w:rsidRPr="005B6D62">
        <w:rPr>
          <w:i/>
          <w:iCs/>
          <w:lang w:val="es-PE"/>
        </w:rPr>
        <w:t>ghāṇaviññāṇadhātu</w:t>
      </w:r>
      <w:proofErr w:type="spellEnd"/>
      <w:r w:rsidRPr="005B6D62">
        <w:rPr>
          <w:lang w:val="es-PE"/>
        </w:rPr>
        <w:t xml:space="preserve">) XV.17s.; </w:t>
      </w:r>
      <w:r w:rsidRPr="005B6D62">
        <w:rPr>
          <w:i/>
          <w:iCs/>
          <w:lang w:val="es-PE"/>
        </w:rPr>
        <w:t>facultad de la n.</w:t>
      </w:r>
      <w:r w:rsidRPr="005B6D62">
        <w:rPr>
          <w:lang w:val="es-PE"/>
        </w:rPr>
        <w:t xml:space="preserve"> (</w:t>
      </w:r>
      <w:proofErr w:type="spellStart"/>
      <w:r w:rsidRPr="005B6D62">
        <w:rPr>
          <w:i/>
          <w:iCs/>
          <w:lang w:val="es-PE"/>
        </w:rPr>
        <w:t>ghānindriya</w:t>
      </w:r>
      <w:proofErr w:type="spellEnd"/>
      <w:r w:rsidRPr="005B6D62">
        <w:rPr>
          <w:lang w:val="es-PE"/>
        </w:rPr>
        <w:t xml:space="preserve">) XVI.1 </w:t>
      </w:r>
    </w:p>
    <w:p w14:paraId="66731BF4" w14:textId="77777777" w:rsidR="00597DE2" w:rsidRPr="005B6D62" w:rsidRDefault="00597DE2" w:rsidP="00597DE2">
      <w:pPr>
        <w:pStyle w:val="ParrafoApendice"/>
        <w:rPr>
          <w:lang w:val="es-PE"/>
        </w:rPr>
      </w:pPr>
      <w:r w:rsidRPr="005B6D62">
        <w:rPr>
          <w:lang w:val="es-PE"/>
        </w:rPr>
        <w:t>naturaleza (</w:t>
      </w:r>
      <w:proofErr w:type="spellStart"/>
      <w:r w:rsidRPr="005B6D62">
        <w:rPr>
          <w:i/>
          <w:iCs/>
          <w:lang w:val="es-PE"/>
        </w:rPr>
        <w:t>pakati</w:t>
      </w:r>
      <w:proofErr w:type="spellEnd"/>
      <w:r w:rsidRPr="005B6D62">
        <w:rPr>
          <w:lang w:val="es-PE"/>
        </w:rPr>
        <w:t xml:space="preserve">) I.38; como </w:t>
      </w:r>
      <w:r w:rsidRPr="005B6D62">
        <w:rPr>
          <w:i/>
          <w:iCs/>
          <w:lang w:val="es-PE"/>
        </w:rPr>
        <w:t>n. universal</w:t>
      </w:r>
      <w:r w:rsidRPr="005B6D62">
        <w:rPr>
          <w:lang w:val="es-PE"/>
        </w:rPr>
        <w:t>, ver Esencia Primordial; (</w:t>
      </w:r>
      <w:r w:rsidRPr="005B6D62">
        <w:rPr>
          <w:i/>
          <w:iCs/>
          <w:lang w:val="es-PE"/>
        </w:rPr>
        <w:t>rasa</w:t>
      </w:r>
      <w:r w:rsidRPr="005B6D62">
        <w:rPr>
          <w:lang w:val="es-PE"/>
        </w:rPr>
        <w:t xml:space="preserve">) I.21, ver </w:t>
      </w:r>
      <w:r w:rsidRPr="005B6D62">
        <w:rPr>
          <w:i/>
          <w:iCs/>
          <w:lang w:val="es-PE"/>
        </w:rPr>
        <w:t>función</w:t>
      </w:r>
      <w:r w:rsidRPr="005B6D62">
        <w:rPr>
          <w:lang w:val="es-PE"/>
        </w:rPr>
        <w:t>; (</w:t>
      </w:r>
      <w:proofErr w:type="spellStart"/>
      <w:r w:rsidRPr="005B6D62">
        <w:rPr>
          <w:i/>
          <w:iCs/>
          <w:lang w:val="es-PE"/>
        </w:rPr>
        <w:t>sabhāva</w:t>
      </w:r>
      <w:proofErr w:type="spellEnd"/>
      <w:r w:rsidRPr="005B6D62">
        <w:rPr>
          <w:lang w:val="es-PE"/>
        </w:rPr>
        <w:t>) XVI.85; XVII.n.3</w:t>
      </w:r>
    </w:p>
    <w:p w14:paraId="6904434B" w14:textId="77777777" w:rsidR="00597DE2" w:rsidRPr="005B6D62" w:rsidRDefault="00597DE2" w:rsidP="00597DE2">
      <w:pPr>
        <w:pStyle w:val="ParrafoApendice"/>
        <w:rPr>
          <w:lang w:val="es-PE"/>
        </w:rPr>
      </w:pPr>
      <w:r w:rsidRPr="005B6D62">
        <w:rPr>
          <w:lang w:val="es-PE"/>
        </w:rPr>
        <w:t>negligencia (</w:t>
      </w:r>
      <w:proofErr w:type="spellStart"/>
      <w:r w:rsidRPr="005B6D62">
        <w:rPr>
          <w:i/>
          <w:iCs/>
          <w:lang w:val="es-PE"/>
        </w:rPr>
        <w:t>pamāda</w:t>
      </w:r>
      <w:proofErr w:type="spellEnd"/>
      <w:r w:rsidRPr="005B6D62">
        <w:rPr>
          <w:lang w:val="es-PE"/>
        </w:rPr>
        <w:t xml:space="preserve">) </w:t>
      </w:r>
      <w:r w:rsidRPr="005B6D62">
        <w:rPr>
          <w:strike/>
          <w:color w:val="833C0B" w:themeColor="accent2" w:themeShade="80"/>
          <w:u w:color="000000"/>
          <w:lang w:val="es-PE"/>
        </w:rPr>
        <w:t>I.140</w:t>
      </w:r>
      <w:r w:rsidRPr="005B6D62">
        <w:rPr>
          <w:lang w:val="es-PE"/>
        </w:rPr>
        <w:t xml:space="preserve">; VII.59; XII.17. </w:t>
      </w:r>
    </w:p>
    <w:p w14:paraId="63968469" w14:textId="77777777" w:rsidR="00597DE2" w:rsidRPr="00677C99" w:rsidRDefault="00597DE2" w:rsidP="00597DE2">
      <w:pPr>
        <w:pStyle w:val="ParrafoApendice"/>
        <w:rPr>
          <w:lang w:val="es-PE"/>
        </w:rPr>
      </w:pPr>
      <w:r w:rsidRPr="00677C99">
        <w:rPr>
          <w:color w:val="833C0B" w:themeColor="accent2" w:themeShade="80"/>
          <w:lang w:val="es-PE"/>
        </w:rPr>
        <w:t>negligencia moral</w:t>
      </w:r>
      <w:r>
        <w:rPr>
          <w:color w:val="833C0B" w:themeColor="accent2" w:themeShade="80"/>
          <w:lang w:val="es-PE"/>
        </w:rPr>
        <w:t>, ausencia de temor moral</w:t>
      </w:r>
      <w:r w:rsidRPr="00677C99">
        <w:rPr>
          <w:lang w:val="es-PE"/>
        </w:rPr>
        <w:t xml:space="preserve"> (</w:t>
      </w:r>
      <w:proofErr w:type="spellStart"/>
      <w:r w:rsidRPr="00677C99">
        <w:rPr>
          <w:i/>
          <w:iCs/>
          <w:lang w:val="es-PE"/>
        </w:rPr>
        <w:t>anottappa</w:t>
      </w:r>
      <w:proofErr w:type="spellEnd"/>
      <w:r w:rsidRPr="00677C99">
        <w:rPr>
          <w:lang w:val="es-PE"/>
        </w:rPr>
        <w:t>) VII.59; XIV.159</w:t>
      </w:r>
      <w:r>
        <w:rPr>
          <w:lang w:val="es-PE"/>
        </w:rPr>
        <w:t>s</w:t>
      </w:r>
      <w:r w:rsidRPr="00677C99">
        <w:rPr>
          <w:lang w:val="es-PE"/>
        </w:rPr>
        <w:t xml:space="preserve">., 170, 176; XXII.49 </w:t>
      </w:r>
    </w:p>
    <w:p w14:paraId="2062AD21" w14:textId="77777777" w:rsidR="00597DE2" w:rsidRPr="005B6D62" w:rsidRDefault="00597DE2" w:rsidP="00597DE2">
      <w:pPr>
        <w:pStyle w:val="ParrafoApendice"/>
        <w:rPr>
          <w:lang w:val="es-PE"/>
        </w:rPr>
      </w:pPr>
      <w:proofErr w:type="spellStart"/>
      <w:r w:rsidRPr="005B6D62">
        <w:rPr>
          <w:lang w:val="es-PE"/>
        </w:rPr>
        <w:t>Nemindharapabbata</w:t>
      </w:r>
      <w:proofErr w:type="spellEnd"/>
      <w:r w:rsidRPr="005B6D62">
        <w:rPr>
          <w:lang w:val="es-PE"/>
        </w:rPr>
        <w:t xml:space="preserve"> VII.42 </w:t>
      </w:r>
    </w:p>
    <w:p w14:paraId="04987D92" w14:textId="77777777" w:rsidR="00597DE2" w:rsidRPr="005B6D62" w:rsidRDefault="00597DE2" w:rsidP="00597DE2">
      <w:pPr>
        <w:pStyle w:val="ParrafoApendice"/>
        <w:rPr>
          <w:lang w:val="es-PE"/>
        </w:rPr>
      </w:pPr>
      <w:proofErr w:type="spellStart"/>
      <w:r w:rsidRPr="005B6D62">
        <w:rPr>
          <w:lang w:val="es-PE"/>
        </w:rPr>
        <w:t>Netti</w:t>
      </w:r>
      <w:proofErr w:type="spellEnd"/>
      <w:r w:rsidRPr="005B6D62">
        <w:rPr>
          <w:lang w:val="es-PE"/>
        </w:rPr>
        <w:t xml:space="preserve"> XXII.n.11</w:t>
      </w:r>
    </w:p>
    <w:p w14:paraId="6915EE74" w14:textId="77777777" w:rsidR="00597DE2" w:rsidRPr="002C102E" w:rsidRDefault="00597DE2" w:rsidP="00597DE2">
      <w:pPr>
        <w:pStyle w:val="ParrafoApendice"/>
      </w:pPr>
      <w:r w:rsidRPr="002C102E">
        <w:t>neutral (</w:t>
      </w:r>
      <w:proofErr w:type="spellStart"/>
      <w:r w:rsidRPr="002C102E">
        <w:rPr>
          <w:i/>
          <w:iCs/>
        </w:rPr>
        <w:t>majjhatta</w:t>
      </w:r>
      <w:proofErr w:type="spellEnd"/>
      <w:r w:rsidRPr="002C102E">
        <w:t xml:space="preserve">) IV.163; IX.88s., 92, 96; XIV.200; XVI.10; XVII.127 </w:t>
      </w:r>
    </w:p>
    <w:p w14:paraId="0969BCA0" w14:textId="77777777" w:rsidR="00597DE2" w:rsidRPr="002C102E" w:rsidRDefault="00597DE2" w:rsidP="00597DE2">
      <w:pPr>
        <w:pStyle w:val="ParrafoApendice"/>
      </w:pPr>
      <w:proofErr w:type="spellStart"/>
      <w:r w:rsidRPr="002C102E">
        <w:t>neutralidad</w:t>
      </w:r>
      <w:proofErr w:type="spellEnd"/>
      <w:r w:rsidRPr="002C102E">
        <w:t xml:space="preserve"> </w:t>
      </w:r>
      <w:proofErr w:type="spellStart"/>
      <w:r w:rsidRPr="002C102E">
        <w:t>especifica</w:t>
      </w:r>
      <w:proofErr w:type="spellEnd"/>
      <w:r w:rsidRPr="002C102E">
        <w:t xml:space="preserve"> (</w:t>
      </w:r>
      <w:proofErr w:type="spellStart"/>
      <w:r w:rsidRPr="002C102E">
        <w:rPr>
          <w:i/>
          <w:iCs/>
        </w:rPr>
        <w:t>tatramajjhattatā</w:t>
      </w:r>
      <w:proofErr w:type="spellEnd"/>
      <w:r w:rsidRPr="002C102E">
        <w:t>) IV.116, 156, 164; XIV.133, 153s.</w:t>
      </w:r>
    </w:p>
    <w:p w14:paraId="3875E97E" w14:textId="77777777" w:rsidR="00597DE2" w:rsidRPr="005B6D62" w:rsidRDefault="00597DE2" w:rsidP="00597DE2">
      <w:pPr>
        <w:pStyle w:val="ParrafoApendice"/>
        <w:rPr>
          <w:lang w:val="es-PE"/>
        </w:rPr>
      </w:pPr>
      <w:r w:rsidRPr="005B6D62">
        <w:rPr>
          <w:lang w:val="es-PE"/>
        </w:rPr>
        <w:t>ni–agradable–ni–desagradable (</w:t>
      </w:r>
      <w:proofErr w:type="spellStart"/>
      <w:r w:rsidRPr="005B6D62">
        <w:rPr>
          <w:i/>
          <w:iCs/>
          <w:lang w:val="es-PE"/>
        </w:rPr>
        <w:t>adukkhamasukha</w:t>
      </w:r>
      <w:proofErr w:type="spellEnd"/>
      <w:r w:rsidRPr="005B6D62">
        <w:rPr>
          <w:lang w:val="es-PE"/>
        </w:rPr>
        <w:t>) III.n.6; IV.193; XIV.200</w:t>
      </w:r>
    </w:p>
    <w:p w14:paraId="1E8B566D" w14:textId="77777777" w:rsidR="00597DE2" w:rsidRPr="006D0608" w:rsidRDefault="00597DE2" w:rsidP="00597DE2">
      <w:pPr>
        <w:pStyle w:val="ParrafoApendice"/>
        <w:rPr>
          <w:lang w:val="es-PE"/>
        </w:rPr>
      </w:pPr>
      <w:r w:rsidRPr="006D0608">
        <w:rPr>
          <w:lang w:val="es-PE"/>
        </w:rPr>
        <w:t>Nibbāna (</w:t>
      </w:r>
      <w:r w:rsidRPr="006D0608">
        <w:rPr>
          <w:i/>
          <w:iCs/>
          <w:lang w:val="es-PE"/>
        </w:rPr>
        <w:t>nibbāna</w:t>
      </w:r>
      <w:r w:rsidRPr="006D0608">
        <w:rPr>
          <w:lang w:val="es-PE"/>
        </w:rPr>
        <w:t xml:space="preserve">) I.5, 32, 140; III.129, n.6; VII.33, 74s.; VIII.235s., 245, n.65, n.68, n.72; XI.124; XIV.15, </w:t>
      </w:r>
      <w:r w:rsidRPr="006D0608">
        <w:rPr>
          <w:color w:val="833C0B" w:themeColor="accent2" w:themeShade="80"/>
          <w:u w:color="000000"/>
          <w:lang w:val="es-PE"/>
        </w:rPr>
        <w:t>n.</w:t>
      </w:r>
      <w:r w:rsidRPr="006D0608">
        <w:rPr>
          <w:lang w:val="es-PE"/>
        </w:rPr>
        <w:t xml:space="preserve">67; XV.14; XVI.26, 31, </w:t>
      </w:r>
      <w:r w:rsidRPr="006D0608">
        <w:rPr>
          <w:color w:val="833C0B" w:themeColor="accent2" w:themeShade="80"/>
          <w:u w:color="000000"/>
          <w:lang w:val="es-PE"/>
        </w:rPr>
        <w:t>65</w:t>
      </w:r>
      <w:r w:rsidRPr="006D0608">
        <w:rPr>
          <w:lang w:val="es-PE"/>
        </w:rPr>
        <w:t xml:space="preserve">f., </w:t>
      </w:r>
      <w:r w:rsidRPr="006D0608">
        <w:rPr>
          <w:strike/>
          <w:color w:val="833C0B" w:themeColor="accent2" w:themeShade="80"/>
          <w:u w:color="000000"/>
          <w:lang w:val="es-PE"/>
        </w:rPr>
        <w:t>n.6</w:t>
      </w:r>
      <w:r w:rsidRPr="006D0608">
        <w:rPr>
          <w:lang w:val="es-PE"/>
        </w:rPr>
        <w:t xml:space="preserve">, n.18, </w:t>
      </w:r>
      <w:r>
        <w:rPr>
          <w:lang w:val="es-PE"/>
        </w:rPr>
        <w:br/>
      </w:r>
      <w:r>
        <w:rPr>
          <w:lang w:val="es-PE"/>
        </w:rPr>
        <w:br w:type="column"/>
      </w:r>
      <w:r>
        <w:rPr>
          <w:lang w:val="es-PE"/>
        </w:rPr>
        <w:br/>
      </w:r>
      <w:r w:rsidRPr="006D0608">
        <w:rPr>
          <w:lang w:val="es-PE"/>
        </w:rPr>
        <w:t xml:space="preserve">n.25; XVII.n.16; XXI.18, 37, 64, 71, 106, 124, </w:t>
      </w:r>
      <w:r w:rsidRPr="006D0608">
        <w:rPr>
          <w:color w:val="833C0B" w:themeColor="accent2" w:themeShade="80"/>
          <w:u w:color="000000"/>
          <w:lang w:val="es-PE"/>
        </w:rPr>
        <w:t>n.34</w:t>
      </w:r>
      <w:r w:rsidRPr="006D0608">
        <w:rPr>
          <w:lang w:val="es-PE"/>
        </w:rPr>
        <w:t>; XXII.5s., 20, 40, 44, 88, 127, n.1; XXIII.9, 30, 50, n.4</w:t>
      </w:r>
    </w:p>
    <w:p w14:paraId="627F4A4B" w14:textId="77777777" w:rsidR="00597DE2" w:rsidRPr="006D0608" w:rsidRDefault="00597DE2" w:rsidP="00597DE2">
      <w:pPr>
        <w:pStyle w:val="ParrafoApendice"/>
        <w:rPr>
          <w:lang w:val="es-PE"/>
        </w:rPr>
      </w:pPr>
      <w:r w:rsidRPr="006D0608">
        <w:rPr>
          <w:lang w:val="es-PE"/>
        </w:rPr>
        <w:t>nihilismo (</w:t>
      </w:r>
      <w:proofErr w:type="spellStart"/>
      <w:r w:rsidRPr="006D0608">
        <w:rPr>
          <w:i/>
          <w:iCs/>
          <w:lang w:val="es-PE"/>
        </w:rPr>
        <w:t>natthi</w:t>
      </w:r>
      <w:proofErr w:type="spellEnd"/>
      <w:r w:rsidRPr="006D0608">
        <w:rPr>
          <w:i/>
          <w:iCs/>
          <w:lang w:val="es-PE"/>
        </w:rPr>
        <w:t>–</w:t>
      </w:r>
      <w:proofErr w:type="spellStart"/>
      <w:r w:rsidRPr="006D0608">
        <w:rPr>
          <w:i/>
          <w:iCs/>
          <w:lang w:val="es-PE"/>
        </w:rPr>
        <w:t>vāda</w:t>
      </w:r>
      <w:proofErr w:type="spellEnd"/>
      <w:r w:rsidRPr="006D0608">
        <w:rPr>
          <w:lang w:val="es-PE"/>
        </w:rPr>
        <w:t xml:space="preserve">) XVII.23 </w:t>
      </w:r>
    </w:p>
    <w:p w14:paraId="48521003" w14:textId="77777777" w:rsidR="00597DE2" w:rsidRPr="006D0608" w:rsidRDefault="00597DE2" w:rsidP="00597DE2">
      <w:pPr>
        <w:pStyle w:val="ParrafoApendice"/>
        <w:rPr>
          <w:lang w:val="es-PE"/>
        </w:rPr>
      </w:pPr>
      <w:proofErr w:type="spellStart"/>
      <w:r w:rsidRPr="006D0608">
        <w:rPr>
          <w:lang w:val="es-PE"/>
        </w:rPr>
        <w:t>Nikapenna</w:t>
      </w:r>
      <w:proofErr w:type="spellEnd"/>
      <w:r w:rsidRPr="006D0608">
        <w:rPr>
          <w:lang w:val="es-PE"/>
        </w:rPr>
        <w:t xml:space="preserve"> XX.110 </w:t>
      </w:r>
    </w:p>
    <w:p w14:paraId="0F3D2B18" w14:textId="77777777" w:rsidR="00597DE2" w:rsidRPr="005B6D62" w:rsidRDefault="00597DE2" w:rsidP="00597DE2">
      <w:pPr>
        <w:pStyle w:val="ParrafoApendice"/>
        <w:rPr>
          <w:lang w:val="es-PE"/>
        </w:rPr>
      </w:pPr>
      <w:r w:rsidRPr="005B6D62">
        <w:rPr>
          <w:lang w:val="es-PE"/>
        </w:rPr>
        <w:t>no–alma (</w:t>
      </w:r>
      <w:r w:rsidRPr="005B6D62">
        <w:rPr>
          <w:i/>
          <w:iCs/>
          <w:lang w:val="es-PE"/>
        </w:rPr>
        <w:t>anattā</w:t>
      </w:r>
      <w:r w:rsidRPr="005B6D62">
        <w:rPr>
          <w:lang w:val="es-PE"/>
        </w:rPr>
        <w:t xml:space="preserve">) I.140; VII.n.7; XI.104; XIV.3, 224; XVI.99, n.25; XIX.26; XX </w:t>
      </w:r>
      <w:r w:rsidRPr="005B6D62">
        <w:rPr>
          <w:i/>
          <w:iCs/>
          <w:lang w:val="es-PE"/>
        </w:rPr>
        <w:t>passim</w:t>
      </w:r>
      <w:r w:rsidRPr="005B6D62">
        <w:rPr>
          <w:lang w:val="es-PE"/>
        </w:rPr>
        <w:t xml:space="preserve">; XXI.3s., 48, 51, 59, 70, 88, 129, n.3; XXII.22, 53; XXIII.32. Ver también </w:t>
      </w:r>
      <w:r w:rsidRPr="005B6D62">
        <w:rPr>
          <w:i/>
          <w:iCs/>
          <w:lang w:val="es-PE"/>
        </w:rPr>
        <w:t>contemplación de lo no–alma</w:t>
      </w:r>
      <w:r w:rsidRPr="005B6D62">
        <w:rPr>
          <w:lang w:val="es-PE"/>
        </w:rPr>
        <w:t>.</w:t>
      </w:r>
    </w:p>
    <w:p w14:paraId="38AAEFB1" w14:textId="77777777" w:rsidR="00597DE2" w:rsidRPr="00291B88" w:rsidRDefault="00597DE2" w:rsidP="00597DE2">
      <w:pPr>
        <w:pStyle w:val="ParrafoApendice"/>
        <w:rPr>
          <w:lang w:val="es-PE"/>
        </w:rPr>
      </w:pPr>
      <w:r w:rsidRPr="00291B88">
        <w:rPr>
          <w:lang w:val="es-PE"/>
        </w:rPr>
        <w:t>no</w:t>
      </w:r>
      <w:r w:rsidRPr="00C47550">
        <w:rPr>
          <w:lang w:val="es-PE"/>
        </w:rPr>
        <w:t>–</w:t>
      </w:r>
      <w:r w:rsidRPr="00291B88">
        <w:rPr>
          <w:lang w:val="es-PE"/>
        </w:rPr>
        <w:t>alma (</w:t>
      </w:r>
      <w:proofErr w:type="spellStart"/>
      <w:r w:rsidRPr="00C47550">
        <w:rPr>
          <w:i/>
          <w:iCs/>
          <w:lang w:val="es-PE"/>
        </w:rPr>
        <w:t>nijjīva</w:t>
      </w:r>
      <w:proofErr w:type="spellEnd"/>
      <w:r w:rsidRPr="00291B88">
        <w:rPr>
          <w:lang w:val="es-PE"/>
        </w:rPr>
        <w:t>) VII.n.1; XI.41; XV.22; XVII.</w:t>
      </w:r>
      <w:r w:rsidRPr="00757E1A">
        <w:rPr>
          <w:strike/>
          <w:color w:val="833C0B" w:themeColor="accent2" w:themeShade="80"/>
          <w:lang w:val="es-PE"/>
        </w:rPr>
        <w:t>31</w:t>
      </w:r>
      <w:r w:rsidRPr="00291B88">
        <w:rPr>
          <w:lang w:val="es-PE"/>
        </w:rPr>
        <w:t xml:space="preserve">, 162, 308 </w:t>
      </w:r>
    </w:p>
    <w:p w14:paraId="10BA2714" w14:textId="77777777" w:rsidR="00597DE2" w:rsidRPr="006D0608" w:rsidRDefault="00597DE2" w:rsidP="00597DE2">
      <w:pPr>
        <w:pStyle w:val="ParrafoApendice"/>
        <w:rPr>
          <w:lang w:val="es-PE"/>
        </w:rPr>
      </w:pPr>
      <w:r w:rsidRPr="006D0608">
        <w:rPr>
          <w:lang w:val="es-PE"/>
        </w:rPr>
        <w:t>noble (</w:t>
      </w:r>
      <w:proofErr w:type="spellStart"/>
      <w:r w:rsidRPr="006D0608">
        <w:rPr>
          <w:i/>
          <w:iCs/>
          <w:lang w:val="es-PE"/>
        </w:rPr>
        <w:t>ariya</w:t>
      </w:r>
      <w:proofErr w:type="spellEnd"/>
      <w:r w:rsidRPr="006D0608">
        <w:rPr>
          <w:lang w:val="es-PE"/>
        </w:rPr>
        <w:t xml:space="preserve">) VII.n.3; </w:t>
      </w:r>
      <w:r w:rsidRPr="006D0608">
        <w:rPr>
          <w:i/>
          <w:iCs/>
          <w:lang w:val="es-PE"/>
        </w:rPr>
        <w:t>n. discípulo</w:t>
      </w:r>
      <w:r w:rsidRPr="006D0608">
        <w:rPr>
          <w:lang w:val="es-PE"/>
        </w:rPr>
        <w:t xml:space="preserve"> (</w:t>
      </w:r>
      <w:proofErr w:type="spellStart"/>
      <w:r w:rsidRPr="006D0608">
        <w:rPr>
          <w:i/>
          <w:iCs/>
          <w:lang w:val="es-PE"/>
        </w:rPr>
        <w:t>ariyasāvaka</w:t>
      </w:r>
      <w:proofErr w:type="spellEnd"/>
      <w:r w:rsidRPr="006D0608">
        <w:rPr>
          <w:lang w:val="es-PE"/>
        </w:rPr>
        <w:t xml:space="preserve">) VII.121; XX.105; XXIII.10; </w:t>
      </w:r>
      <w:r w:rsidRPr="006D0608">
        <w:rPr>
          <w:i/>
          <w:iCs/>
          <w:lang w:val="es-PE"/>
        </w:rPr>
        <w:t>alguien n.</w:t>
      </w:r>
      <w:r w:rsidRPr="006D0608">
        <w:rPr>
          <w:lang w:val="es-PE"/>
        </w:rPr>
        <w:t xml:space="preserve"> (</w:t>
      </w:r>
      <w:proofErr w:type="spellStart"/>
      <w:r w:rsidRPr="006D0608">
        <w:rPr>
          <w:i/>
          <w:iCs/>
          <w:lang w:val="es-PE"/>
        </w:rPr>
        <w:t>ariya</w:t>
      </w:r>
      <w:proofErr w:type="spellEnd"/>
      <w:r w:rsidRPr="006D0608">
        <w:rPr>
          <w:lang w:val="es-PE"/>
        </w:rPr>
        <w:t xml:space="preserve">) XI.124; XIII.82; XIV.164; XVI.20s., 86; XXIII.6, 8; </w:t>
      </w:r>
      <w:r w:rsidRPr="006D0608">
        <w:rPr>
          <w:i/>
          <w:iCs/>
          <w:lang w:val="es-PE"/>
        </w:rPr>
        <w:t>herencia de los n.</w:t>
      </w:r>
      <w:r w:rsidRPr="006D0608">
        <w:rPr>
          <w:lang w:val="es-PE"/>
        </w:rPr>
        <w:t xml:space="preserve"> (</w:t>
      </w:r>
      <w:proofErr w:type="spellStart"/>
      <w:r w:rsidRPr="006D0608">
        <w:rPr>
          <w:i/>
          <w:iCs/>
          <w:lang w:val="es-PE"/>
        </w:rPr>
        <w:t>ariyavaṃsā</w:t>
      </w:r>
      <w:proofErr w:type="spellEnd"/>
      <w:r w:rsidRPr="006D0608">
        <w:rPr>
          <w:lang w:val="es-PE"/>
        </w:rPr>
        <w:t xml:space="preserve">) I.112; II.1, 28s.; III.n.15; XX.78, 83; </w:t>
      </w:r>
      <w:r w:rsidRPr="006D0608">
        <w:rPr>
          <w:i/>
          <w:iCs/>
          <w:lang w:val="es-PE"/>
        </w:rPr>
        <w:t>n. sendero</w:t>
      </w:r>
      <w:r w:rsidRPr="006D0608">
        <w:rPr>
          <w:lang w:val="es-PE"/>
        </w:rPr>
        <w:t xml:space="preserve"> (</w:t>
      </w:r>
      <w:proofErr w:type="spellStart"/>
      <w:r w:rsidRPr="006D0608">
        <w:rPr>
          <w:i/>
          <w:iCs/>
          <w:lang w:val="es-PE"/>
        </w:rPr>
        <w:t>ariya</w:t>
      </w:r>
      <w:proofErr w:type="spellEnd"/>
      <w:r w:rsidRPr="006D0608">
        <w:rPr>
          <w:i/>
          <w:iCs/>
          <w:lang w:val="es-PE"/>
        </w:rPr>
        <w:t>–</w:t>
      </w:r>
      <w:proofErr w:type="spellStart"/>
      <w:r w:rsidRPr="006D0608">
        <w:rPr>
          <w:i/>
          <w:iCs/>
          <w:lang w:val="es-PE"/>
        </w:rPr>
        <w:t>magga</w:t>
      </w:r>
      <w:proofErr w:type="spellEnd"/>
      <w:r w:rsidRPr="006D0608">
        <w:rPr>
          <w:lang w:val="es-PE"/>
        </w:rPr>
        <w:t xml:space="preserve">) XXI.71; </w:t>
      </w:r>
      <w:r w:rsidRPr="006D0608">
        <w:rPr>
          <w:i/>
          <w:iCs/>
          <w:lang w:val="es-PE"/>
        </w:rPr>
        <w:t>n. persona</w:t>
      </w:r>
      <w:r w:rsidRPr="006D0608">
        <w:rPr>
          <w:lang w:val="es-PE"/>
        </w:rPr>
        <w:t xml:space="preserve"> (</w:t>
      </w:r>
      <w:proofErr w:type="spellStart"/>
      <w:r w:rsidRPr="006D0608">
        <w:rPr>
          <w:i/>
          <w:iCs/>
          <w:lang w:val="es-PE"/>
        </w:rPr>
        <w:t>ariya</w:t>
      </w:r>
      <w:proofErr w:type="spellEnd"/>
      <w:r w:rsidRPr="006D0608">
        <w:rPr>
          <w:i/>
          <w:iCs/>
          <w:lang w:val="es-PE"/>
        </w:rPr>
        <w:t>–</w:t>
      </w:r>
      <w:proofErr w:type="spellStart"/>
      <w:r w:rsidRPr="006D0608">
        <w:rPr>
          <w:i/>
          <w:iCs/>
          <w:lang w:val="es-PE"/>
        </w:rPr>
        <w:t>puggala</w:t>
      </w:r>
      <w:proofErr w:type="spellEnd"/>
      <w:r w:rsidRPr="006D0608">
        <w:rPr>
          <w:lang w:val="es-PE"/>
        </w:rPr>
        <w:t xml:space="preserve">) XXI.74s.; XXII.85 </w:t>
      </w:r>
    </w:p>
    <w:p w14:paraId="5079F292" w14:textId="77777777" w:rsidR="00597DE2" w:rsidRPr="00D20518" w:rsidRDefault="00597DE2" w:rsidP="00597DE2">
      <w:pPr>
        <w:pStyle w:val="ParrafoApendice"/>
        <w:rPr>
          <w:lang w:val="es-PE"/>
        </w:rPr>
      </w:pPr>
      <w:r>
        <w:rPr>
          <w:lang w:val="es-PE"/>
        </w:rPr>
        <w:t xml:space="preserve">Nobles </w:t>
      </w:r>
      <w:r w:rsidRPr="00D20518">
        <w:rPr>
          <w:lang w:val="es-PE"/>
        </w:rPr>
        <w:t xml:space="preserve">Tesoros, los </w:t>
      </w:r>
      <w:r>
        <w:rPr>
          <w:lang w:val="es-PE"/>
        </w:rPr>
        <w:t>Siete</w:t>
      </w:r>
      <w:r w:rsidRPr="00D20518">
        <w:rPr>
          <w:lang w:val="es-PE"/>
        </w:rPr>
        <w:t xml:space="preserve"> (</w:t>
      </w:r>
      <w:proofErr w:type="spellStart"/>
      <w:r w:rsidRPr="00D20518">
        <w:rPr>
          <w:i/>
          <w:iCs/>
          <w:lang w:val="es-PE"/>
        </w:rPr>
        <w:t>satta</w:t>
      </w:r>
      <w:proofErr w:type="spellEnd"/>
      <w:r w:rsidRPr="00D20518">
        <w:rPr>
          <w:i/>
          <w:iCs/>
          <w:lang w:val="es-PE"/>
        </w:rPr>
        <w:t xml:space="preserve"> </w:t>
      </w:r>
      <w:proofErr w:type="spellStart"/>
      <w:r w:rsidRPr="00D20518">
        <w:rPr>
          <w:i/>
          <w:iCs/>
          <w:lang w:val="es-PE"/>
        </w:rPr>
        <w:t>dhanāni</w:t>
      </w:r>
      <w:proofErr w:type="spellEnd"/>
      <w:r w:rsidRPr="00D20518">
        <w:rPr>
          <w:lang w:val="es-PE"/>
        </w:rPr>
        <w:t xml:space="preserve">) XXII.14 </w:t>
      </w:r>
    </w:p>
    <w:p w14:paraId="715BAFBD" w14:textId="77777777" w:rsidR="00597DE2" w:rsidRPr="005B6D62" w:rsidRDefault="00597DE2" w:rsidP="00597DE2">
      <w:pPr>
        <w:pStyle w:val="ParrafoApendice"/>
        <w:rPr>
          <w:lang w:val="es-PE"/>
        </w:rPr>
      </w:pPr>
      <w:r w:rsidRPr="005B6D62">
        <w:rPr>
          <w:lang w:val="es-PE"/>
        </w:rPr>
        <w:t>no–codicia (</w:t>
      </w:r>
      <w:proofErr w:type="spellStart"/>
      <w:r w:rsidRPr="005B6D62">
        <w:rPr>
          <w:i/>
          <w:iCs/>
          <w:lang w:val="es-PE"/>
        </w:rPr>
        <w:t>alobha</w:t>
      </w:r>
      <w:proofErr w:type="spellEnd"/>
      <w:r w:rsidRPr="005B6D62">
        <w:rPr>
          <w:lang w:val="es-PE"/>
        </w:rPr>
        <w:t xml:space="preserve">) II.84; III.128; XIII.77; XIV.100, 106, 133, 143 </w:t>
      </w:r>
    </w:p>
    <w:p w14:paraId="6571EAA8" w14:textId="77777777" w:rsidR="00597DE2" w:rsidRPr="005B6D62" w:rsidRDefault="00597DE2" w:rsidP="00597DE2">
      <w:pPr>
        <w:pStyle w:val="ParrafoApendice"/>
        <w:rPr>
          <w:lang w:val="es-PE"/>
        </w:rPr>
      </w:pPr>
      <w:r w:rsidRPr="005B6D62">
        <w:rPr>
          <w:lang w:val="es-PE"/>
        </w:rPr>
        <w:t>no–codicia (</w:t>
      </w:r>
      <w:proofErr w:type="spellStart"/>
      <w:r w:rsidRPr="005B6D62">
        <w:rPr>
          <w:i/>
          <w:iCs/>
          <w:lang w:val="es-PE"/>
        </w:rPr>
        <w:t>anabhijjhā</w:t>
      </w:r>
      <w:proofErr w:type="spellEnd"/>
      <w:r w:rsidRPr="005B6D62">
        <w:rPr>
          <w:lang w:val="es-PE"/>
        </w:rPr>
        <w:t xml:space="preserve">) I.17 </w:t>
      </w:r>
    </w:p>
    <w:p w14:paraId="5E4418C1" w14:textId="77777777" w:rsidR="00597DE2" w:rsidRPr="005B6D62" w:rsidRDefault="00597DE2" w:rsidP="00597DE2">
      <w:pPr>
        <w:pStyle w:val="ParrafoApendice"/>
        <w:rPr>
          <w:lang w:val="es-PE"/>
        </w:rPr>
      </w:pPr>
      <w:r w:rsidRPr="005B6D62">
        <w:rPr>
          <w:lang w:val="es-PE"/>
        </w:rPr>
        <w:t>no–confusión (</w:t>
      </w:r>
      <w:proofErr w:type="spellStart"/>
      <w:r w:rsidRPr="005B6D62">
        <w:rPr>
          <w:i/>
          <w:iCs/>
          <w:lang w:val="es-PE"/>
        </w:rPr>
        <w:t>asammoha</w:t>
      </w:r>
      <w:proofErr w:type="spellEnd"/>
      <w:r w:rsidRPr="005B6D62">
        <w:rPr>
          <w:lang w:val="es-PE"/>
        </w:rPr>
        <w:t xml:space="preserve">) VIII.226 </w:t>
      </w:r>
    </w:p>
    <w:p w14:paraId="75768943" w14:textId="77777777" w:rsidR="00597DE2" w:rsidRPr="005B6D62" w:rsidRDefault="00597DE2" w:rsidP="00597DE2">
      <w:pPr>
        <w:pStyle w:val="ParrafoApendice"/>
        <w:rPr>
          <w:lang w:val="es-PE"/>
        </w:rPr>
      </w:pPr>
      <w:r w:rsidRPr="005B6D62">
        <w:rPr>
          <w:lang w:val="es-PE"/>
        </w:rPr>
        <w:t>no–crueldad (</w:t>
      </w:r>
      <w:proofErr w:type="spellStart"/>
      <w:r w:rsidRPr="005B6D62">
        <w:rPr>
          <w:lang w:val="es-PE"/>
        </w:rPr>
        <w:t>avihiísā</w:t>
      </w:r>
      <w:proofErr w:type="spellEnd"/>
      <w:r w:rsidRPr="005B6D62">
        <w:rPr>
          <w:lang w:val="es-PE"/>
        </w:rPr>
        <w:t xml:space="preserve">) XV.28 </w:t>
      </w:r>
    </w:p>
    <w:p w14:paraId="5F7CD7C8" w14:textId="77777777" w:rsidR="00597DE2" w:rsidRPr="005B6D62" w:rsidRDefault="00597DE2" w:rsidP="00597DE2">
      <w:pPr>
        <w:pStyle w:val="ParrafoApendice"/>
        <w:rPr>
          <w:lang w:val="es-PE"/>
        </w:rPr>
      </w:pPr>
      <w:r w:rsidRPr="005B6D62">
        <w:rPr>
          <w:lang w:val="es-PE"/>
        </w:rPr>
        <w:t>no–deseo (</w:t>
      </w:r>
      <w:proofErr w:type="spellStart"/>
      <w:r w:rsidRPr="005B6D62">
        <w:rPr>
          <w:i/>
          <w:iCs/>
          <w:lang w:val="es-PE"/>
        </w:rPr>
        <w:t>appaṇihita</w:t>
      </w:r>
      <w:proofErr w:type="spellEnd"/>
      <w:r w:rsidRPr="005B6D62">
        <w:rPr>
          <w:lang w:val="es-PE"/>
        </w:rPr>
        <w:t xml:space="preserve">) I.140. Ver también </w:t>
      </w:r>
      <w:r w:rsidRPr="005B6D62">
        <w:rPr>
          <w:i/>
          <w:iCs/>
          <w:lang w:val="es-PE"/>
        </w:rPr>
        <w:t>contemplación de lo i</w:t>
      </w:r>
      <w:r w:rsidRPr="005B6D62">
        <w:rPr>
          <w:lang w:val="es-PE"/>
        </w:rPr>
        <w:t xml:space="preserve">.; </w:t>
      </w:r>
      <w:r w:rsidRPr="005B6D62">
        <w:rPr>
          <w:i/>
          <w:iCs/>
          <w:lang w:val="es-PE"/>
        </w:rPr>
        <w:t>elemento del n</w:t>
      </w:r>
      <w:r w:rsidRPr="005B6D62">
        <w:rPr>
          <w:lang w:val="es-PE"/>
        </w:rPr>
        <w:t>. (</w:t>
      </w:r>
      <w:proofErr w:type="spellStart"/>
      <w:r w:rsidRPr="005B6D62">
        <w:rPr>
          <w:i/>
          <w:iCs/>
          <w:lang w:val="es-PE"/>
        </w:rPr>
        <w:t>appaṇihita</w:t>
      </w:r>
      <w:proofErr w:type="spellEnd"/>
      <w:r w:rsidRPr="005B6D62">
        <w:rPr>
          <w:i/>
          <w:iCs/>
          <w:lang w:val="es-PE"/>
        </w:rPr>
        <w:t>–</w:t>
      </w:r>
      <w:proofErr w:type="spellStart"/>
      <w:r w:rsidRPr="005B6D62">
        <w:rPr>
          <w:i/>
          <w:iCs/>
          <w:lang w:val="es-PE"/>
        </w:rPr>
        <w:t>dhātu</w:t>
      </w:r>
      <w:proofErr w:type="spellEnd"/>
      <w:r w:rsidRPr="005B6D62">
        <w:rPr>
          <w:lang w:val="es-PE"/>
        </w:rPr>
        <w:t>) XXI.67; d. liberación (</w:t>
      </w:r>
      <w:proofErr w:type="spellStart"/>
      <w:r w:rsidRPr="005B6D62">
        <w:rPr>
          <w:i/>
          <w:iCs/>
          <w:lang w:val="es-PE"/>
        </w:rPr>
        <w:t>appaṇihita</w:t>
      </w:r>
      <w:proofErr w:type="spellEnd"/>
      <w:r w:rsidRPr="005B6D62">
        <w:rPr>
          <w:i/>
          <w:iCs/>
          <w:lang w:val="es-PE"/>
        </w:rPr>
        <w:t>–</w:t>
      </w:r>
      <w:proofErr w:type="spellStart"/>
      <w:r w:rsidRPr="005B6D62">
        <w:rPr>
          <w:i/>
          <w:iCs/>
          <w:lang w:val="es-PE"/>
        </w:rPr>
        <w:t>vimokkha</w:t>
      </w:r>
      <w:proofErr w:type="spellEnd"/>
      <w:r w:rsidRPr="005B6D62">
        <w:rPr>
          <w:lang w:val="es-PE"/>
        </w:rPr>
        <w:t>) XXI.70s</w:t>
      </w:r>
    </w:p>
    <w:p w14:paraId="536F0B04" w14:textId="77777777" w:rsidR="00597DE2" w:rsidRPr="005B6D62" w:rsidRDefault="00597DE2" w:rsidP="00597DE2">
      <w:pPr>
        <w:pStyle w:val="ParrafoApendice"/>
        <w:rPr>
          <w:lang w:val="es-PE"/>
        </w:rPr>
      </w:pPr>
      <w:r w:rsidRPr="005B6D62">
        <w:rPr>
          <w:lang w:val="es-PE"/>
        </w:rPr>
        <w:t>no–devenir (</w:t>
      </w:r>
      <w:proofErr w:type="spellStart"/>
      <w:r w:rsidRPr="005B6D62">
        <w:rPr>
          <w:i/>
          <w:iCs/>
          <w:lang w:val="es-PE"/>
        </w:rPr>
        <w:t>vibhava</w:t>
      </w:r>
      <w:proofErr w:type="spellEnd"/>
      <w:r w:rsidRPr="005B6D62">
        <w:rPr>
          <w:lang w:val="es-PE"/>
        </w:rPr>
        <w:t xml:space="preserve">) XVI.93; </w:t>
      </w:r>
      <w:r w:rsidRPr="005B6D62">
        <w:rPr>
          <w:strike/>
          <w:color w:val="833C0B" w:themeColor="accent2" w:themeShade="80"/>
          <w:u w:color="000000"/>
          <w:lang w:val="es-PE"/>
        </w:rPr>
        <w:t>XVII.135</w:t>
      </w:r>
      <w:r w:rsidRPr="005B6D62">
        <w:rPr>
          <w:lang w:val="es-PE"/>
        </w:rPr>
        <w:t xml:space="preserve"> </w:t>
      </w:r>
    </w:p>
    <w:p w14:paraId="66067FDA" w14:textId="77777777" w:rsidR="00597DE2" w:rsidRPr="005B6D62" w:rsidRDefault="00597DE2" w:rsidP="00597DE2">
      <w:pPr>
        <w:pStyle w:val="ParrafoApendice"/>
        <w:rPr>
          <w:lang w:val="es-PE"/>
        </w:rPr>
      </w:pPr>
      <w:r w:rsidRPr="005B6D62">
        <w:rPr>
          <w:lang w:val="es-PE"/>
        </w:rPr>
        <w:t>no–distracción (</w:t>
      </w:r>
      <w:proofErr w:type="spellStart"/>
      <w:r w:rsidRPr="005B6D62">
        <w:rPr>
          <w:i/>
          <w:iCs/>
          <w:lang w:val="es-PE"/>
        </w:rPr>
        <w:t>avikkhepa</w:t>
      </w:r>
      <w:proofErr w:type="spellEnd"/>
      <w:r w:rsidRPr="005B6D62">
        <w:rPr>
          <w:lang w:val="es-PE"/>
        </w:rPr>
        <w:t xml:space="preserve">) I.140; III.5; XXII.45; XXIII.20 </w:t>
      </w:r>
    </w:p>
    <w:p w14:paraId="2263C183" w14:textId="77777777" w:rsidR="00597DE2" w:rsidRPr="005B6D62" w:rsidRDefault="00597DE2" w:rsidP="00597DE2">
      <w:pPr>
        <w:pStyle w:val="ParrafoApendice"/>
        <w:rPr>
          <w:lang w:val="es-PE"/>
        </w:rPr>
      </w:pPr>
      <w:r w:rsidRPr="005B6D62">
        <w:rPr>
          <w:lang w:val="es-PE"/>
        </w:rPr>
        <w:t>no–existencia (</w:t>
      </w:r>
      <w:proofErr w:type="spellStart"/>
      <w:r w:rsidRPr="005B6D62">
        <w:rPr>
          <w:i/>
          <w:iCs/>
          <w:lang w:val="es-PE"/>
        </w:rPr>
        <w:t>abhāva</w:t>
      </w:r>
      <w:proofErr w:type="spellEnd"/>
      <w:r w:rsidRPr="005B6D62">
        <w:rPr>
          <w:lang w:val="es-PE"/>
        </w:rPr>
        <w:t xml:space="preserve">) III.115; X.45. Ver también </w:t>
      </w:r>
      <w:r w:rsidRPr="005B6D62">
        <w:rPr>
          <w:i/>
          <w:iCs/>
          <w:lang w:val="es-PE"/>
        </w:rPr>
        <w:t>ausencia</w:t>
      </w:r>
    </w:p>
    <w:p w14:paraId="680386F8" w14:textId="77777777" w:rsidR="00597DE2" w:rsidRPr="002A49F3" w:rsidRDefault="00597DE2" w:rsidP="00597DE2">
      <w:pPr>
        <w:pStyle w:val="ParrafoApendice"/>
        <w:rPr>
          <w:lang w:val="es-PE"/>
        </w:rPr>
      </w:pPr>
      <w:r w:rsidRPr="002A49F3">
        <w:rPr>
          <w:lang w:val="es-PE"/>
        </w:rPr>
        <w:t>no</w:t>
      </w:r>
      <w:r>
        <w:rPr>
          <w:rFonts w:cs="Cormorant"/>
          <w:lang w:val="es-PE"/>
        </w:rPr>
        <w:t>‒</w:t>
      </w:r>
      <w:r w:rsidRPr="002A49F3">
        <w:rPr>
          <w:lang w:val="es-PE"/>
        </w:rPr>
        <w:t>formado (</w:t>
      </w:r>
      <w:proofErr w:type="spellStart"/>
      <w:r w:rsidRPr="002A49F3">
        <w:rPr>
          <w:i/>
          <w:iCs/>
          <w:lang w:val="es-PE"/>
        </w:rPr>
        <w:t>asaṅkhata</w:t>
      </w:r>
      <w:proofErr w:type="spellEnd"/>
      <w:r w:rsidRPr="002A49F3">
        <w:rPr>
          <w:lang w:val="es-PE"/>
        </w:rPr>
        <w:t>) VII.</w:t>
      </w:r>
      <w:r w:rsidRPr="007438EC">
        <w:rPr>
          <w:color w:val="833C0B" w:themeColor="accent2" w:themeShade="80"/>
          <w:lang w:val="es-PE"/>
        </w:rPr>
        <w:t>83</w:t>
      </w:r>
      <w:r w:rsidRPr="002A49F3">
        <w:rPr>
          <w:lang w:val="es-PE"/>
        </w:rPr>
        <w:t xml:space="preserve">; VIII.245; XV.25; XVI.23, 102; </w:t>
      </w:r>
      <w:r w:rsidRPr="003F78E2">
        <w:rPr>
          <w:i/>
          <w:iCs/>
          <w:lang w:val="es-PE"/>
        </w:rPr>
        <w:t>elemento no</w:t>
      </w:r>
      <w:r w:rsidRPr="003F78E2">
        <w:rPr>
          <w:rFonts w:cs="Cormorant"/>
          <w:i/>
          <w:iCs/>
          <w:lang w:val="es-PE"/>
        </w:rPr>
        <w:t>‒</w:t>
      </w:r>
      <w:r w:rsidRPr="003F78E2">
        <w:rPr>
          <w:i/>
          <w:iCs/>
          <w:lang w:val="es-PE"/>
        </w:rPr>
        <w:t>formado</w:t>
      </w:r>
      <w:r>
        <w:rPr>
          <w:i/>
          <w:iCs/>
          <w:lang w:val="es-PE"/>
        </w:rPr>
        <w:t>, elemento inmaterial</w:t>
      </w:r>
      <w:r w:rsidRPr="002A49F3">
        <w:rPr>
          <w:lang w:val="es-PE"/>
        </w:rPr>
        <w:t xml:space="preserve"> (</w:t>
      </w:r>
      <w:proofErr w:type="spellStart"/>
      <w:r w:rsidRPr="003F78E2">
        <w:rPr>
          <w:i/>
          <w:iCs/>
          <w:lang w:val="es-PE"/>
        </w:rPr>
        <w:t>asaṅkhata</w:t>
      </w:r>
      <w:proofErr w:type="spellEnd"/>
      <w:r w:rsidRPr="003F78E2">
        <w:rPr>
          <w:i/>
          <w:iCs/>
          <w:lang w:val="es-PE"/>
        </w:rPr>
        <w:t>–</w:t>
      </w:r>
      <w:proofErr w:type="spellStart"/>
      <w:r w:rsidRPr="003F78E2">
        <w:rPr>
          <w:i/>
          <w:iCs/>
          <w:lang w:val="es-PE"/>
        </w:rPr>
        <w:t>dhātu</w:t>
      </w:r>
      <w:proofErr w:type="spellEnd"/>
      <w:r w:rsidRPr="002A49F3">
        <w:rPr>
          <w:lang w:val="es-PE"/>
        </w:rPr>
        <w:t>) XV.34, 42; XVI.94; XXII.n.1</w:t>
      </w:r>
    </w:p>
    <w:p w14:paraId="6A5DC3C3" w14:textId="77777777" w:rsidR="00597DE2" w:rsidRPr="005B6D62" w:rsidRDefault="00597DE2" w:rsidP="00597DE2">
      <w:pPr>
        <w:pStyle w:val="ParrafoApendice"/>
        <w:rPr>
          <w:lang w:val="es-PE"/>
        </w:rPr>
      </w:pPr>
      <w:r w:rsidRPr="005B6D62">
        <w:rPr>
          <w:lang w:val="es-PE"/>
        </w:rPr>
        <w:t>no–humano (</w:t>
      </w:r>
      <w:proofErr w:type="spellStart"/>
      <w:r w:rsidRPr="005B6D62">
        <w:rPr>
          <w:i/>
          <w:iCs/>
          <w:lang w:val="es-PE"/>
        </w:rPr>
        <w:t>amanussa</w:t>
      </w:r>
      <w:proofErr w:type="spellEnd"/>
      <w:r w:rsidRPr="005B6D62">
        <w:rPr>
          <w:lang w:val="es-PE"/>
        </w:rPr>
        <w:t xml:space="preserve">) II.65, 70; VI.26 </w:t>
      </w:r>
    </w:p>
    <w:p w14:paraId="2A2C10B8" w14:textId="77777777" w:rsidR="00597DE2" w:rsidRPr="005B6D62" w:rsidRDefault="00597DE2" w:rsidP="00597DE2">
      <w:pPr>
        <w:pStyle w:val="ParrafoApendice"/>
        <w:rPr>
          <w:lang w:val="es-PE"/>
        </w:rPr>
      </w:pPr>
      <w:r w:rsidRPr="005B6D62">
        <w:rPr>
          <w:lang w:val="es-PE"/>
        </w:rPr>
        <w:t>no–ilusión (</w:t>
      </w:r>
      <w:proofErr w:type="spellStart"/>
      <w:r w:rsidRPr="005B6D62">
        <w:rPr>
          <w:i/>
          <w:iCs/>
          <w:lang w:val="es-PE"/>
        </w:rPr>
        <w:t>amoha</w:t>
      </w:r>
      <w:proofErr w:type="spellEnd"/>
      <w:r w:rsidRPr="005B6D62">
        <w:rPr>
          <w:lang w:val="es-PE"/>
        </w:rPr>
        <w:t xml:space="preserve">) II.84; III.128; XIII.77; XIV.7, 133, 143, 156 </w:t>
      </w:r>
    </w:p>
    <w:p w14:paraId="778A2680" w14:textId="77777777" w:rsidR="00597DE2" w:rsidRPr="0043049B" w:rsidRDefault="00597DE2" w:rsidP="00597DE2">
      <w:pPr>
        <w:pStyle w:val="ParrafoApendice"/>
        <w:rPr>
          <w:lang w:val="es-PE"/>
        </w:rPr>
      </w:pPr>
      <w:r w:rsidRPr="0043049B">
        <w:rPr>
          <w:lang w:val="es-PE"/>
        </w:rPr>
        <w:t>no</w:t>
      </w:r>
      <w:r w:rsidRPr="0043049B">
        <w:rPr>
          <w:rFonts w:cs="Cormorant"/>
          <w:lang w:val="es-PE"/>
        </w:rPr>
        <w:t>‒</w:t>
      </w:r>
      <w:r w:rsidRPr="0043049B">
        <w:rPr>
          <w:lang w:val="es-PE"/>
        </w:rPr>
        <w:t>incluido (</w:t>
      </w:r>
      <w:proofErr w:type="spellStart"/>
      <w:r w:rsidRPr="0043049B">
        <w:rPr>
          <w:i/>
          <w:iCs/>
          <w:lang w:val="es-PE"/>
        </w:rPr>
        <w:t>apariyāpanna</w:t>
      </w:r>
      <w:proofErr w:type="spellEnd"/>
      <w:r w:rsidRPr="0043049B">
        <w:rPr>
          <w:lang w:val="es-PE"/>
        </w:rPr>
        <w:t xml:space="preserve">) III.23 </w:t>
      </w:r>
    </w:p>
    <w:p w14:paraId="09F3FD88" w14:textId="77777777" w:rsidR="00597DE2" w:rsidRPr="005B6D62" w:rsidRDefault="00597DE2" w:rsidP="00597DE2">
      <w:pPr>
        <w:pStyle w:val="ParrafoApendice"/>
        <w:rPr>
          <w:lang w:val="es-PE"/>
        </w:rPr>
      </w:pPr>
      <w:r w:rsidRPr="005B6D62">
        <w:rPr>
          <w:lang w:val="es-PE"/>
        </w:rPr>
        <w:t>no–instructor (</w:t>
      </w:r>
      <w:proofErr w:type="spellStart"/>
      <w:r w:rsidRPr="005B6D62">
        <w:rPr>
          <w:i/>
          <w:iCs/>
          <w:lang w:val="es-PE"/>
        </w:rPr>
        <w:t>asekha</w:t>
      </w:r>
      <w:proofErr w:type="spellEnd"/>
      <w:r w:rsidRPr="005B6D62">
        <w:rPr>
          <w:lang w:val="es-PE"/>
        </w:rPr>
        <w:t>) I.35, 37; XIV.27; XVI.104</w:t>
      </w:r>
    </w:p>
    <w:p w14:paraId="7051F5CA" w14:textId="77777777" w:rsidR="00597DE2" w:rsidRPr="005B6D62" w:rsidRDefault="00597DE2" w:rsidP="00597DE2">
      <w:pPr>
        <w:pStyle w:val="ParrafoApendice"/>
        <w:rPr>
          <w:lang w:val="es-PE"/>
        </w:rPr>
      </w:pPr>
      <w:r w:rsidRPr="005B6D62">
        <w:rPr>
          <w:lang w:val="es-PE"/>
        </w:rPr>
        <w:t>no–mala–</w:t>
      </w:r>
      <w:bookmarkStart w:id="18" w:name="_Hlk156341563"/>
      <w:r w:rsidRPr="005B6D62">
        <w:rPr>
          <w:lang w:val="es-PE"/>
        </w:rPr>
        <w:t xml:space="preserve">voluntad </w:t>
      </w:r>
      <w:bookmarkEnd w:id="18"/>
      <w:r w:rsidRPr="005B6D62">
        <w:rPr>
          <w:lang w:val="es-PE"/>
        </w:rPr>
        <w:t>(</w:t>
      </w:r>
      <w:proofErr w:type="spellStart"/>
      <w:r w:rsidRPr="005B6D62">
        <w:rPr>
          <w:i/>
          <w:iCs/>
          <w:lang w:val="es-PE"/>
        </w:rPr>
        <w:t>avyāpāda</w:t>
      </w:r>
      <w:proofErr w:type="spellEnd"/>
      <w:r w:rsidRPr="005B6D62">
        <w:rPr>
          <w:lang w:val="es-PE"/>
        </w:rPr>
        <w:t xml:space="preserve">) I.17, 140; XXIII.20 </w:t>
      </w:r>
    </w:p>
    <w:p w14:paraId="134F26BE" w14:textId="77777777" w:rsidR="00597DE2" w:rsidRPr="005B6D62" w:rsidRDefault="00597DE2" w:rsidP="00597DE2">
      <w:pPr>
        <w:pStyle w:val="ParrafoApendice"/>
        <w:rPr>
          <w:lang w:val="es-PE"/>
        </w:rPr>
      </w:pPr>
      <w:r w:rsidRPr="005B6D62">
        <w:rPr>
          <w:lang w:val="es-PE"/>
        </w:rPr>
        <w:t>nombrar, denominar (</w:t>
      </w:r>
      <w:proofErr w:type="spellStart"/>
      <w:r w:rsidRPr="005B6D62">
        <w:rPr>
          <w:i/>
          <w:iCs/>
          <w:lang w:val="es-PE"/>
        </w:rPr>
        <w:t>abhidhāna</w:t>
      </w:r>
      <w:proofErr w:type="spellEnd"/>
      <w:r w:rsidRPr="005B6D62">
        <w:rPr>
          <w:lang w:val="es-PE"/>
        </w:rPr>
        <w:t>) IV.n.18; IX.n.6</w:t>
      </w:r>
    </w:p>
    <w:p w14:paraId="5E8E1147" w14:textId="77777777" w:rsidR="00597DE2" w:rsidRDefault="00597DE2" w:rsidP="00597DE2">
      <w:pPr>
        <w:pStyle w:val="ParrafoApendice"/>
        <w:rPr>
          <w:lang w:val="es-PE"/>
        </w:rPr>
      </w:pPr>
      <w:r w:rsidRPr="005B6D62">
        <w:rPr>
          <w:lang w:val="es-PE"/>
        </w:rPr>
        <w:t>nombre, mente (</w:t>
      </w:r>
      <w:proofErr w:type="spellStart"/>
      <w:r w:rsidRPr="005B6D62">
        <w:rPr>
          <w:i/>
          <w:iCs/>
          <w:lang w:val="es-PE"/>
        </w:rPr>
        <w:t>nāma</w:t>
      </w:r>
      <w:proofErr w:type="spellEnd"/>
      <w:r w:rsidRPr="005B6D62">
        <w:rPr>
          <w:lang w:val="es-PE"/>
        </w:rPr>
        <w:t xml:space="preserve">) II.n.18; VII.54; VIII.n.11; XIII.123; XVIII.n.4; XXIII.n.18 </w:t>
      </w:r>
    </w:p>
    <w:p w14:paraId="0B39AADC" w14:textId="77777777" w:rsidR="00597DE2" w:rsidRDefault="00597DE2" w:rsidP="00597DE2">
      <w:pPr>
        <w:pStyle w:val="ParrafoApendice"/>
        <w:rPr>
          <w:lang w:val="es-PE"/>
        </w:rPr>
      </w:pPr>
      <w:r>
        <w:rPr>
          <w:lang w:val="es-PE"/>
        </w:rPr>
        <w:br w:type="page"/>
      </w:r>
    </w:p>
    <w:p w14:paraId="3E5C7A23" w14:textId="77777777" w:rsidR="00597DE2" w:rsidRPr="005B6D62" w:rsidRDefault="00597DE2" w:rsidP="00597DE2">
      <w:pPr>
        <w:pStyle w:val="ParrafoApendice"/>
        <w:rPr>
          <w:lang w:val="es-PE"/>
        </w:rPr>
      </w:pPr>
    </w:p>
    <w:p w14:paraId="7CC65DBD" w14:textId="77777777" w:rsidR="00597DE2" w:rsidRPr="005B6D62" w:rsidRDefault="00597DE2" w:rsidP="00597DE2">
      <w:pPr>
        <w:pStyle w:val="ParrafoApendice"/>
        <w:rPr>
          <w:lang w:val="es-PE"/>
        </w:rPr>
      </w:pPr>
      <w:r w:rsidRPr="005B6D62">
        <w:rPr>
          <w:lang w:val="es-PE"/>
        </w:rPr>
        <w:t>nónuplo (</w:t>
      </w:r>
      <w:proofErr w:type="spellStart"/>
      <w:r w:rsidRPr="005B6D62">
        <w:rPr>
          <w:i/>
          <w:iCs/>
          <w:lang w:val="es-PE"/>
        </w:rPr>
        <w:t>navaka</w:t>
      </w:r>
      <w:proofErr w:type="spellEnd"/>
      <w:r w:rsidRPr="005B6D62">
        <w:rPr>
          <w:lang w:val="es-PE"/>
        </w:rPr>
        <w:t xml:space="preserve">) XVII.194. Consultar también </w:t>
      </w:r>
      <w:r w:rsidRPr="005B6D62">
        <w:rPr>
          <w:i/>
          <w:iCs/>
          <w:lang w:val="es-PE"/>
        </w:rPr>
        <w:t>n. vital</w:t>
      </w:r>
      <w:r w:rsidRPr="005B6D62">
        <w:rPr>
          <w:lang w:val="es-PE"/>
        </w:rPr>
        <w:t xml:space="preserve"> y </w:t>
      </w:r>
      <w:r w:rsidRPr="005B6D62">
        <w:rPr>
          <w:i/>
          <w:iCs/>
          <w:lang w:val="es-PE"/>
        </w:rPr>
        <w:t>el n. auditivo</w:t>
      </w:r>
      <w:r w:rsidRPr="005B6D62">
        <w:rPr>
          <w:lang w:val="es-PE"/>
        </w:rPr>
        <w:t>.</w:t>
      </w:r>
    </w:p>
    <w:p w14:paraId="6107115F" w14:textId="77777777" w:rsidR="00597DE2" w:rsidRPr="005B6D62" w:rsidRDefault="00597DE2" w:rsidP="00597DE2">
      <w:pPr>
        <w:pStyle w:val="ParrafoApendice"/>
        <w:rPr>
          <w:lang w:val="es-PE"/>
        </w:rPr>
      </w:pPr>
      <w:r w:rsidRPr="005B6D62">
        <w:rPr>
          <w:lang w:val="es-PE"/>
        </w:rPr>
        <w:t>no–odio (</w:t>
      </w:r>
      <w:r w:rsidRPr="005B6D62">
        <w:rPr>
          <w:i/>
          <w:iCs/>
          <w:lang w:val="es-PE"/>
        </w:rPr>
        <w:t>adosa</w:t>
      </w:r>
      <w:r w:rsidRPr="005B6D62">
        <w:rPr>
          <w:lang w:val="es-PE"/>
        </w:rPr>
        <w:t xml:space="preserve">) III.128; XIII.77; XIV.133, 143, 154 </w:t>
      </w:r>
    </w:p>
    <w:p w14:paraId="67325123" w14:textId="77777777" w:rsidR="00597DE2" w:rsidRPr="005B6D62" w:rsidRDefault="00597DE2" w:rsidP="00597DE2">
      <w:pPr>
        <w:pStyle w:val="ParrafoApendice"/>
        <w:rPr>
          <w:lang w:val="es-PE"/>
        </w:rPr>
      </w:pPr>
      <w:r w:rsidRPr="005B6D62">
        <w:rPr>
          <w:lang w:val="es-PE"/>
        </w:rPr>
        <w:t>no–oscilante (</w:t>
      </w:r>
      <w:proofErr w:type="spellStart"/>
      <w:r w:rsidRPr="005B6D62">
        <w:rPr>
          <w:i/>
          <w:iCs/>
          <w:lang w:val="es-PE"/>
        </w:rPr>
        <w:t>avikampana</w:t>
      </w:r>
      <w:proofErr w:type="spellEnd"/>
      <w:r w:rsidRPr="005B6D62">
        <w:rPr>
          <w:lang w:val="es-PE"/>
        </w:rPr>
        <w:t xml:space="preserve">) III.4; </w:t>
      </w:r>
      <w:r w:rsidRPr="005B6D62">
        <w:rPr>
          <w:color w:val="833C0B" w:themeColor="accent2" w:themeShade="80"/>
          <w:u w:color="000000"/>
          <w:lang w:val="es-PE"/>
        </w:rPr>
        <w:t>XXIII.21</w:t>
      </w:r>
      <w:r w:rsidRPr="005B6D62">
        <w:rPr>
          <w:lang w:val="es-PE"/>
        </w:rPr>
        <w:t xml:space="preserve"> </w:t>
      </w:r>
    </w:p>
    <w:p w14:paraId="105F8D93" w14:textId="77777777" w:rsidR="00597DE2" w:rsidRPr="005B6D62" w:rsidRDefault="00597DE2" w:rsidP="00597DE2">
      <w:pPr>
        <w:pStyle w:val="ParrafoApendice"/>
        <w:rPr>
          <w:lang w:val="es-PE"/>
        </w:rPr>
      </w:pPr>
      <w:r w:rsidRPr="005B6D62">
        <w:rPr>
          <w:lang w:val="es-PE"/>
        </w:rPr>
        <w:t>no–percipiente (</w:t>
      </w:r>
      <w:proofErr w:type="spellStart"/>
      <w:r w:rsidRPr="005B6D62">
        <w:rPr>
          <w:i/>
          <w:iCs/>
          <w:lang w:val="es-PE"/>
        </w:rPr>
        <w:t>asañña</w:t>
      </w:r>
      <w:proofErr w:type="spellEnd"/>
      <w:r w:rsidRPr="005B6D62">
        <w:rPr>
          <w:i/>
          <w:iCs/>
          <w:lang w:val="es-PE"/>
        </w:rPr>
        <w:t xml:space="preserve">, </w:t>
      </w:r>
      <w:proofErr w:type="spellStart"/>
      <w:r w:rsidRPr="005B6D62">
        <w:rPr>
          <w:i/>
          <w:iCs/>
          <w:lang w:val="es-PE"/>
        </w:rPr>
        <w:t>asaññin</w:t>
      </w:r>
      <w:proofErr w:type="spellEnd"/>
      <w:r w:rsidRPr="005B6D62">
        <w:rPr>
          <w:lang w:val="es-PE"/>
        </w:rPr>
        <w:t xml:space="preserve">) XVII.134, 192, 201 </w:t>
      </w:r>
    </w:p>
    <w:p w14:paraId="3CC6FC6C" w14:textId="77777777" w:rsidR="00597DE2" w:rsidRPr="005B6D62" w:rsidRDefault="00597DE2" w:rsidP="00597DE2">
      <w:pPr>
        <w:pStyle w:val="ParrafoApendice"/>
        <w:rPr>
          <w:lang w:val="es-PE"/>
        </w:rPr>
      </w:pPr>
      <w:r w:rsidRPr="005B6D62">
        <w:rPr>
          <w:lang w:val="es-PE"/>
        </w:rPr>
        <w:t>no–posesión (</w:t>
      </w:r>
      <w:proofErr w:type="spellStart"/>
      <w:r w:rsidRPr="005B6D62">
        <w:rPr>
          <w:i/>
          <w:iCs/>
          <w:lang w:val="es-PE"/>
        </w:rPr>
        <w:t>akiñcana</w:t>
      </w:r>
      <w:proofErr w:type="spellEnd"/>
      <w:r w:rsidRPr="005B6D62">
        <w:rPr>
          <w:lang w:val="es-PE"/>
        </w:rPr>
        <w:t xml:space="preserve">) X.39 </w:t>
      </w:r>
    </w:p>
    <w:p w14:paraId="38CE81AB" w14:textId="77777777" w:rsidR="00597DE2" w:rsidRPr="005B6D62" w:rsidRDefault="00597DE2" w:rsidP="00597DE2">
      <w:pPr>
        <w:pStyle w:val="ParrafoApendice"/>
        <w:rPr>
          <w:lang w:val="es-PE"/>
        </w:rPr>
      </w:pPr>
      <w:r w:rsidRPr="005B6D62">
        <w:rPr>
          <w:lang w:val="es-PE"/>
        </w:rPr>
        <w:t>no–reflexión (</w:t>
      </w:r>
      <w:proofErr w:type="spellStart"/>
      <w:r w:rsidRPr="005B6D62">
        <w:rPr>
          <w:i/>
          <w:iCs/>
          <w:lang w:val="es-PE"/>
        </w:rPr>
        <w:t>appaṭisaṅkhā</w:t>
      </w:r>
      <w:proofErr w:type="spellEnd"/>
      <w:r w:rsidRPr="005B6D62">
        <w:rPr>
          <w:lang w:val="es-PE"/>
        </w:rPr>
        <w:t>) I.140</w:t>
      </w:r>
    </w:p>
    <w:p w14:paraId="65514D11" w14:textId="77777777" w:rsidR="00597DE2" w:rsidRPr="005B6D62" w:rsidRDefault="00597DE2" w:rsidP="00597DE2">
      <w:pPr>
        <w:pStyle w:val="ParrafoApendice"/>
        <w:rPr>
          <w:lang w:val="es-PE"/>
        </w:rPr>
      </w:pPr>
      <w:r w:rsidRPr="005B6D62">
        <w:rPr>
          <w:lang w:val="es-PE"/>
        </w:rPr>
        <w:t>no–remordimiento (</w:t>
      </w:r>
      <w:proofErr w:type="spellStart"/>
      <w:r w:rsidRPr="005B6D62">
        <w:rPr>
          <w:i/>
          <w:iCs/>
          <w:lang w:val="es-PE"/>
        </w:rPr>
        <w:t>avippaṭisāra</w:t>
      </w:r>
      <w:proofErr w:type="spellEnd"/>
      <w:r w:rsidRPr="005B6D62">
        <w:rPr>
          <w:lang w:val="es-PE"/>
        </w:rPr>
        <w:t xml:space="preserve">) I.23, 32, 140 </w:t>
      </w:r>
    </w:p>
    <w:p w14:paraId="7B067E1B" w14:textId="77777777" w:rsidR="00597DE2" w:rsidRPr="005B6D62" w:rsidRDefault="00597DE2" w:rsidP="00597DE2">
      <w:pPr>
        <w:pStyle w:val="ParrafoApendice"/>
        <w:rPr>
          <w:lang w:val="es-PE"/>
        </w:rPr>
      </w:pPr>
      <w:r w:rsidRPr="005B6D62">
        <w:rPr>
          <w:lang w:val="es-PE"/>
        </w:rPr>
        <w:t>no–retornante (</w:t>
      </w:r>
      <w:proofErr w:type="spellStart"/>
      <w:r w:rsidRPr="005B6D62">
        <w:rPr>
          <w:i/>
          <w:iCs/>
          <w:lang w:val="es-PE"/>
        </w:rPr>
        <w:t>anāgāmin</w:t>
      </w:r>
      <w:proofErr w:type="spellEnd"/>
      <w:r w:rsidRPr="005B6D62">
        <w:rPr>
          <w:lang w:val="es-PE"/>
        </w:rPr>
        <w:t>) I.14, 140; III.128; XIV.206; XXII.2s., 21, 28s., 45; XXIII.7, 18, 25, 28, 56s.</w:t>
      </w:r>
    </w:p>
    <w:p w14:paraId="4320D874" w14:textId="77777777" w:rsidR="00597DE2" w:rsidRPr="005B6D62" w:rsidRDefault="00597DE2" w:rsidP="00597DE2">
      <w:pPr>
        <w:pStyle w:val="ParrafoApendice"/>
        <w:rPr>
          <w:lang w:val="es-PE"/>
        </w:rPr>
      </w:pPr>
      <w:r w:rsidRPr="005B6D62">
        <w:rPr>
          <w:lang w:val="es-PE"/>
        </w:rPr>
        <w:t>no–tan–clasificable (</w:t>
      </w:r>
      <w:proofErr w:type="spellStart"/>
      <w:r w:rsidRPr="005B6D62">
        <w:rPr>
          <w:i/>
          <w:iCs/>
          <w:lang w:val="es-PE"/>
        </w:rPr>
        <w:t>na</w:t>
      </w:r>
      <w:proofErr w:type="spellEnd"/>
      <w:r w:rsidRPr="005B6D62">
        <w:rPr>
          <w:i/>
          <w:iCs/>
          <w:lang w:val="es-PE"/>
        </w:rPr>
        <w:t>–</w:t>
      </w:r>
      <w:proofErr w:type="spellStart"/>
      <w:r w:rsidRPr="005B6D62">
        <w:rPr>
          <w:i/>
          <w:iCs/>
          <w:lang w:val="es-PE"/>
        </w:rPr>
        <w:t>vattabba</w:t>
      </w:r>
      <w:proofErr w:type="spellEnd"/>
      <w:r w:rsidRPr="005B6D62">
        <w:rPr>
          <w:lang w:val="es-PE"/>
        </w:rPr>
        <w:t>) III.</w:t>
      </w:r>
      <w:r w:rsidRPr="005B6D62">
        <w:rPr>
          <w:color w:val="833C0B" w:themeColor="accent2" w:themeShade="80"/>
          <w:u w:color="000000"/>
          <w:lang w:val="es-PE"/>
        </w:rPr>
        <w:t>117, n.33</w:t>
      </w:r>
      <w:r w:rsidRPr="005B6D62">
        <w:rPr>
          <w:lang w:val="es-PE"/>
        </w:rPr>
        <w:t xml:space="preserve">; XVII.134 </w:t>
      </w:r>
    </w:p>
    <w:p w14:paraId="5E1CC3B7" w14:textId="77777777" w:rsidR="00597DE2" w:rsidRPr="005B6D62" w:rsidRDefault="00597DE2" w:rsidP="00597DE2">
      <w:pPr>
        <w:pStyle w:val="ParrafoApendice"/>
        <w:rPr>
          <w:lang w:val="es-PE"/>
        </w:rPr>
      </w:pPr>
      <w:r w:rsidRPr="005B6D62">
        <w:rPr>
          <w:lang w:val="es-PE"/>
        </w:rPr>
        <w:t>no–transgresión (</w:t>
      </w:r>
      <w:proofErr w:type="spellStart"/>
      <w:r w:rsidRPr="005B6D62">
        <w:rPr>
          <w:i/>
          <w:iCs/>
          <w:lang w:val="es-PE"/>
        </w:rPr>
        <w:t>avītikkama</w:t>
      </w:r>
      <w:proofErr w:type="spellEnd"/>
      <w:r w:rsidRPr="005B6D62">
        <w:rPr>
          <w:lang w:val="es-PE"/>
        </w:rPr>
        <w:t xml:space="preserve">) I.17s., 41, 140 </w:t>
      </w:r>
    </w:p>
    <w:p w14:paraId="108D1AB3" w14:textId="77777777" w:rsidR="00597DE2" w:rsidRPr="005B6D62" w:rsidRDefault="00597DE2" w:rsidP="00597DE2">
      <w:pPr>
        <w:pStyle w:val="ParrafoApendice"/>
        <w:rPr>
          <w:lang w:val="es-PE"/>
        </w:rPr>
      </w:pPr>
      <w:r w:rsidRPr="005B6D62">
        <w:rPr>
          <w:lang w:val="es-PE"/>
        </w:rPr>
        <w:t>novicio (</w:t>
      </w:r>
      <w:proofErr w:type="spellStart"/>
      <w:r w:rsidRPr="005B6D62">
        <w:rPr>
          <w:i/>
          <w:iCs/>
          <w:lang w:val="es-PE"/>
        </w:rPr>
        <w:t>sāmaṇera</w:t>
      </w:r>
      <w:proofErr w:type="spellEnd"/>
      <w:r w:rsidRPr="005B6D62">
        <w:rPr>
          <w:lang w:val="es-PE"/>
        </w:rPr>
        <w:t xml:space="preserve">) I.40; II.92 </w:t>
      </w:r>
    </w:p>
    <w:p w14:paraId="104608FE" w14:textId="77777777" w:rsidR="00597DE2" w:rsidRPr="00666FCA" w:rsidRDefault="00597DE2" w:rsidP="00597DE2">
      <w:pPr>
        <w:pStyle w:val="ParrafoApendice"/>
        <w:rPr>
          <w:lang w:val="es-PE"/>
        </w:rPr>
      </w:pPr>
      <w:r w:rsidRPr="00666FCA">
        <w:rPr>
          <w:lang w:val="es-PE"/>
        </w:rPr>
        <w:t>no</w:t>
      </w:r>
      <w:r w:rsidRPr="002D23EC">
        <w:rPr>
          <w:rFonts w:cs="Cormorant"/>
          <w:lang w:val="es-PE"/>
        </w:rPr>
        <w:t>‒</w:t>
      </w:r>
      <w:r w:rsidRPr="00666FCA">
        <w:rPr>
          <w:lang w:val="es-PE"/>
        </w:rPr>
        <w:t>visto</w:t>
      </w:r>
      <w:r>
        <w:rPr>
          <w:lang w:val="es-PE"/>
        </w:rPr>
        <w:t>/a</w:t>
      </w:r>
      <w:r w:rsidRPr="00666FCA">
        <w:rPr>
          <w:lang w:val="es-PE"/>
        </w:rPr>
        <w:t xml:space="preserve"> (</w:t>
      </w:r>
      <w:proofErr w:type="spellStart"/>
      <w:r w:rsidRPr="00666FCA">
        <w:rPr>
          <w:i/>
          <w:iCs/>
          <w:lang w:val="es-PE"/>
        </w:rPr>
        <w:t>adiṭṭha</w:t>
      </w:r>
      <w:proofErr w:type="spellEnd"/>
      <w:r w:rsidRPr="00666FCA">
        <w:rPr>
          <w:lang w:val="es-PE"/>
        </w:rPr>
        <w:t xml:space="preserve">) XVII.202; XXI.17, 21 </w:t>
      </w:r>
    </w:p>
    <w:p w14:paraId="69D3A215" w14:textId="77777777" w:rsidR="00597DE2" w:rsidRPr="005B6D62" w:rsidRDefault="00597DE2" w:rsidP="00597DE2">
      <w:pPr>
        <w:pStyle w:val="ParrafoApendice"/>
        <w:rPr>
          <w:lang w:val="es-PE"/>
        </w:rPr>
      </w:pPr>
      <w:r w:rsidRPr="005B6D62">
        <w:rPr>
          <w:lang w:val="es-PE"/>
        </w:rPr>
        <w:t>núcleo (</w:t>
      </w:r>
      <w:proofErr w:type="spellStart"/>
      <w:r w:rsidRPr="005B6D62">
        <w:rPr>
          <w:i/>
          <w:iCs/>
          <w:lang w:val="es-PE"/>
        </w:rPr>
        <w:t>sāra</w:t>
      </w:r>
      <w:proofErr w:type="spellEnd"/>
      <w:r w:rsidRPr="005B6D62">
        <w:rPr>
          <w:lang w:val="es-PE"/>
        </w:rPr>
        <w:t xml:space="preserve">) </w:t>
      </w:r>
      <w:r w:rsidRPr="005B6D62">
        <w:rPr>
          <w:strike/>
          <w:color w:val="833C0B" w:themeColor="accent2" w:themeShade="80"/>
          <w:u w:color="000000"/>
          <w:lang w:val="es-PE"/>
        </w:rPr>
        <w:t>I.140</w:t>
      </w:r>
      <w:r w:rsidRPr="005B6D62">
        <w:rPr>
          <w:lang w:val="es-PE"/>
        </w:rPr>
        <w:t xml:space="preserve">; XIV.91; XX.16, 90; XXI.56, 59; XXII.118 </w:t>
      </w:r>
    </w:p>
    <w:p w14:paraId="76FDE71A" w14:textId="77777777" w:rsidR="00597DE2" w:rsidRPr="005B6D62" w:rsidRDefault="00597DE2" w:rsidP="00597DE2">
      <w:pPr>
        <w:pStyle w:val="ParrafoApendice"/>
        <w:rPr>
          <w:lang w:val="es-PE"/>
        </w:rPr>
      </w:pPr>
      <w:r w:rsidRPr="005B6D62">
        <w:rPr>
          <w:lang w:val="es-PE"/>
        </w:rPr>
        <w:t>nutrimento (</w:t>
      </w:r>
      <w:proofErr w:type="spellStart"/>
      <w:r w:rsidRPr="005B6D62">
        <w:rPr>
          <w:i/>
          <w:iCs/>
          <w:lang w:val="es-PE"/>
        </w:rPr>
        <w:t>āhāra</w:t>
      </w:r>
      <w:proofErr w:type="spellEnd"/>
      <w:r w:rsidRPr="005B6D62">
        <w:rPr>
          <w:lang w:val="es-PE"/>
        </w:rPr>
        <w:t xml:space="preserve">) I.89; IV.52, 63; VII.37s., n.13; VIII.27s.; XI.1s., 111; XIV.47, 75, 79, 188, 226s.; XVI.92; XVII.66, 90, 194; XVIII.5; XIX.9; XX.27, 68, 97; </w:t>
      </w:r>
      <w:r w:rsidRPr="005B6D62">
        <w:rPr>
          <w:i/>
          <w:iCs/>
          <w:lang w:val="es-PE"/>
        </w:rPr>
        <w:t>originado por el n.</w:t>
      </w:r>
      <w:r w:rsidRPr="005B6D62">
        <w:rPr>
          <w:lang w:val="es-PE"/>
        </w:rPr>
        <w:t xml:space="preserve"> (</w:t>
      </w:r>
      <w:proofErr w:type="spellStart"/>
      <w:r w:rsidRPr="005B6D62">
        <w:rPr>
          <w:i/>
          <w:iCs/>
          <w:lang w:val="es-PE"/>
        </w:rPr>
        <w:t>āhārasamuṭṭhāna</w:t>
      </w:r>
      <w:proofErr w:type="spellEnd"/>
      <w:r w:rsidRPr="005B6D62">
        <w:rPr>
          <w:lang w:val="es-PE"/>
        </w:rPr>
        <w:t xml:space="preserve">) XI.111; XVII.194; XIX.9; XX.29, 35s. </w:t>
      </w:r>
    </w:p>
    <w:p w14:paraId="0597CABB" w14:textId="77777777" w:rsidR="00597DE2" w:rsidRPr="005B6D62" w:rsidRDefault="00597DE2" w:rsidP="00597DE2">
      <w:pPr>
        <w:pStyle w:val="ParrafoApendice"/>
        <w:rPr>
          <w:lang w:val="es-PE"/>
        </w:rPr>
      </w:pPr>
      <w:r w:rsidRPr="00F53DA3">
        <w:rPr>
          <w:lang w:val="es-PE"/>
        </w:rPr>
        <w:t>nutrimento físico</w:t>
      </w:r>
      <w:r w:rsidRPr="005B6D62">
        <w:rPr>
          <w:lang w:val="es-PE"/>
        </w:rPr>
        <w:t xml:space="preserve"> (</w:t>
      </w:r>
      <w:proofErr w:type="spellStart"/>
      <w:r w:rsidRPr="005B6D62">
        <w:rPr>
          <w:i/>
          <w:iCs/>
          <w:lang w:val="es-PE"/>
        </w:rPr>
        <w:t>kabaliṅkārāhāra</w:t>
      </w:r>
      <w:proofErr w:type="spellEnd"/>
      <w:r w:rsidRPr="005B6D62">
        <w:rPr>
          <w:lang w:val="es-PE"/>
        </w:rPr>
        <w:t xml:space="preserve">) XI.1; XIV.70, 226 </w:t>
      </w:r>
    </w:p>
    <w:p w14:paraId="2B492C32" w14:textId="77777777" w:rsidR="00597DE2" w:rsidRPr="005B6D62" w:rsidRDefault="00597DE2" w:rsidP="00597DE2">
      <w:pPr>
        <w:pStyle w:val="ParrafoApendice"/>
        <w:rPr>
          <w:lang w:val="es-PE"/>
        </w:rPr>
      </w:pPr>
      <w:r w:rsidRPr="005B6D62">
        <w:rPr>
          <w:lang w:val="es-PE"/>
        </w:rPr>
        <w:t>objecto (</w:t>
      </w:r>
      <w:proofErr w:type="spellStart"/>
      <w:r w:rsidRPr="005B6D62">
        <w:rPr>
          <w:i/>
          <w:iCs/>
          <w:lang w:val="es-PE"/>
        </w:rPr>
        <w:t>ārammaṇa</w:t>
      </w:r>
      <w:proofErr w:type="spellEnd"/>
      <w:r w:rsidRPr="005B6D62">
        <w:rPr>
          <w:lang w:val="es-PE"/>
        </w:rPr>
        <w:t>) I.2</w:t>
      </w:r>
      <w:r w:rsidRPr="005B6D62">
        <w:rPr>
          <w:color w:val="833C0B" w:themeColor="accent2" w:themeShade="80"/>
          <w:u w:color="000000"/>
          <w:lang w:val="es-PE"/>
        </w:rPr>
        <w:t>s.</w:t>
      </w:r>
      <w:r w:rsidRPr="005B6D62">
        <w:rPr>
          <w:lang w:val="es-PE"/>
        </w:rPr>
        <w:t xml:space="preserve">, 53, 57; III.3, 5, 20, 108, 112; IV.74; VIII.40, 226s., 236; IX.102; X.15, 28; XIII.2, 73s., 122; XIV.15, 96, 111s., 128, 139, 147, 150, 163, 201; XV.4; XVI.104; XVII.52, 66, 71, 127, 134s.; XVIII.17, 21, n.4; XIX.8; XX.9, 43; XXI.n.3; XXII.4, 20, 44, 82, 89, 118; XXIII.10; </w:t>
      </w:r>
      <w:r w:rsidRPr="005B6D62">
        <w:rPr>
          <w:i/>
          <w:iCs/>
          <w:lang w:val="es-PE"/>
        </w:rPr>
        <w:t>tríada de o.</w:t>
      </w:r>
      <w:r w:rsidRPr="005B6D62">
        <w:rPr>
          <w:lang w:val="es-PE"/>
        </w:rPr>
        <w:t xml:space="preserve"> (</w:t>
      </w:r>
      <w:proofErr w:type="spellStart"/>
      <w:r w:rsidRPr="005B6D62">
        <w:rPr>
          <w:i/>
          <w:iCs/>
          <w:lang w:val="es-PE"/>
        </w:rPr>
        <w:t>ārammaṇa</w:t>
      </w:r>
      <w:proofErr w:type="spellEnd"/>
      <w:r w:rsidRPr="005B6D62">
        <w:rPr>
          <w:i/>
          <w:iCs/>
          <w:lang w:val="es-PE"/>
        </w:rPr>
        <w:t>–</w:t>
      </w:r>
      <w:proofErr w:type="spellStart"/>
      <w:r w:rsidRPr="005B6D62">
        <w:rPr>
          <w:i/>
          <w:iCs/>
          <w:lang w:val="es-PE"/>
        </w:rPr>
        <w:t>ttika</w:t>
      </w:r>
      <w:proofErr w:type="spellEnd"/>
      <w:r w:rsidRPr="005B6D62">
        <w:rPr>
          <w:lang w:val="es-PE"/>
        </w:rPr>
        <w:t>) XIII.104s.</w:t>
      </w:r>
    </w:p>
    <w:p w14:paraId="31313FD9" w14:textId="77777777" w:rsidR="00597DE2" w:rsidRPr="005B6D62" w:rsidRDefault="00597DE2" w:rsidP="00597DE2">
      <w:pPr>
        <w:pStyle w:val="ParrafoApendice"/>
        <w:rPr>
          <w:lang w:val="es-PE"/>
        </w:rPr>
      </w:pPr>
      <w:r w:rsidRPr="005B6D62">
        <w:rPr>
          <w:lang w:val="es-PE"/>
        </w:rPr>
        <w:t>objeto de meditación (</w:t>
      </w:r>
      <w:proofErr w:type="spellStart"/>
      <w:r w:rsidRPr="005B6D62">
        <w:rPr>
          <w:i/>
          <w:iCs/>
          <w:lang w:val="es-PE"/>
        </w:rPr>
        <w:t>kammaṭṭhāna</w:t>
      </w:r>
      <w:proofErr w:type="spellEnd"/>
      <w:r w:rsidRPr="005B6D62">
        <w:rPr>
          <w:lang w:val="es-PE"/>
        </w:rPr>
        <w:t xml:space="preserve">) III.57, 103s., XI.119; XIV.28 </w:t>
      </w:r>
    </w:p>
    <w:p w14:paraId="496B3ED3" w14:textId="77777777" w:rsidR="00597DE2" w:rsidRPr="00A56A53" w:rsidRDefault="00597DE2" w:rsidP="00597DE2">
      <w:pPr>
        <w:pStyle w:val="ParrafoApendice"/>
        <w:rPr>
          <w:lang w:val="es-PE"/>
        </w:rPr>
      </w:pPr>
      <w:r w:rsidRPr="00A56A53">
        <w:rPr>
          <w:lang w:val="es-PE"/>
        </w:rPr>
        <w:t>objeto tangible (</w:t>
      </w:r>
      <w:proofErr w:type="spellStart"/>
      <w:r w:rsidRPr="00A56A53">
        <w:rPr>
          <w:i/>
          <w:iCs/>
          <w:lang w:val="es-PE"/>
        </w:rPr>
        <w:t>phoṭṭhabba</w:t>
      </w:r>
      <w:proofErr w:type="spellEnd"/>
      <w:r w:rsidRPr="00A56A53">
        <w:rPr>
          <w:lang w:val="es-PE"/>
        </w:rPr>
        <w:t xml:space="preserve">) XIV.128, n.32; XVIII.11; </w:t>
      </w:r>
      <w:r w:rsidRPr="00792A94">
        <w:rPr>
          <w:i/>
          <w:iCs/>
          <w:lang w:val="es-PE"/>
        </w:rPr>
        <w:t>base de o. t.</w:t>
      </w:r>
      <w:r>
        <w:rPr>
          <w:lang w:val="es-PE"/>
        </w:rPr>
        <w:t xml:space="preserve"> </w:t>
      </w:r>
      <w:r w:rsidRPr="00A56A53">
        <w:rPr>
          <w:lang w:val="es-PE"/>
        </w:rPr>
        <w:t>(</w:t>
      </w:r>
      <w:proofErr w:type="spellStart"/>
      <w:r w:rsidRPr="00792A94">
        <w:rPr>
          <w:i/>
          <w:iCs/>
          <w:lang w:val="es-PE"/>
        </w:rPr>
        <w:t>phoṭṭhabbāyatana</w:t>
      </w:r>
      <w:proofErr w:type="spellEnd"/>
      <w:r w:rsidRPr="00A56A53">
        <w:rPr>
          <w:lang w:val="es-PE"/>
        </w:rPr>
        <w:t xml:space="preserve">) XV.3; </w:t>
      </w:r>
      <w:r w:rsidRPr="00AC4741">
        <w:rPr>
          <w:i/>
          <w:iCs/>
          <w:lang w:val="es-PE"/>
        </w:rPr>
        <w:t>elemento del o. t.</w:t>
      </w:r>
      <w:r w:rsidRPr="00A56A53">
        <w:rPr>
          <w:lang w:val="es-PE"/>
        </w:rPr>
        <w:t xml:space="preserve"> (</w:t>
      </w:r>
      <w:proofErr w:type="spellStart"/>
      <w:r w:rsidRPr="00AC4741">
        <w:rPr>
          <w:i/>
          <w:iCs/>
          <w:lang w:val="es-PE"/>
        </w:rPr>
        <w:t>phoṭṭhabba</w:t>
      </w:r>
      <w:proofErr w:type="spellEnd"/>
      <w:r w:rsidRPr="00AC4741">
        <w:rPr>
          <w:i/>
          <w:iCs/>
          <w:lang w:val="es-PE"/>
        </w:rPr>
        <w:t>–</w:t>
      </w:r>
      <w:proofErr w:type="spellStart"/>
      <w:r w:rsidRPr="00AC4741">
        <w:rPr>
          <w:i/>
          <w:iCs/>
          <w:lang w:val="es-PE"/>
        </w:rPr>
        <w:t>dhātu</w:t>
      </w:r>
      <w:proofErr w:type="spellEnd"/>
      <w:r w:rsidRPr="00A56A53">
        <w:rPr>
          <w:lang w:val="es-PE"/>
        </w:rPr>
        <w:t>) XV.17, 30</w:t>
      </w:r>
    </w:p>
    <w:p w14:paraId="3255FA12" w14:textId="77777777" w:rsidR="00597DE2" w:rsidRPr="005B6D62" w:rsidRDefault="00597DE2" w:rsidP="00597DE2">
      <w:pPr>
        <w:pStyle w:val="ParrafoApendice"/>
        <w:rPr>
          <w:lang w:val="es-PE"/>
        </w:rPr>
      </w:pPr>
      <w:r>
        <w:rPr>
          <w:lang w:val="es-PE"/>
        </w:rPr>
        <w:t xml:space="preserve">objeto </w:t>
      </w:r>
      <w:r w:rsidRPr="005B6D62">
        <w:rPr>
          <w:lang w:val="es-PE"/>
        </w:rPr>
        <w:t>visible (</w:t>
      </w:r>
      <w:r w:rsidRPr="00A5270A">
        <w:rPr>
          <w:i/>
          <w:iCs/>
          <w:lang w:val="es-PE"/>
        </w:rPr>
        <w:t>rūpa</w:t>
      </w:r>
      <w:r w:rsidRPr="005B6D62">
        <w:rPr>
          <w:lang w:val="es-PE"/>
        </w:rPr>
        <w:t xml:space="preserve">) I.20, 53, 57, n.14; III.109; VII.28; X.16; XIII.101; XIV.54, 74, 96, 99, 107, 115, 134; XVII.127, 180; XVIII.11; XX.44; </w:t>
      </w:r>
      <w:r>
        <w:rPr>
          <w:i/>
          <w:iCs/>
          <w:lang w:val="es-PE"/>
        </w:rPr>
        <w:t>base del objeto visible</w:t>
      </w:r>
      <w:r w:rsidRPr="005B6D62">
        <w:rPr>
          <w:lang w:val="es-PE"/>
        </w:rPr>
        <w:t xml:space="preserve"> (</w:t>
      </w:r>
      <w:proofErr w:type="spellStart"/>
      <w:r w:rsidRPr="009C52DB">
        <w:rPr>
          <w:i/>
          <w:iCs/>
          <w:lang w:val="es-PE"/>
        </w:rPr>
        <w:t>rūpāyatana</w:t>
      </w:r>
      <w:proofErr w:type="spellEnd"/>
      <w:r w:rsidRPr="005B6D62">
        <w:rPr>
          <w:lang w:val="es-PE"/>
        </w:rPr>
        <w:t xml:space="preserve">) XIV.76; XV.3; </w:t>
      </w:r>
      <w:r>
        <w:rPr>
          <w:i/>
          <w:iCs/>
          <w:lang w:val="es-PE"/>
        </w:rPr>
        <w:t>elemento del objeto visible</w:t>
      </w:r>
      <w:r w:rsidRPr="005B6D62">
        <w:rPr>
          <w:lang w:val="es-PE"/>
        </w:rPr>
        <w:t xml:space="preserve"> (</w:t>
      </w:r>
      <w:r w:rsidRPr="00EB76D7">
        <w:rPr>
          <w:i/>
          <w:iCs/>
          <w:lang w:val="es-PE"/>
        </w:rPr>
        <w:t>rūpa–</w:t>
      </w:r>
      <w:proofErr w:type="spellStart"/>
      <w:r w:rsidRPr="00EB76D7">
        <w:rPr>
          <w:i/>
          <w:iCs/>
          <w:lang w:val="es-PE"/>
        </w:rPr>
        <w:t>dhātu</w:t>
      </w:r>
      <w:proofErr w:type="spellEnd"/>
      <w:r w:rsidRPr="005B6D62">
        <w:rPr>
          <w:lang w:val="es-PE"/>
        </w:rPr>
        <w:t xml:space="preserve">) XV.17 </w:t>
      </w:r>
    </w:p>
    <w:p w14:paraId="27676114" w14:textId="77777777" w:rsidR="00597DE2" w:rsidRPr="005B6D62" w:rsidRDefault="00597DE2" w:rsidP="00597DE2">
      <w:pPr>
        <w:pStyle w:val="ParrafoApendice"/>
        <w:rPr>
          <w:lang w:val="es-PE"/>
        </w:rPr>
      </w:pPr>
      <w:r w:rsidRPr="005B6D62">
        <w:rPr>
          <w:lang w:val="es-PE"/>
        </w:rPr>
        <w:t>obsesión (</w:t>
      </w:r>
      <w:proofErr w:type="spellStart"/>
      <w:r w:rsidRPr="005B6D62">
        <w:rPr>
          <w:i/>
          <w:iCs/>
          <w:lang w:val="es-PE"/>
        </w:rPr>
        <w:t>pariyuṭṭhāna</w:t>
      </w:r>
      <w:proofErr w:type="spellEnd"/>
      <w:r w:rsidRPr="005B6D62">
        <w:rPr>
          <w:lang w:val="es-PE"/>
        </w:rPr>
        <w:t>) I.13; VII.</w:t>
      </w:r>
      <w:r w:rsidRPr="005B6D62">
        <w:rPr>
          <w:color w:val="833C0B" w:themeColor="accent2" w:themeShade="80"/>
          <w:u w:color="000000"/>
          <w:lang w:val="es-PE"/>
        </w:rPr>
        <w:t>66</w:t>
      </w:r>
      <w:r w:rsidRPr="005B6D62">
        <w:rPr>
          <w:lang w:val="es-PE"/>
        </w:rPr>
        <w:t xml:space="preserve">; XVI.85 </w:t>
      </w:r>
    </w:p>
    <w:p w14:paraId="4403FC41" w14:textId="77777777" w:rsidR="00597DE2" w:rsidRPr="005B6D62" w:rsidRDefault="00597DE2" w:rsidP="00597DE2">
      <w:pPr>
        <w:pStyle w:val="ParrafoApendice"/>
        <w:rPr>
          <w:lang w:val="es-PE"/>
        </w:rPr>
      </w:pPr>
      <w:r w:rsidRPr="005B6D62">
        <w:rPr>
          <w:lang w:val="es-PE"/>
        </w:rPr>
        <w:t>ocasión (</w:t>
      </w:r>
      <w:proofErr w:type="spellStart"/>
      <w:r w:rsidRPr="005B6D62">
        <w:rPr>
          <w:i/>
          <w:iCs/>
          <w:lang w:val="es-PE"/>
        </w:rPr>
        <w:t>samaya</w:t>
      </w:r>
      <w:proofErr w:type="spellEnd"/>
      <w:r w:rsidRPr="005B6D62">
        <w:rPr>
          <w:lang w:val="es-PE"/>
        </w:rPr>
        <w:t xml:space="preserve">) VII.n.1 </w:t>
      </w:r>
    </w:p>
    <w:p w14:paraId="67F12819" w14:textId="77777777" w:rsidR="00597DE2" w:rsidRPr="005B6D62" w:rsidRDefault="00597DE2" w:rsidP="00597DE2">
      <w:pPr>
        <w:pStyle w:val="ParrafoApendice"/>
        <w:rPr>
          <w:lang w:val="es-PE"/>
        </w:rPr>
      </w:pPr>
      <w:r w:rsidRPr="005B6D62">
        <w:rPr>
          <w:lang w:val="es-PE"/>
        </w:rPr>
        <w:t>óctuple sendero (</w:t>
      </w:r>
      <w:proofErr w:type="spellStart"/>
      <w:r w:rsidRPr="005B6D62">
        <w:rPr>
          <w:i/>
          <w:iCs/>
          <w:lang w:val="es-PE"/>
        </w:rPr>
        <w:t>aṭṭhaṅgika</w:t>
      </w:r>
      <w:proofErr w:type="spellEnd"/>
      <w:r w:rsidRPr="005B6D62">
        <w:rPr>
          <w:i/>
          <w:iCs/>
          <w:lang w:val="es-PE"/>
        </w:rPr>
        <w:t>–</w:t>
      </w:r>
      <w:proofErr w:type="spellStart"/>
      <w:r w:rsidRPr="005B6D62">
        <w:rPr>
          <w:i/>
          <w:iCs/>
          <w:lang w:val="es-PE"/>
        </w:rPr>
        <w:t>magga</w:t>
      </w:r>
      <w:proofErr w:type="spellEnd"/>
      <w:r w:rsidRPr="005B6D62">
        <w:rPr>
          <w:lang w:val="es-PE"/>
        </w:rPr>
        <w:t xml:space="preserve">) XVI.75s., 95; XXII.33 </w:t>
      </w:r>
    </w:p>
    <w:p w14:paraId="299C22CC" w14:textId="77777777" w:rsidR="00597DE2" w:rsidRPr="005B6D62" w:rsidRDefault="00597DE2" w:rsidP="00597DE2">
      <w:pPr>
        <w:pStyle w:val="ParrafoApendice"/>
        <w:rPr>
          <w:lang w:val="es-PE"/>
        </w:rPr>
      </w:pPr>
      <w:r w:rsidRPr="005B6D62">
        <w:rPr>
          <w:lang w:val="es-PE"/>
        </w:rPr>
        <w:t>óctuplo (</w:t>
      </w:r>
      <w:proofErr w:type="spellStart"/>
      <w:r w:rsidRPr="005B6D62">
        <w:rPr>
          <w:i/>
          <w:iCs/>
          <w:lang w:val="es-PE"/>
        </w:rPr>
        <w:t>aṭṭhaka</w:t>
      </w:r>
      <w:proofErr w:type="spellEnd"/>
      <w:r w:rsidRPr="005B6D62">
        <w:rPr>
          <w:i/>
          <w:iCs/>
          <w:lang w:val="es-PE"/>
        </w:rPr>
        <w:t xml:space="preserve">, </w:t>
      </w:r>
      <w:proofErr w:type="spellStart"/>
      <w:r w:rsidRPr="005B6D62">
        <w:rPr>
          <w:i/>
          <w:iCs/>
          <w:lang w:val="es-PE"/>
        </w:rPr>
        <w:t>aṭṭhamaka</w:t>
      </w:r>
      <w:proofErr w:type="spellEnd"/>
      <w:r w:rsidRPr="005B6D62">
        <w:rPr>
          <w:lang w:val="es-PE"/>
        </w:rPr>
        <w:t>) XI.2, 88; XVII.193; XVIII.5s.</w:t>
      </w:r>
      <w:r>
        <w:rPr>
          <w:lang w:val="es-PE"/>
        </w:rPr>
        <w:br w:type="column"/>
      </w:r>
    </w:p>
    <w:p w14:paraId="65EFAC2C" w14:textId="77777777" w:rsidR="00597DE2" w:rsidRPr="005B6D62" w:rsidRDefault="00597DE2" w:rsidP="00597DE2">
      <w:pPr>
        <w:pStyle w:val="ParrafoApendice"/>
        <w:rPr>
          <w:lang w:val="es-PE"/>
        </w:rPr>
      </w:pPr>
      <w:r w:rsidRPr="005B6D62">
        <w:rPr>
          <w:lang w:val="es-PE"/>
        </w:rPr>
        <w:t>o–cualquier–estado (</w:t>
      </w:r>
      <w:r w:rsidRPr="005B6D62">
        <w:rPr>
          <w:i/>
          <w:iCs/>
          <w:lang w:val="es-PE"/>
        </w:rPr>
        <w:t>ye–</w:t>
      </w:r>
      <w:proofErr w:type="spellStart"/>
      <w:r w:rsidRPr="005B6D62">
        <w:rPr>
          <w:i/>
          <w:iCs/>
          <w:lang w:val="es-PE"/>
        </w:rPr>
        <w:t>vā</w:t>
      </w:r>
      <w:proofErr w:type="spellEnd"/>
      <w:r w:rsidRPr="005B6D62">
        <w:rPr>
          <w:i/>
          <w:iCs/>
          <w:lang w:val="es-PE"/>
        </w:rPr>
        <w:t>–</w:t>
      </w:r>
      <w:proofErr w:type="spellStart"/>
      <w:r w:rsidRPr="005B6D62">
        <w:rPr>
          <w:i/>
          <w:iCs/>
          <w:lang w:val="es-PE"/>
        </w:rPr>
        <w:t>panaka</w:t>
      </w:r>
      <w:proofErr w:type="spellEnd"/>
      <w:r w:rsidRPr="005B6D62">
        <w:rPr>
          <w:i/>
          <w:iCs/>
          <w:lang w:val="es-PE"/>
        </w:rPr>
        <w:t>–dhamma</w:t>
      </w:r>
      <w:r w:rsidRPr="005B6D62">
        <w:rPr>
          <w:lang w:val="es-PE"/>
        </w:rPr>
        <w:t>) XIV.133s.</w:t>
      </w:r>
    </w:p>
    <w:p w14:paraId="36ACF970" w14:textId="77777777" w:rsidR="00597DE2" w:rsidRPr="005B6D62" w:rsidRDefault="00597DE2" w:rsidP="00597DE2">
      <w:pPr>
        <w:pStyle w:val="ParrafoApendice"/>
        <w:rPr>
          <w:lang w:val="es-PE"/>
        </w:rPr>
      </w:pPr>
      <w:r w:rsidRPr="005B6D62">
        <w:rPr>
          <w:lang w:val="es-PE"/>
        </w:rPr>
        <w:t>ocurrencia (</w:t>
      </w:r>
      <w:proofErr w:type="spellStart"/>
      <w:r w:rsidRPr="005B6D62">
        <w:rPr>
          <w:i/>
          <w:iCs/>
          <w:lang w:val="es-PE"/>
        </w:rPr>
        <w:t>pavatta</w:t>
      </w:r>
      <w:proofErr w:type="spellEnd"/>
      <w:r w:rsidRPr="005B6D62">
        <w:rPr>
          <w:i/>
          <w:iCs/>
          <w:lang w:val="es-PE"/>
        </w:rPr>
        <w:t xml:space="preserve">, </w:t>
      </w:r>
      <w:proofErr w:type="spellStart"/>
      <w:r w:rsidRPr="005B6D62">
        <w:rPr>
          <w:i/>
          <w:iCs/>
          <w:lang w:val="es-PE"/>
        </w:rPr>
        <w:t>pavatti</w:t>
      </w:r>
      <w:proofErr w:type="spellEnd"/>
      <w:r w:rsidRPr="005B6D62">
        <w:rPr>
          <w:lang w:val="es-PE"/>
        </w:rPr>
        <w:t xml:space="preserve">) XVI.23, 28, 92; XIX.26; XX.40; XXI.27, 33s., 37, 51s., 80, 83; XXII.4s., 44; XXIII.7 </w:t>
      </w:r>
    </w:p>
    <w:p w14:paraId="24EA1548" w14:textId="77777777" w:rsidR="00597DE2" w:rsidRPr="005B6D62" w:rsidRDefault="00597DE2" w:rsidP="00597DE2">
      <w:pPr>
        <w:pStyle w:val="ParrafoApendice"/>
        <w:rPr>
          <w:lang w:val="es-PE"/>
        </w:rPr>
      </w:pPr>
      <w:r w:rsidRPr="005B6D62">
        <w:rPr>
          <w:lang w:val="es-PE"/>
        </w:rPr>
        <w:t>odio, ira, aversión (</w:t>
      </w:r>
      <w:r w:rsidRPr="005B6D62">
        <w:rPr>
          <w:i/>
          <w:iCs/>
          <w:lang w:val="es-PE"/>
        </w:rPr>
        <w:t>dosa</w:t>
      </w:r>
      <w:r w:rsidRPr="005B6D62">
        <w:rPr>
          <w:lang w:val="es-PE"/>
        </w:rPr>
        <w:t>) I.90; II.86; III.74s., 95, 128; IV.87, 192; VII.59; IX.2, 15; XII.63; XIII.64, 77; XIV.89, 92, 170s., 205; XVI.69; XXII.11, 49, 61</w:t>
      </w:r>
    </w:p>
    <w:p w14:paraId="433F2B98" w14:textId="77777777" w:rsidR="00597DE2" w:rsidRPr="005B6D62" w:rsidRDefault="00597DE2" w:rsidP="00597DE2">
      <w:pPr>
        <w:pStyle w:val="ParrafoApendice"/>
        <w:rPr>
          <w:lang w:val="es-PE"/>
        </w:rPr>
      </w:pPr>
      <w:r w:rsidRPr="005B6D62">
        <w:rPr>
          <w:lang w:val="es-PE"/>
        </w:rPr>
        <w:t>ofensa (</w:t>
      </w:r>
      <w:proofErr w:type="spellStart"/>
      <w:r w:rsidRPr="005B6D62">
        <w:rPr>
          <w:i/>
          <w:iCs/>
          <w:lang w:val="es-PE"/>
        </w:rPr>
        <w:t>āpatti</w:t>
      </w:r>
      <w:proofErr w:type="spellEnd"/>
      <w:r w:rsidRPr="005B6D62">
        <w:rPr>
          <w:lang w:val="es-PE"/>
        </w:rPr>
        <w:t xml:space="preserve">) I.60, 125; IV.3 </w:t>
      </w:r>
    </w:p>
    <w:p w14:paraId="69784826" w14:textId="77777777" w:rsidR="00597DE2" w:rsidRPr="005B6D62" w:rsidRDefault="00597DE2" w:rsidP="00597DE2">
      <w:pPr>
        <w:pStyle w:val="ParrafoApendice"/>
        <w:rPr>
          <w:lang w:val="es-PE"/>
        </w:rPr>
      </w:pPr>
      <w:r w:rsidRPr="005B6D62">
        <w:rPr>
          <w:lang w:val="es-PE"/>
        </w:rPr>
        <w:t>ofrenda (</w:t>
      </w:r>
      <w:proofErr w:type="spellStart"/>
      <w:r w:rsidRPr="005B6D62">
        <w:rPr>
          <w:i/>
          <w:iCs/>
          <w:lang w:val="es-PE"/>
        </w:rPr>
        <w:t>piṇḍapāta</w:t>
      </w:r>
      <w:proofErr w:type="spellEnd"/>
      <w:r w:rsidRPr="005B6D62">
        <w:rPr>
          <w:lang w:val="es-PE"/>
        </w:rPr>
        <w:t>) I.68, 89; II.5; comensal–de–o. (</w:t>
      </w:r>
      <w:proofErr w:type="spellStart"/>
      <w:r w:rsidRPr="005B6D62">
        <w:rPr>
          <w:i/>
          <w:iCs/>
          <w:lang w:val="es-PE"/>
        </w:rPr>
        <w:t>piṇḍapātika</w:t>
      </w:r>
      <w:proofErr w:type="spellEnd"/>
      <w:r w:rsidRPr="005B6D62">
        <w:rPr>
          <w:lang w:val="es-PE"/>
        </w:rPr>
        <w:t xml:space="preserve">) II.2s., 27 </w:t>
      </w:r>
    </w:p>
    <w:p w14:paraId="4674C327" w14:textId="77777777" w:rsidR="00597DE2" w:rsidRPr="005B6D62" w:rsidRDefault="00597DE2" w:rsidP="00597DE2">
      <w:pPr>
        <w:pStyle w:val="ParrafoApendice"/>
        <w:rPr>
          <w:lang w:val="es-PE"/>
        </w:rPr>
      </w:pPr>
      <w:r w:rsidRPr="005B6D62">
        <w:rPr>
          <w:lang w:val="es-PE"/>
        </w:rPr>
        <w:t>ogro (</w:t>
      </w:r>
      <w:proofErr w:type="spellStart"/>
      <w:r w:rsidRPr="005B6D62">
        <w:rPr>
          <w:i/>
          <w:iCs/>
          <w:lang w:val="es-PE"/>
        </w:rPr>
        <w:t>rakkhasa</w:t>
      </w:r>
      <w:proofErr w:type="spellEnd"/>
      <w:r w:rsidRPr="005B6D62">
        <w:rPr>
          <w:lang w:val="es-PE"/>
        </w:rPr>
        <w:t xml:space="preserve">) XIII.100 </w:t>
      </w:r>
    </w:p>
    <w:p w14:paraId="086F97D9" w14:textId="77777777" w:rsidR="00597DE2" w:rsidRPr="005B6D62" w:rsidRDefault="00597DE2" w:rsidP="00597DE2">
      <w:pPr>
        <w:pStyle w:val="ParrafoApendice"/>
        <w:rPr>
          <w:lang w:val="es-PE"/>
        </w:rPr>
      </w:pPr>
      <w:r w:rsidRPr="005B6D62">
        <w:rPr>
          <w:lang w:val="es-PE"/>
        </w:rPr>
        <w:t>oído (</w:t>
      </w:r>
      <w:r w:rsidRPr="005B6D62">
        <w:rPr>
          <w:i/>
          <w:iCs/>
          <w:lang w:val="es-PE"/>
        </w:rPr>
        <w:t>sota</w:t>
      </w:r>
      <w:r w:rsidRPr="005B6D62">
        <w:rPr>
          <w:lang w:val="es-PE"/>
        </w:rPr>
        <w:t xml:space="preserve">) XIV.36, 38, 49, 117; XV.3; XX.70; </w:t>
      </w:r>
      <w:r w:rsidRPr="005B6D62">
        <w:rPr>
          <w:i/>
          <w:iCs/>
          <w:lang w:val="es-PE"/>
        </w:rPr>
        <w:t>base del o.</w:t>
      </w:r>
      <w:r w:rsidRPr="005B6D62">
        <w:rPr>
          <w:lang w:val="es-PE"/>
        </w:rPr>
        <w:t xml:space="preserve"> (</w:t>
      </w:r>
      <w:proofErr w:type="spellStart"/>
      <w:r w:rsidRPr="005B6D62">
        <w:rPr>
          <w:i/>
          <w:iCs/>
          <w:lang w:val="es-PE"/>
        </w:rPr>
        <w:t>sotāyatana</w:t>
      </w:r>
      <w:proofErr w:type="spellEnd"/>
      <w:r w:rsidRPr="005B6D62">
        <w:rPr>
          <w:lang w:val="es-PE"/>
        </w:rPr>
        <w:t xml:space="preserve">) XV.3s.; </w:t>
      </w:r>
      <w:r w:rsidRPr="005B6D62">
        <w:rPr>
          <w:i/>
          <w:iCs/>
          <w:lang w:val="es-PE"/>
        </w:rPr>
        <w:t>consciencia del o</w:t>
      </w:r>
      <w:r w:rsidRPr="005B6D62">
        <w:rPr>
          <w:lang w:val="es-PE"/>
        </w:rPr>
        <w:t>. (</w:t>
      </w:r>
      <w:r w:rsidRPr="005B6D62">
        <w:rPr>
          <w:i/>
          <w:iCs/>
          <w:lang w:val="es-PE"/>
        </w:rPr>
        <w:t>sota–viññāṇa</w:t>
      </w:r>
      <w:r w:rsidRPr="005B6D62">
        <w:rPr>
          <w:lang w:val="es-PE"/>
        </w:rPr>
        <w:t xml:space="preserve">) XIV.96s., 101, 117, 179; </w:t>
      </w:r>
      <w:r w:rsidRPr="005B6D62">
        <w:rPr>
          <w:i/>
          <w:iCs/>
          <w:lang w:val="es-PE"/>
        </w:rPr>
        <w:t>elemento de la consciencia auditiva.</w:t>
      </w:r>
      <w:r w:rsidRPr="005B6D62">
        <w:rPr>
          <w:lang w:val="es-PE"/>
        </w:rPr>
        <w:t xml:space="preserve"> (</w:t>
      </w:r>
      <w:r w:rsidRPr="005B6D62">
        <w:rPr>
          <w:i/>
          <w:iCs/>
          <w:lang w:val="es-PE"/>
        </w:rPr>
        <w:t>sota–viññāṇa–</w:t>
      </w:r>
      <w:proofErr w:type="spellStart"/>
      <w:r w:rsidRPr="005B6D62">
        <w:rPr>
          <w:i/>
          <w:iCs/>
          <w:lang w:val="es-PE"/>
        </w:rPr>
        <w:t>dhātu</w:t>
      </w:r>
      <w:proofErr w:type="spellEnd"/>
      <w:r w:rsidRPr="005B6D62">
        <w:rPr>
          <w:lang w:val="es-PE"/>
        </w:rPr>
        <w:t xml:space="preserve">) XV.17s.; </w:t>
      </w:r>
      <w:r w:rsidRPr="005B6D62">
        <w:rPr>
          <w:i/>
          <w:iCs/>
          <w:lang w:val="es-PE"/>
        </w:rPr>
        <w:t>elemento del o</w:t>
      </w:r>
      <w:r w:rsidRPr="005B6D62">
        <w:rPr>
          <w:lang w:val="es-PE"/>
        </w:rPr>
        <w:t>. (</w:t>
      </w:r>
      <w:r w:rsidRPr="005B6D62">
        <w:rPr>
          <w:i/>
          <w:iCs/>
          <w:lang w:val="es-PE"/>
        </w:rPr>
        <w:t>sota</w:t>
      </w:r>
      <w:r w:rsidRPr="005B6D62">
        <w:rPr>
          <w:lang w:val="es-PE"/>
        </w:rPr>
        <w:t>–</w:t>
      </w:r>
      <w:proofErr w:type="spellStart"/>
      <w:r w:rsidRPr="005B6D62">
        <w:rPr>
          <w:i/>
          <w:iCs/>
          <w:lang w:val="es-PE"/>
        </w:rPr>
        <w:t>dhātu</w:t>
      </w:r>
      <w:proofErr w:type="spellEnd"/>
      <w:r w:rsidRPr="005B6D62">
        <w:rPr>
          <w:lang w:val="es-PE"/>
        </w:rPr>
        <w:t>) XIII.2; XV.17s</w:t>
      </w:r>
      <w:r w:rsidRPr="005B6D62">
        <w:rPr>
          <w:i/>
          <w:iCs/>
          <w:lang w:val="es-PE"/>
        </w:rPr>
        <w:t>.; facultad del o</w:t>
      </w:r>
      <w:r w:rsidRPr="005B6D62">
        <w:rPr>
          <w:lang w:val="es-PE"/>
        </w:rPr>
        <w:t>. (</w:t>
      </w:r>
      <w:proofErr w:type="spellStart"/>
      <w:r w:rsidRPr="005B6D62">
        <w:rPr>
          <w:i/>
          <w:iCs/>
          <w:lang w:val="es-PE"/>
        </w:rPr>
        <w:t>sotindriya</w:t>
      </w:r>
      <w:proofErr w:type="spellEnd"/>
      <w:r w:rsidRPr="005B6D62">
        <w:rPr>
          <w:lang w:val="es-PE"/>
        </w:rPr>
        <w:t>) XVI.1</w:t>
      </w:r>
    </w:p>
    <w:p w14:paraId="3C2109CB" w14:textId="77777777" w:rsidR="00597DE2" w:rsidRPr="005B6D62" w:rsidRDefault="00597DE2" w:rsidP="00597DE2">
      <w:pPr>
        <w:pStyle w:val="ParrafoApendice"/>
        <w:rPr>
          <w:lang w:val="es-PE"/>
        </w:rPr>
      </w:pPr>
      <w:r w:rsidRPr="005B6D62">
        <w:rPr>
          <w:lang w:val="es-PE"/>
        </w:rPr>
        <w:t>ojo (</w:t>
      </w:r>
      <w:proofErr w:type="spellStart"/>
      <w:r w:rsidRPr="005B6D62">
        <w:rPr>
          <w:i/>
          <w:iCs/>
          <w:lang w:val="es-PE"/>
        </w:rPr>
        <w:t>cakkhu</w:t>
      </w:r>
      <w:proofErr w:type="spellEnd"/>
      <w:r w:rsidRPr="005B6D62">
        <w:rPr>
          <w:lang w:val="es-PE"/>
        </w:rPr>
        <w:t>) I.42, 53, n.14; VII.27; X.16; XIV.36s., 47, 73, 115, 117, 213; XV.3; XVI.6; XVII.127; XX.6s., 44, 94, XXI.11, 55s., XXIII.22; base visual (</w:t>
      </w:r>
      <w:proofErr w:type="spellStart"/>
      <w:r w:rsidRPr="005B6D62">
        <w:rPr>
          <w:i/>
          <w:iCs/>
          <w:lang w:val="es-PE"/>
        </w:rPr>
        <w:t>cakkhāyatana</w:t>
      </w:r>
      <w:proofErr w:type="spellEnd"/>
      <w:r w:rsidRPr="005B6D62">
        <w:rPr>
          <w:lang w:val="es-PE"/>
        </w:rPr>
        <w:t>) XV.3s.; XVI.10; consciencia visual (</w:t>
      </w:r>
      <w:proofErr w:type="spellStart"/>
      <w:r w:rsidRPr="005B6D62">
        <w:rPr>
          <w:i/>
          <w:iCs/>
          <w:lang w:val="es-PE"/>
        </w:rPr>
        <w:t>cakkhuviññāṇa</w:t>
      </w:r>
      <w:proofErr w:type="spellEnd"/>
      <w:r w:rsidRPr="005B6D62">
        <w:rPr>
          <w:lang w:val="es-PE"/>
        </w:rPr>
        <w:t>) I.57; XIV.47, 54, 95s., 101, 107, 117, 179; XVI.10; XVII.73, n.20; XX.44; elemento de la consciencia visual (</w:t>
      </w:r>
      <w:proofErr w:type="spellStart"/>
      <w:r w:rsidRPr="005B6D62">
        <w:rPr>
          <w:i/>
          <w:iCs/>
          <w:lang w:val="es-PE"/>
        </w:rPr>
        <w:t>cakkhu</w:t>
      </w:r>
      <w:proofErr w:type="spellEnd"/>
      <w:r w:rsidRPr="005B6D62">
        <w:rPr>
          <w:i/>
          <w:iCs/>
          <w:lang w:val="es-PE"/>
        </w:rPr>
        <w:t>–viññāṇa–</w:t>
      </w:r>
      <w:proofErr w:type="spellStart"/>
      <w:r w:rsidRPr="005B6D62">
        <w:rPr>
          <w:i/>
          <w:iCs/>
          <w:lang w:val="es-PE"/>
        </w:rPr>
        <w:t>dhātu</w:t>
      </w:r>
      <w:proofErr w:type="spellEnd"/>
      <w:r w:rsidRPr="005B6D62">
        <w:rPr>
          <w:lang w:val="es-PE"/>
        </w:rPr>
        <w:t>) XV.17; XVI.10; décuplo visual (</w:t>
      </w:r>
      <w:proofErr w:type="spellStart"/>
      <w:r w:rsidRPr="005B6D62">
        <w:rPr>
          <w:i/>
          <w:iCs/>
          <w:lang w:val="es-PE"/>
        </w:rPr>
        <w:t>cakkhu</w:t>
      </w:r>
      <w:proofErr w:type="spellEnd"/>
      <w:r w:rsidRPr="005B6D62">
        <w:rPr>
          <w:i/>
          <w:iCs/>
          <w:lang w:val="es-PE"/>
        </w:rPr>
        <w:t>–</w:t>
      </w:r>
      <w:proofErr w:type="spellStart"/>
      <w:r w:rsidRPr="005B6D62">
        <w:rPr>
          <w:i/>
          <w:iCs/>
          <w:lang w:val="es-PE"/>
        </w:rPr>
        <w:t>dasaka</w:t>
      </w:r>
      <w:proofErr w:type="spellEnd"/>
      <w:r w:rsidRPr="005B6D62">
        <w:rPr>
          <w:lang w:val="es-PE"/>
        </w:rPr>
        <w:t>) XVII.156, 190; puerta visual (</w:t>
      </w:r>
      <w:proofErr w:type="spellStart"/>
      <w:r w:rsidRPr="005B6D62">
        <w:rPr>
          <w:i/>
          <w:iCs/>
          <w:lang w:val="es-PE"/>
        </w:rPr>
        <w:t>cakkhudvāra</w:t>
      </w:r>
      <w:proofErr w:type="spellEnd"/>
      <w:r w:rsidRPr="005B6D62">
        <w:rPr>
          <w:lang w:val="es-PE"/>
        </w:rPr>
        <w:t>) XIII.118; XIV.117; elemento visual (</w:t>
      </w:r>
      <w:proofErr w:type="spellStart"/>
      <w:r w:rsidRPr="005B6D62">
        <w:rPr>
          <w:i/>
          <w:iCs/>
          <w:lang w:val="es-PE"/>
        </w:rPr>
        <w:t>cakkhu</w:t>
      </w:r>
      <w:proofErr w:type="spellEnd"/>
      <w:r w:rsidRPr="005B6D62">
        <w:rPr>
          <w:i/>
          <w:iCs/>
          <w:lang w:val="es-PE"/>
        </w:rPr>
        <w:t>–</w:t>
      </w:r>
      <w:proofErr w:type="spellStart"/>
      <w:r w:rsidRPr="005B6D62">
        <w:rPr>
          <w:i/>
          <w:iCs/>
          <w:lang w:val="es-PE"/>
        </w:rPr>
        <w:t>dhātu</w:t>
      </w:r>
      <w:proofErr w:type="spellEnd"/>
      <w:r w:rsidRPr="005B6D62">
        <w:rPr>
          <w:lang w:val="es-PE"/>
        </w:rPr>
        <w:t>) XV.17; facultad visual (</w:t>
      </w:r>
      <w:proofErr w:type="spellStart"/>
      <w:r w:rsidRPr="005B6D62">
        <w:rPr>
          <w:i/>
          <w:iCs/>
          <w:lang w:val="es-PE"/>
        </w:rPr>
        <w:t>cakkhundriya</w:t>
      </w:r>
      <w:proofErr w:type="spellEnd"/>
      <w:r w:rsidRPr="005B6D62">
        <w:rPr>
          <w:lang w:val="es-PE"/>
        </w:rPr>
        <w:t>) XVI.1</w:t>
      </w:r>
    </w:p>
    <w:p w14:paraId="5A817FCB" w14:textId="77777777" w:rsidR="00597DE2" w:rsidRPr="005B6D62" w:rsidRDefault="00597DE2" w:rsidP="00597DE2">
      <w:pPr>
        <w:pStyle w:val="ParrafoApendice"/>
        <w:rPr>
          <w:lang w:val="es-PE"/>
        </w:rPr>
      </w:pPr>
      <w:r w:rsidRPr="005B6D62">
        <w:rPr>
          <w:lang w:val="es-PE"/>
        </w:rPr>
        <w:t>ojo divino (</w:t>
      </w:r>
      <w:proofErr w:type="spellStart"/>
      <w:r w:rsidRPr="005B6D62">
        <w:rPr>
          <w:i/>
          <w:iCs/>
          <w:lang w:val="es-PE"/>
        </w:rPr>
        <w:t>dibba</w:t>
      </w:r>
      <w:proofErr w:type="spellEnd"/>
      <w:r w:rsidRPr="005B6D62">
        <w:rPr>
          <w:i/>
          <w:iCs/>
          <w:lang w:val="es-PE"/>
        </w:rPr>
        <w:t>–</w:t>
      </w:r>
      <w:proofErr w:type="spellStart"/>
      <w:r w:rsidRPr="005B6D62">
        <w:rPr>
          <w:i/>
          <w:iCs/>
          <w:lang w:val="es-PE"/>
        </w:rPr>
        <w:t>cakkhu</w:t>
      </w:r>
      <w:proofErr w:type="spellEnd"/>
      <w:r w:rsidRPr="005B6D62">
        <w:rPr>
          <w:lang w:val="es-PE"/>
        </w:rPr>
        <w:t xml:space="preserve">) III.109; V.30, 35s.; XII.100, 129, 136; XIII.9, 72s., 80, 124; XX.120 </w:t>
      </w:r>
    </w:p>
    <w:p w14:paraId="351080CA" w14:textId="77777777" w:rsidR="00597DE2" w:rsidRPr="005B6D62" w:rsidRDefault="00597DE2" w:rsidP="00597DE2">
      <w:pPr>
        <w:pStyle w:val="ParrafoApendice"/>
        <w:rPr>
          <w:lang w:val="es-PE"/>
        </w:rPr>
      </w:pPr>
      <w:r w:rsidRPr="005B6D62">
        <w:rPr>
          <w:lang w:val="es-PE"/>
        </w:rPr>
        <w:t>olor (</w:t>
      </w:r>
      <w:proofErr w:type="spellStart"/>
      <w:r w:rsidRPr="005B6D62">
        <w:rPr>
          <w:i/>
          <w:iCs/>
          <w:lang w:val="es-PE"/>
        </w:rPr>
        <w:t>gandha</w:t>
      </w:r>
      <w:proofErr w:type="spellEnd"/>
      <w:r w:rsidRPr="005B6D62">
        <w:rPr>
          <w:lang w:val="es-PE"/>
        </w:rPr>
        <w:t xml:space="preserve">) </w:t>
      </w:r>
      <w:r w:rsidRPr="005B6D62">
        <w:rPr>
          <w:strike/>
          <w:color w:val="833C0B" w:themeColor="accent2" w:themeShade="80"/>
          <w:u w:color="000000"/>
          <w:lang w:val="es-PE"/>
        </w:rPr>
        <w:t>XI.86</w:t>
      </w:r>
      <w:r w:rsidRPr="005B6D62">
        <w:rPr>
          <w:lang w:val="es-PE"/>
        </w:rPr>
        <w:t xml:space="preserve">; XIV.56; XVII.156; XVIII.5, 11; </w:t>
      </w:r>
      <w:r w:rsidRPr="005B6D62">
        <w:rPr>
          <w:i/>
          <w:iCs/>
          <w:lang w:val="es-PE"/>
        </w:rPr>
        <w:t>base olfativa</w:t>
      </w:r>
      <w:r w:rsidRPr="005B6D62">
        <w:rPr>
          <w:lang w:val="es-PE"/>
        </w:rPr>
        <w:t xml:space="preserve"> (</w:t>
      </w:r>
      <w:proofErr w:type="spellStart"/>
      <w:r w:rsidRPr="005B6D62">
        <w:rPr>
          <w:i/>
          <w:iCs/>
          <w:lang w:val="es-PE"/>
        </w:rPr>
        <w:t>gandhāyatana</w:t>
      </w:r>
      <w:proofErr w:type="spellEnd"/>
      <w:r w:rsidRPr="005B6D62">
        <w:rPr>
          <w:lang w:val="es-PE"/>
        </w:rPr>
        <w:t xml:space="preserve">) XV.2; </w:t>
      </w:r>
      <w:r w:rsidRPr="005B6D62">
        <w:rPr>
          <w:i/>
          <w:iCs/>
          <w:lang w:val="es-PE"/>
        </w:rPr>
        <w:t>elemento olfatible</w:t>
      </w:r>
      <w:r w:rsidRPr="005B6D62">
        <w:rPr>
          <w:lang w:val="es-PE"/>
        </w:rPr>
        <w:t xml:space="preserve"> (</w:t>
      </w:r>
      <w:proofErr w:type="spellStart"/>
      <w:r w:rsidRPr="005B6D62">
        <w:rPr>
          <w:i/>
          <w:iCs/>
          <w:lang w:val="es-PE"/>
        </w:rPr>
        <w:t>gandha</w:t>
      </w:r>
      <w:proofErr w:type="spellEnd"/>
      <w:r w:rsidRPr="005B6D62">
        <w:rPr>
          <w:i/>
          <w:iCs/>
          <w:lang w:val="es-PE"/>
        </w:rPr>
        <w:t>–</w:t>
      </w:r>
      <w:proofErr w:type="spellStart"/>
      <w:r w:rsidRPr="005B6D62">
        <w:rPr>
          <w:i/>
          <w:iCs/>
          <w:lang w:val="es-PE"/>
        </w:rPr>
        <w:t>dhātu</w:t>
      </w:r>
      <w:proofErr w:type="spellEnd"/>
      <w:r w:rsidRPr="005B6D62">
        <w:rPr>
          <w:lang w:val="es-PE"/>
        </w:rPr>
        <w:t>) XV.17</w:t>
      </w:r>
    </w:p>
    <w:p w14:paraId="55298A64" w14:textId="77777777" w:rsidR="00597DE2" w:rsidRPr="005B6D62" w:rsidRDefault="00597DE2" w:rsidP="00597DE2">
      <w:pPr>
        <w:pStyle w:val="ParrafoApendice"/>
        <w:rPr>
          <w:lang w:val="es-PE"/>
        </w:rPr>
      </w:pPr>
      <w:r w:rsidRPr="005B6D62">
        <w:rPr>
          <w:lang w:val="es-PE"/>
        </w:rPr>
        <w:t>omnisciencia (</w:t>
      </w:r>
      <w:proofErr w:type="spellStart"/>
      <w:r w:rsidRPr="005B6D62">
        <w:rPr>
          <w:i/>
          <w:iCs/>
          <w:lang w:val="es-PE"/>
        </w:rPr>
        <w:t>sabbaññutā</w:t>
      </w:r>
      <w:proofErr w:type="spellEnd"/>
      <w:r w:rsidRPr="005B6D62">
        <w:rPr>
          <w:lang w:val="es-PE"/>
        </w:rPr>
        <w:t xml:space="preserve">) VI.32; VII.n.7; XII.121 </w:t>
      </w:r>
    </w:p>
    <w:p w14:paraId="35AF0355" w14:textId="77777777" w:rsidR="00597DE2" w:rsidRPr="005B6D62" w:rsidRDefault="00597DE2" w:rsidP="00597DE2">
      <w:pPr>
        <w:pStyle w:val="ParrafoApendice"/>
        <w:rPr>
          <w:lang w:val="es-PE"/>
        </w:rPr>
      </w:pPr>
      <w:r w:rsidRPr="005B6D62">
        <w:rPr>
          <w:lang w:val="es-PE"/>
        </w:rPr>
        <w:t>oponentes, sustitución de los (</w:t>
      </w:r>
      <w:proofErr w:type="spellStart"/>
      <w:r w:rsidRPr="005B6D62">
        <w:rPr>
          <w:i/>
          <w:iCs/>
          <w:lang w:val="es-PE"/>
        </w:rPr>
        <w:t>tadaṅga</w:t>
      </w:r>
      <w:proofErr w:type="spellEnd"/>
      <w:r w:rsidRPr="005B6D62">
        <w:rPr>
          <w:lang w:val="es-PE"/>
        </w:rPr>
        <w:t xml:space="preserve">), ver </w:t>
      </w:r>
      <w:r w:rsidRPr="005B6D62">
        <w:rPr>
          <w:i/>
          <w:iCs/>
          <w:lang w:val="es-PE"/>
        </w:rPr>
        <w:t>sustitución de los o</w:t>
      </w:r>
      <w:r w:rsidRPr="005B6D62">
        <w:rPr>
          <w:lang w:val="es-PE"/>
        </w:rPr>
        <w:t>.</w:t>
      </w:r>
    </w:p>
    <w:p w14:paraId="161FA807" w14:textId="77777777" w:rsidR="00597DE2" w:rsidRPr="005B6D62" w:rsidRDefault="00597DE2" w:rsidP="00597DE2">
      <w:pPr>
        <w:pStyle w:val="ParrafoApendice"/>
        <w:rPr>
          <w:lang w:val="es-PE"/>
        </w:rPr>
      </w:pPr>
      <w:r w:rsidRPr="005B6D62">
        <w:rPr>
          <w:lang w:val="es-PE"/>
        </w:rPr>
        <w:t>orden (</w:t>
      </w:r>
      <w:r w:rsidRPr="005B6D62">
        <w:rPr>
          <w:i/>
          <w:iCs/>
          <w:lang w:val="es-PE"/>
        </w:rPr>
        <w:t>kama</w:t>
      </w:r>
      <w:r w:rsidRPr="005B6D62">
        <w:rPr>
          <w:lang w:val="es-PE"/>
        </w:rPr>
        <w:t xml:space="preserve">) XIV.211; o. de </w:t>
      </w:r>
      <w:proofErr w:type="spellStart"/>
      <w:r w:rsidRPr="005B6D62">
        <w:rPr>
          <w:lang w:val="es-PE"/>
        </w:rPr>
        <w:t>bhikkhus</w:t>
      </w:r>
      <w:proofErr w:type="spellEnd"/>
      <w:r w:rsidRPr="005B6D62">
        <w:rPr>
          <w:lang w:val="es-PE"/>
        </w:rPr>
        <w:t xml:space="preserve"> (</w:t>
      </w:r>
      <w:proofErr w:type="spellStart"/>
      <w:r w:rsidRPr="005B6D62">
        <w:rPr>
          <w:i/>
          <w:iCs/>
          <w:lang w:val="es-PE"/>
        </w:rPr>
        <w:t>bhikkhu</w:t>
      </w:r>
      <w:proofErr w:type="spellEnd"/>
      <w:r w:rsidRPr="005B6D62">
        <w:rPr>
          <w:lang w:val="es-PE"/>
        </w:rPr>
        <w:t>–</w:t>
      </w:r>
      <w:proofErr w:type="spellStart"/>
      <w:r w:rsidRPr="005B6D62">
        <w:rPr>
          <w:i/>
          <w:iCs/>
          <w:lang w:val="es-PE"/>
        </w:rPr>
        <w:t>saṅgha</w:t>
      </w:r>
      <w:proofErr w:type="spellEnd"/>
      <w:r w:rsidRPr="005B6D62">
        <w:rPr>
          <w:lang w:val="es-PE"/>
        </w:rPr>
        <w:t xml:space="preserve">), ver </w:t>
      </w:r>
      <w:r w:rsidRPr="005B6D62">
        <w:rPr>
          <w:i/>
          <w:iCs/>
          <w:lang w:val="es-PE"/>
        </w:rPr>
        <w:t>Comunidad</w:t>
      </w:r>
      <w:r w:rsidRPr="005B6D62">
        <w:rPr>
          <w:lang w:val="es-PE"/>
        </w:rPr>
        <w:t xml:space="preserve">; </w:t>
      </w:r>
      <w:r w:rsidRPr="005B6D62">
        <w:rPr>
          <w:i/>
          <w:iCs/>
          <w:lang w:val="es-PE"/>
        </w:rPr>
        <w:t>o. de seres</w:t>
      </w:r>
      <w:r w:rsidRPr="005B6D62">
        <w:rPr>
          <w:lang w:val="es-PE"/>
        </w:rPr>
        <w:t xml:space="preserve"> (</w:t>
      </w:r>
      <w:proofErr w:type="spellStart"/>
      <w:r w:rsidRPr="005B6D62">
        <w:rPr>
          <w:i/>
          <w:iCs/>
          <w:lang w:val="es-PE"/>
        </w:rPr>
        <w:t>satta</w:t>
      </w:r>
      <w:proofErr w:type="spellEnd"/>
      <w:r w:rsidRPr="005B6D62">
        <w:rPr>
          <w:i/>
          <w:iCs/>
          <w:lang w:val="es-PE"/>
        </w:rPr>
        <w:t>–</w:t>
      </w:r>
      <w:proofErr w:type="spellStart"/>
      <w:r w:rsidRPr="005B6D62">
        <w:rPr>
          <w:i/>
          <w:iCs/>
          <w:lang w:val="es-PE"/>
        </w:rPr>
        <w:t>nikāya</w:t>
      </w:r>
      <w:proofErr w:type="spellEnd"/>
      <w:r w:rsidRPr="005B6D62">
        <w:rPr>
          <w:i/>
          <w:iCs/>
          <w:lang w:val="es-PE"/>
        </w:rPr>
        <w:t>)</w:t>
      </w:r>
      <w:r w:rsidRPr="005B6D62">
        <w:rPr>
          <w:lang w:val="es-PE"/>
        </w:rPr>
        <w:t xml:space="preserve"> XIII.69</w:t>
      </w:r>
    </w:p>
    <w:p w14:paraId="577DC758" w14:textId="77777777" w:rsidR="00597DE2" w:rsidRDefault="00597DE2" w:rsidP="00597DE2">
      <w:pPr>
        <w:pStyle w:val="ParrafoApendice"/>
        <w:rPr>
          <w:lang w:val="es-PE"/>
        </w:rPr>
      </w:pPr>
      <w:r>
        <w:rPr>
          <w:lang w:val="es-PE"/>
        </w:rPr>
        <w:t>orgullo,</w:t>
      </w:r>
      <w:r w:rsidRPr="002745D6">
        <w:rPr>
          <w:lang w:val="es-PE"/>
        </w:rPr>
        <w:t xml:space="preserve"> presunción (</w:t>
      </w:r>
      <w:r w:rsidRPr="002745D6">
        <w:rPr>
          <w:i/>
          <w:iCs/>
          <w:lang w:val="es-PE"/>
        </w:rPr>
        <w:t>māna</w:t>
      </w:r>
      <w:r w:rsidRPr="002745D6">
        <w:rPr>
          <w:lang w:val="es-PE"/>
        </w:rPr>
        <w:t>) I.151; III.78, 95, n.18; VII.59; XIV.146, 168; XX.82, 125; XXII.28, 48</w:t>
      </w:r>
      <w:r>
        <w:rPr>
          <w:lang w:val="es-PE"/>
        </w:rPr>
        <w:t>s</w:t>
      </w:r>
      <w:r w:rsidRPr="002745D6">
        <w:rPr>
          <w:lang w:val="es-PE"/>
        </w:rPr>
        <w:t xml:space="preserve">., 60. </w:t>
      </w:r>
      <w:r w:rsidRPr="00F60ED4">
        <w:rPr>
          <w:lang w:val="es-PE"/>
        </w:rPr>
        <w:t xml:space="preserve">Ver </w:t>
      </w:r>
      <w:r w:rsidRPr="00840D65">
        <w:rPr>
          <w:lang w:val="es-PE"/>
        </w:rPr>
        <w:t xml:space="preserve">también </w:t>
      </w:r>
      <w:r w:rsidRPr="00840D65">
        <w:rPr>
          <w:i/>
          <w:iCs/>
          <w:lang w:val="es-PE"/>
        </w:rPr>
        <w:t>presunción</w:t>
      </w:r>
      <w:r>
        <w:rPr>
          <w:i/>
          <w:iCs/>
          <w:lang w:val="es-PE"/>
        </w:rPr>
        <w:t>.</w:t>
      </w:r>
      <w:r w:rsidRPr="00F60ED4">
        <w:rPr>
          <w:lang w:val="es-PE"/>
        </w:rPr>
        <w:t xml:space="preserve"> </w:t>
      </w:r>
      <w:r>
        <w:rPr>
          <w:lang w:val="es-PE"/>
        </w:rPr>
        <w:br w:type="page"/>
      </w:r>
    </w:p>
    <w:p w14:paraId="0F555AA8" w14:textId="77777777" w:rsidR="00597DE2" w:rsidRPr="00F60ED4" w:rsidRDefault="00597DE2" w:rsidP="00597DE2">
      <w:pPr>
        <w:pStyle w:val="ParrafoApendice"/>
        <w:rPr>
          <w:lang w:val="es-PE"/>
        </w:rPr>
      </w:pPr>
    </w:p>
    <w:p w14:paraId="588390C8" w14:textId="77777777" w:rsidR="00597DE2" w:rsidRPr="005B6D62" w:rsidRDefault="00597DE2" w:rsidP="00597DE2">
      <w:pPr>
        <w:pStyle w:val="ParrafoApendice"/>
        <w:rPr>
          <w:lang w:val="es-PE"/>
        </w:rPr>
      </w:pPr>
      <w:r w:rsidRPr="005B6D62">
        <w:rPr>
          <w:lang w:val="es-PE"/>
        </w:rPr>
        <w:t>origen, originación (</w:t>
      </w:r>
      <w:proofErr w:type="spellStart"/>
      <w:r w:rsidRPr="005B6D62">
        <w:rPr>
          <w:i/>
          <w:iCs/>
          <w:lang w:val="es-PE"/>
        </w:rPr>
        <w:t>samudaya</w:t>
      </w:r>
      <w:proofErr w:type="spellEnd"/>
      <w:r w:rsidRPr="005B6D62">
        <w:rPr>
          <w:lang w:val="es-PE"/>
        </w:rPr>
        <w:t xml:space="preserve">) VII.27; XVI.13, 61; XX.90, 100, 130; XXII.44, 92, 113; </w:t>
      </w:r>
      <w:r w:rsidRPr="005B6D62">
        <w:rPr>
          <w:i/>
          <w:iCs/>
          <w:lang w:val="es-PE"/>
        </w:rPr>
        <w:t xml:space="preserve">o. de un </w:t>
      </w:r>
      <w:proofErr w:type="spellStart"/>
      <w:r w:rsidRPr="005B6D62">
        <w:rPr>
          <w:i/>
          <w:iCs/>
          <w:lang w:val="es-PE"/>
        </w:rPr>
        <w:t>sutta</w:t>
      </w:r>
      <w:proofErr w:type="spellEnd"/>
      <w:r w:rsidRPr="005B6D62">
        <w:rPr>
          <w:lang w:val="es-PE"/>
        </w:rPr>
        <w:t xml:space="preserve"> (</w:t>
      </w:r>
      <w:proofErr w:type="spellStart"/>
      <w:r w:rsidRPr="005B6D62">
        <w:rPr>
          <w:i/>
          <w:iCs/>
          <w:lang w:val="es-PE"/>
        </w:rPr>
        <w:t>uppatti</w:t>
      </w:r>
      <w:proofErr w:type="spellEnd"/>
      <w:r w:rsidRPr="005B6D62">
        <w:rPr>
          <w:lang w:val="es-PE"/>
        </w:rPr>
        <w:t>) III.88; VII.69; XXIII.</w:t>
      </w:r>
      <w:r w:rsidRPr="005B6D62">
        <w:rPr>
          <w:color w:val="833C0B" w:themeColor="accent2" w:themeShade="80"/>
          <w:u w:color="000000"/>
          <w:lang w:val="es-PE"/>
        </w:rPr>
        <w:t>n.16</w:t>
      </w:r>
      <w:r w:rsidRPr="005B6D62">
        <w:rPr>
          <w:lang w:val="es-PE"/>
        </w:rPr>
        <w:t xml:space="preserve"> </w:t>
      </w:r>
    </w:p>
    <w:p w14:paraId="4A5639DF" w14:textId="77777777" w:rsidR="00597DE2" w:rsidRPr="005B6D62" w:rsidRDefault="00597DE2" w:rsidP="00597DE2">
      <w:pPr>
        <w:pStyle w:val="ParrafoApendice"/>
        <w:rPr>
          <w:lang w:val="es-PE"/>
        </w:rPr>
      </w:pPr>
      <w:r w:rsidRPr="005B6D62">
        <w:rPr>
          <w:lang w:val="es-PE"/>
        </w:rPr>
        <w:t>originación (</w:t>
      </w:r>
      <w:proofErr w:type="spellStart"/>
      <w:r w:rsidRPr="005B6D62">
        <w:rPr>
          <w:i/>
          <w:iCs/>
          <w:lang w:val="es-PE"/>
        </w:rPr>
        <w:t>samuṭṭhāna</w:t>
      </w:r>
      <w:proofErr w:type="spellEnd"/>
      <w:r w:rsidRPr="005B6D62">
        <w:rPr>
          <w:lang w:val="es-PE"/>
        </w:rPr>
        <w:t>) XI.94; XVII.196; XX.30s.</w:t>
      </w:r>
    </w:p>
    <w:p w14:paraId="68F70B75" w14:textId="77777777" w:rsidR="00597DE2" w:rsidRPr="005B6D62" w:rsidRDefault="00597DE2" w:rsidP="00597DE2">
      <w:pPr>
        <w:pStyle w:val="ParrafoApendice"/>
        <w:rPr>
          <w:lang w:val="es-PE"/>
        </w:rPr>
      </w:pPr>
      <w:r w:rsidRPr="005B6D62">
        <w:rPr>
          <w:lang w:val="es-PE"/>
        </w:rPr>
        <w:t>originación dependiente (</w:t>
      </w:r>
      <w:proofErr w:type="spellStart"/>
      <w:r w:rsidRPr="005B6D62">
        <w:rPr>
          <w:i/>
          <w:iCs/>
          <w:lang w:val="es-PE"/>
        </w:rPr>
        <w:t>paṭicca</w:t>
      </w:r>
      <w:proofErr w:type="spellEnd"/>
      <w:r w:rsidRPr="005B6D62">
        <w:rPr>
          <w:i/>
          <w:iCs/>
          <w:lang w:val="es-PE"/>
        </w:rPr>
        <w:t>–</w:t>
      </w:r>
      <w:proofErr w:type="spellStart"/>
      <w:r w:rsidRPr="005B6D62">
        <w:rPr>
          <w:i/>
          <w:iCs/>
          <w:lang w:val="es-PE"/>
        </w:rPr>
        <w:t>samuppāda</w:t>
      </w:r>
      <w:proofErr w:type="spellEnd"/>
      <w:r w:rsidRPr="005B6D62">
        <w:rPr>
          <w:lang w:val="es-PE"/>
        </w:rPr>
        <w:t>) VII.</w:t>
      </w:r>
      <w:r w:rsidRPr="005B6D62">
        <w:rPr>
          <w:color w:val="833C0B" w:themeColor="accent2" w:themeShade="80"/>
          <w:u w:color="000000"/>
          <w:lang w:val="es-PE"/>
        </w:rPr>
        <w:t>8</w:t>
      </w:r>
      <w:r w:rsidRPr="005B6D62">
        <w:rPr>
          <w:lang w:val="es-PE"/>
        </w:rPr>
        <w:t xml:space="preserve">s., 22, 28; XVII </w:t>
      </w:r>
      <w:r w:rsidRPr="005B6D62">
        <w:rPr>
          <w:i/>
          <w:iCs/>
          <w:lang w:val="es-PE"/>
        </w:rPr>
        <w:t>passim</w:t>
      </w:r>
      <w:r w:rsidRPr="005B6D62">
        <w:rPr>
          <w:lang w:val="es-PE"/>
        </w:rPr>
        <w:t>; XVIII.n.8; XIX.11s.; XX.</w:t>
      </w:r>
      <w:r w:rsidRPr="005B6D62">
        <w:rPr>
          <w:strike/>
          <w:color w:val="833C0B" w:themeColor="accent2" w:themeShade="80"/>
          <w:u w:color="000000"/>
          <w:lang w:val="es-PE"/>
        </w:rPr>
        <w:t>6</w:t>
      </w:r>
      <w:r w:rsidRPr="005B6D62">
        <w:rPr>
          <w:lang w:val="es-PE"/>
        </w:rPr>
        <w:t xml:space="preserve">, 9, 43, 98, 101 </w:t>
      </w:r>
    </w:p>
    <w:p w14:paraId="687F7379" w14:textId="77777777" w:rsidR="00597DE2" w:rsidRPr="005B6D62" w:rsidRDefault="00597DE2" w:rsidP="00597DE2">
      <w:pPr>
        <w:pStyle w:val="ParrafoApendice"/>
        <w:rPr>
          <w:lang w:val="es-PE"/>
        </w:rPr>
      </w:pPr>
      <w:r w:rsidRPr="005B6D62">
        <w:rPr>
          <w:lang w:val="es-PE"/>
        </w:rPr>
        <w:t>originada–en–la–consciencia (</w:t>
      </w:r>
      <w:proofErr w:type="spellStart"/>
      <w:r w:rsidRPr="005B6D62">
        <w:rPr>
          <w:i/>
          <w:iCs/>
          <w:lang w:val="es-PE"/>
        </w:rPr>
        <w:t>cittasamuṭṭhāna</w:t>
      </w:r>
      <w:proofErr w:type="spellEnd"/>
      <w:r w:rsidRPr="005B6D62">
        <w:rPr>
          <w:lang w:val="es-PE"/>
        </w:rPr>
        <w:t xml:space="preserve">) VIII.n.54; XIV.61s.; XIX.9; XX.29 </w:t>
      </w:r>
    </w:p>
    <w:p w14:paraId="7C7DDF57" w14:textId="77777777" w:rsidR="00597DE2" w:rsidRPr="005B6D62" w:rsidRDefault="00597DE2" w:rsidP="00597DE2">
      <w:pPr>
        <w:pStyle w:val="ParrafoApendice"/>
        <w:rPr>
          <w:lang w:val="es-PE"/>
        </w:rPr>
      </w:pPr>
      <w:r w:rsidRPr="005B6D62">
        <w:rPr>
          <w:lang w:val="es-PE"/>
        </w:rPr>
        <w:t>originado dependientemente (</w:t>
      </w:r>
      <w:proofErr w:type="spellStart"/>
      <w:r w:rsidRPr="005B6D62">
        <w:rPr>
          <w:i/>
          <w:iCs/>
          <w:lang w:val="es-PE"/>
        </w:rPr>
        <w:t>paṭiccasamuppanna</w:t>
      </w:r>
      <w:proofErr w:type="spellEnd"/>
      <w:r w:rsidRPr="005B6D62">
        <w:rPr>
          <w:lang w:val="es-PE"/>
        </w:rPr>
        <w:t>) XVII.3s.; XX.101</w:t>
      </w:r>
    </w:p>
    <w:p w14:paraId="03EE0C83" w14:textId="77777777" w:rsidR="00597DE2" w:rsidRPr="005B6D62" w:rsidRDefault="00597DE2" w:rsidP="00597DE2">
      <w:pPr>
        <w:pStyle w:val="ParrafoApendice"/>
        <w:rPr>
          <w:lang w:val="es-PE"/>
        </w:rPr>
      </w:pPr>
      <w:proofErr w:type="spellStart"/>
      <w:r w:rsidRPr="005B6D62">
        <w:rPr>
          <w:lang w:val="es-PE"/>
        </w:rPr>
        <w:t>Paccekabuddha</w:t>
      </w:r>
      <w:proofErr w:type="spellEnd"/>
      <w:r w:rsidRPr="005B6D62">
        <w:rPr>
          <w:lang w:val="es-PE"/>
        </w:rPr>
        <w:t xml:space="preserve"> (un Iluminado Solitario) I.131; III.128; IV.27, 55; VIII.22, 155, 211; XI.17; XII.11; XIII.16; XIV.31; XXIII.11</w:t>
      </w:r>
    </w:p>
    <w:p w14:paraId="5E62B376" w14:textId="77777777" w:rsidR="00597DE2" w:rsidRPr="005B6D62" w:rsidRDefault="00597DE2" w:rsidP="00597DE2">
      <w:pPr>
        <w:pStyle w:val="ParrafoApendice"/>
        <w:rPr>
          <w:lang w:val="es-PE"/>
        </w:rPr>
      </w:pPr>
      <w:r w:rsidRPr="005B6D62">
        <w:rPr>
          <w:lang w:val="es-PE"/>
        </w:rPr>
        <w:t>paciencia (</w:t>
      </w:r>
      <w:proofErr w:type="spellStart"/>
      <w:r w:rsidRPr="005B6D62">
        <w:rPr>
          <w:i/>
          <w:iCs/>
          <w:lang w:val="es-PE"/>
        </w:rPr>
        <w:t>khanti</w:t>
      </w:r>
      <w:proofErr w:type="spellEnd"/>
      <w:r w:rsidRPr="005B6D62">
        <w:rPr>
          <w:lang w:val="es-PE"/>
        </w:rPr>
        <w:t>) I.18; IX.2, 124; XXI.28</w:t>
      </w:r>
    </w:p>
    <w:p w14:paraId="0B8BA6B6" w14:textId="77777777" w:rsidR="00597DE2" w:rsidRPr="005B6D62" w:rsidRDefault="00597DE2" w:rsidP="00597DE2">
      <w:pPr>
        <w:pStyle w:val="ParrafoApendice"/>
        <w:rPr>
          <w:lang w:val="es-PE"/>
        </w:rPr>
      </w:pPr>
      <w:proofErr w:type="spellStart"/>
      <w:r w:rsidRPr="005B6D62">
        <w:rPr>
          <w:lang w:val="es-PE"/>
        </w:rPr>
        <w:t>Pācīnakhaṇḍārājī</w:t>
      </w:r>
      <w:proofErr w:type="spellEnd"/>
      <w:r w:rsidRPr="005B6D62">
        <w:rPr>
          <w:lang w:val="es-PE"/>
        </w:rPr>
        <w:t xml:space="preserve"> III.31 </w:t>
      </w:r>
    </w:p>
    <w:p w14:paraId="07875CBA" w14:textId="77777777" w:rsidR="00597DE2" w:rsidRPr="005B6D62" w:rsidRDefault="00597DE2" w:rsidP="00597DE2">
      <w:pPr>
        <w:pStyle w:val="ParrafoApendice"/>
        <w:rPr>
          <w:lang w:val="es-PE"/>
        </w:rPr>
      </w:pPr>
      <w:r w:rsidRPr="005B6D62">
        <w:rPr>
          <w:lang w:val="es-PE"/>
        </w:rPr>
        <w:t>Palacio de Bronce (</w:t>
      </w:r>
      <w:proofErr w:type="spellStart"/>
      <w:r w:rsidRPr="005B6D62">
        <w:rPr>
          <w:i/>
          <w:iCs/>
          <w:lang w:val="es-PE"/>
        </w:rPr>
        <w:t>lohapāsāda</w:t>
      </w:r>
      <w:proofErr w:type="spellEnd"/>
      <w:r w:rsidRPr="005B6D62">
        <w:rPr>
          <w:lang w:val="es-PE"/>
        </w:rPr>
        <w:t>) III.55</w:t>
      </w:r>
    </w:p>
    <w:p w14:paraId="6EFCFF6B" w14:textId="77777777" w:rsidR="00597DE2" w:rsidRPr="005B6D62" w:rsidRDefault="00597DE2" w:rsidP="00597DE2">
      <w:pPr>
        <w:pStyle w:val="ParrafoApendice"/>
        <w:rPr>
          <w:strike/>
          <w:color w:val="833C0B" w:themeColor="accent2" w:themeShade="80"/>
          <w:u w:color="000000"/>
          <w:lang w:val="es-PE"/>
        </w:rPr>
      </w:pPr>
      <w:proofErr w:type="spellStart"/>
      <w:r w:rsidRPr="005B6D62">
        <w:rPr>
          <w:strike/>
          <w:color w:val="833C0B" w:themeColor="accent2" w:themeShade="80"/>
          <w:u w:color="000000"/>
          <w:lang w:val="es-PE"/>
        </w:rPr>
        <w:t>Paṇḍukambala</w:t>
      </w:r>
      <w:proofErr w:type="spellEnd"/>
      <w:r w:rsidRPr="005B6D62">
        <w:rPr>
          <w:strike/>
          <w:color w:val="833C0B" w:themeColor="accent2" w:themeShade="80"/>
          <w:u w:color="000000"/>
          <w:lang w:val="es-PE"/>
        </w:rPr>
        <w:t>–</w:t>
      </w:r>
      <w:proofErr w:type="spellStart"/>
      <w:r w:rsidRPr="005B6D62">
        <w:rPr>
          <w:strike/>
          <w:color w:val="833C0B" w:themeColor="accent2" w:themeShade="80"/>
          <w:u w:color="000000"/>
          <w:lang w:val="es-PE"/>
        </w:rPr>
        <w:t>silā</w:t>
      </w:r>
      <w:proofErr w:type="spellEnd"/>
      <w:r w:rsidRPr="005B6D62">
        <w:rPr>
          <w:strike/>
          <w:color w:val="833C0B" w:themeColor="accent2" w:themeShade="80"/>
          <w:u w:color="000000"/>
          <w:lang w:val="es-PE"/>
        </w:rPr>
        <w:t xml:space="preserve"> XII.72</w:t>
      </w:r>
    </w:p>
    <w:p w14:paraId="7ADFA062" w14:textId="77777777" w:rsidR="00597DE2" w:rsidRPr="006D0608" w:rsidRDefault="00597DE2" w:rsidP="00597DE2">
      <w:pPr>
        <w:pStyle w:val="ParrafoApendice"/>
        <w:rPr>
          <w:lang w:val="es-PE"/>
        </w:rPr>
      </w:pPr>
      <w:proofErr w:type="spellStart"/>
      <w:r w:rsidRPr="006D0608">
        <w:rPr>
          <w:lang w:val="es-PE"/>
        </w:rPr>
        <w:t>Panthaka</w:t>
      </w:r>
      <w:proofErr w:type="spellEnd"/>
      <w:r w:rsidRPr="006D0608">
        <w:rPr>
          <w:lang w:val="es-PE"/>
        </w:rPr>
        <w:t xml:space="preserve"> </w:t>
      </w:r>
      <w:proofErr w:type="spellStart"/>
      <w:r w:rsidRPr="006D0608">
        <w:rPr>
          <w:lang w:val="es-PE"/>
        </w:rPr>
        <w:t>Thera</w:t>
      </w:r>
      <w:proofErr w:type="spellEnd"/>
      <w:r w:rsidRPr="006D0608">
        <w:rPr>
          <w:lang w:val="es-PE"/>
        </w:rPr>
        <w:t xml:space="preserve">, </w:t>
      </w:r>
      <w:proofErr w:type="spellStart"/>
      <w:r w:rsidRPr="006D0608">
        <w:rPr>
          <w:lang w:val="es-PE"/>
        </w:rPr>
        <w:t>Cūḷa</w:t>
      </w:r>
      <w:proofErr w:type="spellEnd"/>
      <w:r w:rsidRPr="006D0608">
        <w:rPr>
          <w:lang w:val="es-PE"/>
        </w:rPr>
        <w:t xml:space="preserve"> XII.59s.</w:t>
      </w:r>
    </w:p>
    <w:p w14:paraId="7018BAD2" w14:textId="77777777" w:rsidR="00597DE2" w:rsidRPr="005B6D62" w:rsidRDefault="00597DE2" w:rsidP="00597DE2">
      <w:pPr>
        <w:pStyle w:val="ParrafoApendice"/>
        <w:rPr>
          <w:lang w:val="es-PE"/>
        </w:rPr>
      </w:pPr>
      <w:proofErr w:type="spellStart"/>
      <w:r w:rsidRPr="005B6D62">
        <w:rPr>
          <w:lang w:val="es-PE"/>
        </w:rPr>
        <w:t>Panthaka</w:t>
      </w:r>
      <w:proofErr w:type="spellEnd"/>
      <w:r w:rsidRPr="005B6D62">
        <w:rPr>
          <w:lang w:val="es-PE"/>
        </w:rPr>
        <w:t xml:space="preserve"> </w:t>
      </w:r>
      <w:proofErr w:type="spellStart"/>
      <w:r w:rsidRPr="005B6D62">
        <w:rPr>
          <w:lang w:val="es-PE"/>
        </w:rPr>
        <w:t>Thera</w:t>
      </w:r>
      <w:proofErr w:type="spellEnd"/>
      <w:r w:rsidRPr="005B6D62">
        <w:rPr>
          <w:lang w:val="es-PE"/>
        </w:rPr>
        <w:t>, Mahā XII.60</w:t>
      </w:r>
    </w:p>
    <w:p w14:paraId="7FC407CA" w14:textId="77777777" w:rsidR="00597DE2" w:rsidRPr="005B6D62" w:rsidRDefault="00597DE2" w:rsidP="00597DE2">
      <w:pPr>
        <w:pStyle w:val="ParrafoApendice"/>
        <w:rPr>
          <w:lang w:val="es-PE"/>
        </w:rPr>
      </w:pPr>
      <w:proofErr w:type="spellStart"/>
      <w:r w:rsidRPr="005B6D62">
        <w:rPr>
          <w:lang w:val="es-PE"/>
        </w:rPr>
        <w:t>Pañcasikhā</w:t>
      </w:r>
      <w:proofErr w:type="spellEnd"/>
      <w:r w:rsidRPr="005B6D62">
        <w:rPr>
          <w:lang w:val="es-PE"/>
        </w:rPr>
        <w:t xml:space="preserve"> (Cinco–Crestas) XII.79</w:t>
      </w:r>
    </w:p>
    <w:p w14:paraId="1E6BDA2E" w14:textId="77777777" w:rsidR="00597DE2" w:rsidRPr="005B6D62" w:rsidRDefault="00597DE2" w:rsidP="00597DE2">
      <w:pPr>
        <w:pStyle w:val="ParrafoApendice"/>
        <w:rPr>
          <w:lang w:val="es-PE"/>
        </w:rPr>
      </w:pPr>
      <w:proofErr w:type="spellStart"/>
      <w:r w:rsidRPr="005B6D62">
        <w:rPr>
          <w:lang w:val="es-PE"/>
        </w:rPr>
        <w:t>Paranimmitavasavatti</w:t>
      </w:r>
      <w:proofErr w:type="spellEnd"/>
      <w:r w:rsidRPr="005B6D62">
        <w:rPr>
          <w:lang w:val="es-PE"/>
        </w:rPr>
        <w:t>, Deidades del (Quienes Ejercen Poder Sobre las Creaciones Ajenas) VII.n.14; XIV.207; XV.27</w:t>
      </w:r>
    </w:p>
    <w:p w14:paraId="2A9DCBB0" w14:textId="77777777" w:rsidR="00597DE2" w:rsidRPr="005B6D62" w:rsidRDefault="00597DE2" w:rsidP="00597DE2">
      <w:pPr>
        <w:pStyle w:val="ParrafoApendice"/>
        <w:rPr>
          <w:lang w:val="es-PE"/>
        </w:rPr>
      </w:pPr>
      <w:proofErr w:type="spellStart"/>
      <w:r w:rsidRPr="005B6D62">
        <w:rPr>
          <w:lang w:val="es-PE"/>
        </w:rPr>
        <w:t>Pāricchattaka</w:t>
      </w:r>
      <w:proofErr w:type="spellEnd"/>
      <w:r w:rsidRPr="005B6D62">
        <w:rPr>
          <w:lang w:val="es-PE"/>
        </w:rPr>
        <w:t xml:space="preserve">, Árbol VII.43 </w:t>
      </w:r>
    </w:p>
    <w:p w14:paraId="029BE287" w14:textId="77777777" w:rsidR="00597DE2" w:rsidRPr="005B6D62" w:rsidRDefault="00597DE2" w:rsidP="00597DE2">
      <w:pPr>
        <w:pStyle w:val="ParrafoApendice"/>
        <w:rPr>
          <w:lang w:val="es-PE"/>
        </w:rPr>
      </w:pPr>
      <w:r w:rsidRPr="005B6D62">
        <w:rPr>
          <w:lang w:val="es-PE"/>
        </w:rPr>
        <w:t>Pasado/a (</w:t>
      </w:r>
      <w:proofErr w:type="spellStart"/>
      <w:r w:rsidRPr="005B6D62">
        <w:rPr>
          <w:i/>
          <w:iCs/>
          <w:lang w:val="es-PE"/>
        </w:rPr>
        <w:t>atīta</w:t>
      </w:r>
      <w:proofErr w:type="spellEnd"/>
      <w:r w:rsidRPr="005B6D62">
        <w:rPr>
          <w:lang w:val="es-PE"/>
        </w:rPr>
        <w:t xml:space="preserve">) XIV.185s. </w:t>
      </w:r>
    </w:p>
    <w:p w14:paraId="314E0260" w14:textId="77777777" w:rsidR="00597DE2" w:rsidRPr="005B6D62" w:rsidRDefault="00597DE2" w:rsidP="00597DE2">
      <w:pPr>
        <w:pStyle w:val="ParrafoApendice"/>
        <w:rPr>
          <w:lang w:val="es-PE"/>
        </w:rPr>
      </w:pPr>
      <w:r w:rsidRPr="005B6D62">
        <w:rPr>
          <w:lang w:val="es-PE"/>
        </w:rPr>
        <w:t>pasión, lujuria, concupiscencia (</w:t>
      </w:r>
      <w:proofErr w:type="spellStart"/>
      <w:r w:rsidRPr="005B6D62">
        <w:rPr>
          <w:i/>
          <w:iCs/>
          <w:lang w:val="es-PE"/>
        </w:rPr>
        <w:t>kāmacchanda</w:t>
      </w:r>
      <w:proofErr w:type="spellEnd"/>
      <w:r w:rsidRPr="005B6D62">
        <w:rPr>
          <w:lang w:val="es-PE"/>
        </w:rPr>
        <w:t xml:space="preserve">) I.140; IV.85, 104, n.24; XVI.10; XXII.57; (rāga) IX.6. Ver también </w:t>
      </w:r>
      <w:r w:rsidRPr="005B6D62">
        <w:rPr>
          <w:i/>
          <w:iCs/>
          <w:lang w:val="es-PE"/>
        </w:rPr>
        <w:t>codicia</w:t>
      </w:r>
    </w:p>
    <w:p w14:paraId="18BDF299" w14:textId="77777777" w:rsidR="00597DE2" w:rsidRPr="005B6D62" w:rsidRDefault="00597DE2" w:rsidP="00597DE2">
      <w:pPr>
        <w:pStyle w:val="ParrafoApendice"/>
        <w:rPr>
          <w:lang w:val="es-PE"/>
        </w:rPr>
      </w:pPr>
      <w:proofErr w:type="spellStart"/>
      <w:r w:rsidRPr="005B6D62">
        <w:rPr>
          <w:lang w:val="es-PE"/>
        </w:rPr>
        <w:t>Pāṭaliputta</w:t>
      </w:r>
      <w:proofErr w:type="spellEnd"/>
      <w:r w:rsidRPr="005B6D62">
        <w:rPr>
          <w:lang w:val="es-PE"/>
        </w:rPr>
        <w:t xml:space="preserve"> (Patna) IX.64; XII.123 </w:t>
      </w:r>
    </w:p>
    <w:p w14:paraId="4A109A45" w14:textId="77777777" w:rsidR="00597DE2" w:rsidRPr="005B6D62" w:rsidRDefault="00597DE2" w:rsidP="00597DE2">
      <w:pPr>
        <w:pStyle w:val="ParrafoApendice"/>
        <w:rPr>
          <w:lang w:val="es-PE"/>
        </w:rPr>
      </w:pPr>
      <w:proofErr w:type="spellStart"/>
      <w:r w:rsidRPr="005B6D62">
        <w:rPr>
          <w:lang w:val="es-PE"/>
        </w:rPr>
        <w:t>Pātimokkha</w:t>
      </w:r>
      <w:proofErr w:type="spellEnd"/>
      <w:r w:rsidRPr="005B6D62">
        <w:rPr>
          <w:lang w:val="es-PE"/>
        </w:rPr>
        <w:t xml:space="preserve"> (</w:t>
      </w:r>
      <w:proofErr w:type="spellStart"/>
      <w:r w:rsidRPr="005B6D62">
        <w:rPr>
          <w:i/>
          <w:iCs/>
          <w:lang w:val="es-PE"/>
        </w:rPr>
        <w:t>pātimokkha</w:t>
      </w:r>
      <w:proofErr w:type="spellEnd"/>
      <w:r w:rsidRPr="005B6D62">
        <w:rPr>
          <w:lang w:val="es-PE"/>
        </w:rPr>
        <w:t xml:space="preserve">) I.18, 42s., 98, 126, n.10, n.11 </w:t>
      </w:r>
    </w:p>
    <w:p w14:paraId="79FB15DD" w14:textId="77777777" w:rsidR="00597DE2" w:rsidRPr="005B6D62" w:rsidRDefault="00597DE2" w:rsidP="00597DE2">
      <w:pPr>
        <w:pStyle w:val="ParrafoApendice"/>
        <w:rPr>
          <w:lang w:val="es-PE"/>
        </w:rPr>
      </w:pPr>
      <w:proofErr w:type="spellStart"/>
      <w:r w:rsidRPr="005B6D62">
        <w:rPr>
          <w:lang w:val="es-PE"/>
        </w:rPr>
        <w:t>Pavāraṇā</w:t>
      </w:r>
      <w:proofErr w:type="spellEnd"/>
      <w:r w:rsidRPr="005B6D62">
        <w:rPr>
          <w:lang w:val="es-PE"/>
        </w:rPr>
        <w:t xml:space="preserve"> (</w:t>
      </w:r>
      <w:proofErr w:type="spellStart"/>
      <w:r w:rsidRPr="005B6D62">
        <w:rPr>
          <w:i/>
          <w:iCs/>
          <w:lang w:val="es-PE"/>
        </w:rPr>
        <w:t>pavāraóā</w:t>
      </w:r>
      <w:proofErr w:type="spellEnd"/>
      <w:r w:rsidRPr="005B6D62">
        <w:rPr>
          <w:lang w:val="es-PE"/>
        </w:rPr>
        <w:t xml:space="preserve">) III.31s., n.10 </w:t>
      </w:r>
    </w:p>
    <w:p w14:paraId="3082C675" w14:textId="77777777" w:rsidR="00597DE2" w:rsidRPr="005B6D62" w:rsidRDefault="00597DE2" w:rsidP="00597DE2">
      <w:pPr>
        <w:pStyle w:val="ParrafoApendice"/>
        <w:rPr>
          <w:lang w:val="es-PE"/>
        </w:rPr>
      </w:pPr>
      <w:r w:rsidRPr="005B6D62">
        <w:rPr>
          <w:lang w:val="es-PE"/>
        </w:rPr>
        <w:t>paz (</w:t>
      </w:r>
      <w:proofErr w:type="spellStart"/>
      <w:r w:rsidRPr="005B6D62">
        <w:rPr>
          <w:i/>
          <w:iCs/>
          <w:lang w:val="es-PE"/>
        </w:rPr>
        <w:t>upasama</w:t>
      </w:r>
      <w:proofErr w:type="spellEnd"/>
      <w:r w:rsidRPr="005B6D62">
        <w:rPr>
          <w:lang w:val="es-PE"/>
        </w:rPr>
        <w:t xml:space="preserve">) I.140; III.105; VII.1; VIII.245s. </w:t>
      </w:r>
    </w:p>
    <w:p w14:paraId="2404440F" w14:textId="77777777" w:rsidR="00597DE2" w:rsidRPr="005B6D62" w:rsidRDefault="00597DE2" w:rsidP="00597DE2">
      <w:pPr>
        <w:pStyle w:val="ParrafoApendice"/>
        <w:rPr>
          <w:lang w:val="es-PE"/>
        </w:rPr>
      </w:pPr>
      <w:r w:rsidRPr="005B6D62">
        <w:rPr>
          <w:lang w:val="es-PE"/>
        </w:rPr>
        <w:t>penetración (</w:t>
      </w:r>
      <w:proofErr w:type="spellStart"/>
      <w:r w:rsidRPr="005B6D62">
        <w:rPr>
          <w:i/>
          <w:iCs/>
          <w:lang w:val="es-PE"/>
        </w:rPr>
        <w:t>nibbedha</w:t>
      </w:r>
      <w:proofErr w:type="spellEnd"/>
      <w:r w:rsidRPr="005B6D62">
        <w:rPr>
          <w:lang w:val="es-PE"/>
        </w:rPr>
        <w:t xml:space="preserve">) I.39; </w:t>
      </w:r>
      <w:r w:rsidRPr="005B6D62">
        <w:rPr>
          <w:strike/>
          <w:color w:val="833C0B" w:themeColor="accent2" w:themeShade="80"/>
          <w:u w:color="000000"/>
          <w:lang w:val="es-PE"/>
        </w:rPr>
        <w:t>III.32</w:t>
      </w:r>
      <w:r w:rsidRPr="005B6D62">
        <w:rPr>
          <w:lang w:val="es-PE"/>
        </w:rPr>
        <w:t xml:space="preserve"> </w:t>
      </w:r>
    </w:p>
    <w:p w14:paraId="52B3A6D9" w14:textId="77777777" w:rsidR="00597DE2" w:rsidRPr="005B6D62" w:rsidRDefault="00597DE2" w:rsidP="00597DE2">
      <w:pPr>
        <w:pStyle w:val="ParrafoApendice"/>
        <w:rPr>
          <w:lang w:val="es-PE"/>
        </w:rPr>
      </w:pPr>
      <w:r w:rsidRPr="005B6D62">
        <w:rPr>
          <w:lang w:val="es-PE"/>
        </w:rPr>
        <w:t>penetración de mentes (</w:t>
      </w:r>
      <w:proofErr w:type="spellStart"/>
      <w:r w:rsidRPr="005B6D62">
        <w:rPr>
          <w:i/>
          <w:iCs/>
          <w:lang w:val="es-PE"/>
        </w:rPr>
        <w:t>cetopariya</w:t>
      </w:r>
      <w:proofErr w:type="spellEnd"/>
      <w:r w:rsidRPr="005B6D62">
        <w:rPr>
          <w:lang w:val="es-PE"/>
        </w:rPr>
        <w:t xml:space="preserve">), ver </w:t>
      </w:r>
      <w:r w:rsidRPr="005B6D62">
        <w:rPr>
          <w:i/>
          <w:iCs/>
          <w:lang w:val="es-PE"/>
        </w:rPr>
        <w:t>conocimiento de la p</w:t>
      </w:r>
      <w:r w:rsidRPr="005B6D62">
        <w:rPr>
          <w:lang w:val="es-PE"/>
        </w:rPr>
        <w:t xml:space="preserve">. </w:t>
      </w:r>
    </w:p>
    <w:p w14:paraId="5114C3E6" w14:textId="77777777" w:rsidR="00597DE2" w:rsidRPr="005B6D62" w:rsidRDefault="00597DE2" w:rsidP="00597DE2">
      <w:pPr>
        <w:pStyle w:val="ParrafoApendice"/>
        <w:rPr>
          <w:lang w:val="es-PE"/>
        </w:rPr>
      </w:pPr>
      <w:r w:rsidRPr="005B6D62">
        <w:rPr>
          <w:lang w:val="es-PE"/>
        </w:rPr>
        <w:t>penetración en (</w:t>
      </w:r>
      <w:proofErr w:type="spellStart"/>
      <w:r w:rsidRPr="005B6D62">
        <w:rPr>
          <w:i/>
          <w:iCs/>
          <w:lang w:val="es-PE"/>
        </w:rPr>
        <w:t>abhisamaya</w:t>
      </w:r>
      <w:proofErr w:type="spellEnd"/>
      <w:r w:rsidRPr="005B6D62">
        <w:rPr>
          <w:lang w:val="es-PE"/>
        </w:rPr>
        <w:t xml:space="preserve">) XVI.15; XXII.79, 92. Ver también </w:t>
      </w:r>
      <w:r w:rsidRPr="005B6D62">
        <w:rPr>
          <w:i/>
          <w:iCs/>
          <w:lang w:val="es-PE"/>
        </w:rPr>
        <w:t>convergencia</w:t>
      </w:r>
      <w:r w:rsidRPr="005B6D62">
        <w:rPr>
          <w:lang w:val="es-PE"/>
        </w:rPr>
        <w:t xml:space="preserve"> </w:t>
      </w:r>
    </w:p>
    <w:p w14:paraId="24AC2C11" w14:textId="77777777" w:rsidR="00597DE2" w:rsidRPr="007C0700" w:rsidRDefault="00597DE2" w:rsidP="00597DE2">
      <w:pPr>
        <w:pStyle w:val="ParrafoApendice"/>
        <w:rPr>
          <w:lang w:val="es-PE"/>
        </w:rPr>
      </w:pPr>
      <w:r w:rsidRPr="00960F28">
        <w:rPr>
          <w:color w:val="833C0B" w:themeColor="accent2" w:themeShade="80"/>
          <w:lang w:val="es-PE"/>
        </w:rPr>
        <w:t>pensamiento</w:t>
      </w:r>
      <w:r w:rsidRPr="007C0700">
        <w:rPr>
          <w:lang w:val="es-PE"/>
        </w:rPr>
        <w:t xml:space="preserve"> (</w:t>
      </w:r>
      <w:r w:rsidRPr="007C0700">
        <w:rPr>
          <w:i/>
          <w:iCs/>
          <w:lang w:val="es-PE"/>
        </w:rPr>
        <w:t>dhamma</w:t>
      </w:r>
      <w:r w:rsidRPr="007C0700">
        <w:rPr>
          <w:lang w:val="es-PE"/>
        </w:rPr>
        <w:t xml:space="preserve">) VII.n.1. </w:t>
      </w:r>
      <w:r>
        <w:rPr>
          <w:lang w:val="es-PE"/>
        </w:rPr>
        <w:t>Ver también</w:t>
      </w:r>
      <w:r w:rsidRPr="007C0700">
        <w:rPr>
          <w:lang w:val="es-PE"/>
        </w:rPr>
        <w:t xml:space="preserve"> </w:t>
      </w:r>
      <w:r w:rsidRPr="0047425C">
        <w:rPr>
          <w:i/>
          <w:iCs/>
          <w:lang w:val="es-PE"/>
        </w:rPr>
        <w:t>pensamiento de</w:t>
      </w:r>
      <w:r>
        <w:rPr>
          <w:lang w:val="es-PE"/>
        </w:rPr>
        <w:t xml:space="preserve"> </w:t>
      </w:r>
      <w:r w:rsidRPr="007C0700">
        <w:rPr>
          <w:i/>
          <w:iCs/>
          <w:lang w:val="es-PE"/>
        </w:rPr>
        <w:t>dhamma</w:t>
      </w:r>
      <w:r w:rsidRPr="007C0700">
        <w:rPr>
          <w:lang w:val="es-PE"/>
        </w:rPr>
        <w:t xml:space="preserve"> (</w:t>
      </w:r>
      <w:r w:rsidRPr="007C0700">
        <w:rPr>
          <w:i/>
          <w:iCs/>
          <w:lang w:val="es-PE"/>
        </w:rPr>
        <w:t>saṅkappa</w:t>
      </w:r>
      <w:r w:rsidRPr="007C0700">
        <w:rPr>
          <w:lang w:val="es-PE"/>
        </w:rPr>
        <w:t xml:space="preserve">) XXII.42, 66. </w:t>
      </w:r>
      <w:r>
        <w:rPr>
          <w:lang w:val="es-PE"/>
        </w:rPr>
        <w:t>Ver también pensamiento correcto</w:t>
      </w:r>
      <w:r w:rsidRPr="007C0700">
        <w:rPr>
          <w:lang w:val="es-PE"/>
        </w:rPr>
        <w:t>.</w:t>
      </w:r>
    </w:p>
    <w:p w14:paraId="7C235606" w14:textId="77777777" w:rsidR="00597DE2" w:rsidRPr="00D274D1" w:rsidRDefault="00597DE2" w:rsidP="00597DE2">
      <w:pPr>
        <w:pStyle w:val="ParrafoApendice"/>
        <w:rPr>
          <w:lang w:val="es-PE"/>
        </w:rPr>
      </w:pPr>
      <w:r w:rsidRPr="00D274D1">
        <w:rPr>
          <w:lang w:val="es-PE"/>
        </w:rPr>
        <w:t>pensamiento, surgimiento</w:t>
      </w:r>
      <w:r>
        <w:rPr>
          <w:lang w:val="es-PE"/>
        </w:rPr>
        <w:t xml:space="preserve"> del </w:t>
      </w:r>
      <w:r w:rsidRPr="00D274D1">
        <w:rPr>
          <w:lang w:val="es-PE"/>
        </w:rPr>
        <w:t>pensamiento (</w:t>
      </w:r>
      <w:proofErr w:type="spellStart"/>
      <w:r w:rsidRPr="00D274D1">
        <w:rPr>
          <w:i/>
          <w:iCs/>
          <w:lang w:val="es-PE"/>
        </w:rPr>
        <w:t>cittuppāda</w:t>
      </w:r>
      <w:proofErr w:type="spellEnd"/>
      <w:r w:rsidRPr="00D274D1">
        <w:rPr>
          <w:lang w:val="es-PE"/>
        </w:rPr>
        <w:t xml:space="preserve">) IV.87; XXII.63, 76 </w:t>
      </w:r>
    </w:p>
    <w:p w14:paraId="72A819D0" w14:textId="77777777" w:rsidR="00597DE2" w:rsidRPr="005B6D62" w:rsidRDefault="00597DE2" w:rsidP="00597DE2">
      <w:pPr>
        <w:pStyle w:val="ParrafoApendice"/>
        <w:rPr>
          <w:lang w:val="es-PE"/>
        </w:rPr>
      </w:pPr>
      <w:r w:rsidRPr="005B6D62">
        <w:rPr>
          <w:lang w:val="es-PE"/>
        </w:rPr>
        <w:t>percepción (</w:t>
      </w:r>
      <w:proofErr w:type="spellStart"/>
      <w:r w:rsidRPr="005B6D62">
        <w:rPr>
          <w:i/>
          <w:iCs/>
          <w:lang w:val="es-PE"/>
        </w:rPr>
        <w:t>saññā</w:t>
      </w:r>
      <w:proofErr w:type="spellEnd"/>
      <w:r w:rsidRPr="005B6D62">
        <w:rPr>
          <w:lang w:val="es-PE"/>
        </w:rPr>
        <w:t>) I.55, 140; III.22, 26; VII.28, 59; VIII.216, 230, 233; X.12, 50s.; XI.n.1; XII.49; XIV.3, 129s., 141, 213s., 218s</w:t>
      </w:r>
      <w:r w:rsidRPr="005B6D62">
        <w:rPr>
          <w:color w:val="833C0B" w:themeColor="accent2" w:themeShade="80"/>
          <w:u w:color="000000"/>
          <w:lang w:val="es-PE"/>
        </w:rPr>
        <w:t>.</w:t>
      </w:r>
      <w:r w:rsidRPr="005B6D62">
        <w:rPr>
          <w:lang w:val="es-PE"/>
        </w:rPr>
        <w:t xml:space="preserve">, 224; XV.14, 42; </w:t>
      </w:r>
      <w:r>
        <w:rPr>
          <w:lang w:val="es-PE"/>
        </w:rPr>
        <w:br w:type="column"/>
      </w:r>
      <w:r>
        <w:rPr>
          <w:lang w:val="es-PE"/>
        </w:rPr>
        <w:br/>
      </w:r>
      <w:r w:rsidRPr="005B6D62">
        <w:rPr>
          <w:lang w:val="es-PE"/>
        </w:rPr>
        <w:t xml:space="preserve">XVIII.8, 13, 20; XX.6, 9, 94; XXI.11, 56; XXII.53, 126; XXIII.13; </w:t>
      </w:r>
      <w:r w:rsidRPr="005B6D62">
        <w:rPr>
          <w:i/>
          <w:iCs/>
          <w:lang w:val="es-PE"/>
        </w:rPr>
        <w:t>p. de la belleza</w:t>
      </w:r>
      <w:r w:rsidRPr="005B6D62">
        <w:rPr>
          <w:lang w:val="es-PE"/>
        </w:rPr>
        <w:t xml:space="preserve"> (</w:t>
      </w:r>
      <w:proofErr w:type="spellStart"/>
      <w:r w:rsidRPr="005B6D62">
        <w:rPr>
          <w:i/>
          <w:iCs/>
          <w:lang w:val="es-PE"/>
        </w:rPr>
        <w:t>subha</w:t>
      </w:r>
      <w:proofErr w:type="spellEnd"/>
      <w:r w:rsidRPr="005B6D62">
        <w:rPr>
          <w:i/>
          <w:iCs/>
          <w:lang w:val="es-PE"/>
        </w:rPr>
        <w:t>–</w:t>
      </w:r>
      <w:proofErr w:type="spellStart"/>
      <w:r w:rsidRPr="005B6D62">
        <w:rPr>
          <w:i/>
          <w:iCs/>
          <w:lang w:val="es-PE"/>
        </w:rPr>
        <w:t>saññā</w:t>
      </w:r>
      <w:proofErr w:type="spellEnd"/>
      <w:r w:rsidRPr="005B6D62">
        <w:rPr>
          <w:lang w:val="es-PE"/>
        </w:rPr>
        <w:t xml:space="preserve">) XXII.34; </w:t>
      </w:r>
      <w:r w:rsidRPr="005B6D62">
        <w:rPr>
          <w:i/>
          <w:iCs/>
          <w:lang w:val="es-PE"/>
        </w:rPr>
        <w:t>p. de la felicidad</w:t>
      </w:r>
      <w:r w:rsidRPr="005B6D62">
        <w:rPr>
          <w:lang w:val="es-PE"/>
        </w:rPr>
        <w:t xml:space="preserve"> (</w:t>
      </w:r>
      <w:proofErr w:type="spellStart"/>
      <w:r w:rsidRPr="005B6D62">
        <w:rPr>
          <w:i/>
          <w:iCs/>
          <w:lang w:val="es-PE"/>
        </w:rPr>
        <w:t>sukha</w:t>
      </w:r>
      <w:proofErr w:type="spellEnd"/>
      <w:r w:rsidRPr="005B6D62">
        <w:rPr>
          <w:i/>
          <w:iCs/>
          <w:lang w:val="es-PE"/>
        </w:rPr>
        <w:t>–s</w:t>
      </w:r>
      <w:r w:rsidRPr="005B6D62">
        <w:rPr>
          <w:lang w:val="es-PE"/>
        </w:rPr>
        <w:t xml:space="preserve">.) XII.119, </w:t>
      </w:r>
      <w:r w:rsidRPr="005B6D62">
        <w:rPr>
          <w:i/>
          <w:iCs/>
          <w:lang w:val="es-PE"/>
        </w:rPr>
        <w:t>p. de compacidad</w:t>
      </w:r>
      <w:r w:rsidRPr="005B6D62">
        <w:rPr>
          <w:lang w:val="es-PE"/>
        </w:rPr>
        <w:t xml:space="preserve"> (</w:t>
      </w:r>
      <w:proofErr w:type="spellStart"/>
      <w:r w:rsidRPr="005B6D62">
        <w:rPr>
          <w:i/>
          <w:iCs/>
          <w:lang w:val="es-PE"/>
        </w:rPr>
        <w:t>ghana</w:t>
      </w:r>
      <w:proofErr w:type="spellEnd"/>
      <w:r w:rsidRPr="005B6D62">
        <w:rPr>
          <w:i/>
          <w:iCs/>
          <w:lang w:val="es-PE"/>
        </w:rPr>
        <w:t>–s</w:t>
      </w:r>
      <w:r w:rsidRPr="005B6D62">
        <w:rPr>
          <w:lang w:val="es-PE"/>
        </w:rPr>
        <w:t xml:space="preserve">.) I.140; XX.90; XXII.113, 114; </w:t>
      </w:r>
      <w:r w:rsidRPr="005B6D62">
        <w:rPr>
          <w:i/>
          <w:iCs/>
          <w:lang w:val="es-PE"/>
        </w:rPr>
        <w:t>p. de repulsividad</w:t>
      </w:r>
      <w:r w:rsidRPr="005B6D62">
        <w:rPr>
          <w:lang w:val="es-PE"/>
        </w:rPr>
        <w:t xml:space="preserve"> (</w:t>
      </w:r>
      <w:proofErr w:type="spellStart"/>
      <w:r w:rsidRPr="005B6D62">
        <w:rPr>
          <w:i/>
          <w:iCs/>
          <w:lang w:val="es-PE"/>
        </w:rPr>
        <w:t>asubha</w:t>
      </w:r>
      <w:proofErr w:type="spellEnd"/>
      <w:r w:rsidRPr="005B6D62">
        <w:rPr>
          <w:i/>
          <w:iCs/>
          <w:lang w:val="es-PE"/>
        </w:rPr>
        <w:t>–s</w:t>
      </w:r>
      <w:r w:rsidRPr="005B6D62">
        <w:rPr>
          <w:lang w:val="es-PE"/>
        </w:rPr>
        <w:t xml:space="preserve">.) III.57; VI </w:t>
      </w:r>
      <w:r w:rsidRPr="005B6D62">
        <w:rPr>
          <w:i/>
          <w:iCs/>
          <w:lang w:val="es-PE"/>
        </w:rPr>
        <w:t>passim</w:t>
      </w:r>
      <w:r w:rsidRPr="005B6D62">
        <w:rPr>
          <w:lang w:val="es-PE"/>
        </w:rPr>
        <w:t xml:space="preserve">; XI.26; </w:t>
      </w:r>
      <w:r w:rsidRPr="005B6D62">
        <w:rPr>
          <w:i/>
          <w:iCs/>
          <w:lang w:val="es-PE"/>
        </w:rPr>
        <w:t>p. de la impermanencia</w:t>
      </w:r>
      <w:r w:rsidRPr="005B6D62">
        <w:rPr>
          <w:lang w:val="es-PE"/>
        </w:rPr>
        <w:t xml:space="preserve"> (</w:t>
      </w:r>
      <w:proofErr w:type="spellStart"/>
      <w:r w:rsidRPr="005B6D62">
        <w:rPr>
          <w:i/>
          <w:iCs/>
          <w:lang w:val="es-PE"/>
        </w:rPr>
        <w:t>aniccā</w:t>
      </w:r>
      <w:proofErr w:type="spellEnd"/>
      <w:r w:rsidRPr="005B6D62">
        <w:rPr>
          <w:i/>
          <w:iCs/>
          <w:lang w:val="es-PE"/>
        </w:rPr>
        <w:t>–s</w:t>
      </w:r>
      <w:r w:rsidRPr="005B6D62">
        <w:rPr>
          <w:lang w:val="es-PE"/>
        </w:rPr>
        <w:t xml:space="preserve">) III.122; </w:t>
      </w:r>
      <w:r w:rsidRPr="005B6D62">
        <w:rPr>
          <w:i/>
          <w:iCs/>
          <w:lang w:val="es-PE"/>
        </w:rPr>
        <w:t>p. de perpetuidad</w:t>
      </w:r>
      <w:r w:rsidRPr="005B6D62">
        <w:rPr>
          <w:lang w:val="es-PE"/>
        </w:rPr>
        <w:t xml:space="preserve"> (</w:t>
      </w:r>
      <w:proofErr w:type="spellStart"/>
      <w:r w:rsidRPr="005B6D62">
        <w:rPr>
          <w:i/>
          <w:iCs/>
          <w:lang w:val="es-PE"/>
        </w:rPr>
        <w:t>dhuva</w:t>
      </w:r>
      <w:proofErr w:type="spellEnd"/>
      <w:r w:rsidRPr="005B6D62">
        <w:rPr>
          <w:i/>
          <w:iCs/>
          <w:lang w:val="es-PE"/>
        </w:rPr>
        <w:t>–s</w:t>
      </w:r>
      <w:r w:rsidRPr="005B6D62">
        <w:rPr>
          <w:lang w:val="es-PE"/>
        </w:rPr>
        <w:t xml:space="preserve">.) I.140; XX.90; XXII.113, 116; </w:t>
      </w:r>
      <w:r w:rsidRPr="005B6D62">
        <w:rPr>
          <w:i/>
          <w:iCs/>
          <w:lang w:val="es-PE"/>
        </w:rPr>
        <w:t xml:space="preserve">p. de </w:t>
      </w:r>
      <w:r w:rsidRPr="005B6D62">
        <w:rPr>
          <w:i/>
          <w:iCs/>
          <w:color w:val="833C0B" w:themeColor="accent2" w:themeShade="80"/>
          <w:u w:color="000000"/>
          <w:lang w:val="es-PE"/>
        </w:rPr>
        <w:t>ligereza</w:t>
      </w:r>
      <w:r w:rsidRPr="005B6D62">
        <w:rPr>
          <w:lang w:val="es-PE"/>
        </w:rPr>
        <w:t xml:space="preserve"> (</w:t>
      </w:r>
      <w:proofErr w:type="spellStart"/>
      <w:r w:rsidRPr="005B6D62">
        <w:rPr>
          <w:i/>
          <w:iCs/>
          <w:lang w:val="es-PE"/>
        </w:rPr>
        <w:t>āloka</w:t>
      </w:r>
      <w:proofErr w:type="spellEnd"/>
      <w:r w:rsidRPr="005B6D62">
        <w:rPr>
          <w:i/>
          <w:iCs/>
          <w:lang w:val="es-PE"/>
        </w:rPr>
        <w:t>–s</w:t>
      </w:r>
      <w:r w:rsidRPr="005B6D62">
        <w:rPr>
          <w:lang w:val="es-PE"/>
        </w:rPr>
        <w:t xml:space="preserve">.) I.140; XXIII.20; </w:t>
      </w:r>
      <w:r w:rsidRPr="005B6D62">
        <w:rPr>
          <w:i/>
          <w:iCs/>
          <w:lang w:val="es-PE"/>
        </w:rPr>
        <w:t>p. de ligereza</w:t>
      </w:r>
      <w:r w:rsidRPr="005B6D62">
        <w:rPr>
          <w:lang w:val="es-PE"/>
        </w:rPr>
        <w:t xml:space="preserve"> (</w:t>
      </w:r>
      <w:proofErr w:type="spellStart"/>
      <w:r w:rsidRPr="005B6D62">
        <w:rPr>
          <w:i/>
          <w:iCs/>
          <w:lang w:val="es-PE"/>
        </w:rPr>
        <w:t>lahu</w:t>
      </w:r>
      <w:proofErr w:type="spellEnd"/>
      <w:r w:rsidRPr="005B6D62">
        <w:rPr>
          <w:i/>
          <w:iCs/>
          <w:lang w:val="es-PE"/>
        </w:rPr>
        <w:t>–s</w:t>
      </w:r>
      <w:r w:rsidRPr="005B6D62">
        <w:rPr>
          <w:lang w:val="es-PE"/>
        </w:rPr>
        <w:t xml:space="preserve">.) XII.119; </w:t>
      </w:r>
      <w:r w:rsidRPr="005B6D62">
        <w:rPr>
          <w:i/>
          <w:iCs/>
          <w:lang w:val="es-PE"/>
        </w:rPr>
        <w:t>p. de un ser viviente</w:t>
      </w:r>
      <w:r w:rsidRPr="005B6D62">
        <w:rPr>
          <w:lang w:val="es-PE"/>
        </w:rPr>
        <w:t xml:space="preserve"> (</w:t>
      </w:r>
      <w:proofErr w:type="spellStart"/>
      <w:r w:rsidRPr="005B6D62">
        <w:rPr>
          <w:i/>
          <w:iCs/>
          <w:lang w:val="es-PE"/>
        </w:rPr>
        <w:t>satta</w:t>
      </w:r>
      <w:proofErr w:type="spellEnd"/>
      <w:r w:rsidRPr="005B6D62">
        <w:rPr>
          <w:i/>
          <w:iCs/>
          <w:lang w:val="es-PE"/>
        </w:rPr>
        <w:t>–s</w:t>
      </w:r>
      <w:r w:rsidRPr="005B6D62">
        <w:rPr>
          <w:lang w:val="es-PE"/>
        </w:rPr>
        <w:t xml:space="preserve">.) XX.82; XXI.122; </w:t>
      </w:r>
      <w:r w:rsidRPr="005B6D62">
        <w:rPr>
          <w:i/>
          <w:iCs/>
          <w:lang w:val="es-PE"/>
        </w:rPr>
        <w:t>p. de permanencia</w:t>
      </w:r>
      <w:r w:rsidRPr="005B6D62">
        <w:rPr>
          <w:lang w:val="es-PE"/>
        </w:rPr>
        <w:t xml:space="preserve"> (</w:t>
      </w:r>
      <w:proofErr w:type="spellStart"/>
      <w:r w:rsidRPr="005B6D62">
        <w:rPr>
          <w:i/>
          <w:iCs/>
          <w:lang w:val="es-PE"/>
        </w:rPr>
        <w:t>nicca</w:t>
      </w:r>
      <w:proofErr w:type="spellEnd"/>
      <w:r w:rsidRPr="005B6D62">
        <w:rPr>
          <w:i/>
          <w:iCs/>
          <w:lang w:val="es-PE"/>
        </w:rPr>
        <w:t>–s</w:t>
      </w:r>
      <w:r w:rsidRPr="005B6D62">
        <w:rPr>
          <w:lang w:val="es-PE"/>
        </w:rPr>
        <w:t xml:space="preserve">.) I.140; VIII.233; XX.90; XXI.11; XXII.34, 113; XXIII.23; </w:t>
      </w:r>
      <w:r w:rsidRPr="005B6D62">
        <w:rPr>
          <w:i/>
          <w:iCs/>
          <w:lang w:val="es-PE"/>
        </w:rPr>
        <w:t>p. de placer</w:t>
      </w:r>
      <w:r w:rsidRPr="005B6D62">
        <w:rPr>
          <w:lang w:val="es-PE"/>
        </w:rPr>
        <w:t xml:space="preserve"> (</w:t>
      </w:r>
      <w:proofErr w:type="spellStart"/>
      <w:r w:rsidRPr="005B6D62">
        <w:rPr>
          <w:i/>
          <w:iCs/>
          <w:lang w:val="es-PE"/>
        </w:rPr>
        <w:t>sukha</w:t>
      </w:r>
      <w:proofErr w:type="spellEnd"/>
      <w:r w:rsidRPr="005B6D62">
        <w:rPr>
          <w:i/>
          <w:iCs/>
          <w:lang w:val="es-PE"/>
        </w:rPr>
        <w:t>–s</w:t>
      </w:r>
      <w:r w:rsidRPr="005B6D62">
        <w:rPr>
          <w:lang w:val="es-PE"/>
        </w:rPr>
        <w:t xml:space="preserve">.) I.140; VIII.233; XX.90; XXI.11, 122; XXII.34, 113; XXIII.23; </w:t>
      </w:r>
      <w:r w:rsidRPr="005B6D62">
        <w:rPr>
          <w:i/>
          <w:iCs/>
          <w:lang w:val="es-PE"/>
        </w:rPr>
        <w:t>p. de repulsividad</w:t>
      </w:r>
      <w:r w:rsidRPr="005B6D62">
        <w:rPr>
          <w:lang w:val="es-PE"/>
        </w:rPr>
        <w:t xml:space="preserve"> (</w:t>
      </w:r>
      <w:proofErr w:type="spellStart"/>
      <w:r w:rsidRPr="005B6D62">
        <w:rPr>
          <w:i/>
          <w:iCs/>
          <w:lang w:val="es-PE"/>
        </w:rPr>
        <w:t>āhāre</w:t>
      </w:r>
      <w:proofErr w:type="spellEnd"/>
      <w:r w:rsidRPr="005B6D62">
        <w:rPr>
          <w:i/>
          <w:iCs/>
          <w:lang w:val="es-PE"/>
        </w:rPr>
        <w:t xml:space="preserve"> </w:t>
      </w:r>
      <w:proofErr w:type="spellStart"/>
      <w:r w:rsidRPr="005B6D62">
        <w:rPr>
          <w:i/>
          <w:iCs/>
          <w:lang w:val="es-PE"/>
        </w:rPr>
        <w:t>paṭikkūla</w:t>
      </w:r>
      <w:proofErr w:type="spellEnd"/>
      <w:r w:rsidRPr="005B6D62">
        <w:rPr>
          <w:i/>
          <w:iCs/>
          <w:lang w:val="es-PE"/>
        </w:rPr>
        <w:t>–s</w:t>
      </w:r>
      <w:r w:rsidRPr="005B6D62">
        <w:rPr>
          <w:lang w:val="es-PE"/>
        </w:rPr>
        <w:t xml:space="preserve">.) III.6; XI.4s.; </w:t>
      </w:r>
      <w:r w:rsidRPr="005B6D62">
        <w:rPr>
          <w:i/>
          <w:iCs/>
          <w:lang w:val="es-PE"/>
        </w:rPr>
        <w:t>p. de alma</w:t>
      </w:r>
      <w:r w:rsidRPr="005B6D62">
        <w:rPr>
          <w:lang w:val="es-PE"/>
        </w:rPr>
        <w:t xml:space="preserve"> (</w:t>
      </w:r>
      <w:proofErr w:type="spellStart"/>
      <w:r w:rsidRPr="005B6D62">
        <w:rPr>
          <w:i/>
          <w:iCs/>
          <w:lang w:val="es-PE"/>
        </w:rPr>
        <w:t>atta</w:t>
      </w:r>
      <w:proofErr w:type="spellEnd"/>
      <w:r w:rsidRPr="005B6D62">
        <w:rPr>
          <w:i/>
          <w:iCs/>
          <w:lang w:val="es-PE"/>
        </w:rPr>
        <w:t>–s</w:t>
      </w:r>
      <w:r w:rsidRPr="005B6D62">
        <w:rPr>
          <w:lang w:val="es-PE"/>
        </w:rPr>
        <w:t xml:space="preserve">.) I.140; VIII.233; XX.90; XXI.11, </w:t>
      </w:r>
      <w:r w:rsidRPr="005B6D62">
        <w:rPr>
          <w:strike/>
          <w:color w:val="833C0B" w:themeColor="accent2" w:themeShade="80"/>
          <w:u w:color="000000"/>
          <w:lang w:val="es-PE"/>
        </w:rPr>
        <w:t>122</w:t>
      </w:r>
      <w:r w:rsidRPr="005B6D62">
        <w:rPr>
          <w:lang w:val="es-PE"/>
        </w:rPr>
        <w:t xml:space="preserve">; XXII.34, 113; XXIII.23; p. ficticia </w:t>
      </w:r>
      <w:r w:rsidRPr="005B6D62">
        <w:rPr>
          <w:i/>
          <w:iCs/>
          <w:lang w:val="es-PE"/>
        </w:rPr>
        <w:t>(</w:t>
      </w:r>
      <w:proofErr w:type="spellStart"/>
      <w:r w:rsidRPr="005B6D62">
        <w:rPr>
          <w:i/>
          <w:iCs/>
          <w:lang w:val="es-PE"/>
        </w:rPr>
        <w:t>visama</w:t>
      </w:r>
      <w:proofErr w:type="spellEnd"/>
      <w:r w:rsidRPr="005B6D62">
        <w:rPr>
          <w:i/>
          <w:iCs/>
          <w:lang w:val="es-PE"/>
        </w:rPr>
        <w:t>–s</w:t>
      </w:r>
      <w:r w:rsidRPr="005B6D62">
        <w:rPr>
          <w:lang w:val="es-PE"/>
        </w:rPr>
        <w:t>.) VII.59</w:t>
      </w:r>
    </w:p>
    <w:p w14:paraId="35F347A9" w14:textId="77777777" w:rsidR="00597DE2" w:rsidRPr="005B6D62" w:rsidRDefault="00597DE2" w:rsidP="00597DE2">
      <w:pPr>
        <w:pStyle w:val="ParrafoApendice"/>
        <w:rPr>
          <w:lang w:val="es-PE"/>
        </w:rPr>
      </w:pPr>
      <w:r w:rsidRPr="005B6D62">
        <w:rPr>
          <w:lang w:val="es-PE"/>
        </w:rPr>
        <w:t>perdición (</w:t>
      </w:r>
      <w:proofErr w:type="spellStart"/>
      <w:r w:rsidRPr="005B6D62">
        <w:rPr>
          <w:i/>
          <w:iCs/>
          <w:lang w:val="es-PE"/>
        </w:rPr>
        <w:t>vinipāta</w:t>
      </w:r>
      <w:proofErr w:type="spellEnd"/>
      <w:r w:rsidRPr="005B6D62">
        <w:rPr>
          <w:lang w:val="es-PE"/>
        </w:rPr>
        <w:t xml:space="preserve">) XIII.92 </w:t>
      </w:r>
    </w:p>
    <w:p w14:paraId="5110E50D" w14:textId="77777777" w:rsidR="00597DE2" w:rsidRPr="00384F01" w:rsidRDefault="00597DE2" w:rsidP="00597DE2">
      <w:pPr>
        <w:pStyle w:val="ParrafoApendice"/>
        <w:rPr>
          <w:lang w:val="es-PE"/>
        </w:rPr>
      </w:pPr>
      <w:r>
        <w:rPr>
          <w:lang w:val="es-PE"/>
        </w:rPr>
        <w:t>pereza, flojera</w:t>
      </w:r>
      <w:r w:rsidRPr="00384F01">
        <w:rPr>
          <w:lang w:val="es-PE"/>
        </w:rPr>
        <w:t xml:space="preserve"> (</w:t>
      </w:r>
      <w:proofErr w:type="spellStart"/>
      <w:r w:rsidRPr="00384F01">
        <w:rPr>
          <w:i/>
          <w:iCs/>
          <w:lang w:val="es-PE"/>
        </w:rPr>
        <w:t>thīna</w:t>
      </w:r>
      <w:proofErr w:type="spellEnd"/>
      <w:r w:rsidRPr="00384F01">
        <w:rPr>
          <w:lang w:val="es-PE"/>
        </w:rPr>
        <w:t>) III.95; XIV.167; XXII.49</w:t>
      </w:r>
    </w:p>
    <w:p w14:paraId="10300894" w14:textId="77777777" w:rsidR="00597DE2" w:rsidRPr="00505E6C" w:rsidRDefault="00597DE2" w:rsidP="00597DE2">
      <w:pPr>
        <w:pStyle w:val="ParrafoApendice"/>
        <w:rPr>
          <w:lang w:val="es-PE"/>
        </w:rPr>
      </w:pPr>
      <w:r w:rsidRPr="00505E6C">
        <w:rPr>
          <w:lang w:val="es-PE"/>
        </w:rPr>
        <w:t>pereza</w:t>
      </w:r>
      <w:r>
        <w:rPr>
          <w:rFonts w:cs="Cormorant"/>
          <w:lang w:val="es-PE"/>
        </w:rPr>
        <w:t>‒</w:t>
      </w:r>
      <w:r w:rsidRPr="00505E6C">
        <w:rPr>
          <w:lang w:val="es-PE"/>
        </w:rPr>
        <w:t>y</w:t>
      </w:r>
      <w:r>
        <w:rPr>
          <w:rFonts w:cs="Cormorant"/>
          <w:lang w:val="es-PE"/>
        </w:rPr>
        <w:t>‒</w:t>
      </w:r>
      <w:r>
        <w:rPr>
          <w:lang w:val="es-PE"/>
        </w:rPr>
        <w:t xml:space="preserve">letargo </w:t>
      </w:r>
      <w:r w:rsidRPr="00505E6C">
        <w:rPr>
          <w:lang w:val="es-PE"/>
        </w:rPr>
        <w:t>(</w:t>
      </w:r>
      <w:proofErr w:type="spellStart"/>
      <w:r w:rsidRPr="00505E6C">
        <w:rPr>
          <w:i/>
          <w:iCs/>
          <w:lang w:val="es-PE"/>
        </w:rPr>
        <w:t>thīna</w:t>
      </w:r>
      <w:proofErr w:type="spellEnd"/>
      <w:r w:rsidRPr="00505E6C">
        <w:rPr>
          <w:i/>
          <w:iCs/>
          <w:lang w:val="es-PE"/>
        </w:rPr>
        <w:t>–</w:t>
      </w:r>
      <w:proofErr w:type="spellStart"/>
      <w:r w:rsidRPr="00505E6C">
        <w:rPr>
          <w:i/>
          <w:iCs/>
          <w:lang w:val="es-PE"/>
        </w:rPr>
        <w:t>middha</w:t>
      </w:r>
      <w:proofErr w:type="spellEnd"/>
      <w:r w:rsidRPr="00505E6C">
        <w:rPr>
          <w:lang w:val="es-PE"/>
        </w:rPr>
        <w:t>) I.140; IV.86, 104; V.35</w:t>
      </w:r>
      <w:r>
        <w:rPr>
          <w:lang w:val="es-PE"/>
        </w:rPr>
        <w:t>s</w:t>
      </w:r>
      <w:r w:rsidRPr="00505E6C">
        <w:rPr>
          <w:lang w:val="es-PE"/>
        </w:rPr>
        <w:t>.; XIV.166, 175</w:t>
      </w:r>
    </w:p>
    <w:p w14:paraId="1DC5DBFA" w14:textId="77777777" w:rsidR="00597DE2" w:rsidRPr="005B6D62" w:rsidRDefault="00597DE2" w:rsidP="00597DE2">
      <w:pPr>
        <w:pStyle w:val="ParrafoApendice"/>
        <w:rPr>
          <w:lang w:val="es-PE"/>
        </w:rPr>
      </w:pPr>
      <w:r w:rsidRPr="005B6D62">
        <w:rPr>
          <w:lang w:val="es-PE"/>
        </w:rPr>
        <w:t>perfección (</w:t>
      </w:r>
      <w:r w:rsidRPr="005B6D62">
        <w:rPr>
          <w:i/>
          <w:iCs/>
          <w:lang w:val="es-PE"/>
        </w:rPr>
        <w:t xml:space="preserve">pāramī, </w:t>
      </w:r>
      <w:proofErr w:type="spellStart"/>
      <w:r w:rsidRPr="005B6D62">
        <w:rPr>
          <w:i/>
          <w:iCs/>
          <w:lang w:val="es-PE"/>
        </w:rPr>
        <w:t>pāramitā</w:t>
      </w:r>
      <w:proofErr w:type="spellEnd"/>
      <w:r w:rsidRPr="005B6D62">
        <w:rPr>
          <w:lang w:val="es-PE"/>
        </w:rPr>
        <w:t xml:space="preserve">) I.33; VII.34; IX.124 </w:t>
      </w:r>
    </w:p>
    <w:p w14:paraId="4A94C0DD" w14:textId="77777777" w:rsidR="00597DE2" w:rsidRPr="005B6D62" w:rsidRDefault="00597DE2" w:rsidP="00597DE2">
      <w:pPr>
        <w:pStyle w:val="ParrafoApendice"/>
        <w:rPr>
          <w:lang w:val="es-PE"/>
        </w:rPr>
      </w:pPr>
      <w:r w:rsidRPr="005B6D62">
        <w:rPr>
          <w:lang w:val="es-PE"/>
        </w:rPr>
        <w:t>periodo (</w:t>
      </w:r>
      <w:proofErr w:type="spellStart"/>
      <w:r w:rsidRPr="005B6D62">
        <w:rPr>
          <w:i/>
          <w:iCs/>
          <w:lang w:val="es-PE"/>
        </w:rPr>
        <w:t>samaya</w:t>
      </w:r>
      <w:proofErr w:type="spellEnd"/>
      <w:r w:rsidRPr="005B6D62">
        <w:rPr>
          <w:lang w:val="es-PE"/>
        </w:rPr>
        <w:t xml:space="preserve">) XIV.186, 189 </w:t>
      </w:r>
    </w:p>
    <w:p w14:paraId="47B7BD38" w14:textId="77777777" w:rsidR="00597DE2" w:rsidRPr="005B6D62" w:rsidRDefault="00597DE2" w:rsidP="00597DE2">
      <w:pPr>
        <w:pStyle w:val="ParrafoApendice"/>
        <w:rPr>
          <w:lang w:val="es-PE"/>
        </w:rPr>
      </w:pPr>
      <w:r w:rsidRPr="005B6D62">
        <w:rPr>
          <w:lang w:val="es-PE"/>
        </w:rPr>
        <w:t>permanente, permanencia (</w:t>
      </w:r>
      <w:proofErr w:type="spellStart"/>
      <w:r w:rsidRPr="005B6D62">
        <w:rPr>
          <w:i/>
          <w:iCs/>
          <w:lang w:val="es-PE"/>
        </w:rPr>
        <w:t>nicca</w:t>
      </w:r>
      <w:proofErr w:type="spellEnd"/>
      <w:r w:rsidRPr="005B6D62">
        <w:rPr>
          <w:lang w:val="es-PE"/>
        </w:rPr>
        <w:t xml:space="preserve">) I.140; XXI.56. Ver también </w:t>
      </w:r>
      <w:r w:rsidRPr="005B6D62">
        <w:rPr>
          <w:i/>
          <w:iCs/>
          <w:lang w:val="es-PE"/>
        </w:rPr>
        <w:t>percepción de p</w:t>
      </w:r>
      <w:r w:rsidRPr="005B6D62">
        <w:rPr>
          <w:lang w:val="es-PE"/>
        </w:rPr>
        <w:t>.</w:t>
      </w:r>
    </w:p>
    <w:p w14:paraId="6EE2EC80" w14:textId="77777777" w:rsidR="00597DE2" w:rsidRPr="005B6D62" w:rsidRDefault="00597DE2" w:rsidP="00597DE2">
      <w:pPr>
        <w:pStyle w:val="ParrafoApendice"/>
        <w:rPr>
          <w:lang w:val="es-PE"/>
        </w:rPr>
      </w:pPr>
      <w:r w:rsidRPr="005B6D62">
        <w:rPr>
          <w:lang w:val="es-PE"/>
        </w:rPr>
        <w:t>perpetrador (</w:t>
      </w:r>
      <w:proofErr w:type="spellStart"/>
      <w:r w:rsidRPr="005B6D62">
        <w:rPr>
          <w:i/>
          <w:iCs/>
          <w:lang w:val="es-PE"/>
        </w:rPr>
        <w:t>kāraka</w:t>
      </w:r>
      <w:proofErr w:type="spellEnd"/>
      <w:r w:rsidRPr="005B6D62">
        <w:rPr>
          <w:lang w:val="es-PE"/>
        </w:rPr>
        <w:t xml:space="preserve">) XVI.90; XVII.273, 282, 302; XIX.20; XX.16 </w:t>
      </w:r>
    </w:p>
    <w:p w14:paraId="1297DE91" w14:textId="77777777" w:rsidR="00597DE2" w:rsidRPr="005B6D62" w:rsidRDefault="00597DE2" w:rsidP="00597DE2">
      <w:pPr>
        <w:pStyle w:val="ParrafoApendice"/>
        <w:rPr>
          <w:lang w:val="es-PE"/>
        </w:rPr>
      </w:pPr>
      <w:r w:rsidRPr="005B6D62">
        <w:rPr>
          <w:lang w:val="es-PE"/>
        </w:rPr>
        <w:t>persona (</w:t>
      </w:r>
      <w:proofErr w:type="spellStart"/>
      <w:r w:rsidRPr="005B6D62">
        <w:rPr>
          <w:i/>
          <w:iCs/>
          <w:lang w:val="es-PE"/>
        </w:rPr>
        <w:t>puggala</w:t>
      </w:r>
      <w:proofErr w:type="spellEnd"/>
      <w:r w:rsidRPr="005B6D62">
        <w:rPr>
          <w:lang w:val="es-PE"/>
        </w:rPr>
        <w:t xml:space="preserve">) I.52; </w:t>
      </w:r>
      <w:r w:rsidRPr="005B6D62">
        <w:rPr>
          <w:strike/>
          <w:color w:val="833C0B" w:themeColor="accent2" w:themeShade="80"/>
          <w:lang w:val="es-PE"/>
        </w:rPr>
        <w:t>IX.93;</w:t>
      </w:r>
      <w:r w:rsidRPr="005B6D62">
        <w:rPr>
          <w:color w:val="833C0B" w:themeColor="accent2" w:themeShade="80"/>
          <w:lang w:val="es-PE"/>
        </w:rPr>
        <w:t xml:space="preserve"> </w:t>
      </w:r>
      <w:r w:rsidRPr="005B6D62">
        <w:rPr>
          <w:lang w:val="es-PE"/>
        </w:rPr>
        <w:t xml:space="preserve">XI.30; XIV.201. ver también </w:t>
      </w:r>
      <w:r w:rsidRPr="005B6D62">
        <w:rPr>
          <w:i/>
          <w:iCs/>
          <w:lang w:val="es-PE"/>
        </w:rPr>
        <w:t>p. noble</w:t>
      </w:r>
      <w:r w:rsidRPr="005B6D62">
        <w:rPr>
          <w:lang w:val="es-PE"/>
        </w:rPr>
        <w:t xml:space="preserve">.; </w:t>
      </w:r>
      <w:r w:rsidRPr="005B6D62">
        <w:rPr>
          <w:i/>
          <w:iCs/>
          <w:lang w:val="es-PE"/>
        </w:rPr>
        <w:t>en términos de p</w:t>
      </w:r>
      <w:r w:rsidRPr="005B6D62">
        <w:rPr>
          <w:lang w:val="es-PE"/>
        </w:rPr>
        <w:t>. (</w:t>
      </w:r>
      <w:proofErr w:type="spellStart"/>
      <w:r w:rsidRPr="005B6D62">
        <w:rPr>
          <w:i/>
          <w:iCs/>
          <w:lang w:val="es-PE"/>
        </w:rPr>
        <w:t>puggalādhiṭṭhāna</w:t>
      </w:r>
      <w:proofErr w:type="spellEnd"/>
      <w:r w:rsidRPr="005B6D62">
        <w:rPr>
          <w:lang w:val="es-PE"/>
        </w:rPr>
        <w:t xml:space="preserve">) IV.92 </w:t>
      </w:r>
    </w:p>
    <w:p w14:paraId="67422216" w14:textId="77777777" w:rsidR="00597DE2" w:rsidRPr="005B6D62" w:rsidRDefault="00597DE2" w:rsidP="00597DE2">
      <w:pPr>
        <w:pStyle w:val="ParrafoApendice"/>
        <w:rPr>
          <w:lang w:val="es-PE"/>
        </w:rPr>
      </w:pPr>
      <w:r w:rsidRPr="005B6D62">
        <w:rPr>
          <w:lang w:val="es-PE"/>
        </w:rPr>
        <w:t>personalidad (</w:t>
      </w:r>
      <w:r w:rsidRPr="005B6D62">
        <w:rPr>
          <w:i/>
          <w:iCs/>
          <w:lang w:val="es-PE"/>
        </w:rPr>
        <w:t>sakkāya</w:t>
      </w:r>
      <w:r w:rsidRPr="005B6D62">
        <w:rPr>
          <w:lang w:val="es-PE"/>
        </w:rPr>
        <w:t xml:space="preserve">), ver individualidad </w:t>
      </w:r>
    </w:p>
    <w:p w14:paraId="6F2295C8" w14:textId="77777777" w:rsidR="00597DE2" w:rsidRPr="005B6D62" w:rsidRDefault="00597DE2" w:rsidP="00597DE2">
      <w:pPr>
        <w:pStyle w:val="ParrafoApendice"/>
        <w:rPr>
          <w:lang w:val="es-PE"/>
        </w:rPr>
      </w:pPr>
      <w:r w:rsidRPr="005B6D62">
        <w:rPr>
          <w:lang w:val="es-PE"/>
        </w:rPr>
        <w:t>perturbación, afectación, vulneración (</w:t>
      </w:r>
      <w:proofErr w:type="spellStart"/>
      <w:r w:rsidRPr="005B6D62">
        <w:rPr>
          <w:i/>
          <w:iCs/>
          <w:lang w:val="es-PE"/>
        </w:rPr>
        <w:t>ghaṭṭana</w:t>
      </w:r>
      <w:proofErr w:type="spellEnd"/>
      <w:r w:rsidRPr="005B6D62">
        <w:rPr>
          <w:i/>
          <w:iCs/>
          <w:lang w:val="es-PE"/>
        </w:rPr>
        <w:t xml:space="preserve">, </w:t>
      </w:r>
      <w:proofErr w:type="spellStart"/>
      <w:r w:rsidRPr="005B6D62">
        <w:rPr>
          <w:i/>
          <w:iCs/>
          <w:lang w:val="es-PE"/>
        </w:rPr>
        <w:t>saṅghaṭṭana</w:t>
      </w:r>
      <w:proofErr w:type="spellEnd"/>
      <w:r w:rsidRPr="005B6D62">
        <w:rPr>
          <w:lang w:val="es-PE"/>
        </w:rPr>
        <w:t xml:space="preserve">) I.53; XIV.73, 115, 134; XVII.308 </w:t>
      </w:r>
    </w:p>
    <w:p w14:paraId="1CD91A29" w14:textId="77777777" w:rsidR="00597DE2" w:rsidRPr="005B6D62" w:rsidRDefault="00597DE2" w:rsidP="00597DE2">
      <w:pPr>
        <w:pStyle w:val="ParrafoApendice"/>
        <w:rPr>
          <w:lang w:val="es-PE"/>
        </w:rPr>
      </w:pPr>
      <w:r w:rsidRPr="005B6D62">
        <w:rPr>
          <w:lang w:val="es-PE"/>
        </w:rPr>
        <w:t>perversidad (</w:t>
      </w:r>
      <w:proofErr w:type="spellStart"/>
      <w:r w:rsidRPr="005B6D62">
        <w:rPr>
          <w:i/>
          <w:iCs/>
          <w:lang w:val="es-PE"/>
        </w:rPr>
        <w:t>vipariyesa</w:t>
      </w:r>
      <w:proofErr w:type="spellEnd"/>
      <w:r w:rsidRPr="005B6D62">
        <w:rPr>
          <w:lang w:val="es-PE"/>
        </w:rPr>
        <w:t xml:space="preserve">) VII.59 </w:t>
      </w:r>
    </w:p>
    <w:p w14:paraId="4FCD5E27" w14:textId="77777777" w:rsidR="00597DE2" w:rsidRPr="005B6D62" w:rsidRDefault="00597DE2" w:rsidP="00597DE2">
      <w:pPr>
        <w:pStyle w:val="ParrafoApendice"/>
        <w:rPr>
          <w:lang w:val="es-PE"/>
        </w:rPr>
      </w:pPr>
      <w:proofErr w:type="spellStart"/>
      <w:r w:rsidRPr="005B6D62">
        <w:rPr>
          <w:lang w:val="es-PE"/>
        </w:rPr>
        <w:t>perversion</w:t>
      </w:r>
      <w:proofErr w:type="spellEnd"/>
      <w:r w:rsidRPr="005B6D62">
        <w:rPr>
          <w:lang w:val="es-PE"/>
        </w:rPr>
        <w:t xml:space="preserve"> (</w:t>
      </w:r>
      <w:proofErr w:type="spellStart"/>
      <w:r w:rsidRPr="005B6D62">
        <w:rPr>
          <w:i/>
          <w:iCs/>
          <w:lang w:val="es-PE"/>
        </w:rPr>
        <w:t>vipallāsa</w:t>
      </w:r>
      <w:proofErr w:type="spellEnd"/>
      <w:r w:rsidRPr="005B6D62">
        <w:rPr>
          <w:lang w:val="es-PE"/>
        </w:rPr>
        <w:t xml:space="preserve">) XIV.226s.; XVII.63; XXII.53, 68 </w:t>
      </w:r>
    </w:p>
    <w:p w14:paraId="14A1CE0B" w14:textId="77777777" w:rsidR="00597DE2" w:rsidRPr="005B6D62" w:rsidRDefault="00597DE2" w:rsidP="00597DE2">
      <w:pPr>
        <w:pStyle w:val="ParrafoApendice"/>
        <w:rPr>
          <w:lang w:val="es-PE"/>
        </w:rPr>
      </w:pPr>
      <w:proofErr w:type="spellStart"/>
      <w:r w:rsidRPr="005B6D62">
        <w:rPr>
          <w:lang w:val="es-PE"/>
        </w:rPr>
        <w:t>Phārusaka</w:t>
      </w:r>
      <w:proofErr w:type="spellEnd"/>
      <w:r w:rsidRPr="005B6D62">
        <w:rPr>
          <w:lang w:val="es-PE"/>
        </w:rPr>
        <w:t xml:space="preserve">, Bosque XII.79 </w:t>
      </w:r>
    </w:p>
    <w:p w14:paraId="1E6A479A" w14:textId="77777777" w:rsidR="00597DE2" w:rsidRPr="005B6D62" w:rsidRDefault="00597DE2" w:rsidP="00597DE2">
      <w:pPr>
        <w:pStyle w:val="ParrafoApendice"/>
        <w:rPr>
          <w:lang w:val="es-PE"/>
        </w:rPr>
      </w:pPr>
      <w:proofErr w:type="spellStart"/>
      <w:r w:rsidRPr="005B6D62">
        <w:rPr>
          <w:lang w:val="es-PE"/>
        </w:rPr>
        <w:t>Phussa</w:t>
      </w:r>
      <w:proofErr w:type="spellEnd"/>
      <w:r w:rsidRPr="005B6D62">
        <w:rPr>
          <w:lang w:val="es-PE"/>
        </w:rPr>
        <w:t xml:space="preserve"> </w:t>
      </w:r>
      <w:proofErr w:type="spellStart"/>
      <w:r w:rsidRPr="005B6D62">
        <w:rPr>
          <w:lang w:val="es-PE"/>
        </w:rPr>
        <w:t>Mittā</w:t>
      </w:r>
      <w:proofErr w:type="spellEnd"/>
      <w:r w:rsidRPr="005B6D62">
        <w:rPr>
          <w:lang w:val="es-PE"/>
        </w:rPr>
        <w:t xml:space="preserve"> XII.39 </w:t>
      </w:r>
    </w:p>
    <w:p w14:paraId="6E499CFC" w14:textId="77777777" w:rsidR="00597DE2" w:rsidRPr="005B6D62" w:rsidRDefault="00597DE2" w:rsidP="00597DE2">
      <w:pPr>
        <w:pStyle w:val="ParrafoApendice"/>
        <w:rPr>
          <w:lang w:val="es-PE"/>
        </w:rPr>
      </w:pPr>
      <w:proofErr w:type="spellStart"/>
      <w:r w:rsidRPr="005B6D62">
        <w:rPr>
          <w:lang w:val="es-PE"/>
        </w:rPr>
        <w:t>Phussa</w:t>
      </w:r>
      <w:proofErr w:type="spellEnd"/>
      <w:r w:rsidRPr="005B6D62">
        <w:rPr>
          <w:lang w:val="es-PE"/>
        </w:rPr>
        <w:t xml:space="preserve">–Deva </w:t>
      </w:r>
      <w:proofErr w:type="spellStart"/>
      <w:r w:rsidRPr="005B6D62">
        <w:rPr>
          <w:lang w:val="es-PE"/>
        </w:rPr>
        <w:t>Thera</w:t>
      </w:r>
      <w:proofErr w:type="spellEnd"/>
      <w:r w:rsidRPr="005B6D62">
        <w:rPr>
          <w:lang w:val="es-PE"/>
        </w:rPr>
        <w:t xml:space="preserve"> VII.</w:t>
      </w:r>
      <w:r w:rsidRPr="005B6D62">
        <w:rPr>
          <w:color w:val="833C0B" w:themeColor="accent2" w:themeShade="80"/>
          <w:lang w:val="es-PE"/>
        </w:rPr>
        <w:t xml:space="preserve">127 </w:t>
      </w:r>
    </w:p>
    <w:p w14:paraId="191858AD" w14:textId="77777777" w:rsidR="00597DE2" w:rsidRPr="005B6D62" w:rsidRDefault="00597DE2" w:rsidP="00597DE2">
      <w:pPr>
        <w:pStyle w:val="ParrafoApendice"/>
        <w:rPr>
          <w:lang w:val="es-PE"/>
        </w:rPr>
      </w:pPr>
      <w:proofErr w:type="spellStart"/>
      <w:r w:rsidRPr="005B6D62">
        <w:rPr>
          <w:lang w:val="es-PE"/>
        </w:rPr>
        <w:t>pisāca</w:t>
      </w:r>
      <w:proofErr w:type="spellEnd"/>
      <w:r w:rsidRPr="005B6D62">
        <w:rPr>
          <w:lang w:val="es-PE"/>
        </w:rPr>
        <w:t xml:space="preserve"> (</w:t>
      </w:r>
      <w:r>
        <w:rPr>
          <w:lang w:val="es-PE"/>
        </w:rPr>
        <w:t>duende</w:t>
      </w:r>
      <w:r w:rsidRPr="005B6D62">
        <w:rPr>
          <w:lang w:val="es-PE"/>
        </w:rPr>
        <w:t xml:space="preserve">) X.4 </w:t>
      </w:r>
    </w:p>
    <w:p w14:paraId="560E9254" w14:textId="77777777" w:rsidR="00597DE2" w:rsidRPr="005B6D62" w:rsidRDefault="00597DE2" w:rsidP="00597DE2">
      <w:pPr>
        <w:pStyle w:val="ParrafoApendice"/>
        <w:rPr>
          <w:lang w:val="es-PE"/>
        </w:rPr>
      </w:pPr>
      <w:proofErr w:type="spellStart"/>
      <w:r w:rsidRPr="005B6D62">
        <w:rPr>
          <w:lang w:val="es-PE"/>
        </w:rPr>
        <w:t>Piyaṅkara</w:t>
      </w:r>
      <w:proofErr w:type="spellEnd"/>
      <w:r w:rsidRPr="005B6D62">
        <w:rPr>
          <w:lang w:val="es-PE"/>
        </w:rPr>
        <w:t>–</w:t>
      </w:r>
      <w:proofErr w:type="spellStart"/>
      <w:r w:rsidRPr="005B6D62">
        <w:rPr>
          <w:lang w:val="es-PE"/>
        </w:rPr>
        <w:t>mātar</w:t>
      </w:r>
      <w:proofErr w:type="spellEnd"/>
      <w:r w:rsidRPr="005B6D62">
        <w:rPr>
          <w:lang w:val="es-PE"/>
        </w:rPr>
        <w:t xml:space="preserve"> XII.39 </w:t>
      </w:r>
    </w:p>
    <w:p w14:paraId="0810842D" w14:textId="77777777" w:rsidR="00597DE2" w:rsidRPr="005B6D62" w:rsidRDefault="00597DE2" w:rsidP="00597DE2">
      <w:pPr>
        <w:pStyle w:val="ParrafoApendice"/>
        <w:rPr>
          <w:lang w:val="es-PE"/>
        </w:rPr>
      </w:pPr>
      <w:r w:rsidRPr="005B6D62">
        <w:rPr>
          <w:lang w:val="es-PE"/>
        </w:rPr>
        <w:t>placer (</w:t>
      </w:r>
      <w:proofErr w:type="spellStart"/>
      <w:r w:rsidRPr="005B6D62">
        <w:rPr>
          <w:i/>
          <w:iCs/>
          <w:lang w:val="es-PE"/>
        </w:rPr>
        <w:t>nandi</w:t>
      </w:r>
      <w:proofErr w:type="spellEnd"/>
      <w:r w:rsidRPr="005B6D62">
        <w:rPr>
          <w:i/>
          <w:iCs/>
          <w:lang w:val="es-PE"/>
        </w:rPr>
        <w:t xml:space="preserve">, </w:t>
      </w:r>
      <w:proofErr w:type="spellStart"/>
      <w:r w:rsidRPr="005B6D62">
        <w:rPr>
          <w:i/>
          <w:iCs/>
          <w:lang w:val="es-PE"/>
        </w:rPr>
        <w:t>abhinandana</w:t>
      </w:r>
      <w:proofErr w:type="spellEnd"/>
      <w:r w:rsidRPr="005B6D62">
        <w:rPr>
          <w:lang w:val="es-PE"/>
        </w:rPr>
        <w:t>) I.140; VII.59, n.25; VIII.233; XVI.61, 93; XVII.30; XX.90; XXI.11; XXII.113; XXIII.23; (</w:t>
      </w:r>
      <w:r w:rsidRPr="005B6D62">
        <w:rPr>
          <w:i/>
          <w:iCs/>
          <w:lang w:val="es-PE"/>
        </w:rPr>
        <w:t>rati</w:t>
      </w:r>
      <w:r w:rsidRPr="005B6D62">
        <w:rPr>
          <w:lang w:val="es-PE"/>
        </w:rPr>
        <w:t xml:space="preserve">) XXI.28 </w:t>
      </w:r>
    </w:p>
    <w:p w14:paraId="7CAB55C9" w14:textId="77777777" w:rsidR="00597DE2" w:rsidRDefault="00597DE2" w:rsidP="00597DE2">
      <w:pPr>
        <w:pStyle w:val="ParrafoApendice"/>
        <w:rPr>
          <w:lang w:val="es-PE"/>
        </w:rPr>
      </w:pPr>
      <w:r>
        <w:rPr>
          <w:lang w:val="es-PE"/>
        </w:rPr>
        <w:t>placer</w:t>
      </w:r>
      <w:r w:rsidRPr="005B6D62">
        <w:rPr>
          <w:lang w:val="es-PE"/>
        </w:rPr>
        <w:t xml:space="preserve">, </w:t>
      </w:r>
      <w:r>
        <w:rPr>
          <w:lang w:val="es-PE"/>
        </w:rPr>
        <w:t xml:space="preserve">placentero, agradable, satisfactorio </w:t>
      </w:r>
      <w:r w:rsidRPr="005B6D62">
        <w:rPr>
          <w:lang w:val="es-PE"/>
        </w:rPr>
        <w:t>(</w:t>
      </w:r>
      <w:proofErr w:type="spellStart"/>
      <w:r w:rsidRPr="00BF145B">
        <w:rPr>
          <w:i/>
          <w:iCs/>
          <w:lang w:val="es-PE"/>
        </w:rPr>
        <w:t>sukha</w:t>
      </w:r>
      <w:proofErr w:type="spellEnd"/>
      <w:r w:rsidRPr="005B6D62">
        <w:rPr>
          <w:lang w:val="es-PE"/>
        </w:rPr>
        <w:t xml:space="preserve">) I.140; III.n.6; IV.184; VIII.233; IX.123; XIV.99, 102, 127, 200, 227; XV.28, 40; XVI.1, 16, 85, 90; </w:t>
      </w:r>
      <w:r>
        <w:rPr>
          <w:lang w:val="es-PE"/>
        </w:rPr>
        <w:br w:type="page"/>
      </w:r>
    </w:p>
    <w:p w14:paraId="5406FD00" w14:textId="77777777" w:rsidR="00597DE2" w:rsidRPr="005B6D62" w:rsidRDefault="00597DE2" w:rsidP="00597DE2">
      <w:pPr>
        <w:pStyle w:val="ParrafoApendice"/>
        <w:rPr>
          <w:lang w:val="es-PE"/>
        </w:rPr>
      </w:pPr>
      <w:r>
        <w:rPr>
          <w:lang w:val="es-PE"/>
        </w:rPr>
        <w:lastRenderedPageBreak/>
        <w:br/>
      </w:r>
      <w:r w:rsidRPr="005B6D62">
        <w:rPr>
          <w:lang w:val="es-PE"/>
        </w:rPr>
        <w:t xml:space="preserve">XVII.282; XX.86; XXI.56; XXII.53, 117. </w:t>
      </w:r>
      <w:r>
        <w:rPr>
          <w:lang w:val="es-PE"/>
        </w:rPr>
        <w:t xml:space="preserve">Ver también </w:t>
      </w:r>
      <w:r>
        <w:rPr>
          <w:i/>
          <w:iCs/>
          <w:lang w:val="es-PE"/>
        </w:rPr>
        <w:t>dicha</w:t>
      </w:r>
      <w:r w:rsidRPr="005B6D62">
        <w:rPr>
          <w:lang w:val="es-PE"/>
        </w:rPr>
        <w:t xml:space="preserve"> </w:t>
      </w:r>
    </w:p>
    <w:p w14:paraId="2B24C1F1" w14:textId="77777777" w:rsidR="00597DE2" w:rsidRPr="005B6D62" w:rsidRDefault="00597DE2" w:rsidP="00597DE2">
      <w:pPr>
        <w:pStyle w:val="ParrafoApendice"/>
        <w:rPr>
          <w:lang w:val="es-PE"/>
        </w:rPr>
      </w:pPr>
      <w:r w:rsidRPr="005B6D62">
        <w:rPr>
          <w:lang w:val="es-PE"/>
        </w:rPr>
        <w:t>plan</w:t>
      </w:r>
      <w:r>
        <w:rPr>
          <w:lang w:val="es-PE"/>
        </w:rPr>
        <w:t>o</w:t>
      </w:r>
      <w:r w:rsidRPr="005B6D62">
        <w:rPr>
          <w:lang w:val="es-PE"/>
        </w:rPr>
        <w:t xml:space="preserve"> (</w:t>
      </w:r>
      <w:proofErr w:type="spellStart"/>
      <w:r w:rsidRPr="00F05077">
        <w:rPr>
          <w:i/>
          <w:iCs/>
          <w:lang w:val="es-PE"/>
        </w:rPr>
        <w:t>bhūmi</w:t>
      </w:r>
      <w:proofErr w:type="spellEnd"/>
      <w:r w:rsidRPr="005B6D62">
        <w:rPr>
          <w:lang w:val="es-PE"/>
        </w:rPr>
        <w:t xml:space="preserve">) XIV.83, 206 </w:t>
      </w:r>
    </w:p>
    <w:p w14:paraId="3C310554" w14:textId="77777777" w:rsidR="00597DE2" w:rsidRPr="005B6D62" w:rsidRDefault="00597DE2" w:rsidP="00597DE2">
      <w:pPr>
        <w:pStyle w:val="ParrafoApendice"/>
        <w:rPr>
          <w:lang w:val="es-PE"/>
        </w:rPr>
      </w:pPr>
      <w:r w:rsidRPr="005B6D62">
        <w:rPr>
          <w:lang w:val="es-PE"/>
        </w:rPr>
        <w:t>plano (</w:t>
      </w:r>
      <w:proofErr w:type="spellStart"/>
      <w:r w:rsidRPr="005B6D62">
        <w:rPr>
          <w:i/>
          <w:iCs/>
          <w:lang w:val="es-PE"/>
        </w:rPr>
        <w:t>senāsana</w:t>
      </w:r>
      <w:proofErr w:type="spellEnd"/>
      <w:r w:rsidRPr="005B6D62">
        <w:rPr>
          <w:lang w:val="es-PE"/>
        </w:rPr>
        <w:t>), ver lugar de descanso; p. existencial (</w:t>
      </w:r>
      <w:proofErr w:type="spellStart"/>
      <w:r w:rsidRPr="005B6D62">
        <w:rPr>
          <w:i/>
          <w:iCs/>
          <w:lang w:val="es-PE"/>
        </w:rPr>
        <w:t>sattāvāsā</w:t>
      </w:r>
      <w:proofErr w:type="spellEnd"/>
      <w:r w:rsidRPr="005B6D62">
        <w:rPr>
          <w:lang w:val="es-PE"/>
        </w:rPr>
        <w:t xml:space="preserve">) VII.38; XIII.69; XVII.148; XXI.35 </w:t>
      </w:r>
    </w:p>
    <w:p w14:paraId="3FA64BFF" w14:textId="77777777" w:rsidR="00597DE2" w:rsidRPr="005B6D62" w:rsidRDefault="00597DE2" w:rsidP="00597DE2">
      <w:pPr>
        <w:pStyle w:val="ParrafoApendice"/>
        <w:rPr>
          <w:lang w:val="es-PE"/>
        </w:rPr>
      </w:pPr>
      <w:r w:rsidRPr="005B6D62">
        <w:rPr>
          <w:lang w:val="es-PE"/>
        </w:rPr>
        <w:t>plano celestial (</w:t>
      </w:r>
      <w:proofErr w:type="spellStart"/>
      <w:r w:rsidRPr="005B6D62">
        <w:rPr>
          <w:i/>
          <w:iCs/>
          <w:lang w:val="es-PE"/>
        </w:rPr>
        <w:t>dibba</w:t>
      </w:r>
      <w:proofErr w:type="spellEnd"/>
      <w:r w:rsidRPr="005B6D62">
        <w:rPr>
          <w:i/>
          <w:iCs/>
          <w:lang w:val="es-PE"/>
        </w:rPr>
        <w:t>–</w:t>
      </w:r>
      <w:proofErr w:type="spellStart"/>
      <w:r w:rsidRPr="005B6D62">
        <w:rPr>
          <w:i/>
          <w:iCs/>
          <w:lang w:val="es-PE"/>
        </w:rPr>
        <w:t>vihāra</w:t>
      </w:r>
      <w:proofErr w:type="spellEnd"/>
      <w:r w:rsidRPr="005B6D62">
        <w:rPr>
          <w:lang w:val="es-PE"/>
        </w:rPr>
        <w:t>) VII.63, n.28</w:t>
      </w:r>
    </w:p>
    <w:p w14:paraId="69BE3F5D" w14:textId="77777777" w:rsidR="00597DE2" w:rsidRPr="005B6D62" w:rsidRDefault="00597DE2" w:rsidP="00597DE2">
      <w:pPr>
        <w:pStyle w:val="ParrafoApendice"/>
        <w:rPr>
          <w:lang w:val="es-PE"/>
        </w:rPr>
      </w:pPr>
      <w:r w:rsidRPr="005B6D62">
        <w:rPr>
          <w:lang w:val="es-PE"/>
        </w:rPr>
        <w:t>plano</w:t>
      </w:r>
      <w:r w:rsidRPr="005B6D62">
        <w:rPr>
          <w:i/>
          <w:iCs/>
          <w:lang w:val="es-PE"/>
        </w:rPr>
        <w:t>–</w:t>
      </w:r>
      <w:r w:rsidRPr="005B6D62">
        <w:rPr>
          <w:lang w:val="es-PE"/>
        </w:rPr>
        <w:t>Brahmā (</w:t>
      </w:r>
      <w:proofErr w:type="spellStart"/>
      <w:r w:rsidRPr="005B6D62">
        <w:rPr>
          <w:i/>
          <w:iCs/>
          <w:lang w:val="es-PE"/>
        </w:rPr>
        <w:t>brahmaloka</w:t>
      </w:r>
      <w:proofErr w:type="spellEnd"/>
      <w:r w:rsidRPr="005B6D62">
        <w:rPr>
          <w:lang w:val="es-PE"/>
        </w:rPr>
        <w:t xml:space="preserve">) III.118; VII.18; XI.123; XII.71, 80, 136s.; XIII.7, 32s.; XVII.134, 180, 264; XX.108 </w:t>
      </w:r>
    </w:p>
    <w:p w14:paraId="4291C8CC" w14:textId="77777777" w:rsidR="00597DE2" w:rsidRPr="005B6D62" w:rsidRDefault="00597DE2" w:rsidP="00597DE2">
      <w:pPr>
        <w:pStyle w:val="ParrafoApendice"/>
        <w:rPr>
          <w:lang w:val="es-PE"/>
        </w:rPr>
      </w:pPr>
      <w:r w:rsidRPr="005B6D62">
        <w:rPr>
          <w:lang w:val="es-PE"/>
        </w:rPr>
        <w:t>pleno entendimiento (</w:t>
      </w:r>
      <w:proofErr w:type="spellStart"/>
      <w:r w:rsidRPr="005B6D62">
        <w:rPr>
          <w:i/>
          <w:iCs/>
          <w:lang w:val="es-PE"/>
        </w:rPr>
        <w:t>pariññā</w:t>
      </w:r>
      <w:proofErr w:type="spellEnd"/>
      <w:r w:rsidRPr="005B6D62">
        <w:rPr>
          <w:lang w:val="es-PE"/>
        </w:rPr>
        <w:t xml:space="preserve">) XI.26; XX.2s., 89; XXII.92, 105s., 128 </w:t>
      </w:r>
    </w:p>
    <w:p w14:paraId="6DD1172B" w14:textId="77777777" w:rsidR="00597DE2" w:rsidRPr="005B6D62" w:rsidRDefault="00597DE2" w:rsidP="00597DE2">
      <w:pPr>
        <w:pStyle w:val="ParrafoApendice"/>
        <w:rPr>
          <w:lang w:val="es-PE"/>
        </w:rPr>
      </w:pPr>
      <w:r>
        <w:rPr>
          <w:lang w:val="es-PE"/>
        </w:rPr>
        <w:t>poder</w:t>
      </w:r>
      <w:r w:rsidRPr="005B6D62">
        <w:rPr>
          <w:lang w:val="es-PE"/>
        </w:rPr>
        <w:t xml:space="preserve"> (</w:t>
      </w:r>
      <w:r w:rsidRPr="00E13FCC">
        <w:rPr>
          <w:i/>
          <w:iCs/>
          <w:lang w:val="es-PE"/>
        </w:rPr>
        <w:t>bala</w:t>
      </w:r>
      <w:r w:rsidRPr="005B6D62">
        <w:rPr>
          <w:lang w:val="es-PE"/>
        </w:rPr>
        <w:t>) IX.124; XVI.86; XXII.25, 42; XXIII.20; (</w:t>
      </w:r>
      <w:proofErr w:type="spellStart"/>
      <w:r w:rsidRPr="00AB007A">
        <w:rPr>
          <w:i/>
          <w:iCs/>
          <w:lang w:val="es-PE"/>
        </w:rPr>
        <w:t>iddhi</w:t>
      </w:r>
      <w:proofErr w:type="spellEnd"/>
      <w:r w:rsidRPr="005B6D62">
        <w:rPr>
          <w:lang w:val="es-PE"/>
        </w:rPr>
        <w:t>) XII.20</w:t>
      </w:r>
      <w:r>
        <w:rPr>
          <w:lang w:val="es-PE"/>
        </w:rPr>
        <w:t>s</w:t>
      </w:r>
      <w:r w:rsidRPr="005B6D62">
        <w:rPr>
          <w:lang w:val="es-PE"/>
        </w:rPr>
        <w:t xml:space="preserve">.; XXII.36. </w:t>
      </w:r>
      <w:r>
        <w:rPr>
          <w:lang w:val="es-PE"/>
        </w:rPr>
        <w:t xml:space="preserve">Ver también </w:t>
      </w:r>
      <w:r w:rsidRPr="00D141F1">
        <w:rPr>
          <w:i/>
          <w:iCs/>
          <w:lang w:val="es-PE"/>
        </w:rPr>
        <w:t>p. superno</w:t>
      </w:r>
      <w:r>
        <w:rPr>
          <w:i/>
          <w:iCs/>
          <w:lang w:val="es-PE"/>
        </w:rPr>
        <w:t>r</w:t>
      </w:r>
      <w:r w:rsidRPr="00D141F1">
        <w:rPr>
          <w:i/>
          <w:iCs/>
          <w:lang w:val="es-PE"/>
        </w:rPr>
        <w:t>mal</w:t>
      </w:r>
      <w:r w:rsidRPr="005B6D62">
        <w:rPr>
          <w:lang w:val="es-PE"/>
        </w:rPr>
        <w:t xml:space="preserve">; </w:t>
      </w:r>
      <w:r w:rsidRPr="00B41779">
        <w:rPr>
          <w:i/>
          <w:iCs/>
          <w:lang w:val="es-PE"/>
        </w:rPr>
        <w:t>p. del Perfecto</w:t>
      </w:r>
      <w:r>
        <w:rPr>
          <w:lang w:val="es-PE"/>
        </w:rPr>
        <w:t xml:space="preserve"> </w:t>
      </w:r>
      <w:r w:rsidRPr="005B6D62">
        <w:rPr>
          <w:lang w:val="es-PE"/>
        </w:rPr>
        <w:t>(</w:t>
      </w:r>
      <w:proofErr w:type="spellStart"/>
      <w:r w:rsidRPr="00B41779">
        <w:rPr>
          <w:i/>
          <w:iCs/>
          <w:lang w:val="es-PE"/>
        </w:rPr>
        <w:t>tathāgatabala</w:t>
      </w:r>
      <w:proofErr w:type="spellEnd"/>
      <w:r w:rsidRPr="005B6D62">
        <w:rPr>
          <w:lang w:val="es-PE"/>
        </w:rPr>
        <w:t xml:space="preserve">) XIV.31 </w:t>
      </w:r>
    </w:p>
    <w:p w14:paraId="0972BD64" w14:textId="77777777" w:rsidR="00597DE2" w:rsidRPr="00D41A7E" w:rsidRDefault="00597DE2" w:rsidP="00597DE2">
      <w:pPr>
        <w:pStyle w:val="ParrafoApendice"/>
        <w:rPr>
          <w:lang w:val="es-PE"/>
        </w:rPr>
      </w:pPr>
      <w:r>
        <w:rPr>
          <w:lang w:val="es-PE"/>
        </w:rPr>
        <w:t xml:space="preserve">poder </w:t>
      </w:r>
      <w:r w:rsidRPr="00D41A7E">
        <w:rPr>
          <w:lang w:val="es-PE"/>
        </w:rPr>
        <w:t>supernormal (</w:t>
      </w:r>
      <w:proofErr w:type="spellStart"/>
      <w:r w:rsidRPr="00F9367F">
        <w:rPr>
          <w:i/>
          <w:iCs/>
          <w:lang w:val="es-PE"/>
        </w:rPr>
        <w:t>iddhi</w:t>
      </w:r>
      <w:proofErr w:type="spellEnd"/>
      <w:r w:rsidRPr="00D41A7E">
        <w:rPr>
          <w:lang w:val="es-PE"/>
        </w:rPr>
        <w:t xml:space="preserve">) III.56; VII.30; XII </w:t>
      </w:r>
      <w:r w:rsidRPr="00F76CF7">
        <w:rPr>
          <w:i/>
          <w:iCs/>
          <w:lang w:val="es-PE"/>
        </w:rPr>
        <w:t>passim</w:t>
      </w:r>
      <w:r w:rsidRPr="00D41A7E">
        <w:rPr>
          <w:lang w:val="es-PE"/>
        </w:rPr>
        <w:t>, 20</w:t>
      </w:r>
      <w:r>
        <w:rPr>
          <w:lang w:val="es-PE"/>
        </w:rPr>
        <w:t>s</w:t>
      </w:r>
      <w:r w:rsidRPr="00D41A7E">
        <w:rPr>
          <w:lang w:val="es-PE"/>
        </w:rPr>
        <w:t xml:space="preserve">.; XIII.106, 122 </w:t>
      </w:r>
    </w:p>
    <w:p w14:paraId="11D8670B" w14:textId="77777777" w:rsidR="00597DE2" w:rsidRPr="00EE2F85" w:rsidRDefault="00597DE2" w:rsidP="00597DE2">
      <w:pPr>
        <w:pStyle w:val="ParrafoApendice"/>
        <w:rPr>
          <w:lang w:val="es-PE"/>
        </w:rPr>
      </w:pPr>
      <w:r w:rsidRPr="00EE2F85">
        <w:rPr>
          <w:lang w:val="es-PE"/>
        </w:rPr>
        <w:t xml:space="preserve">portador de </w:t>
      </w:r>
      <w:r>
        <w:rPr>
          <w:lang w:val="es-PE"/>
        </w:rPr>
        <w:t>harapos</w:t>
      </w:r>
      <w:r w:rsidRPr="00EE2F85">
        <w:rPr>
          <w:lang w:val="es-PE"/>
        </w:rPr>
        <w:t xml:space="preserve"> desechados (</w:t>
      </w:r>
      <w:proofErr w:type="spellStart"/>
      <w:r w:rsidRPr="00EE2F85">
        <w:rPr>
          <w:i/>
          <w:iCs/>
          <w:lang w:val="es-PE"/>
        </w:rPr>
        <w:t>paṃsukūlika</w:t>
      </w:r>
      <w:proofErr w:type="spellEnd"/>
      <w:r w:rsidRPr="00EE2F85">
        <w:rPr>
          <w:lang w:val="es-PE"/>
        </w:rPr>
        <w:t xml:space="preserve">) II.2, 14 </w:t>
      </w:r>
    </w:p>
    <w:p w14:paraId="35F5CFF0" w14:textId="77777777" w:rsidR="00597DE2" w:rsidRPr="005B6D62" w:rsidRDefault="00597DE2" w:rsidP="00597DE2">
      <w:pPr>
        <w:pStyle w:val="ParrafoApendice"/>
        <w:rPr>
          <w:lang w:val="es-PE"/>
        </w:rPr>
      </w:pPr>
      <w:r w:rsidRPr="005B6D62">
        <w:rPr>
          <w:lang w:val="es-PE"/>
        </w:rPr>
        <w:t>posesión (</w:t>
      </w:r>
      <w:proofErr w:type="spellStart"/>
      <w:r w:rsidRPr="005B6D62">
        <w:rPr>
          <w:i/>
          <w:iCs/>
          <w:lang w:val="es-PE"/>
        </w:rPr>
        <w:t>kiñcana</w:t>
      </w:r>
      <w:proofErr w:type="spellEnd"/>
      <w:r w:rsidRPr="005B6D62">
        <w:rPr>
          <w:lang w:val="es-PE"/>
        </w:rPr>
        <w:t xml:space="preserve">) X.39, n.9; XXI.54, n.19 </w:t>
      </w:r>
    </w:p>
    <w:p w14:paraId="3236F3D8" w14:textId="77777777" w:rsidR="00597DE2" w:rsidRPr="005B6D62" w:rsidRDefault="00597DE2" w:rsidP="00597DE2">
      <w:pPr>
        <w:pStyle w:val="ParrafoApendice"/>
        <w:rPr>
          <w:lang w:val="es-PE"/>
        </w:rPr>
      </w:pPr>
      <w:r>
        <w:rPr>
          <w:lang w:val="es-PE"/>
        </w:rPr>
        <w:t>postura</w:t>
      </w:r>
      <w:r w:rsidRPr="005B6D62">
        <w:rPr>
          <w:lang w:val="es-PE"/>
        </w:rPr>
        <w:t xml:space="preserve"> (</w:t>
      </w:r>
      <w:proofErr w:type="spellStart"/>
      <w:r w:rsidRPr="00362A34">
        <w:rPr>
          <w:i/>
          <w:iCs/>
          <w:lang w:val="es-PE"/>
        </w:rPr>
        <w:t>iriyāpatha</w:t>
      </w:r>
      <w:proofErr w:type="spellEnd"/>
      <w:r w:rsidRPr="005B6D62">
        <w:rPr>
          <w:lang w:val="es-PE"/>
        </w:rPr>
        <w:t>) I.94; III.88</w:t>
      </w:r>
      <w:r>
        <w:rPr>
          <w:lang w:val="es-PE"/>
        </w:rPr>
        <w:t>s</w:t>
      </w:r>
      <w:r w:rsidRPr="005B6D62">
        <w:rPr>
          <w:lang w:val="es-PE"/>
        </w:rPr>
        <w:t>., 97</w:t>
      </w:r>
      <w:r>
        <w:rPr>
          <w:lang w:val="es-PE"/>
        </w:rPr>
        <w:t>s</w:t>
      </w:r>
      <w:r w:rsidRPr="005B6D62">
        <w:rPr>
          <w:lang w:val="es-PE"/>
        </w:rPr>
        <w:t>.; IV.41; VIII.27</w:t>
      </w:r>
      <w:r>
        <w:rPr>
          <w:lang w:val="es-PE"/>
        </w:rPr>
        <w:t>s</w:t>
      </w:r>
      <w:r w:rsidRPr="005B6D62">
        <w:rPr>
          <w:lang w:val="es-PE"/>
        </w:rPr>
        <w:t xml:space="preserve">., 43, 159; XI.92, 107; XX.31; XXI.4 </w:t>
      </w:r>
    </w:p>
    <w:p w14:paraId="01356E27" w14:textId="77777777" w:rsidR="00597DE2" w:rsidRPr="005B6D62" w:rsidRDefault="00597DE2" w:rsidP="00597DE2">
      <w:pPr>
        <w:pStyle w:val="ParrafoApendice"/>
        <w:rPr>
          <w:lang w:val="es-PE"/>
        </w:rPr>
      </w:pPr>
      <w:r w:rsidRPr="005B6D62">
        <w:rPr>
          <w:lang w:val="es-PE"/>
        </w:rPr>
        <w:t>práctica asceta (</w:t>
      </w:r>
      <w:proofErr w:type="spellStart"/>
      <w:r w:rsidRPr="005B6D62">
        <w:rPr>
          <w:i/>
          <w:iCs/>
          <w:lang w:val="es-PE"/>
        </w:rPr>
        <w:t>dhutaṅga</w:t>
      </w:r>
      <w:proofErr w:type="spellEnd"/>
      <w:r w:rsidRPr="005B6D62">
        <w:rPr>
          <w:lang w:val="es-PE"/>
        </w:rPr>
        <w:t>) I.112; II passim.</w:t>
      </w:r>
    </w:p>
    <w:p w14:paraId="79CF88FC" w14:textId="77777777" w:rsidR="00597DE2" w:rsidRPr="005B6D62" w:rsidRDefault="00597DE2" w:rsidP="00597DE2">
      <w:pPr>
        <w:pStyle w:val="ParrafoApendice"/>
        <w:rPr>
          <w:lang w:val="es-PE"/>
        </w:rPr>
      </w:pPr>
      <w:r w:rsidRPr="005B6D62">
        <w:rPr>
          <w:lang w:val="es-PE"/>
        </w:rPr>
        <w:t>práctica</w:t>
      </w:r>
      <w:r w:rsidRPr="005B6D62">
        <w:rPr>
          <w:i/>
          <w:iCs/>
          <w:lang w:val="es-PE"/>
        </w:rPr>
        <w:t>–</w:t>
      </w:r>
      <w:r w:rsidRPr="005B6D62">
        <w:rPr>
          <w:lang w:val="es-PE"/>
        </w:rPr>
        <w:t>canina (</w:t>
      </w:r>
      <w:proofErr w:type="spellStart"/>
      <w:r w:rsidRPr="005B6D62">
        <w:rPr>
          <w:i/>
          <w:iCs/>
          <w:lang w:val="es-PE"/>
        </w:rPr>
        <w:t>kukkura</w:t>
      </w:r>
      <w:proofErr w:type="spellEnd"/>
      <w:r w:rsidRPr="005B6D62">
        <w:rPr>
          <w:i/>
          <w:iCs/>
          <w:lang w:val="es-PE"/>
        </w:rPr>
        <w:t>–</w:t>
      </w:r>
      <w:proofErr w:type="spellStart"/>
      <w:r w:rsidRPr="005B6D62">
        <w:rPr>
          <w:i/>
          <w:iCs/>
          <w:lang w:val="es-PE"/>
        </w:rPr>
        <w:t>kiriyā</w:t>
      </w:r>
      <w:proofErr w:type="spellEnd"/>
      <w:r w:rsidRPr="005B6D62">
        <w:rPr>
          <w:lang w:val="es-PE"/>
        </w:rPr>
        <w:t xml:space="preserve">) XVII.246 </w:t>
      </w:r>
    </w:p>
    <w:p w14:paraId="29C71BF1" w14:textId="77777777" w:rsidR="00597DE2" w:rsidRPr="005B6D62" w:rsidRDefault="00597DE2" w:rsidP="00597DE2">
      <w:pPr>
        <w:pStyle w:val="ParrafoApendice"/>
        <w:rPr>
          <w:lang w:val="es-PE"/>
        </w:rPr>
      </w:pPr>
      <w:r w:rsidRPr="005B6D62">
        <w:rPr>
          <w:lang w:val="es-PE"/>
        </w:rPr>
        <w:t xml:space="preserve">practicante de </w:t>
      </w:r>
      <w:r w:rsidRPr="005B6D62">
        <w:rPr>
          <w:i/>
          <w:iCs/>
          <w:lang w:val="es-PE"/>
        </w:rPr>
        <w:t>sólo–sabiduría</w:t>
      </w:r>
      <w:r w:rsidRPr="005B6D62">
        <w:rPr>
          <w:lang w:val="es-PE"/>
        </w:rPr>
        <w:t xml:space="preserve"> (</w:t>
      </w:r>
      <w:proofErr w:type="spellStart"/>
      <w:r w:rsidRPr="005B6D62">
        <w:rPr>
          <w:i/>
          <w:iCs/>
          <w:lang w:val="es-PE"/>
        </w:rPr>
        <w:t>sukkha</w:t>
      </w:r>
      <w:proofErr w:type="spellEnd"/>
      <w:r w:rsidRPr="005B6D62">
        <w:rPr>
          <w:i/>
          <w:iCs/>
          <w:lang w:val="es-PE"/>
        </w:rPr>
        <w:t>–</w:t>
      </w:r>
      <w:proofErr w:type="spellStart"/>
      <w:r w:rsidRPr="005B6D62">
        <w:rPr>
          <w:i/>
          <w:iCs/>
          <w:lang w:val="es-PE"/>
        </w:rPr>
        <w:t>vipassaka</w:t>
      </w:r>
      <w:proofErr w:type="spellEnd"/>
      <w:r w:rsidRPr="005B6D62">
        <w:rPr>
          <w:lang w:val="es-PE"/>
        </w:rPr>
        <w:t xml:space="preserve">) XXI.112; XXIII.18 </w:t>
      </w:r>
    </w:p>
    <w:p w14:paraId="5687BD3F" w14:textId="77777777" w:rsidR="00597DE2" w:rsidRPr="005B6D62" w:rsidRDefault="00597DE2" w:rsidP="00597DE2">
      <w:pPr>
        <w:pStyle w:val="ParrafoApendice"/>
        <w:rPr>
          <w:lang w:val="es-PE"/>
        </w:rPr>
      </w:pPr>
      <w:r w:rsidRPr="005B6D62">
        <w:rPr>
          <w:lang w:val="es-PE"/>
        </w:rPr>
        <w:t>precept</w:t>
      </w:r>
      <w:r>
        <w:rPr>
          <w:lang w:val="es-PE"/>
        </w:rPr>
        <w:t>o</w:t>
      </w:r>
      <w:r w:rsidRPr="005B6D62">
        <w:rPr>
          <w:lang w:val="es-PE"/>
        </w:rPr>
        <w:t xml:space="preserve"> (</w:t>
      </w:r>
      <w:r w:rsidRPr="009A5222">
        <w:rPr>
          <w:i/>
          <w:iCs/>
          <w:lang w:val="es-PE"/>
        </w:rPr>
        <w:t>sīla</w:t>
      </w:r>
      <w:r w:rsidRPr="005B6D62">
        <w:rPr>
          <w:lang w:val="es-PE"/>
        </w:rPr>
        <w:t xml:space="preserve">) I.n.10. </w:t>
      </w:r>
      <w:r>
        <w:rPr>
          <w:lang w:val="es-PE"/>
        </w:rPr>
        <w:t xml:space="preserve">Ver también </w:t>
      </w:r>
      <w:r w:rsidRPr="00BD1AA2">
        <w:rPr>
          <w:i/>
          <w:iCs/>
          <w:lang w:val="es-PE"/>
        </w:rPr>
        <w:t>entrenamiento de los p.</w:t>
      </w:r>
      <w:r w:rsidRPr="005B6D62">
        <w:rPr>
          <w:lang w:val="es-PE"/>
        </w:rPr>
        <w:t xml:space="preserve"> </w:t>
      </w:r>
    </w:p>
    <w:p w14:paraId="30740BC7" w14:textId="77777777" w:rsidR="00597DE2" w:rsidRPr="005B6D62" w:rsidRDefault="00597DE2" w:rsidP="00597DE2">
      <w:pPr>
        <w:pStyle w:val="ParrafoApendice"/>
        <w:rPr>
          <w:lang w:val="es-PE"/>
        </w:rPr>
      </w:pPr>
      <w:r w:rsidRPr="005B6D62">
        <w:rPr>
          <w:lang w:val="es-PE"/>
        </w:rPr>
        <w:t>preceptor (</w:t>
      </w:r>
      <w:proofErr w:type="spellStart"/>
      <w:r w:rsidRPr="00BD1AA2">
        <w:rPr>
          <w:i/>
          <w:iCs/>
          <w:lang w:val="es-PE"/>
        </w:rPr>
        <w:t>upajjhāya</w:t>
      </w:r>
      <w:proofErr w:type="spellEnd"/>
      <w:r w:rsidRPr="005B6D62">
        <w:rPr>
          <w:lang w:val="es-PE"/>
        </w:rPr>
        <w:t xml:space="preserve">) III.48 </w:t>
      </w:r>
    </w:p>
    <w:p w14:paraId="6EF4AEBA" w14:textId="77777777" w:rsidR="00597DE2" w:rsidRPr="00D676D5" w:rsidRDefault="00597DE2" w:rsidP="00597DE2">
      <w:pPr>
        <w:pStyle w:val="ParrafoApendice"/>
        <w:rPr>
          <w:i/>
          <w:iCs/>
          <w:lang w:val="es-PE"/>
        </w:rPr>
      </w:pPr>
      <w:r w:rsidRPr="005B6D62">
        <w:rPr>
          <w:lang w:val="es-PE"/>
        </w:rPr>
        <w:t>predominanc</w:t>
      </w:r>
      <w:r>
        <w:rPr>
          <w:lang w:val="es-PE"/>
        </w:rPr>
        <w:t>ia, predominio</w:t>
      </w:r>
      <w:r w:rsidRPr="005B6D62">
        <w:rPr>
          <w:lang w:val="es-PE"/>
        </w:rPr>
        <w:t xml:space="preserve"> (</w:t>
      </w:r>
      <w:proofErr w:type="spellStart"/>
      <w:r w:rsidRPr="00953A90">
        <w:rPr>
          <w:i/>
          <w:iCs/>
          <w:lang w:val="es-PE"/>
        </w:rPr>
        <w:t>adhipati</w:t>
      </w:r>
      <w:proofErr w:type="spellEnd"/>
      <w:r w:rsidRPr="005B6D62">
        <w:rPr>
          <w:lang w:val="es-PE"/>
        </w:rPr>
        <w:t xml:space="preserve">) III.5, 24; XXI.119, </w:t>
      </w:r>
      <w:r w:rsidRPr="00E64903">
        <w:rPr>
          <w:strike/>
          <w:color w:val="833C0B" w:themeColor="accent2" w:themeShade="80"/>
          <w:lang w:val="es-PE"/>
        </w:rPr>
        <w:t>n.39</w:t>
      </w:r>
      <w:r w:rsidRPr="005B6D62">
        <w:rPr>
          <w:lang w:val="es-PE"/>
        </w:rPr>
        <w:t xml:space="preserve">; XXII.37. </w:t>
      </w:r>
      <w:r>
        <w:rPr>
          <w:lang w:val="es-PE"/>
        </w:rPr>
        <w:t xml:space="preserve">Vr también </w:t>
      </w:r>
      <w:r>
        <w:rPr>
          <w:i/>
          <w:iCs/>
          <w:lang w:val="es-PE"/>
        </w:rPr>
        <w:t>dominancia</w:t>
      </w:r>
    </w:p>
    <w:p w14:paraId="3BE002D1" w14:textId="77777777" w:rsidR="00597DE2" w:rsidRPr="005B6D62" w:rsidRDefault="00597DE2" w:rsidP="00597DE2">
      <w:pPr>
        <w:pStyle w:val="ParrafoApendice"/>
        <w:rPr>
          <w:lang w:val="es-PE"/>
        </w:rPr>
      </w:pPr>
      <w:r w:rsidRPr="005B6D62">
        <w:rPr>
          <w:lang w:val="es-PE"/>
        </w:rPr>
        <w:t>predominio (</w:t>
      </w:r>
      <w:proofErr w:type="spellStart"/>
      <w:r w:rsidRPr="005B6D62">
        <w:rPr>
          <w:i/>
          <w:iCs/>
          <w:lang w:val="es-PE"/>
        </w:rPr>
        <w:t>adhipateyya</w:t>
      </w:r>
      <w:proofErr w:type="spellEnd"/>
      <w:r w:rsidRPr="005B6D62">
        <w:rPr>
          <w:lang w:val="es-PE"/>
        </w:rPr>
        <w:t xml:space="preserve">) XXII.102 </w:t>
      </w:r>
    </w:p>
    <w:p w14:paraId="1BD8DF79" w14:textId="77777777" w:rsidR="00597DE2" w:rsidRPr="005B6D62" w:rsidRDefault="00597DE2" w:rsidP="00597DE2">
      <w:pPr>
        <w:pStyle w:val="ParrafoApendice"/>
        <w:rPr>
          <w:lang w:val="es-PE"/>
        </w:rPr>
      </w:pPr>
      <w:r w:rsidRPr="005B6D62">
        <w:rPr>
          <w:lang w:val="es-PE"/>
        </w:rPr>
        <w:t>preocupación (</w:t>
      </w:r>
      <w:proofErr w:type="spellStart"/>
      <w:r w:rsidRPr="005B6D62">
        <w:rPr>
          <w:i/>
          <w:iCs/>
          <w:lang w:val="es-PE"/>
        </w:rPr>
        <w:t>ābhoga</w:t>
      </w:r>
      <w:proofErr w:type="spellEnd"/>
      <w:r w:rsidRPr="005B6D62">
        <w:rPr>
          <w:lang w:val="es-PE"/>
        </w:rPr>
        <w:t>) IV.180; VIII.178; IX.123, n.21; X.45; XI.48</w:t>
      </w:r>
      <w:proofErr w:type="gramStart"/>
      <w:r w:rsidRPr="005B6D62">
        <w:rPr>
          <w:lang w:val="es-PE"/>
        </w:rPr>
        <w:t>f..</w:t>
      </w:r>
      <w:proofErr w:type="gramEnd"/>
      <w:r w:rsidRPr="005B6D62">
        <w:rPr>
          <w:lang w:val="es-PE"/>
        </w:rPr>
        <w:t xml:space="preserve"> Ver también despreocupación</w:t>
      </w:r>
    </w:p>
    <w:p w14:paraId="6A01ECBC" w14:textId="77777777" w:rsidR="00597DE2" w:rsidRDefault="00597DE2" w:rsidP="00597DE2">
      <w:pPr>
        <w:pStyle w:val="ParrafoApendice"/>
        <w:rPr>
          <w:lang w:val="es-PE"/>
        </w:rPr>
      </w:pPr>
      <w:r w:rsidRPr="00B028DE">
        <w:rPr>
          <w:lang w:val="es-PE"/>
        </w:rPr>
        <w:t>preocupación</w:t>
      </w:r>
      <w:r w:rsidRPr="00DC5FE8">
        <w:rPr>
          <w:lang w:val="es-PE"/>
        </w:rPr>
        <w:t xml:space="preserve"> </w:t>
      </w:r>
      <w:r w:rsidRPr="00B028DE">
        <w:rPr>
          <w:lang w:val="es-PE"/>
        </w:rPr>
        <w:t>(</w:t>
      </w:r>
      <w:proofErr w:type="spellStart"/>
      <w:r w:rsidRPr="00B028DE">
        <w:rPr>
          <w:i/>
          <w:iCs/>
          <w:lang w:val="es-PE"/>
        </w:rPr>
        <w:t>kukkucca</w:t>
      </w:r>
      <w:proofErr w:type="spellEnd"/>
      <w:r w:rsidRPr="00B028DE">
        <w:rPr>
          <w:lang w:val="es-PE"/>
        </w:rPr>
        <w:t xml:space="preserve">) III.95; XIV.170, 174. Ver también agitación </w:t>
      </w:r>
      <w:r>
        <w:rPr>
          <w:lang w:val="es-PE"/>
        </w:rPr>
        <w:t xml:space="preserve">y preocupación </w:t>
      </w:r>
    </w:p>
    <w:p w14:paraId="66E3E8F2" w14:textId="77777777" w:rsidR="00597DE2" w:rsidRPr="005B6D62" w:rsidRDefault="00597DE2" w:rsidP="00597DE2">
      <w:pPr>
        <w:pStyle w:val="ParrafoApendice"/>
        <w:rPr>
          <w:lang w:val="es-PE"/>
        </w:rPr>
      </w:pPr>
      <w:r w:rsidRPr="005B6D62">
        <w:rPr>
          <w:lang w:val="es-PE"/>
        </w:rPr>
        <w:t>presenc</w:t>
      </w:r>
      <w:r>
        <w:rPr>
          <w:lang w:val="es-PE"/>
        </w:rPr>
        <w:t>ia</w:t>
      </w:r>
      <w:r w:rsidRPr="005B6D62">
        <w:rPr>
          <w:lang w:val="es-PE"/>
        </w:rPr>
        <w:t xml:space="preserve"> (</w:t>
      </w:r>
      <w:proofErr w:type="spellStart"/>
      <w:r w:rsidRPr="0074731F">
        <w:rPr>
          <w:i/>
          <w:iCs/>
          <w:lang w:val="es-PE"/>
        </w:rPr>
        <w:t>ṭhāna</w:t>
      </w:r>
      <w:proofErr w:type="spellEnd"/>
      <w:r w:rsidRPr="005B6D62">
        <w:rPr>
          <w:lang w:val="es-PE"/>
        </w:rPr>
        <w:t>) XX.31; (</w:t>
      </w:r>
      <w:proofErr w:type="spellStart"/>
      <w:r w:rsidRPr="0074731F">
        <w:rPr>
          <w:i/>
          <w:iCs/>
          <w:lang w:val="es-PE"/>
        </w:rPr>
        <w:t>ṭhiti</w:t>
      </w:r>
      <w:proofErr w:type="spellEnd"/>
      <w:r w:rsidRPr="005B6D62">
        <w:rPr>
          <w:lang w:val="es-PE"/>
        </w:rPr>
        <w:t>) IV.</w:t>
      </w:r>
      <w:r w:rsidRPr="00572E68">
        <w:rPr>
          <w:color w:val="833C0B" w:themeColor="accent2" w:themeShade="80"/>
          <w:lang w:val="es-PE"/>
        </w:rPr>
        <w:t>n.34</w:t>
      </w:r>
      <w:r w:rsidRPr="005B6D62">
        <w:rPr>
          <w:lang w:val="es-PE"/>
        </w:rPr>
        <w:t>; VIII.242; XIII.111</w:t>
      </w:r>
      <w:r>
        <w:rPr>
          <w:lang w:val="es-PE"/>
        </w:rPr>
        <w:t>s</w:t>
      </w:r>
      <w:r w:rsidRPr="005B6D62">
        <w:rPr>
          <w:lang w:val="es-PE"/>
        </w:rPr>
        <w:t>.; XVII.68, 193; XIX.9; XX.25</w:t>
      </w:r>
      <w:r>
        <w:rPr>
          <w:lang w:val="es-PE"/>
        </w:rPr>
        <w:t>s</w:t>
      </w:r>
      <w:r w:rsidRPr="005B6D62">
        <w:rPr>
          <w:lang w:val="es-PE"/>
        </w:rPr>
        <w:t xml:space="preserve">., 47; XXI.10, 27, n.6; </w:t>
      </w:r>
      <w:r w:rsidRPr="001F1626">
        <w:rPr>
          <w:i/>
          <w:iCs/>
          <w:lang w:val="es-PE"/>
        </w:rPr>
        <w:t>momento de la p.</w:t>
      </w:r>
      <w:r>
        <w:rPr>
          <w:lang w:val="es-PE"/>
        </w:rPr>
        <w:t xml:space="preserve"> </w:t>
      </w:r>
      <w:r w:rsidRPr="005B6D62">
        <w:rPr>
          <w:lang w:val="es-PE"/>
        </w:rPr>
        <w:t>(</w:t>
      </w:r>
      <w:proofErr w:type="spellStart"/>
      <w:r w:rsidRPr="0074731F">
        <w:rPr>
          <w:i/>
          <w:iCs/>
          <w:lang w:val="es-PE"/>
        </w:rPr>
        <w:t>atthikkhaṇa</w:t>
      </w:r>
      <w:proofErr w:type="spellEnd"/>
      <w:r w:rsidRPr="005B6D62">
        <w:rPr>
          <w:lang w:val="es-PE"/>
        </w:rPr>
        <w:t>) XIV.59</w:t>
      </w:r>
    </w:p>
    <w:p w14:paraId="506C8765" w14:textId="77777777" w:rsidR="00597DE2" w:rsidRPr="002C102E" w:rsidRDefault="00597DE2" w:rsidP="00597DE2">
      <w:pPr>
        <w:pStyle w:val="ParrafoApendice"/>
      </w:pPr>
      <w:proofErr w:type="spellStart"/>
      <w:r w:rsidRPr="00C71EC8">
        <w:t>presente</w:t>
      </w:r>
      <w:proofErr w:type="spellEnd"/>
      <w:r w:rsidRPr="002C102E">
        <w:t xml:space="preserve"> (</w:t>
      </w:r>
      <w:proofErr w:type="spellStart"/>
      <w:r w:rsidRPr="002C102E">
        <w:rPr>
          <w:i/>
          <w:iCs/>
        </w:rPr>
        <w:t>paccuppanna</w:t>
      </w:r>
      <w:proofErr w:type="spellEnd"/>
      <w:r w:rsidRPr="002C102E">
        <w:t>) XIII.111</w:t>
      </w:r>
      <w:r>
        <w:t>s</w:t>
      </w:r>
      <w:r w:rsidRPr="002C102E">
        <w:t>.; XIV.186</w:t>
      </w:r>
      <w:r>
        <w:t>s</w:t>
      </w:r>
      <w:r w:rsidRPr="002C102E">
        <w:t>.</w:t>
      </w:r>
    </w:p>
    <w:p w14:paraId="6E9314B7" w14:textId="77777777" w:rsidR="00597DE2" w:rsidRPr="005B6D62" w:rsidRDefault="00597DE2" w:rsidP="00597DE2">
      <w:pPr>
        <w:pStyle w:val="ParrafoApendice"/>
        <w:rPr>
          <w:lang w:val="es-PE"/>
        </w:rPr>
      </w:pPr>
      <w:r w:rsidRPr="005B6D62">
        <w:rPr>
          <w:lang w:val="es-PE"/>
        </w:rPr>
        <w:t>presente, ofrecimiento (</w:t>
      </w:r>
      <w:proofErr w:type="spellStart"/>
      <w:r w:rsidRPr="005B6D62">
        <w:rPr>
          <w:i/>
          <w:iCs/>
          <w:lang w:val="es-PE"/>
        </w:rPr>
        <w:t>dāna</w:t>
      </w:r>
      <w:proofErr w:type="spellEnd"/>
      <w:r w:rsidRPr="005B6D62">
        <w:rPr>
          <w:lang w:val="es-PE"/>
        </w:rPr>
        <w:t xml:space="preserve">) VII.94, 107s.; IX.39, 124; XIV.84f., 206; XVII.60, 81, 293 </w:t>
      </w:r>
    </w:p>
    <w:p w14:paraId="1B8EA752" w14:textId="77777777" w:rsidR="00597DE2" w:rsidRPr="005B6D62" w:rsidRDefault="00597DE2" w:rsidP="00597DE2">
      <w:pPr>
        <w:pStyle w:val="ParrafoApendice"/>
        <w:rPr>
          <w:lang w:val="es-PE"/>
        </w:rPr>
      </w:pPr>
      <w:r w:rsidRPr="005B6D62">
        <w:rPr>
          <w:lang w:val="es-PE"/>
        </w:rPr>
        <w:t>presunción (</w:t>
      </w:r>
      <w:proofErr w:type="spellStart"/>
      <w:r w:rsidRPr="005B6D62">
        <w:rPr>
          <w:i/>
          <w:iCs/>
          <w:lang w:val="es-PE"/>
        </w:rPr>
        <w:t>mada</w:t>
      </w:r>
      <w:proofErr w:type="spellEnd"/>
      <w:r w:rsidRPr="005B6D62">
        <w:rPr>
          <w:lang w:val="es-PE"/>
        </w:rPr>
        <w:t xml:space="preserve">), ver vanidad </w:t>
      </w:r>
    </w:p>
    <w:p w14:paraId="4AB5AB90" w14:textId="77777777" w:rsidR="00597DE2" w:rsidRPr="005B6D62" w:rsidRDefault="00597DE2" w:rsidP="00597DE2">
      <w:pPr>
        <w:pStyle w:val="ParrafoApendice"/>
        <w:rPr>
          <w:lang w:val="es-PE"/>
        </w:rPr>
      </w:pPr>
      <w:r w:rsidRPr="005B6D62">
        <w:rPr>
          <w:lang w:val="es-PE"/>
        </w:rPr>
        <w:t>presunción (</w:t>
      </w:r>
      <w:r w:rsidRPr="005B6D62">
        <w:rPr>
          <w:i/>
          <w:iCs/>
          <w:lang w:val="es-PE"/>
        </w:rPr>
        <w:t>māna</w:t>
      </w:r>
      <w:r w:rsidRPr="005B6D62">
        <w:rPr>
          <w:lang w:val="es-PE"/>
        </w:rPr>
        <w:t xml:space="preserve">), ver orgullo </w:t>
      </w:r>
    </w:p>
    <w:p w14:paraId="368384AF" w14:textId="77777777" w:rsidR="00597DE2" w:rsidRPr="005B6D62" w:rsidRDefault="00597DE2" w:rsidP="00597DE2">
      <w:pPr>
        <w:pStyle w:val="ParrafoApendice"/>
        <w:rPr>
          <w:lang w:val="es-PE"/>
        </w:rPr>
      </w:pPr>
      <w:r w:rsidRPr="005B6D62">
        <w:rPr>
          <w:lang w:val="es-PE"/>
        </w:rPr>
        <w:t>presunción “Yo soy” (</w:t>
      </w:r>
      <w:proofErr w:type="spellStart"/>
      <w:r w:rsidRPr="005B6D62">
        <w:rPr>
          <w:i/>
          <w:iCs/>
          <w:lang w:val="es-PE"/>
        </w:rPr>
        <w:t>asmi</w:t>
      </w:r>
      <w:proofErr w:type="spellEnd"/>
      <w:r w:rsidRPr="005B6D62">
        <w:rPr>
          <w:i/>
          <w:iCs/>
          <w:lang w:val="es-PE"/>
        </w:rPr>
        <w:t>–māna</w:t>
      </w:r>
      <w:r w:rsidRPr="005B6D62">
        <w:rPr>
          <w:lang w:val="es-PE"/>
        </w:rPr>
        <w:t>) III.122s, n.18; VIII.247, n</w:t>
      </w:r>
      <w:r w:rsidRPr="005B6D62">
        <w:rPr>
          <w:color w:val="833C0B" w:themeColor="accent2" w:themeShade="80"/>
          <w:u w:color="000000"/>
          <w:lang w:val="es-PE"/>
        </w:rPr>
        <w:t>.</w:t>
      </w:r>
      <w:r w:rsidRPr="005B6D62">
        <w:rPr>
          <w:strike/>
          <w:color w:val="833C0B" w:themeColor="accent2" w:themeShade="80"/>
          <w:u w:color="000000"/>
          <w:lang w:val="es-PE"/>
        </w:rPr>
        <w:t>71</w:t>
      </w:r>
      <w:r w:rsidRPr="005B6D62">
        <w:rPr>
          <w:color w:val="833C0B" w:themeColor="accent2" w:themeShade="80"/>
          <w:u w:color="000000"/>
          <w:lang w:val="es-PE"/>
        </w:rPr>
        <w:t>, 72</w:t>
      </w:r>
      <w:r w:rsidRPr="005B6D62">
        <w:rPr>
          <w:lang w:val="es-PE"/>
        </w:rPr>
        <w:t xml:space="preserve"> </w:t>
      </w:r>
    </w:p>
    <w:p w14:paraId="6E861173" w14:textId="77777777" w:rsidR="00597DE2" w:rsidRPr="005B6D62" w:rsidRDefault="00597DE2" w:rsidP="00597DE2">
      <w:pPr>
        <w:pStyle w:val="ParrafoApendice"/>
        <w:rPr>
          <w:lang w:val="es-PE"/>
        </w:rPr>
      </w:pPr>
      <w:r w:rsidRPr="005B6D62">
        <w:rPr>
          <w:lang w:val="es-PE"/>
        </w:rPr>
        <w:t>principio básico (</w:t>
      </w:r>
      <w:proofErr w:type="spellStart"/>
      <w:r w:rsidRPr="005B6D62">
        <w:rPr>
          <w:i/>
          <w:iCs/>
          <w:lang w:val="es-PE"/>
        </w:rPr>
        <w:t>padhāna</w:t>
      </w:r>
      <w:proofErr w:type="spellEnd"/>
      <w:r w:rsidRPr="005B6D62">
        <w:rPr>
          <w:lang w:val="es-PE"/>
        </w:rPr>
        <w:t xml:space="preserve">) XVI.85, n.23 </w:t>
      </w:r>
      <w:r>
        <w:rPr>
          <w:lang w:val="es-PE"/>
        </w:rPr>
        <w:br w:type="column"/>
      </w:r>
    </w:p>
    <w:p w14:paraId="28586DDA" w14:textId="77777777" w:rsidR="00597DE2" w:rsidRPr="005B6D62" w:rsidRDefault="00597DE2" w:rsidP="00597DE2">
      <w:pPr>
        <w:pStyle w:val="ParrafoApendice"/>
        <w:rPr>
          <w:lang w:val="es-PE"/>
        </w:rPr>
      </w:pPr>
      <w:r w:rsidRPr="005B6D62">
        <w:rPr>
          <w:lang w:val="es-PE"/>
        </w:rPr>
        <w:t>principio brillante (</w:t>
      </w:r>
      <w:proofErr w:type="spellStart"/>
      <w:r w:rsidRPr="005B6D62">
        <w:rPr>
          <w:i/>
          <w:iCs/>
          <w:lang w:val="es-PE"/>
        </w:rPr>
        <w:t>satta</w:t>
      </w:r>
      <w:proofErr w:type="spellEnd"/>
      <w:r w:rsidRPr="005B6D62">
        <w:rPr>
          <w:lang w:val="es-PE"/>
        </w:rPr>
        <w:t xml:space="preserve">) IX.53 </w:t>
      </w:r>
    </w:p>
    <w:p w14:paraId="637B0E73" w14:textId="77777777" w:rsidR="00597DE2" w:rsidRPr="00CA3535" w:rsidRDefault="00597DE2" w:rsidP="00597DE2">
      <w:pPr>
        <w:pStyle w:val="ParrafoApendice"/>
        <w:rPr>
          <w:lang w:val="es-PE"/>
        </w:rPr>
      </w:pPr>
      <w:r w:rsidRPr="00CA3535">
        <w:rPr>
          <w:lang w:val="es-PE"/>
        </w:rPr>
        <w:t>proceso del devenir de renacimiento</w:t>
      </w:r>
      <w:r>
        <w:rPr>
          <w:lang w:val="es-PE"/>
        </w:rPr>
        <w:t xml:space="preserve"> </w:t>
      </w:r>
      <w:r w:rsidRPr="00CA3535">
        <w:rPr>
          <w:lang w:val="es-PE"/>
        </w:rPr>
        <w:t>(</w:t>
      </w:r>
      <w:proofErr w:type="spellStart"/>
      <w:r w:rsidRPr="00CA3535">
        <w:rPr>
          <w:i/>
          <w:iCs/>
          <w:lang w:val="es-PE"/>
        </w:rPr>
        <w:t>uppatti</w:t>
      </w:r>
      <w:proofErr w:type="spellEnd"/>
      <w:r w:rsidRPr="00CA3535">
        <w:rPr>
          <w:i/>
          <w:iCs/>
          <w:lang w:val="es-PE"/>
        </w:rPr>
        <w:t>–</w:t>
      </w:r>
      <w:proofErr w:type="spellStart"/>
      <w:r w:rsidRPr="00CA3535">
        <w:rPr>
          <w:i/>
          <w:iCs/>
          <w:lang w:val="es-PE"/>
        </w:rPr>
        <w:t>bhava</w:t>
      </w:r>
      <w:proofErr w:type="spellEnd"/>
      <w:r w:rsidRPr="00CA3535">
        <w:rPr>
          <w:lang w:val="es-PE"/>
        </w:rPr>
        <w:t>) VII.16s.; XVI.92; XVII.250, 294</w:t>
      </w:r>
      <w:r>
        <w:rPr>
          <w:lang w:val="es-PE"/>
        </w:rPr>
        <w:t>s</w:t>
      </w:r>
      <w:r w:rsidRPr="00CA3535">
        <w:rPr>
          <w:lang w:val="es-PE"/>
        </w:rPr>
        <w:t xml:space="preserve">.; XIX.13 </w:t>
      </w:r>
    </w:p>
    <w:p w14:paraId="02E62BD8" w14:textId="77777777" w:rsidR="00597DE2" w:rsidRPr="0047789A" w:rsidRDefault="00597DE2" w:rsidP="00597DE2">
      <w:pPr>
        <w:pStyle w:val="ParrafoApendice"/>
        <w:rPr>
          <w:lang w:val="es-PE"/>
        </w:rPr>
      </w:pPr>
      <w:r>
        <w:rPr>
          <w:lang w:val="es-PE"/>
        </w:rPr>
        <w:t>p</w:t>
      </w:r>
      <w:r w:rsidRPr="0047789A">
        <w:rPr>
          <w:lang w:val="es-PE"/>
        </w:rPr>
        <w:t>roducid</w:t>
      </w:r>
      <w:r>
        <w:rPr>
          <w:lang w:val="es-PE"/>
        </w:rPr>
        <w:t>o/a</w:t>
      </w:r>
      <w:r w:rsidRPr="0047789A">
        <w:rPr>
          <w:lang w:val="es-PE"/>
        </w:rPr>
        <w:t xml:space="preserve"> (</w:t>
      </w:r>
      <w:proofErr w:type="spellStart"/>
      <w:r w:rsidRPr="0047789A">
        <w:rPr>
          <w:i/>
          <w:iCs/>
          <w:lang w:val="es-PE"/>
        </w:rPr>
        <w:t>nipphanna</w:t>
      </w:r>
      <w:proofErr w:type="spellEnd"/>
      <w:r w:rsidRPr="0047789A">
        <w:rPr>
          <w:lang w:val="es-PE"/>
        </w:rPr>
        <w:t xml:space="preserve">) XIV.72s., 77; XVIII.13; XXIII.52, n.18 </w:t>
      </w:r>
    </w:p>
    <w:p w14:paraId="532CBDAE" w14:textId="77777777" w:rsidR="00597DE2" w:rsidRPr="002A49CE" w:rsidRDefault="00597DE2" w:rsidP="00597DE2">
      <w:pPr>
        <w:pStyle w:val="ParrafoApendice"/>
        <w:rPr>
          <w:lang w:val="es-PE"/>
        </w:rPr>
      </w:pPr>
      <w:r w:rsidRPr="002A49CE">
        <w:rPr>
          <w:lang w:val="es-PE"/>
        </w:rPr>
        <w:t>pr</w:t>
      </w:r>
      <w:r>
        <w:rPr>
          <w:lang w:val="es-PE"/>
        </w:rPr>
        <w:t>oductivo/a</w:t>
      </w:r>
      <w:r w:rsidRPr="002A49CE">
        <w:rPr>
          <w:lang w:val="es-PE"/>
        </w:rPr>
        <w:t xml:space="preserve"> (</w:t>
      </w:r>
      <w:proofErr w:type="spellStart"/>
      <w:r w:rsidRPr="002A49CE">
        <w:rPr>
          <w:lang w:val="es-PE"/>
        </w:rPr>
        <w:t>kusala</w:t>
      </w:r>
      <w:proofErr w:type="spellEnd"/>
      <w:r w:rsidRPr="002A49CE">
        <w:rPr>
          <w:lang w:val="es-PE"/>
        </w:rPr>
        <w:t xml:space="preserve">) I.n.9, n.16; II.78, </w:t>
      </w:r>
      <w:r w:rsidRPr="0097390F">
        <w:rPr>
          <w:strike/>
          <w:color w:val="833C0B" w:themeColor="accent2" w:themeShade="80"/>
          <w:lang w:val="es-PE"/>
        </w:rPr>
        <w:t>n.18</w:t>
      </w:r>
      <w:r w:rsidRPr="002A49CE">
        <w:rPr>
          <w:lang w:val="es-PE"/>
        </w:rPr>
        <w:t>; III.13, 23, 75; X.14; XIV.23, 82</w:t>
      </w:r>
      <w:r>
        <w:rPr>
          <w:lang w:val="es-PE"/>
        </w:rPr>
        <w:t>s</w:t>
      </w:r>
      <w:r w:rsidRPr="002A49CE">
        <w:rPr>
          <w:lang w:val="es-PE"/>
        </w:rPr>
        <w:t>., 94, 109, 117, 126, 129, 132, 133</w:t>
      </w:r>
      <w:r>
        <w:rPr>
          <w:lang w:val="es-PE"/>
        </w:rPr>
        <w:t>s</w:t>
      </w:r>
      <w:r w:rsidRPr="002A49CE">
        <w:rPr>
          <w:lang w:val="es-PE"/>
        </w:rPr>
        <w:t xml:space="preserve">., 179, 193, 204, 209, n.35, n.76; XV.26, 34; XVI.104; XVII.53, 93, 120; XIX.8; XX.28, 31, 44; XXII.35, 85 </w:t>
      </w:r>
    </w:p>
    <w:p w14:paraId="7675AF9A" w14:textId="77777777" w:rsidR="00597DE2" w:rsidRPr="005570EE" w:rsidRDefault="00597DE2" w:rsidP="00597DE2">
      <w:pPr>
        <w:pStyle w:val="ParrafoApendice"/>
        <w:rPr>
          <w:lang w:val="es-PE"/>
        </w:rPr>
      </w:pPr>
      <w:r w:rsidRPr="00584D34">
        <w:rPr>
          <w:lang w:val="es-PE"/>
        </w:rPr>
        <w:t>profundidad</w:t>
      </w:r>
      <w:r w:rsidRPr="005570EE">
        <w:rPr>
          <w:lang w:val="es-PE"/>
        </w:rPr>
        <w:t xml:space="preserve"> (</w:t>
      </w:r>
      <w:proofErr w:type="spellStart"/>
      <w:r w:rsidRPr="005570EE">
        <w:rPr>
          <w:i/>
          <w:iCs/>
          <w:lang w:val="es-PE"/>
        </w:rPr>
        <w:t>gambhīratta</w:t>
      </w:r>
      <w:proofErr w:type="spellEnd"/>
      <w:r w:rsidRPr="005570EE">
        <w:rPr>
          <w:lang w:val="es-PE"/>
        </w:rPr>
        <w:t>) VII.</w:t>
      </w:r>
      <w:r w:rsidRPr="005570EE">
        <w:rPr>
          <w:color w:val="833C0B" w:themeColor="accent2" w:themeShade="80"/>
          <w:lang w:val="es-PE"/>
        </w:rPr>
        <w:t>72</w:t>
      </w:r>
      <w:r w:rsidRPr="005570EE">
        <w:rPr>
          <w:lang w:val="es-PE"/>
        </w:rPr>
        <w:t xml:space="preserve">; XVII.11, 33, 304 </w:t>
      </w:r>
    </w:p>
    <w:p w14:paraId="1BDE8D4D" w14:textId="77777777" w:rsidR="00597DE2" w:rsidRPr="00AA7FEE" w:rsidRDefault="00597DE2" w:rsidP="00597DE2">
      <w:pPr>
        <w:pStyle w:val="ParrafoApendice"/>
        <w:rPr>
          <w:lang w:val="es-PE"/>
        </w:rPr>
      </w:pPr>
      <w:r>
        <w:rPr>
          <w:lang w:val="es-PE"/>
        </w:rPr>
        <w:t>Programa del</w:t>
      </w:r>
      <w:r w:rsidRPr="00AA7FEE">
        <w:rPr>
          <w:lang w:val="es-PE"/>
        </w:rPr>
        <w:t xml:space="preserve"> </w:t>
      </w:r>
      <w:proofErr w:type="spellStart"/>
      <w:r w:rsidRPr="00664908">
        <w:rPr>
          <w:i/>
          <w:iCs/>
          <w:lang w:val="es-PE"/>
        </w:rPr>
        <w:t>Abhidhamma</w:t>
      </w:r>
      <w:proofErr w:type="spellEnd"/>
      <w:r w:rsidRPr="00AA7FEE">
        <w:rPr>
          <w:lang w:val="es-PE"/>
        </w:rPr>
        <w:t xml:space="preserve"> (</w:t>
      </w:r>
      <w:proofErr w:type="spellStart"/>
      <w:r w:rsidRPr="00664908">
        <w:rPr>
          <w:i/>
          <w:iCs/>
          <w:lang w:val="es-PE"/>
        </w:rPr>
        <w:t>mātikā</w:t>
      </w:r>
      <w:proofErr w:type="spellEnd"/>
      <w:r w:rsidRPr="00AA7FEE">
        <w:rPr>
          <w:lang w:val="es-PE"/>
        </w:rPr>
        <w:t>) XIII.n.20</w:t>
      </w:r>
    </w:p>
    <w:p w14:paraId="43DF7B3E" w14:textId="77777777" w:rsidR="00597DE2" w:rsidRPr="005570EE" w:rsidRDefault="00597DE2" w:rsidP="00597DE2">
      <w:pPr>
        <w:pStyle w:val="ParrafoApendice"/>
        <w:rPr>
          <w:lang w:val="es-PE"/>
        </w:rPr>
      </w:pPr>
      <w:r w:rsidRPr="005570EE">
        <w:rPr>
          <w:lang w:val="es-PE"/>
        </w:rPr>
        <w:t>progreso (</w:t>
      </w:r>
      <w:proofErr w:type="spellStart"/>
      <w:r w:rsidRPr="005570EE">
        <w:rPr>
          <w:i/>
          <w:iCs/>
          <w:lang w:val="es-PE"/>
        </w:rPr>
        <w:t>paṭipadā</w:t>
      </w:r>
      <w:proofErr w:type="spellEnd"/>
      <w:r w:rsidRPr="005570EE">
        <w:rPr>
          <w:lang w:val="es-PE"/>
        </w:rPr>
        <w:t>) II.86; III.5, 14</w:t>
      </w:r>
      <w:r>
        <w:rPr>
          <w:lang w:val="es-PE"/>
        </w:rPr>
        <w:t>s</w:t>
      </w:r>
      <w:r w:rsidRPr="005570EE">
        <w:rPr>
          <w:lang w:val="es-PE"/>
        </w:rPr>
        <w:t xml:space="preserve">.; XXI.117 </w:t>
      </w:r>
    </w:p>
    <w:p w14:paraId="6F87E32B" w14:textId="77777777" w:rsidR="00597DE2" w:rsidRPr="009738FD" w:rsidRDefault="00597DE2" w:rsidP="00597DE2">
      <w:pPr>
        <w:pStyle w:val="ParrafoApendice"/>
        <w:rPr>
          <w:lang w:val="es-PE"/>
        </w:rPr>
      </w:pPr>
      <w:r w:rsidRPr="009738FD">
        <w:rPr>
          <w:lang w:val="es-PE"/>
        </w:rPr>
        <w:t>prominencia (</w:t>
      </w:r>
      <w:proofErr w:type="spellStart"/>
      <w:r w:rsidRPr="009738FD">
        <w:rPr>
          <w:i/>
          <w:iCs/>
          <w:lang w:val="es-PE"/>
        </w:rPr>
        <w:t>ussada</w:t>
      </w:r>
      <w:proofErr w:type="spellEnd"/>
      <w:r w:rsidRPr="009738FD">
        <w:rPr>
          <w:lang w:val="es-PE"/>
        </w:rPr>
        <w:t>) III.81</w:t>
      </w:r>
      <w:r w:rsidRPr="009738FD">
        <w:rPr>
          <w:color w:val="833C0B" w:themeColor="accent2" w:themeShade="80"/>
          <w:lang w:val="es-PE"/>
        </w:rPr>
        <w:t>s.</w:t>
      </w:r>
      <w:r w:rsidRPr="009738FD">
        <w:rPr>
          <w:lang w:val="es-PE"/>
        </w:rPr>
        <w:t xml:space="preserve">, 83; XI.88 </w:t>
      </w:r>
    </w:p>
    <w:p w14:paraId="4B22ED2B" w14:textId="77777777" w:rsidR="00597DE2" w:rsidRPr="008D3749" w:rsidRDefault="00597DE2" w:rsidP="00597DE2">
      <w:pPr>
        <w:pStyle w:val="ParrafoApendice"/>
        <w:rPr>
          <w:lang w:val="es-PE"/>
        </w:rPr>
      </w:pPr>
      <w:r w:rsidRPr="008D3749">
        <w:rPr>
          <w:lang w:val="es-PE"/>
        </w:rPr>
        <w:t>propósito (</w:t>
      </w:r>
      <w:proofErr w:type="spellStart"/>
      <w:r w:rsidRPr="008D3749">
        <w:rPr>
          <w:i/>
          <w:iCs/>
          <w:lang w:val="es-PE"/>
        </w:rPr>
        <w:t>attha</w:t>
      </w:r>
      <w:proofErr w:type="spellEnd"/>
      <w:r w:rsidRPr="008D3749">
        <w:rPr>
          <w:lang w:val="es-PE"/>
        </w:rPr>
        <w:t>) XIV.22</w:t>
      </w:r>
    </w:p>
    <w:p w14:paraId="15F170E7" w14:textId="77777777" w:rsidR="00597DE2" w:rsidRPr="005B6D62" w:rsidRDefault="00597DE2" w:rsidP="00597DE2">
      <w:pPr>
        <w:pStyle w:val="ParrafoApendice"/>
        <w:rPr>
          <w:lang w:val="es-PE"/>
        </w:rPr>
      </w:pPr>
      <w:proofErr w:type="spellStart"/>
      <w:r w:rsidRPr="005B6D62">
        <w:rPr>
          <w:lang w:val="es-PE"/>
        </w:rPr>
        <w:t>Pubbavideha</w:t>
      </w:r>
      <w:proofErr w:type="spellEnd"/>
      <w:r w:rsidRPr="005B6D62">
        <w:rPr>
          <w:lang w:val="es-PE"/>
        </w:rPr>
        <w:t xml:space="preserve"> VII.43</w:t>
      </w:r>
      <w:r>
        <w:rPr>
          <w:lang w:val="es-PE"/>
        </w:rPr>
        <w:t>s</w:t>
      </w:r>
      <w:r w:rsidRPr="005B6D62">
        <w:rPr>
          <w:lang w:val="es-PE"/>
        </w:rPr>
        <w:t>.</w:t>
      </w:r>
    </w:p>
    <w:p w14:paraId="6A84FF12" w14:textId="77777777" w:rsidR="00597DE2" w:rsidRPr="005B6D62" w:rsidRDefault="00597DE2" w:rsidP="00597DE2">
      <w:pPr>
        <w:pStyle w:val="ParrafoApendice"/>
        <w:rPr>
          <w:lang w:val="es-PE"/>
        </w:rPr>
      </w:pPr>
      <w:r w:rsidRPr="005B6D62">
        <w:rPr>
          <w:lang w:val="es-PE"/>
        </w:rPr>
        <w:t>puerta (</w:t>
      </w:r>
      <w:proofErr w:type="spellStart"/>
      <w:r w:rsidRPr="005B6D62">
        <w:rPr>
          <w:i/>
          <w:iCs/>
          <w:lang w:val="es-PE"/>
        </w:rPr>
        <w:t>dvāra</w:t>
      </w:r>
      <w:proofErr w:type="spellEnd"/>
      <w:r w:rsidRPr="005B6D62">
        <w:rPr>
          <w:lang w:val="es-PE"/>
        </w:rPr>
        <w:t>) I.53</w:t>
      </w:r>
      <w:r w:rsidRPr="005B6D62">
        <w:rPr>
          <w:color w:val="833C0B" w:themeColor="accent2" w:themeShade="80"/>
          <w:u w:color="000000"/>
          <w:lang w:val="es-PE"/>
        </w:rPr>
        <w:t>s</w:t>
      </w:r>
      <w:r w:rsidRPr="005B6D62">
        <w:rPr>
          <w:lang w:val="es-PE"/>
        </w:rPr>
        <w:t xml:space="preserve">, n.16; IV.n.13; </w:t>
      </w:r>
      <w:r w:rsidRPr="005B6D62">
        <w:rPr>
          <w:u w:color="000000"/>
          <w:lang w:val="es-PE"/>
        </w:rPr>
        <w:t>X</w:t>
      </w:r>
      <w:r w:rsidRPr="005B6D62">
        <w:rPr>
          <w:lang w:val="es-PE"/>
        </w:rPr>
        <w:t xml:space="preserve">.17; </w:t>
      </w:r>
      <w:r w:rsidRPr="005B6D62">
        <w:rPr>
          <w:color w:val="833C0B" w:themeColor="accent2" w:themeShade="80"/>
          <w:u w:color="000000"/>
          <w:lang w:val="es-PE"/>
        </w:rPr>
        <w:t>XI</w:t>
      </w:r>
      <w:r w:rsidRPr="005B6D62">
        <w:rPr>
          <w:lang w:val="es-PE"/>
        </w:rPr>
        <w:t xml:space="preserve">.22; XIV.47, 78, 98, 108; 115s., 121, 141, 152; XV.4, 36s.; XVII.51, 61, 127, 136s., 228; XIX.8; XX.9, 70. Consultar también </w:t>
      </w:r>
      <w:r w:rsidRPr="005B6D62">
        <w:rPr>
          <w:i/>
          <w:iCs/>
          <w:lang w:val="es-PE"/>
        </w:rPr>
        <w:t>p. mental</w:t>
      </w:r>
      <w:r w:rsidRPr="005B6D62">
        <w:rPr>
          <w:lang w:val="es-PE"/>
        </w:rPr>
        <w:t xml:space="preserve">, etc. </w:t>
      </w:r>
    </w:p>
    <w:p w14:paraId="0B3A3560" w14:textId="77777777" w:rsidR="00597DE2" w:rsidRPr="005B6D62" w:rsidRDefault="00597DE2" w:rsidP="00597DE2">
      <w:pPr>
        <w:pStyle w:val="ParrafoApendice"/>
        <w:rPr>
          <w:lang w:val="es-PE"/>
        </w:rPr>
      </w:pPr>
      <w:proofErr w:type="spellStart"/>
      <w:r w:rsidRPr="005B6D62">
        <w:rPr>
          <w:lang w:val="es-PE"/>
        </w:rPr>
        <w:t>Puṇṇa</w:t>
      </w:r>
      <w:proofErr w:type="spellEnd"/>
      <w:r w:rsidRPr="005B6D62">
        <w:rPr>
          <w:lang w:val="es-PE"/>
        </w:rPr>
        <w:t xml:space="preserve"> XII.42</w:t>
      </w:r>
    </w:p>
    <w:p w14:paraId="531E6390" w14:textId="77777777" w:rsidR="00597DE2" w:rsidRPr="005B6D62" w:rsidRDefault="00597DE2" w:rsidP="00597DE2">
      <w:pPr>
        <w:pStyle w:val="ParrafoApendice"/>
        <w:rPr>
          <w:lang w:val="es-PE"/>
        </w:rPr>
      </w:pPr>
      <w:proofErr w:type="spellStart"/>
      <w:r w:rsidRPr="005B6D62">
        <w:rPr>
          <w:lang w:val="es-PE"/>
        </w:rPr>
        <w:t>Puṇṇaka</w:t>
      </w:r>
      <w:proofErr w:type="spellEnd"/>
      <w:r w:rsidRPr="005B6D62">
        <w:rPr>
          <w:lang w:val="es-PE"/>
        </w:rPr>
        <w:t xml:space="preserve"> VIII.18; XII.34</w:t>
      </w:r>
    </w:p>
    <w:p w14:paraId="4FDE7449" w14:textId="77777777" w:rsidR="00597DE2" w:rsidRPr="005B6D62" w:rsidRDefault="00597DE2" w:rsidP="00597DE2">
      <w:pPr>
        <w:pStyle w:val="ParrafoApendice"/>
        <w:rPr>
          <w:lang w:val="es-PE"/>
        </w:rPr>
      </w:pPr>
      <w:proofErr w:type="spellStart"/>
      <w:r w:rsidRPr="005B6D62">
        <w:rPr>
          <w:lang w:val="es-PE"/>
        </w:rPr>
        <w:t>Puṇṇavallika</w:t>
      </w:r>
      <w:proofErr w:type="spellEnd"/>
      <w:r w:rsidRPr="005B6D62">
        <w:rPr>
          <w:lang w:val="es-PE"/>
        </w:rPr>
        <w:t xml:space="preserve"> IV.95</w:t>
      </w:r>
    </w:p>
    <w:p w14:paraId="242000B8" w14:textId="77777777" w:rsidR="00597DE2" w:rsidRPr="000B61DD" w:rsidRDefault="00597DE2" w:rsidP="00597DE2">
      <w:pPr>
        <w:pStyle w:val="ParrafoApendice"/>
        <w:rPr>
          <w:lang w:val="es-PE"/>
        </w:rPr>
      </w:pPr>
      <w:r w:rsidRPr="000B61DD">
        <w:rPr>
          <w:lang w:val="es-PE"/>
        </w:rPr>
        <w:t>pureza (</w:t>
      </w:r>
      <w:proofErr w:type="spellStart"/>
      <w:r w:rsidRPr="000B61DD">
        <w:rPr>
          <w:i/>
          <w:iCs/>
          <w:lang w:val="es-PE"/>
        </w:rPr>
        <w:t>soceyya</w:t>
      </w:r>
      <w:proofErr w:type="spellEnd"/>
      <w:r w:rsidRPr="000B61DD">
        <w:rPr>
          <w:lang w:val="es-PE"/>
        </w:rPr>
        <w:t xml:space="preserve">) I.22 </w:t>
      </w:r>
    </w:p>
    <w:p w14:paraId="7AC85168" w14:textId="77777777" w:rsidR="00597DE2" w:rsidRPr="00B921C2" w:rsidRDefault="00597DE2" w:rsidP="00597DE2">
      <w:pPr>
        <w:pStyle w:val="ParrafoApendice"/>
        <w:rPr>
          <w:lang w:val="es-PE"/>
        </w:rPr>
      </w:pPr>
      <w:r w:rsidRPr="00B921C2">
        <w:rPr>
          <w:lang w:val="es-PE"/>
        </w:rPr>
        <w:t>purificación (</w:t>
      </w:r>
      <w:proofErr w:type="spellStart"/>
      <w:r w:rsidRPr="00B921C2">
        <w:rPr>
          <w:i/>
          <w:iCs/>
          <w:lang w:val="es-PE"/>
        </w:rPr>
        <w:t>suddhi</w:t>
      </w:r>
      <w:proofErr w:type="spellEnd"/>
      <w:r w:rsidRPr="00B921C2">
        <w:rPr>
          <w:i/>
          <w:iCs/>
          <w:lang w:val="es-PE"/>
        </w:rPr>
        <w:t xml:space="preserve">, </w:t>
      </w:r>
      <w:proofErr w:type="spellStart"/>
      <w:r w:rsidRPr="00B921C2">
        <w:rPr>
          <w:i/>
          <w:iCs/>
          <w:lang w:val="es-PE"/>
        </w:rPr>
        <w:t>visuddhi</w:t>
      </w:r>
      <w:proofErr w:type="spellEnd"/>
      <w:r w:rsidRPr="00B921C2">
        <w:rPr>
          <w:lang w:val="es-PE"/>
        </w:rPr>
        <w:t xml:space="preserve">) I.29, 126; XVI.85 </w:t>
      </w:r>
    </w:p>
    <w:p w14:paraId="71E7F651" w14:textId="77777777" w:rsidR="00597DE2" w:rsidRPr="005B6D62" w:rsidRDefault="00597DE2" w:rsidP="00597DE2">
      <w:pPr>
        <w:pStyle w:val="ParrafoApendice"/>
        <w:rPr>
          <w:lang w:val="es-PE"/>
        </w:rPr>
      </w:pPr>
      <w:r w:rsidRPr="005B6D62">
        <w:rPr>
          <w:color w:val="833C0B" w:themeColor="accent2" w:themeShade="80"/>
          <w:u w:color="000000"/>
          <w:lang w:val="es-PE"/>
        </w:rPr>
        <w:t>purificación</w:t>
      </w:r>
      <w:r w:rsidRPr="005B6D62">
        <w:rPr>
          <w:lang w:val="es-PE"/>
        </w:rPr>
        <w:t xml:space="preserve"> (</w:t>
      </w:r>
      <w:proofErr w:type="spellStart"/>
      <w:r w:rsidRPr="005B6D62">
        <w:rPr>
          <w:i/>
          <w:iCs/>
          <w:lang w:val="es-PE"/>
        </w:rPr>
        <w:t>vodāna</w:t>
      </w:r>
      <w:proofErr w:type="spellEnd"/>
      <w:r w:rsidRPr="005B6D62">
        <w:rPr>
          <w:lang w:val="es-PE"/>
        </w:rPr>
        <w:t xml:space="preserve">) I.16, 143; III.26; IV.117; XVII.81, n.15; XXI.135; XXII.45, n.7 </w:t>
      </w:r>
    </w:p>
    <w:p w14:paraId="6AE18539" w14:textId="77777777" w:rsidR="00597DE2" w:rsidRPr="0049729A" w:rsidRDefault="00597DE2" w:rsidP="00597DE2">
      <w:pPr>
        <w:pStyle w:val="ParrafoApendice"/>
        <w:rPr>
          <w:lang w:val="es-PE"/>
        </w:rPr>
      </w:pPr>
      <w:r w:rsidRPr="0049729A">
        <w:rPr>
          <w:lang w:val="es-PE"/>
        </w:rPr>
        <w:t>pus (</w:t>
      </w:r>
      <w:proofErr w:type="spellStart"/>
      <w:r w:rsidRPr="0049729A">
        <w:rPr>
          <w:i/>
          <w:iCs/>
          <w:lang w:val="es-PE"/>
        </w:rPr>
        <w:t>pubba</w:t>
      </w:r>
      <w:proofErr w:type="spellEnd"/>
      <w:r w:rsidRPr="0049729A">
        <w:rPr>
          <w:lang w:val="es-PE"/>
        </w:rPr>
        <w:t>) VI.2, 3; VIII.129; XI.17, 71</w:t>
      </w:r>
    </w:p>
    <w:p w14:paraId="68C0C906" w14:textId="77777777" w:rsidR="00597DE2" w:rsidRPr="00C71EC8" w:rsidRDefault="00597DE2" w:rsidP="00597DE2">
      <w:pPr>
        <w:pStyle w:val="ParrafoApendice"/>
        <w:rPr>
          <w:lang w:val="es-PE"/>
        </w:rPr>
      </w:pPr>
      <w:proofErr w:type="spellStart"/>
      <w:r w:rsidRPr="00C71EC8">
        <w:rPr>
          <w:lang w:val="es-PE"/>
        </w:rPr>
        <w:t>Rāhu</w:t>
      </w:r>
      <w:proofErr w:type="spellEnd"/>
      <w:r w:rsidRPr="00C71EC8">
        <w:rPr>
          <w:lang w:val="es-PE"/>
        </w:rPr>
        <w:t xml:space="preserve"> XXI.46</w:t>
      </w:r>
    </w:p>
    <w:p w14:paraId="46ECEBFB" w14:textId="77777777" w:rsidR="00597DE2" w:rsidRPr="00C71EC8" w:rsidRDefault="00597DE2" w:rsidP="00597DE2">
      <w:pPr>
        <w:pStyle w:val="ParrafoApendice"/>
        <w:rPr>
          <w:lang w:val="es-PE"/>
        </w:rPr>
      </w:pPr>
      <w:proofErr w:type="spellStart"/>
      <w:r w:rsidRPr="00C71EC8">
        <w:rPr>
          <w:lang w:val="es-PE"/>
        </w:rPr>
        <w:t>Rāhula</w:t>
      </w:r>
      <w:proofErr w:type="spellEnd"/>
      <w:r w:rsidRPr="00C71EC8">
        <w:rPr>
          <w:lang w:val="es-PE"/>
        </w:rPr>
        <w:t xml:space="preserve"> </w:t>
      </w:r>
      <w:proofErr w:type="spellStart"/>
      <w:r w:rsidRPr="00C71EC8">
        <w:rPr>
          <w:lang w:val="es-PE"/>
        </w:rPr>
        <w:t>Thera</w:t>
      </w:r>
      <w:proofErr w:type="spellEnd"/>
      <w:r w:rsidRPr="00C71EC8">
        <w:rPr>
          <w:lang w:val="es-PE"/>
        </w:rPr>
        <w:t xml:space="preserve"> XII.110</w:t>
      </w:r>
    </w:p>
    <w:p w14:paraId="0A25DF3E" w14:textId="77777777" w:rsidR="00597DE2" w:rsidRPr="00256567" w:rsidRDefault="00597DE2" w:rsidP="00597DE2">
      <w:pPr>
        <w:pStyle w:val="ParrafoApendice"/>
        <w:rPr>
          <w:lang w:val="es-PE"/>
        </w:rPr>
      </w:pPr>
      <w:r w:rsidRPr="00256567">
        <w:rPr>
          <w:lang w:val="es-PE"/>
        </w:rPr>
        <w:t>raíz (</w:t>
      </w:r>
      <w:proofErr w:type="spellStart"/>
      <w:r w:rsidRPr="00B838AD">
        <w:rPr>
          <w:i/>
          <w:iCs/>
          <w:lang w:val="es-PE"/>
        </w:rPr>
        <w:t>mūla</w:t>
      </w:r>
      <w:proofErr w:type="spellEnd"/>
      <w:r w:rsidRPr="00256567">
        <w:rPr>
          <w:lang w:val="es-PE"/>
        </w:rPr>
        <w:t>) IV.</w:t>
      </w:r>
      <w:r w:rsidRPr="00B838AD">
        <w:rPr>
          <w:lang w:val="es-PE"/>
        </w:rPr>
        <w:t>87</w:t>
      </w:r>
      <w:r w:rsidRPr="00256567">
        <w:rPr>
          <w:lang w:val="es-PE"/>
        </w:rPr>
        <w:t xml:space="preserve">; VII.27, 59 </w:t>
      </w:r>
    </w:p>
    <w:p w14:paraId="69F205F1" w14:textId="77777777" w:rsidR="00597DE2" w:rsidRPr="00C71EC8" w:rsidRDefault="00597DE2" w:rsidP="00597DE2">
      <w:pPr>
        <w:pStyle w:val="ParrafoApendice"/>
        <w:rPr>
          <w:lang w:val="es-PE"/>
        </w:rPr>
      </w:pPr>
      <w:proofErr w:type="spellStart"/>
      <w:r w:rsidRPr="00C71EC8">
        <w:rPr>
          <w:lang w:val="es-PE"/>
        </w:rPr>
        <w:t>Rājagaha</w:t>
      </w:r>
      <w:proofErr w:type="spellEnd"/>
      <w:r w:rsidRPr="00C71EC8">
        <w:rPr>
          <w:lang w:val="es-PE"/>
        </w:rPr>
        <w:t xml:space="preserve"> XII.</w:t>
      </w:r>
      <w:r w:rsidRPr="00C71EC8">
        <w:rPr>
          <w:color w:val="833C0B" w:themeColor="accent2" w:themeShade="80"/>
          <w:lang w:val="es-PE"/>
        </w:rPr>
        <w:t>29,</w:t>
      </w:r>
      <w:r w:rsidRPr="00C71EC8">
        <w:rPr>
          <w:lang w:val="es-PE"/>
        </w:rPr>
        <w:t xml:space="preserve"> 126</w:t>
      </w:r>
    </w:p>
    <w:p w14:paraId="04DAE624" w14:textId="77777777" w:rsidR="00597DE2" w:rsidRPr="00C71EC8" w:rsidRDefault="00597DE2" w:rsidP="00597DE2">
      <w:pPr>
        <w:pStyle w:val="ParrafoApendice"/>
        <w:rPr>
          <w:lang w:val="es-PE"/>
        </w:rPr>
      </w:pPr>
      <w:proofErr w:type="spellStart"/>
      <w:r w:rsidRPr="00C71EC8">
        <w:rPr>
          <w:lang w:val="es-PE"/>
        </w:rPr>
        <w:t>Rakkhita</w:t>
      </w:r>
      <w:proofErr w:type="spellEnd"/>
      <w:r w:rsidRPr="00C71EC8">
        <w:rPr>
          <w:lang w:val="es-PE"/>
        </w:rPr>
        <w:t xml:space="preserve">, ver </w:t>
      </w:r>
      <w:proofErr w:type="spellStart"/>
      <w:r w:rsidRPr="00C71EC8">
        <w:rPr>
          <w:lang w:val="es-PE"/>
        </w:rPr>
        <w:t>Buddharakkhita</w:t>
      </w:r>
      <w:proofErr w:type="spellEnd"/>
      <w:r w:rsidRPr="00C71EC8">
        <w:rPr>
          <w:lang w:val="es-PE"/>
        </w:rPr>
        <w:t xml:space="preserve"> </w:t>
      </w:r>
      <w:proofErr w:type="spellStart"/>
      <w:r w:rsidRPr="00C71EC8">
        <w:rPr>
          <w:lang w:val="es-PE"/>
        </w:rPr>
        <w:t>Thera</w:t>
      </w:r>
      <w:proofErr w:type="spellEnd"/>
    </w:p>
    <w:p w14:paraId="5CBBA2A8" w14:textId="77777777" w:rsidR="00597DE2" w:rsidRPr="00C71EC8" w:rsidRDefault="00597DE2" w:rsidP="00597DE2">
      <w:pPr>
        <w:pStyle w:val="ParrafoApendice"/>
        <w:rPr>
          <w:lang w:val="es-PE"/>
        </w:rPr>
      </w:pPr>
      <w:proofErr w:type="spellStart"/>
      <w:r w:rsidRPr="00C71EC8">
        <w:rPr>
          <w:lang w:val="es-PE"/>
        </w:rPr>
        <w:t>Rathakāra</w:t>
      </w:r>
      <w:proofErr w:type="spellEnd"/>
      <w:r w:rsidRPr="00C71EC8">
        <w:rPr>
          <w:lang w:val="es-PE"/>
        </w:rPr>
        <w:t xml:space="preserve">, Lago XIII.38 </w:t>
      </w:r>
    </w:p>
    <w:p w14:paraId="255BEDFC" w14:textId="77777777" w:rsidR="00597DE2" w:rsidRPr="00C71EC8" w:rsidRDefault="00597DE2" w:rsidP="00597DE2">
      <w:pPr>
        <w:pStyle w:val="ParrafoApendice"/>
        <w:rPr>
          <w:lang w:val="es-PE"/>
        </w:rPr>
      </w:pPr>
      <w:proofErr w:type="spellStart"/>
      <w:r w:rsidRPr="00C71EC8">
        <w:rPr>
          <w:lang w:val="es-PE"/>
        </w:rPr>
        <w:t>Raṭṭhapāla</w:t>
      </w:r>
      <w:proofErr w:type="spellEnd"/>
      <w:r w:rsidRPr="00C71EC8">
        <w:rPr>
          <w:lang w:val="es-PE"/>
        </w:rPr>
        <w:t xml:space="preserve"> </w:t>
      </w:r>
      <w:proofErr w:type="spellStart"/>
      <w:r w:rsidRPr="00C71EC8">
        <w:rPr>
          <w:lang w:val="es-PE"/>
        </w:rPr>
        <w:t>Thera</w:t>
      </w:r>
      <w:proofErr w:type="spellEnd"/>
      <w:r w:rsidRPr="00C71EC8">
        <w:rPr>
          <w:lang w:val="es-PE"/>
        </w:rPr>
        <w:t xml:space="preserve"> XII.110 </w:t>
      </w:r>
    </w:p>
    <w:p w14:paraId="52C5A60D" w14:textId="77777777" w:rsidR="00597DE2" w:rsidRPr="00950281" w:rsidRDefault="00597DE2" w:rsidP="00597DE2">
      <w:pPr>
        <w:pStyle w:val="ParrafoApendice"/>
        <w:rPr>
          <w:lang w:val="es-PE"/>
        </w:rPr>
      </w:pPr>
      <w:r w:rsidRPr="00950281">
        <w:rPr>
          <w:lang w:val="es-PE"/>
        </w:rPr>
        <w:t>razonamiento (</w:t>
      </w:r>
      <w:proofErr w:type="spellStart"/>
      <w:r w:rsidRPr="00950281">
        <w:rPr>
          <w:i/>
          <w:iCs/>
          <w:lang w:val="es-PE"/>
        </w:rPr>
        <w:t>cintā</w:t>
      </w:r>
      <w:proofErr w:type="spellEnd"/>
      <w:r w:rsidRPr="00950281">
        <w:rPr>
          <w:lang w:val="es-PE"/>
        </w:rPr>
        <w:t>) XIV.14</w:t>
      </w:r>
    </w:p>
    <w:p w14:paraId="038021D5" w14:textId="77777777" w:rsidR="00597DE2" w:rsidRPr="00C93627" w:rsidRDefault="00597DE2" w:rsidP="00597DE2">
      <w:pPr>
        <w:pStyle w:val="ParrafoApendice"/>
        <w:rPr>
          <w:lang w:val="es-PE"/>
        </w:rPr>
      </w:pPr>
      <w:r w:rsidRPr="00C93627">
        <w:rPr>
          <w:lang w:val="es-PE"/>
        </w:rPr>
        <w:t>real, realida</w:t>
      </w:r>
      <w:r>
        <w:rPr>
          <w:lang w:val="es-PE"/>
        </w:rPr>
        <w:t>d</w:t>
      </w:r>
      <w:r w:rsidRPr="00C93627">
        <w:rPr>
          <w:lang w:val="es-PE"/>
        </w:rPr>
        <w:t xml:space="preserve"> (</w:t>
      </w:r>
      <w:proofErr w:type="spellStart"/>
      <w:r w:rsidRPr="00C93627">
        <w:rPr>
          <w:i/>
          <w:iCs/>
          <w:lang w:val="es-PE"/>
        </w:rPr>
        <w:t>tatha</w:t>
      </w:r>
      <w:proofErr w:type="spellEnd"/>
      <w:r w:rsidRPr="00C93627">
        <w:rPr>
          <w:i/>
          <w:iCs/>
          <w:lang w:val="es-PE"/>
        </w:rPr>
        <w:t xml:space="preserve">, </w:t>
      </w:r>
      <w:proofErr w:type="spellStart"/>
      <w:r w:rsidRPr="00C93627">
        <w:rPr>
          <w:i/>
          <w:iCs/>
          <w:lang w:val="es-PE"/>
        </w:rPr>
        <w:t>tathatā</w:t>
      </w:r>
      <w:proofErr w:type="spellEnd"/>
      <w:r w:rsidRPr="00C93627">
        <w:rPr>
          <w:lang w:val="es-PE"/>
        </w:rPr>
        <w:t xml:space="preserve">) XVI.24s.; XVII.5; XXII.97 </w:t>
      </w:r>
    </w:p>
    <w:p w14:paraId="659EAB70" w14:textId="77777777" w:rsidR="00597DE2" w:rsidRPr="002F66FB" w:rsidRDefault="00597DE2" w:rsidP="00597DE2">
      <w:pPr>
        <w:pStyle w:val="ParrafoApendice"/>
        <w:rPr>
          <w:lang w:val="es-PE"/>
        </w:rPr>
      </w:pPr>
      <w:r w:rsidRPr="002F66FB">
        <w:rPr>
          <w:lang w:val="es-PE"/>
        </w:rPr>
        <w:t>reaparición (</w:t>
      </w:r>
      <w:proofErr w:type="spellStart"/>
      <w:r w:rsidRPr="002F66FB">
        <w:rPr>
          <w:i/>
          <w:iCs/>
          <w:lang w:val="es-PE"/>
        </w:rPr>
        <w:t>upapāta</w:t>
      </w:r>
      <w:proofErr w:type="spellEnd"/>
      <w:r w:rsidRPr="002F66FB">
        <w:rPr>
          <w:lang w:val="es-PE"/>
        </w:rPr>
        <w:t xml:space="preserve">) XIII.72; XVII.114 </w:t>
      </w:r>
    </w:p>
    <w:p w14:paraId="1323D755" w14:textId="77777777" w:rsidR="00597DE2" w:rsidRPr="004556BB" w:rsidRDefault="00597DE2" w:rsidP="00597DE2">
      <w:pPr>
        <w:pStyle w:val="ParrafoApendice"/>
        <w:rPr>
          <w:lang w:val="es-PE"/>
        </w:rPr>
      </w:pPr>
      <w:r w:rsidRPr="004556BB">
        <w:rPr>
          <w:lang w:val="es-PE"/>
        </w:rPr>
        <w:t>re</w:t>
      </w:r>
      <w:r>
        <w:rPr>
          <w:lang w:val="es-PE"/>
        </w:rPr>
        <w:t>cepción</w:t>
      </w:r>
      <w:r w:rsidRPr="004556BB">
        <w:rPr>
          <w:lang w:val="es-PE"/>
        </w:rPr>
        <w:t xml:space="preserve"> (</w:t>
      </w:r>
      <w:proofErr w:type="spellStart"/>
      <w:r w:rsidRPr="004556BB">
        <w:rPr>
          <w:i/>
          <w:iCs/>
          <w:lang w:val="es-PE"/>
        </w:rPr>
        <w:t>sampaṭicchana</w:t>
      </w:r>
      <w:proofErr w:type="spellEnd"/>
      <w:r w:rsidRPr="004556BB">
        <w:rPr>
          <w:lang w:val="es-PE"/>
        </w:rPr>
        <w:t>) I.57; IV.n.13; XI.93; XIV.95, 101, 118, n.47; XV.34, 36; XVII.128, 138, 231; XX.44</w:t>
      </w:r>
    </w:p>
    <w:p w14:paraId="6108A414" w14:textId="77777777" w:rsidR="00597DE2" w:rsidRPr="00AA7FEE" w:rsidRDefault="00597DE2" w:rsidP="00597DE2">
      <w:pPr>
        <w:pStyle w:val="ParrafoApendice"/>
        <w:rPr>
          <w:lang w:val="es-PE"/>
        </w:rPr>
      </w:pPr>
      <w:r w:rsidRPr="00AA7FEE">
        <w:rPr>
          <w:lang w:val="es-PE"/>
        </w:rPr>
        <w:t>reclusi</w:t>
      </w:r>
      <w:r>
        <w:rPr>
          <w:lang w:val="es-PE"/>
        </w:rPr>
        <w:t>ó</w:t>
      </w:r>
      <w:r w:rsidRPr="00AA7FEE">
        <w:rPr>
          <w:lang w:val="es-PE"/>
        </w:rPr>
        <w:t>n (</w:t>
      </w:r>
      <w:proofErr w:type="spellStart"/>
      <w:r w:rsidRPr="000765E7">
        <w:rPr>
          <w:i/>
          <w:iCs/>
          <w:lang w:val="es-PE"/>
        </w:rPr>
        <w:t>viveka</w:t>
      </w:r>
      <w:proofErr w:type="spellEnd"/>
      <w:r w:rsidRPr="000765E7">
        <w:rPr>
          <w:i/>
          <w:iCs/>
          <w:lang w:val="es-PE"/>
        </w:rPr>
        <w:t xml:space="preserve">, </w:t>
      </w:r>
      <w:proofErr w:type="spellStart"/>
      <w:r w:rsidRPr="000765E7">
        <w:rPr>
          <w:i/>
          <w:iCs/>
          <w:lang w:val="es-PE"/>
        </w:rPr>
        <w:t>paviveka</w:t>
      </w:r>
      <w:proofErr w:type="spellEnd"/>
      <w:r w:rsidRPr="00AA7FEE">
        <w:rPr>
          <w:lang w:val="es-PE"/>
        </w:rPr>
        <w:t xml:space="preserve">) II.83; III.128; IV.82, n.23; VII.63; XXIII.50 </w:t>
      </w:r>
    </w:p>
    <w:p w14:paraId="238B890E" w14:textId="77777777" w:rsidR="00597DE2" w:rsidRPr="00266A99" w:rsidRDefault="00597DE2" w:rsidP="00597DE2">
      <w:pPr>
        <w:pStyle w:val="ParrafoApendice"/>
        <w:rPr>
          <w:lang w:val="es-PE"/>
        </w:rPr>
      </w:pPr>
      <w:r w:rsidRPr="00266A99">
        <w:rPr>
          <w:lang w:val="es-PE"/>
        </w:rPr>
        <w:t>rec</w:t>
      </w:r>
      <w:r>
        <w:rPr>
          <w:lang w:val="es-PE"/>
        </w:rPr>
        <w:t>t</w:t>
      </w:r>
      <w:r w:rsidRPr="00266A99">
        <w:rPr>
          <w:lang w:val="es-PE"/>
        </w:rPr>
        <w:t>itud (</w:t>
      </w:r>
      <w:proofErr w:type="spellStart"/>
      <w:r w:rsidRPr="00266A99">
        <w:rPr>
          <w:i/>
          <w:iCs/>
          <w:lang w:val="es-PE"/>
        </w:rPr>
        <w:t>sammatta</w:t>
      </w:r>
      <w:proofErr w:type="spellEnd"/>
      <w:r w:rsidRPr="00266A99">
        <w:rPr>
          <w:lang w:val="es-PE"/>
        </w:rPr>
        <w:t xml:space="preserve">) V.40; XX.18 </w:t>
      </w:r>
    </w:p>
    <w:p w14:paraId="3B15A63E" w14:textId="77777777" w:rsidR="00597DE2" w:rsidRDefault="00597DE2" w:rsidP="00597DE2">
      <w:pPr>
        <w:pStyle w:val="ParrafoApendice"/>
        <w:rPr>
          <w:lang w:val="es-PE"/>
        </w:rPr>
      </w:pPr>
      <w:r w:rsidRPr="00073CE4">
        <w:rPr>
          <w:lang w:val="es-PE"/>
        </w:rPr>
        <w:t>rectitud (</w:t>
      </w:r>
      <w:proofErr w:type="spellStart"/>
      <w:r w:rsidRPr="00073CE4">
        <w:rPr>
          <w:i/>
          <w:iCs/>
          <w:lang w:val="es-PE"/>
        </w:rPr>
        <w:t>ujukatā</w:t>
      </w:r>
      <w:proofErr w:type="spellEnd"/>
      <w:r w:rsidRPr="00073CE4">
        <w:rPr>
          <w:lang w:val="es-PE"/>
        </w:rPr>
        <w:t xml:space="preserve">) XIV.133, 149 </w:t>
      </w:r>
      <w:r>
        <w:rPr>
          <w:lang w:val="es-PE"/>
        </w:rPr>
        <w:br w:type="page"/>
      </w:r>
    </w:p>
    <w:p w14:paraId="48976F4A" w14:textId="77777777" w:rsidR="00597DE2" w:rsidRPr="00073CE4" w:rsidRDefault="00597DE2" w:rsidP="00597DE2">
      <w:pPr>
        <w:pStyle w:val="ParrafoApendice"/>
        <w:rPr>
          <w:lang w:val="es-PE"/>
        </w:rPr>
      </w:pPr>
    </w:p>
    <w:p w14:paraId="749550C2" w14:textId="77777777" w:rsidR="00597DE2" w:rsidRPr="00073CE4" w:rsidRDefault="00597DE2" w:rsidP="00597DE2">
      <w:pPr>
        <w:pStyle w:val="ParrafoApendice"/>
        <w:rPr>
          <w:lang w:val="es-PE"/>
        </w:rPr>
      </w:pPr>
      <w:r w:rsidRPr="00073CE4">
        <w:rPr>
          <w:lang w:val="es-PE"/>
        </w:rPr>
        <w:t>reflexión (</w:t>
      </w:r>
      <w:proofErr w:type="spellStart"/>
      <w:r w:rsidRPr="00073CE4">
        <w:rPr>
          <w:i/>
          <w:iCs/>
          <w:lang w:val="es-PE"/>
        </w:rPr>
        <w:t>paṭisaṅkhā</w:t>
      </w:r>
      <w:proofErr w:type="spellEnd"/>
      <w:r w:rsidRPr="00073CE4">
        <w:rPr>
          <w:lang w:val="es-PE"/>
        </w:rPr>
        <w:t xml:space="preserve">) I.85, 140; XXI.11, 23. Ver también </w:t>
      </w:r>
      <w:r w:rsidRPr="00073CE4">
        <w:rPr>
          <w:i/>
          <w:iCs/>
          <w:lang w:val="es-PE"/>
        </w:rPr>
        <w:t>contemplación</w:t>
      </w:r>
      <w:r>
        <w:rPr>
          <w:i/>
          <w:iCs/>
          <w:lang w:val="es-PE"/>
        </w:rPr>
        <w:t xml:space="preserve"> </w:t>
      </w:r>
      <w:r w:rsidRPr="00073CE4">
        <w:rPr>
          <w:i/>
          <w:iCs/>
          <w:lang w:val="es-PE"/>
        </w:rPr>
        <w:t>de la r.</w:t>
      </w:r>
    </w:p>
    <w:p w14:paraId="1F480B61" w14:textId="77777777" w:rsidR="00597DE2" w:rsidRPr="00E429F9" w:rsidRDefault="00597DE2" w:rsidP="00597DE2">
      <w:pPr>
        <w:pStyle w:val="ParrafoApendice"/>
        <w:rPr>
          <w:lang w:val="es-PE"/>
        </w:rPr>
      </w:pPr>
      <w:r w:rsidRPr="00E429F9">
        <w:rPr>
          <w:lang w:val="es-PE"/>
        </w:rPr>
        <w:t>registr</w:t>
      </w:r>
      <w:r>
        <w:rPr>
          <w:lang w:val="es-PE"/>
        </w:rPr>
        <w:t>o</w:t>
      </w:r>
      <w:r w:rsidRPr="00E429F9">
        <w:rPr>
          <w:lang w:val="es-PE"/>
        </w:rPr>
        <w:t xml:space="preserve"> (</w:t>
      </w:r>
      <w:proofErr w:type="spellStart"/>
      <w:r w:rsidRPr="00E429F9">
        <w:rPr>
          <w:i/>
          <w:iCs/>
          <w:lang w:val="es-PE"/>
        </w:rPr>
        <w:t>tadārammaṇa</w:t>
      </w:r>
      <w:proofErr w:type="spellEnd"/>
      <w:r w:rsidRPr="00E429F9">
        <w:rPr>
          <w:lang w:val="es-PE"/>
        </w:rPr>
        <w:t>) IV.n.13; XIV.98, 100, 122, n.39, n.52; XVII.129</w:t>
      </w:r>
      <w:r>
        <w:rPr>
          <w:lang w:val="es-PE"/>
        </w:rPr>
        <w:t>s</w:t>
      </w:r>
      <w:r w:rsidRPr="00E429F9">
        <w:rPr>
          <w:lang w:val="es-PE"/>
        </w:rPr>
        <w:t>., 137</w:t>
      </w:r>
      <w:r>
        <w:rPr>
          <w:lang w:val="es-PE"/>
        </w:rPr>
        <w:t>s</w:t>
      </w:r>
      <w:r w:rsidRPr="00E429F9">
        <w:rPr>
          <w:lang w:val="es-PE"/>
        </w:rPr>
        <w:t xml:space="preserve">., 231; XX.43 </w:t>
      </w:r>
    </w:p>
    <w:p w14:paraId="29E9471B" w14:textId="77777777" w:rsidR="00597DE2" w:rsidRPr="001E76E6" w:rsidRDefault="00597DE2" w:rsidP="00597DE2">
      <w:pPr>
        <w:pStyle w:val="ParrafoApendice"/>
        <w:rPr>
          <w:lang w:val="es-PE"/>
        </w:rPr>
      </w:pPr>
      <w:r w:rsidRPr="001E76E6">
        <w:rPr>
          <w:lang w:val="es-PE"/>
        </w:rPr>
        <w:t>re</w:t>
      </w:r>
      <w:r>
        <w:rPr>
          <w:lang w:val="es-PE"/>
        </w:rPr>
        <w:t xml:space="preserve">glas y votos, ritos y votos </w:t>
      </w:r>
      <w:r w:rsidRPr="001E76E6">
        <w:rPr>
          <w:lang w:val="es-PE"/>
        </w:rPr>
        <w:t>(</w:t>
      </w:r>
      <w:r w:rsidRPr="001E76E6">
        <w:rPr>
          <w:i/>
          <w:iCs/>
          <w:lang w:val="es-PE"/>
        </w:rPr>
        <w:t>sīlabbata</w:t>
      </w:r>
      <w:r w:rsidRPr="001E76E6">
        <w:rPr>
          <w:lang w:val="es-PE"/>
        </w:rPr>
        <w:t>) XIV.229; XVII.240</w:t>
      </w:r>
      <w:r>
        <w:rPr>
          <w:lang w:val="es-PE"/>
        </w:rPr>
        <w:t>s</w:t>
      </w:r>
      <w:r w:rsidRPr="001E76E6">
        <w:rPr>
          <w:lang w:val="es-PE"/>
        </w:rPr>
        <w:t>.; XXII.48, 54</w:t>
      </w:r>
    </w:p>
    <w:p w14:paraId="7559997E" w14:textId="77777777" w:rsidR="00597DE2" w:rsidRPr="005B6D62" w:rsidRDefault="00597DE2" w:rsidP="00597DE2">
      <w:pPr>
        <w:pStyle w:val="ParrafoApendice"/>
        <w:rPr>
          <w:lang w:val="es-PE"/>
        </w:rPr>
      </w:pPr>
      <w:proofErr w:type="spellStart"/>
      <w:r w:rsidRPr="005B6D62">
        <w:rPr>
          <w:lang w:val="es-PE"/>
        </w:rPr>
        <w:t>rehusador</w:t>
      </w:r>
      <w:proofErr w:type="spellEnd"/>
      <w:r w:rsidRPr="005B6D62">
        <w:rPr>
          <w:lang w:val="es-PE"/>
        </w:rPr>
        <w:t xml:space="preserve"> de alimentos fuera de horario (</w:t>
      </w:r>
      <w:proofErr w:type="spellStart"/>
      <w:r w:rsidRPr="005B6D62">
        <w:rPr>
          <w:i/>
          <w:iCs/>
          <w:lang w:val="es-PE"/>
        </w:rPr>
        <w:t>khalupacchābhattika</w:t>
      </w:r>
      <w:proofErr w:type="spellEnd"/>
      <w:r w:rsidRPr="005B6D62">
        <w:rPr>
          <w:lang w:val="es-PE"/>
        </w:rPr>
        <w:t>) II.2, 43</w:t>
      </w:r>
    </w:p>
    <w:p w14:paraId="096269F1" w14:textId="77777777" w:rsidR="00597DE2" w:rsidRPr="005B6D62" w:rsidRDefault="00597DE2" w:rsidP="00597DE2">
      <w:pPr>
        <w:pStyle w:val="ParrafoApendice"/>
        <w:rPr>
          <w:lang w:val="es-PE"/>
        </w:rPr>
      </w:pPr>
      <w:r w:rsidRPr="005B6D62">
        <w:rPr>
          <w:lang w:val="es-PE"/>
        </w:rPr>
        <w:t>relación lógica, doble &amp; cuádruple (</w:t>
      </w:r>
      <w:proofErr w:type="spellStart"/>
      <w:r w:rsidRPr="005B6D62">
        <w:rPr>
          <w:i/>
          <w:iCs/>
          <w:lang w:val="es-PE"/>
        </w:rPr>
        <w:t>dvi</w:t>
      </w:r>
      <w:proofErr w:type="spellEnd"/>
      <w:r w:rsidRPr="005B6D62">
        <w:rPr>
          <w:i/>
          <w:iCs/>
          <w:lang w:val="es-PE"/>
        </w:rPr>
        <w:t xml:space="preserve">–, </w:t>
      </w:r>
      <w:proofErr w:type="spellStart"/>
      <w:r w:rsidRPr="005B6D62">
        <w:rPr>
          <w:i/>
          <w:iCs/>
          <w:lang w:val="es-PE"/>
        </w:rPr>
        <w:t>catu</w:t>
      </w:r>
      <w:proofErr w:type="spellEnd"/>
      <w:r w:rsidRPr="005B6D62">
        <w:rPr>
          <w:i/>
          <w:iCs/>
          <w:lang w:val="es-PE"/>
        </w:rPr>
        <w:t>–</w:t>
      </w:r>
      <w:proofErr w:type="spellStart"/>
      <w:r w:rsidRPr="005B6D62">
        <w:rPr>
          <w:i/>
          <w:iCs/>
          <w:lang w:val="es-PE"/>
        </w:rPr>
        <w:t>koṭika</w:t>
      </w:r>
      <w:proofErr w:type="spellEnd"/>
      <w:r w:rsidRPr="005B6D62">
        <w:rPr>
          <w:lang w:val="es-PE"/>
        </w:rPr>
        <w:t>) XXI.53</w:t>
      </w:r>
    </w:p>
    <w:p w14:paraId="1F86FD12" w14:textId="77777777" w:rsidR="00597DE2" w:rsidRPr="00B321B7" w:rsidRDefault="00597DE2" w:rsidP="00597DE2">
      <w:pPr>
        <w:pStyle w:val="ParrafoApendice"/>
        <w:rPr>
          <w:lang w:val="es-PE"/>
        </w:rPr>
      </w:pPr>
      <w:r w:rsidRPr="008B0DE5">
        <w:rPr>
          <w:lang w:val="es-PE"/>
        </w:rPr>
        <w:t>reliquia</w:t>
      </w:r>
      <w:r w:rsidRPr="00B321B7">
        <w:rPr>
          <w:lang w:val="es-PE"/>
        </w:rPr>
        <w:t>s (</w:t>
      </w:r>
      <w:proofErr w:type="spellStart"/>
      <w:r w:rsidRPr="00B321B7">
        <w:rPr>
          <w:i/>
          <w:iCs/>
          <w:lang w:val="es-PE"/>
        </w:rPr>
        <w:t>dhātu</w:t>
      </w:r>
      <w:proofErr w:type="spellEnd"/>
      <w:r w:rsidRPr="00B321B7">
        <w:rPr>
          <w:lang w:val="es-PE"/>
        </w:rPr>
        <w:t xml:space="preserve">) XIII.107 </w:t>
      </w:r>
    </w:p>
    <w:p w14:paraId="18A77010" w14:textId="77777777" w:rsidR="00597DE2" w:rsidRPr="003F640F" w:rsidRDefault="00597DE2" w:rsidP="00597DE2">
      <w:pPr>
        <w:pStyle w:val="ParrafoApendice"/>
        <w:rPr>
          <w:lang w:val="es-PE"/>
        </w:rPr>
      </w:pPr>
      <w:r w:rsidRPr="00B321B7">
        <w:rPr>
          <w:lang w:val="es-PE"/>
        </w:rPr>
        <w:t xml:space="preserve">renunciación </w:t>
      </w:r>
      <w:r w:rsidRPr="003F640F">
        <w:rPr>
          <w:lang w:val="es-PE"/>
        </w:rPr>
        <w:t>(</w:t>
      </w:r>
      <w:r w:rsidRPr="003F640F">
        <w:rPr>
          <w:i/>
          <w:iCs/>
          <w:lang w:val="es-PE"/>
        </w:rPr>
        <w:t>nekkhamma</w:t>
      </w:r>
      <w:r w:rsidRPr="003F640F">
        <w:rPr>
          <w:lang w:val="es-PE"/>
        </w:rPr>
        <w:t xml:space="preserve">) I.140; III.128; IX.124; XV.28; XVI.86; XXIII.20 </w:t>
      </w:r>
    </w:p>
    <w:p w14:paraId="6A82C517" w14:textId="77777777" w:rsidR="00597DE2" w:rsidRPr="00DA4203" w:rsidRDefault="00597DE2" w:rsidP="00597DE2">
      <w:pPr>
        <w:pStyle w:val="ParrafoApendice"/>
        <w:rPr>
          <w:lang w:val="es-PE"/>
        </w:rPr>
      </w:pPr>
      <w:r w:rsidRPr="00DA4203">
        <w:rPr>
          <w:lang w:val="es-PE"/>
        </w:rPr>
        <w:t>repetici</w:t>
      </w:r>
      <w:r>
        <w:rPr>
          <w:lang w:val="es-PE"/>
        </w:rPr>
        <w:t>ó</w:t>
      </w:r>
      <w:r w:rsidRPr="00DA4203">
        <w:rPr>
          <w:lang w:val="es-PE"/>
        </w:rPr>
        <w:t>n (</w:t>
      </w:r>
      <w:proofErr w:type="spellStart"/>
      <w:r w:rsidRPr="00DA4203">
        <w:rPr>
          <w:i/>
          <w:iCs/>
          <w:lang w:val="es-PE"/>
        </w:rPr>
        <w:t>āsevanā</w:t>
      </w:r>
      <w:proofErr w:type="spellEnd"/>
      <w:r w:rsidRPr="00DA4203">
        <w:rPr>
          <w:lang w:val="es-PE"/>
        </w:rPr>
        <w:t>) I.140; IV.113, n</w:t>
      </w:r>
      <w:r w:rsidRPr="008F4849">
        <w:rPr>
          <w:color w:val="833C0B" w:themeColor="accent2" w:themeShade="80"/>
          <w:lang w:val="es-PE"/>
        </w:rPr>
        <w:t>.34</w:t>
      </w:r>
      <w:r w:rsidRPr="00DA4203">
        <w:rPr>
          <w:lang w:val="es-PE"/>
        </w:rPr>
        <w:t xml:space="preserve">; VIII.40; XVII.66, 87; XXI.130; XXII.6, 16 </w:t>
      </w:r>
    </w:p>
    <w:p w14:paraId="35CFF4CC" w14:textId="77777777" w:rsidR="00597DE2" w:rsidRPr="00D17D7B" w:rsidRDefault="00597DE2" w:rsidP="00597DE2">
      <w:pPr>
        <w:pStyle w:val="ParrafoApendice"/>
        <w:rPr>
          <w:lang w:val="es-PE"/>
        </w:rPr>
      </w:pPr>
      <w:r w:rsidRPr="00D17D7B">
        <w:rPr>
          <w:lang w:val="es-PE"/>
        </w:rPr>
        <w:t>repulsivi</w:t>
      </w:r>
      <w:r>
        <w:rPr>
          <w:lang w:val="es-PE"/>
        </w:rPr>
        <w:t>dad, repulsivo, repugnancia</w:t>
      </w:r>
      <w:r w:rsidRPr="00D17D7B">
        <w:rPr>
          <w:lang w:val="es-PE"/>
        </w:rPr>
        <w:t xml:space="preserve"> (</w:t>
      </w:r>
      <w:proofErr w:type="spellStart"/>
      <w:r w:rsidRPr="00D17D7B">
        <w:rPr>
          <w:i/>
          <w:iCs/>
          <w:lang w:val="es-PE"/>
        </w:rPr>
        <w:t>paṭikkūla</w:t>
      </w:r>
      <w:proofErr w:type="spellEnd"/>
      <w:r w:rsidRPr="00D17D7B">
        <w:rPr>
          <w:lang w:val="es-PE"/>
        </w:rPr>
        <w:t>) I.n.33; III.6; VI.1</w:t>
      </w:r>
      <w:r>
        <w:rPr>
          <w:lang w:val="es-PE"/>
        </w:rPr>
        <w:t>s</w:t>
      </w:r>
      <w:r w:rsidRPr="00D17D7B">
        <w:rPr>
          <w:lang w:val="es-PE"/>
        </w:rPr>
        <w:t>.; VIII.4</w:t>
      </w:r>
      <w:r w:rsidRPr="006655C9">
        <w:rPr>
          <w:color w:val="833C0B" w:themeColor="accent2" w:themeShade="80"/>
          <w:lang w:val="es-PE"/>
        </w:rPr>
        <w:t>2</w:t>
      </w:r>
      <w:r>
        <w:rPr>
          <w:lang w:val="es-PE"/>
        </w:rPr>
        <w:t>s</w:t>
      </w:r>
      <w:r w:rsidRPr="00D17D7B">
        <w:rPr>
          <w:lang w:val="es-PE"/>
        </w:rPr>
        <w:t xml:space="preserve">., </w:t>
      </w:r>
      <w:r w:rsidRPr="00F22AB0">
        <w:rPr>
          <w:lang w:val="es-PE"/>
        </w:rPr>
        <w:t>69</w:t>
      </w:r>
      <w:r w:rsidRPr="00D17D7B">
        <w:rPr>
          <w:lang w:val="es-PE"/>
        </w:rPr>
        <w:t>, 84, n.16; XI.4</w:t>
      </w:r>
      <w:r>
        <w:rPr>
          <w:lang w:val="es-PE"/>
        </w:rPr>
        <w:t>s</w:t>
      </w:r>
      <w:r w:rsidRPr="00D17D7B">
        <w:rPr>
          <w:lang w:val="es-PE"/>
        </w:rPr>
        <w:t>.; XII.36</w:t>
      </w:r>
      <w:r>
        <w:rPr>
          <w:lang w:val="es-PE"/>
        </w:rPr>
        <w:t>s</w:t>
      </w:r>
      <w:r w:rsidRPr="00D17D7B">
        <w:rPr>
          <w:lang w:val="es-PE"/>
        </w:rPr>
        <w:t>.; XXI.63</w:t>
      </w:r>
    </w:p>
    <w:p w14:paraId="05EF101A" w14:textId="77777777" w:rsidR="00597DE2" w:rsidRPr="00FE0DCC" w:rsidRDefault="00597DE2" w:rsidP="00597DE2">
      <w:pPr>
        <w:pStyle w:val="ParrafoApendice"/>
        <w:rPr>
          <w:lang w:val="es-PE"/>
        </w:rPr>
      </w:pPr>
      <w:r w:rsidRPr="00FE0DCC">
        <w:rPr>
          <w:lang w:val="es-PE"/>
        </w:rPr>
        <w:t>requisito (</w:t>
      </w:r>
      <w:proofErr w:type="spellStart"/>
      <w:r w:rsidRPr="00FE0DCC">
        <w:rPr>
          <w:i/>
          <w:iCs/>
          <w:lang w:val="es-PE"/>
        </w:rPr>
        <w:t>parikkhāra</w:t>
      </w:r>
      <w:proofErr w:type="spellEnd"/>
      <w:r w:rsidRPr="00FE0DCC">
        <w:rPr>
          <w:lang w:val="es-PE"/>
        </w:rPr>
        <w:t>) I.2, 68, 96; (</w:t>
      </w:r>
      <w:proofErr w:type="spellStart"/>
      <w:r w:rsidRPr="00D151CC">
        <w:rPr>
          <w:i/>
          <w:iCs/>
          <w:lang w:val="es-PE"/>
        </w:rPr>
        <w:t>paccaya</w:t>
      </w:r>
      <w:proofErr w:type="spellEnd"/>
      <w:r w:rsidRPr="00FE0DCC">
        <w:rPr>
          <w:lang w:val="es-PE"/>
        </w:rPr>
        <w:t>) I.18, 42, 85, 96, 112</w:t>
      </w:r>
      <w:r>
        <w:rPr>
          <w:lang w:val="es-PE"/>
        </w:rPr>
        <w:t>s</w:t>
      </w:r>
      <w:r w:rsidRPr="00FE0DCC">
        <w:rPr>
          <w:lang w:val="es-PE"/>
        </w:rPr>
        <w:t>.</w:t>
      </w:r>
    </w:p>
    <w:p w14:paraId="3F496EB1" w14:textId="77777777" w:rsidR="00597DE2" w:rsidRPr="000D6C73" w:rsidRDefault="00597DE2" w:rsidP="00597DE2">
      <w:pPr>
        <w:pStyle w:val="ParrafoApendice"/>
        <w:rPr>
          <w:lang w:val="es-PE"/>
        </w:rPr>
      </w:pPr>
      <w:r w:rsidRPr="000D6C73">
        <w:rPr>
          <w:lang w:val="es-PE"/>
        </w:rPr>
        <w:t>resentimie</w:t>
      </w:r>
      <w:r>
        <w:rPr>
          <w:lang w:val="es-PE"/>
        </w:rPr>
        <w:t>nto</w:t>
      </w:r>
      <w:r w:rsidRPr="000D6C73">
        <w:rPr>
          <w:lang w:val="es-PE"/>
        </w:rPr>
        <w:t xml:space="preserve"> (</w:t>
      </w:r>
      <w:proofErr w:type="spellStart"/>
      <w:r w:rsidRPr="000D6C73">
        <w:rPr>
          <w:i/>
          <w:iCs/>
          <w:lang w:val="es-PE"/>
        </w:rPr>
        <w:t>paṭigha</w:t>
      </w:r>
      <w:proofErr w:type="spellEnd"/>
      <w:r w:rsidRPr="000D6C73">
        <w:rPr>
          <w:lang w:val="es-PE"/>
        </w:rPr>
        <w:t xml:space="preserve">) I.n.14; IX.14, 88, 96, 101; XIV.92; XXII.45, </w:t>
      </w:r>
      <w:r w:rsidRPr="000D6C73">
        <w:rPr>
          <w:strike/>
          <w:color w:val="833C0B" w:themeColor="accent2" w:themeShade="80"/>
          <w:lang w:val="es-PE"/>
        </w:rPr>
        <w:t>48</w:t>
      </w:r>
      <w:r w:rsidRPr="000D6C73">
        <w:rPr>
          <w:lang w:val="es-PE"/>
        </w:rPr>
        <w:t>, 51, 60</w:t>
      </w:r>
    </w:p>
    <w:p w14:paraId="7F284D72" w14:textId="77777777" w:rsidR="00597DE2" w:rsidRPr="00E671FE" w:rsidRDefault="00597DE2" w:rsidP="00597DE2">
      <w:pPr>
        <w:pStyle w:val="ParrafoApendice"/>
        <w:rPr>
          <w:lang w:val="es-PE"/>
        </w:rPr>
      </w:pPr>
      <w:r w:rsidRPr="00E671FE">
        <w:rPr>
          <w:lang w:val="es-PE"/>
        </w:rPr>
        <w:t>resistencia (</w:t>
      </w:r>
      <w:proofErr w:type="spellStart"/>
      <w:r w:rsidRPr="00E671FE">
        <w:rPr>
          <w:i/>
          <w:iCs/>
          <w:lang w:val="es-PE"/>
        </w:rPr>
        <w:t>paṭigha</w:t>
      </w:r>
      <w:proofErr w:type="spellEnd"/>
      <w:r w:rsidRPr="00E671FE">
        <w:rPr>
          <w:lang w:val="es-PE"/>
        </w:rPr>
        <w:t xml:space="preserve">) I.140, n.14; X.12, 16; </w:t>
      </w:r>
      <w:r w:rsidRPr="001A3E64">
        <w:rPr>
          <w:strike/>
          <w:color w:val="833C0B" w:themeColor="accent2" w:themeShade="80"/>
          <w:lang w:val="es-PE"/>
        </w:rPr>
        <w:t>XIV.74</w:t>
      </w:r>
      <w:r w:rsidRPr="00E671FE">
        <w:rPr>
          <w:lang w:val="es-PE"/>
        </w:rPr>
        <w:t xml:space="preserve">; XV.11 </w:t>
      </w:r>
    </w:p>
    <w:p w14:paraId="483003C0" w14:textId="77777777" w:rsidR="00597DE2" w:rsidRPr="008170E7" w:rsidRDefault="00597DE2" w:rsidP="00597DE2">
      <w:pPr>
        <w:pStyle w:val="ParrafoApendice"/>
        <w:rPr>
          <w:lang w:val="es-PE"/>
        </w:rPr>
      </w:pPr>
      <w:r w:rsidRPr="008170E7">
        <w:rPr>
          <w:lang w:val="es-PE"/>
        </w:rPr>
        <w:t>resolución en los elementos (</w:t>
      </w:r>
      <w:proofErr w:type="spellStart"/>
      <w:r w:rsidRPr="008170E7">
        <w:rPr>
          <w:i/>
          <w:iCs/>
          <w:lang w:val="es-PE"/>
        </w:rPr>
        <w:t>vinibbhoga</w:t>
      </w:r>
      <w:proofErr w:type="spellEnd"/>
      <w:r w:rsidRPr="008170E7">
        <w:rPr>
          <w:lang w:val="es-PE"/>
        </w:rPr>
        <w:t xml:space="preserve">), </w:t>
      </w:r>
      <w:r w:rsidRPr="0071195A">
        <w:rPr>
          <w:i/>
          <w:iCs/>
          <w:lang w:val="es-PE"/>
        </w:rPr>
        <w:t xml:space="preserve">resolver en los </w:t>
      </w:r>
      <w:proofErr w:type="spellStart"/>
      <w:r w:rsidRPr="0071195A">
        <w:rPr>
          <w:i/>
          <w:iCs/>
          <w:lang w:val="es-PE"/>
        </w:rPr>
        <w:t>e</w:t>
      </w:r>
      <w:proofErr w:type="spellEnd"/>
      <w:r w:rsidRPr="0071195A">
        <w:rPr>
          <w:i/>
          <w:iCs/>
          <w:lang w:val="es-PE"/>
        </w:rPr>
        <w:t>.</w:t>
      </w:r>
      <w:r w:rsidRPr="008170E7">
        <w:rPr>
          <w:lang w:val="es-PE"/>
        </w:rPr>
        <w:t xml:space="preserve"> (</w:t>
      </w:r>
      <w:proofErr w:type="spellStart"/>
      <w:r w:rsidRPr="00BC6D55">
        <w:rPr>
          <w:i/>
          <w:iCs/>
          <w:lang w:val="es-PE"/>
        </w:rPr>
        <w:t>vinibbhutta</w:t>
      </w:r>
      <w:proofErr w:type="spellEnd"/>
      <w:r w:rsidRPr="008170E7">
        <w:rPr>
          <w:lang w:val="es-PE"/>
        </w:rPr>
        <w:t>) IX.38; XI.30, 105; XVII.308; XXI.4,</w:t>
      </w:r>
      <w:r w:rsidRPr="0089519A">
        <w:rPr>
          <w:strike/>
          <w:color w:val="833C0B" w:themeColor="accent2" w:themeShade="80"/>
          <w:lang w:val="es-PE"/>
        </w:rPr>
        <w:t>122</w:t>
      </w:r>
      <w:r w:rsidRPr="008170E7">
        <w:rPr>
          <w:lang w:val="es-PE"/>
        </w:rPr>
        <w:t xml:space="preserve">; XXII.114 </w:t>
      </w:r>
    </w:p>
    <w:p w14:paraId="750CC7F8" w14:textId="77777777" w:rsidR="00597DE2" w:rsidRPr="008E3AEE" w:rsidRDefault="00597DE2" w:rsidP="00597DE2">
      <w:pPr>
        <w:pStyle w:val="ParrafoApendice"/>
        <w:rPr>
          <w:lang w:val="es-PE"/>
        </w:rPr>
      </w:pPr>
      <w:r w:rsidRPr="008E3AEE">
        <w:rPr>
          <w:lang w:val="es-PE"/>
        </w:rPr>
        <w:t>resoluci</w:t>
      </w:r>
      <w:r>
        <w:rPr>
          <w:lang w:val="es-PE"/>
        </w:rPr>
        <w:t>ó</w:t>
      </w:r>
      <w:r w:rsidRPr="008E3AEE">
        <w:rPr>
          <w:lang w:val="es-PE"/>
        </w:rPr>
        <w:t>n</w:t>
      </w:r>
      <w:r>
        <w:rPr>
          <w:lang w:val="es-PE"/>
        </w:rPr>
        <w:t>, determinación</w:t>
      </w:r>
      <w:r w:rsidRPr="008E3AEE">
        <w:rPr>
          <w:lang w:val="es-PE"/>
        </w:rPr>
        <w:t xml:space="preserve"> (</w:t>
      </w:r>
      <w:proofErr w:type="spellStart"/>
      <w:r w:rsidRPr="00420B26">
        <w:rPr>
          <w:i/>
          <w:iCs/>
          <w:lang w:val="es-PE"/>
        </w:rPr>
        <w:t>adhimutti</w:t>
      </w:r>
      <w:proofErr w:type="spellEnd"/>
      <w:r w:rsidRPr="00420B26">
        <w:rPr>
          <w:i/>
          <w:iCs/>
          <w:lang w:val="es-PE"/>
        </w:rPr>
        <w:t xml:space="preserve">, </w:t>
      </w:r>
      <w:proofErr w:type="spellStart"/>
      <w:r w:rsidRPr="00420B26">
        <w:rPr>
          <w:i/>
          <w:iCs/>
          <w:lang w:val="es-PE"/>
        </w:rPr>
        <w:t>adhimokkha</w:t>
      </w:r>
      <w:proofErr w:type="spellEnd"/>
      <w:r w:rsidRPr="008E3AEE">
        <w:rPr>
          <w:lang w:val="es-PE"/>
        </w:rPr>
        <w:t>) III.128; XIV.133, 151, 159, 170, 178</w:t>
      </w:r>
      <w:r>
        <w:rPr>
          <w:lang w:val="es-PE"/>
        </w:rPr>
        <w:t>s</w:t>
      </w:r>
      <w:r w:rsidRPr="008E3AEE">
        <w:rPr>
          <w:lang w:val="es-PE"/>
        </w:rPr>
        <w:t>.; XX.118; XXI.70, 75, 89</w:t>
      </w:r>
    </w:p>
    <w:p w14:paraId="06607287" w14:textId="77777777" w:rsidR="00597DE2" w:rsidRPr="00694D28" w:rsidRDefault="00597DE2" w:rsidP="00597DE2">
      <w:pPr>
        <w:pStyle w:val="ParrafoApendice"/>
        <w:rPr>
          <w:lang w:val="es-PE"/>
        </w:rPr>
      </w:pPr>
      <w:r w:rsidRPr="00694D28">
        <w:rPr>
          <w:lang w:val="es-PE"/>
        </w:rPr>
        <w:t>resol</w:t>
      </w:r>
      <w:r>
        <w:rPr>
          <w:lang w:val="es-PE"/>
        </w:rPr>
        <w:t>ver</w:t>
      </w:r>
      <w:r w:rsidRPr="00694D28">
        <w:rPr>
          <w:lang w:val="es-PE"/>
        </w:rPr>
        <w:t xml:space="preserve">, </w:t>
      </w:r>
      <w:r>
        <w:rPr>
          <w:lang w:val="es-PE"/>
        </w:rPr>
        <w:t xml:space="preserve">determinar </w:t>
      </w:r>
      <w:r w:rsidRPr="00694D28">
        <w:rPr>
          <w:lang w:val="es-PE"/>
        </w:rPr>
        <w:t>(</w:t>
      </w:r>
      <w:r w:rsidRPr="00694D28">
        <w:rPr>
          <w:i/>
          <w:iCs/>
          <w:lang w:val="es-PE"/>
        </w:rPr>
        <w:t>adhiṭṭhāna</w:t>
      </w:r>
      <w:r w:rsidRPr="00694D28">
        <w:rPr>
          <w:lang w:val="es-PE"/>
        </w:rPr>
        <w:t>) XII.23, 57; XXIII.27, 35</w:t>
      </w:r>
      <w:r>
        <w:rPr>
          <w:lang w:val="es-PE"/>
        </w:rPr>
        <w:t>s</w:t>
      </w:r>
      <w:r w:rsidRPr="00694D28">
        <w:rPr>
          <w:lang w:val="es-PE"/>
        </w:rPr>
        <w:t xml:space="preserve">. </w:t>
      </w:r>
    </w:p>
    <w:p w14:paraId="3D165B37" w14:textId="77777777" w:rsidR="00597DE2" w:rsidRPr="00722494" w:rsidRDefault="00597DE2" w:rsidP="00597DE2">
      <w:pPr>
        <w:pStyle w:val="ParrafoApendice"/>
        <w:rPr>
          <w:lang w:val="es-PE"/>
        </w:rPr>
      </w:pPr>
      <w:r w:rsidRPr="00722494">
        <w:rPr>
          <w:lang w:val="es-PE"/>
        </w:rPr>
        <w:t>resort (</w:t>
      </w:r>
      <w:proofErr w:type="spellStart"/>
      <w:r w:rsidRPr="00722494">
        <w:rPr>
          <w:i/>
          <w:iCs/>
          <w:lang w:val="es-PE"/>
        </w:rPr>
        <w:t>gocara</w:t>
      </w:r>
      <w:proofErr w:type="spellEnd"/>
      <w:r w:rsidRPr="00722494">
        <w:rPr>
          <w:lang w:val="es-PE"/>
        </w:rPr>
        <w:t xml:space="preserve">) I.45, 49; </w:t>
      </w:r>
      <w:r w:rsidRPr="00242E16">
        <w:rPr>
          <w:strike/>
          <w:color w:val="833C0B" w:themeColor="accent2" w:themeShade="80"/>
          <w:lang w:val="es-PE"/>
        </w:rPr>
        <w:t xml:space="preserve">XVI.1 </w:t>
      </w:r>
    </w:p>
    <w:p w14:paraId="1DB63356" w14:textId="77777777" w:rsidR="00597DE2" w:rsidRPr="005B6D62" w:rsidRDefault="00597DE2" w:rsidP="00597DE2">
      <w:pPr>
        <w:pStyle w:val="ParrafoApendice"/>
        <w:rPr>
          <w:lang w:val="es-PE"/>
        </w:rPr>
      </w:pPr>
      <w:r w:rsidRPr="005B6D62">
        <w:rPr>
          <w:lang w:val="es-PE"/>
        </w:rPr>
        <w:t>Respiración (</w:t>
      </w:r>
      <w:proofErr w:type="spellStart"/>
      <w:r w:rsidRPr="005B6D62">
        <w:rPr>
          <w:i/>
          <w:iCs/>
          <w:lang w:val="es-PE"/>
        </w:rPr>
        <w:t>assāsa</w:t>
      </w:r>
      <w:proofErr w:type="spellEnd"/>
      <w:r w:rsidRPr="005B6D62">
        <w:rPr>
          <w:i/>
          <w:iCs/>
          <w:lang w:val="es-PE"/>
        </w:rPr>
        <w:t>–</w:t>
      </w:r>
      <w:proofErr w:type="spellStart"/>
      <w:r w:rsidRPr="005B6D62">
        <w:rPr>
          <w:i/>
          <w:iCs/>
          <w:lang w:val="es-PE"/>
        </w:rPr>
        <w:t>passāsa</w:t>
      </w:r>
      <w:proofErr w:type="spellEnd"/>
      <w:r w:rsidRPr="005B6D62">
        <w:rPr>
          <w:lang w:val="es-PE"/>
        </w:rPr>
        <w:t>) VIII.27, 164, 209; XI.94; XVIII.6, 20</w:t>
      </w:r>
    </w:p>
    <w:p w14:paraId="71DC225C" w14:textId="77777777" w:rsidR="00597DE2" w:rsidRPr="005B6D62" w:rsidRDefault="00597DE2" w:rsidP="00597DE2">
      <w:pPr>
        <w:pStyle w:val="ParrafoApendice"/>
        <w:rPr>
          <w:lang w:val="es-PE"/>
        </w:rPr>
      </w:pPr>
      <w:r w:rsidRPr="005B6D62">
        <w:rPr>
          <w:lang w:val="es-PE"/>
        </w:rPr>
        <w:t xml:space="preserve">Respiración, inhalación </w:t>
      </w:r>
      <w:proofErr w:type="spellStart"/>
      <w:r w:rsidRPr="005B6D62">
        <w:rPr>
          <w:lang w:val="es-PE"/>
        </w:rPr>
        <w:t>ó</w:t>
      </w:r>
      <w:proofErr w:type="spellEnd"/>
      <w:r w:rsidRPr="005B6D62">
        <w:rPr>
          <w:lang w:val="es-PE"/>
        </w:rPr>
        <w:t xml:space="preserve"> exhalación (</w:t>
      </w:r>
      <w:r w:rsidRPr="005B6D62">
        <w:rPr>
          <w:i/>
          <w:iCs/>
          <w:lang w:val="es-PE"/>
        </w:rPr>
        <w:t>ānāpāna</w:t>
      </w:r>
      <w:r w:rsidRPr="005B6D62">
        <w:rPr>
          <w:lang w:val="es-PE"/>
        </w:rPr>
        <w:t>) III.105; VI.65; VII.1; VIII.43, 145s.</w:t>
      </w:r>
    </w:p>
    <w:p w14:paraId="251F2580" w14:textId="77777777" w:rsidR="00597DE2" w:rsidRPr="00142AAF" w:rsidRDefault="00597DE2" w:rsidP="00597DE2">
      <w:pPr>
        <w:pStyle w:val="ParrafoApendice"/>
        <w:rPr>
          <w:lang w:val="es-PE"/>
        </w:rPr>
      </w:pPr>
      <w:r w:rsidRPr="00142AAF">
        <w:rPr>
          <w:lang w:val="es-PE"/>
        </w:rPr>
        <w:t>restricc</w:t>
      </w:r>
      <w:r>
        <w:rPr>
          <w:lang w:val="es-PE"/>
        </w:rPr>
        <w:t>ión</w:t>
      </w:r>
      <w:r w:rsidRPr="00142AAF">
        <w:rPr>
          <w:lang w:val="es-PE"/>
        </w:rPr>
        <w:t xml:space="preserve"> (</w:t>
      </w:r>
      <w:proofErr w:type="spellStart"/>
      <w:r w:rsidRPr="00142AAF">
        <w:rPr>
          <w:i/>
          <w:iCs/>
          <w:lang w:val="es-PE"/>
        </w:rPr>
        <w:t>saṃvara</w:t>
      </w:r>
      <w:proofErr w:type="spellEnd"/>
      <w:r w:rsidRPr="00142AAF">
        <w:rPr>
          <w:lang w:val="es-PE"/>
        </w:rPr>
        <w:t>) I.17, 32, 42</w:t>
      </w:r>
      <w:r>
        <w:rPr>
          <w:lang w:val="es-PE"/>
        </w:rPr>
        <w:t>s</w:t>
      </w:r>
      <w:r w:rsidRPr="00142AAF">
        <w:rPr>
          <w:lang w:val="es-PE"/>
        </w:rPr>
        <w:t>., 53</w:t>
      </w:r>
      <w:r>
        <w:rPr>
          <w:lang w:val="es-PE"/>
        </w:rPr>
        <w:t>s</w:t>
      </w:r>
      <w:r w:rsidRPr="00142AAF">
        <w:rPr>
          <w:lang w:val="es-PE"/>
        </w:rPr>
        <w:t>., 126, 140</w:t>
      </w:r>
    </w:p>
    <w:p w14:paraId="36EE5F91" w14:textId="77777777" w:rsidR="00597DE2" w:rsidRPr="008F4CCE" w:rsidRDefault="00597DE2" w:rsidP="00597DE2">
      <w:pPr>
        <w:pStyle w:val="ParrafoApendice"/>
        <w:rPr>
          <w:lang w:val="es-PE"/>
        </w:rPr>
      </w:pPr>
      <w:r w:rsidRPr="008F4CCE">
        <w:rPr>
          <w:lang w:val="es-PE"/>
        </w:rPr>
        <w:t>resultado, resultante (</w:t>
      </w:r>
      <w:proofErr w:type="spellStart"/>
      <w:r w:rsidRPr="008F2E23">
        <w:rPr>
          <w:i/>
          <w:iCs/>
          <w:lang w:val="es-PE"/>
        </w:rPr>
        <w:t>vipāka</w:t>
      </w:r>
      <w:proofErr w:type="spellEnd"/>
      <w:r w:rsidRPr="008F4CCE">
        <w:rPr>
          <w:lang w:val="es-PE"/>
        </w:rPr>
        <w:t xml:space="preserve">) I.57; X.14; XIV.22, 94, </w:t>
      </w:r>
      <w:r w:rsidRPr="000B77DC">
        <w:rPr>
          <w:strike/>
          <w:color w:val="833C0B" w:themeColor="accent2" w:themeShade="80"/>
          <w:lang w:val="es-PE"/>
        </w:rPr>
        <w:t>XI.1s.,</w:t>
      </w:r>
      <w:r w:rsidRPr="000B77DC">
        <w:rPr>
          <w:color w:val="833C0B" w:themeColor="accent2" w:themeShade="80"/>
          <w:lang w:val="es-PE"/>
        </w:rPr>
        <w:t xml:space="preserve"> </w:t>
      </w:r>
      <w:r w:rsidRPr="008F4CCE">
        <w:rPr>
          <w:lang w:val="es-PE"/>
        </w:rPr>
        <w:t>127, 179, 199, 205; XV.34; XVII.109, 120</w:t>
      </w:r>
      <w:r>
        <w:rPr>
          <w:lang w:val="es-PE"/>
        </w:rPr>
        <w:t>s</w:t>
      </w:r>
      <w:r w:rsidRPr="008F4CCE">
        <w:rPr>
          <w:lang w:val="es-PE"/>
        </w:rPr>
        <w:t xml:space="preserve">., 252; XIX.8; XX.28, 44; XXI.38. </w:t>
      </w:r>
      <w:r>
        <w:rPr>
          <w:lang w:val="es-PE"/>
        </w:rPr>
        <w:t xml:space="preserve">ver también </w:t>
      </w:r>
      <w:proofErr w:type="spellStart"/>
      <w:r w:rsidRPr="008F2E23">
        <w:rPr>
          <w:i/>
          <w:iCs/>
          <w:lang w:val="es-PE"/>
        </w:rPr>
        <w:t>kammicamente</w:t>
      </w:r>
      <w:proofErr w:type="spellEnd"/>
      <w:r w:rsidRPr="008F2E23">
        <w:rPr>
          <w:i/>
          <w:iCs/>
          <w:lang w:val="es-PE"/>
        </w:rPr>
        <w:t>–r</w:t>
      </w:r>
      <w:r w:rsidRPr="008F4CCE">
        <w:rPr>
          <w:lang w:val="es-PE"/>
        </w:rPr>
        <w:t>.</w:t>
      </w:r>
    </w:p>
    <w:p w14:paraId="71D4FCC3" w14:textId="77777777" w:rsidR="00597DE2" w:rsidRPr="005B6D62" w:rsidRDefault="00597DE2" w:rsidP="00597DE2">
      <w:pPr>
        <w:pStyle w:val="ParrafoApendice"/>
        <w:rPr>
          <w:lang w:val="es-PE"/>
        </w:rPr>
      </w:pPr>
      <w:r w:rsidRPr="005B6D62">
        <w:rPr>
          <w:lang w:val="es-PE"/>
        </w:rPr>
        <w:t>retornante–por–única–vez (</w:t>
      </w:r>
      <w:proofErr w:type="spellStart"/>
      <w:r w:rsidRPr="005B6D62">
        <w:rPr>
          <w:i/>
          <w:iCs/>
          <w:lang w:val="es-PE"/>
        </w:rPr>
        <w:t>sakadāgāmin</w:t>
      </w:r>
      <w:proofErr w:type="spellEnd"/>
      <w:r w:rsidRPr="005B6D62">
        <w:rPr>
          <w:lang w:val="es-PE"/>
        </w:rPr>
        <w:t xml:space="preserve">) I.14, 140; III.128; XIV.206; XXII.2, 23, 45; XXIII.7, 18, 25, 55 </w:t>
      </w:r>
    </w:p>
    <w:p w14:paraId="12F1C2CC" w14:textId="77777777" w:rsidR="00597DE2" w:rsidRPr="002C3CF4" w:rsidRDefault="00597DE2" w:rsidP="00597DE2">
      <w:pPr>
        <w:pStyle w:val="ParrafoApendice"/>
        <w:rPr>
          <w:lang w:val="es-PE"/>
        </w:rPr>
      </w:pPr>
      <w:proofErr w:type="spellStart"/>
      <w:r w:rsidRPr="002C3CF4">
        <w:rPr>
          <w:lang w:val="es-PE"/>
        </w:rPr>
        <w:t>Revata</w:t>
      </w:r>
      <w:proofErr w:type="spellEnd"/>
      <w:r w:rsidRPr="002C3CF4">
        <w:rPr>
          <w:lang w:val="es-PE"/>
        </w:rPr>
        <w:t xml:space="preserve"> </w:t>
      </w:r>
      <w:proofErr w:type="spellStart"/>
      <w:r w:rsidRPr="002C3CF4">
        <w:rPr>
          <w:lang w:val="es-PE"/>
        </w:rPr>
        <w:t>Thera</w:t>
      </w:r>
      <w:proofErr w:type="spellEnd"/>
      <w:r w:rsidRPr="002C3CF4">
        <w:rPr>
          <w:lang w:val="es-PE"/>
        </w:rPr>
        <w:t xml:space="preserve">, </w:t>
      </w:r>
      <w:proofErr w:type="spellStart"/>
      <w:r w:rsidRPr="002C3CF4">
        <w:rPr>
          <w:lang w:val="es-PE"/>
        </w:rPr>
        <w:t>Majjhimabhāóaka</w:t>
      </w:r>
      <w:proofErr w:type="spellEnd"/>
      <w:r w:rsidRPr="002C3CF4">
        <w:rPr>
          <w:lang w:val="es-PE"/>
        </w:rPr>
        <w:t xml:space="preserve"> III.51 </w:t>
      </w:r>
      <w:r>
        <w:rPr>
          <w:lang w:val="es-PE"/>
        </w:rPr>
        <w:br w:type="column"/>
      </w:r>
    </w:p>
    <w:p w14:paraId="5FCACC9F" w14:textId="77777777" w:rsidR="00597DE2" w:rsidRPr="002C3CF4" w:rsidRDefault="00597DE2" w:rsidP="00597DE2">
      <w:pPr>
        <w:pStyle w:val="ParrafoApendice"/>
        <w:rPr>
          <w:lang w:val="es-PE"/>
        </w:rPr>
      </w:pPr>
      <w:proofErr w:type="spellStart"/>
      <w:r w:rsidRPr="002C3CF4">
        <w:rPr>
          <w:lang w:val="es-PE"/>
        </w:rPr>
        <w:t>Revata</w:t>
      </w:r>
      <w:proofErr w:type="spellEnd"/>
      <w:r w:rsidRPr="002C3CF4">
        <w:rPr>
          <w:lang w:val="es-PE"/>
        </w:rPr>
        <w:t xml:space="preserve"> </w:t>
      </w:r>
      <w:proofErr w:type="spellStart"/>
      <w:r w:rsidRPr="002C3CF4">
        <w:rPr>
          <w:lang w:val="es-PE"/>
        </w:rPr>
        <w:t>Thera</w:t>
      </w:r>
      <w:proofErr w:type="spellEnd"/>
      <w:r w:rsidRPr="002C3CF4">
        <w:rPr>
          <w:lang w:val="es-PE"/>
        </w:rPr>
        <w:t xml:space="preserve">, </w:t>
      </w:r>
      <w:proofErr w:type="spellStart"/>
      <w:r w:rsidRPr="002C3CF4">
        <w:rPr>
          <w:lang w:val="es-PE"/>
        </w:rPr>
        <w:t>Malayavāsin</w:t>
      </w:r>
      <w:proofErr w:type="spellEnd"/>
      <w:r w:rsidRPr="002C3CF4">
        <w:rPr>
          <w:lang w:val="es-PE"/>
        </w:rPr>
        <w:t xml:space="preserve"> III.51 </w:t>
      </w:r>
    </w:p>
    <w:p w14:paraId="0218D8AA" w14:textId="77777777" w:rsidR="00597DE2" w:rsidRPr="00D91644" w:rsidRDefault="00597DE2" w:rsidP="00597DE2">
      <w:pPr>
        <w:pStyle w:val="ParrafoApendice"/>
        <w:rPr>
          <w:lang w:val="es-PE"/>
        </w:rPr>
      </w:pPr>
      <w:r>
        <w:rPr>
          <w:lang w:val="es-PE"/>
        </w:rPr>
        <w:t>r</w:t>
      </w:r>
      <w:r w:rsidRPr="00B178AE">
        <w:rPr>
          <w:lang w:val="es-PE"/>
        </w:rPr>
        <w:t>evisi</w:t>
      </w:r>
      <w:r>
        <w:rPr>
          <w:lang w:val="es-PE"/>
        </w:rPr>
        <w:t>ó</w:t>
      </w:r>
      <w:r w:rsidRPr="00B178AE">
        <w:rPr>
          <w:lang w:val="es-PE"/>
        </w:rPr>
        <w:t xml:space="preserve">n, </w:t>
      </w:r>
      <w:r>
        <w:rPr>
          <w:lang w:val="es-PE"/>
        </w:rPr>
        <w:t>examinación</w:t>
      </w:r>
      <w:r w:rsidRPr="00B178AE">
        <w:rPr>
          <w:lang w:val="es-PE"/>
        </w:rPr>
        <w:t xml:space="preserve"> (</w:t>
      </w:r>
      <w:proofErr w:type="spellStart"/>
      <w:r w:rsidRPr="00B178AE">
        <w:rPr>
          <w:i/>
          <w:iCs/>
          <w:lang w:val="es-PE"/>
        </w:rPr>
        <w:t>paccavekkha</w:t>
      </w:r>
      <w:r>
        <w:rPr>
          <w:i/>
          <w:iCs/>
          <w:lang w:val="es-PE"/>
        </w:rPr>
        <w:t>ṇ</w:t>
      </w:r>
      <w:r w:rsidRPr="00B178AE">
        <w:rPr>
          <w:i/>
          <w:iCs/>
          <w:lang w:val="es-PE"/>
        </w:rPr>
        <w:t>a</w:t>
      </w:r>
      <w:proofErr w:type="spellEnd"/>
      <w:r w:rsidRPr="00B178AE">
        <w:rPr>
          <w:lang w:val="es-PE"/>
        </w:rPr>
        <w:t xml:space="preserve">) I.32, 85, 124; IV.78, 129; VII.77; VIII.224; XI.48; XXII.19. </w:t>
      </w:r>
      <w:r>
        <w:rPr>
          <w:lang w:val="es-PE"/>
        </w:rPr>
        <w:t xml:space="preserve">Ver también </w:t>
      </w:r>
      <w:r w:rsidRPr="00D91644">
        <w:rPr>
          <w:i/>
          <w:iCs/>
          <w:lang w:val="es-PE"/>
        </w:rPr>
        <w:t>conocimiento de la examinación</w:t>
      </w:r>
      <w:r w:rsidRPr="00D91644">
        <w:rPr>
          <w:lang w:val="es-PE"/>
        </w:rPr>
        <w:t>.</w:t>
      </w:r>
    </w:p>
    <w:p w14:paraId="0E3CB0A0" w14:textId="77777777" w:rsidR="00597DE2" w:rsidRPr="00DC34D6" w:rsidRDefault="00597DE2" w:rsidP="00597DE2">
      <w:pPr>
        <w:pStyle w:val="ParrafoApendice"/>
        <w:rPr>
          <w:lang w:val="es-PE"/>
        </w:rPr>
      </w:pPr>
      <w:r w:rsidRPr="00DC34D6">
        <w:rPr>
          <w:lang w:val="es-PE"/>
        </w:rPr>
        <w:t>ríos, cinco grandes (</w:t>
      </w:r>
      <w:proofErr w:type="spellStart"/>
      <w:r w:rsidRPr="00DC34D6">
        <w:rPr>
          <w:i/>
          <w:iCs/>
          <w:lang w:val="es-PE"/>
        </w:rPr>
        <w:t>mahā</w:t>
      </w:r>
      <w:proofErr w:type="spellEnd"/>
      <w:r w:rsidRPr="00DC34D6">
        <w:rPr>
          <w:i/>
          <w:iCs/>
          <w:lang w:val="es-PE"/>
        </w:rPr>
        <w:t>–</w:t>
      </w:r>
      <w:proofErr w:type="spellStart"/>
      <w:r w:rsidRPr="00DC34D6">
        <w:rPr>
          <w:i/>
          <w:iCs/>
          <w:lang w:val="es-PE"/>
        </w:rPr>
        <w:t>nadī</w:t>
      </w:r>
      <w:proofErr w:type="spellEnd"/>
      <w:r w:rsidRPr="00DC34D6">
        <w:rPr>
          <w:lang w:val="es-PE"/>
        </w:rPr>
        <w:t>) XIII.36</w:t>
      </w:r>
      <w:r>
        <w:rPr>
          <w:lang w:val="es-PE"/>
        </w:rPr>
        <w:t>s</w:t>
      </w:r>
      <w:r w:rsidRPr="00DC34D6">
        <w:rPr>
          <w:lang w:val="es-PE"/>
        </w:rPr>
        <w:t xml:space="preserve">. </w:t>
      </w:r>
    </w:p>
    <w:p w14:paraId="4950ACD0" w14:textId="77777777" w:rsidR="00597DE2" w:rsidRPr="001C041F" w:rsidRDefault="00597DE2" w:rsidP="00597DE2">
      <w:pPr>
        <w:pStyle w:val="ParrafoApendice"/>
        <w:rPr>
          <w:lang w:val="es-PE"/>
        </w:rPr>
      </w:pPr>
      <w:r w:rsidRPr="001C041F">
        <w:rPr>
          <w:lang w:val="es-PE"/>
        </w:rPr>
        <w:t>robar, hurtar</w:t>
      </w:r>
      <w:r>
        <w:rPr>
          <w:lang w:val="es-PE"/>
        </w:rPr>
        <w:t>, sustraer</w:t>
      </w:r>
      <w:r w:rsidRPr="001C041F">
        <w:rPr>
          <w:lang w:val="es-PE"/>
        </w:rPr>
        <w:t xml:space="preserve"> (</w:t>
      </w:r>
      <w:proofErr w:type="spellStart"/>
      <w:r w:rsidRPr="001C041F">
        <w:rPr>
          <w:i/>
          <w:iCs/>
          <w:lang w:val="es-PE"/>
        </w:rPr>
        <w:t>adinnādāna</w:t>
      </w:r>
      <w:proofErr w:type="spellEnd"/>
      <w:r w:rsidRPr="001C041F">
        <w:rPr>
          <w:lang w:val="es-PE"/>
        </w:rPr>
        <w:t xml:space="preserve">), ver </w:t>
      </w:r>
      <w:r w:rsidRPr="001C041F">
        <w:rPr>
          <w:i/>
          <w:iCs/>
          <w:lang w:val="es-PE"/>
        </w:rPr>
        <w:t>tomar lo que no ha sido concedido</w:t>
      </w:r>
      <w:r w:rsidRPr="001C041F">
        <w:rPr>
          <w:lang w:val="es-PE"/>
        </w:rPr>
        <w:t xml:space="preserve"> </w:t>
      </w:r>
    </w:p>
    <w:p w14:paraId="37028B5E" w14:textId="77777777" w:rsidR="00597DE2" w:rsidRPr="005B6D62" w:rsidRDefault="00597DE2" w:rsidP="00597DE2">
      <w:pPr>
        <w:pStyle w:val="ParrafoApendice"/>
        <w:rPr>
          <w:lang w:val="es-PE"/>
        </w:rPr>
      </w:pPr>
      <w:proofErr w:type="spellStart"/>
      <w:r w:rsidRPr="005B6D62">
        <w:rPr>
          <w:lang w:val="es-PE"/>
        </w:rPr>
        <w:t>Roha</w:t>
      </w:r>
      <w:r>
        <w:rPr>
          <w:lang w:val="es-PE"/>
        </w:rPr>
        <w:t>ṇ</w:t>
      </w:r>
      <w:r w:rsidRPr="005B6D62">
        <w:rPr>
          <w:lang w:val="es-PE"/>
        </w:rPr>
        <w:t>a</w:t>
      </w:r>
      <w:proofErr w:type="spellEnd"/>
      <w:r w:rsidRPr="005B6D62">
        <w:rPr>
          <w:lang w:val="es-PE"/>
        </w:rPr>
        <w:t xml:space="preserve"> III.36, 53 </w:t>
      </w:r>
    </w:p>
    <w:p w14:paraId="77A96CE3" w14:textId="77777777" w:rsidR="00597DE2" w:rsidRPr="005B6D62" w:rsidRDefault="00597DE2" w:rsidP="00597DE2">
      <w:pPr>
        <w:pStyle w:val="ParrafoApendice"/>
        <w:rPr>
          <w:lang w:val="es-PE"/>
        </w:rPr>
      </w:pPr>
      <w:proofErr w:type="spellStart"/>
      <w:r w:rsidRPr="005B6D62">
        <w:rPr>
          <w:lang w:val="es-PE"/>
        </w:rPr>
        <w:t>Roha</w:t>
      </w:r>
      <w:r>
        <w:rPr>
          <w:lang w:val="es-PE"/>
        </w:rPr>
        <w:t>ṇ</w:t>
      </w:r>
      <w:r w:rsidRPr="005B6D62">
        <w:rPr>
          <w:lang w:val="es-PE"/>
        </w:rPr>
        <w:t>a</w:t>
      </w:r>
      <w:proofErr w:type="spellEnd"/>
      <w:r w:rsidRPr="005B6D62">
        <w:rPr>
          <w:lang w:val="es-PE"/>
        </w:rPr>
        <w:t>–</w:t>
      </w:r>
      <w:proofErr w:type="spellStart"/>
      <w:r w:rsidRPr="005B6D62">
        <w:rPr>
          <w:lang w:val="es-PE"/>
        </w:rPr>
        <w:t>Gutta</w:t>
      </w:r>
      <w:proofErr w:type="spellEnd"/>
      <w:r w:rsidRPr="005B6D62">
        <w:rPr>
          <w:lang w:val="es-PE"/>
        </w:rPr>
        <w:t xml:space="preserve"> </w:t>
      </w:r>
      <w:proofErr w:type="spellStart"/>
      <w:r w:rsidRPr="005B6D62">
        <w:rPr>
          <w:lang w:val="es-PE"/>
        </w:rPr>
        <w:t>Thera</w:t>
      </w:r>
      <w:proofErr w:type="spellEnd"/>
      <w:r w:rsidRPr="005B6D62">
        <w:rPr>
          <w:lang w:val="es-PE"/>
        </w:rPr>
        <w:t xml:space="preserve">, Mahā IV.135; XII.9 </w:t>
      </w:r>
    </w:p>
    <w:p w14:paraId="39C33534" w14:textId="77777777" w:rsidR="00597DE2" w:rsidRPr="005B6D62" w:rsidRDefault="00597DE2" w:rsidP="00597DE2">
      <w:pPr>
        <w:pStyle w:val="ParrafoApendice"/>
        <w:rPr>
          <w:lang w:val="es-PE"/>
        </w:rPr>
      </w:pPr>
      <w:r>
        <w:rPr>
          <w:lang w:val="es-PE"/>
        </w:rPr>
        <w:t>ropaje</w:t>
      </w:r>
      <w:r w:rsidRPr="005B6D62">
        <w:rPr>
          <w:lang w:val="es-PE"/>
        </w:rPr>
        <w:t xml:space="preserve"> (</w:t>
      </w:r>
      <w:proofErr w:type="spellStart"/>
      <w:r w:rsidRPr="00B51ED1">
        <w:rPr>
          <w:i/>
          <w:iCs/>
          <w:lang w:val="es-PE"/>
        </w:rPr>
        <w:t>cīvara</w:t>
      </w:r>
      <w:proofErr w:type="spellEnd"/>
      <w:r w:rsidRPr="005B6D62">
        <w:rPr>
          <w:lang w:val="es-PE"/>
        </w:rPr>
        <w:t xml:space="preserve">) I.68, 86 </w:t>
      </w:r>
    </w:p>
    <w:p w14:paraId="10DCE5BC" w14:textId="77777777" w:rsidR="00597DE2" w:rsidRPr="00BE651A" w:rsidRDefault="00597DE2" w:rsidP="00597DE2">
      <w:pPr>
        <w:pStyle w:val="ParrafoApendice"/>
        <w:rPr>
          <w:lang w:val="es-PE"/>
        </w:rPr>
      </w:pPr>
      <w:r w:rsidRPr="00BE651A">
        <w:rPr>
          <w:lang w:val="es-PE"/>
        </w:rPr>
        <w:t>Rueda de afeitar (</w:t>
      </w:r>
      <w:proofErr w:type="spellStart"/>
      <w:r w:rsidRPr="00BE651A">
        <w:rPr>
          <w:i/>
          <w:iCs/>
          <w:lang w:val="es-PE"/>
        </w:rPr>
        <w:t>khura</w:t>
      </w:r>
      <w:proofErr w:type="spellEnd"/>
      <w:r w:rsidRPr="00BE651A">
        <w:rPr>
          <w:i/>
          <w:iCs/>
          <w:lang w:val="es-PE"/>
        </w:rPr>
        <w:t>–</w:t>
      </w:r>
      <w:proofErr w:type="spellStart"/>
      <w:r w:rsidRPr="00BE651A">
        <w:rPr>
          <w:i/>
          <w:iCs/>
          <w:lang w:val="es-PE"/>
        </w:rPr>
        <w:t>cakka</w:t>
      </w:r>
      <w:proofErr w:type="spellEnd"/>
      <w:r w:rsidRPr="00BE651A">
        <w:rPr>
          <w:lang w:val="es-PE"/>
        </w:rPr>
        <w:t xml:space="preserve">) XV.42 </w:t>
      </w:r>
    </w:p>
    <w:p w14:paraId="0566089C" w14:textId="77777777" w:rsidR="00597DE2" w:rsidRPr="006C4C15" w:rsidRDefault="00597DE2" w:rsidP="00597DE2">
      <w:pPr>
        <w:pStyle w:val="ParrafoApendice"/>
        <w:rPr>
          <w:lang w:val="es-PE"/>
        </w:rPr>
      </w:pPr>
      <w:proofErr w:type="spellStart"/>
      <w:r w:rsidRPr="006C4C15">
        <w:rPr>
          <w:lang w:val="es-PE"/>
        </w:rPr>
        <w:t>Sabbatthivādin</w:t>
      </w:r>
      <w:proofErr w:type="spellEnd"/>
      <w:r w:rsidRPr="006C4C15">
        <w:rPr>
          <w:lang w:val="es-PE"/>
        </w:rPr>
        <w:t xml:space="preserve">, ver </w:t>
      </w:r>
      <w:proofErr w:type="spellStart"/>
      <w:r w:rsidRPr="006C4C15">
        <w:rPr>
          <w:lang w:val="es-PE"/>
        </w:rPr>
        <w:t>Sarvāstivādin</w:t>
      </w:r>
      <w:proofErr w:type="spellEnd"/>
      <w:r w:rsidRPr="006C4C15">
        <w:rPr>
          <w:lang w:val="es-PE"/>
        </w:rPr>
        <w:t xml:space="preserve"> </w:t>
      </w:r>
    </w:p>
    <w:p w14:paraId="3664FBB3" w14:textId="77777777" w:rsidR="00597DE2" w:rsidRPr="00DC5FE8" w:rsidRDefault="00597DE2" w:rsidP="00597DE2">
      <w:pPr>
        <w:pStyle w:val="ParrafoApendice"/>
        <w:rPr>
          <w:lang w:val="es-PE"/>
        </w:rPr>
      </w:pPr>
      <w:r w:rsidRPr="00DC5FE8">
        <w:rPr>
          <w:lang w:val="es-PE"/>
        </w:rPr>
        <w:t>sabiduría (</w:t>
      </w:r>
      <w:r w:rsidRPr="00DC5FE8">
        <w:rPr>
          <w:i/>
          <w:iCs/>
          <w:lang w:val="es-PE"/>
        </w:rPr>
        <w:t>veda</w:t>
      </w:r>
      <w:r w:rsidRPr="00DC5FE8">
        <w:rPr>
          <w:lang w:val="es-PE"/>
        </w:rPr>
        <w:t xml:space="preserve">) </w:t>
      </w:r>
      <w:r w:rsidRPr="00DC5FE8">
        <w:rPr>
          <w:color w:val="833C0B" w:themeColor="accent2" w:themeShade="80"/>
          <w:lang w:val="es-PE"/>
        </w:rPr>
        <w:t>XXI</w:t>
      </w:r>
      <w:r w:rsidRPr="00DC5FE8">
        <w:rPr>
          <w:lang w:val="es-PE"/>
        </w:rPr>
        <w:t xml:space="preserve">.70, 75, 89 </w:t>
      </w:r>
    </w:p>
    <w:p w14:paraId="5B18D040" w14:textId="77777777" w:rsidR="00597DE2" w:rsidRPr="005B6D62" w:rsidRDefault="00597DE2" w:rsidP="00597DE2">
      <w:pPr>
        <w:pStyle w:val="ParrafoApendice"/>
        <w:rPr>
          <w:lang w:val="es-PE"/>
        </w:rPr>
      </w:pPr>
      <w:r w:rsidRPr="005B6D62">
        <w:rPr>
          <w:lang w:val="es-PE"/>
        </w:rPr>
        <w:t>sabiduría inductiva (</w:t>
      </w:r>
      <w:r w:rsidRPr="005B6D62">
        <w:rPr>
          <w:i/>
          <w:iCs/>
          <w:lang w:val="es-PE"/>
        </w:rPr>
        <w:t>naya–</w:t>
      </w:r>
      <w:proofErr w:type="spellStart"/>
      <w:r w:rsidRPr="005B6D62">
        <w:rPr>
          <w:i/>
          <w:iCs/>
          <w:lang w:val="es-PE"/>
        </w:rPr>
        <w:t>vipassanā</w:t>
      </w:r>
      <w:proofErr w:type="spellEnd"/>
      <w:r w:rsidRPr="005B6D62">
        <w:rPr>
          <w:lang w:val="es-PE"/>
        </w:rPr>
        <w:t xml:space="preserve">) XX.2, 21 </w:t>
      </w:r>
    </w:p>
    <w:p w14:paraId="61FA195D" w14:textId="77777777" w:rsidR="00597DE2" w:rsidRPr="005B6D62" w:rsidRDefault="00597DE2" w:rsidP="00597DE2">
      <w:pPr>
        <w:pStyle w:val="ParrafoApendice"/>
        <w:rPr>
          <w:lang w:val="es-PE"/>
        </w:rPr>
      </w:pPr>
      <w:r w:rsidRPr="005B6D62">
        <w:rPr>
          <w:lang w:val="es-PE"/>
        </w:rPr>
        <w:t>sabiduría–revelativa (</w:t>
      </w:r>
      <w:proofErr w:type="spellStart"/>
      <w:r w:rsidRPr="005B6D62">
        <w:rPr>
          <w:i/>
          <w:iCs/>
          <w:lang w:val="es-PE"/>
        </w:rPr>
        <w:t>vipassanā</w:t>
      </w:r>
      <w:proofErr w:type="spellEnd"/>
      <w:r w:rsidRPr="005B6D62">
        <w:rPr>
          <w:lang w:val="es-PE"/>
        </w:rPr>
        <w:t>) I.6, 7, n.3; III.</w:t>
      </w:r>
      <w:r w:rsidRPr="005B6D62">
        <w:rPr>
          <w:color w:val="833C0B" w:themeColor="accent2" w:themeShade="80"/>
          <w:u w:color="000000"/>
          <w:lang w:val="es-PE"/>
        </w:rPr>
        <w:t>1s,</w:t>
      </w:r>
      <w:r w:rsidRPr="005B6D62">
        <w:rPr>
          <w:lang w:val="es-PE"/>
        </w:rPr>
        <w:t xml:space="preserve"> 56, n.7; VII.30; VIII.43s, 180, 222, 233, 236s.; IX.97, 104; X.52; XI.121; XVIII.5, 8, n.2; XX.81, 83, 91, 105s., n.33; XXI.1s., 73, 130; XXII.1, 25, 46, 89, 113, 118; XXIII.7, 20, 31, 33; las </w:t>
      </w:r>
      <w:r w:rsidRPr="005B6D62">
        <w:rPr>
          <w:i/>
          <w:iCs/>
          <w:lang w:val="es-PE"/>
        </w:rPr>
        <w:t>18 principales s. r.</w:t>
      </w:r>
      <w:r w:rsidRPr="005B6D62">
        <w:rPr>
          <w:lang w:val="es-PE"/>
        </w:rPr>
        <w:t>, (</w:t>
      </w:r>
      <w:proofErr w:type="spellStart"/>
      <w:r w:rsidRPr="005B6D62">
        <w:rPr>
          <w:i/>
          <w:iCs/>
          <w:lang w:val="es-PE"/>
        </w:rPr>
        <w:t>aṭṭhārasa</w:t>
      </w:r>
      <w:proofErr w:type="spellEnd"/>
      <w:r w:rsidRPr="005B6D62">
        <w:rPr>
          <w:i/>
          <w:iCs/>
          <w:lang w:val="es-PE"/>
        </w:rPr>
        <w:t xml:space="preserve"> </w:t>
      </w:r>
      <w:proofErr w:type="spellStart"/>
      <w:r w:rsidRPr="005B6D62">
        <w:rPr>
          <w:i/>
          <w:iCs/>
          <w:lang w:val="es-PE"/>
        </w:rPr>
        <w:t>mahā</w:t>
      </w:r>
      <w:proofErr w:type="spellEnd"/>
      <w:r w:rsidRPr="005B6D62">
        <w:rPr>
          <w:i/>
          <w:iCs/>
          <w:lang w:val="es-PE"/>
        </w:rPr>
        <w:t>–</w:t>
      </w:r>
      <w:proofErr w:type="spellStart"/>
      <w:r w:rsidRPr="005B6D62">
        <w:rPr>
          <w:i/>
          <w:iCs/>
          <w:lang w:val="es-PE"/>
        </w:rPr>
        <w:t>vipassanā</w:t>
      </w:r>
      <w:proofErr w:type="spellEnd"/>
      <w:r w:rsidRPr="005B6D62">
        <w:rPr>
          <w:lang w:val="es-PE"/>
        </w:rPr>
        <w:t xml:space="preserve">) I.n.38; XX.89s.; XXII.113; </w:t>
      </w:r>
      <w:r w:rsidRPr="005B6D62">
        <w:rPr>
          <w:i/>
          <w:iCs/>
          <w:lang w:val="es-PE"/>
        </w:rPr>
        <w:t>s. r. con respecto a un estado de entendimiento superior</w:t>
      </w:r>
      <w:r w:rsidRPr="005B6D62">
        <w:rPr>
          <w:lang w:val="es-PE"/>
        </w:rPr>
        <w:t xml:space="preserve"> (</w:t>
      </w:r>
      <w:proofErr w:type="spellStart"/>
      <w:r w:rsidRPr="005B6D62">
        <w:rPr>
          <w:i/>
          <w:iCs/>
          <w:lang w:val="es-PE"/>
        </w:rPr>
        <w:t>adhipaññā</w:t>
      </w:r>
      <w:proofErr w:type="spellEnd"/>
      <w:r w:rsidRPr="005B6D62">
        <w:rPr>
          <w:i/>
          <w:iCs/>
          <w:lang w:val="es-PE"/>
        </w:rPr>
        <w:t>–</w:t>
      </w:r>
      <w:proofErr w:type="spellStart"/>
      <w:r w:rsidRPr="005B6D62">
        <w:rPr>
          <w:i/>
          <w:iCs/>
          <w:lang w:val="es-PE"/>
        </w:rPr>
        <w:t>vipassanā</w:t>
      </w:r>
      <w:proofErr w:type="spellEnd"/>
      <w:r w:rsidRPr="005B6D62">
        <w:rPr>
          <w:lang w:val="es-PE"/>
        </w:rPr>
        <w:t xml:space="preserve">) I.140; XX.90; XXI.11, 25; XXII.113, 118; </w:t>
      </w:r>
      <w:r w:rsidRPr="005B6D62">
        <w:rPr>
          <w:i/>
          <w:iCs/>
          <w:lang w:val="es-PE"/>
        </w:rPr>
        <w:t>conocimiento de la s. r.</w:t>
      </w:r>
      <w:r w:rsidRPr="005B6D62">
        <w:rPr>
          <w:lang w:val="es-PE"/>
        </w:rPr>
        <w:t xml:space="preserve"> (</w:t>
      </w:r>
      <w:proofErr w:type="spellStart"/>
      <w:r w:rsidRPr="005B6D62">
        <w:rPr>
          <w:i/>
          <w:iCs/>
          <w:lang w:val="es-PE"/>
        </w:rPr>
        <w:t>vipassanāñāóa</w:t>
      </w:r>
      <w:proofErr w:type="spellEnd"/>
      <w:r w:rsidRPr="005B6D62">
        <w:rPr>
          <w:lang w:val="es-PE"/>
        </w:rPr>
        <w:t xml:space="preserve">) VII.30; VIII.43, 60; XXI.11; </w:t>
      </w:r>
      <w:r w:rsidRPr="005B6D62">
        <w:rPr>
          <w:i/>
          <w:iCs/>
          <w:lang w:val="es-PE"/>
        </w:rPr>
        <w:t>s. r. conducente hacia el emerger</w:t>
      </w:r>
      <w:r w:rsidRPr="005B6D62">
        <w:rPr>
          <w:lang w:val="es-PE"/>
        </w:rPr>
        <w:t xml:space="preserve"> (</w:t>
      </w:r>
      <w:proofErr w:type="spellStart"/>
      <w:r w:rsidRPr="005B6D62">
        <w:rPr>
          <w:i/>
          <w:iCs/>
          <w:lang w:val="es-PE"/>
        </w:rPr>
        <w:t>vuṭṭhānagāmini</w:t>
      </w:r>
      <w:proofErr w:type="spellEnd"/>
      <w:r w:rsidRPr="005B6D62">
        <w:rPr>
          <w:i/>
          <w:iCs/>
          <w:lang w:val="es-PE"/>
        </w:rPr>
        <w:t>–</w:t>
      </w:r>
      <w:proofErr w:type="spellStart"/>
      <w:r w:rsidRPr="005B6D62">
        <w:rPr>
          <w:i/>
          <w:iCs/>
          <w:lang w:val="es-PE"/>
        </w:rPr>
        <w:t>vipassanā</w:t>
      </w:r>
      <w:proofErr w:type="spellEnd"/>
      <w:r w:rsidRPr="005B6D62">
        <w:rPr>
          <w:lang w:val="es-PE"/>
        </w:rPr>
        <w:t>) XXI.83s.</w:t>
      </w:r>
    </w:p>
    <w:p w14:paraId="52ABF720" w14:textId="77777777" w:rsidR="00597DE2" w:rsidRPr="005B6D62" w:rsidRDefault="00597DE2" w:rsidP="00597DE2">
      <w:pPr>
        <w:pStyle w:val="ParrafoApendice"/>
        <w:rPr>
          <w:lang w:val="es-PE"/>
        </w:rPr>
      </w:pPr>
      <w:r w:rsidRPr="005B6D62">
        <w:rPr>
          <w:lang w:val="es-PE"/>
        </w:rPr>
        <w:t>sabor (</w:t>
      </w:r>
      <w:r w:rsidRPr="005B6D62">
        <w:rPr>
          <w:i/>
          <w:iCs/>
          <w:lang w:val="es-PE"/>
        </w:rPr>
        <w:t>rasa</w:t>
      </w:r>
      <w:r w:rsidRPr="005B6D62">
        <w:rPr>
          <w:lang w:val="es-PE"/>
        </w:rPr>
        <w:t>) XIV.47, 57; XVII.156; XVII.</w:t>
      </w:r>
      <w:r w:rsidRPr="005B6D62">
        <w:rPr>
          <w:color w:val="833C0B" w:themeColor="accent2" w:themeShade="80"/>
          <w:u w:color="000000"/>
          <w:lang w:val="es-PE"/>
        </w:rPr>
        <w:t>5</w:t>
      </w:r>
      <w:r w:rsidRPr="005B6D62">
        <w:rPr>
          <w:lang w:val="es-PE"/>
        </w:rPr>
        <w:t xml:space="preserve">, 11; </w:t>
      </w:r>
      <w:r w:rsidRPr="005B6D62">
        <w:rPr>
          <w:i/>
          <w:iCs/>
          <w:lang w:val="es-PE"/>
        </w:rPr>
        <w:t>base del s.</w:t>
      </w:r>
      <w:r w:rsidRPr="005B6D62">
        <w:rPr>
          <w:lang w:val="es-PE"/>
        </w:rPr>
        <w:t xml:space="preserve"> (</w:t>
      </w:r>
      <w:proofErr w:type="spellStart"/>
      <w:r w:rsidRPr="005B6D62">
        <w:rPr>
          <w:i/>
          <w:iCs/>
          <w:lang w:val="es-PE"/>
        </w:rPr>
        <w:t>rasāyatana</w:t>
      </w:r>
      <w:proofErr w:type="spellEnd"/>
      <w:r w:rsidRPr="005B6D62">
        <w:rPr>
          <w:lang w:val="es-PE"/>
        </w:rPr>
        <w:t>) XV.3s.; elemento s. (</w:t>
      </w:r>
      <w:r w:rsidRPr="005B6D62">
        <w:rPr>
          <w:i/>
          <w:iCs/>
          <w:lang w:val="es-PE"/>
        </w:rPr>
        <w:t>rasa–</w:t>
      </w:r>
      <w:proofErr w:type="spellStart"/>
      <w:r w:rsidRPr="005B6D62">
        <w:rPr>
          <w:i/>
          <w:iCs/>
          <w:lang w:val="es-PE"/>
        </w:rPr>
        <w:t>dhātu</w:t>
      </w:r>
      <w:proofErr w:type="spellEnd"/>
      <w:r w:rsidRPr="005B6D62">
        <w:rPr>
          <w:lang w:val="es-PE"/>
        </w:rPr>
        <w:t xml:space="preserve">) XV.17 </w:t>
      </w:r>
    </w:p>
    <w:p w14:paraId="2A346782" w14:textId="77777777" w:rsidR="00597DE2" w:rsidRPr="006C4C15" w:rsidRDefault="00597DE2" w:rsidP="00597DE2">
      <w:pPr>
        <w:pStyle w:val="ParrafoApendice"/>
        <w:rPr>
          <w:lang w:val="es-PE"/>
        </w:rPr>
      </w:pPr>
      <w:r w:rsidRPr="006C4C15">
        <w:rPr>
          <w:lang w:val="es-PE"/>
        </w:rPr>
        <w:t>sacrificio (</w:t>
      </w:r>
      <w:proofErr w:type="spellStart"/>
      <w:r w:rsidRPr="006C4C15">
        <w:rPr>
          <w:i/>
          <w:iCs/>
          <w:lang w:val="es-PE"/>
        </w:rPr>
        <w:t>yañña</w:t>
      </w:r>
      <w:proofErr w:type="spellEnd"/>
      <w:r w:rsidRPr="006C4C15">
        <w:rPr>
          <w:lang w:val="es-PE"/>
        </w:rPr>
        <w:t>) XVII.62</w:t>
      </w:r>
    </w:p>
    <w:p w14:paraId="3773BABF" w14:textId="77777777" w:rsidR="00597DE2" w:rsidRPr="00426653" w:rsidRDefault="00597DE2" w:rsidP="00597DE2">
      <w:pPr>
        <w:pStyle w:val="ParrafoApendice"/>
        <w:rPr>
          <w:lang w:val="es-PE"/>
        </w:rPr>
      </w:pPr>
      <w:proofErr w:type="spellStart"/>
      <w:r w:rsidRPr="00426653">
        <w:rPr>
          <w:lang w:val="es-PE"/>
        </w:rPr>
        <w:t>Sāketa</w:t>
      </w:r>
      <w:proofErr w:type="spellEnd"/>
      <w:r w:rsidRPr="00426653">
        <w:rPr>
          <w:lang w:val="es-PE"/>
        </w:rPr>
        <w:t xml:space="preserve"> XII.71</w:t>
      </w:r>
    </w:p>
    <w:p w14:paraId="6DD00707" w14:textId="77777777" w:rsidR="00597DE2" w:rsidRPr="000F4ABE" w:rsidRDefault="00597DE2" w:rsidP="00597DE2">
      <w:pPr>
        <w:pStyle w:val="ParrafoApendice"/>
        <w:rPr>
          <w:lang w:val="es-PE"/>
        </w:rPr>
      </w:pPr>
      <w:r w:rsidRPr="000F4ABE">
        <w:rPr>
          <w:lang w:val="es-PE"/>
        </w:rPr>
        <w:t xml:space="preserve">Sakka, Gobernante de los </w:t>
      </w:r>
      <w:proofErr w:type="spellStart"/>
      <w:r w:rsidRPr="000F4ABE">
        <w:rPr>
          <w:lang w:val="es-PE"/>
        </w:rPr>
        <w:t>Dioes</w:t>
      </w:r>
      <w:proofErr w:type="spellEnd"/>
      <w:r w:rsidRPr="000F4ABE">
        <w:rPr>
          <w:lang w:val="es-PE"/>
        </w:rPr>
        <w:t xml:space="preserve"> (</w:t>
      </w:r>
      <w:r w:rsidRPr="000F4ABE">
        <w:rPr>
          <w:i/>
          <w:iCs/>
          <w:lang w:val="es-PE"/>
        </w:rPr>
        <w:t>Sakka–</w:t>
      </w:r>
      <w:proofErr w:type="spellStart"/>
      <w:r w:rsidRPr="000F4ABE">
        <w:rPr>
          <w:i/>
          <w:iCs/>
          <w:lang w:val="es-PE"/>
        </w:rPr>
        <w:t>devinda</w:t>
      </w:r>
      <w:proofErr w:type="spellEnd"/>
      <w:r w:rsidRPr="000F4ABE">
        <w:rPr>
          <w:lang w:val="es-PE"/>
        </w:rPr>
        <w:t>) XII.77, 79</w:t>
      </w:r>
    </w:p>
    <w:p w14:paraId="60AA88FC" w14:textId="77777777" w:rsidR="00597DE2" w:rsidRPr="00426653" w:rsidRDefault="00597DE2" w:rsidP="00597DE2">
      <w:pPr>
        <w:pStyle w:val="ParrafoApendice"/>
        <w:rPr>
          <w:lang w:val="es-PE"/>
        </w:rPr>
      </w:pPr>
      <w:proofErr w:type="spellStart"/>
      <w:r w:rsidRPr="00426653">
        <w:rPr>
          <w:lang w:val="es-PE"/>
        </w:rPr>
        <w:t>Sāmāvatī</w:t>
      </w:r>
      <w:proofErr w:type="spellEnd"/>
      <w:r w:rsidRPr="00426653">
        <w:rPr>
          <w:lang w:val="es-PE"/>
        </w:rPr>
        <w:t xml:space="preserve"> </w:t>
      </w:r>
      <w:proofErr w:type="spellStart"/>
      <w:r w:rsidRPr="00426653">
        <w:rPr>
          <w:lang w:val="es-PE"/>
        </w:rPr>
        <w:t>upāsikā</w:t>
      </w:r>
      <w:proofErr w:type="spellEnd"/>
      <w:r w:rsidRPr="00426653">
        <w:rPr>
          <w:lang w:val="es-PE"/>
        </w:rPr>
        <w:t xml:space="preserve"> XII.30, 35</w:t>
      </w:r>
    </w:p>
    <w:p w14:paraId="095605B0" w14:textId="77777777" w:rsidR="00597DE2" w:rsidRPr="00B41712" w:rsidRDefault="00597DE2" w:rsidP="00597DE2">
      <w:pPr>
        <w:pStyle w:val="ParrafoApendice"/>
        <w:rPr>
          <w:lang w:val="es-PE"/>
        </w:rPr>
      </w:pPr>
      <w:proofErr w:type="spellStart"/>
      <w:r w:rsidRPr="00B41712">
        <w:rPr>
          <w:lang w:val="es-PE"/>
        </w:rPr>
        <w:t>Samudda</w:t>
      </w:r>
      <w:proofErr w:type="spellEnd"/>
      <w:r w:rsidRPr="00B41712">
        <w:rPr>
          <w:lang w:val="es-PE"/>
        </w:rPr>
        <w:t xml:space="preserve"> </w:t>
      </w:r>
      <w:proofErr w:type="spellStart"/>
      <w:r w:rsidRPr="00B41712">
        <w:rPr>
          <w:lang w:val="es-PE"/>
        </w:rPr>
        <w:t>Thera</w:t>
      </w:r>
      <w:proofErr w:type="spellEnd"/>
      <w:r w:rsidRPr="00B41712">
        <w:rPr>
          <w:lang w:val="es-PE"/>
        </w:rPr>
        <w:t xml:space="preserve">, </w:t>
      </w:r>
      <w:proofErr w:type="spellStart"/>
      <w:r w:rsidRPr="00B41712">
        <w:rPr>
          <w:lang w:val="es-PE"/>
        </w:rPr>
        <w:t>Cū</w:t>
      </w:r>
      <w:r>
        <w:rPr>
          <w:lang w:val="es-PE"/>
        </w:rPr>
        <w:t>ḷ</w:t>
      </w:r>
      <w:r w:rsidRPr="00B41712">
        <w:rPr>
          <w:lang w:val="es-PE"/>
        </w:rPr>
        <w:t>a</w:t>
      </w:r>
      <w:proofErr w:type="spellEnd"/>
      <w:r w:rsidRPr="00B41712">
        <w:rPr>
          <w:lang w:val="es-PE"/>
        </w:rPr>
        <w:t xml:space="preserve"> XII.123</w:t>
      </w:r>
    </w:p>
    <w:p w14:paraId="4424F81F" w14:textId="77777777" w:rsidR="00597DE2" w:rsidRPr="00426653" w:rsidRDefault="00597DE2" w:rsidP="00597DE2">
      <w:pPr>
        <w:pStyle w:val="ParrafoApendice"/>
        <w:rPr>
          <w:lang w:val="es-PE"/>
        </w:rPr>
      </w:pPr>
      <w:proofErr w:type="spellStart"/>
      <w:r w:rsidRPr="00426653">
        <w:rPr>
          <w:lang w:val="es-PE"/>
        </w:rPr>
        <w:t>Saṅgharakkhita</w:t>
      </w:r>
      <w:proofErr w:type="spellEnd"/>
      <w:r w:rsidRPr="00426653">
        <w:rPr>
          <w:lang w:val="es-PE"/>
        </w:rPr>
        <w:t xml:space="preserve"> </w:t>
      </w:r>
      <w:proofErr w:type="spellStart"/>
      <w:r w:rsidRPr="00426653">
        <w:rPr>
          <w:lang w:val="es-PE"/>
        </w:rPr>
        <w:t>Thera</w:t>
      </w:r>
      <w:proofErr w:type="spellEnd"/>
      <w:r w:rsidRPr="00426653">
        <w:rPr>
          <w:lang w:val="es-PE"/>
        </w:rPr>
        <w:t xml:space="preserve"> VI.88</w:t>
      </w:r>
    </w:p>
    <w:p w14:paraId="594F862A" w14:textId="77777777" w:rsidR="00597DE2" w:rsidRPr="00426653" w:rsidRDefault="00597DE2" w:rsidP="00597DE2">
      <w:pPr>
        <w:pStyle w:val="ParrafoApendice"/>
        <w:rPr>
          <w:lang w:val="es-PE"/>
        </w:rPr>
      </w:pPr>
      <w:proofErr w:type="spellStart"/>
      <w:r w:rsidRPr="00426653">
        <w:rPr>
          <w:lang w:val="es-PE"/>
        </w:rPr>
        <w:t>Saṅgharakkhita</w:t>
      </w:r>
      <w:proofErr w:type="spellEnd"/>
      <w:r w:rsidRPr="00426653">
        <w:rPr>
          <w:lang w:val="es-PE"/>
        </w:rPr>
        <w:t xml:space="preserve"> </w:t>
      </w:r>
      <w:proofErr w:type="spellStart"/>
      <w:r w:rsidRPr="00426653">
        <w:rPr>
          <w:lang w:val="es-PE"/>
        </w:rPr>
        <w:t>Thera</w:t>
      </w:r>
      <w:proofErr w:type="spellEnd"/>
      <w:r w:rsidRPr="00426653">
        <w:rPr>
          <w:lang w:val="es-PE"/>
        </w:rPr>
        <w:t xml:space="preserve">, (&amp; </w:t>
      </w:r>
      <w:proofErr w:type="spellStart"/>
      <w:r w:rsidRPr="00426653">
        <w:rPr>
          <w:i/>
          <w:iCs/>
          <w:lang w:val="es-PE"/>
        </w:rPr>
        <w:t>sāmaṇera</w:t>
      </w:r>
      <w:proofErr w:type="spellEnd"/>
      <w:r w:rsidRPr="00426653">
        <w:rPr>
          <w:lang w:val="es-PE"/>
        </w:rPr>
        <w:t xml:space="preserve">), </w:t>
      </w:r>
      <w:proofErr w:type="spellStart"/>
      <w:r w:rsidRPr="00426653">
        <w:rPr>
          <w:lang w:val="es-PE"/>
        </w:rPr>
        <w:t>Bhāgineyya</w:t>
      </w:r>
      <w:proofErr w:type="spellEnd"/>
      <w:r w:rsidRPr="00426653">
        <w:rPr>
          <w:lang w:val="es-PE"/>
        </w:rPr>
        <w:t xml:space="preserve"> I.130, 135</w:t>
      </w:r>
    </w:p>
    <w:p w14:paraId="5ADAEF58" w14:textId="77777777" w:rsidR="00597DE2" w:rsidRPr="00426653" w:rsidRDefault="00597DE2" w:rsidP="00597DE2">
      <w:pPr>
        <w:pStyle w:val="ParrafoApendice"/>
        <w:rPr>
          <w:lang w:val="es-PE"/>
        </w:rPr>
      </w:pPr>
      <w:proofErr w:type="spellStart"/>
      <w:r w:rsidRPr="00426653">
        <w:rPr>
          <w:lang w:val="es-PE"/>
        </w:rPr>
        <w:t>Saṅgharakkhita</w:t>
      </w:r>
      <w:proofErr w:type="spellEnd"/>
      <w:r w:rsidRPr="00426653">
        <w:rPr>
          <w:lang w:val="es-PE"/>
        </w:rPr>
        <w:t xml:space="preserve"> </w:t>
      </w:r>
      <w:proofErr w:type="spellStart"/>
      <w:r w:rsidRPr="00426653">
        <w:rPr>
          <w:lang w:val="es-PE"/>
        </w:rPr>
        <w:t>Thera</w:t>
      </w:r>
      <w:proofErr w:type="spellEnd"/>
      <w:r w:rsidRPr="00426653">
        <w:rPr>
          <w:lang w:val="es-PE"/>
        </w:rPr>
        <w:t>, Mahā I.135; III.85</w:t>
      </w:r>
    </w:p>
    <w:p w14:paraId="1C1CE700" w14:textId="77777777" w:rsidR="00597DE2" w:rsidRPr="005B6D62" w:rsidRDefault="00597DE2" w:rsidP="00597DE2">
      <w:pPr>
        <w:pStyle w:val="ParrafoApendice"/>
        <w:rPr>
          <w:lang w:val="es-PE"/>
        </w:rPr>
      </w:pPr>
      <w:r w:rsidRPr="005B6D62">
        <w:rPr>
          <w:lang w:val="es-PE"/>
        </w:rPr>
        <w:t>sangre (</w:t>
      </w:r>
      <w:proofErr w:type="spellStart"/>
      <w:r w:rsidRPr="005B6D62">
        <w:rPr>
          <w:i/>
          <w:iCs/>
          <w:lang w:val="es-PE"/>
        </w:rPr>
        <w:t>lohita</w:t>
      </w:r>
      <w:proofErr w:type="spellEnd"/>
      <w:r w:rsidRPr="005B6D62">
        <w:rPr>
          <w:lang w:val="es-PE"/>
        </w:rPr>
        <w:t>) VIII.111s., 130; XI.17, 72; XIII.9, n.5; XIV.60; (</w:t>
      </w:r>
      <w:proofErr w:type="spellStart"/>
      <w:r w:rsidRPr="005B6D62">
        <w:rPr>
          <w:i/>
          <w:iCs/>
          <w:lang w:val="es-PE"/>
        </w:rPr>
        <w:t>ruhira</w:t>
      </w:r>
      <w:proofErr w:type="spellEnd"/>
      <w:r w:rsidRPr="005B6D62">
        <w:rPr>
          <w:lang w:val="es-PE"/>
        </w:rPr>
        <w:t>) XIII.2, 73</w:t>
      </w:r>
    </w:p>
    <w:p w14:paraId="1BD6B149" w14:textId="77777777" w:rsidR="00597DE2" w:rsidRPr="00426653" w:rsidRDefault="00597DE2" w:rsidP="00597DE2">
      <w:pPr>
        <w:pStyle w:val="ParrafoApendice"/>
        <w:rPr>
          <w:lang w:val="es-PE"/>
        </w:rPr>
      </w:pPr>
      <w:proofErr w:type="spellStart"/>
      <w:r w:rsidRPr="00426653">
        <w:rPr>
          <w:lang w:val="es-PE"/>
        </w:rPr>
        <w:t>Saṅkassa</w:t>
      </w:r>
      <w:proofErr w:type="spellEnd"/>
      <w:r w:rsidRPr="00426653">
        <w:rPr>
          <w:lang w:val="es-PE"/>
        </w:rPr>
        <w:t>–</w:t>
      </w:r>
      <w:proofErr w:type="spellStart"/>
      <w:r w:rsidRPr="00426653">
        <w:rPr>
          <w:lang w:val="es-PE"/>
        </w:rPr>
        <w:t>nagara</w:t>
      </w:r>
      <w:proofErr w:type="spellEnd"/>
      <w:r w:rsidRPr="00426653">
        <w:rPr>
          <w:lang w:val="es-PE"/>
        </w:rPr>
        <w:t xml:space="preserve"> XII.75, 122</w:t>
      </w:r>
    </w:p>
    <w:p w14:paraId="165BFF89" w14:textId="77777777" w:rsidR="00597DE2" w:rsidRPr="00AA7FEE" w:rsidRDefault="00597DE2" w:rsidP="00597DE2">
      <w:pPr>
        <w:pStyle w:val="ParrafoApendice"/>
        <w:rPr>
          <w:lang w:val="es-PE"/>
        </w:rPr>
      </w:pPr>
      <w:proofErr w:type="spellStart"/>
      <w:r w:rsidRPr="00AA7FEE">
        <w:rPr>
          <w:lang w:val="es-PE"/>
        </w:rPr>
        <w:t>Saṅkicca</w:t>
      </w:r>
      <w:proofErr w:type="spellEnd"/>
      <w:r w:rsidRPr="00AA7FEE">
        <w:rPr>
          <w:lang w:val="es-PE"/>
        </w:rPr>
        <w:t xml:space="preserve"> </w:t>
      </w:r>
      <w:proofErr w:type="spellStart"/>
      <w:r w:rsidRPr="00AA7FEE">
        <w:rPr>
          <w:lang w:val="es-PE"/>
        </w:rPr>
        <w:t>Sāmaera</w:t>
      </w:r>
      <w:proofErr w:type="spellEnd"/>
      <w:r w:rsidRPr="00AA7FEE">
        <w:rPr>
          <w:lang w:val="es-PE"/>
        </w:rPr>
        <w:t xml:space="preserve"> IX.71</w:t>
      </w:r>
    </w:p>
    <w:p w14:paraId="6266DF38" w14:textId="77777777" w:rsidR="00597DE2" w:rsidRPr="00AA7FEE" w:rsidRDefault="00597DE2" w:rsidP="00597DE2">
      <w:pPr>
        <w:pStyle w:val="ParrafoApendice"/>
        <w:rPr>
          <w:lang w:val="es-PE"/>
        </w:rPr>
      </w:pPr>
      <w:proofErr w:type="spellStart"/>
      <w:r w:rsidRPr="00AA7FEE">
        <w:rPr>
          <w:lang w:val="es-PE"/>
        </w:rPr>
        <w:t>Saṅkicca</w:t>
      </w:r>
      <w:proofErr w:type="spellEnd"/>
      <w:r w:rsidRPr="00AA7FEE">
        <w:rPr>
          <w:lang w:val="es-PE"/>
        </w:rPr>
        <w:t xml:space="preserve"> </w:t>
      </w:r>
      <w:proofErr w:type="spellStart"/>
      <w:r w:rsidRPr="00AA7FEE">
        <w:rPr>
          <w:lang w:val="es-PE"/>
        </w:rPr>
        <w:t>Thera</w:t>
      </w:r>
      <w:proofErr w:type="spellEnd"/>
      <w:r w:rsidRPr="00AA7FEE">
        <w:rPr>
          <w:lang w:val="es-PE"/>
        </w:rPr>
        <w:t xml:space="preserve"> </w:t>
      </w:r>
      <w:r w:rsidRPr="00DE4E04">
        <w:rPr>
          <w:strike/>
          <w:color w:val="833C0B" w:themeColor="accent2" w:themeShade="80"/>
          <w:lang w:val="es-PE"/>
        </w:rPr>
        <w:t>VII.26, 28</w:t>
      </w:r>
    </w:p>
    <w:p w14:paraId="1F8E46E1" w14:textId="77777777" w:rsidR="00597DE2" w:rsidRPr="00AA7FEE" w:rsidRDefault="00597DE2" w:rsidP="00597DE2">
      <w:pPr>
        <w:pStyle w:val="ParrafoApendice"/>
        <w:rPr>
          <w:lang w:val="es-PE"/>
        </w:rPr>
      </w:pPr>
      <w:proofErr w:type="spellStart"/>
      <w:r w:rsidRPr="00AA7FEE">
        <w:rPr>
          <w:lang w:val="es-PE"/>
        </w:rPr>
        <w:t>Sañjīva</w:t>
      </w:r>
      <w:proofErr w:type="spellEnd"/>
      <w:r w:rsidRPr="00AA7FEE">
        <w:rPr>
          <w:lang w:val="es-PE"/>
        </w:rPr>
        <w:t xml:space="preserve"> </w:t>
      </w:r>
      <w:proofErr w:type="spellStart"/>
      <w:r w:rsidRPr="00AA7FEE">
        <w:rPr>
          <w:lang w:val="es-PE"/>
        </w:rPr>
        <w:t>Thera</w:t>
      </w:r>
      <w:proofErr w:type="spellEnd"/>
      <w:r w:rsidRPr="00AA7FEE">
        <w:rPr>
          <w:lang w:val="es-PE"/>
        </w:rPr>
        <w:t xml:space="preserve"> XII.30, 32; </w:t>
      </w:r>
      <w:r w:rsidRPr="00F03BF4">
        <w:rPr>
          <w:strike/>
          <w:color w:val="833C0B" w:themeColor="accent2" w:themeShade="80"/>
          <w:lang w:val="es-PE"/>
        </w:rPr>
        <w:t>XIII.37</w:t>
      </w:r>
    </w:p>
    <w:p w14:paraId="3041EFEB" w14:textId="77777777" w:rsidR="00597DE2" w:rsidRDefault="00597DE2" w:rsidP="00597DE2">
      <w:pPr>
        <w:pStyle w:val="ParrafoApendice"/>
        <w:rPr>
          <w:lang w:val="es-PE"/>
        </w:rPr>
      </w:pPr>
      <w:r w:rsidRPr="00AA7FEE">
        <w:rPr>
          <w:lang w:val="es-PE"/>
        </w:rPr>
        <w:t xml:space="preserve">Sāriputta </w:t>
      </w:r>
      <w:proofErr w:type="spellStart"/>
      <w:r w:rsidRPr="00AA7FEE">
        <w:rPr>
          <w:lang w:val="es-PE"/>
        </w:rPr>
        <w:t>Thera</w:t>
      </w:r>
      <w:proofErr w:type="spellEnd"/>
      <w:r w:rsidRPr="00AA7FEE">
        <w:rPr>
          <w:lang w:val="es-PE"/>
        </w:rPr>
        <w:t xml:space="preserve"> I.</w:t>
      </w:r>
      <w:r w:rsidRPr="00271A8A">
        <w:rPr>
          <w:color w:val="833C0B" w:themeColor="accent2" w:themeShade="80"/>
          <w:lang w:val="es-PE"/>
        </w:rPr>
        <w:t>116</w:t>
      </w:r>
      <w:r w:rsidRPr="00AA7FEE">
        <w:rPr>
          <w:lang w:val="es-PE"/>
        </w:rPr>
        <w:t xml:space="preserve">; II.82; VII.n.23; </w:t>
      </w:r>
      <w:r w:rsidRPr="004613EF">
        <w:rPr>
          <w:strike/>
          <w:color w:val="833C0B" w:themeColor="accent2" w:themeShade="80"/>
          <w:lang w:val="es-PE"/>
        </w:rPr>
        <w:t>VIII.213</w:t>
      </w:r>
      <w:r w:rsidRPr="00AA7FEE">
        <w:rPr>
          <w:lang w:val="es-PE"/>
        </w:rPr>
        <w:t>; X.53; XII.30</w:t>
      </w:r>
      <w:r>
        <w:rPr>
          <w:lang w:val="es-PE"/>
        </w:rPr>
        <w:t>s</w:t>
      </w:r>
      <w:r w:rsidRPr="00AA7FEE">
        <w:rPr>
          <w:lang w:val="es-PE"/>
        </w:rPr>
        <w:t>.; XXI.118; XXIII.37</w:t>
      </w:r>
      <w:r>
        <w:rPr>
          <w:lang w:val="es-PE"/>
        </w:rPr>
        <w:br w:type="page"/>
      </w:r>
    </w:p>
    <w:p w14:paraId="6C9DDD77" w14:textId="77777777" w:rsidR="00597DE2" w:rsidRPr="00AA7FEE" w:rsidRDefault="00597DE2" w:rsidP="00597DE2">
      <w:pPr>
        <w:pStyle w:val="ParrafoApendice"/>
        <w:rPr>
          <w:lang w:val="es-PE"/>
        </w:rPr>
      </w:pPr>
    </w:p>
    <w:p w14:paraId="7F4608ED" w14:textId="77777777" w:rsidR="00597DE2" w:rsidRPr="00AA7FEE" w:rsidRDefault="00597DE2" w:rsidP="00597DE2">
      <w:pPr>
        <w:pStyle w:val="ParrafoApendice"/>
        <w:rPr>
          <w:lang w:val="es-PE"/>
        </w:rPr>
      </w:pPr>
      <w:proofErr w:type="spellStart"/>
      <w:r w:rsidRPr="00AA7FEE">
        <w:rPr>
          <w:lang w:val="es-PE"/>
        </w:rPr>
        <w:t>Sarvāstivādin</w:t>
      </w:r>
      <w:proofErr w:type="spellEnd"/>
      <w:r w:rsidRPr="00AA7FEE">
        <w:rPr>
          <w:lang w:val="es-PE"/>
        </w:rPr>
        <w:t xml:space="preserve"> (</w:t>
      </w:r>
      <w:proofErr w:type="spellStart"/>
      <w:r w:rsidRPr="00AA7FEE">
        <w:rPr>
          <w:lang w:val="es-PE"/>
        </w:rPr>
        <w:t>Sabbatthivādin</w:t>
      </w:r>
      <w:proofErr w:type="spellEnd"/>
      <w:r w:rsidRPr="00AA7FEE">
        <w:rPr>
          <w:lang w:val="es-PE"/>
        </w:rPr>
        <w:t xml:space="preserve">) VII.n.36 </w:t>
      </w:r>
    </w:p>
    <w:p w14:paraId="3CD15F1D" w14:textId="77777777" w:rsidR="00597DE2" w:rsidRPr="00AA7FEE" w:rsidRDefault="00597DE2" w:rsidP="00597DE2">
      <w:pPr>
        <w:pStyle w:val="ParrafoApendice"/>
        <w:rPr>
          <w:lang w:val="es-PE"/>
        </w:rPr>
      </w:pPr>
      <w:proofErr w:type="spellStart"/>
      <w:r w:rsidRPr="00AA7FEE">
        <w:rPr>
          <w:lang w:val="es-PE"/>
        </w:rPr>
        <w:t>Sasaṅkhāra</w:t>
      </w:r>
      <w:proofErr w:type="spellEnd"/>
      <w:r w:rsidRPr="00AA7FEE">
        <w:rPr>
          <w:lang w:val="es-PE"/>
        </w:rPr>
        <w:t>–</w:t>
      </w:r>
      <w:proofErr w:type="spellStart"/>
      <w:r w:rsidRPr="00AA7FEE">
        <w:rPr>
          <w:lang w:val="es-PE"/>
        </w:rPr>
        <w:t>parinibbāyin</w:t>
      </w:r>
      <w:proofErr w:type="spellEnd"/>
      <w:r w:rsidRPr="00AA7FEE">
        <w:rPr>
          <w:lang w:val="es-PE"/>
        </w:rPr>
        <w:t xml:space="preserve"> </w:t>
      </w:r>
      <w:r w:rsidRPr="00664908">
        <w:rPr>
          <w:strike/>
          <w:color w:val="833C0B" w:themeColor="accent2" w:themeShade="80"/>
          <w:lang w:val="es-PE"/>
        </w:rPr>
        <w:t>XXIII.56</w:t>
      </w:r>
      <w:r w:rsidRPr="00AA7FEE">
        <w:rPr>
          <w:lang w:val="es-PE"/>
        </w:rPr>
        <w:t xml:space="preserve"> </w:t>
      </w:r>
    </w:p>
    <w:p w14:paraId="473AAE7B" w14:textId="77777777" w:rsidR="00597DE2" w:rsidRPr="00AA7FEE" w:rsidRDefault="00597DE2" w:rsidP="00597DE2">
      <w:pPr>
        <w:pStyle w:val="ParrafoApendice"/>
        <w:rPr>
          <w:lang w:val="es-PE"/>
        </w:rPr>
      </w:pPr>
      <w:proofErr w:type="spellStart"/>
      <w:r w:rsidRPr="00AA7FEE">
        <w:rPr>
          <w:lang w:val="es-PE"/>
        </w:rPr>
        <w:t>sattakkhattuparama</w:t>
      </w:r>
      <w:proofErr w:type="spellEnd"/>
      <w:r w:rsidRPr="00AA7FEE">
        <w:rPr>
          <w:lang w:val="es-PE"/>
        </w:rPr>
        <w:t xml:space="preserve"> </w:t>
      </w:r>
      <w:r w:rsidRPr="00664908">
        <w:rPr>
          <w:strike/>
          <w:color w:val="833C0B" w:themeColor="accent2" w:themeShade="80"/>
          <w:lang w:val="es-PE"/>
        </w:rPr>
        <w:t>XXIII.55</w:t>
      </w:r>
    </w:p>
    <w:p w14:paraId="31448172" w14:textId="77777777" w:rsidR="00597DE2" w:rsidRPr="00AA7FEE" w:rsidRDefault="00597DE2" w:rsidP="00597DE2">
      <w:pPr>
        <w:pStyle w:val="ParrafoApendice"/>
        <w:rPr>
          <w:lang w:val="es-PE"/>
        </w:rPr>
      </w:pPr>
      <w:proofErr w:type="spellStart"/>
      <w:r w:rsidRPr="00AA7FEE">
        <w:rPr>
          <w:lang w:val="es-PE"/>
        </w:rPr>
        <w:t>Sāvatthī</w:t>
      </w:r>
      <w:proofErr w:type="spellEnd"/>
      <w:r w:rsidRPr="00AA7FEE">
        <w:rPr>
          <w:lang w:val="es-PE"/>
        </w:rPr>
        <w:t xml:space="preserve"> XII.71, 122</w:t>
      </w:r>
    </w:p>
    <w:p w14:paraId="2C26C74F" w14:textId="77777777" w:rsidR="00597DE2" w:rsidRPr="00AA7FEE" w:rsidRDefault="00597DE2" w:rsidP="00597DE2">
      <w:pPr>
        <w:pStyle w:val="ParrafoApendice"/>
        <w:rPr>
          <w:lang w:val="es-PE"/>
        </w:rPr>
      </w:pPr>
      <w:r w:rsidRPr="00AA7FEE">
        <w:rPr>
          <w:lang w:val="es-PE"/>
        </w:rPr>
        <w:t>sectari</w:t>
      </w:r>
      <w:r>
        <w:rPr>
          <w:lang w:val="es-PE"/>
        </w:rPr>
        <w:t>o/a</w:t>
      </w:r>
      <w:r w:rsidRPr="00AA7FEE">
        <w:rPr>
          <w:lang w:val="es-PE"/>
        </w:rPr>
        <w:t xml:space="preserve"> (</w:t>
      </w:r>
      <w:proofErr w:type="spellStart"/>
      <w:r w:rsidRPr="007D749B">
        <w:rPr>
          <w:i/>
          <w:iCs/>
          <w:lang w:val="es-PE"/>
        </w:rPr>
        <w:t>titthiya</w:t>
      </w:r>
      <w:proofErr w:type="spellEnd"/>
      <w:r w:rsidRPr="00AA7FEE">
        <w:rPr>
          <w:lang w:val="es-PE"/>
        </w:rPr>
        <w:t xml:space="preserve">) I.45; XV.21; XVI.63 </w:t>
      </w:r>
    </w:p>
    <w:p w14:paraId="66B8F3D2" w14:textId="77777777" w:rsidR="00597DE2" w:rsidRPr="00991160" w:rsidRDefault="00597DE2" w:rsidP="00597DE2">
      <w:pPr>
        <w:pStyle w:val="ParrafoApendice"/>
        <w:rPr>
          <w:lang w:val="es-PE"/>
        </w:rPr>
      </w:pPr>
      <w:r w:rsidRPr="00991160">
        <w:rPr>
          <w:lang w:val="es-PE"/>
        </w:rPr>
        <w:t>secuencia de significado</w:t>
      </w:r>
      <w:r>
        <w:rPr>
          <w:lang w:val="es-PE"/>
        </w:rPr>
        <w:t>s</w:t>
      </w:r>
      <w:r w:rsidRPr="00991160">
        <w:rPr>
          <w:lang w:val="es-PE"/>
        </w:rPr>
        <w:t xml:space="preserve"> (</w:t>
      </w:r>
      <w:proofErr w:type="spellStart"/>
      <w:r w:rsidRPr="00991160">
        <w:rPr>
          <w:i/>
          <w:iCs/>
          <w:lang w:val="es-PE"/>
        </w:rPr>
        <w:t>anusandhi</w:t>
      </w:r>
      <w:proofErr w:type="spellEnd"/>
      <w:r w:rsidRPr="00991160">
        <w:rPr>
          <w:lang w:val="es-PE"/>
        </w:rPr>
        <w:t xml:space="preserve">) </w:t>
      </w:r>
      <w:r w:rsidRPr="00AE6988">
        <w:rPr>
          <w:lang w:val="es-PE"/>
        </w:rPr>
        <w:t>VII.68</w:t>
      </w:r>
      <w:r w:rsidRPr="00991160">
        <w:rPr>
          <w:lang w:val="es-PE"/>
        </w:rPr>
        <w:t xml:space="preserve">, </w:t>
      </w:r>
      <w:r w:rsidRPr="00AE6988">
        <w:rPr>
          <w:strike/>
          <w:color w:val="833C0B" w:themeColor="accent2" w:themeShade="80"/>
          <w:lang w:val="es-PE"/>
        </w:rPr>
        <w:t>n.31</w:t>
      </w:r>
    </w:p>
    <w:p w14:paraId="606E9C20" w14:textId="77777777" w:rsidR="00597DE2" w:rsidRPr="005B6D62" w:rsidRDefault="00597DE2" w:rsidP="00597DE2">
      <w:pPr>
        <w:pStyle w:val="ParrafoApendice"/>
        <w:rPr>
          <w:lang w:val="es-PE"/>
        </w:rPr>
      </w:pPr>
      <w:r w:rsidRPr="005B6D62">
        <w:rPr>
          <w:lang w:val="es-PE"/>
        </w:rPr>
        <w:t>seguidor laico (</w:t>
      </w:r>
      <w:proofErr w:type="spellStart"/>
      <w:r w:rsidRPr="005B6D62">
        <w:rPr>
          <w:i/>
          <w:iCs/>
          <w:lang w:val="es-PE"/>
        </w:rPr>
        <w:t>upāsaka</w:t>
      </w:r>
      <w:proofErr w:type="spellEnd"/>
      <w:r w:rsidRPr="005B6D62">
        <w:rPr>
          <w:lang w:val="es-PE"/>
        </w:rPr>
        <w:t xml:space="preserve">) I.40; II.92 </w:t>
      </w:r>
    </w:p>
    <w:p w14:paraId="0E68537E" w14:textId="77777777" w:rsidR="00597DE2" w:rsidRDefault="00597DE2" w:rsidP="00597DE2">
      <w:pPr>
        <w:pStyle w:val="ParrafoApendice"/>
        <w:rPr>
          <w:lang w:val="es-PE"/>
        </w:rPr>
      </w:pPr>
      <w:r w:rsidRPr="006E31BD">
        <w:rPr>
          <w:lang w:val="es-PE"/>
        </w:rPr>
        <w:t>seis bases (</w:t>
      </w:r>
      <w:proofErr w:type="spellStart"/>
      <w:r w:rsidRPr="006E31BD">
        <w:rPr>
          <w:i/>
          <w:iCs/>
          <w:lang w:val="es-PE"/>
        </w:rPr>
        <w:t>saḷāyatana</w:t>
      </w:r>
      <w:proofErr w:type="spellEnd"/>
      <w:r w:rsidRPr="006E31BD">
        <w:rPr>
          <w:lang w:val="es-PE"/>
        </w:rPr>
        <w:t xml:space="preserve">), </w:t>
      </w:r>
      <w:r>
        <w:rPr>
          <w:lang w:val="es-PE"/>
        </w:rPr>
        <w:t>ver</w:t>
      </w:r>
      <w:r w:rsidRPr="006E31BD">
        <w:rPr>
          <w:lang w:val="es-PE"/>
        </w:rPr>
        <w:t xml:space="preserve"> base </w:t>
      </w:r>
    </w:p>
    <w:p w14:paraId="5357B069" w14:textId="77777777" w:rsidR="00597DE2" w:rsidRPr="005B6D62" w:rsidRDefault="00597DE2" w:rsidP="00597DE2">
      <w:pPr>
        <w:pStyle w:val="ParrafoApendice"/>
        <w:rPr>
          <w:lang w:val="es-PE"/>
        </w:rPr>
      </w:pPr>
      <w:r w:rsidRPr="005B6D62">
        <w:rPr>
          <w:lang w:val="es-PE"/>
        </w:rPr>
        <w:t>sendero (</w:t>
      </w:r>
      <w:proofErr w:type="spellStart"/>
      <w:r w:rsidRPr="005B6D62">
        <w:rPr>
          <w:i/>
          <w:iCs/>
          <w:lang w:val="es-PE"/>
        </w:rPr>
        <w:t>magga</w:t>
      </w:r>
      <w:proofErr w:type="spellEnd"/>
      <w:r w:rsidRPr="005B6D62">
        <w:rPr>
          <w:lang w:val="es-PE"/>
        </w:rPr>
        <w:t>) I.</w:t>
      </w:r>
      <w:r w:rsidRPr="005B6D62">
        <w:rPr>
          <w:color w:val="833C0B" w:themeColor="accent2" w:themeShade="80"/>
          <w:u w:color="000000"/>
          <w:lang w:val="es-PE"/>
        </w:rPr>
        <w:t>3s.,</w:t>
      </w:r>
      <w:r w:rsidRPr="005B6D62">
        <w:rPr>
          <w:lang w:val="es-PE"/>
        </w:rPr>
        <w:t xml:space="preserve"> 137; III.7, 13; IV.27s., 78; VII.27, 33, 76, 91; VIII.224; XIII.83, 120; XIV.3, 9, 23, 105, 121, 158, 206, n.67; XVI.26, 68; XVII.62, 66, 81, 93; XX.100, 107, 130; XXI.71, 83, 85, 111, 116, 120, 129, n.34; XXII.2s., 33, 42, 78; XXIII.3, 14, 33 </w:t>
      </w:r>
    </w:p>
    <w:p w14:paraId="6617895A" w14:textId="77777777" w:rsidR="00597DE2" w:rsidRPr="005B6D62" w:rsidRDefault="00597DE2" w:rsidP="00597DE2">
      <w:pPr>
        <w:pStyle w:val="ParrafoApendice"/>
        <w:rPr>
          <w:lang w:val="es-PE"/>
        </w:rPr>
      </w:pPr>
      <w:r>
        <w:rPr>
          <w:lang w:val="es-PE"/>
        </w:rPr>
        <w:t xml:space="preserve">sendero </w:t>
      </w:r>
      <w:r w:rsidRPr="005B6D62">
        <w:rPr>
          <w:lang w:val="es-PE"/>
        </w:rPr>
        <w:t>(</w:t>
      </w:r>
      <w:proofErr w:type="spellStart"/>
      <w:r w:rsidRPr="0089783C">
        <w:rPr>
          <w:i/>
          <w:iCs/>
          <w:lang w:val="es-PE"/>
        </w:rPr>
        <w:t>paṭipadā</w:t>
      </w:r>
      <w:proofErr w:type="spellEnd"/>
      <w:r w:rsidRPr="005B6D62">
        <w:rPr>
          <w:lang w:val="es-PE"/>
        </w:rPr>
        <w:t>) III.42, n.15; VII.74, 90; XVI.75</w:t>
      </w:r>
      <w:r>
        <w:rPr>
          <w:lang w:val="es-PE"/>
        </w:rPr>
        <w:t>s</w:t>
      </w:r>
      <w:r w:rsidRPr="005B6D62">
        <w:rPr>
          <w:lang w:val="es-PE"/>
        </w:rPr>
        <w:t>.; (</w:t>
      </w:r>
      <w:proofErr w:type="spellStart"/>
      <w:r w:rsidRPr="00AA2642">
        <w:rPr>
          <w:i/>
          <w:iCs/>
          <w:lang w:val="es-PE"/>
        </w:rPr>
        <w:t>patha</w:t>
      </w:r>
      <w:proofErr w:type="spellEnd"/>
      <w:r w:rsidRPr="005B6D62">
        <w:rPr>
          <w:lang w:val="es-PE"/>
        </w:rPr>
        <w:t xml:space="preserve">) I.85 </w:t>
      </w:r>
    </w:p>
    <w:p w14:paraId="2FFD4066" w14:textId="77777777" w:rsidR="00597DE2" w:rsidRPr="00EC525A" w:rsidRDefault="00597DE2" w:rsidP="00597DE2">
      <w:pPr>
        <w:pStyle w:val="ParrafoApendice"/>
        <w:rPr>
          <w:lang w:val="es-PE"/>
        </w:rPr>
      </w:pPr>
      <w:r>
        <w:rPr>
          <w:lang w:val="es-PE"/>
        </w:rPr>
        <w:t xml:space="preserve">sendero </w:t>
      </w:r>
      <w:r w:rsidRPr="00EC525A">
        <w:rPr>
          <w:lang w:val="es-PE"/>
        </w:rPr>
        <w:t>apropiad</w:t>
      </w:r>
      <w:r>
        <w:rPr>
          <w:lang w:val="es-PE"/>
        </w:rPr>
        <w:t>o</w:t>
      </w:r>
      <w:r w:rsidRPr="00EC525A">
        <w:rPr>
          <w:lang w:val="es-PE"/>
        </w:rPr>
        <w:t xml:space="preserve"> (</w:t>
      </w:r>
      <w:proofErr w:type="spellStart"/>
      <w:r w:rsidRPr="00EC525A">
        <w:rPr>
          <w:i/>
          <w:iCs/>
          <w:lang w:val="es-PE"/>
        </w:rPr>
        <w:t>sāmīci</w:t>
      </w:r>
      <w:proofErr w:type="spellEnd"/>
      <w:r w:rsidRPr="00EC525A">
        <w:rPr>
          <w:lang w:val="es-PE"/>
        </w:rPr>
        <w:t xml:space="preserve">) VII.90; XVII.24, 33 </w:t>
      </w:r>
    </w:p>
    <w:p w14:paraId="219C68D1" w14:textId="77777777" w:rsidR="00597DE2" w:rsidRPr="00E82834" w:rsidRDefault="00597DE2" w:rsidP="00597DE2">
      <w:pPr>
        <w:pStyle w:val="ParrafoApendice"/>
        <w:rPr>
          <w:lang w:val="es-PE"/>
        </w:rPr>
      </w:pPr>
      <w:r w:rsidRPr="00E82834">
        <w:rPr>
          <w:lang w:val="es-PE"/>
        </w:rPr>
        <w:t xml:space="preserve">sendero </w:t>
      </w:r>
      <w:r>
        <w:rPr>
          <w:lang w:val="es-PE"/>
        </w:rPr>
        <w:t xml:space="preserve">hacia </w:t>
      </w:r>
      <w:r w:rsidRPr="00E82834">
        <w:rPr>
          <w:lang w:val="es-PE"/>
        </w:rPr>
        <w:t>el pod</w:t>
      </w:r>
      <w:r>
        <w:rPr>
          <w:lang w:val="es-PE"/>
        </w:rPr>
        <w:t>er</w:t>
      </w:r>
      <w:r w:rsidRPr="00E82834">
        <w:rPr>
          <w:lang w:val="es-PE"/>
        </w:rPr>
        <w:t xml:space="preserve"> (</w:t>
      </w:r>
      <w:proofErr w:type="spellStart"/>
      <w:r w:rsidRPr="00E82834">
        <w:rPr>
          <w:i/>
          <w:iCs/>
          <w:lang w:val="es-PE"/>
        </w:rPr>
        <w:t>iddhi</w:t>
      </w:r>
      <w:proofErr w:type="spellEnd"/>
      <w:r w:rsidRPr="00E82834">
        <w:rPr>
          <w:i/>
          <w:iCs/>
          <w:lang w:val="es-PE"/>
        </w:rPr>
        <w:t>–</w:t>
      </w:r>
      <w:proofErr w:type="spellStart"/>
      <w:r w:rsidRPr="00E82834">
        <w:rPr>
          <w:i/>
          <w:iCs/>
          <w:lang w:val="es-PE"/>
        </w:rPr>
        <w:t>pāda</w:t>
      </w:r>
      <w:proofErr w:type="spellEnd"/>
      <w:r w:rsidRPr="00E82834">
        <w:rPr>
          <w:lang w:val="es-PE"/>
        </w:rPr>
        <w:t xml:space="preserve">) XII.50; XVI.86; XXII.33, 36, 39, 42 </w:t>
      </w:r>
    </w:p>
    <w:p w14:paraId="086DD2A6" w14:textId="77777777" w:rsidR="00597DE2" w:rsidRPr="00C75FD8" w:rsidRDefault="00597DE2" w:rsidP="00597DE2">
      <w:pPr>
        <w:pStyle w:val="ParrafoApendice"/>
        <w:rPr>
          <w:lang w:val="es-PE"/>
        </w:rPr>
      </w:pPr>
      <w:r w:rsidRPr="00C75FD8">
        <w:rPr>
          <w:lang w:val="es-PE"/>
        </w:rPr>
        <w:t>sendero incorrecto (</w:t>
      </w:r>
      <w:proofErr w:type="spellStart"/>
      <w:r w:rsidRPr="00C75FD8">
        <w:rPr>
          <w:i/>
          <w:iCs/>
          <w:lang w:val="es-PE"/>
        </w:rPr>
        <w:t>micchā</w:t>
      </w:r>
      <w:proofErr w:type="spellEnd"/>
      <w:r w:rsidRPr="00C75FD8">
        <w:rPr>
          <w:i/>
          <w:iCs/>
          <w:lang w:val="es-PE"/>
        </w:rPr>
        <w:t>–</w:t>
      </w:r>
      <w:proofErr w:type="spellStart"/>
      <w:r w:rsidRPr="00C75FD8">
        <w:rPr>
          <w:i/>
          <w:iCs/>
          <w:lang w:val="es-PE"/>
        </w:rPr>
        <w:t>magga</w:t>
      </w:r>
      <w:proofErr w:type="spellEnd"/>
      <w:r w:rsidRPr="00C75FD8">
        <w:rPr>
          <w:lang w:val="es-PE"/>
        </w:rPr>
        <w:t xml:space="preserve">) XXII.14; </w:t>
      </w:r>
      <w:r w:rsidRPr="00C75FD8">
        <w:rPr>
          <w:i/>
          <w:iCs/>
          <w:lang w:val="es-PE"/>
        </w:rPr>
        <w:t>lenguaje incorrecto</w:t>
      </w:r>
      <w:r w:rsidRPr="00C75FD8">
        <w:rPr>
          <w:lang w:val="es-PE"/>
        </w:rPr>
        <w:t xml:space="preserve"> (</w:t>
      </w:r>
      <w:proofErr w:type="spellStart"/>
      <w:r w:rsidRPr="00C75FD8">
        <w:rPr>
          <w:i/>
          <w:iCs/>
          <w:lang w:val="es-PE"/>
        </w:rPr>
        <w:t>micchā</w:t>
      </w:r>
      <w:proofErr w:type="spellEnd"/>
      <w:r w:rsidRPr="00C75FD8">
        <w:rPr>
          <w:i/>
          <w:iCs/>
          <w:lang w:val="es-PE"/>
        </w:rPr>
        <w:t>–vācā</w:t>
      </w:r>
      <w:r w:rsidRPr="00C75FD8">
        <w:rPr>
          <w:lang w:val="es-PE"/>
        </w:rPr>
        <w:t xml:space="preserve">) XXII.50; </w:t>
      </w:r>
      <w:r w:rsidRPr="00B81AD1">
        <w:rPr>
          <w:i/>
          <w:iCs/>
          <w:lang w:val="es-PE"/>
        </w:rPr>
        <w:t>visión incorrecta</w:t>
      </w:r>
      <w:r w:rsidRPr="00C75FD8">
        <w:rPr>
          <w:lang w:val="es-PE"/>
        </w:rPr>
        <w:t xml:space="preserve"> (</w:t>
      </w:r>
      <w:proofErr w:type="spellStart"/>
      <w:r w:rsidRPr="00B81AD1">
        <w:rPr>
          <w:i/>
          <w:iCs/>
          <w:lang w:val="es-PE"/>
        </w:rPr>
        <w:t>micchā</w:t>
      </w:r>
      <w:proofErr w:type="spellEnd"/>
      <w:r w:rsidRPr="00B81AD1">
        <w:rPr>
          <w:i/>
          <w:iCs/>
          <w:lang w:val="es-PE"/>
        </w:rPr>
        <w:t>–diṭṭhi</w:t>
      </w:r>
      <w:r w:rsidRPr="00C75FD8">
        <w:rPr>
          <w:lang w:val="es-PE"/>
        </w:rPr>
        <w:t>) I.140; V.41; XIV.159, 164; XVII.9, 243; XXII.45, 50, 56, 58, 66</w:t>
      </w:r>
    </w:p>
    <w:p w14:paraId="7836F109" w14:textId="77777777" w:rsidR="00597DE2" w:rsidRPr="005B6D62" w:rsidRDefault="00597DE2" w:rsidP="00597DE2">
      <w:pPr>
        <w:pStyle w:val="ParrafoApendice"/>
        <w:rPr>
          <w:lang w:val="es-PE"/>
        </w:rPr>
      </w:pPr>
      <w:r w:rsidRPr="005B6D62">
        <w:rPr>
          <w:lang w:val="es-PE"/>
        </w:rPr>
        <w:t>sensación (</w:t>
      </w:r>
      <w:proofErr w:type="spellStart"/>
      <w:r w:rsidRPr="005B6D62">
        <w:rPr>
          <w:i/>
          <w:iCs/>
          <w:lang w:val="es-PE"/>
        </w:rPr>
        <w:t>vedanā</w:t>
      </w:r>
      <w:proofErr w:type="spellEnd"/>
      <w:r w:rsidRPr="005B6D62">
        <w:rPr>
          <w:lang w:val="es-PE"/>
        </w:rPr>
        <w:t>) IV.182, 193; VII.14, 28, 38, n.13; VIII.230; IX.111; X.50; XIV.125s., 134, 144, 197s.; XV.14; XVI.35; XVII.2, 9, 32, 51, 163, 228s., 294; XVIII.8, 13</w:t>
      </w:r>
      <w:r w:rsidRPr="005B6D62">
        <w:rPr>
          <w:color w:val="833C0B" w:themeColor="accent2" w:themeShade="80"/>
          <w:u w:color="000000"/>
          <w:vertAlign w:val="superscript"/>
          <w:lang w:val="es-PE"/>
        </w:rPr>
        <w:t xml:space="preserve">, </w:t>
      </w:r>
      <w:r w:rsidRPr="005B6D62">
        <w:rPr>
          <w:strike/>
          <w:color w:val="833C0B" w:themeColor="accent2" w:themeShade="80"/>
          <w:u w:color="000000"/>
          <w:lang w:val="es-PE"/>
        </w:rPr>
        <w:t>91f</w:t>
      </w:r>
      <w:r w:rsidRPr="005B6D62">
        <w:rPr>
          <w:lang w:val="es-PE"/>
        </w:rPr>
        <w:t xml:space="preserve">.; XIX.13; XX.7, 9, 94; XXI.11, 56; XXII.22, 34, 126; XXIII.13, 22, 24 </w:t>
      </w:r>
    </w:p>
    <w:p w14:paraId="6EC9D217" w14:textId="77777777" w:rsidR="00597DE2" w:rsidRPr="003853B8" w:rsidRDefault="00597DE2" w:rsidP="00597DE2">
      <w:pPr>
        <w:pStyle w:val="ParrafoApendice"/>
        <w:rPr>
          <w:lang w:val="es-PE"/>
        </w:rPr>
      </w:pPr>
      <w:r w:rsidRPr="003853B8">
        <w:rPr>
          <w:lang w:val="es-PE"/>
        </w:rPr>
        <w:t>sensibilidad, sensitiv</w:t>
      </w:r>
      <w:r>
        <w:rPr>
          <w:lang w:val="es-PE"/>
        </w:rPr>
        <w:t>o/a</w:t>
      </w:r>
      <w:r w:rsidRPr="003853B8">
        <w:rPr>
          <w:lang w:val="es-PE"/>
        </w:rPr>
        <w:t xml:space="preserve"> (</w:t>
      </w:r>
      <w:proofErr w:type="spellStart"/>
      <w:r w:rsidRPr="003853B8">
        <w:rPr>
          <w:i/>
          <w:iCs/>
          <w:lang w:val="es-PE"/>
        </w:rPr>
        <w:t>pasāda</w:t>
      </w:r>
      <w:proofErr w:type="spellEnd"/>
      <w:r w:rsidRPr="003853B8">
        <w:rPr>
          <w:lang w:val="es-PE"/>
        </w:rPr>
        <w:t>) I.53, 57; XIII.2; XIV.37</w:t>
      </w:r>
      <w:r>
        <w:rPr>
          <w:lang w:val="es-PE"/>
        </w:rPr>
        <w:t>s</w:t>
      </w:r>
      <w:r w:rsidRPr="003853B8">
        <w:rPr>
          <w:lang w:val="es-PE"/>
        </w:rPr>
        <w:t xml:space="preserve">., 72, 78, 115; XV.34; XVII.294; XVIII.5, 9; XIX.13; XX.14 </w:t>
      </w:r>
    </w:p>
    <w:p w14:paraId="4F8DA4E1" w14:textId="77777777" w:rsidR="00597DE2" w:rsidRPr="00A50247" w:rsidRDefault="00597DE2" w:rsidP="00597DE2">
      <w:pPr>
        <w:pStyle w:val="ParrafoApendice"/>
        <w:rPr>
          <w:lang w:val="es-PE"/>
        </w:rPr>
      </w:pPr>
      <w:r>
        <w:rPr>
          <w:lang w:val="es-PE"/>
        </w:rPr>
        <w:t>sentado</w:t>
      </w:r>
      <w:r w:rsidRPr="00A50247">
        <w:rPr>
          <w:lang w:val="es-PE"/>
        </w:rPr>
        <w:t xml:space="preserve"> (</w:t>
      </w:r>
      <w:proofErr w:type="spellStart"/>
      <w:r w:rsidRPr="009C20F7">
        <w:rPr>
          <w:i/>
          <w:iCs/>
          <w:lang w:val="es-PE"/>
        </w:rPr>
        <w:t>nesajjika</w:t>
      </w:r>
      <w:proofErr w:type="spellEnd"/>
      <w:r w:rsidRPr="00A50247">
        <w:rPr>
          <w:lang w:val="es-PE"/>
        </w:rPr>
        <w:t>) II.2, 73</w:t>
      </w:r>
    </w:p>
    <w:p w14:paraId="07FB3491" w14:textId="77777777" w:rsidR="00597DE2" w:rsidRPr="00111B04" w:rsidRDefault="00597DE2" w:rsidP="00597DE2">
      <w:pPr>
        <w:pStyle w:val="ParrafoApendice"/>
        <w:rPr>
          <w:lang w:val="es-PE"/>
        </w:rPr>
      </w:pPr>
      <w:r w:rsidRPr="00111B04">
        <w:rPr>
          <w:lang w:val="es-PE"/>
        </w:rPr>
        <w:t>sentido (</w:t>
      </w:r>
      <w:r w:rsidRPr="00111B04">
        <w:rPr>
          <w:i/>
          <w:iCs/>
          <w:lang w:val="es-PE"/>
        </w:rPr>
        <w:t>muta</w:t>
      </w:r>
      <w:r w:rsidRPr="00111B04">
        <w:rPr>
          <w:lang w:val="es-PE"/>
        </w:rPr>
        <w:t xml:space="preserve">) XIV.76 </w:t>
      </w:r>
    </w:p>
    <w:p w14:paraId="4B1C5692" w14:textId="77777777" w:rsidR="00597DE2" w:rsidRPr="00AD09E2" w:rsidRDefault="00597DE2" w:rsidP="00597DE2">
      <w:pPr>
        <w:pStyle w:val="ParrafoApendice"/>
        <w:rPr>
          <w:lang w:val="es-PE"/>
        </w:rPr>
      </w:pPr>
      <w:r w:rsidRPr="00AD09E2">
        <w:rPr>
          <w:lang w:val="es-PE"/>
        </w:rPr>
        <w:t>sentido de urgencia (</w:t>
      </w:r>
      <w:proofErr w:type="spellStart"/>
      <w:r w:rsidRPr="000A6F0B">
        <w:rPr>
          <w:i/>
          <w:iCs/>
          <w:lang w:val="es-PE"/>
        </w:rPr>
        <w:t>sa</w:t>
      </w:r>
      <w:r>
        <w:rPr>
          <w:i/>
          <w:iCs/>
          <w:lang w:val="es-PE"/>
        </w:rPr>
        <w:t>ṃ</w:t>
      </w:r>
      <w:r w:rsidRPr="000A6F0B">
        <w:rPr>
          <w:i/>
          <w:iCs/>
          <w:lang w:val="es-PE"/>
        </w:rPr>
        <w:t>vega</w:t>
      </w:r>
      <w:proofErr w:type="spellEnd"/>
      <w:r w:rsidRPr="00AD09E2">
        <w:rPr>
          <w:lang w:val="es-PE"/>
        </w:rPr>
        <w:t xml:space="preserve">) III.95; IV.63; XIII.35 </w:t>
      </w:r>
    </w:p>
    <w:p w14:paraId="19320C36" w14:textId="77777777" w:rsidR="00597DE2" w:rsidRPr="005B6D62" w:rsidRDefault="00597DE2" w:rsidP="00597DE2">
      <w:pPr>
        <w:pStyle w:val="ParrafoApendice"/>
        <w:rPr>
          <w:lang w:val="es-PE"/>
        </w:rPr>
      </w:pPr>
      <w:r>
        <w:rPr>
          <w:lang w:val="es-PE"/>
        </w:rPr>
        <w:t>sentido último</w:t>
      </w:r>
      <w:r w:rsidRPr="005B6D62">
        <w:rPr>
          <w:lang w:val="es-PE"/>
        </w:rPr>
        <w:t xml:space="preserve"> (</w:t>
      </w:r>
      <w:proofErr w:type="spellStart"/>
      <w:r w:rsidRPr="00166EC6">
        <w:rPr>
          <w:i/>
          <w:iCs/>
          <w:lang w:val="es-PE"/>
        </w:rPr>
        <w:t>paramattha</w:t>
      </w:r>
      <w:proofErr w:type="spellEnd"/>
      <w:r w:rsidRPr="005B6D62">
        <w:rPr>
          <w:lang w:val="es-PE"/>
        </w:rPr>
        <w:t xml:space="preserve">) I.n.14; II.n.18; VIII.39; XVI.n.18; </w:t>
      </w:r>
      <w:r w:rsidRPr="00241C2E">
        <w:rPr>
          <w:strike/>
          <w:color w:val="833C0B" w:themeColor="accent2" w:themeShade="80"/>
          <w:lang w:val="es-PE"/>
        </w:rPr>
        <w:t>XX.72, n.20</w:t>
      </w:r>
    </w:p>
    <w:p w14:paraId="300B400C" w14:textId="77777777" w:rsidR="00597DE2" w:rsidRPr="005B6D62" w:rsidRDefault="00597DE2" w:rsidP="00597DE2">
      <w:pPr>
        <w:pStyle w:val="ParrafoApendice"/>
        <w:rPr>
          <w:lang w:val="es-PE"/>
        </w:rPr>
      </w:pPr>
      <w:r w:rsidRPr="005B6D62">
        <w:rPr>
          <w:lang w:val="es-PE"/>
        </w:rPr>
        <w:t>Señor Supremo (</w:t>
      </w:r>
      <w:proofErr w:type="spellStart"/>
      <w:r w:rsidRPr="005B6D62">
        <w:rPr>
          <w:i/>
          <w:iCs/>
          <w:lang w:val="es-PE"/>
        </w:rPr>
        <w:t>issara</w:t>
      </w:r>
      <w:proofErr w:type="spellEnd"/>
      <w:r w:rsidRPr="005B6D62">
        <w:rPr>
          <w:lang w:val="es-PE"/>
        </w:rPr>
        <w:t>) XVI.30, 85, n.23; XVII.50, 117; XIX.3; XXI.48, 57, n.3; XXII.119</w:t>
      </w:r>
    </w:p>
    <w:p w14:paraId="3AA4CA53" w14:textId="77777777" w:rsidR="00597DE2" w:rsidRPr="005B6D62" w:rsidRDefault="00597DE2" w:rsidP="00597DE2">
      <w:pPr>
        <w:pStyle w:val="ParrafoApendice"/>
        <w:rPr>
          <w:lang w:val="es-PE"/>
        </w:rPr>
      </w:pPr>
      <w:r w:rsidRPr="005B6D62">
        <w:rPr>
          <w:lang w:val="es-PE"/>
        </w:rPr>
        <w:t>señorío (</w:t>
      </w:r>
      <w:proofErr w:type="spellStart"/>
      <w:r w:rsidRPr="005B6D62">
        <w:rPr>
          <w:i/>
          <w:iCs/>
          <w:lang w:val="es-PE"/>
        </w:rPr>
        <w:t>issariya</w:t>
      </w:r>
      <w:proofErr w:type="spellEnd"/>
      <w:r w:rsidRPr="005B6D62">
        <w:rPr>
          <w:lang w:val="es-PE"/>
        </w:rPr>
        <w:t xml:space="preserve">) VII.61 </w:t>
      </w:r>
    </w:p>
    <w:p w14:paraId="5EF2B44F" w14:textId="77777777" w:rsidR="00597DE2" w:rsidRPr="005B6D62" w:rsidRDefault="00597DE2" w:rsidP="00597DE2">
      <w:pPr>
        <w:pStyle w:val="ParrafoApendice"/>
        <w:rPr>
          <w:lang w:val="es-PE"/>
        </w:rPr>
      </w:pPr>
      <w:r w:rsidRPr="005B6D62">
        <w:rPr>
          <w:lang w:val="es-PE"/>
        </w:rPr>
        <w:t xml:space="preserve">séquito de </w:t>
      </w:r>
      <w:r w:rsidRPr="005B6D62">
        <w:rPr>
          <w:i/>
          <w:iCs/>
          <w:lang w:val="es-PE"/>
        </w:rPr>
        <w:t>Brahmā</w:t>
      </w:r>
      <w:r w:rsidRPr="005B6D62">
        <w:rPr>
          <w:lang w:val="es-PE"/>
        </w:rPr>
        <w:t xml:space="preserve"> (</w:t>
      </w:r>
      <w:proofErr w:type="spellStart"/>
      <w:r w:rsidRPr="005B6D62">
        <w:rPr>
          <w:i/>
          <w:iCs/>
          <w:lang w:val="es-PE"/>
        </w:rPr>
        <w:t>brahmakāyika</w:t>
      </w:r>
      <w:proofErr w:type="spellEnd"/>
      <w:r w:rsidRPr="005B6D62">
        <w:rPr>
          <w:lang w:val="es-PE"/>
        </w:rPr>
        <w:t>) Deidades XVII.190</w:t>
      </w:r>
    </w:p>
    <w:p w14:paraId="1FFC1298" w14:textId="77777777" w:rsidR="00597DE2" w:rsidRPr="005B6D62" w:rsidRDefault="00597DE2" w:rsidP="00597DE2">
      <w:pPr>
        <w:pStyle w:val="ParrafoApendice"/>
        <w:rPr>
          <w:lang w:val="es-PE"/>
        </w:rPr>
      </w:pPr>
      <w:r w:rsidRPr="005B6D62">
        <w:rPr>
          <w:lang w:val="es-PE"/>
        </w:rPr>
        <w:t>ser (</w:t>
      </w:r>
      <w:proofErr w:type="spellStart"/>
      <w:r w:rsidRPr="005B6D62">
        <w:rPr>
          <w:i/>
          <w:iCs/>
          <w:lang w:val="es-PE"/>
        </w:rPr>
        <w:t>bhava</w:t>
      </w:r>
      <w:proofErr w:type="spellEnd"/>
      <w:r w:rsidRPr="005B6D62">
        <w:rPr>
          <w:lang w:val="es-PE"/>
        </w:rPr>
        <w:t>) XVII.n.48, ver devenir</w:t>
      </w:r>
    </w:p>
    <w:p w14:paraId="2462072B" w14:textId="77777777" w:rsidR="00597DE2" w:rsidRPr="005B6D62" w:rsidRDefault="00597DE2" w:rsidP="00597DE2">
      <w:pPr>
        <w:pStyle w:val="ParrafoApendice"/>
        <w:rPr>
          <w:lang w:val="es-PE"/>
        </w:rPr>
      </w:pPr>
      <w:r w:rsidRPr="005B6D62">
        <w:rPr>
          <w:lang w:val="es-PE"/>
        </w:rPr>
        <w:t>ser omnipotente (</w:t>
      </w:r>
      <w:proofErr w:type="spellStart"/>
      <w:r w:rsidRPr="005B6D62">
        <w:rPr>
          <w:i/>
          <w:iCs/>
          <w:lang w:val="es-PE"/>
        </w:rPr>
        <w:t>vasavatti</w:t>
      </w:r>
      <w:proofErr w:type="spellEnd"/>
      <w:r w:rsidRPr="005B6D62">
        <w:rPr>
          <w:lang w:val="es-PE"/>
        </w:rPr>
        <w:t>), ver poder, portador</w:t>
      </w:r>
    </w:p>
    <w:p w14:paraId="5FB9CE11" w14:textId="77777777" w:rsidR="00597DE2" w:rsidRPr="005B6D62" w:rsidRDefault="00597DE2" w:rsidP="00597DE2">
      <w:pPr>
        <w:pStyle w:val="ParrafoApendice"/>
        <w:rPr>
          <w:lang w:val="es-PE"/>
        </w:rPr>
      </w:pPr>
      <w:r w:rsidRPr="005B6D62">
        <w:rPr>
          <w:lang w:val="es-PE"/>
        </w:rPr>
        <w:t>ser vivo (</w:t>
      </w:r>
      <w:proofErr w:type="spellStart"/>
      <w:r w:rsidRPr="005B6D62">
        <w:rPr>
          <w:i/>
          <w:iCs/>
          <w:lang w:val="es-PE"/>
        </w:rPr>
        <w:t>satta</w:t>
      </w:r>
      <w:proofErr w:type="spellEnd"/>
      <w:r w:rsidRPr="005B6D62">
        <w:rPr>
          <w:lang w:val="es-PE"/>
        </w:rPr>
        <w:t xml:space="preserve">), ver </w:t>
      </w:r>
      <w:r w:rsidRPr="005B6D62">
        <w:rPr>
          <w:i/>
          <w:iCs/>
          <w:lang w:val="es-PE"/>
        </w:rPr>
        <w:t>ser</w:t>
      </w:r>
    </w:p>
    <w:p w14:paraId="76234D05" w14:textId="77777777" w:rsidR="00597DE2" w:rsidRPr="005B6D62" w:rsidRDefault="00597DE2" w:rsidP="00597DE2">
      <w:pPr>
        <w:pStyle w:val="ParrafoApendice"/>
        <w:rPr>
          <w:u w:color="000000"/>
          <w:lang w:val="es-PE"/>
        </w:rPr>
      </w:pPr>
      <w:r w:rsidRPr="005B6D62">
        <w:rPr>
          <w:u w:color="000000"/>
          <w:lang w:val="es-PE"/>
        </w:rPr>
        <w:t>ser, un ser vivo (</w:t>
      </w:r>
      <w:proofErr w:type="spellStart"/>
      <w:r w:rsidRPr="005B6D62">
        <w:rPr>
          <w:i/>
          <w:iCs/>
          <w:u w:color="000000"/>
          <w:lang w:val="es-PE"/>
        </w:rPr>
        <w:t>satta</w:t>
      </w:r>
      <w:proofErr w:type="spellEnd"/>
      <w:r w:rsidRPr="005B6D62">
        <w:rPr>
          <w:u w:color="000000"/>
          <w:lang w:val="es-PE"/>
        </w:rPr>
        <w:t>) III.113; IV.62; VII.37s., n.1, n.13; VIII.10, 39, 140; IX.53, 102, 120; XI.30, 117; XIII.44f., 74s., n.17; XIV.111;</w:t>
      </w:r>
      <w:r w:rsidRPr="005B6D62">
        <w:rPr>
          <w:color w:val="833C0B" w:themeColor="accent2" w:themeShade="80"/>
          <w:u w:color="000000"/>
          <w:lang w:val="es-PE"/>
        </w:rPr>
        <w:t xml:space="preserve"> </w:t>
      </w:r>
      <w:r w:rsidRPr="005B6D62">
        <w:rPr>
          <w:u w:color="000000"/>
          <w:lang w:val="es-PE"/>
        </w:rPr>
        <w:t>XVI.54;</w:t>
      </w:r>
      <w:r w:rsidRPr="005B6D62">
        <w:rPr>
          <w:color w:val="833C0B" w:themeColor="accent2" w:themeShade="80"/>
          <w:u w:color="000000"/>
          <w:lang w:val="es-PE"/>
        </w:rPr>
        <w:t xml:space="preserve"> </w:t>
      </w:r>
      <w:r w:rsidRPr="005B6D62">
        <w:rPr>
          <w:u w:color="000000"/>
          <w:lang w:val="es-PE"/>
        </w:rPr>
        <w:t>XVII.113s.,</w:t>
      </w:r>
      <w:r w:rsidRPr="005B6D62">
        <w:rPr>
          <w:color w:val="833C0B" w:themeColor="accent2" w:themeShade="80"/>
          <w:u w:color="000000"/>
          <w:lang w:val="es-PE"/>
        </w:rPr>
        <w:t xml:space="preserve"> </w:t>
      </w:r>
      <w:r>
        <w:rPr>
          <w:color w:val="833C0B" w:themeColor="accent2" w:themeShade="80"/>
          <w:u w:color="000000"/>
          <w:lang w:val="es-PE"/>
        </w:rPr>
        <w:br w:type="column"/>
      </w:r>
      <w:r>
        <w:rPr>
          <w:color w:val="833C0B" w:themeColor="accent2" w:themeShade="80"/>
          <w:u w:color="000000"/>
          <w:lang w:val="es-PE"/>
        </w:rPr>
        <w:br/>
      </w:r>
      <w:r w:rsidRPr="005B6D62">
        <w:rPr>
          <w:u w:color="000000"/>
          <w:lang w:val="es-PE"/>
        </w:rPr>
        <w:t>162;</w:t>
      </w:r>
      <w:r w:rsidRPr="005B6D62">
        <w:rPr>
          <w:color w:val="833C0B" w:themeColor="accent2" w:themeShade="80"/>
          <w:u w:color="000000"/>
          <w:lang w:val="es-PE"/>
        </w:rPr>
        <w:t xml:space="preserve"> </w:t>
      </w:r>
      <w:r w:rsidRPr="005B6D62">
        <w:rPr>
          <w:u w:color="000000"/>
          <w:lang w:val="es-PE"/>
        </w:rPr>
        <w:t>XVIII.24, 28; XIX.19;</w:t>
      </w:r>
      <w:r w:rsidRPr="005B6D62">
        <w:rPr>
          <w:color w:val="833C0B" w:themeColor="accent2" w:themeShade="80"/>
          <w:u w:color="000000"/>
          <w:lang w:val="es-PE"/>
        </w:rPr>
        <w:t xml:space="preserve"> </w:t>
      </w:r>
      <w:r w:rsidRPr="005B6D62">
        <w:rPr>
          <w:u w:color="000000"/>
          <w:lang w:val="es-PE"/>
        </w:rPr>
        <w:t>XX.82;</w:t>
      </w:r>
      <w:r w:rsidRPr="005B6D62">
        <w:rPr>
          <w:color w:val="833C0B" w:themeColor="accent2" w:themeShade="80"/>
          <w:u w:color="000000"/>
          <w:lang w:val="es-PE"/>
        </w:rPr>
        <w:t xml:space="preserve"> </w:t>
      </w:r>
      <w:r w:rsidRPr="005B6D62">
        <w:rPr>
          <w:u w:color="000000"/>
          <w:lang w:val="es-PE"/>
        </w:rPr>
        <w:t>XXI.58;</w:t>
      </w:r>
      <w:r w:rsidRPr="005B6D62">
        <w:rPr>
          <w:color w:val="833C0B" w:themeColor="accent2" w:themeShade="80"/>
          <w:u w:color="000000"/>
          <w:lang w:val="es-PE"/>
        </w:rPr>
        <w:t xml:space="preserve"> </w:t>
      </w:r>
      <w:r w:rsidRPr="005B6D62">
        <w:rPr>
          <w:u w:color="000000"/>
          <w:lang w:val="es-PE"/>
        </w:rPr>
        <w:t>XXII.48</w:t>
      </w:r>
    </w:p>
    <w:p w14:paraId="434EB9C5" w14:textId="77777777" w:rsidR="00597DE2" w:rsidRPr="00AE6988" w:rsidRDefault="00597DE2" w:rsidP="00597DE2">
      <w:pPr>
        <w:pStyle w:val="ParrafoApendice"/>
        <w:rPr>
          <w:lang w:val="es-PE"/>
        </w:rPr>
      </w:pPr>
      <w:r w:rsidRPr="00AE6988">
        <w:rPr>
          <w:lang w:val="es-PE"/>
        </w:rPr>
        <w:t>sereni</w:t>
      </w:r>
      <w:r>
        <w:rPr>
          <w:lang w:val="es-PE"/>
        </w:rPr>
        <w:t>dad</w:t>
      </w:r>
      <w:r w:rsidRPr="00AE6988">
        <w:rPr>
          <w:lang w:val="es-PE"/>
        </w:rPr>
        <w:t xml:space="preserve"> (</w:t>
      </w:r>
      <w:proofErr w:type="spellStart"/>
      <w:r w:rsidRPr="00AE6988">
        <w:rPr>
          <w:i/>
          <w:iCs/>
          <w:lang w:val="es-PE"/>
        </w:rPr>
        <w:t>samatha</w:t>
      </w:r>
      <w:proofErr w:type="spellEnd"/>
      <w:r w:rsidRPr="00AE6988">
        <w:rPr>
          <w:lang w:val="es-PE"/>
        </w:rPr>
        <w:t>) I.8; III.17, n.7; IV.64, 111; VIII.60, 179, 237; IX.104; XVIII.3, 5, 8, n.2; XX.110, n.33; XXII.46, 89; XXIII.20</w:t>
      </w:r>
      <w:r>
        <w:rPr>
          <w:lang w:val="es-PE"/>
        </w:rPr>
        <w:t>s</w:t>
      </w:r>
      <w:r w:rsidRPr="00AE6988">
        <w:rPr>
          <w:lang w:val="es-PE"/>
        </w:rPr>
        <w:t>., 43</w:t>
      </w:r>
    </w:p>
    <w:p w14:paraId="3E398545" w14:textId="77777777" w:rsidR="00597DE2" w:rsidRPr="008616DC" w:rsidRDefault="00597DE2" w:rsidP="00597DE2">
      <w:pPr>
        <w:pStyle w:val="ParrafoApendice"/>
        <w:rPr>
          <w:lang w:val="es-PE"/>
        </w:rPr>
      </w:pPr>
      <w:r w:rsidRPr="008616DC">
        <w:rPr>
          <w:lang w:val="es-PE"/>
        </w:rPr>
        <w:t>seres inco</w:t>
      </w:r>
      <w:r>
        <w:rPr>
          <w:lang w:val="es-PE"/>
        </w:rPr>
        <w:t>n</w:t>
      </w:r>
      <w:r w:rsidRPr="008616DC">
        <w:rPr>
          <w:lang w:val="es-PE"/>
        </w:rPr>
        <w:t>scientes (</w:t>
      </w:r>
      <w:proofErr w:type="spellStart"/>
      <w:r w:rsidRPr="00651B97">
        <w:rPr>
          <w:i/>
          <w:iCs/>
          <w:lang w:val="es-PE"/>
        </w:rPr>
        <w:t>asañña</w:t>
      </w:r>
      <w:proofErr w:type="spellEnd"/>
      <w:r w:rsidRPr="00651B97">
        <w:rPr>
          <w:i/>
          <w:iCs/>
          <w:lang w:val="es-PE"/>
        </w:rPr>
        <w:t>–</w:t>
      </w:r>
      <w:proofErr w:type="spellStart"/>
      <w:r w:rsidRPr="00651B97">
        <w:rPr>
          <w:i/>
          <w:iCs/>
          <w:lang w:val="es-PE"/>
        </w:rPr>
        <w:t>satta</w:t>
      </w:r>
      <w:proofErr w:type="spellEnd"/>
      <w:r w:rsidRPr="008616DC">
        <w:rPr>
          <w:lang w:val="es-PE"/>
        </w:rPr>
        <w:t>) VIII.</w:t>
      </w:r>
      <w:r w:rsidRPr="00F9685F">
        <w:rPr>
          <w:color w:val="833C0B" w:themeColor="accent2" w:themeShade="80"/>
          <w:lang w:val="es-PE"/>
        </w:rPr>
        <w:t>n.58</w:t>
      </w:r>
      <w:r w:rsidRPr="008616DC">
        <w:rPr>
          <w:lang w:val="es-PE"/>
        </w:rPr>
        <w:t xml:space="preserve">; XVII.134 </w:t>
      </w:r>
    </w:p>
    <w:p w14:paraId="3FBA8594" w14:textId="77777777" w:rsidR="00597DE2" w:rsidRPr="005B6D62" w:rsidRDefault="00597DE2" w:rsidP="00597DE2">
      <w:pPr>
        <w:pStyle w:val="ParrafoApendice"/>
        <w:rPr>
          <w:lang w:val="es-PE"/>
        </w:rPr>
      </w:pPr>
      <w:r w:rsidRPr="005B6D62">
        <w:rPr>
          <w:lang w:val="es-PE"/>
        </w:rPr>
        <w:t>serie cognitiva (</w:t>
      </w:r>
      <w:proofErr w:type="spellStart"/>
      <w:r w:rsidRPr="005B6D62">
        <w:rPr>
          <w:i/>
          <w:iCs/>
          <w:lang w:val="es-PE"/>
        </w:rPr>
        <w:t>citta</w:t>
      </w:r>
      <w:proofErr w:type="spellEnd"/>
      <w:r w:rsidRPr="005B6D62">
        <w:rPr>
          <w:lang w:val="es-PE"/>
        </w:rPr>
        <w:t>–</w:t>
      </w:r>
      <w:proofErr w:type="spellStart"/>
      <w:r w:rsidRPr="005B6D62">
        <w:rPr>
          <w:i/>
          <w:iCs/>
          <w:lang w:val="es-PE"/>
        </w:rPr>
        <w:t>vīthi</w:t>
      </w:r>
      <w:proofErr w:type="spellEnd"/>
      <w:r w:rsidRPr="005B6D62">
        <w:rPr>
          <w:lang w:val="es-PE"/>
        </w:rPr>
        <w:t xml:space="preserve">) </w:t>
      </w:r>
      <w:r w:rsidRPr="005B6D62">
        <w:rPr>
          <w:color w:val="833C0B" w:themeColor="accent2" w:themeShade="80"/>
          <w:u w:color="000000"/>
          <w:lang w:val="es-PE"/>
        </w:rPr>
        <w:t>I.58s</w:t>
      </w:r>
      <w:r w:rsidRPr="005B6D62">
        <w:rPr>
          <w:lang w:val="es-PE"/>
        </w:rPr>
        <w:t>, n.16; IV.n.13;</w:t>
      </w:r>
      <w:r w:rsidRPr="005B6D62">
        <w:rPr>
          <w:color w:val="833C0B" w:themeColor="accent2" w:themeShade="80"/>
          <w:u w:color="000000"/>
          <w:lang w:val="es-PE"/>
        </w:rPr>
        <w:t xml:space="preserve"> 74s; </w:t>
      </w:r>
      <w:r w:rsidRPr="005B6D62">
        <w:rPr>
          <w:lang w:val="es-PE"/>
        </w:rPr>
        <w:t xml:space="preserve">XIII.117; XIV. </w:t>
      </w:r>
      <w:r w:rsidRPr="005B6D62">
        <w:rPr>
          <w:color w:val="833C0B" w:themeColor="accent2" w:themeShade="80"/>
          <w:u w:color="000000"/>
          <w:lang w:val="es-PE"/>
        </w:rPr>
        <w:t xml:space="preserve">47s, </w:t>
      </w:r>
      <w:r w:rsidRPr="005B6D62">
        <w:rPr>
          <w:lang w:val="es-PE"/>
        </w:rPr>
        <w:t xml:space="preserve">103, 152, 188, 197, n.47; XV.10; XVII. </w:t>
      </w:r>
      <w:r w:rsidRPr="005B6D62">
        <w:rPr>
          <w:color w:val="833C0B" w:themeColor="accent2" w:themeShade="80"/>
          <w:u w:color="000000"/>
          <w:lang w:val="es-PE"/>
        </w:rPr>
        <w:t xml:space="preserve">4, </w:t>
      </w:r>
      <w:r w:rsidRPr="005B6D62">
        <w:rPr>
          <w:lang w:val="es-PE"/>
        </w:rPr>
        <w:t xml:space="preserve">136s.; XIX.14; XXII.6, 16; XXIII.3, 14 </w:t>
      </w:r>
    </w:p>
    <w:p w14:paraId="71A34C9D" w14:textId="77777777" w:rsidR="00597DE2" w:rsidRPr="00D006D3" w:rsidRDefault="00597DE2" w:rsidP="00597DE2">
      <w:pPr>
        <w:pStyle w:val="ParrafoApendice"/>
        <w:rPr>
          <w:lang w:val="es-PE"/>
        </w:rPr>
      </w:pPr>
      <w:r w:rsidRPr="00D006D3">
        <w:rPr>
          <w:lang w:val="es-PE"/>
        </w:rPr>
        <w:t>sexo (</w:t>
      </w:r>
      <w:proofErr w:type="spellStart"/>
      <w:r w:rsidRPr="00D006D3">
        <w:rPr>
          <w:i/>
          <w:iCs/>
          <w:lang w:val="es-PE"/>
        </w:rPr>
        <w:t>bhāva</w:t>
      </w:r>
      <w:proofErr w:type="spellEnd"/>
      <w:r w:rsidRPr="00D006D3">
        <w:rPr>
          <w:lang w:val="es-PE"/>
        </w:rPr>
        <w:t xml:space="preserve">) XI.88; XIV.n.74; XVII.150, 189; </w:t>
      </w:r>
      <w:r w:rsidRPr="00F968BD">
        <w:rPr>
          <w:i/>
          <w:iCs/>
          <w:lang w:val="es-PE"/>
        </w:rPr>
        <w:t>g</w:t>
      </w:r>
      <w:r>
        <w:rPr>
          <w:i/>
          <w:iCs/>
          <w:lang w:val="es-PE"/>
        </w:rPr>
        <w:t>é</w:t>
      </w:r>
      <w:r w:rsidRPr="00F968BD">
        <w:rPr>
          <w:i/>
          <w:iCs/>
          <w:lang w:val="es-PE"/>
        </w:rPr>
        <w:t>nero</w:t>
      </w:r>
      <w:r>
        <w:rPr>
          <w:lang w:val="es-PE"/>
        </w:rPr>
        <w:t xml:space="preserve"> </w:t>
      </w:r>
      <w:r w:rsidRPr="00D006D3">
        <w:rPr>
          <w:lang w:val="es-PE"/>
        </w:rPr>
        <w:t>(</w:t>
      </w:r>
      <w:proofErr w:type="spellStart"/>
      <w:r w:rsidRPr="00D006D3">
        <w:rPr>
          <w:i/>
          <w:iCs/>
          <w:lang w:val="es-PE"/>
        </w:rPr>
        <w:t>liṅga</w:t>
      </w:r>
      <w:proofErr w:type="spellEnd"/>
      <w:r w:rsidRPr="00D006D3">
        <w:rPr>
          <w:lang w:val="es-PE"/>
        </w:rPr>
        <w:t xml:space="preserve">) XI.89 </w:t>
      </w:r>
    </w:p>
    <w:p w14:paraId="20BF18AD" w14:textId="77777777" w:rsidR="00597DE2" w:rsidRPr="005B6D62" w:rsidRDefault="00597DE2" w:rsidP="00597DE2">
      <w:pPr>
        <w:pStyle w:val="ParrafoApendice"/>
        <w:rPr>
          <w:lang w:val="es-PE"/>
        </w:rPr>
      </w:pPr>
      <w:r w:rsidRPr="005B6D62">
        <w:rPr>
          <w:lang w:val="es-PE"/>
        </w:rPr>
        <w:t>sexual</w:t>
      </w:r>
      <w:r>
        <w:rPr>
          <w:lang w:val="es-PE"/>
        </w:rPr>
        <w:t>idad</w:t>
      </w:r>
      <w:r w:rsidRPr="005B6D62">
        <w:rPr>
          <w:lang w:val="es-PE"/>
        </w:rPr>
        <w:t xml:space="preserve"> </w:t>
      </w:r>
      <w:r>
        <w:rPr>
          <w:lang w:val="es-PE"/>
        </w:rPr>
        <w:t xml:space="preserve">incorrecta </w:t>
      </w:r>
      <w:r w:rsidRPr="005B6D62">
        <w:rPr>
          <w:lang w:val="es-PE"/>
        </w:rPr>
        <w:t>(</w:t>
      </w:r>
      <w:proofErr w:type="spellStart"/>
      <w:r w:rsidRPr="008516BE">
        <w:rPr>
          <w:i/>
          <w:iCs/>
          <w:lang w:val="es-PE"/>
        </w:rPr>
        <w:t>kāmesu</w:t>
      </w:r>
      <w:proofErr w:type="spellEnd"/>
      <w:r w:rsidRPr="008516BE">
        <w:rPr>
          <w:i/>
          <w:iCs/>
          <w:lang w:val="es-PE"/>
        </w:rPr>
        <w:t xml:space="preserve"> </w:t>
      </w:r>
      <w:proofErr w:type="spellStart"/>
      <w:r w:rsidRPr="008516BE">
        <w:rPr>
          <w:i/>
          <w:iCs/>
          <w:lang w:val="es-PE"/>
        </w:rPr>
        <w:t>micchācāra</w:t>
      </w:r>
      <w:proofErr w:type="spellEnd"/>
      <w:r w:rsidRPr="005B6D62">
        <w:rPr>
          <w:lang w:val="es-PE"/>
        </w:rPr>
        <w:t>) I.140; XXII.62</w:t>
      </w:r>
    </w:p>
    <w:p w14:paraId="5E225F37" w14:textId="77777777" w:rsidR="00597DE2" w:rsidRPr="005B6D62" w:rsidRDefault="00597DE2" w:rsidP="00597DE2">
      <w:pPr>
        <w:pStyle w:val="ParrafoApendice"/>
        <w:rPr>
          <w:lang w:val="es-PE"/>
        </w:rPr>
      </w:pPr>
      <w:r w:rsidRPr="005B6D62">
        <w:rPr>
          <w:lang w:val="es-PE"/>
        </w:rPr>
        <w:t>significado (</w:t>
      </w:r>
      <w:proofErr w:type="spellStart"/>
      <w:r w:rsidRPr="005B6D62">
        <w:rPr>
          <w:i/>
          <w:iCs/>
          <w:lang w:val="es-PE"/>
        </w:rPr>
        <w:t>attha</w:t>
      </w:r>
      <w:proofErr w:type="spellEnd"/>
      <w:r w:rsidRPr="005B6D62">
        <w:rPr>
          <w:lang w:val="es-PE"/>
        </w:rPr>
        <w:t xml:space="preserve">) VII.72; XIV.21s.; XVII.25 </w:t>
      </w:r>
    </w:p>
    <w:p w14:paraId="67ABADED" w14:textId="77777777" w:rsidR="00597DE2" w:rsidRPr="00152F22" w:rsidRDefault="00597DE2" w:rsidP="00597DE2">
      <w:pPr>
        <w:pStyle w:val="ParrafoApendice"/>
        <w:rPr>
          <w:lang w:val="es-PE"/>
        </w:rPr>
      </w:pPr>
      <w:r w:rsidRPr="00152F22">
        <w:rPr>
          <w:lang w:val="es-PE"/>
        </w:rPr>
        <w:t>signo (</w:t>
      </w:r>
      <w:proofErr w:type="spellStart"/>
      <w:r w:rsidRPr="00152F22">
        <w:rPr>
          <w:i/>
          <w:iCs/>
          <w:lang w:val="es-PE"/>
        </w:rPr>
        <w:t>nimitta</w:t>
      </w:r>
      <w:proofErr w:type="spellEnd"/>
      <w:r w:rsidRPr="00152F22">
        <w:rPr>
          <w:lang w:val="es-PE"/>
        </w:rPr>
        <w:t>) I.42, 54, 63, 77, 100, 140, n.14; III.113</w:t>
      </w:r>
      <w:r>
        <w:rPr>
          <w:lang w:val="es-PE"/>
        </w:rPr>
        <w:t>s</w:t>
      </w:r>
      <w:r w:rsidRPr="00152F22">
        <w:rPr>
          <w:lang w:val="es-PE"/>
        </w:rPr>
        <w:t>., 132, n.31; IV.22</w:t>
      </w:r>
      <w:r>
        <w:rPr>
          <w:lang w:val="es-PE"/>
        </w:rPr>
        <w:t>s</w:t>
      </w:r>
      <w:r w:rsidRPr="00152F22">
        <w:rPr>
          <w:lang w:val="es-PE"/>
        </w:rPr>
        <w:t>., 30, 72, 74, 111, 126</w:t>
      </w:r>
      <w:r>
        <w:rPr>
          <w:lang w:val="es-PE"/>
        </w:rPr>
        <w:t>s</w:t>
      </w:r>
      <w:r w:rsidRPr="00152F22">
        <w:rPr>
          <w:lang w:val="es-PE"/>
        </w:rPr>
        <w:t>.; VI.66; VII.51, 107; VIII.74, 141, 204, 206, 214; IX.43; X.9; XI.25; XIV.111</w:t>
      </w:r>
      <w:r>
        <w:rPr>
          <w:lang w:val="es-PE"/>
        </w:rPr>
        <w:t>s</w:t>
      </w:r>
      <w:r w:rsidRPr="00152F22">
        <w:rPr>
          <w:lang w:val="es-PE"/>
        </w:rPr>
        <w:t>., 130; XV.26; XVII.136</w:t>
      </w:r>
      <w:r>
        <w:rPr>
          <w:lang w:val="es-PE"/>
        </w:rPr>
        <w:t>s</w:t>
      </w:r>
      <w:r w:rsidRPr="00152F22">
        <w:rPr>
          <w:lang w:val="es-PE"/>
        </w:rPr>
        <w:t>., 278; XIX.26; XX.21, 90; XXI.10, 27, 33, 37</w:t>
      </w:r>
      <w:r>
        <w:rPr>
          <w:lang w:val="es-PE"/>
        </w:rPr>
        <w:t>s</w:t>
      </w:r>
      <w:r w:rsidRPr="00152F22">
        <w:rPr>
          <w:lang w:val="es-PE"/>
        </w:rPr>
        <w:t>., 51</w:t>
      </w:r>
      <w:r>
        <w:rPr>
          <w:lang w:val="es-PE"/>
        </w:rPr>
        <w:t>s</w:t>
      </w:r>
      <w:r w:rsidRPr="00152F22">
        <w:rPr>
          <w:lang w:val="es-PE"/>
        </w:rPr>
        <w:t>., 73, 83; XXII.4, 11, 44</w:t>
      </w:r>
      <w:r>
        <w:rPr>
          <w:lang w:val="es-PE"/>
        </w:rPr>
        <w:t>s</w:t>
      </w:r>
      <w:r w:rsidRPr="00152F22">
        <w:rPr>
          <w:lang w:val="es-PE"/>
        </w:rPr>
        <w:t xml:space="preserve">., 79, 113, 117; XXIII.4, 7, 12 </w:t>
      </w:r>
    </w:p>
    <w:p w14:paraId="403C3AFC" w14:textId="77777777" w:rsidR="00597DE2" w:rsidRPr="005B6D62" w:rsidRDefault="00597DE2" w:rsidP="00597DE2">
      <w:pPr>
        <w:pStyle w:val="ParrafoApendice"/>
        <w:rPr>
          <w:lang w:val="es-PE"/>
        </w:rPr>
      </w:pPr>
      <w:proofErr w:type="spellStart"/>
      <w:r w:rsidRPr="005B6D62">
        <w:rPr>
          <w:lang w:val="es-PE"/>
        </w:rPr>
        <w:t>Sīhapapāta</w:t>
      </w:r>
      <w:proofErr w:type="spellEnd"/>
      <w:r w:rsidRPr="005B6D62">
        <w:rPr>
          <w:lang w:val="es-PE"/>
        </w:rPr>
        <w:t xml:space="preserve">, </w:t>
      </w:r>
      <w:r>
        <w:rPr>
          <w:lang w:val="es-PE"/>
        </w:rPr>
        <w:t>Lago</w:t>
      </w:r>
      <w:r w:rsidRPr="005B6D62">
        <w:rPr>
          <w:lang w:val="es-PE"/>
        </w:rPr>
        <w:t xml:space="preserve"> XIII.38</w:t>
      </w:r>
    </w:p>
    <w:p w14:paraId="61AF9FE0" w14:textId="77777777" w:rsidR="00597DE2" w:rsidRPr="003346F8" w:rsidRDefault="00597DE2" w:rsidP="00597DE2">
      <w:pPr>
        <w:pStyle w:val="ParrafoApendice"/>
        <w:rPr>
          <w:lang w:val="es-PE"/>
        </w:rPr>
      </w:pPr>
      <w:r w:rsidRPr="003346F8">
        <w:rPr>
          <w:lang w:val="es-PE"/>
        </w:rPr>
        <w:t xml:space="preserve">silogismo, </w:t>
      </w:r>
      <w:r>
        <w:rPr>
          <w:lang w:val="es-PE"/>
        </w:rPr>
        <w:t>parte</w:t>
      </w:r>
      <w:r w:rsidRPr="003346F8">
        <w:rPr>
          <w:lang w:val="es-PE"/>
        </w:rPr>
        <w:t xml:space="preserve"> de</w:t>
      </w:r>
      <w:r>
        <w:rPr>
          <w:lang w:val="es-PE"/>
        </w:rPr>
        <w:t xml:space="preserve"> un</w:t>
      </w:r>
      <w:r w:rsidRPr="003346F8">
        <w:rPr>
          <w:lang w:val="es-PE"/>
        </w:rPr>
        <w:t xml:space="preserve"> (</w:t>
      </w:r>
      <w:proofErr w:type="spellStart"/>
      <w:r w:rsidRPr="003346F8">
        <w:rPr>
          <w:i/>
          <w:iCs/>
          <w:lang w:val="es-PE"/>
        </w:rPr>
        <w:t>vacanāvayava</w:t>
      </w:r>
      <w:proofErr w:type="spellEnd"/>
      <w:r w:rsidRPr="003346F8">
        <w:rPr>
          <w:lang w:val="es-PE"/>
        </w:rPr>
        <w:t xml:space="preserve">) XVII.67 </w:t>
      </w:r>
    </w:p>
    <w:p w14:paraId="29953569" w14:textId="77777777" w:rsidR="00597DE2" w:rsidRPr="005B6D62" w:rsidRDefault="00597DE2" w:rsidP="00597DE2">
      <w:pPr>
        <w:pStyle w:val="ParrafoApendice"/>
        <w:rPr>
          <w:lang w:val="es-PE"/>
        </w:rPr>
      </w:pPr>
      <w:proofErr w:type="spellStart"/>
      <w:r w:rsidRPr="005B6D62">
        <w:rPr>
          <w:lang w:val="es-PE"/>
        </w:rPr>
        <w:t>Simbali</w:t>
      </w:r>
      <w:proofErr w:type="spellEnd"/>
      <w:r>
        <w:rPr>
          <w:lang w:val="es-PE"/>
        </w:rPr>
        <w:t xml:space="preserve">, árbol </w:t>
      </w:r>
      <w:r w:rsidRPr="005B6D62">
        <w:rPr>
          <w:lang w:val="es-PE"/>
        </w:rPr>
        <w:t>VII.43</w:t>
      </w:r>
    </w:p>
    <w:p w14:paraId="5C2EB93C" w14:textId="77777777" w:rsidR="00597DE2" w:rsidRPr="005B6D62" w:rsidRDefault="00597DE2" w:rsidP="00597DE2">
      <w:pPr>
        <w:pStyle w:val="ParrafoApendice"/>
        <w:rPr>
          <w:lang w:val="es-PE"/>
        </w:rPr>
      </w:pPr>
      <w:r w:rsidRPr="005B6D62">
        <w:rPr>
          <w:lang w:val="es-PE"/>
        </w:rPr>
        <w:t>sin causa (</w:t>
      </w:r>
      <w:proofErr w:type="spellStart"/>
      <w:r w:rsidRPr="005B6D62">
        <w:rPr>
          <w:i/>
          <w:iCs/>
          <w:lang w:val="es-PE"/>
        </w:rPr>
        <w:t>ahetuka</w:t>
      </w:r>
      <w:proofErr w:type="spellEnd"/>
      <w:r w:rsidRPr="005B6D62">
        <w:rPr>
          <w:lang w:val="es-PE"/>
        </w:rPr>
        <w:t>) XIX.3. Ver también c. raíz.</w:t>
      </w:r>
    </w:p>
    <w:p w14:paraId="07852691" w14:textId="77777777" w:rsidR="00597DE2" w:rsidRPr="00AF6133" w:rsidRDefault="00597DE2" w:rsidP="00597DE2">
      <w:pPr>
        <w:pStyle w:val="ParrafoApendice"/>
        <w:rPr>
          <w:lang w:val="es-PE"/>
        </w:rPr>
      </w:pPr>
      <w:r>
        <w:rPr>
          <w:lang w:val="es-PE"/>
        </w:rPr>
        <w:t xml:space="preserve">sin </w:t>
      </w:r>
      <w:r w:rsidRPr="0080460A">
        <w:rPr>
          <w:lang w:val="es-PE"/>
        </w:rPr>
        <w:t>causa–</w:t>
      </w:r>
      <w:r>
        <w:rPr>
          <w:lang w:val="es-PE"/>
        </w:rPr>
        <w:t xml:space="preserve">raíz </w:t>
      </w:r>
      <w:r w:rsidRPr="00AF6133">
        <w:rPr>
          <w:lang w:val="es-PE"/>
        </w:rPr>
        <w:t>(</w:t>
      </w:r>
      <w:proofErr w:type="spellStart"/>
      <w:r w:rsidRPr="00AF6133">
        <w:rPr>
          <w:i/>
          <w:iCs/>
          <w:lang w:val="es-PE"/>
        </w:rPr>
        <w:t>ahetuka</w:t>
      </w:r>
      <w:proofErr w:type="spellEnd"/>
      <w:r w:rsidRPr="00AF6133">
        <w:rPr>
          <w:lang w:val="es-PE"/>
        </w:rPr>
        <w:t>) I.57; XIV.</w:t>
      </w:r>
      <w:r w:rsidRPr="00AF6133">
        <w:rPr>
          <w:color w:val="833C0B" w:themeColor="accent2" w:themeShade="80"/>
          <w:lang w:val="es-PE"/>
        </w:rPr>
        <w:t xml:space="preserve">72, </w:t>
      </w:r>
      <w:r w:rsidRPr="00AF6133">
        <w:rPr>
          <w:lang w:val="es-PE"/>
        </w:rPr>
        <w:t>95, 113</w:t>
      </w:r>
      <w:r>
        <w:rPr>
          <w:lang w:val="es-PE"/>
        </w:rPr>
        <w:t>s</w:t>
      </w:r>
      <w:r w:rsidRPr="00AF6133">
        <w:rPr>
          <w:lang w:val="es-PE"/>
        </w:rPr>
        <w:t xml:space="preserve">. </w:t>
      </w:r>
    </w:p>
    <w:p w14:paraId="1A252E24" w14:textId="77777777" w:rsidR="00597DE2" w:rsidRPr="005B6D62" w:rsidRDefault="00597DE2" w:rsidP="00597DE2">
      <w:pPr>
        <w:pStyle w:val="ParrafoApendice"/>
        <w:rPr>
          <w:lang w:val="es-PE"/>
        </w:rPr>
      </w:pPr>
      <w:r w:rsidRPr="005B6D62">
        <w:rPr>
          <w:lang w:val="es-PE"/>
        </w:rPr>
        <w:t>sin nariz (</w:t>
      </w:r>
      <w:proofErr w:type="spellStart"/>
      <w:r w:rsidRPr="005B6D62">
        <w:rPr>
          <w:i/>
          <w:iCs/>
          <w:lang w:val="es-PE"/>
        </w:rPr>
        <w:t>aghānaka</w:t>
      </w:r>
      <w:proofErr w:type="spellEnd"/>
      <w:r w:rsidRPr="005B6D62">
        <w:rPr>
          <w:lang w:val="es-PE"/>
        </w:rPr>
        <w:t xml:space="preserve">) XVII.157 </w:t>
      </w:r>
    </w:p>
    <w:p w14:paraId="1F67EE07" w14:textId="77777777" w:rsidR="00597DE2" w:rsidRPr="00BA3373" w:rsidRDefault="00597DE2" w:rsidP="00597DE2">
      <w:pPr>
        <w:pStyle w:val="ParrafoApendice"/>
        <w:rPr>
          <w:lang w:val="es-PE"/>
        </w:rPr>
      </w:pPr>
      <w:proofErr w:type="spellStart"/>
      <w:r w:rsidRPr="00BA3373">
        <w:rPr>
          <w:lang w:val="es-PE"/>
        </w:rPr>
        <w:t>Sineru</w:t>
      </w:r>
      <w:proofErr w:type="spellEnd"/>
      <w:r w:rsidRPr="00BA3373">
        <w:rPr>
          <w:lang w:val="es-PE"/>
        </w:rPr>
        <w:t>, Monte VII.23, 42, n.14, n.15; XII.72, 78, 109</w:t>
      </w:r>
      <w:r>
        <w:rPr>
          <w:lang w:val="es-PE"/>
        </w:rPr>
        <w:t>s</w:t>
      </w:r>
      <w:r w:rsidRPr="00BA3373">
        <w:rPr>
          <w:lang w:val="es-PE"/>
        </w:rPr>
        <w:t>., 121, n.19; XIII.34, 41, 48</w:t>
      </w:r>
    </w:p>
    <w:p w14:paraId="712338F0" w14:textId="77777777" w:rsidR="00597DE2" w:rsidRPr="00B47E16" w:rsidRDefault="00597DE2" w:rsidP="00597DE2">
      <w:pPr>
        <w:pStyle w:val="ParrafoApendice"/>
        <w:rPr>
          <w:lang w:val="es-PE"/>
        </w:rPr>
      </w:pPr>
      <w:r w:rsidRPr="001C61E2">
        <w:rPr>
          <w:lang w:val="es-PE"/>
        </w:rPr>
        <w:t>sin</w:t>
      </w:r>
      <w:r w:rsidRPr="008B05D2">
        <w:rPr>
          <w:i/>
          <w:iCs/>
          <w:lang w:val="es-PE"/>
        </w:rPr>
        <w:t>–</w:t>
      </w:r>
      <w:r w:rsidRPr="001C61E2">
        <w:rPr>
          <w:lang w:val="es-PE"/>
        </w:rPr>
        <w:t>signo (</w:t>
      </w:r>
      <w:proofErr w:type="spellStart"/>
      <w:r w:rsidRPr="001C61E2">
        <w:rPr>
          <w:i/>
          <w:iCs/>
          <w:lang w:val="es-PE"/>
        </w:rPr>
        <w:t>animitta</w:t>
      </w:r>
      <w:proofErr w:type="spellEnd"/>
      <w:r w:rsidRPr="001C61E2">
        <w:rPr>
          <w:lang w:val="es-PE"/>
        </w:rPr>
        <w:t xml:space="preserve">) I.140; VIII.29; XVI.23. </w:t>
      </w:r>
      <w:r w:rsidRPr="00B47E16">
        <w:rPr>
          <w:lang w:val="es-PE"/>
        </w:rPr>
        <w:t xml:space="preserve">Ver también </w:t>
      </w:r>
      <w:r w:rsidRPr="00B47E16">
        <w:rPr>
          <w:i/>
          <w:iCs/>
          <w:lang w:val="es-PE"/>
        </w:rPr>
        <w:t>co</w:t>
      </w:r>
      <w:r>
        <w:rPr>
          <w:i/>
          <w:iCs/>
          <w:lang w:val="es-PE"/>
        </w:rPr>
        <w:t xml:space="preserve">ntemplación de </w:t>
      </w:r>
      <w:r w:rsidRPr="00394C5F">
        <w:rPr>
          <w:lang w:val="es-PE"/>
        </w:rPr>
        <w:t>lo sin–signo</w:t>
      </w:r>
      <w:r w:rsidRPr="00B47E16">
        <w:rPr>
          <w:lang w:val="es-PE"/>
        </w:rPr>
        <w:t xml:space="preserve">.; </w:t>
      </w:r>
      <w:r>
        <w:rPr>
          <w:lang w:val="es-PE"/>
        </w:rPr>
        <w:t xml:space="preserve">elemento </w:t>
      </w:r>
      <w:r w:rsidRPr="001C61E2">
        <w:rPr>
          <w:lang w:val="es-PE"/>
        </w:rPr>
        <w:t>sin</w:t>
      </w:r>
      <w:r w:rsidRPr="008B05D2">
        <w:rPr>
          <w:i/>
          <w:iCs/>
          <w:lang w:val="es-PE"/>
        </w:rPr>
        <w:t>–</w:t>
      </w:r>
      <w:r w:rsidRPr="001C61E2">
        <w:rPr>
          <w:lang w:val="es-PE"/>
        </w:rPr>
        <w:t>signo</w:t>
      </w:r>
      <w:r w:rsidRPr="00B47E16">
        <w:rPr>
          <w:lang w:val="es-PE"/>
        </w:rPr>
        <w:t xml:space="preserve"> (</w:t>
      </w:r>
      <w:proofErr w:type="spellStart"/>
      <w:r w:rsidRPr="0072713F">
        <w:rPr>
          <w:i/>
          <w:iCs/>
          <w:lang w:val="es-PE"/>
        </w:rPr>
        <w:t>animitta</w:t>
      </w:r>
      <w:proofErr w:type="spellEnd"/>
      <w:r w:rsidRPr="0072713F">
        <w:rPr>
          <w:i/>
          <w:iCs/>
          <w:lang w:val="es-PE"/>
        </w:rPr>
        <w:t>–</w:t>
      </w:r>
      <w:proofErr w:type="spellStart"/>
      <w:r w:rsidRPr="0072713F">
        <w:rPr>
          <w:i/>
          <w:iCs/>
          <w:lang w:val="es-PE"/>
        </w:rPr>
        <w:t>dhātu</w:t>
      </w:r>
      <w:proofErr w:type="spellEnd"/>
      <w:r w:rsidRPr="00B47E16">
        <w:rPr>
          <w:lang w:val="es-PE"/>
        </w:rPr>
        <w:t xml:space="preserve">) XXI.67; XXIII.9; </w:t>
      </w:r>
      <w:r>
        <w:rPr>
          <w:lang w:val="es-PE"/>
        </w:rPr>
        <w:t xml:space="preserve">liberación </w:t>
      </w:r>
      <w:r w:rsidRPr="001C61E2">
        <w:rPr>
          <w:lang w:val="es-PE"/>
        </w:rPr>
        <w:t>sin</w:t>
      </w:r>
      <w:r w:rsidRPr="008B05D2">
        <w:rPr>
          <w:i/>
          <w:iCs/>
          <w:lang w:val="es-PE"/>
        </w:rPr>
        <w:t>–</w:t>
      </w:r>
      <w:r w:rsidRPr="001C61E2">
        <w:rPr>
          <w:lang w:val="es-PE"/>
        </w:rPr>
        <w:t>signo</w:t>
      </w:r>
      <w:r>
        <w:rPr>
          <w:lang w:val="es-PE"/>
        </w:rPr>
        <w:t>s</w:t>
      </w:r>
      <w:r w:rsidRPr="00B47E16">
        <w:rPr>
          <w:lang w:val="es-PE"/>
        </w:rPr>
        <w:t xml:space="preserve"> (</w:t>
      </w:r>
      <w:proofErr w:type="spellStart"/>
      <w:r w:rsidRPr="00300802">
        <w:rPr>
          <w:i/>
          <w:iCs/>
          <w:lang w:val="es-PE"/>
        </w:rPr>
        <w:t>animitta</w:t>
      </w:r>
      <w:proofErr w:type="spellEnd"/>
      <w:r w:rsidRPr="00300802">
        <w:rPr>
          <w:i/>
          <w:iCs/>
          <w:lang w:val="es-PE"/>
        </w:rPr>
        <w:t>–</w:t>
      </w:r>
      <w:proofErr w:type="spellStart"/>
      <w:r w:rsidRPr="00300802">
        <w:rPr>
          <w:i/>
          <w:iCs/>
          <w:lang w:val="es-PE"/>
        </w:rPr>
        <w:t>vimokkha</w:t>
      </w:r>
      <w:proofErr w:type="spellEnd"/>
      <w:r w:rsidRPr="00B47E16">
        <w:rPr>
          <w:lang w:val="es-PE"/>
        </w:rPr>
        <w:t xml:space="preserve">) XXI.70, 89, 121; </w:t>
      </w:r>
      <w:r>
        <w:rPr>
          <w:lang w:val="es-PE"/>
        </w:rPr>
        <w:t xml:space="preserve">liberación mental </w:t>
      </w:r>
      <w:r w:rsidRPr="001C61E2">
        <w:rPr>
          <w:lang w:val="es-PE"/>
        </w:rPr>
        <w:t>sin</w:t>
      </w:r>
      <w:r w:rsidRPr="008B05D2">
        <w:rPr>
          <w:i/>
          <w:iCs/>
          <w:lang w:val="es-PE"/>
        </w:rPr>
        <w:t>–</w:t>
      </w:r>
      <w:r w:rsidRPr="001C61E2">
        <w:rPr>
          <w:lang w:val="es-PE"/>
        </w:rPr>
        <w:t>signo</w:t>
      </w:r>
      <w:r>
        <w:rPr>
          <w:lang w:val="es-PE"/>
        </w:rPr>
        <w:t>s</w:t>
      </w:r>
      <w:r w:rsidRPr="00B47E16">
        <w:rPr>
          <w:lang w:val="es-PE"/>
        </w:rPr>
        <w:t xml:space="preserve"> (</w:t>
      </w:r>
      <w:proofErr w:type="spellStart"/>
      <w:r w:rsidRPr="00042009">
        <w:rPr>
          <w:i/>
          <w:iCs/>
          <w:lang w:val="es-PE"/>
        </w:rPr>
        <w:t>animitta</w:t>
      </w:r>
      <w:proofErr w:type="spellEnd"/>
      <w:r w:rsidRPr="00042009">
        <w:rPr>
          <w:i/>
          <w:iCs/>
          <w:lang w:val="es-PE"/>
        </w:rPr>
        <w:t>–</w:t>
      </w:r>
      <w:proofErr w:type="spellStart"/>
      <w:r w:rsidRPr="00042009">
        <w:rPr>
          <w:i/>
          <w:iCs/>
          <w:lang w:val="es-PE"/>
        </w:rPr>
        <w:t>cetovimutti</w:t>
      </w:r>
      <w:proofErr w:type="spellEnd"/>
      <w:r w:rsidRPr="00B47E16">
        <w:rPr>
          <w:lang w:val="es-PE"/>
        </w:rPr>
        <w:t>) XXIII.12</w:t>
      </w:r>
    </w:p>
    <w:p w14:paraId="6F4C4A71" w14:textId="77777777" w:rsidR="00597DE2" w:rsidRPr="00575852" w:rsidRDefault="00597DE2" w:rsidP="00597DE2">
      <w:pPr>
        <w:pStyle w:val="ParrafoApendice"/>
        <w:rPr>
          <w:lang w:val="es-PE"/>
        </w:rPr>
      </w:pPr>
      <w:proofErr w:type="spellStart"/>
      <w:r w:rsidRPr="00575852">
        <w:rPr>
          <w:lang w:val="es-PE"/>
        </w:rPr>
        <w:t>Sirimā</w:t>
      </w:r>
      <w:proofErr w:type="spellEnd"/>
      <w:r w:rsidRPr="00575852">
        <w:rPr>
          <w:lang w:val="es-PE"/>
        </w:rPr>
        <w:t xml:space="preserve"> XII.34</w:t>
      </w:r>
    </w:p>
    <w:p w14:paraId="5CD0C99C" w14:textId="77777777" w:rsidR="00597DE2" w:rsidRDefault="00597DE2" w:rsidP="00597DE2">
      <w:pPr>
        <w:pStyle w:val="ParrafoApendice"/>
        <w:rPr>
          <w:lang w:val="es-PE"/>
        </w:rPr>
      </w:pPr>
      <w:proofErr w:type="spellStart"/>
      <w:r w:rsidRPr="00A50247">
        <w:rPr>
          <w:lang w:val="es-PE"/>
        </w:rPr>
        <w:t>Sirīsa</w:t>
      </w:r>
      <w:proofErr w:type="spellEnd"/>
      <w:r w:rsidRPr="00A50247">
        <w:rPr>
          <w:lang w:val="es-PE"/>
        </w:rPr>
        <w:t xml:space="preserve">, árbol VII.43 </w:t>
      </w:r>
    </w:p>
    <w:p w14:paraId="50D3498D" w14:textId="77777777" w:rsidR="00597DE2" w:rsidRDefault="00597DE2" w:rsidP="00597DE2">
      <w:pPr>
        <w:pStyle w:val="ParrafoApendice"/>
        <w:rPr>
          <w:lang w:val="es-PE"/>
        </w:rPr>
      </w:pPr>
      <w:proofErr w:type="spellStart"/>
      <w:r w:rsidRPr="008C2226">
        <w:rPr>
          <w:lang w:val="es-PE"/>
        </w:rPr>
        <w:t>Sīva</w:t>
      </w:r>
      <w:proofErr w:type="spellEnd"/>
      <w:r w:rsidRPr="008C2226">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Cū</w:t>
      </w:r>
      <w:r>
        <w:rPr>
          <w:lang w:val="es-PE"/>
        </w:rPr>
        <w:t>ḷ</w:t>
      </w:r>
      <w:r w:rsidRPr="005B6D62">
        <w:rPr>
          <w:lang w:val="es-PE"/>
        </w:rPr>
        <w:t>a</w:t>
      </w:r>
      <w:proofErr w:type="spellEnd"/>
      <w:r w:rsidRPr="005B6D62">
        <w:rPr>
          <w:lang w:val="es-PE"/>
        </w:rPr>
        <w:t xml:space="preserve"> </w:t>
      </w:r>
      <w:proofErr w:type="spellStart"/>
      <w:r w:rsidRPr="005B6D62">
        <w:rPr>
          <w:lang w:val="es-PE"/>
        </w:rPr>
        <w:t>Sa</w:t>
      </w:r>
      <w:r>
        <w:rPr>
          <w:lang w:val="es-PE"/>
        </w:rPr>
        <w:t>ṃ</w:t>
      </w:r>
      <w:r w:rsidRPr="005B6D62">
        <w:rPr>
          <w:lang w:val="es-PE"/>
        </w:rPr>
        <w:t>yuttabhā</w:t>
      </w:r>
      <w:r>
        <w:rPr>
          <w:lang w:val="es-PE"/>
        </w:rPr>
        <w:t>ṇ</w:t>
      </w:r>
      <w:r w:rsidRPr="005B6D62">
        <w:rPr>
          <w:lang w:val="es-PE"/>
        </w:rPr>
        <w:t>aka</w:t>
      </w:r>
      <w:proofErr w:type="spellEnd"/>
      <w:r w:rsidRPr="005B6D62">
        <w:rPr>
          <w:lang w:val="es-PE"/>
        </w:rPr>
        <w:t xml:space="preserve"> IX.71 </w:t>
      </w:r>
    </w:p>
    <w:p w14:paraId="54B984EE" w14:textId="77777777" w:rsidR="00597DE2" w:rsidRPr="005B6D62" w:rsidRDefault="00597DE2" w:rsidP="00597DE2">
      <w:pPr>
        <w:pStyle w:val="ParrafoApendice"/>
        <w:rPr>
          <w:lang w:val="es-PE"/>
        </w:rPr>
      </w:pPr>
      <w:proofErr w:type="spellStart"/>
      <w:r w:rsidRPr="008C2226">
        <w:rPr>
          <w:lang w:val="es-PE"/>
        </w:rPr>
        <w:t>Sīva</w:t>
      </w:r>
      <w:proofErr w:type="spellEnd"/>
      <w:r w:rsidRPr="008C2226">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Cū</w:t>
      </w:r>
      <w:r>
        <w:rPr>
          <w:lang w:val="es-PE"/>
        </w:rPr>
        <w:t>ḷ</w:t>
      </w:r>
      <w:r w:rsidRPr="005B6D62">
        <w:rPr>
          <w:lang w:val="es-PE"/>
        </w:rPr>
        <w:t>a</w:t>
      </w:r>
      <w:proofErr w:type="spellEnd"/>
      <w:r w:rsidRPr="005B6D62">
        <w:rPr>
          <w:lang w:val="es-PE"/>
        </w:rPr>
        <w:t xml:space="preserve"> V.2</w:t>
      </w:r>
    </w:p>
    <w:p w14:paraId="6C2D8F13" w14:textId="77777777" w:rsidR="00597DE2" w:rsidRPr="005B6D62" w:rsidRDefault="00597DE2" w:rsidP="00597DE2">
      <w:pPr>
        <w:pStyle w:val="ParrafoApendice"/>
        <w:rPr>
          <w:lang w:val="es-PE"/>
        </w:rPr>
      </w:pPr>
      <w:r w:rsidRPr="005B6D62">
        <w:rPr>
          <w:lang w:val="es-PE"/>
        </w:rPr>
        <w:t>sobre–generalización (</w:t>
      </w:r>
      <w:proofErr w:type="spellStart"/>
      <w:r w:rsidRPr="005B6D62">
        <w:rPr>
          <w:i/>
          <w:iCs/>
          <w:lang w:val="es-PE"/>
        </w:rPr>
        <w:t>atippasaṅga</w:t>
      </w:r>
      <w:proofErr w:type="spellEnd"/>
      <w:r w:rsidRPr="005B6D62">
        <w:rPr>
          <w:lang w:val="es-PE"/>
        </w:rPr>
        <w:t>) XIV.186</w:t>
      </w:r>
    </w:p>
    <w:p w14:paraId="2AD6CC55" w14:textId="77777777" w:rsidR="00597DE2" w:rsidRPr="005B6D62" w:rsidRDefault="00597DE2" w:rsidP="00597DE2">
      <w:pPr>
        <w:pStyle w:val="ParrafoApendice"/>
        <w:rPr>
          <w:lang w:val="es-PE"/>
        </w:rPr>
      </w:pPr>
      <w:r>
        <w:rPr>
          <w:lang w:val="es-PE"/>
        </w:rPr>
        <w:t>Sol</w:t>
      </w:r>
      <w:r w:rsidRPr="005B6D62">
        <w:rPr>
          <w:lang w:val="es-PE"/>
        </w:rPr>
        <w:t xml:space="preserve"> (</w:t>
      </w:r>
      <w:proofErr w:type="spellStart"/>
      <w:r w:rsidRPr="0090635D">
        <w:rPr>
          <w:i/>
          <w:iCs/>
          <w:lang w:val="es-PE"/>
        </w:rPr>
        <w:t>suriya</w:t>
      </w:r>
      <w:proofErr w:type="spellEnd"/>
      <w:r w:rsidRPr="005B6D62">
        <w:rPr>
          <w:lang w:val="es-PE"/>
        </w:rPr>
        <w:t>) VII.44; XII.102; XIII.36, 45</w:t>
      </w:r>
    </w:p>
    <w:p w14:paraId="0D69993F" w14:textId="77777777" w:rsidR="00597DE2" w:rsidRPr="00C041F8" w:rsidRDefault="00597DE2" w:rsidP="00597DE2">
      <w:pPr>
        <w:pStyle w:val="ParrafoApendice"/>
        <w:rPr>
          <w:lang w:val="es-PE"/>
        </w:rPr>
      </w:pPr>
      <w:r w:rsidRPr="00C041F8">
        <w:rPr>
          <w:lang w:val="es-PE"/>
        </w:rPr>
        <w:t>solidez (</w:t>
      </w:r>
      <w:proofErr w:type="spellStart"/>
      <w:r w:rsidRPr="00C041F8">
        <w:rPr>
          <w:i/>
          <w:iCs/>
          <w:lang w:val="es-PE"/>
        </w:rPr>
        <w:t>paṭhavi</w:t>
      </w:r>
      <w:proofErr w:type="spellEnd"/>
      <w:r w:rsidRPr="00C041F8">
        <w:rPr>
          <w:lang w:val="es-PE"/>
        </w:rPr>
        <w:t xml:space="preserve">), ver </w:t>
      </w:r>
      <w:r w:rsidRPr="00C041F8">
        <w:rPr>
          <w:i/>
          <w:iCs/>
          <w:lang w:val="es-PE"/>
        </w:rPr>
        <w:t>tierra</w:t>
      </w:r>
    </w:p>
    <w:p w14:paraId="2728BA7D" w14:textId="77777777" w:rsidR="00597DE2" w:rsidRDefault="00597DE2" w:rsidP="00597DE2">
      <w:pPr>
        <w:pStyle w:val="ParrafoApendice"/>
        <w:rPr>
          <w:lang w:val="es-PE"/>
        </w:rPr>
      </w:pPr>
      <w:r w:rsidRPr="007D1231">
        <w:rPr>
          <w:lang w:val="es-PE"/>
        </w:rPr>
        <w:t>so</w:t>
      </w:r>
      <w:r>
        <w:rPr>
          <w:lang w:val="es-PE"/>
        </w:rPr>
        <w:t>nido</w:t>
      </w:r>
      <w:r w:rsidRPr="007D1231">
        <w:rPr>
          <w:lang w:val="es-PE"/>
        </w:rPr>
        <w:t xml:space="preserve"> (</w:t>
      </w:r>
      <w:proofErr w:type="spellStart"/>
      <w:r w:rsidRPr="007D1231">
        <w:rPr>
          <w:lang w:val="es-PE"/>
        </w:rPr>
        <w:t>sadda</w:t>
      </w:r>
      <w:proofErr w:type="spellEnd"/>
      <w:r w:rsidRPr="007D1231">
        <w:rPr>
          <w:lang w:val="es-PE"/>
        </w:rPr>
        <w:t>) I.59; XIII.3</w:t>
      </w:r>
      <w:r>
        <w:rPr>
          <w:lang w:val="es-PE"/>
        </w:rPr>
        <w:t>s</w:t>
      </w:r>
      <w:r w:rsidRPr="007D1231">
        <w:rPr>
          <w:lang w:val="es-PE"/>
        </w:rPr>
        <w:t>., 109, 112; XIV.55, 96, 134, n.22, n.27, n.33; XV.3; XVII.</w:t>
      </w:r>
      <w:r w:rsidRPr="00BA1A88">
        <w:rPr>
          <w:color w:val="833C0B" w:themeColor="accent2" w:themeShade="80"/>
          <w:lang w:val="es-PE"/>
        </w:rPr>
        <w:t>85s.</w:t>
      </w:r>
      <w:r>
        <w:rPr>
          <w:lang w:val="es-PE"/>
        </w:rPr>
        <w:t xml:space="preserve">, </w:t>
      </w:r>
      <w:r w:rsidRPr="007D1231">
        <w:rPr>
          <w:lang w:val="es-PE"/>
        </w:rPr>
        <w:t xml:space="preserve">193; XVIII.6, 10; </w:t>
      </w:r>
      <w:r w:rsidRPr="00344B47">
        <w:rPr>
          <w:i/>
          <w:iCs/>
          <w:lang w:val="es-PE"/>
        </w:rPr>
        <w:t>base auditiva, del sonido</w:t>
      </w:r>
      <w:r w:rsidRPr="007D1231">
        <w:rPr>
          <w:lang w:val="es-PE"/>
        </w:rPr>
        <w:t xml:space="preserve"> (</w:t>
      </w:r>
      <w:proofErr w:type="spellStart"/>
      <w:r w:rsidRPr="006475D1">
        <w:rPr>
          <w:i/>
          <w:iCs/>
          <w:lang w:val="es-PE"/>
        </w:rPr>
        <w:t>saddāyatana</w:t>
      </w:r>
      <w:proofErr w:type="spellEnd"/>
      <w:r w:rsidRPr="007D1231">
        <w:rPr>
          <w:lang w:val="es-PE"/>
        </w:rPr>
        <w:t xml:space="preserve">) XIV.76, 79; XV.3; </w:t>
      </w:r>
      <w:r w:rsidRPr="00A02BF9">
        <w:rPr>
          <w:i/>
          <w:iCs/>
          <w:lang w:val="es-PE"/>
        </w:rPr>
        <w:t>elemento del s</w:t>
      </w:r>
      <w:r>
        <w:rPr>
          <w:i/>
          <w:iCs/>
          <w:lang w:val="es-PE"/>
        </w:rPr>
        <w:t>onido, audible</w:t>
      </w:r>
      <w:r w:rsidRPr="007D1231">
        <w:rPr>
          <w:lang w:val="es-PE"/>
        </w:rPr>
        <w:t xml:space="preserve"> (</w:t>
      </w:r>
      <w:proofErr w:type="spellStart"/>
      <w:r w:rsidRPr="00344B47">
        <w:rPr>
          <w:i/>
          <w:iCs/>
          <w:lang w:val="es-PE"/>
        </w:rPr>
        <w:t>sadda</w:t>
      </w:r>
      <w:proofErr w:type="spellEnd"/>
      <w:r w:rsidRPr="00344B47">
        <w:rPr>
          <w:i/>
          <w:iCs/>
          <w:lang w:val="es-PE"/>
        </w:rPr>
        <w:t>–</w:t>
      </w:r>
      <w:proofErr w:type="spellStart"/>
      <w:r w:rsidRPr="00344B47">
        <w:rPr>
          <w:i/>
          <w:iCs/>
          <w:lang w:val="es-PE"/>
        </w:rPr>
        <w:t>dhātu</w:t>
      </w:r>
      <w:proofErr w:type="spellEnd"/>
      <w:r w:rsidRPr="007D1231">
        <w:rPr>
          <w:lang w:val="es-PE"/>
        </w:rPr>
        <w:t xml:space="preserve">) XV.17; </w:t>
      </w:r>
      <w:r w:rsidRPr="00E7772D">
        <w:rPr>
          <w:i/>
          <w:iCs/>
          <w:lang w:val="es-PE"/>
        </w:rPr>
        <w:t>nónuplo del s</w:t>
      </w:r>
      <w:r>
        <w:rPr>
          <w:i/>
          <w:iCs/>
          <w:lang w:val="es-PE"/>
        </w:rPr>
        <w:t>.</w:t>
      </w:r>
      <w:r w:rsidRPr="007D1231">
        <w:rPr>
          <w:lang w:val="es-PE"/>
        </w:rPr>
        <w:t xml:space="preserve"> (</w:t>
      </w:r>
      <w:proofErr w:type="spellStart"/>
      <w:r w:rsidRPr="00932B7C">
        <w:rPr>
          <w:i/>
          <w:iCs/>
          <w:lang w:val="es-PE"/>
        </w:rPr>
        <w:t>saddanavaka</w:t>
      </w:r>
      <w:proofErr w:type="spellEnd"/>
      <w:r w:rsidRPr="007D1231">
        <w:rPr>
          <w:lang w:val="es-PE"/>
        </w:rPr>
        <w:t xml:space="preserve">) XVII.193; XX.40 </w:t>
      </w:r>
      <w:r>
        <w:rPr>
          <w:lang w:val="es-PE"/>
        </w:rPr>
        <w:br w:type="page"/>
      </w:r>
    </w:p>
    <w:p w14:paraId="60871484" w14:textId="77777777" w:rsidR="00597DE2" w:rsidRPr="007D1231" w:rsidRDefault="00597DE2" w:rsidP="00597DE2">
      <w:pPr>
        <w:pStyle w:val="ParrafoApendice"/>
        <w:rPr>
          <w:lang w:val="es-PE"/>
        </w:rPr>
      </w:pPr>
    </w:p>
    <w:p w14:paraId="392AF441" w14:textId="77777777" w:rsidR="00597DE2" w:rsidRPr="00575852" w:rsidRDefault="00597DE2" w:rsidP="00597DE2">
      <w:pPr>
        <w:pStyle w:val="ParrafoApendice"/>
        <w:rPr>
          <w:lang w:val="es-PE"/>
        </w:rPr>
      </w:pPr>
      <w:proofErr w:type="spellStart"/>
      <w:r w:rsidRPr="00575852">
        <w:rPr>
          <w:lang w:val="es-PE"/>
        </w:rPr>
        <w:t>Sopāka</w:t>
      </w:r>
      <w:proofErr w:type="spellEnd"/>
      <w:r w:rsidRPr="00575852">
        <w:rPr>
          <w:lang w:val="es-PE"/>
        </w:rPr>
        <w:t xml:space="preserve"> III.110; XI.n.1 </w:t>
      </w:r>
    </w:p>
    <w:p w14:paraId="3FE93575" w14:textId="77777777" w:rsidR="00597DE2" w:rsidRPr="009C69F6" w:rsidRDefault="00597DE2" w:rsidP="00597DE2">
      <w:pPr>
        <w:pStyle w:val="ParrafoApendice"/>
        <w:rPr>
          <w:lang w:val="es-PE"/>
        </w:rPr>
      </w:pPr>
      <w:r w:rsidRPr="009C69F6">
        <w:rPr>
          <w:lang w:val="es-PE"/>
        </w:rPr>
        <w:t>soporte (</w:t>
      </w:r>
      <w:proofErr w:type="spellStart"/>
      <w:r w:rsidRPr="009C69F6">
        <w:rPr>
          <w:i/>
          <w:iCs/>
          <w:lang w:val="es-PE"/>
        </w:rPr>
        <w:t>nissaya</w:t>
      </w:r>
      <w:proofErr w:type="spellEnd"/>
      <w:r w:rsidRPr="009C69F6">
        <w:rPr>
          <w:lang w:val="es-PE"/>
        </w:rPr>
        <w:t xml:space="preserve">) XIV.46, 60; XVII.66, 79 </w:t>
      </w:r>
    </w:p>
    <w:p w14:paraId="70B4AD28" w14:textId="77777777" w:rsidR="00597DE2" w:rsidRPr="007A00D0" w:rsidRDefault="00597DE2" w:rsidP="00597DE2">
      <w:pPr>
        <w:pStyle w:val="ParrafoApendice"/>
        <w:rPr>
          <w:lang w:val="es-PE"/>
        </w:rPr>
      </w:pPr>
      <w:proofErr w:type="spellStart"/>
      <w:r w:rsidRPr="007A00D0">
        <w:rPr>
          <w:lang w:val="es-PE"/>
        </w:rPr>
        <w:t>Soreyya</w:t>
      </w:r>
      <w:proofErr w:type="spellEnd"/>
      <w:r w:rsidRPr="007A00D0">
        <w:rPr>
          <w:lang w:val="es-PE"/>
        </w:rPr>
        <w:t xml:space="preserve"> XXII.83</w:t>
      </w:r>
    </w:p>
    <w:p w14:paraId="5E63C7B3" w14:textId="77777777" w:rsidR="00597DE2" w:rsidRPr="00886520" w:rsidRDefault="00597DE2" w:rsidP="00597DE2">
      <w:pPr>
        <w:pStyle w:val="ParrafoApendice"/>
        <w:rPr>
          <w:lang w:val="es-PE"/>
        </w:rPr>
      </w:pPr>
      <w:proofErr w:type="spellStart"/>
      <w:r w:rsidRPr="00886520">
        <w:rPr>
          <w:lang w:val="es-PE"/>
        </w:rPr>
        <w:t>Subhaddā</w:t>
      </w:r>
      <w:proofErr w:type="spellEnd"/>
      <w:r w:rsidRPr="00886520">
        <w:rPr>
          <w:lang w:val="es-PE"/>
        </w:rPr>
        <w:t xml:space="preserve">, </w:t>
      </w:r>
      <w:proofErr w:type="spellStart"/>
      <w:r w:rsidRPr="00886520">
        <w:rPr>
          <w:lang w:val="es-PE"/>
        </w:rPr>
        <w:t>Cū</w:t>
      </w:r>
      <w:r>
        <w:rPr>
          <w:lang w:val="es-PE"/>
        </w:rPr>
        <w:t>ḷ</w:t>
      </w:r>
      <w:r w:rsidRPr="00886520">
        <w:rPr>
          <w:lang w:val="es-PE"/>
        </w:rPr>
        <w:t>a</w:t>
      </w:r>
      <w:proofErr w:type="spellEnd"/>
      <w:r w:rsidRPr="00886520">
        <w:rPr>
          <w:lang w:val="es-PE"/>
        </w:rPr>
        <w:t xml:space="preserve"> XII.71</w:t>
      </w:r>
    </w:p>
    <w:p w14:paraId="34F0F4B8" w14:textId="77777777" w:rsidR="00597DE2" w:rsidRPr="00A10827" w:rsidRDefault="00597DE2" w:rsidP="00597DE2">
      <w:pPr>
        <w:pStyle w:val="ParrafoApendice"/>
        <w:rPr>
          <w:lang w:val="es-PE"/>
        </w:rPr>
      </w:pPr>
      <w:proofErr w:type="spellStart"/>
      <w:r w:rsidRPr="00A10827">
        <w:rPr>
          <w:lang w:val="es-PE"/>
        </w:rPr>
        <w:t>Subhakiṇha</w:t>
      </w:r>
      <w:proofErr w:type="spellEnd"/>
      <w:r w:rsidRPr="00A10827">
        <w:rPr>
          <w:lang w:val="es-PE"/>
        </w:rPr>
        <w:t xml:space="preserve"> (Gloria Refulgente) Deidades XIII.57</w:t>
      </w:r>
    </w:p>
    <w:p w14:paraId="1AE916C1" w14:textId="77777777" w:rsidR="00597DE2" w:rsidRPr="008114E9" w:rsidRDefault="00597DE2" w:rsidP="00597DE2">
      <w:pPr>
        <w:pStyle w:val="ParrafoApendice"/>
        <w:rPr>
          <w:lang w:val="es-PE"/>
        </w:rPr>
      </w:pPr>
      <w:proofErr w:type="spellStart"/>
      <w:r w:rsidRPr="008114E9">
        <w:rPr>
          <w:lang w:val="es-PE"/>
        </w:rPr>
        <w:t>Subrahmā</w:t>
      </w:r>
      <w:proofErr w:type="spellEnd"/>
      <w:r w:rsidRPr="008114E9">
        <w:rPr>
          <w:lang w:val="es-PE"/>
        </w:rPr>
        <w:t xml:space="preserve"> XIII.127 </w:t>
      </w:r>
    </w:p>
    <w:p w14:paraId="7B1AB0C4" w14:textId="77777777" w:rsidR="00597DE2" w:rsidRPr="000C461C" w:rsidRDefault="00597DE2" w:rsidP="00597DE2">
      <w:pPr>
        <w:pStyle w:val="ParrafoApendice"/>
        <w:rPr>
          <w:lang w:val="es-PE"/>
        </w:rPr>
      </w:pPr>
      <w:r w:rsidRPr="000C461C">
        <w:rPr>
          <w:lang w:val="es-PE"/>
        </w:rPr>
        <w:t>substancia (</w:t>
      </w:r>
      <w:proofErr w:type="spellStart"/>
      <w:r w:rsidRPr="000C461C">
        <w:rPr>
          <w:i/>
          <w:iCs/>
          <w:lang w:val="es-PE"/>
        </w:rPr>
        <w:t>drabya</w:t>
      </w:r>
      <w:proofErr w:type="spellEnd"/>
      <w:r w:rsidRPr="000C461C">
        <w:rPr>
          <w:lang w:val="es-PE"/>
        </w:rPr>
        <w:t>) XVIII.n.9</w:t>
      </w:r>
    </w:p>
    <w:p w14:paraId="49FC5A6B" w14:textId="77777777" w:rsidR="00597DE2" w:rsidRPr="005B6D62" w:rsidRDefault="00597DE2" w:rsidP="00597DE2">
      <w:pPr>
        <w:pStyle w:val="ParrafoApendice"/>
        <w:rPr>
          <w:lang w:val="es-PE"/>
        </w:rPr>
      </w:pPr>
      <w:r w:rsidRPr="005B6D62">
        <w:rPr>
          <w:lang w:val="es-PE"/>
        </w:rPr>
        <w:t>suciedad, inmundicia, repugnancia (</w:t>
      </w:r>
      <w:proofErr w:type="spellStart"/>
      <w:r w:rsidRPr="005B6D62">
        <w:rPr>
          <w:i/>
          <w:iCs/>
          <w:lang w:val="es-PE"/>
        </w:rPr>
        <w:t>asubha</w:t>
      </w:r>
      <w:proofErr w:type="spellEnd"/>
      <w:r w:rsidRPr="005B6D62">
        <w:rPr>
          <w:lang w:val="es-PE"/>
        </w:rPr>
        <w:t xml:space="preserve">) I.103, </w:t>
      </w:r>
      <w:r w:rsidRPr="005B6D62">
        <w:rPr>
          <w:strike/>
          <w:color w:val="833C0B" w:themeColor="accent2" w:themeShade="80"/>
          <w:u w:color="000000"/>
          <w:lang w:val="es-PE"/>
        </w:rPr>
        <w:t>122</w:t>
      </w:r>
      <w:r w:rsidRPr="005B6D62">
        <w:rPr>
          <w:lang w:val="es-PE"/>
        </w:rPr>
        <w:t xml:space="preserve">; III.57s., 122, </w:t>
      </w:r>
      <w:r w:rsidRPr="005B6D62">
        <w:rPr>
          <w:strike/>
          <w:color w:val="833C0B" w:themeColor="accent2" w:themeShade="80"/>
          <w:u w:color="000000"/>
          <w:lang w:val="es-PE"/>
        </w:rPr>
        <w:t>n.27</w:t>
      </w:r>
      <w:r w:rsidRPr="005B6D62">
        <w:rPr>
          <w:lang w:val="es-PE"/>
        </w:rPr>
        <w:t xml:space="preserve">; VI </w:t>
      </w:r>
      <w:r w:rsidRPr="005B6D62">
        <w:rPr>
          <w:i/>
          <w:iCs/>
          <w:lang w:val="es-PE"/>
        </w:rPr>
        <w:t>passim</w:t>
      </w:r>
      <w:r w:rsidRPr="005B6D62">
        <w:rPr>
          <w:lang w:val="es-PE"/>
        </w:rPr>
        <w:t xml:space="preserve">; VIII.148; XIV.224; XXII.34, 53 </w:t>
      </w:r>
    </w:p>
    <w:p w14:paraId="7125A797" w14:textId="77777777" w:rsidR="00597DE2" w:rsidRPr="00FD2ABD" w:rsidRDefault="00597DE2" w:rsidP="00597DE2">
      <w:pPr>
        <w:pStyle w:val="ParrafoApendice"/>
        <w:rPr>
          <w:lang w:val="es-PE"/>
        </w:rPr>
      </w:pPr>
      <w:proofErr w:type="spellStart"/>
      <w:r w:rsidRPr="00FD2ABD">
        <w:rPr>
          <w:lang w:val="es-PE"/>
        </w:rPr>
        <w:t>Sudassa</w:t>
      </w:r>
      <w:proofErr w:type="spellEnd"/>
      <w:r w:rsidRPr="00FD2ABD">
        <w:rPr>
          <w:lang w:val="es-PE"/>
        </w:rPr>
        <w:t xml:space="preserve"> (Dignas de Ver) Deidades XIV.193</w:t>
      </w:r>
    </w:p>
    <w:p w14:paraId="4C9B3B33" w14:textId="77777777" w:rsidR="00597DE2" w:rsidRPr="000C461C" w:rsidRDefault="00597DE2" w:rsidP="00597DE2">
      <w:pPr>
        <w:pStyle w:val="ParrafoApendice"/>
        <w:rPr>
          <w:lang w:val="es-PE"/>
        </w:rPr>
      </w:pPr>
      <w:proofErr w:type="spellStart"/>
      <w:r w:rsidRPr="000C461C">
        <w:rPr>
          <w:lang w:val="es-PE"/>
        </w:rPr>
        <w:t>Sudassanapabbata</w:t>
      </w:r>
      <w:proofErr w:type="spellEnd"/>
      <w:r w:rsidRPr="000C461C">
        <w:rPr>
          <w:lang w:val="es-PE"/>
        </w:rPr>
        <w:t xml:space="preserve"> VII.42</w:t>
      </w:r>
    </w:p>
    <w:p w14:paraId="7A3AEA5E" w14:textId="77777777" w:rsidR="00597DE2" w:rsidRPr="00C70A00" w:rsidRDefault="00597DE2" w:rsidP="00597DE2">
      <w:pPr>
        <w:pStyle w:val="ParrafoApendice"/>
        <w:rPr>
          <w:lang w:val="es-PE"/>
        </w:rPr>
      </w:pPr>
      <w:proofErr w:type="spellStart"/>
      <w:r w:rsidRPr="00C70A00">
        <w:rPr>
          <w:lang w:val="es-PE"/>
        </w:rPr>
        <w:t>Sudassin</w:t>
      </w:r>
      <w:proofErr w:type="spellEnd"/>
      <w:r w:rsidRPr="00C70A00">
        <w:rPr>
          <w:lang w:val="es-PE"/>
        </w:rPr>
        <w:t xml:space="preserve"> (Dignas de Ver) Deidades XIV.193 </w:t>
      </w:r>
    </w:p>
    <w:p w14:paraId="413E05FE" w14:textId="77777777" w:rsidR="00597DE2" w:rsidRPr="005F2B15" w:rsidRDefault="00597DE2" w:rsidP="00597DE2">
      <w:pPr>
        <w:pStyle w:val="ParrafoApendice"/>
        <w:rPr>
          <w:lang w:val="es-PE"/>
        </w:rPr>
      </w:pPr>
      <w:proofErr w:type="spellStart"/>
      <w:r w:rsidRPr="005F2B15">
        <w:rPr>
          <w:lang w:val="es-PE"/>
        </w:rPr>
        <w:t>Suddhāvāsa</w:t>
      </w:r>
      <w:proofErr w:type="spellEnd"/>
      <w:r w:rsidRPr="005F2B15">
        <w:rPr>
          <w:lang w:val="es-PE"/>
        </w:rPr>
        <w:t xml:space="preserve">, ver Esferas Puras </w:t>
      </w:r>
    </w:p>
    <w:p w14:paraId="0378C635" w14:textId="77777777" w:rsidR="00597DE2" w:rsidRPr="006E31BD" w:rsidRDefault="00597DE2" w:rsidP="00597DE2">
      <w:pPr>
        <w:pStyle w:val="ParrafoApendice"/>
        <w:rPr>
          <w:lang w:val="es-PE"/>
        </w:rPr>
      </w:pPr>
      <w:r>
        <w:rPr>
          <w:lang w:val="es-PE"/>
        </w:rPr>
        <w:t>sueño</w:t>
      </w:r>
      <w:r w:rsidRPr="006E31BD">
        <w:rPr>
          <w:lang w:val="es-PE"/>
        </w:rPr>
        <w:t xml:space="preserve"> (</w:t>
      </w:r>
      <w:proofErr w:type="spellStart"/>
      <w:r w:rsidRPr="003E4185">
        <w:rPr>
          <w:i/>
          <w:iCs/>
          <w:lang w:val="es-PE"/>
        </w:rPr>
        <w:t>niddā</w:t>
      </w:r>
      <w:proofErr w:type="spellEnd"/>
      <w:r w:rsidRPr="006E31BD">
        <w:rPr>
          <w:lang w:val="es-PE"/>
        </w:rPr>
        <w:t>) XIV.114, 167, n.68</w:t>
      </w:r>
    </w:p>
    <w:p w14:paraId="4B588611" w14:textId="77777777" w:rsidR="00597DE2" w:rsidRPr="005B6D62" w:rsidRDefault="00597DE2" w:rsidP="00597DE2">
      <w:pPr>
        <w:pStyle w:val="ParrafoApendice"/>
        <w:rPr>
          <w:lang w:val="es-PE"/>
        </w:rPr>
      </w:pPr>
      <w:r w:rsidRPr="005B6D62">
        <w:rPr>
          <w:lang w:val="es-PE"/>
        </w:rPr>
        <w:t>sueño (</w:t>
      </w:r>
      <w:r w:rsidRPr="005B6D62">
        <w:rPr>
          <w:i/>
          <w:iCs/>
          <w:lang w:val="es-PE"/>
        </w:rPr>
        <w:t>supina</w:t>
      </w:r>
      <w:r w:rsidRPr="005B6D62">
        <w:rPr>
          <w:lang w:val="es-PE"/>
        </w:rPr>
        <w:t xml:space="preserve">) IX.62; XIV.114, n.45 </w:t>
      </w:r>
    </w:p>
    <w:p w14:paraId="1E1C1777" w14:textId="77777777" w:rsidR="00597DE2" w:rsidRPr="00912E9F" w:rsidRDefault="00597DE2" w:rsidP="00597DE2">
      <w:pPr>
        <w:pStyle w:val="ParrafoApendice"/>
        <w:rPr>
          <w:lang w:val="es-PE"/>
        </w:rPr>
      </w:pPr>
      <w:r>
        <w:rPr>
          <w:lang w:val="es-PE"/>
        </w:rPr>
        <w:t>s</w:t>
      </w:r>
      <w:r w:rsidRPr="005F2B15">
        <w:rPr>
          <w:lang w:val="es-PE"/>
        </w:rPr>
        <w:t>u</w:t>
      </w:r>
      <w:r>
        <w:rPr>
          <w:lang w:val="es-PE"/>
        </w:rPr>
        <w:t xml:space="preserve">frimiento </w:t>
      </w:r>
      <w:r w:rsidRPr="005F2B15">
        <w:rPr>
          <w:lang w:val="es-PE"/>
        </w:rPr>
        <w:t>(</w:t>
      </w:r>
      <w:r w:rsidRPr="005F2B15">
        <w:rPr>
          <w:i/>
          <w:iCs/>
          <w:lang w:val="es-PE"/>
        </w:rPr>
        <w:t>dukkha</w:t>
      </w:r>
      <w:r w:rsidRPr="005F2B15">
        <w:rPr>
          <w:lang w:val="es-PE"/>
        </w:rPr>
        <w:t>) IV.</w:t>
      </w:r>
      <w:r w:rsidRPr="002A425D">
        <w:rPr>
          <w:color w:val="833C0B" w:themeColor="accent2" w:themeShade="80"/>
          <w:lang w:val="es-PE"/>
        </w:rPr>
        <w:t>23s.</w:t>
      </w:r>
      <w:r>
        <w:rPr>
          <w:lang w:val="es-PE"/>
        </w:rPr>
        <w:t>,</w:t>
      </w:r>
      <w:r w:rsidRPr="00D252FE">
        <w:rPr>
          <w:lang w:val="es-PE"/>
        </w:rPr>
        <w:t>63</w:t>
      </w:r>
      <w:r w:rsidRPr="005F2B15">
        <w:rPr>
          <w:lang w:val="es-PE"/>
        </w:rPr>
        <w:t>; VII.27; IX.94; XVI.13</w:t>
      </w:r>
      <w:r w:rsidRPr="009C0967">
        <w:rPr>
          <w:color w:val="833C0B" w:themeColor="accent2" w:themeShade="80"/>
          <w:lang w:val="es-PE"/>
        </w:rPr>
        <w:t>s.</w:t>
      </w:r>
      <w:r w:rsidRPr="005F2B15">
        <w:rPr>
          <w:lang w:val="es-PE"/>
        </w:rPr>
        <w:t>, 16, 32</w:t>
      </w:r>
      <w:r>
        <w:rPr>
          <w:lang w:val="es-PE"/>
        </w:rPr>
        <w:t>s</w:t>
      </w:r>
      <w:r w:rsidRPr="005F2B15">
        <w:rPr>
          <w:lang w:val="es-PE"/>
        </w:rPr>
        <w:t>.; XVII.2</w:t>
      </w:r>
      <w:r w:rsidRPr="00673DAC">
        <w:rPr>
          <w:color w:val="833C0B" w:themeColor="accent2" w:themeShade="80"/>
          <w:lang w:val="es-PE"/>
        </w:rPr>
        <w:t>s.</w:t>
      </w:r>
      <w:r w:rsidRPr="005F2B15">
        <w:rPr>
          <w:lang w:val="es-PE"/>
        </w:rPr>
        <w:t>, 62; XX.</w:t>
      </w:r>
      <w:r w:rsidRPr="007F6170">
        <w:rPr>
          <w:color w:val="833C0B" w:themeColor="accent2" w:themeShade="80"/>
          <w:lang w:val="es-PE"/>
        </w:rPr>
        <w:t>19s.</w:t>
      </w:r>
      <w:r>
        <w:rPr>
          <w:lang w:val="es-PE"/>
        </w:rPr>
        <w:t xml:space="preserve">, </w:t>
      </w:r>
      <w:r w:rsidRPr="005F2B15">
        <w:rPr>
          <w:lang w:val="es-PE"/>
        </w:rPr>
        <w:t xml:space="preserve">47, 100, 130; XXI.37, 41; </w:t>
      </w:r>
      <w:r w:rsidRPr="00912E9F">
        <w:rPr>
          <w:lang w:val="es-PE"/>
        </w:rPr>
        <w:t xml:space="preserve">XXII.14, 48, 93. Ver también </w:t>
      </w:r>
      <w:r w:rsidRPr="00912E9F">
        <w:rPr>
          <w:i/>
          <w:iCs/>
          <w:lang w:val="es-PE"/>
        </w:rPr>
        <w:t>insatisfactoriedad, contemplación de la insatisfactoriedad</w:t>
      </w:r>
    </w:p>
    <w:p w14:paraId="36BCE92D" w14:textId="77777777" w:rsidR="00597DE2" w:rsidRDefault="00597DE2" w:rsidP="00597DE2">
      <w:pPr>
        <w:pStyle w:val="ParrafoApendice"/>
        <w:rPr>
          <w:lang w:val="es-PE"/>
        </w:rPr>
      </w:pPr>
      <w:proofErr w:type="spellStart"/>
      <w:r w:rsidRPr="005B6D62">
        <w:rPr>
          <w:lang w:val="es-PE"/>
        </w:rPr>
        <w:t>Sumana</w:t>
      </w:r>
      <w:proofErr w:type="spellEnd"/>
      <w:r w:rsidRPr="005B6D62">
        <w:rPr>
          <w:lang w:val="es-PE"/>
        </w:rPr>
        <w:t xml:space="preserve"> </w:t>
      </w:r>
      <w:proofErr w:type="spellStart"/>
      <w:r w:rsidRPr="005B6D62">
        <w:rPr>
          <w:lang w:val="es-PE"/>
        </w:rPr>
        <w:t>Thera</w:t>
      </w:r>
      <w:proofErr w:type="spellEnd"/>
      <w:r w:rsidRPr="005B6D62">
        <w:rPr>
          <w:lang w:val="es-PE"/>
        </w:rPr>
        <w:t xml:space="preserve">, </w:t>
      </w:r>
      <w:proofErr w:type="spellStart"/>
      <w:r w:rsidRPr="005B6D62">
        <w:rPr>
          <w:lang w:val="es-PE"/>
        </w:rPr>
        <w:t>Cū</w:t>
      </w:r>
      <w:r>
        <w:rPr>
          <w:lang w:val="es-PE"/>
        </w:rPr>
        <w:t>ḷ</w:t>
      </w:r>
      <w:r w:rsidRPr="005B6D62">
        <w:rPr>
          <w:lang w:val="es-PE"/>
        </w:rPr>
        <w:t>a</w:t>
      </w:r>
      <w:proofErr w:type="spellEnd"/>
      <w:r w:rsidRPr="005B6D62">
        <w:rPr>
          <w:lang w:val="es-PE"/>
        </w:rPr>
        <w:t xml:space="preserve"> XX.110 </w:t>
      </w:r>
    </w:p>
    <w:p w14:paraId="084A3EFD" w14:textId="77777777" w:rsidR="00597DE2" w:rsidRPr="005B6D62" w:rsidRDefault="00597DE2" w:rsidP="00597DE2">
      <w:pPr>
        <w:pStyle w:val="ParrafoApendice"/>
        <w:rPr>
          <w:lang w:val="es-PE"/>
        </w:rPr>
      </w:pPr>
      <w:proofErr w:type="spellStart"/>
      <w:r w:rsidRPr="005B6D62">
        <w:rPr>
          <w:lang w:val="es-PE"/>
        </w:rPr>
        <w:t>Sumana</w:t>
      </w:r>
      <w:proofErr w:type="spellEnd"/>
      <w:r w:rsidRPr="005B6D62">
        <w:rPr>
          <w:lang w:val="es-PE"/>
        </w:rPr>
        <w:t>–</w:t>
      </w:r>
      <w:proofErr w:type="spellStart"/>
      <w:r w:rsidRPr="005B6D62">
        <w:rPr>
          <w:lang w:val="es-PE"/>
        </w:rPr>
        <w:t>devi</w:t>
      </w:r>
      <w:proofErr w:type="spellEnd"/>
      <w:r w:rsidRPr="005B6D62">
        <w:rPr>
          <w:lang w:val="es-PE"/>
        </w:rPr>
        <w:t xml:space="preserve"> XII.42</w:t>
      </w:r>
    </w:p>
    <w:p w14:paraId="235F2902" w14:textId="77777777" w:rsidR="00597DE2" w:rsidRPr="005B6D62" w:rsidRDefault="00597DE2" w:rsidP="00597DE2">
      <w:pPr>
        <w:pStyle w:val="ParrafoApendice"/>
        <w:rPr>
          <w:lang w:val="es-PE"/>
        </w:rPr>
      </w:pPr>
      <w:proofErr w:type="spellStart"/>
      <w:r w:rsidRPr="005B6D62">
        <w:rPr>
          <w:lang w:val="es-PE"/>
        </w:rPr>
        <w:t>Sundarī</w:t>
      </w:r>
      <w:proofErr w:type="spellEnd"/>
      <w:r w:rsidRPr="005B6D62">
        <w:rPr>
          <w:lang w:val="es-PE"/>
        </w:rPr>
        <w:t xml:space="preserve"> XXII.99</w:t>
      </w:r>
    </w:p>
    <w:p w14:paraId="14B4F4F1" w14:textId="77777777" w:rsidR="00597DE2" w:rsidRPr="005B6D62" w:rsidRDefault="00597DE2" w:rsidP="00597DE2">
      <w:pPr>
        <w:pStyle w:val="ParrafoApendice"/>
        <w:rPr>
          <w:lang w:val="es-PE"/>
        </w:rPr>
      </w:pPr>
      <w:proofErr w:type="spellStart"/>
      <w:r w:rsidRPr="005B6D62">
        <w:rPr>
          <w:lang w:val="es-PE"/>
        </w:rPr>
        <w:t>Supaṇṇa</w:t>
      </w:r>
      <w:proofErr w:type="spellEnd"/>
      <w:r w:rsidRPr="005B6D62">
        <w:rPr>
          <w:lang w:val="es-PE"/>
        </w:rPr>
        <w:t xml:space="preserve"> (</w:t>
      </w:r>
      <w:r>
        <w:rPr>
          <w:lang w:val="es-PE"/>
        </w:rPr>
        <w:t>demonio</w:t>
      </w:r>
      <w:r w:rsidRPr="005B6D62">
        <w:rPr>
          <w:lang w:val="es-PE"/>
        </w:rPr>
        <w:t xml:space="preserve">) IV.135; VII.n.17; XII.100, 115, 137, n.19; XXI.46 </w:t>
      </w:r>
    </w:p>
    <w:p w14:paraId="7D257267" w14:textId="77777777" w:rsidR="00597DE2" w:rsidRPr="00D41A7E" w:rsidRDefault="00597DE2" w:rsidP="00597DE2">
      <w:pPr>
        <w:pStyle w:val="ParrafoApendice"/>
        <w:rPr>
          <w:lang w:val="es-PE"/>
        </w:rPr>
      </w:pPr>
      <w:r w:rsidRPr="00D41A7E">
        <w:rPr>
          <w:lang w:val="es-PE"/>
        </w:rPr>
        <w:t>superior (</w:t>
      </w:r>
      <w:proofErr w:type="spellStart"/>
      <w:r w:rsidRPr="00F72996">
        <w:rPr>
          <w:i/>
          <w:iCs/>
          <w:lang w:val="es-PE"/>
        </w:rPr>
        <w:t>paṇīta</w:t>
      </w:r>
      <w:proofErr w:type="spellEnd"/>
      <w:r w:rsidRPr="00D41A7E">
        <w:rPr>
          <w:lang w:val="es-PE"/>
        </w:rPr>
        <w:t xml:space="preserve">) I.33 </w:t>
      </w:r>
    </w:p>
    <w:p w14:paraId="20A2C3BE" w14:textId="77777777" w:rsidR="00597DE2" w:rsidRPr="005B6D62" w:rsidRDefault="00597DE2" w:rsidP="00597DE2">
      <w:pPr>
        <w:pStyle w:val="ParrafoApendice"/>
        <w:rPr>
          <w:lang w:val="es-PE"/>
        </w:rPr>
      </w:pPr>
      <w:r w:rsidRPr="005B6D62">
        <w:rPr>
          <w:lang w:val="es-PE"/>
        </w:rPr>
        <w:t>superior al estado humano (</w:t>
      </w:r>
      <w:proofErr w:type="spellStart"/>
      <w:r w:rsidRPr="005B6D62">
        <w:rPr>
          <w:i/>
          <w:iCs/>
          <w:lang w:val="es-PE"/>
        </w:rPr>
        <w:t>uttari</w:t>
      </w:r>
      <w:proofErr w:type="spellEnd"/>
      <w:r w:rsidRPr="005B6D62">
        <w:rPr>
          <w:i/>
          <w:iCs/>
          <w:lang w:val="es-PE"/>
        </w:rPr>
        <w:t xml:space="preserve"> </w:t>
      </w:r>
      <w:proofErr w:type="spellStart"/>
      <w:r w:rsidRPr="005B6D62">
        <w:rPr>
          <w:i/>
          <w:iCs/>
          <w:lang w:val="es-PE"/>
        </w:rPr>
        <w:t>manussadhamma</w:t>
      </w:r>
      <w:proofErr w:type="spellEnd"/>
      <w:r w:rsidRPr="005B6D62">
        <w:rPr>
          <w:lang w:val="es-PE"/>
        </w:rPr>
        <w:t>) I.69</w:t>
      </w:r>
    </w:p>
    <w:p w14:paraId="1F3C2046" w14:textId="77777777" w:rsidR="00597DE2" w:rsidRPr="00742E9E" w:rsidRDefault="00597DE2" w:rsidP="00597DE2">
      <w:pPr>
        <w:pStyle w:val="ParrafoApendice"/>
        <w:rPr>
          <w:lang w:val="es-PE"/>
        </w:rPr>
      </w:pPr>
      <w:r w:rsidRPr="00742E9E">
        <w:rPr>
          <w:lang w:val="es-PE"/>
        </w:rPr>
        <w:t>supramundano</w:t>
      </w:r>
      <w:r>
        <w:rPr>
          <w:lang w:val="es-PE"/>
        </w:rPr>
        <w:t>/a</w:t>
      </w:r>
      <w:r w:rsidRPr="00742E9E">
        <w:rPr>
          <w:lang w:val="es-PE"/>
        </w:rPr>
        <w:t xml:space="preserve"> (</w:t>
      </w:r>
      <w:proofErr w:type="spellStart"/>
      <w:r w:rsidRPr="00742E9E">
        <w:rPr>
          <w:i/>
          <w:iCs/>
          <w:lang w:val="es-PE"/>
        </w:rPr>
        <w:t>lokuttara</w:t>
      </w:r>
      <w:proofErr w:type="spellEnd"/>
      <w:r w:rsidRPr="00742E9E">
        <w:rPr>
          <w:lang w:val="es-PE"/>
        </w:rPr>
        <w:t>) I.29, 32, 135, n.4; III.5, 7, n.5; VIII.40; XIV.8</w:t>
      </w:r>
      <w:r>
        <w:rPr>
          <w:lang w:val="es-PE"/>
        </w:rPr>
        <w:t>s</w:t>
      </w:r>
      <w:r w:rsidRPr="00742E9E">
        <w:rPr>
          <w:lang w:val="es-PE"/>
        </w:rPr>
        <w:t>., 88, 105, 127, 158, 182, 202, n.36; XVI.</w:t>
      </w:r>
      <w:r w:rsidRPr="00EB2C89">
        <w:rPr>
          <w:color w:val="833C0B" w:themeColor="accent2" w:themeShade="80"/>
          <w:lang w:val="es-PE"/>
        </w:rPr>
        <w:t>11s.,</w:t>
      </w:r>
      <w:r>
        <w:rPr>
          <w:lang w:val="es-PE"/>
        </w:rPr>
        <w:t xml:space="preserve"> </w:t>
      </w:r>
      <w:r w:rsidRPr="00742E9E">
        <w:rPr>
          <w:lang w:val="es-PE"/>
        </w:rPr>
        <w:t>102; XVII.120; XVIII.</w:t>
      </w:r>
      <w:r w:rsidRPr="00E039EF">
        <w:rPr>
          <w:color w:val="833C0B" w:themeColor="accent2" w:themeShade="80"/>
          <w:lang w:val="es-PE"/>
        </w:rPr>
        <w:t>16</w:t>
      </w:r>
      <w:r w:rsidRPr="00742E9E">
        <w:rPr>
          <w:lang w:val="es-PE"/>
        </w:rPr>
        <w:t xml:space="preserve">; XX.12, 31; XXII.36, 122, 124, 128; XXIII.2, 52; </w:t>
      </w:r>
      <w:r w:rsidRPr="00922311">
        <w:rPr>
          <w:i/>
          <w:iCs/>
          <w:lang w:val="es-PE"/>
        </w:rPr>
        <w:t xml:space="preserve">los nueve </w:t>
      </w:r>
      <w:proofErr w:type="gramStart"/>
      <w:r w:rsidRPr="00922311">
        <w:rPr>
          <w:i/>
          <w:iCs/>
          <w:lang w:val="es-PE"/>
        </w:rPr>
        <w:t>estados s</w:t>
      </w:r>
      <w:r>
        <w:rPr>
          <w:lang w:val="es-PE"/>
        </w:rPr>
        <w:t>.</w:t>
      </w:r>
      <w:proofErr w:type="gramEnd"/>
      <w:r w:rsidRPr="00742E9E">
        <w:rPr>
          <w:lang w:val="es-PE"/>
        </w:rPr>
        <w:t xml:space="preserve"> VII.68, 74</w:t>
      </w:r>
      <w:r>
        <w:rPr>
          <w:lang w:val="es-PE"/>
        </w:rPr>
        <w:t>s</w:t>
      </w:r>
      <w:r w:rsidRPr="00742E9E">
        <w:rPr>
          <w:lang w:val="es-PE"/>
        </w:rPr>
        <w:t xml:space="preserve">. </w:t>
      </w:r>
    </w:p>
    <w:p w14:paraId="60AEE582" w14:textId="77777777" w:rsidR="00597DE2" w:rsidRPr="00742E9E" w:rsidRDefault="00597DE2" w:rsidP="00597DE2">
      <w:pPr>
        <w:pStyle w:val="ParrafoApendice"/>
        <w:rPr>
          <w:lang w:val="es-PE"/>
        </w:rPr>
      </w:pPr>
      <w:r w:rsidRPr="00742E9E">
        <w:rPr>
          <w:lang w:val="es-PE"/>
        </w:rPr>
        <w:t>supresión (</w:t>
      </w:r>
      <w:proofErr w:type="spellStart"/>
      <w:r w:rsidRPr="00742E9E">
        <w:rPr>
          <w:i/>
          <w:iCs/>
          <w:lang w:val="es-PE"/>
        </w:rPr>
        <w:t>vikkhambhana</w:t>
      </w:r>
      <w:proofErr w:type="spellEnd"/>
      <w:r w:rsidRPr="00742E9E">
        <w:rPr>
          <w:lang w:val="es-PE"/>
        </w:rPr>
        <w:t xml:space="preserve">) I.12; IV.31, 87; VI.67 </w:t>
      </w:r>
    </w:p>
    <w:p w14:paraId="30A7A264" w14:textId="77777777" w:rsidR="00597DE2" w:rsidRPr="005B6D62" w:rsidRDefault="00597DE2" w:rsidP="00597DE2">
      <w:pPr>
        <w:pStyle w:val="ParrafoApendice"/>
        <w:rPr>
          <w:lang w:val="es-PE"/>
        </w:rPr>
      </w:pPr>
      <w:r w:rsidRPr="005B6D62">
        <w:rPr>
          <w:lang w:val="es-PE"/>
        </w:rPr>
        <w:t>surgido (</w:t>
      </w:r>
      <w:proofErr w:type="spellStart"/>
      <w:r w:rsidRPr="005B6D62">
        <w:rPr>
          <w:i/>
          <w:iCs/>
          <w:lang w:val="es-PE"/>
        </w:rPr>
        <w:t>uppanna</w:t>
      </w:r>
      <w:proofErr w:type="spellEnd"/>
      <w:r w:rsidRPr="005B6D62">
        <w:rPr>
          <w:lang w:val="es-PE"/>
        </w:rPr>
        <w:t xml:space="preserve">) XX.47; XXII.81f. </w:t>
      </w:r>
    </w:p>
    <w:p w14:paraId="2A0D9AF7" w14:textId="77777777" w:rsidR="00597DE2" w:rsidRPr="005B6D62" w:rsidRDefault="00597DE2" w:rsidP="00597DE2">
      <w:pPr>
        <w:pStyle w:val="ParrafoApendice"/>
        <w:rPr>
          <w:lang w:val="es-PE"/>
        </w:rPr>
      </w:pPr>
      <w:r w:rsidRPr="005B6D62">
        <w:rPr>
          <w:lang w:val="es-PE"/>
        </w:rPr>
        <w:t>surgimiento (</w:t>
      </w:r>
      <w:proofErr w:type="spellStart"/>
      <w:r w:rsidRPr="005B6D62">
        <w:rPr>
          <w:i/>
          <w:iCs/>
          <w:lang w:val="es-PE"/>
        </w:rPr>
        <w:t>uppāda</w:t>
      </w:r>
      <w:proofErr w:type="spellEnd"/>
      <w:r w:rsidRPr="005B6D62">
        <w:rPr>
          <w:u w:color="000000"/>
          <w:lang w:val="es-PE"/>
        </w:rPr>
        <w:t>) I.140;</w:t>
      </w:r>
      <w:r w:rsidRPr="005B6D62">
        <w:rPr>
          <w:color w:val="833C0B" w:themeColor="accent2" w:themeShade="80"/>
          <w:u w:color="000000"/>
          <w:lang w:val="es-PE"/>
        </w:rPr>
        <w:t xml:space="preserve"> IV.n.33 {N.H.}</w:t>
      </w:r>
      <w:r w:rsidRPr="005B6D62">
        <w:rPr>
          <w:lang w:val="es-PE"/>
        </w:rPr>
        <w:t xml:space="preserve">; VIII.242, n.54; XIII.111; XIV.80, 190; XX.22, 26; XXI.10, 27, 37, n.6; XXII.5, 44, 79; </w:t>
      </w:r>
      <w:r w:rsidRPr="005B6D62">
        <w:rPr>
          <w:color w:val="833C0B" w:themeColor="accent2" w:themeShade="80"/>
          <w:u w:color="000000"/>
          <w:lang w:val="es-PE"/>
        </w:rPr>
        <w:t>XXIII.7</w:t>
      </w:r>
    </w:p>
    <w:p w14:paraId="66FEB7E4" w14:textId="77777777" w:rsidR="00597DE2" w:rsidRPr="000046F0" w:rsidRDefault="00597DE2" w:rsidP="00597DE2">
      <w:pPr>
        <w:pStyle w:val="ParrafoApendice"/>
        <w:rPr>
          <w:lang w:val="es-PE"/>
        </w:rPr>
      </w:pPr>
      <w:r w:rsidRPr="000046F0">
        <w:rPr>
          <w:lang w:val="es-PE"/>
        </w:rPr>
        <w:t xml:space="preserve">surgimiento sucesivo en lugares </w:t>
      </w:r>
      <w:r>
        <w:rPr>
          <w:lang w:val="es-PE"/>
        </w:rPr>
        <w:t xml:space="preserve">adyacentes </w:t>
      </w:r>
      <w:r w:rsidRPr="000046F0">
        <w:rPr>
          <w:lang w:val="es-PE"/>
        </w:rPr>
        <w:t>(</w:t>
      </w:r>
      <w:proofErr w:type="spellStart"/>
      <w:r w:rsidRPr="000046F0">
        <w:rPr>
          <w:i/>
          <w:iCs/>
          <w:lang w:val="es-PE"/>
        </w:rPr>
        <w:t>desantaruppatti</w:t>
      </w:r>
      <w:proofErr w:type="spellEnd"/>
      <w:r w:rsidRPr="000046F0">
        <w:rPr>
          <w:lang w:val="es-PE"/>
        </w:rPr>
        <w:t>) VIII.n.45, n.54; XI.n.37; XII.n.21; XIV.n.27, n.29</w:t>
      </w:r>
    </w:p>
    <w:p w14:paraId="54E18E94" w14:textId="77777777" w:rsidR="00597DE2" w:rsidRPr="001E76E6" w:rsidRDefault="00597DE2" w:rsidP="00597DE2">
      <w:pPr>
        <w:pStyle w:val="ParrafoApendice"/>
        <w:rPr>
          <w:lang w:val="es-PE"/>
        </w:rPr>
      </w:pPr>
      <w:r w:rsidRPr="00D94DE1">
        <w:rPr>
          <w:lang w:val="es-PE"/>
        </w:rPr>
        <w:t>surgimie</w:t>
      </w:r>
      <w:r>
        <w:rPr>
          <w:lang w:val="es-PE"/>
        </w:rPr>
        <w:t>nto</w:t>
      </w:r>
      <w:r w:rsidRPr="00D94DE1">
        <w:rPr>
          <w:lang w:val="es-PE"/>
        </w:rPr>
        <w:t xml:space="preserve"> </w:t>
      </w:r>
      <w:r>
        <w:rPr>
          <w:lang w:val="es-PE"/>
        </w:rPr>
        <w:t xml:space="preserve">y desaparición, surgir y desaparecer </w:t>
      </w:r>
      <w:r w:rsidRPr="00D94DE1">
        <w:rPr>
          <w:lang w:val="es-PE"/>
        </w:rPr>
        <w:t>(</w:t>
      </w:r>
      <w:proofErr w:type="spellStart"/>
      <w:r w:rsidRPr="00D94DE1">
        <w:rPr>
          <w:i/>
          <w:iCs/>
          <w:lang w:val="es-PE"/>
        </w:rPr>
        <w:t>udayabbaya</w:t>
      </w:r>
      <w:proofErr w:type="spellEnd"/>
      <w:r w:rsidRPr="00D94DE1">
        <w:rPr>
          <w:lang w:val="es-PE"/>
        </w:rPr>
        <w:t>) XIV.224; XVI.35; XVII.283; XX.84, 93</w:t>
      </w:r>
      <w:r>
        <w:rPr>
          <w:lang w:val="es-PE"/>
        </w:rPr>
        <w:t>s</w:t>
      </w:r>
      <w:r w:rsidRPr="00D94DE1">
        <w:rPr>
          <w:lang w:val="es-PE"/>
        </w:rPr>
        <w:t>.; XXI.2</w:t>
      </w:r>
      <w:r>
        <w:rPr>
          <w:lang w:val="es-PE"/>
        </w:rPr>
        <w:t>s</w:t>
      </w:r>
      <w:r w:rsidRPr="00D94DE1">
        <w:rPr>
          <w:lang w:val="es-PE"/>
        </w:rPr>
        <w:t xml:space="preserve">.; XXIII.10. </w:t>
      </w:r>
      <w:r w:rsidRPr="001E76E6">
        <w:rPr>
          <w:lang w:val="es-PE"/>
        </w:rPr>
        <w:t xml:space="preserve">Ver también </w:t>
      </w:r>
      <w:r w:rsidRPr="001E76E6">
        <w:rPr>
          <w:i/>
          <w:iCs/>
          <w:lang w:val="es-PE"/>
        </w:rPr>
        <w:t>contemplación del s. y. d.</w:t>
      </w:r>
      <w:r w:rsidRPr="001E76E6">
        <w:rPr>
          <w:lang w:val="es-PE"/>
        </w:rPr>
        <w:t xml:space="preserve"> </w:t>
      </w:r>
      <w:r>
        <w:rPr>
          <w:lang w:val="es-PE"/>
        </w:rPr>
        <w:br w:type="column"/>
      </w:r>
    </w:p>
    <w:p w14:paraId="6C279B0E" w14:textId="77777777" w:rsidR="00597DE2" w:rsidRPr="00925477" w:rsidRDefault="00597DE2" w:rsidP="00597DE2">
      <w:pPr>
        <w:pStyle w:val="ParrafoApendice"/>
        <w:rPr>
          <w:lang w:val="es-PE"/>
        </w:rPr>
      </w:pPr>
      <w:r w:rsidRPr="00925477">
        <w:rPr>
          <w:lang w:val="es-PE"/>
        </w:rPr>
        <w:t>su</w:t>
      </w:r>
      <w:r>
        <w:rPr>
          <w:lang w:val="es-PE"/>
        </w:rPr>
        <w:t>rgimiento, surgir</w:t>
      </w:r>
      <w:r w:rsidRPr="00925477">
        <w:rPr>
          <w:lang w:val="es-PE"/>
        </w:rPr>
        <w:t xml:space="preserve"> (</w:t>
      </w:r>
      <w:proofErr w:type="spellStart"/>
      <w:r w:rsidRPr="00925477">
        <w:rPr>
          <w:i/>
          <w:iCs/>
          <w:lang w:val="es-PE"/>
        </w:rPr>
        <w:t>udaya</w:t>
      </w:r>
      <w:proofErr w:type="spellEnd"/>
      <w:r w:rsidRPr="00925477">
        <w:rPr>
          <w:lang w:val="es-PE"/>
        </w:rPr>
        <w:t>) VIII.234; XV.15; XVI.35; XX.94, 100</w:t>
      </w:r>
      <w:r>
        <w:rPr>
          <w:lang w:val="es-PE"/>
        </w:rPr>
        <w:t>s</w:t>
      </w:r>
      <w:r w:rsidRPr="00925477">
        <w:rPr>
          <w:lang w:val="es-PE"/>
        </w:rPr>
        <w:t>.; XXI.68</w:t>
      </w:r>
    </w:p>
    <w:p w14:paraId="46745961" w14:textId="77777777" w:rsidR="00597DE2" w:rsidRPr="00F02C80" w:rsidRDefault="00597DE2" w:rsidP="00597DE2">
      <w:pPr>
        <w:pStyle w:val="ParrafoApendice"/>
        <w:rPr>
          <w:lang w:val="es-PE"/>
        </w:rPr>
      </w:pPr>
      <w:r w:rsidRPr="00F02C80">
        <w:rPr>
          <w:lang w:val="es-PE"/>
        </w:rPr>
        <w:t>su</w:t>
      </w:r>
      <w:r>
        <w:rPr>
          <w:lang w:val="es-PE"/>
        </w:rPr>
        <w:t>stentación mental</w:t>
      </w:r>
      <w:r w:rsidRPr="00F02C80">
        <w:rPr>
          <w:lang w:val="es-PE"/>
        </w:rPr>
        <w:t xml:space="preserve"> (</w:t>
      </w:r>
      <w:proofErr w:type="spellStart"/>
      <w:r w:rsidRPr="00F02C80">
        <w:rPr>
          <w:i/>
          <w:iCs/>
          <w:lang w:val="es-PE"/>
        </w:rPr>
        <w:t>vicāra</w:t>
      </w:r>
      <w:proofErr w:type="spellEnd"/>
      <w:r w:rsidRPr="00F02C80">
        <w:rPr>
          <w:lang w:val="es-PE"/>
        </w:rPr>
        <w:t>) I.140; III.5, 21; IV.74, 86, 88</w:t>
      </w:r>
      <w:r>
        <w:rPr>
          <w:lang w:val="es-PE"/>
        </w:rPr>
        <w:t>s</w:t>
      </w:r>
      <w:r w:rsidRPr="00F02C80">
        <w:rPr>
          <w:lang w:val="es-PE"/>
        </w:rPr>
        <w:t>., 132; VII.28; IX.112</w:t>
      </w:r>
      <w:r>
        <w:rPr>
          <w:lang w:val="es-PE"/>
        </w:rPr>
        <w:t>s</w:t>
      </w:r>
      <w:r w:rsidRPr="00F02C80">
        <w:rPr>
          <w:lang w:val="es-PE"/>
        </w:rPr>
        <w:t>.; XIV.86, 133, 136, 157, 170, 176, 180; XVI.86; XVII.160; XX.9; XXIII.</w:t>
      </w:r>
      <w:r w:rsidRPr="009A4410">
        <w:rPr>
          <w:color w:val="833C0B" w:themeColor="accent2" w:themeShade="80"/>
          <w:lang w:val="es-PE"/>
        </w:rPr>
        <w:t xml:space="preserve">21, </w:t>
      </w:r>
      <w:r w:rsidRPr="00F02C80">
        <w:rPr>
          <w:lang w:val="es-PE"/>
        </w:rPr>
        <w:t xml:space="preserve">24, 26 </w:t>
      </w:r>
    </w:p>
    <w:p w14:paraId="7895AA4A" w14:textId="77777777" w:rsidR="00597DE2" w:rsidRPr="005B6D62" w:rsidRDefault="00597DE2" w:rsidP="00597DE2">
      <w:pPr>
        <w:pStyle w:val="ParrafoApendice"/>
        <w:rPr>
          <w:lang w:val="es-PE"/>
        </w:rPr>
      </w:pPr>
      <w:r w:rsidRPr="005B6D62">
        <w:rPr>
          <w:lang w:val="es-PE"/>
        </w:rPr>
        <w:t>sustento (</w:t>
      </w:r>
      <w:proofErr w:type="spellStart"/>
      <w:r w:rsidRPr="005B6D62">
        <w:rPr>
          <w:i/>
          <w:iCs/>
          <w:lang w:val="es-PE"/>
        </w:rPr>
        <w:t>ājīva</w:t>
      </w:r>
      <w:proofErr w:type="spellEnd"/>
      <w:r w:rsidRPr="005B6D62">
        <w:rPr>
          <w:lang w:val="es-PE"/>
        </w:rPr>
        <w:t xml:space="preserve">) I.18, 42, 44, 60, 84, 111, 123; XXII.42, 45, 66 </w:t>
      </w:r>
    </w:p>
    <w:p w14:paraId="20B2C0BC" w14:textId="77777777" w:rsidR="00597DE2" w:rsidRPr="00247975" w:rsidRDefault="00597DE2" w:rsidP="00597DE2">
      <w:pPr>
        <w:pStyle w:val="ParrafoApendice"/>
        <w:rPr>
          <w:lang w:val="es-PE"/>
        </w:rPr>
      </w:pPr>
      <w:r w:rsidRPr="00247975">
        <w:rPr>
          <w:lang w:val="es-PE"/>
        </w:rPr>
        <w:t xml:space="preserve">sustitución de sus </w:t>
      </w:r>
      <w:r>
        <w:rPr>
          <w:lang w:val="es-PE"/>
        </w:rPr>
        <w:t>opuestos</w:t>
      </w:r>
      <w:r w:rsidRPr="00247975">
        <w:rPr>
          <w:lang w:val="es-PE"/>
        </w:rPr>
        <w:t xml:space="preserve"> (</w:t>
      </w:r>
      <w:proofErr w:type="spellStart"/>
      <w:r w:rsidRPr="00247975">
        <w:rPr>
          <w:i/>
          <w:iCs/>
          <w:lang w:val="es-PE"/>
        </w:rPr>
        <w:t>tad</w:t>
      </w:r>
      <w:proofErr w:type="spellEnd"/>
      <w:r w:rsidRPr="00247975">
        <w:rPr>
          <w:i/>
          <w:iCs/>
          <w:lang w:val="es-PE"/>
        </w:rPr>
        <w:t>–</w:t>
      </w:r>
      <w:proofErr w:type="spellStart"/>
      <w:r w:rsidRPr="00247975">
        <w:rPr>
          <w:i/>
          <w:iCs/>
          <w:lang w:val="es-PE"/>
        </w:rPr>
        <w:t>aṅga</w:t>
      </w:r>
      <w:proofErr w:type="spellEnd"/>
      <w:r w:rsidRPr="00247975">
        <w:rPr>
          <w:lang w:val="es-PE"/>
        </w:rPr>
        <w:t xml:space="preserve">) I.12; VIII.236; XXI.18; XXII.110 </w:t>
      </w:r>
    </w:p>
    <w:p w14:paraId="0498BCD9" w14:textId="77777777" w:rsidR="00597DE2" w:rsidRPr="000C461C" w:rsidRDefault="00597DE2" w:rsidP="00597DE2">
      <w:pPr>
        <w:pStyle w:val="ParrafoApendice"/>
        <w:rPr>
          <w:lang w:val="es-PE"/>
        </w:rPr>
      </w:pPr>
      <w:r w:rsidRPr="000C461C">
        <w:rPr>
          <w:lang w:val="es-PE"/>
        </w:rPr>
        <w:t>sutil (</w:t>
      </w:r>
      <w:proofErr w:type="spellStart"/>
      <w:r w:rsidRPr="000C461C">
        <w:rPr>
          <w:i/>
          <w:iCs/>
          <w:lang w:val="es-PE"/>
        </w:rPr>
        <w:t>sukhuma</w:t>
      </w:r>
      <w:proofErr w:type="spellEnd"/>
      <w:r w:rsidRPr="000C461C">
        <w:rPr>
          <w:lang w:val="es-PE"/>
        </w:rPr>
        <w:t xml:space="preserve">) VIII.176; XIV.73; XVI.34 </w:t>
      </w:r>
    </w:p>
    <w:p w14:paraId="72918E6C" w14:textId="77777777" w:rsidR="00597DE2" w:rsidRPr="009C69F6" w:rsidRDefault="00597DE2" w:rsidP="00597DE2">
      <w:pPr>
        <w:pStyle w:val="ParrafoApendice"/>
        <w:rPr>
          <w:lang w:val="es-PE"/>
        </w:rPr>
      </w:pPr>
      <w:proofErr w:type="spellStart"/>
      <w:r w:rsidRPr="009C69F6">
        <w:rPr>
          <w:lang w:val="es-PE"/>
        </w:rPr>
        <w:t>Suyāma</w:t>
      </w:r>
      <w:proofErr w:type="spellEnd"/>
      <w:r w:rsidRPr="009C69F6">
        <w:rPr>
          <w:lang w:val="es-PE"/>
        </w:rPr>
        <w:t xml:space="preserve"> XII.79 </w:t>
      </w:r>
    </w:p>
    <w:p w14:paraId="5511AAE9" w14:textId="77777777" w:rsidR="00597DE2" w:rsidRPr="003B498C" w:rsidRDefault="00597DE2" w:rsidP="00597DE2">
      <w:pPr>
        <w:pStyle w:val="ParrafoApendice"/>
        <w:rPr>
          <w:lang w:val="es-PE"/>
        </w:rPr>
      </w:pPr>
      <w:proofErr w:type="spellStart"/>
      <w:r w:rsidRPr="003B498C">
        <w:rPr>
          <w:lang w:val="es-PE"/>
        </w:rPr>
        <w:t>Ta</w:t>
      </w:r>
      <w:r>
        <w:rPr>
          <w:lang w:val="es-PE"/>
        </w:rPr>
        <w:t>ḷ</w:t>
      </w:r>
      <w:r w:rsidRPr="003B498C">
        <w:rPr>
          <w:lang w:val="es-PE"/>
        </w:rPr>
        <w:t>aṅgara</w:t>
      </w:r>
      <w:proofErr w:type="spellEnd"/>
      <w:r w:rsidRPr="003B498C">
        <w:rPr>
          <w:lang w:val="es-PE"/>
        </w:rPr>
        <w:t xml:space="preserve"> XII.80; XX.111</w:t>
      </w:r>
    </w:p>
    <w:p w14:paraId="21D69938" w14:textId="77777777" w:rsidR="00597DE2" w:rsidRPr="009C69F6" w:rsidRDefault="00597DE2" w:rsidP="00597DE2">
      <w:pPr>
        <w:pStyle w:val="ParrafoApendice"/>
        <w:rPr>
          <w:lang w:val="es-PE"/>
        </w:rPr>
      </w:pPr>
      <w:proofErr w:type="spellStart"/>
      <w:r w:rsidRPr="009C69F6">
        <w:rPr>
          <w:lang w:val="es-PE"/>
        </w:rPr>
        <w:t>Tālaveli</w:t>
      </w:r>
      <w:proofErr w:type="spellEnd"/>
      <w:r w:rsidRPr="009C69F6">
        <w:rPr>
          <w:lang w:val="es-PE"/>
        </w:rPr>
        <w:t>–</w:t>
      </w:r>
      <w:proofErr w:type="spellStart"/>
      <w:r w:rsidRPr="009C69F6">
        <w:rPr>
          <w:lang w:val="es-PE"/>
        </w:rPr>
        <w:t>magga</w:t>
      </w:r>
      <w:proofErr w:type="spellEnd"/>
      <w:r w:rsidRPr="009C69F6">
        <w:rPr>
          <w:lang w:val="es-PE"/>
        </w:rPr>
        <w:t xml:space="preserve"> </w:t>
      </w:r>
      <w:r w:rsidRPr="009C69F6">
        <w:rPr>
          <w:strike/>
          <w:color w:val="833C0B" w:themeColor="accent2" w:themeShade="80"/>
          <w:lang w:val="es-PE"/>
        </w:rPr>
        <w:t>II.16</w:t>
      </w:r>
      <w:r w:rsidRPr="009C69F6">
        <w:rPr>
          <w:lang w:val="es-PE"/>
        </w:rPr>
        <w:t xml:space="preserve"> </w:t>
      </w:r>
    </w:p>
    <w:p w14:paraId="40C0B463" w14:textId="77777777" w:rsidR="00597DE2" w:rsidRPr="009C69F6" w:rsidRDefault="00597DE2" w:rsidP="00597DE2">
      <w:pPr>
        <w:pStyle w:val="ParrafoApendice"/>
        <w:rPr>
          <w:lang w:val="es-PE"/>
        </w:rPr>
      </w:pPr>
      <w:proofErr w:type="spellStart"/>
      <w:r w:rsidRPr="009C69F6">
        <w:rPr>
          <w:lang w:val="es-PE"/>
        </w:rPr>
        <w:t>Tambapaṇṇi</w:t>
      </w:r>
      <w:proofErr w:type="spellEnd"/>
      <w:r w:rsidRPr="009C69F6">
        <w:rPr>
          <w:lang w:val="es-PE"/>
        </w:rPr>
        <w:t>–</w:t>
      </w:r>
      <w:proofErr w:type="spellStart"/>
      <w:r w:rsidRPr="009C69F6">
        <w:rPr>
          <w:lang w:val="es-PE"/>
        </w:rPr>
        <w:t>dīpa</w:t>
      </w:r>
      <w:proofErr w:type="spellEnd"/>
      <w:r w:rsidRPr="009C69F6">
        <w:rPr>
          <w:lang w:val="es-PE"/>
        </w:rPr>
        <w:t xml:space="preserve"> (Sri Lanka) I.99; IV.36; IX.64; XII.80, 83, 123; XX.n.1 </w:t>
      </w:r>
    </w:p>
    <w:p w14:paraId="3BD518E6" w14:textId="77777777" w:rsidR="00597DE2" w:rsidRPr="005B6D62" w:rsidRDefault="00597DE2" w:rsidP="00597DE2">
      <w:pPr>
        <w:pStyle w:val="ParrafoApendice"/>
        <w:rPr>
          <w:lang w:val="es-PE"/>
        </w:rPr>
      </w:pPr>
      <w:r>
        <w:rPr>
          <w:lang w:val="es-PE"/>
        </w:rPr>
        <w:t xml:space="preserve">tarea preparatoria </w:t>
      </w:r>
      <w:r w:rsidRPr="005B6D62">
        <w:rPr>
          <w:lang w:val="es-PE"/>
        </w:rPr>
        <w:t>(</w:t>
      </w:r>
      <w:proofErr w:type="spellStart"/>
      <w:r w:rsidRPr="00D676D5">
        <w:rPr>
          <w:i/>
          <w:iCs/>
          <w:lang w:val="es-PE"/>
        </w:rPr>
        <w:t>pubba</w:t>
      </w:r>
      <w:proofErr w:type="spellEnd"/>
      <w:r w:rsidRPr="00D676D5">
        <w:rPr>
          <w:i/>
          <w:iCs/>
          <w:lang w:val="es-PE"/>
        </w:rPr>
        <w:t>–</w:t>
      </w:r>
      <w:proofErr w:type="spellStart"/>
      <w:r w:rsidRPr="00D676D5">
        <w:rPr>
          <w:i/>
          <w:iCs/>
          <w:lang w:val="es-PE"/>
        </w:rPr>
        <w:t>kicca</w:t>
      </w:r>
      <w:proofErr w:type="spellEnd"/>
      <w:r w:rsidRPr="005B6D62">
        <w:rPr>
          <w:lang w:val="es-PE"/>
        </w:rPr>
        <w:t>) III.16; XXIII.31</w:t>
      </w:r>
      <w:r>
        <w:rPr>
          <w:lang w:val="es-PE"/>
        </w:rPr>
        <w:t>s</w:t>
      </w:r>
      <w:r w:rsidRPr="005B6D62">
        <w:rPr>
          <w:lang w:val="es-PE"/>
        </w:rPr>
        <w:t xml:space="preserve">. </w:t>
      </w:r>
    </w:p>
    <w:p w14:paraId="79290EB6" w14:textId="77777777" w:rsidR="00597DE2" w:rsidRPr="002D0A11" w:rsidRDefault="00597DE2" w:rsidP="00597DE2">
      <w:pPr>
        <w:pStyle w:val="ParrafoApendice"/>
        <w:rPr>
          <w:lang w:val="es-PE"/>
        </w:rPr>
      </w:pPr>
      <w:proofErr w:type="spellStart"/>
      <w:r w:rsidRPr="002D0A11">
        <w:rPr>
          <w:lang w:val="es-PE"/>
        </w:rPr>
        <w:t>Tāvatiṃsā</w:t>
      </w:r>
      <w:proofErr w:type="spellEnd"/>
      <w:r>
        <w:rPr>
          <w:lang w:val="es-PE"/>
        </w:rPr>
        <w:t>,</w:t>
      </w:r>
      <w:r w:rsidRPr="002D0A11">
        <w:rPr>
          <w:lang w:val="es-PE"/>
        </w:rPr>
        <w:t xml:space="preserve"> Lo</w:t>
      </w:r>
      <w:r>
        <w:rPr>
          <w:lang w:val="es-PE"/>
        </w:rPr>
        <w:t xml:space="preserve">s Treinta y Tres </w:t>
      </w:r>
      <w:r w:rsidRPr="002D0A11">
        <w:rPr>
          <w:lang w:val="es-PE"/>
        </w:rPr>
        <w:t>(</w:t>
      </w:r>
      <w:r>
        <w:rPr>
          <w:lang w:val="es-PE"/>
        </w:rPr>
        <w:t>Dioses</w:t>
      </w:r>
      <w:r w:rsidRPr="002D0A11">
        <w:rPr>
          <w:lang w:val="es-PE"/>
        </w:rPr>
        <w:t xml:space="preserve">) </w:t>
      </w:r>
      <w:r>
        <w:rPr>
          <w:lang w:val="es-PE"/>
        </w:rPr>
        <w:t xml:space="preserve">Cielo </w:t>
      </w:r>
      <w:r w:rsidRPr="002D0A11">
        <w:rPr>
          <w:lang w:val="es-PE"/>
        </w:rPr>
        <w:t>VII.43</w:t>
      </w:r>
      <w:r>
        <w:rPr>
          <w:lang w:val="es-PE"/>
        </w:rPr>
        <w:t>s</w:t>
      </w:r>
      <w:r w:rsidRPr="002D0A11">
        <w:rPr>
          <w:lang w:val="es-PE"/>
        </w:rPr>
        <w:t>.; XII.72, 108; XIII.41</w:t>
      </w:r>
    </w:p>
    <w:p w14:paraId="3726502F" w14:textId="77777777" w:rsidR="00597DE2" w:rsidRPr="005B6D62" w:rsidRDefault="00597DE2" w:rsidP="00597DE2">
      <w:pPr>
        <w:pStyle w:val="ParrafoApendice"/>
        <w:rPr>
          <w:lang w:val="es-PE"/>
        </w:rPr>
      </w:pPr>
      <w:r w:rsidRPr="005B6D62">
        <w:rPr>
          <w:lang w:val="es-PE"/>
        </w:rPr>
        <w:t>temor (</w:t>
      </w:r>
      <w:proofErr w:type="spellStart"/>
      <w:r w:rsidRPr="005B6D62">
        <w:rPr>
          <w:i/>
          <w:iCs/>
          <w:lang w:val="es-PE"/>
        </w:rPr>
        <w:t>bhaya</w:t>
      </w:r>
      <w:proofErr w:type="spellEnd"/>
      <w:r w:rsidRPr="005B6D62">
        <w:rPr>
          <w:lang w:val="es-PE"/>
        </w:rPr>
        <w:t xml:space="preserve">) III.124. Consultar también </w:t>
      </w:r>
      <w:r w:rsidRPr="005B6D62">
        <w:rPr>
          <w:i/>
          <w:iCs/>
          <w:lang w:val="es-PE"/>
        </w:rPr>
        <w:t>terror</w:t>
      </w:r>
      <w:r w:rsidRPr="005B6D62">
        <w:rPr>
          <w:lang w:val="es-PE"/>
        </w:rPr>
        <w:t xml:space="preserve">, y </w:t>
      </w:r>
      <w:r w:rsidRPr="005B6D62">
        <w:rPr>
          <w:i/>
          <w:iCs/>
          <w:lang w:val="es-PE"/>
        </w:rPr>
        <w:t>apariencia como t.</w:t>
      </w:r>
    </w:p>
    <w:p w14:paraId="53DEDC7C" w14:textId="77777777" w:rsidR="00597DE2" w:rsidRPr="0009372F" w:rsidRDefault="00597DE2" w:rsidP="00597DE2">
      <w:pPr>
        <w:pStyle w:val="ParrafoApendice"/>
        <w:rPr>
          <w:lang w:val="es-PE"/>
        </w:rPr>
      </w:pPr>
      <w:r w:rsidRPr="0009372F">
        <w:rPr>
          <w:color w:val="833C0B" w:themeColor="accent2" w:themeShade="80"/>
          <w:lang w:val="es-PE"/>
        </w:rPr>
        <w:t xml:space="preserve">temor moral </w:t>
      </w:r>
      <w:r w:rsidRPr="0009372F">
        <w:rPr>
          <w:lang w:val="es-PE"/>
        </w:rPr>
        <w:t>(</w:t>
      </w:r>
      <w:proofErr w:type="spellStart"/>
      <w:r w:rsidRPr="0009372F">
        <w:rPr>
          <w:i/>
          <w:iCs/>
          <w:lang w:val="es-PE"/>
        </w:rPr>
        <w:t>ottappa</w:t>
      </w:r>
      <w:proofErr w:type="spellEnd"/>
      <w:r w:rsidRPr="0009372F">
        <w:rPr>
          <w:lang w:val="es-PE"/>
        </w:rPr>
        <w:t>) I.22, 48; VII.n.8; XIV.133, 142, 155</w:t>
      </w:r>
    </w:p>
    <w:p w14:paraId="27BD70D7" w14:textId="77777777" w:rsidR="00597DE2" w:rsidRDefault="00597DE2" w:rsidP="00597DE2">
      <w:pPr>
        <w:pStyle w:val="ParrafoApendice"/>
        <w:rPr>
          <w:lang w:val="es-PE"/>
        </w:rPr>
      </w:pPr>
      <w:r w:rsidRPr="00F5183C">
        <w:rPr>
          <w:lang w:val="es-PE"/>
        </w:rPr>
        <w:t xml:space="preserve">temperamento, </w:t>
      </w:r>
      <w:r>
        <w:rPr>
          <w:lang w:val="es-PE"/>
        </w:rPr>
        <w:t xml:space="preserve">comportamiento </w:t>
      </w:r>
      <w:r w:rsidRPr="00F5183C">
        <w:rPr>
          <w:lang w:val="es-PE"/>
        </w:rPr>
        <w:t>(</w:t>
      </w:r>
      <w:r w:rsidRPr="00F5183C">
        <w:rPr>
          <w:i/>
          <w:iCs/>
          <w:lang w:val="es-PE"/>
        </w:rPr>
        <w:t>carita, cariya</w:t>
      </w:r>
      <w:r w:rsidRPr="00F5183C">
        <w:rPr>
          <w:lang w:val="es-PE"/>
        </w:rPr>
        <w:t>) II.86; III.74</w:t>
      </w:r>
      <w:r>
        <w:rPr>
          <w:lang w:val="es-PE"/>
        </w:rPr>
        <w:t>s</w:t>
      </w:r>
      <w:r w:rsidRPr="00F5183C">
        <w:rPr>
          <w:lang w:val="es-PE"/>
        </w:rPr>
        <w:t xml:space="preserve">.; 95, 121; VI.83, 85; VIII.112, 159; XVII.286 </w:t>
      </w:r>
    </w:p>
    <w:p w14:paraId="299EC23F" w14:textId="77777777" w:rsidR="00597DE2" w:rsidRPr="00F5183C" w:rsidRDefault="00597DE2" w:rsidP="00597DE2">
      <w:pPr>
        <w:pStyle w:val="ParrafoApendice"/>
        <w:rPr>
          <w:lang w:val="es-PE"/>
        </w:rPr>
      </w:pPr>
      <w:r>
        <w:rPr>
          <w:lang w:val="es-PE"/>
        </w:rPr>
        <w:t>temperatura</w:t>
      </w:r>
      <w:r w:rsidRPr="00F5183C">
        <w:rPr>
          <w:lang w:val="es-PE"/>
        </w:rPr>
        <w:t xml:space="preserve"> (</w:t>
      </w:r>
      <w:proofErr w:type="spellStart"/>
      <w:r w:rsidRPr="00CD64F3">
        <w:rPr>
          <w:i/>
          <w:iCs/>
          <w:lang w:val="es-PE"/>
        </w:rPr>
        <w:t>utu</w:t>
      </w:r>
      <w:proofErr w:type="spellEnd"/>
      <w:r w:rsidRPr="00F5183C">
        <w:rPr>
          <w:lang w:val="es-PE"/>
        </w:rPr>
        <w:t xml:space="preserve">) I.86; XIV.47, 188; XVII.106, 193; XVIII.5; XIX.9; </w:t>
      </w:r>
      <w:r w:rsidRPr="00913710">
        <w:rPr>
          <w:i/>
          <w:iCs/>
          <w:lang w:val="es-PE"/>
        </w:rPr>
        <w:t>originado por la temperatura</w:t>
      </w:r>
      <w:r>
        <w:rPr>
          <w:lang w:val="es-PE"/>
        </w:rPr>
        <w:t xml:space="preserve"> </w:t>
      </w:r>
      <w:r w:rsidRPr="00F5183C">
        <w:rPr>
          <w:lang w:val="es-PE"/>
        </w:rPr>
        <w:t>(</w:t>
      </w:r>
      <w:proofErr w:type="spellStart"/>
      <w:r w:rsidRPr="00913710">
        <w:rPr>
          <w:i/>
          <w:iCs/>
          <w:lang w:val="es-PE"/>
        </w:rPr>
        <w:t>utu</w:t>
      </w:r>
      <w:proofErr w:type="spellEnd"/>
      <w:r w:rsidRPr="00913710">
        <w:rPr>
          <w:i/>
          <w:iCs/>
          <w:lang w:val="es-PE"/>
        </w:rPr>
        <w:t>–</w:t>
      </w:r>
      <w:proofErr w:type="spellStart"/>
      <w:r w:rsidRPr="00913710">
        <w:rPr>
          <w:i/>
          <w:iCs/>
          <w:lang w:val="es-PE"/>
        </w:rPr>
        <w:t>samuṭṭhāna</w:t>
      </w:r>
      <w:proofErr w:type="spellEnd"/>
      <w:r w:rsidRPr="00F5183C">
        <w:rPr>
          <w:lang w:val="es-PE"/>
        </w:rPr>
        <w:t>) XIV.61, 75; XVII.193; XIX.9; XX.27, 39</w:t>
      </w:r>
      <w:r>
        <w:rPr>
          <w:lang w:val="es-PE"/>
        </w:rPr>
        <w:t>s</w:t>
      </w:r>
      <w:r w:rsidRPr="00F5183C">
        <w:rPr>
          <w:lang w:val="es-PE"/>
        </w:rPr>
        <w:t xml:space="preserve">. </w:t>
      </w:r>
    </w:p>
    <w:p w14:paraId="4A8EB211" w14:textId="77777777" w:rsidR="00597DE2" w:rsidRPr="005B6D62" w:rsidRDefault="00597DE2" w:rsidP="00597DE2">
      <w:pPr>
        <w:pStyle w:val="ParrafoApendice"/>
        <w:rPr>
          <w:lang w:val="es-PE"/>
        </w:rPr>
      </w:pPr>
      <w:r w:rsidRPr="005B6D62">
        <w:rPr>
          <w:lang w:val="es-PE"/>
        </w:rPr>
        <w:t>tendencia subyacente (</w:t>
      </w:r>
      <w:proofErr w:type="spellStart"/>
      <w:r w:rsidRPr="005B6D62">
        <w:rPr>
          <w:i/>
          <w:iCs/>
          <w:lang w:val="es-PE"/>
        </w:rPr>
        <w:t>anusaya</w:t>
      </w:r>
      <w:proofErr w:type="spellEnd"/>
      <w:r w:rsidRPr="005B6D62">
        <w:rPr>
          <w:lang w:val="es-PE"/>
        </w:rPr>
        <w:t xml:space="preserve">) I.13; VII.59; </w:t>
      </w:r>
      <w:r w:rsidRPr="005B6D62">
        <w:rPr>
          <w:strike/>
          <w:color w:val="833C0B" w:themeColor="accent2" w:themeShade="80"/>
          <w:u w:color="000000"/>
          <w:lang w:val="es-PE"/>
        </w:rPr>
        <w:t>IX.88</w:t>
      </w:r>
      <w:r w:rsidRPr="005B6D62">
        <w:rPr>
          <w:lang w:val="es-PE"/>
        </w:rPr>
        <w:t xml:space="preserve">; XVI.64, n.18; XVII.238; XX.n.33; XXII.45, 60, 73, </w:t>
      </w:r>
      <w:r w:rsidRPr="005B6D62">
        <w:rPr>
          <w:color w:val="833C0B" w:themeColor="accent2" w:themeShade="80"/>
          <w:u w:color="000000"/>
          <w:lang w:val="es-PE"/>
        </w:rPr>
        <w:t>79</w:t>
      </w:r>
      <w:r w:rsidRPr="005B6D62">
        <w:rPr>
          <w:lang w:val="es-PE"/>
        </w:rPr>
        <w:t xml:space="preserve">. </w:t>
      </w:r>
    </w:p>
    <w:p w14:paraId="5F522571" w14:textId="77777777" w:rsidR="00597DE2" w:rsidRPr="001173E5" w:rsidRDefault="00597DE2" w:rsidP="00597DE2">
      <w:pPr>
        <w:pStyle w:val="ParrafoApendice"/>
        <w:rPr>
          <w:lang w:val="es-PE"/>
        </w:rPr>
      </w:pPr>
      <w:r w:rsidRPr="001173E5">
        <w:rPr>
          <w:lang w:val="es-PE"/>
        </w:rPr>
        <w:t>teoría (</w:t>
      </w:r>
      <w:proofErr w:type="spellStart"/>
      <w:r w:rsidRPr="001173E5">
        <w:rPr>
          <w:i/>
          <w:iCs/>
          <w:lang w:val="es-PE"/>
        </w:rPr>
        <w:t>paṭipatti</w:t>
      </w:r>
      <w:proofErr w:type="spellEnd"/>
      <w:r w:rsidRPr="001173E5">
        <w:rPr>
          <w:lang w:val="es-PE"/>
        </w:rPr>
        <w:t xml:space="preserve">) XIV.163, 177; XVI.85; XVII.52, 303 </w:t>
      </w:r>
    </w:p>
    <w:p w14:paraId="6D735623" w14:textId="77777777" w:rsidR="00597DE2" w:rsidRPr="00772434" w:rsidRDefault="00597DE2" w:rsidP="00597DE2">
      <w:pPr>
        <w:pStyle w:val="ParrafoApendice"/>
        <w:rPr>
          <w:lang w:val="es-PE"/>
        </w:rPr>
      </w:pPr>
      <w:r w:rsidRPr="00772434">
        <w:rPr>
          <w:lang w:val="es-PE"/>
        </w:rPr>
        <w:t>t</w:t>
      </w:r>
      <w:r>
        <w:rPr>
          <w:lang w:val="es-PE"/>
        </w:rPr>
        <w:t>é</w:t>
      </w:r>
      <w:r w:rsidRPr="00772434">
        <w:rPr>
          <w:lang w:val="es-PE"/>
        </w:rPr>
        <w:t xml:space="preserve">rminos de, </w:t>
      </w:r>
      <w:r>
        <w:rPr>
          <w:lang w:val="es-PE"/>
        </w:rPr>
        <w:t>e</w:t>
      </w:r>
      <w:r w:rsidRPr="00772434">
        <w:rPr>
          <w:lang w:val="es-PE"/>
        </w:rPr>
        <w:t>n (</w:t>
      </w:r>
      <w:r w:rsidRPr="00772434">
        <w:rPr>
          <w:i/>
          <w:iCs/>
          <w:lang w:val="es-PE"/>
        </w:rPr>
        <w:t>adhiṭṭhāna</w:t>
      </w:r>
      <w:r w:rsidRPr="00772434">
        <w:rPr>
          <w:lang w:val="es-PE"/>
        </w:rPr>
        <w:t>) I.52; IV.</w:t>
      </w:r>
      <w:r w:rsidRPr="007C1EA3">
        <w:rPr>
          <w:color w:val="833C0B" w:themeColor="accent2" w:themeShade="80"/>
          <w:lang w:val="es-PE"/>
        </w:rPr>
        <w:t>n.28</w:t>
      </w:r>
      <w:r w:rsidRPr="00772434">
        <w:rPr>
          <w:lang w:val="es-PE"/>
        </w:rPr>
        <w:t xml:space="preserve"> </w:t>
      </w:r>
    </w:p>
    <w:p w14:paraId="7CBC60BE" w14:textId="77777777" w:rsidR="00597DE2" w:rsidRPr="001173E5" w:rsidRDefault="00597DE2" w:rsidP="00597DE2">
      <w:pPr>
        <w:pStyle w:val="ParrafoApendice"/>
        <w:rPr>
          <w:lang w:val="es-PE"/>
        </w:rPr>
      </w:pPr>
      <w:r w:rsidRPr="001173E5">
        <w:rPr>
          <w:lang w:val="es-PE"/>
        </w:rPr>
        <w:t>terror (</w:t>
      </w:r>
      <w:proofErr w:type="spellStart"/>
      <w:r w:rsidRPr="001173E5">
        <w:rPr>
          <w:i/>
          <w:iCs/>
          <w:lang w:val="es-PE"/>
        </w:rPr>
        <w:t>bhaya</w:t>
      </w:r>
      <w:proofErr w:type="spellEnd"/>
      <w:r w:rsidRPr="001173E5">
        <w:rPr>
          <w:lang w:val="es-PE"/>
        </w:rPr>
        <w:t xml:space="preserve">) XX.15; XXI.26, 29s., 61, 69 ver también </w:t>
      </w:r>
      <w:r w:rsidRPr="001173E5">
        <w:rPr>
          <w:i/>
          <w:iCs/>
          <w:lang w:val="es-PE"/>
        </w:rPr>
        <w:t>apariencia como terror</w:t>
      </w:r>
      <w:r w:rsidRPr="001173E5">
        <w:rPr>
          <w:lang w:val="es-PE"/>
        </w:rPr>
        <w:t xml:space="preserve">, </w:t>
      </w:r>
      <w:r>
        <w:rPr>
          <w:lang w:val="es-PE"/>
        </w:rPr>
        <w:t xml:space="preserve">y </w:t>
      </w:r>
      <w:r w:rsidRPr="001173E5">
        <w:rPr>
          <w:i/>
          <w:iCs/>
          <w:lang w:val="es-PE"/>
        </w:rPr>
        <w:t>temor</w:t>
      </w:r>
    </w:p>
    <w:p w14:paraId="61D845BE" w14:textId="77777777" w:rsidR="00597DE2" w:rsidRPr="009C69F6" w:rsidRDefault="00597DE2" w:rsidP="00597DE2">
      <w:pPr>
        <w:pStyle w:val="ParrafoApendice"/>
        <w:rPr>
          <w:lang w:val="es-PE"/>
        </w:rPr>
      </w:pPr>
      <w:proofErr w:type="spellStart"/>
      <w:r w:rsidRPr="009C69F6">
        <w:rPr>
          <w:lang w:val="es-PE"/>
        </w:rPr>
        <w:t>Therambatthala</w:t>
      </w:r>
      <w:proofErr w:type="spellEnd"/>
      <w:r w:rsidRPr="009C69F6">
        <w:rPr>
          <w:lang w:val="es-PE"/>
        </w:rPr>
        <w:t xml:space="preserve"> IV.135; XII.9 </w:t>
      </w:r>
    </w:p>
    <w:p w14:paraId="40F87971" w14:textId="77777777" w:rsidR="00597DE2" w:rsidRPr="00D86CCF" w:rsidRDefault="00597DE2" w:rsidP="00597DE2">
      <w:pPr>
        <w:pStyle w:val="ParrafoApendice"/>
        <w:rPr>
          <w:lang w:val="es-PE"/>
        </w:rPr>
      </w:pPr>
      <w:proofErr w:type="spellStart"/>
      <w:r w:rsidRPr="00D86CCF">
        <w:rPr>
          <w:lang w:val="es-PE"/>
        </w:rPr>
        <w:t>Thūpārāma</w:t>
      </w:r>
      <w:proofErr w:type="spellEnd"/>
      <w:r w:rsidRPr="00D86CCF">
        <w:rPr>
          <w:lang w:val="es-PE"/>
        </w:rPr>
        <w:t xml:space="preserve"> III.31 </w:t>
      </w:r>
    </w:p>
    <w:p w14:paraId="1757C1B7" w14:textId="77777777" w:rsidR="00597DE2" w:rsidRPr="009C69F6" w:rsidRDefault="00597DE2" w:rsidP="00597DE2">
      <w:pPr>
        <w:pStyle w:val="ParrafoApendice"/>
        <w:rPr>
          <w:lang w:val="es-PE"/>
        </w:rPr>
      </w:pPr>
      <w:r>
        <w:rPr>
          <w:lang w:val="es-PE"/>
        </w:rPr>
        <w:t>tiempo, momento</w:t>
      </w:r>
      <w:r w:rsidRPr="009C69F6">
        <w:rPr>
          <w:lang w:val="es-PE"/>
        </w:rPr>
        <w:t xml:space="preserve"> (</w:t>
      </w:r>
      <w:proofErr w:type="spellStart"/>
      <w:r w:rsidRPr="003068C1">
        <w:rPr>
          <w:i/>
          <w:iCs/>
          <w:lang w:val="es-PE"/>
        </w:rPr>
        <w:t>kā</w:t>
      </w:r>
      <w:r>
        <w:rPr>
          <w:i/>
          <w:iCs/>
          <w:lang w:val="es-PE"/>
        </w:rPr>
        <w:t>ḷ</w:t>
      </w:r>
      <w:r w:rsidRPr="003068C1">
        <w:rPr>
          <w:i/>
          <w:iCs/>
          <w:lang w:val="es-PE"/>
        </w:rPr>
        <w:t>a</w:t>
      </w:r>
      <w:proofErr w:type="spellEnd"/>
      <w:r w:rsidRPr="009C69F6">
        <w:rPr>
          <w:lang w:val="es-PE"/>
        </w:rPr>
        <w:t>) VII.n.7; VIII.32; XIV.n.71; XVI.85; XVII.75, n.3</w:t>
      </w:r>
    </w:p>
    <w:p w14:paraId="1CAF3EE8" w14:textId="77777777" w:rsidR="00597DE2" w:rsidRDefault="00597DE2" w:rsidP="00597DE2">
      <w:pPr>
        <w:pStyle w:val="ParrafoApendice"/>
        <w:rPr>
          <w:lang w:val="es-PE"/>
        </w:rPr>
      </w:pPr>
      <w:r w:rsidRPr="005B6D62">
        <w:rPr>
          <w:lang w:val="es-PE"/>
        </w:rPr>
        <w:t>tierra (</w:t>
      </w:r>
      <w:proofErr w:type="spellStart"/>
      <w:r w:rsidRPr="005B6D62">
        <w:rPr>
          <w:i/>
          <w:iCs/>
          <w:lang w:val="es-PE"/>
        </w:rPr>
        <w:t>pathavī</w:t>
      </w:r>
      <w:proofErr w:type="spellEnd"/>
      <w:r w:rsidRPr="005B6D62">
        <w:rPr>
          <w:lang w:val="es-PE"/>
        </w:rPr>
        <w:t xml:space="preserve">) VII.41; XI.28s., 33, 41, 87; XIII.43, 99; XIV.35, 62; XV.30, 34, 39; XVIII.19; </w:t>
      </w:r>
      <w:proofErr w:type="spellStart"/>
      <w:r w:rsidRPr="005B6D62">
        <w:rPr>
          <w:i/>
          <w:iCs/>
          <w:lang w:val="es-PE"/>
        </w:rPr>
        <w:t>element</w:t>
      </w:r>
      <w:proofErr w:type="spellEnd"/>
      <w:r w:rsidRPr="005B6D62">
        <w:rPr>
          <w:i/>
          <w:iCs/>
          <w:lang w:val="es-PE"/>
        </w:rPr>
        <w:t xml:space="preserve"> t.</w:t>
      </w:r>
      <w:r w:rsidRPr="005B6D62">
        <w:rPr>
          <w:lang w:val="es-PE"/>
        </w:rPr>
        <w:t xml:space="preserve"> (</w:t>
      </w:r>
      <w:proofErr w:type="spellStart"/>
      <w:r w:rsidRPr="005B6D62">
        <w:rPr>
          <w:i/>
          <w:iCs/>
          <w:lang w:val="es-PE"/>
        </w:rPr>
        <w:t>pathavī</w:t>
      </w:r>
      <w:proofErr w:type="spellEnd"/>
      <w:r w:rsidRPr="005B6D62">
        <w:rPr>
          <w:i/>
          <w:iCs/>
          <w:lang w:val="es-PE"/>
        </w:rPr>
        <w:t>–</w:t>
      </w:r>
      <w:proofErr w:type="spellStart"/>
      <w:r w:rsidRPr="005B6D62">
        <w:rPr>
          <w:i/>
          <w:iCs/>
          <w:lang w:val="es-PE"/>
        </w:rPr>
        <w:t>dhātu</w:t>
      </w:r>
      <w:proofErr w:type="spellEnd"/>
      <w:r w:rsidRPr="005B6D62">
        <w:rPr>
          <w:lang w:val="es-PE"/>
        </w:rPr>
        <w:t xml:space="preserve">), consultar tierra; </w:t>
      </w:r>
      <w:proofErr w:type="spellStart"/>
      <w:r w:rsidRPr="005B6D62">
        <w:rPr>
          <w:i/>
          <w:iCs/>
          <w:lang w:val="es-PE"/>
        </w:rPr>
        <w:t>kasiṇa</w:t>
      </w:r>
      <w:proofErr w:type="spellEnd"/>
      <w:r w:rsidRPr="005B6D62">
        <w:rPr>
          <w:i/>
          <w:iCs/>
          <w:lang w:val="es-PE"/>
        </w:rPr>
        <w:t xml:space="preserve"> tierra</w:t>
      </w:r>
      <w:r w:rsidRPr="005B6D62">
        <w:rPr>
          <w:lang w:val="es-PE"/>
        </w:rPr>
        <w:t xml:space="preserve"> (</w:t>
      </w:r>
      <w:proofErr w:type="spellStart"/>
      <w:r w:rsidRPr="005B6D62">
        <w:rPr>
          <w:i/>
          <w:iCs/>
          <w:lang w:val="es-PE"/>
        </w:rPr>
        <w:t>pathavī</w:t>
      </w:r>
      <w:proofErr w:type="spellEnd"/>
      <w:r w:rsidRPr="005B6D62">
        <w:rPr>
          <w:i/>
          <w:iCs/>
          <w:lang w:val="es-PE"/>
        </w:rPr>
        <w:t>–</w:t>
      </w:r>
      <w:proofErr w:type="spellStart"/>
      <w:r w:rsidRPr="005B6D62">
        <w:rPr>
          <w:i/>
          <w:iCs/>
          <w:lang w:val="es-PE"/>
        </w:rPr>
        <w:t>kasiṇa</w:t>
      </w:r>
      <w:proofErr w:type="spellEnd"/>
      <w:r w:rsidRPr="005B6D62">
        <w:rPr>
          <w:lang w:val="es-PE"/>
        </w:rPr>
        <w:t xml:space="preserve">) III.105s., 131; IV </w:t>
      </w:r>
      <w:r w:rsidRPr="005B6D62">
        <w:rPr>
          <w:i/>
          <w:iCs/>
          <w:lang w:val="es-PE"/>
        </w:rPr>
        <w:t>passim</w:t>
      </w:r>
      <w:r w:rsidRPr="005B6D62">
        <w:rPr>
          <w:lang w:val="es-PE"/>
        </w:rPr>
        <w:t xml:space="preserve">; XII.95, 132, 138 </w:t>
      </w:r>
      <w:r>
        <w:rPr>
          <w:lang w:val="es-PE"/>
        </w:rPr>
        <w:br w:type="page"/>
      </w:r>
    </w:p>
    <w:p w14:paraId="0A0D1151" w14:textId="77777777" w:rsidR="00597DE2" w:rsidRPr="005B6D62" w:rsidRDefault="00597DE2" w:rsidP="00597DE2">
      <w:pPr>
        <w:pStyle w:val="ParrafoApendice"/>
        <w:rPr>
          <w:lang w:val="es-PE"/>
        </w:rPr>
      </w:pPr>
    </w:p>
    <w:p w14:paraId="325E0B65"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xml:space="preserve">, </w:t>
      </w:r>
      <w:proofErr w:type="spellStart"/>
      <w:r w:rsidRPr="009C69F6">
        <w:rPr>
          <w:lang w:val="es-PE"/>
        </w:rPr>
        <w:t>Ciragumbavasik</w:t>
      </w:r>
      <w:proofErr w:type="spellEnd"/>
      <w:r w:rsidRPr="009C69F6">
        <w:rPr>
          <w:lang w:val="es-PE"/>
        </w:rPr>
        <w:t>–</w:t>
      </w:r>
      <w:proofErr w:type="spellStart"/>
      <w:r w:rsidRPr="009C69F6">
        <w:rPr>
          <w:lang w:val="es-PE"/>
        </w:rPr>
        <w:t>ambakhādakamahā</w:t>
      </w:r>
      <w:proofErr w:type="spellEnd"/>
      <w:r w:rsidRPr="009C69F6">
        <w:rPr>
          <w:lang w:val="es-PE"/>
        </w:rPr>
        <w:t xml:space="preserve"> I.122,</w:t>
      </w:r>
      <w:r w:rsidRPr="00CB3798">
        <w:rPr>
          <w:color w:val="833C0B" w:themeColor="accent2" w:themeShade="80"/>
          <w:lang w:val="es-PE"/>
        </w:rPr>
        <w:t xml:space="preserve"> 132</w:t>
      </w:r>
    </w:p>
    <w:p w14:paraId="5CE7F9A8"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xml:space="preserve">, </w:t>
      </w:r>
      <w:proofErr w:type="spellStart"/>
      <w:proofErr w:type="gramStart"/>
      <w:r w:rsidRPr="009C69F6">
        <w:rPr>
          <w:lang w:val="es-PE"/>
        </w:rPr>
        <w:t>Cū¿</w:t>
      </w:r>
      <w:proofErr w:type="gramEnd"/>
      <w:r w:rsidRPr="009C69F6">
        <w:rPr>
          <w:lang w:val="es-PE"/>
        </w:rPr>
        <w:t>a</w:t>
      </w:r>
      <w:proofErr w:type="spellEnd"/>
      <w:r w:rsidRPr="009C69F6">
        <w:rPr>
          <w:lang w:val="es-PE"/>
        </w:rPr>
        <w:t>–</w:t>
      </w:r>
      <w:proofErr w:type="spellStart"/>
      <w:r w:rsidRPr="009C69F6">
        <w:rPr>
          <w:lang w:val="es-PE"/>
        </w:rPr>
        <w:t>pióḍapātika</w:t>
      </w:r>
      <w:proofErr w:type="spellEnd"/>
      <w:r w:rsidRPr="009C69F6">
        <w:rPr>
          <w:lang w:val="es-PE"/>
        </w:rPr>
        <w:t xml:space="preserve"> III.</w:t>
      </w:r>
      <w:r w:rsidRPr="00F16737">
        <w:rPr>
          <w:color w:val="833C0B" w:themeColor="accent2" w:themeShade="80"/>
          <w:lang w:val="es-PE"/>
        </w:rPr>
        <w:t>126</w:t>
      </w:r>
      <w:r w:rsidRPr="009C69F6">
        <w:rPr>
          <w:lang w:val="es-PE"/>
        </w:rPr>
        <w:t>; VI.77</w:t>
      </w:r>
    </w:p>
    <w:p w14:paraId="4A618550"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xml:space="preserve">, </w:t>
      </w:r>
      <w:proofErr w:type="spellStart"/>
      <w:r w:rsidRPr="009C69F6">
        <w:rPr>
          <w:lang w:val="es-PE"/>
        </w:rPr>
        <w:t>Koṭapabbatavāsin</w:t>
      </w:r>
      <w:proofErr w:type="spellEnd"/>
      <w:r w:rsidRPr="009C69F6">
        <w:rPr>
          <w:lang w:val="es-PE"/>
        </w:rPr>
        <w:t xml:space="preserve"> VIII.243</w:t>
      </w:r>
    </w:p>
    <w:p w14:paraId="1A441B64"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xml:space="preserve">, </w:t>
      </w:r>
      <w:proofErr w:type="spellStart"/>
      <w:r w:rsidRPr="009C69F6">
        <w:rPr>
          <w:lang w:val="es-PE"/>
        </w:rPr>
        <w:t>Kuṭumbiyaputta</w:t>
      </w:r>
      <w:proofErr w:type="spellEnd"/>
      <w:r w:rsidRPr="009C69F6">
        <w:rPr>
          <w:lang w:val="es-PE"/>
        </w:rPr>
        <w:t xml:space="preserve"> I.137</w:t>
      </w:r>
    </w:p>
    <w:p w14:paraId="41DB9030"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xml:space="preserve">, Mahā </w:t>
      </w:r>
      <w:r w:rsidRPr="006D3F76">
        <w:rPr>
          <w:color w:val="833C0B" w:themeColor="accent2" w:themeShade="80"/>
          <w:lang w:val="es-PE"/>
        </w:rPr>
        <w:t>I.54</w:t>
      </w:r>
      <w:r w:rsidRPr="009C69F6">
        <w:rPr>
          <w:lang w:val="es-PE"/>
        </w:rPr>
        <w:t>; IV.95; VI.81, 88; XII.</w:t>
      </w:r>
      <w:r w:rsidRPr="00284162">
        <w:rPr>
          <w:color w:val="833C0B" w:themeColor="accent2" w:themeShade="80"/>
          <w:lang w:val="es-PE"/>
        </w:rPr>
        <w:t>80</w:t>
      </w:r>
    </w:p>
    <w:p w14:paraId="1F375882"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Mahā, Mahā–</w:t>
      </w:r>
      <w:proofErr w:type="spellStart"/>
      <w:r w:rsidRPr="009C69F6">
        <w:rPr>
          <w:lang w:val="es-PE"/>
        </w:rPr>
        <w:t>Karañjiya</w:t>
      </w:r>
      <w:proofErr w:type="spellEnd"/>
      <w:r w:rsidRPr="009C69F6">
        <w:rPr>
          <w:lang w:val="es-PE"/>
        </w:rPr>
        <w:t>–</w:t>
      </w:r>
      <w:proofErr w:type="spellStart"/>
      <w:r w:rsidRPr="009C69F6">
        <w:rPr>
          <w:lang w:val="es-PE"/>
        </w:rPr>
        <w:t>vihāra</w:t>
      </w:r>
      <w:proofErr w:type="spellEnd"/>
      <w:r w:rsidRPr="009C69F6">
        <w:rPr>
          <w:lang w:val="es-PE"/>
        </w:rPr>
        <w:t>–</w:t>
      </w:r>
      <w:proofErr w:type="spellStart"/>
      <w:r w:rsidRPr="009C69F6">
        <w:rPr>
          <w:lang w:val="es-PE"/>
        </w:rPr>
        <w:t>vāsin</w:t>
      </w:r>
      <w:proofErr w:type="spellEnd"/>
      <w:r w:rsidRPr="009C69F6">
        <w:rPr>
          <w:lang w:val="es-PE"/>
        </w:rPr>
        <w:t xml:space="preserve"> VIII.243</w:t>
      </w:r>
    </w:p>
    <w:p w14:paraId="294B2940"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xml:space="preserve">, </w:t>
      </w:r>
      <w:proofErr w:type="spellStart"/>
      <w:r w:rsidRPr="009C69F6">
        <w:rPr>
          <w:lang w:val="es-PE"/>
        </w:rPr>
        <w:t>Padhāniya</w:t>
      </w:r>
      <w:proofErr w:type="spellEnd"/>
      <w:r w:rsidRPr="009C69F6">
        <w:rPr>
          <w:lang w:val="es-PE"/>
        </w:rPr>
        <w:t xml:space="preserve">, </w:t>
      </w:r>
      <w:proofErr w:type="spellStart"/>
      <w:r w:rsidRPr="009C69F6">
        <w:rPr>
          <w:lang w:val="es-PE"/>
        </w:rPr>
        <w:t>Nāgapabbatavāsin</w:t>
      </w:r>
      <w:proofErr w:type="spellEnd"/>
      <w:r w:rsidRPr="009C69F6">
        <w:rPr>
          <w:lang w:val="es-PE"/>
        </w:rPr>
        <w:t xml:space="preserve"> IV.36</w:t>
      </w:r>
    </w:p>
    <w:p w14:paraId="437A54AA"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 xml:space="preserve"> </w:t>
      </w:r>
      <w:proofErr w:type="spellStart"/>
      <w:r w:rsidRPr="009C69F6">
        <w:rPr>
          <w:lang w:val="es-PE"/>
        </w:rPr>
        <w:t>Thera</w:t>
      </w:r>
      <w:proofErr w:type="spellEnd"/>
      <w:r w:rsidRPr="009C69F6">
        <w:rPr>
          <w:lang w:val="es-PE"/>
        </w:rPr>
        <w:t xml:space="preserve">, </w:t>
      </w:r>
      <w:proofErr w:type="spellStart"/>
      <w:r w:rsidRPr="009C69F6">
        <w:rPr>
          <w:lang w:val="es-PE"/>
        </w:rPr>
        <w:t>Pióḍapātika</w:t>
      </w:r>
      <w:proofErr w:type="spellEnd"/>
      <w:r w:rsidRPr="009C69F6">
        <w:rPr>
          <w:lang w:val="es-PE"/>
        </w:rPr>
        <w:t xml:space="preserve">, </w:t>
      </w:r>
      <w:proofErr w:type="spellStart"/>
      <w:r w:rsidRPr="009C69F6">
        <w:rPr>
          <w:lang w:val="es-PE"/>
        </w:rPr>
        <w:t>Devaputtaraṭṭhavāsin</w:t>
      </w:r>
      <w:proofErr w:type="spellEnd"/>
      <w:r w:rsidRPr="009C69F6">
        <w:rPr>
          <w:lang w:val="es-PE"/>
        </w:rPr>
        <w:t xml:space="preserve"> VIII.243 </w:t>
      </w:r>
    </w:p>
    <w:p w14:paraId="470EE47C" w14:textId="77777777" w:rsidR="00597DE2" w:rsidRPr="009C69F6" w:rsidRDefault="00597DE2" w:rsidP="00597DE2">
      <w:pPr>
        <w:pStyle w:val="ParrafoApendice"/>
        <w:rPr>
          <w:lang w:val="es-PE"/>
        </w:rPr>
      </w:pPr>
      <w:proofErr w:type="spellStart"/>
      <w:r w:rsidRPr="009C69F6">
        <w:rPr>
          <w:lang w:val="es-PE"/>
        </w:rPr>
        <w:t>Tissadatta</w:t>
      </w:r>
      <w:proofErr w:type="spellEnd"/>
      <w:r w:rsidRPr="009C69F6">
        <w:rPr>
          <w:lang w:val="es-PE"/>
        </w:rPr>
        <w:t xml:space="preserve"> </w:t>
      </w:r>
      <w:proofErr w:type="spellStart"/>
      <w:r w:rsidRPr="009C69F6">
        <w:rPr>
          <w:lang w:val="es-PE"/>
        </w:rPr>
        <w:t>Thera</w:t>
      </w:r>
      <w:proofErr w:type="spellEnd"/>
      <w:r w:rsidRPr="009C69F6">
        <w:rPr>
          <w:lang w:val="es-PE"/>
        </w:rPr>
        <w:t xml:space="preserve"> XII.124 </w:t>
      </w:r>
    </w:p>
    <w:p w14:paraId="21604403" w14:textId="77777777" w:rsidR="00597DE2" w:rsidRPr="009C69F6" w:rsidRDefault="00597DE2" w:rsidP="00597DE2">
      <w:pPr>
        <w:pStyle w:val="ParrafoApendice"/>
        <w:rPr>
          <w:lang w:val="es-PE"/>
        </w:rPr>
      </w:pPr>
      <w:proofErr w:type="spellStart"/>
      <w:r w:rsidRPr="009C69F6">
        <w:rPr>
          <w:lang w:val="es-PE"/>
        </w:rPr>
        <w:t>Tissa</w:t>
      </w:r>
      <w:proofErr w:type="spellEnd"/>
      <w:r w:rsidRPr="009C69F6">
        <w:rPr>
          <w:lang w:val="es-PE"/>
        </w:rPr>
        <w:t>–</w:t>
      </w:r>
      <w:proofErr w:type="spellStart"/>
      <w:r w:rsidRPr="009C69F6">
        <w:rPr>
          <w:lang w:val="es-PE"/>
        </w:rPr>
        <w:t>macca</w:t>
      </w:r>
      <w:proofErr w:type="spellEnd"/>
      <w:r w:rsidRPr="009C69F6">
        <w:rPr>
          <w:lang w:val="es-PE"/>
        </w:rPr>
        <w:t>–</w:t>
      </w:r>
      <w:proofErr w:type="spellStart"/>
      <w:r w:rsidRPr="009C69F6">
        <w:rPr>
          <w:lang w:val="es-PE"/>
        </w:rPr>
        <w:t>mātar</w:t>
      </w:r>
      <w:proofErr w:type="spellEnd"/>
      <w:r w:rsidRPr="009C69F6">
        <w:rPr>
          <w:lang w:val="es-PE"/>
        </w:rPr>
        <w:t xml:space="preserve"> II.16 </w:t>
      </w:r>
    </w:p>
    <w:p w14:paraId="051DEE33" w14:textId="77777777" w:rsidR="00597DE2" w:rsidRPr="009C69F6" w:rsidRDefault="00597DE2" w:rsidP="00597DE2">
      <w:pPr>
        <w:pStyle w:val="ParrafoApendice"/>
        <w:rPr>
          <w:lang w:val="es-PE"/>
        </w:rPr>
      </w:pPr>
      <w:proofErr w:type="spellStart"/>
      <w:r w:rsidRPr="009C69F6">
        <w:rPr>
          <w:lang w:val="es-PE"/>
        </w:rPr>
        <w:t>Tissamahāvihāra</w:t>
      </w:r>
      <w:proofErr w:type="spellEnd"/>
      <w:r w:rsidRPr="009C69F6">
        <w:rPr>
          <w:lang w:val="es-PE"/>
        </w:rPr>
        <w:t xml:space="preserve"> XII.80</w:t>
      </w:r>
    </w:p>
    <w:p w14:paraId="6847DC76" w14:textId="77777777" w:rsidR="00597DE2" w:rsidRPr="005B6D62" w:rsidRDefault="00597DE2" w:rsidP="00597DE2">
      <w:pPr>
        <w:pStyle w:val="ParrafoApendice"/>
        <w:rPr>
          <w:lang w:val="es-PE"/>
        </w:rPr>
      </w:pPr>
      <w:r w:rsidRPr="005B6D62">
        <w:rPr>
          <w:lang w:val="es-PE"/>
        </w:rPr>
        <w:t>todo (</w:t>
      </w:r>
      <w:proofErr w:type="spellStart"/>
      <w:r w:rsidRPr="005B6D62">
        <w:rPr>
          <w:i/>
          <w:iCs/>
          <w:lang w:val="es-PE"/>
        </w:rPr>
        <w:t>sabba</w:t>
      </w:r>
      <w:proofErr w:type="spellEnd"/>
      <w:r w:rsidRPr="005B6D62">
        <w:rPr>
          <w:lang w:val="es-PE"/>
        </w:rPr>
        <w:t>) XXII.106, 126</w:t>
      </w:r>
    </w:p>
    <w:p w14:paraId="27E19514" w14:textId="77777777" w:rsidR="00597DE2" w:rsidRPr="00042562" w:rsidRDefault="00597DE2" w:rsidP="00597DE2">
      <w:pPr>
        <w:pStyle w:val="ParrafoApendice"/>
        <w:rPr>
          <w:lang w:val="es-PE"/>
        </w:rPr>
      </w:pPr>
      <w:r w:rsidRPr="00042562">
        <w:rPr>
          <w:lang w:val="es-PE"/>
        </w:rPr>
        <w:t xml:space="preserve">tomar, sustraer, </w:t>
      </w:r>
      <w:r>
        <w:rPr>
          <w:lang w:val="es-PE"/>
        </w:rPr>
        <w:t xml:space="preserve">quitar, </w:t>
      </w:r>
      <w:r w:rsidRPr="00042562">
        <w:rPr>
          <w:lang w:val="es-PE"/>
        </w:rPr>
        <w:t>lo que no ha sido co</w:t>
      </w:r>
      <w:r>
        <w:rPr>
          <w:lang w:val="es-PE"/>
        </w:rPr>
        <w:t>ncedido</w:t>
      </w:r>
      <w:r w:rsidRPr="00042562">
        <w:rPr>
          <w:lang w:val="es-PE"/>
        </w:rPr>
        <w:t xml:space="preserve"> (</w:t>
      </w:r>
      <w:proofErr w:type="spellStart"/>
      <w:r w:rsidRPr="00042562">
        <w:rPr>
          <w:i/>
          <w:iCs/>
          <w:lang w:val="es-PE"/>
        </w:rPr>
        <w:t>adinnādāna</w:t>
      </w:r>
      <w:proofErr w:type="spellEnd"/>
      <w:r w:rsidRPr="00042562">
        <w:rPr>
          <w:lang w:val="es-PE"/>
        </w:rPr>
        <w:t>) I.140; XXII.62</w:t>
      </w:r>
    </w:p>
    <w:p w14:paraId="1420DD8F" w14:textId="77777777" w:rsidR="00597DE2" w:rsidRPr="005B6D62" w:rsidRDefault="00597DE2" w:rsidP="00597DE2">
      <w:pPr>
        <w:pStyle w:val="ParrafoApendice"/>
        <w:rPr>
          <w:lang w:val="es-PE"/>
        </w:rPr>
      </w:pPr>
      <w:r>
        <w:rPr>
          <w:lang w:val="es-PE"/>
        </w:rPr>
        <w:t>trabajo preliminar</w:t>
      </w:r>
      <w:r w:rsidRPr="005B6D62">
        <w:rPr>
          <w:lang w:val="es-PE"/>
        </w:rPr>
        <w:t xml:space="preserve"> (</w:t>
      </w:r>
      <w:proofErr w:type="spellStart"/>
      <w:r w:rsidRPr="00B37644">
        <w:rPr>
          <w:i/>
          <w:iCs/>
          <w:lang w:val="es-PE"/>
        </w:rPr>
        <w:t>parikamma</w:t>
      </w:r>
      <w:proofErr w:type="spellEnd"/>
      <w:r w:rsidRPr="005B6D62">
        <w:rPr>
          <w:lang w:val="es-PE"/>
        </w:rPr>
        <w:t>) III.6; IV.25, 74; XII.46, 59; XIII.4</w:t>
      </w:r>
      <w:r>
        <w:rPr>
          <w:lang w:val="es-PE"/>
        </w:rPr>
        <w:t>s</w:t>
      </w:r>
      <w:r w:rsidRPr="005B6D62">
        <w:rPr>
          <w:lang w:val="es-PE"/>
        </w:rPr>
        <w:t>., 9, 23, 98; XXI.129</w:t>
      </w:r>
    </w:p>
    <w:p w14:paraId="4BE080C1" w14:textId="77777777" w:rsidR="00597DE2" w:rsidRPr="00E76AB0" w:rsidRDefault="00597DE2" w:rsidP="00597DE2">
      <w:pPr>
        <w:pStyle w:val="ParrafoApendice"/>
        <w:rPr>
          <w:lang w:val="es-PE"/>
        </w:rPr>
      </w:pPr>
      <w:r>
        <w:rPr>
          <w:lang w:val="es-PE"/>
        </w:rPr>
        <w:t>tranquilidad</w:t>
      </w:r>
      <w:r w:rsidRPr="00E76AB0">
        <w:rPr>
          <w:lang w:val="es-PE"/>
        </w:rPr>
        <w:t xml:space="preserve"> (</w:t>
      </w:r>
      <w:proofErr w:type="spellStart"/>
      <w:r w:rsidRPr="00D20518">
        <w:rPr>
          <w:i/>
          <w:iCs/>
          <w:lang w:val="es-PE"/>
        </w:rPr>
        <w:t>passaddhi</w:t>
      </w:r>
      <w:proofErr w:type="spellEnd"/>
      <w:r w:rsidRPr="00E76AB0">
        <w:rPr>
          <w:lang w:val="es-PE"/>
        </w:rPr>
        <w:t xml:space="preserve">) I.32, 140; IV.51, 99; XIV.128, 133, 144; XVI.86; XX.116; XXI.75, 89; XXII.42 </w:t>
      </w:r>
    </w:p>
    <w:p w14:paraId="7EB842BA" w14:textId="77777777" w:rsidR="00597DE2" w:rsidRPr="00E76AB0" w:rsidRDefault="00597DE2" w:rsidP="00597DE2">
      <w:pPr>
        <w:pStyle w:val="ParrafoApendice"/>
        <w:rPr>
          <w:lang w:val="es-PE"/>
        </w:rPr>
      </w:pPr>
      <w:r>
        <w:rPr>
          <w:lang w:val="es-PE"/>
        </w:rPr>
        <w:t>transformación</w:t>
      </w:r>
      <w:r w:rsidRPr="00E76AB0">
        <w:rPr>
          <w:lang w:val="es-PE"/>
        </w:rPr>
        <w:t xml:space="preserve"> (</w:t>
      </w:r>
      <w:proofErr w:type="spellStart"/>
      <w:r w:rsidRPr="00D20518">
        <w:rPr>
          <w:i/>
          <w:iCs/>
          <w:lang w:val="es-PE"/>
        </w:rPr>
        <w:t>vikubbana</w:t>
      </w:r>
      <w:proofErr w:type="spellEnd"/>
      <w:r w:rsidRPr="00E76AB0">
        <w:rPr>
          <w:lang w:val="es-PE"/>
        </w:rPr>
        <w:t xml:space="preserve">) XII.2, 137. </w:t>
      </w:r>
      <w:r>
        <w:rPr>
          <w:lang w:val="es-PE"/>
        </w:rPr>
        <w:t xml:space="preserve">Ver también </w:t>
      </w:r>
      <w:r w:rsidRPr="00D20518">
        <w:rPr>
          <w:i/>
          <w:iCs/>
          <w:lang w:val="es-PE"/>
        </w:rPr>
        <w:t>versatilidad</w:t>
      </w:r>
    </w:p>
    <w:p w14:paraId="7DE4D8DF" w14:textId="77777777" w:rsidR="00597DE2" w:rsidRPr="00E76AB0" w:rsidRDefault="00597DE2" w:rsidP="00597DE2">
      <w:pPr>
        <w:pStyle w:val="ParrafoApendice"/>
        <w:rPr>
          <w:lang w:val="es-PE"/>
        </w:rPr>
      </w:pPr>
      <w:r w:rsidRPr="00E76AB0">
        <w:rPr>
          <w:lang w:val="es-PE"/>
        </w:rPr>
        <w:t>transgresi</w:t>
      </w:r>
      <w:r>
        <w:rPr>
          <w:lang w:val="es-PE"/>
        </w:rPr>
        <w:t>ó</w:t>
      </w:r>
      <w:r w:rsidRPr="00E76AB0">
        <w:rPr>
          <w:lang w:val="es-PE"/>
        </w:rPr>
        <w:t>n (</w:t>
      </w:r>
      <w:proofErr w:type="spellStart"/>
      <w:r w:rsidRPr="00D20518">
        <w:rPr>
          <w:i/>
          <w:iCs/>
          <w:lang w:val="es-PE"/>
        </w:rPr>
        <w:t>vītikkama</w:t>
      </w:r>
      <w:proofErr w:type="spellEnd"/>
      <w:r w:rsidRPr="00E76AB0">
        <w:rPr>
          <w:lang w:val="es-PE"/>
        </w:rPr>
        <w:t>) I.13, 44</w:t>
      </w:r>
    </w:p>
    <w:p w14:paraId="4F60D43A" w14:textId="77777777" w:rsidR="00597DE2" w:rsidRPr="00E76AB0" w:rsidRDefault="00597DE2" w:rsidP="00597DE2">
      <w:pPr>
        <w:pStyle w:val="ParrafoApendice"/>
        <w:rPr>
          <w:lang w:val="es-PE"/>
        </w:rPr>
      </w:pPr>
      <w:r w:rsidRPr="00E76AB0">
        <w:rPr>
          <w:lang w:val="es-PE"/>
        </w:rPr>
        <w:t>transmigra</w:t>
      </w:r>
      <w:r>
        <w:rPr>
          <w:lang w:val="es-PE"/>
        </w:rPr>
        <w:t>c</w:t>
      </w:r>
      <w:r w:rsidRPr="00E76AB0">
        <w:rPr>
          <w:lang w:val="es-PE"/>
        </w:rPr>
        <w:t>i</w:t>
      </w:r>
      <w:r>
        <w:rPr>
          <w:lang w:val="es-PE"/>
        </w:rPr>
        <w:t>ó</w:t>
      </w:r>
      <w:r w:rsidRPr="00E76AB0">
        <w:rPr>
          <w:lang w:val="es-PE"/>
        </w:rPr>
        <w:t>n (</w:t>
      </w:r>
      <w:proofErr w:type="spellStart"/>
      <w:r w:rsidRPr="00D20518">
        <w:rPr>
          <w:i/>
          <w:iCs/>
          <w:lang w:val="es-PE"/>
        </w:rPr>
        <w:t>saṅkanti</w:t>
      </w:r>
      <w:proofErr w:type="spellEnd"/>
      <w:r w:rsidRPr="00D20518">
        <w:rPr>
          <w:i/>
          <w:iCs/>
          <w:lang w:val="es-PE"/>
        </w:rPr>
        <w:t xml:space="preserve">, </w:t>
      </w:r>
      <w:proofErr w:type="spellStart"/>
      <w:r w:rsidRPr="00D20518">
        <w:rPr>
          <w:i/>
          <w:iCs/>
          <w:lang w:val="es-PE"/>
        </w:rPr>
        <w:t>saṅkamana</w:t>
      </w:r>
      <w:proofErr w:type="spellEnd"/>
      <w:r w:rsidRPr="00E76AB0">
        <w:rPr>
          <w:lang w:val="es-PE"/>
        </w:rPr>
        <w:t xml:space="preserve">) XVII.113, 162, 302 </w:t>
      </w:r>
    </w:p>
    <w:p w14:paraId="50BAA097" w14:textId="77777777" w:rsidR="00597DE2" w:rsidRPr="005B6D62" w:rsidRDefault="00597DE2" w:rsidP="00597DE2">
      <w:pPr>
        <w:pStyle w:val="ParrafoApendice"/>
        <w:rPr>
          <w:lang w:val="es-PE"/>
        </w:rPr>
      </w:pPr>
      <w:r w:rsidRPr="005B6D62">
        <w:rPr>
          <w:lang w:val="es-PE"/>
        </w:rPr>
        <w:t xml:space="preserve">transmitir, </w:t>
      </w:r>
      <w:r w:rsidRPr="005B6D62">
        <w:rPr>
          <w:color w:val="833C0B" w:themeColor="accent2" w:themeShade="80"/>
          <w:u w:color="000000"/>
          <w:lang w:val="es-PE"/>
        </w:rPr>
        <w:t>llevar, conducir</w:t>
      </w:r>
      <w:r w:rsidRPr="005B6D62">
        <w:rPr>
          <w:lang w:val="es-PE"/>
        </w:rPr>
        <w:t xml:space="preserve"> (</w:t>
      </w:r>
      <w:proofErr w:type="spellStart"/>
      <w:r w:rsidRPr="005B6D62">
        <w:rPr>
          <w:i/>
          <w:iCs/>
          <w:lang w:val="es-PE"/>
        </w:rPr>
        <w:t>abhinīhāra</w:t>
      </w:r>
      <w:proofErr w:type="spellEnd"/>
      <w:r w:rsidRPr="005B6D62">
        <w:rPr>
          <w:lang w:val="es-PE"/>
        </w:rPr>
        <w:t xml:space="preserve">) XI.93, </w:t>
      </w:r>
      <w:r w:rsidRPr="005B6D62">
        <w:rPr>
          <w:strike/>
          <w:color w:val="833C0B" w:themeColor="accent2" w:themeShade="80"/>
          <w:u w:color="000000"/>
          <w:lang w:val="es-PE"/>
        </w:rPr>
        <w:t>117</w:t>
      </w:r>
      <w:r w:rsidRPr="005B6D62">
        <w:rPr>
          <w:lang w:val="es-PE"/>
        </w:rPr>
        <w:t xml:space="preserve">; XIII.16, 95 </w:t>
      </w:r>
    </w:p>
    <w:p w14:paraId="22AFB3CC" w14:textId="77777777" w:rsidR="00597DE2" w:rsidRPr="009C69F6" w:rsidRDefault="00597DE2" w:rsidP="00597DE2">
      <w:pPr>
        <w:pStyle w:val="ParrafoApendice"/>
        <w:rPr>
          <w:lang w:val="es-PE"/>
        </w:rPr>
      </w:pPr>
      <w:r>
        <w:rPr>
          <w:lang w:val="es-PE"/>
        </w:rPr>
        <w:t xml:space="preserve">treinta y dos, </w:t>
      </w:r>
      <w:r w:rsidRPr="009C69F6">
        <w:rPr>
          <w:lang w:val="es-PE"/>
        </w:rPr>
        <w:t>3</w:t>
      </w:r>
      <w:r>
        <w:rPr>
          <w:lang w:val="es-PE"/>
        </w:rPr>
        <w:t>2 aspectos del cuerpo</w:t>
      </w:r>
      <w:r w:rsidRPr="009C69F6">
        <w:rPr>
          <w:lang w:val="es-PE"/>
        </w:rPr>
        <w:t xml:space="preserve"> (</w:t>
      </w:r>
      <w:proofErr w:type="spellStart"/>
      <w:r w:rsidRPr="009C69F6">
        <w:rPr>
          <w:i/>
          <w:iCs/>
          <w:lang w:val="es-PE"/>
        </w:rPr>
        <w:t>dvattiísākāra</w:t>
      </w:r>
      <w:proofErr w:type="spellEnd"/>
      <w:r w:rsidRPr="009C69F6">
        <w:rPr>
          <w:lang w:val="es-PE"/>
        </w:rPr>
        <w:t xml:space="preserve">) </w:t>
      </w:r>
      <w:r w:rsidRPr="00A41C88">
        <w:rPr>
          <w:strike/>
          <w:color w:val="833C0B" w:themeColor="accent2" w:themeShade="80"/>
          <w:lang w:val="es-PE"/>
        </w:rPr>
        <w:t>III.1, 105</w:t>
      </w:r>
      <w:r w:rsidRPr="009C69F6">
        <w:rPr>
          <w:lang w:val="es-PE"/>
        </w:rPr>
        <w:t>; VII.28; VIII.44</w:t>
      </w:r>
      <w:r>
        <w:rPr>
          <w:lang w:val="es-PE"/>
        </w:rPr>
        <w:t>s</w:t>
      </w:r>
      <w:r w:rsidRPr="009C69F6">
        <w:rPr>
          <w:lang w:val="es-PE"/>
        </w:rPr>
        <w:t xml:space="preserve">.; XVIII.5; XX.9 </w:t>
      </w:r>
    </w:p>
    <w:p w14:paraId="49916503" w14:textId="77777777" w:rsidR="00597DE2" w:rsidRPr="005B6D62" w:rsidRDefault="00597DE2" w:rsidP="00597DE2">
      <w:pPr>
        <w:pStyle w:val="ParrafoApendice"/>
        <w:rPr>
          <w:lang w:val="es-PE"/>
        </w:rPr>
      </w:pPr>
      <w:r w:rsidRPr="005B6D62">
        <w:rPr>
          <w:lang w:val="es-PE"/>
        </w:rPr>
        <w:t>tr</w:t>
      </w:r>
      <w:r>
        <w:rPr>
          <w:lang w:val="es-PE"/>
        </w:rPr>
        <w:t>í</w:t>
      </w:r>
      <w:r w:rsidRPr="005B6D62">
        <w:rPr>
          <w:lang w:val="es-PE"/>
        </w:rPr>
        <w:t>ad</w:t>
      </w:r>
      <w:r>
        <w:rPr>
          <w:lang w:val="es-PE"/>
        </w:rPr>
        <w:t>a</w:t>
      </w:r>
      <w:r w:rsidRPr="005B6D62">
        <w:rPr>
          <w:lang w:val="es-PE"/>
        </w:rPr>
        <w:t xml:space="preserve"> (</w:t>
      </w:r>
      <w:proofErr w:type="spellStart"/>
      <w:r w:rsidRPr="00721E90">
        <w:rPr>
          <w:i/>
          <w:iCs/>
          <w:lang w:val="es-PE"/>
        </w:rPr>
        <w:t>tika</w:t>
      </w:r>
      <w:proofErr w:type="spellEnd"/>
      <w:r w:rsidRPr="005B6D62">
        <w:rPr>
          <w:lang w:val="es-PE"/>
        </w:rPr>
        <w:t xml:space="preserve">) II.n.18; XIII.104, n.20 </w:t>
      </w:r>
    </w:p>
    <w:p w14:paraId="69DCFE00" w14:textId="77777777" w:rsidR="00597DE2" w:rsidRPr="00736F1D" w:rsidRDefault="00597DE2" w:rsidP="00597DE2">
      <w:pPr>
        <w:pStyle w:val="ParrafoApendice"/>
        <w:rPr>
          <w:lang w:val="es-PE"/>
        </w:rPr>
      </w:pPr>
      <w:r w:rsidRPr="00736F1D">
        <w:rPr>
          <w:lang w:val="es-PE"/>
        </w:rPr>
        <w:t>triple continuidad (</w:t>
      </w:r>
      <w:r w:rsidRPr="00736F1D">
        <w:rPr>
          <w:i/>
          <w:iCs/>
          <w:lang w:val="es-PE"/>
        </w:rPr>
        <w:t>ti–</w:t>
      </w:r>
      <w:proofErr w:type="spellStart"/>
      <w:r w:rsidRPr="00736F1D">
        <w:rPr>
          <w:i/>
          <w:iCs/>
          <w:lang w:val="es-PE"/>
        </w:rPr>
        <w:t>santati</w:t>
      </w:r>
      <w:proofErr w:type="spellEnd"/>
      <w:r w:rsidRPr="00736F1D">
        <w:rPr>
          <w:lang w:val="es-PE"/>
        </w:rPr>
        <w:t xml:space="preserve">) XI.112; XX.22 </w:t>
      </w:r>
    </w:p>
    <w:p w14:paraId="5E094500" w14:textId="77777777" w:rsidR="00597DE2" w:rsidRPr="000639A3" w:rsidRDefault="00597DE2" w:rsidP="00597DE2">
      <w:pPr>
        <w:pStyle w:val="ParrafoApendice"/>
        <w:rPr>
          <w:lang w:val="es-PE"/>
        </w:rPr>
      </w:pPr>
      <w:r w:rsidRPr="000639A3">
        <w:rPr>
          <w:lang w:val="es-PE"/>
        </w:rPr>
        <w:t>triple originación (</w:t>
      </w:r>
      <w:r w:rsidRPr="000639A3">
        <w:rPr>
          <w:i/>
          <w:iCs/>
          <w:lang w:val="es-PE"/>
        </w:rPr>
        <w:t>ti–</w:t>
      </w:r>
      <w:proofErr w:type="spellStart"/>
      <w:r w:rsidRPr="000639A3">
        <w:rPr>
          <w:i/>
          <w:iCs/>
          <w:lang w:val="es-PE"/>
        </w:rPr>
        <w:t>samuṭṭhāna</w:t>
      </w:r>
      <w:proofErr w:type="spellEnd"/>
      <w:r w:rsidRPr="000639A3">
        <w:rPr>
          <w:lang w:val="es-PE"/>
        </w:rPr>
        <w:t xml:space="preserve">) XVII.196 </w:t>
      </w:r>
    </w:p>
    <w:p w14:paraId="24A90CA2" w14:textId="77777777" w:rsidR="00597DE2" w:rsidRPr="002D23EC" w:rsidRDefault="00597DE2" w:rsidP="00597DE2">
      <w:pPr>
        <w:pStyle w:val="ParrafoApendice"/>
        <w:rPr>
          <w:lang w:val="es-PE"/>
        </w:rPr>
      </w:pPr>
      <w:proofErr w:type="spellStart"/>
      <w:r w:rsidRPr="002D23EC">
        <w:rPr>
          <w:lang w:val="es-PE"/>
        </w:rPr>
        <w:t>Tulādhārapabbata</w:t>
      </w:r>
      <w:proofErr w:type="spellEnd"/>
      <w:r w:rsidRPr="002D23EC">
        <w:rPr>
          <w:lang w:val="es-PE"/>
        </w:rPr>
        <w:t>–</w:t>
      </w:r>
      <w:proofErr w:type="spellStart"/>
      <w:r w:rsidRPr="002D23EC">
        <w:rPr>
          <w:lang w:val="es-PE"/>
        </w:rPr>
        <w:t>vihāra</w:t>
      </w:r>
      <w:proofErr w:type="spellEnd"/>
      <w:r w:rsidRPr="002D23EC">
        <w:rPr>
          <w:lang w:val="es-PE"/>
        </w:rPr>
        <w:t xml:space="preserve"> III.53 </w:t>
      </w:r>
    </w:p>
    <w:p w14:paraId="04567175" w14:textId="77777777" w:rsidR="00597DE2" w:rsidRPr="00AA52B5" w:rsidRDefault="00597DE2" w:rsidP="00597DE2">
      <w:pPr>
        <w:pStyle w:val="ParrafoApendice"/>
        <w:rPr>
          <w:lang w:val="es-PE"/>
        </w:rPr>
      </w:pPr>
      <w:proofErr w:type="spellStart"/>
      <w:r w:rsidRPr="00AA52B5">
        <w:rPr>
          <w:lang w:val="es-PE"/>
        </w:rPr>
        <w:t>Uccāvālika</w:t>
      </w:r>
      <w:proofErr w:type="spellEnd"/>
      <w:r w:rsidRPr="00AA52B5">
        <w:rPr>
          <w:lang w:val="es-PE"/>
        </w:rPr>
        <w:t xml:space="preserve"> XX.110s.</w:t>
      </w:r>
    </w:p>
    <w:p w14:paraId="034B3760" w14:textId="77777777" w:rsidR="00597DE2" w:rsidRPr="007C7D9C" w:rsidRDefault="00597DE2" w:rsidP="00597DE2">
      <w:pPr>
        <w:pStyle w:val="ParrafoApendice"/>
        <w:rPr>
          <w:strike/>
          <w:color w:val="833C0B" w:themeColor="accent2" w:themeShade="80"/>
          <w:lang w:val="es-PE"/>
        </w:rPr>
      </w:pPr>
      <w:proofErr w:type="spellStart"/>
      <w:r w:rsidRPr="00AA52B5">
        <w:rPr>
          <w:lang w:val="es-PE"/>
        </w:rPr>
        <w:t>Uddha</w:t>
      </w:r>
      <w:r>
        <w:rPr>
          <w:lang w:val="es-PE"/>
        </w:rPr>
        <w:t>ṃ</w:t>
      </w:r>
      <w:r w:rsidRPr="00AA52B5">
        <w:rPr>
          <w:lang w:val="es-PE"/>
        </w:rPr>
        <w:t>sota</w:t>
      </w:r>
      <w:proofErr w:type="spellEnd"/>
      <w:r w:rsidRPr="00AA52B5">
        <w:rPr>
          <w:lang w:val="es-PE"/>
        </w:rPr>
        <w:t xml:space="preserve"> </w:t>
      </w:r>
      <w:r w:rsidRPr="007C7D9C">
        <w:rPr>
          <w:strike/>
          <w:color w:val="833C0B" w:themeColor="accent2" w:themeShade="80"/>
          <w:lang w:val="es-PE"/>
        </w:rPr>
        <w:t>XXIII.56</w:t>
      </w:r>
    </w:p>
    <w:p w14:paraId="7798153E" w14:textId="77777777" w:rsidR="00597DE2" w:rsidRDefault="00597DE2" w:rsidP="00597DE2">
      <w:pPr>
        <w:pStyle w:val="ParrafoApendice"/>
        <w:rPr>
          <w:lang w:val="es-PE"/>
        </w:rPr>
      </w:pPr>
      <w:proofErr w:type="spellStart"/>
      <w:r w:rsidRPr="005B6D62">
        <w:rPr>
          <w:lang w:val="es-PE"/>
        </w:rPr>
        <w:t>Udena</w:t>
      </w:r>
      <w:proofErr w:type="spellEnd"/>
      <w:r w:rsidRPr="005B6D62">
        <w:rPr>
          <w:lang w:val="es-PE"/>
        </w:rPr>
        <w:t>–</w:t>
      </w:r>
      <w:proofErr w:type="spellStart"/>
      <w:r w:rsidRPr="005B6D62">
        <w:rPr>
          <w:lang w:val="es-PE"/>
        </w:rPr>
        <w:t>rājā</w:t>
      </w:r>
      <w:proofErr w:type="spellEnd"/>
      <w:r w:rsidRPr="005B6D62">
        <w:rPr>
          <w:lang w:val="es-PE"/>
        </w:rPr>
        <w:t xml:space="preserve"> XII.35 </w:t>
      </w:r>
    </w:p>
    <w:p w14:paraId="2073F4A6" w14:textId="77777777" w:rsidR="00597DE2" w:rsidRPr="005B6D62" w:rsidRDefault="00597DE2" w:rsidP="00597DE2">
      <w:pPr>
        <w:pStyle w:val="ParrafoApendice"/>
        <w:rPr>
          <w:lang w:val="es-PE"/>
        </w:rPr>
      </w:pPr>
      <w:proofErr w:type="spellStart"/>
      <w:r w:rsidRPr="005B6D62">
        <w:rPr>
          <w:lang w:val="es-PE"/>
        </w:rPr>
        <w:t>Ugga</w:t>
      </w:r>
      <w:proofErr w:type="spellEnd"/>
      <w:r w:rsidRPr="005B6D62">
        <w:rPr>
          <w:lang w:val="es-PE"/>
        </w:rPr>
        <w:t xml:space="preserve"> VIII.18</w:t>
      </w:r>
    </w:p>
    <w:p w14:paraId="1B7D37EF" w14:textId="77777777" w:rsidR="00597DE2" w:rsidRPr="003E0982" w:rsidRDefault="00597DE2" w:rsidP="00597DE2">
      <w:pPr>
        <w:pStyle w:val="ParrafoApendice"/>
        <w:rPr>
          <w:lang w:val="es-PE"/>
        </w:rPr>
      </w:pPr>
      <w:r w:rsidRPr="003E0982">
        <w:rPr>
          <w:lang w:val="es-PE"/>
        </w:rPr>
        <w:t>uni</w:t>
      </w:r>
      <w:r>
        <w:rPr>
          <w:lang w:val="es-PE"/>
        </w:rPr>
        <w:t>dad, unicidad</w:t>
      </w:r>
      <w:r w:rsidRPr="003E0982">
        <w:rPr>
          <w:lang w:val="es-PE"/>
        </w:rPr>
        <w:t xml:space="preserve"> (</w:t>
      </w:r>
      <w:proofErr w:type="spellStart"/>
      <w:r w:rsidRPr="003E0982">
        <w:rPr>
          <w:i/>
          <w:iCs/>
          <w:lang w:val="es-PE"/>
        </w:rPr>
        <w:t>ekatta</w:t>
      </w:r>
      <w:proofErr w:type="spellEnd"/>
      <w:r w:rsidRPr="003E0982">
        <w:rPr>
          <w:lang w:val="es-PE"/>
        </w:rPr>
        <w:t>) IV.112</w:t>
      </w:r>
      <w:r>
        <w:rPr>
          <w:lang w:val="es-PE"/>
        </w:rPr>
        <w:t>s</w:t>
      </w:r>
      <w:r w:rsidRPr="003E0982">
        <w:rPr>
          <w:lang w:val="es-PE"/>
        </w:rPr>
        <w:t xml:space="preserve">., n.31; XI.95; XXII.97 </w:t>
      </w:r>
    </w:p>
    <w:p w14:paraId="2DD78512" w14:textId="77777777" w:rsidR="00597DE2" w:rsidRPr="005B6D62" w:rsidRDefault="00597DE2" w:rsidP="00597DE2">
      <w:pPr>
        <w:pStyle w:val="ParrafoApendice"/>
        <w:rPr>
          <w:lang w:val="es-PE"/>
        </w:rPr>
      </w:pPr>
      <w:r w:rsidRPr="005B6D62">
        <w:rPr>
          <w:lang w:val="es-PE"/>
        </w:rPr>
        <w:t>unidireccionalidad (</w:t>
      </w:r>
      <w:proofErr w:type="spellStart"/>
      <w:r w:rsidRPr="005B6D62">
        <w:rPr>
          <w:i/>
          <w:iCs/>
          <w:lang w:val="es-PE"/>
        </w:rPr>
        <w:t>ekaggatā</w:t>
      </w:r>
      <w:proofErr w:type="spellEnd"/>
      <w:r w:rsidRPr="005B6D62">
        <w:rPr>
          <w:lang w:val="es-PE"/>
        </w:rPr>
        <w:t xml:space="preserve">), ver </w:t>
      </w:r>
      <w:r w:rsidRPr="005B6D62">
        <w:rPr>
          <w:i/>
          <w:iCs/>
          <w:lang w:val="es-PE"/>
        </w:rPr>
        <w:t>unificación</w:t>
      </w:r>
      <w:r w:rsidRPr="005B6D62">
        <w:rPr>
          <w:lang w:val="es-PE"/>
        </w:rPr>
        <w:t xml:space="preserve"> </w:t>
      </w:r>
    </w:p>
    <w:p w14:paraId="4018D4B0" w14:textId="77777777" w:rsidR="00597DE2" w:rsidRPr="00405A83" w:rsidRDefault="00597DE2" w:rsidP="00597DE2">
      <w:pPr>
        <w:pStyle w:val="ParrafoApendice"/>
        <w:rPr>
          <w:lang w:val="es-PE"/>
        </w:rPr>
      </w:pPr>
      <w:r w:rsidRPr="00405A83">
        <w:rPr>
          <w:lang w:val="es-PE"/>
        </w:rPr>
        <w:t>unificaci</w:t>
      </w:r>
      <w:r>
        <w:rPr>
          <w:lang w:val="es-PE"/>
        </w:rPr>
        <w:t>ón</w:t>
      </w:r>
      <w:r w:rsidRPr="00405A83">
        <w:rPr>
          <w:lang w:val="es-PE"/>
        </w:rPr>
        <w:t xml:space="preserve"> (</w:t>
      </w:r>
      <w:proofErr w:type="spellStart"/>
      <w:r w:rsidRPr="00405A83">
        <w:rPr>
          <w:i/>
          <w:iCs/>
          <w:lang w:val="es-PE"/>
        </w:rPr>
        <w:t>ekaggatā</w:t>
      </w:r>
      <w:proofErr w:type="spellEnd"/>
      <w:r w:rsidRPr="00405A83">
        <w:rPr>
          <w:lang w:val="es-PE"/>
        </w:rPr>
        <w:t xml:space="preserve">) III.2, n.2; IV.74; VIII.232; XI.119; XXI.114; XXII.36, 46; XXIII.20, 26 </w:t>
      </w:r>
    </w:p>
    <w:p w14:paraId="13A432EA" w14:textId="77777777" w:rsidR="00597DE2" w:rsidRPr="00FC741B" w:rsidRDefault="00597DE2" w:rsidP="00597DE2">
      <w:pPr>
        <w:pStyle w:val="ParrafoApendice"/>
        <w:rPr>
          <w:lang w:val="es-PE"/>
        </w:rPr>
      </w:pPr>
      <w:r w:rsidRPr="00FC741B">
        <w:rPr>
          <w:lang w:val="es-PE"/>
        </w:rPr>
        <w:t xml:space="preserve">universal, ver </w:t>
      </w:r>
      <w:proofErr w:type="spellStart"/>
      <w:r w:rsidRPr="00FC741B">
        <w:rPr>
          <w:i/>
          <w:iCs/>
          <w:lang w:val="es-PE"/>
        </w:rPr>
        <w:t>kasiṇa</w:t>
      </w:r>
      <w:proofErr w:type="spellEnd"/>
      <w:r w:rsidRPr="00FC741B">
        <w:rPr>
          <w:lang w:val="es-PE"/>
        </w:rPr>
        <w:t xml:space="preserve"> </w:t>
      </w:r>
    </w:p>
    <w:p w14:paraId="1D41FFB8" w14:textId="77777777" w:rsidR="00597DE2" w:rsidRPr="00005A02" w:rsidRDefault="00597DE2" w:rsidP="00597DE2">
      <w:pPr>
        <w:pStyle w:val="ParrafoApendice"/>
        <w:rPr>
          <w:strike/>
          <w:color w:val="833C0B" w:themeColor="accent2" w:themeShade="80"/>
          <w:lang w:val="es-PE"/>
        </w:rPr>
      </w:pPr>
      <w:proofErr w:type="spellStart"/>
      <w:r w:rsidRPr="00005A02">
        <w:rPr>
          <w:strike/>
          <w:color w:val="833C0B" w:themeColor="accent2" w:themeShade="80"/>
          <w:lang w:val="es-PE"/>
        </w:rPr>
        <w:t>upahaccaparinibbāyin</w:t>
      </w:r>
      <w:proofErr w:type="spellEnd"/>
      <w:r w:rsidRPr="00005A02">
        <w:rPr>
          <w:strike/>
          <w:color w:val="833C0B" w:themeColor="accent2" w:themeShade="80"/>
          <w:lang w:val="es-PE"/>
        </w:rPr>
        <w:t xml:space="preserve"> XXIII.56 </w:t>
      </w:r>
    </w:p>
    <w:p w14:paraId="07FBFEFA" w14:textId="77777777" w:rsidR="00597DE2" w:rsidRPr="00A5270A" w:rsidRDefault="00597DE2" w:rsidP="00597DE2">
      <w:pPr>
        <w:pStyle w:val="ParrafoApendice"/>
        <w:rPr>
          <w:lang w:val="es-PE"/>
        </w:rPr>
      </w:pPr>
      <w:proofErr w:type="spellStart"/>
      <w:r w:rsidRPr="00A5270A">
        <w:rPr>
          <w:lang w:val="es-PE"/>
        </w:rPr>
        <w:t>Upananda</w:t>
      </w:r>
      <w:proofErr w:type="spellEnd"/>
      <w:r w:rsidRPr="00A5270A">
        <w:rPr>
          <w:lang w:val="es-PE"/>
        </w:rPr>
        <w:t xml:space="preserve"> </w:t>
      </w:r>
      <w:proofErr w:type="spellStart"/>
      <w:r w:rsidRPr="00A5270A">
        <w:rPr>
          <w:lang w:val="es-PE"/>
        </w:rPr>
        <w:t>Thera</w:t>
      </w:r>
      <w:proofErr w:type="spellEnd"/>
      <w:r w:rsidRPr="00A5270A">
        <w:rPr>
          <w:lang w:val="es-PE"/>
        </w:rPr>
        <w:t xml:space="preserve"> II.82 </w:t>
      </w:r>
      <w:r>
        <w:rPr>
          <w:lang w:val="es-PE"/>
        </w:rPr>
        <w:br w:type="column"/>
      </w:r>
    </w:p>
    <w:p w14:paraId="69717B15" w14:textId="77777777" w:rsidR="00597DE2" w:rsidRPr="00A5270A" w:rsidRDefault="00597DE2" w:rsidP="00597DE2">
      <w:pPr>
        <w:pStyle w:val="ParrafoApendice"/>
        <w:rPr>
          <w:lang w:val="es-PE"/>
        </w:rPr>
      </w:pPr>
      <w:proofErr w:type="spellStart"/>
      <w:r w:rsidRPr="00A5270A">
        <w:rPr>
          <w:lang w:val="es-PE"/>
        </w:rPr>
        <w:t>Upatissa</w:t>
      </w:r>
      <w:proofErr w:type="spellEnd"/>
      <w:r w:rsidRPr="00A5270A">
        <w:rPr>
          <w:lang w:val="es-PE"/>
        </w:rPr>
        <w:t xml:space="preserve"> </w:t>
      </w:r>
      <w:proofErr w:type="spellStart"/>
      <w:r w:rsidRPr="00A5270A">
        <w:rPr>
          <w:lang w:val="es-PE"/>
        </w:rPr>
        <w:t>Thera</w:t>
      </w:r>
      <w:proofErr w:type="spellEnd"/>
      <w:r w:rsidRPr="00A5270A">
        <w:rPr>
          <w:lang w:val="es-PE"/>
        </w:rPr>
        <w:t xml:space="preserve"> III.n.19 </w:t>
      </w:r>
    </w:p>
    <w:p w14:paraId="418BD2A9" w14:textId="77777777" w:rsidR="00597DE2" w:rsidRPr="00005A02" w:rsidRDefault="00597DE2" w:rsidP="00597DE2">
      <w:pPr>
        <w:pStyle w:val="ParrafoApendice"/>
        <w:rPr>
          <w:lang w:val="es-PE"/>
        </w:rPr>
      </w:pPr>
      <w:proofErr w:type="spellStart"/>
      <w:r w:rsidRPr="00005A02">
        <w:rPr>
          <w:lang w:val="es-PE"/>
        </w:rPr>
        <w:t>uposatha</w:t>
      </w:r>
      <w:proofErr w:type="spellEnd"/>
      <w:r w:rsidRPr="00005A02">
        <w:rPr>
          <w:lang w:val="es-PE"/>
        </w:rPr>
        <w:t xml:space="preserve"> (</w:t>
      </w:r>
      <w:proofErr w:type="spellStart"/>
      <w:r w:rsidRPr="00FE2261">
        <w:rPr>
          <w:i/>
          <w:iCs/>
          <w:lang w:val="es-PE"/>
        </w:rPr>
        <w:t>uposatha</w:t>
      </w:r>
      <w:proofErr w:type="spellEnd"/>
      <w:r w:rsidRPr="00FE2261">
        <w:rPr>
          <w:i/>
          <w:iCs/>
          <w:lang w:val="es-PE"/>
        </w:rPr>
        <w:t>–día de observación</w:t>
      </w:r>
      <w:r w:rsidRPr="00005A02">
        <w:rPr>
          <w:lang w:val="es-PE"/>
        </w:rPr>
        <w:t xml:space="preserve">) I.40, n.10; II.60; VII.125; XVII.81; XXI.n.15 </w:t>
      </w:r>
    </w:p>
    <w:p w14:paraId="2C1D64CE" w14:textId="77777777" w:rsidR="00597DE2" w:rsidRPr="00A5270A" w:rsidRDefault="00597DE2" w:rsidP="00597DE2">
      <w:pPr>
        <w:pStyle w:val="ParrafoApendice"/>
        <w:rPr>
          <w:lang w:val="es-PE"/>
        </w:rPr>
      </w:pPr>
      <w:proofErr w:type="spellStart"/>
      <w:r w:rsidRPr="00A5270A">
        <w:rPr>
          <w:lang w:val="es-PE"/>
        </w:rPr>
        <w:t>Uppalavaṇṇā</w:t>
      </w:r>
      <w:proofErr w:type="spellEnd"/>
      <w:r w:rsidRPr="00A5270A">
        <w:rPr>
          <w:lang w:val="es-PE"/>
        </w:rPr>
        <w:t xml:space="preserve"> </w:t>
      </w:r>
      <w:proofErr w:type="spellStart"/>
      <w:r w:rsidRPr="00A5270A">
        <w:rPr>
          <w:lang w:val="es-PE"/>
        </w:rPr>
        <w:t>Theri</w:t>
      </w:r>
      <w:proofErr w:type="spellEnd"/>
      <w:r w:rsidRPr="00A5270A">
        <w:rPr>
          <w:lang w:val="es-PE"/>
        </w:rPr>
        <w:t xml:space="preserve"> XXII.83 </w:t>
      </w:r>
    </w:p>
    <w:p w14:paraId="7EB0EA48" w14:textId="77777777" w:rsidR="00597DE2" w:rsidRPr="0027153C" w:rsidRDefault="00597DE2" w:rsidP="00597DE2">
      <w:pPr>
        <w:pStyle w:val="ParrafoApendice"/>
        <w:rPr>
          <w:lang w:val="es-PE"/>
        </w:rPr>
      </w:pPr>
      <w:r>
        <w:rPr>
          <w:lang w:val="es-PE"/>
        </w:rPr>
        <w:t>u</w:t>
      </w:r>
      <w:r w:rsidRPr="0027153C">
        <w:rPr>
          <w:lang w:val="es-PE"/>
        </w:rPr>
        <w:t>rgencia, (</w:t>
      </w:r>
      <w:proofErr w:type="spellStart"/>
      <w:r w:rsidRPr="0027153C">
        <w:rPr>
          <w:i/>
          <w:iCs/>
          <w:lang w:val="es-PE"/>
        </w:rPr>
        <w:t>sa</w:t>
      </w:r>
      <w:r>
        <w:rPr>
          <w:i/>
          <w:iCs/>
          <w:lang w:val="es-PE"/>
        </w:rPr>
        <w:t>ṃ</w:t>
      </w:r>
      <w:r w:rsidRPr="0027153C">
        <w:rPr>
          <w:i/>
          <w:iCs/>
          <w:lang w:val="es-PE"/>
        </w:rPr>
        <w:t>vega</w:t>
      </w:r>
      <w:proofErr w:type="spellEnd"/>
      <w:r w:rsidRPr="0027153C">
        <w:rPr>
          <w:lang w:val="es-PE"/>
        </w:rPr>
        <w:t xml:space="preserve">), </w:t>
      </w:r>
      <w:r>
        <w:rPr>
          <w:lang w:val="es-PE"/>
        </w:rPr>
        <w:t xml:space="preserve">ver </w:t>
      </w:r>
      <w:r w:rsidRPr="00C1739A">
        <w:rPr>
          <w:i/>
          <w:iCs/>
          <w:lang w:val="es-PE"/>
        </w:rPr>
        <w:t>sentido de urgencia</w:t>
      </w:r>
      <w:r w:rsidRPr="0027153C">
        <w:rPr>
          <w:lang w:val="es-PE"/>
        </w:rPr>
        <w:t xml:space="preserve"> </w:t>
      </w:r>
    </w:p>
    <w:p w14:paraId="6418B5E1" w14:textId="77777777" w:rsidR="00597DE2" w:rsidRPr="005B6D62" w:rsidRDefault="00597DE2" w:rsidP="00597DE2">
      <w:pPr>
        <w:pStyle w:val="ParrafoApendice"/>
        <w:rPr>
          <w:lang w:val="es-PE"/>
        </w:rPr>
      </w:pPr>
      <w:r w:rsidRPr="005B6D62">
        <w:rPr>
          <w:lang w:val="es-PE"/>
        </w:rPr>
        <w:t>us</w:t>
      </w:r>
      <w:r>
        <w:rPr>
          <w:lang w:val="es-PE"/>
        </w:rPr>
        <w:t>o</w:t>
      </w:r>
      <w:r w:rsidRPr="005B6D62">
        <w:rPr>
          <w:lang w:val="es-PE"/>
        </w:rPr>
        <w:t xml:space="preserve"> (</w:t>
      </w:r>
      <w:proofErr w:type="spellStart"/>
      <w:r w:rsidRPr="00C1739A">
        <w:rPr>
          <w:i/>
          <w:iCs/>
          <w:lang w:val="es-PE"/>
        </w:rPr>
        <w:t>paribhoga</w:t>
      </w:r>
      <w:proofErr w:type="spellEnd"/>
      <w:r w:rsidRPr="005B6D62">
        <w:rPr>
          <w:lang w:val="es-PE"/>
        </w:rPr>
        <w:t>) I.124</w:t>
      </w:r>
      <w:r>
        <w:rPr>
          <w:lang w:val="es-PE"/>
        </w:rPr>
        <w:t>s</w:t>
      </w:r>
      <w:r w:rsidRPr="005B6D62">
        <w:rPr>
          <w:lang w:val="es-PE"/>
        </w:rPr>
        <w:t xml:space="preserve">. </w:t>
      </w:r>
    </w:p>
    <w:p w14:paraId="23065DF8" w14:textId="77777777" w:rsidR="00597DE2" w:rsidRPr="000639A3" w:rsidRDefault="00597DE2" w:rsidP="00597DE2">
      <w:pPr>
        <w:pStyle w:val="ParrafoApendice"/>
        <w:rPr>
          <w:lang w:val="es-PE"/>
        </w:rPr>
      </w:pPr>
      <w:r>
        <w:rPr>
          <w:lang w:val="es-PE"/>
        </w:rPr>
        <w:t>usuario</w:t>
      </w:r>
      <w:r w:rsidRPr="000639A3">
        <w:rPr>
          <w:lang w:val="es-PE"/>
        </w:rPr>
        <w:t xml:space="preserve"> del triple–</w:t>
      </w:r>
      <w:r>
        <w:rPr>
          <w:lang w:val="es-PE"/>
        </w:rPr>
        <w:t xml:space="preserve">ropaje </w:t>
      </w:r>
      <w:r w:rsidRPr="000639A3">
        <w:rPr>
          <w:lang w:val="es-PE"/>
        </w:rPr>
        <w:t>(</w:t>
      </w:r>
      <w:r w:rsidRPr="000639A3">
        <w:rPr>
          <w:i/>
          <w:iCs/>
          <w:lang w:val="es-PE"/>
        </w:rPr>
        <w:t>ti–</w:t>
      </w:r>
      <w:proofErr w:type="spellStart"/>
      <w:r w:rsidRPr="000639A3">
        <w:rPr>
          <w:i/>
          <w:iCs/>
          <w:lang w:val="es-PE"/>
        </w:rPr>
        <w:t>cīvarika</w:t>
      </w:r>
      <w:proofErr w:type="spellEnd"/>
      <w:r w:rsidRPr="000639A3">
        <w:rPr>
          <w:lang w:val="es-PE"/>
        </w:rPr>
        <w:t>) II.2, 23</w:t>
      </w:r>
      <w:r>
        <w:rPr>
          <w:lang w:val="es-PE"/>
        </w:rPr>
        <w:t>s</w:t>
      </w:r>
      <w:r w:rsidRPr="000639A3">
        <w:rPr>
          <w:lang w:val="es-PE"/>
        </w:rPr>
        <w:t>.</w:t>
      </w:r>
    </w:p>
    <w:p w14:paraId="464FB5C8" w14:textId="77777777" w:rsidR="00597DE2" w:rsidRPr="005B6D62" w:rsidRDefault="00597DE2" w:rsidP="00597DE2">
      <w:pPr>
        <w:pStyle w:val="ParrafoApendice"/>
        <w:rPr>
          <w:lang w:val="es-PE"/>
        </w:rPr>
      </w:pPr>
      <w:proofErr w:type="spellStart"/>
      <w:r w:rsidRPr="005B6D62">
        <w:rPr>
          <w:lang w:val="es-PE"/>
        </w:rPr>
        <w:t>Uttarakuru</w:t>
      </w:r>
      <w:proofErr w:type="spellEnd"/>
      <w:r w:rsidRPr="005B6D62">
        <w:rPr>
          <w:lang w:val="es-PE"/>
        </w:rPr>
        <w:t xml:space="preserve"> I.41; VII.43</w:t>
      </w:r>
      <w:r>
        <w:rPr>
          <w:lang w:val="es-PE"/>
        </w:rPr>
        <w:t>s</w:t>
      </w:r>
      <w:r w:rsidRPr="005B6D62">
        <w:rPr>
          <w:lang w:val="es-PE"/>
        </w:rPr>
        <w:t>.; XII.73</w:t>
      </w:r>
    </w:p>
    <w:p w14:paraId="7AFD8674" w14:textId="77777777" w:rsidR="00597DE2" w:rsidRPr="005B6D62" w:rsidRDefault="00597DE2" w:rsidP="00597DE2">
      <w:pPr>
        <w:pStyle w:val="ParrafoApendice"/>
        <w:rPr>
          <w:lang w:val="es-PE"/>
        </w:rPr>
      </w:pPr>
      <w:proofErr w:type="spellStart"/>
      <w:r w:rsidRPr="005B6D62">
        <w:rPr>
          <w:lang w:val="es-PE"/>
        </w:rPr>
        <w:t>Uttara</w:t>
      </w:r>
      <w:proofErr w:type="spellEnd"/>
      <w:r w:rsidRPr="005B6D62">
        <w:rPr>
          <w:lang w:val="es-PE"/>
        </w:rPr>
        <w:t>–</w:t>
      </w:r>
      <w:proofErr w:type="spellStart"/>
      <w:r w:rsidRPr="005B6D62">
        <w:rPr>
          <w:lang w:val="es-PE"/>
        </w:rPr>
        <w:t>mātar</w:t>
      </w:r>
      <w:proofErr w:type="spellEnd"/>
      <w:r w:rsidRPr="005B6D62">
        <w:rPr>
          <w:lang w:val="es-PE"/>
        </w:rPr>
        <w:t xml:space="preserve"> XII.39</w:t>
      </w:r>
    </w:p>
    <w:p w14:paraId="6B1C174F" w14:textId="77777777" w:rsidR="00597DE2" w:rsidRPr="005B6D62" w:rsidRDefault="00597DE2" w:rsidP="00597DE2">
      <w:pPr>
        <w:pStyle w:val="ParrafoApendice"/>
        <w:rPr>
          <w:lang w:val="es-PE"/>
        </w:rPr>
      </w:pPr>
      <w:r w:rsidRPr="005B6D62">
        <w:rPr>
          <w:lang w:val="es-PE"/>
        </w:rPr>
        <w:t>vacío (</w:t>
      </w:r>
      <w:proofErr w:type="spellStart"/>
      <w:r w:rsidRPr="005B6D62">
        <w:rPr>
          <w:i/>
          <w:iCs/>
          <w:lang w:val="es-PE"/>
        </w:rPr>
        <w:t>ākiñcañña</w:t>
      </w:r>
      <w:proofErr w:type="spellEnd"/>
      <w:r w:rsidRPr="005B6D62">
        <w:rPr>
          <w:lang w:val="es-PE"/>
        </w:rPr>
        <w:t>) X.32</w:t>
      </w:r>
    </w:p>
    <w:p w14:paraId="2FB7259D" w14:textId="77777777" w:rsidR="00597DE2" w:rsidRPr="005B6D62" w:rsidRDefault="00597DE2" w:rsidP="00597DE2">
      <w:pPr>
        <w:pStyle w:val="ParrafoApendice"/>
        <w:rPr>
          <w:lang w:val="es-PE"/>
        </w:rPr>
      </w:pPr>
      <w:r>
        <w:rPr>
          <w:lang w:val="es-PE"/>
        </w:rPr>
        <w:t>vacío/a</w:t>
      </w:r>
      <w:r w:rsidRPr="005B6D62">
        <w:rPr>
          <w:lang w:val="es-PE"/>
        </w:rPr>
        <w:t xml:space="preserve"> (</w:t>
      </w:r>
      <w:proofErr w:type="spellStart"/>
      <w:r w:rsidRPr="0028318B">
        <w:rPr>
          <w:i/>
          <w:iCs/>
          <w:lang w:val="es-PE"/>
        </w:rPr>
        <w:t>suñña</w:t>
      </w:r>
      <w:proofErr w:type="spellEnd"/>
      <w:r w:rsidRPr="005B6D62">
        <w:rPr>
          <w:lang w:val="es-PE"/>
        </w:rPr>
        <w:t>) X.</w:t>
      </w:r>
      <w:r w:rsidRPr="00483BFB">
        <w:rPr>
          <w:color w:val="833C0B" w:themeColor="accent2" w:themeShade="80"/>
          <w:lang w:val="es-PE"/>
        </w:rPr>
        <w:t>32s</w:t>
      </w:r>
      <w:r>
        <w:rPr>
          <w:lang w:val="es-PE"/>
        </w:rPr>
        <w:t>.</w:t>
      </w:r>
      <w:r w:rsidRPr="005B6D62">
        <w:rPr>
          <w:lang w:val="es-PE"/>
        </w:rPr>
        <w:t>; XVI.90, n.25; XVII.283; XX.47; XXI.24, 34, 53</w:t>
      </w:r>
      <w:r>
        <w:rPr>
          <w:lang w:val="es-PE"/>
        </w:rPr>
        <w:t>s</w:t>
      </w:r>
      <w:r w:rsidRPr="005B6D62">
        <w:rPr>
          <w:lang w:val="es-PE"/>
        </w:rPr>
        <w:t>., 69</w:t>
      </w:r>
      <w:r>
        <w:rPr>
          <w:lang w:val="es-PE"/>
        </w:rPr>
        <w:t>s</w:t>
      </w:r>
      <w:r w:rsidRPr="005B6D62">
        <w:rPr>
          <w:lang w:val="es-PE"/>
        </w:rPr>
        <w:t>., 121, 123</w:t>
      </w:r>
      <w:r>
        <w:rPr>
          <w:lang w:val="es-PE"/>
        </w:rPr>
        <w:t>s</w:t>
      </w:r>
      <w:r w:rsidRPr="005B6D62">
        <w:rPr>
          <w:lang w:val="es-PE"/>
        </w:rPr>
        <w:t xml:space="preserve">.; </w:t>
      </w:r>
      <w:r w:rsidRPr="00AD6475">
        <w:rPr>
          <w:i/>
          <w:iCs/>
          <w:lang w:val="es-PE"/>
        </w:rPr>
        <w:t>liberación del vacío</w:t>
      </w:r>
      <w:r w:rsidRPr="005B6D62">
        <w:rPr>
          <w:lang w:val="es-PE"/>
        </w:rPr>
        <w:t xml:space="preserve"> (</w:t>
      </w:r>
      <w:proofErr w:type="spellStart"/>
      <w:r w:rsidRPr="00AD6475">
        <w:rPr>
          <w:i/>
          <w:iCs/>
          <w:lang w:val="es-PE"/>
        </w:rPr>
        <w:t>suññata</w:t>
      </w:r>
      <w:proofErr w:type="spellEnd"/>
      <w:r w:rsidRPr="00AD6475">
        <w:rPr>
          <w:i/>
          <w:iCs/>
          <w:lang w:val="es-PE"/>
        </w:rPr>
        <w:t>–</w:t>
      </w:r>
      <w:proofErr w:type="spellStart"/>
      <w:r w:rsidRPr="00AD6475">
        <w:rPr>
          <w:i/>
          <w:iCs/>
          <w:lang w:val="es-PE"/>
        </w:rPr>
        <w:t>vimokkha</w:t>
      </w:r>
      <w:proofErr w:type="spellEnd"/>
      <w:r w:rsidRPr="005B6D62">
        <w:rPr>
          <w:lang w:val="es-PE"/>
        </w:rPr>
        <w:t>) XXI.70</w:t>
      </w:r>
      <w:r>
        <w:rPr>
          <w:lang w:val="es-PE"/>
        </w:rPr>
        <w:t>s</w:t>
      </w:r>
      <w:r w:rsidRPr="005B6D62">
        <w:rPr>
          <w:lang w:val="es-PE"/>
        </w:rPr>
        <w:t xml:space="preserve">., 89 </w:t>
      </w:r>
    </w:p>
    <w:p w14:paraId="202AD1E0" w14:textId="77777777" w:rsidR="00597DE2" w:rsidRPr="005B6D62" w:rsidRDefault="00597DE2" w:rsidP="00597DE2">
      <w:pPr>
        <w:pStyle w:val="ParrafoApendice"/>
        <w:rPr>
          <w:lang w:val="es-PE"/>
        </w:rPr>
      </w:pPr>
      <w:r>
        <w:rPr>
          <w:lang w:val="es-PE"/>
        </w:rPr>
        <w:t>vacuidad</w:t>
      </w:r>
      <w:r w:rsidRPr="005B6D62">
        <w:rPr>
          <w:lang w:val="es-PE"/>
        </w:rPr>
        <w:t xml:space="preserve"> (</w:t>
      </w:r>
      <w:proofErr w:type="spellStart"/>
      <w:r w:rsidRPr="00D7165B">
        <w:rPr>
          <w:i/>
          <w:iCs/>
          <w:lang w:val="es-PE"/>
        </w:rPr>
        <w:t>suññatā</w:t>
      </w:r>
      <w:proofErr w:type="spellEnd"/>
      <w:r w:rsidRPr="005B6D62">
        <w:rPr>
          <w:lang w:val="es-PE"/>
        </w:rPr>
        <w:t xml:space="preserve">) </w:t>
      </w:r>
      <w:r w:rsidRPr="001D7475">
        <w:rPr>
          <w:strike/>
          <w:color w:val="833C0B" w:themeColor="accent2" w:themeShade="80"/>
          <w:lang w:val="es-PE"/>
        </w:rPr>
        <w:t>II.40</w:t>
      </w:r>
      <w:r w:rsidRPr="005B6D62">
        <w:rPr>
          <w:lang w:val="es-PE"/>
        </w:rPr>
        <w:t xml:space="preserve">; VII.n.1; XI.117, n.20; </w:t>
      </w:r>
      <w:r w:rsidRPr="00FF53FF">
        <w:rPr>
          <w:i/>
          <w:iCs/>
          <w:lang w:val="es-PE"/>
        </w:rPr>
        <w:t>elemento de la vacuidad</w:t>
      </w:r>
      <w:r w:rsidRPr="005B6D62">
        <w:rPr>
          <w:lang w:val="es-PE"/>
        </w:rPr>
        <w:t xml:space="preserve"> (</w:t>
      </w:r>
      <w:proofErr w:type="spellStart"/>
      <w:r w:rsidRPr="00855F22">
        <w:rPr>
          <w:i/>
          <w:iCs/>
          <w:lang w:val="es-PE"/>
        </w:rPr>
        <w:t>suññatā</w:t>
      </w:r>
      <w:proofErr w:type="spellEnd"/>
      <w:r w:rsidRPr="00855F22">
        <w:rPr>
          <w:i/>
          <w:iCs/>
          <w:lang w:val="es-PE"/>
        </w:rPr>
        <w:t>–</w:t>
      </w:r>
      <w:proofErr w:type="spellStart"/>
      <w:r w:rsidRPr="00855F22">
        <w:rPr>
          <w:i/>
          <w:iCs/>
          <w:lang w:val="es-PE"/>
        </w:rPr>
        <w:t>dhātu</w:t>
      </w:r>
      <w:proofErr w:type="spellEnd"/>
      <w:r w:rsidRPr="005B6D62">
        <w:rPr>
          <w:lang w:val="es-PE"/>
        </w:rPr>
        <w:t>) XXI.67</w:t>
      </w:r>
    </w:p>
    <w:p w14:paraId="25C2500C" w14:textId="77777777" w:rsidR="00597DE2" w:rsidRPr="006D0608" w:rsidRDefault="00597DE2" w:rsidP="00597DE2">
      <w:pPr>
        <w:pStyle w:val="ParrafoApendice"/>
      </w:pPr>
      <w:proofErr w:type="spellStart"/>
      <w:r w:rsidRPr="006D0608">
        <w:t>Vakkali</w:t>
      </w:r>
      <w:proofErr w:type="spellEnd"/>
      <w:r w:rsidRPr="006D0608">
        <w:t xml:space="preserve"> Thera IV.45 </w:t>
      </w:r>
    </w:p>
    <w:p w14:paraId="2A85B5C0" w14:textId="77777777" w:rsidR="00597DE2" w:rsidRPr="006D0608" w:rsidRDefault="00597DE2" w:rsidP="00597DE2">
      <w:pPr>
        <w:pStyle w:val="ParrafoApendice"/>
      </w:pPr>
      <w:proofErr w:type="spellStart"/>
      <w:r w:rsidRPr="006D0608">
        <w:t>Vaṅgīsa</w:t>
      </w:r>
      <w:proofErr w:type="spellEnd"/>
      <w:r w:rsidRPr="006D0608">
        <w:t xml:space="preserve"> Thera I.103 </w:t>
      </w:r>
    </w:p>
    <w:p w14:paraId="669A54F9" w14:textId="77777777" w:rsidR="00597DE2" w:rsidRPr="009417EA" w:rsidRDefault="00597DE2" w:rsidP="00597DE2">
      <w:pPr>
        <w:pStyle w:val="ParrafoApendice"/>
        <w:rPr>
          <w:lang w:val="es-PE"/>
        </w:rPr>
      </w:pPr>
      <w:r w:rsidRPr="009417EA">
        <w:rPr>
          <w:lang w:val="es-PE"/>
        </w:rPr>
        <w:t>vanidad (</w:t>
      </w:r>
      <w:proofErr w:type="spellStart"/>
      <w:r w:rsidRPr="009417EA">
        <w:rPr>
          <w:i/>
          <w:iCs/>
          <w:lang w:val="es-PE"/>
        </w:rPr>
        <w:t>mada</w:t>
      </w:r>
      <w:proofErr w:type="spellEnd"/>
      <w:r w:rsidRPr="009417EA">
        <w:rPr>
          <w:lang w:val="es-PE"/>
        </w:rPr>
        <w:t>) II.67; VII.59; VIII.</w:t>
      </w:r>
      <w:r w:rsidRPr="009417EA">
        <w:rPr>
          <w:color w:val="833C0B" w:themeColor="accent2" w:themeShade="80"/>
          <w:lang w:val="es-PE"/>
        </w:rPr>
        <w:t>245</w:t>
      </w:r>
      <w:r w:rsidRPr="009417EA">
        <w:rPr>
          <w:lang w:val="es-PE"/>
        </w:rPr>
        <w:t xml:space="preserve">, 247, </w:t>
      </w:r>
      <w:r w:rsidRPr="009417EA">
        <w:rPr>
          <w:color w:val="833C0B" w:themeColor="accent2" w:themeShade="80"/>
          <w:lang w:val="es-PE"/>
        </w:rPr>
        <w:t>n.72</w:t>
      </w:r>
      <w:r w:rsidRPr="009417EA">
        <w:rPr>
          <w:lang w:val="es-PE"/>
        </w:rPr>
        <w:t xml:space="preserve">. Ver también </w:t>
      </w:r>
      <w:r w:rsidRPr="009417EA">
        <w:rPr>
          <w:i/>
          <w:iCs/>
          <w:lang w:val="es-PE"/>
        </w:rPr>
        <w:t>intoxicación, presunción</w:t>
      </w:r>
    </w:p>
    <w:p w14:paraId="49BAC693" w14:textId="77777777" w:rsidR="00597DE2" w:rsidRPr="00F31D93" w:rsidRDefault="00597DE2" w:rsidP="00597DE2">
      <w:pPr>
        <w:pStyle w:val="ParrafoApendice"/>
        <w:rPr>
          <w:lang w:val="es-PE"/>
        </w:rPr>
      </w:pPr>
      <w:r w:rsidRPr="00F31D93">
        <w:rPr>
          <w:lang w:val="es-PE"/>
        </w:rPr>
        <w:t>vanidad, personal (</w:t>
      </w:r>
      <w:proofErr w:type="spellStart"/>
      <w:r w:rsidRPr="00F31D93">
        <w:rPr>
          <w:i/>
          <w:iCs/>
          <w:lang w:val="es-PE"/>
        </w:rPr>
        <w:t>cāpalya</w:t>
      </w:r>
      <w:proofErr w:type="spellEnd"/>
      <w:r w:rsidRPr="00F31D93">
        <w:rPr>
          <w:lang w:val="es-PE"/>
        </w:rPr>
        <w:t xml:space="preserve">) III.95, </w:t>
      </w:r>
      <w:r w:rsidRPr="00194E84">
        <w:rPr>
          <w:strike/>
          <w:color w:val="833C0B" w:themeColor="accent2" w:themeShade="80"/>
          <w:lang w:val="es-PE"/>
        </w:rPr>
        <w:t>n.22</w:t>
      </w:r>
      <w:r w:rsidRPr="00F31D93">
        <w:rPr>
          <w:lang w:val="es-PE"/>
        </w:rPr>
        <w:t xml:space="preserve"> </w:t>
      </w:r>
    </w:p>
    <w:p w14:paraId="1D60C162" w14:textId="77777777" w:rsidR="00597DE2" w:rsidRPr="00194E84" w:rsidRDefault="00597DE2" w:rsidP="00597DE2">
      <w:pPr>
        <w:pStyle w:val="ParrafoApendice"/>
        <w:rPr>
          <w:lang w:val="es-PE"/>
        </w:rPr>
      </w:pPr>
      <w:r w:rsidRPr="00194E84">
        <w:rPr>
          <w:lang w:val="es-PE"/>
        </w:rPr>
        <w:t>variedad (</w:t>
      </w:r>
      <w:proofErr w:type="spellStart"/>
      <w:r w:rsidRPr="00194E84">
        <w:rPr>
          <w:i/>
          <w:iCs/>
          <w:lang w:val="es-PE"/>
        </w:rPr>
        <w:t>nānatta</w:t>
      </w:r>
      <w:proofErr w:type="spellEnd"/>
      <w:r w:rsidRPr="00194E84">
        <w:rPr>
          <w:lang w:val="es-PE"/>
        </w:rPr>
        <w:t>) I.140; X.12, 20; XI.95</w:t>
      </w:r>
      <w:r>
        <w:rPr>
          <w:lang w:val="es-PE"/>
        </w:rPr>
        <w:t>s</w:t>
      </w:r>
      <w:r w:rsidRPr="00194E84">
        <w:rPr>
          <w:lang w:val="es-PE"/>
        </w:rPr>
        <w:t>.</w:t>
      </w:r>
    </w:p>
    <w:p w14:paraId="23E7871F" w14:textId="77777777" w:rsidR="00597DE2" w:rsidRPr="00194E84" w:rsidRDefault="00597DE2" w:rsidP="00597DE2">
      <w:pPr>
        <w:pStyle w:val="ParrafoApendice"/>
        <w:rPr>
          <w:lang w:val="es-PE"/>
        </w:rPr>
      </w:pPr>
      <w:proofErr w:type="spellStart"/>
      <w:r w:rsidRPr="00194E84">
        <w:rPr>
          <w:lang w:val="es-PE"/>
        </w:rPr>
        <w:t>V</w:t>
      </w:r>
      <w:r>
        <w:rPr>
          <w:lang w:val="es-PE"/>
        </w:rPr>
        <w:t>ā</w:t>
      </w:r>
      <w:r w:rsidRPr="00194E84">
        <w:rPr>
          <w:lang w:val="es-PE"/>
        </w:rPr>
        <w:t>sudeva</w:t>
      </w:r>
      <w:proofErr w:type="spellEnd"/>
      <w:r w:rsidRPr="00194E84">
        <w:rPr>
          <w:lang w:val="es-PE"/>
        </w:rPr>
        <w:t xml:space="preserve"> VIII.19; XV.5 </w:t>
      </w:r>
    </w:p>
    <w:p w14:paraId="043784C9" w14:textId="77777777" w:rsidR="00597DE2" w:rsidRPr="00A5270A" w:rsidRDefault="00597DE2" w:rsidP="00597DE2">
      <w:pPr>
        <w:pStyle w:val="ParrafoApendice"/>
        <w:rPr>
          <w:lang w:val="es-PE"/>
        </w:rPr>
      </w:pPr>
      <w:proofErr w:type="spellStart"/>
      <w:r w:rsidRPr="00A5270A">
        <w:rPr>
          <w:lang w:val="es-PE"/>
        </w:rPr>
        <w:t>Vasudhamma</w:t>
      </w:r>
      <w:proofErr w:type="spellEnd"/>
      <w:r w:rsidRPr="00A5270A">
        <w:rPr>
          <w:lang w:val="es-PE"/>
        </w:rPr>
        <w:t xml:space="preserve"> XIV.n.16</w:t>
      </w:r>
    </w:p>
    <w:p w14:paraId="60EDC24C" w14:textId="77777777" w:rsidR="00597DE2" w:rsidRPr="00A5270A" w:rsidRDefault="00597DE2" w:rsidP="00597DE2">
      <w:pPr>
        <w:pStyle w:val="ParrafoApendice"/>
        <w:rPr>
          <w:lang w:val="es-PE"/>
        </w:rPr>
      </w:pPr>
      <w:proofErr w:type="spellStart"/>
      <w:r w:rsidRPr="00A5270A">
        <w:rPr>
          <w:lang w:val="es-PE"/>
        </w:rPr>
        <w:t>Vattakālakagāma</w:t>
      </w:r>
      <w:proofErr w:type="spellEnd"/>
      <w:r w:rsidRPr="00A5270A">
        <w:rPr>
          <w:lang w:val="es-PE"/>
        </w:rPr>
        <w:t xml:space="preserve"> IV.96</w:t>
      </w:r>
    </w:p>
    <w:p w14:paraId="1C43CF0E" w14:textId="77777777" w:rsidR="00597DE2" w:rsidRPr="00A5270A" w:rsidRDefault="00597DE2" w:rsidP="00597DE2">
      <w:pPr>
        <w:pStyle w:val="ParrafoApendice"/>
        <w:rPr>
          <w:lang w:val="es-PE"/>
        </w:rPr>
      </w:pPr>
      <w:proofErr w:type="spellStart"/>
      <w:r w:rsidRPr="00A5270A">
        <w:rPr>
          <w:lang w:val="es-PE"/>
        </w:rPr>
        <w:t>Vattaniya</w:t>
      </w:r>
      <w:proofErr w:type="spellEnd"/>
      <w:r w:rsidRPr="00A5270A">
        <w:rPr>
          <w:lang w:val="es-PE"/>
        </w:rPr>
        <w:t>–</w:t>
      </w:r>
      <w:proofErr w:type="spellStart"/>
      <w:r w:rsidRPr="00A5270A">
        <w:rPr>
          <w:lang w:val="es-PE"/>
        </w:rPr>
        <w:t>senāsana</w:t>
      </w:r>
      <w:proofErr w:type="spellEnd"/>
      <w:r w:rsidRPr="00A5270A">
        <w:rPr>
          <w:lang w:val="es-PE"/>
        </w:rPr>
        <w:t xml:space="preserve"> XIII.107</w:t>
      </w:r>
    </w:p>
    <w:p w14:paraId="706AFFB5" w14:textId="77777777" w:rsidR="00597DE2" w:rsidRPr="00A5270A" w:rsidRDefault="00597DE2" w:rsidP="00597DE2">
      <w:pPr>
        <w:pStyle w:val="ParrafoApendice"/>
        <w:rPr>
          <w:lang w:val="es-PE"/>
        </w:rPr>
      </w:pPr>
      <w:r w:rsidRPr="00A5270A">
        <w:rPr>
          <w:lang w:val="es-PE"/>
        </w:rPr>
        <w:t>Veda (</w:t>
      </w:r>
      <w:r w:rsidRPr="00A5270A">
        <w:rPr>
          <w:i/>
          <w:iCs/>
          <w:lang w:val="es-PE"/>
        </w:rPr>
        <w:t>veda</w:t>
      </w:r>
      <w:r w:rsidRPr="00A5270A">
        <w:rPr>
          <w:lang w:val="es-PE"/>
        </w:rPr>
        <w:t>) XII.44</w:t>
      </w:r>
    </w:p>
    <w:p w14:paraId="53E0C8BA" w14:textId="77777777" w:rsidR="00597DE2" w:rsidRPr="00DE2599" w:rsidRDefault="00597DE2" w:rsidP="00597DE2">
      <w:pPr>
        <w:pStyle w:val="ParrafoApendice"/>
        <w:rPr>
          <w:lang w:val="es-PE"/>
        </w:rPr>
      </w:pPr>
      <w:proofErr w:type="spellStart"/>
      <w:r w:rsidRPr="00DE2599">
        <w:rPr>
          <w:lang w:val="es-PE"/>
        </w:rPr>
        <w:t>Vehapphala</w:t>
      </w:r>
      <w:proofErr w:type="spellEnd"/>
      <w:r w:rsidRPr="00DE2599">
        <w:rPr>
          <w:lang w:val="es-PE"/>
        </w:rPr>
        <w:t xml:space="preserve"> (Gran Fruición) Deidades </w:t>
      </w:r>
      <w:r w:rsidRPr="00C42213">
        <w:rPr>
          <w:color w:val="833C0B" w:themeColor="accent2" w:themeShade="80"/>
          <w:lang w:val="es-PE"/>
        </w:rPr>
        <w:t>XIII.30,</w:t>
      </w:r>
      <w:r>
        <w:rPr>
          <w:lang w:val="es-PE"/>
        </w:rPr>
        <w:t xml:space="preserve"> </w:t>
      </w:r>
      <w:r w:rsidRPr="00DE2599">
        <w:rPr>
          <w:lang w:val="es-PE"/>
        </w:rPr>
        <w:t xml:space="preserve">62 </w:t>
      </w:r>
    </w:p>
    <w:p w14:paraId="718158B7" w14:textId="77777777" w:rsidR="00597DE2" w:rsidRPr="00604B97" w:rsidRDefault="00597DE2" w:rsidP="00597DE2">
      <w:pPr>
        <w:pStyle w:val="ParrafoApendice"/>
        <w:rPr>
          <w:lang w:val="es-PE"/>
        </w:rPr>
      </w:pPr>
      <w:r w:rsidRPr="00604B97">
        <w:rPr>
          <w:lang w:val="es-PE"/>
        </w:rPr>
        <w:t>vehículo (</w:t>
      </w:r>
      <w:proofErr w:type="spellStart"/>
      <w:r w:rsidRPr="00604B97">
        <w:rPr>
          <w:i/>
          <w:iCs/>
          <w:lang w:val="es-PE"/>
        </w:rPr>
        <w:t>yāna</w:t>
      </w:r>
      <w:proofErr w:type="spellEnd"/>
      <w:r w:rsidRPr="00604B97">
        <w:rPr>
          <w:lang w:val="es-PE"/>
        </w:rPr>
        <w:t xml:space="preserve">) XVIII.3, 5 </w:t>
      </w:r>
    </w:p>
    <w:p w14:paraId="0A3559D2" w14:textId="77777777" w:rsidR="00597DE2" w:rsidRPr="003A2892" w:rsidRDefault="00597DE2" w:rsidP="00597DE2">
      <w:pPr>
        <w:pStyle w:val="ParrafoApendice"/>
        <w:rPr>
          <w:lang w:val="es-PE"/>
        </w:rPr>
      </w:pPr>
      <w:proofErr w:type="spellStart"/>
      <w:r w:rsidRPr="003A2892">
        <w:rPr>
          <w:lang w:val="es-PE"/>
        </w:rPr>
        <w:t>Vejayanta</w:t>
      </w:r>
      <w:proofErr w:type="spellEnd"/>
      <w:r w:rsidRPr="003A2892">
        <w:rPr>
          <w:lang w:val="es-PE"/>
        </w:rPr>
        <w:t>, el Palacio</w:t>
      </w:r>
      <w:r>
        <w:rPr>
          <w:lang w:val="es-PE"/>
        </w:rPr>
        <w:t xml:space="preserve"> </w:t>
      </w:r>
      <w:r w:rsidRPr="003A2892">
        <w:rPr>
          <w:lang w:val="es-PE"/>
        </w:rPr>
        <w:t>VIII.20; XII.110</w:t>
      </w:r>
    </w:p>
    <w:p w14:paraId="3BC39226" w14:textId="77777777" w:rsidR="00597DE2" w:rsidRPr="005B6D62" w:rsidRDefault="00597DE2" w:rsidP="00597DE2">
      <w:pPr>
        <w:pStyle w:val="ParrafoApendice"/>
        <w:rPr>
          <w:lang w:val="es-PE"/>
        </w:rPr>
      </w:pPr>
      <w:r w:rsidRPr="005B6D62">
        <w:rPr>
          <w:lang w:val="es-PE"/>
        </w:rPr>
        <w:t>vejez (</w:t>
      </w:r>
      <w:proofErr w:type="spellStart"/>
      <w:r w:rsidRPr="005B6D62">
        <w:rPr>
          <w:i/>
          <w:iCs/>
          <w:lang w:val="es-PE"/>
        </w:rPr>
        <w:t>jarā</w:t>
      </w:r>
      <w:proofErr w:type="spellEnd"/>
      <w:r w:rsidRPr="005B6D62">
        <w:rPr>
          <w:lang w:val="es-PE"/>
        </w:rPr>
        <w:t xml:space="preserve">) IV.63; VII.16; XI.36; XIV.68; XVI.31, 44f., 59; XVII.48; XIX.11 </w:t>
      </w:r>
    </w:p>
    <w:p w14:paraId="58CA92DF" w14:textId="77777777" w:rsidR="00597DE2" w:rsidRPr="005B6D62" w:rsidRDefault="00597DE2" w:rsidP="00597DE2">
      <w:pPr>
        <w:pStyle w:val="ParrafoApendice"/>
        <w:rPr>
          <w:lang w:val="es-PE"/>
        </w:rPr>
      </w:pPr>
      <w:r w:rsidRPr="005B6D62">
        <w:rPr>
          <w:lang w:val="es-PE"/>
        </w:rPr>
        <w:t>vejez–y–muerte (</w:t>
      </w:r>
      <w:proofErr w:type="spellStart"/>
      <w:r w:rsidRPr="005B6D62">
        <w:rPr>
          <w:i/>
          <w:iCs/>
          <w:lang w:val="es-PE"/>
        </w:rPr>
        <w:t>jarā</w:t>
      </w:r>
      <w:proofErr w:type="spellEnd"/>
      <w:r w:rsidRPr="005B6D62">
        <w:rPr>
          <w:i/>
          <w:iCs/>
          <w:lang w:val="es-PE"/>
        </w:rPr>
        <w:t>–</w:t>
      </w:r>
      <w:proofErr w:type="spellStart"/>
      <w:r w:rsidRPr="005B6D62">
        <w:rPr>
          <w:i/>
          <w:iCs/>
          <w:lang w:val="es-PE"/>
        </w:rPr>
        <w:t>māraṇa</w:t>
      </w:r>
      <w:proofErr w:type="spellEnd"/>
      <w:r w:rsidRPr="005B6D62">
        <w:rPr>
          <w:lang w:val="es-PE"/>
        </w:rPr>
        <w:t xml:space="preserve">) VII.7f.; </w:t>
      </w:r>
      <w:r w:rsidRPr="005B6D62">
        <w:rPr>
          <w:color w:val="833C0B" w:themeColor="accent2" w:themeShade="80"/>
          <w:u w:color="000000"/>
          <w:lang w:val="es-PE"/>
        </w:rPr>
        <w:t>VIII.10</w:t>
      </w:r>
      <w:r w:rsidRPr="005B6D62">
        <w:rPr>
          <w:lang w:val="es-PE"/>
        </w:rPr>
        <w:t>; XVI.71; XVII.2, 272f., 287; XIX.11; XX.6f.</w:t>
      </w:r>
    </w:p>
    <w:p w14:paraId="6E715165" w14:textId="77777777" w:rsidR="00597DE2" w:rsidRPr="001949B9" w:rsidRDefault="00597DE2" w:rsidP="00597DE2">
      <w:pPr>
        <w:pStyle w:val="ParrafoApendice"/>
        <w:rPr>
          <w:lang w:val="es-PE"/>
        </w:rPr>
      </w:pPr>
      <w:r w:rsidRPr="001949B9">
        <w:rPr>
          <w:lang w:val="es-PE"/>
        </w:rPr>
        <w:t>ve</w:t>
      </w:r>
      <w:r>
        <w:rPr>
          <w:lang w:val="es-PE"/>
        </w:rPr>
        <w:t>rdad</w:t>
      </w:r>
      <w:r w:rsidRPr="001949B9">
        <w:rPr>
          <w:lang w:val="es-PE"/>
        </w:rPr>
        <w:t xml:space="preserve"> (</w:t>
      </w:r>
      <w:r w:rsidRPr="00A72A01">
        <w:rPr>
          <w:i/>
          <w:iCs/>
          <w:lang w:val="es-PE"/>
        </w:rPr>
        <w:t>sacca</w:t>
      </w:r>
      <w:r w:rsidRPr="001949B9">
        <w:rPr>
          <w:lang w:val="es-PE"/>
        </w:rPr>
        <w:t>) VII.27, 62, n.1; XIV.218; XVI.3, 13</w:t>
      </w:r>
      <w:r>
        <w:rPr>
          <w:lang w:val="es-PE"/>
        </w:rPr>
        <w:t>s</w:t>
      </w:r>
      <w:r w:rsidRPr="001949B9">
        <w:rPr>
          <w:lang w:val="es-PE"/>
        </w:rPr>
        <w:t>.; XVII.59, 300; XVIII.n.8; XX.98, 100, 130; XXI.1, 130; XXII.7, 92</w:t>
      </w:r>
    </w:p>
    <w:p w14:paraId="0C4C8E79" w14:textId="77777777" w:rsidR="00597DE2" w:rsidRPr="005B6D62" w:rsidRDefault="00597DE2" w:rsidP="00597DE2">
      <w:pPr>
        <w:pStyle w:val="ParrafoApendice"/>
        <w:rPr>
          <w:lang w:val="es-PE"/>
        </w:rPr>
      </w:pPr>
      <w:r w:rsidRPr="005B6D62">
        <w:rPr>
          <w:color w:val="833C0B" w:themeColor="accent2" w:themeShade="80"/>
          <w:u w:color="000000"/>
          <w:lang w:val="es-PE"/>
        </w:rPr>
        <w:t>vergüenza moral</w:t>
      </w:r>
      <w:r w:rsidRPr="005B6D62">
        <w:rPr>
          <w:lang w:val="es-PE"/>
        </w:rPr>
        <w:t xml:space="preserve"> (</w:t>
      </w:r>
      <w:proofErr w:type="spellStart"/>
      <w:r w:rsidRPr="005B6D62">
        <w:rPr>
          <w:i/>
          <w:iCs/>
          <w:lang w:val="es-PE"/>
        </w:rPr>
        <w:t>hiri</w:t>
      </w:r>
      <w:proofErr w:type="spellEnd"/>
      <w:r w:rsidRPr="005B6D62">
        <w:rPr>
          <w:lang w:val="es-PE"/>
        </w:rPr>
        <w:t xml:space="preserve">) I.22, 48, 88; VII.n.8; XIV.133, 142, 155 </w:t>
      </w:r>
    </w:p>
    <w:p w14:paraId="70027851" w14:textId="77777777" w:rsidR="00597DE2" w:rsidRPr="005A71C0" w:rsidRDefault="00597DE2" w:rsidP="00597DE2">
      <w:pPr>
        <w:pStyle w:val="ParrafoApendice"/>
        <w:rPr>
          <w:lang w:val="es-PE"/>
        </w:rPr>
      </w:pPr>
      <w:r w:rsidRPr="005A71C0">
        <w:rPr>
          <w:lang w:val="es-PE"/>
        </w:rPr>
        <w:t>versatilidad (</w:t>
      </w:r>
      <w:proofErr w:type="spellStart"/>
      <w:r w:rsidRPr="005A71C0">
        <w:rPr>
          <w:i/>
          <w:iCs/>
          <w:lang w:val="es-PE"/>
        </w:rPr>
        <w:t>vikubbana</w:t>
      </w:r>
      <w:proofErr w:type="spellEnd"/>
      <w:r w:rsidRPr="005A71C0">
        <w:rPr>
          <w:lang w:val="es-PE"/>
        </w:rPr>
        <w:t xml:space="preserve">) IX.44. </w:t>
      </w:r>
      <w:r>
        <w:rPr>
          <w:lang w:val="es-PE"/>
        </w:rPr>
        <w:t xml:space="preserve">Ver también </w:t>
      </w:r>
      <w:r w:rsidRPr="00604B97">
        <w:rPr>
          <w:i/>
          <w:iCs/>
          <w:lang w:val="es-PE"/>
        </w:rPr>
        <w:t>transformación</w:t>
      </w:r>
    </w:p>
    <w:p w14:paraId="29CEBCC1" w14:textId="77777777" w:rsidR="00597DE2" w:rsidRPr="00A5270A" w:rsidRDefault="00597DE2" w:rsidP="00597DE2">
      <w:pPr>
        <w:pStyle w:val="ParrafoApendice"/>
        <w:rPr>
          <w:lang w:val="es-PE"/>
        </w:rPr>
      </w:pPr>
      <w:proofErr w:type="spellStart"/>
      <w:r w:rsidRPr="00A5270A">
        <w:rPr>
          <w:lang w:val="es-PE"/>
        </w:rPr>
        <w:t>Vibhajjavādin</w:t>
      </w:r>
      <w:proofErr w:type="spellEnd"/>
      <w:r w:rsidRPr="00A5270A">
        <w:rPr>
          <w:lang w:val="es-PE"/>
        </w:rPr>
        <w:t xml:space="preserve"> XVII.25 </w:t>
      </w:r>
    </w:p>
    <w:p w14:paraId="7B2BFF5E" w14:textId="77777777" w:rsidR="00597DE2" w:rsidRDefault="00597DE2" w:rsidP="00597DE2">
      <w:pPr>
        <w:pStyle w:val="ParrafoApendice"/>
        <w:rPr>
          <w:lang w:val="es-PE"/>
        </w:rPr>
      </w:pPr>
      <w:r w:rsidRPr="005B6D62">
        <w:rPr>
          <w:lang w:val="es-PE"/>
        </w:rPr>
        <w:t>vida, vitalidad, vital (</w:t>
      </w:r>
      <w:proofErr w:type="spellStart"/>
      <w:r w:rsidRPr="005B6D62">
        <w:rPr>
          <w:i/>
          <w:iCs/>
          <w:lang w:val="es-PE"/>
        </w:rPr>
        <w:t>jīvita</w:t>
      </w:r>
      <w:proofErr w:type="spellEnd"/>
      <w:r w:rsidRPr="005B6D62">
        <w:rPr>
          <w:lang w:val="es-PE"/>
        </w:rPr>
        <w:t xml:space="preserve">) VII.108; VIII.27s., 35; XIV.47, 59, 133, 138, 159, 170, 176, 179; XVII.156, 190, 192, 217; XVIII.5s.; XXIII.42; </w:t>
      </w:r>
      <w:r w:rsidRPr="005B6D62">
        <w:rPr>
          <w:i/>
          <w:iCs/>
          <w:lang w:val="es-PE"/>
        </w:rPr>
        <w:t>continuum vital</w:t>
      </w:r>
      <w:r w:rsidRPr="005B6D62">
        <w:rPr>
          <w:lang w:val="es-PE"/>
        </w:rPr>
        <w:t xml:space="preserve"> (</w:t>
      </w:r>
      <w:proofErr w:type="spellStart"/>
      <w:r w:rsidRPr="005B6D62">
        <w:rPr>
          <w:i/>
          <w:iCs/>
          <w:lang w:val="es-PE"/>
        </w:rPr>
        <w:t>bhavaṅga</w:t>
      </w:r>
      <w:proofErr w:type="spellEnd"/>
      <w:r w:rsidRPr="005B6D62">
        <w:rPr>
          <w:lang w:val="es-PE"/>
        </w:rPr>
        <w:t xml:space="preserve">) I.57; IV.33, 74s., 78, 132, 138, n.13; XIV.98s., 107, 114, 115s., n.45; XV.10, 37, n.5; </w:t>
      </w:r>
      <w:r>
        <w:rPr>
          <w:lang w:val="es-PE"/>
        </w:rPr>
        <w:br w:type="page"/>
      </w:r>
    </w:p>
    <w:p w14:paraId="61F0AF62" w14:textId="77777777" w:rsidR="00597DE2" w:rsidRPr="005B6D62" w:rsidRDefault="00597DE2" w:rsidP="00597DE2">
      <w:pPr>
        <w:pStyle w:val="ParrafoApendice"/>
        <w:rPr>
          <w:lang w:val="es-PE"/>
        </w:rPr>
      </w:pPr>
      <w:r>
        <w:rPr>
          <w:lang w:val="es-PE"/>
        </w:rPr>
        <w:lastRenderedPageBreak/>
        <w:br/>
      </w:r>
      <w:r w:rsidRPr="005B6D62">
        <w:rPr>
          <w:lang w:val="es-PE"/>
        </w:rPr>
        <w:t xml:space="preserve">XVII.129s., 136s., 193, 201, 232; XIX.8; XX.24, 31, 43; XXI.129, </w:t>
      </w:r>
      <w:r w:rsidRPr="005B6D62">
        <w:rPr>
          <w:color w:val="833C0B" w:themeColor="accent2" w:themeShade="80"/>
          <w:u w:color="000000"/>
          <w:lang w:val="es-PE"/>
        </w:rPr>
        <w:t>n.42</w:t>
      </w:r>
      <w:r w:rsidRPr="005B6D62">
        <w:rPr>
          <w:lang w:val="es-PE"/>
        </w:rPr>
        <w:t>; XXII.19;</w:t>
      </w:r>
      <w:r w:rsidRPr="005B6D62">
        <w:rPr>
          <w:color w:val="833C0B" w:themeColor="accent2" w:themeShade="80"/>
          <w:u w:color="000000"/>
          <w:lang w:val="es-PE"/>
        </w:rPr>
        <w:t xml:space="preserve"> XXIII</w:t>
      </w:r>
      <w:r w:rsidRPr="005B6D62">
        <w:rPr>
          <w:lang w:val="es-PE"/>
        </w:rPr>
        <w:t xml:space="preserve">.14; </w:t>
      </w:r>
      <w:r w:rsidRPr="005B6D62">
        <w:rPr>
          <w:i/>
          <w:iCs/>
          <w:lang w:val="es-PE"/>
        </w:rPr>
        <w:t>nónuplo vital</w:t>
      </w:r>
      <w:r w:rsidRPr="005B6D62">
        <w:rPr>
          <w:lang w:val="es-PE"/>
        </w:rPr>
        <w:t xml:space="preserve"> (</w:t>
      </w:r>
      <w:proofErr w:type="spellStart"/>
      <w:r w:rsidRPr="005B6D62">
        <w:rPr>
          <w:i/>
          <w:iCs/>
          <w:lang w:val="es-PE"/>
        </w:rPr>
        <w:t>jīvitadasaka</w:t>
      </w:r>
      <w:proofErr w:type="spellEnd"/>
      <w:r w:rsidRPr="005B6D62">
        <w:rPr>
          <w:lang w:val="es-PE"/>
        </w:rPr>
        <w:t xml:space="preserve">) XVII.156, 190, 192; </w:t>
      </w:r>
      <w:r w:rsidRPr="005B6D62">
        <w:rPr>
          <w:i/>
          <w:iCs/>
          <w:lang w:val="es-PE"/>
        </w:rPr>
        <w:t>facultad vital</w:t>
      </w:r>
      <w:r w:rsidRPr="005B6D62">
        <w:rPr>
          <w:lang w:val="es-PE"/>
        </w:rPr>
        <w:t xml:space="preserve"> (</w:t>
      </w:r>
      <w:proofErr w:type="spellStart"/>
      <w:r w:rsidRPr="005B6D62">
        <w:rPr>
          <w:i/>
          <w:iCs/>
          <w:lang w:val="es-PE"/>
        </w:rPr>
        <w:t>jīvitindriya</w:t>
      </w:r>
      <w:proofErr w:type="spellEnd"/>
      <w:r w:rsidRPr="005B6D62">
        <w:rPr>
          <w:lang w:val="es-PE"/>
        </w:rPr>
        <w:t xml:space="preserve">) I.91; XI.88; XIII.91; XIV.59; XVI.1, 8, 10, 46; XVII.190, 192; </w:t>
      </w:r>
      <w:r w:rsidRPr="005B6D62">
        <w:rPr>
          <w:i/>
          <w:iCs/>
          <w:lang w:val="es-PE"/>
        </w:rPr>
        <w:t>vida de pureza</w:t>
      </w:r>
      <w:r w:rsidRPr="005B6D62">
        <w:rPr>
          <w:lang w:val="es-PE"/>
        </w:rPr>
        <w:t xml:space="preserve"> (</w:t>
      </w:r>
      <w:proofErr w:type="spellStart"/>
      <w:r w:rsidRPr="005B6D62">
        <w:rPr>
          <w:i/>
          <w:iCs/>
          <w:lang w:val="es-PE"/>
        </w:rPr>
        <w:t>brahmacariya</w:t>
      </w:r>
      <w:proofErr w:type="spellEnd"/>
      <w:r w:rsidRPr="005B6D62">
        <w:rPr>
          <w:lang w:val="es-PE"/>
        </w:rPr>
        <w:t xml:space="preserve">) I.92, 144; VII.69, 72; </w:t>
      </w:r>
      <w:r w:rsidRPr="005B6D62">
        <w:rPr>
          <w:i/>
          <w:iCs/>
          <w:lang w:val="es-PE"/>
        </w:rPr>
        <w:t>lapso/duración de vida</w:t>
      </w:r>
      <w:r w:rsidRPr="005B6D62">
        <w:rPr>
          <w:lang w:val="es-PE"/>
        </w:rPr>
        <w:t xml:space="preserve"> (</w:t>
      </w:r>
      <w:proofErr w:type="spellStart"/>
      <w:r w:rsidRPr="005B6D62">
        <w:rPr>
          <w:i/>
          <w:iCs/>
          <w:lang w:val="es-PE"/>
        </w:rPr>
        <w:t>āyu</w:t>
      </w:r>
      <w:proofErr w:type="spellEnd"/>
      <w:r w:rsidRPr="005B6D62">
        <w:rPr>
          <w:lang w:val="es-PE"/>
        </w:rPr>
        <w:t xml:space="preserve">) VIII.3, 243; XIII.44; XXIII.42s., 48 </w:t>
      </w:r>
    </w:p>
    <w:p w14:paraId="698534B7" w14:textId="77777777" w:rsidR="00597DE2" w:rsidRPr="00A5270A" w:rsidRDefault="00597DE2" w:rsidP="00597DE2">
      <w:pPr>
        <w:pStyle w:val="ParrafoApendice"/>
        <w:rPr>
          <w:lang w:val="es-PE"/>
        </w:rPr>
      </w:pPr>
      <w:proofErr w:type="spellStart"/>
      <w:r w:rsidRPr="00A5270A">
        <w:rPr>
          <w:lang w:val="es-PE"/>
        </w:rPr>
        <w:t>Vimuttimagga</w:t>
      </w:r>
      <w:proofErr w:type="spellEnd"/>
      <w:r w:rsidRPr="00A5270A">
        <w:rPr>
          <w:lang w:val="es-PE"/>
        </w:rPr>
        <w:t xml:space="preserve"> III.n.19</w:t>
      </w:r>
    </w:p>
    <w:p w14:paraId="364442D2" w14:textId="77777777" w:rsidR="00597DE2" w:rsidRPr="00A5270A" w:rsidRDefault="00597DE2" w:rsidP="00597DE2">
      <w:pPr>
        <w:pStyle w:val="ParrafoApendice"/>
        <w:rPr>
          <w:lang w:val="es-PE"/>
        </w:rPr>
      </w:pPr>
      <w:proofErr w:type="spellStart"/>
      <w:r w:rsidRPr="00A5270A">
        <w:rPr>
          <w:lang w:val="es-PE"/>
        </w:rPr>
        <w:t>Vinatakapabbata</w:t>
      </w:r>
      <w:proofErr w:type="spellEnd"/>
      <w:r w:rsidRPr="00A5270A">
        <w:rPr>
          <w:lang w:val="es-PE"/>
        </w:rPr>
        <w:t xml:space="preserve"> VII.42</w:t>
      </w:r>
    </w:p>
    <w:p w14:paraId="73C4532B" w14:textId="77777777" w:rsidR="00597DE2" w:rsidRPr="005B6D62" w:rsidRDefault="00597DE2" w:rsidP="00597DE2">
      <w:pPr>
        <w:pStyle w:val="ParrafoApendice"/>
        <w:rPr>
          <w:lang w:val="es-PE"/>
        </w:rPr>
      </w:pPr>
      <w:r w:rsidRPr="005B6D62">
        <w:rPr>
          <w:lang w:val="es-PE"/>
        </w:rPr>
        <w:t xml:space="preserve">vinculo, </w:t>
      </w:r>
      <w:r w:rsidRPr="005B6D62">
        <w:rPr>
          <w:color w:val="833C0B" w:themeColor="accent2" w:themeShade="80"/>
          <w:u w:color="000000"/>
          <w:lang w:val="es-PE"/>
        </w:rPr>
        <w:t>lazo, atadura</w:t>
      </w:r>
      <w:r w:rsidRPr="005B6D62">
        <w:rPr>
          <w:lang w:val="es-PE"/>
        </w:rPr>
        <w:t xml:space="preserve"> (</w:t>
      </w:r>
      <w:r w:rsidRPr="005B6D62">
        <w:rPr>
          <w:i/>
          <w:iCs/>
          <w:lang w:val="es-PE"/>
        </w:rPr>
        <w:t>yoga</w:t>
      </w:r>
      <w:r w:rsidRPr="005B6D62">
        <w:rPr>
          <w:lang w:val="es-PE"/>
        </w:rPr>
        <w:t xml:space="preserve">) IV.87; VII.59; XIV.202, 226s.; XXII.56, 70 </w:t>
      </w:r>
    </w:p>
    <w:p w14:paraId="4DB79381" w14:textId="77777777" w:rsidR="00597DE2" w:rsidRPr="00C71EC8" w:rsidRDefault="00597DE2" w:rsidP="00597DE2">
      <w:pPr>
        <w:pStyle w:val="ParrafoApendice"/>
        <w:rPr>
          <w:lang w:val="es-PE"/>
        </w:rPr>
      </w:pPr>
      <w:r w:rsidRPr="00C71EC8">
        <w:rPr>
          <w:lang w:val="es-PE"/>
        </w:rPr>
        <w:t>vín</w:t>
      </w:r>
      <w:r>
        <w:rPr>
          <w:lang w:val="es-PE"/>
        </w:rPr>
        <w:t>culo</w:t>
      </w:r>
      <w:r w:rsidRPr="00C71EC8">
        <w:rPr>
          <w:lang w:val="es-PE"/>
        </w:rPr>
        <w:t>–</w:t>
      </w:r>
      <w:r>
        <w:rPr>
          <w:lang w:val="es-PE"/>
        </w:rPr>
        <w:t>de</w:t>
      </w:r>
      <w:r w:rsidRPr="00C71EC8">
        <w:rPr>
          <w:lang w:val="es-PE"/>
        </w:rPr>
        <w:t>–</w:t>
      </w:r>
      <w:r>
        <w:rPr>
          <w:lang w:val="es-PE"/>
        </w:rPr>
        <w:t>renacimiento</w:t>
      </w:r>
      <w:r w:rsidRPr="00C71EC8">
        <w:rPr>
          <w:lang w:val="es-PE"/>
        </w:rPr>
        <w:t xml:space="preserve"> (</w:t>
      </w:r>
      <w:proofErr w:type="spellStart"/>
      <w:r w:rsidRPr="00C71EC8">
        <w:rPr>
          <w:i/>
          <w:iCs/>
          <w:lang w:val="es-PE"/>
        </w:rPr>
        <w:t>paṭisandhi</w:t>
      </w:r>
      <w:proofErr w:type="spellEnd"/>
      <w:r w:rsidRPr="00C71EC8">
        <w:rPr>
          <w:lang w:val="es-PE"/>
        </w:rPr>
        <w:t>) I.7; III.86; IV.n.13; VII.10; VIII.10; XI.2; XIII.14, 17</w:t>
      </w:r>
      <w:r>
        <w:rPr>
          <w:lang w:val="es-PE"/>
        </w:rPr>
        <w:t>s</w:t>
      </w:r>
      <w:r w:rsidRPr="00C71EC8">
        <w:rPr>
          <w:lang w:val="es-PE"/>
        </w:rPr>
        <w:t>., 24, 76; XIV.98, 111</w:t>
      </w:r>
      <w:r>
        <w:rPr>
          <w:lang w:val="es-PE"/>
        </w:rPr>
        <w:t>s</w:t>
      </w:r>
      <w:r w:rsidRPr="00C71EC8">
        <w:rPr>
          <w:lang w:val="es-PE"/>
        </w:rPr>
        <w:t>., 124, 187; XVI.32, n.8; XVII.51, 89, 126, 133</w:t>
      </w:r>
      <w:r>
        <w:rPr>
          <w:lang w:val="es-PE"/>
        </w:rPr>
        <w:t>s</w:t>
      </w:r>
      <w:r w:rsidRPr="00C71EC8">
        <w:rPr>
          <w:lang w:val="es-PE"/>
        </w:rPr>
        <w:t>., 164, 189</w:t>
      </w:r>
      <w:r>
        <w:rPr>
          <w:lang w:val="es-PE"/>
        </w:rPr>
        <w:t>s</w:t>
      </w:r>
      <w:r w:rsidRPr="00C71EC8">
        <w:rPr>
          <w:lang w:val="es-PE"/>
        </w:rPr>
        <w:t>., 232, 292; XIX.13, 15, 23</w:t>
      </w:r>
      <w:r>
        <w:rPr>
          <w:lang w:val="es-PE"/>
        </w:rPr>
        <w:t>s</w:t>
      </w:r>
      <w:r w:rsidRPr="00C71EC8">
        <w:rPr>
          <w:lang w:val="es-PE"/>
        </w:rPr>
        <w:t>.; XX.22, 31, 43, 47; XXI.37</w:t>
      </w:r>
      <w:r>
        <w:rPr>
          <w:lang w:val="es-PE"/>
        </w:rPr>
        <w:t>s</w:t>
      </w:r>
      <w:r w:rsidRPr="00C71EC8">
        <w:rPr>
          <w:lang w:val="es-PE"/>
        </w:rPr>
        <w:t xml:space="preserve">., 80 </w:t>
      </w:r>
    </w:p>
    <w:p w14:paraId="16A29182" w14:textId="77777777" w:rsidR="00597DE2" w:rsidRPr="00A5270A" w:rsidRDefault="00597DE2" w:rsidP="00597DE2">
      <w:pPr>
        <w:pStyle w:val="ParrafoApendice"/>
        <w:rPr>
          <w:lang w:val="es-PE"/>
        </w:rPr>
      </w:pPr>
      <w:proofErr w:type="spellStart"/>
      <w:r w:rsidRPr="00A5270A">
        <w:rPr>
          <w:lang w:val="es-PE"/>
        </w:rPr>
        <w:t>Vipassī</w:t>
      </w:r>
      <w:proofErr w:type="spellEnd"/>
      <w:r w:rsidRPr="00A5270A">
        <w:rPr>
          <w:lang w:val="es-PE"/>
        </w:rPr>
        <w:t xml:space="preserve"> </w:t>
      </w:r>
      <w:proofErr w:type="spellStart"/>
      <w:r w:rsidRPr="00A5270A">
        <w:rPr>
          <w:lang w:val="es-PE"/>
        </w:rPr>
        <w:t>Bhagavant</w:t>
      </w:r>
      <w:proofErr w:type="spellEnd"/>
      <w:r w:rsidRPr="00A5270A">
        <w:rPr>
          <w:lang w:val="es-PE"/>
        </w:rPr>
        <w:t xml:space="preserve"> XIII.123</w:t>
      </w:r>
    </w:p>
    <w:p w14:paraId="75B4F34D" w14:textId="77777777" w:rsidR="00597DE2" w:rsidRPr="008C6340" w:rsidRDefault="00597DE2" w:rsidP="00597DE2">
      <w:pPr>
        <w:pStyle w:val="ParrafoApendice"/>
        <w:rPr>
          <w:lang w:val="es-PE"/>
        </w:rPr>
      </w:pPr>
      <w:r w:rsidRPr="008C6340">
        <w:rPr>
          <w:lang w:val="es-PE"/>
        </w:rPr>
        <w:t>virtud (</w:t>
      </w:r>
      <w:r w:rsidRPr="008C6340">
        <w:rPr>
          <w:i/>
          <w:iCs/>
          <w:lang w:val="es-PE"/>
        </w:rPr>
        <w:t>sīla</w:t>
      </w:r>
      <w:r w:rsidRPr="008C6340">
        <w:rPr>
          <w:lang w:val="es-PE"/>
        </w:rPr>
        <w:t xml:space="preserve">) I </w:t>
      </w:r>
      <w:r w:rsidRPr="008C6340">
        <w:rPr>
          <w:i/>
          <w:iCs/>
          <w:lang w:val="es-PE"/>
        </w:rPr>
        <w:t>passim</w:t>
      </w:r>
      <w:r w:rsidRPr="008C6340">
        <w:rPr>
          <w:lang w:val="es-PE"/>
        </w:rPr>
        <w:t>, 19</w:t>
      </w:r>
      <w:r>
        <w:rPr>
          <w:lang w:val="es-PE"/>
        </w:rPr>
        <w:t>s</w:t>
      </w:r>
      <w:r w:rsidRPr="008C6340">
        <w:rPr>
          <w:lang w:val="es-PE"/>
        </w:rPr>
        <w:t xml:space="preserve">.; II </w:t>
      </w:r>
      <w:r w:rsidRPr="008C6340">
        <w:rPr>
          <w:i/>
          <w:iCs/>
          <w:lang w:val="es-PE"/>
        </w:rPr>
        <w:t>passim</w:t>
      </w:r>
      <w:r w:rsidRPr="008C6340">
        <w:rPr>
          <w:lang w:val="es-PE"/>
        </w:rPr>
        <w:t>; VII.</w:t>
      </w:r>
      <w:r w:rsidRPr="004B7F75">
        <w:rPr>
          <w:color w:val="833C0B" w:themeColor="accent2" w:themeShade="80"/>
          <w:lang w:val="es-PE"/>
        </w:rPr>
        <w:t>1s.</w:t>
      </w:r>
      <w:r>
        <w:rPr>
          <w:lang w:val="es-PE"/>
        </w:rPr>
        <w:t xml:space="preserve">, </w:t>
      </w:r>
      <w:r w:rsidRPr="008C6340">
        <w:rPr>
          <w:lang w:val="es-PE"/>
        </w:rPr>
        <w:t>7</w:t>
      </w:r>
      <w:r w:rsidRPr="00E75E7A">
        <w:rPr>
          <w:color w:val="833C0B" w:themeColor="accent2" w:themeShade="80"/>
          <w:lang w:val="es-PE"/>
        </w:rPr>
        <w:t>s.</w:t>
      </w:r>
      <w:r w:rsidRPr="008C6340">
        <w:rPr>
          <w:lang w:val="es-PE"/>
        </w:rPr>
        <w:t>, 101</w:t>
      </w:r>
      <w:r>
        <w:rPr>
          <w:lang w:val="es-PE"/>
        </w:rPr>
        <w:t>s</w:t>
      </w:r>
      <w:r w:rsidRPr="008C6340">
        <w:rPr>
          <w:lang w:val="es-PE"/>
        </w:rPr>
        <w:t xml:space="preserve">.; VIII.173; IX.124; XIV.206, 219; XVI.86; XVII.60, 81; XVIII.1; XXII.128 </w:t>
      </w:r>
    </w:p>
    <w:p w14:paraId="39E6D153" w14:textId="77777777" w:rsidR="00597DE2" w:rsidRPr="005B6D62" w:rsidRDefault="00597DE2" w:rsidP="00597DE2">
      <w:pPr>
        <w:pStyle w:val="ParrafoApendice"/>
        <w:rPr>
          <w:lang w:val="es-PE"/>
        </w:rPr>
      </w:pPr>
      <w:proofErr w:type="spellStart"/>
      <w:r w:rsidRPr="005B6D62">
        <w:rPr>
          <w:lang w:val="es-PE"/>
        </w:rPr>
        <w:t>Visākha</w:t>
      </w:r>
      <w:proofErr w:type="spellEnd"/>
      <w:r w:rsidRPr="005B6D62">
        <w:rPr>
          <w:lang w:val="es-PE"/>
        </w:rPr>
        <w:t xml:space="preserve"> </w:t>
      </w:r>
      <w:proofErr w:type="spellStart"/>
      <w:r w:rsidRPr="005B6D62">
        <w:rPr>
          <w:lang w:val="es-PE"/>
        </w:rPr>
        <w:t>Thera</w:t>
      </w:r>
      <w:proofErr w:type="spellEnd"/>
      <w:r w:rsidRPr="005B6D62">
        <w:rPr>
          <w:lang w:val="es-PE"/>
        </w:rPr>
        <w:t xml:space="preserve"> IX.64</w:t>
      </w:r>
      <w:r>
        <w:rPr>
          <w:lang w:val="es-PE"/>
        </w:rPr>
        <w:t>s</w:t>
      </w:r>
      <w:r w:rsidRPr="005B6D62">
        <w:rPr>
          <w:lang w:val="es-PE"/>
        </w:rPr>
        <w:t xml:space="preserve">. </w:t>
      </w:r>
    </w:p>
    <w:p w14:paraId="66F93CD5" w14:textId="77777777" w:rsidR="00597DE2" w:rsidRPr="005B6D62" w:rsidRDefault="00597DE2" w:rsidP="00597DE2">
      <w:pPr>
        <w:pStyle w:val="ParrafoApendice"/>
        <w:rPr>
          <w:lang w:val="es-PE"/>
        </w:rPr>
      </w:pPr>
      <w:r w:rsidRPr="005B6D62">
        <w:rPr>
          <w:lang w:val="es-PE"/>
        </w:rPr>
        <w:t>visible (</w:t>
      </w:r>
      <w:proofErr w:type="spellStart"/>
      <w:r w:rsidRPr="000F43AA">
        <w:rPr>
          <w:i/>
          <w:iCs/>
          <w:lang w:val="es-PE"/>
        </w:rPr>
        <w:t>sanidassana</w:t>
      </w:r>
      <w:proofErr w:type="spellEnd"/>
      <w:r w:rsidRPr="005B6D62">
        <w:rPr>
          <w:lang w:val="es-PE"/>
        </w:rPr>
        <w:t>) XIV.74</w:t>
      </w:r>
      <w:r>
        <w:rPr>
          <w:lang w:val="es-PE"/>
        </w:rPr>
        <w:t>s</w:t>
      </w:r>
      <w:r w:rsidRPr="005B6D62">
        <w:rPr>
          <w:lang w:val="es-PE"/>
        </w:rPr>
        <w:t>.</w:t>
      </w:r>
    </w:p>
    <w:p w14:paraId="029FB5DD" w14:textId="77777777" w:rsidR="00597DE2" w:rsidRPr="005B6D62" w:rsidRDefault="00597DE2" w:rsidP="00597DE2">
      <w:pPr>
        <w:pStyle w:val="ParrafoApendice"/>
        <w:rPr>
          <w:lang w:val="es-PE"/>
        </w:rPr>
      </w:pPr>
      <w:r w:rsidRPr="005B6D62">
        <w:rPr>
          <w:lang w:val="es-PE"/>
        </w:rPr>
        <w:t>visión de causas ficticias (</w:t>
      </w:r>
      <w:proofErr w:type="spellStart"/>
      <w:r w:rsidRPr="005B6D62">
        <w:rPr>
          <w:i/>
          <w:iCs/>
          <w:lang w:val="es-PE"/>
        </w:rPr>
        <w:t>visamahetu</w:t>
      </w:r>
      <w:proofErr w:type="spellEnd"/>
      <w:r w:rsidRPr="005B6D62">
        <w:rPr>
          <w:i/>
          <w:iCs/>
          <w:lang w:val="es-PE"/>
        </w:rPr>
        <w:t>–diṭṭhi</w:t>
      </w:r>
      <w:r w:rsidRPr="005B6D62">
        <w:rPr>
          <w:lang w:val="es-PE"/>
        </w:rPr>
        <w:t xml:space="preserve">) XVII.22; XXII.112 </w:t>
      </w:r>
    </w:p>
    <w:p w14:paraId="441083C6" w14:textId="77777777" w:rsidR="00597DE2" w:rsidRPr="005B6D62" w:rsidRDefault="00597DE2" w:rsidP="00597DE2">
      <w:pPr>
        <w:pStyle w:val="ParrafoApendice"/>
        <w:rPr>
          <w:lang w:val="es-PE"/>
        </w:rPr>
      </w:pPr>
      <w:r w:rsidRPr="005B6D62">
        <w:rPr>
          <w:lang w:val="es-PE"/>
        </w:rPr>
        <w:t>visión de la incausalidad, v. no–causativa (</w:t>
      </w:r>
      <w:proofErr w:type="spellStart"/>
      <w:r w:rsidRPr="005B6D62">
        <w:rPr>
          <w:i/>
          <w:iCs/>
          <w:lang w:val="es-PE"/>
        </w:rPr>
        <w:t>ahetuka</w:t>
      </w:r>
      <w:proofErr w:type="spellEnd"/>
      <w:r w:rsidRPr="005B6D62">
        <w:rPr>
          <w:i/>
          <w:iCs/>
          <w:lang w:val="es-PE"/>
        </w:rPr>
        <w:t>–diṭṭhi</w:t>
      </w:r>
      <w:r w:rsidRPr="005B6D62">
        <w:rPr>
          <w:lang w:val="es-PE"/>
        </w:rPr>
        <w:t xml:space="preserve">) XVII.22, 313; XXII.112 </w:t>
      </w:r>
      <w:r>
        <w:rPr>
          <w:lang w:val="es-PE"/>
        </w:rPr>
        <w:br w:type="column"/>
      </w:r>
    </w:p>
    <w:p w14:paraId="489C2E61" w14:textId="77777777" w:rsidR="00597DE2" w:rsidRPr="005B6D62" w:rsidRDefault="00597DE2" w:rsidP="00597DE2">
      <w:pPr>
        <w:pStyle w:val="ParrafoApendice"/>
        <w:rPr>
          <w:lang w:val="es-PE"/>
        </w:rPr>
      </w:pPr>
      <w:r w:rsidRPr="005B6D62">
        <w:rPr>
          <w:lang w:val="es-PE"/>
        </w:rPr>
        <w:t>visión de la ineficacia–moral–de–la–acción (</w:t>
      </w:r>
      <w:proofErr w:type="spellStart"/>
      <w:r w:rsidRPr="005B6D62">
        <w:rPr>
          <w:i/>
          <w:iCs/>
          <w:lang w:val="es-PE"/>
        </w:rPr>
        <w:t>akiriyadiṭṭhi</w:t>
      </w:r>
      <w:proofErr w:type="spellEnd"/>
      <w:r w:rsidRPr="005B6D62">
        <w:rPr>
          <w:lang w:val="es-PE"/>
        </w:rPr>
        <w:t>) XVI.85; XVII.23, 313; XX.102</w:t>
      </w:r>
    </w:p>
    <w:p w14:paraId="2AAC1BDA" w14:textId="77777777" w:rsidR="00597DE2" w:rsidRPr="005B6D62" w:rsidRDefault="00597DE2" w:rsidP="00597DE2">
      <w:pPr>
        <w:pStyle w:val="ParrafoApendice"/>
        <w:rPr>
          <w:lang w:val="es-PE"/>
        </w:rPr>
      </w:pPr>
      <w:r w:rsidRPr="005B6D62">
        <w:rPr>
          <w:lang w:val="es-PE"/>
        </w:rPr>
        <w:t>Visión eternalista, eternalismo (</w:t>
      </w:r>
      <w:proofErr w:type="spellStart"/>
      <w:r w:rsidRPr="005B6D62">
        <w:rPr>
          <w:i/>
          <w:iCs/>
          <w:lang w:val="es-PE"/>
        </w:rPr>
        <w:t>sassatadiṭṭhi</w:t>
      </w:r>
      <w:proofErr w:type="spellEnd"/>
      <w:r w:rsidRPr="005B6D62">
        <w:rPr>
          <w:lang w:val="es-PE"/>
        </w:rPr>
        <w:t xml:space="preserve">) XVI.85; XVII.22s, 235s, 286, 310; </w:t>
      </w:r>
      <w:r w:rsidRPr="005B6D62">
        <w:rPr>
          <w:strike/>
          <w:color w:val="833C0B" w:themeColor="accent2" w:themeShade="80"/>
          <w:u w:color="000000"/>
          <w:lang w:val="es-PE"/>
        </w:rPr>
        <w:t>XVII.29</w:t>
      </w:r>
      <w:r w:rsidRPr="005B6D62">
        <w:rPr>
          <w:lang w:val="es-PE"/>
        </w:rPr>
        <w:t xml:space="preserve">; XX.102; </w:t>
      </w:r>
      <w:r w:rsidRPr="005B6D62">
        <w:rPr>
          <w:strike/>
          <w:color w:val="833C0B" w:themeColor="accent2" w:themeShade="80"/>
          <w:u w:color="000000"/>
          <w:lang w:val="es-PE"/>
        </w:rPr>
        <w:t>XXI.28</w:t>
      </w:r>
      <w:r w:rsidRPr="005B6D62">
        <w:rPr>
          <w:lang w:val="es-PE"/>
        </w:rPr>
        <w:t>; XXII.112</w:t>
      </w:r>
    </w:p>
    <w:p w14:paraId="27B54127" w14:textId="77777777" w:rsidR="00597DE2" w:rsidRPr="002A7B00" w:rsidRDefault="00597DE2" w:rsidP="00597DE2">
      <w:pPr>
        <w:pStyle w:val="ParrafoApendice"/>
        <w:rPr>
          <w:lang w:val="es-PE"/>
        </w:rPr>
      </w:pPr>
      <w:r w:rsidRPr="002A7B00">
        <w:rPr>
          <w:i/>
          <w:iCs/>
          <w:lang w:val="es-PE"/>
        </w:rPr>
        <w:t>visi</w:t>
      </w:r>
      <w:r>
        <w:rPr>
          <w:i/>
          <w:iCs/>
          <w:lang w:val="es-PE"/>
        </w:rPr>
        <w:t>ó</w:t>
      </w:r>
      <w:r w:rsidRPr="002A7B00">
        <w:rPr>
          <w:i/>
          <w:iCs/>
          <w:lang w:val="es-PE"/>
        </w:rPr>
        <w:t xml:space="preserve">n </w:t>
      </w:r>
      <w:r w:rsidRPr="002A7B00">
        <w:rPr>
          <w:i/>
          <w:iCs/>
          <w:color w:val="833C0B" w:themeColor="accent2" w:themeShade="80"/>
          <w:lang w:val="es-PE"/>
        </w:rPr>
        <w:t>incorrecta</w:t>
      </w:r>
      <w:r w:rsidRPr="002A7B00">
        <w:rPr>
          <w:lang w:val="es-PE"/>
        </w:rPr>
        <w:t xml:space="preserve"> (</w:t>
      </w:r>
      <w:r w:rsidRPr="007032FE">
        <w:rPr>
          <w:i/>
          <w:iCs/>
          <w:color w:val="833C0B" w:themeColor="accent2" w:themeShade="80"/>
          <w:lang w:val="es-PE"/>
        </w:rPr>
        <w:t>sakkāya</w:t>
      </w:r>
      <w:r>
        <w:rPr>
          <w:i/>
          <w:iCs/>
          <w:lang w:val="es-PE"/>
        </w:rPr>
        <w:t xml:space="preserve"> </w:t>
      </w:r>
      <w:r w:rsidRPr="002A7B00">
        <w:rPr>
          <w:i/>
          <w:iCs/>
          <w:lang w:val="es-PE"/>
        </w:rPr>
        <w:t>diṭṭhi</w:t>
      </w:r>
      <w:r w:rsidRPr="002A7B00">
        <w:rPr>
          <w:lang w:val="es-PE"/>
        </w:rPr>
        <w:t>) I.13, 137, 140; III.78; VII.</w:t>
      </w:r>
      <w:r w:rsidRPr="00171E96">
        <w:rPr>
          <w:color w:val="833C0B" w:themeColor="accent2" w:themeShade="80"/>
          <w:lang w:val="es-PE"/>
        </w:rPr>
        <w:t>54</w:t>
      </w:r>
      <w:r w:rsidRPr="002A7B00">
        <w:rPr>
          <w:lang w:val="es-PE"/>
        </w:rPr>
        <w:t>, n.25; XIII.74; XIV.90, 146</w:t>
      </w:r>
      <w:r w:rsidRPr="005E7B2C">
        <w:rPr>
          <w:color w:val="833C0B" w:themeColor="accent2" w:themeShade="80"/>
          <w:lang w:val="es-PE"/>
        </w:rPr>
        <w:t>s.</w:t>
      </w:r>
      <w:r w:rsidRPr="002A7B00">
        <w:rPr>
          <w:lang w:val="es-PE"/>
        </w:rPr>
        <w:t>, 205, 218, 229; XVI.93; XVII.240</w:t>
      </w:r>
      <w:r>
        <w:rPr>
          <w:lang w:val="es-PE"/>
        </w:rPr>
        <w:t>s</w:t>
      </w:r>
      <w:r w:rsidRPr="002A7B00">
        <w:rPr>
          <w:lang w:val="es-PE"/>
        </w:rPr>
        <w:t>., 265, 286, 310</w:t>
      </w:r>
      <w:r>
        <w:rPr>
          <w:lang w:val="es-PE"/>
        </w:rPr>
        <w:t>s</w:t>
      </w:r>
      <w:r w:rsidRPr="002A7B00">
        <w:rPr>
          <w:lang w:val="es-PE"/>
        </w:rPr>
        <w:t>.; XIX.24; XX.82</w:t>
      </w:r>
      <w:r>
        <w:rPr>
          <w:lang w:val="es-PE"/>
        </w:rPr>
        <w:t>s</w:t>
      </w:r>
      <w:r w:rsidRPr="002A7B00">
        <w:rPr>
          <w:lang w:val="es-PE"/>
        </w:rPr>
        <w:t xml:space="preserve">., 125; XXI.26, 42, </w:t>
      </w:r>
      <w:r w:rsidRPr="0052398B">
        <w:rPr>
          <w:strike/>
          <w:color w:val="833C0B" w:themeColor="accent2" w:themeShade="80"/>
          <w:lang w:val="es-PE"/>
        </w:rPr>
        <w:t>92</w:t>
      </w:r>
      <w:r w:rsidRPr="002A7B00">
        <w:rPr>
          <w:lang w:val="es-PE"/>
        </w:rPr>
        <w:t xml:space="preserve">; XXII.48, 60. </w:t>
      </w:r>
      <w:r>
        <w:rPr>
          <w:lang w:val="es-PE"/>
        </w:rPr>
        <w:t>Ver también</w:t>
      </w:r>
      <w:r w:rsidRPr="002A7B00">
        <w:rPr>
          <w:lang w:val="es-PE"/>
        </w:rPr>
        <w:t xml:space="preserve"> </w:t>
      </w:r>
      <w:r w:rsidRPr="007E0FD5">
        <w:rPr>
          <w:i/>
          <w:iCs/>
          <w:lang w:val="es-PE"/>
        </w:rPr>
        <w:t>visión incorrecta</w:t>
      </w:r>
      <w:r>
        <w:rPr>
          <w:i/>
          <w:iCs/>
          <w:lang w:val="es-PE"/>
        </w:rPr>
        <w:t xml:space="preserve"> </w:t>
      </w:r>
      <w:r>
        <w:rPr>
          <w:lang w:val="es-PE"/>
        </w:rPr>
        <w:t xml:space="preserve">en </w:t>
      </w:r>
      <w:r w:rsidRPr="007B2A8B">
        <w:rPr>
          <w:i/>
          <w:iCs/>
          <w:lang w:val="es-PE"/>
        </w:rPr>
        <w:t>sendero incorrecto</w:t>
      </w:r>
      <w:r w:rsidRPr="002A7B00">
        <w:rPr>
          <w:lang w:val="es-PE"/>
        </w:rPr>
        <w:t xml:space="preserve">. </w:t>
      </w:r>
    </w:p>
    <w:p w14:paraId="6F914F87" w14:textId="77777777" w:rsidR="00597DE2" w:rsidRPr="005B6D62" w:rsidRDefault="00597DE2" w:rsidP="00597DE2">
      <w:pPr>
        <w:pStyle w:val="ParrafoApendice"/>
        <w:rPr>
          <w:u w:color="000000"/>
          <w:lang w:val="es-PE"/>
        </w:rPr>
      </w:pPr>
      <w:r w:rsidRPr="005B6D62">
        <w:rPr>
          <w:u w:color="000000"/>
          <w:lang w:val="es-PE"/>
        </w:rPr>
        <w:t>visión nihilista (</w:t>
      </w:r>
      <w:proofErr w:type="spellStart"/>
      <w:r w:rsidRPr="005B6D62">
        <w:rPr>
          <w:i/>
          <w:iCs/>
          <w:u w:color="000000"/>
          <w:lang w:val="es-PE"/>
        </w:rPr>
        <w:t>uccheda</w:t>
      </w:r>
      <w:proofErr w:type="spellEnd"/>
      <w:r w:rsidRPr="005B6D62">
        <w:rPr>
          <w:i/>
          <w:iCs/>
          <w:u w:color="000000"/>
          <w:lang w:val="es-PE"/>
        </w:rPr>
        <w:t>–diṭṭhi</w:t>
      </w:r>
      <w:r w:rsidRPr="005B6D62">
        <w:rPr>
          <w:u w:color="000000"/>
          <w:lang w:val="es-PE"/>
        </w:rPr>
        <w:t xml:space="preserve">) XIII.74; XVI.85; XVII.10, 23, 235s., 286, 310s.; XX.102; XXII.112 </w:t>
      </w:r>
    </w:p>
    <w:p w14:paraId="34A4F07F" w14:textId="77777777" w:rsidR="00597DE2" w:rsidRPr="005B6D62" w:rsidRDefault="00597DE2" w:rsidP="00597DE2">
      <w:pPr>
        <w:pStyle w:val="ParrafoApendice"/>
        <w:rPr>
          <w:lang w:val="es-PE"/>
        </w:rPr>
      </w:pPr>
      <w:r w:rsidRPr="005B6D62">
        <w:rPr>
          <w:lang w:val="es-PE"/>
        </w:rPr>
        <w:t>visión–clara (</w:t>
      </w:r>
      <w:proofErr w:type="spellStart"/>
      <w:r w:rsidRPr="005B6D62">
        <w:rPr>
          <w:i/>
          <w:iCs/>
          <w:lang w:val="es-PE"/>
        </w:rPr>
        <w:t>vijjā</w:t>
      </w:r>
      <w:proofErr w:type="spellEnd"/>
      <w:r w:rsidRPr="005B6D62">
        <w:rPr>
          <w:lang w:val="es-PE"/>
        </w:rPr>
        <w:t xml:space="preserve">) I.11, n.6; VII.30; </w:t>
      </w:r>
      <w:r w:rsidRPr="005B6D62">
        <w:rPr>
          <w:color w:val="833C0B" w:themeColor="accent2" w:themeShade="80"/>
          <w:u w:color="000000"/>
          <w:lang w:val="es-PE"/>
        </w:rPr>
        <w:t>VIII.</w:t>
      </w:r>
      <w:r w:rsidRPr="005B6D62">
        <w:rPr>
          <w:lang w:val="es-PE"/>
        </w:rPr>
        <w:t xml:space="preserve">239 </w:t>
      </w:r>
    </w:p>
    <w:p w14:paraId="36AAF4C1" w14:textId="77777777" w:rsidR="00597DE2" w:rsidRPr="005B6D62" w:rsidRDefault="00597DE2" w:rsidP="00597DE2">
      <w:pPr>
        <w:pStyle w:val="ParrafoApendice"/>
        <w:rPr>
          <w:lang w:val="es-PE"/>
        </w:rPr>
      </w:pPr>
      <w:proofErr w:type="spellStart"/>
      <w:r w:rsidRPr="005B6D62">
        <w:rPr>
          <w:lang w:val="es-PE"/>
        </w:rPr>
        <w:t>Vissakamma</w:t>
      </w:r>
      <w:proofErr w:type="spellEnd"/>
      <w:r w:rsidRPr="005B6D62">
        <w:rPr>
          <w:lang w:val="es-PE"/>
        </w:rPr>
        <w:t xml:space="preserve"> XII.71, 77, n.14 </w:t>
      </w:r>
    </w:p>
    <w:p w14:paraId="577C67EE" w14:textId="77777777" w:rsidR="00597DE2" w:rsidRPr="00063E33" w:rsidRDefault="00597DE2" w:rsidP="00597DE2">
      <w:pPr>
        <w:pStyle w:val="ParrafoApendice"/>
        <w:rPr>
          <w:lang w:val="es-PE"/>
        </w:rPr>
      </w:pPr>
      <w:r w:rsidRPr="00063E33">
        <w:rPr>
          <w:lang w:val="es-PE"/>
        </w:rPr>
        <w:t>visto, escucha</w:t>
      </w:r>
      <w:r>
        <w:rPr>
          <w:lang w:val="es-PE"/>
        </w:rPr>
        <w:t>do</w:t>
      </w:r>
      <w:r w:rsidRPr="00063E33">
        <w:rPr>
          <w:lang w:val="es-PE"/>
        </w:rPr>
        <w:t xml:space="preserve">, </w:t>
      </w:r>
      <w:r>
        <w:rPr>
          <w:lang w:val="es-PE"/>
        </w:rPr>
        <w:t>sentido</w:t>
      </w:r>
      <w:r w:rsidRPr="00063E33">
        <w:rPr>
          <w:lang w:val="es-PE"/>
        </w:rPr>
        <w:t xml:space="preserve">, </w:t>
      </w:r>
      <w:r>
        <w:rPr>
          <w:lang w:val="es-PE"/>
        </w:rPr>
        <w:t xml:space="preserve">conocido </w:t>
      </w:r>
      <w:r w:rsidRPr="00063E33">
        <w:rPr>
          <w:lang w:val="es-PE"/>
        </w:rPr>
        <w:t>(</w:t>
      </w:r>
      <w:proofErr w:type="spellStart"/>
      <w:r w:rsidRPr="008B05D2">
        <w:rPr>
          <w:i/>
          <w:iCs/>
          <w:lang w:val="es-PE"/>
        </w:rPr>
        <w:t>diṭṭha</w:t>
      </w:r>
      <w:proofErr w:type="spellEnd"/>
      <w:r w:rsidRPr="008B05D2">
        <w:rPr>
          <w:i/>
          <w:iCs/>
          <w:lang w:val="es-PE"/>
        </w:rPr>
        <w:t>–</w:t>
      </w:r>
      <w:proofErr w:type="spellStart"/>
      <w:r w:rsidRPr="008B05D2">
        <w:rPr>
          <w:i/>
          <w:iCs/>
          <w:lang w:val="es-PE"/>
        </w:rPr>
        <w:t>sutamuta</w:t>
      </w:r>
      <w:proofErr w:type="spellEnd"/>
      <w:r w:rsidRPr="008B05D2">
        <w:rPr>
          <w:i/>
          <w:iCs/>
          <w:lang w:val="es-PE"/>
        </w:rPr>
        <w:t xml:space="preserve"> </w:t>
      </w:r>
      <w:proofErr w:type="spellStart"/>
      <w:r w:rsidRPr="008B05D2">
        <w:rPr>
          <w:i/>
          <w:iCs/>
          <w:lang w:val="es-PE"/>
        </w:rPr>
        <w:t>viññāta</w:t>
      </w:r>
      <w:proofErr w:type="spellEnd"/>
      <w:r w:rsidRPr="00063E33">
        <w:rPr>
          <w:lang w:val="es-PE"/>
        </w:rPr>
        <w:t>) XIV.76</w:t>
      </w:r>
    </w:p>
    <w:p w14:paraId="5AABEACE" w14:textId="77777777" w:rsidR="00597DE2" w:rsidRPr="00AA7FEE" w:rsidRDefault="00597DE2" w:rsidP="00597DE2">
      <w:pPr>
        <w:pStyle w:val="ParrafoApendice"/>
        <w:rPr>
          <w:lang w:val="es-PE"/>
        </w:rPr>
      </w:pPr>
      <w:r>
        <w:rPr>
          <w:lang w:val="es-PE"/>
        </w:rPr>
        <w:t>visto/a, observado/a</w:t>
      </w:r>
      <w:r w:rsidRPr="00AA7FEE">
        <w:rPr>
          <w:lang w:val="es-PE"/>
        </w:rPr>
        <w:t xml:space="preserve"> (</w:t>
      </w:r>
      <w:proofErr w:type="spellStart"/>
      <w:r w:rsidRPr="00E51A0D">
        <w:rPr>
          <w:i/>
          <w:iCs/>
          <w:lang w:val="es-PE"/>
        </w:rPr>
        <w:t>diṭṭha</w:t>
      </w:r>
      <w:proofErr w:type="spellEnd"/>
      <w:r w:rsidRPr="00AA7FEE">
        <w:rPr>
          <w:lang w:val="es-PE"/>
        </w:rPr>
        <w:t xml:space="preserve">) XVII.202; XXI.17, 21 </w:t>
      </w:r>
    </w:p>
    <w:p w14:paraId="105BB668" w14:textId="77777777" w:rsidR="00597DE2" w:rsidRPr="005B6D62" w:rsidRDefault="00597DE2" w:rsidP="00597DE2">
      <w:pPr>
        <w:pStyle w:val="ParrafoApendice"/>
        <w:rPr>
          <w:lang w:val="es-PE"/>
        </w:rPr>
      </w:pPr>
      <w:r>
        <w:rPr>
          <w:lang w:val="es-PE"/>
        </w:rPr>
        <w:t>volición, voluntad</w:t>
      </w:r>
      <w:r w:rsidRPr="005B6D62">
        <w:rPr>
          <w:lang w:val="es-PE"/>
        </w:rPr>
        <w:t xml:space="preserve"> (</w:t>
      </w:r>
      <w:proofErr w:type="spellStart"/>
      <w:r w:rsidRPr="00B80A22">
        <w:rPr>
          <w:i/>
          <w:iCs/>
          <w:lang w:val="es-PE"/>
        </w:rPr>
        <w:t>cetanā</w:t>
      </w:r>
      <w:proofErr w:type="spellEnd"/>
      <w:r w:rsidRPr="005B6D62">
        <w:rPr>
          <w:lang w:val="es-PE"/>
        </w:rPr>
        <w:t>) I.17, 140; II.12, 83, 89; VII.28; XI.1</w:t>
      </w:r>
      <w:r>
        <w:rPr>
          <w:lang w:val="es-PE"/>
        </w:rPr>
        <w:t>s</w:t>
      </w:r>
      <w:r w:rsidRPr="005B6D62">
        <w:rPr>
          <w:lang w:val="es-PE"/>
        </w:rPr>
        <w:t xml:space="preserve">., n.2; XIV.133, 135, 159, </w:t>
      </w:r>
      <w:r w:rsidRPr="00953867">
        <w:rPr>
          <w:lang w:val="es-PE"/>
        </w:rPr>
        <w:t>170</w:t>
      </w:r>
      <w:r w:rsidRPr="005B6D62">
        <w:rPr>
          <w:lang w:val="es-PE"/>
        </w:rPr>
        <w:t xml:space="preserve">, 176, 179, </w:t>
      </w:r>
      <w:r w:rsidRPr="000D1695">
        <w:rPr>
          <w:lang w:val="es-PE"/>
        </w:rPr>
        <w:t>n.81</w:t>
      </w:r>
      <w:r w:rsidRPr="005B6D62">
        <w:rPr>
          <w:lang w:val="es-PE"/>
        </w:rPr>
        <w:t>; XVI.10; XVII.44, 5</w:t>
      </w:r>
      <w:r>
        <w:rPr>
          <w:lang w:val="es-PE"/>
        </w:rPr>
        <w:t xml:space="preserve">1, </w:t>
      </w:r>
      <w:r w:rsidRPr="005B6D62">
        <w:rPr>
          <w:lang w:val="es-PE"/>
        </w:rPr>
        <w:t>60</w:t>
      </w:r>
      <w:r>
        <w:rPr>
          <w:lang w:val="es-PE"/>
        </w:rPr>
        <w:t>s.</w:t>
      </w:r>
      <w:r w:rsidRPr="005B6D62">
        <w:rPr>
          <w:lang w:val="es-PE"/>
        </w:rPr>
        <w:t>, 88, 251, 292</w:t>
      </w:r>
      <w:r>
        <w:rPr>
          <w:lang w:val="es-PE"/>
        </w:rPr>
        <w:t>s</w:t>
      </w:r>
      <w:r w:rsidRPr="005B6D62">
        <w:rPr>
          <w:lang w:val="es-PE"/>
        </w:rPr>
        <w:t xml:space="preserve">.; XVIII.8, 19; XX.9, </w:t>
      </w:r>
      <w:r w:rsidRPr="00AB7DF9">
        <w:rPr>
          <w:strike/>
          <w:color w:val="833C0B" w:themeColor="accent2" w:themeShade="80"/>
          <w:lang w:val="es-PE"/>
        </w:rPr>
        <w:t>28</w:t>
      </w:r>
      <w:r w:rsidRPr="005B6D62">
        <w:rPr>
          <w:lang w:val="es-PE"/>
        </w:rPr>
        <w:t xml:space="preserve">; XXII.66 </w:t>
      </w:r>
    </w:p>
    <w:p w14:paraId="297177E5" w14:textId="77777777" w:rsidR="00597DE2" w:rsidRPr="00BA58D5" w:rsidRDefault="00597DE2" w:rsidP="00597DE2">
      <w:pPr>
        <w:pStyle w:val="ParrafoApendice"/>
        <w:rPr>
          <w:lang w:val="es-PE"/>
        </w:rPr>
      </w:pPr>
      <w:proofErr w:type="spellStart"/>
      <w:r w:rsidRPr="00BA58D5">
        <w:rPr>
          <w:lang w:val="es-PE"/>
        </w:rPr>
        <w:t>Yama</w:t>
      </w:r>
      <w:proofErr w:type="spellEnd"/>
      <w:r w:rsidRPr="00BA58D5">
        <w:rPr>
          <w:lang w:val="es-PE"/>
        </w:rPr>
        <w:t>–</w:t>
      </w:r>
      <w:proofErr w:type="spellStart"/>
      <w:r w:rsidRPr="00BA58D5">
        <w:rPr>
          <w:lang w:val="es-PE"/>
        </w:rPr>
        <w:t>rājā</w:t>
      </w:r>
      <w:proofErr w:type="spellEnd"/>
      <w:r w:rsidRPr="00BA58D5">
        <w:rPr>
          <w:lang w:val="es-PE"/>
        </w:rPr>
        <w:t xml:space="preserve"> (Rey del Inframundo) VII.n.14</w:t>
      </w:r>
    </w:p>
    <w:p w14:paraId="011143F1" w14:textId="77777777" w:rsidR="00597DE2" w:rsidRPr="00DC5FE8" w:rsidRDefault="00597DE2" w:rsidP="00597DE2">
      <w:pPr>
        <w:pStyle w:val="ParrafoApendice"/>
        <w:rPr>
          <w:lang w:val="es-PE"/>
        </w:rPr>
      </w:pPr>
      <w:proofErr w:type="spellStart"/>
      <w:r w:rsidRPr="00DC5FE8">
        <w:rPr>
          <w:lang w:val="es-PE"/>
        </w:rPr>
        <w:t>Yasa</w:t>
      </w:r>
      <w:proofErr w:type="spellEnd"/>
      <w:r w:rsidRPr="00DC5FE8">
        <w:rPr>
          <w:lang w:val="es-PE"/>
        </w:rPr>
        <w:t xml:space="preserve"> </w:t>
      </w:r>
      <w:proofErr w:type="spellStart"/>
      <w:r w:rsidRPr="00DC5FE8">
        <w:rPr>
          <w:lang w:val="es-PE"/>
        </w:rPr>
        <w:t>Thera</w:t>
      </w:r>
      <w:proofErr w:type="spellEnd"/>
      <w:r w:rsidRPr="00DC5FE8">
        <w:rPr>
          <w:lang w:val="es-PE"/>
        </w:rPr>
        <w:t xml:space="preserve"> XII.82</w:t>
      </w:r>
    </w:p>
    <w:p w14:paraId="0E682D6D" w14:textId="77777777" w:rsidR="00597DE2" w:rsidRPr="005B6D62" w:rsidRDefault="00597DE2" w:rsidP="00597DE2">
      <w:pPr>
        <w:pStyle w:val="ParrafoApendice"/>
        <w:rPr>
          <w:lang w:val="es-PE"/>
        </w:rPr>
      </w:pPr>
      <w:r w:rsidRPr="005B6D62">
        <w:rPr>
          <w:lang w:val="es-PE"/>
        </w:rPr>
        <w:t>yo–llegaré–a conocer–la–facultad–</w:t>
      </w:r>
      <w:proofErr w:type="gramStart"/>
      <w:r w:rsidRPr="005B6D62">
        <w:rPr>
          <w:lang w:val="es-PE"/>
        </w:rPr>
        <w:t>desconocida  (</w:t>
      </w:r>
      <w:proofErr w:type="spellStart"/>
      <w:proofErr w:type="gramEnd"/>
      <w:r w:rsidRPr="005B6D62">
        <w:rPr>
          <w:i/>
          <w:iCs/>
          <w:lang w:val="es-PE"/>
        </w:rPr>
        <w:t>anaññātaññassāmītindriya</w:t>
      </w:r>
      <w:proofErr w:type="spellEnd"/>
      <w:r w:rsidRPr="005B6D62">
        <w:rPr>
          <w:lang w:val="es-PE"/>
        </w:rPr>
        <w:t>) XVI.1s.</w:t>
      </w:r>
    </w:p>
    <w:p w14:paraId="4DA35CE7" w14:textId="77777777" w:rsidR="00597DE2" w:rsidRPr="00DC5FE8" w:rsidRDefault="00597DE2" w:rsidP="00597DE2">
      <w:pPr>
        <w:pStyle w:val="ParrafoApendice"/>
        <w:rPr>
          <w:lang w:val="es-PE"/>
        </w:rPr>
      </w:pPr>
      <w:proofErr w:type="spellStart"/>
      <w:r w:rsidRPr="00DC5FE8">
        <w:rPr>
          <w:lang w:val="es-PE"/>
        </w:rPr>
        <w:t>Yuddhiṭṭhila</w:t>
      </w:r>
      <w:proofErr w:type="spellEnd"/>
      <w:r w:rsidRPr="00DC5FE8">
        <w:rPr>
          <w:lang w:val="es-PE"/>
        </w:rPr>
        <w:t xml:space="preserve"> VIII.19</w:t>
      </w:r>
    </w:p>
    <w:p w14:paraId="0F2FF901" w14:textId="77777777" w:rsidR="00597DE2" w:rsidRPr="00DC5FE8" w:rsidRDefault="00597DE2" w:rsidP="00597DE2">
      <w:pPr>
        <w:pStyle w:val="ParrafoApendice"/>
        <w:rPr>
          <w:lang w:val="es-PE"/>
        </w:rPr>
      </w:pPr>
      <w:proofErr w:type="spellStart"/>
      <w:r w:rsidRPr="00DC5FE8">
        <w:rPr>
          <w:lang w:val="es-PE"/>
        </w:rPr>
        <w:t>Yugandharapabbata</w:t>
      </w:r>
      <w:proofErr w:type="spellEnd"/>
      <w:r w:rsidRPr="00DC5FE8">
        <w:rPr>
          <w:lang w:val="es-PE"/>
        </w:rPr>
        <w:t xml:space="preserve"> VII.42; XII.72, 121</w:t>
      </w:r>
    </w:p>
    <w:p w14:paraId="3E704686" w14:textId="77777777" w:rsidR="00597DE2" w:rsidRDefault="00597DE2" w:rsidP="00597DE2">
      <w:pPr>
        <w:pStyle w:val="ParrafoApendice"/>
        <w:rPr>
          <w:lang w:val="es-PE"/>
        </w:rPr>
      </w:pPr>
    </w:p>
    <w:p w14:paraId="744E4E21" w14:textId="77777777" w:rsidR="00597DE2" w:rsidRDefault="00597DE2" w:rsidP="00597DE2">
      <w:pPr>
        <w:pStyle w:val="ParrafoApendice"/>
        <w:rPr>
          <w:lang w:val="es-PE"/>
        </w:rPr>
      </w:pPr>
    </w:p>
    <w:p w14:paraId="7B1844D1" w14:textId="77777777" w:rsidR="00597DE2" w:rsidRPr="00DC5FE8" w:rsidRDefault="00597DE2" w:rsidP="00597DE2">
      <w:pPr>
        <w:pStyle w:val="ParrafoApendice"/>
        <w:rPr>
          <w:lang w:val="es-PE"/>
        </w:rPr>
        <w:sectPr w:rsidR="00597DE2" w:rsidRPr="00DC5FE8" w:rsidSect="00305694">
          <w:footnotePr>
            <w:numRestart w:val="eachSect"/>
          </w:footnotePr>
          <w:pgSz w:w="8641" w:h="12962"/>
          <w:pgMar w:top="851" w:right="964" w:bottom="964" w:left="964" w:header="709" w:footer="709" w:gutter="0"/>
          <w:pgNumType w:start="812"/>
          <w:cols w:num="2" w:space="708"/>
          <w:docGrid w:linePitch="360"/>
        </w:sectPr>
      </w:pPr>
    </w:p>
    <w:p w14:paraId="6D14F771" w14:textId="77777777" w:rsidR="00597DE2" w:rsidRPr="00DC1A5F" w:rsidRDefault="00597DE2" w:rsidP="00597DE2"/>
    <w:p w14:paraId="58658B15" w14:textId="77777777" w:rsidR="00597DE2" w:rsidRPr="00DC1A5F" w:rsidRDefault="00597DE2" w:rsidP="00597DE2"/>
    <w:p w14:paraId="4A958729" w14:textId="77777777" w:rsidR="00597DE2" w:rsidRPr="00DC1A5F" w:rsidRDefault="00597DE2" w:rsidP="00597DE2">
      <w:pPr>
        <w:pStyle w:val="Ttulo2"/>
        <w:jc w:val="center"/>
      </w:pPr>
      <w:r w:rsidRPr="00DC1A5F">
        <w:t>Glosario pali–inglés</w:t>
      </w:r>
      <w:r w:rsidRPr="00DC1A5F">
        <w:br/>
        <w:t>De algunos temas y términos técnicos</w:t>
      </w:r>
      <w:bookmarkEnd w:id="16"/>
    </w:p>
    <w:p w14:paraId="656F0443" w14:textId="77777777" w:rsidR="00597DE2" w:rsidRPr="00DC1A5F" w:rsidRDefault="00597DE2" w:rsidP="00597DE2"/>
    <w:p w14:paraId="6F036C68" w14:textId="77777777" w:rsidR="00597DE2" w:rsidRPr="00DC1A5F" w:rsidRDefault="00597DE2" w:rsidP="00597DE2">
      <w:pPr>
        <w:pStyle w:val="Textoindependiente"/>
      </w:pPr>
      <w:r w:rsidRPr="00DC1A5F">
        <w:t xml:space="preserve">Este Glosario solo incluye (a) algunos términos epistemológicos y técnicos, además de (b) significados o palabras que no se encuentren en el PED, los cuales se encuentran marcados con un asterisco (*), aunque prefijos compuestos como </w:t>
      </w:r>
      <w:r w:rsidRPr="00DC1A5F">
        <w:rPr>
          <w:i/>
          <w:iCs/>
        </w:rPr>
        <w:t>p.</w:t>
      </w:r>
      <w:r w:rsidRPr="00DC1A5F">
        <w:t xml:space="preserve"> </w:t>
      </w:r>
      <w:proofErr w:type="spellStart"/>
      <w:r w:rsidRPr="00DC1A5F">
        <w:rPr>
          <w:i/>
          <w:iCs/>
        </w:rPr>
        <w:t>anukaḍḍhati</w:t>
      </w:r>
      <w:proofErr w:type="spellEnd"/>
      <w:r w:rsidRPr="00DC1A5F">
        <w:t xml:space="preserve"> = </w:t>
      </w:r>
      <w:r w:rsidRPr="00DC1A5F">
        <w:rPr>
          <w:i/>
          <w:iCs/>
        </w:rPr>
        <w:t>seguir arrastrando</w:t>
      </w:r>
      <w:r w:rsidRPr="00DC1A5F">
        <w:t xml:space="preserve"> (III.68) o sufijos como </w:t>
      </w:r>
      <w:r w:rsidRPr="00DC1A5F">
        <w:rPr>
          <w:i/>
          <w:iCs/>
        </w:rPr>
        <w:t xml:space="preserve">p. </w:t>
      </w:r>
      <w:proofErr w:type="spellStart"/>
      <w:r w:rsidRPr="00DC1A5F">
        <w:rPr>
          <w:i/>
          <w:iCs/>
        </w:rPr>
        <w:t>vattabbatā</w:t>
      </w:r>
      <w:proofErr w:type="spellEnd"/>
      <w:r w:rsidRPr="00DC1A5F">
        <w:t xml:space="preserve"> = </w:t>
      </w:r>
      <w:r w:rsidRPr="00DC1A5F">
        <w:rPr>
          <w:i/>
          <w:iCs/>
        </w:rPr>
        <w:t>capacidad de ser convocado</w:t>
      </w:r>
      <w:r w:rsidRPr="00DC1A5F">
        <w:t xml:space="preserve"> (IV.148) y sustantivos verbales no siempre se incluyen como </w:t>
      </w:r>
      <w:proofErr w:type="spellStart"/>
      <w:r w:rsidRPr="00DC1A5F">
        <w:rPr>
          <w:i/>
          <w:iCs/>
        </w:rPr>
        <w:t>udikkhana</w:t>
      </w:r>
      <w:proofErr w:type="spellEnd"/>
      <w:r w:rsidRPr="00DC1A5F">
        <w:t xml:space="preserve"> de </w:t>
      </w:r>
      <w:proofErr w:type="spellStart"/>
      <w:r w:rsidRPr="00DC1A5F">
        <w:rPr>
          <w:i/>
          <w:iCs/>
        </w:rPr>
        <w:t>udikkhati</w:t>
      </w:r>
      <w:proofErr w:type="spellEnd"/>
      <w:r w:rsidRPr="00DC1A5F">
        <w:t>.</w:t>
      </w:r>
    </w:p>
    <w:p w14:paraId="7162CB76" w14:textId="77777777" w:rsidR="00597DE2" w:rsidRPr="00DC1A5F" w:rsidRDefault="00597DE2" w:rsidP="00597DE2">
      <w:pPr>
        <w:pStyle w:val="ParrafoGlosario"/>
        <w:rPr>
          <w:lang w:val="es-PE"/>
        </w:rPr>
      </w:pPr>
    </w:p>
    <w:p w14:paraId="76246D78" w14:textId="77777777" w:rsidR="00597DE2" w:rsidRPr="00DC1A5F" w:rsidRDefault="00597DE2" w:rsidP="00597DE2">
      <w:pPr>
        <w:pStyle w:val="ParrafoGlosario"/>
        <w:rPr>
          <w:lang w:val="es-PE"/>
        </w:rPr>
        <w:sectPr w:rsidR="00597DE2" w:rsidRPr="00DC1A5F" w:rsidSect="00305694">
          <w:footnotePr>
            <w:numRestart w:val="eachSect"/>
          </w:footnotePr>
          <w:pgSz w:w="8641" w:h="12962"/>
          <w:pgMar w:top="851" w:right="964" w:bottom="964" w:left="964" w:header="709" w:footer="709" w:gutter="0"/>
          <w:pgNumType w:start="832"/>
          <w:cols w:space="708"/>
          <w:docGrid w:linePitch="360"/>
        </w:sectPr>
      </w:pPr>
    </w:p>
    <w:p w14:paraId="6E887B51" w14:textId="77777777" w:rsidR="00597DE2" w:rsidRPr="00DC1A5F" w:rsidRDefault="00597DE2" w:rsidP="00597DE2">
      <w:pPr>
        <w:pStyle w:val="ParrafoGlosario"/>
        <w:rPr>
          <w:i/>
          <w:iCs/>
          <w:lang w:val="es-PE"/>
        </w:rPr>
      </w:pPr>
    </w:p>
    <w:p w14:paraId="04EFD3D5" w14:textId="77777777" w:rsidR="00597DE2" w:rsidRPr="00DC1A5F" w:rsidRDefault="00597DE2" w:rsidP="00597DE2">
      <w:pPr>
        <w:pStyle w:val="ParrafoGlosario"/>
        <w:rPr>
          <w:lang w:val="es-PE"/>
        </w:rPr>
      </w:pPr>
      <w:proofErr w:type="spellStart"/>
      <w:r w:rsidRPr="00DC1A5F">
        <w:rPr>
          <w:i/>
          <w:iCs/>
          <w:lang w:val="es-PE"/>
        </w:rPr>
        <w:t>abandhana</w:t>
      </w:r>
      <w:proofErr w:type="spellEnd"/>
      <w:r w:rsidRPr="00DC1A5F">
        <w:rPr>
          <w:lang w:val="es-PE"/>
        </w:rPr>
        <w:t>— cohesión</w:t>
      </w:r>
    </w:p>
    <w:p w14:paraId="7F9E3A2A" w14:textId="77777777" w:rsidR="00597DE2" w:rsidRPr="00DC1A5F" w:rsidRDefault="00597DE2" w:rsidP="00597DE2">
      <w:pPr>
        <w:pStyle w:val="ParrafoGlosario"/>
        <w:rPr>
          <w:lang w:val="es-PE"/>
        </w:rPr>
      </w:pPr>
      <w:proofErr w:type="spellStart"/>
      <w:r w:rsidRPr="00DC1A5F">
        <w:rPr>
          <w:i/>
          <w:iCs/>
          <w:lang w:val="es-PE"/>
        </w:rPr>
        <w:t>abbhaṅga</w:t>
      </w:r>
      <w:proofErr w:type="spellEnd"/>
      <w:r w:rsidRPr="00DC1A5F">
        <w:rPr>
          <w:lang w:val="es-PE"/>
        </w:rPr>
        <w:t>*— ungüento: I.86</w:t>
      </w:r>
    </w:p>
    <w:p w14:paraId="742A4867" w14:textId="77777777" w:rsidR="00597DE2" w:rsidRPr="00DC1A5F" w:rsidRDefault="00597DE2" w:rsidP="00597DE2">
      <w:pPr>
        <w:pStyle w:val="ParrafoGlosario"/>
        <w:rPr>
          <w:lang w:val="es-PE"/>
        </w:rPr>
      </w:pPr>
      <w:proofErr w:type="spellStart"/>
      <w:r w:rsidRPr="00DC1A5F">
        <w:rPr>
          <w:i/>
          <w:iCs/>
          <w:lang w:val="es-PE"/>
        </w:rPr>
        <w:t>abhāva</w:t>
      </w:r>
      <w:proofErr w:type="spellEnd"/>
      <w:r w:rsidRPr="00DC1A5F">
        <w:rPr>
          <w:lang w:val="es-PE"/>
        </w:rPr>
        <w:t>— ausencia, inexistencia, sin</w:t>
      </w:r>
      <w:r w:rsidRPr="00DC1A5F">
        <w:rPr>
          <w:rFonts w:cs="Cormorant"/>
          <w:lang w:val="es-PE"/>
        </w:rPr>
        <w:t>–</w:t>
      </w:r>
      <w:r w:rsidRPr="00DC1A5F">
        <w:rPr>
          <w:lang w:val="es-PE"/>
        </w:rPr>
        <w:t>identidad</w:t>
      </w:r>
    </w:p>
    <w:p w14:paraId="15288E08" w14:textId="77777777" w:rsidR="00597DE2" w:rsidRPr="00DC1A5F" w:rsidRDefault="00597DE2" w:rsidP="00597DE2">
      <w:pPr>
        <w:pStyle w:val="ParrafoGlosario"/>
        <w:rPr>
          <w:lang w:val="es-PE"/>
        </w:rPr>
      </w:pPr>
      <w:proofErr w:type="spellStart"/>
      <w:r w:rsidRPr="00DC1A5F">
        <w:rPr>
          <w:i/>
          <w:iCs/>
          <w:lang w:val="es-PE"/>
        </w:rPr>
        <w:t>abhāva</w:t>
      </w:r>
      <w:proofErr w:type="spellEnd"/>
      <w:r w:rsidRPr="00DC1A5F">
        <w:rPr>
          <w:lang w:val="es-PE"/>
        </w:rPr>
        <w:t>*— carente de sexo: XVII. 150</w:t>
      </w:r>
    </w:p>
    <w:p w14:paraId="4FDD9110" w14:textId="77777777" w:rsidR="00597DE2" w:rsidRPr="00DC1A5F" w:rsidRDefault="00597DE2" w:rsidP="00597DE2">
      <w:pPr>
        <w:pStyle w:val="ParrafoGlosario"/>
        <w:rPr>
          <w:lang w:val="es-PE"/>
        </w:rPr>
      </w:pPr>
      <w:proofErr w:type="spellStart"/>
      <w:r w:rsidRPr="00DC1A5F">
        <w:rPr>
          <w:i/>
          <w:iCs/>
          <w:lang w:val="es-PE"/>
        </w:rPr>
        <w:t>abhibhāyatana</w:t>
      </w:r>
      <w:proofErr w:type="spellEnd"/>
      <w:r w:rsidRPr="00DC1A5F">
        <w:rPr>
          <w:lang w:val="es-PE"/>
        </w:rPr>
        <w:t>— base del dominio, base para la trascendencia (</w:t>
      </w:r>
      <w:proofErr w:type="spellStart"/>
      <w:r w:rsidRPr="00DC1A5F">
        <w:rPr>
          <w:lang w:val="es-PE"/>
        </w:rPr>
        <w:t>fr</w:t>
      </w:r>
      <w:proofErr w:type="spellEnd"/>
      <w:r w:rsidRPr="00DC1A5F">
        <w:rPr>
          <w:lang w:val="es-PE"/>
        </w:rPr>
        <w:t xml:space="preserve"> la esfera del deseo sensorial)</w:t>
      </w:r>
    </w:p>
    <w:p w14:paraId="0212E995" w14:textId="77777777" w:rsidR="00597DE2" w:rsidRPr="00DC1A5F" w:rsidRDefault="00597DE2" w:rsidP="00597DE2">
      <w:pPr>
        <w:pStyle w:val="ParrafoGlosario"/>
        <w:rPr>
          <w:lang w:val="es-PE"/>
        </w:rPr>
      </w:pPr>
      <w:proofErr w:type="spellStart"/>
      <w:r w:rsidRPr="00DC1A5F">
        <w:rPr>
          <w:i/>
          <w:iCs/>
          <w:lang w:val="es-PE"/>
        </w:rPr>
        <w:t>abhigacchati</w:t>
      </w:r>
      <w:proofErr w:type="spellEnd"/>
      <w:r w:rsidRPr="00DC1A5F">
        <w:rPr>
          <w:lang w:val="es-PE"/>
        </w:rPr>
        <w:t>*— confiar en: VII.60</w:t>
      </w:r>
    </w:p>
    <w:p w14:paraId="2A97B9A5" w14:textId="77777777" w:rsidR="00597DE2" w:rsidRPr="00DC1A5F" w:rsidRDefault="00597DE2" w:rsidP="00597DE2">
      <w:pPr>
        <w:pStyle w:val="ParrafoGlosario"/>
        <w:rPr>
          <w:lang w:val="es-PE"/>
        </w:rPr>
      </w:pPr>
      <w:proofErr w:type="spellStart"/>
      <w:r w:rsidRPr="00DC1A5F">
        <w:rPr>
          <w:i/>
          <w:iCs/>
          <w:lang w:val="es-PE"/>
        </w:rPr>
        <w:t>abhighata</w:t>
      </w:r>
      <w:proofErr w:type="spellEnd"/>
      <w:r w:rsidRPr="00DC1A5F">
        <w:rPr>
          <w:lang w:val="es-PE"/>
        </w:rPr>
        <w:t>— impacto</w:t>
      </w:r>
    </w:p>
    <w:p w14:paraId="19B9B17C" w14:textId="77777777" w:rsidR="00597DE2" w:rsidRPr="00DC1A5F" w:rsidRDefault="00597DE2" w:rsidP="00597DE2">
      <w:pPr>
        <w:pStyle w:val="ParrafoGlosario"/>
        <w:rPr>
          <w:lang w:val="es-PE"/>
        </w:rPr>
      </w:pPr>
      <w:proofErr w:type="spellStart"/>
      <w:r w:rsidRPr="00DC1A5F">
        <w:rPr>
          <w:i/>
          <w:iCs/>
          <w:lang w:val="es-PE"/>
        </w:rPr>
        <w:t>abhijjhā</w:t>
      </w:r>
      <w:proofErr w:type="spellEnd"/>
      <w:r w:rsidRPr="00DC1A5F">
        <w:rPr>
          <w:lang w:val="es-PE"/>
        </w:rPr>
        <w:t>—codicia</w:t>
      </w:r>
    </w:p>
    <w:p w14:paraId="03DA918E" w14:textId="77777777" w:rsidR="00597DE2" w:rsidRPr="00DC1A5F" w:rsidRDefault="00597DE2" w:rsidP="00597DE2">
      <w:pPr>
        <w:pStyle w:val="ParrafoGlosario"/>
        <w:rPr>
          <w:lang w:val="es-PE"/>
        </w:rPr>
      </w:pPr>
      <w:proofErr w:type="spellStart"/>
      <w:r w:rsidRPr="00DC1A5F">
        <w:rPr>
          <w:i/>
          <w:iCs/>
          <w:lang w:val="es-PE"/>
        </w:rPr>
        <w:t>abhinandana</w:t>
      </w:r>
      <w:proofErr w:type="spellEnd"/>
      <w:r w:rsidRPr="00DC1A5F">
        <w:rPr>
          <w:lang w:val="es-PE"/>
        </w:rPr>
        <w:t>— placer, disfrutar</w:t>
      </w:r>
    </w:p>
    <w:p w14:paraId="730EAE34" w14:textId="77777777" w:rsidR="00597DE2" w:rsidRPr="00DC1A5F" w:rsidRDefault="00597DE2" w:rsidP="00597DE2">
      <w:pPr>
        <w:pStyle w:val="ParrafoGlosario"/>
        <w:rPr>
          <w:lang w:val="es-PE"/>
        </w:rPr>
      </w:pPr>
      <w:proofErr w:type="spellStart"/>
      <w:r w:rsidRPr="00DC1A5F">
        <w:rPr>
          <w:i/>
          <w:iCs/>
          <w:lang w:val="es-PE"/>
        </w:rPr>
        <w:t>abhinihāra</w:t>
      </w:r>
      <w:proofErr w:type="spellEnd"/>
      <w:r w:rsidRPr="00DC1A5F">
        <w:rPr>
          <w:lang w:val="es-PE"/>
        </w:rPr>
        <w:t>*— (1) transmisión, (2) guía: XI.93, 117; XIII.16, 95 (Patis I 17, 61)</w:t>
      </w:r>
    </w:p>
    <w:p w14:paraId="153DF4E2" w14:textId="77777777" w:rsidR="00597DE2" w:rsidRPr="00DC1A5F" w:rsidRDefault="00597DE2" w:rsidP="00597DE2">
      <w:pPr>
        <w:pStyle w:val="ParrafoGlosario"/>
        <w:rPr>
          <w:lang w:val="es-PE"/>
        </w:rPr>
      </w:pPr>
      <w:proofErr w:type="spellStart"/>
      <w:r w:rsidRPr="00DC1A5F">
        <w:rPr>
          <w:i/>
          <w:iCs/>
          <w:lang w:val="es-PE"/>
        </w:rPr>
        <w:t>abhinipāta</w:t>
      </w:r>
      <w:proofErr w:type="spellEnd"/>
      <w:r w:rsidRPr="00DC1A5F">
        <w:rPr>
          <w:lang w:val="es-PE"/>
        </w:rPr>
        <w:t>— conjunción, vínculo</w:t>
      </w:r>
    </w:p>
    <w:p w14:paraId="04E83C7A" w14:textId="77777777" w:rsidR="00597DE2" w:rsidRPr="00DC1A5F" w:rsidRDefault="00597DE2" w:rsidP="00597DE2">
      <w:pPr>
        <w:pStyle w:val="ParrafoGlosario"/>
        <w:rPr>
          <w:lang w:val="es-PE"/>
        </w:rPr>
      </w:pPr>
      <w:proofErr w:type="spellStart"/>
      <w:r w:rsidRPr="00DC1A5F">
        <w:rPr>
          <w:i/>
          <w:iCs/>
          <w:lang w:val="es-PE"/>
        </w:rPr>
        <w:t>abhiniropana</w:t>
      </w:r>
      <w:proofErr w:type="spellEnd"/>
      <w:r w:rsidRPr="00DC1A5F">
        <w:rPr>
          <w:lang w:val="es-PE"/>
        </w:rPr>
        <w:t>— dirección hacia</w:t>
      </w:r>
    </w:p>
    <w:p w14:paraId="5C64B48A" w14:textId="77777777" w:rsidR="00597DE2" w:rsidRPr="00DC1A5F" w:rsidRDefault="00597DE2" w:rsidP="00597DE2">
      <w:pPr>
        <w:pStyle w:val="ParrafoGlosario"/>
        <w:rPr>
          <w:lang w:val="es-PE"/>
        </w:rPr>
      </w:pPr>
      <w:proofErr w:type="spellStart"/>
      <w:r w:rsidRPr="00DC1A5F">
        <w:rPr>
          <w:i/>
          <w:iCs/>
          <w:lang w:val="es-PE"/>
        </w:rPr>
        <w:t>abhinivesa</w:t>
      </w:r>
      <w:proofErr w:type="spellEnd"/>
      <w:r w:rsidRPr="00DC1A5F">
        <w:rPr>
          <w:lang w:val="es-PE"/>
        </w:rPr>
        <w:t xml:space="preserve">*— </w:t>
      </w:r>
      <w:r w:rsidRPr="00DC1A5F">
        <w:rPr>
          <w:i/>
          <w:iCs/>
          <w:lang w:val="es-PE"/>
        </w:rPr>
        <w:t>también</w:t>
      </w:r>
      <w:r w:rsidRPr="00DC1A5F">
        <w:rPr>
          <w:lang w:val="es-PE"/>
        </w:rPr>
        <w:t xml:space="preserve"> insistencia, interpretación: I.140; XIV.130; XXI.84f., etc.</w:t>
      </w:r>
    </w:p>
    <w:p w14:paraId="1E6EF005" w14:textId="77777777" w:rsidR="00597DE2" w:rsidRPr="00DC1A5F" w:rsidRDefault="00597DE2" w:rsidP="00597DE2">
      <w:pPr>
        <w:pStyle w:val="ParrafoGlosario"/>
        <w:rPr>
          <w:lang w:val="es-PE"/>
        </w:rPr>
      </w:pPr>
      <w:proofErr w:type="spellStart"/>
      <w:r w:rsidRPr="00DC1A5F">
        <w:rPr>
          <w:i/>
          <w:iCs/>
          <w:lang w:val="es-PE"/>
        </w:rPr>
        <w:t>abhiññā</w:t>
      </w:r>
      <w:proofErr w:type="spellEnd"/>
      <w:r w:rsidRPr="00DC1A5F">
        <w:rPr>
          <w:lang w:val="es-PE"/>
        </w:rPr>
        <w:t>— conocimiento–directo</w:t>
      </w:r>
    </w:p>
    <w:p w14:paraId="20FABA26" w14:textId="77777777" w:rsidR="00597DE2" w:rsidRPr="00DC1A5F" w:rsidRDefault="00597DE2" w:rsidP="00597DE2">
      <w:pPr>
        <w:pStyle w:val="ParrafoGlosario"/>
        <w:rPr>
          <w:lang w:val="es-PE"/>
        </w:rPr>
      </w:pPr>
      <w:proofErr w:type="spellStart"/>
      <w:r w:rsidRPr="00DC1A5F">
        <w:rPr>
          <w:i/>
          <w:iCs/>
          <w:lang w:val="es-PE"/>
        </w:rPr>
        <w:t>abhisaíharati</w:t>
      </w:r>
      <w:proofErr w:type="spellEnd"/>
      <w:r w:rsidRPr="00DC1A5F">
        <w:rPr>
          <w:lang w:val="es-PE"/>
        </w:rPr>
        <w:t>*— obtener (un beneficio): IX.65</w:t>
      </w:r>
    </w:p>
    <w:p w14:paraId="4DC3FE79" w14:textId="77777777" w:rsidR="00597DE2" w:rsidRPr="00DC1A5F" w:rsidRDefault="00597DE2" w:rsidP="00597DE2">
      <w:pPr>
        <w:pStyle w:val="ParrafoGlosario"/>
        <w:rPr>
          <w:lang w:val="es-PE"/>
        </w:rPr>
      </w:pPr>
      <w:proofErr w:type="spellStart"/>
      <w:r w:rsidRPr="00DC1A5F">
        <w:rPr>
          <w:i/>
          <w:iCs/>
          <w:lang w:val="es-PE"/>
        </w:rPr>
        <w:t>abhisamaya</w:t>
      </w:r>
      <w:proofErr w:type="spellEnd"/>
      <w:r w:rsidRPr="00DC1A5F">
        <w:rPr>
          <w:lang w:val="es-PE"/>
        </w:rPr>
        <w:t>— penetración en, convergencia hacia (las 4 Verdades)</w:t>
      </w:r>
    </w:p>
    <w:p w14:paraId="73064A69" w14:textId="77777777" w:rsidR="00597DE2" w:rsidRPr="00DC1A5F" w:rsidRDefault="00597DE2" w:rsidP="00597DE2">
      <w:pPr>
        <w:pStyle w:val="ParrafoGlosario"/>
        <w:rPr>
          <w:lang w:val="es-PE"/>
        </w:rPr>
      </w:pPr>
      <w:proofErr w:type="spellStart"/>
      <w:r w:rsidRPr="00DC1A5F">
        <w:rPr>
          <w:i/>
          <w:iCs/>
          <w:lang w:val="es-PE"/>
        </w:rPr>
        <w:t>abhisaṅkhāra</w:t>
      </w:r>
      <w:proofErr w:type="spellEnd"/>
      <w:r w:rsidRPr="00DC1A5F">
        <w:rPr>
          <w:lang w:val="es-PE"/>
        </w:rPr>
        <w:t xml:space="preserve">— (1) formación volitiva, formación </w:t>
      </w:r>
      <w:proofErr w:type="spellStart"/>
      <w:r w:rsidRPr="00DC1A5F">
        <w:rPr>
          <w:i/>
          <w:iCs/>
          <w:lang w:val="es-PE"/>
        </w:rPr>
        <w:t>kammica</w:t>
      </w:r>
      <w:proofErr w:type="spellEnd"/>
      <w:r w:rsidRPr="00DC1A5F">
        <w:rPr>
          <w:lang w:val="es-PE"/>
        </w:rPr>
        <w:t>, formación, (2) impulso</w:t>
      </w:r>
    </w:p>
    <w:p w14:paraId="536191E8" w14:textId="77777777" w:rsidR="00597DE2" w:rsidRPr="00DC1A5F" w:rsidRDefault="00597DE2" w:rsidP="00597DE2">
      <w:pPr>
        <w:pStyle w:val="ParrafoGlosario"/>
        <w:rPr>
          <w:lang w:val="es-PE"/>
        </w:rPr>
      </w:pPr>
      <w:proofErr w:type="spellStart"/>
      <w:r w:rsidRPr="00DC1A5F">
        <w:rPr>
          <w:i/>
          <w:iCs/>
          <w:lang w:val="es-PE"/>
        </w:rPr>
        <w:t>abhoga</w:t>
      </w:r>
      <w:proofErr w:type="spellEnd"/>
      <w:r w:rsidRPr="00DC1A5F">
        <w:rPr>
          <w:lang w:val="es-PE"/>
        </w:rPr>
        <w:t>— preocupación</w:t>
      </w:r>
    </w:p>
    <w:p w14:paraId="6127638C" w14:textId="77777777" w:rsidR="00597DE2" w:rsidRPr="00DC1A5F" w:rsidRDefault="00597DE2" w:rsidP="00597DE2">
      <w:pPr>
        <w:pStyle w:val="ParrafoGlosario"/>
        <w:rPr>
          <w:lang w:val="es-PE"/>
        </w:rPr>
      </w:pPr>
      <w:proofErr w:type="spellStart"/>
      <w:r w:rsidRPr="00DC1A5F">
        <w:rPr>
          <w:i/>
          <w:iCs/>
          <w:lang w:val="es-PE"/>
        </w:rPr>
        <w:t>abyābhicārin</w:t>
      </w:r>
      <w:proofErr w:type="spellEnd"/>
      <w:r w:rsidRPr="00DC1A5F">
        <w:rPr>
          <w:lang w:val="es-PE"/>
        </w:rPr>
        <w:t>*— sin excepción (</w:t>
      </w:r>
      <w:proofErr w:type="spellStart"/>
      <w:r w:rsidRPr="00DC1A5F">
        <w:rPr>
          <w:color w:val="833C0B" w:themeColor="accent2" w:themeShade="80"/>
          <w:lang w:val="es-PE"/>
        </w:rPr>
        <w:t>gram</w:t>
      </w:r>
      <w:proofErr w:type="spellEnd"/>
      <w:r w:rsidRPr="00DC1A5F">
        <w:rPr>
          <w:color w:val="833C0B" w:themeColor="accent2" w:themeShade="80"/>
          <w:lang w:val="es-PE"/>
        </w:rPr>
        <w:t>. y log</w:t>
      </w:r>
      <w:r w:rsidRPr="00DC1A5F">
        <w:rPr>
          <w:lang w:val="es-PE"/>
        </w:rPr>
        <w:t>.): XIV.25</w:t>
      </w:r>
    </w:p>
    <w:p w14:paraId="3F22CBC6" w14:textId="77777777" w:rsidR="00597DE2" w:rsidRPr="00DC1A5F" w:rsidRDefault="00597DE2" w:rsidP="00597DE2">
      <w:pPr>
        <w:pStyle w:val="ParrafoGlosario"/>
        <w:rPr>
          <w:lang w:val="es-PE"/>
        </w:rPr>
      </w:pPr>
      <w:proofErr w:type="spellStart"/>
      <w:r w:rsidRPr="00DC1A5F">
        <w:rPr>
          <w:i/>
          <w:iCs/>
          <w:lang w:val="es-PE"/>
        </w:rPr>
        <w:t>abyosāna</w:t>
      </w:r>
      <w:proofErr w:type="spellEnd"/>
      <w:r w:rsidRPr="00DC1A5F">
        <w:rPr>
          <w:i/>
          <w:iCs/>
          <w:lang w:val="es-PE"/>
        </w:rPr>
        <w:t>*</w:t>
      </w:r>
      <w:r w:rsidRPr="00DC1A5F">
        <w:rPr>
          <w:lang w:val="es-PE"/>
        </w:rPr>
        <w:t>— sin detenerse a mitad de camino: XX.21</w:t>
      </w:r>
    </w:p>
    <w:p w14:paraId="34F04392" w14:textId="77777777" w:rsidR="00597DE2" w:rsidRPr="00DC1A5F" w:rsidRDefault="00597DE2" w:rsidP="00597DE2">
      <w:pPr>
        <w:pStyle w:val="ParrafoGlosario"/>
        <w:rPr>
          <w:lang w:val="es-PE"/>
        </w:rPr>
      </w:pPr>
      <w:proofErr w:type="spellStart"/>
      <w:r w:rsidRPr="00DC1A5F">
        <w:rPr>
          <w:i/>
          <w:iCs/>
          <w:lang w:val="es-PE"/>
        </w:rPr>
        <w:t>ācaya</w:t>
      </w:r>
      <w:proofErr w:type="spellEnd"/>
      <w:r w:rsidRPr="00DC1A5F">
        <w:rPr>
          <w:lang w:val="es-PE"/>
        </w:rPr>
        <w:t>— creación (de la materia)</w:t>
      </w:r>
    </w:p>
    <w:p w14:paraId="005D0D50" w14:textId="77777777" w:rsidR="00597DE2" w:rsidRPr="00DC1A5F" w:rsidRDefault="00597DE2" w:rsidP="00597DE2">
      <w:pPr>
        <w:pStyle w:val="ParrafoGlosario"/>
        <w:rPr>
          <w:lang w:val="es-PE"/>
        </w:rPr>
      </w:pPr>
      <w:proofErr w:type="spellStart"/>
      <w:r w:rsidRPr="00DC1A5F">
        <w:rPr>
          <w:i/>
          <w:iCs/>
          <w:lang w:val="es-PE"/>
        </w:rPr>
        <w:t>ādāna</w:t>
      </w:r>
      <w:proofErr w:type="spellEnd"/>
      <w:r w:rsidRPr="00DC1A5F">
        <w:rPr>
          <w:lang w:val="es-PE"/>
        </w:rPr>
        <w:t>— agarrar, tomar</w:t>
      </w:r>
    </w:p>
    <w:p w14:paraId="0CD45E4D" w14:textId="77777777" w:rsidR="00597DE2" w:rsidRPr="00DC1A5F" w:rsidRDefault="00597DE2" w:rsidP="00597DE2">
      <w:pPr>
        <w:pStyle w:val="ParrafoGlosario"/>
        <w:rPr>
          <w:lang w:val="es-PE"/>
        </w:rPr>
      </w:pPr>
      <w:proofErr w:type="spellStart"/>
      <w:r w:rsidRPr="00DC1A5F">
        <w:rPr>
          <w:i/>
          <w:iCs/>
          <w:lang w:val="es-PE"/>
        </w:rPr>
        <w:t>addhā</w:t>
      </w:r>
      <w:proofErr w:type="spellEnd"/>
      <w:r w:rsidRPr="00DC1A5F">
        <w:rPr>
          <w:i/>
          <w:iCs/>
          <w:lang w:val="es-PE"/>
        </w:rPr>
        <w:t xml:space="preserve">, </w:t>
      </w:r>
      <w:proofErr w:type="spellStart"/>
      <w:r w:rsidRPr="00DC1A5F">
        <w:rPr>
          <w:i/>
          <w:iCs/>
          <w:lang w:val="es-PE"/>
        </w:rPr>
        <w:t>addhāna</w:t>
      </w:r>
      <w:proofErr w:type="spellEnd"/>
      <w:r w:rsidRPr="00DC1A5F">
        <w:rPr>
          <w:lang w:val="es-PE"/>
        </w:rPr>
        <w:t>— extensión, período</w:t>
      </w:r>
    </w:p>
    <w:p w14:paraId="4A327834" w14:textId="77777777" w:rsidR="00597DE2" w:rsidRPr="00DC1A5F" w:rsidRDefault="00597DE2" w:rsidP="00597DE2">
      <w:pPr>
        <w:pStyle w:val="ParrafoGlosario"/>
        <w:rPr>
          <w:lang w:val="es-PE"/>
        </w:rPr>
      </w:pPr>
      <w:proofErr w:type="spellStart"/>
      <w:r w:rsidRPr="00DC1A5F">
        <w:rPr>
          <w:i/>
          <w:iCs/>
          <w:lang w:val="es-PE"/>
        </w:rPr>
        <w:t>ādhāraṇa</w:t>
      </w:r>
      <w:proofErr w:type="spellEnd"/>
      <w:r w:rsidRPr="00DC1A5F">
        <w:rPr>
          <w:lang w:val="es-PE"/>
        </w:rPr>
        <w:t>*— asistencia: XIV.60 (M–a II 52)</w:t>
      </w:r>
      <w:r>
        <w:rPr>
          <w:lang w:val="es-PE"/>
        </w:rPr>
        <w:br w:type="column"/>
      </w:r>
    </w:p>
    <w:p w14:paraId="0D3A4F02" w14:textId="77777777" w:rsidR="00597DE2" w:rsidRPr="00DC1A5F" w:rsidRDefault="00597DE2" w:rsidP="00597DE2">
      <w:pPr>
        <w:pStyle w:val="ParrafoGlosario"/>
        <w:rPr>
          <w:lang w:val="es-PE"/>
        </w:rPr>
      </w:pPr>
      <w:proofErr w:type="spellStart"/>
      <w:r w:rsidRPr="00DC1A5F">
        <w:rPr>
          <w:i/>
          <w:iCs/>
          <w:lang w:val="es-PE"/>
        </w:rPr>
        <w:t>adha</w:t>
      </w:r>
      <w:proofErr w:type="spellEnd"/>
      <w:r w:rsidRPr="00DC1A5F">
        <w:rPr>
          <w:i/>
          <w:iCs/>
          <w:lang w:val="es-PE"/>
        </w:rPr>
        <w:t>–r–</w:t>
      </w:r>
      <w:proofErr w:type="spellStart"/>
      <w:r w:rsidRPr="00DC1A5F">
        <w:rPr>
          <w:i/>
          <w:iCs/>
          <w:lang w:val="es-PE"/>
        </w:rPr>
        <w:t>āraṇi</w:t>
      </w:r>
      <w:proofErr w:type="spellEnd"/>
      <w:r w:rsidRPr="00DC1A5F">
        <w:rPr>
          <w:lang w:val="es-PE"/>
        </w:rPr>
        <w:t>*— antorcha inferior: XV.41</w:t>
      </w:r>
    </w:p>
    <w:p w14:paraId="10F5A80B" w14:textId="77777777" w:rsidR="00597DE2" w:rsidRPr="00DC1A5F" w:rsidRDefault="00597DE2" w:rsidP="00597DE2">
      <w:pPr>
        <w:pStyle w:val="ParrafoGlosario"/>
        <w:rPr>
          <w:lang w:val="es-PE"/>
        </w:rPr>
      </w:pPr>
      <w:proofErr w:type="spellStart"/>
      <w:r w:rsidRPr="00DC1A5F">
        <w:rPr>
          <w:i/>
          <w:iCs/>
          <w:lang w:val="es-PE"/>
        </w:rPr>
        <w:t>adhicitta</w:t>
      </w:r>
      <w:proofErr w:type="spellEnd"/>
      <w:r w:rsidRPr="00DC1A5F">
        <w:rPr>
          <w:lang w:val="es-PE"/>
        </w:rPr>
        <w:t xml:space="preserve">— consciencia superior (es decir, </w:t>
      </w:r>
      <w:proofErr w:type="spellStart"/>
      <w:r w:rsidRPr="00DC1A5F">
        <w:rPr>
          <w:i/>
          <w:iCs/>
          <w:lang w:val="es-PE"/>
        </w:rPr>
        <w:t>jhāna</w:t>
      </w:r>
      <w:proofErr w:type="spellEnd"/>
      <w:r w:rsidRPr="00DC1A5F">
        <w:rPr>
          <w:lang w:val="es-PE"/>
        </w:rPr>
        <w:t>)</w:t>
      </w:r>
    </w:p>
    <w:p w14:paraId="3B3C56D5" w14:textId="77777777" w:rsidR="00597DE2" w:rsidRPr="00DC1A5F" w:rsidRDefault="00597DE2" w:rsidP="00597DE2">
      <w:pPr>
        <w:pStyle w:val="ParrafoGlosario"/>
        <w:rPr>
          <w:lang w:val="es-PE"/>
        </w:rPr>
      </w:pPr>
      <w:proofErr w:type="spellStart"/>
      <w:r w:rsidRPr="00DC1A5F">
        <w:rPr>
          <w:i/>
          <w:iCs/>
          <w:lang w:val="es-PE"/>
        </w:rPr>
        <w:t>adhikāra</w:t>
      </w:r>
      <w:proofErr w:type="spellEnd"/>
      <w:r w:rsidRPr="00DC1A5F">
        <w:rPr>
          <w:i/>
          <w:iCs/>
          <w:lang w:val="es-PE"/>
        </w:rPr>
        <w:t>*</w:t>
      </w:r>
      <w:r w:rsidRPr="00DC1A5F">
        <w:rPr>
          <w:lang w:val="es-PE"/>
        </w:rPr>
        <w:t xml:space="preserve">— </w:t>
      </w:r>
      <w:r w:rsidRPr="00DC1A5F">
        <w:rPr>
          <w:i/>
          <w:iCs/>
          <w:lang w:val="es-PE"/>
        </w:rPr>
        <w:t>también</w:t>
      </w:r>
      <w:r w:rsidRPr="00DC1A5F">
        <w:rPr>
          <w:lang w:val="es-PE"/>
        </w:rPr>
        <w:t xml:space="preserve"> tratado, término: III.133 (</w:t>
      </w:r>
      <w:proofErr w:type="spellStart"/>
      <w:r w:rsidRPr="00DC1A5F">
        <w:rPr>
          <w:lang w:val="es-PE"/>
        </w:rPr>
        <w:t>Dhs</w:t>
      </w:r>
      <w:proofErr w:type="spellEnd"/>
      <w:r w:rsidRPr="00DC1A5F">
        <w:rPr>
          <w:lang w:val="es-PE"/>
        </w:rPr>
        <w:t>–a 58)</w:t>
      </w:r>
    </w:p>
    <w:p w14:paraId="14DC02FF" w14:textId="77777777" w:rsidR="00597DE2" w:rsidRPr="00DC1A5F" w:rsidRDefault="00597DE2" w:rsidP="00597DE2">
      <w:pPr>
        <w:pStyle w:val="ParrafoGlosario"/>
        <w:rPr>
          <w:lang w:val="es-PE"/>
        </w:rPr>
      </w:pPr>
      <w:proofErr w:type="spellStart"/>
      <w:r w:rsidRPr="00DC1A5F">
        <w:rPr>
          <w:i/>
          <w:iCs/>
          <w:lang w:val="es-PE"/>
        </w:rPr>
        <w:t>adhikicca</w:t>
      </w:r>
      <w:proofErr w:type="spellEnd"/>
      <w:r w:rsidRPr="00DC1A5F">
        <w:rPr>
          <w:lang w:val="es-PE"/>
        </w:rPr>
        <w:t>*— como una parte integral de, dependiente de</w:t>
      </w:r>
    </w:p>
    <w:p w14:paraId="576BAD67" w14:textId="77777777" w:rsidR="00597DE2" w:rsidRPr="00DC1A5F" w:rsidRDefault="00597DE2" w:rsidP="00597DE2">
      <w:pPr>
        <w:pStyle w:val="ParrafoGlosario"/>
        <w:rPr>
          <w:lang w:val="es-PE"/>
        </w:rPr>
      </w:pPr>
      <w:proofErr w:type="spellStart"/>
      <w:r w:rsidRPr="00DC1A5F">
        <w:rPr>
          <w:i/>
          <w:iCs/>
          <w:lang w:val="es-PE"/>
        </w:rPr>
        <w:t>adhimokkha</w:t>
      </w:r>
      <w:proofErr w:type="spellEnd"/>
      <w:r w:rsidRPr="00DC1A5F">
        <w:rPr>
          <w:lang w:val="es-PE"/>
        </w:rPr>
        <w:t>— resolución</w:t>
      </w:r>
    </w:p>
    <w:p w14:paraId="58E82E2B" w14:textId="77777777" w:rsidR="00597DE2" w:rsidRPr="00DC1A5F" w:rsidRDefault="00597DE2" w:rsidP="00597DE2">
      <w:pPr>
        <w:pStyle w:val="ParrafoGlosario"/>
        <w:rPr>
          <w:lang w:val="es-PE"/>
        </w:rPr>
      </w:pPr>
      <w:proofErr w:type="spellStart"/>
      <w:r w:rsidRPr="00DC1A5F">
        <w:rPr>
          <w:i/>
          <w:iCs/>
          <w:lang w:val="es-PE"/>
        </w:rPr>
        <w:t>adhimutti</w:t>
      </w:r>
      <w:proofErr w:type="spellEnd"/>
      <w:r w:rsidRPr="00DC1A5F">
        <w:rPr>
          <w:lang w:val="es-PE"/>
        </w:rPr>
        <w:t>— resolución</w:t>
      </w:r>
    </w:p>
    <w:p w14:paraId="5E401B16" w14:textId="77777777" w:rsidR="00597DE2" w:rsidRPr="00DC1A5F" w:rsidRDefault="00597DE2" w:rsidP="00597DE2">
      <w:pPr>
        <w:pStyle w:val="ParrafoGlosario"/>
        <w:rPr>
          <w:lang w:val="es-PE"/>
        </w:rPr>
      </w:pPr>
      <w:proofErr w:type="spellStart"/>
      <w:r w:rsidRPr="00DC1A5F">
        <w:rPr>
          <w:i/>
          <w:iCs/>
          <w:lang w:val="es-PE"/>
        </w:rPr>
        <w:t>adhipaññā</w:t>
      </w:r>
      <w:proofErr w:type="spellEnd"/>
      <w:r w:rsidRPr="00DC1A5F">
        <w:rPr>
          <w:lang w:val="es-PE"/>
        </w:rPr>
        <w:t xml:space="preserve">— entendimiento superior (es decir, </w:t>
      </w:r>
      <w:r w:rsidRPr="00DC1A5F">
        <w:rPr>
          <w:i/>
          <w:iCs/>
          <w:lang w:val="es-PE"/>
        </w:rPr>
        <w:t>sabiduría revelativa</w:t>
      </w:r>
      <w:r w:rsidRPr="00DC1A5F">
        <w:rPr>
          <w:lang w:val="es-PE"/>
        </w:rPr>
        <w:t>)</w:t>
      </w:r>
    </w:p>
    <w:p w14:paraId="5C5BF14F" w14:textId="77777777" w:rsidR="00597DE2" w:rsidRPr="00DC1A5F" w:rsidRDefault="00597DE2" w:rsidP="00597DE2">
      <w:pPr>
        <w:pStyle w:val="ParrafoGlosario"/>
        <w:rPr>
          <w:lang w:val="es-PE"/>
        </w:rPr>
      </w:pPr>
      <w:proofErr w:type="spellStart"/>
      <w:r w:rsidRPr="00DC1A5F">
        <w:rPr>
          <w:i/>
          <w:iCs/>
          <w:lang w:val="es-PE"/>
        </w:rPr>
        <w:t>adhipati</w:t>
      </w:r>
      <w:proofErr w:type="spellEnd"/>
      <w:r w:rsidRPr="00DC1A5F">
        <w:rPr>
          <w:lang w:val="es-PE"/>
        </w:rPr>
        <w:t>— predominio</w:t>
      </w:r>
    </w:p>
    <w:p w14:paraId="4E454721" w14:textId="77777777" w:rsidR="00597DE2" w:rsidRPr="00DC1A5F" w:rsidRDefault="00597DE2" w:rsidP="00597DE2">
      <w:pPr>
        <w:pStyle w:val="ParrafoGlosario"/>
        <w:rPr>
          <w:lang w:val="es-PE"/>
        </w:rPr>
      </w:pPr>
      <w:proofErr w:type="spellStart"/>
      <w:r w:rsidRPr="00DC1A5F">
        <w:rPr>
          <w:i/>
          <w:iCs/>
          <w:lang w:val="es-PE"/>
        </w:rPr>
        <w:t>adhippāya</w:t>
      </w:r>
      <w:proofErr w:type="spellEnd"/>
      <w:r w:rsidRPr="00DC1A5F">
        <w:rPr>
          <w:lang w:val="es-PE"/>
        </w:rPr>
        <w:t>— intención, propósito</w:t>
      </w:r>
    </w:p>
    <w:p w14:paraId="52C69840" w14:textId="77777777" w:rsidR="00597DE2" w:rsidRPr="00DC1A5F" w:rsidRDefault="00597DE2" w:rsidP="00597DE2">
      <w:pPr>
        <w:pStyle w:val="ParrafoGlosario"/>
        <w:rPr>
          <w:lang w:val="es-PE"/>
        </w:rPr>
      </w:pPr>
      <w:proofErr w:type="spellStart"/>
      <w:r w:rsidRPr="00DC1A5F">
        <w:rPr>
          <w:i/>
          <w:iCs/>
          <w:lang w:val="es-PE"/>
        </w:rPr>
        <w:t>adhisīla</w:t>
      </w:r>
      <w:proofErr w:type="spellEnd"/>
      <w:r w:rsidRPr="00DC1A5F">
        <w:rPr>
          <w:lang w:val="es-PE"/>
        </w:rPr>
        <w:t xml:space="preserve">— virtud superior (es decir, la virtud como base para el </w:t>
      </w:r>
      <w:proofErr w:type="spellStart"/>
      <w:r w:rsidRPr="00DC1A5F">
        <w:rPr>
          <w:i/>
          <w:iCs/>
          <w:lang w:val="es-PE"/>
        </w:rPr>
        <w:t>jhāna</w:t>
      </w:r>
      <w:proofErr w:type="spellEnd"/>
      <w:r w:rsidRPr="00DC1A5F">
        <w:rPr>
          <w:lang w:val="es-PE"/>
        </w:rPr>
        <w:t xml:space="preserve"> y sabiduría revelativa)</w:t>
      </w:r>
    </w:p>
    <w:p w14:paraId="27CBB23B" w14:textId="77777777" w:rsidR="00597DE2" w:rsidRPr="00DC1A5F" w:rsidRDefault="00597DE2" w:rsidP="00597DE2">
      <w:pPr>
        <w:pStyle w:val="ParrafoGlosario"/>
        <w:rPr>
          <w:lang w:val="es-PE"/>
        </w:rPr>
      </w:pPr>
      <w:r w:rsidRPr="00DC1A5F">
        <w:rPr>
          <w:i/>
          <w:iCs/>
          <w:lang w:val="es-PE"/>
        </w:rPr>
        <w:t>adhiṭṭhāna</w:t>
      </w:r>
      <w:r w:rsidRPr="00DC1A5F">
        <w:rPr>
          <w:lang w:val="es-PE"/>
        </w:rPr>
        <w:t xml:space="preserve">— (l) </w:t>
      </w:r>
      <w:r w:rsidRPr="00DC1A5F">
        <w:rPr>
          <w:color w:val="833C0B" w:themeColor="accent2" w:themeShade="80"/>
          <w:lang w:val="es-PE"/>
        </w:rPr>
        <w:t>determinación</w:t>
      </w:r>
      <w:r w:rsidRPr="00DC1A5F">
        <w:rPr>
          <w:lang w:val="es-PE"/>
        </w:rPr>
        <w:t>, (2) resolución</w:t>
      </w:r>
    </w:p>
    <w:p w14:paraId="4C815940" w14:textId="77777777" w:rsidR="00597DE2" w:rsidRPr="00DC1A5F" w:rsidRDefault="00597DE2" w:rsidP="00597DE2">
      <w:pPr>
        <w:pStyle w:val="ParrafoGlosario"/>
        <w:rPr>
          <w:lang w:val="es-PE"/>
        </w:rPr>
      </w:pPr>
      <w:r w:rsidRPr="00DC1A5F">
        <w:rPr>
          <w:i/>
          <w:iCs/>
          <w:lang w:val="es-PE"/>
        </w:rPr>
        <w:t>adhiṭṭhāna</w:t>
      </w:r>
      <w:r w:rsidRPr="00DC1A5F">
        <w:rPr>
          <w:lang w:val="es-PE"/>
        </w:rPr>
        <w:t xml:space="preserve">*— </w:t>
      </w:r>
      <w:r w:rsidRPr="00DC1A5F">
        <w:rPr>
          <w:i/>
          <w:iCs/>
          <w:lang w:val="es-PE"/>
        </w:rPr>
        <w:t>también</w:t>
      </w:r>
      <w:r w:rsidRPr="00DC1A5F">
        <w:rPr>
          <w:lang w:val="es-PE"/>
        </w:rPr>
        <w:t xml:space="preserve"> (3) en términos de: IV.92, (4) hábitat: X.24; XIV.134</w:t>
      </w:r>
    </w:p>
    <w:p w14:paraId="1949C199" w14:textId="77777777" w:rsidR="00597DE2" w:rsidRPr="00DC1A5F" w:rsidRDefault="00597DE2" w:rsidP="00597DE2">
      <w:pPr>
        <w:pStyle w:val="ParrafoGlosario"/>
        <w:rPr>
          <w:lang w:val="es-PE"/>
        </w:rPr>
      </w:pPr>
      <w:proofErr w:type="spellStart"/>
      <w:r w:rsidRPr="00DC1A5F">
        <w:rPr>
          <w:i/>
          <w:iCs/>
          <w:lang w:val="es-PE"/>
        </w:rPr>
        <w:t>ādina</w:t>
      </w:r>
      <w:proofErr w:type="spellEnd"/>
      <w:r w:rsidRPr="00DC1A5F">
        <w:rPr>
          <w:lang w:val="es-PE"/>
        </w:rPr>
        <w:t>*— miserable: XX.19</w:t>
      </w:r>
    </w:p>
    <w:p w14:paraId="3D94B9CA" w14:textId="77777777" w:rsidR="00597DE2" w:rsidRPr="00DC1A5F" w:rsidRDefault="00597DE2" w:rsidP="00597DE2">
      <w:pPr>
        <w:pStyle w:val="ParrafoGlosario"/>
        <w:rPr>
          <w:lang w:val="es-PE"/>
        </w:rPr>
      </w:pPr>
      <w:proofErr w:type="spellStart"/>
      <w:r w:rsidRPr="00DC1A5F">
        <w:rPr>
          <w:i/>
          <w:iCs/>
          <w:lang w:val="es-PE"/>
        </w:rPr>
        <w:t>ādīnava</w:t>
      </w:r>
      <w:proofErr w:type="spellEnd"/>
      <w:r w:rsidRPr="00DC1A5F">
        <w:rPr>
          <w:lang w:val="es-PE"/>
        </w:rPr>
        <w:t>— peligro, discapacidad</w:t>
      </w:r>
    </w:p>
    <w:p w14:paraId="0DA83E7F" w14:textId="77777777" w:rsidR="00597DE2" w:rsidRPr="00DC1A5F" w:rsidRDefault="00597DE2" w:rsidP="00597DE2">
      <w:pPr>
        <w:pStyle w:val="ParrafoGlosario"/>
        <w:rPr>
          <w:lang w:val="es-PE"/>
        </w:rPr>
      </w:pPr>
      <w:proofErr w:type="spellStart"/>
      <w:r w:rsidRPr="00DC1A5F">
        <w:rPr>
          <w:i/>
          <w:iCs/>
          <w:lang w:val="es-PE"/>
        </w:rPr>
        <w:t>adinnādāna</w:t>
      </w:r>
      <w:proofErr w:type="spellEnd"/>
      <w:r w:rsidRPr="00DC1A5F">
        <w:rPr>
          <w:lang w:val="es-PE"/>
        </w:rPr>
        <w:t xml:space="preserve">— tomar lo que no haya sido concedido, </w:t>
      </w:r>
      <w:proofErr w:type="spellStart"/>
      <w:r w:rsidRPr="00DC1A5F">
        <w:rPr>
          <w:lang w:val="es-PE"/>
        </w:rPr>
        <w:t>robr</w:t>
      </w:r>
      <w:proofErr w:type="spellEnd"/>
    </w:p>
    <w:p w14:paraId="0A7245E3" w14:textId="77777777" w:rsidR="00597DE2" w:rsidRPr="00DC1A5F" w:rsidRDefault="00597DE2" w:rsidP="00597DE2">
      <w:pPr>
        <w:pStyle w:val="ParrafoGlosario"/>
        <w:rPr>
          <w:lang w:val="es-PE"/>
        </w:rPr>
      </w:pPr>
      <w:r w:rsidRPr="00DC1A5F">
        <w:rPr>
          <w:i/>
          <w:iCs/>
          <w:lang w:val="es-PE"/>
        </w:rPr>
        <w:t>adosa</w:t>
      </w:r>
      <w:r w:rsidRPr="00DC1A5F">
        <w:rPr>
          <w:lang w:val="es-PE"/>
        </w:rPr>
        <w:t>— no–odio</w:t>
      </w:r>
    </w:p>
    <w:p w14:paraId="5CEFCE55" w14:textId="77777777" w:rsidR="00597DE2" w:rsidRPr="00DC1A5F" w:rsidRDefault="00597DE2" w:rsidP="00597DE2">
      <w:pPr>
        <w:pStyle w:val="ParrafoGlosario"/>
        <w:rPr>
          <w:lang w:val="es-PE"/>
        </w:rPr>
      </w:pPr>
      <w:proofErr w:type="spellStart"/>
      <w:r w:rsidRPr="00DC1A5F">
        <w:rPr>
          <w:i/>
          <w:iCs/>
          <w:lang w:val="es-PE"/>
        </w:rPr>
        <w:t>adukkha</w:t>
      </w:r>
      <w:proofErr w:type="spellEnd"/>
      <w:r w:rsidRPr="00DC1A5F">
        <w:rPr>
          <w:i/>
          <w:iCs/>
          <w:lang w:val="es-PE"/>
        </w:rPr>
        <w:t>–</w:t>
      </w:r>
      <w:proofErr w:type="spellStart"/>
      <w:r w:rsidRPr="00DC1A5F">
        <w:rPr>
          <w:i/>
          <w:iCs/>
          <w:lang w:val="es-PE"/>
        </w:rPr>
        <w:t>masukha</w:t>
      </w:r>
      <w:proofErr w:type="spellEnd"/>
      <w:r w:rsidRPr="00DC1A5F">
        <w:rPr>
          <w:lang w:val="es-PE"/>
        </w:rPr>
        <w:t>— ni–agradable–ni–desagradable (sensación)</w:t>
      </w:r>
    </w:p>
    <w:p w14:paraId="76CB8DE8" w14:textId="77777777" w:rsidR="00597DE2" w:rsidRPr="00DC1A5F" w:rsidRDefault="00597DE2" w:rsidP="00597DE2">
      <w:pPr>
        <w:pStyle w:val="ParrafoGlosario"/>
        <w:rPr>
          <w:lang w:val="es-PE"/>
        </w:rPr>
      </w:pPr>
      <w:proofErr w:type="spellStart"/>
      <w:r w:rsidRPr="00DC1A5F">
        <w:rPr>
          <w:i/>
          <w:iCs/>
          <w:lang w:val="es-PE"/>
        </w:rPr>
        <w:t>advaya</w:t>
      </w:r>
      <w:proofErr w:type="spellEnd"/>
      <w:r w:rsidRPr="00DC1A5F">
        <w:rPr>
          <w:lang w:val="es-PE"/>
        </w:rPr>
        <w:t>— exclusivo, absoluto</w:t>
      </w:r>
    </w:p>
    <w:p w14:paraId="7A100739" w14:textId="77777777" w:rsidR="00597DE2" w:rsidRPr="00DC1A5F" w:rsidRDefault="00597DE2" w:rsidP="00597DE2">
      <w:pPr>
        <w:pStyle w:val="ParrafoGlosario"/>
        <w:rPr>
          <w:lang w:val="es-PE"/>
        </w:rPr>
      </w:pPr>
      <w:proofErr w:type="spellStart"/>
      <w:r w:rsidRPr="00DC1A5F">
        <w:rPr>
          <w:i/>
          <w:iCs/>
          <w:lang w:val="es-PE"/>
        </w:rPr>
        <w:t>agaru</w:t>
      </w:r>
      <w:proofErr w:type="spellEnd"/>
      <w:r w:rsidRPr="00DC1A5F">
        <w:rPr>
          <w:i/>
          <w:iCs/>
          <w:lang w:val="es-PE"/>
        </w:rPr>
        <w:t>*</w:t>
      </w:r>
      <w:r w:rsidRPr="00DC1A5F">
        <w:rPr>
          <w:lang w:val="es-PE"/>
        </w:rPr>
        <w:t xml:space="preserve">— madera de aloe (transcrito como </w:t>
      </w:r>
      <w:proofErr w:type="spellStart"/>
      <w:r w:rsidRPr="00DC1A5F">
        <w:rPr>
          <w:i/>
          <w:iCs/>
          <w:lang w:val="es-PE"/>
        </w:rPr>
        <w:t>agaḷu</w:t>
      </w:r>
      <w:proofErr w:type="spellEnd"/>
      <w:r w:rsidRPr="00DC1A5F">
        <w:rPr>
          <w:lang w:val="es-PE"/>
        </w:rPr>
        <w:t xml:space="preserve"> en el PED); VIII.47</w:t>
      </w:r>
    </w:p>
    <w:p w14:paraId="53F1FEFB" w14:textId="77777777" w:rsidR="00597DE2" w:rsidRPr="00DC1A5F" w:rsidRDefault="00597DE2" w:rsidP="00597DE2">
      <w:pPr>
        <w:pStyle w:val="ParrafoGlosario"/>
        <w:rPr>
          <w:lang w:val="es-PE"/>
        </w:rPr>
      </w:pPr>
      <w:proofErr w:type="spellStart"/>
      <w:r w:rsidRPr="00DC1A5F">
        <w:rPr>
          <w:i/>
          <w:iCs/>
          <w:lang w:val="es-PE"/>
        </w:rPr>
        <w:t>agati</w:t>
      </w:r>
      <w:proofErr w:type="spellEnd"/>
      <w:r w:rsidRPr="00DC1A5F">
        <w:rPr>
          <w:lang w:val="es-PE"/>
        </w:rPr>
        <w:t>— sendero incorrecto (los cuatro)</w:t>
      </w:r>
    </w:p>
    <w:p w14:paraId="05CFC4F8" w14:textId="77777777" w:rsidR="00597DE2" w:rsidRPr="00DC1A5F" w:rsidRDefault="00597DE2" w:rsidP="00597DE2">
      <w:pPr>
        <w:pStyle w:val="ParrafoGlosario"/>
        <w:rPr>
          <w:lang w:val="es-PE"/>
        </w:rPr>
      </w:pPr>
      <w:proofErr w:type="spellStart"/>
      <w:r w:rsidRPr="00DC1A5F">
        <w:rPr>
          <w:i/>
          <w:iCs/>
          <w:lang w:val="es-PE"/>
        </w:rPr>
        <w:t>aghata</w:t>
      </w:r>
      <w:proofErr w:type="spellEnd"/>
      <w:r w:rsidRPr="00DC1A5F">
        <w:rPr>
          <w:lang w:val="es-PE"/>
        </w:rPr>
        <w:t>— molestia</w:t>
      </w:r>
    </w:p>
    <w:p w14:paraId="0EC41325" w14:textId="77777777" w:rsidR="00597DE2" w:rsidRPr="00DC1A5F" w:rsidRDefault="00597DE2" w:rsidP="00597DE2">
      <w:pPr>
        <w:pStyle w:val="ParrafoGlosario"/>
        <w:rPr>
          <w:lang w:val="es-PE"/>
        </w:rPr>
      </w:pPr>
      <w:proofErr w:type="spellStart"/>
      <w:r w:rsidRPr="00DC1A5F">
        <w:rPr>
          <w:i/>
          <w:iCs/>
          <w:lang w:val="es-PE"/>
        </w:rPr>
        <w:t>āhanana</w:t>
      </w:r>
      <w:proofErr w:type="spellEnd"/>
      <w:r w:rsidRPr="00DC1A5F">
        <w:rPr>
          <w:lang w:val="es-PE"/>
        </w:rPr>
        <w:t>*— golpear a: IV.88</w:t>
      </w:r>
    </w:p>
    <w:p w14:paraId="131F3D00" w14:textId="77777777" w:rsidR="00597DE2" w:rsidRDefault="00597DE2" w:rsidP="00597DE2">
      <w:pPr>
        <w:pStyle w:val="ParrafoGlosario"/>
        <w:rPr>
          <w:lang w:val="es-PE"/>
        </w:rPr>
        <w:sectPr w:rsidR="00597DE2" w:rsidSect="00305694">
          <w:footnotePr>
            <w:numRestart w:val="eachSect"/>
          </w:footnotePr>
          <w:type w:val="continuous"/>
          <w:pgSz w:w="8641" w:h="12962"/>
          <w:pgMar w:top="851" w:right="964" w:bottom="964" w:left="964" w:header="709" w:footer="709" w:gutter="0"/>
          <w:pgNumType w:start="843"/>
          <w:cols w:num="2" w:space="708"/>
          <w:docGrid w:linePitch="360"/>
        </w:sectPr>
      </w:pPr>
      <w:proofErr w:type="spellStart"/>
      <w:r w:rsidRPr="00DC1A5F">
        <w:rPr>
          <w:i/>
          <w:iCs/>
          <w:lang w:val="es-PE"/>
        </w:rPr>
        <w:t>āhāra</w:t>
      </w:r>
      <w:proofErr w:type="spellEnd"/>
      <w:r w:rsidRPr="00DC1A5F">
        <w:rPr>
          <w:lang w:val="es-PE"/>
        </w:rPr>
        <w:t>— nutrimento, alimento</w:t>
      </w:r>
    </w:p>
    <w:p w14:paraId="3073D236" w14:textId="77777777" w:rsidR="00597DE2" w:rsidRPr="00DC1A5F" w:rsidRDefault="00597DE2" w:rsidP="00597DE2">
      <w:pPr>
        <w:pStyle w:val="ParrafoGlosario"/>
        <w:rPr>
          <w:lang w:val="es-PE"/>
        </w:rPr>
      </w:pPr>
    </w:p>
    <w:p w14:paraId="665437B5" w14:textId="77777777" w:rsidR="00597DE2" w:rsidRPr="00DC1A5F" w:rsidRDefault="00597DE2" w:rsidP="00597DE2">
      <w:pPr>
        <w:pStyle w:val="ParrafoGlosario"/>
        <w:rPr>
          <w:lang w:val="es-PE"/>
        </w:rPr>
      </w:pPr>
      <w:proofErr w:type="spellStart"/>
      <w:r w:rsidRPr="00DC1A5F">
        <w:rPr>
          <w:i/>
          <w:iCs/>
          <w:lang w:val="es-PE"/>
        </w:rPr>
        <w:t>āhāra</w:t>
      </w:r>
      <w:proofErr w:type="spellEnd"/>
      <w:r w:rsidRPr="00DC1A5F">
        <w:rPr>
          <w:i/>
          <w:iCs/>
          <w:lang w:val="es-PE"/>
        </w:rPr>
        <w:t>–</w:t>
      </w:r>
      <w:proofErr w:type="spellStart"/>
      <w:r w:rsidRPr="00DC1A5F">
        <w:rPr>
          <w:i/>
          <w:iCs/>
          <w:lang w:val="es-PE"/>
        </w:rPr>
        <w:t>samuṭṭhāna</w:t>
      </w:r>
      <w:proofErr w:type="spellEnd"/>
      <w:r w:rsidRPr="00DC1A5F">
        <w:rPr>
          <w:lang w:val="es-PE"/>
        </w:rPr>
        <w:t>— originada por los nutrientes (materia)</w:t>
      </w:r>
    </w:p>
    <w:p w14:paraId="47EA0FA4" w14:textId="77777777" w:rsidR="00597DE2" w:rsidRPr="00DC1A5F" w:rsidRDefault="00597DE2" w:rsidP="00597DE2">
      <w:pPr>
        <w:pStyle w:val="ParrafoGlosario"/>
        <w:rPr>
          <w:lang w:val="es-PE"/>
        </w:rPr>
      </w:pPr>
      <w:proofErr w:type="spellStart"/>
      <w:r w:rsidRPr="00DC1A5F">
        <w:rPr>
          <w:i/>
          <w:iCs/>
          <w:lang w:val="es-PE"/>
        </w:rPr>
        <w:t>ahetuka</w:t>
      </w:r>
      <w:proofErr w:type="spellEnd"/>
      <w:r w:rsidRPr="00DC1A5F">
        <w:rPr>
          <w:lang w:val="es-PE"/>
        </w:rPr>
        <w:t>— sin causa–raíz</w:t>
      </w:r>
    </w:p>
    <w:p w14:paraId="7966EE33" w14:textId="77777777" w:rsidR="00597DE2" w:rsidRPr="00DC1A5F" w:rsidRDefault="00597DE2" w:rsidP="00597DE2">
      <w:pPr>
        <w:pStyle w:val="ParrafoGlosario"/>
        <w:rPr>
          <w:lang w:val="es-PE"/>
        </w:rPr>
      </w:pPr>
      <w:proofErr w:type="spellStart"/>
      <w:r w:rsidRPr="00DC1A5F">
        <w:rPr>
          <w:i/>
          <w:iCs/>
          <w:lang w:val="es-PE"/>
        </w:rPr>
        <w:t>ahetuka</w:t>
      </w:r>
      <w:proofErr w:type="spellEnd"/>
      <w:r w:rsidRPr="00DC1A5F">
        <w:rPr>
          <w:i/>
          <w:iCs/>
          <w:lang w:val="es-PE"/>
        </w:rPr>
        <w:t>–diṭṭhi</w:t>
      </w:r>
      <w:r w:rsidRPr="00DC1A5F">
        <w:rPr>
          <w:lang w:val="es-PE"/>
        </w:rPr>
        <w:t>— visión de incausalidad</w:t>
      </w:r>
    </w:p>
    <w:p w14:paraId="7CCD22BE" w14:textId="77777777" w:rsidR="00597DE2" w:rsidRPr="00DC1A5F" w:rsidRDefault="00597DE2" w:rsidP="00597DE2">
      <w:pPr>
        <w:pStyle w:val="ParrafoGlosario"/>
        <w:rPr>
          <w:lang w:val="es-PE"/>
        </w:rPr>
      </w:pPr>
      <w:proofErr w:type="spellStart"/>
      <w:r w:rsidRPr="00DC1A5F">
        <w:rPr>
          <w:i/>
          <w:iCs/>
          <w:lang w:val="es-PE"/>
        </w:rPr>
        <w:t>ahiri</w:t>
      </w:r>
      <w:proofErr w:type="spellEnd"/>
      <w:r w:rsidRPr="00DC1A5F">
        <w:rPr>
          <w:lang w:val="es-PE"/>
        </w:rPr>
        <w:t xml:space="preserve">— falta de consciencia </w:t>
      </w:r>
    </w:p>
    <w:p w14:paraId="64BADBEA" w14:textId="77777777" w:rsidR="00597DE2" w:rsidRPr="00DC1A5F" w:rsidRDefault="00597DE2" w:rsidP="00597DE2">
      <w:pPr>
        <w:pStyle w:val="ParrafoGlosario"/>
        <w:rPr>
          <w:lang w:val="es-PE"/>
        </w:rPr>
      </w:pPr>
      <w:proofErr w:type="spellStart"/>
      <w:r w:rsidRPr="00DC1A5F">
        <w:rPr>
          <w:i/>
          <w:iCs/>
          <w:lang w:val="es-PE"/>
        </w:rPr>
        <w:t>ahosi</w:t>
      </w:r>
      <w:proofErr w:type="spellEnd"/>
      <w:r w:rsidRPr="00DC1A5F">
        <w:rPr>
          <w:i/>
          <w:iCs/>
          <w:lang w:val="es-PE"/>
        </w:rPr>
        <w:t>–</w:t>
      </w:r>
      <w:proofErr w:type="spellStart"/>
      <w:r w:rsidRPr="00DC1A5F">
        <w:rPr>
          <w:i/>
          <w:iCs/>
          <w:lang w:val="es-PE"/>
        </w:rPr>
        <w:t>kamma</w:t>
      </w:r>
      <w:proofErr w:type="spellEnd"/>
      <w:r w:rsidRPr="00DC1A5F">
        <w:rPr>
          <w:lang w:val="es-PE"/>
        </w:rPr>
        <w:t xml:space="preserve">— </w:t>
      </w:r>
      <w:proofErr w:type="spellStart"/>
      <w:r w:rsidRPr="00DC1A5F">
        <w:rPr>
          <w:i/>
          <w:iCs/>
          <w:lang w:val="es-PE"/>
        </w:rPr>
        <w:t>kamma</w:t>
      </w:r>
      <w:proofErr w:type="spellEnd"/>
      <w:r w:rsidRPr="00DC1A5F">
        <w:rPr>
          <w:lang w:val="es-PE"/>
        </w:rPr>
        <w:t xml:space="preserve"> caducado</w:t>
      </w:r>
    </w:p>
    <w:p w14:paraId="6F939AD0" w14:textId="77777777" w:rsidR="00597DE2" w:rsidRPr="00DC1A5F" w:rsidRDefault="00597DE2" w:rsidP="00597DE2">
      <w:pPr>
        <w:pStyle w:val="ParrafoGlosario"/>
        <w:rPr>
          <w:lang w:val="es-PE"/>
        </w:rPr>
      </w:pPr>
      <w:proofErr w:type="spellStart"/>
      <w:r w:rsidRPr="00DC1A5F">
        <w:rPr>
          <w:i/>
          <w:iCs/>
          <w:lang w:val="es-PE"/>
        </w:rPr>
        <w:t>ājīva</w:t>
      </w:r>
      <w:proofErr w:type="spellEnd"/>
      <w:r w:rsidRPr="00DC1A5F">
        <w:rPr>
          <w:lang w:val="es-PE"/>
        </w:rPr>
        <w:t>— sustento</w:t>
      </w:r>
    </w:p>
    <w:p w14:paraId="0CA7129B" w14:textId="77777777" w:rsidR="00597DE2" w:rsidRPr="00DC1A5F" w:rsidRDefault="00597DE2" w:rsidP="00597DE2">
      <w:pPr>
        <w:pStyle w:val="ParrafoGlosario"/>
        <w:rPr>
          <w:lang w:val="es-PE"/>
        </w:rPr>
      </w:pPr>
      <w:proofErr w:type="spellStart"/>
      <w:r w:rsidRPr="00DC1A5F">
        <w:rPr>
          <w:i/>
          <w:iCs/>
          <w:lang w:val="es-PE"/>
        </w:rPr>
        <w:t>ajjhatta</w:t>
      </w:r>
      <w:proofErr w:type="spellEnd"/>
      <w:r w:rsidRPr="00DC1A5F">
        <w:rPr>
          <w:lang w:val="es-PE"/>
        </w:rPr>
        <w:t>— internamente, en uno mismo</w:t>
      </w:r>
    </w:p>
    <w:p w14:paraId="00816D4C" w14:textId="77777777" w:rsidR="00597DE2" w:rsidRPr="00DC1A5F" w:rsidRDefault="00597DE2" w:rsidP="00597DE2">
      <w:pPr>
        <w:pStyle w:val="ParrafoGlosario"/>
        <w:rPr>
          <w:lang w:val="es-PE"/>
        </w:rPr>
      </w:pPr>
      <w:proofErr w:type="spellStart"/>
      <w:r w:rsidRPr="00DC1A5F">
        <w:rPr>
          <w:i/>
          <w:iCs/>
          <w:lang w:val="es-PE"/>
        </w:rPr>
        <w:t>ajjhottharamāna</w:t>
      </w:r>
      <w:proofErr w:type="spellEnd"/>
      <w:r w:rsidRPr="00DC1A5F">
        <w:rPr>
          <w:lang w:val="es-PE"/>
        </w:rPr>
        <w:t>*— también amenazante: VI.56</w:t>
      </w:r>
    </w:p>
    <w:p w14:paraId="004ABDCD" w14:textId="77777777" w:rsidR="00597DE2" w:rsidRPr="00DC1A5F" w:rsidRDefault="00597DE2" w:rsidP="00597DE2">
      <w:pPr>
        <w:pStyle w:val="ParrafoGlosario"/>
        <w:rPr>
          <w:lang w:val="es-PE"/>
        </w:rPr>
      </w:pPr>
      <w:proofErr w:type="spellStart"/>
      <w:r w:rsidRPr="00DC1A5F">
        <w:rPr>
          <w:i/>
          <w:iCs/>
          <w:lang w:val="es-PE"/>
        </w:rPr>
        <w:t>ākāra</w:t>
      </w:r>
      <w:proofErr w:type="spellEnd"/>
      <w:r w:rsidRPr="00DC1A5F">
        <w:rPr>
          <w:lang w:val="es-PE"/>
        </w:rPr>
        <w:t>— modo, aspecto, estructura</w:t>
      </w:r>
    </w:p>
    <w:p w14:paraId="4E6015FF" w14:textId="77777777" w:rsidR="00597DE2" w:rsidRPr="00DC1A5F" w:rsidRDefault="00597DE2" w:rsidP="00597DE2">
      <w:pPr>
        <w:pStyle w:val="ParrafoGlosario"/>
        <w:rPr>
          <w:lang w:val="es-PE"/>
        </w:rPr>
      </w:pPr>
      <w:proofErr w:type="spellStart"/>
      <w:r w:rsidRPr="00DC1A5F">
        <w:rPr>
          <w:i/>
          <w:iCs/>
          <w:lang w:val="es-PE"/>
        </w:rPr>
        <w:t>ākāra</w:t>
      </w:r>
      <w:proofErr w:type="spellEnd"/>
      <w:r w:rsidRPr="00DC1A5F">
        <w:rPr>
          <w:i/>
          <w:iCs/>
          <w:lang w:val="es-PE"/>
        </w:rPr>
        <w:t>–rūpa</w:t>
      </w:r>
      <w:r w:rsidRPr="00DC1A5F">
        <w:rPr>
          <w:lang w:val="es-PE"/>
        </w:rPr>
        <w:t>— materia como un modo (por ejemplo, “marca de lo femenino”)</w:t>
      </w:r>
    </w:p>
    <w:p w14:paraId="5738C9A3" w14:textId="77777777" w:rsidR="00597DE2" w:rsidRPr="00DC1A5F" w:rsidRDefault="00597DE2" w:rsidP="00597DE2">
      <w:pPr>
        <w:pStyle w:val="ParrafoGlosario"/>
        <w:rPr>
          <w:lang w:val="es-PE"/>
        </w:rPr>
      </w:pPr>
      <w:proofErr w:type="spellStart"/>
      <w:r w:rsidRPr="00DC1A5F">
        <w:rPr>
          <w:i/>
          <w:iCs/>
          <w:lang w:val="es-PE"/>
        </w:rPr>
        <w:t>akasa</w:t>
      </w:r>
      <w:proofErr w:type="spellEnd"/>
      <w:r w:rsidRPr="00DC1A5F">
        <w:rPr>
          <w:lang w:val="es-PE"/>
        </w:rPr>
        <w:t>— espacio</w:t>
      </w:r>
    </w:p>
    <w:p w14:paraId="389C592B" w14:textId="77777777" w:rsidR="00597DE2" w:rsidRPr="00DC1A5F" w:rsidRDefault="00597DE2" w:rsidP="00597DE2">
      <w:pPr>
        <w:pStyle w:val="ParrafoGlosario"/>
        <w:rPr>
          <w:lang w:val="es-PE"/>
        </w:rPr>
      </w:pPr>
      <w:proofErr w:type="spellStart"/>
      <w:r w:rsidRPr="00DC1A5F">
        <w:rPr>
          <w:i/>
          <w:iCs/>
          <w:lang w:val="es-PE"/>
        </w:rPr>
        <w:t>ākiñcañña</w:t>
      </w:r>
      <w:proofErr w:type="spellEnd"/>
      <w:r w:rsidRPr="00DC1A5F">
        <w:rPr>
          <w:lang w:val="es-PE"/>
        </w:rPr>
        <w:t>— vacío, vacuidad</w:t>
      </w:r>
    </w:p>
    <w:p w14:paraId="61159020" w14:textId="77777777" w:rsidR="00597DE2" w:rsidRPr="00DC1A5F" w:rsidRDefault="00597DE2" w:rsidP="00597DE2">
      <w:pPr>
        <w:pStyle w:val="ParrafoGlosario"/>
        <w:rPr>
          <w:lang w:val="es-PE"/>
        </w:rPr>
      </w:pPr>
      <w:proofErr w:type="spellStart"/>
      <w:r w:rsidRPr="00DC1A5F">
        <w:rPr>
          <w:i/>
          <w:iCs/>
          <w:lang w:val="es-PE"/>
        </w:rPr>
        <w:t>akiriya</w:t>
      </w:r>
      <w:proofErr w:type="spellEnd"/>
      <w:r w:rsidRPr="00DC1A5F">
        <w:rPr>
          <w:i/>
          <w:iCs/>
          <w:lang w:val="es-PE"/>
        </w:rPr>
        <w:t>–diṭṭhi</w:t>
      </w:r>
      <w:r w:rsidRPr="00DC1A5F">
        <w:rPr>
          <w:lang w:val="es-PE"/>
        </w:rPr>
        <w:t>— visión de la ineficacia de la acción (moral)</w:t>
      </w:r>
    </w:p>
    <w:p w14:paraId="1346FCBC" w14:textId="77777777" w:rsidR="00597DE2" w:rsidRPr="00DC1A5F" w:rsidRDefault="00597DE2" w:rsidP="00597DE2">
      <w:pPr>
        <w:pStyle w:val="ParrafoGlosario"/>
        <w:rPr>
          <w:lang w:val="es-PE"/>
        </w:rPr>
      </w:pPr>
      <w:proofErr w:type="spellStart"/>
      <w:r w:rsidRPr="00DC1A5F">
        <w:rPr>
          <w:i/>
          <w:iCs/>
          <w:lang w:val="es-PE"/>
        </w:rPr>
        <w:t>akusala</w:t>
      </w:r>
      <w:proofErr w:type="spellEnd"/>
      <w:r w:rsidRPr="00DC1A5F">
        <w:rPr>
          <w:lang w:val="es-PE"/>
        </w:rPr>
        <w:t>— (1) torpe, (2) (</w:t>
      </w:r>
      <w:proofErr w:type="spellStart"/>
      <w:r w:rsidRPr="00DC1A5F">
        <w:rPr>
          <w:i/>
          <w:iCs/>
          <w:lang w:val="es-PE"/>
        </w:rPr>
        <w:t>kāmicamente</w:t>
      </w:r>
      <w:proofErr w:type="spellEnd"/>
      <w:r w:rsidRPr="00DC1A5F">
        <w:rPr>
          <w:lang w:val="es-PE"/>
        </w:rPr>
        <w:t>) improductivo</w:t>
      </w:r>
    </w:p>
    <w:p w14:paraId="255A7B5C" w14:textId="77777777" w:rsidR="00597DE2" w:rsidRPr="00DC1A5F" w:rsidRDefault="00597DE2" w:rsidP="00597DE2">
      <w:pPr>
        <w:pStyle w:val="ParrafoGlosario"/>
        <w:rPr>
          <w:lang w:val="es-PE"/>
        </w:rPr>
      </w:pPr>
      <w:proofErr w:type="spellStart"/>
      <w:r w:rsidRPr="00DC1A5F">
        <w:rPr>
          <w:i/>
          <w:iCs/>
          <w:lang w:val="es-PE"/>
        </w:rPr>
        <w:t>ālaya</w:t>
      </w:r>
      <w:proofErr w:type="spellEnd"/>
      <w:r w:rsidRPr="00DC1A5F">
        <w:rPr>
          <w:lang w:val="es-PE"/>
        </w:rPr>
        <w:t>— confianza, algo en lo que se confíe</w:t>
      </w:r>
    </w:p>
    <w:p w14:paraId="1B3B41B4" w14:textId="77777777" w:rsidR="00597DE2" w:rsidRPr="00DC1A5F" w:rsidRDefault="00597DE2" w:rsidP="00597DE2">
      <w:pPr>
        <w:pStyle w:val="ParrafoGlosario"/>
        <w:rPr>
          <w:lang w:val="es-PE"/>
        </w:rPr>
      </w:pPr>
      <w:proofErr w:type="spellStart"/>
      <w:r w:rsidRPr="00DC1A5F">
        <w:rPr>
          <w:i/>
          <w:iCs/>
          <w:lang w:val="es-PE"/>
        </w:rPr>
        <w:t>allīna</w:t>
      </w:r>
      <w:proofErr w:type="spellEnd"/>
      <w:r w:rsidRPr="00DC1A5F">
        <w:rPr>
          <w:lang w:val="es-PE"/>
        </w:rPr>
        <w:t xml:space="preserve">*— sin protección (págs. </w:t>
      </w:r>
      <w:proofErr w:type="spellStart"/>
      <w:r w:rsidRPr="00DC1A5F">
        <w:rPr>
          <w:lang w:val="es-PE"/>
        </w:rPr>
        <w:t>a+līyati</w:t>
      </w:r>
      <w:proofErr w:type="spellEnd"/>
      <w:r w:rsidRPr="00DC1A5F">
        <w:rPr>
          <w:lang w:val="es-PE"/>
        </w:rPr>
        <w:t>): XX.19</w:t>
      </w:r>
    </w:p>
    <w:p w14:paraId="4B546298" w14:textId="77777777" w:rsidR="00597DE2" w:rsidRPr="00DC1A5F" w:rsidRDefault="00597DE2" w:rsidP="00597DE2">
      <w:pPr>
        <w:pStyle w:val="ParrafoGlosario"/>
        <w:rPr>
          <w:lang w:val="es-PE"/>
        </w:rPr>
      </w:pPr>
      <w:proofErr w:type="spellStart"/>
      <w:r w:rsidRPr="00DC1A5F">
        <w:rPr>
          <w:i/>
          <w:iCs/>
          <w:lang w:val="es-PE"/>
        </w:rPr>
        <w:t>allīyituṃ</w:t>
      </w:r>
      <w:proofErr w:type="spellEnd"/>
      <w:r w:rsidRPr="00DC1A5F">
        <w:rPr>
          <w:lang w:val="es-PE"/>
        </w:rPr>
        <w:t xml:space="preserve">*— dar refugio (no así en el CPD; </w:t>
      </w:r>
      <w:proofErr w:type="spellStart"/>
      <w:r w:rsidRPr="00DC1A5F">
        <w:rPr>
          <w:lang w:val="es-PE"/>
        </w:rPr>
        <w:t>inf</w:t>
      </w:r>
      <w:proofErr w:type="spellEnd"/>
      <w:r w:rsidRPr="00DC1A5F">
        <w:rPr>
          <w:lang w:val="es-PE"/>
        </w:rPr>
        <w:t xml:space="preserve">. </w:t>
      </w:r>
      <w:proofErr w:type="spellStart"/>
      <w:r w:rsidRPr="00DC1A5F">
        <w:rPr>
          <w:i/>
          <w:iCs/>
          <w:lang w:val="es-PE"/>
        </w:rPr>
        <w:t>ā+līyati</w:t>
      </w:r>
      <w:proofErr w:type="spellEnd"/>
      <w:r w:rsidRPr="00DC1A5F">
        <w:rPr>
          <w:lang w:val="es-PE"/>
        </w:rPr>
        <w:t xml:space="preserve">; véase </w:t>
      </w:r>
      <w:proofErr w:type="spellStart"/>
      <w:r w:rsidRPr="00DC1A5F">
        <w:rPr>
          <w:i/>
          <w:iCs/>
          <w:lang w:val="es-PE"/>
        </w:rPr>
        <w:t>leṇa</w:t>
      </w:r>
      <w:proofErr w:type="spellEnd"/>
      <w:r w:rsidRPr="00DC1A5F">
        <w:rPr>
          <w:lang w:val="es-PE"/>
        </w:rPr>
        <w:t xml:space="preserve"> en el CPD): (</w:t>
      </w:r>
      <w:proofErr w:type="spellStart"/>
      <w:r w:rsidRPr="00DC1A5F">
        <w:rPr>
          <w:i/>
          <w:iCs/>
          <w:lang w:val="es-PE"/>
        </w:rPr>
        <w:t>allīyitabba</w:t>
      </w:r>
      <w:proofErr w:type="spellEnd"/>
      <w:r w:rsidRPr="00DC1A5F">
        <w:rPr>
          <w:lang w:val="es-PE"/>
        </w:rPr>
        <w:t>) XXII.120; (</w:t>
      </w:r>
      <w:proofErr w:type="spellStart"/>
      <w:r w:rsidRPr="00DC1A5F">
        <w:rPr>
          <w:i/>
          <w:iCs/>
          <w:lang w:val="es-PE"/>
        </w:rPr>
        <w:t>alīyana</w:t>
      </w:r>
      <w:proofErr w:type="spellEnd"/>
      <w:r w:rsidRPr="00DC1A5F">
        <w:rPr>
          <w:lang w:val="es-PE"/>
        </w:rPr>
        <w:t>) VII.83</w:t>
      </w:r>
    </w:p>
    <w:p w14:paraId="7F5730A4" w14:textId="77777777" w:rsidR="00597DE2" w:rsidRPr="00DC1A5F" w:rsidRDefault="00597DE2" w:rsidP="00597DE2">
      <w:pPr>
        <w:pStyle w:val="ParrafoGlosario"/>
        <w:rPr>
          <w:lang w:val="es-PE"/>
        </w:rPr>
      </w:pPr>
      <w:proofErr w:type="spellStart"/>
      <w:r w:rsidRPr="00DC1A5F">
        <w:rPr>
          <w:i/>
          <w:iCs/>
          <w:lang w:val="es-PE"/>
        </w:rPr>
        <w:t>alobha</w:t>
      </w:r>
      <w:proofErr w:type="spellEnd"/>
      <w:r w:rsidRPr="00DC1A5F">
        <w:rPr>
          <w:lang w:val="es-PE"/>
        </w:rPr>
        <w:t>— no</w:t>
      </w:r>
      <w:r w:rsidRPr="00DC1A5F">
        <w:rPr>
          <w:rFonts w:cs="Cormorant"/>
          <w:lang w:val="es-PE"/>
        </w:rPr>
        <w:t>―</w:t>
      </w:r>
      <w:r w:rsidRPr="00DC1A5F">
        <w:rPr>
          <w:lang w:val="es-PE"/>
        </w:rPr>
        <w:t>codicia</w:t>
      </w:r>
    </w:p>
    <w:p w14:paraId="4EF1F219" w14:textId="77777777" w:rsidR="00597DE2" w:rsidRPr="00DC1A5F" w:rsidRDefault="00597DE2" w:rsidP="00597DE2">
      <w:pPr>
        <w:pStyle w:val="ParrafoGlosario"/>
        <w:rPr>
          <w:lang w:val="es-PE"/>
        </w:rPr>
      </w:pPr>
      <w:proofErr w:type="spellStart"/>
      <w:r w:rsidRPr="00DC1A5F">
        <w:rPr>
          <w:i/>
          <w:iCs/>
          <w:lang w:val="es-PE"/>
        </w:rPr>
        <w:t>āloka</w:t>
      </w:r>
      <w:proofErr w:type="spellEnd"/>
      <w:r w:rsidRPr="00DC1A5F">
        <w:rPr>
          <w:lang w:val="es-PE"/>
        </w:rPr>
        <w:t xml:space="preserve">— luz </w:t>
      </w:r>
    </w:p>
    <w:p w14:paraId="32E17FED" w14:textId="77777777" w:rsidR="00597DE2" w:rsidRPr="00DC1A5F" w:rsidRDefault="00597DE2" w:rsidP="00597DE2">
      <w:pPr>
        <w:pStyle w:val="ParrafoGlosario"/>
        <w:rPr>
          <w:lang w:val="es-PE"/>
        </w:rPr>
      </w:pPr>
      <w:r w:rsidRPr="00DC1A5F">
        <w:rPr>
          <w:i/>
          <w:iCs/>
          <w:lang w:val="es-PE"/>
        </w:rPr>
        <w:t>amata</w:t>
      </w:r>
      <w:r w:rsidRPr="00DC1A5F">
        <w:rPr>
          <w:lang w:val="es-PE"/>
        </w:rPr>
        <w:t xml:space="preserve">— inmortalidad (término para el </w:t>
      </w:r>
      <w:r w:rsidRPr="00DC1A5F">
        <w:rPr>
          <w:i/>
          <w:iCs/>
          <w:lang w:val="es-PE"/>
        </w:rPr>
        <w:t>Nibbāna</w:t>
      </w:r>
      <w:r w:rsidRPr="00DC1A5F">
        <w:rPr>
          <w:lang w:val="es-PE"/>
        </w:rPr>
        <w:t>)</w:t>
      </w:r>
    </w:p>
    <w:p w14:paraId="0FF56E95" w14:textId="77777777" w:rsidR="00597DE2" w:rsidRPr="00DC1A5F" w:rsidRDefault="00597DE2" w:rsidP="00597DE2">
      <w:pPr>
        <w:pStyle w:val="ParrafoGlosario"/>
        <w:rPr>
          <w:lang w:val="es-PE"/>
        </w:rPr>
      </w:pPr>
      <w:proofErr w:type="spellStart"/>
      <w:r w:rsidRPr="00DC1A5F">
        <w:rPr>
          <w:i/>
          <w:iCs/>
          <w:lang w:val="es-PE"/>
        </w:rPr>
        <w:t>amavāya</w:t>
      </w:r>
      <w:proofErr w:type="spellEnd"/>
      <w:r w:rsidRPr="00DC1A5F">
        <w:rPr>
          <w:lang w:val="es-PE"/>
        </w:rPr>
        <w:t xml:space="preserve">— </w:t>
      </w:r>
      <w:r w:rsidRPr="00DC1A5F">
        <w:rPr>
          <w:i/>
          <w:iCs/>
          <w:lang w:val="es-PE"/>
        </w:rPr>
        <w:t>inherencia</w:t>
      </w:r>
    </w:p>
    <w:p w14:paraId="55A0088B" w14:textId="77777777" w:rsidR="00597DE2" w:rsidRPr="00DC1A5F" w:rsidRDefault="00597DE2" w:rsidP="00597DE2">
      <w:pPr>
        <w:pStyle w:val="ParrafoGlosario"/>
        <w:rPr>
          <w:lang w:val="es-PE"/>
        </w:rPr>
      </w:pPr>
      <w:proofErr w:type="spellStart"/>
      <w:r w:rsidRPr="00DC1A5F">
        <w:rPr>
          <w:i/>
          <w:iCs/>
          <w:lang w:val="es-PE"/>
        </w:rPr>
        <w:t>amoha</w:t>
      </w:r>
      <w:proofErr w:type="spellEnd"/>
      <w:r w:rsidRPr="00DC1A5F">
        <w:rPr>
          <w:lang w:val="es-PE"/>
        </w:rPr>
        <w:t>— sin ilusión/</w:t>
      </w:r>
      <w:r w:rsidRPr="00DC1A5F">
        <w:rPr>
          <w:color w:val="833C0B" w:themeColor="accent2" w:themeShade="80"/>
          <w:lang w:val="es-PE"/>
        </w:rPr>
        <w:t>ignorancia</w:t>
      </w:r>
    </w:p>
    <w:p w14:paraId="7774A219" w14:textId="77777777" w:rsidR="00597DE2" w:rsidRPr="00DC1A5F" w:rsidRDefault="00597DE2" w:rsidP="00597DE2">
      <w:pPr>
        <w:pStyle w:val="ParrafoGlosario"/>
        <w:rPr>
          <w:lang w:val="es-PE"/>
        </w:rPr>
      </w:pPr>
      <w:proofErr w:type="spellStart"/>
      <w:r w:rsidRPr="00DC1A5F">
        <w:rPr>
          <w:i/>
          <w:iCs/>
          <w:lang w:val="es-PE"/>
        </w:rPr>
        <w:t>anāgāmin</w:t>
      </w:r>
      <w:proofErr w:type="spellEnd"/>
      <w:r w:rsidRPr="00DC1A5F">
        <w:rPr>
          <w:lang w:val="es-PE"/>
        </w:rPr>
        <w:t>— no–retornante (tercera etapa de iluminación)</w:t>
      </w:r>
    </w:p>
    <w:p w14:paraId="507B7E9C" w14:textId="77777777" w:rsidR="00597DE2" w:rsidRPr="00DC1A5F" w:rsidRDefault="00597DE2" w:rsidP="00597DE2">
      <w:pPr>
        <w:pStyle w:val="ParrafoGlosario"/>
        <w:rPr>
          <w:lang w:val="es-PE"/>
        </w:rPr>
      </w:pPr>
      <w:proofErr w:type="spellStart"/>
      <w:r w:rsidRPr="00DC1A5F">
        <w:rPr>
          <w:i/>
          <w:iCs/>
          <w:lang w:val="es-PE"/>
        </w:rPr>
        <w:t>anāgata</w:t>
      </w:r>
      <w:proofErr w:type="spellEnd"/>
      <w:r w:rsidRPr="00DC1A5F">
        <w:rPr>
          <w:lang w:val="es-PE"/>
        </w:rPr>
        <w:t>— futuro</w:t>
      </w:r>
    </w:p>
    <w:p w14:paraId="2CB5054F" w14:textId="77777777" w:rsidR="00597DE2" w:rsidRPr="00DC1A5F" w:rsidRDefault="00597DE2" w:rsidP="00597DE2">
      <w:pPr>
        <w:pStyle w:val="ParrafoGlosario"/>
        <w:rPr>
          <w:lang w:val="es-PE"/>
        </w:rPr>
      </w:pPr>
      <w:proofErr w:type="spellStart"/>
      <w:r w:rsidRPr="00DC1A5F">
        <w:rPr>
          <w:i/>
          <w:iCs/>
          <w:lang w:val="es-PE"/>
        </w:rPr>
        <w:t>anāgataṃsa</w:t>
      </w:r>
      <w:proofErr w:type="spellEnd"/>
      <w:r w:rsidRPr="00DC1A5F">
        <w:rPr>
          <w:lang w:val="es-PE"/>
        </w:rPr>
        <w:t>–</w:t>
      </w:r>
      <w:r w:rsidRPr="00DC1A5F">
        <w:rPr>
          <w:i/>
          <w:iCs/>
          <w:lang w:val="es-PE"/>
        </w:rPr>
        <w:t>ñāṇa</w:t>
      </w:r>
      <w:r w:rsidRPr="00DC1A5F">
        <w:rPr>
          <w:lang w:val="es-PE"/>
        </w:rPr>
        <w:t>— conocimiento sobre el futuro</w:t>
      </w:r>
    </w:p>
    <w:p w14:paraId="37996AFC" w14:textId="77777777" w:rsidR="00597DE2" w:rsidRPr="00DC1A5F" w:rsidRDefault="00597DE2" w:rsidP="00597DE2">
      <w:pPr>
        <w:pStyle w:val="ParrafoGlosario"/>
        <w:rPr>
          <w:lang w:val="es-PE"/>
        </w:rPr>
      </w:pPr>
      <w:proofErr w:type="spellStart"/>
      <w:r w:rsidRPr="00DC1A5F">
        <w:rPr>
          <w:i/>
          <w:iCs/>
          <w:lang w:val="es-PE"/>
        </w:rPr>
        <w:t>ānantarika</w:t>
      </w:r>
      <w:proofErr w:type="spellEnd"/>
      <w:r w:rsidRPr="00DC1A5F">
        <w:rPr>
          <w:lang w:val="es-PE"/>
        </w:rPr>
        <w:t>— (</w:t>
      </w:r>
      <w:proofErr w:type="spellStart"/>
      <w:r w:rsidRPr="00DC1A5F">
        <w:rPr>
          <w:i/>
          <w:iCs/>
          <w:lang w:val="es-PE"/>
        </w:rPr>
        <w:t>kamma</w:t>
      </w:r>
      <w:proofErr w:type="spellEnd"/>
      <w:r w:rsidRPr="00DC1A5F">
        <w:rPr>
          <w:lang w:val="es-PE"/>
        </w:rPr>
        <w:t>) con resultado inmediato (al renacer)</w:t>
      </w:r>
    </w:p>
    <w:p w14:paraId="13AA23BC" w14:textId="77777777" w:rsidR="00597DE2" w:rsidRPr="00DC1A5F" w:rsidRDefault="00597DE2" w:rsidP="00597DE2">
      <w:pPr>
        <w:pStyle w:val="ParrafoGlosario"/>
        <w:rPr>
          <w:lang w:val="es-PE"/>
        </w:rPr>
      </w:pPr>
      <w:proofErr w:type="spellStart"/>
      <w:r w:rsidRPr="00DC1A5F">
        <w:rPr>
          <w:i/>
          <w:iCs/>
          <w:lang w:val="es-PE"/>
        </w:rPr>
        <w:t>anaññātaññassāmī</w:t>
      </w:r>
      <w:proofErr w:type="spellEnd"/>
      <w:r w:rsidRPr="00DC1A5F">
        <w:rPr>
          <w:i/>
          <w:iCs/>
          <w:lang w:val="es-PE"/>
        </w:rPr>
        <w:t>–t–</w:t>
      </w:r>
      <w:proofErr w:type="spellStart"/>
      <w:r w:rsidRPr="00DC1A5F">
        <w:rPr>
          <w:i/>
          <w:iCs/>
          <w:lang w:val="es-PE"/>
        </w:rPr>
        <w:t>indriya</w:t>
      </w:r>
      <w:proofErr w:type="spellEnd"/>
      <w:r w:rsidRPr="00DC1A5F">
        <w:rPr>
          <w:lang w:val="es-PE"/>
        </w:rPr>
        <w:t>— facultad de llegaré–a–conocer–lo–desconocido</w:t>
      </w:r>
    </w:p>
    <w:p w14:paraId="0129A324" w14:textId="77777777" w:rsidR="00597DE2" w:rsidRPr="00DC1A5F" w:rsidRDefault="00597DE2" w:rsidP="00597DE2">
      <w:pPr>
        <w:pStyle w:val="ParrafoGlosario"/>
        <w:rPr>
          <w:lang w:val="es-PE"/>
        </w:rPr>
      </w:pPr>
      <w:r w:rsidRPr="00DC1A5F">
        <w:rPr>
          <w:i/>
          <w:iCs/>
          <w:lang w:val="es-PE"/>
        </w:rPr>
        <w:t>ānāpāna</w:t>
      </w:r>
      <w:r w:rsidRPr="00DC1A5F">
        <w:rPr>
          <w:lang w:val="es-PE"/>
        </w:rPr>
        <w:t>— respiración</w:t>
      </w:r>
    </w:p>
    <w:p w14:paraId="35644644" w14:textId="77777777" w:rsidR="00597DE2" w:rsidRPr="00DC1A5F" w:rsidRDefault="00597DE2" w:rsidP="00597DE2">
      <w:pPr>
        <w:pStyle w:val="ParrafoGlosario"/>
        <w:rPr>
          <w:lang w:val="es-PE"/>
        </w:rPr>
      </w:pPr>
      <w:r w:rsidRPr="00DC1A5F">
        <w:rPr>
          <w:i/>
          <w:iCs/>
          <w:lang w:val="es-PE"/>
        </w:rPr>
        <w:t>anattā</w:t>
      </w:r>
      <w:r w:rsidRPr="00DC1A5F">
        <w:rPr>
          <w:lang w:val="es-PE"/>
        </w:rPr>
        <w:t>— no–alma</w:t>
      </w:r>
    </w:p>
    <w:p w14:paraId="62E85C4B" w14:textId="77777777" w:rsidR="00597DE2" w:rsidRPr="00DC1A5F" w:rsidRDefault="00597DE2" w:rsidP="00597DE2">
      <w:pPr>
        <w:pStyle w:val="ParrafoGlosario"/>
        <w:rPr>
          <w:lang w:val="es-PE"/>
        </w:rPr>
      </w:pPr>
      <w:proofErr w:type="spellStart"/>
      <w:r w:rsidRPr="00DC1A5F">
        <w:rPr>
          <w:i/>
          <w:iCs/>
          <w:lang w:val="es-PE"/>
        </w:rPr>
        <w:t>āneñja</w:t>
      </w:r>
      <w:proofErr w:type="spellEnd"/>
      <w:r w:rsidRPr="00DC1A5F">
        <w:rPr>
          <w:lang w:val="es-PE"/>
        </w:rPr>
        <w:t>— imperturbable, lo (término para el 4</w:t>
      </w:r>
      <w:r w:rsidRPr="00DC1A5F">
        <w:rPr>
          <w:vertAlign w:val="superscript"/>
          <w:lang w:val="es-PE"/>
        </w:rPr>
        <w:t xml:space="preserve">to </w:t>
      </w:r>
      <w:proofErr w:type="spellStart"/>
      <w:r w:rsidRPr="00DC1A5F">
        <w:rPr>
          <w:i/>
          <w:iCs/>
          <w:lang w:val="es-PE"/>
        </w:rPr>
        <w:t>jhāna</w:t>
      </w:r>
      <w:proofErr w:type="spellEnd"/>
      <w:r w:rsidRPr="00DC1A5F">
        <w:rPr>
          <w:lang w:val="es-PE"/>
        </w:rPr>
        <w:t>)</w:t>
      </w:r>
    </w:p>
    <w:p w14:paraId="07299A64" w14:textId="77777777" w:rsidR="00597DE2" w:rsidRPr="00DC1A5F" w:rsidRDefault="00597DE2" w:rsidP="00597DE2">
      <w:pPr>
        <w:pStyle w:val="ParrafoGlosario"/>
        <w:rPr>
          <w:lang w:val="es-PE"/>
        </w:rPr>
      </w:pPr>
      <w:proofErr w:type="spellStart"/>
      <w:r w:rsidRPr="00DC1A5F">
        <w:rPr>
          <w:i/>
          <w:iCs/>
          <w:lang w:val="es-PE"/>
        </w:rPr>
        <w:t>aneñja</w:t>
      </w:r>
      <w:proofErr w:type="spellEnd"/>
      <w:r w:rsidRPr="00DC1A5F">
        <w:rPr>
          <w:i/>
          <w:iCs/>
          <w:lang w:val="es-PE"/>
        </w:rPr>
        <w:t>, aneja</w:t>
      </w:r>
      <w:r w:rsidRPr="00DC1A5F">
        <w:rPr>
          <w:lang w:val="es-PE"/>
        </w:rPr>
        <w:t>*— imperturbable: XII.55</w:t>
      </w:r>
    </w:p>
    <w:p w14:paraId="6214AC71" w14:textId="77777777" w:rsidR="00597DE2" w:rsidRPr="00DC1A5F" w:rsidRDefault="00597DE2" w:rsidP="00597DE2">
      <w:pPr>
        <w:pStyle w:val="ParrafoGlosario"/>
        <w:rPr>
          <w:lang w:val="es-PE"/>
        </w:rPr>
      </w:pPr>
      <w:proofErr w:type="spellStart"/>
      <w:r w:rsidRPr="00DC1A5F">
        <w:rPr>
          <w:i/>
          <w:iCs/>
          <w:lang w:val="es-PE"/>
        </w:rPr>
        <w:t>anesanā</w:t>
      </w:r>
      <w:proofErr w:type="spellEnd"/>
      <w:r w:rsidRPr="00DC1A5F">
        <w:rPr>
          <w:lang w:val="es-PE"/>
        </w:rPr>
        <w:t>— búsqueda incorrecta</w:t>
      </w:r>
    </w:p>
    <w:p w14:paraId="4E285B25" w14:textId="77777777" w:rsidR="00597DE2" w:rsidRPr="00DC1A5F" w:rsidRDefault="00597DE2" w:rsidP="00597DE2">
      <w:pPr>
        <w:pStyle w:val="ParrafoGlosario"/>
        <w:rPr>
          <w:lang w:val="es-PE"/>
        </w:rPr>
      </w:pPr>
      <w:proofErr w:type="spellStart"/>
      <w:r w:rsidRPr="00DC1A5F">
        <w:rPr>
          <w:i/>
          <w:iCs/>
          <w:lang w:val="es-PE"/>
        </w:rPr>
        <w:t>aṅga</w:t>
      </w:r>
      <w:proofErr w:type="spellEnd"/>
      <w:r w:rsidRPr="00DC1A5F">
        <w:rPr>
          <w:lang w:val="es-PE"/>
        </w:rPr>
        <w:t xml:space="preserve">— (l) extremidad, (2) factor (del sendero, </w:t>
      </w:r>
      <w:proofErr w:type="spellStart"/>
      <w:r w:rsidRPr="00DC1A5F">
        <w:rPr>
          <w:i/>
          <w:iCs/>
          <w:lang w:val="es-PE"/>
        </w:rPr>
        <w:t>jhāna</w:t>
      </w:r>
      <w:proofErr w:type="spellEnd"/>
      <w:r w:rsidRPr="00DC1A5F">
        <w:rPr>
          <w:lang w:val="es-PE"/>
        </w:rPr>
        <w:t>, etc.), (3) práctica, etc.</w:t>
      </w:r>
    </w:p>
    <w:p w14:paraId="7D3D6A16" w14:textId="77777777" w:rsidR="00597DE2" w:rsidRPr="00DC1A5F" w:rsidRDefault="00597DE2" w:rsidP="00597DE2">
      <w:pPr>
        <w:pStyle w:val="ParrafoGlosario"/>
        <w:rPr>
          <w:lang w:val="es-PE"/>
        </w:rPr>
      </w:pPr>
      <w:r w:rsidRPr="00DC1A5F">
        <w:rPr>
          <w:i/>
          <w:iCs/>
          <w:lang w:val="es-PE"/>
        </w:rPr>
        <w:t>anicca</w:t>
      </w:r>
      <w:r w:rsidRPr="00DC1A5F">
        <w:rPr>
          <w:lang w:val="es-PE"/>
        </w:rPr>
        <w:t>— impermanente, impermanencia</w:t>
      </w:r>
    </w:p>
    <w:p w14:paraId="381BD16B" w14:textId="77777777" w:rsidR="00597DE2" w:rsidRPr="00DC1A5F" w:rsidRDefault="00597DE2" w:rsidP="00597DE2">
      <w:pPr>
        <w:pStyle w:val="ParrafoGlosario"/>
        <w:rPr>
          <w:lang w:val="es-PE"/>
        </w:rPr>
      </w:pPr>
      <w:proofErr w:type="spellStart"/>
      <w:r w:rsidRPr="00DC1A5F">
        <w:rPr>
          <w:i/>
          <w:iCs/>
          <w:lang w:val="es-PE"/>
        </w:rPr>
        <w:t>aṇimā</w:t>
      </w:r>
      <w:proofErr w:type="spellEnd"/>
      <w:r w:rsidRPr="00DC1A5F">
        <w:rPr>
          <w:lang w:val="es-PE"/>
        </w:rPr>
        <w:t>*— minucias: VII.61</w:t>
      </w:r>
      <w:r>
        <w:rPr>
          <w:lang w:val="es-PE"/>
        </w:rPr>
        <w:br w:type="column"/>
      </w:r>
    </w:p>
    <w:p w14:paraId="1E3DC06D" w14:textId="77777777" w:rsidR="00597DE2" w:rsidRPr="00DC1A5F" w:rsidRDefault="00597DE2" w:rsidP="00597DE2">
      <w:pPr>
        <w:pStyle w:val="ParrafoGlosario"/>
        <w:rPr>
          <w:lang w:val="es-PE"/>
        </w:rPr>
      </w:pPr>
      <w:proofErr w:type="spellStart"/>
      <w:r w:rsidRPr="00DC1A5F">
        <w:rPr>
          <w:i/>
          <w:iCs/>
          <w:lang w:val="es-PE"/>
        </w:rPr>
        <w:t>animitta</w:t>
      </w:r>
      <w:proofErr w:type="spellEnd"/>
      <w:r w:rsidRPr="00DC1A5F">
        <w:rPr>
          <w:lang w:val="es-PE"/>
        </w:rPr>
        <w:t>— sin signo</w:t>
      </w:r>
    </w:p>
    <w:p w14:paraId="420BE52C" w14:textId="77777777" w:rsidR="00597DE2" w:rsidRPr="00DC1A5F" w:rsidRDefault="00597DE2" w:rsidP="00597DE2">
      <w:pPr>
        <w:pStyle w:val="ParrafoGlosario"/>
        <w:rPr>
          <w:lang w:val="es-PE"/>
        </w:rPr>
      </w:pPr>
      <w:proofErr w:type="spellStart"/>
      <w:r w:rsidRPr="00DC1A5F">
        <w:rPr>
          <w:i/>
          <w:iCs/>
          <w:lang w:val="es-PE"/>
        </w:rPr>
        <w:t>anottappa</w:t>
      </w:r>
      <w:proofErr w:type="spellEnd"/>
      <w:r w:rsidRPr="00DC1A5F">
        <w:rPr>
          <w:lang w:val="es-PE"/>
        </w:rPr>
        <w:t>— desvergüenza</w:t>
      </w:r>
    </w:p>
    <w:p w14:paraId="5D639F13" w14:textId="77777777" w:rsidR="00597DE2" w:rsidRPr="00DC1A5F" w:rsidRDefault="00597DE2" w:rsidP="00597DE2">
      <w:pPr>
        <w:pStyle w:val="ParrafoGlosario"/>
        <w:rPr>
          <w:lang w:val="es-PE"/>
        </w:rPr>
      </w:pPr>
      <w:proofErr w:type="spellStart"/>
      <w:r w:rsidRPr="00DC1A5F">
        <w:rPr>
          <w:i/>
          <w:iCs/>
          <w:lang w:val="es-PE"/>
        </w:rPr>
        <w:t>anubhāva</w:t>
      </w:r>
      <w:proofErr w:type="spellEnd"/>
      <w:r w:rsidRPr="00DC1A5F">
        <w:rPr>
          <w:lang w:val="es-PE"/>
        </w:rPr>
        <w:t>— poder, influencia</w:t>
      </w:r>
    </w:p>
    <w:p w14:paraId="51DA90CA" w14:textId="77777777" w:rsidR="00597DE2" w:rsidRPr="00DC1A5F" w:rsidRDefault="00597DE2" w:rsidP="00597DE2">
      <w:pPr>
        <w:pStyle w:val="ParrafoGlosario"/>
        <w:rPr>
          <w:lang w:val="es-PE"/>
        </w:rPr>
      </w:pPr>
      <w:proofErr w:type="spellStart"/>
      <w:r w:rsidRPr="00DC1A5F">
        <w:rPr>
          <w:i/>
          <w:iCs/>
          <w:lang w:val="es-PE"/>
        </w:rPr>
        <w:t>anubodha</w:t>
      </w:r>
      <w:proofErr w:type="spellEnd"/>
      <w:r w:rsidRPr="00DC1A5F">
        <w:rPr>
          <w:lang w:val="es-PE"/>
        </w:rPr>
        <w:t>— idea, ideación</w:t>
      </w:r>
    </w:p>
    <w:p w14:paraId="48F17D02" w14:textId="77777777" w:rsidR="00597DE2" w:rsidRPr="00DC1A5F" w:rsidRDefault="00597DE2" w:rsidP="00597DE2">
      <w:pPr>
        <w:pStyle w:val="ParrafoGlosario"/>
        <w:rPr>
          <w:lang w:val="es-PE"/>
        </w:rPr>
      </w:pPr>
      <w:proofErr w:type="spellStart"/>
      <w:r w:rsidRPr="00DC1A5F">
        <w:rPr>
          <w:i/>
          <w:iCs/>
          <w:lang w:val="es-PE"/>
        </w:rPr>
        <w:t>anuloma</w:t>
      </w:r>
      <w:proofErr w:type="spellEnd"/>
      <w:r w:rsidRPr="00DC1A5F">
        <w:rPr>
          <w:lang w:val="es-PE"/>
        </w:rPr>
        <w:t xml:space="preserve">— (1) en conformidad con, (2) en orden progresivo, o como “surgimiento” (de la originación dependiente), (3) conformidad (etapa en el desarrollo de </w:t>
      </w:r>
      <w:proofErr w:type="spellStart"/>
      <w:r w:rsidRPr="00DC1A5F">
        <w:rPr>
          <w:i/>
          <w:iCs/>
          <w:lang w:val="es-PE"/>
        </w:rPr>
        <w:t>jhāna</w:t>
      </w:r>
      <w:proofErr w:type="spellEnd"/>
      <w:r w:rsidRPr="00DC1A5F">
        <w:rPr>
          <w:lang w:val="es-PE"/>
        </w:rPr>
        <w:t xml:space="preserve"> o la sabiduría–revelativa)</w:t>
      </w:r>
    </w:p>
    <w:p w14:paraId="73559795" w14:textId="77777777" w:rsidR="00597DE2" w:rsidRPr="00DC1A5F" w:rsidRDefault="00597DE2" w:rsidP="00597DE2">
      <w:pPr>
        <w:pStyle w:val="ParrafoGlosario"/>
        <w:rPr>
          <w:lang w:val="es-PE"/>
        </w:rPr>
      </w:pPr>
      <w:proofErr w:type="spellStart"/>
      <w:r w:rsidRPr="00DC1A5F">
        <w:rPr>
          <w:i/>
          <w:iCs/>
          <w:lang w:val="es-PE"/>
        </w:rPr>
        <w:t>anunaya</w:t>
      </w:r>
      <w:proofErr w:type="spellEnd"/>
      <w:r w:rsidRPr="00DC1A5F">
        <w:rPr>
          <w:lang w:val="es-PE"/>
        </w:rPr>
        <w:t>— aprobación</w:t>
      </w:r>
    </w:p>
    <w:p w14:paraId="35A51183" w14:textId="77777777" w:rsidR="00597DE2" w:rsidRPr="00DC1A5F" w:rsidRDefault="00597DE2" w:rsidP="00597DE2">
      <w:pPr>
        <w:pStyle w:val="ParrafoGlosario"/>
        <w:rPr>
          <w:lang w:val="es-PE"/>
        </w:rPr>
      </w:pPr>
      <w:proofErr w:type="spellStart"/>
      <w:r w:rsidRPr="00DC1A5F">
        <w:rPr>
          <w:i/>
          <w:iCs/>
          <w:lang w:val="es-PE"/>
        </w:rPr>
        <w:t>anupabandhana</w:t>
      </w:r>
      <w:proofErr w:type="spellEnd"/>
      <w:r w:rsidRPr="00DC1A5F">
        <w:rPr>
          <w:lang w:val="es-PE"/>
        </w:rPr>
        <w:t xml:space="preserve">— </w:t>
      </w:r>
      <w:r w:rsidRPr="00DC1A5F">
        <w:rPr>
          <w:i/>
          <w:iCs/>
          <w:lang w:val="es-PE"/>
        </w:rPr>
        <w:t>anclaje</w:t>
      </w:r>
      <w:r w:rsidRPr="00DC1A5F">
        <w:rPr>
          <w:lang w:val="es-PE"/>
        </w:rPr>
        <w:t xml:space="preserve"> (mental)</w:t>
      </w:r>
    </w:p>
    <w:p w14:paraId="189D951A" w14:textId="77777777" w:rsidR="00597DE2" w:rsidRPr="00DC1A5F" w:rsidRDefault="00597DE2" w:rsidP="00597DE2">
      <w:pPr>
        <w:pStyle w:val="ParrafoGlosario"/>
        <w:rPr>
          <w:lang w:val="es-PE"/>
        </w:rPr>
      </w:pPr>
      <w:proofErr w:type="spellStart"/>
      <w:r w:rsidRPr="00DC1A5F">
        <w:rPr>
          <w:i/>
          <w:iCs/>
          <w:lang w:val="es-PE"/>
        </w:rPr>
        <w:t>anupālana</w:t>
      </w:r>
      <w:proofErr w:type="spellEnd"/>
      <w:r w:rsidRPr="00DC1A5F">
        <w:rPr>
          <w:lang w:val="es-PE"/>
        </w:rPr>
        <w:t>— mantenimiento, conservación</w:t>
      </w:r>
    </w:p>
    <w:p w14:paraId="706DB6FF" w14:textId="77777777" w:rsidR="00597DE2" w:rsidRPr="00DC1A5F" w:rsidRDefault="00597DE2" w:rsidP="00597DE2">
      <w:pPr>
        <w:pStyle w:val="ParrafoGlosario"/>
        <w:rPr>
          <w:lang w:val="es-PE"/>
        </w:rPr>
      </w:pPr>
      <w:proofErr w:type="spellStart"/>
      <w:r w:rsidRPr="00DC1A5F">
        <w:rPr>
          <w:i/>
          <w:iCs/>
          <w:lang w:val="es-PE"/>
        </w:rPr>
        <w:t>anusaya</w:t>
      </w:r>
      <w:proofErr w:type="spellEnd"/>
      <w:r w:rsidRPr="00DC1A5F">
        <w:rPr>
          <w:lang w:val="es-PE"/>
        </w:rPr>
        <w:t>— tendencia subyacente (inherente) (el 7)</w:t>
      </w:r>
    </w:p>
    <w:p w14:paraId="3C124973" w14:textId="77777777" w:rsidR="00597DE2" w:rsidRPr="00DC1A5F" w:rsidRDefault="00597DE2" w:rsidP="00597DE2">
      <w:pPr>
        <w:pStyle w:val="ParrafoGlosario"/>
        <w:rPr>
          <w:lang w:val="es-PE"/>
        </w:rPr>
      </w:pPr>
      <w:proofErr w:type="spellStart"/>
      <w:r w:rsidRPr="00DC1A5F">
        <w:rPr>
          <w:i/>
          <w:iCs/>
          <w:lang w:val="es-PE"/>
        </w:rPr>
        <w:t>anussati</w:t>
      </w:r>
      <w:proofErr w:type="spellEnd"/>
      <w:r w:rsidRPr="00DC1A5F">
        <w:rPr>
          <w:lang w:val="es-PE"/>
        </w:rPr>
        <w:t>— evocación (las 10 e.)</w:t>
      </w:r>
    </w:p>
    <w:p w14:paraId="2498A183" w14:textId="77777777" w:rsidR="00597DE2" w:rsidRPr="00DC1A5F" w:rsidRDefault="00597DE2" w:rsidP="00597DE2">
      <w:pPr>
        <w:pStyle w:val="ParrafoGlosario"/>
        <w:rPr>
          <w:lang w:val="es-PE"/>
        </w:rPr>
      </w:pPr>
      <w:proofErr w:type="spellStart"/>
      <w:r w:rsidRPr="00DC1A5F">
        <w:rPr>
          <w:i/>
          <w:iCs/>
          <w:lang w:val="es-PE"/>
        </w:rPr>
        <w:t>anutthunana</w:t>
      </w:r>
      <w:proofErr w:type="spellEnd"/>
      <w:r w:rsidRPr="00DC1A5F">
        <w:rPr>
          <w:lang w:val="es-PE"/>
        </w:rPr>
        <w:t>*— siniestro, amenazador, perturbador: XVI.59</w:t>
      </w:r>
    </w:p>
    <w:p w14:paraId="0E78E52D" w14:textId="77777777" w:rsidR="00597DE2" w:rsidRPr="00DC1A5F" w:rsidRDefault="00597DE2" w:rsidP="00597DE2">
      <w:pPr>
        <w:pStyle w:val="ParrafoGlosario"/>
        <w:rPr>
          <w:lang w:val="es-PE"/>
        </w:rPr>
      </w:pPr>
      <w:proofErr w:type="spellStart"/>
      <w:r w:rsidRPr="00DC1A5F">
        <w:rPr>
          <w:i/>
          <w:iCs/>
          <w:lang w:val="es-PE"/>
        </w:rPr>
        <w:t>anuvattāpana</w:t>
      </w:r>
      <w:proofErr w:type="spellEnd"/>
      <w:r w:rsidRPr="00DC1A5F">
        <w:rPr>
          <w:lang w:val="es-PE"/>
        </w:rPr>
        <w:t xml:space="preserve">*— causar una ocurrencia paralela a: XVI.10 (cf. </w:t>
      </w:r>
      <w:proofErr w:type="spellStart"/>
      <w:r w:rsidRPr="00DC1A5F">
        <w:rPr>
          <w:lang w:val="es-PE"/>
        </w:rPr>
        <w:t>Dhs</w:t>
      </w:r>
      <w:proofErr w:type="spellEnd"/>
      <w:r w:rsidRPr="00DC1A5F">
        <w:rPr>
          <w:lang w:val="es-PE"/>
        </w:rPr>
        <w:t xml:space="preserve"> p.5)</w:t>
      </w:r>
    </w:p>
    <w:p w14:paraId="4EFCA6DE" w14:textId="77777777" w:rsidR="00597DE2" w:rsidRPr="00DC1A5F" w:rsidRDefault="00597DE2" w:rsidP="00597DE2">
      <w:pPr>
        <w:pStyle w:val="ParrafoGlosario"/>
        <w:rPr>
          <w:lang w:val="es-PE"/>
        </w:rPr>
      </w:pPr>
      <w:proofErr w:type="spellStart"/>
      <w:r w:rsidRPr="00DC1A5F">
        <w:rPr>
          <w:i/>
          <w:iCs/>
          <w:lang w:val="es-PE"/>
        </w:rPr>
        <w:t>anvaya</w:t>
      </w:r>
      <w:proofErr w:type="spellEnd"/>
      <w:r w:rsidRPr="00DC1A5F">
        <w:rPr>
          <w:i/>
          <w:iCs/>
          <w:lang w:val="es-PE"/>
        </w:rPr>
        <w:t>–ñāṇa</w:t>
      </w:r>
      <w:r w:rsidRPr="00DC1A5F">
        <w:rPr>
          <w:lang w:val="es-PE"/>
        </w:rPr>
        <w:t>— conocimiento inferencial</w:t>
      </w:r>
    </w:p>
    <w:p w14:paraId="4D9A8357" w14:textId="77777777" w:rsidR="00597DE2" w:rsidRPr="00DC1A5F" w:rsidRDefault="00597DE2" w:rsidP="00597DE2">
      <w:pPr>
        <w:pStyle w:val="ParrafoGlosario"/>
        <w:rPr>
          <w:lang w:val="es-PE"/>
        </w:rPr>
      </w:pPr>
      <w:proofErr w:type="spellStart"/>
      <w:r w:rsidRPr="00DC1A5F">
        <w:rPr>
          <w:i/>
          <w:iCs/>
          <w:lang w:val="es-PE"/>
        </w:rPr>
        <w:t>añcita</w:t>
      </w:r>
      <w:proofErr w:type="spellEnd"/>
      <w:r w:rsidRPr="00DC1A5F">
        <w:rPr>
          <w:i/>
          <w:iCs/>
          <w:lang w:val="es-PE"/>
        </w:rPr>
        <w:t>*</w:t>
      </w:r>
      <w:r w:rsidRPr="00DC1A5F">
        <w:rPr>
          <w:lang w:val="es-PE"/>
        </w:rPr>
        <w:t>— extendido/a: XX.112</w:t>
      </w:r>
    </w:p>
    <w:p w14:paraId="3BAD81A3" w14:textId="77777777" w:rsidR="00597DE2" w:rsidRPr="00DC1A5F" w:rsidRDefault="00597DE2" w:rsidP="00597DE2">
      <w:pPr>
        <w:pStyle w:val="ParrafoGlosario"/>
        <w:rPr>
          <w:lang w:val="es-PE"/>
        </w:rPr>
      </w:pPr>
      <w:proofErr w:type="spellStart"/>
      <w:r w:rsidRPr="00DC1A5F">
        <w:rPr>
          <w:i/>
          <w:iCs/>
          <w:lang w:val="es-PE"/>
        </w:rPr>
        <w:t>aññā</w:t>
      </w:r>
      <w:proofErr w:type="spellEnd"/>
      <w:r w:rsidRPr="00DC1A5F">
        <w:rPr>
          <w:lang w:val="es-PE"/>
        </w:rPr>
        <w:t xml:space="preserve">— conocimiento último (del </w:t>
      </w:r>
      <w:r w:rsidRPr="00DC1A5F">
        <w:rPr>
          <w:i/>
          <w:iCs/>
          <w:lang w:val="es-PE"/>
        </w:rPr>
        <w:t>Arahant</w:t>
      </w:r>
      <w:r w:rsidRPr="00DC1A5F">
        <w:rPr>
          <w:lang w:val="es-PE"/>
        </w:rPr>
        <w:t>)</w:t>
      </w:r>
    </w:p>
    <w:p w14:paraId="0A532CAD" w14:textId="77777777" w:rsidR="00597DE2" w:rsidRPr="00DC1A5F" w:rsidRDefault="00597DE2" w:rsidP="00597DE2">
      <w:pPr>
        <w:pStyle w:val="ParrafoGlosario"/>
        <w:rPr>
          <w:lang w:val="es-PE"/>
        </w:rPr>
      </w:pPr>
      <w:proofErr w:type="spellStart"/>
      <w:r w:rsidRPr="00DC1A5F">
        <w:rPr>
          <w:i/>
          <w:iCs/>
          <w:lang w:val="es-PE"/>
        </w:rPr>
        <w:t>aññāti</w:t>
      </w:r>
      <w:proofErr w:type="spellEnd"/>
      <w:r w:rsidRPr="00DC1A5F">
        <w:rPr>
          <w:lang w:val="es-PE"/>
        </w:rPr>
        <w:t xml:space="preserve">*— conocer (= </w:t>
      </w:r>
      <w:proofErr w:type="spellStart"/>
      <w:r w:rsidRPr="00DC1A5F">
        <w:rPr>
          <w:i/>
          <w:iCs/>
          <w:lang w:val="es-PE"/>
        </w:rPr>
        <w:t>ājānāti</w:t>
      </w:r>
      <w:proofErr w:type="spellEnd"/>
      <w:r w:rsidRPr="00DC1A5F">
        <w:rPr>
          <w:lang w:val="es-PE"/>
        </w:rPr>
        <w:t>): VII.22 (</w:t>
      </w:r>
      <w:proofErr w:type="spellStart"/>
      <w:r w:rsidRPr="00DC1A5F">
        <w:rPr>
          <w:lang w:val="es-PE"/>
        </w:rPr>
        <w:t>Paṭis</w:t>
      </w:r>
      <w:proofErr w:type="spellEnd"/>
      <w:r w:rsidRPr="00DC1A5F">
        <w:rPr>
          <w:lang w:val="es-PE"/>
        </w:rPr>
        <w:t xml:space="preserve"> I 122)</w:t>
      </w:r>
    </w:p>
    <w:p w14:paraId="33E58FE3" w14:textId="77777777" w:rsidR="00597DE2" w:rsidRPr="00DC1A5F" w:rsidRDefault="00597DE2" w:rsidP="00597DE2">
      <w:pPr>
        <w:pStyle w:val="ParrafoGlosario"/>
        <w:rPr>
          <w:lang w:val="es-PE"/>
        </w:rPr>
      </w:pPr>
      <w:proofErr w:type="spellStart"/>
      <w:r w:rsidRPr="00DC1A5F">
        <w:rPr>
          <w:i/>
          <w:iCs/>
          <w:lang w:val="es-PE"/>
        </w:rPr>
        <w:t>āpadana</w:t>
      </w:r>
      <w:proofErr w:type="spellEnd"/>
      <w:r w:rsidRPr="00DC1A5F">
        <w:rPr>
          <w:lang w:val="es-PE"/>
        </w:rPr>
        <w:t>*— producción: II.21</w:t>
      </w:r>
    </w:p>
    <w:p w14:paraId="08CDC34C" w14:textId="77777777" w:rsidR="00597DE2" w:rsidRPr="00DC1A5F" w:rsidRDefault="00597DE2" w:rsidP="00597DE2">
      <w:pPr>
        <w:pStyle w:val="ParrafoGlosario"/>
        <w:rPr>
          <w:lang w:val="es-PE"/>
        </w:rPr>
      </w:pPr>
      <w:proofErr w:type="spellStart"/>
      <w:r w:rsidRPr="00DC1A5F">
        <w:rPr>
          <w:i/>
          <w:iCs/>
          <w:lang w:val="es-PE"/>
        </w:rPr>
        <w:t>āpajjana</w:t>
      </w:r>
      <w:proofErr w:type="spellEnd"/>
      <w:r w:rsidRPr="00DC1A5F">
        <w:rPr>
          <w:lang w:val="es-PE"/>
        </w:rPr>
        <w:t>*— consecuencia lógica: I.n.19; XV.68</w:t>
      </w:r>
    </w:p>
    <w:p w14:paraId="58C9E731" w14:textId="77777777" w:rsidR="00597DE2" w:rsidRPr="00DC1A5F" w:rsidRDefault="00597DE2" w:rsidP="00597DE2">
      <w:pPr>
        <w:pStyle w:val="ParrafoGlosario"/>
        <w:rPr>
          <w:lang w:val="es-PE"/>
        </w:rPr>
      </w:pPr>
      <w:proofErr w:type="spellStart"/>
      <w:r w:rsidRPr="00DC1A5F">
        <w:rPr>
          <w:i/>
          <w:iCs/>
          <w:lang w:val="es-PE"/>
        </w:rPr>
        <w:t>āpajjati</w:t>
      </w:r>
      <w:proofErr w:type="spellEnd"/>
      <w:r w:rsidRPr="00DC1A5F">
        <w:rPr>
          <w:lang w:val="es-PE"/>
        </w:rPr>
        <w:t xml:space="preserve">*— </w:t>
      </w:r>
      <w:r w:rsidRPr="00DC1A5F">
        <w:rPr>
          <w:i/>
          <w:iCs/>
          <w:lang w:val="es-PE"/>
        </w:rPr>
        <w:t>también</w:t>
      </w:r>
      <w:r w:rsidRPr="00DC1A5F">
        <w:rPr>
          <w:lang w:val="es-PE"/>
        </w:rPr>
        <w:t xml:space="preserve"> seguir lógicamente: II.79; XVI.68f.</w:t>
      </w:r>
    </w:p>
    <w:p w14:paraId="54B71F90" w14:textId="77777777" w:rsidR="00597DE2" w:rsidRPr="00DC1A5F" w:rsidRDefault="00597DE2" w:rsidP="00597DE2">
      <w:pPr>
        <w:pStyle w:val="ParrafoGlosario"/>
        <w:rPr>
          <w:lang w:val="es-PE"/>
        </w:rPr>
      </w:pPr>
      <w:proofErr w:type="spellStart"/>
      <w:r w:rsidRPr="00DC1A5F">
        <w:rPr>
          <w:i/>
          <w:iCs/>
          <w:lang w:val="es-PE"/>
        </w:rPr>
        <w:t>aparisaṇṭhita</w:t>
      </w:r>
      <w:proofErr w:type="spellEnd"/>
      <w:r w:rsidRPr="00DC1A5F">
        <w:rPr>
          <w:lang w:val="es-PE"/>
        </w:rPr>
        <w:t>*— turbulento: VI.86</w:t>
      </w:r>
    </w:p>
    <w:p w14:paraId="1042AC36" w14:textId="77777777" w:rsidR="00597DE2" w:rsidRPr="00DC1A5F" w:rsidRDefault="00597DE2" w:rsidP="00597DE2">
      <w:pPr>
        <w:pStyle w:val="ParrafoGlosario"/>
        <w:rPr>
          <w:lang w:val="es-PE"/>
        </w:rPr>
      </w:pPr>
      <w:proofErr w:type="spellStart"/>
      <w:r w:rsidRPr="00DC1A5F">
        <w:rPr>
          <w:i/>
          <w:iCs/>
          <w:lang w:val="es-PE"/>
        </w:rPr>
        <w:t>apariyāpanna</w:t>
      </w:r>
      <w:proofErr w:type="spellEnd"/>
      <w:r w:rsidRPr="00DC1A5F">
        <w:rPr>
          <w:lang w:val="es-PE"/>
        </w:rPr>
        <w:t>— no incluido (de estados supramundanos)</w:t>
      </w:r>
    </w:p>
    <w:p w14:paraId="68D53F60" w14:textId="77777777" w:rsidR="00597DE2" w:rsidRPr="00DC1A5F" w:rsidRDefault="00597DE2" w:rsidP="00597DE2">
      <w:pPr>
        <w:pStyle w:val="ParrafoGlosario"/>
        <w:rPr>
          <w:lang w:val="es-PE"/>
        </w:rPr>
      </w:pPr>
      <w:proofErr w:type="spellStart"/>
      <w:r w:rsidRPr="00DC1A5F">
        <w:rPr>
          <w:i/>
          <w:iCs/>
          <w:lang w:val="es-PE"/>
        </w:rPr>
        <w:t>apatti</w:t>
      </w:r>
      <w:proofErr w:type="spellEnd"/>
      <w:r w:rsidRPr="00DC1A5F">
        <w:rPr>
          <w:lang w:val="es-PE"/>
        </w:rPr>
        <w:t>— ofensa</w:t>
      </w:r>
    </w:p>
    <w:p w14:paraId="57ED22B6" w14:textId="77777777" w:rsidR="00597DE2" w:rsidRPr="00DC1A5F" w:rsidRDefault="00597DE2" w:rsidP="00597DE2">
      <w:pPr>
        <w:pStyle w:val="ParrafoGlosario"/>
        <w:rPr>
          <w:lang w:val="es-PE"/>
        </w:rPr>
      </w:pPr>
      <w:proofErr w:type="spellStart"/>
      <w:r w:rsidRPr="00DC1A5F">
        <w:rPr>
          <w:i/>
          <w:iCs/>
          <w:lang w:val="es-PE"/>
        </w:rPr>
        <w:t>āpatti</w:t>
      </w:r>
      <w:proofErr w:type="spellEnd"/>
      <w:r w:rsidRPr="00DC1A5F">
        <w:rPr>
          <w:lang w:val="es-PE"/>
        </w:rPr>
        <w:t xml:space="preserve">*— </w:t>
      </w:r>
      <w:r w:rsidRPr="00DC1A5F">
        <w:rPr>
          <w:i/>
          <w:iCs/>
          <w:lang w:val="es-PE"/>
        </w:rPr>
        <w:t>también</w:t>
      </w:r>
      <w:r w:rsidRPr="00DC1A5F">
        <w:rPr>
          <w:lang w:val="es-PE"/>
        </w:rPr>
        <w:t xml:space="preserve"> consecuente lógico: XVI.72; XIX.3</w:t>
      </w:r>
    </w:p>
    <w:p w14:paraId="3F597BFB" w14:textId="77777777" w:rsidR="00597DE2" w:rsidRPr="00DC1A5F" w:rsidRDefault="00597DE2" w:rsidP="00597DE2">
      <w:pPr>
        <w:pStyle w:val="ParrafoGlosario"/>
        <w:rPr>
          <w:lang w:val="es-PE"/>
        </w:rPr>
      </w:pPr>
      <w:proofErr w:type="spellStart"/>
      <w:r w:rsidRPr="00DC1A5F">
        <w:rPr>
          <w:i/>
          <w:iCs/>
          <w:lang w:val="es-PE"/>
        </w:rPr>
        <w:t>apavārita</w:t>
      </w:r>
      <w:proofErr w:type="spellEnd"/>
      <w:r w:rsidRPr="00DC1A5F">
        <w:rPr>
          <w:lang w:val="es-PE"/>
        </w:rPr>
        <w:t>*— abierto: VI.4</w:t>
      </w:r>
    </w:p>
    <w:p w14:paraId="66F61A2F" w14:textId="77777777" w:rsidR="00597DE2" w:rsidRPr="00DC1A5F" w:rsidRDefault="00597DE2" w:rsidP="00597DE2">
      <w:pPr>
        <w:pStyle w:val="ParrafoGlosario"/>
        <w:rPr>
          <w:lang w:val="es-PE"/>
        </w:rPr>
      </w:pPr>
      <w:proofErr w:type="spellStart"/>
      <w:r w:rsidRPr="00DC1A5F">
        <w:rPr>
          <w:i/>
          <w:iCs/>
          <w:lang w:val="es-PE"/>
        </w:rPr>
        <w:t>apāya</w:t>
      </w:r>
      <w:proofErr w:type="spellEnd"/>
      <w:r w:rsidRPr="00DC1A5F">
        <w:rPr>
          <w:lang w:val="es-PE"/>
        </w:rPr>
        <w:t>— estado de perdición</w:t>
      </w:r>
    </w:p>
    <w:p w14:paraId="0A575A4A" w14:textId="77777777" w:rsidR="00597DE2" w:rsidRPr="00DC1A5F" w:rsidRDefault="00597DE2" w:rsidP="00597DE2">
      <w:pPr>
        <w:pStyle w:val="ParrafoGlosario"/>
        <w:rPr>
          <w:lang w:val="es-PE"/>
        </w:rPr>
      </w:pPr>
      <w:proofErr w:type="spellStart"/>
      <w:r w:rsidRPr="00DC1A5F">
        <w:rPr>
          <w:i/>
          <w:iCs/>
          <w:lang w:val="es-PE"/>
        </w:rPr>
        <w:t>āpo</w:t>
      </w:r>
      <w:proofErr w:type="spellEnd"/>
      <w:r w:rsidRPr="00DC1A5F">
        <w:rPr>
          <w:lang w:val="es-PE"/>
        </w:rPr>
        <w:t>*— agua</w:t>
      </w:r>
    </w:p>
    <w:p w14:paraId="542F7ADC" w14:textId="77777777" w:rsidR="00597DE2" w:rsidRPr="00DC1A5F" w:rsidRDefault="00597DE2" w:rsidP="00597DE2">
      <w:pPr>
        <w:pStyle w:val="ParrafoGlosario"/>
        <w:rPr>
          <w:lang w:val="es-PE"/>
        </w:rPr>
      </w:pPr>
      <w:proofErr w:type="spellStart"/>
      <w:r w:rsidRPr="00DC1A5F">
        <w:rPr>
          <w:i/>
          <w:iCs/>
          <w:lang w:val="es-PE"/>
        </w:rPr>
        <w:t>appamāṇa</w:t>
      </w:r>
      <w:proofErr w:type="spellEnd"/>
      <w:r w:rsidRPr="00DC1A5F">
        <w:rPr>
          <w:lang w:val="es-PE"/>
        </w:rPr>
        <w:t>— inmensurable</w:t>
      </w:r>
    </w:p>
    <w:p w14:paraId="3C8929AE" w14:textId="77777777" w:rsidR="00597DE2" w:rsidRPr="00DC1A5F" w:rsidRDefault="00597DE2" w:rsidP="00597DE2">
      <w:pPr>
        <w:pStyle w:val="ParrafoGlosario"/>
        <w:rPr>
          <w:lang w:val="es-PE"/>
        </w:rPr>
      </w:pPr>
      <w:proofErr w:type="spellStart"/>
      <w:r w:rsidRPr="00DC1A5F">
        <w:rPr>
          <w:i/>
          <w:iCs/>
          <w:lang w:val="es-PE"/>
        </w:rPr>
        <w:t>appamaññā</w:t>
      </w:r>
      <w:proofErr w:type="spellEnd"/>
      <w:r w:rsidRPr="00DC1A5F">
        <w:rPr>
          <w:lang w:val="es-PE"/>
        </w:rPr>
        <w:t xml:space="preserve">— estado </w:t>
      </w:r>
      <w:proofErr w:type="spellStart"/>
      <w:r w:rsidRPr="00DC1A5F">
        <w:rPr>
          <w:lang w:val="es-PE"/>
        </w:rPr>
        <w:t>inmesurable</w:t>
      </w:r>
      <w:proofErr w:type="spellEnd"/>
      <w:r w:rsidRPr="00DC1A5F">
        <w:rPr>
          <w:lang w:val="es-PE"/>
        </w:rPr>
        <w:t xml:space="preserve"> (= plano/esfera divina/o)</w:t>
      </w:r>
    </w:p>
    <w:p w14:paraId="7510D74B" w14:textId="77777777" w:rsidR="00597DE2" w:rsidRPr="00DC1A5F" w:rsidRDefault="00597DE2" w:rsidP="00597DE2">
      <w:pPr>
        <w:pStyle w:val="ParrafoGlosario"/>
        <w:rPr>
          <w:lang w:val="es-PE"/>
        </w:rPr>
      </w:pPr>
      <w:proofErr w:type="spellStart"/>
      <w:r w:rsidRPr="00DC1A5F">
        <w:rPr>
          <w:i/>
          <w:iCs/>
          <w:lang w:val="es-PE"/>
        </w:rPr>
        <w:t>appana</w:t>
      </w:r>
      <w:proofErr w:type="spellEnd"/>
      <w:r w:rsidRPr="00DC1A5F">
        <w:rPr>
          <w:lang w:val="es-PE"/>
        </w:rPr>
        <w:t>— absorción</w:t>
      </w:r>
    </w:p>
    <w:p w14:paraId="22204558" w14:textId="77777777" w:rsidR="00597DE2" w:rsidRPr="00DC1A5F" w:rsidRDefault="00597DE2" w:rsidP="00597DE2">
      <w:pPr>
        <w:pStyle w:val="ParrafoGlosario"/>
        <w:rPr>
          <w:lang w:val="es-PE"/>
        </w:rPr>
      </w:pPr>
      <w:proofErr w:type="spellStart"/>
      <w:r w:rsidRPr="00DC1A5F">
        <w:rPr>
          <w:i/>
          <w:iCs/>
          <w:lang w:val="es-PE"/>
        </w:rPr>
        <w:t>appaṇihita</w:t>
      </w:r>
      <w:proofErr w:type="spellEnd"/>
      <w:r w:rsidRPr="00DC1A5F">
        <w:rPr>
          <w:lang w:val="es-PE"/>
        </w:rPr>
        <w:t>— sin deseos</w:t>
      </w:r>
    </w:p>
    <w:p w14:paraId="4B11066D" w14:textId="77777777" w:rsidR="00597DE2" w:rsidRPr="00DC1A5F" w:rsidRDefault="00597DE2" w:rsidP="00597DE2">
      <w:pPr>
        <w:pStyle w:val="ParrafoGlosario"/>
        <w:rPr>
          <w:lang w:val="es-PE"/>
        </w:rPr>
      </w:pPr>
      <w:proofErr w:type="spellStart"/>
      <w:r w:rsidRPr="00DC1A5F">
        <w:rPr>
          <w:i/>
          <w:iCs/>
          <w:lang w:val="es-PE"/>
        </w:rPr>
        <w:t>appāyati</w:t>
      </w:r>
      <w:proofErr w:type="spellEnd"/>
      <w:r w:rsidRPr="00DC1A5F">
        <w:rPr>
          <w:lang w:val="es-PE"/>
        </w:rPr>
        <w:t>*— satisfacer: XI.87</w:t>
      </w:r>
    </w:p>
    <w:p w14:paraId="67306C0C" w14:textId="77777777" w:rsidR="00597DE2" w:rsidRPr="00DC1A5F" w:rsidRDefault="00597DE2" w:rsidP="00597DE2">
      <w:pPr>
        <w:pStyle w:val="ParrafoGlosario"/>
        <w:rPr>
          <w:lang w:val="es-PE"/>
        </w:rPr>
      </w:pPr>
      <w:proofErr w:type="spellStart"/>
      <w:r w:rsidRPr="00DC1A5F">
        <w:rPr>
          <w:i/>
          <w:iCs/>
          <w:lang w:val="es-PE"/>
        </w:rPr>
        <w:t>appicchatā</w:t>
      </w:r>
      <w:proofErr w:type="spellEnd"/>
      <w:r w:rsidRPr="00DC1A5F">
        <w:rPr>
          <w:lang w:val="es-PE"/>
        </w:rPr>
        <w:t xml:space="preserve"> – escasez de deseos</w:t>
      </w:r>
    </w:p>
    <w:p w14:paraId="47ADEA24" w14:textId="77777777" w:rsidR="00597DE2" w:rsidRPr="00DC1A5F" w:rsidRDefault="00597DE2" w:rsidP="00597DE2">
      <w:pPr>
        <w:pStyle w:val="ParrafoGlosario"/>
        <w:rPr>
          <w:lang w:val="es-PE"/>
        </w:rPr>
      </w:pPr>
      <w:proofErr w:type="spellStart"/>
      <w:r w:rsidRPr="00DC1A5F">
        <w:rPr>
          <w:i/>
          <w:iCs/>
          <w:lang w:val="es-PE"/>
        </w:rPr>
        <w:t>appita</w:t>
      </w:r>
      <w:proofErr w:type="spellEnd"/>
      <w:r w:rsidRPr="00DC1A5F">
        <w:rPr>
          <w:lang w:val="es-PE"/>
        </w:rPr>
        <w:t>*— suprimido, eliminado: IV.146 (</w:t>
      </w:r>
      <w:proofErr w:type="spellStart"/>
      <w:r w:rsidRPr="00DC1A5F">
        <w:rPr>
          <w:lang w:val="es-PE"/>
        </w:rPr>
        <w:t>Vibh</w:t>
      </w:r>
      <w:proofErr w:type="spellEnd"/>
      <w:r w:rsidRPr="00DC1A5F">
        <w:rPr>
          <w:lang w:val="es-PE"/>
        </w:rPr>
        <w:t xml:space="preserve"> 258)</w:t>
      </w:r>
    </w:p>
    <w:p w14:paraId="75FC427D" w14:textId="77777777" w:rsidR="00597DE2" w:rsidRDefault="00597DE2" w:rsidP="00597DE2">
      <w:pPr>
        <w:pStyle w:val="ParrafoGlosario"/>
        <w:rPr>
          <w:lang w:val="es-PE"/>
        </w:rPr>
      </w:pPr>
      <w:r w:rsidRPr="00DC1A5F">
        <w:rPr>
          <w:i/>
          <w:iCs/>
          <w:lang w:val="es-PE"/>
        </w:rPr>
        <w:t>arahant</w:t>
      </w:r>
      <w:r w:rsidRPr="00DC1A5F">
        <w:rPr>
          <w:lang w:val="es-PE"/>
        </w:rPr>
        <w:t xml:space="preserve">— </w:t>
      </w:r>
      <w:r w:rsidRPr="00DC1A5F">
        <w:rPr>
          <w:i/>
          <w:iCs/>
          <w:lang w:val="es-PE"/>
        </w:rPr>
        <w:t>arahant</w:t>
      </w:r>
      <w:r w:rsidRPr="00DC1A5F">
        <w:rPr>
          <w:lang w:val="es-PE"/>
        </w:rPr>
        <w:t xml:space="preserve"> (cuarta y última etapa de la iluminación)</w:t>
      </w:r>
      <w:r>
        <w:rPr>
          <w:lang w:val="es-PE"/>
        </w:rPr>
        <w:br w:type="page"/>
      </w:r>
    </w:p>
    <w:p w14:paraId="698FA653" w14:textId="77777777" w:rsidR="00597DE2" w:rsidRPr="00DC1A5F" w:rsidRDefault="00597DE2" w:rsidP="00597DE2">
      <w:pPr>
        <w:pStyle w:val="ParrafoGlosario"/>
        <w:rPr>
          <w:lang w:val="es-PE"/>
        </w:rPr>
      </w:pPr>
    </w:p>
    <w:p w14:paraId="46ECB42A" w14:textId="77777777" w:rsidR="00597DE2" w:rsidRPr="00DC1A5F" w:rsidRDefault="00597DE2" w:rsidP="00597DE2">
      <w:pPr>
        <w:pStyle w:val="ParrafoGlosario"/>
        <w:rPr>
          <w:lang w:val="es-PE"/>
        </w:rPr>
      </w:pPr>
      <w:proofErr w:type="spellStart"/>
      <w:r w:rsidRPr="00DC1A5F">
        <w:rPr>
          <w:i/>
          <w:iCs/>
          <w:lang w:val="es-PE"/>
        </w:rPr>
        <w:t>ārammaṇa</w:t>
      </w:r>
      <w:proofErr w:type="spellEnd"/>
      <w:r w:rsidRPr="00DC1A5F">
        <w:rPr>
          <w:lang w:val="es-PE"/>
        </w:rPr>
        <w:t>— objeto (de la consciencia o sus concomitantes), soporte</w:t>
      </w:r>
    </w:p>
    <w:p w14:paraId="01C88C53" w14:textId="77777777" w:rsidR="00597DE2" w:rsidRPr="00DC1A5F" w:rsidRDefault="00597DE2" w:rsidP="00597DE2">
      <w:pPr>
        <w:pStyle w:val="ParrafoGlosario"/>
        <w:rPr>
          <w:lang w:val="es-PE"/>
        </w:rPr>
      </w:pPr>
      <w:proofErr w:type="spellStart"/>
      <w:r w:rsidRPr="00DC1A5F">
        <w:rPr>
          <w:i/>
          <w:iCs/>
          <w:lang w:val="es-PE"/>
        </w:rPr>
        <w:t>arati</w:t>
      </w:r>
      <w:proofErr w:type="spellEnd"/>
      <w:r w:rsidRPr="00DC1A5F">
        <w:rPr>
          <w:lang w:val="es-PE"/>
        </w:rPr>
        <w:t xml:space="preserve">— aversión, tedio </w:t>
      </w:r>
    </w:p>
    <w:p w14:paraId="05BBF032" w14:textId="77777777" w:rsidR="00597DE2" w:rsidRPr="00DC1A5F" w:rsidRDefault="00597DE2" w:rsidP="00597DE2">
      <w:pPr>
        <w:pStyle w:val="ParrafoGlosario"/>
        <w:rPr>
          <w:lang w:val="es-PE"/>
        </w:rPr>
      </w:pPr>
      <w:proofErr w:type="spellStart"/>
      <w:r w:rsidRPr="00DC1A5F">
        <w:rPr>
          <w:i/>
          <w:iCs/>
          <w:lang w:val="es-PE"/>
        </w:rPr>
        <w:t>ariṭṭhaka</w:t>
      </w:r>
      <w:proofErr w:type="spellEnd"/>
      <w:r w:rsidRPr="00DC1A5F">
        <w:rPr>
          <w:lang w:val="es-PE"/>
        </w:rPr>
        <w:t>*— especie de planta espinosa: VIII.83</w:t>
      </w:r>
    </w:p>
    <w:p w14:paraId="15FA6FCE" w14:textId="77777777" w:rsidR="00597DE2" w:rsidRPr="00DC1A5F" w:rsidRDefault="00597DE2" w:rsidP="00597DE2">
      <w:pPr>
        <w:pStyle w:val="ParrafoGlosario"/>
        <w:rPr>
          <w:lang w:val="es-PE"/>
        </w:rPr>
      </w:pPr>
      <w:proofErr w:type="spellStart"/>
      <w:r w:rsidRPr="00DC1A5F">
        <w:rPr>
          <w:i/>
          <w:iCs/>
          <w:lang w:val="es-PE"/>
        </w:rPr>
        <w:t>ariya</w:t>
      </w:r>
      <w:proofErr w:type="spellEnd"/>
      <w:r w:rsidRPr="00DC1A5F">
        <w:rPr>
          <w:lang w:val="es-PE"/>
        </w:rPr>
        <w:t xml:space="preserve">— noble, alguien noble (es decir, alguien que haya consumado algún </w:t>
      </w:r>
      <w:r w:rsidRPr="00DC1A5F">
        <w:rPr>
          <w:i/>
          <w:iCs/>
          <w:lang w:val="es-PE"/>
        </w:rPr>
        <w:t>sendero</w:t>
      </w:r>
      <w:r w:rsidRPr="00DC1A5F">
        <w:rPr>
          <w:lang w:val="es-PE"/>
        </w:rPr>
        <w:t>)</w:t>
      </w:r>
    </w:p>
    <w:p w14:paraId="43A000CD" w14:textId="77777777" w:rsidR="00597DE2" w:rsidRPr="00DC1A5F" w:rsidRDefault="00597DE2" w:rsidP="00597DE2">
      <w:pPr>
        <w:pStyle w:val="ParrafoGlosario"/>
        <w:rPr>
          <w:lang w:val="es-PE"/>
        </w:rPr>
      </w:pPr>
      <w:proofErr w:type="spellStart"/>
      <w:r w:rsidRPr="00DC1A5F">
        <w:rPr>
          <w:i/>
          <w:iCs/>
          <w:lang w:val="es-PE"/>
        </w:rPr>
        <w:t>ariyati</w:t>
      </w:r>
      <w:proofErr w:type="spellEnd"/>
      <w:r w:rsidRPr="00DC1A5F">
        <w:rPr>
          <w:i/>
          <w:iCs/>
          <w:lang w:val="es-PE"/>
        </w:rPr>
        <w:t>*</w:t>
      </w:r>
      <w:r w:rsidRPr="00DC1A5F">
        <w:rPr>
          <w:lang w:val="es-PE"/>
        </w:rPr>
        <w:t>— ser servido (CPD muestra “aproximarse”): XIV.22</w:t>
      </w:r>
    </w:p>
    <w:p w14:paraId="6C4B944B" w14:textId="77777777" w:rsidR="00597DE2" w:rsidRPr="00DC1A5F" w:rsidRDefault="00597DE2" w:rsidP="00597DE2">
      <w:pPr>
        <w:pStyle w:val="ParrafoGlosario"/>
        <w:rPr>
          <w:lang w:val="es-PE"/>
        </w:rPr>
      </w:pPr>
      <w:proofErr w:type="spellStart"/>
      <w:r w:rsidRPr="00DC1A5F">
        <w:rPr>
          <w:i/>
          <w:iCs/>
          <w:lang w:val="es-PE"/>
        </w:rPr>
        <w:t>āropeti</w:t>
      </w:r>
      <w:proofErr w:type="spellEnd"/>
      <w:r w:rsidRPr="00DC1A5F">
        <w:rPr>
          <w:lang w:val="es-PE"/>
        </w:rPr>
        <w:t xml:space="preserve">— </w:t>
      </w:r>
      <w:r w:rsidRPr="00DC1A5F">
        <w:rPr>
          <w:i/>
          <w:iCs/>
          <w:lang w:val="es-PE"/>
        </w:rPr>
        <w:t>también</w:t>
      </w:r>
      <w:r w:rsidRPr="00DC1A5F">
        <w:rPr>
          <w:lang w:val="es-PE"/>
        </w:rPr>
        <w:t xml:space="preserve"> atribuir a: XX.47</w:t>
      </w:r>
    </w:p>
    <w:p w14:paraId="2A850545" w14:textId="77777777" w:rsidR="00597DE2" w:rsidRPr="00DC1A5F" w:rsidRDefault="00597DE2" w:rsidP="00597DE2">
      <w:pPr>
        <w:pStyle w:val="ParrafoGlosario"/>
        <w:rPr>
          <w:lang w:val="es-PE"/>
        </w:rPr>
      </w:pPr>
      <w:r w:rsidRPr="00DC1A5F">
        <w:rPr>
          <w:i/>
          <w:iCs/>
          <w:lang w:val="es-PE"/>
        </w:rPr>
        <w:t>arūpa</w:t>
      </w:r>
      <w:r w:rsidRPr="00DC1A5F">
        <w:rPr>
          <w:lang w:val="es-PE"/>
        </w:rPr>
        <w:t>— inmaterial</w:t>
      </w:r>
    </w:p>
    <w:p w14:paraId="4C280401" w14:textId="77777777" w:rsidR="00597DE2" w:rsidRPr="00DC1A5F" w:rsidRDefault="00597DE2" w:rsidP="00597DE2">
      <w:pPr>
        <w:pStyle w:val="ParrafoGlosario"/>
        <w:rPr>
          <w:lang w:val="es-PE"/>
        </w:rPr>
      </w:pPr>
      <w:proofErr w:type="spellStart"/>
      <w:r w:rsidRPr="00DC1A5F">
        <w:rPr>
          <w:i/>
          <w:iCs/>
          <w:lang w:val="es-PE"/>
        </w:rPr>
        <w:t>āruppa</w:t>
      </w:r>
      <w:proofErr w:type="spellEnd"/>
      <w:r w:rsidRPr="00DC1A5F">
        <w:rPr>
          <w:lang w:val="es-PE"/>
        </w:rPr>
        <w:t>— estado inmaterial (el 4</w:t>
      </w:r>
      <w:r w:rsidRPr="00DC1A5F">
        <w:rPr>
          <w:vertAlign w:val="superscript"/>
          <w:lang w:val="es-PE"/>
        </w:rPr>
        <w:t>to</w:t>
      </w:r>
      <w:r w:rsidRPr="00DC1A5F">
        <w:rPr>
          <w:lang w:val="es-PE"/>
        </w:rPr>
        <w:t>)</w:t>
      </w:r>
    </w:p>
    <w:p w14:paraId="362E6F55" w14:textId="77777777" w:rsidR="00597DE2" w:rsidRPr="00DC1A5F" w:rsidRDefault="00597DE2" w:rsidP="00597DE2">
      <w:pPr>
        <w:pStyle w:val="ParrafoGlosario"/>
        <w:rPr>
          <w:lang w:val="es-PE"/>
        </w:rPr>
      </w:pPr>
      <w:proofErr w:type="spellStart"/>
      <w:r w:rsidRPr="00DC1A5F">
        <w:rPr>
          <w:i/>
          <w:iCs/>
          <w:lang w:val="es-PE"/>
        </w:rPr>
        <w:t>asammoha</w:t>
      </w:r>
      <w:proofErr w:type="spellEnd"/>
      <w:r w:rsidRPr="00DC1A5F">
        <w:rPr>
          <w:lang w:val="es-PE"/>
        </w:rPr>
        <w:t>: no</w:t>
      </w:r>
      <w:r w:rsidRPr="00DC1A5F">
        <w:rPr>
          <w:rFonts w:cs="Cormorant"/>
          <w:lang w:val="es-PE"/>
        </w:rPr>
        <w:t>‒</w:t>
      </w:r>
      <w:r w:rsidRPr="00DC1A5F">
        <w:rPr>
          <w:lang w:val="es-PE"/>
        </w:rPr>
        <w:t>confusión, no</w:t>
      </w:r>
      <w:r w:rsidRPr="00DC1A5F">
        <w:rPr>
          <w:rFonts w:cs="Cormorant"/>
          <w:lang w:val="es-PE"/>
        </w:rPr>
        <w:t>‒</w:t>
      </w:r>
      <w:r w:rsidRPr="00DC1A5F">
        <w:rPr>
          <w:lang w:val="es-PE"/>
        </w:rPr>
        <w:t>ilusión</w:t>
      </w:r>
    </w:p>
    <w:p w14:paraId="2E71E8F8" w14:textId="77777777" w:rsidR="00597DE2" w:rsidRPr="00DC1A5F" w:rsidRDefault="00597DE2" w:rsidP="00597DE2">
      <w:pPr>
        <w:pStyle w:val="ParrafoGlosario"/>
        <w:rPr>
          <w:lang w:val="es-PE"/>
        </w:rPr>
      </w:pPr>
      <w:proofErr w:type="spellStart"/>
      <w:r w:rsidRPr="00DC1A5F">
        <w:rPr>
          <w:i/>
          <w:iCs/>
          <w:lang w:val="es-PE"/>
        </w:rPr>
        <w:t>āsana</w:t>
      </w:r>
      <w:proofErr w:type="spellEnd"/>
      <w:r w:rsidRPr="00DC1A5F">
        <w:rPr>
          <w:lang w:val="es-PE"/>
        </w:rPr>
        <w:t xml:space="preserve">*— </w:t>
      </w:r>
      <w:r w:rsidRPr="00DC1A5F">
        <w:rPr>
          <w:i/>
          <w:iCs/>
          <w:lang w:val="es-PE"/>
        </w:rPr>
        <w:t>también</w:t>
      </w:r>
      <w:r w:rsidRPr="00DC1A5F">
        <w:rPr>
          <w:lang w:val="es-PE"/>
        </w:rPr>
        <w:t xml:space="preserve"> altar (de flores): V.15</w:t>
      </w:r>
    </w:p>
    <w:p w14:paraId="63034ACF" w14:textId="77777777" w:rsidR="00597DE2" w:rsidRPr="00DC1A5F" w:rsidRDefault="00597DE2" w:rsidP="00597DE2">
      <w:pPr>
        <w:pStyle w:val="ParrafoGlosario"/>
        <w:rPr>
          <w:lang w:val="es-PE"/>
        </w:rPr>
      </w:pPr>
      <w:proofErr w:type="spellStart"/>
      <w:r w:rsidRPr="00DC1A5F">
        <w:rPr>
          <w:i/>
          <w:iCs/>
          <w:lang w:val="es-PE"/>
        </w:rPr>
        <w:t>asaṅkhata</w:t>
      </w:r>
      <w:proofErr w:type="spellEnd"/>
      <w:r w:rsidRPr="00DC1A5F">
        <w:rPr>
          <w:lang w:val="es-PE"/>
        </w:rPr>
        <w:t>— sin forma, inmaterial</w:t>
      </w:r>
    </w:p>
    <w:p w14:paraId="1059C370" w14:textId="77777777" w:rsidR="00597DE2" w:rsidRPr="00DC1A5F" w:rsidRDefault="00597DE2" w:rsidP="00597DE2">
      <w:pPr>
        <w:pStyle w:val="ParrafoGlosario"/>
        <w:rPr>
          <w:lang w:val="es-PE"/>
        </w:rPr>
      </w:pPr>
      <w:proofErr w:type="spellStart"/>
      <w:r w:rsidRPr="00DC1A5F">
        <w:rPr>
          <w:i/>
          <w:iCs/>
          <w:lang w:val="es-PE"/>
        </w:rPr>
        <w:t>asaññin</w:t>
      </w:r>
      <w:proofErr w:type="spellEnd"/>
      <w:r w:rsidRPr="00DC1A5F">
        <w:rPr>
          <w:lang w:val="es-PE"/>
        </w:rPr>
        <w:t>— no</w:t>
      </w:r>
      <w:r w:rsidRPr="00DC1A5F">
        <w:rPr>
          <w:rFonts w:cs="Cormorant"/>
          <w:lang w:val="es-PE"/>
        </w:rPr>
        <w:t>‒</w:t>
      </w:r>
      <w:r w:rsidRPr="00DC1A5F">
        <w:rPr>
          <w:lang w:val="es-PE"/>
        </w:rPr>
        <w:t>percipiente</w:t>
      </w:r>
    </w:p>
    <w:p w14:paraId="5EAB6A2A" w14:textId="77777777" w:rsidR="00597DE2" w:rsidRPr="00DC1A5F" w:rsidRDefault="00597DE2" w:rsidP="00597DE2">
      <w:pPr>
        <w:pStyle w:val="ParrafoGlosario"/>
        <w:rPr>
          <w:lang w:val="es-PE"/>
        </w:rPr>
      </w:pPr>
      <w:proofErr w:type="spellStart"/>
      <w:r w:rsidRPr="00DC1A5F">
        <w:rPr>
          <w:i/>
          <w:iCs/>
          <w:lang w:val="es-PE"/>
        </w:rPr>
        <w:t>āsava</w:t>
      </w:r>
      <w:proofErr w:type="spellEnd"/>
      <w:r w:rsidRPr="00DC1A5F">
        <w:rPr>
          <w:lang w:val="es-PE"/>
        </w:rPr>
        <w:t>*— corrupción, cancro (la 4</w:t>
      </w:r>
      <w:r w:rsidRPr="00DC1A5F">
        <w:rPr>
          <w:vertAlign w:val="superscript"/>
          <w:lang w:val="es-PE"/>
        </w:rPr>
        <w:t>ta</w:t>
      </w:r>
      <w:r w:rsidRPr="00DC1A5F">
        <w:rPr>
          <w:lang w:val="es-PE"/>
        </w:rPr>
        <w:t>)</w:t>
      </w:r>
    </w:p>
    <w:p w14:paraId="7114BC39" w14:textId="77777777" w:rsidR="00597DE2" w:rsidRPr="00DC1A5F" w:rsidRDefault="00597DE2" w:rsidP="00597DE2">
      <w:pPr>
        <w:pStyle w:val="ParrafoGlosario"/>
        <w:rPr>
          <w:lang w:val="es-PE"/>
        </w:rPr>
      </w:pPr>
      <w:proofErr w:type="spellStart"/>
      <w:r w:rsidRPr="00DC1A5F">
        <w:rPr>
          <w:i/>
          <w:iCs/>
          <w:lang w:val="es-PE"/>
        </w:rPr>
        <w:t>asekha</w:t>
      </w:r>
      <w:proofErr w:type="spellEnd"/>
      <w:r w:rsidRPr="00DC1A5F">
        <w:rPr>
          <w:lang w:val="es-PE"/>
        </w:rPr>
        <w:t>— no</w:t>
      </w:r>
      <w:r w:rsidRPr="00DC1A5F">
        <w:rPr>
          <w:rFonts w:cs="Cormorant"/>
          <w:lang w:val="es-PE"/>
        </w:rPr>
        <w:t>‒</w:t>
      </w:r>
      <w:r w:rsidRPr="00DC1A5F">
        <w:rPr>
          <w:lang w:val="es-PE"/>
        </w:rPr>
        <w:t xml:space="preserve">practicante (es decir, alguien que ha alcanzado la fruición del estado de </w:t>
      </w:r>
      <w:r w:rsidRPr="00DC1A5F">
        <w:rPr>
          <w:i/>
          <w:iCs/>
          <w:lang w:val="es-PE"/>
        </w:rPr>
        <w:t>arahant</w:t>
      </w:r>
      <w:r w:rsidRPr="00DC1A5F">
        <w:rPr>
          <w:lang w:val="es-PE"/>
        </w:rPr>
        <w:t>)</w:t>
      </w:r>
    </w:p>
    <w:p w14:paraId="4385D749" w14:textId="77777777" w:rsidR="00597DE2" w:rsidRPr="00DC1A5F" w:rsidRDefault="00597DE2" w:rsidP="00597DE2">
      <w:pPr>
        <w:pStyle w:val="ParrafoGlosario"/>
        <w:rPr>
          <w:lang w:val="es-PE"/>
        </w:rPr>
      </w:pPr>
      <w:proofErr w:type="spellStart"/>
      <w:r w:rsidRPr="00DC1A5F">
        <w:rPr>
          <w:i/>
          <w:iCs/>
          <w:lang w:val="es-PE"/>
        </w:rPr>
        <w:t>āsevanā</w:t>
      </w:r>
      <w:proofErr w:type="spellEnd"/>
      <w:r w:rsidRPr="00DC1A5F">
        <w:rPr>
          <w:lang w:val="es-PE"/>
        </w:rPr>
        <w:t>— (1) cultivo, (2) repetición</w:t>
      </w:r>
    </w:p>
    <w:p w14:paraId="00A0D9AD" w14:textId="77777777" w:rsidR="00597DE2" w:rsidRPr="00DC1A5F" w:rsidRDefault="00597DE2" w:rsidP="00597DE2">
      <w:pPr>
        <w:pStyle w:val="ParrafoGlosario"/>
        <w:rPr>
          <w:lang w:val="es-PE"/>
        </w:rPr>
      </w:pPr>
      <w:proofErr w:type="spellStart"/>
      <w:r w:rsidRPr="00DC1A5F">
        <w:rPr>
          <w:i/>
          <w:iCs/>
          <w:lang w:val="es-PE"/>
        </w:rPr>
        <w:t>asmi</w:t>
      </w:r>
      <w:proofErr w:type="spellEnd"/>
      <w:r w:rsidRPr="00DC1A5F">
        <w:rPr>
          <w:i/>
          <w:iCs/>
          <w:lang w:val="es-PE"/>
        </w:rPr>
        <w:t>–māna</w:t>
      </w:r>
      <w:r w:rsidRPr="00DC1A5F">
        <w:rPr>
          <w:lang w:val="es-PE"/>
        </w:rPr>
        <w:t>— la presunción “Yo soy”</w:t>
      </w:r>
    </w:p>
    <w:p w14:paraId="35CB6045" w14:textId="77777777" w:rsidR="00597DE2" w:rsidRPr="00DC1A5F" w:rsidRDefault="00597DE2" w:rsidP="00597DE2">
      <w:pPr>
        <w:pStyle w:val="ParrafoGlosario"/>
        <w:rPr>
          <w:lang w:val="es-PE"/>
        </w:rPr>
      </w:pPr>
      <w:proofErr w:type="spellStart"/>
      <w:r w:rsidRPr="00DC1A5F">
        <w:rPr>
          <w:i/>
          <w:iCs/>
          <w:lang w:val="es-PE"/>
        </w:rPr>
        <w:t>assāsa</w:t>
      </w:r>
      <w:proofErr w:type="spellEnd"/>
      <w:r w:rsidRPr="00DC1A5F">
        <w:rPr>
          <w:i/>
          <w:iCs/>
          <w:lang w:val="es-PE"/>
        </w:rPr>
        <w:t>–</w:t>
      </w:r>
      <w:proofErr w:type="spellStart"/>
      <w:r w:rsidRPr="00DC1A5F">
        <w:rPr>
          <w:i/>
          <w:iCs/>
          <w:lang w:val="es-PE"/>
        </w:rPr>
        <w:t>passāsa</w:t>
      </w:r>
      <w:proofErr w:type="spellEnd"/>
      <w:r w:rsidRPr="00DC1A5F">
        <w:rPr>
          <w:lang w:val="es-PE"/>
        </w:rPr>
        <w:t>— inhalación y exhalación</w:t>
      </w:r>
    </w:p>
    <w:p w14:paraId="5639072A" w14:textId="77777777" w:rsidR="00597DE2" w:rsidRPr="00DC1A5F" w:rsidRDefault="00597DE2" w:rsidP="00597DE2">
      <w:pPr>
        <w:pStyle w:val="ParrafoGlosario"/>
        <w:rPr>
          <w:lang w:val="es-PE"/>
        </w:rPr>
      </w:pPr>
      <w:proofErr w:type="spellStart"/>
      <w:r w:rsidRPr="00DC1A5F">
        <w:rPr>
          <w:i/>
          <w:iCs/>
          <w:lang w:val="es-PE"/>
        </w:rPr>
        <w:t>asubha</w:t>
      </w:r>
      <w:proofErr w:type="spellEnd"/>
      <w:r w:rsidRPr="00DC1A5F">
        <w:rPr>
          <w:lang w:val="es-PE"/>
        </w:rPr>
        <w:t>— inmundicia, repugnante, feo</w:t>
      </w:r>
    </w:p>
    <w:p w14:paraId="64D4C23A" w14:textId="77777777" w:rsidR="00597DE2" w:rsidRPr="00DC1A5F" w:rsidRDefault="00597DE2" w:rsidP="00597DE2">
      <w:pPr>
        <w:pStyle w:val="ParrafoGlosario"/>
        <w:rPr>
          <w:lang w:val="es-PE"/>
        </w:rPr>
      </w:pPr>
      <w:proofErr w:type="spellStart"/>
      <w:r w:rsidRPr="00DC1A5F">
        <w:rPr>
          <w:i/>
          <w:iCs/>
          <w:lang w:val="es-PE"/>
        </w:rPr>
        <w:t>atammayatā</w:t>
      </w:r>
      <w:proofErr w:type="spellEnd"/>
      <w:r w:rsidRPr="00DC1A5F">
        <w:rPr>
          <w:lang w:val="es-PE"/>
        </w:rPr>
        <w:t>*— distanciamiento; XXI.135 (M III 220)</w:t>
      </w:r>
    </w:p>
    <w:p w14:paraId="512C2175" w14:textId="77777777" w:rsidR="00597DE2" w:rsidRPr="00DC1A5F" w:rsidRDefault="00597DE2" w:rsidP="00597DE2">
      <w:pPr>
        <w:pStyle w:val="ParrafoGlosario"/>
        <w:rPr>
          <w:lang w:val="es-PE"/>
        </w:rPr>
      </w:pPr>
      <w:proofErr w:type="spellStart"/>
      <w:r w:rsidRPr="00DC1A5F">
        <w:rPr>
          <w:i/>
          <w:iCs/>
          <w:lang w:val="es-PE"/>
        </w:rPr>
        <w:t>atippasaṅga</w:t>
      </w:r>
      <w:proofErr w:type="spellEnd"/>
      <w:r w:rsidRPr="00DC1A5F">
        <w:rPr>
          <w:i/>
          <w:iCs/>
          <w:lang w:val="es-PE"/>
        </w:rPr>
        <w:t>*</w:t>
      </w:r>
      <w:r w:rsidRPr="00DC1A5F">
        <w:rPr>
          <w:lang w:val="es-PE"/>
        </w:rPr>
        <w:t>— sobre generalización (</w:t>
      </w:r>
      <w:r w:rsidRPr="00DC1A5F">
        <w:rPr>
          <w:i/>
          <w:iCs/>
          <w:lang w:val="es-PE"/>
        </w:rPr>
        <w:t>lógica</w:t>
      </w:r>
      <w:r w:rsidRPr="00DC1A5F">
        <w:rPr>
          <w:lang w:val="es-PE"/>
        </w:rPr>
        <w:t>): XIV.186</w:t>
      </w:r>
    </w:p>
    <w:p w14:paraId="250C5F0C" w14:textId="77777777" w:rsidR="00597DE2" w:rsidRPr="00DC1A5F" w:rsidRDefault="00597DE2" w:rsidP="00597DE2">
      <w:pPr>
        <w:pStyle w:val="ParrafoGlosario"/>
        <w:rPr>
          <w:lang w:val="es-PE"/>
        </w:rPr>
      </w:pPr>
      <w:proofErr w:type="spellStart"/>
      <w:r w:rsidRPr="00DC1A5F">
        <w:rPr>
          <w:i/>
          <w:iCs/>
          <w:lang w:val="es-PE"/>
        </w:rPr>
        <w:t>atisāra</w:t>
      </w:r>
      <w:proofErr w:type="spellEnd"/>
      <w:r w:rsidRPr="00DC1A5F">
        <w:rPr>
          <w:lang w:val="es-PE"/>
        </w:rPr>
        <w:t xml:space="preserve">*— flujo (de los intestinos), diarrea: XI.21 </w:t>
      </w:r>
    </w:p>
    <w:p w14:paraId="66A70528" w14:textId="77777777" w:rsidR="00597DE2" w:rsidRPr="00DC1A5F" w:rsidRDefault="00597DE2" w:rsidP="00597DE2">
      <w:pPr>
        <w:pStyle w:val="ParrafoGlosario"/>
        <w:rPr>
          <w:lang w:val="es-PE"/>
        </w:rPr>
      </w:pPr>
      <w:proofErr w:type="spellStart"/>
      <w:r w:rsidRPr="00DC1A5F">
        <w:rPr>
          <w:i/>
          <w:iCs/>
          <w:lang w:val="es-PE"/>
        </w:rPr>
        <w:t>atīta</w:t>
      </w:r>
      <w:proofErr w:type="spellEnd"/>
      <w:r w:rsidRPr="00DC1A5F">
        <w:rPr>
          <w:lang w:val="es-PE"/>
        </w:rPr>
        <w:t>–pasado</w:t>
      </w:r>
    </w:p>
    <w:p w14:paraId="307DB968" w14:textId="77777777" w:rsidR="00597DE2" w:rsidRPr="00DC1A5F" w:rsidRDefault="00597DE2" w:rsidP="00597DE2">
      <w:pPr>
        <w:pStyle w:val="ParrafoGlosario"/>
        <w:rPr>
          <w:lang w:val="es-PE"/>
        </w:rPr>
      </w:pPr>
      <w:proofErr w:type="spellStart"/>
      <w:r w:rsidRPr="00DC1A5F">
        <w:rPr>
          <w:i/>
          <w:iCs/>
          <w:lang w:val="es-PE"/>
        </w:rPr>
        <w:t>atta</w:t>
      </w:r>
      <w:proofErr w:type="spellEnd"/>
      <w:r w:rsidRPr="00DC1A5F">
        <w:rPr>
          <w:lang w:val="es-PE"/>
        </w:rPr>
        <w:t>– alma, el</w:t>
      </w:r>
      <w:r w:rsidRPr="00DC1A5F">
        <w:rPr>
          <w:rFonts w:cs="Cormorant"/>
          <w:lang w:val="es-PE"/>
        </w:rPr>
        <w:t>‒</w:t>
      </w:r>
      <w:r w:rsidRPr="00DC1A5F">
        <w:rPr>
          <w:lang w:val="es-PE"/>
        </w:rPr>
        <w:t>yo</w:t>
      </w:r>
    </w:p>
    <w:p w14:paraId="623E9782" w14:textId="77777777" w:rsidR="00597DE2" w:rsidRPr="00DC1A5F" w:rsidRDefault="00597DE2" w:rsidP="00597DE2">
      <w:pPr>
        <w:pStyle w:val="ParrafoGlosario"/>
        <w:rPr>
          <w:lang w:val="es-PE"/>
        </w:rPr>
      </w:pPr>
      <w:proofErr w:type="spellStart"/>
      <w:r w:rsidRPr="00DC1A5F">
        <w:rPr>
          <w:i/>
          <w:iCs/>
          <w:lang w:val="es-PE"/>
        </w:rPr>
        <w:t>attabhāva</w:t>
      </w:r>
      <w:proofErr w:type="spellEnd"/>
      <w:r w:rsidRPr="00DC1A5F">
        <w:rPr>
          <w:lang w:val="es-PE"/>
        </w:rPr>
        <w:t>— persona, personalidad, individualidad, renacimiento</w:t>
      </w:r>
    </w:p>
    <w:p w14:paraId="16473012" w14:textId="77777777" w:rsidR="00597DE2" w:rsidRPr="00DC1A5F" w:rsidRDefault="00597DE2" w:rsidP="00597DE2">
      <w:pPr>
        <w:pStyle w:val="ParrafoGlosario"/>
        <w:rPr>
          <w:i/>
          <w:iCs/>
          <w:lang w:val="es-PE"/>
        </w:rPr>
      </w:pPr>
      <w:proofErr w:type="spellStart"/>
      <w:r w:rsidRPr="00DC1A5F">
        <w:rPr>
          <w:i/>
          <w:iCs/>
          <w:lang w:val="es-PE"/>
        </w:rPr>
        <w:t>attānudiṭṭhi</w:t>
      </w:r>
      <w:proofErr w:type="spellEnd"/>
      <w:r w:rsidRPr="00DC1A5F">
        <w:rPr>
          <w:lang w:val="es-PE"/>
        </w:rPr>
        <w:t xml:space="preserve"> — visión del alma, visión incorrecta sobre el alma</w:t>
      </w:r>
    </w:p>
    <w:p w14:paraId="440BCDD9" w14:textId="77777777" w:rsidR="00597DE2" w:rsidRPr="00DC1A5F" w:rsidRDefault="00597DE2" w:rsidP="00597DE2">
      <w:pPr>
        <w:pStyle w:val="ParrafoGlosario"/>
        <w:rPr>
          <w:lang w:val="es-PE"/>
        </w:rPr>
      </w:pPr>
      <w:proofErr w:type="spellStart"/>
      <w:r w:rsidRPr="00DC1A5F">
        <w:rPr>
          <w:i/>
          <w:iCs/>
          <w:lang w:val="es-PE"/>
        </w:rPr>
        <w:t>attānuvāda</w:t>
      </w:r>
      <w:proofErr w:type="spellEnd"/>
      <w:r w:rsidRPr="00DC1A5F">
        <w:rPr>
          <w:i/>
          <w:iCs/>
          <w:lang w:val="es-PE"/>
        </w:rPr>
        <w:t>*</w:t>
      </w:r>
      <w:r w:rsidRPr="00DC1A5F">
        <w:rPr>
          <w:lang w:val="es-PE"/>
        </w:rPr>
        <w:t>— auto–censura: VII.106</w:t>
      </w:r>
    </w:p>
    <w:p w14:paraId="13E4D739" w14:textId="77777777" w:rsidR="00597DE2" w:rsidRPr="00DC1A5F" w:rsidRDefault="00597DE2" w:rsidP="00597DE2">
      <w:pPr>
        <w:pStyle w:val="ParrafoGlosario"/>
        <w:rPr>
          <w:lang w:val="es-PE"/>
        </w:rPr>
      </w:pPr>
      <w:proofErr w:type="spellStart"/>
      <w:r w:rsidRPr="00DC1A5F">
        <w:rPr>
          <w:i/>
          <w:iCs/>
          <w:lang w:val="es-PE"/>
        </w:rPr>
        <w:t>attatā</w:t>
      </w:r>
      <w:proofErr w:type="spellEnd"/>
      <w:r w:rsidRPr="00DC1A5F">
        <w:rPr>
          <w:lang w:val="es-PE"/>
        </w:rPr>
        <w:t>*— ipseidad</w:t>
      </w:r>
      <w:r w:rsidRPr="00DC1A5F">
        <w:rPr>
          <w:color w:val="833C0B" w:themeColor="accent2" w:themeShade="80"/>
          <w:lang w:val="es-PE"/>
        </w:rPr>
        <w:t>, individualidad</w:t>
      </w:r>
      <w:r w:rsidRPr="00DC1A5F">
        <w:rPr>
          <w:lang w:val="es-PE"/>
        </w:rPr>
        <w:t>: IX.47</w:t>
      </w:r>
    </w:p>
    <w:p w14:paraId="4D2173EF" w14:textId="77777777" w:rsidR="00597DE2" w:rsidRPr="00DC1A5F" w:rsidRDefault="00597DE2" w:rsidP="00597DE2">
      <w:pPr>
        <w:pStyle w:val="ParrafoGlosario"/>
        <w:rPr>
          <w:lang w:val="es-PE"/>
        </w:rPr>
      </w:pPr>
      <w:proofErr w:type="spellStart"/>
      <w:r w:rsidRPr="00DC1A5F">
        <w:rPr>
          <w:i/>
          <w:iCs/>
          <w:lang w:val="es-PE"/>
        </w:rPr>
        <w:t>attavāda</w:t>
      </w:r>
      <w:proofErr w:type="spellEnd"/>
      <w:r w:rsidRPr="00DC1A5F">
        <w:rPr>
          <w:lang w:val="es-PE"/>
        </w:rPr>
        <w:t>— doctrina del alma</w:t>
      </w:r>
    </w:p>
    <w:p w14:paraId="17696394" w14:textId="77777777" w:rsidR="00597DE2" w:rsidRPr="00DC1A5F" w:rsidRDefault="00597DE2" w:rsidP="00597DE2">
      <w:pPr>
        <w:pStyle w:val="ParrafoGlosario"/>
        <w:rPr>
          <w:lang w:val="es-PE"/>
        </w:rPr>
      </w:pPr>
      <w:proofErr w:type="spellStart"/>
      <w:r w:rsidRPr="00DC1A5F">
        <w:rPr>
          <w:i/>
          <w:iCs/>
          <w:lang w:val="es-PE"/>
        </w:rPr>
        <w:t>attha</w:t>
      </w:r>
      <w:proofErr w:type="spellEnd"/>
      <w:r w:rsidRPr="00DC1A5F">
        <w:rPr>
          <w:lang w:val="es-PE"/>
        </w:rPr>
        <w:t>— (1) beneficio, resultado, (2) propósito, objetivo, meta, (3) significado</w:t>
      </w:r>
    </w:p>
    <w:p w14:paraId="411DF0BE" w14:textId="77777777" w:rsidR="00597DE2" w:rsidRPr="00DC1A5F" w:rsidRDefault="00597DE2" w:rsidP="00597DE2">
      <w:pPr>
        <w:pStyle w:val="ParrafoGlosario"/>
        <w:rPr>
          <w:lang w:val="es-PE"/>
        </w:rPr>
      </w:pPr>
      <w:proofErr w:type="spellStart"/>
      <w:r w:rsidRPr="00DC1A5F">
        <w:rPr>
          <w:i/>
          <w:iCs/>
          <w:lang w:val="es-PE"/>
        </w:rPr>
        <w:t>aṭṭhaka</w:t>
      </w:r>
      <w:proofErr w:type="spellEnd"/>
      <w:r w:rsidRPr="00DC1A5F">
        <w:rPr>
          <w:i/>
          <w:iCs/>
          <w:lang w:val="es-PE"/>
        </w:rPr>
        <w:t xml:space="preserve">, </w:t>
      </w:r>
      <w:proofErr w:type="spellStart"/>
      <w:r w:rsidRPr="00DC1A5F">
        <w:rPr>
          <w:i/>
          <w:iCs/>
          <w:lang w:val="es-PE"/>
        </w:rPr>
        <w:t>aṭṭhamaka</w:t>
      </w:r>
      <w:proofErr w:type="spellEnd"/>
      <w:r w:rsidRPr="00DC1A5F">
        <w:rPr>
          <w:lang w:val="es-PE"/>
        </w:rPr>
        <w:t>— óctuplo/e</w:t>
      </w:r>
    </w:p>
    <w:p w14:paraId="34A989E8" w14:textId="77777777" w:rsidR="00597DE2" w:rsidRPr="00DC1A5F" w:rsidRDefault="00597DE2" w:rsidP="00597DE2">
      <w:pPr>
        <w:pStyle w:val="ParrafoGlosario"/>
        <w:rPr>
          <w:lang w:val="es-PE"/>
        </w:rPr>
      </w:pPr>
      <w:proofErr w:type="spellStart"/>
      <w:r w:rsidRPr="00DC1A5F">
        <w:rPr>
          <w:i/>
          <w:iCs/>
          <w:lang w:val="es-PE"/>
        </w:rPr>
        <w:t>aṭṭhaṅgika</w:t>
      </w:r>
      <w:proofErr w:type="spellEnd"/>
      <w:r w:rsidRPr="00DC1A5F">
        <w:rPr>
          <w:i/>
          <w:iCs/>
          <w:lang w:val="es-PE"/>
        </w:rPr>
        <w:t>–</w:t>
      </w:r>
      <w:proofErr w:type="spellStart"/>
      <w:r w:rsidRPr="00DC1A5F">
        <w:rPr>
          <w:i/>
          <w:iCs/>
          <w:lang w:val="es-PE"/>
        </w:rPr>
        <w:t>magga</w:t>
      </w:r>
      <w:proofErr w:type="spellEnd"/>
      <w:r w:rsidRPr="00DC1A5F">
        <w:rPr>
          <w:lang w:val="es-PE"/>
        </w:rPr>
        <w:t>— óctuple sendero</w:t>
      </w:r>
    </w:p>
    <w:p w14:paraId="671C5DCC" w14:textId="77777777" w:rsidR="00597DE2" w:rsidRPr="00DC1A5F" w:rsidRDefault="00597DE2" w:rsidP="00597DE2">
      <w:pPr>
        <w:pStyle w:val="ParrafoGlosario"/>
        <w:rPr>
          <w:lang w:val="es-PE"/>
        </w:rPr>
      </w:pPr>
      <w:proofErr w:type="spellStart"/>
      <w:r w:rsidRPr="00DC1A5F">
        <w:rPr>
          <w:i/>
          <w:iCs/>
          <w:lang w:val="es-PE"/>
        </w:rPr>
        <w:t>avabodha</w:t>
      </w:r>
      <w:proofErr w:type="spellEnd"/>
      <w:r w:rsidRPr="00DC1A5F">
        <w:rPr>
          <w:lang w:val="es-PE"/>
        </w:rPr>
        <w:t>— consciencia, descubrimiento</w:t>
      </w:r>
    </w:p>
    <w:p w14:paraId="4647571E" w14:textId="77777777" w:rsidR="00597DE2" w:rsidRPr="00DC1A5F" w:rsidRDefault="00597DE2" w:rsidP="00597DE2">
      <w:pPr>
        <w:pStyle w:val="ParrafoGlosario"/>
        <w:rPr>
          <w:lang w:val="es-PE"/>
        </w:rPr>
      </w:pPr>
      <w:proofErr w:type="spellStart"/>
      <w:r w:rsidRPr="00DC1A5F">
        <w:rPr>
          <w:i/>
          <w:iCs/>
          <w:lang w:val="es-PE"/>
        </w:rPr>
        <w:t>avadhāna</w:t>
      </w:r>
      <w:proofErr w:type="spellEnd"/>
      <w:r w:rsidRPr="00DC1A5F">
        <w:rPr>
          <w:lang w:val="es-PE"/>
        </w:rPr>
        <w:t>*— atención: I.32 (</w:t>
      </w:r>
      <w:proofErr w:type="spellStart"/>
      <w:r w:rsidRPr="00DC1A5F">
        <w:rPr>
          <w:lang w:val="es-PE"/>
        </w:rPr>
        <w:t>Paṭis</w:t>
      </w:r>
      <w:proofErr w:type="spellEnd"/>
      <w:r w:rsidRPr="00DC1A5F">
        <w:rPr>
          <w:lang w:val="es-PE"/>
        </w:rPr>
        <w:t xml:space="preserve"> I 1; M II 175)</w:t>
      </w:r>
    </w:p>
    <w:p w14:paraId="39E5E4FA" w14:textId="77777777" w:rsidR="00597DE2" w:rsidRPr="00DC1A5F" w:rsidRDefault="00597DE2" w:rsidP="00597DE2">
      <w:pPr>
        <w:pStyle w:val="ParrafoGlosario"/>
        <w:rPr>
          <w:lang w:val="es-PE"/>
        </w:rPr>
      </w:pPr>
      <w:proofErr w:type="spellStart"/>
      <w:r w:rsidRPr="00DC1A5F">
        <w:rPr>
          <w:i/>
          <w:iCs/>
          <w:lang w:val="es-PE"/>
        </w:rPr>
        <w:t>avadhi</w:t>
      </w:r>
      <w:proofErr w:type="spellEnd"/>
      <w:r w:rsidRPr="00DC1A5F">
        <w:rPr>
          <w:lang w:val="es-PE"/>
        </w:rPr>
        <w:t xml:space="preserve">*— límite (= </w:t>
      </w:r>
      <w:proofErr w:type="spellStart"/>
      <w:r w:rsidRPr="00DC1A5F">
        <w:rPr>
          <w:i/>
          <w:iCs/>
          <w:lang w:val="es-PE"/>
        </w:rPr>
        <w:t>odhi</w:t>
      </w:r>
      <w:proofErr w:type="spellEnd"/>
      <w:r w:rsidRPr="00DC1A5F">
        <w:rPr>
          <w:lang w:val="es-PE"/>
        </w:rPr>
        <w:t>): I.86</w:t>
      </w:r>
    </w:p>
    <w:p w14:paraId="438E24CF" w14:textId="77777777" w:rsidR="00597DE2" w:rsidRPr="00DC1A5F" w:rsidRDefault="00597DE2" w:rsidP="00597DE2">
      <w:pPr>
        <w:pStyle w:val="ParrafoGlosario"/>
        <w:rPr>
          <w:lang w:val="es-PE"/>
        </w:rPr>
      </w:pPr>
      <w:proofErr w:type="spellStart"/>
      <w:r w:rsidRPr="00DC1A5F">
        <w:rPr>
          <w:i/>
          <w:iCs/>
          <w:lang w:val="es-PE"/>
        </w:rPr>
        <w:t>avagaha</w:t>
      </w:r>
      <w:proofErr w:type="spellEnd"/>
      <w:r w:rsidRPr="00DC1A5F">
        <w:rPr>
          <w:lang w:val="es-PE"/>
        </w:rPr>
        <w:t>*— avaro, codicioso: XVI.104</w:t>
      </w:r>
    </w:p>
    <w:p w14:paraId="3F26F8CF" w14:textId="77777777" w:rsidR="00597DE2" w:rsidRPr="00DC1A5F" w:rsidRDefault="00597DE2" w:rsidP="00597DE2">
      <w:pPr>
        <w:pStyle w:val="ParrafoGlosario"/>
        <w:rPr>
          <w:lang w:val="es-PE"/>
        </w:rPr>
      </w:pPr>
      <w:proofErr w:type="spellStart"/>
      <w:r w:rsidRPr="00DC1A5F">
        <w:rPr>
          <w:i/>
          <w:iCs/>
          <w:lang w:val="es-PE"/>
        </w:rPr>
        <w:t>āvajjana</w:t>
      </w:r>
      <w:proofErr w:type="spellEnd"/>
      <w:r w:rsidRPr="00DC1A5F">
        <w:rPr>
          <w:lang w:val="es-PE"/>
        </w:rPr>
        <w:t>— advertencia (consciencia)</w:t>
      </w:r>
    </w:p>
    <w:p w14:paraId="5523EE58" w14:textId="77777777" w:rsidR="00597DE2" w:rsidRPr="00DC1A5F" w:rsidRDefault="00597DE2" w:rsidP="00597DE2">
      <w:pPr>
        <w:pStyle w:val="ParrafoGlosario"/>
        <w:rPr>
          <w:lang w:val="es-PE"/>
        </w:rPr>
      </w:pPr>
      <w:proofErr w:type="spellStart"/>
      <w:r w:rsidRPr="00DC1A5F">
        <w:rPr>
          <w:i/>
          <w:iCs/>
          <w:lang w:val="es-PE"/>
        </w:rPr>
        <w:t>avakkhaṇḍana</w:t>
      </w:r>
      <w:proofErr w:type="spellEnd"/>
      <w:r w:rsidRPr="00DC1A5F">
        <w:rPr>
          <w:i/>
          <w:iCs/>
          <w:lang w:val="es-PE"/>
        </w:rPr>
        <w:t>*</w:t>
      </w:r>
      <w:r w:rsidRPr="00DC1A5F">
        <w:rPr>
          <w:lang w:val="es-PE"/>
        </w:rPr>
        <w:t>— pausa: II.6</w:t>
      </w:r>
      <w:r>
        <w:rPr>
          <w:lang w:val="es-PE"/>
        </w:rPr>
        <w:br w:type="column"/>
      </w:r>
    </w:p>
    <w:p w14:paraId="5E7B9B4E" w14:textId="77777777" w:rsidR="00597DE2" w:rsidRPr="00DC1A5F" w:rsidRDefault="00597DE2" w:rsidP="00597DE2">
      <w:pPr>
        <w:pStyle w:val="ParrafoGlosario"/>
        <w:rPr>
          <w:lang w:val="es-PE"/>
        </w:rPr>
      </w:pPr>
      <w:proofErr w:type="spellStart"/>
      <w:r w:rsidRPr="00DC1A5F">
        <w:rPr>
          <w:i/>
          <w:iCs/>
          <w:lang w:val="es-PE"/>
        </w:rPr>
        <w:t>avarodha</w:t>
      </w:r>
      <w:proofErr w:type="spellEnd"/>
      <w:r w:rsidRPr="00DC1A5F">
        <w:rPr>
          <w:lang w:val="es-PE"/>
        </w:rPr>
        <w:t>*— inclusión: XIV.216, 219</w:t>
      </w:r>
    </w:p>
    <w:p w14:paraId="4701EA69" w14:textId="77777777" w:rsidR="00597DE2" w:rsidRPr="00DC1A5F" w:rsidRDefault="00597DE2" w:rsidP="00597DE2">
      <w:pPr>
        <w:pStyle w:val="ParrafoGlosario"/>
        <w:rPr>
          <w:lang w:val="es-PE"/>
        </w:rPr>
      </w:pPr>
      <w:proofErr w:type="spellStart"/>
      <w:r w:rsidRPr="00DC1A5F">
        <w:rPr>
          <w:i/>
          <w:iCs/>
          <w:lang w:val="es-PE"/>
        </w:rPr>
        <w:t>avāsa</w:t>
      </w:r>
      <w:proofErr w:type="spellEnd"/>
      <w:r w:rsidRPr="00DC1A5F">
        <w:rPr>
          <w:i/>
          <w:iCs/>
          <w:lang w:val="es-PE"/>
        </w:rPr>
        <w:t>*</w:t>
      </w:r>
      <w:r w:rsidRPr="00DC1A5F">
        <w:rPr>
          <w:lang w:val="es-PE"/>
        </w:rPr>
        <w:t>— desalojo: IV.9, 12</w:t>
      </w:r>
    </w:p>
    <w:p w14:paraId="2F8A8747" w14:textId="77777777" w:rsidR="00597DE2" w:rsidRPr="00DC1A5F" w:rsidRDefault="00597DE2" w:rsidP="00597DE2">
      <w:pPr>
        <w:pStyle w:val="ParrafoGlosario"/>
        <w:rPr>
          <w:lang w:val="es-PE"/>
        </w:rPr>
      </w:pPr>
      <w:proofErr w:type="spellStart"/>
      <w:r w:rsidRPr="00DC1A5F">
        <w:rPr>
          <w:i/>
          <w:iCs/>
          <w:lang w:val="es-PE"/>
        </w:rPr>
        <w:t>avatthā</w:t>
      </w:r>
      <w:proofErr w:type="spellEnd"/>
      <w:r w:rsidRPr="00DC1A5F">
        <w:rPr>
          <w:lang w:val="es-PE"/>
        </w:rPr>
        <w:t>*— ocasión, posición: IV.167; XVII.306; XX.19</w:t>
      </w:r>
    </w:p>
    <w:p w14:paraId="70746D0E" w14:textId="77777777" w:rsidR="00597DE2" w:rsidRPr="00DC1A5F" w:rsidRDefault="00597DE2" w:rsidP="00597DE2">
      <w:pPr>
        <w:pStyle w:val="ParrafoGlosario"/>
        <w:rPr>
          <w:lang w:val="es-PE"/>
        </w:rPr>
      </w:pPr>
      <w:proofErr w:type="spellStart"/>
      <w:r w:rsidRPr="00DC1A5F">
        <w:rPr>
          <w:i/>
          <w:iCs/>
          <w:lang w:val="es-PE"/>
        </w:rPr>
        <w:t>āvatthika</w:t>
      </w:r>
      <w:proofErr w:type="spellEnd"/>
      <w:r w:rsidRPr="00DC1A5F">
        <w:rPr>
          <w:lang w:val="es-PE"/>
        </w:rPr>
        <w:t>*— que denota un período: VII.54</w:t>
      </w:r>
    </w:p>
    <w:p w14:paraId="3D88B01E" w14:textId="77777777" w:rsidR="00597DE2" w:rsidRPr="00DC1A5F" w:rsidRDefault="00597DE2" w:rsidP="00597DE2">
      <w:pPr>
        <w:pStyle w:val="ParrafoGlosario"/>
        <w:rPr>
          <w:lang w:val="es-PE"/>
        </w:rPr>
      </w:pPr>
      <w:proofErr w:type="spellStart"/>
      <w:r w:rsidRPr="00DC1A5F">
        <w:rPr>
          <w:i/>
          <w:iCs/>
          <w:lang w:val="es-PE"/>
        </w:rPr>
        <w:t>avi</w:t>
      </w:r>
      <w:proofErr w:type="spellEnd"/>
      <w:r w:rsidRPr="00DC1A5F">
        <w:rPr>
          <w:lang w:val="es-PE"/>
        </w:rPr>
        <w:t>*— cabra u oveja: XVII.110</w:t>
      </w:r>
    </w:p>
    <w:p w14:paraId="3FD93675" w14:textId="77777777" w:rsidR="00597DE2" w:rsidRPr="00DC1A5F" w:rsidRDefault="00597DE2" w:rsidP="00597DE2">
      <w:pPr>
        <w:pStyle w:val="ParrafoGlosario"/>
        <w:rPr>
          <w:lang w:val="es-PE"/>
        </w:rPr>
      </w:pPr>
      <w:proofErr w:type="spellStart"/>
      <w:r w:rsidRPr="00DC1A5F">
        <w:rPr>
          <w:i/>
          <w:iCs/>
          <w:lang w:val="es-PE"/>
        </w:rPr>
        <w:t>avijja</w:t>
      </w:r>
      <w:proofErr w:type="spellEnd"/>
      <w:r w:rsidRPr="00DC1A5F">
        <w:rPr>
          <w:lang w:val="es-PE"/>
        </w:rPr>
        <w:t>— ignorancia</w:t>
      </w:r>
    </w:p>
    <w:p w14:paraId="0B0AEBE4" w14:textId="77777777" w:rsidR="00597DE2" w:rsidRPr="00DC1A5F" w:rsidRDefault="00597DE2" w:rsidP="00597DE2">
      <w:pPr>
        <w:pStyle w:val="ParrafoGlosario"/>
        <w:rPr>
          <w:lang w:val="es-PE"/>
        </w:rPr>
      </w:pPr>
      <w:proofErr w:type="spellStart"/>
      <w:r w:rsidRPr="00DC1A5F">
        <w:rPr>
          <w:i/>
          <w:iCs/>
          <w:lang w:val="es-PE"/>
        </w:rPr>
        <w:t>avikkhepa</w:t>
      </w:r>
      <w:proofErr w:type="spellEnd"/>
      <w:r w:rsidRPr="00DC1A5F">
        <w:rPr>
          <w:lang w:val="es-PE"/>
        </w:rPr>
        <w:t>— no</w:t>
      </w:r>
      <w:r w:rsidRPr="00DC1A5F">
        <w:rPr>
          <w:rFonts w:cs="Cormorant"/>
          <w:lang w:val="es-PE"/>
        </w:rPr>
        <w:t>‒</w:t>
      </w:r>
      <w:r w:rsidRPr="00DC1A5F">
        <w:rPr>
          <w:lang w:val="es-PE"/>
        </w:rPr>
        <w:t>distracción</w:t>
      </w:r>
    </w:p>
    <w:p w14:paraId="3D0844F2" w14:textId="77777777" w:rsidR="00597DE2" w:rsidRPr="00DC1A5F" w:rsidRDefault="00597DE2" w:rsidP="00597DE2">
      <w:pPr>
        <w:pStyle w:val="ParrafoGlosario"/>
        <w:rPr>
          <w:lang w:val="es-PE"/>
        </w:rPr>
      </w:pPr>
      <w:proofErr w:type="spellStart"/>
      <w:r w:rsidRPr="00DC1A5F">
        <w:rPr>
          <w:i/>
          <w:iCs/>
          <w:lang w:val="es-PE"/>
        </w:rPr>
        <w:t>āviñjana</w:t>
      </w:r>
      <w:proofErr w:type="spellEnd"/>
      <w:r w:rsidRPr="00DC1A5F">
        <w:rPr>
          <w:lang w:val="es-PE"/>
        </w:rPr>
        <w:t xml:space="preserve">*— recolectar (ver el PED </w:t>
      </w:r>
      <w:proofErr w:type="spellStart"/>
      <w:r w:rsidRPr="00DC1A5F">
        <w:rPr>
          <w:lang w:val="es-PE"/>
        </w:rPr>
        <w:t>āvijjhati</w:t>
      </w:r>
      <w:proofErr w:type="spellEnd"/>
      <w:r w:rsidRPr="00DC1A5F">
        <w:rPr>
          <w:lang w:val="es-PE"/>
        </w:rPr>
        <w:t>): XIV.37</w:t>
      </w:r>
    </w:p>
    <w:p w14:paraId="0149DDD2" w14:textId="77777777" w:rsidR="00597DE2" w:rsidRPr="00DC1A5F" w:rsidRDefault="00597DE2" w:rsidP="00597DE2">
      <w:pPr>
        <w:pStyle w:val="ParrafoGlosario"/>
        <w:rPr>
          <w:lang w:val="es-PE"/>
        </w:rPr>
      </w:pPr>
      <w:proofErr w:type="spellStart"/>
      <w:r w:rsidRPr="00DC1A5F">
        <w:rPr>
          <w:i/>
          <w:iCs/>
          <w:lang w:val="es-PE"/>
        </w:rPr>
        <w:t>avyākata</w:t>
      </w:r>
      <w:proofErr w:type="spellEnd"/>
      <w:r w:rsidRPr="00DC1A5F">
        <w:rPr>
          <w:lang w:val="es-PE"/>
        </w:rPr>
        <w:t>— (1) (</w:t>
      </w:r>
      <w:proofErr w:type="spellStart"/>
      <w:r w:rsidRPr="00DC1A5F">
        <w:rPr>
          <w:i/>
          <w:iCs/>
          <w:lang w:val="es-PE"/>
        </w:rPr>
        <w:t>kāmmicamente</w:t>
      </w:r>
      <w:proofErr w:type="spellEnd"/>
      <w:r w:rsidRPr="00DC1A5F">
        <w:rPr>
          <w:lang w:val="es-PE"/>
        </w:rPr>
        <w:t>) indeterminado (es decir, ni</w:t>
      </w:r>
      <w:r w:rsidRPr="00DC1A5F">
        <w:rPr>
          <w:rFonts w:cs="Cormorant"/>
          <w:lang w:val="es-PE"/>
        </w:rPr>
        <w:t>‒</w:t>
      </w:r>
      <w:r w:rsidRPr="00DC1A5F">
        <w:rPr>
          <w:lang w:val="es-PE"/>
        </w:rPr>
        <w:t>productivo</w:t>
      </w:r>
      <w:r w:rsidRPr="00DC1A5F">
        <w:rPr>
          <w:rFonts w:cs="Cormorant"/>
          <w:lang w:val="es-PE"/>
        </w:rPr>
        <w:t>‒</w:t>
      </w:r>
      <w:r w:rsidRPr="00DC1A5F">
        <w:rPr>
          <w:lang w:val="es-PE"/>
        </w:rPr>
        <w:t>ni</w:t>
      </w:r>
      <w:r w:rsidRPr="00DC1A5F">
        <w:rPr>
          <w:rFonts w:cs="Cormorant"/>
          <w:lang w:val="es-PE"/>
        </w:rPr>
        <w:t>‒</w:t>
      </w:r>
      <w:r w:rsidRPr="00DC1A5F">
        <w:rPr>
          <w:lang w:val="es-PE"/>
        </w:rPr>
        <w:t xml:space="preserve">improductivo), (2) no respondido (por el </w:t>
      </w:r>
      <w:r w:rsidRPr="00DC1A5F">
        <w:rPr>
          <w:i/>
          <w:iCs/>
          <w:lang w:val="es-PE"/>
        </w:rPr>
        <w:t>Buddha</w:t>
      </w:r>
      <w:r w:rsidRPr="00DC1A5F">
        <w:rPr>
          <w:lang w:val="es-PE"/>
        </w:rPr>
        <w:t>)</w:t>
      </w:r>
    </w:p>
    <w:p w14:paraId="09CF75F8" w14:textId="77777777" w:rsidR="00597DE2" w:rsidRPr="00DC1A5F" w:rsidRDefault="00597DE2" w:rsidP="00597DE2">
      <w:pPr>
        <w:pStyle w:val="ParrafoGlosario"/>
        <w:rPr>
          <w:lang w:val="es-PE"/>
        </w:rPr>
      </w:pPr>
      <w:proofErr w:type="spellStart"/>
      <w:r w:rsidRPr="00DC1A5F">
        <w:rPr>
          <w:i/>
          <w:iCs/>
          <w:lang w:val="es-PE"/>
        </w:rPr>
        <w:t>avyāpāda</w:t>
      </w:r>
      <w:proofErr w:type="spellEnd"/>
      <w:r w:rsidRPr="00DC1A5F">
        <w:rPr>
          <w:lang w:val="es-PE"/>
        </w:rPr>
        <w:t>— sin mala</w:t>
      </w:r>
      <w:r w:rsidRPr="00DC1A5F">
        <w:rPr>
          <w:rFonts w:cs="Cormorant"/>
          <w:lang w:val="es-PE"/>
        </w:rPr>
        <w:t>–</w:t>
      </w:r>
      <w:r w:rsidRPr="00DC1A5F">
        <w:rPr>
          <w:lang w:val="es-PE"/>
        </w:rPr>
        <w:t>voluntad</w:t>
      </w:r>
    </w:p>
    <w:p w14:paraId="76ED52CE" w14:textId="77777777" w:rsidR="00597DE2" w:rsidRPr="00DC1A5F" w:rsidRDefault="00597DE2" w:rsidP="00597DE2">
      <w:pPr>
        <w:pStyle w:val="ParrafoGlosario"/>
        <w:rPr>
          <w:lang w:val="es-PE"/>
        </w:rPr>
      </w:pPr>
      <w:proofErr w:type="spellStart"/>
      <w:r w:rsidRPr="00DC1A5F">
        <w:rPr>
          <w:i/>
          <w:iCs/>
          <w:lang w:val="es-PE"/>
        </w:rPr>
        <w:t>aya</w:t>
      </w:r>
      <w:proofErr w:type="spellEnd"/>
      <w:r w:rsidRPr="00DC1A5F">
        <w:rPr>
          <w:i/>
          <w:iCs/>
          <w:lang w:val="es-PE"/>
        </w:rPr>
        <w:t>*</w:t>
      </w:r>
      <w:r w:rsidRPr="00DC1A5F">
        <w:rPr>
          <w:lang w:val="es-PE"/>
        </w:rPr>
        <w:t xml:space="preserve">— </w:t>
      </w:r>
      <w:r w:rsidRPr="00DC1A5F">
        <w:rPr>
          <w:i/>
          <w:iCs/>
          <w:lang w:val="es-PE"/>
        </w:rPr>
        <w:t>también</w:t>
      </w:r>
      <w:r w:rsidRPr="00DC1A5F">
        <w:rPr>
          <w:lang w:val="es-PE"/>
        </w:rPr>
        <w:t xml:space="preserve"> una razón: XIII.92; XVI.17</w:t>
      </w:r>
    </w:p>
    <w:p w14:paraId="098E9885" w14:textId="77777777" w:rsidR="00597DE2" w:rsidRPr="00DC1A5F" w:rsidRDefault="00597DE2" w:rsidP="00597DE2">
      <w:pPr>
        <w:pStyle w:val="ParrafoGlosario"/>
        <w:rPr>
          <w:lang w:val="es-PE"/>
        </w:rPr>
      </w:pPr>
      <w:proofErr w:type="spellStart"/>
      <w:r w:rsidRPr="00DC1A5F">
        <w:rPr>
          <w:i/>
          <w:iCs/>
          <w:lang w:val="es-PE"/>
        </w:rPr>
        <w:t>ayatana</w:t>
      </w:r>
      <w:proofErr w:type="spellEnd"/>
      <w:r w:rsidRPr="00DC1A5F">
        <w:rPr>
          <w:lang w:val="es-PE"/>
        </w:rPr>
        <w:t>— base</w:t>
      </w:r>
    </w:p>
    <w:p w14:paraId="3E7DE2EF" w14:textId="77777777" w:rsidR="00597DE2" w:rsidRPr="00DC1A5F" w:rsidRDefault="00597DE2" w:rsidP="00597DE2">
      <w:pPr>
        <w:pStyle w:val="ParrafoGlosario"/>
        <w:rPr>
          <w:lang w:val="es-PE"/>
        </w:rPr>
      </w:pPr>
      <w:proofErr w:type="spellStart"/>
      <w:r w:rsidRPr="00DC1A5F">
        <w:rPr>
          <w:i/>
          <w:iCs/>
          <w:lang w:val="es-PE"/>
        </w:rPr>
        <w:t>āyatana</w:t>
      </w:r>
      <w:proofErr w:type="spellEnd"/>
      <w:r w:rsidRPr="00DC1A5F">
        <w:rPr>
          <w:lang w:val="es-PE"/>
        </w:rPr>
        <w:t>*— accionamiento, XV.4</w:t>
      </w:r>
    </w:p>
    <w:p w14:paraId="7E77C2A3" w14:textId="77777777" w:rsidR="00597DE2" w:rsidRPr="00DC1A5F" w:rsidRDefault="00597DE2" w:rsidP="00597DE2">
      <w:pPr>
        <w:pStyle w:val="ParrafoGlosario"/>
        <w:rPr>
          <w:lang w:val="es-PE"/>
        </w:rPr>
      </w:pPr>
      <w:proofErr w:type="spellStart"/>
      <w:r w:rsidRPr="00DC1A5F">
        <w:rPr>
          <w:i/>
          <w:iCs/>
          <w:lang w:val="es-PE"/>
        </w:rPr>
        <w:t>āyatati</w:t>
      </w:r>
      <w:proofErr w:type="spellEnd"/>
      <w:r w:rsidRPr="00DC1A5F">
        <w:rPr>
          <w:lang w:val="es-PE"/>
        </w:rPr>
        <w:t>*— activar, accionar XV.4</w:t>
      </w:r>
    </w:p>
    <w:p w14:paraId="5372E2EC" w14:textId="77777777" w:rsidR="00597DE2" w:rsidRPr="00DC1A5F" w:rsidRDefault="00597DE2" w:rsidP="00597DE2">
      <w:pPr>
        <w:pStyle w:val="ParrafoGlosario"/>
        <w:rPr>
          <w:lang w:val="es-PE"/>
        </w:rPr>
      </w:pPr>
      <w:proofErr w:type="spellStart"/>
      <w:r w:rsidRPr="00DC1A5F">
        <w:rPr>
          <w:i/>
          <w:iCs/>
          <w:lang w:val="es-PE"/>
        </w:rPr>
        <w:t>ayu</w:t>
      </w:r>
      <w:proofErr w:type="spellEnd"/>
      <w:r w:rsidRPr="00DC1A5F">
        <w:rPr>
          <w:lang w:val="es-PE"/>
        </w:rPr>
        <w:t>— vida</w:t>
      </w:r>
    </w:p>
    <w:p w14:paraId="79784D60" w14:textId="77777777" w:rsidR="00597DE2" w:rsidRPr="00DC1A5F" w:rsidRDefault="00597DE2" w:rsidP="00597DE2">
      <w:pPr>
        <w:pStyle w:val="ParrafoGlosario"/>
        <w:rPr>
          <w:lang w:val="es-PE"/>
        </w:rPr>
      </w:pPr>
      <w:proofErr w:type="spellStart"/>
      <w:r w:rsidRPr="00DC1A5F">
        <w:rPr>
          <w:i/>
          <w:iCs/>
          <w:lang w:val="es-PE"/>
        </w:rPr>
        <w:t>āyūhana</w:t>
      </w:r>
      <w:proofErr w:type="spellEnd"/>
      <w:r w:rsidRPr="00DC1A5F">
        <w:rPr>
          <w:lang w:val="es-PE"/>
        </w:rPr>
        <w:t>*— también acumulación (</w:t>
      </w:r>
      <w:proofErr w:type="spellStart"/>
      <w:r w:rsidRPr="00DC1A5F">
        <w:rPr>
          <w:i/>
          <w:iCs/>
          <w:lang w:val="es-PE"/>
        </w:rPr>
        <w:t>kammica</w:t>
      </w:r>
      <w:proofErr w:type="spellEnd"/>
      <w:r w:rsidRPr="00DC1A5F">
        <w:rPr>
          <w:lang w:val="es-PE"/>
        </w:rPr>
        <w:t xml:space="preserve">) </w:t>
      </w:r>
    </w:p>
    <w:p w14:paraId="173D4D52" w14:textId="77777777" w:rsidR="00597DE2" w:rsidRPr="00DC1A5F" w:rsidRDefault="00597DE2" w:rsidP="00597DE2">
      <w:pPr>
        <w:pStyle w:val="ParrafoGlosario"/>
        <w:rPr>
          <w:lang w:val="es-PE"/>
        </w:rPr>
      </w:pPr>
      <w:proofErr w:type="spellStart"/>
      <w:r w:rsidRPr="00DC1A5F">
        <w:rPr>
          <w:i/>
          <w:iCs/>
          <w:lang w:val="es-PE"/>
        </w:rPr>
        <w:t>āyu</w:t>
      </w:r>
      <w:proofErr w:type="spellEnd"/>
      <w:r w:rsidRPr="00DC1A5F">
        <w:rPr>
          <w:lang w:val="es-PE"/>
        </w:rPr>
        <w:t>–</w:t>
      </w:r>
      <w:proofErr w:type="spellStart"/>
      <w:r w:rsidRPr="00DC1A5F">
        <w:rPr>
          <w:i/>
          <w:iCs/>
          <w:lang w:val="es-PE"/>
        </w:rPr>
        <w:t>saṅkhāra</w:t>
      </w:r>
      <w:proofErr w:type="spellEnd"/>
      <w:r w:rsidRPr="00DC1A5F">
        <w:rPr>
          <w:lang w:val="es-PE"/>
        </w:rPr>
        <w:t>— formación vital</w:t>
      </w:r>
    </w:p>
    <w:p w14:paraId="25CBF691" w14:textId="77777777" w:rsidR="00597DE2" w:rsidRPr="00DC1A5F" w:rsidRDefault="00597DE2" w:rsidP="00597DE2">
      <w:pPr>
        <w:pStyle w:val="ParrafoGlosario"/>
        <w:rPr>
          <w:lang w:val="es-PE"/>
        </w:rPr>
      </w:pPr>
      <w:proofErr w:type="spellStart"/>
      <w:r w:rsidRPr="00DC1A5F">
        <w:rPr>
          <w:i/>
          <w:iCs/>
          <w:lang w:val="es-PE"/>
        </w:rPr>
        <w:t>bahiddhā</w:t>
      </w:r>
      <w:proofErr w:type="spellEnd"/>
      <w:r w:rsidRPr="00DC1A5F">
        <w:rPr>
          <w:i/>
          <w:iCs/>
          <w:lang w:val="es-PE"/>
        </w:rPr>
        <w:t xml:space="preserve">, </w:t>
      </w:r>
      <w:proofErr w:type="spellStart"/>
      <w:r w:rsidRPr="00DC1A5F">
        <w:rPr>
          <w:i/>
          <w:iCs/>
          <w:lang w:val="es-PE"/>
        </w:rPr>
        <w:t>bahira</w:t>
      </w:r>
      <w:proofErr w:type="spellEnd"/>
      <w:r w:rsidRPr="00DC1A5F">
        <w:rPr>
          <w:lang w:val="es-PE"/>
        </w:rPr>
        <w:t>— externo, externamente</w:t>
      </w:r>
    </w:p>
    <w:p w14:paraId="1CBEDFDC" w14:textId="77777777" w:rsidR="00597DE2" w:rsidRPr="00DC1A5F" w:rsidRDefault="00597DE2" w:rsidP="00597DE2">
      <w:pPr>
        <w:pStyle w:val="ParrafoGlosario"/>
        <w:rPr>
          <w:lang w:val="es-PE"/>
        </w:rPr>
      </w:pPr>
      <w:r w:rsidRPr="00DC1A5F">
        <w:rPr>
          <w:i/>
          <w:iCs/>
          <w:lang w:val="es-PE"/>
        </w:rPr>
        <w:t>bala</w:t>
      </w:r>
      <w:r w:rsidRPr="00DC1A5F">
        <w:rPr>
          <w:lang w:val="es-PE"/>
        </w:rPr>
        <w:t>— poder (los 5; los 10 de un Perfecto)</w:t>
      </w:r>
    </w:p>
    <w:p w14:paraId="619EC3D3" w14:textId="77777777" w:rsidR="00597DE2" w:rsidRPr="00DC1A5F" w:rsidRDefault="00597DE2" w:rsidP="00597DE2">
      <w:pPr>
        <w:pStyle w:val="ParrafoGlosario"/>
        <w:rPr>
          <w:lang w:val="es-PE"/>
        </w:rPr>
      </w:pPr>
      <w:r w:rsidRPr="00DC1A5F">
        <w:rPr>
          <w:lang w:val="es-PE"/>
        </w:rPr>
        <w:t xml:space="preserve"> </w:t>
      </w:r>
      <w:proofErr w:type="spellStart"/>
      <w:r w:rsidRPr="00DC1A5F">
        <w:rPr>
          <w:i/>
          <w:iCs/>
          <w:lang w:val="es-PE"/>
        </w:rPr>
        <w:t>bālatta</w:t>
      </w:r>
      <w:proofErr w:type="spellEnd"/>
      <w:r w:rsidRPr="00DC1A5F">
        <w:rPr>
          <w:lang w:val="es-PE"/>
        </w:rPr>
        <w:t xml:space="preserve"> – vejez: XVI.45</w:t>
      </w:r>
    </w:p>
    <w:p w14:paraId="22CB6BBE" w14:textId="77777777" w:rsidR="00597DE2" w:rsidRPr="00DC1A5F" w:rsidRDefault="00597DE2" w:rsidP="00597DE2">
      <w:pPr>
        <w:pStyle w:val="ParrafoGlosario"/>
        <w:rPr>
          <w:lang w:val="es-PE"/>
        </w:rPr>
      </w:pPr>
      <w:proofErr w:type="spellStart"/>
      <w:r w:rsidRPr="00DC1A5F">
        <w:rPr>
          <w:i/>
          <w:iCs/>
          <w:lang w:val="es-PE"/>
        </w:rPr>
        <w:t>bhagavant</w:t>
      </w:r>
      <w:proofErr w:type="spellEnd"/>
      <w:r w:rsidRPr="00DC1A5F">
        <w:rPr>
          <w:lang w:val="es-PE"/>
        </w:rPr>
        <w:t>— Bienaventurado</w:t>
      </w:r>
    </w:p>
    <w:p w14:paraId="70F115B0" w14:textId="77777777" w:rsidR="00597DE2" w:rsidRPr="00DC1A5F" w:rsidRDefault="00597DE2" w:rsidP="00597DE2">
      <w:pPr>
        <w:pStyle w:val="ParrafoGlosario"/>
        <w:rPr>
          <w:lang w:val="es-PE"/>
        </w:rPr>
      </w:pPr>
      <w:proofErr w:type="spellStart"/>
      <w:r w:rsidRPr="00DC1A5F">
        <w:rPr>
          <w:i/>
          <w:iCs/>
          <w:lang w:val="es-PE"/>
        </w:rPr>
        <w:t>bhaṅga</w:t>
      </w:r>
      <w:proofErr w:type="spellEnd"/>
      <w:r w:rsidRPr="00DC1A5F">
        <w:rPr>
          <w:lang w:val="es-PE"/>
        </w:rPr>
        <w:t>— disolución</w:t>
      </w:r>
    </w:p>
    <w:p w14:paraId="6BD9ED95" w14:textId="77777777" w:rsidR="00597DE2" w:rsidRPr="00DC1A5F" w:rsidRDefault="00597DE2" w:rsidP="00597DE2">
      <w:pPr>
        <w:pStyle w:val="ParrafoGlosario"/>
        <w:rPr>
          <w:lang w:val="es-PE"/>
        </w:rPr>
      </w:pPr>
      <w:proofErr w:type="spellStart"/>
      <w:r w:rsidRPr="00DC1A5F">
        <w:rPr>
          <w:i/>
          <w:iCs/>
          <w:lang w:val="es-PE"/>
        </w:rPr>
        <w:t>bhanti</w:t>
      </w:r>
      <w:proofErr w:type="spellEnd"/>
      <w:r w:rsidRPr="00DC1A5F">
        <w:rPr>
          <w:lang w:val="es-PE"/>
        </w:rPr>
        <w:t>*— ellos brillan (3</w:t>
      </w:r>
      <w:r w:rsidRPr="00DC1A5F">
        <w:rPr>
          <w:vertAlign w:val="superscript"/>
          <w:lang w:val="es-PE"/>
        </w:rPr>
        <w:t>ra</w:t>
      </w:r>
      <w:r w:rsidRPr="00DC1A5F">
        <w:rPr>
          <w:lang w:val="es-PE"/>
        </w:rPr>
        <w:t xml:space="preserve"> p. pl. de </w:t>
      </w:r>
      <w:proofErr w:type="spellStart"/>
      <w:r w:rsidRPr="00DC1A5F">
        <w:rPr>
          <w:i/>
          <w:iCs/>
          <w:lang w:val="es-PE"/>
        </w:rPr>
        <w:t>bhāti</w:t>
      </w:r>
      <w:proofErr w:type="spellEnd"/>
      <w:r w:rsidRPr="00DC1A5F">
        <w:rPr>
          <w:lang w:val="es-PE"/>
        </w:rPr>
        <w:t>): VII.36 (M I 328)</w:t>
      </w:r>
    </w:p>
    <w:p w14:paraId="227C55A8" w14:textId="77777777" w:rsidR="00597DE2" w:rsidRPr="00DC1A5F" w:rsidRDefault="00597DE2" w:rsidP="00597DE2">
      <w:pPr>
        <w:pStyle w:val="ParrafoGlosario"/>
        <w:rPr>
          <w:lang w:val="es-PE"/>
        </w:rPr>
      </w:pPr>
      <w:proofErr w:type="spellStart"/>
      <w:r w:rsidRPr="00DC1A5F">
        <w:rPr>
          <w:i/>
          <w:iCs/>
          <w:lang w:val="es-PE"/>
        </w:rPr>
        <w:t>bhāti</w:t>
      </w:r>
      <w:proofErr w:type="spellEnd"/>
      <w:r w:rsidRPr="00DC1A5F">
        <w:rPr>
          <w:lang w:val="es-PE"/>
        </w:rPr>
        <w:t>*— hermano: XXI.54</w:t>
      </w:r>
    </w:p>
    <w:p w14:paraId="16EED07F" w14:textId="77777777" w:rsidR="00597DE2" w:rsidRPr="00DC1A5F" w:rsidRDefault="00597DE2" w:rsidP="00597DE2">
      <w:pPr>
        <w:pStyle w:val="ParrafoGlosario"/>
        <w:rPr>
          <w:lang w:val="es-PE"/>
        </w:rPr>
      </w:pPr>
      <w:proofErr w:type="spellStart"/>
      <w:r w:rsidRPr="00DC1A5F">
        <w:rPr>
          <w:i/>
          <w:iCs/>
          <w:lang w:val="es-PE"/>
        </w:rPr>
        <w:t>bhattar</w:t>
      </w:r>
      <w:proofErr w:type="spellEnd"/>
      <w:r w:rsidRPr="00DC1A5F">
        <w:rPr>
          <w:lang w:val="es-PE"/>
        </w:rPr>
        <w:t>*— empleador: IV.121 (cf. M II 123)</w:t>
      </w:r>
    </w:p>
    <w:p w14:paraId="62C15008" w14:textId="77777777" w:rsidR="00597DE2" w:rsidRPr="00DC1A5F" w:rsidRDefault="00597DE2" w:rsidP="00597DE2">
      <w:pPr>
        <w:pStyle w:val="ParrafoGlosario"/>
        <w:rPr>
          <w:lang w:val="es-PE"/>
        </w:rPr>
      </w:pPr>
      <w:proofErr w:type="spellStart"/>
      <w:r w:rsidRPr="00DC1A5F">
        <w:rPr>
          <w:i/>
          <w:iCs/>
          <w:lang w:val="es-PE"/>
        </w:rPr>
        <w:t>bhāva</w:t>
      </w:r>
      <w:proofErr w:type="spellEnd"/>
      <w:r w:rsidRPr="00DC1A5F">
        <w:rPr>
          <w:lang w:val="es-PE"/>
        </w:rPr>
        <w:t xml:space="preserve">— (1) esencia, </w:t>
      </w:r>
      <w:r w:rsidRPr="00DC1A5F">
        <w:rPr>
          <w:color w:val="833C0B" w:themeColor="accent2" w:themeShade="80"/>
          <w:lang w:val="es-PE"/>
        </w:rPr>
        <w:t>estatalidad</w:t>
      </w:r>
      <w:r w:rsidRPr="00DC1A5F">
        <w:rPr>
          <w:lang w:val="es-PE"/>
        </w:rPr>
        <w:t>, (2) sexo, (3) sustantivo verbal (gramática)</w:t>
      </w:r>
    </w:p>
    <w:p w14:paraId="2D283014" w14:textId="77777777" w:rsidR="00597DE2" w:rsidRPr="00DC1A5F" w:rsidRDefault="00597DE2" w:rsidP="00597DE2">
      <w:pPr>
        <w:pStyle w:val="ParrafoGlosario"/>
        <w:rPr>
          <w:lang w:val="es-PE"/>
        </w:rPr>
      </w:pPr>
      <w:proofErr w:type="spellStart"/>
      <w:r w:rsidRPr="00DC1A5F">
        <w:rPr>
          <w:i/>
          <w:iCs/>
          <w:lang w:val="es-PE"/>
        </w:rPr>
        <w:t>bhava</w:t>
      </w:r>
      <w:proofErr w:type="spellEnd"/>
      <w:r w:rsidRPr="00DC1A5F">
        <w:rPr>
          <w:lang w:val="es-PE"/>
        </w:rPr>
        <w:t xml:space="preserve">— devenir, ser, existencia </w:t>
      </w:r>
    </w:p>
    <w:p w14:paraId="79C93BB0" w14:textId="77777777" w:rsidR="00597DE2" w:rsidRPr="00DC1A5F" w:rsidRDefault="00597DE2" w:rsidP="00597DE2">
      <w:pPr>
        <w:pStyle w:val="ParrafoGlosario"/>
        <w:rPr>
          <w:lang w:val="es-PE"/>
        </w:rPr>
      </w:pPr>
      <w:proofErr w:type="spellStart"/>
      <w:r w:rsidRPr="00DC1A5F">
        <w:rPr>
          <w:i/>
          <w:iCs/>
          <w:lang w:val="es-PE"/>
        </w:rPr>
        <w:t>bhāvanā</w:t>
      </w:r>
      <w:proofErr w:type="spellEnd"/>
      <w:r w:rsidRPr="00DC1A5F">
        <w:rPr>
          <w:lang w:val="es-PE"/>
        </w:rPr>
        <w:t>— (1) desarrollo (</w:t>
      </w:r>
      <w:proofErr w:type="spellStart"/>
      <w:r w:rsidRPr="00DC1A5F">
        <w:rPr>
          <w:lang w:val="es-PE"/>
        </w:rPr>
        <w:t>lit.</w:t>
      </w:r>
      <w:proofErr w:type="spellEnd"/>
      <w:r w:rsidRPr="00DC1A5F">
        <w:rPr>
          <w:lang w:val="es-PE"/>
        </w:rPr>
        <w:t xml:space="preserve"> ‘</w:t>
      </w:r>
      <w:r w:rsidRPr="00DC1A5F">
        <w:rPr>
          <w:color w:val="833C0B" w:themeColor="accent2" w:themeShade="80"/>
          <w:lang w:val="es-PE"/>
        </w:rPr>
        <w:t>hacer ser’</w:t>
      </w:r>
      <w:r w:rsidRPr="00DC1A5F">
        <w:rPr>
          <w:lang w:val="es-PE"/>
        </w:rPr>
        <w:t>), (2) término para los 3 senderos superiores</w:t>
      </w:r>
    </w:p>
    <w:p w14:paraId="3803D9A1" w14:textId="77777777" w:rsidR="00597DE2" w:rsidRPr="00DC1A5F" w:rsidRDefault="00597DE2" w:rsidP="00597DE2">
      <w:pPr>
        <w:pStyle w:val="ParrafoGlosario"/>
        <w:rPr>
          <w:lang w:val="es-PE"/>
        </w:rPr>
      </w:pPr>
      <w:proofErr w:type="spellStart"/>
      <w:r w:rsidRPr="00DC1A5F">
        <w:rPr>
          <w:i/>
          <w:iCs/>
          <w:lang w:val="es-PE"/>
        </w:rPr>
        <w:t>bhavaṅga</w:t>
      </w:r>
      <w:proofErr w:type="spellEnd"/>
      <w:r w:rsidRPr="00DC1A5F">
        <w:rPr>
          <w:lang w:val="es-PE"/>
        </w:rPr>
        <w:t>— continuum</w:t>
      </w:r>
      <w:r w:rsidRPr="00DC1A5F">
        <w:rPr>
          <w:rFonts w:cs="Cormorant"/>
          <w:lang w:val="es-PE"/>
        </w:rPr>
        <w:t>–</w:t>
      </w:r>
      <w:r w:rsidRPr="00DC1A5F">
        <w:rPr>
          <w:lang w:val="es-PE"/>
        </w:rPr>
        <w:t>vital (consciencia)</w:t>
      </w:r>
    </w:p>
    <w:p w14:paraId="06C0D7B9" w14:textId="77777777" w:rsidR="00597DE2" w:rsidRPr="00DC1A5F" w:rsidRDefault="00597DE2" w:rsidP="00597DE2">
      <w:pPr>
        <w:pStyle w:val="ParrafoGlosario"/>
        <w:rPr>
          <w:lang w:val="es-PE"/>
        </w:rPr>
      </w:pPr>
      <w:proofErr w:type="spellStart"/>
      <w:r w:rsidRPr="00DC1A5F">
        <w:rPr>
          <w:i/>
          <w:iCs/>
          <w:lang w:val="es-PE"/>
        </w:rPr>
        <w:t>bhāva</w:t>
      </w:r>
      <w:proofErr w:type="spellEnd"/>
      <w:r w:rsidRPr="00DC1A5F">
        <w:rPr>
          <w:i/>
          <w:iCs/>
          <w:lang w:val="es-PE"/>
        </w:rPr>
        <w:t>–</w:t>
      </w:r>
      <w:proofErr w:type="spellStart"/>
      <w:r w:rsidRPr="00DC1A5F">
        <w:rPr>
          <w:i/>
          <w:iCs/>
          <w:lang w:val="es-PE"/>
        </w:rPr>
        <w:t>sādhana</w:t>
      </w:r>
      <w:proofErr w:type="spellEnd"/>
      <w:r w:rsidRPr="00DC1A5F">
        <w:rPr>
          <w:lang w:val="es-PE"/>
        </w:rPr>
        <w:t xml:space="preserve">— fórmula de establecimiento </w:t>
      </w:r>
      <w:proofErr w:type="spellStart"/>
      <w:r w:rsidRPr="00DC1A5F">
        <w:rPr>
          <w:lang w:val="es-PE"/>
        </w:rPr>
        <w:t>emdiante</w:t>
      </w:r>
      <w:proofErr w:type="spellEnd"/>
      <w:r w:rsidRPr="00DC1A5F">
        <w:rPr>
          <w:lang w:val="es-PE"/>
        </w:rPr>
        <w:t xml:space="preserve"> un sustantivo (gramática): XVII.12</w:t>
      </w:r>
    </w:p>
    <w:p w14:paraId="2F208CB4" w14:textId="77777777" w:rsidR="00597DE2" w:rsidRPr="00DC1A5F" w:rsidRDefault="00597DE2" w:rsidP="00597DE2">
      <w:pPr>
        <w:pStyle w:val="ParrafoGlosario"/>
        <w:rPr>
          <w:lang w:val="es-PE"/>
        </w:rPr>
      </w:pPr>
      <w:proofErr w:type="spellStart"/>
      <w:r w:rsidRPr="00DC1A5F">
        <w:rPr>
          <w:i/>
          <w:iCs/>
          <w:lang w:val="es-PE"/>
        </w:rPr>
        <w:t>bhayat</w:t>
      </w:r>
      <w:proofErr w:type="spellEnd"/>
      <w:r w:rsidRPr="00DC1A5F">
        <w:rPr>
          <w:i/>
          <w:iCs/>
          <w:lang w:val="es-PE"/>
        </w:rPr>
        <w:t xml:space="preserve">’ </w:t>
      </w:r>
      <w:proofErr w:type="spellStart"/>
      <w:r w:rsidRPr="00DC1A5F">
        <w:rPr>
          <w:i/>
          <w:iCs/>
          <w:lang w:val="es-PE"/>
        </w:rPr>
        <w:t>upaṭṭhāna</w:t>
      </w:r>
      <w:proofErr w:type="spellEnd"/>
      <w:r w:rsidRPr="00DC1A5F">
        <w:rPr>
          <w:lang w:val="es-PE"/>
        </w:rPr>
        <w:t>— apariencia de terror (etapa en la sabiduría</w:t>
      </w:r>
      <w:r w:rsidRPr="00DC1A5F">
        <w:rPr>
          <w:rFonts w:cs="Cormorant"/>
          <w:lang w:val="es-PE"/>
        </w:rPr>
        <w:t>‒</w:t>
      </w:r>
      <w:r w:rsidRPr="00DC1A5F">
        <w:rPr>
          <w:lang w:val="es-PE"/>
        </w:rPr>
        <w:t xml:space="preserve">revelativa) </w:t>
      </w:r>
    </w:p>
    <w:p w14:paraId="0EC2AD96" w14:textId="77777777" w:rsidR="00597DE2" w:rsidRPr="00DC1A5F" w:rsidRDefault="00597DE2" w:rsidP="00597DE2">
      <w:pPr>
        <w:pStyle w:val="ParrafoGlosario"/>
        <w:rPr>
          <w:lang w:val="es-PE"/>
        </w:rPr>
      </w:pPr>
      <w:proofErr w:type="spellStart"/>
      <w:r w:rsidRPr="00DC1A5F">
        <w:rPr>
          <w:i/>
          <w:iCs/>
          <w:lang w:val="es-PE"/>
        </w:rPr>
        <w:t>bheda</w:t>
      </w:r>
      <w:proofErr w:type="spellEnd"/>
      <w:r w:rsidRPr="00DC1A5F">
        <w:rPr>
          <w:i/>
          <w:iCs/>
          <w:lang w:val="es-PE"/>
        </w:rPr>
        <w:t xml:space="preserve">, </w:t>
      </w:r>
      <w:proofErr w:type="spellStart"/>
      <w:r w:rsidRPr="00DC1A5F">
        <w:rPr>
          <w:i/>
          <w:iCs/>
          <w:lang w:val="es-PE"/>
        </w:rPr>
        <w:t>vacī</w:t>
      </w:r>
      <w:proofErr w:type="spellEnd"/>
      <w:r w:rsidRPr="00DC1A5F">
        <w:rPr>
          <w:lang w:val="es-PE"/>
        </w:rPr>
        <w:t xml:space="preserve">* — expresión verbal: XIV.62 (cf. </w:t>
      </w:r>
      <w:proofErr w:type="spellStart"/>
      <w:r w:rsidRPr="00DC1A5F">
        <w:rPr>
          <w:lang w:val="es-PE"/>
        </w:rPr>
        <w:t>Dhs</w:t>
      </w:r>
      <w:proofErr w:type="spellEnd"/>
      <w:r w:rsidRPr="00DC1A5F">
        <w:rPr>
          <w:lang w:val="es-PE"/>
        </w:rPr>
        <w:t>–a 90; M I 301)</w:t>
      </w:r>
    </w:p>
    <w:p w14:paraId="5D89FEF3" w14:textId="77777777" w:rsidR="00597DE2" w:rsidRPr="00DC1A5F" w:rsidRDefault="00597DE2" w:rsidP="00597DE2">
      <w:pPr>
        <w:pStyle w:val="ParrafoGlosario"/>
        <w:rPr>
          <w:lang w:val="es-PE"/>
        </w:rPr>
      </w:pPr>
      <w:proofErr w:type="spellStart"/>
      <w:r w:rsidRPr="00DC1A5F">
        <w:rPr>
          <w:i/>
          <w:iCs/>
          <w:lang w:val="es-PE"/>
        </w:rPr>
        <w:t>bhikkhu</w:t>
      </w:r>
      <w:proofErr w:type="spellEnd"/>
      <w:r w:rsidRPr="00DC1A5F">
        <w:rPr>
          <w:lang w:val="es-PE"/>
        </w:rPr>
        <w:t xml:space="preserve">— </w:t>
      </w:r>
      <w:proofErr w:type="spellStart"/>
      <w:r w:rsidRPr="00DC1A5F">
        <w:rPr>
          <w:i/>
          <w:iCs/>
          <w:lang w:val="es-PE"/>
        </w:rPr>
        <w:t>bhikkhu</w:t>
      </w:r>
      <w:proofErr w:type="spellEnd"/>
      <w:r w:rsidRPr="00DC1A5F">
        <w:rPr>
          <w:lang w:val="es-PE"/>
        </w:rPr>
        <w:t>, monje budista</w:t>
      </w:r>
    </w:p>
    <w:p w14:paraId="1206979B" w14:textId="77777777" w:rsidR="00597DE2" w:rsidRPr="00DC1A5F" w:rsidRDefault="00597DE2" w:rsidP="00597DE2">
      <w:pPr>
        <w:pStyle w:val="ParrafoGlosario"/>
        <w:rPr>
          <w:lang w:val="es-PE"/>
        </w:rPr>
      </w:pPr>
      <w:proofErr w:type="spellStart"/>
      <w:r w:rsidRPr="00DC1A5F">
        <w:rPr>
          <w:i/>
          <w:iCs/>
          <w:lang w:val="es-PE"/>
        </w:rPr>
        <w:t>bhūmi</w:t>
      </w:r>
      <w:proofErr w:type="spellEnd"/>
      <w:r w:rsidRPr="00DC1A5F">
        <w:rPr>
          <w:lang w:val="es-PE"/>
        </w:rPr>
        <w:t>— (l) tierra, suelo, (2) plano (existencial; los 4)</w:t>
      </w:r>
    </w:p>
    <w:p w14:paraId="21F2DB4B" w14:textId="77777777" w:rsidR="00597DE2" w:rsidRDefault="00597DE2" w:rsidP="00597DE2">
      <w:pPr>
        <w:pStyle w:val="ParrafoGlosario"/>
        <w:rPr>
          <w:i/>
          <w:iCs/>
          <w:lang w:val="es-PE"/>
        </w:rPr>
      </w:pPr>
      <w:r>
        <w:rPr>
          <w:i/>
          <w:iCs/>
          <w:lang w:val="es-PE"/>
        </w:rPr>
        <w:br w:type="page"/>
      </w:r>
    </w:p>
    <w:p w14:paraId="7CD398BF" w14:textId="77777777" w:rsidR="00597DE2" w:rsidRDefault="00597DE2" w:rsidP="00597DE2">
      <w:pPr>
        <w:pStyle w:val="ParrafoGlosario"/>
        <w:rPr>
          <w:i/>
          <w:iCs/>
          <w:lang w:val="es-PE"/>
        </w:rPr>
      </w:pPr>
    </w:p>
    <w:p w14:paraId="5C97C2AF" w14:textId="77777777" w:rsidR="00597DE2" w:rsidRPr="00DC1A5F" w:rsidRDefault="00597DE2" w:rsidP="00597DE2">
      <w:pPr>
        <w:pStyle w:val="ParrafoGlosario"/>
        <w:rPr>
          <w:lang w:val="es-PE"/>
        </w:rPr>
      </w:pPr>
      <w:r w:rsidRPr="00DC1A5F">
        <w:rPr>
          <w:i/>
          <w:iCs/>
          <w:lang w:val="es-PE"/>
        </w:rPr>
        <w:t>bhūta</w:t>
      </w:r>
      <w:r w:rsidRPr="00DC1A5F">
        <w:rPr>
          <w:lang w:val="es-PE"/>
        </w:rPr>
        <w:t>— (1) convertirse, estado, (2) criatura, (3) elemento primario (entidad) de la materia, etc.</w:t>
      </w:r>
    </w:p>
    <w:p w14:paraId="4514919C" w14:textId="77777777" w:rsidR="00597DE2" w:rsidRPr="00DC1A5F" w:rsidRDefault="00597DE2" w:rsidP="00597DE2">
      <w:pPr>
        <w:pStyle w:val="ParrafoGlosario"/>
        <w:rPr>
          <w:lang w:val="es-PE"/>
        </w:rPr>
      </w:pPr>
      <w:proofErr w:type="spellStart"/>
      <w:r w:rsidRPr="00DC1A5F">
        <w:rPr>
          <w:i/>
          <w:iCs/>
          <w:lang w:val="es-PE"/>
        </w:rPr>
        <w:t>bhūtūpādā</w:t>
      </w:r>
      <w:proofErr w:type="spellEnd"/>
      <w:r w:rsidRPr="00DC1A5F">
        <w:rPr>
          <w:i/>
          <w:iCs/>
          <w:lang w:val="es-PE"/>
        </w:rPr>
        <w:t>–rūpa</w:t>
      </w:r>
      <w:r w:rsidRPr="00DC1A5F">
        <w:rPr>
          <w:lang w:val="es-PE"/>
        </w:rPr>
        <w:t>— materia derivada de los (cuatro) elementos primarios (los 24 tipos)</w:t>
      </w:r>
    </w:p>
    <w:p w14:paraId="4122E5F0" w14:textId="77777777" w:rsidR="00597DE2" w:rsidRPr="00DC1A5F" w:rsidRDefault="00597DE2" w:rsidP="00597DE2">
      <w:pPr>
        <w:pStyle w:val="ParrafoGlosario"/>
        <w:rPr>
          <w:lang w:val="es-PE"/>
        </w:rPr>
      </w:pPr>
      <w:proofErr w:type="spellStart"/>
      <w:r w:rsidRPr="00DC1A5F">
        <w:rPr>
          <w:i/>
          <w:iCs/>
          <w:lang w:val="es-PE"/>
        </w:rPr>
        <w:t>bodhi</w:t>
      </w:r>
      <w:proofErr w:type="spellEnd"/>
      <w:r w:rsidRPr="00DC1A5F">
        <w:rPr>
          <w:lang w:val="es-PE"/>
        </w:rPr>
        <w:t>— iluminación, despertar</w:t>
      </w:r>
    </w:p>
    <w:p w14:paraId="72DC00FA" w14:textId="77777777" w:rsidR="00597DE2" w:rsidRPr="00DC1A5F" w:rsidRDefault="00597DE2" w:rsidP="00597DE2">
      <w:pPr>
        <w:pStyle w:val="ParrafoGlosario"/>
        <w:rPr>
          <w:lang w:val="es-PE"/>
        </w:rPr>
      </w:pPr>
      <w:proofErr w:type="spellStart"/>
      <w:r w:rsidRPr="00DC1A5F">
        <w:rPr>
          <w:i/>
          <w:iCs/>
          <w:lang w:val="es-PE"/>
        </w:rPr>
        <w:t>bodhisatta</w:t>
      </w:r>
      <w:proofErr w:type="spellEnd"/>
      <w:r w:rsidRPr="00DC1A5F">
        <w:rPr>
          <w:lang w:val="es-PE"/>
        </w:rPr>
        <w:t xml:space="preserve">— </w:t>
      </w:r>
      <w:r w:rsidRPr="00DC1A5F">
        <w:rPr>
          <w:i/>
          <w:iCs/>
          <w:lang w:val="es-PE"/>
        </w:rPr>
        <w:t>Bodhisatta</w:t>
      </w:r>
      <w:r w:rsidRPr="00DC1A5F">
        <w:rPr>
          <w:lang w:val="es-PE"/>
        </w:rPr>
        <w:t>, ser destinado a la iluminación</w:t>
      </w:r>
    </w:p>
    <w:p w14:paraId="7D1E5A06" w14:textId="77777777" w:rsidR="00597DE2" w:rsidRPr="00DC1A5F" w:rsidRDefault="00597DE2" w:rsidP="00597DE2">
      <w:pPr>
        <w:pStyle w:val="ParrafoGlosario"/>
        <w:rPr>
          <w:lang w:val="es-PE"/>
        </w:rPr>
      </w:pPr>
      <w:proofErr w:type="spellStart"/>
      <w:r w:rsidRPr="00DC1A5F">
        <w:rPr>
          <w:i/>
          <w:iCs/>
          <w:lang w:val="es-PE"/>
        </w:rPr>
        <w:t>bojjhaṅga</w:t>
      </w:r>
      <w:proofErr w:type="spellEnd"/>
      <w:r w:rsidRPr="00DC1A5F">
        <w:rPr>
          <w:lang w:val="es-PE"/>
        </w:rPr>
        <w:t xml:space="preserve">— factor de iluminación </w:t>
      </w:r>
    </w:p>
    <w:p w14:paraId="107084E7" w14:textId="77777777" w:rsidR="00597DE2" w:rsidRPr="00DC1A5F" w:rsidRDefault="00597DE2" w:rsidP="00597DE2">
      <w:pPr>
        <w:pStyle w:val="ParrafoGlosario"/>
        <w:rPr>
          <w:lang w:val="es-PE"/>
        </w:rPr>
      </w:pPr>
      <w:proofErr w:type="spellStart"/>
      <w:r w:rsidRPr="00DC1A5F">
        <w:rPr>
          <w:i/>
          <w:iCs/>
          <w:lang w:val="es-PE"/>
        </w:rPr>
        <w:t>brahmacariya</w:t>
      </w:r>
      <w:proofErr w:type="spellEnd"/>
      <w:r w:rsidRPr="00DC1A5F">
        <w:rPr>
          <w:lang w:val="es-PE"/>
        </w:rPr>
        <w:t>— vida de pureza, la buena vida, la vida divina</w:t>
      </w:r>
    </w:p>
    <w:p w14:paraId="47A75AF9" w14:textId="77777777" w:rsidR="00597DE2" w:rsidRPr="00DC1A5F" w:rsidRDefault="00597DE2" w:rsidP="00597DE2">
      <w:pPr>
        <w:pStyle w:val="ParrafoGlosario"/>
        <w:rPr>
          <w:lang w:val="es-PE"/>
        </w:rPr>
      </w:pPr>
      <w:proofErr w:type="spellStart"/>
      <w:r w:rsidRPr="00DC1A5F">
        <w:rPr>
          <w:i/>
          <w:iCs/>
          <w:lang w:val="es-PE"/>
        </w:rPr>
        <w:t>brahma</w:t>
      </w:r>
      <w:proofErr w:type="spellEnd"/>
      <w:r w:rsidRPr="00DC1A5F">
        <w:rPr>
          <w:i/>
          <w:iCs/>
          <w:lang w:val="es-PE"/>
        </w:rPr>
        <w:t>–</w:t>
      </w:r>
      <w:proofErr w:type="spellStart"/>
      <w:r w:rsidRPr="00DC1A5F">
        <w:rPr>
          <w:i/>
          <w:iCs/>
          <w:lang w:val="es-PE"/>
        </w:rPr>
        <w:t>vihāra</w:t>
      </w:r>
      <w:proofErr w:type="spellEnd"/>
      <w:r w:rsidRPr="00DC1A5F">
        <w:rPr>
          <w:lang w:val="es-PE"/>
        </w:rPr>
        <w:t>— plano/estado divino (los 4)</w:t>
      </w:r>
    </w:p>
    <w:p w14:paraId="7A59E01D" w14:textId="77777777" w:rsidR="00597DE2" w:rsidRPr="00DC1A5F" w:rsidRDefault="00597DE2" w:rsidP="00597DE2">
      <w:pPr>
        <w:pStyle w:val="ParrafoGlosario"/>
        <w:rPr>
          <w:lang w:val="es-PE"/>
        </w:rPr>
      </w:pPr>
      <w:proofErr w:type="spellStart"/>
      <w:r w:rsidRPr="00DC1A5F">
        <w:rPr>
          <w:i/>
          <w:iCs/>
          <w:lang w:val="es-PE"/>
        </w:rPr>
        <w:t>brūhana</w:t>
      </w:r>
      <w:proofErr w:type="spellEnd"/>
      <w:r w:rsidRPr="00DC1A5F">
        <w:rPr>
          <w:lang w:val="es-PE"/>
        </w:rPr>
        <w:t xml:space="preserve">— intensificación </w:t>
      </w:r>
    </w:p>
    <w:p w14:paraId="64F7BAAF" w14:textId="77777777" w:rsidR="00597DE2" w:rsidRPr="00DC1A5F" w:rsidRDefault="00597DE2" w:rsidP="00597DE2">
      <w:pPr>
        <w:pStyle w:val="ParrafoGlosario"/>
        <w:rPr>
          <w:lang w:val="es-PE"/>
        </w:rPr>
      </w:pPr>
      <w:proofErr w:type="spellStart"/>
      <w:r w:rsidRPr="00DC1A5F">
        <w:rPr>
          <w:i/>
          <w:iCs/>
          <w:lang w:val="es-PE"/>
        </w:rPr>
        <w:t>buddha</w:t>
      </w:r>
      <w:proofErr w:type="spellEnd"/>
      <w:r w:rsidRPr="00DC1A5F">
        <w:rPr>
          <w:lang w:val="es-PE"/>
        </w:rPr>
        <w:t>— el iluminado</w:t>
      </w:r>
    </w:p>
    <w:p w14:paraId="0EC1B90C" w14:textId="77777777" w:rsidR="00597DE2" w:rsidRPr="00DC1A5F" w:rsidRDefault="00597DE2" w:rsidP="00597DE2">
      <w:pPr>
        <w:pStyle w:val="ParrafoGlosario"/>
        <w:rPr>
          <w:lang w:val="es-PE"/>
        </w:rPr>
      </w:pPr>
      <w:proofErr w:type="spellStart"/>
      <w:r w:rsidRPr="00DC1A5F">
        <w:rPr>
          <w:i/>
          <w:iCs/>
          <w:lang w:val="es-PE"/>
        </w:rPr>
        <w:t>buddhi</w:t>
      </w:r>
      <w:proofErr w:type="spellEnd"/>
      <w:r w:rsidRPr="00DC1A5F">
        <w:rPr>
          <w:lang w:val="es-PE"/>
        </w:rPr>
        <w:t>— (l) iluminación, (2) intelecto, discreción, especulación, (3) sensación</w:t>
      </w:r>
    </w:p>
    <w:p w14:paraId="38E4C34C" w14:textId="77777777" w:rsidR="00597DE2" w:rsidRPr="00DC1A5F" w:rsidRDefault="00597DE2" w:rsidP="00597DE2">
      <w:pPr>
        <w:pStyle w:val="ParrafoGlosario"/>
        <w:rPr>
          <w:lang w:val="es-PE"/>
        </w:rPr>
      </w:pPr>
      <w:proofErr w:type="spellStart"/>
      <w:r w:rsidRPr="00DC1A5F">
        <w:rPr>
          <w:lang w:val="es-PE"/>
        </w:rPr>
        <w:t>budha</w:t>
      </w:r>
      <w:proofErr w:type="spellEnd"/>
      <w:r w:rsidRPr="00DC1A5F">
        <w:rPr>
          <w:lang w:val="es-PE"/>
        </w:rPr>
        <w:t>*— dotado de inteligencia: IV.66</w:t>
      </w:r>
    </w:p>
    <w:p w14:paraId="3B250E74" w14:textId="77777777" w:rsidR="00597DE2" w:rsidRPr="00DC1A5F" w:rsidRDefault="00597DE2" w:rsidP="00597DE2">
      <w:pPr>
        <w:pStyle w:val="ParrafoGlosario"/>
        <w:rPr>
          <w:lang w:val="es-PE"/>
        </w:rPr>
      </w:pPr>
      <w:proofErr w:type="spellStart"/>
      <w:r w:rsidRPr="00DC1A5F">
        <w:rPr>
          <w:i/>
          <w:iCs/>
          <w:lang w:val="es-PE"/>
        </w:rPr>
        <w:t>byatti</w:t>
      </w:r>
      <w:proofErr w:type="spellEnd"/>
      <w:r w:rsidRPr="00DC1A5F">
        <w:rPr>
          <w:lang w:val="es-PE"/>
        </w:rPr>
        <w:t xml:space="preserve">*— ver </w:t>
      </w:r>
      <w:proofErr w:type="spellStart"/>
      <w:r w:rsidRPr="00DC1A5F">
        <w:rPr>
          <w:i/>
          <w:iCs/>
          <w:lang w:val="es-PE"/>
        </w:rPr>
        <w:t>vyatti</w:t>
      </w:r>
      <w:proofErr w:type="spellEnd"/>
    </w:p>
    <w:p w14:paraId="17A85BCC" w14:textId="77777777" w:rsidR="00597DE2" w:rsidRPr="00DC1A5F" w:rsidRDefault="00597DE2" w:rsidP="00597DE2">
      <w:pPr>
        <w:pStyle w:val="ParrafoGlosario"/>
        <w:rPr>
          <w:lang w:val="es-PE"/>
        </w:rPr>
      </w:pPr>
      <w:r w:rsidRPr="00DC1A5F">
        <w:rPr>
          <w:i/>
          <w:iCs/>
          <w:lang w:val="es-PE"/>
        </w:rPr>
        <w:t>caga</w:t>
      </w:r>
      <w:r w:rsidRPr="00DC1A5F">
        <w:rPr>
          <w:lang w:val="es-PE"/>
        </w:rPr>
        <w:t>— generosidad</w:t>
      </w:r>
    </w:p>
    <w:p w14:paraId="30D66AEA" w14:textId="77777777" w:rsidR="00597DE2" w:rsidRPr="00DC1A5F" w:rsidRDefault="00597DE2" w:rsidP="00597DE2">
      <w:pPr>
        <w:pStyle w:val="ParrafoGlosario"/>
        <w:rPr>
          <w:lang w:val="es-PE"/>
        </w:rPr>
      </w:pPr>
      <w:proofErr w:type="spellStart"/>
      <w:r w:rsidRPr="00DC1A5F">
        <w:rPr>
          <w:i/>
          <w:iCs/>
          <w:lang w:val="es-PE"/>
        </w:rPr>
        <w:t>cakkavā</w:t>
      </w:r>
      <w:r w:rsidRPr="00DC1A5F">
        <w:rPr>
          <w:lang w:val="es-PE"/>
        </w:rPr>
        <w:t>ḷa</w:t>
      </w:r>
      <w:proofErr w:type="spellEnd"/>
      <w:r w:rsidRPr="00DC1A5F">
        <w:rPr>
          <w:lang w:val="es-PE"/>
        </w:rPr>
        <w:t>— esfera existencial</w:t>
      </w:r>
    </w:p>
    <w:p w14:paraId="2CD069A0" w14:textId="77777777" w:rsidR="00597DE2" w:rsidRPr="00DC1A5F" w:rsidRDefault="00597DE2" w:rsidP="00597DE2">
      <w:pPr>
        <w:pStyle w:val="ParrafoGlosario"/>
        <w:rPr>
          <w:lang w:val="es-PE"/>
        </w:rPr>
      </w:pPr>
      <w:proofErr w:type="spellStart"/>
      <w:r w:rsidRPr="00DC1A5F">
        <w:rPr>
          <w:i/>
          <w:iCs/>
          <w:lang w:val="es-PE"/>
        </w:rPr>
        <w:t>cakkhati</w:t>
      </w:r>
      <w:proofErr w:type="spellEnd"/>
      <w:r w:rsidRPr="00DC1A5F">
        <w:rPr>
          <w:lang w:val="es-PE"/>
        </w:rPr>
        <w:t>*— saborear, paladear, condimentar: XV.3</w:t>
      </w:r>
    </w:p>
    <w:p w14:paraId="5270F810" w14:textId="77777777" w:rsidR="00597DE2" w:rsidRPr="00DC1A5F" w:rsidRDefault="00597DE2" w:rsidP="00597DE2">
      <w:pPr>
        <w:pStyle w:val="ParrafoGlosario"/>
        <w:rPr>
          <w:lang w:val="es-PE"/>
        </w:rPr>
      </w:pPr>
      <w:proofErr w:type="spellStart"/>
      <w:r w:rsidRPr="00DC1A5F">
        <w:rPr>
          <w:i/>
          <w:iCs/>
          <w:lang w:val="es-PE"/>
        </w:rPr>
        <w:t>cakkhu</w:t>
      </w:r>
      <w:proofErr w:type="spellEnd"/>
      <w:r w:rsidRPr="00DC1A5F">
        <w:rPr>
          <w:lang w:val="es-PE"/>
        </w:rPr>
        <w:t>— ojo</w:t>
      </w:r>
    </w:p>
    <w:p w14:paraId="52E96EF4" w14:textId="77777777" w:rsidR="00597DE2" w:rsidRPr="00DC1A5F" w:rsidRDefault="00597DE2" w:rsidP="00597DE2">
      <w:pPr>
        <w:pStyle w:val="ParrafoGlosario"/>
        <w:rPr>
          <w:lang w:val="es-PE"/>
        </w:rPr>
      </w:pPr>
      <w:proofErr w:type="spellStart"/>
      <w:r w:rsidRPr="00DC1A5F">
        <w:rPr>
          <w:i/>
          <w:iCs/>
          <w:lang w:val="es-PE"/>
        </w:rPr>
        <w:t>cāpalya</w:t>
      </w:r>
      <w:proofErr w:type="spellEnd"/>
      <w:r w:rsidRPr="00DC1A5F">
        <w:rPr>
          <w:i/>
          <w:iCs/>
          <w:lang w:val="es-PE"/>
        </w:rPr>
        <w:t>*</w:t>
      </w:r>
      <w:r w:rsidRPr="00DC1A5F">
        <w:rPr>
          <w:lang w:val="es-PE"/>
        </w:rPr>
        <w:t xml:space="preserve">— </w:t>
      </w:r>
      <w:r w:rsidRPr="00DC1A5F">
        <w:rPr>
          <w:i/>
          <w:iCs/>
          <w:lang w:val="es-PE"/>
        </w:rPr>
        <w:t>también</w:t>
      </w:r>
      <w:r w:rsidRPr="00DC1A5F">
        <w:rPr>
          <w:lang w:val="es-PE"/>
        </w:rPr>
        <w:t xml:space="preserve"> vanidad personal: III.95 (este significado no se encuentra sí en el CPD, bajo </w:t>
      </w:r>
      <w:proofErr w:type="spellStart"/>
      <w:r w:rsidRPr="00DC1A5F">
        <w:rPr>
          <w:i/>
          <w:iCs/>
          <w:lang w:val="es-PE"/>
        </w:rPr>
        <w:t>acāpalya</w:t>
      </w:r>
      <w:proofErr w:type="spellEnd"/>
      <w:r w:rsidRPr="00DC1A5F">
        <w:rPr>
          <w:lang w:val="es-PE"/>
        </w:rPr>
        <w:t xml:space="preserve"> o </w:t>
      </w:r>
      <w:proofErr w:type="spellStart"/>
      <w:r w:rsidRPr="00DC1A5F">
        <w:rPr>
          <w:i/>
          <w:iCs/>
          <w:lang w:val="es-PE"/>
        </w:rPr>
        <w:t>acapala</w:t>
      </w:r>
      <w:proofErr w:type="spellEnd"/>
      <w:r w:rsidRPr="00DC1A5F">
        <w:rPr>
          <w:lang w:val="es-PE"/>
        </w:rPr>
        <w:t>)</w:t>
      </w:r>
    </w:p>
    <w:p w14:paraId="60526B1E" w14:textId="77777777" w:rsidR="00597DE2" w:rsidRPr="00DC1A5F" w:rsidRDefault="00597DE2" w:rsidP="00597DE2">
      <w:pPr>
        <w:pStyle w:val="ParrafoGlosario"/>
        <w:rPr>
          <w:lang w:val="es-PE"/>
        </w:rPr>
      </w:pPr>
      <w:proofErr w:type="spellStart"/>
      <w:r w:rsidRPr="00DC1A5F">
        <w:rPr>
          <w:i/>
          <w:iCs/>
          <w:lang w:val="es-PE"/>
        </w:rPr>
        <w:t>cāraka</w:t>
      </w:r>
      <w:proofErr w:type="spellEnd"/>
      <w:r w:rsidRPr="00DC1A5F">
        <w:rPr>
          <w:i/>
          <w:iCs/>
          <w:lang w:val="es-PE"/>
        </w:rPr>
        <w:t>*</w:t>
      </w:r>
      <w:r w:rsidRPr="00DC1A5F">
        <w:rPr>
          <w:lang w:val="es-PE"/>
        </w:rPr>
        <w:t>— prisión: XIV.221; XVI.18</w:t>
      </w:r>
    </w:p>
    <w:p w14:paraId="54E44DFD" w14:textId="77777777" w:rsidR="00597DE2" w:rsidRPr="00DC1A5F" w:rsidRDefault="00597DE2" w:rsidP="00597DE2">
      <w:pPr>
        <w:pStyle w:val="ParrafoGlosario"/>
        <w:rPr>
          <w:lang w:val="es-PE"/>
        </w:rPr>
      </w:pPr>
      <w:r w:rsidRPr="00DC1A5F">
        <w:rPr>
          <w:i/>
          <w:iCs/>
          <w:lang w:val="es-PE"/>
        </w:rPr>
        <w:t>cariya, carita</w:t>
      </w:r>
      <w:r w:rsidRPr="00DC1A5F">
        <w:rPr>
          <w:lang w:val="es-PE"/>
        </w:rPr>
        <w:t>— temperamento; comportamiento, ejercicio</w:t>
      </w:r>
    </w:p>
    <w:p w14:paraId="5590D8EC" w14:textId="77777777" w:rsidR="00597DE2" w:rsidRPr="00DC1A5F" w:rsidRDefault="00597DE2" w:rsidP="00597DE2">
      <w:pPr>
        <w:pStyle w:val="ParrafoGlosario"/>
        <w:rPr>
          <w:lang w:val="es-PE"/>
        </w:rPr>
      </w:pPr>
      <w:proofErr w:type="spellStart"/>
      <w:r w:rsidRPr="00DC1A5F">
        <w:rPr>
          <w:i/>
          <w:iCs/>
          <w:lang w:val="es-PE"/>
        </w:rPr>
        <w:t>catusamuṭṭhāna</w:t>
      </w:r>
      <w:proofErr w:type="spellEnd"/>
      <w:r w:rsidRPr="00DC1A5F">
        <w:rPr>
          <w:lang w:val="es-PE"/>
        </w:rPr>
        <w:t xml:space="preserve">— (materia) de origen cuádruple (es decir, de la consciencia, el </w:t>
      </w:r>
      <w:proofErr w:type="spellStart"/>
      <w:r w:rsidRPr="00DC1A5F">
        <w:rPr>
          <w:i/>
          <w:iCs/>
          <w:lang w:val="es-PE"/>
        </w:rPr>
        <w:t>kamma</w:t>
      </w:r>
      <w:proofErr w:type="spellEnd"/>
      <w:r w:rsidRPr="00DC1A5F">
        <w:rPr>
          <w:lang w:val="es-PE"/>
        </w:rPr>
        <w:t>, la temperatura y el nutrimento)</w:t>
      </w:r>
    </w:p>
    <w:p w14:paraId="30DEB2CC" w14:textId="77777777" w:rsidR="00597DE2" w:rsidRPr="00DC1A5F" w:rsidRDefault="00597DE2" w:rsidP="00597DE2">
      <w:pPr>
        <w:pStyle w:val="ParrafoGlosario"/>
        <w:rPr>
          <w:lang w:val="es-PE"/>
        </w:rPr>
      </w:pPr>
      <w:proofErr w:type="spellStart"/>
      <w:r w:rsidRPr="00DC1A5F">
        <w:rPr>
          <w:i/>
          <w:iCs/>
          <w:lang w:val="es-PE"/>
        </w:rPr>
        <w:t>cetana</w:t>
      </w:r>
      <w:proofErr w:type="spellEnd"/>
      <w:r w:rsidRPr="00DC1A5F">
        <w:rPr>
          <w:lang w:val="es-PE"/>
        </w:rPr>
        <w:t>— volición</w:t>
      </w:r>
    </w:p>
    <w:p w14:paraId="6A7E0683" w14:textId="77777777" w:rsidR="00597DE2" w:rsidRPr="00DC1A5F" w:rsidRDefault="00597DE2" w:rsidP="00597DE2">
      <w:pPr>
        <w:pStyle w:val="ParrafoGlosario"/>
        <w:rPr>
          <w:lang w:val="es-PE"/>
        </w:rPr>
      </w:pPr>
      <w:proofErr w:type="spellStart"/>
      <w:r w:rsidRPr="00DC1A5F">
        <w:rPr>
          <w:i/>
          <w:iCs/>
          <w:lang w:val="es-PE"/>
        </w:rPr>
        <w:t>cetasika</w:t>
      </w:r>
      <w:proofErr w:type="spellEnd"/>
      <w:r w:rsidRPr="00DC1A5F">
        <w:rPr>
          <w:lang w:val="es-PE"/>
        </w:rPr>
        <w:t>— consciencia concomitante (es decir, sensación, percepción y formaciones)</w:t>
      </w:r>
    </w:p>
    <w:p w14:paraId="7FCCB796" w14:textId="77777777" w:rsidR="00597DE2" w:rsidRPr="00DC1A5F" w:rsidRDefault="00597DE2" w:rsidP="00597DE2">
      <w:pPr>
        <w:pStyle w:val="ParrafoGlosario"/>
        <w:rPr>
          <w:lang w:val="es-PE"/>
        </w:rPr>
      </w:pPr>
      <w:proofErr w:type="spellStart"/>
      <w:r w:rsidRPr="00DC1A5F">
        <w:rPr>
          <w:i/>
          <w:iCs/>
          <w:lang w:val="es-PE"/>
        </w:rPr>
        <w:t>ceto</w:t>
      </w:r>
      <w:proofErr w:type="spellEnd"/>
      <w:r w:rsidRPr="00DC1A5F">
        <w:rPr>
          <w:lang w:val="es-PE"/>
        </w:rPr>
        <w:t>— mente, corazón, voluntad</w:t>
      </w:r>
    </w:p>
    <w:p w14:paraId="6BABFA30" w14:textId="77777777" w:rsidR="00597DE2" w:rsidRPr="00DC1A5F" w:rsidRDefault="00597DE2" w:rsidP="00597DE2">
      <w:pPr>
        <w:pStyle w:val="ParrafoGlosario"/>
        <w:rPr>
          <w:lang w:val="es-PE"/>
        </w:rPr>
      </w:pPr>
      <w:proofErr w:type="spellStart"/>
      <w:r w:rsidRPr="00DC1A5F">
        <w:rPr>
          <w:i/>
          <w:iCs/>
          <w:lang w:val="es-PE"/>
        </w:rPr>
        <w:t>cetopariya</w:t>
      </w:r>
      <w:proofErr w:type="spellEnd"/>
      <w:r w:rsidRPr="00DC1A5F">
        <w:rPr>
          <w:lang w:val="es-PE"/>
        </w:rPr>
        <w:t>— penetración de las mentes</w:t>
      </w:r>
    </w:p>
    <w:p w14:paraId="3FA9F7A7" w14:textId="77777777" w:rsidR="00597DE2" w:rsidRPr="00DC1A5F" w:rsidRDefault="00597DE2" w:rsidP="00597DE2">
      <w:pPr>
        <w:pStyle w:val="ParrafoGlosario"/>
        <w:rPr>
          <w:lang w:val="es-PE"/>
        </w:rPr>
      </w:pPr>
      <w:proofErr w:type="spellStart"/>
      <w:r w:rsidRPr="00DC1A5F">
        <w:rPr>
          <w:i/>
          <w:iCs/>
          <w:lang w:val="es-PE"/>
        </w:rPr>
        <w:t>ceto</w:t>
      </w:r>
      <w:proofErr w:type="spellEnd"/>
      <w:r w:rsidRPr="00DC1A5F">
        <w:rPr>
          <w:i/>
          <w:iCs/>
          <w:lang w:val="es-PE"/>
        </w:rPr>
        <w:t>–</w:t>
      </w:r>
      <w:proofErr w:type="spellStart"/>
      <w:r w:rsidRPr="00DC1A5F">
        <w:rPr>
          <w:i/>
          <w:iCs/>
          <w:lang w:val="es-PE"/>
        </w:rPr>
        <w:t>vimutti</w:t>
      </w:r>
      <w:proofErr w:type="spellEnd"/>
      <w:r w:rsidRPr="00DC1A5F">
        <w:rPr>
          <w:lang w:val="es-PE"/>
        </w:rPr>
        <w:t>— liberación del corazón, liberación mental.</w:t>
      </w:r>
    </w:p>
    <w:p w14:paraId="768E9104" w14:textId="77777777" w:rsidR="00597DE2" w:rsidRPr="00DC1A5F" w:rsidRDefault="00597DE2" w:rsidP="00597DE2">
      <w:pPr>
        <w:pStyle w:val="ParrafoGlosario"/>
        <w:rPr>
          <w:lang w:val="es-PE"/>
        </w:rPr>
      </w:pPr>
      <w:r w:rsidRPr="00DC1A5F">
        <w:rPr>
          <w:i/>
          <w:iCs/>
          <w:lang w:val="es-PE"/>
        </w:rPr>
        <w:t>chanda</w:t>
      </w:r>
      <w:r w:rsidRPr="00DC1A5F">
        <w:rPr>
          <w:lang w:val="es-PE"/>
        </w:rPr>
        <w:t>— celo</w:t>
      </w:r>
    </w:p>
    <w:p w14:paraId="565E2E01" w14:textId="77777777" w:rsidR="00597DE2" w:rsidRPr="00DC1A5F" w:rsidRDefault="00597DE2" w:rsidP="00597DE2">
      <w:pPr>
        <w:pStyle w:val="ParrafoGlosario"/>
        <w:rPr>
          <w:lang w:val="es-PE"/>
        </w:rPr>
      </w:pPr>
      <w:proofErr w:type="spellStart"/>
      <w:r w:rsidRPr="00DC1A5F">
        <w:rPr>
          <w:i/>
          <w:iCs/>
          <w:lang w:val="es-PE"/>
        </w:rPr>
        <w:t>cikicchā</w:t>
      </w:r>
      <w:proofErr w:type="spellEnd"/>
      <w:r w:rsidRPr="00DC1A5F">
        <w:rPr>
          <w:i/>
          <w:iCs/>
          <w:lang w:val="es-PE"/>
        </w:rPr>
        <w:t>*</w:t>
      </w:r>
      <w:r w:rsidRPr="00DC1A5F">
        <w:rPr>
          <w:lang w:val="es-PE"/>
        </w:rPr>
        <w:t>— deseos de pensar: XIV.177</w:t>
      </w:r>
    </w:p>
    <w:p w14:paraId="7617B766" w14:textId="77777777" w:rsidR="00597DE2" w:rsidRPr="00DC1A5F" w:rsidRDefault="00597DE2" w:rsidP="00597DE2">
      <w:pPr>
        <w:pStyle w:val="ParrafoGlosario"/>
        <w:rPr>
          <w:lang w:val="es-PE"/>
        </w:rPr>
      </w:pPr>
      <w:r w:rsidRPr="00DC1A5F">
        <w:rPr>
          <w:i/>
          <w:iCs/>
          <w:lang w:val="es-PE"/>
        </w:rPr>
        <w:t>cinta</w:t>
      </w:r>
      <w:r w:rsidRPr="00DC1A5F">
        <w:rPr>
          <w:lang w:val="es-PE"/>
        </w:rPr>
        <w:t>— razonamiento</w:t>
      </w:r>
    </w:p>
    <w:p w14:paraId="06E3B87F" w14:textId="77777777" w:rsidR="00597DE2" w:rsidRPr="00DC1A5F" w:rsidRDefault="00597DE2" w:rsidP="00597DE2">
      <w:pPr>
        <w:pStyle w:val="ParrafoGlosario"/>
        <w:rPr>
          <w:lang w:val="es-PE"/>
        </w:rPr>
      </w:pPr>
      <w:proofErr w:type="spellStart"/>
      <w:r w:rsidRPr="00DC1A5F">
        <w:rPr>
          <w:i/>
          <w:iCs/>
          <w:lang w:val="es-PE"/>
        </w:rPr>
        <w:t>citta</w:t>
      </w:r>
      <w:proofErr w:type="spellEnd"/>
      <w:r w:rsidRPr="00DC1A5F">
        <w:rPr>
          <w:lang w:val="es-PE"/>
        </w:rPr>
        <w:t>— (modo de) consciencia, consciencia, conocimiento, mente</w:t>
      </w:r>
    </w:p>
    <w:p w14:paraId="69299E1A" w14:textId="77777777" w:rsidR="00597DE2" w:rsidRPr="00DC1A5F" w:rsidRDefault="00597DE2" w:rsidP="00597DE2">
      <w:pPr>
        <w:pStyle w:val="ParrafoGlosario"/>
        <w:rPr>
          <w:lang w:val="es-PE"/>
        </w:rPr>
      </w:pPr>
      <w:proofErr w:type="spellStart"/>
      <w:r w:rsidRPr="00DC1A5F">
        <w:rPr>
          <w:i/>
          <w:iCs/>
          <w:lang w:val="es-PE"/>
        </w:rPr>
        <w:t>citta</w:t>
      </w:r>
      <w:proofErr w:type="spellEnd"/>
      <w:r w:rsidRPr="00DC1A5F">
        <w:rPr>
          <w:i/>
          <w:iCs/>
          <w:lang w:val="es-PE"/>
        </w:rPr>
        <w:t>–</w:t>
      </w:r>
      <w:proofErr w:type="spellStart"/>
      <w:r w:rsidRPr="00DC1A5F">
        <w:rPr>
          <w:i/>
          <w:iCs/>
          <w:lang w:val="es-PE"/>
        </w:rPr>
        <w:t>samuṭṭhāna</w:t>
      </w:r>
      <w:proofErr w:type="spellEnd"/>
      <w:r w:rsidRPr="00DC1A5F">
        <w:rPr>
          <w:lang w:val="es-PE"/>
        </w:rPr>
        <w:t xml:space="preserve">— (materia) originada de la consciencia </w:t>
      </w:r>
      <w:r>
        <w:rPr>
          <w:lang w:val="es-PE"/>
        </w:rPr>
        <w:br w:type="column"/>
      </w:r>
    </w:p>
    <w:p w14:paraId="7CA32D99" w14:textId="77777777" w:rsidR="00597DE2" w:rsidRPr="00DC1A5F" w:rsidRDefault="00597DE2" w:rsidP="00597DE2">
      <w:pPr>
        <w:pStyle w:val="ParrafoGlosario"/>
        <w:rPr>
          <w:lang w:val="es-PE"/>
        </w:rPr>
      </w:pPr>
      <w:proofErr w:type="spellStart"/>
      <w:r w:rsidRPr="00DC1A5F">
        <w:rPr>
          <w:i/>
          <w:iCs/>
          <w:lang w:val="es-PE"/>
        </w:rPr>
        <w:t>citta</w:t>
      </w:r>
      <w:proofErr w:type="spellEnd"/>
      <w:r w:rsidRPr="00DC1A5F">
        <w:rPr>
          <w:i/>
          <w:iCs/>
          <w:lang w:val="es-PE"/>
        </w:rPr>
        <w:t>–</w:t>
      </w:r>
      <w:proofErr w:type="spellStart"/>
      <w:r w:rsidRPr="00DC1A5F">
        <w:rPr>
          <w:i/>
          <w:iCs/>
          <w:lang w:val="es-PE"/>
        </w:rPr>
        <w:t>saṅkhāra</w:t>
      </w:r>
      <w:proofErr w:type="spellEnd"/>
      <w:r w:rsidRPr="00DC1A5F">
        <w:rPr>
          <w:lang w:val="es-PE"/>
        </w:rPr>
        <w:t>— formación mental (término para percepción y sensación)</w:t>
      </w:r>
    </w:p>
    <w:p w14:paraId="1B1944D7" w14:textId="77777777" w:rsidR="00597DE2" w:rsidRPr="00DC1A5F" w:rsidRDefault="00597DE2" w:rsidP="00597DE2">
      <w:pPr>
        <w:pStyle w:val="ParrafoGlosario"/>
        <w:rPr>
          <w:lang w:val="es-PE"/>
        </w:rPr>
      </w:pPr>
      <w:proofErr w:type="spellStart"/>
      <w:r w:rsidRPr="00DC1A5F">
        <w:rPr>
          <w:i/>
          <w:iCs/>
          <w:lang w:val="es-PE"/>
        </w:rPr>
        <w:t>citta</w:t>
      </w:r>
      <w:proofErr w:type="spellEnd"/>
      <w:r w:rsidRPr="00DC1A5F">
        <w:rPr>
          <w:i/>
          <w:iCs/>
          <w:lang w:val="es-PE"/>
        </w:rPr>
        <w:t>–</w:t>
      </w:r>
      <w:proofErr w:type="spellStart"/>
      <w:r w:rsidRPr="00DC1A5F">
        <w:rPr>
          <w:i/>
          <w:iCs/>
          <w:lang w:val="es-PE"/>
        </w:rPr>
        <w:t>ṭṭhiti</w:t>
      </w:r>
      <w:proofErr w:type="spellEnd"/>
      <w:r w:rsidRPr="00DC1A5F">
        <w:rPr>
          <w:lang w:val="es-PE"/>
        </w:rPr>
        <w:t>— estabilidad/firmeza de la consciencia</w:t>
      </w:r>
    </w:p>
    <w:p w14:paraId="3372A221" w14:textId="77777777" w:rsidR="00597DE2" w:rsidRPr="00DC1A5F" w:rsidRDefault="00597DE2" w:rsidP="00597DE2">
      <w:pPr>
        <w:pStyle w:val="ParrafoGlosario"/>
        <w:rPr>
          <w:lang w:val="es-PE"/>
        </w:rPr>
      </w:pPr>
      <w:proofErr w:type="spellStart"/>
      <w:r w:rsidRPr="00DC1A5F">
        <w:rPr>
          <w:i/>
          <w:iCs/>
          <w:lang w:val="es-PE"/>
        </w:rPr>
        <w:t>citta</w:t>
      </w:r>
      <w:proofErr w:type="spellEnd"/>
      <w:r w:rsidRPr="00DC1A5F">
        <w:rPr>
          <w:i/>
          <w:iCs/>
          <w:lang w:val="es-PE"/>
        </w:rPr>
        <w:t>–</w:t>
      </w:r>
      <w:proofErr w:type="spellStart"/>
      <w:r w:rsidRPr="00DC1A5F">
        <w:rPr>
          <w:i/>
          <w:iCs/>
          <w:lang w:val="es-PE"/>
        </w:rPr>
        <w:t>vīthi</w:t>
      </w:r>
      <w:proofErr w:type="spellEnd"/>
      <w:r w:rsidRPr="00DC1A5F">
        <w:rPr>
          <w:lang w:val="es-PE"/>
        </w:rPr>
        <w:t>— serie cognitiva (de consciencias)</w:t>
      </w:r>
    </w:p>
    <w:p w14:paraId="4FC2A467" w14:textId="77777777" w:rsidR="00597DE2" w:rsidRPr="00DC1A5F" w:rsidRDefault="00597DE2" w:rsidP="00597DE2">
      <w:pPr>
        <w:pStyle w:val="ParrafoGlosario"/>
        <w:rPr>
          <w:lang w:val="es-PE"/>
        </w:rPr>
      </w:pPr>
      <w:proofErr w:type="spellStart"/>
      <w:r w:rsidRPr="00DC1A5F">
        <w:rPr>
          <w:i/>
          <w:iCs/>
          <w:lang w:val="es-PE"/>
        </w:rPr>
        <w:t>cittuppāda</w:t>
      </w:r>
      <w:proofErr w:type="spellEnd"/>
      <w:r w:rsidRPr="00DC1A5F">
        <w:rPr>
          <w:lang w:val="es-PE"/>
        </w:rPr>
        <w:t xml:space="preserve">— pensamiento, surgido del pensamiento </w:t>
      </w:r>
    </w:p>
    <w:p w14:paraId="7929EA24" w14:textId="77777777" w:rsidR="00597DE2" w:rsidRPr="00DC1A5F" w:rsidRDefault="00597DE2" w:rsidP="00597DE2">
      <w:pPr>
        <w:pStyle w:val="ParrafoGlosario"/>
        <w:rPr>
          <w:lang w:val="es-PE"/>
        </w:rPr>
      </w:pPr>
      <w:proofErr w:type="spellStart"/>
      <w:r w:rsidRPr="00DC1A5F">
        <w:rPr>
          <w:i/>
          <w:iCs/>
          <w:lang w:val="es-PE"/>
        </w:rPr>
        <w:t>cuti</w:t>
      </w:r>
      <w:proofErr w:type="spellEnd"/>
      <w:r w:rsidRPr="00DC1A5F">
        <w:rPr>
          <w:lang w:val="es-PE"/>
        </w:rPr>
        <w:t>— muerte</w:t>
      </w:r>
    </w:p>
    <w:p w14:paraId="58086867" w14:textId="77777777" w:rsidR="00597DE2" w:rsidRPr="00DC1A5F" w:rsidRDefault="00597DE2" w:rsidP="00597DE2">
      <w:pPr>
        <w:pStyle w:val="ParrafoGlosario"/>
        <w:rPr>
          <w:lang w:val="es-PE"/>
        </w:rPr>
      </w:pPr>
      <w:proofErr w:type="spellStart"/>
      <w:r w:rsidRPr="00DC1A5F">
        <w:rPr>
          <w:i/>
          <w:iCs/>
          <w:lang w:val="es-PE"/>
        </w:rPr>
        <w:t>dakasītalika</w:t>
      </w:r>
      <w:proofErr w:type="spellEnd"/>
      <w:r w:rsidRPr="00DC1A5F">
        <w:rPr>
          <w:lang w:val="es-PE"/>
        </w:rPr>
        <w:t>*— nenúfar blanco y comestible: VIII.119</w:t>
      </w:r>
    </w:p>
    <w:p w14:paraId="559A2509" w14:textId="77777777" w:rsidR="00597DE2" w:rsidRPr="00DC1A5F" w:rsidRDefault="00597DE2" w:rsidP="00597DE2">
      <w:pPr>
        <w:pStyle w:val="ParrafoGlosario"/>
        <w:rPr>
          <w:lang w:val="es-PE"/>
        </w:rPr>
      </w:pPr>
      <w:proofErr w:type="spellStart"/>
      <w:r w:rsidRPr="00DC1A5F">
        <w:rPr>
          <w:i/>
          <w:iCs/>
          <w:lang w:val="es-PE"/>
        </w:rPr>
        <w:t>dāna</w:t>
      </w:r>
      <w:proofErr w:type="spellEnd"/>
      <w:r w:rsidRPr="00DC1A5F">
        <w:rPr>
          <w:lang w:val="es-PE"/>
        </w:rPr>
        <w:t>— presente, ofrenda, obsequio, objeto de la generosidad</w:t>
      </w:r>
    </w:p>
    <w:p w14:paraId="158BC082" w14:textId="77777777" w:rsidR="00597DE2" w:rsidRPr="00DC1A5F" w:rsidRDefault="00597DE2" w:rsidP="00597DE2">
      <w:pPr>
        <w:pStyle w:val="ParrafoGlosario"/>
        <w:rPr>
          <w:lang w:val="es-PE"/>
        </w:rPr>
      </w:pPr>
      <w:proofErr w:type="spellStart"/>
      <w:r w:rsidRPr="00DC1A5F">
        <w:rPr>
          <w:i/>
          <w:iCs/>
          <w:lang w:val="es-PE"/>
        </w:rPr>
        <w:t>dāna</w:t>
      </w:r>
      <w:proofErr w:type="spellEnd"/>
      <w:r w:rsidRPr="00DC1A5F">
        <w:rPr>
          <w:lang w:val="es-PE"/>
        </w:rPr>
        <w:t>* — brecha: II.6</w:t>
      </w:r>
    </w:p>
    <w:p w14:paraId="2D6506D5" w14:textId="77777777" w:rsidR="00597DE2" w:rsidRPr="00DC1A5F" w:rsidRDefault="00597DE2" w:rsidP="00597DE2">
      <w:pPr>
        <w:pStyle w:val="ParrafoGlosario"/>
        <w:rPr>
          <w:lang w:val="es-PE"/>
        </w:rPr>
      </w:pPr>
      <w:proofErr w:type="spellStart"/>
      <w:r w:rsidRPr="00DC1A5F">
        <w:rPr>
          <w:i/>
          <w:iCs/>
          <w:lang w:val="es-PE"/>
        </w:rPr>
        <w:t>dasaka</w:t>
      </w:r>
      <w:proofErr w:type="spellEnd"/>
      <w:r w:rsidRPr="00DC1A5F">
        <w:rPr>
          <w:lang w:val="es-PE"/>
        </w:rPr>
        <w:t>— (1) décuplo (material), (2) décuplo</w:t>
      </w:r>
    </w:p>
    <w:p w14:paraId="17C3D76C" w14:textId="77777777" w:rsidR="00597DE2" w:rsidRPr="00DC1A5F" w:rsidRDefault="00597DE2" w:rsidP="00597DE2">
      <w:pPr>
        <w:pStyle w:val="ParrafoGlosario"/>
        <w:rPr>
          <w:lang w:val="es-PE"/>
        </w:rPr>
      </w:pPr>
      <w:r w:rsidRPr="00DC1A5F">
        <w:rPr>
          <w:i/>
          <w:iCs/>
          <w:lang w:val="es-PE"/>
        </w:rPr>
        <w:t>dassana</w:t>
      </w:r>
      <w:r w:rsidRPr="00DC1A5F">
        <w:rPr>
          <w:lang w:val="es-PE"/>
        </w:rPr>
        <w:t>— (1) observar (función del ojo), (2) visión, (3) término para el primer sendero</w:t>
      </w:r>
    </w:p>
    <w:p w14:paraId="4F2C0CFF" w14:textId="77777777" w:rsidR="00597DE2" w:rsidRPr="00DC1A5F" w:rsidRDefault="00597DE2" w:rsidP="00597DE2">
      <w:pPr>
        <w:pStyle w:val="ParrafoGlosario"/>
        <w:rPr>
          <w:lang w:val="es-PE"/>
        </w:rPr>
      </w:pPr>
      <w:proofErr w:type="spellStart"/>
      <w:r w:rsidRPr="00DC1A5F">
        <w:rPr>
          <w:i/>
          <w:iCs/>
          <w:lang w:val="es-PE"/>
        </w:rPr>
        <w:t>desanā</w:t>
      </w:r>
      <w:proofErr w:type="spellEnd"/>
      <w:r w:rsidRPr="00DC1A5F">
        <w:rPr>
          <w:lang w:val="es-PE"/>
        </w:rPr>
        <w:t>— enseñanza, instrucción</w:t>
      </w:r>
    </w:p>
    <w:p w14:paraId="67FB6668" w14:textId="77777777" w:rsidR="00597DE2" w:rsidRPr="00DC1A5F" w:rsidRDefault="00597DE2" w:rsidP="00597DE2">
      <w:pPr>
        <w:pStyle w:val="ParrafoGlosario"/>
        <w:rPr>
          <w:lang w:val="es-PE"/>
        </w:rPr>
      </w:pPr>
      <w:proofErr w:type="spellStart"/>
      <w:r w:rsidRPr="00DC1A5F">
        <w:rPr>
          <w:i/>
          <w:iCs/>
          <w:lang w:val="es-PE"/>
        </w:rPr>
        <w:t>desantar</w:t>
      </w:r>
      <w:proofErr w:type="spellEnd"/>
      <w:r w:rsidRPr="00DC1A5F">
        <w:rPr>
          <w:i/>
          <w:iCs/>
          <w:lang w:val="es-PE"/>
        </w:rPr>
        <w:t>–</w:t>
      </w:r>
      <w:proofErr w:type="spellStart"/>
      <w:r w:rsidRPr="00DC1A5F">
        <w:rPr>
          <w:i/>
          <w:iCs/>
          <w:lang w:val="es-PE"/>
        </w:rPr>
        <w:t>uppatti</w:t>
      </w:r>
      <w:proofErr w:type="spellEnd"/>
      <w:r w:rsidRPr="00DC1A5F">
        <w:rPr>
          <w:lang w:val="es-PE"/>
        </w:rPr>
        <w:t>: aparición sucesiva en lugares adyacentes (descripción del fenómeno del movimiento); VII.n.45</w:t>
      </w:r>
    </w:p>
    <w:p w14:paraId="32948078" w14:textId="77777777" w:rsidR="00597DE2" w:rsidRPr="00DC1A5F" w:rsidRDefault="00597DE2" w:rsidP="00597DE2">
      <w:pPr>
        <w:pStyle w:val="ParrafoGlosario"/>
        <w:rPr>
          <w:lang w:val="es-PE"/>
        </w:rPr>
      </w:pPr>
      <w:r w:rsidRPr="00DC1A5F">
        <w:rPr>
          <w:i/>
          <w:iCs/>
          <w:lang w:val="es-PE"/>
        </w:rPr>
        <w:t>dhamma</w:t>
      </w:r>
      <w:r w:rsidRPr="00DC1A5F">
        <w:rPr>
          <w:lang w:val="es-PE"/>
        </w:rPr>
        <w:t xml:space="preserve">— (1) el </w:t>
      </w:r>
      <w:r w:rsidRPr="00DC1A5F">
        <w:rPr>
          <w:i/>
          <w:iCs/>
          <w:lang w:val="es-PE"/>
        </w:rPr>
        <w:t>Dhamma</w:t>
      </w:r>
      <w:r w:rsidRPr="00DC1A5F">
        <w:rPr>
          <w:lang w:val="es-PE"/>
        </w:rPr>
        <w:t xml:space="preserve"> o Ley (tal como lo descubrió el </w:t>
      </w:r>
      <w:r w:rsidRPr="00DC1A5F">
        <w:rPr>
          <w:i/>
          <w:iCs/>
          <w:lang w:val="es-PE"/>
        </w:rPr>
        <w:t>Buddha</w:t>
      </w:r>
      <w:r w:rsidRPr="00DC1A5F">
        <w:rPr>
          <w:lang w:val="es-PE"/>
        </w:rPr>
        <w:t xml:space="preserve">), (2) </w:t>
      </w:r>
      <w:r w:rsidRPr="00DC1A5F">
        <w:rPr>
          <w:i/>
          <w:iCs/>
          <w:lang w:val="es-PE"/>
        </w:rPr>
        <w:t>dhamma</w:t>
      </w:r>
      <w:r w:rsidRPr="00DC1A5F">
        <w:rPr>
          <w:lang w:val="es-PE"/>
        </w:rPr>
        <w:t>, estado, cosa, fenómeno, (3) objeto mental, dato mental (la 12</w:t>
      </w:r>
      <w:r w:rsidRPr="00DC1A5F">
        <w:rPr>
          <w:vertAlign w:val="superscript"/>
          <w:lang w:val="es-PE"/>
        </w:rPr>
        <w:t>da</w:t>
      </w:r>
      <w:r w:rsidRPr="00DC1A5F">
        <w:rPr>
          <w:lang w:val="es-PE"/>
        </w:rPr>
        <w:t xml:space="preserve"> base)</w:t>
      </w:r>
    </w:p>
    <w:p w14:paraId="06114986" w14:textId="77777777" w:rsidR="00597DE2" w:rsidRPr="00DC1A5F" w:rsidRDefault="00597DE2" w:rsidP="00597DE2">
      <w:pPr>
        <w:pStyle w:val="ParrafoGlosario"/>
        <w:rPr>
          <w:lang w:val="es-PE"/>
        </w:rPr>
      </w:pPr>
      <w:proofErr w:type="spellStart"/>
      <w:r w:rsidRPr="00DC1A5F">
        <w:rPr>
          <w:i/>
          <w:iCs/>
          <w:lang w:val="es-PE"/>
        </w:rPr>
        <w:t>dhammani</w:t>
      </w:r>
      <w:proofErr w:type="spellEnd"/>
      <w:r w:rsidRPr="00DC1A5F">
        <w:rPr>
          <w:lang w:val="es-PE"/>
        </w:rPr>
        <w:t>*— rata–serpiente: XI.64</w:t>
      </w:r>
    </w:p>
    <w:p w14:paraId="603E498F" w14:textId="77777777" w:rsidR="00597DE2" w:rsidRPr="00DC1A5F" w:rsidRDefault="00597DE2" w:rsidP="00597DE2">
      <w:pPr>
        <w:pStyle w:val="ParrafoGlosario"/>
        <w:rPr>
          <w:lang w:val="es-PE"/>
        </w:rPr>
      </w:pPr>
      <w:proofErr w:type="spellStart"/>
      <w:r w:rsidRPr="00DC1A5F">
        <w:rPr>
          <w:i/>
          <w:iCs/>
          <w:lang w:val="es-PE"/>
        </w:rPr>
        <w:t>dhammānusārin</w:t>
      </w:r>
      <w:proofErr w:type="spellEnd"/>
      <w:r w:rsidRPr="00DC1A5F">
        <w:rPr>
          <w:lang w:val="es-PE"/>
        </w:rPr>
        <w:t xml:space="preserve">— devoto del </w:t>
      </w:r>
      <w:r w:rsidRPr="00DC1A5F">
        <w:rPr>
          <w:i/>
          <w:iCs/>
          <w:lang w:val="es-PE"/>
        </w:rPr>
        <w:t>dhamma</w:t>
      </w:r>
    </w:p>
    <w:p w14:paraId="5098CF69" w14:textId="77777777" w:rsidR="00597DE2" w:rsidRPr="00DC1A5F" w:rsidRDefault="00597DE2" w:rsidP="00597DE2">
      <w:pPr>
        <w:pStyle w:val="ParrafoGlosario"/>
        <w:rPr>
          <w:lang w:val="es-PE"/>
        </w:rPr>
      </w:pPr>
      <w:proofErr w:type="spellStart"/>
      <w:r w:rsidRPr="00DC1A5F">
        <w:rPr>
          <w:i/>
          <w:iCs/>
          <w:lang w:val="es-PE"/>
        </w:rPr>
        <w:t>dhammatā</w:t>
      </w:r>
      <w:proofErr w:type="spellEnd"/>
      <w:r w:rsidRPr="00DC1A5F">
        <w:rPr>
          <w:i/>
          <w:iCs/>
          <w:lang w:val="es-PE"/>
        </w:rPr>
        <w:t>–rūpa</w:t>
      </w:r>
      <w:r w:rsidRPr="00DC1A5F">
        <w:rPr>
          <w:lang w:val="es-PE"/>
        </w:rPr>
        <w:t xml:space="preserve">— materialidad natural (es decir, </w:t>
      </w:r>
      <w:proofErr w:type="spellStart"/>
      <w:r w:rsidRPr="00DC1A5F">
        <w:rPr>
          <w:lang w:val="es-PE"/>
        </w:rPr>
        <w:t>ārboles</w:t>
      </w:r>
      <w:proofErr w:type="spellEnd"/>
      <w:r w:rsidRPr="00DC1A5F">
        <w:rPr>
          <w:lang w:val="es-PE"/>
        </w:rPr>
        <w:t>, piedras, etc.)</w:t>
      </w:r>
    </w:p>
    <w:p w14:paraId="1159CE88" w14:textId="77777777" w:rsidR="00597DE2" w:rsidRPr="00DC1A5F" w:rsidRDefault="00597DE2" w:rsidP="00597DE2">
      <w:pPr>
        <w:pStyle w:val="ParrafoGlosario"/>
        <w:rPr>
          <w:lang w:val="es-PE"/>
        </w:rPr>
      </w:pPr>
      <w:r w:rsidRPr="00DC1A5F">
        <w:rPr>
          <w:i/>
          <w:iCs/>
          <w:lang w:val="es-PE"/>
        </w:rPr>
        <w:t>dhamma–</w:t>
      </w:r>
      <w:proofErr w:type="spellStart"/>
      <w:r w:rsidRPr="00DC1A5F">
        <w:rPr>
          <w:i/>
          <w:iCs/>
          <w:lang w:val="es-PE"/>
        </w:rPr>
        <w:t>ṭṭhiti</w:t>
      </w:r>
      <w:proofErr w:type="spellEnd"/>
      <w:r w:rsidRPr="00DC1A5F">
        <w:rPr>
          <w:i/>
          <w:iCs/>
          <w:lang w:val="es-PE"/>
        </w:rPr>
        <w:t>–ñāṇa</w:t>
      </w:r>
      <w:r w:rsidRPr="00DC1A5F">
        <w:rPr>
          <w:lang w:val="es-PE"/>
        </w:rPr>
        <w:t>— conocimiento de la relación de los estados, conocimiento de la estructura de las ideas</w:t>
      </w:r>
    </w:p>
    <w:p w14:paraId="3D54F3A6" w14:textId="77777777" w:rsidR="00597DE2" w:rsidRPr="00DC1A5F" w:rsidRDefault="00597DE2" w:rsidP="00597DE2">
      <w:pPr>
        <w:pStyle w:val="ParrafoGlosario"/>
        <w:rPr>
          <w:lang w:val="es-PE"/>
        </w:rPr>
      </w:pPr>
      <w:r w:rsidRPr="00DC1A5F">
        <w:rPr>
          <w:i/>
          <w:iCs/>
          <w:lang w:val="es-PE"/>
        </w:rPr>
        <w:t>dhamma</w:t>
      </w:r>
      <w:r w:rsidRPr="00DC1A5F">
        <w:rPr>
          <w:lang w:val="es-PE"/>
        </w:rPr>
        <w:t>–</w:t>
      </w:r>
      <w:proofErr w:type="spellStart"/>
      <w:r w:rsidRPr="00DC1A5F">
        <w:rPr>
          <w:i/>
          <w:iCs/>
          <w:lang w:val="es-PE"/>
        </w:rPr>
        <w:t>vicaya</w:t>
      </w:r>
      <w:proofErr w:type="spellEnd"/>
      <w:r w:rsidRPr="00DC1A5F">
        <w:rPr>
          <w:lang w:val="es-PE"/>
        </w:rPr>
        <w:t>— investigación de los estados</w:t>
      </w:r>
    </w:p>
    <w:p w14:paraId="7F1402A4" w14:textId="77777777" w:rsidR="00597DE2" w:rsidRPr="00DC1A5F" w:rsidRDefault="00597DE2" w:rsidP="00597DE2">
      <w:pPr>
        <w:pStyle w:val="ParrafoGlosario"/>
        <w:rPr>
          <w:lang w:val="es-PE"/>
        </w:rPr>
      </w:pPr>
      <w:proofErr w:type="spellStart"/>
      <w:r w:rsidRPr="00DC1A5F">
        <w:rPr>
          <w:i/>
          <w:iCs/>
          <w:lang w:val="es-PE"/>
        </w:rPr>
        <w:t>dhātu</w:t>
      </w:r>
      <w:proofErr w:type="spellEnd"/>
      <w:r w:rsidRPr="00DC1A5F">
        <w:rPr>
          <w:lang w:val="es-PE"/>
        </w:rPr>
        <w:t>— (l) elemento, (2) humor (corporal), (3) reliquia</w:t>
      </w:r>
    </w:p>
    <w:p w14:paraId="3DB63787" w14:textId="77777777" w:rsidR="00597DE2" w:rsidRPr="00DC1A5F" w:rsidRDefault="00597DE2" w:rsidP="00597DE2">
      <w:pPr>
        <w:pStyle w:val="ParrafoGlosario"/>
        <w:rPr>
          <w:lang w:val="es-PE"/>
        </w:rPr>
      </w:pPr>
      <w:proofErr w:type="spellStart"/>
      <w:r w:rsidRPr="00DC1A5F">
        <w:rPr>
          <w:i/>
          <w:iCs/>
          <w:lang w:val="es-PE"/>
        </w:rPr>
        <w:t>dhātu</w:t>
      </w:r>
      <w:proofErr w:type="spellEnd"/>
      <w:r w:rsidRPr="00DC1A5F">
        <w:rPr>
          <w:lang w:val="es-PE"/>
        </w:rPr>
        <w:t xml:space="preserve">*— </w:t>
      </w:r>
      <w:r w:rsidRPr="00DC1A5F">
        <w:rPr>
          <w:i/>
          <w:iCs/>
          <w:lang w:val="es-PE"/>
        </w:rPr>
        <w:t>también</w:t>
      </w:r>
      <w:r w:rsidRPr="00DC1A5F">
        <w:rPr>
          <w:lang w:val="es-PE"/>
        </w:rPr>
        <w:t xml:space="preserve"> mineral (metálico): XI.20; XV.20</w:t>
      </w:r>
    </w:p>
    <w:p w14:paraId="127D09E4" w14:textId="77777777" w:rsidR="00597DE2" w:rsidRPr="00DC1A5F" w:rsidRDefault="00597DE2" w:rsidP="00597DE2">
      <w:pPr>
        <w:pStyle w:val="ParrafoGlosario"/>
        <w:rPr>
          <w:lang w:val="es-PE"/>
        </w:rPr>
      </w:pPr>
      <w:proofErr w:type="spellStart"/>
      <w:r w:rsidRPr="00DC1A5F">
        <w:rPr>
          <w:i/>
          <w:iCs/>
          <w:lang w:val="es-PE"/>
        </w:rPr>
        <w:t>dhura</w:t>
      </w:r>
      <w:proofErr w:type="spellEnd"/>
      <w:r w:rsidRPr="00DC1A5F">
        <w:rPr>
          <w:i/>
          <w:iCs/>
          <w:lang w:val="es-PE"/>
        </w:rPr>
        <w:t>–</w:t>
      </w:r>
      <w:proofErr w:type="spellStart"/>
      <w:r w:rsidRPr="00DC1A5F">
        <w:rPr>
          <w:i/>
          <w:iCs/>
          <w:lang w:val="es-PE"/>
        </w:rPr>
        <w:t>bhatta</w:t>
      </w:r>
      <w:proofErr w:type="spellEnd"/>
      <w:r w:rsidRPr="00DC1A5F">
        <w:rPr>
          <w:lang w:val="es-PE"/>
        </w:rPr>
        <w:t>*— comida ofrecida en una casa principal (no como en PED): II.27</w:t>
      </w:r>
    </w:p>
    <w:p w14:paraId="61F12D1E" w14:textId="77777777" w:rsidR="00597DE2" w:rsidRPr="00DC1A5F" w:rsidRDefault="00597DE2" w:rsidP="00597DE2">
      <w:pPr>
        <w:pStyle w:val="ParrafoGlosario"/>
        <w:rPr>
          <w:lang w:val="es-PE"/>
        </w:rPr>
      </w:pPr>
      <w:proofErr w:type="spellStart"/>
      <w:r w:rsidRPr="00DC1A5F">
        <w:rPr>
          <w:i/>
          <w:iCs/>
          <w:lang w:val="es-PE"/>
        </w:rPr>
        <w:t>dhutaṅga</w:t>
      </w:r>
      <w:proofErr w:type="spellEnd"/>
      <w:r w:rsidRPr="00DC1A5F">
        <w:rPr>
          <w:lang w:val="es-PE"/>
        </w:rPr>
        <w:t>— práctica asceta</w:t>
      </w:r>
    </w:p>
    <w:p w14:paraId="7C5CC810" w14:textId="77777777" w:rsidR="00597DE2" w:rsidRPr="00DC1A5F" w:rsidRDefault="00597DE2" w:rsidP="00597DE2">
      <w:pPr>
        <w:pStyle w:val="ParrafoGlosario"/>
        <w:rPr>
          <w:lang w:val="es-PE"/>
        </w:rPr>
      </w:pPr>
      <w:proofErr w:type="spellStart"/>
      <w:r w:rsidRPr="00DC1A5F">
        <w:rPr>
          <w:i/>
          <w:iCs/>
          <w:lang w:val="es-PE"/>
        </w:rPr>
        <w:t>dhuva</w:t>
      </w:r>
      <w:proofErr w:type="spellEnd"/>
      <w:r w:rsidRPr="00DC1A5F">
        <w:rPr>
          <w:lang w:val="es-PE"/>
        </w:rPr>
        <w:t>— eterno</w:t>
      </w:r>
    </w:p>
    <w:p w14:paraId="0E740ACC" w14:textId="77777777" w:rsidR="00597DE2" w:rsidRPr="00DC1A5F" w:rsidRDefault="00597DE2" w:rsidP="00597DE2">
      <w:pPr>
        <w:pStyle w:val="ParrafoGlosario"/>
        <w:rPr>
          <w:lang w:val="es-PE"/>
        </w:rPr>
      </w:pPr>
      <w:proofErr w:type="spellStart"/>
      <w:r w:rsidRPr="00DC1A5F">
        <w:rPr>
          <w:i/>
          <w:iCs/>
          <w:lang w:val="es-PE"/>
        </w:rPr>
        <w:t>dibba</w:t>
      </w:r>
      <w:proofErr w:type="spellEnd"/>
      <w:r w:rsidRPr="00DC1A5F">
        <w:rPr>
          <w:i/>
          <w:iCs/>
          <w:lang w:val="es-PE"/>
        </w:rPr>
        <w:t>–</w:t>
      </w:r>
      <w:proofErr w:type="spellStart"/>
      <w:r w:rsidRPr="00DC1A5F">
        <w:rPr>
          <w:i/>
          <w:iCs/>
          <w:lang w:val="es-PE"/>
        </w:rPr>
        <w:t>cakkhu</w:t>
      </w:r>
      <w:proofErr w:type="spellEnd"/>
      <w:r w:rsidRPr="00DC1A5F">
        <w:rPr>
          <w:lang w:val="es-PE"/>
        </w:rPr>
        <w:t>— ojo divino</w:t>
      </w:r>
    </w:p>
    <w:p w14:paraId="14CEE6B0" w14:textId="77777777" w:rsidR="00597DE2" w:rsidRPr="00DC1A5F" w:rsidRDefault="00597DE2" w:rsidP="00597DE2">
      <w:pPr>
        <w:pStyle w:val="ParrafoGlosario"/>
        <w:rPr>
          <w:lang w:val="es-PE"/>
        </w:rPr>
      </w:pPr>
      <w:proofErr w:type="spellStart"/>
      <w:r w:rsidRPr="00DC1A5F">
        <w:rPr>
          <w:i/>
          <w:iCs/>
          <w:lang w:val="es-PE"/>
        </w:rPr>
        <w:t>dibba</w:t>
      </w:r>
      <w:proofErr w:type="spellEnd"/>
      <w:r w:rsidRPr="00DC1A5F">
        <w:rPr>
          <w:i/>
          <w:iCs/>
          <w:lang w:val="es-PE"/>
        </w:rPr>
        <w:t>–</w:t>
      </w:r>
      <w:proofErr w:type="spellStart"/>
      <w:r w:rsidRPr="00DC1A5F">
        <w:rPr>
          <w:i/>
          <w:iCs/>
          <w:lang w:val="es-PE"/>
        </w:rPr>
        <w:t>sotadhātu</w:t>
      </w:r>
      <w:proofErr w:type="spellEnd"/>
      <w:r w:rsidRPr="00DC1A5F">
        <w:rPr>
          <w:lang w:val="es-PE"/>
        </w:rPr>
        <w:t>— elemento del oído divino</w:t>
      </w:r>
    </w:p>
    <w:p w14:paraId="6074B8B7" w14:textId="77777777" w:rsidR="00597DE2" w:rsidRPr="00DC1A5F" w:rsidRDefault="00597DE2" w:rsidP="00597DE2">
      <w:pPr>
        <w:pStyle w:val="ParrafoGlosario"/>
        <w:rPr>
          <w:lang w:val="es-PE"/>
        </w:rPr>
      </w:pPr>
      <w:proofErr w:type="spellStart"/>
      <w:r w:rsidRPr="00DC1A5F">
        <w:rPr>
          <w:i/>
          <w:iCs/>
          <w:lang w:val="es-PE"/>
        </w:rPr>
        <w:t>diṭṭha</w:t>
      </w:r>
      <w:proofErr w:type="spellEnd"/>
      <w:r w:rsidRPr="00DC1A5F">
        <w:rPr>
          <w:lang w:val="es-PE"/>
        </w:rPr>
        <w:t>— visto</w:t>
      </w:r>
    </w:p>
    <w:p w14:paraId="78DF28F5" w14:textId="77777777" w:rsidR="00597DE2" w:rsidRDefault="00597DE2" w:rsidP="00597DE2">
      <w:pPr>
        <w:pStyle w:val="ParrafoGlosario"/>
        <w:rPr>
          <w:lang w:val="es-PE"/>
        </w:rPr>
      </w:pPr>
      <w:r w:rsidRPr="00DC1A5F">
        <w:rPr>
          <w:i/>
          <w:iCs/>
          <w:lang w:val="es-PE"/>
        </w:rPr>
        <w:t>diṭṭhi</w:t>
      </w:r>
      <w:r w:rsidRPr="00DC1A5F">
        <w:rPr>
          <w:lang w:val="es-PE"/>
        </w:rPr>
        <w:t>— visión, apreciación (incorrecta), visión (correcta)</w:t>
      </w:r>
      <w:r>
        <w:rPr>
          <w:lang w:val="es-PE"/>
        </w:rPr>
        <w:br w:type="page"/>
      </w:r>
    </w:p>
    <w:p w14:paraId="24332F19" w14:textId="77777777" w:rsidR="00597DE2" w:rsidRPr="00DC1A5F" w:rsidRDefault="00597DE2" w:rsidP="00597DE2">
      <w:pPr>
        <w:pStyle w:val="ParrafoGlosario"/>
        <w:rPr>
          <w:lang w:val="es-PE"/>
        </w:rPr>
      </w:pPr>
    </w:p>
    <w:p w14:paraId="5AA2A1BB" w14:textId="77777777" w:rsidR="00597DE2" w:rsidRPr="00DC1A5F" w:rsidRDefault="00597DE2" w:rsidP="00597DE2">
      <w:pPr>
        <w:pStyle w:val="ParrafoGlosario"/>
        <w:rPr>
          <w:lang w:val="es-PE"/>
        </w:rPr>
      </w:pPr>
      <w:r w:rsidRPr="00DC1A5F">
        <w:rPr>
          <w:i/>
          <w:iCs/>
          <w:lang w:val="es-PE"/>
        </w:rPr>
        <w:t>diṭṭhi–</w:t>
      </w:r>
      <w:proofErr w:type="spellStart"/>
      <w:r w:rsidRPr="00DC1A5F">
        <w:rPr>
          <w:i/>
          <w:iCs/>
          <w:lang w:val="es-PE"/>
        </w:rPr>
        <w:t>pāta</w:t>
      </w:r>
      <w:proofErr w:type="spellEnd"/>
      <w:r w:rsidRPr="00DC1A5F">
        <w:rPr>
          <w:lang w:val="es-PE"/>
        </w:rPr>
        <w:t>— alguien que ha consumado una visión correcta</w:t>
      </w:r>
    </w:p>
    <w:p w14:paraId="2C235FFF" w14:textId="77777777" w:rsidR="00597DE2" w:rsidRPr="00DC1A5F" w:rsidRDefault="00597DE2" w:rsidP="00597DE2">
      <w:pPr>
        <w:pStyle w:val="ParrafoGlosario"/>
        <w:rPr>
          <w:lang w:val="es-PE"/>
        </w:rPr>
      </w:pPr>
      <w:proofErr w:type="spellStart"/>
      <w:r w:rsidRPr="00DC1A5F">
        <w:rPr>
          <w:i/>
          <w:iCs/>
          <w:lang w:val="es-PE"/>
        </w:rPr>
        <w:t>domanassa</w:t>
      </w:r>
      <w:proofErr w:type="spellEnd"/>
      <w:r w:rsidRPr="00DC1A5F">
        <w:rPr>
          <w:lang w:val="es-PE"/>
        </w:rPr>
        <w:t>— aflicción</w:t>
      </w:r>
    </w:p>
    <w:p w14:paraId="6426840A" w14:textId="77777777" w:rsidR="00597DE2" w:rsidRPr="00DC1A5F" w:rsidRDefault="00597DE2" w:rsidP="00597DE2">
      <w:pPr>
        <w:pStyle w:val="ParrafoGlosario"/>
        <w:rPr>
          <w:lang w:val="es-PE"/>
        </w:rPr>
      </w:pPr>
      <w:r w:rsidRPr="00DC1A5F">
        <w:rPr>
          <w:i/>
          <w:iCs/>
          <w:lang w:val="es-PE"/>
        </w:rPr>
        <w:t>dosa</w:t>
      </w:r>
      <w:r w:rsidRPr="00DC1A5F">
        <w:rPr>
          <w:lang w:val="es-PE"/>
        </w:rPr>
        <w:t>— (1) odio, (2) defecto, (3) humor (del cuerpo)</w:t>
      </w:r>
    </w:p>
    <w:p w14:paraId="34A45BA2" w14:textId="77777777" w:rsidR="00597DE2" w:rsidRPr="00DC1A5F" w:rsidRDefault="00597DE2" w:rsidP="00597DE2">
      <w:pPr>
        <w:pStyle w:val="ParrafoGlosario"/>
        <w:rPr>
          <w:lang w:val="es-PE"/>
        </w:rPr>
      </w:pPr>
      <w:proofErr w:type="spellStart"/>
      <w:r w:rsidRPr="00DC1A5F">
        <w:rPr>
          <w:i/>
          <w:iCs/>
          <w:lang w:val="es-PE"/>
        </w:rPr>
        <w:t>drabya</w:t>
      </w:r>
      <w:proofErr w:type="spellEnd"/>
      <w:r w:rsidRPr="00DC1A5F">
        <w:rPr>
          <w:lang w:val="es-PE"/>
        </w:rPr>
        <w:t>*— sustancia: XVIII.n.8</w:t>
      </w:r>
    </w:p>
    <w:p w14:paraId="205C3430" w14:textId="77777777" w:rsidR="00597DE2" w:rsidRPr="00DC1A5F" w:rsidRDefault="00597DE2" w:rsidP="00597DE2">
      <w:pPr>
        <w:pStyle w:val="ParrafoGlosario"/>
        <w:rPr>
          <w:lang w:val="es-PE"/>
        </w:rPr>
      </w:pPr>
      <w:proofErr w:type="spellStart"/>
      <w:r w:rsidRPr="00DC1A5F">
        <w:rPr>
          <w:i/>
          <w:iCs/>
          <w:lang w:val="es-PE"/>
        </w:rPr>
        <w:t>drava</w:t>
      </w:r>
      <w:proofErr w:type="spellEnd"/>
      <w:r w:rsidRPr="00DC1A5F">
        <w:rPr>
          <w:lang w:val="es-PE"/>
        </w:rPr>
        <w:t>*–fluido: XI.41</w:t>
      </w:r>
    </w:p>
    <w:p w14:paraId="0C4AE337" w14:textId="77777777" w:rsidR="00597DE2" w:rsidRPr="00DC1A5F" w:rsidRDefault="00597DE2" w:rsidP="00597DE2">
      <w:pPr>
        <w:pStyle w:val="ParrafoGlosario"/>
        <w:rPr>
          <w:lang w:val="es-PE"/>
        </w:rPr>
      </w:pPr>
      <w:proofErr w:type="spellStart"/>
      <w:r w:rsidRPr="00DC1A5F">
        <w:rPr>
          <w:i/>
          <w:iCs/>
          <w:lang w:val="es-PE"/>
        </w:rPr>
        <w:t>duccarita</w:t>
      </w:r>
      <w:proofErr w:type="spellEnd"/>
      <w:r w:rsidRPr="00DC1A5F">
        <w:rPr>
          <w:lang w:val="es-PE"/>
        </w:rPr>
        <w:t>—conducta incorrecta, mala conducta</w:t>
      </w:r>
    </w:p>
    <w:p w14:paraId="2FFB7D4A" w14:textId="77777777" w:rsidR="00597DE2" w:rsidRPr="00DC1A5F" w:rsidRDefault="00597DE2" w:rsidP="00597DE2">
      <w:pPr>
        <w:pStyle w:val="ParrafoGlosario"/>
        <w:rPr>
          <w:lang w:val="es-PE"/>
        </w:rPr>
      </w:pPr>
      <w:proofErr w:type="spellStart"/>
      <w:r w:rsidRPr="00DC1A5F">
        <w:rPr>
          <w:i/>
          <w:iCs/>
          <w:lang w:val="es-PE"/>
        </w:rPr>
        <w:t>duggati</w:t>
      </w:r>
      <w:proofErr w:type="spellEnd"/>
      <w:r w:rsidRPr="00DC1A5F">
        <w:rPr>
          <w:lang w:val="es-PE"/>
        </w:rPr>
        <w:t>— destino infeliz (al renacer)</w:t>
      </w:r>
    </w:p>
    <w:p w14:paraId="5E023E39" w14:textId="77777777" w:rsidR="00597DE2" w:rsidRPr="00DC1A5F" w:rsidRDefault="00597DE2" w:rsidP="00597DE2">
      <w:pPr>
        <w:pStyle w:val="ParrafoGlosario"/>
        <w:rPr>
          <w:lang w:val="es-PE"/>
        </w:rPr>
      </w:pPr>
      <w:r w:rsidRPr="00DC1A5F">
        <w:rPr>
          <w:i/>
          <w:iCs/>
          <w:lang w:val="es-PE"/>
        </w:rPr>
        <w:t>dukkha</w:t>
      </w:r>
      <w:r w:rsidRPr="00DC1A5F">
        <w:rPr>
          <w:lang w:val="es-PE"/>
        </w:rPr>
        <w:t>— insatisfactoriedad, sufrimiento, dolor, doloroso, dolor corporal</w:t>
      </w:r>
    </w:p>
    <w:p w14:paraId="1719EF58" w14:textId="77777777" w:rsidR="00597DE2" w:rsidRPr="00DC1A5F" w:rsidRDefault="00597DE2" w:rsidP="00597DE2">
      <w:pPr>
        <w:pStyle w:val="ParrafoGlosario"/>
        <w:rPr>
          <w:lang w:val="es-PE"/>
        </w:rPr>
      </w:pPr>
      <w:r w:rsidRPr="00DC1A5F">
        <w:rPr>
          <w:i/>
          <w:iCs/>
          <w:lang w:val="es-PE"/>
        </w:rPr>
        <w:t>dukkha–dukkha</w:t>
      </w:r>
      <w:r w:rsidRPr="00DC1A5F">
        <w:rPr>
          <w:lang w:val="es-PE"/>
        </w:rPr>
        <w:t>— sufrimiento intrínseco</w:t>
      </w:r>
    </w:p>
    <w:p w14:paraId="58FFC641" w14:textId="77777777" w:rsidR="00597DE2" w:rsidRPr="00DC1A5F" w:rsidRDefault="00597DE2" w:rsidP="00597DE2">
      <w:pPr>
        <w:pStyle w:val="ParrafoGlosario"/>
        <w:rPr>
          <w:lang w:val="es-PE"/>
        </w:rPr>
      </w:pPr>
      <w:r w:rsidRPr="00DC1A5F">
        <w:rPr>
          <w:i/>
          <w:iCs/>
          <w:lang w:val="es-PE"/>
        </w:rPr>
        <w:t>dura</w:t>
      </w:r>
      <w:r w:rsidRPr="00DC1A5F">
        <w:rPr>
          <w:lang w:val="es-PE"/>
        </w:rPr>
        <w:t>— lejos</w:t>
      </w:r>
    </w:p>
    <w:p w14:paraId="676589CC" w14:textId="77777777" w:rsidR="00597DE2" w:rsidRPr="00DC1A5F" w:rsidRDefault="00597DE2" w:rsidP="00597DE2">
      <w:pPr>
        <w:pStyle w:val="ParrafoGlosario"/>
        <w:rPr>
          <w:lang w:val="es-PE"/>
        </w:rPr>
      </w:pPr>
      <w:proofErr w:type="spellStart"/>
      <w:r w:rsidRPr="00DC1A5F">
        <w:rPr>
          <w:i/>
          <w:iCs/>
          <w:lang w:val="es-PE"/>
        </w:rPr>
        <w:t>duṭṭhulla</w:t>
      </w:r>
      <w:proofErr w:type="spellEnd"/>
      <w:r w:rsidRPr="00DC1A5F">
        <w:rPr>
          <w:lang w:val="es-PE"/>
        </w:rPr>
        <w:t xml:space="preserve">*— </w:t>
      </w:r>
      <w:r w:rsidRPr="00DC1A5F">
        <w:rPr>
          <w:i/>
          <w:iCs/>
          <w:lang w:val="es-PE"/>
        </w:rPr>
        <w:t>también</w:t>
      </w:r>
      <w:r w:rsidRPr="00DC1A5F">
        <w:rPr>
          <w:lang w:val="es-PE"/>
        </w:rPr>
        <w:t xml:space="preserve"> (1) inercia, (2) irritabilidad: IV.124 (M III 151, 159)</w:t>
      </w:r>
    </w:p>
    <w:p w14:paraId="3D643D50" w14:textId="77777777" w:rsidR="00597DE2" w:rsidRPr="00DC1A5F" w:rsidRDefault="00597DE2" w:rsidP="00597DE2">
      <w:pPr>
        <w:pStyle w:val="ParrafoGlosario"/>
        <w:rPr>
          <w:lang w:val="es-PE"/>
        </w:rPr>
      </w:pPr>
      <w:proofErr w:type="spellStart"/>
      <w:r w:rsidRPr="00DC1A5F">
        <w:rPr>
          <w:i/>
          <w:iCs/>
          <w:lang w:val="es-PE"/>
        </w:rPr>
        <w:t>dvāra</w:t>
      </w:r>
      <w:proofErr w:type="spellEnd"/>
      <w:r w:rsidRPr="00DC1A5F">
        <w:rPr>
          <w:lang w:val="es-PE"/>
        </w:rPr>
        <w:t xml:space="preserve">— puerta (es decir, las 6 </w:t>
      </w:r>
      <w:r w:rsidRPr="00DC1A5F">
        <w:rPr>
          <w:i/>
          <w:iCs/>
          <w:lang w:val="es-PE"/>
        </w:rPr>
        <w:t>d.</w:t>
      </w:r>
      <w:r w:rsidRPr="00DC1A5F">
        <w:rPr>
          <w:lang w:val="es-PE"/>
        </w:rPr>
        <w:t xml:space="preserve"> de la consciencia por medio de las 6 bases; </w:t>
      </w:r>
      <w:r w:rsidRPr="00DC1A5F">
        <w:rPr>
          <w:i/>
          <w:iCs/>
          <w:lang w:val="es-PE"/>
        </w:rPr>
        <w:t>también</w:t>
      </w:r>
      <w:r w:rsidRPr="00DC1A5F">
        <w:rPr>
          <w:lang w:val="es-PE"/>
        </w:rPr>
        <w:t xml:space="preserve"> las 3 </w:t>
      </w:r>
      <w:r w:rsidRPr="00DC1A5F">
        <w:rPr>
          <w:i/>
          <w:iCs/>
          <w:lang w:val="es-PE"/>
        </w:rPr>
        <w:t>d</w:t>
      </w:r>
      <w:r w:rsidRPr="00DC1A5F">
        <w:rPr>
          <w:lang w:val="es-PE"/>
        </w:rPr>
        <w:t xml:space="preserve">. del </w:t>
      </w:r>
      <w:proofErr w:type="spellStart"/>
      <w:r w:rsidRPr="00DC1A5F">
        <w:rPr>
          <w:i/>
          <w:iCs/>
          <w:lang w:val="es-PE"/>
        </w:rPr>
        <w:t>kamma</w:t>
      </w:r>
      <w:proofErr w:type="spellEnd"/>
      <w:r w:rsidRPr="00DC1A5F">
        <w:rPr>
          <w:lang w:val="es-PE"/>
        </w:rPr>
        <w:t xml:space="preserve"> corporal, verbal y mental)</w:t>
      </w:r>
    </w:p>
    <w:p w14:paraId="4990F69C" w14:textId="77777777" w:rsidR="00597DE2" w:rsidRPr="00DC1A5F" w:rsidRDefault="00597DE2" w:rsidP="00597DE2">
      <w:pPr>
        <w:pStyle w:val="ParrafoGlosario"/>
        <w:rPr>
          <w:lang w:val="es-PE"/>
        </w:rPr>
      </w:pPr>
      <w:proofErr w:type="spellStart"/>
      <w:r w:rsidRPr="00DC1A5F">
        <w:rPr>
          <w:i/>
          <w:iCs/>
          <w:lang w:val="es-PE"/>
        </w:rPr>
        <w:t>dvattiṃsākāra</w:t>
      </w:r>
      <w:proofErr w:type="spellEnd"/>
      <w:r w:rsidRPr="00DC1A5F">
        <w:rPr>
          <w:lang w:val="es-PE"/>
        </w:rPr>
        <w:t>— los treinta y dos aspectos (del cuerpo)</w:t>
      </w:r>
    </w:p>
    <w:p w14:paraId="5951A2A0"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ekaggatā</w:t>
      </w:r>
      <w:proofErr w:type="spellEnd"/>
      <w:r w:rsidRPr="00DC1A5F">
        <w:rPr>
          <w:sz w:val="15"/>
          <w:szCs w:val="15"/>
          <w:lang w:val="es-PE"/>
        </w:rPr>
        <w:t>— unificación (de la consciencia)</w:t>
      </w:r>
    </w:p>
    <w:p w14:paraId="2BD8B9CE"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ekatta</w:t>
      </w:r>
      <w:proofErr w:type="spellEnd"/>
      <w:r w:rsidRPr="00DC1A5F">
        <w:rPr>
          <w:sz w:val="15"/>
          <w:szCs w:val="15"/>
          <w:lang w:val="es-PE"/>
        </w:rPr>
        <w:t>— (1) unidad, (2) identidad, (3) singularidad</w:t>
      </w:r>
    </w:p>
    <w:p w14:paraId="345CD9F8"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esana</w:t>
      </w:r>
      <w:proofErr w:type="spellEnd"/>
      <w:r w:rsidRPr="00DC1A5F">
        <w:rPr>
          <w:sz w:val="15"/>
          <w:szCs w:val="15"/>
          <w:lang w:val="es-PE"/>
        </w:rPr>
        <w:t>— búsqueda</w:t>
      </w:r>
    </w:p>
    <w:p w14:paraId="6922D988" w14:textId="77777777" w:rsidR="00597DE2" w:rsidRPr="00DC1A5F" w:rsidRDefault="00597DE2" w:rsidP="00597DE2">
      <w:pPr>
        <w:pStyle w:val="ParrafoGlosario"/>
        <w:rPr>
          <w:sz w:val="15"/>
          <w:szCs w:val="15"/>
          <w:lang w:val="es-PE"/>
        </w:rPr>
      </w:pPr>
      <w:r w:rsidRPr="00DC1A5F">
        <w:rPr>
          <w:i/>
          <w:iCs/>
          <w:sz w:val="15"/>
          <w:szCs w:val="15"/>
          <w:lang w:val="es-PE"/>
        </w:rPr>
        <w:t>eta–parama*</w:t>
      </w:r>
      <w:r w:rsidRPr="00DC1A5F">
        <w:rPr>
          <w:sz w:val="15"/>
          <w:szCs w:val="15"/>
          <w:lang w:val="es-PE"/>
        </w:rPr>
        <w:t>— que a lo sumo: XIV.216; XVI.28 (MI 339)</w:t>
      </w:r>
    </w:p>
    <w:p w14:paraId="7900197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evaṃ</w:t>
      </w:r>
      <w:proofErr w:type="spellEnd"/>
      <w:r w:rsidRPr="00DC1A5F">
        <w:rPr>
          <w:i/>
          <w:iCs/>
          <w:sz w:val="15"/>
          <w:szCs w:val="15"/>
          <w:lang w:val="es-PE"/>
        </w:rPr>
        <w:t>–</w:t>
      </w:r>
      <w:proofErr w:type="spellStart"/>
      <w:r w:rsidRPr="00DC1A5F">
        <w:rPr>
          <w:i/>
          <w:iCs/>
          <w:sz w:val="15"/>
          <w:szCs w:val="15"/>
          <w:lang w:val="es-PE"/>
        </w:rPr>
        <w:t>dhammatā</w:t>
      </w:r>
      <w:proofErr w:type="spellEnd"/>
      <w:r w:rsidRPr="00DC1A5F">
        <w:rPr>
          <w:sz w:val="15"/>
          <w:szCs w:val="15"/>
          <w:lang w:val="es-PE"/>
        </w:rPr>
        <w:t xml:space="preserve"> — regularidad ineludible</w:t>
      </w:r>
    </w:p>
    <w:p w14:paraId="13DDA2A8" w14:textId="77777777" w:rsidR="00597DE2" w:rsidRPr="00DC1A5F" w:rsidRDefault="00597DE2" w:rsidP="00597DE2">
      <w:pPr>
        <w:pStyle w:val="ParrafoGlosario"/>
        <w:rPr>
          <w:lang w:val="es-PE"/>
        </w:rPr>
      </w:pPr>
      <w:proofErr w:type="spellStart"/>
      <w:r w:rsidRPr="00DC1A5F">
        <w:rPr>
          <w:i/>
          <w:iCs/>
          <w:lang w:val="es-PE"/>
        </w:rPr>
        <w:t>gadati</w:t>
      </w:r>
      <w:proofErr w:type="spellEnd"/>
      <w:r w:rsidRPr="00DC1A5F">
        <w:rPr>
          <w:i/>
          <w:iCs/>
          <w:lang w:val="es-PE"/>
        </w:rPr>
        <w:t>*</w:t>
      </w:r>
      <w:r w:rsidRPr="00DC1A5F">
        <w:rPr>
          <w:lang w:val="es-PE"/>
        </w:rPr>
        <w:t xml:space="preserve">— enunciar (ver </w:t>
      </w:r>
      <w:proofErr w:type="spellStart"/>
      <w:r w:rsidRPr="00DC1A5F">
        <w:rPr>
          <w:i/>
          <w:iCs/>
          <w:lang w:val="es-PE"/>
        </w:rPr>
        <w:t>gada</w:t>
      </w:r>
      <w:proofErr w:type="spellEnd"/>
      <w:r w:rsidRPr="00DC1A5F">
        <w:rPr>
          <w:lang w:val="es-PE"/>
        </w:rPr>
        <w:t xml:space="preserve"> en el PED) VII.35</w:t>
      </w:r>
    </w:p>
    <w:p w14:paraId="38B5B1F7" w14:textId="77777777" w:rsidR="00597DE2" w:rsidRPr="00DC1A5F" w:rsidRDefault="00597DE2" w:rsidP="00597DE2">
      <w:pPr>
        <w:pStyle w:val="ParrafoGlosario"/>
        <w:rPr>
          <w:lang w:val="es-PE"/>
        </w:rPr>
      </w:pPr>
      <w:proofErr w:type="spellStart"/>
      <w:r w:rsidRPr="00DC1A5F">
        <w:rPr>
          <w:i/>
          <w:iCs/>
          <w:lang w:val="es-PE"/>
        </w:rPr>
        <w:t>gandha</w:t>
      </w:r>
      <w:proofErr w:type="spellEnd"/>
      <w:r w:rsidRPr="00DC1A5F">
        <w:rPr>
          <w:lang w:val="es-PE"/>
        </w:rPr>
        <w:t>— olor</w:t>
      </w:r>
    </w:p>
    <w:p w14:paraId="2D792DA5" w14:textId="77777777" w:rsidR="00597DE2" w:rsidRPr="00DC1A5F" w:rsidRDefault="00597DE2" w:rsidP="00597DE2">
      <w:pPr>
        <w:pStyle w:val="ParrafoGlosario"/>
        <w:rPr>
          <w:lang w:val="es-PE"/>
        </w:rPr>
      </w:pPr>
      <w:proofErr w:type="spellStart"/>
      <w:r w:rsidRPr="00DC1A5F">
        <w:rPr>
          <w:i/>
          <w:iCs/>
          <w:lang w:val="es-PE"/>
        </w:rPr>
        <w:t>gandhayati</w:t>
      </w:r>
      <w:proofErr w:type="spellEnd"/>
      <w:r w:rsidRPr="00DC1A5F">
        <w:rPr>
          <w:i/>
          <w:iCs/>
          <w:lang w:val="es-PE"/>
        </w:rPr>
        <w:t>*</w:t>
      </w:r>
      <w:r w:rsidRPr="00DC1A5F">
        <w:rPr>
          <w:lang w:val="es-PE"/>
        </w:rPr>
        <w:t>— ser olido: XV.3</w:t>
      </w:r>
    </w:p>
    <w:p w14:paraId="1CD8CF69" w14:textId="77777777" w:rsidR="00597DE2" w:rsidRPr="00DC1A5F" w:rsidRDefault="00597DE2" w:rsidP="00597DE2">
      <w:pPr>
        <w:pStyle w:val="ParrafoGlosario"/>
        <w:rPr>
          <w:lang w:val="es-PE"/>
        </w:rPr>
      </w:pPr>
      <w:proofErr w:type="spellStart"/>
      <w:r w:rsidRPr="00DC1A5F">
        <w:rPr>
          <w:i/>
          <w:iCs/>
          <w:lang w:val="es-PE"/>
        </w:rPr>
        <w:t>gaṇḍuppādaka</w:t>
      </w:r>
      <w:proofErr w:type="spellEnd"/>
      <w:r w:rsidRPr="00DC1A5F">
        <w:rPr>
          <w:lang w:val="es-PE"/>
        </w:rPr>
        <w:t xml:space="preserve">*— </w:t>
      </w:r>
      <w:r w:rsidRPr="00DC1A5F">
        <w:rPr>
          <w:i/>
          <w:iCs/>
          <w:lang w:val="es-PE"/>
        </w:rPr>
        <w:t>también</w:t>
      </w:r>
      <w:r w:rsidRPr="00DC1A5F">
        <w:rPr>
          <w:lang w:val="es-PE"/>
        </w:rPr>
        <w:t xml:space="preserve"> especie de gusano intestinal: VIII.121</w:t>
      </w:r>
    </w:p>
    <w:p w14:paraId="4499B906" w14:textId="77777777" w:rsidR="00597DE2" w:rsidRPr="00DC1A5F" w:rsidRDefault="00597DE2" w:rsidP="00597DE2">
      <w:pPr>
        <w:pStyle w:val="ParrafoGlosario"/>
        <w:rPr>
          <w:lang w:val="es-PE"/>
        </w:rPr>
      </w:pPr>
      <w:proofErr w:type="spellStart"/>
      <w:r w:rsidRPr="00DC1A5F">
        <w:rPr>
          <w:i/>
          <w:iCs/>
          <w:lang w:val="es-PE"/>
        </w:rPr>
        <w:t>gantha</w:t>
      </w:r>
      <w:proofErr w:type="spellEnd"/>
      <w:r w:rsidRPr="00DC1A5F">
        <w:rPr>
          <w:lang w:val="es-PE"/>
        </w:rPr>
        <w:t>— (1) corbata (el 4), (2) libro</w:t>
      </w:r>
    </w:p>
    <w:p w14:paraId="585BF8C4" w14:textId="77777777" w:rsidR="00597DE2" w:rsidRPr="00DC1A5F" w:rsidRDefault="00597DE2" w:rsidP="00597DE2">
      <w:pPr>
        <w:pStyle w:val="ParrafoGlosario"/>
        <w:rPr>
          <w:lang w:val="es-PE"/>
        </w:rPr>
      </w:pPr>
      <w:r w:rsidRPr="00DC1A5F">
        <w:rPr>
          <w:i/>
          <w:iCs/>
          <w:lang w:val="es-PE"/>
        </w:rPr>
        <w:t>gata–</w:t>
      </w:r>
      <w:proofErr w:type="spellStart"/>
      <w:r w:rsidRPr="00DC1A5F">
        <w:rPr>
          <w:i/>
          <w:iCs/>
          <w:lang w:val="es-PE"/>
        </w:rPr>
        <w:t>paccāgata</w:t>
      </w:r>
      <w:proofErr w:type="spellEnd"/>
      <w:r w:rsidRPr="00DC1A5F">
        <w:rPr>
          <w:i/>
          <w:iCs/>
          <w:lang w:val="es-PE"/>
        </w:rPr>
        <w:t>*</w:t>
      </w:r>
      <w:r w:rsidRPr="00DC1A5F">
        <w:rPr>
          <w:lang w:val="es-PE"/>
        </w:rPr>
        <w:t>— (1) tarea de ir y regresar de la ronda de ofrendas con objeto de meditación, (2) especie de harapos de la basura: II.17; XIV.28</w:t>
      </w:r>
    </w:p>
    <w:p w14:paraId="5B634C05" w14:textId="77777777" w:rsidR="00597DE2" w:rsidRPr="00DC1A5F" w:rsidRDefault="00597DE2" w:rsidP="00597DE2">
      <w:pPr>
        <w:pStyle w:val="ParrafoGlosario"/>
        <w:rPr>
          <w:lang w:val="es-PE"/>
        </w:rPr>
      </w:pPr>
      <w:proofErr w:type="spellStart"/>
      <w:r w:rsidRPr="00DC1A5F">
        <w:rPr>
          <w:i/>
          <w:iCs/>
          <w:lang w:val="es-PE"/>
        </w:rPr>
        <w:t>gati</w:t>
      </w:r>
      <w:proofErr w:type="spellEnd"/>
      <w:r w:rsidRPr="00DC1A5F">
        <w:rPr>
          <w:lang w:val="es-PE"/>
        </w:rPr>
        <w:t>— (1) destino, plano de renacimiento, movimiento</w:t>
      </w:r>
    </w:p>
    <w:p w14:paraId="0B684D56" w14:textId="77777777" w:rsidR="00597DE2" w:rsidRPr="00DC1A5F" w:rsidRDefault="00597DE2" w:rsidP="00597DE2">
      <w:pPr>
        <w:pStyle w:val="ParrafoGlosario"/>
        <w:rPr>
          <w:lang w:val="es-PE"/>
        </w:rPr>
      </w:pPr>
      <w:proofErr w:type="spellStart"/>
      <w:r w:rsidRPr="00DC1A5F">
        <w:rPr>
          <w:i/>
          <w:iCs/>
          <w:lang w:val="es-PE"/>
        </w:rPr>
        <w:t>ghana</w:t>
      </w:r>
      <w:proofErr w:type="spellEnd"/>
      <w:r w:rsidRPr="00DC1A5F">
        <w:rPr>
          <w:lang w:val="es-PE"/>
        </w:rPr>
        <w:t>— compacto</w:t>
      </w:r>
    </w:p>
    <w:p w14:paraId="3B6B96D6" w14:textId="77777777" w:rsidR="00597DE2" w:rsidRPr="00DC1A5F" w:rsidRDefault="00597DE2" w:rsidP="00597DE2">
      <w:pPr>
        <w:pStyle w:val="ParrafoGlosario"/>
        <w:rPr>
          <w:lang w:val="es-PE"/>
        </w:rPr>
      </w:pPr>
      <w:proofErr w:type="spellStart"/>
      <w:r w:rsidRPr="00DC1A5F">
        <w:rPr>
          <w:i/>
          <w:iCs/>
          <w:lang w:val="es-PE"/>
        </w:rPr>
        <w:t>ghana</w:t>
      </w:r>
      <w:proofErr w:type="spellEnd"/>
      <w:r w:rsidRPr="00DC1A5F">
        <w:rPr>
          <w:lang w:val="es-PE"/>
        </w:rPr>
        <w:t>— nariz</w:t>
      </w:r>
    </w:p>
    <w:p w14:paraId="29866B3B" w14:textId="77777777" w:rsidR="00597DE2" w:rsidRPr="00DC1A5F" w:rsidRDefault="00597DE2" w:rsidP="00597DE2">
      <w:pPr>
        <w:pStyle w:val="ParrafoGlosario"/>
        <w:rPr>
          <w:lang w:val="es-PE"/>
        </w:rPr>
      </w:pPr>
      <w:proofErr w:type="spellStart"/>
      <w:r w:rsidRPr="00DC1A5F">
        <w:rPr>
          <w:i/>
          <w:iCs/>
          <w:lang w:val="es-PE"/>
        </w:rPr>
        <w:t>ghana</w:t>
      </w:r>
      <w:proofErr w:type="spellEnd"/>
      <w:r w:rsidRPr="00DC1A5F">
        <w:rPr>
          <w:i/>
          <w:iCs/>
          <w:lang w:val="es-PE"/>
        </w:rPr>
        <w:t>–</w:t>
      </w:r>
      <w:proofErr w:type="spellStart"/>
      <w:r w:rsidRPr="00DC1A5F">
        <w:rPr>
          <w:i/>
          <w:iCs/>
          <w:lang w:val="es-PE"/>
        </w:rPr>
        <w:t>vinibbhoga</w:t>
      </w:r>
      <w:proofErr w:type="spellEnd"/>
      <w:r w:rsidRPr="00DC1A5F">
        <w:rPr>
          <w:lang w:val="es-PE"/>
        </w:rPr>
        <w:t>— resolución de la compacidad (en los elementos)</w:t>
      </w:r>
    </w:p>
    <w:p w14:paraId="24CC87F5" w14:textId="77777777" w:rsidR="00597DE2" w:rsidRPr="00DC1A5F" w:rsidRDefault="00597DE2" w:rsidP="00597DE2">
      <w:pPr>
        <w:pStyle w:val="ParrafoGlosario"/>
        <w:rPr>
          <w:lang w:val="es-PE"/>
        </w:rPr>
      </w:pPr>
      <w:proofErr w:type="spellStart"/>
      <w:r w:rsidRPr="00DC1A5F">
        <w:rPr>
          <w:i/>
          <w:iCs/>
          <w:lang w:val="es-PE"/>
        </w:rPr>
        <w:t>ghaṭṭana</w:t>
      </w:r>
      <w:proofErr w:type="spellEnd"/>
      <w:r w:rsidRPr="00DC1A5F">
        <w:rPr>
          <w:lang w:val="es-PE"/>
        </w:rPr>
        <w:t>— chocarse, golpearse conjuntamente</w:t>
      </w:r>
    </w:p>
    <w:p w14:paraId="55888D75" w14:textId="77777777" w:rsidR="00597DE2" w:rsidRPr="00DC1A5F" w:rsidRDefault="00597DE2" w:rsidP="00597DE2">
      <w:pPr>
        <w:pStyle w:val="ParrafoGlosario"/>
        <w:rPr>
          <w:lang w:val="es-PE"/>
        </w:rPr>
      </w:pPr>
      <w:proofErr w:type="spellStart"/>
      <w:r w:rsidRPr="00DC1A5F">
        <w:rPr>
          <w:i/>
          <w:iCs/>
          <w:lang w:val="es-PE"/>
        </w:rPr>
        <w:t>gocara</w:t>
      </w:r>
      <w:proofErr w:type="spellEnd"/>
      <w:r w:rsidRPr="00DC1A5F">
        <w:rPr>
          <w:lang w:val="es-PE"/>
        </w:rPr>
        <w:t>— recurso, dominio, ámbito</w:t>
      </w:r>
    </w:p>
    <w:p w14:paraId="72A797F8" w14:textId="77777777" w:rsidR="00597DE2" w:rsidRPr="00DC1A5F" w:rsidRDefault="00597DE2" w:rsidP="00597DE2">
      <w:pPr>
        <w:pStyle w:val="ParrafoGlosario"/>
        <w:rPr>
          <w:lang w:val="es-PE"/>
        </w:rPr>
      </w:pPr>
      <w:proofErr w:type="spellStart"/>
      <w:r w:rsidRPr="00DC1A5F">
        <w:rPr>
          <w:i/>
          <w:iCs/>
          <w:lang w:val="es-PE"/>
        </w:rPr>
        <w:t>gopa</w:t>
      </w:r>
      <w:proofErr w:type="spellEnd"/>
      <w:r w:rsidRPr="00DC1A5F">
        <w:rPr>
          <w:i/>
          <w:iCs/>
          <w:lang w:val="es-PE"/>
        </w:rPr>
        <w:t xml:space="preserve">*— </w:t>
      </w:r>
      <w:r w:rsidRPr="00DC1A5F">
        <w:rPr>
          <w:lang w:val="es-PE"/>
        </w:rPr>
        <w:t>guardián, IV.190; VIII.153 (M II 180)</w:t>
      </w:r>
    </w:p>
    <w:p w14:paraId="227DF676" w14:textId="77777777" w:rsidR="00597DE2" w:rsidRPr="00DC1A5F" w:rsidRDefault="00597DE2" w:rsidP="00597DE2">
      <w:pPr>
        <w:pStyle w:val="ParrafoGlosario"/>
        <w:rPr>
          <w:lang w:val="es-PE"/>
        </w:rPr>
      </w:pPr>
      <w:proofErr w:type="spellStart"/>
      <w:r w:rsidRPr="00DC1A5F">
        <w:rPr>
          <w:i/>
          <w:iCs/>
          <w:lang w:val="es-PE"/>
        </w:rPr>
        <w:t>gotrabhū</w:t>
      </w:r>
      <w:proofErr w:type="spellEnd"/>
      <w:r w:rsidRPr="00DC1A5F">
        <w:rPr>
          <w:lang w:val="es-PE"/>
        </w:rPr>
        <w:t>— cambio de linaje (de consciencia)</w:t>
      </w:r>
    </w:p>
    <w:p w14:paraId="5564DFF6" w14:textId="77777777" w:rsidR="00597DE2" w:rsidRPr="00DC1A5F" w:rsidRDefault="00597DE2" w:rsidP="00597DE2">
      <w:pPr>
        <w:pStyle w:val="ParrafoGlosario"/>
        <w:rPr>
          <w:lang w:val="es-PE"/>
        </w:rPr>
      </w:pPr>
      <w:proofErr w:type="spellStart"/>
      <w:r w:rsidRPr="00DC1A5F">
        <w:rPr>
          <w:i/>
          <w:iCs/>
          <w:lang w:val="es-PE"/>
        </w:rPr>
        <w:t>guṇa</w:t>
      </w:r>
      <w:proofErr w:type="spellEnd"/>
      <w:r w:rsidRPr="00DC1A5F">
        <w:rPr>
          <w:lang w:val="es-PE"/>
        </w:rPr>
        <w:t>— cualidad especial</w:t>
      </w:r>
      <w:r>
        <w:rPr>
          <w:lang w:val="es-PE"/>
        </w:rPr>
        <w:br w:type="column"/>
      </w:r>
    </w:p>
    <w:p w14:paraId="19F0CB11" w14:textId="77777777" w:rsidR="00597DE2" w:rsidRPr="00DC1A5F" w:rsidRDefault="00597DE2" w:rsidP="00597DE2">
      <w:pPr>
        <w:pStyle w:val="ParrafoGlosario"/>
        <w:rPr>
          <w:lang w:val="es-PE"/>
        </w:rPr>
      </w:pPr>
      <w:proofErr w:type="spellStart"/>
      <w:r w:rsidRPr="001C580D">
        <w:rPr>
          <w:i/>
          <w:iCs/>
          <w:lang w:val="es-PE"/>
        </w:rPr>
        <w:t>hadaya</w:t>
      </w:r>
      <w:proofErr w:type="spellEnd"/>
      <w:r w:rsidRPr="00DC1A5F">
        <w:rPr>
          <w:lang w:val="es-PE"/>
        </w:rPr>
        <w:t>— corazón</w:t>
      </w:r>
    </w:p>
    <w:p w14:paraId="45AB17D4" w14:textId="77777777" w:rsidR="00597DE2" w:rsidRPr="00DC1A5F" w:rsidRDefault="00597DE2" w:rsidP="00597DE2">
      <w:pPr>
        <w:pStyle w:val="ParrafoGlosario"/>
        <w:rPr>
          <w:lang w:val="es-PE"/>
        </w:rPr>
      </w:pPr>
      <w:proofErr w:type="spellStart"/>
      <w:r w:rsidRPr="001C580D">
        <w:rPr>
          <w:i/>
          <w:iCs/>
          <w:lang w:val="es-PE"/>
        </w:rPr>
        <w:t>hadaya</w:t>
      </w:r>
      <w:proofErr w:type="spellEnd"/>
      <w:r w:rsidRPr="001C580D">
        <w:rPr>
          <w:i/>
          <w:iCs/>
          <w:lang w:val="es-PE"/>
        </w:rPr>
        <w:t>–</w:t>
      </w:r>
      <w:proofErr w:type="spellStart"/>
      <w:r w:rsidRPr="001C580D">
        <w:rPr>
          <w:i/>
          <w:iCs/>
          <w:lang w:val="es-PE"/>
        </w:rPr>
        <w:t>vatthu</w:t>
      </w:r>
      <w:proofErr w:type="spellEnd"/>
      <w:r w:rsidRPr="00DC1A5F">
        <w:rPr>
          <w:lang w:val="es-PE"/>
        </w:rPr>
        <w:t>—</w:t>
      </w:r>
      <w:r>
        <w:rPr>
          <w:lang w:val="es-PE"/>
        </w:rPr>
        <w:t xml:space="preserve"> </w:t>
      </w:r>
      <w:r w:rsidRPr="00DC1A5F">
        <w:rPr>
          <w:lang w:val="es-PE"/>
        </w:rPr>
        <w:t>base</w:t>
      </w:r>
      <w:r>
        <w:rPr>
          <w:rFonts w:cs="Cormorant"/>
          <w:lang w:val="es-PE"/>
        </w:rPr>
        <w:t>–</w:t>
      </w:r>
      <w:r>
        <w:rPr>
          <w:lang w:val="es-PE"/>
        </w:rPr>
        <w:t>del</w:t>
      </w:r>
      <w:r>
        <w:rPr>
          <w:rFonts w:cs="Cormorant"/>
          <w:lang w:val="es-PE"/>
        </w:rPr>
        <w:t>–</w:t>
      </w:r>
      <w:r>
        <w:rPr>
          <w:lang w:val="es-PE"/>
        </w:rPr>
        <w:t xml:space="preserve">corazón </w:t>
      </w:r>
      <w:r w:rsidRPr="00DC1A5F">
        <w:rPr>
          <w:lang w:val="es-PE"/>
        </w:rPr>
        <w:t>(base física de ment</w:t>
      </w:r>
      <w:r>
        <w:rPr>
          <w:lang w:val="es-PE"/>
        </w:rPr>
        <w:t>al</w:t>
      </w:r>
      <w:r w:rsidRPr="00DC1A5F">
        <w:rPr>
          <w:lang w:val="es-PE"/>
        </w:rPr>
        <w:t>)</w:t>
      </w:r>
    </w:p>
    <w:p w14:paraId="4FBDF2E3" w14:textId="77777777" w:rsidR="00597DE2" w:rsidRPr="00DC1A5F" w:rsidRDefault="00597DE2" w:rsidP="00597DE2">
      <w:pPr>
        <w:pStyle w:val="ParrafoGlosario"/>
        <w:rPr>
          <w:lang w:val="es-PE"/>
        </w:rPr>
      </w:pPr>
      <w:proofErr w:type="spellStart"/>
      <w:r w:rsidRPr="007C7FEA">
        <w:rPr>
          <w:i/>
          <w:iCs/>
          <w:lang w:val="es-PE"/>
        </w:rPr>
        <w:t>hetu</w:t>
      </w:r>
      <w:proofErr w:type="spellEnd"/>
      <w:r w:rsidRPr="00DC1A5F">
        <w:rPr>
          <w:lang w:val="es-PE"/>
        </w:rPr>
        <w:t>— causa–raíz, causa</w:t>
      </w:r>
    </w:p>
    <w:p w14:paraId="451BC442" w14:textId="77777777" w:rsidR="00597DE2" w:rsidRPr="00DC1A5F" w:rsidRDefault="00597DE2" w:rsidP="00597DE2">
      <w:pPr>
        <w:pStyle w:val="ParrafoGlosario"/>
        <w:rPr>
          <w:lang w:val="es-PE"/>
        </w:rPr>
      </w:pPr>
      <w:proofErr w:type="spellStart"/>
      <w:r w:rsidRPr="007C7FEA">
        <w:rPr>
          <w:i/>
          <w:iCs/>
          <w:lang w:val="es-PE"/>
        </w:rPr>
        <w:t>hetu</w:t>
      </w:r>
      <w:proofErr w:type="spellEnd"/>
      <w:r w:rsidRPr="00DC1A5F">
        <w:rPr>
          <w:lang w:val="es-PE"/>
        </w:rPr>
        <w:t xml:space="preserve">*— </w:t>
      </w:r>
      <w:r w:rsidRPr="007C7FEA">
        <w:rPr>
          <w:i/>
          <w:iCs/>
          <w:lang w:val="es-PE"/>
        </w:rPr>
        <w:t>también</w:t>
      </w:r>
      <w:r w:rsidRPr="00DC1A5F">
        <w:rPr>
          <w:lang w:val="es-PE"/>
        </w:rPr>
        <w:t xml:space="preserve"> término medio (en silogismo; l</w:t>
      </w:r>
      <w:r>
        <w:rPr>
          <w:lang w:val="es-PE"/>
        </w:rPr>
        <w:t>ó</w:t>
      </w:r>
      <w:r w:rsidRPr="00DC1A5F">
        <w:rPr>
          <w:lang w:val="es-PE"/>
        </w:rPr>
        <w:t>g</w:t>
      </w:r>
      <w:r>
        <w:rPr>
          <w:lang w:val="es-PE"/>
        </w:rPr>
        <w:t>ica</w:t>
      </w:r>
      <w:r w:rsidRPr="00DC1A5F">
        <w:rPr>
          <w:lang w:val="es-PE"/>
        </w:rPr>
        <w:t>): XVII.67</w:t>
      </w:r>
    </w:p>
    <w:p w14:paraId="5544F0FE" w14:textId="77777777" w:rsidR="00597DE2" w:rsidRPr="00DC1A5F" w:rsidRDefault="00597DE2" w:rsidP="00597DE2">
      <w:pPr>
        <w:pStyle w:val="ParrafoGlosario"/>
        <w:rPr>
          <w:lang w:val="es-PE"/>
        </w:rPr>
      </w:pPr>
      <w:proofErr w:type="spellStart"/>
      <w:r w:rsidRPr="007C7FEA">
        <w:rPr>
          <w:i/>
          <w:iCs/>
          <w:lang w:val="es-PE"/>
        </w:rPr>
        <w:t>hīna</w:t>
      </w:r>
      <w:proofErr w:type="spellEnd"/>
      <w:r w:rsidRPr="00DC1A5F">
        <w:rPr>
          <w:lang w:val="es-PE"/>
        </w:rPr>
        <w:t>— (1) abandonado, (2) inferior</w:t>
      </w:r>
    </w:p>
    <w:p w14:paraId="50DE1205" w14:textId="77777777" w:rsidR="00597DE2" w:rsidRPr="00DC1A5F" w:rsidRDefault="00597DE2" w:rsidP="00597DE2">
      <w:pPr>
        <w:pStyle w:val="ParrafoGlosario"/>
        <w:rPr>
          <w:lang w:val="es-PE"/>
        </w:rPr>
      </w:pPr>
      <w:proofErr w:type="spellStart"/>
      <w:r w:rsidRPr="007C7FEA">
        <w:rPr>
          <w:i/>
          <w:iCs/>
          <w:lang w:val="es-PE"/>
        </w:rPr>
        <w:t>hiri</w:t>
      </w:r>
      <w:proofErr w:type="spellEnd"/>
      <w:r w:rsidRPr="00DC1A5F">
        <w:rPr>
          <w:lang w:val="es-PE"/>
        </w:rPr>
        <w:t>— consciencia</w:t>
      </w:r>
    </w:p>
    <w:p w14:paraId="72662A2C" w14:textId="77777777" w:rsidR="00597DE2" w:rsidRPr="00DC1A5F" w:rsidRDefault="00597DE2" w:rsidP="00597DE2">
      <w:pPr>
        <w:pStyle w:val="ParrafoGlosario"/>
        <w:rPr>
          <w:lang w:val="es-PE"/>
        </w:rPr>
      </w:pPr>
      <w:proofErr w:type="spellStart"/>
      <w:r w:rsidRPr="00DC1A5F">
        <w:rPr>
          <w:i/>
          <w:iCs/>
          <w:lang w:val="es-PE"/>
        </w:rPr>
        <w:t>idappaccayatā</w:t>
      </w:r>
      <w:proofErr w:type="spellEnd"/>
      <w:r w:rsidRPr="00DC1A5F">
        <w:rPr>
          <w:lang w:val="es-PE"/>
        </w:rPr>
        <w:t>— condicionalidad específica (término para la originación dependiente)</w:t>
      </w:r>
    </w:p>
    <w:p w14:paraId="546CCA73" w14:textId="77777777" w:rsidR="00597DE2" w:rsidRPr="00DC1A5F" w:rsidRDefault="00597DE2" w:rsidP="00597DE2">
      <w:pPr>
        <w:pStyle w:val="ParrafoGlosario"/>
        <w:rPr>
          <w:lang w:val="es-PE"/>
        </w:rPr>
      </w:pPr>
      <w:proofErr w:type="spellStart"/>
      <w:r w:rsidRPr="00DC1A5F">
        <w:rPr>
          <w:i/>
          <w:iCs/>
          <w:lang w:val="es-PE"/>
        </w:rPr>
        <w:t>iddhi</w:t>
      </w:r>
      <w:proofErr w:type="spellEnd"/>
      <w:r w:rsidRPr="00DC1A5F">
        <w:rPr>
          <w:lang w:val="es-PE"/>
        </w:rPr>
        <w:t>— poder, éxito, poder sobrenatural</w:t>
      </w:r>
    </w:p>
    <w:p w14:paraId="6C9F9057" w14:textId="77777777" w:rsidR="00597DE2" w:rsidRPr="00DC1A5F" w:rsidRDefault="00597DE2" w:rsidP="00597DE2">
      <w:pPr>
        <w:pStyle w:val="ParrafoGlosario"/>
        <w:rPr>
          <w:lang w:val="es-PE"/>
        </w:rPr>
      </w:pPr>
      <w:proofErr w:type="spellStart"/>
      <w:r w:rsidRPr="00DC1A5F">
        <w:rPr>
          <w:i/>
          <w:iCs/>
          <w:lang w:val="es-PE"/>
        </w:rPr>
        <w:t>iddhipāda</w:t>
      </w:r>
      <w:proofErr w:type="spellEnd"/>
      <w:r w:rsidRPr="00DC1A5F">
        <w:rPr>
          <w:lang w:val="es-PE"/>
        </w:rPr>
        <w:t>— sendero hacia el poder, base para el éxito (el 4)</w:t>
      </w:r>
    </w:p>
    <w:p w14:paraId="40714F65" w14:textId="77777777" w:rsidR="00597DE2" w:rsidRPr="00DC1A5F" w:rsidRDefault="00597DE2" w:rsidP="00597DE2">
      <w:pPr>
        <w:pStyle w:val="ParrafoGlosario"/>
        <w:rPr>
          <w:lang w:val="es-PE"/>
        </w:rPr>
      </w:pPr>
      <w:proofErr w:type="spellStart"/>
      <w:r w:rsidRPr="00DC1A5F">
        <w:rPr>
          <w:i/>
          <w:iCs/>
          <w:lang w:val="es-PE"/>
        </w:rPr>
        <w:t>īhaka</w:t>
      </w:r>
      <w:proofErr w:type="spellEnd"/>
      <w:r w:rsidRPr="00DC1A5F">
        <w:rPr>
          <w:lang w:val="es-PE"/>
        </w:rPr>
        <w:t>— tener curiosidad, actividad</w:t>
      </w:r>
    </w:p>
    <w:p w14:paraId="55FF9DD9" w14:textId="77777777" w:rsidR="00597DE2" w:rsidRPr="00DC1A5F" w:rsidRDefault="00597DE2" w:rsidP="00597DE2">
      <w:pPr>
        <w:pStyle w:val="ParrafoGlosario"/>
        <w:rPr>
          <w:lang w:val="es-PE"/>
        </w:rPr>
      </w:pPr>
      <w:proofErr w:type="spellStart"/>
      <w:r w:rsidRPr="00DC1A5F">
        <w:rPr>
          <w:i/>
          <w:iCs/>
          <w:lang w:val="es-PE"/>
        </w:rPr>
        <w:t>indriya</w:t>
      </w:r>
      <w:proofErr w:type="spellEnd"/>
      <w:r w:rsidRPr="00DC1A5F">
        <w:rPr>
          <w:lang w:val="es-PE"/>
        </w:rPr>
        <w:t>— facultad (los 22)</w:t>
      </w:r>
    </w:p>
    <w:p w14:paraId="4A576499" w14:textId="77777777" w:rsidR="00597DE2" w:rsidRPr="00DC1A5F" w:rsidRDefault="00597DE2" w:rsidP="00597DE2">
      <w:pPr>
        <w:pStyle w:val="ParrafoGlosario"/>
        <w:rPr>
          <w:lang w:val="es-PE"/>
        </w:rPr>
      </w:pPr>
      <w:proofErr w:type="spellStart"/>
      <w:r w:rsidRPr="00DC1A5F">
        <w:rPr>
          <w:i/>
          <w:iCs/>
          <w:lang w:val="es-PE"/>
        </w:rPr>
        <w:t>iriyāpatha</w:t>
      </w:r>
      <w:proofErr w:type="spellEnd"/>
      <w:r w:rsidRPr="00DC1A5F">
        <w:rPr>
          <w:lang w:val="es-PE"/>
        </w:rPr>
        <w:t>— postura, comportamiento (el 4)</w:t>
      </w:r>
    </w:p>
    <w:p w14:paraId="15BB2876" w14:textId="77777777" w:rsidR="00597DE2" w:rsidRPr="00DC1A5F" w:rsidRDefault="00597DE2" w:rsidP="00597DE2">
      <w:pPr>
        <w:pStyle w:val="ParrafoGlosario"/>
        <w:rPr>
          <w:lang w:val="es-PE"/>
        </w:rPr>
      </w:pPr>
      <w:proofErr w:type="spellStart"/>
      <w:r w:rsidRPr="00DC1A5F">
        <w:rPr>
          <w:lang w:val="es-PE"/>
        </w:rPr>
        <w:t>issara</w:t>
      </w:r>
      <w:proofErr w:type="spellEnd"/>
      <w:r w:rsidRPr="00DC1A5F">
        <w:rPr>
          <w:lang w:val="es-PE"/>
        </w:rPr>
        <w:t>— Señor Supremo, Señor Creador</w:t>
      </w:r>
    </w:p>
    <w:p w14:paraId="480BF967" w14:textId="77777777" w:rsidR="00597DE2" w:rsidRPr="00DC1A5F" w:rsidRDefault="00597DE2" w:rsidP="00597DE2">
      <w:pPr>
        <w:pStyle w:val="ParrafoGlosario"/>
        <w:rPr>
          <w:lang w:val="es-PE"/>
        </w:rPr>
      </w:pPr>
      <w:proofErr w:type="spellStart"/>
      <w:r w:rsidRPr="00DC1A5F">
        <w:rPr>
          <w:i/>
          <w:iCs/>
          <w:lang w:val="es-PE"/>
        </w:rPr>
        <w:t>itarathā</w:t>
      </w:r>
      <w:proofErr w:type="spellEnd"/>
      <w:r w:rsidRPr="00DC1A5F">
        <w:rPr>
          <w:lang w:val="es-PE"/>
        </w:rPr>
        <w:t>*— de lo contrario, de otro modo, de otra manera: III.53 (</w:t>
      </w:r>
      <w:proofErr w:type="spellStart"/>
      <w:r w:rsidRPr="00DC1A5F">
        <w:rPr>
          <w:lang w:val="es-PE"/>
        </w:rPr>
        <w:t>Dhs</w:t>
      </w:r>
      <w:proofErr w:type="spellEnd"/>
      <w:r w:rsidRPr="00DC1A5F">
        <w:rPr>
          <w:lang w:val="es-PE"/>
        </w:rPr>
        <w:t>–a 44)</w:t>
      </w:r>
    </w:p>
    <w:p w14:paraId="0E6BC9A6" w14:textId="77777777" w:rsidR="00597DE2" w:rsidRPr="00DC1A5F" w:rsidRDefault="00597DE2" w:rsidP="00597DE2">
      <w:pPr>
        <w:pStyle w:val="ParrafoGlosario"/>
        <w:rPr>
          <w:lang w:val="es-PE"/>
        </w:rPr>
      </w:pPr>
      <w:proofErr w:type="spellStart"/>
      <w:r w:rsidRPr="00DC1A5F">
        <w:rPr>
          <w:i/>
          <w:iCs/>
          <w:lang w:val="es-PE"/>
        </w:rPr>
        <w:t>iṭṭha</w:t>
      </w:r>
      <w:proofErr w:type="spellEnd"/>
      <w:r w:rsidRPr="00DC1A5F">
        <w:rPr>
          <w:lang w:val="es-PE"/>
        </w:rPr>
        <w:t>— deseable</w:t>
      </w:r>
    </w:p>
    <w:p w14:paraId="5823A7FD" w14:textId="77777777" w:rsidR="00597DE2" w:rsidRPr="00DC1A5F" w:rsidRDefault="00597DE2" w:rsidP="00597DE2">
      <w:pPr>
        <w:pStyle w:val="ParrafoGlosario"/>
        <w:rPr>
          <w:lang w:val="es-PE"/>
        </w:rPr>
      </w:pPr>
      <w:proofErr w:type="spellStart"/>
      <w:r w:rsidRPr="00DC1A5F">
        <w:rPr>
          <w:i/>
          <w:iCs/>
          <w:lang w:val="es-PE"/>
        </w:rPr>
        <w:t>itthindriya</w:t>
      </w:r>
      <w:proofErr w:type="spellEnd"/>
      <w:r w:rsidRPr="00DC1A5F">
        <w:rPr>
          <w:lang w:val="es-PE"/>
        </w:rPr>
        <w:t>— facultad de la feminidad</w:t>
      </w:r>
    </w:p>
    <w:p w14:paraId="6AF08813" w14:textId="77777777" w:rsidR="00597DE2" w:rsidRPr="00DC1A5F" w:rsidRDefault="00597DE2" w:rsidP="00597DE2">
      <w:pPr>
        <w:pStyle w:val="ParrafoGlosario"/>
        <w:rPr>
          <w:lang w:val="es-PE"/>
        </w:rPr>
      </w:pPr>
      <w:proofErr w:type="spellStart"/>
      <w:r w:rsidRPr="00DC1A5F">
        <w:rPr>
          <w:i/>
          <w:iCs/>
          <w:lang w:val="es-PE"/>
        </w:rPr>
        <w:t>janaka</w:t>
      </w:r>
      <w:proofErr w:type="spellEnd"/>
      <w:r w:rsidRPr="00DC1A5F">
        <w:rPr>
          <w:lang w:val="es-PE"/>
        </w:rPr>
        <w:t xml:space="preserve">*— </w:t>
      </w:r>
      <w:r w:rsidRPr="00DC1A5F">
        <w:rPr>
          <w:i/>
          <w:iCs/>
          <w:lang w:val="es-PE"/>
        </w:rPr>
        <w:t>también</w:t>
      </w:r>
      <w:r w:rsidRPr="00DC1A5F">
        <w:rPr>
          <w:lang w:val="es-PE"/>
        </w:rPr>
        <w:t xml:space="preserve"> padre: XVII.271</w:t>
      </w:r>
    </w:p>
    <w:p w14:paraId="28A121B6" w14:textId="77777777" w:rsidR="00597DE2" w:rsidRPr="00DC1A5F" w:rsidRDefault="00597DE2" w:rsidP="00597DE2">
      <w:pPr>
        <w:pStyle w:val="ParrafoGlosario"/>
        <w:rPr>
          <w:lang w:val="es-PE"/>
        </w:rPr>
      </w:pPr>
      <w:proofErr w:type="spellStart"/>
      <w:r w:rsidRPr="00DC1A5F">
        <w:rPr>
          <w:i/>
          <w:iCs/>
          <w:lang w:val="es-PE"/>
        </w:rPr>
        <w:t>jarā</w:t>
      </w:r>
      <w:proofErr w:type="spellEnd"/>
      <w:r w:rsidRPr="00DC1A5F">
        <w:rPr>
          <w:lang w:val="es-PE"/>
        </w:rPr>
        <w:t>— envejecimiento, vejez</w:t>
      </w:r>
    </w:p>
    <w:p w14:paraId="489710AB" w14:textId="77777777" w:rsidR="00597DE2" w:rsidRPr="00DC1A5F" w:rsidRDefault="00597DE2" w:rsidP="00597DE2">
      <w:pPr>
        <w:pStyle w:val="ParrafoGlosario"/>
        <w:rPr>
          <w:lang w:val="es-PE"/>
        </w:rPr>
      </w:pPr>
      <w:r w:rsidRPr="00DC1A5F">
        <w:rPr>
          <w:i/>
          <w:iCs/>
          <w:lang w:val="es-PE"/>
        </w:rPr>
        <w:t>jara</w:t>
      </w:r>
      <w:r w:rsidRPr="00DC1A5F">
        <w:rPr>
          <w:lang w:val="es-PE"/>
        </w:rPr>
        <w:t>*— fiebre: XI.36 (AV 100)</w:t>
      </w:r>
    </w:p>
    <w:p w14:paraId="666749E2" w14:textId="77777777" w:rsidR="00597DE2" w:rsidRPr="00DC1A5F" w:rsidRDefault="00597DE2" w:rsidP="00597DE2">
      <w:pPr>
        <w:pStyle w:val="ParrafoGlosario"/>
        <w:rPr>
          <w:lang w:val="es-PE"/>
        </w:rPr>
      </w:pPr>
      <w:proofErr w:type="spellStart"/>
      <w:r w:rsidRPr="00DC1A5F">
        <w:rPr>
          <w:i/>
          <w:iCs/>
          <w:lang w:val="es-PE"/>
        </w:rPr>
        <w:t>jarā</w:t>
      </w:r>
      <w:proofErr w:type="spellEnd"/>
      <w:r w:rsidRPr="00DC1A5F">
        <w:rPr>
          <w:i/>
          <w:iCs/>
          <w:lang w:val="es-PE"/>
        </w:rPr>
        <w:t>–</w:t>
      </w:r>
      <w:proofErr w:type="spellStart"/>
      <w:r w:rsidRPr="00DC1A5F">
        <w:rPr>
          <w:i/>
          <w:iCs/>
          <w:lang w:val="es-PE"/>
        </w:rPr>
        <w:t>māraṇa</w:t>
      </w:r>
      <w:proofErr w:type="spellEnd"/>
      <w:r w:rsidRPr="00DC1A5F">
        <w:rPr>
          <w:lang w:val="es-PE"/>
        </w:rPr>
        <w:t xml:space="preserve">— vejez–y–muerte </w:t>
      </w:r>
    </w:p>
    <w:p w14:paraId="238A542C" w14:textId="77777777" w:rsidR="00597DE2" w:rsidRPr="00DC1A5F" w:rsidRDefault="00597DE2" w:rsidP="00597DE2">
      <w:pPr>
        <w:pStyle w:val="ParrafoGlosario"/>
        <w:rPr>
          <w:lang w:val="es-PE"/>
        </w:rPr>
      </w:pPr>
      <w:proofErr w:type="spellStart"/>
      <w:r w:rsidRPr="00DC1A5F">
        <w:rPr>
          <w:i/>
          <w:iCs/>
          <w:lang w:val="es-PE"/>
        </w:rPr>
        <w:t>jāti</w:t>
      </w:r>
      <w:proofErr w:type="spellEnd"/>
      <w:r w:rsidRPr="00DC1A5F">
        <w:rPr>
          <w:lang w:val="es-PE"/>
        </w:rPr>
        <w:t>— (1) nacimiento, (2) clase, tipo</w:t>
      </w:r>
    </w:p>
    <w:p w14:paraId="0CCBD323" w14:textId="77777777" w:rsidR="00597DE2" w:rsidRPr="00DC1A5F" w:rsidRDefault="00597DE2" w:rsidP="00597DE2">
      <w:pPr>
        <w:pStyle w:val="ParrafoGlosario"/>
        <w:rPr>
          <w:lang w:val="es-PE"/>
        </w:rPr>
      </w:pPr>
      <w:proofErr w:type="spellStart"/>
      <w:r w:rsidRPr="00DC1A5F">
        <w:rPr>
          <w:i/>
          <w:iCs/>
          <w:lang w:val="es-PE"/>
        </w:rPr>
        <w:t>jatuka</w:t>
      </w:r>
      <w:proofErr w:type="spellEnd"/>
      <w:r w:rsidRPr="00DC1A5F">
        <w:rPr>
          <w:lang w:val="es-PE"/>
        </w:rPr>
        <w:t>*— murciélago, pipistrelo: III.97; XI.7</w:t>
      </w:r>
    </w:p>
    <w:p w14:paraId="026F8D35" w14:textId="77777777" w:rsidR="00597DE2" w:rsidRPr="00DC1A5F" w:rsidRDefault="00597DE2" w:rsidP="00597DE2">
      <w:pPr>
        <w:pStyle w:val="ParrafoGlosario"/>
        <w:rPr>
          <w:lang w:val="es-PE"/>
        </w:rPr>
      </w:pPr>
      <w:proofErr w:type="spellStart"/>
      <w:r w:rsidRPr="00DC1A5F">
        <w:rPr>
          <w:i/>
          <w:iCs/>
          <w:lang w:val="es-PE"/>
        </w:rPr>
        <w:t>javana</w:t>
      </w:r>
      <w:proofErr w:type="spellEnd"/>
      <w:r w:rsidRPr="00DC1A5F">
        <w:rPr>
          <w:lang w:val="es-PE"/>
        </w:rPr>
        <w:t>— (1) velocidad, (2) impulsión (consciencia)</w:t>
      </w:r>
    </w:p>
    <w:p w14:paraId="0C88D32B" w14:textId="77777777" w:rsidR="00597DE2" w:rsidRPr="00DC1A5F" w:rsidRDefault="00597DE2" w:rsidP="00597DE2">
      <w:pPr>
        <w:pStyle w:val="ParrafoGlosario"/>
        <w:rPr>
          <w:lang w:val="es-PE"/>
        </w:rPr>
      </w:pPr>
      <w:proofErr w:type="spellStart"/>
      <w:r w:rsidRPr="00DC1A5F">
        <w:rPr>
          <w:i/>
          <w:iCs/>
          <w:lang w:val="es-PE"/>
        </w:rPr>
        <w:t>jhāna</w:t>
      </w:r>
      <w:proofErr w:type="spellEnd"/>
      <w:r w:rsidRPr="00DC1A5F">
        <w:rPr>
          <w:lang w:val="es-PE"/>
        </w:rPr>
        <w:t xml:space="preserve">— </w:t>
      </w:r>
      <w:proofErr w:type="spellStart"/>
      <w:r w:rsidRPr="00DC1A5F">
        <w:rPr>
          <w:lang w:val="es-PE"/>
        </w:rPr>
        <w:t>jhāna</w:t>
      </w:r>
      <w:proofErr w:type="spellEnd"/>
    </w:p>
    <w:p w14:paraId="7819D2D7" w14:textId="77777777" w:rsidR="00597DE2" w:rsidRPr="00DC1A5F" w:rsidRDefault="00597DE2" w:rsidP="00597DE2">
      <w:pPr>
        <w:pStyle w:val="ParrafoGlosario"/>
        <w:rPr>
          <w:lang w:val="es-PE"/>
        </w:rPr>
      </w:pPr>
      <w:proofErr w:type="spellStart"/>
      <w:r w:rsidRPr="00DC1A5F">
        <w:rPr>
          <w:i/>
          <w:iCs/>
          <w:lang w:val="es-PE"/>
        </w:rPr>
        <w:t>jīva</w:t>
      </w:r>
      <w:proofErr w:type="spellEnd"/>
      <w:r w:rsidRPr="00DC1A5F">
        <w:rPr>
          <w:lang w:val="es-PE"/>
        </w:rPr>
        <w:t>— alma</w:t>
      </w:r>
    </w:p>
    <w:p w14:paraId="11BA781C" w14:textId="77777777" w:rsidR="00597DE2" w:rsidRPr="00DC1A5F" w:rsidRDefault="00597DE2" w:rsidP="00597DE2">
      <w:pPr>
        <w:pStyle w:val="ParrafoGlosario"/>
        <w:rPr>
          <w:lang w:val="es-PE"/>
        </w:rPr>
      </w:pPr>
      <w:proofErr w:type="spellStart"/>
      <w:r w:rsidRPr="00DC1A5F">
        <w:rPr>
          <w:i/>
          <w:iCs/>
          <w:lang w:val="es-PE"/>
        </w:rPr>
        <w:t>jivhā</w:t>
      </w:r>
      <w:proofErr w:type="spellEnd"/>
      <w:r w:rsidRPr="00DC1A5F">
        <w:rPr>
          <w:lang w:val="es-PE"/>
        </w:rPr>
        <w:t xml:space="preserve">— lengua </w:t>
      </w:r>
    </w:p>
    <w:p w14:paraId="399E9806" w14:textId="77777777" w:rsidR="00597DE2" w:rsidRPr="00DC1A5F" w:rsidRDefault="00597DE2" w:rsidP="00597DE2">
      <w:pPr>
        <w:pStyle w:val="ParrafoGlosario"/>
        <w:rPr>
          <w:lang w:val="es-PE"/>
        </w:rPr>
      </w:pPr>
      <w:proofErr w:type="spellStart"/>
      <w:r w:rsidRPr="00DC1A5F">
        <w:rPr>
          <w:i/>
          <w:iCs/>
          <w:lang w:val="es-PE"/>
        </w:rPr>
        <w:t>jīvita</w:t>
      </w:r>
      <w:proofErr w:type="spellEnd"/>
      <w:r w:rsidRPr="00DC1A5F">
        <w:rPr>
          <w:lang w:val="es-PE"/>
        </w:rPr>
        <w:t>— vida</w:t>
      </w:r>
    </w:p>
    <w:p w14:paraId="143AED75" w14:textId="77777777" w:rsidR="00597DE2" w:rsidRPr="00DC1A5F" w:rsidRDefault="00597DE2" w:rsidP="00597DE2">
      <w:pPr>
        <w:pStyle w:val="ParrafoGlosario"/>
        <w:rPr>
          <w:lang w:val="es-PE"/>
        </w:rPr>
      </w:pPr>
      <w:proofErr w:type="spellStart"/>
      <w:r w:rsidRPr="00DC1A5F">
        <w:rPr>
          <w:i/>
          <w:iCs/>
          <w:lang w:val="es-PE"/>
        </w:rPr>
        <w:t>juṭṭha</w:t>
      </w:r>
      <w:proofErr w:type="spellEnd"/>
      <w:r w:rsidRPr="00DC1A5F">
        <w:rPr>
          <w:lang w:val="es-PE"/>
        </w:rPr>
        <w:t>*— fomentado: XVI.4</w:t>
      </w:r>
    </w:p>
    <w:p w14:paraId="33B45BB9"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kabaliṅkārāhāra</w:t>
      </w:r>
      <w:proofErr w:type="spellEnd"/>
      <w:r w:rsidRPr="00DC1A5F">
        <w:rPr>
          <w:sz w:val="15"/>
          <w:szCs w:val="15"/>
          <w:lang w:val="es-PE"/>
        </w:rPr>
        <w:t>— nutrimento físico</w:t>
      </w:r>
    </w:p>
    <w:p w14:paraId="292FA738" w14:textId="77777777" w:rsidR="00597DE2" w:rsidRPr="00DC1A5F" w:rsidRDefault="00597DE2" w:rsidP="00597DE2">
      <w:pPr>
        <w:pStyle w:val="ParrafoGlosario"/>
        <w:rPr>
          <w:lang w:val="es-PE"/>
        </w:rPr>
      </w:pPr>
      <w:proofErr w:type="spellStart"/>
      <w:r w:rsidRPr="00DC1A5F">
        <w:rPr>
          <w:i/>
          <w:iCs/>
          <w:lang w:val="es-PE"/>
        </w:rPr>
        <w:t>kāla</w:t>
      </w:r>
      <w:proofErr w:type="spellEnd"/>
      <w:r w:rsidRPr="00DC1A5F">
        <w:rPr>
          <w:lang w:val="es-PE"/>
        </w:rPr>
        <w:t>— tiempo</w:t>
      </w:r>
    </w:p>
    <w:p w14:paraId="242ECF1C"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kalāpa</w:t>
      </w:r>
      <w:proofErr w:type="spellEnd"/>
      <w:r w:rsidRPr="00DC1A5F">
        <w:rPr>
          <w:sz w:val="15"/>
          <w:szCs w:val="15"/>
          <w:lang w:val="es-PE"/>
        </w:rPr>
        <w:t>— (1) grupo, (2) grupo material (término para el óctuplo material, etc.)</w:t>
      </w:r>
    </w:p>
    <w:p w14:paraId="32CC2EC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kalāpa</w:t>
      </w:r>
      <w:proofErr w:type="spellEnd"/>
      <w:r w:rsidRPr="00DC1A5F">
        <w:rPr>
          <w:i/>
          <w:iCs/>
          <w:sz w:val="15"/>
          <w:szCs w:val="15"/>
          <w:lang w:val="es-PE"/>
        </w:rPr>
        <w:t>–</w:t>
      </w:r>
      <w:proofErr w:type="spellStart"/>
      <w:r w:rsidRPr="00DC1A5F">
        <w:rPr>
          <w:i/>
          <w:iCs/>
          <w:sz w:val="15"/>
          <w:szCs w:val="15"/>
          <w:lang w:val="es-PE"/>
        </w:rPr>
        <w:t>sammasana</w:t>
      </w:r>
      <w:proofErr w:type="spellEnd"/>
      <w:r w:rsidRPr="00DC1A5F">
        <w:rPr>
          <w:sz w:val="15"/>
          <w:szCs w:val="15"/>
          <w:lang w:val="es-PE"/>
        </w:rPr>
        <w:t>— comprensión mediante grupos (no se refiere al óctuplo material, etc.)</w:t>
      </w:r>
    </w:p>
    <w:p w14:paraId="5E2A63D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kalyāṇa</w:t>
      </w:r>
      <w:proofErr w:type="spellEnd"/>
      <w:r w:rsidRPr="00DC1A5F">
        <w:rPr>
          <w:i/>
          <w:iCs/>
          <w:sz w:val="15"/>
          <w:szCs w:val="15"/>
          <w:lang w:val="es-PE"/>
        </w:rPr>
        <w:t>–puthujjana</w:t>
      </w:r>
      <w:r w:rsidRPr="00DC1A5F">
        <w:rPr>
          <w:sz w:val="15"/>
          <w:szCs w:val="15"/>
          <w:lang w:val="es-PE"/>
        </w:rPr>
        <w:t>— hombre ordinario magnánimo</w:t>
      </w:r>
    </w:p>
    <w:p w14:paraId="1B447AF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kāma</w:t>
      </w:r>
      <w:proofErr w:type="spellEnd"/>
      <w:r w:rsidRPr="00DC1A5F">
        <w:rPr>
          <w:sz w:val="15"/>
          <w:szCs w:val="15"/>
          <w:lang w:val="es-PE"/>
        </w:rPr>
        <w:t>— deseo sensorial, deseo sensorial</w:t>
      </w:r>
    </w:p>
    <w:p w14:paraId="2D2DD2A9"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kāma</w:t>
      </w:r>
      <w:proofErr w:type="spellEnd"/>
      <w:r w:rsidRPr="00DC1A5F">
        <w:rPr>
          <w:i/>
          <w:iCs/>
          <w:sz w:val="15"/>
          <w:szCs w:val="15"/>
          <w:lang w:val="es-PE"/>
        </w:rPr>
        <w:t>–</w:t>
      </w:r>
      <w:proofErr w:type="spellStart"/>
      <w:r w:rsidRPr="00DC1A5F">
        <w:rPr>
          <w:i/>
          <w:iCs/>
          <w:sz w:val="15"/>
          <w:szCs w:val="15"/>
          <w:lang w:val="es-PE"/>
        </w:rPr>
        <w:t>cchanda</w:t>
      </w:r>
      <w:proofErr w:type="spellEnd"/>
      <w:r w:rsidRPr="00DC1A5F">
        <w:rPr>
          <w:sz w:val="15"/>
          <w:szCs w:val="15"/>
          <w:lang w:val="es-PE"/>
        </w:rPr>
        <w:t>— lujuria, celo para con los deseos sensoriales</w:t>
      </w:r>
    </w:p>
    <w:p w14:paraId="51F76613" w14:textId="77777777" w:rsidR="00597DE2" w:rsidRDefault="00597DE2" w:rsidP="00597DE2">
      <w:pPr>
        <w:pStyle w:val="ParrafoGlosario"/>
        <w:rPr>
          <w:sz w:val="15"/>
          <w:szCs w:val="15"/>
          <w:lang w:val="es-PE"/>
        </w:rPr>
      </w:pPr>
      <w:proofErr w:type="spellStart"/>
      <w:r w:rsidRPr="00DC1A5F">
        <w:rPr>
          <w:i/>
          <w:iCs/>
          <w:sz w:val="15"/>
          <w:szCs w:val="15"/>
          <w:lang w:val="es-PE"/>
        </w:rPr>
        <w:t>kāma</w:t>
      </w:r>
      <w:proofErr w:type="spellEnd"/>
      <w:r w:rsidRPr="00DC1A5F">
        <w:rPr>
          <w:i/>
          <w:iCs/>
          <w:sz w:val="15"/>
          <w:szCs w:val="15"/>
          <w:lang w:val="es-PE"/>
        </w:rPr>
        <w:t>–</w:t>
      </w:r>
      <w:proofErr w:type="spellStart"/>
      <w:r w:rsidRPr="00DC1A5F">
        <w:rPr>
          <w:i/>
          <w:iCs/>
          <w:sz w:val="15"/>
          <w:szCs w:val="15"/>
          <w:lang w:val="es-PE"/>
        </w:rPr>
        <w:t>guṇa</w:t>
      </w:r>
      <w:proofErr w:type="spellEnd"/>
      <w:r w:rsidRPr="00DC1A5F">
        <w:rPr>
          <w:sz w:val="15"/>
          <w:szCs w:val="15"/>
          <w:lang w:val="es-PE"/>
        </w:rPr>
        <w:t>— cordón del deseo sensorial (el 5</w:t>
      </w:r>
      <w:r w:rsidRPr="00DC1A5F">
        <w:rPr>
          <w:sz w:val="15"/>
          <w:szCs w:val="15"/>
          <w:vertAlign w:val="superscript"/>
          <w:lang w:val="es-PE"/>
        </w:rPr>
        <w:t>to</w:t>
      </w:r>
      <w:r w:rsidRPr="00DC1A5F">
        <w:rPr>
          <w:sz w:val="15"/>
          <w:szCs w:val="15"/>
          <w:lang w:val="es-PE"/>
        </w:rPr>
        <w:t>), dimensión del deseo sensorial</w:t>
      </w:r>
      <w:r>
        <w:rPr>
          <w:sz w:val="15"/>
          <w:szCs w:val="15"/>
          <w:lang w:val="es-PE"/>
        </w:rPr>
        <w:br w:type="page"/>
      </w:r>
    </w:p>
    <w:p w14:paraId="1B13C816" w14:textId="77777777" w:rsidR="00597DE2" w:rsidRPr="00DC1A5F" w:rsidRDefault="00597DE2" w:rsidP="00597DE2">
      <w:pPr>
        <w:pStyle w:val="ParrafoGlosario"/>
        <w:rPr>
          <w:sz w:val="15"/>
          <w:szCs w:val="15"/>
          <w:lang w:val="es-PE"/>
        </w:rPr>
      </w:pPr>
    </w:p>
    <w:p w14:paraId="60EFBE0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kāma</w:t>
      </w:r>
      <w:proofErr w:type="spellEnd"/>
      <w:r w:rsidRPr="00DC1A5F">
        <w:rPr>
          <w:i/>
          <w:iCs/>
          <w:sz w:val="15"/>
          <w:szCs w:val="15"/>
          <w:lang w:val="es-PE"/>
        </w:rPr>
        <w:t>–rāga</w:t>
      </w:r>
      <w:r w:rsidRPr="00DC1A5F">
        <w:rPr>
          <w:sz w:val="15"/>
          <w:szCs w:val="15"/>
          <w:lang w:val="es-PE"/>
        </w:rPr>
        <w:t>— codicia por los deseos sensoriales</w:t>
      </w:r>
    </w:p>
    <w:p w14:paraId="6859B156" w14:textId="77777777" w:rsidR="00597DE2" w:rsidRPr="00DC1A5F" w:rsidRDefault="00597DE2" w:rsidP="00597DE2">
      <w:pPr>
        <w:pStyle w:val="ParrafoGlosario"/>
        <w:rPr>
          <w:lang w:val="es-PE"/>
        </w:rPr>
      </w:pPr>
      <w:proofErr w:type="spellStart"/>
      <w:r w:rsidRPr="00DC1A5F">
        <w:rPr>
          <w:i/>
          <w:iCs/>
          <w:lang w:val="es-PE"/>
        </w:rPr>
        <w:t>kāmāvacara</w:t>
      </w:r>
      <w:proofErr w:type="spellEnd"/>
      <w:r w:rsidRPr="00DC1A5F">
        <w:rPr>
          <w:lang w:val="es-PE"/>
        </w:rPr>
        <w:t>— esfera del deseo y deseos, esfera sensorial</w:t>
      </w:r>
    </w:p>
    <w:p w14:paraId="53F5232E" w14:textId="77777777" w:rsidR="00597DE2" w:rsidRPr="00DC1A5F" w:rsidRDefault="00597DE2" w:rsidP="00597DE2">
      <w:pPr>
        <w:pStyle w:val="ParrafoGlosario"/>
        <w:rPr>
          <w:lang w:val="es-PE"/>
        </w:rPr>
      </w:pPr>
      <w:proofErr w:type="spellStart"/>
      <w:r w:rsidRPr="00DC1A5F">
        <w:rPr>
          <w:i/>
          <w:iCs/>
          <w:lang w:val="es-PE"/>
        </w:rPr>
        <w:t>kāmesu</w:t>
      </w:r>
      <w:proofErr w:type="spellEnd"/>
      <w:r w:rsidRPr="00DC1A5F">
        <w:rPr>
          <w:i/>
          <w:iCs/>
          <w:lang w:val="es-PE"/>
        </w:rPr>
        <w:t xml:space="preserve"> </w:t>
      </w:r>
      <w:proofErr w:type="spellStart"/>
      <w:r w:rsidRPr="00DC1A5F">
        <w:rPr>
          <w:i/>
          <w:iCs/>
          <w:lang w:val="es-PE"/>
        </w:rPr>
        <w:t>micchācāra</w:t>
      </w:r>
      <w:proofErr w:type="spellEnd"/>
      <w:r w:rsidRPr="00DC1A5F">
        <w:rPr>
          <w:lang w:val="es-PE"/>
        </w:rPr>
        <w:t>—conducta sexual incorrecta</w:t>
      </w:r>
    </w:p>
    <w:p w14:paraId="7E538DF9" w14:textId="77777777" w:rsidR="00597DE2" w:rsidRPr="00DC1A5F" w:rsidRDefault="00597DE2" w:rsidP="00597DE2">
      <w:pPr>
        <w:pStyle w:val="ParrafoGlosario"/>
        <w:rPr>
          <w:sz w:val="15"/>
          <w:szCs w:val="15"/>
          <w:lang w:val="es-PE"/>
        </w:rPr>
      </w:pPr>
      <w:proofErr w:type="spellStart"/>
      <w:r w:rsidRPr="00DC1A5F">
        <w:rPr>
          <w:sz w:val="15"/>
          <w:szCs w:val="15"/>
          <w:lang w:val="es-PE"/>
        </w:rPr>
        <w:t>kamma</w:t>
      </w:r>
      <w:proofErr w:type="spellEnd"/>
      <w:r w:rsidRPr="00DC1A5F">
        <w:rPr>
          <w:sz w:val="15"/>
          <w:szCs w:val="15"/>
          <w:lang w:val="es-PE"/>
        </w:rPr>
        <w:t xml:space="preserve">— (1) </w:t>
      </w:r>
      <w:proofErr w:type="spellStart"/>
      <w:r w:rsidRPr="00DC1A5F">
        <w:rPr>
          <w:i/>
          <w:iCs/>
          <w:sz w:val="15"/>
          <w:szCs w:val="15"/>
          <w:lang w:val="es-PE"/>
        </w:rPr>
        <w:t>kamma</w:t>
      </w:r>
      <w:proofErr w:type="spellEnd"/>
      <w:r w:rsidRPr="00DC1A5F">
        <w:rPr>
          <w:sz w:val="15"/>
          <w:szCs w:val="15"/>
          <w:lang w:val="es-PE"/>
        </w:rPr>
        <w:t>, hecho, acción, (2) trabajo, (3) promulgación (legal)</w:t>
      </w:r>
    </w:p>
    <w:p w14:paraId="667A89BB"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kamma</w:t>
      </w:r>
      <w:proofErr w:type="spellEnd"/>
      <w:r w:rsidRPr="00DC1A5F">
        <w:rPr>
          <w:i/>
          <w:iCs/>
          <w:sz w:val="15"/>
          <w:szCs w:val="15"/>
          <w:lang w:val="es-PE"/>
        </w:rPr>
        <w:t>–</w:t>
      </w:r>
      <w:proofErr w:type="spellStart"/>
      <w:r w:rsidRPr="00DC1A5F">
        <w:rPr>
          <w:i/>
          <w:iCs/>
          <w:sz w:val="15"/>
          <w:szCs w:val="15"/>
          <w:lang w:val="es-PE"/>
        </w:rPr>
        <w:t>bhava</w:t>
      </w:r>
      <w:proofErr w:type="spellEnd"/>
      <w:r w:rsidRPr="00DC1A5F">
        <w:rPr>
          <w:sz w:val="15"/>
          <w:szCs w:val="15"/>
          <w:lang w:val="es-PE"/>
        </w:rPr>
        <w:t xml:space="preserve">— devenir del proceso </w:t>
      </w:r>
      <w:proofErr w:type="spellStart"/>
      <w:r w:rsidRPr="00DC1A5F">
        <w:rPr>
          <w:i/>
          <w:iCs/>
          <w:sz w:val="15"/>
          <w:szCs w:val="15"/>
          <w:lang w:val="es-PE"/>
        </w:rPr>
        <w:t>kammico</w:t>
      </w:r>
      <w:proofErr w:type="spellEnd"/>
      <w:r w:rsidRPr="00DC1A5F">
        <w:rPr>
          <w:sz w:val="15"/>
          <w:szCs w:val="15"/>
          <w:lang w:val="es-PE"/>
        </w:rPr>
        <w:t>, algún ser como acción</w:t>
      </w:r>
    </w:p>
    <w:p w14:paraId="0602C9F1" w14:textId="77777777" w:rsidR="00597DE2" w:rsidRPr="00DC1A5F" w:rsidRDefault="00597DE2" w:rsidP="00597DE2">
      <w:pPr>
        <w:pStyle w:val="ParrafoGlosario"/>
        <w:rPr>
          <w:sz w:val="15"/>
          <w:szCs w:val="15"/>
          <w:lang w:val="es-PE"/>
        </w:rPr>
      </w:pPr>
      <w:r w:rsidRPr="00DC1A5F">
        <w:rPr>
          <w:i/>
          <w:iCs/>
          <w:sz w:val="15"/>
          <w:szCs w:val="15"/>
          <w:lang w:val="es-PE"/>
        </w:rPr>
        <w:t>kammanta</w:t>
      </w:r>
      <w:r w:rsidRPr="00DC1A5F">
        <w:rPr>
          <w:sz w:val="15"/>
          <w:szCs w:val="15"/>
          <w:lang w:val="es-PE"/>
        </w:rPr>
        <w:t>— acción, trabajo</w:t>
      </w:r>
    </w:p>
    <w:p w14:paraId="3409D17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kammaññatā</w:t>
      </w:r>
      <w:proofErr w:type="spellEnd"/>
      <w:r w:rsidRPr="00DC1A5F">
        <w:rPr>
          <w:sz w:val="15"/>
          <w:szCs w:val="15"/>
          <w:lang w:val="es-PE"/>
        </w:rPr>
        <w:t>— manejabilidad</w:t>
      </w:r>
    </w:p>
    <w:p w14:paraId="77B5441A"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kamma</w:t>
      </w:r>
      <w:proofErr w:type="spellEnd"/>
      <w:r w:rsidRPr="00DC1A5F">
        <w:rPr>
          <w:i/>
          <w:iCs/>
          <w:sz w:val="15"/>
          <w:szCs w:val="15"/>
          <w:lang w:val="es-PE"/>
        </w:rPr>
        <w:t>–</w:t>
      </w:r>
      <w:proofErr w:type="spellStart"/>
      <w:r w:rsidRPr="00DC1A5F">
        <w:rPr>
          <w:i/>
          <w:iCs/>
          <w:sz w:val="15"/>
          <w:szCs w:val="15"/>
          <w:lang w:val="es-PE"/>
        </w:rPr>
        <w:t>patha</w:t>
      </w:r>
      <w:proofErr w:type="spellEnd"/>
      <w:r w:rsidRPr="00DC1A5F">
        <w:rPr>
          <w:sz w:val="15"/>
          <w:szCs w:val="15"/>
          <w:lang w:val="es-PE"/>
        </w:rPr>
        <w:t xml:space="preserve">— curso de acción, del </w:t>
      </w:r>
      <w:proofErr w:type="spellStart"/>
      <w:r w:rsidRPr="00DC1A5F">
        <w:rPr>
          <w:i/>
          <w:iCs/>
          <w:sz w:val="15"/>
          <w:szCs w:val="15"/>
          <w:lang w:val="es-PE"/>
        </w:rPr>
        <w:t>kamma</w:t>
      </w:r>
      <w:proofErr w:type="spellEnd"/>
    </w:p>
    <w:p w14:paraId="0002880B"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kamma</w:t>
      </w:r>
      <w:proofErr w:type="spellEnd"/>
      <w:r w:rsidRPr="00DC1A5F">
        <w:rPr>
          <w:i/>
          <w:iCs/>
          <w:sz w:val="15"/>
          <w:szCs w:val="15"/>
          <w:lang w:val="es-PE"/>
        </w:rPr>
        <w:t>–</w:t>
      </w:r>
      <w:proofErr w:type="spellStart"/>
      <w:r w:rsidRPr="00DC1A5F">
        <w:rPr>
          <w:i/>
          <w:iCs/>
          <w:sz w:val="15"/>
          <w:szCs w:val="15"/>
          <w:lang w:val="es-PE"/>
        </w:rPr>
        <w:t>samuṭṭhāna</w:t>
      </w:r>
      <w:proofErr w:type="spellEnd"/>
      <w:r w:rsidRPr="00DC1A5F">
        <w:rPr>
          <w:sz w:val="15"/>
          <w:szCs w:val="15"/>
          <w:lang w:val="es-PE"/>
        </w:rPr>
        <w:t xml:space="preserve">— (materia) originado por el </w:t>
      </w:r>
      <w:proofErr w:type="spellStart"/>
      <w:r w:rsidRPr="00DC1A5F">
        <w:rPr>
          <w:i/>
          <w:iCs/>
          <w:sz w:val="15"/>
          <w:szCs w:val="15"/>
          <w:lang w:val="es-PE"/>
        </w:rPr>
        <w:t>kamma</w:t>
      </w:r>
      <w:proofErr w:type="spellEnd"/>
      <w:r w:rsidRPr="00DC1A5F">
        <w:rPr>
          <w:i/>
          <w:iCs/>
          <w:sz w:val="15"/>
          <w:szCs w:val="15"/>
          <w:lang w:val="es-PE"/>
        </w:rPr>
        <w:t xml:space="preserve"> </w:t>
      </w:r>
    </w:p>
    <w:p w14:paraId="7C29C55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kammaṭṭhāna</w:t>
      </w:r>
      <w:proofErr w:type="spellEnd"/>
      <w:r w:rsidRPr="00DC1A5F">
        <w:rPr>
          <w:sz w:val="15"/>
          <w:szCs w:val="15"/>
          <w:lang w:val="es-PE"/>
        </w:rPr>
        <w:t>— objeto de meditación</w:t>
      </w:r>
    </w:p>
    <w:p w14:paraId="698589E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kampana</w:t>
      </w:r>
      <w:proofErr w:type="spellEnd"/>
      <w:r w:rsidRPr="00DC1A5F">
        <w:rPr>
          <w:sz w:val="15"/>
          <w:szCs w:val="15"/>
          <w:lang w:val="es-PE"/>
        </w:rPr>
        <w:t>— palpitando, temblando</w:t>
      </w:r>
    </w:p>
    <w:p w14:paraId="43085A2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kaṇḍuyati</w:t>
      </w:r>
      <w:proofErr w:type="spellEnd"/>
      <w:r w:rsidRPr="00DC1A5F">
        <w:rPr>
          <w:sz w:val="15"/>
          <w:szCs w:val="15"/>
          <w:lang w:val="es-PE"/>
        </w:rPr>
        <w:t>*— tener comezón: VIII.127</w:t>
      </w:r>
    </w:p>
    <w:p w14:paraId="32767D74"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kaṅkhā</w:t>
      </w:r>
      <w:proofErr w:type="spellEnd"/>
      <w:r w:rsidRPr="00DC1A5F">
        <w:rPr>
          <w:sz w:val="15"/>
          <w:szCs w:val="15"/>
          <w:lang w:val="es-PE"/>
        </w:rPr>
        <w:t>— duda</w:t>
      </w:r>
    </w:p>
    <w:p w14:paraId="06B7A05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kaṇṇika</w:t>
      </w:r>
      <w:proofErr w:type="spellEnd"/>
      <w:r w:rsidRPr="00DC1A5F">
        <w:rPr>
          <w:i/>
          <w:iCs/>
          <w:sz w:val="15"/>
          <w:szCs w:val="15"/>
          <w:lang w:val="es-PE"/>
        </w:rPr>
        <w:t>*</w:t>
      </w:r>
      <w:r w:rsidRPr="00DC1A5F">
        <w:rPr>
          <w:sz w:val="15"/>
          <w:szCs w:val="15"/>
          <w:lang w:val="es-PE"/>
        </w:rPr>
        <w:t>— hongo: VIII.88</w:t>
      </w:r>
    </w:p>
    <w:p w14:paraId="4D8ECAE0" w14:textId="77777777" w:rsidR="00597DE2" w:rsidRPr="00DC1A5F" w:rsidRDefault="00597DE2" w:rsidP="00597DE2">
      <w:pPr>
        <w:pStyle w:val="ParrafoGlosario"/>
        <w:rPr>
          <w:sz w:val="15"/>
          <w:szCs w:val="15"/>
          <w:lang w:val="es-PE"/>
        </w:rPr>
      </w:pPr>
      <w:r w:rsidRPr="00DC1A5F">
        <w:rPr>
          <w:i/>
          <w:iCs/>
          <w:sz w:val="15"/>
          <w:szCs w:val="15"/>
          <w:lang w:val="es-PE"/>
        </w:rPr>
        <w:t>kappa</w:t>
      </w:r>
      <w:r w:rsidRPr="00DC1A5F">
        <w:rPr>
          <w:sz w:val="15"/>
          <w:szCs w:val="15"/>
          <w:lang w:val="es-PE"/>
        </w:rPr>
        <w:t>— eón, periodo, intervalo de tiempo</w:t>
      </w:r>
    </w:p>
    <w:p w14:paraId="7A09BFB9"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karaja</w:t>
      </w:r>
      <w:proofErr w:type="spellEnd"/>
      <w:r w:rsidRPr="00DC1A5F">
        <w:rPr>
          <w:sz w:val="15"/>
          <w:szCs w:val="15"/>
          <w:lang w:val="es-PE"/>
        </w:rPr>
        <w:t>— físico</w:t>
      </w:r>
    </w:p>
    <w:p w14:paraId="630D1FEE" w14:textId="77777777" w:rsidR="00597DE2" w:rsidRPr="00DC1A5F" w:rsidRDefault="00597DE2" w:rsidP="00597DE2">
      <w:pPr>
        <w:pStyle w:val="ParrafoGlosario"/>
        <w:rPr>
          <w:lang w:val="es-PE"/>
        </w:rPr>
      </w:pPr>
      <w:proofErr w:type="spellStart"/>
      <w:r w:rsidRPr="00DC1A5F">
        <w:rPr>
          <w:i/>
          <w:iCs/>
          <w:lang w:val="es-PE"/>
        </w:rPr>
        <w:t>kāraka</w:t>
      </w:r>
      <w:proofErr w:type="spellEnd"/>
      <w:r w:rsidRPr="00DC1A5F">
        <w:rPr>
          <w:lang w:val="es-PE"/>
        </w:rPr>
        <w:t xml:space="preserve">— hacedor </w:t>
      </w:r>
    </w:p>
    <w:p w14:paraId="098ED3E4"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karuṇā</w:t>
      </w:r>
      <w:proofErr w:type="spellEnd"/>
      <w:r w:rsidRPr="00DC1A5F">
        <w:rPr>
          <w:sz w:val="15"/>
          <w:szCs w:val="15"/>
          <w:lang w:val="es-PE"/>
        </w:rPr>
        <w:t>— compasión</w:t>
      </w:r>
    </w:p>
    <w:p w14:paraId="476390EB"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kasiṇa</w:t>
      </w:r>
      <w:proofErr w:type="spellEnd"/>
      <w:r w:rsidRPr="00DC1A5F">
        <w:rPr>
          <w:sz w:val="15"/>
          <w:szCs w:val="15"/>
          <w:lang w:val="es-PE"/>
        </w:rPr>
        <w:t xml:space="preserve">— </w:t>
      </w:r>
      <w:proofErr w:type="spellStart"/>
      <w:r w:rsidRPr="00DC1A5F">
        <w:rPr>
          <w:i/>
          <w:iCs/>
          <w:sz w:val="15"/>
          <w:szCs w:val="15"/>
          <w:lang w:val="es-PE"/>
        </w:rPr>
        <w:t>kasiṇa</w:t>
      </w:r>
      <w:proofErr w:type="spellEnd"/>
      <w:r w:rsidRPr="00DC1A5F">
        <w:rPr>
          <w:sz w:val="15"/>
          <w:szCs w:val="15"/>
          <w:lang w:val="es-PE"/>
        </w:rPr>
        <w:t>, universal (un dispositivo de contemplación y un concepto basado en él)</w:t>
      </w:r>
    </w:p>
    <w:p w14:paraId="51BB5EF6"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kataka</w:t>
      </w:r>
      <w:proofErr w:type="spellEnd"/>
      <w:r w:rsidRPr="00DC1A5F">
        <w:rPr>
          <w:sz w:val="15"/>
          <w:szCs w:val="15"/>
          <w:lang w:val="es-PE"/>
        </w:rPr>
        <w:t>*— también una especie de semilla (usada para limpiar el agua)</w:t>
      </w:r>
    </w:p>
    <w:p w14:paraId="1C36EA2C"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kaṭatta</w:t>
      </w:r>
      <w:proofErr w:type="spellEnd"/>
      <w:r w:rsidRPr="00DC1A5F">
        <w:rPr>
          <w:sz w:val="15"/>
          <w:szCs w:val="15"/>
          <w:lang w:val="es-PE"/>
        </w:rPr>
        <w:t xml:space="preserve">— comisión (de </w:t>
      </w:r>
      <w:proofErr w:type="spellStart"/>
      <w:r w:rsidRPr="00DC1A5F">
        <w:rPr>
          <w:i/>
          <w:iCs/>
          <w:sz w:val="15"/>
          <w:szCs w:val="15"/>
          <w:lang w:val="es-PE"/>
        </w:rPr>
        <w:t>kamma</w:t>
      </w:r>
      <w:proofErr w:type="spellEnd"/>
      <w:r w:rsidRPr="00DC1A5F">
        <w:rPr>
          <w:sz w:val="15"/>
          <w:szCs w:val="15"/>
          <w:lang w:val="es-PE"/>
        </w:rPr>
        <w:t>), (</w:t>
      </w:r>
      <w:proofErr w:type="spellStart"/>
      <w:r w:rsidRPr="00DC1A5F">
        <w:rPr>
          <w:i/>
          <w:iCs/>
          <w:sz w:val="15"/>
          <w:szCs w:val="15"/>
          <w:lang w:val="es-PE"/>
        </w:rPr>
        <w:t>kamma</w:t>
      </w:r>
      <w:proofErr w:type="spellEnd"/>
      <w:r w:rsidRPr="00DC1A5F">
        <w:rPr>
          <w:sz w:val="15"/>
          <w:szCs w:val="15"/>
          <w:lang w:val="es-PE"/>
        </w:rPr>
        <w:t>) cometido</w:t>
      </w:r>
    </w:p>
    <w:p w14:paraId="01C2558E"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kathā</w:t>
      </w:r>
      <w:proofErr w:type="spellEnd"/>
      <w:r w:rsidRPr="00DC1A5F">
        <w:rPr>
          <w:i/>
          <w:iCs/>
          <w:sz w:val="15"/>
          <w:szCs w:val="15"/>
          <w:lang w:val="es-PE"/>
        </w:rPr>
        <w:t>–</w:t>
      </w:r>
      <w:proofErr w:type="spellStart"/>
      <w:r w:rsidRPr="00DC1A5F">
        <w:rPr>
          <w:i/>
          <w:iCs/>
          <w:sz w:val="15"/>
          <w:szCs w:val="15"/>
          <w:lang w:val="es-PE"/>
        </w:rPr>
        <w:t>vatthu</w:t>
      </w:r>
      <w:proofErr w:type="spellEnd"/>
      <w:r w:rsidRPr="00DC1A5F">
        <w:rPr>
          <w:sz w:val="15"/>
          <w:szCs w:val="15"/>
          <w:lang w:val="es-PE"/>
        </w:rPr>
        <w:t xml:space="preserve">— (1) nombre de un libro del </w:t>
      </w:r>
      <w:proofErr w:type="spellStart"/>
      <w:r w:rsidRPr="00DC1A5F">
        <w:rPr>
          <w:i/>
          <w:iCs/>
          <w:sz w:val="15"/>
          <w:szCs w:val="15"/>
          <w:lang w:val="es-PE"/>
        </w:rPr>
        <w:t>Abhidhamma</w:t>
      </w:r>
      <w:proofErr w:type="spellEnd"/>
      <w:r w:rsidRPr="00DC1A5F">
        <w:rPr>
          <w:i/>
          <w:iCs/>
          <w:sz w:val="15"/>
          <w:szCs w:val="15"/>
          <w:lang w:val="es-PE"/>
        </w:rPr>
        <w:t>,</w:t>
      </w:r>
      <w:r w:rsidRPr="00DC1A5F">
        <w:rPr>
          <w:sz w:val="15"/>
          <w:szCs w:val="15"/>
          <w:lang w:val="es-PE"/>
        </w:rPr>
        <w:t xml:space="preserve"> (2) ejemplo de conversación (los 10) </w:t>
      </w:r>
    </w:p>
    <w:p w14:paraId="1758EB93" w14:textId="77777777" w:rsidR="00597DE2" w:rsidRPr="00DC1A5F" w:rsidRDefault="00597DE2" w:rsidP="00597DE2">
      <w:pPr>
        <w:pStyle w:val="ParrafoGlosario"/>
        <w:rPr>
          <w:lang w:val="es-PE"/>
        </w:rPr>
      </w:pPr>
      <w:proofErr w:type="spellStart"/>
      <w:r w:rsidRPr="00DC1A5F">
        <w:rPr>
          <w:i/>
          <w:iCs/>
          <w:lang w:val="es-PE"/>
        </w:rPr>
        <w:t>kāya</w:t>
      </w:r>
      <w:proofErr w:type="spellEnd"/>
      <w:r w:rsidRPr="00DC1A5F">
        <w:rPr>
          <w:lang w:val="es-PE"/>
        </w:rPr>
        <w:t xml:space="preserve">— (1) cuerpo, grupo, orden, (2) cuerpo material, (3) cuerpo mental (es decir, los 3 </w:t>
      </w:r>
      <w:proofErr w:type="spellStart"/>
      <w:r w:rsidRPr="00DC1A5F">
        <w:rPr>
          <w:i/>
          <w:iCs/>
          <w:lang w:val="es-PE"/>
        </w:rPr>
        <w:t>nāmakkhandha</w:t>
      </w:r>
      <w:proofErr w:type="spellEnd"/>
      <w:r w:rsidRPr="00DC1A5F">
        <w:rPr>
          <w:lang w:val="es-PE"/>
        </w:rPr>
        <w:t>)</w:t>
      </w:r>
    </w:p>
    <w:p w14:paraId="495228B7" w14:textId="77777777" w:rsidR="00597DE2" w:rsidRPr="00DC1A5F" w:rsidRDefault="00597DE2" w:rsidP="00597DE2">
      <w:pPr>
        <w:pStyle w:val="ParrafoGlosario"/>
        <w:rPr>
          <w:lang w:val="es-PE"/>
        </w:rPr>
      </w:pPr>
      <w:proofErr w:type="spellStart"/>
      <w:r w:rsidRPr="00DC1A5F">
        <w:rPr>
          <w:i/>
          <w:iCs/>
          <w:lang w:val="es-PE"/>
        </w:rPr>
        <w:t>kāyasakkhin</w:t>
      </w:r>
      <w:proofErr w:type="spellEnd"/>
      <w:r w:rsidRPr="00DC1A5F">
        <w:rPr>
          <w:lang w:val="es-PE"/>
        </w:rPr>
        <w:t xml:space="preserve">— </w:t>
      </w:r>
      <w:proofErr w:type="gramStart"/>
      <w:r w:rsidRPr="00DC1A5F">
        <w:rPr>
          <w:lang w:val="es-PE"/>
        </w:rPr>
        <w:t>testigo presencial</w:t>
      </w:r>
      <w:proofErr w:type="gramEnd"/>
    </w:p>
    <w:p w14:paraId="6FF0DBCE" w14:textId="77777777" w:rsidR="00597DE2" w:rsidRPr="00DC1A5F" w:rsidRDefault="00597DE2" w:rsidP="00597DE2">
      <w:pPr>
        <w:pStyle w:val="ParrafoGlosario"/>
        <w:rPr>
          <w:lang w:val="es-PE"/>
        </w:rPr>
      </w:pPr>
      <w:proofErr w:type="spellStart"/>
      <w:r w:rsidRPr="00DC1A5F">
        <w:rPr>
          <w:i/>
          <w:iCs/>
          <w:lang w:val="es-PE"/>
        </w:rPr>
        <w:t>kāya</w:t>
      </w:r>
      <w:proofErr w:type="spellEnd"/>
      <w:r w:rsidRPr="00DC1A5F">
        <w:rPr>
          <w:i/>
          <w:iCs/>
          <w:lang w:val="es-PE"/>
        </w:rPr>
        <w:t>–</w:t>
      </w:r>
      <w:proofErr w:type="spellStart"/>
      <w:r w:rsidRPr="00DC1A5F">
        <w:rPr>
          <w:i/>
          <w:iCs/>
          <w:lang w:val="es-PE"/>
        </w:rPr>
        <w:t>saṅkhāra</w:t>
      </w:r>
      <w:proofErr w:type="spellEnd"/>
      <w:r w:rsidRPr="00DC1A5F">
        <w:rPr>
          <w:lang w:val="es-PE"/>
        </w:rPr>
        <w:t>— formación corporal (término para la inhalación y exhalación)</w:t>
      </w:r>
    </w:p>
    <w:p w14:paraId="062D5A30" w14:textId="77777777" w:rsidR="00597DE2" w:rsidRPr="00DC1A5F" w:rsidRDefault="00597DE2" w:rsidP="00597DE2">
      <w:pPr>
        <w:pStyle w:val="ParrafoGlosario"/>
        <w:rPr>
          <w:lang w:val="es-PE"/>
        </w:rPr>
      </w:pPr>
      <w:proofErr w:type="spellStart"/>
      <w:r w:rsidRPr="00DC1A5F">
        <w:rPr>
          <w:i/>
          <w:iCs/>
          <w:lang w:val="es-PE"/>
        </w:rPr>
        <w:t>khaṇa</w:t>
      </w:r>
      <w:proofErr w:type="spellEnd"/>
      <w:r w:rsidRPr="00DC1A5F">
        <w:rPr>
          <w:lang w:val="es-PE"/>
        </w:rPr>
        <w:t>— momento, instante</w:t>
      </w:r>
    </w:p>
    <w:p w14:paraId="14E989BB" w14:textId="77777777" w:rsidR="00597DE2" w:rsidRPr="00DC1A5F" w:rsidRDefault="00597DE2" w:rsidP="00597DE2">
      <w:pPr>
        <w:pStyle w:val="ParrafoGlosario"/>
        <w:rPr>
          <w:lang w:val="es-PE"/>
        </w:rPr>
      </w:pPr>
      <w:proofErr w:type="spellStart"/>
      <w:r w:rsidRPr="00DC1A5F">
        <w:rPr>
          <w:i/>
          <w:iCs/>
          <w:lang w:val="es-PE"/>
        </w:rPr>
        <w:t>khaṇati</w:t>
      </w:r>
      <w:proofErr w:type="spellEnd"/>
      <w:r w:rsidRPr="00DC1A5F">
        <w:rPr>
          <w:i/>
          <w:iCs/>
          <w:lang w:val="es-PE"/>
        </w:rPr>
        <w:t>*</w:t>
      </w:r>
      <w:r w:rsidRPr="00DC1A5F">
        <w:rPr>
          <w:lang w:val="es-PE"/>
        </w:rPr>
        <w:t xml:space="preserve">— </w:t>
      </w:r>
      <w:r w:rsidRPr="00DC1A5F">
        <w:rPr>
          <w:i/>
          <w:iCs/>
          <w:lang w:val="es-PE"/>
        </w:rPr>
        <w:t>también</w:t>
      </w:r>
      <w:r w:rsidRPr="00DC1A5F">
        <w:rPr>
          <w:lang w:val="es-PE"/>
        </w:rPr>
        <w:t xml:space="preserve"> consumir: IV.100; XVII.48</w:t>
      </w:r>
    </w:p>
    <w:p w14:paraId="5E557771" w14:textId="77777777" w:rsidR="00597DE2" w:rsidRPr="00DC1A5F" w:rsidRDefault="00597DE2" w:rsidP="00597DE2">
      <w:pPr>
        <w:pStyle w:val="ParrafoGlosario"/>
        <w:rPr>
          <w:lang w:val="es-PE"/>
        </w:rPr>
      </w:pPr>
      <w:proofErr w:type="spellStart"/>
      <w:r w:rsidRPr="00DC1A5F">
        <w:rPr>
          <w:i/>
          <w:iCs/>
          <w:lang w:val="es-PE"/>
        </w:rPr>
        <w:t>khandha</w:t>
      </w:r>
      <w:proofErr w:type="spellEnd"/>
      <w:r w:rsidRPr="00DC1A5F">
        <w:rPr>
          <w:lang w:val="es-PE"/>
        </w:rPr>
        <w:t xml:space="preserve">— agregado </w:t>
      </w:r>
    </w:p>
    <w:p w14:paraId="0FD3FFD9" w14:textId="77777777" w:rsidR="00597DE2" w:rsidRPr="00DC1A5F" w:rsidRDefault="00597DE2" w:rsidP="00597DE2">
      <w:pPr>
        <w:pStyle w:val="ParrafoGlosario"/>
        <w:rPr>
          <w:lang w:val="es-PE"/>
        </w:rPr>
      </w:pPr>
      <w:proofErr w:type="spellStart"/>
      <w:r w:rsidRPr="00DC1A5F">
        <w:rPr>
          <w:i/>
          <w:iCs/>
          <w:lang w:val="es-PE"/>
        </w:rPr>
        <w:t>khanti</w:t>
      </w:r>
      <w:proofErr w:type="spellEnd"/>
      <w:r w:rsidRPr="00DC1A5F">
        <w:rPr>
          <w:lang w:val="es-PE"/>
        </w:rPr>
        <w:t>— (1) paciencia, (2) elección</w:t>
      </w:r>
    </w:p>
    <w:p w14:paraId="530ADA7C" w14:textId="77777777" w:rsidR="00597DE2" w:rsidRPr="00DC1A5F" w:rsidRDefault="00597DE2" w:rsidP="00597DE2">
      <w:pPr>
        <w:pStyle w:val="ParrafoGlosario"/>
        <w:rPr>
          <w:lang w:val="es-PE"/>
        </w:rPr>
      </w:pPr>
      <w:proofErr w:type="spellStart"/>
      <w:r w:rsidRPr="00DC1A5F">
        <w:rPr>
          <w:i/>
          <w:iCs/>
          <w:lang w:val="es-PE"/>
        </w:rPr>
        <w:t>khara</w:t>
      </w:r>
      <w:proofErr w:type="spellEnd"/>
      <w:r w:rsidRPr="00DC1A5F">
        <w:rPr>
          <w:lang w:val="es-PE"/>
        </w:rPr>
        <w:t>— duro</w:t>
      </w:r>
    </w:p>
    <w:p w14:paraId="626C98CB" w14:textId="77777777" w:rsidR="00597DE2" w:rsidRPr="00DC1A5F" w:rsidRDefault="00597DE2" w:rsidP="00597DE2">
      <w:pPr>
        <w:pStyle w:val="ParrafoGlosario"/>
        <w:rPr>
          <w:lang w:val="es-PE"/>
        </w:rPr>
      </w:pPr>
      <w:proofErr w:type="spellStart"/>
      <w:r w:rsidRPr="00DC1A5F">
        <w:rPr>
          <w:i/>
          <w:iCs/>
          <w:lang w:val="es-PE"/>
        </w:rPr>
        <w:t>kharigata</w:t>
      </w:r>
      <w:proofErr w:type="spellEnd"/>
      <w:r w:rsidRPr="00DC1A5F">
        <w:rPr>
          <w:i/>
          <w:iCs/>
          <w:lang w:val="es-PE"/>
        </w:rPr>
        <w:t>*</w:t>
      </w:r>
      <w:r w:rsidRPr="00DC1A5F">
        <w:rPr>
          <w:lang w:val="es-PE"/>
        </w:rPr>
        <w:t>— duro: XI.31 (M I 185)</w:t>
      </w:r>
    </w:p>
    <w:p w14:paraId="7B2E841A" w14:textId="77777777" w:rsidR="00597DE2" w:rsidRPr="00DC1A5F" w:rsidRDefault="00597DE2" w:rsidP="00597DE2">
      <w:pPr>
        <w:pStyle w:val="ParrafoGlosario"/>
        <w:rPr>
          <w:lang w:val="es-PE"/>
        </w:rPr>
      </w:pPr>
      <w:proofErr w:type="spellStart"/>
      <w:r w:rsidRPr="00DC1A5F">
        <w:rPr>
          <w:i/>
          <w:iCs/>
          <w:lang w:val="es-PE"/>
        </w:rPr>
        <w:t>khaya</w:t>
      </w:r>
      <w:proofErr w:type="spellEnd"/>
      <w:r w:rsidRPr="00DC1A5F">
        <w:rPr>
          <w:lang w:val="es-PE"/>
        </w:rPr>
        <w:t>— destrucción, agotamiento</w:t>
      </w:r>
    </w:p>
    <w:p w14:paraId="428EC9EA" w14:textId="77777777" w:rsidR="00597DE2" w:rsidRPr="00DC1A5F" w:rsidRDefault="00597DE2" w:rsidP="00597DE2">
      <w:pPr>
        <w:pStyle w:val="ParrafoGlosario"/>
        <w:rPr>
          <w:lang w:val="es-PE"/>
        </w:rPr>
      </w:pPr>
      <w:proofErr w:type="spellStart"/>
      <w:r w:rsidRPr="00DC1A5F">
        <w:rPr>
          <w:i/>
          <w:iCs/>
          <w:lang w:val="es-PE"/>
        </w:rPr>
        <w:t>khinna</w:t>
      </w:r>
      <w:proofErr w:type="spellEnd"/>
      <w:r w:rsidRPr="00DC1A5F">
        <w:rPr>
          <w:i/>
          <w:iCs/>
          <w:lang w:val="es-PE"/>
        </w:rPr>
        <w:t>*</w:t>
      </w:r>
      <w:r w:rsidRPr="00DC1A5F">
        <w:rPr>
          <w:lang w:val="es-PE"/>
        </w:rPr>
        <w:t xml:space="preserve">— agotado: IV.100; ver </w:t>
      </w:r>
      <w:proofErr w:type="spellStart"/>
      <w:r w:rsidRPr="00DC1A5F">
        <w:rPr>
          <w:i/>
          <w:iCs/>
          <w:lang w:val="es-PE"/>
        </w:rPr>
        <w:t>khijjana</w:t>
      </w:r>
      <w:proofErr w:type="spellEnd"/>
      <w:r w:rsidRPr="00DC1A5F">
        <w:rPr>
          <w:lang w:val="es-PE"/>
        </w:rPr>
        <w:t xml:space="preserve"> 14, n.2VI.</w:t>
      </w:r>
    </w:p>
    <w:p w14:paraId="7AE4E235" w14:textId="77777777" w:rsidR="00597DE2" w:rsidRPr="00DC1A5F" w:rsidRDefault="00597DE2" w:rsidP="00597DE2">
      <w:pPr>
        <w:pStyle w:val="ParrafoGlosario"/>
        <w:rPr>
          <w:lang w:val="es-PE"/>
        </w:rPr>
      </w:pPr>
      <w:proofErr w:type="spellStart"/>
      <w:r w:rsidRPr="00DC1A5F">
        <w:rPr>
          <w:i/>
          <w:iCs/>
          <w:lang w:val="es-PE"/>
        </w:rPr>
        <w:t>kicca</w:t>
      </w:r>
      <w:proofErr w:type="spellEnd"/>
      <w:r w:rsidRPr="00DC1A5F">
        <w:rPr>
          <w:lang w:val="es-PE"/>
        </w:rPr>
        <w:t>— función</w:t>
      </w:r>
    </w:p>
    <w:p w14:paraId="39C7010B" w14:textId="77777777" w:rsidR="00597DE2" w:rsidRPr="00DC1A5F" w:rsidRDefault="00597DE2" w:rsidP="00597DE2">
      <w:pPr>
        <w:pStyle w:val="ParrafoGlosario"/>
        <w:rPr>
          <w:lang w:val="es-PE"/>
        </w:rPr>
      </w:pPr>
      <w:proofErr w:type="spellStart"/>
      <w:r w:rsidRPr="00DC1A5F">
        <w:rPr>
          <w:i/>
          <w:iCs/>
          <w:lang w:val="es-PE"/>
        </w:rPr>
        <w:t>kilesa</w:t>
      </w:r>
      <w:proofErr w:type="spellEnd"/>
      <w:r w:rsidRPr="00DC1A5F">
        <w:rPr>
          <w:lang w:val="es-PE"/>
        </w:rPr>
        <w:t>— contaminación, impureza</w:t>
      </w:r>
    </w:p>
    <w:p w14:paraId="227FCB27" w14:textId="77777777" w:rsidR="00597DE2" w:rsidRPr="00DC1A5F" w:rsidRDefault="00597DE2" w:rsidP="00597DE2">
      <w:pPr>
        <w:pStyle w:val="ParrafoGlosario"/>
        <w:rPr>
          <w:lang w:val="es-PE"/>
        </w:rPr>
      </w:pPr>
      <w:proofErr w:type="spellStart"/>
      <w:r w:rsidRPr="00DC1A5F">
        <w:rPr>
          <w:i/>
          <w:iCs/>
          <w:lang w:val="es-PE"/>
        </w:rPr>
        <w:t>kiṇāti</w:t>
      </w:r>
      <w:proofErr w:type="spellEnd"/>
      <w:r w:rsidRPr="00DC1A5F">
        <w:rPr>
          <w:lang w:val="es-PE"/>
        </w:rPr>
        <w:t xml:space="preserve">*— </w:t>
      </w:r>
      <w:r w:rsidRPr="00DC1A5F">
        <w:rPr>
          <w:i/>
          <w:iCs/>
          <w:lang w:val="es-PE"/>
        </w:rPr>
        <w:t>también</w:t>
      </w:r>
      <w:r w:rsidRPr="00DC1A5F">
        <w:rPr>
          <w:lang w:val="es-PE"/>
        </w:rPr>
        <w:t xml:space="preserve"> combatir: VI.8</w:t>
      </w:r>
    </w:p>
    <w:p w14:paraId="1BA16DF0" w14:textId="77777777" w:rsidR="00597DE2" w:rsidRPr="00DC1A5F" w:rsidRDefault="00597DE2" w:rsidP="00597DE2">
      <w:pPr>
        <w:pStyle w:val="ParrafoGlosario"/>
        <w:rPr>
          <w:lang w:val="es-PE"/>
        </w:rPr>
      </w:pPr>
      <w:proofErr w:type="spellStart"/>
      <w:r w:rsidRPr="00DC1A5F">
        <w:rPr>
          <w:i/>
          <w:iCs/>
          <w:lang w:val="es-PE"/>
        </w:rPr>
        <w:t>kiñcana</w:t>
      </w:r>
      <w:proofErr w:type="spellEnd"/>
      <w:r w:rsidRPr="00DC1A5F">
        <w:rPr>
          <w:i/>
          <w:iCs/>
          <w:lang w:val="es-PE"/>
        </w:rPr>
        <w:t>*</w:t>
      </w:r>
      <w:r w:rsidRPr="00DC1A5F">
        <w:rPr>
          <w:lang w:val="es-PE"/>
        </w:rPr>
        <w:t>— poseer, propiedad: XXI.53</w:t>
      </w:r>
    </w:p>
    <w:p w14:paraId="1B0350B4" w14:textId="77777777" w:rsidR="00597DE2" w:rsidRPr="00DC1A5F" w:rsidRDefault="00597DE2" w:rsidP="00597DE2">
      <w:pPr>
        <w:pStyle w:val="ParrafoGlosario"/>
        <w:rPr>
          <w:lang w:val="es-PE"/>
        </w:rPr>
      </w:pPr>
      <w:proofErr w:type="spellStart"/>
      <w:r w:rsidRPr="00DC1A5F">
        <w:rPr>
          <w:i/>
          <w:iCs/>
          <w:lang w:val="es-PE"/>
        </w:rPr>
        <w:t>kiriya</w:t>
      </w:r>
      <w:proofErr w:type="spellEnd"/>
      <w:r w:rsidRPr="00DC1A5F">
        <w:rPr>
          <w:lang w:val="es-PE"/>
        </w:rPr>
        <w:t>— (</w:t>
      </w:r>
      <w:proofErr w:type="spellStart"/>
      <w:r w:rsidRPr="00DC1A5F">
        <w:rPr>
          <w:i/>
          <w:iCs/>
          <w:lang w:val="es-PE"/>
        </w:rPr>
        <w:t>kāmicamente</w:t>
      </w:r>
      <w:proofErr w:type="spellEnd"/>
      <w:r w:rsidRPr="00DC1A5F">
        <w:rPr>
          <w:lang w:val="es-PE"/>
        </w:rPr>
        <w:t>) funcional, inoperante</w:t>
      </w:r>
    </w:p>
    <w:p w14:paraId="693BCBED" w14:textId="77777777" w:rsidR="00597DE2" w:rsidRPr="00DC1A5F" w:rsidRDefault="00597DE2" w:rsidP="00597DE2">
      <w:pPr>
        <w:pStyle w:val="ParrafoGlosario"/>
        <w:rPr>
          <w:lang w:val="es-PE"/>
        </w:rPr>
      </w:pPr>
      <w:proofErr w:type="spellStart"/>
      <w:r w:rsidRPr="00DC1A5F">
        <w:rPr>
          <w:i/>
          <w:iCs/>
          <w:lang w:val="es-PE"/>
        </w:rPr>
        <w:t>kosa</w:t>
      </w:r>
      <w:proofErr w:type="spellEnd"/>
      <w:r w:rsidRPr="00DC1A5F">
        <w:rPr>
          <w:i/>
          <w:iCs/>
          <w:lang w:val="es-PE"/>
        </w:rPr>
        <w:t>*</w:t>
      </w:r>
      <w:r w:rsidRPr="00DC1A5F">
        <w:rPr>
          <w:lang w:val="es-PE"/>
        </w:rPr>
        <w:t>— medida de longitud (alrededor de 1 milla): IV.37</w:t>
      </w:r>
      <w:r>
        <w:rPr>
          <w:lang w:val="es-PE"/>
        </w:rPr>
        <w:br w:type="column"/>
      </w:r>
    </w:p>
    <w:p w14:paraId="360B2854" w14:textId="77777777" w:rsidR="00597DE2" w:rsidRPr="00DC1A5F" w:rsidRDefault="00597DE2" w:rsidP="00597DE2">
      <w:pPr>
        <w:pStyle w:val="ParrafoGlosario"/>
        <w:rPr>
          <w:lang w:val="es-PE"/>
        </w:rPr>
      </w:pPr>
      <w:proofErr w:type="spellStart"/>
      <w:r w:rsidRPr="00DC1A5F">
        <w:rPr>
          <w:i/>
          <w:iCs/>
          <w:lang w:val="es-PE"/>
        </w:rPr>
        <w:t>koṭṭhalika</w:t>
      </w:r>
      <w:proofErr w:type="spellEnd"/>
      <w:r w:rsidRPr="00DC1A5F">
        <w:rPr>
          <w:i/>
          <w:iCs/>
          <w:lang w:val="es-PE"/>
        </w:rPr>
        <w:t>*</w:t>
      </w:r>
      <w:r w:rsidRPr="00DC1A5F">
        <w:rPr>
          <w:lang w:val="es-PE"/>
        </w:rPr>
        <w:t>— aplanado: VII.97</w:t>
      </w:r>
    </w:p>
    <w:p w14:paraId="6516E133" w14:textId="77777777" w:rsidR="00597DE2" w:rsidRPr="00DC1A5F" w:rsidRDefault="00597DE2" w:rsidP="00597DE2">
      <w:pPr>
        <w:pStyle w:val="ParrafoGlosario"/>
        <w:rPr>
          <w:lang w:val="es-PE"/>
        </w:rPr>
      </w:pPr>
      <w:proofErr w:type="spellStart"/>
      <w:r w:rsidRPr="00DC1A5F">
        <w:rPr>
          <w:i/>
          <w:iCs/>
          <w:lang w:val="es-PE"/>
        </w:rPr>
        <w:t>koṭṭhaṭṭhi</w:t>
      </w:r>
      <w:proofErr w:type="spellEnd"/>
      <w:r w:rsidRPr="00DC1A5F">
        <w:rPr>
          <w:i/>
          <w:iCs/>
          <w:lang w:val="es-PE"/>
        </w:rPr>
        <w:t>*</w:t>
      </w:r>
      <w:r w:rsidRPr="00DC1A5F">
        <w:rPr>
          <w:lang w:val="es-PE"/>
        </w:rPr>
        <w:t>— hueso del omóplato (literalmente. “hueso plano”; no así en el PED): VIII.101</w:t>
      </w:r>
    </w:p>
    <w:p w14:paraId="39CA54B1" w14:textId="77777777" w:rsidR="00597DE2" w:rsidRPr="00DC1A5F" w:rsidRDefault="00597DE2" w:rsidP="00597DE2">
      <w:pPr>
        <w:pStyle w:val="ParrafoGlosario"/>
        <w:rPr>
          <w:lang w:val="es-PE"/>
        </w:rPr>
      </w:pPr>
      <w:proofErr w:type="spellStart"/>
      <w:r w:rsidRPr="00DC1A5F">
        <w:rPr>
          <w:lang w:val="es-PE"/>
        </w:rPr>
        <w:t>kuhana</w:t>
      </w:r>
      <w:proofErr w:type="spellEnd"/>
      <w:r w:rsidRPr="00DC1A5F">
        <w:rPr>
          <w:lang w:val="es-PE"/>
        </w:rPr>
        <w:t xml:space="preserve">— </w:t>
      </w:r>
      <w:r w:rsidRPr="00DC1A5F">
        <w:rPr>
          <w:i/>
          <w:iCs/>
          <w:lang w:val="es-PE"/>
        </w:rPr>
        <w:t>maquinar</w:t>
      </w:r>
    </w:p>
    <w:p w14:paraId="221FEB1C" w14:textId="77777777" w:rsidR="00597DE2" w:rsidRPr="00DC1A5F" w:rsidRDefault="00597DE2" w:rsidP="00597DE2">
      <w:pPr>
        <w:pStyle w:val="ParrafoGlosario"/>
        <w:rPr>
          <w:lang w:val="es-PE"/>
        </w:rPr>
      </w:pPr>
      <w:proofErr w:type="spellStart"/>
      <w:r w:rsidRPr="00DC1A5F">
        <w:rPr>
          <w:i/>
          <w:iCs/>
          <w:lang w:val="es-PE"/>
        </w:rPr>
        <w:t>kukata</w:t>
      </w:r>
      <w:proofErr w:type="spellEnd"/>
      <w:r w:rsidRPr="00DC1A5F">
        <w:rPr>
          <w:i/>
          <w:iCs/>
          <w:lang w:val="es-PE"/>
        </w:rPr>
        <w:t>*</w:t>
      </w:r>
      <w:r w:rsidRPr="00DC1A5F">
        <w:rPr>
          <w:lang w:val="es-PE"/>
        </w:rPr>
        <w:t>— villanía: XIV.174</w:t>
      </w:r>
    </w:p>
    <w:p w14:paraId="3D8B5EB9" w14:textId="77777777" w:rsidR="00597DE2" w:rsidRPr="00DC1A5F" w:rsidRDefault="00597DE2" w:rsidP="00597DE2">
      <w:pPr>
        <w:pStyle w:val="ParrafoGlosario"/>
        <w:rPr>
          <w:lang w:val="es-PE"/>
        </w:rPr>
      </w:pPr>
      <w:proofErr w:type="spellStart"/>
      <w:r w:rsidRPr="00DC1A5F">
        <w:rPr>
          <w:i/>
          <w:iCs/>
          <w:lang w:val="es-PE"/>
        </w:rPr>
        <w:t>kukkucca</w:t>
      </w:r>
      <w:proofErr w:type="spellEnd"/>
      <w:r w:rsidRPr="00DC1A5F">
        <w:rPr>
          <w:lang w:val="es-PE"/>
        </w:rPr>
        <w:t>— preocupación</w:t>
      </w:r>
    </w:p>
    <w:p w14:paraId="26BDB8F9" w14:textId="77777777" w:rsidR="00597DE2" w:rsidRPr="00DC1A5F" w:rsidRDefault="00597DE2" w:rsidP="00597DE2">
      <w:pPr>
        <w:pStyle w:val="ParrafoGlosario"/>
        <w:rPr>
          <w:lang w:val="es-PE"/>
        </w:rPr>
      </w:pPr>
      <w:proofErr w:type="spellStart"/>
      <w:r w:rsidRPr="00DC1A5F">
        <w:rPr>
          <w:i/>
          <w:iCs/>
          <w:lang w:val="es-PE"/>
        </w:rPr>
        <w:t>kuṇapa</w:t>
      </w:r>
      <w:proofErr w:type="spellEnd"/>
      <w:r w:rsidRPr="00DC1A5F">
        <w:rPr>
          <w:i/>
          <w:iCs/>
          <w:lang w:val="es-PE"/>
        </w:rPr>
        <w:t>*</w:t>
      </w:r>
      <w:r w:rsidRPr="00DC1A5F">
        <w:rPr>
          <w:lang w:val="es-PE"/>
        </w:rPr>
        <w:t>— también basura: VIII.121; XI.19, 21</w:t>
      </w:r>
    </w:p>
    <w:p w14:paraId="576DF329" w14:textId="77777777" w:rsidR="00597DE2" w:rsidRPr="00DC1A5F" w:rsidRDefault="00597DE2" w:rsidP="00597DE2">
      <w:pPr>
        <w:pStyle w:val="ParrafoGlosario"/>
        <w:rPr>
          <w:lang w:val="es-PE"/>
        </w:rPr>
      </w:pPr>
      <w:proofErr w:type="spellStart"/>
      <w:r w:rsidRPr="00DC1A5F">
        <w:rPr>
          <w:i/>
          <w:iCs/>
          <w:lang w:val="es-PE"/>
        </w:rPr>
        <w:t>kuṇḍika</w:t>
      </w:r>
      <w:proofErr w:type="spellEnd"/>
      <w:r w:rsidRPr="00DC1A5F">
        <w:rPr>
          <w:i/>
          <w:iCs/>
          <w:lang w:val="es-PE"/>
        </w:rPr>
        <w:t>*</w:t>
      </w:r>
      <w:r w:rsidRPr="00DC1A5F">
        <w:rPr>
          <w:lang w:val="es-PE"/>
        </w:rPr>
        <w:t>— también un cántaro de agua de cuatro patas: V.3</w:t>
      </w:r>
    </w:p>
    <w:p w14:paraId="30164968" w14:textId="77777777" w:rsidR="00597DE2" w:rsidRPr="00DC1A5F" w:rsidRDefault="00597DE2" w:rsidP="00597DE2">
      <w:pPr>
        <w:pStyle w:val="ParrafoGlosario"/>
        <w:rPr>
          <w:lang w:val="es-PE"/>
        </w:rPr>
      </w:pPr>
      <w:proofErr w:type="spellStart"/>
      <w:r w:rsidRPr="00DC1A5F">
        <w:rPr>
          <w:i/>
          <w:iCs/>
          <w:lang w:val="es-PE"/>
        </w:rPr>
        <w:t>kūpaka</w:t>
      </w:r>
      <w:proofErr w:type="spellEnd"/>
      <w:r w:rsidRPr="00DC1A5F">
        <w:rPr>
          <w:i/>
          <w:iCs/>
          <w:lang w:val="es-PE"/>
        </w:rPr>
        <w:t>–</w:t>
      </w:r>
      <w:proofErr w:type="spellStart"/>
      <w:r w:rsidRPr="00DC1A5F">
        <w:rPr>
          <w:i/>
          <w:iCs/>
          <w:lang w:val="es-PE"/>
        </w:rPr>
        <w:t>yaṭṭhi</w:t>
      </w:r>
      <w:proofErr w:type="spellEnd"/>
      <w:r w:rsidRPr="00DC1A5F">
        <w:rPr>
          <w:i/>
          <w:iCs/>
          <w:lang w:val="es-PE"/>
        </w:rPr>
        <w:t>*</w:t>
      </w:r>
      <w:r w:rsidRPr="00DC1A5F">
        <w:rPr>
          <w:lang w:val="es-PE"/>
        </w:rPr>
        <w:t>— tope (?), mástil (?): XXI.65</w:t>
      </w:r>
    </w:p>
    <w:p w14:paraId="620AE8A1" w14:textId="77777777" w:rsidR="00597DE2" w:rsidRPr="00DC1A5F" w:rsidRDefault="00597DE2" w:rsidP="00597DE2">
      <w:pPr>
        <w:pStyle w:val="ParrafoGlosario"/>
        <w:rPr>
          <w:lang w:val="es-PE"/>
        </w:rPr>
      </w:pPr>
      <w:proofErr w:type="spellStart"/>
      <w:r w:rsidRPr="00DC1A5F">
        <w:rPr>
          <w:i/>
          <w:iCs/>
          <w:lang w:val="es-PE"/>
        </w:rPr>
        <w:t>kusala</w:t>
      </w:r>
      <w:proofErr w:type="spellEnd"/>
      <w:r w:rsidRPr="00DC1A5F">
        <w:rPr>
          <w:lang w:val="es-PE"/>
        </w:rPr>
        <w:t>— (1) hábil, (2) (consciencia) productiva, (3) bueno</w:t>
      </w:r>
    </w:p>
    <w:p w14:paraId="578B5E20" w14:textId="77777777" w:rsidR="00597DE2" w:rsidRPr="00DC1A5F" w:rsidRDefault="00597DE2" w:rsidP="00597DE2">
      <w:pPr>
        <w:pStyle w:val="ParrafoGlosario"/>
        <w:rPr>
          <w:lang w:val="es-PE"/>
        </w:rPr>
      </w:pPr>
      <w:proofErr w:type="spellStart"/>
      <w:r w:rsidRPr="00DC1A5F">
        <w:rPr>
          <w:i/>
          <w:iCs/>
          <w:lang w:val="es-PE"/>
        </w:rPr>
        <w:t>kūṭa</w:t>
      </w:r>
      <w:proofErr w:type="spellEnd"/>
      <w:r w:rsidRPr="00DC1A5F">
        <w:rPr>
          <w:i/>
          <w:iCs/>
          <w:lang w:val="es-PE"/>
        </w:rPr>
        <w:t>*</w:t>
      </w:r>
      <w:r w:rsidRPr="00DC1A5F">
        <w:rPr>
          <w:lang w:val="es-PE"/>
        </w:rPr>
        <w:t>— salvaje, bárbaro: VIII.53 (M–a II 82)</w:t>
      </w:r>
    </w:p>
    <w:p w14:paraId="18A6D236" w14:textId="77777777" w:rsidR="00597DE2" w:rsidRPr="00DC1A5F" w:rsidRDefault="00597DE2" w:rsidP="00597DE2">
      <w:pPr>
        <w:pStyle w:val="ParrafoGlosario"/>
        <w:rPr>
          <w:lang w:val="es-PE"/>
        </w:rPr>
      </w:pPr>
      <w:proofErr w:type="spellStart"/>
      <w:r w:rsidRPr="00DC1A5F">
        <w:rPr>
          <w:i/>
          <w:iCs/>
          <w:lang w:val="es-PE"/>
        </w:rPr>
        <w:t>kūṭāgāra</w:t>
      </w:r>
      <w:proofErr w:type="spellEnd"/>
      <w:r w:rsidRPr="00DC1A5F">
        <w:rPr>
          <w:i/>
          <w:iCs/>
          <w:lang w:val="es-PE"/>
        </w:rPr>
        <w:t>*</w:t>
      </w:r>
      <w:r w:rsidRPr="00DC1A5F">
        <w:rPr>
          <w:lang w:val="es-PE"/>
        </w:rPr>
        <w:t xml:space="preserve">— </w:t>
      </w:r>
      <w:r w:rsidRPr="00DC1A5F">
        <w:rPr>
          <w:i/>
          <w:iCs/>
          <w:lang w:val="es-PE"/>
        </w:rPr>
        <w:t>también</w:t>
      </w:r>
      <w:r w:rsidRPr="00DC1A5F">
        <w:rPr>
          <w:lang w:val="es-PE"/>
        </w:rPr>
        <w:t xml:space="preserve"> (1) catafalco (</w:t>
      </w:r>
      <w:proofErr w:type="spellStart"/>
      <w:r w:rsidRPr="00DC1A5F">
        <w:rPr>
          <w:lang w:val="es-PE"/>
        </w:rPr>
        <w:t>comy</w:t>
      </w:r>
      <w:proofErr w:type="spellEnd"/>
      <w:r w:rsidRPr="00DC1A5F">
        <w:rPr>
          <w:lang w:val="es-PE"/>
        </w:rPr>
        <w:t xml:space="preserve">. A </w:t>
      </w:r>
      <w:proofErr w:type="spellStart"/>
      <w:r w:rsidRPr="00DC1A5F">
        <w:rPr>
          <w:lang w:val="es-PE"/>
        </w:rPr>
        <w:t>A</w:t>
      </w:r>
      <w:proofErr w:type="spellEnd"/>
      <w:r w:rsidRPr="00DC1A5F">
        <w:rPr>
          <w:lang w:val="es-PE"/>
        </w:rPr>
        <w:t xml:space="preserve"> I 150), (2) palanquín: XII.71 (M–a V 90)</w:t>
      </w:r>
    </w:p>
    <w:p w14:paraId="52DB1A4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labha</w:t>
      </w:r>
      <w:proofErr w:type="spellEnd"/>
      <w:r w:rsidRPr="00DC1A5F">
        <w:rPr>
          <w:sz w:val="15"/>
          <w:szCs w:val="15"/>
          <w:lang w:val="es-PE"/>
        </w:rPr>
        <w:t>— ganancia</w:t>
      </w:r>
    </w:p>
    <w:p w14:paraId="3A8B6278"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laghima</w:t>
      </w:r>
      <w:proofErr w:type="spellEnd"/>
      <w:r w:rsidRPr="00DC1A5F">
        <w:rPr>
          <w:sz w:val="15"/>
          <w:szCs w:val="15"/>
          <w:lang w:val="es-PE"/>
        </w:rPr>
        <w:t>*— ligereza: VII.61</w:t>
      </w:r>
    </w:p>
    <w:p w14:paraId="104D5F2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lahutā</w:t>
      </w:r>
      <w:proofErr w:type="spellEnd"/>
      <w:r w:rsidRPr="00DC1A5F">
        <w:rPr>
          <w:sz w:val="15"/>
          <w:szCs w:val="15"/>
          <w:lang w:val="es-PE"/>
        </w:rPr>
        <w:t>— ligereza</w:t>
      </w:r>
    </w:p>
    <w:p w14:paraId="03490310" w14:textId="77777777" w:rsidR="00597DE2" w:rsidRPr="00DC1A5F" w:rsidRDefault="00597DE2" w:rsidP="00597DE2">
      <w:pPr>
        <w:pStyle w:val="ParrafoGlosario"/>
        <w:rPr>
          <w:sz w:val="15"/>
          <w:szCs w:val="15"/>
          <w:lang w:val="es-PE"/>
        </w:rPr>
      </w:pPr>
      <w:r w:rsidRPr="00DC1A5F">
        <w:rPr>
          <w:i/>
          <w:iCs/>
          <w:sz w:val="15"/>
          <w:szCs w:val="15"/>
          <w:lang w:val="es-PE"/>
        </w:rPr>
        <w:t>lakkhaṇa</w:t>
      </w:r>
      <w:r w:rsidRPr="00DC1A5F">
        <w:rPr>
          <w:sz w:val="15"/>
          <w:szCs w:val="15"/>
          <w:lang w:val="es-PE"/>
        </w:rPr>
        <w:t>— característica</w:t>
      </w:r>
    </w:p>
    <w:p w14:paraId="23073BC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lobha</w:t>
      </w:r>
      <w:proofErr w:type="spellEnd"/>
      <w:r w:rsidRPr="00DC1A5F">
        <w:rPr>
          <w:sz w:val="15"/>
          <w:szCs w:val="15"/>
          <w:lang w:val="es-PE"/>
        </w:rPr>
        <w:t>— codicia</w:t>
      </w:r>
    </w:p>
    <w:p w14:paraId="678C24C5" w14:textId="77777777" w:rsidR="00597DE2" w:rsidRPr="00DC1A5F" w:rsidRDefault="00597DE2" w:rsidP="00597DE2">
      <w:pPr>
        <w:pStyle w:val="ParrafoGlosario"/>
        <w:rPr>
          <w:sz w:val="15"/>
          <w:szCs w:val="15"/>
          <w:lang w:val="es-PE"/>
        </w:rPr>
      </w:pPr>
      <w:r w:rsidRPr="00DC1A5F">
        <w:rPr>
          <w:i/>
          <w:iCs/>
          <w:sz w:val="15"/>
          <w:szCs w:val="15"/>
          <w:lang w:val="es-PE"/>
        </w:rPr>
        <w:t>loka</w:t>
      </w:r>
      <w:r w:rsidRPr="00DC1A5F">
        <w:rPr>
          <w:sz w:val="15"/>
          <w:szCs w:val="15"/>
          <w:lang w:val="es-PE"/>
        </w:rPr>
        <w:t xml:space="preserve">— mundo, plano, </w:t>
      </w:r>
      <w:proofErr w:type="spellStart"/>
      <w:r w:rsidRPr="00DC1A5F">
        <w:rPr>
          <w:sz w:val="15"/>
          <w:szCs w:val="15"/>
          <w:lang w:val="es-PE"/>
        </w:rPr>
        <w:t>teino</w:t>
      </w:r>
      <w:proofErr w:type="spellEnd"/>
      <w:r w:rsidRPr="00DC1A5F">
        <w:rPr>
          <w:sz w:val="15"/>
          <w:szCs w:val="15"/>
          <w:lang w:val="es-PE"/>
        </w:rPr>
        <w:t>, esfera</w:t>
      </w:r>
    </w:p>
    <w:p w14:paraId="066B794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lokiya</w:t>
      </w:r>
      <w:proofErr w:type="spellEnd"/>
      <w:r w:rsidRPr="00DC1A5F">
        <w:rPr>
          <w:sz w:val="15"/>
          <w:szCs w:val="15"/>
          <w:lang w:val="es-PE"/>
        </w:rPr>
        <w:t xml:space="preserve">— mundano (es decir, no asociado con el sendero, fruición o </w:t>
      </w:r>
      <w:r w:rsidRPr="00DC1A5F">
        <w:rPr>
          <w:i/>
          <w:iCs/>
          <w:sz w:val="15"/>
          <w:szCs w:val="15"/>
          <w:lang w:val="es-PE"/>
        </w:rPr>
        <w:t>Nibbāna</w:t>
      </w:r>
      <w:r w:rsidRPr="00DC1A5F">
        <w:rPr>
          <w:sz w:val="15"/>
          <w:szCs w:val="15"/>
          <w:lang w:val="es-PE"/>
        </w:rPr>
        <w:t>)</w:t>
      </w:r>
    </w:p>
    <w:p w14:paraId="6417645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lokiya</w:t>
      </w:r>
      <w:proofErr w:type="spellEnd"/>
      <w:r w:rsidRPr="00DC1A5F">
        <w:rPr>
          <w:rFonts w:cs="Cormorant"/>
          <w:i/>
          <w:iCs/>
          <w:sz w:val="15"/>
          <w:szCs w:val="15"/>
          <w:lang w:val="es-PE"/>
        </w:rPr>
        <w:t>–</w:t>
      </w:r>
      <w:r w:rsidRPr="00DC1A5F">
        <w:rPr>
          <w:i/>
          <w:iCs/>
          <w:sz w:val="15"/>
          <w:szCs w:val="15"/>
          <w:lang w:val="es-PE"/>
        </w:rPr>
        <w:t>dhamma</w:t>
      </w:r>
      <w:r w:rsidRPr="00DC1A5F">
        <w:rPr>
          <w:sz w:val="15"/>
          <w:szCs w:val="15"/>
          <w:lang w:val="es-PE"/>
        </w:rPr>
        <w:t>— estado mundano (el 8)</w:t>
      </w:r>
    </w:p>
    <w:p w14:paraId="70723500"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lokuttara</w:t>
      </w:r>
      <w:proofErr w:type="spellEnd"/>
      <w:r w:rsidRPr="00DC1A5F">
        <w:rPr>
          <w:sz w:val="15"/>
          <w:szCs w:val="15"/>
          <w:lang w:val="es-PE"/>
        </w:rPr>
        <w:t xml:space="preserve">— supramundano (es decir, los 9 estados consistentes de los 4 senderos, las 4 fruiciones y el </w:t>
      </w:r>
      <w:r w:rsidRPr="00DC1A5F">
        <w:rPr>
          <w:i/>
          <w:iCs/>
          <w:sz w:val="15"/>
          <w:szCs w:val="15"/>
          <w:lang w:val="es-PE"/>
        </w:rPr>
        <w:t>Nibbāna</w:t>
      </w:r>
      <w:r w:rsidRPr="00DC1A5F">
        <w:rPr>
          <w:sz w:val="15"/>
          <w:szCs w:val="15"/>
          <w:lang w:val="es-PE"/>
        </w:rPr>
        <w:t>, y los estados asociados a ellos)</w:t>
      </w:r>
    </w:p>
    <w:p w14:paraId="68682C72" w14:textId="77777777" w:rsidR="00597DE2" w:rsidRPr="00DC1A5F" w:rsidRDefault="00597DE2" w:rsidP="00597DE2">
      <w:pPr>
        <w:pStyle w:val="ParrafoGlosario"/>
        <w:rPr>
          <w:lang w:val="es-PE"/>
        </w:rPr>
      </w:pPr>
      <w:proofErr w:type="spellStart"/>
      <w:r w:rsidRPr="00DC1A5F">
        <w:rPr>
          <w:i/>
          <w:iCs/>
          <w:lang w:val="es-PE"/>
        </w:rPr>
        <w:t>macchariya</w:t>
      </w:r>
      <w:proofErr w:type="spellEnd"/>
      <w:r w:rsidRPr="00DC1A5F">
        <w:rPr>
          <w:i/>
          <w:iCs/>
          <w:lang w:val="es-PE"/>
        </w:rPr>
        <w:t xml:space="preserve">, </w:t>
      </w:r>
      <w:proofErr w:type="spellStart"/>
      <w:r w:rsidRPr="00DC1A5F">
        <w:rPr>
          <w:i/>
          <w:iCs/>
          <w:lang w:val="es-PE"/>
        </w:rPr>
        <w:t>macchera</w:t>
      </w:r>
      <w:proofErr w:type="spellEnd"/>
      <w:r w:rsidRPr="00DC1A5F">
        <w:rPr>
          <w:lang w:val="es-PE"/>
        </w:rPr>
        <w:t xml:space="preserve">— avaricia, </w:t>
      </w:r>
    </w:p>
    <w:p w14:paraId="7F7DFD88" w14:textId="77777777" w:rsidR="00597DE2" w:rsidRPr="00DC1A5F" w:rsidRDefault="00597DE2" w:rsidP="00597DE2">
      <w:pPr>
        <w:pStyle w:val="ParrafoGlosario"/>
        <w:rPr>
          <w:lang w:val="es-PE"/>
        </w:rPr>
      </w:pPr>
      <w:proofErr w:type="spellStart"/>
      <w:r w:rsidRPr="00DC1A5F">
        <w:rPr>
          <w:i/>
          <w:iCs/>
          <w:lang w:val="es-PE"/>
        </w:rPr>
        <w:t>mada</w:t>
      </w:r>
      <w:proofErr w:type="spellEnd"/>
      <w:r w:rsidRPr="00DC1A5F">
        <w:rPr>
          <w:lang w:val="es-PE"/>
        </w:rPr>
        <w:t>— vanidad, embriaguez</w:t>
      </w:r>
    </w:p>
    <w:p w14:paraId="1F744EBB" w14:textId="77777777" w:rsidR="00597DE2" w:rsidRPr="00DC1A5F" w:rsidRDefault="00597DE2" w:rsidP="00597DE2">
      <w:pPr>
        <w:pStyle w:val="ParrafoGlosario"/>
        <w:rPr>
          <w:lang w:val="es-PE"/>
        </w:rPr>
      </w:pPr>
      <w:proofErr w:type="spellStart"/>
      <w:r w:rsidRPr="00DC1A5F">
        <w:rPr>
          <w:i/>
          <w:iCs/>
          <w:lang w:val="es-PE"/>
        </w:rPr>
        <w:t>magga</w:t>
      </w:r>
      <w:proofErr w:type="spellEnd"/>
      <w:r w:rsidRPr="00DC1A5F">
        <w:rPr>
          <w:lang w:val="es-PE"/>
        </w:rPr>
        <w:t>— sendero, camino</w:t>
      </w:r>
    </w:p>
    <w:p w14:paraId="4BFD2D6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mahā</w:t>
      </w:r>
      <w:proofErr w:type="spellEnd"/>
      <w:r w:rsidRPr="00DC1A5F">
        <w:rPr>
          <w:i/>
          <w:iCs/>
          <w:sz w:val="15"/>
          <w:szCs w:val="15"/>
          <w:lang w:val="es-PE"/>
        </w:rPr>
        <w:t>–bhūta</w:t>
      </w:r>
      <w:r w:rsidRPr="00DC1A5F">
        <w:rPr>
          <w:sz w:val="15"/>
          <w:szCs w:val="15"/>
          <w:lang w:val="es-PE"/>
        </w:rPr>
        <w:t>— gran primario, gran entidad (el 4)</w:t>
      </w:r>
    </w:p>
    <w:p w14:paraId="4AC2CD16"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mahacca</w:t>
      </w:r>
      <w:proofErr w:type="spellEnd"/>
      <w:r w:rsidRPr="00DC1A5F">
        <w:rPr>
          <w:sz w:val="15"/>
          <w:szCs w:val="15"/>
          <w:lang w:val="es-PE"/>
        </w:rPr>
        <w:t>*— gran suntuosidad: X.46 (D I 49)</w:t>
      </w:r>
    </w:p>
    <w:p w14:paraId="2E429F9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mahaggata</w:t>
      </w:r>
      <w:proofErr w:type="spellEnd"/>
      <w:r w:rsidRPr="00DC1A5F">
        <w:rPr>
          <w:sz w:val="15"/>
          <w:szCs w:val="15"/>
          <w:lang w:val="es-PE"/>
        </w:rPr>
        <w:t>— excelso (un término para la consciencia “excelsa” desde una esfera “limitada” del deseo sensorial a las esferas material sutil o inmaterial)</w:t>
      </w:r>
    </w:p>
    <w:p w14:paraId="4CF0E1C2"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mahā</w:t>
      </w:r>
      <w:proofErr w:type="spellEnd"/>
      <w:r w:rsidRPr="00DC1A5F">
        <w:rPr>
          <w:i/>
          <w:iCs/>
          <w:sz w:val="15"/>
          <w:szCs w:val="15"/>
          <w:lang w:val="es-PE"/>
        </w:rPr>
        <w:t>–</w:t>
      </w:r>
      <w:proofErr w:type="spellStart"/>
      <w:r w:rsidRPr="00DC1A5F">
        <w:rPr>
          <w:i/>
          <w:iCs/>
          <w:sz w:val="15"/>
          <w:szCs w:val="15"/>
          <w:lang w:val="es-PE"/>
        </w:rPr>
        <w:t>vipassanā</w:t>
      </w:r>
      <w:proofErr w:type="spellEnd"/>
      <w:r w:rsidRPr="00DC1A5F">
        <w:rPr>
          <w:sz w:val="15"/>
          <w:szCs w:val="15"/>
          <w:lang w:val="es-PE"/>
        </w:rPr>
        <w:t>— sabiduría principal (el 18)</w:t>
      </w:r>
    </w:p>
    <w:p w14:paraId="5011A605" w14:textId="77777777" w:rsidR="00597DE2" w:rsidRPr="00DC1A5F" w:rsidRDefault="00597DE2" w:rsidP="00597DE2">
      <w:pPr>
        <w:pStyle w:val="ParrafoGlosario"/>
        <w:rPr>
          <w:lang w:val="es-PE"/>
        </w:rPr>
      </w:pPr>
      <w:proofErr w:type="spellStart"/>
      <w:r w:rsidRPr="00DC1A5F">
        <w:rPr>
          <w:i/>
          <w:iCs/>
          <w:lang w:val="es-PE"/>
        </w:rPr>
        <w:t>majjhatta</w:t>
      </w:r>
      <w:proofErr w:type="spellEnd"/>
      <w:r w:rsidRPr="00DC1A5F">
        <w:rPr>
          <w:lang w:val="es-PE"/>
        </w:rPr>
        <w:t>— neutro, central</w:t>
      </w:r>
    </w:p>
    <w:p w14:paraId="501ADFCA" w14:textId="77777777" w:rsidR="00597DE2" w:rsidRPr="00DC1A5F" w:rsidRDefault="00597DE2" w:rsidP="00597DE2">
      <w:pPr>
        <w:pStyle w:val="ParrafoGlosario"/>
        <w:rPr>
          <w:lang w:val="es-PE"/>
        </w:rPr>
      </w:pPr>
      <w:proofErr w:type="spellStart"/>
      <w:r w:rsidRPr="00DC1A5F">
        <w:rPr>
          <w:i/>
          <w:iCs/>
          <w:lang w:val="es-PE"/>
        </w:rPr>
        <w:t>majjhima</w:t>
      </w:r>
      <w:proofErr w:type="spellEnd"/>
      <w:r w:rsidRPr="00DC1A5F">
        <w:rPr>
          <w:lang w:val="es-PE"/>
        </w:rPr>
        <w:t xml:space="preserve">— medio, </w:t>
      </w:r>
      <w:proofErr w:type="spellStart"/>
      <w:r w:rsidRPr="00DC1A5F">
        <w:rPr>
          <w:lang w:val="es-PE"/>
        </w:rPr>
        <w:t>inteermedio</w:t>
      </w:r>
      <w:proofErr w:type="spellEnd"/>
    </w:p>
    <w:p w14:paraId="32081749" w14:textId="77777777" w:rsidR="00597DE2" w:rsidRPr="00DC1A5F" w:rsidRDefault="00597DE2" w:rsidP="00597DE2">
      <w:pPr>
        <w:pStyle w:val="ParrafoGlosario"/>
        <w:rPr>
          <w:sz w:val="15"/>
          <w:szCs w:val="15"/>
          <w:lang w:val="es-PE"/>
        </w:rPr>
      </w:pPr>
      <w:r w:rsidRPr="00DC1A5F">
        <w:rPr>
          <w:i/>
          <w:iCs/>
          <w:sz w:val="15"/>
          <w:szCs w:val="15"/>
          <w:lang w:val="es-PE"/>
        </w:rPr>
        <w:t>mala</w:t>
      </w:r>
      <w:r w:rsidRPr="00DC1A5F">
        <w:rPr>
          <w:sz w:val="15"/>
          <w:szCs w:val="15"/>
          <w:lang w:val="es-PE"/>
        </w:rPr>
        <w:t>— mancha, mácula (el 3)</w:t>
      </w:r>
    </w:p>
    <w:p w14:paraId="7B720942" w14:textId="77777777" w:rsidR="00597DE2" w:rsidRPr="00DC1A5F" w:rsidRDefault="00597DE2" w:rsidP="00597DE2">
      <w:pPr>
        <w:pStyle w:val="ParrafoGlosario"/>
        <w:rPr>
          <w:sz w:val="15"/>
          <w:szCs w:val="15"/>
          <w:lang w:val="es-PE"/>
        </w:rPr>
      </w:pPr>
      <w:r w:rsidRPr="00DC1A5F">
        <w:rPr>
          <w:i/>
          <w:iCs/>
          <w:sz w:val="15"/>
          <w:szCs w:val="15"/>
          <w:lang w:val="es-PE"/>
        </w:rPr>
        <w:t>māna</w:t>
      </w:r>
      <w:r w:rsidRPr="00DC1A5F">
        <w:rPr>
          <w:sz w:val="15"/>
          <w:szCs w:val="15"/>
          <w:lang w:val="es-PE"/>
        </w:rPr>
        <w:t>— presunción (orgullo)</w:t>
      </w:r>
    </w:p>
    <w:p w14:paraId="60DA1C97" w14:textId="77777777" w:rsidR="00597DE2" w:rsidRPr="00DC1A5F" w:rsidRDefault="00597DE2" w:rsidP="00597DE2">
      <w:pPr>
        <w:pStyle w:val="ParrafoGlosario"/>
        <w:rPr>
          <w:lang w:val="es-PE"/>
        </w:rPr>
      </w:pPr>
      <w:proofErr w:type="spellStart"/>
      <w:r w:rsidRPr="00DC1A5F">
        <w:rPr>
          <w:i/>
          <w:iCs/>
          <w:lang w:val="es-PE"/>
        </w:rPr>
        <w:t>manasikāra</w:t>
      </w:r>
      <w:proofErr w:type="spellEnd"/>
      <w:r w:rsidRPr="00DC1A5F">
        <w:rPr>
          <w:lang w:val="es-PE"/>
        </w:rPr>
        <w:t>— atención, evocación mental</w:t>
      </w:r>
    </w:p>
    <w:p w14:paraId="2A87B130" w14:textId="77777777" w:rsidR="00597DE2" w:rsidRPr="00DC1A5F" w:rsidRDefault="00597DE2" w:rsidP="00597DE2">
      <w:pPr>
        <w:pStyle w:val="ParrafoGlosario"/>
        <w:rPr>
          <w:lang w:val="es-PE"/>
        </w:rPr>
      </w:pPr>
      <w:r w:rsidRPr="00DC1A5F">
        <w:rPr>
          <w:i/>
          <w:iCs/>
          <w:lang w:val="es-PE"/>
        </w:rPr>
        <w:t>mano</w:t>
      </w:r>
      <w:r w:rsidRPr="00DC1A5F">
        <w:rPr>
          <w:lang w:val="es-PE"/>
        </w:rPr>
        <w:t>— mente</w:t>
      </w:r>
    </w:p>
    <w:p w14:paraId="32A53A3B" w14:textId="77777777" w:rsidR="00597DE2" w:rsidRPr="00DC1A5F" w:rsidRDefault="00597DE2" w:rsidP="00597DE2">
      <w:pPr>
        <w:pStyle w:val="ParrafoGlosario"/>
        <w:rPr>
          <w:lang w:val="es-PE"/>
        </w:rPr>
      </w:pPr>
      <w:proofErr w:type="spellStart"/>
      <w:r w:rsidRPr="00DC1A5F">
        <w:rPr>
          <w:i/>
          <w:iCs/>
          <w:lang w:val="es-PE"/>
        </w:rPr>
        <w:t>māraṇa</w:t>
      </w:r>
      <w:proofErr w:type="spellEnd"/>
      <w:r w:rsidRPr="00DC1A5F">
        <w:rPr>
          <w:lang w:val="es-PE"/>
        </w:rPr>
        <w:t>— muerte, morir</w:t>
      </w:r>
    </w:p>
    <w:p w14:paraId="07B7C154" w14:textId="77777777" w:rsidR="00597DE2" w:rsidRPr="00DC1A5F" w:rsidRDefault="00597DE2" w:rsidP="00597DE2">
      <w:pPr>
        <w:pStyle w:val="ParrafoGlosario"/>
        <w:rPr>
          <w:lang w:val="es-PE"/>
        </w:rPr>
      </w:pPr>
      <w:proofErr w:type="spellStart"/>
      <w:r w:rsidRPr="00DC1A5F">
        <w:rPr>
          <w:i/>
          <w:iCs/>
          <w:lang w:val="es-PE"/>
        </w:rPr>
        <w:t>maru</w:t>
      </w:r>
      <w:proofErr w:type="spellEnd"/>
      <w:r w:rsidRPr="00DC1A5F">
        <w:rPr>
          <w:lang w:val="es-PE"/>
        </w:rPr>
        <w:t>*— también acantilado: XVII.63</w:t>
      </w:r>
    </w:p>
    <w:p w14:paraId="2F80697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mātikā</w:t>
      </w:r>
      <w:proofErr w:type="spellEnd"/>
      <w:r w:rsidRPr="00DC1A5F">
        <w:rPr>
          <w:sz w:val="15"/>
          <w:szCs w:val="15"/>
          <w:lang w:val="es-PE"/>
        </w:rPr>
        <w:t xml:space="preserve">— (1) programa del </w:t>
      </w:r>
      <w:proofErr w:type="spellStart"/>
      <w:r w:rsidRPr="00DC1A5F">
        <w:rPr>
          <w:i/>
          <w:iCs/>
          <w:sz w:val="15"/>
          <w:szCs w:val="15"/>
          <w:lang w:val="es-PE"/>
        </w:rPr>
        <w:t>Abhidhamma</w:t>
      </w:r>
      <w:proofErr w:type="spellEnd"/>
      <w:r w:rsidRPr="00DC1A5F">
        <w:rPr>
          <w:sz w:val="15"/>
          <w:szCs w:val="15"/>
          <w:lang w:val="es-PE"/>
        </w:rPr>
        <w:t xml:space="preserve">, (2) códigos del </w:t>
      </w:r>
      <w:proofErr w:type="spellStart"/>
      <w:r w:rsidRPr="00DC1A5F">
        <w:rPr>
          <w:i/>
          <w:iCs/>
          <w:sz w:val="15"/>
          <w:szCs w:val="15"/>
          <w:lang w:val="es-PE"/>
        </w:rPr>
        <w:t>Pātimokkha</w:t>
      </w:r>
      <w:proofErr w:type="spellEnd"/>
      <w:r w:rsidRPr="00DC1A5F">
        <w:rPr>
          <w:sz w:val="15"/>
          <w:szCs w:val="15"/>
          <w:lang w:val="es-PE"/>
        </w:rPr>
        <w:t xml:space="preserve"> (los 2), (3) programa, etc.</w:t>
      </w:r>
    </w:p>
    <w:p w14:paraId="6C5ACBA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māyā</w:t>
      </w:r>
      <w:proofErr w:type="spellEnd"/>
      <w:r w:rsidRPr="00DC1A5F">
        <w:rPr>
          <w:sz w:val="15"/>
          <w:szCs w:val="15"/>
          <w:lang w:val="es-PE"/>
        </w:rPr>
        <w:t>— engaño, mentira</w:t>
      </w:r>
    </w:p>
    <w:p w14:paraId="724496B1" w14:textId="77777777" w:rsidR="00597DE2" w:rsidRDefault="00597DE2" w:rsidP="00597DE2">
      <w:pPr>
        <w:pStyle w:val="ParrafoGlosario"/>
        <w:rPr>
          <w:sz w:val="15"/>
          <w:szCs w:val="15"/>
          <w:lang w:val="es-PE"/>
        </w:rPr>
      </w:pPr>
      <w:proofErr w:type="spellStart"/>
      <w:r w:rsidRPr="00DC1A5F">
        <w:rPr>
          <w:i/>
          <w:iCs/>
          <w:sz w:val="15"/>
          <w:szCs w:val="15"/>
          <w:lang w:val="es-PE"/>
        </w:rPr>
        <w:t>mehana</w:t>
      </w:r>
      <w:proofErr w:type="spellEnd"/>
      <w:r w:rsidRPr="00DC1A5F">
        <w:rPr>
          <w:sz w:val="15"/>
          <w:szCs w:val="15"/>
          <w:lang w:val="es-PE"/>
        </w:rPr>
        <w:t xml:space="preserve">*— partes privadas: VII.64 </w:t>
      </w:r>
      <w:r>
        <w:rPr>
          <w:sz w:val="15"/>
          <w:szCs w:val="15"/>
          <w:lang w:val="es-PE"/>
        </w:rPr>
        <w:br w:type="page"/>
      </w:r>
    </w:p>
    <w:p w14:paraId="4C560567" w14:textId="77777777" w:rsidR="00597DE2" w:rsidRPr="00DC1A5F" w:rsidRDefault="00597DE2" w:rsidP="00597DE2">
      <w:pPr>
        <w:pStyle w:val="ParrafoGlosario"/>
        <w:rPr>
          <w:sz w:val="15"/>
          <w:szCs w:val="15"/>
          <w:lang w:val="es-PE"/>
        </w:rPr>
      </w:pPr>
    </w:p>
    <w:p w14:paraId="1B1A1910" w14:textId="77777777" w:rsidR="00597DE2" w:rsidRPr="00DC1A5F" w:rsidRDefault="00597DE2" w:rsidP="00597DE2">
      <w:pPr>
        <w:pStyle w:val="ParrafoGlosario"/>
        <w:rPr>
          <w:sz w:val="15"/>
          <w:szCs w:val="15"/>
          <w:lang w:val="es-PE"/>
        </w:rPr>
      </w:pPr>
      <w:r w:rsidRPr="00DC1A5F">
        <w:rPr>
          <w:i/>
          <w:iCs/>
          <w:sz w:val="15"/>
          <w:szCs w:val="15"/>
          <w:lang w:val="es-PE"/>
        </w:rPr>
        <w:t>mettā</w:t>
      </w:r>
      <w:r w:rsidRPr="00DC1A5F">
        <w:rPr>
          <w:sz w:val="15"/>
          <w:szCs w:val="15"/>
          <w:lang w:val="es-PE"/>
        </w:rPr>
        <w:t>—amor bondadoso, concordia</w:t>
      </w:r>
    </w:p>
    <w:p w14:paraId="534029B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miccha</w:t>
      </w:r>
      <w:proofErr w:type="spellEnd"/>
      <w:r w:rsidRPr="00DC1A5F">
        <w:rPr>
          <w:sz w:val="15"/>
          <w:szCs w:val="15"/>
          <w:lang w:val="es-PE"/>
        </w:rPr>
        <w:t>— equivocado</w:t>
      </w:r>
    </w:p>
    <w:p w14:paraId="5F8D467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micchatta</w:t>
      </w:r>
      <w:proofErr w:type="spellEnd"/>
      <w:r w:rsidRPr="00DC1A5F">
        <w:rPr>
          <w:sz w:val="15"/>
          <w:szCs w:val="15"/>
          <w:lang w:val="es-PE"/>
        </w:rPr>
        <w:t>— maldad (las 10)</w:t>
      </w:r>
    </w:p>
    <w:p w14:paraId="49D44BA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middha</w:t>
      </w:r>
      <w:proofErr w:type="spellEnd"/>
      <w:r w:rsidRPr="00DC1A5F">
        <w:rPr>
          <w:sz w:val="15"/>
          <w:szCs w:val="15"/>
          <w:lang w:val="es-PE"/>
        </w:rPr>
        <w:t>— letargo</w:t>
      </w:r>
    </w:p>
    <w:p w14:paraId="7066D6A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milāpana</w:t>
      </w:r>
      <w:proofErr w:type="spellEnd"/>
      <w:r w:rsidRPr="00DC1A5F">
        <w:rPr>
          <w:sz w:val="15"/>
          <w:szCs w:val="15"/>
          <w:lang w:val="es-PE"/>
        </w:rPr>
        <w:t>*— marchitar, hacer marchitar: XIV.128</w:t>
      </w:r>
    </w:p>
    <w:p w14:paraId="34468D9B" w14:textId="77777777" w:rsidR="00597DE2" w:rsidRPr="00DC1A5F" w:rsidRDefault="00597DE2" w:rsidP="00597DE2">
      <w:pPr>
        <w:pStyle w:val="ParrafoGlosario"/>
        <w:rPr>
          <w:sz w:val="15"/>
          <w:szCs w:val="15"/>
          <w:lang w:val="es-PE"/>
        </w:rPr>
      </w:pPr>
      <w:r w:rsidRPr="00DC1A5F">
        <w:rPr>
          <w:i/>
          <w:iCs/>
          <w:sz w:val="15"/>
          <w:szCs w:val="15"/>
          <w:lang w:val="es-PE"/>
        </w:rPr>
        <w:t>moha</w:t>
      </w:r>
      <w:r w:rsidRPr="00DC1A5F">
        <w:rPr>
          <w:sz w:val="15"/>
          <w:szCs w:val="15"/>
          <w:lang w:val="es-PE"/>
        </w:rPr>
        <w:t xml:space="preserve">— ilusión </w:t>
      </w:r>
    </w:p>
    <w:p w14:paraId="11B3365F"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muccitukamyatā</w:t>
      </w:r>
      <w:proofErr w:type="spellEnd"/>
      <w:r w:rsidRPr="00DC1A5F">
        <w:rPr>
          <w:sz w:val="15"/>
          <w:szCs w:val="15"/>
          <w:lang w:val="es-PE"/>
        </w:rPr>
        <w:t>— deseo de liberarse</w:t>
      </w:r>
    </w:p>
    <w:p w14:paraId="2339A3CB"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muditā</w:t>
      </w:r>
      <w:proofErr w:type="spellEnd"/>
      <w:r w:rsidRPr="00DC1A5F">
        <w:rPr>
          <w:sz w:val="15"/>
          <w:szCs w:val="15"/>
          <w:lang w:val="es-PE"/>
        </w:rPr>
        <w:t>— alegría altruista (por el éxito de los demás)</w:t>
      </w:r>
    </w:p>
    <w:p w14:paraId="754D6EF2"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muduta</w:t>
      </w:r>
      <w:proofErr w:type="spellEnd"/>
      <w:r w:rsidRPr="00DC1A5F">
        <w:rPr>
          <w:sz w:val="15"/>
          <w:szCs w:val="15"/>
          <w:lang w:val="es-PE"/>
        </w:rPr>
        <w:t>— maleabilidad</w:t>
      </w:r>
    </w:p>
    <w:p w14:paraId="36A62FB4"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mūla</w:t>
      </w:r>
      <w:proofErr w:type="spellEnd"/>
      <w:r w:rsidRPr="00DC1A5F">
        <w:rPr>
          <w:sz w:val="15"/>
          <w:szCs w:val="15"/>
          <w:lang w:val="es-PE"/>
        </w:rPr>
        <w:t xml:space="preserve">— raíz </w:t>
      </w:r>
    </w:p>
    <w:p w14:paraId="2080D48C"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musā</w:t>
      </w:r>
      <w:proofErr w:type="spellEnd"/>
      <w:r w:rsidRPr="00DC1A5F">
        <w:rPr>
          <w:i/>
          <w:iCs/>
          <w:sz w:val="15"/>
          <w:szCs w:val="15"/>
          <w:lang w:val="es-PE"/>
        </w:rPr>
        <w:t>–</w:t>
      </w:r>
      <w:proofErr w:type="spellStart"/>
      <w:r w:rsidRPr="00DC1A5F">
        <w:rPr>
          <w:i/>
          <w:iCs/>
          <w:sz w:val="15"/>
          <w:szCs w:val="15"/>
          <w:lang w:val="es-PE"/>
        </w:rPr>
        <w:t>vāda</w:t>
      </w:r>
      <w:proofErr w:type="spellEnd"/>
      <w:r w:rsidRPr="00DC1A5F">
        <w:rPr>
          <w:sz w:val="15"/>
          <w:szCs w:val="15"/>
          <w:lang w:val="es-PE"/>
        </w:rPr>
        <w:t>— lenguaje falso, mentira</w:t>
      </w:r>
    </w:p>
    <w:p w14:paraId="0966D5A1" w14:textId="77777777" w:rsidR="00597DE2" w:rsidRPr="00DC1A5F" w:rsidRDefault="00597DE2" w:rsidP="00597DE2">
      <w:pPr>
        <w:pStyle w:val="ParrafoGlosario"/>
        <w:rPr>
          <w:sz w:val="15"/>
          <w:szCs w:val="15"/>
          <w:lang w:val="es-PE"/>
        </w:rPr>
      </w:pPr>
      <w:r w:rsidRPr="00DC1A5F">
        <w:rPr>
          <w:i/>
          <w:iCs/>
          <w:sz w:val="15"/>
          <w:szCs w:val="15"/>
          <w:lang w:val="es-PE"/>
        </w:rPr>
        <w:t>muta</w:t>
      </w:r>
      <w:r w:rsidRPr="00DC1A5F">
        <w:rPr>
          <w:sz w:val="15"/>
          <w:szCs w:val="15"/>
          <w:lang w:val="es-PE"/>
        </w:rPr>
        <w:t>— percibido (es decir, olido, probado o sentido)</w:t>
      </w:r>
    </w:p>
    <w:p w14:paraId="491E4200" w14:textId="77777777" w:rsidR="00597DE2" w:rsidRPr="00DC1A5F" w:rsidRDefault="00597DE2" w:rsidP="00597DE2">
      <w:pPr>
        <w:pStyle w:val="ParrafoGlosario"/>
        <w:rPr>
          <w:lang w:val="es-PE"/>
        </w:rPr>
      </w:pPr>
      <w:proofErr w:type="spellStart"/>
      <w:r w:rsidRPr="00DC1A5F">
        <w:rPr>
          <w:i/>
          <w:iCs/>
          <w:lang w:val="es-PE"/>
        </w:rPr>
        <w:t>nāgabalā</w:t>
      </w:r>
      <w:proofErr w:type="spellEnd"/>
      <w:r w:rsidRPr="00DC1A5F">
        <w:rPr>
          <w:i/>
          <w:iCs/>
          <w:lang w:val="es-PE"/>
        </w:rPr>
        <w:t>*</w:t>
      </w:r>
      <w:r w:rsidRPr="00DC1A5F">
        <w:rPr>
          <w:lang w:val="es-PE"/>
        </w:rPr>
        <w:t>— tipo de planta: XI.17</w:t>
      </w:r>
    </w:p>
    <w:p w14:paraId="28D6E2E7" w14:textId="77777777" w:rsidR="00597DE2" w:rsidRPr="00DC1A5F" w:rsidRDefault="00597DE2" w:rsidP="00597DE2">
      <w:pPr>
        <w:pStyle w:val="ParrafoGlosario"/>
        <w:rPr>
          <w:lang w:val="es-PE"/>
        </w:rPr>
      </w:pPr>
      <w:proofErr w:type="spellStart"/>
      <w:r w:rsidRPr="00DC1A5F">
        <w:rPr>
          <w:i/>
          <w:iCs/>
          <w:lang w:val="es-PE"/>
        </w:rPr>
        <w:t>nahanā</w:t>
      </w:r>
      <w:proofErr w:type="spellEnd"/>
      <w:r w:rsidRPr="00DC1A5F">
        <w:rPr>
          <w:lang w:val="es-PE"/>
        </w:rPr>
        <w:t xml:space="preserve">*— </w:t>
      </w:r>
      <w:r w:rsidRPr="00DC1A5F">
        <w:rPr>
          <w:color w:val="833C0B" w:themeColor="accent2" w:themeShade="80"/>
          <w:lang w:val="es-PE"/>
        </w:rPr>
        <w:t>atadura, atar</w:t>
      </w:r>
      <w:r w:rsidRPr="00DC1A5F">
        <w:rPr>
          <w:lang w:val="es-PE"/>
        </w:rPr>
        <w:t>: I.73</w:t>
      </w:r>
    </w:p>
    <w:p w14:paraId="56CB76C8" w14:textId="77777777" w:rsidR="00597DE2" w:rsidRPr="00DC1A5F" w:rsidRDefault="00597DE2" w:rsidP="00597DE2">
      <w:pPr>
        <w:pStyle w:val="ParrafoGlosario"/>
        <w:rPr>
          <w:lang w:val="es-PE"/>
        </w:rPr>
      </w:pPr>
      <w:proofErr w:type="spellStart"/>
      <w:r w:rsidRPr="00DC1A5F">
        <w:rPr>
          <w:i/>
          <w:iCs/>
          <w:lang w:val="es-PE"/>
        </w:rPr>
        <w:t>nāma</w:t>
      </w:r>
      <w:proofErr w:type="spellEnd"/>
      <w:r w:rsidRPr="00DC1A5F">
        <w:rPr>
          <w:lang w:val="es-PE"/>
        </w:rPr>
        <w:t>— (1) mentalidad, mente (2) nombre</w:t>
      </w:r>
    </w:p>
    <w:p w14:paraId="5698BFB4" w14:textId="77777777" w:rsidR="00597DE2" w:rsidRPr="00DC1A5F" w:rsidRDefault="00597DE2" w:rsidP="00597DE2">
      <w:pPr>
        <w:pStyle w:val="ParrafoGlosario"/>
        <w:rPr>
          <w:lang w:val="es-PE"/>
        </w:rPr>
      </w:pPr>
      <w:proofErr w:type="spellStart"/>
      <w:r w:rsidRPr="00DC1A5F">
        <w:rPr>
          <w:i/>
          <w:iCs/>
          <w:lang w:val="es-PE"/>
        </w:rPr>
        <w:t>nāma</w:t>
      </w:r>
      <w:proofErr w:type="spellEnd"/>
      <w:r w:rsidRPr="00DC1A5F">
        <w:rPr>
          <w:i/>
          <w:iCs/>
          <w:lang w:val="es-PE"/>
        </w:rPr>
        <w:t>–</w:t>
      </w:r>
      <w:proofErr w:type="spellStart"/>
      <w:r w:rsidRPr="00DC1A5F">
        <w:rPr>
          <w:i/>
          <w:iCs/>
          <w:lang w:val="es-PE"/>
        </w:rPr>
        <w:t>kaya</w:t>
      </w:r>
      <w:proofErr w:type="spellEnd"/>
      <w:r w:rsidRPr="00DC1A5F">
        <w:rPr>
          <w:lang w:val="es-PE"/>
        </w:rPr>
        <w:t>— mentalidad–materialidad, cuerpo mental (los agregados de la sensación, percepción y formaciones)</w:t>
      </w:r>
    </w:p>
    <w:p w14:paraId="3CFF4F8E" w14:textId="77777777" w:rsidR="00597DE2" w:rsidRPr="00DC1A5F" w:rsidRDefault="00597DE2" w:rsidP="00597DE2">
      <w:pPr>
        <w:pStyle w:val="ParrafoGlosario"/>
        <w:rPr>
          <w:lang w:val="es-PE"/>
        </w:rPr>
      </w:pPr>
      <w:proofErr w:type="spellStart"/>
      <w:r w:rsidRPr="00DC1A5F">
        <w:rPr>
          <w:i/>
          <w:iCs/>
          <w:lang w:val="es-PE"/>
        </w:rPr>
        <w:t>nāma</w:t>
      </w:r>
      <w:proofErr w:type="spellEnd"/>
      <w:r w:rsidRPr="00DC1A5F">
        <w:rPr>
          <w:i/>
          <w:iCs/>
          <w:lang w:val="es-PE"/>
        </w:rPr>
        <w:t>–rūpa</w:t>
      </w:r>
      <w:r w:rsidRPr="00DC1A5F">
        <w:rPr>
          <w:lang w:val="es-PE"/>
        </w:rPr>
        <w:t>— mentalidad–materialidad (término para los 5 agregados, o para los 4 agregados excluyendo a la consciencia)</w:t>
      </w:r>
    </w:p>
    <w:p w14:paraId="299BDB65" w14:textId="77777777" w:rsidR="00597DE2" w:rsidRPr="00DC1A5F" w:rsidRDefault="00597DE2" w:rsidP="00597DE2">
      <w:pPr>
        <w:pStyle w:val="ParrafoGlosario"/>
        <w:rPr>
          <w:lang w:val="es-PE"/>
        </w:rPr>
      </w:pPr>
      <w:proofErr w:type="spellStart"/>
      <w:r w:rsidRPr="00DC1A5F">
        <w:rPr>
          <w:i/>
          <w:iCs/>
          <w:lang w:val="es-PE"/>
        </w:rPr>
        <w:t>nāma</w:t>
      </w:r>
      <w:proofErr w:type="spellEnd"/>
      <w:r w:rsidRPr="00DC1A5F">
        <w:rPr>
          <w:i/>
          <w:iCs/>
          <w:lang w:val="es-PE"/>
        </w:rPr>
        <w:t>–rūpa–</w:t>
      </w:r>
      <w:proofErr w:type="spellStart"/>
      <w:r w:rsidRPr="00DC1A5F">
        <w:rPr>
          <w:i/>
          <w:iCs/>
          <w:lang w:val="es-PE"/>
        </w:rPr>
        <w:t>pariccheda</w:t>
      </w:r>
      <w:proofErr w:type="spellEnd"/>
      <w:r w:rsidRPr="00DC1A5F">
        <w:rPr>
          <w:lang w:val="es-PE"/>
        </w:rPr>
        <w:t>— definición de la mentalidad–materialidad</w:t>
      </w:r>
    </w:p>
    <w:p w14:paraId="5B3C7F3E" w14:textId="77777777" w:rsidR="00597DE2" w:rsidRPr="00DC1A5F" w:rsidRDefault="00597DE2" w:rsidP="00597DE2">
      <w:pPr>
        <w:pStyle w:val="ParrafoGlosario"/>
        <w:rPr>
          <w:lang w:val="es-PE"/>
        </w:rPr>
      </w:pPr>
      <w:proofErr w:type="spellStart"/>
      <w:r w:rsidRPr="00DC1A5F">
        <w:rPr>
          <w:i/>
          <w:iCs/>
          <w:lang w:val="es-PE"/>
        </w:rPr>
        <w:t>nāna</w:t>
      </w:r>
      <w:proofErr w:type="spellEnd"/>
      <w:r w:rsidRPr="00DC1A5F">
        <w:rPr>
          <w:i/>
          <w:iCs/>
          <w:lang w:val="es-PE"/>
        </w:rPr>
        <w:t>–</w:t>
      </w:r>
      <w:proofErr w:type="spellStart"/>
      <w:r w:rsidRPr="00DC1A5F">
        <w:rPr>
          <w:i/>
          <w:iCs/>
          <w:lang w:val="es-PE"/>
        </w:rPr>
        <w:t>kkhaṇika</w:t>
      </w:r>
      <w:proofErr w:type="spellEnd"/>
      <w:r w:rsidRPr="00DC1A5F">
        <w:rPr>
          <w:lang w:val="es-PE"/>
        </w:rPr>
        <w:t>— (</w:t>
      </w:r>
      <w:proofErr w:type="spellStart"/>
      <w:r w:rsidRPr="00DC1A5F">
        <w:rPr>
          <w:i/>
          <w:iCs/>
          <w:lang w:val="es-PE"/>
        </w:rPr>
        <w:t>kamma</w:t>
      </w:r>
      <w:proofErr w:type="spellEnd"/>
      <w:r w:rsidRPr="00DC1A5F">
        <w:rPr>
          <w:lang w:val="es-PE"/>
        </w:rPr>
        <w:t>) actuante desde un momento diferente</w:t>
      </w:r>
    </w:p>
    <w:p w14:paraId="3AEA474A" w14:textId="77777777" w:rsidR="00597DE2" w:rsidRPr="00DC1A5F" w:rsidRDefault="00597DE2" w:rsidP="00597DE2">
      <w:pPr>
        <w:pStyle w:val="ParrafoGlosario"/>
        <w:rPr>
          <w:lang w:val="es-PE"/>
        </w:rPr>
      </w:pPr>
      <w:proofErr w:type="spellStart"/>
      <w:r w:rsidRPr="00DC1A5F">
        <w:rPr>
          <w:i/>
          <w:iCs/>
          <w:lang w:val="es-PE"/>
        </w:rPr>
        <w:t>nānatta</w:t>
      </w:r>
      <w:proofErr w:type="spellEnd"/>
      <w:r w:rsidRPr="00DC1A5F">
        <w:rPr>
          <w:lang w:val="es-PE"/>
        </w:rPr>
        <w:t>— variedad, diferencia</w:t>
      </w:r>
    </w:p>
    <w:p w14:paraId="48BDAC96" w14:textId="77777777" w:rsidR="00597DE2" w:rsidRPr="00DC1A5F" w:rsidRDefault="00597DE2" w:rsidP="00597DE2">
      <w:pPr>
        <w:pStyle w:val="ParrafoGlosario"/>
        <w:rPr>
          <w:lang w:val="es-PE"/>
        </w:rPr>
      </w:pPr>
      <w:proofErr w:type="spellStart"/>
      <w:r w:rsidRPr="00DC1A5F">
        <w:rPr>
          <w:i/>
          <w:iCs/>
          <w:lang w:val="es-PE"/>
        </w:rPr>
        <w:t>nandi</w:t>
      </w:r>
      <w:proofErr w:type="spellEnd"/>
      <w:r w:rsidRPr="00DC1A5F">
        <w:rPr>
          <w:lang w:val="es-PE"/>
        </w:rPr>
        <w:t>–placer</w:t>
      </w:r>
    </w:p>
    <w:p w14:paraId="2F92D401" w14:textId="77777777" w:rsidR="00597DE2" w:rsidRPr="00DC1A5F" w:rsidRDefault="00597DE2" w:rsidP="00597DE2">
      <w:pPr>
        <w:pStyle w:val="ParrafoGlosario"/>
        <w:rPr>
          <w:lang w:val="es-PE"/>
        </w:rPr>
      </w:pPr>
      <w:proofErr w:type="spellStart"/>
      <w:r w:rsidRPr="00DC1A5F">
        <w:rPr>
          <w:i/>
          <w:iCs/>
          <w:lang w:val="es-PE"/>
        </w:rPr>
        <w:t>navaka</w:t>
      </w:r>
      <w:proofErr w:type="spellEnd"/>
      <w:r w:rsidRPr="00DC1A5F">
        <w:rPr>
          <w:lang w:val="es-PE"/>
        </w:rPr>
        <w:t>— nónuplo</w:t>
      </w:r>
    </w:p>
    <w:p w14:paraId="2EDBF837" w14:textId="77777777" w:rsidR="00597DE2" w:rsidRPr="00DC1A5F" w:rsidRDefault="00597DE2" w:rsidP="00597DE2">
      <w:pPr>
        <w:pStyle w:val="ParrafoGlosario"/>
        <w:rPr>
          <w:lang w:val="es-PE"/>
        </w:rPr>
      </w:pPr>
      <w:r w:rsidRPr="00DC1A5F">
        <w:rPr>
          <w:i/>
          <w:iCs/>
          <w:lang w:val="es-PE"/>
        </w:rPr>
        <w:t>naya</w:t>
      </w:r>
      <w:r w:rsidRPr="00DC1A5F">
        <w:rPr>
          <w:lang w:val="es-PE"/>
        </w:rPr>
        <w:t>— método</w:t>
      </w:r>
    </w:p>
    <w:p w14:paraId="47CE2541" w14:textId="77777777" w:rsidR="00597DE2" w:rsidRPr="00DC1A5F" w:rsidRDefault="00597DE2" w:rsidP="00597DE2">
      <w:pPr>
        <w:pStyle w:val="ParrafoGlosario"/>
        <w:rPr>
          <w:lang w:val="es-PE"/>
        </w:rPr>
      </w:pPr>
      <w:proofErr w:type="spellStart"/>
      <w:r w:rsidRPr="00DC1A5F">
        <w:rPr>
          <w:i/>
          <w:iCs/>
          <w:lang w:val="es-PE"/>
        </w:rPr>
        <w:t>nāyare</w:t>
      </w:r>
      <w:proofErr w:type="spellEnd"/>
      <w:r w:rsidRPr="00DC1A5F">
        <w:rPr>
          <w:lang w:val="es-PE"/>
        </w:rPr>
        <w:t>*— ellos son conocidos (—</w:t>
      </w:r>
      <w:proofErr w:type="spellStart"/>
      <w:r w:rsidRPr="00DC1A5F">
        <w:rPr>
          <w:i/>
          <w:iCs/>
          <w:lang w:val="es-PE"/>
        </w:rPr>
        <w:t>ñāyanti</w:t>
      </w:r>
      <w:proofErr w:type="spellEnd"/>
      <w:r w:rsidRPr="00DC1A5F">
        <w:rPr>
          <w:lang w:val="es-PE"/>
        </w:rPr>
        <w:t>): VIII.29; cf. IX.42 (</w:t>
      </w:r>
      <w:proofErr w:type="spellStart"/>
      <w:r w:rsidRPr="00DC1A5F">
        <w:rPr>
          <w:lang w:val="es-PE"/>
        </w:rPr>
        <w:t>nāyati</w:t>
      </w:r>
      <w:proofErr w:type="spellEnd"/>
      <w:r w:rsidRPr="00DC1A5F">
        <w:rPr>
          <w:lang w:val="es-PE"/>
        </w:rPr>
        <w:t>—</w:t>
      </w:r>
      <w:proofErr w:type="spellStart"/>
      <w:r w:rsidRPr="00DC1A5F">
        <w:rPr>
          <w:lang w:val="es-PE"/>
        </w:rPr>
        <w:t>ñāyati</w:t>
      </w:r>
      <w:proofErr w:type="spellEnd"/>
      <w:r w:rsidRPr="00DC1A5F">
        <w:rPr>
          <w:lang w:val="es-PE"/>
        </w:rPr>
        <w:t>)</w:t>
      </w:r>
    </w:p>
    <w:p w14:paraId="4A780F32" w14:textId="77777777" w:rsidR="00597DE2" w:rsidRPr="00DC1A5F" w:rsidRDefault="00597DE2" w:rsidP="00597DE2">
      <w:pPr>
        <w:pStyle w:val="ParrafoGlosario"/>
        <w:rPr>
          <w:lang w:val="es-PE"/>
        </w:rPr>
      </w:pPr>
      <w:r w:rsidRPr="00DC1A5F">
        <w:rPr>
          <w:i/>
          <w:iCs/>
          <w:lang w:val="es-PE"/>
        </w:rPr>
        <w:t>naya–</w:t>
      </w:r>
      <w:proofErr w:type="spellStart"/>
      <w:r w:rsidRPr="00DC1A5F">
        <w:rPr>
          <w:i/>
          <w:iCs/>
          <w:lang w:val="es-PE"/>
        </w:rPr>
        <w:t>vipassana</w:t>
      </w:r>
      <w:proofErr w:type="spellEnd"/>
      <w:r w:rsidRPr="00DC1A5F">
        <w:rPr>
          <w:lang w:val="es-PE"/>
        </w:rPr>
        <w:t>— sabiduría–revelativa inductiva</w:t>
      </w:r>
    </w:p>
    <w:p w14:paraId="7AEBD02B" w14:textId="77777777" w:rsidR="00597DE2" w:rsidRPr="00DC1A5F" w:rsidRDefault="00597DE2" w:rsidP="00597DE2">
      <w:pPr>
        <w:pStyle w:val="ParrafoGlosario"/>
        <w:rPr>
          <w:lang w:val="es-PE"/>
        </w:rPr>
      </w:pPr>
      <w:r w:rsidRPr="00DC1A5F">
        <w:rPr>
          <w:i/>
          <w:iCs/>
          <w:lang w:val="es-PE"/>
        </w:rPr>
        <w:t>nekkhamma</w:t>
      </w:r>
      <w:r w:rsidRPr="00DC1A5F">
        <w:rPr>
          <w:lang w:val="es-PE"/>
        </w:rPr>
        <w:t>— renunciación</w:t>
      </w:r>
    </w:p>
    <w:p w14:paraId="439E0E1D" w14:textId="77777777" w:rsidR="00597DE2" w:rsidRPr="00DC1A5F" w:rsidRDefault="00597DE2" w:rsidP="00597DE2">
      <w:pPr>
        <w:pStyle w:val="ParrafoGlosario"/>
        <w:rPr>
          <w:lang w:val="es-PE"/>
        </w:rPr>
      </w:pPr>
      <w:proofErr w:type="spellStart"/>
      <w:r w:rsidRPr="00DC1A5F">
        <w:rPr>
          <w:i/>
          <w:iCs/>
          <w:lang w:val="es-PE"/>
        </w:rPr>
        <w:t>nemittika</w:t>
      </w:r>
      <w:proofErr w:type="spellEnd"/>
      <w:r w:rsidRPr="00DC1A5F">
        <w:rPr>
          <w:lang w:val="es-PE"/>
        </w:rPr>
        <w:t>*— (nombre) que significa (una adquisición): VII.55</w:t>
      </w:r>
    </w:p>
    <w:p w14:paraId="21903831" w14:textId="77777777" w:rsidR="00597DE2" w:rsidRPr="00DC1A5F" w:rsidRDefault="00597DE2" w:rsidP="00597DE2">
      <w:pPr>
        <w:pStyle w:val="ParrafoGlosario"/>
        <w:rPr>
          <w:lang w:val="es-PE"/>
        </w:rPr>
      </w:pPr>
      <w:proofErr w:type="spellStart"/>
      <w:r w:rsidRPr="00DC1A5F">
        <w:rPr>
          <w:i/>
          <w:iCs/>
          <w:lang w:val="es-PE"/>
        </w:rPr>
        <w:t>nemittikatā</w:t>
      </w:r>
      <w:proofErr w:type="spellEnd"/>
      <w:r w:rsidRPr="00DC1A5F">
        <w:rPr>
          <w:lang w:val="es-PE"/>
        </w:rPr>
        <w:t>*— insinuación (no así en l PED): I.63 (M III 75)</w:t>
      </w:r>
    </w:p>
    <w:p w14:paraId="34C8787B" w14:textId="77777777" w:rsidR="00597DE2" w:rsidRPr="00DC1A5F" w:rsidRDefault="00597DE2" w:rsidP="00597DE2">
      <w:pPr>
        <w:pStyle w:val="ParrafoGlosario"/>
        <w:rPr>
          <w:lang w:val="es-PE"/>
        </w:rPr>
      </w:pPr>
      <w:proofErr w:type="spellStart"/>
      <w:r w:rsidRPr="00DC1A5F">
        <w:rPr>
          <w:i/>
          <w:iCs/>
          <w:lang w:val="es-PE"/>
        </w:rPr>
        <w:t>nibbacana</w:t>
      </w:r>
      <w:proofErr w:type="spellEnd"/>
      <w:r w:rsidRPr="00DC1A5F">
        <w:rPr>
          <w:lang w:val="es-PE"/>
        </w:rPr>
        <w:t>*— derivado verbal (gramática): II.4; XVI.14</w:t>
      </w:r>
    </w:p>
    <w:p w14:paraId="09C2E7DF" w14:textId="77777777" w:rsidR="00597DE2" w:rsidRPr="00DC1A5F" w:rsidRDefault="00597DE2" w:rsidP="00597DE2">
      <w:pPr>
        <w:pStyle w:val="ParrafoGlosario"/>
        <w:rPr>
          <w:lang w:val="es-PE"/>
        </w:rPr>
      </w:pPr>
      <w:r w:rsidRPr="00DC1A5F">
        <w:rPr>
          <w:i/>
          <w:iCs/>
          <w:lang w:val="es-PE"/>
        </w:rPr>
        <w:t>Nibbāna</w:t>
      </w:r>
      <w:r w:rsidRPr="00DC1A5F">
        <w:rPr>
          <w:lang w:val="es-PE"/>
        </w:rPr>
        <w:t>— nirvana, extinción (de la codicia, el odio y la ignorancia)</w:t>
      </w:r>
    </w:p>
    <w:p w14:paraId="1545F9AE" w14:textId="77777777" w:rsidR="00597DE2" w:rsidRPr="00DC1A5F" w:rsidRDefault="00597DE2" w:rsidP="00597DE2">
      <w:pPr>
        <w:pStyle w:val="ParrafoGlosario"/>
        <w:rPr>
          <w:lang w:val="es-PE"/>
        </w:rPr>
      </w:pPr>
      <w:proofErr w:type="spellStart"/>
      <w:r w:rsidRPr="00DC1A5F">
        <w:rPr>
          <w:i/>
          <w:iCs/>
          <w:lang w:val="es-PE"/>
        </w:rPr>
        <w:t>nibbatti</w:t>
      </w:r>
      <w:proofErr w:type="spellEnd"/>
      <w:r w:rsidRPr="00DC1A5F">
        <w:rPr>
          <w:lang w:val="es-PE"/>
        </w:rPr>
        <w:t xml:space="preserve">— generación, producción, renacimiento </w:t>
      </w:r>
    </w:p>
    <w:p w14:paraId="38884D5F" w14:textId="77777777" w:rsidR="00597DE2" w:rsidRPr="00DC1A5F" w:rsidRDefault="00597DE2" w:rsidP="00597DE2">
      <w:pPr>
        <w:pStyle w:val="ParrafoGlosario"/>
        <w:rPr>
          <w:lang w:val="es-PE"/>
        </w:rPr>
      </w:pPr>
      <w:proofErr w:type="spellStart"/>
      <w:r w:rsidRPr="00DC1A5F">
        <w:rPr>
          <w:i/>
          <w:iCs/>
          <w:lang w:val="es-PE"/>
        </w:rPr>
        <w:t>nibbedha</w:t>
      </w:r>
      <w:proofErr w:type="spellEnd"/>
      <w:r w:rsidRPr="00DC1A5F">
        <w:rPr>
          <w:lang w:val="es-PE"/>
        </w:rPr>
        <w:t>*— penetración</w:t>
      </w:r>
    </w:p>
    <w:p w14:paraId="600D0216" w14:textId="77777777" w:rsidR="00597DE2" w:rsidRPr="00DC1A5F" w:rsidRDefault="00597DE2" w:rsidP="00597DE2">
      <w:pPr>
        <w:pStyle w:val="ParrafoGlosario"/>
        <w:rPr>
          <w:lang w:val="es-PE"/>
        </w:rPr>
      </w:pPr>
      <w:proofErr w:type="spellStart"/>
      <w:r w:rsidRPr="00DC1A5F">
        <w:rPr>
          <w:i/>
          <w:iCs/>
          <w:lang w:val="es-PE"/>
        </w:rPr>
        <w:t>nibbidā</w:t>
      </w:r>
      <w:proofErr w:type="spellEnd"/>
      <w:r w:rsidRPr="00DC1A5F">
        <w:rPr>
          <w:lang w:val="es-PE"/>
        </w:rPr>
        <w:t>— desapego, repugnancia</w:t>
      </w:r>
    </w:p>
    <w:p w14:paraId="6E15F841" w14:textId="77777777" w:rsidR="00597DE2" w:rsidRPr="00DC1A5F" w:rsidRDefault="00597DE2" w:rsidP="00597DE2">
      <w:pPr>
        <w:pStyle w:val="ParrafoGlosario"/>
        <w:rPr>
          <w:lang w:val="es-PE"/>
        </w:rPr>
      </w:pPr>
      <w:proofErr w:type="spellStart"/>
      <w:r w:rsidRPr="00DC1A5F">
        <w:rPr>
          <w:i/>
          <w:iCs/>
          <w:lang w:val="es-PE"/>
        </w:rPr>
        <w:t>nibbikappa</w:t>
      </w:r>
      <w:proofErr w:type="spellEnd"/>
      <w:r w:rsidRPr="00DC1A5F">
        <w:rPr>
          <w:lang w:val="es-PE"/>
        </w:rPr>
        <w:t>*— “sin consternación”, sin abatimiento: II.71; VI.81</w:t>
      </w:r>
    </w:p>
    <w:p w14:paraId="5BE1D5E4" w14:textId="77777777" w:rsidR="00597DE2" w:rsidRPr="00DC1A5F" w:rsidRDefault="00597DE2" w:rsidP="00597DE2">
      <w:pPr>
        <w:pStyle w:val="ParrafoGlosario"/>
        <w:rPr>
          <w:lang w:val="es-PE"/>
        </w:rPr>
      </w:pPr>
      <w:proofErr w:type="spellStart"/>
      <w:r w:rsidRPr="00DC1A5F">
        <w:rPr>
          <w:i/>
          <w:iCs/>
          <w:lang w:val="es-PE"/>
        </w:rPr>
        <w:t>nibbisa</w:t>
      </w:r>
      <w:proofErr w:type="spellEnd"/>
      <w:r w:rsidRPr="00DC1A5F">
        <w:rPr>
          <w:lang w:val="es-PE"/>
        </w:rPr>
        <w:t>*— sin veneno: XII.115</w:t>
      </w:r>
      <w:r>
        <w:rPr>
          <w:lang w:val="es-PE"/>
        </w:rPr>
        <w:br w:type="column"/>
      </w:r>
    </w:p>
    <w:p w14:paraId="01D76479" w14:textId="77777777" w:rsidR="00597DE2" w:rsidRPr="00DC1A5F" w:rsidRDefault="00597DE2" w:rsidP="00597DE2">
      <w:pPr>
        <w:pStyle w:val="ParrafoGlosario"/>
        <w:rPr>
          <w:lang w:val="es-PE"/>
        </w:rPr>
      </w:pPr>
      <w:proofErr w:type="spellStart"/>
      <w:r w:rsidRPr="00DC1A5F">
        <w:rPr>
          <w:i/>
          <w:iCs/>
          <w:lang w:val="es-PE"/>
        </w:rPr>
        <w:t>nicca</w:t>
      </w:r>
      <w:proofErr w:type="spellEnd"/>
      <w:r w:rsidRPr="00DC1A5F">
        <w:rPr>
          <w:lang w:val="es-PE"/>
        </w:rPr>
        <w:t>— permanente</w:t>
      </w:r>
    </w:p>
    <w:p w14:paraId="3F3624DD" w14:textId="77777777" w:rsidR="00597DE2" w:rsidRPr="00DC1A5F" w:rsidRDefault="00597DE2" w:rsidP="00597DE2">
      <w:pPr>
        <w:pStyle w:val="ParrafoGlosario"/>
        <w:rPr>
          <w:lang w:val="es-PE"/>
        </w:rPr>
      </w:pPr>
      <w:proofErr w:type="spellStart"/>
      <w:r w:rsidRPr="00DC1A5F">
        <w:rPr>
          <w:i/>
          <w:iCs/>
          <w:lang w:val="es-PE"/>
        </w:rPr>
        <w:t>nigghāta</w:t>
      </w:r>
      <w:proofErr w:type="spellEnd"/>
      <w:r w:rsidRPr="00DC1A5F">
        <w:rPr>
          <w:lang w:val="es-PE"/>
        </w:rPr>
        <w:t>*— depresión: XI.117</w:t>
      </w:r>
    </w:p>
    <w:p w14:paraId="1B3100E4" w14:textId="77777777" w:rsidR="00597DE2" w:rsidRPr="00DC1A5F" w:rsidRDefault="00597DE2" w:rsidP="00597DE2">
      <w:pPr>
        <w:pStyle w:val="ParrafoGlosario"/>
        <w:rPr>
          <w:lang w:val="es-PE"/>
        </w:rPr>
      </w:pPr>
      <w:proofErr w:type="spellStart"/>
      <w:r w:rsidRPr="00DC1A5F">
        <w:rPr>
          <w:i/>
          <w:iCs/>
          <w:lang w:val="es-PE"/>
        </w:rPr>
        <w:t>nīharati</w:t>
      </w:r>
      <w:proofErr w:type="spellEnd"/>
      <w:r w:rsidRPr="00DC1A5F">
        <w:rPr>
          <w:lang w:val="es-PE"/>
        </w:rPr>
        <w:t xml:space="preserve">*— </w:t>
      </w:r>
      <w:r w:rsidRPr="00DC1A5F">
        <w:rPr>
          <w:i/>
          <w:iCs/>
          <w:lang w:val="es-PE"/>
        </w:rPr>
        <w:t>también</w:t>
      </w:r>
      <w:r w:rsidRPr="00DC1A5F">
        <w:rPr>
          <w:lang w:val="es-PE"/>
        </w:rPr>
        <w:t xml:space="preserve"> fijar: II.50</w:t>
      </w:r>
    </w:p>
    <w:p w14:paraId="41FBE3B3" w14:textId="77777777" w:rsidR="00597DE2" w:rsidRPr="00DC1A5F" w:rsidRDefault="00597DE2" w:rsidP="00597DE2">
      <w:pPr>
        <w:pStyle w:val="ParrafoGlosario"/>
        <w:rPr>
          <w:lang w:val="es-PE"/>
        </w:rPr>
      </w:pPr>
      <w:proofErr w:type="spellStart"/>
      <w:r w:rsidRPr="00DC1A5F">
        <w:rPr>
          <w:i/>
          <w:iCs/>
          <w:lang w:val="es-PE"/>
        </w:rPr>
        <w:t>nijjīva</w:t>
      </w:r>
      <w:proofErr w:type="spellEnd"/>
      <w:r w:rsidRPr="00DC1A5F">
        <w:rPr>
          <w:lang w:val="es-PE"/>
        </w:rPr>
        <w:t>— sin alma</w:t>
      </w:r>
    </w:p>
    <w:p w14:paraId="775B1EB1" w14:textId="77777777" w:rsidR="00597DE2" w:rsidRPr="00DC1A5F" w:rsidRDefault="00597DE2" w:rsidP="00597DE2">
      <w:pPr>
        <w:pStyle w:val="ParrafoGlosario"/>
        <w:rPr>
          <w:lang w:val="es-PE"/>
        </w:rPr>
      </w:pPr>
      <w:proofErr w:type="spellStart"/>
      <w:r w:rsidRPr="00DC1A5F">
        <w:rPr>
          <w:i/>
          <w:iCs/>
          <w:lang w:val="es-PE"/>
        </w:rPr>
        <w:t>nikanti</w:t>
      </w:r>
      <w:proofErr w:type="spellEnd"/>
      <w:r w:rsidRPr="00DC1A5F">
        <w:rPr>
          <w:lang w:val="es-PE"/>
        </w:rPr>
        <w:t>— apego, atracción</w:t>
      </w:r>
    </w:p>
    <w:p w14:paraId="7DB5763E" w14:textId="77777777" w:rsidR="00597DE2" w:rsidRPr="00DC1A5F" w:rsidRDefault="00597DE2" w:rsidP="00597DE2">
      <w:pPr>
        <w:pStyle w:val="ParrafoGlosario"/>
        <w:rPr>
          <w:lang w:val="es-PE"/>
        </w:rPr>
      </w:pPr>
      <w:proofErr w:type="spellStart"/>
      <w:r w:rsidRPr="00DC1A5F">
        <w:rPr>
          <w:i/>
          <w:iCs/>
          <w:lang w:val="es-PE"/>
        </w:rPr>
        <w:t>nimitta</w:t>
      </w:r>
      <w:proofErr w:type="spellEnd"/>
      <w:r w:rsidRPr="00DC1A5F">
        <w:rPr>
          <w:lang w:val="es-PE"/>
        </w:rPr>
        <w:t>— signo</w:t>
      </w:r>
    </w:p>
    <w:p w14:paraId="358611CC" w14:textId="77777777" w:rsidR="00597DE2" w:rsidRPr="00DC1A5F" w:rsidRDefault="00597DE2" w:rsidP="00597DE2">
      <w:pPr>
        <w:pStyle w:val="ParrafoGlosario"/>
        <w:rPr>
          <w:lang w:val="es-PE"/>
        </w:rPr>
      </w:pPr>
      <w:proofErr w:type="spellStart"/>
      <w:r w:rsidRPr="00DC1A5F">
        <w:rPr>
          <w:i/>
          <w:iCs/>
          <w:lang w:val="es-PE"/>
        </w:rPr>
        <w:t>nippadesa</w:t>
      </w:r>
      <w:proofErr w:type="spellEnd"/>
      <w:r w:rsidRPr="00DC1A5F">
        <w:rPr>
          <w:lang w:val="es-PE"/>
        </w:rPr>
        <w:t>*— comprensivo: XVI.95</w:t>
      </w:r>
    </w:p>
    <w:p w14:paraId="7365A0E3" w14:textId="77777777" w:rsidR="00597DE2" w:rsidRPr="00DC1A5F" w:rsidRDefault="00597DE2" w:rsidP="00597DE2">
      <w:pPr>
        <w:pStyle w:val="ParrafoGlosario"/>
        <w:rPr>
          <w:lang w:val="es-PE"/>
        </w:rPr>
      </w:pPr>
      <w:proofErr w:type="spellStart"/>
      <w:r w:rsidRPr="00DC1A5F">
        <w:rPr>
          <w:i/>
          <w:iCs/>
          <w:lang w:val="es-PE"/>
        </w:rPr>
        <w:t>nippeseti</w:t>
      </w:r>
      <w:proofErr w:type="spellEnd"/>
      <w:r w:rsidRPr="00DC1A5F">
        <w:rPr>
          <w:lang w:val="es-PE"/>
        </w:rPr>
        <w:t>*— raspar: I.81</w:t>
      </w:r>
    </w:p>
    <w:p w14:paraId="1CDA263E" w14:textId="77777777" w:rsidR="00597DE2" w:rsidRPr="00DC1A5F" w:rsidRDefault="00597DE2" w:rsidP="00597DE2">
      <w:pPr>
        <w:pStyle w:val="ParrafoGlosario"/>
        <w:rPr>
          <w:lang w:val="es-PE"/>
        </w:rPr>
      </w:pPr>
      <w:proofErr w:type="spellStart"/>
      <w:r w:rsidRPr="00DC1A5F">
        <w:rPr>
          <w:i/>
          <w:iCs/>
          <w:lang w:val="es-PE"/>
        </w:rPr>
        <w:t>nippesikatā</w:t>
      </w:r>
      <w:proofErr w:type="spellEnd"/>
      <w:r w:rsidRPr="00DC1A5F">
        <w:rPr>
          <w:lang w:val="es-PE"/>
        </w:rPr>
        <w:t>*— menospreciar (no así en el PED): I.64 (M III 75)</w:t>
      </w:r>
    </w:p>
    <w:p w14:paraId="77F9E313" w14:textId="77777777" w:rsidR="00597DE2" w:rsidRPr="00DC1A5F" w:rsidRDefault="00597DE2" w:rsidP="00597DE2">
      <w:pPr>
        <w:pStyle w:val="ParrafoGlosario"/>
        <w:rPr>
          <w:lang w:val="es-PE"/>
        </w:rPr>
      </w:pPr>
      <w:proofErr w:type="spellStart"/>
      <w:r w:rsidRPr="00DC1A5F">
        <w:rPr>
          <w:i/>
          <w:iCs/>
          <w:lang w:val="es-PE"/>
        </w:rPr>
        <w:t>nipphanna</w:t>
      </w:r>
      <w:proofErr w:type="spellEnd"/>
      <w:r w:rsidRPr="00DC1A5F">
        <w:rPr>
          <w:lang w:val="es-PE"/>
        </w:rPr>
        <w:t>*— producido (término para determinado tipo de materialidad derivada)</w:t>
      </w:r>
    </w:p>
    <w:p w14:paraId="488945D7" w14:textId="77777777" w:rsidR="00597DE2" w:rsidRPr="00DC1A5F" w:rsidRDefault="00597DE2" w:rsidP="00597DE2">
      <w:pPr>
        <w:pStyle w:val="ParrafoGlosario"/>
        <w:rPr>
          <w:lang w:val="es-PE"/>
        </w:rPr>
      </w:pPr>
      <w:proofErr w:type="spellStart"/>
      <w:r w:rsidRPr="00DC1A5F">
        <w:rPr>
          <w:i/>
          <w:iCs/>
          <w:lang w:val="es-PE"/>
        </w:rPr>
        <w:t>nippharipphanda</w:t>
      </w:r>
      <w:proofErr w:type="spellEnd"/>
      <w:r w:rsidRPr="00DC1A5F">
        <w:rPr>
          <w:lang w:val="es-PE"/>
        </w:rPr>
        <w:t>*— inactivo: V.4</w:t>
      </w:r>
    </w:p>
    <w:p w14:paraId="55491F59" w14:textId="77777777" w:rsidR="00597DE2" w:rsidRPr="00DC1A5F" w:rsidRDefault="00597DE2" w:rsidP="00597DE2">
      <w:pPr>
        <w:pStyle w:val="ParrafoGlosario"/>
        <w:rPr>
          <w:lang w:val="es-PE"/>
        </w:rPr>
      </w:pPr>
      <w:proofErr w:type="spellStart"/>
      <w:r w:rsidRPr="00DC1A5F">
        <w:rPr>
          <w:i/>
          <w:iCs/>
          <w:lang w:val="es-PE"/>
        </w:rPr>
        <w:t>nippiṃsati</w:t>
      </w:r>
      <w:proofErr w:type="spellEnd"/>
      <w:r w:rsidRPr="00DC1A5F">
        <w:rPr>
          <w:lang w:val="es-PE"/>
        </w:rPr>
        <w:t>*— raspar, moler: I.81</w:t>
      </w:r>
    </w:p>
    <w:p w14:paraId="714475CA" w14:textId="77777777" w:rsidR="00597DE2" w:rsidRPr="00DC1A5F" w:rsidRDefault="00597DE2" w:rsidP="00597DE2">
      <w:pPr>
        <w:pStyle w:val="ParrafoGlosario"/>
        <w:rPr>
          <w:lang w:val="es-PE"/>
        </w:rPr>
      </w:pPr>
      <w:proofErr w:type="spellStart"/>
      <w:r w:rsidRPr="00DC1A5F">
        <w:rPr>
          <w:i/>
          <w:iCs/>
          <w:lang w:val="es-PE"/>
        </w:rPr>
        <w:t>nippuñchati</w:t>
      </w:r>
      <w:proofErr w:type="spellEnd"/>
      <w:r w:rsidRPr="00DC1A5F">
        <w:rPr>
          <w:lang w:val="es-PE"/>
        </w:rPr>
        <w:t>*— limpiar, borrar: I.81</w:t>
      </w:r>
    </w:p>
    <w:p w14:paraId="6A67CC21" w14:textId="77777777" w:rsidR="00597DE2" w:rsidRPr="00DC1A5F" w:rsidRDefault="00597DE2" w:rsidP="00597DE2">
      <w:pPr>
        <w:pStyle w:val="ParrafoGlosario"/>
        <w:rPr>
          <w:lang w:val="es-PE"/>
        </w:rPr>
      </w:pPr>
      <w:proofErr w:type="spellStart"/>
      <w:r w:rsidRPr="00DC1A5F">
        <w:rPr>
          <w:i/>
          <w:iCs/>
          <w:lang w:val="es-PE"/>
        </w:rPr>
        <w:t>nirodha</w:t>
      </w:r>
      <w:proofErr w:type="spellEnd"/>
      <w:r w:rsidRPr="00DC1A5F">
        <w:rPr>
          <w:lang w:val="es-PE"/>
        </w:rPr>
        <w:t>— cesación</w:t>
      </w:r>
    </w:p>
    <w:p w14:paraId="2B0EF0AC" w14:textId="77777777" w:rsidR="00597DE2" w:rsidRPr="00DC1A5F" w:rsidRDefault="00597DE2" w:rsidP="00597DE2">
      <w:pPr>
        <w:pStyle w:val="ParrafoGlosario"/>
        <w:rPr>
          <w:lang w:val="es-PE"/>
        </w:rPr>
      </w:pPr>
      <w:proofErr w:type="spellStart"/>
      <w:r w:rsidRPr="00DC1A5F">
        <w:rPr>
          <w:i/>
          <w:iCs/>
          <w:lang w:val="es-PE"/>
        </w:rPr>
        <w:t>nirutti</w:t>
      </w:r>
      <w:proofErr w:type="spellEnd"/>
      <w:r w:rsidRPr="00DC1A5F">
        <w:rPr>
          <w:lang w:val="es-PE"/>
        </w:rPr>
        <w:t>— lenguaje</w:t>
      </w:r>
    </w:p>
    <w:p w14:paraId="7733B26D" w14:textId="77777777" w:rsidR="00597DE2" w:rsidRPr="00DC1A5F" w:rsidRDefault="00597DE2" w:rsidP="00597DE2">
      <w:pPr>
        <w:pStyle w:val="ParrafoGlosario"/>
        <w:rPr>
          <w:lang w:val="es-PE"/>
        </w:rPr>
      </w:pPr>
      <w:proofErr w:type="spellStart"/>
      <w:r w:rsidRPr="00DC1A5F">
        <w:rPr>
          <w:i/>
          <w:iCs/>
          <w:lang w:val="es-PE"/>
        </w:rPr>
        <w:t>nissaraṇa</w:t>
      </w:r>
      <w:proofErr w:type="spellEnd"/>
      <w:r w:rsidRPr="00DC1A5F">
        <w:rPr>
          <w:lang w:val="es-PE"/>
        </w:rPr>
        <w:t xml:space="preserve">— escape (de las contaminaciones por medio del </w:t>
      </w:r>
      <w:r w:rsidRPr="00DC1A5F">
        <w:rPr>
          <w:i/>
          <w:iCs/>
          <w:lang w:val="es-PE"/>
        </w:rPr>
        <w:t>Nibbāna</w:t>
      </w:r>
      <w:r w:rsidRPr="00DC1A5F">
        <w:rPr>
          <w:lang w:val="es-PE"/>
        </w:rPr>
        <w:t>)</w:t>
      </w:r>
    </w:p>
    <w:p w14:paraId="1550E56E" w14:textId="77777777" w:rsidR="00597DE2" w:rsidRPr="00DC1A5F" w:rsidRDefault="00597DE2" w:rsidP="00597DE2">
      <w:pPr>
        <w:pStyle w:val="ParrafoGlosario"/>
        <w:rPr>
          <w:lang w:val="es-PE"/>
        </w:rPr>
      </w:pPr>
      <w:proofErr w:type="spellStart"/>
      <w:r w:rsidRPr="00DC1A5F">
        <w:rPr>
          <w:i/>
          <w:iCs/>
          <w:lang w:val="es-PE"/>
        </w:rPr>
        <w:t>nissatta</w:t>
      </w:r>
      <w:proofErr w:type="spellEnd"/>
      <w:r w:rsidRPr="00DC1A5F">
        <w:rPr>
          <w:lang w:val="es-PE"/>
        </w:rPr>
        <w:t>— no–un–ser–viviente</w:t>
      </w:r>
    </w:p>
    <w:p w14:paraId="5B7E5ABE" w14:textId="77777777" w:rsidR="00597DE2" w:rsidRPr="00DC1A5F" w:rsidRDefault="00597DE2" w:rsidP="00597DE2">
      <w:pPr>
        <w:pStyle w:val="ParrafoGlosario"/>
        <w:rPr>
          <w:lang w:val="es-PE"/>
        </w:rPr>
      </w:pPr>
      <w:proofErr w:type="spellStart"/>
      <w:r w:rsidRPr="00DC1A5F">
        <w:rPr>
          <w:i/>
          <w:iCs/>
          <w:lang w:val="es-PE"/>
        </w:rPr>
        <w:t>nissaya</w:t>
      </w:r>
      <w:proofErr w:type="spellEnd"/>
      <w:r w:rsidRPr="00DC1A5F">
        <w:rPr>
          <w:lang w:val="es-PE"/>
        </w:rPr>
        <w:t>— (1) soporte, (2) la dependencia (ofrecida por el maestro al discípulo)</w:t>
      </w:r>
    </w:p>
    <w:p w14:paraId="196C0431" w14:textId="77777777" w:rsidR="00597DE2" w:rsidRPr="00DC1A5F" w:rsidRDefault="00597DE2" w:rsidP="00597DE2">
      <w:pPr>
        <w:pStyle w:val="ParrafoGlosario"/>
        <w:rPr>
          <w:lang w:val="es-PE"/>
        </w:rPr>
      </w:pPr>
      <w:proofErr w:type="spellStart"/>
      <w:r w:rsidRPr="00DC1A5F">
        <w:rPr>
          <w:i/>
          <w:iCs/>
          <w:lang w:val="es-PE"/>
        </w:rPr>
        <w:t>nīvaraṇa</w:t>
      </w:r>
      <w:proofErr w:type="spellEnd"/>
      <w:r w:rsidRPr="00DC1A5F">
        <w:rPr>
          <w:lang w:val="es-PE"/>
        </w:rPr>
        <w:t>— obstáculo (los 5 o los 7)</w:t>
      </w:r>
    </w:p>
    <w:p w14:paraId="5FE9851F" w14:textId="77777777" w:rsidR="00597DE2" w:rsidRPr="00DC1A5F" w:rsidRDefault="00597DE2" w:rsidP="00597DE2">
      <w:pPr>
        <w:pStyle w:val="ParrafoGlosario"/>
        <w:rPr>
          <w:lang w:val="es-PE"/>
        </w:rPr>
      </w:pPr>
      <w:proofErr w:type="spellStart"/>
      <w:r w:rsidRPr="00DC1A5F">
        <w:rPr>
          <w:i/>
          <w:iCs/>
          <w:lang w:val="es-PE"/>
        </w:rPr>
        <w:t>niyati</w:t>
      </w:r>
      <w:proofErr w:type="spellEnd"/>
      <w:r w:rsidRPr="00DC1A5F">
        <w:rPr>
          <w:i/>
          <w:iCs/>
          <w:lang w:val="es-PE"/>
        </w:rPr>
        <w:t>–</w:t>
      </w:r>
      <w:proofErr w:type="spellStart"/>
      <w:r w:rsidRPr="00DC1A5F">
        <w:rPr>
          <w:i/>
          <w:iCs/>
          <w:lang w:val="es-PE"/>
        </w:rPr>
        <w:t>vāda</w:t>
      </w:r>
      <w:proofErr w:type="spellEnd"/>
      <w:r w:rsidRPr="00DC1A5F">
        <w:rPr>
          <w:lang w:val="es-PE"/>
        </w:rPr>
        <w:t>— determinismo, fatalismo</w:t>
      </w:r>
    </w:p>
    <w:p w14:paraId="1CA4CE61" w14:textId="77777777" w:rsidR="00597DE2" w:rsidRPr="00DC1A5F" w:rsidRDefault="00597DE2" w:rsidP="00597DE2">
      <w:pPr>
        <w:pStyle w:val="ParrafoGlosario"/>
        <w:rPr>
          <w:lang w:val="es-PE"/>
        </w:rPr>
      </w:pPr>
      <w:proofErr w:type="spellStart"/>
      <w:r w:rsidRPr="00DC1A5F">
        <w:rPr>
          <w:i/>
          <w:iCs/>
          <w:lang w:val="es-PE"/>
        </w:rPr>
        <w:t>niyyāna</w:t>
      </w:r>
      <w:proofErr w:type="spellEnd"/>
      <w:r w:rsidRPr="00DC1A5F">
        <w:rPr>
          <w:lang w:val="es-PE"/>
        </w:rPr>
        <w:t>— salida, escape (del ciclo de renacimientos; término para el sendero)</w:t>
      </w:r>
    </w:p>
    <w:p w14:paraId="798E2A17" w14:textId="77777777" w:rsidR="00597DE2" w:rsidRPr="00DC1A5F" w:rsidRDefault="00597DE2" w:rsidP="00597DE2">
      <w:pPr>
        <w:pStyle w:val="ParrafoGlosario"/>
        <w:rPr>
          <w:lang w:val="es-PE"/>
        </w:rPr>
      </w:pPr>
      <w:r w:rsidRPr="00DC1A5F">
        <w:rPr>
          <w:i/>
          <w:iCs/>
          <w:lang w:val="es-PE"/>
        </w:rPr>
        <w:t>ñāṇa</w:t>
      </w:r>
      <w:r w:rsidRPr="00DC1A5F">
        <w:rPr>
          <w:lang w:val="es-PE"/>
        </w:rPr>
        <w:t>— conocimiento (en general)</w:t>
      </w:r>
    </w:p>
    <w:p w14:paraId="5DF19FC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obhagga</w:t>
      </w:r>
      <w:proofErr w:type="spellEnd"/>
      <w:r w:rsidRPr="00DC1A5F">
        <w:rPr>
          <w:i/>
          <w:iCs/>
          <w:sz w:val="15"/>
          <w:szCs w:val="15"/>
          <w:lang w:val="es-PE"/>
        </w:rPr>
        <w:t>*</w:t>
      </w:r>
      <w:r w:rsidRPr="00DC1A5F">
        <w:rPr>
          <w:sz w:val="15"/>
          <w:szCs w:val="15"/>
          <w:lang w:val="es-PE"/>
        </w:rPr>
        <w:t>— bucle: VIII.118; XI.64</w:t>
      </w:r>
    </w:p>
    <w:p w14:paraId="198C6799"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obhañjati</w:t>
      </w:r>
      <w:proofErr w:type="spellEnd"/>
      <w:r w:rsidRPr="00DC1A5F">
        <w:rPr>
          <w:i/>
          <w:iCs/>
          <w:sz w:val="15"/>
          <w:szCs w:val="15"/>
          <w:lang w:val="es-PE"/>
        </w:rPr>
        <w:t>*</w:t>
      </w:r>
      <w:r w:rsidRPr="00DC1A5F">
        <w:rPr>
          <w:sz w:val="15"/>
          <w:szCs w:val="15"/>
          <w:lang w:val="es-PE"/>
        </w:rPr>
        <w:t xml:space="preserve"> (u </w:t>
      </w:r>
      <w:proofErr w:type="spellStart"/>
      <w:r w:rsidRPr="00DC1A5F">
        <w:rPr>
          <w:i/>
          <w:iCs/>
          <w:sz w:val="15"/>
          <w:szCs w:val="15"/>
          <w:lang w:val="es-PE"/>
        </w:rPr>
        <w:t>obhuñjati</w:t>
      </w:r>
      <w:proofErr w:type="spellEnd"/>
      <w:r w:rsidRPr="00DC1A5F">
        <w:rPr>
          <w:sz w:val="15"/>
          <w:szCs w:val="15"/>
          <w:lang w:val="es-PE"/>
        </w:rPr>
        <w:t xml:space="preserve">)— enrollarse, plegarse: XI.64 </w:t>
      </w:r>
    </w:p>
    <w:p w14:paraId="3A6F102E"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obhāsa</w:t>
      </w:r>
      <w:proofErr w:type="spellEnd"/>
      <w:r w:rsidRPr="00DC1A5F">
        <w:rPr>
          <w:sz w:val="15"/>
          <w:szCs w:val="15"/>
          <w:lang w:val="es-PE"/>
        </w:rPr>
        <w:t>— iluminación</w:t>
      </w:r>
    </w:p>
    <w:p w14:paraId="51CC8602"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ogaḷati</w:t>
      </w:r>
      <w:proofErr w:type="spellEnd"/>
      <w:r w:rsidRPr="00DC1A5F">
        <w:rPr>
          <w:i/>
          <w:iCs/>
          <w:sz w:val="15"/>
          <w:szCs w:val="15"/>
          <w:lang w:val="es-PE"/>
        </w:rPr>
        <w:t>*</w:t>
      </w:r>
      <w:r w:rsidRPr="00DC1A5F">
        <w:rPr>
          <w:sz w:val="15"/>
          <w:szCs w:val="15"/>
          <w:lang w:val="es-PE"/>
        </w:rPr>
        <w:t>— correr hacia abajo: VIII.124</w:t>
      </w:r>
    </w:p>
    <w:p w14:paraId="2E3DD7A4"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ogha</w:t>
      </w:r>
      <w:proofErr w:type="spellEnd"/>
      <w:r w:rsidRPr="00DC1A5F">
        <w:rPr>
          <w:sz w:val="15"/>
          <w:szCs w:val="15"/>
          <w:lang w:val="es-PE"/>
        </w:rPr>
        <w:t>— inundación (el 4)</w:t>
      </w:r>
    </w:p>
    <w:p w14:paraId="15866B0C"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ojā</w:t>
      </w:r>
      <w:proofErr w:type="spellEnd"/>
      <w:r w:rsidRPr="00DC1A5F">
        <w:rPr>
          <w:sz w:val="15"/>
          <w:szCs w:val="15"/>
          <w:lang w:val="es-PE"/>
        </w:rPr>
        <w:t>— esencia nutriente, metabolismo</w:t>
      </w:r>
    </w:p>
    <w:p w14:paraId="60C5753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ojaṭṭhamaka</w:t>
      </w:r>
      <w:proofErr w:type="spellEnd"/>
      <w:r w:rsidRPr="00DC1A5F">
        <w:rPr>
          <w:sz w:val="15"/>
          <w:szCs w:val="15"/>
          <w:lang w:val="es-PE"/>
        </w:rPr>
        <w:t>— óctuplo material con la esencia nutriente como la octava</w:t>
      </w:r>
    </w:p>
    <w:p w14:paraId="122F82C0"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okāsa</w:t>
      </w:r>
      <w:proofErr w:type="spellEnd"/>
      <w:r w:rsidRPr="00DC1A5F">
        <w:rPr>
          <w:sz w:val="15"/>
          <w:szCs w:val="15"/>
          <w:lang w:val="es-PE"/>
        </w:rPr>
        <w:t>— (1) ubicación, (2) oportunidad</w:t>
      </w:r>
    </w:p>
    <w:p w14:paraId="43B7AE3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okāseti</w:t>
      </w:r>
      <w:proofErr w:type="spellEnd"/>
      <w:r w:rsidRPr="00DC1A5F">
        <w:rPr>
          <w:sz w:val="15"/>
          <w:szCs w:val="15"/>
          <w:lang w:val="es-PE"/>
        </w:rPr>
        <w:t>*— esparcirse (no así en el PED): XII.85 (S IV 190)</w:t>
      </w:r>
    </w:p>
    <w:p w14:paraId="78A2F26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okkhandhati</w:t>
      </w:r>
      <w:proofErr w:type="spellEnd"/>
      <w:r w:rsidRPr="00DC1A5F">
        <w:rPr>
          <w:i/>
          <w:iCs/>
          <w:sz w:val="15"/>
          <w:szCs w:val="15"/>
          <w:lang w:val="es-PE"/>
        </w:rPr>
        <w:t>*</w:t>
      </w:r>
      <w:r w:rsidRPr="00DC1A5F">
        <w:rPr>
          <w:sz w:val="15"/>
          <w:szCs w:val="15"/>
          <w:lang w:val="es-PE"/>
        </w:rPr>
        <w:t>— descender a: XX.120; XXII.34</w:t>
      </w:r>
    </w:p>
    <w:p w14:paraId="1E3A60BE"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oḷārika</w:t>
      </w:r>
      <w:proofErr w:type="spellEnd"/>
      <w:r w:rsidRPr="00DC1A5F">
        <w:rPr>
          <w:sz w:val="15"/>
          <w:szCs w:val="15"/>
          <w:lang w:val="es-PE"/>
        </w:rPr>
        <w:t>— denso, burdo</w:t>
      </w:r>
    </w:p>
    <w:p w14:paraId="409E0E4C"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omatta</w:t>
      </w:r>
      <w:proofErr w:type="spellEnd"/>
      <w:r w:rsidRPr="00DC1A5F">
        <w:rPr>
          <w:i/>
          <w:iCs/>
          <w:sz w:val="15"/>
          <w:szCs w:val="15"/>
          <w:lang w:val="es-PE"/>
        </w:rPr>
        <w:t>*</w:t>
      </w:r>
      <w:r w:rsidRPr="00DC1A5F">
        <w:rPr>
          <w:sz w:val="15"/>
          <w:szCs w:val="15"/>
          <w:lang w:val="es-PE"/>
        </w:rPr>
        <w:t>— subordinado: XX.64</w:t>
      </w:r>
    </w:p>
    <w:p w14:paraId="0A975912"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opapātika</w:t>
      </w:r>
      <w:proofErr w:type="spellEnd"/>
      <w:r w:rsidRPr="00DC1A5F">
        <w:rPr>
          <w:sz w:val="15"/>
          <w:szCs w:val="15"/>
          <w:lang w:val="es-PE"/>
        </w:rPr>
        <w:t>— renacido aparicionalmente</w:t>
      </w:r>
    </w:p>
    <w:p w14:paraId="6B40CABF"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oruhati</w:t>
      </w:r>
      <w:proofErr w:type="spellEnd"/>
      <w:r w:rsidRPr="00DC1A5F">
        <w:rPr>
          <w:sz w:val="15"/>
          <w:szCs w:val="15"/>
          <w:lang w:val="es-PE"/>
        </w:rPr>
        <w:t>*— bajar: IV.64</w:t>
      </w:r>
    </w:p>
    <w:p w14:paraId="2FAEFEF8"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ottappa</w:t>
      </w:r>
      <w:proofErr w:type="spellEnd"/>
      <w:r w:rsidRPr="00DC1A5F">
        <w:rPr>
          <w:sz w:val="15"/>
          <w:szCs w:val="15"/>
          <w:lang w:val="es-PE"/>
        </w:rPr>
        <w:t>— vergüenza</w:t>
      </w:r>
    </w:p>
    <w:p w14:paraId="6778340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ovaṭṭha</w:t>
      </w:r>
      <w:proofErr w:type="spellEnd"/>
      <w:r w:rsidRPr="00DC1A5F">
        <w:rPr>
          <w:i/>
          <w:iCs/>
          <w:sz w:val="15"/>
          <w:szCs w:val="15"/>
          <w:lang w:val="es-PE"/>
        </w:rPr>
        <w:t>*</w:t>
      </w:r>
      <w:r w:rsidRPr="00DC1A5F">
        <w:rPr>
          <w:sz w:val="15"/>
          <w:szCs w:val="15"/>
          <w:lang w:val="es-PE"/>
        </w:rPr>
        <w:t>— vertido: XI.72</w:t>
      </w:r>
    </w:p>
    <w:p w14:paraId="0971CD43" w14:textId="77777777" w:rsidR="00597DE2" w:rsidRPr="00DC1A5F" w:rsidRDefault="00597DE2" w:rsidP="00597DE2">
      <w:pPr>
        <w:pStyle w:val="ParrafoGlosario"/>
        <w:rPr>
          <w:lang w:val="es-PE"/>
        </w:rPr>
      </w:pPr>
      <w:proofErr w:type="spellStart"/>
      <w:r w:rsidRPr="00DC1A5F">
        <w:rPr>
          <w:i/>
          <w:iCs/>
          <w:lang w:val="es-PE"/>
        </w:rPr>
        <w:t>pabbhāra</w:t>
      </w:r>
      <w:proofErr w:type="spellEnd"/>
      <w:r w:rsidRPr="00DC1A5F">
        <w:rPr>
          <w:lang w:val="es-PE"/>
        </w:rPr>
        <w:t xml:space="preserve">*— </w:t>
      </w:r>
      <w:r w:rsidRPr="00DC1A5F">
        <w:rPr>
          <w:i/>
          <w:iCs/>
          <w:lang w:val="es-PE"/>
        </w:rPr>
        <w:t>también</w:t>
      </w:r>
      <w:r w:rsidRPr="00DC1A5F">
        <w:rPr>
          <w:lang w:val="es-PE"/>
        </w:rPr>
        <w:t xml:space="preserve"> saliente de una roca: II.61</w:t>
      </w:r>
    </w:p>
    <w:p w14:paraId="6DDC4473" w14:textId="77777777" w:rsidR="00597DE2" w:rsidRPr="00DC1A5F" w:rsidRDefault="00597DE2" w:rsidP="00597DE2">
      <w:pPr>
        <w:pStyle w:val="ParrafoGlosario"/>
        <w:rPr>
          <w:lang w:val="es-PE"/>
        </w:rPr>
      </w:pPr>
      <w:proofErr w:type="spellStart"/>
      <w:r w:rsidRPr="00DC1A5F">
        <w:rPr>
          <w:i/>
          <w:iCs/>
          <w:lang w:val="es-PE"/>
        </w:rPr>
        <w:t>pabhāvanā</w:t>
      </w:r>
      <w:proofErr w:type="spellEnd"/>
      <w:r w:rsidRPr="00DC1A5F">
        <w:rPr>
          <w:lang w:val="es-PE"/>
        </w:rPr>
        <w:t>*— producción: VIII.182 (</w:t>
      </w:r>
      <w:proofErr w:type="spellStart"/>
      <w:r w:rsidRPr="00DC1A5F">
        <w:rPr>
          <w:lang w:val="es-PE"/>
        </w:rPr>
        <w:t>Paṭis</w:t>
      </w:r>
      <w:proofErr w:type="spellEnd"/>
      <w:r w:rsidRPr="00DC1A5F">
        <w:rPr>
          <w:lang w:val="es-PE"/>
        </w:rPr>
        <w:t xml:space="preserve"> I 184)</w:t>
      </w:r>
    </w:p>
    <w:p w14:paraId="363AEA10" w14:textId="77777777" w:rsidR="00597DE2" w:rsidRPr="00DC1A5F" w:rsidRDefault="00597DE2" w:rsidP="00597DE2">
      <w:pPr>
        <w:pStyle w:val="ParrafoGlosario"/>
        <w:rPr>
          <w:lang w:val="es-PE"/>
        </w:rPr>
      </w:pPr>
      <w:proofErr w:type="spellStart"/>
      <w:r w:rsidRPr="00DC1A5F">
        <w:rPr>
          <w:i/>
          <w:iCs/>
          <w:lang w:val="es-PE"/>
        </w:rPr>
        <w:t>pabheda</w:t>
      </w:r>
      <w:proofErr w:type="spellEnd"/>
      <w:r w:rsidRPr="00DC1A5F">
        <w:rPr>
          <w:lang w:val="es-PE"/>
        </w:rPr>
        <w:t xml:space="preserve">— clase, categoría </w:t>
      </w:r>
    </w:p>
    <w:p w14:paraId="0D322C13" w14:textId="77777777" w:rsidR="00597DE2" w:rsidRDefault="00597DE2" w:rsidP="00597DE2">
      <w:pPr>
        <w:pStyle w:val="ParrafoGlosario"/>
        <w:rPr>
          <w:lang w:val="es-PE"/>
        </w:rPr>
      </w:pPr>
      <w:proofErr w:type="spellStart"/>
      <w:r w:rsidRPr="00DC1A5F">
        <w:rPr>
          <w:i/>
          <w:iCs/>
          <w:lang w:val="es-PE"/>
        </w:rPr>
        <w:t>pabhuti</w:t>
      </w:r>
      <w:proofErr w:type="spellEnd"/>
      <w:r w:rsidRPr="00DC1A5F">
        <w:rPr>
          <w:lang w:val="es-PE"/>
        </w:rPr>
        <w:t xml:space="preserve">*— </w:t>
      </w:r>
      <w:proofErr w:type="spellStart"/>
      <w:r w:rsidRPr="00DC1A5F">
        <w:rPr>
          <w:lang w:val="es-PE"/>
        </w:rPr>
        <w:t>var</w:t>
      </w:r>
      <w:proofErr w:type="spellEnd"/>
      <w:r w:rsidRPr="00DC1A5F">
        <w:rPr>
          <w:lang w:val="es-PE"/>
        </w:rPr>
        <w:t xml:space="preserve">. y así sucesivamente, etcétera (= </w:t>
      </w:r>
      <w:proofErr w:type="spellStart"/>
      <w:r w:rsidRPr="00DC1A5F">
        <w:rPr>
          <w:i/>
          <w:iCs/>
          <w:lang w:val="es-PE"/>
        </w:rPr>
        <w:t>ādi</w:t>
      </w:r>
      <w:proofErr w:type="spellEnd"/>
      <w:r w:rsidRPr="00DC1A5F">
        <w:rPr>
          <w:lang w:val="es-PE"/>
        </w:rPr>
        <w:t xml:space="preserve"> en ese sentido): VIII.17, 121; X.51, </w:t>
      </w:r>
      <w:proofErr w:type="spellStart"/>
      <w:r w:rsidRPr="00DC1A5F">
        <w:rPr>
          <w:lang w:val="es-PE"/>
        </w:rPr>
        <w:t>etc</w:t>
      </w:r>
      <w:proofErr w:type="spellEnd"/>
      <w:r>
        <w:rPr>
          <w:lang w:val="es-PE"/>
        </w:rPr>
        <w:br w:type="page"/>
      </w:r>
    </w:p>
    <w:p w14:paraId="58D19A96" w14:textId="77777777" w:rsidR="00597DE2" w:rsidRPr="00DC1A5F" w:rsidRDefault="00597DE2" w:rsidP="00597DE2">
      <w:pPr>
        <w:pStyle w:val="ParrafoGlosario"/>
        <w:rPr>
          <w:lang w:val="es-PE"/>
        </w:rPr>
      </w:pPr>
    </w:p>
    <w:p w14:paraId="7C24437B" w14:textId="77777777" w:rsidR="00597DE2" w:rsidRPr="00DC1A5F" w:rsidRDefault="00597DE2" w:rsidP="00597DE2">
      <w:pPr>
        <w:pStyle w:val="ParrafoGlosario"/>
        <w:rPr>
          <w:lang w:val="es-PE"/>
        </w:rPr>
      </w:pPr>
      <w:proofErr w:type="spellStart"/>
      <w:r w:rsidRPr="00DC1A5F">
        <w:rPr>
          <w:i/>
          <w:iCs/>
          <w:lang w:val="es-PE"/>
        </w:rPr>
        <w:t>paccakkha</w:t>
      </w:r>
      <w:proofErr w:type="spellEnd"/>
      <w:r w:rsidRPr="00DC1A5F">
        <w:rPr>
          <w:lang w:val="es-PE"/>
        </w:rPr>
        <w:t>— experiencia personal</w:t>
      </w:r>
    </w:p>
    <w:p w14:paraId="163DC178" w14:textId="77777777" w:rsidR="00597DE2" w:rsidRPr="00DC1A5F" w:rsidRDefault="00597DE2" w:rsidP="00597DE2">
      <w:pPr>
        <w:pStyle w:val="ParrafoGlosario"/>
        <w:rPr>
          <w:lang w:val="es-PE"/>
        </w:rPr>
      </w:pPr>
      <w:proofErr w:type="spellStart"/>
      <w:r w:rsidRPr="00DC1A5F">
        <w:rPr>
          <w:i/>
          <w:iCs/>
          <w:lang w:val="es-PE"/>
        </w:rPr>
        <w:t>paccatta</w:t>
      </w:r>
      <w:proofErr w:type="spellEnd"/>
      <w:r w:rsidRPr="00DC1A5F">
        <w:rPr>
          <w:lang w:val="es-PE"/>
        </w:rPr>
        <w:t>— para uno mismo</w:t>
      </w:r>
    </w:p>
    <w:p w14:paraId="5A33CEC4" w14:textId="77777777" w:rsidR="00597DE2" w:rsidRPr="00DC1A5F" w:rsidRDefault="00597DE2" w:rsidP="00597DE2">
      <w:pPr>
        <w:pStyle w:val="ParrafoGlosario"/>
        <w:rPr>
          <w:lang w:val="es-PE"/>
        </w:rPr>
      </w:pPr>
      <w:proofErr w:type="spellStart"/>
      <w:r w:rsidRPr="00DC1A5F">
        <w:rPr>
          <w:i/>
          <w:iCs/>
          <w:lang w:val="es-PE"/>
        </w:rPr>
        <w:t>paccavekkhaṇa</w:t>
      </w:r>
      <w:proofErr w:type="spellEnd"/>
      <w:r w:rsidRPr="00DC1A5F">
        <w:rPr>
          <w:lang w:val="es-PE"/>
        </w:rPr>
        <w:t xml:space="preserve">— </w:t>
      </w:r>
      <w:proofErr w:type="spellStart"/>
      <w:r w:rsidRPr="00DC1A5F">
        <w:rPr>
          <w:lang w:val="es-PE"/>
        </w:rPr>
        <w:t>examinanción</w:t>
      </w:r>
      <w:proofErr w:type="spellEnd"/>
      <w:r w:rsidRPr="00DC1A5F">
        <w:rPr>
          <w:lang w:val="es-PE"/>
        </w:rPr>
        <w:t>, examinar</w:t>
      </w:r>
    </w:p>
    <w:p w14:paraId="10901B8F" w14:textId="77777777" w:rsidR="00597DE2" w:rsidRPr="00DC1A5F" w:rsidRDefault="00597DE2" w:rsidP="00597DE2">
      <w:pPr>
        <w:pStyle w:val="ParrafoGlosario"/>
        <w:rPr>
          <w:lang w:val="es-PE"/>
        </w:rPr>
      </w:pPr>
      <w:proofErr w:type="spellStart"/>
      <w:r w:rsidRPr="00DC1A5F">
        <w:rPr>
          <w:i/>
          <w:iCs/>
          <w:lang w:val="es-PE"/>
        </w:rPr>
        <w:t>paccaya</w:t>
      </w:r>
      <w:proofErr w:type="spellEnd"/>
      <w:r w:rsidRPr="00DC1A5F">
        <w:rPr>
          <w:lang w:val="es-PE"/>
        </w:rPr>
        <w:t xml:space="preserve">— (1) condición (para lo que surja condicionalmente), (2) requisito (los 4 r. de un </w:t>
      </w:r>
      <w:proofErr w:type="spellStart"/>
      <w:r w:rsidRPr="00DC1A5F">
        <w:rPr>
          <w:i/>
          <w:iCs/>
          <w:lang w:val="es-PE"/>
        </w:rPr>
        <w:t>bhikkhu</w:t>
      </w:r>
      <w:proofErr w:type="spellEnd"/>
      <w:r w:rsidRPr="00DC1A5F">
        <w:rPr>
          <w:lang w:val="es-PE"/>
        </w:rPr>
        <w:t>)</w:t>
      </w:r>
    </w:p>
    <w:p w14:paraId="037DF513" w14:textId="77777777" w:rsidR="00597DE2" w:rsidRPr="00DC1A5F" w:rsidRDefault="00597DE2" w:rsidP="00597DE2">
      <w:pPr>
        <w:pStyle w:val="ParrafoGlosario"/>
        <w:rPr>
          <w:lang w:val="es-PE"/>
        </w:rPr>
      </w:pPr>
      <w:proofErr w:type="spellStart"/>
      <w:r w:rsidRPr="00DC1A5F">
        <w:rPr>
          <w:i/>
          <w:iCs/>
          <w:lang w:val="es-PE"/>
        </w:rPr>
        <w:t>paccayākāra</w:t>
      </w:r>
      <w:proofErr w:type="spellEnd"/>
      <w:r w:rsidRPr="00DC1A5F">
        <w:rPr>
          <w:lang w:val="es-PE"/>
        </w:rPr>
        <w:t>— estructura de las condiciones (término para la originación dependiente)</w:t>
      </w:r>
    </w:p>
    <w:p w14:paraId="122F8F41" w14:textId="77777777" w:rsidR="00597DE2" w:rsidRPr="00DC1A5F" w:rsidRDefault="00597DE2" w:rsidP="00597DE2">
      <w:pPr>
        <w:pStyle w:val="ParrafoGlosario"/>
        <w:rPr>
          <w:lang w:val="es-PE"/>
        </w:rPr>
      </w:pPr>
      <w:proofErr w:type="spellStart"/>
      <w:r w:rsidRPr="00DC1A5F">
        <w:rPr>
          <w:i/>
          <w:iCs/>
          <w:lang w:val="es-PE"/>
        </w:rPr>
        <w:t>paccaya</w:t>
      </w:r>
      <w:proofErr w:type="spellEnd"/>
      <w:r w:rsidRPr="00DC1A5F">
        <w:rPr>
          <w:i/>
          <w:iCs/>
          <w:lang w:val="es-PE"/>
        </w:rPr>
        <w:t>–</w:t>
      </w:r>
      <w:proofErr w:type="spellStart"/>
      <w:r w:rsidRPr="00DC1A5F">
        <w:rPr>
          <w:i/>
          <w:iCs/>
          <w:lang w:val="es-PE"/>
        </w:rPr>
        <w:t>pariggaha</w:t>
      </w:r>
      <w:proofErr w:type="spellEnd"/>
      <w:r w:rsidRPr="00DC1A5F">
        <w:rPr>
          <w:lang w:val="es-PE"/>
        </w:rPr>
        <w:t>— discernimiento de las condiciones</w:t>
      </w:r>
    </w:p>
    <w:p w14:paraId="459770AD" w14:textId="77777777" w:rsidR="00597DE2" w:rsidRPr="00DC1A5F" w:rsidRDefault="00597DE2" w:rsidP="00597DE2">
      <w:pPr>
        <w:pStyle w:val="ParrafoGlosario"/>
        <w:rPr>
          <w:lang w:val="es-PE"/>
        </w:rPr>
      </w:pPr>
      <w:proofErr w:type="spellStart"/>
      <w:r w:rsidRPr="00DC1A5F">
        <w:rPr>
          <w:i/>
          <w:iCs/>
          <w:lang w:val="es-PE"/>
        </w:rPr>
        <w:t>paccuppanna</w:t>
      </w:r>
      <w:proofErr w:type="spellEnd"/>
      <w:r w:rsidRPr="00DC1A5F">
        <w:rPr>
          <w:lang w:val="es-PE"/>
        </w:rPr>
        <w:t>— presente, surgido en el presente</w:t>
      </w:r>
    </w:p>
    <w:p w14:paraId="5DCA824D" w14:textId="77777777" w:rsidR="00597DE2" w:rsidRPr="00DC1A5F" w:rsidRDefault="00597DE2" w:rsidP="00597DE2">
      <w:pPr>
        <w:pStyle w:val="ParrafoGlosario"/>
        <w:rPr>
          <w:lang w:val="es-PE"/>
        </w:rPr>
      </w:pPr>
      <w:proofErr w:type="spellStart"/>
      <w:r w:rsidRPr="00DC1A5F">
        <w:rPr>
          <w:i/>
          <w:iCs/>
          <w:lang w:val="es-PE"/>
        </w:rPr>
        <w:t>padhāna</w:t>
      </w:r>
      <w:proofErr w:type="spellEnd"/>
      <w:r w:rsidRPr="00DC1A5F">
        <w:rPr>
          <w:lang w:val="es-PE"/>
        </w:rPr>
        <w:t>— (1) empeño, esfuerzo, (2) básico</w:t>
      </w:r>
    </w:p>
    <w:p w14:paraId="3CF59B90" w14:textId="77777777" w:rsidR="00597DE2" w:rsidRPr="00DC1A5F" w:rsidRDefault="00597DE2" w:rsidP="00597DE2">
      <w:pPr>
        <w:pStyle w:val="ParrafoGlosario"/>
        <w:rPr>
          <w:lang w:val="es-PE"/>
        </w:rPr>
      </w:pPr>
      <w:proofErr w:type="spellStart"/>
      <w:r w:rsidRPr="00DC1A5F">
        <w:rPr>
          <w:i/>
          <w:iCs/>
          <w:lang w:val="es-PE"/>
        </w:rPr>
        <w:t>padhāna</w:t>
      </w:r>
      <w:proofErr w:type="spellEnd"/>
      <w:r w:rsidRPr="00DC1A5F">
        <w:rPr>
          <w:lang w:val="es-PE"/>
        </w:rPr>
        <w:t xml:space="preserve">*— Principio </w:t>
      </w:r>
      <w:proofErr w:type="spellStart"/>
      <w:r w:rsidRPr="00DC1A5F">
        <w:rPr>
          <w:lang w:val="es-PE"/>
        </w:rPr>
        <w:t>bāsico</w:t>
      </w:r>
      <w:proofErr w:type="spellEnd"/>
      <w:r w:rsidRPr="00DC1A5F">
        <w:rPr>
          <w:lang w:val="es-PE"/>
        </w:rPr>
        <w:t xml:space="preserve">, </w:t>
      </w:r>
      <w:proofErr w:type="spellStart"/>
      <w:r w:rsidRPr="00DC1A5F">
        <w:rPr>
          <w:lang w:val="es-PE"/>
        </w:rPr>
        <w:t>Pradhāna</w:t>
      </w:r>
      <w:proofErr w:type="spellEnd"/>
      <w:r w:rsidRPr="00DC1A5F">
        <w:rPr>
          <w:lang w:val="es-PE"/>
        </w:rPr>
        <w:t>: XVI.85</w:t>
      </w:r>
    </w:p>
    <w:p w14:paraId="355DCA1D" w14:textId="77777777" w:rsidR="00597DE2" w:rsidRPr="00DC1A5F" w:rsidRDefault="00597DE2" w:rsidP="00597DE2">
      <w:pPr>
        <w:pStyle w:val="ParrafoGlosario"/>
        <w:rPr>
          <w:lang w:val="es-PE"/>
        </w:rPr>
      </w:pPr>
      <w:proofErr w:type="spellStart"/>
      <w:r w:rsidRPr="00DC1A5F">
        <w:rPr>
          <w:i/>
          <w:iCs/>
          <w:lang w:val="es-PE"/>
        </w:rPr>
        <w:t>pāduddhāra</w:t>
      </w:r>
      <w:proofErr w:type="spellEnd"/>
      <w:r w:rsidRPr="00DC1A5F">
        <w:rPr>
          <w:lang w:val="es-PE"/>
        </w:rPr>
        <w:t>— paso, levantar el pie</w:t>
      </w:r>
    </w:p>
    <w:p w14:paraId="6A1F9C77" w14:textId="77777777" w:rsidR="00597DE2" w:rsidRPr="00DC1A5F" w:rsidRDefault="00597DE2" w:rsidP="00597DE2">
      <w:pPr>
        <w:pStyle w:val="ParrafoGlosario"/>
        <w:rPr>
          <w:lang w:val="es-PE"/>
        </w:rPr>
      </w:pPr>
      <w:proofErr w:type="spellStart"/>
      <w:r w:rsidRPr="00DC1A5F">
        <w:rPr>
          <w:i/>
          <w:iCs/>
          <w:lang w:val="es-PE"/>
        </w:rPr>
        <w:t>pāguññatā</w:t>
      </w:r>
      <w:proofErr w:type="spellEnd"/>
      <w:r w:rsidRPr="00DC1A5F">
        <w:rPr>
          <w:lang w:val="es-PE"/>
        </w:rPr>
        <w:t>— competencia</w:t>
      </w:r>
    </w:p>
    <w:p w14:paraId="59C26A94" w14:textId="77777777" w:rsidR="00597DE2" w:rsidRPr="00DC1A5F" w:rsidRDefault="00597DE2" w:rsidP="00597DE2">
      <w:pPr>
        <w:pStyle w:val="ParrafoGlosario"/>
        <w:rPr>
          <w:lang w:val="es-PE"/>
        </w:rPr>
      </w:pPr>
      <w:proofErr w:type="spellStart"/>
      <w:r w:rsidRPr="00DC1A5F">
        <w:rPr>
          <w:i/>
          <w:iCs/>
          <w:lang w:val="es-PE"/>
        </w:rPr>
        <w:t>pahāna</w:t>
      </w:r>
      <w:proofErr w:type="spellEnd"/>
      <w:r w:rsidRPr="00DC1A5F">
        <w:rPr>
          <w:lang w:val="es-PE"/>
        </w:rPr>
        <w:t>— abandono</w:t>
      </w:r>
    </w:p>
    <w:p w14:paraId="127F9872" w14:textId="77777777" w:rsidR="00597DE2" w:rsidRPr="00DC1A5F" w:rsidRDefault="00597DE2" w:rsidP="00597DE2">
      <w:pPr>
        <w:pStyle w:val="ParrafoGlosario"/>
        <w:rPr>
          <w:lang w:val="es-PE"/>
        </w:rPr>
      </w:pPr>
      <w:proofErr w:type="spellStart"/>
      <w:r w:rsidRPr="00DC1A5F">
        <w:rPr>
          <w:i/>
          <w:iCs/>
          <w:lang w:val="es-PE"/>
        </w:rPr>
        <w:t>paheyya</w:t>
      </w:r>
      <w:proofErr w:type="spellEnd"/>
      <w:r w:rsidRPr="00DC1A5F">
        <w:rPr>
          <w:lang w:val="es-PE"/>
        </w:rPr>
        <w:t xml:space="preserve">*— </w:t>
      </w:r>
      <w:proofErr w:type="spellStart"/>
      <w:r w:rsidRPr="00DC1A5F">
        <w:rPr>
          <w:lang w:val="es-PE"/>
        </w:rPr>
        <w:t>abandonable</w:t>
      </w:r>
      <w:proofErr w:type="spellEnd"/>
      <w:r w:rsidRPr="00DC1A5F">
        <w:rPr>
          <w:lang w:val="es-PE"/>
        </w:rPr>
        <w:t>: XVI.93</w:t>
      </w:r>
    </w:p>
    <w:p w14:paraId="4407F760" w14:textId="77777777" w:rsidR="00597DE2" w:rsidRPr="00DC1A5F" w:rsidRDefault="00597DE2" w:rsidP="00597DE2">
      <w:pPr>
        <w:pStyle w:val="ParrafoGlosario"/>
        <w:rPr>
          <w:lang w:val="es-PE"/>
        </w:rPr>
      </w:pPr>
      <w:proofErr w:type="spellStart"/>
      <w:r w:rsidRPr="00DC1A5F">
        <w:rPr>
          <w:i/>
          <w:iCs/>
          <w:lang w:val="es-PE"/>
        </w:rPr>
        <w:t>pakāsa</w:t>
      </w:r>
      <w:proofErr w:type="spellEnd"/>
      <w:r w:rsidRPr="00DC1A5F">
        <w:rPr>
          <w:lang w:val="es-PE"/>
        </w:rPr>
        <w:t>*— iluminación: XVII.77</w:t>
      </w:r>
    </w:p>
    <w:p w14:paraId="00A9ECEE" w14:textId="77777777" w:rsidR="00597DE2" w:rsidRPr="00DC1A5F" w:rsidRDefault="00597DE2" w:rsidP="00597DE2">
      <w:pPr>
        <w:pStyle w:val="ParrafoGlosario"/>
        <w:rPr>
          <w:lang w:val="es-PE"/>
        </w:rPr>
      </w:pPr>
      <w:proofErr w:type="spellStart"/>
      <w:r w:rsidRPr="00DC1A5F">
        <w:rPr>
          <w:i/>
          <w:iCs/>
          <w:lang w:val="es-PE"/>
        </w:rPr>
        <w:t>pakati</w:t>
      </w:r>
      <w:proofErr w:type="spellEnd"/>
      <w:r w:rsidRPr="00DC1A5F">
        <w:rPr>
          <w:lang w:val="es-PE"/>
        </w:rPr>
        <w:t xml:space="preserve">— (1) naturaleza, natural, normal, (2) Esencia Primordial, </w:t>
      </w:r>
      <w:proofErr w:type="spellStart"/>
      <w:r w:rsidRPr="00DC1A5F">
        <w:rPr>
          <w:lang w:val="es-PE"/>
        </w:rPr>
        <w:t>Prak</w:t>
      </w:r>
      <w:r w:rsidRPr="00DC1A5F">
        <w:rPr>
          <w:rFonts w:cs="Cormorant"/>
          <w:lang w:val="es-PE"/>
        </w:rPr>
        <w:t>ṛ</w:t>
      </w:r>
      <w:r w:rsidRPr="00DC1A5F">
        <w:rPr>
          <w:lang w:val="es-PE"/>
        </w:rPr>
        <w:t>ti</w:t>
      </w:r>
      <w:proofErr w:type="spellEnd"/>
    </w:p>
    <w:p w14:paraId="11F30BC7" w14:textId="77777777" w:rsidR="00597DE2" w:rsidRPr="00DC1A5F" w:rsidRDefault="00597DE2" w:rsidP="00597DE2">
      <w:pPr>
        <w:pStyle w:val="ParrafoGlosario"/>
        <w:rPr>
          <w:lang w:val="es-PE"/>
        </w:rPr>
      </w:pPr>
      <w:proofErr w:type="spellStart"/>
      <w:r w:rsidRPr="00DC1A5F">
        <w:rPr>
          <w:i/>
          <w:iCs/>
          <w:lang w:val="es-PE"/>
        </w:rPr>
        <w:t>pakaṭṭha</w:t>
      </w:r>
      <w:proofErr w:type="spellEnd"/>
      <w:r w:rsidRPr="00DC1A5F">
        <w:rPr>
          <w:lang w:val="es-PE"/>
        </w:rPr>
        <w:t>*— distante: VII.81</w:t>
      </w:r>
    </w:p>
    <w:p w14:paraId="3417964E" w14:textId="77777777" w:rsidR="00597DE2" w:rsidRPr="00DC1A5F" w:rsidRDefault="00597DE2" w:rsidP="00597DE2">
      <w:pPr>
        <w:pStyle w:val="ParrafoGlosario"/>
        <w:rPr>
          <w:lang w:val="es-PE"/>
        </w:rPr>
      </w:pPr>
      <w:proofErr w:type="spellStart"/>
      <w:r w:rsidRPr="00DC1A5F">
        <w:rPr>
          <w:i/>
          <w:iCs/>
          <w:lang w:val="es-PE"/>
        </w:rPr>
        <w:t>pakkhandati</w:t>
      </w:r>
      <w:proofErr w:type="spellEnd"/>
      <w:r w:rsidRPr="00DC1A5F">
        <w:rPr>
          <w:lang w:val="es-PE"/>
        </w:rPr>
        <w:t>— entrar a, lanzarse hacia</w:t>
      </w:r>
    </w:p>
    <w:p w14:paraId="07EDF87B" w14:textId="77777777" w:rsidR="00597DE2" w:rsidRPr="00DC1A5F" w:rsidRDefault="00597DE2" w:rsidP="00597DE2">
      <w:pPr>
        <w:pStyle w:val="ParrafoGlosario"/>
        <w:rPr>
          <w:lang w:val="es-PE"/>
        </w:rPr>
      </w:pPr>
      <w:proofErr w:type="spellStart"/>
      <w:r w:rsidRPr="00DC1A5F">
        <w:rPr>
          <w:i/>
          <w:iCs/>
          <w:lang w:val="es-PE"/>
        </w:rPr>
        <w:t>palibodha</w:t>
      </w:r>
      <w:proofErr w:type="spellEnd"/>
      <w:r w:rsidRPr="00DC1A5F">
        <w:rPr>
          <w:lang w:val="es-PE"/>
        </w:rPr>
        <w:t>— impedimento</w:t>
      </w:r>
    </w:p>
    <w:p w14:paraId="4F62431D" w14:textId="77777777" w:rsidR="00597DE2" w:rsidRPr="00DC1A5F" w:rsidRDefault="00597DE2" w:rsidP="00597DE2">
      <w:pPr>
        <w:pStyle w:val="ParrafoGlosario"/>
        <w:rPr>
          <w:lang w:val="es-PE"/>
        </w:rPr>
      </w:pPr>
      <w:proofErr w:type="spellStart"/>
      <w:r w:rsidRPr="00DC1A5F">
        <w:rPr>
          <w:i/>
          <w:iCs/>
          <w:lang w:val="es-PE"/>
        </w:rPr>
        <w:t>pamukha</w:t>
      </w:r>
      <w:proofErr w:type="spellEnd"/>
      <w:r w:rsidRPr="00DC1A5F">
        <w:rPr>
          <w:lang w:val="es-PE"/>
        </w:rPr>
        <w:t>*— veranda, patio delantero: IV.13; XI.7; XIII.6</w:t>
      </w:r>
    </w:p>
    <w:p w14:paraId="07B5891E" w14:textId="77777777" w:rsidR="00597DE2" w:rsidRPr="00DC1A5F" w:rsidRDefault="00597DE2" w:rsidP="00597DE2">
      <w:pPr>
        <w:pStyle w:val="ParrafoGlosario"/>
        <w:rPr>
          <w:lang w:val="es-PE"/>
        </w:rPr>
      </w:pPr>
      <w:proofErr w:type="spellStart"/>
      <w:r w:rsidRPr="00DC1A5F">
        <w:rPr>
          <w:i/>
          <w:iCs/>
          <w:lang w:val="es-PE"/>
        </w:rPr>
        <w:t>pāṇātipāta</w:t>
      </w:r>
      <w:proofErr w:type="spellEnd"/>
      <w:r w:rsidRPr="00DC1A5F">
        <w:rPr>
          <w:lang w:val="es-PE"/>
        </w:rPr>
        <w:t>— matar seres vivos</w:t>
      </w:r>
    </w:p>
    <w:p w14:paraId="5A59E9F6" w14:textId="77777777" w:rsidR="00597DE2" w:rsidRPr="00DC1A5F" w:rsidRDefault="00597DE2" w:rsidP="00597DE2">
      <w:pPr>
        <w:pStyle w:val="ParrafoGlosario"/>
        <w:rPr>
          <w:lang w:val="es-PE"/>
        </w:rPr>
      </w:pPr>
      <w:proofErr w:type="spellStart"/>
      <w:r w:rsidRPr="00DC1A5F">
        <w:rPr>
          <w:i/>
          <w:iCs/>
          <w:lang w:val="es-PE"/>
        </w:rPr>
        <w:t>paṇidhi</w:t>
      </w:r>
      <w:proofErr w:type="spellEnd"/>
      <w:r w:rsidRPr="00DC1A5F">
        <w:rPr>
          <w:lang w:val="es-PE"/>
        </w:rPr>
        <w:t>— deseo, aspiración</w:t>
      </w:r>
    </w:p>
    <w:p w14:paraId="467166B2" w14:textId="77777777" w:rsidR="00597DE2" w:rsidRPr="00DC1A5F" w:rsidRDefault="00597DE2" w:rsidP="00597DE2">
      <w:pPr>
        <w:pStyle w:val="ParrafoGlosario"/>
        <w:rPr>
          <w:lang w:val="es-PE"/>
        </w:rPr>
      </w:pPr>
      <w:proofErr w:type="spellStart"/>
      <w:r w:rsidRPr="00DC1A5F">
        <w:rPr>
          <w:i/>
          <w:iCs/>
          <w:lang w:val="es-PE"/>
        </w:rPr>
        <w:t>paṇīta</w:t>
      </w:r>
      <w:proofErr w:type="spellEnd"/>
      <w:r w:rsidRPr="00DC1A5F">
        <w:rPr>
          <w:lang w:val="es-PE"/>
        </w:rPr>
        <w:t>— superior, sublime</w:t>
      </w:r>
    </w:p>
    <w:p w14:paraId="077D9CD3" w14:textId="77777777" w:rsidR="00597DE2" w:rsidRPr="00DC1A5F" w:rsidRDefault="00597DE2" w:rsidP="00597DE2">
      <w:pPr>
        <w:pStyle w:val="ParrafoGlosario"/>
        <w:rPr>
          <w:lang w:val="es-PE"/>
        </w:rPr>
      </w:pPr>
      <w:r w:rsidRPr="00DC1A5F">
        <w:rPr>
          <w:i/>
          <w:iCs/>
          <w:lang w:val="es-PE"/>
        </w:rPr>
        <w:t>paññā</w:t>
      </w:r>
      <w:r w:rsidRPr="00DC1A5F">
        <w:rPr>
          <w:lang w:val="es-PE"/>
        </w:rPr>
        <w:t xml:space="preserve">— entendimiento (sabiduría revelativa y el sendero) </w:t>
      </w:r>
    </w:p>
    <w:p w14:paraId="78F5FC2D" w14:textId="77777777" w:rsidR="00597DE2" w:rsidRPr="00DC1A5F" w:rsidRDefault="00597DE2" w:rsidP="00597DE2">
      <w:pPr>
        <w:pStyle w:val="ParrafoGlosario"/>
        <w:rPr>
          <w:lang w:val="es-PE"/>
        </w:rPr>
      </w:pPr>
      <w:proofErr w:type="spellStart"/>
      <w:r w:rsidRPr="00DC1A5F">
        <w:rPr>
          <w:i/>
          <w:iCs/>
          <w:lang w:val="es-PE"/>
        </w:rPr>
        <w:t>paññatti</w:t>
      </w:r>
      <w:proofErr w:type="spellEnd"/>
      <w:r w:rsidRPr="00DC1A5F">
        <w:rPr>
          <w:lang w:val="es-PE"/>
        </w:rPr>
        <w:t>— (1) dar a conocer, anunciar, (2) denominación, designación, (3) concepto, descripción</w:t>
      </w:r>
    </w:p>
    <w:p w14:paraId="0FD84D07" w14:textId="77777777" w:rsidR="00597DE2" w:rsidRPr="00DC1A5F" w:rsidRDefault="00597DE2" w:rsidP="00597DE2">
      <w:pPr>
        <w:pStyle w:val="ParrafoGlosario"/>
        <w:rPr>
          <w:lang w:val="es-PE"/>
        </w:rPr>
      </w:pPr>
      <w:r w:rsidRPr="00DC1A5F">
        <w:rPr>
          <w:i/>
          <w:iCs/>
          <w:lang w:val="es-PE"/>
        </w:rPr>
        <w:t>paññā–</w:t>
      </w:r>
      <w:proofErr w:type="spellStart"/>
      <w:r w:rsidRPr="00DC1A5F">
        <w:rPr>
          <w:i/>
          <w:iCs/>
          <w:lang w:val="es-PE"/>
        </w:rPr>
        <w:t>vimutta</w:t>
      </w:r>
      <w:proofErr w:type="spellEnd"/>
      <w:r w:rsidRPr="00DC1A5F">
        <w:rPr>
          <w:lang w:val="es-PE"/>
        </w:rPr>
        <w:t>— alguien liberado mediante el entendimiento</w:t>
      </w:r>
    </w:p>
    <w:p w14:paraId="780FB0A0" w14:textId="77777777" w:rsidR="00597DE2" w:rsidRPr="00DC1A5F" w:rsidRDefault="00597DE2" w:rsidP="00597DE2">
      <w:pPr>
        <w:pStyle w:val="ParrafoGlosario"/>
        <w:rPr>
          <w:lang w:val="es-PE"/>
        </w:rPr>
      </w:pPr>
      <w:proofErr w:type="spellStart"/>
      <w:r w:rsidRPr="00DC1A5F">
        <w:rPr>
          <w:i/>
          <w:iCs/>
          <w:lang w:val="es-PE"/>
        </w:rPr>
        <w:t>pāpaka</w:t>
      </w:r>
      <w:proofErr w:type="spellEnd"/>
      <w:r w:rsidRPr="00DC1A5F">
        <w:rPr>
          <w:lang w:val="es-PE"/>
        </w:rPr>
        <w:t>*— lo que alcanza, lo que hace que se alcance: XIV.5, 68</w:t>
      </w:r>
    </w:p>
    <w:p w14:paraId="0CF7D4FA" w14:textId="77777777" w:rsidR="00597DE2" w:rsidRPr="00DC1A5F" w:rsidRDefault="00597DE2" w:rsidP="00597DE2">
      <w:pPr>
        <w:pStyle w:val="ParrafoGlosario"/>
        <w:rPr>
          <w:lang w:val="es-PE"/>
        </w:rPr>
      </w:pPr>
      <w:proofErr w:type="spellStart"/>
      <w:r w:rsidRPr="00DC1A5F">
        <w:rPr>
          <w:i/>
          <w:iCs/>
          <w:lang w:val="es-PE"/>
        </w:rPr>
        <w:t>pāpana</w:t>
      </w:r>
      <w:proofErr w:type="spellEnd"/>
      <w:r w:rsidRPr="00DC1A5F">
        <w:rPr>
          <w:lang w:val="es-PE"/>
        </w:rPr>
        <w:t>*— denigrante: I.81</w:t>
      </w:r>
    </w:p>
    <w:p w14:paraId="1AB22F33" w14:textId="77777777" w:rsidR="00597DE2" w:rsidRPr="00DC1A5F" w:rsidRDefault="00597DE2" w:rsidP="00597DE2">
      <w:pPr>
        <w:pStyle w:val="ParrafoGlosario"/>
        <w:rPr>
          <w:lang w:val="es-PE"/>
        </w:rPr>
      </w:pPr>
      <w:proofErr w:type="spellStart"/>
      <w:r w:rsidRPr="00DC1A5F">
        <w:rPr>
          <w:i/>
          <w:iCs/>
          <w:lang w:val="es-PE"/>
        </w:rPr>
        <w:t>pāpana</w:t>
      </w:r>
      <w:proofErr w:type="spellEnd"/>
      <w:r w:rsidRPr="00DC1A5F">
        <w:rPr>
          <w:lang w:val="es-PE"/>
        </w:rPr>
        <w:t xml:space="preserve">*— </w:t>
      </w:r>
      <w:r w:rsidRPr="00DC1A5F">
        <w:rPr>
          <w:color w:val="833C0B" w:themeColor="accent2" w:themeShade="80"/>
          <w:lang w:val="es-PE"/>
        </w:rPr>
        <w:t>llegada, alcance</w:t>
      </w:r>
      <w:r w:rsidRPr="00DC1A5F">
        <w:rPr>
          <w:lang w:val="es-PE"/>
        </w:rPr>
        <w:t xml:space="preserve"> XVI.68</w:t>
      </w:r>
    </w:p>
    <w:p w14:paraId="40C969BB" w14:textId="77777777" w:rsidR="00597DE2" w:rsidRPr="00DC1A5F" w:rsidRDefault="00597DE2" w:rsidP="00597DE2">
      <w:pPr>
        <w:pStyle w:val="ParrafoGlosario"/>
        <w:rPr>
          <w:lang w:val="es-PE"/>
        </w:rPr>
      </w:pPr>
      <w:proofErr w:type="spellStart"/>
      <w:r w:rsidRPr="00DC1A5F">
        <w:rPr>
          <w:i/>
          <w:iCs/>
          <w:lang w:val="es-PE"/>
        </w:rPr>
        <w:t>papañca</w:t>
      </w:r>
      <w:proofErr w:type="spellEnd"/>
      <w:r w:rsidRPr="00DC1A5F">
        <w:rPr>
          <w:lang w:val="es-PE"/>
        </w:rPr>
        <w:t>— (1) obstáculo, (2) difusividad, (2) diversificación (en función del deseo, la presunción y la visión incorrecta; no en este sentido en el PED)</w:t>
      </w:r>
    </w:p>
    <w:p w14:paraId="09E9F93D" w14:textId="77777777" w:rsidR="00597DE2" w:rsidRPr="00DC1A5F" w:rsidRDefault="00597DE2" w:rsidP="00597DE2">
      <w:pPr>
        <w:pStyle w:val="ParrafoGlosario"/>
        <w:rPr>
          <w:lang w:val="es-PE"/>
        </w:rPr>
      </w:pPr>
      <w:proofErr w:type="spellStart"/>
      <w:r w:rsidRPr="00DC1A5F">
        <w:rPr>
          <w:i/>
          <w:iCs/>
          <w:lang w:val="es-PE"/>
        </w:rPr>
        <w:t>pāpicchatā</w:t>
      </w:r>
      <w:proofErr w:type="spellEnd"/>
      <w:r w:rsidRPr="00DC1A5F">
        <w:rPr>
          <w:lang w:val="es-PE"/>
        </w:rPr>
        <w:t xml:space="preserve">—maldad de los deseos </w:t>
      </w:r>
    </w:p>
    <w:p w14:paraId="700B4584" w14:textId="77777777" w:rsidR="00597DE2" w:rsidRPr="00DC1A5F" w:rsidRDefault="00597DE2" w:rsidP="00597DE2">
      <w:pPr>
        <w:pStyle w:val="ParrafoGlosario"/>
        <w:rPr>
          <w:lang w:val="es-PE"/>
        </w:rPr>
      </w:pPr>
      <w:r w:rsidRPr="00DC1A5F">
        <w:rPr>
          <w:i/>
          <w:iCs/>
          <w:lang w:val="es-PE"/>
        </w:rPr>
        <w:t>parāmāsa</w:t>
      </w:r>
      <w:r w:rsidRPr="00DC1A5F">
        <w:rPr>
          <w:lang w:val="es-PE"/>
        </w:rPr>
        <w:t>— malentendido, adhesión, presunción previa</w:t>
      </w:r>
    </w:p>
    <w:p w14:paraId="7B76C72B" w14:textId="77777777" w:rsidR="00597DE2" w:rsidRPr="00DC1A5F" w:rsidRDefault="00597DE2" w:rsidP="00597DE2">
      <w:pPr>
        <w:pStyle w:val="ParrafoGlosario"/>
        <w:rPr>
          <w:lang w:val="es-PE"/>
        </w:rPr>
      </w:pPr>
      <w:proofErr w:type="spellStart"/>
      <w:r w:rsidRPr="00DC1A5F">
        <w:rPr>
          <w:i/>
          <w:iCs/>
          <w:lang w:val="es-PE"/>
        </w:rPr>
        <w:t>parāmaṭṭha</w:t>
      </w:r>
      <w:proofErr w:type="spellEnd"/>
      <w:r w:rsidRPr="00DC1A5F">
        <w:rPr>
          <w:lang w:val="es-PE"/>
        </w:rPr>
        <w:t>— malinterpretado, adherido a</w:t>
      </w:r>
    </w:p>
    <w:p w14:paraId="16C3C452" w14:textId="77777777" w:rsidR="00597DE2" w:rsidRPr="00DC1A5F" w:rsidRDefault="00597DE2" w:rsidP="00597DE2">
      <w:pPr>
        <w:pStyle w:val="ParrafoGlosario"/>
        <w:rPr>
          <w:lang w:val="es-PE"/>
        </w:rPr>
      </w:pPr>
      <w:proofErr w:type="spellStart"/>
      <w:r w:rsidRPr="00DC1A5F">
        <w:rPr>
          <w:i/>
          <w:iCs/>
          <w:lang w:val="es-PE"/>
        </w:rPr>
        <w:t>paramattha</w:t>
      </w:r>
      <w:proofErr w:type="spellEnd"/>
      <w:r w:rsidRPr="00DC1A5F">
        <w:rPr>
          <w:lang w:val="es-PE"/>
        </w:rPr>
        <w:t>— sentido supremo, sentido último</w:t>
      </w:r>
      <w:r>
        <w:rPr>
          <w:lang w:val="es-PE"/>
        </w:rPr>
        <w:br w:type="column"/>
      </w:r>
    </w:p>
    <w:p w14:paraId="6F4F2F77" w14:textId="77777777" w:rsidR="00597DE2" w:rsidRPr="00DC1A5F" w:rsidRDefault="00597DE2" w:rsidP="00597DE2">
      <w:pPr>
        <w:pStyle w:val="ParrafoGlosario"/>
        <w:rPr>
          <w:lang w:val="es-PE"/>
        </w:rPr>
      </w:pPr>
      <w:r w:rsidRPr="00DC1A5F">
        <w:rPr>
          <w:i/>
          <w:iCs/>
          <w:lang w:val="es-PE"/>
        </w:rPr>
        <w:t xml:space="preserve">pāramī, </w:t>
      </w:r>
      <w:proofErr w:type="spellStart"/>
      <w:r w:rsidRPr="00DC1A5F">
        <w:rPr>
          <w:i/>
          <w:iCs/>
          <w:lang w:val="es-PE"/>
        </w:rPr>
        <w:t>paramita</w:t>
      </w:r>
      <w:proofErr w:type="spellEnd"/>
      <w:r w:rsidRPr="00DC1A5F">
        <w:rPr>
          <w:lang w:val="es-PE"/>
        </w:rPr>
        <w:t>— perfección</w:t>
      </w:r>
    </w:p>
    <w:p w14:paraId="4BDCD27A" w14:textId="77777777" w:rsidR="00597DE2" w:rsidRPr="00DC1A5F" w:rsidRDefault="00597DE2" w:rsidP="00597DE2">
      <w:pPr>
        <w:pStyle w:val="ParrafoGlosario"/>
        <w:rPr>
          <w:lang w:val="es-PE"/>
        </w:rPr>
      </w:pPr>
      <w:proofErr w:type="spellStart"/>
      <w:r w:rsidRPr="00DC1A5F">
        <w:rPr>
          <w:i/>
          <w:iCs/>
          <w:lang w:val="es-PE"/>
        </w:rPr>
        <w:t>paraṇa</w:t>
      </w:r>
      <w:proofErr w:type="spellEnd"/>
      <w:r w:rsidRPr="00DC1A5F">
        <w:rPr>
          <w:lang w:val="es-PE"/>
        </w:rPr>
        <w:t>— penetración, atención en</w:t>
      </w:r>
    </w:p>
    <w:p w14:paraId="71838209" w14:textId="77777777" w:rsidR="00597DE2" w:rsidRPr="00DC1A5F" w:rsidRDefault="00597DE2" w:rsidP="00597DE2">
      <w:pPr>
        <w:pStyle w:val="ParrafoGlosario"/>
        <w:rPr>
          <w:lang w:val="es-PE"/>
        </w:rPr>
      </w:pPr>
      <w:proofErr w:type="spellStart"/>
      <w:r w:rsidRPr="00DC1A5F">
        <w:rPr>
          <w:i/>
          <w:iCs/>
          <w:lang w:val="es-PE"/>
        </w:rPr>
        <w:t>pārāvata</w:t>
      </w:r>
      <w:proofErr w:type="spellEnd"/>
      <w:r w:rsidRPr="00DC1A5F">
        <w:rPr>
          <w:lang w:val="es-PE"/>
        </w:rPr>
        <w:t>*— paloma (</w:t>
      </w:r>
      <w:proofErr w:type="spellStart"/>
      <w:r w:rsidRPr="00DC1A5F">
        <w:rPr>
          <w:i/>
          <w:iCs/>
          <w:lang w:val="es-PE"/>
        </w:rPr>
        <w:t>pārāpata</w:t>
      </w:r>
      <w:proofErr w:type="spellEnd"/>
      <w:r w:rsidRPr="00DC1A5F">
        <w:rPr>
          <w:lang w:val="es-PE"/>
        </w:rPr>
        <w:t xml:space="preserve"> en el PED): XI.7</w:t>
      </w:r>
    </w:p>
    <w:p w14:paraId="5D208CCD" w14:textId="77777777" w:rsidR="00597DE2" w:rsidRPr="00DC1A5F" w:rsidRDefault="00597DE2" w:rsidP="00597DE2">
      <w:pPr>
        <w:pStyle w:val="ParrafoGlosario"/>
        <w:rPr>
          <w:lang w:val="es-PE"/>
        </w:rPr>
      </w:pPr>
      <w:proofErr w:type="spellStart"/>
      <w:r w:rsidRPr="00DC1A5F">
        <w:rPr>
          <w:i/>
          <w:iCs/>
          <w:lang w:val="es-PE"/>
        </w:rPr>
        <w:t>paribhaṇḍa</w:t>
      </w:r>
      <w:proofErr w:type="spellEnd"/>
      <w:r w:rsidRPr="00DC1A5F">
        <w:rPr>
          <w:lang w:val="es-PE"/>
        </w:rPr>
        <w:t xml:space="preserve">*— </w:t>
      </w:r>
      <w:r w:rsidRPr="00DC1A5F">
        <w:rPr>
          <w:i/>
          <w:iCs/>
          <w:lang w:val="es-PE"/>
        </w:rPr>
        <w:t>también</w:t>
      </w:r>
      <w:r w:rsidRPr="00DC1A5F">
        <w:rPr>
          <w:lang w:val="es-PE"/>
        </w:rPr>
        <w:t xml:space="preserve"> reparar: XXIII.36</w:t>
      </w:r>
    </w:p>
    <w:p w14:paraId="44C6864A" w14:textId="77777777" w:rsidR="00597DE2" w:rsidRPr="00DC1A5F" w:rsidRDefault="00597DE2" w:rsidP="00597DE2">
      <w:pPr>
        <w:pStyle w:val="ParrafoGlosario"/>
        <w:rPr>
          <w:lang w:val="es-PE"/>
        </w:rPr>
      </w:pPr>
      <w:proofErr w:type="spellStart"/>
      <w:r w:rsidRPr="00DC1A5F">
        <w:rPr>
          <w:i/>
          <w:iCs/>
          <w:lang w:val="es-PE"/>
        </w:rPr>
        <w:t>paribhoga</w:t>
      </w:r>
      <w:proofErr w:type="spellEnd"/>
      <w:r w:rsidRPr="00DC1A5F">
        <w:rPr>
          <w:lang w:val="es-PE"/>
        </w:rPr>
        <w:t>— uso</w:t>
      </w:r>
    </w:p>
    <w:p w14:paraId="0F1A9B5A" w14:textId="77777777" w:rsidR="00597DE2" w:rsidRPr="00DC1A5F" w:rsidRDefault="00597DE2" w:rsidP="00597DE2">
      <w:pPr>
        <w:pStyle w:val="ParrafoGlosario"/>
        <w:rPr>
          <w:lang w:val="es-PE"/>
        </w:rPr>
      </w:pPr>
      <w:proofErr w:type="spellStart"/>
      <w:r w:rsidRPr="00DC1A5F">
        <w:rPr>
          <w:i/>
          <w:iCs/>
          <w:lang w:val="es-PE"/>
        </w:rPr>
        <w:t>pariccāga</w:t>
      </w:r>
      <w:proofErr w:type="spellEnd"/>
      <w:r w:rsidRPr="00DC1A5F">
        <w:rPr>
          <w:lang w:val="es-PE"/>
        </w:rPr>
        <w:t>— renunciar</w:t>
      </w:r>
    </w:p>
    <w:p w14:paraId="0AC696B4" w14:textId="77777777" w:rsidR="00597DE2" w:rsidRPr="00DC1A5F" w:rsidRDefault="00597DE2" w:rsidP="00597DE2">
      <w:pPr>
        <w:pStyle w:val="ParrafoGlosario"/>
        <w:rPr>
          <w:lang w:val="es-PE"/>
        </w:rPr>
      </w:pPr>
      <w:proofErr w:type="spellStart"/>
      <w:r w:rsidRPr="00DC1A5F">
        <w:rPr>
          <w:i/>
          <w:iCs/>
          <w:lang w:val="es-PE"/>
        </w:rPr>
        <w:t>pariccheda</w:t>
      </w:r>
      <w:proofErr w:type="spellEnd"/>
      <w:r w:rsidRPr="00DC1A5F">
        <w:rPr>
          <w:i/>
          <w:iCs/>
          <w:lang w:val="es-PE"/>
        </w:rPr>
        <w:t>–rūpa</w:t>
      </w:r>
      <w:r w:rsidRPr="00DC1A5F">
        <w:rPr>
          <w:lang w:val="es-PE"/>
        </w:rPr>
        <w:t>— materialidad delimitadora (término para el espacio)</w:t>
      </w:r>
    </w:p>
    <w:p w14:paraId="7F90240B" w14:textId="77777777" w:rsidR="00597DE2" w:rsidRPr="00DC1A5F" w:rsidRDefault="00597DE2" w:rsidP="00597DE2">
      <w:pPr>
        <w:pStyle w:val="ParrafoGlosario"/>
        <w:rPr>
          <w:lang w:val="es-PE"/>
        </w:rPr>
      </w:pPr>
      <w:proofErr w:type="spellStart"/>
      <w:r w:rsidRPr="00DC1A5F">
        <w:rPr>
          <w:i/>
          <w:iCs/>
          <w:lang w:val="es-PE"/>
        </w:rPr>
        <w:t>parideva</w:t>
      </w:r>
      <w:proofErr w:type="spellEnd"/>
      <w:r w:rsidRPr="00DC1A5F">
        <w:rPr>
          <w:lang w:val="es-PE"/>
        </w:rPr>
        <w:t>— lamentación</w:t>
      </w:r>
    </w:p>
    <w:p w14:paraId="57C3C416" w14:textId="77777777" w:rsidR="00597DE2" w:rsidRPr="00DC1A5F" w:rsidRDefault="00597DE2" w:rsidP="00597DE2">
      <w:pPr>
        <w:pStyle w:val="ParrafoGlosario"/>
        <w:rPr>
          <w:lang w:val="es-PE"/>
        </w:rPr>
      </w:pPr>
      <w:proofErr w:type="spellStart"/>
      <w:r w:rsidRPr="00DC1A5F">
        <w:rPr>
          <w:i/>
          <w:iCs/>
          <w:lang w:val="es-PE"/>
        </w:rPr>
        <w:t>pariggaha</w:t>
      </w:r>
      <w:proofErr w:type="spellEnd"/>
      <w:r w:rsidRPr="00DC1A5F">
        <w:rPr>
          <w:lang w:val="es-PE"/>
        </w:rPr>
        <w:t xml:space="preserve">— (1) inclusión, (2) </w:t>
      </w:r>
      <w:r w:rsidRPr="00DC1A5F">
        <w:rPr>
          <w:color w:val="833C0B" w:themeColor="accent2" w:themeShade="80"/>
          <w:lang w:val="es-PE"/>
        </w:rPr>
        <w:t>abarcamiento</w:t>
      </w:r>
      <w:r w:rsidRPr="00DC1A5F">
        <w:rPr>
          <w:lang w:val="es-PE"/>
        </w:rPr>
        <w:t xml:space="preserve"> (como definición del lenguaje correcto), (3) refuerzo, (4) discernimiento, etc.</w:t>
      </w:r>
    </w:p>
    <w:p w14:paraId="0C467735" w14:textId="77777777" w:rsidR="00597DE2" w:rsidRPr="00DC1A5F" w:rsidRDefault="00597DE2" w:rsidP="00597DE2">
      <w:pPr>
        <w:pStyle w:val="ParrafoGlosario"/>
        <w:rPr>
          <w:lang w:val="es-PE"/>
        </w:rPr>
      </w:pPr>
      <w:proofErr w:type="spellStart"/>
      <w:r w:rsidRPr="00DC1A5F">
        <w:rPr>
          <w:i/>
          <w:iCs/>
          <w:lang w:val="es-PE"/>
        </w:rPr>
        <w:t>parihāra</w:t>
      </w:r>
      <w:proofErr w:type="spellEnd"/>
      <w:r w:rsidRPr="00DC1A5F">
        <w:rPr>
          <w:lang w:val="es-PE"/>
        </w:rPr>
        <w:t>–</w:t>
      </w:r>
      <w:proofErr w:type="spellStart"/>
      <w:r w:rsidRPr="00DC1A5F">
        <w:rPr>
          <w:i/>
          <w:iCs/>
          <w:lang w:val="es-PE"/>
        </w:rPr>
        <w:t>vacana</w:t>
      </w:r>
      <w:proofErr w:type="spellEnd"/>
      <w:r w:rsidRPr="00DC1A5F">
        <w:rPr>
          <w:lang w:val="es-PE"/>
        </w:rPr>
        <w:t>*— explicación: XVII.109</w:t>
      </w:r>
    </w:p>
    <w:p w14:paraId="0657DF5C" w14:textId="77777777" w:rsidR="00597DE2" w:rsidRPr="00DC1A5F" w:rsidRDefault="00597DE2" w:rsidP="00597DE2">
      <w:pPr>
        <w:pStyle w:val="ParrafoGlosario"/>
        <w:rPr>
          <w:lang w:val="es-PE"/>
        </w:rPr>
      </w:pPr>
      <w:proofErr w:type="spellStart"/>
      <w:r w:rsidRPr="00DC1A5F">
        <w:rPr>
          <w:i/>
          <w:iCs/>
          <w:lang w:val="es-PE"/>
        </w:rPr>
        <w:t>parikamma</w:t>
      </w:r>
      <w:proofErr w:type="spellEnd"/>
      <w:r w:rsidRPr="00DC1A5F">
        <w:rPr>
          <w:lang w:val="es-PE"/>
        </w:rPr>
        <w:t>— trabajo preliminar</w:t>
      </w:r>
    </w:p>
    <w:p w14:paraId="74207B40" w14:textId="77777777" w:rsidR="00597DE2" w:rsidRPr="00DC1A5F" w:rsidRDefault="00597DE2" w:rsidP="00597DE2">
      <w:pPr>
        <w:pStyle w:val="ParrafoGlosario"/>
        <w:rPr>
          <w:lang w:val="es-PE"/>
        </w:rPr>
      </w:pPr>
      <w:proofErr w:type="spellStart"/>
      <w:r w:rsidRPr="00DC1A5F">
        <w:rPr>
          <w:i/>
          <w:iCs/>
          <w:lang w:val="es-PE"/>
        </w:rPr>
        <w:t>parikappanatā</w:t>
      </w:r>
      <w:proofErr w:type="spellEnd"/>
      <w:r w:rsidRPr="00DC1A5F">
        <w:rPr>
          <w:lang w:val="es-PE"/>
        </w:rPr>
        <w:t>*— conjeturas: III.77</w:t>
      </w:r>
    </w:p>
    <w:p w14:paraId="1D25343F" w14:textId="77777777" w:rsidR="00597DE2" w:rsidRPr="00DC1A5F" w:rsidRDefault="00597DE2" w:rsidP="00597DE2">
      <w:pPr>
        <w:pStyle w:val="ParrafoGlosario"/>
        <w:rPr>
          <w:lang w:val="es-PE"/>
        </w:rPr>
      </w:pPr>
      <w:proofErr w:type="spellStart"/>
      <w:r w:rsidRPr="00DC1A5F">
        <w:rPr>
          <w:i/>
          <w:iCs/>
          <w:lang w:val="es-PE"/>
        </w:rPr>
        <w:t>parikathā</w:t>
      </w:r>
      <w:proofErr w:type="spellEnd"/>
      <w:r w:rsidRPr="00DC1A5F">
        <w:rPr>
          <w:lang w:val="es-PE"/>
        </w:rPr>
        <w:t>— charla indirecta</w:t>
      </w:r>
    </w:p>
    <w:p w14:paraId="3752213D" w14:textId="77777777" w:rsidR="00597DE2" w:rsidRPr="00DC1A5F" w:rsidRDefault="00597DE2" w:rsidP="00597DE2">
      <w:pPr>
        <w:pStyle w:val="ParrafoGlosario"/>
        <w:rPr>
          <w:lang w:val="es-PE"/>
        </w:rPr>
      </w:pPr>
      <w:proofErr w:type="spellStart"/>
      <w:r w:rsidRPr="00DC1A5F">
        <w:rPr>
          <w:i/>
          <w:iCs/>
          <w:lang w:val="es-PE"/>
        </w:rPr>
        <w:t>parikkhāra</w:t>
      </w:r>
      <w:proofErr w:type="spellEnd"/>
      <w:r w:rsidRPr="00DC1A5F">
        <w:rPr>
          <w:lang w:val="es-PE"/>
        </w:rPr>
        <w:t>— (1) equipo, (2) requisito</w:t>
      </w:r>
    </w:p>
    <w:p w14:paraId="64D1FE85" w14:textId="77777777" w:rsidR="00597DE2" w:rsidRPr="00DC1A5F" w:rsidRDefault="00597DE2" w:rsidP="00597DE2">
      <w:pPr>
        <w:pStyle w:val="ParrafoGlosario"/>
        <w:rPr>
          <w:lang w:val="es-PE"/>
        </w:rPr>
      </w:pPr>
      <w:proofErr w:type="spellStart"/>
      <w:r w:rsidRPr="00DC1A5F">
        <w:rPr>
          <w:i/>
          <w:iCs/>
          <w:lang w:val="es-PE"/>
        </w:rPr>
        <w:t>pariṇāma</w:t>
      </w:r>
      <w:proofErr w:type="spellEnd"/>
      <w:r w:rsidRPr="00DC1A5F">
        <w:rPr>
          <w:lang w:val="es-PE"/>
        </w:rPr>
        <w:t>— cambio</w:t>
      </w:r>
    </w:p>
    <w:p w14:paraId="671E1A97" w14:textId="77777777" w:rsidR="00597DE2" w:rsidRPr="00DC1A5F" w:rsidRDefault="00597DE2" w:rsidP="00597DE2">
      <w:pPr>
        <w:pStyle w:val="ParrafoGlosario"/>
        <w:rPr>
          <w:lang w:val="es-PE"/>
        </w:rPr>
      </w:pPr>
      <w:r w:rsidRPr="00DC1A5F">
        <w:rPr>
          <w:i/>
          <w:iCs/>
          <w:lang w:val="es-PE"/>
        </w:rPr>
        <w:t>parinibbāna</w:t>
      </w:r>
      <w:r w:rsidRPr="00DC1A5F">
        <w:rPr>
          <w:lang w:val="es-PE"/>
        </w:rPr>
        <w:t xml:space="preserve">— consumación del </w:t>
      </w:r>
      <w:r w:rsidRPr="00DC1A5F">
        <w:rPr>
          <w:i/>
          <w:iCs/>
          <w:lang w:val="es-PE"/>
        </w:rPr>
        <w:t>Nibbāna</w:t>
      </w:r>
    </w:p>
    <w:p w14:paraId="08EF10BD" w14:textId="77777777" w:rsidR="00597DE2" w:rsidRPr="00DC1A5F" w:rsidRDefault="00597DE2" w:rsidP="00597DE2">
      <w:pPr>
        <w:pStyle w:val="ParrafoGlosario"/>
        <w:rPr>
          <w:lang w:val="es-PE"/>
        </w:rPr>
      </w:pPr>
      <w:proofErr w:type="spellStart"/>
      <w:r w:rsidRPr="00DC1A5F">
        <w:rPr>
          <w:i/>
          <w:iCs/>
          <w:lang w:val="es-PE"/>
        </w:rPr>
        <w:t>parinijjhāpana</w:t>
      </w:r>
      <w:proofErr w:type="spellEnd"/>
      <w:r w:rsidRPr="00DC1A5F">
        <w:rPr>
          <w:lang w:val="es-PE"/>
        </w:rPr>
        <w:t>*— obsesionarse, arder: XVI.48</w:t>
      </w:r>
    </w:p>
    <w:p w14:paraId="5661DC21" w14:textId="77777777" w:rsidR="00597DE2" w:rsidRPr="00DC1A5F" w:rsidRDefault="00597DE2" w:rsidP="00597DE2">
      <w:pPr>
        <w:pStyle w:val="ParrafoGlosario"/>
        <w:rPr>
          <w:lang w:val="es-PE"/>
        </w:rPr>
      </w:pPr>
      <w:proofErr w:type="spellStart"/>
      <w:r w:rsidRPr="00DC1A5F">
        <w:rPr>
          <w:i/>
          <w:iCs/>
          <w:lang w:val="es-PE"/>
        </w:rPr>
        <w:t>parinipphanna</w:t>
      </w:r>
      <w:proofErr w:type="spellEnd"/>
      <w:r w:rsidRPr="00DC1A5F">
        <w:rPr>
          <w:lang w:val="es-PE"/>
        </w:rPr>
        <w:t>*— producido positivamente XXIII. n.18</w:t>
      </w:r>
    </w:p>
    <w:p w14:paraId="0346C40B" w14:textId="77777777" w:rsidR="00597DE2" w:rsidRPr="00DC1A5F" w:rsidRDefault="00597DE2" w:rsidP="00597DE2">
      <w:pPr>
        <w:pStyle w:val="ParrafoGlosario"/>
        <w:rPr>
          <w:lang w:val="es-PE"/>
        </w:rPr>
      </w:pPr>
      <w:proofErr w:type="spellStart"/>
      <w:r w:rsidRPr="00DC1A5F">
        <w:rPr>
          <w:i/>
          <w:iCs/>
          <w:lang w:val="es-PE"/>
        </w:rPr>
        <w:t>pariññā</w:t>
      </w:r>
      <w:proofErr w:type="spellEnd"/>
      <w:r w:rsidRPr="00DC1A5F">
        <w:rPr>
          <w:lang w:val="es-PE"/>
        </w:rPr>
        <w:t>— pleno entendimiento (el 3)</w:t>
      </w:r>
    </w:p>
    <w:p w14:paraId="4CDB9C9B" w14:textId="77777777" w:rsidR="00597DE2" w:rsidRPr="00DC1A5F" w:rsidRDefault="00597DE2" w:rsidP="00597DE2">
      <w:pPr>
        <w:pStyle w:val="ParrafoGlosario"/>
        <w:rPr>
          <w:lang w:val="es-PE"/>
        </w:rPr>
      </w:pPr>
      <w:proofErr w:type="spellStart"/>
      <w:r w:rsidRPr="00DC1A5F">
        <w:rPr>
          <w:i/>
          <w:iCs/>
          <w:lang w:val="es-PE"/>
        </w:rPr>
        <w:t>paripācana</w:t>
      </w:r>
      <w:proofErr w:type="spellEnd"/>
      <w:r w:rsidRPr="00DC1A5F">
        <w:rPr>
          <w:lang w:val="es-PE"/>
        </w:rPr>
        <w:t>— mantener, madurar, fructificar</w:t>
      </w:r>
    </w:p>
    <w:p w14:paraId="2013D282" w14:textId="77777777" w:rsidR="00597DE2" w:rsidRPr="00DC1A5F" w:rsidRDefault="00597DE2" w:rsidP="00597DE2">
      <w:pPr>
        <w:pStyle w:val="ParrafoGlosario"/>
        <w:rPr>
          <w:lang w:val="es-PE"/>
        </w:rPr>
      </w:pPr>
      <w:proofErr w:type="spellStart"/>
      <w:r w:rsidRPr="00DC1A5F">
        <w:rPr>
          <w:i/>
          <w:iCs/>
          <w:lang w:val="es-PE"/>
        </w:rPr>
        <w:t>paripphandana</w:t>
      </w:r>
      <w:proofErr w:type="spellEnd"/>
      <w:r w:rsidRPr="00DC1A5F">
        <w:rPr>
          <w:lang w:val="es-PE"/>
        </w:rPr>
        <w:t xml:space="preserve">*— </w:t>
      </w:r>
      <w:r w:rsidRPr="00DC1A5F">
        <w:rPr>
          <w:i/>
          <w:iCs/>
          <w:lang w:val="es-PE"/>
        </w:rPr>
        <w:t>también</w:t>
      </w:r>
      <w:r w:rsidRPr="00DC1A5F">
        <w:rPr>
          <w:lang w:val="es-PE"/>
        </w:rPr>
        <w:t xml:space="preserve"> interferencia, actividad: IV.89; XIV.144</w:t>
      </w:r>
    </w:p>
    <w:p w14:paraId="337F9ACC" w14:textId="77777777" w:rsidR="00597DE2" w:rsidRPr="00DC1A5F" w:rsidRDefault="00597DE2" w:rsidP="00597DE2">
      <w:pPr>
        <w:pStyle w:val="ParrafoGlosario"/>
        <w:rPr>
          <w:lang w:val="es-PE"/>
        </w:rPr>
      </w:pPr>
      <w:proofErr w:type="spellStart"/>
      <w:r w:rsidRPr="00DC1A5F">
        <w:rPr>
          <w:i/>
          <w:iCs/>
          <w:lang w:val="es-PE"/>
        </w:rPr>
        <w:t>parissavati</w:t>
      </w:r>
      <w:proofErr w:type="spellEnd"/>
      <w:r w:rsidRPr="00DC1A5F">
        <w:rPr>
          <w:lang w:val="es-PE"/>
        </w:rPr>
        <w:t>*— huir: XI.90</w:t>
      </w:r>
    </w:p>
    <w:p w14:paraId="41624838" w14:textId="77777777" w:rsidR="00597DE2" w:rsidRPr="00DC1A5F" w:rsidRDefault="00597DE2" w:rsidP="00597DE2">
      <w:pPr>
        <w:pStyle w:val="ParrafoGlosario"/>
        <w:rPr>
          <w:lang w:val="es-PE"/>
        </w:rPr>
      </w:pPr>
      <w:proofErr w:type="spellStart"/>
      <w:r w:rsidRPr="00DC1A5F">
        <w:rPr>
          <w:i/>
          <w:iCs/>
          <w:lang w:val="es-PE"/>
        </w:rPr>
        <w:t>paritta</w:t>
      </w:r>
      <w:proofErr w:type="spellEnd"/>
      <w:r w:rsidRPr="00DC1A5F">
        <w:rPr>
          <w:lang w:val="es-PE"/>
        </w:rPr>
        <w:t>— (1) pequeño, (2) limitado (término para la esfera del deseo sensorial), (3) protección (término para ciertos discursos recitados con ese propósito)</w:t>
      </w:r>
    </w:p>
    <w:p w14:paraId="72796A73" w14:textId="77777777" w:rsidR="00597DE2" w:rsidRPr="00DC1A5F" w:rsidRDefault="00597DE2" w:rsidP="00597DE2">
      <w:pPr>
        <w:pStyle w:val="ParrafoGlosario"/>
        <w:rPr>
          <w:lang w:val="es-PE"/>
        </w:rPr>
      </w:pPr>
      <w:proofErr w:type="spellStart"/>
      <w:r w:rsidRPr="00DC1A5F">
        <w:rPr>
          <w:i/>
          <w:iCs/>
          <w:lang w:val="es-PE"/>
        </w:rPr>
        <w:t>parivena</w:t>
      </w:r>
      <w:proofErr w:type="spellEnd"/>
      <w:r w:rsidRPr="00DC1A5F">
        <w:rPr>
          <w:lang w:val="es-PE"/>
        </w:rPr>
        <w:t xml:space="preserve">*— </w:t>
      </w:r>
      <w:r w:rsidRPr="00DC1A5F">
        <w:rPr>
          <w:i/>
          <w:iCs/>
          <w:lang w:val="es-PE"/>
        </w:rPr>
        <w:t>también</w:t>
      </w:r>
      <w:r w:rsidRPr="00DC1A5F">
        <w:rPr>
          <w:lang w:val="es-PE"/>
        </w:rPr>
        <w:t xml:space="preserve"> alrededores de un edificio, paseo circundante: IV.127; XI.7; XIII.6</w:t>
      </w:r>
    </w:p>
    <w:p w14:paraId="36F5C360" w14:textId="77777777" w:rsidR="00597DE2" w:rsidRPr="00DC1A5F" w:rsidRDefault="00597DE2" w:rsidP="00597DE2">
      <w:pPr>
        <w:pStyle w:val="ParrafoGlosario"/>
        <w:rPr>
          <w:lang w:val="es-PE"/>
        </w:rPr>
      </w:pPr>
      <w:proofErr w:type="spellStart"/>
      <w:r w:rsidRPr="00DC1A5F">
        <w:rPr>
          <w:i/>
          <w:iCs/>
          <w:lang w:val="es-PE"/>
        </w:rPr>
        <w:t>pariyāhanana</w:t>
      </w:r>
      <w:proofErr w:type="spellEnd"/>
      <w:r w:rsidRPr="00DC1A5F">
        <w:rPr>
          <w:lang w:val="es-PE"/>
        </w:rPr>
        <w:t>— trillar, golpear: IV.88</w:t>
      </w:r>
    </w:p>
    <w:p w14:paraId="0D550E9F" w14:textId="77777777" w:rsidR="00597DE2" w:rsidRPr="00DC1A5F" w:rsidRDefault="00597DE2" w:rsidP="00597DE2">
      <w:pPr>
        <w:pStyle w:val="ParrafoGlosario"/>
        <w:rPr>
          <w:lang w:val="es-PE"/>
        </w:rPr>
      </w:pPr>
      <w:proofErr w:type="spellStart"/>
      <w:r w:rsidRPr="00DC1A5F">
        <w:rPr>
          <w:i/>
          <w:iCs/>
          <w:lang w:val="es-PE"/>
        </w:rPr>
        <w:t>pariyāpanna</w:t>
      </w:r>
      <w:proofErr w:type="spellEnd"/>
      <w:r w:rsidRPr="00DC1A5F">
        <w:rPr>
          <w:lang w:val="es-PE"/>
        </w:rPr>
        <w:t>— incluido</w:t>
      </w:r>
    </w:p>
    <w:p w14:paraId="131EADF3" w14:textId="77777777" w:rsidR="00597DE2" w:rsidRPr="00DC1A5F" w:rsidRDefault="00597DE2" w:rsidP="00597DE2">
      <w:pPr>
        <w:pStyle w:val="ParrafoGlosario"/>
        <w:rPr>
          <w:lang w:val="es-PE"/>
        </w:rPr>
      </w:pPr>
      <w:proofErr w:type="spellStart"/>
      <w:r w:rsidRPr="00DC1A5F">
        <w:rPr>
          <w:i/>
          <w:iCs/>
          <w:lang w:val="es-PE"/>
        </w:rPr>
        <w:t>pariyatti</w:t>
      </w:r>
      <w:proofErr w:type="spellEnd"/>
      <w:r w:rsidRPr="00DC1A5F">
        <w:rPr>
          <w:lang w:val="es-PE"/>
        </w:rPr>
        <w:t>— (1) erudición, (2) escritura</w:t>
      </w:r>
    </w:p>
    <w:p w14:paraId="1B0401FF" w14:textId="77777777" w:rsidR="00597DE2" w:rsidRPr="00DC1A5F" w:rsidRDefault="00597DE2" w:rsidP="00597DE2">
      <w:pPr>
        <w:pStyle w:val="ParrafoGlosario"/>
        <w:rPr>
          <w:lang w:val="es-PE"/>
        </w:rPr>
      </w:pPr>
      <w:proofErr w:type="spellStart"/>
      <w:r w:rsidRPr="00DC1A5F">
        <w:rPr>
          <w:i/>
          <w:iCs/>
          <w:lang w:val="es-PE"/>
        </w:rPr>
        <w:t>pariyonahana</w:t>
      </w:r>
      <w:proofErr w:type="spellEnd"/>
      <w:r w:rsidRPr="00DC1A5F">
        <w:rPr>
          <w:lang w:val="es-PE"/>
        </w:rPr>
        <w:t>*— cobertura, sobre: ​​VIII.115</w:t>
      </w:r>
    </w:p>
    <w:p w14:paraId="03CD4864" w14:textId="77777777" w:rsidR="00597DE2" w:rsidRPr="00DC1A5F" w:rsidRDefault="00597DE2" w:rsidP="00597DE2">
      <w:pPr>
        <w:pStyle w:val="ParrafoGlosario"/>
        <w:rPr>
          <w:lang w:val="es-PE"/>
        </w:rPr>
      </w:pPr>
      <w:proofErr w:type="spellStart"/>
      <w:r w:rsidRPr="00DC1A5F">
        <w:rPr>
          <w:i/>
          <w:iCs/>
          <w:lang w:val="es-PE"/>
        </w:rPr>
        <w:t>pariyosāna</w:t>
      </w:r>
      <w:proofErr w:type="spellEnd"/>
      <w:r w:rsidRPr="00DC1A5F">
        <w:rPr>
          <w:lang w:val="es-PE"/>
        </w:rPr>
        <w:t xml:space="preserve">*— </w:t>
      </w:r>
      <w:r w:rsidRPr="00DC1A5F">
        <w:rPr>
          <w:i/>
          <w:iCs/>
          <w:lang w:val="es-PE"/>
        </w:rPr>
        <w:t>también</w:t>
      </w:r>
      <w:r w:rsidRPr="00DC1A5F">
        <w:rPr>
          <w:lang w:val="es-PE"/>
        </w:rPr>
        <w:t xml:space="preserve"> intensidad: VI.49</w:t>
      </w:r>
    </w:p>
    <w:p w14:paraId="755ED301" w14:textId="77777777" w:rsidR="00597DE2" w:rsidRPr="00DC1A5F" w:rsidRDefault="00597DE2" w:rsidP="00597DE2">
      <w:pPr>
        <w:pStyle w:val="ParrafoGlosario"/>
        <w:rPr>
          <w:lang w:val="es-PE"/>
        </w:rPr>
      </w:pPr>
      <w:proofErr w:type="spellStart"/>
      <w:r w:rsidRPr="00DC1A5F">
        <w:rPr>
          <w:i/>
          <w:iCs/>
          <w:lang w:val="es-PE"/>
        </w:rPr>
        <w:t>pariyuṭṭhāna</w:t>
      </w:r>
      <w:proofErr w:type="spellEnd"/>
      <w:r w:rsidRPr="00DC1A5F">
        <w:rPr>
          <w:lang w:val="es-PE"/>
        </w:rPr>
        <w:t>— obsesión</w:t>
      </w:r>
    </w:p>
    <w:p w14:paraId="51D1D3C9" w14:textId="77777777" w:rsidR="00597DE2" w:rsidRPr="00DC1A5F" w:rsidRDefault="00597DE2" w:rsidP="00597DE2">
      <w:pPr>
        <w:pStyle w:val="ParrafoGlosario"/>
        <w:rPr>
          <w:lang w:val="es-PE"/>
        </w:rPr>
      </w:pPr>
      <w:proofErr w:type="spellStart"/>
      <w:r w:rsidRPr="00DC1A5F">
        <w:rPr>
          <w:i/>
          <w:iCs/>
          <w:lang w:val="es-PE"/>
        </w:rPr>
        <w:t>pasāda</w:t>
      </w:r>
      <w:proofErr w:type="spellEnd"/>
      <w:r w:rsidRPr="00DC1A5F">
        <w:rPr>
          <w:lang w:val="es-PE"/>
        </w:rPr>
        <w:t>— sensibilidad (de la materia)</w:t>
      </w:r>
    </w:p>
    <w:p w14:paraId="79B69AC3" w14:textId="77777777" w:rsidR="00597DE2" w:rsidRPr="00DC1A5F" w:rsidRDefault="00597DE2" w:rsidP="00597DE2">
      <w:pPr>
        <w:pStyle w:val="ParrafoGlosario"/>
        <w:rPr>
          <w:lang w:val="es-PE"/>
        </w:rPr>
      </w:pPr>
      <w:proofErr w:type="spellStart"/>
      <w:r w:rsidRPr="00DC1A5F">
        <w:rPr>
          <w:i/>
          <w:iCs/>
          <w:lang w:val="es-PE"/>
        </w:rPr>
        <w:t>pasadana</w:t>
      </w:r>
      <w:proofErr w:type="spellEnd"/>
      <w:r w:rsidRPr="00DC1A5F">
        <w:rPr>
          <w:lang w:val="es-PE"/>
        </w:rPr>
        <w:t xml:space="preserve">— </w:t>
      </w:r>
      <w:r w:rsidRPr="00DC1A5F">
        <w:rPr>
          <w:color w:val="833C0B" w:themeColor="accent2" w:themeShade="80"/>
          <w:lang w:val="es-PE"/>
        </w:rPr>
        <w:t>certidumbre</w:t>
      </w:r>
      <w:r w:rsidRPr="00DC1A5F">
        <w:rPr>
          <w:lang w:val="es-PE"/>
        </w:rPr>
        <w:t>, aclaración</w:t>
      </w:r>
    </w:p>
    <w:p w14:paraId="6D5C1563" w14:textId="77777777" w:rsidR="00597DE2" w:rsidRPr="00DC1A5F" w:rsidRDefault="00597DE2" w:rsidP="00597DE2">
      <w:pPr>
        <w:pStyle w:val="ParrafoGlosario"/>
        <w:rPr>
          <w:lang w:val="es-PE"/>
        </w:rPr>
      </w:pPr>
      <w:proofErr w:type="spellStart"/>
      <w:r w:rsidRPr="00DC1A5F">
        <w:rPr>
          <w:i/>
          <w:iCs/>
          <w:lang w:val="es-PE"/>
        </w:rPr>
        <w:t>passaddhi</w:t>
      </w:r>
      <w:proofErr w:type="spellEnd"/>
      <w:r w:rsidRPr="00DC1A5F">
        <w:rPr>
          <w:lang w:val="es-PE"/>
        </w:rPr>
        <w:t>— tranquilidad</w:t>
      </w:r>
    </w:p>
    <w:p w14:paraId="00AD5C32" w14:textId="77777777" w:rsidR="00597DE2" w:rsidRPr="00DC1A5F" w:rsidRDefault="00597DE2" w:rsidP="00597DE2">
      <w:pPr>
        <w:pStyle w:val="ParrafoGlosario"/>
        <w:rPr>
          <w:lang w:val="es-PE"/>
        </w:rPr>
      </w:pPr>
      <w:proofErr w:type="spellStart"/>
      <w:r w:rsidRPr="00DC1A5F">
        <w:rPr>
          <w:i/>
          <w:iCs/>
          <w:lang w:val="es-PE"/>
        </w:rPr>
        <w:t>paṭatantuka</w:t>
      </w:r>
      <w:proofErr w:type="spellEnd"/>
      <w:r w:rsidRPr="00DC1A5F">
        <w:rPr>
          <w:lang w:val="es-PE"/>
        </w:rPr>
        <w:t>*— gusano intestinal: VIII.121</w:t>
      </w:r>
    </w:p>
    <w:p w14:paraId="15B6ACEE" w14:textId="77777777" w:rsidR="00597DE2" w:rsidRPr="00DC1A5F" w:rsidRDefault="00597DE2" w:rsidP="00597DE2">
      <w:pPr>
        <w:pStyle w:val="ParrafoGlosario"/>
        <w:rPr>
          <w:lang w:val="es-PE"/>
        </w:rPr>
      </w:pPr>
      <w:proofErr w:type="spellStart"/>
      <w:r w:rsidRPr="00DC1A5F">
        <w:rPr>
          <w:i/>
          <w:iCs/>
          <w:lang w:val="es-PE"/>
        </w:rPr>
        <w:t>patati</w:t>
      </w:r>
      <w:proofErr w:type="spellEnd"/>
      <w:r w:rsidRPr="00DC1A5F">
        <w:rPr>
          <w:lang w:val="es-PE"/>
        </w:rPr>
        <w:t>*— congregarse, deambular por: II.5</w:t>
      </w:r>
    </w:p>
    <w:p w14:paraId="1C14D3DF" w14:textId="77777777" w:rsidR="00597DE2" w:rsidRPr="00DC1A5F" w:rsidRDefault="00597DE2" w:rsidP="00597DE2">
      <w:pPr>
        <w:pStyle w:val="ParrafoGlosario"/>
        <w:rPr>
          <w:lang w:val="es-PE"/>
        </w:rPr>
      </w:pPr>
      <w:proofErr w:type="spellStart"/>
      <w:r w:rsidRPr="00DC1A5F">
        <w:rPr>
          <w:i/>
          <w:iCs/>
          <w:lang w:val="es-PE"/>
        </w:rPr>
        <w:t>pathavī</w:t>
      </w:r>
      <w:proofErr w:type="spellEnd"/>
      <w:r w:rsidRPr="00DC1A5F">
        <w:rPr>
          <w:lang w:val="es-PE"/>
        </w:rPr>
        <w:t xml:space="preserve">— tierra </w:t>
      </w:r>
    </w:p>
    <w:p w14:paraId="6610D3D6" w14:textId="77777777" w:rsidR="00597DE2" w:rsidRPr="00DC1A5F" w:rsidRDefault="00597DE2" w:rsidP="00597DE2">
      <w:pPr>
        <w:pStyle w:val="ParrafoGlosario"/>
        <w:rPr>
          <w:lang w:val="es-PE"/>
        </w:rPr>
      </w:pPr>
      <w:proofErr w:type="spellStart"/>
      <w:r w:rsidRPr="00DC1A5F">
        <w:rPr>
          <w:i/>
          <w:iCs/>
          <w:lang w:val="es-PE"/>
        </w:rPr>
        <w:t>paṭibhāga</w:t>
      </w:r>
      <w:proofErr w:type="spellEnd"/>
      <w:r w:rsidRPr="00DC1A5F">
        <w:rPr>
          <w:lang w:val="es-PE"/>
        </w:rPr>
        <w:t>–</w:t>
      </w:r>
      <w:proofErr w:type="spellStart"/>
      <w:r w:rsidRPr="00DC1A5F">
        <w:rPr>
          <w:i/>
          <w:iCs/>
          <w:lang w:val="es-PE"/>
        </w:rPr>
        <w:t>nimitta</w:t>
      </w:r>
      <w:proofErr w:type="spellEnd"/>
      <w:r w:rsidRPr="00DC1A5F">
        <w:rPr>
          <w:lang w:val="es-PE"/>
        </w:rPr>
        <w:t>— signo equivalente, contraparte</w:t>
      </w:r>
    </w:p>
    <w:p w14:paraId="2E9B9551" w14:textId="77777777" w:rsidR="00597DE2" w:rsidRDefault="00597DE2" w:rsidP="00597DE2">
      <w:pPr>
        <w:pStyle w:val="ParrafoGlosario"/>
        <w:rPr>
          <w:i/>
          <w:iCs/>
          <w:lang w:val="es-PE"/>
        </w:rPr>
      </w:pPr>
      <w:r>
        <w:rPr>
          <w:i/>
          <w:iCs/>
          <w:lang w:val="es-PE"/>
        </w:rPr>
        <w:br w:type="page"/>
      </w:r>
    </w:p>
    <w:p w14:paraId="21BC1B0C" w14:textId="77777777" w:rsidR="00597DE2" w:rsidRDefault="00597DE2" w:rsidP="00597DE2">
      <w:pPr>
        <w:pStyle w:val="ParrafoGlosario"/>
        <w:rPr>
          <w:i/>
          <w:iCs/>
          <w:lang w:val="es-PE"/>
        </w:rPr>
      </w:pPr>
    </w:p>
    <w:p w14:paraId="48664DF0" w14:textId="77777777" w:rsidR="00597DE2" w:rsidRPr="00DC1A5F" w:rsidRDefault="00597DE2" w:rsidP="00597DE2">
      <w:pPr>
        <w:pStyle w:val="ParrafoGlosario"/>
        <w:rPr>
          <w:lang w:val="es-PE"/>
        </w:rPr>
      </w:pPr>
      <w:proofErr w:type="spellStart"/>
      <w:r w:rsidRPr="00DC1A5F">
        <w:rPr>
          <w:i/>
          <w:iCs/>
          <w:lang w:val="es-PE"/>
        </w:rPr>
        <w:t>pāṭibhoga</w:t>
      </w:r>
      <w:proofErr w:type="spellEnd"/>
      <w:r w:rsidRPr="00DC1A5F">
        <w:rPr>
          <w:lang w:val="es-PE"/>
        </w:rPr>
        <w:t xml:space="preserve">*— agente (no como en PED): XVII.174; </w:t>
      </w:r>
      <w:proofErr w:type="spellStart"/>
      <w:r w:rsidRPr="00DC1A5F">
        <w:rPr>
          <w:lang w:val="es-PE"/>
        </w:rPr>
        <w:t>Pet</w:t>
      </w:r>
      <w:proofErr w:type="spellEnd"/>
      <w:r w:rsidRPr="00DC1A5F">
        <w:rPr>
          <w:lang w:val="es-PE"/>
        </w:rPr>
        <w:t xml:space="preserve"> 215</w:t>
      </w:r>
    </w:p>
    <w:p w14:paraId="17C8BAF8" w14:textId="77777777" w:rsidR="00597DE2" w:rsidRPr="00DC1A5F" w:rsidRDefault="00597DE2" w:rsidP="00597DE2">
      <w:pPr>
        <w:pStyle w:val="ParrafoGlosario"/>
        <w:rPr>
          <w:lang w:val="es-PE"/>
        </w:rPr>
      </w:pPr>
      <w:proofErr w:type="spellStart"/>
      <w:r w:rsidRPr="00DC1A5F">
        <w:rPr>
          <w:i/>
          <w:iCs/>
          <w:lang w:val="es-PE"/>
        </w:rPr>
        <w:t>paṭicca</w:t>
      </w:r>
      <w:proofErr w:type="spellEnd"/>
      <w:r w:rsidRPr="00DC1A5F">
        <w:rPr>
          <w:lang w:val="es-PE"/>
        </w:rPr>
        <w:t xml:space="preserve">— (variación. </w:t>
      </w:r>
      <w:proofErr w:type="spellStart"/>
      <w:r w:rsidRPr="00DC1A5F">
        <w:rPr>
          <w:lang w:val="es-PE"/>
        </w:rPr>
        <w:t>ger</w:t>
      </w:r>
      <w:proofErr w:type="spellEnd"/>
      <w:r w:rsidRPr="00DC1A5F">
        <w:rPr>
          <w:lang w:val="es-PE"/>
        </w:rPr>
        <w:t xml:space="preserve">. de </w:t>
      </w:r>
      <w:proofErr w:type="spellStart"/>
      <w:r w:rsidRPr="00DC1A5F">
        <w:rPr>
          <w:i/>
          <w:iCs/>
          <w:lang w:val="es-PE"/>
        </w:rPr>
        <w:t>paṭiyeti</w:t>
      </w:r>
      <w:proofErr w:type="spellEnd"/>
      <w:r w:rsidRPr="00DC1A5F">
        <w:rPr>
          <w:lang w:val="es-PE"/>
        </w:rPr>
        <w:t>) habiendo dependido de, debido a, dependiente de</w:t>
      </w:r>
    </w:p>
    <w:p w14:paraId="0AB97A36" w14:textId="77777777" w:rsidR="00597DE2" w:rsidRPr="00DC1A5F" w:rsidRDefault="00597DE2" w:rsidP="00597DE2">
      <w:pPr>
        <w:pStyle w:val="ParrafoGlosario"/>
        <w:rPr>
          <w:lang w:val="es-PE"/>
        </w:rPr>
      </w:pPr>
      <w:proofErr w:type="spellStart"/>
      <w:r w:rsidRPr="00DC1A5F">
        <w:rPr>
          <w:i/>
          <w:iCs/>
          <w:lang w:val="es-PE"/>
        </w:rPr>
        <w:t>paṭicca</w:t>
      </w:r>
      <w:proofErr w:type="spellEnd"/>
      <w:r w:rsidRPr="00DC1A5F">
        <w:rPr>
          <w:lang w:val="es-PE"/>
        </w:rPr>
        <w:t xml:space="preserve">*— (variación. adj.) se debe llegar </w:t>
      </w:r>
      <w:proofErr w:type="gramStart"/>
      <w:r w:rsidRPr="00DC1A5F">
        <w:rPr>
          <w:lang w:val="es-PE"/>
        </w:rPr>
        <w:t>a:</w:t>
      </w:r>
      <w:r w:rsidRPr="00DC1A5F">
        <w:rPr>
          <w:i/>
          <w:iCs/>
          <w:lang w:val="es-PE"/>
        </w:rPr>
        <w:t>paṭicca</w:t>
      </w:r>
      <w:proofErr w:type="gramEnd"/>
      <w:r w:rsidRPr="00DC1A5F">
        <w:rPr>
          <w:i/>
          <w:iCs/>
          <w:lang w:val="es-PE"/>
        </w:rPr>
        <w:t>–samuppanna</w:t>
      </w:r>
      <w:r w:rsidRPr="00DC1A5F">
        <w:rPr>
          <w:lang w:val="es-PE"/>
        </w:rPr>
        <w:t>— surgido condicionalmente, originado de manera dependiente</w:t>
      </w:r>
    </w:p>
    <w:p w14:paraId="0892335A" w14:textId="77777777" w:rsidR="00597DE2" w:rsidRPr="00DC1A5F" w:rsidRDefault="00597DE2" w:rsidP="00597DE2">
      <w:pPr>
        <w:pStyle w:val="ParrafoGlosario"/>
        <w:rPr>
          <w:lang w:val="es-PE"/>
        </w:rPr>
      </w:pPr>
      <w:proofErr w:type="spellStart"/>
      <w:r w:rsidRPr="00DC1A5F">
        <w:rPr>
          <w:i/>
          <w:iCs/>
          <w:lang w:val="es-PE"/>
        </w:rPr>
        <w:t>paṭicca</w:t>
      </w:r>
      <w:proofErr w:type="spellEnd"/>
      <w:r w:rsidRPr="00DC1A5F">
        <w:rPr>
          <w:i/>
          <w:iCs/>
          <w:lang w:val="es-PE"/>
        </w:rPr>
        <w:t>–</w:t>
      </w:r>
      <w:proofErr w:type="spellStart"/>
      <w:r w:rsidRPr="00DC1A5F">
        <w:rPr>
          <w:i/>
          <w:iCs/>
          <w:lang w:val="es-PE"/>
        </w:rPr>
        <w:t>samuppāda</w:t>
      </w:r>
      <w:proofErr w:type="spellEnd"/>
      <w:proofErr w:type="gramStart"/>
      <w:r w:rsidRPr="00DC1A5F">
        <w:rPr>
          <w:lang w:val="es-PE"/>
        </w:rPr>
        <w:t>—  originación</w:t>
      </w:r>
      <w:proofErr w:type="gramEnd"/>
      <w:r w:rsidRPr="00DC1A5F">
        <w:rPr>
          <w:lang w:val="es-PE"/>
        </w:rPr>
        <w:t xml:space="preserve"> dependiente</w:t>
      </w:r>
    </w:p>
    <w:p w14:paraId="6BC8ACFA" w14:textId="77777777" w:rsidR="00597DE2" w:rsidRPr="00DC1A5F" w:rsidRDefault="00597DE2" w:rsidP="00597DE2">
      <w:pPr>
        <w:pStyle w:val="ParrafoGlosario"/>
        <w:rPr>
          <w:lang w:val="es-PE"/>
        </w:rPr>
      </w:pPr>
      <w:proofErr w:type="spellStart"/>
      <w:r w:rsidRPr="00DC1A5F">
        <w:rPr>
          <w:lang w:val="es-PE"/>
        </w:rPr>
        <w:t>paṭigha</w:t>
      </w:r>
      <w:proofErr w:type="spellEnd"/>
      <w:r w:rsidRPr="00DC1A5F">
        <w:rPr>
          <w:lang w:val="es-PE"/>
        </w:rPr>
        <w:t>— resentimiento, resistencia</w:t>
      </w:r>
    </w:p>
    <w:p w14:paraId="0CA0F63F" w14:textId="77777777" w:rsidR="00597DE2" w:rsidRPr="00DC1A5F" w:rsidRDefault="00597DE2" w:rsidP="00597DE2">
      <w:pPr>
        <w:pStyle w:val="ParrafoGlosario"/>
        <w:rPr>
          <w:lang w:val="es-PE"/>
        </w:rPr>
      </w:pPr>
      <w:proofErr w:type="spellStart"/>
      <w:r w:rsidRPr="00DC1A5F">
        <w:rPr>
          <w:i/>
          <w:iCs/>
          <w:lang w:val="es-PE"/>
        </w:rPr>
        <w:t>paṭihaññati</w:t>
      </w:r>
      <w:proofErr w:type="spellEnd"/>
      <w:r w:rsidRPr="00DC1A5F">
        <w:rPr>
          <w:lang w:val="es-PE"/>
        </w:rPr>
        <w:t xml:space="preserve">*— resentirse (como verbo para </w:t>
      </w:r>
      <w:proofErr w:type="spellStart"/>
      <w:r w:rsidRPr="00DC1A5F">
        <w:rPr>
          <w:i/>
          <w:iCs/>
          <w:lang w:val="es-PE"/>
        </w:rPr>
        <w:t>paṭigha</w:t>
      </w:r>
      <w:proofErr w:type="spellEnd"/>
      <w:r w:rsidRPr="00DC1A5F">
        <w:rPr>
          <w:lang w:val="es-PE"/>
        </w:rPr>
        <w:t xml:space="preserve">): IX.101 (cf. </w:t>
      </w:r>
      <w:proofErr w:type="spellStart"/>
      <w:r w:rsidRPr="00DC1A5F">
        <w:rPr>
          <w:lang w:val="es-PE"/>
        </w:rPr>
        <w:t>Dhs</w:t>
      </w:r>
      <w:proofErr w:type="spellEnd"/>
      <w:r w:rsidRPr="00DC1A5F">
        <w:rPr>
          <w:lang w:val="es-PE"/>
        </w:rPr>
        <w:t xml:space="preserve">–a 72, </w:t>
      </w:r>
      <w:proofErr w:type="spellStart"/>
      <w:r w:rsidRPr="00DC1A5F">
        <w:rPr>
          <w:lang w:val="es-PE"/>
        </w:rPr>
        <w:t>Netti</w:t>
      </w:r>
      <w:proofErr w:type="spellEnd"/>
      <w:r w:rsidRPr="00DC1A5F">
        <w:rPr>
          <w:lang w:val="es-PE"/>
        </w:rPr>
        <w:t xml:space="preserve"> 13)</w:t>
      </w:r>
    </w:p>
    <w:p w14:paraId="16139971" w14:textId="77777777" w:rsidR="00597DE2" w:rsidRPr="00DC1A5F" w:rsidRDefault="00597DE2" w:rsidP="00597DE2">
      <w:pPr>
        <w:pStyle w:val="ParrafoGlosario"/>
        <w:rPr>
          <w:lang w:val="es-PE"/>
        </w:rPr>
      </w:pPr>
      <w:proofErr w:type="spellStart"/>
      <w:r w:rsidRPr="00DC1A5F">
        <w:rPr>
          <w:i/>
          <w:iCs/>
          <w:lang w:val="es-PE"/>
        </w:rPr>
        <w:t>paṭihita</w:t>
      </w:r>
      <w:proofErr w:type="spellEnd"/>
      <w:r w:rsidRPr="00DC1A5F">
        <w:rPr>
          <w:lang w:val="es-PE"/>
        </w:rPr>
        <w:t>* (¿</w:t>
      </w:r>
      <w:proofErr w:type="spellStart"/>
      <w:r w:rsidRPr="00DC1A5F">
        <w:rPr>
          <w:i/>
          <w:iCs/>
          <w:lang w:val="es-PE"/>
        </w:rPr>
        <w:t>paṇihita</w:t>
      </w:r>
      <w:proofErr w:type="spellEnd"/>
      <w:r w:rsidRPr="00DC1A5F">
        <w:rPr>
          <w:lang w:val="es-PE"/>
        </w:rPr>
        <w:t xml:space="preserve">?)— basado en: VIII.26 </w:t>
      </w:r>
    </w:p>
    <w:p w14:paraId="08F253A1" w14:textId="77777777" w:rsidR="00597DE2" w:rsidRPr="00DC1A5F" w:rsidRDefault="00597DE2" w:rsidP="00597DE2">
      <w:pPr>
        <w:pStyle w:val="ParrafoGlosario"/>
        <w:rPr>
          <w:lang w:val="es-PE"/>
        </w:rPr>
      </w:pPr>
      <w:proofErr w:type="spellStart"/>
      <w:r w:rsidRPr="00DC1A5F">
        <w:rPr>
          <w:i/>
          <w:iCs/>
          <w:lang w:val="es-PE"/>
        </w:rPr>
        <w:t>paṭikkamana</w:t>
      </w:r>
      <w:proofErr w:type="spellEnd"/>
      <w:r w:rsidRPr="00DC1A5F">
        <w:rPr>
          <w:lang w:val="es-PE"/>
        </w:rPr>
        <w:t>*— refectorio, comedor: II.28</w:t>
      </w:r>
    </w:p>
    <w:p w14:paraId="537EF737" w14:textId="77777777" w:rsidR="00597DE2" w:rsidRPr="00DC1A5F" w:rsidRDefault="00597DE2" w:rsidP="00597DE2">
      <w:pPr>
        <w:pStyle w:val="ParrafoGlosario"/>
        <w:rPr>
          <w:lang w:val="es-PE"/>
        </w:rPr>
      </w:pPr>
      <w:proofErr w:type="spellStart"/>
      <w:r w:rsidRPr="00DC1A5F">
        <w:rPr>
          <w:i/>
          <w:iCs/>
          <w:lang w:val="es-PE"/>
        </w:rPr>
        <w:t>paṭikkūla</w:t>
      </w:r>
      <w:proofErr w:type="spellEnd"/>
      <w:r w:rsidRPr="00DC1A5F">
        <w:rPr>
          <w:lang w:val="es-PE"/>
        </w:rPr>
        <w:t>— repulsivo</w:t>
      </w:r>
    </w:p>
    <w:p w14:paraId="48DEEDDE" w14:textId="77777777" w:rsidR="00597DE2" w:rsidRPr="00DC1A5F" w:rsidRDefault="00597DE2" w:rsidP="00597DE2">
      <w:pPr>
        <w:pStyle w:val="ParrafoGlosario"/>
        <w:rPr>
          <w:lang w:val="es-PE"/>
        </w:rPr>
      </w:pPr>
      <w:proofErr w:type="spellStart"/>
      <w:r w:rsidRPr="00DC1A5F">
        <w:rPr>
          <w:i/>
          <w:iCs/>
          <w:lang w:val="es-PE"/>
        </w:rPr>
        <w:t>paṭinissagga</w:t>
      </w:r>
      <w:proofErr w:type="spellEnd"/>
      <w:r w:rsidRPr="00DC1A5F">
        <w:rPr>
          <w:lang w:val="es-PE"/>
        </w:rPr>
        <w:t>— renunciación</w:t>
      </w:r>
    </w:p>
    <w:p w14:paraId="2B584547" w14:textId="77777777" w:rsidR="00597DE2" w:rsidRPr="00DC1A5F" w:rsidRDefault="00597DE2" w:rsidP="00597DE2">
      <w:pPr>
        <w:pStyle w:val="ParrafoGlosario"/>
        <w:rPr>
          <w:lang w:val="es-PE"/>
        </w:rPr>
      </w:pPr>
      <w:proofErr w:type="spellStart"/>
      <w:r w:rsidRPr="00DC1A5F">
        <w:rPr>
          <w:i/>
          <w:iCs/>
          <w:lang w:val="es-PE"/>
        </w:rPr>
        <w:t>paṭiñña</w:t>
      </w:r>
      <w:proofErr w:type="spellEnd"/>
      <w:r w:rsidRPr="00DC1A5F">
        <w:rPr>
          <w:lang w:val="es-PE"/>
        </w:rPr>
        <w:t>— reclamación, afirmación</w:t>
      </w:r>
    </w:p>
    <w:p w14:paraId="74667048" w14:textId="77777777" w:rsidR="00597DE2" w:rsidRPr="00DC1A5F" w:rsidRDefault="00597DE2" w:rsidP="00597DE2">
      <w:pPr>
        <w:pStyle w:val="ParrafoGlosario"/>
        <w:rPr>
          <w:lang w:val="es-PE"/>
        </w:rPr>
      </w:pPr>
      <w:proofErr w:type="spellStart"/>
      <w:r w:rsidRPr="00DC1A5F">
        <w:rPr>
          <w:i/>
          <w:iCs/>
          <w:lang w:val="es-PE"/>
        </w:rPr>
        <w:t>paṭiñña</w:t>
      </w:r>
      <w:proofErr w:type="spellEnd"/>
      <w:r w:rsidRPr="00DC1A5F">
        <w:rPr>
          <w:lang w:val="es-PE"/>
        </w:rPr>
        <w:t xml:space="preserve">*— </w:t>
      </w:r>
      <w:r w:rsidRPr="00DC1A5F">
        <w:rPr>
          <w:i/>
          <w:iCs/>
          <w:lang w:val="es-PE"/>
        </w:rPr>
        <w:t>también</w:t>
      </w:r>
      <w:r w:rsidRPr="00DC1A5F">
        <w:rPr>
          <w:lang w:val="es-PE"/>
        </w:rPr>
        <w:t xml:space="preserve"> proposición (log.) XVII.67 Kv.2)</w:t>
      </w:r>
    </w:p>
    <w:p w14:paraId="18EE82E7" w14:textId="77777777" w:rsidR="00597DE2" w:rsidRPr="00DC1A5F" w:rsidRDefault="00597DE2" w:rsidP="00597DE2">
      <w:pPr>
        <w:pStyle w:val="ParrafoGlosario"/>
        <w:rPr>
          <w:lang w:val="es-PE"/>
        </w:rPr>
      </w:pPr>
      <w:proofErr w:type="spellStart"/>
      <w:r w:rsidRPr="00DC1A5F">
        <w:rPr>
          <w:i/>
          <w:iCs/>
          <w:lang w:val="es-PE"/>
        </w:rPr>
        <w:t>paṭipadāna</w:t>
      </w:r>
      <w:proofErr w:type="spellEnd"/>
      <w:r w:rsidRPr="00DC1A5F">
        <w:rPr>
          <w:lang w:val="es-PE"/>
        </w:rPr>
        <w:t>*— manteniendo (en curso): IV.42</w:t>
      </w:r>
    </w:p>
    <w:p w14:paraId="11209E6E" w14:textId="77777777" w:rsidR="00597DE2" w:rsidRPr="00DC1A5F" w:rsidRDefault="00597DE2" w:rsidP="00597DE2">
      <w:pPr>
        <w:pStyle w:val="ParrafoGlosario"/>
        <w:rPr>
          <w:lang w:val="es-PE"/>
        </w:rPr>
      </w:pPr>
      <w:proofErr w:type="spellStart"/>
      <w:r w:rsidRPr="00DC1A5F">
        <w:rPr>
          <w:i/>
          <w:iCs/>
          <w:lang w:val="es-PE"/>
        </w:rPr>
        <w:t>paṭipassaddhi</w:t>
      </w:r>
      <w:proofErr w:type="spellEnd"/>
      <w:r w:rsidRPr="00DC1A5F">
        <w:rPr>
          <w:lang w:val="es-PE"/>
        </w:rPr>
        <w:t>— tranquilización (de las contaminaciones mediante la fruición)</w:t>
      </w:r>
    </w:p>
    <w:p w14:paraId="2B6A9284" w14:textId="77777777" w:rsidR="00597DE2" w:rsidRPr="00DC1A5F" w:rsidRDefault="00597DE2" w:rsidP="00597DE2">
      <w:pPr>
        <w:pStyle w:val="ParrafoGlosario"/>
        <w:rPr>
          <w:lang w:val="es-PE"/>
        </w:rPr>
      </w:pPr>
      <w:proofErr w:type="spellStart"/>
      <w:r w:rsidRPr="00DC1A5F">
        <w:rPr>
          <w:i/>
          <w:iCs/>
          <w:lang w:val="es-PE"/>
        </w:rPr>
        <w:t>paṭipassanā</w:t>
      </w:r>
      <w:proofErr w:type="spellEnd"/>
      <w:r w:rsidRPr="00DC1A5F">
        <w:rPr>
          <w:lang w:val="es-PE"/>
        </w:rPr>
        <w:t>*— mirar hacia atrás, recordar: VIII.189, 225</w:t>
      </w:r>
    </w:p>
    <w:p w14:paraId="3283A067" w14:textId="77777777" w:rsidR="00597DE2" w:rsidRPr="00DC1A5F" w:rsidRDefault="00597DE2" w:rsidP="00597DE2">
      <w:pPr>
        <w:pStyle w:val="ParrafoGlosario"/>
        <w:rPr>
          <w:lang w:val="es-PE"/>
        </w:rPr>
      </w:pPr>
      <w:proofErr w:type="spellStart"/>
      <w:r w:rsidRPr="00DC1A5F">
        <w:rPr>
          <w:i/>
          <w:iCs/>
          <w:lang w:val="es-PE"/>
        </w:rPr>
        <w:t>paṭipātiyāmana</w:t>
      </w:r>
      <w:proofErr w:type="spellEnd"/>
      <w:r w:rsidRPr="00DC1A5F">
        <w:rPr>
          <w:lang w:val="es-PE"/>
        </w:rPr>
        <w:t>*— siguiendo sucesivamente: VIII.69</w:t>
      </w:r>
    </w:p>
    <w:p w14:paraId="7EAD7012" w14:textId="77777777" w:rsidR="00597DE2" w:rsidRPr="00DC1A5F" w:rsidRDefault="00597DE2" w:rsidP="00597DE2">
      <w:pPr>
        <w:pStyle w:val="ParrafoGlosario"/>
        <w:rPr>
          <w:lang w:val="es-PE"/>
        </w:rPr>
      </w:pPr>
      <w:proofErr w:type="spellStart"/>
      <w:r w:rsidRPr="00DC1A5F">
        <w:rPr>
          <w:i/>
          <w:iCs/>
          <w:lang w:val="es-PE"/>
        </w:rPr>
        <w:t>paṭipatti</w:t>
      </w:r>
      <w:proofErr w:type="spellEnd"/>
      <w:r w:rsidRPr="00DC1A5F">
        <w:rPr>
          <w:lang w:val="es-PE"/>
        </w:rPr>
        <w:t xml:space="preserve">— práctica, sendero, progreso </w:t>
      </w:r>
    </w:p>
    <w:p w14:paraId="5EB16EE1" w14:textId="77777777" w:rsidR="00597DE2" w:rsidRPr="00DC1A5F" w:rsidRDefault="00597DE2" w:rsidP="00597DE2">
      <w:pPr>
        <w:pStyle w:val="ParrafoGlosario"/>
        <w:rPr>
          <w:lang w:val="es-PE"/>
        </w:rPr>
      </w:pPr>
      <w:proofErr w:type="spellStart"/>
      <w:r w:rsidRPr="00DC1A5F">
        <w:rPr>
          <w:i/>
          <w:iCs/>
          <w:lang w:val="es-PE"/>
        </w:rPr>
        <w:t>paṭipatti</w:t>
      </w:r>
      <w:proofErr w:type="spellEnd"/>
      <w:r w:rsidRPr="00DC1A5F">
        <w:rPr>
          <w:lang w:val="es-PE"/>
        </w:rPr>
        <w:t>*— teoría: XIV.163, 177; XVII.52, 303</w:t>
      </w:r>
    </w:p>
    <w:p w14:paraId="57F78FD1" w14:textId="77777777" w:rsidR="00597DE2" w:rsidRPr="00DC1A5F" w:rsidRDefault="00597DE2" w:rsidP="00597DE2">
      <w:pPr>
        <w:pStyle w:val="ParrafoGlosario"/>
        <w:rPr>
          <w:lang w:val="es-PE"/>
        </w:rPr>
      </w:pPr>
      <w:proofErr w:type="spellStart"/>
      <w:r w:rsidRPr="00DC1A5F">
        <w:rPr>
          <w:i/>
          <w:iCs/>
          <w:lang w:val="es-PE"/>
        </w:rPr>
        <w:t>paṭisambhidā</w:t>
      </w:r>
      <w:proofErr w:type="spellEnd"/>
      <w:r w:rsidRPr="00DC1A5F">
        <w:rPr>
          <w:lang w:val="es-PE"/>
        </w:rPr>
        <w:t>— discriminación (las 4)</w:t>
      </w:r>
    </w:p>
    <w:p w14:paraId="4F553C36" w14:textId="77777777" w:rsidR="00597DE2" w:rsidRPr="00DC1A5F" w:rsidRDefault="00597DE2" w:rsidP="00597DE2">
      <w:pPr>
        <w:pStyle w:val="ParrafoGlosario"/>
        <w:rPr>
          <w:lang w:val="es-PE"/>
        </w:rPr>
      </w:pPr>
      <w:proofErr w:type="spellStart"/>
      <w:r w:rsidRPr="00DC1A5F">
        <w:rPr>
          <w:i/>
          <w:iCs/>
          <w:lang w:val="es-PE"/>
        </w:rPr>
        <w:t>paṭisandhi</w:t>
      </w:r>
      <w:proofErr w:type="spellEnd"/>
      <w:r w:rsidRPr="00DC1A5F">
        <w:rPr>
          <w:lang w:val="es-PE"/>
        </w:rPr>
        <w:t>— vínculo de renacimiento (consciencia)</w:t>
      </w:r>
    </w:p>
    <w:p w14:paraId="13F3C40E" w14:textId="77777777" w:rsidR="00597DE2" w:rsidRPr="00DC1A5F" w:rsidRDefault="00597DE2" w:rsidP="00597DE2">
      <w:pPr>
        <w:pStyle w:val="ParrafoGlosario"/>
        <w:rPr>
          <w:lang w:val="es-PE"/>
        </w:rPr>
      </w:pPr>
      <w:proofErr w:type="spellStart"/>
      <w:r w:rsidRPr="00DC1A5F">
        <w:rPr>
          <w:i/>
          <w:iCs/>
          <w:lang w:val="es-PE"/>
        </w:rPr>
        <w:t>paṭisaṅkhā</w:t>
      </w:r>
      <w:proofErr w:type="spellEnd"/>
      <w:r w:rsidRPr="00DC1A5F">
        <w:rPr>
          <w:lang w:val="es-PE"/>
        </w:rPr>
        <w:t>— reflexión</w:t>
      </w:r>
    </w:p>
    <w:p w14:paraId="09B4F7CC" w14:textId="77777777" w:rsidR="00597DE2" w:rsidRPr="00DC1A5F" w:rsidRDefault="00597DE2" w:rsidP="00597DE2">
      <w:pPr>
        <w:pStyle w:val="ParrafoGlosario"/>
        <w:rPr>
          <w:lang w:val="es-PE"/>
        </w:rPr>
      </w:pPr>
      <w:proofErr w:type="spellStart"/>
      <w:r w:rsidRPr="00DC1A5F">
        <w:rPr>
          <w:i/>
          <w:iCs/>
          <w:lang w:val="es-PE"/>
        </w:rPr>
        <w:t>paṭisiddha</w:t>
      </w:r>
      <w:proofErr w:type="spellEnd"/>
      <w:r w:rsidRPr="00DC1A5F">
        <w:rPr>
          <w:lang w:val="es-PE"/>
        </w:rPr>
        <w:t>*— excluido, rechazado, refutado (log.): XVII.150</w:t>
      </w:r>
    </w:p>
    <w:p w14:paraId="7E93151D" w14:textId="77777777" w:rsidR="00597DE2" w:rsidRPr="00DC1A5F" w:rsidRDefault="00597DE2" w:rsidP="00597DE2">
      <w:pPr>
        <w:pStyle w:val="ParrafoGlosario"/>
        <w:rPr>
          <w:lang w:val="es-PE"/>
        </w:rPr>
      </w:pPr>
      <w:proofErr w:type="spellStart"/>
      <w:r w:rsidRPr="00DC1A5F">
        <w:rPr>
          <w:i/>
          <w:iCs/>
          <w:lang w:val="es-PE"/>
        </w:rPr>
        <w:t>paṭivedha</w:t>
      </w:r>
      <w:proofErr w:type="spellEnd"/>
      <w:r w:rsidRPr="00DC1A5F">
        <w:rPr>
          <w:lang w:val="es-PE"/>
        </w:rPr>
        <w:t>— penetración (en la 4 Verdades)</w:t>
      </w:r>
    </w:p>
    <w:p w14:paraId="6B9DE8BA" w14:textId="77777777" w:rsidR="00597DE2" w:rsidRPr="00DC1A5F" w:rsidRDefault="00597DE2" w:rsidP="00597DE2">
      <w:pPr>
        <w:pStyle w:val="ParrafoGlosario"/>
        <w:rPr>
          <w:lang w:val="es-PE"/>
        </w:rPr>
      </w:pPr>
      <w:proofErr w:type="spellStart"/>
      <w:r w:rsidRPr="00DC1A5F">
        <w:rPr>
          <w:i/>
          <w:iCs/>
          <w:lang w:val="es-PE"/>
        </w:rPr>
        <w:t>paṭiveti</w:t>
      </w:r>
      <w:proofErr w:type="spellEnd"/>
      <w:r w:rsidRPr="00DC1A5F">
        <w:rPr>
          <w:lang w:val="es-PE"/>
        </w:rPr>
        <w:t>*— desaparecer: XX.96</w:t>
      </w:r>
    </w:p>
    <w:p w14:paraId="23F616B1" w14:textId="77777777" w:rsidR="00597DE2" w:rsidRPr="00DC1A5F" w:rsidRDefault="00597DE2" w:rsidP="00597DE2">
      <w:pPr>
        <w:pStyle w:val="ParrafoGlosario"/>
        <w:rPr>
          <w:lang w:val="es-PE"/>
        </w:rPr>
      </w:pPr>
      <w:proofErr w:type="spellStart"/>
      <w:r w:rsidRPr="00DC1A5F">
        <w:rPr>
          <w:i/>
          <w:iCs/>
          <w:lang w:val="es-PE"/>
        </w:rPr>
        <w:t>patīyamāna</w:t>
      </w:r>
      <w:proofErr w:type="spellEnd"/>
      <w:r w:rsidRPr="00DC1A5F">
        <w:rPr>
          <w:lang w:val="es-PE"/>
        </w:rPr>
        <w:t>*— regresar a: XVII.16</w:t>
      </w:r>
    </w:p>
    <w:p w14:paraId="32D1462A" w14:textId="77777777" w:rsidR="00597DE2" w:rsidRPr="00DC1A5F" w:rsidRDefault="00597DE2" w:rsidP="00597DE2">
      <w:pPr>
        <w:pStyle w:val="ParrafoGlosario"/>
        <w:rPr>
          <w:lang w:val="es-PE"/>
        </w:rPr>
      </w:pPr>
      <w:proofErr w:type="spellStart"/>
      <w:r w:rsidRPr="00DC1A5F">
        <w:rPr>
          <w:i/>
          <w:iCs/>
          <w:lang w:val="es-PE"/>
        </w:rPr>
        <w:t>patthanīyatā</w:t>
      </w:r>
      <w:proofErr w:type="spellEnd"/>
      <w:r w:rsidRPr="00DC1A5F">
        <w:rPr>
          <w:lang w:val="es-PE"/>
        </w:rPr>
        <w:t>*— fama: IV.2, 10</w:t>
      </w:r>
    </w:p>
    <w:p w14:paraId="217D8623" w14:textId="77777777" w:rsidR="00597DE2" w:rsidRPr="00DC1A5F" w:rsidRDefault="00597DE2" w:rsidP="00597DE2">
      <w:pPr>
        <w:pStyle w:val="ParrafoGlosario"/>
        <w:rPr>
          <w:lang w:val="es-PE"/>
        </w:rPr>
      </w:pPr>
      <w:r w:rsidRPr="00DC1A5F">
        <w:rPr>
          <w:i/>
          <w:iCs/>
          <w:lang w:val="es-PE"/>
        </w:rPr>
        <w:t>pavana</w:t>
      </w:r>
      <w:r w:rsidRPr="00DC1A5F">
        <w:rPr>
          <w:lang w:val="es-PE"/>
        </w:rPr>
        <w:t>*— corriente de viento: XI.19; XVI.37</w:t>
      </w:r>
    </w:p>
    <w:p w14:paraId="678FAE20" w14:textId="77777777" w:rsidR="00597DE2" w:rsidRPr="00DC1A5F" w:rsidRDefault="00597DE2" w:rsidP="00597DE2">
      <w:pPr>
        <w:pStyle w:val="ParrafoGlosario"/>
        <w:rPr>
          <w:lang w:val="es-PE"/>
        </w:rPr>
      </w:pPr>
      <w:proofErr w:type="spellStart"/>
      <w:r w:rsidRPr="00DC1A5F">
        <w:rPr>
          <w:i/>
          <w:iCs/>
          <w:lang w:val="es-PE"/>
        </w:rPr>
        <w:t>pāvāra</w:t>
      </w:r>
      <w:proofErr w:type="spellEnd"/>
      <w:r w:rsidRPr="00DC1A5F">
        <w:rPr>
          <w:lang w:val="es-PE"/>
        </w:rPr>
        <w:t xml:space="preserve">*— </w:t>
      </w:r>
      <w:r w:rsidRPr="00DC1A5F">
        <w:rPr>
          <w:i/>
          <w:iCs/>
          <w:lang w:val="es-PE"/>
        </w:rPr>
        <w:t>también</w:t>
      </w:r>
      <w:r w:rsidRPr="00DC1A5F">
        <w:rPr>
          <w:lang w:val="es-PE"/>
        </w:rPr>
        <w:t xml:space="preserve"> una tela, tela: VIII.117</w:t>
      </w:r>
    </w:p>
    <w:p w14:paraId="0E17F16C" w14:textId="77777777" w:rsidR="00597DE2" w:rsidRPr="00DC1A5F" w:rsidRDefault="00597DE2" w:rsidP="00597DE2">
      <w:pPr>
        <w:pStyle w:val="ParrafoGlosario"/>
        <w:rPr>
          <w:lang w:val="es-PE"/>
        </w:rPr>
      </w:pPr>
      <w:proofErr w:type="spellStart"/>
      <w:r w:rsidRPr="00DC1A5F">
        <w:rPr>
          <w:i/>
          <w:iCs/>
          <w:lang w:val="es-PE"/>
        </w:rPr>
        <w:t>pavatta</w:t>
      </w:r>
      <w:proofErr w:type="spellEnd"/>
      <w:r w:rsidRPr="00DC1A5F">
        <w:rPr>
          <w:i/>
          <w:iCs/>
          <w:lang w:val="es-PE"/>
        </w:rPr>
        <w:t xml:space="preserve">, </w:t>
      </w:r>
      <w:proofErr w:type="spellStart"/>
      <w:r w:rsidRPr="00DC1A5F">
        <w:rPr>
          <w:i/>
          <w:iCs/>
          <w:lang w:val="es-PE"/>
        </w:rPr>
        <w:t>pavatti</w:t>
      </w:r>
      <w:proofErr w:type="spellEnd"/>
      <w:r w:rsidRPr="00DC1A5F">
        <w:rPr>
          <w:lang w:val="es-PE"/>
        </w:rPr>
        <w:t>— (1) ocurrencia, (2) curso de una existencia (entre el vínculo–de–renacimiento y la muerte)</w:t>
      </w:r>
    </w:p>
    <w:p w14:paraId="47957002" w14:textId="77777777" w:rsidR="00597DE2" w:rsidRPr="00DC1A5F" w:rsidRDefault="00597DE2" w:rsidP="00597DE2">
      <w:pPr>
        <w:pStyle w:val="ParrafoGlosario"/>
        <w:rPr>
          <w:lang w:val="es-PE"/>
        </w:rPr>
      </w:pPr>
      <w:proofErr w:type="spellStart"/>
      <w:r w:rsidRPr="00DC1A5F">
        <w:rPr>
          <w:i/>
          <w:iCs/>
          <w:lang w:val="es-PE"/>
        </w:rPr>
        <w:t>pavicaya</w:t>
      </w:r>
      <w:proofErr w:type="spellEnd"/>
      <w:r w:rsidRPr="00DC1A5F">
        <w:rPr>
          <w:lang w:val="es-PE"/>
        </w:rPr>
        <w:t>— investigación</w:t>
      </w:r>
    </w:p>
    <w:p w14:paraId="4AF6EA45" w14:textId="77777777" w:rsidR="00597DE2" w:rsidRPr="00DC1A5F" w:rsidRDefault="00597DE2" w:rsidP="00597DE2">
      <w:pPr>
        <w:pStyle w:val="ParrafoGlosario"/>
        <w:rPr>
          <w:lang w:val="es-PE"/>
        </w:rPr>
      </w:pPr>
      <w:proofErr w:type="spellStart"/>
      <w:r w:rsidRPr="00DC1A5F">
        <w:rPr>
          <w:i/>
          <w:iCs/>
          <w:lang w:val="es-PE"/>
        </w:rPr>
        <w:t>paviveka</w:t>
      </w:r>
      <w:proofErr w:type="spellEnd"/>
      <w:r w:rsidRPr="00DC1A5F">
        <w:rPr>
          <w:lang w:val="es-PE"/>
        </w:rPr>
        <w:t>— reclusión</w:t>
      </w:r>
    </w:p>
    <w:p w14:paraId="7D864855" w14:textId="77777777" w:rsidR="00597DE2" w:rsidRPr="00DC1A5F" w:rsidRDefault="00597DE2" w:rsidP="00597DE2">
      <w:pPr>
        <w:pStyle w:val="ParrafoGlosario"/>
        <w:rPr>
          <w:lang w:val="es-PE"/>
        </w:rPr>
      </w:pPr>
      <w:proofErr w:type="spellStart"/>
      <w:r w:rsidRPr="00DC1A5F">
        <w:rPr>
          <w:i/>
          <w:iCs/>
          <w:lang w:val="es-PE"/>
        </w:rPr>
        <w:t>pesika</w:t>
      </w:r>
      <w:proofErr w:type="spellEnd"/>
      <w:r w:rsidRPr="00DC1A5F">
        <w:rPr>
          <w:lang w:val="es-PE"/>
        </w:rPr>
        <w:t>*— raspador: I.81</w:t>
      </w:r>
    </w:p>
    <w:p w14:paraId="2391DAF8" w14:textId="77777777" w:rsidR="00597DE2" w:rsidRPr="00DC1A5F" w:rsidRDefault="00597DE2" w:rsidP="00597DE2">
      <w:pPr>
        <w:pStyle w:val="ParrafoGlosario"/>
        <w:rPr>
          <w:lang w:val="es-PE"/>
        </w:rPr>
      </w:pPr>
      <w:r w:rsidRPr="00DC1A5F">
        <w:rPr>
          <w:i/>
          <w:iCs/>
          <w:lang w:val="es-PE"/>
        </w:rPr>
        <w:t>peta</w:t>
      </w:r>
      <w:r w:rsidRPr="00DC1A5F">
        <w:rPr>
          <w:lang w:val="es-PE"/>
        </w:rPr>
        <w:t>— fantasma</w:t>
      </w:r>
      <w:r>
        <w:rPr>
          <w:lang w:val="es-PE"/>
        </w:rPr>
        <w:br w:type="column"/>
      </w:r>
    </w:p>
    <w:p w14:paraId="2D8A19C3" w14:textId="77777777" w:rsidR="00597DE2" w:rsidRPr="00DC1A5F" w:rsidRDefault="00597DE2" w:rsidP="00597DE2">
      <w:pPr>
        <w:pStyle w:val="ParrafoGlosario"/>
        <w:rPr>
          <w:lang w:val="es-PE"/>
        </w:rPr>
      </w:pPr>
      <w:proofErr w:type="spellStart"/>
      <w:r w:rsidRPr="00DC1A5F">
        <w:rPr>
          <w:i/>
          <w:iCs/>
          <w:lang w:val="es-PE"/>
        </w:rPr>
        <w:t>phala</w:t>
      </w:r>
      <w:proofErr w:type="spellEnd"/>
      <w:r w:rsidRPr="00DC1A5F">
        <w:rPr>
          <w:lang w:val="es-PE"/>
        </w:rPr>
        <w:t xml:space="preserve">— (1) fruición de (las plantas), (2) efecto de </w:t>
      </w:r>
      <w:proofErr w:type="spellStart"/>
      <w:r w:rsidRPr="00DC1A5F">
        <w:rPr>
          <w:lang w:val="es-PE"/>
        </w:rPr>
        <w:t>de</w:t>
      </w:r>
      <w:proofErr w:type="spellEnd"/>
      <w:r w:rsidRPr="00DC1A5F">
        <w:rPr>
          <w:lang w:val="es-PE"/>
        </w:rPr>
        <w:t xml:space="preserve"> una causa, (3) fruición (del sendero; los 4)</w:t>
      </w:r>
    </w:p>
    <w:p w14:paraId="260B1420" w14:textId="77777777" w:rsidR="00597DE2" w:rsidRPr="00DC1A5F" w:rsidRDefault="00597DE2" w:rsidP="00597DE2">
      <w:pPr>
        <w:pStyle w:val="ParrafoGlosario"/>
        <w:rPr>
          <w:lang w:val="es-PE"/>
        </w:rPr>
      </w:pPr>
      <w:proofErr w:type="spellStart"/>
      <w:r w:rsidRPr="00DC1A5F">
        <w:rPr>
          <w:i/>
          <w:iCs/>
          <w:lang w:val="es-PE"/>
        </w:rPr>
        <w:t>phalakasata</w:t>
      </w:r>
      <w:proofErr w:type="spellEnd"/>
      <w:r w:rsidRPr="00DC1A5F">
        <w:rPr>
          <w:lang w:val="es-PE"/>
        </w:rPr>
        <w:t>*— objetivo: XXII.12</w:t>
      </w:r>
    </w:p>
    <w:p w14:paraId="120FD1A4" w14:textId="77777777" w:rsidR="00597DE2" w:rsidRPr="00DC1A5F" w:rsidRDefault="00597DE2" w:rsidP="00597DE2">
      <w:pPr>
        <w:pStyle w:val="ParrafoGlosario"/>
        <w:rPr>
          <w:lang w:val="es-PE"/>
        </w:rPr>
      </w:pPr>
      <w:proofErr w:type="spellStart"/>
      <w:r w:rsidRPr="00DC1A5F">
        <w:rPr>
          <w:i/>
          <w:iCs/>
          <w:lang w:val="es-PE"/>
        </w:rPr>
        <w:t>pharusa</w:t>
      </w:r>
      <w:proofErr w:type="spellEnd"/>
      <w:r w:rsidRPr="00DC1A5F">
        <w:rPr>
          <w:i/>
          <w:iCs/>
          <w:lang w:val="es-PE"/>
        </w:rPr>
        <w:t>–vācā</w:t>
      </w:r>
      <w:r w:rsidRPr="00DC1A5F">
        <w:rPr>
          <w:lang w:val="es-PE"/>
        </w:rPr>
        <w:t>— lenguaje rudo</w:t>
      </w:r>
    </w:p>
    <w:p w14:paraId="03EA3508" w14:textId="77777777" w:rsidR="00597DE2" w:rsidRPr="00DC1A5F" w:rsidRDefault="00597DE2" w:rsidP="00597DE2">
      <w:pPr>
        <w:pStyle w:val="ParrafoGlosario"/>
        <w:rPr>
          <w:lang w:val="es-PE"/>
        </w:rPr>
      </w:pPr>
      <w:proofErr w:type="spellStart"/>
      <w:r w:rsidRPr="00DC1A5F">
        <w:rPr>
          <w:i/>
          <w:iCs/>
          <w:lang w:val="es-PE"/>
        </w:rPr>
        <w:t>phassa</w:t>
      </w:r>
      <w:proofErr w:type="spellEnd"/>
      <w:r w:rsidRPr="00DC1A5F">
        <w:rPr>
          <w:lang w:val="es-PE"/>
        </w:rPr>
        <w:t>— contacto</w:t>
      </w:r>
    </w:p>
    <w:p w14:paraId="4B012D14" w14:textId="77777777" w:rsidR="00597DE2" w:rsidRPr="00DC1A5F" w:rsidRDefault="00597DE2" w:rsidP="00597DE2">
      <w:pPr>
        <w:pStyle w:val="ParrafoGlosario"/>
        <w:rPr>
          <w:lang w:val="es-PE"/>
        </w:rPr>
      </w:pPr>
      <w:proofErr w:type="spellStart"/>
      <w:r w:rsidRPr="00DC1A5F">
        <w:rPr>
          <w:i/>
          <w:iCs/>
          <w:lang w:val="es-PE"/>
        </w:rPr>
        <w:t>phāsu</w:t>
      </w:r>
      <w:proofErr w:type="spellEnd"/>
      <w:r w:rsidRPr="00DC1A5F">
        <w:rPr>
          <w:lang w:val="es-PE"/>
        </w:rPr>
        <w:t>*— conveniente: IV.1 (D II 99; M I 10)</w:t>
      </w:r>
    </w:p>
    <w:p w14:paraId="072B2273" w14:textId="77777777" w:rsidR="00597DE2" w:rsidRPr="00DC1A5F" w:rsidRDefault="00597DE2" w:rsidP="00597DE2">
      <w:pPr>
        <w:pStyle w:val="ParrafoGlosario"/>
        <w:rPr>
          <w:lang w:val="es-PE"/>
        </w:rPr>
      </w:pPr>
      <w:proofErr w:type="spellStart"/>
      <w:r w:rsidRPr="00DC1A5F">
        <w:rPr>
          <w:i/>
          <w:iCs/>
          <w:lang w:val="es-PE"/>
        </w:rPr>
        <w:t>phoṭṭhabba</w:t>
      </w:r>
      <w:proofErr w:type="spellEnd"/>
      <w:r w:rsidRPr="00DC1A5F">
        <w:rPr>
          <w:lang w:val="es-PE"/>
        </w:rPr>
        <w:t>— objeto tangible, contacto táctil</w:t>
      </w:r>
    </w:p>
    <w:p w14:paraId="1CD54283" w14:textId="77777777" w:rsidR="00597DE2" w:rsidRPr="00DC1A5F" w:rsidRDefault="00597DE2" w:rsidP="00597DE2">
      <w:pPr>
        <w:pStyle w:val="ParrafoGlosario"/>
        <w:rPr>
          <w:lang w:val="es-PE"/>
        </w:rPr>
      </w:pPr>
      <w:proofErr w:type="spellStart"/>
      <w:r w:rsidRPr="00DC1A5F">
        <w:rPr>
          <w:i/>
          <w:iCs/>
          <w:lang w:val="es-PE"/>
        </w:rPr>
        <w:t>pidhānī</w:t>
      </w:r>
      <w:proofErr w:type="spellEnd"/>
      <w:r w:rsidRPr="00DC1A5F">
        <w:rPr>
          <w:lang w:val="es-PE"/>
        </w:rPr>
        <w:t>*— tapa: XI.24</w:t>
      </w:r>
    </w:p>
    <w:p w14:paraId="3C655FED" w14:textId="77777777" w:rsidR="00597DE2" w:rsidRPr="00DC1A5F" w:rsidRDefault="00597DE2" w:rsidP="00597DE2">
      <w:pPr>
        <w:pStyle w:val="ParrafoGlosario"/>
        <w:rPr>
          <w:lang w:val="es-PE"/>
        </w:rPr>
      </w:pPr>
      <w:proofErr w:type="spellStart"/>
      <w:r w:rsidRPr="00DC1A5F">
        <w:rPr>
          <w:i/>
          <w:iCs/>
          <w:lang w:val="es-PE"/>
        </w:rPr>
        <w:t>pīṇana</w:t>
      </w:r>
      <w:proofErr w:type="spellEnd"/>
      <w:r w:rsidRPr="00DC1A5F">
        <w:rPr>
          <w:lang w:val="es-PE"/>
        </w:rPr>
        <w:t>— acción de refrescarse</w:t>
      </w:r>
    </w:p>
    <w:p w14:paraId="181DD3C1" w14:textId="77777777" w:rsidR="00597DE2" w:rsidRPr="00DC1A5F" w:rsidRDefault="00597DE2" w:rsidP="00597DE2">
      <w:pPr>
        <w:pStyle w:val="ParrafoGlosario"/>
        <w:rPr>
          <w:lang w:val="es-PE"/>
        </w:rPr>
      </w:pPr>
      <w:proofErr w:type="spellStart"/>
      <w:r w:rsidRPr="00DC1A5F">
        <w:rPr>
          <w:i/>
          <w:iCs/>
          <w:lang w:val="es-PE"/>
        </w:rPr>
        <w:t>piṇḍapāta</w:t>
      </w:r>
      <w:proofErr w:type="spellEnd"/>
      <w:r w:rsidRPr="00DC1A5F">
        <w:rPr>
          <w:lang w:val="es-PE"/>
        </w:rPr>
        <w:t>— ofrenda, limosna</w:t>
      </w:r>
    </w:p>
    <w:p w14:paraId="4B513F9F" w14:textId="77777777" w:rsidR="00597DE2" w:rsidRPr="00DC1A5F" w:rsidRDefault="00597DE2" w:rsidP="00597DE2">
      <w:pPr>
        <w:pStyle w:val="ParrafoGlosario"/>
        <w:rPr>
          <w:lang w:val="es-PE"/>
        </w:rPr>
      </w:pPr>
      <w:proofErr w:type="spellStart"/>
      <w:r w:rsidRPr="00DC1A5F">
        <w:rPr>
          <w:i/>
          <w:iCs/>
          <w:lang w:val="es-PE"/>
        </w:rPr>
        <w:t>piṇḍika</w:t>
      </w:r>
      <w:proofErr w:type="spellEnd"/>
      <w:r w:rsidRPr="00DC1A5F">
        <w:rPr>
          <w:lang w:val="es-PE"/>
        </w:rPr>
        <w:t xml:space="preserve">*— la pantorrilla de la pierna: VIII.97; XI.11; cf. </w:t>
      </w:r>
      <w:proofErr w:type="spellStart"/>
      <w:r w:rsidRPr="00DC1A5F">
        <w:rPr>
          <w:i/>
          <w:iCs/>
          <w:lang w:val="es-PE"/>
        </w:rPr>
        <w:t>piṇḍa</w:t>
      </w:r>
      <w:proofErr w:type="spellEnd"/>
      <w:r w:rsidRPr="00DC1A5F">
        <w:rPr>
          <w:lang w:val="es-PE"/>
        </w:rPr>
        <w:t xml:space="preserve"> en VIII.126</w:t>
      </w:r>
    </w:p>
    <w:p w14:paraId="07028C8F" w14:textId="77777777" w:rsidR="00597DE2" w:rsidRPr="00DC1A5F" w:rsidRDefault="00597DE2" w:rsidP="00597DE2">
      <w:pPr>
        <w:pStyle w:val="ParrafoGlosario"/>
        <w:rPr>
          <w:lang w:val="es-PE"/>
        </w:rPr>
      </w:pPr>
      <w:proofErr w:type="spellStart"/>
      <w:r w:rsidRPr="00DC1A5F">
        <w:rPr>
          <w:i/>
          <w:iCs/>
          <w:lang w:val="es-PE"/>
        </w:rPr>
        <w:t>pisuṇa</w:t>
      </w:r>
      <w:proofErr w:type="spellEnd"/>
      <w:r w:rsidRPr="00DC1A5F">
        <w:rPr>
          <w:i/>
          <w:iCs/>
          <w:lang w:val="es-PE"/>
        </w:rPr>
        <w:t>–vācā</w:t>
      </w:r>
      <w:r w:rsidRPr="00DC1A5F">
        <w:rPr>
          <w:lang w:val="es-PE"/>
        </w:rPr>
        <w:t>— discurso malicioso</w:t>
      </w:r>
    </w:p>
    <w:p w14:paraId="07D6FC9B" w14:textId="77777777" w:rsidR="00597DE2" w:rsidRPr="00DC1A5F" w:rsidRDefault="00597DE2" w:rsidP="00597DE2">
      <w:pPr>
        <w:pStyle w:val="ParrafoGlosario"/>
        <w:rPr>
          <w:lang w:val="es-PE"/>
        </w:rPr>
      </w:pPr>
      <w:proofErr w:type="spellStart"/>
      <w:r w:rsidRPr="00DC1A5F">
        <w:rPr>
          <w:i/>
          <w:iCs/>
          <w:lang w:val="es-PE"/>
        </w:rPr>
        <w:t>pīti</w:t>
      </w:r>
      <w:proofErr w:type="spellEnd"/>
      <w:r w:rsidRPr="00DC1A5F">
        <w:rPr>
          <w:lang w:val="es-PE"/>
        </w:rPr>
        <w:t>— arrobamiento, felicidad</w:t>
      </w:r>
    </w:p>
    <w:p w14:paraId="5DA571B1" w14:textId="77777777" w:rsidR="00597DE2" w:rsidRPr="00DC1A5F" w:rsidRDefault="00597DE2" w:rsidP="00597DE2">
      <w:pPr>
        <w:pStyle w:val="ParrafoGlosario"/>
        <w:rPr>
          <w:lang w:val="es-PE"/>
        </w:rPr>
      </w:pPr>
      <w:proofErr w:type="spellStart"/>
      <w:r w:rsidRPr="00DC1A5F">
        <w:rPr>
          <w:i/>
          <w:iCs/>
          <w:lang w:val="es-PE"/>
        </w:rPr>
        <w:t>puggala</w:t>
      </w:r>
      <w:proofErr w:type="spellEnd"/>
      <w:r w:rsidRPr="00DC1A5F">
        <w:rPr>
          <w:lang w:val="es-PE"/>
        </w:rPr>
        <w:t xml:space="preserve">— persona </w:t>
      </w:r>
    </w:p>
    <w:p w14:paraId="2F0773A9" w14:textId="77777777" w:rsidR="00597DE2" w:rsidRPr="00DC1A5F" w:rsidRDefault="00597DE2" w:rsidP="00597DE2">
      <w:pPr>
        <w:pStyle w:val="ParrafoGlosario"/>
        <w:rPr>
          <w:lang w:val="es-PE"/>
        </w:rPr>
      </w:pPr>
      <w:proofErr w:type="spellStart"/>
      <w:r w:rsidRPr="00DC1A5F">
        <w:rPr>
          <w:i/>
          <w:iCs/>
          <w:lang w:val="es-PE"/>
        </w:rPr>
        <w:t>pupphaka</w:t>
      </w:r>
      <w:proofErr w:type="spellEnd"/>
      <w:r w:rsidRPr="00DC1A5F">
        <w:rPr>
          <w:lang w:val="es-PE"/>
        </w:rPr>
        <w:t>*— inflamación, hinchazón: VIII.117</w:t>
      </w:r>
    </w:p>
    <w:p w14:paraId="4BECE480" w14:textId="77777777" w:rsidR="00597DE2" w:rsidRPr="00DC1A5F" w:rsidRDefault="00597DE2" w:rsidP="00597DE2">
      <w:pPr>
        <w:pStyle w:val="ParrafoGlosario"/>
        <w:rPr>
          <w:lang w:val="es-PE"/>
        </w:rPr>
      </w:pPr>
      <w:proofErr w:type="spellStart"/>
      <w:r w:rsidRPr="00DC1A5F">
        <w:rPr>
          <w:i/>
          <w:iCs/>
          <w:lang w:val="es-PE"/>
        </w:rPr>
        <w:t>purisa</w:t>
      </w:r>
      <w:proofErr w:type="spellEnd"/>
      <w:r w:rsidRPr="00DC1A5F">
        <w:rPr>
          <w:lang w:val="es-PE"/>
        </w:rPr>
        <w:t>— hombre, varón</w:t>
      </w:r>
    </w:p>
    <w:p w14:paraId="5A06CEA0" w14:textId="77777777" w:rsidR="00597DE2" w:rsidRPr="00DC1A5F" w:rsidRDefault="00597DE2" w:rsidP="00597DE2">
      <w:pPr>
        <w:pStyle w:val="ParrafoGlosario"/>
        <w:rPr>
          <w:lang w:val="es-PE"/>
        </w:rPr>
      </w:pPr>
      <w:proofErr w:type="spellStart"/>
      <w:r w:rsidRPr="00DC1A5F">
        <w:rPr>
          <w:i/>
          <w:iCs/>
          <w:lang w:val="es-PE"/>
        </w:rPr>
        <w:t>purisa</w:t>
      </w:r>
      <w:proofErr w:type="spellEnd"/>
      <w:r w:rsidRPr="00DC1A5F">
        <w:rPr>
          <w:lang w:val="es-PE"/>
        </w:rPr>
        <w:t xml:space="preserve">*— Alma del Mundo, </w:t>
      </w:r>
      <w:proofErr w:type="spellStart"/>
      <w:r w:rsidRPr="00DC1A5F">
        <w:rPr>
          <w:i/>
          <w:iCs/>
          <w:lang w:val="es-PE"/>
        </w:rPr>
        <w:t>Puruṣa</w:t>
      </w:r>
      <w:proofErr w:type="spellEnd"/>
      <w:r w:rsidRPr="00DC1A5F">
        <w:rPr>
          <w:lang w:val="es-PE"/>
        </w:rPr>
        <w:t>: XVII.8</w:t>
      </w:r>
    </w:p>
    <w:p w14:paraId="5231BEF1" w14:textId="77777777" w:rsidR="00597DE2" w:rsidRPr="00DC1A5F" w:rsidRDefault="00597DE2" w:rsidP="00597DE2">
      <w:pPr>
        <w:pStyle w:val="ParrafoGlosario"/>
        <w:rPr>
          <w:lang w:val="es-PE"/>
        </w:rPr>
      </w:pPr>
      <w:r w:rsidRPr="00DC1A5F">
        <w:rPr>
          <w:i/>
          <w:iCs/>
          <w:lang w:val="es-PE"/>
        </w:rPr>
        <w:t>puthujjana</w:t>
      </w:r>
      <w:r w:rsidRPr="00DC1A5F">
        <w:rPr>
          <w:lang w:val="es-PE"/>
        </w:rPr>
        <w:t>— hombre ordinario (es decir, alguien que no ha consumado ningún sendero)</w:t>
      </w:r>
    </w:p>
    <w:p w14:paraId="59771631" w14:textId="77777777" w:rsidR="00597DE2" w:rsidRPr="00DC1A5F" w:rsidRDefault="00597DE2" w:rsidP="00597DE2">
      <w:pPr>
        <w:pStyle w:val="ParrafoGlosario"/>
        <w:rPr>
          <w:sz w:val="15"/>
          <w:szCs w:val="15"/>
          <w:lang w:val="es-PE"/>
        </w:rPr>
      </w:pPr>
      <w:r w:rsidRPr="00DC1A5F">
        <w:rPr>
          <w:sz w:val="15"/>
          <w:szCs w:val="15"/>
          <w:lang w:val="es-PE"/>
        </w:rPr>
        <w:t>rāga— codicia, pasión,</w:t>
      </w:r>
    </w:p>
    <w:p w14:paraId="489B2C31" w14:textId="77777777" w:rsidR="00597DE2" w:rsidRPr="00DC1A5F" w:rsidRDefault="00597DE2" w:rsidP="00597DE2">
      <w:pPr>
        <w:pStyle w:val="ParrafoGlosario"/>
        <w:rPr>
          <w:sz w:val="15"/>
          <w:szCs w:val="15"/>
          <w:lang w:val="es-PE"/>
        </w:rPr>
      </w:pPr>
      <w:r w:rsidRPr="00DC1A5F">
        <w:rPr>
          <w:i/>
          <w:iCs/>
          <w:sz w:val="15"/>
          <w:szCs w:val="15"/>
          <w:lang w:val="es-PE"/>
        </w:rPr>
        <w:t>rasa</w:t>
      </w:r>
      <w:r w:rsidRPr="00DC1A5F">
        <w:rPr>
          <w:sz w:val="15"/>
          <w:szCs w:val="15"/>
          <w:lang w:val="es-PE"/>
        </w:rPr>
        <w:t>— (1) sabor, gusto, (2) naturaleza como función o consumación, (3) estímulo (para sentir), (4) jugo esencial, filtrado</w:t>
      </w:r>
    </w:p>
    <w:p w14:paraId="03FB3E34"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rasati</w:t>
      </w:r>
      <w:proofErr w:type="spellEnd"/>
      <w:r w:rsidRPr="00DC1A5F">
        <w:rPr>
          <w:sz w:val="15"/>
          <w:szCs w:val="15"/>
          <w:lang w:val="es-PE"/>
        </w:rPr>
        <w:t>*— degustar: XV.3</w:t>
      </w:r>
    </w:p>
    <w:p w14:paraId="588E01AB"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rasayana</w:t>
      </w:r>
      <w:proofErr w:type="spellEnd"/>
      <w:r w:rsidRPr="00DC1A5F">
        <w:rPr>
          <w:sz w:val="15"/>
          <w:szCs w:val="15"/>
          <w:lang w:val="es-PE"/>
        </w:rPr>
        <w:t xml:space="preserve">*— elixir. XVII.236 </w:t>
      </w:r>
    </w:p>
    <w:p w14:paraId="5AE2E07A" w14:textId="77777777" w:rsidR="00597DE2" w:rsidRPr="00DC1A5F" w:rsidRDefault="00597DE2" w:rsidP="00597DE2">
      <w:pPr>
        <w:pStyle w:val="ParrafoGlosario"/>
        <w:rPr>
          <w:sz w:val="15"/>
          <w:szCs w:val="15"/>
          <w:lang w:val="es-PE"/>
        </w:rPr>
      </w:pPr>
      <w:r w:rsidRPr="00DC1A5F">
        <w:rPr>
          <w:i/>
          <w:iCs/>
          <w:sz w:val="15"/>
          <w:szCs w:val="15"/>
          <w:lang w:val="es-PE"/>
        </w:rPr>
        <w:t>rati</w:t>
      </w:r>
      <w:r w:rsidRPr="00DC1A5F">
        <w:rPr>
          <w:sz w:val="15"/>
          <w:szCs w:val="15"/>
          <w:lang w:val="es-PE"/>
        </w:rPr>
        <w:t>— placer</w:t>
      </w:r>
    </w:p>
    <w:p w14:paraId="4CCA7C9D" w14:textId="77777777" w:rsidR="00597DE2" w:rsidRPr="00DC1A5F" w:rsidRDefault="00597DE2" w:rsidP="00597DE2">
      <w:pPr>
        <w:pStyle w:val="ParrafoGlosario"/>
        <w:rPr>
          <w:sz w:val="15"/>
          <w:szCs w:val="15"/>
          <w:lang w:val="es-PE"/>
        </w:rPr>
      </w:pPr>
      <w:r w:rsidRPr="00DC1A5F">
        <w:rPr>
          <w:i/>
          <w:iCs/>
          <w:sz w:val="15"/>
          <w:szCs w:val="15"/>
          <w:lang w:val="es-PE"/>
        </w:rPr>
        <w:t>rūpa</w:t>
      </w:r>
      <w:r w:rsidRPr="00DC1A5F">
        <w:rPr>
          <w:sz w:val="15"/>
          <w:szCs w:val="15"/>
          <w:lang w:val="es-PE"/>
        </w:rPr>
        <w:t xml:space="preserve">— (1) materialidad (agregado), materialidad sutil del reino </w:t>
      </w:r>
      <w:r w:rsidRPr="00DC1A5F">
        <w:rPr>
          <w:i/>
          <w:iCs/>
          <w:sz w:val="15"/>
          <w:szCs w:val="15"/>
          <w:lang w:val="es-PE"/>
        </w:rPr>
        <w:t>Brahmā</w:t>
      </w:r>
      <w:r w:rsidRPr="00DC1A5F">
        <w:rPr>
          <w:sz w:val="15"/>
          <w:szCs w:val="15"/>
          <w:lang w:val="es-PE"/>
        </w:rPr>
        <w:t xml:space="preserve"> material sutil, materia en general, forma material, (2) dato visible, objeto visible, materia visible, forma visible</w:t>
      </w:r>
    </w:p>
    <w:p w14:paraId="0F1B7A24" w14:textId="77777777" w:rsidR="00597DE2" w:rsidRPr="00DC1A5F" w:rsidRDefault="00597DE2" w:rsidP="00597DE2">
      <w:pPr>
        <w:pStyle w:val="ParrafoGlosario"/>
        <w:rPr>
          <w:sz w:val="15"/>
          <w:szCs w:val="15"/>
          <w:lang w:val="es-PE"/>
        </w:rPr>
      </w:pPr>
      <w:r w:rsidRPr="00DC1A5F">
        <w:rPr>
          <w:i/>
          <w:iCs/>
          <w:sz w:val="15"/>
          <w:szCs w:val="15"/>
          <w:lang w:val="es-PE"/>
        </w:rPr>
        <w:t>rūpa–</w:t>
      </w:r>
      <w:proofErr w:type="spellStart"/>
      <w:r w:rsidRPr="00DC1A5F">
        <w:rPr>
          <w:i/>
          <w:iCs/>
          <w:sz w:val="15"/>
          <w:szCs w:val="15"/>
          <w:lang w:val="es-PE"/>
        </w:rPr>
        <w:t>kāya</w:t>
      </w:r>
      <w:proofErr w:type="spellEnd"/>
      <w:r w:rsidRPr="00DC1A5F">
        <w:rPr>
          <w:sz w:val="15"/>
          <w:szCs w:val="15"/>
          <w:lang w:val="es-PE"/>
        </w:rPr>
        <w:t>— cuerpo material</w:t>
      </w:r>
    </w:p>
    <w:p w14:paraId="2C296828" w14:textId="77777777" w:rsidR="00597DE2" w:rsidRPr="00DC1A5F" w:rsidRDefault="00597DE2" w:rsidP="00597DE2">
      <w:pPr>
        <w:pStyle w:val="ParrafoGlosario"/>
        <w:rPr>
          <w:sz w:val="15"/>
          <w:szCs w:val="15"/>
          <w:lang w:val="es-PE"/>
        </w:rPr>
      </w:pPr>
      <w:r w:rsidRPr="00DC1A5F">
        <w:rPr>
          <w:i/>
          <w:iCs/>
          <w:sz w:val="15"/>
          <w:szCs w:val="15"/>
          <w:lang w:val="es-PE"/>
        </w:rPr>
        <w:t>rūpa–</w:t>
      </w:r>
      <w:proofErr w:type="spellStart"/>
      <w:r w:rsidRPr="00DC1A5F">
        <w:rPr>
          <w:i/>
          <w:iCs/>
          <w:sz w:val="15"/>
          <w:szCs w:val="15"/>
          <w:lang w:val="es-PE"/>
        </w:rPr>
        <w:t>kkhandha</w:t>
      </w:r>
      <w:proofErr w:type="spellEnd"/>
      <w:r w:rsidRPr="00DC1A5F">
        <w:rPr>
          <w:sz w:val="15"/>
          <w:szCs w:val="15"/>
          <w:lang w:val="es-PE"/>
        </w:rPr>
        <w:t>— agregado material</w:t>
      </w:r>
    </w:p>
    <w:p w14:paraId="4B8D9F65" w14:textId="77777777" w:rsidR="00597DE2" w:rsidRPr="00DC1A5F" w:rsidRDefault="00597DE2" w:rsidP="00597DE2">
      <w:pPr>
        <w:pStyle w:val="ParrafoGlosario"/>
        <w:rPr>
          <w:sz w:val="15"/>
          <w:szCs w:val="15"/>
          <w:lang w:val="es-PE"/>
        </w:rPr>
      </w:pPr>
      <w:r w:rsidRPr="00DC1A5F">
        <w:rPr>
          <w:i/>
          <w:iCs/>
          <w:sz w:val="15"/>
          <w:szCs w:val="15"/>
          <w:lang w:val="es-PE"/>
        </w:rPr>
        <w:t>rūpa–rūpa</w:t>
      </w:r>
      <w:r w:rsidRPr="00DC1A5F">
        <w:rPr>
          <w:sz w:val="15"/>
          <w:szCs w:val="15"/>
          <w:lang w:val="es-PE"/>
        </w:rPr>
        <w:t>— materialidad concreta (término para ciertos tipos derivados de materialidad)</w:t>
      </w:r>
    </w:p>
    <w:p w14:paraId="1328CFDE"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rūpāvacara</w:t>
      </w:r>
      <w:proofErr w:type="spellEnd"/>
      <w:r w:rsidRPr="00DC1A5F">
        <w:rPr>
          <w:sz w:val="15"/>
          <w:szCs w:val="15"/>
          <w:lang w:val="es-PE"/>
        </w:rPr>
        <w:t>— esfera material sutil</w:t>
      </w:r>
    </w:p>
    <w:p w14:paraId="1FBB39E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rūpayati</w:t>
      </w:r>
      <w:proofErr w:type="spellEnd"/>
      <w:r w:rsidRPr="00DC1A5F">
        <w:rPr>
          <w:sz w:val="15"/>
          <w:szCs w:val="15"/>
          <w:lang w:val="es-PE"/>
        </w:rPr>
        <w:t>*— hacerse visible: XV.3</w:t>
      </w:r>
    </w:p>
    <w:p w14:paraId="6CA882D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rūpūpādānakkhandha</w:t>
      </w:r>
      <w:proofErr w:type="spellEnd"/>
      <w:r w:rsidRPr="00DC1A5F">
        <w:rPr>
          <w:sz w:val="15"/>
          <w:szCs w:val="15"/>
          <w:lang w:val="es-PE"/>
        </w:rPr>
        <w:t>— agregado de la materialidad (como objeto) de apego</w:t>
      </w:r>
    </w:p>
    <w:p w14:paraId="17AF8576" w14:textId="77777777" w:rsidR="00597DE2" w:rsidRPr="00DC1A5F" w:rsidRDefault="00597DE2" w:rsidP="00597DE2">
      <w:pPr>
        <w:pStyle w:val="ParrafoGlosario"/>
        <w:rPr>
          <w:lang w:val="es-PE"/>
        </w:rPr>
      </w:pPr>
      <w:r w:rsidRPr="00194915">
        <w:rPr>
          <w:i/>
          <w:iCs/>
          <w:lang w:val="es-PE"/>
        </w:rPr>
        <w:t>sabana</w:t>
      </w:r>
      <w:r w:rsidRPr="00DC1A5F">
        <w:rPr>
          <w:lang w:val="es-PE"/>
        </w:rPr>
        <w:t>— que fluye</w:t>
      </w:r>
    </w:p>
    <w:p w14:paraId="439FCB52" w14:textId="77777777" w:rsidR="00597DE2" w:rsidRPr="00DC1A5F" w:rsidRDefault="00597DE2" w:rsidP="00597DE2">
      <w:pPr>
        <w:pStyle w:val="ParrafoGlosario"/>
        <w:rPr>
          <w:lang w:val="es-PE"/>
        </w:rPr>
      </w:pPr>
      <w:proofErr w:type="spellStart"/>
      <w:r w:rsidRPr="00DC1A5F">
        <w:rPr>
          <w:i/>
          <w:iCs/>
          <w:lang w:val="es-PE"/>
        </w:rPr>
        <w:t>sabbhāva</w:t>
      </w:r>
      <w:proofErr w:type="spellEnd"/>
      <w:r w:rsidRPr="00DC1A5F">
        <w:rPr>
          <w:lang w:val="es-PE"/>
        </w:rPr>
        <w:t>*— (presencia): I.141; II.21; XIV.98; XVI.73</w:t>
      </w:r>
    </w:p>
    <w:p w14:paraId="6447DF41" w14:textId="77777777" w:rsidR="00597DE2" w:rsidRPr="00DC1A5F" w:rsidRDefault="00597DE2" w:rsidP="00597DE2">
      <w:pPr>
        <w:pStyle w:val="ParrafoGlosario"/>
        <w:rPr>
          <w:lang w:val="es-PE"/>
        </w:rPr>
      </w:pPr>
      <w:proofErr w:type="spellStart"/>
      <w:r w:rsidRPr="00DC1A5F">
        <w:rPr>
          <w:i/>
          <w:iCs/>
          <w:lang w:val="es-PE"/>
        </w:rPr>
        <w:t>sabhāva</w:t>
      </w:r>
      <w:proofErr w:type="spellEnd"/>
      <w:r w:rsidRPr="00DC1A5F">
        <w:rPr>
          <w:lang w:val="es-PE"/>
        </w:rPr>
        <w:t>— esencia individual</w:t>
      </w:r>
    </w:p>
    <w:p w14:paraId="344CB1FB" w14:textId="77777777" w:rsidR="00597DE2" w:rsidRPr="00DC1A5F" w:rsidRDefault="00597DE2" w:rsidP="00597DE2">
      <w:pPr>
        <w:pStyle w:val="ParrafoGlosario"/>
        <w:rPr>
          <w:lang w:val="es-PE"/>
        </w:rPr>
      </w:pPr>
      <w:proofErr w:type="spellStart"/>
      <w:r w:rsidRPr="00DC1A5F">
        <w:rPr>
          <w:i/>
          <w:iCs/>
          <w:lang w:val="es-PE"/>
        </w:rPr>
        <w:t>sabhāva</w:t>
      </w:r>
      <w:proofErr w:type="spellEnd"/>
      <w:r w:rsidRPr="00DC1A5F">
        <w:rPr>
          <w:lang w:val="es-PE"/>
        </w:rPr>
        <w:t>*— con sexo: XVII.150</w:t>
      </w:r>
    </w:p>
    <w:p w14:paraId="7D54BD33" w14:textId="77777777" w:rsidR="00597DE2" w:rsidRPr="00DC1A5F" w:rsidRDefault="00597DE2" w:rsidP="00597DE2">
      <w:pPr>
        <w:pStyle w:val="ParrafoGlosario"/>
        <w:rPr>
          <w:lang w:val="es-PE"/>
        </w:rPr>
      </w:pPr>
      <w:proofErr w:type="spellStart"/>
      <w:r w:rsidRPr="00DC1A5F">
        <w:rPr>
          <w:lang w:val="es-PE"/>
        </w:rPr>
        <w:t>sabhāva</w:t>
      </w:r>
      <w:proofErr w:type="spellEnd"/>
      <w:r w:rsidRPr="00DC1A5F">
        <w:rPr>
          <w:lang w:val="es-PE"/>
        </w:rPr>
        <w:t xml:space="preserve">*— Naturaleza, </w:t>
      </w:r>
      <w:proofErr w:type="spellStart"/>
      <w:r w:rsidRPr="00DC1A5F">
        <w:rPr>
          <w:i/>
          <w:iCs/>
          <w:lang w:val="es-PE"/>
        </w:rPr>
        <w:t>Svabhāva</w:t>
      </w:r>
      <w:proofErr w:type="spellEnd"/>
      <w:r w:rsidRPr="00DC1A5F">
        <w:rPr>
          <w:lang w:val="es-PE"/>
        </w:rPr>
        <w:t>: XVI.85</w:t>
      </w:r>
    </w:p>
    <w:p w14:paraId="36EB579F" w14:textId="77777777" w:rsidR="00597DE2" w:rsidRPr="00DC1A5F" w:rsidRDefault="00597DE2" w:rsidP="00597DE2">
      <w:pPr>
        <w:pStyle w:val="ParrafoGlosario"/>
        <w:rPr>
          <w:lang w:val="es-PE"/>
        </w:rPr>
      </w:pPr>
      <w:r w:rsidRPr="00DC1A5F">
        <w:rPr>
          <w:i/>
          <w:iCs/>
          <w:lang w:val="es-PE"/>
        </w:rPr>
        <w:t>sacca</w:t>
      </w:r>
      <w:r w:rsidRPr="00DC1A5F">
        <w:rPr>
          <w:lang w:val="es-PE"/>
        </w:rPr>
        <w:t>— verdad</w:t>
      </w:r>
    </w:p>
    <w:p w14:paraId="7D8D3F9B" w14:textId="77777777" w:rsidR="00597DE2" w:rsidRDefault="00597DE2" w:rsidP="00597DE2">
      <w:pPr>
        <w:pStyle w:val="ParrafoGlosario"/>
        <w:rPr>
          <w:lang w:val="es-PE"/>
        </w:rPr>
      </w:pPr>
      <w:proofErr w:type="spellStart"/>
      <w:r w:rsidRPr="00DC1A5F">
        <w:rPr>
          <w:i/>
          <w:iCs/>
          <w:lang w:val="es-PE"/>
        </w:rPr>
        <w:t>saccānulomika</w:t>
      </w:r>
      <w:proofErr w:type="spellEnd"/>
      <w:r w:rsidRPr="00DC1A5F">
        <w:rPr>
          <w:lang w:val="es-PE"/>
        </w:rPr>
        <w:t>–</w:t>
      </w:r>
      <w:r w:rsidRPr="00DC1A5F">
        <w:rPr>
          <w:i/>
          <w:iCs/>
          <w:lang w:val="es-PE"/>
        </w:rPr>
        <w:t>ñāṇa</w:t>
      </w:r>
      <w:r w:rsidRPr="00DC1A5F">
        <w:rPr>
          <w:lang w:val="es-PE"/>
        </w:rPr>
        <w:t>— conocimiento en conformidad con la verdad</w:t>
      </w:r>
      <w:r>
        <w:rPr>
          <w:lang w:val="es-PE"/>
        </w:rPr>
        <w:br w:type="page"/>
      </w:r>
    </w:p>
    <w:p w14:paraId="2ECE1D23" w14:textId="77777777" w:rsidR="00597DE2" w:rsidRPr="00DC1A5F" w:rsidRDefault="00597DE2" w:rsidP="00597DE2">
      <w:pPr>
        <w:pStyle w:val="ParrafoGlosario"/>
        <w:rPr>
          <w:lang w:val="es-PE"/>
        </w:rPr>
      </w:pPr>
    </w:p>
    <w:p w14:paraId="34409D0F" w14:textId="77777777" w:rsidR="00597DE2" w:rsidRPr="00DC1A5F" w:rsidRDefault="00597DE2" w:rsidP="00597DE2">
      <w:pPr>
        <w:pStyle w:val="ParrafoGlosario"/>
        <w:rPr>
          <w:lang w:val="es-PE"/>
        </w:rPr>
      </w:pPr>
      <w:proofErr w:type="spellStart"/>
      <w:r w:rsidRPr="00DC1A5F">
        <w:rPr>
          <w:i/>
          <w:iCs/>
          <w:lang w:val="es-PE"/>
        </w:rPr>
        <w:t>sacchika</w:t>
      </w:r>
      <w:proofErr w:type="spellEnd"/>
      <w:r w:rsidRPr="00DC1A5F">
        <w:rPr>
          <w:lang w:val="es-PE"/>
        </w:rPr>
        <w:t>*— basado en una consumación: VII.55 (</w:t>
      </w:r>
      <w:proofErr w:type="spellStart"/>
      <w:r w:rsidRPr="00DC1A5F">
        <w:rPr>
          <w:lang w:val="es-PE"/>
        </w:rPr>
        <w:t>Paṭis</w:t>
      </w:r>
      <w:proofErr w:type="spellEnd"/>
      <w:r w:rsidRPr="00DC1A5F">
        <w:rPr>
          <w:lang w:val="es-PE"/>
        </w:rPr>
        <w:t xml:space="preserve"> I 174)</w:t>
      </w:r>
    </w:p>
    <w:p w14:paraId="2DD61E05" w14:textId="77777777" w:rsidR="00597DE2" w:rsidRPr="00DC1A5F" w:rsidRDefault="00597DE2" w:rsidP="00597DE2">
      <w:pPr>
        <w:pStyle w:val="ParrafoGlosario"/>
        <w:rPr>
          <w:lang w:val="es-PE"/>
        </w:rPr>
      </w:pPr>
      <w:proofErr w:type="spellStart"/>
      <w:r w:rsidRPr="00DC1A5F">
        <w:rPr>
          <w:i/>
          <w:iCs/>
          <w:lang w:val="es-PE"/>
        </w:rPr>
        <w:t>sacchikiriyā</w:t>
      </w:r>
      <w:proofErr w:type="spellEnd"/>
      <w:r w:rsidRPr="00DC1A5F">
        <w:rPr>
          <w:lang w:val="es-PE"/>
        </w:rPr>
        <w:t>— consumación</w:t>
      </w:r>
    </w:p>
    <w:p w14:paraId="0A4A69EE" w14:textId="77777777" w:rsidR="00597DE2" w:rsidRPr="00DC1A5F" w:rsidRDefault="00597DE2" w:rsidP="00597DE2">
      <w:pPr>
        <w:pStyle w:val="ParrafoGlosario"/>
        <w:rPr>
          <w:lang w:val="es-PE"/>
        </w:rPr>
      </w:pPr>
      <w:proofErr w:type="spellStart"/>
      <w:r w:rsidRPr="00DC1A5F">
        <w:rPr>
          <w:i/>
          <w:iCs/>
          <w:lang w:val="es-PE"/>
        </w:rPr>
        <w:t>sadda</w:t>
      </w:r>
      <w:proofErr w:type="spellEnd"/>
      <w:r w:rsidRPr="00DC1A5F">
        <w:rPr>
          <w:lang w:val="es-PE"/>
        </w:rPr>
        <w:t>— (1) sonido, (2) palabra, (3) gramática</w:t>
      </w:r>
    </w:p>
    <w:p w14:paraId="63CE8735" w14:textId="77777777" w:rsidR="00597DE2" w:rsidRPr="00DC1A5F" w:rsidRDefault="00597DE2" w:rsidP="00597DE2">
      <w:pPr>
        <w:pStyle w:val="ParrafoGlosario"/>
        <w:rPr>
          <w:lang w:val="es-PE"/>
        </w:rPr>
      </w:pPr>
      <w:proofErr w:type="spellStart"/>
      <w:r w:rsidRPr="00DC1A5F">
        <w:rPr>
          <w:i/>
          <w:iCs/>
          <w:lang w:val="es-PE"/>
        </w:rPr>
        <w:t>sadda</w:t>
      </w:r>
      <w:proofErr w:type="spellEnd"/>
      <w:r w:rsidRPr="00DC1A5F">
        <w:rPr>
          <w:i/>
          <w:iCs/>
          <w:lang w:val="es-PE"/>
        </w:rPr>
        <w:t>–lakkhaṇa</w:t>
      </w:r>
      <w:r w:rsidRPr="00DC1A5F">
        <w:rPr>
          <w:lang w:val="es-PE"/>
        </w:rPr>
        <w:t>— etimología</w:t>
      </w:r>
    </w:p>
    <w:p w14:paraId="0525DB7E" w14:textId="77777777" w:rsidR="00597DE2" w:rsidRPr="00DC1A5F" w:rsidRDefault="00597DE2" w:rsidP="00597DE2">
      <w:pPr>
        <w:pStyle w:val="ParrafoGlosario"/>
        <w:rPr>
          <w:lang w:val="es-PE"/>
        </w:rPr>
      </w:pPr>
      <w:proofErr w:type="spellStart"/>
      <w:r w:rsidRPr="00DC1A5F">
        <w:rPr>
          <w:i/>
          <w:iCs/>
          <w:lang w:val="es-PE"/>
        </w:rPr>
        <w:t>saddhā</w:t>
      </w:r>
      <w:proofErr w:type="spellEnd"/>
      <w:r w:rsidRPr="00DC1A5F">
        <w:rPr>
          <w:lang w:val="es-PE"/>
        </w:rPr>
        <w:t>— fe</w:t>
      </w:r>
    </w:p>
    <w:p w14:paraId="18621F15" w14:textId="77777777" w:rsidR="00597DE2" w:rsidRPr="00DC1A5F" w:rsidRDefault="00597DE2" w:rsidP="00597DE2">
      <w:pPr>
        <w:pStyle w:val="ParrafoGlosario"/>
        <w:rPr>
          <w:lang w:val="es-PE"/>
        </w:rPr>
      </w:pPr>
      <w:proofErr w:type="spellStart"/>
      <w:r w:rsidRPr="00DC1A5F">
        <w:rPr>
          <w:i/>
          <w:iCs/>
          <w:lang w:val="es-PE"/>
        </w:rPr>
        <w:t>saddhānusārin</w:t>
      </w:r>
      <w:proofErr w:type="spellEnd"/>
      <w:r w:rsidRPr="00DC1A5F">
        <w:rPr>
          <w:lang w:val="es-PE"/>
        </w:rPr>
        <w:t>— devoto de la fe</w:t>
      </w:r>
    </w:p>
    <w:p w14:paraId="074F25D9" w14:textId="77777777" w:rsidR="00597DE2" w:rsidRPr="00DC1A5F" w:rsidRDefault="00597DE2" w:rsidP="00597DE2">
      <w:pPr>
        <w:pStyle w:val="ParrafoGlosario"/>
        <w:rPr>
          <w:lang w:val="es-PE"/>
        </w:rPr>
      </w:pPr>
      <w:proofErr w:type="spellStart"/>
      <w:r w:rsidRPr="00DC1A5F">
        <w:rPr>
          <w:i/>
          <w:iCs/>
          <w:lang w:val="es-PE"/>
        </w:rPr>
        <w:t>saddhā</w:t>
      </w:r>
      <w:proofErr w:type="spellEnd"/>
      <w:r w:rsidRPr="00DC1A5F">
        <w:rPr>
          <w:i/>
          <w:iCs/>
          <w:lang w:val="es-PE"/>
        </w:rPr>
        <w:t>–</w:t>
      </w:r>
      <w:proofErr w:type="spellStart"/>
      <w:r w:rsidRPr="00DC1A5F">
        <w:rPr>
          <w:i/>
          <w:iCs/>
          <w:lang w:val="es-PE"/>
        </w:rPr>
        <w:t>vimutta</w:t>
      </w:r>
      <w:proofErr w:type="spellEnd"/>
      <w:r w:rsidRPr="00DC1A5F">
        <w:rPr>
          <w:lang w:val="es-PE"/>
        </w:rPr>
        <w:t>— alguien liberado mediante la fe</w:t>
      </w:r>
    </w:p>
    <w:p w14:paraId="026BB8AC" w14:textId="77777777" w:rsidR="00597DE2" w:rsidRPr="00DC1A5F" w:rsidRDefault="00597DE2" w:rsidP="00597DE2">
      <w:pPr>
        <w:pStyle w:val="ParrafoGlosario"/>
        <w:rPr>
          <w:lang w:val="es-PE"/>
        </w:rPr>
      </w:pPr>
      <w:proofErr w:type="spellStart"/>
      <w:r w:rsidRPr="00DC1A5F">
        <w:rPr>
          <w:i/>
          <w:iCs/>
          <w:lang w:val="es-PE"/>
        </w:rPr>
        <w:t>saddheyya</w:t>
      </w:r>
      <w:proofErr w:type="spellEnd"/>
      <w:r w:rsidRPr="00DC1A5F">
        <w:rPr>
          <w:lang w:val="es-PE"/>
        </w:rPr>
        <w:t xml:space="preserve">*— fe inspiradora: VII.72 </w:t>
      </w:r>
    </w:p>
    <w:p w14:paraId="799852DB" w14:textId="77777777" w:rsidR="00597DE2" w:rsidRPr="00DC1A5F" w:rsidRDefault="00597DE2" w:rsidP="00597DE2">
      <w:pPr>
        <w:pStyle w:val="ParrafoGlosario"/>
        <w:rPr>
          <w:lang w:val="es-PE"/>
        </w:rPr>
      </w:pPr>
      <w:proofErr w:type="spellStart"/>
      <w:r w:rsidRPr="00301A64">
        <w:rPr>
          <w:i/>
          <w:iCs/>
          <w:lang w:val="es-PE"/>
        </w:rPr>
        <w:t>sādhāraṇa</w:t>
      </w:r>
      <w:proofErr w:type="spellEnd"/>
      <w:r w:rsidRPr="00DC1A5F">
        <w:rPr>
          <w:lang w:val="es-PE"/>
        </w:rPr>
        <w:t>— común, compartido con</w:t>
      </w:r>
    </w:p>
    <w:p w14:paraId="63AF9A7D" w14:textId="77777777" w:rsidR="00597DE2" w:rsidRPr="00DC1A5F" w:rsidRDefault="00597DE2" w:rsidP="00597DE2">
      <w:pPr>
        <w:pStyle w:val="ParrafoGlosario"/>
        <w:rPr>
          <w:lang w:val="es-PE"/>
        </w:rPr>
      </w:pPr>
      <w:proofErr w:type="spellStart"/>
      <w:r w:rsidRPr="00301A64">
        <w:rPr>
          <w:i/>
          <w:iCs/>
          <w:lang w:val="es-PE"/>
        </w:rPr>
        <w:t>sādhika</w:t>
      </w:r>
      <w:proofErr w:type="spellEnd"/>
      <w:r w:rsidRPr="00DC1A5F">
        <w:rPr>
          <w:lang w:val="es-PE"/>
        </w:rPr>
        <w:t>*— lograr: IV.105</w:t>
      </w:r>
    </w:p>
    <w:p w14:paraId="62C692C9" w14:textId="77777777" w:rsidR="00597DE2" w:rsidRPr="00DC1A5F" w:rsidRDefault="00597DE2" w:rsidP="00597DE2">
      <w:pPr>
        <w:pStyle w:val="ParrafoGlosario"/>
        <w:rPr>
          <w:lang w:val="es-PE"/>
        </w:rPr>
      </w:pPr>
      <w:proofErr w:type="spellStart"/>
      <w:r w:rsidRPr="00DC1A5F">
        <w:rPr>
          <w:i/>
          <w:iCs/>
          <w:lang w:val="es-PE"/>
        </w:rPr>
        <w:t>sagga</w:t>
      </w:r>
      <w:proofErr w:type="spellEnd"/>
      <w:r w:rsidRPr="00DC1A5F">
        <w:rPr>
          <w:lang w:val="es-PE"/>
        </w:rPr>
        <w:t>— cielo</w:t>
      </w:r>
    </w:p>
    <w:p w14:paraId="76FA2001" w14:textId="77777777" w:rsidR="00597DE2" w:rsidRPr="00DC1A5F" w:rsidRDefault="00597DE2" w:rsidP="00597DE2">
      <w:pPr>
        <w:pStyle w:val="ParrafoGlosario"/>
        <w:rPr>
          <w:lang w:val="es-PE"/>
        </w:rPr>
      </w:pPr>
      <w:proofErr w:type="spellStart"/>
      <w:r w:rsidRPr="00301A64">
        <w:rPr>
          <w:i/>
          <w:iCs/>
          <w:lang w:val="es-PE"/>
        </w:rPr>
        <w:t>sahaṭṭhāna</w:t>
      </w:r>
      <w:proofErr w:type="spellEnd"/>
      <w:r w:rsidRPr="00DC1A5F">
        <w:rPr>
          <w:lang w:val="es-PE"/>
        </w:rPr>
        <w:t xml:space="preserve">*— </w:t>
      </w:r>
      <w:proofErr w:type="spellStart"/>
      <w:r w:rsidRPr="00DC1A5F">
        <w:rPr>
          <w:lang w:val="es-PE"/>
        </w:rPr>
        <w:t>co</w:t>
      </w:r>
      <w:proofErr w:type="spellEnd"/>
      <w:r w:rsidRPr="00DC1A5F">
        <w:rPr>
          <w:lang w:val="es-PE"/>
        </w:rPr>
        <w:t>–presencia: XIII.116</w:t>
      </w:r>
    </w:p>
    <w:p w14:paraId="74AAB148" w14:textId="77777777" w:rsidR="00597DE2" w:rsidRPr="00DC1A5F" w:rsidRDefault="00597DE2" w:rsidP="00597DE2">
      <w:pPr>
        <w:pStyle w:val="ParrafoGlosario"/>
        <w:rPr>
          <w:lang w:val="es-PE"/>
        </w:rPr>
      </w:pPr>
      <w:proofErr w:type="spellStart"/>
      <w:r w:rsidRPr="00DC1A5F">
        <w:rPr>
          <w:i/>
          <w:iCs/>
          <w:lang w:val="es-PE"/>
        </w:rPr>
        <w:t>sakadāgāmin</w:t>
      </w:r>
      <w:proofErr w:type="spellEnd"/>
      <w:r w:rsidRPr="00DC1A5F">
        <w:rPr>
          <w:lang w:val="es-PE"/>
        </w:rPr>
        <w:t>— retornante por única vez (término para la segunda etapa de iluminación)</w:t>
      </w:r>
    </w:p>
    <w:p w14:paraId="53601F26" w14:textId="77777777" w:rsidR="00597DE2" w:rsidRPr="00DC1A5F" w:rsidRDefault="00597DE2" w:rsidP="00597DE2">
      <w:pPr>
        <w:pStyle w:val="ParrafoGlosario"/>
        <w:rPr>
          <w:lang w:val="es-PE"/>
        </w:rPr>
      </w:pPr>
      <w:proofErr w:type="spellStart"/>
      <w:r w:rsidRPr="00DC1A5F">
        <w:rPr>
          <w:i/>
          <w:iCs/>
          <w:lang w:val="es-PE"/>
        </w:rPr>
        <w:t>sakalika</w:t>
      </w:r>
      <w:proofErr w:type="spellEnd"/>
      <w:r w:rsidRPr="00DC1A5F">
        <w:rPr>
          <w:lang w:val="es-PE"/>
        </w:rPr>
        <w:t xml:space="preserve">*— </w:t>
      </w:r>
      <w:r w:rsidRPr="00DC1A5F">
        <w:rPr>
          <w:i/>
          <w:iCs/>
          <w:lang w:val="es-PE"/>
        </w:rPr>
        <w:t>también</w:t>
      </w:r>
      <w:r w:rsidRPr="00DC1A5F">
        <w:rPr>
          <w:lang w:val="es-PE"/>
        </w:rPr>
        <w:t xml:space="preserve"> escama (de pescado): VIII.91</w:t>
      </w:r>
    </w:p>
    <w:p w14:paraId="2997E8B8" w14:textId="77777777" w:rsidR="00597DE2" w:rsidRPr="00DC1A5F" w:rsidRDefault="00597DE2" w:rsidP="00597DE2">
      <w:pPr>
        <w:pStyle w:val="ParrafoGlosario"/>
        <w:rPr>
          <w:lang w:val="es-PE"/>
        </w:rPr>
      </w:pPr>
      <w:proofErr w:type="spellStart"/>
      <w:r w:rsidRPr="00DC1A5F">
        <w:rPr>
          <w:i/>
          <w:iCs/>
          <w:lang w:val="es-PE"/>
        </w:rPr>
        <w:t>sakkarā</w:t>
      </w:r>
      <w:proofErr w:type="spellEnd"/>
      <w:r w:rsidRPr="00DC1A5F">
        <w:rPr>
          <w:lang w:val="es-PE"/>
        </w:rPr>
        <w:t xml:space="preserve">— azúcar (deletreado como </w:t>
      </w:r>
      <w:proofErr w:type="spellStart"/>
      <w:r w:rsidRPr="00DC1A5F">
        <w:rPr>
          <w:i/>
          <w:iCs/>
          <w:lang w:val="es-PE"/>
        </w:rPr>
        <w:t>sakkharā</w:t>
      </w:r>
      <w:proofErr w:type="spellEnd"/>
      <w:r w:rsidRPr="00DC1A5F">
        <w:rPr>
          <w:lang w:val="es-PE"/>
        </w:rPr>
        <w:t xml:space="preserve"> en el PED) </w:t>
      </w:r>
    </w:p>
    <w:p w14:paraId="43C7B49C" w14:textId="77777777" w:rsidR="00597DE2" w:rsidRPr="00DC1A5F" w:rsidRDefault="00597DE2" w:rsidP="00597DE2">
      <w:pPr>
        <w:pStyle w:val="ParrafoGlosario"/>
        <w:rPr>
          <w:lang w:val="es-PE"/>
        </w:rPr>
      </w:pPr>
      <w:r w:rsidRPr="00DC1A5F">
        <w:rPr>
          <w:i/>
          <w:iCs/>
          <w:lang w:val="es-PE"/>
        </w:rPr>
        <w:t>sakkāya</w:t>
      </w:r>
      <w:r w:rsidRPr="00DC1A5F">
        <w:rPr>
          <w:lang w:val="es-PE"/>
        </w:rPr>
        <w:t>— individualidad</w:t>
      </w:r>
    </w:p>
    <w:p w14:paraId="5F688F60" w14:textId="77777777" w:rsidR="00597DE2" w:rsidRPr="00DC1A5F" w:rsidRDefault="00597DE2" w:rsidP="00597DE2">
      <w:pPr>
        <w:pStyle w:val="ParrafoGlosario"/>
        <w:rPr>
          <w:lang w:val="es-PE"/>
        </w:rPr>
      </w:pPr>
      <w:r w:rsidRPr="00DC1A5F">
        <w:rPr>
          <w:i/>
          <w:iCs/>
          <w:lang w:val="es-PE"/>
        </w:rPr>
        <w:t>sakkāya–diṭṭhi</w:t>
      </w:r>
      <w:r w:rsidRPr="00DC1A5F">
        <w:rPr>
          <w:lang w:val="es-PE"/>
        </w:rPr>
        <w:t xml:space="preserve">— visión incorrecta de la individualidad (los 20 tipos) </w:t>
      </w:r>
    </w:p>
    <w:p w14:paraId="49513363" w14:textId="77777777" w:rsidR="00597DE2" w:rsidRPr="00DC1A5F" w:rsidRDefault="00597DE2" w:rsidP="00597DE2">
      <w:pPr>
        <w:pStyle w:val="ParrafoGlosario"/>
        <w:rPr>
          <w:lang w:val="es-PE"/>
        </w:rPr>
      </w:pPr>
      <w:proofErr w:type="spellStart"/>
      <w:r w:rsidRPr="00F360F1">
        <w:rPr>
          <w:i/>
          <w:iCs/>
          <w:lang w:val="es-PE"/>
        </w:rPr>
        <w:t>salakkha</w:t>
      </w:r>
      <w:r>
        <w:rPr>
          <w:i/>
          <w:iCs/>
          <w:lang w:val="es-PE"/>
        </w:rPr>
        <w:t>ṇ</w:t>
      </w:r>
      <w:r w:rsidRPr="00F360F1">
        <w:rPr>
          <w:i/>
          <w:iCs/>
          <w:lang w:val="es-PE"/>
        </w:rPr>
        <w:t>a</w:t>
      </w:r>
      <w:proofErr w:type="spellEnd"/>
      <w:r w:rsidRPr="00DC1A5F">
        <w:rPr>
          <w:lang w:val="es-PE"/>
        </w:rPr>
        <w:t>— característica específica (</w:t>
      </w:r>
      <w:r w:rsidRPr="00F360F1">
        <w:rPr>
          <w:i/>
          <w:iCs/>
          <w:lang w:val="es-PE"/>
        </w:rPr>
        <w:t>por ejemplo</w:t>
      </w:r>
      <w:r w:rsidRPr="00DC1A5F">
        <w:rPr>
          <w:lang w:val="es-PE"/>
        </w:rPr>
        <w:t>, dureza de la tierra)</w:t>
      </w:r>
    </w:p>
    <w:p w14:paraId="4B2D2AD1" w14:textId="77777777" w:rsidR="00597DE2" w:rsidRPr="00DC1A5F" w:rsidRDefault="00597DE2" w:rsidP="00597DE2">
      <w:pPr>
        <w:pStyle w:val="ParrafoGlosario"/>
        <w:rPr>
          <w:lang w:val="es-PE"/>
        </w:rPr>
      </w:pPr>
      <w:proofErr w:type="spellStart"/>
      <w:r w:rsidRPr="00194915">
        <w:rPr>
          <w:i/>
          <w:iCs/>
          <w:lang w:val="es-PE"/>
        </w:rPr>
        <w:t>saḷāyatana</w:t>
      </w:r>
      <w:proofErr w:type="spellEnd"/>
      <w:r w:rsidRPr="00DC1A5F">
        <w:rPr>
          <w:lang w:val="es-PE"/>
        </w:rPr>
        <w:t>— base séxtuple (</w:t>
      </w:r>
      <w:r>
        <w:rPr>
          <w:lang w:val="es-PE"/>
        </w:rPr>
        <w:t xml:space="preserve">del </w:t>
      </w:r>
      <w:r w:rsidRPr="00DC1A5F">
        <w:rPr>
          <w:lang w:val="es-PE"/>
        </w:rPr>
        <w:t>contacto)</w:t>
      </w:r>
    </w:p>
    <w:p w14:paraId="1ED06334" w14:textId="77777777" w:rsidR="00597DE2" w:rsidRPr="00DC1A5F" w:rsidRDefault="00597DE2" w:rsidP="00597DE2">
      <w:pPr>
        <w:pStyle w:val="ParrafoGlosario"/>
        <w:rPr>
          <w:lang w:val="es-PE"/>
        </w:rPr>
      </w:pPr>
      <w:proofErr w:type="spellStart"/>
      <w:r w:rsidRPr="00F360F1">
        <w:rPr>
          <w:i/>
          <w:iCs/>
          <w:lang w:val="es-PE"/>
        </w:rPr>
        <w:t>sallakkha</w:t>
      </w:r>
      <w:r>
        <w:rPr>
          <w:i/>
          <w:iCs/>
          <w:lang w:val="es-PE"/>
        </w:rPr>
        <w:t>ṇ</w:t>
      </w:r>
      <w:r w:rsidRPr="00F360F1">
        <w:rPr>
          <w:i/>
          <w:iCs/>
          <w:lang w:val="es-PE"/>
        </w:rPr>
        <w:t>a</w:t>
      </w:r>
      <w:proofErr w:type="spellEnd"/>
      <w:r w:rsidRPr="00DC1A5F">
        <w:rPr>
          <w:lang w:val="es-PE"/>
        </w:rPr>
        <w:t>— observación</w:t>
      </w:r>
    </w:p>
    <w:p w14:paraId="3B7A7C1C" w14:textId="77777777" w:rsidR="00597DE2" w:rsidRPr="00DC1A5F" w:rsidRDefault="00597DE2" w:rsidP="00597DE2">
      <w:pPr>
        <w:pStyle w:val="ParrafoGlosario"/>
        <w:rPr>
          <w:lang w:val="es-PE"/>
        </w:rPr>
      </w:pPr>
      <w:proofErr w:type="spellStart"/>
      <w:r w:rsidRPr="00F360F1">
        <w:rPr>
          <w:i/>
          <w:iCs/>
          <w:lang w:val="es-PE"/>
        </w:rPr>
        <w:t>sallekha</w:t>
      </w:r>
      <w:proofErr w:type="spellEnd"/>
      <w:r w:rsidRPr="00DC1A5F">
        <w:rPr>
          <w:lang w:val="es-PE"/>
        </w:rPr>
        <w:t xml:space="preserve">— </w:t>
      </w:r>
      <w:r w:rsidRPr="00194915">
        <w:rPr>
          <w:i/>
          <w:iCs/>
          <w:lang w:val="es-PE"/>
        </w:rPr>
        <w:t>borramiento</w:t>
      </w:r>
      <w:r>
        <w:rPr>
          <w:i/>
          <w:iCs/>
          <w:lang w:val="es-PE"/>
        </w:rPr>
        <w:t>, disipación</w:t>
      </w:r>
    </w:p>
    <w:p w14:paraId="64F81D2E" w14:textId="77777777" w:rsidR="00597DE2" w:rsidRPr="00DC1A5F" w:rsidRDefault="00597DE2" w:rsidP="00597DE2">
      <w:pPr>
        <w:pStyle w:val="ParrafoGlosario"/>
        <w:rPr>
          <w:lang w:val="es-PE"/>
        </w:rPr>
      </w:pPr>
      <w:proofErr w:type="spellStart"/>
      <w:r w:rsidRPr="00DC1A5F">
        <w:rPr>
          <w:i/>
          <w:iCs/>
          <w:lang w:val="es-PE"/>
        </w:rPr>
        <w:t>samabbhāhata</w:t>
      </w:r>
      <w:proofErr w:type="spellEnd"/>
      <w:r w:rsidRPr="00DC1A5F">
        <w:rPr>
          <w:lang w:val="es-PE"/>
        </w:rPr>
        <w:t xml:space="preserve">*— </w:t>
      </w:r>
      <w:r w:rsidRPr="00DC1A5F">
        <w:rPr>
          <w:i/>
          <w:iCs/>
          <w:lang w:val="es-PE"/>
        </w:rPr>
        <w:t>también</w:t>
      </w:r>
      <w:r w:rsidRPr="00DC1A5F">
        <w:rPr>
          <w:lang w:val="es-PE"/>
        </w:rPr>
        <w:t xml:space="preserve"> estirado: IV.129</w:t>
      </w:r>
    </w:p>
    <w:p w14:paraId="1D8453D7" w14:textId="77777777" w:rsidR="00597DE2" w:rsidRPr="00DC1A5F" w:rsidRDefault="00597DE2" w:rsidP="00597DE2">
      <w:pPr>
        <w:pStyle w:val="ParrafoGlosario"/>
        <w:rPr>
          <w:lang w:val="es-PE"/>
        </w:rPr>
      </w:pPr>
      <w:proofErr w:type="spellStart"/>
      <w:r w:rsidRPr="00DC1A5F">
        <w:rPr>
          <w:i/>
          <w:iCs/>
          <w:lang w:val="es-PE"/>
        </w:rPr>
        <w:t>samabbhāhata</w:t>
      </w:r>
      <w:proofErr w:type="spellEnd"/>
      <w:r w:rsidRPr="00DC1A5F">
        <w:rPr>
          <w:lang w:val="es-PE"/>
        </w:rPr>
        <w:t xml:space="preserve">*— </w:t>
      </w:r>
      <w:r w:rsidRPr="00DC1A5F">
        <w:rPr>
          <w:i/>
          <w:iCs/>
          <w:lang w:val="es-PE"/>
        </w:rPr>
        <w:t>también</w:t>
      </w:r>
      <w:r w:rsidRPr="00DC1A5F">
        <w:rPr>
          <w:lang w:val="es-PE"/>
        </w:rPr>
        <w:t xml:space="preserve"> impulsado: XI.92 s</w:t>
      </w:r>
    </w:p>
    <w:p w14:paraId="789128AF" w14:textId="77777777" w:rsidR="00597DE2" w:rsidRPr="00DC1A5F" w:rsidRDefault="00597DE2" w:rsidP="00597DE2">
      <w:pPr>
        <w:pStyle w:val="ParrafoGlosario"/>
        <w:rPr>
          <w:lang w:val="es-PE"/>
        </w:rPr>
      </w:pPr>
      <w:proofErr w:type="spellStart"/>
      <w:r w:rsidRPr="00DC1A5F">
        <w:rPr>
          <w:i/>
          <w:iCs/>
          <w:lang w:val="es-PE"/>
        </w:rPr>
        <w:t>samadhi</w:t>
      </w:r>
      <w:proofErr w:type="spellEnd"/>
      <w:r w:rsidRPr="00DC1A5F">
        <w:rPr>
          <w:lang w:val="es-PE"/>
        </w:rPr>
        <w:t>— concentración</w:t>
      </w:r>
    </w:p>
    <w:p w14:paraId="73D2A9A6" w14:textId="77777777" w:rsidR="00597DE2" w:rsidRPr="00DC1A5F" w:rsidRDefault="00597DE2" w:rsidP="00597DE2">
      <w:pPr>
        <w:pStyle w:val="ParrafoGlosario"/>
        <w:rPr>
          <w:lang w:val="es-PE"/>
        </w:rPr>
      </w:pPr>
      <w:proofErr w:type="spellStart"/>
      <w:r w:rsidRPr="00DC1A5F">
        <w:rPr>
          <w:i/>
          <w:iCs/>
          <w:lang w:val="es-PE"/>
        </w:rPr>
        <w:t>samāhata</w:t>
      </w:r>
      <w:proofErr w:type="spellEnd"/>
      <w:r w:rsidRPr="00DC1A5F">
        <w:rPr>
          <w:lang w:val="es-PE"/>
        </w:rPr>
        <w:t xml:space="preserve">*— </w:t>
      </w:r>
      <w:r w:rsidRPr="00DC1A5F">
        <w:rPr>
          <w:i/>
          <w:iCs/>
          <w:lang w:val="es-PE"/>
        </w:rPr>
        <w:t>también</w:t>
      </w:r>
      <w:r w:rsidRPr="00DC1A5F">
        <w:rPr>
          <w:lang w:val="es-PE"/>
        </w:rPr>
        <w:t xml:space="preserve"> traído: IV.190</w:t>
      </w:r>
    </w:p>
    <w:p w14:paraId="73C32AAE" w14:textId="77777777" w:rsidR="00597DE2" w:rsidRPr="00DC1A5F" w:rsidRDefault="00597DE2" w:rsidP="00597DE2">
      <w:pPr>
        <w:pStyle w:val="ParrafoGlosario"/>
        <w:rPr>
          <w:lang w:val="es-PE"/>
        </w:rPr>
      </w:pPr>
      <w:proofErr w:type="spellStart"/>
      <w:r w:rsidRPr="0016142D">
        <w:rPr>
          <w:i/>
          <w:iCs/>
          <w:lang w:val="es-PE"/>
        </w:rPr>
        <w:t>sāmañña</w:t>
      </w:r>
      <w:proofErr w:type="spellEnd"/>
      <w:r w:rsidRPr="0016142D">
        <w:rPr>
          <w:i/>
          <w:iCs/>
          <w:lang w:val="es-PE"/>
        </w:rPr>
        <w:t>–lakkhaṇa</w:t>
      </w:r>
      <w:r w:rsidRPr="00DC1A5F">
        <w:rPr>
          <w:lang w:val="es-PE"/>
        </w:rPr>
        <w:t>— característica general (de lo que se form</w:t>
      </w:r>
      <w:r>
        <w:rPr>
          <w:lang w:val="es-PE"/>
        </w:rPr>
        <w:t>e</w:t>
      </w:r>
      <w:r w:rsidRPr="00DC1A5F">
        <w:rPr>
          <w:lang w:val="es-PE"/>
        </w:rPr>
        <w:t>, es decir, l</w:t>
      </w:r>
      <w:r>
        <w:rPr>
          <w:lang w:val="es-PE"/>
        </w:rPr>
        <w:t>a</w:t>
      </w:r>
      <w:r w:rsidRPr="00DC1A5F">
        <w:rPr>
          <w:lang w:val="es-PE"/>
        </w:rPr>
        <w:t>s 3 que comienzan con la impermanencia)</w:t>
      </w:r>
    </w:p>
    <w:p w14:paraId="21494C46" w14:textId="77777777" w:rsidR="00597DE2" w:rsidRPr="00DC1A5F" w:rsidRDefault="00597DE2" w:rsidP="00597DE2">
      <w:pPr>
        <w:pStyle w:val="ParrafoGlosario"/>
        <w:rPr>
          <w:lang w:val="es-PE"/>
        </w:rPr>
      </w:pPr>
      <w:proofErr w:type="spellStart"/>
      <w:r w:rsidRPr="0016142D">
        <w:rPr>
          <w:i/>
          <w:iCs/>
          <w:lang w:val="es-PE"/>
        </w:rPr>
        <w:t>sāmañña</w:t>
      </w:r>
      <w:proofErr w:type="spellEnd"/>
      <w:r w:rsidRPr="0016142D">
        <w:rPr>
          <w:i/>
          <w:iCs/>
          <w:lang w:val="es-PE"/>
        </w:rPr>
        <w:t>–</w:t>
      </w:r>
      <w:proofErr w:type="spellStart"/>
      <w:r w:rsidRPr="0016142D">
        <w:rPr>
          <w:i/>
          <w:iCs/>
          <w:lang w:val="es-PE"/>
        </w:rPr>
        <w:t>phala</w:t>
      </w:r>
      <w:proofErr w:type="spellEnd"/>
      <w:r w:rsidRPr="00DC1A5F">
        <w:rPr>
          <w:lang w:val="es-PE"/>
        </w:rPr>
        <w:t>— fruto del ascetismo</w:t>
      </w:r>
    </w:p>
    <w:p w14:paraId="13FFE509" w14:textId="77777777" w:rsidR="00597DE2" w:rsidRPr="00DC1A5F" w:rsidRDefault="00597DE2" w:rsidP="00597DE2">
      <w:pPr>
        <w:pStyle w:val="ParrafoGlosario"/>
        <w:rPr>
          <w:lang w:val="es-PE"/>
        </w:rPr>
      </w:pPr>
      <w:proofErr w:type="spellStart"/>
      <w:r w:rsidRPr="00DC1A5F">
        <w:rPr>
          <w:i/>
          <w:iCs/>
          <w:lang w:val="es-PE"/>
        </w:rPr>
        <w:t>samāpatti</w:t>
      </w:r>
      <w:proofErr w:type="spellEnd"/>
      <w:r w:rsidRPr="00DC1A5F">
        <w:rPr>
          <w:lang w:val="es-PE"/>
        </w:rPr>
        <w:t>— absorción (las 9)</w:t>
      </w:r>
    </w:p>
    <w:p w14:paraId="5B02484F" w14:textId="77777777" w:rsidR="00597DE2" w:rsidRPr="00DC1A5F" w:rsidRDefault="00597DE2" w:rsidP="00597DE2">
      <w:pPr>
        <w:pStyle w:val="ParrafoGlosario"/>
        <w:rPr>
          <w:lang w:val="es-PE"/>
        </w:rPr>
      </w:pPr>
      <w:proofErr w:type="spellStart"/>
      <w:r w:rsidRPr="00DC1A5F">
        <w:rPr>
          <w:i/>
          <w:iCs/>
          <w:lang w:val="es-PE"/>
        </w:rPr>
        <w:t>samatha</w:t>
      </w:r>
      <w:proofErr w:type="spellEnd"/>
      <w:r w:rsidRPr="00DC1A5F">
        <w:rPr>
          <w:lang w:val="es-PE"/>
        </w:rPr>
        <w:t xml:space="preserve">— serenidad (término para un </w:t>
      </w:r>
      <w:proofErr w:type="spellStart"/>
      <w:r w:rsidRPr="00DC1A5F">
        <w:rPr>
          <w:i/>
          <w:iCs/>
          <w:lang w:val="es-PE"/>
        </w:rPr>
        <w:t>jhāna</w:t>
      </w:r>
      <w:proofErr w:type="spellEnd"/>
      <w:r w:rsidRPr="00DC1A5F">
        <w:rPr>
          <w:lang w:val="es-PE"/>
        </w:rPr>
        <w:t>)</w:t>
      </w:r>
    </w:p>
    <w:p w14:paraId="019CE7D4" w14:textId="77777777" w:rsidR="00597DE2" w:rsidRPr="00DC1A5F" w:rsidRDefault="00597DE2" w:rsidP="00597DE2">
      <w:pPr>
        <w:pStyle w:val="ParrafoGlosario"/>
        <w:rPr>
          <w:lang w:val="es-PE"/>
        </w:rPr>
      </w:pPr>
      <w:proofErr w:type="spellStart"/>
      <w:r w:rsidRPr="00DC1A5F">
        <w:rPr>
          <w:i/>
          <w:iCs/>
          <w:lang w:val="es-PE"/>
        </w:rPr>
        <w:t>samatha</w:t>
      </w:r>
      <w:proofErr w:type="spellEnd"/>
      <w:r w:rsidRPr="00DC1A5F">
        <w:rPr>
          <w:i/>
          <w:iCs/>
          <w:lang w:val="es-PE"/>
        </w:rPr>
        <w:t>–</w:t>
      </w:r>
      <w:proofErr w:type="spellStart"/>
      <w:r w:rsidRPr="00DC1A5F">
        <w:rPr>
          <w:i/>
          <w:iCs/>
          <w:lang w:val="es-PE"/>
        </w:rPr>
        <w:t>yānika</w:t>
      </w:r>
      <w:proofErr w:type="spellEnd"/>
      <w:r w:rsidRPr="00DC1A5F">
        <w:rPr>
          <w:lang w:val="es-PE"/>
        </w:rPr>
        <w:t>— aquel cuyo vehículo es la serenidad</w:t>
      </w:r>
    </w:p>
    <w:p w14:paraId="7B765D6B" w14:textId="77777777" w:rsidR="00597DE2" w:rsidRPr="00DC1A5F" w:rsidRDefault="00597DE2" w:rsidP="00597DE2">
      <w:pPr>
        <w:pStyle w:val="ParrafoGlosario"/>
        <w:rPr>
          <w:lang w:val="es-PE"/>
        </w:rPr>
      </w:pPr>
      <w:proofErr w:type="spellStart"/>
      <w:r w:rsidRPr="00DC1A5F">
        <w:rPr>
          <w:i/>
          <w:iCs/>
          <w:lang w:val="es-PE"/>
        </w:rPr>
        <w:t>samaveta</w:t>
      </w:r>
      <w:proofErr w:type="spellEnd"/>
      <w:r w:rsidRPr="00DC1A5F">
        <w:rPr>
          <w:lang w:val="es-PE"/>
        </w:rPr>
        <w:t xml:space="preserve">*— </w:t>
      </w:r>
      <w:r w:rsidRPr="00DC1A5F">
        <w:rPr>
          <w:i/>
          <w:iCs/>
          <w:lang w:val="es-PE"/>
        </w:rPr>
        <w:t>inherente</w:t>
      </w:r>
      <w:r w:rsidRPr="00DC1A5F">
        <w:rPr>
          <w:lang w:val="es-PE"/>
        </w:rPr>
        <w:t>: XVI.91</w:t>
      </w:r>
    </w:p>
    <w:p w14:paraId="06EAD4ED" w14:textId="77777777" w:rsidR="00597DE2" w:rsidRPr="00DC1A5F" w:rsidRDefault="00597DE2" w:rsidP="00597DE2">
      <w:pPr>
        <w:pStyle w:val="ParrafoGlosario"/>
        <w:rPr>
          <w:lang w:val="es-PE"/>
        </w:rPr>
      </w:pPr>
      <w:proofErr w:type="spellStart"/>
      <w:r w:rsidRPr="00DC1A5F">
        <w:rPr>
          <w:i/>
          <w:iCs/>
          <w:lang w:val="es-PE"/>
        </w:rPr>
        <w:t>samaya</w:t>
      </w:r>
      <w:proofErr w:type="spellEnd"/>
      <w:r w:rsidRPr="00DC1A5F">
        <w:rPr>
          <w:lang w:val="es-PE"/>
        </w:rPr>
        <w:t>— período, evento, ocasión, etc.</w:t>
      </w:r>
    </w:p>
    <w:p w14:paraId="79F73B45" w14:textId="77777777" w:rsidR="00597DE2" w:rsidRPr="00DC1A5F" w:rsidRDefault="00597DE2" w:rsidP="00597DE2">
      <w:pPr>
        <w:pStyle w:val="ParrafoGlosario"/>
        <w:rPr>
          <w:lang w:val="es-PE"/>
        </w:rPr>
      </w:pPr>
      <w:proofErr w:type="spellStart"/>
      <w:r w:rsidRPr="00943527">
        <w:rPr>
          <w:i/>
          <w:iCs/>
          <w:lang w:val="es-PE"/>
        </w:rPr>
        <w:t>sambhāveti</w:t>
      </w:r>
      <w:proofErr w:type="spellEnd"/>
      <w:r w:rsidRPr="00DC1A5F">
        <w:rPr>
          <w:lang w:val="es-PE"/>
        </w:rPr>
        <w:t xml:space="preserve">*— </w:t>
      </w:r>
      <w:r w:rsidRPr="00943527">
        <w:rPr>
          <w:i/>
          <w:iCs/>
          <w:lang w:val="es-PE"/>
        </w:rPr>
        <w:t>también</w:t>
      </w:r>
      <w:r w:rsidRPr="00DC1A5F">
        <w:rPr>
          <w:lang w:val="es-PE"/>
        </w:rPr>
        <w:t xml:space="preserve"> juzgar: IX.109</w:t>
      </w:r>
    </w:p>
    <w:p w14:paraId="1CA9C898" w14:textId="77777777" w:rsidR="00597DE2" w:rsidRPr="00DC1A5F" w:rsidRDefault="00597DE2" w:rsidP="00597DE2">
      <w:pPr>
        <w:pStyle w:val="ParrafoGlosario"/>
        <w:rPr>
          <w:lang w:val="es-PE"/>
        </w:rPr>
      </w:pPr>
      <w:proofErr w:type="spellStart"/>
      <w:r w:rsidRPr="00943527">
        <w:rPr>
          <w:i/>
          <w:iCs/>
          <w:lang w:val="es-PE"/>
        </w:rPr>
        <w:t>sambhoga</w:t>
      </w:r>
      <w:proofErr w:type="spellEnd"/>
      <w:r w:rsidRPr="00DC1A5F">
        <w:rPr>
          <w:lang w:val="es-PE"/>
        </w:rPr>
        <w:t xml:space="preserve">*— </w:t>
      </w:r>
      <w:r w:rsidRPr="00943527">
        <w:rPr>
          <w:i/>
          <w:iCs/>
          <w:lang w:val="es-PE"/>
        </w:rPr>
        <w:t>también</w:t>
      </w:r>
      <w:r w:rsidRPr="00DC1A5F">
        <w:rPr>
          <w:lang w:val="es-PE"/>
        </w:rPr>
        <w:t xml:space="preserve"> explota</w:t>
      </w:r>
      <w:r>
        <w:rPr>
          <w:lang w:val="es-PE"/>
        </w:rPr>
        <w:t>r</w:t>
      </w:r>
      <w:r w:rsidRPr="00DC1A5F">
        <w:rPr>
          <w:lang w:val="es-PE"/>
        </w:rPr>
        <w:t>: XIV.128; XVII.51</w:t>
      </w:r>
    </w:p>
    <w:p w14:paraId="388132E1" w14:textId="77777777" w:rsidR="00597DE2" w:rsidRPr="00DC1A5F" w:rsidRDefault="00597DE2" w:rsidP="00597DE2">
      <w:pPr>
        <w:pStyle w:val="ParrafoGlosario"/>
        <w:rPr>
          <w:lang w:val="es-PE"/>
        </w:rPr>
      </w:pPr>
      <w:proofErr w:type="spellStart"/>
      <w:r w:rsidRPr="00943527">
        <w:rPr>
          <w:i/>
          <w:iCs/>
          <w:lang w:val="es-PE"/>
        </w:rPr>
        <w:t>sambojjhaṅga</w:t>
      </w:r>
      <w:proofErr w:type="spellEnd"/>
      <w:r w:rsidRPr="00DC1A5F">
        <w:rPr>
          <w:lang w:val="es-PE"/>
        </w:rPr>
        <w:t>— factor de iluminación (el 7)</w:t>
      </w:r>
    </w:p>
    <w:p w14:paraId="4F89BC67" w14:textId="77777777" w:rsidR="00597DE2" w:rsidRPr="00DC1A5F" w:rsidRDefault="00597DE2" w:rsidP="00597DE2">
      <w:pPr>
        <w:pStyle w:val="ParrafoGlosario"/>
        <w:rPr>
          <w:lang w:val="es-PE"/>
        </w:rPr>
      </w:pPr>
      <w:proofErr w:type="spellStart"/>
      <w:r w:rsidRPr="00943527">
        <w:rPr>
          <w:i/>
          <w:iCs/>
          <w:lang w:val="es-PE"/>
        </w:rPr>
        <w:t>sammā</w:t>
      </w:r>
      <w:proofErr w:type="spellEnd"/>
      <w:r w:rsidRPr="00DC1A5F">
        <w:rPr>
          <w:lang w:val="es-PE"/>
        </w:rPr>
        <w:t>— correcto</w:t>
      </w:r>
    </w:p>
    <w:p w14:paraId="720D8D03" w14:textId="77777777" w:rsidR="00597DE2" w:rsidRPr="00DC1A5F" w:rsidRDefault="00597DE2" w:rsidP="00597DE2">
      <w:pPr>
        <w:pStyle w:val="ParrafoGlosario"/>
        <w:rPr>
          <w:lang w:val="es-PE"/>
        </w:rPr>
      </w:pPr>
      <w:proofErr w:type="spellStart"/>
      <w:r w:rsidRPr="00943527">
        <w:rPr>
          <w:i/>
          <w:iCs/>
          <w:lang w:val="es-PE"/>
        </w:rPr>
        <w:t>sammappadhāna</w:t>
      </w:r>
      <w:proofErr w:type="spellEnd"/>
      <w:r w:rsidRPr="00DC1A5F">
        <w:rPr>
          <w:lang w:val="es-PE"/>
        </w:rPr>
        <w:t>— esfuerzo correcto (el 4)</w:t>
      </w:r>
    </w:p>
    <w:p w14:paraId="0CE7A4E1" w14:textId="77777777" w:rsidR="00597DE2" w:rsidRPr="00DC1A5F" w:rsidRDefault="00597DE2" w:rsidP="00597DE2">
      <w:pPr>
        <w:pStyle w:val="ParrafoGlosario"/>
        <w:rPr>
          <w:lang w:val="es-PE"/>
        </w:rPr>
      </w:pPr>
      <w:proofErr w:type="spellStart"/>
      <w:r w:rsidRPr="00943527">
        <w:rPr>
          <w:i/>
          <w:iCs/>
          <w:lang w:val="es-PE"/>
        </w:rPr>
        <w:t>sammā</w:t>
      </w:r>
      <w:proofErr w:type="spellEnd"/>
      <w:r w:rsidRPr="00943527">
        <w:rPr>
          <w:i/>
          <w:iCs/>
          <w:lang w:val="es-PE"/>
        </w:rPr>
        <w:t>–</w:t>
      </w:r>
      <w:proofErr w:type="spellStart"/>
      <w:r w:rsidRPr="00943527">
        <w:rPr>
          <w:i/>
          <w:iCs/>
          <w:lang w:val="es-PE"/>
        </w:rPr>
        <w:t>sambuddha</w:t>
      </w:r>
      <w:proofErr w:type="spellEnd"/>
      <w:r w:rsidRPr="00DC1A5F">
        <w:rPr>
          <w:lang w:val="es-PE"/>
        </w:rPr>
        <w:t>— el completamente iluminado</w:t>
      </w:r>
      <w:r>
        <w:rPr>
          <w:lang w:val="es-PE"/>
        </w:rPr>
        <w:br w:type="column"/>
      </w:r>
    </w:p>
    <w:p w14:paraId="2DACF7B9" w14:textId="77777777" w:rsidR="00597DE2" w:rsidRPr="00DC1A5F" w:rsidRDefault="00597DE2" w:rsidP="00597DE2">
      <w:pPr>
        <w:pStyle w:val="ParrafoGlosario"/>
        <w:rPr>
          <w:lang w:val="es-PE"/>
        </w:rPr>
      </w:pPr>
      <w:proofErr w:type="spellStart"/>
      <w:r w:rsidRPr="00943527">
        <w:rPr>
          <w:i/>
          <w:iCs/>
          <w:lang w:val="es-PE"/>
        </w:rPr>
        <w:t>sammatta</w:t>
      </w:r>
      <w:proofErr w:type="spellEnd"/>
      <w:r w:rsidRPr="00DC1A5F">
        <w:rPr>
          <w:lang w:val="es-PE"/>
        </w:rPr>
        <w:t xml:space="preserve">— </w:t>
      </w:r>
      <w:r w:rsidRPr="00943527">
        <w:rPr>
          <w:i/>
          <w:iCs/>
          <w:lang w:val="es-PE"/>
        </w:rPr>
        <w:t>rectitud</w:t>
      </w:r>
      <w:r w:rsidRPr="00DC1A5F">
        <w:rPr>
          <w:lang w:val="es-PE"/>
        </w:rPr>
        <w:t xml:space="preserve"> (el 10)</w:t>
      </w:r>
    </w:p>
    <w:p w14:paraId="5FA83F95" w14:textId="77777777" w:rsidR="00597DE2" w:rsidRPr="00DC1A5F" w:rsidRDefault="00597DE2" w:rsidP="00597DE2">
      <w:pPr>
        <w:pStyle w:val="ParrafoGlosario"/>
        <w:rPr>
          <w:lang w:val="es-PE"/>
        </w:rPr>
      </w:pPr>
      <w:proofErr w:type="spellStart"/>
      <w:r w:rsidRPr="003B5690">
        <w:rPr>
          <w:i/>
          <w:iCs/>
          <w:lang w:val="es-PE"/>
        </w:rPr>
        <w:t>sammoha</w:t>
      </w:r>
      <w:proofErr w:type="spellEnd"/>
      <w:r w:rsidRPr="00DC1A5F">
        <w:rPr>
          <w:lang w:val="es-PE"/>
        </w:rPr>
        <w:t>–ilusión</w:t>
      </w:r>
    </w:p>
    <w:p w14:paraId="549C2CFD" w14:textId="77777777" w:rsidR="00597DE2" w:rsidRPr="00DC1A5F" w:rsidRDefault="00597DE2" w:rsidP="00597DE2">
      <w:pPr>
        <w:pStyle w:val="ParrafoGlosario"/>
        <w:rPr>
          <w:lang w:val="es-PE"/>
        </w:rPr>
      </w:pPr>
      <w:proofErr w:type="spellStart"/>
      <w:r w:rsidRPr="003B5690">
        <w:rPr>
          <w:i/>
          <w:iCs/>
          <w:lang w:val="es-PE"/>
        </w:rPr>
        <w:t>sammosa</w:t>
      </w:r>
      <w:proofErr w:type="spellEnd"/>
      <w:r w:rsidRPr="00DC1A5F">
        <w:rPr>
          <w:lang w:val="es-PE"/>
        </w:rPr>
        <w:t>— olvido</w:t>
      </w:r>
    </w:p>
    <w:p w14:paraId="0676DB67" w14:textId="77777777" w:rsidR="00597DE2" w:rsidRPr="00DC1A5F" w:rsidRDefault="00597DE2" w:rsidP="00597DE2">
      <w:pPr>
        <w:pStyle w:val="ParrafoGlosario"/>
        <w:rPr>
          <w:lang w:val="es-PE"/>
        </w:rPr>
      </w:pPr>
      <w:proofErr w:type="spellStart"/>
      <w:r w:rsidRPr="003B5690">
        <w:rPr>
          <w:i/>
          <w:iCs/>
          <w:lang w:val="es-PE"/>
        </w:rPr>
        <w:t>sammussana</w:t>
      </w:r>
      <w:proofErr w:type="spellEnd"/>
      <w:r w:rsidRPr="00DC1A5F">
        <w:rPr>
          <w:lang w:val="es-PE"/>
        </w:rPr>
        <w:t>*— olvidar: XVI.82</w:t>
      </w:r>
    </w:p>
    <w:p w14:paraId="18CBAAB4" w14:textId="77777777" w:rsidR="00597DE2" w:rsidRPr="00DC1A5F" w:rsidRDefault="00597DE2" w:rsidP="00597DE2">
      <w:pPr>
        <w:pStyle w:val="ParrafoGlosario"/>
        <w:rPr>
          <w:lang w:val="es-PE"/>
        </w:rPr>
      </w:pPr>
      <w:proofErr w:type="spellStart"/>
      <w:r w:rsidRPr="00943527">
        <w:rPr>
          <w:i/>
          <w:iCs/>
          <w:lang w:val="es-PE"/>
        </w:rPr>
        <w:t>sammuti</w:t>
      </w:r>
      <w:proofErr w:type="spellEnd"/>
      <w:r w:rsidRPr="00DC1A5F">
        <w:rPr>
          <w:lang w:val="es-PE"/>
        </w:rPr>
        <w:t>— convención, convencional</w:t>
      </w:r>
    </w:p>
    <w:p w14:paraId="58607C47" w14:textId="77777777" w:rsidR="00597DE2" w:rsidRPr="00DC1A5F" w:rsidRDefault="00597DE2" w:rsidP="00597DE2">
      <w:pPr>
        <w:pStyle w:val="ParrafoGlosario"/>
        <w:rPr>
          <w:lang w:val="es-PE"/>
        </w:rPr>
      </w:pPr>
      <w:proofErr w:type="spellStart"/>
      <w:r w:rsidRPr="00943527">
        <w:rPr>
          <w:i/>
          <w:iCs/>
          <w:lang w:val="es-PE"/>
        </w:rPr>
        <w:t>sammuti</w:t>
      </w:r>
      <w:proofErr w:type="spellEnd"/>
      <w:r w:rsidRPr="00943527">
        <w:rPr>
          <w:i/>
          <w:iCs/>
          <w:lang w:val="es-PE"/>
        </w:rPr>
        <w:t>–sacca</w:t>
      </w:r>
      <w:r w:rsidRPr="00DC1A5F">
        <w:rPr>
          <w:lang w:val="es-PE"/>
        </w:rPr>
        <w:t xml:space="preserve">— verdad convencional (por ejemplo, concepto </w:t>
      </w:r>
      <w:proofErr w:type="spellStart"/>
      <w:r w:rsidRPr="003B5690">
        <w:rPr>
          <w:i/>
          <w:iCs/>
          <w:lang w:val="es-PE"/>
        </w:rPr>
        <w:t>kasiṇa</w:t>
      </w:r>
      <w:proofErr w:type="spellEnd"/>
      <w:r w:rsidRPr="00DC1A5F">
        <w:rPr>
          <w:lang w:val="es-PE"/>
        </w:rPr>
        <w:t>)</w:t>
      </w:r>
    </w:p>
    <w:p w14:paraId="088C952D" w14:textId="77777777" w:rsidR="00597DE2" w:rsidRPr="00DC1A5F" w:rsidRDefault="00597DE2" w:rsidP="00597DE2">
      <w:pPr>
        <w:pStyle w:val="ParrafoGlosario"/>
        <w:rPr>
          <w:lang w:val="es-PE"/>
        </w:rPr>
      </w:pPr>
      <w:proofErr w:type="spellStart"/>
      <w:r w:rsidRPr="008D21D1">
        <w:rPr>
          <w:i/>
          <w:iCs/>
          <w:lang w:val="es-PE"/>
        </w:rPr>
        <w:t>sampajañña</w:t>
      </w:r>
      <w:proofErr w:type="spellEnd"/>
      <w:r w:rsidRPr="00DC1A5F">
        <w:rPr>
          <w:lang w:val="es-PE"/>
        </w:rPr>
        <w:t>— consciencia plena</w:t>
      </w:r>
      <w:r>
        <w:rPr>
          <w:lang w:val="es-PE"/>
        </w:rPr>
        <w:t xml:space="preserve"> </w:t>
      </w:r>
      <w:r w:rsidRPr="008D21D1">
        <w:rPr>
          <w:color w:val="833C0B" w:themeColor="accent2" w:themeShade="80"/>
          <w:lang w:val="es-PE"/>
        </w:rPr>
        <w:t>del impermanencia</w:t>
      </w:r>
    </w:p>
    <w:p w14:paraId="1443899C" w14:textId="77777777" w:rsidR="00597DE2" w:rsidRPr="00DC1A5F" w:rsidRDefault="00597DE2" w:rsidP="00597DE2">
      <w:pPr>
        <w:pStyle w:val="ParrafoGlosario"/>
        <w:rPr>
          <w:lang w:val="es-PE"/>
        </w:rPr>
      </w:pPr>
      <w:proofErr w:type="spellStart"/>
      <w:r w:rsidRPr="008D21D1">
        <w:rPr>
          <w:i/>
          <w:iCs/>
          <w:lang w:val="es-PE"/>
        </w:rPr>
        <w:t>sampasādayati</w:t>
      </w:r>
      <w:proofErr w:type="spellEnd"/>
      <w:r w:rsidRPr="00DC1A5F">
        <w:rPr>
          <w:lang w:val="es-PE"/>
        </w:rPr>
        <w:t xml:space="preserve">*— </w:t>
      </w:r>
      <w:r>
        <w:rPr>
          <w:lang w:val="es-PE"/>
        </w:rPr>
        <w:t>inspirar</w:t>
      </w:r>
      <w:r w:rsidRPr="00DC1A5F">
        <w:rPr>
          <w:lang w:val="es-PE"/>
        </w:rPr>
        <w:t xml:space="preserve"> confianza:</w:t>
      </w:r>
      <w:r>
        <w:rPr>
          <w:lang w:val="es-PE"/>
        </w:rPr>
        <w:t xml:space="preserve"> </w:t>
      </w:r>
      <w:r w:rsidRPr="00DC1A5F">
        <w:rPr>
          <w:lang w:val="es-PE"/>
        </w:rPr>
        <w:t>IV.142</w:t>
      </w:r>
    </w:p>
    <w:p w14:paraId="7E02EA3A" w14:textId="77777777" w:rsidR="00597DE2" w:rsidRPr="00DC1A5F" w:rsidRDefault="00597DE2" w:rsidP="00597DE2">
      <w:pPr>
        <w:pStyle w:val="ParrafoGlosario"/>
        <w:rPr>
          <w:lang w:val="es-PE"/>
        </w:rPr>
      </w:pPr>
      <w:proofErr w:type="spellStart"/>
      <w:r w:rsidRPr="008D21D1">
        <w:rPr>
          <w:i/>
          <w:iCs/>
          <w:lang w:val="es-PE"/>
        </w:rPr>
        <w:t>sampaṭicchana</w:t>
      </w:r>
      <w:proofErr w:type="spellEnd"/>
      <w:r w:rsidRPr="00DC1A5F">
        <w:rPr>
          <w:lang w:val="es-PE"/>
        </w:rPr>
        <w:t xml:space="preserve">— </w:t>
      </w:r>
      <w:r>
        <w:rPr>
          <w:lang w:val="es-PE"/>
        </w:rPr>
        <w:t>recepción</w:t>
      </w:r>
      <w:r w:rsidRPr="00DC1A5F">
        <w:rPr>
          <w:lang w:val="es-PE"/>
        </w:rPr>
        <w:t xml:space="preserve"> (consciencia)</w:t>
      </w:r>
    </w:p>
    <w:p w14:paraId="50E0BAFD" w14:textId="77777777" w:rsidR="00597DE2" w:rsidRPr="00DC1A5F" w:rsidRDefault="00597DE2" w:rsidP="00597DE2">
      <w:pPr>
        <w:pStyle w:val="ParrafoGlosario"/>
        <w:rPr>
          <w:lang w:val="es-PE"/>
        </w:rPr>
      </w:pPr>
      <w:proofErr w:type="spellStart"/>
      <w:r w:rsidRPr="008D21D1">
        <w:rPr>
          <w:i/>
          <w:iCs/>
          <w:lang w:val="es-PE"/>
        </w:rPr>
        <w:t>sampaṭipādana</w:t>
      </w:r>
      <w:proofErr w:type="spellEnd"/>
      <w:r w:rsidRPr="00DC1A5F">
        <w:rPr>
          <w:lang w:val="es-PE"/>
        </w:rPr>
        <w:t xml:space="preserve">*— mantenerse en el </w:t>
      </w:r>
      <w:r>
        <w:rPr>
          <w:lang w:val="es-PE"/>
        </w:rPr>
        <w:t>sendero</w:t>
      </w:r>
      <w:r w:rsidRPr="00DC1A5F">
        <w:rPr>
          <w:lang w:val="es-PE"/>
        </w:rPr>
        <w:t>: VI.59</w:t>
      </w:r>
    </w:p>
    <w:p w14:paraId="587268EE" w14:textId="77777777" w:rsidR="00597DE2" w:rsidRPr="00DC1A5F" w:rsidRDefault="00597DE2" w:rsidP="00597DE2">
      <w:pPr>
        <w:pStyle w:val="ParrafoGlosario"/>
        <w:rPr>
          <w:lang w:val="es-PE"/>
        </w:rPr>
      </w:pPr>
      <w:proofErr w:type="spellStart"/>
      <w:r w:rsidRPr="008D21D1">
        <w:rPr>
          <w:i/>
          <w:iCs/>
          <w:lang w:val="es-PE"/>
        </w:rPr>
        <w:t>sampatta</w:t>
      </w:r>
      <w:proofErr w:type="spellEnd"/>
      <w:r w:rsidRPr="008D21D1">
        <w:rPr>
          <w:i/>
          <w:iCs/>
          <w:lang w:val="es-PE"/>
        </w:rPr>
        <w:t>–</w:t>
      </w:r>
      <w:proofErr w:type="spellStart"/>
      <w:r w:rsidRPr="008D21D1">
        <w:rPr>
          <w:i/>
          <w:iCs/>
          <w:lang w:val="es-PE"/>
        </w:rPr>
        <w:t>visaya</w:t>
      </w:r>
      <w:proofErr w:type="spellEnd"/>
      <w:r w:rsidRPr="00DC1A5F">
        <w:rPr>
          <w:lang w:val="es-PE"/>
        </w:rPr>
        <w:t>*— que tiene un campo objetivo contiguo (es decir, olfato, gusto y tacto)</w:t>
      </w:r>
    </w:p>
    <w:p w14:paraId="38305751" w14:textId="77777777" w:rsidR="00597DE2" w:rsidRPr="00DC1A5F" w:rsidRDefault="00597DE2" w:rsidP="00597DE2">
      <w:pPr>
        <w:pStyle w:val="ParrafoGlosario"/>
        <w:rPr>
          <w:lang w:val="es-PE"/>
        </w:rPr>
      </w:pPr>
      <w:proofErr w:type="spellStart"/>
      <w:r w:rsidRPr="00943527">
        <w:rPr>
          <w:i/>
          <w:iCs/>
          <w:lang w:val="es-PE"/>
        </w:rPr>
        <w:t>samphappalāpa</w:t>
      </w:r>
      <w:proofErr w:type="spellEnd"/>
      <w:r w:rsidRPr="00DC1A5F">
        <w:rPr>
          <w:lang w:val="es-PE"/>
        </w:rPr>
        <w:t>— chisme, charla ociosa</w:t>
      </w:r>
    </w:p>
    <w:p w14:paraId="319284A3" w14:textId="77777777" w:rsidR="00597DE2" w:rsidRPr="00DC1A5F" w:rsidRDefault="00597DE2" w:rsidP="00597DE2">
      <w:pPr>
        <w:pStyle w:val="ParrafoGlosario"/>
        <w:rPr>
          <w:lang w:val="es-PE"/>
        </w:rPr>
      </w:pPr>
      <w:proofErr w:type="spellStart"/>
      <w:r w:rsidRPr="00943527">
        <w:rPr>
          <w:i/>
          <w:iCs/>
          <w:lang w:val="es-PE"/>
        </w:rPr>
        <w:t>sampiṇḍana</w:t>
      </w:r>
      <w:proofErr w:type="spellEnd"/>
      <w:r w:rsidRPr="00DC1A5F">
        <w:rPr>
          <w:lang w:val="es-PE"/>
        </w:rPr>
        <w:t xml:space="preserve">*— </w:t>
      </w:r>
      <w:r w:rsidRPr="00943527">
        <w:rPr>
          <w:i/>
          <w:iCs/>
          <w:lang w:val="es-PE"/>
        </w:rPr>
        <w:t>también</w:t>
      </w:r>
      <w:r w:rsidRPr="00DC1A5F">
        <w:rPr>
          <w:lang w:val="es-PE"/>
        </w:rPr>
        <w:t xml:space="preserve"> conjunción (gram</w:t>
      </w:r>
      <w:r>
        <w:rPr>
          <w:lang w:val="es-PE"/>
        </w:rPr>
        <w:t>ática</w:t>
      </w:r>
      <w:r w:rsidRPr="00DC1A5F">
        <w:rPr>
          <w:lang w:val="es-PE"/>
        </w:rPr>
        <w:t>): IV.154</w:t>
      </w:r>
    </w:p>
    <w:p w14:paraId="5CF71C42" w14:textId="77777777" w:rsidR="00597DE2" w:rsidRPr="00DC1A5F" w:rsidRDefault="00597DE2" w:rsidP="00597DE2">
      <w:pPr>
        <w:pStyle w:val="ParrafoGlosario"/>
        <w:rPr>
          <w:lang w:val="es-PE"/>
        </w:rPr>
      </w:pPr>
      <w:proofErr w:type="spellStart"/>
      <w:r w:rsidRPr="00DC1A5F">
        <w:rPr>
          <w:i/>
          <w:iCs/>
          <w:lang w:val="es-PE"/>
        </w:rPr>
        <w:t>saṃsāra</w:t>
      </w:r>
      <w:proofErr w:type="spellEnd"/>
      <w:r w:rsidRPr="00DC1A5F">
        <w:rPr>
          <w:lang w:val="es-PE"/>
        </w:rPr>
        <w:t>— ciclo de renacimientos</w:t>
      </w:r>
    </w:p>
    <w:p w14:paraId="0F03EEEA" w14:textId="77777777" w:rsidR="00597DE2" w:rsidRPr="00DC1A5F" w:rsidRDefault="00597DE2" w:rsidP="00597DE2">
      <w:pPr>
        <w:pStyle w:val="ParrafoGlosario"/>
        <w:rPr>
          <w:lang w:val="es-PE"/>
        </w:rPr>
      </w:pPr>
      <w:proofErr w:type="spellStart"/>
      <w:r w:rsidRPr="00DC1A5F">
        <w:rPr>
          <w:i/>
          <w:iCs/>
          <w:lang w:val="es-PE"/>
        </w:rPr>
        <w:t>samuccheda</w:t>
      </w:r>
      <w:proofErr w:type="spellEnd"/>
      <w:r w:rsidRPr="00DC1A5F">
        <w:rPr>
          <w:lang w:val="es-PE"/>
        </w:rPr>
        <w:t>— erradicación (de impurezas mediante el sendero)</w:t>
      </w:r>
    </w:p>
    <w:p w14:paraId="24F13FCE" w14:textId="77777777" w:rsidR="00597DE2" w:rsidRPr="00DC1A5F" w:rsidRDefault="00597DE2" w:rsidP="00597DE2">
      <w:pPr>
        <w:pStyle w:val="ParrafoGlosario"/>
        <w:rPr>
          <w:lang w:val="es-PE"/>
        </w:rPr>
      </w:pPr>
      <w:proofErr w:type="spellStart"/>
      <w:r w:rsidRPr="00936D59">
        <w:rPr>
          <w:i/>
          <w:iCs/>
          <w:lang w:val="es-PE"/>
        </w:rPr>
        <w:t>samudaya</w:t>
      </w:r>
      <w:proofErr w:type="spellEnd"/>
      <w:r w:rsidRPr="00DC1A5F">
        <w:rPr>
          <w:lang w:val="es-PE"/>
        </w:rPr>
        <w:t>— origen</w:t>
      </w:r>
    </w:p>
    <w:p w14:paraId="56298F89" w14:textId="77777777" w:rsidR="00597DE2" w:rsidRPr="00DC1A5F" w:rsidRDefault="00597DE2" w:rsidP="00597DE2">
      <w:pPr>
        <w:pStyle w:val="ParrafoGlosario"/>
        <w:rPr>
          <w:lang w:val="es-PE"/>
        </w:rPr>
      </w:pPr>
      <w:proofErr w:type="spellStart"/>
      <w:r w:rsidRPr="00936D59">
        <w:rPr>
          <w:i/>
          <w:iCs/>
          <w:lang w:val="es-PE"/>
        </w:rPr>
        <w:t>samudīraṇa</w:t>
      </w:r>
      <w:proofErr w:type="spellEnd"/>
      <w:r w:rsidRPr="00DC1A5F">
        <w:rPr>
          <w:lang w:val="es-PE"/>
        </w:rPr>
        <w:t xml:space="preserve">— </w:t>
      </w:r>
      <w:r>
        <w:rPr>
          <w:lang w:val="es-PE"/>
        </w:rPr>
        <w:t xml:space="preserve">en </w:t>
      </w:r>
      <w:proofErr w:type="spellStart"/>
      <w:r w:rsidRPr="00DC1A5F">
        <w:rPr>
          <w:lang w:val="es-PE"/>
        </w:rPr>
        <w:t>movi</w:t>
      </w:r>
      <w:r>
        <w:rPr>
          <w:lang w:val="es-PE"/>
        </w:rPr>
        <w:t>ento</w:t>
      </w:r>
      <w:proofErr w:type="spellEnd"/>
    </w:p>
    <w:p w14:paraId="13746279" w14:textId="77777777" w:rsidR="00597DE2" w:rsidRPr="00DC1A5F" w:rsidRDefault="00597DE2" w:rsidP="00597DE2">
      <w:pPr>
        <w:pStyle w:val="ParrafoGlosario"/>
        <w:rPr>
          <w:lang w:val="es-PE"/>
        </w:rPr>
      </w:pPr>
      <w:proofErr w:type="spellStart"/>
      <w:r w:rsidRPr="00DC1A5F">
        <w:rPr>
          <w:i/>
          <w:iCs/>
          <w:lang w:val="es-PE"/>
        </w:rPr>
        <w:t>samuṭṭhāna</w:t>
      </w:r>
      <w:proofErr w:type="spellEnd"/>
      <w:r w:rsidRPr="00DC1A5F">
        <w:rPr>
          <w:lang w:val="es-PE"/>
        </w:rPr>
        <w:t>— originación (las 4 clases), moldeado</w:t>
      </w:r>
    </w:p>
    <w:p w14:paraId="72F27E6A" w14:textId="77777777" w:rsidR="00597DE2" w:rsidRPr="00DC1A5F" w:rsidRDefault="00597DE2" w:rsidP="00597DE2">
      <w:pPr>
        <w:pStyle w:val="ParrafoGlosario"/>
        <w:rPr>
          <w:lang w:val="es-PE"/>
        </w:rPr>
      </w:pPr>
      <w:proofErr w:type="spellStart"/>
      <w:r w:rsidRPr="00DC1A5F">
        <w:rPr>
          <w:i/>
          <w:iCs/>
          <w:lang w:val="es-PE"/>
        </w:rPr>
        <w:t>samuṭṭhāpaya</w:t>
      </w:r>
      <w:proofErr w:type="spellEnd"/>
      <w:r w:rsidRPr="00DC1A5F">
        <w:rPr>
          <w:lang w:val="es-PE"/>
        </w:rPr>
        <w:t xml:space="preserve">*— </w:t>
      </w:r>
      <w:proofErr w:type="spellStart"/>
      <w:r w:rsidRPr="00DC1A5F">
        <w:rPr>
          <w:color w:val="833C0B" w:themeColor="accent2" w:themeShade="80"/>
          <w:lang w:val="es-PE"/>
        </w:rPr>
        <w:t>surgible</w:t>
      </w:r>
      <w:proofErr w:type="spellEnd"/>
      <w:r w:rsidRPr="00DC1A5F">
        <w:rPr>
          <w:lang w:val="es-PE"/>
        </w:rPr>
        <w:t>: IV.51</w:t>
      </w:r>
    </w:p>
    <w:p w14:paraId="5BE8AD21" w14:textId="77777777" w:rsidR="00597DE2" w:rsidRPr="00DC1A5F" w:rsidRDefault="00597DE2" w:rsidP="00597DE2">
      <w:pPr>
        <w:pStyle w:val="ParrafoGlosario"/>
        <w:rPr>
          <w:lang w:val="es-PE"/>
        </w:rPr>
      </w:pPr>
      <w:proofErr w:type="spellStart"/>
      <w:r w:rsidRPr="00DC1A5F">
        <w:rPr>
          <w:i/>
          <w:iCs/>
          <w:lang w:val="es-PE"/>
        </w:rPr>
        <w:t>saṃvaṇṇita</w:t>
      </w:r>
      <w:proofErr w:type="spellEnd"/>
      <w:r w:rsidRPr="00DC1A5F">
        <w:rPr>
          <w:lang w:val="es-PE"/>
        </w:rPr>
        <w:t xml:space="preserve">*— </w:t>
      </w:r>
      <w:r w:rsidRPr="00DC1A5F">
        <w:rPr>
          <w:i/>
          <w:iCs/>
          <w:lang w:val="es-PE"/>
        </w:rPr>
        <w:t>también</w:t>
      </w:r>
      <w:r w:rsidRPr="00DC1A5F">
        <w:rPr>
          <w:lang w:val="es-PE"/>
        </w:rPr>
        <w:t xml:space="preserve"> en detalle: XIII.14</w:t>
      </w:r>
    </w:p>
    <w:p w14:paraId="0846B850" w14:textId="77777777" w:rsidR="00597DE2" w:rsidRPr="00DC1A5F" w:rsidRDefault="00597DE2" w:rsidP="00597DE2">
      <w:pPr>
        <w:pStyle w:val="ParrafoGlosario"/>
        <w:rPr>
          <w:lang w:val="es-PE"/>
        </w:rPr>
      </w:pPr>
      <w:proofErr w:type="spellStart"/>
      <w:r w:rsidRPr="00DC1A5F">
        <w:rPr>
          <w:i/>
          <w:iCs/>
          <w:lang w:val="es-PE"/>
        </w:rPr>
        <w:t>saṃvara</w:t>
      </w:r>
      <w:proofErr w:type="spellEnd"/>
      <w:r w:rsidRPr="00DC1A5F">
        <w:rPr>
          <w:lang w:val="es-PE"/>
        </w:rPr>
        <w:t xml:space="preserve">— control </w:t>
      </w:r>
    </w:p>
    <w:p w14:paraId="1C198911" w14:textId="77777777" w:rsidR="00597DE2" w:rsidRPr="00DC1A5F" w:rsidRDefault="00597DE2" w:rsidP="00597DE2">
      <w:pPr>
        <w:pStyle w:val="ParrafoGlosario"/>
        <w:rPr>
          <w:lang w:val="es-PE"/>
        </w:rPr>
      </w:pPr>
      <w:proofErr w:type="spellStart"/>
      <w:r w:rsidRPr="00DC1A5F">
        <w:rPr>
          <w:i/>
          <w:iCs/>
          <w:lang w:val="es-PE"/>
        </w:rPr>
        <w:t>saṃvaṭṭa</w:t>
      </w:r>
      <w:proofErr w:type="spellEnd"/>
      <w:r w:rsidRPr="00DC1A5F">
        <w:rPr>
          <w:lang w:val="es-PE"/>
        </w:rPr>
        <w:t>— contracción (estelar)</w:t>
      </w:r>
    </w:p>
    <w:p w14:paraId="1AAC06E7" w14:textId="77777777" w:rsidR="00597DE2" w:rsidRPr="00DC1A5F" w:rsidRDefault="00597DE2" w:rsidP="00597DE2">
      <w:pPr>
        <w:pStyle w:val="ParrafoGlosario"/>
        <w:rPr>
          <w:lang w:val="es-PE"/>
        </w:rPr>
      </w:pPr>
      <w:proofErr w:type="spellStart"/>
      <w:r w:rsidRPr="00DC1A5F">
        <w:rPr>
          <w:i/>
          <w:iCs/>
          <w:lang w:val="es-PE"/>
        </w:rPr>
        <w:t>saṃvedanika</w:t>
      </w:r>
      <w:proofErr w:type="spellEnd"/>
      <w:r w:rsidRPr="00DC1A5F">
        <w:rPr>
          <w:lang w:val="es-PE"/>
        </w:rPr>
        <w:t>*— que se siente: XIV.213</w:t>
      </w:r>
    </w:p>
    <w:p w14:paraId="54918876" w14:textId="77777777" w:rsidR="00597DE2" w:rsidRPr="00DC1A5F" w:rsidRDefault="00597DE2" w:rsidP="00597DE2">
      <w:pPr>
        <w:pStyle w:val="ParrafoGlosario"/>
        <w:rPr>
          <w:lang w:val="es-PE"/>
        </w:rPr>
      </w:pPr>
      <w:proofErr w:type="spellStart"/>
      <w:r w:rsidRPr="00DC1A5F">
        <w:rPr>
          <w:i/>
          <w:iCs/>
          <w:lang w:val="es-PE"/>
        </w:rPr>
        <w:t>saṃvega</w:t>
      </w:r>
      <w:proofErr w:type="spellEnd"/>
      <w:r w:rsidRPr="00DC1A5F">
        <w:rPr>
          <w:lang w:val="es-PE"/>
        </w:rPr>
        <w:t>— sentido de urgencia</w:t>
      </w:r>
    </w:p>
    <w:p w14:paraId="6E2CE7B6" w14:textId="77777777" w:rsidR="00597DE2" w:rsidRPr="00DC1A5F" w:rsidRDefault="00597DE2" w:rsidP="00597DE2">
      <w:pPr>
        <w:pStyle w:val="ParrafoGlosario"/>
        <w:rPr>
          <w:lang w:val="es-PE"/>
        </w:rPr>
      </w:pPr>
      <w:proofErr w:type="spellStart"/>
      <w:r w:rsidRPr="00DC1A5F">
        <w:rPr>
          <w:i/>
          <w:iCs/>
          <w:lang w:val="es-PE"/>
        </w:rPr>
        <w:t>saṃyoga</w:t>
      </w:r>
      <w:proofErr w:type="spellEnd"/>
      <w:r w:rsidRPr="00DC1A5F">
        <w:rPr>
          <w:lang w:val="es-PE"/>
        </w:rPr>
        <w:t>— esclavitud, sujeción</w:t>
      </w:r>
    </w:p>
    <w:p w14:paraId="4BC230F2" w14:textId="77777777" w:rsidR="00597DE2" w:rsidRPr="00DC1A5F" w:rsidRDefault="00597DE2" w:rsidP="00597DE2">
      <w:pPr>
        <w:pStyle w:val="ParrafoGlosario"/>
        <w:rPr>
          <w:lang w:val="es-PE"/>
        </w:rPr>
      </w:pPr>
      <w:r w:rsidRPr="00DC1A5F">
        <w:rPr>
          <w:i/>
          <w:iCs/>
          <w:lang w:val="es-PE"/>
        </w:rPr>
        <w:t>saṃyojana</w:t>
      </w:r>
      <w:r w:rsidRPr="00DC1A5F">
        <w:rPr>
          <w:lang w:val="es-PE"/>
        </w:rPr>
        <w:t>— grillete (el 10)</w:t>
      </w:r>
    </w:p>
    <w:p w14:paraId="73DC8941" w14:textId="77777777" w:rsidR="00597DE2" w:rsidRPr="00DC1A5F" w:rsidRDefault="00597DE2" w:rsidP="00597DE2">
      <w:pPr>
        <w:pStyle w:val="ParrafoGlosario"/>
        <w:rPr>
          <w:lang w:val="es-PE"/>
        </w:rPr>
      </w:pPr>
      <w:proofErr w:type="spellStart"/>
      <w:r w:rsidRPr="00DC1A5F">
        <w:rPr>
          <w:i/>
          <w:iCs/>
          <w:lang w:val="es-PE"/>
        </w:rPr>
        <w:t>sandhāraṇa</w:t>
      </w:r>
      <w:proofErr w:type="spellEnd"/>
      <w:r w:rsidRPr="00DC1A5F">
        <w:rPr>
          <w:lang w:val="es-PE"/>
        </w:rPr>
        <w:t xml:space="preserve">*— </w:t>
      </w:r>
      <w:r w:rsidRPr="00DC1A5F">
        <w:rPr>
          <w:i/>
          <w:iCs/>
          <w:lang w:val="es-PE"/>
        </w:rPr>
        <w:t>también</w:t>
      </w:r>
      <w:r w:rsidRPr="00DC1A5F">
        <w:rPr>
          <w:lang w:val="es-PE"/>
        </w:rPr>
        <w:t xml:space="preserve"> defender: XIV.44</w:t>
      </w:r>
    </w:p>
    <w:p w14:paraId="6E8A7E8B" w14:textId="77777777" w:rsidR="00597DE2" w:rsidRPr="00DC1A5F" w:rsidRDefault="00597DE2" w:rsidP="00597DE2">
      <w:pPr>
        <w:pStyle w:val="ParrafoGlosario"/>
        <w:rPr>
          <w:lang w:val="es-PE"/>
        </w:rPr>
      </w:pPr>
      <w:proofErr w:type="spellStart"/>
      <w:r w:rsidRPr="00DC1A5F">
        <w:rPr>
          <w:i/>
          <w:iCs/>
          <w:lang w:val="es-PE"/>
        </w:rPr>
        <w:t>saṅgaha</w:t>
      </w:r>
      <w:proofErr w:type="spellEnd"/>
      <w:r w:rsidRPr="00DC1A5F">
        <w:rPr>
          <w:lang w:val="es-PE"/>
        </w:rPr>
        <w:t xml:space="preserve">*— </w:t>
      </w:r>
      <w:r w:rsidRPr="00DC1A5F">
        <w:rPr>
          <w:i/>
          <w:iCs/>
          <w:lang w:val="es-PE"/>
        </w:rPr>
        <w:t>también</w:t>
      </w:r>
      <w:r w:rsidRPr="00DC1A5F">
        <w:rPr>
          <w:lang w:val="es-PE"/>
        </w:rPr>
        <w:t xml:space="preserve"> mantener unido: XI.93</w:t>
      </w:r>
    </w:p>
    <w:p w14:paraId="5225851E" w14:textId="77777777" w:rsidR="00597DE2" w:rsidRPr="00DC1A5F" w:rsidRDefault="00597DE2" w:rsidP="00597DE2">
      <w:pPr>
        <w:pStyle w:val="ParrafoGlosario"/>
        <w:rPr>
          <w:lang w:val="es-PE"/>
        </w:rPr>
      </w:pPr>
      <w:proofErr w:type="spellStart"/>
      <w:r w:rsidRPr="00DC1A5F">
        <w:rPr>
          <w:i/>
          <w:iCs/>
          <w:lang w:val="es-PE"/>
        </w:rPr>
        <w:t>saṅgahīta</w:t>
      </w:r>
      <w:proofErr w:type="spellEnd"/>
      <w:r w:rsidRPr="00DC1A5F">
        <w:rPr>
          <w:lang w:val="es-PE"/>
        </w:rPr>
        <w:t xml:space="preserve">*— </w:t>
      </w:r>
      <w:r w:rsidRPr="00DC1A5F">
        <w:rPr>
          <w:i/>
          <w:iCs/>
          <w:lang w:val="es-PE"/>
        </w:rPr>
        <w:t>también</w:t>
      </w:r>
      <w:r w:rsidRPr="00DC1A5F">
        <w:rPr>
          <w:lang w:val="es-PE"/>
        </w:rPr>
        <w:t xml:space="preserve"> </w:t>
      </w:r>
      <w:r w:rsidRPr="00DC1A5F">
        <w:rPr>
          <w:i/>
          <w:iCs/>
          <w:lang w:val="es-PE"/>
        </w:rPr>
        <w:t>unido</w:t>
      </w:r>
      <w:r w:rsidRPr="00DC1A5F">
        <w:rPr>
          <w:lang w:val="es-PE"/>
        </w:rPr>
        <w:t>: XI.90</w:t>
      </w:r>
    </w:p>
    <w:p w14:paraId="0470BC06" w14:textId="77777777" w:rsidR="00597DE2" w:rsidRPr="00DC1A5F" w:rsidRDefault="00597DE2" w:rsidP="00597DE2">
      <w:pPr>
        <w:pStyle w:val="ParrafoGlosario"/>
        <w:rPr>
          <w:lang w:val="es-PE"/>
        </w:rPr>
      </w:pPr>
      <w:proofErr w:type="spellStart"/>
      <w:r w:rsidRPr="00DC1A5F">
        <w:rPr>
          <w:i/>
          <w:iCs/>
          <w:lang w:val="es-PE"/>
        </w:rPr>
        <w:t>saṅgati</w:t>
      </w:r>
      <w:proofErr w:type="spellEnd"/>
      <w:r w:rsidRPr="00DC1A5F">
        <w:rPr>
          <w:lang w:val="es-PE"/>
        </w:rPr>
        <w:t>— coincidencia, azar</w:t>
      </w:r>
    </w:p>
    <w:p w14:paraId="73E9E9C6" w14:textId="77777777" w:rsidR="00597DE2" w:rsidRPr="00DC1A5F" w:rsidRDefault="00597DE2" w:rsidP="00597DE2">
      <w:pPr>
        <w:pStyle w:val="ParrafoGlosario"/>
        <w:rPr>
          <w:lang w:val="es-PE"/>
        </w:rPr>
      </w:pPr>
      <w:proofErr w:type="spellStart"/>
      <w:r w:rsidRPr="00DC1A5F">
        <w:rPr>
          <w:i/>
          <w:iCs/>
          <w:lang w:val="es-PE"/>
        </w:rPr>
        <w:t>saṅgha</w:t>
      </w:r>
      <w:proofErr w:type="spellEnd"/>
      <w:r w:rsidRPr="00DC1A5F">
        <w:rPr>
          <w:lang w:val="es-PE"/>
        </w:rPr>
        <w:t>— la Orden, la Comunidad</w:t>
      </w:r>
    </w:p>
    <w:p w14:paraId="6FBA4896" w14:textId="77777777" w:rsidR="00597DE2" w:rsidRPr="00DC1A5F" w:rsidRDefault="00597DE2" w:rsidP="00597DE2">
      <w:pPr>
        <w:pStyle w:val="ParrafoGlosario"/>
        <w:rPr>
          <w:lang w:val="es-PE"/>
        </w:rPr>
      </w:pPr>
      <w:proofErr w:type="spellStart"/>
      <w:r w:rsidRPr="00DC1A5F">
        <w:rPr>
          <w:i/>
          <w:iCs/>
          <w:lang w:val="es-PE"/>
        </w:rPr>
        <w:t>saṅghaṭṭana</w:t>
      </w:r>
      <w:proofErr w:type="spellEnd"/>
      <w:r w:rsidRPr="00DC1A5F">
        <w:rPr>
          <w:lang w:val="es-PE"/>
        </w:rPr>
        <w:t xml:space="preserve">— contacto de una conjunción, impacto </w:t>
      </w:r>
    </w:p>
    <w:p w14:paraId="587FA5D7" w14:textId="77777777" w:rsidR="00597DE2" w:rsidRPr="00DC1A5F" w:rsidRDefault="00597DE2" w:rsidP="00597DE2">
      <w:pPr>
        <w:pStyle w:val="ParrafoGlosario"/>
        <w:rPr>
          <w:lang w:val="es-PE"/>
        </w:rPr>
      </w:pPr>
      <w:proofErr w:type="spellStart"/>
      <w:r w:rsidRPr="00DC1A5F">
        <w:rPr>
          <w:i/>
          <w:iCs/>
          <w:lang w:val="es-PE"/>
        </w:rPr>
        <w:t>sa</w:t>
      </w:r>
      <w:proofErr w:type="spellEnd"/>
      <w:r w:rsidRPr="00DC1A5F">
        <w:rPr>
          <w:i/>
          <w:iCs/>
          <w:lang w:val="es-PE"/>
        </w:rPr>
        <w:t>–</w:t>
      </w:r>
      <w:proofErr w:type="spellStart"/>
      <w:r w:rsidRPr="00DC1A5F">
        <w:rPr>
          <w:i/>
          <w:iCs/>
          <w:lang w:val="es-PE"/>
        </w:rPr>
        <w:t>nidassana</w:t>
      </w:r>
      <w:proofErr w:type="spellEnd"/>
      <w:r w:rsidRPr="00DC1A5F">
        <w:rPr>
          <w:lang w:val="es-PE"/>
        </w:rPr>
        <w:t>— visible</w:t>
      </w:r>
    </w:p>
    <w:p w14:paraId="340A12FB" w14:textId="77777777" w:rsidR="00597DE2" w:rsidRPr="00DC1A5F" w:rsidRDefault="00597DE2" w:rsidP="00597DE2">
      <w:pPr>
        <w:pStyle w:val="ParrafoGlosario"/>
        <w:rPr>
          <w:lang w:val="es-PE"/>
        </w:rPr>
      </w:pPr>
      <w:proofErr w:type="spellStart"/>
      <w:r w:rsidRPr="00DC1A5F">
        <w:rPr>
          <w:i/>
          <w:iCs/>
          <w:lang w:val="es-PE"/>
        </w:rPr>
        <w:t>saṅkamana</w:t>
      </w:r>
      <w:proofErr w:type="spellEnd"/>
      <w:r w:rsidRPr="00DC1A5F">
        <w:rPr>
          <w:lang w:val="es-PE"/>
        </w:rPr>
        <w:t>— transmigrando</w:t>
      </w:r>
    </w:p>
    <w:p w14:paraId="0186F3EA" w14:textId="77777777" w:rsidR="00597DE2" w:rsidRPr="00DC1A5F" w:rsidRDefault="00597DE2" w:rsidP="00597DE2">
      <w:pPr>
        <w:pStyle w:val="ParrafoGlosario"/>
        <w:rPr>
          <w:lang w:val="es-PE"/>
        </w:rPr>
      </w:pPr>
      <w:proofErr w:type="spellStart"/>
      <w:r w:rsidRPr="00DC1A5F">
        <w:rPr>
          <w:i/>
          <w:iCs/>
          <w:lang w:val="es-PE"/>
        </w:rPr>
        <w:t>saṅkanti</w:t>
      </w:r>
      <w:proofErr w:type="spellEnd"/>
      <w:r w:rsidRPr="00DC1A5F">
        <w:rPr>
          <w:lang w:val="es-PE"/>
        </w:rPr>
        <w:t>— transmigración</w:t>
      </w:r>
    </w:p>
    <w:p w14:paraId="31480B7C" w14:textId="77777777" w:rsidR="00597DE2" w:rsidRPr="00DC1A5F" w:rsidRDefault="00597DE2" w:rsidP="00597DE2">
      <w:pPr>
        <w:pStyle w:val="ParrafoGlosario"/>
        <w:rPr>
          <w:lang w:val="es-PE"/>
        </w:rPr>
      </w:pPr>
      <w:r w:rsidRPr="00DC1A5F">
        <w:rPr>
          <w:i/>
          <w:iCs/>
          <w:lang w:val="es-PE"/>
        </w:rPr>
        <w:t>saṅkappa</w:t>
      </w:r>
      <w:r w:rsidRPr="00DC1A5F">
        <w:rPr>
          <w:lang w:val="es-PE"/>
        </w:rPr>
        <w:t>— pensar</w:t>
      </w:r>
    </w:p>
    <w:p w14:paraId="33ED65B9" w14:textId="77777777" w:rsidR="00597DE2" w:rsidRPr="00DC1A5F" w:rsidRDefault="00597DE2" w:rsidP="00597DE2">
      <w:pPr>
        <w:pStyle w:val="ParrafoGlosario"/>
        <w:rPr>
          <w:lang w:val="es-PE"/>
        </w:rPr>
      </w:pPr>
      <w:proofErr w:type="spellStart"/>
      <w:r w:rsidRPr="00DC1A5F">
        <w:rPr>
          <w:i/>
          <w:iCs/>
          <w:lang w:val="es-PE"/>
        </w:rPr>
        <w:t>saṅkara</w:t>
      </w:r>
      <w:proofErr w:type="spellEnd"/>
      <w:r w:rsidRPr="00DC1A5F">
        <w:rPr>
          <w:lang w:val="es-PE"/>
        </w:rPr>
        <w:t xml:space="preserve">*— confundir, errar: XIV.58; versos de epílogo (ver CPD </w:t>
      </w:r>
      <w:proofErr w:type="spellStart"/>
      <w:r w:rsidRPr="00DC1A5F">
        <w:rPr>
          <w:i/>
          <w:iCs/>
          <w:lang w:val="es-PE"/>
        </w:rPr>
        <w:t>asaṅkara</w:t>
      </w:r>
      <w:proofErr w:type="spellEnd"/>
      <w:r w:rsidRPr="00DC1A5F">
        <w:rPr>
          <w:lang w:val="es-PE"/>
        </w:rPr>
        <w:t>)</w:t>
      </w:r>
    </w:p>
    <w:p w14:paraId="356428BC" w14:textId="77777777" w:rsidR="00597DE2" w:rsidRDefault="00597DE2" w:rsidP="00597DE2">
      <w:pPr>
        <w:pStyle w:val="ParrafoGlosario"/>
        <w:rPr>
          <w:lang w:val="es-PE"/>
        </w:rPr>
      </w:pPr>
      <w:proofErr w:type="spellStart"/>
      <w:r w:rsidRPr="00DC1A5F">
        <w:rPr>
          <w:i/>
          <w:iCs/>
          <w:lang w:val="es-PE"/>
        </w:rPr>
        <w:t>saṅkhāra</w:t>
      </w:r>
      <w:proofErr w:type="spellEnd"/>
      <w:r w:rsidRPr="00DC1A5F">
        <w:rPr>
          <w:lang w:val="es-PE"/>
        </w:rPr>
        <w:t>— formación, cosa formada</w:t>
      </w:r>
      <w:r>
        <w:rPr>
          <w:lang w:val="es-PE"/>
        </w:rPr>
        <w:br w:type="page"/>
      </w:r>
    </w:p>
    <w:p w14:paraId="5E7B912B" w14:textId="77777777" w:rsidR="00597DE2" w:rsidRPr="00DC1A5F" w:rsidRDefault="00597DE2" w:rsidP="00597DE2">
      <w:pPr>
        <w:pStyle w:val="ParrafoGlosario"/>
        <w:rPr>
          <w:lang w:val="es-PE"/>
        </w:rPr>
      </w:pPr>
    </w:p>
    <w:p w14:paraId="457D111D" w14:textId="77777777" w:rsidR="00597DE2" w:rsidRPr="00DC1A5F" w:rsidRDefault="00597DE2" w:rsidP="00597DE2">
      <w:pPr>
        <w:pStyle w:val="ParrafoGlosario"/>
        <w:rPr>
          <w:lang w:val="es-PE"/>
        </w:rPr>
      </w:pPr>
      <w:proofErr w:type="spellStart"/>
      <w:r w:rsidRPr="00DC1A5F">
        <w:rPr>
          <w:i/>
          <w:iCs/>
          <w:lang w:val="es-PE"/>
        </w:rPr>
        <w:t>saṅkhāra</w:t>
      </w:r>
      <w:proofErr w:type="spellEnd"/>
      <w:r w:rsidRPr="00DC1A5F">
        <w:rPr>
          <w:i/>
          <w:iCs/>
          <w:lang w:val="es-PE"/>
        </w:rPr>
        <w:t>–dukkha</w:t>
      </w:r>
      <w:r w:rsidRPr="00DC1A5F">
        <w:rPr>
          <w:lang w:val="es-PE"/>
        </w:rPr>
        <w:t>— sufrimiento debido a las formaciones</w:t>
      </w:r>
    </w:p>
    <w:p w14:paraId="6A064DFD" w14:textId="77777777" w:rsidR="00597DE2" w:rsidRPr="00DC1A5F" w:rsidRDefault="00597DE2" w:rsidP="00597DE2">
      <w:pPr>
        <w:pStyle w:val="ParrafoGlosario"/>
        <w:rPr>
          <w:lang w:val="es-PE"/>
        </w:rPr>
      </w:pPr>
      <w:proofErr w:type="spellStart"/>
      <w:r w:rsidRPr="00DC1A5F">
        <w:rPr>
          <w:i/>
          <w:iCs/>
          <w:lang w:val="es-PE"/>
        </w:rPr>
        <w:t>saṅkhāra</w:t>
      </w:r>
      <w:proofErr w:type="spellEnd"/>
      <w:r w:rsidRPr="00DC1A5F">
        <w:rPr>
          <w:i/>
          <w:iCs/>
          <w:lang w:val="es-PE"/>
        </w:rPr>
        <w:t>–</w:t>
      </w:r>
      <w:proofErr w:type="spellStart"/>
      <w:r w:rsidRPr="00DC1A5F">
        <w:rPr>
          <w:i/>
          <w:iCs/>
          <w:lang w:val="es-PE"/>
        </w:rPr>
        <w:t>pariccheda</w:t>
      </w:r>
      <w:proofErr w:type="spellEnd"/>
      <w:r w:rsidRPr="00DC1A5F">
        <w:rPr>
          <w:lang w:val="es-PE"/>
        </w:rPr>
        <w:t>— delimitación de las formaciones</w:t>
      </w:r>
    </w:p>
    <w:p w14:paraId="0EEAD58E" w14:textId="77777777" w:rsidR="00597DE2" w:rsidRPr="00DC1A5F" w:rsidRDefault="00597DE2" w:rsidP="00597DE2">
      <w:pPr>
        <w:pStyle w:val="ParrafoGlosario"/>
        <w:rPr>
          <w:lang w:val="es-PE"/>
        </w:rPr>
      </w:pPr>
      <w:proofErr w:type="spellStart"/>
      <w:r w:rsidRPr="00DC1A5F">
        <w:rPr>
          <w:i/>
          <w:iCs/>
          <w:lang w:val="es-PE"/>
        </w:rPr>
        <w:t>saṅkhārupekkhā</w:t>
      </w:r>
      <w:proofErr w:type="spellEnd"/>
      <w:r w:rsidRPr="00DC1A5F">
        <w:rPr>
          <w:lang w:val="es-PE"/>
        </w:rPr>
        <w:t>— ecuanimidad con respecto a las formaciones</w:t>
      </w:r>
    </w:p>
    <w:p w14:paraId="620F589D" w14:textId="77777777" w:rsidR="00597DE2" w:rsidRPr="00DC1A5F" w:rsidRDefault="00597DE2" w:rsidP="00597DE2">
      <w:pPr>
        <w:pStyle w:val="ParrafoGlosario"/>
        <w:rPr>
          <w:lang w:val="es-PE"/>
        </w:rPr>
      </w:pPr>
      <w:proofErr w:type="spellStart"/>
      <w:r w:rsidRPr="00DC1A5F">
        <w:rPr>
          <w:i/>
          <w:iCs/>
          <w:lang w:val="es-PE"/>
        </w:rPr>
        <w:t>saṅkhata</w:t>
      </w:r>
      <w:proofErr w:type="spellEnd"/>
      <w:r w:rsidRPr="00DC1A5F">
        <w:rPr>
          <w:lang w:val="es-PE"/>
        </w:rPr>
        <w:t>— formado</w:t>
      </w:r>
    </w:p>
    <w:p w14:paraId="01C76970" w14:textId="77777777" w:rsidR="00597DE2" w:rsidRPr="00DC1A5F" w:rsidRDefault="00597DE2" w:rsidP="00597DE2">
      <w:pPr>
        <w:pStyle w:val="ParrafoGlosario"/>
        <w:rPr>
          <w:lang w:val="es-PE"/>
        </w:rPr>
      </w:pPr>
      <w:proofErr w:type="spellStart"/>
      <w:r w:rsidRPr="00DC1A5F">
        <w:rPr>
          <w:i/>
          <w:iCs/>
          <w:lang w:val="es-PE"/>
        </w:rPr>
        <w:t>saṅkilesa</w:t>
      </w:r>
      <w:proofErr w:type="spellEnd"/>
      <w:r w:rsidRPr="00DC1A5F">
        <w:rPr>
          <w:lang w:val="es-PE"/>
        </w:rPr>
        <w:t>— contaminación, corrupción</w:t>
      </w:r>
    </w:p>
    <w:p w14:paraId="5A249E77" w14:textId="77777777" w:rsidR="00597DE2" w:rsidRPr="00DC1A5F" w:rsidRDefault="00597DE2" w:rsidP="00597DE2">
      <w:pPr>
        <w:pStyle w:val="ParrafoGlosario"/>
        <w:rPr>
          <w:lang w:val="es-PE"/>
        </w:rPr>
      </w:pPr>
      <w:proofErr w:type="spellStart"/>
      <w:r w:rsidRPr="00DC1A5F">
        <w:rPr>
          <w:i/>
          <w:iCs/>
          <w:lang w:val="es-PE"/>
        </w:rPr>
        <w:t>saṅku</w:t>
      </w:r>
      <w:proofErr w:type="spellEnd"/>
      <w:r w:rsidRPr="00DC1A5F">
        <w:rPr>
          <w:i/>
          <w:iCs/>
          <w:lang w:val="es-PE"/>
        </w:rPr>
        <w:t>–</w:t>
      </w:r>
      <w:proofErr w:type="spellStart"/>
      <w:r w:rsidRPr="00DC1A5F">
        <w:rPr>
          <w:i/>
          <w:iCs/>
          <w:lang w:val="es-PE"/>
        </w:rPr>
        <w:t>patha</w:t>
      </w:r>
      <w:proofErr w:type="spellEnd"/>
      <w:r w:rsidRPr="00DC1A5F">
        <w:rPr>
          <w:lang w:val="es-PE"/>
        </w:rPr>
        <w:t xml:space="preserve">*— </w:t>
      </w:r>
      <w:r w:rsidRPr="00DC1A5F">
        <w:rPr>
          <w:i/>
          <w:iCs/>
          <w:lang w:val="es-PE"/>
        </w:rPr>
        <w:t>también</w:t>
      </w:r>
      <w:r w:rsidRPr="00DC1A5F">
        <w:rPr>
          <w:lang w:val="es-PE"/>
        </w:rPr>
        <w:t xml:space="preserve"> un camino sobre pilotes: IX.36</w:t>
      </w:r>
    </w:p>
    <w:p w14:paraId="49E01E96" w14:textId="77777777" w:rsidR="00597DE2" w:rsidRPr="00DC1A5F" w:rsidRDefault="00597DE2" w:rsidP="00597DE2">
      <w:pPr>
        <w:pStyle w:val="ParrafoGlosario"/>
        <w:rPr>
          <w:lang w:val="es-PE"/>
        </w:rPr>
      </w:pPr>
      <w:proofErr w:type="spellStart"/>
      <w:r w:rsidRPr="00DC1A5F">
        <w:rPr>
          <w:i/>
          <w:iCs/>
          <w:lang w:val="es-PE"/>
        </w:rPr>
        <w:t>sannikkhepana</w:t>
      </w:r>
      <w:proofErr w:type="spellEnd"/>
      <w:r w:rsidRPr="00DC1A5F">
        <w:rPr>
          <w:lang w:val="es-PE"/>
        </w:rPr>
        <w:t xml:space="preserve">*— </w:t>
      </w:r>
      <w:r w:rsidRPr="00DC1A5F">
        <w:rPr>
          <w:i/>
          <w:iCs/>
          <w:lang w:val="es-PE"/>
        </w:rPr>
        <w:t>también</w:t>
      </w:r>
      <w:r w:rsidRPr="00DC1A5F">
        <w:rPr>
          <w:lang w:val="es-PE"/>
        </w:rPr>
        <w:t xml:space="preserve"> escribir: XX.62</w:t>
      </w:r>
    </w:p>
    <w:p w14:paraId="36024BCA" w14:textId="77777777" w:rsidR="00597DE2" w:rsidRPr="00DC1A5F" w:rsidRDefault="00597DE2" w:rsidP="00597DE2">
      <w:pPr>
        <w:pStyle w:val="ParrafoGlosario"/>
        <w:rPr>
          <w:lang w:val="es-PE"/>
        </w:rPr>
      </w:pPr>
      <w:proofErr w:type="spellStart"/>
      <w:r w:rsidRPr="00DC1A5F">
        <w:rPr>
          <w:i/>
          <w:iCs/>
          <w:lang w:val="es-PE"/>
        </w:rPr>
        <w:t>sannipata</w:t>
      </w:r>
      <w:proofErr w:type="spellEnd"/>
      <w:r w:rsidRPr="00DC1A5F">
        <w:rPr>
          <w:lang w:val="es-PE"/>
        </w:rPr>
        <w:t>— concurrencia</w:t>
      </w:r>
    </w:p>
    <w:p w14:paraId="1122626C" w14:textId="77777777" w:rsidR="00597DE2" w:rsidRPr="00DC1A5F" w:rsidRDefault="00597DE2" w:rsidP="00597DE2">
      <w:pPr>
        <w:pStyle w:val="ParrafoGlosario"/>
        <w:rPr>
          <w:lang w:val="es-PE"/>
        </w:rPr>
      </w:pPr>
      <w:proofErr w:type="spellStart"/>
      <w:r w:rsidRPr="00DC1A5F">
        <w:rPr>
          <w:i/>
          <w:iCs/>
          <w:lang w:val="es-PE"/>
        </w:rPr>
        <w:t>sannirujjhana</w:t>
      </w:r>
      <w:proofErr w:type="spellEnd"/>
      <w:r w:rsidRPr="00DC1A5F">
        <w:rPr>
          <w:lang w:val="es-PE"/>
        </w:rPr>
        <w:t>*— también fijar: IV.91; XII.51; XX.62</w:t>
      </w:r>
    </w:p>
    <w:p w14:paraId="6F267B22" w14:textId="77777777" w:rsidR="00597DE2" w:rsidRPr="00DC1A5F" w:rsidRDefault="00597DE2" w:rsidP="00597DE2">
      <w:pPr>
        <w:pStyle w:val="ParrafoGlosario"/>
        <w:rPr>
          <w:lang w:val="es-PE"/>
        </w:rPr>
      </w:pPr>
      <w:proofErr w:type="spellStart"/>
      <w:r w:rsidRPr="00DC1A5F">
        <w:rPr>
          <w:i/>
          <w:iCs/>
          <w:lang w:val="es-PE"/>
        </w:rPr>
        <w:t>sannissaya</w:t>
      </w:r>
      <w:proofErr w:type="spellEnd"/>
      <w:r w:rsidRPr="00DC1A5F">
        <w:rPr>
          <w:lang w:val="es-PE"/>
        </w:rPr>
        <w:t>*— esperando que, dependencia: XIV.29</w:t>
      </w:r>
    </w:p>
    <w:p w14:paraId="324EC682" w14:textId="77777777" w:rsidR="00597DE2" w:rsidRPr="00DC1A5F" w:rsidRDefault="00597DE2" w:rsidP="00597DE2">
      <w:pPr>
        <w:pStyle w:val="ParrafoGlosario"/>
        <w:rPr>
          <w:lang w:val="es-PE"/>
        </w:rPr>
      </w:pPr>
      <w:proofErr w:type="spellStart"/>
      <w:r w:rsidRPr="00DC1A5F">
        <w:rPr>
          <w:i/>
          <w:iCs/>
          <w:lang w:val="es-PE"/>
        </w:rPr>
        <w:t>sanniṭṭheyya</w:t>
      </w:r>
      <w:proofErr w:type="spellEnd"/>
      <w:r w:rsidRPr="00DC1A5F">
        <w:rPr>
          <w:lang w:val="es-PE"/>
        </w:rPr>
        <w:t>*— apto para ser convencido con al respecto: XIV.151</w:t>
      </w:r>
    </w:p>
    <w:p w14:paraId="13222625" w14:textId="77777777" w:rsidR="00597DE2" w:rsidRPr="00DC1A5F" w:rsidRDefault="00597DE2" w:rsidP="00597DE2">
      <w:pPr>
        <w:pStyle w:val="ParrafoGlosario"/>
        <w:rPr>
          <w:lang w:val="es-PE"/>
        </w:rPr>
      </w:pPr>
      <w:r w:rsidRPr="00DC1A5F">
        <w:rPr>
          <w:i/>
          <w:iCs/>
          <w:lang w:val="es-PE"/>
        </w:rPr>
        <w:t>santana</w:t>
      </w:r>
      <w:r w:rsidRPr="00DC1A5F">
        <w:rPr>
          <w:lang w:val="es-PE"/>
        </w:rPr>
        <w:t>— continuidad</w:t>
      </w:r>
    </w:p>
    <w:p w14:paraId="201E26C5" w14:textId="77777777" w:rsidR="00597DE2" w:rsidRPr="00DC1A5F" w:rsidRDefault="00597DE2" w:rsidP="00597DE2">
      <w:pPr>
        <w:pStyle w:val="ParrafoGlosario"/>
        <w:rPr>
          <w:lang w:val="es-PE"/>
        </w:rPr>
      </w:pPr>
      <w:proofErr w:type="spellStart"/>
      <w:r w:rsidRPr="00DC1A5F">
        <w:rPr>
          <w:i/>
          <w:iCs/>
          <w:lang w:val="es-PE"/>
        </w:rPr>
        <w:t>santati</w:t>
      </w:r>
      <w:proofErr w:type="spellEnd"/>
      <w:r w:rsidRPr="00DC1A5F">
        <w:rPr>
          <w:lang w:val="es-PE"/>
        </w:rPr>
        <w:t>— continuidad</w:t>
      </w:r>
    </w:p>
    <w:p w14:paraId="3FC2186D" w14:textId="77777777" w:rsidR="00597DE2" w:rsidRPr="00DC1A5F" w:rsidRDefault="00597DE2" w:rsidP="00597DE2">
      <w:pPr>
        <w:pStyle w:val="ParrafoGlosario"/>
        <w:rPr>
          <w:lang w:val="es-PE"/>
        </w:rPr>
      </w:pPr>
      <w:proofErr w:type="spellStart"/>
      <w:r w:rsidRPr="00DC1A5F">
        <w:rPr>
          <w:i/>
          <w:iCs/>
          <w:lang w:val="es-PE"/>
        </w:rPr>
        <w:t>santati</w:t>
      </w:r>
      <w:proofErr w:type="spellEnd"/>
      <w:r w:rsidRPr="00DC1A5F">
        <w:rPr>
          <w:i/>
          <w:iCs/>
          <w:lang w:val="es-PE"/>
        </w:rPr>
        <w:t>–</w:t>
      </w:r>
      <w:proofErr w:type="spellStart"/>
      <w:r w:rsidRPr="00DC1A5F">
        <w:rPr>
          <w:i/>
          <w:iCs/>
          <w:lang w:val="es-PE"/>
        </w:rPr>
        <w:t>sīsa</w:t>
      </w:r>
      <w:proofErr w:type="spellEnd"/>
      <w:r w:rsidRPr="00DC1A5F">
        <w:rPr>
          <w:lang w:val="es-PE"/>
        </w:rPr>
        <w:t>— continuidad orgánica</w:t>
      </w:r>
    </w:p>
    <w:p w14:paraId="142FE4AB" w14:textId="77777777" w:rsidR="00597DE2" w:rsidRPr="00DC1A5F" w:rsidRDefault="00597DE2" w:rsidP="00597DE2">
      <w:pPr>
        <w:pStyle w:val="ParrafoGlosario"/>
        <w:rPr>
          <w:lang w:val="es-PE"/>
        </w:rPr>
      </w:pPr>
      <w:proofErr w:type="spellStart"/>
      <w:r w:rsidRPr="00DC1A5F">
        <w:rPr>
          <w:i/>
          <w:iCs/>
          <w:lang w:val="es-PE"/>
        </w:rPr>
        <w:t>saṇṭhāna</w:t>
      </w:r>
      <w:proofErr w:type="spellEnd"/>
      <w:r w:rsidRPr="00DC1A5F">
        <w:rPr>
          <w:lang w:val="es-PE"/>
        </w:rPr>
        <w:t>— (1) forma</w:t>
      </w:r>
    </w:p>
    <w:p w14:paraId="0C642A26" w14:textId="77777777" w:rsidR="00597DE2" w:rsidRPr="00DC1A5F" w:rsidRDefault="00597DE2" w:rsidP="00597DE2">
      <w:pPr>
        <w:pStyle w:val="ParrafoGlosario"/>
        <w:rPr>
          <w:lang w:val="es-PE"/>
        </w:rPr>
      </w:pPr>
      <w:proofErr w:type="spellStart"/>
      <w:r w:rsidRPr="00DC1A5F">
        <w:rPr>
          <w:i/>
          <w:iCs/>
          <w:lang w:val="es-PE"/>
        </w:rPr>
        <w:t>saṇṭhāna</w:t>
      </w:r>
      <w:proofErr w:type="spellEnd"/>
      <w:r w:rsidRPr="00DC1A5F">
        <w:rPr>
          <w:lang w:val="es-PE"/>
        </w:rPr>
        <w:t xml:space="preserve">*— </w:t>
      </w:r>
      <w:r w:rsidRPr="00DC1A5F">
        <w:rPr>
          <w:i/>
          <w:iCs/>
          <w:lang w:val="es-PE"/>
        </w:rPr>
        <w:t>también</w:t>
      </w:r>
      <w:r w:rsidRPr="00DC1A5F">
        <w:rPr>
          <w:lang w:val="es-PE"/>
        </w:rPr>
        <w:t xml:space="preserve"> (2) establecerse, estacionariedad: III.22; VIII.69, (3) </w:t>
      </w:r>
      <w:proofErr w:type="spellStart"/>
      <w:r w:rsidRPr="00DC1A5F">
        <w:rPr>
          <w:lang w:val="es-PE"/>
        </w:rPr>
        <w:t>co</w:t>
      </w:r>
      <w:proofErr w:type="spellEnd"/>
      <w:r w:rsidRPr="00DC1A5F">
        <w:rPr>
          <w:lang w:val="es-PE"/>
        </w:rPr>
        <w:t xml:space="preserve">–presencia: XVII.76 </w:t>
      </w:r>
    </w:p>
    <w:p w14:paraId="79B1A5DB" w14:textId="77777777" w:rsidR="00597DE2" w:rsidRPr="00DC1A5F" w:rsidRDefault="00597DE2" w:rsidP="00597DE2">
      <w:pPr>
        <w:pStyle w:val="ParrafoGlosario"/>
        <w:rPr>
          <w:lang w:val="es-PE"/>
        </w:rPr>
      </w:pPr>
      <w:proofErr w:type="spellStart"/>
      <w:r w:rsidRPr="00DC1A5F">
        <w:rPr>
          <w:i/>
          <w:iCs/>
          <w:lang w:val="es-PE"/>
        </w:rPr>
        <w:t>santi</w:t>
      </w:r>
      <w:proofErr w:type="spellEnd"/>
      <w:r w:rsidRPr="00DC1A5F">
        <w:rPr>
          <w:i/>
          <w:iCs/>
          <w:lang w:val="es-PE"/>
        </w:rPr>
        <w:t>–pada</w:t>
      </w:r>
      <w:r w:rsidRPr="00DC1A5F">
        <w:rPr>
          <w:lang w:val="es-PE"/>
        </w:rPr>
        <w:t xml:space="preserve">— estado de paz (término para </w:t>
      </w:r>
      <w:proofErr w:type="spellStart"/>
      <w:r w:rsidRPr="00DC1A5F">
        <w:rPr>
          <w:i/>
          <w:iCs/>
          <w:lang w:val="es-PE"/>
        </w:rPr>
        <w:t>Nibbana</w:t>
      </w:r>
      <w:proofErr w:type="spellEnd"/>
      <w:r w:rsidRPr="00DC1A5F">
        <w:rPr>
          <w:lang w:val="es-PE"/>
        </w:rPr>
        <w:t>)</w:t>
      </w:r>
    </w:p>
    <w:p w14:paraId="2F34A949" w14:textId="77777777" w:rsidR="00597DE2" w:rsidRPr="00DC1A5F" w:rsidRDefault="00597DE2" w:rsidP="00597DE2">
      <w:pPr>
        <w:pStyle w:val="ParrafoGlosario"/>
        <w:rPr>
          <w:lang w:val="es-PE"/>
        </w:rPr>
      </w:pPr>
      <w:proofErr w:type="spellStart"/>
      <w:r w:rsidRPr="00DC1A5F">
        <w:rPr>
          <w:i/>
          <w:iCs/>
          <w:lang w:val="es-PE"/>
        </w:rPr>
        <w:t>santīraṇa</w:t>
      </w:r>
      <w:proofErr w:type="spellEnd"/>
      <w:r w:rsidRPr="00DC1A5F">
        <w:rPr>
          <w:lang w:val="es-PE"/>
        </w:rPr>
        <w:t>— investigación (consciencia)</w:t>
      </w:r>
    </w:p>
    <w:p w14:paraId="124F308F" w14:textId="77777777" w:rsidR="00597DE2" w:rsidRPr="00DC1A5F" w:rsidRDefault="00597DE2" w:rsidP="00597DE2">
      <w:pPr>
        <w:pStyle w:val="ParrafoGlosario"/>
        <w:rPr>
          <w:lang w:val="es-PE"/>
        </w:rPr>
      </w:pPr>
      <w:proofErr w:type="spellStart"/>
      <w:r w:rsidRPr="00DC1A5F">
        <w:rPr>
          <w:i/>
          <w:iCs/>
          <w:lang w:val="es-PE"/>
        </w:rPr>
        <w:t>saññā</w:t>
      </w:r>
      <w:proofErr w:type="spellEnd"/>
      <w:r w:rsidRPr="00DC1A5F">
        <w:rPr>
          <w:lang w:val="es-PE"/>
        </w:rPr>
        <w:t>— (1) percepción, (2) signo, señal, etiqueta</w:t>
      </w:r>
    </w:p>
    <w:p w14:paraId="0306AC07" w14:textId="77777777" w:rsidR="00597DE2" w:rsidRPr="00DC1A5F" w:rsidRDefault="00597DE2" w:rsidP="00597DE2">
      <w:pPr>
        <w:pStyle w:val="ParrafoGlosario"/>
        <w:rPr>
          <w:lang w:val="es-PE"/>
        </w:rPr>
      </w:pPr>
      <w:proofErr w:type="spellStart"/>
      <w:r w:rsidRPr="00DC1A5F">
        <w:rPr>
          <w:i/>
          <w:iCs/>
          <w:lang w:val="es-PE"/>
        </w:rPr>
        <w:t>sañña</w:t>
      </w:r>
      <w:proofErr w:type="spellEnd"/>
      <w:r w:rsidRPr="00DC1A5F">
        <w:rPr>
          <w:lang w:val="es-PE"/>
        </w:rPr>
        <w:t>*— restricción: I.158</w:t>
      </w:r>
    </w:p>
    <w:p w14:paraId="3202465C" w14:textId="77777777" w:rsidR="00597DE2" w:rsidRPr="00DC1A5F" w:rsidRDefault="00597DE2" w:rsidP="00597DE2">
      <w:pPr>
        <w:pStyle w:val="ParrafoGlosario"/>
        <w:rPr>
          <w:lang w:val="es-PE"/>
        </w:rPr>
      </w:pPr>
      <w:proofErr w:type="spellStart"/>
      <w:r w:rsidRPr="00DC1A5F">
        <w:rPr>
          <w:i/>
          <w:iCs/>
          <w:lang w:val="es-PE"/>
        </w:rPr>
        <w:t>saññāvedayitanirodha</w:t>
      </w:r>
      <w:proofErr w:type="spellEnd"/>
      <w:r w:rsidRPr="00DC1A5F">
        <w:rPr>
          <w:lang w:val="es-PE"/>
        </w:rPr>
        <w:t>— cesación de la percepción y sensación</w:t>
      </w:r>
    </w:p>
    <w:p w14:paraId="1C520BA5" w14:textId="77777777" w:rsidR="00597DE2" w:rsidRPr="00DC1A5F" w:rsidRDefault="00597DE2" w:rsidP="00597DE2">
      <w:pPr>
        <w:pStyle w:val="ParrafoGlosario"/>
        <w:rPr>
          <w:lang w:val="es-PE"/>
        </w:rPr>
      </w:pPr>
      <w:proofErr w:type="spellStart"/>
      <w:r w:rsidRPr="00DC1A5F">
        <w:rPr>
          <w:i/>
          <w:iCs/>
          <w:lang w:val="es-PE"/>
        </w:rPr>
        <w:t>sappati</w:t>
      </w:r>
      <w:proofErr w:type="spellEnd"/>
      <w:r w:rsidRPr="00DC1A5F">
        <w:rPr>
          <w:lang w:val="es-PE"/>
        </w:rPr>
        <w:t xml:space="preserve">*— es </w:t>
      </w:r>
      <w:r w:rsidRPr="00DC1A5F">
        <w:rPr>
          <w:color w:val="833C0B" w:themeColor="accent2" w:themeShade="80"/>
          <w:lang w:val="es-PE"/>
        </w:rPr>
        <w:t>emitido</w:t>
      </w:r>
      <w:r w:rsidRPr="00DC1A5F">
        <w:rPr>
          <w:lang w:val="es-PE"/>
        </w:rPr>
        <w:t xml:space="preserve"> (pasivo de </w:t>
      </w:r>
      <w:proofErr w:type="spellStart"/>
      <w:r w:rsidRPr="00DC1A5F">
        <w:rPr>
          <w:i/>
          <w:iCs/>
          <w:lang w:val="es-PE"/>
        </w:rPr>
        <w:t>sapati</w:t>
      </w:r>
      <w:proofErr w:type="spellEnd"/>
      <w:r w:rsidRPr="00DC1A5F">
        <w:rPr>
          <w:lang w:val="es-PE"/>
        </w:rPr>
        <w:t xml:space="preserve">, </w:t>
      </w:r>
      <w:r w:rsidRPr="00DC1A5F">
        <w:rPr>
          <w:color w:val="833C0B" w:themeColor="accent2" w:themeShade="80"/>
          <w:lang w:val="es-PE"/>
        </w:rPr>
        <w:t>emitir</w:t>
      </w:r>
      <w:r w:rsidRPr="00DC1A5F">
        <w:rPr>
          <w:lang w:val="es-PE"/>
        </w:rPr>
        <w:t>): XV.3</w:t>
      </w:r>
    </w:p>
    <w:p w14:paraId="129589B8" w14:textId="77777777" w:rsidR="00597DE2" w:rsidRPr="00DC1A5F" w:rsidRDefault="00597DE2" w:rsidP="00597DE2">
      <w:pPr>
        <w:pStyle w:val="ParrafoGlosario"/>
        <w:rPr>
          <w:lang w:val="es-PE"/>
        </w:rPr>
      </w:pPr>
      <w:r w:rsidRPr="00CE5F3E">
        <w:rPr>
          <w:i/>
          <w:iCs/>
          <w:lang w:val="es-PE"/>
        </w:rPr>
        <w:t>sara</w:t>
      </w:r>
      <w:r w:rsidRPr="00DC1A5F">
        <w:rPr>
          <w:lang w:val="es-PE"/>
        </w:rPr>
        <w:t>— núcleo</w:t>
      </w:r>
    </w:p>
    <w:p w14:paraId="0DD103FB" w14:textId="77777777" w:rsidR="00597DE2" w:rsidRDefault="00597DE2" w:rsidP="00597DE2">
      <w:pPr>
        <w:pStyle w:val="ParrafoGlosario"/>
        <w:rPr>
          <w:lang w:val="es-PE"/>
        </w:rPr>
      </w:pPr>
      <w:proofErr w:type="spellStart"/>
      <w:r w:rsidRPr="003B5690">
        <w:rPr>
          <w:i/>
          <w:iCs/>
          <w:lang w:val="es-PE"/>
        </w:rPr>
        <w:t>sarūpena</w:t>
      </w:r>
      <w:proofErr w:type="spellEnd"/>
      <w:r w:rsidRPr="00DC1A5F">
        <w:rPr>
          <w:lang w:val="es-PE"/>
        </w:rPr>
        <w:t xml:space="preserve">*— </w:t>
      </w:r>
      <w:r w:rsidRPr="003B5690">
        <w:rPr>
          <w:i/>
          <w:iCs/>
          <w:lang w:val="es-PE"/>
        </w:rPr>
        <w:t>también</w:t>
      </w:r>
      <w:r w:rsidRPr="00DC1A5F">
        <w:rPr>
          <w:lang w:val="es-PE"/>
        </w:rPr>
        <w:t xml:space="preserve"> en su propia forma: XVI.70</w:t>
      </w:r>
    </w:p>
    <w:p w14:paraId="26926723" w14:textId="77777777" w:rsidR="00597DE2" w:rsidRPr="00DC1A5F" w:rsidRDefault="00597DE2" w:rsidP="00597DE2">
      <w:pPr>
        <w:pStyle w:val="ParrafoGlosario"/>
        <w:rPr>
          <w:lang w:val="es-PE"/>
        </w:rPr>
      </w:pPr>
      <w:proofErr w:type="spellStart"/>
      <w:r w:rsidRPr="00531E7E">
        <w:rPr>
          <w:i/>
          <w:iCs/>
          <w:lang w:val="es-PE"/>
        </w:rPr>
        <w:t>sa</w:t>
      </w:r>
      <w:proofErr w:type="spellEnd"/>
      <w:r w:rsidRPr="00531E7E">
        <w:rPr>
          <w:i/>
          <w:iCs/>
          <w:lang w:val="es-PE"/>
        </w:rPr>
        <w:t>–</w:t>
      </w:r>
      <w:proofErr w:type="spellStart"/>
      <w:r w:rsidRPr="00531E7E">
        <w:rPr>
          <w:i/>
          <w:iCs/>
          <w:lang w:val="es-PE"/>
        </w:rPr>
        <w:t>sambhāra</w:t>
      </w:r>
      <w:proofErr w:type="spellEnd"/>
      <w:r w:rsidRPr="00531E7E">
        <w:rPr>
          <w:i/>
          <w:iCs/>
          <w:lang w:val="es-PE"/>
        </w:rPr>
        <w:t>–</w:t>
      </w:r>
      <w:proofErr w:type="spellStart"/>
      <w:r w:rsidRPr="00531E7E">
        <w:rPr>
          <w:i/>
          <w:iCs/>
          <w:lang w:val="es-PE"/>
        </w:rPr>
        <w:t>kathā</w:t>
      </w:r>
      <w:proofErr w:type="spellEnd"/>
      <w:r w:rsidRPr="00DC1A5F">
        <w:rPr>
          <w:lang w:val="es-PE"/>
        </w:rPr>
        <w:t>— “locución accesoria” (log.)</w:t>
      </w:r>
    </w:p>
    <w:p w14:paraId="598B70F8" w14:textId="77777777" w:rsidR="00597DE2" w:rsidRPr="00DC1A5F" w:rsidRDefault="00597DE2" w:rsidP="00597DE2">
      <w:pPr>
        <w:pStyle w:val="ParrafoGlosario"/>
        <w:rPr>
          <w:lang w:val="es-PE"/>
        </w:rPr>
      </w:pPr>
      <w:proofErr w:type="spellStart"/>
      <w:r w:rsidRPr="00CE5F3E">
        <w:rPr>
          <w:i/>
          <w:iCs/>
          <w:lang w:val="es-PE"/>
        </w:rPr>
        <w:t>sāsana</w:t>
      </w:r>
      <w:proofErr w:type="spellEnd"/>
      <w:r w:rsidRPr="00DC1A5F">
        <w:rPr>
          <w:lang w:val="es-PE"/>
        </w:rPr>
        <w:t>— dispensación</w:t>
      </w:r>
      <w:r>
        <w:rPr>
          <w:lang w:val="es-PE"/>
        </w:rPr>
        <w:t>, ministerio</w:t>
      </w:r>
    </w:p>
    <w:p w14:paraId="5579D054" w14:textId="77777777" w:rsidR="00597DE2" w:rsidRPr="00DC1A5F" w:rsidRDefault="00597DE2" w:rsidP="00597DE2">
      <w:pPr>
        <w:pStyle w:val="ParrafoGlosario"/>
        <w:rPr>
          <w:lang w:val="es-PE"/>
        </w:rPr>
      </w:pPr>
      <w:proofErr w:type="spellStart"/>
      <w:r w:rsidRPr="00194915">
        <w:rPr>
          <w:i/>
          <w:iCs/>
          <w:lang w:val="es-PE"/>
        </w:rPr>
        <w:t>sa</w:t>
      </w:r>
      <w:proofErr w:type="spellEnd"/>
      <w:r w:rsidRPr="00194915">
        <w:rPr>
          <w:i/>
          <w:iCs/>
          <w:lang w:val="es-PE"/>
        </w:rPr>
        <w:t>–</w:t>
      </w:r>
      <w:proofErr w:type="spellStart"/>
      <w:r w:rsidRPr="00194915">
        <w:rPr>
          <w:i/>
          <w:iCs/>
          <w:lang w:val="es-PE"/>
        </w:rPr>
        <w:t>saṅkhāra</w:t>
      </w:r>
      <w:proofErr w:type="spellEnd"/>
      <w:r w:rsidRPr="00DC1A5F">
        <w:rPr>
          <w:lang w:val="es-PE"/>
        </w:rPr>
        <w:t>— impulsado</w:t>
      </w:r>
    </w:p>
    <w:p w14:paraId="3D3A187B" w14:textId="77777777" w:rsidR="00597DE2" w:rsidRPr="00DC1A5F" w:rsidRDefault="00597DE2" w:rsidP="00597DE2">
      <w:pPr>
        <w:pStyle w:val="ParrafoGlosario"/>
        <w:rPr>
          <w:lang w:val="es-PE"/>
        </w:rPr>
      </w:pPr>
      <w:proofErr w:type="spellStart"/>
      <w:r w:rsidRPr="00531E7E">
        <w:rPr>
          <w:i/>
          <w:iCs/>
          <w:lang w:val="es-PE"/>
        </w:rPr>
        <w:t>sassata</w:t>
      </w:r>
      <w:proofErr w:type="spellEnd"/>
      <w:r w:rsidRPr="00DC1A5F">
        <w:rPr>
          <w:lang w:val="es-PE"/>
        </w:rPr>
        <w:t>— eterno</w:t>
      </w:r>
    </w:p>
    <w:p w14:paraId="78CA0B16" w14:textId="77777777" w:rsidR="00597DE2" w:rsidRPr="00DC1A5F" w:rsidRDefault="00597DE2" w:rsidP="00597DE2">
      <w:pPr>
        <w:pStyle w:val="ParrafoGlosario"/>
        <w:rPr>
          <w:lang w:val="es-PE"/>
        </w:rPr>
      </w:pPr>
      <w:proofErr w:type="spellStart"/>
      <w:r w:rsidRPr="00531E7E">
        <w:rPr>
          <w:i/>
          <w:iCs/>
          <w:lang w:val="es-PE"/>
        </w:rPr>
        <w:t>sassata</w:t>
      </w:r>
      <w:proofErr w:type="spellEnd"/>
      <w:r w:rsidRPr="00531E7E">
        <w:rPr>
          <w:i/>
          <w:iCs/>
          <w:lang w:val="es-PE"/>
        </w:rPr>
        <w:t>–diṭṭhi</w:t>
      </w:r>
      <w:r w:rsidRPr="00DC1A5F">
        <w:rPr>
          <w:lang w:val="es-PE"/>
        </w:rPr>
        <w:t>— visión etern</w:t>
      </w:r>
      <w:r>
        <w:rPr>
          <w:lang w:val="es-PE"/>
        </w:rPr>
        <w:t>alista</w:t>
      </w:r>
    </w:p>
    <w:p w14:paraId="7A18341D" w14:textId="77777777" w:rsidR="00597DE2" w:rsidRPr="00DC1A5F" w:rsidRDefault="00597DE2" w:rsidP="00597DE2">
      <w:pPr>
        <w:pStyle w:val="ParrafoGlosario"/>
        <w:rPr>
          <w:lang w:val="es-PE"/>
        </w:rPr>
      </w:pPr>
      <w:proofErr w:type="spellStart"/>
      <w:r w:rsidRPr="00301A64">
        <w:rPr>
          <w:i/>
          <w:iCs/>
          <w:lang w:val="es-PE"/>
        </w:rPr>
        <w:t>sāṭheyya</w:t>
      </w:r>
      <w:proofErr w:type="spellEnd"/>
      <w:r w:rsidRPr="00DC1A5F">
        <w:rPr>
          <w:lang w:val="es-PE"/>
        </w:rPr>
        <w:t>— fraude</w:t>
      </w:r>
    </w:p>
    <w:p w14:paraId="0D9436BF" w14:textId="77777777" w:rsidR="00597DE2" w:rsidRPr="00DC1A5F" w:rsidRDefault="00597DE2" w:rsidP="00597DE2">
      <w:pPr>
        <w:pStyle w:val="ParrafoGlosario"/>
        <w:rPr>
          <w:lang w:val="es-PE"/>
        </w:rPr>
      </w:pPr>
      <w:proofErr w:type="spellStart"/>
      <w:r w:rsidRPr="00DC1A5F">
        <w:rPr>
          <w:i/>
          <w:iCs/>
          <w:lang w:val="es-PE"/>
        </w:rPr>
        <w:t>sati</w:t>
      </w:r>
      <w:proofErr w:type="spellEnd"/>
      <w:r w:rsidRPr="00DC1A5F">
        <w:rPr>
          <w:lang w:val="es-PE"/>
        </w:rPr>
        <w:t>— atención plena</w:t>
      </w:r>
    </w:p>
    <w:p w14:paraId="0A04FAC2" w14:textId="77777777" w:rsidR="00597DE2" w:rsidRPr="00DC1A5F" w:rsidRDefault="00597DE2" w:rsidP="00597DE2">
      <w:pPr>
        <w:pStyle w:val="ParrafoGlosario"/>
        <w:rPr>
          <w:lang w:val="es-PE"/>
        </w:rPr>
      </w:pPr>
      <w:proofErr w:type="spellStart"/>
      <w:r w:rsidRPr="00DC1A5F">
        <w:rPr>
          <w:i/>
          <w:iCs/>
          <w:lang w:val="es-PE"/>
        </w:rPr>
        <w:t>satta</w:t>
      </w:r>
      <w:proofErr w:type="spellEnd"/>
      <w:r w:rsidRPr="00DC1A5F">
        <w:rPr>
          <w:lang w:val="es-PE"/>
        </w:rPr>
        <w:t>— un ser, un ser vivo</w:t>
      </w:r>
    </w:p>
    <w:p w14:paraId="7C148EE2" w14:textId="77777777" w:rsidR="00597DE2" w:rsidRPr="00DC1A5F" w:rsidRDefault="00597DE2" w:rsidP="00597DE2">
      <w:pPr>
        <w:pStyle w:val="ParrafoGlosario"/>
        <w:rPr>
          <w:lang w:val="es-PE"/>
        </w:rPr>
      </w:pPr>
      <w:proofErr w:type="spellStart"/>
      <w:r w:rsidRPr="00DC1A5F">
        <w:rPr>
          <w:i/>
          <w:iCs/>
          <w:lang w:val="es-PE"/>
        </w:rPr>
        <w:t>satta</w:t>
      </w:r>
      <w:proofErr w:type="spellEnd"/>
      <w:r w:rsidRPr="00DC1A5F">
        <w:rPr>
          <w:lang w:val="es-PE"/>
        </w:rPr>
        <w:t xml:space="preserve">*— Principio Brillante, </w:t>
      </w:r>
      <w:proofErr w:type="spellStart"/>
      <w:r w:rsidRPr="00DC1A5F">
        <w:rPr>
          <w:i/>
          <w:iCs/>
          <w:lang w:val="es-PE"/>
        </w:rPr>
        <w:t>Sattva</w:t>
      </w:r>
      <w:proofErr w:type="spellEnd"/>
      <w:r w:rsidRPr="00DC1A5F">
        <w:rPr>
          <w:lang w:val="es-PE"/>
        </w:rPr>
        <w:t>: IX.53</w:t>
      </w:r>
    </w:p>
    <w:p w14:paraId="3BBA6CF6" w14:textId="77777777" w:rsidR="00597DE2" w:rsidRPr="00DC1A5F" w:rsidRDefault="00597DE2" w:rsidP="00597DE2">
      <w:pPr>
        <w:pStyle w:val="ParrafoGlosario"/>
        <w:rPr>
          <w:lang w:val="es-PE"/>
        </w:rPr>
      </w:pPr>
      <w:proofErr w:type="spellStart"/>
      <w:r w:rsidRPr="00DC1A5F">
        <w:rPr>
          <w:i/>
          <w:iCs/>
          <w:lang w:val="es-PE"/>
        </w:rPr>
        <w:t>satta</w:t>
      </w:r>
      <w:proofErr w:type="spellEnd"/>
      <w:r w:rsidRPr="00DC1A5F">
        <w:rPr>
          <w:i/>
          <w:iCs/>
          <w:lang w:val="es-PE"/>
        </w:rPr>
        <w:t>–</w:t>
      </w:r>
      <w:proofErr w:type="spellStart"/>
      <w:r w:rsidRPr="00DC1A5F">
        <w:rPr>
          <w:i/>
          <w:iCs/>
          <w:lang w:val="es-PE"/>
        </w:rPr>
        <w:t>saññā</w:t>
      </w:r>
      <w:proofErr w:type="spellEnd"/>
      <w:r w:rsidRPr="00DC1A5F">
        <w:rPr>
          <w:lang w:val="es-PE"/>
        </w:rPr>
        <w:t>— (1) percepción de un ser vivo, (2) las siete percepciones (la primera de las 18 percepciones principales)</w:t>
      </w:r>
      <w:r>
        <w:rPr>
          <w:lang w:val="es-PE"/>
        </w:rPr>
        <w:br w:type="column"/>
      </w:r>
    </w:p>
    <w:p w14:paraId="79F2F2C1" w14:textId="77777777" w:rsidR="00597DE2" w:rsidRPr="00DC1A5F" w:rsidRDefault="00597DE2" w:rsidP="00597DE2">
      <w:pPr>
        <w:pStyle w:val="ParrafoGlosario"/>
        <w:rPr>
          <w:lang w:val="es-PE"/>
        </w:rPr>
      </w:pPr>
      <w:proofErr w:type="spellStart"/>
      <w:r w:rsidRPr="00DC1A5F">
        <w:rPr>
          <w:i/>
          <w:iCs/>
          <w:lang w:val="es-PE"/>
        </w:rPr>
        <w:t>sattāvāsa</w:t>
      </w:r>
      <w:proofErr w:type="spellEnd"/>
      <w:r w:rsidRPr="00DC1A5F">
        <w:rPr>
          <w:lang w:val="es-PE"/>
        </w:rPr>
        <w:t>*— plano de los seres (el 9)</w:t>
      </w:r>
    </w:p>
    <w:p w14:paraId="7857CAB3" w14:textId="77777777" w:rsidR="00597DE2" w:rsidRPr="00DC1A5F" w:rsidRDefault="00597DE2" w:rsidP="00597DE2">
      <w:pPr>
        <w:pStyle w:val="ParrafoGlosario"/>
        <w:rPr>
          <w:lang w:val="es-PE"/>
        </w:rPr>
      </w:pPr>
      <w:proofErr w:type="spellStart"/>
      <w:r w:rsidRPr="00CE5F3E">
        <w:rPr>
          <w:i/>
          <w:iCs/>
          <w:lang w:val="es-PE"/>
        </w:rPr>
        <w:t>sāvaka</w:t>
      </w:r>
      <w:proofErr w:type="spellEnd"/>
      <w:r w:rsidRPr="00DC1A5F">
        <w:rPr>
          <w:lang w:val="es-PE"/>
        </w:rPr>
        <w:t>— discípulo, oyente</w:t>
      </w:r>
    </w:p>
    <w:p w14:paraId="5B082724" w14:textId="77777777" w:rsidR="00597DE2" w:rsidRPr="00DC1A5F" w:rsidRDefault="00597DE2" w:rsidP="00597DE2">
      <w:pPr>
        <w:pStyle w:val="ParrafoGlosario"/>
        <w:rPr>
          <w:lang w:val="es-PE"/>
        </w:rPr>
      </w:pPr>
      <w:proofErr w:type="spellStart"/>
      <w:r w:rsidRPr="00194915">
        <w:rPr>
          <w:i/>
          <w:iCs/>
          <w:lang w:val="es-PE"/>
        </w:rPr>
        <w:t>savana</w:t>
      </w:r>
      <w:proofErr w:type="spellEnd"/>
      <w:r w:rsidRPr="00DC1A5F">
        <w:rPr>
          <w:lang w:val="es-PE"/>
        </w:rPr>
        <w:t>— oír</w:t>
      </w:r>
    </w:p>
    <w:p w14:paraId="62D2827E" w14:textId="77777777" w:rsidR="00597DE2" w:rsidRPr="00DC1A5F" w:rsidRDefault="00597DE2" w:rsidP="00597DE2">
      <w:pPr>
        <w:pStyle w:val="ParrafoGlosario"/>
        <w:rPr>
          <w:lang w:val="es-PE"/>
        </w:rPr>
      </w:pPr>
      <w:proofErr w:type="spellStart"/>
      <w:r w:rsidRPr="00194915">
        <w:rPr>
          <w:i/>
          <w:iCs/>
          <w:lang w:val="es-PE"/>
        </w:rPr>
        <w:t>savana</w:t>
      </w:r>
      <w:proofErr w:type="spellEnd"/>
      <w:r w:rsidRPr="00DC1A5F">
        <w:rPr>
          <w:lang w:val="es-PE"/>
        </w:rPr>
        <w:t>*— exudación: XVII.56</w:t>
      </w:r>
    </w:p>
    <w:p w14:paraId="40E503A0" w14:textId="77777777" w:rsidR="00597DE2" w:rsidRPr="00DC1A5F" w:rsidRDefault="00597DE2" w:rsidP="00597DE2">
      <w:pPr>
        <w:pStyle w:val="ParrafoGlosario"/>
        <w:rPr>
          <w:lang w:val="es-PE"/>
        </w:rPr>
      </w:pPr>
      <w:proofErr w:type="spellStart"/>
      <w:r w:rsidRPr="00A53D9C">
        <w:rPr>
          <w:i/>
          <w:iCs/>
          <w:lang w:val="es-PE"/>
        </w:rPr>
        <w:t>sekha</w:t>
      </w:r>
      <w:proofErr w:type="spellEnd"/>
      <w:r w:rsidRPr="00DC1A5F">
        <w:rPr>
          <w:lang w:val="es-PE"/>
        </w:rPr>
        <w:t xml:space="preserve">— entrenador (término para alguien que posee uno de los cuatro </w:t>
      </w:r>
      <w:r>
        <w:rPr>
          <w:lang w:val="es-PE"/>
        </w:rPr>
        <w:t>senderos</w:t>
      </w:r>
      <w:r w:rsidRPr="00DC1A5F">
        <w:rPr>
          <w:lang w:val="es-PE"/>
        </w:rPr>
        <w:t xml:space="preserve"> o las tres primeras fruiciones, por lo tanto, </w:t>
      </w:r>
      <w:r>
        <w:rPr>
          <w:lang w:val="es-PE"/>
        </w:rPr>
        <w:t xml:space="preserve">alguien </w:t>
      </w:r>
      <w:r w:rsidRPr="00DC1A5F">
        <w:rPr>
          <w:lang w:val="es-PE"/>
        </w:rPr>
        <w:t xml:space="preserve">con </w:t>
      </w:r>
      <w:r>
        <w:rPr>
          <w:lang w:val="es-PE"/>
        </w:rPr>
        <w:t xml:space="preserve">un </w:t>
      </w:r>
      <w:r w:rsidRPr="00DC1A5F">
        <w:rPr>
          <w:lang w:val="es-PE"/>
        </w:rPr>
        <w:t xml:space="preserve">entrenamiento </w:t>
      </w:r>
      <w:r>
        <w:rPr>
          <w:lang w:val="es-PE"/>
        </w:rPr>
        <w:t xml:space="preserve">todavía </w:t>
      </w:r>
      <w:r w:rsidRPr="00DC1A5F">
        <w:rPr>
          <w:lang w:val="es-PE"/>
        </w:rPr>
        <w:t xml:space="preserve">por </w:t>
      </w:r>
      <w:r>
        <w:rPr>
          <w:lang w:val="es-PE"/>
        </w:rPr>
        <w:t>desarrollar)</w:t>
      </w:r>
    </w:p>
    <w:p w14:paraId="2CC8E186" w14:textId="77777777" w:rsidR="00597DE2" w:rsidRPr="00DC1A5F" w:rsidRDefault="00597DE2" w:rsidP="00597DE2">
      <w:pPr>
        <w:pStyle w:val="ParrafoGlosario"/>
        <w:rPr>
          <w:lang w:val="es-PE"/>
        </w:rPr>
      </w:pPr>
      <w:proofErr w:type="spellStart"/>
      <w:r w:rsidRPr="00CE5F3E">
        <w:rPr>
          <w:i/>
          <w:iCs/>
          <w:lang w:val="es-PE"/>
        </w:rPr>
        <w:t>sikkha</w:t>
      </w:r>
      <w:proofErr w:type="spellEnd"/>
      <w:r w:rsidRPr="00DC1A5F">
        <w:rPr>
          <w:lang w:val="es-PE"/>
        </w:rPr>
        <w:t>— entrenamiento</w:t>
      </w:r>
    </w:p>
    <w:p w14:paraId="3180A7B3" w14:textId="77777777" w:rsidR="00597DE2" w:rsidRPr="00DC1A5F" w:rsidRDefault="00597DE2" w:rsidP="00597DE2">
      <w:pPr>
        <w:pStyle w:val="ParrafoGlosario"/>
        <w:rPr>
          <w:lang w:val="es-PE"/>
        </w:rPr>
      </w:pPr>
      <w:proofErr w:type="spellStart"/>
      <w:r w:rsidRPr="00CE5F3E">
        <w:rPr>
          <w:i/>
          <w:iCs/>
          <w:lang w:val="es-PE"/>
        </w:rPr>
        <w:t>sikkhāpada</w:t>
      </w:r>
      <w:proofErr w:type="spellEnd"/>
      <w:r w:rsidRPr="00DC1A5F">
        <w:rPr>
          <w:lang w:val="es-PE"/>
        </w:rPr>
        <w:t>— precepto de entrenamiento</w:t>
      </w:r>
    </w:p>
    <w:p w14:paraId="2FAE4596" w14:textId="77777777" w:rsidR="00597DE2" w:rsidRDefault="00597DE2" w:rsidP="00597DE2">
      <w:pPr>
        <w:pStyle w:val="ParrafoGlosario"/>
        <w:rPr>
          <w:lang w:val="es-PE"/>
        </w:rPr>
      </w:pPr>
      <w:r w:rsidRPr="00FA7CBB">
        <w:rPr>
          <w:i/>
          <w:iCs/>
          <w:lang w:val="es-PE"/>
        </w:rPr>
        <w:t>sīla</w:t>
      </w:r>
      <w:r w:rsidRPr="00DC1A5F">
        <w:rPr>
          <w:lang w:val="es-PE"/>
        </w:rPr>
        <w:t>— (1) virtud, (2) h</w:t>
      </w:r>
      <w:r>
        <w:rPr>
          <w:lang w:val="es-PE"/>
        </w:rPr>
        <w:t>á</w:t>
      </w:r>
      <w:r w:rsidRPr="00DC1A5F">
        <w:rPr>
          <w:lang w:val="es-PE"/>
        </w:rPr>
        <w:t>bito, (3) rit</w:t>
      </w:r>
      <w:r>
        <w:rPr>
          <w:lang w:val="es-PE"/>
        </w:rPr>
        <w:t>o</w:t>
      </w:r>
      <w:r w:rsidRPr="00DC1A5F">
        <w:rPr>
          <w:lang w:val="es-PE"/>
        </w:rPr>
        <w:t xml:space="preserve"> </w:t>
      </w:r>
    </w:p>
    <w:p w14:paraId="4BB050E0" w14:textId="77777777" w:rsidR="00597DE2" w:rsidRPr="00DC1A5F" w:rsidRDefault="00597DE2" w:rsidP="00597DE2">
      <w:pPr>
        <w:pStyle w:val="ParrafoGlosario"/>
        <w:rPr>
          <w:lang w:val="es-PE"/>
        </w:rPr>
      </w:pPr>
      <w:r w:rsidRPr="00FA7CBB">
        <w:rPr>
          <w:i/>
          <w:iCs/>
          <w:lang w:val="es-PE"/>
        </w:rPr>
        <w:t>sīlabbata</w:t>
      </w:r>
      <w:r w:rsidRPr="00DC1A5F">
        <w:rPr>
          <w:lang w:val="es-PE"/>
        </w:rPr>
        <w:t xml:space="preserve">— reglas y votos (la traducción original de Ñāṇamoli era “ritos y rituales”, pero se cambió </w:t>
      </w:r>
      <w:proofErr w:type="gramStart"/>
      <w:r w:rsidRPr="00DC1A5F">
        <w:rPr>
          <w:lang w:val="es-PE"/>
        </w:rPr>
        <w:t xml:space="preserve">de acuerdo </w:t>
      </w:r>
      <w:r>
        <w:rPr>
          <w:lang w:val="es-PE"/>
        </w:rPr>
        <w:t>a</w:t>
      </w:r>
      <w:proofErr w:type="gramEnd"/>
      <w:r w:rsidRPr="00DC1A5F">
        <w:rPr>
          <w:lang w:val="es-PE"/>
        </w:rPr>
        <w:t xml:space="preserve"> su traducción posterior de este </w:t>
      </w:r>
      <w:r>
        <w:rPr>
          <w:lang w:val="es-PE"/>
        </w:rPr>
        <w:t xml:space="preserve">mismo </w:t>
      </w:r>
      <w:r w:rsidRPr="00DC1A5F">
        <w:rPr>
          <w:lang w:val="es-PE"/>
        </w:rPr>
        <w:t>término).</w:t>
      </w:r>
    </w:p>
    <w:p w14:paraId="461B82DB" w14:textId="77777777" w:rsidR="00597DE2" w:rsidRPr="00DC1A5F" w:rsidRDefault="00597DE2" w:rsidP="00597DE2">
      <w:pPr>
        <w:pStyle w:val="ParrafoGlosario"/>
        <w:rPr>
          <w:lang w:val="es-PE"/>
        </w:rPr>
      </w:pPr>
      <w:proofErr w:type="spellStart"/>
      <w:r w:rsidRPr="00E83917">
        <w:rPr>
          <w:i/>
          <w:iCs/>
          <w:lang w:val="es-PE"/>
        </w:rPr>
        <w:t>sīlaka</w:t>
      </w:r>
      <w:proofErr w:type="spellEnd"/>
      <w:r w:rsidRPr="00DC1A5F">
        <w:rPr>
          <w:lang w:val="es-PE"/>
        </w:rPr>
        <w:t>*— de buen humor: III.84</w:t>
      </w:r>
    </w:p>
    <w:p w14:paraId="2877F176" w14:textId="77777777" w:rsidR="00597DE2" w:rsidRPr="00DC1A5F" w:rsidRDefault="00597DE2" w:rsidP="00597DE2">
      <w:pPr>
        <w:pStyle w:val="ParrafoGlosario"/>
        <w:rPr>
          <w:lang w:val="es-PE"/>
        </w:rPr>
      </w:pPr>
      <w:proofErr w:type="spellStart"/>
      <w:r w:rsidRPr="00E83917">
        <w:rPr>
          <w:i/>
          <w:iCs/>
          <w:lang w:val="es-PE"/>
        </w:rPr>
        <w:t>sīlana</w:t>
      </w:r>
      <w:proofErr w:type="spellEnd"/>
      <w:r w:rsidRPr="00DC1A5F">
        <w:rPr>
          <w:lang w:val="es-PE"/>
        </w:rPr>
        <w:t>*— composición: I.19</w:t>
      </w:r>
    </w:p>
    <w:p w14:paraId="1C7716E8" w14:textId="77777777" w:rsidR="00597DE2" w:rsidRPr="00DC1A5F" w:rsidRDefault="00597DE2" w:rsidP="00597DE2">
      <w:pPr>
        <w:pStyle w:val="ParrafoGlosario"/>
        <w:rPr>
          <w:lang w:val="es-PE"/>
        </w:rPr>
      </w:pPr>
      <w:proofErr w:type="spellStart"/>
      <w:r w:rsidRPr="00FA7CBB">
        <w:rPr>
          <w:i/>
          <w:iCs/>
          <w:lang w:val="es-PE"/>
        </w:rPr>
        <w:t>silesa</w:t>
      </w:r>
      <w:proofErr w:type="spellEnd"/>
      <w:r w:rsidRPr="00DC1A5F">
        <w:rPr>
          <w:lang w:val="es-PE"/>
        </w:rPr>
        <w:t>*— cemento: XI.51</w:t>
      </w:r>
    </w:p>
    <w:p w14:paraId="1FB6905C" w14:textId="77777777" w:rsidR="00597DE2" w:rsidRPr="00DC1A5F" w:rsidRDefault="00597DE2" w:rsidP="00597DE2">
      <w:pPr>
        <w:pStyle w:val="ParrafoGlosario"/>
        <w:rPr>
          <w:lang w:val="es-PE"/>
        </w:rPr>
      </w:pPr>
      <w:proofErr w:type="spellStart"/>
      <w:r w:rsidRPr="00FA7CBB">
        <w:rPr>
          <w:i/>
          <w:iCs/>
          <w:lang w:val="es-PE"/>
        </w:rPr>
        <w:t>sīmā</w:t>
      </w:r>
      <w:proofErr w:type="spellEnd"/>
      <w:r w:rsidRPr="00DC1A5F">
        <w:rPr>
          <w:lang w:val="es-PE"/>
        </w:rPr>
        <w:t>*— sala capitular: IX.66</w:t>
      </w:r>
    </w:p>
    <w:p w14:paraId="39CCD73D" w14:textId="77777777" w:rsidR="00597DE2" w:rsidRPr="00DC1A5F" w:rsidRDefault="00597DE2" w:rsidP="00597DE2">
      <w:pPr>
        <w:pStyle w:val="ParrafoGlosario"/>
        <w:rPr>
          <w:lang w:val="es-PE"/>
        </w:rPr>
      </w:pPr>
      <w:proofErr w:type="spellStart"/>
      <w:r w:rsidRPr="00CE5F3E">
        <w:rPr>
          <w:i/>
          <w:iCs/>
          <w:lang w:val="es-PE"/>
        </w:rPr>
        <w:t>siṅga</w:t>
      </w:r>
      <w:proofErr w:type="spellEnd"/>
      <w:r w:rsidRPr="00DC1A5F">
        <w:rPr>
          <w:lang w:val="es-PE"/>
        </w:rPr>
        <w:t xml:space="preserve">*— </w:t>
      </w:r>
      <w:r w:rsidRPr="00FC7051">
        <w:rPr>
          <w:i/>
          <w:iCs/>
          <w:lang w:val="es-PE"/>
        </w:rPr>
        <w:t>también</w:t>
      </w:r>
      <w:r w:rsidRPr="00DC1A5F">
        <w:rPr>
          <w:lang w:val="es-PE"/>
        </w:rPr>
        <w:t xml:space="preserve"> </w:t>
      </w:r>
      <w:r>
        <w:rPr>
          <w:lang w:val="es-PE"/>
        </w:rPr>
        <w:t>presunción, vanidad</w:t>
      </w:r>
      <w:r w:rsidRPr="00DC1A5F">
        <w:rPr>
          <w:lang w:val="es-PE"/>
        </w:rPr>
        <w:t>: III.95 (</w:t>
      </w:r>
      <w:proofErr w:type="spellStart"/>
      <w:r w:rsidRPr="00DC1A5F">
        <w:rPr>
          <w:lang w:val="es-PE"/>
        </w:rPr>
        <w:t>Vibh</w:t>
      </w:r>
      <w:proofErr w:type="spellEnd"/>
      <w:r w:rsidRPr="00DC1A5F">
        <w:rPr>
          <w:lang w:val="es-PE"/>
        </w:rPr>
        <w:t xml:space="preserve"> 351)</w:t>
      </w:r>
    </w:p>
    <w:p w14:paraId="026A1362" w14:textId="77777777" w:rsidR="00597DE2" w:rsidRPr="00DC1A5F" w:rsidRDefault="00597DE2" w:rsidP="00597DE2">
      <w:pPr>
        <w:pStyle w:val="ParrafoGlosario"/>
        <w:rPr>
          <w:lang w:val="es-PE"/>
        </w:rPr>
      </w:pPr>
      <w:proofErr w:type="spellStart"/>
      <w:r w:rsidRPr="00FA7CBB">
        <w:rPr>
          <w:i/>
          <w:iCs/>
          <w:lang w:val="es-PE"/>
        </w:rPr>
        <w:t>sippikā</w:t>
      </w:r>
      <w:proofErr w:type="spellEnd"/>
      <w:r w:rsidRPr="00DC1A5F">
        <w:rPr>
          <w:lang w:val="es-PE"/>
        </w:rPr>
        <w:t>*— bolsa (?): XI.68</w:t>
      </w:r>
    </w:p>
    <w:p w14:paraId="3A76505F" w14:textId="77777777" w:rsidR="00597DE2" w:rsidRPr="00DC1A5F" w:rsidRDefault="00597DE2" w:rsidP="00597DE2">
      <w:pPr>
        <w:pStyle w:val="ParrafoGlosario"/>
        <w:rPr>
          <w:lang w:val="es-PE"/>
        </w:rPr>
      </w:pPr>
      <w:proofErr w:type="spellStart"/>
      <w:r w:rsidRPr="00FA7CBB">
        <w:rPr>
          <w:i/>
          <w:iCs/>
          <w:lang w:val="es-PE"/>
        </w:rPr>
        <w:t>sīta</w:t>
      </w:r>
      <w:proofErr w:type="spellEnd"/>
      <w:r w:rsidRPr="00DC1A5F">
        <w:rPr>
          <w:lang w:val="es-PE"/>
        </w:rPr>
        <w:t xml:space="preserve">* (?)— medida de </w:t>
      </w:r>
      <w:r>
        <w:rPr>
          <w:lang w:val="es-PE"/>
        </w:rPr>
        <w:t>un á</w:t>
      </w:r>
      <w:r w:rsidRPr="00DC1A5F">
        <w:rPr>
          <w:lang w:val="es-PE"/>
        </w:rPr>
        <w:t>rea: XII.41</w:t>
      </w:r>
    </w:p>
    <w:p w14:paraId="67F62813" w14:textId="77777777" w:rsidR="00597DE2" w:rsidRPr="00DC1A5F" w:rsidRDefault="00597DE2" w:rsidP="00597DE2">
      <w:pPr>
        <w:pStyle w:val="ParrafoGlosario"/>
        <w:rPr>
          <w:lang w:val="es-PE"/>
        </w:rPr>
      </w:pPr>
      <w:proofErr w:type="spellStart"/>
      <w:r w:rsidRPr="00FC7051">
        <w:rPr>
          <w:i/>
          <w:iCs/>
          <w:lang w:val="es-PE"/>
        </w:rPr>
        <w:t>siṭṭha</w:t>
      </w:r>
      <w:proofErr w:type="spellEnd"/>
      <w:r w:rsidRPr="00DC1A5F">
        <w:rPr>
          <w:lang w:val="es-PE"/>
        </w:rPr>
        <w:t>*— preparado: XVI.4</w:t>
      </w:r>
    </w:p>
    <w:p w14:paraId="696C5065" w14:textId="77777777" w:rsidR="00597DE2" w:rsidRPr="00DC1A5F" w:rsidRDefault="00597DE2" w:rsidP="00597DE2">
      <w:pPr>
        <w:pStyle w:val="ParrafoGlosario"/>
        <w:rPr>
          <w:lang w:val="es-PE"/>
        </w:rPr>
      </w:pPr>
      <w:proofErr w:type="spellStart"/>
      <w:r w:rsidRPr="00D5115F">
        <w:rPr>
          <w:i/>
          <w:iCs/>
          <w:lang w:val="es-PE"/>
        </w:rPr>
        <w:t>soka</w:t>
      </w:r>
      <w:proofErr w:type="spellEnd"/>
      <w:r w:rsidRPr="00DC1A5F">
        <w:rPr>
          <w:lang w:val="es-PE"/>
        </w:rPr>
        <w:t>— tristeza</w:t>
      </w:r>
    </w:p>
    <w:p w14:paraId="7B551751" w14:textId="77777777" w:rsidR="00597DE2" w:rsidRDefault="00597DE2" w:rsidP="00597DE2">
      <w:pPr>
        <w:pStyle w:val="ParrafoGlosario"/>
        <w:rPr>
          <w:lang w:val="es-PE"/>
        </w:rPr>
      </w:pPr>
      <w:proofErr w:type="spellStart"/>
      <w:r w:rsidRPr="001C580D">
        <w:rPr>
          <w:i/>
          <w:iCs/>
          <w:lang w:val="es-PE"/>
        </w:rPr>
        <w:t>somanassa</w:t>
      </w:r>
      <w:proofErr w:type="spellEnd"/>
      <w:r w:rsidRPr="00DC1A5F">
        <w:rPr>
          <w:lang w:val="es-PE"/>
        </w:rPr>
        <w:t xml:space="preserve">— alegría, placer mental </w:t>
      </w:r>
    </w:p>
    <w:p w14:paraId="0A6C7C75" w14:textId="77777777" w:rsidR="00597DE2" w:rsidRPr="00DC1A5F" w:rsidRDefault="00597DE2" w:rsidP="00597DE2">
      <w:pPr>
        <w:pStyle w:val="ParrafoGlosario"/>
        <w:rPr>
          <w:lang w:val="es-PE"/>
        </w:rPr>
      </w:pPr>
      <w:r w:rsidRPr="001C580D">
        <w:rPr>
          <w:i/>
          <w:iCs/>
          <w:lang w:val="es-PE"/>
        </w:rPr>
        <w:t>sotāpanna</w:t>
      </w:r>
      <w:r w:rsidRPr="00DC1A5F">
        <w:rPr>
          <w:lang w:val="es-PE"/>
        </w:rPr>
        <w:t>— entrante</w:t>
      </w:r>
      <w:r w:rsidRPr="00DC1A5F">
        <w:rPr>
          <w:rFonts w:cs="Cormorant"/>
          <w:lang w:val="es-PE"/>
        </w:rPr>
        <w:t>‒</w:t>
      </w:r>
      <w:r w:rsidRPr="00DC1A5F">
        <w:rPr>
          <w:lang w:val="es-PE"/>
        </w:rPr>
        <w:t>a</w:t>
      </w:r>
      <w:r w:rsidRPr="00DC1A5F">
        <w:rPr>
          <w:rFonts w:cs="Cormorant"/>
          <w:lang w:val="es-PE"/>
        </w:rPr>
        <w:t>‒</w:t>
      </w:r>
      <w:r w:rsidRPr="00DC1A5F">
        <w:rPr>
          <w:lang w:val="es-PE"/>
        </w:rPr>
        <w:t>la</w:t>
      </w:r>
      <w:r w:rsidRPr="00DC1A5F">
        <w:rPr>
          <w:rFonts w:cs="Cormorant"/>
          <w:lang w:val="es-PE"/>
        </w:rPr>
        <w:t>‒</w:t>
      </w:r>
      <w:r w:rsidRPr="00DC1A5F">
        <w:rPr>
          <w:lang w:val="es-PE"/>
        </w:rPr>
        <w:t>corriente (</w:t>
      </w:r>
      <w:r>
        <w:rPr>
          <w:lang w:val="es-PE"/>
        </w:rPr>
        <w:t xml:space="preserve">a la </w:t>
      </w:r>
      <w:r w:rsidRPr="00DC1A5F">
        <w:rPr>
          <w:lang w:val="es-PE"/>
        </w:rPr>
        <w:t xml:space="preserve">primera etapa de </w:t>
      </w:r>
      <w:r>
        <w:rPr>
          <w:lang w:val="es-PE"/>
        </w:rPr>
        <w:t>iluminación</w:t>
      </w:r>
      <w:r w:rsidRPr="00DC1A5F">
        <w:rPr>
          <w:lang w:val="es-PE"/>
        </w:rPr>
        <w:t>)</w:t>
      </w:r>
    </w:p>
    <w:p w14:paraId="7EEF5C0F" w14:textId="77777777" w:rsidR="00597DE2" w:rsidRPr="00DC1A5F" w:rsidRDefault="00597DE2" w:rsidP="00597DE2">
      <w:pPr>
        <w:pStyle w:val="ParrafoGlosario"/>
        <w:rPr>
          <w:lang w:val="es-PE"/>
        </w:rPr>
      </w:pPr>
      <w:proofErr w:type="spellStart"/>
      <w:r w:rsidRPr="009D22C2">
        <w:rPr>
          <w:i/>
          <w:iCs/>
          <w:lang w:val="es-PE"/>
        </w:rPr>
        <w:t>subha</w:t>
      </w:r>
      <w:proofErr w:type="spellEnd"/>
      <w:r w:rsidRPr="00DC1A5F">
        <w:rPr>
          <w:lang w:val="es-PE"/>
        </w:rPr>
        <w:t>— hermos</w:t>
      </w:r>
      <w:r>
        <w:rPr>
          <w:lang w:val="es-PE"/>
        </w:rPr>
        <w:t>o</w:t>
      </w:r>
      <w:r w:rsidRPr="00DC1A5F">
        <w:rPr>
          <w:lang w:val="es-PE"/>
        </w:rPr>
        <w:t>, belleza</w:t>
      </w:r>
    </w:p>
    <w:p w14:paraId="3FAB9732" w14:textId="77777777" w:rsidR="00597DE2" w:rsidRPr="00DC1A5F" w:rsidRDefault="00597DE2" w:rsidP="00597DE2">
      <w:pPr>
        <w:pStyle w:val="ParrafoGlosario"/>
        <w:rPr>
          <w:lang w:val="es-PE"/>
        </w:rPr>
      </w:pPr>
      <w:proofErr w:type="spellStart"/>
      <w:r w:rsidRPr="009D22C2">
        <w:rPr>
          <w:i/>
          <w:iCs/>
          <w:lang w:val="es-PE"/>
        </w:rPr>
        <w:t>sūcayati</w:t>
      </w:r>
      <w:proofErr w:type="spellEnd"/>
      <w:r w:rsidRPr="00DC1A5F">
        <w:rPr>
          <w:lang w:val="es-PE"/>
        </w:rPr>
        <w:t>*— traicionar, revelar: XV.3</w:t>
      </w:r>
    </w:p>
    <w:p w14:paraId="34D43ACC" w14:textId="77777777" w:rsidR="00597DE2" w:rsidRPr="00DC1A5F" w:rsidRDefault="00597DE2" w:rsidP="00597DE2">
      <w:pPr>
        <w:pStyle w:val="ParrafoGlosario"/>
        <w:rPr>
          <w:lang w:val="es-PE"/>
        </w:rPr>
      </w:pPr>
      <w:proofErr w:type="spellStart"/>
      <w:r w:rsidRPr="00A53D9C">
        <w:rPr>
          <w:i/>
          <w:iCs/>
          <w:lang w:val="es-PE"/>
        </w:rPr>
        <w:t>sūdana</w:t>
      </w:r>
      <w:proofErr w:type="spellEnd"/>
      <w:r w:rsidRPr="00DC1A5F">
        <w:rPr>
          <w:lang w:val="es-PE"/>
        </w:rPr>
        <w:t>*— limpieza: XI.125</w:t>
      </w:r>
    </w:p>
    <w:p w14:paraId="4CE07196" w14:textId="77777777" w:rsidR="00597DE2" w:rsidRPr="00DC1A5F" w:rsidRDefault="00597DE2" w:rsidP="00597DE2">
      <w:pPr>
        <w:pStyle w:val="ParrafoGlosario"/>
        <w:rPr>
          <w:lang w:val="es-PE"/>
        </w:rPr>
      </w:pPr>
      <w:proofErr w:type="spellStart"/>
      <w:r w:rsidRPr="003F34C0">
        <w:rPr>
          <w:i/>
          <w:iCs/>
          <w:lang w:val="es-PE"/>
        </w:rPr>
        <w:t>sugata</w:t>
      </w:r>
      <w:proofErr w:type="spellEnd"/>
      <w:r w:rsidRPr="00DC1A5F">
        <w:rPr>
          <w:lang w:val="es-PE"/>
        </w:rPr>
        <w:t xml:space="preserve">— El Sublime (el </w:t>
      </w:r>
      <w:r w:rsidRPr="003F34C0">
        <w:rPr>
          <w:i/>
          <w:iCs/>
          <w:lang w:val="es-PE"/>
        </w:rPr>
        <w:t>Buddha</w:t>
      </w:r>
      <w:r w:rsidRPr="00DC1A5F">
        <w:rPr>
          <w:lang w:val="es-PE"/>
        </w:rPr>
        <w:t>)</w:t>
      </w:r>
    </w:p>
    <w:p w14:paraId="59725A49" w14:textId="77777777" w:rsidR="00597DE2" w:rsidRPr="00DC1A5F" w:rsidRDefault="00597DE2" w:rsidP="00597DE2">
      <w:pPr>
        <w:pStyle w:val="ParrafoGlosario"/>
        <w:rPr>
          <w:lang w:val="es-PE"/>
        </w:rPr>
      </w:pPr>
      <w:proofErr w:type="spellStart"/>
      <w:r w:rsidRPr="003F34C0">
        <w:rPr>
          <w:i/>
          <w:iCs/>
          <w:lang w:val="es-PE"/>
        </w:rPr>
        <w:t>sukha</w:t>
      </w:r>
      <w:proofErr w:type="spellEnd"/>
      <w:r w:rsidRPr="00DC1A5F">
        <w:rPr>
          <w:lang w:val="es-PE"/>
        </w:rPr>
        <w:t>— placer, placentero, dicha, dichoso, placer corporal</w:t>
      </w:r>
    </w:p>
    <w:p w14:paraId="12FE97B6" w14:textId="77777777" w:rsidR="00597DE2" w:rsidRPr="00DC1A5F" w:rsidRDefault="00597DE2" w:rsidP="00597DE2">
      <w:pPr>
        <w:pStyle w:val="ParrafoGlosario"/>
        <w:rPr>
          <w:lang w:val="es-PE"/>
        </w:rPr>
      </w:pPr>
      <w:proofErr w:type="spellStart"/>
      <w:r w:rsidRPr="003F34C0">
        <w:rPr>
          <w:i/>
          <w:iCs/>
          <w:lang w:val="es-PE"/>
        </w:rPr>
        <w:t>sukha</w:t>
      </w:r>
      <w:proofErr w:type="spellEnd"/>
      <w:r w:rsidRPr="00DC1A5F">
        <w:rPr>
          <w:lang w:val="es-PE"/>
        </w:rPr>
        <w:t>*— tibio: X.52</w:t>
      </w:r>
    </w:p>
    <w:p w14:paraId="4C0ED7E4" w14:textId="77777777" w:rsidR="00597DE2" w:rsidRPr="00DC1A5F" w:rsidRDefault="00597DE2" w:rsidP="00597DE2">
      <w:pPr>
        <w:pStyle w:val="ParrafoGlosario"/>
        <w:rPr>
          <w:lang w:val="es-PE"/>
        </w:rPr>
      </w:pPr>
      <w:proofErr w:type="spellStart"/>
      <w:r w:rsidRPr="003F34C0">
        <w:rPr>
          <w:i/>
          <w:iCs/>
          <w:lang w:val="es-PE"/>
        </w:rPr>
        <w:t>sukhana</w:t>
      </w:r>
      <w:proofErr w:type="spellEnd"/>
      <w:r w:rsidRPr="00DC1A5F">
        <w:rPr>
          <w:lang w:val="es-PE"/>
        </w:rPr>
        <w:t>*— acto de complacer: IV.100</w:t>
      </w:r>
    </w:p>
    <w:p w14:paraId="707D1733" w14:textId="77777777" w:rsidR="00597DE2" w:rsidRPr="00DC1A5F" w:rsidRDefault="00597DE2" w:rsidP="00597DE2">
      <w:pPr>
        <w:pStyle w:val="ParrafoGlosario"/>
        <w:rPr>
          <w:lang w:val="es-PE"/>
        </w:rPr>
      </w:pPr>
      <w:proofErr w:type="spellStart"/>
      <w:r w:rsidRPr="00E83917">
        <w:rPr>
          <w:i/>
          <w:iCs/>
          <w:lang w:val="es-PE"/>
        </w:rPr>
        <w:t>sukkha</w:t>
      </w:r>
      <w:proofErr w:type="spellEnd"/>
      <w:r w:rsidRPr="00E83917">
        <w:rPr>
          <w:i/>
          <w:iCs/>
          <w:lang w:val="es-PE"/>
        </w:rPr>
        <w:t>–</w:t>
      </w:r>
      <w:proofErr w:type="spellStart"/>
      <w:r w:rsidRPr="00E83917">
        <w:rPr>
          <w:i/>
          <w:iCs/>
          <w:lang w:val="es-PE"/>
        </w:rPr>
        <w:t>vipassaka</w:t>
      </w:r>
      <w:proofErr w:type="spellEnd"/>
      <w:r w:rsidRPr="00DC1A5F">
        <w:rPr>
          <w:lang w:val="es-PE"/>
        </w:rPr>
        <w:t xml:space="preserve">— trabajador de perspicacia desnuda (o seca) (alguien que alcanza el camino sin haber alcanzado previamente </w:t>
      </w:r>
      <w:proofErr w:type="spellStart"/>
      <w:r w:rsidRPr="003F34C0">
        <w:rPr>
          <w:i/>
          <w:iCs/>
          <w:lang w:val="es-PE"/>
        </w:rPr>
        <w:t>jhāna</w:t>
      </w:r>
      <w:proofErr w:type="spellEnd"/>
      <w:r w:rsidRPr="00DC1A5F">
        <w:rPr>
          <w:lang w:val="es-PE"/>
        </w:rPr>
        <w:t>)</w:t>
      </w:r>
    </w:p>
    <w:p w14:paraId="09EFE369" w14:textId="77777777" w:rsidR="00597DE2" w:rsidRPr="00DC1A5F" w:rsidRDefault="00597DE2" w:rsidP="00597DE2">
      <w:pPr>
        <w:pStyle w:val="ParrafoGlosario"/>
        <w:rPr>
          <w:lang w:val="es-PE"/>
        </w:rPr>
      </w:pPr>
      <w:proofErr w:type="spellStart"/>
      <w:r w:rsidRPr="003F34C0">
        <w:rPr>
          <w:i/>
          <w:iCs/>
          <w:lang w:val="es-PE"/>
        </w:rPr>
        <w:t>suñña</w:t>
      </w:r>
      <w:proofErr w:type="spellEnd"/>
      <w:r w:rsidRPr="00DC1A5F">
        <w:rPr>
          <w:lang w:val="es-PE"/>
        </w:rPr>
        <w:t xml:space="preserve">, </w:t>
      </w:r>
      <w:proofErr w:type="spellStart"/>
      <w:r w:rsidRPr="003F34C0">
        <w:rPr>
          <w:i/>
          <w:iCs/>
          <w:lang w:val="es-PE"/>
        </w:rPr>
        <w:t>suññata</w:t>
      </w:r>
      <w:proofErr w:type="spellEnd"/>
      <w:r w:rsidRPr="00DC1A5F">
        <w:rPr>
          <w:lang w:val="es-PE"/>
        </w:rPr>
        <w:t>— vacío</w:t>
      </w:r>
    </w:p>
    <w:p w14:paraId="52F3EB91" w14:textId="77777777" w:rsidR="00597DE2" w:rsidRPr="00DC1A5F" w:rsidRDefault="00597DE2" w:rsidP="00597DE2">
      <w:pPr>
        <w:pStyle w:val="ParrafoGlosario"/>
        <w:rPr>
          <w:lang w:val="es-PE"/>
        </w:rPr>
      </w:pPr>
      <w:proofErr w:type="spellStart"/>
      <w:r w:rsidRPr="00AC12C1">
        <w:rPr>
          <w:i/>
          <w:iCs/>
          <w:lang w:val="es-PE"/>
        </w:rPr>
        <w:t>suññata</w:t>
      </w:r>
      <w:proofErr w:type="spellEnd"/>
      <w:r w:rsidRPr="00DC1A5F">
        <w:rPr>
          <w:lang w:val="es-PE"/>
        </w:rPr>
        <w:t>— vacuidad</w:t>
      </w:r>
    </w:p>
    <w:p w14:paraId="72A0EAE5" w14:textId="77777777" w:rsidR="00597DE2" w:rsidRPr="00DC1A5F" w:rsidRDefault="00597DE2" w:rsidP="00597DE2">
      <w:pPr>
        <w:pStyle w:val="ParrafoGlosario"/>
        <w:rPr>
          <w:lang w:val="es-PE"/>
        </w:rPr>
      </w:pPr>
      <w:proofErr w:type="spellStart"/>
      <w:r w:rsidRPr="009D22C2">
        <w:rPr>
          <w:i/>
          <w:iCs/>
          <w:lang w:val="es-PE"/>
        </w:rPr>
        <w:t>surabhi</w:t>
      </w:r>
      <w:proofErr w:type="spellEnd"/>
      <w:r w:rsidRPr="00DC1A5F">
        <w:rPr>
          <w:lang w:val="es-PE"/>
        </w:rPr>
        <w:t>*— perfume: III.100; VI.90; X.60</w:t>
      </w:r>
    </w:p>
    <w:p w14:paraId="22604F80" w14:textId="77777777" w:rsidR="00597DE2" w:rsidRPr="00DC1A5F" w:rsidRDefault="00597DE2" w:rsidP="00597DE2">
      <w:pPr>
        <w:pStyle w:val="ParrafoGlosario"/>
        <w:rPr>
          <w:lang w:val="es-PE"/>
        </w:rPr>
      </w:pPr>
      <w:proofErr w:type="spellStart"/>
      <w:r w:rsidRPr="00AC12C1">
        <w:rPr>
          <w:i/>
          <w:iCs/>
          <w:lang w:val="es-PE"/>
        </w:rPr>
        <w:t>suta</w:t>
      </w:r>
      <w:proofErr w:type="spellEnd"/>
      <w:r w:rsidRPr="00DC1A5F">
        <w:rPr>
          <w:lang w:val="es-PE"/>
        </w:rPr>
        <w:t>— escuch</w:t>
      </w:r>
      <w:r>
        <w:rPr>
          <w:lang w:val="es-PE"/>
        </w:rPr>
        <w:t>ado</w:t>
      </w:r>
    </w:p>
    <w:p w14:paraId="63D6A229" w14:textId="77777777" w:rsidR="00597DE2" w:rsidRPr="00DC1A5F" w:rsidRDefault="00597DE2" w:rsidP="00597DE2">
      <w:pPr>
        <w:pStyle w:val="ParrafoGlosario"/>
        <w:rPr>
          <w:lang w:val="es-PE"/>
        </w:rPr>
      </w:pPr>
      <w:proofErr w:type="spellStart"/>
      <w:r w:rsidRPr="009D22C2">
        <w:rPr>
          <w:i/>
          <w:iCs/>
          <w:lang w:val="es-PE"/>
        </w:rPr>
        <w:t>suttaka</w:t>
      </w:r>
      <w:proofErr w:type="spellEnd"/>
      <w:r w:rsidRPr="00DC1A5F">
        <w:rPr>
          <w:lang w:val="es-PE"/>
        </w:rPr>
        <w:t>*— gusano intestinal: VIII.121</w:t>
      </w:r>
    </w:p>
    <w:p w14:paraId="3C17F5BB" w14:textId="77777777" w:rsidR="00597DE2" w:rsidRDefault="00597DE2" w:rsidP="00597DE2">
      <w:pPr>
        <w:pStyle w:val="ParrafoGlosario"/>
        <w:rPr>
          <w:lang w:val="es-PE"/>
        </w:rPr>
      </w:pPr>
      <w:proofErr w:type="spellStart"/>
      <w:r w:rsidRPr="00DC1A5F">
        <w:rPr>
          <w:i/>
          <w:iCs/>
          <w:lang w:val="es-PE"/>
        </w:rPr>
        <w:t>tacchati</w:t>
      </w:r>
      <w:proofErr w:type="spellEnd"/>
      <w:r w:rsidRPr="00DC1A5F">
        <w:rPr>
          <w:lang w:val="es-PE"/>
        </w:rPr>
        <w:t xml:space="preserve">*— también cortar: VIII.103 (M I 31) </w:t>
      </w:r>
      <w:r>
        <w:rPr>
          <w:lang w:val="es-PE"/>
        </w:rPr>
        <w:br w:type="page"/>
      </w:r>
    </w:p>
    <w:p w14:paraId="7E3AE3EB" w14:textId="77777777" w:rsidR="00597DE2" w:rsidRPr="00DC1A5F" w:rsidRDefault="00597DE2" w:rsidP="00597DE2">
      <w:pPr>
        <w:pStyle w:val="ParrafoGlosario"/>
        <w:rPr>
          <w:lang w:val="es-PE"/>
        </w:rPr>
      </w:pPr>
    </w:p>
    <w:p w14:paraId="3446982C" w14:textId="77777777" w:rsidR="00597DE2" w:rsidRPr="00DC1A5F" w:rsidRDefault="00597DE2" w:rsidP="00597DE2">
      <w:pPr>
        <w:pStyle w:val="ParrafoGlosario"/>
        <w:rPr>
          <w:lang w:val="es-PE"/>
        </w:rPr>
      </w:pPr>
      <w:proofErr w:type="spellStart"/>
      <w:r w:rsidRPr="00DC1A5F">
        <w:rPr>
          <w:i/>
          <w:iCs/>
          <w:lang w:val="es-PE"/>
        </w:rPr>
        <w:t>tadaṅga</w:t>
      </w:r>
      <w:proofErr w:type="spellEnd"/>
      <w:r w:rsidRPr="00DC1A5F">
        <w:rPr>
          <w:lang w:val="es-PE"/>
        </w:rPr>
        <w:t xml:space="preserve">— sustitución de sus opuestos (función de la sabiduría </w:t>
      </w:r>
      <w:proofErr w:type="spellStart"/>
      <w:r w:rsidRPr="00DC1A5F">
        <w:rPr>
          <w:lang w:val="es-PE"/>
        </w:rPr>
        <w:t>reveñativa</w:t>
      </w:r>
      <w:proofErr w:type="spellEnd"/>
      <w:r w:rsidRPr="00DC1A5F">
        <w:rPr>
          <w:lang w:val="es-PE"/>
        </w:rPr>
        <w:t>)</w:t>
      </w:r>
    </w:p>
    <w:p w14:paraId="134895BF" w14:textId="77777777" w:rsidR="00597DE2" w:rsidRPr="00DC1A5F" w:rsidRDefault="00597DE2" w:rsidP="00597DE2">
      <w:pPr>
        <w:pStyle w:val="ParrafoGlosario"/>
        <w:rPr>
          <w:lang w:val="es-PE"/>
        </w:rPr>
      </w:pPr>
      <w:proofErr w:type="spellStart"/>
      <w:r w:rsidRPr="00DC1A5F">
        <w:rPr>
          <w:i/>
          <w:iCs/>
          <w:lang w:val="es-PE"/>
        </w:rPr>
        <w:t>tadārammaṇa</w:t>
      </w:r>
      <w:proofErr w:type="spellEnd"/>
      <w:r w:rsidRPr="00DC1A5F">
        <w:rPr>
          <w:lang w:val="es-PE"/>
        </w:rPr>
        <w:t>*— (1) que tiene a ello (</w:t>
      </w:r>
      <w:proofErr w:type="gramStart"/>
      <w:r w:rsidRPr="00DC1A5F">
        <w:rPr>
          <w:lang w:val="es-PE"/>
        </w:rPr>
        <w:t>cosa antes mencionadas</w:t>
      </w:r>
      <w:proofErr w:type="gramEnd"/>
      <w:r w:rsidRPr="00DC1A5F">
        <w:rPr>
          <w:lang w:val="es-PE"/>
        </w:rPr>
        <w:t>) como su objeto, (2) registro (consciencia): XIV.98; XVII.139</w:t>
      </w:r>
    </w:p>
    <w:p w14:paraId="62A577FB" w14:textId="77777777" w:rsidR="00597DE2" w:rsidRPr="00DC1A5F" w:rsidRDefault="00597DE2" w:rsidP="00597DE2">
      <w:pPr>
        <w:pStyle w:val="ParrafoGlosario"/>
        <w:rPr>
          <w:lang w:val="es-PE"/>
        </w:rPr>
      </w:pPr>
      <w:proofErr w:type="spellStart"/>
      <w:r w:rsidRPr="00DC1A5F">
        <w:rPr>
          <w:i/>
          <w:iCs/>
          <w:lang w:val="es-PE"/>
        </w:rPr>
        <w:t>tādi</w:t>
      </w:r>
      <w:proofErr w:type="spellEnd"/>
      <w:r w:rsidRPr="00DC1A5F">
        <w:rPr>
          <w:i/>
          <w:iCs/>
          <w:lang w:val="es-PE"/>
        </w:rPr>
        <w:t>–</w:t>
      </w:r>
      <w:proofErr w:type="spellStart"/>
      <w:r w:rsidRPr="00DC1A5F">
        <w:rPr>
          <w:i/>
          <w:iCs/>
          <w:lang w:val="es-PE"/>
        </w:rPr>
        <w:t>bhāva</w:t>
      </w:r>
      <w:proofErr w:type="spellEnd"/>
      <w:r w:rsidRPr="00DC1A5F">
        <w:rPr>
          <w:lang w:val="es-PE"/>
        </w:rPr>
        <w:t>— equilibrio</w:t>
      </w:r>
    </w:p>
    <w:p w14:paraId="00F8CFD9" w14:textId="77777777" w:rsidR="00597DE2" w:rsidRPr="00DC1A5F" w:rsidRDefault="00597DE2" w:rsidP="00597DE2">
      <w:pPr>
        <w:pStyle w:val="ParrafoGlosario"/>
        <w:rPr>
          <w:lang w:val="es-PE"/>
        </w:rPr>
      </w:pPr>
      <w:proofErr w:type="spellStart"/>
      <w:r w:rsidRPr="00DC1A5F">
        <w:rPr>
          <w:i/>
          <w:iCs/>
          <w:lang w:val="es-PE"/>
        </w:rPr>
        <w:t>tanana</w:t>
      </w:r>
      <w:proofErr w:type="spellEnd"/>
      <w:r w:rsidRPr="00DC1A5F">
        <w:rPr>
          <w:lang w:val="es-PE"/>
        </w:rPr>
        <w:t>*— rango: XV.4</w:t>
      </w:r>
    </w:p>
    <w:p w14:paraId="644A6E61" w14:textId="77777777" w:rsidR="00597DE2" w:rsidRPr="00DC1A5F" w:rsidRDefault="00597DE2" w:rsidP="00597DE2">
      <w:pPr>
        <w:pStyle w:val="ParrafoGlosario"/>
        <w:rPr>
          <w:lang w:val="es-PE"/>
        </w:rPr>
      </w:pPr>
      <w:r w:rsidRPr="00DC1A5F">
        <w:rPr>
          <w:i/>
          <w:iCs/>
          <w:lang w:val="es-PE"/>
        </w:rPr>
        <w:t>taṇhā</w:t>
      </w:r>
      <w:r w:rsidRPr="00DC1A5F">
        <w:rPr>
          <w:lang w:val="es-PE"/>
        </w:rPr>
        <w:t>— deseo</w:t>
      </w:r>
    </w:p>
    <w:p w14:paraId="16796213" w14:textId="77777777" w:rsidR="00597DE2" w:rsidRPr="00DC1A5F" w:rsidRDefault="00597DE2" w:rsidP="00597DE2">
      <w:pPr>
        <w:pStyle w:val="ParrafoGlosario"/>
        <w:rPr>
          <w:lang w:val="es-PE"/>
        </w:rPr>
      </w:pPr>
      <w:proofErr w:type="spellStart"/>
      <w:r w:rsidRPr="00DC1A5F">
        <w:rPr>
          <w:i/>
          <w:iCs/>
          <w:lang w:val="es-PE"/>
        </w:rPr>
        <w:t>tathāgata</w:t>
      </w:r>
      <w:proofErr w:type="spellEnd"/>
      <w:r w:rsidRPr="00DC1A5F">
        <w:rPr>
          <w:lang w:val="es-PE"/>
        </w:rPr>
        <w:t>— el ​​perfecto</w:t>
      </w:r>
    </w:p>
    <w:p w14:paraId="49B421E2" w14:textId="77777777" w:rsidR="00597DE2" w:rsidRPr="00DC1A5F" w:rsidRDefault="00597DE2" w:rsidP="00597DE2">
      <w:pPr>
        <w:pStyle w:val="ParrafoGlosario"/>
        <w:rPr>
          <w:lang w:val="es-PE"/>
        </w:rPr>
      </w:pPr>
      <w:proofErr w:type="spellStart"/>
      <w:r w:rsidRPr="00DC1A5F">
        <w:rPr>
          <w:i/>
          <w:iCs/>
          <w:lang w:val="es-PE"/>
        </w:rPr>
        <w:t>tatramajjhattatā</w:t>
      </w:r>
      <w:proofErr w:type="spellEnd"/>
      <w:r w:rsidRPr="00DC1A5F">
        <w:rPr>
          <w:lang w:val="es-PE"/>
        </w:rPr>
        <w:t>— neutralidad específica</w:t>
      </w:r>
    </w:p>
    <w:p w14:paraId="1E84B0AC" w14:textId="77777777" w:rsidR="00597DE2" w:rsidRPr="00DC1A5F" w:rsidRDefault="00597DE2" w:rsidP="00597DE2">
      <w:pPr>
        <w:pStyle w:val="ParrafoGlosario"/>
        <w:rPr>
          <w:lang w:val="es-PE"/>
        </w:rPr>
      </w:pPr>
      <w:proofErr w:type="spellStart"/>
      <w:r w:rsidRPr="00DC1A5F">
        <w:rPr>
          <w:i/>
          <w:iCs/>
          <w:lang w:val="es-PE"/>
        </w:rPr>
        <w:t>tāvatva</w:t>
      </w:r>
      <w:proofErr w:type="spellEnd"/>
      <w:r w:rsidRPr="00DC1A5F">
        <w:rPr>
          <w:lang w:val="es-PE"/>
        </w:rPr>
        <w:t>*— mucho: XV 18</w:t>
      </w:r>
    </w:p>
    <w:p w14:paraId="637A7A98" w14:textId="77777777" w:rsidR="00597DE2" w:rsidRPr="00DC1A5F" w:rsidRDefault="00597DE2" w:rsidP="00597DE2">
      <w:pPr>
        <w:pStyle w:val="ParrafoGlosario"/>
        <w:rPr>
          <w:lang w:val="es-PE"/>
        </w:rPr>
      </w:pPr>
      <w:proofErr w:type="spellStart"/>
      <w:r w:rsidRPr="00DC1A5F">
        <w:rPr>
          <w:i/>
          <w:iCs/>
          <w:lang w:val="es-PE"/>
        </w:rPr>
        <w:t>thaddha</w:t>
      </w:r>
      <w:proofErr w:type="spellEnd"/>
      <w:r w:rsidRPr="00DC1A5F">
        <w:rPr>
          <w:lang w:val="es-PE"/>
        </w:rPr>
        <w:t>— rígido</w:t>
      </w:r>
    </w:p>
    <w:p w14:paraId="6CBDF754" w14:textId="77777777" w:rsidR="00597DE2" w:rsidRPr="00DC1A5F" w:rsidRDefault="00597DE2" w:rsidP="00597DE2">
      <w:pPr>
        <w:pStyle w:val="ParrafoGlosario"/>
        <w:rPr>
          <w:lang w:val="es-PE"/>
        </w:rPr>
      </w:pPr>
      <w:proofErr w:type="spellStart"/>
      <w:r w:rsidRPr="00DC1A5F">
        <w:rPr>
          <w:i/>
          <w:iCs/>
          <w:lang w:val="es-PE"/>
        </w:rPr>
        <w:t>theriya</w:t>
      </w:r>
      <w:proofErr w:type="spellEnd"/>
      <w:r w:rsidRPr="00DC1A5F">
        <w:rPr>
          <w:lang w:val="es-PE"/>
        </w:rPr>
        <w:t xml:space="preserve">*— atributo de los Venerables: </w:t>
      </w:r>
      <w:proofErr w:type="spellStart"/>
      <w:r w:rsidRPr="00DC1A5F">
        <w:rPr>
          <w:lang w:val="es-PE"/>
        </w:rPr>
        <w:t>epil</w:t>
      </w:r>
      <w:proofErr w:type="spellEnd"/>
      <w:r w:rsidRPr="00DC1A5F">
        <w:rPr>
          <w:lang w:val="es-PE"/>
        </w:rPr>
        <w:t>. verso</w:t>
      </w:r>
    </w:p>
    <w:p w14:paraId="4EC630C0" w14:textId="77777777" w:rsidR="00597DE2" w:rsidRPr="00DC1A5F" w:rsidRDefault="00597DE2" w:rsidP="00597DE2">
      <w:pPr>
        <w:pStyle w:val="ParrafoGlosario"/>
        <w:rPr>
          <w:lang w:val="es-PE"/>
        </w:rPr>
      </w:pPr>
      <w:proofErr w:type="spellStart"/>
      <w:r w:rsidRPr="00DC1A5F">
        <w:rPr>
          <w:i/>
          <w:iCs/>
          <w:lang w:val="es-PE"/>
        </w:rPr>
        <w:t>thīna</w:t>
      </w:r>
      <w:proofErr w:type="spellEnd"/>
      <w:r w:rsidRPr="00DC1A5F">
        <w:rPr>
          <w:i/>
          <w:iCs/>
          <w:lang w:val="es-PE"/>
        </w:rPr>
        <w:t>–</w:t>
      </w:r>
      <w:proofErr w:type="spellStart"/>
      <w:r w:rsidRPr="00DC1A5F">
        <w:rPr>
          <w:i/>
          <w:iCs/>
          <w:lang w:val="es-PE"/>
        </w:rPr>
        <w:t>middha</w:t>
      </w:r>
      <w:proofErr w:type="spellEnd"/>
      <w:r w:rsidRPr="00DC1A5F">
        <w:rPr>
          <w:lang w:val="es-PE"/>
        </w:rPr>
        <w:t xml:space="preserve">— </w:t>
      </w:r>
      <w:r w:rsidRPr="00DC1A5F">
        <w:rPr>
          <w:color w:val="833C0B" w:themeColor="accent2" w:themeShade="80"/>
          <w:lang w:val="es-PE"/>
        </w:rPr>
        <w:t>cansancio</w:t>
      </w:r>
      <w:r w:rsidRPr="00DC1A5F">
        <w:rPr>
          <w:lang w:val="es-PE"/>
        </w:rPr>
        <w:t xml:space="preserve"> y letargo</w:t>
      </w:r>
    </w:p>
    <w:p w14:paraId="24490A7F" w14:textId="77777777" w:rsidR="00597DE2" w:rsidRPr="00DC1A5F" w:rsidRDefault="00597DE2" w:rsidP="00597DE2">
      <w:pPr>
        <w:pStyle w:val="ParrafoGlosario"/>
        <w:rPr>
          <w:lang w:val="es-PE"/>
        </w:rPr>
      </w:pPr>
      <w:proofErr w:type="spellStart"/>
      <w:r w:rsidRPr="00DC1A5F">
        <w:rPr>
          <w:i/>
          <w:iCs/>
          <w:lang w:val="es-PE"/>
        </w:rPr>
        <w:t>ṭhiti</w:t>
      </w:r>
      <w:proofErr w:type="spellEnd"/>
      <w:r w:rsidRPr="00DC1A5F">
        <w:rPr>
          <w:lang w:val="es-PE"/>
        </w:rPr>
        <w:t>— (1) presencia, (2) estación, (3) relación, (4) firmeza, estabilidad, (5) estacionariedad, estancamiento</w:t>
      </w:r>
    </w:p>
    <w:p w14:paraId="21246E53" w14:textId="77777777" w:rsidR="00597DE2" w:rsidRPr="00DC1A5F" w:rsidRDefault="00597DE2" w:rsidP="00597DE2">
      <w:pPr>
        <w:pStyle w:val="ParrafoGlosario"/>
        <w:rPr>
          <w:lang w:val="es-PE"/>
        </w:rPr>
      </w:pPr>
      <w:proofErr w:type="spellStart"/>
      <w:r w:rsidRPr="00DC1A5F">
        <w:rPr>
          <w:i/>
          <w:iCs/>
          <w:lang w:val="es-PE"/>
        </w:rPr>
        <w:t>tilakkhaṇa</w:t>
      </w:r>
      <w:proofErr w:type="spellEnd"/>
      <w:r w:rsidRPr="00DC1A5F">
        <w:rPr>
          <w:lang w:val="es-PE"/>
        </w:rPr>
        <w:t>— las tres características (de impermanencia, insatisfactoriedad y no–alma)</w:t>
      </w:r>
    </w:p>
    <w:p w14:paraId="0DA924DF" w14:textId="77777777" w:rsidR="00597DE2" w:rsidRPr="00DC1A5F" w:rsidRDefault="00597DE2" w:rsidP="00597DE2">
      <w:pPr>
        <w:pStyle w:val="ParrafoGlosario"/>
        <w:rPr>
          <w:lang w:val="es-PE"/>
        </w:rPr>
      </w:pPr>
      <w:proofErr w:type="spellStart"/>
      <w:r w:rsidRPr="00DC1A5F">
        <w:rPr>
          <w:i/>
          <w:iCs/>
          <w:lang w:val="es-PE"/>
        </w:rPr>
        <w:t>tiracchāna</w:t>
      </w:r>
      <w:proofErr w:type="spellEnd"/>
      <w:r w:rsidRPr="00DC1A5F">
        <w:rPr>
          <w:i/>
          <w:iCs/>
          <w:lang w:val="es-PE"/>
        </w:rPr>
        <w:t>–yoni</w:t>
      </w:r>
      <w:r w:rsidRPr="00DC1A5F">
        <w:rPr>
          <w:lang w:val="es-PE"/>
        </w:rPr>
        <w:t>— generación animal</w:t>
      </w:r>
    </w:p>
    <w:p w14:paraId="2CF833C3" w14:textId="77777777" w:rsidR="00597DE2" w:rsidRPr="00DC1A5F" w:rsidRDefault="00597DE2" w:rsidP="00597DE2">
      <w:pPr>
        <w:pStyle w:val="ParrafoGlosario"/>
        <w:rPr>
          <w:lang w:val="es-PE"/>
        </w:rPr>
      </w:pPr>
      <w:proofErr w:type="spellStart"/>
      <w:r w:rsidRPr="00DC1A5F">
        <w:rPr>
          <w:i/>
          <w:iCs/>
          <w:lang w:val="es-PE"/>
        </w:rPr>
        <w:t>tīraṇa</w:t>
      </w:r>
      <w:proofErr w:type="spellEnd"/>
      <w:r w:rsidRPr="00DC1A5F">
        <w:rPr>
          <w:lang w:val="es-PE"/>
        </w:rPr>
        <w:t>— juicio, investigación</w:t>
      </w:r>
    </w:p>
    <w:p w14:paraId="48E694E2" w14:textId="77777777" w:rsidR="00597DE2" w:rsidRPr="00DC1A5F" w:rsidRDefault="00597DE2" w:rsidP="00597DE2">
      <w:pPr>
        <w:pStyle w:val="ParrafoGlosario"/>
        <w:rPr>
          <w:lang w:val="es-PE"/>
        </w:rPr>
      </w:pPr>
      <w:r w:rsidRPr="00DC1A5F">
        <w:rPr>
          <w:i/>
          <w:iCs/>
          <w:lang w:val="es-PE"/>
        </w:rPr>
        <w:t>ti–</w:t>
      </w:r>
      <w:proofErr w:type="spellStart"/>
      <w:r w:rsidRPr="00DC1A5F">
        <w:rPr>
          <w:i/>
          <w:iCs/>
          <w:lang w:val="es-PE"/>
        </w:rPr>
        <w:t>samuṭṭhāna</w:t>
      </w:r>
      <w:proofErr w:type="spellEnd"/>
      <w:r w:rsidRPr="00DC1A5F">
        <w:rPr>
          <w:lang w:val="es-PE"/>
        </w:rPr>
        <w:t xml:space="preserve">*— materialidad de origen triple (solo debido al </w:t>
      </w:r>
      <w:proofErr w:type="spellStart"/>
      <w:r w:rsidRPr="00DC1A5F">
        <w:rPr>
          <w:i/>
          <w:iCs/>
          <w:lang w:val="es-PE"/>
        </w:rPr>
        <w:t>kamma</w:t>
      </w:r>
      <w:proofErr w:type="spellEnd"/>
      <w:r w:rsidRPr="00DC1A5F">
        <w:rPr>
          <w:lang w:val="es-PE"/>
        </w:rPr>
        <w:t>, la temperatura y el nutrimento): XVII.196</w:t>
      </w:r>
    </w:p>
    <w:p w14:paraId="50EA8229" w14:textId="77777777" w:rsidR="00597DE2" w:rsidRPr="00DC1A5F" w:rsidRDefault="00597DE2" w:rsidP="00597DE2">
      <w:pPr>
        <w:pStyle w:val="ParrafoGlosario"/>
        <w:rPr>
          <w:lang w:val="es-PE"/>
        </w:rPr>
      </w:pPr>
      <w:r w:rsidRPr="00DC1A5F">
        <w:rPr>
          <w:i/>
          <w:iCs/>
          <w:lang w:val="es-PE"/>
        </w:rPr>
        <w:t>ti–</w:t>
      </w:r>
      <w:proofErr w:type="spellStart"/>
      <w:r w:rsidRPr="00DC1A5F">
        <w:rPr>
          <w:i/>
          <w:iCs/>
          <w:lang w:val="es-PE"/>
        </w:rPr>
        <w:t>santati</w:t>
      </w:r>
      <w:proofErr w:type="spellEnd"/>
      <w:r w:rsidRPr="00DC1A5F">
        <w:rPr>
          <w:i/>
          <w:iCs/>
          <w:lang w:val="es-PE"/>
        </w:rPr>
        <w:t>–rūpa</w:t>
      </w:r>
      <w:r w:rsidRPr="00DC1A5F">
        <w:rPr>
          <w:lang w:val="es-PE"/>
        </w:rPr>
        <w:t>*— materialidad de triple continuidad (término para los tres décuplos en el momento del vínculo de renacimiento): XI.112; XX.22</w:t>
      </w:r>
    </w:p>
    <w:p w14:paraId="4F90337D" w14:textId="77777777" w:rsidR="00597DE2" w:rsidRPr="00DC1A5F" w:rsidRDefault="00597DE2" w:rsidP="00597DE2">
      <w:pPr>
        <w:pStyle w:val="ParrafoGlosario"/>
        <w:rPr>
          <w:lang w:val="es-PE"/>
        </w:rPr>
      </w:pPr>
      <w:proofErr w:type="spellStart"/>
      <w:r w:rsidRPr="00DC1A5F">
        <w:rPr>
          <w:i/>
          <w:iCs/>
          <w:lang w:val="es-PE"/>
        </w:rPr>
        <w:t>uccheda</w:t>
      </w:r>
      <w:proofErr w:type="spellEnd"/>
      <w:r w:rsidRPr="00DC1A5F">
        <w:rPr>
          <w:i/>
          <w:iCs/>
          <w:lang w:val="es-PE"/>
        </w:rPr>
        <w:t>–diṭṭhi</w:t>
      </w:r>
      <w:r w:rsidRPr="00DC1A5F">
        <w:rPr>
          <w:lang w:val="es-PE"/>
        </w:rPr>
        <w:t>— visión nihilista</w:t>
      </w:r>
    </w:p>
    <w:p w14:paraId="6A141F05" w14:textId="77777777" w:rsidR="00597DE2" w:rsidRPr="00DC1A5F" w:rsidRDefault="00597DE2" w:rsidP="00597DE2">
      <w:pPr>
        <w:pStyle w:val="ParrafoGlosario"/>
        <w:rPr>
          <w:lang w:val="es-PE"/>
        </w:rPr>
      </w:pPr>
      <w:proofErr w:type="spellStart"/>
      <w:r w:rsidRPr="00DC1A5F">
        <w:rPr>
          <w:i/>
          <w:iCs/>
          <w:lang w:val="es-PE"/>
        </w:rPr>
        <w:t>udāhariyati</w:t>
      </w:r>
      <w:proofErr w:type="spellEnd"/>
      <w:r w:rsidRPr="00DC1A5F">
        <w:rPr>
          <w:i/>
          <w:iCs/>
          <w:lang w:val="es-PE"/>
        </w:rPr>
        <w:t>*</w:t>
      </w:r>
      <w:r w:rsidRPr="00DC1A5F">
        <w:rPr>
          <w:lang w:val="es-PE"/>
        </w:rPr>
        <w:t xml:space="preserve">— pronunciar: XV.3 </w:t>
      </w:r>
    </w:p>
    <w:p w14:paraId="20F6F024" w14:textId="77777777" w:rsidR="00597DE2" w:rsidRPr="00DC1A5F" w:rsidRDefault="00597DE2" w:rsidP="00597DE2">
      <w:pPr>
        <w:pStyle w:val="ParrafoGlosario"/>
        <w:rPr>
          <w:lang w:val="es-PE"/>
        </w:rPr>
      </w:pPr>
      <w:proofErr w:type="spellStart"/>
      <w:r w:rsidRPr="00DC1A5F">
        <w:rPr>
          <w:i/>
          <w:iCs/>
          <w:lang w:val="es-PE"/>
        </w:rPr>
        <w:t>udaya</w:t>
      </w:r>
      <w:proofErr w:type="spellEnd"/>
      <w:r w:rsidRPr="00DC1A5F">
        <w:rPr>
          <w:lang w:val="es-PE"/>
        </w:rPr>
        <w:t>— surgir, surgimiento</w:t>
      </w:r>
    </w:p>
    <w:p w14:paraId="3C674914" w14:textId="77777777" w:rsidR="00597DE2" w:rsidRPr="00DC1A5F" w:rsidRDefault="00597DE2" w:rsidP="00597DE2">
      <w:pPr>
        <w:pStyle w:val="ParrafoGlosario"/>
        <w:rPr>
          <w:lang w:val="es-PE"/>
        </w:rPr>
      </w:pPr>
      <w:proofErr w:type="spellStart"/>
      <w:r w:rsidRPr="00DC1A5F">
        <w:rPr>
          <w:i/>
          <w:iCs/>
          <w:lang w:val="es-PE"/>
        </w:rPr>
        <w:t>udaya</w:t>
      </w:r>
      <w:proofErr w:type="spellEnd"/>
      <w:r w:rsidRPr="00DC1A5F">
        <w:rPr>
          <w:i/>
          <w:iCs/>
          <w:lang w:val="es-PE"/>
        </w:rPr>
        <w:t>–</w:t>
      </w:r>
      <w:proofErr w:type="spellStart"/>
      <w:r w:rsidRPr="00DC1A5F">
        <w:rPr>
          <w:i/>
          <w:iCs/>
          <w:lang w:val="es-PE"/>
        </w:rPr>
        <w:t>bbaya</w:t>
      </w:r>
      <w:proofErr w:type="spellEnd"/>
      <w:r w:rsidRPr="00DC1A5F">
        <w:rPr>
          <w:lang w:val="es-PE"/>
        </w:rPr>
        <w:t xml:space="preserve">— surgir y desaparecer, surgimiento y </w:t>
      </w:r>
      <w:proofErr w:type="spellStart"/>
      <w:r w:rsidRPr="00DC1A5F">
        <w:rPr>
          <w:lang w:val="es-PE"/>
        </w:rPr>
        <w:t>deparición</w:t>
      </w:r>
      <w:proofErr w:type="spellEnd"/>
    </w:p>
    <w:p w14:paraId="616B605A" w14:textId="77777777" w:rsidR="00597DE2" w:rsidRPr="00DC1A5F" w:rsidRDefault="00597DE2" w:rsidP="00597DE2">
      <w:pPr>
        <w:pStyle w:val="ParrafoGlosario"/>
        <w:rPr>
          <w:lang w:val="es-PE"/>
        </w:rPr>
      </w:pPr>
      <w:r w:rsidRPr="00DC1A5F">
        <w:rPr>
          <w:i/>
          <w:iCs/>
          <w:lang w:val="es-PE"/>
        </w:rPr>
        <w:t>uddhacca</w:t>
      </w:r>
      <w:r w:rsidRPr="00DC1A5F">
        <w:rPr>
          <w:lang w:val="es-PE"/>
        </w:rPr>
        <w:t>— agitación</w:t>
      </w:r>
    </w:p>
    <w:p w14:paraId="6F5C3F99" w14:textId="77777777" w:rsidR="00597DE2" w:rsidRPr="00DC1A5F" w:rsidRDefault="00597DE2" w:rsidP="00597DE2">
      <w:pPr>
        <w:pStyle w:val="ParrafoGlosario"/>
        <w:rPr>
          <w:lang w:val="es-PE"/>
        </w:rPr>
      </w:pPr>
      <w:r w:rsidRPr="00DC1A5F">
        <w:rPr>
          <w:i/>
          <w:iCs/>
          <w:lang w:val="es-PE"/>
        </w:rPr>
        <w:t>uddhacca–</w:t>
      </w:r>
      <w:proofErr w:type="spellStart"/>
      <w:r w:rsidRPr="00DC1A5F">
        <w:rPr>
          <w:i/>
          <w:iCs/>
          <w:lang w:val="es-PE"/>
        </w:rPr>
        <w:t>kukkucca</w:t>
      </w:r>
      <w:proofErr w:type="spellEnd"/>
      <w:r w:rsidRPr="00DC1A5F">
        <w:rPr>
          <w:lang w:val="es-PE"/>
        </w:rPr>
        <w:t>— agitación y preocupación</w:t>
      </w:r>
    </w:p>
    <w:p w14:paraId="4100C7CB" w14:textId="77777777" w:rsidR="00597DE2" w:rsidRPr="00DC1A5F" w:rsidRDefault="00597DE2" w:rsidP="00597DE2">
      <w:pPr>
        <w:pStyle w:val="ParrafoGlosario"/>
        <w:rPr>
          <w:lang w:val="es-PE"/>
        </w:rPr>
      </w:pPr>
      <w:proofErr w:type="spellStart"/>
      <w:r w:rsidRPr="00DC1A5F">
        <w:rPr>
          <w:i/>
          <w:iCs/>
          <w:lang w:val="es-PE"/>
        </w:rPr>
        <w:t>uggaha</w:t>
      </w:r>
      <w:proofErr w:type="spellEnd"/>
      <w:r w:rsidRPr="00DC1A5F">
        <w:rPr>
          <w:lang w:val="es-PE"/>
        </w:rPr>
        <w:t>— aprendizaje</w:t>
      </w:r>
    </w:p>
    <w:p w14:paraId="55FD9049" w14:textId="77777777" w:rsidR="00597DE2" w:rsidRPr="00DC1A5F" w:rsidRDefault="00597DE2" w:rsidP="00597DE2">
      <w:pPr>
        <w:pStyle w:val="ParrafoGlosario"/>
        <w:rPr>
          <w:lang w:val="es-PE"/>
        </w:rPr>
      </w:pPr>
      <w:proofErr w:type="spellStart"/>
      <w:r w:rsidRPr="00DC1A5F">
        <w:rPr>
          <w:i/>
          <w:iCs/>
          <w:lang w:val="es-PE"/>
        </w:rPr>
        <w:t>uggaha</w:t>
      </w:r>
      <w:proofErr w:type="spellEnd"/>
      <w:r w:rsidRPr="00DC1A5F">
        <w:rPr>
          <w:lang w:val="es-PE"/>
        </w:rPr>
        <w:t xml:space="preserve">— signo de conocimiento de </w:t>
      </w:r>
      <w:proofErr w:type="spellStart"/>
      <w:r w:rsidRPr="00DC1A5F">
        <w:rPr>
          <w:i/>
          <w:iCs/>
          <w:lang w:val="es-PE"/>
        </w:rPr>
        <w:t>nimitta</w:t>
      </w:r>
      <w:proofErr w:type="spellEnd"/>
    </w:p>
    <w:p w14:paraId="7B951CAE" w14:textId="77777777" w:rsidR="00597DE2" w:rsidRPr="00DC1A5F" w:rsidRDefault="00597DE2" w:rsidP="00597DE2">
      <w:pPr>
        <w:pStyle w:val="ParrafoGlosario"/>
        <w:rPr>
          <w:lang w:val="es-PE"/>
        </w:rPr>
      </w:pPr>
      <w:proofErr w:type="spellStart"/>
      <w:r w:rsidRPr="00DC1A5F">
        <w:rPr>
          <w:i/>
          <w:iCs/>
          <w:lang w:val="es-PE"/>
        </w:rPr>
        <w:t>uggaṇhita</w:t>
      </w:r>
      <w:proofErr w:type="spellEnd"/>
      <w:r w:rsidRPr="00DC1A5F">
        <w:rPr>
          <w:lang w:val="es-PE"/>
        </w:rPr>
        <w:t>* (¿</w:t>
      </w:r>
      <w:proofErr w:type="spellStart"/>
      <w:r w:rsidRPr="00DC1A5F">
        <w:rPr>
          <w:i/>
          <w:iCs/>
          <w:lang w:val="es-PE"/>
        </w:rPr>
        <w:t>ugghaṭita</w:t>
      </w:r>
      <w:proofErr w:type="spellEnd"/>
      <w:r w:rsidRPr="00DC1A5F">
        <w:rPr>
          <w:lang w:val="es-PE"/>
        </w:rPr>
        <w:t>?)— deteriorado: VI.42</w:t>
      </w:r>
    </w:p>
    <w:p w14:paraId="227A2916" w14:textId="77777777" w:rsidR="00597DE2" w:rsidRPr="00DC1A5F" w:rsidRDefault="00597DE2" w:rsidP="00597DE2">
      <w:pPr>
        <w:pStyle w:val="ParrafoGlosario"/>
        <w:rPr>
          <w:lang w:val="es-PE"/>
        </w:rPr>
      </w:pPr>
      <w:proofErr w:type="spellStart"/>
      <w:r w:rsidRPr="00DC1A5F">
        <w:rPr>
          <w:i/>
          <w:iCs/>
          <w:lang w:val="es-PE"/>
        </w:rPr>
        <w:t>ugghāta</w:t>
      </w:r>
      <w:proofErr w:type="spellEnd"/>
      <w:r w:rsidRPr="00DC1A5F">
        <w:rPr>
          <w:lang w:val="es-PE"/>
        </w:rPr>
        <w:t xml:space="preserve">*— </w:t>
      </w:r>
      <w:r w:rsidRPr="00DC1A5F">
        <w:rPr>
          <w:i/>
          <w:iCs/>
          <w:lang w:val="es-PE"/>
        </w:rPr>
        <w:t>euforia</w:t>
      </w:r>
      <w:r w:rsidRPr="00DC1A5F">
        <w:rPr>
          <w:lang w:val="es-PE"/>
        </w:rPr>
        <w:t>: I.117</w:t>
      </w:r>
    </w:p>
    <w:p w14:paraId="4386FDCB" w14:textId="77777777" w:rsidR="00597DE2" w:rsidRPr="00DC1A5F" w:rsidRDefault="00597DE2" w:rsidP="00597DE2">
      <w:pPr>
        <w:pStyle w:val="ParrafoGlosario"/>
        <w:rPr>
          <w:lang w:val="es-PE"/>
        </w:rPr>
      </w:pPr>
      <w:proofErr w:type="spellStart"/>
      <w:r w:rsidRPr="00DC1A5F">
        <w:rPr>
          <w:i/>
          <w:iCs/>
          <w:lang w:val="es-PE"/>
        </w:rPr>
        <w:t>ugghāti</w:t>
      </w:r>
      <w:proofErr w:type="spellEnd"/>
      <w:r w:rsidRPr="00DC1A5F">
        <w:rPr>
          <w:lang w:val="es-PE"/>
        </w:rPr>
        <w:t xml:space="preserve">*— </w:t>
      </w:r>
      <w:r w:rsidRPr="00DC1A5F">
        <w:rPr>
          <w:i/>
          <w:iCs/>
          <w:lang w:val="es-PE"/>
        </w:rPr>
        <w:t>eliminación</w:t>
      </w:r>
      <w:r w:rsidRPr="00DC1A5F">
        <w:rPr>
          <w:lang w:val="es-PE"/>
        </w:rPr>
        <w:t>: III.115</w:t>
      </w:r>
    </w:p>
    <w:p w14:paraId="2CC3358E"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ūhana</w:t>
      </w:r>
      <w:proofErr w:type="spellEnd"/>
      <w:r w:rsidRPr="00DC1A5F">
        <w:rPr>
          <w:sz w:val="15"/>
          <w:szCs w:val="15"/>
          <w:lang w:val="es-PE"/>
        </w:rPr>
        <w:t>*— golpear: IV.88</w:t>
      </w:r>
    </w:p>
    <w:p w14:paraId="57EA5623" w14:textId="77777777" w:rsidR="00597DE2" w:rsidRPr="00DC1A5F" w:rsidRDefault="00597DE2" w:rsidP="00597DE2">
      <w:pPr>
        <w:pStyle w:val="ParrafoGlosario"/>
        <w:rPr>
          <w:lang w:val="es-PE"/>
        </w:rPr>
      </w:pPr>
      <w:proofErr w:type="spellStart"/>
      <w:r w:rsidRPr="00DC1A5F">
        <w:rPr>
          <w:i/>
          <w:iCs/>
          <w:lang w:val="es-PE"/>
        </w:rPr>
        <w:t>ujukatā</w:t>
      </w:r>
      <w:proofErr w:type="spellEnd"/>
      <w:r w:rsidRPr="00DC1A5F">
        <w:rPr>
          <w:lang w:val="es-PE"/>
        </w:rPr>
        <w:t xml:space="preserve">— rectitud </w:t>
      </w:r>
    </w:p>
    <w:p w14:paraId="53F7567A"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upabhuñjaka</w:t>
      </w:r>
      <w:proofErr w:type="spellEnd"/>
      <w:r w:rsidRPr="00DC1A5F">
        <w:rPr>
          <w:sz w:val="15"/>
          <w:szCs w:val="15"/>
          <w:lang w:val="es-PE"/>
        </w:rPr>
        <w:t>— experimentador, usuario</w:t>
      </w:r>
    </w:p>
    <w:p w14:paraId="52BD776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upabrūhana</w:t>
      </w:r>
      <w:proofErr w:type="spellEnd"/>
      <w:r w:rsidRPr="00DC1A5F">
        <w:rPr>
          <w:sz w:val="15"/>
          <w:szCs w:val="15"/>
          <w:lang w:val="es-PE"/>
        </w:rPr>
        <w:t>— intensificación</w:t>
      </w:r>
    </w:p>
    <w:p w14:paraId="4999EE7A"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upabrūhayati</w:t>
      </w:r>
      <w:proofErr w:type="spellEnd"/>
      <w:r w:rsidRPr="00DC1A5F">
        <w:rPr>
          <w:sz w:val="15"/>
          <w:szCs w:val="15"/>
          <w:lang w:val="es-PE"/>
        </w:rPr>
        <w:t>*— intensificar: VIII.121</w:t>
      </w:r>
    </w:p>
    <w:p w14:paraId="315E8C2C" w14:textId="77777777" w:rsidR="00597DE2" w:rsidRPr="00DC1A5F" w:rsidRDefault="00597DE2" w:rsidP="00597DE2">
      <w:pPr>
        <w:pStyle w:val="ParrafoGlosario"/>
        <w:rPr>
          <w:lang w:val="es-PE"/>
        </w:rPr>
      </w:pPr>
      <w:proofErr w:type="spellStart"/>
      <w:r w:rsidRPr="00DC1A5F">
        <w:rPr>
          <w:i/>
          <w:iCs/>
          <w:lang w:val="es-PE"/>
        </w:rPr>
        <w:t>upacāra</w:t>
      </w:r>
      <w:proofErr w:type="spellEnd"/>
      <w:r w:rsidRPr="00DC1A5F">
        <w:rPr>
          <w:lang w:val="es-PE"/>
        </w:rPr>
        <w:t>— (1) proximidad, vecindad, circunscripción, (2) acceso (concentración)</w:t>
      </w:r>
      <w:r>
        <w:rPr>
          <w:lang w:val="es-PE"/>
        </w:rPr>
        <w:br w:type="column"/>
      </w:r>
    </w:p>
    <w:p w14:paraId="1334434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upacāra</w:t>
      </w:r>
      <w:proofErr w:type="spellEnd"/>
      <w:r w:rsidRPr="00DC1A5F">
        <w:rPr>
          <w:i/>
          <w:iCs/>
          <w:sz w:val="15"/>
          <w:szCs w:val="15"/>
          <w:lang w:val="es-PE"/>
        </w:rPr>
        <w:t>*</w:t>
      </w:r>
      <w:r w:rsidRPr="00DC1A5F">
        <w:rPr>
          <w:sz w:val="15"/>
          <w:szCs w:val="15"/>
          <w:lang w:val="es-PE"/>
        </w:rPr>
        <w:t xml:space="preserve">— </w:t>
      </w:r>
      <w:r w:rsidRPr="00DC1A5F">
        <w:rPr>
          <w:i/>
          <w:iCs/>
          <w:sz w:val="15"/>
          <w:szCs w:val="15"/>
          <w:lang w:val="es-PE"/>
        </w:rPr>
        <w:t>también</w:t>
      </w:r>
      <w:r w:rsidRPr="00DC1A5F">
        <w:rPr>
          <w:sz w:val="15"/>
          <w:szCs w:val="15"/>
          <w:lang w:val="es-PE"/>
        </w:rPr>
        <w:t xml:space="preserve"> (3) metáfora. XVI.70; XVII.15; XXII.51</w:t>
      </w:r>
    </w:p>
    <w:p w14:paraId="57051B8F" w14:textId="77777777" w:rsidR="00597DE2" w:rsidRPr="00DC1A5F" w:rsidRDefault="00597DE2" w:rsidP="00597DE2">
      <w:pPr>
        <w:pStyle w:val="ParrafoGlosario"/>
        <w:rPr>
          <w:lang w:val="es-PE"/>
        </w:rPr>
      </w:pPr>
      <w:proofErr w:type="spellStart"/>
      <w:r w:rsidRPr="00DC1A5F">
        <w:rPr>
          <w:i/>
          <w:iCs/>
          <w:lang w:val="es-PE"/>
        </w:rPr>
        <w:t>upacaya</w:t>
      </w:r>
      <w:proofErr w:type="spellEnd"/>
      <w:r w:rsidRPr="00DC1A5F">
        <w:rPr>
          <w:lang w:val="es-PE"/>
        </w:rPr>
        <w:t>— crecimiento (de la materia)</w:t>
      </w:r>
    </w:p>
    <w:p w14:paraId="79FF1BF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upādāna</w:t>
      </w:r>
      <w:proofErr w:type="spellEnd"/>
      <w:r w:rsidRPr="00DC1A5F">
        <w:rPr>
          <w:sz w:val="15"/>
          <w:szCs w:val="15"/>
          <w:lang w:val="es-PE"/>
        </w:rPr>
        <w:t>— aferrarse, apegarse, adherirse</w:t>
      </w:r>
    </w:p>
    <w:p w14:paraId="4AE06C21"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upādāna</w:t>
      </w:r>
      <w:proofErr w:type="spellEnd"/>
      <w:r w:rsidRPr="00DC1A5F">
        <w:rPr>
          <w:i/>
          <w:iCs/>
          <w:sz w:val="15"/>
          <w:szCs w:val="15"/>
          <w:lang w:val="es-PE"/>
        </w:rPr>
        <w:t>–</w:t>
      </w:r>
      <w:proofErr w:type="spellStart"/>
      <w:r w:rsidRPr="00DC1A5F">
        <w:rPr>
          <w:i/>
          <w:iCs/>
          <w:sz w:val="15"/>
          <w:szCs w:val="15"/>
          <w:lang w:val="es-PE"/>
        </w:rPr>
        <w:t>kkhandha</w:t>
      </w:r>
      <w:proofErr w:type="spellEnd"/>
      <w:r w:rsidRPr="00DC1A5F">
        <w:rPr>
          <w:sz w:val="15"/>
          <w:szCs w:val="15"/>
          <w:lang w:val="es-PE"/>
        </w:rPr>
        <w:t>— agregado (como objeto) del apego</w:t>
      </w:r>
    </w:p>
    <w:p w14:paraId="1EA11E02"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upādā</w:t>
      </w:r>
      <w:proofErr w:type="spellEnd"/>
      <w:r w:rsidRPr="00DC1A5F">
        <w:rPr>
          <w:i/>
          <w:iCs/>
          <w:sz w:val="15"/>
          <w:szCs w:val="15"/>
          <w:lang w:val="es-PE"/>
        </w:rPr>
        <w:t>–rūpa</w:t>
      </w:r>
      <w:r w:rsidRPr="00DC1A5F">
        <w:rPr>
          <w:sz w:val="15"/>
          <w:szCs w:val="15"/>
          <w:lang w:val="es-PE"/>
        </w:rPr>
        <w:t>— materialidad derivada (o secundaria)</w:t>
      </w:r>
    </w:p>
    <w:p w14:paraId="2608FB69"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upadhāraṇa</w:t>
      </w:r>
      <w:proofErr w:type="spellEnd"/>
      <w:r w:rsidRPr="00DC1A5F">
        <w:rPr>
          <w:sz w:val="15"/>
          <w:szCs w:val="15"/>
          <w:lang w:val="es-PE"/>
        </w:rPr>
        <w:t>*— sostener I.19, 141</w:t>
      </w:r>
    </w:p>
    <w:p w14:paraId="41A1A5F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upādiṇṇa</w:t>
      </w:r>
      <w:proofErr w:type="spellEnd"/>
      <w:r w:rsidRPr="00DC1A5F">
        <w:rPr>
          <w:i/>
          <w:iCs/>
          <w:sz w:val="15"/>
          <w:szCs w:val="15"/>
          <w:lang w:val="es-PE"/>
        </w:rPr>
        <w:t xml:space="preserve">, </w:t>
      </w:r>
      <w:proofErr w:type="spellStart"/>
      <w:r w:rsidRPr="00DC1A5F">
        <w:rPr>
          <w:i/>
          <w:iCs/>
          <w:sz w:val="15"/>
          <w:szCs w:val="15"/>
          <w:lang w:val="es-PE"/>
        </w:rPr>
        <w:t>upādiṇṇaka</w:t>
      </w:r>
      <w:proofErr w:type="spellEnd"/>
      <w:r w:rsidRPr="00DC1A5F">
        <w:rPr>
          <w:sz w:val="15"/>
          <w:szCs w:val="15"/>
          <w:lang w:val="es-PE"/>
        </w:rPr>
        <w:t xml:space="preserve">— aferrado a, (materia) </w:t>
      </w:r>
      <w:proofErr w:type="spellStart"/>
      <w:r w:rsidRPr="00DC1A5F">
        <w:rPr>
          <w:i/>
          <w:iCs/>
          <w:sz w:val="15"/>
          <w:szCs w:val="15"/>
          <w:lang w:val="es-PE"/>
        </w:rPr>
        <w:t>kāmmicamente</w:t>
      </w:r>
      <w:proofErr w:type="spellEnd"/>
      <w:r w:rsidRPr="00DC1A5F">
        <w:rPr>
          <w:sz w:val="15"/>
          <w:szCs w:val="15"/>
          <w:lang w:val="es-PE"/>
        </w:rPr>
        <w:t xml:space="preserve"> adquirido, (materia)orgánica </w:t>
      </w:r>
    </w:p>
    <w:p w14:paraId="7168BEC2" w14:textId="77777777" w:rsidR="00597DE2" w:rsidRPr="00DC1A5F" w:rsidRDefault="00597DE2" w:rsidP="00597DE2">
      <w:pPr>
        <w:pStyle w:val="ParrafoGlosario"/>
        <w:rPr>
          <w:lang w:val="es-PE"/>
        </w:rPr>
      </w:pPr>
      <w:proofErr w:type="spellStart"/>
      <w:r w:rsidRPr="00DC1A5F">
        <w:rPr>
          <w:i/>
          <w:iCs/>
          <w:lang w:val="es-PE"/>
        </w:rPr>
        <w:t>upakkilesa</w:t>
      </w:r>
      <w:proofErr w:type="spellEnd"/>
      <w:r w:rsidRPr="00DC1A5F">
        <w:rPr>
          <w:lang w:val="es-PE"/>
        </w:rPr>
        <w:t>— imperfección</w:t>
      </w:r>
    </w:p>
    <w:p w14:paraId="5A6B03FF"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upanaya</w:t>
      </w:r>
      <w:proofErr w:type="spellEnd"/>
      <w:r w:rsidRPr="00DC1A5F">
        <w:rPr>
          <w:sz w:val="15"/>
          <w:szCs w:val="15"/>
          <w:lang w:val="es-PE"/>
        </w:rPr>
        <w:t>*— incentivo, aplicación (registro): VII.83</w:t>
      </w:r>
    </w:p>
    <w:p w14:paraId="568540A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upanayana</w:t>
      </w:r>
      <w:proofErr w:type="spellEnd"/>
      <w:r w:rsidRPr="00DC1A5F">
        <w:rPr>
          <w:sz w:val="15"/>
          <w:szCs w:val="15"/>
          <w:lang w:val="es-PE"/>
        </w:rPr>
        <w:t xml:space="preserve">*— </w:t>
      </w:r>
      <w:r w:rsidRPr="00DC1A5F">
        <w:rPr>
          <w:i/>
          <w:iCs/>
          <w:sz w:val="15"/>
          <w:szCs w:val="15"/>
          <w:lang w:val="es-PE"/>
        </w:rPr>
        <w:t>también</w:t>
      </w:r>
      <w:r w:rsidRPr="00DC1A5F">
        <w:rPr>
          <w:sz w:val="15"/>
          <w:szCs w:val="15"/>
          <w:lang w:val="es-PE"/>
        </w:rPr>
        <w:t xml:space="preserve"> aplicación (lógica), induciendo, conduciendo: VII.83; XIV.68</w:t>
      </w:r>
    </w:p>
    <w:p w14:paraId="510E198A"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upapatti</w:t>
      </w:r>
      <w:proofErr w:type="spellEnd"/>
      <w:r w:rsidRPr="00DC1A5F">
        <w:rPr>
          <w:sz w:val="15"/>
          <w:szCs w:val="15"/>
          <w:lang w:val="es-PE"/>
        </w:rPr>
        <w:t>— reaparición, renacimiento</w:t>
      </w:r>
    </w:p>
    <w:p w14:paraId="24F698E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upasama</w:t>
      </w:r>
      <w:proofErr w:type="spellEnd"/>
      <w:r w:rsidRPr="00DC1A5F">
        <w:rPr>
          <w:sz w:val="15"/>
          <w:szCs w:val="15"/>
          <w:lang w:val="es-PE"/>
        </w:rPr>
        <w:t xml:space="preserve">— paz (término para el </w:t>
      </w:r>
      <w:r w:rsidRPr="00DC1A5F">
        <w:rPr>
          <w:i/>
          <w:iCs/>
          <w:sz w:val="15"/>
          <w:szCs w:val="15"/>
          <w:lang w:val="es-PE"/>
        </w:rPr>
        <w:t>Nibbāna</w:t>
      </w:r>
      <w:r w:rsidRPr="00DC1A5F">
        <w:rPr>
          <w:sz w:val="15"/>
          <w:szCs w:val="15"/>
          <w:lang w:val="es-PE"/>
        </w:rPr>
        <w:t>)</w:t>
      </w:r>
    </w:p>
    <w:p w14:paraId="2355951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upasaṭṭhatā</w:t>
      </w:r>
      <w:proofErr w:type="spellEnd"/>
      <w:r w:rsidRPr="00DC1A5F">
        <w:rPr>
          <w:i/>
          <w:iCs/>
          <w:sz w:val="15"/>
          <w:szCs w:val="15"/>
          <w:lang w:val="es-PE"/>
        </w:rPr>
        <w:t>*</w:t>
      </w:r>
      <w:r w:rsidRPr="00DC1A5F">
        <w:rPr>
          <w:sz w:val="15"/>
          <w:szCs w:val="15"/>
          <w:lang w:val="es-PE"/>
        </w:rPr>
        <w:t>— amenaza: XX.16</w:t>
      </w:r>
    </w:p>
    <w:p w14:paraId="25464B49"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upatthambhana</w:t>
      </w:r>
      <w:proofErr w:type="spellEnd"/>
      <w:r w:rsidRPr="00DC1A5F">
        <w:rPr>
          <w:sz w:val="15"/>
          <w:szCs w:val="15"/>
          <w:lang w:val="es-PE"/>
        </w:rPr>
        <w:t>— consolidación, endurecimiento, soporte</w:t>
      </w:r>
    </w:p>
    <w:p w14:paraId="14C2E984"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upaṭṭhāna</w:t>
      </w:r>
      <w:proofErr w:type="spellEnd"/>
      <w:r w:rsidRPr="00DC1A5F">
        <w:rPr>
          <w:sz w:val="15"/>
          <w:szCs w:val="15"/>
          <w:lang w:val="es-PE"/>
        </w:rPr>
        <w:t>*— también (1) establecimiento VIII.168: (2) apariencia: XXI.29</w:t>
      </w:r>
    </w:p>
    <w:p w14:paraId="1485370F"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upāya</w:t>
      </w:r>
      <w:proofErr w:type="spellEnd"/>
      <w:r w:rsidRPr="00DC1A5F">
        <w:rPr>
          <w:sz w:val="15"/>
          <w:szCs w:val="15"/>
          <w:lang w:val="es-PE"/>
        </w:rPr>
        <w:t xml:space="preserve">— significa </w:t>
      </w:r>
    </w:p>
    <w:p w14:paraId="559E069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upāyāsa</w:t>
      </w:r>
      <w:proofErr w:type="spellEnd"/>
      <w:r w:rsidRPr="00DC1A5F">
        <w:rPr>
          <w:sz w:val="15"/>
          <w:szCs w:val="15"/>
          <w:lang w:val="es-PE"/>
        </w:rPr>
        <w:t>— desesperación</w:t>
      </w:r>
    </w:p>
    <w:p w14:paraId="2A6F2439" w14:textId="77777777" w:rsidR="00597DE2" w:rsidRPr="00DC1A5F" w:rsidRDefault="00597DE2" w:rsidP="00597DE2">
      <w:pPr>
        <w:pStyle w:val="ParrafoGlosario"/>
        <w:rPr>
          <w:sz w:val="15"/>
          <w:szCs w:val="15"/>
          <w:lang w:val="es-PE"/>
        </w:rPr>
      </w:pPr>
      <w:r w:rsidRPr="00DC1A5F">
        <w:rPr>
          <w:i/>
          <w:iCs/>
          <w:sz w:val="15"/>
          <w:szCs w:val="15"/>
          <w:lang w:val="es-PE"/>
        </w:rPr>
        <w:t>upekkhā</w:t>
      </w:r>
      <w:r w:rsidRPr="00DC1A5F">
        <w:rPr>
          <w:sz w:val="15"/>
          <w:szCs w:val="15"/>
          <w:lang w:val="es-PE"/>
        </w:rPr>
        <w:t>— ecuanimidad, contemplación</w:t>
      </w:r>
    </w:p>
    <w:p w14:paraId="04CD6AFD"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uppada</w:t>
      </w:r>
      <w:proofErr w:type="spellEnd"/>
      <w:r w:rsidRPr="00DC1A5F">
        <w:rPr>
          <w:sz w:val="15"/>
          <w:szCs w:val="15"/>
          <w:lang w:val="es-PE"/>
        </w:rPr>
        <w:t>— surgir, surgimiento</w:t>
      </w:r>
    </w:p>
    <w:p w14:paraId="578E1BF0"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uppanna</w:t>
      </w:r>
      <w:proofErr w:type="spellEnd"/>
      <w:r w:rsidRPr="00DC1A5F">
        <w:rPr>
          <w:sz w:val="15"/>
          <w:szCs w:val="15"/>
          <w:lang w:val="es-PE"/>
        </w:rPr>
        <w:t>— surgido/a</w:t>
      </w:r>
    </w:p>
    <w:p w14:paraId="01D2B097"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uppatti</w:t>
      </w:r>
      <w:proofErr w:type="spellEnd"/>
      <w:r w:rsidRPr="00DC1A5F">
        <w:rPr>
          <w:sz w:val="15"/>
          <w:szCs w:val="15"/>
          <w:lang w:val="es-PE"/>
        </w:rPr>
        <w:t>— surgimiento, renacimiento</w:t>
      </w:r>
    </w:p>
    <w:p w14:paraId="0ACD41A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uppatti</w:t>
      </w:r>
      <w:proofErr w:type="spellEnd"/>
      <w:r w:rsidRPr="00DC1A5F">
        <w:rPr>
          <w:i/>
          <w:iCs/>
          <w:sz w:val="15"/>
          <w:szCs w:val="15"/>
          <w:lang w:val="es-PE"/>
        </w:rPr>
        <w:t>*</w:t>
      </w:r>
      <w:r w:rsidRPr="00DC1A5F">
        <w:rPr>
          <w:sz w:val="15"/>
          <w:szCs w:val="15"/>
          <w:lang w:val="es-PE"/>
        </w:rPr>
        <w:t xml:space="preserve">— </w:t>
      </w:r>
      <w:r w:rsidRPr="00DC1A5F">
        <w:rPr>
          <w:i/>
          <w:iCs/>
          <w:sz w:val="15"/>
          <w:szCs w:val="15"/>
          <w:lang w:val="es-PE"/>
        </w:rPr>
        <w:t>también</w:t>
      </w:r>
      <w:r w:rsidRPr="00DC1A5F">
        <w:rPr>
          <w:sz w:val="15"/>
          <w:szCs w:val="15"/>
          <w:lang w:val="es-PE"/>
        </w:rPr>
        <w:t xml:space="preserve"> origen de un </w:t>
      </w:r>
      <w:proofErr w:type="spellStart"/>
      <w:r w:rsidRPr="00DC1A5F">
        <w:rPr>
          <w:i/>
          <w:iCs/>
          <w:sz w:val="15"/>
          <w:szCs w:val="15"/>
          <w:lang w:val="es-PE"/>
        </w:rPr>
        <w:t>sutta</w:t>
      </w:r>
      <w:proofErr w:type="spellEnd"/>
      <w:r w:rsidRPr="00DC1A5F">
        <w:rPr>
          <w:sz w:val="15"/>
          <w:szCs w:val="15"/>
          <w:lang w:val="es-PE"/>
        </w:rPr>
        <w:t xml:space="preserve"> (término técnico): III.88; VII.69</w:t>
      </w:r>
    </w:p>
    <w:p w14:paraId="7F5BC73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uppatti</w:t>
      </w:r>
      <w:proofErr w:type="spellEnd"/>
      <w:r w:rsidRPr="00DC1A5F">
        <w:rPr>
          <w:i/>
          <w:iCs/>
          <w:sz w:val="15"/>
          <w:szCs w:val="15"/>
          <w:lang w:val="es-PE"/>
        </w:rPr>
        <w:t>–</w:t>
      </w:r>
      <w:proofErr w:type="spellStart"/>
      <w:r w:rsidRPr="00DC1A5F">
        <w:rPr>
          <w:i/>
          <w:iCs/>
          <w:sz w:val="15"/>
          <w:szCs w:val="15"/>
          <w:lang w:val="es-PE"/>
        </w:rPr>
        <w:t>bhava</w:t>
      </w:r>
      <w:proofErr w:type="spellEnd"/>
      <w:r w:rsidRPr="00DC1A5F">
        <w:rPr>
          <w:sz w:val="15"/>
          <w:szCs w:val="15"/>
          <w:lang w:val="es-PE"/>
        </w:rPr>
        <w:t>— el devenir del proceso de renacimiento, algún ser como resultado de una acción</w:t>
      </w:r>
    </w:p>
    <w:p w14:paraId="7EF6278A"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ussada</w:t>
      </w:r>
      <w:proofErr w:type="spellEnd"/>
      <w:r w:rsidRPr="00DC1A5F">
        <w:rPr>
          <w:sz w:val="15"/>
          <w:szCs w:val="15"/>
          <w:lang w:val="es-PE"/>
        </w:rPr>
        <w:t>— prominencia</w:t>
      </w:r>
    </w:p>
    <w:p w14:paraId="4457CE6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ussāha</w:t>
      </w:r>
      <w:proofErr w:type="spellEnd"/>
      <w:r w:rsidRPr="00DC1A5F">
        <w:rPr>
          <w:sz w:val="15"/>
          <w:szCs w:val="15"/>
          <w:lang w:val="es-PE"/>
        </w:rPr>
        <w:t>— actividad</w:t>
      </w:r>
    </w:p>
    <w:p w14:paraId="7795DCDE" w14:textId="77777777" w:rsidR="00597DE2" w:rsidRPr="00DC1A5F" w:rsidRDefault="00597DE2" w:rsidP="00597DE2">
      <w:pPr>
        <w:pStyle w:val="ParrafoGlosario"/>
        <w:rPr>
          <w:lang w:val="es-PE"/>
        </w:rPr>
      </w:pPr>
      <w:proofErr w:type="spellStart"/>
      <w:r w:rsidRPr="00DC1A5F">
        <w:rPr>
          <w:i/>
          <w:iCs/>
          <w:lang w:val="es-PE"/>
        </w:rPr>
        <w:t>utu</w:t>
      </w:r>
      <w:proofErr w:type="spellEnd"/>
      <w:r w:rsidRPr="00DC1A5F">
        <w:rPr>
          <w:lang w:val="es-PE"/>
        </w:rPr>
        <w:t>— 1) clima, (2) estación, (3) temperatura</w:t>
      </w:r>
    </w:p>
    <w:p w14:paraId="4B472B3B" w14:textId="77777777" w:rsidR="00597DE2" w:rsidRPr="00DC1A5F" w:rsidRDefault="00597DE2" w:rsidP="00597DE2">
      <w:pPr>
        <w:pStyle w:val="ParrafoGlosario"/>
        <w:rPr>
          <w:lang w:val="es-PE"/>
        </w:rPr>
      </w:pPr>
      <w:proofErr w:type="spellStart"/>
      <w:r w:rsidRPr="00DC1A5F">
        <w:rPr>
          <w:i/>
          <w:iCs/>
          <w:lang w:val="es-PE"/>
        </w:rPr>
        <w:t>utu</w:t>
      </w:r>
      <w:proofErr w:type="spellEnd"/>
      <w:r w:rsidRPr="00DC1A5F">
        <w:rPr>
          <w:i/>
          <w:iCs/>
          <w:lang w:val="es-PE"/>
        </w:rPr>
        <w:t>–</w:t>
      </w:r>
      <w:proofErr w:type="spellStart"/>
      <w:r w:rsidRPr="00DC1A5F">
        <w:rPr>
          <w:i/>
          <w:iCs/>
          <w:lang w:val="es-PE"/>
        </w:rPr>
        <w:t>samuṭṭhāna</w:t>
      </w:r>
      <w:proofErr w:type="spellEnd"/>
      <w:r w:rsidRPr="00DC1A5F">
        <w:rPr>
          <w:lang w:val="es-PE"/>
        </w:rPr>
        <w:t>— (materia) originada por la temperatura</w:t>
      </w:r>
    </w:p>
    <w:p w14:paraId="04525692" w14:textId="77777777" w:rsidR="00597DE2" w:rsidRPr="00DC1A5F" w:rsidRDefault="00597DE2" w:rsidP="00597DE2">
      <w:pPr>
        <w:pStyle w:val="ParrafoGlosario"/>
        <w:rPr>
          <w:lang w:val="es-PE"/>
        </w:rPr>
      </w:pPr>
      <w:r w:rsidRPr="00DC1A5F">
        <w:rPr>
          <w:i/>
          <w:iCs/>
          <w:lang w:val="es-PE"/>
        </w:rPr>
        <w:t>vācā</w:t>
      </w:r>
      <w:r w:rsidRPr="00DC1A5F">
        <w:rPr>
          <w:lang w:val="es-PE"/>
        </w:rPr>
        <w:t>— lenguaje, charla</w:t>
      </w:r>
    </w:p>
    <w:p w14:paraId="65CFD43C"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vacanāvayava</w:t>
      </w:r>
      <w:proofErr w:type="spellEnd"/>
      <w:r w:rsidRPr="00DC1A5F">
        <w:rPr>
          <w:sz w:val="15"/>
          <w:szCs w:val="15"/>
          <w:lang w:val="es-PE"/>
        </w:rPr>
        <w:t>*— parte de un silogismo: XVII.67</w:t>
      </w:r>
    </w:p>
    <w:p w14:paraId="710E00A6"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vacī</w:t>
      </w:r>
      <w:proofErr w:type="spellEnd"/>
      <w:r w:rsidRPr="00DC1A5F">
        <w:rPr>
          <w:i/>
          <w:iCs/>
          <w:sz w:val="15"/>
          <w:szCs w:val="15"/>
          <w:lang w:val="es-PE"/>
        </w:rPr>
        <w:t>–</w:t>
      </w:r>
      <w:proofErr w:type="spellStart"/>
      <w:r w:rsidRPr="00DC1A5F">
        <w:rPr>
          <w:i/>
          <w:iCs/>
          <w:sz w:val="15"/>
          <w:szCs w:val="15"/>
          <w:lang w:val="es-PE"/>
        </w:rPr>
        <w:t>bheda</w:t>
      </w:r>
      <w:proofErr w:type="spellEnd"/>
      <w:r w:rsidRPr="00DC1A5F">
        <w:rPr>
          <w:sz w:val="15"/>
          <w:szCs w:val="15"/>
          <w:lang w:val="es-PE"/>
        </w:rPr>
        <w:t>*— expresión verbal: XIV.62</w:t>
      </w:r>
    </w:p>
    <w:p w14:paraId="413BCE00"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vacī</w:t>
      </w:r>
      <w:proofErr w:type="spellEnd"/>
      <w:r w:rsidRPr="00DC1A5F">
        <w:rPr>
          <w:i/>
          <w:iCs/>
          <w:sz w:val="15"/>
          <w:szCs w:val="15"/>
          <w:lang w:val="es-PE"/>
        </w:rPr>
        <w:t>–</w:t>
      </w:r>
      <w:proofErr w:type="spellStart"/>
      <w:r w:rsidRPr="00DC1A5F">
        <w:rPr>
          <w:i/>
          <w:iCs/>
          <w:sz w:val="15"/>
          <w:szCs w:val="15"/>
          <w:lang w:val="es-PE"/>
        </w:rPr>
        <w:t>saṅkhāra</w:t>
      </w:r>
      <w:proofErr w:type="spellEnd"/>
      <w:r w:rsidRPr="00DC1A5F">
        <w:rPr>
          <w:sz w:val="15"/>
          <w:szCs w:val="15"/>
          <w:lang w:val="es-PE"/>
        </w:rPr>
        <w:t xml:space="preserve">— formación verbal (es decir, </w:t>
      </w:r>
      <w:proofErr w:type="spellStart"/>
      <w:r w:rsidRPr="00DC1A5F">
        <w:rPr>
          <w:i/>
          <w:iCs/>
          <w:sz w:val="15"/>
          <w:szCs w:val="15"/>
          <w:lang w:val="es-PE"/>
        </w:rPr>
        <w:t>vitakka</w:t>
      </w:r>
      <w:proofErr w:type="spellEnd"/>
      <w:r w:rsidRPr="00DC1A5F">
        <w:rPr>
          <w:sz w:val="15"/>
          <w:szCs w:val="15"/>
          <w:lang w:val="es-PE"/>
        </w:rPr>
        <w:t xml:space="preserve"> y </w:t>
      </w:r>
      <w:proofErr w:type="spellStart"/>
      <w:r w:rsidRPr="00DC1A5F">
        <w:rPr>
          <w:i/>
          <w:iCs/>
          <w:sz w:val="15"/>
          <w:szCs w:val="15"/>
          <w:lang w:val="es-PE"/>
        </w:rPr>
        <w:t>vicāra</w:t>
      </w:r>
      <w:proofErr w:type="spellEnd"/>
      <w:r w:rsidRPr="00DC1A5F">
        <w:rPr>
          <w:sz w:val="15"/>
          <w:szCs w:val="15"/>
          <w:lang w:val="es-PE"/>
        </w:rPr>
        <w:t>)</w:t>
      </w:r>
    </w:p>
    <w:p w14:paraId="2E5AACD8"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vaḍḍhana</w:t>
      </w:r>
      <w:proofErr w:type="spellEnd"/>
      <w:r w:rsidRPr="00DC1A5F">
        <w:rPr>
          <w:sz w:val="15"/>
          <w:szCs w:val="15"/>
          <w:lang w:val="es-PE"/>
        </w:rPr>
        <w:t>— extensión, incremento</w:t>
      </w:r>
    </w:p>
    <w:p w14:paraId="67A5A1F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vaggulī</w:t>
      </w:r>
      <w:proofErr w:type="spellEnd"/>
      <w:r w:rsidRPr="00DC1A5F">
        <w:rPr>
          <w:sz w:val="15"/>
          <w:szCs w:val="15"/>
          <w:lang w:val="es-PE"/>
        </w:rPr>
        <w:t>— murciélago de frutos, zorro volador; XXI.91</w:t>
      </w:r>
    </w:p>
    <w:p w14:paraId="5842CC0E" w14:textId="77777777" w:rsidR="00597DE2" w:rsidRPr="00DC1A5F" w:rsidRDefault="00597DE2" w:rsidP="00597DE2">
      <w:pPr>
        <w:pStyle w:val="ParrafoGlosario"/>
        <w:rPr>
          <w:lang w:val="es-PE"/>
        </w:rPr>
      </w:pPr>
      <w:proofErr w:type="spellStart"/>
      <w:r w:rsidRPr="00DC1A5F">
        <w:rPr>
          <w:i/>
          <w:iCs/>
          <w:lang w:val="es-PE"/>
        </w:rPr>
        <w:t>vahanika</w:t>
      </w:r>
      <w:proofErr w:type="spellEnd"/>
      <w:r w:rsidRPr="00DC1A5F">
        <w:rPr>
          <w:sz w:val="15"/>
          <w:szCs w:val="15"/>
          <w:lang w:val="es-PE"/>
        </w:rPr>
        <w:t>*</w:t>
      </w:r>
      <w:r w:rsidRPr="00DC1A5F">
        <w:rPr>
          <w:lang w:val="es-PE"/>
        </w:rPr>
        <w:t>— catamarán flotante (?): XVII.196</w:t>
      </w:r>
    </w:p>
    <w:p w14:paraId="159B1AB1" w14:textId="77777777" w:rsidR="00597DE2" w:rsidRPr="00DC1A5F" w:rsidRDefault="00597DE2" w:rsidP="00597DE2">
      <w:pPr>
        <w:pStyle w:val="ParrafoGlosario"/>
        <w:rPr>
          <w:lang w:val="es-PE"/>
        </w:rPr>
      </w:pPr>
      <w:proofErr w:type="spellStart"/>
      <w:r w:rsidRPr="00DC1A5F">
        <w:rPr>
          <w:i/>
          <w:iCs/>
          <w:lang w:val="es-PE"/>
        </w:rPr>
        <w:t>vāna</w:t>
      </w:r>
      <w:proofErr w:type="spellEnd"/>
      <w:r w:rsidRPr="00DC1A5F">
        <w:rPr>
          <w:lang w:val="es-PE"/>
        </w:rPr>
        <w:t xml:space="preserve">*— atadura: VIII.247 </w:t>
      </w:r>
    </w:p>
    <w:p w14:paraId="7A5BB776" w14:textId="77777777" w:rsidR="00597DE2" w:rsidRPr="00DC1A5F" w:rsidRDefault="00597DE2" w:rsidP="00597DE2">
      <w:pPr>
        <w:pStyle w:val="ParrafoGlosario"/>
        <w:rPr>
          <w:lang w:val="es-PE"/>
        </w:rPr>
      </w:pPr>
      <w:proofErr w:type="spellStart"/>
      <w:r w:rsidRPr="00DC1A5F">
        <w:rPr>
          <w:i/>
          <w:iCs/>
          <w:lang w:val="es-PE"/>
        </w:rPr>
        <w:t>vāsaṭṭhāna</w:t>
      </w:r>
      <w:proofErr w:type="spellEnd"/>
      <w:r w:rsidRPr="00DC1A5F">
        <w:rPr>
          <w:lang w:val="es-PE"/>
        </w:rPr>
        <w:t>— definición</w:t>
      </w:r>
    </w:p>
    <w:p w14:paraId="2B9A2ECB" w14:textId="77777777" w:rsidR="00597DE2" w:rsidRDefault="00597DE2" w:rsidP="00597DE2">
      <w:pPr>
        <w:pStyle w:val="ParrafoGlosario"/>
        <w:rPr>
          <w:lang w:val="es-PE"/>
        </w:rPr>
      </w:pPr>
      <w:r w:rsidRPr="00DC1A5F">
        <w:rPr>
          <w:i/>
          <w:iCs/>
          <w:lang w:val="es-PE"/>
        </w:rPr>
        <w:t>vasa–</w:t>
      </w:r>
      <w:proofErr w:type="spellStart"/>
      <w:r w:rsidRPr="00DC1A5F">
        <w:rPr>
          <w:i/>
          <w:iCs/>
          <w:lang w:val="es-PE"/>
        </w:rPr>
        <w:t>vattana</w:t>
      </w:r>
      <w:proofErr w:type="spellEnd"/>
      <w:r w:rsidRPr="00DC1A5F">
        <w:rPr>
          <w:lang w:val="es-PE"/>
        </w:rPr>
        <w:t>— ejercicio del dominio</w:t>
      </w:r>
      <w:r>
        <w:rPr>
          <w:lang w:val="es-PE"/>
        </w:rPr>
        <w:br w:type="page"/>
      </w:r>
    </w:p>
    <w:p w14:paraId="5501DE36" w14:textId="77777777" w:rsidR="00597DE2" w:rsidRPr="00DC1A5F" w:rsidRDefault="00597DE2" w:rsidP="00597DE2">
      <w:pPr>
        <w:pStyle w:val="ParrafoGlosario"/>
        <w:rPr>
          <w:lang w:val="es-PE"/>
        </w:rPr>
      </w:pPr>
    </w:p>
    <w:p w14:paraId="43B6ADDC" w14:textId="77777777" w:rsidR="00597DE2" w:rsidRPr="00DC1A5F" w:rsidRDefault="00597DE2" w:rsidP="00597DE2">
      <w:pPr>
        <w:pStyle w:val="ParrafoGlosario"/>
        <w:rPr>
          <w:lang w:val="es-PE"/>
        </w:rPr>
      </w:pPr>
      <w:proofErr w:type="spellStart"/>
      <w:r w:rsidRPr="00DC1A5F">
        <w:rPr>
          <w:i/>
          <w:iCs/>
          <w:lang w:val="es-PE"/>
        </w:rPr>
        <w:t>vāta</w:t>
      </w:r>
      <w:proofErr w:type="spellEnd"/>
      <w:r w:rsidRPr="00DC1A5F">
        <w:rPr>
          <w:lang w:val="es-PE"/>
        </w:rPr>
        <w:t>— aire, viento</w:t>
      </w:r>
    </w:p>
    <w:p w14:paraId="5238AE82"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vata</w:t>
      </w:r>
      <w:proofErr w:type="spellEnd"/>
      <w:r w:rsidRPr="00DC1A5F">
        <w:rPr>
          <w:sz w:val="15"/>
          <w:szCs w:val="15"/>
          <w:lang w:val="es-PE"/>
        </w:rPr>
        <w:t xml:space="preserve">— voto, tarea, ritual </w:t>
      </w:r>
    </w:p>
    <w:p w14:paraId="638B860B"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vaṭṭa</w:t>
      </w:r>
      <w:proofErr w:type="spellEnd"/>
      <w:r w:rsidRPr="00DC1A5F">
        <w:rPr>
          <w:sz w:val="15"/>
          <w:szCs w:val="15"/>
          <w:lang w:val="es-PE"/>
        </w:rPr>
        <w:t xml:space="preserve">— ciclo (de </w:t>
      </w:r>
      <w:proofErr w:type="spellStart"/>
      <w:r w:rsidRPr="00DC1A5F">
        <w:rPr>
          <w:i/>
          <w:iCs/>
          <w:sz w:val="15"/>
          <w:szCs w:val="15"/>
          <w:lang w:val="es-PE"/>
        </w:rPr>
        <w:t>kamma</w:t>
      </w:r>
      <w:proofErr w:type="spellEnd"/>
      <w:r w:rsidRPr="00DC1A5F">
        <w:rPr>
          <w:sz w:val="15"/>
          <w:szCs w:val="15"/>
          <w:lang w:val="es-PE"/>
        </w:rPr>
        <w:t>, etc.; término para la originación dependiente como surgimiento)</w:t>
      </w:r>
    </w:p>
    <w:p w14:paraId="7AA24582"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vatta</w:t>
      </w:r>
      <w:proofErr w:type="spellEnd"/>
      <w:r w:rsidRPr="00DC1A5F">
        <w:rPr>
          <w:sz w:val="15"/>
          <w:szCs w:val="15"/>
          <w:lang w:val="es-PE"/>
        </w:rPr>
        <w:t>— tarea</w:t>
      </w:r>
    </w:p>
    <w:p w14:paraId="3E51938C" w14:textId="77777777" w:rsidR="00597DE2" w:rsidRPr="00DC1A5F" w:rsidRDefault="00597DE2" w:rsidP="00597DE2">
      <w:pPr>
        <w:pStyle w:val="ParrafoGlosario"/>
        <w:rPr>
          <w:lang w:val="es-PE"/>
        </w:rPr>
      </w:pPr>
      <w:proofErr w:type="spellStart"/>
      <w:r w:rsidRPr="00DC1A5F">
        <w:rPr>
          <w:i/>
          <w:iCs/>
          <w:sz w:val="15"/>
          <w:szCs w:val="15"/>
          <w:lang w:val="es-PE"/>
        </w:rPr>
        <w:t>vattana</w:t>
      </w:r>
      <w:proofErr w:type="spellEnd"/>
      <w:r w:rsidRPr="00DC1A5F">
        <w:rPr>
          <w:sz w:val="15"/>
          <w:szCs w:val="15"/>
          <w:lang w:val="es-PE"/>
        </w:rPr>
        <w:t>*</w:t>
      </w:r>
      <w:r w:rsidRPr="00DC1A5F">
        <w:rPr>
          <w:lang w:val="es-PE"/>
        </w:rPr>
        <w:t>— realización de tareas: III.71 (</w:t>
      </w:r>
      <w:proofErr w:type="spellStart"/>
      <w:r w:rsidRPr="00DC1A5F">
        <w:rPr>
          <w:lang w:val="es-PE"/>
        </w:rPr>
        <w:t>Vin</w:t>
      </w:r>
      <w:proofErr w:type="spellEnd"/>
      <w:r w:rsidRPr="00DC1A5F">
        <w:rPr>
          <w:lang w:val="es-PE"/>
        </w:rPr>
        <w:t xml:space="preserve"> I 61)</w:t>
      </w:r>
    </w:p>
    <w:p w14:paraId="5A963D7F" w14:textId="77777777" w:rsidR="00597DE2" w:rsidRPr="00DC1A5F" w:rsidRDefault="00597DE2" w:rsidP="00597DE2">
      <w:pPr>
        <w:pStyle w:val="ParrafoGlosario"/>
        <w:rPr>
          <w:lang w:val="es-PE"/>
        </w:rPr>
      </w:pPr>
      <w:proofErr w:type="spellStart"/>
      <w:r w:rsidRPr="00DC1A5F">
        <w:rPr>
          <w:i/>
          <w:iCs/>
          <w:lang w:val="es-PE"/>
        </w:rPr>
        <w:t>vatthika</w:t>
      </w:r>
      <w:proofErr w:type="spellEnd"/>
      <w:r w:rsidRPr="00DC1A5F">
        <w:rPr>
          <w:sz w:val="15"/>
          <w:szCs w:val="15"/>
          <w:lang w:val="es-PE"/>
        </w:rPr>
        <w:t>*</w:t>
      </w:r>
      <w:r w:rsidRPr="00DC1A5F">
        <w:rPr>
          <w:lang w:val="es-PE"/>
        </w:rPr>
        <w:t>— vestible: VII.79</w:t>
      </w:r>
    </w:p>
    <w:p w14:paraId="50C21098" w14:textId="77777777" w:rsidR="00597DE2" w:rsidRPr="00DC1A5F" w:rsidRDefault="00597DE2" w:rsidP="00597DE2">
      <w:pPr>
        <w:pStyle w:val="ParrafoGlosario"/>
        <w:rPr>
          <w:lang w:val="es-PE"/>
        </w:rPr>
      </w:pPr>
      <w:proofErr w:type="spellStart"/>
      <w:r w:rsidRPr="00DC1A5F">
        <w:rPr>
          <w:i/>
          <w:iCs/>
          <w:lang w:val="es-PE"/>
        </w:rPr>
        <w:t>vatthu</w:t>
      </w:r>
      <w:proofErr w:type="spellEnd"/>
      <w:r w:rsidRPr="00DC1A5F">
        <w:rPr>
          <w:lang w:val="es-PE"/>
        </w:rPr>
        <w:t>— (1) base, base física (término para las seis bases internas), (2) objeto, (3) instancia, ejemplo, (4) historia, etc.</w:t>
      </w:r>
    </w:p>
    <w:p w14:paraId="400380CB" w14:textId="77777777" w:rsidR="00597DE2" w:rsidRPr="00DC1A5F" w:rsidRDefault="00597DE2" w:rsidP="00597DE2">
      <w:pPr>
        <w:pStyle w:val="ParrafoGlosario"/>
        <w:rPr>
          <w:lang w:val="es-PE"/>
        </w:rPr>
      </w:pPr>
      <w:r w:rsidRPr="00DC1A5F">
        <w:rPr>
          <w:i/>
          <w:iCs/>
          <w:lang w:val="es-PE"/>
        </w:rPr>
        <w:t>vaya</w:t>
      </w:r>
      <w:r w:rsidRPr="00DC1A5F">
        <w:rPr>
          <w:lang w:val="es-PE"/>
        </w:rPr>
        <w:t>— (1) desaparición, (2) etapa de la vida</w:t>
      </w:r>
    </w:p>
    <w:p w14:paraId="6170C2F6" w14:textId="77777777" w:rsidR="00597DE2" w:rsidRPr="00DC1A5F" w:rsidRDefault="00597DE2" w:rsidP="00597DE2">
      <w:pPr>
        <w:pStyle w:val="ParrafoGlosario"/>
        <w:rPr>
          <w:lang w:val="es-PE"/>
        </w:rPr>
      </w:pPr>
      <w:r w:rsidRPr="00DC1A5F">
        <w:rPr>
          <w:i/>
          <w:iCs/>
          <w:lang w:val="es-PE"/>
        </w:rPr>
        <w:t>vāyāma</w:t>
      </w:r>
      <w:r w:rsidRPr="00DC1A5F">
        <w:rPr>
          <w:lang w:val="es-PE"/>
        </w:rPr>
        <w:t>— esfuerzo</w:t>
      </w:r>
    </w:p>
    <w:p w14:paraId="3DF441B1" w14:textId="77777777" w:rsidR="00597DE2" w:rsidRPr="00DC1A5F" w:rsidRDefault="00597DE2" w:rsidP="00597DE2">
      <w:pPr>
        <w:pStyle w:val="ParrafoGlosario"/>
        <w:rPr>
          <w:lang w:val="es-PE"/>
        </w:rPr>
      </w:pPr>
      <w:proofErr w:type="spellStart"/>
      <w:r w:rsidRPr="00DC1A5F">
        <w:rPr>
          <w:i/>
          <w:iCs/>
          <w:lang w:val="es-PE"/>
        </w:rPr>
        <w:t>vāyo</w:t>
      </w:r>
      <w:proofErr w:type="spellEnd"/>
      <w:r w:rsidRPr="00DC1A5F">
        <w:rPr>
          <w:lang w:val="es-PE"/>
        </w:rPr>
        <w:t>— aire</w:t>
      </w:r>
    </w:p>
    <w:p w14:paraId="5E88F379" w14:textId="77777777" w:rsidR="00597DE2" w:rsidRPr="00DC1A5F" w:rsidRDefault="00597DE2" w:rsidP="00597DE2">
      <w:pPr>
        <w:pStyle w:val="ParrafoGlosario"/>
        <w:rPr>
          <w:lang w:val="es-PE"/>
        </w:rPr>
      </w:pPr>
      <w:r w:rsidRPr="00DC1A5F">
        <w:rPr>
          <w:i/>
          <w:iCs/>
          <w:lang w:val="es-PE"/>
        </w:rPr>
        <w:t>veda</w:t>
      </w:r>
      <w:r w:rsidRPr="00DC1A5F">
        <w:rPr>
          <w:lang w:val="es-PE"/>
        </w:rPr>
        <w:t xml:space="preserve">— (1) sabiduría, (2) dicha, arrobamiento, inspiración, (3) los </w:t>
      </w:r>
      <w:r w:rsidRPr="00DC1A5F">
        <w:rPr>
          <w:i/>
          <w:iCs/>
          <w:lang w:val="es-PE"/>
        </w:rPr>
        <w:t>Vedas</w:t>
      </w:r>
    </w:p>
    <w:p w14:paraId="46F1506F" w14:textId="77777777" w:rsidR="00597DE2" w:rsidRPr="00DC1A5F" w:rsidRDefault="00597DE2" w:rsidP="00597DE2">
      <w:pPr>
        <w:pStyle w:val="ParrafoGlosario"/>
        <w:rPr>
          <w:lang w:val="es-PE"/>
        </w:rPr>
      </w:pPr>
      <w:proofErr w:type="spellStart"/>
      <w:r w:rsidRPr="00DC1A5F">
        <w:rPr>
          <w:i/>
          <w:iCs/>
          <w:lang w:val="es-PE"/>
        </w:rPr>
        <w:t>vedaka</w:t>
      </w:r>
      <w:proofErr w:type="spellEnd"/>
      <w:r w:rsidRPr="00DC1A5F">
        <w:rPr>
          <w:lang w:val="es-PE"/>
        </w:rPr>
        <w:t>— experimentador, aquel que siente</w:t>
      </w:r>
    </w:p>
    <w:p w14:paraId="32A7863F" w14:textId="77777777" w:rsidR="00597DE2" w:rsidRPr="00DC1A5F" w:rsidRDefault="00597DE2" w:rsidP="00597DE2">
      <w:pPr>
        <w:pStyle w:val="ParrafoGlosario"/>
        <w:rPr>
          <w:lang w:val="es-PE"/>
        </w:rPr>
      </w:pPr>
      <w:proofErr w:type="spellStart"/>
      <w:r w:rsidRPr="00DC1A5F">
        <w:rPr>
          <w:i/>
          <w:iCs/>
          <w:lang w:val="es-PE"/>
        </w:rPr>
        <w:t>vedanā</w:t>
      </w:r>
      <w:proofErr w:type="spellEnd"/>
      <w:r w:rsidRPr="00DC1A5F">
        <w:rPr>
          <w:lang w:val="es-PE"/>
        </w:rPr>
        <w:t>— sensación (es decir, de placer, dolor o ni place ni dolor)</w:t>
      </w:r>
    </w:p>
    <w:p w14:paraId="5FD5E325" w14:textId="77777777" w:rsidR="00597DE2" w:rsidRPr="00DC1A5F" w:rsidRDefault="00597DE2" w:rsidP="00597DE2">
      <w:pPr>
        <w:pStyle w:val="ParrafoGlosario"/>
        <w:rPr>
          <w:lang w:val="es-PE"/>
        </w:rPr>
      </w:pPr>
      <w:proofErr w:type="spellStart"/>
      <w:r w:rsidRPr="00DC1A5F">
        <w:rPr>
          <w:i/>
          <w:iCs/>
          <w:lang w:val="es-PE"/>
        </w:rPr>
        <w:t>vedayita</w:t>
      </w:r>
      <w:proofErr w:type="spellEnd"/>
      <w:r w:rsidRPr="00DC1A5F">
        <w:rPr>
          <w:lang w:val="es-PE"/>
        </w:rPr>
        <w:t>— sensación que es sentida</w:t>
      </w:r>
    </w:p>
    <w:p w14:paraId="2B77EE7D" w14:textId="77777777" w:rsidR="00597DE2" w:rsidRPr="00DC1A5F" w:rsidRDefault="00597DE2" w:rsidP="00597DE2">
      <w:pPr>
        <w:pStyle w:val="ParrafoGlosario"/>
        <w:rPr>
          <w:lang w:val="es-PE"/>
        </w:rPr>
      </w:pPr>
      <w:proofErr w:type="spellStart"/>
      <w:r w:rsidRPr="00DC1A5F">
        <w:rPr>
          <w:i/>
          <w:iCs/>
          <w:lang w:val="es-PE"/>
        </w:rPr>
        <w:t>veramaṇi</w:t>
      </w:r>
      <w:proofErr w:type="spellEnd"/>
      <w:r w:rsidRPr="00DC1A5F">
        <w:rPr>
          <w:lang w:val="es-PE"/>
        </w:rPr>
        <w:t>— abstención</w:t>
      </w:r>
    </w:p>
    <w:p w14:paraId="33050867" w14:textId="77777777" w:rsidR="00597DE2" w:rsidRPr="00DC1A5F" w:rsidRDefault="00597DE2" w:rsidP="00597DE2">
      <w:pPr>
        <w:pStyle w:val="ParrafoGlosario"/>
        <w:rPr>
          <w:lang w:val="es-PE"/>
        </w:rPr>
      </w:pPr>
      <w:proofErr w:type="spellStart"/>
      <w:r w:rsidRPr="00DC1A5F">
        <w:rPr>
          <w:i/>
          <w:iCs/>
          <w:lang w:val="es-PE"/>
        </w:rPr>
        <w:t>vibhava</w:t>
      </w:r>
      <w:proofErr w:type="spellEnd"/>
      <w:r w:rsidRPr="00DC1A5F">
        <w:rPr>
          <w:lang w:val="es-PE"/>
        </w:rPr>
        <w:t>— (1) no</w:t>
      </w:r>
      <w:r w:rsidRPr="00DC1A5F">
        <w:rPr>
          <w:rFonts w:cs="Cormorant"/>
          <w:lang w:val="es-PE"/>
        </w:rPr>
        <w:t>–</w:t>
      </w:r>
      <w:r w:rsidRPr="00DC1A5F">
        <w:rPr>
          <w:lang w:val="es-PE"/>
        </w:rPr>
        <w:t>ser, no</w:t>
      </w:r>
      <w:r w:rsidRPr="00DC1A5F">
        <w:rPr>
          <w:rFonts w:cs="Cormorant"/>
          <w:lang w:val="es-PE"/>
        </w:rPr>
        <w:t>–</w:t>
      </w:r>
      <w:r w:rsidRPr="00DC1A5F">
        <w:rPr>
          <w:lang w:val="es-PE"/>
        </w:rPr>
        <w:t>devenir, (2) éxito</w:t>
      </w:r>
    </w:p>
    <w:p w14:paraId="63202CD6" w14:textId="77777777" w:rsidR="00597DE2" w:rsidRPr="00DC1A5F" w:rsidRDefault="00597DE2" w:rsidP="00597DE2">
      <w:pPr>
        <w:pStyle w:val="ParrafoGlosario"/>
        <w:rPr>
          <w:lang w:val="es-PE"/>
        </w:rPr>
      </w:pPr>
      <w:proofErr w:type="spellStart"/>
      <w:r w:rsidRPr="00DC1A5F">
        <w:rPr>
          <w:i/>
          <w:iCs/>
          <w:lang w:val="es-PE"/>
        </w:rPr>
        <w:t>vicāra</w:t>
      </w:r>
      <w:proofErr w:type="spellEnd"/>
      <w:r w:rsidRPr="00DC1A5F">
        <w:rPr>
          <w:lang w:val="es-PE"/>
        </w:rPr>
        <w:t xml:space="preserve">— sustentación mental </w:t>
      </w:r>
    </w:p>
    <w:p w14:paraId="6464EA47" w14:textId="77777777" w:rsidR="00597DE2" w:rsidRPr="00DC1A5F" w:rsidRDefault="00597DE2" w:rsidP="00597DE2">
      <w:pPr>
        <w:pStyle w:val="ParrafoGlosario"/>
        <w:rPr>
          <w:lang w:val="es-PE"/>
        </w:rPr>
      </w:pPr>
      <w:r w:rsidRPr="00DC1A5F">
        <w:rPr>
          <w:i/>
          <w:iCs/>
          <w:lang w:val="es-PE"/>
        </w:rPr>
        <w:t>vicikicchā</w:t>
      </w:r>
      <w:r w:rsidRPr="00DC1A5F">
        <w:rPr>
          <w:lang w:val="es-PE"/>
        </w:rPr>
        <w:t>— incertidumbre, duda</w:t>
      </w:r>
    </w:p>
    <w:p w14:paraId="0E7C8C26" w14:textId="77777777" w:rsidR="00597DE2" w:rsidRPr="00DC1A5F" w:rsidRDefault="00597DE2" w:rsidP="00597DE2">
      <w:pPr>
        <w:pStyle w:val="ParrafoGlosario"/>
        <w:rPr>
          <w:lang w:val="es-PE"/>
        </w:rPr>
      </w:pPr>
      <w:proofErr w:type="spellStart"/>
      <w:r w:rsidRPr="00DC1A5F">
        <w:rPr>
          <w:i/>
          <w:iCs/>
          <w:lang w:val="es-PE"/>
        </w:rPr>
        <w:t>vihāra</w:t>
      </w:r>
      <w:proofErr w:type="spellEnd"/>
      <w:r w:rsidRPr="00DC1A5F">
        <w:rPr>
          <w:lang w:val="es-PE"/>
        </w:rPr>
        <w:t>— (1) morada, hogar, (2) monasterio, (3) modo de morar</w:t>
      </w:r>
    </w:p>
    <w:p w14:paraId="5B1945ED" w14:textId="77777777" w:rsidR="00597DE2" w:rsidRPr="00DC1A5F" w:rsidRDefault="00597DE2" w:rsidP="00597DE2">
      <w:pPr>
        <w:pStyle w:val="ParrafoGlosario"/>
        <w:rPr>
          <w:lang w:val="es-PE"/>
        </w:rPr>
      </w:pPr>
      <w:proofErr w:type="spellStart"/>
      <w:r w:rsidRPr="00DC1A5F">
        <w:rPr>
          <w:i/>
          <w:iCs/>
          <w:lang w:val="es-PE"/>
        </w:rPr>
        <w:t>vihaṭamāna</w:t>
      </w:r>
      <w:proofErr w:type="spellEnd"/>
      <w:r w:rsidRPr="00DC1A5F">
        <w:rPr>
          <w:lang w:val="es-PE"/>
        </w:rPr>
        <w:t>*— estar cardado: XXI.66</w:t>
      </w:r>
    </w:p>
    <w:p w14:paraId="739C70CF" w14:textId="77777777" w:rsidR="00597DE2" w:rsidRPr="00DC1A5F" w:rsidRDefault="00597DE2" w:rsidP="00597DE2">
      <w:pPr>
        <w:pStyle w:val="ParrafoGlosario"/>
        <w:rPr>
          <w:lang w:val="es-PE"/>
        </w:rPr>
      </w:pPr>
      <w:proofErr w:type="spellStart"/>
      <w:r w:rsidRPr="00DC1A5F">
        <w:rPr>
          <w:i/>
          <w:iCs/>
          <w:lang w:val="es-PE"/>
        </w:rPr>
        <w:t>vihiísā</w:t>
      </w:r>
      <w:proofErr w:type="spellEnd"/>
      <w:r w:rsidRPr="00DC1A5F">
        <w:rPr>
          <w:lang w:val="es-PE"/>
        </w:rPr>
        <w:t>— crueldad</w:t>
      </w:r>
    </w:p>
    <w:p w14:paraId="53A09BA0" w14:textId="77777777" w:rsidR="00597DE2" w:rsidRPr="00DC1A5F" w:rsidRDefault="00597DE2" w:rsidP="00597DE2">
      <w:pPr>
        <w:pStyle w:val="ParrafoGlosario"/>
        <w:rPr>
          <w:lang w:val="es-PE"/>
        </w:rPr>
      </w:pPr>
      <w:proofErr w:type="spellStart"/>
      <w:r w:rsidRPr="00DC1A5F">
        <w:rPr>
          <w:i/>
          <w:iCs/>
          <w:lang w:val="es-PE"/>
        </w:rPr>
        <w:t>vijambhati</w:t>
      </w:r>
      <w:proofErr w:type="spellEnd"/>
      <w:r w:rsidRPr="00DC1A5F">
        <w:rPr>
          <w:lang w:val="es-PE"/>
        </w:rPr>
        <w:t>*— estirarse, bostezar: IX.61</w:t>
      </w:r>
    </w:p>
    <w:p w14:paraId="537F2EA7" w14:textId="77777777" w:rsidR="00597DE2" w:rsidRPr="00DC1A5F" w:rsidRDefault="00597DE2" w:rsidP="00597DE2">
      <w:pPr>
        <w:pStyle w:val="ParrafoGlosario"/>
        <w:rPr>
          <w:lang w:val="es-PE"/>
        </w:rPr>
      </w:pPr>
      <w:proofErr w:type="spellStart"/>
      <w:r w:rsidRPr="00DC1A5F">
        <w:rPr>
          <w:i/>
          <w:iCs/>
          <w:lang w:val="es-PE"/>
        </w:rPr>
        <w:t>vijjā</w:t>
      </w:r>
      <w:proofErr w:type="spellEnd"/>
      <w:r w:rsidRPr="00DC1A5F">
        <w:rPr>
          <w:lang w:val="es-PE"/>
        </w:rPr>
        <w:t>— (1) visión</w:t>
      </w:r>
      <w:r w:rsidRPr="00DC1A5F">
        <w:rPr>
          <w:rFonts w:cs="Cormorant"/>
          <w:lang w:val="es-PE"/>
        </w:rPr>
        <w:t>–</w:t>
      </w:r>
      <w:r w:rsidRPr="00DC1A5F">
        <w:rPr>
          <w:lang w:val="es-PE"/>
        </w:rPr>
        <w:t>clara (las 3 o las 8), (2) ciencia, conocimiento</w:t>
      </w:r>
    </w:p>
    <w:p w14:paraId="512D9B3A" w14:textId="77777777" w:rsidR="00597DE2" w:rsidRPr="00DC1A5F" w:rsidRDefault="00597DE2" w:rsidP="00597DE2">
      <w:pPr>
        <w:pStyle w:val="ParrafoGlosario"/>
        <w:rPr>
          <w:lang w:val="es-PE"/>
        </w:rPr>
      </w:pPr>
      <w:proofErr w:type="spellStart"/>
      <w:r w:rsidRPr="00DC1A5F">
        <w:rPr>
          <w:i/>
          <w:iCs/>
          <w:lang w:val="es-PE"/>
        </w:rPr>
        <w:t>vijjamāna</w:t>
      </w:r>
      <w:proofErr w:type="spellEnd"/>
      <w:r w:rsidRPr="00DC1A5F">
        <w:rPr>
          <w:lang w:val="es-PE"/>
        </w:rPr>
        <w:t>— existente, real</w:t>
      </w:r>
    </w:p>
    <w:p w14:paraId="5DA8E2C0" w14:textId="77777777" w:rsidR="00597DE2" w:rsidRPr="00DC1A5F" w:rsidRDefault="00597DE2" w:rsidP="00597DE2">
      <w:pPr>
        <w:pStyle w:val="ParrafoGlosario"/>
        <w:rPr>
          <w:lang w:val="es-PE"/>
        </w:rPr>
      </w:pPr>
      <w:proofErr w:type="spellStart"/>
      <w:r w:rsidRPr="00DC1A5F">
        <w:rPr>
          <w:i/>
          <w:iCs/>
          <w:lang w:val="es-PE"/>
        </w:rPr>
        <w:t>vikampana</w:t>
      </w:r>
      <w:proofErr w:type="spellEnd"/>
      <w:r w:rsidRPr="00DC1A5F">
        <w:rPr>
          <w:lang w:val="es-PE"/>
        </w:rPr>
        <w:t>— temblar, vacilar</w:t>
      </w:r>
    </w:p>
    <w:p w14:paraId="330FC20F" w14:textId="77777777" w:rsidR="00597DE2" w:rsidRPr="00DC1A5F" w:rsidRDefault="00597DE2" w:rsidP="00597DE2">
      <w:pPr>
        <w:pStyle w:val="ParrafoGlosario"/>
        <w:rPr>
          <w:lang w:val="es-PE"/>
        </w:rPr>
      </w:pPr>
      <w:proofErr w:type="spellStart"/>
      <w:r w:rsidRPr="00DC1A5F">
        <w:rPr>
          <w:i/>
          <w:iCs/>
          <w:lang w:val="es-PE"/>
        </w:rPr>
        <w:t>vikappa</w:t>
      </w:r>
      <w:proofErr w:type="spellEnd"/>
      <w:r w:rsidRPr="00DC1A5F">
        <w:rPr>
          <w:lang w:val="es-PE"/>
        </w:rPr>
        <w:t>*— alternativa: XI.89 (cf. M–a I 67)</w:t>
      </w:r>
    </w:p>
    <w:p w14:paraId="7E9478E9" w14:textId="77777777" w:rsidR="00597DE2" w:rsidRPr="00DC1A5F" w:rsidRDefault="00597DE2" w:rsidP="00597DE2">
      <w:pPr>
        <w:pStyle w:val="ParrafoGlosario"/>
        <w:rPr>
          <w:lang w:val="es-PE"/>
        </w:rPr>
      </w:pPr>
      <w:proofErr w:type="spellStart"/>
      <w:r w:rsidRPr="00DC1A5F">
        <w:rPr>
          <w:i/>
          <w:iCs/>
          <w:lang w:val="es-PE"/>
        </w:rPr>
        <w:t>vikāra</w:t>
      </w:r>
      <w:proofErr w:type="spellEnd"/>
      <w:r w:rsidRPr="00DC1A5F">
        <w:rPr>
          <w:lang w:val="es-PE"/>
        </w:rPr>
        <w:t>— alteración</w:t>
      </w:r>
    </w:p>
    <w:p w14:paraId="20EF7D14" w14:textId="77777777" w:rsidR="00597DE2" w:rsidRPr="00DC1A5F" w:rsidRDefault="00597DE2" w:rsidP="00597DE2">
      <w:pPr>
        <w:pStyle w:val="ParrafoGlosario"/>
        <w:rPr>
          <w:lang w:val="es-PE"/>
        </w:rPr>
      </w:pPr>
      <w:proofErr w:type="spellStart"/>
      <w:r w:rsidRPr="00DC1A5F">
        <w:rPr>
          <w:i/>
          <w:iCs/>
          <w:lang w:val="es-PE"/>
        </w:rPr>
        <w:t>vikāra</w:t>
      </w:r>
      <w:proofErr w:type="spellEnd"/>
      <w:r w:rsidRPr="00DC1A5F">
        <w:rPr>
          <w:i/>
          <w:iCs/>
          <w:lang w:val="es-PE"/>
        </w:rPr>
        <w:t>–rūpa</w:t>
      </w:r>
      <w:r w:rsidRPr="00DC1A5F">
        <w:rPr>
          <w:lang w:val="es-PE"/>
        </w:rPr>
        <w:t>— materialidad como alteración (término para unos de los 24 tipos de materialidad derivada, es decir, impermanencia, etc.)</w:t>
      </w:r>
    </w:p>
    <w:p w14:paraId="1E9E3A9D" w14:textId="77777777" w:rsidR="00597DE2" w:rsidRPr="00DC1A5F" w:rsidRDefault="00597DE2" w:rsidP="00597DE2">
      <w:pPr>
        <w:pStyle w:val="ParrafoGlosario"/>
        <w:rPr>
          <w:lang w:val="es-PE"/>
        </w:rPr>
      </w:pPr>
      <w:proofErr w:type="spellStart"/>
      <w:r w:rsidRPr="00DC1A5F">
        <w:rPr>
          <w:i/>
          <w:iCs/>
          <w:lang w:val="es-PE"/>
        </w:rPr>
        <w:t>vikkhambhana</w:t>
      </w:r>
      <w:proofErr w:type="spellEnd"/>
      <w:r w:rsidRPr="00DC1A5F">
        <w:rPr>
          <w:lang w:val="es-PE"/>
        </w:rPr>
        <w:t>— supresión (de impurezas mediante la serenidad)</w:t>
      </w:r>
    </w:p>
    <w:p w14:paraId="373B646A" w14:textId="77777777" w:rsidR="00597DE2" w:rsidRPr="00DC1A5F" w:rsidRDefault="00597DE2" w:rsidP="00597DE2">
      <w:pPr>
        <w:pStyle w:val="ParrafoGlosario"/>
        <w:rPr>
          <w:lang w:val="es-PE"/>
        </w:rPr>
      </w:pPr>
      <w:proofErr w:type="spellStart"/>
      <w:r w:rsidRPr="00DC1A5F">
        <w:rPr>
          <w:i/>
          <w:iCs/>
          <w:lang w:val="es-PE"/>
        </w:rPr>
        <w:t>vikkhepa</w:t>
      </w:r>
      <w:proofErr w:type="spellEnd"/>
      <w:r w:rsidRPr="00DC1A5F">
        <w:rPr>
          <w:lang w:val="es-PE"/>
        </w:rPr>
        <w:t>— distracción</w:t>
      </w:r>
    </w:p>
    <w:p w14:paraId="7C880601" w14:textId="77777777" w:rsidR="00597DE2" w:rsidRPr="00DC1A5F" w:rsidRDefault="00597DE2" w:rsidP="00597DE2">
      <w:pPr>
        <w:pStyle w:val="ParrafoGlosario"/>
        <w:rPr>
          <w:lang w:val="es-PE"/>
        </w:rPr>
      </w:pPr>
      <w:proofErr w:type="spellStart"/>
      <w:r w:rsidRPr="00DC1A5F">
        <w:rPr>
          <w:i/>
          <w:iCs/>
          <w:lang w:val="es-PE"/>
        </w:rPr>
        <w:t>vikkhepa</w:t>
      </w:r>
      <w:proofErr w:type="spellEnd"/>
      <w:r w:rsidRPr="00DC1A5F">
        <w:rPr>
          <w:lang w:val="es-PE"/>
        </w:rPr>
        <w:t xml:space="preserve">*— </w:t>
      </w:r>
      <w:r w:rsidRPr="00DC1A5F">
        <w:rPr>
          <w:i/>
          <w:iCs/>
          <w:lang w:val="es-PE"/>
        </w:rPr>
        <w:t>también</w:t>
      </w:r>
      <w:r w:rsidRPr="00DC1A5F">
        <w:rPr>
          <w:lang w:val="es-PE"/>
        </w:rPr>
        <w:t xml:space="preserve"> extensión: IV.89; gesto: XI.100</w:t>
      </w:r>
    </w:p>
    <w:p w14:paraId="095B49DB" w14:textId="77777777" w:rsidR="00597DE2" w:rsidRPr="00DC1A5F" w:rsidRDefault="00597DE2" w:rsidP="00597DE2">
      <w:pPr>
        <w:pStyle w:val="ParrafoGlosario"/>
        <w:rPr>
          <w:lang w:val="es-PE"/>
        </w:rPr>
      </w:pPr>
      <w:proofErr w:type="spellStart"/>
      <w:r w:rsidRPr="00DC1A5F">
        <w:rPr>
          <w:i/>
          <w:iCs/>
          <w:lang w:val="es-PE"/>
        </w:rPr>
        <w:t>vikubbana</w:t>
      </w:r>
      <w:proofErr w:type="spellEnd"/>
      <w:r w:rsidRPr="00DC1A5F">
        <w:rPr>
          <w:lang w:val="es-PE"/>
        </w:rPr>
        <w:t>— (1) versatilidad (en el desarrollo de los estados divinos), (2) transformación (mediante un poder sobrenatural)</w:t>
      </w:r>
    </w:p>
    <w:p w14:paraId="0E2D02D8" w14:textId="77777777" w:rsidR="00597DE2" w:rsidRPr="00DC1A5F" w:rsidRDefault="00597DE2" w:rsidP="00597DE2">
      <w:pPr>
        <w:pStyle w:val="ParrafoGlosario"/>
        <w:rPr>
          <w:lang w:val="es-PE"/>
        </w:rPr>
      </w:pPr>
      <w:proofErr w:type="spellStart"/>
      <w:r w:rsidRPr="00DC1A5F">
        <w:rPr>
          <w:i/>
          <w:iCs/>
          <w:lang w:val="es-PE"/>
        </w:rPr>
        <w:t>vikuppati</w:t>
      </w:r>
      <w:proofErr w:type="spellEnd"/>
      <w:r w:rsidRPr="00DC1A5F">
        <w:rPr>
          <w:lang w:val="es-PE"/>
        </w:rPr>
        <w:t>*— ser dañado: XXIII.35</w:t>
      </w:r>
      <w:r>
        <w:rPr>
          <w:lang w:val="es-PE"/>
        </w:rPr>
        <w:br w:type="column"/>
      </w:r>
    </w:p>
    <w:p w14:paraId="6FD2D95B" w14:textId="77777777" w:rsidR="00597DE2" w:rsidRPr="00DC1A5F" w:rsidRDefault="00597DE2" w:rsidP="00597DE2">
      <w:pPr>
        <w:pStyle w:val="ParrafoGlosario"/>
        <w:rPr>
          <w:lang w:val="es-PE"/>
        </w:rPr>
      </w:pPr>
      <w:proofErr w:type="spellStart"/>
      <w:r w:rsidRPr="00DC1A5F">
        <w:rPr>
          <w:i/>
          <w:iCs/>
          <w:lang w:val="es-PE"/>
        </w:rPr>
        <w:t>vīmaṃsā</w:t>
      </w:r>
      <w:proofErr w:type="spellEnd"/>
      <w:r w:rsidRPr="00DC1A5F">
        <w:rPr>
          <w:lang w:val="es-PE"/>
        </w:rPr>
        <w:t>— indagación, investigación</w:t>
      </w:r>
    </w:p>
    <w:p w14:paraId="06E95D71" w14:textId="77777777" w:rsidR="00597DE2" w:rsidRPr="00DC1A5F" w:rsidRDefault="00597DE2" w:rsidP="00597DE2">
      <w:pPr>
        <w:pStyle w:val="ParrafoGlosario"/>
        <w:rPr>
          <w:lang w:val="es-PE"/>
        </w:rPr>
      </w:pPr>
      <w:proofErr w:type="spellStart"/>
      <w:r w:rsidRPr="00DC1A5F">
        <w:rPr>
          <w:i/>
          <w:iCs/>
          <w:lang w:val="es-PE"/>
        </w:rPr>
        <w:t>vimokkha</w:t>
      </w:r>
      <w:proofErr w:type="spellEnd"/>
      <w:r w:rsidRPr="00DC1A5F">
        <w:rPr>
          <w:lang w:val="es-PE"/>
        </w:rPr>
        <w:t>— liberación (el 3 y el 8)</w:t>
      </w:r>
    </w:p>
    <w:p w14:paraId="41B26263" w14:textId="77777777" w:rsidR="00597DE2" w:rsidRPr="00DC1A5F" w:rsidRDefault="00597DE2" w:rsidP="00597DE2">
      <w:pPr>
        <w:pStyle w:val="ParrafoGlosario"/>
        <w:rPr>
          <w:lang w:val="es-PE"/>
        </w:rPr>
      </w:pPr>
      <w:proofErr w:type="spellStart"/>
      <w:r w:rsidRPr="00DC1A5F">
        <w:rPr>
          <w:i/>
          <w:iCs/>
          <w:lang w:val="es-PE"/>
        </w:rPr>
        <w:t>vimutti</w:t>
      </w:r>
      <w:proofErr w:type="spellEnd"/>
      <w:r w:rsidRPr="00DC1A5F">
        <w:rPr>
          <w:lang w:val="es-PE"/>
        </w:rPr>
        <w:t>— liberación</w:t>
      </w:r>
    </w:p>
    <w:p w14:paraId="73753B7D" w14:textId="77777777" w:rsidR="00597DE2" w:rsidRPr="00DC1A5F" w:rsidRDefault="00597DE2" w:rsidP="00597DE2">
      <w:pPr>
        <w:pStyle w:val="ParrafoGlosario"/>
        <w:rPr>
          <w:lang w:val="es-PE"/>
        </w:rPr>
      </w:pPr>
      <w:proofErr w:type="spellStart"/>
      <w:r w:rsidRPr="00DC1A5F">
        <w:rPr>
          <w:i/>
          <w:iCs/>
          <w:lang w:val="es-PE"/>
        </w:rPr>
        <w:t>vinana</w:t>
      </w:r>
      <w:proofErr w:type="spellEnd"/>
      <w:r w:rsidRPr="00DC1A5F">
        <w:rPr>
          <w:lang w:val="es-PE"/>
        </w:rPr>
        <w:t>*— unión, conjunción: VIII.247</w:t>
      </w:r>
    </w:p>
    <w:p w14:paraId="73782E35" w14:textId="77777777" w:rsidR="00597DE2" w:rsidRPr="00DC1A5F" w:rsidRDefault="00597DE2" w:rsidP="00597DE2">
      <w:pPr>
        <w:pStyle w:val="ParrafoGlosario"/>
        <w:rPr>
          <w:lang w:val="es-PE"/>
        </w:rPr>
      </w:pPr>
      <w:proofErr w:type="spellStart"/>
      <w:r w:rsidRPr="00DC1A5F">
        <w:rPr>
          <w:i/>
          <w:iCs/>
          <w:lang w:val="es-PE"/>
        </w:rPr>
        <w:t>vinaya</w:t>
      </w:r>
      <w:proofErr w:type="spellEnd"/>
      <w:r w:rsidRPr="00DC1A5F">
        <w:rPr>
          <w:lang w:val="es-PE"/>
        </w:rPr>
        <w:t xml:space="preserve">— (1) </w:t>
      </w:r>
      <w:proofErr w:type="spellStart"/>
      <w:r w:rsidRPr="00DC1A5F">
        <w:rPr>
          <w:i/>
          <w:iCs/>
          <w:lang w:val="es-PE"/>
        </w:rPr>
        <w:t>Vinaya</w:t>
      </w:r>
      <w:proofErr w:type="spellEnd"/>
      <w:r w:rsidRPr="00DC1A5F">
        <w:rPr>
          <w:i/>
          <w:iCs/>
          <w:lang w:val="es-PE"/>
        </w:rPr>
        <w:t xml:space="preserve"> </w:t>
      </w:r>
      <w:proofErr w:type="spellStart"/>
      <w:r w:rsidRPr="00DC1A5F">
        <w:rPr>
          <w:i/>
          <w:iCs/>
          <w:lang w:val="es-PE"/>
        </w:rPr>
        <w:t>Piṭaka</w:t>
      </w:r>
      <w:proofErr w:type="spellEnd"/>
      <w:r w:rsidRPr="00DC1A5F">
        <w:rPr>
          <w:lang w:val="es-PE"/>
        </w:rPr>
        <w:t xml:space="preserve"> o El Libro de la Disciplina, (2) disciplina, remoción, distanciamiento</w:t>
      </w:r>
    </w:p>
    <w:p w14:paraId="64919493" w14:textId="77777777" w:rsidR="00597DE2" w:rsidRPr="00DC1A5F" w:rsidRDefault="00597DE2" w:rsidP="00597DE2">
      <w:pPr>
        <w:pStyle w:val="ParrafoGlosario"/>
        <w:rPr>
          <w:lang w:val="es-PE"/>
        </w:rPr>
      </w:pPr>
      <w:proofErr w:type="spellStart"/>
      <w:r w:rsidRPr="00DC1A5F">
        <w:rPr>
          <w:i/>
          <w:iCs/>
          <w:lang w:val="es-PE"/>
        </w:rPr>
        <w:t>vinibbhoga</w:t>
      </w:r>
      <w:proofErr w:type="spellEnd"/>
      <w:r w:rsidRPr="00DC1A5F">
        <w:rPr>
          <w:lang w:val="es-PE"/>
        </w:rPr>
        <w:t>— resolución (en los elementos)</w:t>
      </w:r>
    </w:p>
    <w:p w14:paraId="3FFDA5D7" w14:textId="77777777" w:rsidR="00597DE2" w:rsidRPr="00DC1A5F" w:rsidRDefault="00597DE2" w:rsidP="00597DE2">
      <w:pPr>
        <w:pStyle w:val="ParrafoGlosario"/>
        <w:rPr>
          <w:lang w:val="es-PE"/>
        </w:rPr>
      </w:pPr>
      <w:proofErr w:type="spellStart"/>
      <w:r w:rsidRPr="00DC1A5F">
        <w:rPr>
          <w:i/>
          <w:iCs/>
          <w:lang w:val="es-PE"/>
        </w:rPr>
        <w:t>viniddhunana</w:t>
      </w:r>
      <w:proofErr w:type="spellEnd"/>
      <w:r w:rsidRPr="00DC1A5F">
        <w:rPr>
          <w:lang w:val="es-PE"/>
        </w:rPr>
        <w:t>*— estremecimiento, remoción: XVI.82</w:t>
      </w:r>
    </w:p>
    <w:p w14:paraId="00D00C2A" w14:textId="77777777" w:rsidR="00597DE2" w:rsidRPr="00DC1A5F" w:rsidRDefault="00597DE2" w:rsidP="00597DE2">
      <w:pPr>
        <w:pStyle w:val="ParrafoGlosario"/>
        <w:rPr>
          <w:lang w:val="es-PE"/>
        </w:rPr>
      </w:pPr>
      <w:proofErr w:type="spellStart"/>
      <w:r w:rsidRPr="00DC1A5F">
        <w:rPr>
          <w:i/>
          <w:iCs/>
          <w:lang w:val="es-PE"/>
        </w:rPr>
        <w:t>vinipāta</w:t>
      </w:r>
      <w:proofErr w:type="spellEnd"/>
      <w:r w:rsidRPr="00DC1A5F">
        <w:rPr>
          <w:lang w:val="es-PE"/>
        </w:rPr>
        <w:t>— perdición</w:t>
      </w:r>
    </w:p>
    <w:p w14:paraId="486F5FAE" w14:textId="77777777" w:rsidR="00597DE2" w:rsidRPr="00DC1A5F" w:rsidRDefault="00597DE2" w:rsidP="00597DE2">
      <w:pPr>
        <w:pStyle w:val="ParrafoGlosario"/>
        <w:rPr>
          <w:lang w:val="es-PE"/>
        </w:rPr>
      </w:pPr>
      <w:r w:rsidRPr="00DC1A5F">
        <w:rPr>
          <w:i/>
          <w:iCs/>
          <w:lang w:val="es-PE"/>
        </w:rPr>
        <w:t>viññāṇa</w:t>
      </w:r>
      <w:r w:rsidRPr="00DC1A5F">
        <w:rPr>
          <w:lang w:val="es-PE"/>
        </w:rPr>
        <w:t>— consciencia, cognición</w:t>
      </w:r>
    </w:p>
    <w:p w14:paraId="73B6676E" w14:textId="77777777" w:rsidR="00597DE2" w:rsidRPr="00DC1A5F" w:rsidRDefault="00597DE2" w:rsidP="00597DE2">
      <w:pPr>
        <w:pStyle w:val="ParrafoGlosario"/>
        <w:rPr>
          <w:lang w:val="es-PE"/>
        </w:rPr>
      </w:pPr>
      <w:proofErr w:type="spellStart"/>
      <w:r w:rsidRPr="00DC1A5F">
        <w:rPr>
          <w:i/>
          <w:iCs/>
          <w:lang w:val="es-PE"/>
        </w:rPr>
        <w:t>viññāṇaṭṭhiti</w:t>
      </w:r>
      <w:proofErr w:type="spellEnd"/>
      <w:r w:rsidRPr="00DC1A5F">
        <w:rPr>
          <w:lang w:val="es-PE"/>
        </w:rPr>
        <w:t>— estación de consciencia (el 7)</w:t>
      </w:r>
    </w:p>
    <w:p w14:paraId="37AAEEBB" w14:textId="77777777" w:rsidR="00597DE2" w:rsidRPr="00DC1A5F" w:rsidRDefault="00597DE2" w:rsidP="00597DE2">
      <w:pPr>
        <w:pStyle w:val="ParrafoGlosario"/>
        <w:rPr>
          <w:lang w:val="es-PE"/>
        </w:rPr>
      </w:pPr>
      <w:proofErr w:type="spellStart"/>
      <w:r w:rsidRPr="00DC1A5F">
        <w:rPr>
          <w:i/>
          <w:iCs/>
          <w:lang w:val="es-PE"/>
        </w:rPr>
        <w:t>viññāta</w:t>
      </w:r>
      <w:proofErr w:type="spellEnd"/>
      <w:r w:rsidRPr="00DC1A5F">
        <w:rPr>
          <w:lang w:val="es-PE"/>
        </w:rPr>
        <w:t xml:space="preserve">— conocido </w:t>
      </w:r>
    </w:p>
    <w:p w14:paraId="33955ADE" w14:textId="77777777" w:rsidR="00597DE2" w:rsidRPr="00DC1A5F" w:rsidRDefault="00597DE2" w:rsidP="00597DE2">
      <w:pPr>
        <w:pStyle w:val="ParrafoGlosario"/>
        <w:rPr>
          <w:lang w:val="es-PE"/>
        </w:rPr>
      </w:pPr>
      <w:proofErr w:type="spellStart"/>
      <w:r w:rsidRPr="00DC1A5F">
        <w:rPr>
          <w:i/>
          <w:iCs/>
          <w:lang w:val="es-PE"/>
        </w:rPr>
        <w:t>viññatti</w:t>
      </w:r>
      <w:proofErr w:type="spellEnd"/>
      <w:r w:rsidRPr="00DC1A5F">
        <w:rPr>
          <w:lang w:val="es-PE"/>
        </w:rPr>
        <w:t>— intimación</w:t>
      </w:r>
    </w:p>
    <w:p w14:paraId="03CBD5D0" w14:textId="77777777" w:rsidR="00597DE2" w:rsidRDefault="00597DE2" w:rsidP="00597DE2">
      <w:pPr>
        <w:pStyle w:val="ParrafoGlosario"/>
        <w:rPr>
          <w:lang w:val="es-PE"/>
        </w:rPr>
      </w:pPr>
      <w:proofErr w:type="spellStart"/>
      <w:r w:rsidRPr="00DC1A5F">
        <w:rPr>
          <w:i/>
          <w:iCs/>
          <w:lang w:val="es-PE"/>
        </w:rPr>
        <w:t>vipāka</w:t>
      </w:r>
      <w:proofErr w:type="spellEnd"/>
      <w:r w:rsidRPr="00DC1A5F">
        <w:rPr>
          <w:lang w:val="es-PE"/>
        </w:rPr>
        <w:t>— (</w:t>
      </w:r>
      <w:proofErr w:type="spellStart"/>
      <w:r w:rsidRPr="00DC1A5F">
        <w:rPr>
          <w:i/>
          <w:iCs/>
          <w:lang w:val="es-PE"/>
        </w:rPr>
        <w:t>kamma</w:t>
      </w:r>
      <w:proofErr w:type="spellEnd"/>
      <w:r w:rsidRPr="00DC1A5F">
        <w:rPr>
          <w:lang w:val="es-PE"/>
        </w:rPr>
        <w:t>–) resultado</w:t>
      </w:r>
    </w:p>
    <w:p w14:paraId="3DD633E6" w14:textId="77777777" w:rsidR="00597DE2" w:rsidRPr="00DC1A5F" w:rsidRDefault="00597DE2" w:rsidP="00597DE2">
      <w:pPr>
        <w:pStyle w:val="ParrafoGlosario"/>
        <w:rPr>
          <w:lang w:val="es-PE"/>
        </w:rPr>
      </w:pPr>
      <w:proofErr w:type="spellStart"/>
      <w:r w:rsidRPr="00DC1A5F">
        <w:rPr>
          <w:lang w:val="es-PE"/>
        </w:rPr>
        <w:t>vipallāsa</w:t>
      </w:r>
      <w:proofErr w:type="spellEnd"/>
      <w:r w:rsidRPr="00DC1A5F">
        <w:rPr>
          <w:lang w:val="es-PE"/>
        </w:rPr>
        <w:t>— perversión, alucinación, atrofiamiento perceptivo (las 3)</w:t>
      </w:r>
    </w:p>
    <w:p w14:paraId="5D91E641" w14:textId="77777777" w:rsidR="00597DE2" w:rsidRPr="00DC1A5F" w:rsidRDefault="00597DE2" w:rsidP="00597DE2">
      <w:pPr>
        <w:pStyle w:val="ParrafoGlosario"/>
        <w:rPr>
          <w:lang w:val="es-PE"/>
        </w:rPr>
      </w:pPr>
      <w:proofErr w:type="spellStart"/>
      <w:r w:rsidRPr="00DC1A5F">
        <w:rPr>
          <w:i/>
          <w:iCs/>
          <w:lang w:val="es-PE"/>
        </w:rPr>
        <w:t>vipariṇāma</w:t>
      </w:r>
      <w:proofErr w:type="spellEnd"/>
      <w:r w:rsidRPr="00DC1A5F">
        <w:rPr>
          <w:lang w:val="es-PE"/>
        </w:rPr>
        <w:t>— cambio</w:t>
      </w:r>
    </w:p>
    <w:p w14:paraId="413B3470" w14:textId="77777777" w:rsidR="00597DE2" w:rsidRPr="00DC1A5F" w:rsidRDefault="00597DE2" w:rsidP="00597DE2">
      <w:pPr>
        <w:pStyle w:val="ParrafoGlosario"/>
        <w:rPr>
          <w:lang w:val="es-PE"/>
        </w:rPr>
      </w:pPr>
      <w:proofErr w:type="spellStart"/>
      <w:r w:rsidRPr="00DC1A5F">
        <w:rPr>
          <w:i/>
          <w:iCs/>
          <w:lang w:val="es-PE"/>
        </w:rPr>
        <w:t>vipariṇāma</w:t>
      </w:r>
      <w:proofErr w:type="spellEnd"/>
      <w:r w:rsidRPr="00DC1A5F">
        <w:rPr>
          <w:i/>
          <w:iCs/>
          <w:lang w:val="es-PE"/>
        </w:rPr>
        <w:t>–dukkha</w:t>
      </w:r>
      <w:r w:rsidRPr="00DC1A5F">
        <w:rPr>
          <w:lang w:val="es-PE"/>
        </w:rPr>
        <w:t>— sufrimiento debido al cambio</w:t>
      </w:r>
    </w:p>
    <w:p w14:paraId="17578AF3" w14:textId="77777777" w:rsidR="00597DE2" w:rsidRPr="00DC1A5F" w:rsidRDefault="00597DE2" w:rsidP="00597DE2">
      <w:pPr>
        <w:pStyle w:val="ParrafoGlosario"/>
        <w:rPr>
          <w:lang w:val="es-PE"/>
        </w:rPr>
      </w:pPr>
      <w:proofErr w:type="spellStart"/>
      <w:r w:rsidRPr="00DC1A5F">
        <w:rPr>
          <w:i/>
          <w:iCs/>
          <w:lang w:val="es-PE"/>
        </w:rPr>
        <w:t>vipariyesa</w:t>
      </w:r>
      <w:proofErr w:type="spellEnd"/>
      <w:r w:rsidRPr="00DC1A5F">
        <w:rPr>
          <w:lang w:val="es-PE"/>
        </w:rPr>
        <w:t>— perversidad (las 4)</w:t>
      </w:r>
    </w:p>
    <w:p w14:paraId="147A5316" w14:textId="77777777" w:rsidR="00597DE2" w:rsidRPr="00DC1A5F" w:rsidRDefault="00597DE2" w:rsidP="00597DE2">
      <w:pPr>
        <w:pStyle w:val="ParrafoGlosario"/>
        <w:rPr>
          <w:lang w:val="es-PE"/>
        </w:rPr>
      </w:pPr>
      <w:proofErr w:type="spellStart"/>
      <w:r w:rsidRPr="00DC1A5F">
        <w:rPr>
          <w:i/>
          <w:iCs/>
          <w:lang w:val="es-PE"/>
        </w:rPr>
        <w:t>vipassanā</w:t>
      </w:r>
      <w:proofErr w:type="spellEnd"/>
      <w:r w:rsidRPr="00DC1A5F">
        <w:rPr>
          <w:lang w:val="es-PE"/>
        </w:rPr>
        <w:t>— sabiduría</w:t>
      </w:r>
      <w:r w:rsidRPr="00DC1A5F">
        <w:rPr>
          <w:rFonts w:cs="Cormorant"/>
          <w:lang w:val="es-PE"/>
        </w:rPr>
        <w:t>–</w:t>
      </w:r>
      <w:r w:rsidRPr="00DC1A5F">
        <w:rPr>
          <w:lang w:val="es-PE"/>
        </w:rPr>
        <w:t>revelativa (la visión de lo que se conforma como impermanente, insatisfactorio, no</w:t>
      </w:r>
      <w:r w:rsidRPr="00DC1A5F">
        <w:rPr>
          <w:rFonts w:cs="Cormorant"/>
          <w:lang w:val="es-PE"/>
        </w:rPr>
        <w:t>–</w:t>
      </w:r>
      <w:r w:rsidRPr="00DC1A5F">
        <w:rPr>
          <w:lang w:val="es-PE"/>
        </w:rPr>
        <w:t>alma)</w:t>
      </w:r>
    </w:p>
    <w:p w14:paraId="33D23F6C" w14:textId="77777777" w:rsidR="00597DE2" w:rsidRPr="00DC1A5F" w:rsidRDefault="00597DE2" w:rsidP="00597DE2">
      <w:pPr>
        <w:pStyle w:val="ParrafoGlosario"/>
        <w:rPr>
          <w:lang w:val="es-PE"/>
        </w:rPr>
      </w:pPr>
      <w:proofErr w:type="spellStart"/>
      <w:r w:rsidRPr="00DC1A5F">
        <w:rPr>
          <w:i/>
          <w:iCs/>
          <w:lang w:val="es-PE"/>
        </w:rPr>
        <w:t>vipassanā</w:t>
      </w:r>
      <w:proofErr w:type="spellEnd"/>
      <w:r w:rsidRPr="00DC1A5F">
        <w:rPr>
          <w:i/>
          <w:iCs/>
          <w:lang w:val="es-PE"/>
        </w:rPr>
        <w:t>–</w:t>
      </w:r>
      <w:proofErr w:type="spellStart"/>
      <w:r w:rsidRPr="00DC1A5F">
        <w:rPr>
          <w:i/>
          <w:iCs/>
          <w:lang w:val="es-PE"/>
        </w:rPr>
        <w:t>yānika</w:t>
      </w:r>
      <w:proofErr w:type="spellEnd"/>
      <w:r w:rsidRPr="00DC1A5F">
        <w:rPr>
          <w:lang w:val="es-PE"/>
        </w:rPr>
        <w:t>— aquel cuyo vehículo es la sabiduría</w:t>
      </w:r>
      <w:r w:rsidRPr="00DC1A5F">
        <w:rPr>
          <w:rFonts w:cs="Cormorant"/>
          <w:lang w:val="es-PE"/>
        </w:rPr>
        <w:t>–</w:t>
      </w:r>
      <w:r w:rsidRPr="00DC1A5F">
        <w:rPr>
          <w:lang w:val="es-PE"/>
        </w:rPr>
        <w:t>revelativa</w:t>
      </w:r>
    </w:p>
    <w:p w14:paraId="23D7D034" w14:textId="77777777" w:rsidR="00597DE2" w:rsidRPr="00DC1A5F" w:rsidRDefault="00597DE2" w:rsidP="00597DE2">
      <w:pPr>
        <w:pStyle w:val="ParrafoGlosario"/>
        <w:rPr>
          <w:lang w:val="es-PE"/>
        </w:rPr>
      </w:pPr>
      <w:proofErr w:type="spellStart"/>
      <w:r w:rsidRPr="00DC1A5F">
        <w:rPr>
          <w:i/>
          <w:iCs/>
          <w:lang w:val="es-PE"/>
        </w:rPr>
        <w:t>vippaṭipatti</w:t>
      </w:r>
      <w:proofErr w:type="spellEnd"/>
      <w:r w:rsidRPr="00DC1A5F">
        <w:rPr>
          <w:lang w:val="es-PE"/>
        </w:rPr>
        <w:t>*— teoría incorrecta: XVI.85</w:t>
      </w:r>
    </w:p>
    <w:p w14:paraId="295B16AF" w14:textId="77777777" w:rsidR="00597DE2" w:rsidRDefault="00597DE2" w:rsidP="00597DE2">
      <w:pPr>
        <w:pStyle w:val="ParrafoGlosario"/>
        <w:rPr>
          <w:lang w:val="es-PE"/>
        </w:rPr>
      </w:pPr>
      <w:proofErr w:type="spellStart"/>
      <w:r w:rsidRPr="00DC1A5F">
        <w:rPr>
          <w:i/>
          <w:iCs/>
          <w:lang w:val="es-PE"/>
        </w:rPr>
        <w:t>vipphandana</w:t>
      </w:r>
      <w:proofErr w:type="spellEnd"/>
      <w:r w:rsidRPr="00DC1A5F">
        <w:rPr>
          <w:lang w:val="es-PE"/>
        </w:rPr>
        <w:t xml:space="preserve">*— </w:t>
      </w:r>
      <w:r w:rsidRPr="00DC1A5F">
        <w:rPr>
          <w:i/>
          <w:iCs/>
          <w:lang w:val="es-PE"/>
        </w:rPr>
        <w:t>también</w:t>
      </w:r>
      <w:r w:rsidRPr="00DC1A5F">
        <w:rPr>
          <w:lang w:val="es-PE"/>
        </w:rPr>
        <w:t xml:space="preserve"> excitación, excitación incorrecta: VI.42; VIII.190</w:t>
      </w:r>
    </w:p>
    <w:p w14:paraId="26820F78" w14:textId="77777777" w:rsidR="00597DE2" w:rsidRPr="00DC1A5F" w:rsidRDefault="00597DE2" w:rsidP="00597DE2">
      <w:pPr>
        <w:pStyle w:val="ParrafoGlosario"/>
        <w:rPr>
          <w:lang w:val="es-PE"/>
        </w:rPr>
      </w:pPr>
      <w:proofErr w:type="spellStart"/>
      <w:r w:rsidRPr="00DC1A5F">
        <w:rPr>
          <w:i/>
          <w:iCs/>
          <w:lang w:val="es-PE"/>
        </w:rPr>
        <w:t>vipphāra</w:t>
      </w:r>
      <w:proofErr w:type="spellEnd"/>
      <w:r w:rsidRPr="00DC1A5F">
        <w:rPr>
          <w:lang w:val="es-PE"/>
        </w:rPr>
        <w:t xml:space="preserve">*— </w:t>
      </w:r>
      <w:r w:rsidRPr="00DC1A5F">
        <w:rPr>
          <w:i/>
          <w:iCs/>
          <w:lang w:val="es-PE"/>
        </w:rPr>
        <w:t>también</w:t>
      </w:r>
      <w:r w:rsidRPr="00DC1A5F">
        <w:rPr>
          <w:lang w:val="es-PE"/>
        </w:rPr>
        <w:t xml:space="preserve"> intervención: IV.89; XII.27; XIV.132</w:t>
      </w:r>
    </w:p>
    <w:p w14:paraId="6698248A" w14:textId="77777777" w:rsidR="00597DE2" w:rsidRPr="00DC1A5F" w:rsidRDefault="00597DE2" w:rsidP="00597DE2">
      <w:pPr>
        <w:pStyle w:val="ParrafoGlosario"/>
        <w:rPr>
          <w:lang w:val="es-PE"/>
        </w:rPr>
      </w:pPr>
      <w:proofErr w:type="spellStart"/>
      <w:r w:rsidRPr="00DC1A5F">
        <w:rPr>
          <w:i/>
          <w:iCs/>
          <w:lang w:val="es-PE"/>
        </w:rPr>
        <w:t>virāga</w:t>
      </w:r>
      <w:proofErr w:type="spellEnd"/>
      <w:r w:rsidRPr="00DC1A5F">
        <w:rPr>
          <w:lang w:val="es-PE"/>
        </w:rPr>
        <w:t xml:space="preserve">— </w:t>
      </w:r>
      <w:proofErr w:type="spellStart"/>
      <w:r w:rsidRPr="00DC1A5F">
        <w:rPr>
          <w:lang w:val="es-PE"/>
        </w:rPr>
        <w:t>desapareción</w:t>
      </w:r>
      <w:proofErr w:type="spellEnd"/>
      <w:r w:rsidRPr="00DC1A5F">
        <w:rPr>
          <w:lang w:val="es-PE"/>
        </w:rPr>
        <w:t xml:space="preserve"> (de la codicia)</w:t>
      </w:r>
    </w:p>
    <w:p w14:paraId="75BEB9F1" w14:textId="77777777" w:rsidR="00597DE2" w:rsidRPr="00DC1A5F" w:rsidRDefault="00597DE2" w:rsidP="00597DE2">
      <w:pPr>
        <w:pStyle w:val="ParrafoGlosario"/>
        <w:rPr>
          <w:lang w:val="es-PE"/>
        </w:rPr>
      </w:pPr>
      <w:proofErr w:type="spellStart"/>
      <w:r w:rsidRPr="00DC1A5F">
        <w:rPr>
          <w:i/>
          <w:iCs/>
          <w:lang w:val="es-PE"/>
        </w:rPr>
        <w:t>viraha</w:t>
      </w:r>
      <w:proofErr w:type="spellEnd"/>
      <w:r w:rsidRPr="00DC1A5F">
        <w:rPr>
          <w:lang w:val="es-PE"/>
        </w:rPr>
        <w:t>*— (sus.) ausencia: IV.148</w:t>
      </w:r>
    </w:p>
    <w:p w14:paraId="30F03D66" w14:textId="77777777" w:rsidR="00597DE2" w:rsidRPr="00DC1A5F" w:rsidRDefault="00597DE2" w:rsidP="00597DE2">
      <w:pPr>
        <w:pStyle w:val="ParrafoGlosario"/>
        <w:rPr>
          <w:lang w:val="es-PE"/>
        </w:rPr>
      </w:pPr>
      <w:proofErr w:type="spellStart"/>
      <w:r w:rsidRPr="00DC1A5F">
        <w:rPr>
          <w:i/>
          <w:iCs/>
          <w:lang w:val="es-PE"/>
        </w:rPr>
        <w:t>viramana</w:t>
      </w:r>
      <w:proofErr w:type="spellEnd"/>
      <w:r w:rsidRPr="00DC1A5F">
        <w:rPr>
          <w:lang w:val="es-PE"/>
        </w:rPr>
        <w:t>— abstenerse</w:t>
      </w:r>
    </w:p>
    <w:p w14:paraId="0B704CCC" w14:textId="77777777" w:rsidR="00597DE2" w:rsidRPr="00DC1A5F" w:rsidRDefault="00597DE2" w:rsidP="00597DE2">
      <w:pPr>
        <w:pStyle w:val="ParrafoGlosario"/>
        <w:rPr>
          <w:lang w:val="es-PE"/>
        </w:rPr>
      </w:pPr>
      <w:proofErr w:type="spellStart"/>
      <w:r w:rsidRPr="00DC1A5F">
        <w:rPr>
          <w:i/>
          <w:iCs/>
          <w:lang w:val="es-PE"/>
        </w:rPr>
        <w:t>virati</w:t>
      </w:r>
      <w:proofErr w:type="spellEnd"/>
      <w:r w:rsidRPr="00DC1A5F">
        <w:rPr>
          <w:lang w:val="es-PE"/>
        </w:rPr>
        <w:t>— abstinencia (el 3)</w:t>
      </w:r>
    </w:p>
    <w:p w14:paraId="6E3EE04F" w14:textId="77777777" w:rsidR="00597DE2" w:rsidRPr="00DC1A5F" w:rsidRDefault="00597DE2" w:rsidP="00597DE2">
      <w:pPr>
        <w:pStyle w:val="ParrafoGlosario"/>
        <w:rPr>
          <w:lang w:val="es-PE"/>
        </w:rPr>
      </w:pPr>
      <w:proofErr w:type="spellStart"/>
      <w:r w:rsidRPr="00DC1A5F">
        <w:rPr>
          <w:i/>
          <w:iCs/>
          <w:lang w:val="es-PE"/>
        </w:rPr>
        <w:t>vīriya</w:t>
      </w:r>
      <w:proofErr w:type="spellEnd"/>
      <w:r w:rsidRPr="00DC1A5F">
        <w:rPr>
          <w:lang w:val="es-PE"/>
        </w:rPr>
        <w:t>— energía</w:t>
      </w:r>
    </w:p>
    <w:p w14:paraId="7D302B5C" w14:textId="77777777" w:rsidR="00597DE2" w:rsidRPr="00DC1A5F" w:rsidRDefault="00597DE2" w:rsidP="00597DE2">
      <w:pPr>
        <w:pStyle w:val="ParrafoGlosario"/>
        <w:rPr>
          <w:lang w:val="es-PE"/>
        </w:rPr>
      </w:pPr>
      <w:proofErr w:type="spellStart"/>
      <w:r w:rsidRPr="00DC1A5F">
        <w:rPr>
          <w:i/>
          <w:iCs/>
          <w:lang w:val="es-PE"/>
        </w:rPr>
        <w:t>visādana</w:t>
      </w:r>
      <w:proofErr w:type="spellEnd"/>
      <w:r w:rsidRPr="00DC1A5F">
        <w:rPr>
          <w:lang w:val="es-PE"/>
        </w:rPr>
        <w:t>*— desánimo, decaimiento: XVI.59</w:t>
      </w:r>
    </w:p>
    <w:p w14:paraId="3BFC6195" w14:textId="77777777" w:rsidR="00597DE2" w:rsidRPr="00DC1A5F" w:rsidRDefault="00597DE2" w:rsidP="00597DE2">
      <w:pPr>
        <w:pStyle w:val="ParrafoGlosario"/>
        <w:rPr>
          <w:lang w:val="es-PE"/>
        </w:rPr>
      </w:pPr>
      <w:proofErr w:type="spellStart"/>
      <w:r w:rsidRPr="00DC1A5F">
        <w:rPr>
          <w:i/>
          <w:iCs/>
          <w:lang w:val="es-PE"/>
        </w:rPr>
        <w:t>visahati</w:t>
      </w:r>
      <w:proofErr w:type="spellEnd"/>
      <w:r w:rsidRPr="00DC1A5F">
        <w:rPr>
          <w:lang w:val="es-PE"/>
        </w:rPr>
        <w:t>*— sufrir: II.38</w:t>
      </w:r>
    </w:p>
    <w:p w14:paraId="5C386007" w14:textId="77777777" w:rsidR="00597DE2" w:rsidRPr="00DC1A5F" w:rsidRDefault="00597DE2" w:rsidP="00597DE2">
      <w:pPr>
        <w:pStyle w:val="ParrafoGlosario"/>
        <w:rPr>
          <w:lang w:val="es-PE"/>
        </w:rPr>
      </w:pPr>
      <w:proofErr w:type="spellStart"/>
      <w:r w:rsidRPr="00DC1A5F">
        <w:rPr>
          <w:i/>
          <w:iCs/>
          <w:lang w:val="es-PE"/>
        </w:rPr>
        <w:t>visama</w:t>
      </w:r>
      <w:proofErr w:type="spellEnd"/>
      <w:r w:rsidRPr="00DC1A5F">
        <w:rPr>
          <w:i/>
          <w:iCs/>
          <w:lang w:val="es-PE"/>
        </w:rPr>
        <w:t>–</w:t>
      </w:r>
      <w:proofErr w:type="spellStart"/>
      <w:r w:rsidRPr="00DC1A5F">
        <w:rPr>
          <w:i/>
          <w:iCs/>
          <w:lang w:val="es-PE"/>
        </w:rPr>
        <w:t>hetu</w:t>
      </w:r>
      <w:proofErr w:type="spellEnd"/>
      <w:r w:rsidRPr="00DC1A5F">
        <w:rPr>
          <w:lang w:val="es-PE"/>
        </w:rPr>
        <w:t>— causa ficticia</w:t>
      </w:r>
    </w:p>
    <w:p w14:paraId="79C8D0A5" w14:textId="77777777" w:rsidR="00597DE2" w:rsidRPr="00DC1A5F" w:rsidRDefault="00597DE2" w:rsidP="00597DE2">
      <w:pPr>
        <w:pStyle w:val="ParrafoGlosario"/>
        <w:rPr>
          <w:lang w:val="es-PE"/>
        </w:rPr>
      </w:pPr>
      <w:proofErr w:type="spellStart"/>
      <w:r w:rsidRPr="00DC1A5F">
        <w:rPr>
          <w:i/>
          <w:iCs/>
          <w:lang w:val="es-PE"/>
        </w:rPr>
        <w:t>visaṅkharoti</w:t>
      </w:r>
      <w:proofErr w:type="spellEnd"/>
      <w:r w:rsidRPr="00DC1A5F">
        <w:rPr>
          <w:lang w:val="es-PE"/>
        </w:rPr>
        <w:t>*— analizar: XX.68</w:t>
      </w:r>
    </w:p>
    <w:p w14:paraId="27F93D8F" w14:textId="77777777" w:rsidR="00597DE2" w:rsidRPr="006D056E" w:rsidRDefault="00597DE2" w:rsidP="00597DE2">
      <w:pPr>
        <w:pStyle w:val="ParrafoGlosario"/>
        <w:rPr>
          <w:lang w:val="es-PE"/>
        </w:rPr>
      </w:pPr>
      <w:proofErr w:type="spellStart"/>
      <w:r w:rsidRPr="006D056E">
        <w:rPr>
          <w:i/>
          <w:iCs/>
          <w:lang w:val="es-PE"/>
        </w:rPr>
        <w:t>visavitā</w:t>
      </w:r>
      <w:proofErr w:type="spellEnd"/>
      <w:r w:rsidRPr="006D056E">
        <w:rPr>
          <w:lang w:val="es-PE"/>
        </w:rPr>
        <w:t>*— majestad: XII.49 (</w:t>
      </w:r>
      <w:proofErr w:type="spellStart"/>
      <w:r w:rsidRPr="006D056E">
        <w:rPr>
          <w:lang w:val="es-PE"/>
        </w:rPr>
        <w:t>Paṭis</w:t>
      </w:r>
      <w:proofErr w:type="spellEnd"/>
      <w:r w:rsidRPr="006D056E">
        <w:rPr>
          <w:lang w:val="es-PE"/>
        </w:rPr>
        <w:t xml:space="preserve"> I 174; II 205; </w:t>
      </w:r>
      <w:proofErr w:type="spellStart"/>
      <w:r w:rsidRPr="006D056E">
        <w:rPr>
          <w:lang w:val="es-PE"/>
        </w:rPr>
        <w:t>Dhs</w:t>
      </w:r>
      <w:proofErr w:type="spellEnd"/>
      <w:r w:rsidRPr="006D056E">
        <w:rPr>
          <w:lang w:val="es-PE"/>
        </w:rPr>
        <w:t>–a 109)</w:t>
      </w:r>
    </w:p>
    <w:p w14:paraId="1FBB54EB" w14:textId="77777777" w:rsidR="00597DE2" w:rsidRPr="00DC1A5F" w:rsidRDefault="00597DE2" w:rsidP="00597DE2">
      <w:pPr>
        <w:pStyle w:val="ParrafoGlosario"/>
        <w:rPr>
          <w:lang w:val="es-PE"/>
        </w:rPr>
      </w:pPr>
      <w:proofErr w:type="spellStart"/>
      <w:r w:rsidRPr="00DC1A5F">
        <w:rPr>
          <w:i/>
          <w:iCs/>
          <w:lang w:val="es-PE"/>
        </w:rPr>
        <w:t>visaya</w:t>
      </w:r>
      <w:proofErr w:type="spellEnd"/>
      <w:r w:rsidRPr="00DC1A5F">
        <w:rPr>
          <w:lang w:val="es-PE"/>
        </w:rPr>
        <w:t xml:space="preserve">— (1) morada, (2) campo objetivo (de </w:t>
      </w:r>
      <w:proofErr w:type="spellStart"/>
      <w:r w:rsidRPr="00DC1A5F">
        <w:rPr>
          <w:lang w:val="es-PE"/>
        </w:rPr>
        <w:t>laconsciencia</w:t>
      </w:r>
      <w:proofErr w:type="spellEnd"/>
      <w:r w:rsidRPr="00DC1A5F">
        <w:rPr>
          <w:lang w:val="es-PE"/>
        </w:rPr>
        <w:t>)</w:t>
      </w:r>
    </w:p>
    <w:p w14:paraId="70B57729" w14:textId="77777777" w:rsidR="00597DE2" w:rsidRPr="00DC1A5F" w:rsidRDefault="00597DE2" w:rsidP="00597DE2">
      <w:pPr>
        <w:pStyle w:val="ParrafoGlosario"/>
        <w:rPr>
          <w:lang w:val="es-PE"/>
        </w:rPr>
      </w:pPr>
      <w:proofErr w:type="spellStart"/>
      <w:r w:rsidRPr="00DC1A5F">
        <w:rPr>
          <w:i/>
          <w:iCs/>
          <w:lang w:val="es-PE"/>
        </w:rPr>
        <w:t>visesa</w:t>
      </w:r>
      <w:proofErr w:type="spellEnd"/>
      <w:r w:rsidRPr="00DC1A5F">
        <w:rPr>
          <w:lang w:val="es-PE"/>
        </w:rPr>
        <w:t>*— distinción</w:t>
      </w:r>
    </w:p>
    <w:p w14:paraId="7CA95E25" w14:textId="77777777" w:rsidR="00597DE2" w:rsidRDefault="00597DE2" w:rsidP="00597DE2">
      <w:pPr>
        <w:pStyle w:val="ParrafoGlosario"/>
        <w:rPr>
          <w:lang w:val="es-PE"/>
        </w:rPr>
      </w:pPr>
      <w:proofErr w:type="spellStart"/>
      <w:r w:rsidRPr="00DC1A5F">
        <w:rPr>
          <w:i/>
          <w:iCs/>
          <w:lang w:val="es-PE"/>
        </w:rPr>
        <w:t>vitakka</w:t>
      </w:r>
      <w:proofErr w:type="spellEnd"/>
      <w:r w:rsidRPr="00DC1A5F">
        <w:rPr>
          <w:lang w:val="es-PE"/>
        </w:rPr>
        <w:t>—aplicación mental</w:t>
      </w:r>
      <w:r>
        <w:rPr>
          <w:lang w:val="es-PE"/>
        </w:rPr>
        <w:br w:type="page"/>
      </w:r>
    </w:p>
    <w:p w14:paraId="088DB432" w14:textId="77777777" w:rsidR="00597DE2" w:rsidRPr="00DC1A5F" w:rsidRDefault="00597DE2" w:rsidP="00597DE2">
      <w:pPr>
        <w:pStyle w:val="ParrafoGlosario"/>
        <w:rPr>
          <w:lang w:val="es-PE"/>
        </w:rPr>
      </w:pPr>
    </w:p>
    <w:p w14:paraId="3F46944B" w14:textId="77777777" w:rsidR="00597DE2" w:rsidRPr="00DC1A5F" w:rsidRDefault="00597DE2" w:rsidP="00597DE2">
      <w:pPr>
        <w:pStyle w:val="ParrafoGlosario"/>
        <w:rPr>
          <w:lang w:val="es-PE"/>
        </w:rPr>
      </w:pPr>
      <w:proofErr w:type="spellStart"/>
      <w:r w:rsidRPr="00DC1A5F">
        <w:rPr>
          <w:i/>
          <w:iCs/>
          <w:lang w:val="es-PE"/>
        </w:rPr>
        <w:t>vīthi</w:t>
      </w:r>
      <w:proofErr w:type="spellEnd"/>
      <w:r w:rsidRPr="00DC1A5F">
        <w:rPr>
          <w:lang w:val="es-PE"/>
        </w:rPr>
        <w:t>— (1) calle, (2) serie cognitiva (de la consciencia)</w:t>
      </w:r>
    </w:p>
    <w:p w14:paraId="11B3C895" w14:textId="77777777" w:rsidR="00597DE2" w:rsidRPr="00DC1A5F" w:rsidRDefault="00597DE2" w:rsidP="00597DE2">
      <w:pPr>
        <w:pStyle w:val="ParrafoGlosario"/>
        <w:rPr>
          <w:lang w:val="es-PE"/>
        </w:rPr>
      </w:pPr>
      <w:proofErr w:type="spellStart"/>
      <w:r w:rsidRPr="00DC1A5F">
        <w:rPr>
          <w:lang w:val="es-PE"/>
        </w:rPr>
        <w:t>vīthi</w:t>
      </w:r>
      <w:proofErr w:type="spellEnd"/>
      <w:r w:rsidRPr="00DC1A5F">
        <w:rPr>
          <w:lang w:val="es-PE"/>
        </w:rPr>
        <w:t>–</w:t>
      </w:r>
      <w:proofErr w:type="spellStart"/>
      <w:r w:rsidRPr="00DC1A5F">
        <w:rPr>
          <w:lang w:val="es-PE"/>
        </w:rPr>
        <w:t>citta</w:t>
      </w:r>
      <w:proofErr w:type="spellEnd"/>
      <w:r w:rsidRPr="00DC1A5F">
        <w:rPr>
          <w:lang w:val="es-PE"/>
        </w:rPr>
        <w:t>— una consciencia de la serie cognitiva</w:t>
      </w:r>
    </w:p>
    <w:p w14:paraId="3922AC9C" w14:textId="77777777" w:rsidR="00597DE2" w:rsidRPr="00DC1A5F" w:rsidRDefault="00597DE2" w:rsidP="00597DE2">
      <w:pPr>
        <w:pStyle w:val="ParrafoGlosario"/>
        <w:rPr>
          <w:lang w:val="es-PE"/>
        </w:rPr>
      </w:pPr>
      <w:proofErr w:type="spellStart"/>
      <w:r w:rsidRPr="00DC1A5F">
        <w:rPr>
          <w:i/>
          <w:iCs/>
          <w:lang w:val="es-PE"/>
        </w:rPr>
        <w:t>vītiharaṇa</w:t>
      </w:r>
      <w:proofErr w:type="spellEnd"/>
      <w:r w:rsidRPr="00DC1A5F">
        <w:rPr>
          <w:lang w:val="es-PE"/>
        </w:rPr>
        <w:t xml:space="preserve">*— </w:t>
      </w:r>
      <w:r w:rsidRPr="00DC1A5F">
        <w:rPr>
          <w:i/>
          <w:iCs/>
          <w:lang w:val="es-PE"/>
        </w:rPr>
        <w:t>también</w:t>
      </w:r>
      <w:r w:rsidRPr="00DC1A5F">
        <w:rPr>
          <w:lang w:val="es-PE"/>
        </w:rPr>
        <w:t xml:space="preserve"> volteado: XI.115</w:t>
      </w:r>
    </w:p>
    <w:p w14:paraId="0244A428" w14:textId="77777777" w:rsidR="00597DE2" w:rsidRPr="00DC1A5F" w:rsidRDefault="00597DE2" w:rsidP="00597DE2">
      <w:pPr>
        <w:pStyle w:val="ParrafoGlosario"/>
        <w:rPr>
          <w:lang w:val="es-PE"/>
        </w:rPr>
      </w:pPr>
      <w:proofErr w:type="spellStart"/>
      <w:r w:rsidRPr="00DC1A5F">
        <w:rPr>
          <w:i/>
          <w:iCs/>
          <w:lang w:val="es-PE"/>
        </w:rPr>
        <w:t>vitthambhana</w:t>
      </w:r>
      <w:proofErr w:type="spellEnd"/>
      <w:r w:rsidRPr="00DC1A5F">
        <w:rPr>
          <w:lang w:val="es-PE"/>
        </w:rPr>
        <w:t>*— también distensión: XI.37, 84</w:t>
      </w:r>
    </w:p>
    <w:p w14:paraId="1E5A50F3" w14:textId="77777777" w:rsidR="00597DE2" w:rsidRPr="00DC1A5F" w:rsidRDefault="00597DE2" w:rsidP="00597DE2">
      <w:pPr>
        <w:pStyle w:val="ParrafoGlosario"/>
        <w:rPr>
          <w:lang w:val="es-PE"/>
        </w:rPr>
      </w:pPr>
      <w:proofErr w:type="spellStart"/>
      <w:r w:rsidRPr="00DC1A5F">
        <w:rPr>
          <w:i/>
          <w:iCs/>
          <w:lang w:val="es-PE"/>
        </w:rPr>
        <w:t>vivaṭṭa</w:t>
      </w:r>
      <w:proofErr w:type="spellEnd"/>
      <w:r w:rsidRPr="00DC1A5F">
        <w:rPr>
          <w:lang w:val="es-PE"/>
        </w:rPr>
        <w:t>— (1) cesación del ciclo (</w:t>
      </w:r>
      <w:proofErr w:type="spellStart"/>
      <w:r w:rsidRPr="00DC1A5F">
        <w:rPr>
          <w:i/>
          <w:iCs/>
          <w:lang w:val="es-PE"/>
        </w:rPr>
        <w:t>kammico</w:t>
      </w:r>
      <w:proofErr w:type="spellEnd"/>
      <w:r w:rsidRPr="00DC1A5F">
        <w:rPr>
          <w:lang w:val="es-PE"/>
        </w:rPr>
        <w:t xml:space="preserve">, etc.), la originación dependiente como cesación, (2) </w:t>
      </w:r>
      <w:proofErr w:type="spellStart"/>
      <w:r w:rsidRPr="00DC1A5F">
        <w:rPr>
          <w:lang w:val="es-PE"/>
        </w:rPr>
        <w:t>distanciento</w:t>
      </w:r>
      <w:proofErr w:type="spellEnd"/>
      <w:r w:rsidRPr="00DC1A5F">
        <w:rPr>
          <w:lang w:val="es-PE"/>
        </w:rPr>
        <w:t>, (3) expansión (del mundo después de la contracción)</w:t>
      </w:r>
    </w:p>
    <w:p w14:paraId="09E03986" w14:textId="77777777" w:rsidR="00597DE2" w:rsidRPr="00DC1A5F" w:rsidRDefault="00597DE2" w:rsidP="00597DE2">
      <w:pPr>
        <w:pStyle w:val="ParrafoGlosario"/>
        <w:rPr>
          <w:lang w:val="es-PE"/>
        </w:rPr>
      </w:pPr>
      <w:proofErr w:type="spellStart"/>
      <w:r w:rsidRPr="00DC1A5F">
        <w:rPr>
          <w:i/>
          <w:iCs/>
          <w:lang w:val="es-PE"/>
        </w:rPr>
        <w:t>viveka</w:t>
      </w:r>
      <w:proofErr w:type="spellEnd"/>
      <w:r w:rsidRPr="00DC1A5F">
        <w:rPr>
          <w:lang w:val="es-PE"/>
        </w:rPr>
        <w:t>— reclusión</w:t>
      </w:r>
    </w:p>
    <w:p w14:paraId="7A0B797B" w14:textId="77777777" w:rsidR="00597DE2" w:rsidRPr="00DC1A5F" w:rsidRDefault="00597DE2" w:rsidP="00597DE2">
      <w:pPr>
        <w:pStyle w:val="ParrafoGlosario"/>
        <w:rPr>
          <w:lang w:val="es-PE"/>
        </w:rPr>
      </w:pPr>
      <w:proofErr w:type="spellStart"/>
      <w:r w:rsidRPr="00DC1A5F">
        <w:rPr>
          <w:i/>
          <w:iCs/>
          <w:lang w:val="es-PE"/>
        </w:rPr>
        <w:t>viyojeti</w:t>
      </w:r>
      <w:proofErr w:type="spellEnd"/>
      <w:r w:rsidRPr="00DC1A5F">
        <w:rPr>
          <w:lang w:val="es-PE"/>
        </w:rPr>
        <w:t>*— separar: VIII.95</w:t>
      </w:r>
    </w:p>
    <w:p w14:paraId="25405F8B" w14:textId="77777777" w:rsidR="00597DE2" w:rsidRPr="00DC1A5F" w:rsidRDefault="00597DE2" w:rsidP="00597DE2">
      <w:pPr>
        <w:pStyle w:val="ParrafoGlosario"/>
        <w:rPr>
          <w:lang w:val="es-PE"/>
        </w:rPr>
      </w:pPr>
      <w:proofErr w:type="spellStart"/>
      <w:r w:rsidRPr="00DC1A5F">
        <w:rPr>
          <w:i/>
          <w:iCs/>
          <w:lang w:val="es-PE"/>
        </w:rPr>
        <w:t>vodāna</w:t>
      </w:r>
      <w:proofErr w:type="spellEnd"/>
      <w:r w:rsidRPr="00DC1A5F">
        <w:rPr>
          <w:lang w:val="es-PE"/>
        </w:rPr>
        <w:t>— limpieza (término para la consciencia que preceda a la absorción o el sendero)</w:t>
      </w:r>
    </w:p>
    <w:p w14:paraId="319E14B7" w14:textId="77777777" w:rsidR="00597DE2" w:rsidRPr="00DC1A5F" w:rsidRDefault="00597DE2" w:rsidP="00597DE2">
      <w:pPr>
        <w:pStyle w:val="ParrafoGlosario"/>
        <w:rPr>
          <w:lang w:val="es-PE"/>
        </w:rPr>
      </w:pPr>
      <w:proofErr w:type="spellStart"/>
      <w:r w:rsidRPr="00DC1A5F">
        <w:rPr>
          <w:i/>
          <w:iCs/>
          <w:lang w:val="es-PE"/>
        </w:rPr>
        <w:t>vohāra</w:t>
      </w:r>
      <w:proofErr w:type="spellEnd"/>
      <w:r w:rsidRPr="00DC1A5F">
        <w:rPr>
          <w:lang w:val="es-PE"/>
        </w:rPr>
        <w:t>— uso convencional, lenguaje común</w:t>
      </w:r>
    </w:p>
    <w:p w14:paraId="188D7352" w14:textId="77777777" w:rsidR="00597DE2" w:rsidRPr="00DC1A5F" w:rsidRDefault="00597DE2" w:rsidP="00597DE2">
      <w:pPr>
        <w:pStyle w:val="ParrafoGlosario"/>
        <w:rPr>
          <w:lang w:val="es-PE"/>
        </w:rPr>
      </w:pPr>
      <w:proofErr w:type="spellStart"/>
      <w:r w:rsidRPr="00DC1A5F">
        <w:rPr>
          <w:i/>
          <w:iCs/>
          <w:lang w:val="es-PE"/>
        </w:rPr>
        <w:t>vokāra</w:t>
      </w:r>
      <w:proofErr w:type="spellEnd"/>
      <w:r w:rsidRPr="00DC1A5F">
        <w:rPr>
          <w:lang w:val="es-PE"/>
        </w:rPr>
        <w:t>— constituyente</w:t>
      </w:r>
    </w:p>
    <w:p w14:paraId="058DC52B" w14:textId="77777777" w:rsidR="00597DE2" w:rsidRPr="00DC1A5F" w:rsidRDefault="00597DE2" w:rsidP="00597DE2">
      <w:pPr>
        <w:pStyle w:val="ParrafoGlosario"/>
        <w:rPr>
          <w:lang w:val="es-PE"/>
        </w:rPr>
      </w:pPr>
      <w:proofErr w:type="spellStart"/>
      <w:r w:rsidRPr="00DC1A5F">
        <w:rPr>
          <w:i/>
          <w:iCs/>
          <w:lang w:val="es-PE"/>
        </w:rPr>
        <w:t>voṭṭhapana</w:t>
      </w:r>
      <w:proofErr w:type="spellEnd"/>
      <w:r w:rsidRPr="00DC1A5F">
        <w:rPr>
          <w:lang w:val="es-PE"/>
        </w:rPr>
        <w:t>— determinar (la consciencia)</w:t>
      </w:r>
    </w:p>
    <w:p w14:paraId="2AD1B4D3" w14:textId="77777777" w:rsidR="00597DE2" w:rsidRPr="00DC1A5F" w:rsidRDefault="00597DE2" w:rsidP="00597DE2">
      <w:pPr>
        <w:pStyle w:val="ParrafoGlosario"/>
        <w:rPr>
          <w:lang w:val="es-PE"/>
        </w:rPr>
      </w:pPr>
      <w:proofErr w:type="spellStart"/>
      <w:r w:rsidRPr="00DC1A5F">
        <w:rPr>
          <w:i/>
          <w:iCs/>
          <w:lang w:val="es-PE"/>
        </w:rPr>
        <w:t>vuṭṭhāna</w:t>
      </w:r>
      <w:proofErr w:type="spellEnd"/>
      <w:r w:rsidRPr="00DC1A5F">
        <w:rPr>
          <w:lang w:val="es-PE"/>
        </w:rPr>
        <w:t>— emergencia</w:t>
      </w:r>
      <w:r>
        <w:rPr>
          <w:lang w:val="es-PE"/>
        </w:rPr>
        <w:br w:type="column"/>
      </w:r>
    </w:p>
    <w:p w14:paraId="4A12D0F4" w14:textId="77777777" w:rsidR="00597DE2" w:rsidRPr="00DC1A5F" w:rsidRDefault="00597DE2" w:rsidP="00597DE2">
      <w:pPr>
        <w:pStyle w:val="ParrafoGlosario"/>
        <w:rPr>
          <w:lang w:val="es-PE"/>
        </w:rPr>
      </w:pPr>
      <w:proofErr w:type="spellStart"/>
      <w:r w:rsidRPr="00DC1A5F">
        <w:rPr>
          <w:i/>
          <w:iCs/>
          <w:lang w:val="es-PE"/>
        </w:rPr>
        <w:t>vuṭṭhānagāmini</w:t>
      </w:r>
      <w:proofErr w:type="spellEnd"/>
      <w:r w:rsidRPr="00DC1A5F">
        <w:rPr>
          <w:i/>
          <w:iCs/>
          <w:lang w:val="es-PE"/>
        </w:rPr>
        <w:t>–</w:t>
      </w:r>
      <w:proofErr w:type="spellStart"/>
      <w:r w:rsidRPr="00DC1A5F">
        <w:rPr>
          <w:i/>
          <w:iCs/>
          <w:lang w:val="es-PE"/>
        </w:rPr>
        <w:t>vipassanā</w:t>
      </w:r>
      <w:proofErr w:type="spellEnd"/>
      <w:r w:rsidRPr="00DC1A5F">
        <w:rPr>
          <w:lang w:val="es-PE"/>
        </w:rPr>
        <w:t>— sabiduría conducente al surgimiento (del sendero)</w:t>
      </w:r>
    </w:p>
    <w:p w14:paraId="4EE6F35C" w14:textId="77777777" w:rsidR="00597DE2" w:rsidRPr="00DC1A5F" w:rsidRDefault="00597DE2" w:rsidP="00597DE2">
      <w:pPr>
        <w:pStyle w:val="ParrafoGlosario"/>
        <w:rPr>
          <w:lang w:val="es-PE"/>
        </w:rPr>
      </w:pPr>
      <w:r w:rsidRPr="00DC1A5F">
        <w:rPr>
          <w:i/>
          <w:iCs/>
          <w:lang w:val="es-PE"/>
        </w:rPr>
        <w:t>vyāpāda</w:t>
      </w:r>
      <w:r w:rsidRPr="00DC1A5F">
        <w:rPr>
          <w:lang w:val="es-PE"/>
        </w:rPr>
        <w:t>— mala voluntad</w:t>
      </w:r>
    </w:p>
    <w:p w14:paraId="0D12FEA5" w14:textId="77777777" w:rsidR="00597DE2" w:rsidRPr="00DC1A5F" w:rsidRDefault="00597DE2" w:rsidP="00597DE2">
      <w:pPr>
        <w:pStyle w:val="ParrafoGlosario"/>
        <w:rPr>
          <w:lang w:val="es-PE"/>
        </w:rPr>
      </w:pPr>
      <w:proofErr w:type="spellStart"/>
      <w:r w:rsidRPr="00DC1A5F">
        <w:rPr>
          <w:i/>
          <w:iCs/>
          <w:lang w:val="es-PE"/>
        </w:rPr>
        <w:t>vyāpāra</w:t>
      </w:r>
      <w:proofErr w:type="spellEnd"/>
      <w:r w:rsidRPr="00DC1A5F">
        <w:rPr>
          <w:lang w:val="es-PE"/>
        </w:rPr>
        <w:t xml:space="preserve">*— </w:t>
      </w:r>
      <w:r w:rsidRPr="00DC1A5F">
        <w:rPr>
          <w:i/>
          <w:iCs/>
          <w:lang w:val="es-PE"/>
        </w:rPr>
        <w:t>también</w:t>
      </w:r>
      <w:r w:rsidRPr="00DC1A5F">
        <w:rPr>
          <w:lang w:val="es-PE"/>
        </w:rPr>
        <w:t xml:space="preserve"> interés, interés: XVII.309; XVIII.31 </w:t>
      </w:r>
    </w:p>
    <w:p w14:paraId="2CBFBAD6" w14:textId="77777777" w:rsidR="00597DE2" w:rsidRPr="00DC1A5F" w:rsidRDefault="00597DE2" w:rsidP="00597DE2">
      <w:pPr>
        <w:pStyle w:val="ParrafoGlosario"/>
        <w:rPr>
          <w:lang w:val="es-PE"/>
        </w:rPr>
      </w:pPr>
      <w:proofErr w:type="spellStart"/>
      <w:r w:rsidRPr="00DC1A5F">
        <w:rPr>
          <w:i/>
          <w:iCs/>
          <w:lang w:val="es-PE"/>
        </w:rPr>
        <w:t>vyappita</w:t>
      </w:r>
      <w:proofErr w:type="spellEnd"/>
      <w:r w:rsidRPr="00DC1A5F">
        <w:rPr>
          <w:lang w:val="es-PE"/>
        </w:rPr>
        <w:t xml:space="preserve">*— </w:t>
      </w:r>
      <w:r w:rsidRPr="00DC1A5F">
        <w:rPr>
          <w:i/>
          <w:iCs/>
          <w:lang w:val="es-PE"/>
        </w:rPr>
        <w:t>también</w:t>
      </w:r>
      <w:r w:rsidRPr="00DC1A5F">
        <w:rPr>
          <w:lang w:val="es-PE"/>
        </w:rPr>
        <w:t xml:space="preserve"> ido, marchado IV.146 (</w:t>
      </w:r>
      <w:proofErr w:type="spellStart"/>
      <w:r w:rsidRPr="00DC1A5F">
        <w:rPr>
          <w:lang w:val="es-PE"/>
        </w:rPr>
        <w:t>Vibh</w:t>
      </w:r>
      <w:proofErr w:type="spellEnd"/>
      <w:r w:rsidRPr="00DC1A5F">
        <w:rPr>
          <w:lang w:val="es-PE"/>
        </w:rPr>
        <w:t xml:space="preserve"> 258)</w:t>
      </w:r>
    </w:p>
    <w:p w14:paraId="526F74BD" w14:textId="77777777" w:rsidR="00597DE2" w:rsidRPr="00DC1A5F" w:rsidRDefault="00597DE2" w:rsidP="00597DE2">
      <w:pPr>
        <w:pStyle w:val="ParrafoGlosario"/>
        <w:rPr>
          <w:lang w:val="es-PE"/>
        </w:rPr>
      </w:pPr>
      <w:proofErr w:type="spellStart"/>
      <w:r w:rsidRPr="00DC1A5F">
        <w:rPr>
          <w:i/>
          <w:iCs/>
          <w:lang w:val="es-PE"/>
        </w:rPr>
        <w:t>vyatti</w:t>
      </w:r>
      <w:proofErr w:type="spellEnd"/>
      <w:r w:rsidRPr="00DC1A5F">
        <w:rPr>
          <w:lang w:val="es-PE"/>
        </w:rPr>
        <w:t>*— distinción particular: VIII.72 (M–a I 6)</w:t>
      </w:r>
    </w:p>
    <w:p w14:paraId="18DE5E10"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yathābhūta</w:t>
      </w:r>
      <w:proofErr w:type="spellEnd"/>
      <w:r w:rsidRPr="00DC1A5F">
        <w:rPr>
          <w:sz w:val="15"/>
          <w:szCs w:val="15"/>
          <w:lang w:val="es-PE"/>
        </w:rPr>
        <w:t xml:space="preserve">— correcto, </w:t>
      </w:r>
      <w:r w:rsidRPr="00DC1A5F">
        <w:rPr>
          <w:color w:val="833C0B" w:themeColor="accent2" w:themeShade="80"/>
          <w:sz w:val="15"/>
          <w:szCs w:val="15"/>
          <w:lang w:val="es-PE"/>
        </w:rPr>
        <w:t>tal y como es</w:t>
      </w:r>
    </w:p>
    <w:p w14:paraId="25CB58C4"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yathā</w:t>
      </w:r>
      <w:proofErr w:type="spellEnd"/>
      <w:r w:rsidRPr="00DC1A5F">
        <w:rPr>
          <w:i/>
          <w:iCs/>
          <w:sz w:val="15"/>
          <w:szCs w:val="15"/>
          <w:lang w:val="es-PE"/>
        </w:rPr>
        <w:t>–</w:t>
      </w:r>
      <w:proofErr w:type="spellStart"/>
      <w:r w:rsidRPr="00DC1A5F">
        <w:rPr>
          <w:i/>
          <w:iCs/>
          <w:sz w:val="15"/>
          <w:szCs w:val="15"/>
          <w:lang w:val="es-PE"/>
        </w:rPr>
        <w:t>kammūpaga</w:t>
      </w:r>
      <w:proofErr w:type="spellEnd"/>
      <w:r w:rsidRPr="00DC1A5F">
        <w:rPr>
          <w:i/>
          <w:iCs/>
          <w:sz w:val="15"/>
          <w:szCs w:val="15"/>
          <w:lang w:val="es-PE"/>
        </w:rPr>
        <w:t>–ñāṇa</w:t>
      </w:r>
      <w:r w:rsidRPr="00DC1A5F">
        <w:rPr>
          <w:sz w:val="15"/>
          <w:szCs w:val="15"/>
          <w:lang w:val="es-PE"/>
        </w:rPr>
        <w:t xml:space="preserve">— conocimiento del </w:t>
      </w:r>
      <w:proofErr w:type="gramStart"/>
      <w:r w:rsidRPr="00DC1A5F">
        <w:rPr>
          <w:sz w:val="15"/>
          <w:szCs w:val="15"/>
          <w:lang w:val="es-PE"/>
        </w:rPr>
        <w:t>destino  (</w:t>
      </w:r>
      <w:proofErr w:type="gramEnd"/>
      <w:r w:rsidRPr="00DC1A5F">
        <w:rPr>
          <w:sz w:val="15"/>
          <w:szCs w:val="15"/>
          <w:lang w:val="es-PE"/>
        </w:rPr>
        <w:t>de los seres) de acuerdo a sus acciones</w:t>
      </w:r>
    </w:p>
    <w:p w14:paraId="05191F96" w14:textId="77777777" w:rsidR="00597DE2" w:rsidRPr="00DC1A5F" w:rsidRDefault="00597DE2" w:rsidP="00597DE2">
      <w:pPr>
        <w:pStyle w:val="ParrafoGlosario"/>
        <w:rPr>
          <w:sz w:val="15"/>
          <w:szCs w:val="15"/>
          <w:lang w:val="es-PE"/>
        </w:rPr>
      </w:pPr>
      <w:r w:rsidRPr="00DC1A5F">
        <w:rPr>
          <w:i/>
          <w:iCs/>
          <w:sz w:val="15"/>
          <w:szCs w:val="15"/>
          <w:lang w:val="es-PE"/>
        </w:rPr>
        <w:t>ye–</w:t>
      </w:r>
      <w:proofErr w:type="spellStart"/>
      <w:r w:rsidRPr="00DC1A5F">
        <w:rPr>
          <w:i/>
          <w:iCs/>
          <w:sz w:val="15"/>
          <w:szCs w:val="15"/>
          <w:lang w:val="es-PE"/>
        </w:rPr>
        <w:t>vā</w:t>
      </w:r>
      <w:proofErr w:type="spellEnd"/>
      <w:r w:rsidRPr="00DC1A5F">
        <w:rPr>
          <w:i/>
          <w:iCs/>
          <w:sz w:val="15"/>
          <w:szCs w:val="15"/>
          <w:lang w:val="es-PE"/>
        </w:rPr>
        <w:t>–</w:t>
      </w:r>
      <w:proofErr w:type="spellStart"/>
      <w:r w:rsidRPr="00DC1A5F">
        <w:rPr>
          <w:i/>
          <w:iCs/>
          <w:sz w:val="15"/>
          <w:szCs w:val="15"/>
          <w:lang w:val="es-PE"/>
        </w:rPr>
        <w:t>panaka</w:t>
      </w:r>
      <w:proofErr w:type="spellEnd"/>
      <w:r w:rsidRPr="00DC1A5F">
        <w:rPr>
          <w:sz w:val="15"/>
          <w:szCs w:val="15"/>
          <w:lang w:val="es-PE"/>
        </w:rPr>
        <w:t>— o cualquier (estado) (término para ciertas formaciones)</w:t>
      </w:r>
    </w:p>
    <w:p w14:paraId="2FDD82CD" w14:textId="77777777" w:rsidR="00597DE2" w:rsidRPr="00DC1A5F" w:rsidRDefault="00597DE2" w:rsidP="00597DE2">
      <w:pPr>
        <w:pStyle w:val="ParrafoGlosario"/>
        <w:rPr>
          <w:sz w:val="15"/>
          <w:szCs w:val="15"/>
          <w:lang w:val="es-PE"/>
        </w:rPr>
      </w:pPr>
      <w:r w:rsidRPr="00DC1A5F">
        <w:rPr>
          <w:i/>
          <w:iCs/>
          <w:sz w:val="15"/>
          <w:szCs w:val="15"/>
          <w:lang w:val="es-PE"/>
        </w:rPr>
        <w:t>yoga</w:t>
      </w:r>
      <w:r w:rsidRPr="00DC1A5F">
        <w:rPr>
          <w:sz w:val="15"/>
          <w:szCs w:val="15"/>
          <w:lang w:val="es-PE"/>
        </w:rPr>
        <w:t xml:space="preserve">— vínculo (los 4) </w:t>
      </w:r>
    </w:p>
    <w:p w14:paraId="5FEFCCFC" w14:textId="77777777" w:rsidR="00597DE2" w:rsidRPr="00DC1A5F" w:rsidRDefault="00597DE2" w:rsidP="00597DE2">
      <w:pPr>
        <w:pStyle w:val="ParrafoGlosario"/>
        <w:rPr>
          <w:sz w:val="15"/>
          <w:szCs w:val="15"/>
          <w:lang w:val="es-PE"/>
        </w:rPr>
      </w:pPr>
      <w:r w:rsidRPr="00DC1A5F">
        <w:rPr>
          <w:i/>
          <w:iCs/>
          <w:sz w:val="15"/>
          <w:szCs w:val="15"/>
          <w:lang w:val="es-PE"/>
        </w:rPr>
        <w:t>yoni</w:t>
      </w:r>
      <w:r w:rsidRPr="00DC1A5F">
        <w:rPr>
          <w:sz w:val="15"/>
          <w:szCs w:val="15"/>
          <w:lang w:val="es-PE"/>
        </w:rPr>
        <w:t>— (1) matriz, (2) generación, (3) causa, razón</w:t>
      </w:r>
    </w:p>
    <w:p w14:paraId="0D97C993"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yoniso</w:t>
      </w:r>
      <w:proofErr w:type="spellEnd"/>
      <w:r w:rsidRPr="00DC1A5F">
        <w:rPr>
          <w:sz w:val="15"/>
          <w:szCs w:val="15"/>
          <w:lang w:val="es-PE"/>
        </w:rPr>
        <w:t>— sabio, sabiamente, con un razonamiento ordenado</w:t>
      </w:r>
    </w:p>
    <w:p w14:paraId="131CC0B5" w14:textId="77777777" w:rsidR="00597DE2" w:rsidRPr="00DC1A5F" w:rsidRDefault="00597DE2" w:rsidP="00597DE2">
      <w:pPr>
        <w:pStyle w:val="ParrafoGlosario"/>
        <w:rPr>
          <w:sz w:val="15"/>
          <w:szCs w:val="15"/>
          <w:lang w:val="es-PE"/>
        </w:rPr>
      </w:pPr>
      <w:proofErr w:type="spellStart"/>
      <w:r w:rsidRPr="00DC1A5F">
        <w:rPr>
          <w:i/>
          <w:iCs/>
          <w:sz w:val="15"/>
          <w:szCs w:val="15"/>
          <w:lang w:val="es-PE"/>
        </w:rPr>
        <w:t>yuganaddha</w:t>
      </w:r>
      <w:proofErr w:type="spellEnd"/>
      <w:r w:rsidRPr="00DC1A5F">
        <w:rPr>
          <w:sz w:val="15"/>
          <w:szCs w:val="15"/>
          <w:lang w:val="es-PE"/>
        </w:rPr>
        <w:t>— acoplamiento, unión (de la serenidad y sabiduría</w:t>
      </w:r>
      <w:r w:rsidRPr="00DC1A5F">
        <w:rPr>
          <w:rFonts w:cs="Cormorant"/>
          <w:sz w:val="15"/>
          <w:szCs w:val="15"/>
          <w:lang w:val="es-PE"/>
        </w:rPr>
        <w:t>―</w:t>
      </w:r>
      <w:r w:rsidRPr="00DC1A5F">
        <w:rPr>
          <w:sz w:val="15"/>
          <w:szCs w:val="15"/>
          <w:lang w:val="es-PE"/>
        </w:rPr>
        <w:t>revelativa)</w:t>
      </w:r>
    </w:p>
    <w:p w14:paraId="51198AFD" w14:textId="77777777" w:rsidR="00597DE2" w:rsidRDefault="00597DE2" w:rsidP="00597DE2">
      <w:pPr>
        <w:tabs>
          <w:tab w:val="clear" w:pos="425"/>
        </w:tabs>
        <w:spacing w:after="160"/>
        <w:sectPr w:rsidR="00597DE2" w:rsidSect="00305694">
          <w:footnotePr>
            <w:numRestart w:val="eachSect"/>
          </w:footnotePr>
          <w:pgSz w:w="8641" w:h="12962"/>
          <w:pgMar w:top="851" w:right="964" w:bottom="964" w:left="964" w:header="709" w:footer="709" w:gutter="0"/>
          <w:pgNumType w:start="833"/>
          <w:cols w:num="2" w:space="708"/>
          <w:docGrid w:linePitch="360"/>
        </w:sectPr>
      </w:pPr>
    </w:p>
    <w:p w14:paraId="5BF5DE54" w14:textId="77777777" w:rsidR="00597DE2" w:rsidRPr="00DC1A5F" w:rsidRDefault="00597DE2" w:rsidP="00597DE2">
      <w:pPr>
        <w:pStyle w:val="Textoindependiente"/>
        <w:sectPr w:rsidR="00597DE2" w:rsidRPr="00DC1A5F" w:rsidSect="00305694">
          <w:footerReference w:type="default" r:id="rId26"/>
          <w:footnotePr>
            <w:numRestart w:val="eachSect"/>
          </w:footnotePr>
          <w:type w:val="continuous"/>
          <w:pgSz w:w="8641" w:h="12962"/>
          <w:pgMar w:top="851" w:right="964" w:bottom="964" w:left="964" w:header="709" w:footer="709" w:gutter="0"/>
          <w:pgNumType w:start="846"/>
          <w:cols w:space="708"/>
          <w:docGrid w:linePitch="360"/>
        </w:sectPr>
      </w:pPr>
    </w:p>
    <w:p w14:paraId="025F353B" w14:textId="77777777" w:rsidR="00597DE2" w:rsidRPr="00DC1A5F" w:rsidRDefault="00597DE2" w:rsidP="00597DE2">
      <w:pPr>
        <w:pStyle w:val="Ttulo2"/>
      </w:pPr>
      <w:bookmarkStart w:id="19" w:name="_Toc142334424"/>
      <w:r w:rsidRPr="00DC1A5F">
        <w:lastRenderedPageBreak/>
        <w:t xml:space="preserve">Tabla I: </w:t>
      </w:r>
      <w:r w:rsidRPr="00DC1A5F">
        <w:tab/>
        <w:t xml:space="preserve">El Agregado </w:t>
      </w:r>
      <w:r>
        <w:t>d</w:t>
      </w:r>
      <w:r w:rsidRPr="00DC1A5F">
        <w:t xml:space="preserve">e </w:t>
      </w:r>
      <w:r>
        <w:t xml:space="preserve">la </w:t>
      </w:r>
      <w:r w:rsidRPr="00DC1A5F">
        <w:t>Materialidad</w:t>
      </w:r>
      <w:r w:rsidRPr="00DC1A5F">
        <w:rPr>
          <w:vertAlign w:val="superscript"/>
        </w:rPr>
        <w:t>1</w:t>
      </w:r>
      <w:bookmarkEnd w:id="19"/>
    </w:p>
    <w:p w14:paraId="1989BD73" w14:textId="77777777" w:rsidR="00597DE2" w:rsidRPr="00DC1A5F" w:rsidRDefault="00597DE2" w:rsidP="00597DE2">
      <w:pPr>
        <w:pStyle w:val="Textoindependiente"/>
      </w:pPr>
      <w:r>
        <w:t>Los 4</w:t>
      </w:r>
      <w:r w:rsidRPr="00DC1A5F">
        <w:t xml:space="preserve"> Elementos Primarios </w:t>
      </w:r>
      <w:r>
        <w:t>o</w:t>
      </w:r>
      <w:r w:rsidRPr="00DC1A5F">
        <w:t xml:space="preserve"> Grandes Entidades (</w:t>
      </w:r>
      <w:r w:rsidRPr="00F9563F">
        <w:rPr>
          <w:i/>
          <w:iCs/>
        </w:rPr>
        <w:t>Mahā–Bhūta</w:t>
      </w:r>
      <w:r w:rsidRPr="00DC1A5F">
        <w:t>)</w:t>
      </w:r>
    </w:p>
    <w:p w14:paraId="5435B447" w14:textId="77777777" w:rsidR="00597DE2" w:rsidRPr="00DC1A5F" w:rsidRDefault="00597DE2" w:rsidP="00597DE2">
      <w:pPr>
        <w:pStyle w:val="ParrafoApendice"/>
        <w:tabs>
          <w:tab w:val="right" w:leader="dot" w:pos="3402"/>
          <w:tab w:val="left" w:pos="3969"/>
          <w:tab w:val="left" w:pos="5387"/>
        </w:tabs>
        <w:ind w:left="568"/>
        <w:rPr>
          <w:lang w:val="es-PE"/>
        </w:rPr>
      </w:pPr>
      <w:r w:rsidRPr="00DC1A5F">
        <w:rPr>
          <w:noProof/>
          <w:lang w:val="es-PE"/>
        </w:rPr>
        <mc:AlternateContent>
          <mc:Choice Requires="wps">
            <w:drawing>
              <wp:anchor distT="0" distB="0" distL="114300" distR="114300" simplePos="0" relativeHeight="251659776" behindDoc="0" locked="0" layoutInCell="1" allowOverlap="1" wp14:anchorId="4084F369" wp14:editId="477AEAFF">
                <wp:simplePos x="0" y="0"/>
                <wp:positionH relativeFrom="column">
                  <wp:posOffset>3276279</wp:posOffset>
                </wp:positionH>
                <wp:positionV relativeFrom="paragraph">
                  <wp:posOffset>41059</wp:posOffset>
                </wp:positionV>
                <wp:extent cx="114966" cy="350520"/>
                <wp:effectExtent l="0" t="0" r="18415" b="11430"/>
                <wp:wrapNone/>
                <wp:docPr id="816340141" name="Cerrar llave 816340141"/>
                <wp:cNvGraphicFramePr/>
                <a:graphic xmlns:a="http://schemas.openxmlformats.org/drawingml/2006/main">
                  <a:graphicData uri="http://schemas.microsoft.com/office/word/2010/wordprocessingShape">
                    <wps:wsp>
                      <wps:cNvSpPr/>
                      <wps:spPr>
                        <a:xfrm>
                          <a:off x="0" y="0"/>
                          <a:ext cx="114966" cy="350520"/>
                        </a:xfrm>
                        <a:prstGeom prst="rightBrace">
                          <a:avLst>
                            <a:gd name="adj1" fmla="val 56268"/>
                            <a:gd name="adj2" fmla="val 44964"/>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35CA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816340141" o:spid="_x0000_s1026" type="#_x0000_t88" style="position:absolute;margin-left:257.95pt;margin-top:3.25pt;width:9.05pt;height:2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" adj="3986,9712" strokecolor="#5a5a5a [2109]" strokeweight="1pt">
                <v:stroke joinstyle="miter"/>
              </v:shape>
            </w:pict>
          </mc:Fallback>
        </mc:AlternateContent>
      </w:r>
      <w:r w:rsidRPr="00DC1A5F">
        <w:rPr>
          <w:noProof/>
          <w:lang w:val="es-PE"/>
        </w:rPr>
        <mc:AlternateContent>
          <mc:Choice Requires="wps">
            <w:drawing>
              <wp:anchor distT="0" distB="0" distL="114300" distR="114300" simplePos="0" relativeHeight="251662848" behindDoc="0" locked="0" layoutInCell="1" allowOverlap="1" wp14:anchorId="51962009" wp14:editId="0757EC97">
                <wp:simplePos x="0" y="0"/>
                <wp:positionH relativeFrom="column">
                  <wp:posOffset>2313052</wp:posOffset>
                </wp:positionH>
                <wp:positionV relativeFrom="paragraph">
                  <wp:posOffset>5549</wp:posOffset>
                </wp:positionV>
                <wp:extent cx="137160" cy="399495"/>
                <wp:effectExtent l="0" t="0" r="15240" b="19685"/>
                <wp:wrapNone/>
                <wp:docPr id="1941105885" name="Cerrar llave 1941105885"/>
                <wp:cNvGraphicFramePr/>
                <a:graphic xmlns:a="http://schemas.openxmlformats.org/drawingml/2006/main">
                  <a:graphicData uri="http://schemas.microsoft.com/office/word/2010/wordprocessingShape">
                    <wps:wsp>
                      <wps:cNvSpPr/>
                      <wps:spPr>
                        <a:xfrm>
                          <a:off x="0" y="0"/>
                          <a:ext cx="137160" cy="399495"/>
                        </a:xfrm>
                        <a:prstGeom prst="rightBrace">
                          <a:avLst>
                            <a:gd name="adj1" fmla="val 56268"/>
                            <a:gd name="adj2" fmla="val 42390"/>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B1F60" id="Cerrar llave 1941105885" o:spid="_x0000_s1026" type="#_x0000_t88" style="position:absolute;margin-left:182.15pt;margin-top:.45pt;width:10.8pt;height:3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" adj="4173,9156" strokecolor="#5a5a5a [2109]" strokeweight="1pt">
                <v:stroke joinstyle="miter"/>
              </v:shape>
            </w:pict>
          </mc:Fallback>
        </mc:AlternateContent>
      </w:r>
      <w:r>
        <w:rPr>
          <w:lang w:val="es-PE"/>
        </w:rPr>
        <w:t>*</w:t>
      </w:r>
      <w:r w:rsidRPr="00DC1A5F">
        <w:rPr>
          <w:lang w:val="es-PE"/>
        </w:rPr>
        <w:tab/>
        <w:t>Tierra (</w:t>
      </w:r>
      <w:proofErr w:type="spellStart"/>
      <w:r w:rsidRPr="00DC1A5F">
        <w:rPr>
          <w:i/>
          <w:iCs/>
          <w:lang w:val="es-PE"/>
        </w:rPr>
        <w:t>paṭhavī</w:t>
      </w:r>
      <w:proofErr w:type="spellEnd"/>
      <w:r w:rsidRPr="00DC1A5F">
        <w:rPr>
          <w:lang w:val="es-PE"/>
        </w:rPr>
        <w:t xml:space="preserve">—solidez, dureza) </w:t>
      </w:r>
      <w:r w:rsidRPr="00DC1A5F">
        <w:rPr>
          <w:lang w:val="es-PE"/>
        </w:rPr>
        <w:tab/>
      </w:r>
      <w:r w:rsidRPr="00DC1A5F">
        <w:rPr>
          <w:lang w:val="es-PE"/>
        </w:rPr>
        <w:tab/>
        <w:t>Juntos =</w:t>
      </w:r>
    </w:p>
    <w:p w14:paraId="2B51EDEC" w14:textId="77777777" w:rsidR="00597DE2" w:rsidRPr="00DC1A5F" w:rsidRDefault="00597DE2" w:rsidP="00597DE2">
      <w:pPr>
        <w:pStyle w:val="ParrafoApendice"/>
        <w:tabs>
          <w:tab w:val="right" w:leader="dot" w:pos="3402"/>
          <w:tab w:val="left" w:pos="3969"/>
          <w:tab w:val="left" w:pos="5387"/>
        </w:tabs>
        <w:ind w:left="568"/>
        <w:rPr>
          <w:lang w:val="es-PE"/>
        </w:rPr>
      </w:pPr>
      <w:r>
        <w:rPr>
          <w:lang w:val="es-PE"/>
        </w:rPr>
        <w:t>*</w:t>
      </w:r>
      <w:r w:rsidRPr="00DC1A5F">
        <w:rPr>
          <w:lang w:val="es-PE"/>
        </w:rPr>
        <w:tab/>
        <w:t>Fuego (</w:t>
      </w:r>
      <w:r w:rsidRPr="00DC1A5F">
        <w:rPr>
          <w:i/>
          <w:iCs/>
          <w:lang w:val="es-PE"/>
        </w:rPr>
        <w:t>tejo</w:t>
      </w:r>
      <w:r w:rsidRPr="00DC1A5F">
        <w:rPr>
          <w:lang w:val="es-PE"/>
        </w:rPr>
        <w:t>—calor, maduración</w:t>
      </w:r>
      <w:r w:rsidRPr="00DC1A5F">
        <w:rPr>
          <w:lang w:val="es-PE"/>
        </w:rPr>
        <w:tab/>
      </w:r>
      <w:r w:rsidRPr="00DC1A5F">
        <w:rPr>
          <w:lang w:val="es-PE"/>
        </w:rPr>
        <w:tab/>
      </w:r>
      <w:r>
        <w:rPr>
          <w:lang w:val="es-PE"/>
        </w:rPr>
        <w:t>objeto</w:t>
      </w:r>
      <w:r w:rsidRPr="00DC1A5F">
        <w:rPr>
          <w:lang w:val="es-PE"/>
        </w:rPr>
        <w:t xml:space="preserve">– </w:t>
      </w:r>
      <w:r w:rsidRPr="00DC1A5F">
        <w:rPr>
          <w:lang w:val="es-PE"/>
        </w:rPr>
        <w:tab/>
      </w:r>
      <w:r>
        <w:rPr>
          <w:lang w:val="es-PE"/>
        </w:rPr>
        <w:t xml:space="preserve">lo </w:t>
      </w:r>
      <w:r w:rsidRPr="00AF506B">
        <w:rPr>
          <w:lang w:val="es-PE"/>
        </w:rPr>
        <w:t>sentido</w:t>
      </w:r>
      <w:r w:rsidRPr="00DC1A5F">
        <w:rPr>
          <w:lang w:val="es-PE"/>
        </w:rPr>
        <w:t xml:space="preserve"> (</w:t>
      </w:r>
      <w:r w:rsidRPr="00DC1A5F">
        <w:rPr>
          <w:i/>
          <w:iCs/>
          <w:lang w:val="es-PE"/>
        </w:rPr>
        <w:t>muta</w:t>
      </w:r>
      <w:r w:rsidRPr="00DC1A5F">
        <w:rPr>
          <w:lang w:val="es-PE"/>
        </w:rPr>
        <w:t>)</w:t>
      </w:r>
    </w:p>
    <w:p w14:paraId="01214051" w14:textId="77777777" w:rsidR="00597DE2" w:rsidRPr="00DC1A5F" w:rsidRDefault="00597DE2" w:rsidP="00597DE2">
      <w:pPr>
        <w:pStyle w:val="ParrafoApendice"/>
        <w:tabs>
          <w:tab w:val="right" w:leader="dot" w:pos="3402"/>
          <w:tab w:val="left" w:pos="3969"/>
          <w:tab w:val="left" w:pos="5387"/>
        </w:tabs>
        <w:ind w:left="568"/>
        <w:rPr>
          <w:lang w:val="es-PE"/>
        </w:rPr>
      </w:pPr>
      <w:r>
        <w:rPr>
          <w:lang w:val="es-PE"/>
        </w:rPr>
        <w:t>*</w:t>
      </w:r>
      <w:r w:rsidRPr="00DC1A5F">
        <w:rPr>
          <w:lang w:val="es-PE"/>
        </w:rPr>
        <w:tab/>
        <w:t>Aire (</w:t>
      </w:r>
      <w:proofErr w:type="spellStart"/>
      <w:r w:rsidRPr="00DC1A5F">
        <w:rPr>
          <w:i/>
          <w:iCs/>
          <w:lang w:val="es-PE"/>
        </w:rPr>
        <w:t>vāyo</w:t>
      </w:r>
      <w:proofErr w:type="spellEnd"/>
      <w:r w:rsidRPr="00DC1A5F">
        <w:rPr>
          <w:lang w:val="es-PE"/>
        </w:rPr>
        <w:t xml:space="preserve">—distensión y movimiento) </w:t>
      </w:r>
      <w:r w:rsidRPr="00DC1A5F">
        <w:rPr>
          <w:lang w:val="es-PE"/>
        </w:rPr>
        <w:tab/>
      </w:r>
      <w:r w:rsidRPr="00DC1A5F">
        <w:rPr>
          <w:lang w:val="es-PE"/>
        </w:rPr>
        <w:tab/>
      </w:r>
      <w:r>
        <w:rPr>
          <w:lang w:val="es-PE"/>
        </w:rPr>
        <w:t>tangible</w:t>
      </w:r>
    </w:p>
    <w:p w14:paraId="73AD2523" w14:textId="77777777" w:rsidR="00597DE2" w:rsidRPr="00DC1A5F" w:rsidRDefault="00597DE2" w:rsidP="00597DE2">
      <w:pPr>
        <w:pStyle w:val="ParrafoApendice"/>
        <w:tabs>
          <w:tab w:val="right" w:leader="dot" w:pos="3402"/>
          <w:tab w:val="left" w:pos="3969"/>
          <w:tab w:val="left" w:pos="5387"/>
        </w:tabs>
        <w:ind w:left="568"/>
        <w:rPr>
          <w:lang w:val="es-PE"/>
        </w:rPr>
      </w:pPr>
      <w:r w:rsidRPr="00DC1A5F">
        <w:rPr>
          <w:lang w:val="es-PE"/>
        </w:rPr>
        <w:t>** Agua (</w:t>
      </w:r>
      <w:proofErr w:type="spellStart"/>
      <w:r w:rsidRPr="00DC1A5F">
        <w:rPr>
          <w:i/>
          <w:iCs/>
          <w:lang w:val="es-PE"/>
        </w:rPr>
        <w:t>āpo</w:t>
      </w:r>
      <w:proofErr w:type="spellEnd"/>
      <w:r w:rsidRPr="00DC1A5F">
        <w:rPr>
          <w:lang w:val="es-PE"/>
        </w:rPr>
        <w:t>—liquidez, cohesión)</w:t>
      </w:r>
      <w:r w:rsidRPr="00DC1A5F">
        <w:rPr>
          <w:lang w:val="es-PE"/>
        </w:rPr>
        <w:tab/>
      </w:r>
      <w:r w:rsidRPr="00DC1A5F">
        <w:rPr>
          <w:lang w:val="es-PE"/>
        </w:rPr>
        <w:tab/>
        <w:t>conocido (</w:t>
      </w:r>
      <w:proofErr w:type="spellStart"/>
      <w:r w:rsidRPr="00DC1A5F">
        <w:rPr>
          <w:i/>
          <w:iCs/>
          <w:lang w:val="es-PE"/>
        </w:rPr>
        <w:t>viññāta</w:t>
      </w:r>
      <w:proofErr w:type="spellEnd"/>
      <w:r w:rsidRPr="00DC1A5F">
        <w:rPr>
          <w:lang w:val="es-PE"/>
        </w:rPr>
        <w:t>)</w:t>
      </w:r>
    </w:p>
    <w:p w14:paraId="54769505" w14:textId="77777777" w:rsidR="00597DE2" w:rsidRDefault="00597DE2" w:rsidP="00597DE2">
      <w:pPr>
        <w:pStyle w:val="Textoindependiente"/>
      </w:pPr>
    </w:p>
    <w:p w14:paraId="643FB602" w14:textId="77777777" w:rsidR="00597DE2" w:rsidRPr="00DC1A5F" w:rsidRDefault="00597DE2" w:rsidP="00597DE2">
      <w:pPr>
        <w:pStyle w:val="Textoindependiente"/>
      </w:pPr>
      <w:r>
        <w:t xml:space="preserve">Los 24 </w:t>
      </w:r>
      <w:r w:rsidRPr="00DC1A5F">
        <w:t xml:space="preserve">Tipos </w:t>
      </w:r>
      <w:r>
        <w:t>d</w:t>
      </w:r>
      <w:r w:rsidRPr="00DC1A5F">
        <w:t>e Materialidad Derivada (</w:t>
      </w:r>
      <w:proofErr w:type="spellStart"/>
      <w:r w:rsidRPr="00DC1A5F">
        <w:rPr>
          <w:i/>
          <w:iCs/>
        </w:rPr>
        <w:t>upādā</w:t>
      </w:r>
      <w:proofErr w:type="spellEnd"/>
      <w:r w:rsidRPr="00DC1A5F">
        <w:t>–</w:t>
      </w:r>
      <w:r w:rsidRPr="00DC1A5F">
        <w:rPr>
          <w:i/>
          <w:iCs/>
        </w:rPr>
        <w:t>rūpa</w:t>
      </w:r>
      <w:r w:rsidRPr="00DC1A5F">
        <w:t xml:space="preserve">) </w:t>
      </w:r>
      <w:r w:rsidRPr="00DC1A5F">
        <w:rPr>
          <w:vertAlign w:val="superscript"/>
        </w:rPr>
        <w:t>2</w:t>
      </w:r>
    </w:p>
    <w:p w14:paraId="7B3658B8" w14:textId="77777777" w:rsidR="00597DE2" w:rsidRPr="00BC3C8B" w:rsidRDefault="00597DE2" w:rsidP="00597DE2">
      <w:pPr>
        <w:tabs>
          <w:tab w:val="right" w:pos="284"/>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 xml:space="preserve">1. </w:t>
      </w:r>
      <w:r>
        <w:rPr>
          <w:rFonts w:ascii="Cormorant Light" w:hAnsi="Cormorant Light" w:cs="Cormorant Light"/>
          <w:sz w:val="16"/>
          <w:szCs w:val="16"/>
        </w:rPr>
        <w:tab/>
      </w:r>
      <w:r w:rsidRPr="00BC3C8B">
        <w:rPr>
          <w:rFonts w:ascii="Cormorant Light" w:hAnsi="Cormorant Light" w:cs="Cormorant Light"/>
          <w:sz w:val="16"/>
          <w:szCs w:val="16"/>
        </w:rPr>
        <w:t>sensibilidad ocular       de la materia</w:t>
      </w:r>
    </w:p>
    <w:p w14:paraId="6EF67D8E" w14:textId="77777777" w:rsidR="00597DE2" w:rsidRPr="00BC3C8B" w:rsidRDefault="00597DE2" w:rsidP="00597DE2">
      <w:pPr>
        <w:tabs>
          <w:tab w:val="right" w:pos="284"/>
          <w:tab w:val="left" w:pos="770"/>
          <w:tab w:val="left" w:pos="1218"/>
          <w:tab w:val="left" w:pos="1843"/>
          <w:tab w:val="left" w:pos="2098"/>
          <w:tab w:val="left" w:pos="2410"/>
        </w:tabs>
        <w:spacing w:after="0"/>
        <w:rPr>
          <w:rFonts w:ascii="Cormorant Light" w:hAnsi="Cormorant Light" w:cs="Cormorant Light"/>
          <w:sz w:val="16"/>
          <w:szCs w:val="16"/>
        </w:rPr>
      </w:pPr>
      <w:r w:rsidRPr="00DC1A5F">
        <w:rPr>
          <w:noProof/>
        </w:rPr>
        <mc:AlternateContent>
          <mc:Choice Requires="wps">
            <w:drawing>
              <wp:anchor distT="0" distB="0" distL="114300" distR="114300" simplePos="0" relativeHeight="251664896" behindDoc="0" locked="0" layoutInCell="1" allowOverlap="1" wp14:anchorId="531BFEDF" wp14:editId="740D9CAE">
                <wp:simplePos x="0" y="0"/>
                <wp:positionH relativeFrom="column">
                  <wp:posOffset>1612954</wp:posOffset>
                </wp:positionH>
                <wp:positionV relativeFrom="paragraph">
                  <wp:posOffset>30151</wp:posOffset>
                </wp:positionV>
                <wp:extent cx="137160" cy="399495"/>
                <wp:effectExtent l="0" t="0" r="15240" b="19685"/>
                <wp:wrapNone/>
                <wp:docPr id="1488226642" name="Cerrar llave 1488226642"/>
                <wp:cNvGraphicFramePr/>
                <a:graphic xmlns:a="http://schemas.openxmlformats.org/drawingml/2006/main">
                  <a:graphicData uri="http://schemas.microsoft.com/office/word/2010/wordprocessingShape">
                    <wps:wsp>
                      <wps:cNvSpPr/>
                      <wps:spPr>
                        <a:xfrm>
                          <a:off x="0" y="0"/>
                          <a:ext cx="137160" cy="399495"/>
                        </a:xfrm>
                        <a:prstGeom prst="rightBrace">
                          <a:avLst>
                            <a:gd name="adj1" fmla="val 56268"/>
                            <a:gd name="adj2" fmla="val 42390"/>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4C7D" id="Cerrar llave 1488226642" o:spid="_x0000_s1026" type="#_x0000_t88" style="position:absolute;margin-left:127pt;margin-top:2.35pt;width:10.8pt;height:3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" adj="4173,9156" strokecolor="#5a5a5a [2109]" strokeweight="1pt">
                <v:stroke joinstyle="miter"/>
              </v:shape>
            </w:pict>
          </mc:Fallback>
        </mc:AlternateContent>
      </w:r>
      <w:r>
        <w:rPr>
          <w:rFonts w:ascii="Cormorant Light" w:hAnsi="Cormorant Light" w:cs="Cormorant Light"/>
          <w:sz w:val="16"/>
          <w:szCs w:val="16"/>
        </w:rPr>
        <w:tab/>
      </w:r>
      <w:r w:rsidRPr="00BC3C8B">
        <w:rPr>
          <w:rFonts w:ascii="Cormorant Light" w:hAnsi="Cormorant Light" w:cs="Cormorant Light"/>
          <w:sz w:val="16"/>
          <w:szCs w:val="16"/>
        </w:rPr>
        <w:t>2</w:t>
      </w:r>
      <w:r>
        <w:rPr>
          <w:rFonts w:ascii="Cormorant Light" w:hAnsi="Cormorant Light" w:cs="Cormorant Light"/>
          <w:sz w:val="16"/>
          <w:szCs w:val="16"/>
        </w:rPr>
        <w:t>.</w:t>
      </w:r>
      <w:r>
        <w:rPr>
          <w:rFonts w:ascii="Cormorant Light" w:hAnsi="Cormorant Light" w:cs="Cormorant Light"/>
          <w:sz w:val="16"/>
          <w:szCs w:val="16"/>
        </w:rPr>
        <w:tab/>
      </w:r>
      <w:r>
        <w:rPr>
          <w:rFonts w:ascii="Cormorant Light" w:hAnsi="Cormorant Light" w:cs="Cormorant Light"/>
          <w:sz w:val="16"/>
          <w:szCs w:val="16"/>
        </w:rPr>
        <w:tab/>
      </w:r>
      <w:r w:rsidRPr="00BC3C8B">
        <w:rPr>
          <w:rFonts w:ascii="Cormorant Light" w:hAnsi="Cormorant Light" w:cs="Cormorant Light"/>
          <w:sz w:val="16"/>
          <w:szCs w:val="16"/>
        </w:rPr>
        <w:t>“</w:t>
      </w:r>
      <w:r w:rsidRPr="00BC3C8B">
        <w:rPr>
          <w:rFonts w:ascii="Cormorant Light" w:hAnsi="Cormorant Light" w:cs="Cormorant Light"/>
          <w:sz w:val="16"/>
          <w:szCs w:val="16"/>
        </w:rPr>
        <w:tab/>
        <w:t>auditiva</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p>
    <w:p w14:paraId="013BB464" w14:textId="77777777" w:rsidR="00597DE2" w:rsidRPr="00BC3C8B" w:rsidRDefault="00597DE2" w:rsidP="00597DE2">
      <w:pPr>
        <w:tabs>
          <w:tab w:val="right" w:pos="284"/>
          <w:tab w:val="left" w:pos="770"/>
          <w:tab w:val="left" w:pos="1218"/>
          <w:tab w:val="left" w:pos="1843"/>
          <w:tab w:val="left" w:pos="2098"/>
          <w:tab w:val="left" w:pos="2410"/>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3.</w:t>
      </w:r>
      <w:r>
        <w:rPr>
          <w:rFonts w:ascii="Cormorant Light" w:hAnsi="Cormorant Light" w:cs="Cormorant Light"/>
          <w:sz w:val="16"/>
          <w:szCs w:val="16"/>
        </w:rPr>
        <w:tab/>
      </w:r>
      <w:r>
        <w:rPr>
          <w:rFonts w:ascii="Cormorant Light" w:hAnsi="Cormorant Light" w:cs="Cormorant Light"/>
          <w:sz w:val="16"/>
          <w:szCs w:val="16"/>
        </w:rPr>
        <w:tab/>
      </w:r>
      <w:r w:rsidRPr="00BC3C8B">
        <w:rPr>
          <w:rFonts w:ascii="Cormorant Light" w:hAnsi="Cormorant Light" w:cs="Cormorant Light"/>
          <w:sz w:val="16"/>
          <w:szCs w:val="16"/>
        </w:rPr>
        <w:t>“</w:t>
      </w:r>
      <w:r w:rsidRPr="00BC3C8B">
        <w:rPr>
          <w:rFonts w:ascii="Cormorant Light" w:hAnsi="Cormorant Light" w:cs="Cormorant Light"/>
          <w:sz w:val="16"/>
          <w:szCs w:val="16"/>
        </w:rPr>
        <w:tab/>
        <w:t>olfativa</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r w:rsidRPr="00BC3C8B">
        <w:rPr>
          <w:rFonts w:ascii="Cormorant Light" w:hAnsi="Cormorant Light" w:cs="Cormorant Light"/>
          <w:sz w:val="16"/>
          <w:szCs w:val="16"/>
        </w:rPr>
        <w:tab/>
      </w:r>
      <w:r>
        <w:rPr>
          <w:rFonts w:ascii="Cormorant Light" w:hAnsi="Cormorant Light" w:cs="Cormorant Light"/>
          <w:sz w:val="16"/>
          <w:szCs w:val="16"/>
        </w:rPr>
        <w:t>Lo s</w:t>
      </w:r>
      <w:r w:rsidRPr="00BC3C8B">
        <w:rPr>
          <w:rFonts w:ascii="Cormorant Light" w:hAnsi="Cormorant Light" w:cs="Cormorant Light"/>
          <w:sz w:val="16"/>
          <w:szCs w:val="16"/>
        </w:rPr>
        <w:t>entido (</w:t>
      </w:r>
      <w:r w:rsidRPr="00A45389">
        <w:rPr>
          <w:rFonts w:ascii="Cormorant Light" w:hAnsi="Cormorant Light" w:cs="Cormorant Light"/>
          <w:i/>
          <w:iCs/>
          <w:sz w:val="16"/>
          <w:szCs w:val="16"/>
        </w:rPr>
        <w:t>muta</w:t>
      </w:r>
      <w:r w:rsidRPr="00BC3C8B">
        <w:rPr>
          <w:rFonts w:ascii="Cormorant Light" w:hAnsi="Cormorant Light" w:cs="Cormorant Light"/>
          <w:sz w:val="16"/>
          <w:szCs w:val="16"/>
        </w:rPr>
        <w:t>)</w:t>
      </w:r>
    </w:p>
    <w:p w14:paraId="6A8400EB" w14:textId="77777777" w:rsidR="00597DE2" w:rsidRPr="00BC3C8B" w:rsidRDefault="00597DE2" w:rsidP="00597DE2">
      <w:pPr>
        <w:tabs>
          <w:tab w:val="right" w:pos="284"/>
          <w:tab w:val="left" w:pos="770"/>
          <w:tab w:val="left" w:pos="1218"/>
          <w:tab w:val="left" w:pos="1843"/>
          <w:tab w:val="left" w:pos="2098"/>
          <w:tab w:val="left" w:pos="2410"/>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4.</w:t>
      </w:r>
      <w:r>
        <w:rPr>
          <w:rFonts w:ascii="Cormorant Light" w:hAnsi="Cormorant Light" w:cs="Cormorant Light"/>
          <w:sz w:val="16"/>
          <w:szCs w:val="16"/>
        </w:rPr>
        <w:tab/>
      </w:r>
      <w:r>
        <w:rPr>
          <w:rFonts w:ascii="Cormorant Light" w:hAnsi="Cormorant Light" w:cs="Cormorant Light"/>
          <w:sz w:val="16"/>
          <w:szCs w:val="16"/>
        </w:rPr>
        <w:tab/>
      </w:r>
      <w:r w:rsidRPr="00BC3C8B">
        <w:rPr>
          <w:rFonts w:ascii="Cormorant Light" w:hAnsi="Cormorant Light" w:cs="Cormorant Light"/>
          <w:sz w:val="16"/>
          <w:szCs w:val="16"/>
        </w:rPr>
        <w:t>“</w:t>
      </w:r>
      <w:r w:rsidRPr="00BC3C8B">
        <w:rPr>
          <w:rFonts w:ascii="Cormorant Light" w:hAnsi="Cormorant Light" w:cs="Cormorant Light"/>
          <w:sz w:val="16"/>
          <w:szCs w:val="16"/>
        </w:rPr>
        <w:tab/>
        <w:t>gustativa</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p>
    <w:p w14:paraId="65243819" w14:textId="77777777" w:rsidR="00597DE2" w:rsidRPr="00BC3C8B" w:rsidRDefault="00597DE2" w:rsidP="00597DE2">
      <w:pPr>
        <w:tabs>
          <w:tab w:val="right" w:pos="284"/>
          <w:tab w:val="left" w:pos="770"/>
          <w:tab w:val="left" w:pos="1218"/>
          <w:tab w:val="left" w:pos="1843"/>
          <w:tab w:val="left" w:pos="2098"/>
          <w:tab w:val="left" w:pos="2410"/>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5.</w:t>
      </w:r>
      <w:r>
        <w:rPr>
          <w:rFonts w:ascii="Cormorant Light" w:hAnsi="Cormorant Light" w:cs="Cormorant Light"/>
          <w:sz w:val="16"/>
          <w:szCs w:val="16"/>
        </w:rPr>
        <w:tab/>
      </w:r>
      <w:r>
        <w:rPr>
          <w:rFonts w:ascii="Cormorant Light" w:hAnsi="Cormorant Light" w:cs="Cormorant Light"/>
          <w:sz w:val="16"/>
          <w:szCs w:val="16"/>
        </w:rPr>
        <w:tab/>
      </w:r>
      <w:r w:rsidRPr="00BC3C8B">
        <w:rPr>
          <w:rFonts w:ascii="Cormorant Light" w:hAnsi="Cormorant Light" w:cs="Cormorant Light"/>
          <w:sz w:val="16"/>
          <w:szCs w:val="16"/>
        </w:rPr>
        <w:t>“</w:t>
      </w:r>
      <w:r w:rsidRPr="00BC3C8B">
        <w:rPr>
          <w:rFonts w:ascii="Cormorant Light" w:hAnsi="Cormorant Light" w:cs="Cormorant Light"/>
          <w:sz w:val="16"/>
          <w:szCs w:val="16"/>
        </w:rPr>
        <w:tab/>
        <w:t>táctil</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sidRPr="00BC3C8B">
        <w:rPr>
          <w:rFonts w:ascii="Cormorant Light" w:hAnsi="Cormorant Light" w:cs="Cormorant Light"/>
          <w:sz w:val="16"/>
          <w:szCs w:val="16"/>
        </w:rPr>
        <w:t>“</w:t>
      </w:r>
    </w:p>
    <w:p w14:paraId="3988FEA2"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6.</w:t>
      </w:r>
      <w:r>
        <w:rPr>
          <w:rFonts w:ascii="Cormorant Light" w:hAnsi="Cormorant Light" w:cs="Cormorant Light"/>
          <w:sz w:val="16"/>
          <w:szCs w:val="16"/>
        </w:rPr>
        <w:tab/>
      </w:r>
      <w:r w:rsidRPr="00BC3C8B">
        <w:rPr>
          <w:rFonts w:ascii="Cormorant Light" w:hAnsi="Cormorant Light" w:cs="Cormorant Light"/>
          <w:sz w:val="16"/>
          <w:szCs w:val="16"/>
        </w:rPr>
        <w:t xml:space="preserve">Objeto–visible </w:t>
      </w:r>
      <w:r w:rsidRPr="00BC3C8B">
        <w:rPr>
          <w:rFonts w:ascii="Cormorant Light" w:hAnsi="Cormorant Light" w:cs="Cormorant Light"/>
          <w:sz w:val="16"/>
          <w:szCs w:val="16"/>
        </w:rPr>
        <w:tab/>
      </w:r>
      <w:r w:rsidRPr="00BC3C8B">
        <w:rPr>
          <w:rFonts w:ascii="Cormorant Light" w:hAnsi="Cormorant Light" w:cs="Cormorant Light"/>
          <w:sz w:val="16"/>
          <w:szCs w:val="16"/>
        </w:rPr>
        <w:tab/>
        <w:t>Lo visto (</w:t>
      </w:r>
      <w:proofErr w:type="spellStart"/>
      <w:r w:rsidRPr="00A45389">
        <w:rPr>
          <w:rFonts w:ascii="Cormorant Light" w:hAnsi="Cormorant Light" w:cs="Cormorant Light"/>
          <w:i/>
          <w:iCs/>
          <w:sz w:val="16"/>
          <w:szCs w:val="16"/>
        </w:rPr>
        <w:t>diṭṭha</w:t>
      </w:r>
      <w:proofErr w:type="spellEnd"/>
      <w:r w:rsidRPr="00BC3C8B">
        <w:rPr>
          <w:rFonts w:ascii="Cormorant Light" w:hAnsi="Cormorant Light" w:cs="Cormorant Light"/>
          <w:sz w:val="16"/>
          <w:szCs w:val="16"/>
        </w:rPr>
        <w:t>) a través del ojo</w:t>
      </w:r>
    </w:p>
    <w:p w14:paraId="579D67BD"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7.</w:t>
      </w:r>
      <w:r>
        <w:rPr>
          <w:rFonts w:ascii="Cormorant Light" w:hAnsi="Cormorant Light" w:cs="Cormorant Light"/>
          <w:sz w:val="16"/>
          <w:szCs w:val="16"/>
        </w:rPr>
        <w:tab/>
      </w:r>
      <w:r w:rsidRPr="00BC3C8B">
        <w:rPr>
          <w:rFonts w:ascii="Cormorant Light" w:hAnsi="Cormorant Light" w:cs="Cormorant Light"/>
          <w:sz w:val="16"/>
          <w:szCs w:val="16"/>
        </w:rPr>
        <w:t>Sonido</w:t>
      </w:r>
      <w:r w:rsidRPr="00BC3C8B">
        <w:rPr>
          <w:rFonts w:ascii="Cormorant Light" w:hAnsi="Cormorant Light" w:cs="Cormorant Light"/>
          <w:sz w:val="16"/>
          <w:szCs w:val="16"/>
        </w:rPr>
        <w:tab/>
      </w:r>
      <w:r w:rsidRPr="00BC3C8B">
        <w:rPr>
          <w:rFonts w:ascii="Cormorant Light" w:hAnsi="Cormorant Light" w:cs="Cormorant Light"/>
          <w:sz w:val="16"/>
          <w:szCs w:val="16"/>
        </w:rPr>
        <w:tab/>
        <w:t>Lo oído (</w:t>
      </w:r>
      <w:proofErr w:type="spellStart"/>
      <w:r w:rsidRPr="00A45389">
        <w:rPr>
          <w:rFonts w:ascii="Cormorant Light" w:hAnsi="Cormorant Light" w:cs="Cormorant Light"/>
          <w:i/>
          <w:iCs/>
          <w:sz w:val="16"/>
          <w:szCs w:val="16"/>
        </w:rPr>
        <w:t>suta</w:t>
      </w:r>
      <w:proofErr w:type="spellEnd"/>
      <w:r w:rsidRPr="00BC3C8B">
        <w:rPr>
          <w:rFonts w:ascii="Cormorant Light" w:hAnsi="Cormorant Light" w:cs="Cormorant Light"/>
          <w:sz w:val="16"/>
          <w:szCs w:val="16"/>
        </w:rPr>
        <w:t>) a través del oído</w:t>
      </w:r>
    </w:p>
    <w:p w14:paraId="4CA1A429"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sidRPr="00DC1A5F">
        <w:rPr>
          <w:noProof/>
        </w:rPr>
        <mc:AlternateContent>
          <mc:Choice Requires="wps">
            <w:drawing>
              <wp:anchor distT="0" distB="0" distL="114300" distR="114300" simplePos="0" relativeHeight="251663872" behindDoc="0" locked="0" layoutInCell="1" allowOverlap="1" wp14:anchorId="4940C016" wp14:editId="5415F604">
                <wp:simplePos x="0" y="0"/>
                <wp:positionH relativeFrom="column">
                  <wp:posOffset>1673866</wp:posOffset>
                </wp:positionH>
                <wp:positionV relativeFrom="paragraph">
                  <wp:posOffset>56515</wp:posOffset>
                </wp:positionV>
                <wp:extent cx="114935" cy="350520"/>
                <wp:effectExtent l="0" t="0" r="18415" b="11430"/>
                <wp:wrapNone/>
                <wp:docPr id="56951712" name="Cerrar llave 56951712"/>
                <wp:cNvGraphicFramePr/>
                <a:graphic xmlns:a="http://schemas.openxmlformats.org/drawingml/2006/main">
                  <a:graphicData uri="http://schemas.microsoft.com/office/word/2010/wordprocessingShape">
                    <wps:wsp>
                      <wps:cNvSpPr/>
                      <wps:spPr>
                        <a:xfrm>
                          <a:off x="0" y="0"/>
                          <a:ext cx="114935" cy="350520"/>
                        </a:xfrm>
                        <a:prstGeom prst="rightBrace">
                          <a:avLst>
                            <a:gd name="adj1" fmla="val 56268"/>
                            <a:gd name="adj2" fmla="val 44964"/>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6864" id="Cerrar llave 56951712" o:spid="_x0000_s1026" type="#_x0000_t88" style="position:absolute;margin-left:131.8pt;margin-top:4.45pt;width:9.05pt;height:2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" adj="3985,9712" strokecolor="#5a5a5a [2109]" strokeweight="1pt">
                <v:stroke joinstyle="miter"/>
              </v:shape>
            </w:pict>
          </mc:Fallback>
        </mc:AlternateContent>
      </w:r>
      <w:r>
        <w:rPr>
          <w:rFonts w:ascii="Cormorant Light" w:hAnsi="Cormorant Light" w:cs="Cormorant Light"/>
          <w:sz w:val="16"/>
          <w:szCs w:val="16"/>
        </w:rPr>
        <w:tab/>
      </w:r>
      <w:r w:rsidRPr="00BC3C8B">
        <w:rPr>
          <w:rFonts w:ascii="Cormorant Light" w:hAnsi="Cormorant Light" w:cs="Cormorant Light"/>
          <w:sz w:val="16"/>
          <w:szCs w:val="16"/>
        </w:rPr>
        <w:t>8.</w:t>
      </w:r>
      <w:r>
        <w:rPr>
          <w:rFonts w:ascii="Cormorant Light" w:hAnsi="Cormorant Light" w:cs="Cormorant Light"/>
          <w:sz w:val="16"/>
          <w:szCs w:val="16"/>
        </w:rPr>
        <w:tab/>
      </w:r>
      <w:r w:rsidRPr="00BC3C8B">
        <w:rPr>
          <w:rFonts w:ascii="Cormorant Light" w:hAnsi="Cormorant Light" w:cs="Cormorant Light"/>
          <w:sz w:val="16"/>
          <w:szCs w:val="16"/>
        </w:rPr>
        <w:t>Olor</w:t>
      </w:r>
      <w:r w:rsidRPr="00BC3C8B">
        <w:rPr>
          <w:rFonts w:ascii="Cormorant Light" w:hAnsi="Cormorant Light" w:cs="Cormorant Light"/>
          <w:sz w:val="16"/>
          <w:szCs w:val="16"/>
        </w:rPr>
        <w:tab/>
      </w:r>
      <w:r w:rsidRPr="00BC3C8B">
        <w:rPr>
          <w:rFonts w:ascii="Cormorant Light" w:hAnsi="Cormorant Light" w:cs="Cormorant Light"/>
          <w:sz w:val="16"/>
          <w:szCs w:val="16"/>
        </w:rPr>
        <w:tab/>
      </w:r>
    </w:p>
    <w:p w14:paraId="7023A550"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9.</w:t>
      </w:r>
      <w:r>
        <w:rPr>
          <w:rFonts w:ascii="Cormorant Light" w:hAnsi="Cormorant Light" w:cs="Cormorant Light"/>
          <w:sz w:val="16"/>
          <w:szCs w:val="16"/>
        </w:rPr>
        <w:tab/>
      </w:r>
      <w:r w:rsidRPr="00BC3C8B">
        <w:rPr>
          <w:rFonts w:ascii="Cormorant Light" w:hAnsi="Cormorant Light" w:cs="Cormorant Light"/>
          <w:sz w:val="16"/>
          <w:szCs w:val="16"/>
        </w:rPr>
        <w:t>Sabor</w:t>
      </w:r>
      <w:r w:rsidRPr="00BC3C8B">
        <w:rPr>
          <w:rFonts w:ascii="Cormorant Light" w:hAnsi="Cormorant Light" w:cs="Cormorant Light"/>
          <w:sz w:val="16"/>
          <w:szCs w:val="16"/>
        </w:rPr>
        <w:tab/>
      </w:r>
      <w:r w:rsidRPr="00BC3C8B">
        <w:rPr>
          <w:rFonts w:ascii="Cormorant Light" w:hAnsi="Cormorant Light" w:cs="Cormorant Light"/>
          <w:sz w:val="16"/>
          <w:szCs w:val="16"/>
        </w:rPr>
        <w:tab/>
        <w:t xml:space="preserve"> Lo sentido (</w:t>
      </w:r>
      <w:r w:rsidRPr="00A45389">
        <w:rPr>
          <w:rFonts w:ascii="Cormorant Light" w:hAnsi="Cormorant Light" w:cs="Cormorant Light"/>
          <w:i/>
          <w:iCs/>
          <w:sz w:val="16"/>
          <w:szCs w:val="16"/>
        </w:rPr>
        <w:t>muta</w:t>
      </w:r>
      <w:r w:rsidRPr="00BC3C8B">
        <w:rPr>
          <w:rFonts w:ascii="Cormorant Light" w:hAnsi="Cormorant Light" w:cs="Cormorant Light"/>
          <w:sz w:val="16"/>
          <w:szCs w:val="16"/>
        </w:rPr>
        <w:t>) a través de la nariz, la lengua y el cuerpo</w:t>
      </w:r>
    </w:p>
    <w:p w14:paraId="2289E7E6"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Pr>
          <w:rFonts w:ascii="Cormorant Light" w:hAnsi="Cormorant Light" w:cs="Cormorant Light"/>
          <w:sz w:val="16"/>
          <w:szCs w:val="16"/>
        </w:rPr>
        <w:tab/>
      </w:r>
      <w:r w:rsidRPr="00BC3C8B">
        <w:rPr>
          <w:rFonts w:ascii="Cormorant Light" w:hAnsi="Cormorant Light" w:cs="Cormorant Light"/>
          <w:sz w:val="16"/>
          <w:szCs w:val="16"/>
        </w:rPr>
        <w:t xml:space="preserve"> (*)</w:t>
      </w:r>
      <w:r w:rsidRPr="00BC3C8B">
        <w:rPr>
          <w:rFonts w:ascii="Cormorant Light" w:hAnsi="Cormorant Light" w:cs="Cormorant Light"/>
          <w:sz w:val="16"/>
          <w:szCs w:val="16"/>
        </w:rPr>
        <w:tab/>
      </w:r>
      <w:r w:rsidRPr="00BC3C8B">
        <w:rPr>
          <w:rFonts w:ascii="Cormorant Light" w:hAnsi="Cormorant Light" w:cs="Cormorant Light"/>
          <w:sz w:val="16"/>
          <w:szCs w:val="16"/>
        </w:rPr>
        <w:tab/>
      </w:r>
    </w:p>
    <w:p w14:paraId="1F922385"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sidRPr="00DC1A5F">
        <w:rPr>
          <w:noProof/>
        </w:rPr>
        <mc:AlternateContent>
          <mc:Choice Requires="wps">
            <w:drawing>
              <wp:anchor distT="0" distB="0" distL="114300" distR="114300" simplePos="0" relativeHeight="251665920" behindDoc="0" locked="0" layoutInCell="1" allowOverlap="1" wp14:anchorId="698BD21D" wp14:editId="34089A7F">
                <wp:simplePos x="0" y="0"/>
                <wp:positionH relativeFrom="column">
                  <wp:posOffset>1654816</wp:posOffset>
                </wp:positionH>
                <wp:positionV relativeFrom="paragraph">
                  <wp:posOffset>3175</wp:posOffset>
                </wp:positionV>
                <wp:extent cx="114935" cy="2054860"/>
                <wp:effectExtent l="0" t="0" r="18415" b="21590"/>
                <wp:wrapNone/>
                <wp:docPr id="738733278" name="Cerrar llave 738733278"/>
                <wp:cNvGraphicFramePr/>
                <a:graphic xmlns:a="http://schemas.openxmlformats.org/drawingml/2006/main">
                  <a:graphicData uri="http://schemas.microsoft.com/office/word/2010/wordprocessingShape">
                    <wps:wsp>
                      <wps:cNvSpPr/>
                      <wps:spPr>
                        <a:xfrm>
                          <a:off x="0" y="0"/>
                          <a:ext cx="114935" cy="2054860"/>
                        </a:xfrm>
                        <a:prstGeom prst="rightBrace">
                          <a:avLst>
                            <a:gd name="adj1" fmla="val 56268"/>
                            <a:gd name="adj2" fmla="val 47988"/>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2979" id="Cerrar llave 738733278" o:spid="_x0000_s1026" type="#_x0000_t88" style="position:absolute;margin-left:130.3pt;margin-top:.25pt;width:9.05pt;height:16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" adj="680,10365" strokecolor="#5a5a5a [2109]" strokeweight="1pt">
                <v:stroke joinstyle="miter"/>
              </v:shape>
            </w:pict>
          </mc:Fallback>
        </mc:AlternateContent>
      </w:r>
      <w:r>
        <w:rPr>
          <w:rFonts w:ascii="Cormorant Light" w:hAnsi="Cormorant Light" w:cs="Cormorant Light"/>
          <w:sz w:val="16"/>
          <w:szCs w:val="16"/>
        </w:rPr>
        <w:tab/>
      </w:r>
      <w:r w:rsidRPr="00BC3C8B">
        <w:rPr>
          <w:rFonts w:ascii="Cormorant Light" w:hAnsi="Cormorant Light" w:cs="Cormorant Light"/>
          <w:sz w:val="16"/>
          <w:szCs w:val="16"/>
        </w:rPr>
        <w:t>10.</w:t>
      </w:r>
      <w:r>
        <w:rPr>
          <w:rFonts w:ascii="Cormorant Light" w:hAnsi="Cormorant Light" w:cs="Cormorant Light"/>
          <w:sz w:val="16"/>
          <w:szCs w:val="16"/>
        </w:rPr>
        <w:tab/>
      </w:r>
      <w:r w:rsidRPr="00BC3C8B">
        <w:rPr>
          <w:rFonts w:ascii="Cormorant Light" w:hAnsi="Cormorant Light" w:cs="Cormorant Light"/>
          <w:sz w:val="16"/>
          <w:szCs w:val="16"/>
        </w:rPr>
        <w:t>Feminidad</w:t>
      </w:r>
      <w:r w:rsidRPr="00BC3C8B">
        <w:rPr>
          <w:rFonts w:ascii="Cormorant Light" w:hAnsi="Cormorant Light" w:cs="Cormorant Light"/>
          <w:sz w:val="16"/>
          <w:szCs w:val="16"/>
        </w:rPr>
        <w:tab/>
      </w:r>
    </w:p>
    <w:p w14:paraId="44696B4D"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11.</w:t>
      </w:r>
      <w:r>
        <w:rPr>
          <w:rFonts w:ascii="Cormorant Light" w:hAnsi="Cormorant Light" w:cs="Cormorant Light"/>
          <w:sz w:val="16"/>
          <w:szCs w:val="16"/>
        </w:rPr>
        <w:tab/>
      </w:r>
      <w:r w:rsidRPr="00BC3C8B">
        <w:rPr>
          <w:rFonts w:ascii="Cormorant Light" w:hAnsi="Cormorant Light" w:cs="Cormorant Light"/>
          <w:sz w:val="16"/>
          <w:szCs w:val="16"/>
        </w:rPr>
        <w:t xml:space="preserve">Masculinidad </w:t>
      </w:r>
      <w:r w:rsidRPr="00BC3C8B">
        <w:rPr>
          <w:rFonts w:ascii="Cormorant Light" w:hAnsi="Cormorant Light" w:cs="Cormorant Light"/>
          <w:sz w:val="16"/>
          <w:szCs w:val="16"/>
        </w:rPr>
        <w:tab/>
      </w:r>
    </w:p>
    <w:p w14:paraId="1B46357A"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12.</w:t>
      </w:r>
      <w:r>
        <w:rPr>
          <w:rFonts w:ascii="Cormorant Light" w:hAnsi="Cormorant Light" w:cs="Cormorant Light"/>
          <w:sz w:val="16"/>
          <w:szCs w:val="16"/>
        </w:rPr>
        <w:tab/>
      </w:r>
      <w:r w:rsidRPr="00BC3C8B">
        <w:rPr>
          <w:rFonts w:ascii="Cormorant Light" w:hAnsi="Cormorant Light" w:cs="Cormorant Light"/>
          <w:sz w:val="16"/>
          <w:szCs w:val="16"/>
        </w:rPr>
        <w:t xml:space="preserve">Vitalidad </w:t>
      </w:r>
      <w:r w:rsidRPr="00BC3C8B">
        <w:rPr>
          <w:rFonts w:ascii="Cormorant Light" w:hAnsi="Cormorant Light" w:cs="Cormorant Light"/>
          <w:sz w:val="16"/>
          <w:szCs w:val="16"/>
        </w:rPr>
        <w:tab/>
      </w:r>
    </w:p>
    <w:p w14:paraId="6F7E4E40"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13.</w:t>
      </w:r>
      <w:r>
        <w:rPr>
          <w:rFonts w:ascii="Cormorant Light" w:hAnsi="Cormorant Light" w:cs="Cormorant Light"/>
          <w:sz w:val="16"/>
          <w:szCs w:val="16"/>
        </w:rPr>
        <w:tab/>
      </w:r>
      <w:r w:rsidRPr="00BC3C8B">
        <w:rPr>
          <w:rFonts w:ascii="Cormorant Light" w:hAnsi="Cormorant Light" w:cs="Cormorant Light"/>
          <w:sz w:val="16"/>
          <w:szCs w:val="16"/>
        </w:rPr>
        <w:t>Base–del–corazón</w:t>
      </w:r>
      <w:r w:rsidRPr="00BC3C8B">
        <w:rPr>
          <w:rFonts w:ascii="Cormorant Light" w:hAnsi="Cormorant Light" w:cs="Cormorant Light"/>
          <w:sz w:val="16"/>
          <w:szCs w:val="16"/>
        </w:rPr>
        <w:tab/>
      </w:r>
    </w:p>
    <w:p w14:paraId="5B8CF1A6"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14.</w:t>
      </w:r>
      <w:r>
        <w:rPr>
          <w:rFonts w:ascii="Cormorant Light" w:hAnsi="Cormorant Light" w:cs="Cormorant Light"/>
          <w:sz w:val="16"/>
          <w:szCs w:val="16"/>
        </w:rPr>
        <w:tab/>
      </w:r>
      <w:r w:rsidRPr="00BC3C8B">
        <w:rPr>
          <w:rFonts w:ascii="Cormorant Light" w:hAnsi="Cormorant Light" w:cs="Cormorant Light"/>
          <w:sz w:val="16"/>
          <w:szCs w:val="16"/>
        </w:rPr>
        <w:t xml:space="preserve">Intimación corporal </w:t>
      </w:r>
      <w:r w:rsidRPr="00BC3C8B">
        <w:rPr>
          <w:rFonts w:ascii="Cormorant Light" w:hAnsi="Cormorant Light" w:cs="Cormorant Light"/>
          <w:sz w:val="16"/>
          <w:szCs w:val="16"/>
        </w:rPr>
        <w:tab/>
      </w:r>
    </w:p>
    <w:p w14:paraId="491F45A5"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15.</w:t>
      </w:r>
      <w:r>
        <w:rPr>
          <w:rFonts w:ascii="Cormorant Light" w:hAnsi="Cormorant Light" w:cs="Cormorant Light"/>
          <w:sz w:val="16"/>
          <w:szCs w:val="16"/>
        </w:rPr>
        <w:tab/>
      </w:r>
      <w:r w:rsidRPr="00BC3C8B">
        <w:rPr>
          <w:rFonts w:ascii="Cormorant Light" w:hAnsi="Cormorant Light" w:cs="Cormorant Light"/>
          <w:sz w:val="16"/>
          <w:szCs w:val="16"/>
        </w:rPr>
        <w:t xml:space="preserve">Intimación verbal </w:t>
      </w:r>
      <w:r w:rsidRPr="00BC3C8B">
        <w:rPr>
          <w:rFonts w:ascii="Cormorant Light" w:hAnsi="Cormorant Light" w:cs="Cormorant Light"/>
          <w:sz w:val="16"/>
          <w:szCs w:val="16"/>
        </w:rPr>
        <w:tab/>
      </w:r>
    </w:p>
    <w:p w14:paraId="4FBFAAB3"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16.</w:t>
      </w:r>
      <w:r>
        <w:rPr>
          <w:rFonts w:ascii="Cormorant Light" w:hAnsi="Cormorant Light" w:cs="Cormorant Light"/>
          <w:sz w:val="16"/>
          <w:szCs w:val="16"/>
        </w:rPr>
        <w:tab/>
      </w:r>
      <w:r w:rsidRPr="00BC3C8B">
        <w:rPr>
          <w:rFonts w:ascii="Cormorant Light" w:hAnsi="Cormorant Light" w:cs="Cormorant Light"/>
          <w:sz w:val="16"/>
          <w:szCs w:val="16"/>
        </w:rPr>
        <w:t>Elemento espacial</w:t>
      </w:r>
      <w:r w:rsidRPr="00BC3C8B">
        <w:rPr>
          <w:rFonts w:ascii="Cormorant Light" w:hAnsi="Cormorant Light" w:cs="Cormorant Light"/>
          <w:sz w:val="16"/>
          <w:szCs w:val="16"/>
        </w:rPr>
        <w:tab/>
      </w:r>
    </w:p>
    <w:p w14:paraId="0704741D"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Pr>
          <w:rFonts w:ascii="Cormorant Light" w:hAnsi="Cormorant Light" w:cs="Cormorant Light"/>
          <w:sz w:val="16"/>
          <w:szCs w:val="16"/>
        </w:rPr>
        <w:tab/>
      </w:r>
      <w:r w:rsidRPr="00BC3C8B">
        <w:rPr>
          <w:rFonts w:ascii="Cormorant Light" w:hAnsi="Cormorant Light" w:cs="Cormorant Light"/>
          <w:sz w:val="16"/>
          <w:szCs w:val="16"/>
        </w:rPr>
        <w:t>(**)</w:t>
      </w:r>
      <w:r>
        <w:rPr>
          <w:rFonts w:ascii="Cormorant Light" w:hAnsi="Cormorant Light" w:cs="Cormorant Light"/>
          <w:sz w:val="16"/>
          <w:szCs w:val="16"/>
        </w:rPr>
        <w:tab/>
      </w:r>
      <w:r>
        <w:rPr>
          <w:rFonts w:ascii="Cormorant Light" w:hAnsi="Cormorant Light" w:cs="Cormorant Light"/>
          <w:sz w:val="16"/>
          <w:szCs w:val="16"/>
        </w:rPr>
        <w:tab/>
      </w:r>
      <w:r w:rsidRPr="00BC3C8B">
        <w:rPr>
          <w:rFonts w:ascii="Cormorant Light" w:hAnsi="Cormorant Light" w:cs="Cormorant Light"/>
          <w:sz w:val="16"/>
          <w:szCs w:val="16"/>
        </w:rPr>
        <w:t>Lo conocido (</w:t>
      </w:r>
      <w:proofErr w:type="spellStart"/>
      <w:r w:rsidRPr="00A45389">
        <w:rPr>
          <w:rFonts w:ascii="Cormorant Light" w:hAnsi="Cormorant Light" w:cs="Cormorant Light"/>
          <w:i/>
          <w:iCs/>
          <w:sz w:val="16"/>
          <w:szCs w:val="16"/>
        </w:rPr>
        <w:t>viññāta</w:t>
      </w:r>
      <w:proofErr w:type="spellEnd"/>
      <w:r w:rsidRPr="00BC3C8B">
        <w:rPr>
          <w:rFonts w:ascii="Cormorant Light" w:hAnsi="Cormorant Light" w:cs="Cormorant Light"/>
          <w:sz w:val="16"/>
          <w:szCs w:val="16"/>
        </w:rPr>
        <w:t>) a través de la mente</w:t>
      </w:r>
    </w:p>
    <w:p w14:paraId="50E74344"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17.</w:t>
      </w:r>
      <w:r>
        <w:rPr>
          <w:rFonts w:ascii="Cormorant Light" w:hAnsi="Cormorant Light" w:cs="Cormorant Light"/>
          <w:sz w:val="16"/>
          <w:szCs w:val="16"/>
        </w:rPr>
        <w:tab/>
      </w:r>
      <w:r w:rsidRPr="00BC3C8B">
        <w:rPr>
          <w:rFonts w:ascii="Cormorant Light" w:hAnsi="Cormorant Light" w:cs="Cormorant Light"/>
          <w:sz w:val="16"/>
          <w:szCs w:val="16"/>
        </w:rPr>
        <w:t xml:space="preserve">Ligereza de la materia </w:t>
      </w:r>
      <w:r w:rsidRPr="00BC3C8B">
        <w:rPr>
          <w:rFonts w:ascii="Cormorant Light" w:hAnsi="Cormorant Light" w:cs="Cormorant Light"/>
          <w:sz w:val="16"/>
          <w:szCs w:val="16"/>
        </w:rPr>
        <w:tab/>
      </w:r>
    </w:p>
    <w:p w14:paraId="530C7386"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18.</w:t>
      </w:r>
      <w:r>
        <w:rPr>
          <w:rFonts w:ascii="Cormorant Light" w:hAnsi="Cormorant Light" w:cs="Cormorant Light"/>
          <w:sz w:val="16"/>
          <w:szCs w:val="16"/>
        </w:rPr>
        <w:tab/>
      </w:r>
      <w:r w:rsidRPr="00BC3C8B">
        <w:rPr>
          <w:rFonts w:ascii="Cormorant Light" w:hAnsi="Cormorant Light" w:cs="Cormorant Light"/>
          <w:sz w:val="16"/>
          <w:szCs w:val="16"/>
        </w:rPr>
        <w:t xml:space="preserve">Maleabilidad de la materia </w:t>
      </w:r>
      <w:r w:rsidRPr="00BC3C8B">
        <w:rPr>
          <w:rFonts w:ascii="Cormorant Light" w:hAnsi="Cormorant Light" w:cs="Cormorant Light"/>
          <w:sz w:val="16"/>
          <w:szCs w:val="16"/>
        </w:rPr>
        <w:tab/>
      </w:r>
    </w:p>
    <w:p w14:paraId="1FB8C422"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19.</w:t>
      </w:r>
      <w:r>
        <w:rPr>
          <w:rFonts w:ascii="Cormorant Light" w:hAnsi="Cormorant Light" w:cs="Cormorant Light"/>
          <w:sz w:val="16"/>
          <w:szCs w:val="16"/>
        </w:rPr>
        <w:tab/>
      </w:r>
      <w:r w:rsidRPr="00BC3C8B">
        <w:rPr>
          <w:rFonts w:ascii="Cormorant Light" w:hAnsi="Cormorant Light" w:cs="Cormorant Light"/>
          <w:sz w:val="16"/>
          <w:szCs w:val="16"/>
        </w:rPr>
        <w:t xml:space="preserve">Manejabilidad de la materia </w:t>
      </w:r>
      <w:r w:rsidRPr="00BC3C8B">
        <w:rPr>
          <w:rFonts w:ascii="Cormorant Light" w:hAnsi="Cormorant Light" w:cs="Cormorant Light"/>
          <w:sz w:val="16"/>
          <w:szCs w:val="16"/>
        </w:rPr>
        <w:tab/>
      </w:r>
    </w:p>
    <w:p w14:paraId="0E4907C6"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20.</w:t>
      </w:r>
      <w:r>
        <w:rPr>
          <w:rFonts w:ascii="Cormorant Light" w:hAnsi="Cormorant Light" w:cs="Cormorant Light"/>
          <w:sz w:val="16"/>
          <w:szCs w:val="16"/>
        </w:rPr>
        <w:tab/>
      </w:r>
      <w:r w:rsidRPr="00BC3C8B">
        <w:rPr>
          <w:rFonts w:ascii="Cormorant Light" w:hAnsi="Cormorant Light" w:cs="Cormorant Light"/>
          <w:sz w:val="16"/>
          <w:szCs w:val="16"/>
        </w:rPr>
        <w:t>Crecimiento de la materia</w:t>
      </w:r>
      <w:r w:rsidRPr="00BC3C8B">
        <w:rPr>
          <w:rFonts w:ascii="Cormorant Light" w:hAnsi="Cormorant Light" w:cs="Cormorant Light"/>
          <w:sz w:val="16"/>
          <w:szCs w:val="16"/>
        </w:rPr>
        <w:tab/>
        <w:t>.</w:t>
      </w:r>
    </w:p>
    <w:p w14:paraId="22BBEBFB"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21.</w:t>
      </w:r>
      <w:r>
        <w:rPr>
          <w:rFonts w:ascii="Cormorant Light" w:hAnsi="Cormorant Light" w:cs="Cormorant Light"/>
          <w:sz w:val="16"/>
          <w:szCs w:val="16"/>
        </w:rPr>
        <w:tab/>
      </w:r>
      <w:r w:rsidRPr="00BC3C8B">
        <w:rPr>
          <w:rFonts w:ascii="Cormorant Light" w:hAnsi="Cormorant Light" w:cs="Cormorant Light"/>
          <w:sz w:val="16"/>
          <w:szCs w:val="16"/>
        </w:rPr>
        <w:t xml:space="preserve">Continuidad de la materia </w:t>
      </w:r>
      <w:r w:rsidRPr="00BC3C8B">
        <w:rPr>
          <w:rFonts w:ascii="Cormorant Light" w:hAnsi="Cormorant Light" w:cs="Cormorant Light"/>
          <w:sz w:val="16"/>
          <w:szCs w:val="16"/>
        </w:rPr>
        <w:tab/>
      </w:r>
    </w:p>
    <w:p w14:paraId="1E58C6BD"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22.</w:t>
      </w:r>
      <w:r>
        <w:rPr>
          <w:rFonts w:ascii="Cormorant Light" w:hAnsi="Cormorant Light" w:cs="Cormorant Light"/>
          <w:sz w:val="16"/>
          <w:szCs w:val="16"/>
        </w:rPr>
        <w:tab/>
      </w:r>
      <w:r w:rsidRPr="00BC3C8B">
        <w:rPr>
          <w:rFonts w:ascii="Cormorant Light" w:hAnsi="Cormorant Light" w:cs="Cormorant Light"/>
          <w:sz w:val="16"/>
          <w:szCs w:val="16"/>
        </w:rPr>
        <w:t xml:space="preserve">Envejecimiento de la materia </w:t>
      </w:r>
      <w:r w:rsidRPr="00BC3C8B">
        <w:rPr>
          <w:rFonts w:ascii="Cormorant Light" w:hAnsi="Cormorant Light" w:cs="Cormorant Light"/>
          <w:sz w:val="16"/>
          <w:szCs w:val="16"/>
        </w:rPr>
        <w:tab/>
      </w:r>
    </w:p>
    <w:p w14:paraId="4ECD103C"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23.</w:t>
      </w:r>
      <w:r w:rsidRPr="00BC3C8B">
        <w:rPr>
          <w:rFonts w:ascii="Cormorant Light" w:hAnsi="Cormorant Light" w:cs="Cormorant Light"/>
          <w:sz w:val="16"/>
          <w:szCs w:val="16"/>
        </w:rPr>
        <w:tab/>
        <w:t>Impermanencia de la materia</w:t>
      </w:r>
      <w:r w:rsidRPr="00BC3C8B">
        <w:rPr>
          <w:rFonts w:ascii="Cormorant Light" w:hAnsi="Cormorant Light" w:cs="Cormorant Light"/>
          <w:sz w:val="16"/>
          <w:szCs w:val="16"/>
        </w:rPr>
        <w:tab/>
      </w:r>
    </w:p>
    <w:p w14:paraId="2BF4A3E4" w14:textId="77777777" w:rsidR="00597DE2" w:rsidRPr="00BC3C8B" w:rsidRDefault="00597DE2" w:rsidP="00597DE2">
      <w:pPr>
        <w:tabs>
          <w:tab w:val="right" w:pos="284"/>
          <w:tab w:val="left" w:leader="dot" w:pos="2552"/>
        </w:tabs>
        <w:spacing w:after="0"/>
        <w:rPr>
          <w:rFonts w:ascii="Cormorant Light" w:hAnsi="Cormorant Light" w:cs="Cormorant Light"/>
          <w:sz w:val="16"/>
          <w:szCs w:val="16"/>
        </w:rPr>
      </w:pPr>
      <w:r>
        <w:rPr>
          <w:rFonts w:ascii="Cormorant Light" w:hAnsi="Cormorant Light" w:cs="Cormorant Light"/>
          <w:sz w:val="16"/>
          <w:szCs w:val="16"/>
        </w:rPr>
        <w:tab/>
      </w:r>
      <w:r w:rsidRPr="00BC3C8B">
        <w:rPr>
          <w:rFonts w:ascii="Cormorant Light" w:hAnsi="Cormorant Light" w:cs="Cormorant Light"/>
          <w:sz w:val="16"/>
          <w:szCs w:val="16"/>
        </w:rPr>
        <w:t>24.</w:t>
      </w:r>
      <w:r>
        <w:rPr>
          <w:rFonts w:ascii="Cormorant Light" w:hAnsi="Cormorant Light" w:cs="Cormorant Light"/>
          <w:sz w:val="16"/>
          <w:szCs w:val="16"/>
        </w:rPr>
        <w:tab/>
      </w:r>
      <w:r w:rsidRPr="00BC3C8B">
        <w:rPr>
          <w:rFonts w:ascii="Cormorant Light" w:hAnsi="Cormorant Light" w:cs="Cormorant Light"/>
          <w:sz w:val="16"/>
          <w:szCs w:val="16"/>
        </w:rPr>
        <w:t>Aliment</w:t>
      </w:r>
      <w:r>
        <w:rPr>
          <w:rFonts w:ascii="Cormorant Light" w:hAnsi="Cormorant Light" w:cs="Cormorant Light"/>
          <w:sz w:val="16"/>
          <w:szCs w:val="16"/>
        </w:rPr>
        <w:t>o</w:t>
      </w:r>
      <w:r w:rsidRPr="00BC3C8B">
        <w:rPr>
          <w:rFonts w:ascii="Cormorant Light" w:hAnsi="Cormorant Light" w:cs="Cormorant Light"/>
          <w:sz w:val="16"/>
          <w:szCs w:val="16"/>
        </w:rPr>
        <w:t xml:space="preserve"> físic</w:t>
      </w:r>
      <w:r>
        <w:rPr>
          <w:rFonts w:ascii="Cormorant Light" w:hAnsi="Cormorant Light" w:cs="Cormorant Light"/>
          <w:sz w:val="16"/>
          <w:szCs w:val="16"/>
        </w:rPr>
        <w:t>o</w:t>
      </w:r>
      <w:r w:rsidRPr="00BC3C8B">
        <w:rPr>
          <w:rFonts w:ascii="Cormorant Light" w:hAnsi="Cormorant Light" w:cs="Cormorant Light"/>
          <w:sz w:val="16"/>
          <w:szCs w:val="16"/>
        </w:rPr>
        <w:t xml:space="preserve"> </w:t>
      </w:r>
      <w:r w:rsidRPr="00BC3C8B">
        <w:rPr>
          <w:rFonts w:ascii="Cormorant Light" w:hAnsi="Cormorant Light" w:cs="Cormorant Light"/>
          <w:sz w:val="16"/>
          <w:szCs w:val="16"/>
        </w:rPr>
        <w:tab/>
      </w:r>
    </w:p>
    <w:p w14:paraId="6340305A" w14:textId="77777777" w:rsidR="00597DE2" w:rsidRDefault="00597DE2" w:rsidP="00597DE2">
      <w:pPr>
        <w:pStyle w:val="PiedepginaLegal"/>
        <w:rPr>
          <w:u w:val="single"/>
        </w:rPr>
      </w:pPr>
    </w:p>
    <w:p w14:paraId="308BD453" w14:textId="77777777" w:rsidR="00597DE2" w:rsidRPr="00DC1A5F" w:rsidRDefault="00597DE2" w:rsidP="00597DE2">
      <w:pPr>
        <w:pStyle w:val="PiedepginaLegal"/>
        <w:rPr>
          <w:u w:val="single"/>
        </w:rPr>
      </w:pPr>
      <w:r w:rsidRPr="00DC1A5F">
        <w:rPr>
          <w:u w:val="single"/>
        </w:rPr>
        <w:t xml:space="preserve">           </w:t>
      </w:r>
      <w:r w:rsidRPr="00DC1A5F">
        <w:rPr>
          <w:u w:val="single"/>
        </w:rPr>
        <w:tab/>
      </w:r>
      <w:r w:rsidRPr="00DC1A5F">
        <w:rPr>
          <w:u w:val="single"/>
        </w:rPr>
        <w:tab/>
        <w:t>.</w:t>
      </w:r>
    </w:p>
    <w:p w14:paraId="7F5D2FA4" w14:textId="77777777" w:rsidR="00597DE2" w:rsidRPr="00DC1A5F" w:rsidRDefault="00597DE2" w:rsidP="00597DE2">
      <w:pPr>
        <w:pStyle w:val="PiedepginaLegal"/>
      </w:pPr>
      <w:r w:rsidRPr="00DC1A5F">
        <w:t xml:space="preserve">1. </w:t>
      </w:r>
      <w:r w:rsidRPr="00DC1A5F">
        <w:tab/>
        <w:t xml:space="preserve">(Cap. XIV, §34f., </w:t>
      </w:r>
      <w:r>
        <w:t>expone</w:t>
      </w:r>
      <w:r w:rsidRPr="00DC1A5F">
        <w:t xml:space="preserve"> las divisiones de materialidad y algunas de sus clasificaciones)</w:t>
      </w:r>
    </w:p>
    <w:p w14:paraId="34F9AF53" w14:textId="77777777" w:rsidR="00597DE2" w:rsidRPr="00DC1A5F" w:rsidRDefault="00597DE2" w:rsidP="00597DE2">
      <w:pPr>
        <w:pStyle w:val="PiedepginaLegal"/>
      </w:pPr>
      <w:r w:rsidRPr="00DC1A5F">
        <w:t xml:space="preserve">2. </w:t>
      </w:r>
      <w:r w:rsidRPr="00DC1A5F">
        <w:tab/>
      </w:r>
      <w:r w:rsidRPr="00110454">
        <w:rPr>
          <w:b/>
          <w:bCs/>
        </w:rPr>
        <w:t>Nota</w:t>
      </w:r>
      <w:r w:rsidRPr="00DC1A5F">
        <w:t xml:space="preserve">: Enumerados de esta manera, el total </w:t>
      </w:r>
      <w:r>
        <w:t>hace</w:t>
      </w:r>
      <w:r w:rsidRPr="00DC1A5F">
        <w:t xml:space="preserve"> 28. Pero en otras listas (por ejemplo, en M–a II 261) los </w:t>
      </w:r>
      <w:r>
        <w:t>3</w:t>
      </w:r>
      <w:r w:rsidRPr="00DC1A5F">
        <w:t xml:space="preserve"> primarios</w:t>
      </w:r>
      <w:r>
        <w:t>:</w:t>
      </w:r>
      <w:r w:rsidRPr="00DC1A5F">
        <w:t xml:space="preserve"> tierra, fuego y aire</w:t>
      </w:r>
      <w:r>
        <w:t>,</w:t>
      </w:r>
      <w:r w:rsidRPr="00DC1A5F">
        <w:t xml:space="preserve"> se incluyen </w:t>
      </w:r>
      <w:r>
        <w:t xml:space="preserve">conjuntamente </w:t>
      </w:r>
      <w:r w:rsidRPr="00DC1A5F">
        <w:t xml:space="preserve">en (*) como </w:t>
      </w:r>
      <w:r>
        <w:t xml:space="preserve">objeto </w:t>
      </w:r>
      <w:r w:rsidRPr="00DC1A5F">
        <w:t xml:space="preserve">tangible, mientras que el agua se incluye por separado en (**). El total </w:t>
      </w:r>
      <w:r>
        <w:t>hace</w:t>
      </w:r>
      <w:r w:rsidRPr="00DC1A5F">
        <w:t xml:space="preserve"> entonces 26 </w:t>
      </w:r>
      <w:r>
        <w:t xml:space="preserve">tipos de materialidad </w:t>
      </w:r>
      <w:r w:rsidRPr="00DC1A5F">
        <w:t>(ver</w:t>
      </w:r>
      <w:r w:rsidRPr="00DF645A">
        <w:t xml:space="preserve"> </w:t>
      </w:r>
      <w:r w:rsidRPr="00DC1A5F">
        <w:t xml:space="preserve">también, por ejemplo, </w:t>
      </w:r>
      <w:proofErr w:type="spellStart"/>
      <w:r w:rsidRPr="00DC1A5F">
        <w:t>Dhs</w:t>
      </w:r>
      <w:proofErr w:type="spellEnd"/>
      <w:r w:rsidRPr="00DC1A5F">
        <w:t xml:space="preserve"> 653, etc.). Esto es consecuencia de la definición de </w:t>
      </w:r>
      <w:r>
        <w:t>los 3</w:t>
      </w:r>
      <w:r w:rsidRPr="00DC1A5F">
        <w:t xml:space="preserve"> elementos como aprehensible</w:t>
      </w:r>
      <w:r>
        <w:t>s</w:t>
      </w:r>
      <w:r w:rsidRPr="00DC1A5F">
        <w:t xml:space="preserve"> a través de la detección </w:t>
      </w:r>
      <w:r>
        <w:t>mediante</w:t>
      </w:r>
      <w:r w:rsidRPr="00DC1A5F">
        <w:t xml:space="preserve"> el tacto (</w:t>
      </w:r>
      <w:r>
        <w:t xml:space="preserve">la </w:t>
      </w:r>
      <w:r w:rsidRPr="00DC1A5F">
        <w:t xml:space="preserve">sensibilidad corporal) y el elemento agua (cohesión) como aprehensible </w:t>
      </w:r>
      <w:r>
        <w:t xml:space="preserve">exclusivamente mediante la cognición con </w:t>
      </w:r>
      <w:r w:rsidRPr="00DC1A5F">
        <w:t xml:space="preserve">la mente. </w:t>
      </w:r>
    </w:p>
    <w:p w14:paraId="69C7C9A8" w14:textId="77777777" w:rsidR="00597DE2" w:rsidRPr="00DC1A5F" w:rsidRDefault="00597DE2" w:rsidP="00597DE2">
      <w:pPr>
        <w:pStyle w:val="PiedepginaLegal"/>
      </w:pPr>
      <w:r w:rsidRPr="00DC1A5F">
        <w:tab/>
      </w:r>
      <w:r w:rsidRPr="00DC1A5F">
        <w:tab/>
        <w:t xml:space="preserve">Todos </w:t>
      </w:r>
      <w:r>
        <w:t xml:space="preserve">estos tipos, </w:t>
      </w:r>
      <w:r w:rsidRPr="00DC1A5F">
        <w:t xml:space="preserve">excepto los </w:t>
      </w:r>
      <w:r>
        <w:t>4</w:t>
      </w:r>
      <w:r w:rsidRPr="00DC1A5F">
        <w:t xml:space="preserve"> elementos primarios</w:t>
      </w:r>
      <w:r>
        <w:t>,</w:t>
      </w:r>
      <w:r w:rsidRPr="00DC1A5F">
        <w:t xml:space="preserve"> son ‘derivados’ (</w:t>
      </w:r>
      <w:proofErr w:type="spellStart"/>
      <w:r w:rsidRPr="00DC1A5F">
        <w:rPr>
          <w:i/>
          <w:iCs/>
        </w:rPr>
        <w:t>upādā</w:t>
      </w:r>
      <w:proofErr w:type="spellEnd"/>
      <w:r w:rsidRPr="00DC1A5F">
        <w:t xml:space="preserve">). </w:t>
      </w:r>
      <w:r>
        <w:t>Los tipos</w:t>
      </w:r>
      <w:r w:rsidRPr="00DC1A5F">
        <w:t xml:space="preserve"> 1–5 y 10–12, y los demás</w:t>
      </w:r>
      <w:r>
        <w:t>,</w:t>
      </w:r>
      <w:r w:rsidRPr="00DC1A5F">
        <w:t xml:space="preserve"> con los </w:t>
      </w:r>
      <w:r>
        <w:t xml:space="preserve">4 </w:t>
      </w:r>
      <w:r w:rsidRPr="00DC1A5F">
        <w:t xml:space="preserve">primarios cuando </w:t>
      </w:r>
      <w:r>
        <w:t xml:space="preserve">surgidos del </w:t>
      </w:r>
      <w:proofErr w:type="spellStart"/>
      <w:r w:rsidRPr="00DC1A5F">
        <w:rPr>
          <w:i/>
          <w:iCs/>
        </w:rPr>
        <w:t>kamma</w:t>
      </w:r>
      <w:proofErr w:type="spellEnd"/>
      <w:r w:rsidRPr="00DC1A5F">
        <w:t xml:space="preserve">, </w:t>
      </w:r>
      <w:r>
        <w:t>se encuentran</w:t>
      </w:r>
      <w:r w:rsidRPr="00DC1A5F">
        <w:t xml:space="preserve"> </w:t>
      </w:r>
      <w:r w:rsidRPr="00C90E3D">
        <w:rPr>
          <w:color w:val="833C0B" w:themeColor="accent2" w:themeShade="80"/>
        </w:rPr>
        <w:t xml:space="preserve">siempre </w:t>
      </w:r>
      <w:r w:rsidRPr="00DC1A5F">
        <w:t>‘a</w:t>
      </w:r>
      <w:r>
        <w:t>dheri</w:t>
      </w:r>
      <w:r w:rsidRPr="00DC1A5F">
        <w:t>dos</w:t>
      </w:r>
      <w:r>
        <w:rPr>
          <w:rFonts w:cs="Cormorant"/>
        </w:rPr>
        <w:t>–</w:t>
      </w:r>
      <w:r>
        <w:t>a</w:t>
      </w:r>
      <w:r w:rsidRPr="00DC1A5F">
        <w:t>’ (</w:t>
      </w:r>
      <w:proofErr w:type="spellStart"/>
      <w:r w:rsidRPr="00DC1A5F">
        <w:rPr>
          <w:i/>
          <w:iCs/>
        </w:rPr>
        <w:t>upādiṇṇa</w:t>
      </w:r>
      <w:proofErr w:type="spellEnd"/>
      <w:r w:rsidRPr="00DC1A5F">
        <w:t xml:space="preserve">) (ver </w:t>
      </w:r>
      <w:proofErr w:type="spellStart"/>
      <w:r w:rsidRPr="00DC1A5F">
        <w:t>Dhs</w:t>
      </w:r>
      <w:proofErr w:type="spellEnd"/>
      <w:r w:rsidRPr="00DC1A5F">
        <w:t>. 596, 653)</w:t>
      </w:r>
      <w:r w:rsidRPr="00DC1A5F">
        <w:br w:type="page"/>
      </w:r>
    </w:p>
    <w:p w14:paraId="30902F50" w14:textId="77777777" w:rsidR="00597DE2" w:rsidRPr="00DC1A5F" w:rsidRDefault="00597DE2" w:rsidP="00597DE2">
      <w:pPr>
        <w:pStyle w:val="Ttulo2"/>
      </w:pPr>
      <w:bookmarkStart w:id="20" w:name="_Toc142334425"/>
      <w:r w:rsidRPr="00DC1A5F">
        <w:lastRenderedPageBreak/>
        <w:t xml:space="preserve">Tabla II: </w:t>
      </w:r>
      <w:r w:rsidRPr="00DC1A5F">
        <w:tab/>
        <w:t>El Agregado De Formaciones</w:t>
      </w:r>
      <w:r w:rsidRPr="00DC1A5F">
        <w:rPr>
          <w:vertAlign w:val="superscript"/>
        </w:rPr>
        <w:t>1</w:t>
      </w:r>
      <w:bookmarkEnd w:id="20"/>
    </w:p>
    <w:p w14:paraId="2673DE84" w14:textId="77777777" w:rsidR="00597DE2" w:rsidRPr="00DC1A5F" w:rsidRDefault="00597DE2" w:rsidP="00597DE2">
      <w:pPr>
        <w:pStyle w:val="Lista"/>
      </w:pPr>
      <w:r w:rsidRPr="00DC1A5F">
        <w:t xml:space="preserve">Los </w:t>
      </w:r>
      <w:r>
        <w:t>50</w:t>
      </w:r>
      <w:r w:rsidRPr="00DC1A5F">
        <w:t xml:space="preserve"> tipos de formaciones asociadas con la consciencia (adaptado de </w:t>
      </w:r>
    </w:p>
    <w:p w14:paraId="462C283F" w14:textId="77777777" w:rsidR="00597DE2" w:rsidRPr="005A4677" w:rsidRDefault="00597DE2" w:rsidP="00597DE2">
      <w:pPr>
        <w:pStyle w:val="Lista"/>
        <w:rPr>
          <w:lang w:val="en-US"/>
        </w:rPr>
      </w:pPr>
      <w:r w:rsidRPr="005A4677">
        <w:rPr>
          <w:i/>
          <w:iCs/>
          <w:lang w:val="en-US"/>
        </w:rPr>
        <w:t xml:space="preserve">Buddhist Dictionary </w:t>
      </w:r>
      <w:r w:rsidRPr="005A4677">
        <w:rPr>
          <w:lang w:val="en-US"/>
        </w:rPr>
        <w:t xml:space="preserve">del </w:t>
      </w:r>
      <w:proofErr w:type="spellStart"/>
      <w:r w:rsidRPr="005A4677">
        <w:rPr>
          <w:lang w:val="en-US"/>
        </w:rPr>
        <w:t>Mahāthera</w:t>
      </w:r>
      <w:proofErr w:type="spellEnd"/>
      <w:r w:rsidRPr="005A4677">
        <w:rPr>
          <w:lang w:val="en-US"/>
        </w:rPr>
        <w:t xml:space="preserve"> </w:t>
      </w:r>
      <w:proofErr w:type="spellStart"/>
      <w:r w:rsidRPr="005A4677">
        <w:rPr>
          <w:lang w:val="en-US"/>
        </w:rPr>
        <w:t>Nyanatiloka</w:t>
      </w:r>
      <w:proofErr w:type="spellEnd"/>
      <w:r w:rsidRPr="005A4677">
        <w:rPr>
          <w:lang w:val="en-US"/>
        </w:rPr>
        <w:t>)</w:t>
      </w:r>
    </w:p>
    <w:p w14:paraId="2710DEDE" w14:textId="77777777" w:rsidR="00597DE2" w:rsidRPr="005A4677" w:rsidRDefault="00597DE2" w:rsidP="00597DE2">
      <w:pPr>
        <w:pStyle w:val="ParrafoApendice"/>
        <w:ind w:left="284"/>
        <w:rPr>
          <w:smallCaps/>
          <w:szCs w:val="16"/>
        </w:rPr>
        <w:sectPr w:rsidR="00597DE2" w:rsidRPr="005A4677" w:rsidSect="00305694">
          <w:footnotePr>
            <w:numRestart w:val="eachSect"/>
          </w:footnotePr>
          <w:pgSz w:w="8641" w:h="12962"/>
          <w:pgMar w:top="851" w:right="964" w:bottom="964" w:left="964" w:header="709" w:footer="709" w:gutter="0"/>
          <w:pgNumType w:start="846"/>
          <w:cols w:space="708"/>
          <w:docGrid w:linePitch="360"/>
        </w:sectPr>
      </w:pPr>
    </w:p>
    <w:p w14:paraId="4D42A64A" w14:textId="77777777" w:rsidR="00597DE2" w:rsidRPr="00DC1A5F" w:rsidRDefault="00597DE2" w:rsidP="00597DE2">
      <w:pPr>
        <w:pStyle w:val="ParrafoApendice"/>
        <w:ind w:left="284"/>
        <w:rPr>
          <w:smallCaps/>
          <w:sz w:val="14"/>
          <w:szCs w:val="14"/>
          <w:lang w:val="es-PE"/>
        </w:rPr>
      </w:pPr>
      <w:r w:rsidRPr="00DC1A5F">
        <w:rPr>
          <w:smallCaps/>
          <w:sz w:val="14"/>
          <w:szCs w:val="14"/>
          <w:lang w:val="es-PE"/>
        </w:rPr>
        <w:t>General</w:t>
      </w:r>
    </w:p>
    <w:p w14:paraId="10F25534" w14:textId="77777777" w:rsidR="00597DE2" w:rsidRPr="00DC1A5F" w:rsidRDefault="00597DE2" w:rsidP="00597DE2">
      <w:pPr>
        <w:pStyle w:val="ParrafoApendice"/>
        <w:tabs>
          <w:tab w:val="clear" w:pos="425"/>
        </w:tabs>
        <w:ind w:firstLine="0"/>
        <w:rPr>
          <w:sz w:val="14"/>
          <w:szCs w:val="14"/>
          <w:lang w:val="es-PE"/>
        </w:rPr>
      </w:pPr>
      <w:r>
        <w:rPr>
          <w:sz w:val="14"/>
          <w:szCs w:val="14"/>
          <w:lang w:val="es-PE"/>
        </w:rPr>
        <w:t>5</w:t>
      </w:r>
      <w:r w:rsidRPr="00DC1A5F">
        <w:rPr>
          <w:sz w:val="14"/>
          <w:szCs w:val="14"/>
          <w:lang w:val="es-PE"/>
        </w:rPr>
        <w:t xml:space="preserve"> </w:t>
      </w:r>
      <w:proofErr w:type="gramStart"/>
      <w:r w:rsidRPr="00DC1A5F">
        <w:rPr>
          <w:sz w:val="14"/>
          <w:szCs w:val="14"/>
          <w:lang w:val="es-PE"/>
        </w:rPr>
        <w:t>Primari</w:t>
      </w:r>
      <w:r>
        <w:rPr>
          <w:sz w:val="14"/>
          <w:szCs w:val="14"/>
          <w:lang w:val="es-PE"/>
        </w:rPr>
        <w:t>as</w:t>
      </w:r>
      <w:proofErr w:type="gramEnd"/>
      <w:r w:rsidRPr="00DC1A5F">
        <w:rPr>
          <w:sz w:val="14"/>
          <w:szCs w:val="14"/>
          <w:lang w:val="es-PE"/>
        </w:rPr>
        <w:t>: invariablemente presente</w:t>
      </w:r>
      <w:r>
        <w:rPr>
          <w:sz w:val="14"/>
          <w:szCs w:val="14"/>
          <w:lang w:val="es-PE"/>
        </w:rPr>
        <w:t>s</w:t>
      </w:r>
      <w:r w:rsidRPr="00DC1A5F">
        <w:rPr>
          <w:sz w:val="14"/>
          <w:szCs w:val="14"/>
          <w:lang w:val="es-PE"/>
        </w:rPr>
        <w:t xml:space="preserve"> en cualquier consciencia.</w:t>
      </w:r>
    </w:p>
    <w:p w14:paraId="3BBB6A15" w14:textId="77777777" w:rsidR="00597DE2" w:rsidRPr="00DC1A5F" w:rsidRDefault="00597DE2" w:rsidP="00597DE2">
      <w:pPr>
        <w:pStyle w:val="NumReload2"/>
        <w:rPr>
          <w:sz w:val="14"/>
          <w:szCs w:val="14"/>
        </w:rPr>
      </w:pPr>
      <w:r w:rsidRPr="00DC1A5F">
        <w:rPr>
          <w:sz w:val="14"/>
          <w:szCs w:val="14"/>
        </w:rPr>
        <w:tab/>
        <w:t xml:space="preserve">(i). </w:t>
      </w:r>
      <w:r w:rsidRPr="00DC1A5F">
        <w:rPr>
          <w:sz w:val="14"/>
          <w:szCs w:val="14"/>
        </w:rPr>
        <w:tab/>
        <w:t>Contacto</w:t>
      </w:r>
    </w:p>
    <w:p w14:paraId="1FE17854"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ii</w:t>
      </w:r>
      <w:proofErr w:type="spellEnd"/>
      <w:r w:rsidRPr="00DC1A5F">
        <w:rPr>
          <w:sz w:val="14"/>
          <w:szCs w:val="14"/>
        </w:rPr>
        <w:t xml:space="preserve">). </w:t>
      </w:r>
      <w:r w:rsidRPr="00DC1A5F">
        <w:rPr>
          <w:sz w:val="14"/>
          <w:szCs w:val="14"/>
        </w:rPr>
        <w:tab/>
        <w:t>Vol</w:t>
      </w:r>
      <w:r>
        <w:rPr>
          <w:sz w:val="14"/>
          <w:szCs w:val="14"/>
        </w:rPr>
        <w:t>ición</w:t>
      </w:r>
    </w:p>
    <w:p w14:paraId="27D1FA0C"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vii</w:t>
      </w:r>
      <w:proofErr w:type="spellEnd"/>
      <w:r w:rsidRPr="00DC1A5F">
        <w:rPr>
          <w:sz w:val="14"/>
          <w:szCs w:val="14"/>
        </w:rPr>
        <w:t xml:space="preserve">). </w:t>
      </w:r>
      <w:r w:rsidRPr="00DC1A5F">
        <w:rPr>
          <w:sz w:val="14"/>
          <w:szCs w:val="14"/>
        </w:rPr>
        <w:tab/>
        <w:t>Vi</w:t>
      </w:r>
      <w:r>
        <w:rPr>
          <w:sz w:val="14"/>
          <w:szCs w:val="14"/>
        </w:rPr>
        <w:t>talidad</w:t>
      </w:r>
    </w:p>
    <w:p w14:paraId="3D72556F"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viii</w:t>
      </w:r>
      <w:proofErr w:type="spellEnd"/>
      <w:r w:rsidRPr="00DC1A5F">
        <w:rPr>
          <w:sz w:val="14"/>
          <w:szCs w:val="14"/>
        </w:rPr>
        <w:t xml:space="preserve">). </w:t>
      </w:r>
      <w:r w:rsidRPr="00DC1A5F">
        <w:rPr>
          <w:sz w:val="14"/>
          <w:szCs w:val="14"/>
        </w:rPr>
        <w:tab/>
        <w:t>Concentración</w:t>
      </w:r>
      <w:r w:rsidRPr="009205AC">
        <w:rPr>
          <w:sz w:val="14"/>
          <w:szCs w:val="14"/>
          <w:vertAlign w:val="superscript"/>
        </w:rPr>
        <w:t>2</w:t>
      </w:r>
    </w:p>
    <w:p w14:paraId="66444A34"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w:t>
      </w:r>
      <w:proofErr w:type="spellEnd"/>
      <w:r w:rsidRPr="00DC1A5F">
        <w:rPr>
          <w:sz w:val="14"/>
          <w:szCs w:val="14"/>
        </w:rPr>
        <w:t xml:space="preserve">). </w:t>
      </w:r>
      <w:r w:rsidRPr="00DC1A5F">
        <w:rPr>
          <w:sz w:val="14"/>
          <w:szCs w:val="14"/>
        </w:rPr>
        <w:tab/>
        <w:t>Atención</w:t>
      </w:r>
    </w:p>
    <w:p w14:paraId="64DFA6A6" w14:textId="77777777" w:rsidR="00597DE2" w:rsidRPr="00DC1A5F" w:rsidRDefault="00597DE2" w:rsidP="00597DE2">
      <w:pPr>
        <w:pStyle w:val="ParrafoApendice"/>
        <w:tabs>
          <w:tab w:val="clear" w:pos="425"/>
        </w:tabs>
        <w:ind w:firstLine="0"/>
        <w:rPr>
          <w:sz w:val="14"/>
          <w:szCs w:val="14"/>
          <w:lang w:val="es-PE"/>
        </w:rPr>
      </w:pPr>
      <w:r>
        <w:rPr>
          <w:sz w:val="14"/>
          <w:szCs w:val="14"/>
          <w:lang w:val="es-PE"/>
        </w:rPr>
        <w:t>6</w:t>
      </w:r>
      <w:r w:rsidRPr="00DC1A5F">
        <w:rPr>
          <w:sz w:val="14"/>
          <w:szCs w:val="14"/>
          <w:lang w:val="es-PE"/>
        </w:rPr>
        <w:t xml:space="preserve"> </w:t>
      </w:r>
      <w:proofErr w:type="gramStart"/>
      <w:r w:rsidRPr="00DC1A5F">
        <w:rPr>
          <w:sz w:val="14"/>
          <w:szCs w:val="14"/>
          <w:lang w:val="es-PE"/>
        </w:rPr>
        <w:t>Secundari</w:t>
      </w:r>
      <w:r>
        <w:rPr>
          <w:sz w:val="14"/>
          <w:szCs w:val="14"/>
          <w:lang w:val="es-PE"/>
        </w:rPr>
        <w:t>as</w:t>
      </w:r>
      <w:proofErr w:type="gramEnd"/>
      <w:r w:rsidRPr="00DC1A5F">
        <w:rPr>
          <w:sz w:val="14"/>
          <w:szCs w:val="14"/>
          <w:lang w:val="es-PE"/>
        </w:rPr>
        <w:t>: a veces presente</w:t>
      </w:r>
      <w:r>
        <w:rPr>
          <w:sz w:val="14"/>
          <w:szCs w:val="14"/>
          <w:lang w:val="es-PE"/>
        </w:rPr>
        <w:t>s</w:t>
      </w:r>
      <w:r w:rsidRPr="00DC1A5F">
        <w:rPr>
          <w:sz w:val="14"/>
          <w:szCs w:val="14"/>
          <w:lang w:val="es-PE"/>
        </w:rPr>
        <w:t xml:space="preserve"> en cualquier consciencia.</w:t>
      </w:r>
    </w:p>
    <w:p w14:paraId="73090E83"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iii</w:t>
      </w:r>
      <w:proofErr w:type="spellEnd"/>
      <w:r w:rsidRPr="00DC1A5F">
        <w:rPr>
          <w:sz w:val="14"/>
          <w:szCs w:val="14"/>
        </w:rPr>
        <w:t xml:space="preserve">). </w:t>
      </w:r>
      <w:r w:rsidRPr="00DC1A5F">
        <w:rPr>
          <w:sz w:val="14"/>
          <w:szCs w:val="14"/>
        </w:rPr>
        <w:tab/>
        <w:t>Aplica</w:t>
      </w:r>
      <w:r>
        <w:rPr>
          <w:sz w:val="14"/>
          <w:szCs w:val="14"/>
        </w:rPr>
        <w:t>ción mental</w:t>
      </w:r>
    </w:p>
    <w:p w14:paraId="3D7E9A1F"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iv</w:t>
      </w:r>
      <w:proofErr w:type="spellEnd"/>
      <w:r w:rsidRPr="00DC1A5F">
        <w:rPr>
          <w:sz w:val="14"/>
          <w:szCs w:val="14"/>
        </w:rPr>
        <w:t xml:space="preserve">). </w:t>
      </w:r>
      <w:r w:rsidRPr="00DC1A5F">
        <w:rPr>
          <w:sz w:val="14"/>
          <w:szCs w:val="14"/>
        </w:rPr>
        <w:tab/>
        <w:t>Sustentación mental</w:t>
      </w:r>
    </w:p>
    <w:p w14:paraId="3CEB6BB5"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xxix</w:t>
      </w:r>
      <w:proofErr w:type="spellEnd"/>
      <w:r w:rsidRPr="00DC1A5F">
        <w:rPr>
          <w:sz w:val="14"/>
          <w:szCs w:val="14"/>
        </w:rPr>
        <w:t xml:space="preserve">). </w:t>
      </w:r>
      <w:r w:rsidRPr="00DC1A5F">
        <w:rPr>
          <w:sz w:val="14"/>
          <w:szCs w:val="14"/>
        </w:rPr>
        <w:tab/>
        <w:t>Resolución</w:t>
      </w:r>
    </w:p>
    <w:p w14:paraId="2E8FCD6E" w14:textId="77777777" w:rsidR="00597DE2" w:rsidRPr="00DC1A5F" w:rsidRDefault="00597DE2" w:rsidP="00597DE2">
      <w:pPr>
        <w:pStyle w:val="NumReload2"/>
        <w:rPr>
          <w:sz w:val="14"/>
          <w:szCs w:val="14"/>
        </w:rPr>
      </w:pPr>
      <w:r w:rsidRPr="00DC1A5F">
        <w:rPr>
          <w:sz w:val="14"/>
          <w:szCs w:val="14"/>
        </w:rPr>
        <w:tab/>
        <w:t xml:space="preserve">(vi). </w:t>
      </w:r>
      <w:r w:rsidRPr="00DC1A5F">
        <w:rPr>
          <w:sz w:val="14"/>
          <w:szCs w:val="14"/>
        </w:rPr>
        <w:tab/>
        <w:t>Energía</w:t>
      </w:r>
    </w:p>
    <w:p w14:paraId="5DC8C429" w14:textId="77777777" w:rsidR="00597DE2" w:rsidRPr="00DC1A5F" w:rsidRDefault="00597DE2" w:rsidP="00597DE2">
      <w:pPr>
        <w:pStyle w:val="NumReload2"/>
        <w:rPr>
          <w:sz w:val="14"/>
          <w:szCs w:val="14"/>
        </w:rPr>
      </w:pPr>
      <w:r w:rsidRPr="00DC1A5F">
        <w:rPr>
          <w:sz w:val="14"/>
          <w:szCs w:val="14"/>
        </w:rPr>
        <w:tab/>
        <w:t xml:space="preserve">(v). </w:t>
      </w:r>
      <w:r w:rsidRPr="00DC1A5F">
        <w:rPr>
          <w:sz w:val="14"/>
          <w:szCs w:val="14"/>
        </w:rPr>
        <w:tab/>
        <w:t>Felicidad</w:t>
      </w:r>
    </w:p>
    <w:p w14:paraId="7A1A3281"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xxviii</w:t>
      </w:r>
      <w:proofErr w:type="spellEnd"/>
      <w:r w:rsidRPr="00DC1A5F">
        <w:rPr>
          <w:sz w:val="14"/>
          <w:szCs w:val="14"/>
        </w:rPr>
        <w:t xml:space="preserve">). </w:t>
      </w:r>
      <w:r w:rsidRPr="00DC1A5F">
        <w:rPr>
          <w:sz w:val="14"/>
          <w:szCs w:val="14"/>
        </w:rPr>
        <w:tab/>
        <w:t>Celo</w:t>
      </w:r>
      <w:r>
        <w:rPr>
          <w:sz w:val="14"/>
          <w:szCs w:val="14"/>
        </w:rPr>
        <w:br/>
      </w:r>
    </w:p>
    <w:p w14:paraId="5A10885B" w14:textId="77777777" w:rsidR="00597DE2" w:rsidRPr="00DC1A5F" w:rsidRDefault="00597DE2" w:rsidP="00597DE2">
      <w:pPr>
        <w:pStyle w:val="ParrafoApendice"/>
        <w:ind w:left="284"/>
        <w:rPr>
          <w:smallCaps/>
          <w:sz w:val="14"/>
          <w:szCs w:val="14"/>
          <w:lang w:val="es-PE"/>
        </w:rPr>
      </w:pPr>
      <w:r w:rsidRPr="00DC1A5F">
        <w:rPr>
          <w:smallCaps/>
          <w:sz w:val="14"/>
          <w:szCs w:val="14"/>
          <w:lang w:val="es-PE"/>
        </w:rPr>
        <w:t>Hermosa</w:t>
      </w:r>
      <w:r>
        <w:rPr>
          <w:smallCaps/>
          <w:sz w:val="14"/>
          <w:szCs w:val="14"/>
          <w:lang w:val="es-PE"/>
        </w:rPr>
        <w:t>s</w:t>
      </w:r>
      <w:r w:rsidRPr="00DC1A5F">
        <w:rPr>
          <w:smallCaps/>
          <w:sz w:val="14"/>
          <w:szCs w:val="14"/>
          <w:vertAlign w:val="superscript"/>
          <w:lang w:val="es-PE"/>
        </w:rPr>
        <w:t>3</w:t>
      </w:r>
    </w:p>
    <w:p w14:paraId="474BF0E3" w14:textId="77777777" w:rsidR="00597DE2" w:rsidRPr="00DC1A5F" w:rsidRDefault="00597DE2" w:rsidP="00597DE2">
      <w:pPr>
        <w:pStyle w:val="ParrafoApendice"/>
        <w:tabs>
          <w:tab w:val="clear" w:pos="425"/>
        </w:tabs>
        <w:ind w:firstLine="0"/>
        <w:rPr>
          <w:sz w:val="14"/>
          <w:szCs w:val="14"/>
          <w:lang w:val="es-PE"/>
        </w:rPr>
      </w:pPr>
      <w:r>
        <w:rPr>
          <w:sz w:val="14"/>
          <w:szCs w:val="14"/>
          <w:lang w:val="es-PE"/>
        </w:rPr>
        <w:t>19</w:t>
      </w:r>
      <w:r w:rsidRPr="00DC1A5F">
        <w:rPr>
          <w:sz w:val="14"/>
          <w:szCs w:val="14"/>
          <w:lang w:val="es-PE"/>
        </w:rPr>
        <w:t xml:space="preserve"> </w:t>
      </w:r>
      <w:proofErr w:type="gramStart"/>
      <w:r w:rsidRPr="00DC1A5F">
        <w:rPr>
          <w:sz w:val="14"/>
          <w:szCs w:val="14"/>
          <w:lang w:val="es-PE"/>
        </w:rPr>
        <w:t>Primaria</w:t>
      </w:r>
      <w:r>
        <w:rPr>
          <w:sz w:val="14"/>
          <w:szCs w:val="14"/>
          <w:lang w:val="es-PE"/>
        </w:rPr>
        <w:t>s</w:t>
      </w:r>
      <w:proofErr w:type="gramEnd"/>
      <w:r w:rsidRPr="00DC1A5F">
        <w:rPr>
          <w:sz w:val="14"/>
          <w:szCs w:val="14"/>
          <w:lang w:val="es-PE"/>
        </w:rPr>
        <w:t>: invariablemente presente</w:t>
      </w:r>
      <w:r>
        <w:rPr>
          <w:sz w:val="14"/>
          <w:szCs w:val="14"/>
          <w:lang w:val="es-PE"/>
        </w:rPr>
        <w:t>s</w:t>
      </w:r>
      <w:r w:rsidRPr="00DC1A5F">
        <w:rPr>
          <w:sz w:val="14"/>
          <w:szCs w:val="14"/>
          <w:lang w:val="es-PE"/>
        </w:rPr>
        <w:t xml:space="preserve"> en cualquier consciencia</w:t>
      </w:r>
      <w:r w:rsidRPr="00344D39">
        <w:rPr>
          <w:sz w:val="14"/>
          <w:szCs w:val="14"/>
          <w:lang w:val="es-PE"/>
        </w:rPr>
        <w:t xml:space="preserve"> </w:t>
      </w:r>
      <w:r w:rsidRPr="00DC1A5F">
        <w:rPr>
          <w:sz w:val="14"/>
          <w:szCs w:val="14"/>
          <w:lang w:val="es-PE"/>
        </w:rPr>
        <w:t>hermosa</w:t>
      </w:r>
    </w:p>
    <w:p w14:paraId="47650889"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ix</w:t>
      </w:r>
      <w:proofErr w:type="spellEnd"/>
      <w:r w:rsidRPr="00DC1A5F">
        <w:rPr>
          <w:sz w:val="14"/>
          <w:szCs w:val="14"/>
        </w:rPr>
        <w:t xml:space="preserve">). </w:t>
      </w:r>
      <w:r w:rsidRPr="00DC1A5F">
        <w:rPr>
          <w:sz w:val="14"/>
          <w:szCs w:val="14"/>
        </w:rPr>
        <w:tab/>
        <w:t>Fe</w:t>
      </w:r>
    </w:p>
    <w:p w14:paraId="0A0541F8" w14:textId="77777777" w:rsidR="00597DE2" w:rsidRPr="00DC1A5F" w:rsidRDefault="00597DE2" w:rsidP="00597DE2">
      <w:pPr>
        <w:pStyle w:val="NumReload2"/>
        <w:rPr>
          <w:sz w:val="14"/>
          <w:szCs w:val="14"/>
        </w:rPr>
      </w:pPr>
      <w:r w:rsidRPr="00DC1A5F">
        <w:rPr>
          <w:sz w:val="14"/>
          <w:szCs w:val="14"/>
        </w:rPr>
        <w:tab/>
        <w:t xml:space="preserve">(x). </w:t>
      </w:r>
      <w:r w:rsidRPr="00DC1A5F">
        <w:rPr>
          <w:sz w:val="14"/>
          <w:szCs w:val="14"/>
        </w:rPr>
        <w:tab/>
        <w:t>atención plena</w:t>
      </w:r>
    </w:p>
    <w:p w14:paraId="06C0848A" w14:textId="77777777" w:rsidR="00597DE2" w:rsidRPr="00DC1A5F" w:rsidRDefault="00597DE2" w:rsidP="00597DE2">
      <w:pPr>
        <w:pStyle w:val="NumReload2"/>
        <w:rPr>
          <w:sz w:val="14"/>
          <w:szCs w:val="14"/>
        </w:rPr>
      </w:pPr>
      <w:r w:rsidRPr="00DC1A5F">
        <w:rPr>
          <w:sz w:val="14"/>
          <w:szCs w:val="14"/>
        </w:rPr>
        <w:tab/>
        <w:t xml:space="preserve">(xi). </w:t>
      </w:r>
      <w:r w:rsidRPr="00DC1A5F">
        <w:rPr>
          <w:sz w:val="14"/>
          <w:szCs w:val="14"/>
        </w:rPr>
        <w:tab/>
        <w:t>Consciencia</w:t>
      </w:r>
    </w:p>
    <w:p w14:paraId="22A95383"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xii</w:t>
      </w:r>
      <w:proofErr w:type="spellEnd"/>
      <w:r w:rsidRPr="00DC1A5F">
        <w:rPr>
          <w:sz w:val="14"/>
          <w:szCs w:val="14"/>
        </w:rPr>
        <w:t xml:space="preserve">). </w:t>
      </w:r>
      <w:r w:rsidRPr="00DC1A5F">
        <w:rPr>
          <w:sz w:val="14"/>
          <w:szCs w:val="14"/>
        </w:rPr>
        <w:tab/>
        <w:t>Vergüenza</w:t>
      </w:r>
    </w:p>
    <w:p w14:paraId="54F596F7"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xiii</w:t>
      </w:r>
      <w:proofErr w:type="spellEnd"/>
      <w:r w:rsidRPr="00DC1A5F">
        <w:rPr>
          <w:sz w:val="14"/>
          <w:szCs w:val="14"/>
        </w:rPr>
        <w:t xml:space="preserve">). </w:t>
      </w:r>
      <w:r w:rsidRPr="00DC1A5F">
        <w:rPr>
          <w:sz w:val="14"/>
          <w:szCs w:val="14"/>
        </w:rPr>
        <w:tab/>
        <w:t>No–codicia</w:t>
      </w:r>
    </w:p>
    <w:p w14:paraId="6CAD5B6B"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xiv</w:t>
      </w:r>
      <w:proofErr w:type="spellEnd"/>
      <w:r w:rsidRPr="00DC1A5F">
        <w:rPr>
          <w:sz w:val="14"/>
          <w:szCs w:val="14"/>
        </w:rPr>
        <w:t xml:space="preserve">). </w:t>
      </w:r>
      <w:r w:rsidRPr="00DC1A5F">
        <w:rPr>
          <w:sz w:val="14"/>
          <w:szCs w:val="14"/>
        </w:rPr>
        <w:tab/>
        <w:t>No–odio</w:t>
      </w:r>
    </w:p>
    <w:p w14:paraId="519901F8"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xxxi</w:t>
      </w:r>
      <w:proofErr w:type="spellEnd"/>
      <w:r w:rsidRPr="00DC1A5F">
        <w:rPr>
          <w:sz w:val="14"/>
          <w:szCs w:val="14"/>
        </w:rPr>
        <w:t xml:space="preserve">). </w:t>
      </w:r>
      <w:r w:rsidRPr="00DC1A5F">
        <w:rPr>
          <w:sz w:val="14"/>
          <w:szCs w:val="14"/>
        </w:rPr>
        <w:tab/>
        <w:t>Neutralidad específica</w:t>
      </w:r>
    </w:p>
    <w:p w14:paraId="75ED68B9"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xvi</w:t>
      </w:r>
      <w:proofErr w:type="spellEnd"/>
      <w:r w:rsidRPr="00DC1A5F">
        <w:rPr>
          <w:sz w:val="14"/>
          <w:szCs w:val="14"/>
        </w:rPr>
        <w:t xml:space="preserve">). </w:t>
      </w:r>
      <w:r w:rsidRPr="00DC1A5F">
        <w:rPr>
          <w:sz w:val="14"/>
          <w:szCs w:val="14"/>
        </w:rPr>
        <w:tab/>
        <w:t>Tranquilidad del cuerpo mental</w:t>
      </w:r>
    </w:p>
    <w:p w14:paraId="2FD7750C"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xvii</w:t>
      </w:r>
      <w:proofErr w:type="spellEnd"/>
      <w:r w:rsidRPr="00DC1A5F">
        <w:rPr>
          <w:sz w:val="14"/>
          <w:szCs w:val="14"/>
        </w:rPr>
        <w:t xml:space="preserve">). </w:t>
      </w:r>
      <w:r w:rsidRPr="00DC1A5F">
        <w:rPr>
          <w:sz w:val="14"/>
          <w:szCs w:val="14"/>
        </w:rPr>
        <w:tab/>
        <w:t xml:space="preserve">Tranquilidad de </w:t>
      </w:r>
      <w:r>
        <w:rPr>
          <w:sz w:val="14"/>
          <w:szCs w:val="14"/>
        </w:rPr>
        <w:t xml:space="preserve">la </w:t>
      </w:r>
      <w:r w:rsidRPr="00DC1A5F">
        <w:rPr>
          <w:sz w:val="14"/>
          <w:szCs w:val="14"/>
        </w:rPr>
        <w:t>consciencia</w:t>
      </w:r>
    </w:p>
    <w:p w14:paraId="77B2204D"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xviii</w:t>
      </w:r>
      <w:proofErr w:type="spellEnd"/>
      <w:r w:rsidRPr="00DC1A5F">
        <w:rPr>
          <w:sz w:val="14"/>
          <w:szCs w:val="14"/>
        </w:rPr>
        <w:t xml:space="preserve">). </w:t>
      </w:r>
      <w:r w:rsidRPr="00DC1A5F">
        <w:rPr>
          <w:sz w:val="14"/>
          <w:szCs w:val="14"/>
        </w:rPr>
        <w:tab/>
        <w:t>Ligereza del cuerpo mental</w:t>
      </w:r>
    </w:p>
    <w:p w14:paraId="078E2D1A"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xix</w:t>
      </w:r>
      <w:proofErr w:type="spellEnd"/>
      <w:r w:rsidRPr="00DC1A5F">
        <w:rPr>
          <w:sz w:val="14"/>
          <w:szCs w:val="14"/>
        </w:rPr>
        <w:t xml:space="preserve">). </w:t>
      </w:r>
      <w:r w:rsidRPr="00DC1A5F">
        <w:rPr>
          <w:sz w:val="14"/>
          <w:szCs w:val="14"/>
        </w:rPr>
        <w:tab/>
        <w:t xml:space="preserve">Ligereza de </w:t>
      </w:r>
      <w:r>
        <w:rPr>
          <w:sz w:val="14"/>
          <w:szCs w:val="14"/>
        </w:rPr>
        <w:t xml:space="preserve">la </w:t>
      </w:r>
      <w:r w:rsidRPr="00DC1A5F">
        <w:rPr>
          <w:sz w:val="14"/>
          <w:szCs w:val="14"/>
        </w:rPr>
        <w:t>consciencia</w:t>
      </w:r>
    </w:p>
    <w:p w14:paraId="7464ED1F"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w:t>
      </w:r>
      <w:proofErr w:type="spellEnd"/>
      <w:r w:rsidRPr="00DC1A5F">
        <w:rPr>
          <w:sz w:val="14"/>
          <w:szCs w:val="14"/>
        </w:rPr>
        <w:t xml:space="preserve">). </w:t>
      </w:r>
      <w:r w:rsidRPr="00DC1A5F">
        <w:rPr>
          <w:sz w:val="14"/>
          <w:szCs w:val="14"/>
        </w:rPr>
        <w:tab/>
        <w:t>Maleabilidad del cuerpo mental</w:t>
      </w:r>
    </w:p>
    <w:p w14:paraId="5EE9C4AE"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xxi</w:t>
      </w:r>
      <w:proofErr w:type="spellEnd"/>
      <w:r w:rsidRPr="00DC1A5F">
        <w:rPr>
          <w:sz w:val="14"/>
          <w:szCs w:val="14"/>
        </w:rPr>
        <w:t xml:space="preserve">). </w:t>
      </w:r>
      <w:r w:rsidRPr="00DC1A5F">
        <w:rPr>
          <w:sz w:val="14"/>
          <w:szCs w:val="14"/>
        </w:rPr>
        <w:tab/>
        <w:t>Maleabilidad de la consciencia</w:t>
      </w:r>
    </w:p>
    <w:p w14:paraId="492B4251"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xxii</w:t>
      </w:r>
      <w:proofErr w:type="spellEnd"/>
      <w:r w:rsidRPr="00DC1A5F">
        <w:rPr>
          <w:sz w:val="14"/>
          <w:szCs w:val="14"/>
        </w:rPr>
        <w:t xml:space="preserve">). </w:t>
      </w:r>
      <w:r w:rsidRPr="00DC1A5F">
        <w:rPr>
          <w:sz w:val="14"/>
          <w:szCs w:val="14"/>
        </w:rPr>
        <w:tab/>
      </w:r>
      <w:r>
        <w:rPr>
          <w:sz w:val="14"/>
          <w:szCs w:val="14"/>
        </w:rPr>
        <w:t>Manejabilidad</w:t>
      </w:r>
      <w:r w:rsidRPr="00DC1A5F">
        <w:rPr>
          <w:sz w:val="14"/>
          <w:szCs w:val="14"/>
        </w:rPr>
        <w:t xml:space="preserve"> del cuerpo mental</w:t>
      </w:r>
    </w:p>
    <w:p w14:paraId="1B9C07FA"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xxiii</w:t>
      </w:r>
      <w:proofErr w:type="spellEnd"/>
      <w:r w:rsidRPr="00DC1A5F">
        <w:rPr>
          <w:sz w:val="14"/>
          <w:szCs w:val="14"/>
        </w:rPr>
        <w:t xml:space="preserve">). </w:t>
      </w:r>
      <w:r w:rsidRPr="00DC1A5F">
        <w:rPr>
          <w:sz w:val="14"/>
          <w:szCs w:val="14"/>
        </w:rPr>
        <w:tab/>
      </w:r>
      <w:r>
        <w:rPr>
          <w:sz w:val="14"/>
          <w:szCs w:val="14"/>
        </w:rPr>
        <w:t>Manejabilidad</w:t>
      </w:r>
      <w:r w:rsidRPr="00DC1A5F">
        <w:rPr>
          <w:sz w:val="14"/>
          <w:szCs w:val="14"/>
        </w:rPr>
        <w:t xml:space="preserve"> de la consciencia</w:t>
      </w:r>
    </w:p>
    <w:p w14:paraId="4BEAC089"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xxiv</w:t>
      </w:r>
      <w:proofErr w:type="spellEnd"/>
      <w:r w:rsidRPr="00DC1A5F">
        <w:rPr>
          <w:sz w:val="14"/>
          <w:szCs w:val="14"/>
        </w:rPr>
        <w:t xml:space="preserve">). </w:t>
      </w:r>
      <w:r w:rsidRPr="00DC1A5F">
        <w:rPr>
          <w:sz w:val="14"/>
          <w:szCs w:val="14"/>
        </w:rPr>
        <w:tab/>
      </w:r>
      <w:r>
        <w:rPr>
          <w:sz w:val="14"/>
          <w:szCs w:val="14"/>
        </w:rPr>
        <w:t>Proficiencia</w:t>
      </w:r>
      <w:r w:rsidRPr="00DC1A5F">
        <w:rPr>
          <w:sz w:val="14"/>
          <w:szCs w:val="14"/>
        </w:rPr>
        <w:t xml:space="preserve"> del cuerpo mental</w:t>
      </w:r>
    </w:p>
    <w:p w14:paraId="07E922E3"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xxv</w:t>
      </w:r>
      <w:proofErr w:type="spellEnd"/>
      <w:r w:rsidRPr="00DC1A5F">
        <w:rPr>
          <w:sz w:val="14"/>
          <w:szCs w:val="14"/>
        </w:rPr>
        <w:t xml:space="preserve">). </w:t>
      </w:r>
      <w:r w:rsidRPr="00DC1A5F">
        <w:rPr>
          <w:sz w:val="14"/>
          <w:szCs w:val="14"/>
        </w:rPr>
        <w:tab/>
      </w:r>
      <w:r>
        <w:rPr>
          <w:sz w:val="14"/>
          <w:szCs w:val="14"/>
        </w:rPr>
        <w:t>Proficiencia</w:t>
      </w:r>
      <w:r w:rsidRPr="00DC1A5F">
        <w:rPr>
          <w:sz w:val="14"/>
          <w:szCs w:val="14"/>
        </w:rPr>
        <w:t xml:space="preserve"> de la consciencia</w:t>
      </w:r>
    </w:p>
    <w:p w14:paraId="15EC0D26"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xxvi</w:t>
      </w:r>
      <w:proofErr w:type="spellEnd"/>
      <w:r w:rsidRPr="00DC1A5F">
        <w:rPr>
          <w:sz w:val="14"/>
          <w:szCs w:val="14"/>
        </w:rPr>
        <w:t xml:space="preserve">). </w:t>
      </w:r>
      <w:r w:rsidRPr="00DC1A5F">
        <w:rPr>
          <w:sz w:val="14"/>
          <w:szCs w:val="14"/>
        </w:rPr>
        <w:tab/>
        <w:t>Rectitud del cuerpo mental</w:t>
      </w:r>
    </w:p>
    <w:p w14:paraId="1BC12481"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xxvii</w:t>
      </w:r>
      <w:proofErr w:type="spellEnd"/>
      <w:r w:rsidRPr="00DC1A5F">
        <w:rPr>
          <w:sz w:val="14"/>
          <w:szCs w:val="14"/>
        </w:rPr>
        <w:t xml:space="preserve">). </w:t>
      </w:r>
      <w:r w:rsidRPr="00DC1A5F">
        <w:rPr>
          <w:sz w:val="14"/>
          <w:szCs w:val="14"/>
        </w:rPr>
        <w:tab/>
        <w:t>Rectitud de consciencia.</w:t>
      </w:r>
    </w:p>
    <w:p w14:paraId="5BA21718" w14:textId="77777777" w:rsidR="00597DE2" w:rsidRPr="00DC1A5F" w:rsidRDefault="00597DE2" w:rsidP="00597DE2">
      <w:pPr>
        <w:pStyle w:val="ParrafoApendice"/>
        <w:tabs>
          <w:tab w:val="clear" w:pos="425"/>
        </w:tabs>
        <w:ind w:firstLine="0"/>
        <w:rPr>
          <w:sz w:val="14"/>
          <w:szCs w:val="14"/>
          <w:lang w:val="es-PE"/>
        </w:rPr>
      </w:pPr>
      <w:r>
        <w:rPr>
          <w:sz w:val="14"/>
          <w:szCs w:val="14"/>
          <w:lang w:val="es-PE"/>
        </w:rPr>
        <w:t>6</w:t>
      </w:r>
      <w:r w:rsidRPr="00DC1A5F">
        <w:rPr>
          <w:sz w:val="14"/>
          <w:szCs w:val="14"/>
          <w:lang w:val="es-PE"/>
        </w:rPr>
        <w:t xml:space="preserve"> </w:t>
      </w:r>
      <w:proofErr w:type="gramStart"/>
      <w:r w:rsidRPr="00DC1A5F">
        <w:rPr>
          <w:sz w:val="14"/>
          <w:szCs w:val="14"/>
          <w:lang w:val="es-PE"/>
        </w:rPr>
        <w:t>Secundaria</w:t>
      </w:r>
      <w:r>
        <w:rPr>
          <w:sz w:val="14"/>
          <w:szCs w:val="14"/>
          <w:lang w:val="es-PE"/>
        </w:rPr>
        <w:t>s</w:t>
      </w:r>
      <w:proofErr w:type="gramEnd"/>
      <w:r w:rsidRPr="00DC1A5F">
        <w:rPr>
          <w:sz w:val="14"/>
          <w:szCs w:val="14"/>
          <w:lang w:val="es-PE"/>
        </w:rPr>
        <w:t>: a veces presente</w:t>
      </w:r>
      <w:r>
        <w:rPr>
          <w:sz w:val="14"/>
          <w:szCs w:val="14"/>
          <w:lang w:val="es-PE"/>
        </w:rPr>
        <w:t>s</w:t>
      </w:r>
      <w:r w:rsidRPr="00DC1A5F">
        <w:rPr>
          <w:sz w:val="14"/>
          <w:szCs w:val="14"/>
          <w:lang w:val="es-PE"/>
        </w:rPr>
        <w:t xml:space="preserve"> en </w:t>
      </w:r>
      <w:r>
        <w:rPr>
          <w:sz w:val="14"/>
          <w:szCs w:val="14"/>
          <w:lang w:val="es-PE"/>
        </w:rPr>
        <w:t xml:space="preserve">las </w:t>
      </w:r>
      <w:r w:rsidRPr="00DC1A5F">
        <w:rPr>
          <w:sz w:val="14"/>
          <w:szCs w:val="14"/>
          <w:lang w:val="es-PE"/>
        </w:rPr>
        <w:t>consciencia</w:t>
      </w:r>
      <w:r>
        <w:rPr>
          <w:sz w:val="14"/>
          <w:szCs w:val="14"/>
          <w:lang w:val="es-PE"/>
        </w:rPr>
        <w:t>s</w:t>
      </w:r>
      <w:r w:rsidRPr="003C5184">
        <w:rPr>
          <w:sz w:val="14"/>
          <w:szCs w:val="14"/>
          <w:lang w:val="es-PE"/>
        </w:rPr>
        <w:t xml:space="preserve"> </w:t>
      </w:r>
      <w:r w:rsidRPr="00DC1A5F">
        <w:rPr>
          <w:sz w:val="14"/>
          <w:szCs w:val="14"/>
          <w:lang w:val="es-PE"/>
        </w:rPr>
        <w:t>hermosas.</w:t>
      </w:r>
    </w:p>
    <w:p w14:paraId="745CD054"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xxxiv</w:t>
      </w:r>
      <w:proofErr w:type="spellEnd"/>
      <w:r w:rsidRPr="00DC1A5F">
        <w:rPr>
          <w:sz w:val="14"/>
          <w:szCs w:val="14"/>
        </w:rPr>
        <w:t xml:space="preserve">). </w:t>
      </w:r>
      <w:r w:rsidRPr="00DC1A5F">
        <w:rPr>
          <w:sz w:val="14"/>
          <w:szCs w:val="14"/>
        </w:rPr>
        <w:tab/>
        <w:t>Abstinencia de mala conducta corporal</w:t>
      </w:r>
    </w:p>
    <w:p w14:paraId="27B113D6"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xxxv</w:t>
      </w:r>
      <w:proofErr w:type="spellEnd"/>
      <w:r w:rsidRPr="00DC1A5F">
        <w:rPr>
          <w:sz w:val="14"/>
          <w:szCs w:val="14"/>
        </w:rPr>
        <w:t xml:space="preserve">). </w:t>
      </w:r>
      <w:r w:rsidRPr="00DC1A5F">
        <w:rPr>
          <w:sz w:val="14"/>
          <w:szCs w:val="14"/>
        </w:rPr>
        <w:tab/>
        <w:t>Abstinencia de mala conducta verbal</w:t>
      </w:r>
    </w:p>
    <w:p w14:paraId="4F52D32E"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xxxvi</w:t>
      </w:r>
      <w:proofErr w:type="spellEnd"/>
      <w:r w:rsidRPr="00DC1A5F">
        <w:rPr>
          <w:sz w:val="14"/>
          <w:szCs w:val="14"/>
        </w:rPr>
        <w:t xml:space="preserve">). </w:t>
      </w:r>
      <w:r w:rsidRPr="00DC1A5F">
        <w:rPr>
          <w:sz w:val="14"/>
          <w:szCs w:val="14"/>
        </w:rPr>
        <w:tab/>
      </w:r>
      <w:proofErr w:type="spellStart"/>
      <w:r w:rsidRPr="00DC1A5F">
        <w:rPr>
          <w:sz w:val="14"/>
          <w:szCs w:val="14"/>
        </w:rPr>
        <w:t>Abst</w:t>
      </w:r>
      <w:proofErr w:type="spellEnd"/>
      <w:r w:rsidRPr="00DC1A5F">
        <w:rPr>
          <w:sz w:val="14"/>
          <w:szCs w:val="14"/>
        </w:rPr>
        <w:t xml:space="preserve">. fr. sustento </w:t>
      </w:r>
      <w:r>
        <w:rPr>
          <w:sz w:val="14"/>
          <w:szCs w:val="14"/>
        </w:rPr>
        <w:t>incorrecto</w:t>
      </w:r>
    </w:p>
    <w:p w14:paraId="377C6EC4"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xxxii</w:t>
      </w:r>
      <w:proofErr w:type="spellEnd"/>
      <w:r w:rsidRPr="00DC1A5F">
        <w:rPr>
          <w:sz w:val="14"/>
          <w:szCs w:val="14"/>
        </w:rPr>
        <w:t xml:space="preserve">). </w:t>
      </w:r>
      <w:r w:rsidRPr="00DC1A5F">
        <w:rPr>
          <w:sz w:val="14"/>
          <w:szCs w:val="14"/>
        </w:rPr>
        <w:tab/>
        <w:t>Compasión</w:t>
      </w:r>
    </w:p>
    <w:p w14:paraId="3BB233FD"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xxxiii</w:t>
      </w:r>
      <w:proofErr w:type="spellEnd"/>
      <w:r w:rsidRPr="00DC1A5F">
        <w:rPr>
          <w:sz w:val="14"/>
          <w:szCs w:val="14"/>
        </w:rPr>
        <w:t xml:space="preserve">). </w:t>
      </w:r>
      <w:r w:rsidRPr="00DC1A5F">
        <w:rPr>
          <w:sz w:val="14"/>
          <w:szCs w:val="14"/>
        </w:rPr>
        <w:tab/>
        <w:t>Alegría</w:t>
      </w:r>
    </w:p>
    <w:p w14:paraId="3E814222" w14:textId="77777777" w:rsidR="00597DE2" w:rsidRDefault="00597DE2" w:rsidP="00597DE2">
      <w:pPr>
        <w:pStyle w:val="NumReload2"/>
        <w:rPr>
          <w:sz w:val="14"/>
          <w:szCs w:val="14"/>
        </w:rPr>
      </w:pPr>
      <w:r w:rsidRPr="00DC1A5F">
        <w:rPr>
          <w:sz w:val="14"/>
          <w:szCs w:val="14"/>
        </w:rPr>
        <w:tab/>
        <w:t>(</w:t>
      </w:r>
      <w:proofErr w:type="spellStart"/>
      <w:r w:rsidRPr="00DC1A5F">
        <w:rPr>
          <w:sz w:val="14"/>
          <w:szCs w:val="14"/>
        </w:rPr>
        <w:t>xv</w:t>
      </w:r>
      <w:proofErr w:type="spellEnd"/>
      <w:r w:rsidRPr="00DC1A5F">
        <w:rPr>
          <w:sz w:val="14"/>
          <w:szCs w:val="14"/>
        </w:rPr>
        <w:t xml:space="preserve">). </w:t>
      </w:r>
      <w:r w:rsidRPr="00DC1A5F">
        <w:rPr>
          <w:sz w:val="14"/>
          <w:szCs w:val="14"/>
        </w:rPr>
        <w:tab/>
        <w:t>No</w:t>
      </w:r>
      <w:r>
        <w:rPr>
          <w:rFonts w:cs="Cormorant"/>
          <w:sz w:val="14"/>
          <w:szCs w:val="14"/>
        </w:rPr>
        <w:t>–</w:t>
      </w:r>
      <w:r>
        <w:rPr>
          <w:sz w:val="14"/>
          <w:szCs w:val="14"/>
        </w:rPr>
        <w:t>ilusión</w:t>
      </w:r>
    </w:p>
    <w:p w14:paraId="7FD2E84A" w14:textId="77777777" w:rsidR="00597DE2" w:rsidRPr="00DC1A5F" w:rsidRDefault="00597DE2" w:rsidP="00597DE2">
      <w:pPr>
        <w:pStyle w:val="NumReload2"/>
        <w:rPr>
          <w:sz w:val="14"/>
          <w:szCs w:val="14"/>
        </w:rPr>
      </w:pPr>
    </w:p>
    <w:p w14:paraId="59266C32" w14:textId="77777777" w:rsidR="00597DE2" w:rsidRPr="00DC1A5F" w:rsidRDefault="00597DE2" w:rsidP="00597DE2">
      <w:pPr>
        <w:pStyle w:val="ParrafoApendice"/>
        <w:ind w:left="284"/>
        <w:rPr>
          <w:smallCaps/>
          <w:sz w:val="14"/>
          <w:szCs w:val="14"/>
          <w:lang w:val="es-PE"/>
        </w:rPr>
      </w:pPr>
      <w:r w:rsidRPr="00DC1A5F">
        <w:rPr>
          <w:smallCaps/>
          <w:sz w:val="14"/>
          <w:szCs w:val="14"/>
          <w:lang w:val="es-PE"/>
        </w:rPr>
        <w:t>Improductiv</w:t>
      </w:r>
      <w:r>
        <w:rPr>
          <w:smallCaps/>
          <w:sz w:val="14"/>
          <w:szCs w:val="14"/>
          <w:lang w:val="es-PE"/>
        </w:rPr>
        <w:t>as</w:t>
      </w:r>
    </w:p>
    <w:p w14:paraId="3211AA2F" w14:textId="77777777" w:rsidR="00597DE2" w:rsidRPr="00DC1A5F" w:rsidRDefault="00597DE2" w:rsidP="00597DE2">
      <w:pPr>
        <w:pStyle w:val="ParrafoApendice"/>
        <w:tabs>
          <w:tab w:val="clear" w:pos="425"/>
        </w:tabs>
        <w:ind w:firstLine="0"/>
        <w:rPr>
          <w:sz w:val="14"/>
          <w:szCs w:val="14"/>
          <w:lang w:val="es-PE"/>
        </w:rPr>
      </w:pPr>
      <w:r>
        <w:rPr>
          <w:sz w:val="14"/>
          <w:szCs w:val="14"/>
          <w:lang w:val="es-PE"/>
        </w:rPr>
        <w:t>4</w:t>
      </w:r>
      <w:r w:rsidRPr="00DC1A5F">
        <w:rPr>
          <w:sz w:val="14"/>
          <w:szCs w:val="14"/>
          <w:lang w:val="es-PE"/>
        </w:rPr>
        <w:t xml:space="preserve"> </w:t>
      </w:r>
      <w:proofErr w:type="gramStart"/>
      <w:r w:rsidRPr="00DC1A5F">
        <w:rPr>
          <w:sz w:val="14"/>
          <w:szCs w:val="14"/>
          <w:lang w:val="es-PE"/>
        </w:rPr>
        <w:t>Primaria</w:t>
      </w:r>
      <w:r>
        <w:rPr>
          <w:sz w:val="14"/>
          <w:szCs w:val="14"/>
          <w:lang w:val="es-PE"/>
        </w:rPr>
        <w:t>s</w:t>
      </w:r>
      <w:proofErr w:type="gramEnd"/>
      <w:r w:rsidRPr="00DC1A5F">
        <w:rPr>
          <w:sz w:val="14"/>
          <w:szCs w:val="14"/>
          <w:lang w:val="es-PE"/>
        </w:rPr>
        <w:t>: invariablemente presente</w:t>
      </w:r>
      <w:r>
        <w:rPr>
          <w:sz w:val="14"/>
          <w:szCs w:val="14"/>
          <w:lang w:val="es-PE"/>
        </w:rPr>
        <w:t>s</w:t>
      </w:r>
      <w:r w:rsidRPr="00DC1A5F">
        <w:rPr>
          <w:sz w:val="14"/>
          <w:szCs w:val="14"/>
          <w:lang w:val="es-PE"/>
        </w:rPr>
        <w:t xml:space="preserve"> en cualquier consciencia improductiva.</w:t>
      </w:r>
    </w:p>
    <w:p w14:paraId="6ABA95C1"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w:t>
      </w:r>
      <w:proofErr w:type="spellEnd"/>
      <w:r w:rsidRPr="00DC1A5F">
        <w:rPr>
          <w:sz w:val="14"/>
          <w:szCs w:val="14"/>
        </w:rPr>
        <w:t xml:space="preserve">). </w:t>
      </w:r>
      <w:r w:rsidRPr="00DC1A5F">
        <w:rPr>
          <w:sz w:val="14"/>
          <w:szCs w:val="14"/>
        </w:rPr>
        <w:tab/>
        <w:t>ilusión</w:t>
      </w:r>
    </w:p>
    <w:p w14:paraId="130FEE4C"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xxxvii</w:t>
      </w:r>
      <w:proofErr w:type="spellEnd"/>
      <w:r w:rsidRPr="00DC1A5F">
        <w:rPr>
          <w:sz w:val="14"/>
          <w:szCs w:val="14"/>
        </w:rPr>
        <w:t xml:space="preserve">). </w:t>
      </w:r>
      <w:r w:rsidRPr="00DC1A5F">
        <w:rPr>
          <w:sz w:val="14"/>
          <w:szCs w:val="14"/>
        </w:rPr>
        <w:tab/>
      </w:r>
      <w:r>
        <w:rPr>
          <w:sz w:val="14"/>
          <w:szCs w:val="14"/>
        </w:rPr>
        <w:t>Carencia</w:t>
      </w:r>
      <w:r w:rsidRPr="00DC1A5F">
        <w:rPr>
          <w:sz w:val="14"/>
          <w:szCs w:val="14"/>
        </w:rPr>
        <w:t xml:space="preserve"> de consciencia</w:t>
      </w:r>
    </w:p>
    <w:p w14:paraId="6535A3A3"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xxxviii</w:t>
      </w:r>
      <w:proofErr w:type="spellEnd"/>
      <w:r w:rsidRPr="00DC1A5F">
        <w:rPr>
          <w:sz w:val="14"/>
          <w:szCs w:val="14"/>
        </w:rPr>
        <w:t xml:space="preserve">). </w:t>
      </w:r>
      <w:r w:rsidRPr="00DC1A5F">
        <w:rPr>
          <w:sz w:val="14"/>
          <w:szCs w:val="14"/>
        </w:rPr>
        <w:tab/>
        <w:t>Desvergüenza</w:t>
      </w:r>
    </w:p>
    <w:p w14:paraId="55D38FBC"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xlii</w:t>
      </w:r>
      <w:proofErr w:type="spellEnd"/>
      <w:r w:rsidRPr="00DC1A5F">
        <w:rPr>
          <w:sz w:val="14"/>
          <w:szCs w:val="14"/>
        </w:rPr>
        <w:t xml:space="preserve">). </w:t>
      </w:r>
      <w:r w:rsidRPr="00DC1A5F">
        <w:rPr>
          <w:sz w:val="14"/>
          <w:szCs w:val="14"/>
        </w:rPr>
        <w:tab/>
        <w:t>Agitación</w:t>
      </w:r>
    </w:p>
    <w:p w14:paraId="303E123D" w14:textId="77777777" w:rsidR="00597DE2" w:rsidRPr="00DC1A5F" w:rsidRDefault="00597DE2" w:rsidP="00597DE2">
      <w:pPr>
        <w:pStyle w:val="ParrafoApendice"/>
        <w:tabs>
          <w:tab w:val="clear" w:pos="425"/>
        </w:tabs>
        <w:ind w:firstLine="0"/>
        <w:rPr>
          <w:sz w:val="14"/>
          <w:szCs w:val="14"/>
          <w:lang w:val="es-PE"/>
        </w:rPr>
      </w:pPr>
      <w:r>
        <w:rPr>
          <w:sz w:val="14"/>
          <w:szCs w:val="14"/>
          <w:lang w:val="es-PE"/>
        </w:rPr>
        <w:t xml:space="preserve">10 </w:t>
      </w:r>
      <w:proofErr w:type="gramStart"/>
      <w:r w:rsidRPr="00DC1A5F">
        <w:rPr>
          <w:sz w:val="14"/>
          <w:szCs w:val="14"/>
          <w:lang w:val="es-PE"/>
        </w:rPr>
        <w:t>Secundari</w:t>
      </w:r>
      <w:r>
        <w:rPr>
          <w:sz w:val="14"/>
          <w:szCs w:val="14"/>
          <w:lang w:val="es-PE"/>
        </w:rPr>
        <w:t>as</w:t>
      </w:r>
      <w:proofErr w:type="gramEnd"/>
      <w:r w:rsidRPr="00DC1A5F">
        <w:rPr>
          <w:sz w:val="14"/>
          <w:szCs w:val="14"/>
          <w:lang w:val="es-PE"/>
        </w:rPr>
        <w:t>: a veces presente</w:t>
      </w:r>
      <w:r>
        <w:rPr>
          <w:sz w:val="14"/>
          <w:szCs w:val="14"/>
          <w:lang w:val="es-PE"/>
        </w:rPr>
        <w:t>s</w:t>
      </w:r>
      <w:r w:rsidRPr="00DC1A5F">
        <w:rPr>
          <w:sz w:val="14"/>
          <w:szCs w:val="14"/>
          <w:lang w:val="es-PE"/>
        </w:rPr>
        <w:t xml:space="preserve"> en la consciencia improductiva</w:t>
      </w:r>
    </w:p>
    <w:p w14:paraId="584E7A10"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xiv</w:t>
      </w:r>
      <w:proofErr w:type="spellEnd"/>
      <w:r w:rsidRPr="00DC1A5F">
        <w:rPr>
          <w:sz w:val="14"/>
          <w:szCs w:val="14"/>
        </w:rPr>
        <w:t xml:space="preserve">). </w:t>
      </w:r>
      <w:r w:rsidRPr="00DC1A5F">
        <w:rPr>
          <w:sz w:val="14"/>
          <w:szCs w:val="14"/>
        </w:rPr>
        <w:tab/>
        <w:t>Odio</w:t>
      </w:r>
    </w:p>
    <w:p w14:paraId="55AD91BA"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xlvi</w:t>
      </w:r>
      <w:proofErr w:type="spellEnd"/>
      <w:r w:rsidRPr="00DC1A5F">
        <w:rPr>
          <w:sz w:val="14"/>
          <w:szCs w:val="14"/>
        </w:rPr>
        <w:t xml:space="preserve">). </w:t>
      </w:r>
      <w:r w:rsidRPr="00DC1A5F">
        <w:rPr>
          <w:sz w:val="14"/>
          <w:szCs w:val="14"/>
        </w:rPr>
        <w:tab/>
        <w:t>Envidia</w:t>
      </w:r>
    </w:p>
    <w:p w14:paraId="7EBC6535"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xlvii</w:t>
      </w:r>
      <w:proofErr w:type="spellEnd"/>
      <w:r w:rsidRPr="00DC1A5F">
        <w:rPr>
          <w:sz w:val="14"/>
          <w:szCs w:val="14"/>
        </w:rPr>
        <w:t xml:space="preserve">). </w:t>
      </w:r>
      <w:r w:rsidRPr="00DC1A5F">
        <w:rPr>
          <w:sz w:val="14"/>
          <w:szCs w:val="14"/>
        </w:rPr>
        <w:tab/>
        <w:t>Avaricia</w:t>
      </w:r>
    </w:p>
    <w:p w14:paraId="1C839DE3"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xlviii</w:t>
      </w:r>
      <w:proofErr w:type="spellEnd"/>
      <w:r w:rsidRPr="00DC1A5F">
        <w:rPr>
          <w:sz w:val="14"/>
          <w:szCs w:val="14"/>
        </w:rPr>
        <w:t xml:space="preserve">). </w:t>
      </w:r>
      <w:r w:rsidRPr="00DC1A5F">
        <w:rPr>
          <w:sz w:val="14"/>
          <w:szCs w:val="14"/>
        </w:rPr>
        <w:tab/>
        <w:t>Preocupación</w:t>
      </w:r>
    </w:p>
    <w:p w14:paraId="004CDC38"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xxxix</w:t>
      </w:r>
      <w:proofErr w:type="spellEnd"/>
      <w:r w:rsidRPr="00DC1A5F">
        <w:rPr>
          <w:sz w:val="14"/>
          <w:szCs w:val="14"/>
        </w:rPr>
        <w:t xml:space="preserve">). </w:t>
      </w:r>
      <w:r w:rsidRPr="00DC1A5F">
        <w:rPr>
          <w:sz w:val="14"/>
          <w:szCs w:val="14"/>
        </w:rPr>
        <w:tab/>
        <w:t>Codicia</w:t>
      </w:r>
    </w:p>
    <w:p w14:paraId="1FA90026"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xli</w:t>
      </w:r>
      <w:proofErr w:type="spellEnd"/>
      <w:r w:rsidRPr="00DC1A5F">
        <w:rPr>
          <w:sz w:val="14"/>
          <w:szCs w:val="14"/>
        </w:rPr>
        <w:t xml:space="preserve">). </w:t>
      </w:r>
      <w:r w:rsidRPr="00DC1A5F">
        <w:rPr>
          <w:sz w:val="14"/>
          <w:szCs w:val="14"/>
        </w:rPr>
        <w:tab/>
        <w:t>Vis</w:t>
      </w:r>
      <w:r>
        <w:rPr>
          <w:sz w:val="14"/>
          <w:szCs w:val="14"/>
        </w:rPr>
        <w:t>ión</w:t>
      </w:r>
      <w:r w:rsidRPr="00DC1A5F">
        <w:rPr>
          <w:sz w:val="14"/>
          <w:szCs w:val="14"/>
        </w:rPr>
        <w:t xml:space="preserve"> incorrecta</w:t>
      </w:r>
    </w:p>
    <w:p w14:paraId="3177874D"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xliv</w:t>
      </w:r>
      <w:proofErr w:type="spellEnd"/>
      <w:r w:rsidRPr="00DC1A5F">
        <w:rPr>
          <w:sz w:val="14"/>
          <w:szCs w:val="14"/>
        </w:rPr>
        <w:t xml:space="preserve">). </w:t>
      </w:r>
      <w:r w:rsidRPr="00DC1A5F">
        <w:rPr>
          <w:sz w:val="14"/>
          <w:szCs w:val="14"/>
        </w:rPr>
        <w:tab/>
      </w:r>
      <w:r>
        <w:rPr>
          <w:sz w:val="14"/>
          <w:szCs w:val="14"/>
        </w:rPr>
        <w:t>Presunción</w:t>
      </w:r>
      <w:r w:rsidRPr="00DC1A5F">
        <w:rPr>
          <w:sz w:val="14"/>
          <w:szCs w:val="14"/>
        </w:rPr>
        <w:t xml:space="preserve"> (orgullo)</w:t>
      </w:r>
    </w:p>
    <w:p w14:paraId="518E6080"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xliii</w:t>
      </w:r>
      <w:proofErr w:type="spellEnd"/>
      <w:r w:rsidRPr="00DC1A5F">
        <w:rPr>
          <w:sz w:val="14"/>
          <w:szCs w:val="14"/>
        </w:rPr>
        <w:t xml:space="preserve">). </w:t>
      </w:r>
      <w:r w:rsidRPr="00DC1A5F">
        <w:rPr>
          <w:sz w:val="14"/>
          <w:szCs w:val="14"/>
        </w:rPr>
        <w:tab/>
      </w:r>
      <w:r>
        <w:rPr>
          <w:sz w:val="14"/>
          <w:szCs w:val="14"/>
        </w:rPr>
        <w:t>Cansancio</w:t>
      </w:r>
    </w:p>
    <w:p w14:paraId="5E18EBEF" w14:textId="77777777" w:rsidR="00597DE2" w:rsidRPr="00DC1A5F" w:rsidRDefault="00597DE2" w:rsidP="00597DE2">
      <w:pPr>
        <w:pStyle w:val="NumReload2"/>
        <w:rPr>
          <w:sz w:val="14"/>
          <w:szCs w:val="14"/>
        </w:rPr>
      </w:pPr>
      <w:r w:rsidRPr="00DC1A5F">
        <w:rPr>
          <w:sz w:val="14"/>
          <w:szCs w:val="14"/>
        </w:rPr>
        <w:tab/>
        <w:t>*(</w:t>
      </w:r>
      <w:proofErr w:type="spellStart"/>
      <w:r w:rsidRPr="00DC1A5F">
        <w:rPr>
          <w:sz w:val="14"/>
          <w:szCs w:val="14"/>
        </w:rPr>
        <w:t>xliii</w:t>
      </w:r>
      <w:proofErr w:type="spellEnd"/>
      <w:r w:rsidRPr="00DC1A5F">
        <w:rPr>
          <w:sz w:val="14"/>
          <w:szCs w:val="14"/>
        </w:rPr>
        <w:t xml:space="preserve">). </w:t>
      </w:r>
      <w:r w:rsidRPr="00DC1A5F">
        <w:rPr>
          <w:sz w:val="14"/>
          <w:szCs w:val="14"/>
        </w:rPr>
        <w:tab/>
        <w:t>Letargo</w:t>
      </w:r>
    </w:p>
    <w:p w14:paraId="7D201D11" w14:textId="77777777" w:rsidR="00597DE2" w:rsidRDefault="00597DE2" w:rsidP="00597DE2">
      <w:pPr>
        <w:pStyle w:val="NumReload2"/>
        <w:rPr>
          <w:sz w:val="14"/>
          <w:szCs w:val="14"/>
        </w:rPr>
      </w:pPr>
      <w:r w:rsidRPr="00DC1A5F">
        <w:rPr>
          <w:sz w:val="14"/>
          <w:szCs w:val="14"/>
        </w:rPr>
        <w:tab/>
        <w:t xml:space="preserve">(l). </w:t>
      </w:r>
      <w:r w:rsidRPr="00DC1A5F">
        <w:rPr>
          <w:sz w:val="14"/>
          <w:szCs w:val="14"/>
        </w:rPr>
        <w:tab/>
      </w:r>
      <w:r>
        <w:rPr>
          <w:sz w:val="14"/>
          <w:szCs w:val="14"/>
        </w:rPr>
        <w:t>Incertidumbre</w:t>
      </w:r>
    </w:p>
    <w:p w14:paraId="54080EEF" w14:textId="77777777" w:rsidR="00597DE2" w:rsidRDefault="00597DE2" w:rsidP="00597DE2">
      <w:pPr>
        <w:pStyle w:val="NumReload2"/>
        <w:rPr>
          <w:sz w:val="14"/>
          <w:szCs w:val="14"/>
        </w:rPr>
      </w:pPr>
    </w:p>
    <w:p w14:paraId="5431C71B" w14:textId="77777777" w:rsidR="00597DE2" w:rsidRDefault="00597DE2" w:rsidP="00597DE2">
      <w:pPr>
        <w:pStyle w:val="NumReload2"/>
        <w:rPr>
          <w:sz w:val="14"/>
          <w:szCs w:val="14"/>
        </w:rPr>
      </w:pPr>
    </w:p>
    <w:p w14:paraId="14B04050" w14:textId="77777777" w:rsidR="00597DE2" w:rsidRDefault="00597DE2" w:rsidP="00597DE2">
      <w:pPr>
        <w:pStyle w:val="NumReload2"/>
        <w:rPr>
          <w:sz w:val="14"/>
          <w:szCs w:val="14"/>
        </w:rPr>
      </w:pPr>
    </w:p>
    <w:p w14:paraId="489FE6F2" w14:textId="77777777" w:rsidR="00597DE2" w:rsidRDefault="00597DE2" w:rsidP="00597DE2">
      <w:pPr>
        <w:pStyle w:val="NumReload2"/>
        <w:rPr>
          <w:sz w:val="14"/>
          <w:szCs w:val="14"/>
        </w:rPr>
      </w:pPr>
    </w:p>
    <w:p w14:paraId="396BC05C" w14:textId="77777777" w:rsidR="00597DE2" w:rsidRPr="00DC1A5F" w:rsidRDefault="00597DE2" w:rsidP="00597DE2">
      <w:pPr>
        <w:pStyle w:val="NumReload2"/>
        <w:rPr>
          <w:sz w:val="14"/>
          <w:szCs w:val="14"/>
        </w:rPr>
      </w:pPr>
    </w:p>
    <w:p w14:paraId="75BF5938" w14:textId="77777777" w:rsidR="00597DE2" w:rsidRPr="00DC1A5F" w:rsidRDefault="00597DE2" w:rsidP="00597DE2">
      <w:pPr>
        <w:pStyle w:val="Sangradetextonormal"/>
        <w:sectPr w:rsidR="00597DE2" w:rsidRPr="00DC1A5F" w:rsidSect="00305694">
          <w:footnotePr>
            <w:numRestart w:val="eachSect"/>
          </w:footnotePr>
          <w:type w:val="continuous"/>
          <w:pgSz w:w="8641" w:h="12962"/>
          <w:pgMar w:top="851" w:right="964" w:bottom="964" w:left="964" w:header="709" w:footer="709" w:gutter="0"/>
          <w:pgNumType w:start="846"/>
          <w:cols w:num="2" w:space="708"/>
          <w:docGrid w:linePitch="360"/>
        </w:sectPr>
      </w:pPr>
    </w:p>
    <w:p w14:paraId="48CEA457" w14:textId="77777777" w:rsidR="00597DE2" w:rsidRPr="00DC1A5F" w:rsidRDefault="00597DE2" w:rsidP="00597DE2"/>
    <w:p w14:paraId="3A838622" w14:textId="77777777" w:rsidR="00597DE2" w:rsidRPr="00DC1A5F" w:rsidRDefault="00597DE2" w:rsidP="00597DE2">
      <w:pPr>
        <w:pStyle w:val="PiedepginaLegal"/>
        <w:rPr>
          <w:u w:val="single"/>
        </w:rPr>
      </w:pPr>
      <w:r w:rsidRPr="00DC1A5F">
        <w:rPr>
          <w:u w:val="single"/>
        </w:rPr>
        <w:t xml:space="preserve">           </w:t>
      </w:r>
      <w:r w:rsidRPr="00DC1A5F">
        <w:rPr>
          <w:u w:val="single"/>
        </w:rPr>
        <w:tab/>
      </w:r>
      <w:r w:rsidRPr="00DC1A5F">
        <w:rPr>
          <w:u w:val="single"/>
        </w:rPr>
        <w:tab/>
        <w:t>.</w:t>
      </w:r>
    </w:p>
    <w:p w14:paraId="62BD88BC" w14:textId="77777777" w:rsidR="00597DE2" w:rsidRPr="00DC1A5F" w:rsidRDefault="00597DE2" w:rsidP="00597DE2">
      <w:pPr>
        <w:pStyle w:val="PiedepginaLegal"/>
      </w:pPr>
      <w:r w:rsidRPr="00DC1A5F">
        <w:t xml:space="preserve">1. </w:t>
      </w:r>
      <w:r w:rsidRPr="00DC1A5F">
        <w:tab/>
        <w:t>(Cap. XIV, §131ff.)</w:t>
      </w:r>
    </w:p>
    <w:p w14:paraId="1C3391F4" w14:textId="77777777" w:rsidR="00597DE2" w:rsidRPr="00DC1A5F" w:rsidRDefault="00597DE2" w:rsidP="00597DE2">
      <w:pPr>
        <w:pStyle w:val="PiedepginaLegal"/>
      </w:pPr>
      <w:r w:rsidRPr="00DC1A5F">
        <w:t xml:space="preserve">2. </w:t>
      </w:r>
      <w:r w:rsidRPr="00DC1A5F">
        <w:tab/>
        <w:t xml:space="preserve">La numeración romana de (i) a (l) corresponde a la </w:t>
      </w:r>
      <w:r>
        <w:t>ofrecida</w:t>
      </w:r>
      <w:r w:rsidRPr="00DC1A5F">
        <w:t xml:space="preserve"> en Cap. </w:t>
      </w:r>
      <w:r>
        <w:t xml:space="preserve">El </w:t>
      </w:r>
      <w:r w:rsidRPr="00DC1A5F">
        <w:t xml:space="preserve">XIV. El total </w:t>
      </w:r>
      <w:r>
        <w:t>hace</w:t>
      </w:r>
      <w:r w:rsidRPr="00DC1A5F">
        <w:t xml:space="preserve"> 50. Sin embargo</w:t>
      </w:r>
      <w:r>
        <w:t>,</w:t>
      </w:r>
      <w:r w:rsidRPr="00DC1A5F">
        <w:t xml:space="preserve"> (</w:t>
      </w:r>
      <w:proofErr w:type="spellStart"/>
      <w:r w:rsidRPr="00DC1A5F">
        <w:t>viii</w:t>
      </w:r>
      <w:proofErr w:type="spellEnd"/>
      <w:r w:rsidRPr="00DC1A5F">
        <w:t>) la concentración y (</w:t>
      </w:r>
      <w:proofErr w:type="spellStart"/>
      <w:r w:rsidRPr="00DC1A5F">
        <w:t>xlix</w:t>
      </w:r>
      <w:proofErr w:type="spellEnd"/>
      <w:r w:rsidRPr="00DC1A5F">
        <w:t>) la estabilidad de la consciencia son simplemente diferentes grados de la misma cosa, en consecuencia (</w:t>
      </w:r>
      <w:proofErr w:type="spellStart"/>
      <w:r w:rsidRPr="00DC1A5F">
        <w:t>xlix</w:t>
      </w:r>
      <w:proofErr w:type="spellEnd"/>
      <w:r w:rsidRPr="00DC1A5F">
        <w:t>) la estabilidad de la consciencia no está incluida en la lista anterior. Por otro lado (</w:t>
      </w:r>
      <w:proofErr w:type="spellStart"/>
      <w:r w:rsidRPr="00DC1A5F">
        <w:t>xliii</w:t>
      </w:r>
      <w:proofErr w:type="spellEnd"/>
      <w:r w:rsidRPr="00DC1A5F">
        <w:t>) la rigidez y el letargo se tratan como dos formaciones separadas y, por lo tanto, se incluyen arriba por separado. Así, el total sigue siendo 50. Los ‘52 concomitantes de la consciencia’ (</w:t>
      </w:r>
      <w:proofErr w:type="spellStart"/>
      <w:r w:rsidRPr="00DC1A5F">
        <w:rPr>
          <w:i/>
          <w:iCs/>
        </w:rPr>
        <w:t>cetasika</w:t>
      </w:r>
      <w:proofErr w:type="spellEnd"/>
      <w:r w:rsidRPr="00DC1A5F">
        <w:t>) a veces mencionados son los 50 anteriores más sentimiento y percepción.</w:t>
      </w:r>
    </w:p>
    <w:p w14:paraId="01730893" w14:textId="77777777" w:rsidR="00597DE2" w:rsidRPr="00DC1A5F" w:rsidRDefault="00597DE2" w:rsidP="00597DE2">
      <w:pPr>
        <w:pStyle w:val="PiedepginaLegal"/>
      </w:pPr>
      <w:r w:rsidRPr="00DC1A5F">
        <w:t xml:space="preserve">3. </w:t>
      </w:r>
      <w:r w:rsidRPr="00DC1A5F">
        <w:tab/>
        <w:t>La</w:t>
      </w:r>
      <w:r>
        <w:t>s</w:t>
      </w:r>
      <w:r w:rsidRPr="00DC1A5F">
        <w:t xml:space="preserve"> consciencia</w:t>
      </w:r>
      <w:r>
        <w:t>s</w:t>
      </w:r>
      <w:r w:rsidRPr="00DC1A5F">
        <w:t xml:space="preserve"> hermosa</w:t>
      </w:r>
      <w:r>
        <w:t>s</w:t>
      </w:r>
      <w:r w:rsidRPr="00DC1A5F">
        <w:t xml:space="preserve"> (</w:t>
      </w:r>
      <w:proofErr w:type="spellStart"/>
      <w:r w:rsidRPr="00DC1A5F">
        <w:rPr>
          <w:i/>
          <w:iCs/>
        </w:rPr>
        <w:t>sobhana</w:t>
      </w:r>
      <w:proofErr w:type="spellEnd"/>
      <w:r w:rsidRPr="00DC1A5F">
        <w:t xml:space="preserve">) incluye </w:t>
      </w:r>
      <w:r>
        <w:t>a cualquier</w:t>
      </w:r>
      <w:r w:rsidRPr="00DC1A5F">
        <w:t xml:space="preserve"> consciencia </w:t>
      </w:r>
      <w:r>
        <w:t>productiva</w:t>
      </w:r>
      <w:r w:rsidRPr="00DC1A5F">
        <w:t xml:space="preserve">, </w:t>
      </w:r>
      <w:r>
        <w:t xml:space="preserve">a </w:t>
      </w:r>
      <w:r w:rsidRPr="00DC1A5F">
        <w:t xml:space="preserve">la consciencia resultante con causa–raíz y </w:t>
      </w:r>
      <w:r>
        <w:t xml:space="preserve">a </w:t>
      </w:r>
      <w:r w:rsidRPr="00DC1A5F">
        <w:t>la consciencia funcional con causa–raíz. (Cuadro III (1)–(21), (42)–(49), (57)–(69), (73)–(89).)</w:t>
      </w:r>
    </w:p>
    <w:p w14:paraId="351C9518" w14:textId="77777777" w:rsidR="00597DE2" w:rsidRPr="00DC1A5F" w:rsidRDefault="00597DE2" w:rsidP="00597DE2"/>
    <w:p w14:paraId="24907B36" w14:textId="77777777" w:rsidR="00597DE2" w:rsidRPr="00DC1A5F" w:rsidRDefault="00597DE2" w:rsidP="00597DE2">
      <w:pPr>
        <w:tabs>
          <w:tab w:val="clear" w:pos="425"/>
        </w:tabs>
        <w:spacing w:after="160"/>
      </w:pPr>
      <w:r w:rsidRPr="00DC1A5F">
        <w:br w:type="page"/>
      </w:r>
    </w:p>
    <w:p w14:paraId="55D37C27" w14:textId="77777777" w:rsidR="00597DE2" w:rsidRPr="00DC1A5F" w:rsidRDefault="00597DE2" w:rsidP="00597DE2">
      <w:pPr>
        <w:pStyle w:val="Ttulo2"/>
      </w:pPr>
      <w:bookmarkStart w:id="21" w:name="_Toc142334426"/>
      <w:r w:rsidRPr="00DC1A5F">
        <w:lastRenderedPageBreak/>
        <w:t xml:space="preserve">Tabla III: </w:t>
      </w:r>
      <w:r w:rsidRPr="00DC1A5F">
        <w:tab/>
        <w:t>Agregado</w:t>
      </w:r>
      <w:r>
        <w:t xml:space="preserve"> de la Consciencia</w:t>
      </w:r>
      <w:r w:rsidRPr="00DC1A5F">
        <w:rPr>
          <w:vertAlign w:val="superscript"/>
        </w:rPr>
        <w:t>1</w:t>
      </w:r>
      <w:bookmarkEnd w:id="21"/>
    </w:p>
    <w:p w14:paraId="2D4EC8D6" w14:textId="77777777" w:rsidR="00597DE2" w:rsidRPr="00DC1A5F" w:rsidRDefault="00597DE2" w:rsidP="00597DE2">
      <w:pPr>
        <w:tabs>
          <w:tab w:val="clear" w:pos="425"/>
        </w:tabs>
        <w:spacing w:after="160"/>
      </w:pPr>
      <w:r w:rsidRPr="00DC1A5F">
        <w:rPr>
          <w:noProof/>
        </w:rPr>
        <mc:AlternateContent>
          <mc:Choice Requires="wps">
            <w:drawing>
              <wp:anchor distT="0" distB="0" distL="114300" distR="114300" simplePos="0" relativeHeight="251653632" behindDoc="0" locked="0" layoutInCell="1" allowOverlap="1" wp14:anchorId="491BCC8F" wp14:editId="4A835C4C">
                <wp:simplePos x="0" y="0"/>
                <wp:positionH relativeFrom="column">
                  <wp:posOffset>-19184</wp:posOffset>
                </wp:positionH>
                <wp:positionV relativeFrom="paragraph">
                  <wp:posOffset>382635</wp:posOffset>
                </wp:positionV>
                <wp:extent cx="146678" cy="3979045"/>
                <wp:effectExtent l="0" t="0" r="25400" b="21590"/>
                <wp:wrapNone/>
                <wp:docPr id="25" name="Cerrar llave 25"/>
                <wp:cNvGraphicFramePr/>
                <a:graphic xmlns:a="http://schemas.openxmlformats.org/drawingml/2006/main">
                  <a:graphicData uri="http://schemas.microsoft.com/office/word/2010/wordprocessingShape">
                    <wps:wsp>
                      <wps:cNvSpPr/>
                      <wps:spPr>
                        <a:xfrm flipH="1">
                          <a:off x="0" y="0"/>
                          <a:ext cx="146678" cy="3979045"/>
                        </a:xfrm>
                        <a:prstGeom prst="rightBrace">
                          <a:avLst>
                            <a:gd name="adj1" fmla="val 56268"/>
                            <a:gd name="adj2" fmla="val 47119"/>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13DC" id="Cerrar llave 25" o:spid="_x0000_s1026" type="#_x0000_t88" style="position:absolute;margin-left:-1.5pt;margin-top:30.15pt;width:11.55pt;height:313.3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" adj="448,10178" strokecolor="#7f7f7f [1612]" strokeweight="1pt">
                <v:stroke joinstyle="miter"/>
              </v:shape>
            </w:pict>
          </mc:Fallback>
        </mc:AlternateContent>
      </w:r>
      <w:r w:rsidRPr="00DC1A5F">
        <w:rPr>
          <w:noProof/>
          <w:sz w:val="14"/>
          <w:szCs w:val="14"/>
        </w:rPr>
        <mc:AlternateContent>
          <mc:Choice Requires="wps">
            <w:drawing>
              <wp:anchor distT="0" distB="0" distL="114300" distR="114300" simplePos="0" relativeHeight="251656704" behindDoc="0" locked="0" layoutInCell="1" allowOverlap="1" wp14:anchorId="2C789AFD" wp14:editId="29DEAB69">
                <wp:simplePos x="0" y="0"/>
                <wp:positionH relativeFrom="leftMargin">
                  <wp:align>right</wp:align>
                </wp:positionH>
                <wp:positionV relativeFrom="paragraph">
                  <wp:posOffset>1958552</wp:posOffset>
                </wp:positionV>
                <wp:extent cx="689810" cy="304800"/>
                <wp:effectExtent l="1905" t="0" r="0" b="0"/>
                <wp:wrapNone/>
                <wp:docPr id="26" name="Cuadro de texto 26"/>
                <wp:cNvGraphicFramePr/>
                <a:graphic xmlns:a="http://schemas.openxmlformats.org/drawingml/2006/main">
                  <a:graphicData uri="http://schemas.microsoft.com/office/word/2010/wordprocessingShape">
                    <wps:wsp>
                      <wps:cNvSpPr txBox="1"/>
                      <wps:spPr>
                        <a:xfrm rot="16200000">
                          <a:off x="0" y="0"/>
                          <a:ext cx="689810" cy="304800"/>
                        </a:xfrm>
                        <a:prstGeom prst="rect">
                          <a:avLst/>
                        </a:prstGeom>
                        <a:noFill/>
                        <a:ln w="6350">
                          <a:noFill/>
                        </a:ln>
                      </wps:spPr>
                      <wps:txbx>
                        <w:txbxContent>
                          <w:p w14:paraId="06BF89AD" w14:textId="77777777" w:rsidR="00597DE2" w:rsidRPr="00DC1A5F" w:rsidRDefault="00597DE2" w:rsidP="00597DE2">
                            <w:r w:rsidRPr="00DC1A5F">
                              <w:t>Los Cuatro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89AFD" id="Cuadro de texto 26" o:spid="_x0000_s1031" type="#_x0000_t202" style="position:absolute;margin-left:3.1pt;margin-top:154.2pt;width:54.3pt;height:24pt;rotation:-90;z-index:25165670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" filled="f" stroked="f" strokeweight=".5pt">
                <v:textbox>
                  <w:txbxContent>
                    <w:p w14:paraId="06BF89AD" w14:textId="77777777" w:rsidR="00597DE2" w:rsidRPr="00DC1A5F" w:rsidRDefault="00597DE2" w:rsidP="00597DE2">
                      <w:r w:rsidRPr="00DC1A5F">
                        <w:t>Los Cuatro</w:t>
                      </w:r>
                    </w:p>
                  </w:txbxContent>
                </v:textbox>
                <w10:wrap anchorx="margin"/>
              </v:shape>
            </w:pict>
          </mc:Fallback>
        </mc:AlternateContent>
      </w:r>
    </w:p>
    <w:tbl>
      <w:tblPr>
        <w:tblStyle w:val="Tablaconcuadrcula"/>
        <w:tblW w:w="0" w:type="auto"/>
        <w:tblInd w:w="279" w:type="dxa"/>
        <w:tblLook w:val="04A0" w:firstRow="1" w:lastRow="0" w:firstColumn="1" w:lastColumn="0" w:noHBand="0" w:noVBand="1"/>
      </w:tblPr>
      <w:tblGrid>
        <w:gridCol w:w="850"/>
        <w:gridCol w:w="2977"/>
        <w:gridCol w:w="2597"/>
      </w:tblGrid>
      <w:tr w:rsidR="00597DE2" w:rsidRPr="00DC1A5F" w14:paraId="11D71CE2" w14:textId="77777777" w:rsidTr="00B66784">
        <w:tc>
          <w:tcPr>
            <w:tcW w:w="850" w:type="dxa"/>
          </w:tcPr>
          <w:p w14:paraId="427B81AC" w14:textId="77777777" w:rsidR="00597DE2" w:rsidRPr="00DC1A5F" w:rsidRDefault="00597DE2" w:rsidP="00B66784">
            <w:pPr>
              <w:tabs>
                <w:tab w:val="clear" w:pos="425"/>
              </w:tabs>
              <w:spacing w:after="0"/>
              <w:jc w:val="center"/>
              <w:rPr>
                <w:b/>
                <w:bCs/>
                <w:sz w:val="14"/>
                <w:szCs w:val="14"/>
              </w:rPr>
            </w:pPr>
          </w:p>
        </w:tc>
        <w:tc>
          <w:tcPr>
            <w:tcW w:w="2977" w:type="dxa"/>
          </w:tcPr>
          <w:p w14:paraId="172A8BB6" w14:textId="77777777" w:rsidR="00597DE2" w:rsidRPr="00DC1A5F" w:rsidRDefault="00597DE2" w:rsidP="00B66784">
            <w:pPr>
              <w:tabs>
                <w:tab w:val="clear" w:pos="425"/>
              </w:tabs>
              <w:spacing w:after="0"/>
              <w:jc w:val="center"/>
              <w:rPr>
                <w:b/>
                <w:bCs/>
                <w:sz w:val="14"/>
                <w:szCs w:val="14"/>
              </w:rPr>
            </w:pPr>
          </w:p>
          <w:p w14:paraId="563E91FE" w14:textId="77777777" w:rsidR="00597DE2" w:rsidRPr="00DC1A5F" w:rsidRDefault="00597DE2" w:rsidP="00B66784">
            <w:pPr>
              <w:tabs>
                <w:tab w:val="clear" w:pos="425"/>
              </w:tabs>
              <w:spacing w:after="0"/>
              <w:jc w:val="center"/>
              <w:rPr>
                <w:b/>
                <w:bCs/>
                <w:sz w:val="14"/>
                <w:szCs w:val="14"/>
              </w:rPr>
            </w:pPr>
            <w:r w:rsidRPr="00DC1A5F">
              <w:rPr>
                <w:b/>
                <w:bCs/>
                <w:sz w:val="14"/>
                <w:szCs w:val="14"/>
              </w:rPr>
              <w:t>I. Productivos</w:t>
            </w:r>
          </w:p>
          <w:p w14:paraId="3973A50D" w14:textId="77777777" w:rsidR="00597DE2" w:rsidRPr="00DC1A5F" w:rsidRDefault="00597DE2" w:rsidP="00B66784">
            <w:pPr>
              <w:tabs>
                <w:tab w:val="clear" w:pos="425"/>
              </w:tabs>
              <w:spacing w:after="0"/>
              <w:jc w:val="center"/>
              <w:rPr>
                <w:b/>
                <w:bCs/>
                <w:sz w:val="14"/>
                <w:szCs w:val="14"/>
              </w:rPr>
            </w:pPr>
          </w:p>
        </w:tc>
        <w:tc>
          <w:tcPr>
            <w:tcW w:w="2597" w:type="dxa"/>
          </w:tcPr>
          <w:p w14:paraId="248FAD28" w14:textId="77777777" w:rsidR="00597DE2" w:rsidRPr="00DC1A5F" w:rsidRDefault="00597DE2" w:rsidP="00B66784">
            <w:pPr>
              <w:tabs>
                <w:tab w:val="clear" w:pos="425"/>
              </w:tabs>
              <w:spacing w:after="0"/>
              <w:jc w:val="center"/>
              <w:rPr>
                <w:b/>
                <w:bCs/>
                <w:sz w:val="14"/>
                <w:szCs w:val="14"/>
              </w:rPr>
            </w:pPr>
          </w:p>
          <w:p w14:paraId="36F28B4F" w14:textId="77777777" w:rsidR="00597DE2" w:rsidRPr="00DC1A5F" w:rsidRDefault="00597DE2" w:rsidP="00B66784">
            <w:pPr>
              <w:tabs>
                <w:tab w:val="clear" w:pos="425"/>
              </w:tabs>
              <w:spacing w:after="0"/>
              <w:jc w:val="center"/>
              <w:rPr>
                <w:b/>
                <w:bCs/>
                <w:sz w:val="14"/>
                <w:szCs w:val="14"/>
              </w:rPr>
            </w:pPr>
            <w:r w:rsidRPr="00DC1A5F">
              <w:rPr>
                <w:b/>
                <w:bCs/>
                <w:sz w:val="14"/>
                <w:szCs w:val="14"/>
              </w:rPr>
              <w:t>II. Improductivos</w:t>
            </w:r>
          </w:p>
        </w:tc>
      </w:tr>
      <w:tr w:rsidR="00597DE2" w:rsidRPr="00DC1A5F" w14:paraId="2C21E743" w14:textId="77777777" w:rsidTr="00B66784">
        <w:tc>
          <w:tcPr>
            <w:tcW w:w="850" w:type="dxa"/>
          </w:tcPr>
          <w:p w14:paraId="047BD303" w14:textId="77777777" w:rsidR="00597DE2" w:rsidRPr="00DC1A5F" w:rsidRDefault="00597DE2" w:rsidP="00B66784">
            <w:pPr>
              <w:tabs>
                <w:tab w:val="clear" w:pos="425"/>
              </w:tabs>
              <w:spacing w:after="0"/>
              <w:rPr>
                <w:sz w:val="14"/>
                <w:szCs w:val="14"/>
              </w:rPr>
            </w:pPr>
            <w:r w:rsidRPr="00DC1A5F">
              <w:rPr>
                <w:sz w:val="14"/>
                <w:szCs w:val="14"/>
              </w:rPr>
              <w:t>A. Esfera Sensual</w:t>
            </w:r>
          </w:p>
          <w:p w14:paraId="1D5AC374" w14:textId="77777777" w:rsidR="00597DE2" w:rsidRPr="00DC1A5F" w:rsidRDefault="00597DE2" w:rsidP="00B66784">
            <w:pPr>
              <w:tabs>
                <w:tab w:val="clear" w:pos="425"/>
              </w:tabs>
              <w:spacing w:after="0"/>
              <w:rPr>
                <w:sz w:val="14"/>
                <w:szCs w:val="14"/>
              </w:rPr>
            </w:pPr>
            <w:r w:rsidRPr="00DC1A5F">
              <w:rPr>
                <w:sz w:val="14"/>
                <w:szCs w:val="14"/>
              </w:rPr>
              <w:t>del Deseo</w:t>
            </w:r>
          </w:p>
        </w:tc>
        <w:tc>
          <w:tcPr>
            <w:tcW w:w="2977" w:type="dxa"/>
          </w:tcPr>
          <w:p w14:paraId="3E08F6CF"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(1) </w:t>
            </w:r>
            <w:r>
              <w:rPr>
                <w:sz w:val="14"/>
                <w:szCs w:val="14"/>
              </w:rPr>
              <w:t xml:space="preserve"> </w:t>
            </w:r>
            <w:r w:rsidRPr="00C83176">
              <w:rPr>
                <w:sz w:val="14"/>
                <w:szCs w:val="14"/>
              </w:rPr>
              <w:t>Acompañado de alegría, asociado con el conocimiento, espontáneo.</w:t>
            </w:r>
          </w:p>
          <w:p w14:paraId="78F1297B" w14:textId="77777777" w:rsidR="00597DE2" w:rsidRPr="00C83176" w:rsidRDefault="00597DE2" w:rsidP="00B66784">
            <w:pPr>
              <w:tabs>
                <w:tab w:val="clear" w:pos="425"/>
              </w:tabs>
              <w:spacing w:after="0"/>
              <w:rPr>
                <w:sz w:val="14"/>
                <w:szCs w:val="14"/>
              </w:rPr>
            </w:pPr>
            <w:r w:rsidRPr="00C83176">
              <w:rPr>
                <w:sz w:val="14"/>
                <w:szCs w:val="14"/>
              </w:rPr>
              <w:t xml:space="preserve">(2) </w:t>
            </w:r>
            <w:r>
              <w:rPr>
                <w:sz w:val="14"/>
                <w:szCs w:val="14"/>
              </w:rPr>
              <w:t xml:space="preserve"> </w:t>
            </w:r>
            <w:r w:rsidRPr="00C83176">
              <w:rPr>
                <w:sz w:val="14"/>
                <w:szCs w:val="14"/>
              </w:rPr>
              <w:t>Ídem., ídem., incitado.</w:t>
            </w:r>
          </w:p>
          <w:p w14:paraId="56D13C0F" w14:textId="77777777" w:rsidR="00597DE2" w:rsidRPr="00C83176" w:rsidRDefault="00597DE2" w:rsidP="00B66784">
            <w:pPr>
              <w:tabs>
                <w:tab w:val="clear" w:pos="425"/>
              </w:tabs>
              <w:spacing w:after="0"/>
              <w:rPr>
                <w:sz w:val="14"/>
                <w:szCs w:val="14"/>
              </w:rPr>
            </w:pPr>
            <w:r w:rsidRPr="00C83176">
              <w:rPr>
                <w:sz w:val="14"/>
                <w:szCs w:val="14"/>
              </w:rPr>
              <w:t xml:space="preserve">(3) </w:t>
            </w:r>
            <w:r>
              <w:rPr>
                <w:sz w:val="14"/>
                <w:szCs w:val="14"/>
              </w:rPr>
              <w:t xml:space="preserve"> </w:t>
            </w:r>
            <w:r w:rsidRPr="00C83176">
              <w:rPr>
                <w:sz w:val="14"/>
                <w:szCs w:val="14"/>
              </w:rPr>
              <w:t xml:space="preserve">Ídem., disociado </w:t>
            </w:r>
            <w:r>
              <w:rPr>
                <w:sz w:val="14"/>
                <w:szCs w:val="14"/>
              </w:rPr>
              <w:t>del</w:t>
            </w:r>
            <w:r w:rsidRPr="00C83176">
              <w:rPr>
                <w:sz w:val="14"/>
                <w:szCs w:val="14"/>
              </w:rPr>
              <w:t xml:space="preserve"> conocimiento</w:t>
            </w:r>
          </w:p>
          <w:p w14:paraId="33F9E657" w14:textId="77777777" w:rsidR="00597DE2" w:rsidRPr="00C83176" w:rsidRDefault="00597DE2" w:rsidP="00B66784">
            <w:pPr>
              <w:tabs>
                <w:tab w:val="clear" w:pos="425"/>
              </w:tabs>
              <w:spacing w:after="0"/>
              <w:rPr>
                <w:sz w:val="14"/>
                <w:szCs w:val="14"/>
              </w:rPr>
            </w:pPr>
            <w:r w:rsidRPr="00C83176">
              <w:rPr>
                <w:sz w:val="14"/>
                <w:szCs w:val="14"/>
              </w:rPr>
              <w:t xml:space="preserve">(4) </w:t>
            </w:r>
            <w:r>
              <w:rPr>
                <w:sz w:val="14"/>
                <w:szCs w:val="14"/>
              </w:rPr>
              <w:t xml:space="preserve"> </w:t>
            </w:r>
            <w:r w:rsidRPr="00C83176">
              <w:rPr>
                <w:sz w:val="14"/>
                <w:szCs w:val="14"/>
              </w:rPr>
              <w:t>Ídem., ídem., incitado.</w:t>
            </w:r>
          </w:p>
          <w:p w14:paraId="150657BF"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(5) </w:t>
            </w:r>
            <w:r>
              <w:rPr>
                <w:sz w:val="14"/>
                <w:szCs w:val="14"/>
              </w:rPr>
              <w:t xml:space="preserve"> </w:t>
            </w:r>
            <w:r w:rsidRPr="00C83176">
              <w:rPr>
                <w:sz w:val="14"/>
                <w:szCs w:val="14"/>
              </w:rPr>
              <w:t xml:space="preserve">Acompañado por la ecuanimidad, </w:t>
            </w:r>
            <w:proofErr w:type="spellStart"/>
            <w:r w:rsidRPr="00C83176">
              <w:rPr>
                <w:sz w:val="14"/>
                <w:szCs w:val="14"/>
              </w:rPr>
              <w:t>asoc</w:t>
            </w:r>
            <w:proofErr w:type="spellEnd"/>
            <w:r>
              <w:rPr>
                <w:sz w:val="14"/>
                <w:szCs w:val="14"/>
              </w:rPr>
              <w:t>.</w:t>
            </w:r>
            <w:r w:rsidRPr="00C83176">
              <w:rPr>
                <w:sz w:val="14"/>
                <w:szCs w:val="14"/>
              </w:rPr>
              <w:t xml:space="preserve"> </w:t>
            </w:r>
            <w:r>
              <w:rPr>
                <w:sz w:val="14"/>
                <w:szCs w:val="14"/>
              </w:rPr>
              <w:t>c.</w:t>
            </w:r>
            <w:r w:rsidRPr="00C83176">
              <w:rPr>
                <w:sz w:val="14"/>
                <w:szCs w:val="14"/>
              </w:rPr>
              <w:t xml:space="preserve"> conocimiento, espontáneo.</w:t>
            </w:r>
          </w:p>
          <w:p w14:paraId="2F610072" w14:textId="77777777" w:rsidR="00597DE2" w:rsidRPr="00C83176" w:rsidRDefault="00597DE2" w:rsidP="00B66784">
            <w:pPr>
              <w:tabs>
                <w:tab w:val="clear" w:pos="425"/>
              </w:tabs>
              <w:spacing w:after="0"/>
              <w:rPr>
                <w:sz w:val="14"/>
                <w:szCs w:val="14"/>
              </w:rPr>
            </w:pPr>
            <w:r w:rsidRPr="00C83176">
              <w:rPr>
                <w:sz w:val="14"/>
                <w:szCs w:val="14"/>
              </w:rPr>
              <w:t xml:space="preserve">(6) </w:t>
            </w:r>
            <w:r>
              <w:rPr>
                <w:sz w:val="14"/>
                <w:szCs w:val="14"/>
              </w:rPr>
              <w:t xml:space="preserve"> </w:t>
            </w:r>
            <w:r w:rsidRPr="00C83176">
              <w:rPr>
                <w:sz w:val="14"/>
                <w:szCs w:val="14"/>
              </w:rPr>
              <w:t>Ídem., ídem., incitado.</w:t>
            </w:r>
          </w:p>
          <w:p w14:paraId="375AE8E3"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(7) </w:t>
            </w:r>
            <w:r>
              <w:rPr>
                <w:sz w:val="14"/>
                <w:szCs w:val="14"/>
              </w:rPr>
              <w:t xml:space="preserve"> </w:t>
            </w:r>
            <w:r w:rsidRPr="00C83176">
              <w:rPr>
                <w:sz w:val="14"/>
                <w:szCs w:val="14"/>
              </w:rPr>
              <w:t xml:space="preserve">Ídem., disociado </w:t>
            </w:r>
            <w:r>
              <w:rPr>
                <w:sz w:val="14"/>
                <w:szCs w:val="14"/>
              </w:rPr>
              <w:t xml:space="preserve">del </w:t>
            </w:r>
            <w:r w:rsidRPr="00C83176">
              <w:rPr>
                <w:sz w:val="14"/>
                <w:szCs w:val="14"/>
              </w:rPr>
              <w:t>conocimiento., espontáneo.</w:t>
            </w:r>
          </w:p>
          <w:p w14:paraId="35A50D47"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(8) </w:t>
            </w:r>
            <w:r>
              <w:rPr>
                <w:sz w:val="14"/>
                <w:szCs w:val="14"/>
              </w:rPr>
              <w:t xml:space="preserve"> </w:t>
            </w:r>
            <w:r w:rsidRPr="00C83176">
              <w:rPr>
                <w:sz w:val="14"/>
                <w:szCs w:val="14"/>
              </w:rPr>
              <w:t xml:space="preserve">Ídem., ídem., incitado. </w:t>
            </w:r>
            <w:r>
              <w:rPr>
                <w:sz w:val="14"/>
                <w:szCs w:val="14"/>
              </w:rPr>
              <w:br/>
              <w:t xml:space="preserve">(Absorción </w:t>
            </w:r>
            <w:r w:rsidRPr="00415E67">
              <w:rPr>
                <w:sz w:val="14"/>
                <w:szCs w:val="14"/>
              </w:rPr>
              <w:t>IMP</w:t>
            </w:r>
            <w:r w:rsidRPr="00DF6F3F">
              <w:rPr>
                <w:color w:val="1F3864" w:themeColor="accent1" w:themeShade="80"/>
                <w:sz w:val="14"/>
                <w:szCs w:val="14"/>
              </w:rPr>
              <w:t>.)</w:t>
            </w:r>
          </w:p>
        </w:tc>
        <w:tc>
          <w:tcPr>
            <w:tcW w:w="2597" w:type="dxa"/>
          </w:tcPr>
          <w:p w14:paraId="17FB3B35" w14:textId="77777777" w:rsidR="00597DE2" w:rsidRPr="00C83176" w:rsidRDefault="00597DE2" w:rsidP="00B66784">
            <w:pPr>
              <w:tabs>
                <w:tab w:val="clear" w:pos="425"/>
              </w:tabs>
              <w:spacing w:after="0"/>
              <w:rPr>
                <w:smallCaps/>
                <w:sz w:val="14"/>
                <w:szCs w:val="14"/>
              </w:rPr>
            </w:pPr>
            <w:r w:rsidRPr="00C83176">
              <w:rPr>
                <w:sz w:val="14"/>
                <w:szCs w:val="14"/>
              </w:rPr>
              <w:t xml:space="preserve">       (a) </w:t>
            </w:r>
            <w:r w:rsidRPr="00C83176">
              <w:rPr>
                <w:smallCaps/>
                <w:sz w:val="14"/>
                <w:szCs w:val="14"/>
              </w:rPr>
              <w:t>Enraizados En La Codicia</w:t>
            </w:r>
          </w:p>
          <w:p w14:paraId="1C1B0EA3" w14:textId="77777777" w:rsidR="00597DE2" w:rsidRPr="00C83176" w:rsidRDefault="00597DE2" w:rsidP="00B66784">
            <w:pPr>
              <w:tabs>
                <w:tab w:val="clear" w:pos="425"/>
              </w:tabs>
              <w:spacing w:after="0"/>
              <w:ind w:left="254" w:hanging="254"/>
              <w:rPr>
                <w:sz w:val="14"/>
                <w:szCs w:val="14"/>
              </w:rPr>
            </w:pPr>
            <w:r w:rsidRPr="00C83176">
              <w:rPr>
                <w:sz w:val="14"/>
                <w:szCs w:val="14"/>
              </w:rPr>
              <w:t>(22) Acompañado por la alegría, asociado con visiones incorrectas, espontáneo</w:t>
            </w:r>
          </w:p>
          <w:p w14:paraId="550D4766" w14:textId="77777777" w:rsidR="00597DE2" w:rsidRPr="00C83176" w:rsidRDefault="00597DE2" w:rsidP="00B66784">
            <w:pPr>
              <w:tabs>
                <w:tab w:val="clear" w:pos="425"/>
              </w:tabs>
              <w:spacing w:after="0"/>
              <w:rPr>
                <w:sz w:val="14"/>
                <w:szCs w:val="14"/>
              </w:rPr>
            </w:pPr>
            <w:r w:rsidRPr="00C83176">
              <w:rPr>
                <w:sz w:val="14"/>
                <w:szCs w:val="14"/>
              </w:rPr>
              <w:t>(23) Ídem., ídem., incitado</w:t>
            </w:r>
          </w:p>
          <w:p w14:paraId="7978F921"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(24) Ídem., disociado. </w:t>
            </w:r>
            <w:proofErr w:type="spellStart"/>
            <w:r w:rsidRPr="00C83176">
              <w:rPr>
                <w:sz w:val="14"/>
                <w:szCs w:val="14"/>
              </w:rPr>
              <w:t>fm</w:t>
            </w:r>
            <w:proofErr w:type="spellEnd"/>
            <w:r w:rsidRPr="00C83176">
              <w:rPr>
                <w:sz w:val="14"/>
                <w:szCs w:val="14"/>
              </w:rPr>
              <w:t>. visiones incorrectas, espontáneamente.</w:t>
            </w:r>
          </w:p>
          <w:p w14:paraId="30FA6877" w14:textId="77777777" w:rsidR="00597DE2" w:rsidRPr="00C83176" w:rsidRDefault="00597DE2" w:rsidP="00B66784">
            <w:pPr>
              <w:tabs>
                <w:tab w:val="clear" w:pos="425"/>
              </w:tabs>
              <w:spacing w:after="0"/>
              <w:rPr>
                <w:sz w:val="14"/>
                <w:szCs w:val="14"/>
              </w:rPr>
            </w:pPr>
            <w:r w:rsidRPr="00C83176">
              <w:rPr>
                <w:sz w:val="14"/>
                <w:szCs w:val="14"/>
              </w:rPr>
              <w:t>(25) Ídem., ídem., incitado.</w:t>
            </w:r>
          </w:p>
          <w:p w14:paraId="11867247" w14:textId="77777777" w:rsidR="00597DE2" w:rsidRPr="00C83176" w:rsidRDefault="00597DE2" w:rsidP="00B66784">
            <w:pPr>
              <w:tabs>
                <w:tab w:val="clear" w:pos="425"/>
              </w:tabs>
              <w:spacing w:after="0"/>
              <w:ind w:left="254" w:hanging="254"/>
              <w:rPr>
                <w:sz w:val="14"/>
                <w:szCs w:val="14"/>
              </w:rPr>
            </w:pPr>
            <w:r w:rsidRPr="00C83176">
              <w:rPr>
                <w:sz w:val="14"/>
                <w:szCs w:val="14"/>
              </w:rPr>
              <w:t>(26) Acompañado por la ecuanimidad, asociado con visiones incorrectas</w:t>
            </w:r>
          </w:p>
          <w:p w14:paraId="6DDAC77C" w14:textId="77777777" w:rsidR="00597DE2" w:rsidRPr="00C83176" w:rsidRDefault="00597DE2" w:rsidP="00B66784">
            <w:pPr>
              <w:tabs>
                <w:tab w:val="clear" w:pos="425"/>
              </w:tabs>
              <w:spacing w:after="0"/>
              <w:rPr>
                <w:sz w:val="14"/>
                <w:szCs w:val="14"/>
              </w:rPr>
            </w:pPr>
            <w:r w:rsidRPr="00C83176">
              <w:rPr>
                <w:sz w:val="14"/>
                <w:szCs w:val="14"/>
              </w:rPr>
              <w:t>(27) Ídem., ídem., incitado</w:t>
            </w:r>
          </w:p>
          <w:p w14:paraId="7D23DB00" w14:textId="77777777" w:rsidR="00597DE2" w:rsidRPr="00C83176" w:rsidRDefault="00597DE2" w:rsidP="00B66784">
            <w:pPr>
              <w:tabs>
                <w:tab w:val="clear" w:pos="425"/>
              </w:tabs>
              <w:spacing w:after="0"/>
              <w:ind w:left="254" w:hanging="254"/>
              <w:rPr>
                <w:sz w:val="14"/>
                <w:szCs w:val="14"/>
              </w:rPr>
            </w:pPr>
            <w:r w:rsidRPr="00C83176">
              <w:rPr>
                <w:sz w:val="14"/>
                <w:szCs w:val="14"/>
              </w:rPr>
              <w:t>(28) Ídem., disoc</w:t>
            </w:r>
            <w:r>
              <w:rPr>
                <w:sz w:val="14"/>
                <w:szCs w:val="14"/>
              </w:rPr>
              <w:t>iado de las visiones incorrectas</w:t>
            </w:r>
            <w:r w:rsidRPr="00C83176">
              <w:rPr>
                <w:sz w:val="14"/>
                <w:szCs w:val="14"/>
              </w:rPr>
              <w:t>, espontánea.</w:t>
            </w:r>
          </w:p>
          <w:p w14:paraId="6395920C" w14:textId="77777777" w:rsidR="00597DE2" w:rsidRPr="00C83176" w:rsidRDefault="00597DE2" w:rsidP="00B66784">
            <w:pPr>
              <w:tabs>
                <w:tab w:val="clear" w:pos="425"/>
              </w:tabs>
              <w:spacing w:after="0"/>
              <w:rPr>
                <w:sz w:val="14"/>
                <w:szCs w:val="14"/>
              </w:rPr>
            </w:pPr>
            <w:r w:rsidRPr="00C83176">
              <w:rPr>
                <w:sz w:val="14"/>
                <w:szCs w:val="14"/>
              </w:rPr>
              <w:t xml:space="preserve">(29) </w:t>
            </w:r>
            <w:r>
              <w:rPr>
                <w:sz w:val="14"/>
                <w:szCs w:val="14"/>
              </w:rPr>
              <w:t>Ídem., ídem., incitado</w:t>
            </w:r>
            <w:r w:rsidRPr="00C83176">
              <w:rPr>
                <w:sz w:val="14"/>
                <w:szCs w:val="14"/>
              </w:rPr>
              <w:t>.</w:t>
            </w:r>
            <w:r>
              <w:rPr>
                <w:sz w:val="14"/>
                <w:szCs w:val="14"/>
              </w:rPr>
              <w:br/>
            </w:r>
          </w:p>
          <w:p w14:paraId="7C10CAB8" w14:textId="77777777" w:rsidR="00597DE2" w:rsidRPr="00C83176" w:rsidRDefault="00597DE2" w:rsidP="00B66784">
            <w:pPr>
              <w:tabs>
                <w:tab w:val="clear" w:pos="425"/>
              </w:tabs>
              <w:spacing w:after="0"/>
              <w:rPr>
                <w:sz w:val="14"/>
                <w:szCs w:val="14"/>
              </w:rPr>
            </w:pPr>
            <w:r w:rsidRPr="00C83176">
              <w:rPr>
                <w:sz w:val="14"/>
                <w:szCs w:val="14"/>
              </w:rPr>
              <w:t xml:space="preserve">        (b) </w:t>
            </w:r>
            <w:r w:rsidRPr="00C83176">
              <w:rPr>
                <w:smallCaps/>
                <w:sz w:val="14"/>
                <w:szCs w:val="14"/>
              </w:rPr>
              <w:t>Enraizados En El Odio</w:t>
            </w:r>
          </w:p>
          <w:p w14:paraId="2B3DF86B"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(30) </w:t>
            </w:r>
            <w:r>
              <w:rPr>
                <w:sz w:val="14"/>
                <w:szCs w:val="14"/>
              </w:rPr>
              <w:t>Acompañado por la aflicción</w:t>
            </w:r>
            <w:r w:rsidRPr="00C83176">
              <w:rPr>
                <w:sz w:val="14"/>
                <w:szCs w:val="14"/>
              </w:rPr>
              <w:t xml:space="preserve">, </w:t>
            </w:r>
            <w:r>
              <w:rPr>
                <w:sz w:val="14"/>
                <w:szCs w:val="14"/>
              </w:rPr>
              <w:t>asociado con el resentimiento</w:t>
            </w:r>
            <w:r w:rsidRPr="00C83176">
              <w:rPr>
                <w:sz w:val="14"/>
                <w:szCs w:val="14"/>
              </w:rPr>
              <w:t>, espontáneo.</w:t>
            </w:r>
          </w:p>
          <w:p w14:paraId="036FF937" w14:textId="77777777" w:rsidR="00597DE2" w:rsidRDefault="00597DE2" w:rsidP="00B66784">
            <w:pPr>
              <w:tabs>
                <w:tab w:val="clear" w:pos="425"/>
              </w:tabs>
              <w:spacing w:after="0"/>
              <w:rPr>
                <w:sz w:val="14"/>
                <w:szCs w:val="14"/>
              </w:rPr>
            </w:pPr>
            <w:r w:rsidRPr="00C83176">
              <w:rPr>
                <w:sz w:val="14"/>
                <w:szCs w:val="14"/>
              </w:rPr>
              <w:t>(31) Ídem., ídem., incitado.</w:t>
            </w:r>
          </w:p>
          <w:p w14:paraId="79B86C5F" w14:textId="77777777" w:rsidR="00597DE2" w:rsidRPr="00C83176" w:rsidRDefault="00597DE2" w:rsidP="00B66784">
            <w:pPr>
              <w:tabs>
                <w:tab w:val="clear" w:pos="425"/>
              </w:tabs>
              <w:spacing w:after="0"/>
              <w:rPr>
                <w:sz w:val="14"/>
                <w:szCs w:val="14"/>
              </w:rPr>
            </w:pPr>
          </w:p>
          <w:p w14:paraId="33227DF6" w14:textId="77777777" w:rsidR="00597DE2" w:rsidRPr="00C83176" w:rsidRDefault="00597DE2" w:rsidP="00B66784">
            <w:pPr>
              <w:tabs>
                <w:tab w:val="clear" w:pos="425"/>
              </w:tabs>
              <w:spacing w:after="0"/>
              <w:rPr>
                <w:sz w:val="14"/>
                <w:szCs w:val="14"/>
              </w:rPr>
            </w:pPr>
            <w:r w:rsidRPr="00C83176">
              <w:rPr>
                <w:sz w:val="14"/>
                <w:szCs w:val="14"/>
              </w:rPr>
              <w:t xml:space="preserve">       (c) </w:t>
            </w:r>
            <w:r w:rsidRPr="00C83176">
              <w:rPr>
                <w:smallCaps/>
                <w:sz w:val="14"/>
                <w:szCs w:val="14"/>
              </w:rPr>
              <w:t>Enraizado En El Engaño</w:t>
            </w:r>
          </w:p>
          <w:p w14:paraId="4D470D2D"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(32) </w:t>
            </w:r>
            <w:r>
              <w:rPr>
                <w:sz w:val="14"/>
                <w:szCs w:val="14"/>
              </w:rPr>
              <w:t xml:space="preserve">acompañado por la </w:t>
            </w:r>
            <w:r w:rsidRPr="00C83176">
              <w:rPr>
                <w:sz w:val="14"/>
                <w:szCs w:val="14"/>
              </w:rPr>
              <w:t>ecuan</w:t>
            </w:r>
            <w:r>
              <w:rPr>
                <w:sz w:val="14"/>
                <w:szCs w:val="14"/>
              </w:rPr>
              <w:t>imidad</w:t>
            </w:r>
            <w:r w:rsidRPr="00C83176">
              <w:rPr>
                <w:sz w:val="14"/>
                <w:szCs w:val="14"/>
              </w:rPr>
              <w:t>, as</w:t>
            </w:r>
            <w:r>
              <w:rPr>
                <w:sz w:val="14"/>
                <w:szCs w:val="14"/>
              </w:rPr>
              <w:t>ociado con la incertidumbre</w:t>
            </w:r>
            <w:r w:rsidRPr="00C83176">
              <w:rPr>
                <w:sz w:val="14"/>
                <w:szCs w:val="14"/>
              </w:rPr>
              <w:t>.</w:t>
            </w:r>
          </w:p>
          <w:p w14:paraId="39D143C6" w14:textId="77777777" w:rsidR="00597DE2" w:rsidRPr="00C83176" w:rsidRDefault="00597DE2" w:rsidP="00B66784">
            <w:pPr>
              <w:tabs>
                <w:tab w:val="clear" w:pos="425"/>
              </w:tabs>
              <w:spacing w:after="0"/>
              <w:ind w:left="254" w:hanging="254"/>
              <w:rPr>
                <w:sz w:val="14"/>
                <w:szCs w:val="14"/>
              </w:rPr>
            </w:pPr>
            <w:r w:rsidRPr="00C83176">
              <w:rPr>
                <w:sz w:val="14"/>
                <w:szCs w:val="14"/>
              </w:rPr>
              <w:t xml:space="preserve">(33) Ídem., ídem., </w:t>
            </w:r>
            <w:r>
              <w:rPr>
                <w:sz w:val="14"/>
                <w:szCs w:val="14"/>
              </w:rPr>
              <w:t xml:space="preserve">asociado con la </w:t>
            </w:r>
            <w:r w:rsidRPr="00C83176">
              <w:rPr>
                <w:sz w:val="14"/>
                <w:szCs w:val="14"/>
              </w:rPr>
              <w:t xml:space="preserve">agitación. </w:t>
            </w:r>
            <w:r>
              <w:rPr>
                <w:sz w:val="14"/>
                <w:szCs w:val="14"/>
              </w:rPr>
              <w:t>(</w:t>
            </w:r>
            <w:r w:rsidRPr="00415E67">
              <w:rPr>
                <w:sz w:val="14"/>
                <w:szCs w:val="14"/>
              </w:rPr>
              <w:t>IMP</w:t>
            </w:r>
            <w:r>
              <w:rPr>
                <w:sz w:val="14"/>
                <w:szCs w:val="14"/>
              </w:rPr>
              <w:t>.)</w:t>
            </w:r>
          </w:p>
        </w:tc>
      </w:tr>
      <w:tr w:rsidR="00597DE2" w:rsidRPr="008611CC" w14:paraId="5F26EB6C" w14:textId="77777777" w:rsidTr="00B66784">
        <w:tc>
          <w:tcPr>
            <w:tcW w:w="850" w:type="dxa"/>
          </w:tcPr>
          <w:p w14:paraId="2BB1B122" w14:textId="77777777" w:rsidR="00597DE2" w:rsidRPr="00DC1A5F" w:rsidRDefault="00597DE2" w:rsidP="00B66784">
            <w:pPr>
              <w:tabs>
                <w:tab w:val="clear" w:pos="425"/>
              </w:tabs>
              <w:spacing w:after="0"/>
              <w:rPr>
                <w:sz w:val="14"/>
                <w:szCs w:val="14"/>
              </w:rPr>
            </w:pPr>
            <w:r w:rsidRPr="00DC1A5F">
              <w:rPr>
                <w:sz w:val="14"/>
                <w:szCs w:val="14"/>
              </w:rPr>
              <w:t>B. Esfera</w:t>
            </w:r>
            <w:r w:rsidRPr="00DC1A5F">
              <w:rPr>
                <w:sz w:val="14"/>
                <w:szCs w:val="14"/>
              </w:rPr>
              <w:br/>
              <w:t>Material</w:t>
            </w:r>
            <w:r w:rsidRPr="00DC1A5F">
              <w:rPr>
                <w:sz w:val="14"/>
                <w:szCs w:val="14"/>
              </w:rPr>
              <w:br/>
              <w:t>Sutil</w:t>
            </w:r>
          </w:p>
        </w:tc>
        <w:tc>
          <w:tcPr>
            <w:tcW w:w="2977" w:type="dxa"/>
          </w:tcPr>
          <w:p w14:paraId="5AE53D3E" w14:textId="77777777" w:rsidR="00597DE2" w:rsidRPr="00C83176" w:rsidRDefault="00597DE2" w:rsidP="00B66784">
            <w:pPr>
              <w:tabs>
                <w:tab w:val="clear" w:pos="425"/>
              </w:tabs>
              <w:spacing w:after="0"/>
              <w:rPr>
                <w:sz w:val="14"/>
                <w:szCs w:val="14"/>
                <w:lang w:val="en-US"/>
              </w:rPr>
            </w:pPr>
            <w:r w:rsidRPr="00C83176">
              <w:rPr>
                <w:sz w:val="14"/>
                <w:szCs w:val="14"/>
                <w:lang w:val="en-US"/>
              </w:rPr>
              <w:t>(9) 1</w:t>
            </w:r>
            <w:r w:rsidRPr="00C83176">
              <w:rPr>
                <w:sz w:val="14"/>
                <w:szCs w:val="14"/>
                <w:vertAlign w:val="superscript"/>
                <w:lang w:val="en-US"/>
              </w:rPr>
              <w:t>er</w:t>
            </w:r>
            <w:r w:rsidRPr="00C83176">
              <w:rPr>
                <w:sz w:val="14"/>
                <w:szCs w:val="14"/>
                <w:lang w:val="en-US"/>
              </w:rPr>
              <w:t xml:space="preserve"> </w:t>
            </w:r>
            <w:proofErr w:type="spellStart"/>
            <w:r w:rsidRPr="00C83176">
              <w:rPr>
                <w:i/>
                <w:iCs/>
                <w:sz w:val="14"/>
                <w:szCs w:val="14"/>
                <w:lang w:val="en-US"/>
              </w:rPr>
              <w:t>jhāna</w:t>
            </w:r>
            <w:proofErr w:type="spellEnd"/>
            <w:r w:rsidRPr="00C83176">
              <w:rPr>
                <w:sz w:val="14"/>
                <w:szCs w:val="14"/>
                <w:lang w:val="en-US"/>
              </w:rPr>
              <w:t>.</w:t>
            </w:r>
          </w:p>
          <w:p w14:paraId="276B4FD6" w14:textId="77777777" w:rsidR="00597DE2" w:rsidRPr="00C83176" w:rsidRDefault="00597DE2" w:rsidP="00B66784">
            <w:pPr>
              <w:tabs>
                <w:tab w:val="clear" w:pos="425"/>
              </w:tabs>
              <w:spacing w:after="0"/>
              <w:rPr>
                <w:sz w:val="14"/>
                <w:szCs w:val="14"/>
                <w:lang w:val="en-US"/>
              </w:rPr>
            </w:pPr>
            <w:r w:rsidRPr="00C83176">
              <w:rPr>
                <w:sz w:val="14"/>
                <w:szCs w:val="14"/>
                <w:lang w:val="en-US"/>
              </w:rPr>
              <w:t>(10) 2</w:t>
            </w:r>
            <w:r w:rsidRPr="00C83176">
              <w:rPr>
                <w:sz w:val="14"/>
                <w:szCs w:val="14"/>
                <w:vertAlign w:val="superscript"/>
                <w:lang w:val="en-US"/>
              </w:rPr>
              <w:t>do</w:t>
            </w:r>
            <w:proofErr w:type="gramStart"/>
            <w:r w:rsidRPr="00C83176">
              <w:rPr>
                <w:sz w:val="14"/>
                <w:szCs w:val="14"/>
                <w:lang w:val="en-US"/>
              </w:rPr>
              <w:t xml:space="preserve">   “</w:t>
            </w:r>
            <w:proofErr w:type="gramEnd"/>
          </w:p>
          <w:p w14:paraId="5AE29630" w14:textId="77777777" w:rsidR="00597DE2" w:rsidRPr="00C83176" w:rsidRDefault="00597DE2" w:rsidP="00B66784">
            <w:pPr>
              <w:tabs>
                <w:tab w:val="clear" w:pos="425"/>
              </w:tabs>
              <w:spacing w:after="0"/>
              <w:rPr>
                <w:sz w:val="14"/>
                <w:szCs w:val="14"/>
                <w:lang w:val="en-US"/>
              </w:rPr>
            </w:pPr>
            <w:r w:rsidRPr="00C83176">
              <w:rPr>
                <w:sz w:val="14"/>
                <w:szCs w:val="14"/>
                <w:lang w:val="en-US"/>
              </w:rPr>
              <w:t>(11) 3</w:t>
            </w:r>
            <w:r w:rsidRPr="00C83176">
              <w:rPr>
                <w:sz w:val="14"/>
                <w:szCs w:val="14"/>
                <w:vertAlign w:val="superscript"/>
                <w:lang w:val="en-US"/>
              </w:rPr>
              <w:t>ro</w:t>
            </w:r>
            <w:proofErr w:type="gramStart"/>
            <w:r w:rsidRPr="00C83176">
              <w:rPr>
                <w:sz w:val="14"/>
                <w:szCs w:val="14"/>
                <w:lang w:val="en-US"/>
              </w:rPr>
              <w:t xml:space="preserve">   “</w:t>
            </w:r>
            <w:proofErr w:type="gramEnd"/>
          </w:p>
          <w:p w14:paraId="41A89A49" w14:textId="77777777" w:rsidR="00597DE2" w:rsidRPr="00C83176" w:rsidRDefault="00597DE2" w:rsidP="00B66784">
            <w:pPr>
              <w:tabs>
                <w:tab w:val="clear" w:pos="425"/>
              </w:tabs>
              <w:spacing w:after="0"/>
              <w:rPr>
                <w:sz w:val="14"/>
                <w:szCs w:val="14"/>
                <w:lang w:val="en-US"/>
              </w:rPr>
            </w:pPr>
            <w:r w:rsidRPr="00C83176">
              <w:rPr>
                <w:sz w:val="14"/>
                <w:szCs w:val="14"/>
                <w:lang w:val="en-US"/>
              </w:rPr>
              <w:t>(11) 4</w:t>
            </w:r>
            <w:r w:rsidRPr="00C83176">
              <w:rPr>
                <w:sz w:val="14"/>
                <w:szCs w:val="14"/>
                <w:vertAlign w:val="superscript"/>
                <w:lang w:val="en-US"/>
              </w:rPr>
              <w:t>to</w:t>
            </w:r>
            <w:proofErr w:type="gramStart"/>
            <w:r w:rsidRPr="00C83176">
              <w:rPr>
                <w:sz w:val="14"/>
                <w:szCs w:val="14"/>
                <w:lang w:val="en-US"/>
              </w:rPr>
              <w:t xml:space="preserve">   “</w:t>
            </w:r>
            <w:proofErr w:type="gramEnd"/>
          </w:p>
          <w:p w14:paraId="7C33BD1B" w14:textId="77777777" w:rsidR="00597DE2" w:rsidRPr="00C83176" w:rsidRDefault="00597DE2" w:rsidP="00B66784">
            <w:pPr>
              <w:tabs>
                <w:tab w:val="clear" w:pos="425"/>
              </w:tabs>
              <w:spacing w:after="0"/>
              <w:rPr>
                <w:sz w:val="14"/>
                <w:szCs w:val="14"/>
                <w:lang w:val="en-US"/>
              </w:rPr>
            </w:pPr>
            <w:r w:rsidRPr="00C83176">
              <w:rPr>
                <w:sz w:val="14"/>
                <w:szCs w:val="14"/>
                <w:lang w:val="en-US"/>
              </w:rPr>
              <w:t>(11) 5</w:t>
            </w:r>
            <w:r w:rsidRPr="00C83176">
              <w:rPr>
                <w:sz w:val="14"/>
                <w:szCs w:val="14"/>
                <w:vertAlign w:val="superscript"/>
                <w:lang w:val="en-US"/>
              </w:rPr>
              <w:t>to</w:t>
            </w:r>
            <w:proofErr w:type="gramStart"/>
            <w:r w:rsidRPr="00C83176">
              <w:rPr>
                <w:sz w:val="14"/>
                <w:szCs w:val="14"/>
                <w:lang w:val="en-US"/>
              </w:rPr>
              <w:t xml:space="preserve">   “</w:t>
            </w:r>
            <w:proofErr w:type="gramEnd"/>
          </w:p>
          <w:p w14:paraId="67EAA5CC" w14:textId="77777777" w:rsidR="00597DE2" w:rsidRPr="008611CC" w:rsidRDefault="00597DE2" w:rsidP="00B66784">
            <w:pPr>
              <w:tabs>
                <w:tab w:val="clear" w:pos="425"/>
              </w:tabs>
              <w:spacing w:after="0"/>
              <w:rPr>
                <w:sz w:val="14"/>
                <w:szCs w:val="14"/>
                <w:lang w:val="en-US"/>
              </w:rPr>
            </w:pPr>
            <w:r w:rsidRPr="008611CC">
              <w:rPr>
                <w:sz w:val="14"/>
                <w:szCs w:val="14"/>
                <w:lang w:val="en-US"/>
              </w:rPr>
              <w:t>(</w:t>
            </w:r>
            <w:proofErr w:type="spellStart"/>
            <w:r w:rsidRPr="008611CC">
              <w:rPr>
                <w:sz w:val="14"/>
                <w:szCs w:val="14"/>
                <w:lang w:val="en-US"/>
              </w:rPr>
              <w:t>Absorción</w:t>
            </w:r>
            <w:proofErr w:type="spellEnd"/>
            <w:r w:rsidRPr="008611CC">
              <w:rPr>
                <w:sz w:val="14"/>
                <w:szCs w:val="14"/>
                <w:lang w:val="en-US"/>
              </w:rPr>
              <w:t xml:space="preserve"> IMP.)</w:t>
            </w:r>
          </w:p>
        </w:tc>
        <w:tc>
          <w:tcPr>
            <w:tcW w:w="2597" w:type="dxa"/>
          </w:tcPr>
          <w:p w14:paraId="2FE78004" w14:textId="77777777" w:rsidR="00597DE2" w:rsidRPr="008611CC" w:rsidRDefault="00597DE2" w:rsidP="00B66784">
            <w:pPr>
              <w:tabs>
                <w:tab w:val="clear" w:pos="425"/>
              </w:tabs>
              <w:spacing w:after="0"/>
              <w:rPr>
                <w:sz w:val="14"/>
                <w:szCs w:val="14"/>
                <w:lang w:val="en-US"/>
              </w:rPr>
            </w:pPr>
          </w:p>
        </w:tc>
      </w:tr>
      <w:tr w:rsidR="00597DE2" w:rsidRPr="00DC1A5F" w14:paraId="2EE9CA61" w14:textId="77777777" w:rsidTr="00B66784">
        <w:tc>
          <w:tcPr>
            <w:tcW w:w="850" w:type="dxa"/>
          </w:tcPr>
          <w:p w14:paraId="7322837F" w14:textId="77777777" w:rsidR="00597DE2" w:rsidRPr="00DC1A5F" w:rsidRDefault="00597DE2" w:rsidP="00B66784">
            <w:pPr>
              <w:tabs>
                <w:tab w:val="clear" w:pos="425"/>
              </w:tabs>
              <w:spacing w:after="0"/>
              <w:rPr>
                <w:sz w:val="14"/>
                <w:szCs w:val="14"/>
              </w:rPr>
            </w:pPr>
            <w:r w:rsidRPr="00DC1A5F">
              <w:rPr>
                <w:sz w:val="14"/>
                <w:szCs w:val="14"/>
              </w:rPr>
              <w:t>C. Esfera</w:t>
            </w:r>
            <w:r w:rsidRPr="00DC1A5F">
              <w:rPr>
                <w:sz w:val="14"/>
                <w:szCs w:val="14"/>
              </w:rPr>
              <w:br/>
              <w:t>Material</w:t>
            </w:r>
          </w:p>
          <w:p w14:paraId="0E1B833F" w14:textId="77777777" w:rsidR="00597DE2" w:rsidRPr="00DC1A5F" w:rsidRDefault="00597DE2" w:rsidP="00B66784">
            <w:pPr>
              <w:tabs>
                <w:tab w:val="clear" w:pos="425"/>
              </w:tabs>
              <w:spacing w:after="0"/>
              <w:rPr>
                <w:sz w:val="14"/>
                <w:szCs w:val="14"/>
              </w:rPr>
            </w:pPr>
          </w:p>
        </w:tc>
        <w:tc>
          <w:tcPr>
            <w:tcW w:w="2977" w:type="dxa"/>
          </w:tcPr>
          <w:p w14:paraId="5086AEC6" w14:textId="77777777" w:rsidR="00597DE2" w:rsidRPr="00C83176" w:rsidRDefault="00597DE2" w:rsidP="00B66784">
            <w:pPr>
              <w:tabs>
                <w:tab w:val="clear" w:pos="425"/>
              </w:tabs>
              <w:spacing w:after="0"/>
              <w:rPr>
                <w:sz w:val="14"/>
                <w:szCs w:val="14"/>
              </w:rPr>
            </w:pPr>
            <w:r w:rsidRPr="00C83176">
              <w:rPr>
                <w:sz w:val="14"/>
                <w:szCs w:val="14"/>
              </w:rPr>
              <w:t xml:space="preserve">(14) Espacio </w:t>
            </w:r>
            <w:r>
              <w:rPr>
                <w:sz w:val="14"/>
                <w:szCs w:val="14"/>
              </w:rPr>
              <w:t>infinito</w:t>
            </w:r>
            <w:r w:rsidRPr="00C83176">
              <w:rPr>
                <w:sz w:val="14"/>
                <w:szCs w:val="14"/>
              </w:rPr>
              <w:t>.</w:t>
            </w:r>
          </w:p>
          <w:p w14:paraId="59EBC62F" w14:textId="77777777" w:rsidR="00597DE2" w:rsidRPr="00C83176" w:rsidRDefault="00597DE2" w:rsidP="00B66784">
            <w:pPr>
              <w:tabs>
                <w:tab w:val="clear" w:pos="425"/>
              </w:tabs>
              <w:spacing w:after="0"/>
              <w:rPr>
                <w:sz w:val="14"/>
                <w:szCs w:val="14"/>
              </w:rPr>
            </w:pPr>
            <w:r w:rsidRPr="00C83176">
              <w:rPr>
                <w:sz w:val="14"/>
                <w:szCs w:val="14"/>
              </w:rPr>
              <w:t xml:space="preserve">(15) Consciencia </w:t>
            </w:r>
            <w:r>
              <w:rPr>
                <w:sz w:val="14"/>
                <w:szCs w:val="14"/>
              </w:rPr>
              <w:t>infinita</w:t>
            </w:r>
            <w:r w:rsidRPr="00C83176">
              <w:rPr>
                <w:sz w:val="14"/>
                <w:szCs w:val="14"/>
              </w:rPr>
              <w:t>.</w:t>
            </w:r>
          </w:p>
          <w:p w14:paraId="451ED443" w14:textId="77777777" w:rsidR="00597DE2" w:rsidRPr="00C83176" w:rsidRDefault="00597DE2" w:rsidP="00B66784">
            <w:pPr>
              <w:tabs>
                <w:tab w:val="clear" w:pos="425"/>
              </w:tabs>
              <w:spacing w:after="0"/>
              <w:rPr>
                <w:sz w:val="14"/>
                <w:szCs w:val="14"/>
              </w:rPr>
            </w:pPr>
            <w:r w:rsidRPr="00C83176">
              <w:rPr>
                <w:sz w:val="14"/>
                <w:szCs w:val="14"/>
              </w:rPr>
              <w:t xml:space="preserve">(16) </w:t>
            </w:r>
            <w:r>
              <w:rPr>
                <w:sz w:val="14"/>
                <w:szCs w:val="14"/>
              </w:rPr>
              <w:t>El vacío</w:t>
            </w:r>
            <w:r w:rsidRPr="00C83176">
              <w:rPr>
                <w:sz w:val="14"/>
                <w:szCs w:val="14"/>
              </w:rPr>
              <w:t>.</w:t>
            </w:r>
          </w:p>
          <w:p w14:paraId="4AC1EA5A" w14:textId="77777777" w:rsidR="00597DE2" w:rsidRPr="00C83176" w:rsidRDefault="00597DE2" w:rsidP="00B66784">
            <w:pPr>
              <w:tabs>
                <w:tab w:val="clear" w:pos="425"/>
              </w:tabs>
              <w:spacing w:after="0"/>
              <w:rPr>
                <w:sz w:val="14"/>
                <w:szCs w:val="14"/>
              </w:rPr>
            </w:pPr>
            <w:r w:rsidRPr="00C83176">
              <w:rPr>
                <w:sz w:val="14"/>
                <w:szCs w:val="14"/>
              </w:rPr>
              <w:t>(17) N</w:t>
            </w:r>
            <w:r>
              <w:rPr>
                <w:sz w:val="14"/>
                <w:szCs w:val="14"/>
              </w:rPr>
              <w:t>o</w:t>
            </w:r>
            <w:r w:rsidRPr="00C83176">
              <w:rPr>
                <w:sz w:val="14"/>
                <w:szCs w:val="14"/>
              </w:rPr>
              <w:t>–percepción–ni–no–percepción.</w:t>
            </w:r>
          </w:p>
          <w:p w14:paraId="0C485AA3" w14:textId="77777777" w:rsidR="00597DE2" w:rsidRPr="00C83176" w:rsidRDefault="00597DE2" w:rsidP="00B66784">
            <w:pPr>
              <w:tabs>
                <w:tab w:val="clear" w:pos="425"/>
              </w:tabs>
              <w:spacing w:after="0"/>
              <w:rPr>
                <w:sz w:val="14"/>
                <w:szCs w:val="14"/>
              </w:rPr>
            </w:pPr>
            <w:r w:rsidRPr="00C83176">
              <w:rPr>
                <w:sz w:val="14"/>
                <w:szCs w:val="14"/>
              </w:rPr>
              <w:t xml:space="preserve">(Absorción </w:t>
            </w:r>
            <w:r w:rsidRPr="00DF6F3F">
              <w:rPr>
                <w:color w:val="1F3864" w:themeColor="accent1" w:themeShade="80"/>
                <w:sz w:val="14"/>
                <w:szCs w:val="14"/>
              </w:rPr>
              <w:t>IMP</w:t>
            </w:r>
            <w:r w:rsidRPr="00C83176">
              <w:rPr>
                <w:sz w:val="14"/>
                <w:szCs w:val="14"/>
              </w:rPr>
              <w:t>.)</w:t>
            </w:r>
          </w:p>
        </w:tc>
        <w:tc>
          <w:tcPr>
            <w:tcW w:w="2597" w:type="dxa"/>
          </w:tcPr>
          <w:p w14:paraId="4EC9CDD2" w14:textId="77777777" w:rsidR="00597DE2" w:rsidRPr="00C83176" w:rsidRDefault="00597DE2" w:rsidP="00B66784">
            <w:pPr>
              <w:tabs>
                <w:tab w:val="clear" w:pos="425"/>
              </w:tabs>
              <w:spacing w:after="0"/>
              <w:rPr>
                <w:sz w:val="14"/>
                <w:szCs w:val="14"/>
              </w:rPr>
            </w:pPr>
          </w:p>
        </w:tc>
      </w:tr>
      <w:tr w:rsidR="00597DE2" w:rsidRPr="00DC1A5F" w14:paraId="43B044E2" w14:textId="77777777" w:rsidTr="00B66784">
        <w:tc>
          <w:tcPr>
            <w:tcW w:w="850" w:type="dxa"/>
          </w:tcPr>
          <w:p w14:paraId="5A05C3F4" w14:textId="77777777" w:rsidR="00597DE2" w:rsidRPr="00DC1A5F" w:rsidRDefault="00597DE2" w:rsidP="00B66784">
            <w:pPr>
              <w:tabs>
                <w:tab w:val="clear" w:pos="425"/>
              </w:tabs>
              <w:spacing w:after="0"/>
              <w:rPr>
                <w:sz w:val="14"/>
                <w:szCs w:val="14"/>
              </w:rPr>
            </w:pPr>
            <w:r w:rsidRPr="00DC1A5F">
              <w:rPr>
                <w:sz w:val="14"/>
                <w:szCs w:val="14"/>
              </w:rPr>
              <w:t>D. Supra–Mundano</w:t>
            </w:r>
          </w:p>
        </w:tc>
        <w:tc>
          <w:tcPr>
            <w:tcW w:w="2977" w:type="dxa"/>
          </w:tcPr>
          <w:p w14:paraId="2A3B43E1" w14:textId="77777777" w:rsidR="00597DE2" w:rsidRPr="00C83176" w:rsidRDefault="00597DE2" w:rsidP="00B66784">
            <w:pPr>
              <w:tabs>
                <w:tab w:val="clear" w:pos="425"/>
              </w:tabs>
              <w:spacing w:after="0"/>
              <w:ind w:left="254" w:hanging="254"/>
              <w:rPr>
                <w:sz w:val="12"/>
                <w:szCs w:val="12"/>
              </w:rPr>
            </w:pPr>
            <w:r w:rsidRPr="00C83176">
              <w:rPr>
                <w:sz w:val="12"/>
                <w:szCs w:val="12"/>
              </w:rPr>
              <w:t>(18) Momento del sendero – Entra</w:t>
            </w:r>
            <w:r>
              <w:rPr>
                <w:sz w:val="12"/>
                <w:szCs w:val="12"/>
              </w:rPr>
              <w:t>da</w:t>
            </w:r>
            <w:r w:rsidRPr="00C83176">
              <w:rPr>
                <w:sz w:val="12"/>
                <w:szCs w:val="12"/>
              </w:rPr>
              <w:t xml:space="preserve"> a la corriente.</w:t>
            </w:r>
          </w:p>
          <w:p w14:paraId="3EA7D938" w14:textId="77777777" w:rsidR="00597DE2" w:rsidRPr="00C83176" w:rsidRDefault="00597DE2" w:rsidP="00B66784">
            <w:pPr>
              <w:tabs>
                <w:tab w:val="clear" w:pos="425"/>
              </w:tabs>
              <w:spacing w:after="0"/>
              <w:ind w:left="254" w:hanging="254"/>
              <w:rPr>
                <w:sz w:val="12"/>
                <w:szCs w:val="12"/>
              </w:rPr>
            </w:pPr>
            <w:r w:rsidRPr="00C83176">
              <w:rPr>
                <w:sz w:val="12"/>
                <w:szCs w:val="12"/>
              </w:rPr>
              <w:t xml:space="preserve">(19)    </w:t>
            </w:r>
            <w:proofErr w:type="gramStart"/>
            <w:r w:rsidRPr="00C83176">
              <w:rPr>
                <w:sz w:val="12"/>
                <w:szCs w:val="12"/>
              </w:rPr>
              <w:t xml:space="preserve">   “</w:t>
            </w:r>
            <w:proofErr w:type="gramEnd"/>
            <w:r w:rsidRPr="00C83176">
              <w:rPr>
                <w:sz w:val="12"/>
                <w:szCs w:val="12"/>
              </w:rPr>
              <w:t xml:space="preserve">       – Retorn</w:t>
            </w:r>
            <w:r>
              <w:rPr>
                <w:sz w:val="12"/>
                <w:szCs w:val="12"/>
              </w:rPr>
              <w:t>o</w:t>
            </w:r>
            <w:r w:rsidRPr="00C83176">
              <w:rPr>
                <w:sz w:val="12"/>
                <w:szCs w:val="12"/>
              </w:rPr>
              <w:t xml:space="preserve"> por única vez.</w:t>
            </w:r>
          </w:p>
          <w:p w14:paraId="484501F3" w14:textId="77777777" w:rsidR="00597DE2" w:rsidRPr="00C83176" w:rsidRDefault="00597DE2" w:rsidP="00B66784">
            <w:pPr>
              <w:tabs>
                <w:tab w:val="clear" w:pos="425"/>
              </w:tabs>
              <w:spacing w:after="0"/>
              <w:ind w:left="254" w:hanging="254"/>
              <w:rPr>
                <w:sz w:val="12"/>
                <w:szCs w:val="12"/>
              </w:rPr>
            </w:pPr>
            <w:r w:rsidRPr="00C83176">
              <w:rPr>
                <w:sz w:val="12"/>
                <w:szCs w:val="12"/>
              </w:rPr>
              <w:t xml:space="preserve">(20)    </w:t>
            </w:r>
            <w:proofErr w:type="gramStart"/>
            <w:r w:rsidRPr="00C83176">
              <w:rPr>
                <w:sz w:val="12"/>
                <w:szCs w:val="12"/>
              </w:rPr>
              <w:t xml:space="preserve">   “</w:t>
            </w:r>
            <w:proofErr w:type="gramEnd"/>
            <w:r w:rsidRPr="00C83176">
              <w:rPr>
                <w:sz w:val="12"/>
                <w:szCs w:val="12"/>
              </w:rPr>
              <w:t xml:space="preserve">       – No retorn</w:t>
            </w:r>
            <w:r>
              <w:rPr>
                <w:sz w:val="12"/>
                <w:szCs w:val="12"/>
              </w:rPr>
              <w:t>o</w:t>
            </w:r>
            <w:r w:rsidRPr="00C83176">
              <w:rPr>
                <w:sz w:val="12"/>
                <w:szCs w:val="12"/>
              </w:rPr>
              <w:t>.</w:t>
            </w:r>
          </w:p>
          <w:p w14:paraId="1A68A17E" w14:textId="77777777" w:rsidR="00597DE2" w:rsidRPr="00C83176" w:rsidRDefault="00597DE2" w:rsidP="00B66784">
            <w:pPr>
              <w:tabs>
                <w:tab w:val="clear" w:pos="425"/>
              </w:tabs>
              <w:spacing w:after="0"/>
              <w:ind w:left="254" w:hanging="254"/>
              <w:rPr>
                <w:sz w:val="12"/>
                <w:szCs w:val="12"/>
              </w:rPr>
            </w:pPr>
            <w:r w:rsidRPr="00C83176">
              <w:rPr>
                <w:sz w:val="12"/>
                <w:szCs w:val="12"/>
              </w:rPr>
              <w:t xml:space="preserve">(21)     </w:t>
            </w:r>
            <w:proofErr w:type="gramStart"/>
            <w:r w:rsidRPr="00C83176">
              <w:rPr>
                <w:sz w:val="12"/>
                <w:szCs w:val="12"/>
              </w:rPr>
              <w:t xml:space="preserve">   “</w:t>
            </w:r>
            <w:proofErr w:type="gramEnd"/>
            <w:r w:rsidRPr="00C83176">
              <w:rPr>
                <w:sz w:val="12"/>
                <w:szCs w:val="12"/>
              </w:rPr>
              <w:t xml:space="preserve">        – </w:t>
            </w:r>
            <w:r w:rsidRPr="00C83176">
              <w:rPr>
                <w:i/>
                <w:iCs/>
                <w:sz w:val="12"/>
                <w:szCs w:val="12"/>
              </w:rPr>
              <w:t>Arahantía</w:t>
            </w:r>
            <w:r w:rsidRPr="00C83176">
              <w:rPr>
                <w:sz w:val="12"/>
                <w:szCs w:val="12"/>
              </w:rPr>
              <w:t xml:space="preserve"> (Absorción </w:t>
            </w:r>
            <w:r w:rsidRPr="00415E67">
              <w:rPr>
                <w:sz w:val="12"/>
                <w:szCs w:val="12"/>
              </w:rPr>
              <w:t>IMP</w:t>
            </w:r>
            <w:r w:rsidRPr="00C83176">
              <w:rPr>
                <w:sz w:val="12"/>
                <w:szCs w:val="12"/>
              </w:rPr>
              <w:t>.)</w:t>
            </w:r>
          </w:p>
        </w:tc>
        <w:tc>
          <w:tcPr>
            <w:tcW w:w="2597" w:type="dxa"/>
          </w:tcPr>
          <w:p w14:paraId="3B082CED" w14:textId="77777777" w:rsidR="00597DE2" w:rsidRPr="00C83176" w:rsidRDefault="00597DE2" w:rsidP="00B66784">
            <w:pPr>
              <w:tabs>
                <w:tab w:val="clear" w:pos="425"/>
              </w:tabs>
              <w:spacing w:after="0"/>
              <w:rPr>
                <w:sz w:val="14"/>
                <w:szCs w:val="14"/>
              </w:rPr>
            </w:pPr>
          </w:p>
        </w:tc>
      </w:tr>
      <w:tr w:rsidR="00597DE2" w:rsidRPr="00DC1A5F" w14:paraId="46F0E506" w14:textId="77777777" w:rsidTr="00B66784">
        <w:tc>
          <w:tcPr>
            <w:tcW w:w="850" w:type="dxa"/>
          </w:tcPr>
          <w:p w14:paraId="5C4F6233" w14:textId="77777777" w:rsidR="00597DE2" w:rsidRPr="00DC1A5F" w:rsidRDefault="00597DE2" w:rsidP="00B66784">
            <w:pPr>
              <w:tabs>
                <w:tab w:val="clear" w:pos="425"/>
              </w:tabs>
              <w:spacing w:after="0"/>
              <w:jc w:val="center"/>
              <w:rPr>
                <w:b/>
                <w:bCs/>
                <w:sz w:val="14"/>
                <w:szCs w:val="14"/>
              </w:rPr>
            </w:pPr>
          </w:p>
        </w:tc>
        <w:tc>
          <w:tcPr>
            <w:tcW w:w="2977" w:type="dxa"/>
          </w:tcPr>
          <w:p w14:paraId="6C771F08" w14:textId="77777777" w:rsidR="00597DE2" w:rsidRPr="00DC1A5F" w:rsidRDefault="00597DE2" w:rsidP="00B66784">
            <w:pPr>
              <w:tabs>
                <w:tab w:val="clear" w:pos="425"/>
              </w:tabs>
              <w:spacing w:after="0"/>
              <w:jc w:val="center"/>
              <w:rPr>
                <w:b/>
                <w:bCs/>
                <w:sz w:val="14"/>
                <w:szCs w:val="14"/>
              </w:rPr>
            </w:pPr>
            <w:r w:rsidRPr="00DC1A5F">
              <w:rPr>
                <w:b/>
                <w:bCs/>
                <w:sz w:val="14"/>
                <w:szCs w:val="14"/>
              </w:rPr>
              <w:t>Total de 21 tipos</w:t>
            </w:r>
          </w:p>
        </w:tc>
        <w:tc>
          <w:tcPr>
            <w:tcW w:w="2597" w:type="dxa"/>
          </w:tcPr>
          <w:p w14:paraId="30EE7450" w14:textId="77777777" w:rsidR="00597DE2" w:rsidRPr="00DC1A5F" w:rsidRDefault="00597DE2" w:rsidP="00B66784">
            <w:pPr>
              <w:tabs>
                <w:tab w:val="clear" w:pos="425"/>
              </w:tabs>
              <w:spacing w:after="0"/>
              <w:jc w:val="center"/>
              <w:rPr>
                <w:b/>
                <w:bCs/>
                <w:sz w:val="14"/>
                <w:szCs w:val="14"/>
              </w:rPr>
            </w:pPr>
            <w:r w:rsidRPr="00DC1A5F">
              <w:rPr>
                <w:b/>
                <w:bCs/>
                <w:sz w:val="14"/>
                <w:szCs w:val="14"/>
              </w:rPr>
              <w:t>Total de 12 tipos</w:t>
            </w:r>
          </w:p>
        </w:tc>
      </w:tr>
    </w:tbl>
    <w:p w14:paraId="228EE75B" w14:textId="77777777" w:rsidR="00597DE2" w:rsidRPr="002D6263" w:rsidRDefault="00597DE2" w:rsidP="00597DE2">
      <w:pPr>
        <w:tabs>
          <w:tab w:val="clear" w:pos="425"/>
        </w:tabs>
        <w:spacing w:after="160"/>
        <w:jc w:val="right"/>
        <w:rPr>
          <w:i/>
          <w:iCs/>
          <w:sz w:val="14"/>
          <w:szCs w:val="14"/>
        </w:rPr>
      </w:pPr>
      <w:r w:rsidRPr="002D6263">
        <w:rPr>
          <w:i/>
          <w:iCs/>
          <w:sz w:val="14"/>
          <w:szCs w:val="14"/>
        </w:rPr>
        <w:t>Continua en la página siguiente…</w:t>
      </w:r>
    </w:p>
    <w:p w14:paraId="5F4E4F2B" w14:textId="77777777" w:rsidR="00597DE2" w:rsidRPr="00DC1A5F" w:rsidRDefault="00597DE2" w:rsidP="00597DE2">
      <w:pPr>
        <w:pStyle w:val="PiedepginaLegal"/>
        <w:rPr>
          <w:u w:val="single"/>
        </w:rPr>
      </w:pPr>
      <w:r w:rsidRPr="00DC1A5F">
        <w:rPr>
          <w:u w:val="single"/>
        </w:rPr>
        <w:t xml:space="preserve">           </w:t>
      </w:r>
      <w:r w:rsidRPr="00DC1A5F">
        <w:rPr>
          <w:u w:val="single"/>
        </w:rPr>
        <w:tab/>
      </w:r>
      <w:r w:rsidRPr="00DC1A5F">
        <w:rPr>
          <w:u w:val="single"/>
        </w:rPr>
        <w:tab/>
        <w:t>.</w:t>
      </w:r>
    </w:p>
    <w:p w14:paraId="5A401EE7" w14:textId="77777777" w:rsidR="00597DE2" w:rsidRPr="00DC1A5F" w:rsidRDefault="00597DE2" w:rsidP="00597DE2">
      <w:pPr>
        <w:pStyle w:val="PiedepginaLegal"/>
      </w:pPr>
      <w:r w:rsidRPr="00DC1A5F">
        <w:t>1. (Cap. XIV.81</w:t>
      </w:r>
      <w:r>
        <w:t>s</w:t>
      </w:r>
      <w:r w:rsidRPr="00DC1A5F">
        <w:t>. —</w:t>
      </w:r>
      <w:r>
        <w:t xml:space="preserve"> </w:t>
      </w:r>
      <w:r w:rsidRPr="00DC1A5F">
        <w:t xml:space="preserve">ver </w:t>
      </w:r>
      <w:r w:rsidRPr="00DC54E6">
        <w:rPr>
          <w:i/>
          <w:iCs/>
        </w:rPr>
        <w:t>Guía del</w:t>
      </w:r>
      <w:r w:rsidRPr="00DC1A5F">
        <w:t xml:space="preserve"> </w:t>
      </w:r>
      <w:proofErr w:type="spellStart"/>
      <w:r w:rsidRPr="00DC1A5F">
        <w:rPr>
          <w:i/>
          <w:iCs/>
        </w:rPr>
        <w:t>Abhidhamma</w:t>
      </w:r>
      <w:proofErr w:type="spellEnd"/>
      <w:r w:rsidRPr="00DC1A5F">
        <w:t xml:space="preserve"> </w:t>
      </w:r>
      <w:proofErr w:type="spellStart"/>
      <w:r w:rsidRPr="00DC1A5F">
        <w:rPr>
          <w:i/>
          <w:iCs/>
        </w:rPr>
        <w:t>Piṭaka</w:t>
      </w:r>
      <w:proofErr w:type="spellEnd"/>
      <w:r w:rsidRPr="00DC1A5F">
        <w:t xml:space="preserve"> por </w:t>
      </w:r>
      <w:proofErr w:type="spellStart"/>
      <w:r w:rsidRPr="00DC1A5F">
        <w:t>Nyanatiloka</w:t>
      </w:r>
      <w:proofErr w:type="spellEnd"/>
      <w:r w:rsidRPr="00DC1A5F">
        <w:t xml:space="preserve"> </w:t>
      </w:r>
      <w:proofErr w:type="spellStart"/>
      <w:r w:rsidRPr="00DC1A5F">
        <w:t>Mahāthera</w:t>
      </w:r>
      <w:proofErr w:type="spellEnd"/>
      <w:r w:rsidRPr="00DC1A5F">
        <w:t>)</w:t>
      </w:r>
      <w:r>
        <w:t>.</w:t>
      </w:r>
    </w:p>
    <w:p w14:paraId="68EE6E8A" w14:textId="77777777" w:rsidR="00597DE2" w:rsidRPr="00DC1A5F" w:rsidRDefault="00597DE2" w:rsidP="00597DE2">
      <w:pPr>
        <w:pStyle w:val="NumeracinReload"/>
        <w:rPr>
          <w:sz w:val="14"/>
          <w:szCs w:val="18"/>
        </w:rPr>
      </w:pPr>
      <w:r w:rsidRPr="00DC1A5F">
        <w:rPr>
          <w:sz w:val="14"/>
          <w:szCs w:val="18"/>
        </w:rPr>
        <w:tab/>
        <w:t xml:space="preserve">(a). </w:t>
      </w:r>
      <w:r w:rsidRPr="00DC1A5F">
        <w:rPr>
          <w:sz w:val="14"/>
          <w:szCs w:val="18"/>
        </w:rPr>
        <w:tab/>
        <w:t>Vincul</w:t>
      </w:r>
      <w:r>
        <w:rPr>
          <w:sz w:val="14"/>
          <w:szCs w:val="18"/>
        </w:rPr>
        <w:t>o</w:t>
      </w:r>
      <w:r w:rsidRPr="00DC1A5F">
        <w:rPr>
          <w:sz w:val="14"/>
          <w:szCs w:val="18"/>
        </w:rPr>
        <w:t xml:space="preserve"> de renacimiento (= R.): (41)–(49), (56)–(65), 19 tipos.</w:t>
      </w:r>
    </w:p>
    <w:p w14:paraId="1E13902F" w14:textId="77777777" w:rsidR="00597DE2" w:rsidRPr="00DC1A5F" w:rsidRDefault="00597DE2" w:rsidP="00597DE2">
      <w:pPr>
        <w:pStyle w:val="NumeracinReload"/>
        <w:rPr>
          <w:sz w:val="14"/>
          <w:szCs w:val="18"/>
        </w:rPr>
      </w:pPr>
      <w:r w:rsidRPr="00DC1A5F">
        <w:rPr>
          <w:sz w:val="14"/>
          <w:szCs w:val="18"/>
        </w:rPr>
        <w:tab/>
        <w:t xml:space="preserve">(b). </w:t>
      </w:r>
      <w:r w:rsidRPr="00DC1A5F">
        <w:rPr>
          <w:sz w:val="14"/>
          <w:szCs w:val="18"/>
        </w:rPr>
        <w:tab/>
      </w:r>
      <w:r>
        <w:rPr>
          <w:sz w:val="14"/>
          <w:szCs w:val="18"/>
        </w:rPr>
        <w:t>Continuum vital</w:t>
      </w:r>
      <w:r w:rsidRPr="00DC1A5F">
        <w:rPr>
          <w:sz w:val="14"/>
          <w:szCs w:val="18"/>
        </w:rPr>
        <w:t xml:space="preserve"> (= L.): los mismos </w:t>
      </w:r>
      <w:r>
        <w:rPr>
          <w:sz w:val="14"/>
          <w:szCs w:val="18"/>
        </w:rPr>
        <w:t>19</w:t>
      </w:r>
      <w:r w:rsidRPr="00DC1A5F">
        <w:rPr>
          <w:sz w:val="14"/>
          <w:szCs w:val="18"/>
        </w:rPr>
        <w:t xml:space="preserve"> tipos.</w:t>
      </w:r>
    </w:p>
    <w:p w14:paraId="6F8F0BB3" w14:textId="77777777" w:rsidR="00597DE2" w:rsidRPr="00DC1A5F" w:rsidRDefault="00597DE2" w:rsidP="00597DE2">
      <w:pPr>
        <w:pStyle w:val="NumeracinReload"/>
        <w:rPr>
          <w:sz w:val="14"/>
          <w:szCs w:val="18"/>
        </w:rPr>
      </w:pPr>
      <w:r w:rsidRPr="00DC1A5F">
        <w:rPr>
          <w:sz w:val="14"/>
          <w:szCs w:val="18"/>
        </w:rPr>
        <w:tab/>
      </w:r>
      <w:r>
        <w:rPr>
          <w:sz w:val="14"/>
          <w:szCs w:val="18"/>
        </w:rPr>
        <w:t>(c)</w:t>
      </w:r>
      <w:r w:rsidRPr="00DC1A5F">
        <w:rPr>
          <w:sz w:val="14"/>
          <w:szCs w:val="18"/>
        </w:rPr>
        <w:t xml:space="preserve">. </w:t>
      </w:r>
      <w:r w:rsidRPr="00DC1A5F">
        <w:rPr>
          <w:sz w:val="14"/>
          <w:szCs w:val="18"/>
        </w:rPr>
        <w:tab/>
      </w:r>
      <w:r>
        <w:rPr>
          <w:sz w:val="14"/>
          <w:szCs w:val="18"/>
        </w:rPr>
        <w:t>Advertencia</w:t>
      </w:r>
      <w:r w:rsidRPr="00DC1A5F">
        <w:rPr>
          <w:sz w:val="14"/>
          <w:szCs w:val="18"/>
        </w:rPr>
        <w:t xml:space="preserve"> (= A.): (70)–(71), 2 tipos.</w:t>
      </w:r>
    </w:p>
    <w:p w14:paraId="5DC0CDCF" w14:textId="77777777" w:rsidR="00597DE2" w:rsidRPr="00DC1A5F" w:rsidRDefault="00597DE2" w:rsidP="00597DE2">
      <w:pPr>
        <w:pStyle w:val="NumeracinReload"/>
        <w:rPr>
          <w:sz w:val="14"/>
          <w:szCs w:val="18"/>
        </w:rPr>
      </w:pPr>
      <w:r w:rsidRPr="00DC1A5F">
        <w:rPr>
          <w:sz w:val="14"/>
          <w:szCs w:val="18"/>
        </w:rPr>
        <w:tab/>
        <w:t xml:space="preserve">(d)–(h). </w:t>
      </w:r>
      <w:r w:rsidRPr="00DC1A5F">
        <w:rPr>
          <w:sz w:val="14"/>
          <w:szCs w:val="18"/>
        </w:rPr>
        <w:tab/>
        <w:t>Ver, etc.: 5 resulta</w:t>
      </w:r>
      <w:r>
        <w:rPr>
          <w:sz w:val="14"/>
          <w:szCs w:val="18"/>
        </w:rPr>
        <w:t>ntes</w:t>
      </w:r>
      <w:r w:rsidRPr="00DC1A5F">
        <w:rPr>
          <w:sz w:val="14"/>
          <w:szCs w:val="18"/>
        </w:rPr>
        <w:t xml:space="preserve"> </w:t>
      </w:r>
      <w:r>
        <w:rPr>
          <w:sz w:val="14"/>
          <w:szCs w:val="18"/>
        </w:rPr>
        <w:t xml:space="preserve">productivas </w:t>
      </w:r>
      <w:r w:rsidRPr="00DC1A5F">
        <w:rPr>
          <w:sz w:val="14"/>
          <w:szCs w:val="18"/>
        </w:rPr>
        <w:t xml:space="preserve">y </w:t>
      </w:r>
      <w:r>
        <w:rPr>
          <w:sz w:val="14"/>
          <w:szCs w:val="18"/>
        </w:rPr>
        <w:t>5 improductivas</w:t>
      </w:r>
      <w:r w:rsidRPr="00DC1A5F">
        <w:rPr>
          <w:sz w:val="14"/>
          <w:szCs w:val="18"/>
        </w:rPr>
        <w:t xml:space="preserve">, </w:t>
      </w:r>
      <w:r>
        <w:rPr>
          <w:sz w:val="14"/>
          <w:szCs w:val="18"/>
        </w:rPr>
        <w:t>10</w:t>
      </w:r>
      <w:r w:rsidRPr="00DC1A5F">
        <w:rPr>
          <w:sz w:val="14"/>
          <w:szCs w:val="18"/>
        </w:rPr>
        <w:t xml:space="preserve"> tipos.</w:t>
      </w:r>
    </w:p>
    <w:p w14:paraId="48A45ABC" w14:textId="77777777" w:rsidR="00597DE2" w:rsidRPr="00DC1A5F" w:rsidRDefault="00597DE2" w:rsidP="00597DE2">
      <w:pPr>
        <w:pStyle w:val="NumeracinReload"/>
        <w:rPr>
          <w:sz w:val="14"/>
          <w:szCs w:val="18"/>
        </w:rPr>
      </w:pPr>
      <w:r w:rsidRPr="00DC1A5F">
        <w:rPr>
          <w:sz w:val="14"/>
          <w:szCs w:val="18"/>
        </w:rPr>
        <w:tab/>
        <w:t xml:space="preserve">(i). </w:t>
      </w:r>
      <w:r w:rsidRPr="00DC1A5F">
        <w:rPr>
          <w:sz w:val="14"/>
          <w:szCs w:val="18"/>
        </w:rPr>
        <w:tab/>
        <w:t>Rec</w:t>
      </w:r>
      <w:r>
        <w:rPr>
          <w:sz w:val="14"/>
          <w:szCs w:val="18"/>
        </w:rPr>
        <w:t>eptivo</w:t>
      </w:r>
      <w:r w:rsidRPr="00DC1A5F">
        <w:rPr>
          <w:sz w:val="14"/>
          <w:szCs w:val="18"/>
        </w:rPr>
        <w:t xml:space="preserve"> (= REC.): (39) y (55). dos tipos.</w:t>
      </w:r>
    </w:p>
    <w:p w14:paraId="6439C4A6" w14:textId="77777777" w:rsidR="00597DE2" w:rsidRPr="00DC1A5F" w:rsidRDefault="00597DE2" w:rsidP="00597DE2">
      <w:pPr>
        <w:pStyle w:val="NumeracinReload"/>
        <w:rPr>
          <w:sz w:val="14"/>
          <w:szCs w:val="18"/>
        </w:rPr>
      </w:pPr>
      <w:r w:rsidRPr="00DC1A5F">
        <w:rPr>
          <w:sz w:val="14"/>
          <w:szCs w:val="18"/>
        </w:rPr>
        <w:tab/>
        <w:t xml:space="preserve">(j). </w:t>
      </w:r>
      <w:r w:rsidRPr="00DC1A5F">
        <w:rPr>
          <w:sz w:val="14"/>
          <w:szCs w:val="18"/>
        </w:rPr>
        <w:tab/>
        <w:t>Investiga</w:t>
      </w:r>
      <w:r>
        <w:rPr>
          <w:sz w:val="14"/>
          <w:szCs w:val="18"/>
        </w:rPr>
        <w:t>tivo</w:t>
      </w:r>
      <w:r w:rsidRPr="00DC1A5F">
        <w:rPr>
          <w:sz w:val="14"/>
          <w:szCs w:val="18"/>
        </w:rPr>
        <w:t xml:space="preserve"> (= INV.): (40, (4l) y (56), tres clases.</w:t>
      </w:r>
    </w:p>
    <w:p w14:paraId="1739F2CB" w14:textId="77777777" w:rsidR="00597DE2" w:rsidRPr="00DC1A5F" w:rsidRDefault="00597DE2" w:rsidP="00597DE2">
      <w:pPr>
        <w:pStyle w:val="NumeracinReload"/>
        <w:rPr>
          <w:sz w:val="14"/>
          <w:szCs w:val="18"/>
        </w:rPr>
      </w:pPr>
      <w:r w:rsidRPr="00DC1A5F">
        <w:rPr>
          <w:sz w:val="14"/>
          <w:szCs w:val="18"/>
        </w:rPr>
        <w:tab/>
        <w:t xml:space="preserve">(k). </w:t>
      </w:r>
      <w:r w:rsidRPr="00DC1A5F">
        <w:rPr>
          <w:sz w:val="14"/>
          <w:szCs w:val="18"/>
        </w:rPr>
        <w:tab/>
        <w:t>Determinante (= DET.): (71), una clase.</w:t>
      </w:r>
    </w:p>
    <w:p w14:paraId="25240B19" w14:textId="77777777" w:rsidR="00597DE2" w:rsidRPr="00DC1A5F" w:rsidRDefault="00597DE2" w:rsidP="00597DE2">
      <w:pPr>
        <w:pStyle w:val="NumeracinReload"/>
        <w:rPr>
          <w:sz w:val="14"/>
          <w:szCs w:val="18"/>
        </w:rPr>
      </w:pPr>
      <w:r w:rsidRPr="00DC1A5F">
        <w:rPr>
          <w:sz w:val="14"/>
          <w:szCs w:val="18"/>
        </w:rPr>
        <w:tab/>
        <w:t xml:space="preserve">(l). </w:t>
      </w:r>
      <w:r w:rsidRPr="00DC1A5F">
        <w:rPr>
          <w:sz w:val="14"/>
          <w:szCs w:val="18"/>
        </w:rPr>
        <w:tab/>
        <w:t>Impulsi</w:t>
      </w:r>
      <w:r>
        <w:rPr>
          <w:sz w:val="14"/>
          <w:szCs w:val="18"/>
        </w:rPr>
        <w:t>vo</w:t>
      </w:r>
      <w:r w:rsidRPr="00DC1A5F">
        <w:rPr>
          <w:sz w:val="14"/>
          <w:szCs w:val="18"/>
        </w:rPr>
        <w:t xml:space="preserve"> (=IMP.): (1)–(33), (66)–(69) y (72)–(89), cincuenta y cinco tipos.</w:t>
      </w:r>
    </w:p>
    <w:p w14:paraId="72CA7E25" w14:textId="77777777" w:rsidR="00597DE2" w:rsidRPr="00DC1A5F" w:rsidRDefault="00597DE2" w:rsidP="00597DE2">
      <w:pPr>
        <w:pStyle w:val="NumeracinReload"/>
        <w:rPr>
          <w:sz w:val="14"/>
          <w:szCs w:val="18"/>
        </w:rPr>
      </w:pPr>
      <w:r w:rsidRPr="00DC1A5F">
        <w:rPr>
          <w:sz w:val="14"/>
          <w:szCs w:val="18"/>
        </w:rPr>
        <w:tab/>
        <w:t xml:space="preserve">(m). </w:t>
      </w:r>
      <w:r w:rsidRPr="00DC1A5F">
        <w:rPr>
          <w:sz w:val="14"/>
          <w:szCs w:val="18"/>
        </w:rPr>
        <w:tab/>
        <w:t>Registro (=REG.): (40)–(49) y (56), once clases.</w:t>
      </w:r>
    </w:p>
    <w:p w14:paraId="5D5636E5" w14:textId="77777777" w:rsidR="00597DE2" w:rsidRPr="00DC1A5F" w:rsidRDefault="00597DE2" w:rsidP="00597DE2">
      <w:pPr>
        <w:pStyle w:val="NumeracinReload"/>
      </w:pPr>
      <w:r w:rsidRPr="00DC1A5F">
        <w:rPr>
          <w:sz w:val="14"/>
          <w:szCs w:val="18"/>
        </w:rPr>
        <w:tab/>
        <w:t xml:space="preserve">(n). </w:t>
      </w:r>
      <w:r w:rsidRPr="00DC1A5F">
        <w:rPr>
          <w:sz w:val="14"/>
          <w:szCs w:val="18"/>
        </w:rPr>
        <w:tab/>
        <w:t xml:space="preserve">Muerte (=D.): los mismos </w:t>
      </w:r>
      <w:r>
        <w:rPr>
          <w:sz w:val="14"/>
          <w:szCs w:val="18"/>
        </w:rPr>
        <w:t xml:space="preserve">19 </w:t>
      </w:r>
      <w:r w:rsidRPr="00DC1A5F">
        <w:rPr>
          <w:sz w:val="14"/>
          <w:szCs w:val="18"/>
        </w:rPr>
        <w:t>tipos que (a) y (b).</w:t>
      </w:r>
    </w:p>
    <w:p w14:paraId="4F84C6EF" w14:textId="77777777" w:rsidR="00597DE2" w:rsidRPr="00DC1A5F" w:rsidRDefault="00597DE2" w:rsidP="00597DE2">
      <w:pPr>
        <w:tabs>
          <w:tab w:val="clear" w:pos="425"/>
        </w:tabs>
        <w:spacing w:after="160"/>
      </w:pPr>
      <w:r w:rsidRPr="00DC1A5F">
        <w:br w:type="page"/>
      </w:r>
    </w:p>
    <w:p w14:paraId="33D08D33" w14:textId="77777777" w:rsidR="00597DE2" w:rsidRPr="00DC1A5F" w:rsidRDefault="00597DE2" w:rsidP="00597DE2">
      <w:pPr>
        <w:pStyle w:val="Textoindependiente"/>
      </w:pPr>
      <w:r w:rsidRPr="00DC1A5F">
        <w:lastRenderedPageBreak/>
        <w:t xml:space="preserve">Tabla III: </w:t>
      </w:r>
      <w:r w:rsidRPr="00117296">
        <w:rPr>
          <w:rFonts w:eastAsiaTheme="majorEastAsia" w:cstheme="majorBidi"/>
          <w:smallCaps/>
          <w:color w:val="000000" w:themeColor="text1"/>
          <w:sz w:val="24"/>
          <w:szCs w:val="26"/>
        </w:rPr>
        <w:t>Agregado de Consciencia</w:t>
      </w:r>
      <w:r w:rsidRPr="00DC1A5F">
        <w:t xml:space="preserve"> (</w:t>
      </w:r>
      <w:r w:rsidRPr="00117296">
        <w:rPr>
          <w:i/>
          <w:iCs/>
        </w:rPr>
        <w:t>continuación</w:t>
      </w:r>
      <w:r w:rsidRPr="00DC1A5F">
        <w:t xml:space="preserve">) </w:t>
      </w:r>
    </w:p>
    <w:tbl>
      <w:tblPr>
        <w:tblStyle w:val="Tablaconcuadrcula"/>
        <w:tblW w:w="0" w:type="auto"/>
        <w:tblLook w:val="04A0" w:firstRow="1" w:lastRow="0" w:firstColumn="1" w:lastColumn="0" w:noHBand="0" w:noVBand="1"/>
      </w:tblPr>
      <w:tblGrid>
        <w:gridCol w:w="3351"/>
        <w:gridCol w:w="3352"/>
      </w:tblGrid>
      <w:tr w:rsidR="00597DE2" w:rsidRPr="00DC1A5F" w14:paraId="3F2CA008" w14:textId="77777777" w:rsidTr="00B66784">
        <w:tc>
          <w:tcPr>
            <w:tcW w:w="6703" w:type="dxa"/>
            <w:gridSpan w:val="2"/>
          </w:tcPr>
          <w:p w14:paraId="62C5B737" w14:textId="77777777" w:rsidR="00597DE2" w:rsidRPr="00DC1A5F" w:rsidRDefault="00597DE2" w:rsidP="00B66784">
            <w:pPr>
              <w:tabs>
                <w:tab w:val="clear" w:pos="425"/>
              </w:tabs>
              <w:spacing w:after="0"/>
              <w:jc w:val="center"/>
              <w:rPr>
                <w:rFonts w:eastAsiaTheme="majorEastAsia" w:cstheme="majorBidi"/>
                <w:b/>
                <w:bCs/>
                <w:color w:val="000000" w:themeColor="text1"/>
                <w:szCs w:val="18"/>
              </w:rPr>
            </w:pPr>
          </w:p>
          <w:p w14:paraId="5612A314" w14:textId="77777777" w:rsidR="00597DE2" w:rsidRPr="00DC1A5F" w:rsidRDefault="00597DE2" w:rsidP="00B66784">
            <w:pPr>
              <w:tabs>
                <w:tab w:val="clear" w:pos="425"/>
              </w:tabs>
              <w:spacing w:after="0"/>
              <w:jc w:val="center"/>
              <w:rPr>
                <w:rFonts w:eastAsiaTheme="majorEastAsia" w:cstheme="majorBidi"/>
                <w:b/>
                <w:bCs/>
                <w:color w:val="000000" w:themeColor="text1"/>
                <w:szCs w:val="18"/>
              </w:rPr>
            </w:pPr>
            <w:r w:rsidRPr="00DC1A5F">
              <w:rPr>
                <w:rFonts w:eastAsiaTheme="majorEastAsia" w:cstheme="majorBidi"/>
                <w:b/>
                <w:bCs/>
                <w:color w:val="000000" w:themeColor="text1"/>
                <w:szCs w:val="18"/>
              </w:rPr>
              <w:t>III. Indeterminado</w:t>
            </w:r>
          </w:p>
          <w:p w14:paraId="240717E6" w14:textId="77777777" w:rsidR="00597DE2" w:rsidRPr="00DC1A5F" w:rsidRDefault="00597DE2" w:rsidP="00B66784">
            <w:pPr>
              <w:tabs>
                <w:tab w:val="clear" w:pos="425"/>
              </w:tabs>
              <w:spacing w:after="0"/>
              <w:jc w:val="center"/>
              <w:rPr>
                <w:rFonts w:eastAsiaTheme="majorEastAsia" w:cstheme="majorBidi"/>
                <w:b/>
                <w:bCs/>
                <w:color w:val="000000" w:themeColor="text1"/>
                <w:szCs w:val="18"/>
              </w:rPr>
            </w:pPr>
          </w:p>
        </w:tc>
      </w:tr>
      <w:tr w:rsidR="00597DE2" w:rsidRPr="00DC1A5F" w14:paraId="49A17E84" w14:textId="77777777" w:rsidTr="00B66784">
        <w:tc>
          <w:tcPr>
            <w:tcW w:w="3351" w:type="dxa"/>
          </w:tcPr>
          <w:p w14:paraId="2E0425B4" w14:textId="77777777" w:rsidR="00597DE2" w:rsidRPr="00DC1A5F" w:rsidRDefault="00597DE2" w:rsidP="00B66784">
            <w:pPr>
              <w:tabs>
                <w:tab w:val="clear" w:pos="425"/>
              </w:tabs>
              <w:spacing w:after="0"/>
              <w:jc w:val="center"/>
              <w:rPr>
                <w:rFonts w:eastAsiaTheme="majorEastAsia" w:cstheme="majorBidi"/>
                <w:b/>
                <w:bCs/>
                <w:color w:val="000000" w:themeColor="text1"/>
                <w:sz w:val="14"/>
                <w:szCs w:val="14"/>
              </w:rPr>
            </w:pPr>
          </w:p>
          <w:p w14:paraId="70273936" w14:textId="77777777" w:rsidR="00597DE2" w:rsidRPr="00DC1A5F" w:rsidRDefault="00597DE2" w:rsidP="00B66784">
            <w:pPr>
              <w:tabs>
                <w:tab w:val="clear" w:pos="425"/>
              </w:tabs>
              <w:spacing w:after="0"/>
              <w:jc w:val="center"/>
              <w:rPr>
                <w:rFonts w:eastAsiaTheme="majorEastAsia" w:cstheme="majorBidi"/>
                <w:b/>
                <w:bCs/>
                <w:color w:val="000000" w:themeColor="text1"/>
                <w:sz w:val="16"/>
                <w:szCs w:val="16"/>
              </w:rPr>
            </w:pPr>
            <w:r w:rsidRPr="00DC1A5F">
              <w:rPr>
                <w:rFonts w:eastAsiaTheme="majorEastAsia" w:cstheme="majorBidi"/>
                <w:b/>
                <w:bCs/>
                <w:color w:val="000000" w:themeColor="text1"/>
                <w:sz w:val="16"/>
                <w:szCs w:val="16"/>
              </w:rPr>
              <w:t>1. Resultante</w:t>
            </w:r>
          </w:p>
          <w:p w14:paraId="2BCAD01E" w14:textId="77777777" w:rsidR="00597DE2" w:rsidRPr="00DC1A5F" w:rsidRDefault="00597DE2" w:rsidP="00B66784">
            <w:pPr>
              <w:tabs>
                <w:tab w:val="clear" w:pos="425"/>
              </w:tabs>
              <w:spacing w:after="0"/>
              <w:jc w:val="center"/>
              <w:rPr>
                <w:rFonts w:eastAsiaTheme="majorEastAsia" w:cstheme="majorBidi"/>
                <w:b/>
                <w:bCs/>
                <w:color w:val="000000" w:themeColor="text1"/>
                <w:sz w:val="14"/>
                <w:szCs w:val="14"/>
              </w:rPr>
            </w:pPr>
          </w:p>
        </w:tc>
        <w:tc>
          <w:tcPr>
            <w:tcW w:w="3352" w:type="dxa"/>
          </w:tcPr>
          <w:p w14:paraId="1E9EE059" w14:textId="77777777" w:rsidR="00597DE2" w:rsidRPr="00DC1A5F" w:rsidRDefault="00597DE2" w:rsidP="00B66784">
            <w:pPr>
              <w:tabs>
                <w:tab w:val="clear" w:pos="425"/>
              </w:tabs>
              <w:spacing w:after="0"/>
              <w:jc w:val="center"/>
              <w:rPr>
                <w:rFonts w:eastAsiaTheme="majorEastAsia" w:cstheme="majorBidi"/>
                <w:b/>
                <w:bCs/>
                <w:color w:val="000000" w:themeColor="text1"/>
                <w:sz w:val="14"/>
                <w:szCs w:val="14"/>
              </w:rPr>
            </w:pPr>
          </w:p>
          <w:p w14:paraId="50117AD1" w14:textId="77777777" w:rsidR="00597DE2" w:rsidRPr="00DC1A5F" w:rsidRDefault="00597DE2" w:rsidP="00B66784">
            <w:pPr>
              <w:tabs>
                <w:tab w:val="clear" w:pos="425"/>
              </w:tabs>
              <w:spacing w:after="0"/>
              <w:jc w:val="center"/>
              <w:rPr>
                <w:rFonts w:eastAsiaTheme="majorEastAsia" w:cstheme="majorBidi"/>
                <w:b/>
                <w:bCs/>
                <w:color w:val="000000" w:themeColor="text1"/>
                <w:sz w:val="14"/>
                <w:szCs w:val="14"/>
              </w:rPr>
            </w:pPr>
            <w:r w:rsidRPr="00DC1A5F">
              <w:rPr>
                <w:rFonts w:eastAsiaTheme="majorEastAsia" w:cstheme="majorBidi"/>
                <w:b/>
                <w:bCs/>
                <w:color w:val="000000" w:themeColor="text1"/>
                <w:sz w:val="16"/>
                <w:szCs w:val="16"/>
              </w:rPr>
              <w:t>2. Funcional</w:t>
            </w:r>
          </w:p>
        </w:tc>
      </w:tr>
      <w:tr w:rsidR="00597DE2" w:rsidRPr="00DC1A5F" w14:paraId="215DA01B" w14:textId="77777777" w:rsidTr="00B66784">
        <w:tc>
          <w:tcPr>
            <w:tcW w:w="3351" w:type="dxa"/>
          </w:tcPr>
          <w:p w14:paraId="537F5895" w14:textId="77777777" w:rsidR="00597DE2" w:rsidRPr="00DC1A5F" w:rsidRDefault="00597DE2" w:rsidP="00B66784">
            <w:pPr>
              <w:tabs>
                <w:tab w:val="clear" w:pos="425"/>
              </w:tabs>
              <w:spacing w:after="0"/>
              <w:rPr>
                <w:rFonts w:eastAsiaTheme="majorEastAsia" w:cstheme="majorBidi"/>
                <w:smallCaps/>
                <w:sz w:val="14"/>
                <w:szCs w:val="8"/>
              </w:rPr>
            </w:pPr>
            <w:r w:rsidRPr="00DC1A5F">
              <w:rPr>
                <w:rFonts w:eastAsiaTheme="majorEastAsia" w:cstheme="majorBidi"/>
                <w:color w:val="000000" w:themeColor="text1"/>
                <w:sz w:val="14"/>
                <w:szCs w:val="14"/>
              </w:rPr>
              <w:t xml:space="preserve">      a) </w:t>
            </w:r>
            <w:r w:rsidRPr="00DC1A5F">
              <w:rPr>
                <w:rFonts w:eastAsiaTheme="majorEastAsia" w:cstheme="majorBidi"/>
                <w:smallCaps/>
                <w:sz w:val="14"/>
                <w:szCs w:val="8"/>
              </w:rPr>
              <w:t>Resulta</w:t>
            </w:r>
            <w:r>
              <w:rPr>
                <w:rFonts w:eastAsiaTheme="majorEastAsia" w:cstheme="majorBidi"/>
                <w:smallCaps/>
                <w:sz w:val="14"/>
                <w:szCs w:val="8"/>
              </w:rPr>
              <w:t>nte</w:t>
            </w:r>
            <w:r w:rsidRPr="00DC1A5F">
              <w:rPr>
                <w:rFonts w:eastAsiaTheme="majorEastAsia" w:cstheme="majorBidi"/>
                <w:smallCaps/>
                <w:sz w:val="14"/>
                <w:szCs w:val="8"/>
              </w:rPr>
              <w:t xml:space="preserve"> Productivos</w:t>
            </w:r>
          </w:p>
          <w:p w14:paraId="577622AC" w14:textId="77777777" w:rsidR="00597DE2" w:rsidRPr="00DC1A5F" w:rsidRDefault="00597DE2" w:rsidP="00B66784">
            <w:pPr>
              <w:tabs>
                <w:tab w:val="clear" w:pos="425"/>
              </w:tabs>
              <w:spacing w:after="0"/>
              <w:rPr>
                <w:rFonts w:eastAsiaTheme="majorEastAsia" w:cstheme="majorBidi"/>
                <w:smallCaps/>
                <w:sz w:val="14"/>
                <w:szCs w:val="8"/>
              </w:rPr>
            </w:pPr>
          </w:p>
          <w:p w14:paraId="6A1CF274"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1. </w:t>
            </w:r>
            <w:r w:rsidRPr="00DC1A5F">
              <w:rPr>
                <w:rFonts w:eastAsiaTheme="majorEastAsia" w:cstheme="majorBidi"/>
                <w:i/>
                <w:iCs/>
                <w:color w:val="000000" w:themeColor="text1"/>
                <w:sz w:val="14"/>
                <w:szCs w:val="14"/>
              </w:rPr>
              <w:t>Sin causa–raíz</w:t>
            </w:r>
          </w:p>
          <w:p w14:paraId="738E4167"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(34) – (38) Consciencia del ojo, del oído, de la nariz, de la lengua, del cuerpo, agradable. (VER, etc</w:t>
            </w:r>
            <w:r>
              <w:rPr>
                <w:rFonts w:eastAsiaTheme="majorEastAsia" w:cstheme="majorBidi"/>
                <w:color w:val="000000" w:themeColor="text1"/>
                <w:sz w:val="14"/>
                <w:szCs w:val="14"/>
              </w:rPr>
              <w:t>.</w:t>
            </w:r>
            <w:r w:rsidRPr="00DC1A5F">
              <w:rPr>
                <w:rFonts w:eastAsiaTheme="majorEastAsia" w:cstheme="majorBidi"/>
                <w:color w:val="000000" w:themeColor="text1"/>
                <w:sz w:val="14"/>
                <w:szCs w:val="14"/>
              </w:rPr>
              <w:t>)</w:t>
            </w:r>
          </w:p>
          <w:p w14:paraId="336FF086"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(39)   Elemento–mente. (REC.)</w:t>
            </w:r>
          </w:p>
          <w:p w14:paraId="686B11EE"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(40)   Elemento–consciencia</w:t>
            </w:r>
            <w:r>
              <w:rPr>
                <w:rFonts w:eastAsiaTheme="majorEastAsia" w:cstheme="majorBidi"/>
                <w:color w:val="000000" w:themeColor="text1"/>
                <w:sz w:val="14"/>
                <w:szCs w:val="14"/>
              </w:rPr>
              <w:t xml:space="preserve"> mental </w:t>
            </w:r>
            <w:r w:rsidRPr="00DC1A5F">
              <w:rPr>
                <w:rFonts w:eastAsiaTheme="majorEastAsia" w:cstheme="majorBidi"/>
                <w:color w:val="000000" w:themeColor="text1"/>
                <w:sz w:val="14"/>
                <w:szCs w:val="14"/>
              </w:rPr>
              <w:t>ac</w:t>
            </w:r>
            <w:r>
              <w:rPr>
                <w:rFonts w:eastAsiaTheme="majorEastAsia" w:cstheme="majorBidi"/>
                <w:color w:val="000000" w:themeColor="text1"/>
                <w:sz w:val="14"/>
                <w:szCs w:val="14"/>
              </w:rPr>
              <w:t xml:space="preserve">ompañado </w:t>
            </w:r>
            <w:r w:rsidRPr="00DC1A5F">
              <w:rPr>
                <w:rFonts w:eastAsiaTheme="majorEastAsia" w:cstheme="majorBidi"/>
                <w:color w:val="000000" w:themeColor="text1"/>
                <w:sz w:val="14"/>
                <w:szCs w:val="14"/>
              </w:rPr>
              <w:t xml:space="preserve">por </w:t>
            </w:r>
            <w:r>
              <w:rPr>
                <w:rFonts w:eastAsiaTheme="majorEastAsia" w:cstheme="majorBidi"/>
                <w:color w:val="000000" w:themeColor="text1"/>
                <w:sz w:val="14"/>
                <w:szCs w:val="14"/>
              </w:rPr>
              <w:t xml:space="preserve">la </w:t>
            </w:r>
            <w:r w:rsidRPr="00DC1A5F">
              <w:rPr>
                <w:rFonts w:eastAsiaTheme="majorEastAsia" w:cstheme="majorBidi"/>
                <w:color w:val="000000" w:themeColor="text1"/>
                <w:sz w:val="14"/>
                <w:szCs w:val="14"/>
              </w:rPr>
              <w:t>alegría (REG.</w:t>
            </w:r>
            <w:r>
              <w:rPr>
                <w:rFonts w:eastAsiaTheme="majorEastAsia" w:cstheme="majorBidi"/>
                <w:color w:val="000000" w:themeColor="text1"/>
                <w:sz w:val="14"/>
                <w:szCs w:val="14"/>
              </w:rPr>
              <w:t xml:space="preserve"> </w:t>
            </w:r>
            <w:r w:rsidRPr="00DC1A5F">
              <w:rPr>
                <w:rFonts w:eastAsiaTheme="majorEastAsia" w:cstheme="majorBidi"/>
                <w:color w:val="000000" w:themeColor="text1"/>
                <w:sz w:val="14"/>
                <w:szCs w:val="14"/>
              </w:rPr>
              <w:t>INV.)</w:t>
            </w:r>
          </w:p>
          <w:p w14:paraId="6E9BBBB6"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(41)   Elemento–consciencia</w:t>
            </w:r>
            <w:r>
              <w:rPr>
                <w:rFonts w:eastAsiaTheme="majorEastAsia" w:cstheme="majorBidi"/>
                <w:color w:val="000000" w:themeColor="text1"/>
                <w:sz w:val="14"/>
                <w:szCs w:val="14"/>
              </w:rPr>
              <w:t xml:space="preserve"> mental </w:t>
            </w:r>
            <w:r w:rsidRPr="00DC1A5F">
              <w:rPr>
                <w:rFonts w:eastAsiaTheme="majorEastAsia" w:cstheme="majorBidi"/>
                <w:color w:val="000000" w:themeColor="text1"/>
                <w:sz w:val="14"/>
                <w:szCs w:val="14"/>
              </w:rPr>
              <w:t>ac</w:t>
            </w:r>
            <w:r>
              <w:rPr>
                <w:rFonts w:eastAsiaTheme="majorEastAsia" w:cstheme="majorBidi"/>
                <w:color w:val="000000" w:themeColor="text1"/>
                <w:sz w:val="14"/>
                <w:szCs w:val="14"/>
              </w:rPr>
              <w:t>ompañado por la</w:t>
            </w:r>
            <w:r w:rsidRPr="00DC1A5F">
              <w:rPr>
                <w:rFonts w:eastAsiaTheme="majorEastAsia" w:cstheme="majorBidi"/>
                <w:color w:val="000000" w:themeColor="text1"/>
                <w:sz w:val="14"/>
                <w:szCs w:val="14"/>
              </w:rPr>
              <w:t xml:space="preserve"> ecuan</w:t>
            </w:r>
            <w:r>
              <w:rPr>
                <w:rFonts w:eastAsiaTheme="majorEastAsia" w:cstheme="majorBidi"/>
                <w:color w:val="000000" w:themeColor="text1"/>
                <w:sz w:val="14"/>
                <w:szCs w:val="14"/>
              </w:rPr>
              <w:t>imidad</w:t>
            </w:r>
            <w:r w:rsidRPr="00DC1A5F">
              <w:rPr>
                <w:rFonts w:eastAsiaTheme="majorEastAsia" w:cstheme="majorBidi"/>
                <w:color w:val="000000" w:themeColor="text1"/>
                <w:sz w:val="14"/>
                <w:szCs w:val="14"/>
              </w:rPr>
              <w:t>. (</w:t>
            </w:r>
            <w:r w:rsidRPr="00DC1A5F">
              <w:rPr>
                <w:rFonts w:eastAsiaTheme="majorEastAsia" w:cstheme="majorBidi"/>
                <w:smallCaps/>
                <w:sz w:val="14"/>
                <w:szCs w:val="8"/>
              </w:rPr>
              <w:t>INV. REG. R. L. D</w:t>
            </w:r>
            <w:r w:rsidRPr="00DC1A5F">
              <w:rPr>
                <w:rFonts w:eastAsiaTheme="majorEastAsia" w:cstheme="majorBidi"/>
                <w:color w:val="000000" w:themeColor="text1"/>
                <w:sz w:val="14"/>
                <w:szCs w:val="14"/>
              </w:rPr>
              <w:t>.)</w:t>
            </w:r>
            <w:r>
              <w:rPr>
                <w:rFonts w:eastAsiaTheme="majorEastAsia" w:cstheme="majorBidi"/>
                <w:color w:val="000000" w:themeColor="text1"/>
                <w:sz w:val="14"/>
                <w:szCs w:val="14"/>
              </w:rPr>
              <w:br/>
            </w:r>
          </w:p>
          <w:p w14:paraId="677D36AB"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2. </w:t>
            </w:r>
            <w:r w:rsidRPr="00DC1A5F">
              <w:rPr>
                <w:rFonts w:eastAsiaTheme="majorEastAsia" w:cstheme="majorBidi"/>
                <w:i/>
                <w:iCs/>
                <w:color w:val="000000" w:themeColor="text1"/>
                <w:sz w:val="14"/>
                <w:szCs w:val="14"/>
              </w:rPr>
              <w:t>Con Causa–raíz.</w:t>
            </w:r>
          </w:p>
          <w:p w14:paraId="49A71A35"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(42) – (49) </w:t>
            </w:r>
            <w:proofErr w:type="gramStart"/>
            <w:r w:rsidRPr="00DC1A5F">
              <w:rPr>
                <w:rFonts w:eastAsiaTheme="majorEastAsia" w:cstheme="majorBidi"/>
                <w:color w:val="000000" w:themeColor="text1"/>
                <w:sz w:val="14"/>
                <w:szCs w:val="14"/>
              </w:rPr>
              <w:t>=(</w:t>
            </w:r>
            <w:proofErr w:type="gramEnd"/>
            <w:r w:rsidRPr="00DC1A5F">
              <w:rPr>
                <w:rFonts w:eastAsiaTheme="majorEastAsia" w:cstheme="majorBidi"/>
                <w:color w:val="000000" w:themeColor="text1"/>
                <w:sz w:val="14"/>
                <w:szCs w:val="14"/>
              </w:rPr>
              <w:t>1) – (8) (</w:t>
            </w:r>
            <w:r w:rsidRPr="00DC1A5F">
              <w:rPr>
                <w:rFonts w:eastAsiaTheme="majorEastAsia" w:cstheme="majorBidi"/>
                <w:smallCaps/>
                <w:sz w:val="14"/>
                <w:szCs w:val="8"/>
              </w:rPr>
              <w:t>REG. R. L. D</w:t>
            </w:r>
            <w:r w:rsidRPr="00DC1A5F">
              <w:rPr>
                <w:rFonts w:eastAsiaTheme="majorEastAsia" w:cstheme="majorBidi"/>
                <w:color w:val="000000" w:themeColor="text1"/>
                <w:sz w:val="14"/>
                <w:szCs w:val="14"/>
              </w:rPr>
              <w:t>.)</w:t>
            </w:r>
          </w:p>
          <w:p w14:paraId="2AA54629" w14:textId="77777777" w:rsidR="00597DE2" w:rsidRPr="00DC1A5F" w:rsidRDefault="00597DE2" w:rsidP="00B66784">
            <w:pPr>
              <w:tabs>
                <w:tab w:val="clear" w:pos="425"/>
              </w:tabs>
              <w:spacing w:after="0"/>
              <w:rPr>
                <w:rFonts w:eastAsiaTheme="majorEastAsia" w:cstheme="majorBidi"/>
                <w:color w:val="000000" w:themeColor="text1"/>
                <w:sz w:val="14"/>
                <w:szCs w:val="14"/>
              </w:rPr>
            </w:pPr>
          </w:p>
          <w:p w14:paraId="218163BF" w14:textId="77777777" w:rsidR="00597DE2" w:rsidRPr="00DC1A5F" w:rsidRDefault="00597DE2" w:rsidP="00B66784">
            <w:pPr>
              <w:tabs>
                <w:tab w:val="clear" w:pos="425"/>
              </w:tabs>
              <w:spacing w:after="0"/>
              <w:rPr>
                <w:rFonts w:eastAsiaTheme="majorEastAsia" w:cstheme="majorBidi"/>
                <w:smallCaps/>
                <w:sz w:val="14"/>
                <w:szCs w:val="8"/>
              </w:rPr>
            </w:pPr>
            <w:r w:rsidRPr="00DC1A5F">
              <w:rPr>
                <w:rFonts w:eastAsiaTheme="majorEastAsia" w:cstheme="majorBidi"/>
                <w:color w:val="000000" w:themeColor="text1"/>
                <w:sz w:val="14"/>
                <w:szCs w:val="14"/>
              </w:rPr>
              <w:t xml:space="preserve">     (b) </w:t>
            </w:r>
            <w:r w:rsidRPr="00DC1A5F">
              <w:rPr>
                <w:rFonts w:eastAsiaTheme="majorEastAsia" w:cstheme="majorBidi"/>
                <w:smallCaps/>
                <w:sz w:val="14"/>
                <w:szCs w:val="8"/>
              </w:rPr>
              <w:t>Resultado No Productivos</w:t>
            </w:r>
          </w:p>
          <w:p w14:paraId="7BDC497C" w14:textId="77777777" w:rsidR="00597DE2" w:rsidRDefault="00597DE2" w:rsidP="00B66784">
            <w:pPr>
              <w:tabs>
                <w:tab w:val="clear" w:pos="425"/>
              </w:tabs>
              <w:spacing w:after="0"/>
              <w:rPr>
                <w:rFonts w:eastAsiaTheme="majorEastAsia" w:cstheme="majorBidi"/>
                <w:i/>
                <w:iCs/>
                <w:color w:val="000000" w:themeColor="text1"/>
                <w:sz w:val="14"/>
                <w:szCs w:val="14"/>
              </w:rPr>
            </w:pPr>
          </w:p>
          <w:p w14:paraId="4CFC159A" w14:textId="77777777" w:rsidR="00597DE2" w:rsidRPr="00DC1A5F" w:rsidRDefault="00597DE2" w:rsidP="00B66784">
            <w:pPr>
              <w:tabs>
                <w:tab w:val="clear" w:pos="425"/>
              </w:tabs>
              <w:spacing w:after="0"/>
              <w:rPr>
                <w:rFonts w:eastAsiaTheme="majorEastAsia" w:cstheme="majorBidi"/>
                <w:i/>
                <w:iCs/>
                <w:color w:val="000000" w:themeColor="text1"/>
                <w:sz w:val="14"/>
                <w:szCs w:val="14"/>
              </w:rPr>
            </w:pPr>
            <w:r w:rsidRPr="00DC1A5F">
              <w:rPr>
                <w:rFonts w:eastAsiaTheme="majorEastAsia" w:cstheme="majorBidi"/>
                <w:i/>
                <w:iCs/>
                <w:color w:val="000000" w:themeColor="text1"/>
                <w:sz w:val="14"/>
                <w:szCs w:val="14"/>
              </w:rPr>
              <w:t>Sin causa–raíz solamente</w:t>
            </w:r>
          </w:p>
          <w:p w14:paraId="7DD5A303"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(50) – (54) Consciencia de ojos, oídos, nariz, lengua, cuerpo, dolorosa. (VER, </w:t>
            </w:r>
            <w:proofErr w:type="spellStart"/>
            <w:r w:rsidRPr="00DC1A5F">
              <w:rPr>
                <w:rFonts w:eastAsiaTheme="majorEastAsia" w:cstheme="majorBidi"/>
                <w:color w:val="000000" w:themeColor="text1"/>
                <w:sz w:val="14"/>
                <w:szCs w:val="14"/>
              </w:rPr>
              <w:t>etc</w:t>
            </w:r>
            <w:proofErr w:type="spellEnd"/>
            <w:r w:rsidRPr="00DC1A5F">
              <w:rPr>
                <w:rFonts w:eastAsiaTheme="majorEastAsia" w:cstheme="majorBidi"/>
                <w:color w:val="000000" w:themeColor="text1"/>
                <w:sz w:val="14"/>
                <w:szCs w:val="14"/>
              </w:rPr>
              <w:t>)</w:t>
            </w:r>
          </w:p>
          <w:p w14:paraId="07DBA3C7"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(55)   Mente–elemento. (REC.)</w:t>
            </w:r>
          </w:p>
          <w:p w14:paraId="1026BC2C"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(56)   Mente–consciencia–elemento. </w:t>
            </w:r>
            <w:r w:rsidRPr="00DC1A5F">
              <w:rPr>
                <w:rFonts w:eastAsiaTheme="majorEastAsia" w:cstheme="majorBidi"/>
                <w:color w:val="000000" w:themeColor="text1"/>
                <w:sz w:val="14"/>
                <w:szCs w:val="14"/>
              </w:rPr>
              <w:br/>
              <w:t>(</w:t>
            </w:r>
            <w:r w:rsidRPr="00DC1A5F">
              <w:rPr>
                <w:rFonts w:eastAsiaTheme="majorEastAsia" w:cstheme="majorBidi"/>
                <w:smallCaps/>
                <w:sz w:val="14"/>
                <w:szCs w:val="8"/>
              </w:rPr>
              <w:t>inv. Reg. R. L. D</w:t>
            </w:r>
            <w:r w:rsidRPr="00DC1A5F">
              <w:rPr>
                <w:rFonts w:eastAsiaTheme="majorEastAsia" w:cstheme="majorBidi"/>
                <w:color w:val="000000" w:themeColor="text1"/>
                <w:sz w:val="14"/>
                <w:szCs w:val="14"/>
              </w:rPr>
              <w:t>.)</w:t>
            </w:r>
          </w:p>
          <w:p w14:paraId="390DA446"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p>
        </w:tc>
        <w:tc>
          <w:tcPr>
            <w:tcW w:w="3352" w:type="dxa"/>
          </w:tcPr>
          <w:p w14:paraId="5B63E56C" w14:textId="77777777" w:rsidR="00597DE2" w:rsidRPr="00DC1A5F" w:rsidRDefault="00597DE2" w:rsidP="00B66784">
            <w:pPr>
              <w:tabs>
                <w:tab w:val="clear" w:pos="425"/>
              </w:tabs>
              <w:spacing w:after="0"/>
              <w:rPr>
                <w:rFonts w:eastAsiaTheme="majorEastAsia" w:cstheme="majorBidi"/>
                <w:color w:val="000000" w:themeColor="text1"/>
                <w:sz w:val="14"/>
                <w:szCs w:val="14"/>
              </w:rPr>
            </w:pPr>
          </w:p>
          <w:p w14:paraId="226551D4" w14:textId="77777777" w:rsidR="00597DE2" w:rsidRPr="00DC1A5F" w:rsidRDefault="00597DE2" w:rsidP="00B66784">
            <w:pPr>
              <w:tabs>
                <w:tab w:val="clear" w:pos="425"/>
              </w:tabs>
              <w:spacing w:after="0"/>
              <w:rPr>
                <w:rFonts w:eastAsiaTheme="majorEastAsia" w:cstheme="majorBidi"/>
                <w:color w:val="000000" w:themeColor="text1"/>
                <w:sz w:val="14"/>
                <w:szCs w:val="14"/>
              </w:rPr>
            </w:pPr>
          </w:p>
          <w:p w14:paraId="2400F394" w14:textId="77777777" w:rsidR="00597DE2" w:rsidRPr="00DC1A5F" w:rsidRDefault="00597DE2" w:rsidP="00B66784">
            <w:pPr>
              <w:tabs>
                <w:tab w:val="clear" w:pos="425"/>
              </w:tabs>
              <w:spacing w:after="0"/>
              <w:rPr>
                <w:rFonts w:eastAsiaTheme="majorEastAsia" w:cstheme="majorBidi"/>
                <w:i/>
                <w:iCs/>
                <w:color w:val="000000" w:themeColor="text1"/>
                <w:sz w:val="14"/>
                <w:szCs w:val="14"/>
              </w:rPr>
            </w:pPr>
            <w:r w:rsidRPr="00DC1A5F">
              <w:rPr>
                <w:rFonts w:eastAsiaTheme="majorEastAsia" w:cstheme="majorBidi"/>
                <w:color w:val="000000" w:themeColor="text1"/>
                <w:sz w:val="14"/>
                <w:szCs w:val="14"/>
              </w:rPr>
              <w:t xml:space="preserve">1. </w:t>
            </w:r>
            <w:r w:rsidRPr="00DC1A5F">
              <w:rPr>
                <w:rFonts w:eastAsiaTheme="majorEastAsia" w:cstheme="majorBidi"/>
                <w:i/>
                <w:iCs/>
                <w:color w:val="000000" w:themeColor="text1"/>
                <w:sz w:val="14"/>
                <w:szCs w:val="14"/>
              </w:rPr>
              <w:t>Sin causa–raíz</w:t>
            </w:r>
          </w:p>
          <w:p w14:paraId="538D4C22"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(70) </w:t>
            </w:r>
            <w:r>
              <w:rPr>
                <w:rFonts w:eastAsiaTheme="majorEastAsia" w:cstheme="majorBidi"/>
                <w:color w:val="000000" w:themeColor="text1"/>
                <w:sz w:val="14"/>
                <w:szCs w:val="14"/>
              </w:rPr>
              <w:t xml:space="preserve"> </w:t>
            </w:r>
            <w:r w:rsidRPr="00DC1A5F">
              <w:rPr>
                <w:rFonts w:eastAsiaTheme="majorEastAsia" w:cstheme="majorBidi"/>
                <w:color w:val="000000" w:themeColor="text1"/>
                <w:sz w:val="14"/>
                <w:szCs w:val="14"/>
              </w:rPr>
              <w:t>Elemento</w:t>
            </w:r>
            <w:r w:rsidRPr="00DC1A5F">
              <w:rPr>
                <w:rFonts w:eastAsiaTheme="majorEastAsia" w:cstheme="majorBidi"/>
                <w:i/>
                <w:iCs/>
                <w:color w:val="000000" w:themeColor="text1"/>
                <w:sz w:val="14"/>
                <w:szCs w:val="14"/>
              </w:rPr>
              <w:t>–</w:t>
            </w:r>
            <w:r w:rsidRPr="00DC1A5F">
              <w:rPr>
                <w:rFonts w:eastAsiaTheme="majorEastAsia" w:cstheme="majorBidi"/>
                <w:color w:val="000000" w:themeColor="text1"/>
                <w:sz w:val="14"/>
                <w:szCs w:val="14"/>
              </w:rPr>
              <w:t>mental (5–</w:t>
            </w:r>
            <w:r w:rsidRPr="00DC1A5F">
              <w:rPr>
                <w:rFonts w:eastAsiaTheme="majorEastAsia" w:cstheme="majorBidi"/>
                <w:smallCaps/>
                <w:sz w:val="14"/>
                <w:szCs w:val="8"/>
              </w:rPr>
              <w:t>Puerta A</w:t>
            </w:r>
            <w:r w:rsidRPr="00DC1A5F">
              <w:rPr>
                <w:rFonts w:eastAsiaTheme="majorEastAsia" w:cstheme="majorBidi"/>
                <w:color w:val="000000" w:themeColor="text1"/>
                <w:sz w:val="14"/>
                <w:szCs w:val="14"/>
              </w:rPr>
              <w:t>.)</w:t>
            </w:r>
          </w:p>
          <w:p w14:paraId="6EAE863F"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(71) </w:t>
            </w:r>
            <w:r>
              <w:rPr>
                <w:rFonts w:eastAsiaTheme="majorEastAsia" w:cstheme="majorBidi"/>
                <w:color w:val="000000" w:themeColor="text1"/>
                <w:sz w:val="14"/>
                <w:szCs w:val="14"/>
              </w:rPr>
              <w:t xml:space="preserve"> </w:t>
            </w:r>
            <w:r w:rsidRPr="00DC1A5F">
              <w:rPr>
                <w:rFonts w:eastAsiaTheme="majorEastAsia" w:cstheme="majorBidi"/>
                <w:color w:val="000000" w:themeColor="text1"/>
                <w:sz w:val="14"/>
                <w:szCs w:val="14"/>
              </w:rPr>
              <w:t>Elemento–consciencia</w:t>
            </w:r>
            <w:r>
              <w:rPr>
                <w:rFonts w:eastAsiaTheme="majorEastAsia" w:cstheme="majorBidi"/>
                <w:color w:val="000000" w:themeColor="text1"/>
                <w:sz w:val="14"/>
                <w:szCs w:val="14"/>
              </w:rPr>
              <w:t xml:space="preserve"> mental </w:t>
            </w:r>
            <w:r w:rsidRPr="00DC1A5F">
              <w:rPr>
                <w:rFonts w:eastAsiaTheme="majorEastAsia" w:cstheme="majorBidi"/>
                <w:color w:val="000000" w:themeColor="text1"/>
                <w:sz w:val="14"/>
                <w:szCs w:val="14"/>
              </w:rPr>
              <w:t>ac</w:t>
            </w:r>
            <w:r>
              <w:rPr>
                <w:rFonts w:eastAsiaTheme="majorEastAsia" w:cstheme="majorBidi"/>
                <w:color w:val="000000" w:themeColor="text1"/>
                <w:sz w:val="14"/>
                <w:szCs w:val="14"/>
              </w:rPr>
              <w:t>ompañado</w:t>
            </w:r>
            <w:r w:rsidRPr="00DC1A5F">
              <w:rPr>
                <w:rFonts w:eastAsiaTheme="majorEastAsia" w:cstheme="majorBidi"/>
                <w:color w:val="000000" w:themeColor="text1"/>
                <w:sz w:val="14"/>
                <w:szCs w:val="14"/>
              </w:rPr>
              <w:t xml:space="preserve"> por</w:t>
            </w:r>
            <w:r>
              <w:rPr>
                <w:rFonts w:eastAsiaTheme="majorEastAsia" w:cstheme="majorBidi"/>
                <w:color w:val="000000" w:themeColor="text1"/>
                <w:sz w:val="14"/>
                <w:szCs w:val="14"/>
              </w:rPr>
              <w:t xml:space="preserve"> la </w:t>
            </w:r>
            <w:r w:rsidRPr="00DC1A5F">
              <w:rPr>
                <w:rFonts w:eastAsiaTheme="majorEastAsia" w:cstheme="majorBidi"/>
                <w:color w:val="000000" w:themeColor="text1"/>
                <w:sz w:val="14"/>
                <w:szCs w:val="14"/>
              </w:rPr>
              <w:t>ecuan</w:t>
            </w:r>
            <w:r>
              <w:rPr>
                <w:rFonts w:eastAsiaTheme="majorEastAsia" w:cstheme="majorBidi"/>
                <w:color w:val="000000" w:themeColor="text1"/>
                <w:sz w:val="14"/>
                <w:szCs w:val="14"/>
              </w:rPr>
              <w:t>imidad</w:t>
            </w:r>
            <w:r w:rsidRPr="00DC1A5F">
              <w:rPr>
                <w:rFonts w:eastAsiaTheme="majorEastAsia" w:cstheme="majorBidi"/>
                <w:color w:val="000000" w:themeColor="text1"/>
                <w:sz w:val="14"/>
                <w:szCs w:val="14"/>
              </w:rPr>
              <w:t xml:space="preserve"> (5–</w:t>
            </w:r>
            <w:r w:rsidRPr="00DC1A5F">
              <w:rPr>
                <w:rFonts w:eastAsiaTheme="majorEastAsia" w:cstheme="majorBidi"/>
                <w:smallCaps/>
                <w:sz w:val="14"/>
                <w:szCs w:val="8"/>
              </w:rPr>
              <w:t>Puerta</w:t>
            </w:r>
            <w:r>
              <w:rPr>
                <w:rFonts w:eastAsiaTheme="majorEastAsia" w:cstheme="majorBidi"/>
                <w:smallCaps/>
                <w:sz w:val="14"/>
                <w:szCs w:val="8"/>
              </w:rPr>
              <w:t>s</w:t>
            </w:r>
            <w:r w:rsidRPr="00DC1A5F">
              <w:rPr>
                <w:rFonts w:eastAsiaTheme="majorEastAsia" w:cstheme="majorBidi"/>
                <w:smallCaps/>
                <w:sz w:val="14"/>
                <w:szCs w:val="8"/>
              </w:rPr>
              <w:t xml:space="preserve"> </w:t>
            </w:r>
            <w:proofErr w:type="spellStart"/>
            <w:r w:rsidRPr="00DC1A5F">
              <w:rPr>
                <w:rFonts w:eastAsiaTheme="majorEastAsia" w:cstheme="majorBidi"/>
                <w:smallCaps/>
                <w:sz w:val="14"/>
                <w:szCs w:val="8"/>
              </w:rPr>
              <w:t>Det</w:t>
            </w:r>
            <w:proofErr w:type="spellEnd"/>
            <w:r w:rsidRPr="00DC1A5F">
              <w:rPr>
                <w:rFonts w:eastAsiaTheme="majorEastAsia" w:cstheme="majorBidi"/>
                <w:smallCaps/>
                <w:sz w:val="14"/>
                <w:szCs w:val="8"/>
              </w:rPr>
              <w:t>.</w:t>
            </w:r>
            <w:r>
              <w:rPr>
                <w:rFonts w:eastAsiaTheme="majorEastAsia" w:cstheme="majorBidi"/>
                <w:smallCaps/>
                <w:sz w:val="14"/>
                <w:szCs w:val="8"/>
              </w:rPr>
              <w:t xml:space="preserve"> </w:t>
            </w:r>
            <w:r w:rsidRPr="00DC1A5F">
              <w:rPr>
                <w:rFonts w:eastAsiaTheme="majorEastAsia" w:cstheme="majorBidi"/>
                <w:smallCaps/>
                <w:sz w:val="14"/>
                <w:szCs w:val="8"/>
              </w:rPr>
              <w:t>Puerta–Ment</w:t>
            </w:r>
            <w:r>
              <w:rPr>
                <w:rFonts w:eastAsiaTheme="majorEastAsia" w:cstheme="majorBidi"/>
                <w:smallCaps/>
                <w:sz w:val="14"/>
                <w:szCs w:val="8"/>
              </w:rPr>
              <w:t xml:space="preserve">al </w:t>
            </w:r>
            <w:r w:rsidRPr="00DC1A5F">
              <w:rPr>
                <w:rFonts w:eastAsiaTheme="majorEastAsia" w:cstheme="majorBidi"/>
                <w:smallCaps/>
                <w:sz w:val="14"/>
                <w:szCs w:val="8"/>
              </w:rPr>
              <w:t>A</w:t>
            </w:r>
            <w:r>
              <w:rPr>
                <w:rFonts w:eastAsiaTheme="majorEastAsia" w:cstheme="majorBidi"/>
                <w:smallCaps/>
                <w:sz w:val="14"/>
                <w:szCs w:val="8"/>
              </w:rPr>
              <w:t>.)</w:t>
            </w:r>
          </w:p>
          <w:p w14:paraId="38610D2F" w14:textId="77777777" w:rsidR="00597DE2" w:rsidRDefault="00597DE2" w:rsidP="00B66784">
            <w:pPr>
              <w:tabs>
                <w:tab w:val="clear" w:pos="425"/>
              </w:tabs>
              <w:spacing w:after="0"/>
              <w:ind w:left="310" w:hanging="31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(72) </w:t>
            </w:r>
            <w:r>
              <w:rPr>
                <w:rFonts w:eastAsiaTheme="majorEastAsia" w:cstheme="majorBidi"/>
                <w:color w:val="000000" w:themeColor="text1"/>
                <w:sz w:val="14"/>
                <w:szCs w:val="14"/>
              </w:rPr>
              <w:t xml:space="preserve"> </w:t>
            </w:r>
            <w:r w:rsidRPr="00DC1A5F">
              <w:rPr>
                <w:rFonts w:eastAsiaTheme="majorEastAsia" w:cstheme="majorBidi"/>
                <w:color w:val="000000" w:themeColor="text1"/>
                <w:sz w:val="14"/>
                <w:szCs w:val="14"/>
              </w:rPr>
              <w:t>Elemento–consciencia</w:t>
            </w:r>
            <w:r>
              <w:rPr>
                <w:rFonts w:eastAsiaTheme="majorEastAsia" w:cstheme="majorBidi"/>
                <w:color w:val="000000" w:themeColor="text1"/>
                <w:sz w:val="14"/>
                <w:szCs w:val="14"/>
              </w:rPr>
              <w:t xml:space="preserve"> mental </w:t>
            </w:r>
            <w:r w:rsidRPr="00DC1A5F">
              <w:rPr>
                <w:rFonts w:eastAsiaTheme="majorEastAsia" w:cstheme="majorBidi"/>
                <w:color w:val="000000" w:themeColor="text1"/>
                <w:sz w:val="14"/>
                <w:szCs w:val="14"/>
              </w:rPr>
              <w:t>ac</w:t>
            </w:r>
            <w:r>
              <w:rPr>
                <w:rFonts w:eastAsiaTheme="majorEastAsia" w:cstheme="majorBidi"/>
                <w:color w:val="000000" w:themeColor="text1"/>
                <w:sz w:val="14"/>
                <w:szCs w:val="14"/>
              </w:rPr>
              <w:t>ompañado</w:t>
            </w:r>
            <w:r w:rsidRPr="00DC1A5F">
              <w:rPr>
                <w:rFonts w:eastAsiaTheme="majorEastAsia" w:cstheme="majorBidi"/>
                <w:color w:val="000000" w:themeColor="text1"/>
                <w:sz w:val="14"/>
                <w:szCs w:val="14"/>
              </w:rPr>
              <w:t xml:space="preserve"> por alegría</w:t>
            </w:r>
            <w:r>
              <w:rPr>
                <w:rFonts w:eastAsiaTheme="majorEastAsia" w:cstheme="majorBidi"/>
                <w:color w:val="000000" w:themeColor="text1"/>
                <w:sz w:val="14"/>
                <w:szCs w:val="14"/>
              </w:rPr>
              <w:t xml:space="preserve"> </w:t>
            </w:r>
            <w:r w:rsidRPr="00DC1A5F">
              <w:rPr>
                <w:rFonts w:eastAsiaTheme="majorEastAsia" w:cstheme="majorBidi"/>
                <w:color w:val="000000" w:themeColor="text1"/>
                <w:sz w:val="14"/>
                <w:szCs w:val="14"/>
              </w:rPr>
              <w:t>(</w:t>
            </w:r>
            <w:r>
              <w:rPr>
                <w:rFonts w:eastAsiaTheme="majorEastAsia" w:cstheme="majorBidi"/>
                <w:smallCaps/>
                <w:sz w:val="14"/>
                <w:szCs w:val="8"/>
              </w:rPr>
              <w:t>IMP</w:t>
            </w:r>
            <w:r w:rsidRPr="00DC1A5F">
              <w:rPr>
                <w:rFonts w:eastAsiaTheme="majorEastAsia" w:cstheme="majorBidi"/>
                <w:color w:val="000000" w:themeColor="text1"/>
                <w:sz w:val="14"/>
                <w:szCs w:val="14"/>
              </w:rPr>
              <w:t>.)</w:t>
            </w:r>
          </w:p>
          <w:p w14:paraId="7E4385EF" w14:textId="77777777" w:rsidR="00597DE2" w:rsidRPr="00DC1A5F" w:rsidRDefault="00597DE2" w:rsidP="00B66784">
            <w:pPr>
              <w:tabs>
                <w:tab w:val="clear" w:pos="425"/>
              </w:tabs>
              <w:spacing w:after="0"/>
              <w:ind w:left="310" w:hanging="310"/>
              <w:rPr>
                <w:rFonts w:eastAsiaTheme="majorEastAsia" w:cstheme="majorBidi"/>
                <w:color w:val="000000" w:themeColor="text1"/>
                <w:sz w:val="14"/>
                <w:szCs w:val="14"/>
              </w:rPr>
            </w:pPr>
          </w:p>
          <w:p w14:paraId="7F76150F" w14:textId="77777777" w:rsidR="00597DE2" w:rsidRPr="00DC1A5F" w:rsidRDefault="00597DE2" w:rsidP="00B66784">
            <w:pPr>
              <w:tabs>
                <w:tab w:val="clear" w:pos="425"/>
              </w:tabs>
              <w:spacing w:after="0"/>
              <w:rPr>
                <w:rFonts w:eastAsiaTheme="majorEastAsia" w:cstheme="majorBidi"/>
                <w:i/>
                <w:iCs/>
                <w:color w:val="000000" w:themeColor="text1"/>
                <w:sz w:val="14"/>
                <w:szCs w:val="14"/>
              </w:rPr>
            </w:pPr>
            <w:r w:rsidRPr="00DC1A5F">
              <w:rPr>
                <w:rFonts w:eastAsiaTheme="majorEastAsia" w:cstheme="majorBidi"/>
                <w:color w:val="000000" w:themeColor="text1"/>
                <w:sz w:val="14"/>
                <w:szCs w:val="14"/>
              </w:rPr>
              <w:t xml:space="preserve">2. </w:t>
            </w:r>
            <w:r w:rsidRPr="00DC1A5F">
              <w:rPr>
                <w:rFonts w:eastAsiaTheme="majorEastAsia" w:cstheme="majorBidi"/>
                <w:i/>
                <w:iCs/>
                <w:color w:val="000000" w:themeColor="text1"/>
                <w:sz w:val="14"/>
                <w:szCs w:val="14"/>
              </w:rPr>
              <w:t>Con causa–raíz</w:t>
            </w:r>
          </w:p>
          <w:p w14:paraId="7012EEBC"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(73) – (80) = (1) – (8) (IMP.)</w:t>
            </w:r>
          </w:p>
        </w:tc>
      </w:tr>
      <w:tr w:rsidR="00597DE2" w:rsidRPr="00DC1A5F" w14:paraId="543F489A" w14:textId="77777777" w:rsidTr="00B66784">
        <w:tc>
          <w:tcPr>
            <w:tcW w:w="3351" w:type="dxa"/>
          </w:tcPr>
          <w:p w14:paraId="1FD3DE63" w14:textId="77777777" w:rsidR="00597DE2" w:rsidRPr="00DC1A5F" w:rsidRDefault="00597DE2" w:rsidP="00B66784">
            <w:pPr>
              <w:tabs>
                <w:tab w:val="clear" w:pos="425"/>
              </w:tabs>
              <w:spacing w:after="0"/>
              <w:rPr>
                <w:rFonts w:eastAsiaTheme="majorEastAsia" w:cstheme="majorBidi"/>
                <w:color w:val="000000" w:themeColor="text1"/>
                <w:sz w:val="14"/>
                <w:szCs w:val="14"/>
              </w:rPr>
            </w:pPr>
          </w:p>
          <w:p w14:paraId="1E0746BF"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(57)</w:t>
            </w:r>
          </w:p>
          <w:p w14:paraId="1831CB81"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(58)</w:t>
            </w:r>
          </w:p>
          <w:p w14:paraId="4958DD98"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(59) = (9) – (13)</w:t>
            </w:r>
          </w:p>
          <w:p w14:paraId="7139DFDD"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(60)</w:t>
            </w:r>
          </w:p>
          <w:p w14:paraId="544E24B5"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(61)</w:t>
            </w:r>
          </w:p>
          <w:p w14:paraId="54E324AB"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         (</w:t>
            </w:r>
            <w:r w:rsidRPr="00DC1A5F">
              <w:rPr>
                <w:rFonts w:eastAsiaTheme="majorEastAsia" w:cstheme="majorBidi"/>
                <w:smallCaps/>
                <w:sz w:val="14"/>
                <w:szCs w:val="8"/>
              </w:rPr>
              <w:t>R. L D. Existencia</w:t>
            </w:r>
            <w:r w:rsidRPr="00DC1A5F">
              <w:rPr>
                <w:rFonts w:eastAsiaTheme="majorEastAsia" w:cstheme="majorBidi"/>
                <w:color w:val="000000" w:themeColor="text1"/>
                <w:sz w:val="14"/>
                <w:szCs w:val="14"/>
              </w:rPr>
              <w:t>)</w:t>
            </w:r>
          </w:p>
          <w:p w14:paraId="2902AA0F" w14:textId="77777777" w:rsidR="00597DE2" w:rsidRPr="00DC1A5F" w:rsidRDefault="00597DE2" w:rsidP="00B66784">
            <w:pPr>
              <w:tabs>
                <w:tab w:val="clear" w:pos="425"/>
              </w:tabs>
              <w:spacing w:after="0"/>
              <w:rPr>
                <w:rFonts w:eastAsiaTheme="majorEastAsia" w:cstheme="majorBidi"/>
                <w:color w:val="000000" w:themeColor="text1"/>
                <w:sz w:val="14"/>
                <w:szCs w:val="14"/>
              </w:rPr>
            </w:pPr>
          </w:p>
        </w:tc>
        <w:tc>
          <w:tcPr>
            <w:tcW w:w="3352" w:type="dxa"/>
          </w:tcPr>
          <w:p w14:paraId="6642D78A" w14:textId="77777777" w:rsidR="00597DE2" w:rsidRPr="00DC1A5F" w:rsidRDefault="00597DE2" w:rsidP="00B66784">
            <w:pPr>
              <w:tabs>
                <w:tab w:val="clear" w:pos="425"/>
              </w:tabs>
              <w:spacing w:after="0"/>
              <w:rPr>
                <w:rFonts w:eastAsiaTheme="majorEastAsia" w:cstheme="majorBidi"/>
                <w:color w:val="000000" w:themeColor="text1"/>
                <w:sz w:val="14"/>
                <w:szCs w:val="14"/>
              </w:rPr>
            </w:pPr>
          </w:p>
          <w:p w14:paraId="2D53BE06"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(81)</w:t>
            </w:r>
          </w:p>
          <w:p w14:paraId="00ADAD72"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(82)</w:t>
            </w:r>
          </w:p>
          <w:p w14:paraId="21E3A9E9"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(83) = (9) – (13)</w:t>
            </w:r>
          </w:p>
          <w:p w14:paraId="35FA0BAA"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(84)</w:t>
            </w:r>
          </w:p>
          <w:p w14:paraId="549E4AB1"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(85)</w:t>
            </w:r>
          </w:p>
          <w:p w14:paraId="57A446DC"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          (</w:t>
            </w:r>
            <w:r w:rsidRPr="00DC1A5F">
              <w:rPr>
                <w:rFonts w:eastAsiaTheme="majorEastAsia" w:cstheme="majorBidi"/>
                <w:smallCaps/>
                <w:sz w:val="14"/>
                <w:szCs w:val="8"/>
              </w:rPr>
              <w:t>Imp</w:t>
            </w:r>
            <w:r w:rsidRPr="00DC1A5F">
              <w:rPr>
                <w:rFonts w:eastAsiaTheme="majorEastAsia" w:cstheme="majorBidi"/>
                <w:color w:val="000000" w:themeColor="text1"/>
                <w:sz w:val="14"/>
                <w:szCs w:val="14"/>
              </w:rPr>
              <w:t>.)</w:t>
            </w:r>
          </w:p>
        </w:tc>
      </w:tr>
      <w:tr w:rsidR="00597DE2" w:rsidRPr="00DC1A5F" w14:paraId="2E5BB8DD" w14:textId="77777777" w:rsidTr="00B66784">
        <w:tc>
          <w:tcPr>
            <w:tcW w:w="3351" w:type="dxa"/>
          </w:tcPr>
          <w:p w14:paraId="1AD11E41"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(62)</w:t>
            </w:r>
          </w:p>
          <w:p w14:paraId="63826313"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(63)</w:t>
            </w:r>
          </w:p>
          <w:p w14:paraId="1C1FCA56"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(64) = (14) – (17)</w:t>
            </w:r>
          </w:p>
          <w:p w14:paraId="0AA21771"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(65)</w:t>
            </w:r>
          </w:p>
          <w:p w14:paraId="076A077F"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(R. L. D. Existencia)</w:t>
            </w:r>
          </w:p>
        </w:tc>
        <w:tc>
          <w:tcPr>
            <w:tcW w:w="3352" w:type="dxa"/>
          </w:tcPr>
          <w:p w14:paraId="09AE4485"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(86)</w:t>
            </w:r>
          </w:p>
          <w:p w14:paraId="7D874A53"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(87)</w:t>
            </w:r>
          </w:p>
          <w:p w14:paraId="4A3B5234"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(88) = (14) – (17)</w:t>
            </w:r>
          </w:p>
          <w:p w14:paraId="60CD7F10"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(89)</w:t>
            </w:r>
          </w:p>
          <w:p w14:paraId="4690716A"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(IMP.)</w:t>
            </w:r>
          </w:p>
        </w:tc>
      </w:tr>
      <w:tr w:rsidR="00597DE2" w:rsidRPr="00DC1A5F" w14:paraId="5EC5E1BE" w14:textId="77777777" w:rsidTr="00B66784">
        <w:tc>
          <w:tcPr>
            <w:tcW w:w="3351" w:type="dxa"/>
          </w:tcPr>
          <w:p w14:paraId="0FCFC975" w14:textId="77777777" w:rsidR="00597DE2" w:rsidRPr="00DC1A5F" w:rsidRDefault="00597DE2" w:rsidP="00B66784">
            <w:pPr>
              <w:tabs>
                <w:tab w:val="clear" w:pos="425"/>
              </w:tabs>
              <w:spacing w:after="0"/>
              <w:rPr>
                <w:rFonts w:eastAsiaTheme="majorEastAsia" w:cstheme="majorBidi"/>
                <w:color w:val="000000" w:themeColor="text1"/>
                <w:sz w:val="14"/>
                <w:szCs w:val="14"/>
              </w:rPr>
            </w:pPr>
          </w:p>
          <w:p w14:paraId="317058CF"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(66)  Momento de Fruición – Entrada a la corriente.</w:t>
            </w:r>
          </w:p>
          <w:p w14:paraId="3E0BC5BB"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(67)               </w:t>
            </w:r>
            <w:proofErr w:type="gramStart"/>
            <w:r w:rsidRPr="00DC1A5F">
              <w:rPr>
                <w:rFonts w:eastAsiaTheme="majorEastAsia" w:cstheme="majorBidi"/>
                <w:color w:val="000000" w:themeColor="text1"/>
                <w:sz w:val="14"/>
                <w:szCs w:val="14"/>
              </w:rPr>
              <w:t xml:space="preserve">   “</w:t>
            </w:r>
            <w:proofErr w:type="gramEnd"/>
            <w:r w:rsidRPr="00DC1A5F">
              <w:rPr>
                <w:rFonts w:eastAsiaTheme="majorEastAsia" w:cstheme="majorBidi"/>
                <w:color w:val="000000" w:themeColor="text1"/>
                <w:sz w:val="14"/>
                <w:szCs w:val="14"/>
              </w:rPr>
              <w:t xml:space="preserve">                    – Retorno por única vez.</w:t>
            </w:r>
          </w:p>
          <w:p w14:paraId="64AD6A2D"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(68)               </w:t>
            </w:r>
            <w:proofErr w:type="gramStart"/>
            <w:r w:rsidRPr="00DC1A5F">
              <w:rPr>
                <w:rFonts w:eastAsiaTheme="majorEastAsia" w:cstheme="majorBidi"/>
                <w:color w:val="000000" w:themeColor="text1"/>
                <w:sz w:val="14"/>
                <w:szCs w:val="14"/>
              </w:rPr>
              <w:t xml:space="preserve">   “</w:t>
            </w:r>
            <w:proofErr w:type="gramEnd"/>
            <w:r w:rsidRPr="00DC1A5F">
              <w:rPr>
                <w:rFonts w:eastAsiaTheme="majorEastAsia" w:cstheme="majorBidi"/>
                <w:color w:val="000000" w:themeColor="text1"/>
                <w:sz w:val="14"/>
                <w:szCs w:val="14"/>
              </w:rPr>
              <w:t xml:space="preserve">                    – No retorno.</w:t>
            </w:r>
          </w:p>
          <w:p w14:paraId="6BCF38FB" w14:textId="77777777" w:rsidR="00597DE2" w:rsidRPr="00DC1A5F" w:rsidRDefault="00597DE2" w:rsidP="00B66784">
            <w:pPr>
              <w:tabs>
                <w:tab w:val="clear" w:pos="425"/>
              </w:tabs>
              <w:spacing w:after="0"/>
              <w:rPr>
                <w:rFonts w:eastAsiaTheme="majorEastAsia" w:cstheme="majorBidi"/>
                <w:color w:val="000000" w:themeColor="text1"/>
                <w:sz w:val="14"/>
                <w:szCs w:val="14"/>
              </w:rPr>
            </w:pPr>
            <w:r w:rsidRPr="00DC1A5F">
              <w:rPr>
                <w:rFonts w:eastAsiaTheme="majorEastAsia" w:cstheme="majorBidi"/>
                <w:color w:val="000000" w:themeColor="text1"/>
                <w:sz w:val="14"/>
                <w:szCs w:val="14"/>
              </w:rPr>
              <w:t xml:space="preserve">(69)               </w:t>
            </w:r>
            <w:proofErr w:type="gramStart"/>
            <w:r w:rsidRPr="00DC1A5F">
              <w:rPr>
                <w:rFonts w:eastAsiaTheme="majorEastAsia" w:cstheme="majorBidi"/>
                <w:color w:val="000000" w:themeColor="text1"/>
                <w:sz w:val="14"/>
                <w:szCs w:val="14"/>
              </w:rPr>
              <w:t xml:space="preserve">   “</w:t>
            </w:r>
            <w:proofErr w:type="gramEnd"/>
            <w:r w:rsidRPr="00DC1A5F">
              <w:rPr>
                <w:rFonts w:eastAsiaTheme="majorEastAsia" w:cstheme="majorBidi"/>
                <w:color w:val="000000" w:themeColor="text1"/>
                <w:sz w:val="14"/>
                <w:szCs w:val="14"/>
              </w:rPr>
              <w:t xml:space="preserve">                    – </w:t>
            </w:r>
            <w:r w:rsidRPr="00A360CF">
              <w:rPr>
                <w:rFonts w:eastAsiaTheme="majorEastAsia" w:cstheme="majorBidi"/>
                <w:i/>
                <w:iCs/>
                <w:color w:val="000000" w:themeColor="text1"/>
                <w:sz w:val="14"/>
                <w:szCs w:val="14"/>
              </w:rPr>
              <w:t>Arahantía</w:t>
            </w:r>
            <w:r w:rsidRPr="00DC1A5F">
              <w:rPr>
                <w:rFonts w:eastAsiaTheme="majorEastAsia" w:cstheme="majorBidi"/>
                <w:color w:val="000000" w:themeColor="text1"/>
                <w:sz w:val="14"/>
                <w:szCs w:val="14"/>
              </w:rPr>
              <w:t>. (IMP.)</w:t>
            </w:r>
            <w:r w:rsidRPr="00DC1A5F">
              <w:rPr>
                <w:rFonts w:eastAsiaTheme="majorEastAsia" w:cstheme="majorBidi"/>
                <w:color w:val="000000" w:themeColor="text1"/>
                <w:sz w:val="14"/>
                <w:szCs w:val="14"/>
              </w:rPr>
              <w:tab/>
            </w:r>
          </w:p>
          <w:p w14:paraId="07C9DFF6" w14:textId="77777777" w:rsidR="00597DE2" w:rsidRPr="00DC1A5F" w:rsidRDefault="00597DE2" w:rsidP="00B66784">
            <w:pPr>
              <w:tabs>
                <w:tab w:val="clear" w:pos="425"/>
              </w:tabs>
              <w:spacing w:after="0"/>
              <w:rPr>
                <w:rFonts w:eastAsiaTheme="majorEastAsia" w:cstheme="majorBidi"/>
                <w:color w:val="000000" w:themeColor="text1"/>
                <w:sz w:val="14"/>
                <w:szCs w:val="14"/>
              </w:rPr>
            </w:pPr>
          </w:p>
        </w:tc>
        <w:tc>
          <w:tcPr>
            <w:tcW w:w="3352" w:type="dxa"/>
          </w:tcPr>
          <w:p w14:paraId="66A18DB2" w14:textId="77777777" w:rsidR="00597DE2" w:rsidRPr="00DC1A5F" w:rsidRDefault="00597DE2" w:rsidP="00B66784">
            <w:pPr>
              <w:tabs>
                <w:tab w:val="clear" w:pos="425"/>
              </w:tabs>
              <w:spacing w:after="0"/>
              <w:rPr>
                <w:rFonts w:eastAsiaTheme="majorEastAsia" w:cstheme="majorBidi"/>
                <w:color w:val="000000" w:themeColor="text1"/>
                <w:sz w:val="14"/>
                <w:szCs w:val="14"/>
              </w:rPr>
            </w:pPr>
          </w:p>
        </w:tc>
      </w:tr>
      <w:tr w:rsidR="00597DE2" w:rsidRPr="00DC1A5F" w14:paraId="7434EDC8" w14:textId="77777777" w:rsidTr="00B66784">
        <w:tc>
          <w:tcPr>
            <w:tcW w:w="3351" w:type="dxa"/>
          </w:tcPr>
          <w:p w14:paraId="68722E6E" w14:textId="77777777" w:rsidR="00597DE2" w:rsidRPr="00DC1A5F" w:rsidRDefault="00597DE2" w:rsidP="00B66784">
            <w:pPr>
              <w:tabs>
                <w:tab w:val="clear" w:pos="425"/>
              </w:tabs>
              <w:spacing w:after="0"/>
              <w:jc w:val="center"/>
              <w:rPr>
                <w:rFonts w:eastAsiaTheme="majorEastAsia" w:cstheme="majorBidi"/>
                <w:b/>
                <w:bCs/>
                <w:color w:val="000000" w:themeColor="text1"/>
                <w:sz w:val="16"/>
                <w:szCs w:val="16"/>
              </w:rPr>
            </w:pPr>
            <w:r w:rsidRPr="00DC1A5F">
              <w:rPr>
                <w:rFonts w:eastAsiaTheme="majorEastAsia" w:cstheme="majorBidi"/>
                <w:b/>
                <w:bCs/>
                <w:color w:val="000000" w:themeColor="text1"/>
                <w:sz w:val="16"/>
                <w:szCs w:val="16"/>
              </w:rPr>
              <w:t>Total de 36 tipos</w:t>
            </w:r>
          </w:p>
        </w:tc>
        <w:tc>
          <w:tcPr>
            <w:tcW w:w="3352" w:type="dxa"/>
          </w:tcPr>
          <w:p w14:paraId="7F6C2E30" w14:textId="77777777" w:rsidR="00597DE2" w:rsidRPr="00DC1A5F" w:rsidRDefault="00597DE2" w:rsidP="00B66784">
            <w:pPr>
              <w:tabs>
                <w:tab w:val="clear" w:pos="425"/>
              </w:tabs>
              <w:spacing w:after="0"/>
              <w:jc w:val="center"/>
              <w:rPr>
                <w:rFonts w:eastAsiaTheme="majorEastAsia" w:cstheme="majorBidi"/>
                <w:b/>
                <w:bCs/>
                <w:color w:val="000000" w:themeColor="text1"/>
                <w:sz w:val="16"/>
                <w:szCs w:val="16"/>
              </w:rPr>
            </w:pPr>
            <w:r w:rsidRPr="00DC1A5F">
              <w:rPr>
                <w:rFonts w:eastAsiaTheme="majorEastAsia" w:cstheme="majorBidi"/>
                <w:b/>
                <w:bCs/>
                <w:color w:val="000000" w:themeColor="text1"/>
                <w:sz w:val="16"/>
                <w:szCs w:val="16"/>
              </w:rPr>
              <w:t>Total de 20 tipos</w:t>
            </w:r>
          </w:p>
        </w:tc>
      </w:tr>
    </w:tbl>
    <w:p w14:paraId="2D9305B9" w14:textId="77777777" w:rsidR="00597DE2" w:rsidRPr="00DC1A5F" w:rsidRDefault="00597DE2" w:rsidP="00597DE2">
      <w:pPr>
        <w:tabs>
          <w:tab w:val="clear" w:pos="425"/>
        </w:tabs>
        <w:spacing w:after="160"/>
        <w:rPr>
          <w:rFonts w:eastAsiaTheme="majorEastAsia" w:cstheme="majorBidi"/>
          <w:smallCaps/>
          <w:color w:val="000000" w:themeColor="text1"/>
          <w:sz w:val="24"/>
          <w:szCs w:val="26"/>
        </w:rPr>
      </w:pPr>
    </w:p>
    <w:p w14:paraId="7C4F4B9E" w14:textId="77777777" w:rsidR="00597DE2" w:rsidRPr="00DC1A5F" w:rsidRDefault="00597DE2" w:rsidP="00597DE2">
      <w:pPr>
        <w:pStyle w:val="PiedepginaLegal"/>
        <w:rPr>
          <w:u w:val="single"/>
        </w:rPr>
      </w:pPr>
      <w:r w:rsidRPr="00DC1A5F">
        <w:rPr>
          <w:u w:val="single"/>
        </w:rPr>
        <w:t xml:space="preserve">           </w:t>
      </w:r>
      <w:r w:rsidRPr="00DC1A5F">
        <w:rPr>
          <w:u w:val="single"/>
        </w:rPr>
        <w:tab/>
      </w:r>
      <w:r w:rsidRPr="00DC1A5F">
        <w:rPr>
          <w:u w:val="single"/>
        </w:rPr>
        <w:tab/>
        <w:t>.</w:t>
      </w:r>
    </w:p>
    <w:p w14:paraId="0914DC32" w14:textId="77777777" w:rsidR="00597DE2" w:rsidRPr="00DC1A5F" w:rsidRDefault="00597DE2" w:rsidP="00597DE2">
      <w:pPr>
        <w:pStyle w:val="PiedepginaLegal"/>
      </w:pPr>
      <w:r w:rsidRPr="00DC1A5F">
        <w:t xml:space="preserve">Elemento de </w:t>
      </w:r>
      <w:r>
        <w:t xml:space="preserve">la </w:t>
      </w:r>
      <w:r w:rsidRPr="00DC1A5F">
        <w:t xml:space="preserve">consciencia: (34)–(38) y (50)–(54), </w:t>
      </w:r>
      <w:r>
        <w:t>10</w:t>
      </w:r>
      <w:r w:rsidRPr="00DC1A5F">
        <w:t xml:space="preserve"> tipos.</w:t>
      </w:r>
    </w:p>
    <w:p w14:paraId="00501DF2" w14:textId="77777777" w:rsidR="00597DE2" w:rsidRPr="00DC1A5F" w:rsidRDefault="00597DE2" w:rsidP="00597DE2">
      <w:pPr>
        <w:pStyle w:val="PiedepginaLegal"/>
      </w:pPr>
      <w:r w:rsidRPr="00DC1A5F">
        <w:t xml:space="preserve">Elemento mental: (39), (55), (70), </w:t>
      </w:r>
      <w:r>
        <w:t>3</w:t>
      </w:r>
      <w:r w:rsidRPr="00DC1A5F">
        <w:t xml:space="preserve"> tipos.</w:t>
      </w:r>
    </w:p>
    <w:p w14:paraId="1C996DBC" w14:textId="77777777" w:rsidR="00597DE2" w:rsidRPr="00DC1A5F" w:rsidRDefault="00597DE2" w:rsidP="00597DE2">
      <w:pPr>
        <w:pStyle w:val="PiedepginaLegal"/>
      </w:pPr>
      <w:r w:rsidRPr="00DC1A5F">
        <w:rPr>
          <w:rFonts w:eastAsiaTheme="majorEastAsia" w:cstheme="majorBidi"/>
          <w:szCs w:val="14"/>
        </w:rPr>
        <w:t>Elemento–consciencia</w:t>
      </w:r>
      <w:r>
        <w:rPr>
          <w:rFonts w:eastAsiaTheme="majorEastAsia" w:cstheme="majorBidi"/>
          <w:szCs w:val="14"/>
        </w:rPr>
        <w:t xml:space="preserve"> mental</w:t>
      </w:r>
      <w:r w:rsidRPr="00DC1A5F">
        <w:t>: todo</w:t>
      </w:r>
      <w:r>
        <w:t>s</w:t>
      </w:r>
      <w:r w:rsidRPr="00DC1A5F">
        <w:t xml:space="preserve"> l</w:t>
      </w:r>
      <w:r>
        <w:t>os</w:t>
      </w:r>
      <w:r w:rsidRPr="00DC1A5F">
        <w:t xml:space="preserve"> rest</w:t>
      </w:r>
      <w:r>
        <w:t>antes</w:t>
      </w:r>
      <w:r w:rsidRPr="00DC1A5F">
        <w:t xml:space="preserve">, </w:t>
      </w:r>
      <w:r>
        <w:t xml:space="preserve">76 </w:t>
      </w:r>
      <w:r w:rsidRPr="00DC1A5F">
        <w:t>clases.</w:t>
      </w:r>
    </w:p>
    <w:p w14:paraId="45138E34" w14:textId="77777777" w:rsidR="00597DE2" w:rsidRPr="00DC1A5F" w:rsidRDefault="00597DE2" w:rsidP="00597DE2">
      <w:pPr>
        <w:tabs>
          <w:tab w:val="clear" w:pos="425"/>
        </w:tabs>
        <w:spacing w:after="160"/>
      </w:pPr>
      <w:r w:rsidRPr="00DC1A5F">
        <w:br w:type="page"/>
      </w:r>
    </w:p>
    <w:p w14:paraId="1A433F01" w14:textId="77777777" w:rsidR="00597DE2" w:rsidRPr="00DC1A5F" w:rsidRDefault="00597DE2" w:rsidP="00597DE2">
      <w:pPr>
        <w:pStyle w:val="Ttulo2"/>
      </w:pPr>
      <w:bookmarkStart w:id="22" w:name="_Toc142334427"/>
      <w:r w:rsidRPr="00DC1A5F">
        <w:lastRenderedPageBreak/>
        <w:t xml:space="preserve">Tabla IV: La Combinación </w:t>
      </w:r>
      <w:r>
        <w:t>d</w:t>
      </w:r>
      <w:r w:rsidRPr="00DC1A5F">
        <w:t xml:space="preserve">el Agregado </w:t>
      </w:r>
      <w:r>
        <w:t>d</w:t>
      </w:r>
      <w:r w:rsidRPr="00DC1A5F">
        <w:t xml:space="preserve">e </w:t>
      </w:r>
      <w:r>
        <w:t xml:space="preserve">las </w:t>
      </w:r>
      <w:r w:rsidRPr="00DC1A5F">
        <w:t xml:space="preserve">Formaciones </w:t>
      </w:r>
      <w:r>
        <w:t>y</w:t>
      </w:r>
      <w:r w:rsidRPr="00DC1A5F">
        <w:t xml:space="preserve"> </w:t>
      </w:r>
      <w:r>
        <w:t>e</w:t>
      </w:r>
      <w:r w:rsidRPr="00DC1A5F">
        <w:t xml:space="preserve">l Agregado </w:t>
      </w:r>
      <w:r>
        <w:t>d</w:t>
      </w:r>
      <w:r w:rsidRPr="00DC1A5F">
        <w:t xml:space="preserve">e </w:t>
      </w:r>
      <w:r>
        <w:t xml:space="preserve">la </w:t>
      </w:r>
      <w:r w:rsidRPr="00DC1A5F">
        <w:t>Consciencia</w:t>
      </w:r>
      <w:r w:rsidRPr="00DC1A5F">
        <w:rPr>
          <w:vertAlign w:val="superscript"/>
        </w:rPr>
        <w:t>1</w:t>
      </w:r>
      <w:bookmarkEnd w:id="22"/>
    </w:p>
    <w:p w14:paraId="20D4C23C" w14:textId="77777777" w:rsidR="00597DE2" w:rsidRPr="00DC1A5F" w:rsidRDefault="00597DE2" w:rsidP="00597DE2">
      <w:pPr>
        <w:pStyle w:val="ParrafoApendice"/>
        <w:tabs>
          <w:tab w:val="clear" w:pos="425"/>
          <w:tab w:val="right" w:leader="dot" w:pos="1418"/>
          <w:tab w:val="left" w:pos="1701"/>
          <w:tab w:val="left" w:pos="1985"/>
        </w:tabs>
        <w:ind w:firstLine="0"/>
        <w:rPr>
          <w:b/>
          <w:bCs/>
          <w:sz w:val="14"/>
          <w:szCs w:val="14"/>
          <w:lang w:val="es-PE"/>
        </w:rPr>
      </w:pPr>
      <w:r w:rsidRPr="00DC1A5F">
        <w:rPr>
          <w:b/>
          <w:bCs/>
          <w:sz w:val="14"/>
          <w:szCs w:val="14"/>
          <w:lang w:val="es-PE"/>
        </w:rPr>
        <w:t>Productivo</w:t>
      </w:r>
    </w:p>
    <w:p w14:paraId="1D2C4C78"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(1)–(2) </w:t>
      </w:r>
      <w:r w:rsidRPr="00DC1A5F">
        <w:rPr>
          <w:sz w:val="12"/>
          <w:szCs w:val="12"/>
          <w:lang w:val="es-PE"/>
        </w:rPr>
        <w:tab/>
      </w:r>
      <w:r w:rsidRPr="00DC1A5F">
        <w:rPr>
          <w:sz w:val="12"/>
          <w:szCs w:val="12"/>
          <w:lang w:val="es-PE"/>
        </w:rPr>
        <w:tab/>
        <w:t xml:space="preserve"> 5 </w:t>
      </w:r>
      <w:r w:rsidRPr="00DC1A5F">
        <w:rPr>
          <w:sz w:val="12"/>
          <w:szCs w:val="12"/>
          <w:lang w:val="es-PE"/>
        </w:rPr>
        <w:tab/>
        <w:t xml:space="preserve">primarias más 6 secundarias </w:t>
      </w:r>
      <w:r w:rsidRPr="00DC1A5F">
        <w:rPr>
          <w:smallCaps/>
          <w:sz w:val="12"/>
          <w:szCs w:val="12"/>
          <w:lang w:val="es-PE"/>
        </w:rPr>
        <w:t>General</w:t>
      </w:r>
      <w:r w:rsidRPr="00DC1A5F">
        <w:rPr>
          <w:sz w:val="12"/>
          <w:szCs w:val="12"/>
          <w:lang w:val="es-PE"/>
        </w:rPr>
        <w:t xml:space="preserve">, más 19 primarias más 6 </w:t>
      </w:r>
    </w:p>
    <w:p w14:paraId="477E54CF"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 xml:space="preserve">secundarias </w:t>
      </w:r>
      <w:r w:rsidRPr="00DC1A5F">
        <w:rPr>
          <w:smallCaps/>
          <w:sz w:val="12"/>
          <w:szCs w:val="12"/>
          <w:lang w:val="es-PE"/>
        </w:rPr>
        <w:t>Hermosas</w:t>
      </w:r>
      <w:r w:rsidRPr="00DC1A5F">
        <w:rPr>
          <w:sz w:val="12"/>
          <w:szCs w:val="12"/>
          <w:lang w:val="es-PE"/>
        </w:rPr>
        <w:t xml:space="preserve"> =total 36</w:t>
      </w:r>
    </w:p>
    <w:p w14:paraId="54887266"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(3)–(4)</w:t>
      </w:r>
      <w:r w:rsidRPr="00DC1A5F">
        <w:rPr>
          <w:sz w:val="12"/>
          <w:szCs w:val="12"/>
          <w:lang w:val="es-PE"/>
        </w:rPr>
        <w:tab/>
      </w:r>
      <w:r w:rsidRPr="00DC1A5F">
        <w:rPr>
          <w:sz w:val="12"/>
          <w:szCs w:val="12"/>
          <w:lang w:val="es-PE"/>
        </w:rPr>
        <w:tab/>
        <w:t xml:space="preserve">5 </w:t>
      </w:r>
      <w:r w:rsidRPr="00DC1A5F">
        <w:rPr>
          <w:sz w:val="12"/>
          <w:szCs w:val="12"/>
          <w:lang w:val="es-PE"/>
        </w:rPr>
        <w:tab/>
        <w:t>prima. + 6 se</w:t>
      </w:r>
      <w:r>
        <w:rPr>
          <w:sz w:val="12"/>
          <w:szCs w:val="12"/>
          <w:lang w:val="es-PE"/>
        </w:rPr>
        <w:t>c</w:t>
      </w:r>
      <w:r w:rsidRPr="00DC1A5F">
        <w:rPr>
          <w:sz w:val="12"/>
          <w:szCs w:val="12"/>
          <w:lang w:val="es-PE"/>
        </w:rPr>
        <w:t xml:space="preserve">. GEN., + 19 </w:t>
      </w:r>
      <w:proofErr w:type="spellStart"/>
      <w:r w:rsidRPr="00DC1A5F">
        <w:rPr>
          <w:sz w:val="12"/>
          <w:szCs w:val="12"/>
          <w:lang w:val="es-PE"/>
        </w:rPr>
        <w:t>prim</w:t>
      </w:r>
      <w:proofErr w:type="spellEnd"/>
      <w:r w:rsidRPr="00DC1A5F">
        <w:rPr>
          <w:sz w:val="12"/>
          <w:szCs w:val="12"/>
          <w:lang w:val="es-PE"/>
        </w:rPr>
        <w:t xml:space="preserve">. + 5 </w:t>
      </w:r>
      <w:proofErr w:type="spellStart"/>
      <w:r w:rsidRPr="00DC1A5F">
        <w:rPr>
          <w:sz w:val="12"/>
          <w:szCs w:val="12"/>
          <w:lang w:val="es-PE"/>
        </w:rPr>
        <w:t>seg</w:t>
      </w:r>
      <w:proofErr w:type="spellEnd"/>
      <w:r w:rsidRPr="00DC1A5F">
        <w:rPr>
          <w:sz w:val="12"/>
          <w:szCs w:val="12"/>
          <w:lang w:val="es-PE"/>
        </w:rPr>
        <w:t xml:space="preserve">. (sin engaño) </w:t>
      </w:r>
      <w:r w:rsidRPr="00E509A0">
        <w:rPr>
          <w:smallCaps/>
          <w:sz w:val="12"/>
          <w:szCs w:val="12"/>
          <w:lang w:val="es-PE"/>
        </w:rPr>
        <w:t>Hermosas</w:t>
      </w:r>
      <w:r w:rsidRPr="00DC1A5F">
        <w:rPr>
          <w:sz w:val="12"/>
          <w:szCs w:val="12"/>
          <w:lang w:val="es-PE"/>
        </w:rPr>
        <w:t>. = 35</w:t>
      </w:r>
    </w:p>
    <w:p w14:paraId="11998DCC"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(5)–(6)</w:t>
      </w:r>
      <w:r w:rsidRPr="00DC1A5F">
        <w:rPr>
          <w:sz w:val="12"/>
          <w:szCs w:val="12"/>
          <w:lang w:val="es-PE"/>
        </w:rPr>
        <w:tab/>
      </w:r>
      <w:r w:rsidRPr="00DC1A5F">
        <w:rPr>
          <w:sz w:val="12"/>
          <w:szCs w:val="12"/>
          <w:lang w:val="es-PE"/>
        </w:rPr>
        <w:tab/>
        <w:t xml:space="preserve">5 </w:t>
      </w:r>
      <w:r w:rsidRPr="00DC1A5F">
        <w:rPr>
          <w:sz w:val="12"/>
          <w:szCs w:val="12"/>
          <w:lang w:val="es-PE"/>
        </w:rPr>
        <w:tab/>
        <w:t xml:space="preserve">p. + 5 s. (sin </w:t>
      </w:r>
      <w:r>
        <w:rPr>
          <w:sz w:val="12"/>
          <w:szCs w:val="12"/>
          <w:lang w:val="es-PE"/>
        </w:rPr>
        <w:t>felicidad</w:t>
      </w:r>
      <w:r w:rsidRPr="00DC1A5F">
        <w:rPr>
          <w:sz w:val="12"/>
          <w:szCs w:val="12"/>
          <w:lang w:val="es-PE"/>
        </w:rPr>
        <w:t xml:space="preserve">) GEN., + 19 p. + 6 s. </w:t>
      </w:r>
      <w:r w:rsidRPr="00E509A0">
        <w:rPr>
          <w:smallCaps/>
          <w:sz w:val="12"/>
          <w:szCs w:val="12"/>
          <w:lang w:val="es-PE"/>
        </w:rPr>
        <w:t>Hermosas</w:t>
      </w:r>
      <w:r w:rsidRPr="00DC1A5F">
        <w:rPr>
          <w:sz w:val="12"/>
          <w:szCs w:val="12"/>
          <w:lang w:val="es-PE"/>
        </w:rPr>
        <w:t>. = 35</w:t>
      </w:r>
    </w:p>
    <w:p w14:paraId="4AE17D50"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(7)–(8) </w:t>
      </w:r>
      <w:r w:rsidRPr="00DC1A5F">
        <w:rPr>
          <w:sz w:val="12"/>
          <w:szCs w:val="12"/>
          <w:lang w:val="es-PE"/>
        </w:rPr>
        <w:tab/>
      </w:r>
      <w:r w:rsidRPr="00DC1A5F">
        <w:rPr>
          <w:sz w:val="12"/>
          <w:szCs w:val="12"/>
          <w:lang w:val="es-PE"/>
        </w:rPr>
        <w:tab/>
        <w:t xml:space="preserve">5 </w:t>
      </w:r>
      <w:r w:rsidRPr="00DC1A5F">
        <w:rPr>
          <w:sz w:val="12"/>
          <w:szCs w:val="12"/>
          <w:lang w:val="es-PE"/>
        </w:rPr>
        <w:tab/>
        <w:t xml:space="preserve">p. + 5 s. (sin </w:t>
      </w:r>
      <w:r>
        <w:rPr>
          <w:sz w:val="12"/>
          <w:szCs w:val="12"/>
          <w:lang w:val="es-PE"/>
        </w:rPr>
        <w:t>felicidad</w:t>
      </w:r>
      <w:r w:rsidRPr="00DC1A5F">
        <w:rPr>
          <w:sz w:val="12"/>
          <w:szCs w:val="12"/>
          <w:lang w:val="es-PE"/>
        </w:rPr>
        <w:t xml:space="preserve">) GEN., + 19 p. + 5 s. (peso no engañoso) </w:t>
      </w:r>
      <w:r w:rsidRPr="00E509A0">
        <w:rPr>
          <w:smallCaps/>
          <w:sz w:val="12"/>
          <w:szCs w:val="12"/>
          <w:lang w:val="es-PE"/>
        </w:rPr>
        <w:t>Hermosas</w:t>
      </w:r>
      <w:r w:rsidRPr="00DC1A5F">
        <w:rPr>
          <w:sz w:val="12"/>
          <w:szCs w:val="12"/>
          <w:lang w:val="es-PE"/>
        </w:rPr>
        <w:t>. = 34</w:t>
      </w:r>
    </w:p>
    <w:p w14:paraId="4791345D"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(9) </w:t>
      </w:r>
      <w:r w:rsidRPr="00DC1A5F">
        <w:rPr>
          <w:sz w:val="12"/>
          <w:szCs w:val="12"/>
          <w:lang w:val="es-PE"/>
        </w:rPr>
        <w:tab/>
      </w:r>
      <w:r w:rsidRPr="00DC1A5F">
        <w:rPr>
          <w:sz w:val="12"/>
          <w:szCs w:val="12"/>
          <w:lang w:val="es-PE"/>
        </w:rPr>
        <w:tab/>
        <w:t xml:space="preserve">5 </w:t>
      </w:r>
      <w:r w:rsidRPr="00DC1A5F">
        <w:rPr>
          <w:sz w:val="12"/>
          <w:szCs w:val="12"/>
          <w:lang w:val="es-PE"/>
        </w:rPr>
        <w:tab/>
        <w:t xml:space="preserve">p. + 6 s. GEN., + 19 pág. + 3 s. (peso 3 abstinencias) </w:t>
      </w:r>
      <w:r w:rsidRPr="00E509A0">
        <w:rPr>
          <w:smallCaps/>
          <w:sz w:val="12"/>
          <w:szCs w:val="12"/>
          <w:lang w:val="es-PE"/>
        </w:rPr>
        <w:t>Hermosas</w:t>
      </w:r>
      <w:r w:rsidRPr="00DC1A5F">
        <w:rPr>
          <w:sz w:val="12"/>
          <w:szCs w:val="12"/>
          <w:lang w:val="es-PE"/>
        </w:rPr>
        <w:t>. = 33</w:t>
      </w:r>
    </w:p>
    <w:p w14:paraId="2892A682"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(10) </w:t>
      </w:r>
      <w:r w:rsidRPr="00DC1A5F">
        <w:rPr>
          <w:sz w:val="12"/>
          <w:szCs w:val="12"/>
          <w:lang w:val="es-PE"/>
        </w:rPr>
        <w:tab/>
      </w:r>
      <w:r w:rsidRPr="00DC1A5F">
        <w:rPr>
          <w:sz w:val="12"/>
          <w:szCs w:val="12"/>
          <w:lang w:val="es-PE"/>
        </w:rPr>
        <w:tab/>
        <w:t xml:space="preserve">5 </w:t>
      </w:r>
      <w:r w:rsidRPr="00DC1A5F">
        <w:rPr>
          <w:sz w:val="12"/>
          <w:szCs w:val="12"/>
          <w:lang w:val="es-PE"/>
        </w:rPr>
        <w:tab/>
        <w:t>p. + 5 s. (</w:t>
      </w:r>
      <w:r>
        <w:rPr>
          <w:sz w:val="12"/>
          <w:szCs w:val="12"/>
          <w:lang w:val="es-PE"/>
        </w:rPr>
        <w:t>c</w:t>
      </w:r>
      <w:r w:rsidRPr="00DC1A5F">
        <w:rPr>
          <w:sz w:val="12"/>
          <w:szCs w:val="12"/>
          <w:lang w:val="es-PE"/>
        </w:rPr>
        <w:t xml:space="preserve">. </w:t>
      </w:r>
      <w:r w:rsidRPr="00AE7A49">
        <w:rPr>
          <w:i/>
          <w:iCs/>
          <w:sz w:val="12"/>
          <w:szCs w:val="12"/>
          <w:lang w:val="es-PE"/>
        </w:rPr>
        <w:t>aplicación mental</w:t>
      </w:r>
      <w:r w:rsidRPr="00DC1A5F">
        <w:rPr>
          <w:sz w:val="12"/>
          <w:szCs w:val="12"/>
          <w:lang w:val="es-PE"/>
        </w:rPr>
        <w:t xml:space="preserve">) GEN., + 19 p. + 3 s. (peso 3 abstinencias) </w:t>
      </w:r>
      <w:r w:rsidRPr="00E509A0">
        <w:rPr>
          <w:smallCaps/>
          <w:sz w:val="12"/>
          <w:szCs w:val="12"/>
          <w:lang w:val="es-PE"/>
        </w:rPr>
        <w:t>Hermosas</w:t>
      </w:r>
      <w:r w:rsidRPr="00DC1A5F">
        <w:rPr>
          <w:sz w:val="12"/>
          <w:szCs w:val="12"/>
          <w:lang w:val="es-PE"/>
        </w:rPr>
        <w:t>. = 32</w:t>
      </w:r>
    </w:p>
    <w:p w14:paraId="1D0A9116"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(11) </w:t>
      </w:r>
      <w:r w:rsidRPr="00DC1A5F">
        <w:rPr>
          <w:sz w:val="12"/>
          <w:szCs w:val="12"/>
          <w:lang w:val="es-PE"/>
        </w:rPr>
        <w:tab/>
      </w:r>
      <w:r w:rsidRPr="00DC1A5F">
        <w:rPr>
          <w:sz w:val="12"/>
          <w:szCs w:val="12"/>
          <w:lang w:val="es-PE"/>
        </w:rPr>
        <w:tab/>
        <w:t xml:space="preserve">5 </w:t>
      </w:r>
      <w:r w:rsidRPr="00DC1A5F">
        <w:rPr>
          <w:sz w:val="12"/>
          <w:szCs w:val="12"/>
          <w:lang w:val="es-PE"/>
        </w:rPr>
        <w:tab/>
        <w:t>p. + 4 s. (</w:t>
      </w:r>
      <w:r>
        <w:rPr>
          <w:sz w:val="12"/>
          <w:szCs w:val="12"/>
          <w:lang w:val="es-PE"/>
        </w:rPr>
        <w:t>c</w:t>
      </w:r>
      <w:r w:rsidRPr="00DC1A5F">
        <w:rPr>
          <w:sz w:val="12"/>
          <w:szCs w:val="12"/>
          <w:lang w:val="es-PE"/>
        </w:rPr>
        <w:t xml:space="preserve">. </w:t>
      </w:r>
      <w:proofErr w:type="gramStart"/>
      <w:r w:rsidRPr="00AE7A49">
        <w:rPr>
          <w:i/>
          <w:iCs/>
          <w:sz w:val="12"/>
          <w:szCs w:val="12"/>
          <w:lang w:val="es-PE"/>
        </w:rPr>
        <w:t>aplicación mental y sustentación mental</w:t>
      </w:r>
      <w:proofErr w:type="gramEnd"/>
      <w:r w:rsidRPr="00DC1A5F">
        <w:rPr>
          <w:sz w:val="12"/>
          <w:szCs w:val="12"/>
          <w:lang w:val="es-PE"/>
        </w:rPr>
        <w:t xml:space="preserve">) </w:t>
      </w:r>
    </w:p>
    <w:p w14:paraId="396CB3E3"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GEN., + 19 p. + 3 s. (</w:t>
      </w:r>
      <w:r>
        <w:rPr>
          <w:sz w:val="12"/>
          <w:szCs w:val="12"/>
          <w:lang w:val="es-PE"/>
        </w:rPr>
        <w:t>con</w:t>
      </w:r>
      <w:r w:rsidRPr="00DC1A5F">
        <w:rPr>
          <w:sz w:val="12"/>
          <w:szCs w:val="12"/>
          <w:lang w:val="es-PE"/>
        </w:rPr>
        <w:t xml:space="preserve"> 3 abstinencias) </w:t>
      </w:r>
      <w:r w:rsidRPr="00E509A0">
        <w:rPr>
          <w:smallCaps/>
          <w:sz w:val="12"/>
          <w:szCs w:val="12"/>
          <w:lang w:val="es-PE"/>
        </w:rPr>
        <w:t>Hermosas</w:t>
      </w:r>
      <w:r w:rsidRPr="00DC1A5F">
        <w:rPr>
          <w:sz w:val="12"/>
          <w:szCs w:val="12"/>
          <w:lang w:val="es-PE"/>
        </w:rPr>
        <w:t>. = 31</w:t>
      </w:r>
    </w:p>
    <w:p w14:paraId="1A3DDC77"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(12) </w:t>
      </w:r>
      <w:r w:rsidRPr="00DC1A5F">
        <w:rPr>
          <w:sz w:val="12"/>
          <w:szCs w:val="12"/>
          <w:lang w:val="es-PE"/>
        </w:rPr>
        <w:tab/>
      </w:r>
      <w:r w:rsidRPr="00DC1A5F">
        <w:rPr>
          <w:sz w:val="12"/>
          <w:szCs w:val="12"/>
          <w:lang w:val="es-PE"/>
        </w:rPr>
        <w:tab/>
        <w:t xml:space="preserve">5 </w:t>
      </w:r>
      <w:r w:rsidRPr="00DC1A5F">
        <w:rPr>
          <w:sz w:val="12"/>
          <w:szCs w:val="12"/>
          <w:lang w:val="es-PE"/>
        </w:rPr>
        <w:tab/>
        <w:t>p. + 3 s. (</w:t>
      </w:r>
      <w:r>
        <w:rPr>
          <w:sz w:val="12"/>
          <w:szCs w:val="12"/>
          <w:lang w:val="es-PE"/>
        </w:rPr>
        <w:t>c</w:t>
      </w:r>
      <w:r w:rsidRPr="00AE7A49">
        <w:rPr>
          <w:i/>
          <w:iCs/>
          <w:sz w:val="12"/>
          <w:szCs w:val="12"/>
          <w:lang w:val="es-PE"/>
        </w:rPr>
        <w:t>. aplicación mental, sustentación mental y felicidad</w:t>
      </w:r>
      <w:r w:rsidRPr="00DC1A5F">
        <w:rPr>
          <w:sz w:val="12"/>
          <w:szCs w:val="12"/>
          <w:lang w:val="es-PE"/>
        </w:rPr>
        <w:t xml:space="preserve">) </w:t>
      </w:r>
    </w:p>
    <w:p w14:paraId="523F8244" w14:textId="77777777" w:rsidR="00597DE2" w:rsidRPr="00750537"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GEN., + 19 p. + 3 s. (</w:t>
      </w:r>
      <w:r>
        <w:rPr>
          <w:sz w:val="12"/>
          <w:szCs w:val="12"/>
          <w:lang w:val="es-PE"/>
        </w:rPr>
        <w:t xml:space="preserve">con </w:t>
      </w:r>
      <w:r w:rsidRPr="00DC1A5F">
        <w:rPr>
          <w:sz w:val="12"/>
          <w:szCs w:val="12"/>
          <w:lang w:val="es-PE"/>
        </w:rPr>
        <w:t xml:space="preserve">3 </w:t>
      </w:r>
      <w:r w:rsidRPr="00AE7A49">
        <w:rPr>
          <w:i/>
          <w:iCs/>
          <w:sz w:val="12"/>
          <w:szCs w:val="12"/>
          <w:lang w:val="es-PE"/>
        </w:rPr>
        <w:t>abstinencias</w:t>
      </w:r>
      <w:r w:rsidRPr="00DC1A5F">
        <w:rPr>
          <w:sz w:val="12"/>
          <w:szCs w:val="12"/>
          <w:lang w:val="es-PE"/>
        </w:rPr>
        <w:t xml:space="preserve">) </w:t>
      </w:r>
      <w:r w:rsidRPr="00E509A0">
        <w:rPr>
          <w:smallCaps/>
          <w:sz w:val="12"/>
          <w:szCs w:val="12"/>
          <w:lang w:val="es-PE"/>
        </w:rPr>
        <w:t>Hermosas</w:t>
      </w:r>
      <w:r w:rsidRPr="00DC1A5F">
        <w:rPr>
          <w:sz w:val="12"/>
          <w:szCs w:val="12"/>
          <w:lang w:val="es-PE"/>
        </w:rPr>
        <w:t xml:space="preserve">. </w:t>
      </w:r>
      <w:r w:rsidRPr="00750537">
        <w:rPr>
          <w:sz w:val="12"/>
          <w:szCs w:val="12"/>
          <w:lang w:val="es-PE"/>
        </w:rPr>
        <w:t>= 30</w:t>
      </w:r>
    </w:p>
    <w:p w14:paraId="69755E04"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76749C">
        <w:rPr>
          <w:sz w:val="12"/>
          <w:szCs w:val="12"/>
          <w:lang w:val="es-PE"/>
        </w:rPr>
        <w:t xml:space="preserve">(13)—(17) </w:t>
      </w:r>
      <w:r w:rsidRPr="0076749C">
        <w:rPr>
          <w:sz w:val="12"/>
          <w:szCs w:val="12"/>
          <w:lang w:val="es-PE"/>
        </w:rPr>
        <w:tab/>
      </w:r>
      <w:r w:rsidRPr="0076749C">
        <w:rPr>
          <w:sz w:val="12"/>
          <w:szCs w:val="12"/>
          <w:lang w:val="es-PE"/>
        </w:rPr>
        <w:tab/>
        <w:t xml:space="preserve">5 </w:t>
      </w:r>
      <w:r w:rsidRPr="0076749C">
        <w:rPr>
          <w:sz w:val="12"/>
          <w:szCs w:val="12"/>
          <w:lang w:val="es-PE"/>
        </w:rPr>
        <w:tab/>
        <w:t xml:space="preserve">p. + 3 s. (c </w:t>
      </w:r>
      <w:proofErr w:type="spellStart"/>
      <w:proofErr w:type="gramStart"/>
      <w:r w:rsidRPr="0076749C">
        <w:rPr>
          <w:sz w:val="12"/>
          <w:szCs w:val="12"/>
          <w:lang w:val="es-PE"/>
        </w:rPr>
        <w:t>apl</w:t>
      </w:r>
      <w:proofErr w:type="spellEnd"/>
      <w:r w:rsidRPr="0076749C">
        <w:rPr>
          <w:sz w:val="12"/>
          <w:szCs w:val="12"/>
          <w:lang w:val="es-PE"/>
        </w:rPr>
        <w:t>.–</w:t>
      </w:r>
      <w:proofErr w:type="gramEnd"/>
      <w:r w:rsidRPr="0076749C">
        <w:rPr>
          <w:sz w:val="12"/>
          <w:szCs w:val="12"/>
          <w:lang w:val="es-PE"/>
        </w:rPr>
        <w:t xml:space="preserve">mental., </w:t>
      </w:r>
      <w:proofErr w:type="spellStart"/>
      <w:r w:rsidRPr="0076749C">
        <w:rPr>
          <w:sz w:val="12"/>
          <w:szCs w:val="12"/>
          <w:lang w:val="es-PE"/>
        </w:rPr>
        <w:t>sust</w:t>
      </w:r>
      <w:proofErr w:type="spellEnd"/>
      <w:r w:rsidRPr="0076749C">
        <w:rPr>
          <w:sz w:val="12"/>
          <w:szCs w:val="12"/>
          <w:lang w:val="es-PE"/>
        </w:rPr>
        <w:t xml:space="preserve">.–mental., &amp; felicidad.) </w:t>
      </w:r>
      <w:r w:rsidRPr="00DC1A5F">
        <w:rPr>
          <w:sz w:val="12"/>
          <w:szCs w:val="12"/>
          <w:lang w:val="es-PE"/>
        </w:rPr>
        <w:t xml:space="preserve">GEN., + 19 p. + 1 s. </w:t>
      </w:r>
    </w:p>
    <w:p w14:paraId="56A4AE32"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w:t>
      </w:r>
      <w:r>
        <w:rPr>
          <w:sz w:val="12"/>
          <w:szCs w:val="12"/>
          <w:lang w:val="es-PE"/>
        </w:rPr>
        <w:t xml:space="preserve">con </w:t>
      </w:r>
      <w:r w:rsidRPr="00DC1A5F">
        <w:rPr>
          <w:sz w:val="12"/>
          <w:szCs w:val="12"/>
          <w:lang w:val="es-PE"/>
        </w:rPr>
        <w:t xml:space="preserve">3 </w:t>
      </w:r>
      <w:proofErr w:type="spellStart"/>
      <w:r w:rsidRPr="00AE7A49">
        <w:rPr>
          <w:i/>
          <w:iCs/>
          <w:sz w:val="12"/>
          <w:szCs w:val="12"/>
          <w:lang w:val="es-PE"/>
        </w:rPr>
        <w:t>abst</w:t>
      </w:r>
      <w:proofErr w:type="spellEnd"/>
      <w:r w:rsidRPr="00AE7A49">
        <w:rPr>
          <w:i/>
          <w:iCs/>
          <w:sz w:val="12"/>
          <w:szCs w:val="12"/>
          <w:lang w:val="es-PE"/>
        </w:rPr>
        <w:t>., compasión y alegría</w:t>
      </w:r>
      <w:r w:rsidRPr="00DC1A5F">
        <w:rPr>
          <w:sz w:val="12"/>
          <w:szCs w:val="12"/>
          <w:lang w:val="es-PE"/>
        </w:rPr>
        <w:t xml:space="preserve">) </w:t>
      </w:r>
      <w:r w:rsidRPr="00E509A0">
        <w:rPr>
          <w:smallCaps/>
          <w:sz w:val="12"/>
          <w:szCs w:val="12"/>
          <w:lang w:val="es-PE"/>
        </w:rPr>
        <w:t>Hermosas</w:t>
      </w:r>
      <w:r w:rsidRPr="00DC1A5F">
        <w:rPr>
          <w:sz w:val="12"/>
          <w:szCs w:val="12"/>
          <w:lang w:val="es-PE"/>
        </w:rPr>
        <w:t>. = 28</w:t>
      </w:r>
    </w:p>
    <w:p w14:paraId="06BB9FD7"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(18)—(21) </w:t>
      </w:r>
      <w:r w:rsidRPr="00DC1A5F">
        <w:rPr>
          <w:sz w:val="12"/>
          <w:szCs w:val="12"/>
          <w:lang w:val="es-PE"/>
        </w:rPr>
        <w:tab/>
      </w:r>
      <w:r w:rsidRPr="00DC1A5F">
        <w:rPr>
          <w:sz w:val="12"/>
          <w:szCs w:val="12"/>
          <w:lang w:val="es-PE"/>
        </w:rPr>
        <w:tab/>
        <w:t>Cualquier</w:t>
      </w:r>
      <w:r>
        <w:rPr>
          <w:sz w:val="12"/>
          <w:szCs w:val="12"/>
          <w:lang w:val="es-PE"/>
        </w:rPr>
        <w:t>a</w:t>
      </w:r>
      <w:r w:rsidRPr="00DC1A5F">
        <w:rPr>
          <w:sz w:val="12"/>
          <w:szCs w:val="12"/>
          <w:lang w:val="es-PE"/>
        </w:rPr>
        <w:t xml:space="preserve"> </w:t>
      </w:r>
      <w:proofErr w:type="gramStart"/>
      <w:r w:rsidRPr="00DC1A5F">
        <w:rPr>
          <w:sz w:val="12"/>
          <w:szCs w:val="12"/>
          <w:lang w:val="es-PE"/>
        </w:rPr>
        <w:t>=(</w:t>
      </w:r>
      <w:proofErr w:type="gramEnd"/>
      <w:r w:rsidRPr="00DC1A5F">
        <w:rPr>
          <w:sz w:val="12"/>
          <w:szCs w:val="12"/>
          <w:lang w:val="es-PE"/>
        </w:rPr>
        <w:t xml:space="preserve">9)–(13) 3 </w:t>
      </w:r>
      <w:r w:rsidRPr="00AE7A49">
        <w:rPr>
          <w:i/>
          <w:iCs/>
          <w:sz w:val="12"/>
          <w:szCs w:val="12"/>
          <w:lang w:val="es-PE"/>
        </w:rPr>
        <w:t>abstinencias presentes; compasión, alegría ausente</w:t>
      </w:r>
      <w:r w:rsidRPr="00DC1A5F">
        <w:rPr>
          <w:sz w:val="12"/>
          <w:szCs w:val="12"/>
          <w:lang w:val="es-PE"/>
        </w:rPr>
        <w:t>.</w:t>
      </w:r>
    </w:p>
    <w:p w14:paraId="66EFAF41" w14:textId="77777777" w:rsidR="00597DE2" w:rsidRPr="00DC1A5F" w:rsidRDefault="00597DE2" w:rsidP="00597DE2">
      <w:pPr>
        <w:pStyle w:val="ParrafoApendice"/>
        <w:tabs>
          <w:tab w:val="clear" w:pos="425"/>
          <w:tab w:val="right" w:leader="dot" w:pos="1418"/>
          <w:tab w:val="left" w:pos="1701"/>
          <w:tab w:val="left" w:pos="1985"/>
        </w:tabs>
        <w:ind w:firstLine="0"/>
        <w:rPr>
          <w:b/>
          <w:bCs/>
          <w:sz w:val="12"/>
          <w:szCs w:val="12"/>
          <w:lang w:val="es-PE"/>
        </w:rPr>
      </w:pPr>
    </w:p>
    <w:p w14:paraId="14233AA4" w14:textId="77777777" w:rsidR="00597DE2" w:rsidRPr="00DC1A5F" w:rsidRDefault="00597DE2" w:rsidP="00597DE2">
      <w:pPr>
        <w:pStyle w:val="ParrafoApendice"/>
        <w:tabs>
          <w:tab w:val="clear" w:pos="425"/>
          <w:tab w:val="right" w:leader="dot" w:pos="1418"/>
          <w:tab w:val="left" w:pos="1701"/>
          <w:tab w:val="left" w:pos="1985"/>
        </w:tabs>
        <w:ind w:firstLine="0"/>
        <w:rPr>
          <w:b/>
          <w:bCs/>
          <w:sz w:val="14"/>
          <w:szCs w:val="14"/>
          <w:lang w:val="es-PE"/>
        </w:rPr>
      </w:pPr>
      <w:r w:rsidRPr="00DC1A5F">
        <w:rPr>
          <w:b/>
          <w:bCs/>
          <w:sz w:val="14"/>
          <w:szCs w:val="14"/>
          <w:lang w:val="es-PE"/>
        </w:rPr>
        <w:t>Improductivo</w:t>
      </w:r>
    </w:p>
    <w:p w14:paraId="268D59E1"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(22) </w:t>
      </w:r>
      <w:r w:rsidRPr="00DC1A5F">
        <w:rPr>
          <w:sz w:val="12"/>
          <w:szCs w:val="12"/>
          <w:lang w:val="es-PE"/>
        </w:rPr>
        <w:tab/>
      </w:r>
      <w:r w:rsidRPr="00DC1A5F">
        <w:rPr>
          <w:sz w:val="12"/>
          <w:szCs w:val="12"/>
          <w:lang w:val="es-PE"/>
        </w:rPr>
        <w:tab/>
        <w:t xml:space="preserve">5 </w:t>
      </w:r>
      <w:r w:rsidRPr="00DC1A5F">
        <w:rPr>
          <w:sz w:val="12"/>
          <w:szCs w:val="12"/>
          <w:lang w:val="es-PE"/>
        </w:rPr>
        <w:tab/>
        <w:t xml:space="preserve">p. + 6 s. GEN., + 4 p. + 2 s. (avaricia </w:t>
      </w:r>
      <w:proofErr w:type="spellStart"/>
      <w:r w:rsidRPr="00DC1A5F">
        <w:rPr>
          <w:sz w:val="12"/>
          <w:szCs w:val="12"/>
          <w:lang w:val="es-PE"/>
        </w:rPr>
        <w:t>y</w:t>
      </w:r>
      <w:proofErr w:type="spellEnd"/>
      <w:r>
        <w:rPr>
          <w:sz w:val="12"/>
          <w:szCs w:val="12"/>
          <w:lang w:val="es-PE"/>
        </w:rPr>
        <w:t xml:space="preserve"> incorrectas</w:t>
      </w:r>
      <w:r w:rsidRPr="00DC1A5F">
        <w:rPr>
          <w:sz w:val="12"/>
          <w:szCs w:val="12"/>
          <w:lang w:val="es-PE"/>
        </w:rPr>
        <w:t xml:space="preserve">) </w:t>
      </w:r>
      <w:r w:rsidRPr="009E7622">
        <w:rPr>
          <w:sz w:val="10"/>
          <w:szCs w:val="10"/>
          <w:lang w:val="es-PE"/>
        </w:rPr>
        <w:t>I</w:t>
      </w:r>
      <w:r w:rsidRPr="009E7622">
        <w:rPr>
          <w:smallCaps/>
          <w:sz w:val="10"/>
          <w:szCs w:val="10"/>
          <w:lang w:val="es-PE"/>
        </w:rPr>
        <w:t>MPRODUCTIVOS</w:t>
      </w:r>
      <w:r w:rsidRPr="00DC1A5F">
        <w:rPr>
          <w:sz w:val="12"/>
          <w:szCs w:val="12"/>
          <w:lang w:val="es-PE"/>
        </w:rPr>
        <w:t xml:space="preserve"> = 17</w:t>
      </w:r>
    </w:p>
    <w:p w14:paraId="17BDDE57"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(23) </w:t>
      </w:r>
      <w:r w:rsidRPr="00DC1A5F">
        <w:rPr>
          <w:sz w:val="12"/>
          <w:szCs w:val="12"/>
          <w:lang w:val="es-PE"/>
        </w:rPr>
        <w:tab/>
      </w:r>
      <w:r w:rsidRPr="00DC1A5F">
        <w:rPr>
          <w:sz w:val="12"/>
          <w:szCs w:val="12"/>
          <w:lang w:val="es-PE"/>
        </w:rPr>
        <w:tab/>
        <w:t xml:space="preserve"> 5 </w:t>
      </w:r>
      <w:r w:rsidRPr="00DC1A5F">
        <w:rPr>
          <w:sz w:val="12"/>
          <w:szCs w:val="12"/>
          <w:lang w:val="es-PE"/>
        </w:rPr>
        <w:tab/>
        <w:t xml:space="preserve">p. + 6 s. GEN., + 4 p. + 4 s. (avaricia, </w:t>
      </w:r>
      <w:r>
        <w:rPr>
          <w:sz w:val="12"/>
          <w:szCs w:val="12"/>
          <w:lang w:val="es-PE"/>
        </w:rPr>
        <w:t>incorrectas</w:t>
      </w:r>
      <w:r w:rsidRPr="00DC1A5F">
        <w:rPr>
          <w:sz w:val="12"/>
          <w:szCs w:val="12"/>
          <w:lang w:val="es-PE"/>
        </w:rPr>
        <w:t xml:space="preserve"> y</w:t>
      </w:r>
      <w:r>
        <w:rPr>
          <w:sz w:val="12"/>
          <w:szCs w:val="12"/>
          <w:lang w:val="es-PE"/>
        </w:rPr>
        <w:t xml:space="preserve"> </w:t>
      </w:r>
      <w:r w:rsidRPr="00DC1A5F">
        <w:rPr>
          <w:sz w:val="12"/>
          <w:szCs w:val="12"/>
          <w:lang w:val="es-PE"/>
        </w:rPr>
        <w:t xml:space="preserve">a veces </w:t>
      </w:r>
    </w:p>
    <w:p w14:paraId="6A075BA9"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r>
      <w:r>
        <w:rPr>
          <w:sz w:val="12"/>
          <w:szCs w:val="12"/>
          <w:lang w:val="es-PE"/>
        </w:rPr>
        <w:t>cansancio</w:t>
      </w:r>
      <w:r w:rsidRPr="00DC1A5F">
        <w:rPr>
          <w:sz w:val="12"/>
          <w:szCs w:val="12"/>
          <w:lang w:val="es-PE"/>
        </w:rPr>
        <w:t xml:space="preserve"> y letargo) </w:t>
      </w:r>
      <w:r w:rsidRPr="009E7622">
        <w:rPr>
          <w:sz w:val="10"/>
          <w:szCs w:val="10"/>
          <w:lang w:val="es-PE"/>
        </w:rPr>
        <w:t>I</w:t>
      </w:r>
      <w:r w:rsidRPr="009E7622">
        <w:rPr>
          <w:smallCaps/>
          <w:sz w:val="10"/>
          <w:szCs w:val="10"/>
          <w:lang w:val="es-PE"/>
        </w:rPr>
        <w:t>MPRODUCTIVOS</w:t>
      </w:r>
      <w:r w:rsidRPr="00DC1A5F">
        <w:rPr>
          <w:sz w:val="12"/>
          <w:szCs w:val="12"/>
          <w:lang w:val="es-PE"/>
        </w:rPr>
        <w:t>. = 19</w:t>
      </w:r>
    </w:p>
    <w:p w14:paraId="37545B1B"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(24) </w:t>
      </w:r>
      <w:r w:rsidRPr="00DC1A5F">
        <w:rPr>
          <w:sz w:val="12"/>
          <w:szCs w:val="12"/>
          <w:lang w:val="es-PE"/>
        </w:rPr>
        <w:tab/>
      </w:r>
      <w:r w:rsidRPr="00DC1A5F">
        <w:rPr>
          <w:sz w:val="12"/>
          <w:szCs w:val="12"/>
          <w:lang w:val="es-PE"/>
        </w:rPr>
        <w:tab/>
        <w:t xml:space="preserve">5 </w:t>
      </w:r>
      <w:r w:rsidRPr="00DC1A5F">
        <w:rPr>
          <w:sz w:val="12"/>
          <w:szCs w:val="12"/>
          <w:lang w:val="es-PE"/>
        </w:rPr>
        <w:tab/>
        <w:t>págs. + 6 s. GEN., + 4 pág. + 2 s. (</w:t>
      </w:r>
      <w:r w:rsidRPr="000B2A53">
        <w:rPr>
          <w:i/>
          <w:iCs/>
          <w:sz w:val="12"/>
          <w:szCs w:val="12"/>
          <w:lang w:val="es-PE"/>
        </w:rPr>
        <w:t>avaricia ya veces presunción</w:t>
      </w:r>
      <w:r w:rsidRPr="00DC1A5F">
        <w:rPr>
          <w:sz w:val="12"/>
          <w:szCs w:val="12"/>
          <w:lang w:val="es-PE"/>
        </w:rPr>
        <w:t xml:space="preserve">) </w:t>
      </w:r>
      <w:r w:rsidRPr="009E7622">
        <w:rPr>
          <w:sz w:val="10"/>
          <w:szCs w:val="10"/>
          <w:lang w:val="es-PE"/>
        </w:rPr>
        <w:t>I</w:t>
      </w:r>
      <w:r w:rsidRPr="009E7622">
        <w:rPr>
          <w:smallCaps/>
          <w:sz w:val="10"/>
          <w:szCs w:val="10"/>
          <w:lang w:val="es-PE"/>
        </w:rPr>
        <w:t>MPRODUCTIVOS</w:t>
      </w:r>
      <w:r w:rsidRPr="009E7622">
        <w:rPr>
          <w:sz w:val="10"/>
          <w:szCs w:val="10"/>
          <w:lang w:val="es-PE"/>
        </w:rPr>
        <w:t xml:space="preserve"> </w:t>
      </w:r>
      <w:r w:rsidRPr="00DC1A5F">
        <w:rPr>
          <w:sz w:val="12"/>
          <w:szCs w:val="12"/>
          <w:lang w:val="es-PE"/>
        </w:rPr>
        <w:t>= 17</w:t>
      </w:r>
    </w:p>
    <w:p w14:paraId="3A37E630" w14:textId="77777777" w:rsidR="00597DE2" w:rsidRPr="000B2A53" w:rsidRDefault="00597DE2" w:rsidP="00597DE2">
      <w:pPr>
        <w:pStyle w:val="ParrafoApendice"/>
        <w:tabs>
          <w:tab w:val="clear" w:pos="425"/>
          <w:tab w:val="right" w:leader="dot" w:pos="1418"/>
          <w:tab w:val="left" w:pos="1701"/>
          <w:tab w:val="left" w:pos="1985"/>
        </w:tabs>
        <w:ind w:firstLine="0"/>
        <w:rPr>
          <w:i/>
          <w:iCs/>
          <w:sz w:val="12"/>
          <w:szCs w:val="12"/>
          <w:lang w:val="es-PE"/>
        </w:rPr>
      </w:pPr>
      <w:r w:rsidRPr="00DC1A5F">
        <w:rPr>
          <w:sz w:val="12"/>
          <w:szCs w:val="12"/>
          <w:lang w:val="es-PE"/>
        </w:rPr>
        <w:t xml:space="preserve">(25) </w:t>
      </w:r>
      <w:r w:rsidRPr="00DC1A5F">
        <w:rPr>
          <w:sz w:val="12"/>
          <w:szCs w:val="12"/>
          <w:lang w:val="es-PE"/>
        </w:rPr>
        <w:tab/>
      </w:r>
      <w:r w:rsidRPr="00DC1A5F">
        <w:rPr>
          <w:sz w:val="12"/>
          <w:szCs w:val="12"/>
          <w:lang w:val="es-PE"/>
        </w:rPr>
        <w:tab/>
        <w:t xml:space="preserve">5 </w:t>
      </w:r>
      <w:r w:rsidRPr="00DC1A5F">
        <w:rPr>
          <w:sz w:val="12"/>
          <w:szCs w:val="12"/>
          <w:lang w:val="es-PE"/>
        </w:rPr>
        <w:tab/>
        <w:t>págs. + 6 s. GEN.,</w:t>
      </w:r>
      <w:r>
        <w:rPr>
          <w:sz w:val="12"/>
          <w:szCs w:val="12"/>
          <w:lang w:val="es-PE"/>
        </w:rPr>
        <w:t xml:space="preserve"> </w:t>
      </w:r>
      <w:r w:rsidRPr="00DC1A5F">
        <w:rPr>
          <w:sz w:val="12"/>
          <w:szCs w:val="12"/>
          <w:lang w:val="es-PE"/>
        </w:rPr>
        <w:t>+ 4 pág. + 4 s. (</w:t>
      </w:r>
      <w:r w:rsidRPr="000B2A53">
        <w:rPr>
          <w:i/>
          <w:iCs/>
          <w:sz w:val="12"/>
          <w:szCs w:val="12"/>
          <w:lang w:val="es-PE"/>
        </w:rPr>
        <w:t>codicia y, a veces, rigidez, letargo y</w:t>
      </w:r>
    </w:p>
    <w:p w14:paraId="0D868EF1"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0B2A53">
        <w:rPr>
          <w:i/>
          <w:iCs/>
          <w:sz w:val="12"/>
          <w:szCs w:val="12"/>
          <w:lang w:val="es-PE"/>
        </w:rPr>
        <w:tab/>
      </w:r>
      <w:r w:rsidRPr="000B2A53">
        <w:rPr>
          <w:i/>
          <w:iCs/>
          <w:sz w:val="12"/>
          <w:szCs w:val="12"/>
          <w:lang w:val="es-PE"/>
        </w:rPr>
        <w:tab/>
      </w:r>
      <w:r w:rsidRPr="000B2A53">
        <w:rPr>
          <w:i/>
          <w:iCs/>
          <w:sz w:val="12"/>
          <w:szCs w:val="12"/>
          <w:lang w:val="es-PE"/>
        </w:rPr>
        <w:tab/>
        <w:t xml:space="preserve"> presunción</w:t>
      </w:r>
      <w:r w:rsidRPr="00DC1A5F">
        <w:rPr>
          <w:sz w:val="12"/>
          <w:szCs w:val="12"/>
          <w:lang w:val="es-PE"/>
        </w:rPr>
        <w:t xml:space="preserve">) </w:t>
      </w:r>
      <w:r w:rsidRPr="00DC1A5F">
        <w:rPr>
          <w:sz w:val="12"/>
          <w:szCs w:val="12"/>
          <w:lang w:val="es-PE"/>
        </w:rPr>
        <w:tab/>
      </w:r>
      <w:r w:rsidRPr="009E7622">
        <w:rPr>
          <w:sz w:val="10"/>
          <w:szCs w:val="10"/>
          <w:lang w:val="es-PE"/>
        </w:rPr>
        <w:t>I</w:t>
      </w:r>
      <w:r w:rsidRPr="009E7622">
        <w:rPr>
          <w:smallCaps/>
          <w:sz w:val="10"/>
          <w:szCs w:val="10"/>
          <w:lang w:val="es-PE"/>
        </w:rPr>
        <w:t>MPRODUCTIVOS</w:t>
      </w:r>
      <w:r w:rsidRPr="00DC1A5F">
        <w:rPr>
          <w:sz w:val="12"/>
          <w:szCs w:val="12"/>
          <w:lang w:val="es-PE"/>
        </w:rPr>
        <w:t>. = 19</w:t>
      </w:r>
    </w:p>
    <w:p w14:paraId="7E265C4F"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(26</w:t>
      </w:r>
      <w:r w:rsidRPr="00DC1A5F">
        <w:rPr>
          <w:sz w:val="12"/>
          <w:szCs w:val="12"/>
          <w:lang w:val="es-PE"/>
        </w:rPr>
        <w:tab/>
      </w:r>
      <w:r w:rsidRPr="00DC1A5F">
        <w:rPr>
          <w:sz w:val="12"/>
          <w:szCs w:val="12"/>
          <w:lang w:val="es-PE"/>
        </w:rPr>
        <w:tab/>
        <w:t xml:space="preserve">5 </w:t>
      </w:r>
      <w:r w:rsidRPr="00DC1A5F">
        <w:rPr>
          <w:sz w:val="12"/>
          <w:szCs w:val="12"/>
          <w:lang w:val="es-PE"/>
        </w:rPr>
        <w:tab/>
        <w:t>p. + 5 s. (</w:t>
      </w:r>
      <w:r>
        <w:rPr>
          <w:sz w:val="12"/>
          <w:szCs w:val="12"/>
          <w:lang w:val="es-PE"/>
        </w:rPr>
        <w:t>c</w:t>
      </w:r>
      <w:r w:rsidRPr="00DC1A5F">
        <w:rPr>
          <w:sz w:val="12"/>
          <w:szCs w:val="12"/>
          <w:lang w:val="es-PE"/>
        </w:rPr>
        <w:t xml:space="preserve">. felicidad) </w:t>
      </w:r>
      <w:r w:rsidRPr="00DC1A5F">
        <w:rPr>
          <w:smallCaps/>
          <w:sz w:val="12"/>
          <w:szCs w:val="12"/>
          <w:lang w:val="es-PE"/>
        </w:rPr>
        <w:t>Gen</w:t>
      </w:r>
      <w:r w:rsidRPr="00DC1A5F">
        <w:rPr>
          <w:sz w:val="12"/>
          <w:szCs w:val="12"/>
          <w:lang w:val="es-PE"/>
        </w:rPr>
        <w:t>., + 4 p. + 2 s. (</w:t>
      </w:r>
      <w:r w:rsidRPr="000B2A53">
        <w:rPr>
          <w:i/>
          <w:iCs/>
          <w:sz w:val="12"/>
          <w:szCs w:val="12"/>
          <w:lang w:val="es-PE"/>
        </w:rPr>
        <w:t>avaricia y punto de vista erróneo</w:t>
      </w:r>
      <w:r w:rsidRPr="00DC1A5F">
        <w:rPr>
          <w:sz w:val="12"/>
          <w:szCs w:val="12"/>
          <w:lang w:val="es-PE"/>
        </w:rPr>
        <w:t xml:space="preserve">) </w:t>
      </w:r>
      <w:r w:rsidRPr="009E7622">
        <w:rPr>
          <w:sz w:val="10"/>
          <w:szCs w:val="10"/>
          <w:lang w:val="es-PE"/>
        </w:rPr>
        <w:t>I</w:t>
      </w:r>
      <w:r w:rsidRPr="009E7622">
        <w:rPr>
          <w:smallCaps/>
          <w:sz w:val="10"/>
          <w:szCs w:val="10"/>
          <w:lang w:val="es-PE"/>
        </w:rPr>
        <w:t>MPRODUCTIVOS</w:t>
      </w:r>
      <w:r w:rsidRPr="009E7622">
        <w:rPr>
          <w:sz w:val="10"/>
          <w:szCs w:val="10"/>
          <w:lang w:val="es-PE"/>
        </w:rPr>
        <w:t xml:space="preserve"> </w:t>
      </w:r>
      <w:r w:rsidRPr="00DC1A5F">
        <w:rPr>
          <w:sz w:val="12"/>
          <w:szCs w:val="12"/>
          <w:lang w:val="es-PE"/>
        </w:rPr>
        <w:t>= 16</w:t>
      </w:r>
    </w:p>
    <w:p w14:paraId="20B03BB6" w14:textId="77777777" w:rsidR="00597DE2" w:rsidRPr="000B2A53" w:rsidRDefault="00597DE2" w:rsidP="00597DE2">
      <w:pPr>
        <w:pStyle w:val="ParrafoApendice"/>
        <w:tabs>
          <w:tab w:val="clear" w:pos="425"/>
          <w:tab w:val="right" w:leader="dot" w:pos="1418"/>
          <w:tab w:val="left" w:pos="1701"/>
          <w:tab w:val="left" w:pos="1985"/>
        </w:tabs>
        <w:ind w:firstLine="0"/>
        <w:rPr>
          <w:i/>
          <w:iCs/>
          <w:sz w:val="12"/>
          <w:szCs w:val="12"/>
          <w:lang w:val="es-PE"/>
        </w:rPr>
      </w:pPr>
      <w:r w:rsidRPr="00DC1A5F">
        <w:rPr>
          <w:sz w:val="12"/>
          <w:szCs w:val="12"/>
          <w:lang w:val="es-PE"/>
        </w:rPr>
        <w:t xml:space="preserve">(27) </w:t>
      </w:r>
      <w:r w:rsidRPr="00DC1A5F">
        <w:rPr>
          <w:sz w:val="12"/>
          <w:szCs w:val="12"/>
          <w:lang w:val="es-PE"/>
        </w:rPr>
        <w:tab/>
      </w:r>
      <w:r w:rsidRPr="00DC1A5F">
        <w:rPr>
          <w:sz w:val="12"/>
          <w:szCs w:val="12"/>
          <w:lang w:val="es-PE"/>
        </w:rPr>
        <w:tab/>
        <w:t xml:space="preserve">5 </w:t>
      </w:r>
      <w:r w:rsidRPr="00DC1A5F">
        <w:rPr>
          <w:sz w:val="12"/>
          <w:szCs w:val="12"/>
          <w:lang w:val="es-PE"/>
        </w:rPr>
        <w:tab/>
        <w:t>p. + 5 s. (</w:t>
      </w:r>
      <w:r>
        <w:rPr>
          <w:sz w:val="12"/>
          <w:szCs w:val="12"/>
          <w:lang w:val="es-PE"/>
        </w:rPr>
        <w:t>c</w:t>
      </w:r>
      <w:r w:rsidRPr="00DC1A5F">
        <w:rPr>
          <w:sz w:val="12"/>
          <w:szCs w:val="12"/>
          <w:lang w:val="es-PE"/>
        </w:rPr>
        <w:t xml:space="preserve">. felicidad) </w:t>
      </w:r>
      <w:r w:rsidRPr="00DC1A5F">
        <w:rPr>
          <w:smallCaps/>
          <w:sz w:val="12"/>
          <w:szCs w:val="12"/>
          <w:lang w:val="es-PE"/>
        </w:rPr>
        <w:t>Gen</w:t>
      </w:r>
      <w:r w:rsidRPr="00DC1A5F">
        <w:rPr>
          <w:sz w:val="12"/>
          <w:szCs w:val="12"/>
          <w:lang w:val="es-PE"/>
        </w:rPr>
        <w:t>., + 4 p. + 4 s. (</w:t>
      </w:r>
      <w:r w:rsidRPr="000B2A53">
        <w:rPr>
          <w:i/>
          <w:iCs/>
          <w:sz w:val="12"/>
          <w:szCs w:val="12"/>
          <w:lang w:val="es-PE"/>
        </w:rPr>
        <w:t>avaricia y visión equivocada</w:t>
      </w:r>
    </w:p>
    <w:p w14:paraId="23EF7615"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0B2A53">
        <w:rPr>
          <w:i/>
          <w:iCs/>
          <w:sz w:val="12"/>
          <w:szCs w:val="12"/>
          <w:lang w:val="es-PE"/>
        </w:rPr>
        <w:tab/>
      </w:r>
      <w:r w:rsidRPr="000B2A53">
        <w:rPr>
          <w:i/>
          <w:iCs/>
          <w:sz w:val="12"/>
          <w:szCs w:val="12"/>
          <w:lang w:val="es-PE"/>
        </w:rPr>
        <w:tab/>
      </w:r>
      <w:r w:rsidRPr="000B2A53">
        <w:rPr>
          <w:i/>
          <w:iCs/>
          <w:sz w:val="12"/>
          <w:szCs w:val="12"/>
          <w:lang w:val="es-PE"/>
        </w:rPr>
        <w:tab/>
        <w:t xml:space="preserve"> ya veces rigidez y letargo</w:t>
      </w:r>
      <w:r w:rsidRPr="00DC1A5F">
        <w:rPr>
          <w:sz w:val="12"/>
          <w:szCs w:val="12"/>
          <w:lang w:val="es-PE"/>
        </w:rPr>
        <w:t xml:space="preserve">) </w:t>
      </w:r>
      <w:r w:rsidRPr="009E7622">
        <w:rPr>
          <w:sz w:val="10"/>
          <w:szCs w:val="10"/>
          <w:lang w:val="es-PE"/>
        </w:rPr>
        <w:t>I</w:t>
      </w:r>
      <w:r w:rsidRPr="009E7622">
        <w:rPr>
          <w:smallCaps/>
          <w:sz w:val="10"/>
          <w:szCs w:val="10"/>
          <w:lang w:val="es-PE"/>
        </w:rPr>
        <w:t>MPRODUCTIVOS</w:t>
      </w:r>
      <w:r w:rsidRPr="00DC1A5F">
        <w:rPr>
          <w:sz w:val="12"/>
          <w:szCs w:val="12"/>
          <w:lang w:val="es-PE"/>
        </w:rPr>
        <w:t xml:space="preserve"> = 18</w:t>
      </w:r>
    </w:p>
    <w:p w14:paraId="3491C99D"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(28) </w:t>
      </w:r>
      <w:r w:rsidRPr="00DC1A5F">
        <w:rPr>
          <w:sz w:val="12"/>
          <w:szCs w:val="12"/>
          <w:lang w:val="es-PE"/>
        </w:rPr>
        <w:tab/>
      </w:r>
      <w:r w:rsidRPr="00DC1A5F">
        <w:rPr>
          <w:sz w:val="12"/>
          <w:szCs w:val="12"/>
          <w:lang w:val="es-PE"/>
        </w:rPr>
        <w:tab/>
        <w:t xml:space="preserve">5 </w:t>
      </w:r>
      <w:r w:rsidRPr="00DC1A5F">
        <w:rPr>
          <w:sz w:val="12"/>
          <w:szCs w:val="12"/>
          <w:lang w:val="es-PE"/>
        </w:rPr>
        <w:tab/>
        <w:t>págs. + 5 s. (</w:t>
      </w:r>
      <w:r>
        <w:rPr>
          <w:sz w:val="12"/>
          <w:szCs w:val="12"/>
          <w:lang w:val="es-PE"/>
        </w:rPr>
        <w:t>c</w:t>
      </w:r>
      <w:r w:rsidRPr="00DC1A5F">
        <w:rPr>
          <w:sz w:val="12"/>
          <w:szCs w:val="12"/>
          <w:lang w:val="es-PE"/>
        </w:rPr>
        <w:t xml:space="preserve">. </w:t>
      </w:r>
      <w:r w:rsidRPr="000B2A53">
        <w:rPr>
          <w:i/>
          <w:iCs/>
          <w:sz w:val="12"/>
          <w:szCs w:val="12"/>
          <w:lang w:val="es-PE"/>
        </w:rPr>
        <w:t>felicidad</w:t>
      </w:r>
      <w:r w:rsidRPr="00DC1A5F">
        <w:rPr>
          <w:sz w:val="12"/>
          <w:szCs w:val="12"/>
          <w:lang w:val="es-PE"/>
        </w:rPr>
        <w:t xml:space="preserve">) </w:t>
      </w:r>
      <w:r w:rsidRPr="00DC1A5F">
        <w:rPr>
          <w:smallCaps/>
          <w:sz w:val="12"/>
          <w:szCs w:val="12"/>
          <w:lang w:val="es-PE"/>
        </w:rPr>
        <w:t>Gen</w:t>
      </w:r>
      <w:r w:rsidRPr="00DC1A5F">
        <w:rPr>
          <w:sz w:val="12"/>
          <w:szCs w:val="12"/>
          <w:lang w:val="es-PE"/>
        </w:rPr>
        <w:t>., + 4 p. + 2 s. (</w:t>
      </w:r>
      <w:r w:rsidRPr="000B2A53">
        <w:rPr>
          <w:i/>
          <w:iCs/>
          <w:sz w:val="12"/>
          <w:szCs w:val="12"/>
          <w:lang w:val="es-PE"/>
        </w:rPr>
        <w:t>avaricia y, a veces,</w:t>
      </w:r>
      <w:r w:rsidRPr="00DC1A5F">
        <w:rPr>
          <w:sz w:val="12"/>
          <w:szCs w:val="12"/>
          <w:lang w:val="es-PE"/>
        </w:rPr>
        <w:t xml:space="preserve"> </w:t>
      </w:r>
    </w:p>
    <w:p w14:paraId="57F05889"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r>
      <w:r w:rsidRPr="000B2A53">
        <w:rPr>
          <w:i/>
          <w:iCs/>
          <w:sz w:val="12"/>
          <w:szCs w:val="12"/>
          <w:lang w:val="es-PE"/>
        </w:rPr>
        <w:t>presunción</w:t>
      </w:r>
      <w:r w:rsidRPr="00DC1A5F">
        <w:rPr>
          <w:sz w:val="12"/>
          <w:szCs w:val="12"/>
          <w:lang w:val="es-PE"/>
        </w:rPr>
        <w:t xml:space="preserve">) </w:t>
      </w:r>
      <w:r w:rsidRPr="009E7622">
        <w:rPr>
          <w:sz w:val="10"/>
          <w:szCs w:val="10"/>
          <w:lang w:val="es-PE"/>
        </w:rPr>
        <w:t>I</w:t>
      </w:r>
      <w:r w:rsidRPr="009E7622">
        <w:rPr>
          <w:smallCaps/>
          <w:sz w:val="10"/>
          <w:szCs w:val="10"/>
          <w:lang w:val="es-PE"/>
        </w:rPr>
        <w:t>MPRODUCTIVOS</w:t>
      </w:r>
      <w:r>
        <w:rPr>
          <w:smallCaps/>
          <w:sz w:val="10"/>
          <w:szCs w:val="10"/>
          <w:lang w:val="es-PE"/>
        </w:rPr>
        <w:t xml:space="preserve"> </w:t>
      </w:r>
      <w:r w:rsidRPr="00DC1A5F">
        <w:rPr>
          <w:sz w:val="12"/>
          <w:szCs w:val="12"/>
          <w:lang w:val="es-PE"/>
        </w:rPr>
        <w:t>=16</w:t>
      </w:r>
    </w:p>
    <w:p w14:paraId="3A816B11"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(29) </w:t>
      </w:r>
      <w:r w:rsidRPr="00DC1A5F">
        <w:rPr>
          <w:sz w:val="12"/>
          <w:szCs w:val="12"/>
          <w:lang w:val="es-PE"/>
        </w:rPr>
        <w:tab/>
      </w:r>
      <w:r w:rsidRPr="00DC1A5F">
        <w:rPr>
          <w:sz w:val="12"/>
          <w:szCs w:val="12"/>
          <w:lang w:val="es-PE"/>
        </w:rPr>
        <w:tab/>
        <w:t xml:space="preserve">5 </w:t>
      </w:r>
      <w:r w:rsidRPr="00DC1A5F">
        <w:rPr>
          <w:sz w:val="12"/>
          <w:szCs w:val="12"/>
          <w:lang w:val="es-PE"/>
        </w:rPr>
        <w:tab/>
        <w:t>págs. + 5 s. (</w:t>
      </w:r>
      <w:r>
        <w:rPr>
          <w:sz w:val="12"/>
          <w:szCs w:val="12"/>
          <w:lang w:val="es-PE"/>
        </w:rPr>
        <w:t>c</w:t>
      </w:r>
      <w:r w:rsidRPr="00DC1A5F">
        <w:rPr>
          <w:sz w:val="12"/>
          <w:szCs w:val="12"/>
          <w:lang w:val="es-PE"/>
        </w:rPr>
        <w:t xml:space="preserve">. </w:t>
      </w:r>
      <w:r w:rsidRPr="000B2A53">
        <w:rPr>
          <w:i/>
          <w:iCs/>
          <w:sz w:val="12"/>
          <w:szCs w:val="12"/>
          <w:lang w:val="es-PE"/>
        </w:rPr>
        <w:t>felicidad</w:t>
      </w:r>
      <w:r w:rsidRPr="00DC1A5F">
        <w:rPr>
          <w:sz w:val="12"/>
          <w:szCs w:val="12"/>
          <w:lang w:val="es-PE"/>
        </w:rPr>
        <w:t xml:space="preserve">) </w:t>
      </w:r>
      <w:r w:rsidRPr="00DC1A5F">
        <w:rPr>
          <w:smallCaps/>
          <w:sz w:val="12"/>
          <w:szCs w:val="12"/>
          <w:lang w:val="es-PE"/>
        </w:rPr>
        <w:t>Gen</w:t>
      </w:r>
      <w:r w:rsidRPr="00DC1A5F">
        <w:rPr>
          <w:sz w:val="12"/>
          <w:szCs w:val="12"/>
          <w:lang w:val="es-PE"/>
        </w:rPr>
        <w:t xml:space="preserve">., + 4 p. + 4 s. (codicia y rigidez y letargo </w:t>
      </w:r>
    </w:p>
    <w:p w14:paraId="11F54937"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 xml:space="preserve">y presunción) </w:t>
      </w:r>
      <w:r w:rsidRPr="009E7622">
        <w:rPr>
          <w:sz w:val="10"/>
          <w:szCs w:val="10"/>
          <w:lang w:val="es-PE"/>
        </w:rPr>
        <w:t>I</w:t>
      </w:r>
      <w:r w:rsidRPr="009E7622">
        <w:rPr>
          <w:smallCaps/>
          <w:sz w:val="10"/>
          <w:szCs w:val="10"/>
          <w:lang w:val="es-PE"/>
        </w:rPr>
        <w:t>MPRODUCTIVOS</w:t>
      </w:r>
      <w:r w:rsidRPr="009E7622">
        <w:rPr>
          <w:sz w:val="10"/>
          <w:szCs w:val="10"/>
          <w:lang w:val="es-PE"/>
        </w:rPr>
        <w:t xml:space="preserve"> </w:t>
      </w:r>
      <w:r w:rsidRPr="00DC1A5F">
        <w:rPr>
          <w:sz w:val="12"/>
          <w:szCs w:val="12"/>
          <w:lang w:val="es-PE"/>
        </w:rPr>
        <w:t>= 18</w:t>
      </w:r>
    </w:p>
    <w:p w14:paraId="0A0674E3"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(30) </w:t>
      </w:r>
      <w:r w:rsidRPr="00DC1A5F">
        <w:rPr>
          <w:sz w:val="12"/>
          <w:szCs w:val="12"/>
          <w:lang w:val="es-PE"/>
        </w:rPr>
        <w:tab/>
      </w:r>
      <w:r w:rsidRPr="00DC1A5F">
        <w:rPr>
          <w:sz w:val="12"/>
          <w:szCs w:val="12"/>
          <w:lang w:val="es-PE"/>
        </w:rPr>
        <w:tab/>
        <w:t xml:space="preserve">5 </w:t>
      </w:r>
      <w:r w:rsidRPr="00DC1A5F">
        <w:rPr>
          <w:sz w:val="12"/>
          <w:szCs w:val="12"/>
          <w:lang w:val="es-PE"/>
        </w:rPr>
        <w:tab/>
        <w:t>págs. + 5 s. (</w:t>
      </w:r>
      <w:r>
        <w:rPr>
          <w:sz w:val="12"/>
          <w:szCs w:val="12"/>
          <w:lang w:val="es-PE"/>
        </w:rPr>
        <w:t>c</w:t>
      </w:r>
      <w:r w:rsidRPr="00DC1A5F">
        <w:rPr>
          <w:sz w:val="12"/>
          <w:szCs w:val="12"/>
          <w:lang w:val="es-PE"/>
        </w:rPr>
        <w:t xml:space="preserve">. </w:t>
      </w:r>
      <w:r w:rsidRPr="00576FBD">
        <w:rPr>
          <w:i/>
          <w:iCs/>
          <w:sz w:val="12"/>
          <w:szCs w:val="12"/>
          <w:lang w:val="es-PE"/>
        </w:rPr>
        <w:t>felicidad</w:t>
      </w:r>
      <w:r w:rsidRPr="000B2A53">
        <w:rPr>
          <w:sz w:val="12"/>
          <w:szCs w:val="12"/>
          <w:lang w:val="es-PE"/>
        </w:rPr>
        <w:t>)</w:t>
      </w:r>
      <w:r w:rsidRPr="00DC1A5F">
        <w:rPr>
          <w:sz w:val="12"/>
          <w:szCs w:val="12"/>
          <w:lang w:val="es-PE"/>
        </w:rPr>
        <w:t xml:space="preserve">, </w:t>
      </w:r>
      <w:r w:rsidRPr="00DC1A5F">
        <w:rPr>
          <w:smallCaps/>
          <w:sz w:val="12"/>
          <w:szCs w:val="12"/>
          <w:lang w:val="es-PE"/>
        </w:rPr>
        <w:t>Gen</w:t>
      </w:r>
      <w:r w:rsidRPr="00DC1A5F">
        <w:rPr>
          <w:sz w:val="12"/>
          <w:szCs w:val="12"/>
          <w:lang w:val="es-PE"/>
        </w:rPr>
        <w:t>., + 4 p. + 4 s. (</w:t>
      </w:r>
      <w:r w:rsidRPr="00576FBD">
        <w:rPr>
          <w:i/>
          <w:iCs/>
          <w:sz w:val="12"/>
          <w:szCs w:val="12"/>
          <w:lang w:val="es-PE"/>
        </w:rPr>
        <w:t>odio &amp; envidia &amp; avaricia</w:t>
      </w:r>
      <w:r w:rsidRPr="00DC1A5F">
        <w:rPr>
          <w:sz w:val="12"/>
          <w:szCs w:val="12"/>
          <w:lang w:val="es-PE"/>
        </w:rPr>
        <w:t xml:space="preserve"> </w:t>
      </w:r>
    </w:p>
    <w:p w14:paraId="34BEDAE5"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 xml:space="preserve">&amp; </w:t>
      </w:r>
      <w:r w:rsidRPr="00576FBD">
        <w:rPr>
          <w:i/>
          <w:iCs/>
          <w:sz w:val="12"/>
          <w:szCs w:val="12"/>
          <w:lang w:val="es-PE"/>
        </w:rPr>
        <w:t>preocupación</w:t>
      </w:r>
      <w:r w:rsidRPr="00DC1A5F">
        <w:rPr>
          <w:sz w:val="12"/>
          <w:szCs w:val="12"/>
          <w:lang w:val="es-PE"/>
        </w:rPr>
        <w:t xml:space="preserve">) </w:t>
      </w:r>
      <w:r w:rsidRPr="009E7622">
        <w:rPr>
          <w:sz w:val="10"/>
          <w:szCs w:val="10"/>
          <w:lang w:val="es-PE"/>
        </w:rPr>
        <w:t>I</w:t>
      </w:r>
      <w:r w:rsidRPr="009E7622">
        <w:rPr>
          <w:smallCaps/>
          <w:sz w:val="10"/>
          <w:szCs w:val="10"/>
          <w:lang w:val="es-PE"/>
        </w:rPr>
        <w:t>MPRODUCTIVOS</w:t>
      </w:r>
      <w:r>
        <w:rPr>
          <w:smallCaps/>
          <w:sz w:val="10"/>
          <w:szCs w:val="10"/>
          <w:lang w:val="es-PE"/>
        </w:rPr>
        <w:t xml:space="preserve"> </w:t>
      </w:r>
      <w:r w:rsidRPr="00DC1A5F">
        <w:rPr>
          <w:sz w:val="12"/>
          <w:szCs w:val="12"/>
          <w:lang w:val="es-PE"/>
        </w:rPr>
        <w:t>= 18</w:t>
      </w:r>
    </w:p>
    <w:p w14:paraId="18E04009"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(31) </w:t>
      </w:r>
      <w:r w:rsidRPr="00DC1A5F">
        <w:rPr>
          <w:sz w:val="12"/>
          <w:szCs w:val="12"/>
          <w:lang w:val="es-PE"/>
        </w:rPr>
        <w:tab/>
      </w:r>
      <w:r w:rsidRPr="00DC1A5F">
        <w:rPr>
          <w:sz w:val="12"/>
          <w:szCs w:val="12"/>
          <w:lang w:val="es-PE"/>
        </w:rPr>
        <w:tab/>
        <w:t xml:space="preserve">5 </w:t>
      </w:r>
      <w:r w:rsidRPr="00DC1A5F">
        <w:rPr>
          <w:sz w:val="12"/>
          <w:szCs w:val="12"/>
          <w:lang w:val="es-PE"/>
        </w:rPr>
        <w:tab/>
        <w:t xml:space="preserve">Como (30) + 2 s. (a veces </w:t>
      </w:r>
      <w:r>
        <w:rPr>
          <w:sz w:val="12"/>
          <w:szCs w:val="12"/>
          <w:lang w:val="es-PE"/>
        </w:rPr>
        <w:t>cansancio</w:t>
      </w:r>
      <w:r w:rsidRPr="00DC1A5F">
        <w:rPr>
          <w:sz w:val="12"/>
          <w:szCs w:val="12"/>
          <w:lang w:val="es-PE"/>
        </w:rPr>
        <w:t xml:space="preserve"> y letargo) UNPROF. = 20</w:t>
      </w:r>
    </w:p>
    <w:p w14:paraId="6E055FA0"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(32) </w:t>
      </w:r>
      <w:r w:rsidRPr="00DC1A5F">
        <w:rPr>
          <w:sz w:val="12"/>
          <w:szCs w:val="12"/>
          <w:lang w:val="es-PE"/>
        </w:rPr>
        <w:tab/>
      </w:r>
      <w:r w:rsidRPr="00DC1A5F">
        <w:rPr>
          <w:sz w:val="12"/>
          <w:szCs w:val="12"/>
          <w:lang w:val="es-PE"/>
        </w:rPr>
        <w:tab/>
        <w:t xml:space="preserve">5 </w:t>
      </w:r>
      <w:r w:rsidRPr="00DC1A5F">
        <w:rPr>
          <w:sz w:val="12"/>
          <w:szCs w:val="12"/>
          <w:lang w:val="es-PE"/>
        </w:rPr>
        <w:tab/>
        <w:t>págs. + 3 s. (</w:t>
      </w:r>
      <w:r>
        <w:rPr>
          <w:sz w:val="12"/>
          <w:szCs w:val="12"/>
          <w:lang w:val="es-PE"/>
        </w:rPr>
        <w:t>c</w:t>
      </w:r>
      <w:r w:rsidRPr="00DC1A5F">
        <w:rPr>
          <w:sz w:val="12"/>
          <w:szCs w:val="12"/>
          <w:lang w:val="es-PE"/>
        </w:rPr>
        <w:t xml:space="preserve">. </w:t>
      </w:r>
      <w:r w:rsidRPr="00576FBD">
        <w:rPr>
          <w:i/>
          <w:iCs/>
          <w:sz w:val="12"/>
          <w:szCs w:val="12"/>
          <w:lang w:val="es-PE"/>
        </w:rPr>
        <w:t>felicidad, resolución y celo–concentración débil</w:t>
      </w:r>
      <w:r w:rsidRPr="00DC1A5F">
        <w:rPr>
          <w:sz w:val="12"/>
          <w:szCs w:val="12"/>
          <w:lang w:val="es-PE"/>
        </w:rPr>
        <w:t xml:space="preserve">) </w:t>
      </w:r>
    </w:p>
    <w:p w14:paraId="5F326C78"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 xml:space="preserve">Gen., + 4 p. + 1 s. (incertidumbre) </w:t>
      </w:r>
      <w:r w:rsidRPr="009E7622">
        <w:rPr>
          <w:sz w:val="10"/>
          <w:szCs w:val="10"/>
          <w:lang w:val="es-PE"/>
        </w:rPr>
        <w:t>I</w:t>
      </w:r>
      <w:r w:rsidRPr="009E7622">
        <w:rPr>
          <w:smallCaps/>
          <w:sz w:val="10"/>
          <w:szCs w:val="10"/>
          <w:lang w:val="es-PE"/>
        </w:rPr>
        <w:t>MPRODUCTIVOS</w:t>
      </w:r>
      <w:r w:rsidRPr="00DC1A5F">
        <w:rPr>
          <w:sz w:val="12"/>
          <w:szCs w:val="12"/>
          <w:lang w:val="es-PE"/>
        </w:rPr>
        <w:t xml:space="preserve"> = 13</w:t>
      </w:r>
    </w:p>
    <w:p w14:paraId="2C780E70"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(33) </w:t>
      </w:r>
      <w:r w:rsidRPr="00DC1A5F">
        <w:rPr>
          <w:sz w:val="12"/>
          <w:szCs w:val="12"/>
          <w:lang w:val="es-PE"/>
        </w:rPr>
        <w:tab/>
      </w:r>
      <w:r w:rsidRPr="00DC1A5F">
        <w:rPr>
          <w:sz w:val="12"/>
          <w:szCs w:val="12"/>
          <w:lang w:val="es-PE"/>
        </w:rPr>
        <w:tab/>
        <w:t xml:space="preserve"> Como (32) pero + 1 s. </w:t>
      </w:r>
      <w:r w:rsidRPr="00DC1A5F">
        <w:rPr>
          <w:smallCaps/>
          <w:sz w:val="12"/>
          <w:szCs w:val="12"/>
          <w:lang w:val="es-PE"/>
        </w:rPr>
        <w:t>Gen</w:t>
      </w:r>
      <w:r w:rsidRPr="00DC1A5F">
        <w:rPr>
          <w:sz w:val="12"/>
          <w:szCs w:val="12"/>
          <w:lang w:val="es-PE"/>
        </w:rPr>
        <w:t>. (</w:t>
      </w:r>
      <w:r w:rsidRPr="00576FBD">
        <w:rPr>
          <w:i/>
          <w:iCs/>
          <w:sz w:val="12"/>
          <w:szCs w:val="12"/>
          <w:lang w:val="es-PE"/>
        </w:rPr>
        <w:t>resolución–concentración fuerte</w:t>
      </w:r>
      <w:r w:rsidRPr="00DC1A5F">
        <w:rPr>
          <w:sz w:val="12"/>
          <w:szCs w:val="12"/>
          <w:lang w:val="es-PE"/>
        </w:rPr>
        <w:t xml:space="preserve">) &amp; sin s. </w:t>
      </w:r>
    </w:p>
    <w:p w14:paraId="14CEA62C" w14:textId="77777777" w:rsidR="00597DE2" w:rsidRPr="00DC1A5F" w:rsidRDefault="00597DE2" w:rsidP="00597DE2">
      <w:pPr>
        <w:pStyle w:val="ParrafoApendice"/>
        <w:tabs>
          <w:tab w:val="clear" w:pos="425"/>
          <w:tab w:val="right" w:pos="1418"/>
          <w:tab w:val="left" w:pos="1701"/>
          <w:tab w:val="left" w:pos="1985"/>
        </w:tabs>
        <w:ind w:firstLine="0"/>
        <w:rPr>
          <w:sz w:val="12"/>
          <w:szCs w:val="12"/>
          <w:lang w:val="es-PE"/>
        </w:rPr>
      </w:pPr>
      <w:r w:rsidRPr="00DC1A5F">
        <w:rPr>
          <w:sz w:val="12"/>
          <w:szCs w:val="12"/>
          <w:lang w:val="es-PE"/>
        </w:rPr>
        <w:tab/>
      </w:r>
      <w:r w:rsidRPr="00DC1A5F">
        <w:rPr>
          <w:sz w:val="12"/>
          <w:szCs w:val="12"/>
          <w:lang w:val="es-PE"/>
        </w:rPr>
        <w:tab/>
      </w:r>
      <w:r w:rsidRPr="00DC1A5F">
        <w:rPr>
          <w:sz w:val="12"/>
          <w:szCs w:val="12"/>
          <w:lang w:val="es-PE"/>
        </w:rPr>
        <w:tab/>
        <w:t>(</w:t>
      </w:r>
      <w:r w:rsidRPr="000B2A53">
        <w:rPr>
          <w:i/>
          <w:iCs/>
          <w:sz w:val="12"/>
          <w:szCs w:val="12"/>
          <w:lang w:val="es-PE"/>
        </w:rPr>
        <w:t>incertidumbre</w:t>
      </w:r>
      <w:r w:rsidRPr="00DC1A5F">
        <w:rPr>
          <w:sz w:val="12"/>
          <w:szCs w:val="12"/>
          <w:lang w:val="es-PE"/>
        </w:rPr>
        <w:t xml:space="preserve">) </w:t>
      </w:r>
      <w:r w:rsidRPr="009E7622">
        <w:rPr>
          <w:sz w:val="10"/>
          <w:szCs w:val="10"/>
          <w:lang w:val="es-PE"/>
        </w:rPr>
        <w:t>I</w:t>
      </w:r>
      <w:r w:rsidRPr="009E7622">
        <w:rPr>
          <w:smallCaps/>
          <w:sz w:val="10"/>
          <w:szCs w:val="10"/>
          <w:lang w:val="es-PE"/>
        </w:rPr>
        <w:t>MPRODUCTIVOS</w:t>
      </w:r>
      <w:r w:rsidRPr="00DC1A5F">
        <w:rPr>
          <w:sz w:val="12"/>
          <w:szCs w:val="12"/>
          <w:lang w:val="es-PE"/>
        </w:rPr>
        <w:t xml:space="preserve"> = 13</w:t>
      </w:r>
    </w:p>
    <w:p w14:paraId="56C9A466" w14:textId="77777777" w:rsidR="00597DE2" w:rsidRPr="00DC1A5F" w:rsidRDefault="00597DE2" w:rsidP="00597DE2">
      <w:pPr>
        <w:pStyle w:val="ParrafoApendice"/>
        <w:tabs>
          <w:tab w:val="clear" w:pos="425"/>
          <w:tab w:val="right" w:leader="dot" w:pos="1418"/>
          <w:tab w:val="left" w:pos="1701"/>
          <w:tab w:val="left" w:pos="1985"/>
        </w:tabs>
        <w:ind w:firstLine="0"/>
        <w:rPr>
          <w:b/>
          <w:bCs/>
          <w:sz w:val="14"/>
          <w:szCs w:val="14"/>
          <w:lang w:val="es-PE"/>
        </w:rPr>
      </w:pPr>
      <w:r w:rsidRPr="00DC1A5F">
        <w:rPr>
          <w:b/>
          <w:bCs/>
          <w:sz w:val="14"/>
          <w:szCs w:val="14"/>
          <w:lang w:val="es-PE"/>
        </w:rPr>
        <w:t>Indeterminado</w:t>
      </w:r>
    </w:p>
    <w:p w14:paraId="10B4C2A9" w14:textId="77777777" w:rsidR="00597DE2" w:rsidRPr="00DC1A5F" w:rsidRDefault="00597DE2" w:rsidP="00597DE2">
      <w:pPr>
        <w:pStyle w:val="ParrafoApendice"/>
        <w:tabs>
          <w:tab w:val="clear" w:pos="425"/>
          <w:tab w:val="right" w:leader="dot" w:pos="1418"/>
          <w:tab w:val="left" w:pos="1701"/>
          <w:tab w:val="left" w:pos="1985"/>
        </w:tabs>
        <w:ind w:left="709" w:firstLine="0"/>
        <w:rPr>
          <w:sz w:val="14"/>
          <w:szCs w:val="14"/>
          <w:lang w:val="es-PE"/>
        </w:rPr>
      </w:pPr>
      <w:r w:rsidRPr="00DC1A5F">
        <w:rPr>
          <w:sz w:val="14"/>
          <w:szCs w:val="14"/>
          <w:lang w:val="es-PE"/>
        </w:rPr>
        <w:t>(a) Resultante</w:t>
      </w:r>
    </w:p>
    <w:p w14:paraId="019C8C90"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(34)–(38) </w:t>
      </w:r>
      <w:r w:rsidRPr="00DC1A5F">
        <w:rPr>
          <w:sz w:val="12"/>
          <w:szCs w:val="12"/>
          <w:lang w:val="es-PE"/>
        </w:rPr>
        <w:tab/>
      </w:r>
      <w:r w:rsidRPr="00DC1A5F">
        <w:rPr>
          <w:sz w:val="12"/>
          <w:szCs w:val="12"/>
          <w:lang w:val="es-PE"/>
        </w:rPr>
        <w:tab/>
        <w:t xml:space="preserve">5 </w:t>
      </w:r>
      <w:r w:rsidRPr="00DC1A5F">
        <w:rPr>
          <w:sz w:val="12"/>
          <w:szCs w:val="12"/>
          <w:lang w:val="es-PE"/>
        </w:rPr>
        <w:tab/>
      </w:r>
      <w:r w:rsidRPr="00DC1A5F">
        <w:rPr>
          <w:smallCaps/>
          <w:sz w:val="12"/>
          <w:szCs w:val="12"/>
          <w:lang w:val="es-PE"/>
        </w:rPr>
        <w:t>General</w:t>
      </w:r>
      <w:r w:rsidRPr="00DC1A5F">
        <w:rPr>
          <w:sz w:val="12"/>
          <w:szCs w:val="12"/>
          <w:lang w:val="es-PE"/>
        </w:rPr>
        <w:t xml:space="preserve"> primario (</w:t>
      </w:r>
      <w:r w:rsidRPr="00E54EC6">
        <w:rPr>
          <w:i/>
          <w:iCs/>
          <w:sz w:val="12"/>
          <w:szCs w:val="12"/>
          <w:lang w:val="es-PE"/>
        </w:rPr>
        <w:t>concentración débil</w:t>
      </w:r>
      <w:r w:rsidRPr="00DC1A5F">
        <w:rPr>
          <w:sz w:val="12"/>
          <w:szCs w:val="12"/>
          <w:lang w:val="es-PE"/>
        </w:rPr>
        <w:t>) = 5</w:t>
      </w:r>
    </w:p>
    <w:p w14:paraId="6DC92882"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(50)–(54)</w:t>
      </w:r>
    </w:p>
    <w:p w14:paraId="5923E5E8"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(39)–(41) </w:t>
      </w:r>
      <w:r w:rsidRPr="00DC1A5F">
        <w:rPr>
          <w:sz w:val="12"/>
          <w:szCs w:val="12"/>
          <w:lang w:val="es-PE"/>
        </w:rPr>
        <w:tab/>
      </w:r>
      <w:r w:rsidRPr="00DC1A5F">
        <w:rPr>
          <w:sz w:val="12"/>
          <w:szCs w:val="12"/>
          <w:lang w:val="es-PE"/>
        </w:rPr>
        <w:tab/>
        <w:t xml:space="preserve">5 </w:t>
      </w:r>
      <w:r w:rsidRPr="00DC1A5F">
        <w:rPr>
          <w:sz w:val="12"/>
          <w:szCs w:val="12"/>
          <w:lang w:val="es-PE"/>
        </w:rPr>
        <w:tab/>
        <w:t>p. + 3 s. (</w:t>
      </w:r>
      <w:proofErr w:type="spellStart"/>
      <w:r w:rsidRPr="00DC1A5F">
        <w:rPr>
          <w:sz w:val="12"/>
          <w:szCs w:val="12"/>
          <w:lang w:val="es-PE"/>
        </w:rPr>
        <w:t>apl</w:t>
      </w:r>
      <w:proofErr w:type="spellEnd"/>
      <w:r w:rsidRPr="00DC1A5F">
        <w:rPr>
          <w:sz w:val="12"/>
          <w:szCs w:val="12"/>
          <w:lang w:val="es-PE"/>
        </w:rPr>
        <w:t>. –</w:t>
      </w:r>
      <w:r>
        <w:rPr>
          <w:sz w:val="12"/>
          <w:szCs w:val="12"/>
          <w:lang w:val="es-PE"/>
        </w:rPr>
        <w:t>mental</w:t>
      </w:r>
      <w:r w:rsidRPr="00DC1A5F">
        <w:rPr>
          <w:sz w:val="12"/>
          <w:szCs w:val="12"/>
          <w:lang w:val="es-PE"/>
        </w:rPr>
        <w:t>., sus. –</w:t>
      </w:r>
      <w:r>
        <w:rPr>
          <w:sz w:val="12"/>
          <w:szCs w:val="12"/>
          <w:lang w:val="es-PE"/>
        </w:rPr>
        <w:t>mental</w:t>
      </w:r>
      <w:r w:rsidRPr="00DC1A5F">
        <w:rPr>
          <w:sz w:val="12"/>
          <w:szCs w:val="12"/>
          <w:lang w:val="es-PE"/>
        </w:rPr>
        <w:t xml:space="preserve">. y resolución) </w:t>
      </w:r>
      <w:r w:rsidRPr="00DC1A5F">
        <w:rPr>
          <w:smallCaps/>
          <w:sz w:val="12"/>
          <w:szCs w:val="12"/>
          <w:lang w:val="es-PE"/>
        </w:rPr>
        <w:t>Gen</w:t>
      </w:r>
      <w:r w:rsidRPr="00DC1A5F">
        <w:rPr>
          <w:sz w:val="12"/>
          <w:szCs w:val="12"/>
          <w:lang w:val="es-PE"/>
        </w:rPr>
        <w:t>. = 8</w:t>
      </w:r>
    </w:p>
    <w:p w14:paraId="5137E333"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(55)–(56)</w:t>
      </w:r>
    </w:p>
    <w:p w14:paraId="68140746"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E54EC6">
        <w:rPr>
          <w:sz w:val="12"/>
          <w:szCs w:val="12"/>
          <w:lang w:val="es-PE"/>
        </w:rPr>
        <w:t xml:space="preserve">(40) </w:t>
      </w:r>
      <w:r w:rsidRPr="00E54EC6">
        <w:rPr>
          <w:sz w:val="12"/>
          <w:szCs w:val="12"/>
          <w:lang w:val="es-PE"/>
        </w:rPr>
        <w:tab/>
      </w:r>
      <w:r w:rsidRPr="00E54EC6">
        <w:rPr>
          <w:sz w:val="12"/>
          <w:szCs w:val="12"/>
          <w:lang w:val="es-PE"/>
        </w:rPr>
        <w:tab/>
        <w:t xml:space="preserve">5 </w:t>
      </w:r>
      <w:r w:rsidRPr="00E54EC6">
        <w:rPr>
          <w:sz w:val="12"/>
          <w:szCs w:val="12"/>
          <w:lang w:val="es-PE"/>
        </w:rPr>
        <w:tab/>
        <w:t>p. + 4 s. (</w:t>
      </w:r>
      <w:proofErr w:type="spellStart"/>
      <w:r w:rsidRPr="00E54EC6">
        <w:rPr>
          <w:sz w:val="12"/>
          <w:szCs w:val="12"/>
          <w:lang w:val="es-PE"/>
        </w:rPr>
        <w:t>apl</w:t>
      </w:r>
      <w:proofErr w:type="spellEnd"/>
      <w:r w:rsidRPr="00E54EC6">
        <w:rPr>
          <w:sz w:val="12"/>
          <w:szCs w:val="12"/>
          <w:lang w:val="es-PE"/>
        </w:rPr>
        <w:t xml:space="preserve">. –mental., </w:t>
      </w:r>
      <w:proofErr w:type="gramStart"/>
      <w:r w:rsidRPr="00E54EC6">
        <w:rPr>
          <w:sz w:val="12"/>
          <w:szCs w:val="12"/>
          <w:lang w:val="es-PE"/>
        </w:rPr>
        <w:t>sus.–</w:t>
      </w:r>
      <w:proofErr w:type="gramEnd"/>
      <w:r w:rsidRPr="00E54EC6">
        <w:rPr>
          <w:sz w:val="12"/>
          <w:szCs w:val="12"/>
          <w:lang w:val="es-PE"/>
        </w:rPr>
        <w:t>me</w:t>
      </w:r>
      <w:r>
        <w:rPr>
          <w:sz w:val="12"/>
          <w:szCs w:val="12"/>
          <w:lang w:val="es-PE"/>
        </w:rPr>
        <w:t>ntal</w:t>
      </w:r>
      <w:r w:rsidRPr="00E54EC6">
        <w:rPr>
          <w:sz w:val="12"/>
          <w:szCs w:val="12"/>
          <w:lang w:val="es-PE"/>
        </w:rPr>
        <w:t xml:space="preserve">., res. </w:t>
      </w:r>
      <w:r w:rsidRPr="00DC1A5F">
        <w:rPr>
          <w:sz w:val="12"/>
          <w:szCs w:val="12"/>
          <w:lang w:val="es-PE"/>
        </w:rPr>
        <w:t xml:space="preserve">&amp; </w:t>
      </w:r>
      <w:r>
        <w:rPr>
          <w:sz w:val="12"/>
          <w:szCs w:val="12"/>
          <w:lang w:val="es-PE"/>
        </w:rPr>
        <w:t>felicidad</w:t>
      </w:r>
      <w:r w:rsidRPr="00DC1A5F">
        <w:rPr>
          <w:sz w:val="12"/>
          <w:szCs w:val="12"/>
          <w:lang w:val="es-PE"/>
        </w:rPr>
        <w:t xml:space="preserve">.) </w:t>
      </w:r>
      <w:r w:rsidRPr="00DC1A5F">
        <w:rPr>
          <w:smallCaps/>
          <w:sz w:val="12"/>
          <w:szCs w:val="12"/>
          <w:lang w:val="es-PE"/>
        </w:rPr>
        <w:t>Gen</w:t>
      </w:r>
      <w:r w:rsidRPr="00DC1A5F">
        <w:rPr>
          <w:sz w:val="12"/>
          <w:szCs w:val="12"/>
          <w:lang w:val="es-PE"/>
        </w:rPr>
        <w:t>. = 9</w:t>
      </w:r>
    </w:p>
    <w:p w14:paraId="6367E9E9"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(42)–(49) </w:t>
      </w:r>
      <w:r w:rsidRPr="00DC1A5F">
        <w:rPr>
          <w:sz w:val="12"/>
          <w:szCs w:val="12"/>
          <w:lang w:val="es-PE"/>
        </w:rPr>
        <w:tab/>
      </w:r>
      <w:r w:rsidRPr="00DC1A5F">
        <w:rPr>
          <w:sz w:val="12"/>
          <w:szCs w:val="12"/>
          <w:lang w:val="es-PE"/>
        </w:rPr>
        <w:tab/>
        <w:t xml:space="preserve">Como (1)–(8) </w:t>
      </w:r>
      <w:r>
        <w:rPr>
          <w:sz w:val="12"/>
          <w:szCs w:val="12"/>
          <w:lang w:val="es-PE"/>
        </w:rPr>
        <w:t>pero con</w:t>
      </w:r>
      <w:r w:rsidRPr="00DC1A5F">
        <w:rPr>
          <w:sz w:val="12"/>
          <w:szCs w:val="12"/>
          <w:lang w:val="es-PE"/>
        </w:rPr>
        <w:t xml:space="preserve"> 3 </w:t>
      </w:r>
      <w:r w:rsidRPr="00CD7CEA">
        <w:rPr>
          <w:i/>
          <w:iCs/>
          <w:sz w:val="12"/>
          <w:szCs w:val="12"/>
          <w:lang w:val="es-PE"/>
        </w:rPr>
        <w:t>abstinencias</w:t>
      </w:r>
      <w:r w:rsidRPr="00DC1A5F">
        <w:rPr>
          <w:sz w:val="12"/>
          <w:szCs w:val="12"/>
          <w:lang w:val="es-PE"/>
        </w:rPr>
        <w:t xml:space="preserve"> y </w:t>
      </w:r>
      <w:r>
        <w:rPr>
          <w:sz w:val="12"/>
          <w:szCs w:val="12"/>
          <w:lang w:val="es-PE"/>
        </w:rPr>
        <w:t xml:space="preserve">con </w:t>
      </w:r>
      <w:r w:rsidRPr="00DA54AF">
        <w:rPr>
          <w:i/>
          <w:iCs/>
          <w:sz w:val="12"/>
          <w:szCs w:val="12"/>
          <w:lang w:val="es-PE"/>
        </w:rPr>
        <w:t>compasión y alegría</w:t>
      </w:r>
    </w:p>
    <w:p w14:paraId="2485758D"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(57)–(69) </w:t>
      </w:r>
      <w:r w:rsidRPr="00DC1A5F">
        <w:rPr>
          <w:sz w:val="12"/>
          <w:szCs w:val="12"/>
          <w:lang w:val="es-PE"/>
        </w:rPr>
        <w:tab/>
      </w:r>
      <w:r w:rsidRPr="00DC1A5F">
        <w:rPr>
          <w:sz w:val="12"/>
          <w:szCs w:val="12"/>
          <w:lang w:val="es-PE"/>
        </w:rPr>
        <w:tab/>
        <w:t xml:space="preserve"> Como (9)–(21)</w:t>
      </w:r>
    </w:p>
    <w:p w14:paraId="2EFB56E6" w14:textId="77777777" w:rsidR="00597DE2" w:rsidRPr="00DC1A5F" w:rsidRDefault="00597DE2" w:rsidP="00597DE2">
      <w:pPr>
        <w:pStyle w:val="ParrafoApendice"/>
        <w:tabs>
          <w:tab w:val="clear" w:pos="425"/>
          <w:tab w:val="right" w:leader="dot" w:pos="1418"/>
          <w:tab w:val="left" w:pos="1701"/>
          <w:tab w:val="left" w:pos="1985"/>
        </w:tabs>
        <w:ind w:left="709" w:firstLine="0"/>
        <w:rPr>
          <w:sz w:val="14"/>
          <w:szCs w:val="14"/>
          <w:lang w:val="es-PE"/>
        </w:rPr>
      </w:pPr>
      <w:r w:rsidRPr="00DC1A5F">
        <w:rPr>
          <w:sz w:val="14"/>
          <w:szCs w:val="14"/>
          <w:lang w:val="es-PE"/>
        </w:rPr>
        <w:t>(b) Funcional</w:t>
      </w:r>
    </w:p>
    <w:p w14:paraId="7B4183A0"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(70) </w:t>
      </w:r>
      <w:r w:rsidRPr="00DC1A5F">
        <w:rPr>
          <w:sz w:val="12"/>
          <w:szCs w:val="12"/>
          <w:lang w:val="es-PE"/>
        </w:rPr>
        <w:tab/>
      </w:r>
      <w:r w:rsidRPr="00DC1A5F">
        <w:rPr>
          <w:sz w:val="12"/>
          <w:szCs w:val="12"/>
          <w:lang w:val="es-PE"/>
        </w:rPr>
        <w:tab/>
        <w:t>Como (39) = 8</w:t>
      </w:r>
    </w:p>
    <w:p w14:paraId="1B639BAC"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(71) </w:t>
      </w:r>
      <w:r w:rsidRPr="00DC1A5F">
        <w:rPr>
          <w:sz w:val="12"/>
          <w:szCs w:val="12"/>
          <w:lang w:val="es-PE"/>
        </w:rPr>
        <w:tab/>
      </w:r>
      <w:r w:rsidRPr="00DC1A5F">
        <w:rPr>
          <w:sz w:val="12"/>
          <w:szCs w:val="12"/>
          <w:lang w:val="es-PE"/>
        </w:rPr>
        <w:tab/>
        <w:t xml:space="preserve">5 </w:t>
      </w:r>
      <w:r w:rsidRPr="00DC1A5F">
        <w:rPr>
          <w:sz w:val="12"/>
          <w:szCs w:val="12"/>
          <w:lang w:val="es-PE"/>
        </w:rPr>
        <w:tab/>
        <w:t xml:space="preserve">p. + 4 s. (como en (40) + energía) </w:t>
      </w:r>
      <w:r w:rsidRPr="00DC1A5F">
        <w:rPr>
          <w:smallCaps/>
          <w:sz w:val="12"/>
          <w:szCs w:val="12"/>
          <w:lang w:val="es-PE"/>
        </w:rPr>
        <w:t>Gen</w:t>
      </w:r>
      <w:r w:rsidRPr="00DC1A5F">
        <w:rPr>
          <w:sz w:val="12"/>
          <w:szCs w:val="12"/>
          <w:lang w:val="es-PE"/>
        </w:rPr>
        <w:t>. = 10</w:t>
      </w:r>
    </w:p>
    <w:p w14:paraId="5757C36A"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(72) </w:t>
      </w:r>
      <w:r w:rsidRPr="00DC1A5F">
        <w:rPr>
          <w:sz w:val="12"/>
          <w:szCs w:val="12"/>
          <w:lang w:val="es-PE"/>
        </w:rPr>
        <w:tab/>
      </w:r>
      <w:r w:rsidRPr="00DC1A5F">
        <w:rPr>
          <w:sz w:val="12"/>
          <w:szCs w:val="12"/>
          <w:lang w:val="es-PE"/>
        </w:rPr>
        <w:tab/>
        <w:t xml:space="preserve">5 </w:t>
      </w:r>
      <w:r w:rsidRPr="00DC1A5F">
        <w:rPr>
          <w:sz w:val="12"/>
          <w:szCs w:val="12"/>
          <w:lang w:val="es-PE"/>
        </w:rPr>
        <w:tab/>
        <w:t>p. + 4 s. (como en (41) + energía) GEN. = 9</w:t>
      </w:r>
    </w:p>
    <w:p w14:paraId="5CF0A09C"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(73)–(80) </w:t>
      </w:r>
      <w:r w:rsidRPr="00DC1A5F">
        <w:rPr>
          <w:sz w:val="12"/>
          <w:szCs w:val="12"/>
          <w:lang w:val="es-PE"/>
        </w:rPr>
        <w:tab/>
      </w:r>
      <w:r w:rsidRPr="00DC1A5F">
        <w:rPr>
          <w:sz w:val="12"/>
          <w:szCs w:val="12"/>
          <w:lang w:val="es-PE"/>
        </w:rPr>
        <w:tab/>
        <w:t>Como (1)–(8) en peso. 3 abst</w:t>
      </w:r>
      <w:r>
        <w:rPr>
          <w:sz w:val="12"/>
          <w:szCs w:val="12"/>
          <w:lang w:val="es-PE"/>
        </w:rPr>
        <w:t>inencias.</w:t>
      </w:r>
    </w:p>
    <w:p w14:paraId="164E581E" w14:textId="77777777" w:rsidR="00597DE2" w:rsidRPr="00DC1A5F" w:rsidRDefault="00597DE2" w:rsidP="00597DE2">
      <w:pPr>
        <w:pStyle w:val="ParrafoApendice"/>
        <w:tabs>
          <w:tab w:val="clear" w:pos="425"/>
          <w:tab w:val="right" w:leader="dot" w:pos="1418"/>
          <w:tab w:val="left" w:pos="1701"/>
          <w:tab w:val="left" w:pos="1985"/>
        </w:tabs>
        <w:ind w:firstLine="0"/>
        <w:rPr>
          <w:sz w:val="12"/>
          <w:szCs w:val="12"/>
          <w:lang w:val="es-PE"/>
        </w:rPr>
      </w:pPr>
      <w:r w:rsidRPr="00DC1A5F">
        <w:rPr>
          <w:sz w:val="12"/>
          <w:szCs w:val="12"/>
          <w:lang w:val="es-PE"/>
        </w:rPr>
        <w:t xml:space="preserve">(81)–(89) </w:t>
      </w:r>
      <w:r w:rsidRPr="00DC1A5F">
        <w:rPr>
          <w:sz w:val="12"/>
          <w:szCs w:val="12"/>
          <w:lang w:val="es-PE"/>
        </w:rPr>
        <w:tab/>
      </w:r>
      <w:r w:rsidRPr="00DC1A5F">
        <w:rPr>
          <w:sz w:val="12"/>
          <w:szCs w:val="12"/>
          <w:lang w:val="es-PE"/>
        </w:rPr>
        <w:tab/>
        <w:t>Como (9)–(17)</w:t>
      </w:r>
    </w:p>
    <w:p w14:paraId="56972966" w14:textId="77777777" w:rsidR="00597DE2" w:rsidRPr="00DC1A5F" w:rsidRDefault="00597DE2" w:rsidP="00597DE2">
      <w:pPr>
        <w:pStyle w:val="ParrafoApendice"/>
        <w:tabs>
          <w:tab w:val="clear" w:pos="425"/>
          <w:tab w:val="right" w:leader="dot" w:pos="1418"/>
          <w:tab w:val="left" w:pos="1701"/>
          <w:tab w:val="left" w:pos="1985"/>
        </w:tabs>
        <w:ind w:firstLine="0"/>
        <w:rPr>
          <w:lang w:val="es-PE"/>
        </w:rPr>
      </w:pPr>
    </w:p>
    <w:p w14:paraId="001C183B" w14:textId="77777777" w:rsidR="00597DE2" w:rsidRPr="00DC1A5F" w:rsidRDefault="00597DE2" w:rsidP="00597DE2">
      <w:pPr>
        <w:pStyle w:val="PiedepginaLegal"/>
        <w:rPr>
          <w:u w:val="single"/>
        </w:rPr>
      </w:pPr>
      <w:r w:rsidRPr="00DC1A5F">
        <w:rPr>
          <w:u w:val="single"/>
        </w:rPr>
        <w:t xml:space="preserve">           </w:t>
      </w:r>
      <w:r w:rsidRPr="00DC1A5F">
        <w:rPr>
          <w:u w:val="single"/>
        </w:rPr>
        <w:tab/>
      </w:r>
      <w:r w:rsidRPr="00DC1A5F">
        <w:rPr>
          <w:u w:val="single"/>
        </w:rPr>
        <w:tab/>
        <w:t>.</w:t>
      </w:r>
    </w:p>
    <w:p w14:paraId="50DA51AB" w14:textId="77777777" w:rsidR="00597DE2" w:rsidRPr="00DC1A5F" w:rsidRDefault="00597DE2" w:rsidP="00597DE2">
      <w:pPr>
        <w:pStyle w:val="PiedepginaLegal"/>
      </w:pPr>
      <w:r w:rsidRPr="00DC1A5F">
        <w:t xml:space="preserve">1. Ver Cap. XIV. (Adaptado del </w:t>
      </w:r>
      <w:r w:rsidRPr="000D70DC">
        <w:rPr>
          <w:i/>
          <w:iCs/>
        </w:rPr>
        <w:t>Diccionario Budista</w:t>
      </w:r>
      <w:r w:rsidRPr="00DC1A5F">
        <w:t xml:space="preserve"> de </w:t>
      </w:r>
      <w:proofErr w:type="spellStart"/>
      <w:r w:rsidRPr="00DC1A5F">
        <w:t>Nyanatiloka</w:t>
      </w:r>
      <w:proofErr w:type="spellEnd"/>
      <w:r w:rsidRPr="00DC1A5F">
        <w:t xml:space="preserve"> </w:t>
      </w:r>
      <w:proofErr w:type="spellStart"/>
      <w:r>
        <w:t>Mahā</w:t>
      </w:r>
      <w:r w:rsidRPr="00DC1A5F">
        <w:t>thera</w:t>
      </w:r>
      <w:proofErr w:type="spellEnd"/>
      <w:r w:rsidRPr="00DC1A5F">
        <w:t>.)</w:t>
      </w:r>
    </w:p>
    <w:p w14:paraId="627BFCD7" w14:textId="77777777" w:rsidR="00597DE2" w:rsidRPr="00DC1A5F" w:rsidRDefault="00597DE2" w:rsidP="00597DE2">
      <w:pPr>
        <w:pStyle w:val="Textoindependiente"/>
        <w:sectPr w:rsidR="00597DE2" w:rsidRPr="00DC1A5F" w:rsidSect="00305694">
          <w:footnotePr>
            <w:numRestart w:val="eachSect"/>
          </w:footnotePr>
          <w:type w:val="continuous"/>
          <w:pgSz w:w="8641" w:h="12962"/>
          <w:pgMar w:top="851" w:right="964" w:bottom="964" w:left="964" w:header="709" w:footer="709" w:gutter="0"/>
          <w:pgNumType w:start="847"/>
          <w:cols w:space="708"/>
          <w:docGrid w:linePitch="360"/>
        </w:sectPr>
      </w:pPr>
    </w:p>
    <w:p w14:paraId="499FA5A9" w14:textId="77777777" w:rsidR="00597DE2" w:rsidRPr="00DC1A5F" w:rsidRDefault="00597DE2" w:rsidP="00597DE2">
      <w:pPr>
        <w:pStyle w:val="Ttulo2"/>
      </w:pPr>
      <w:bookmarkStart w:id="23" w:name="_Toc142334428"/>
      <w:r w:rsidRPr="00DC1A5F">
        <w:lastRenderedPageBreak/>
        <w:t xml:space="preserve">Tabla V: </w:t>
      </w:r>
      <w:r w:rsidRPr="00DC1A5F">
        <w:tab/>
        <w:t xml:space="preserve">La Serie Cognitiva </w:t>
      </w:r>
      <w:r>
        <w:t>de</w:t>
      </w:r>
      <w:r w:rsidRPr="00DC1A5F">
        <w:t xml:space="preserve"> la Ocurrencia de la Consciencia (</w:t>
      </w:r>
      <w:proofErr w:type="spellStart"/>
      <w:r w:rsidRPr="00DC1A5F">
        <w:rPr>
          <w:i/>
          <w:iCs/>
        </w:rPr>
        <w:t>Citta</w:t>
      </w:r>
      <w:proofErr w:type="spellEnd"/>
      <w:r w:rsidRPr="00DC1A5F">
        <w:rPr>
          <w:i/>
          <w:iCs/>
        </w:rPr>
        <w:t>–</w:t>
      </w:r>
      <w:proofErr w:type="spellStart"/>
      <w:r w:rsidRPr="00DC1A5F">
        <w:rPr>
          <w:i/>
          <w:iCs/>
        </w:rPr>
        <w:t>Vīthi</w:t>
      </w:r>
      <w:proofErr w:type="spellEnd"/>
      <w:r w:rsidRPr="00DC1A5F">
        <w:t xml:space="preserve">) Como Se Presenta En El </w:t>
      </w:r>
      <w:r w:rsidRPr="00DC1A5F">
        <w:rPr>
          <w:i/>
          <w:iCs/>
        </w:rPr>
        <w:t>Visuddhimagga</w:t>
      </w:r>
      <w:r w:rsidRPr="00DC1A5F">
        <w:t xml:space="preserve"> y Comentarios</w:t>
      </w:r>
      <w:bookmarkEnd w:id="23"/>
    </w:p>
    <w:tbl>
      <w:tblPr>
        <w:tblStyle w:val="Tablaconcuadrcula"/>
        <w:tblW w:w="0" w:type="auto"/>
        <w:tblLook w:val="04A0" w:firstRow="1" w:lastRow="0" w:firstColumn="1" w:lastColumn="0" w:noHBand="0" w:noVBand="1"/>
      </w:tblPr>
      <w:tblGrid>
        <w:gridCol w:w="988"/>
        <w:gridCol w:w="1417"/>
        <w:gridCol w:w="992"/>
        <w:gridCol w:w="993"/>
        <w:gridCol w:w="1984"/>
        <w:gridCol w:w="992"/>
        <w:gridCol w:w="1843"/>
        <w:gridCol w:w="1928"/>
      </w:tblGrid>
      <w:tr w:rsidR="00597DE2" w:rsidRPr="001269DE" w14:paraId="68E561AB" w14:textId="77777777" w:rsidTr="00B66784">
        <w:tc>
          <w:tcPr>
            <w:tcW w:w="988" w:type="dxa"/>
          </w:tcPr>
          <w:p w14:paraId="0CA33145" w14:textId="77777777" w:rsidR="00597DE2" w:rsidRPr="001269DE" w:rsidRDefault="00597DE2" w:rsidP="00B66784">
            <w:pPr>
              <w:spacing w:after="0"/>
              <w:rPr>
                <w:b/>
                <w:bCs/>
                <w:sz w:val="14"/>
                <w:szCs w:val="14"/>
              </w:rPr>
            </w:pPr>
            <w:r w:rsidRPr="001269DE">
              <w:rPr>
                <w:b/>
                <w:bCs/>
                <w:sz w:val="14"/>
                <w:szCs w:val="14"/>
              </w:rPr>
              <w:t xml:space="preserve">No. de </w:t>
            </w:r>
          </w:p>
          <w:p w14:paraId="6BA5D49E" w14:textId="77777777" w:rsidR="00597DE2" w:rsidRPr="001269DE" w:rsidRDefault="00597DE2" w:rsidP="00B66784">
            <w:pPr>
              <w:spacing w:after="0"/>
              <w:rPr>
                <w:b/>
                <w:bCs/>
                <w:sz w:val="14"/>
                <w:szCs w:val="14"/>
              </w:rPr>
            </w:pPr>
            <w:r w:rsidRPr="001269DE">
              <w:rPr>
                <w:b/>
                <w:bCs/>
                <w:sz w:val="14"/>
                <w:szCs w:val="14"/>
              </w:rPr>
              <w:t xml:space="preserve">Series </w:t>
            </w:r>
            <w:proofErr w:type="spellStart"/>
            <w:r w:rsidRPr="001269DE">
              <w:rPr>
                <w:b/>
                <w:bCs/>
                <w:sz w:val="14"/>
                <w:szCs w:val="14"/>
              </w:rPr>
              <w:t>Cog</w:t>
            </w:r>
            <w:proofErr w:type="spellEnd"/>
            <w:r w:rsidRPr="001269DE">
              <w:rPr>
                <w:b/>
                <w:bCs/>
                <w:sz w:val="14"/>
                <w:szCs w:val="14"/>
              </w:rPr>
              <w:t>.</w:t>
            </w:r>
          </w:p>
        </w:tc>
        <w:tc>
          <w:tcPr>
            <w:tcW w:w="1417" w:type="dxa"/>
          </w:tcPr>
          <w:p w14:paraId="53DAA636" w14:textId="77777777" w:rsidR="00597DE2" w:rsidRPr="001269DE" w:rsidRDefault="00597DE2" w:rsidP="00B66784">
            <w:pPr>
              <w:spacing w:after="0"/>
              <w:rPr>
                <w:b/>
                <w:bCs/>
                <w:sz w:val="14"/>
                <w:szCs w:val="14"/>
              </w:rPr>
            </w:pPr>
            <w:r w:rsidRPr="001269DE">
              <w:rPr>
                <w:b/>
                <w:bCs/>
                <w:sz w:val="14"/>
                <w:szCs w:val="14"/>
              </w:rPr>
              <w:t xml:space="preserve">El. de la consciencia mental </w:t>
            </w:r>
          </w:p>
        </w:tc>
        <w:tc>
          <w:tcPr>
            <w:tcW w:w="992" w:type="dxa"/>
          </w:tcPr>
          <w:p w14:paraId="0627465A" w14:textId="77777777" w:rsidR="00597DE2" w:rsidRPr="001269DE" w:rsidRDefault="00597DE2" w:rsidP="00B66784">
            <w:pPr>
              <w:spacing w:after="0"/>
              <w:rPr>
                <w:b/>
                <w:bCs/>
                <w:sz w:val="14"/>
                <w:szCs w:val="14"/>
              </w:rPr>
            </w:pPr>
            <w:r w:rsidRPr="001269DE">
              <w:rPr>
                <w:b/>
                <w:bCs/>
                <w:sz w:val="14"/>
                <w:szCs w:val="14"/>
              </w:rPr>
              <w:t>El. Mental.</w:t>
            </w:r>
          </w:p>
        </w:tc>
        <w:tc>
          <w:tcPr>
            <w:tcW w:w="993" w:type="dxa"/>
          </w:tcPr>
          <w:p w14:paraId="2BC2B148" w14:textId="77777777" w:rsidR="00597DE2" w:rsidRPr="001269DE" w:rsidRDefault="00597DE2" w:rsidP="00B66784">
            <w:pPr>
              <w:spacing w:after="0"/>
              <w:rPr>
                <w:b/>
                <w:bCs/>
                <w:sz w:val="14"/>
                <w:szCs w:val="14"/>
              </w:rPr>
            </w:pPr>
            <w:r w:rsidRPr="001269DE">
              <w:rPr>
                <w:b/>
                <w:bCs/>
                <w:sz w:val="14"/>
                <w:szCs w:val="14"/>
              </w:rPr>
              <w:t>El. de la Consciencia.</w:t>
            </w:r>
          </w:p>
        </w:tc>
        <w:tc>
          <w:tcPr>
            <w:tcW w:w="1984" w:type="dxa"/>
          </w:tcPr>
          <w:p w14:paraId="6717CEAD" w14:textId="77777777" w:rsidR="00597DE2" w:rsidRPr="001269DE" w:rsidRDefault="00597DE2" w:rsidP="00B66784">
            <w:pPr>
              <w:spacing w:after="0"/>
              <w:rPr>
                <w:b/>
                <w:bCs/>
                <w:sz w:val="14"/>
                <w:szCs w:val="14"/>
              </w:rPr>
            </w:pPr>
            <w:r w:rsidRPr="001269DE">
              <w:rPr>
                <w:b/>
                <w:bCs/>
                <w:sz w:val="14"/>
                <w:szCs w:val="14"/>
              </w:rPr>
              <w:t>Acompañado por</w:t>
            </w:r>
          </w:p>
        </w:tc>
        <w:tc>
          <w:tcPr>
            <w:tcW w:w="992" w:type="dxa"/>
          </w:tcPr>
          <w:p w14:paraId="1760B38B" w14:textId="77777777" w:rsidR="00597DE2" w:rsidRPr="001269DE" w:rsidRDefault="00597DE2" w:rsidP="00B66784">
            <w:pPr>
              <w:spacing w:after="0"/>
              <w:rPr>
                <w:b/>
                <w:bCs/>
                <w:sz w:val="14"/>
                <w:szCs w:val="14"/>
              </w:rPr>
            </w:pPr>
            <w:r w:rsidRPr="001269DE">
              <w:rPr>
                <w:b/>
                <w:bCs/>
                <w:sz w:val="14"/>
                <w:szCs w:val="14"/>
              </w:rPr>
              <w:t>No. de consciencia en</w:t>
            </w:r>
          </w:p>
          <w:p w14:paraId="73D4962A" w14:textId="77777777" w:rsidR="00597DE2" w:rsidRPr="001269DE" w:rsidRDefault="00597DE2" w:rsidP="00B66784">
            <w:pPr>
              <w:spacing w:after="0"/>
              <w:rPr>
                <w:b/>
                <w:bCs/>
                <w:sz w:val="14"/>
                <w:szCs w:val="14"/>
              </w:rPr>
            </w:pPr>
            <w:r w:rsidRPr="001269DE">
              <w:rPr>
                <w:b/>
                <w:bCs/>
                <w:sz w:val="14"/>
                <w:szCs w:val="14"/>
              </w:rPr>
              <w:t>Tabla III</w:t>
            </w:r>
          </w:p>
        </w:tc>
        <w:tc>
          <w:tcPr>
            <w:tcW w:w="1843" w:type="dxa"/>
          </w:tcPr>
          <w:p w14:paraId="3D91ABB7" w14:textId="77777777" w:rsidR="00597DE2" w:rsidRPr="001269DE" w:rsidRDefault="00597DE2" w:rsidP="00B66784">
            <w:pPr>
              <w:spacing w:after="0"/>
              <w:rPr>
                <w:b/>
                <w:bCs/>
                <w:sz w:val="14"/>
                <w:szCs w:val="14"/>
              </w:rPr>
            </w:pPr>
            <w:r w:rsidRPr="001269DE">
              <w:rPr>
                <w:b/>
                <w:bCs/>
                <w:sz w:val="14"/>
                <w:szCs w:val="14"/>
              </w:rPr>
              <w:t>Serie de Cinco Puertas</w:t>
            </w:r>
          </w:p>
        </w:tc>
        <w:tc>
          <w:tcPr>
            <w:tcW w:w="1928" w:type="dxa"/>
          </w:tcPr>
          <w:p w14:paraId="18755909" w14:textId="77777777" w:rsidR="00597DE2" w:rsidRPr="001269DE" w:rsidRDefault="00597DE2" w:rsidP="00B66784">
            <w:pPr>
              <w:spacing w:after="0"/>
              <w:rPr>
                <w:b/>
                <w:bCs/>
                <w:sz w:val="14"/>
                <w:szCs w:val="14"/>
              </w:rPr>
            </w:pPr>
            <w:r w:rsidRPr="001269DE">
              <w:rPr>
                <w:b/>
                <w:bCs/>
                <w:sz w:val="14"/>
                <w:szCs w:val="14"/>
              </w:rPr>
              <w:t>Serie Puerta–Mental</w:t>
            </w:r>
          </w:p>
        </w:tc>
      </w:tr>
      <w:tr w:rsidR="00597DE2" w:rsidRPr="00DC1A5F" w14:paraId="0FA31B1C" w14:textId="77777777" w:rsidTr="00B66784">
        <w:tc>
          <w:tcPr>
            <w:tcW w:w="988" w:type="dxa"/>
            <w:vMerge w:val="restart"/>
          </w:tcPr>
          <w:p w14:paraId="42E0CE30" w14:textId="77777777" w:rsidR="00597DE2" w:rsidRPr="00DC1A5F" w:rsidRDefault="00597DE2" w:rsidP="00B66784">
            <w:pPr>
              <w:spacing w:after="0"/>
              <w:jc w:val="center"/>
              <w:rPr>
                <w:sz w:val="14"/>
                <w:szCs w:val="14"/>
              </w:rPr>
            </w:pPr>
            <w:r w:rsidRPr="00DC1A5F">
              <w:rPr>
                <w:sz w:val="14"/>
                <w:szCs w:val="14"/>
              </w:rPr>
              <w:t>1</w:t>
            </w:r>
          </w:p>
          <w:p w14:paraId="4552E4F3" w14:textId="77777777" w:rsidR="00597DE2" w:rsidRPr="00DC1A5F" w:rsidRDefault="00597DE2" w:rsidP="00B66784">
            <w:pPr>
              <w:spacing w:after="0"/>
              <w:jc w:val="center"/>
              <w:rPr>
                <w:sz w:val="14"/>
                <w:szCs w:val="14"/>
              </w:rPr>
            </w:pPr>
            <w:r w:rsidRPr="00DC1A5F">
              <w:rPr>
                <w:sz w:val="14"/>
                <w:szCs w:val="14"/>
              </w:rPr>
              <w:t>2</w:t>
            </w:r>
          </w:p>
          <w:p w14:paraId="18260C21" w14:textId="77777777" w:rsidR="00597DE2" w:rsidRPr="00DC1A5F" w:rsidRDefault="00597DE2" w:rsidP="00B66784">
            <w:pPr>
              <w:spacing w:after="0"/>
              <w:jc w:val="center"/>
              <w:rPr>
                <w:sz w:val="14"/>
                <w:szCs w:val="14"/>
              </w:rPr>
            </w:pPr>
          </w:p>
          <w:p w14:paraId="06AC1D44" w14:textId="77777777" w:rsidR="00597DE2" w:rsidRPr="00DC1A5F" w:rsidRDefault="00597DE2" w:rsidP="00B66784">
            <w:pPr>
              <w:spacing w:after="0"/>
              <w:jc w:val="center"/>
              <w:rPr>
                <w:sz w:val="14"/>
                <w:szCs w:val="14"/>
              </w:rPr>
            </w:pPr>
            <w:r w:rsidRPr="00DC1A5F">
              <w:rPr>
                <w:sz w:val="14"/>
                <w:szCs w:val="14"/>
              </w:rPr>
              <w:t>3</w:t>
            </w:r>
          </w:p>
          <w:p w14:paraId="13EB73ED" w14:textId="77777777" w:rsidR="00597DE2" w:rsidRDefault="00597DE2" w:rsidP="00B66784">
            <w:pPr>
              <w:spacing w:after="0"/>
              <w:jc w:val="center"/>
              <w:rPr>
                <w:sz w:val="14"/>
                <w:szCs w:val="14"/>
              </w:rPr>
            </w:pPr>
            <w:r w:rsidRPr="00DC1A5F">
              <w:rPr>
                <w:sz w:val="14"/>
                <w:szCs w:val="14"/>
              </w:rPr>
              <w:t>4</w:t>
            </w:r>
          </w:p>
          <w:p w14:paraId="4ACB03BE" w14:textId="77777777" w:rsidR="00597DE2" w:rsidRPr="00DC1A5F" w:rsidRDefault="00597DE2" w:rsidP="00B66784">
            <w:pPr>
              <w:spacing w:after="0"/>
              <w:jc w:val="center"/>
              <w:rPr>
                <w:sz w:val="14"/>
                <w:szCs w:val="14"/>
              </w:rPr>
            </w:pPr>
          </w:p>
          <w:p w14:paraId="695B7626" w14:textId="77777777" w:rsidR="00597DE2" w:rsidRPr="00DC1A5F" w:rsidRDefault="00597DE2" w:rsidP="00B66784">
            <w:pPr>
              <w:spacing w:after="0"/>
              <w:jc w:val="center"/>
              <w:rPr>
                <w:sz w:val="14"/>
                <w:szCs w:val="14"/>
              </w:rPr>
            </w:pPr>
            <w:r w:rsidRPr="00DC1A5F">
              <w:rPr>
                <w:sz w:val="14"/>
                <w:szCs w:val="14"/>
              </w:rPr>
              <w:t>5</w:t>
            </w:r>
          </w:p>
          <w:p w14:paraId="74D07FBF" w14:textId="77777777" w:rsidR="00597DE2" w:rsidRPr="00DC1A5F" w:rsidRDefault="00597DE2" w:rsidP="00B66784">
            <w:pPr>
              <w:spacing w:after="0"/>
              <w:jc w:val="center"/>
              <w:rPr>
                <w:sz w:val="14"/>
                <w:szCs w:val="14"/>
              </w:rPr>
            </w:pPr>
            <w:r w:rsidRPr="00DC1A5F">
              <w:rPr>
                <w:sz w:val="14"/>
                <w:szCs w:val="14"/>
              </w:rPr>
              <w:t>6</w:t>
            </w:r>
          </w:p>
          <w:p w14:paraId="7DC1AA75" w14:textId="77777777" w:rsidR="00597DE2" w:rsidRPr="00DC1A5F" w:rsidRDefault="00597DE2" w:rsidP="00B66784">
            <w:pPr>
              <w:spacing w:after="0"/>
              <w:jc w:val="center"/>
              <w:rPr>
                <w:sz w:val="14"/>
                <w:szCs w:val="14"/>
              </w:rPr>
            </w:pPr>
          </w:p>
          <w:p w14:paraId="09B55640" w14:textId="77777777" w:rsidR="00597DE2" w:rsidRPr="00DC1A5F" w:rsidRDefault="00597DE2" w:rsidP="00B66784">
            <w:pPr>
              <w:spacing w:after="0"/>
              <w:jc w:val="center"/>
              <w:rPr>
                <w:sz w:val="14"/>
                <w:szCs w:val="14"/>
              </w:rPr>
            </w:pPr>
          </w:p>
          <w:p w14:paraId="0CBA7F97" w14:textId="77777777" w:rsidR="00597DE2" w:rsidRPr="00DC1A5F" w:rsidRDefault="00597DE2" w:rsidP="00B66784">
            <w:pPr>
              <w:spacing w:after="0"/>
              <w:jc w:val="center"/>
              <w:rPr>
                <w:sz w:val="14"/>
                <w:szCs w:val="14"/>
              </w:rPr>
            </w:pPr>
            <w:r w:rsidRPr="00DC1A5F">
              <w:rPr>
                <w:sz w:val="14"/>
                <w:szCs w:val="14"/>
              </w:rPr>
              <w:t>7</w:t>
            </w:r>
          </w:p>
          <w:p w14:paraId="69BD6905" w14:textId="77777777" w:rsidR="00597DE2" w:rsidRPr="00DC1A5F" w:rsidRDefault="00597DE2" w:rsidP="00B66784">
            <w:pPr>
              <w:spacing w:after="0"/>
              <w:jc w:val="center"/>
              <w:rPr>
                <w:sz w:val="10"/>
                <w:szCs w:val="10"/>
              </w:rPr>
            </w:pPr>
          </w:p>
          <w:p w14:paraId="2272C241" w14:textId="77777777" w:rsidR="00597DE2" w:rsidRPr="00DC1A5F" w:rsidRDefault="00597DE2" w:rsidP="00B66784">
            <w:pPr>
              <w:spacing w:after="0"/>
              <w:jc w:val="center"/>
              <w:rPr>
                <w:sz w:val="10"/>
                <w:szCs w:val="10"/>
              </w:rPr>
            </w:pPr>
          </w:p>
          <w:p w14:paraId="2792FE7F" w14:textId="77777777" w:rsidR="00597DE2" w:rsidRPr="00DC1A5F" w:rsidRDefault="00597DE2" w:rsidP="00B66784">
            <w:pPr>
              <w:spacing w:after="0"/>
              <w:jc w:val="center"/>
              <w:rPr>
                <w:sz w:val="13"/>
                <w:szCs w:val="13"/>
              </w:rPr>
            </w:pPr>
            <w:r w:rsidRPr="00DC1A5F">
              <w:rPr>
                <w:sz w:val="13"/>
                <w:szCs w:val="13"/>
              </w:rPr>
              <w:t>8</w:t>
            </w:r>
          </w:p>
          <w:p w14:paraId="4D3A2188" w14:textId="77777777" w:rsidR="00597DE2" w:rsidRPr="00DC1A5F" w:rsidRDefault="00597DE2" w:rsidP="00B66784">
            <w:pPr>
              <w:spacing w:after="0"/>
              <w:jc w:val="center"/>
              <w:rPr>
                <w:sz w:val="13"/>
                <w:szCs w:val="13"/>
              </w:rPr>
            </w:pPr>
            <w:r w:rsidRPr="00DC1A5F">
              <w:rPr>
                <w:sz w:val="13"/>
                <w:szCs w:val="13"/>
              </w:rPr>
              <w:t>9</w:t>
            </w:r>
          </w:p>
          <w:p w14:paraId="4A253E9D" w14:textId="77777777" w:rsidR="00597DE2" w:rsidRPr="00DC1A5F" w:rsidRDefault="00597DE2" w:rsidP="00B66784">
            <w:pPr>
              <w:spacing w:after="0"/>
              <w:jc w:val="center"/>
              <w:rPr>
                <w:sz w:val="13"/>
                <w:szCs w:val="13"/>
              </w:rPr>
            </w:pPr>
            <w:r w:rsidRPr="00DC1A5F">
              <w:rPr>
                <w:sz w:val="13"/>
                <w:szCs w:val="13"/>
              </w:rPr>
              <w:t>10</w:t>
            </w:r>
          </w:p>
          <w:p w14:paraId="11DFEF92" w14:textId="77777777" w:rsidR="00597DE2" w:rsidRPr="00DC1A5F" w:rsidRDefault="00597DE2" w:rsidP="00B66784">
            <w:pPr>
              <w:spacing w:after="0"/>
              <w:jc w:val="center"/>
              <w:rPr>
                <w:sz w:val="13"/>
                <w:szCs w:val="13"/>
              </w:rPr>
            </w:pPr>
            <w:r w:rsidRPr="00DC1A5F">
              <w:rPr>
                <w:sz w:val="13"/>
                <w:szCs w:val="13"/>
              </w:rPr>
              <w:t>11</w:t>
            </w:r>
          </w:p>
          <w:p w14:paraId="56F6620B" w14:textId="77777777" w:rsidR="00597DE2" w:rsidRPr="00DC1A5F" w:rsidRDefault="00597DE2" w:rsidP="00B66784">
            <w:pPr>
              <w:spacing w:after="0"/>
              <w:jc w:val="center"/>
              <w:rPr>
                <w:sz w:val="13"/>
                <w:szCs w:val="13"/>
              </w:rPr>
            </w:pPr>
            <w:r w:rsidRPr="00DC1A5F">
              <w:rPr>
                <w:sz w:val="13"/>
                <w:szCs w:val="13"/>
              </w:rPr>
              <w:t>12</w:t>
            </w:r>
          </w:p>
          <w:p w14:paraId="451C2E11" w14:textId="77777777" w:rsidR="00597DE2" w:rsidRPr="00DC1A5F" w:rsidRDefault="00597DE2" w:rsidP="00B66784">
            <w:pPr>
              <w:spacing w:after="0"/>
              <w:jc w:val="center"/>
              <w:rPr>
                <w:sz w:val="13"/>
                <w:szCs w:val="13"/>
              </w:rPr>
            </w:pPr>
            <w:r w:rsidRPr="00DC1A5F">
              <w:rPr>
                <w:sz w:val="13"/>
                <w:szCs w:val="13"/>
              </w:rPr>
              <w:t>13</w:t>
            </w:r>
          </w:p>
          <w:p w14:paraId="6520157E" w14:textId="77777777" w:rsidR="00597DE2" w:rsidRPr="00DC1A5F" w:rsidRDefault="00597DE2" w:rsidP="00B66784">
            <w:pPr>
              <w:spacing w:after="0"/>
              <w:jc w:val="center"/>
              <w:rPr>
                <w:sz w:val="13"/>
                <w:szCs w:val="13"/>
              </w:rPr>
            </w:pPr>
            <w:r w:rsidRPr="00DC1A5F">
              <w:rPr>
                <w:sz w:val="13"/>
                <w:szCs w:val="13"/>
              </w:rPr>
              <w:t>14</w:t>
            </w:r>
          </w:p>
          <w:p w14:paraId="1AE58261" w14:textId="77777777" w:rsidR="00597DE2" w:rsidRPr="00DC1A5F" w:rsidRDefault="00597DE2" w:rsidP="00B66784">
            <w:pPr>
              <w:spacing w:after="0"/>
              <w:jc w:val="center"/>
              <w:rPr>
                <w:sz w:val="13"/>
                <w:szCs w:val="13"/>
              </w:rPr>
            </w:pPr>
            <w:r w:rsidRPr="00DC1A5F">
              <w:rPr>
                <w:sz w:val="13"/>
                <w:szCs w:val="13"/>
              </w:rPr>
              <w:t>15</w:t>
            </w:r>
          </w:p>
          <w:p w14:paraId="71C78386" w14:textId="77777777" w:rsidR="00597DE2" w:rsidRPr="00DC1A5F" w:rsidRDefault="00597DE2" w:rsidP="00B66784">
            <w:pPr>
              <w:spacing w:after="0"/>
              <w:jc w:val="center"/>
              <w:rPr>
                <w:sz w:val="13"/>
                <w:szCs w:val="13"/>
              </w:rPr>
            </w:pPr>
            <w:r w:rsidRPr="00DC1A5F">
              <w:rPr>
                <w:sz w:val="13"/>
                <w:szCs w:val="13"/>
              </w:rPr>
              <w:t>16</w:t>
            </w:r>
          </w:p>
          <w:p w14:paraId="0E0DA60A" w14:textId="77777777" w:rsidR="00597DE2" w:rsidRPr="00DC1A5F" w:rsidRDefault="00597DE2" w:rsidP="00B66784">
            <w:pPr>
              <w:spacing w:after="0"/>
              <w:jc w:val="center"/>
              <w:rPr>
                <w:sz w:val="14"/>
                <w:szCs w:val="14"/>
              </w:rPr>
            </w:pPr>
            <w:r w:rsidRPr="00DC1A5F">
              <w:rPr>
                <w:sz w:val="13"/>
                <w:szCs w:val="13"/>
              </w:rPr>
              <w:t>17</w:t>
            </w:r>
          </w:p>
        </w:tc>
        <w:tc>
          <w:tcPr>
            <w:tcW w:w="1417" w:type="dxa"/>
          </w:tcPr>
          <w:p w14:paraId="3CA798F0" w14:textId="77777777" w:rsidR="00597DE2" w:rsidRPr="00DC1A5F" w:rsidRDefault="00597DE2" w:rsidP="00B66784">
            <w:pPr>
              <w:spacing w:after="0"/>
              <w:rPr>
                <w:sz w:val="14"/>
                <w:szCs w:val="14"/>
              </w:rPr>
            </w:pPr>
            <w:r w:rsidRPr="00DC1A5F">
              <w:rPr>
                <w:sz w:val="14"/>
                <w:szCs w:val="14"/>
              </w:rPr>
              <w:t>Resultante</w:t>
            </w:r>
          </w:p>
          <w:p w14:paraId="04A2F7B9" w14:textId="77777777" w:rsidR="00597DE2" w:rsidRPr="00DC1A5F" w:rsidRDefault="00597DE2" w:rsidP="00B66784">
            <w:pPr>
              <w:spacing w:after="0"/>
              <w:rPr>
                <w:sz w:val="14"/>
                <w:szCs w:val="14"/>
              </w:rPr>
            </w:pPr>
            <w:r w:rsidRPr="00DC1A5F">
              <w:rPr>
                <w:sz w:val="14"/>
                <w:szCs w:val="14"/>
              </w:rPr>
              <w:t>Resultante</w:t>
            </w:r>
          </w:p>
        </w:tc>
        <w:tc>
          <w:tcPr>
            <w:tcW w:w="992" w:type="dxa"/>
          </w:tcPr>
          <w:p w14:paraId="7B062116" w14:textId="77777777" w:rsidR="00597DE2" w:rsidRPr="00DC1A5F" w:rsidRDefault="00597DE2" w:rsidP="00B66784">
            <w:pPr>
              <w:spacing w:after="0"/>
              <w:rPr>
                <w:sz w:val="14"/>
                <w:szCs w:val="14"/>
              </w:rPr>
            </w:pPr>
          </w:p>
        </w:tc>
        <w:tc>
          <w:tcPr>
            <w:tcW w:w="993" w:type="dxa"/>
          </w:tcPr>
          <w:p w14:paraId="353041A1" w14:textId="77777777" w:rsidR="00597DE2" w:rsidRPr="00DC1A5F" w:rsidRDefault="00597DE2" w:rsidP="00B66784">
            <w:pPr>
              <w:spacing w:after="0"/>
              <w:rPr>
                <w:sz w:val="14"/>
                <w:szCs w:val="14"/>
              </w:rPr>
            </w:pPr>
          </w:p>
        </w:tc>
        <w:tc>
          <w:tcPr>
            <w:tcW w:w="1984" w:type="dxa"/>
          </w:tcPr>
          <w:p w14:paraId="1752820D" w14:textId="77777777" w:rsidR="00597DE2" w:rsidRPr="00DC1A5F" w:rsidRDefault="00597DE2" w:rsidP="00B66784">
            <w:pPr>
              <w:spacing w:after="0"/>
              <w:rPr>
                <w:sz w:val="14"/>
                <w:szCs w:val="14"/>
              </w:rPr>
            </w:pPr>
          </w:p>
        </w:tc>
        <w:tc>
          <w:tcPr>
            <w:tcW w:w="992" w:type="dxa"/>
            <w:vMerge w:val="restart"/>
          </w:tcPr>
          <w:p w14:paraId="5353E7EA" w14:textId="77777777" w:rsidR="00597DE2" w:rsidRPr="00DC1A5F" w:rsidRDefault="00597DE2" w:rsidP="00B66784">
            <w:pPr>
              <w:spacing w:after="0"/>
              <w:rPr>
                <w:sz w:val="14"/>
                <w:szCs w:val="14"/>
              </w:rPr>
            </w:pPr>
            <w:r w:rsidRPr="00DC1A5F">
              <w:rPr>
                <w:sz w:val="14"/>
                <w:szCs w:val="14"/>
              </w:rPr>
              <w:t>Uno de los 19 tipos</w:t>
            </w:r>
          </w:p>
          <w:p w14:paraId="54F4E8E1" w14:textId="77777777" w:rsidR="00597DE2" w:rsidRDefault="00597DE2" w:rsidP="00B66784">
            <w:pPr>
              <w:spacing w:after="0"/>
              <w:rPr>
                <w:sz w:val="14"/>
                <w:szCs w:val="14"/>
              </w:rPr>
            </w:pPr>
          </w:p>
          <w:p w14:paraId="5296D6A7" w14:textId="77777777" w:rsidR="00597DE2" w:rsidRPr="00DC1A5F" w:rsidRDefault="00597DE2" w:rsidP="00B66784">
            <w:pPr>
              <w:spacing w:after="0"/>
              <w:rPr>
                <w:sz w:val="14"/>
                <w:szCs w:val="14"/>
              </w:rPr>
            </w:pPr>
            <w:r w:rsidRPr="00DC1A5F">
              <w:rPr>
                <w:sz w:val="14"/>
                <w:szCs w:val="14"/>
              </w:rPr>
              <w:t>(70)</w:t>
            </w:r>
          </w:p>
          <w:p w14:paraId="7FB5B97A" w14:textId="77777777" w:rsidR="00597DE2" w:rsidRPr="00DC1A5F" w:rsidRDefault="00597DE2" w:rsidP="00B66784">
            <w:pPr>
              <w:spacing w:after="0"/>
              <w:rPr>
                <w:sz w:val="14"/>
                <w:szCs w:val="14"/>
              </w:rPr>
            </w:pPr>
            <w:r w:rsidRPr="00DC1A5F">
              <w:rPr>
                <w:sz w:val="14"/>
                <w:szCs w:val="14"/>
              </w:rPr>
              <w:t>(34)–(38)</w:t>
            </w:r>
          </w:p>
          <w:p w14:paraId="79998457" w14:textId="77777777" w:rsidR="00597DE2" w:rsidRPr="00DC1A5F" w:rsidRDefault="00597DE2" w:rsidP="00B66784">
            <w:pPr>
              <w:spacing w:after="0"/>
              <w:rPr>
                <w:sz w:val="14"/>
                <w:szCs w:val="14"/>
              </w:rPr>
            </w:pPr>
            <w:r w:rsidRPr="00DC1A5F">
              <w:rPr>
                <w:sz w:val="14"/>
                <w:szCs w:val="14"/>
              </w:rPr>
              <w:t>(50)–(54)</w:t>
            </w:r>
          </w:p>
          <w:p w14:paraId="1176E3BC" w14:textId="77777777" w:rsidR="00597DE2" w:rsidRPr="00DC1A5F" w:rsidRDefault="00597DE2" w:rsidP="00B66784">
            <w:pPr>
              <w:spacing w:after="0"/>
              <w:rPr>
                <w:sz w:val="14"/>
                <w:szCs w:val="14"/>
              </w:rPr>
            </w:pPr>
            <w:r w:rsidRPr="00DC1A5F">
              <w:rPr>
                <w:sz w:val="14"/>
                <w:szCs w:val="14"/>
              </w:rPr>
              <w:t>(39)–(55)</w:t>
            </w:r>
          </w:p>
          <w:p w14:paraId="190B6CF4" w14:textId="77777777" w:rsidR="00597DE2" w:rsidRPr="00DC1A5F" w:rsidRDefault="00597DE2" w:rsidP="00B66784">
            <w:pPr>
              <w:spacing w:after="0"/>
              <w:rPr>
                <w:sz w:val="14"/>
                <w:szCs w:val="14"/>
              </w:rPr>
            </w:pPr>
            <w:r w:rsidRPr="00DC1A5F">
              <w:rPr>
                <w:sz w:val="14"/>
                <w:szCs w:val="14"/>
              </w:rPr>
              <w:t>(40)–(41)</w:t>
            </w:r>
          </w:p>
          <w:p w14:paraId="665F9552" w14:textId="77777777" w:rsidR="00597DE2" w:rsidRPr="00DC1A5F" w:rsidRDefault="00597DE2" w:rsidP="00B66784">
            <w:pPr>
              <w:spacing w:after="0"/>
              <w:rPr>
                <w:sz w:val="14"/>
                <w:szCs w:val="14"/>
              </w:rPr>
            </w:pPr>
            <w:r w:rsidRPr="00DC1A5F">
              <w:rPr>
                <w:sz w:val="14"/>
                <w:szCs w:val="14"/>
              </w:rPr>
              <w:t>(56)</w:t>
            </w:r>
          </w:p>
          <w:p w14:paraId="7BF04BF8" w14:textId="77777777" w:rsidR="00597DE2" w:rsidRPr="00DC1A5F" w:rsidRDefault="00597DE2" w:rsidP="00B66784">
            <w:pPr>
              <w:spacing w:after="0"/>
              <w:rPr>
                <w:sz w:val="14"/>
                <w:szCs w:val="14"/>
              </w:rPr>
            </w:pPr>
          </w:p>
        </w:tc>
        <w:tc>
          <w:tcPr>
            <w:tcW w:w="1843" w:type="dxa"/>
          </w:tcPr>
          <w:p w14:paraId="4C9F597C" w14:textId="77777777" w:rsidR="00597DE2" w:rsidRPr="00DC1A5F" w:rsidRDefault="00597DE2" w:rsidP="00B66784">
            <w:pPr>
              <w:spacing w:after="0"/>
              <w:rPr>
                <w:sz w:val="14"/>
                <w:szCs w:val="14"/>
              </w:rPr>
            </w:pPr>
            <w:r>
              <w:rPr>
                <w:sz w:val="14"/>
                <w:szCs w:val="14"/>
              </w:rPr>
              <w:t>Continuum vital</w:t>
            </w:r>
          </w:p>
          <w:p w14:paraId="1838D592" w14:textId="77777777" w:rsidR="00597DE2" w:rsidRPr="00DC1A5F" w:rsidRDefault="00597DE2" w:rsidP="00B66784">
            <w:pPr>
              <w:spacing w:after="0"/>
              <w:rPr>
                <w:sz w:val="14"/>
                <w:szCs w:val="14"/>
              </w:rPr>
            </w:pPr>
            <w:proofErr w:type="spellStart"/>
            <w:r>
              <w:rPr>
                <w:sz w:val="14"/>
                <w:szCs w:val="14"/>
              </w:rPr>
              <w:t>C.v</w:t>
            </w:r>
            <w:r w:rsidRPr="00DC1A5F">
              <w:rPr>
                <w:sz w:val="14"/>
                <w:szCs w:val="14"/>
              </w:rPr>
              <w:t>.</w:t>
            </w:r>
            <w:proofErr w:type="spellEnd"/>
            <w:r w:rsidRPr="00DC1A5F">
              <w:rPr>
                <w:sz w:val="14"/>
                <w:szCs w:val="14"/>
              </w:rPr>
              <w:t xml:space="preserve"> perturbado: ocurre la </w:t>
            </w:r>
            <w:r>
              <w:rPr>
                <w:sz w:val="14"/>
                <w:szCs w:val="14"/>
              </w:rPr>
              <w:t>2</w:t>
            </w:r>
            <w:r w:rsidRPr="00C122E2">
              <w:rPr>
                <w:sz w:val="14"/>
                <w:szCs w:val="14"/>
                <w:vertAlign w:val="superscript"/>
              </w:rPr>
              <w:t>da</w:t>
            </w:r>
            <w:r>
              <w:rPr>
                <w:sz w:val="14"/>
                <w:szCs w:val="14"/>
                <w:vertAlign w:val="superscript"/>
              </w:rPr>
              <w:t xml:space="preserve"> </w:t>
            </w:r>
            <w:r w:rsidRPr="00EE139E">
              <w:rPr>
                <w:sz w:val="14"/>
                <w:szCs w:val="14"/>
              </w:rPr>
              <w:t>v</w:t>
            </w:r>
            <w:r w:rsidRPr="00DC1A5F">
              <w:rPr>
                <w:sz w:val="14"/>
                <w:szCs w:val="14"/>
              </w:rPr>
              <w:t>ez de manera diferente</w:t>
            </w:r>
          </w:p>
        </w:tc>
        <w:tc>
          <w:tcPr>
            <w:tcW w:w="1928" w:type="dxa"/>
          </w:tcPr>
          <w:p w14:paraId="57660E9D" w14:textId="77777777" w:rsidR="00597DE2" w:rsidRPr="00DC1A5F" w:rsidRDefault="00597DE2" w:rsidP="00B66784">
            <w:pPr>
              <w:spacing w:after="0"/>
              <w:rPr>
                <w:sz w:val="14"/>
                <w:szCs w:val="14"/>
              </w:rPr>
            </w:pPr>
            <w:r w:rsidRPr="00DC1A5F">
              <w:rPr>
                <w:sz w:val="14"/>
                <w:szCs w:val="14"/>
              </w:rPr>
              <w:t>Vida continua</w:t>
            </w:r>
          </w:p>
          <w:p w14:paraId="014B8F4E" w14:textId="77777777" w:rsidR="00597DE2" w:rsidRPr="00DC1A5F" w:rsidRDefault="00597DE2" w:rsidP="00B66784">
            <w:pPr>
              <w:spacing w:after="0"/>
              <w:rPr>
                <w:sz w:val="14"/>
                <w:szCs w:val="14"/>
              </w:rPr>
            </w:pPr>
            <w:r w:rsidRPr="00DC1A5F">
              <w:rPr>
                <w:sz w:val="14"/>
                <w:szCs w:val="14"/>
              </w:rPr>
              <w:t>L.–c. perturbado: ocurre</w:t>
            </w:r>
          </w:p>
          <w:p w14:paraId="4AC556E3" w14:textId="77777777" w:rsidR="00597DE2" w:rsidRPr="00DC1A5F" w:rsidRDefault="00597DE2" w:rsidP="00B66784">
            <w:pPr>
              <w:spacing w:after="0"/>
              <w:rPr>
                <w:sz w:val="14"/>
                <w:szCs w:val="14"/>
              </w:rPr>
            </w:pPr>
            <w:r w:rsidRPr="00DC1A5F">
              <w:rPr>
                <w:sz w:val="14"/>
                <w:szCs w:val="14"/>
              </w:rPr>
              <w:t>2da vez diferente</w:t>
            </w:r>
          </w:p>
        </w:tc>
      </w:tr>
      <w:tr w:rsidR="00597DE2" w:rsidRPr="00DC1A5F" w14:paraId="3BFEEF51" w14:textId="77777777" w:rsidTr="00B66784">
        <w:tc>
          <w:tcPr>
            <w:tcW w:w="988" w:type="dxa"/>
            <w:vMerge/>
          </w:tcPr>
          <w:p w14:paraId="7F53BB8A" w14:textId="77777777" w:rsidR="00597DE2" w:rsidRPr="00DC1A5F" w:rsidRDefault="00597DE2" w:rsidP="00B66784">
            <w:pPr>
              <w:spacing w:after="0"/>
              <w:rPr>
                <w:sz w:val="14"/>
                <w:szCs w:val="14"/>
              </w:rPr>
            </w:pPr>
          </w:p>
        </w:tc>
        <w:tc>
          <w:tcPr>
            <w:tcW w:w="1417" w:type="dxa"/>
          </w:tcPr>
          <w:p w14:paraId="4A4E8A14" w14:textId="77777777" w:rsidR="00597DE2" w:rsidRPr="00DC1A5F" w:rsidRDefault="00597DE2" w:rsidP="00B66784">
            <w:pPr>
              <w:spacing w:after="0"/>
              <w:rPr>
                <w:sz w:val="14"/>
                <w:szCs w:val="14"/>
              </w:rPr>
            </w:pPr>
          </w:p>
        </w:tc>
        <w:tc>
          <w:tcPr>
            <w:tcW w:w="992" w:type="dxa"/>
          </w:tcPr>
          <w:p w14:paraId="4213FF4D" w14:textId="77777777" w:rsidR="00597DE2" w:rsidRPr="00DC1A5F" w:rsidRDefault="00597DE2" w:rsidP="00B66784">
            <w:pPr>
              <w:spacing w:after="0"/>
              <w:rPr>
                <w:sz w:val="14"/>
                <w:szCs w:val="14"/>
              </w:rPr>
            </w:pPr>
            <w:r w:rsidRPr="00DC1A5F">
              <w:rPr>
                <w:sz w:val="14"/>
                <w:szCs w:val="14"/>
              </w:rPr>
              <w:t>Funcional</w:t>
            </w:r>
          </w:p>
        </w:tc>
        <w:tc>
          <w:tcPr>
            <w:tcW w:w="993" w:type="dxa"/>
          </w:tcPr>
          <w:p w14:paraId="1436053E" w14:textId="77777777" w:rsidR="00597DE2" w:rsidRPr="00DC1A5F" w:rsidRDefault="00597DE2" w:rsidP="00B66784">
            <w:pPr>
              <w:spacing w:after="0"/>
              <w:rPr>
                <w:sz w:val="14"/>
                <w:szCs w:val="14"/>
              </w:rPr>
            </w:pPr>
          </w:p>
        </w:tc>
        <w:tc>
          <w:tcPr>
            <w:tcW w:w="1984" w:type="dxa"/>
          </w:tcPr>
          <w:p w14:paraId="7773CDF2" w14:textId="77777777" w:rsidR="00597DE2" w:rsidRPr="00DC1A5F" w:rsidRDefault="00597DE2" w:rsidP="00B66784">
            <w:pPr>
              <w:spacing w:after="0"/>
              <w:rPr>
                <w:sz w:val="14"/>
                <w:szCs w:val="14"/>
              </w:rPr>
            </w:pPr>
            <w:r w:rsidRPr="00DC1A5F">
              <w:rPr>
                <w:sz w:val="14"/>
                <w:szCs w:val="14"/>
              </w:rPr>
              <w:t>Ecuanimidad</w:t>
            </w:r>
          </w:p>
        </w:tc>
        <w:tc>
          <w:tcPr>
            <w:tcW w:w="992" w:type="dxa"/>
            <w:vMerge/>
          </w:tcPr>
          <w:p w14:paraId="30B0C67C" w14:textId="77777777" w:rsidR="00597DE2" w:rsidRPr="00DC1A5F" w:rsidRDefault="00597DE2" w:rsidP="00B66784">
            <w:pPr>
              <w:spacing w:after="0"/>
              <w:rPr>
                <w:sz w:val="14"/>
                <w:szCs w:val="14"/>
              </w:rPr>
            </w:pPr>
          </w:p>
        </w:tc>
        <w:tc>
          <w:tcPr>
            <w:tcW w:w="1843" w:type="dxa"/>
            <w:vMerge w:val="restart"/>
          </w:tcPr>
          <w:p w14:paraId="08BB4969" w14:textId="77777777" w:rsidR="00597DE2" w:rsidRPr="00EE139E" w:rsidRDefault="00597DE2" w:rsidP="00B66784">
            <w:pPr>
              <w:spacing w:after="0"/>
              <w:rPr>
                <w:sz w:val="14"/>
                <w:szCs w:val="14"/>
              </w:rPr>
            </w:pPr>
            <w:r w:rsidRPr="00EE139E">
              <w:rPr>
                <w:sz w:val="14"/>
                <w:szCs w:val="14"/>
              </w:rPr>
              <w:t xml:space="preserve">advertencia de las 5–puertas </w:t>
            </w:r>
          </w:p>
          <w:p w14:paraId="13FBE3C4" w14:textId="77777777" w:rsidR="00597DE2" w:rsidRPr="00DC1A5F" w:rsidRDefault="00597DE2" w:rsidP="00B66784">
            <w:pPr>
              <w:spacing w:after="0"/>
              <w:rPr>
                <w:sz w:val="14"/>
                <w:szCs w:val="14"/>
              </w:rPr>
            </w:pPr>
            <w:r w:rsidRPr="00DC6EEE">
              <w:rPr>
                <w:sz w:val="14"/>
                <w:szCs w:val="14"/>
              </w:rPr>
              <w:t>Ver, oír, oler, saborear, tocar Rec</w:t>
            </w:r>
            <w:r>
              <w:rPr>
                <w:sz w:val="14"/>
                <w:szCs w:val="14"/>
              </w:rPr>
              <w:t xml:space="preserve">epcionar, </w:t>
            </w:r>
            <w:r w:rsidRPr="00DC6EEE">
              <w:rPr>
                <w:sz w:val="14"/>
                <w:szCs w:val="14"/>
              </w:rPr>
              <w:t>Investigación</w:t>
            </w:r>
          </w:p>
        </w:tc>
        <w:tc>
          <w:tcPr>
            <w:tcW w:w="1928" w:type="dxa"/>
            <w:vMerge w:val="restart"/>
          </w:tcPr>
          <w:p w14:paraId="415D8688" w14:textId="77777777" w:rsidR="00597DE2" w:rsidRPr="00DC1A5F" w:rsidRDefault="00597DE2" w:rsidP="00B66784">
            <w:pPr>
              <w:spacing w:after="0"/>
              <w:rPr>
                <w:sz w:val="14"/>
                <w:szCs w:val="14"/>
              </w:rPr>
            </w:pPr>
          </w:p>
        </w:tc>
      </w:tr>
      <w:tr w:rsidR="00597DE2" w:rsidRPr="00DC1A5F" w14:paraId="2BE662E4" w14:textId="77777777" w:rsidTr="00B66784">
        <w:tc>
          <w:tcPr>
            <w:tcW w:w="988" w:type="dxa"/>
            <w:vMerge/>
          </w:tcPr>
          <w:p w14:paraId="3E2FBD15" w14:textId="77777777" w:rsidR="00597DE2" w:rsidRPr="00DC1A5F" w:rsidRDefault="00597DE2" w:rsidP="00B66784">
            <w:pPr>
              <w:spacing w:after="0"/>
              <w:rPr>
                <w:sz w:val="14"/>
                <w:szCs w:val="14"/>
              </w:rPr>
            </w:pPr>
          </w:p>
        </w:tc>
        <w:tc>
          <w:tcPr>
            <w:tcW w:w="1417" w:type="dxa"/>
          </w:tcPr>
          <w:p w14:paraId="4875B37B" w14:textId="77777777" w:rsidR="00597DE2" w:rsidRPr="00DC1A5F" w:rsidRDefault="00597DE2" w:rsidP="00B66784">
            <w:pPr>
              <w:spacing w:after="0"/>
              <w:rPr>
                <w:sz w:val="14"/>
                <w:szCs w:val="14"/>
              </w:rPr>
            </w:pPr>
          </w:p>
        </w:tc>
        <w:tc>
          <w:tcPr>
            <w:tcW w:w="992" w:type="dxa"/>
          </w:tcPr>
          <w:p w14:paraId="66736241" w14:textId="77777777" w:rsidR="00597DE2" w:rsidRPr="00DC1A5F" w:rsidRDefault="00597DE2" w:rsidP="00B66784">
            <w:pPr>
              <w:spacing w:after="0"/>
              <w:rPr>
                <w:sz w:val="14"/>
                <w:szCs w:val="14"/>
              </w:rPr>
            </w:pPr>
          </w:p>
        </w:tc>
        <w:tc>
          <w:tcPr>
            <w:tcW w:w="993" w:type="dxa"/>
          </w:tcPr>
          <w:p w14:paraId="738D3904" w14:textId="77777777" w:rsidR="00597DE2" w:rsidRPr="00DC1A5F" w:rsidRDefault="00597DE2" w:rsidP="00B66784">
            <w:pPr>
              <w:spacing w:after="0"/>
              <w:rPr>
                <w:sz w:val="14"/>
                <w:szCs w:val="14"/>
              </w:rPr>
            </w:pPr>
            <w:r w:rsidRPr="00DC1A5F">
              <w:rPr>
                <w:sz w:val="14"/>
                <w:szCs w:val="14"/>
              </w:rPr>
              <w:t>Resultante</w:t>
            </w:r>
          </w:p>
        </w:tc>
        <w:tc>
          <w:tcPr>
            <w:tcW w:w="1984" w:type="dxa"/>
          </w:tcPr>
          <w:p w14:paraId="0BD153C1" w14:textId="77777777" w:rsidR="00597DE2" w:rsidRPr="00DC1A5F" w:rsidRDefault="00597DE2" w:rsidP="00B66784">
            <w:pPr>
              <w:spacing w:after="0"/>
              <w:rPr>
                <w:sz w:val="14"/>
                <w:szCs w:val="14"/>
              </w:rPr>
            </w:pPr>
            <w:r w:rsidRPr="00DC1A5F">
              <w:rPr>
                <w:sz w:val="14"/>
                <w:szCs w:val="14"/>
              </w:rPr>
              <w:t xml:space="preserve">Alegría (placer) o </w:t>
            </w:r>
            <w:r>
              <w:rPr>
                <w:sz w:val="14"/>
                <w:szCs w:val="14"/>
              </w:rPr>
              <w:br/>
            </w:r>
            <w:r w:rsidRPr="00DC1A5F">
              <w:rPr>
                <w:sz w:val="14"/>
                <w:szCs w:val="14"/>
              </w:rPr>
              <w:t>pena (dolor)</w:t>
            </w:r>
            <w:r w:rsidRPr="00DC6EEE">
              <w:rPr>
                <w:sz w:val="14"/>
                <w:szCs w:val="14"/>
                <w:vertAlign w:val="superscript"/>
              </w:rPr>
              <w:t>1</w:t>
            </w:r>
          </w:p>
        </w:tc>
        <w:tc>
          <w:tcPr>
            <w:tcW w:w="992" w:type="dxa"/>
            <w:vMerge/>
          </w:tcPr>
          <w:p w14:paraId="7886CBFB" w14:textId="77777777" w:rsidR="00597DE2" w:rsidRPr="00DC1A5F" w:rsidRDefault="00597DE2" w:rsidP="00B66784">
            <w:pPr>
              <w:spacing w:after="0"/>
              <w:rPr>
                <w:sz w:val="14"/>
                <w:szCs w:val="14"/>
              </w:rPr>
            </w:pPr>
          </w:p>
        </w:tc>
        <w:tc>
          <w:tcPr>
            <w:tcW w:w="1843" w:type="dxa"/>
            <w:vMerge/>
          </w:tcPr>
          <w:p w14:paraId="664C5737" w14:textId="77777777" w:rsidR="00597DE2" w:rsidRPr="00DC1A5F" w:rsidRDefault="00597DE2" w:rsidP="00B66784">
            <w:pPr>
              <w:spacing w:after="0"/>
              <w:rPr>
                <w:sz w:val="14"/>
                <w:szCs w:val="14"/>
              </w:rPr>
            </w:pPr>
          </w:p>
        </w:tc>
        <w:tc>
          <w:tcPr>
            <w:tcW w:w="1928" w:type="dxa"/>
            <w:vMerge/>
          </w:tcPr>
          <w:p w14:paraId="19BABCB6" w14:textId="77777777" w:rsidR="00597DE2" w:rsidRPr="00DC1A5F" w:rsidRDefault="00597DE2" w:rsidP="00B66784">
            <w:pPr>
              <w:spacing w:after="0"/>
              <w:rPr>
                <w:sz w:val="14"/>
                <w:szCs w:val="14"/>
              </w:rPr>
            </w:pPr>
          </w:p>
        </w:tc>
      </w:tr>
      <w:tr w:rsidR="00597DE2" w:rsidRPr="00DC1A5F" w14:paraId="266A2DFC" w14:textId="77777777" w:rsidTr="00B66784">
        <w:tc>
          <w:tcPr>
            <w:tcW w:w="988" w:type="dxa"/>
            <w:vMerge/>
          </w:tcPr>
          <w:p w14:paraId="406C9753" w14:textId="77777777" w:rsidR="00597DE2" w:rsidRPr="00DC1A5F" w:rsidRDefault="00597DE2" w:rsidP="00B66784">
            <w:pPr>
              <w:spacing w:after="0"/>
              <w:rPr>
                <w:sz w:val="14"/>
                <w:szCs w:val="14"/>
              </w:rPr>
            </w:pPr>
          </w:p>
        </w:tc>
        <w:tc>
          <w:tcPr>
            <w:tcW w:w="1417" w:type="dxa"/>
          </w:tcPr>
          <w:p w14:paraId="20F62478" w14:textId="77777777" w:rsidR="00597DE2" w:rsidRPr="00DC1A5F" w:rsidRDefault="00597DE2" w:rsidP="00B66784">
            <w:pPr>
              <w:spacing w:after="0"/>
              <w:rPr>
                <w:sz w:val="14"/>
                <w:szCs w:val="14"/>
              </w:rPr>
            </w:pPr>
          </w:p>
        </w:tc>
        <w:tc>
          <w:tcPr>
            <w:tcW w:w="992" w:type="dxa"/>
          </w:tcPr>
          <w:p w14:paraId="1DE1D6DA" w14:textId="77777777" w:rsidR="00597DE2" w:rsidRPr="00DC1A5F" w:rsidRDefault="00597DE2" w:rsidP="00B66784">
            <w:pPr>
              <w:spacing w:after="0"/>
              <w:rPr>
                <w:sz w:val="14"/>
                <w:szCs w:val="14"/>
              </w:rPr>
            </w:pPr>
            <w:r w:rsidRPr="00DC1A5F">
              <w:rPr>
                <w:sz w:val="14"/>
                <w:szCs w:val="14"/>
              </w:rPr>
              <w:t>Resultante</w:t>
            </w:r>
          </w:p>
        </w:tc>
        <w:tc>
          <w:tcPr>
            <w:tcW w:w="993" w:type="dxa"/>
          </w:tcPr>
          <w:p w14:paraId="7BFC3911" w14:textId="77777777" w:rsidR="00597DE2" w:rsidRPr="00DC1A5F" w:rsidRDefault="00597DE2" w:rsidP="00B66784">
            <w:pPr>
              <w:spacing w:after="0"/>
              <w:rPr>
                <w:sz w:val="14"/>
                <w:szCs w:val="14"/>
              </w:rPr>
            </w:pPr>
          </w:p>
        </w:tc>
        <w:tc>
          <w:tcPr>
            <w:tcW w:w="1984" w:type="dxa"/>
          </w:tcPr>
          <w:p w14:paraId="16263325" w14:textId="77777777" w:rsidR="00597DE2" w:rsidRPr="00DC1A5F" w:rsidRDefault="00597DE2" w:rsidP="00B66784">
            <w:pPr>
              <w:spacing w:after="0"/>
              <w:rPr>
                <w:sz w:val="14"/>
                <w:szCs w:val="14"/>
              </w:rPr>
            </w:pPr>
            <w:r w:rsidRPr="00DC1A5F">
              <w:rPr>
                <w:sz w:val="14"/>
                <w:szCs w:val="14"/>
              </w:rPr>
              <w:t>Ecuanimidad</w:t>
            </w:r>
          </w:p>
        </w:tc>
        <w:tc>
          <w:tcPr>
            <w:tcW w:w="992" w:type="dxa"/>
            <w:vMerge/>
          </w:tcPr>
          <w:p w14:paraId="5284D08E" w14:textId="77777777" w:rsidR="00597DE2" w:rsidRPr="00DC1A5F" w:rsidRDefault="00597DE2" w:rsidP="00B66784">
            <w:pPr>
              <w:spacing w:after="0"/>
              <w:rPr>
                <w:sz w:val="14"/>
                <w:szCs w:val="14"/>
              </w:rPr>
            </w:pPr>
          </w:p>
        </w:tc>
        <w:tc>
          <w:tcPr>
            <w:tcW w:w="1843" w:type="dxa"/>
            <w:vMerge/>
          </w:tcPr>
          <w:p w14:paraId="4C41C7AE" w14:textId="77777777" w:rsidR="00597DE2" w:rsidRPr="00DC1A5F" w:rsidRDefault="00597DE2" w:rsidP="00B66784">
            <w:pPr>
              <w:spacing w:after="0"/>
              <w:rPr>
                <w:sz w:val="14"/>
                <w:szCs w:val="14"/>
              </w:rPr>
            </w:pPr>
          </w:p>
        </w:tc>
        <w:tc>
          <w:tcPr>
            <w:tcW w:w="1928" w:type="dxa"/>
            <w:vMerge/>
          </w:tcPr>
          <w:p w14:paraId="12962DDD" w14:textId="77777777" w:rsidR="00597DE2" w:rsidRPr="00DC1A5F" w:rsidRDefault="00597DE2" w:rsidP="00B66784">
            <w:pPr>
              <w:spacing w:after="0"/>
              <w:rPr>
                <w:sz w:val="14"/>
                <w:szCs w:val="14"/>
              </w:rPr>
            </w:pPr>
          </w:p>
        </w:tc>
      </w:tr>
      <w:tr w:rsidR="00597DE2" w:rsidRPr="00DC1A5F" w14:paraId="4240D0C9" w14:textId="77777777" w:rsidTr="00B66784">
        <w:tc>
          <w:tcPr>
            <w:tcW w:w="988" w:type="dxa"/>
            <w:vMerge/>
          </w:tcPr>
          <w:p w14:paraId="5272E6F3" w14:textId="77777777" w:rsidR="00597DE2" w:rsidRPr="00DC1A5F" w:rsidRDefault="00597DE2" w:rsidP="00B66784">
            <w:pPr>
              <w:spacing w:after="0"/>
              <w:rPr>
                <w:sz w:val="14"/>
                <w:szCs w:val="14"/>
              </w:rPr>
            </w:pPr>
          </w:p>
        </w:tc>
        <w:tc>
          <w:tcPr>
            <w:tcW w:w="1417" w:type="dxa"/>
          </w:tcPr>
          <w:p w14:paraId="1D12E048" w14:textId="77777777" w:rsidR="00597DE2" w:rsidRPr="00DC1A5F" w:rsidRDefault="00597DE2" w:rsidP="00B66784">
            <w:pPr>
              <w:spacing w:after="0"/>
              <w:rPr>
                <w:sz w:val="14"/>
                <w:szCs w:val="14"/>
              </w:rPr>
            </w:pPr>
            <w:r w:rsidRPr="00DC1A5F">
              <w:rPr>
                <w:sz w:val="14"/>
                <w:szCs w:val="14"/>
              </w:rPr>
              <w:t>Resultante</w:t>
            </w:r>
          </w:p>
          <w:p w14:paraId="7832E220" w14:textId="77777777" w:rsidR="00597DE2" w:rsidRPr="00DC1A5F" w:rsidRDefault="00597DE2" w:rsidP="00B66784">
            <w:pPr>
              <w:spacing w:after="0"/>
              <w:rPr>
                <w:sz w:val="14"/>
                <w:szCs w:val="14"/>
              </w:rPr>
            </w:pPr>
          </w:p>
        </w:tc>
        <w:tc>
          <w:tcPr>
            <w:tcW w:w="992" w:type="dxa"/>
          </w:tcPr>
          <w:p w14:paraId="5319D9C3" w14:textId="77777777" w:rsidR="00597DE2" w:rsidRPr="00DC1A5F" w:rsidRDefault="00597DE2" w:rsidP="00B66784">
            <w:pPr>
              <w:spacing w:after="0"/>
              <w:rPr>
                <w:sz w:val="14"/>
                <w:szCs w:val="14"/>
              </w:rPr>
            </w:pPr>
          </w:p>
        </w:tc>
        <w:tc>
          <w:tcPr>
            <w:tcW w:w="993" w:type="dxa"/>
          </w:tcPr>
          <w:p w14:paraId="21C3FCA9" w14:textId="77777777" w:rsidR="00597DE2" w:rsidRPr="00DC1A5F" w:rsidRDefault="00597DE2" w:rsidP="00B66784">
            <w:pPr>
              <w:spacing w:after="0"/>
              <w:rPr>
                <w:sz w:val="14"/>
                <w:szCs w:val="14"/>
              </w:rPr>
            </w:pPr>
          </w:p>
        </w:tc>
        <w:tc>
          <w:tcPr>
            <w:tcW w:w="1984" w:type="dxa"/>
          </w:tcPr>
          <w:p w14:paraId="76C0ABAB" w14:textId="77777777" w:rsidR="00597DE2" w:rsidRPr="00DC1A5F" w:rsidRDefault="00597DE2" w:rsidP="00B66784">
            <w:pPr>
              <w:spacing w:after="0"/>
              <w:rPr>
                <w:sz w:val="14"/>
                <w:szCs w:val="14"/>
              </w:rPr>
            </w:pPr>
            <w:r w:rsidRPr="00DC1A5F">
              <w:rPr>
                <w:sz w:val="14"/>
                <w:szCs w:val="14"/>
              </w:rPr>
              <w:t>Alegría (placer) o pena (dolor)1</w:t>
            </w:r>
          </w:p>
        </w:tc>
        <w:tc>
          <w:tcPr>
            <w:tcW w:w="992" w:type="dxa"/>
            <w:vMerge/>
          </w:tcPr>
          <w:p w14:paraId="5886BBE0" w14:textId="77777777" w:rsidR="00597DE2" w:rsidRPr="00DC1A5F" w:rsidRDefault="00597DE2" w:rsidP="00B66784">
            <w:pPr>
              <w:spacing w:after="0"/>
              <w:rPr>
                <w:sz w:val="14"/>
                <w:szCs w:val="14"/>
              </w:rPr>
            </w:pPr>
          </w:p>
        </w:tc>
        <w:tc>
          <w:tcPr>
            <w:tcW w:w="1843" w:type="dxa"/>
            <w:vMerge/>
          </w:tcPr>
          <w:p w14:paraId="43E26AD9" w14:textId="77777777" w:rsidR="00597DE2" w:rsidRPr="00DC1A5F" w:rsidRDefault="00597DE2" w:rsidP="00B66784">
            <w:pPr>
              <w:spacing w:after="0"/>
              <w:rPr>
                <w:sz w:val="14"/>
                <w:szCs w:val="14"/>
              </w:rPr>
            </w:pPr>
          </w:p>
        </w:tc>
        <w:tc>
          <w:tcPr>
            <w:tcW w:w="1928" w:type="dxa"/>
            <w:vMerge/>
          </w:tcPr>
          <w:p w14:paraId="6029E4F1" w14:textId="77777777" w:rsidR="00597DE2" w:rsidRPr="00DC1A5F" w:rsidRDefault="00597DE2" w:rsidP="00B66784">
            <w:pPr>
              <w:spacing w:after="0"/>
              <w:rPr>
                <w:sz w:val="14"/>
                <w:szCs w:val="14"/>
              </w:rPr>
            </w:pPr>
          </w:p>
        </w:tc>
      </w:tr>
      <w:tr w:rsidR="00597DE2" w:rsidRPr="00DC1A5F" w14:paraId="1407D2CE" w14:textId="77777777" w:rsidTr="00B66784">
        <w:tc>
          <w:tcPr>
            <w:tcW w:w="988" w:type="dxa"/>
            <w:vMerge/>
          </w:tcPr>
          <w:p w14:paraId="4B9683B0" w14:textId="77777777" w:rsidR="00597DE2" w:rsidRPr="00DC1A5F" w:rsidRDefault="00597DE2" w:rsidP="00B66784">
            <w:pPr>
              <w:spacing w:after="0"/>
              <w:rPr>
                <w:sz w:val="14"/>
                <w:szCs w:val="14"/>
              </w:rPr>
            </w:pPr>
          </w:p>
        </w:tc>
        <w:tc>
          <w:tcPr>
            <w:tcW w:w="1417" w:type="dxa"/>
          </w:tcPr>
          <w:p w14:paraId="6846DA84" w14:textId="77777777" w:rsidR="00597DE2" w:rsidRPr="00DC1A5F" w:rsidRDefault="00597DE2" w:rsidP="00B66784">
            <w:pPr>
              <w:spacing w:after="0"/>
              <w:rPr>
                <w:sz w:val="14"/>
                <w:szCs w:val="14"/>
              </w:rPr>
            </w:pPr>
            <w:r w:rsidRPr="00DC1A5F">
              <w:rPr>
                <w:sz w:val="14"/>
                <w:szCs w:val="14"/>
              </w:rPr>
              <w:t>Funcional</w:t>
            </w:r>
          </w:p>
        </w:tc>
        <w:tc>
          <w:tcPr>
            <w:tcW w:w="992" w:type="dxa"/>
          </w:tcPr>
          <w:p w14:paraId="0139E328" w14:textId="77777777" w:rsidR="00597DE2" w:rsidRPr="00DC1A5F" w:rsidRDefault="00597DE2" w:rsidP="00B66784">
            <w:pPr>
              <w:spacing w:after="0"/>
              <w:rPr>
                <w:sz w:val="14"/>
                <w:szCs w:val="14"/>
              </w:rPr>
            </w:pPr>
          </w:p>
        </w:tc>
        <w:tc>
          <w:tcPr>
            <w:tcW w:w="993" w:type="dxa"/>
          </w:tcPr>
          <w:p w14:paraId="24CC29E8" w14:textId="77777777" w:rsidR="00597DE2" w:rsidRPr="00DC1A5F" w:rsidRDefault="00597DE2" w:rsidP="00B66784">
            <w:pPr>
              <w:spacing w:after="0"/>
              <w:rPr>
                <w:sz w:val="14"/>
                <w:szCs w:val="14"/>
              </w:rPr>
            </w:pPr>
          </w:p>
        </w:tc>
        <w:tc>
          <w:tcPr>
            <w:tcW w:w="1984" w:type="dxa"/>
          </w:tcPr>
          <w:p w14:paraId="477081D9" w14:textId="77777777" w:rsidR="00597DE2" w:rsidRPr="00DC1A5F" w:rsidRDefault="00597DE2" w:rsidP="00B66784">
            <w:pPr>
              <w:spacing w:after="0"/>
              <w:rPr>
                <w:sz w:val="14"/>
                <w:szCs w:val="14"/>
              </w:rPr>
            </w:pPr>
            <w:r w:rsidRPr="00DC1A5F">
              <w:rPr>
                <w:sz w:val="14"/>
                <w:szCs w:val="14"/>
              </w:rPr>
              <w:t>Ecuanimidad</w:t>
            </w:r>
          </w:p>
        </w:tc>
        <w:tc>
          <w:tcPr>
            <w:tcW w:w="992" w:type="dxa"/>
          </w:tcPr>
          <w:p w14:paraId="42323BA2" w14:textId="77777777" w:rsidR="00597DE2" w:rsidRPr="00DC1A5F" w:rsidRDefault="00597DE2" w:rsidP="00B66784">
            <w:pPr>
              <w:spacing w:after="0"/>
              <w:rPr>
                <w:sz w:val="14"/>
                <w:szCs w:val="14"/>
              </w:rPr>
            </w:pPr>
            <w:r w:rsidRPr="00DC1A5F">
              <w:rPr>
                <w:sz w:val="14"/>
                <w:szCs w:val="14"/>
              </w:rPr>
              <w:t>(71)</w:t>
            </w:r>
          </w:p>
        </w:tc>
        <w:tc>
          <w:tcPr>
            <w:tcW w:w="1843" w:type="dxa"/>
          </w:tcPr>
          <w:p w14:paraId="1C269743" w14:textId="77777777" w:rsidR="00597DE2" w:rsidRPr="00DC1A5F" w:rsidRDefault="00597DE2" w:rsidP="00B66784">
            <w:pPr>
              <w:spacing w:after="0"/>
              <w:rPr>
                <w:sz w:val="14"/>
                <w:szCs w:val="14"/>
              </w:rPr>
            </w:pPr>
            <w:r w:rsidRPr="00DC1A5F">
              <w:rPr>
                <w:sz w:val="14"/>
                <w:szCs w:val="14"/>
              </w:rPr>
              <w:t>Determinante</w:t>
            </w:r>
          </w:p>
        </w:tc>
        <w:tc>
          <w:tcPr>
            <w:tcW w:w="1928" w:type="dxa"/>
          </w:tcPr>
          <w:p w14:paraId="0F859DEA" w14:textId="77777777" w:rsidR="00597DE2" w:rsidRPr="00DC1A5F" w:rsidRDefault="00597DE2" w:rsidP="00B66784">
            <w:pPr>
              <w:spacing w:after="0"/>
              <w:rPr>
                <w:sz w:val="14"/>
                <w:szCs w:val="14"/>
              </w:rPr>
            </w:pPr>
            <w:r>
              <w:rPr>
                <w:sz w:val="14"/>
                <w:szCs w:val="14"/>
              </w:rPr>
              <w:t>Advertencia</w:t>
            </w:r>
            <w:r w:rsidRPr="00DC1A5F">
              <w:rPr>
                <w:sz w:val="14"/>
                <w:szCs w:val="14"/>
              </w:rPr>
              <w:t xml:space="preserve"> </w:t>
            </w:r>
            <w:r>
              <w:rPr>
                <w:sz w:val="14"/>
                <w:szCs w:val="14"/>
              </w:rPr>
              <w:t>de</w:t>
            </w:r>
            <w:r w:rsidRPr="00DC1A5F">
              <w:rPr>
                <w:sz w:val="14"/>
                <w:szCs w:val="14"/>
              </w:rPr>
              <w:t xml:space="preserve"> la puerta ment</w:t>
            </w:r>
            <w:r>
              <w:rPr>
                <w:sz w:val="14"/>
                <w:szCs w:val="14"/>
              </w:rPr>
              <w:t>al</w:t>
            </w:r>
          </w:p>
        </w:tc>
      </w:tr>
      <w:tr w:rsidR="00597DE2" w:rsidRPr="00DC1A5F" w14:paraId="5FECB23B" w14:textId="77777777" w:rsidTr="00B66784">
        <w:tc>
          <w:tcPr>
            <w:tcW w:w="988" w:type="dxa"/>
            <w:vMerge/>
          </w:tcPr>
          <w:p w14:paraId="0B2EF68A" w14:textId="77777777" w:rsidR="00597DE2" w:rsidRPr="00DC1A5F" w:rsidRDefault="00597DE2" w:rsidP="00B66784">
            <w:pPr>
              <w:spacing w:after="0"/>
              <w:rPr>
                <w:sz w:val="14"/>
                <w:szCs w:val="14"/>
              </w:rPr>
            </w:pPr>
          </w:p>
        </w:tc>
        <w:tc>
          <w:tcPr>
            <w:tcW w:w="1417" w:type="dxa"/>
          </w:tcPr>
          <w:p w14:paraId="23B4CD79" w14:textId="77777777" w:rsidR="00597DE2" w:rsidRPr="00DC1A5F" w:rsidRDefault="00597DE2" w:rsidP="00B66784">
            <w:pPr>
              <w:spacing w:after="0"/>
              <w:rPr>
                <w:sz w:val="14"/>
                <w:szCs w:val="14"/>
              </w:rPr>
            </w:pPr>
          </w:p>
          <w:p w14:paraId="6A3B5D6B" w14:textId="77777777" w:rsidR="00597DE2" w:rsidRPr="00DC1A5F" w:rsidRDefault="00597DE2" w:rsidP="00B66784">
            <w:pPr>
              <w:spacing w:after="0"/>
              <w:rPr>
                <w:sz w:val="14"/>
                <w:szCs w:val="14"/>
              </w:rPr>
            </w:pPr>
            <w:r w:rsidRPr="00DC1A5F">
              <w:rPr>
                <w:sz w:val="14"/>
                <w:szCs w:val="14"/>
              </w:rPr>
              <w:t xml:space="preserve">1. </w:t>
            </w:r>
            <w:proofErr w:type="spellStart"/>
            <w:r w:rsidRPr="00DC1A5F">
              <w:rPr>
                <w:i/>
                <w:iCs/>
                <w:sz w:val="14"/>
                <w:szCs w:val="14"/>
              </w:rPr>
              <w:t>Kamma</w:t>
            </w:r>
            <w:proofErr w:type="spellEnd"/>
          </w:p>
          <w:p w14:paraId="027BB023" w14:textId="77777777" w:rsidR="00597DE2" w:rsidRPr="00DC1A5F" w:rsidRDefault="00597DE2" w:rsidP="00B66784">
            <w:pPr>
              <w:spacing w:after="0"/>
              <w:rPr>
                <w:sz w:val="14"/>
                <w:szCs w:val="14"/>
              </w:rPr>
            </w:pPr>
            <w:r w:rsidRPr="00DC1A5F">
              <w:rPr>
                <w:sz w:val="14"/>
                <w:szCs w:val="14"/>
              </w:rPr>
              <w:t>2. Resulta</w:t>
            </w:r>
            <w:r>
              <w:rPr>
                <w:sz w:val="14"/>
                <w:szCs w:val="14"/>
              </w:rPr>
              <w:t>nte o</w:t>
            </w:r>
            <w:r w:rsidRPr="00DC1A5F">
              <w:rPr>
                <w:sz w:val="14"/>
                <w:szCs w:val="14"/>
              </w:rPr>
              <w:t xml:space="preserve"> </w:t>
            </w:r>
          </w:p>
          <w:p w14:paraId="5E20CF28" w14:textId="77777777" w:rsidR="00597DE2" w:rsidRPr="00DC1A5F" w:rsidRDefault="00597DE2" w:rsidP="00B66784">
            <w:pPr>
              <w:spacing w:after="0"/>
              <w:rPr>
                <w:sz w:val="14"/>
                <w:szCs w:val="14"/>
              </w:rPr>
            </w:pPr>
            <w:r w:rsidRPr="00DC1A5F">
              <w:rPr>
                <w:sz w:val="14"/>
                <w:szCs w:val="14"/>
              </w:rPr>
              <w:t xml:space="preserve">    Funci</w:t>
            </w:r>
            <w:r>
              <w:rPr>
                <w:sz w:val="14"/>
                <w:szCs w:val="14"/>
              </w:rPr>
              <w:t>o</w:t>
            </w:r>
            <w:r w:rsidRPr="00DC1A5F">
              <w:rPr>
                <w:sz w:val="14"/>
                <w:szCs w:val="14"/>
              </w:rPr>
              <w:t>n</w:t>
            </w:r>
            <w:r>
              <w:rPr>
                <w:sz w:val="14"/>
                <w:szCs w:val="14"/>
              </w:rPr>
              <w:t>al,</w:t>
            </w:r>
            <w:r w:rsidRPr="00DC1A5F">
              <w:rPr>
                <w:sz w:val="14"/>
                <w:szCs w:val="14"/>
              </w:rPr>
              <w:t xml:space="preserve"> </w:t>
            </w:r>
            <w:r>
              <w:rPr>
                <w:sz w:val="14"/>
                <w:szCs w:val="14"/>
              </w:rPr>
              <w:t>s</w:t>
            </w:r>
            <w:r w:rsidRPr="00DC1A5F">
              <w:rPr>
                <w:sz w:val="14"/>
                <w:szCs w:val="14"/>
              </w:rPr>
              <w:t>olo</w:t>
            </w:r>
          </w:p>
          <w:p w14:paraId="2BB82453" w14:textId="77777777" w:rsidR="00597DE2" w:rsidRPr="00DC1A5F" w:rsidRDefault="00597DE2" w:rsidP="00B66784">
            <w:pPr>
              <w:spacing w:after="0"/>
              <w:rPr>
                <w:sz w:val="14"/>
                <w:szCs w:val="14"/>
              </w:rPr>
            </w:pPr>
            <w:proofErr w:type="gramStart"/>
            <w:r w:rsidRPr="00DC1A5F">
              <w:rPr>
                <w:sz w:val="14"/>
                <w:szCs w:val="14"/>
              </w:rPr>
              <w:t>3 .</w:t>
            </w:r>
            <w:proofErr w:type="gramEnd"/>
            <w:r w:rsidRPr="00DC1A5F">
              <w:rPr>
                <w:sz w:val="14"/>
                <w:szCs w:val="14"/>
              </w:rPr>
              <w:t xml:space="preserve"> Func</w:t>
            </w:r>
            <w:r>
              <w:rPr>
                <w:sz w:val="14"/>
                <w:szCs w:val="14"/>
              </w:rPr>
              <w:t>ional</w:t>
            </w:r>
            <w:r w:rsidRPr="00DC1A5F">
              <w:rPr>
                <w:sz w:val="14"/>
                <w:szCs w:val="14"/>
              </w:rPr>
              <w:t xml:space="preserve">  </w:t>
            </w:r>
          </w:p>
          <w:p w14:paraId="5256591F" w14:textId="77777777" w:rsidR="00597DE2" w:rsidRPr="00DC1A5F" w:rsidRDefault="00597DE2" w:rsidP="00B66784">
            <w:pPr>
              <w:spacing w:after="0"/>
              <w:rPr>
                <w:sz w:val="14"/>
                <w:szCs w:val="14"/>
              </w:rPr>
            </w:pPr>
            <w:r w:rsidRPr="00DC1A5F">
              <w:rPr>
                <w:sz w:val="14"/>
                <w:szCs w:val="14"/>
              </w:rPr>
              <w:t xml:space="preserve">    </w:t>
            </w:r>
            <w:r>
              <w:rPr>
                <w:sz w:val="14"/>
                <w:szCs w:val="14"/>
              </w:rPr>
              <w:t xml:space="preserve">   </w:t>
            </w:r>
            <w:r w:rsidRPr="00DC1A5F">
              <w:rPr>
                <w:sz w:val="14"/>
                <w:szCs w:val="14"/>
              </w:rPr>
              <w:t>Arahants</w:t>
            </w:r>
          </w:p>
          <w:p w14:paraId="55A5D35A" w14:textId="77777777" w:rsidR="00597DE2" w:rsidRPr="00DC1A5F" w:rsidRDefault="00597DE2" w:rsidP="00B66784">
            <w:pPr>
              <w:spacing w:after="0"/>
              <w:rPr>
                <w:sz w:val="14"/>
                <w:szCs w:val="14"/>
              </w:rPr>
            </w:pPr>
          </w:p>
        </w:tc>
        <w:tc>
          <w:tcPr>
            <w:tcW w:w="992" w:type="dxa"/>
          </w:tcPr>
          <w:p w14:paraId="55A9FC69" w14:textId="77777777" w:rsidR="00597DE2" w:rsidRPr="00DC1A5F" w:rsidRDefault="00597DE2" w:rsidP="00B66784">
            <w:pPr>
              <w:spacing w:after="0"/>
              <w:rPr>
                <w:sz w:val="14"/>
                <w:szCs w:val="14"/>
              </w:rPr>
            </w:pPr>
          </w:p>
        </w:tc>
        <w:tc>
          <w:tcPr>
            <w:tcW w:w="993" w:type="dxa"/>
          </w:tcPr>
          <w:p w14:paraId="75452461" w14:textId="77777777" w:rsidR="00597DE2" w:rsidRPr="00DC1A5F" w:rsidRDefault="00597DE2" w:rsidP="00B66784">
            <w:pPr>
              <w:spacing w:after="0"/>
              <w:rPr>
                <w:sz w:val="14"/>
                <w:szCs w:val="14"/>
              </w:rPr>
            </w:pPr>
          </w:p>
        </w:tc>
        <w:tc>
          <w:tcPr>
            <w:tcW w:w="1984" w:type="dxa"/>
          </w:tcPr>
          <w:p w14:paraId="78918E14" w14:textId="77777777" w:rsidR="00597DE2" w:rsidRPr="00DC1A5F" w:rsidRDefault="00597DE2" w:rsidP="00B66784">
            <w:pPr>
              <w:spacing w:after="0"/>
              <w:rPr>
                <w:sz w:val="14"/>
                <w:szCs w:val="14"/>
              </w:rPr>
            </w:pPr>
            <w:r w:rsidRPr="00DC1A5F">
              <w:rPr>
                <w:sz w:val="14"/>
                <w:szCs w:val="14"/>
              </w:rPr>
              <w:t>1. Alegría o ecuanimidad o pena</w:t>
            </w:r>
          </w:p>
          <w:p w14:paraId="03048463" w14:textId="77777777" w:rsidR="00597DE2" w:rsidRPr="00DC1A5F" w:rsidRDefault="00597DE2" w:rsidP="00B66784">
            <w:pPr>
              <w:spacing w:after="0"/>
              <w:rPr>
                <w:sz w:val="14"/>
                <w:szCs w:val="14"/>
              </w:rPr>
            </w:pPr>
            <w:r w:rsidRPr="00DC1A5F">
              <w:rPr>
                <w:sz w:val="14"/>
                <w:szCs w:val="14"/>
              </w:rPr>
              <w:t>2. Alegría o ecuanimidad</w:t>
            </w:r>
          </w:p>
          <w:p w14:paraId="5F578BD3" w14:textId="77777777" w:rsidR="00597DE2" w:rsidRPr="00DC1A5F" w:rsidRDefault="00597DE2" w:rsidP="00B66784">
            <w:pPr>
              <w:spacing w:after="0"/>
              <w:rPr>
                <w:sz w:val="14"/>
                <w:szCs w:val="14"/>
              </w:rPr>
            </w:pPr>
            <w:r w:rsidRPr="00DC1A5F">
              <w:rPr>
                <w:sz w:val="14"/>
                <w:szCs w:val="14"/>
              </w:rPr>
              <w:t>3. Alegría o ecuanimidad</w:t>
            </w:r>
          </w:p>
        </w:tc>
        <w:tc>
          <w:tcPr>
            <w:tcW w:w="992" w:type="dxa"/>
          </w:tcPr>
          <w:p w14:paraId="3C9C10E5" w14:textId="77777777" w:rsidR="00597DE2" w:rsidRPr="00DC1A5F" w:rsidRDefault="00597DE2" w:rsidP="00B66784">
            <w:pPr>
              <w:spacing w:after="0"/>
              <w:rPr>
                <w:sz w:val="14"/>
                <w:szCs w:val="14"/>
              </w:rPr>
            </w:pPr>
            <w:r w:rsidRPr="00DC1A5F">
              <w:rPr>
                <w:sz w:val="14"/>
                <w:szCs w:val="14"/>
              </w:rPr>
              <w:t>Uno de los 55 tipos</w:t>
            </w:r>
          </w:p>
        </w:tc>
        <w:tc>
          <w:tcPr>
            <w:tcW w:w="1843" w:type="dxa"/>
          </w:tcPr>
          <w:p w14:paraId="4A40F99B" w14:textId="77777777" w:rsidR="00597DE2" w:rsidRPr="00DC1A5F" w:rsidRDefault="00597DE2" w:rsidP="00B66784">
            <w:pPr>
              <w:spacing w:after="0"/>
              <w:rPr>
                <w:sz w:val="14"/>
                <w:szCs w:val="14"/>
              </w:rPr>
            </w:pPr>
            <w:r w:rsidRPr="00DC1A5F">
              <w:rPr>
                <w:sz w:val="14"/>
                <w:szCs w:val="14"/>
              </w:rPr>
              <w:t>Impulsión</w:t>
            </w:r>
          </w:p>
        </w:tc>
        <w:tc>
          <w:tcPr>
            <w:tcW w:w="1928" w:type="dxa"/>
          </w:tcPr>
          <w:p w14:paraId="39B49609" w14:textId="77777777" w:rsidR="00597DE2" w:rsidRPr="00DC1A5F" w:rsidRDefault="00597DE2" w:rsidP="00B66784">
            <w:pPr>
              <w:spacing w:after="0"/>
              <w:rPr>
                <w:sz w:val="14"/>
                <w:szCs w:val="14"/>
              </w:rPr>
            </w:pPr>
            <w:r w:rsidRPr="00DC1A5F">
              <w:rPr>
                <w:sz w:val="14"/>
                <w:szCs w:val="14"/>
              </w:rPr>
              <w:t>Impulsion2</w:t>
            </w:r>
          </w:p>
        </w:tc>
      </w:tr>
      <w:tr w:rsidR="00597DE2" w:rsidRPr="00DC1A5F" w14:paraId="203E8F98" w14:textId="77777777" w:rsidTr="00B66784">
        <w:tc>
          <w:tcPr>
            <w:tcW w:w="988" w:type="dxa"/>
            <w:vMerge/>
          </w:tcPr>
          <w:p w14:paraId="167E6EE8" w14:textId="77777777" w:rsidR="00597DE2" w:rsidRPr="00DC1A5F" w:rsidRDefault="00597DE2" w:rsidP="00B66784">
            <w:pPr>
              <w:spacing w:after="0"/>
              <w:rPr>
                <w:sz w:val="14"/>
                <w:szCs w:val="14"/>
              </w:rPr>
            </w:pPr>
          </w:p>
        </w:tc>
        <w:tc>
          <w:tcPr>
            <w:tcW w:w="1417" w:type="dxa"/>
          </w:tcPr>
          <w:p w14:paraId="0B717C39" w14:textId="77777777" w:rsidR="00597DE2" w:rsidRPr="00DC1A5F" w:rsidRDefault="00597DE2" w:rsidP="00B66784">
            <w:pPr>
              <w:spacing w:after="0"/>
              <w:rPr>
                <w:sz w:val="14"/>
                <w:szCs w:val="14"/>
              </w:rPr>
            </w:pPr>
            <w:r w:rsidRPr="00DC1A5F">
              <w:rPr>
                <w:sz w:val="14"/>
                <w:szCs w:val="14"/>
              </w:rPr>
              <w:t>Resultante</w:t>
            </w:r>
          </w:p>
        </w:tc>
        <w:tc>
          <w:tcPr>
            <w:tcW w:w="992" w:type="dxa"/>
          </w:tcPr>
          <w:p w14:paraId="1BB74431" w14:textId="77777777" w:rsidR="00597DE2" w:rsidRPr="00DC1A5F" w:rsidRDefault="00597DE2" w:rsidP="00B66784">
            <w:pPr>
              <w:spacing w:after="0"/>
              <w:rPr>
                <w:sz w:val="14"/>
                <w:szCs w:val="14"/>
              </w:rPr>
            </w:pPr>
          </w:p>
        </w:tc>
        <w:tc>
          <w:tcPr>
            <w:tcW w:w="993" w:type="dxa"/>
          </w:tcPr>
          <w:p w14:paraId="60BFC917" w14:textId="77777777" w:rsidR="00597DE2" w:rsidRPr="00DC1A5F" w:rsidRDefault="00597DE2" w:rsidP="00B66784">
            <w:pPr>
              <w:spacing w:after="0"/>
              <w:rPr>
                <w:sz w:val="14"/>
                <w:szCs w:val="14"/>
              </w:rPr>
            </w:pPr>
          </w:p>
        </w:tc>
        <w:tc>
          <w:tcPr>
            <w:tcW w:w="1984" w:type="dxa"/>
          </w:tcPr>
          <w:p w14:paraId="38926786" w14:textId="77777777" w:rsidR="00597DE2" w:rsidRPr="00DC1A5F" w:rsidRDefault="00597DE2" w:rsidP="00B66784">
            <w:pPr>
              <w:spacing w:after="0"/>
              <w:rPr>
                <w:sz w:val="14"/>
                <w:szCs w:val="14"/>
              </w:rPr>
            </w:pPr>
            <w:r w:rsidRPr="00DC1A5F">
              <w:rPr>
                <w:sz w:val="14"/>
                <w:szCs w:val="14"/>
              </w:rPr>
              <w:t>Alegría o Ecuanimidad</w:t>
            </w:r>
          </w:p>
        </w:tc>
        <w:tc>
          <w:tcPr>
            <w:tcW w:w="992" w:type="dxa"/>
          </w:tcPr>
          <w:p w14:paraId="639A564C" w14:textId="77777777" w:rsidR="00597DE2" w:rsidRPr="00DC1A5F" w:rsidRDefault="00597DE2" w:rsidP="00B66784">
            <w:pPr>
              <w:spacing w:after="0"/>
              <w:rPr>
                <w:sz w:val="14"/>
                <w:szCs w:val="14"/>
              </w:rPr>
            </w:pPr>
            <w:r w:rsidRPr="00DC1A5F">
              <w:rPr>
                <w:sz w:val="14"/>
                <w:szCs w:val="14"/>
              </w:rPr>
              <w:t>(40)–(49)</w:t>
            </w:r>
          </w:p>
          <w:p w14:paraId="32ED7A8D" w14:textId="77777777" w:rsidR="00597DE2" w:rsidRPr="00DC1A5F" w:rsidRDefault="00597DE2" w:rsidP="00B66784">
            <w:pPr>
              <w:spacing w:after="0"/>
              <w:rPr>
                <w:sz w:val="14"/>
                <w:szCs w:val="14"/>
              </w:rPr>
            </w:pPr>
            <w:r w:rsidRPr="00DC1A5F">
              <w:rPr>
                <w:sz w:val="14"/>
                <w:szCs w:val="14"/>
              </w:rPr>
              <w:t>(56)</w:t>
            </w:r>
          </w:p>
        </w:tc>
        <w:tc>
          <w:tcPr>
            <w:tcW w:w="1843" w:type="dxa"/>
          </w:tcPr>
          <w:p w14:paraId="5B833E00" w14:textId="77777777" w:rsidR="00597DE2" w:rsidRPr="00DC1A5F" w:rsidRDefault="00597DE2" w:rsidP="00B66784">
            <w:pPr>
              <w:spacing w:after="0"/>
              <w:rPr>
                <w:sz w:val="14"/>
                <w:szCs w:val="14"/>
              </w:rPr>
            </w:pPr>
            <w:r w:rsidRPr="00DC1A5F">
              <w:rPr>
                <w:sz w:val="14"/>
                <w:szCs w:val="14"/>
              </w:rPr>
              <w:t>Registro</w:t>
            </w:r>
          </w:p>
          <w:p w14:paraId="54EE6A7A" w14:textId="77777777" w:rsidR="00597DE2" w:rsidRPr="00DC1A5F" w:rsidRDefault="00597DE2" w:rsidP="00B66784">
            <w:pPr>
              <w:spacing w:after="0"/>
              <w:rPr>
                <w:sz w:val="14"/>
                <w:szCs w:val="14"/>
              </w:rPr>
            </w:pPr>
            <w:r>
              <w:rPr>
                <w:sz w:val="14"/>
                <w:szCs w:val="14"/>
              </w:rPr>
              <w:t xml:space="preserve">  </w:t>
            </w:r>
            <w:r w:rsidRPr="00DC1A5F">
              <w:rPr>
                <w:sz w:val="14"/>
                <w:szCs w:val="14"/>
              </w:rPr>
              <w:t>(esfera sensorial</w:t>
            </w:r>
            <w:r>
              <w:rPr>
                <w:sz w:val="14"/>
                <w:szCs w:val="14"/>
              </w:rPr>
              <w:t>,</w:t>
            </w:r>
            <w:r w:rsidRPr="00DC1A5F">
              <w:rPr>
                <w:sz w:val="14"/>
                <w:szCs w:val="14"/>
              </w:rPr>
              <w:t xml:space="preserve"> solo) </w:t>
            </w:r>
          </w:p>
        </w:tc>
        <w:tc>
          <w:tcPr>
            <w:tcW w:w="1928" w:type="dxa"/>
          </w:tcPr>
          <w:p w14:paraId="5977BA69" w14:textId="77777777" w:rsidR="00597DE2" w:rsidRPr="00DC1A5F" w:rsidRDefault="00597DE2" w:rsidP="00B66784">
            <w:pPr>
              <w:spacing w:after="0"/>
              <w:rPr>
                <w:sz w:val="14"/>
                <w:szCs w:val="14"/>
              </w:rPr>
            </w:pPr>
            <w:r w:rsidRPr="00DC1A5F">
              <w:rPr>
                <w:sz w:val="14"/>
                <w:szCs w:val="14"/>
              </w:rPr>
              <w:t>Registro</w:t>
            </w:r>
          </w:p>
          <w:p w14:paraId="61374428" w14:textId="77777777" w:rsidR="00597DE2" w:rsidRPr="00DC1A5F" w:rsidRDefault="00597DE2" w:rsidP="00B66784">
            <w:pPr>
              <w:spacing w:after="0"/>
              <w:rPr>
                <w:sz w:val="14"/>
                <w:szCs w:val="14"/>
              </w:rPr>
            </w:pPr>
            <w:r>
              <w:rPr>
                <w:sz w:val="14"/>
                <w:szCs w:val="14"/>
              </w:rPr>
              <w:t xml:space="preserve">   </w:t>
            </w:r>
            <w:r w:rsidRPr="00DC1A5F">
              <w:rPr>
                <w:sz w:val="14"/>
                <w:szCs w:val="14"/>
              </w:rPr>
              <w:t>(esfera sensorial</w:t>
            </w:r>
            <w:r>
              <w:rPr>
                <w:sz w:val="14"/>
                <w:szCs w:val="14"/>
              </w:rPr>
              <w:t>,</w:t>
            </w:r>
            <w:r w:rsidRPr="00DC1A5F">
              <w:rPr>
                <w:sz w:val="14"/>
                <w:szCs w:val="14"/>
              </w:rPr>
              <w:t xml:space="preserve"> solo)</w:t>
            </w:r>
          </w:p>
        </w:tc>
      </w:tr>
      <w:tr w:rsidR="00597DE2" w:rsidRPr="00DC1A5F" w14:paraId="54A7E269" w14:textId="77777777" w:rsidTr="00B66784">
        <w:tc>
          <w:tcPr>
            <w:tcW w:w="988" w:type="dxa"/>
            <w:vMerge/>
          </w:tcPr>
          <w:p w14:paraId="1B1784A0" w14:textId="77777777" w:rsidR="00597DE2" w:rsidRPr="00DC1A5F" w:rsidRDefault="00597DE2" w:rsidP="00B66784">
            <w:pPr>
              <w:spacing w:after="0"/>
              <w:rPr>
                <w:sz w:val="14"/>
                <w:szCs w:val="14"/>
              </w:rPr>
            </w:pPr>
          </w:p>
        </w:tc>
        <w:tc>
          <w:tcPr>
            <w:tcW w:w="1417" w:type="dxa"/>
          </w:tcPr>
          <w:p w14:paraId="7047AFC2" w14:textId="77777777" w:rsidR="00597DE2" w:rsidRPr="00DC1A5F" w:rsidRDefault="00597DE2" w:rsidP="00B66784">
            <w:pPr>
              <w:spacing w:after="0"/>
              <w:rPr>
                <w:sz w:val="14"/>
                <w:szCs w:val="14"/>
              </w:rPr>
            </w:pPr>
            <w:r w:rsidRPr="00DC1A5F">
              <w:rPr>
                <w:sz w:val="14"/>
                <w:szCs w:val="14"/>
              </w:rPr>
              <w:t>Resultante</w:t>
            </w:r>
          </w:p>
        </w:tc>
        <w:tc>
          <w:tcPr>
            <w:tcW w:w="992" w:type="dxa"/>
          </w:tcPr>
          <w:p w14:paraId="092EAA2E" w14:textId="77777777" w:rsidR="00597DE2" w:rsidRPr="00DC1A5F" w:rsidRDefault="00597DE2" w:rsidP="00B66784">
            <w:pPr>
              <w:spacing w:after="0"/>
              <w:rPr>
                <w:sz w:val="14"/>
                <w:szCs w:val="14"/>
              </w:rPr>
            </w:pPr>
          </w:p>
        </w:tc>
        <w:tc>
          <w:tcPr>
            <w:tcW w:w="993" w:type="dxa"/>
          </w:tcPr>
          <w:p w14:paraId="5E434E32" w14:textId="77777777" w:rsidR="00597DE2" w:rsidRPr="00DC1A5F" w:rsidRDefault="00597DE2" w:rsidP="00B66784">
            <w:pPr>
              <w:spacing w:after="0"/>
              <w:rPr>
                <w:sz w:val="14"/>
                <w:szCs w:val="14"/>
              </w:rPr>
            </w:pPr>
          </w:p>
        </w:tc>
        <w:tc>
          <w:tcPr>
            <w:tcW w:w="1984" w:type="dxa"/>
          </w:tcPr>
          <w:p w14:paraId="571BC9CD" w14:textId="77777777" w:rsidR="00597DE2" w:rsidRPr="00DC1A5F" w:rsidRDefault="00597DE2" w:rsidP="00B66784">
            <w:pPr>
              <w:spacing w:after="0"/>
              <w:rPr>
                <w:sz w:val="14"/>
                <w:szCs w:val="14"/>
              </w:rPr>
            </w:pPr>
          </w:p>
        </w:tc>
        <w:tc>
          <w:tcPr>
            <w:tcW w:w="992" w:type="dxa"/>
          </w:tcPr>
          <w:p w14:paraId="60199E0E" w14:textId="77777777" w:rsidR="00597DE2" w:rsidRPr="00DC1A5F" w:rsidRDefault="00597DE2" w:rsidP="00B66784">
            <w:pPr>
              <w:spacing w:after="0"/>
              <w:rPr>
                <w:sz w:val="14"/>
                <w:szCs w:val="14"/>
              </w:rPr>
            </w:pPr>
            <w:r w:rsidRPr="00DC1A5F">
              <w:rPr>
                <w:sz w:val="14"/>
                <w:szCs w:val="14"/>
              </w:rPr>
              <w:t>Como arriba</w:t>
            </w:r>
          </w:p>
        </w:tc>
        <w:tc>
          <w:tcPr>
            <w:tcW w:w="1843" w:type="dxa"/>
          </w:tcPr>
          <w:p w14:paraId="51D15E18" w14:textId="77777777" w:rsidR="00597DE2" w:rsidRPr="00DC1A5F" w:rsidRDefault="00597DE2" w:rsidP="00B66784">
            <w:pPr>
              <w:spacing w:after="0"/>
              <w:rPr>
                <w:sz w:val="14"/>
                <w:szCs w:val="14"/>
              </w:rPr>
            </w:pPr>
            <w:proofErr w:type="spellStart"/>
            <w:r w:rsidRPr="00DC1A5F">
              <w:rPr>
                <w:sz w:val="14"/>
                <w:szCs w:val="14"/>
              </w:rPr>
              <w:t>Continumm</w:t>
            </w:r>
            <w:proofErr w:type="spellEnd"/>
            <w:r w:rsidRPr="00DC1A5F">
              <w:rPr>
                <w:sz w:val="14"/>
                <w:szCs w:val="14"/>
              </w:rPr>
              <w:t xml:space="preserve"> vi</w:t>
            </w:r>
            <w:r>
              <w:rPr>
                <w:sz w:val="14"/>
                <w:szCs w:val="14"/>
              </w:rPr>
              <w:t>t</w:t>
            </w:r>
            <w:r w:rsidRPr="00DC1A5F">
              <w:rPr>
                <w:sz w:val="14"/>
                <w:szCs w:val="14"/>
              </w:rPr>
              <w:t>a</w:t>
            </w:r>
            <w:r>
              <w:rPr>
                <w:sz w:val="14"/>
                <w:szCs w:val="14"/>
              </w:rPr>
              <w:t>l</w:t>
            </w:r>
          </w:p>
        </w:tc>
        <w:tc>
          <w:tcPr>
            <w:tcW w:w="1928" w:type="dxa"/>
          </w:tcPr>
          <w:p w14:paraId="6813A4D8" w14:textId="77777777" w:rsidR="00597DE2" w:rsidRPr="00DC1A5F" w:rsidRDefault="00597DE2" w:rsidP="00B66784">
            <w:pPr>
              <w:spacing w:after="0"/>
              <w:rPr>
                <w:sz w:val="14"/>
                <w:szCs w:val="14"/>
              </w:rPr>
            </w:pPr>
            <w:proofErr w:type="spellStart"/>
            <w:r w:rsidRPr="00DC1A5F">
              <w:rPr>
                <w:sz w:val="14"/>
                <w:szCs w:val="14"/>
              </w:rPr>
              <w:t>Continumm</w:t>
            </w:r>
            <w:proofErr w:type="spellEnd"/>
            <w:r w:rsidRPr="00DC1A5F">
              <w:rPr>
                <w:sz w:val="14"/>
                <w:szCs w:val="14"/>
              </w:rPr>
              <w:t xml:space="preserve"> vi</w:t>
            </w:r>
            <w:r>
              <w:rPr>
                <w:sz w:val="14"/>
                <w:szCs w:val="14"/>
              </w:rPr>
              <w:t>t</w:t>
            </w:r>
            <w:r w:rsidRPr="00DC1A5F">
              <w:rPr>
                <w:sz w:val="14"/>
                <w:szCs w:val="14"/>
              </w:rPr>
              <w:t>a</w:t>
            </w:r>
            <w:r>
              <w:rPr>
                <w:sz w:val="14"/>
                <w:szCs w:val="14"/>
              </w:rPr>
              <w:t>l</w:t>
            </w:r>
            <w:r w:rsidRPr="00DC1A5F">
              <w:rPr>
                <w:sz w:val="14"/>
                <w:szCs w:val="14"/>
              </w:rPr>
              <w:t xml:space="preserve"> </w:t>
            </w:r>
          </w:p>
        </w:tc>
      </w:tr>
    </w:tbl>
    <w:p w14:paraId="47A5BE38" w14:textId="77777777" w:rsidR="00597DE2" w:rsidRDefault="00597DE2" w:rsidP="00597DE2">
      <w:pPr>
        <w:pStyle w:val="PiedepginaLegal"/>
        <w:rPr>
          <w:u w:val="single"/>
        </w:rPr>
      </w:pPr>
    </w:p>
    <w:p w14:paraId="3C7F4FA6" w14:textId="77777777" w:rsidR="00597DE2" w:rsidRPr="00DC1A5F" w:rsidRDefault="00597DE2" w:rsidP="00597DE2">
      <w:pPr>
        <w:pStyle w:val="PiedepginaLegal"/>
        <w:rPr>
          <w:u w:val="single"/>
        </w:rPr>
      </w:pPr>
      <w:r w:rsidRPr="00DC1A5F">
        <w:rPr>
          <w:u w:val="single"/>
        </w:rPr>
        <w:t xml:space="preserve">           </w:t>
      </w:r>
      <w:r w:rsidRPr="00DC1A5F">
        <w:rPr>
          <w:u w:val="single"/>
        </w:rPr>
        <w:tab/>
      </w:r>
      <w:r w:rsidRPr="00DC1A5F">
        <w:rPr>
          <w:u w:val="single"/>
        </w:rPr>
        <w:tab/>
        <w:t>.</w:t>
      </w:r>
    </w:p>
    <w:p w14:paraId="7B1F5CF5" w14:textId="77777777" w:rsidR="00597DE2" w:rsidRPr="00DC1A5F" w:rsidRDefault="00597DE2" w:rsidP="00597DE2">
      <w:pPr>
        <w:pStyle w:val="PiedepginaLegal"/>
        <w:rPr>
          <w:sz w:val="13"/>
          <w:szCs w:val="13"/>
        </w:rPr>
      </w:pPr>
      <w:r w:rsidRPr="00DC1A5F">
        <w:rPr>
          <w:sz w:val="13"/>
          <w:szCs w:val="13"/>
        </w:rPr>
        <w:t xml:space="preserve">1. </w:t>
      </w:r>
      <w:r w:rsidRPr="00DC1A5F">
        <w:rPr>
          <w:sz w:val="13"/>
          <w:szCs w:val="13"/>
        </w:rPr>
        <w:tab/>
        <w:t xml:space="preserve">Alegría mental en (34)–(37) y placer corporal en (38); </w:t>
      </w:r>
      <w:r>
        <w:rPr>
          <w:sz w:val="13"/>
          <w:szCs w:val="13"/>
        </w:rPr>
        <w:t>aflicción</w:t>
      </w:r>
      <w:r w:rsidRPr="00DC1A5F">
        <w:rPr>
          <w:sz w:val="13"/>
          <w:szCs w:val="13"/>
        </w:rPr>
        <w:t xml:space="preserve"> mental en (50)–(53) y dolor corporal en (54).</w:t>
      </w:r>
    </w:p>
    <w:p w14:paraId="7D3E120B" w14:textId="77777777" w:rsidR="00597DE2" w:rsidRPr="00DC1A5F" w:rsidRDefault="00597DE2" w:rsidP="00597DE2">
      <w:pPr>
        <w:pStyle w:val="PiedepginaLegal"/>
        <w:rPr>
          <w:sz w:val="13"/>
          <w:szCs w:val="13"/>
        </w:rPr>
        <w:sectPr w:rsidR="00597DE2" w:rsidRPr="00DC1A5F" w:rsidSect="00305694">
          <w:footerReference w:type="default" r:id="rId27"/>
          <w:footnotePr>
            <w:numRestart w:val="eachSect"/>
          </w:footnotePr>
          <w:pgSz w:w="12962" w:h="8641" w:orient="landscape"/>
          <w:pgMar w:top="964" w:right="851" w:bottom="964" w:left="964" w:header="709" w:footer="709" w:gutter="0"/>
          <w:pgNumType w:start="851"/>
          <w:cols w:space="708"/>
          <w:docGrid w:linePitch="360"/>
        </w:sectPr>
      </w:pPr>
      <w:r w:rsidRPr="00DC1A5F">
        <w:rPr>
          <w:sz w:val="13"/>
          <w:szCs w:val="13"/>
        </w:rPr>
        <w:t xml:space="preserve">2. </w:t>
      </w:r>
      <w:r w:rsidRPr="00DC1A5F">
        <w:rPr>
          <w:sz w:val="13"/>
          <w:szCs w:val="13"/>
        </w:rPr>
        <w:tab/>
      </w:r>
      <w:r>
        <w:rPr>
          <w:sz w:val="13"/>
          <w:szCs w:val="13"/>
        </w:rPr>
        <w:t xml:space="preserve">La </w:t>
      </w:r>
      <w:r w:rsidRPr="00DC1A5F">
        <w:rPr>
          <w:sz w:val="13"/>
          <w:szCs w:val="13"/>
        </w:rPr>
        <w:t>1</w:t>
      </w:r>
      <w:r w:rsidRPr="003D0937">
        <w:rPr>
          <w:sz w:val="13"/>
          <w:szCs w:val="13"/>
          <w:vertAlign w:val="superscript"/>
        </w:rPr>
        <w:t>ra</w:t>
      </w:r>
      <w:r w:rsidRPr="00DC1A5F">
        <w:rPr>
          <w:sz w:val="13"/>
          <w:szCs w:val="13"/>
        </w:rPr>
        <w:t xml:space="preserve"> impuls</w:t>
      </w:r>
      <w:r>
        <w:rPr>
          <w:sz w:val="13"/>
          <w:szCs w:val="13"/>
        </w:rPr>
        <w:t>ión</w:t>
      </w:r>
      <w:r w:rsidRPr="00DC1A5F">
        <w:rPr>
          <w:sz w:val="13"/>
          <w:szCs w:val="13"/>
        </w:rPr>
        <w:t xml:space="preserve"> (como </w:t>
      </w:r>
      <w:proofErr w:type="spellStart"/>
      <w:r w:rsidRPr="00DC1A5F">
        <w:rPr>
          <w:i/>
          <w:iCs/>
          <w:sz w:val="13"/>
          <w:szCs w:val="13"/>
        </w:rPr>
        <w:t>kamma</w:t>
      </w:r>
      <w:proofErr w:type="spellEnd"/>
      <w:r w:rsidRPr="00DC1A5F">
        <w:rPr>
          <w:sz w:val="13"/>
          <w:szCs w:val="13"/>
        </w:rPr>
        <w:t xml:space="preserve">) </w:t>
      </w:r>
      <w:r>
        <w:rPr>
          <w:sz w:val="13"/>
          <w:szCs w:val="13"/>
        </w:rPr>
        <w:t xml:space="preserve">produce </w:t>
      </w:r>
      <w:r w:rsidRPr="00DC1A5F">
        <w:rPr>
          <w:sz w:val="13"/>
          <w:szCs w:val="13"/>
        </w:rPr>
        <w:t>resultado</w:t>
      </w:r>
      <w:r>
        <w:rPr>
          <w:sz w:val="13"/>
          <w:szCs w:val="13"/>
        </w:rPr>
        <w:t>s</w:t>
      </w:r>
      <w:r w:rsidRPr="00DC1A5F">
        <w:rPr>
          <w:sz w:val="13"/>
          <w:szCs w:val="13"/>
        </w:rPr>
        <w:t xml:space="preserve"> (</w:t>
      </w:r>
      <w:proofErr w:type="spellStart"/>
      <w:r w:rsidRPr="00DC1A5F">
        <w:rPr>
          <w:i/>
          <w:iCs/>
          <w:sz w:val="13"/>
          <w:szCs w:val="13"/>
        </w:rPr>
        <w:t>kamma</w:t>
      </w:r>
      <w:proofErr w:type="spellEnd"/>
      <w:r w:rsidRPr="00DC1A5F">
        <w:rPr>
          <w:sz w:val="13"/>
          <w:szCs w:val="13"/>
        </w:rPr>
        <w:t xml:space="preserve">–resultado) en esta vida. </w:t>
      </w:r>
      <w:r>
        <w:rPr>
          <w:sz w:val="13"/>
          <w:szCs w:val="13"/>
        </w:rPr>
        <w:t>La</w:t>
      </w:r>
      <w:r w:rsidRPr="00DC1A5F">
        <w:rPr>
          <w:sz w:val="13"/>
          <w:szCs w:val="13"/>
        </w:rPr>
        <w:t xml:space="preserve"> 7</w:t>
      </w:r>
      <w:r w:rsidRPr="008B26C4">
        <w:rPr>
          <w:sz w:val="13"/>
          <w:szCs w:val="13"/>
          <w:vertAlign w:val="superscript"/>
        </w:rPr>
        <w:t>ma</w:t>
      </w:r>
      <w:r w:rsidRPr="00DC1A5F">
        <w:rPr>
          <w:sz w:val="13"/>
          <w:szCs w:val="13"/>
        </w:rPr>
        <w:t xml:space="preserve"> da como resultado la vida inmediatamente siguiente, incluida la consciencia de</w:t>
      </w:r>
      <w:r>
        <w:rPr>
          <w:sz w:val="13"/>
          <w:szCs w:val="13"/>
        </w:rPr>
        <w:t>l</w:t>
      </w:r>
      <w:r w:rsidRPr="00DC1A5F">
        <w:rPr>
          <w:sz w:val="13"/>
          <w:szCs w:val="13"/>
        </w:rPr>
        <w:t xml:space="preserve"> v</w:t>
      </w:r>
      <w:r>
        <w:rPr>
          <w:sz w:val="13"/>
          <w:szCs w:val="13"/>
        </w:rPr>
        <w:t>í</w:t>
      </w:r>
      <w:r w:rsidRPr="00DC1A5F">
        <w:rPr>
          <w:sz w:val="13"/>
          <w:szCs w:val="13"/>
        </w:rPr>
        <w:t>ncul</w:t>
      </w:r>
      <w:r>
        <w:rPr>
          <w:sz w:val="13"/>
          <w:szCs w:val="13"/>
        </w:rPr>
        <w:t xml:space="preserve">o de </w:t>
      </w:r>
      <w:r w:rsidRPr="00DC1A5F">
        <w:rPr>
          <w:sz w:val="13"/>
          <w:szCs w:val="13"/>
        </w:rPr>
        <w:t>renacimiento. De</w:t>
      </w:r>
      <w:r>
        <w:rPr>
          <w:sz w:val="13"/>
          <w:szCs w:val="13"/>
        </w:rPr>
        <w:t xml:space="preserve"> </w:t>
      </w:r>
      <w:r w:rsidRPr="00DC1A5F">
        <w:rPr>
          <w:sz w:val="13"/>
          <w:szCs w:val="13"/>
        </w:rPr>
        <w:t>l</w:t>
      </w:r>
      <w:r>
        <w:rPr>
          <w:sz w:val="13"/>
          <w:szCs w:val="13"/>
        </w:rPr>
        <w:t>a</w:t>
      </w:r>
      <w:r w:rsidRPr="00DC1A5F">
        <w:rPr>
          <w:sz w:val="13"/>
          <w:szCs w:val="13"/>
        </w:rPr>
        <w:t xml:space="preserve"> 2</w:t>
      </w:r>
      <w:r w:rsidRPr="008B26C4">
        <w:rPr>
          <w:sz w:val="13"/>
          <w:szCs w:val="13"/>
          <w:vertAlign w:val="superscript"/>
        </w:rPr>
        <w:t>da</w:t>
      </w:r>
      <w:r w:rsidRPr="00DC1A5F">
        <w:rPr>
          <w:sz w:val="13"/>
          <w:szCs w:val="13"/>
        </w:rPr>
        <w:t xml:space="preserve"> </w:t>
      </w:r>
      <w:r>
        <w:rPr>
          <w:sz w:val="13"/>
          <w:szCs w:val="13"/>
        </w:rPr>
        <w:t xml:space="preserve">a </w:t>
      </w:r>
      <w:r w:rsidRPr="00DC1A5F">
        <w:rPr>
          <w:sz w:val="13"/>
          <w:szCs w:val="13"/>
        </w:rPr>
        <w:t>l</w:t>
      </w:r>
      <w:r>
        <w:rPr>
          <w:sz w:val="13"/>
          <w:szCs w:val="13"/>
        </w:rPr>
        <w:t>a</w:t>
      </w:r>
      <w:r w:rsidRPr="00DC1A5F">
        <w:rPr>
          <w:sz w:val="13"/>
          <w:szCs w:val="13"/>
        </w:rPr>
        <w:t xml:space="preserve"> 6</w:t>
      </w:r>
      <w:r w:rsidRPr="008B26C4">
        <w:rPr>
          <w:sz w:val="13"/>
          <w:szCs w:val="13"/>
          <w:vertAlign w:val="superscript"/>
        </w:rPr>
        <w:t>ta</w:t>
      </w:r>
      <w:r w:rsidRPr="00DC1A5F">
        <w:rPr>
          <w:sz w:val="13"/>
          <w:szCs w:val="13"/>
        </w:rPr>
        <w:t xml:space="preserve"> dan como resultado vidas posteriores a e</w:t>
      </w:r>
      <w:r>
        <w:rPr>
          <w:sz w:val="13"/>
          <w:szCs w:val="13"/>
        </w:rPr>
        <w:t>ll</w:t>
      </w:r>
      <w:r w:rsidRPr="00DC1A5F">
        <w:rPr>
          <w:sz w:val="13"/>
          <w:szCs w:val="13"/>
        </w:rPr>
        <w:t>a. Cada un</w:t>
      </w:r>
      <w:r>
        <w:rPr>
          <w:sz w:val="13"/>
          <w:szCs w:val="13"/>
        </w:rPr>
        <w:t>a</w:t>
      </w:r>
      <w:r w:rsidRPr="00DC1A5F">
        <w:rPr>
          <w:sz w:val="13"/>
          <w:szCs w:val="13"/>
        </w:rPr>
        <w:t xml:space="preserve"> en la serie posee </w:t>
      </w:r>
      <w:r>
        <w:rPr>
          <w:sz w:val="13"/>
          <w:szCs w:val="13"/>
        </w:rPr>
        <w:t xml:space="preserve">un </w:t>
      </w:r>
      <w:r w:rsidRPr="00DC1A5F">
        <w:rPr>
          <w:sz w:val="13"/>
          <w:szCs w:val="13"/>
        </w:rPr>
        <w:t xml:space="preserve">surgimiento, presencia y disolución. Un </w:t>
      </w:r>
      <w:r w:rsidRPr="003B310C">
        <w:rPr>
          <w:i/>
          <w:iCs/>
          <w:sz w:val="13"/>
          <w:szCs w:val="13"/>
        </w:rPr>
        <w:t>momento material</w:t>
      </w:r>
      <w:r w:rsidRPr="00DC1A5F">
        <w:rPr>
          <w:sz w:val="13"/>
          <w:szCs w:val="13"/>
        </w:rPr>
        <w:t xml:space="preserve"> = 16 </w:t>
      </w:r>
      <w:r w:rsidRPr="003B310C">
        <w:rPr>
          <w:i/>
          <w:iCs/>
          <w:sz w:val="13"/>
          <w:szCs w:val="13"/>
        </w:rPr>
        <w:t>momentos conscientes</w:t>
      </w:r>
      <w:r w:rsidRPr="00DC1A5F">
        <w:rPr>
          <w:sz w:val="13"/>
          <w:szCs w:val="13"/>
        </w:rPr>
        <w:t xml:space="preserve"> </w:t>
      </w:r>
      <w:r>
        <w:rPr>
          <w:sz w:val="13"/>
          <w:szCs w:val="13"/>
        </w:rPr>
        <w:t xml:space="preserve">en </w:t>
      </w:r>
      <w:r w:rsidRPr="00DC1A5F">
        <w:rPr>
          <w:sz w:val="13"/>
          <w:szCs w:val="13"/>
        </w:rPr>
        <w:t>duración, siendo su presencia mucho más larga.</w:t>
      </w:r>
    </w:p>
    <w:p w14:paraId="514737B1" w14:textId="77777777" w:rsidR="00597DE2" w:rsidRPr="00DC1A5F" w:rsidRDefault="00597DE2" w:rsidP="00597DE2">
      <w:pPr>
        <w:pStyle w:val="Ttulo2"/>
      </w:pPr>
      <w:bookmarkStart w:id="24" w:name="_Toc142334429"/>
      <w:r w:rsidRPr="00DC1A5F">
        <w:lastRenderedPageBreak/>
        <w:t xml:space="preserve">Tabla VI: </w:t>
      </w:r>
      <w:r w:rsidRPr="00DC1A5F">
        <w:tab/>
        <w:t>Originación Dependiente (</w:t>
      </w:r>
      <w:proofErr w:type="spellStart"/>
      <w:r w:rsidRPr="00DC1A5F">
        <w:rPr>
          <w:i/>
          <w:iCs/>
        </w:rPr>
        <w:t>Paṭicca</w:t>
      </w:r>
      <w:proofErr w:type="spellEnd"/>
      <w:r w:rsidRPr="00DC1A5F">
        <w:rPr>
          <w:i/>
          <w:iCs/>
        </w:rPr>
        <w:t>–</w:t>
      </w:r>
      <w:proofErr w:type="spellStart"/>
      <w:r w:rsidRPr="00DC1A5F">
        <w:rPr>
          <w:i/>
          <w:iCs/>
        </w:rPr>
        <w:t>Samuppāda</w:t>
      </w:r>
      <w:proofErr w:type="spellEnd"/>
      <w:r w:rsidRPr="00DC1A5F">
        <w:t>)</w:t>
      </w:r>
      <w:r w:rsidRPr="00DC1A5F">
        <w:rPr>
          <w:vertAlign w:val="superscript"/>
        </w:rPr>
        <w:t>1</w:t>
      </w:r>
      <w:bookmarkEnd w:id="24"/>
    </w:p>
    <w:p w14:paraId="34305958" w14:textId="77777777" w:rsidR="00597DE2" w:rsidRPr="00DC1A5F" w:rsidRDefault="00597DE2" w:rsidP="00597DE2">
      <w:pPr>
        <w:pStyle w:val="PiedepginaLegal"/>
      </w:pPr>
    </w:p>
    <w:p w14:paraId="3DE048DB" w14:textId="77777777" w:rsidR="00597DE2" w:rsidRPr="00DC1A5F" w:rsidRDefault="00597DE2" w:rsidP="00597DE2">
      <w:pPr>
        <w:pStyle w:val="PiedepginaLegal"/>
      </w:pPr>
      <w:r>
        <w:t>Lo siguiente expone</w:t>
      </w:r>
      <w:r w:rsidRPr="00DC1A5F">
        <w:t xml:space="preserve"> que la condicionalidad se extiende a lo largo de tres vidas (del </w:t>
      </w:r>
      <w:r w:rsidRPr="00EC3256">
        <w:rPr>
          <w:i/>
          <w:iCs/>
        </w:rPr>
        <w:t>Diccionario Budista</w:t>
      </w:r>
      <w:r w:rsidRPr="00DC1A5F">
        <w:t xml:space="preserve"> de </w:t>
      </w:r>
      <w:proofErr w:type="spellStart"/>
      <w:r w:rsidRPr="00DC1A5F">
        <w:t>Nyanatiloka</w:t>
      </w:r>
      <w:proofErr w:type="spellEnd"/>
      <w:r w:rsidRPr="00DC1A5F">
        <w:t xml:space="preserve"> </w:t>
      </w:r>
      <w:proofErr w:type="spellStart"/>
      <w:r w:rsidRPr="00DC1A5F">
        <w:t>Mahāthera</w:t>
      </w:r>
      <w:proofErr w:type="spellEnd"/>
      <w:r w:rsidRPr="00DC1A5F">
        <w:t>).</w:t>
      </w:r>
    </w:p>
    <w:p w14:paraId="6057C2C3" w14:textId="77777777" w:rsidR="00597DE2" w:rsidRPr="00DC1A5F" w:rsidRDefault="00597DE2" w:rsidP="00597DE2">
      <w:pPr>
        <w:pStyle w:val="PiedepginaLegal"/>
      </w:pPr>
      <w:r w:rsidRPr="00DC1A5F">
        <w:t xml:space="preserve">Para otras aplicaciones (p. ej., </w:t>
      </w:r>
      <w:r>
        <w:t xml:space="preserve">como </w:t>
      </w:r>
      <w:r w:rsidRPr="00DC1A5F">
        <w:t>aplicables a un único momento consciente) véase el Cap. XVII Nota 48.</w:t>
      </w:r>
    </w:p>
    <w:tbl>
      <w:tblPr>
        <w:tblStyle w:val="Tablaconcuadrcula"/>
        <w:tblW w:w="0" w:type="auto"/>
        <w:tblInd w:w="284" w:type="dxa"/>
        <w:tblLook w:val="04A0" w:firstRow="1" w:lastRow="0" w:firstColumn="1" w:lastColumn="0" w:noHBand="0" w:noVBand="1"/>
      </w:tblPr>
      <w:tblGrid>
        <w:gridCol w:w="845"/>
        <w:gridCol w:w="2694"/>
        <w:gridCol w:w="2880"/>
      </w:tblGrid>
      <w:tr w:rsidR="00597DE2" w:rsidRPr="00DC1A5F" w14:paraId="246CA34F" w14:textId="77777777" w:rsidTr="00B66784">
        <w:tc>
          <w:tcPr>
            <w:tcW w:w="845" w:type="dxa"/>
          </w:tcPr>
          <w:p w14:paraId="21D79E70" w14:textId="77777777" w:rsidR="00597DE2" w:rsidRPr="00DC1A5F" w:rsidRDefault="00597DE2" w:rsidP="00B66784">
            <w:pPr>
              <w:pStyle w:val="PiedepginaLegal"/>
              <w:spacing w:after="0"/>
              <w:ind w:left="0" w:firstLine="0"/>
            </w:pPr>
          </w:p>
          <w:p w14:paraId="67E6023B" w14:textId="77777777" w:rsidR="00597DE2" w:rsidRPr="00DC1A5F" w:rsidRDefault="00597DE2" w:rsidP="00B66784">
            <w:pPr>
              <w:pStyle w:val="PiedepginaLegal"/>
              <w:spacing w:after="0"/>
              <w:ind w:left="0" w:firstLine="0"/>
            </w:pPr>
            <w:r w:rsidRPr="00DC1A5F">
              <w:t>Pasado</w:t>
            </w:r>
          </w:p>
        </w:tc>
        <w:tc>
          <w:tcPr>
            <w:tcW w:w="2694" w:type="dxa"/>
          </w:tcPr>
          <w:p w14:paraId="7DF07F93" w14:textId="77777777" w:rsidR="00597DE2" w:rsidRPr="00DC1A5F" w:rsidRDefault="00597DE2" w:rsidP="00B66784">
            <w:pPr>
              <w:pStyle w:val="PiedepginaLegal"/>
              <w:spacing w:after="0"/>
            </w:pPr>
          </w:p>
          <w:p w14:paraId="0E5B2B0F" w14:textId="77777777" w:rsidR="00597DE2" w:rsidRPr="00DC1A5F" w:rsidRDefault="00597DE2" w:rsidP="00B66784">
            <w:pPr>
              <w:pStyle w:val="PiedepginaLegal"/>
              <w:spacing w:after="0"/>
            </w:pPr>
            <w:r w:rsidRPr="00DC1A5F">
              <w:t>1. Ignorancia</w:t>
            </w:r>
          </w:p>
          <w:p w14:paraId="5A8F8D47" w14:textId="77777777" w:rsidR="00597DE2" w:rsidRPr="00DC1A5F" w:rsidRDefault="00597DE2" w:rsidP="00B66784">
            <w:pPr>
              <w:pStyle w:val="PiedepginaLegal"/>
              <w:spacing w:after="0"/>
              <w:ind w:left="0" w:firstLine="0"/>
            </w:pPr>
            <w:r w:rsidRPr="00DC1A5F">
              <w:t>2. Formaciones</w:t>
            </w:r>
          </w:p>
        </w:tc>
        <w:tc>
          <w:tcPr>
            <w:tcW w:w="2880" w:type="dxa"/>
          </w:tcPr>
          <w:p w14:paraId="502BCAC9" w14:textId="77777777" w:rsidR="00597DE2" w:rsidRPr="00DC1A5F" w:rsidRDefault="00597DE2" w:rsidP="00B66784">
            <w:pPr>
              <w:pStyle w:val="PiedepginaLegal"/>
              <w:spacing w:after="0"/>
              <w:ind w:left="0" w:firstLine="0"/>
            </w:pPr>
          </w:p>
          <w:p w14:paraId="3B0F73BC" w14:textId="77777777" w:rsidR="00597DE2" w:rsidRPr="00DC1A5F" w:rsidRDefault="00597DE2" w:rsidP="00B66784">
            <w:pPr>
              <w:pStyle w:val="PiedepginaLegal"/>
              <w:spacing w:after="0"/>
              <w:ind w:left="0" w:firstLine="0"/>
            </w:pPr>
            <w:r w:rsidRPr="00DC1A5F">
              <w:t xml:space="preserve">Devenir del proceso </w:t>
            </w:r>
            <w:proofErr w:type="spellStart"/>
            <w:r w:rsidRPr="00DC1A5F">
              <w:rPr>
                <w:i/>
                <w:iCs/>
              </w:rPr>
              <w:t>kamm</w:t>
            </w:r>
            <w:r>
              <w:rPr>
                <w:i/>
                <w:iCs/>
              </w:rPr>
              <w:t>ico</w:t>
            </w:r>
            <w:proofErr w:type="spellEnd"/>
            <w:r w:rsidRPr="00DC1A5F">
              <w:t xml:space="preserve">: </w:t>
            </w:r>
            <w:r>
              <w:t xml:space="preserve">5 </w:t>
            </w:r>
            <w:r w:rsidRPr="00DC1A5F">
              <w:t>causas, 1, 2, 8, 9, 10.</w:t>
            </w:r>
          </w:p>
          <w:p w14:paraId="5AD7D0A8" w14:textId="77777777" w:rsidR="00597DE2" w:rsidRPr="00DC1A5F" w:rsidRDefault="00597DE2" w:rsidP="00B66784">
            <w:pPr>
              <w:pStyle w:val="PiedepginaLegal"/>
              <w:spacing w:after="0"/>
              <w:ind w:left="0" w:firstLine="0"/>
            </w:pPr>
          </w:p>
        </w:tc>
      </w:tr>
      <w:tr w:rsidR="00597DE2" w:rsidRPr="00DC1A5F" w14:paraId="0B564C30" w14:textId="77777777" w:rsidTr="00B66784">
        <w:tc>
          <w:tcPr>
            <w:tcW w:w="845" w:type="dxa"/>
            <w:vMerge w:val="restart"/>
          </w:tcPr>
          <w:p w14:paraId="76C1E536" w14:textId="77777777" w:rsidR="00597DE2" w:rsidRPr="00DC1A5F" w:rsidRDefault="00597DE2" w:rsidP="00B66784">
            <w:pPr>
              <w:pStyle w:val="PiedepginaLegal"/>
              <w:spacing w:after="0"/>
              <w:ind w:left="0" w:firstLine="0"/>
            </w:pPr>
          </w:p>
          <w:p w14:paraId="07834ED1" w14:textId="77777777" w:rsidR="00597DE2" w:rsidRPr="00DC1A5F" w:rsidRDefault="00597DE2" w:rsidP="00B66784">
            <w:pPr>
              <w:pStyle w:val="PiedepginaLegal"/>
              <w:spacing w:after="0"/>
              <w:ind w:left="0" w:firstLine="0"/>
            </w:pPr>
            <w:r w:rsidRPr="00DC1A5F">
              <w:t>Presente</w:t>
            </w:r>
          </w:p>
        </w:tc>
        <w:tc>
          <w:tcPr>
            <w:tcW w:w="2694" w:type="dxa"/>
          </w:tcPr>
          <w:p w14:paraId="537367B0" w14:textId="77777777" w:rsidR="00597DE2" w:rsidRPr="00DC1A5F" w:rsidRDefault="00597DE2" w:rsidP="00B66784">
            <w:pPr>
              <w:pStyle w:val="PiedepginaLegal"/>
              <w:spacing w:after="0"/>
            </w:pPr>
          </w:p>
          <w:p w14:paraId="0D5DBAE2" w14:textId="77777777" w:rsidR="00597DE2" w:rsidRPr="00DC1A5F" w:rsidRDefault="00597DE2" w:rsidP="00B66784">
            <w:pPr>
              <w:pStyle w:val="PiedepginaLegal"/>
              <w:spacing w:after="0"/>
            </w:pPr>
            <w:r w:rsidRPr="00DC1A5F">
              <w:t>3. Consciencia</w:t>
            </w:r>
          </w:p>
          <w:p w14:paraId="5FD731D0" w14:textId="77777777" w:rsidR="00597DE2" w:rsidRPr="00DC1A5F" w:rsidRDefault="00597DE2" w:rsidP="00B66784">
            <w:pPr>
              <w:pStyle w:val="PiedepginaLegal"/>
              <w:spacing w:after="0"/>
            </w:pPr>
            <w:r w:rsidRPr="00DC1A5F">
              <w:t>4. Mentalidad–materialidad</w:t>
            </w:r>
          </w:p>
          <w:p w14:paraId="5D9EDDDD" w14:textId="77777777" w:rsidR="00597DE2" w:rsidRPr="00DC1A5F" w:rsidRDefault="00597DE2" w:rsidP="00B66784">
            <w:pPr>
              <w:pStyle w:val="PiedepginaLegal"/>
              <w:spacing w:after="0"/>
            </w:pPr>
            <w:r w:rsidRPr="00DC1A5F">
              <w:t>5. Base séxtuple</w:t>
            </w:r>
          </w:p>
          <w:p w14:paraId="32B2574E" w14:textId="77777777" w:rsidR="00597DE2" w:rsidRPr="00DC1A5F" w:rsidRDefault="00597DE2" w:rsidP="00B66784">
            <w:pPr>
              <w:pStyle w:val="PiedepginaLegal"/>
              <w:spacing w:after="0"/>
            </w:pPr>
            <w:r w:rsidRPr="00DC1A5F">
              <w:t>6. Contacto</w:t>
            </w:r>
          </w:p>
          <w:p w14:paraId="7ECC1403" w14:textId="77777777" w:rsidR="00597DE2" w:rsidRPr="00DC1A5F" w:rsidRDefault="00597DE2" w:rsidP="00B66784">
            <w:pPr>
              <w:pStyle w:val="PiedepginaLegal"/>
              <w:spacing w:after="0"/>
              <w:ind w:left="0" w:firstLine="0"/>
            </w:pPr>
            <w:r w:rsidRPr="00DC1A5F">
              <w:t xml:space="preserve">7. </w:t>
            </w:r>
            <w:r>
              <w:t>Sensación</w:t>
            </w:r>
          </w:p>
          <w:p w14:paraId="7628BEA2" w14:textId="77777777" w:rsidR="00597DE2" w:rsidRPr="00DC1A5F" w:rsidRDefault="00597DE2" w:rsidP="00B66784">
            <w:pPr>
              <w:pStyle w:val="PiedepginaLegal"/>
              <w:spacing w:after="0"/>
              <w:ind w:left="0" w:firstLine="0"/>
            </w:pPr>
          </w:p>
        </w:tc>
        <w:tc>
          <w:tcPr>
            <w:tcW w:w="2880" w:type="dxa"/>
          </w:tcPr>
          <w:p w14:paraId="14263D52" w14:textId="77777777" w:rsidR="00597DE2" w:rsidRPr="00DC1A5F" w:rsidRDefault="00597DE2" w:rsidP="00B66784">
            <w:pPr>
              <w:pStyle w:val="PiedepginaLegal"/>
              <w:spacing w:after="0"/>
            </w:pPr>
          </w:p>
          <w:p w14:paraId="1A0B3EFE" w14:textId="77777777" w:rsidR="00597DE2" w:rsidRPr="00DC1A5F" w:rsidRDefault="00597DE2" w:rsidP="00B66784">
            <w:pPr>
              <w:pStyle w:val="PiedepginaLegal"/>
              <w:spacing w:after="0"/>
              <w:ind w:left="0" w:firstLine="0"/>
            </w:pPr>
          </w:p>
          <w:p w14:paraId="3C7C65B3" w14:textId="77777777" w:rsidR="00597DE2" w:rsidRPr="00DC1A5F" w:rsidRDefault="00597DE2" w:rsidP="00B66784">
            <w:pPr>
              <w:pStyle w:val="PiedepginaLegal"/>
              <w:spacing w:after="0"/>
              <w:ind w:left="0" w:firstLine="0"/>
            </w:pPr>
            <w:r>
              <w:t xml:space="preserve">Devenir del </w:t>
            </w:r>
            <w:r w:rsidRPr="00DC1A5F">
              <w:t>Proceso de renacimiento: cinco resulta</w:t>
            </w:r>
            <w:r>
              <w:t>ntes</w:t>
            </w:r>
            <w:r w:rsidRPr="00DC1A5F">
              <w:t>, 3–7.</w:t>
            </w:r>
          </w:p>
        </w:tc>
      </w:tr>
      <w:tr w:rsidR="00597DE2" w:rsidRPr="00DC1A5F" w14:paraId="337EC1FB" w14:textId="77777777" w:rsidTr="00B66784">
        <w:tc>
          <w:tcPr>
            <w:tcW w:w="845" w:type="dxa"/>
            <w:vMerge/>
          </w:tcPr>
          <w:p w14:paraId="08B57DD8" w14:textId="77777777" w:rsidR="00597DE2" w:rsidRPr="00DC1A5F" w:rsidRDefault="00597DE2" w:rsidP="00B66784">
            <w:pPr>
              <w:pStyle w:val="PiedepginaLegal"/>
              <w:spacing w:after="0"/>
              <w:ind w:left="0" w:firstLine="0"/>
            </w:pPr>
          </w:p>
        </w:tc>
        <w:tc>
          <w:tcPr>
            <w:tcW w:w="2694" w:type="dxa"/>
          </w:tcPr>
          <w:p w14:paraId="35A987FC" w14:textId="77777777" w:rsidR="00597DE2" w:rsidRPr="00DC1A5F" w:rsidRDefault="00597DE2" w:rsidP="00B66784">
            <w:pPr>
              <w:pStyle w:val="PiedepginaLegal"/>
              <w:spacing w:after="0"/>
            </w:pPr>
          </w:p>
          <w:p w14:paraId="43D29115" w14:textId="77777777" w:rsidR="00597DE2" w:rsidRPr="00DC1A5F" w:rsidRDefault="00597DE2" w:rsidP="00B66784">
            <w:pPr>
              <w:pStyle w:val="PiedepginaLegal"/>
              <w:spacing w:after="0"/>
            </w:pPr>
            <w:r w:rsidRPr="00DC1A5F">
              <w:t xml:space="preserve">8. </w:t>
            </w:r>
            <w:r>
              <w:t>Deseo</w:t>
            </w:r>
          </w:p>
          <w:p w14:paraId="0014B7DC" w14:textId="77777777" w:rsidR="00597DE2" w:rsidRPr="00DC1A5F" w:rsidRDefault="00597DE2" w:rsidP="00B66784">
            <w:pPr>
              <w:pStyle w:val="PiedepginaLegal"/>
              <w:spacing w:after="0"/>
            </w:pPr>
            <w:r w:rsidRPr="00DC1A5F">
              <w:t>9. A</w:t>
            </w:r>
            <w:r>
              <w:t>pego</w:t>
            </w:r>
          </w:p>
          <w:p w14:paraId="35DE359C" w14:textId="77777777" w:rsidR="00597DE2" w:rsidRPr="00DC1A5F" w:rsidRDefault="00597DE2" w:rsidP="00B66784">
            <w:pPr>
              <w:pStyle w:val="PiedepginaLegal"/>
              <w:spacing w:after="0"/>
              <w:ind w:left="0" w:firstLine="0"/>
            </w:pPr>
            <w:r w:rsidRPr="00DC1A5F">
              <w:t xml:space="preserve">10. </w:t>
            </w:r>
            <w:r>
              <w:t>Devenir</w:t>
            </w:r>
          </w:p>
          <w:p w14:paraId="28BB6E7A" w14:textId="77777777" w:rsidR="00597DE2" w:rsidRPr="00DC1A5F" w:rsidRDefault="00597DE2" w:rsidP="00B66784">
            <w:pPr>
              <w:pStyle w:val="PiedepginaLegal"/>
              <w:spacing w:after="0"/>
              <w:ind w:left="0" w:firstLine="0"/>
            </w:pPr>
          </w:p>
        </w:tc>
        <w:tc>
          <w:tcPr>
            <w:tcW w:w="2880" w:type="dxa"/>
          </w:tcPr>
          <w:p w14:paraId="398A0667" w14:textId="77777777" w:rsidR="00597DE2" w:rsidRPr="00DC1A5F" w:rsidRDefault="00597DE2" w:rsidP="00B66784">
            <w:pPr>
              <w:pStyle w:val="PiedepginaLegal"/>
              <w:spacing w:after="0"/>
              <w:ind w:left="0" w:firstLine="0"/>
            </w:pPr>
          </w:p>
          <w:p w14:paraId="7F246D37" w14:textId="77777777" w:rsidR="00597DE2" w:rsidRPr="00DC1A5F" w:rsidRDefault="00597DE2" w:rsidP="00B66784">
            <w:pPr>
              <w:pStyle w:val="PiedepginaLegal"/>
              <w:spacing w:after="0"/>
              <w:ind w:left="0" w:firstLine="0"/>
            </w:pPr>
            <w:r w:rsidRPr="00DC1A5F">
              <w:t xml:space="preserve">Devenir del proceso </w:t>
            </w:r>
            <w:proofErr w:type="spellStart"/>
            <w:r w:rsidRPr="00DC1A5F">
              <w:rPr>
                <w:i/>
                <w:iCs/>
              </w:rPr>
              <w:t>kamm</w:t>
            </w:r>
            <w:r>
              <w:rPr>
                <w:i/>
                <w:iCs/>
              </w:rPr>
              <w:t>ico</w:t>
            </w:r>
            <w:proofErr w:type="spellEnd"/>
            <w:r w:rsidRPr="00DC1A5F">
              <w:t xml:space="preserve">: </w:t>
            </w:r>
            <w:r>
              <w:t xml:space="preserve">5 </w:t>
            </w:r>
            <w:r w:rsidRPr="00DC1A5F">
              <w:t>causas, 1, 2, 8, 9, 10.</w:t>
            </w:r>
          </w:p>
        </w:tc>
      </w:tr>
      <w:tr w:rsidR="00597DE2" w:rsidRPr="00DC1A5F" w14:paraId="608186FD" w14:textId="77777777" w:rsidTr="00B66784">
        <w:tc>
          <w:tcPr>
            <w:tcW w:w="845" w:type="dxa"/>
          </w:tcPr>
          <w:p w14:paraId="20E47C59" w14:textId="77777777" w:rsidR="00597DE2" w:rsidRPr="00DC1A5F" w:rsidRDefault="00597DE2" w:rsidP="00B66784">
            <w:pPr>
              <w:pStyle w:val="PiedepginaLegal"/>
              <w:spacing w:after="0"/>
              <w:ind w:left="0" w:firstLine="0"/>
            </w:pPr>
          </w:p>
          <w:p w14:paraId="788324B7" w14:textId="77777777" w:rsidR="00597DE2" w:rsidRPr="00DC1A5F" w:rsidRDefault="00597DE2" w:rsidP="00B66784">
            <w:pPr>
              <w:pStyle w:val="PiedepginaLegal"/>
              <w:spacing w:after="0"/>
              <w:ind w:left="0" w:firstLine="0"/>
            </w:pPr>
            <w:r w:rsidRPr="00DC1A5F">
              <w:t>Futuro</w:t>
            </w:r>
          </w:p>
        </w:tc>
        <w:tc>
          <w:tcPr>
            <w:tcW w:w="2694" w:type="dxa"/>
          </w:tcPr>
          <w:p w14:paraId="5A247E22" w14:textId="77777777" w:rsidR="00597DE2" w:rsidRPr="00DC1A5F" w:rsidRDefault="00597DE2" w:rsidP="00B66784">
            <w:pPr>
              <w:pStyle w:val="PiedepginaLegal"/>
              <w:spacing w:after="0"/>
              <w:ind w:left="0" w:firstLine="0"/>
            </w:pPr>
          </w:p>
          <w:p w14:paraId="4507CFB8" w14:textId="77777777" w:rsidR="00597DE2" w:rsidRPr="00DC1A5F" w:rsidRDefault="00597DE2" w:rsidP="00B66784">
            <w:pPr>
              <w:pStyle w:val="PiedepginaLegal"/>
              <w:spacing w:after="0"/>
              <w:ind w:left="0" w:firstLine="0"/>
            </w:pPr>
            <w:r w:rsidRPr="00DC1A5F">
              <w:t xml:space="preserve">11. </w:t>
            </w:r>
            <w:r>
              <w:t>N</w:t>
            </w:r>
            <w:r w:rsidRPr="00DC1A5F">
              <w:t xml:space="preserve">acimiento (como renacimiento) </w:t>
            </w:r>
          </w:p>
          <w:p w14:paraId="57B898DD" w14:textId="77777777" w:rsidR="00597DE2" w:rsidRPr="00DC1A5F" w:rsidRDefault="00597DE2" w:rsidP="00B66784">
            <w:pPr>
              <w:pStyle w:val="PiedepginaLegal"/>
              <w:spacing w:after="0"/>
              <w:ind w:left="0" w:firstLine="0"/>
            </w:pPr>
            <w:r w:rsidRPr="00DC1A5F">
              <w:t>12. Envejecimiento y muerte</w:t>
            </w:r>
          </w:p>
        </w:tc>
        <w:tc>
          <w:tcPr>
            <w:tcW w:w="2880" w:type="dxa"/>
          </w:tcPr>
          <w:p w14:paraId="5FCD3A03" w14:textId="77777777" w:rsidR="00597DE2" w:rsidRPr="00DC1A5F" w:rsidRDefault="00597DE2" w:rsidP="00B66784">
            <w:pPr>
              <w:pStyle w:val="PiedepginaLegal"/>
              <w:spacing w:after="0"/>
              <w:ind w:left="0" w:firstLine="0"/>
            </w:pPr>
          </w:p>
          <w:p w14:paraId="5F377C39" w14:textId="77777777" w:rsidR="00597DE2" w:rsidRPr="00DC1A5F" w:rsidRDefault="00597DE2" w:rsidP="00B66784">
            <w:pPr>
              <w:pStyle w:val="PiedepginaLegal"/>
              <w:spacing w:after="0"/>
              <w:ind w:left="0" w:firstLine="0"/>
            </w:pPr>
            <w:r>
              <w:t>Devenir</w:t>
            </w:r>
            <w:r w:rsidRPr="00DC1A5F">
              <w:t xml:space="preserve"> de</w:t>
            </w:r>
            <w:r>
              <w:t>l proceso de</w:t>
            </w:r>
            <w:r w:rsidRPr="00DC1A5F">
              <w:t xml:space="preserve"> renacimiento: cinco resulta</w:t>
            </w:r>
            <w:r>
              <w:t>ntes</w:t>
            </w:r>
            <w:r w:rsidRPr="00DC1A5F">
              <w:t>, 3–7.</w:t>
            </w:r>
          </w:p>
          <w:p w14:paraId="6EA58F90" w14:textId="77777777" w:rsidR="00597DE2" w:rsidRPr="00DC1A5F" w:rsidRDefault="00597DE2" w:rsidP="00B66784">
            <w:pPr>
              <w:pStyle w:val="PiedepginaLegal"/>
              <w:spacing w:after="0"/>
              <w:ind w:left="0" w:firstLine="0"/>
            </w:pPr>
          </w:p>
        </w:tc>
      </w:tr>
    </w:tbl>
    <w:p w14:paraId="64248587" w14:textId="77777777" w:rsidR="00597DE2" w:rsidRPr="00DC1A5F" w:rsidRDefault="00597DE2" w:rsidP="00597DE2">
      <w:pPr>
        <w:pStyle w:val="PiedepginaLegal"/>
      </w:pPr>
    </w:p>
    <w:p w14:paraId="68238247" w14:textId="77777777" w:rsidR="00597DE2" w:rsidRPr="00DC1A5F" w:rsidRDefault="00597DE2" w:rsidP="00597DE2">
      <w:pPr>
        <w:pStyle w:val="PiedepginaLegal"/>
      </w:pPr>
    </w:p>
    <w:p w14:paraId="3549CFC3" w14:textId="77777777" w:rsidR="00597DE2" w:rsidRPr="00DC1A5F" w:rsidRDefault="00597DE2" w:rsidP="00597DE2">
      <w:pPr>
        <w:pStyle w:val="PiedepginaLegal"/>
        <w:rPr>
          <w:u w:val="single"/>
        </w:rPr>
      </w:pPr>
      <w:r w:rsidRPr="00DC1A5F">
        <w:rPr>
          <w:u w:val="single"/>
        </w:rPr>
        <w:t xml:space="preserve">          </w:t>
      </w:r>
      <w:r w:rsidRPr="00DC1A5F">
        <w:rPr>
          <w:u w:val="single"/>
        </w:rPr>
        <w:tab/>
      </w:r>
      <w:r w:rsidRPr="00DC1A5F">
        <w:rPr>
          <w:u w:val="single"/>
        </w:rPr>
        <w:tab/>
        <w:t>.</w:t>
      </w:r>
    </w:p>
    <w:p w14:paraId="6BB429E1" w14:textId="77777777" w:rsidR="00597DE2" w:rsidRPr="00DC1A5F" w:rsidRDefault="00597DE2" w:rsidP="00597DE2">
      <w:pPr>
        <w:pStyle w:val="PiedepginaLegal"/>
      </w:pPr>
      <w:r w:rsidRPr="00DC1A5F">
        <w:t xml:space="preserve">1. </w:t>
      </w:r>
      <w:r w:rsidRPr="00DC1A5F">
        <w:tab/>
        <w:t>Cap. XVII.296ff</w:t>
      </w:r>
    </w:p>
    <w:p w14:paraId="79B785DC" w14:textId="77777777" w:rsidR="00597DE2" w:rsidRPr="00DC1A5F" w:rsidRDefault="00597DE2" w:rsidP="00597DE2">
      <w:pPr>
        <w:pStyle w:val="PiedepginaLegal"/>
      </w:pPr>
    </w:p>
    <w:p w14:paraId="10974322" w14:textId="77777777" w:rsidR="00597DE2" w:rsidRPr="00DC1A5F" w:rsidRDefault="00597DE2" w:rsidP="00597DE2">
      <w:pPr>
        <w:tabs>
          <w:tab w:val="clear" w:pos="425"/>
        </w:tabs>
        <w:spacing w:after="160"/>
      </w:pPr>
      <w:r w:rsidRPr="00DC1A5F">
        <w:br w:type="page"/>
      </w:r>
    </w:p>
    <w:p w14:paraId="15F72CB9" w14:textId="77777777" w:rsidR="00597DE2" w:rsidRPr="00DC1A5F" w:rsidRDefault="00597DE2" w:rsidP="00597DE2"/>
    <w:p w14:paraId="467B5F9E" w14:textId="77777777" w:rsidR="00597DE2" w:rsidRPr="00DC1A5F" w:rsidRDefault="00597DE2" w:rsidP="00597DE2"/>
    <w:p w14:paraId="061002E6" w14:textId="77777777" w:rsidR="00597DE2" w:rsidRPr="00DC1A5F" w:rsidRDefault="00597DE2" w:rsidP="00597DE2"/>
    <w:p w14:paraId="2F4BE482" w14:textId="77777777" w:rsidR="00597DE2" w:rsidRPr="00DC1A5F" w:rsidRDefault="00597DE2" w:rsidP="00597DE2"/>
    <w:p w14:paraId="0D8A167D" w14:textId="77777777" w:rsidR="00597DE2" w:rsidRPr="00DC1A5F" w:rsidRDefault="00597DE2" w:rsidP="00597DE2"/>
    <w:p w14:paraId="058D62ED" w14:textId="77777777" w:rsidR="00597DE2" w:rsidRPr="00DC1A5F" w:rsidRDefault="00597DE2" w:rsidP="00597DE2"/>
    <w:p w14:paraId="1C18C357" w14:textId="77777777" w:rsidR="00597DE2" w:rsidRPr="00DC1A5F" w:rsidRDefault="00597DE2" w:rsidP="00597DE2">
      <w:pPr>
        <w:pStyle w:val="Ttulo2"/>
        <w:jc w:val="center"/>
        <w:rPr>
          <w:u w:val="single"/>
        </w:rPr>
      </w:pPr>
      <w:bookmarkStart w:id="25" w:name="_Toc142334430"/>
      <w:r w:rsidRPr="00DC1A5F">
        <w:rPr>
          <w:u w:val="single"/>
        </w:rPr>
        <w:t xml:space="preserve">El </w:t>
      </w:r>
      <w:r w:rsidRPr="00DC1A5F">
        <w:rPr>
          <w:i/>
          <w:iCs/>
          <w:u w:val="single"/>
        </w:rPr>
        <w:t>Visuddhimagga</w:t>
      </w:r>
      <w:bookmarkEnd w:id="25"/>
    </w:p>
    <w:p w14:paraId="4A38FA14" w14:textId="77777777" w:rsidR="00803B01" w:rsidRDefault="00803B01" w:rsidP="00597DE2">
      <w:pPr>
        <w:pStyle w:val="Textoindependiente"/>
      </w:pPr>
    </w:p>
    <w:p w14:paraId="7D0A9EA5" w14:textId="295C74E0" w:rsidR="00597DE2" w:rsidRPr="00DC1A5F" w:rsidRDefault="00597DE2" w:rsidP="00597DE2">
      <w:pPr>
        <w:pStyle w:val="Textoindependiente"/>
      </w:pPr>
      <w:r w:rsidRPr="00DC1A5F">
        <w:t xml:space="preserve">El </w:t>
      </w:r>
      <w:r w:rsidRPr="00DC1A5F">
        <w:rPr>
          <w:i/>
          <w:iCs/>
        </w:rPr>
        <w:t>Visuddhimagga</w:t>
      </w:r>
      <w:r w:rsidRPr="00DC1A5F">
        <w:t xml:space="preserve"> es </w:t>
      </w:r>
      <w:r>
        <w:t>un</w:t>
      </w:r>
      <w:r w:rsidRPr="00DC1A5F">
        <w:t xml:space="preserve"> “gran tratado” del </w:t>
      </w:r>
      <w:proofErr w:type="gramStart"/>
      <w:r w:rsidRPr="00DE59F4">
        <w:rPr>
          <w:i/>
          <w:iCs/>
        </w:rPr>
        <w:t>Budismo</w:t>
      </w:r>
      <w:proofErr w:type="gramEnd"/>
      <w:r w:rsidRPr="00DE59F4">
        <w:rPr>
          <w:i/>
          <w:iCs/>
        </w:rPr>
        <w:t xml:space="preserve"> Theravāda</w:t>
      </w:r>
      <w:r>
        <w:t>;</w:t>
      </w:r>
      <w:r w:rsidRPr="00DC1A5F">
        <w:t xml:space="preserve"> </w:t>
      </w:r>
      <w:r>
        <w:t xml:space="preserve">trátase de </w:t>
      </w:r>
      <w:r w:rsidRPr="00DC1A5F">
        <w:t xml:space="preserve">un manual enciclopédico </w:t>
      </w:r>
      <w:r>
        <w:t>sobre</w:t>
      </w:r>
      <w:r w:rsidRPr="00DC1A5F">
        <w:t xml:space="preserve"> </w:t>
      </w:r>
      <w:r>
        <w:t xml:space="preserve">la </w:t>
      </w:r>
      <w:r w:rsidRPr="00DC1A5F">
        <w:t xml:space="preserve">doctrina y </w:t>
      </w:r>
      <w:r>
        <w:t xml:space="preserve">la </w:t>
      </w:r>
      <w:r w:rsidRPr="00DC1A5F">
        <w:t xml:space="preserve">meditación budista escrito en el siglo V </w:t>
      </w:r>
      <w:r>
        <w:t xml:space="preserve">d.C. </w:t>
      </w:r>
      <w:r w:rsidRPr="00DC1A5F">
        <w:t xml:space="preserve">por el gran </w:t>
      </w:r>
      <w:r>
        <w:t xml:space="preserve">monje budista y </w:t>
      </w:r>
      <w:r w:rsidRPr="00DC1A5F">
        <w:t xml:space="preserve">comentarista </w:t>
      </w:r>
      <w:proofErr w:type="spellStart"/>
      <w:r w:rsidRPr="00DC1A5F">
        <w:t>Bhadantacariya</w:t>
      </w:r>
      <w:proofErr w:type="spellEnd"/>
      <w:r w:rsidRPr="00DC1A5F">
        <w:t xml:space="preserve"> Buddhaghosa. La intención del autor al componer este libro </w:t>
      </w:r>
      <w:r>
        <w:t xml:space="preserve">fue la de </w:t>
      </w:r>
      <w:r w:rsidRPr="00DC1A5F">
        <w:t>organizar l</w:t>
      </w:r>
      <w:r>
        <w:t>a</w:t>
      </w:r>
      <w:r w:rsidRPr="00DC1A5F">
        <w:t>s divers</w:t>
      </w:r>
      <w:r>
        <w:t>a</w:t>
      </w:r>
      <w:r w:rsidRPr="00DC1A5F">
        <w:t xml:space="preserve">s enseñanzas del </w:t>
      </w:r>
      <w:r w:rsidRPr="00DD3A27">
        <w:rPr>
          <w:i/>
          <w:iCs/>
        </w:rPr>
        <w:t>Buddha</w:t>
      </w:r>
      <w:r w:rsidRPr="00DC1A5F">
        <w:t xml:space="preserve">, que se encuentran a lo largo del Canon </w:t>
      </w:r>
      <w:r w:rsidRPr="00DC1A5F">
        <w:rPr>
          <w:i/>
          <w:iCs/>
        </w:rPr>
        <w:t>Pāḷi</w:t>
      </w:r>
      <w:r w:rsidRPr="00DC1A5F">
        <w:t xml:space="preserve">, </w:t>
      </w:r>
      <w:r>
        <w:t xml:space="preserve">bajo </w:t>
      </w:r>
      <w:r w:rsidRPr="00DC1A5F">
        <w:t xml:space="preserve">un </w:t>
      </w:r>
      <w:r>
        <w:t xml:space="preserve">claro </w:t>
      </w:r>
      <w:r w:rsidRPr="00DC1A5F">
        <w:t xml:space="preserve">y completo </w:t>
      </w:r>
      <w:r>
        <w:t xml:space="preserve">sendero </w:t>
      </w:r>
      <w:r w:rsidRPr="00DC1A5F">
        <w:t>conduce</w:t>
      </w:r>
      <w:r>
        <w:t>nte</w:t>
      </w:r>
      <w:r w:rsidRPr="00DC1A5F">
        <w:t xml:space="preserve"> </w:t>
      </w:r>
      <w:r>
        <w:t>hacia</w:t>
      </w:r>
      <w:r w:rsidRPr="00DC1A5F">
        <w:t xml:space="preserve"> la meta final</w:t>
      </w:r>
      <w:r>
        <w:t xml:space="preserve"> del budismo</w:t>
      </w:r>
      <w:r w:rsidRPr="00DC1A5F">
        <w:t xml:space="preserve">, </w:t>
      </w:r>
      <w:r>
        <w:t xml:space="preserve">hacia el </w:t>
      </w:r>
      <w:r w:rsidR="00C900B1">
        <w:rPr>
          <w:i/>
          <w:iCs/>
        </w:rPr>
        <w:t>Nibbāna</w:t>
      </w:r>
      <w:r w:rsidRPr="00DC1A5F">
        <w:t xml:space="preserve">, </w:t>
      </w:r>
      <w:r>
        <w:t xml:space="preserve">aquel </w:t>
      </w:r>
      <w:r w:rsidRPr="00DC1A5F">
        <w:t xml:space="preserve">estado de </w:t>
      </w:r>
      <w:r>
        <w:t xml:space="preserve">plena </w:t>
      </w:r>
      <w:r w:rsidRPr="00DC1A5F">
        <w:t xml:space="preserve">purificación. En el curso de su tratado, Buddhaghosa </w:t>
      </w:r>
      <w:r>
        <w:t xml:space="preserve">expone </w:t>
      </w:r>
      <w:r w:rsidRPr="00DC1A5F">
        <w:t>completa y detallada</w:t>
      </w:r>
      <w:r>
        <w:t>mente</w:t>
      </w:r>
      <w:r w:rsidRPr="00DC1A5F">
        <w:t xml:space="preserve"> instrucciones sobre los cuarenta </w:t>
      </w:r>
      <w:r>
        <w:t>objetos</w:t>
      </w:r>
      <w:r w:rsidRPr="00DC1A5F">
        <w:t xml:space="preserve"> de meditación dirigid</w:t>
      </w:r>
      <w:r>
        <w:t>os</w:t>
      </w:r>
      <w:r w:rsidRPr="00DC1A5F">
        <w:t xml:space="preserve"> </w:t>
      </w:r>
      <w:r>
        <w:t>hacia</w:t>
      </w:r>
      <w:r w:rsidRPr="00DC1A5F">
        <w:t xml:space="preserve"> la concentración, un relato elaborado de la filosofía budista </w:t>
      </w:r>
      <w:proofErr w:type="spellStart"/>
      <w:r w:rsidRPr="00DC1A5F">
        <w:rPr>
          <w:i/>
          <w:iCs/>
        </w:rPr>
        <w:t>Abhidhamma</w:t>
      </w:r>
      <w:proofErr w:type="spellEnd"/>
      <w:r w:rsidRPr="00DC1A5F">
        <w:t xml:space="preserve"> y </w:t>
      </w:r>
      <w:r>
        <w:t xml:space="preserve">también una </w:t>
      </w:r>
      <w:r w:rsidRPr="00DC1A5F">
        <w:t>detallada descripci</w:t>
      </w:r>
      <w:r>
        <w:t>ón</w:t>
      </w:r>
      <w:r w:rsidRPr="00DC1A5F">
        <w:t xml:space="preserve"> </w:t>
      </w:r>
      <w:r>
        <w:t xml:space="preserve">sobre </w:t>
      </w:r>
      <w:r w:rsidRPr="00DC1A5F">
        <w:t xml:space="preserve">las </w:t>
      </w:r>
      <w:r>
        <w:t xml:space="preserve">diferentes </w:t>
      </w:r>
      <w:r w:rsidRPr="00DC1A5F">
        <w:t>etapas de</w:t>
      </w:r>
      <w:r>
        <w:t xml:space="preserve"> desarrollo de la sabiduría revelativa la cual </w:t>
      </w:r>
      <w:r w:rsidRPr="00DC1A5F">
        <w:t>culmina en la liberación final.</w:t>
      </w:r>
    </w:p>
    <w:p w14:paraId="1B750912" w14:textId="77777777" w:rsidR="00597DE2" w:rsidRPr="00CF694D" w:rsidRDefault="00597DE2" w:rsidP="00597DE2">
      <w:pPr>
        <w:pStyle w:val="Textoindependienteprimerasangra2"/>
        <w:tabs>
          <w:tab w:val="clear" w:pos="425"/>
        </w:tabs>
        <w:ind w:left="2268" w:hanging="10"/>
        <w:rPr>
          <w:i/>
          <w:iCs/>
        </w:rPr>
      </w:pPr>
      <w:r w:rsidRPr="00DC1A5F">
        <w:t>“</w:t>
      </w:r>
      <w:r w:rsidRPr="00CF694D">
        <w:rPr>
          <w:i/>
          <w:iCs/>
        </w:rPr>
        <w:t xml:space="preserve">La presente traducción de </w:t>
      </w:r>
      <w:proofErr w:type="spellStart"/>
      <w:r w:rsidRPr="00CF694D">
        <w:rPr>
          <w:i/>
          <w:iCs/>
        </w:rPr>
        <w:t>Bhikkhu</w:t>
      </w:r>
      <w:proofErr w:type="spellEnd"/>
      <w:r w:rsidRPr="00CF694D">
        <w:rPr>
          <w:i/>
          <w:iCs/>
        </w:rPr>
        <w:t xml:space="preserve"> Ñāṇamoli se ubica como un logro cultural sobresaliente y quizás sin par en la erudición budista Pāḷi del siglo XX”</w:t>
      </w:r>
      <w:r>
        <w:rPr>
          <w:i/>
          <w:iCs/>
        </w:rPr>
        <w:t>.</w:t>
      </w:r>
    </w:p>
    <w:p w14:paraId="73E9A505" w14:textId="77777777" w:rsidR="00597DE2" w:rsidRPr="00DC1A5F" w:rsidRDefault="00597DE2" w:rsidP="00597DE2">
      <w:pPr>
        <w:pStyle w:val="Textoindependienteprimerasangra2"/>
        <w:jc w:val="right"/>
      </w:pPr>
      <w:r w:rsidRPr="00DC1A5F">
        <w:t>El Dala</w:t>
      </w:r>
      <w:r>
        <w:t>i</w:t>
      </w:r>
      <w:r w:rsidRPr="00DC1A5F">
        <w:t xml:space="preserve"> Lama</w:t>
      </w:r>
    </w:p>
    <w:p w14:paraId="656C9478" w14:textId="77777777" w:rsidR="00597DE2" w:rsidRPr="00DC1A5F" w:rsidRDefault="00597DE2" w:rsidP="00597DE2"/>
    <w:p w14:paraId="1188AFEA" w14:textId="77777777" w:rsidR="00597DE2" w:rsidRPr="00DC1A5F" w:rsidRDefault="00597DE2" w:rsidP="00597DE2"/>
    <w:p w14:paraId="43D16233" w14:textId="77777777" w:rsidR="00597DE2" w:rsidRPr="00DC1A5F" w:rsidRDefault="00597DE2" w:rsidP="00597DE2">
      <w:r w:rsidRPr="00DC1A5F">
        <w:rPr>
          <w:noProof/>
        </w:rPr>
        <w:drawing>
          <wp:anchor distT="0" distB="0" distL="114300" distR="114300" simplePos="0" relativeHeight="251652608" behindDoc="1" locked="0" layoutInCell="1" allowOverlap="1" wp14:anchorId="5E62AA44" wp14:editId="0A2AEBB7">
            <wp:simplePos x="0" y="0"/>
            <wp:positionH relativeFrom="margin">
              <wp:align>center</wp:align>
            </wp:positionH>
            <wp:positionV relativeFrom="paragraph">
              <wp:posOffset>124460</wp:posOffset>
            </wp:positionV>
            <wp:extent cx="556895" cy="419100"/>
            <wp:effectExtent l="0" t="0" r="0" b="0"/>
            <wp:wrapNone/>
            <wp:docPr id="27" name="Imagen 2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bujo en blanco y negro&#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895" cy="419100"/>
                    </a:xfrm>
                    <a:prstGeom prst="rect">
                      <a:avLst/>
                    </a:prstGeom>
                  </pic:spPr>
                </pic:pic>
              </a:graphicData>
            </a:graphic>
            <wp14:sizeRelH relativeFrom="margin">
              <wp14:pctWidth>0</wp14:pctWidth>
            </wp14:sizeRelH>
            <wp14:sizeRelV relativeFrom="margin">
              <wp14:pctHeight>0</wp14:pctHeight>
            </wp14:sizeRelV>
          </wp:anchor>
        </w:drawing>
      </w:r>
    </w:p>
    <w:p w14:paraId="52B10F39" w14:textId="77777777" w:rsidR="00597DE2" w:rsidRPr="00DC1A5F" w:rsidRDefault="00597DE2" w:rsidP="00597DE2"/>
    <w:p w14:paraId="6DA1EF98" w14:textId="77777777" w:rsidR="00597DE2" w:rsidRPr="00DC1A5F" w:rsidRDefault="00597DE2" w:rsidP="00597DE2">
      <w:pPr>
        <w:jc w:val="center"/>
      </w:pPr>
    </w:p>
    <w:p w14:paraId="78719E04" w14:textId="77777777" w:rsidR="00597DE2" w:rsidRDefault="00597DE2" w:rsidP="00597DE2">
      <w:pPr>
        <w:pStyle w:val="Textoindependiente"/>
        <w:jc w:val="center"/>
        <w:rPr>
          <w:i/>
          <w:iCs/>
        </w:rPr>
      </w:pPr>
      <w:r w:rsidRPr="00CF694D">
        <w:rPr>
          <w:sz w:val="14"/>
          <w:szCs w:val="18"/>
        </w:rPr>
        <w:t xml:space="preserve">Traducido y adaptado del inglés al español </w:t>
      </w:r>
      <w:r w:rsidRPr="00CF694D">
        <w:rPr>
          <w:sz w:val="14"/>
          <w:szCs w:val="18"/>
        </w:rPr>
        <w:br/>
        <w:t xml:space="preserve">en base </w:t>
      </w:r>
      <w:r>
        <w:rPr>
          <w:sz w:val="14"/>
          <w:szCs w:val="18"/>
        </w:rPr>
        <w:t>a la</w:t>
      </w:r>
      <w:r w:rsidRPr="00CF694D">
        <w:rPr>
          <w:sz w:val="14"/>
          <w:szCs w:val="18"/>
        </w:rPr>
        <w:t xml:space="preserve"> publicación de</w:t>
      </w:r>
      <w:r>
        <w:rPr>
          <w:sz w:val="14"/>
          <w:szCs w:val="18"/>
        </w:rPr>
        <w:t>l</w:t>
      </w:r>
      <w:r w:rsidRPr="00CF694D">
        <w:rPr>
          <w:sz w:val="14"/>
          <w:szCs w:val="18"/>
        </w:rPr>
        <w:br/>
      </w:r>
      <w:proofErr w:type="spellStart"/>
      <w:r w:rsidRPr="00DC1A5F">
        <w:rPr>
          <w:i/>
          <w:iCs/>
        </w:rPr>
        <w:t>Buddhist</w:t>
      </w:r>
      <w:proofErr w:type="spellEnd"/>
      <w:r w:rsidRPr="00DC1A5F">
        <w:rPr>
          <w:i/>
          <w:iCs/>
        </w:rPr>
        <w:t xml:space="preserve"> </w:t>
      </w:r>
      <w:proofErr w:type="spellStart"/>
      <w:r w:rsidRPr="00DC1A5F">
        <w:rPr>
          <w:i/>
          <w:iCs/>
        </w:rPr>
        <w:t>Publication</w:t>
      </w:r>
      <w:proofErr w:type="spellEnd"/>
      <w:r w:rsidRPr="00DC1A5F">
        <w:rPr>
          <w:i/>
          <w:iCs/>
        </w:rPr>
        <w:t xml:space="preserve"> </w:t>
      </w:r>
      <w:proofErr w:type="spellStart"/>
      <w:r w:rsidRPr="00DC1A5F">
        <w:rPr>
          <w:i/>
          <w:iCs/>
        </w:rPr>
        <w:t>Society</w:t>
      </w:r>
      <w:proofErr w:type="spellEnd"/>
      <w:r w:rsidRPr="00DC1A5F">
        <w:rPr>
          <w:i/>
          <w:iCs/>
        </w:rPr>
        <w:t>, Inc.</w:t>
      </w:r>
    </w:p>
    <w:p w14:paraId="39C7ECC6" w14:textId="77777777" w:rsidR="00597DE2" w:rsidRPr="00DC1A5F" w:rsidRDefault="00597DE2" w:rsidP="00597DE2">
      <w:pPr>
        <w:pStyle w:val="Textoindependiente"/>
        <w:jc w:val="center"/>
        <w:rPr>
          <w:i/>
          <w:iCs/>
        </w:rPr>
      </w:pPr>
    </w:p>
    <w:p w14:paraId="45D3425E" w14:textId="77777777" w:rsidR="00597DE2" w:rsidRPr="00DC1A5F" w:rsidRDefault="00597DE2" w:rsidP="00597DE2">
      <w:pPr>
        <w:jc w:val="center"/>
        <w:rPr>
          <w:i/>
          <w:iCs/>
          <w:sz w:val="16"/>
          <w:szCs w:val="20"/>
        </w:rPr>
      </w:pPr>
      <w:r w:rsidRPr="00DC1A5F">
        <w:rPr>
          <w:i/>
          <w:iCs/>
          <w:sz w:val="16"/>
          <w:szCs w:val="20"/>
        </w:rPr>
        <w:t>Por</w:t>
      </w:r>
      <w:r>
        <w:rPr>
          <w:i/>
          <w:iCs/>
          <w:sz w:val="16"/>
          <w:szCs w:val="20"/>
        </w:rPr>
        <w:t xml:space="preserve"> medio de</w:t>
      </w:r>
    </w:p>
    <w:p w14:paraId="54A5F334" w14:textId="77777777" w:rsidR="00597DE2" w:rsidRPr="00DC1A5F" w:rsidRDefault="00597DE2" w:rsidP="00597DE2">
      <w:pPr>
        <w:jc w:val="center"/>
        <w:rPr>
          <w:sz w:val="16"/>
          <w:szCs w:val="20"/>
        </w:rPr>
      </w:pPr>
      <w:r>
        <w:rPr>
          <w:sz w:val="16"/>
          <w:szCs w:val="20"/>
        </w:rPr>
        <w:t xml:space="preserve">PhD. </w:t>
      </w:r>
      <w:r w:rsidRPr="00DC1A5F">
        <w:rPr>
          <w:sz w:val="16"/>
          <w:szCs w:val="20"/>
        </w:rPr>
        <w:t>D</w:t>
      </w:r>
      <w:r>
        <w:rPr>
          <w:sz w:val="16"/>
          <w:szCs w:val="20"/>
        </w:rPr>
        <w:t xml:space="preserve">. </w:t>
      </w:r>
      <w:r w:rsidRPr="00DC1A5F">
        <w:rPr>
          <w:sz w:val="16"/>
          <w:szCs w:val="20"/>
        </w:rPr>
        <w:t>Huamán</w:t>
      </w:r>
      <w:r>
        <w:rPr>
          <w:sz w:val="16"/>
          <w:szCs w:val="20"/>
        </w:rPr>
        <w:br/>
      </w:r>
    </w:p>
    <w:p w14:paraId="7D6FF0AC" w14:textId="77777777" w:rsidR="00597DE2" w:rsidRDefault="00597DE2" w:rsidP="00597DE2">
      <w:pPr>
        <w:pStyle w:val="Textoindependiente"/>
        <w:jc w:val="center"/>
      </w:pPr>
      <w:r w:rsidRPr="00DC1A5F">
        <w:t xml:space="preserve">Lima, Perú. </w:t>
      </w:r>
    </w:p>
    <w:p w14:paraId="4A70EE12" w14:textId="77777777" w:rsidR="00597DE2" w:rsidRPr="00F55253" w:rsidRDefault="00597DE2" w:rsidP="00597DE2">
      <w:pPr>
        <w:pStyle w:val="Textoindependiente"/>
        <w:jc w:val="center"/>
        <w:rPr>
          <w:sz w:val="14"/>
          <w:szCs w:val="18"/>
        </w:rPr>
      </w:pPr>
      <w:r w:rsidRPr="00DC1A5F">
        <w:br/>
      </w:r>
      <w:r w:rsidRPr="00F55253">
        <w:rPr>
          <w:sz w:val="14"/>
          <w:szCs w:val="18"/>
        </w:rPr>
        <w:t xml:space="preserve">Inicio: Junio </w:t>
      </w:r>
      <w:r>
        <w:rPr>
          <w:sz w:val="14"/>
          <w:szCs w:val="18"/>
        </w:rPr>
        <w:t xml:space="preserve">del </w:t>
      </w:r>
      <w:r w:rsidRPr="00F55253">
        <w:rPr>
          <w:sz w:val="14"/>
          <w:szCs w:val="18"/>
        </w:rPr>
        <w:t>2022</w:t>
      </w:r>
      <w:r w:rsidRPr="00F55253">
        <w:rPr>
          <w:sz w:val="14"/>
          <w:szCs w:val="18"/>
        </w:rPr>
        <w:br/>
        <w:t>Término:</w:t>
      </w:r>
      <w:r>
        <w:rPr>
          <w:sz w:val="14"/>
          <w:szCs w:val="18"/>
        </w:rPr>
        <w:t xml:space="preserve"> Febrero del 2024</w:t>
      </w:r>
    </w:p>
    <w:p w14:paraId="6969FE7B" w14:textId="77777777" w:rsidR="00597DE2" w:rsidRPr="00DC1A5F" w:rsidRDefault="00597DE2" w:rsidP="00597DE2">
      <w:pPr>
        <w:tabs>
          <w:tab w:val="clear" w:pos="425"/>
        </w:tabs>
        <w:spacing w:after="160"/>
      </w:pPr>
      <w:r w:rsidRPr="00DC1A5F">
        <w:br w:type="page"/>
      </w:r>
    </w:p>
    <w:p w14:paraId="22549BA3" w14:textId="77777777" w:rsidR="00597DE2" w:rsidRPr="00DC1A5F" w:rsidRDefault="00597DE2" w:rsidP="00597DE2">
      <w:pPr>
        <w:pStyle w:val="NormalConSangria"/>
      </w:pPr>
    </w:p>
    <w:p w14:paraId="22E385B9" w14:textId="77777777" w:rsidR="00597DE2" w:rsidRPr="00DC1A5F" w:rsidRDefault="00597DE2" w:rsidP="00597DE2"/>
    <w:p w14:paraId="0D8DC4F4" w14:textId="77777777" w:rsidR="00597DE2" w:rsidRPr="00DC1A5F" w:rsidRDefault="00597DE2" w:rsidP="00597DE2">
      <w:pPr>
        <w:jc w:val="center"/>
      </w:pPr>
    </w:p>
    <w:p w14:paraId="12C987B4" w14:textId="77777777" w:rsidR="00597DE2" w:rsidRPr="00DC1A5F" w:rsidRDefault="00597DE2" w:rsidP="00597DE2">
      <w:pPr>
        <w:jc w:val="center"/>
        <w:rPr>
          <w:sz w:val="24"/>
        </w:rPr>
      </w:pPr>
      <w:r w:rsidRPr="00DC1A5F">
        <w:t>#</w:t>
      </w:r>
      <w:r w:rsidRPr="00DC1A5F">
        <w:rPr>
          <w:iCs/>
        </w:rPr>
        <w:t>ā</w:t>
      </w:r>
      <w:r w:rsidRPr="00DC1A5F">
        <w:t>ūēīṭṇṃṅḍ##</w:t>
      </w:r>
      <w:proofErr w:type="gramStart"/>
      <w:r w:rsidRPr="00DC1A5F">
        <w:rPr>
          <w:i/>
          <w:iCs/>
        </w:rPr>
        <w:t>āūēīṭṇṃṅḍ¿</w:t>
      </w:r>
      <w:proofErr w:type="gramEnd"/>
      <w:r w:rsidRPr="00DC1A5F">
        <w:t>###āīūṇṃṭḍ¿ṅ##āūīṇṃṭḍ¿ṅ##āūīṭṇṃṅḍ##</w:t>
      </w:r>
    </w:p>
    <w:p w14:paraId="5867CDAB" w14:textId="77777777" w:rsidR="00597DE2" w:rsidRPr="00DC1A5F" w:rsidRDefault="00597DE2" w:rsidP="00597DE2">
      <w:pPr>
        <w:jc w:val="center"/>
        <w:rPr>
          <w:i/>
          <w:iCs/>
          <w:sz w:val="22"/>
          <w:szCs w:val="20"/>
        </w:rPr>
      </w:pPr>
      <w:r w:rsidRPr="00DC1A5F">
        <w:rPr>
          <w:i/>
          <w:iCs/>
          <w:sz w:val="16"/>
          <w:szCs w:val="20"/>
        </w:rPr>
        <w:t>#āūēīṭṇṃḍ##</w:t>
      </w:r>
      <w:proofErr w:type="gramStart"/>
      <w:r w:rsidRPr="00DC1A5F">
        <w:rPr>
          <w:i/>
          <w:iCs/>
          <w:sz w:val="16"/>
          <w:szCs w:val="20"/>
        </w:rPr>
        <w:t>āūīṭṇṃṅḍ¿</w:t>
      </w:r>
      <w:proofErr w:type="gramEnd"/>
      <w:r w:rsidRPr="00DC1A5F">
        <w:rPr>
          <w:i/>
          <w:iCs/>
          <w:sz w:val="16"/>
          <w:szCs w:val="20"/>
        </w:rPr>
        <w:t>###āīūṇṃṭḍ¿ṅ ##āūīṇṃṭḍ¿ṅ##āūīṭṇṃṅḍ##</w:t>
      </w:r>
    </w:p>
    <w:p w14:paraId="214A0BB0" w14:textId="77777777" w:rsidR="00597DE2" w:rsidRDefault="00597DE2" w:rsidP="00597DE2">
      <w:pPr>
        <w:pStyle w:val="TituloPrincipal"/>
        <w:ind w:firstLine="0"/>
        <w:rPr>
          <w:color w:val="FF0000"/>
          <w:sz w:val="20"/>
          <w:szCs w:val="20"/>
        </w:rPr>
      </w:pPr>
    </w:p>
    <w:p w14:paraId="30AF2E5D" w14:textId="77777777" w:rsidR="00597DE2" w:rsidRPr="00DC1A5F" w:rsidRDefault="00597DE2" w:rsidP="00597DE2">
      <w:pPr>
        <w:pStyle w:val="TituloPrincipal"/>
        <w:ind w:firstLine="0"/>
        <w:rPr>
          <w:color w:val="FF0000"/>
          <w:sz w:val="20"/>
          <w:szCs w:val="20"/>
        </w:rPr>
      </w:pPr>
      <w:r w:rsidRPr="008C61F2">
        <w:rPr>
          <w:color w:val="FF0000"/>
          <w:sz w:val="12"/>
          <w:szCs w:val="12"/>
        </w:rPr>
        <w:sym w:font="Wingdings" w:char="F09C"/>
      </w:r>
      <w:r w:rsidRPr="00DC1A5F">
        <w:rPr>
          <w:color w:val="FF0000"/>
          <w:sz w:val="20"/>
          <w:szCs w:val="20"/>
        </w:rPr>
        <w:t xml:space="preserve"> </w:t>
      </w:r>
      <w:r w:rsidRPr="008C61F2">
        <w:rPr>
          <w:i/>
          <w:iCs/>
          <w:color w:val="0070C0"/>
          <w:sz w:val="16"/>
          <w:szCs w:val="16"/>
        </w:rPr>
        <w:sym w:font="Wingdings" w:char="F09A"/>
      </w:r>
      <w:r w:rsidRPr="00DC1A5F">
        <w:rPr>
          <w:color w:val="FF0000"/>
          <w:sz w:val="20"/>
          <w:szCs w:val="20"/>
        </w:rPr>
        <w:t xml:space="preserve">  </w:t>
      </w:r>
      <w:r w:rsidRPr="008C61F2">
        <w:rPr>
          <w:color w:val="7030A0"/>
          <w:sz w:val="20"/>
          <w:szCs w:val="20"/>
        </w:rPr>
        <w:sym w:font="Wingdings" w:char="F098"/>
      </w:r>
      <w:r w:rsidRPr="008C61F2">
        <w:rPr>
          <w:color w:val="7030A0"/>
          <w:sz w:val="20"/>
          <w:szCs w:val="20"/>
        </w:rPr>
        <w:t xml:space="preserve"> </w:t>
      </w:r>
      <w:r w:rsidRPr="008C61F2">
        <w:rPr>
          <w:color w:val="7030A0"/>
          <w:sz w:val="20"/>
          <w:szCs w:val="20"/>
        </w:rPr>
        <w:sym w:font="Wingdings" w:char="F099"/>
      </w:r>
      <w:r w:rsidRPr="00DC1A5F">
        <w:rPr>
          <w:color w:val="FF0000"/>
          <w:sz w:val="20"/>
          <w:szCs w:val="20"/>
        </w:rPr>
        <w:t xml:space="preserve"> </w:t>
      </w:r>
      <w:r w:rsidRPr="008C61F2">
        <w:rPr>
          <w:color w:val="0070C0"/>
          <w:sz w:val="16"/>
          <w:szCs w:val="16"/>
        </w:rPr>
        <w:sym w:font="Wingdings" w:char="F09B"/>
      </w:r>
      <w:r w:rsidRPr="00DC1A5F">
        <w:rPr>
          <w:color w:val="FF0000"/>
          <w:sz w:val="20"/>
          <w:szCs w:val="20"/>
        </w:rPr>
        <w:t xml:space="preserve"> </w:t>
      </w:r>
      <w:r w:rsidRPr="008C61F2">
        <w:rPr>
          <w:color w:val="FF0000"/>
          <w:sz w:val="12"/>
          <w:szCs w:val="12"/>
        </w:rPr>
        <w:sym w:font="Wingdings" w:char="F09D"/>
      </w:r>
    </w:p>
    <w:p w14:paraId="4B926DF1" w14:textId="77777777" w:rsidR="00597DE2" w:rsidRPr="00DC1A5F" w:rsidRDefault="00597DE2" w:rsidP="00597DE2">
      <w:pPr>
        <w:pStyle w:val="TituloPrincipal"/>
        <w:ind w:left="284" w:firstLine="0"/>
        <w:rPr>
          <w:color w:val="806000" w:themeColor="accent4" w:themeShade="80"/>
          <w:sz w:val="40"/>
          <w:szCs w:val="36"/>
        </w:rPr>
      </w:pPr>
      <w:r w:rsidRPr="00DC1A5F">
        <w:rPr>
          <w:color w:val="806000" w:themeColor="accent4" w:themeShade="80"/>
          <w:sz w:val="28"/>
          <w:szCs w:val="24"/>
        </w:rPr>
        <w:sym w:font="Wingdings" w:char="F09C"/>
      </w:r>
      <w:r w:rsidRPr="00DC1A5F">
        <w:rPr>
          <w:color w:val="806000" w:themeColor="accent4" w:themeShade="80"/>
          <w:sz w:val="28"/>
          <w:szCs w:val="24"/>
        </w:rPr>
        <w:t xml:space="preserve"> </w:t>
      </w:r>
      <w:r w:rsidRPr="00DC1A5F">
        <w:rPr>
          <w:color w:val="806000" w:themeColor="accent4" w:themeShade="80"/>
          <w:sz w:val="36"/>
          <w:szCs w:val="32"/>
        </w:rPr>
        <w:sym w:font="Wingdings" w:char="F09A"/>
      </w:r>
      <w:r w:rsidRPr="00DC1A5F">
        <w:rPr>
          <w:color w:val="806000" w:themeColor="accent4" w:themeShade="80"/>
          <w:sz w:val="36"/>
          <w:szCs w:val="32"/>
        </w:rPr>
        <w:t xml:space="preserve"> </w:t>
      </w:r>
      <w:r w:rsidRPr="00DC1A5F">
        <w:rPr>
          <w:color w:val="806000" w:themeColor="accent4" w:themeShade="80"/>
          <w:sz w:val="40"/>
          <w:szCs w:val="36"/>
        </w:rPr>
        <w:sym w:font="Wingdings" w:char="F098"/>
      </w:r>
      <w:r w:rsidRPr="00DC1A5F">
        <w:rPr>
          <w:color w:val="806000" w:themeColor="accent4" w:themeShade="80"/>
          <w:sz w:val="40"/>
          <w:szCs w:val="36"/>
        </w:rPr>
        <w:t xml:space="preserve"> </w:t>
      </w:r>
      <w:r w:rsidRPr="00DC1A5F">
        <w:rPr>
          <w:color w:val="806000" w:themeColor="accent4" w:themeShade="80"/>
          <w:sz w:val="40"/>
          <w:szCs w:val="36"/>
        </w:rPr>
        <w:sym w:font="Wingdings" w:char="F099"/>
      </w:r>
      <w:r w:rsidRPr="00DC1A5F">
        <w:rPr>
          <w:color w:val="806000" w:themeColor="accent4" w:themeShade="80"/>
          <w:sz w:val="40"/>
          <w:szCs w:val="36"/>
        </w:rPr>
        <w:t xml:space="preserve"> </w:t>
      </w:r>
      <w:r w:rsidRPr="00DC1A5F">
        <w:rPr>
          <w:color w:val="806000" w:themeColor="accent4" w:themeShade="80"/>
          <w:sz w:val="36"/>
          <w:szCs w:val="32"/>
        </w:rPr>
        <w:sym w:font="Wingdings" w:char="F09B"/>
      </w:r>
      <w:r w:rsidRPr="00DC1A5F">
        <w:rPr>
          <w:color w:val="806000" w:themeColor="accent4" w:themeShade="80"/>
          <w:sz w:val="36"/>
          <w:szCs w:val="32"/>
        </w:rPr>
        <w:t xml:space="preserve"> </w:t>
      </w:r>
      <w:r w:rsidRPr="00DC1A5F">
        <w:rPr>
          <w:color w:val="806000" w:themeColor="accent4" w:themeShade="80"/>
          <w:sz w:val="28"/>
          <w:szCs w:val="24"/>
        </w:rPr>
        <w:sym w:font="Wingdings" w:char="F09D"/>
      </w:r>
    </w:p>
    <w:p w14:paraId="4B908D51" w14:textId="77777777" w:rsidR="00597DE2" w:rsidRPr="00DC1A5F" w:rsidRDefault="00597DE2" w:rsidP="00597DE2">
      <w:pPr>
        <w:pStyle w:val="Textoindependiente"/>
        <w:jc w:val="center"/>
        <w:rPr>
          <w:i/>
          <w:iCs/>
        </w:rPr>
      </w:pPr>
      <w:r w:rsidRPr="00DC1A5F">
        <w:rPr>
          <w:i/>
          <w:iCs/>
        </w:rPr>
        <w:t>Sīla</w:t>
      </w:r>
      <w:r w:rsidRPr="00DC1A5F">
        <w:t xml:space="preserve">, </w:t>
      </w:r>
      <w:r w:rsidRPr="00DC1A5F">
        <w:rPr>
          <w:i/>
          <w:iCs/>
        </w:rPr>
        <w:t>samādhi</w:t>
      </w:r>
      <w:r w:rsidRPr="00DC1A5F">
        <w:t xml:space="preserve">, </w:t>
      </w:r>
      <w:r w:rsidRPr="00DC1A5F">
        <w:rPr>
          <w:i/>
          <w:iCs/>
        </w:rPr>
        <w:t>paññā</w:t>
      </w:r>
      <w:r w:rsidRPr="00DC1A5F">
        <w:t xml:space="preserve"> los tres super archi giga </w:t>
      </w:r>
      <w:proofErr w:type="spellStart"/>
      <w:r w:rsidRPr="00DC1A5F">
        <w:rPr>
          <w:i/>
          <w:iCs/>
        </w:rPr>
        <w:t>sikkhas</w:t>
      </w:r>
      <w:proofErr w:type="spellEnd"/>
    </w:p>
    <w:p w14:paraId="038A434E" w14:textId="77777777" w:rsidR="00597DE2" w:rsidRPr="00DC1A5F" w:rsidRDefault="00597DE2" w:rsidP="00597DE2">
      <w:pPr>
        <w:jc w:val="center"/>
      </w:pPr>
      <w:r w:rsidRPr="00DC1A5F">
        <w:rPr>
          <w:noProof/>
          <w:sz w:val="12"/>
          <w:szCs w:val="14"/>
        </w:rPr>
        <w:drawing>
          <wp:inline distT="0" distB="0" distL="0" distR="0" wp14:anchorId="2BA18C5F" wp14:editId="6F92D786">
            <wp:extent cx="1133475" cy="1133475"/>
            <wp:effectExtent l="0" t="0" r="0" b="9525"/>
            <wp:docPr id="1528916656" name="Imagen 1528916656"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 picture containing dar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4228" cy="1134228"/>
                    </a:xfrm>
                    <a:prstGeom prst="rect">
                      <a:avLst/>
                    </a:prstGeom>
                    <a:noFill/>
                    <a:ln>
                      <a:noFill/>
                    </a:ln>
                  </pic:spPr>
                </pic:pic>
              </a:graphicData>
            </a:graphic>
          </wp:inline>
        </w:drawing>
      </w:r>
    </w:p>
    <w:p w14:paraId="6A44C9DF" w14:textId="77777777" w:rsidR="00597DE2" w:rsidRPr="00DC1A5F" w:rsidRDefault="00597DE2" w:rsidP="00597DE2">
      <w:pPr>
        <w:pStyle w:val="TituloPrincipal"/>
        <w:ind w:firstLine="0"/>
        <w:rPr>
          <w:color w:val="2F5496" w:themeColor="accent1" w:themeShade="BF"/>
          <w:sz w:val="32"/>
          <w:szCs w:val="28"/>
        </w:rPr>
      </w:pPr>
      <w:r w:rsidRPr="00DC1A5F">
        <w:rPr>
          <w:color w:val="2F5496" w:themeColor="accent1" w:themeShade="BF"/>
          <w:sz w:val="22"/>
          <w:szCs w:val="20"/>
        </w:rPr>
        <w:sym w:font="Wingdings" w:char="F09C"/>
      </w:r>
      <w:r w:rsidRPr="00DC1A5F">
        <w:rPr>
          <w:color w:val="2F5496" w:themeColor="accent1" w:themeShade="BF"/>
          <w:sz w:val="22"/>
          <w:szCs w:val="20"/>
        </w:rPr>
        <w:t xml:space="preserve"> </w:t>
      </w:r>
      <w:r w:rsidRPr="00DC1A5F">
        <w:rPr>
          <w:color w:val="2F5496" w:themeColor="accent1" w:themeShade="BF"/>
          <w:sz w:val="28"/>
          <w:szCs w:val="24"/>
        </w:rPr>
        <w:sym w:font="Wingdings" w:char="F09A"/>
      </w:r>
      <w:r w:rsidRPr="00DC1A5F">
        <w:rPr>
          <w:color w:val="2F5496" w:themeColor="accent1" w:themeShade="BF"/>
          <w:sz w:val="28"/>
          <w:szCs w:val="24"/>
        </w:rPr>
        <w:t xml:space="preserve">  </w:t>
      </w:r>
      <w:r w:rsidRPr="00DC1A5F">
        <w:rPr>
          <w:color w:val="2F5496" w:themeColor="accent1" w:themeShade="BF"/>
          <w:sz w:val="32"/>
          <w:szCs w:val="28"/>
        </w:rPr>
        <w:sym w:font="Wingdings" w:char="F098"/>
      </w:r>
      <w:r w:rsidRPr="00DC1A5F">
        <w:rPr>
          <w:color w:val="2F5496" w:themeColor="accent1" w:themeShade="BF"/>
          <w:sz w:val="32"/>
          <w:szCs w:val="28"/>
        </w:rPr>
        <w:t xml:space="preserve"> </w:t>
      </w:r>
      <w:r w:rsidRPr="00DC1A5F">
        <w:rPr>
          <w:color w:val="2F5496" w:themeColor="accent1" w:themeShade="BF"/>
          <w:sz w:val="32"/>
          <w:szCs w:val="28"/>
        </w:rPr>
        <w:sym w:font="Wingdings" w:char="F099"/>
      </w:r>
      <w:r w:rsidRPr="00DC1A5F">
        <w:rPr>
          <w:color w:val="2F5496" w:themeColor="accent1" w:themeShade="BF"/>
          <w:sz w:val="32"/>
          <w:szCs w:val="28"/>
        </w:rPr>
        <w:t xml:space="preserve"> </w:t>
      </w:r>
      <w:r w:rsidRPr="00DC1A5F">
        <w:rPr>
          <w:color w:val="2F5496" w:themeColor="accent1" w:themeShade="BF"/>
          <w:sz w:val="28"/>
          <w:szCs w:val="24"/>
        </w:rPr>
        <w:sym w:font="Wingdings" w:char="F09B"/>
      </w:r>
      <w:r w:rsidRPr="00DC1A5F">
        <w:rPr>
          <w:color w:val="2F5496" w:themeColor="accent1" w:themeShade="BF"/>
          <w:sz w:val="28"/>
          <w:szCs w:val="24"/>
        </w:rPr>
        <w:t xml:space="preserve"> </w:t>
      </w:r>
      <w:r w:rsidRPr="00DC1A5F">
        <w:rPr>
          <w:color w:val="2F5496" w:themeColor="accent1" w:themeShade="BF"/>
          <w:sz w:val="22"/>
          <w:szCs w:val="20"/>
        </w:rPr>
        <w:sym w:font="Wingdings" w:char="F09D"/>
      </w:r>
    </w:p>
    <w:p w14:paraId="6C01553D" w14:textId="77777777" w:rsidR="00597DE2" w:rsidRPr="00DC1A5F" w:rsidRDefault="00597DE2" w:rsidP="00597DE2">
      <w:pPr>
        <w:jc w:val="center"/>
      </w:pPr>
    </w:p>
    <w:p w14:paraId="0A2FEE37" w14:textId="77777777" w:rsidR="00597DE2" w:rsidRPr="00DC1A5F" w:rsidRDefault="00597DE2" w:rsidP="00597DE2">
      <w:pPr>
        <w:jc w:val="center"/>
      </w:pPr>
      <w:r w:rsidRPr="00DC1A5F">
        <w:rPr>
          <w:noProof/>
          <w:sz w:val="12"/>
          <w:szCs w:val="14"/>
        </w:rPr>
        <w:drawing>
          <wp:inline distT="0" distB="0" distL="0" distR="0" wp14:anchorId="6F6326AA" wp14:editId="49CF32AE">
            <wp:extent cx="1109663" cy="966787"/>
            <wp:effectExtent l="0" t="0" r="0" b="5080"/>
            <wp:docPr id="469540585" name="Imagen 469540585"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468" name="Picture 468" descr="Background pattern&#10;&#10;Description automatically generated"/>
                    <pic:cNvPicPr>
                      <a:picLocks noChangeAspect="1"/>
                    </pic:cNvPicPr>
                  </pic:nvPicPr>
                  <pic:blipFill>
                    <a:blip r:embed="rId3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14951" cy="971395"/>
                    </a:xfrm>
                    <a:prstGeom prst="rect">
                      <a:avLst/>
                    </a:prstGeom>
                  </pic:spPr>
                </pic:pic>
              </a:graphicData>
            </a:graphic>
          </wp:inline>
        </w:drawing>
      </w:r>
    </w:p>
    <w:p w14:paraId="6BD25A91" w14:textId="77777777" w:rsidR="00597DE2" w:rsidRPr="00DC1A5F" w:rsidRDefault="00597DE2" w:rsidP="00597DE2">
      <w:pPr>
        <w:pStyle w:val="TituloPrincipal"/>
        <w:ind w:firstLine="0"/>
        <w:rPr>
          <w:color w:val="7030A0"/>
          <w:sz w:val="24"/>
          <w:szCs w:val="22"/>
        </w:rPr>
      </w:pPr>
      <w:r w:rsidRPr="00DC1A5F">
        <w:rPr>
          <w:color w:val="7030A0"/>
          <w:sz w:val="18"/>
          <w:szCs w:val="16"/>
        </w:rPr>
        <w:sym w:font="Wingdings" w:char="F09C"/>
      </w:r>
      <w:r w:rsidRPr="00DC1A5F">
        <w:rPr>
          <w:color w:val="7030A0"/>
          <w:sz w:val="18"/>
          <w:szCs w:val="16"/>
        </w:rPr>
        <w:t xml:space="preserve"> </w:t>
      </w:r>
      <w:r w:rsidRPr="00DC1A5F">
        <w:rPr>
          <w:color w:val="7030A0"/>
          <w:sz w:val="22"/>
          <w:szCs w:val="20"/>
        </w:rPr>
        <w:sym w:font="Wingdings" w:char="F09A"/>
      </w:r>
      <w:r w:rsidRPr="00DC1A5F">
        <w:rPr>
          <w:color w:val="7030A0"/>
          <w:sz w:val="22"/>
          <w:szCs w:val="20"/>
        </w:rPr>
        <w:t xml:space="preserve">  </w:t>
      </w:r>
      <w:r w:rsidRPr="00DC1A5F">
        <w:rPr>
          <w:color w:val="7030A0"/>
          <w:sz w:val="24"/>
          <w:szCs w:val="22"/>
        </w:rPr>
        <w:sym w:font="Wingdings" w:char="F098"/>
      </w:r>
      <w:r w:rsidRPr="00DC1A5F">
        <w:rPr>
          <w:color w:val="7030A0"/>
          <w:sz w:val="24"/>
          <w:szCs w:val="22"/>
        </w:rPr>
        <w:t xml:space="preserve"> </w:t>
      </w:r>
      <w:r w:rsidRPr="00DC1A5F">
        <w:rPr>
          <w:color w:val="7030A0"/>
          <w:sz w:val="24"/>
          <w:szCs w:val="22"/>
        </w:rPr>
        <w:sym w:font="Wingdings" w:char="F099"/>
      </w:r>
      <w:r w:rsidRPr="00DC1A5F">
        <w:rPr>
          <w:color w:val="7030A0"/>
          <w:sz w:val="24"/>
          <w:szCs w:val="22"/>
        </w:rPr>
        <w:t xml:space="preserve"> </w:t>
      </w:r>
      <w:r w:rsidRPr="00DC1A5F">
        <w:rPr>
          <w:color w:val="7030A0"/>
          <w:sz w:val="22"/>
          <w:szCs w:val="20"/>
        </w:rPr>
        <w:sym w:font="Wingdings" w:char="F09B"/>
      </w:r>
      <w:r w:rsidRPr="00DC1A5F">
        <w:rPr>
          <w:color w:val="7030A0"/>
          <w:sz w:val="22"/>
          <w:szCs w:val="20"/>
        </w:rPr>
        <w:t xml:space="preserve"> </w:t>
      </w:r>
      <w:r w:rsidRPr="00DC1A5F">
        <w:rPr>
          <w:color w:val="7030A0"/>
          <w:sz w:val="18"/>
          <w:szCs w:val="16"/>
        </w:rPr>
        <w:sym w:font="Wingdings" w:char="F09D"/>
      </w:r>
    </w:p>
    <w:p w14:paraId="7FE95B6B" w14:textId="77777777" w:rsidR="00597DE2" w:rsidRPr="00DC1A5F" w:rsidRDefault="00597DE2" w:rsidP="00597DE2">
      <w:pPr>
        <w:rPr>
          <w:color w:val="000000" w:themeColor="text1"/>
          <w:sz w:val="24"/>
        </w:rPr>
      </w:pPr>
    </w:p>
    <w:p w14:paraId="366503B2" w14:textId="77777777" w:rsidR="00597DE2" w:rsidRPr="00CF694D" w:rsidRDefault="00597DE2" w:rsidP="00597DE2">
      <w:pPr>
        <w:pStyle w:val="Textoindependiente"/>
        <w:jc w:val="center"/>
        <w:rPr>
          <w:rFonts w:ascii="Courier Prime" w:hAnsi="Courier Prime"/>
          <w:sz w:val="14"/>
          <w:szCs w:val="18"/>
        </w:rPr>
      </w:pPr>
      <w:r w:rsidRPr="00DC1A5F">
        <w:t>Elaborado en b</w:t>
      </w:r>
      <w:r>
        <w:t>ú</w:t>
      </w:r>
      <w:r w:rsidRPr="00DC1A5F">
        <w:t>squeda de Ediciones</w:t>
      </w:r>
      <w:r w:rsidRPr="00DC1A5F">
        <w:br/>
        <w:t xml:space="preserve"> en español para el website </w:t>
      </w:r>
      <w:r>
        <w:br/>
      </w:r>
      <w:r w:rsidRPr="00DC1A5F">
        <w:br/>
      </w:r>
      <w:r w:rsidRPr="00CF694D">
        <w:rPr>
          <w:rFonts w:ascii="Courier Prime" w:hAnsi="Courier Prime"/>
          <w:sz w:val="14"/>
          <w:szCs w:val="18"/>
        </w:rPr>
        <w:t>www.dhammaplayer.org</w:t>
      </w:r>
    </w:p>
    <w:p w14:paraId="5C4B85D3" w14:textId="77777777" w:rsidR="00597DE2" w:rsidRPr="00CF694D" w:rsidRDefault="00597DE2" w:rsidP="00597DE2">
      <w:pPr>
        <w:pStyle w:val="Textoindependiente"/>
        <w:jc w:val="center"/>
        <w:rPr>
          <w:rFonts w:ascii="Courier Prime" w:hAnsi="Courier Prime"/>
          <w:sz w:val="14"/>
          <w:szCs w:val="18"/>
        </w:rPr>
      </w:pPr>
      <w:r w:rsidRPr="00CF694D">
        <w:rPr>
          <w:rFonts w:ascii="Courier Prime" w:hAnsi="Courier Prime"/>
          <w:sz w:val="14"/>
          <w:szCs w:val="18"/>
        </w:rPr>
        <w:t xml:space="preserve">Lima–Perú, </w:t>
      </w:r>
      <w:r w:rsidRPr="00CF694D">
        <w:rPr>
          <w:rFonts w:ascii="Courier Prime" w:hAnsi="Courier Prime"/>
          <w:sz w:val="14"/>
          <w:szCs w:val="18"/>
        </w:rPr>
        <w:br/>
      </w:r>
    </w:p>
    <w:p w14:paraId="5859D867" w14:textId="77777777" w:rsidR="00597DE2" w:rsidRPr="00CF694D" w:rsidRDefault="00597DE2" w:rsidP="00597DE2">
      <w:pPr>
        <w:pStyle w:val="Textoindependiente"/>
        <w:jc w:val="center"/>
        <w:rPr>
          <w:rFonts w:ascii="Courier Prime" w:hAnsi="Courier Prime"/>
          <w:i/>
          <w:iCs/>
          <w:sz w:val="14"/>
          <w:szCs w:val="18"/>
        </w:rPr>
      </w:pPr>
      <w:r w:rsidRPr="00CF694D">
        <w:rPr>
          <w:i/>
          <w:iCs/>
        </w:rPr>
        <w:t xml:space="preserve">Solamente para Distribución Libre y Gratuita. </w:t>
      </w:r>
      <w:r>
        <w:rPr>
          <w:i/>
          <w:iCs/>
        </w:rPr>
        <w:br/>
      </w:r>
      <w:r w:rsidRPr="00CF694D">
        <w:rPr>
          <w:i/>
          <w:iCs/>
          <w:sz w:val="12"/>
          <w:szCs w:val="16"/>
        </w:rPr>
        <w:t>Caso contrario quedan todos los derechos reservados</w:t>
      </w:r>
      <w:r w:rsidRPr="00CF694D">
        <w:rPr>
          <w:i/>
          <w:iCs/>
          <w:sz w:val="12"/>
          <w:szCs w:val="16"/>
        </w:rPr>
        <w:br/>
      </w:r>
    </w:p>
    <w:p w14:paraId="09CFBEB7" w14:textId="77777777" w:rsidR="00597DE2" w:rsidRPr="005E4F03" w:rsidRDefault="00597DE2" w:rsidP="00597DE2">
      <w:pPr>
        <w:pStyle w:val="Textoindependiente"/>
        <w:tabs>
          <w:tab w:val="clear" w:pos="425"/>
          <w:tab w:val="left" w:pos="1985"/>
          <w:tab w:val="center" w:pos="3827"/>
          <w:tab w:val="left" w:pos="4536"/>
        </w:tabs>
        <w:spacing w:after="0"/>
        <w:rPr>
          <w:rFonts w:ascii="Courier Prime" w:hAnsi="Courier Prime"/>
          <w:sz w:val="10"/>
          <w:szCs w:val="14"/>
        </w:rPr>
      </w:pPr>
      <w:r w:rsidRPr="005E4F03">
        <w:rPr>
          <w:rFonts w:ascii="Courier Prime" w:hAnsi="Courier Prime"/>
          <w:sz w:val="10"/>
          <w:szCs w:val="14"/>
        </w:rPr>
        <w:tab/>
        <w:t xml:space="preserve">09/04/2022 00:00:00 a. m. </w:t>
      </w:r>
      <w:r>
        <w:rPr>
          <w:rFonts w:ascii="Courier Prime" w:hAnsi="Courier Prime"/>
          <w:sz w:val="10"/>
          <w:szCs w:val="14"/>
        </w:rPr>
        <w:tab/>
      </w:r>
      <w:r w:rsidRPr="005E4F03">
        <w:rPr>
          <w:rFonts w:ascii="Courier Prime" w:hAnsi="Courier Prime"/>
          <w:sz w:val="10"/>
          <w:szCs w:val="14"/>
        </w:rPr>
        <w:t xml:space="preserve">– </w:t>
      </w:r>
      <w:r>
        <w:rPr>
          <w:rFonts w:ascii="Courier Prime" w:hAnsi="Courier Prime"/>
          <w:sz w:val="10"/>
          <w:szCs w:val="14"/>
        </w:rPr>
        <w:tab/>
      </w:r>
      <w:r w:rsidRPr="005E4F03">
        <w:rPr>
          <w:rFonts w:ascii="Courier Prime" w:hAnsi="Courier Prime"/>
          <w:sz w:val="10"/>
          <w:szCs w:val="14"/>
        </w:rPr>
        <w:t xml:space="preserve">Inicio </w:t>
      </w:r>
    </w:p>
    <w:p w14:paraId="01D4170D" w14:textId="77777777" w:rsidR="00597DE2" w:rsidRPr="005E4F03" w:rsidRDefault="00597DE2" w:rsidP="00597DE2">
      <w:pPr>
        <w:pStyle w:val="Textoindependiente"/>
        <w:tabs>
          <w:tab w:val="clear" w:pos="425"/>
          <w:tab w:val="left" w:pos="1985"/>
          <w:tab w:val="center" w:pos="3827"/>
          <w:tab w:val="left" w:pos="4536"/>
        </w:tabs>
        <w:spacing w:after="0"/>
        <w:rPr>
          <w:rFonts w:ascii="Courier Prime" w:hAnsi="Courier Prime"/>
          <w:sz w:val="10"/>
          <w:szCs w:val="14"/>
        </w:rPr>
      </w:pPr>
      <w:r w:rsidRPr="005E4F03">
        <w:rPr>
          <w:rFonts w:ascii="Courier Prime" w:hAnsi="Courier Prime"/>
          <w:sz w:val="10"/>
          <w:szCs w:val="14"/>
        </w:rPr>
        <w:tab/>
        <w:t xml:space="preserve">24/02/2024 05:32:14 p. m. </w:t>
      </w:r>
      <w:r>
        <w:rPr>
          <w:rFonts w:ascii="Courier Prime" w:hAnsi="Courier Prime"/>
          <w:sz w:val="10"/>
          <w:szCs w:val="14"/>
        </w:rPr>
        <w:tab/>
      </w:r>
      <w:r w:rsidRPr="005E4F03">
        <w:rPr>
          <w:rFonts w:ascii="Courier Prime" w:hAnsi="Courier Prime"/>
          <w:sz w:val="10"/>
          <w:szCs w:val="14"/>
        </w:rPr>
        <w:t xml:space="preserve">– </w:t>
      </w:r>
      <w:r>
        <w:rPr>
          <w:rFonts w:ascii="Courier Prime" w:hAnsi="Courier Prime"/>
          <w:sz w:val="10"/>
          <w:szCs w:val="14"/>
        </w:rPr>
        <w:tab/>
      </w:r>
      <w:r w:rsidRPr="005E4F03">
        <w:rPr>
          <w:rFonts w:ascii="Courier Prime" w:hAnsi="Courier Prime"/>
          <w:sz w:val="10"/>
          <w:szCs w:val="14"/>
        </w:rPr>
        <w:t>1</w:t>
      </w:r>
      <w:r w:rsidRPr="005E4F03">
        <w:rPr>
          <w:rFonts w:ascii="Courier Prime" w:hAnsi="Courier Prime"/>
          <w:sz w:val="10"/>
          <w:szCs w:val="14"/>
          <w:vertAlign w:val="superscript"/>
        </w:rPr>
        <w:t>ra</w:t>
      </w:r>
      <w:r w:rsidRPr="005E4F03">
        <w:rPr>
          <w:rFonts w:ascii="Courier Prime" w:hAnsi="Courier Prime"/>
          <w:sz w:val="10"/>
          <w:szCs w:val="14"/>
        </w:rPr>
        <w:t xml:space="preserve"> Revisión</w:t>
      </w:r>
    </w:p>
    <w:p w14:paraId="4C79AC21" w14:textId="77777777" w:rsidR="00304BE6" w:rsidRDefault="00304BE6">
      <w:pPr>
        <w:tabs>
          <w:tab w:val="clear" w:pos="425"/>
        </w:tabs>
        <w:spacing w:after="160"/>
      </w:pPr>
    </w:p>
    <w:p w14:paraId="67E24FBD" w14:textId="62861252" w:rsidR="00317588" w:rsidRPr="00812D58" w:rsidRDefault="00317588">
      <w:pPr>
        <w:tabs>
          <w:tab w:val="clear" w:pos="425"/>
        </w:tabs>
        <w:spacing w:after="160"/>
      </w:pPr>
      <w:r w:rsidRPr="00812D58">
        <w:lastRenderedPageBreak/>
        <w:br w:type="page"/>
      </w:r>
    </w:p>
    <w:p w14:paraId="318332FA" w14:textId="77777777" w:rsidR="00317588" w:rsidRPr="007F361C" w:rsidRDefault="00317588">
      <w:pPr>
        <w:tabs>
          <w:tab w:val="clear" w:pos="425"/>
        </w:tabs>
        <w:spacing w:after="160"/>
        <w:rPr>
          <w:vertAlign w:val="superscript"/>
        </w:rPr>
      </w:pPr>
    </w:p>
    <w:p w14:paraId="17B36384" w14:textId="77777777" w:rsidR="008813B5" w:rsidRPr="00812D58" w:rsidRDefault="008813B5" w:rsidP="00E209A0"/>
    <w:p w14:paraId="5C6CB184" w14:textId="77777777" w:rsidR="008060A7" w:rsidRPr="00812D58" w:rsidRDefault="008060A7" w:rsidP="00131BC3">
      <w:pPr>
        <w:jc w:val="center"/>
      </w:pPr>
    </w:p>
    <w:p w14:paraId="50E303D9" w14:textId="77777777" w:rsidR="00131BC3" w:rsidRPr="00131BC3" w:rsidRDefault="00131BC3" w:rsidP="00131BC3">
      <w:pPr>
        <w:jc w:val="center"/>
        <w:rPr>
          <w:sz w:val="24"/>
        </w:rPr>
      </w:pPr>
      <w:r w:rsidRPr="00131BC3">
        <w:t>#</w:t>
      </w:r>
      <w:r w:rsidRPr="001579CE">
        <w:rPr>
          <w:iCs/>
        </w:rPr>
        <w:t>ā</w:t>
      </w:r>
      <w:r w:rsidRPr="001579CE">
        <w:t>ū</w:t>
      </w:r>
      <w:r w:rsidR="006D33E1" w:rsidRPr="00D47A92">
        <w:t>ē</w:t>
      </w:r>
      <w:r w:rsidRPr="00131BC3">
        <w:t>īṭṇṃṅ</w:t>
      </w:r>
      <w:r w:rsidRPr="00D86731">
        <w:t>ḍ</w:t>
      </w:r>
      <w:r w:rsidRPr="00131BC3">
        <w:t>ḷ##</w:t>
      </w:r>
      <w:r w:rsidRPr="002A4047">
        <w:rPr>
          <w:i/>
          <w:iCs/>
        </w:rPr>
        <w:t>āū</w:t>
      </w:r>
      <w:r w:rsidR="002A4047" w:rsidRPr="002A4047">
        <w:rPr>
          <w:i/>
          <w:iCs/>
        </w:rPr>
        <w:t>ē</w:t>
      </w:r>
      <w:r w:rsidRPr="002A4047">
        <w:rPr>
          <w:i/>
          <w:iCs/>
        </w:rPr>
        <w:t>īṭṇṃṅḍḷ</w:t>
      </w:r>
      <w:r w:rsidRPr="00131BC3">
        <w:t>###āīūṇṃṭḍḷṅ##āūīṇṃṭḍḷṅ##āūīṭṇṃṅḍḷ##</w:t>
      </w:r>
    </w:p>
    <w:p w14:paraId="30176F14" w14:textId="77777777" w:rsidR="003C6EF8" w:rsidRPr="00EE78D2" w:rsidRDefault="003C6EF8" w:rsidP="003C6EF8">
      <w:pPr>
        <w:jc w:val="center"/>
        <w:rPr>
          <w:i/>
          <w:iCs/>
          <w:sz w:val="22"/>
          <w:szCs w:val="20"/>
        </w:rPr>
      </w:pPr>
      <w:r w:rsidRPr="00EE78D2">
        <w:rPr>
          <w:i/>
          <w:iCs/>
          <w:sz w:val="16"/>
          <w:szCs w:val="20"/>
        </w:rPr>
        <w:t>#āūēī</w:t>
      </w:r>
      <w:r w:rsidRPr="007D04BA">
        <w:rPr>
          <w:i/>
          <w:iCs/>
          <w:sz w:val="16"/>
          <w:szCs w:val="20"/>
        </w:rPr>
        <w:t>ṭ</w:t>
      </w:r>
      <w:r w:rsidRPr="00EE78D2">
        <w:rPr>
          <w:i/>
          <w:iCs/>
          <w:sz w:val="16"/>
          <w:szCs w:val="20"/>
        </w:rPr>
        <w:t>ṇṃṅḍḷ##āūīṭṇṃṅḍḷ###āīūṇṃṭḍḷṅ ##āūīṇṃṭḍḷṅ##āūīṭṇṃṅḍḷ##</w:t>
      </w:r>
    </w:p>
    <w:p w14:paraId="0E0D248A" w14:textId="77777777" w:rsidR="00C90471" w:rsidRPr="003254E0" w:rsidRDefault="00370578" w:rsidP="00131BC3">
      <w:pPr>
        <w:pStyle w:val="TituloPrincipal"/>
        <w:ind w:firstLine="0"/>
        <w:rPr>
          <w:sz w:val="20"/>
          <w:szCs w:val="20"/>
        </w:rPr>
      </w:pPr>
      <w:r w:rsidRPr="003254E0">
        <w:rPr>
          <w:iCs/>
          <w:sz w:val="20"/>
          <w:szCs w:val="20"/>
        </w:rPr>
        <w:t>ā</w:t>
      </w:r>
      <w:r w:rsidR="002A14BF" w:rsidRPr="003254E0">
        <w:rPr>
          <w:iCs/>
          <w:sz w:val="20"/>
          <w:szCs w:val="20"/>
        </w:rPr>
        <w:t xml:space="preserve"> –</w:t>
      </w:r>
      <w:r w:rsidRPr="003254E0">
        <w:rPr>
          <w:sz w:val="20"/>
          <w:szCs w:val="20"/>
        </w:rPr>
        <w:t xml:space="preserve"> á</w:t>
      </w:r>
      <w:r w:rsidR="002A14BF" w:rsidRPr="003254E0">
        <w:rPr>
          <w:sz w:val="20"/>
          <w:szCs w:val="20"/>
        </w:rPr>
        <w:t>,</w:t>
      </w:r>
      <w:r w:rsidRPr="003254E0">
        <w:rPr>
          <w:sz w:val="20"/>
          <w:szCs w:val="20"/>
        </w:rPr>
        <w:t xml:space="preserve"> </w:t>
      </w:r>
      <w:r w:rsidR="002A14BF" w:rsidRPr="003254E0">
        <w:rPr>
          <w:sz w:val="20"/>
          <w:szCs w:val="20"/>
        </w:rPr>
        <w:t xml:space="preserve">ṭ - þ, ṇ - </w:t>
      </w:r>
      <w:proofErr w:type="spellStart"/>
      <w:r w:rsidR="002A14BF" w:rsidRPr="003254E0">
        <w:rPr>
          <w:sz w:val="20"/>
          <w:szCs w:val="20"/>
        </w:rPr>
        <w:t>ó</w:t>
      </w:r>
      <w:proofErr w:type="spellEnd"/>
      <w:r w:rsidR="002A14BF" w:rsidRPr="003254E0">
        <w:rPr>
          <w:sz w:val="20"/>
          <w:szCs w:val="20"/>
        </w:rPr>
        <w:t>,</w:t>
      </w:r>
      <w:r w:rsidR="000C1E31" w:rsidRPr="003254E0">
        <w:rPr>
          <w:sz w:val="20"/>
          <w:szCs w:val="20"/>
        </w:rPr>
        <w:t xml:space="preserve"> ṅ- ò</w:t>
      </w:r>
      <w:r w:rsidR="00C90471" w:rsidRPr="003254E0">
        <w:rPr>
          <w:sz w:val="20"/>
          <w:szCs w:val="20"/>
        </w:rPr>
        <w:t>,</w:t>
      </w:r>
      <w:r w:rsidR="003254E0" w:rsidRPr="003254E0">
        <w:rPr>
          <w:sz w:val="20"/>
          <w:szCs w:val="20"/>
        </w:rPr>
        <w:t xml:space="preserve"> </w:t>
      </w:r>
      <w:r w:rsidR="00C90471" w:rsidRPr="003254E0">
        <w:rPr>
          <w:sz w:val="20"/>
          <w:szCs w:val="20"/>
        </w:rPr>
        <w:t>í</w:t>
      </w:r>
      <w:r w:rsidR="003254E0" w:rsidRPr="003254E0">
        <w:rPr>
          <w:sz w:val="20"/>
          <w:szCs w:val="20"/>
        </w:rPr>
        <w:t>- ṃ</w:t>
      </w:r>
      <w:r w:rsidR="003650A7">
        <w:rPr>
          <w:sz w:val="20"/>
          <w:szCs w:val="20"/>
        </w:rPr>
        <w:t xml:space="preserve">, </w:t>
      </w:r>
      <w:r w:rsidR="009A5AC6">
        <w:rPr>
          <w:sz w:val="20"/>
          <w:szCs w:val="20"/>
        </w:rPr>
        <w:t xml:space="preserve">ì – ī </w:t>
      </w:r>
    </w:p>
    <w:p w14:paraId="293F868B" w14:textId="77777777" w:rsidR="00131BC3" w:rsidRPr="004D6F59" w:rsidRDefault="00131BC3" w:rsidP="00131BC3">
      <w:pPr>
        <w:pStyle w:val="TituloPrincipal"/>
        <w:ind w:firstLine="0"/>
        <w:rPr>
          <w:color w:val="FF0000"/>
          <w:sz w:val="20"/>
          <w:szCs w:val="20"/>
        </w:rPr>
      </w:pPr>
      <w:r w:rsidRPr="004D6F59">
        <w:rPr>
          <w:color w:val="FF0000"/>
          <w:sz w:val="20"/>
          <w:szCs w:val="20"/>
        </w:rPr>
        <w:sym w:font="Wingdings" w:char="F09C"/>
      </w:r>
      <w:r w:rsidRPr="004D6F59">
        <w:rPr>
          <w:color w:val="FF0000"/>
          <w:sz w:val="20"/>
          <w:szCs w:val="20"/>
        </w:rPr>
        <w:t xml:space="preserve"> </w:t>
      </w:r>
      <w:r w:rsidRPr="004D6F59">
        <w:rPr>
          <w:color w:val="FF0000"/>
          <w:sz w:val="20"/>
          <w:szCs w:val="20"/>
        </w:rPr>
        <w:sym w:font="Wingdings" w:char="F09A"/>
      </w:r>
      <w:r w:rsidRPr="004D6F59">
        <w:rPr>
          <w:color w:val="FF0000"/>
          <w:sz w:val="20"/>
          <w:szCs w:val="20"/>
        </w:rPr>
        <w:t xml:space="preserve">  </w:t>
      </w:r>
      <w:r w:rsidRPr="004D6F59">
        <w:rPr>
          <w:color w:val="FF0000"/>
          <w:sz w:val="20"/>
          <w:szCs w:val="20"/>
        </w:rPr>
        <w:sym w:font="Wingdings" w:char="F098"/>
      </w:r>
      <w:r w:rsidRPr="004D6F59">
        <w:rPr>
          <w:color w:val="FF0000"/>
          <w:sz w:val="20"/>
          <w:szCs w:val="20"/>
        </w:rPr>
        <w:t xml:space="preserve"> </w:t>
      </w:r>
      <w:r w:rsidRPr="004D6F59">
        <w:rPr>
          <w:color w:val="FF0000"/>
          <w:sz w:val="20"/>
          <w:szCs w:val="20"/>
        </w:rPr>
        <w:sym w:font="Wingdings" w:char="F099"/>
      </w:r>
      <w:r w:rsidRPr="004D6F59">
        <w:rPr>
          <w:color w:val="FF0000"/>
          <w:sz w:val="20"/>
          <w:szCs w:val="20"/>
        </w:rPr>
        <w:t xml:space="preserve"> </w:t>
      </w:r>
      <w:r w:rsidRPr="004D6F59">
        <w:rPr>
          <w:color w:val="FF0000"/>
          <w:sz w:val="20"/>
          <w:szCs w:val="20"/>
        </w:rPr>
        <w:sym w:font="Wingdings" w:char="F09B"/>
      </w:r>
      <w:r w:rsidRPr="004D6F59">
        <w:rPr>
          <w:color w:val="FF0000"/>
          <w:sz w:val="20"/>
          <w:szCs w:val="20"/>
        </w:rPr>
        <w:t xml:space="preserve"> </w:t>
      </w:r>
      <w:r w:rsidRPr="004D6F59">
        <w:rPr>
          <w:color w:val="FF0000"/>
          <w:sz w:val="20"/>
          <w:szCs w:val="20"/>
        </w:rPr>
        <w:sym w:font="Wingdings" w:char="F09D"/>
      </w:r>
    </w:p>
    <w:p w14:paraId="0519561F" w14:textId="77777777" w:rsidR="00131BC3" w:rsidRPr="0049391D" w:rsidRDefault="00131BC3" w:rsidP="00081029">
      <w:pPr>
        <w:pStyle w:val="TituloPrincipal"/>
        <w:ind w:left="284" w:firstLine="0"/>
        <w:rPr>
          <w:color w:val="806000" w:themeColor="accent4" w:themeShade="80"/>
          <w:sz w:val="40"/>
          <w:szCs w:val="36"/>
        </w:rPr>
      </w:pPr>
      <w:r>
        <w:rPr>
          <w:color w:val="806000" w:themeColor="accent4" w:themeShade="80"/>
          <w:sz w:val="28"/>
          <w:szCs w:val="24"/>
        </w:rPr>
        <w:sym w:font="Wingdings" w:char="F09C"/>
      </w:r>
      <w:r w:rsidRPr="0049391D">
        <w:rPr>
          <w:color w:val="806000" w:themeColor="accent4" w:themeShade="80"/>
          <w:sz w:val="28"/>
          <w:szCs w:val="24"/>
        </w:rPr>
        <w:t xml:space="preserve"> </w:t>
      </w:r>
      <w:r>
        <w:rPr>
          <w:color w:val="806000" w:themeColor="accent4" w:themeShade="80"/>
          <w:sz w:val="36"/>
          <w:szCs w:val="32"/>
        </w:rPr>
        <w:sym w:font="Wingdings" w:char="F09A"/>
      </w:r>
      <w:r w:rsidRPr="0049391D">
        <w:rPr>
          <w:color w:val="806000" w:themeColor="accent4" w:themeShade="80"/>
          <w:sz w:val="36"/>
          <w:szCs w:val="32"/>
        </w:rPr>
        <w:t xml:space="preserve"> </w:t>
      </w:r>
      <w:r>
        <w:rPr>
          <w:color w:val="806000" w:themeColor="accent4" w:themeShade="80"/>
          <w:sz w:val="40"/>
          <w:szCs w:val="36"/>
        </w:rPr>
        <w:sym w:font="Wingdings" w:char="F098"/>
      </w:r>
      <w:r w:rsidRPr="0049391D">
        <w:rPr>
          <w:color w:val="806000" w:themeColor="accent4" w:themeShade="80"/>
          <w:sz w:val="40"/>
          <w:szCs w:val="36"/>
        </w:rPr>
        <w:t xml:space="preserve"> </w:t>
      </w:r>
      <w:r>
        <w:rPr>
          <w:color w:val="806000" w:themeColor="accent4" w:themeShade="80"/>
          <w:sz w:val="40"/>
          <w:szCs w:val="36"/>
        </w:rPr>
        <w:sym w:font="Wingdings" w:char="F099"/>
      </w:r>
      <w:r w:rsidRPr="0049391D">
        <w:rPr>
          <w:color w:val="806000" w:themeColor="accent4" w:themeShade="80"/>
          <w:sz w:val="40"/>
          <w:szCs w:val="36"/>
        </w:rPr>
        <w:t xml:space="preserve"> </w:t>
      </w:r>
      <w:r>
        <w:rPr>
          <w:color w:val="806000" w:themeColor="accent4" w:themeShade="80"/>
          <w:sz w:val="36"/>
          <w:szCs w:val="32"/>
        </w:rPr>
        <w:sym w:font="Wingdings" w:char="F09B"/>
      </w:r>
      <w:r w:rsidRPr="0049391D">
        <w:rPr>
          <w:color w:val="806000" w:themeColor="accent4" w:themeShade="80"/>
          <w:sz w:val="36"/>
          <w:szCs w:val="32"/>
        </w:rPr>
        <w:t xml:space="preserve"> </w:t>
      </w:r>
      <w:r>
        <w:rPr>
          <w:color w:val="806000" w:themeColor="accent4" w:themeShade="80"/>
          <w:sz w:val="28"/>
          <w:szCs w:val="24"/>
        </w:rPr>
        <w:sym w:font="Wingdings" w:char="F09D"/>
      </w:r>
    </w:p>
    <w:p w14:paraId="38098BA6" w14:textId="03D3B6B3" w:rsidR="00131BC3" w:rsidRPr="00B77F01" w:rsidRDefault="001579CE" w:rsidP="009E020D">
      <w:pPr>
        <w:tabs>
          <w:tab w:val="left" w:pos="7058"/>
        </w:tabs>
        <w:jc w:val="center"/>
        <w:rPr>
          <w:i/>
          <w:iCs/>
          <w:color w:val="000000" w:themeColor="text1"/>
          <w:sz w:val="24"/>
        </w:rPr>
      </w:pPr>
      <w:r w:rsidRPr="00440588">
        <w:rPr>
          <w:i/>
          <w:iCs/>
          <w:color w:val="000000" w:themeColor="text1"/>
          <w:sz w:val="24"/>
        </w:rPr>
        <w:t>S</w:t>
      </w:r>
      <w:r w:rsidRPr="00440588">
        <w:rPr>
          <w:i/>
          <w:iCs/>
        </w:rPr>
        <w:t>ī</w:t>
      </w:r>
      <w:r w:rsidRPr="00440588">
        <w:rPr>
          <w:i/>
          <w:iCs/>
          <w:color w:val="000000" w:themeColor="text1"/>
          <w:sz w:val="24"/>
        </w:rPr>
        <w:t>la</w:t>
      </w:r>
      <w:r w:rsidR="0010790F" w:rsidRPr="0010790F">
        <w:rPr>
          <w:color w:val="000000" w:themeColor="text1"/>
          <w:sz w:val="24"/>
        </w:rPr>
        <w:t xml:space="preserve">, </w:t>
      </w:r>
      <w:r w:rsidR="00057BF4" w:rsidRPr="00057BF4">
        <w:rPr>
          <w:i/>
          <w:iCs/>
          <w:color w:val="000000" w:themeColor="text1"/>
          <w:sz w:val="24"/>
        </w:rPr>
        <w:t>samādhi</w:t>
      </w:r>
      <w:r w:rsidR="0010790F" w:rsidRPr="0010790F">
        <w:rPr>
          <w:color w:val="000000" w:themeColor="text1"/>
          <w:sz w:val="24"/>
        </w:rPr>
        <w:t xml:space="preserve">, </w:t>
      </w:r>
      <w:r w:rsidR="00057BF4" w:rsidRPr="00057BF4">
        <w:rPr>
          <w:i/>
          <w:iCs/>
          <w:color w:val="000000" w:themeColor="text1"/>
          <w:sz w:val="24"/>
        </w:rPr>
        <w:t>paññā</w:t>
      </w:r>
      <w:r w:rsidR="0010790F" w:rsidRPr="0010790F">
        <w:rPr>
          <w:color w:val="000000" w:themeColor="text1"/>
          <w:sz w:val="24"/>
        </w:rPr>
        <w:t xml:space="preserve"> </w:t>
      </w:r>
      <w:r w:rsidR="0010790F">
        <w:rPr>
          <w:color w:val="000000" w:themeColor="text1"/>
          <w:sz w:val="24"/>
        </w:rPr>
        <w:t xml:space="preserve">los tres </w:t>
      </w:r>
      <w:r w:rsidR="009E020D">
        <w:rPr>
          <w:color w:val="000000" w:themeColor="text1"/>
          <w:sz w:val="24"/>
        </w:rPr>
        <w:t xml:space="preserve">super archi </w:t>
      </w:r>
      <w:r w:rsidR="00D165FA">
        <w:rPr>
          <w:color w:val="000000" w:themeColor="text1"/>
          <w:sz w:val="24"/>
        </w:rPr>
        <w:t xml:space="preserve">giga </w:t>
      </w:r>
      <w:proofErr w:type="spellStart"/>
      <w:r w:rsidR="00B77F01">
        <w:rPr>
          <w:i/>
          <w:iCs/>
          <w:color w:val="000000" w:themeColor="text1"/>
          <w:sz w:val="24"/>
        </w:rPr>
        <w:t>sik</w:t>
      </w:r>
      <w:r w:rsidR="00DB0B4C">
        <w:rPr>
          <w:i/>
          <w:iCs/>
          <w:color w:val="000000" w:themeColor="text1"/>
          <w:sz w:val="24"/>
        </w:rPr>
        <w:t>kh</w:t>
      </w:r>
      <w:r w:rsidR="00B77F01">
        <w:rPr>
          <w:i/>
          <w:iCs/>
          <w:color w:val="000000" w:themeColor="text1"/>
          <w:sz w:val="24"/>
        </w:rPr>
        <w:t>as</w:t>
      </w:r>
      <w:proofErr w:type="spellEnd"/>
    </w:p>
    <w:p w14:paraId="613F3578" w14:textId="77777777" w:rsidR="00131BC3" w:rsidRDefault="00131BC3" w:rsidP="00131BC3">
      <w:pPr>
        <w:jc w:val="center"/>
      </w:pPr>
      <w:r>
        <w:rPr>
          <w:noProof/>
          <w:sz w:val="12"/>
          <w:szCs w:val="14"/>
        </w:rPr>
        <w:drawing>
          <wp:inline distT="0" distB="0" distL="0" distR="0" wp14:anchorId="2EA46DDB" wp14:editId="7517248D">
            <wp:extent cx="1133475" cy="1133475"/>
            <wp:effectExtent l="0" t="0" r="0" b="9525"/>
            <wp:docPr id="12" name="Imagen 1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 picture containing dar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4228" cy="1134228"/>
                    </a:xfrm>
                    <a:prstGeom prst="rect">
                      <a:avLst/>
                    </a:prstGeom>
                    <a:noFill/>
                    <a:ln>
                      <a:noFill/>
                    </a:ln>
                  </pic:spPr>
                </pic:pic>
              </a:graphicData>
            </a:graphic>
          </wp:inline>
        </w:drawing>
      </w:r>
    </w:p>
    <w:p w14:paraId="50F33873" w14:textId="77777777" w:rsidR="00131BC3" w:rsidRDefault="00131BC3" w:rsidP="00131BC3">
      <w:pPr>
        <w:pStyle w:val="TituloPrincipal"/>
        <w:ind w:firstLine="0"/>
        <w:rPr>
          <w:color w:val="2F5496" w:themeColor="accent1" w:themeShade="BF"/>
          <w:sz w:val="32"/>
          <w:szCs w:val="28"/>
        </w:rPr>
      </w:pPr>
      <w:r>
        <w:rPr>
          <w:color w:val="2F5496" w:themeColor="accent1" w:themeShade="BF"/>
          <w:sz w:val="22"/>
          <w:szCs w:val="20"/>
        </w:rPr>
        <w:sym w:font="Wingdings" w:char="F09C"/>
      </w:r>
      <w:r>
        <w:rPr>
          <w:color w:val="2F5496" w:themeColor="accent1" w:themeShade="BF"/>
          <w:sz w:val="22"/>
          <w:szCs w:val="20"/>
        </w:rPr>
        <w:t xml:space="preserve"> </w:t>
      </w:r>
      <w:r>
        <w:rPr>
          <w:color w:val="2F5496" w:themeColor="accent1" w:themeShade="BF"/>
          <w:sz w:val="28"/>
          <w:szCs w:val="24"/>
        </w:rPr>
        <w:sym w:font="Wingdings" w:char="F09A"/>
      </w:r>
      <w:r>
        <w:rPr>
          <w:color w:val="2F5496" w:themeColor="accent1" w:themeShade="BF"/>
          <w:sz w:val="28"/>
          <w:szCs w:val="24"/>
        </w:rPr>
        <w:t xml:space="preserve">  </w:t>
      </w:r>
      <w:r>
        <w:rPr>
          <w:color w:val="2F5496" w:themeColor="accent1" w:themeShade="BF"/>
          <w:sz w:val="32"/>
          <w:szCs w:val="28"/>
        </w:rPr>
        <w:sym w:font="Wingdings" w:char="F098"/>
      </w:r>
      <w:r>
        <w:rPr>
          <w:color w:val="2F5496" w:themeColor="accent1" w:themeShade="BF"/>
          <w:sz w:val="32"/>
          <w:szCs w:val="28"/>
        </w:rPr>
        <w:t xml:space="preserve"> </w:t>
      </w:r>
      <w:r>
        <w:rPr>
          <w:color w:val="2F5496" w:themeColor="accent1" w:themeShade="BF"/>
          <w:sz w:val="32"/>
          <w:szCs w:val="28"/>
        </w:rPr>
        <w:sym w:font="Wingdings" w:char="F099"/>
      </w:r>
      <w:r>
        <w:rPr>
          <w:color w:val="2F5496" w:themeColor="accent1" w:themeShade="BF"/>
          <w:sz w:val="32"/>
          <w:szCs w:val="28"/>
        </w:rPr>
        <w:t xml:space="preserve"> </w:t>
      </w:r>
      <w:r>
        <w:rPr>
          <w:color w:val="2F5496" w:themeColor="accent1" w:themeShade="BF"/>
          <w:sz w:val="28"/>
          <w:szCs w:val="24"/>
        </w:rPr>
        <w:sym w:font="Wingdings" w:char="F09B"/>
      </w:r>
      <w:r>
        <w:rPr>
          <w:color w:val="2F5496" w:themeColor="accent1" w:themeShade="BF"/>
          <w:sz w:val="28"/>
          <w:szCs w:val="24"/>
        </w:rPr>
        <w:t xml:space="preserve"> </w:t>
      </w:r>
      <w:r>
        <w:rPr>
          <w:color w:val="2F5496" w:themeColor="accent1" w:themeShade="BF"/>
          <w:sz w:val="22"/>
          <w:szCs w:val="20"/>
        </w:rPr>
        <w:sym w:font="Wingdings" w:char="F09D"/>
      </w:r>
    </w:p>
    <w:p w14:paraId="1DC97749" w14:textId="77777777" w:rsidR="00131BC3" w:rsidRDefault="00131BC3" w:rsidP="00131BC3">
      <w:pPr>
        <w:jc w:val="center"/>
      </w:pPr>
    </w:p>
    <w:p w14:paraId="54F1E763" w14:textId="77777777" w:rsidR="00131BC3" w:rsidRDefault="00131BC3" w:rsidP="00131BC3">
      <w:pPr>
        <w:jc w:val="center"/>
      </w:pPr>
      <w:r>
        <w:rPr>
          <w:noProof/>
          <w:sz w:val="12"/>
          <w:szCs w:val="14"/>
        </w:rPr>
        <w:drawing>
          <wp:inline distT="0" distB="0" distL="0" distR="0" wp14:anchorId="13E225B1" wp14:editId="7D9FA5F9">
            <wp:extent cx="1109663" cy="966787"/>
            <wp:effectExtent l="0" t="0" r="0" b="5080"/>
            <wp:docPr id="468" name="Imagen 468"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468" name="Picture 468" descr="Background pattern&#10;&#10;Description automatically generated"/>
                    <pic:cNvPicPr>
                      <a:picLocks noChangeAspect="1"/>
                    </pic:cNvPicPr>
                  </pic:nvPicPr>
                  <pic:blipFill>
                    <a:blip r:embed="rId3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14951" cy="971395"/>
                    </a:xfrm>
                    <a:prstGeom prst="rect">
                      <a:avLst/>
                    </a:prstGeom>
                  </pic:spPr>
                </pic:pic>
              </a:graphicData>
            </a:graphic>
          </wp:inline>
        </w:drawing>
      </w:r>
    </w:p>
    <w:p w14:paraId="5F469FD3" w14:textId="77777777" w:rsidR="00131BC3" w:rsidRPr="00814C5C" w:rsidRDefault="00131BC3" w:rsidP="00131BC3">
      <w:pPr>
        <w:pStyle w:val="TituloPrincipal"/>
        <w:ind w:firstLine="0"/>
        <w:rPr>
          <w:color w:val="7030A0"/>
          <w:sz w:val="24"/>
          <w:szCs w:val="22"/>
        </w:rPr>
      </w:pPr>
      <w:r>
        <w:rPr>
          <w:color w:val="7030A0"/>
          <w:sz w:val="18"/>
          <w:szCs w:val="16"/>
        </w:rPr>
        <w:sym w:font="Wingdings" w:char="F09C"/>
      </w:r>
      <w:r w:rsidRPr="00814C5C">
        <w:rPr>
          <w:color w:val="7030A0"/>
          <w:sz w:val="18"/>
          <w:szCs w:val="16"/>
        </w:rPr>
        <w:t xml:space="preserve"> </w:t>
      </w:r>
      <w:r>
        <w:rPr>
          <w:color w:val="7030A0"/>
          <w:sz w:val="22"/>
          <w:szCs w:val="20"/>
        </w:rPr>
        <w:sym w:font="Wingdings" w:char="F09A"/>
      </w:r>
      <w:r w:rsidRPr="00814C5C">
        <w:rPr>
          <w:color w:val="7030A0"/>
          <w:sz w:val="22"/>
          <w:szCs w:val="20"/>
        </w:rPr>
        <w:t xml:space="preserve">  </w:t>
      </w:r>
      <w:r>
        <w:rPr>
          <w:color w:val="7030A0"/>
          <w:sz w:val="24"/>
          <w:szCs w:val="22"/>
        </w:rPr>
        <w:sym w:font="Wingdings" w:char="F098"/>
      </w:r>
      <w:r w:rsidRPr="00814C5C">
        <w:rPr>
          <w:color w:val="7030A0"/>
          <w:sz w:val="24"/>
          <w:szCs w:val="22"/>
        </w:rPr>
        <w:t xml:space="preserve"> </w:t>
      </w:r>
      <w:r>
        <w:rPr>
          <w:color w:val="7030A0"/>
          <w:sz w:val="24"/>
          <w:szCs w:val="22"/>
        </w:rPr>
        <w:sym w:font="Wingdings" w:char="F099"/>
      </w:r>
      <w:r w:rsidRPr="00814C5C">
        <w:rPr>
          <w:color w:val="7030A0"/>
          <w:sz w:val="24"/>
          <w:szCs w:val="22"/>
        </w:rPr>
        <w:t xml:space="preserve"> </w:t>
      </w:r>
      <w:r>
        <w:rPr>
          <w:color w:val="7030A0"/>
          <w:sz w:val="22"/>
          <w:szCs w:val="20"/>
        </w:rPr>
        <w:sym w:font="Wingdings" w:char="F09B"/>
      </w:r>
      <w:r w:rsidRPr="00814C5C">
        <w:rPr>
          <w:color w:val="7030A0"/>
          <w:sz w:val="22"/>
          <w:szCs w:val="20"/>
        </w:rPr>
        <w:t xml:space="preserve"> </w:t>
      </w:r>
      <w:r>
        <w:rPr>
          <w:color w:val="7030A0"/>
          <w:sz w:val="18"/>
          <w:szCs w:val="16"/>
        </w:rPr>
        <w:sym w:font="Wingdings" w:char="F09D"/>
      </w:r>
    </w:p>
    <w:p w14:paraId="336E39D8" w14:textId="77777777" w:rsidR="00131BC3" w:rsidRPr="00814C5C" w:rsidRDefault="00131BC3" w:rsidP="00131BC3">
      <w:pPr>
        <w:rPr>
          <w:color w:val="000000" w:themeColor="text1"/>
          <w:sz w:val="24"/>
        </w:rPr>
      </w:pPr>
    </w:p>
    <w:p w14:paraId="26ADE54B" w14:textId="00B8A8D4" w:rsidR="00131BC3" w:rsidRPr="00D20E52" w:rsidRDefault="00131BC3" w:rsidP="00131BC3">
      <w:pPr>
        <w:jc w:val="center"/>
        <w:rPr>
          <w:b/>
          <w:bCs/>
          <w:sz w:val="16"/>
          <w:szCs w:val="20"/>
        </w:rPr>
      </w:pPr>
      <w:r w:rsidRPr="00D20E52">
        <w:rPr>
          <w:sz w:val="16"/>
          <w:szCs w:val="16"/>
        </w:rPr>
        <w:t>Elaborado en búsqueda de Ediciones</w:t>
      </w:r>
      <w:r w:rsidRPr="00D20E52">
        <w:rPr>
          <w:sz w:val="16"/>
          <w:szCs w:val="16"/>
        </w:rPr>
        <w:br/>
        <w:t xml:space="preserve"> en </w:t>
      </w:r>
      <w:r w:rsidR="006243FC" w:rsidRPr="00D20E52">
        <w:rPr>
          <w:sz w:val="16"/>
          <w:szCs w:val="16"/>
        </w:rPr>
        <w:t>español</w:t>
      </w:r>
      <w:r w:rsidRPr="00D20E52">
        <w:rPr>
          <w:sz w:val="16"/>
          <w:szCs w:val="16"/>
        </w:rPr>
        <w:t xml:space="preserve"> para el website </w:t>
      </w:r>
      <w:r w:rsidRPr="00D20E52">
        <w:rPr>
          <w:sz w:val="16"/>
          <w:szCs w:val="16"/>
        </w:rPr>
        <w:br/>
      </w:r>
      <w:r w:rsidR="00057BF4" w:rsidRPr="00D20E52">
        <w:rPr>
          <w:b/>
          <w:bCs/>
          <w:i/>
          <w:sz w:val="16"/>
          <w:szCs w:val="20"/>
        </w:rPr>
        <w:t>Dhamma</w:t>
      </w:r>
      <w:r w:rsidRPr="00D20E52">
        <w:rPr>
          <w:b/>
          <w:bCs/>
          <w:sz w:val="16"/>
          <w:szCs w:val="20"/>
        </w:rPr>
        <w:t>player.</w:t>
      </w:r>
    </w:p>
    <w:p w14:paraId="7478340A" w14:textId="77777777" w:rsidR="004D6F59" w:rsidRDefault="00131BC3" w:rsidP="004D6F59">
      <w:pPr>
        <w:jc w:val="center"/>
        <w:rPr>
          <w:sz w:val="16"/>
          <w:szCs w:val="20"/>
        </w:rPr>
      </w:pPr>
      <w:r w:rsidRPr="00D20E52">
        <w:rPr>
          <w:szCs w:val="16"/>
        </w:rPr>
        <w:t xml:space="preserve">Lima-Perú, </w:t>
      </w:r>
      <w:r w:rsidRPr="00D20E52">
        <w:rPr>
          <w:szCs w:val="16"/>
        </w:rPr>
        <w:br/>
      </w:r>
      <w:r w:rsidRPr="00D20E52">
        <w:rPr>
          <w:sz w:val="16"/>
          <w:szCs w:val="20"/>
        </w:rPr>
        <w:t xml:space="preserve">Solamente para </w:t>
      </w:r>
      <w:r w:rsidR="00D20E52" w:rsidRPr="00D20E52">
        <w:rPr>
          <w:sz w:val="16"/>
          <w:szCs w:val="20"/>
        </w:rPr>
        <w:t xml:space="preserve">distribución </w:t>
      </w:r>
      <w:r w:rsidRPr="00D20E52">
        <w:rPr>
          <w:sz w:val="16"/>
          <w:szCs w:val="20"/>
        </w:rPr>
        <w:t xml:space="preserve">libre y gratuita. </w:t>
      </w:r>
    </w:p>
    <w:p w14:paraId="1E19F09A" w14:textId="260B58C3" w:rsidR="006C1FFB" w:rsidRPr="00D20E52" w:rsidRDefault="0062756A" w:rsidP="004D6F59">
      <w:pPr>
        <w:jc w:val="center"/>
        <w:rPr>
          <w:sz w:val="16"/>
          <w:szCs w:val="20"/>
        </w:rPr>
      </w:pPr>
      <w:r>
        <w:rPr>
          <w:sz w:val="16"/>
          <w:szCs w:val="20"/>
        </w:rPr>
        <w:t>1ra Revisión</w:t>
      </w:r>
      <w:r w:rsidR="00AB01CD">
        <w:rPr>
          <w:sz w:val="16"/>
          <w:szCs w:val="20"/>
        </w:rPr>
        <w:t>:</w:t>
      </w:r>
      <w:r w:rsidR="002E5EDA">
        <w:rPr>
          <w:sz w:val="16"/>
          <w:szCs w:val="20"/>
        </w:rPr>
        <w:t xml:space="preserve"> </w:t>
      </w:r>
      <w:r w:rsidR="00AB01CD">
        <w:rPr>
          <w:sz w:val="16"/>
          <w:szCs w:val="20"/>
        </w:rPr>
        <w:t xml:space="preserve">21/01/2023 03:19:08 a. m. – </w:t>
      </w:r>
      <w:r w:rsidR="00AB01CD">
        <w:rPr>
          <w:sz w:val="16"/>
          <w:szCs w:val="20"/>
        </w:rPr>
        <w:br/>
      </w:r>
      <w:r w:rsidR="00AB01CD" w:rsidRPr="00AB01CD">
        <w:rPr>
          <w:sz w:val="12"/>
          <w:szCs w:val="16"/>
        </w:rPr>
        <w:t>por Daniel Huamán Mosqueira</w:t>
      </w:r>
      <w:r w:rsidR="00131BC3" w:rsidRPr="00D20E52">
        <w:rPr>
          <w:sz w:val="16"/>
          <w:szCs w:val="20"/>
        </w:rPr>
        <w:br/>
      </w:r>
    </w:p>
    <w:sectPr w:rsidR="006C1FFB" w:rsidRPr="00D20E52" w:rsidSect="00305694">
      <w:pgSz w:w="8641" w:h="12962"/>
      <w:pgMar w:top="851"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FE7B" w14:textId="77777777" w:rsidR="00305694" w:rsidRDefault="00305694" w:rsidP="00D42919">
      <w:pPr>
        <w:spacing w:after="0" w:line="240" w:lineRule="auto"/>
      </w:pPr>
      <w:r>
        <w:separator/>
      </w:r>
    </w:p>
    <w:p w14:paraId="721A8E38" w14:textId="77777777" w:rsidR="00305694" w:rsidRDefault="00305694"/>
  </w:endnote>
  <w:endnote w:type="continuationSeparator" w:id="0">
    <w:p w14:paraId="42C7BAAC" w14:textId="77777777" w:rsidR="00305694" w:rsidRDefault="00305694" w:rsidP="00D42919">
      <w:pPr>
        <w:spacing w:after="0" w:line="240" w:lineRule="auto"/>
      </w:pPr>
      <w:r>
        <w:continuationSeparator/>
      </w:r>
    </w:p>
    <w:p w14:paraId="0351333A" w14:textId="77777777" w:rsidR="00305694" w:rsidRDefault="00305694"/>
  </w:endnote>
  <w:endnote w:type="continuationNotice" w:id="1">
    <w:p w14:paraId="38F64DBC" w14:textId="77777777" w:rsidR="00305694" w:rsidRDefault="003056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morant">
    <w:panose1 w:val="00000000000000000000"/>
    <w:charset w:val="00"/>
    <w:family w:val="auto"/>
    <w:pitch w:val="variable"/>
    <w:sig w:usb0="A00002FF" w:usb1="0001E07B" w:usb2="00000028" w:usb3="00000000" w:csb0="00000197" w:csb1="00000000"/>
  </w:font>
  <w:font w:name="Calibri Light">
    <w:panose1 w:val="020F0302020204030204"/>
    <w:charset w:val="00"/>
    <w:family w:val="swiss"/>
    <w:pitch w:val="variable"/>
    <w:sig w:usb0="E4002EFF" w:usb1="C200247B" w:usb2="00000009" w:usb3="00000000" w:csb0="000001FF" w:csb1="00000000"/>
  </w:font>
  <w:font w:name="Cormorant Light">
    <w:panose1 w:val="00000000000000000000"/>
    <w:charset w:val="00"/>
    <w:family w:val="auto"/>
    <w:pitch w:val="variable"/>
    <w:sig w:usb0="A00002FF" w:usb1="0001E07B" w:usb2="00000028" w:usb3="00000000" w:csb0="00000197" w:csb1="00000000"/>
  </w:font>
  <w:font w:name="URWPalladioPali">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Prime">
    <w:panose1 w:val="00000509000000000000"/>
    <w:charset w:val="00"/>
    <w:family w:val="modern"/>
    <w:pitch w:val="fixed"/>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A468" w14:textId="77777777" w:rsidR="00D42919" w:rsidRDefault="00D42919">
    <w:pPr>
      <w:pStyle w:val="Piedepgina"/>
    </w:pP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338DA" w14:textId="77777777" w:rsidR="00597DE2" w:rsidRPr="00DC1A5F" w:rsidRDefault="00597DE2" w:rsidP="00F711A2">
    <w:pPr>
      <w:pStyle w:val="Piedepgina"/>
      <w:ind w:firstLine="1416"/>
      <w:jc w:val="center"/>
    </w:pPr>
    <w:r>
      <w:fldChar w:fldCharType="begin"/>
    </w:r>
    <w:r>
      <w:instrText xml:space="preserve"> PAGE </w:instrText>
    </w:r>
    <w:r>
      <w:fldChar w:fldCharType="separate"/>
    </w:r>
    <w:r>
      <w:rPr>
        <w:noProof/>
      </w:rPr>
      <w:t>833</w:t>
    </w:r>
    <w:r>
      <w:fldChar w:fldCharType="end"/>
    </w:r>
    <w:r w:rsidRPr="00DC1A5F">
      <w:rPr>
        <w:noProof/>
        <w:sz w:val="22"/>
      </w:rPr>
      <mc:AlternateContent>
        <mc:Choice Requires="wpg">
          <w:drawing>
            <wp:anchor distT="0" distB="0" distL="114300" distR="114300" simplePos="0" relativeHeight="251657728" behindDoc="0" locked="0" layoutInCell="1" allowOverlap="1" wp14:anchorId="2842B580" wp14:editId="2239BC9A">
              <wp:simplePos x="0" y="0"/>
              <wp:positionH relativeFrom="page">
                <wp:posOffset>4247573</wp:posOffset>
              </wp:positionH>
              <wp:positionV relativeFrom="page">
                <wp:posOffset>7720330</wp:posOffset>
              </wp:positionV>
              <wp:extent cx="983089" cy="299720"/>
              <wp:effectExtent l="0" t="0" r="0" b="0"/>
              <wp:wrapSquare wrapText="bothSides"/>
              <wp:docPr id="1595582396" name="Grupo 1595582396"/>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417243405"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697463978"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27792792" id="Grupo 1595582396" o:spid="_x0000_s1026" style="position:absolute;margin-left:334.45pt;margin-top:607.9pt;width:77.4pt;height:23.6pt;z-index:251657728;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">
                <v:imagedata r:id="rId4" o:title=""/>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386" w14:textId="77777777" w:rsidR="00597DE2" w:rsidRPr="00DC1A5F" w:rsidRDefault="00597DE2" w:rsidP="00F711A2">
    <w:pPr>
      <w:pStyle w:val="Piedepgina"/>
      <w:ind w:firstLine="1416"/>
      <w:jc w:val="center"/>
    </w:pPr>
    <w:r>
      <w:fldChar w:fldCharType="begin"/>
    </w:r>
    <w:r>
      <w:instrText xml:space="preserve"> page </w:instrText>
    </w:r>
    <w:r>
      <w:fldChar w:fldCharType="separate"/>
    </w:r>
    <w:r>
      <w:rPr>
        <w:noProof/>
      </w:rPr>
      <w:t>843</w:t>
    </w:r>
    <w:r>
      <w:fldChar w:fldCharType="end"/>
    </w:r>
    <w:r w:rsidRPr="00DC1A5F">
      <w:rPr>
        <w:noProof/>
        <w:sz w:val="22"/>
      </w:rPr>
      <mc:AlternateContent>
        <mc:Choice Requires="wpg">
          <w:drawing>
            <wp:anchor distT="0" distB="0" distL="114300" distR="114300" simplePos="0" relativeHeight="251658752" behindDoc="0" locked="0" layoutInCell="1" allowOverlap="1" wp14:anchorId="1C053644" wp14:editId="0EFF8BC6">
              <wp:simplePos x="0" y="0"/>
              <wp:positionH relativeFrom="page">
                <wp:posOffset>4247573</wp:posOffset>
              </wp:positionH>
              <wp:positionV relativeFrom="page">
                <wp:posOffset>7720330</wp:posOffset>
              </wp:positionV>
              <wp:extent cx="983089" cy="299720"/>
              <wp:effectExtent l="0" t="0" r="0" b="0"/>
              <wp:wrapSquare wrapText="bothSides"/>
              <wp:docPr id="972559623" name="Grupo 972559623"/>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375109323"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1922693788"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5A029302" id="Grupo 972559623" o:spid="_x0000_s1026" style="position:absolute;margin-left:334.45pt;margin-top:607.9pt;width:77.4pt;height:23.6pt;z-index:251658752;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">
                <v:imagedata r:id="rId4" o:title=""/>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BAB4" w14:textId="77777777" w:rsidR="00E96962" w:rsidRPr="00DC1A5F" w:rsidRDefault="00E96962" w:rsidP="00F711A2">
    <w:pPr>
      <w:pStyle w:val="Piedepgina"/>
      <w:ind w:firstLine="1416"/>
      <w:jc w:val="center"/>
    </w:pPr>
    <w:r>
      <w:fldChar w:fldCharType="begin"/>
    </w:r>
    <w:r>
      <w:instrText xml:space="preserve"> page </w:instrText>
    </w:r>
    <w:r>
      <w:fldChar w:fldCharType="separate"/>
    </w:r>
    <w:r>
      <w:rPr>
        <w:noProof/>
      </w:rPr>
      <w:t>843</w:t>
    </w:r>
    <w:r>
      <w:fldChar w:fldCharType="end"/>
    </w:r>
    <w:r w:rsidRPr="00DC1A5F">
      <w:rPr>
        <w:noProof/>
        <w:sz w:val="22"/>
      </w:rPr>
      <mc:AlternateContent>
        <mc:Choice Requires="wpg">
          <w:drawing>
            <wp:anchor distT="0" distB="0" distL="114300" distR="114300" simplePos="0" relativeHeight="251660800" behindDoc="0" locked="0" layoutInCell="1" allowOverlap="1" wp14:anchorId="178548FC" wp14:editId="6F4DAADC">
              <wp:simplePos x="0" y="0"/>
              <wp:positionH relativeFrom="page">
                <wp:posOffset>4247573</wp:posOffset>
              </wp:positionH>
              <wp:positionV relativeFrom="page">
                <wp:posOffset>7720330</wp:posOffset>
              </wp:positionV>
              <wp:extent cx="983089" cy="299720"/>
              <wp:effectExtent l="0" t="0" r="0" b="0"/>
              <wp:wrapSquare wrapText="bothSides"/>
              <wp:docPr id="747191255" name="Grupo 747191255"/>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1623384387"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751293309"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2F86C71D" id="Grupo 747191255" o:spid="_x0000_s1026" style="position:absolute;margin-left:334.45pt;margin-top:607.9pt;width:77.4pt;height:23.6pt;z-index:251660800;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A7BE" w14:textId="77777777" w:rsidR="002F5F7E" w:rsidRDefault="002F5F7E">
    <w:pPr>
      <w:pStyle w:val="Piedepgina"/>
    </w:pPr>
    <w:r>
      <w:tab/>
    </w:r>
    <w:r>
      <w:tab/>
    </w:r>
    <w:r>
      <w:rPr>
        <w:noProof/>
        <w:sz w:val="22"/>
      </w:rPr>
      <mc:AlternateContent>
        <mc:Choice Requires="wpg">
          <w:drawing>
            <wp:inline distT="0" distB="0" distL="0" distR="0" wp14:anchorId="58035361" wp14:editId="12A2A73A">
              <wp:extent cx="983089" cy="299720"/>
              <wp:effectExtent l="0" t="0" r="7620" b="5080"/>
              <wp:docPr id="1" name="Group 922983"/>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5" name="Picture 922985"/>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6" name="Picture 922984"/>
                        <pic:cNvPicPr/>
                      </pic:nvPicPr>
                      <pic:blipFill>
                        <a:blip r:embed="rId2"/>
                        <a:stretch>
                          <a:fillRect/>
                        </a:stretch>
                      </pic:blipFill>
                      <pic:spPr>
                        <a:xfrm>
                          <a:off x="731629" y="0"/>
                          <a:ext cx="251460" cy="299720"/>
                        </a:xfrm>
                        <a:prstGeom prst="rect">
                          <a:avLst/>
                        </a:prstGeom>
                      </pic:spPr>
                    </pic:pic>
                  </wpg:wgp>
                </a:graphicData>
              </a:graphic>
            </wp:inline>
          </w:drawing>
        </mc:Choice>
        <mc:Fallback>
          <w:pict>
            <v:group w14:anchorId="7922742C" id="Group 922983" o:spid="_x0000_s1026" style="width:77.4pt;height:23.6pt;mso-position-horizontal-relative:char;mso-position-vertical-relative:lin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2985"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">
                <v:imagedata r:id="rId3" o:title=""/>
              </v:shape>
              <v:shape id="Picture 922984"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">
                <v:imagedata r:id="rId4" o:title=""/>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0BE5" w14:textId="77777777" w:rsidR="00B67276" w:rsidRDefault="00B67276" w:rsidP="00F711A2">
    <w:pPr>
      <w:pStyle w:val="Piedepgina"/>
      <w:ind w:firstLine="1416"/>
      <w:jc w:val="center"/>
    </w:pPr>
    <w:r>
      <w:fldChar w:fldCharType="begin"/>
    </w:r>
    <w:r>
      <w:instrText>PAGE   \* MERGEFORMAT</w:instrText>
    </w:r>
    <w:r>
      <w:fldChar w:fldCharType="separate"/>
    </w:r>
    <w:r>
      <w:rPr>
        <w:lang w:val="es-ES"/>
      </w:rPr>
      <w:t>1</w:t>
    </w:r>
    <w:r>
      <w:fldChar w:fldCharType="end"/>
    </w:r>
    <w:r>
      <w:rPr>
        <w:noProof/>
        <w:sz w:val="22"/>
      </w:rPr>
      <mc:AlternateContent>
        <mc:Choice Requires="wpg">
          <w:drawing>
            <wp:anchor distT="0" distB="0" distL="114300" distR="114300" simplePos="0" relativeHeight="251662848" behindDoc="0" locked="0" layoutInCell="1" allowOverlap="1" wp14:anchorId="51C4DDEA" wp14:editId="08822BD5">
              <wp:simplePos x="0" y="0"/>
              <wp:positionH relativeFrom="page">
                <wp:posOffset>4247573</wp:posOffset>
              </wp:positionH>
              <wp:positionV relativeFrom="page">
                <wp:posOffset>7720330</wp:posOffset>
              </wp:positionV>
              <wp:extent cx="983089" cy="299720"/>
              <wp:effectExtent l="0" t="0" r="0" b="0"/>
              <wp:wrapSquare wrapText="bothSides"/>
              <wp:docPr id="966355322" name="Group 923080"/>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735588521"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352657956"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3738FB83" id="Group 923080" o:spid="_x0000_s1026" style="position:absolute;margin-left:334.45pt;margin-top:607.9pt;width:77.4pt;height:23.6pt;z-index:251662848;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">
                <v:imagedata r:id="rId4"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0F26" w14:textId="77777777" w:rsidR="00586A95" w:rsidRDefault="00586A95" w:rsidP="00F711A2">
    <w:pPr>
      <w:pStyle w:val="Piedepgina"/>
      <w:ind w:firstLine="1416"/>
      <w:jc w:val="center"/>
    </w:pPr>
    <w:r>
      <w:fldChar w:fldCharType="begin"/>
    </w:r>
    <w:r>
      <w:instrText>PAGE   \* MERGEFORMAT</w:instrText>
    </w:r>
    <w:r>
      <w:fldChar w:fldCharType="separate"/>
    </w:r>
    <w:r>
      <w:rPr>
        <w:lang w:val="es-ES"/>
      </w:rPr>
      <w:t>1</w:t>
    </w:r>
    <w:r>
      <w:fldChar w:fldCharType="end"/>
    </w:r>
    <w:r>
      <w:rPr>
        <w:noProof/>
        <w:sz w:val="22"/>
      </w:rPr>
      <mc:AlternateContent>
        <mc:Choice Requires="wpg">
          <w:drawing>
            <wp:anchor distT="0" distB="0" distL="114300" distR="114300" simplePos="0" relativeHeight="251664896" behindDoc="0" locked="0" layoutInCell="1" allowOverlap="1" wp14:anchorId="7741EC0F" wp14:editId="3709F1B0">
              <wp:simplePos x="0" y="0"/>
              <wp:positionH relativeFrom="page">
                <wp:posOffset>4247573</wp:posOffset>
              </wp:positionH>
              <wp:positionV relativeFrom="page">
                <wp:posOffset>7720330</wp:posOffset>
              </wp:positionV>
              <wp:extent cx="983089" cy="299720"/>
              <wp:effectExtent l="0" t="0" r="0" b="0"/>
              <wp:wrapSquare wrapText="bothSides"/>
              <wp:docPr id="280908376" name="Group 923080"/>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90071748"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1558790888"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64BB11CE" id="Group 923080" o:spid="_x0000_s1026" style="position:absolute;margin-left:334.45pt;margin-top:607.9pt;width:77.4pt;height:23.6pt;z-index:251664896;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">
                <v:imagedata r:id="rId4"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84A4" w14:textId="6062E445" w:rsidR="00622D47" w:rsidRDefault="00D71F6E" w:rsidP="00EC173B">
    <w:pPr>
      <w:pStyle w:val="Piedepgina"/>
      <w:tabs>
        <w:tab w:val="clear" w:pos="425"/>
        <w:tab w:val="left" w:pos="142"/>
      </w:tabs>
      <w:jc w:val="center"/>
    </w:pPr>
    <w:r>
      <w:fldChar w:fldCharType="begin"/>
    </w:r>
    <w:r>
      <w:instrText>PAGE   \* MERGEFORMAT</w:instrText>
    </w:r>
    <w:r>
      <w:fldChar w:fldCharType="separate"/>
    </w:r>
    <w:r>
      <w:rPr>
        <w:lang w:val="es-ES"/>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6EA7" w14:textId="77777777" w:rsidR="00E5298E" w:rsidRDefault="00E5298E" w:rsidP="00F711A2">
    <w:pPr>
      <w:pStyle w:val="Piedepgina"/>
      <w:ind w:firstLine="1416"/>
      <w:jc w:val="center"/>
    </w:pPr>
    <w:r>
      <w:fldChar w:fldCharType="begin"/>
    </w:r>
    <w:r>
      <w:instrText>PAGE   \* MERGEFORMAT</w:instrText>
    </w:r>
    <w:r>
      <w:fldChar w:fldCharType="separate"/>
    </w:r>
    <w:r>
      <w:rPr>
        <w:lang w:val="es-ES"/>
      </w:rPr>
      <w:t>1</w:t>
    </w:r>
    <w:r>
      <w:fldChar w:fldCharType="end"/>
    </w:r>
    <w:r>
      <w:rPr>
        <w:noProof/>
        <w:sz w:val="22"/>
      </w:rPr>
      <mc:AlternateContent>
        <mc:Choice Requires="wpg">
          <w:drawing>
            <wp:anchor distT="0" distB="0" distL="114300" distR="114300" simplePos="0" relativeHeight="251657216" behindDoc="0" locked="0" layoutInCell="1" allowOverlap="1" wp14:anchorId="5A36BFF4" wp14:editId="016ED1D4">
              <wp:simplePos x="0" y="0"/>
              <wp:positionH relativeFrom="page">
                <wp:posOffset>4247573</wp:posOffset>
              </wp:positionH>
              <wp:positionV relativeFrom="page">
                <wp:posOffset>7720330</wp:posOffset>
              </wp:positionV>
              <wp:extent cx="983089" cy="299720"/>
              <wp:effectExtent l="0" t="0" r="0" b="0"/>
              <wp:wrapSquare wrapText="bothSides"/>
              <wp:docPr id="13" name="Group 923080"/>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14"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15"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7562965B" id="Group 923080" o:spid="_x0000_s1026" style="position:absolute;margin-left:334.45pt;margin-top:607.9pt;width:77.4pt;height:23.6pt;z-index:251657216;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">
                <v:imagedata r:id="rId4" o:title=""/>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81ED8" w14:textId="77777777" w:rsidR="00597DE2" w:rsidRPr="00DC1A5F" w:rsidRDefault="00597DE2" w:rsidP="00F711A2">
    <w:pPr>
      <w:pStyle w:val="Piedepgina"/>
      <w:ind w:firstLine="1416"/>
      <w:jc w:val="center"/>
    </w:pPr>
    <w:r w:rsidRPr="00DC1A5F">
      <w:fldChar w:fldCharType="begin"/>
    </w:r>
    <w:r w:rsidRPr="00DC1A5F">
      <w:instrText>PAGE   \* MERGEFORMAT</w:instrText>
    </w:r>
    <w:r w:rsidRPr="00DC1A5F">
      <w:fldChar w:fldCharType="separate"/>
    </w:r>
    <w:r w:rsidRPr="00DC1A5F">
      <w:t>1</w:t>
    </w:r>
    <w:r w:rsidRPr="00DC1A5F">
      <w:fldChar w:fldCharType="end"/>
    </w:r>
    <w:r w:rsidRPr="00DC1A5F">
      <w:rPr>
        <w:noProof/>
        <w:sz w:val="22"/>
      </w:rPr>
      <mc:AlternateContent>
        <mc:Choice Requires="wpg">
          <w:drawing>
            <wp:anchor distT="0" distB="0" distL="114300" distR="114300" simplePos="0" relativeHeight="251655680" behindDoc="0" locked="0" layoutInCell="1" allowOverlap="1" wp14:anchorId="74F796E1" wp14:editId="59642156">
              <wp:simplePos x="0" y="0"/>
              <wp:positionH relativeFrom="page">
                <wp:posOffset>4247573</wp:posOffset>
              </wp:positionH>
              <wp:positionV relativeFrom="page">
                <wp:posOffset>7720330</wp:posOffset>
              </wp:positionV>
              <wp:extent cx="983089" cy="299720"/>
              <wp:effectExtent l="0" t="0" r="0" b="0"/>
              <wp:wrapSquare wrapText="bothSides"/>
              <wp:docPr id="16" name="Grupo 16"/>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17"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18"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096EE3C6" id="Grupo 16" o:spid="_x0000_s1026" style="position:absolute;margin-left:334.45pt;margin-top:607.9pt;width:77.4pt;height:23.6pt;z-index:251655680;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">
                <v:imagedata r:id="rId4" o:title=""/>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43B5" w14:textId="77777777" w:rsidR="00597DE2" w:rsidRPr="00DC1A5F" w:rsidRDefault="00597DE2" w:rsidP="00F711A2">
    <w:pPr>
      <w:pStyle w:val="Piedepgina"/>
      <w:ind w:firstLine="1416"/>
      <w:jc w:val="center"/>
    </w:pPr>
    <w:r w:rsidRPr="00DC1A5F">
      <w:fldChar w:fldCharType="begin"/>
    </w:r>
    <w:r w:rsidRPr="00DC1A5F">
      <w:instrText>PAGE   \* MERGEFORMAT</w:instrText>
    </w:r>
    <w:r w:rsidRPr="00DC1A5F">
      <w:fldChar w:fldCharType="separate"/>
    </w:r>
    <w:r w:rsidRPr="00DC1A5F">
      <w:t>1</w:t>
    </w:r>
    <w:r w:rsidRPr="00DC1A5F">
      <w:fldChar w:fldCharType="end"/>
    </w:r>
    <w:r w:rsidRPr="00DC1A5F">
      <w:rPr>
        <w:noProof/>
        <w:sz w:val="22"/>
      </w:rPr>
      <mc:AlternateContent>
        <mc:Choice Requires="wpg">
          <w:drawing>
            <wp:anchor distT="0" distB="0" distL="114300" distR="114300" simplePos="0" relativeHeight="251654656" behindDoc="0" locked="0" layoutInCell="1" allowOverlap="1" wp14:anchorId="715FB3C9" wp14:editId="7F811429">
              <wp:simplePos x="0" y="0"/>
              <wp:positionH relativeFrom="page">
                <wp:posOffset>4247573</wp:posOffset>
              </wp:positionH>
              <wp:positionV relativeFrom="page">
                <wp:posOffset>7720330</wp:posOffset>
              </wp:positionV>
              <wp:extent cx="983089" cy="299720"/>
              <wp:effectExtent l="0" t="0" r="0" b="0"/>
              <wp:wrapSquare wrapText="bothSides"/>
              <wp:docPr id="464590584" name="Grupo 464590584"/>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780421946"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1025230411"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50731802" id="Grupo 464590584" o:spid="_x0000_s1026" style="position:absolute;margin-left:334.45pt;margin-top:607.9pt;width:77.4pt;height:23.6pt;z-index:251654656;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">
                <v:imagedata r:id="rId4" o:title=""/>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B98E" w14:textId="77777777" w:rsidR="00597DE2" w:rsidRPr="00DC1A5F" w:rsidRDefault="00597DE2" w:rsidP="00F711A2">
    <w:pPr>
      <w:pStyle w:val="Piedepgina"/>
      <w:ind w:firstLine="1416"/>
      <w:jc w:val="center"/>
    </w:pPr>
    <w:r>
      <w:fldChar w:fldCharType="begin"/>
    </w:r>
    <w:r>
      <w:instrText xml:space="preserve"> PAGE </w:instrText>
    </w:r>
    <w:r>
      <w:fldChar w:fldCharType="separate"/>
    </w:r>
    <w:r>
      <w:rPr>
        <w:noProof/>
      </w:rPr>
      <w:t>833</w:t>
    </w:r>
    <w:r>
      <w:fldChar w:fldCharType="end"/>
    </w:r>
    <w:r w:rsidRPr="00DC1A5F">
      <w:rPr>
        <w:noProof/>
        <w:sz w:val="22"/>
      </w:rPr>
      <mc:AlternateContent>
        <mc:Choice Requires="wpg">
          <w:drawing>
            <wp:anchor distT="0" distB="0" distL="114300" distR="114300" simplePos="0" relativeHeight="251656704" behindDoc="0" locked="0" layoutInCell="1" allowOverlap="1" wp14:anchorId="15EF69B3" wp14:editId="1CB6B4CC">
              <wp:simplePos x="0" y="0"/>
              <wp:positionH relativeFrom="page">
                <wp:posOffset>4247573</wp:posOffset>
              </wp:positionH>
              <wp:positionV relativeFrom="page">
                <wp:posOffset>7720330</wp:posOffset>
              </wp:positionV>
              <wp:extent cx="983089" cy="299720"/>
              <wp:effectExtent l="0" t="0" r="0" b="0"/>
              <wp:wrapSquare wrapText="bothSides"/>
              <wp:docPr id="1701188791" name="Grupo 1701188791"/>
              <wp:cNvGraphicFramePr/>
              <a:graphic xmlns:a="http://schemas.openxmlformats.org/drawingml/2006/main">
                <a:graphicData uri="http://schemas.microsoft.com/office/word/2010/wordprocessingGroup">
                  <wpg:wgp>
                    <wpg:cNvGrpSpPr/>
                    <wpg:grpSpPr>
                      <a:xfrm>
                        <a:off x="0" y="0"/>
                        <a:ext cx="983089" cy="299720"/>
                        <a:chOff x="0" y="0"/>
                        <a:chExt cx="983089" cy="299720"/>
                      </a:xfrm>
                    </wpg:grpSpPr>
                    <pic:pic xmlns:pic="http://schemas.openxmlformats.org/drawingml/2006/picture">
                      <pic:nvPicPr>
                        <pic:cNvPr id="1689567972" name="Picture 923082"/>
                        <pic:cNvPicPr/>
                      </pic:nvPicPr>
                      <pic:blipFill>
                        <a:blip r:embed="rId1"/>
                        <a:stretch>
                          <a:fillRect/>
                        </a:stretch>
                      </pic:blipFill>
                      <pic:spPr>
                        <a:xfrm>
                          <a:off x="0" y="13635"/>
                          <a:ext cx="368383" cy="263585"/>
                        </a:xfrm>
                        <a:prstGeom prst="rect">
                          <a:avLst/>
                        </a:prstGeom>
                      </pic:spPr>
                    </pic:pic>
                    <pic:pic xmlns:pic="http://schemas.openxmlformats.org/drawingml/2006/picture">
                      <pic:nvPicPr>
                        <pic:cNvPr id="174732730" name="Picture 923081"/>
                        <pic:cNvPicPr/>
                      </pic:nvPicPr>
                      <pic:blipFill>
                        <a:blip r:embed="rId2"/>
                        <a:stretch>
                          <a:fillRect/>
                        </a:stretch>
                      </pic:blipFill>
                      <pic:spPr>
                        <a:xfrm>
                          <a:off x="731629" y="0"/>
                          <a:ext cx="251460" cy="299720"/>
                        </a:xfrm>
                        <a:prstGeom prst="rect">
                          <a:avLst/>
                        </a:prstGeom>
                      </pic:spPr>
                    </pic:pic>
                  </wpg:wgp>
                </a:graphicData>
              </a:graphic>
            </wp:anchor>
          </w:drawing>
        </mc:Choice>
        <mc:Fallback>
          <w:pict>
            <v:group w14:anchorId="10DD50B3" id="Grupo 1701188791" o:spid="_x0000_s1026" style="position:absolute;margin-left:334.45pt;margin-top:607.9pt;width:77.4pt;height:23.6pt;z-index:251656704;mso-position-horizontal-relative:page;mso-position-vertical-relative:page" coordsize="9830,2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082" o:spid="_x0000_s1027" type="#_x0000_t75" style="position:absolute;top:136;width:36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">
                <v:imagedata r:id="rId3" o:title=""/>
              </v:shape>
              <v:shape id="Picture 923081" o:spid="_x0000_s1028" type="#_x0000_t75" style="position:absolute;left:7316;width:251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">
                <v:imagedata r:id="rId4"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CCEF0" w14:textId="77777777" w:rsidR="00305694" w:rsidRDefault="00305694" w:rsidP="00D42919">
      <w:pPr>
        <w:spacing w:after="0" w:line="240" w:lineRule="auto"/>
      </w:pPr>
      <w:r>
        <w:separator/>
      </w:r>
    </w:p>
    <w:p w14:paraId="590B8A7A" w14:textId="77777777" w:rsidR="00305694" w:rsidRDefault="00305694"/>
  </w:footnote>
  <w:footnote w:type="continuationSeparator" w:id="0">
    <w:p w14:paraId="7CB84406" w14:textId="77777777" w:rsidR="00305694" w:rsidRDefault="00305694" w:rsidP="00D42919">
      <w:pPr>
        <w:spacing w:after="0" w:line="240" w:lineRule="auto"/>
      </w:pPr>
      <w:r>
        <w:continuationSeparator/>
      </w:r>
    </w:p>
    <w:p w14:paraId="4416997C" w14:textId="77777777" w:rsidR="00305694" w:rsidRDefault="00305694"/>
  </w:footnote>
  <w:footnote w:type="continuationNotice" w:id="1">
    <w:p w14:paraId="69620700" w14:textId="77777777" w:rsidR="00305694" w:rsidRDefault="003056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079"/>
    <w:multiLevelType w:val="hybridMultilevel"/>
    <w:tmpl w:val="36327AE8"/>
    <w:lvl w:ilvl="0" w:tplc="06DEC91C">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611D1B"/>
    <w:multiLevelType w:val="hybridMultilevel"/>
    <w:tmpl w:val="0E1EDA7C"/>
    <w:lvl w:ilvl="0" w:tplc="574A10F6">
      <w:start w:val="1"/>
      <w:numFmt w:val="decimal"/>
      <w:lvlText w:val="%1."/>
      <w:lvlJc w:val="left"/>
      <w:pPr>
        <w:ind w:left="1130" w:hanging="360"/>
      </w:pPr>
      <w:rPr>
        <w:rFonts w:hint="default"/>
      </w:rPr>
    </w:lvl>
    <w:lvl w:ilvl="1" w:tplc="280A0019" w:tentative="1">
      <w:start w:val="1"/>
      <w:numFmt w:val="lowerLetter"/>
      <w:lvlText w:val="%2."/>
      <w:lvlJc w:val="left"/>
      <w:pPr>
        <w:ind w:left="1850" w:hanging="360"/>
      </w:pPr>
    </w:lvl>
    <w:lvl w:ilvl="2" w:tplc="280A001B" w:tentative="1">
      <w:start w:val="1"/>
      <w:numFmt w:val="lowerRoman"/>
      <w:lvlText w:val="%3."/>
      <w:lvlJc w:val="right"/>
      <w:pPr>
        <w:ind w:left="2570" w:hanging="180"/>
      </w:pPr>
    </w:lvl>
    <w:lvl w:ilvl="3" w:tplc="280A000F" w:tentative="1">
      <w:start w:val="1"/>
      <w:numFmt w:val="decimal"/>
      <w:lvlText w:val="%4."/>
      <w:lvlJc w:val="left"/>
      <w:pPr>
        <w:ind w:left="3290" w:hanging="360"/>
      </w:pPr>
    </w:lvl>
    <w:lvl w:ilvl="4" w:tplc="280A0019" w:tentative="1">
      <w:start w:val="1"/>
      <w:numFmt w:val="lowerLetter"/>
      <w:lvlText w:val="%5."/>
      <w:lvlJc w:val="left"/>
      <w:pPr>
        <w:ind w:left="4010" w:hanging="360"/>
      </w:pPr>
    </w:lvl>
    <w:lvl w:ilvl="5" w:tplc="280A001B" w:tentative="1">
      <w:start w:val="1"/>
      <w:numFmt w:val="lowerRoman"/>
      <w:lvlText w:val="%6."/>
      <w:lvlJc w:val="right"/>
      <w:pPr>
        <w:ind w:left="4730" w:hanging="180"/>
      </w:pPr>
    </w:lvl>
    <w:lvl w:ilvl="6" w:tplc="280A000F" w:tentative="1">
      <w:start w:val="1"/>
      <w:numFmt w:val="decimal"/>
      <w:lvlText w:val="%7."/>
      <w:lvlJc w:val="left"/>
      <w:pPr>
        <w:ind w:left="5450" w:hanging="360"/>
      </w:pPr>
    </w:lvl>
    <w:lvl w:ilvl="7" w:tplc="280A0019" w:tentative="1">
      <w:start w:val="1"/>
      <w:numFmt w:val="lowerLetter"/>
      <w:lvlText w:val="%8."/>
      <w:lvlJc w:val="left"/>
      <w:pPr>
        <w:ind w:left="6170" w:hanging="360"/>
      </w:pPr>
    </w:lvl>
    <w:lvl w:ilvl="8" w:tplc="280A001B" w:tentative="1">
      <w:start w:val="1"/>
      <w:numFmt w:val="lowerRoman"/>
      <w:lvlText w:val="%9."/>
      <w:lvlJc w:val="right"/>
      <w:pPr>
        <w:ind w:left="6890" w:hanging="180"/>
      </w:pPr>
    </w:lvl>
  </w:abstractNum>
  <w:abstractNum w:abstractNumId="2" w15:restartNumberingAfterBreak="0">
    <w:nsid w:val="016A7997"/>
    <w:multiLevelType w:val="hybridMultilevel"/>
    <w:tmpl w:val="E23E1A80"/>
    <w:lvl w:ilvl="0" w:tplc="E2BCEDCA">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28F6790"/>
    <w:multiLevelType w:val="hybridMultilevel"/>
    <w:tmpl w:val="9A482A08"/>
    <w:lvl w:ilvl="0" w:tplc="C51C644C">
      <w:start w:val="1"/>
      <w:numFmt w:val="decimal"/>
      <w:lvlText w:val="%1."/>
      <w:lvlJc w:val="left"/>
      <w:pPr>
        <w:ind w:left="14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65E606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BA4451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94CA00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8B0F11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8A217D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254914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DB6B95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AFA7EC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06A04969"/>
    <w:multiLevelType w:val="hybridMultilevel"/>
    <w:tmpl w:val="21D65270"/>
    <w:lvl w:ilvl="0" w:tplc="8B3E3334">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08597E8B"/>
    <w:multiLevelType w:val="hybridMultilevel"/>
    <w:tmpl w:val="EE4A2DDA"/>
    <w:lvl w:ilvl="0" w:tplc="280A000F">
      <w:start w:val="1"/>
      <w:numFmt w:val="decimal"/>
      <w:lvlText w:val="%1."/>
      <w:lvlJc w:val="left"/>
      <w:pPr>
        <w:ind w:left="1145" w:hanging="360"/>
      </w:p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 w15:restartNumberingAfterBreak="0">
    <w:nsid w:val="0F78230D"/>
    <w:multiLevelType w:val="hybridMultilevel"/>
    <w:tmpl w:val="A88EB8D6"/>
    <w:lvl w:ilvl="0" w:tplc="280A000F">
      <w:start w:val="1"/>
      <w:numFmt w:val="decimal"/>
      <w:lvlText w:val="%1."/>
      <w:lvlJc w:val="left"/>
      <w:pPr>
        <w:ind w:left="1353"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15:restartNumberingAfterBreak="0">
    <w:nsid w:val="12B27C8E"/>
    <w:multiLevelType w:val="hybridMultilevel"/>
    <w:tmpl w:val="2C38CDC6"/>
    <w:lvl w:ilvl="0" w:tplc="B5FE7FA4">
      <w:start w:val="5"/>
      <w:numFmt w:val="decimal"/>
      <w:lvlText w:val="%1."/>
      <w:lvlJc w:val="left"/>
      <w:pPr>
        <w:ind w:left="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E06A81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D8042E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D6616D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9DC784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674AE5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D4690E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D60093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FEC277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159A5830"/>
    <w:multiLevelType w:val="hybridMultilevel"/>
    <w:tmpl w:val="F8428DEE"/>
    <w:lvl w:ilvl="0" w:tplc="21702A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47B476D"/>
    <w:multiLevelType w:val="hybridMultilevel"/>
    <w:tmpl w:val="C9C07A7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3343539D"/>
    <w:multiLevelType w:val="hybridMultilevel"/>
    <w:tmpl w:val="C4E884E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4B3168D9"/>
    <w:multiLevelType w:val="hybridMultilevel"/>
    <w:tmpl w:val="1CAAF650"/>
    <w:lvl w:ilvl="0" w:tplc="AC2E0E0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61EB50D5"/>
    <w:multiLevelType w:val="hybridMultilevel"/>
    <w:tmpl w:val="A94E99D2"/>
    <w:lvl w:ilvl="0" w:tplc="6B80706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C7C2593"/>
    <w:multiLevelType w:val="hybridMultilevel"/>
    <w:tmpl w:val="5BBE14C6"/>
    <w:lvl w:ilvl="0" w:tplc="8B3E333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245337856">
    <w:abstractNumId w:val="3"/>
  </w:num>
  <w:num w:numId="2" w16cid:durableId="195773327">
    <w:abstractNumId w:val="7"/>
  </w:num>
  <w:num w:numId="3" w16cid:durableId="313729210">
    <w:abstractNumId w:val="9"/>
  </w:num>
  <w:num w:numId="4" w16cid:durableId="1367371642">
    <w:abstractNumId w:val="13"/>
  </w:num>
  <w:num w:numId="5" w16cid:durableId="1548881822">
    <w:abstractNumId w:val="11"/>
  </w:num>
  <w:num w:numId="6" w16cid:durableId="542711943">
    <w:abstractNumId w:val="6"/>
  </w:num>
  <w:num w:numId="7" w16cid:durableId="1861315891">
    <w:abstractNumId w:val="0"/>
  </w:num>
  <w:num w:numId="8" w16cid:durableId="1586186554">
    <w:abstractNumId w:val="4"/>
  </w:num>
  <w:num w:numId="9" w16cid:durableId="1599022451">
    <w:abstractNumId w:val="12"/>
  </w:num>
  <w:num w:numId="10" w16cid:durableId="167595950">
    <w:abstractNumId w:val="2"/>
  </w:num>
  <w:num w:numId="11" w16cid:durableId="1471047970">
    <w:abstractNumId w:val="8"/>
  </w:num>
  <w:num w:numId="12" w16cid:durableId="104932647">
    <w:abstractNumId w:val="5"/>
  </w:num>
  <w:num w:numId="13" w16cid:durableId="1651983969">
    <w:abstractNumId w:val="1"/>
  </w:num>
  <w:num w:numId="14" w16cid:durableId="914777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D51"/>
    <w:rsid w:val="00000200"/>
    <w:rsid w:val="0000027C"/>
    <w:rsid w:val="00000684"/>
    <w:rsid w:val="000006ED"/>
    <w:rsid w:val="0000073E"/>
    <w:rsid w:val="000007FC"/>
    <w:rsid w:val="00000937"/>
    <w:rsid w:val="00000AFF"/>
    <w:rsid w:val="00000B5A"/>
    <w:rsid w:val="00000CB0"/>
    <w:rsid w:val="00000F1F"/>
    <w:rsid w:val="00001153"/>
    <w:rsid w:val="00001239"/>
    <w:rsid w:val="00001568"/>
    <w:rsid w:val="00001931"/>
    <w:rsid w:val="000019A9"/>
    <w:rsid w:val="0000220A"/>
    <w:rsid w:val="000023C6"/>
    <w:rsid w:val="0000259E"/>
    <w:rsid w:val="000026BB"/>
    <w:rsid w:val="00002740"/>
    <w:rsid w:val="00002B82"/>
    <w:rsid w:val="00002BEE"/>
    <w:rsid w:val="00003105"/>
    <w:rsid w:val="0000317D"/>
    <w:rsid w:val="000031DF"/>
    <w:rsid w:val="000032DC"/>
    <w:rsid w:val="0000386A"/>
    <w:rsid w:val="000038F3"/>
    <w:rsid w:val="00003B97"/>
    <w:rsid w:val="00003CA9"/>
    <w:rsid w:val="00003F1F"/>
    <w:rsid w:val="00003F69"/>
    <w:rsid w:val="0000417C"/>
    <w:rsid w:val="00004189"/>
    <w:rsid w:val="000049FC"/>
    <w:rsid w:val="00004B5C"/>
    <w:rsid w:val="00004CE3"/>
    <w:rsid w:val="00004D20"/>
    <w:rsid w:val="00004E68"/>
    <w:rsid w:val="0000529D"/>
    <w:rsid w:val="000052CF"/>
    <w:rsid w:val="0000538D"/>
    <w:rsid w:val="00005487"/>
    <w:rsid w:val="0000565C"/>
    <w:rsid w:val="00005700"/>
    <w:rsid w:val="00005844"/>
    <w:rsid w:val="000058C9"/>
    <w:rsid w:val="00005C13"/>
    <w:rsid w:val="000066BC"/>
    <w:rsid w:val="00006852"/>
    <w:rsid w:val="000069CD"/>
    <w:rsid w:val="00006AFD"/>
    <w:rsid w:val="00006C6B"/>
    <w:rsid w:val="00007053"/>
    <w:rsid w:val="0000728B"/>
    <w:rsid w:val="000072DF"/>
    <w:rsid w:val="000073AF"/>
    <w:rsid w:val="0000746A"/>
    <w:rsid w:val="00007520"/>
    <w:rsid w:val="000075F0"/>
    <w:rsid w:val="0000772F"/>
    <w:rsid w:val="00007775"/>
    <w:rsid w:val="000077FE"/>
    <w:rsid w:val="00007FB4"/>
    <w:rsid w:val="000104DF"/>
    <w:rsid w:val="00010626"/>
    <w:rsid w:val="00010741"/>
    <w:rsid w:val="0001074F"/>
    <w:rsid w:val="00010893"/>
    <w:rsid w:val="00010D2E"/>
    <w:rsid w:val="00011020"/>
    <w:rsid w:val="00011455"/>
    <w:rsid w:val="000114C4"/>
    <w:rsid w:val="00011549"/>
    <w:rsid w:val="00011787"/>
    <w:rsid w:val="000117D9"/>
    <w:rsid w:val="000117DE"/>
    <w:rsid w:val="00011A24"/>
    <w:rsid w:val="00011D4E"/>
    <w:rsid w:val="00011F6A"/>
    <w:rsid w:val="00012052"/>
    <w:rsid w:val="000122E0"/>
    <w:rsid w:val="000123C8"/>
    <w:rsid w:val="0001246E"/>
    <w:rsid w:val="000125E9"/>
    <w:rsid w:val="00012AA1"/>
    <w:rsid w:val="00012B70"/>
    <w:rsid w:val="00012D1D"/>
    <w:rsid w:val="000131F4"/>
    <w:rsid w:val="000133FC"/>
    <w:rsid w:val="000139F2"/>
    <w:rsid w:val="00013A05"/>
    <w:rsid w:val="00013A0E"/>
    <w:rsid w:val="00014053"/>
    <w:rsid w:val="0001409F"/>
    <w:rsid w:val="000140A4"/>
    <w:rsid w:val="000141FF"/>
    <w:rsid w:val="0001422A"/>
    <w:rsid w:val="000143F1"/>
    <w:rsid w:val="000145F8"/>
    <w:rsid w:val="000147AE"/>
    <w:rsid w:val="000147CE"/>
    <w:rsid w:val="00014835"/>
    <w:rsid w:val="00014B5A"/>
    <w:rsid w:val="00014B6D"/>
    <w:rsid w:val="00014D71"/>
    <w:rsid w:val="00014DB7"/>
    <w:rsid w:val="00015000"/>
    <w:rsid w:val="00015091"/>
    <w:rsid w:val="000155C3"/>
    <w:rsid w:val="000157B4"/>
    <w:rsid w:val="000157EE"/>
    <w:rsid w:val="00015AB2"/>
    <w:rsid w:val="00015B97"/>
    <w:rsid w:val="00015CC8"/>
    <w:rsid w:val="00015DDC"/>
    <w:rsid w:val="00015E40"/>
    <w:rsid w:val="00015EEA"/>
    <w:rsid w:val="000161FE"/>
    <w:rsid w:val="0001631C"/>
    <w:rsid w:val="00016574"/>
    <w:rsid w:val="000168FC"/>
    <w:rsid w:val="00016B70"/>
    <w:rsid w:val="00016CB8"/>
    <w:rsid w:val="00016FD0"/>
    <w:rsid w:val="000170AF"/>
    <w:rsid w:val="0001724D"/>
    <w:rsid w:val="000172AC"/>
    <w:rsid w:val="000172B2"/>
    <w:rsid w:val="00017568"/>
    <w:rsid w:val="0001771A"/>
    <w:rsid w:val="000177EA"/>
    <w:rsid w:val="00017CD9"/>
    <w:rsid w:val="0002000B"/>
    <w:rsid w:val="000202FD"/>
    <w:rsid w:val="00020427"/>
    <w:rsid w:val="00020B48"/>
    <w:rsid w:val="00020E8B"/>
    <w:rsid w:val="00020EDE"/>
    <w:rsid w:val="000211A5"/>
    <w:rsid w:val="0002126A"/>
    <w:rsid w:val="000213EE"/>
    <w:rsid w:val="00021517"/>
    <w:rsid w:val="000216FF"/>
    <w:rsid w:val="000218CE"/>
    <w:rsid w:val="0002194D"/>
    <w:rsid w:val="000219B4"/>
    <w:rsid w:val="00021DFE"/>
    <w:rsid w:val="00021EAF"/>
    <w:rsid w:val="00021F7C"/>
    <w:rsid w:val="00021FAB"/>
    <w:rsid w:val="0002241D"/>
    <w:rsid w:val="00022677"/>
    <w:rsid w:val="00022683"/>
    <w:rsid w:val="0002278B"/>
    <w:rsid w:val="00022790"/>
    <w:rsid w:val="00022969"/>
    <w:rsid w:val="000229C0"/>
    <w:rsid w:val="00022A36"/>
    <w:rsid w:val="00022A6B"/>
    <w:rsid w:val="00022AE2"/>
    <w:rsid w:val="00022F37"/>
    <w:rsid w:val="00022F81"/>
    <w:rsid w:val="00022F94"/>
    <w:rsid w:val="00023426"/>
    <w:rsid w:val="0002353C"/>
    <w:rsid w:val="0002362A"/>
    <w:rsid w:val="000238B8"/>
    <w:rsid w:val="000238F6"/>
    <w:rsid w:val="00023903"/>
    <w:rsid w:val="00023A31"/>
    <w:rsid w:val="00023A84"/>
    <w:rsid w:val="00023CE4"/>
    <w:rsid w:val="00023CF6"/>
    <w:rsid w:val="000240A0"/>
    <w:rsid w:val="0002413A"/>
    <w:rsid w:val="00024142"/>
    <w:rsid w:val="000241A7"/>
    <w:rsid w:val="0002431A"/>
    <w:rsid w:val="00024380"/>
    <w:rsid w:val="00024429"/>
    <w:rsid w:val="000247EB"/>
    <w:rsid w:val="00024A2B"/>
    <w:rsid w:val="00024A34"/>
    <w:rsid w:val="00024BC1"/>
    <w:rsid w:val="00024BD4"/>
    <w:rsid w:val="00024C31"/>
    <w:rsid w:val="00024C99"/>
    <w:rsid w:val="00024D6A"/>
    <w:rsid w:val="00024FBB"/>
    <w:rsid w:val="00025223"/>
    <w:rsid w:val="000254FB"/>
    <w:rsid w:val="000255BE"/>
    <w:rsid w:val="000256EF"/>
    <w:rsid w:val="0002582A"/>
    <w:rsid w:val="00025B6D"/>
    <w:rsid w:val="00025BCC"/>
    <w:rsid w:val="00025DB7"/>
    <w:rsid w:val="00025E65"/>
    <w:rsid w:val="000262ED"/>
    <w:rsid w:val="0002630D"/>
    <w:rsid w:val="000267E0"/>
    <w:rsid w:val="00026A39"/>
    <w:rsid w:val="00026A58"/>
    <w:rsid w:val="00026AD1"/>
    <w:rsid w:val="00026B78"/>
    <w:rsid w:val="00026C0F"/>
    <w:rsid w:val="00026F03"/>
    <w:rsid w:val="0002739D"/>
    <w:rsid w:val="000274B2"/>
    <w:rsid w:val="0002755B"/>
    <w:rsid w:val="0002759F"/>
    <w:rsid w:val="00027839"/>
    <w:rsid w:val="000278C8"/>
    <w:rsid w:val="000278FB"/>
    <w:rsid w:val="00027A50"/>
    <w:rsid w:val="00027AB8"/>
    <w:rsid w:val="00027AC8"/>
    <w:rsid w:val="00027BE8"/>
    <w:rsid w:val="00027DC5"/>
    <w:rsid w:val="00027DFA"/>
    <w:rsid w:val="00030129"/>
    <w:rsid w:val="00030175"/>
    <w:rsid w:val="0003022A"/>
    <w:rsid w:val="00030471"/>
    <w:rsid w:val="000306B7"/>
    <w:rsid w:val="000307F6"/>
    <w:rsid w:val="0003087E"/>
    <w:rsid w:val="000309B4"/>
    <w:rsid w:val="00030FF5"/>
    <w:rsid w:val="00031075"/>
    <w:rsid w:val="00031206"/>
    <w:rsid w:val="0003124B"/>
    <w:rsid w:val="000314B8"/>
    <w:rsid w:val="000315F1"/>
    <w:rsid w:val="000316A3"/>
    <w:rsid w:val="000317C0"/>
    <w:rsid w:val="000320BB"/>
    <w:rsid w:val="000321E2"/>
    <w:rsid w:val="0003224A"/>
    <w:rsid w:val="0003244C"/>
    <w:rsid w:val="000326C3"/>
    <w:rsid w:val="000329AE"/>
    <w:rsid w:val="00032A49"/>
    <w:rsid w:val="00032FF2"/>
    <w:rsid w:val="00032FF8"/>
    <w:rsid w:val="0003308E"/>
    <w:rsid w:val="00033093"/>
    <w:rsid w:val="00033343"/>
    <w:rsid w:val="00033450"/>
    <w:rsid w:val="0003365D"/>
    <w:rsid w:val="0003373A"/>
    <w:rsid w:val="00033756"/>
    <w:rsid w:val="00033945"/>
    <w:rsid w:val="00033977"/>
    <w:rsid w:val="00033ABC"/>
    <w:rsid w:val="00033B6E"/>
    <w:rsid w:val="00034377"/>
    <w:rsid w:val="000343D8"/>
    <w:rsid w:val="0003442F"/>
    <w:rsid w:val="0003473B"/>
    <w:rsid w:val="0003473D"/>
    <w:rsid w:val="000349F9"/>
    <w:rsid w:val="00035123"/>
    <w:rsid w:val="00035209"/>
    <w:rsid w:val="0003592D"/>
    <w:rsid w:val="00035A3E"/>
    <w:rsid w:val="00035A75"/>
    <w:rsid w:val="00035E3C"/>
    <w:rsid w:val="00035FDD"/>
    <w:rsid w:val="000363A1"/>
    <w:rsid w:val="00036473"/>
    <w:rsid w:val="000365FC"/>
    <w:rsid w:val="000368F0"/>
    <w:rsid w:val="00036983"/>
    <w:rsid w:val="000369BA"/>
    <w:rsid w:val="00036D23"/>
    <w:rsid w:val="00036EF4"/>
    <w:rsid w:val="0003713F"/>
    <w:rsid w:val="00037147"/>
    <w:rsid w:val="00037322"/>
    <w:rsid w:val="0003738E"/>
    <w:rsid w:val="000375BB"/>
    <w:rsid w:val="000376F7"/>
    <w:rsid w:val="000377BB"/>
    <w:rsid w:val="00037871"/>
    <w:rsid w:val="000379D8"/>
    <w:rsid w:val="00037C00"/>
    <w:rsid w:val="00037E8A"/>
    <w:rsid w:val="00037FA7"/>
    <w:rsid w:val="00040113"/>
    <w:rsid w:val="000403B2"/>
    <w:rsid w:val="000405B1"/>
    <w:rsid w:val="000406CC"/>
    <w:rsid w:val="00040821"/>
    <w:rsid w:val="00040CDE"/>
    <w:rsid w:val="00040D5C"/>
    <w:rsid w:val="00040D83"/>
    <w:rsid w:val="00040E43"/>
    <w:rsid w:val="000412CA"/>
    <w:rsid w:val="00041352"/>
    <w:rsid w:val="000414F5"/>
    <w:rsid w:val="0004154E"/>
    <w:rsid w:val="00041836"/>
    <w:rsid w:val="00041C0C"/>
    <w:rsid w:val="00041C7C"/>
    <w:rsid w:val="00041D69"/>
    <w:rsid w:val="00041E02"/>
    <w:rsid w:val="000420D8"/>
    <w:rsid w:val="0004223D"/>
    <w:rsid w:val="000422DE"/>
    <w:rsid w:val="00042436"/>
    <w:rsid w:val="000425D7"/>
    <w:rsid w:val="000428DD"/>
    <w:rsid w:val="000428F6"/>
    <w:rsid w:val="00042A32"/>
    <w:rsid w:val="00042ACC"/>
    <w:rsid w:val="00042F51"/>
    <w:rsid w:val="0004313B"/>
    <w:rsid w:val="0004381C"/>
    <w:rsid w:val="0004385C"/>
    <w:rsid w:val="0004399D"/>
    <w:rsid w:val="00043BD3"/>
    <w:rsid w:val="00043F44"/>
    <w:rsid w:val="00043F94"/>
    <w:rsid w:val="00043F9F"/>
    <w:rsid w:val="00044062"/>
    <w:rsid w:val="0004449B"/>
    <w:rsid w:val="0004456C"/>
    <w:rsid w:val="000446D8"/>
    <w:rsid w:val="000448AA"/>
    <w:rsid w:val="00044994"/>
    <w:rsid w:val="00044F09"/>
    <w:rsid w:val="00044F1A"/>
    <w:rsid w:val="000451E5"/>
    <w:rsid w:val="00045283"/>
    <w:rsid w:val="000454C0"/>
    <w:rsid w:val="000455BA"/>
    <w:rsid w:val="00045652"/>
    <w:rsid w:val="0004566C"/>
    <w:rsid w:val="000456FE"/>
    <w:rsid w:val="00045F15"/>
    <w:rsid w:val="0004627D"/>
    <w:rsid w:val="000463AF"/>
    <w:rsid w:val="000463E1"/>
    <w:rsid w:val="00046577"/>
    <w:rsid w:val="00046580"/>
    <w:rsid w:val="000466CB"/>
    <w:rsid w:val="00046BFC"/>
    <w:rsid w:val="00046D2F"/>
    <w:rsid w:val="00046DB3"/>
    <w:rsid w:val="00047267"/>
    <w:rsid w:val="0004726A"/>
    <w:rsid w:val="000472C2"/>
    <w:rsid w:val="000472D1"/>
    <w:rsid w:val="00047361"/>
    <w:rsid w:val="0004752C"/>
    <w:rsid w:val="00047816"/>
    <w:rsid w:val="0004797F"/>
    <w:rsid w:val="00047A3E"/>
    <w:rsid w:val="00047ADA"/>
    <w:rsid w:val="00047EDE"/>
    <w:rsid w:val="00047FE3"/>
    <w:rsid w:val="0005071C"/>
    <w:rsid w:val="00050B0F"/>
    <w:rsid w:val="00050C53"/>
    <w:rsid w:val="00051135"/>
    <w:rsid w:val="00051303"/>
    <w:rsid w:val="0005133C"/>
    <w:rsid w:val="00051503"/>
    <w:rsid w:val="0005156B"/>
    <w:rsid w:val="000515D7"/>
    <w:rsid w:val="000516EA"/>
    <w:rsid w:val="0005198C"/>
    <w:rsid w:val="000519C1"/>
    <w:rsid w:val="00051B2E"/>
    <w:rsid w:val="00051D5C"/>
    <w:rsid w:val="00051E4D"/>
    <w:rsid w:val="00051EFD"/>
    <w:rsid w:val="000520A2"/>
    <w:rsid w:val="000521AB"/>
    <w:rsid w:val="00052390"/>
    <w:rsid w:val="000525F2"/>
    <w:rsid w:val="000525F7"/>
    <w:rsid w:val="00052640"/>
    <w:rsid w:val="00052654"/>
    <w:rsid w:val="00052695"/>
    <w:rsid w:val="0005282E"/>
    <w:rsid w:val="000528D6"/>
    <w:rsid w:val="000529B0"/>
    <w:rsid w:val="00052C9C"/>
    <w:rsid w:val="00052E0D"/>
    <w:rsid w:val="00052E8F"/>
    <w:rsid w:val="00052F3C"/>
    <w:rsid w:val="00053154"/>
    <w:rsid w:val="00053366"/>
    <w:rsid w:val="00053372"/>
    <w:rsid w:val="000534DB"/>
    <w:rsid w:val="0005364E"/>
    <w:rsid w:val="00053984"/>
    <w:rsid w:val="000539BB"/>
    <w:rsid w:val="000539BC"/>
    <w:rsid w:val="00053AFC"/>
    <w:rsid w:val="00053BD5"/>
    <w:rsid w:val="00053DEE"/>
    <w:rsid w:val="00053FBA"/>
    <w:rsid w:val="000541B3"/>
    <w:rsid w:val="000543A3"/>
    <w:rsid w:val="000544E4"/>
    <w:rsid w:val="000547AA"/>
    <w:rsid w:val="000547DB"/>
    <w:rsid w:val="00054A5B"/>
    <w:rsid w:val="00054B55"/>
    <w:rsid w:val="00054BAC"/>
    <w:rsid w:val="00054CA3"/>
    <w:rsid w:val="00054D5E"/>
    <w:rsid w:val="000551C7"/>
    <w:rsid w:val="00055214"/>
    <w:rsid w:val="00055397"/>
    <w:rsid w:val="00055477"/>
    <w:rsid w:val="000556EA"/>
    <w:rsid w:val="00055A04"/>
    <w:rsid w:val="00055D53"/>
    <w:rsid w:val="0005666A"/>
    <w:rsid w:val="00056A19"/>
    <w:rsid w:val="00056AC6"/>
    <w:rsid w:val="00056B3A"/>
    <w:rsid w:val="00056B88"/>
    <w:rsid w:val="00056D33"/>
    <w:rsid w:val="00056D4E"/>
    <w:rsid w:val="00056E8B"/>
    <w:rsid w:val="000570B2"/>
    <w:rsid w:val="0005710C"/>
    <w:rsid w:val="000571F3"/>
    <w:rsid w:val="000573A0"/>
    <w:rsid w:val="00057552"/>
    <w:rsid w:val="000575E3"/>
    <w:rsid w:val="00057835"/>
    <w:rsid w:val="000579D0"/>
    <w:rsid w:val="00057BF4"/>
    <w:rsid w:val="0006008F"/>
    <w:rsid w:val="000600F2"/>
    <w:rsid w:val="00060145"/>
    <w:rsid w:val="00060865"/>
    <w:rsid w:val="00060878"/>
    <w:rsid w:val="00060AA2"/>
    <w:rsid w:val="00060C24"/>
    <w:rsid w:val="00060D97"/>
    <w:rsid w:val="00060EF0"/>
    <w:rsid w:val="00060F0A"/>
    <w:rsid w:val="00060F27"/>
    <w:rsid w:val="00060FE5"/>
    <w:rsid w:val="00060FED"/>
    <w:rsid w:val="0006115A"/>
    <w:rsid w:val="000612E0"/>
    <w:rsid w:val="000613C5"/>
    <w:rsid w:val="000616B2"/>
    <w:rsid w:val="00061711"/>
    <w:rsid w:val="00061726"/>
    <w:rsid w:val="00061742"/>
    <w:rsid w:val="00061824"/>
    <w:rsid w:val="0006195E"/>
    <w:rsid w:val="00061C70"/>
    <w:rsid w:val="00061D08"/>
    <w:rsid w:val="00061D3C"/>
    <w:rsid w:val="00061F9D"/>
    <w:rsid w:val="00061FCE"/>
    <w:rsid w:val="0006204E"/>
    <w:rsid w:val="000621CD"/>
    <w:rsid w:val="00062989"/>
    <w:rsid w:val="00062EC7"/>
    <w:rsid w:val="00062F99"/>
    <w:rsid w:val="0006325C"/>
    <w:rsid w:val="00063323"/>
    <w:rsid w:val="0006353A"/>
    <w:rsid w:val="00063A79"/>
    <w:rsid w:val="00063E5B"/>
    <w:rsid w:val="0006408E"/>
    <w:rsid w:val="000640A9"/>
    <w:rsid w:val="0006448F"/>
    <w:rsid w:val="00064538"/>
    <w:rsid w:val="000645D2"/>
    <w:rsid w:val="00064679"/>
    <w:rsid w:val="00064736"/>
    <w:rsid w:val="000648EA"/>
    <w:rsid w:val="00064D3B"/>
    <w:rsid w:val="00064F44"/>
    <w:rsid w:val="0006520F"/>
    <w:rsid w:val="0006563C"/>
    <w:rsid w:val="000656EE"/>
    <w:rsid w:val="000656F2"/>
    <w:rsid w:val="00065924"/>
    <w:rsid w:val="00065956"/>
    <w:rsid w:val="00065AF3"/>
    <w:rsid w:val="00065D14"/>
    <w:rsid w:val="00065EAB"/>
    <w:rsid w:val="00065F22"/>
    <w:rsid w:val="00066023"/>
    <w:rsid w:val="00066345"/>
    <w:rsid w:val="00066537"/>
    <w:rsid w:val="000665C1"/>
    <w:rsid w:val="000669BF"/>
    <w:rsid w:val="00066D03"/>
    <w:rsid w:val="00066EE4"/>
    <w:rsid w:val="000671E8"/>
    <w:rsid w:val="0006748B"/>
    <w:rsid w:val="000674E6"/>
    <w:rsid w:val="0006765C"/>
    <w:rsid w:val="000677C3"/>
    <w:rsid w:val="000679EE"/>
    <w:rsid w:val="00067D39"/>
    <w:rsid w:val="00070062"/>
    <w:rsid w:val="000704BB"/>
    <w:rsid w:val="000705E9"/>
    <w:rsid w:val="00070763"/>
    <w:rsid w:val="00070795"/>
    <w:rsid w:val="000707AE"/>
    <w:rsid w:val="00070D39"/>
    <w:rsid w:val="00070EC3"/>
    <w:rsid w:val="000711A9"/>
    <w:rsid w:val="000711CE"/>
    <w:rsid w:val="000712BF"/>
    <w:rsid w:val="000714AA"/>
    <w:rsid w:val="000715B7"/>
    <w:rsid w:val="00071698"/>
    <w:rsid w:val="000718A2"/>
    <w:rsid w:val="000718C0"/>
    <w:rsid w:val="00071A67"/>
    <w:rsid w:val="00071A7C"/>
    <w:rsid w:val="00071CC3"/>
    <w:rsid w:val="0007202B"/>
    <w:rsid w:val="000721F7"/>
    <w:rsid w:val="0007223D"/>
    <w:rsid w:val="000723F3"/>
    <w:rsid w:val="0007263B"/>
    <w:rsid w:val="00072649"/>
    <w:rsid w:val="00072974"/>
    <w:rsid w:val="000729C4"/>
    <w:rsid w:val="00072A70"/>
    <w:rsid w:val="00072B66"/>
    <w:rsid w:val="00072CC3"/>
    <w:rsid w:val="00072D45"/>
    <w:rsid w:val="00072D77"/>
    <w:rsid w:val="000730B1"/>
    <w:rsid w:val="000731CF"/>
    <w:rsid w:val="000736B5"/>
    <w:rsid w:val="00073C8B"/>
    <w:rsid w:val="00073C90"/>
    <w:rsid w:val="00073FB4"/>
    <w:rsid w:val="00074261"/>
    <w:rsid w:val="00074313"/>
    <w:rsid w:val="000743F4"/>
    <w:rsid w:val="00074739"/>
    <w:rsid w:val="000748D2"/>
    <w:rsid w:val="00074CDD"/>
    <w:rsid w:val="00074EC4"/>
    <w:rsid w:val="00074F53"/>
    <w:rsid w:val="00075135"/>
    <w:rsid w:val="00075157"/>
    <w:rsid w:val="00075354"/>
    <w:rsid w:val="000754A0"/>
    <w:rsid w:val="0007607A"/>
    <w:rsid w:val="000762C2"/>
    <w:rsid w:val="0007639A"/>
    <w:rsid w:val="0007643C"/>
    <w:rsid w:val="0007660B"/>
    <w:rsid w:val="00076611"/>
    <w:rsid w:val="0007695C"/>
    <w:rsid w:val="00076A5F"/>
    <w:rsid w:val="00076BAF"/>
    <w:rsid w:val="00076BD5"/>
    <w:rsid w:val="00076E36"/>
    <w:rsid w:val="00076EAA"/>
    <w:rsid w:val="00076FA4"/>
    <w:rsid w:val="00077311"/>
    <w:rsid w:val="000773D8"/>
    <w:rsid w:val="0007749F"/>
    <w:rsid w:val="000775C9"/>
    <w:rsid w:val="000778B6"/>
    <w:rsid w:val="00077910"/>
    <w:rsid w:val="0007794E"/>
    <w:rsid w:val="00077C42"/>
    <w:rsid w:val="00077D60"/>
    <w:rsid w:val="00077DBE"/>
    <w:rsid w:val="000800E0"/>
    <w:rsid w:val="0008013F"/>
    <w:rsid w:val="00080202"/>
    <w:rsid w:val="00080522"/>
    <w:rsid w:val="00080636"/>
    <w:rsid w:val="000807AB"/>
    <w:rsid w:val="00080C38"/>
    <w:rsid w:val="00080CB3"/>
    <w:rsid w:val="00080CE7"/>
    <w:rsid w:val="00081029"/>
    <w:rsid w:val="000815F5"/>
    <w:rsid w:val="00081894"/>
    <w:rsid w:val="00081AB3"/>
    <w:rsid w:val="00081BC1"/>
    <w:rsid w:val="00081EE0"/>
    <w:rsid w:val="00082184"/>
    <w:rsid w:val="000821AD"/>
    <w:rsid w:val="0008221B"/>
    <w:rsid w:val="000825EB"/>
    <w:rsid w:val="00082988"/>
    <w:rsid w:val="00082BA0"/>
    <w:rsid w:val="00082CD8"/>
    <w:rsid w:val="00082E1B"/>
    <w:rsid w:val="0008346E"/>
    <w:rsid w:val="00083622"/>
    <w:rsid w:val="00083857"/>
    <w:rsid w:val="000838EA"/>
    <w:rsid w:val="00083C8A"/>
    <w:rsid w:val="00083E56"/>
    <w:rsid w:val="0008401B"/>
    <w:rsid w:val="000842A0"/>
    <w:rsid w:val="000843DA"/>
    <w:rsid w:val="00084701"/>
    <w:rsid w:val="00084A87"/>
    <w:rsid w:val="00084B14"/>
    <w:rsid w:val="00084C62"/>
    <w:rsid w:val="00084D90"/>
    <w:rsid w:val="00084E9C"/>
    <w:rsid w:val="00084ECB"/>
    <w:rsid w:val="00084EE1"/>
    <w:rsid w:val="000850FB"/>
    <w:rsid w:val="0008562C"/>
    <w:rsid w:val="0008594F"/>
    <w:rsid w:val="00085DB1"/>
    <w:rsid w:val="00085E95"/>
    <w:rsid w:val="000863F1"/>
    <w:rsid w:val="0008653C"/>
    <w:rsid w:val="00086669"/>
    <w:rsid w:val="00086847"/>
    <w:rsid w:val="00086898"/>
    <w:rsid w:val="00086959"/>
    <w:rsid w:val="00086CE5"/>
    <w:rsid w:val="00086FFF"/>
    <w:rsid w:val="000874B5"/>
    <w:rsid w:val="00087500"/>
    <w:rsid w:val="0008777D"/>
    <w:rsid w:val="00087826"/>
    <w:rsid w:val="00087848"/>
    <w:rsid w:val="000878ED"/>
    <w:rsid w:val="000878FD"/>
    <w:rsid w:val="00087977"/>
    <w:rsid w:val="00087C7A"/>
    <w:rsid w:val="00087D69"/>
    <w:rsid w:val="00087EE7"/>
    <w:rsid w:val="00090042"/>
    <w:rsid w:val="000901F2"/>
    <w:rsid w:val="00090212"/>
    <w:rsid w:val="000903F5"/>
    <w:rsid w:val="00090424"/>
    <w:rsid w:val="000904F1"/>
    <w:rsid w:val="00090550"/>
    <w:rsid w:val="000906AE"/>
    <w:rsid w:val="000908B3"/>
    <w:rsid w:val="000908DE"/>
    <w:rsid w:val="00090AC4"/>
    <w:rsid w:val="00090D18"/>
    <w:rsid w:val="00090E6B"/>
    <w:rsid w:val="00090E75"/>
    <w:rsid w:val="000910FB"/>
    <w:rsid w:val="00091266"/>
    <w:rsid w:val="000912CF"/>
    <w:rsid w:val="000914B5"/>
    <w:rsid w:val="000916C7"/>
    <w:rsid w:val="000917F9"/>
    <w:rsid w:val="0009188E"/>
    <w:rsid w:val="00091AA4"/>
    <w:rsid w:val="00091BB6"/>
    <w:rsid w:val="00091C17"/>
    <w:rsid w:val="00091DF2"/>
    <w:rsid w:val="00092331"/>
    <w:rsid w:val="0009258F"/>
    <w:rsid w:val="000925A5"/>
    <w:rsid w:val="00092771"/>
    <w:rsid w:val="00092B9E"/>
    <w:rsid w:val="00093060"/>
    <w:rsid w:val="000931AF"/>
    <w:rsid w:val="00093333"/>
    <w:rsid w:val="00093372"/>
    <w:rsid w:val="00093691"/>
    <w:rsid w:val="00093B7B"/>
    <w:rsid w:val="0009419F"/>
    <w:rsid w:val="0009440A"/>
    <w:rsid w:val="000944CF"/>
    <w:rsid w:val="0009454C"/>
    <w:rsid w:val="00094564"/>
    <w:rsid w:val="00094824"/>
    <w:rsid w:val="00094A7D"/>
    <w:rsid w:val="00094B50"/>
    <w:rsid w:val="00094BE1"/>
    <w:rsid w:val="00094D28"/>
    <w:rsid w:val="00094E0C"/>
    <w:rsid w:val="00094E68"/>
    <w:rsid w:val="00094F3D"/>
    <w:rsid w:val="000952A1"/>
    <w:rsid w:val="00095566"/>
    <w:rsid w:val="000958C8"/>
    <w:rsid w:val="00095989"/>
    <w:rsid w:val="00095B3D"/>
    <w:rsid w:val="00095C8A"/>
    <w:rsid w:val="000961AA"/>
    <w:rsid w:val="000961FD"/>
    <w:rsid w:val="00096263"/>
    <w:rsid w:val="0009630C"/>
    <w:rsid w:val="000969B0"/>
    <w:rsid w:val="000969EE"/>
    <w:rsid w:val="00096A72"/>
    <w:rsid w:val="00096B2C"/>
    <w:rsid w:val="00096CD4"/>
    <w:rsid w:val="00096E56"/>
    <w:rsid w:val="000970D0"/>
    <w:rsid w:val="00097231"/>
    <w:rsid w:val="00097361"/>
    <w:rsid w:val="00097394"/>
    <w:rsid w:val="0009740E"/>
    <w:rsid w:val="000974EA"/>
    <w:rsid w:val="000976E9"/>
    <w:rsid w:val="00097B71"/>
    <w:rsid w:val="00097D6E"/>
    <w:rsid w:val="00097EB6"/>
    <w:rsid w:val="000A0029"/>
    <w:rsid w:val="000A03DF"/>
    <w:rsid w:val="000A047E"/>
    <w:rsid w:val="000A07A0"/>
    <w:rsid w:val="000A0D57"/>
    <w:rsid w:val="000A0F0C"/>
    <w:rsid w:val="000A1038"/>
    <w:rsid w:val="000A11B1"/>
    <w:rsid w:val="000A131F"/>
    <w:rsid w:val="000A14F2"/>
    <w:rsid w:val="000A1577"/>
    <w:rsid w:val="000A16C8"/>
    <w:rsid w:val="000A180E"/>
    <w:rsid w:val="000A1A44"/>
    <w:rsid w:val="000A1AFB"/>
    <w:rsid w:val="000A1B5E"/>
    <w:rsid w:val="000A1CB2"/>
    <w:rsid w:val="000A1D96"/>
    <w:rsid w:val="000A1E42"/>
    <w:rsid w:val="000A1EE2"/>
    <w:rsid w:val="000A214F"/>
    <w:rsid w:val="000A22FD"/>
    <w:rsid w:val="000A23A7"/>
    <w:rsid w:val="000A23B7"/>
    <w:rsid w:val="000A24EC"/>
    <w:rsid w:val="000A259F"/>
    <w:rsid w:val="000A25A5"/>
    <w:rsid w:val="000A25E5"/>
    <w:rsid w:val="000A27F0"/>
    <w:rsid w:val="000A2810"/>
    <w:rsid w:val="000A299E"/>
    <w:rsid w:val="000A29F7"/>
    <w:rsid w:val="000A2AA4"/>
    <w:rsid w:val="000A2AA6"/>
    <w:rsid w:val="000A2CBD"/>
    <w:rsid w:val="000A2FF2"/>
    <w:rsid w:val="000A3223"/>
    <w:rsid w:val="000A3AE4"/>
    <w:rsid w:val="000A3BFC"/>
    <w:rsid w:val="000A4E3B"/>
    <w:rsid w:val="000A5083"/>
    <w:rsid w:val="000A5172"/>
    <w:rsid w:val="000A57B4"/>
    <w:rsid w:val="000A5887"/>
    <w:rsid w:val="000A5A8E"/>
    <w:rsid w:val="000A5B32"/>
    <w:rsid w:val="000A5C1C"/>
    <w:rsid w:val="000A5D69"/>
    <w:rsid w:val="000A61E1"/>
    <w:rsid w:val="000A6287"/>
    <w:rsid w:val="000A6558"/>
    <w:rsid w:val="000A65BC"/>
    <w:rsid w:val="000A6639"/>
    <w:rsid w:val="000A676E"/>
    <w:rsid w:val="000A6A1E"/>
    <w:rsid w:val="000A6A23"/>
    <w:rsid w:val="000A6BB3"/>
    <w:rsid w:val="000A6BCD"/>
    <w:rsid w:val="000A6D11"/>
    <w:rsid w:val="000A6DF4"/>
    <w:rsid w:val="000A701C"/>
    <w:rsid w:val="000A71A0"/>
    <w:rsid w:val="000A7489"/>
    <w:rsid w:val="000A7596"/>
    <w:rsid w:val="000A76A7"/>
    <w:rsid w:val="000A76CB"/>
    <w:rsid w:val="000A788B"/>
    <w:rsid w:val="000A7FEE"/>
    <w:rsid w:val="000B0000"/>
    <w:rsid w:val="000B0525"/>
    <w:rsid w:val="000B0A18"/>
    <w:rsid w:val="000B0AA7"/>
    <w:rsid w:val="000B0DB1"/>
    <w:rsid w:val="000B1077"/>
    <w:rsid w:val="000B1171"/>
    <w:rsid w:val="000B14EF"/>
    <w:rsid w:val="000B1546"/>
    <w:rsid w:val="000B1DA9"/>
    <w:rsid w:val="000B1EAC"/>
    <w:rsid w:val="000B1F93"/>
    <w:rsid w:val="000B2151"/>
    <w:rsid w:val="000B26BA"/>
    <w:rsid w:val="000B26DC"/>
    <w:rsid w:val="000B279E"/>
    <w:rsid w:val="000B2A1B"/>
    <w:rsid w:val="000B2D39"/>
    <w:rsid w:val="000B2E9C"/>
    <w:rsid w:val="000B2F7F"/>
    <w:rsid w:val="000B311C"/>
    <w:rsid w:val="000B31C2"/>
    <w:rsid w:val="000B3456"/>
    <w:rsid w:val="000B3751"/>
    <w:rsid w:val="000B37B8"/>
    <w:rsid w:val="000B37D4"/>
    <w:rsid w:val="000B3807"/>
    <w:rsid w:val="000B3AA0"/>
    <w:rsid w:val="000B3C1C"/>
    <w:rsid w:val="000B3CD0"/>
    <w:rsid w:val="000B3CE0"/>
    <w:rsid w:val="000B3D59"/>
    <w:rsid w:val="000B3E31"/>
    <w:rsid w:val="000B3E38"/>
    <w:rsid w:val="000B4025"/>
    <w:rsid w:val="000B42CC"/>
    <w:rsid w:val="000B4325"/>
    <w:rsid w:val="000B4491"/>
    <w:rsid w:val="000B45AA"/>
    <w:rsid w:val="000B4695"/>
    <w:rsid w:val="000B4721"/>
    <w:rsid w:val="000B4742"/>
    <w:rsid w:val="000B47A8"/>
    <w:rsid w:val="000B47F1"/>
    <w:rsid w:val="000B4BF5"/>
    <w:rsid w:val="000B4CC2"/>
    <w:rsid w:val="000B4EE4"/>
    <w:rsid w:val="000B4F78"/>
    <w:rsid w:val="000B514D"/>
    <w:rsid w:val="000B51C7"/>
    <w:rsid w:val="000B520F"/>
    <w:rsid w:val="000B5570"/>
    <w:rsid w:val="000B55B0"/>
    <w:rsid w:val="000B577A"/>
    <w:rsid w:val="000B5812"/>
    <w:rsid w:val="000B5CD2"/>
    <w:rsid w:val="000B5FFA"/>
    <w:rsid w:val="000B6163"/>
    <w:rsid w:val="000B6416"/>
    <w:rsid w:val="000B6592"/>
    <w:rsid w:val="000B6608"/>
    <w:rsid w:val="000B66F5"/>
    <w:rsid w:val="000B681F"/>
    <w:rsid w:val="000B682D"/>
    <w:rsid w:val="000B68B4"/>
    <w:rsid w:val="000B6938"/>
    <w:rsid w:val="000B6A87"/>
    <w:rsid w:val="000B733E"/>
    <w:rsid w:val="000B73B2"/>
    <w:rsid w:val="000B7424"/>
    <w:rsid w:val="000B786B"/>
    <w:rsid w:val="000B78D2"/>
    <w:rsid w:val="000B7960"/>
    <w:rsid w:val="000B7982"/>
    <w:rsid w:val="000B7B03"/>
    <w:rsid w:val="000B7B5E"/>
    <w:rsid w:val="000B7DEA"/>
    <w:rsid w:val="000B7EC0"/>
    <w:rsid w:val="000C0365"/>
    <w:rsid w:val="000C0409"/>
    <w:rsid w:val="000C06B8"/>
    <w:rsid w:val="000C07D1"/>
    <w:rsid w:val="000C0BDB"/>
    <w:rsid w:val="000C0BF4"/>
    <w:rsid w:val="000C0D2D"/>
    <w:rsid w:val="000C0ED4"/>
    <w:rsid w:val="000C12D6"/>
    <w:rsid w:val="000C168F"/>
    <w:rsid w:val="000C1810"/>
    <w:rsid w:val="000C1A9A"/>
    <w:rsid w:val="000C1C5D"/>
    <w:rsid w:val="000C1C64"/>
    <w:rsid w:val="000C1E31"/>
    <w:rsid w:val="000C1F62"/>
    <w:rsid w:val="000C1FFC"/>
    <w:rsid w:val="000C20FA"/>
    <w:rsid w:val="000C219D"/>
    <w:rsid w:val="000C2424"/>
    <w:rsid w:val="000C243E"/>
    <w:rsid w:val="000C24C6"/>
    <w:rsid w:val="000C2674"/>
    <w:rsid w:val="000C3161"/>
    <w:rsid w:val="000C33C0"/>
    <w:rsid w:val="000C3482"/>
    <w:rsid w:val="000C36B1"/>
    <w:rsid w:val="000C3AF8"/>
    <w:rsid w:val="000C3C32"/>
    <w:rsid w:val="000C3CB9"/>
    <w:rsid w:val="000C3CD5"/>
    <w:rsid w:val="000C3DB7"/>
    <w:rsid w:val="000C400F"/>
    <w:rsid w:val="000C42F1"/>
    <w:rsid w:val="000C43D5"/>
    <w:rsid w:val="000C4B03"/>
    <w:rsid w:val="000C4CF2"/>
    <w:rsid w:val="000C502A"/>
    <w:rsid w:val="000C502C"/>
    <w:rsid w:val="000C5031"/>
    <w:rsid w:val="000C50AD"/>
    <w:rsid w:val="000C515E"/>
    <w:rsid w:val="000C51C4"/>
    <w:rsid w:val="000C5675"/>
    <w:rsid w:val="000C57C9"/>
    <w:rsid w:val="000C59BB"/>
    <w:rsid w:val="000C59C4"/>
    <w:rsid w:val="000C5D57"/>
    <w:rsid w:val="000C5ECF"/>
    <w:rsid w:val="000C5ED2"/>
    <w:rsid w:val="000C5FF1"/>
    <w:rsid w:val="000C60C4"/>
    <w:rsid w:val="000C6167"/>
    <w:rsid w:val="000C61B9"/>
    <w:rsid w:val="000C630D"/>
    <w:rsid w:val="000C644D"/>
    <w:rsid w:val="000C670A"/>
    <w:rsid w:val="000C6763"/>
    <w:rsid w:val="000C68A0"/>
    <w:rsid w:val="000C694A"/>
    <w:rsid w:val="000C6B84"/>
    <w:rsid w:val="000C6CEF"/>
    <w:rsid w:val="000C7006"/>
    <w:rsid w:val="000C708E"/>
    <w:rsid w:val="000C70AC"/>
    <w:rsid w:val="000C70E1"/>
    <w:rsid w:val="000C7181"/>
    <w:rsid w:val="000C71E1"/>
    <w:rsid w:val="000C73F3"/>
    <w:rsid w:val="000C74A8"/>
    <w:rsid w:val="000C75B6"/>
    <w:rsid w:val="000C78AB"/>
    <w:rsid w:val="000C79AE"/>
    <w:rsid w:val="000C7A32"/>
    <w:rsid w:val="000C7BF2"/>
    <w:rsid w:val="000C7C69"/>
    <w:rsid w:val="000C7D4A"/>
    <w:rsid w:val="000C7FF6"/>
    <w:rsid w:val="000D00B1"/>
    <w:rsid w:val="000D01F4"/>
    <w:rsid w:val="000D0398"/>
    <w:rsid w:val="000D0487"/>
    <w:rsid w:val="000D04C5"/>
    <w:rsid w:val="000D07C6"/>
    <w:rsid w:val="000D08F6"/>
    <w:rsid w:val="000D0BCC"/>
    <w:rsid w:val="000D0E0B"/>
    <w:rsid w:val="000D0F61"/>
    <w:rsid w:val="000D0FF9"/>
    <w:rsid w:val="000D1223"/>
    <w:rsid w:val="000D13A2"/>
    <w:rsid w:val="000D168E"/>
    <w:rsid w:val="000D19B4"/>
    <w:rsid w:val="000D1A23"/>
    <w:rsid w:val="000D1AAF"/>
    <w:rsid w:val="000D1CC0"/>
    <w:rsid w:val="000D1DEF"/>
    <w:rsid w:val="000D208F"/>
    <w:rsid w:val="000D2173"/>
    <w:rsid w:val="000D229A"/>
    <w:rsid w:val="000D272E"/>
    <w:rsid w:val="000D2786"/>
    <w:rsid w:val="000D279A"/>
    <w:rsid w:val="000D2A80"/>
    <w:rsid w:val="000D2B0F"/>
    <w:rsid w:val="000D2F20"/>
    <w:rsid w:val="000D2F87"/>
    <w:rsid w:val="000D3107"/>
    <w:rsid w:val="000D34B5"/>
    <w:rsid w:val="000D375F"/>
    <w:rsid w:val="000D37B0"/>
    <w:rsid w:val="000D3830"/>
    <w:rsid w:val="000D3912"/>
    <w:rsid w:val="000D3C4E"/>
    <w:rsid w:val="000D3D76"/>
    <w:rsid w:val="000D3E8E"/>
    <w:rsid w:val="000D4026"/>
    <w:rsid w:val="000D4178"/>
    <w:rsid w:val="000D460A"/>
    <w:rsid w:val="000D4881"/>
    <w:rsid w:val="000D48A7"/>
    <w:rsid w:val="000D4B1C"/>
    <w:rsid w:val="000D4BBC"/>
    <w:rsid w:val="000D4C4D"/>
    <w:rsid w:val="000D4E69"/>
    <w:rsid w:val="000D515F"/>
    <w:rsid w:val="000D52EF"/>
    <w:rsid w:val="000D5584"/>
    <w:rsid w:val="000D5640"/>
    <w:rsid w:val="000D581B"/>
    <w:rsid w:val="000D5869"/>
    <w:rsid w:val="000D59D8"/>
    <w:rsid w:val="000D5A0A"/>
    <w:rsid w:val="000D5EC6"/>
    <w:rsid w:val="000D60BF"/>
    <w:rsid w:val="000D6136"/>
    <w:rsid w:val="000D61BC"/>
    <w:rsid w:val="000D6285"/>
    <w:rsid w:val="000D6326"/>
    <w:rsid w:val="000D6364"/>
    <w:rsid w:val="000D644A"/>
    <w:rsid w:val="000D64FA"/>
    <w:rsid w:val="000D68B9"/>
    <w:rsid w:val="000D6985"/>
    <w:rsid w:val="000D6C9D"/>
    <w:rsid w:val="000D6CE4"/>
    <w:rsid w:val="000D6FAC"/>
    <w:rsid w:val="000D7163"/>
    <w:rsid w:val="000D77E8"/>
    <w:rsid w:val="000D7B7A"/>
    <w:rsid w:val="000D7FC3"/>
    <w:rsid w:val="000E032F"/>
    <w:rsid w:val="000E0434"/>
    <w:rsid w:val="000E0616"/>
    <w:rsid w:val="000E0632"/>
    <w:rsid w:val="000E0681"/>
    <w:rsid w:val="000E0FAB"/>
    <w:rsid w:val="000E102D"/>
    <w:rsid w:val="000E10C7"/>
    <w:rsid w:val="000E117B"/>
    <w:rsid w:val="000E11AF"/>
    <w:rsid w:val="000E13CF"/>
    <w:rsid w:val="000E13DD"/>
    <w:rsid w:val="000E1900"/>
    <w:rsid w:val="000E1995"/>
    <w:rsid w:val="000E1BF6"/>
    <w:rsid w:val="000E1C59"/>
    <w:rsid w:val="000E1E6E"/>
    <w:rsid w:val="000E20C3"/>
    <w:rsid w:val="000E223F"/>
    <w:rsid w:val="000E23A7"/>
    <w:rsid w:val="000E24F4"/>
    <w:rsid w:val="000E25A2"/>
    <w:rsid w:val="000E2667"/>
    <w:rsid w:val="000E28F0"/>
    <w:rsid w:val="000E2AB6"/>
    <w:rsid w:val="000E2B42"/>
    <w:rsid w:val="000E2C1B"/>
    <w:rsid w:val="000E2F1E"/>
    <w:rsid w:val="000E332F"/>
    <w:rsid w:val="000E3399"/>
    <w:rsid w:val="000E3536"/>
    <w:rsid w:val="000E391C"/>
    <w:rsid w:val="000E39BF"/>
    <w:rsid w:val="000E3EF7"/>
    <w:rsid w:val="000E40DE"/>
    <w:rsid w:val="000E4185"/>
    <w:rsid w:val="000E427D"/>
    <w:rsid w:val="000E4373"/>
    <w:rsid w:val="000E46CB"/>
    <w:rsid w:val="000E4BA5"/>
    <w:rsid w:val="000E4DEC"/>
    <w:rsid w:val="000E4F5B"/>
    <w:rsid w:val="000E51BD"/>
    <w:rsid w:val="000E5255"/>
    <w:rsid w:val="000E5342"/>
    <w:rsid w:val="000E54E2"/>
    <w:rsid w:val="000E54EA"/>
    <w:rsid w:val="000E5555"/>
    <w:rsid w:val="000E564D"/>
    <w:rsid w:val="000E5928"/>
    <w:rsid w:val="000E5C5D"/>
    <w:rsid w:val="000E5CE3"/>
    <w:rsid w:val="000E5E59"/>
    <w:rsid w:val="000E61A9"/>
    <w:rsid w:val="000E62CF"/>
    <w:rsid w:val="000E65F5"/>
    <w:rsid w:val="000E663C"/>
    <w:rsid w:val="000E6725"/>
    <w:rsid w:val="000E67F9"/>
    <w:rsid w:val="000E6A9D"/>
    <w:rsid w:val="000E6C5B"/>
    <w:rsid w:val="000E72DF"/>
    <w:rsid w:val="000E7533"/>
    <w:rsid w:val="000E7593"/>
    <w:rsid w:val="000E76AE"/>
    <w:rsid w:val="000E786D"/>
    <w:rsid w:val="000E79FE"/>
    <w:rsid w:val="000E7A1E"/>
    <w:rsid w:val="000E7CA4"/>
    <w:rsid w:val="000E7CB8"/>
    <w:rsid w:val="000E7E77"/>
    <w:rsid w:val="000E7EF9"/>
    <w:rsid w:val="000F05D1"/>
    <w:rsid w:val="000F0669"/>
    <w:rsid w:val="000F0837"/>
    <w:rsid w:val="000F0ADF"/>
    <w:rsid w:val="000F0B48"/>
    <w:rsid w:val="000F0D37"/>
    <w:rsid w:val="000F0D89"/>
    <w:rsid w:val="000F0EA5"/>
    <w:rsid w:val="000F1078"/>
    <w:rsid w:val="000F1588"/>
    <w:rsid w:val="000F1738"/>
    <w:rsid w:val="000F193F"/>
    <w:rsid w:val="000F1972"/>
    <w:rsid w:val="000F1A05"/>
    <w:rsid w:val="000F1AEA"/>
    <w:rsid w:val="000F1F34"/>
    <w:rsid w:val="000F21B8"/>
    <w:rsid w:val="000F2355"/>
    <w:rsid w:val="000F23C6"/>
    <w:rsid w:val="000F28CF"/>
    <w:rsid w:val="000F2BF5"/>
    <w:rsid w:val="000F2D75"/>
    <w:rsid w:val="000F2F3E"/>
    <w:rsid w:val="000F31EB"/>
    <w:rsid w:val="000F3403"/>
    <w:rsid w:val="000F36B9"/>
    <w:rsid w:val="000F36CF"/>
    <w:rsid w:val="000F3855"/>
    <w:rsid w:val="000F3A05"/>
    <w:rsid w:val="000F3A6D"/>
    <w:rsid w:val="000F3B44"/>
    <w:rsid w:val="000F3B51"/>
    <w:rsid w:val="000F3BF1"/>
    <w:rsid w:val="000F3D7E"/>
    <w:rsid w:val="000F4241"/>
    <w:rsid w:val="000F42A4"/>
    <w:rsid w:val="000F441D"/>
    <w:rsid w:val="000F44CD"/>
    <w:rsid w:val="000F4511"/>
    <w:rsid w:val="000F46F1"/>
    <w:rsid w:val="000F4755"/>
    <w:rsid w:val="000F4797"/>
    <w:rsid w:val="000F4945"/>
    <w:rsid w:val="000F4DD8"/>
    <w:rsid w:val="000F4F1B"/>
    <w:rsid w:val="000F4FFC"/>
    <w:rsid w:val="000F50FB"/>
    <w:rsid w:val="000F5146"/>
    <w:rsid w:val="000F51A4"/>
    <w:rsid w:val="000F52C3"/>
    <w:rsid w:val="000F5419"/>
    <w:rsid w:val="000F5548"/>
    <w:rsid w:val="000F58D0"/>
    <w:rsid w:val="000F5ACC"/>
    <w:rsid w:val="000F5AD5"/>
    <w:rsid w:val="000F5C21"/>
    <w:rsid w:val="000F5C6B"/>
    <w:rsid w:val="000F610A"/>
    <w:rsid w:val="000F62F7"/>
    <w:rsid w:val="000F6587"/>
    <w:rsid w:val="000F67B4"/>
    <w:rsid w:val="000F67C6"/>
    <w:rsid w:val="000F68A9"/>
    <w:rsid w:val="000F6B3A"/>
    <w:rsid w:val="000F6CAE"/>
    <w:rsid w:val="000F6CDB"/>
    <w:rsid w:val="000F6D10"/>
    <w:rsid w:val="000F6DE7"/>
    <w:rsid w:val="000F6E7C"/>
    <w:rsid w:val="000F6FF8"/>
    <w:rsid w:val="000F7100"/>
    <w:rsid w:val="000F7289"/>
    <w:rsid w:val="000F738B"/>
    <w:rsid w:val="000F757E"/>
    <w:rsid w:val="000F79AD"/>
    <w:rsid w:val="000F7B04"/>
    <w:rsid w:val="000F7CCE"/>
    <w:rsid w:val="000F7D98"/>
    <w:rsid w:val="0010001A"/>
    <w:rsid w:val="0010018D"/>
    <w:rsid w:val="00100233"/>
    <w:rsid w:val="00100291"/>
    <w:rsid w:val="00100296"/>
    <w:rsid w:val="0010053C"/>
    <w:rsid w:val="001005B7"/>
    <w:rsid w:val="001005E2"/>
    <w:rsid w:val="001006F7"/>
    <w:rsid w:val="001008AC"/>
    <w:rsid w:val="00100A6A"/>
    <w:rsid w:val="00100AAF"/>
    <w:rsid w:val="00100DA5"/>
    <w:rsid w:val="00100EC9"/>
    <w:rsid w:val="0010100C"/>
    <w:rsid w:val="00101025"/>
    <w:rsid w:val="001010BD"/>
    <w:rsid w:val="001011ED"/>
    <w:rsid w:val="00101333"/>
    <w:rsid w:val="001014E3"/>
    <w:rsid w:val="0010152B"/>
    <w:rsid w:val="00101689"/>
    <w:rsid w:val="001017CA"/>
    <w:rsid w:val="00101830"/>
    <w:rsid w:val="00101893"/>
    <w:rsid w:val="00101AB9"/>
    <w:rsid w:val="00101C7B"/>
    <w:rsid w:val="001020E9"/>
    <w:rsid w:val="00102305"/>
    <w:rsid w:val="00102343"/>
    <w:rsid w:val="001024D5"/>
    <w:rsid w:val="00102558"/>
    <w:rsid w:val="0010255C"/>
    <w:rsid w:val="0010259C"/>
    <w:rsid w:val="00102736"/>
    <w:rsid w:val="0010277A"/>
    <w:rsid w:val="001029C2"/>
    <w:rsid w:val="00102E7B"/>
    <w:rsid w:val="0010321B"/>
    <w:rsid w:val="0010322E"/>
    <w:rsid w:val="001032DA"/>
    <w:rsid w:val="00103519"/>
    <w:rsid w:val="001035D5"/>
    <w:rsid w:val="00103BB4"/>
    <w:rsid w:val="00103D20"/>
    <w:rsid w:val="00103E6D"/>
    <w:rsid w:val="00103F77"/>
    <w:rsid w:val="001040E7"/>
    <w:rsid w:val="0010442A"/>
    <w:rsid w:val="00104466"/>
    <w:rsid w:val="0010465B"/>
    <w:rsid w:val="001047A2"/>
    <w:rsid w:val="0010491B"/>
    <w:rsid w:val="00104A55"/>
    <w:rsid w:val="00104AB4"/>
    <w:rsid w:val="00104BC7"/>
    <w:rsid w:val="00104CA4"/>
    <w:rsid w:val="00104CAB"/>
    <w:rsid w:val="00104EC6"/>
    <w:rsid w:val="001050FA"/>
    <w:rsid w:val="001051CA"/>
    <w:rsid w:val="00105797"/>
    <w:rsid w:val="00105903"/>
    <w:rsid w:val="00105BE0"/>
    <w:rsid w:val="00105E8F"/>
    <w:rsid w:val="0010609E"/>
    <w:rsid w:val="001060F7"/>
    <w:rsid w:val="0010650B"/>
    <w:rsid w:val="0010662A"/>
    <w:rsid w:val="00107614"/>
    <w:rsid w:val="001078F2"/>
    <w:rsid w:val="0010790F"/>
    <w:rsid w:val="001079E5"/>
    <w:rsid w:val="00107B1B"/>
    <w:rsid w:val="00107C32"/>
    <w:rsid w:val="00107D6F"/>
    <w:rsid w:val="00107E99"/>
    <w:rsid w:val="00107EC5"/>
    <w:rsid w:val="00107F9C"/>
    <w:rsid w:val="00107FD2"/>
    <w:rsid w:val="001100FF"/>
    <w:rsid w:val="00110154"/>
    <w:rsid w:val="00110168"/>
    <w:rsid w:val="001102C1"/>
    <w:rsid w:val="001103F5"/>
    <w:rsid w:val="001104D1"/>
    <w:rsid w:val="001107BD"/>
    <w:rsid w:val="001107D2"/>
    <w:rsid w:val="00110850"/>
    <w:rsid w:val="001108C7"/>
    <w:rsid w:val="00110AD0"/>
    <w:rsid w:val="00110BA4"/>
    <w:rsid w:val="00110BB3"/>
    <w:rsid w:val="00110C50"/>
    <w:rsid w:val="00110FB8"/>
    <w:rsid w:val="00111198"/>
    <w:rsid w:val="001112D4"/>
    <w:rsid w:val="001112E0"/>
    <w:rsid w:val="001113C2"/>
    <w:rsid w:val="0011163B"/>
    <w:rsid w:val="00111751"/>
    <w:rsid w:val="0011175A"/>
    <w:rsid w:val="001117D2"/>
    <w:rsid w:val="001119F4"/>
    <w:rsid w:val="00111BE6"/>
    <w:rsid w:val="00111D18"/>
    <w:rsid w:val="00111DAE"/>
    <w:rsid w:val="00111E03"/>
    <w:rsid w:val="00111E27"/>
    <w:rsid w:val="0011250A"/>
    <w:rsid w:val="00112513"/>
    <w:rsid w:val="0011263A"/>
    <w:rsid w:val="0011289A"/>
    <w:rsid w:val="00112982"/>
    <w:rsid w:val="00112BBA"/>
    <w:rsid w:val="00112BCA"/>
    <w:rsid w:val="001130B2"/>
    <w:rsid w:val="001132FF"/>
    <w:rsid w:val="00113395"/>
    <w:rsid w:val="00113397"/>
    <w:rsid w:val="001133C6"/>
    <w:rsid w:val="001133D5"/>
    <w:rsid w:val="0011354C"/>
    <w:rsid w:val="001136EE"/>
    <w:rsid w:val="0011377A"/>
    <w:rsid w:val="001139F0"/>
    <w:rsid w:val="00113A2E"/>
    <w:rsid w:val="00113AC2"/>
    <w:rsid w:val="00113CCF"/>
    <w:rsid w:val="00113D3C"/>
    <w:rsid w:val="001145A2"/>
    <w:rsid w:val="001145A3"/>
    <w:rsid w:val="001146E7"/>
    <w:rsid w:val="00114719"/>
    <w:rsid w:val="001151F1"/>
    <w:rsid w:val="00115612"/>
    <w:rsid w:val="00115735"/>
    <w:rsid w:val="0011580C"/>
    <w:rsid w:val="00115847"/>
    <w:rsid w:val="00115905"/>
    <w:rsid w:val="00115C5F"/>
    <w:rsid w:val="00115D5F"/>
    <w:rsid w:val="00115E19"/>
    <w:rsid w:val="001164F7"/>
    <w:rsid w:val="00116606"/>
    <w:rsid w:val="0011707E"/>
    <w:rsid w:val="001170E7"/>
    <w:rsid w:val="0011755B"/>
    <w:rsid w:val="00117756"/>
    <w:rsid w:val="001177F2"/>
    <w:rsid w:val="001178E3"/>
    <w:rsid w:val="0011796F"/>
    <w:rsid w:val="00117C44"/>
    <w:rsid w:val="00117E9E"/>
    <w:rsid w:val="00117F03"/>
    <w:rsid w:val="001200E0"/>
    <w:rsid w:val="001200FF"/>
    <w:rsid w:val="001203F5"/>
    <w:rsid w:val="001205E9"/>
    <w:rsid w:val="001207B1"/>
    <w:rsid w:val="00120C9A"/>
    <w:rsid w:val="00120F29"/>
    <w:rsid w:val="00120FA7"/>
    <w:rsid w:val="0012132B"/>
    <w:rsid w:val="00121494"/>
    <w:rsid w:val="00121A87"/>
    <w:rsid w:val="00121F7D"/>
    <w:rsid w:val="0012202D"/>
    <w:rsid w:val="00122099"/>
    <w:rsid w:val="0012219F"/>
    <w:rsid w:val="001221C0"/>
    <w:rsid w:val="0012221A"/>
    <w:rsid w:val="00122280"/>
    <w:rsid w:val="001223D5"/>
    <w:rsid w:val="001228B8"/>
    <w:rsid w:val="0012298B"/>
    <w:rsid w:val="001229B4"/>
    <w:rsid w:val="00122A3D"/>
    <w:rsid w:val="00122A93"/>
    <w:rsid w:val="00122AA0"/>
    <w:rsid w:val="00122BB3"/>
    <w:rsid w:val="00122E18"/>
    <w:rsid w:val="001232C9"/>
    <w:rsid w:val="001235E5"/>
    <w:rsid w:val="00123618"/>
    <w:rsid w:val="0012385A"/>
    <w:rsid w:val="00123BDB"/>
    <w:rsid w:val="00123C8B"/>
    <w:rsid w:val="00123FB5"/>
    <w:rsid w:val="001243DF"/>
    <w:rsid w:val="001245E0"/>
    <w:rsid w:val="00124730"/>
    <w:rsid w:val="00124CA8"/>
    <w:rsid w:val="00124D41"/>
    <w:rsid w:val="00124F24"/>
    <w:rsid w:val="00124FED"/>
    <w:rsid w:val="001250AF"/>
    <w:rsid w:val="001250F8"/>
    <w:rsid w:val="00125652"/>
    <w:rsid w:val="001256CD"/>
    <w:rsid w:val="001256DB"/>
    <w:rsid w:val="0012578E"/>
    <w:rsid w:val="00125961"/>
    <w:rsid w:val="001259C2"/>
    <w:rsid w:val="00125CB0"/>
    <w:rsid w:val="00125D2D"/>
    <w:rsid w:val="001261DB"/>
    <w:rsid w:val="00126216"/>
    <w:rsid w:val="00126256"/>
    <w:rsid w:val="00126344"/>
    <w:rsid w:val="0012646C"/>
    <w:rsid w:val="001265D6"/>
    <w:rsid w:val="00126797"/>
    <w:rsid w:val="001268CB"/>
    <w:rsid w:val="00126CE3"/>
    <w:rsid w:val="00126F30"/>
    <w:rsid w:val="00127061"/>
    <w:rsid w:val="00127161"/>
    <w:rsid w:val="00127283"/>
    <w:rsid w:val="00127356"/>
    <w:rsid w:val="0012738B"/>
    <w:rsid w:val="00127499"/>
    <w:rsid w:val="001276ED"/>
    <w:rsid w:val="00127943"/>
    <w:rsid w:val="0012799C"/>
    <w:rsid w:val="00127CAA"/>
    <w:rsid w:val="00127CF7"/>
    <w:rsid w:val="00127DCF"/>
    <w:rsid w:val="00127E23"/>
    <w:rsid w:val="00127F3D"/>
    <w:rsid w:val="00130132"/>
    <w:rsid w:val="0013025A"/>
    <w:rsid w:val="001302B8"/>
    <w:rsid w:val="00130489"/>
    <w:rsid w:val="00130717"/>
    <w:rsid w:val="00130C54"/>
    <w:rsid w:val="00130C8D"/>
    <w:rsid w:val="00130CAB"/>
    <w:rsid w:val="001310D4"/>
    <w:rsid w:val="001311AF"/>
    <w:rsid w:val="0013131C"/>
    <w:rsid w:val="001314FB"/>
    <w:rsid w:val="00131666"/>
    <w:rsid w:val="001317B8"/>
    <w:rsid w:val="00131A0C"/>
    <w:rsid w:val="00131AA4"/>
    <w:rsid w:val="00131BC3"/>
    <w:rsid w:val="00131C7D"/>
    <w:rsid w:val="00131E1B"/>
    <w:rsid w:val="00131EE0"/>
    <w:rsid w:val="00131FFF"/>
    <w:rsid w:val="00132120"/>
    <w:rsid w:val="001327F1"/>
    <w:rsid w:val="001327FB"/>
    <w:rsid w:val="00132C5B"/>
    <w:rsid w:val="00132CBE"/>
    <w:rsid w:val="00132DD3"/>
    <w:rsid w:val="00132FA9"/>
    <w:rsid w:val="0013304B"/>
    <w:rsid w:val="001331C9"/>
    <w:rsid w:val="0013323A"/>
    <w:rsid w:val="00133A46"/>
    <w:rsid w:val="00133BE3"/>
    <w:rsid w:val="00133E5D"/>
    <w:rsid w:val="00134026"/>
    <w:rsid w:val="001340F9"/>
    <w:rsid w:val="001341C3"/>
    <w:rsid w:val="00134482"/>
    <w:rsid w:val="00134904"/>
    <w:rsid w:val="001349C2"/>
    <w:rsid w:val="00134AB3"/>
    <w:rsid w:val="00134BB0"/>
    <w:rsid w:val="00134BCB"/>
    <w:rsid w:val="00134FC7"/>
    <w:rsid w:val="001351E1"/>
    <w:rsid w:val="00135283"/>
    <w:rsid w:val="0013530A"/>
    <w:rsid w:val="00135951"/>
    <w:rsid w:val="00135A03"/>
    <w:rsid w:val="00135A7D"/>
    <w:rsid w:val="00135B2C"/>
    <w:rsid w:val="00135BB3"/>
    <w:rsid w:val="00135C16"/>
    <w:rsid w:val="001361A1"/>
    <w:rsid w:val="0013626A"/>
    <w:rsid w:val="001362E0"/>
    <w:rsid w:val="0013652F"/>
    <w:rsid w:val="001365A5"/>
    <w:rsid w:val="0013666D"/>
    <w:rsid w:val="00136844"/>
    <w:rsid w:val="00136CF6"/>
    <w:rsid w:val="00136DD4"/>
    <w:rsid w:val="00136EBA"/>
    <w:rsid w:val="001370AA"/>
    <w:rsid w:val="001370FB"/>
    <w:rsid w:val="001372A1"/>
    <w:rsid w:val="001375F7"/>
    <w:rsid w:val="001376EC"/>
    <w:rsid w:val="001377A6"/>
    <w:rsid w:val="00137B3D"/>
    <w:rsid w:val="00137BA9"/>
    <w:rsid w:val="00137BBD"/>
    <w:rsid w:val="00137BCC"/>
    <w:rsid w:val="00137C8F"/>
    <w:rsid w:val="00137EB4"/>
    <w:rsid w:val="00137FBB"/>
    <w:rsid w:val="0014031D"/>
    <w:rsid w:val="001406AE"/>
    <w:rsid w:val="00140AA2"/>
    <w:rsid w:val="00140D07"/>
    <w:rsid w:val="00140E8B"/>
    <w:rsid w:val="001411A6"/>
    <w:rsid w:val="001411AD"/>
    <w:rsid w:val="0014149B"/>
    <w:rsid w:val="0014150B"/>
    <w:rsid w:val="001416D3"/>
    <w:rsid w:val="0014189B"/>
    <w:rsid w:val="001419C7"/>
    <w:rsid w:val="00141B01"/>
    <w:rsid w:val="00141C6D"/>
    <w:rsid w:val="00141D6C"/>
    <w:rsid w:val="00142080"/>
    <w:rsid w:val="0014209F"/>
    <w:rsid w:val="001425BA"/>
    <w:rsid w:val="001425D0"/>
    <w:rsid w:val="0014265E"/>
    <w:rsid w:val="00142739"/>
    <w:rsid w:val="0014273B"/>
    <w:rsid w:val="00142741"/>
    <w:rsid w:val="00142770"/>
    <w:rsid w:val="00142828"/>
    <w:rsid w:val="00142852"/>
    <w:rsid w:val="00142927"/>
    <w:rsid w:val="001429FA"/>
    <w:rsid w:val="00142B95"/>
    <w:rsid w:val="00142CA4"/>
    <w:rsid w:val="00142CCF"/>
    <w:rsid w:val="00142D65"/>
    <w:rsid w:val="00142F18"/>
    <w:rsid w:val="00142FC6"/>
    <w:rsid w:val="001431BF"/>
    <w:rsid w:val="001434FC"/>
    <w:rsid w:val="001437EC"/>
    <w:rsid w:val="001438F4"/>
    <w:rsid w:val="001439B2"/>
    <w:rsid w:val="00143B63"/>
    <w:rsid w:val="00143D75"/>
    <w:rsid w:val="00143DF1"/>
    <w:rsid w:val="00143F95"/>
    <w:rsid w:val="0014401A"/>
    <w:rsid w:val="00144062"/>
    <w:rsid w:val="00144075"/>
    <w:rsid w:val="00144083"/>
    <w:rsid w:val="00144142"/>
    <w:rsid w:val="00144796"/>
    <w:rsid w:val="001448B0"/>
    <w:rsid w:val="00144A1B"/>
    <w:rsid w:val="00144B43"/>
    <w:rsid w:val="00144D5A"/>
    <w:rsid w:val="00144EF4"/>
    <w:rsid w:val="00145225"/>
    <w:rsid w:val="0014528C"/>
    <w:rsid w:val="00145406"/>
    <w:rsid w:val="001459E0"/>
    <w:rsid w:val="00145E71"/>
    <w:rsid w:val="00146206"/>
    <w:rsid w:val="00146295"/>
    <w:rsid w:val="0014656F"/>
    <w:rsid w:val="001466DE"/>
    <w:rsid w:val="001468D2"/>
    <w:rsid w:val="00146FF3"/>
    <w:rsid w:val="0014718D"/>
    <w:rsid w:val="00147384"/>
    <w:rsid w:val="00147457"/>
    <w:rsid w:val="0014788F"/>
    <w:rsid w:val="00147920"/>
    <w:rsid w:val="001479E0"/>
    <w:rsid w:val="00147A25"/>
    <w:rsid w:val="00147AE5"/>
    <w:rsid w:val="00147B54"/>
    <w:rsid w:val="00147C5A"/>
    <w:rsid w:val="00147D8E"/>
    <w:rsid w:val="00147DF8"/>
    <w:rsid w:val="00147F77"/>
    <w:rsid w:val="001500C3"/>
    <w:rsid w:val="00150458"/>
    <w:rsid w:val="00150523"/>
    <w:rsid w:val="001508EF"/>
    <w:rsid w:val="00150978"/>
    <w:rsid w:val="00150B7E"/>
    <w:rsid w:val="00150DC6"/>
    <w:rsid w:val="0015105C"/>
    <w:rsid w:val="0015106D"/>
    <w:rsid w:val="0015121C"/>
    <w:rsid w:val="00151274"/>
    <w:rsid w:val="00151469"/>
    <w:rsid w:val="001518B7"/>
    <w:rsid w:val="00151C27"/>
    <w:rsid w:val="00151D37"/>
    <w:rsid w:val="00151E27"/>
    <w:rsid w:val="00151F54"/>
    <w:rsid w:val="0015225A"/>
    <w:rsid w:val="00152597"/>
    <w:rsid w:val="00152C07"/>
    <w:rsid w:val="0015335A"/>
    <w:rsid w:val="001534CF"/>
    <w:rsid w:val="0015379D"/>
    <w:rsid w:val="001538BF"/>
    <w:rsid w:val="001538FF"/>
    <w:rsid w:val="001539A5"/>
    <w:rsid w:val="00153AAF"/>
    <w:rsid w:val="001540C0"/>
    <w:rsid w:val="0015437A"/>
    <w:rsid w:val="001543C0"/>
    <w:rsid w:val="00154577"/>
    <w:rsid w:val="001547BB"/>
    <w:rsid w:val="00154A4B"/>
    <w:rsid w:val="00154E6E"/>
    <w:rsid w:val="00154F1A"/>
    <w:rsid w:val="001550A6"/>
    <w:rsid w:val="00155181"/>
    <w:rsid w:val="001554BD"/>
    <w:rsid w:val="00155B31"/>
    <w:rsid w:val="00155B64"/>
    <w:rsid w:val="00155D75"/>
    <w:rsid w:val="00155F87"/>
    <w:rsid w:val="001563BC"/>
    <w:rsid w:val="00156837"/>
    <w:rsid w:val="00156853"/>
    <w:rsid w:val="001568EF"/>
    <w:rsid w:val="0015699E"/>
    <w:rsid w:val="00156CA6"/>
    <w:rsid w:val="00156F08"/>
    <w:rsid w:val="00157287"/>
    <w:rsid w:val="00157323"/>
    <w:rsid w:val="001573CC"/>
    <w:rsid w:val="00157571"/>
    <w:rsid w:val="0015762E"/>
    <w:rsid w:val="001576C9"/>
    <w:rsid w:val="001578C1"/>
    <w:rsid w:val="001579CE"/>
    <w:rsid w:val="00157BCF"/>
    <w:rsid w:val="00157CA6"/>
    <w:rsid w:val="00160003"/>
    <w:rsid w:val="001602D8"/>
    <w:rsid w:val="001604F9"/>
    <w:rsid w:val="0016054E"/>
    <w:rsid w:val="00160727"/>
    <w:rsid w:val="00160CE5"/>
    <w:rsid w:val="00160DB4"/>
    <w:rsid w:val="00160F0A"/>
    <w:rsid w:val="0016104D"/>
    <w:rsid w:val="001615C6"/>
    <w:rsid w:val="00161808"/>
    <w:rsid w:val="001619EB"/>
    <w:rsid w:val="00161AA6"/>
    <w:rsid w:val="00161B98"/>
    <w:rsid w:val="00161F86"/>
    <w:rsid w:val="00162014"/>
    <w:rsid w:val="001620FC"/>
    <w:rsid w:val="00162275"/>
    <w:rsid w:val="001622F7"/>
    <w:rsid w:val="00162459"/>
    <w:rsid w:val="00162719"/>
    <w:rsid w:val="00162A6B"/>
    <w:rsid w:val="00162BCF"/>
    <w:rsid w:val="00162CD8"/>
    <w:rsid w:val="00162D63"/>
    <w:rsid w:val="0016335F"/>
    <w:rsid w:val="00163377"/>
    <w:rsid w:val="001636CC"/>
    <w:rsid w:val="00163AA9"/>
    <w:rsid w:val="00163DCD"/>
    <w:rsid w:val="00163E24"/>
    <w:rsid w:val="00163FC1"/>
    <w:rsid w:val="001641D7"/>
    <w:rsid w:val="001644E5"/>
    <w:rsid w:val="00164513"/>
    <w:rsid w:val="001648C5"/>
    <w:rsid w:val="00164952"/>
    <w:rsid w:val="00164A0B"/>
    <w:rsid w:val="00164ADE"/>
    <w:rsid w:val="00164F9C"/>
    <w:rsid w:val="001651AC"/>
    <w:rsid w:val="001653DA"/>
    <w:rsid w:val="00165461"/>
    <w:rsid w:val="0016558A"/>
    <w:rsid w:val="0016568E"/>
    <w:rsid w:val="001658EB"/>
    <w:rsid w:val="0016591D"/>
    <w:rsid w:val="0016595B"/>
    <w:rsid w:val="00165CE3"/>
    <w:rsid w:val="00165D4F"/>
    <w:rsid w:val="0016605C"/>
    <w:rsid w:val="00166091"/>
    <w:rsid w:val="00166106"/>
    <w:rsid w:val="00166248"/>
    <w:rsid w:val="001668D2"/>
    <w:rsid w:val="00166DA5"/>
    <w:rsid w:val="00166F39"/>
    <w:rsid w:val="0016726A"/>
    <w:rsid w:val="00167663"/>
    <w:rsid w:val="00167A80"/>
    <w:rsid w:val="00167BBD"/>
    <w:rsid w:val="00167CEE"/>
    <w:rsid w:val="00167E68"/>
    <w:rsid w:val="001700E2"/>
    <w:rsid w:val="00170153"/>
    <w:rsid w:val="0017035C"/>
    <w:rsid w:val="001703D5"/>
    <w:rsid w:val="0017044B"/>
    <w:rsid w:val="001706FC"/>
    <w:rsid w:val="001708C0"/>
    <w:rsid w:val="00170922"/>
    <w:rsid w:val="00170950"/>
    <w:rsid w:val="00170B8B"/>
    <w:rsid w:val="00170B9D"/>
    <w:rsid w:val="00170BC1"/>
    <w:rsid w:val="00170F24"/>
    <w:rsid w:val="00170FF1"/>
    <w:rsid w:val="0017130D"/>
    <w:rsid w:val="001714E4"/>
    <w:rsid w:val="00171663"/>
    <w:rsid w:val="001716E6"/>
    <w:rsid w:val="00171A79"/>
    <w:rsid w:val="00171C47"/>
    <w:rsid w:val="00171CD7"/>
    <w:rsid w:val="00171D30"/>
    <w:rsid w:val="00171F72"/>
    <w:rsid w:val="001721A6"/>
    <w:rsid w:val="00172548"/>
    <w:rsid w:val="00172691"/>
    <w:rsid w:val="001729B2"/>
    <w:rsid w:val="00172ADF"/>
    <w:rsid w:val="00172CAA"/>
    <w:rsid w:val="00172D70"/>
    <w:rsid w:val="00172E19"/>
    <w:rsid w:val="0017327F"/>
    <w:rsid w:val="00173417"/>
    <w:rsid w:val="00173670"/>
    <w:rsid w:val="0017392A"/>
    <w:rsid w:val="00173A10"/>
    <w:rsid w:val="00173BD4"/>
    <w:rsid w:val="00173C77"/>
    <w:rsid w:val="001741D0"/>
    <w:rsid w:val="001741DC"/>
    <w:rsid w:val="001742C8"/>
    <w:rsid w:val="0017462A"/>
    <w:rsid w:val="00174A0D"/>
    <w:rsid w:val="00174BC8"/>
    <w:rsid w:val="00174E11"/>
    <w:rsid w:val="00174E54"/>
    <w:rsid w:val="00174F53"/>
    <w:rsid w:val="00175195"/>
    <w:rsid w:val="001753D3"/>
    <w:rsid w:val="0017549F"/>
    <w:rsid w:val="00175611"/>
    <w:rsid w:val="00175635"/>
    <w:rsid w:val="00175DCB"/>
    <w:rsid w:val="00175EE8"/>
    <w:rsid w:val="00176086"/>
    <w:rsid w:val="001760E7"/>
    <w:rsid w:val="0017611E"/>
    <w:rsid w:val="00176301"/>
    <w:rsid w:val="00176419"/>
    <w:rsid w:val="00176717"/>
    <w:rsid w:val="00176833"/>
    <w:rsid w:val="001768A0"/>
    <w:rsid w:val="00176B3F"/>
    <w:rsid w:val="00176BEF"/>
    <w:rsid w:val="00176C32"/>
    <w:rsid w:val="00177093"/>
    <w:rsid w:val="001770D7"/>
    <w:rsid w:val="00177171"/>
    <w:rsid w:val="00177641"/>
    <w:rsid w:val="00177915"/>
    <w:rsid w:val="00177AEF"/>
    <w:rsid w:val="00177F94"/>
    <w:rsid w:val="0018032F"/>
    <w:rsid w:val="0018034E"/>
    <w:rsid w:val="001804C0"/>
    <w:rsid w:val="001804E3"/>
    <w:rsid w:val="0018052E"/>
    <w:rsid w:val="0018077A"/>
    <w:rsid w:val="00180918"/>
    <w:rsid w:val="00180B07"/>
    <w:rsid w:val="00180C5D"/>
    <w:rsid w:val="00180CA9"/>
    <w:rsid w:val="00180D12"/>
    <w:rsid w:val="00180D2B"/>
    <w:rsid w:val="00180F8E"/>
    <w:rsid w:val="00180FF4"/>
    <w:rsid w:val="0018104A"/>
    <w:rsid w:val="00181093"/>
    <w:rsid w:val="001811D0"/>
    <w:rsid w:val="00181300"/>
    <w:rsid w:val="00181744"/>
    <w:rsid w:val="0018184F"/>
    <w:rsid w:val="0018190A"/>
    <w:rsid w:val="00181915"/>
    <w:rsid w:val="00181A8C"/>
    <w:rsid w:val="00181B0E"/>
    <w:rsid w:val="0018210D"/>
    <w:rsid w:val="001823DD"/>
    <w:rsid w:val="0018255A"/>
    <w:rsid w:val="00182662"/>
    <w:rsid w:val="00182724"/>
    <w:rsid w:val="0018274E"/>
    <w:rsid w:val="00182A4B"/>
    <w:rsid w:val="00182C10"/>
    <w:rsid w:val="00182FBB"/>
    <w:rsid w:val="001832A6"/>
    <w:rsid w:val="001833D6"/>
    <w:rsid w:val="0018343C"/>
    <w:rsid w:val="00183789"/>
    <w:rsid w:val="0018393B"/>
    <w:rsid w:val="00183B0D"/>
    <w:rsid w:val="00183CE5"/>
    <w:rsid w:val="00183D5B"/>
    <w:rsid w:val="00183F63"/>
    <w:rsid w:val="001840CA"/>
    <w:rsid w:val="001840ED"/>
    <w:rsid w:val="00184299"/>
    <w:rsid w:val="001842A0"/>
    <w:rsid w:val="00184800"/>
    <w:rsid w:val="0018490D"/>
    <w:rsid w:val="00184AE4"/>
    <w:rsid w:val="00184CB4"/>
    <w:rsid w:val="00184D5E"/>
    <w:rsid w:val="00184FC0"/>
    <w:rsid w:val="00185445"/>
    <w:rsid w:val="00185589"/>
    <w:rsid w:val="00185828"/>
    <w:rsid w:val="001858DE"/>
    <w:rsid w:val="00185A32"/>
    <w:rsid w:val="00185A78"/>
    <w:rsid w:val="00185BD4"/>
    <w:rsid w:val="00185D87"/>
    <w:rsid w:val="00185F9C"/>
    <w:rsid w:val="00186010"/>
    <w:rsid w:val="0018631F"/>
    <w:rsid w:val="001866AC"/>
    <w:rsid w:val="0018678A"/>
    <w:rsid w:val="001869A4"/>
    <w:rsid w:val="00186D56"/>
    <w:rsid w:val="00186F16"/>
    <w:rsid w:val="0018719A"/>
    <w:rsid w:val="001873AA"/>
    <w:rsid w:val="001875AB"/>
    <w:rsid w:val="0018767D"/>
    <w:rsid w:val="001878C3"/>
    <w:rsid w:val="001879E7"/>
    <w:rsid w:val="00187A09"/>
    <w:rsid w:val="00187A66"/>
    <w:rsid w:val="00187B78"/>
    <w:rsid w:val="00187D2F"/>
    <w:rsid w:val="00187D69"/>
    <w:rsid w:val="00187E49"/>
    <w:rsid w:val="00187F96"/>
    <w:rsid w:val="00190107"/>
    <w:rsid w:val="00190168"/>
    <w:rsid w:val="0019027F"/>
    <w:rsid w:val="001902D3"/>
    <w:rsid w:val="001902F0"/>
    <w:rsid w:val="001904B5"/>
    <w:rsid w:val="00190688"/>
    <w:rsid w:val="00190690"/>
    <w:rsid w:val="001906ED"/>
    <w:rsid w:val="001909F7"/>
    <w:rsid w:val="00190A96"/>
    <w:rsid w:val="00190A9B"/>
    <w:rsid w:val="00190E01"/>
    <w:rsid w:val="00190E0E"/>
    <w:rsid w:val="00190E8F"/>
    <w:rsid w:val="00190F08"/>
    <w:rsid w:val="001911B8"/>
    <w:rsid w:val="00191275"/>
    <w:rsid w:val="00191695"/>
    <w:rsid w:val="001918FC"/>
    <w:rsid w:val="00191AB8"/>
    <w:rsid w:val="00191C3F"/>
    <w:rsid w:val="00191C92"/>
    <w:rsid w:val="00191DDF"/>
    <w:rsid w:val="00191F29"/>
    <w:rsid w:val="00191F53"/>
    <w:rsid w:val="00191F97"/>
    <w:rsid w:val="0019214C"/>
    <w:rsid w:val="001921C3"/>
    <w:rsid w:val="001921C9"/>
    <w:rsid w:val="00192600"/>
    <w:rsid w:val="00192A25"/>
    <w:rsid w:val="00192EEE"/>
    <w:rsid w:val="00192F57"/>
    <w:rsid w:val="00192FD2"/>
    <w:rsid w:val="0019300C"/>
    <w:rsid w:val="00193088"/>
    <w:rsid w:val="001932AB"/>
    <w:rsid w:val="001932C0"/>
    <w:rsid w:val="001932C3"/>
    <w:rsid w:val="0019333F"/>
    <w:rsid w:val="001938CD"/>
    <w:rsid w:val="001939FE"/>
    <w:rsid w:val="00193A07"/>
    <w:rsid w:val="00193D15"/>
    <w:rsid w:val="00193DF5"/>
    <w:rsid w:val="00193EE8"/>
    <w:rsid w:val="00193F17"/>
    <w:rsid w:val="0019407D"/>
    <w:rsid w:val="0019423D"/>
    <w:rsid w:val="00194527"/>
    <w:rsid w:val="0019452C"/>
    <w:rsid w:val="00194746"/>
    <w:rsid w:val="001947DB"/>
    <w:rsid w:val="0019485E"/>
    <w:rsid w:val="00194AE2"/>
    <w:rsid w:val="00194E58"/>
    <w:rsid w:val="001952FB"/>
    <w:rsid w:val="00195304"/>
    <w:rsid w:val="00195319"/>
    <w:rsid w:val="001954F0"/>
    <w:rsid w:val="00195A20"/>
    <w:rsid w:val="00195A86"/>
    <w:rsid w:val="00195AFA"/>
    <w:rsid w:val="00195B57"/>
    <w:rsid w:val="00195DD0"/>
    <w:rsid w:val="00195DEB"/>
    <w:rsid w:val="00195EDD"/>
    <w:rsid w:val="0019606B"/>
    <w:rsid w:val="0019620E"/>
    <w:rsid w:val="001963C7"/>
    <w:rsid w:val="00196652"/>
    <w:rsid w:val="00196791"/>
    <w:rsid w:val="0019695E"/>
    <w:rsid w:val="00196D5C"/>
    <w:rsid w:val="00196EAC"/>
    <w:rsid w:val="00196EB5"/>
    <w:rsid w:val="00196F9A"/>
    <w:rsid w:val="001971CD"/>
    <w:rsid w:val="001974AA"/>
    <w:rsid w:val="00197568"/>
    <w:rsid w:val="001976F8"/>
    <w:rsid w:val="00197790"/>
    <w:rsid w:val="0019781F"/>
    <w:rsid w:val="00197941"/>
    <w:rsid w:val="00197B51"/>
    <w:rsid w:val="00197D8C"/>
    <w:rsid w:val="00197F8F"/>
    <w:rsid w:val="001A01BB"/>
    <w:rsid w:val="001A01E8"/>
    <w:rsid w:val="001A0473"/>
    <w:rsid w:val="001A05ED"/>
    <w:rsid w:val="001A0692"/>
    <w:rsid w:val="001A11F4"/>
    <w:rsid w:val="001A1280"/>
    <w:rsid w:val="001A13B6"/>
    <w:rsid w:val="001A15FF"/>
    <w:rsid w:val="001A17EB"/>
    <w:rsid w:val="001A1867"/>
    <w:rsid w:val="001A197D"/>
    <w:rsid w:val="001A19CF"/>
    <w:rsid w:val="001A1B12"/>
    <w:rsid w:val="001A1B2D"/>
    <w:rsid w:val="001A1CD8"/>
    <w:rsid w:val="001A1CE7"/>
    <w:rsid w:val="001A1D0C"/>
    <w:rsid w:val="001A1E96"/>
    <w:rsid w:val="001A1F32"/>
    <w:rsid w:val="001A1FAB"/>
    <w:rsid w:val="001A21BE"/>
    <w:rsid w:val="001A2461"/>
    <w:rsid w:val="001A2546"/>
    <w:rsid w:val="001A25D0"/>
    <w:rsid w:val="001A272A"/>
    <w:rsid w:val="001A28FD"/>
    <w:rsid w:val="001A2B85"/>
    <w:rsid w:val="001A2C64"/>
    <w:rsid w:val="001A2C9B"/>
    <w:rsid w:val="001A3294"/>
    <w:rsid w:val="001A3379"/>
    <w:rsid w:val="001A370B"/>
    <w:rsid w:val="001A372A"/>
    <w:rsid w:val="001A37B6"/>
    <w:rsid w:val="001A3822"/>
    <w:rsid w:val="001A3DD3"/>
    <w:rsid w:val="001A4149"/>
    <w:rsid w:val="001A4546"/>
    <w:rsid w:val="001A4699"/>
    <w:rsid w:val="001A4EBE"/>
    <w:rsid w:val="001A4EC2"/>
    <w:rsid w:val="001A4ECD"/>
    <w:rsid w:val="001A4F5D"/>
    <w:rsid w:val="001A5A8D"/>
    <w:rsid w:val="001A5B80"/>
    <w:rsid w:val="001A5B97"/>
    <w:rsid w:val="001A5D28"/>
    <w:rsid w:val="001A5E6D"/>
    <w:rsid w:val="001A5EFF"/>
    <w:rsid w:val="001A63F3"/>
    <w:rsid w:val="001A654B"/>
    <w:rsid w:val="001A66BA"/>
    <w:rsid w:val="001A67E4"/>
    <w:rsid w:val="001A6A46"/>
    <w:rsid w:val="001A6C79"/>
    <w:rsid w:val="001A73D0"/>
    <w:rsid w:val="001A73F6"/>
    <w:rsid w:val="001A7515"/>
    <w:rsid w:val="001A757C"/>
    <w:rsid w:val="001A7685"/>
    <w:rsid w:val="001A7849"/>
    <w:rsid w:val="001A7AC4"/>
    <w:rsid w:val="001B0012"/>
    <w:rsid w:val="001B01C9"/>
    <w:rsid w:val="001B03E0"/>
    <w:rsid w:val="001B04F2"/>
    <w:rsid w:val="001B06BB"/>
    <w:rsid w:val="001B0813"/>
    <w:rsid w:val="001B0958"/>
    <w:rsid w:val="001B0A0B"/>
    <w:rsid w:val="001B1091"/>
    <w:rsid w:val="001B117B"/>
    <w:rsid w:val="001B13F8"/>
    <w:rsid w:val="001B184D"/>
    <w:rsid w:val="001B195D"/>
    <w:rsid w:val="001B1B0B"/>
    <w:rsid w:val="001B1BED"/>
    <w:rsid w:val="001B1C67"/>
    <w:rsid w:val="001B1EF4"/>
    <w:rsid w:val="001B22BC"/>
    <w:rsid w:val="001B23D8"/>
    <w:rsid w:val="001B2480"/>
    <w:rsid w:val="001B262F"/>
    <w:rsid w:val="001B276A"/>
    <w:rsid w:val="001B27BE"/>
    <w:rsid w:val="001B288C"/>
    <w:rsid w:val="001B2CEF"/>
    <w:rsid w:val="001B3069"/>
    <w:rsid w:val="001B309C"/>
    <w:rsid w:val="001B310F"/>
    <w:rsid w:val="001B3306"/>
    <w:rsid w:val="001B340D"/>
    <w:rsid w:val="001B341B"/>
    <w:rsid w:val="001B35C0"/>
    <w:rsid w:val="001B373E"/>
    <w:rsid w:val="001B3812"/>
    <w:rsid w:val="001B3831"/>
    <w:rsid w:val="001B3863"/>
    <w:rsid w:val="001B386E"/>
    <w:rsid w:val="001B38A0"/>
    <w:rsid w:val="001B3930"/>
    <w:rsid w:val="001B39DA"/>
    <w:rsid w:val="001B3A11"/>
    <w:rsid w:val="001B3D23"/>
    <w:rsid w:val="001B4254"/>
    <w:rsid w:val="001B4295"/>
    <w:rsid w:val="001B42C3"/>
    <w:rsid w:val="001B461C"/>
    <w:rsid w:val="001B46D4"/>
    <w:rsid w:val="001B47B9"/>
    <w:rsid w:val="001B4A75"/>
    <w:rsid w:val="001B5402"/>
    <w:rsid w:val="001B5496"/>
    <w:rsid w:val="001B55EF"/>
    <w:rsid w:val="001B563A"/>
    <w:rsid w:val="001B5670"/>
    <w:rsid w:val="001B579E"/>
    <w:rsid w:val="001B5816"/>
    <w:rsid w:val="001B5AE8"/>
    <w:rsid w:val="001B5EEE"/>
    <w:rsid w:val="001B5FCB"/>
    <w:rsid w:val="001B60E7"/>
    <w:rsid w:val="001B62DF"/>
    <w:rsid w:val="001B6394"/>
    <w:rsid w:val="001B6546"/>
    <w:rsid w:val="001B6BED"/>
    <w:rsid w:val="001B6FA9"/>
    <w:rsid w:val="001B7100"/>
    <w:rsid w:val="001B7120"/>
    <w:rsid w:val="001B7191"/>
    <w:rsid w:val="001B7198"/>
    <w:rsid w:val="001B72C9"/>
    <w:rsid w:val="001B732D"/>
    <w:rsid w:val="001B745D"/>
    <w:rsid w:val="001B767F"/>
    <w:rsid w:val="001B78E4"/>
    <w:rsid w:val="001B7B5E"/>
    <w:rsid w:val="001B7C92"/>
    <w:rsid w:val="001B7F61"/>
    <w:rsid w:val="001C039B"/>
    <w:rsid w:val="001C06DF"/>
    <w:rsid w:val="001C07AD"/>
    <w:rsid w:val="001C0920"/>
    <w:rsid w:val="001C0B01"/>
    <w:rsid w:val="001C0E76"/>
    <w:rsid w:val="001C1385"/>
    <w:rsid w:val="001C1657"/>
    <w:rsid w:val="001C1731"/>
    <w:rsid w:val="001C195C"/>
    <w:rsid w:val="001C1AB9"/>
    <w:rsid w:val="001C1B91"/>
    <w:rsid w:val="001C1CA1"/>
    <w:rsid w:val="001C1D7D"/>
    <w:rsid w:val="001C1E8B"/>
    <w:rsid w:val="001C1F76"/>
    <w:rsid w:val="001C1F9B"/>
    <w:rsid w:val="001C2089"/>
    <w:rsid w:val="001C2115"/>
    <w:rsid w:val="001C2603"/>
    <w:rsid w:val="001C2663"/>
    <w:rsid w:val="001C27BC"/>
    <w:rsid w:val="001C27E0"/>
    <w:rsid w:val="001C29AF"/>
    <w:rsid w:val="001C2A80"/>
    <w:rsid w:val="001C3035"/>
    <w:rsid w:val="001C3311"/>
    <w:rsid w:val="001C3432"/>
    <w:rsid w:val="001C35D5"/>
    <w:rsid w:val="001C3602"/>
    <w:rsid w:val="001C3A55"/>
    <w:rsid w:val="001C3B9D"/>
    <w:rsid w:val="001C4168"/>
    <w:rsid w:val="001C4309"/>
    <w:rsid w:val="001C4445"/>
    <w:rsid w:val="001C4A59"/>
    <w:rsid w:val="001C4AF8"/>
    <w:rsid w:val="001C4B44"/>
    <w:rsid w:val="001C4BF3"/>
    <w:rsid w:val="001C4C62"/>
    <w:rsid w:val="001C4D76"/>
    <w:rsid w:val="001C4EAB"/>
    <w:rsid w:val="001C4F6D"/>
    <w:rsid w:val="001C5034"/>
    <w:rsid w:val="001C519F"/>
    <w:rsid w:val="001C51C3"/>
    <w:rsid w:val="001C5594"/>
    <w:rsid w:val="001C56F9"/>
    <w:rsid w:val="001C591E"/>
    <w:rsid w:val="001C5A2C"/>
    <w:rsid w:val="001C5A33"/>
    <w:rsid w:val="001C5AC9"/>
    <w:rsid w:val="001C5EB8"/>
    <w:rsid w:val="001C5F61"/>
    <w:rsid w:val="001C5F95"/>
    <w:rsid w:val="001C635B"/>
    <w:rsid w:val="001C636A"/>
    <w:rsid w:val="001C645C"/>
    <w:rsid w:val="001C6735"/>
    <w:rsid w:val="001C674F"/>
    <w:rsid w:val="001C6B18"/>
    <w:rsid w:val="001C6BED"/>
    <w:rsid w:val="001C6C8A"/>
    <w:rsid w:val="001C7018"/>
    <w:rsid w:val="001C7178"/>
    <w:rsid w:val="001C71F9"/>
    <w:rsid w:val="001C73B4"/>
    <w:rsid w:val="001C741E"/>
    <w:rsid w:val="001C7802"/>
    <w:rsid w:val="001C7C16"/>
    <w:rsid w:val="001D0302"/>
    <w:rsid w:val="001D03E7"/>
    <w:rsid w:val="001D0440"/>
    <w:rsid w:val="001D0448"/>
    <w:rsid w:val="001D069E"/>
    <w:rsid w:val="001D06AC"/>
    <w:rsid w:val="001D0C2A"/>
    <w:rsid w:val="001D0D44"/>
    <w:rsid w:val="001D0D47"/>
    <w:rsid w:val="001D1179"/>
    <w:rsid w:val="001D1382"/>
    <w:rsid w:val="001D1402"/>
    <w:rsid w:val="001D1575"/>
    <w:rsid w:val="001D1B05"/>
    <w:rsid w:val="001D1B09"/>
    <w:rsid w:val="001D1CE4"/>
    <w:rsid w:val="001D1FAB"/>
    <w:rsid w:val="001D21EB"/>
    <w:rsid w:val="001D245F"/>
    <w:rsid w:val="001D256A"/>
    <w:rsid w:val="001D27AF"/>
    <w:rsid w:val="001D2A1D"/>
    <w:rsid w:val="001D2BFF"/>
    <w:rsid w:val="001D2E57"/>
    <w:rsid w:val="001D2FFC"/>
    <w:rsid w:val="001D304E"/>
    <w:rsid w:val="001D316A"/>
    <w:rsid w:val="001D3235"/>
    <w:rsid w:val="001D3345"/>
    <w:rsid w:val="001D367A"/>
    <w:rsid w:val="001D36E5"/>
    <w:rsid w:val="001D3997"/>
    <w:rsid w:val="001D3A79"/>
    <w:rsid w:val="001D3A80"/>
    <w:rsid w:val="001D3CD7"/>
    <w:rsid w:val="001D3D7D"/>
    <w:rsid w:val="001D3DAE"/>
    <w:rsid w:val="001D3DBE"/>
    <w:rsid w:val="001D3F64"/>
    <w:rsid w:val="001D4084"/>
    <w:rsid w:val="001D421C"/>
    <w:rsid w:val="001D4350"/>
    <w:rsid w:val="001D43BB"/>
    <w:rsid w:val="001D4633"/>
    <w:rsid w:val="001D46AB"/>
    <w:rsid w:val="001D49A8"/>
    <w:rsid w:val="001D4AA4"/>
    <w:rsid w:val="001D4C83"/>
    <w:rsid w:val="001D4D65"/>
    <w:rsid w:val="001D4F76"/>
    <w:rsid w:val="001D5156"/>
    <w:rsid w:val="001D520A"/>
    <w:rsid w:val="001D5420"/>
    <w:rsid w:val="001D5467"/>
    <w:rsid w:val="001D5AF6"/>
    <w:rsid w:val="001D5B7B"/>
    <w:rsid w:val="001D5B89"/>
    <w:rsid w:val="001D5BA5"/>
    <w:rsid w:val="001D5F9E"/>
    <w:rsid w:val="001D5FB9"/>
    <w:rsid w:val="001D5FC1"/>
    <w:rsid w:val="001D601A"/>
    <w:rsid w:val="001D6171"/>
    <w:rsid w:val="001D6401"/>
    <w:rsid w:val="001D6639"/>
    <w:rsid w:val="001D6774"/>
    <w:rsid w:val="001D6B36"/>
    <w:rsid w:val="001D6C51"/>
    <w:rsid w:val="001D6E59"/>
    <w:rsid w:val="001D7331"/>
    <w:rsid w:val="001D7742"/>
    <w:rsid w:val="001D7775"/>
    <w:rsid w:val="001D7987"/>
    <w:rsid w:val="001D7B51"/>
    <w:rsid w:val="001D7E35"/>
    <w:rsid w:val="001D7E3C"/>
    <w:rsid w:val="001E0148"/>
    <w:rsid w:val="001E02DA"/>
    <w:rsid w:val="001E0370"/>
    <w:rsid w:val="001E05DA"/>
    <w:rsid w:val="001E0793"/>
    <w:rsid w:val="001E08F5"/>
    <w:rsid w:val="001E0AD6"/>
    <w:rsid w:val="001E0B0A"/>
    <w:rsid w:val="001E0C1F"/>
    <w:rsid w:val="001E0F00"/>
    <w:rsid w:val="001E0F73"/>
    <w:rsid w:val="001E1200"/>
    <w:rsid w:val="001E12B7"/>
    <w:rsid w:val="001E130E"/>
    <w:rsid w:val="001E138D"/>
    <w:rsid w:val="001E1467"/>
    <w:rsid w:val="001E16AB"/>
    <w:rsid w:val="001E1789"/>
    <w:rsid w:val="001E18A0"/>
    <w:rsid w:val="001E1B0F"/>
    <w:rsid w:val="001E1B93"/>
    <w:rsid w:val="001E1C35"/>
    <w:rsid w:val="001E1CA2"/>
    <w:rsid w:val="001E1F31"/>
    <w:rsid w:val="001E1F82"/>
    <w:rsid w:val="001E2046"/>
    <w:rsid w:val="001E222D"/>
    <w:rsid w:val="001E23E6"/>
    <w:rsid w:val="001E2495"/>
    <w:rsid w:val="001E24C7"/>
    <w:rsid w:val="001E2889"/>
    <w:rsid w:val="001E2BE1"/>
    <w:rsid w:val="001E2C61"/>
    <w:rsid w:val="001E2CBE"/>
    <w:rsid w:val="001E2CE7"/>
    <w:rsid w:val="001E2D4D"/>
    <w:rsid w:val="001E2F48"/>
    <w:rsid w:val="001E2F70"/>
    <w:rsid w:val="001E3235"/>
    <w:rsid w:val="001E32CC"/>
    <w:rsid w:val="001E3503"/>
    <w:rsid w:val="001E3537"/>
    <w:rsid w:val="001E3769"/>
    <w:rsid w:val="001E389A"/>
    <w:rsid w:val="001E3B3B"/>
    <w:rsid w:val="001E3F4D"/>
    <w:rsid w:val="001E4110"/>
    <w:rsid w:val="001E427F"/>
    <w:rsid w:val="001E4489"/>
    <w:rsid w:val="001E4747"/>
    <w:rsid w:val="001E49DB"/>
    <w:rsid w:val="001E4A9B"/>
    <w:rsid w:val="001E4ACE"/>
    <w:rsid w:val="001E4B50"/>
    <w:rsid w:val="001E4B61"/>
    <w:rsid w:val="001E4EE2"/>
    <w:rsid w:val="001E4F9B"/>
    <w:rsid w:val="001E50F5"/>
    <w:rsid w:val="001E51A8"/>
    <w:rsid w:val="001E532E"/>
    <w:rsid w:val="001E5553"/>
    <w:rsid w:val="001E5675"/>
    <w:rsid w:val="001E56A2"/>
    <w:rsid w:val="001E56CE"/>
    <w:rsid w:val="001E5805"/>
    <w:rsid w:val="001E5893"/>
    <w:rsid w:val="001E5926"/>
    <w:rsid w:val="001E5A7C"/>
    <w:rsid w:val="001E5DED"/>
    <w:rsid w:val="001E5E72"/>
    <w:rsid w:val="001E603F"/>
    <w:rsid w:val="001E67A8"/>
    <w:rsid w:val="001E69D1"/>
    <w:rsid w:val="001E6C48"/>
    <w:rsid w:val="001E6C91"/>
    <w:rsid w:val="001E6F43"/>
    <w:rsid w:val="001E716A"/>
    <w:rsid w:val="001E71AA"/>
    <w:rsid w:val="001E7201"/>
    <w:rsid w:val="001E72ED"/>
    <w:rsid w:val="001E73E2"/>
    <w:rsid w:val="001E743C"/>
    <w:rsid w:val="001E753D"/>
    <w:rsid w:val="001E75BE"/>
    <w:rsid w:val="001E75CA"/>
    <w:rsid w:val="001E7631"/>
    <w:rsid w:val="001E78C5"/>
    <w:rsid w:val="001E7A5E"/>
    <w:rsid w:val="001E7F01"/>
    <w:rsid w:val="001E7F2F"/>
    <w:rsid w:val="001E7FCD"/>
    <w:rsid w:val="001F0109"/>
    <w:rsid w:val="001F01F4"/>
    <w:rsid w:val="001F02CC"/>
    <w:rsid w:val="001F0380"/>
    <w:rsid w:val="001F0445"/>
    <w:rsid w:val="001F09DE"/>
    <w:rsid w:val="001F0A66"/>
    <w:rsid w:val="001F0A85"/>
    <w:rsid w:val="001F0E8B"/>
    <w:rsid w:val="001F0F65"/>
    <w:rsid w:val="001F11B9"/>
    <w:rsid w:val="001F16DB"/>
    <w:rsid w:val="001F1799"/>
    <w:rsid w:val="001F1A12"/>
    <w:rsid w:val="001F1B84"/>
    <w:rsid w:val="001F1D07"/>
    <w:rsid w:val="001F200B"/>
    <w:rsid w:val="001F2188"/>
    <w:rsid w:val="001F2247"/>
    <w:rsid w:val="001F2558"/>
    <w:rsid w:val="001F2B71"/>
    <w:rsid w:val="001F314E"/>
    <w:rsid w:val="001F320F"/>
    <w:rsid w:val="001F3274"/>
    <w:rsid w:val="001F3396"/>
    <w:rsid w:val="001F35AD"/>
    <w:rsid w:val="001F36A5"/>
    <w:rsid w:val="001F3B95"/>
    <w:rsid w:val="001F3BB9"/>
    <w:rsid w:val="001F3FB8"/>
    <w:rsid w:val="001F42E3"/>
    <w:rsid w:val="001F448E"/>
    <w:rsid w:val="001F45E1"/>
    <w:rsid w:val="001F4678"/>
    <w:rsid w:val="001F46B4"/>
    <w:rsid w:val="001F47CD"/>
    <w:rsid w:val="001F4D4F"/>
    <w:rsid w:val="001F4FE0"/>
    <w:rsid w:val="001F504B"/>
    <w:rsid w:val="001F53D0"/>
    <w:rsid w:val="001F560E"/>
    <w:rsid w:val="001F5B86"/>
    <w:rsid w:val="001F5CD2"/>
    <w:rsid w:val="001F5EAA"/>
    <w:rsid w:val="001F5FE0"/>
    <w:rsid w:val="001F6386"/>
    <w:rsid w:val="001F6471"/>
    <w:rsid w:val="001F65FA"/>
    <w:rsid w:val="001F6610"/>
    <w:rsid w:val="001F67B0"/>
    <w:rsid w:val="001F67EA"/>
    <w:rsid w:val="001F68A6"/>
    <w:rsid w:val="001F6E00"/>
    <w:rsid w:val="001F6EE8"/>
    <w:rsid w:val="001F6F57"/>
    <w:rsid w:val="001F705B"/>
    <w:rsid w:val="001F7226"/>
    <w:rsid w:val="001F7294"/>
    <w:rsid w:val="001F76C8"/>
    <w:rsid w:val="0020003A"/>
    <w:rsid w:val="00200108"/>
    <w:rsid w:val="002006CC"/>
    <w:rsid w:val="00200CC3"/>
    <w:rsid w:val="00201112"/>
    <w:rsid w:val="00201257"/>
    <w:rsid w:val="00201521"/>
    <w:rsid w:val="00201532"/>
    <w:rsid w:val="002015A1"/>
    <w:rsid w:val="00201725"/>
    <w:rsid w:val="00201766"/>
    <w:rsid w:val="00201925"/>
    <w:rsid w:val="00201B51"/>
    <w:rsid w:val="00201BB3"/>
    <w:rsid w:val="00201BB9"/>
    <w:rsid w:val="00201C3F"/>
    <w:rsid w:val="00202006"/>
    <w:rsid w:val="00202108"/>
    <w:rsid w:val="002021E0"/>
    <w:rsid w:val="00202451"/>
    <w:rsid w:val="00202526"/>
    <w:rsid w:val="002026B7"/>
    <w:rsid w:val="00202FD4"/>
    <w:rsid w:val="0020302B"/>
    <w:rsid w:val="00203468"/>
    <w:rsid w:val="00203F20"/>
    <w:rsid w:val="00204436"/>
    <w:rsid w:val="002045B0"/>
    <w:rsid w:val="002045E5"/>
    <w:rsid w:val="002049C3"/>
    <w:rsid w:val="00204AF0"/>
    <w:rsid w:val="00204C27"/>
    <w:rsid w:val="00204F26"/>
    <w:rsid w:val="00204F5B"/>
    <w:rsid w:val="00204FB7"/>
    <w:rsid w:val="002052EC"/>
    <w:rsid w:val="00205900"/>
    <w:rsid w:val="00205E42"/>
    <w:rsid w:val="00205EF5"/>
    <w:rsid w:val="002067EA"/>
    <w:rsid w:val="002069F6"/>
    <w:rsid w:val="00206AD7"/>
    <w:rsid w:val="00206DF9"/>
    <w:rsid w:val="00206E02"/>
    <w:rsid w:val="00207128"/>
    <w:rsid w:val="00207449"/>
    <w:rsid w:val="0020766D"/>
    <w:rsid w:val="002077A7"/>
    <w:rsid w:val="002078A3"/>
    <w:rsid w:val="00207B56"/>
    <w:rsid w:val="00207BE6"/>
    <w:rsid w:val="00207C21"/>
    <w:rsid w:val="00207CDE"/>
    <w:rsid w:val="00207D94"/>
    <w:rsid w:val="00207E23"/>
    <w:rsid w:val="00207F45"/>
    <w:rsid w:val="00207F88"/>
    <w:rsid w:val="00210277"/>
    <w:rsid w:val="002102FC"/>
    <w:rsid w:val="002104AE"/>
    <w:rsid w:val="00210B52"/>
    <w:rsid w:val="00211013"/>
    <w:rsid w:val="0021130D"/>
    <w:rsid w:val="002113E2"/>
    <w:rsid w:val="0021153E"/>
    <w:rsid w:val="002115BE"/>
    <w:rsid w:val="002117BA"/>
    <w:rsid w:val="00211811"/>
    <w:rsid w:val="0021181B"/>
    <w:rsid w:val="002119F1"/>
    <w:rsid w:val="00211A39"/>
    <w:rsid w:val="00211CBB"/>
    <w:rsid w:val="00211FA1"/>
    <w:rsid w:val="00211FCC"/>
    <w:rsid w:val="0021204B"/>
    <w:rsid w:val="002120EE"/>
    <w:rsid w:val="00212542"/>
    <w:rsid w:val="0021254E"/>
    <w:rsid w:val="00212683"/>
    <w:rsid w:val="00212907"/>
    <w:rsid w:val="002129BA"/>
    <w:rsid w:val="00212CF3"/>
    <w:rsid w:val="00212CF4"/>
    <w:rsid w:val="002135BF"/>
    <w:rsid w:val="00213689"/>
    <w:rsid w:val="00213766"/>
    <w:rsid w:val="002137C3"/>
    <w:rsid w:val="002138CE"/>
    <w:rsid w:val="00213C50"/>
    <w:rsid w:val="0021409E"/>
    <w:rsid w:val="002141F2"/>
    <w:rsid w:val="00214401"/>
    <w:rsid w:val="00214419"/>
    <w:rsid w:val="0021484C"/>
    <w:rsid w:val="00214B19"/>
    <w:rsid w:val="00214B97"/>
    <w:rsid w:val="00214B9C"/>
    <w:rsid w:val="00214D77"/>
    <w:rsid w:val="00214FE5"/>
    <w:rsid w:val="00215218"/>
    <w:rsid w:val="00215260"/>
    <w:rsid w:val="002152F4"/>
    <w:rsid w:val="0021564D"/>
    <w:rsid w:val="0021591F"/>
    <w:rsid w:val="00215A65"/>
    <w:rsid w:val="00215AF6"/>
    <w:rsid w:val="00215B03"/>
    <w:rsid w:val="00215E1E"/>
    <w:rsid w:val="00215F3B"/>
    <w:rsid w:val="0021623E"/>
    <w:rsid w:val="00216243"/>
    <w:rsid w:val="002163B6"/>
    <w:rsid w:val="00216517"/>
    <w:rsid w:val="002166E0"/>
    <w:rsid w:val="00216BF7"/>
    <w:rsid w:val="00216D68"/>
    <w:rsid w:val="00216DF8"/>
    <w:rsid w:val="00217036"/>
    <w:rsid w:val="00217145"/>
    <w:rsid w:val="00217459"/>
    <w:rsid w:val="00217471"/>
    <w:rsid w:val="002174AF"/>
    <w:rsid w:val="002174BE"/>
    <w:rsid w:val="00217843"/>
    <w:rsid w:val="00217A4D"/>
    <w:rsid w:val="00217BF8"/>
    <w:rsid w:val="0022003F"/>
    <w:rsid w:val="00220094"/>
    <w:rsid w:val="00220139"/>
    <w:rsid w:val="00220335"/>
    <w:rsid w:val="0022043B"/>
    <w:rsid w:val="00220453"/>
    <w:rsid w:val="002208E7"/>
    <w:rsid w:val="002209E5"/>
    <w:rsid w:val="00220D41"/>
    <w:rsid w:val="00220E65"/>
    <w:rsid w:val="00221220"/>
    <w:rsid w:val="00221254"/>
    <w:rsid w:val="00221454"/>
    <w:rsid w:val="00221AFE"/>
    <w:rsid w:val="002220E7"/>
    <w:rsid w:val="002221EB"/>
    <w:rsid w:val="002224A5"/>
    <w:rsid w:val="002228C0"/>
    <w:rsid w:val="002229E4"/>
    <w:rsid w:val="00222C40"/>
    <w:rsid w:val="00222C4B"/>
    <w:rsid w:val="00222F8C"/>
    <w:rsid w:val="00223127"/>
    <w:rsid w:val="0022312D"/>
    <w:rsid w:val="00223263"/>
    <w:rsid w:val="00223634"/>
    <w:rsid w:val="0022366A"/>
    <w:rsid w:val="0022366F"/>
    <w:rsid w:val="0022378B"/>
    <w:rsid w:val="00223A62"/>
    <w:rsid w:val="00223B56"/>
    <w:rsid w:val="00223BCC"/>
    <w:rsid w:val="00223D95"/>
    <w:rsid w:val="00223E51"/>
    <w:rsid w:val="00224666"/>
    <w:rsid w:val="002247DC"/>
    <w:rsid w:val="002249AB"/>
    <w:rsid w:val="00224B24"/>
    <w:rsid w:val="00225037"/>
    <w:rsid w:val="002253A4"/>
    <w:rsid w:val="002253CF"/>
    <w:rsid w:val="00225890"/>
    <w:rsid w:val="00225926"/>
    <w:rsid w:val="00225946"/>
    <w:rsid w:val="00225A93"/>
    <w:rsid w:val="00225AD9"/>
    <w:rsid w:val="00225B29"/>
    <w:rsid w:val="00225F68"/>
    <w:rsid w:val="00226130"/>
    <w:rsid w:val="002262F8"/>
    <w:rsid w:val="00226477"/>
    <w:rsid w:val="002266E6"/>
    <w:rsid w:val="002269CC"/>
    <w:rsid w:val="00226B4B"/>
    <w:rsid w:val="00226BBD"/>
    <w:rsid w:val="00226DEC"/>
    <w:rsid w:val="00226F40"/>
    <w:rsid w:val="002270C0"/>
    <w:rsid w:val="002272D9"/>
    <w:rsid w:val="002274EC"/>
    <w:rsid w:val="0022767E"/>
    <w:rsid w:val="00227976"/>
    <w:rsid w:val="00227AF9"/>
    <w:rsid w:val="00227CF3"/>
    <w:rsid w:val="00227E60"/>
    <w:rsid w:val="00227EDE"/>
    <w:rsid w:val="00227F5F"/>
    <w:rsid w:val="002300F8"/>
    <w:rsid w:val="00230492"/>
    <w:rsid w:val="0023063E"/>
    <w:rsid w:val="0023067D"/>
    <w:rsid w:val="00230A83"/>
    <w:rsid w:val="00230AC1"/>
    <w:rsid w:val="00230E49"/>
    <w:rsid w:val="00230E66"/>
    <w:rsid w:val="00230F78"/>
    <w:rsid w:val="0023157C"/>
    <w:rsid w:val="00231659"/>
    <w:rsid w:val="002316D1"/>
    <w:rsid w:val="002317B2"/>
    <w:rsid w:val="00231A27"/>
    <w:rsid w:val="00231CDF"/>
    <w:rsid w:val="00231ECD"/>
    <w:rsid w:val="00231F6C"/>
    <w:rsid w:val="002320AA"/>
    <w:rsid w:val="002320BC"/>
    <w:rsid w:val="002320DD"/>
    <w:rsid w:val="0023215E"/>
    <w:rsid w:val="00232432"/>
    <w:rsid w:val="00232653"/>
    <w:rsid w:val="002327F8"/>
    <w:rsid w:val="00232ACC"/>
    <w:rsid w:val="00232DAA"/>
    <w:rsid w:val="00232EA5"/>
    <w:rsid w:val="00232EB7"/>
    <w:rsid w:val="00232EC0"/>
    <w:rsid w:val="00232FFC"/>
    <w:rsid w:val="0023339B"/>
    <w:rsid w:val="002335B6"/>
    <w:rsid w:val="002335F7"/>
    <w:rsid w:val="002338CD"/>
    <w:rsid w:val="002339F5"/>
    <w:rsid w:val="00233A9A"/>
    <w:rsid w:val="00233E8C"/>
    <w:rsid w:val="00233F6B"/>
    <w:rsid w:val="00234003"/>
    <w:rsid w:val="002340D1"/>
    <w:rsid w:val="00234596"/>
    <w:rsid w:val="0023467E"/>
    <w:rsid w:val="0023496F"/>
    <w:rsid w:val="00234A34"/>
    <w:rsid w:val="00234B23"/>
    <w:rsid w:val="00234D98"/>
    <w:rsid w:val="00234F24"/>
    <w:rsid w:val="0023508D"/>
    <w:rsid w:val="00235436"/>
    <w:rsid w:val="00235468"/>
    <w:rsid w:val="002354A1"/>
    <w:rsid w:val="002354C6"/>
    <w:rsid w:val="00235560"/>
    <w:rsid w:val="00235814"/>
    <w:rsid w:val="00235F44"/>
    <w:rsid w:val="00236067"/>
    <w:rsid w:val="002363FA"/>
    <w:rsid w:val="0023643A"/>
    <w:rsid w:val="00236525"/>
    <w:rsid w:val="00236799"/>
    <w:rsid w:val="002367E1"/>
    <w:rsid w:val="00236E1D"/>
    <w:rsid w:val="00236FCF"/>
    <w:rsid w:val="00237058"/>
    <w:rsid w:val="00237291"/>
    <w:rsid w:val="002373E5"/>
    <w:rsid w:val="00237465"/>
    <w:rsid w:val="0023748B"/>
    <w:rsid w:val="002376DE"/>
    <w:rsid w:val="00237CE0"/>
    <w:rsid w:val="00237D93"/>
    <w:rsid w:val="002401AD"/>
    <w:rsid w:val="00240417"/>
    <w:rsid w:val="002405DA"/>
    <w:rsid w:val="00240618"/>
    <w:rsid w:val="00240772"/>
    <w:rsid w:val="00240914"/>
    <w:rsid w:val="00240A25"/>
    <w:rsid w:val="00240D15"/>
    <w:rsid w:val="00240D8B"/>
    <w:rsid w:val="00241007"/>
    <w:rsid w:val="002411B5"/>
    <w:rsid w:val="002416F1"/>
    <w:rsid w:val="0024199B"/>
    <w:rsid w:val="00241B21"/>
    <w:rsid w:val="00241D00"/>
    <w:rsid w:val="00241DC0"/>
    <w:rsid w:val="00241E0A"/>
    <w:rsid w:val="00241E4A"/>
    <w:rsid w:val="0024204F"/>
    <w:rsid w:val="00242144"/>
    <w:rsid w:val="00242188"/>
    <w:rsid w:val="002422B0"/>
    <w:rsid w:val="002422CE"/>
    <w:rsid w:val="0024249D"/>
    <w:rsid w:val="00242536"/>
    <w:rsid w:val="00242ECD"/>
    <w:rsid w:val="00242F86"/>
    <w:rsid w:val="00243067"/>
    <w:rsid w:val="002430CC"/>
    <w:rsid w:val="002433A0"/>
    <w:rsid w:val="002434D7"/>
    <w:rsid w:val="002435D0"/>
    <w:rsid w:val="00243857"/>
    <w:rsid w:val="00243AD8"/>
    <w:rsid w:val="00243B7C"/>
    <w:rsid w:val="00243BFA"/>
    <w:rsid w:val="00243F55"/>
    <w:rsid w:val="002442A3"/>
    <w:rsid w:val="00244310"/>
    <w:rsid w:val="00244520"/>
    <w:rsid w:val="0024471E"/>
    <w:rsid w:val="00244754"/>
    <w:rsid w:val="00244923"/>
    <w:rsid w:val="00244B0C"/>
    <w:rsid w:val="00244B5D"/>
    <w:rsid w:val="00244CCB"/>
    <w:rsid w:val="00244E84"/>
    <w:rsid w:val="00244EFD"/>
    <w:rsid w:val="002450C1"/>
    <w:rsid w:val="0024512C"/>
    <w:rsid w:val="002454AB"/>
    <w:rsid w:val="002457F2"/>
    <w:rsid w:val="002457FD"/>
    <w:rsid w:val="0024587A"/>
    <w:rsid w:val="0024592F"/>
    <w:rsid w:val="00245CA6"/>
    <w:rsid w:val="00245CAC"/>
    <w:rsid w:val="00246069"/>
    <w:rsid w:val="00246113"/>
    <w:rsid w:val="00246308"/>
    <w:rsid w:val="0024640A"/>
    <w:rsid w:val="00246822"/>
    <w:rsid w:val="00246A39"/>
    <w:rsid w:val="00246C6C"/>
    <w:rsid w:val="00246D7C"/>
    <w:rsid w:val="00246DBB"/>
    <w:rsid w:val="00246F87"/>
    <w:rsid w:val="00247036"/>
    <w:rsid w:val="00247249"/>
    <w:rsid w:val="002477E5"/>
    <w:rsid w:val="00247973"/>
    <w:rsid w:val="002479E5"/>
    <w:rsid w:val="00247CBC"/>
    <w:rsid w:val="00247CF0"/>
    <w:rsid w:val="00247D7E"/>
    <w:rsid w:val="00247DD4"/>
    <w:rsid w:val="002500FE"/>
    <w:rsid w:val="002501A8"/>
    <w:rsid w:val="00250223"/>
    <w:rsid w:val="00250425"/>
    <w:rsid w:val="0025050D"/>
    <w:rsid w:val="002509B6"/>
    <w:rsid w:val="002509F5"/>
    <w:rsid w:val="00250AB4"/>
    <w:rsid w:val="00250C9D"/>
    <w:rsid w:val="00250E3B"/>
    <w:rsid w:val="00250FE9"/>
    <w:rsid w:val="0025105B"/>
    <w:rsid w:val="002510AC"/>
    <w:rsid w:val="0025141B"/>
    <w:rsid w:val="0025199B"/>
    <w:rsid w:val="00251C4F"/>
    <w:rsid w:val="00251D51"/>
    <w:rsid w:val="00251E2D"/>
    <w:rsid w:val="00251E4F"/>
    <w:rsid w:val="00251FD8"/>
    <w:rsid w:val="00252080"/>
    <w:rsid w:val="00252405"/>
    <w:rsid w:val="0025243E"/>
    <w:rsid w:val="002526FA"/>
    <w:rsid w:val="00252A78"/>
    <w:rsid w:val="00252AAA"/>
    <w:rsid w:val="00252C80"/>
    <w:rsid w:val="00252DCA"/>
    <w:rsid w:val="00252ED7"/>
    <w:rsid w:val="0025319D"/>
    <w:rsid w:val="002536B0"/>
    <w:rsid w:val="0025386D"/>
    <w:rsid w:val="002538C8"/>
    <w:rsid w:val="00253953"/>
    <w:rsid w:val="0025400C"/>
    <w:rsid w:val="0025440B"/>
    <w:rsid w:val="002547A4"/>
    <w:rsid w:val="002547DB"/>
    <w:rsid w:val="002548FC"/>
    <w:rsid w:val="00254B66"/>
    <w:rsid w:val="00254D57"/>
    <w:rsid w:val="00254D95"/>
    <w:rsid w:val="00254F96"/>
    <w:rsid w:val="00254FE5"/>
    <w:rsid w:val="00255067"/>
    <w:rsid w:val="002553C4"/>
    <w:rsid w:val="002553DF"/>
    <w:rsid w:val="00255D15"/>
    <w:rsid w:val="00255E51"/>
    <w:rsid w:val="0025602B"/>
    <w:rsid w:val="0025602D"/>
    <w:rsid w:val="00256159"/>
    <w:rsid w:val="0025628D"/>
    <w:rsid w:val="00256E4F"/>
    <w:rsid w:val="00256F8A"/>
    <w:rsid w:val="00257085"/>
    <w:rsid w:val="00257143"/>
    <w:rsid w:val="002571A7"/>
    <w:rsid w:val="00257552"/>
    <w:rsid w:val="00257598"/>
    <w:rsid w:val="002576A8"/>
    <w:rsid w:val="00257737"/>
    <w:rsid w:val="002577D4"/>
    <w:rsid w:val="00257DA0"/>
    <w:rsid w:val="00257EF4"/>
    <w:rsid w:val="00257EFB"/>
    <w:rsid w:val="00257F62"/>
    <w:rsid w:val="002600DB"/>
    <w:rsid w:val="00260151"/>
    <w:rsid w:val="002601CA"/>
    <w:rsid w:val="00260659"/>
    <w:rsid w:val="002609C1"/>
    <w:rsid w:val="00260B26"/>
    <w:rsid w:val="00260C4A"/>
    <w:rsid w:val="00260D15"/>
    <w:rsid w:val="00260D94"/>
    <w:rsid w:val="00261635"/>
    <w:rsid w:val="002618F6"/>
    <w:rsid w:val="00261951"/>
    <w:rsid w:val="00261A0F"/>
    <w:rsid w:val="00261A9F"/>
    <w:rsid w:val="00261AEA"/>
    <w:rsid w:val="00261FEE"/>
    <w:rsid w:val="002623C6"/>
    <w:rsid w:val="00262639"/>
    <w:rsid w:val="00262672"/>
    <w:rsid w:val="002628D6"/>
    <w:rsid w:val="00262B13"/>
    <w:rsid w:val="002631C8"/>
    <w:rsid w:val="00263541"/>
    <w:rsid w:val="00263579"/>
    <w:rsid w:val="002639A3"/>
    <w:rsid w:val="00263ACE"/>
    <w:rsid w:val="00263D14"/>
    <w:rsid w:val="00263D4B"/>
    <w:rsid w:val="00263EA1"/>
    <w:rsid w:val="002643ED"/>
    <w:rsid w:val="00264459"/>
    <w:rsid w:val="00264483"/>
    <w:rsid w:val="002645BE"/>
    <w:rsid w:val="002645BF"/>
    <w:rsid w:val="0026471F"/>
    <w:rsid w:val="00264BBE"/>
    <w:rsid w:val="00264BED"/>
    <w:rsid w:val="002652B0"/>
    <w:rsid w:val="002656E9"/>
    <w:rsid w:val="002656FC"/>
    <w:rsid w:val="00265736"/>
    <w:rsid w:val="00265B1D"/>
    <w:rsid w:val="00265DE2"/>
    <w:rsid w:val="00265ECF"/>
    <w:rsid w:val="002662AC"/>
    <w:rsid w:val="00266458"/>
    <w:rsid w:val="002664AA"/>
    <w:rsid w:val="00266510"/>
    <w:rsid w:val="0026659F"/>
    <w:rsid w:val="002665C7"/>
    <w:rsid w:val="0026680F"/>
    <w:rsid w:val="0026686E"/>
    <w:rsid w:val="00266A5D"/>
    <w:rsid w:val="00266BE2"/>
    <w:rsid w:val="00266C7F"/>
    <w:rsid w:val="00266F64"/>
    <w:rsid w:val="00267605"/>
    <w:rsid w:val="00267690"/>
    <w:rsid w:val="00267829"/>
    <w:rsid w:val="002678E4"/>
    <w:rsid w:val="00267BF8"/>
    <w:rsid w:val="00267CE4"/>
    <w:rsid w:val="00267F4D"/>
    <w:rsid w:val="00270693"/>
    <w:rsid w:val="002706E2"/>
    <w:rsid w:val="00270784"/>
    <w:rsid w:val="00270969"/>
    <w:rsid w:val="00270A8F"/>
    <w:rsid w:val="00270CFE"/>
    <w:rsid w:val="00270EF2"/>
    <w:rsid w:val="00271034"/>
    <w:rsid w:val="0027134D"/>
    <w:rsid w:val="002714BC"/>
    <w:rsid w:val="002715CB"/>
    <w:rsid w:val="0027169E"/>
    <w:rsid w:val="00271804"/>
    <w:rsid w:val="00271A0A"/>
    <w:rsid w:val="00271A14"/>
    <w:rsid w:val="00271B30"/>
    <w:rsid w:val="00271B86"/>
    <w:rsid w:val="00271CD2"/>
    <w:rsid w:val="00271E0D"/>
    <w:rsid w:val="00271E6A"/>
    <w:rsid w:val="00271F28"/>
    <w:rsid w:val="00272127"/>
    <w:rsid w:val="0027232E"/>
    <w:rsid w:val="002723C9"/>
    <w:rsid w:val="002723FC"/>
    <w:rsid w:val="00272476"/>
    <w:rsid w:val="0027258E"/>
    <w:rsid w:val="002725F1"/>
    <w:rsid w:val="00272834"/>
    <w:rsid w:val="00272A2B"/>
    <w:rsid w:val="00272A55"/>
    <w:rsid w:val="00272C76"/>
    <w:rsid w:val="00272E1C"/>
    <w:rsid w:val="00273002"/>
    <w:rsid w:val="002730AC"/>
    <w:rsid w:val="002732FA"/>
    <w:rsid w:val="0027335F"/>
    <w:rsid w:val="00273398"/>
    <w:rsid w:val="002739DC"/>
    <w:rsid w:val="00273A85"/>
    <w:rsid w:val="00273E03"/>
    <w:rsid w:val="00273FB7"/>
    <w:rsid w:val="00274206"/>
    <w:rsid w:val="00274370"/>
    <w:rsid w:val="002745CB"/>
    <w:rsid w:val="002745FA"/>
    <w:rsid w:val="00274787"/>
    <w:rsid w:val="00274D3A"/>
    <w:rsid w:val="0027541E"/>
    <w:rsid w:val="002755D9"/>
    <w:rsid w:val="00275898"/>
    <w:rsid w:val="002758CB"/>
    <w:rsid w:val="00275D03"/>
    <w:rsid w:val="0027609D"/>
    <w:rsid w:val="002760E4"/>
    <w:rsid w:val="002765CA"/>
    <w:rsid w:val="0027688C"/>
    <w:rsid w:val="002768D1"/>
    <w:rsid w:val="002768F3"/>
    <w:rsid w:val="0027699F"/>
    <w:rsid w:val="002769BA"/>
    <w:rsid w:val="00276D75"/>
    <w:rsid w:val="00276DBF"/>
    <w:rsid w:val="00276FF9"/>
    <w:rsid w:val="0027731D"/>
    <w:rsid w:val="00277330"/>
    <w:rsid w:val="002775AB"/>
    <w:rsid w:val="0027770F"/>
    <w:rsid w:val="00277851"/>
    <w:rsid w:val="00277905"/>
    <w:rsid w:val="00277A83"/>
    <w:rsid w:val="00277B77"/>
    <w:rsid w:val="00277D79"/>
    <w:rsid w:val="00280122"/>
    <w:rsid w:val="002803BC"/>
    <w:rsid w:val="002806A0"/>
    <w:rsid w:val="00280A93"/>
    <w:rsid w:val="00280BD1"/>
    <w:rsid w:val="00280C51"/>
    <w:rsid w:val="002811DF"/>
    <w:rsid w:val="00281866"/>
    <w:rsid w:val="00281914"/>
    <w:rsid w:val="00281C6B"/>
    <w:rsid w:val="00281EF0"/>
    <w:rsid w:val="0028216E"/>
    <w:rsid w:val="00282200"/>
    <w:rsid w:val="002823BC"/>
    <w:rsid w:val="00282442"/>
    <w:rsid w:val="002828C2"/>
    <w:rsid w:val="00282921"/>
    <w:rsid w:val="0028292A"/>
    <w:rsid w:val="00282A39"/>
    <w:rsid w:val="00282E97"/>
    <w:rsid w:val="00282F45"/>
    <w:rsid w:val="00282FD7"/>
    <w:rsid w:val="0028346D"/>
    <w:rsid w:val="00283648"/>
    <w:rsid w:val="00283832"/>
    <w:rsid w:val="00283DC5"/>
    <w:rsid w:val="00283EA8"/>
    <w:rsid w:val="002844B3"/>
    <w:rsid w:val="002845AA"/>
    <w:rsid w:val="002848FF"/>
    <w:rsid w:val="00284AE8"/>
    <w:rsid w:val="00284B4A"/>
    <w:rsid w:val="00284C85"/>
    <w:rsid w:val="00285018"/>
    <w:rsid w:val="002853C2"/>
    <w:rsid w:val="00285406"/>
    <w:rsid w:val="0028545E"/>
    <w:rsid w:val="00285489"/>
    <w:rsid w:val="00285605"/>
    <w:rsid w:val="00285A43"/>
    <w:rsid w:val="00285F11"/>
    <w:rsid w:val="00285F55"/>
    <w:rsid w:val="0028605B"/>
    <w:rsid w:val="0028621C"/>
    <w:rsid w:val="0028640E"/>
    <w:rsid w:val="002867B6"/>
    <w:rsid w:val="00286AAD"/>
    <w:rsid w:val="00286CFE"/>
    <w:rsid w:val="00286EE8"/>
    <w:rsid w:val="00286FF0"/>
    <w:rsid w:val="002871FD"/>
    <w:rsid w:val="002872F6"/>
    <w:rsid w:val="00287384"/>
    <w:rsid w:val="002875AD"/>
    <w:rsid w:val="0028779C"/>
    <w:rsid w:val="002879E0"/>
    <w:rsid w:val="00287BF4"/>
    <w:rsid w:val="00287EED"/>
    <w:rsid w:val="0029013C"/>
    <w:rsid w:val="00290177"/>
    <w:rsid w:val="00290342"/>
    <w:rsid w:val="00290391"/>
    <w:rsid w:val="002909A8"/>
    <w:rsid w:val="00290B01"/>
    <w:rsid w:val="00290CBF"/>
    <w:rsid w:val="00290FF0"/>
    <w:rsid w:val="00291208"/>
    <w:rsid w:val="0029138E"/>
    <w:rsid w:val="002914FA"/>
    <w:rsid w:val="002915EA"/>
    <w:rsid w:val="00291D9A"/>
    <w:rsid w:val="002920E1"/>
    <w:rsid w:val="002922AD"/>
    <w:rsid w:val="002925BF"/>
    <w:rsid w:val="0029272B"/>
    <w:rsid w:val="0029284A"/>
    <w:rsid w:val="00292B45"/>
    <w:rsid w:val="00292B57"/>
    <w:rsid w:val="00293023"/>
    <w:rsid w:val="00293297"/>
    <w:rsid w:val="00293513"/>
    <w:rsid w:val="002936EA"/>
    <w:rsid w:val="002937D4"/>
    <w:rsid w:val="00293860"/>
    <w:rsid w:val="002938C4"/>
    <w:rsid w:val="002939BE"/>
    <w:rsid w:val="00293D26"/>
    <w:rsid w:val="00293ECD"/>
    <w:rsid w:val="00293F71"/>
    <w:rsid w:val="00293FAC"/>
    <w:rsid w:val="00293FB2"/>
    <w:rsid w:val="002941B1"/>
    <w:rsid w:val="00294377"/>
    <w:rsid w:val="002943F7"/>
    <w:rsid w:val="00294562"/>
    <w:rsid w:val="002945EC"/>
    <w:rsid w:val="00294BFC"/>
    <w:rsid w:val="00294EA7"/>
    <w:rsid w:val="002950AD"/>
    <w:rsid w:val="0029517C"/>
    <w:rsid w:val="0029566E"/>
    <w:rsid w:val="00295B62"/>
    <w:rsid w:val="00295BE9"/>
    <w:rsid w:val="00295CED"/>
    <w:rsid w:val="00295FB9"/>
    <w:rsid w:val="00295FD0"/>
    <w:rsid w:val="00296081"/>
    <w:rsid w:val="00296202"/>
    <w:rsid w:val="00296238"/>
    <w:rsid w:val="0029624B"/>
    <w:rsid w:val="002962F3"/>
    <w:rsid w:val="00296392"/>
    <w:rsid w:val="00296869"/>
    <w:rsid w:val="00296E66"/>
    <w:rsid w:val="00296E81"/>
    <w:rsid w:val="00296EBA"/>
    <w:rsid w:val="00297069"/>
    <w:rsid w:val="00297157"/>
    <w:rsid w:val="002971C7"/>
    <w:rsid w:val="002972F0"/>
    <w:rsid w:val="0029739F"/>
    <w:rsid w:val="00297501"/>
    <w:rsid w:val="00297521"/>
    <w:rsid w:val="002975C1"/>
    <w:rsid w:val="00297866"/>
    <w:rsid w:val="00297C18"/>
    <w:rsid w:val="002A00B5"/>
    <w:rsid w:val="002A0284"/>
    <w:rsid w:val="002A0358"/>
    <w:rsid w:val="002A0620"/>
    <w:rsid w:val="002A0725"/>
    <w:rsid w:val="002A096C"/>
    <w:rsid w:val="002A11A0"/>
    <w:rsid w:val="002A14BF"/>
    <w:rsid w:val="002A14CC"/>
    <w:rsid w:val="002A1644"/>
    <w:rsid w:val="002A1752"/>
    <w:rsid w:val="002A1A2B"/>
    <w:rsid w:val="002A1E15"/>
    <w:rsid w:val="002A1E20"/>
    <w:rsid w:val="002A1EC2"/>
    <w:rsid w:val="002A1ED9"/>
    <w:rsid w:val="002A1FB4"/>
    <w:rsid w:val="002A217B"/>
    <w:rsid w:val="002A220C"/>
    <w:rsid w:val="002A26D9"/>
    <w:rsid w:val="002A29C0"/>
    <w:rsid w:val="002A2A4D"/>
    <w:rsid w:val="002A2F1D"/>
    <w:rsid w:val="002A30D5"/>
    <w:rsid w:val="002A3484"/>
    <w:rsid w:val="002A3517"/>
    <w:rsid w:val="002A3662"/>
    <w:rsid w:val="002A374A"/>
    <w:rsid w:val="002A3A2F"/>
    <w:rsid w:val="002A3AD8"/>
    <w:rsid w:val="002A3B73"/>
    <w:rsid w:val="002A3D09"/>
    <w:rsid w:val="002A4047"/>
    <w:rsid w:val="002A40D2"/>
    <w:rsid w:val="002A425C"/>
    <w:rsid w:val="002A45E3"/>
    <w:rsid w:val="002A4604"/>
    <w:rsid w:val="002A4752"/>
    <w:rsid w:val="002A48A9"/>
    <w:rsid w:val="002A4B8B"/>
    <w:rsid w:val="002A4E2E"/>
    <w:rsid w:val="002A4E45"/>
    <w:rsid w:val="002A4F2E"/>
    <w:rsid w:val="002A5067"/>
    <w:rsid w:val="002A53C1"/>
    <w:rsid w:val="002A54F2"/>
    <w:rsid w:val="002A5598"/>
    <w:rsid w:val="002A59B9"/>
    <w:rsid w:val="002A59FC"/>
    <w:rsid w:val="002A5AF5"/>
    <w:rsid w:val="002A5B89"/>
    <w:rsid w:val="002A5E4E"/>
    <w:rsid w:val="002A5F5D"/>
    <w:rsid w:val="002A5FF8"/>
    <w:rsid w:val="002A61CB"/>
    <w:rsid w:val="002A61E3"/>
    <w:rsid w:val="002A66AE"/>
    <w:rsid w:val="002A6727"/>
    <w:rsid w:val="002A68A8"/>
    <w:rsid w:val="002A69AE"/>
    <w:rsid w:val="002A6CF3"/>
    <w:rsid w:val="002A6FFA"/>
    <w:rsid w:val="002A7278"/>
    <w:rsid w:val="002A72A4"/>
    <w:rsid w:val="002A76F5"/>
    <w:rsid w:val="002A779C"/>
    <w:rsid w:val="002A7ABA"/>
    <w:rsid w:val="002A7E2C"/>
    <w:rsid w:val="002B0034"/>
    <w:rsid w:val="002B00DA"/>
    <w:rsid w:val="002B018F"/>
    <w:rsid w:val="002B01C9"/>
    <w:rsid w:val="002B02F4"/>
    <w:rsid w:val="002B03E0"/>
    <w:rsid w:val="002B053A"/>
    <w:rsid w:val="002B0881"/>
    <w:rsid w:val="002B098F"/>
    <w:rsid w:val="002B09D0"/>
    <w:rsid w:val="002B0B02"/>
    <w:rsid w:val="002B0D53"/>
    <w:rsid w:val="002B1335"/>
    <w:rsid w:val="002B14F6"/>
    <w:rsid w:val="002B154A"/>
    <w:rsid w:val="002B19E0"/>
    <w:rsid w:val="002B1A1E"/>
    <w:rsid w:val="002B1B32"/>
    <w:rsid w:val="002B1B51"/>
    <w:rsid w:val="002B1CB8"/>
    <w:rsid w:val="002B1F1C"/>
    <w:rsid w:val="002B23F0"/>
    <w:rsid w:val="002B27D0"/>
    <w:rsid w:val="002B2DA8"/>
    <w:rsid w:val="002B2DCB"/>
    <w:rsid w:val="002B2F56"/>
    <w:rsid w:val="002B2F57"/>
    <w:rsid w:val="002B3221"/>
    <w:rsid w:val="002B35EC"/>
    <w:rsid w:val="002B3E14"/>
    <w:rsid w:val="002B3EBD"/>
    <w:rsid w:val="002B3F4C"/>
    <w:rsid w:val="002B417F"/>
    <w:rsid w:val="002B4337"/>
    <w:rsid w:val="002B4729"/>
    <w:rsid w:val="002B4B5D"/>
    <w:rsid w:val="002B4C9C"/>
    <w:rsid w:val="002B4CAB"/>
    <w:rsid w:val="002B5055"/>
    <w:rsid w:val="002B5160"/>
    <w:rsid w:val="002B530C"/>
    <w:rsid w:val="002B55C9"/>
    <w:rsid w:val="002B5721"/>
    <w:rsid w:val="002B5768"/>
    <w:rsid w:val="002B59EE"/>
    <w:rsid w:val="002B5B69"/>
    <w:rsid w:val="002B5CB2"/>
    <w:rsid w:val="002B652C"/>
    <w:rsid w:val="002B6A05"/>
    <w:rsid w:val="002B6A85"/>
    <w:rsid w:val="002B6C3E"/>
    <w:rsid w:val="002B6DDB"/>
    <w:rsid w:val="002B73DB"/>
    <w:rsid w:val="002B7429"/>
    <w:rsid w:val="002B74A5"/>
    <w:rsid w:val="002B74DD"/>
    <w:rsid w:val="002B751C"/>
    <w:rsid w:val="002B7694"/>
    <w:rsid w:val="002B7870"/>
    <w:rsid w:val="002B7AF6"/>
    <w:rsid w:val="002B7DCB"/>
    <w:rsid w:val="002B7E24"/>
    <w:rsid w:val="002B7FB8"/>
    <w:rsid w:val="002C004D"/>
    <w:rsid w:val="002C011E"/>
    <w:rsid w:val="002C01F0"/>
    <w:rsid w:val="002C025C"/>
    <w:rsid w:val="002C06FD"/>
    <w:rsid w:val="002C0819"/>
    <w:rsid w:val="002C0897"/>
    <w:rsid w:val="002C0A17"/>
    <w:rsid w:val="002C0A1B"/>
    <w:rsid w:val="002C0F54"/>
    <w:rsid w:val="002C0FD0"/>
    <w:rsid w:val="002C10C6"/>
    <w:rsid w:val="002C15B5"/>
    <w:rsid w:val="002C161E"/>
    <w:rsid w:val="002C179B"/>
    <w:rsid w:val="002C1849"/>
    <w:rsid w:val="002C1D8B"/>
    <w:rsid w:val="002C20E9"/>
    <w:rsid w:val="002C2239"/>
    <w:rsid w:val="002C23B6"/>
    <w:rsid w:val="002C24F4"/>
    <w:rsid w:val="002C2900"/>
    <w:rsid w:val="002C294A"/>
    <w:rsid w:val="002C2C52"/>
    <w:rsid w:val="002C31AC"/>
    <w:rsid w:val="002C32DB"/>
    <w:rsid w:val="002C334A"/>
    <w:rsid w:val="002C365D"/>
    <w:rsid w:val="002C37B1"/>
    <w:rsid w:val="002C3965"/>
    <w:rsid w:val="002C3A06"/>
    <w:rsid w:val="002C3AA3"/>
    <w:rsid w:val="002C3F97"/>
    <w:rsid w:val="002C3F9D"/>
    <w:rsid w:val="002C3FF0"/>
    <w:rsid w:val="002C4279"/>
    <w:rsid w:val="002C44DA"/>
    <w:rsid w:val="002C4507"/>
    <w:rsid w:val="002C459A"/>
    <w:rsid w:val="002C4A23"/>
    <w:rsid w:val="002C4ABD"/>
    <w:rsid w:val="002C4D00"/>
    <w:rsid w:val="002C4D75"/>
    <w:rsid w:val="002C4DEC"/>
    <w:rsid w:val="002C4E3E"/>
    <w:rsid w:val="002C4EB2"/>
    <w:rsid w:val="002C4FF6"/>
    <w:rsid w:val="002C5105"/>
    <w:rsid w:val="002C520B"/>
    <w:rsid w:val="002C5610"/>
    <w:rsid w:val="002C583D"/>
    <w:rsid w:val="002C5A2E"/>
    <w:rsid w:val="002C5CCB"/>
    <w:rsid w:val="002C5DA0"/>
    <w:rsid w:val="002C5F34"/>
    <w:rsid w:val="002C682D"/>
    <w:rsid w:val="002C6D1D"/>
    <w:rsid w:val="002C6E92"/>
    <w:rsid w:val="002C709A"/>
    <w:rsid w:val="002C710F"/>
    <w:rsid w:val="002C71C9"/>
    <w:rsid w:val="002C7352"/>
    <w:rsid w:val="002C7493"/>
    <w:rsid w:val="002C787A"/>
    <w:rsid w:val="002C7BDF"/>
    <w:rsid w:val="002C7CE0"/>
    <w:rsid w:val="002C7DE4"/>
    <w:rsid w:val="002C7E49"/>
    <w:rsid w:val="002C7F01"/>
    <w:rsid w:val="002D0186"/>
    <w:rsid w:val="002D043C"/>
    <w:rsid w:val="002D04C4"/>
    <w:rsid w:val="002D0587"/>
    <w:rsid w:val="002D07FC"/>
    <w:rsid w:val="002D0D60"/>
    <w:rsid w:val="002D12C5"/>
    <w:rsid w:val="002D17DA"/>
    <w:rsid w:val="002D1934"/>
    <w:rsid w:val="002D19D0"/>
    <w:rsid w:val="002D1A78"/>
    <w:rsid w:val="002D1BE6"/>
    <w:rsid w:val="002D1D24"/>
    <w:rsid w:val="002D1F62"/>
    <w:rsid w:val="002D1FC2"/>
    <w:rsid w:val="002D2198"/>
    <w:rsid w:val="002D297A"/>
    <w:rsid w:val="002D2A1E"/>
    <w:rsid w:val="002D2A3B"/>
    <w:rsid w:val="002D2B3B"/>
    <w:rsid w:val="002D2BFA"/>
    <w:rsid w:val="002D2D76"/>
    <w:rsid w:val="002D2F83"/>
    <w:rsid w:val="002D30EE"/>
    <w:rsid w:val="002D315F"/>
    <w:rsid w:val="002D329C"/>
    <w:rsid w:val="002D3345"/>
    <w:rsid w:val="002D33A4"/>
    <w:rsid w:val="002D3B0E"/>
    <w:rsid w:val="002D3B7E"/>
    <w:rsid w:val="002D3BA4"/>
    <w:rsid w:val="002D3BDE"/>
    <w:rsid w:val="002D3D90"/>
    <w:rsid w:val="002D3DD5"/>
    <w:rsid w:val="002D3FB7"/>
    <w:rsid w:val="002D40F7"/>
    <w:rsid w:val="002D4298"/>
    <w:rsid w:val="002D4549"/>
    <w:rsid w:val="002D457D"/>
    <w:rsid w:val="002D4717"/>
    <w:rsid w:val="002D4A6A"/>
    <w:rsid w:val="002D4AF8"/>
    <w:rsid w:val="002D4FFB"/>
    <w:rsid w:val="002D5078"/>
    <w:rsid w:val="002D51A3"/>
    <w:rsid w:val="002D528E"/>
    <w:rsid w:val="002D548C"/>
    <w:rsid w:val="002D54C0"/>
    <w:rsid w:val="002D565B"/>
    <w:rsid w:val="002D56BC"/>
    <w:rsid w:val="002D5F46"/>
    <w:rsid w:val="002D63EB"/>
    <w:rsid w:val="002D6463"/>
    <w:rsid w:val="002D6673"/>
    <w:rsid w:val="002D683B"/>
    <w:rsid w:val="002D69D5"/>
    <w:rsid w:val="002D6B24"/>
    <w:rsid w:val="002D6EDA"/>
    <w:rsid w:val="002D7079"/>
    <w:rsid w:val="002D7108"/>
    <w:rsid w:val="002D7581"/>
    <w:rsid w:val="002D75FF"/>
    <w:rsid w:val="002D7A72"/>
    <w:rsid w:val="002D7BAC"/>
    <w:rsid w:val="002D7D04"/>
    <w:rsid w:val="002E0151"/>
    <w:rsid w:val="002E016F"/>
    <w:rsid w:val="002E01C7"/>
    <w:rsid w:val="002E04E7"/>
    <w:rsid w:val="002E063D"/>
    <w:rsid w:val="002E0966"/>
    <w:rsid w:val="002E0B39"/>
    <w:rsid w:val="002E0B5C"/>
    <w:rsid w:val="002E0D1E"/>
    <w:rsid w:val="002E0E9E"/>
    <w:rsid w:val="002E0FC1"/>
    <w:rsid w:val="002E100B"/>
    <w:rsid w:val="002E1029"/>
    <w:rsid w:val="002E1525"/>
    <w:rsid w:val="002E185A"/>
    <w:rsid w:val="002E1A34"/>
    <w:rsid w:val="002E2076"/>
    <w:rsid w:val="002E24F3"/>
    <w:rsid w:val="002E26E3"/>
    <w:rsid w:val="002E2CDA"/>
    <w:rsid w:val="002E30C5"/>
    <w:rsid w:val="002E338D"/>
    <w:rsid w:val="002E33CB"/>
    <w:rsid w:val="002E3448"/>
    <w:rsid w:val="002E3484"/>
    <w:rsid w:val="002E3788"/>
    <w:rsid w:val="002E37C8"/>
    <w:rsid w:val="002E3A07"/>
    <w:rsid w:val="002E3BCA"/>
    <w:rsid w:val="002E3C7F"/>
    <w:rsid w:val="002E3F8E"/>
    <w:rsid w:val="002E4357"/>
    <w:rsid w:val="002E43A7"/>
    <w:rsid w:val="002E4408"/>
    <w:rsid w:val="002E441B"/>
    <w:rsid w:val="002E4466"/>
    <w:rsid w:val="002E44E5"/>
    <w:rsid w:val="002E4612"/>
    <w:rsid w:val="002E47A4"/>
    <w:rsid w:val="002E4CE0"/>
    <w:rsid w:val="002E4EE9"/>
    <w:rsid w:val="002E4F44"/>
    <w:rsid w:val="002E50EF"/>
    <w:rsid w:val="002E513B"/>
    <w:rsid w:val="002E5588"/>
    <w:rsid w:val="002E55C1"/>
    <w:rsid w:val="002E57F8"/>
    <w:rsid w:val="002E58D6"/>
    <w:rsid w:val="002E5D9A"/>
    <w:rsid w:val="002E5EDA"/>
    <w:rsid w:val="002E6382"/>
    <w:rsid w:val="002E68E8"/>
    <w:rsid w:val="002E6935"/>
    <w:rsid w:val="002E6AF7"/>
    <w:rsid w:val="002E6C27"/>
    <w:rsid w:val="002E6DB1"/>
    <w:rsid w:val="002E6F9B"/>
    <w:rsid w:val="002E6F9E"/>
    <w:rsid w:val="002E715A"/>
    <w:rsid w:val="002E7324"/>
    <w:rsid w:val="002E7499"/>
    <w:rsid w:val="002E76E1"/>
    <w:rsid w:val="002E791E"/>
    <w:rsid w:val="002E7C5F"/>
    <w:rsid w:val="002E7C8E"/>
    <w:rsid w:val="002E7E33"/>
    <w:rsid w:val="002F0019"/>
    <w:rsid w:val="002F041E"/>
    <w:rsid w:val="002F0531"/>
    <w:rsid w:val="002F061E"/>
    <w:rsid w:val="002F0ABB"/>
    <w:rsid w:val="002F1191"/>
    <w:rsid w:val="002F11AB"/>
    <w:rsid w:val="002F12E2"/>
    <w:rsid w:val="002F136A"/>
    <w:rsid w:val="002F1706"/>
    <w:rsid w:val="002F179D"/>
    <w:rsid w:val="002F1B63"/>
    <w:rsid w:val="002F1E99"/>
    <w:rsid w:val="002F1EAC"/>
    <w:rsid w:val="002F215D"/>
    <w:rsid w:val="002F21A4"/>
    <w:rsid w:val="002F21AD"/>
    <w:rsid w:val="002F2248"/>
    <w:rsid w:val="002F2C30"/>
    <w:rsid w:val="002F2CB5"/>
    <w:rsid w:val="002F2DDB"/>
    <w:rsid w:val="002F32CC"/>
    <w:rsid w:val="002F342B"/>
    <w:rsid w:val="002F3533"/>
    <w:rsid w:val="002F35E4"/>
    <w:rsid w:val="002F3766"/>
    <w:rsid w:val="002F388B"/>
    <w:rsid w:val="002F3DA3"/>
    <w:rsid w:val="002F3EC6"/>
    <w:rsid w:val="002F3F40"/>
    <w:rsid w:val="002F3FC8"/>
    <w:rsid w:val="002F41AB"/>
    <w:rsid w:val="002F427E"/>
    <w:rsid w:val="002F46C6"/>
    <w:rsid w:val="002F4778"/>
    <w:rsid w:val="002F4873"/>
    <w:rsid w:val="002F4A9B"/>
    <w:rsid w:val="002F4FF2"/>
    <w:rsid w:val="002F50A9"/>
    <w:rsid w:val="002F52CC"/>
    <w:rsid w:val="002F566B"/>
    <w:rsid w:val="002F56B6"/>
    <w:rsid w:val="002F57A1"/>
    <w:rsid w:val="002F5A16"/>
    <w:rsid w:val="002F5A21"/>
    <w:rsid w:val="002F5D43"/>
    <w:rsid w:val="002F5D4C"/>
    <w:rsid w:val="002F5ED3"/>
    <w:rsid w:val="002F5EFA"/>
    <w:rsid w:val="002F5F76"/>
    <w:rsid w:val="002F5F7E"/>
    <w:rsid w:val="002F5FCE"/>
    <w:rsid w:val="002F618D"/>
    <w:rsid w:val="002F63DC"/>
    <w:rsid w:val="002F65A9"/>
    <w:rsid w:val="002F65C9"/>
    <w:rsid w:val="002F68B3"/>
    <w:rsid w:val="002F6957"/>
    <w:rsid w:val="002F6ACF"/>
    <w:rsid w:val="002F6D1F"/>
    <w:rsid w:val="002F6E2B"/>
    <w:rsid w:val="002F6E56"/>
    <w:rsid w:val="002F6EBF"/>
    <w:rsid w:val="002F6F7A"/>
    <w:rsid w:val="002F70CF"/>
    <w:rsid w:val="002F711A"/>
    <w:rsid w:val="002F71F0"/>
    <w:rsid w:val="002F740F"/>
    <w:rsid w:val="002F75CF"/>
    <w:rsid w:val="002F7619"/>
    <w:rsid w:val="002F78B7"/>
    <w:rsid w:val="002F7A00"/>
    <w:rsid w:val="002F7AE9"/>
    <w:rsid w:val="002F7B63"/>
    <w:rsid w:val="002F7E69"/>
    <w:rsid w:val="002F7EE7"/>
    <w:rsid w:val="00300318"/>
    <w:rsid w:val="00300328"/>
    <w:rsid w:val="003008A6"/>
    <w:rsid w:val="003009B4"/>
    <w:rsid w:val="00300BEC"/>
    <w:rsid w:val="00300F2F"/>
    <w:rsid w:val="0030124F"/>
    <w:rsid w:val="003014CD"/>
    <w:rsid w:val="003014D8"/>
    <w:rsid w:val="00301BC9"/>
    <w:rsid w:val="00301E2B"/>
    <w:rsid w:val="00302178"/>
    <w:rsid w:val="00302841"/>
    <w:rsid w:val="0030288A"/>
    <w:rsid w:val="00302B05"/>
    <w:rsid w:val="00302B2E"/>
    <w:rsid w:val="00303038"/>
    <w:rsid w:val="0030314E"/>
    <w:rsid w:val="003037F2"/>
    <w:rsid w:val="00303805"/>
    <w:rsid w:val="00303853"/>
    <w:rsid w:val="00303929"/>
    <w:rsid w:val="00303A7C"/>
    <w:rsid w:val="00303BEA"/>
    <w:rsid w:val="00303C21"/>
    <w:rsid w:val="00304596"/>
    <w:rsid w:val="0030478B"/>
    <w:rsid w:val="00304841"/>
    <w:rsid w:val="0030490F"/>
    <w:rsid w:val="0030493E"/>
    <w:rsid w:val="00304ABA"/>
    <w:rsid w:val="00304BE6"/>
    <w:rsid w:val="0030549F"/>
    <w:rsid w:val="00305539"/>
    <w:rsid w:val="0030561B"/>
    <w:rsid w:val="00305694"/>
    <w:rsid w:val="003057E4"/>
    <w:rsid w:val="003057E8"/>
    <w:rsid w:val="00305C94"/>
    <w:rsid w:val="00305E12"/>
    <w:rsid w:val="00305FB2"/>
    <w:rsid w:val="00306045"/>
    <w:rsid w:val="003062D4"/>
    <w:rsid w:val="003064E0"/>
    <w:rsid w:val="00306714"/>
    <w:rsid w:val="003067F5"/>
    <w:rsid w:val="00306C9F"/>
    <w:rsid w:val="00306D62"/>
    <w:rsid w:val="00306DE7"/>
    <w:rsid w:val="00306F30"/>
    <w:rsid w:val="0030701C"/>
    <w:rsid w:val="0030710F"/>
    <w:rsid w:val="00307752"/>
    <w:rsid w:val="003077E8"/>
    <w:rsid w:val="00307985"/>
    <w:rsid w:val="00307A13"/>
    <w:rsid w:val="00307CA9"/>
    <w:rsid w:val="00307E9D"/>
    <w:rsid w:val="0031057D"/>
    <w:rsid w:val="00310618"/>
    <w:rsid w:val="00310A07"/>
    <w:rsid w:val="00310AB5"/>
    <w:rsid w:val="00310E33"/>
    <w:rsid w:val="00310FE9"/>
    <w:rsid w:val="0031102E"/>
    <w:rsid w:val="0031110D"/>
    <w:rsid w:val="00311342"/>
    <w:rsid w:val="003113E6"/>
    <w:rsid w:val="0031145C"/>
    <w:rsid w:val="003115A9"/>
    <w:rsid w:val="003119BD"/>
    <w:rsid w:val="003119F3"/>
    <w:rsid w:val="00311C61"/>
    <w:rsid w:val="00311F1F"/>
    <w:rsid w:val="00312280"/>
    <w:rsid w:val="0031229C"/>
    <w:rsid w:val="0031265D"/>
    <w:rsid w:val="00312724"/>
    <w:rsid w:val="00312812"/>
    <w:rsid w:val="00312832"/>
    <w:rsid w:val="00312906"/>
    <w:rsid w:val="0031291A"/>
    <w:rsid w:val="00312A91"/>
    <w:rsid w:val="00312D96"/>
    <w:rsid w:val="00312DC7"/>
    <w:rsid w:val="00312E37"/>
    <w:rsid w:val="00312EAA"/>
    <w:rsid w:val="0031345E"/>
    <w:rsid w:val="00313581"/>
    <w:rsid w:val="00313802"/>
    <w:rsid w:val="0031396E"/>
    <w:rsid w:val="00313B8D"/>
    <w:rsid w:val="00313DC8"/>
    <w:rsid w:val="00313FD0"/>
    <w:rsid w:val="00314143"/>
    <w:rsid w:val="003142DC"/>
    <w:rsid w:val="00314351"/>
    <w:rsid w:val="00314433"/>
    <w:rsid w:val="00314477"/>
    <w:rsid w:val="003145C4"/>
    <w:rsid w:val="003148D6"/>
    <w:rsid w:val="003148FC"/>
    <w:rsid w:val="00314DE3"/>
    <w:rsid w:val="003150FA"/>
    <w:rsid w:val="00315233"/>
    <w:rsid w:val="0031540E"/>
    <w:rsid w:val="0031550E"/>
    <w:rsid w:val="0031552A"/>
    <w:rsid w:val="0031555D"/>
    <w:rsid w:val="00315747"/>
    <w:rsid w:val="003159CB"/>
    <w:rsid w:val="00315BF7"/>
    <w:rsid w:val="00315CBB"/>
    <w:rsid w:val="00316037"/>
    <w:rsid w:val="00316071"/>
    <w:rsid w:val="003160F3"/>
    <w:rsid w:val="00316358"/>
    <w:rsid w:val="003163BC"/>
    <w:rsid w:val="003164F3"/>
    <w:rsid w:val="00316726"/>
    <w:rsid w:val="0031692B"/>
    <w:rsid w:val="00316984"/>
    <w:rsid w:val="00316E5C"/>
    <w:rsid w:val="00316EA0"/>
    <w:rsid w:val="00316F78"/>
    <w:rsid w:val="00317044"/>
    <w:rsid w:val="003171CD"/>
    <w:rsid w:val="003171FC"/>
    <w:rsid w:val="00317588"/>
    <w:rsid w:val="00317680"/>
    <w:rsid w:val="0031779B"/>
    <w:rsid w:val="0031789D"/>
    <w:rsid w:val="00317BF2"/>
    <w:rsid w:val="00317D95"/>
    <w:rsid w:val="00317EFF"/>
    <w:rsid w:val="00320029"/>
    <w:rsid w:val="00320274"/>
    <w:rsid w:val="00320316"/>
    <w:rsid w:val="00320559"/>
    <w:rsid w:val="00320B32"/>
    <w:rsid w:val="00320C54"/>
    <w:rsid w:val="00320E51"/>
    <w:rsid w:val="00321140"/>
    <w:rsid w:val="0032168F"/>
    <w:rsid w:val="00321774"/>
    <w:rsid w:val="00321781"/>
    <w:rsid w:val="003217C6"/>
    <w:rsid w:val="00321900"/>
    <w:rsid w:val="00321AE7"/>
    <w:rsid w:val="00321CF1"/>
    <w:rsid w:val="00321D57"/>
    <w:rsid w:val="0032216E"/>
    <w:rsid w:val="0032234F"/>
    <w:rsid w:val="00322434"/>
    <w:rsid w:val="003225AF"/>
    <w:rsid w:val="003225C3"/>
    <w:rsid w:val="0032265B"/>
    <w:rsid w:val="0032266D"/>
    <w:rsid w:val="00322831"/>
    <w:rsid w:val="00322A6E"/>
    <w:rsid w:val="00322DEC"/>
    <w:rsid w:val="003230FF"/>
    <w:rsid w:val="00323235"/>
    <w:rsid w:val="00323420"/>
    <w:rsid w:val="003235C5"/>
    <w:rsid w:val="00323787"/>
    <w:rsid w:val="00323794"/>
    <w:rsid w:val="00323894"/>
    <w:rsid w:val="00323D04"/>
    <w:rsid w:val="00323E58"/>
    <w:rsid w:val="00323EAC"/>
    <w:rsid w:val="00324208"/>
    <w:rsid w:val="003242BF"/>
    <w:rsid w:val="00324435"/>
    <w:rsid w:val="00324795"/>
    <w:rsid w:val="00324902"/>
    <w:rsid w:val="00324971"/>
    <w:rsid w:val="00324BA5"/>
    <w:rsid w:val="00324C31"/>
    <w:rsid w:val="00324C49"/>
    <w:rsid w:val="00324C8C"/>
    <w:rsid w:val="00325380"/>
    <w:rsid w:val="003254E0"/>
    <w:rsid w:val="00325B71"/>
    <w:rsid w:val="00325CDC"/>
    <w:rsid w:val="00325DED"/>
    <w:rsid w:val="0032603C"/>
    <w:rsid w:val="003260CF"/>
    <w:rsid w:val="003268F0"/>
    <w:rsid w:val="00326AE1"/>
    <w:rsid w:val="00326DC6"/>
    <w:rsid w:val="00327024"/>
    <w:rsid w:val="00327361"/>
    <w:rsid w:val="00327408"/>
    <w:rsid w:val="0032747B"/>
    <w:rsid w:val="00327480"/>
    <w:rsid w:val="0032749E"/>
    <w:rsid w:val="00327A36"/>
    <w:rsid w:val="00327B08"/>
    <w:rsid w:val="00327B6F"/>
    <w:rsid w:val="00327D75"/>
    <w:rsid w:val="00327DA9"/>
    <w:rsid w:val="00327F1C"/>
    <w:rsid w:val="00330510"/>
    <w:rsid w:val="00330597"/>
    <w:rsid w:val="003306D6"/>
    <w:rsid w:val="003307A5"/>
    <w:rsid w:val="00330828"/>
    <w:rsid w:val="00330E2F"/>
    <w:rsid w:val="00330FA0"/>
    <w:rsid w:val="003311A7"/>
    <w:rsid w:val="00331651"/>
    <w:rsid w:val="00331A14"/>
    <w:rsid w:val="00331ADF"/>
    <w:rsid w:val="00331C44"/>
    <w:rsid w:val="00331C89"/>
    <w:rsid w:val="00331DB8"/>
    <w:rsid w:val="0033224D"/>
    <w:rsid w:val="0033225A"/>
    <w:rsid w:val="0033233A"/>
    <w:rsid w:val="00332457"/>
    <w:rsid w:val="0033264C"/>
    <w:rsid w:val="00332812"/>
    <w:rsid w:val="0033297B"/>
    <w:rsid w:val="00332B42"/>
    <w:rsid w:val="00332BAB"/>
    <w:rsid w:val="00332C63"/>
    <w:rsid w:val="00332EA4"/>
    <w:rsid w:val="00332FB4"/>
    <w:rsid w:val="003333BC"/>
    <w:rsid w:val="0033343E"/>
    <w:rsid w:val="003334E6"/>
    <w:rsid w:val="003336AA"/>
    <w:rsid w:val="003338E0"/>
    <w:rsid w:val="003338F0"/>
    <w:rsid w:val="003339C6"/>
    <w:rsid w:val="00333A02"/>
    <w:rsid w:val="00333B42"/>
    <w:rsid w:val="00333C19"/>
    <w:rsid w:val="00333DCB"/>
    <w:rsid w:val="00333E4E"/>
    <w:rsid w:val="003341D9"/>
    <w:rsid w:val="00334348"/>
    <w:rsid w:val="00334685"/>
    <w:rsid w:val="00334984"/>
    <w:rsid w:val="00334CCF"/>
    <w:rsid w:val="003350FC"/>
    <w:rsid w:val="0033545D"/>
    <w:rsid w:val="003354EC"/>
    <w:rsid w:val="003357B2"/>
    <w:rsid w:val="00335802"/>
    <w:rsid w:val="00335B37"/>
    <w:rsid w:val="00335D13"/>
    <w:rsid w:val="00335D41"/>
    <w:rsid w:val="00335E29"/>
    <w:rsid w:val="00335F5C"/>
    <w:rsid w:val="00335F81"/>
    <w:rsid w:val="00336341"/>
    <w:rsid w:val="00336362"/>
    <w:rsid w:val="00336479"/>
    <w:rsid w:val="00336785"/>
    <w:rsid w:val="003369C7"/>
    <w:rsid w:val="00336ADE"/>
    <w:rsid w:val="00336B16"/>
    <w:rsid w:val="00336CED"/>
    <w:rsid w:val="00336D0F"/>
    <w:rsid w:val="00337052"/>
    <w:rsid w:val="0033718F"/>
    <w:rsid w:val="0033749B"/>
    <w:rsid w:val="0033773F"/>
    <w:rsid w:val="00337B56"/>
    <w:rsid w:val="00337C34"/>
    <w:rsid w:val="00337D78"/>
    <w:rsid w:val="00337D7E"/>
    <w:rsid w:val="00337ED9"/>
    <w:rsid w:val="00337EEB"/>
    <w:rsid w:val="00340082"/>
    <w:rsid w:val="003401A4"/>
    <w:rsid w:val="00340220"/>
    <w:rsid w:val="0034038A"/>
    <w:rsid w:val="00340392"/>
    <w:rsid w:val="003403EB"/>
    <w:rsid w:val="0034053E"/>
    <w:rsid w:val="003408D8"/>
    <w:rsid w:val="00340E0B"/>
    <w:rsid w:val="00341645"/>
    <w:rsid w:val="0034187D"/>
    <w:rsid w:val="00341A96"/>
    <w:rsid w:val="00341AC0"/>
    <w:rsid w:val="00341BEA"/>
    <w:rsid w:val="00341C34"/>
    <w:rsid w:val="00341C4E"/>
    <w:rsid w:val="00342013"/>
    <w:rsid w:val="00342235"/>
    <w:rsid w:val="00342311"/>
    <w:rsid w:val="00342378"/>
    <w:rsid w:val="00342615"/>
    <w:rsid w:val="00342694"/>
    <w:rsid w:val="0034272E"/>
    <w:rsid w:val="0034281A"/>
    <w:rsid w:val="00342AFC"/>
    <w:rsid w:val="00342AFE"/>
    <w:rsid w:val="00342BF2"/>
    <w:rsid w:val="00342CFC"/>
    <w:rsid w:val="00343100"/>
    <w:rsid w:val="003432C3"/>
    <w:rsid w:val="00343680"/>
    <w:rsid w:val="00343800"/>
    <w:rsid w:val="003438A1"/>
    <w:rsid w:val="003438F3"/>
    <w:rsid w:val="00343909"/>
    <w:rsid w:val="00343949"/>
    <w:rsid w:val="00343A82"/>
    <w:rsid w:val="00343DE3"/>
    <w:rsid w:val="003442B4"/>
    <w:rsid w:val="0034457A"/>
    <w:rsid w:val="00344693"/>
    <w:rsid w:val="00344B0C"/>
    <w:rsid w:val="00344B19"/>
    <w:rsid w:val="00344BD3"/>
    <w:rsid w:val="00344D39"/>
    <w:rsid w:val="00344E1B"/>
    <w:rsid w:val="003450AA"/>
    <w:rsid w:val="0034556E"/>
    <w:rsid w:val="0034558E"/>
    <w:rsid w:val="00345641"/>
    <w:rsid w:val="00345903"/>
    <w:rsid w:val="00345B77"/>
    <w:rsid w:val="00345CA2"/>
    <w:rsid w:val="00345EEE"/>
    <w:rsid w:val="00345F21"/>
    <w:rsid w:val="003460FF"/>
    <w:rsid w:val="00346255"/>
    <w:rsid w:val="003462B8"/>
    <w:rsid w:val="0034664B"/>
    <w:rsid w:val="003466DD"/>
    <w:rsid w:val="00346886"/>
    <w:rsid w:val="00346A0C"/>
    <w:rsid w:val="00346E17"/>
    <w:rsid w:val="00346F97"/>
    <w:rsid w:val="00347192"/>
    <w:rsid w:val="003472FD"/>
    <w:rsid w:val="0034770B"/>
    <w:rsid w:val="00347890"/>
    <w:rsid w:val="003478D9"/>
    <w:rsid w:val="00347990"/>
    <w:rsid w:val="00347BFB"/>
    <w:rsid w:val="00350433"/>
    <w:rsid w:val="003504C3"/>
    <w:rsid w:val="0035059B"/>
    <w:rsid w:val="00350878"/>
    <w:rsid w:val="00350947"/>
    <w:rsid w:val="003510FC"/>
    <w:rsid w:val="00351215"/>
    <w:rsid w:val="00351537"/>
    <w:rsid w:val="00351FE0"/>
    <w:rsid w:val="00352187"/>
    <w:rsid w:val="003522DC"/>
    <w:rsid w:val="003524F1"/>
    <w:rsid w:val="003528FE"/>
    <w:rsid w:val="00352C42"/>
    <w:rsid w:val="00352EDC"/>
    <w:rsid w:val="00353020"/>
    <w:rsid w:val="0035310B"/>
    <w:rsid w:val="003535E8"/>
    <w:rsid w:val="0035367F"/>
    <w:rsid w:val="00353683"/>
    <w:rsid w:val="0035376D"/>
    <w:rsid w:val="00353791"/>
    <w:rsid w:val="00353BC5"/>
    <w:rsid w:val="0035447F"/>
    <w:rsid w:val="003544FA"/>
    <w:rsid w:val="00354785"/>
    <w:rsid w:val="0035494A"/>
    <w:rsid w:val="003549E9"/>
    <w:rsid w:val="00354A57"/>
    <w:rsid w:val="00354AF9"/>
    <w:rsid w:val="00354D70"/>
    <w:rsid w:val="00354EBD"/>
    <w:rsid w:val="00354EE2"/>
    <w:rsid w:val="00355234"/>
    <w:rsid w:val="00355554"/>
    <w:rsid w:val="003555C1"/>
    <w:rsid w:val="0035565C"/>
    <w:rsid w:val="00355866"/>
    <w:rsid w:val="00355AA5"/>
    <w:rsid w:val="00355B8A"/>
    <w:rsid w:val="00355B9D"/>
    <w:rsid w:val="00355CF6"/>
    <w:rsid w:val="00355E51"/>
    <w:rsid w:val="00355F1E"/>
    <w:rsid w:val="00355FC7"/>
    <w:rsid w:val="00356015"/>
    <w:rsid w:val="0035653E"/>
    <w:rsid w:val="00356676"/>
    <w:rsid w:val="00356878"/>
    <w:rsid w:val="00356C99"/>
    <w:rsid w:val="00356F40"/>
    <w:rsid w:val="00356F92"/>
    <w:rsid w:val="00357223"/>
    <w:rsid w:val="00357386"/>
    <w:rsid w:val="00357692"/>
    <w:rsid w:val="0035779D"/>
    <w:rsid w:val="00357859"/>
    <w:rsid w:val="00357988"/>
    <w:rsid w:val="00357E1D"/>
    <w:rsid w:val="00357EA7"/>
    <w:rsid w:val="00357FFA"/>
    <w:rsid w:val="00360022"/>
    <w:rsid w:val="00360401"/>
    <w:rsid w:val="003604EA"/>
    <w:rsid w:val="0036061D"/>
    <w:rsid w:val="00360787"/>
    <w:rsid w:val="00360A96"/>
    <w:rsid w:val="00360B00"/>
    <w:rsid w:val="00360CB1"/>
    <w:rsid w:val="00360E87"/>
    <w:rsid w:val="00361030"/>
    <w:rsid w:val="0036127E"/>
    <w:rsid w:val="00361548"/>
    <w:rsid w:val="003615A5"/>
    <w:rsid w:val="00361724"/>
    <w:rsid w:val="003617A0"/>
    <w:rsid w:val="00361D20"/>
    <w:rsid w:val="0036245C"/>
    <w:rsid w:val="00362619"/>
    <w:rsid w:val="00363037"/>
    <w:rsid w:val="0036322A"/>
    <w:rsid w:val="0036332A"/>
    <w:rsid w:val="00363335"/>
    <w:rsid w:val="0036339B"/>
    <w:rsid w:val="00363943"/>
    <w:rsid w:val="003639A4"/>
    <w:rsid w:val="00363B55"/>
    <w:rsid w:val="00363C61"/>
    <w:rsid w:val="00363CA4"/>
    <w:rsid w:val="003640EF"/>
    <w:rsid w:val="00364153"/>
    <w:rsid w:val="0036433F"/>
    <w:rsid w:val="003644FA"/>
    <w:rsid w:val="003646C8"/>
    <w:rsid w:val="00364B59"/>
    <w:rsid w:val="00364FAA"/>
    <w:rsid w:val="003650A7"/>
    <w:rsid w:val="00365262"/>
    <w:rsid w:val="00365415"/>
    <w:rsid w:val="00365491"/>
    <w:rsid w:val="00365752"/>
    <w:rsid w:val="00365A1E"/>
    <w:rsid w:val="00365B12"/>
    <w:rsid w:val="00365C79"/>
    <w:rsid w:val="00365D2D"/>
    <w:rsid w:val="00365F13"/>
    <w:rsid w:val="003662CA"/>
    <w:rsid w:val="00366600"/>
    <w:rsid w:val="0036671A"/>
    <w:rsid w:val="003667DF"/>
    <w:rsid w:val="00366BB5"/>
    <w:rsid w:val="00366C7D"/>
    <w:rsid w:val="00366CC4"/>
    <w:rsid w:val="00366CFA"/>
    <w:rsid w:val="00366EDD"/>
    <w:rsid w:val="00366FE6"/>
    <w:rsid w:val="0036707A"/>
    <w:rsid w:val="0036750F"/>
    <w:rsid w:val="00367596"/>
    <w:rsid w:val="00367689"/>
    <w:rsid w:val="003677B3"/>
    <w:rsid w:val="00367B72"/>
    <w:rsid w:val="00367CCB"/>
    <w:rsid w:val="00367DBA"/>
    <w:rsid w:val="00367E48"/>
    <w:rsid w:val="00367FF5"/>
    <w:rsid w:val="003701E7"/>
    <w:rsid w:val="00370388"/>
    <w:rsid w:val="003704CA"/>
    <w:rsid w:val="00370578"/>
    <w:rsid w:val="003705D6"/>
    <w:rsid w:val="00370862"/>
    <w:rsid w:val="003708B9"/>
    <w:rsid w:val="003709FA"/>
    <w:rsid w:val="00370AF4"/>
    <w:rsid w:val="00370FA4"/>
    <w:rsid w:val="00371047"/>
    <w:rsid w:val="0037109A"/>
    <w:rsid w:val="0037168F"/>
    <w:rsid w:val="00371993"/>
    <w:rsid w:val="00371B9B"/>
    <w:rsid w:val="00371F9D"/>
    <w:rsid w:val="0037239B"/>
    <w:rsid w:val="00372435"/>
    <w:rsid w:val="003724B5"/>
    <w:rsid w:val="0037271E"/>
    <w:rsid w:val="00372CAA"/>
    <w:rsid w:val="00372E7E"/>
    <w:rsid w:val="003730CC"/>
    <w:rsid w:val="00373516"/>
    <w:rsid w:val="00373669"/>
    <w:rsid w:val="003736EF"/>
    <w:rsid w:val="003738FC"/>
    <w:rsid w:val="00373C11"/>
    <w:rsid w:val="00373C86"/>
    <w:rsid w:val="00373E8C"/>
    <w:rsid w:val="00373FA2"/>
    <w:rsid w:val="003743E0"/>
    <w:rsid w:val="00374481"/>
    <w:rsid w:val="003744A6"/>
    <w:rsid w:val="0037466D"/>
    <w:rsid w:val="003747E5"/>
    <w:rsid w:val="003748C5"/>
    <w:rsid w:val="00374C33"/>
    <w:rsid w:val="00374DD9"/>
    <w:rsid w:val="00374F6C"/>
    <w:rsid w:val="00374FEE"/>
    <w:rsid w:val="00375015"/>
    <w:rsid w:val="0037506C"/>
    <w:rsid w:val="00375131"/>
    <w:rsid w:val="0037518E"/>
    <w:rsid w:val="003754CC"/>
    <w:rsid w:val="0037570F"/>
    <w:rsid w:val="003757A6"/>
    <w:rsid w:val="00375869"/>
    <w:rsid w:val="003758EA"/>
    <w:rsid w:val="003759A6"/>
    <w:rsid w:val="003759B9"/>
    <w:rsid w:val="003759D4"/>
    <w:rsid w:val="00375A71"/>
    <w:rsid w:val="00375B92"/>
    <w:rsid w:val="00375BE9"/>
    <w:rsid w:val="00375DFE"/>
    <w:rsid w:val="003766C3"/>
    <w:rsid w:val="003766CF"/>
    <w:rsid w:val="003768C6"/>
    <w:rsid w:val="003769B4"/>
    <w:rsid w:val="00376A5D"/>
    <w:rsid w:val="00376BE6"/>
    <w:rsid w:val="00376C52"/>
    <w:rsid w:val="00376CDE"/>
    <w:rsid w:val="003770C4"/>
    <w:rsid w:val="0037743B"/>
    <w:rsid w:val="00377664"/>
    <w:rsid w:val="003776B4"/>
    <w:rsid w:val="00377736"/>
    <w:rsid w:val="003777B6"/>
    <w:rsid w:val="0037781F"/>
    <w:rsid w:val="00377823"/>
    <w:rsid w:val="003778D1"/>
    <w:rsid w:val="00377975"/>
    <w:rsid w:val="00377A04"/>
    <w:rsid w:val="00377AC1"/>
    <w:rsid w:val="00377F6A"/>
    <w:rsid w:val="0038009F"/>
    <w:rsid w:val="003800FA"/>
    <w:rsid w:val="00380304"/>
    <w:rsid w:val="0038047C"/>
    <w:rsid w:val="003806C1"/>
    <w:rsid w:val="003808A0"/>
    <w:rsid w:val="003808F4"/>
    <w:rsid w:val="00380A96"/>
    <w:rsid w:val="00380C79"/>
    <w:rsid w:val="00380D0B"/>
    <w:rsid w:val="00381064"/>
    <w:rsid w:val="00381072"/>
    <w:rsid w:val="00381114"/>
    <w:rsid w:val="003814E0"/>
    <w:rsid w:val="0038157D"/>
    <w:rsid w:val="00381593"/>
    <w:rsid w:val="0038178C"/>
    <w:rsid w:val="00381AFB"/>
    <w:rsid w:val="00381BD9"/>
    <w:rsid w:val="00381C89"/>
    <w:rsid w:val="00381D4A"/>
    <w:rsid w:val="00381EA9"/>
    <w:rsid w:val="00382064"/>
    <w:rsid w:val="00382114"/>
    <w:rsid w:val="00382202"/>
    <w:rsid w:val="003822A4"/>
    <w:rsid w:val="003822D9"/>
    <w:rsid w:val="00382555"/>
    <w:rsid w:val="003828B2"/>
    <w:rsid w:val="003828FD"/>
    <w:rsid w:val="00382ED5"/>
    <w:rsid w:val="00382F3C"/>
    <w:rsid w:val="003832A2"/>
    <w:rsid w:val="0038334F"/>
    <w:rsid w:val="003833C2"/>
    <w:rsid w:val="00383429"/>
    <w:rsid w:val="00383B7D"/>
    <w:rsid w:val="00383DEF"/>
    <w:rsid w:val="00383ED5"/>
    <w:rsid w:val="00383F14"/>
    <w:rsid w:val="00384040"/>
    <w:rsid w:val="003841C9"/>
    <w:rsid w:val="003842EA"/>
    <w:rsid w:val="00384321"/>
    <w:rsid w:val="0038458E"/>
    <w:rsid w:val="0038472E"/>
    <w:rsid w:val="00384866"/>
    <w:rsid w:val="00385153"/>
    <w:rsid w:val="00385204"/>
    <w:rsid w:val="0038539E"/>
    <w:rsid w:val="00385401"/>
    <w:rsid w:val="00385541"/>
    <w:rsid w:val="003858DA"/>
    <w:rsid w:val="00385B84"/>
    <w:rsid w:val="00385D33"/>
    <w:rsid w:val="00385E63"/>
    <w:rsid w:val="003863F4"/>
    <w:rsid w:val="0038674B"/>
    <w:rsid w:val="003868FB"/>
    <w:rsid w:val="00386A28"/>
    <w:rsid w:val="00386AF2"/>
    <w:rsid w:val="00386D8F"/>
    <w:rsid w:val="0038711C"/>
    <w:rsid w:val="003871A0"/>
    <w:rsid w:val="003874B1"/>
    <w:rsid w:val="00387691"/>
    <w:rsid w:val="0038792F"/>
    <w:rsid w:val="00387A24"/>
    <w:rsid w:val="00387C68"/>
    <w:rsid w:val="003902B2"/>
    <w:rsid w:val="003904B5"/>
    <w:rsid w:val="00390A83"/>
    <w:rsid w:val="00390AEE"/>
    <w:rsid w:val="00390C81"/>
    <w:rsid w:val="00390D57"/>
    <w:rsid w:val="00390D6A"/>
    <w:rsid w:val="00390E1C"/>
    <w:rsid w:val="0039120D"/>
    <w:rsid w:val="003912D6"/>
    <w:rsid w:val="003912E5"/>
    <w:rsid w:val="003912F7"/>
    <w:rsid w:val="00391344"/>
    <w:rsid w:val="0039144B"/>
    <w:rsid w:val="00391731"/>
    <w:rsid w:val="00391827"/>
    <w:rsid w:val="0039259B"/>
    <w:rsid w:val="00392677"/>
    <w:rsid w:val="00392BF7"/>
    <w:rsid w:val="00392D9A"/>
    <w:rsid w:val="00392E16"/>
    <w:rsid w:val="00393081"/>
    <w:rsid w:val="00393120"/>
    <w:rsid w:val="00393373"/>
    <w:rsid w:val="00393385"/>
    <w:rsid w:val="0039343A"/>
    <w:rsid w:val="00393516"/>
    <w:rsid w:val="003935ED"/>
    <w:rsid w:val="00393947"/>
    <w:rsid w:val="00393B47"/>
    <w:rsid w:val="00393DFF"/>
    <w:rsid w:val="00394162"/>
    <w:rsid w:val="003941AC"/>
    <w:rsid w:val="003945D5"/>
    <w:rsid w:val="00394697"/>
    <w:rsid w:val="00394B6D"/>
    <w:rsid w:val="00394C02"/>
    <w:rsid w:val="003950E4"/>
    <w:rsid w:val="00395514"/>
    <w:rsid w:val="00395683"/>
    <w:rsid w:val="003956AF"/>
    <w:rsid w:val="00395A74"/>
    <w:rsid w:val="00395BCB"/>
    <w:rsid w:val="00395C3E"/>
    <w:rsid w:val="00396007"/>
    <w:rsid w:val="00396038"/>
    <w:rsid w:val="00396297"/>
    <w:rsid w:val="003963FF"/>
    <w:rsid w:val="003964DF"/>
    <w:rsid w:val="00396728"/>
    <w:rsid w:val="00396945"/>
    <w:rsid w:val="00396D74"/>
    <w:rsid w:val="00396D90"/>
    <w:rsid w:val="00397128"/>
    <w:rsid w:val="003971AC"/>
    <w:rsid w:val="003972D4"/>
    <w:rsid w:val="00397595"/>
    <w:rsid w:val="003975AA"/>
    <w:rsid w:val="00397695"/>
    <w:rsid w:val="003977CB"/>
    <w:rsid w:val="003979DA"/>
    <w:rsid w:val="00397A15"/>
    <w:rsid w:val="00397C67"/>
    <w:rsid w:val="00397DCC"/>
    <w:rsid w:val="003A00B3"/>
    <w:rsid w:val="003A01E4"/>
    <w:rsid w:val="003A0590"/>
    <w:rsid w:val="003A070B"/>
    <w:rsid w:val="003A08EA"/>
    <w:rsid w:val="003A08F5"/>
    <w:rsid w:val="003A093D"/>
    <w:rsid w:val="003A0A15"/>
    <w:rsid w:val="003A0B93"/>
    <w:rsid w:val="003A0FF1"/>
    <w:rsid w:val="003A104E"/>
    <w:rsid w:val="003A13B5"/>
    <w:rsid w:val="003A1C27"/>
    <w:rsid w:val="003A1E25"/>
    <w:rsid w:val="003A1EBF"/>
    <w:rsid w:val="003A20EF"/>
    <w:rsid w:val="003A2396"/>
    <w:rsid w:val="003A23A5"/>
    <w:rsid w:val="003A29EE"/>
    <w:rsid w:val="003A2E4B"/>
    <w:rsid w:val="003A2FF7"/>
    <w:rsid w:val="003A3110"/>
    <w:rsid w:val="003A327B"/>
    <w:rsid w:val="003A3334"/>
    <w:rsid w:val="003A33F9"/>
    <w:rsid w:val="003A3610"/>
    <w:rsid w:val="003A367B"/>
    <w:rsid w:val="003A368E"/>
    <w:rsid w:val="003A3756"/>
    <w:rsid w:val="003A38AE"/>
    <w:rsid w:val="003A3B5C"/>
    <w:rsid w:val="003A3C03"/>
    <w:rsid w:val="003A42E6"/>
    <w:rsid w:val="003A46BB"/>
    <w:rsid w:val="003A48A1"/>
    <w:rsid w:val="003A49DD"/>
    <w:rsid w:val="003A4B72"/>
    <w:rsid w:val="003A4C43"/>
    <w:rsid w:val="003A4F82"/>
    <w:rsid w:val="003A50A2"/>
    <w:rsid w:val="003A5123"/>
    <w:rsid w:val="003A5232"/>
    <w:rsid w:val="003A53EC"/>
    <w:rsid w:val="003A53FF"/>
    <w:rsid w:val="003A5533"/>
    <w:rsid w:val="003A556D"/>
    <w:rsid w:val="003A5696"/>
    <w:rsid w:val="003A5957"/>
    <w:rsid w:val="003A5A94"/>
    <w:rsid w:val="003A5BA4"/>
    <w:rsid w:val="003A5C97"/>
    <w:rsid w:val="003A5E0B"/>
    <w:rsid w:val="003A5E20"/>
    <w:rsid w:val="003A5ED7"/>
    <w:rsid w:val="003A62A9"/>
    <w:rsid w:val="003A6467"/>
    <w:rsid w:val="003A66D5"/>
    <w:rsid w:val="003A684D"/>
    <w:rsid w:val="003A6B15"/>
    <w:rsid w:val="003A6C9D"/>
    <w:rsid w:val="003A6EC0"/>
    <w:rsid w:val="003A74E5"/>
    <w:rsid w:val="003A7557"/>
    <w:rsid w:val="003A765F"/>
    <w:rsid w:val="003A7B3E"/>
    <w:rsid w:val="003A7CC0"/>
    <w:rsid w:val="003A7CFA"/>
    <w:rsid w:val="003B00B6"/>
    <w:rsid w:val="003B025F"/>
    <w:rsid w:val="003B07B0"/>
    <w:rsid w:val="003B088E"/>
    <w:rsid w:val="003B0A80"/>
    <w:rsid w:val="003B0E74"/>
    <w:rsid w:val="003B0EAF"/>
    <w:rsid w:val="003B0EDE"/>
    <w:rsid w:val="003B11CF"/>
    <w:rsid w:val="003B1391"/>
    <w:rsid w:val="003B13AD"/>
    <w:rsid w:val="003B16CA"/>
    <w:rsid w:val="003B1987"/>
    <w:rsid w:val="003B1DD8"/>
    <w:rsid w:val="003B1E03"/>
    <w:rsid w:val="003B1FB1"/>
    <w:rsid w:val="003B2068"/>
    <w:rsid w:val="003B20DE"/>
    <w:rsid w:val="003B214F"/>
    <w:rsid w:val="003B22D3"/>
    <w:rsid w:val="003B2536"/>
    <w:rsid w:val="003B2B62"/>
    <w:rsid w:val="003B2C44"/>
    <w:rsid w:val="003B2CAB"/>
    <w:rsid w:val="003B320C"/>
    <w:rsid w:val="003B343E"/>
    <w:rsid w:val="003B35B7"/>
    <w:rsid w:val="003B38A7"/>
    <w:rsid w:val="003B393B"/>
    <w:rsid w:val="003B394D"/>
    <w:rsid w:val="003B3BE7"/>
    <w:rsid w:val="003B3C5E"/>
    <w:rsid w:val="003B4143"/>
    <w:rsid w:val="003B4753"/>
    <w:rsid w:val="003B47DF"/>
    <w:rsid w:val="003B49A6"/>
    <w:rsid w:val="003B4CDF"/>
    <w:rsid w:val="003B4ED2"/>
    <w:rsid w:val="003B517C"/>
    <w:rsid w:val="003B5303"/>
    <w:rsid w:val="003B577E"/>
    <w:rsid w:val="003B57B4"/>
    <w:rsid w:val="003B57DC"/>
    <w:rsid w:val="003B5903"/>
    <w:rsid w:val="003B595F"/>
    <w:rsid w:val="003B5A2C"/>
    <w:rsid w:val="003B5A7D"/>
    <w:rsid w:val="003B5AC2"/>
    <w:rsid w:val="003B5B39"/>
    <w:rsid w:val="003B5C63"/>
    <w:rsid w:val="003B5CF2"/>
    <w:rsid w:val="003B5EF5"/>
    <w:rsid w:val="003B5F01"/>
    <w:rsid w:val="003B615B"/>
    <w:rsid w:val="003B62D9"/>
    <w:rsid w:val="003B650B"/>
    <w:rsid w:val="003B6620"/>
    <w:rsid w:val="003B66E4"/>
    <w:rsid w:val="003B6A6F"/>
    <w:rsid w:val="003B7165"/>
    <w:rsid w:val="003B73EA"/>
    <w:rsid w:val="003B7572"/>
    <w:rsid w:val="003B758E"/>
    <w:rsid w:val="003B7968"/>
    <w:rsid w:val="003B7AF5"/>
    <w:rsid w:val="003B7C38"/>
    <w:rsid w:val="003B7DA8"/>
    <w:rsid w:val="003C0212"/>
    <w:rsid w:val="003C0296"/>
    <w:rsid w:val="003C02D5"/>
    <w:rsid w:val="003C0366"/>
    <w:rsid w:val="003C03A8"/>
    <w:rsid w:val="003C04D0"/>
    <w:rsid w:val="003C0737"/>
    <w:rsid w:val="003C07C6"/>
    <w:rsid w:val="003C07F0"/>
    <w:rsid w:val="003C0BC3"/>
    <w:rsid w:val="003C0FD0"/>
    <w:rsid w:val="003C1126"/>
    <w:rsid w:val="003C1184"/>
    <w:rsid w:val="003C14A5"/>
    <w:rsid w:val="003C14F1"/>
    <w:rsid w:val="003C16D3"/>
    <w:rsid w:val="003C1757"/>
    <w:rsid w:val="003C1766"/>
    <w:rsid w:val="003C18F1"/>
    <w:rsid w:val="003C1AFD"/>
    <w:rsid w:val="003C1BC4"/>
    <w:rsid w:val="003C1C46"/>
    <w:rsid w:val="003C1CAE"/>
    <w:rsid w:val="003C26C0"/>
    <w:rsid w:val="003C27E2"/>
    <w:rsid w:val="003C2887"/>
    <w:rsid w:val="003C2CB6"/>
    <w:rsid w:val="003C304A"/>
    <w:rsid w:val="003C309E"/>
    <w:rsid w:val="003C30DB"/>
    <w:rsid w:val="003C310A"/>
    <w:rsid w:val="003C3132"/>
    <w:rsid w:val="003C3324"/>
    <w:rsid w:val="003C343A"/>
    <w:rsid w:val="003C360A"/>
    <w:rsid w:val="003C3AEF"/>
    <w:rsid w:val="003C4074"/>
    <w:rsid w:val="003C41CB"/>
    <w:rsid w:val="003C4400"/>
    <w:rsid w:val="003C4551"/>
    <w:rsid w:val="003C456A"/>
    <w:rsid w:val="003C4631"/>
    <w:rsid w:val="003C489D"/>
    <w:rsid w:val="003C51A6"/>
    <w:rsid w:val="003C5320"/>
    <w:rsid w:val="003C53E5"/>
    <w:rsid w:val="003C599B"/>
    <w:rsid w:val="003C59B8"/>
    <w:rsid w:val="003C5A0C"/>
    <w:rsid w:val="003C5A3F"/>
    <w:rsid w:val="003C5DB3"/>
    <w:rsid w:val="003C5EC2"/>
    <w:rsid w:val="003C5F39"/>
    <w:rsid w:val="003C6170"/>
    <w:rsid w:val="003C64B8"/>
    <w:rsid w:val="003C6EF8"/>
    <w:rsid w:val="003C6FE8"/>
    <w:rsid w:val="003C71A2"/>
    <w:rsid w:val="003C71C0"/>
    <w:rsid w:val="003C7534"/>
    <w:rsid w:val="003C75F2"/>
    <w:rsid w:val="003C76AE"/>
    <w:rsid w:val="003C7BA5"/>
    <w:rsid w:val="003C7F92"/>
    <w:rsid w:val="003D0102"/>
    <w:rsid w:val="003D01B1"/>
    <w:rsid w:val="003D028F"/>
    <w:rsid w:val="003D0368"/>
    <w:rsid w:val="003D086B"/>
    <w:rsid w:val="003D0BEF"/>
    <w:rsid w:val="003D0BF4"/>
    <w:rsid w:val="003D0C8C"/>
    <w:rsid w:val="003D1304"/>
    <w:rsid w:val="003D132D"/>
    <w:rsid w:val="003D179A"/>
    <w:rsid w:val="003D1829"/>
    <w:rsid w:val="003D189E"/>
    <w:rsid w:val="003D18D5"/>
    <w:rsid w:val="003D1F4D"/>
    <w:rsid w:val="003D201A"/>
    <w:rsid w:val="003D216F"/>
    <w:rsid w:val="003D2253"/>
    <w:rsid w:val="003D22B2"/>
    <w:rsid w:val="003D25AE"/>
    <w:rsid w:val="003D2616"/>
    <w:rsid w:val="003D2693"/>
    <w:rsid w:val="003D27FA"/>
    <w:rsid w:val="003D2991"/>
    <w:rsid w:val="003D29F3"/>
    <w:rsid w:val="003D2CAB"/>
    <w:rsid w:val="003D2CB6"/>
    <w:rsid w:val="003D2E7A"/>
    <w:rsid w:val="003D30DB"/>
    <w:rsid w:val="003D3168"/>
    <w:rsid w:val="003D3215"/>
    <w:rsid w:val="003D3239"/>
    <w:rsid w:val="003D3320"/>
    <w:rsid w:val="003D33B7"/>
    <w:rsid w:val="003D33C4"/>
    <w:rsid w:val="003D34C4"/>
    <w:rsid w:val="003D3503"/>
    <w:rsid w:val="003D3B61"/>
    <w:rsid w:val="003D3F67"/>
    <w:rsid w:val="003D407B"/>
    <w:rsid w:val="003D41C7"/>
    <w:rsid w:val="003D4231"/>
    <w:rsid w:val="003D447D"/>
    <w:rsid w:val="003D4542"/>
    <w:rsid w:val="003D45CA"/>
    <w:rsid w:val="003D4854"/>
    <w:rsid w:val="003D4D07"/>
    <w:rsid w:val="003D4D4A"/>
    <w:rsid w:val="003D4EE7"/>
    <w:rsid w:val="003D5047"/>
    <w:rsid w:val="003D53D0"/>
    <w:rsid w:val="003D5546"/>
    <w:rsid w:val="003D55C8"/>
    <w:rsid w:val="003D579B"/>
    <w:rsid w:val="003D586B"/>
    <w:rsid w:val="003D5B9F"/>
    <w:rsid w:val="003D5F4C"/>
    <w:rsid w:val="003D5FE4"/>
    <w:rsid w:val="003D607C"/>
    <w:rsid w:val="003D6480"/>
    <w:rsid w:val="003D66E6"/>
    <w:rsid w:val="003D6723"/>
    <w:rsid w:val="003D6C2E"/>
    <w:rsid w:val="003D6E15"/>
    <w:rsid w:val="003D6E31"/>
    <w:rsid w:val="003D6EA7"/>
    <w:rsid w:val="003D750B"/>
    <w:rsid w:val="003D7847"/>
    <w:rsid w:val="003D785E"/>
    <w:rsid w:val="003D78CC"/>
    <w:rsid w:val="003D7ADA"/>
    <w:rsid w:val="003D7C89"/>
    <w:rsid w:val="003D7DBF"/>
    <w:rsid w:val="003D7FE0"/>
    <w:rsid w:val="003D7FFA"/>
    <w:rsid w:val="003E0029"/>
    <w:rsid w:val="003E00A2"/>
    <w:rsid w:val="003E016D"/>
    <w:rsid w:val="003E01BF"/>
    <w:rsid w:val="003E02D6"/>
    <w:rsid w:val="003E0325"/>
    <w:rsid w:val="003E051E"/>
    <w:rsid w:val="003E06AE"/>
    <w:rsid w:val="003E0B65"/>
    <w:rsid w:val="003E0BAC"/>
    <w:rsid w:val="003E0D37"/>
    <w:rsid w:val="003E0F0B"/>
    <w:rsid w:val="003E1110"/>
    <w:rsid w:val="003E1228"/>
    <w:rsid w:val="003E1460"/>
    <w:rsid w:val="003E150A"/>
    <w:rsid w:val="003E1511"/>
    <w:rsid w:val="003E164A"/>
    <w:rsid w:val="003E1667"/>
    <w:rsid w:val="003E1689"/>
    <w:rsid w:val="003E18F1"/>
    <w:rsid w:val="003E1929"/>
    <w:rsid w:val="003E19A6"/>
    <w:rsid w:val="003E1A46"/>
    <w:rsid w:val="003E1F9C"/>
    <w:rsid w:val="003E1FBF"/>
    <w:rsid w:val="003E20F1"/>
    <w:rsid w:val="003E249E"/>
    <w:rsid w:val="003E2544"/>
    <w:rsid w:val="003E27BC"/>
    <w:rsid w:val="003E28C0"/>
    <w:rsid w:val="003E2A52"/>
    <w:rsid w:val="003E2AEA"/>
    <w:rsid w:val="003E2FFA"/>
    <w:rsid w:val="003E31A8"/>
    <w:rsid w:val="003E3356"/>
    <w:rsid w:val="003E350B"/>
    <w:rsid w:val="003E35D0"/>
    <w:rsid w:val="003E3754"/>
    <w:rsid w:val="003E3B59"/>
    <w:rsid w:val="003E3C9B"/>
    <w:rsid w:val="003E418E"/>
    <w:rsid w:val="003E4197"/>
    <w:rsid w:val="003E43CD"/>
    <w:rsid w:val="003E449E"/>
    <w:rsid w:val="003E47F6"/>
    <w:rsid w:val="003E4879"/>
    <w:rsid w:val="003E4A8C"/>
    <w:rsid w:val="003E5336"/>
    <w:rsid w:val="003E57B2"/>
    <w:rsid w:val="003E57B5"/>
    <w:rsid w:val="003E5DE7"/>
    <w:rsid w:val="003E5E43"/>
    <w:rsid w:val="003E5E60"/>
    <w:rsid w:val="003E61B8"/>
    <w:rsid w:val="003E6582"/>
    <w:rsid w:val="003E66DF"/>
    <w:rsid w:val="003E67E5"/>
    <w:rsid w:val="003E6963"/>
    <w:rsid w:val="003E69A1"/>
    <w:rsid w:val="003E69E9"/>
    <w:rsid w:val="003E6BB8"/>
    <w:rsid w:val="003E6DE2"/>
    <w:rsid w:val="003E6DF8"/>
    <w:rsid w:val="003E6F87"/>
    <w:rsid w:val="003E6FA9"/>
    <w:rsid w:val="003E7196"/>
    <w:rsid w:val="003E7338"/>
    <w:rsid w:val="003E76CC"/>
    <w:rsid w:val="003E772E"/>
    <w:rsid w:val="003E79BA"/>
    <w:rsid w:val="003E79BB"/>
    <w:rsid w:val="003E79DA"/>
    <w:rsid w:val="003E7ABD"/>
    <w:rsid w:val="003E7CFC"/>
    <w:rsid w:val="003E7E80"/>
    <w:rsid w:val="003E7F67"/>
    <w:rsid w:val="003E7FF1"/>
    <w:rsid w:val="003F014A"/>
    <w:rsid w:val="003F01FB"/>
    <w:rsid w:val="003F0466"/>
    <w:rsid w:val="003F05A4"/>
    <w:rsid w:val="003F06B7"/>
    <w:rsid w:val="003F098E"/>
    <w:rsid w:val="003F09A7"/>
    <w:rsid w:val="003F0A78"/>
    <w:rsid w:val="003F0A86"/>
    <w:rsid w:val="003F0AAA"/>
    <w:rsid w:val="003F0BE6"/>
    <w:rsid w:val="003F0C2B"/>
    <w:rsid w:val="003F0D32"/>
    <w:rsid w:val="003F0D3B"/>
    <w:rsid w:val="003F0E7A"/>
    <w:rsid w:val="003F0ED3"/>
    <w:rsid w:val="003F103F"/>
    <w:rsid w:val="003F1155"/>
    <w:rsid w:val="003F1322"/>
    <w:rsid w:val="003F136D"/>
    <w:rsid w:val="003F1528"/>
    <w:rsid w:val="003F17AE"/>
    <w:rsid w:val="003F1895"/>
    <w:rsid w:val="003F1933"/>
    <w:rsid w:val="003F1A18"/>
    <w:rsid w:val="003F1CB0"/>
    <w:rsid w:val="003F1F32"/>
    <w:rsid w:val="003F1F5F"/>
    <w:rsid w:val="003F21FD"/>
    <w:rsid w:val="003F2257"/>
    <w:rsid w:val="003F2279"/>
    <w:rsid w:val="003F2549"/>
    <w:rsid w:val="003F26DB"/>
    <w:rsid w:val="003F29CD"/>
    <w:rsid w:val="003F2A76"/>
    <w:rsid w:val="003F2B85"/>
    <w:rsid w:val="003F2DB7"/>
    <w:rsid w:val="003F2EF5"/>
    <w:rsid w:val="003F302C"/>
    <w:rsid w:val="003F312B"/>
    <w:rsid w:val="003F3145"/>
    <w:rsid w:val="003F3C39"/>
    <w:rsid w:val="003F3F68"/>
    <w:rsid w:val="003F436E"/>
    <w:rsid w:val="003F44E9"/>
    <w:rsid w:val="003F45ED"/>
    <w:rsid w:val="003F494D"/>
    <w:rsid w:val="003F4980"/>
    <w:rsid w:val="003F4A9A"/>
    <w:rsid w:val="003F4AF5"/>
    <w:rsid w:val="003F4F00"/>
    <w:rsid w:val="003F50C4"/>
    <w:rsid w:val="003F50D4"/>
    <w:rsid w:val="003F5193"/>
    <w:rsid w:val="003F5399"/>
    <w:rsid w:val="003F542C"/>
    <w:rsid w:val="003F545B"/>
    <w:rsid w:val="003F54E8"/>
    <w:rsid w:val="003F5762"/>
    <w:rsid w:val="003F5CFF"/>
    <w:rsid w:val="003F5EBF"/>
    <w:rsid w:val="003F60DF"/>
    <w:rsid w:val="003F6312"/>
    <w:rsid w:val="003F634B"/>
    <w:rsid w:val="003F64FC"/>
    <w:rsid w:val="003F6541"/>
    <w:rsid w:val="003F6942"/>
    <w:rsid w:val="003F69B1"/>
    <w:rsid w:val="003F69B5"/>
    <w:rsid w:val="003F6B2F"/>
    <w:rsid w:val="003F6D08"/>
    <w:rsid w:val="003F6D29"/>
    <w:rsid w:val="003F7009"/>
    <w:rsid w:val="003F7150"/>
    <w:rsid w:val="003F742D"/>
    <w:rsid w:val="003F7451"/>
    <w:rsid w:val="003F74BB"/>
    <w:rsid w:val="003F74DF"/>
    <w:rsid w:val="003F74E0"/>
    <w:rsid w:val="003F755B"/>
    <w:rsid w:val="003F757C"/>
    <w:rsid w:val="003F7780"/>
    <w:rsid w:val="003F78AB"/>
    <w:rsid w:val="003F7926"/>
    <w:rsid w:val="003F7B06"/>
    <w:rsid w:val="003F7B4C"/>
    <w:rsid w:val="003F7D16"/>
    <w:rsid w:val="003F7E73"/>
    <w:rsid w:val="003F7EA2"/>
    <w:rsid w:val="003F7F5A"/>
    <w:rsid w:val="0040036A"/>
    <w:rsid w:val="004009DE"/>
    <w:rsid w:val="00400A50"/>
    <w:rsid w:val="00400AF9"/>
    <w:rsid w:val="00400F36"/>
    <w:rsid w:val="004010A1"/>
    <w:rsid w:val="004012AA"/>
    <w:rsid w:val="00401343"/>
    <w:rsid w:val="004013D0"/>
    <w:rsid w:val="00401474"/>
    <w:rsid w:val="004014D7"/>
    <w:rsid w:val="0040152F"/>
    <w:rsid w:val="00401613"/>
    <w:rsid w:val="0040167C"/>
    <w:rsid w:val="0040173A"/>
    <w:rsid w:val="00401B3A"/>
    <w:rsid w:val="00401C64"/>
    <w:rsid w:val="00401CD3"/>
    <w:rsid w:val="00401DF7"/>
    <w:rsid w:val="0040206C"/>
    <w:rsid w:val="004020AC"/>
    <w:rsid w:val="004020F1"/>
    <w:rsid w:val="004023F3"/>
    <w:rsid w:val="004026D4"/>
    <w:rsid w:val="00402722"/>
    <w:rsid w:val="00402859"/>
    <w:rsid w:val="0040299B"/>
    <w:rsid w:val="00402CA2"/>
    <w:rsid w:val="00402F95"/>
    <w:rsid w:val="00403037"/>
    <w:rsid w:val="0040306A"/>
    <w:rsid w:val="00403158"/>
    <w:rsid w:val="0040320F"/>
    <w:rsid w:val="0040326C"/>
    <w:rsid w:val="0040335E"/>
    <w:rsid w:val="00403547"/>
    <w:rsid w:val="004035ED"/>
    <w:rsid w:val="00403676"/>
    <w:rsid w:val="00403863"/>
    <w:rsid w:val="0040393F"/>
    <w:rsid w:val="0040394A"/>
    <w:rsid w:val="00403AF0"/>
    <w:rsid w:val="00403D94"/>
    <w:rsid w:val="00403F56"/>
    <w:rsid w:val="0040421E"/>
    <w:rsid w:val="004042F8"/>
    <w:rsid w:val="0040498E"/>
    <w:rsid w:val="00404D2E"/>
    <w:rsid w:val="0040529E"/>
    <w:rsid w:val="00405320"/>
    <w:rsid w:val="004055A8"/>
    <w:rsid w:val="004056BC"/>
    <w:rsid w:val="004059A1"/>
    <w:rsid w:val="00405A46"/>
    <w:rsid w:val="00405E51"/>
    <w:rsid w:val="00405E9F"/>
    <w:rsid w:val="00405F3C"/>
    <w:rsid w:val="00405FDF"/>
    <w:rsid w:val="004062B1"/>
    <w:rsid w:val="00406617"/>
    <w:rsid w:val="00406806"/>
    <w:rsid w:val="00406B16"/>
    <w:rsid w:val="00406BB4"/>
    <w:rsid w:val="00406C79"/>
    <w:rsid w:val="00406E15"/>
    <w:rsid w:val="00407278"/>
    <w:rsid w:val="00407392"/>
    <w:rsid w:val="0040744F"/>
    <w:rsid w:val="004074C7"/>
    <w:rsid w:val="004076A0"/>
    <w:rsid w:val="00407ABE"/>
    <w:rsid w:val="00407F9A"/>
    <w:rsid w:val="004100EE"/>
    <w:rsid w:val="00410164"/>
    <w:rsid w:val="004101B8"/>
    <w:rsid w:val="00410282"/>
    <w:rsid w:val="0041066F"/>
    <w:rsid w:val="00410723"/>
    <w:rsid w:val="004108E9"/>
    <w:rsid w:val="00410AAA"/>
    <w:rsid w:val="00410D35"/>
    <w:rsid w:val="00410E54"/>
    <w:rsid w:val="0041105C"/>
    <w:rsid w:val="004110EB"/>
    <w:rsid w:val="0041139F"/>
    <w:rsid w:val="0041156B"/>
    <w:rsid w:val="004118B3"/>
    <w:rsid w:val="00411A6F"/>
    <w:rsid w:val="00411B95"/>
    <w:rsid w:val="00412128"/>
    <w:rsid w:val="00412410"/>
    <w:rsid w:val="00412431"/>
    <w:rsid w:val="0041266F"/>
    <w:rsid w:val="0041280F"/>
    <w:rsid w:val="00412A5E"/>
    <w:rsid w:val="00412B59"/>
    <w:rsid w:val="00412D51"/>
    <w:rsid w:val="00412D97"/>
    <w:rsid w:val="00412EE5"/>
    <w:rsid w:val="00412F6B"/>
    <w:rsid w:val="0041306A"/>
    <w:rsid w:val="00413183"/>
    <w:rsid w:val="0041322D"/>
    <w:rsid w:val="004133E4"/>
    <w:rsid w:val="00413C6B"/>
    <w:rsid w:val="00413F97"/>
    <w:rsid w:val="004141D4"/>
    <w:rsid w:val="004142DD"/>
    <w:rsid w:val="00414370"/>
    <w:rsid w:val="004145EE"/>
    <w:rsid w:val="00414665"/>
    <w:rsid w:val="004146DE"/>
    <w:rsid w:val="00414723"/>
    <w:rsid w:val="004148B9"/>
    <w:rsid w:val="004148DA"/>
    <w:rsid w:val="00414A55"/>
    <w:rsid w:val="00414D85"/>
    <w:rsid w:val="00414EA4"/>
    <w:rsid w:val="004152F2"/>
    <w:rsid w:val="00415502"/>
    <w:rsid w:val="00415610"/>
    <w:rsid w:val="00415680"/>
    <w:rsid w:val="004157D4"/>
    <w:rsid w:val="00415B05"/>
    <w:rsid w:val="00415B6D"/>
    <w:rsid w:val="00415DB3"/>
    <w:rsid w:val="00415DC9"/>
    <w:rsid w:val="0041609D"/>
    <w:rsid w:val="0041644D"/>
    <w:rsid w:val="004168F8"/>
    <w:rsid w:val="00416968"/>
    <w:rsid w:val="00416970"/>
    <w:rsid w:val="00416A19"/>
    <w:rsid w:val="00416A78"/>
    <w:rsid w:val="00416BF1"/>
    <w:rsid w:val="00417097"/>
    <w:rsid w:val="00417195"/>
    <w:rsid w:val="00417525"/>
    <w:rsid w:val="004177B1"/>
    <w:rsid w:val="00417CB8"/>
    <w:rsid w:val="00417D1C"/>
    <w:rsid w:val="00417E2E"/>
    <w:rsid w:val="00417FFB"/>
    <w:rsid w:val="00420204"/>
    <w:rsid w:val="00420314"/>
    <w:rsid w:val="00420501"/>
    <w:rsid w:val="00420603"/>
    <w:rsid w:val="004206D8"/>
    <w:rsid w:val="004207CF"/>
    <w:rsid w:val="00420A21"/>
    <w:rsid w:val="00420A8A"/>
    <w:rsid w:val="00420A95"/>
    <w:rsid w:val="00420F6F"/>
    <w:rsid w:val="004215E6"/>
    <w:rsid w:val="0042178E"/>
    <w:rsid w:val="0042178F"/>
    <w:rsid w:val="004217BB"/>
    <w:rsid w:val="004219A6"/>
    <w:rsid w:val="00421ADF"/>
    <w:rsid w:val="00421BB5"/>
    <w:rsid w:val="00421C0E"/>
    <w:rsid w:val="00421D8A"/>
    <w:rsid w:val="00421F90"/>
    <w:rsid w:val="00422064"/>
    <w:rsid w:val="004221BB"/>
    <w:rsid w:val="00422373"/>
    <w:rsid w:val="004223BE"/>
    <w:rsid w:val="004224D3"/>
    <w:rsid w:val="00422826"/>
    <w:rsid w:val="0042292D"/>
    <w:rsid w:val="004229CD"/>
    <w:rsid w:val="00422DC8"/>
    <w:rsid w:val="00422E91"/>
    <w:rsid w:val="00422EBE"/>
    <w:rsid w:val="004230E6"/>
    <w:rsid w:val="004231C0"/>
    <w:rsid w:val="0042393C"/>
    <w:rsid w:val="00423A76"/>
    <w:rsid w:val="00423EFA"/>
    <w:rsid w:val="00423FDE"/>
    <w:rsid w:val="004240AD"/>
    <w:rsid w:val="004242DA"/>
    <w:rsid w:val="00424349"/>
    <w:rsid w:val="0042438D"/>
    <w:rsid w:val="00424629"/>
    <w:rsid w:val="00424CC7"/>
    <w:rsid w:val="00424D72"/>
    <w:rsid w:val="00424E5D"/>
    <w:rsid w:val="00424FCD"/>
    <w:rsid w:val="0042508D"/>
    <w:rsid w:val="00425162"/>
    <w:rsid w:val="004251C6"/>
    <w:rsid w:val="0042528C"/>
    <w:rsid w:val="00425364"/>
    <w:rsid w:val="00425450"/>
    <w:rsid w:val="0042547E"/>
    <w:rsid w:val="0042550F"/>
    <w:rsid w:val="00425576"/>
    <w:rsid w:val="0042567E"/>
    <w:rsid w:val="0042568D"/>
    <w:rsid w:val="004256A5"/>
    <w:rsid w:val="004256D3"/>
    <w:rsid w:val="00425BC6"/>
    <w:rsid w:val="00425DAE"/>
    <w:rsid w:val="00425E2F"/>
    <w:rsid w:val="00425E4C"/>
    <w:rsid w:val="00425EF3"/>
    <w:rsid w:val="00426180"/>
    <w:rsid w:val="00426407"/>
    <w:rsid w:val="004265EB"/>
    <w:rsid w:val="004266BE"/>
    <w:rsid w:val="004269BA"/>
    <w:rsid w:val="004269FA"/>
    <w:rsid w:val="00426C64"/>
    <w:rsid w:val="00426E45"/>
    <w:rsid w:val="00426EB1"/>
    <w:rsid w:val="00426EE9"/>
    <w:rsid w:val="00426F80"/>
    <w:rsid w:val="00427155"/>
    <w:rsid w:val="00427496"/>
    <w:rsid w:val="0042755A"/>
    <w:rsid w:val="004277E2"/>
    <w:rsid w:val="00427950"/>
    <w:rsid w:val="0042795E"/>
    <w:rsid w:val="00427AC8"/>
    <w:rsid w:val="00427BF2"/>
    <w:rsid w:val="00427C13"/>
    <w:rsid w:val="00427F69"/>
    <w:rsid w:val="00430037"/>
    <w:rsid w:val="004308AC"/>
    <w:rsid w:val="00430B37"/>
    <w:rsid w:val="00430D31"/>
    <w:rsid w:val="00430F59"/>
    <w:rsid w:val="004310F5"/>
    <w:rsid w:val="00431117"/>
    <w:rsid w:val="004311C2"/>
    <w:rsid w:val="004311D7"/>
    <w:rsid w:val="00431690"/>
    <w:rsid w:val="00431711"/>
    <w:rsid w:val="00431732"/>
    <w:rsid w:val="00431DA2"/>
    <w:rsid w:val="00431E87"/>
    <w:rsid w:val="0043214C"/>
    <w:rsid w:val="0043246F"/>
    <w:rsid w:val="0043257A"/>
    <w:rsid w:val="004325B3"/>
    <w:rsid w:val="0043268C"/>
    <w:rsid w:val="00432719"/>
    <w:rsid w:val="004327FF"/>
    <w:rsid w:val="0043282F"/>
    <w:rsid w:val="00432F55"/>
    <w:rsid w:val="00433064"/>
    <w:rsid w:val="00433649"/>
    <w:rsid w:val="00433821"/>
    <w:rsid w:val="00433900"/>
    <w:rsid w:val="004339D6"/>
    <w:rsid w:val="00433A81"/>
    <w:rsid w:val="00433B4A"/>
    <w:rsid w:val="00433CAD"/>
    <w:rsid w:val="00433F9F"/>
    <w:rsid w:val="00434425"/>
    <w:rsid w:val="0043450D"/>
    <w:rsid w:val="00434859"/>
    <w:rsid w:val="0043495B"/>
    <w:rsid w:val="004349ED"/>
    <w:rsid w:val="004349FB"/>
    <w:rsid w:val="00434ACC"/>
    <w:rsid w:val="00434CBD"/>
    <w:rsid w:val="00434D0C"/>
    <w:rsid w:val="00434E35"/>
    <w:rsid w:val="004351BE"/>
    <w:rsid w:val="004356A0"/>
    <w:rsid w:val="00435967"/>
    <w:rsid w:val="00435B6D"/>
    <w:rsid w:val="00435BD8"/>
    <w:rsid w:val="00435D98"/>
    <w:rsid w:val="00435F9D"/>
    <w:rsid w:val="0043609C"/>
    <w:rsid w:val="00436360"/>
    <w:rsid w:val="00436377"/>
    <w:rsid w:val="004367BF"/>
    <w:rsid w:val="00436842"/>
    <w:rsid w:val="0043690A"/>
    <w:rsid w:val="00436CB7"/>
    <w:rsid w:val="00436D0D"/>
    <w:rsid w:val="00436D68"/>
    <w:rsid w:val="00436F4D"/>
    <w:rsid w:val="00436FFC"/>
    <w:rsid w:val="0043708D"/>
    <w:rsid w:val="004370CB"/>
    <w:rsid w:val="00437105"/>
    <w:rsid w:val="0043713F"/>
    <w:rsid w:val="00437438"/>
    <w:rsid w:val="00437551"/>
    <w:rsid w:val="00437617"/>
    <w:rsid w:val="004378AD"/>
    <w:rsid w:val="00437A76"/>
    <w:rsid w:val="00437B12"/>
    <w:rsid w:val="00437DB6"/>
    <w:rsid w:val="00437F76"/>
    <w:rsid w:val="00440159"/>
    <w:rsid w:val="00440168"/>
    <w:rsid w:val="004401D2"/>
    <w:rsid w:val="0044050B"/>
    <w:rsid w:val="00440588"/>
    <w:rsid w:val="00440DF4"/>
    <w:rsid w:val="00440EDB"/>
    <w:rsid w:val="00441017"/>
    <w:rsid w:val="004411E3"/>
    <w:rsid w:val="00441482"/>
    <w:rsid w:val="004414EB"/>
    <w:rsid w:val="0044150E"/>
    <w:rsid w:val="00441605"/>
    <w:rsid w:val="004416F7"/>
    <w:rsid w:val="004417A6"/>
    <w:rsid w:val="004419E3"/>
    <w:rsid w:val="00441AE6"/>
    <w:rsid w:val="00441BD3"/>
    <w:rsid w:val="00441D60"/>
    <w:rsid w:val="00441F24"/>
    <w:rsid w:val="00442013"/>
    <w:rsid w:val="00442116"/>
    <w:rsid w:val="004422DE"/>
    <w:rsid w:val="00442315"/>
    <w:rsid w:val="00442416"/>
    <w:rsid w:val="004424AF"/>
    <w:rsid w:val="004424C2"/>
    <w:rsid w:val="0044252C"/>
    <w:rsid w:val="00442646"/>
    <w:rsid w:val="004427D5"/>
    <w:rsid w:val="004427F4"/>
    <w:rsid w:val="0044296E"/>
    <w:rsid w:val="00442C5F"/>
    <w:rsid w:val="00442F0E"/>
    <w:rsid w:val="004430D7"/>
    <w:rsid w:val="0044327A"/>
    <w:rsid w:val="00443C10"/>
    <w:rsid w:val="00443D62"/>
    <w:rsid w:val="004442B8"/>
    <w:rsid w:val="004442F7"/>
    <w:rsid w:val="00444C88"/>
    <w:rsid w:val="00444CBD"/>
    <w:rsid w:val="00444D57"/>
    <w:rsid w:val="00444E95"/>
    <w:rsid w:val="00445042"/>
    <w:rsid w:val="00445098"/>
    <w:rsid w:val="00445121"/>
    <w:rsid w:val="004456F9"/>
    <w:rsid w:val="0044594E"/>
    <w:rsid w:val="00445AC2"/>
    <w:rsid w:val="00445BE2"/>
    <w:rsid w:val="00446563"/>
    <w:rsid w:val="00446A84"/>
    <w:rsid w:val="00446D90"/>
    <w:rsid w:val="00446F74"/>
    <w:rsid w:val="00447087"/>
    <w:rsid w:val="00447297"/>
    <w:rsid w:val="004473DC"/>
    <w:rsid w:val="004475FB"/>
    <w:rsid w:val="0044760D"/>
    <w:rsid w:val="004477DE"/>
    <w:rsid w:val="0044783A"/>
    <w:rsid w:val="00447AB1"/>
    <w:rsid w:val="00447C11"/>
    <w:rsid w:val="00447C93"/>
    <w:rsid w:val="00447D92"/>
    <w:rsid w:val="00450000"/>
    <w:rsid w:val="004502B5"/>
    <w:rsid w:val="00450670"/>
    <w:rsid w:val="00450943"/>
    <w:rsid w:val="004509EB"/>
    <w:rsid w:val="00450A26"/>
    <w:rsid w:val="00450B29"/>
    <w:rsid w:val="00450D54"/>
    <w:rsid w:val="00450DA2"/>
    <w:rsid w:val="00450DA8"/>
    <w:rsid w:val="00450E93"/>
    <w:rsid w:val="0045118C"/>
    <w:rsid w:val="0045141E"/>
    <w:rsid w:val="0045148A"/>
    <w:rsid w:val="004517F6"/>
    <w:rsid w:val="004519D9"/>
    <w:rsid w:val="00451DA2"/>
    <w:rsid w:val="00451DC7"/>
    <w:rsid w:val="00451EC2"/>
    <w:rsid w:val="0045221F"/>
    <w:rsid w:val="004528AE"/>
    <w:rsid w:val="004531D6"/>
    <w:rsid w:val="0045385A"/>
    <w:rsid w:val="00453A26"/>
    <w:rsid w:val="00453AEE"/>
    <w:rsid w:val="00453DC0"/>
    <w:rsid w:val="00453E8D"/>
    <w:rsid w:val="00453EC4"/>
    <w:rsid w:val="004540B2"/>
    <w:rsid w:val="004541E0"/>
    <w:rsid w:val="004542C5"/>
    <w:rsid w:val="00454322"/>
    <w:rsid w:val="0045440A"/>
    <w:rsid w:val="00454899"/>
    <w:rsid w:val="00454962"/>
    <w:rsid w:val="00454ACF"/>
    <w:rsid w:val="00454AF9"/>
    <w:rsid w:val="00454C06"/>
    <w:rsid w:val="00454E49"/>
    <w:rsid w:val="0045517E"/>
    <w:rsid w:val="00455415"/>
    <w:rsid w:val="004556B5"/>
    <w:rsid w:val="00455700"/>
    <w:rsid w:val="004557E9"/>
    <w:rsid w:val="00455B70"/>
    <w:rsid w:val="00456007"/>
    <w:rsid w:val="00456108"/>
    <w:rsid w:val="0045627B"/>
    <w:rsid w:val="00456454"/>
    <w:rsid w:val="0045648C"/>
    <w:rsid w:val="0045649E"/>
    <w:rsid w:val="0045659E"/>
    <w:rsid w:val="00456713"/>
    <w:rsid w:val="004568C4"/>
    <w:rsid w:val="004568E1"/>
    <w:rsid w:val="00456D29"/>
    <w:rsid w:val="00456F3B"/>
    <w:rsid w:val="00457199"/>
    <w:rsid w:val="0045719D"/>
    <w:rsid w:val="00457230"/>
    <w:rsid w:val="00457324"/>
    <w:rsid w:val="00457450"/>
    <w:rsid w:val="00457494"/>
    <w:rsid w:val="00457662"/>
    <w:rsid w:val="004577FE"/>
    <w:rsid w:val="004579FD"/>
    <w:rsid w:val="00457DBE"/>
    <w:rsid w:val="00457EC4"/>
    <w:rsid w:val="00460307"/>
    <w:rsid w:val="0046050B"/>
    <w:rsid w:val="00460903"/>
    <w:rsid w:val="00461007"/>
    <w:rsid w:val="00461039"/>
    <w:rsid w:val="00461CD7"/>
    <w:rsid w:val="004623D6"/>
    <w:rsid w:val="0046268B"/>
    <w:rsid w:val="004626EC"/>
    <w:rsid w:val="0046272C"/>
    <w:rsid w:val="00462877"/>
    <w:rsid w:val="00462A89"/>
    <w:rsid w:val="00462AA7"/>
    <w:rsid w:val="00462AB7"/>
    <w:rsid w:val="00462DAF"/>
    <w:rsid w:val="00463125"/>
    <w:rsid w:val="00463489"/>
    <w:rsid w:val="00463506"/>
    <w:rsid w:val="00463595"/>
    <w:rsid w:val="004635E8"/>
    <w:rsid w:val="0046366A"/>
    <w:rsid w:val="00463A2E"/>
    <w:rsid w:val="00463B3F"/>
    <w:rsid w:val="00463F11"/>
    <w:rsid w:val="00463F3E"/>
    <w:rsid w:val="00464402"/>
    <w:rsid w:val="004644C9"/>
    <w:rsid w:val="00464711"/>
    <w:rsid w:val="00464B07"/>
    <w:rsid w:val="00464B6C"/>
    <w:rsid w:val="00464B95"/>
    <w:rsid w:val="00464BFD"/>
    <w:rsid w:val="0046547C"/>
    <w:rsid w:val="004655B5"/>
    <w:rsid w:val="004656E5"/>
    <w:rsid w:val="0046578C"/>
    <w:rsid w:val="00465B07"/>
    <w:rsid w:val="00465CB9"/>
    <w:rsid w:val="00465CD3"/>
    <w:rsid w:val="00465EF0"/>
    <w:rsid w:val="00465F92"/>
    <w:rsid w:val="0046621B"/>
    <w:rsid w:val="00466246"/>
    <w:rsid w:val="004663DE"/>
    <w:rsid w:val="00466625"/>
    <w:rsid w:val="0046680B"/>
    <w:rsid w:val="0046698A"/>
    <w:rsid w:val="00466C92"/>
    <w:rsid w:val="00467247"/>
    <w:rsid w:val="004673FB"/>
    <w:rsid w:val="0046751A"/>
    <w:rsid w:val="00467A32"/>
    <w:rsid w:val="00467E6E"/>
    <w:rsid w:val="004705DE"/>
    <w:rsid w:val="004709EE"/>
    <w:rsid w:val="00470A0B"/>
    <w:rsid w:val="00470D60"/>
    <w:rsid w:val="00471128"/>
    <w:rsid w:val="004712C4"/>
    <w:rsid w:val="0047156A"/>
    <w:rsid w:val="0047187B"/>
    <w:rsid w:val="00471957"/>
    <w:rsid w:val="00471BBE"/>
    <w:rsid w:val="00471BE5"/>
    <w:rsid w:val="00471C0F"/>
    <w:rsid w:val="004722D1"/>
    <w:rsid w:val="00472A65"/>
    <w:rsid w:val="00472C3E"/>
    <w:rsid w:val="00472CAC"/>
    <w:rsid w:val="00472CE5"/>
    <w:rsid w:val="00472DDC"/>
    <w:rsid w:val="00472E40"/>
    <w:rsid w:val="004730D3"/>
    <w:rsid w:val="0047387F"/>
    <w:rsid w:val="0047388D"/>
    <w:rsid w:val="004739E0"/>
    <w:rsid w:val="00473ADF"/>
    <w:rsid w:val="00473B2A"/>
    <w:rsid w:val="00473BA2"/>
    <w:rsid w:val="00473DF8"/>
    <w:rsid w:val="004742B2"/>
    <w:rsid w:val="0047449A"/>
    <w:rsid w:val="00474B45"/>
    <w:rsid w:val="00474C80"/>
    <w:rsid w:val="00474E32"/>
    <w:rsid w:val="0047505E"/>
    <w:rsid w:val="00475284"/>
    <w:rsid w:val="0047539D"/>
    <w:rsid w:val="00475425"/>
    <w:rsid w:val="00475871"/>
    <w:rsid w:val="00475BF3"/>
    <w:rsid w:val="00475C1F"/>
    <w:rsid w:val="00475EE5"/>
    <w:rsid w:val="004763EE"/>
    <w:rsid w:val="00476607"/>
    <w:rsid w:val="0047672A"/>
    <w:rsid w:val="004767FD"/>
    <w:rsid w:val="00476A0E"/>
    <w:rsid w:val="00476B9B"/>
    <w:rsid w:val="00476FF5"/>
    <w:rsid w:val="004770F3"/>
    <w:rsid w:val="00477735"/>
    <w:rsid w:val="004779BC"/>
    <w:rsid w:val="00477AF4"/>
    <w:rsid w:val="00477B72"/>
    <w:rsid w:val="00477BA8"/>
    <w:rsid w:val="00477CBB"/>
    <w:rsid w:val="00477D9F"/>
    <w:rsid w:val="00477F0C"/>
    <w:rsid w:val="00480113"/>
    <w:rsid w:val="0048023B"/>
    <w:rsid w:val="00480778"/>
    <w:rsid w:val="004809C1"/>
    <w:rsid w:val="00480B0C"/>
    <w:rsid w:val="00480B5B"/>
    <w:rsid w:val="00480CF2"/>
    <w:rsid w:val="00480F1B"/>
    <w:rsid w:val="00481058"/>
    <w:rsid w:val="004811BC"/>
    <w:rsid w:val="00481237"/>
    <w:rsid w:val="00481260"/>
    <w:rsid w:val="00481435"/>
    <w:rsid w:val="004817DD"/>
    <w:rsid w:val="004819AF"/>
    <w:rsid w:val="00481D58"/>
    <w:rsid w:val="00481DC4"/>
    <w:rsid w:val="00481EB0"/>
    <w:rsid w:val="00481EC8"/>
    <w:rsid w:val="00481EE6"/>
    <w:rsid w:val="00481FD1"/>
    <w:rsid w:val="00482038"/>
    <w:rsid w:val="00482457"/>
    <w:rsid w:val="004825A0"/>
    <w:rsid w:val="00482601"/>
    <w:rsid w:val="00482674"/>
    <w:rsid w:val="004826C2"/>
    <w:rsid w:val="00482DA8"/>
    <w:rsid w:val="00482FEE"/>
    <w:rsid w:val="004830D4"/>
    <w:rsid w:val="00483110"/>
    <w:rsid w:val="004831F5"/>
    <w:rsid w:val="00483528"/>
    <w:rsid w:val="00483541"/>
    <w:rsid w:val="0048379C"/>
    <w:rsid w:val="00483B48"/>
    <w:rsid w:val="00483DA8"/>
    <w:rsid w:val="00484175"/>
    <w:rsid w:val="00484459"/>
    <w:rsid w:val="004844FD"/>
    <w:rsid w:val="00484A5E"/>
    <w:rsid w:val="00484D5E"/>
    <w:rsid w:val="00484E43"/>
    <w:rsid w:val="004853E1"/>
    <w:rsid w:val="0048540C"/>
    <w:rsid w:val="0048542C"/>
    <w:rsid w:val="0048552B"/>
    <w:rsid w:val="004855B8"/>
    <w:rsid w:val="00485739"/>
    <w:rsid w:val="00485A21"/>
    <w:rsid w:val="00485A98"/>
    <w:rsid w:val="004860A6"/>
    <w:rsid w:val="0048622A"/>
    <w:rsid w:val="004864B9"/>
    <w:rsid w:val="004866BD"/>
    <w:rsid w:val="00486733"/>
    <w:rsid w:val="00486B1A"/>
    <w:rsid w:val="00486BF8"/>
    <w:rsid w:val="00486C4A"/>
    <w:rsid w:val="00486D96"/>
    <w:rsid w:val="00486FC6"/>
    <w:rsid w:val="00487098"/>
    <w:rsid w:val="004871C4"/>
    <w:rsid w:val="00487236"/>
    <w:rsid w:val="00487321"/>
    <w:rsid w:val="004873D1"/>
    <w:rsid w:val="00487893"/>
    <w:rsid w:val="004879C8"/>
    <w:rsid w:val="00487AD7"/>
    <w:rsid w:val="00487F29"/>
    <w:rsid w:val="00490368"/>
    <w:rsid w:val="00490655"/>
    <w:rsid w:val="00490898"/>
    <w:rsid w:val="004909DD"/>
    <w:rsid w:val="00490A5F"/>
    <w:rsid w:val="00490AC9"/>
    <w:rsid w:val="004910AE"/>
    <w:rsid w:val="00491100"/>
    <w:rsid w:val="0049145A"/>
    <w:rsid w:val="004914F2"/>
    <w:rsid w:val="00491BA7"/>
    <w:rsid w:val="00491D67"/>
    <w:rsid w:val="00491E3D"/>
    <w:rsid w:val="00491EA4"/>
    <w:rsid w:val="00491F18"/>
    <w:rsid w:val="00492153"/>
    <w:rsid w:val="004921B4"/>
    <w:rsid w:val="00492291"/>
    <w:rsid w:val="0049250A"/>
    <w:rsid w:val="00492637"/>
    <w:rsid w:val="004926B7"/>
    <w:rsid w:val="00492839"/>
    <w:rsid w:val="00492873"/>
    <w:rsid w:val="00492C46"/>
    <w:rsid w:val="00492DB1"/>
    <w:rsid w:val="00492E7A"/>
    <w:rsid w:val="00492F4C"/>
    <w:rsid w:val="004931F6"/>
    <w:rsid w:val="004933A0"/>
    <w:rsid w:val="00493454"/>
    <w:rsid w:val="004934D5"/>
    <w:rsid w:val="0049391D"/>
    <w:rsid w:val="004939D7"/>
    <w:rsid w:val="004939E8"/>
    <w:rsid w:val="00493B7E"/>
    <w:rsid w:val="00493BD1"/>
    <w:rsid w:val="004946A8"/>
    <w:rsid w:val="00494916"/>
    <w:rsid w:val="00494917"/>
    <w:rsid w:val="00494F6C"/>
    <w:rsid w:val="0049550D"/>
    <w:rsid w:val="0049584D"/>
    <w:rsid w:val="004958AA"/>
    <w:rsid w:val="00495B53"/>
    <w:rsid w:val="00495EB2"/>
    <w:rsid w:val="00495EFA"/>
    <w:rsid w:val="0049642E"/>
    <w:rsid w:val="004964E7"/>
    <w:rsid w:val="00496724"/>
    <w:rsid w:val="004968D4"/>
    <w:rsid w:val="00496A49"/>
    <w:rsid w:val="00496EA8"/>
    <w:rsid w:val="00496F9C"/>
    <w:rsid w:val="00497148"/>
    <w:rsid w:val="004972A3"/>
    <w:rsid w:val="004975AF"/>
    <w:rsid w:val="004976AA"/>
    <w:rsid w:val="00497744"/>
    <w:rsid w:val="00497B79"/>
    <w:rsid w:val="00497C79"/>
    <w:rsid w:val="00497DEA"/>
    <w:rsid w:val="00497F8F"/>
    <w:rsid w:val="004A0045"/>
    <w:rsid w:val="004A01ED"/>
    <w:rsid w:val="004A0592"/>
    <w:rsid w:val="004A0803"/>
    <w:rsid w:val="004A08A9"/>
    <w:rsid w:val="004A0AC5"/>
    <w:rsid w:val="004A0AF9"/>
    <w:rsid w:val="004A1178"/>
    <w:rsid w:val="004A119B"/>
    <w:rsid w:val="004A125B"/>
    <w:rsid w:val="004A133B"/>
    <w:rsid w:val="004A1768"/>
    <w:rsid w:val="004A1C9A"/>
    <w:rsid w:val="004A2040"/>
    <w:rsid w:val="004A24FD"/>
    <w:rsid w:val="004A2504"/>
    <w:rsid w:val="004A2706"/>
    <w:rsid w:val="004A270C"/>
    <w:rsid w:val="004A2712"/>
    <w:rsid w:val="004A272B"/>
    <w:rsid w:val="004A2807"/>
    <w:rsid w:val="004A2B01"/>
    <w:rsid w:val="004A2C12"/>
    <w:rsid w:val="004A2C6F"/>
    <w:rsid w:val="004A2DD5"/>
    <w:rsid w:val="004A2E30"/>
    <w:rsid w:val="004A2FE6"/>
    <w:rsid w:val="004A3190"/>
    <w:rsid w:val="004A34BA"/>
    <w:rsid w:val="004A3715"/>
    <w:rsid w:val="004A3865"/>
    <w:rsid w:val="004A3A2F"/>
    <w:rsid w:val="004A3ABC"/>
    <w:rsid w:val="004A3BBB"/>
    <w:rsid w:val="004A3E4A"/>
    <w:rsid w:val="004A4205"/>
    <w:rsid w:val="004A4276"/>
    <w:rsid w:val="004A44F8"/>
    <w:rsid w:val="004A47DF"/>
    <w:rsid w:val="004A4953"/>
    <w:rsid w:val="004A5114"/>
    <w:rsid w:val="004A51D6"/>
    <w:rsid w:val="004A527E"/>
    <w:rsid w:val="004A5695"/>
    <w:rsid w:val="004A576E"/>
    <w:rsid w:val="004A58A0"/>
    <w:rsid w:val="004A5AC9"/>
    <w:rsid w:val="004A5CEE"/>
    <w:rsid w:val="004A5DAA"/>
    <w:rsid w:val="004A5EEE"/>
    <w:rsid w:val="004A5F89"/>
    <w:rsid w:val="004A60A0"/>
    <w:rsid w:val="004A6628"/>
    <w:rsid w:val="004A681D"/>
    <w:rsid w:val="004A6982"/>
    <w:rsid w:val="004A6DFF"/>
    <w:rsid w:val="004A6FD7"/>
    <w:rsid w:val="004A71DB"/>
    <w:rsid w:val="004A7316"/>
    <w:rsid w:val="004A77E7"/>
    <w:rsid w:val="004A7A61"/>
    <w:rsid w:val="004B01B2"/>
    <w:rsid w:val="004B043E"/>
    <w:rsid w:val="004B060A"/>
    <w:rsid w:val="004B07F6"/>
    <w:rsid w:val="004B0BFB"/>
    <w:rsid w:val="004B0D33"/>
    <w:rsid w:val="004B0DD5"/>
    <w:rsid w:val="004B0FE2"/>
    <w:rsid w:val="004B105D"/>
    <w:rsid w:val="004B1120"/>
    <w:rsid w:val="004B122A"/>
    <w:rsid w:val="004B1258"/>
    <w:rsid w:val="004B153D"/>
    <w:rsid w:val="004B1B37"/>
    <w:rsid w:val="004B1B63"/>
    <w:rsid w:val="004B1D4A"/>
    <w:rsid w:val="004B2153"/>
    <w:rsid w:val="004B2425"/>
    <w:rsid w:val="004B24A9"/>
    <w:rsid w:val="004B25B5"/>
    <w:rsid w:val="004B2753"/>
    <w:rsid w:val="004B2762"/>
    <w:rsid w:val="004B2897"/>
    <w:rsid w:val="004B2AC2"/>
    <w:rsid w:val="004B2B97"/>
    <w:rsid w:val="004B2BF4"/>
    <w:rsid w:val="004B2EAA"/>
    <w:rsid w:val="004B2FA1"/>
    <w:rsid w:val="004B2FB8"/>
    <w:rsid w:val="004B3545"/>
    <w:rsid w:val="004B3639"/>
    <w:rsid w:val="004B36E8"/>
    <w:rsid w:val="004B3770"/>
    <w:rsid w:val="004B3870"/>
    <w:rsid w:val="004B38BE"/>
    <w:rsid w:val="004B3994"/>
    <w:rsid w:val="004B3D08"/>
    <w:rsid w:val="004B42C7"/>
    <w:rsid w:val="004B42FE"/>
    <w:rsid w:val="004B445D"/>
    <w:rsid w:val="004B4795"/>
    <w:rsid w:val="004B54D9"/>
    <w:rsid w:val="004B558B"/>
    <w:rsid w:val="004B5778"/>
    <w:rsid w:val="004B586C"/>
    <w:rsid w:val="004B58B5"/>
    <w:rsid w:val="004B5AC8"/>
    <w:rsid w:val="004B5ADC"/>
    <w:rsid w:val="004B5D6C"/>
    <w:rsid w:val="004B5D94"/>
    <w:rsid w:val="004B5F80"/>
    <w:rsid w:val="004B638A"/>
    <w:rsid w:val="004B657A"/>
    <w:rsid w:val="004B658C"/>
    <w:rsid w:val="004B6591"/>
    <w:rsid w:val="004B67AD"/>
    <w:rsid w:val="004B68E4"/>
    <w:rsid w:val="004B6944"/>
    <w:rsid w:val="004B69F9"/>
    <w:rsid w:val="004B6C0C"/>
    <w:rsid w:val="004B6C21"/>
    <w:rsid w:val="004B6C29"/>
    <w:rsid w:val="004B7245"/>
    <w:rsid w:val="004B731C"/>
    <w:rsid w:val="004B7550"/>
    <w:rsid w:val="004B7D56"/>
    <w:rsid w:val="004B7EDA"/>
    <w:rsid w:val="004C005C"/>
    <w:rsid w:val="004C013A"/>
    <w:rsid w:val="004C0568"/>
    <w:rsid w:val="004C0674"/>
    <w:rsid w:val="004C0770"/>
    <w:rsid w:val="004C095E"/>
    <w:rsid w:val="004C0B7D"/>
    <w:rsid w:val="004C0BA3"/>
    <w:rsid w:val="004C0C1F"/>
    <w:rsid w:val="004C0DCB"/>
    <w:rsid w:val="004C0DF4"/>
    <w:rsid w:val="004C0FA4"/>
    <w:rsid w:val="004C1178"/>
    <w:rsid w:val="004C1247"/>
    <w:rsid w:val="004C135B"/>
    <w:rsid w:val="004C13F6"/>
    <w:rsid w:val="004C161C"/>
    <w:rsid w:val="004C161D"/>
    <w:rsid w:val="004C1A06"/>
    <w:rsid w:val="004C1C1D"/>
    <w:rsid w:val="004C20C9"/>
    <w:rsid w:val="004C24A6"/>
    <w:rsid w:val="004C2621"/>
    <w:rsid w:val="004C29BB"/>
    <w:rsid w:val="004C2B81"/>
    <w:rsid w:val="004C2D09"/>
    <w:rsid w:val="004C2E93"/>
    <w:rsid w:val="004C2EBB"/>
    <w:rsid w:val="004C30CF"/>
    <w:rsid w:val="004C3592"/>
    <w:rsid w:val="004C38B5"/>
    <w:rsid w:val="004C476E"/>
    <w:rsid w:val="004C4942"/>
    <w:rsid w:val="004C4BF4"/>
    <w:rsid w:val="004C4DDF"/>
    <w:rsid w:val="004C4EE2"/>
    <w:rsid w:val="004C5012"/>
    <w:rsid w:val="004C551F"/>
    <w:rsid w:val="004C5739"/>
    <w:rsid w:val="004C59F2"/>
    <w:rsid w:val="004C5B42"/>
    <w:rsid w:val="004C5C9C"/>
    <w:rsid w:val="004C5E5E"/>
    <w:rsid w:val="004C5F14"/>
    <w:rsid w:val="004C5F1B"/>
    <w:rsid w:val="004C642B"/>
    <w:rsid w:val="004C688D"/>
    <w:rsid w:val="004C6F02"/>
    <w:rsid w:val="004C707F"/>
    <w:rsid w:val="004C725F"/>
    <w:rsid w:val="004C72F4"/>
    <w:rsid w:val="004C74E3"/>
    <w:rsid w:val="004C7660"/>
    <w:rsid w:val="004C769E"/>
    <w:rsid w:val="004C7903"/>
    <w:rsid w:val="004C7969"/>
    <w:rsid w:val="004D00DF"/>
    <w:rsid w:val="004D0262"/>
    <w:rsid w:val="004D02CE"/>
    <w:rsid w:val="004D02FE"/>
    <w:rsid w:val="004D0318"/>
    <w:rsid w:val="004D0376"/>
    <w:rsid w:val="004D03D3"/>
    <w:rsid w:val="004D0785"/>
    <w:rsid w:val="004D078B"/>
    <w:rsid w:val="004D093D"/>
    <w:rsid w:val="004D0AF2"/>
    <w:rsid w:val="004D0FB3"/>
    <w:rsid w:val="004D0FEB"/>
    <w:rsid w:val="004D1181"/>
    <w:rsid w:val="004D131A"/>
    <w:rsid w:val="004D13F9"/>
    <w:rsid w:val="004D179A"/>
    <w:rsid w:val="004D17AD"/>
    <w:rsid w:val="004D1839"/>
    <w:rsid w:val="004D19F3"/>
    <w:rsid w:val="004D1AEC"/>
    <w:rsid w:val="004D1E01"/>
    <w:rsid w:val="004D1E49"/>
    <w:rsid w:val="004D1FE5"/>
    <w:rsid w:val="004D2085"/>
    <w:rsid w:val="004D26EE"/>
    <w:rsid w:val="004D2826"/>
    <w:rsid w:val="004D29A1"/>
    <w:rsid w:val="004D29F1"/>
    <w:rsid w:val="004D2BA6"/>
    <w:rsid w:val="004D2BAC"/>
    <w:rsid w:val="004D2E72"/>
    <w:rsid w:val="004D2ECC"/>
    <w:rsid w:val="004D30AE"/>
    <w:rsid w:val="004D310E"/>
    <w:rsid w:val="004D3133"/>
    <w:rsid w:val="004D3239"/>
    <w:rsid w:val="004D36AC"/>
    <w:rsid w:val="004D382B"/>
    <w:rsid w:val="004D383F"/>
    <w:rsid w:val="004D38BC"/>
    <w:rsid w:val="004D38FD"/>
    <w:rsid w:val="004D3CA7"/>
    <w:rsid w:val="004D3F61"/>
    <w:rsid w:val="004D3FA1"/>
    <w:rsid w:val="004D42A4"/>
    <w:rsid w:val="004D42D6"/>
    <w:rsid w:val="004D42F8"/>
    <w:rsid w:val="004D4303"/>
    <w:rsid w:val="004D4343"/>
    <w:rsid w:val="004D479C"/>
    <w:rsid w:val="004D47EC"/>
    <w:rsid w:val="004D491C"/>
    <w:rsid w:val="004D4A05"/>
    <w:rsid w:val="004D4BA0"/>
    <w:rsid w:val="004D4CB1"/>
    <w:rsid w:val="004D4D5E"/>
    <w:rsid w:val="004D4FB3"/>
    <w:rsid w:val="004D50C6"/>
    <w:rsid w:val="004D528E"/>
    <w:rsid w:val="004D53E8"/>
    <w:rsid w:val="004D546D"/>
    <w:rsid w:val="004D57F0"/>
    <w:rsid w:val="004D5837"/>
    <w:rsid w:val="004D585F"/>
    <w:rsid w:val="004D5921"/>
    <w:rsid w:val="004D5AB6"/>
    <w:rsid w:val="004D5E13"/>
    <w:rsid w:val="004D5F2C"/>
    <w:rsid w:val="004D5F3C"/>
    <w:rsid w:val="004D5F95"/>
    <w:rsid w:val="004D5F98"/>
    <w:rsid w:val="004D606E"/>
    <w:rsid w:val="004D6149"/>
    <w:rsid w:val="004D6273"/>
    <w:rsid w:val="004D6796"/>
    <w:rsid w:val="004D68AC"/>
    <w:rsid w:val="004D6AA0"/>
    <w:rsid w:val="004D6DDC"/>
    <w:rsid w:val="004D6F59"/>
    <w:rsid w:val="004D71B8"/>
    <w:rsid w:val="004D724C"/>
    <w:rsid w:val="004D758D"/>
    <w:rsid w:val="004D75CC"/>
    <w:rsid w:val="004D7686"/>
    <w:rsid w:val="004D76E1"/>
    <w:rsid w:val="004D77A2"/>
    <w:rsid w:val="004D77C5"/>
    <w:rsid w:val="004D7819"/>
    <w:rsid w:val="004D797F"/>
    <w:rsid w:val="004D7FFC"/>
    <w:rsid w:val="004E0B18"/>
    <w:rsid w:val="004E0D67"/>
    <w:rsid w:val="004E0DF9"/>
    <w:rsid w:val="004E0EBE"/>
    <w:rsid w:val="004E10C2"/>
    <w:rsid w:val="004E10DF"/>
    <w:rsid w:val="004E1207"/>
    <w:rsid w:val="004E1451"/>
    <w:rsid w:val="004E181D"/>
    <w:rsid w:val="004E18A1"/>
    <w:rsid w:val="004E1B15"/>
    <w:rsid w:val="004E1FB0"/>
    <w:rsid w:val="004E2171"/>
    <w:rsid w:val="004E22E4"/>
    <w:rsid w:val="004E23CA"/>
    <w:rsid w:val="004E2760"/>
    <w:rsid w:val="004E27D2"/>
    <w:rsid w:val="004E286D"/>
    <w:rsid w:val="004E28C2"/>
    <w:rsid w:val="004E2932"/>
    <w:rsid w:val="004E2986"/>
    <w:rsid w:val="004E2C47"/>
    <w:rsid w:val="004E2D55"/>
    <w:rsid w:val="004E2E2C"/>
    <w:rsid w:val="004E2F54"/>
    <w:rsid w:val="004E2F62"/>
    <w:rsid w:val="004E3133"/>
    <w:rsid w:val="004E335B"/>
    <w:rsid w:val="004E389D"/>
    <w:rsid w:val="004E3949"/>
    <w:rsid w:val="004E3BCB"/>
    <w:rsid w:val="004E3C20"/>
    <w:rsid w:val="004E3FE4"/>
    <w:rsid w:val="004E4307"/>
    <w:rsid w:val="004E44E4"/>
    <w:rsid w:val="004E45B0"/>
    <w:rsid w:val="004E472C"/>
    <w:rsid w:val="004E49F2"/>
    <w:rsid w:val="004E4B30"/>
    <w:rsid w:val="004E4E1C"/>
    <w:rsid w:val="004E4EEB"/>
    <w:rsid w:val="004E4F22"/>
    <w:rsid w:val="004E532C"/>
    <w:rsid w:val="004E558B"/>
    <w:rsid w:val="004E55EB"/>
    <w:rsid w:val="004E57DD"/>
    <w:rsid w:val="004E5861"/>
    <w:rsid w:val="004E5D40"/>
    <w:rsid w:val="004E5E57"/>
    <w:rsid w:val="004E6003"/>
    <w:rsid w:val="004E6415"/>
    <w:rsid w:val="004E678C"/>
    <w:rsid w:val="004E67B2"/>
    <w:rsid w:val="004E6801"/>
    <w:rsid w:val="004E6857"/>
    <w:rsid w:val="004E6907"/>
    <w:rsid w:val="004E6A16"/>
    <w:rsid w:val="004E6B4A"/>
    <w:rsid w:val="004E6C80"/>
    <w:rsid w:val="004E7155"/>
    <w:rsid w:val="004E71E7"/>
    <w:rsid w:val="004E74B0"/>
    <w:rsid w:val="004E7AAA"/>
    <w:rsid w:val="004E7B0B"/>
    <w:rsid w:val="004E7D0D"/>
    <w:rsid w:val="004E7FFE"/>
    <w:rsid w:val="004F00E8"/>
    <w:rsid w:val="004F0308"/>
    <w:rsid w:val="004F0328"/>
    <w:rsid w:val="004F03C6"/>
    <w:rsid w:val="004F04A1"/>
    <w:rsid w:val="004F06DF"/>
    <w:rsid w:val="004F0A7C"/>
    <w:rsid w:val="004F0B62"/>
    <w:rsid w:val="004F127A"/>
    <w:rsid w:val="004F1311"/>
    <w:rsid w:val="004F1352"/>
    <w:rsid w:val="004F1495"/>
    <w:rsid w:val="004F173E"/>
    <w:rsid w:val="004F17F3"/>
    <w:rsid w:val="004F1965"/>
    <w:rsid w:val="004F19CD"/>
    <w:rsid w:val="004F1C94"/>
    <w:rsid w:val="004F1E20"/>
    <w:rsid w:val="004F1F1D"/>
    <w:rsid w:val="004F1FC1"/>
    <w:rsid w:val="004F22B7"/>
    <w:rsid w:val="004F23CA"/>
    <w:rsid w:val="004F253A"/>
    <w:rsid w:val="004F253C"/>
    <w:rsid w:val="004F26D7"/>
    <w:rsid w:val="004F28B7"/>
    <w:rsid w:val="004F2938"/>
    <w:rsid w:val="004F29CF"/>
    <w:rsid w:val="004F2ECA"/>
    <w:rsid w:val="004F2F7A"/>
    <w:rsid w:val="004F352E"/>
    <w:rsid w:val="004F35F4"/>
    <w:rsid w:val="004F375D"/>
    <w:rsid w:val="004F3A9D"/>
    <w:rsid w:val="004F3BC8"/>
    <w:rsid w:val="004F3CC8"/>
    <w:rsid w:val="004F3EBF"/>
    <w:rsid w:val="004F3EF4"/>
    <w:rsid w:val="004F3F2F"/>
    <w:rsid w:val="004F3F99"/>
    <w:rsid w:val="004F419D"/>
    <w:rsid w:val="004F41BC"/>
    <w:rsid w:val="004F43F9"/>
    <w:rsid w:val="004F45D5"/>
    <w:rsid w:val="004F498F"/>
    <w:rsid w:val="004F49DA"/>
    <w:rsid w:val="004F4A1E"/>
    <w:rsid w:val="004F4CE2"/>
    <w:rsid w:val="004F511E"/>
    <w:rsid w:val="004F5411"/>
    <w:rsid w:val="004F561F"/>
    <w:rsid w:val="004F569D"/>
    <w:rsid w:val="004F5B69"/>
    <w:rsid w:val="004F5CC8"/>
    <w:rsid w:val="004F5D4B"/>
    <w:rsid w:val="004F5F72"/>
    <w:rsid w:val="004F63F1"/>
    <w:rsid w:val="004F688E"/>
    <w:rsid w:val="004F69A3"/>
    <w:rsid w:val="004F69E9"/>
    <w:rsid w:val="004F6B1B"/>
    <w:rsid w:val="004F6BA1"/>
    <w:rsid w:val="004F6CE2"/>
    <w:rsid w:val="004F6E14"/>
    <w:rsid w:val="004F6E1B"/>
    <w:rsid w:val="004F72CB"/>
    <w:rsid w:val="004F72FC"/>
    <w:rsid w:val="004F74CD"/>
    <w:rsid w:val="004F76AE"/>
    <w:rsid w:val="004F771B"/>
    <w:rsid w:val="004F7869"/>
    <w:rsid w:val="004F78C9"/>
    <w:rsid w:val="004F7A0E"/>
    <w:rsid w:val="004F7C67"/>
    <w:rsid w:val="004F7EC1"/>
    <w:rsid w:val="00500419"/>
    <w:rsid w:val="005004A3"/>
    <w:rsid w:val="0050093A"/>
    <w:rsid w:val="00500A8D"/>
    <w:rsid w:val="00500B47"/>
    <w:rsid w:val="00500C37"/>
    <w:rsid w:val="00500FB3"/>
    <w:rsid w:val="00500FEF"/>
    <w:rsid w:val="00501057"/>
    <w:rsid w:val="005013FF"/>
    <w:rsid w:val="005017E9"/>
    <w:rsid w:val="00501887"/>
    <w:rsid w:val="005018A4"/>
    <w:rsid w:val="00501DE3"/>
    <w:rsid w:val="00502218"/>
    <w:rsid w:val="00502234"/>
    <w:rsid w:val="0050228C"/>
    <w:rsid w:val="0050232E"/>
    <w:rsid w:val="005025EA"/>
    <w:rsid w:val="00502712"/>
    <w:rsid w:val="005028B3"/>
    <w:rsid w:val="00502931"/>
    <w:rsid w:val="00502989"/>
    <w:rsid w:val="00502B24"/>
    <w:rsid w:val="00502F3B"/>
    <w:rsid w:val="0050302A"/>
    <w:rsid w:val="00503310"/>
    <w:rsid w:val="00503335"/>
    <w:rsid w:val="005033E4"/>
    <w:rsid w:val="0050351D"/>
    <w:rsid w:val="00503609"/>
    <w:rsid w:val="00503618"/>
    <w:rsid w:val="00503773"/>
    <w:rsid w:val="00503A91"/>
    <w:rsid w:val="00503C7E"/>
    <w:rsid w:val="00503FC7"/>
    <w:rsid w:val="00503FD6"/>
    <w:rsid w:val="0050417A"/>
    <w:rsid w:val="00504418"/>
    <w:rsid w:val="0050442E"/>
    <w:rsid w:val="005045E3"/>
    <w:rsid w:val="00504601"/>
    <w:rsid w:val="00504C6B"/>
    <w:rsid w:val="00504D01"/>
    <w:rsid w:val="00504F4C"/>
    <w:rsid w:val="00504F94"/>
    <w:rsid w:val="0050501A"/>
    <w:rsid w:val="0050509E"/>
    <w:rsid w:val="005050D1"/>
    <w:rsid w:val="0050514C"/>
    <w:rsid w:val="005051BC"/>
    <w:rsid w:val="0050557F"/>
    <w:rsid w:val="00505932"/>
    <w:rsid w:val="00505936"/>
    <w:rsid w:val="00505A1B"/>
    <w:rsid w:val="00505D88"/>
    <w:rsid w:val="00505F49"/>
    <w:rsid w:val="005060BD"/>
    <w:rsid w:val="005061FC"/>
    <w:rsid w:val="005064DF"/>
    <w:rsid w:val="005064E5"/>
    <w:rsid w:val="0050656A"/>
    <w:rsid w:val="005065DF"/>
    <w:rsid w:val="005066EE"/>
    <w:rsid w:val="00506730"/>
    <w:rsid w:val="00506A41"/>
    <w:rsid w:val="00506AE7"/>
    <w:rsid w:val="00506C2E"/>
    <w:rsid w:val="00506F7C"/>
    <w:rsid w:val="00506FF3"/>
    <w:rsid w:val="00507031"/>
    <w:rsid w:val="00507118"/>
    <w:rsid w:val="005072B1"/>
    <w:rsid w:val="005075AA"/>
    <w:rsid w:val="005077AB"/>
    <w:rsid w:val="00507993"/>
    <w:rsid w:val="00507AAC"/>
    <w:rsid w:val="00507B75"/>
    <w:rsid w:val="00507E6D"/>
    <w:rsid w:val="005100C1"/>
    <w:rsid w:val="005102E7"/>
    <w:rsid w:val="0051040A"/>
    <w:rsid w:val="005104F7"/>
    <w:rsid w:val="00510626"/>
    <w:rsid w:val="005109A7"/>
    <w:rsid w:val="00510D8B"/>
    <w:rsid w:val="00511780"/>
    <w:rsid w:val="00511AF7"/>
    <w:rsid w:val="00511B49"/>
    <w:rsid w:val="00511C11"/>
    <w:rsid w:val="00511D0B"/>
    <w:rsid w:val="00511D49"/>
    <w:rsid w:val="00511E99"/>
    <w:rsid w:val="0051238D"/>
    <w:rsid w:val="00512478"/>
    <w:rsid w:val="0051261C"/>
    <w:rsid w:val="005128F6"/>
    <w:rsid w:val="005129C6"/>
    <w:rsid w:val="00512BFC"/>
    <w:rsid w:val="00512CA2"/>
    <w:rsid w:val="00512D5D"/>
    <w:rsid w:val="00512D76"/>
    <w:rsid w:val="00512FAC"/>
    <w:rsid w:val="0051300F"/>
    <w:rsid w:val="00513274"/>
    <w:rsid w:val="0051350F"/>
    <w:rsid w:val="00513543"/>
    <w:rsid w:val="005136EA"/>
    <w:rsid w:val="005138FD"/>
    <w:rsid w:val="00513963"/>
    <w:rsid w:val="00513FDA"/>
    <w:rsid w:val="00514050"/>
    <w:rsid w:val="00514051"/>
    <w:rsid w:val="00514259"/>
    <w:rsid w:val="00514502"/>
    <w:rsid w:val="005146A5"/>
    <w:rsid w:val="005146F7"/>
    <w:rsid w:val="005147B6"/>
    <w:rsid w:val="005147DE"/>
    <w:rsid w:val="0051487A"/>
    <w:rsid w:val="00514882"/>
    <w:rsid w:val="00514980"/>
    <w:rsid w:val="00514B92"/>
    <w:rsid w:val="00514E68"/>
    <w:rsid w:val="00514E89"/>
    <w:rsid w:val="00514FCE"/>
    <w:rsid w:val="005150E1"/>
    <w:rsid w:val="005151D3"/>
    <w:rsid w:val="005153CC"/>
    <w:rsid w:val="0051562D"/>
    <w:rsid w:val="0051568F"/>
    <w:rsid w:val="005156D5"/>
    <w:rsid w:val="00515826"/>
    <w:rsid w:val="00515828"/>
    <w:rsid w:val="00515963"/>
    <w:rsid w:val="00515A87"/>
    <w:rsid w:val="00515CA7"/>
    <w:rsid w:val="00515F27"/>
    <w:rsid w:val="005160AD"/>
    <w:rsid w:val="00516148"/>
    <w:rsid w:val="005162C0"/>
    <w:rsid w:val="00516356"/>
    <w:rsid w:val="00516806"/>
    <w:rsid w:val="00516BC8"/>
    <w:rsid w:val="00516C36"/>
    <w:rsid w:val="00516CB4"/>
    <w:rsid w:val="00517024"/>
    <w:rsid w:val="00517039"/>
    <w:rsid w:val="005171F5"/>
    <w:rsid w:val="005174E6"/>
    <w:rsid w:val="005175C8"/>
    <w:rsid w:val="00517601"/>
    <w:rsid w:val="005177A6"/>
    <w:rsid w:val="005178E9"/>
    <w:rsid w:val="005178F8"/>
    <w:rsid w:val="00517945"/>
    <w:rsid w:val="005179C4"/>
    <w:rsid w:val="005179D6"/>
    <w:rsid w:val="00517AEF"/>
    <w:rsid w:val="00517C37"/>
    <w:rsid w:val="00517EF2"/>
    <w:rsid w:val="005200A2"/>
    <w:rsid w:val="0052042D"/>
    <w:rsid w:val="00520706"/>
    <w:rsid w:val="00520D80"/>
    <w:rsid w:val="00520F44"/>
    <w:rsid w:val="0052194E"/>
    <w:rsid w:val="00522C8D"/>
    <w:rsid w:val="005232A7"/>
    <w:rsid w:val="00523430"/>
    <w:rsid w:val="00523A92"/>
    <w:rsid w:val="00523AB0"/>
    <w:rsid w:val="00523D6E"/>
    <w:rsid w:val="00523D7E"/>
    <w:rsid w:val="00523F62"/>
    <w:rsid w:val="0052406B"/>
    <w:rsid w:val="00524600"/>
    <w:rsid w:val="00524A19"/>
    <w:rsid w:val="00524CA3"/>
    <w:rsid w:val="00524DF1"/>
    <w:rsid w:val="00524E05"/>
    <w:rsid w:val="00524EAA"/>
    <w:rsid w:val="00525022"/>
    <w:rsid w:val="00525029"/>
    <w:rsid w:val="0052505A"/>
    <w:rsid w:val="00525092"/>
    <w:rsid w:val="005250D4"/>
    <w:rsid w:val="00525328"/>
    <w:rsid w:val="00525763"/>
    <w:rsid w:val="00525872"/>
    <w:rsid w:val="005259B8"/>
    <w:rsid w:val="00525A52"/>
    <w:rsid w:val="00525B43"/>
    <w:rsid w:val="00525E20"/>
    <w:rsid w:val="00525F16"/>
    <w:rsid w:val="0052603E"/>
    <w:rsid w:val="00526173"/>
    <w:rsid w:val="0052643A"/>
    <w:rsid w:val="0052688B"/>
    <w:rsid w:val="005268C5"/>
    <w:rsid w:val="00526990"/>
    <w:rsid w:val="005269EF"/>
    <w:rsid w:val="0052722E"/>
    <w:rsid w:val="0052730B"/>
    <w:rsid w:val="005277AC"/>
    <w:rsid w:val="00527872"/>
    <w:rsid w:val="00527A42"/>
    <w:rsid w:val="00527E47"/>
    <w:rsid w:val="00527E62"/>
    <w:rsid w:val="00530071"/>
    <w:rsid w:val="005300B6"/>
    <w:rsid w:val="005301F6"/>
    <w:rsid w:val="00530256"/>
    <w:rsid w:val="00530372"/>
    <w:rsid w:val="005303BF"/>
    <w:rsid w:val="00530528"/>
    <w:rsid w:val="005306BB"/>
    <w:rsid w:val="00530742"/>
    <w:rsid w:val="00530A53"/>
    <w:rsid w:val="00530B36"/>
    <w:rsid w:val="00530BF6"/>
    <w:rsid w:val="00530C53"/>
    <w:rsid w:val="00530DE6"/>
    <w:rsid w:val="00530F31"/>
    <w:rsid w:val="00531179"/>
    <w:rsid w:val="005311A0"/>
    <w:rsid w:val="00531448"/>
    <w:rsid w:val="00531526"/>
    <w:rsid w:val="00531589"/>
    <w:rsid w:val="0053162F"/>
    <w:rsid w:val="0053174D"/>
    <w:rsid w:val="005319C0"/>
    <w:rsid w:val="00531C21"/>
    <w:rsid w:val="00531C30"/>
    <w:rsid w:val="00531EFB"/>
    <w:rsid w:val="00531FD7"/>
    <w:rsid w:val="005322A9"/>
    <w:rsid w:val="005323D4"/>
    <w:rsid w:val="00532482"/>
    <w:rsid w:val="00532697"/>
    <w:rsid w:val="00532A75"/>
    <w:rsid w:val="00532BE8"/>
    <w:rsid w:val="00532C50"/>
    <w:rsid w:val="00532EDB"/>
    <w:rsid w:val="00533146"/>
    <w:rsid w:val="00533313"/>
    <w:rsid w:val="005336E4"/>
    <w:rsid w:val="00533A37"/>
    <w:rsid w:val="00533A53"/>
    <w:rsid w:val="00533A90"/>
    <w:rsid w:val="00533B46"/>
    <w:rsid w:val="00533BB9"/>
    <w:rsid w:val="00533BFE"/>
    <w:rsid w:val="00533E30"/>
    <w:rsid w:val="00534083"/>
    <w:rsid w:val="00534169"/>
    <w:rsid w:val="005341C5"/>
    <w:rsid w:val="005348A9"/>
    <w:rsid w:val="00534F46"/>
    <w:rsid w:val="0053510D"/>
    <w:rsid w:val="0053520B"/>
    <w:rsid w:val="00535340"/>
    <w:rsid w:val="005353B3"/>
    <w:rsid w:val="005354D0"/>
    <w:rsid w:val="0053559F"/>
    <w:rsid w:val="0053564F"/>
    <w:rsid w:val="00535713"/>
    <w:rsid w:val="00535C14"/>
    <w:rsid w:val="00535CB4"/>
    <w:rsid w:val="0053603E"/>
    <w:rsid w:val="0053605A"/>
    <w:rsid w:val="0053627E"/>
    <w:rsid w:val="00536281"/>
    <w:rsid w:val="005362D9"/>
    <w:rsid w:val="00536385"/>
    <w:rsid w:val="005363C8"/>
    <w:rsid w:val="00536806"/>
    <w:rsid w:val="00536E7B"/>
    <w:rsid w:val="00536E9E"/>
    <w:rsid w:val="0053721A"/>
    <w:rsid w:val="0053761E"/>
    <w:rsid w:val="0053769C"/>
    <w:rsid w:val="00537AD9"/>
    <w:rsid w:val="00537B9D"/>
    <w:rsid w:val="00540393"/>
    <w:rsid w:val="00540471"/>
    <w:rsid w:val="0054061C"/>
    <w:rsid w:val="005406D5"/>
    <w:rsid w:val="00540852"/>
    <w:rsid w:val="005408ED"/>
    <w:rsid w:val="00540A49"/>
    <w:rsid w:val="00540C51"/>
    <w:rsid w:val="00540FDB"/>
    <w:rsid w:val="00541221"/>
    <w:rsid w:val="00541742"/>
    <w:rsid w:val="00541857"/>
    <w:rsid w:val="00541AC1"/>
    <w:rsid w:val="00541CB0"/>
    <w:rsid w:val="00541CEC"/>
    <w:rsid w:val="00541DA3"/>
    <w:rsid w:val="00541E67"/>
    <w:rsid w:val="00541F20"/>
    <w:rsid w:val="00541FF6"/>
    <w:rsid w:val="005422C0"/>
    <w:rsid w:val="00542616"/>
    <w:rsid w:val="00542676"/>
    <w:rsid w:val="0054276C"/>
    <w:rsid w:val="005429F4"/>
    <w:rsid w:val="00542DC4"/>
    <w:rsid w:val="00542E8E"/>
    <w:rsid w:val="00542F89"/>
    <w:rsid w:val="005430E4"/>
    <w:rsid w:val="00543309"/>
    <w:rsid w:val="0054335A"/>
    <w:rsid w:val="00543511"/>
    <w:rsid w:val="00543705"/>
    <w:rsid w:val="00543D50"/>
    <w:rsid w:val="00543D8C"/>
    <w:rsid w:val="0054402D"/>
    <w:rsid w:val="0054409A"/>
    <w:rsid w:val="0054413D"/>
    <w:rsid w:val="0054415C"/>
    <w:rsid w:val="005442B9"/>
    <w:rsid w:val="005444D5"/>
    <w:rsid w:val="005444FA"/>
    <w:rsid w:val="005446D3"/>
    <w:rsid w:val="0054481A"/>
    <w:rsid w:val="00544B43"/>
    <w:rsid w:val="00545356"/>
    <w:rsid w:val="0054537A"/>
    <w:rsid w:val="00545750"/>
    <w:rsid w:val="00546397"/>
    <w:rsid w:val="00546648"/>
    <w:rsid w:val="00546679"/>
    <w:rsid w:val="0054690B"/>
    <w:rsid w:val="00546915"/>
    <w:rsid w:val="00546A24"/>
    <w:rsid w:val="00546A64"/>
    <w:rsid w:val="00546B3C"/>
    <w:rsid w:val="00546D4C"/>
    <w:rsid w:val="00546E4B"/>
    <w:rsid w:val="0054713D"/>
    <w:rsid w:val="005471AC"/>
    <w:rsid w:val="0054721D"/>
    <w:rsid w:val="005473DF"/>
    <w:rsid w:val="00547498"/>
    <w:rsid w:val="005474D7"/>
    <w:rsid w:val="00547591"/>
    <w:rsid w:val="00547ADF"/>
    <w:rsid w:val="00547EC5"/>
    <w:rsid w:val="00550049"/>
    <w:rsid w:val="00550088"/>
    <w:rsid w:val="005500D4"/>
    <w:rsid w:val="00550209"/>
    <w:rsid w:val="0055039E"/>
    <w:rsid w:val="0055059C"/>
    <w:rsid w:val="0055067E"/>
    <w:rsid w:val="005508EE"/>
    <w:rsid w:val="00550DCB"/>
    <w:rsid w:val="005510A7"/>
    <w:rsid w:val="0055127C"/>
    <w:rsid w:val="005513B3"/>
    <w:rsid w:val="00551408"/>
    <w:rsid w:val="0055169D"/>
    <w:rsid w:val="00551702"/>
    <w:rsid w:val="0055187E"/>
    <w:rsid w:val="00551BEC"/>
    <w:rsid w:val="00551C08"/>
    <w:rsid w:val="00551E8A"/>
    <w:rsid w:val="00552054"/>
    <w:rsid w:val="00552786"/>
    <w:rsid w:val="0055285D"/>
    <w:rsid w:val="00552903"/>
    <w:rsid w:val="00552B07"/>
    <w:rsid w:val="00552BC1"/>
    <w:rsid w:val="00552E4B"/>
    <w:rsid w:val="00552F20"/>
    <w:rsid w:val="00552F23"/>
    <w:rsid w:val="00552F3C"/>
    <w:rsid w:val="00553142"/>
    <w:rsid w:val="00553236"/>
    <w:rsid w:val="0055338B"/>
    <w:rsid w:val="005533B3"/>
    <w:rsid w:val="0055343D"/>
    <w:rsid w:val="0055345B"/>
    <w:rsid w:val="00553522"/>
    <w:rsid w:val="00553547"/>
    <w:rsid w:val="0055357A"/>
    <w:rsid w:val="005536A6"/>
    <w:rsid w:val="005537C2"/>
    <w:rsid w:val="005537F5"/>
    <w:rsid w:val="00553832"/>
    <w:rsid w:val="005538FF"/>
    <w:rsid w:val="0055392C"/>
    <w:rsid w:val="00553993"/>
    <w:rsid w:val="00553BE8"/>
    <w:rsid w:val="00553FBA"/>
    <w:rsid w:val="005543EA"/>
    <w:rsid w:val="0055440D"/>
    <w:rsid w:val="00554790"/>
    <w:rsid w:val="005547A1"/>
    <w:rsid w:val="0055481C"/>
    <w:rsid w:val="00555406"/>
    <w:rsid w:val="0055545F"/>
    <w:rsid w:val="0055591B"/>
    <w:rsid w:val="00555D36"/>
    <w:rsid w:val="00555ED2"/>
    <w:rsid w:val="00555EF0"/>
    <w:rsid w:val="00555FE5"/>
    <w:rsid w:val="005561C5"/>
    <w:rsid w:val="0055660A"/>
    <w:rsid w:val="00556B16"/>
    <w:rsid w:val="00556CD9"/>
    <w:rsid w:val="005570B8"/>
    <w:rsid w:val="005576C0"/>
    <w:rsid w:val="00557968"/>
    <w:rsid w:val="00557EEB"/>
    <w:rsid w:val="00557F47"/>
    <w:rsid w:val="00557FB0"/>
    <w:rsid w:val="0056018D"/>
    <w:rsid w:val="00560203"/>
    <w:rsid w:val="00560330"/>
    <w:rsid w:val="00560372"/>
    <w:rsid w:val="00560415"/>
    <w:rsid w:val="00560709"/>
    <w:rsid w:val="00560746"/>
    <w:rsid w:val="00560AAE"/>
    <w:rsid w:val="00560D2F"/>
    <w:rsid w:val="00560E5B"/>
    <w:rsid w:val="00560F95"/>
    <w:rsid w:val="00561240"/>
    <w:rsid w:val="00561496"/>
    <w:rsid w:val="00561A82"/>
    <w:rsid w:val="00561E8B"/>
    <w:rsid w:val="00562200"/>
    <w:rsid w:val="005623D2"/>
    <w:rsid w:val="00562656"/>
    <w:rsid w:val="00562870"/>
    <w:rsid w:val="00562A35"/>
    <w:rsid w:val="00562A68"/>
    <w:rsid w:val="00562B2C"/>
    <w:rsid w:val="00562B53"/>
    <w:rsid w:val="00562CD6"/>
    <w:rsid w:val="00562DAE"/>
    <w:rsid w:val="00562E09"/>
    <w:rsid w:val="00562E81"/>
    <w:rsid w:val="00563102"/>
    <w:rsid w:val="00563151"/>
    <w:rsid w:val="005633F7"/>
    <w:rsid w:val="0056349A"/>
    <w:rsid w:val="0056358C"/>
    <w:rsid w:val="005638E6"/>
    <w:rsid w:val="00563BB9"/>
    <w:rsid w:val="00563F75"/>
    <w:rsid w:val="005641C7"/>
    <w:rsid w:val="005643D3"/>
    <w:rsid w:val="005643F7"/>
    <w:rsid w:val="00564494"/>
    <w:rsid w:val="005645DA"/>
    <w:rsid w:val="00564614"/>
    <w:rsid w:val="0056481B"/>
    <w:rsid w:val="00564984"/>
    <w:rsid w:val="00564D22"/>
    <w:rsid w:val="0056506B"/>
    <w:rsid w:val="0056587C"/>
    <w:rsid w:val="005658D2"/>
    <w:rsid w:val="00565C77"/>
    <w:rsid w:val="00565DC2"/>
    <w:rsid w:val="00565F48"/>
    <w:rsid w:val="00565F50"/>
    <w:rsid w:val="00566359"/>
    <w:rsid w:val="00566592"/>
    <w:rsid w:val="005666DF"/>
    <w:rsid w:val="005669EF"/>
    <w:rsid w:val="00566AEE"/>
    <w:rsid w:val="00566B27"/>
    <w:rsid w:val="00566C9C"/>
    <w:rsid w:val="00566EDB"/>
    <w:rsid w:val="00566FFB"/>
    <w:rsid w:val="005674EB"/>
    <w:rsid w:val="0056763F"/>
    <w:rsid w:val="00567643"/>
    <w:rsid w:val="00567ACA"/>
    <w:rsid w:val="00570034"/>
    <w:rsid w:val="005704C0"/>
    <w:rsid w:val="0057084C"/>
    <w:rsid w:val="005708F7"/>
    <w:rsid w:val="0057092B"/>
    <w:rsid w:val="00570BB0"/>
    <w:rsid w:val="00570C7A"/>
    <w:rsid w:val="0057176E"/>
    <w:rsid w:val="00571B44"/>
    <w:rsid w:val="00571E09"/>
    <w:rsid w:val="00572053"/>
    <w:rsid w:val="00572147"/>
    <w:rsid w:val="0057231D"/>
    <w:rsid w:val="0057256A"/>
    <w:rsid w:val="005725A9"/>
    <w:rsid w:val="0057263E"/>
    <w:rsid w:val="00572729"/>
    <w:rsid w:val="005727FA"/>
    <w:rsid w:val="005728AC"/>
    <w:rsid w:val="00572D7C"/>
    <w:rsid w:val="00572EFB"/>
    <w:rsid w:val="00573288"/>
    <w:rsid w:val="00573751"/>
    <w:rsid w:val="005737E4"/>
    <w:rsid w:val="005738EA"/>
    <w:rsid w:val="00573B2F"/>
    <w:rsid w:val="00573B6D"/>
    <w:rsid w:val="00573D9A"/>
    <w:rsid w:val="00574017"/>
    <w:rsid w:val="0057474D"/>
    <w:rsid w:val="00574850"/>
    <w:rsid w:val="00574B3A"/>
    <w:rsid w:val="00574B67"/>
    <w:rsid w:val="00574B8C"/>
    <w:rsid w:val="00574D10"/>
    <w:rsid w:val="00574E42"/>
    <w:rsid w:val="0057503D"/>
    <w:rsid w:val="005750D6"/>
    <w:rsid w:val="005755B3"/>
    <w:rsid w:val="00575A05"/>
    <w:rsid w:val="00575C49"/>
    <w:rsid w:val="00575EDB"/>
    <w:rsid w:val="0057609E"/>
    <w:rsid w:val="005765E0"/>
    <w:rsid w:val="005766D8"/>
    <w:rsid w:val="00576B48"/>
    <w:rsid w:val="00576B9D"/>
    <w:rsid w:val="00576BC8"/>
    <w:rsid w:val="00576C0B"/>
    <w:rsid w:val="00576C54"/>
    <w:rsid w:val="00576E07"/>
    <w:rsid w:val="00577140"/>
    <w:rsid w:val="005771D5"/>
    <w:rsid w:val="005771DA"/>
    <w:rsid w:val="005771F4"/>
    <w:rsid w:val="0057720E"/>
    <w:rsid w:val="005773F3"/>
    <w:rsid w:val="0057777F"/>
    <w:rsid w:val="0057789B"/>
    <w:rsid w:val="00577BB7"/>
    <w:rsid w:val="00577D5C"/>
    <w:rsid w:val="00577D6B"/>
    <w:rsid w:val="005800E3"/>
    <w:rsid w:val="00580313"/>
    <w:rsid w:val="005806B9"/>
    <w:rsid w:val="00580804"/>
    <w:rsid w:val="00580885"/>
    <w:rsid w:val="00580AE8"/>
    <w:rsid w:val="00580F48"/>
    <w:rsid w:val="00580FF6"/>
    <w:rsid w:val="00581023"/>
    <w:rsid w:val="005813EF"/>
    <w:rsid w:val="005815F6"/>
    <w:rsid w:val="00581B5B"/>
    <w:rsid w:val="00581F55"/>
    <w:rsid w:val="005820F4"/>
    <w:rsid w:val="00582177"/>
    <w:rsid w:val="005821C5"/>
    <w:rsid w:val="005821E3"/>
    <w:rsid w:val="005821EF"/>
    <w:rsid w:val="005823CF"/>
    <w:rsid w:val="0058262C"/>
    <w:rsid w:val="00582AA9"/>
    <w:rsid w:val="00582BD7"/>
    <w:rsid w:val="00582C52"/>
    <w:rsid w:val="00582D4D"/>
    <w:rsid w:val="00582E43"/>
    <w:rsid w:val="00582F30"/>
    <w:rsid w:val="00583153"/>
    <w:rsid w:val="0058315E"/>
    <w:rsid w:val="00583C89"/>
    <w:rsid w:val="00583D64"/>
    <w:rsid w:val="00583DEA"/>
    <w:rsid w:val="00584010"/>
    <w:rsid w:val="0058401F"/>
    <w:rsid w:val="005840A1"/>
    <w:rsid w:val="00584298"/>
    <w:rsid w:val="005845B3"/>
    <w:rsid w:val="0058481C"/>
    <w:rsid w:val="00584CAF"/>
    <w:rsid w:val="00584D14"/>
    <w:rsid w:val="00584EFB"/>
    <w:rsid w:val="00584F85"/>
    <w:rsid w:val="0058508A"/>
    <w:rsid w:val="005850B5"/>
    <w:rsid w:val="0058511B"/>
    <w:rsid w:val="00585150"/>
    <w:rsid w:val="0058530D"/>
    <w:rsid w:val="00585372"/>
    <w:rsid w:val="005855E5"/>
    <w:rsid w:val="005857AB"/>
    <w:rsid w:val="00585DAA"/>
    <w:rsid w:val="00585E0E"/>
    <w:rsid w:val="005860A8"/>
    <w:rsid w:val="00586316"/>
    <w:rsid w:val="0058636B"/>
    <w:rsid w:val="00586534"/>
    <w:rsid w:val="00586629"/>
    <w:rsid w:val="00586A95"/>
    <w:rsid w:val="00586A9B"/>
    <w:rsid w:val="00586AB1"/>
    <w:rsid w:val="00586AD2"/>
    <w:rsid w:val="00586C2C"/>
    <w:rsid w:val="00586C56"/>
    <w:rsid w:val="0058704B"/>
    <w:rsid w:val="005873AB"/>
    <w:rsid w:val="00587453"/>
    <w:rsid w:val="00587547"/>
    <w:rsid w:val="005877E1"/>
    <w:rsid w:val="005878FA"/>
    <w:rsid w:val="0058793E"/>
    <w:rsid w:val="00590182"/>
    <w:rsid w:val="0059023D"/>
    <w:rsid w:val="005903F9"/>
    <w:rsid w:val="005904AE"/>
    <w:rsid w:val="00590672"/>
    <w:rsid w:val="0059098D"/>
    <w:rsid w:val="00590BDC"/>
    <w:rsid w:val="00590DAD"/>
    <w:rsid w:val="00590E26"/>
    <w:rsid w:val="005910D0"/>
    <w:rsid w:val="0059139C"/>
    <w:rsid w:val="00591652"/>
    <w:rsid w:val="005916F6"/>
    <w:rsid w:val="00591833"/>
    <w:rsid w:val="005918EB"/>
    <w:rsid w:val="00591B2A"/>
    <w:rsid w:val="00591D97"/>
    <w:rsid w:val="00591DC3"/>
    <w:rsid w:val="00591FAA"/>
    <w:rsid w:val="00591FC9"/>
    <w:rsid w:val="0059206B"/>
    <w:rsid w:val="00592156"/>
    <w:rsid w:val="0059219B"/>
    <w:rsid w:val="0059228B"/>
    <w:rsid w:val="005922F6"/>
    <w:rsid w:val="00592439"/>
    <w:rsid w:val="00592574"/>
    <w:rsid w:val="00592582"/>
    <w:rsid w:val="005927E7"/>
    <w:rsid w:val="005929E5"/>
    <w:rsid w:val="00592A94"/>
    <w:rsid w:val="00592D9C"/>
    <w:rsid w:val="00592EAB"/>
    <w:rsid w:val="005931D6"/>
    <w:rsid w:val="00593256"/>
    <w:rsid w:val="00593477"/>
    <w:rsid w:val="0059355A"/>
    <w:rsid w:val="00593694"/>
    <w:rsid w:val="005936A8"/>
    <w:rsid w:val="005939EF"/>
    <w:rsid w:val="00593A21"/>
    <w:rsid w:val="00593A47"/>
    <w:rsid w:val="00593AAE"/>
    <w:rsid w:val="0059426A"/>
    <w:rsid w:val="00594464"/>
    <w:rsid w:val="005948A3"/>
    <w:rsid w:val="00594AF4"/>
    <w:rsid w:val="00594B78"/>
    <w:rsid w:val="00594C47"/>
    <w:rsid w:val="00594C58"/>
    <w:rsid w:val="00594C71"/>
    <w:rsid w:val="00594D69"/>
    <w:rsid w:val="00594E2A"/>
    <w:rsid w:val="005950F7"/>
    <w:rsid w:val="005951FC"/>
    <w:rsid w:val="00595215"/>
    <w:rsid w:val="0059521E"/>
    <w:rsid w:val="005952E1"/>
    <w:rsid w:val="005952E5"/>
    <w:rsid w:val="00595363"/>
    <w:rsid w:val="005954F0"/>
    <w:rsid w:val="00595925"/>
    <w:rsid w:val="00595994"/>
    <w:rsid w:val="00595BC8"/>
    <w:rsid w:val="00595DDC"/>
    <w:rsid w:val="00595E83"/>
    <w:rsid w:val="00596165"/>
    <w:rsid w:val="005965CA"/>
    <w:rsid w:val="00596A53"/>
    <w:rsid w:val="00596D0D"/>
    <w:rsid w:val="00596FA6"/>
    <w:rsid w:val="00596FA9"/>
    <w:rsid w:val="00597284"/>
    <w:rsid w:val="00597440"/>
    <w:rsid w:val="00597498"/>
    <w:rsid w:val="00597586"/>
    <w:rsid w:val="005975D3"/>
    <w:rsid w:val="005977B5"/>
    <w:rsid w:val="005977C3"/>
    <w:rsid w:val="005977E2"/>
    <w:rsid w:val="0059782D"/>
    <w:rsid w:val="00597908"/>
    <w:rsid w:val="00597A56"/>
    <w:rsid w:val="00597DE2"/>
    <w:rsid w:val="00597F3B"/>
    <w:rsid w:val="00597F65"/>
    <w:rsid w:val="005A0453"/>
    <w:rsid w:val="005A04C1"/>
    <w:rsid w:val="005A0504"/>
    <w:rsid w:val="005A0563"/>
    <w:rsid w:val="005A0632"/>
    <w:rsid w:val="005A069E"/>
    <w:rsid w:val="005A0B88"/>
    <w:rsid w:val="005A0C52"/>
    <w:rsid w:val="005A0E96"/>
    <w:rsid w:val="005A0ED4"/>
    <w:rsid w:val="005A1035"/>
    <w:rsid w:val="005A1534"/>
    <w:rsid w:val="005A16B3"/>
    <w:rsid w:val="005A16DD"/>
    <w:rsid w:val="005A1ABF"/>
    <w:rsid w:val="005A1CEC"/>
    <w:rsid w:val="005A1ECE"/>
    <w:rsid w:val="005A1FDC"/>
    <w:rsid w:val="005A1FE8"/>
    <w:rsid w:val="005A21D0"/>
    <w:rsid w:val="005A2344"/>
    <w:rsid w:val="005A23CB"/>
    <w:rsid w:val="005A23EF"/>
    <w:rsid w:val="005A2464"/>
    <w:rsid w:val="005A2540"/>
    <w:rsid w:val="005A2544"/>
    <w:rsid w:val="005A28AA"/>
    <w:rsid w:val="005A29B7"/>
    <w:rsid w:val="005A29F5"/>
    <w:rsid w:val="005A2B0F"/>
    <w:rsid w:val="005A2B20"/>
    <w:rsid w:val="005A2DDC"/>
    <w:rsid w:val="005A2E0E"/>
    <w:rsid w:val="005A2F8A"/>
    <w:rsid w:val="005A320D"/>
    <w:rsid w:val="005A32D5"/>
    <w:rsid w:val="005A3377"/>
    <w:rsid w:val="005A33B4"/>
    <w:rsid w:val="005A36FF"/>
    <w:rsid w:val="005A3778"/>
    <w:rsid w:val="005A399C"/>
    <w:rsid w:val="005A39D2"/>
    <w:rsid w:val="005A3C58"/>
    <w:rsid w:val="005A3CFF"/>
    <w:rsid w:val="005A3DE0"/>
    <w:rsid w:val="005A3DFB"/>
    <w:rsid w:val="005A43B0"/>
    <w:rsid w:val="005A4492"/>
    <w:rsid w:val="005A44F3"/>
    <w:rsid w:val="005A475C"/>
    <w:rsid w:val="005A479A"/>
    <w:rsid w:val="005A4B5F"/>
    <w:rsid w:val="005A4CCF"/>
    <w:rsid w:val="005A4D43"/>
    <w:rsid w:val="005A4D86"/>
    <w:rsid w:val="005A4E24"/>
    <w:rsid w:val="005A5131"/>
    <w:rsid w:val="005A51AC"/>
    <w:rsid w:val="005A568F"/>
    <w:rsid w:val="005A5702"/>
    <w:rsid w:val="005A593A"/>
    <w:rsid w:val="005A5A91"/>
    <w:rsid w:val="005A5F3E"/>
    <w:rsid w:val="005A6089"/>
    <w:rsid w:val="005A60FA"/>
    <w:rsid w:val="005A6424"/>
    <w:rsid w:val="005A6901"/>
    <w:rsid w:val="005A6D6C"/>
    <w:rsid w:val="005A6E18"/>
    <w:rsid w:val="005A6F75"/>
    <w:rsid w:val="005A736E"/>
    <w:rsid w:val="005A753E"/>
    <w:rsid w:val="005A77FE"/>
    <w:rsid w:val="005A7811"/>
    <w:rsid w:val="005A7AA8"/>
    <w:rsid w:val="005A7AD7"/>
    <w:rsid w:val="005A7D1B"/>
    <w:rsid w:val="005A7D5A"/>
    <w:rsid w:val="005A7D86"/>
    <w:rsid w:val="005A7D8E"/>
    <w:rsid w:val="005A7F07"/>
    <w:rsid w:val="005B011B"/>
    <w:rsid w:val="005B0680"/>
    <w:rsid w:val="005B068A"/>
    <w:rsid w:val="005B06E2"/>
    <w:rsid w:val="005B0794"/>
    <w:rsid w:val="005B086F"/>
    <w:rsid w:val="005B0ABB"/>
    <w:rsid w:val="005B0D21"/>
    <w:rsid w:val="005B0F38"/>
    <w:rsid w:val="005B1269"/>
    <w:rsid w:val="005B12F2"/>
    <w:rsid w:val="005B131B"/>
    <w:rsid w:val="005B1705"/>
    <w:rsid w:val="005B17D9"/>
    <w:rsid w:val="005B1898"/>
    <w:rsid w:val="005B190D"/>
    <w:rsid w:val="005B1B18"/>
    <w:rsid w:val="005B1C13"/>
    <w:rsid w:val="005B2009"/>
    <w:rsid w:val="005B2144"/>
    <w:rsid w:val="005B2255"/>
    <w:rsid w:val="005B262D"/>
    <w:rsid w:val="005B2677"/>
    <w:rsid w:val="005B276A"/>
    <w:rsid w:val="005B299A"/>
    <w:rsid w:val="005B2A98"/>
    <w:rsid w:val="005B2BC7"/>
    <w:rsid w:val="005B2BE2"/>
    <w:rsid w:val="005B2C29"/>
    <w:rsid w:val="005B2C79"/>
    <w:rsid w:val="005B2D7D"/>
    <w:rsid w:val="005B314E"/>
    <w:rsid w:val="005B31B6"/>
    <w:rsid w:val="005B34AD"/>
    <w:rsid w:val="005B37E0"/>
    <w:rsid w:val="005B3900"/>
    <w:rsid w:val="005B3941"/>
    <w:rsid w:val="005B3B02"/>
    <w:rsid w:val="005B3B86"/>
    <w:rsid w:val="005B3BB3"/>
    <w:rsid w:val="005B3BE2"/>
    <w:rsid w:val="005B3F63"/>
    <w:rsid w:val="005B404A"/>
    <w:rsid w:val="005B4265"/>
    <w:rsid w:val="005B496E"/>
    <w:rsid w:val="005B4B22"/>
    <w:rsid w:val="005B4C40"/>
    <w:rsid w:val="005B4F51"/>
    <w:rsid w:val="005B4FC9"/>
    <w:rsid w:val="005B5026"/>
    <w:rsid w:val="005B50CD"/>
    <w:rsid w:val="005B5671"/>
    <w:rsid w:val="005B5738"/>
    <w:rsid w:val="005B5AC7"/>
    <w:rsid w:val="005B6233"/>
    <w:rsid w:val="005B6290"/>
    <w:rsid w:val="005B6A66"/>
    <w:rsid w:val="005B6B6D"/>
    <w:rsid w:val="005B6B6F"/>
    <w:rsid w:val="005B6C36"/>
    <w:rsid w:val="005B6DA3"/>
    <w:rsid w:val="005B6F2E"/>
    <w:rsid w:val="005B700A"/>
    <w:rsid w:val="005B706A"/>
    <w:rsid w:val="005B749A"/>
    <w:rsid w:val="005B75B8"/>
    <w:rsid w:val="005B76DA"/>
    <w:rsid w:val="005B78B7"/>
    <w:rsid w:val="005B7AA8"/>
    <w:rsid w:val="005B7CE2"/>
    <w:rsid w:val="005B7E75"/>
    <w:rsid w:val="005C000E"/>
    <w:rsid w:val="005C00C1"/>
    <w:rsid w:val="005C076D"/>
    <w:rsid w:val="005C09FB"/>
    <w:rsid w:val="005C0AF4"/>
    <w:rsid w:val="005C0B47"/>
    <w:rsid w:val="005C0DF9"/>
    <w:rsid w:val="005C0E66"/>
    <w:rsid w:val="005C1868"/>
    <w:rsid w:val="005C1899"/>
    <w:rsid w:val="005C1C61"/>
    <w:rsid w:val="005C1C6E"/>
    <w:rsid w:val="005C1CB8"/>
    <w:rsid w:val="005C1CC6"/>
    <w:rsid w:val="005C1ED6"/>
    <w:rsid w:val="005C22B8"/>
    <w:rsid w:val="005C232F"/>
    <w:rsid w:val="005C248C"/>
    <w:rsid w:val="005C24CE"/>
    <w:rsid w:val="005C2586"/>
    <w:rsid w:val="005C2A00"/>
    <w:rsid w:val="005C2A52"/>
    <w:rsid w:val="005C2DEE"/>
    <w:rsid w:val="005C2F96"/>
    <w:rsid w:val="005C300E"/>
    <w:rsid w:val="005C32B5"/>
    <w:rsid w:val="005C3318"/>
    <w:rsid w:val="005C34C0"/>
    <w:rsid w:val="005C3577"/>
    <w:rsid w:val="005C35ED"/>
    <w:rsid w:val="005C3698"/>
    <w:rsid w:val="005C3882"/>
    <w:rsid w:val="005C38E4"/>
    <w:rsid w:val="005C3A4F"/>
    <w:rsid w:val="005C3C9C"/>
    <w:rsid w:val="005C3DB1"/>
    <w:rsid w:val="005C3E9D"/>
    <w:rsid w:val="005C3EA8"/>
    <w:rsid w:val="005C3EAC"/>
    <w:rsid w:val="005C4179"/>
    <w:rsid w:val="005C41D0"/>
    <w:rsid w:val="005C4387"/>
    <w:rsid w:val="005C4467"/>
    <w:rsid w:val="005C4889"/>
    <w:rsid w:val="005C48BC"/>
    <w:rsid w:val="005C48BE"/>
    <w:rsid w:val="005C4AA2"/>
    <w:rsid w:val="005C4B11"/>
    <w:rsid w:val="005C5082"/>
    <w:rsid w:val="005C52B7"/>
    <w:rsid w:val="005C53B4"/>
    <w:rsid w:val="005C53E6"/>
    <w:rsid w:val="005C5495"/>
    <w:rsid w:val="005C5564"/>
    <w:rsid w:val="005C58DC"/>
    <w:rsid w:val="005C599F"/>
    <w:rsid w:val="005C5AA0"/>
    <w:rsid w:val="005C6164"/>
    <w:rsid w:val="005C66EE"/>
    <w:rsid w:val="005C6A8C"/>
    <w:rsid w:val="005C6D88"/>
    <w:rsid w:val="005C714C"/>
    <w:rsid w:val="005C7205"/>
    <w:rsid w:val="005C72AE"/>
    <w:rsid w:val="005C72CD"/>
    <w:rsid w:val="005C74DC"/>
    <w:rsid w:val="005C7639"/>
    <w:rsid w:val="005C776E"/>
    <w:rsid w:val="005C7814"/>
    <w:rsid w:val="005C7840"/>
    <w:rsid w:val="005C79D1"/>
    <w:rsid w:val="005C7A50"/>
    <w:rsid w:val="005C7ABE"/>
    <w:rsid w:val="005C7CF6"/>
    <w:rsid w:val="005C7DFD"/>
    <w:rsid w:val="005C7E6D"/>
    <w:rsid w:val="005D00C2"/>
    <w:rsid w:val="005D01F3"/>
    <w:rsid w:val="005D03BE"/>
    <w:rsid w:val="005D04FD"/>
    <w:rsid w:val="005D05AE"/>
    <w:rsid w:val="005D05E5"/>
    <w:rsid w:val="005D074E"/>
    <w:rsid w:val="005D0978"/>
    <w:rsid w:val="005D0B02"/>
    <w:rsid w:val="005D0B9B"/>
    <w:rsid w:val="005D0D48"/>
    <w:rsid w:val="005D0E48"/>
    <w:rsid w:val="005D104C"/>
    <w:rsid w:val="005D1120"/>
    <w:rsid w:val="005D127D"/>
    <w:rsid w:val="005D1312"/>
    <w:rsid w:val="005D1420"/>
    <w:rsid w:val="005D156B"/>
    <w:rsid w:val="005D16C5"/>
    <w:rsid w:val="005D16FC"/>
    <w:rsid w:val="005D17DC"/>
    <w:rsid w:val="005D1AAD"/>
    <w:rsid w:val="005D1B22"/>
    <w:rsid w:val="005D1B65"/>
    <w:rsid w:val="005D1BAD"/>
    <w:rsid w:val="005D1CFF"/>
    <w:rsid w:val="005D1E20"/>
    <w:rsid w:val="005D2230"/>
    <w:rsid w:val="005D2264"/>
    <w:rsid w:val="005D2397"/>
    <w:rsid w:val="005D23FB"/>
    <w:rsid w:val="005D258A"/>
    <w:rsid w:val="005D2621"/>
    <w:rsid w:val="005D2858"/>
    <w:rsid w:val="005D294B"/>
    <w:rsid w:val="005D2CFA"/>
    <w:rsid w:val="005D2D2C"/>
    <w:rsid w:val="005D2E99"/>
    <w:rsid w:val="005D330F"/>
    <w:rsid w:val="005D3539"/>
    <w:rsid w:val="005D3A32"/>
    <w:rsid w:val="005D3B0A"/>
    <w:rsid w:val="005D3B93"/>
    <w:rsid w:val="005D3C67"/>
    <w:rsid w:val="005D411C"/>
    <w:rsid w:val="005D4171"/>
    <w:rsid w:val="005D41B2"/>
    <w:rsid w:val="005D47BB"/>
    <w:rsid w:val="005D4842"/>
    <w:rsid w:val="005D4B89"/>
    <w:rsid w:val="005D4D07"/>
    <w:rsid w:val="005D4D42"/>
    <w:rsid w:val="005D4D65"/>
    <w:rsid w:val="005D4EA8"/>
    <w:rsid w:val="005D5286"/>
    <w:rsid w:val="005D53DD"/>
    <w:rsid w:val="005D56C1"/>
    <w:rsid w:val="005D5795"/>
    <w:rsid w:val="005D59FD"/>
    <w:rsid w:val="005D610F"/>
    <w:rsid w:val="005D6308"/>
    <w:rsid w:val="005D63E4"/>
    <w:rsid w:val="005D6456"/>
    <w:rsid w:val="005D6496"/>
    <w:rsid w:val="005D6576"/>
    <w:rsid w:val="005D6627"/>
    <w:rsid w:val="005D678D"/>
    <w:rsid w:val="005D691D"/>
    <w:rsid w:val="005D6921"/>
    <w:rsid w:val="005D6B96"/>
    <w:rsid w:val="005D6BA7"/>
    <w:rsid w:val="005D6D4C"/>
    <w:rsid w:val="005D6EDB"/>
    <w:rsid w:val="005D7013"/>
    <w:rsid w:val="005D7399"/>
    <w:rsid w:val="005D73FC"/>
    <w:rsid w:val="005D7B09"/>
    <w:rsid w:val="005D7BF4"/>
    <w:rsid w:val="005D7C46"/>
    <w:rsid w:val="005D7E0A"/>
    <w:rsid w:val="005E032C"/>
    <w:rsid w:val="005E040D"/>
    <w:rsid w:val="005E069F"/>
    <w:rsid w:val="005E06BC"/>
    <w:rsid w:val="005E06D1"/>
    <w:rsid w:val="005E094F"/>
    <w:rsid w:val="005E0A03"/>
    <w:rsid w:val="005E0CA0"/>
    <w:rsid w:val="005E0D08"/>
    <w:rsid w:val="005E0D16"/>
    <w:rsid w:val="005E0E0D"/>
    <w:rsid w:val="005E0F54"/>
    <w:rsid w:val="005E0FF4"/>
    <w:rsid w:val="005E11C8"/>
    <w:rsid w:val="005E134A"/>
    <w:rsid w:val="005E18FB"/>
    <w:rsid w:val="005E19F4"/>
    <w:rsid w:val="005E1FAE"/>
    <w:rsid w:val="005E20C4"/>
    <w:rsid w:val="005E214C"/>
    <w:rsid w:val="005E2168"/>
    <w:rsid w:val="005E22BF"/>
    <w:rsid w:val="005E28EC"/>
    <w:rsid w:val="005E2B90"/>
    <w:rsid w:val="005E302F"/>
    <w:rsid w:val="005E3283"/>
    <w:rsid w:val="005E3B58"/>
    <w:rsid w:val="005E3C54"/>
    <w:rsid w:val="005E3CEF"/>
    <w:rsid w:val="005E3ED3"/>
    <w:rsid w:val="005E3F64"/>
    <w:rsid w:val="005E43BB"/>
    <w:rsid w:val="005E43F9"/>
    <w:rsid w:val="005E443E"/>
    <w:rsid w:val="005E47FF"/>
    <w:rsid w:val="005E4A85"/>
    <w:rsid w:val="005E4B7E"/>
    <w:rsid w:val="005E4B80"/>
    <w:rsid w:val="005E4BB4"/>
    <w:rsid w:val="005E4C0C"/>
    <w:rsid w:val="005E4CB7"/>
    <w:rsid w:val="005E4E48"/>
    <w:rsid w:val="005E59F0"/>
    <w:rsid w:val="005E5B7F"/>
    <w:rsid w:val="005E5C20"/>
    <w:rsid w:val="005E5FCE"/>
    <w:rsid w:val="005E60E9"/>
    <w:rsid w:val="005E6142"/>
    <w:rsid w:val="005E61BC"/>
    <w:rsid w:val="005E6238"/>
    <w:rsid w:val="005E6973"/>
    <w:rsid w:val="005E6E2E"/>
    <w:rsid w:val="005E74F2"/>
    <w:rsid w:val="005E7894"/>
    <w:rsid w:val="005E7987"/>
    <w:rsid w:val="005E7B47"/>
    <w:rsid w:val="005E7BCE"/>
    <w:rsid w:val="005E7DF9"/>
    <w:rsid w:val="005E7E60"/>
    <w:rsid w:val="005E7EDB"/>
    <w:rsid w:val="005F015A"/>
    <w:rsid w:val="005F0218"/>
    <w:rsid w:val="005F028C"/>
    <w:rsid w:val="005F034D"/>
    <w:rsid w:val="005F0497"/>
    <w:rsid w:val="005F0566"/>
    <w:rsid w:val="005F0595"/>
    <w:rsid w:val="005F06E9"/>
    <w:rsid w:val="005F079C"/>
    <w:rsid w:val="005F0826"/>
    <w:rsid w:val="005F08C3"/>
    <w:rsid w:val="005F106E"/>
    <w:rsid w:val="005F112E"/>
    <w:rsid w:val="005F142D"/>
    <w:rsid w:val="005F1714"/>
    <w:rsid w:val="005F18AA"/>
    <w:rsid w:val="005F1A65"/>
    <w:rsid w:val="005F1B6C"/>
    <w:rsid w:val="005F1BAA"/>
    <w:rsid w:val="005F1C84"/>
    <w:rsid w:val="005F1E14"/>
    <w:rsid w:val="005F1EAE"/>
    <w:rsid w:val="005F21F9"/>
    <w:rsid w:val="005F23F9"/>
    <w:rsid w:val="005F2465"/>
    <w:rsid w:val="005F26F1"/>
    <w:rsid w:val="005F276C"/>
    <w:rsid w:val="005F27C0"/>
    <w:rsid w:val="005F29FE"/>
    <w:rsid w:val="005F2A8D"/>
    <w:rsid w:val="005F2B43"/>
    <w:rsid w:val="005F2EA5"/>
    <w:rsid w:val="005F2F34"/>
    <w:rsid w:val="005F310A"/>
    <w:rsid w:val="005F35CE"/>
    <w:rsid w:val="005F3812"/>
    <w:rsid w:val="005F3894"/>
    <w:rsid w:val="005F394A"/>
    <w:rsid w:val="005F3A67"/>
    <w:rsid w:val="005F3A9C"/>
    <w:rsid w:val="005F3CB3"/>
    <w:rsid w:val="005F3D79"/>
    <w:rsid w:val="005F3D8F"/>
    <w:rsid w:val="005F3D97"/>
    <w:rsid w:val="005F3DAE"/>
    <w:rsid w:val="005F45C0"/>
    <w:rsid w:val="005F4D43"/>
    <w:rsid w:val="005F4FA2"/>
    <w:rsid w:val="005F5408"/>
    <w:rsid w:val="005F54F5"/>
    <w:rsid w:val="005F55C8"/>
    <w:rsid w:val="005F577C"/>
    <w:rsid w:val="005F5C58"/>
    <w:rsid w:val="005F5E33"/>
    <w:rsid w:val="005F5FAA"/>
    <w:rsid w:val="005F5FEA"/>
    <w:rsid w:val="005F6187"/>
    <w:rsid w:val="005F6234"/>
    <w:rsid w:val="005F634B"/>
    <w:rsid w:val="005F64D1"/>
    <w:rsid w:val="005F6726"/>
    <w:rsid w:val="005F6DEA"/>
    <w:rsid w:val="005F6E8C"/>
    <w:rsid w:val="005F6F49"/>
    <w:rsid w:val="005F7025"/>
    <w:rsid w:val="005F7103"/>
    <w:rsid w:val="005F7146"/>
    <w:rsid w:val="005F7246"/>
    <w:rsid w:val="005F74CF"/>
    <w:rsid w:val="005F7A15"/>
    <w:rsid w:val="005F7BCB"/>
    <w:rsid w:val="005F7BEF"/>
    <w:rsid w:val="005F7CDE"/>
    <w:rsid w:val="005F7EC5"/>
    <w:rsid w:val="00600123"/>
    <w:rsid w:val="00600200"/>
    <w:rsid w:val="006007A4"/>
    <w:rsid w:val="00600AF6"/>
    <w:rsid w:val="00600FC4"/>
    <w:rsid w:val="00601693"/>
    <w:rsid w:val="00601971"/>
    <w:rsid w:val="00601AA1"/>
    <w:rsid w:val="00601B05"/>
    <w:rsid w:val="00601F95"/>
    <w:rsid w:val="0060222E"/>
    <w:rsid w:val="0060224E"/>
    <w:rsid w:val="00602331"/>
    <w:rsid w:val="00602418"/>
    <w:rsid w:val="00602AE1"/>
    <w:rsid w:val="00602B0E"/>
    <w:rsid w:val="00602C87"/>
    <w:rsid w:val="00602CA5"/>
    <w:rsid w:val="00602DEE"/>
    <w:rsid w:val="00602F51"/>
    <w:rsid w:val="0060306B"/>
    <w:rsid w:val="00603418"/>
    <w:rsid w:val="006034BC"/>
    <w:rsid w:val="006035D7"/>
    <w:rsid w:val="00603742"/>
    <w:rsid w:val="00603BE9"/>
    <w:rsid w:val="00603DEA"/>
    <w:rsid w:val="0060409B"/>
    <w:rsid w:val="006040AE"/>
    <w:rsid w:val="006043ED"/>
    <w:rsid w:val="00604490"/>
    <w:rsid w:val="006046F9"/>
    <w:rsid w:val="00604713"/>
    <w:rsid w:val="00604731"/>
    <w:rsid w:val="0060474B"/>
    <w:rsid w:val="00604EA7"/>
    <w:rsid w:val="00604F95"/>
    <w:rsid w:val="006052E2"/>
    <w:rsid w:val="006055C8"/>
    <w:rsid w:val="00605700"/>
    <w:rsid w:val="006058FA"/>
    <w:rsid w:val="00605B70"/>
    <w:rsid w:val="00605DBA"/>
    <w:rsid w:val="00605E58"/>
    <w:rsid w:val="00605E7D"/>
    <w:rsid w:val="00605FC9"/>
    <w:rsid w:val="0060612E"/>
    <w:rsid w:val="00606173"/>
    <w:rsid w:val="006062EB"/>
    <w:rsid w:val="00606671"/>
    <w:rsid w:val="00606C15"/>
    <w:rsid w:val="00606E2B"/>
    <w:rsid w:val="00606E82"/>
    <w:rsid w:val="0060720B"/>
    <w:rsid w:val="0060728C"/>
    <w:rsid w:val="006074B6"/>
    <w:rsid w:val="00607566"/>
    <w:rsid w:val="006076B0"/>
    <w:rsid w:val="00610027"/>
    <w:rsid w:val="006102C9"/>
    <w:rsid w:val="00610425"/>
    <w:rsid w:val="0061052B"/>
    <w:rsid w:val="006109EF"/>
    <w:rsid w:val="00610B0B"/>
    <w:rsid w:val="00610B13"/>
    <w:rsid w:val="006113B9"/>
    <w:rsid w:val="00611422"/>
    <w:rsid w:val="0061147A"/>
    <w:rsid w:val="00611A4E"/>
    <w:rsid w:val="00611B51"/>
    <w:rsid w:val="0061238D"/>
    <w:rsid w:val="006123F1"/>
    <w:rsid w:val="006123F3"/>
    <w:rsid w:val="00612671"/>
    <w:rsid w:val="00612691"/>
    <w:rsid w:val="006127C4"/>
    <w:rsid w:val="006129DE"/>
    <w:rsid w:val="00612DB0"/>
    <w:rsid w:val="00612E40"/>
    <w:rsid w:val="00612E52"/>
    <w:rsid w:val="00612F27"/>
    <w:rsid w:val="0061301A"/>
    <w:rsid w:val="006130CA"/>
    <w:rsid w:val="00613486"/>
    <w:rsid w:val="00613609"/>
    <w:rsid w:val="0061396D"/>
    <w:rsid w:val="00613AE1"/>
    <w:rsid w:val="00613BFE"/>
    <w:rsid w:val="00613D16"/>
    <w:rsid w:val="00613E11"/>
    <w:rsid w:val="00613FAF"/>
    <w:rsid w:val="00614152"/>
    <w:rsid w:val="00614161"/>
    <w:rsid w:val="00614280"/>
    <w:rsid w:val="006144A1"/>
    <w:rsid w:val="00614554"/>
    <w:rsid w:val="00614695"/>
    <w:rsid w:val="00614750"/>
    <w:rsid w:val="00614A17"/>
    <w:rsid w:val="00614F49"/>
    <w:rsid w:val="006151A8"/>
    <w:rsid w:val="006151D9"/>
    <w:rsid w:val="006152F1"/>
    <w:rsid w:val="006153A1"/>
    <w:rsid w:val="00615745"/>
    <w:rsid w:val="00615894"/>
    <w:rsid w:val="00615BF9"/>
    <w:rsid w:val="00615C28"/>
    <w:rsid w:val="00615C29"/>
    <w:rsid w:val="00615F46"/>
    <w:rsid w:val="00616224"/>
    <w:rsid w:val="006164F1"/>
    <w:rsid w:val="0061661E"/>
    <w:rsid w:val="006166A6"/>
    <w:rsid w:val="006167E9"/>
    <w:rsid w:val="0061681F"/>
    <w:rsid w:val="00616858"/>
    <w:rsid w:val="00616B63"/>
    <w:rsid w:val="00616C32"/>
    <w:rsid w:val="00616E96"/>
    <w:rsid w:val="00616EC2"/>
    <w:rsid w:val="00616F33"/>
    <w:rsid w:val="0061710D"/>
    <w:rsid w:val="00617255"/>
    <w:rsid w:val="00617312"/>
    <w:rsid w:val="0061731F"/>
    <w:rsid w:val="006175D7"/>
    <w:rsid w:val="006176D3"/>
    <w:rsid w:val="006178EE"/>
    <w:rsid w:val="00617B95"/>
    <w:rsid w:val="00617BFB"/>
    <w:rsid w:val="00617E4F"/>
    <w:rsid w:val="00620357"/>
    <w:rsid w:val="00620556"/>
    <w:rsid w:val="006205CF"/>
    <w:rsid w:val="006206FC"/>
    <w:rsid w:val="006207AB"/>
    <w:rsid w:val="006208D8"/>
    <w:rsid w:val="00620918"/>
    <w:rsid w:val="00620E29"/>
    <w:rsid w:val="0062102A"/>
    <w:rsid w:val="0062106C"/>
    <w:rsid w:val="00621119"/>
    <w:rsid w:val="0062114E"/>
    <w:rsid w:val="006211E9"/>
    <w:rsid w:val="006213CF"/>
    <w:rsid w:val="006217B2"/>
    <w:rsid w:val="00621C2A"/>
    <w:rsid w:val="00621C2B"/>
    <w:rsid w:val="00621E41"/>
    <w:rsid w:val="00621E4E"/>
    <w:rsid w:val="00622022"/>
    <w:rsid w:val="00622136"/>
    <w:rsid w:val="00622148"/>
    <w:rsid w:val="006221E6"/>
    <w:rsid w:val="00622221"/>
    <w:rsid w:val="00622378"/>
    <w:rsid w:val="00622429"/>
    <w:rsid w:val="006225D7"/>
    <w:rsid w:val="00622710"/>
    <w:rsid w:val="00622910"/>
    <w:rsid w:val="00622A64"/>
    <w:rsid w:val="00622A88"/>
    <w:rsid w:val="00622B0F"/>
    <w:rsid w:val="00622C94"/>
    <w:rsid w:val="00622CDC"/>
    <w:rsid w:val="00622CF8"/>
    <w:rsid w:val="00622D47"/>
    <w:rsid w:val="00622E00"/>
    <w:rsid w:val="00622E96"/>
    <w:rsid w:val="00622EA6"/>
    <w:rsid w:val="00622F2F"/>
    <w:rsid w:val="00623226"/>
    <w:rsid w:val="006233B4"/>
    <w:rsid w:val="006235BA"/>
    <w:rsid w:val="00623704"/>
    <w:rsid w:val="00623A3B"/>
    <w:rsid w:val="00623AF4"/>
    <w:rsid w:val="00623BD6"/>
    <w:rsid w:val="00623D98"/>
    <w:rsid w:val="00623E78"/>
    <w:rsid w:val="006241AB"/>
    <w:rsid w:val="006243FC"/>
    <w:rsid w:val="0062456C"/>
    <w:rsid w:val="006249E2"/>
    <w:rsid w:val="00624AE3"/>
    <w:rsid w:val="00624C04"/>
    <w:rsid w:val="00624ED6"/>
    <w:rsid w:val="00624FFC"/>
    <w:rsid w:val="00625465"/>
    <w:rsid w:val="00625616"/>
    <w:rsid w:val="006259A8"/>
    <w:rsid w:val="00625AD8"/>
    <w:rsid w:val="00625B52"/>
    <w:rsid w:val="00625E4E"/>
    <w:rsid w:val="00626013"/>
    <w:rsid w:val="00626116"/>
    <w:rsid w:val="0062628A"/>
    <w:rsid w:val="00626735"/>
    <w:rsid w:val="00626921"/>
    <w:rsid w:val="00626B0B"/>
    <w:rsid w:val="00626FB1"/>
    <w:rsid w:val="00627232"/>
    <w:rsid w:val="0062726B"/>
    <w:rsid w:val="0062749C"/>
    <w:rsid w:val="00627513"/>
    <w:rsid w:val="0062756A"/>
    <w:rsid w:val="006275C0"/>
    <w:rsid w:val="006275C4"/>
    <w:rsid w:val="00627813"/>
    <w:rsid w:val="00627D73"/>
    <w:rsid w:val="00627DF3"/>
    <w:rsid w:val="00630012"/>
    <w:rsid w:val="006300AA"/>
    <w:rsid w:val="00630251"/>
    <w:rsid w:val="00630A3E"/>
    <w:rsid w:val="00630A70"/>
    <w:rsid w:val="00630A8B"/>
    <w:rsid w:val="00630AB6"/>
    <w:rsid w:val="00630B72"/>
    <w:rsid w:val="00630D65"/>
    <w:rsid w:val="00630DCA"/>
    <w:rsid w:val="00630FD9"/>
    <w:rsid w:val="0063121D"/>
    <w:rsid w:val="0063163F"/>
    <w:rsid w:val="00631931"/>
    <w:rsid w:val="00631ACD"/>
    <w:rsid w:val="00631C21"/>
    <w:rsid w:val="00631FE2"/>
    <w:rsid w:val="00632857"/>
    <w:rsid w:val="006328DC"/>
    <w:rsid w:val="00632903"/>
    <w:rsid w:val="006329AA"/>
    <w:rsid w:val="00632A11"/>
    <w:rsid w:val="00632BE9"/>
    <w:rsid w:val="00632C2A"/>
    <w:rsid w:val="00632CBD"/>
    <w:rsid w:val="00632ECC"/>
    <w:rsid w:val="00632FA7"/>
    <w:rsid w:val="006330BF"/>
    <w:rsid w:val="00633193"/>
    <w:rsid w:val="006333E3"/>
    <w:rsid w:val="0063362B"/>
    <w:rsid w:val="006337DA"/>
    <w:rsid w:val="00633993"/>
    <w:rsid w:val="00633BB1"/>
    <w:rsid w:val="00633CAA"/>
    <w:rsid w:val="00633CCC"/>
    <w:rsid w:val="00633D52"/>
    <w:rsid w:val="00633E0F"/>
    <w:rsid w:val="00633EDF"/>
    <w:rsid w:val="00633F7B"/>
    <w:rsid w:val="00634436"/>
    <w:rsid w:val="0063482B"/>
    <w:rsid w:val="006348D5"/>
    <w:rsid w:val="00634AAB"/>
    <w:rsid w:val="00634D3F"/>
    <w:rsid w:val="006353A5"/>
    <w:rsid w:val="00635494"/>
    <w:rsid w:val="00635663"/>
    <w:rsid w:val="0063590B"/>
    <w:rsid w:val="00635C99"/>
    <w:rsid w:val="006361A9"/>
    <w:rsid w:val="00636314"/>
    <w:rsid w:val="0063641B"/>
    <w:rsid w:val="006364A3"/>
    <w:rsid w:val="0063653B"/>
    <w:rsid w:val="0063655D"/>
    <w:rsid w:val="006366E0"/>
    <w:rsid w:val="00636CAC"/>
    <w:rsid w:val="00636DCA"/>
    <w:rsid w:val="006372D4"/>
    <w:rsid w:val="0063732A"/>
    <w:rsid w:val="00637867"/>
    <w:rsid w:val="00637972"/>
    <w:rsid w:val="00637A61"/>
    <w:rsid w:val="00637FED"/>
    <w:rsid w:val="00640362"/>
    <w:rsid w:val="006403BE"/>
    <w:rsid w:val="00640A5E"/>
    <w:rsid w:val="00640B9F"/>
    <w:rsid w:val="00640C8D"/>
    <w:rsid w:val="00640E0B"/>
    <w:rsid w:val="00640F9D"/>
    <w:rsid w:val="00640FFF"/>
    <w:rsid w:val="0064105D"/>
    <w:rsid w:val="006410D0"/>
    <w:rsid w:val="00641471"/>
    <w:rsid w:val="00641580"/>
    <w:rsid w:val="0064181A"/>
    <w:rsid w:val="00641876"/>
    <w:rsid w:val="00641A0D"/>
    <w:rsid w:val="00641BC7"/>
    <w:rsid w:val="00641C27"/>
    <w:rsid w:val="006420AF"/>
    <w:rsid w:val="00642100"/>
    <w:rsid w:val="00642524"/>
    <w:rsid w:val="0064259E"/>
    <w:rsid w:val="00642C41"/>
    <w:rsid w:val="00642C6C"/>
    <w:rsid w:val="0064327C"/>
    <w:rsid w:val="0064336B"/>
    <w:rsid w:val="0064358A"/>
    <w:rsid w:val="006435F4"/>
    <w:rsid w:val="006438ED"/>
    <w:rsid w:val="00643941"/>
    <w:rsid w:val="00643A9D"/>
    <w:rsid w:val="00643AE2"/>
    <w:rsid w:val="00643B0B"/>
    <w:rsid w:val="00643BD3"/>
    <w:rsid w:val="00643DF6"/>
    <w:rsid w:val="00643E26"/>
    <w:rsid w:val="00643E2A"/>
    <w:rsid w:val="006441E6"/>
    <w:rsid w:val="00644363"/>
    <w:rsid w:val="006445BC"/>
    <w:rsid w:val="006445C6"/>
    <w:rsid w:val="00644920"/>
    <w:rsid w:val="00645135"/>
    <w:rsid w:val="006451E6"/>
    <w:rsid w:val="006453EB"/>
    <w:rsid w:val="00645512"/>
    <w:rsid w:val="006455B9"/>
    <w:rsid w:val="0064578B"/>
    <w:rsid w:val="006458EF"/>
    <w:rsid w:val="00645B60"/>
    <w:rsid w:val="00645C11"/>
    <w:rsid w:val="00645C58"/>
    <w:rsid w:val="00645D08"/>
    <w:rsid w:val="00645F75"/>
    <w:rsid w:val="0064609C"/>
    <w:rsid w:val="006468B0"/>
    <w:rsid w:val="006469DD"/>
    <w:rsid w:val="00646CD8"/>
    <w:rsid w:val="00646D89"/>
    <w:rsid w:val="00647211"/>
    <w:rsid w:val="00647272"/>
    <w:rsid w:val="006474D9"/>
    <w:rsid w:val="00647632"/>
    <w:rsid w:val="00647A2C"/>
    <w:rsid w:val="00647D86"/>
    <w:rsid w:val="00647F45"/>
    <w:rsid w:val="0065012D"/>
    <w:rsid w:val="006503B7"/>
    <w:rsid w:val="0065044C"/>
    <w:rsid w:val="0065054D"/>
    <w:rsid w:val="00650629"/>
    <w:rsid w:val="0065067A"/>
    <w:rsid w:val="006509E7"/>
    <w:rsid w:val="00650B48"/>
    <w:rsid w:val="00650BA7"/>
    <w:rsid w:val="00650C49"/>
    <w:rsid w:val="00650E50"/>
    <w:rsid w:val="00650EB5"/>
    <w:rsid w:val="00650F58"/>
    <w:rsid w:val="0065115B"/>
    <w:rsid w:val="0065133C"/>
    <w:rsid w:val="00651716"/>
    <w:rsid w:val="006517D0"/>
    <w:rsid w:val="00651DB6"/>
    <w:rsid w:val="00651EA8"/>
    <w:rsid w:val="006521A0"/>
    <w:rsid w:val="006528DA"/>
    <w:rsid w:val="00652CD6"/>
    <w:rsid w:val="00652EE7"/>
    <w:rsid w:val="00653282"/>
    <w:rsid w:val="006535B2"/>
    <w:rsid w:val="0065361B"/>
    <w:rsid w:val="006536D7"/>
    <w:rsid w:val="00653DCD"/>
    <w:rsid w:val="00653FEE"/>
    <w:rsid w:val="0065403D"/>
    <w:rsid w:val="0065413E"/>
    <w:rsid w:val="00654380"/>
    <w:rsid w:val="00654533"/>
    <w:rsid w:val="00654691"/>
    <w:rsid w:val="006549BF"/>
    <w:rsid w:val="00654B6D"/>
    <w:rsid w:val="00654BA7"/>
    <w:rsid w:val="00654BD0"/>
    <w:rsid w:val="00654E1C"/>
    <w:rsid w:val="00654F7A"/>
    <w:rsid w:val="00654F89"/>
    <w:rsid w:val="006550F9"/>
    <w:rsid w:val="0065511E"/>
    <w:rsid w:val="0065512B"/>
    <w:rsid w:val="0065512E"/>
    <w:rsid w:val="00655431"/>
    <w:rsid w:val="00655535"/>
    <w:rsid w:val="006558EE"/>
    <w:rsid w:val="006559C0"/>
    <w:rsid w:val="00655C78"/>
    <w:rsid w:val="00655C9D"/>
    <w:rsid w:val="00655E25"/>
    <w:rsid w:val="00655FC4"/>
    <w:rsid w:val="0065609A"/>
    <w:rsid w:val="00656212"/>
    <w:rsid w:val="0065629E"/>
    <w:rsid w:val="006564AB"/>
    <w:rsid w:val="0065669E"/>
    <w:rsid w:val="006568D7"/>
    <w:rsid w:val="006568ED"/>
    <w:rsid w:val="00656BE1"/>
    <w:rsid w:val="00656C73"/>
    <w:rsid w:val="00656CF3"/>
    <w:rsid w:val="00656D1C"/>
    <w:rsid w:val="00656EE7"/>
    <w:rsid w:val="0065743E"/>
    <w:rsid w:val="00657474"/>
    <w:rsid w:val="006574EA"/>
    <w:rsid w:val="0065756F"/>
    <w:rsid w:val="006576A9"/>
    <w:rsid w:val="006576E5"/>
    <w:rsid w:val="0065791F"/>
    <w:rsid w:val="00657ED8"/>
    <w:rsid w:val="0066017F"/>
    <w:rsid w:val="006601A2"/>
    <w:rsid w:val="006602B6"/>
    <w:rsid w:val="00660606"/>
    <w:rsid w:val="006608BA"/>
    <w:rsid w:val="00660C78"/>
    <w:rsid w:val="00660D34"/>
    <w:rsid w:val="00660D5B"/>
    <w:rsid w:val="00660D92"/>
    <w:rsid w:val="00660F16"/>
    <w:rsid w:val="00661038"/>
    <w:rsid w:val="0066129F"/>
    <w:rsid w:val="00661BDD"/>
    <w:rsid w:val="00661DA9"/>
    <w:rsid w:val="00661E88"/>
    <w:rsid w:val="00661F52"/>
    <w:rsid w:val="00662120"/>
    <w:rsid w:val="0066214E"/>
    <w:rsid w:val="006623F2"/>
    <w:rsid w:val="00662726"/>
    <w:rsid w:val="00662850"/>
    <w:rsid w:val="00662B56"/>
    <w:rsid w:val="00662D22"/>
    <w:rsid w:val="00662FB6"/>
    <w:rsid w:val="0066315C"/>
    <w:rsid w:val="006632A2"/>
    <w:rsid w:val="006634B3"/>
    <w:rsid w:val="006635B5"/>
    <w:rsid w:val="00663D8B"/>
    <w:rsid w:val="00663FA4"/>
    <w:rsid w:val="006640E2"/>
    <w:rsid w:val="00664393"/>
    <w:rsid w:val="006643C9"/>
    <w:rsid w:val="00664460"/>
    <w:rsid w:val="0066474B"/>
    <w:rsid w:val="006647B3"/>
    <w:rsid w:val="00664BB3"/>
    <w:rsid w:val="00664C2C"/>
    <w:rsid w:val="00664C61"/>
    <w:rsid w:val="00664E03"/>
    <w:rsid w:val="00664E07"/>
    <w:rsid w:val="00664E55"/>
    <w:rsid w:val="00664F56"/>
    <w:rsid w:val="00664FAC"/>
    <w:rsid w:val="006652FC"/>
    <w:rsid w:val="00665435"/>
    <w:rsid w:val="00665453"/>
    <w:rsid w:val="00666057"/>
    <w:rsid w:val="0066628B"/>
    <w:rsid w:val="00666563"/>
    <w:rsid w:val="00666592"/>
    <w:rsid w:val="006665A6"/>
    <w:rsid w:val="0066676A"/>
    <w:rsid w:val="006667F5"/>
    <w:rsid w:val="0066699A"/>
    <w:rsid w:val="006669ED"/>
    <w:rsid w:val="00666A4C"/>
    <w:rsid w:val="00666B11"/>
    <w:rsid w:val="00666B42"/>
    <w:rsid w:val="00666CC7"/>
    <w:rsid w:val="00667243"/>
    <w:rsid w:val="00667278"/>
    <w:rsid w:val="0066747F"/>
    <w:rsid w:val="00667561"/>
    <w:rsid w:val="00667994"/>
    <w:rsid w:val="00667BFC"/>
    <w:rsid w:val="00667D12"/>
    <w:rsid w:val="00670014"/>
    <w:rsid w:val="0067003D"/>
    <w:rsid w:val="006700DC"/>
    <w:rsid w:val="0067027F"/>
    <w:rsid w:val="006703E5"/>
    <w:rsid w:val="00670749"/>
    <w:rsid w:val="00670856"/>
    <w:rsid w:val="0067091E"/>
    <w:rsid w:val="00670BE1"/>
    <w:rsid w:val="00670C6C"/>
    <w:rsid w:val="00670CC2"/>
    <w:rsid w:val="00670EB3"/>
    <w:rsid w:val="00670FDD"/>
    <w:rsid w:val="0067107C"/>
    <w:rsid w:val="0067115D"/>
    <w:rsid w:val="0067152A"/>
    <w:rsid w:val="006716B1"/>
    <w:rsid w:val="00671735"/>
    <w:rsid w:val="00671778"/>
    <w:rsid w:val="00671C08"/>
    <w:rsid w:val="00671C40"/>
    <w:rsid w:val="00671CC4"/>
    <w:rsid w:val="00671E27"/>
    <w:rsid w:val="006720DA"/>
    <w:rsid w:val="00672175"/>
    <w:rsid w:val="00672316"/>
    <w:rsid w:val="00672339"/>
    <w:rsid w:val="00672437"/>
    <w:rsid w:val="006725D4"/>
    <w:rsid w:val="00672745"/>
    <w:rsid w:val="00672986"/>
    <w:rsid w:val="00672B6A"/>
    <w:rsid w:val="00672E5D"/>
    <w:rsid w:val="0067336F"/>
    <w:rsid w:val="00673607"/>
    <w:rsid w:val="00673672"/>
    <w:rsid w:val="006736DD"/>
    <w:rsid w:val="00673A13"/>
    <w:rsid w:val="00673A38"/>
    <w:rsid w:val="00673C8D"/>
    <w:rsid w:val="00673DA8"/>
    <w:rsid w:val="00673E91"/>
    <w:rsid w:val="006744DA"/>
    <w:rsid w:val="0067492B"/>
    <w:rsid w:val="00674D14"/>
    <w:rsid w:val="00674EA3"/>
    <w:rsid w:val="00675049"/>
    <w:rsid w:val="00675305"/>
    <w:rsid w:val="00675331"/>
    <w:rsid w:val="0067565B"/>
    <w:rsid w:val="0067593D"/>
    <w:rsid w:val="00675957"/>
    <w:rsid w:val="006759CA"/>
    <w:rsid w:val="00675AA5"/>
    <w:rsid w:val="00675C1C"/>
    <w:rsid w:val="006761D3"/>
    <w:rsid w:val="00676489"/>
    <w:rsid w:val="00676AB3"/>
    <w:rsid w:val="00676B79"/>
    <w:rsid w:val="00676D6B"/>
    <w:rsid w:val="00676DE2"/>
    <w:rsid w:val="00676E45"/>
    <w:rsid w:val="00676E56"/>
    <w:rsid w:val="00676EB1"/>
    <w:rsid w:val="00676F83"/>
    <w:rsid w:val="00677268"/>
    <w:rsid w:val="00677857"/>
    <w:rsid w:val="0067787E"/>
    <w:rsid w:val="0067790C"/>
    <w:rsid w:val="00677A36"/>
    <w:rsid w:val="00677AD3"/>
    <w:rsid w:val="00677BCF"/>
    <w:rsid w:val="00677CAE"/>
    <w:rsid w:val="0068004E"/>
    <w:rsid w:val="0068032F"/>
    <w:rsid w:val="0068057B"/>
    <w:rsid w:val="006805BA"/>
    <w:rsid w:val="006806FF"/>
    <w:rsid w:val="006808C3"/>
    <w:rsid w:val="00680A76"/>
    <w:rsid w:val="00680ADD"/>
    <w:rsid w:val="00680BE3"/>
    <w:rsid w:val="00680C89"/>
    <w:rsid w:val="00680CD2"/>
    <w:rsid w:val="00680EA2"/>
    <w:rsid w:val="0068146D"/>
    <w:rsid w:val="0068178F"/>
    <w:rsid w:val="006818BC"/>
    <w:rsid w:val="006819F1"/>
    <w:rsid w:val="00681B6A"/>
    <w:rsid w:val="00681C96"/>
    <w:rsid w:val="00681CD4"/>
    <w:rsid w:val="00681ED4"/>
    <w:rsid w:val="00681EF8"/>
    <w:rsid w:val="00681F37"/>
    <w:rsid w:val="006820D5"/>
    <w:rsid w:val="006824D8"/>
    <w:rsid w:val="0068250E"/>
    <w:rsid w:val="006825D4"/>
    <w:rsid w:val="006825F4"/>
    <w:rsid w:val="0068284D"/>
    <w:rsid w:val="00682961"/>
    <w:rsid w:val="00682A4F"/>
    <w:rsid w:val="00682C55"/>
    <w:rsid w:val="00682E19"/>
    <w:rsid w:val="00682F1C"/>
    <w:rsid w:val="0068311D"/>
    <w:rsid w:val="006831DC"/>
    <w:rsid w:val="00683991"/>
    <w:rsid w:val="00683B59"/>
    <w:rsid w:val="00683B86"/>
    <w:rsid w:val="00683BA0"/>
    <w:rsid w:val="00683D09"/>
    <w:rsid w:val="00683F91"/>
    <w:rsid w:val="00683FF2"/>
    <w:rsid w:val="006842BF"/>
    <w:rsid w:val="0068439A"/>
    <w:rsid w:val="00684446"/>
    <w:rsid w:val="00684583"/>
    <w:rsid w:val="00684697"/>
    <w:rsid w:val="0068479F"/>
    <w:rsid w:val="00684800"/>
    <w:rsid w:val="00684832"/>
    <w:rsid w:val="00684D9F"/>
    <w:rsid w:val="00684FFA"/>
    <w:rsid w:val="00685368"/>
    <w:rsid w:val="0068536E"/>
    <w:rsid w:val="006853A7"/>
    <w:rsid w:val="00685400"/>
    <w:rsid w:val="006855F2"/>
    <w:rsid w:val="00685681"/>
    <w:rsid w:val="006856A7"/>
    <w:rsid w:val="00685814"/>
    <w:rsid w:val="0068598D"/>
    <w:rsid w:val="00685A72"/>
    <w:rsid w:val="00685C46"/>
    <w:rsid w:val="006861AD"/>
    <w:rsid w:val="00686485"/>
    <w:rsid w:val="006864D4"/>
    <w:rsid w:val="00686539"/>
    <w:rsid w:val="00686612"/>
    <w:rsid w:val="00686689"/>
    <w:rsid w:val="006866EA"/>
    <w:rsid w:val="006867C3"/>
    <w:rsid w:val="0068685D"/>
    <w:rsid w:val="00686964"/>
    <w:rsid w:val="006869DD"/>
    <w:rsid w:val="00686E75"/>
    <w:rsid w:val="00686F6A"/>
    <w:rsid w:val="00687275"/>
    <w:rsid w:val="00687321"/>
    <w:rsid w:val="00687584"/>
    <w:rsid w:val="0068765D"/>
    <w:rsid w:val="006877A4"/>
    <w:rsid w:val="006878AF"/>
    <w:rsid w:val="006879FF"/>
    <w:rsid w:val="00687C37"/>
    <w:rsid w:val="00687C73"/>
    <w:rsid w:val="00687E24"/>
    <w:rsid w:val="00687EFF"/>
    <w:rsid w:val="00690092"/>
    <w:rsid w:val="006900B7"/>
    <w:rsid w:val="006902C9"/>
    <w:rsid w:val="0069056B"/>
    <w:rsid w:val="006905DB"/>
    <w:rsid w:val="00690681"/>
    <w:rsid w:val="00690734"/>
    <w:rsid w:val="00690A42"/>
    <w:rsid w:val="00690A7F"/>
    <w:rsid w:val="00690B39"/>
    <w:rsid w:val="00690CC3"/>
    <w:rsid w:val="00690D0D"/>
    <w:rsid w:val="00690DA8"/>
    <w:rsid w:val="00690DE3"/>
    <w:rsid w:val="00691073"/>
    <w:rsid w:val="006910FA"/>
    <w:rsid w:val="00691158"/>
    <w:rsid w:val="00691271"/>
    <w:rsid w:val="006912AA"/>
    <w:rsid w:val="006913A8"/>
    <w:rsid w:val="00691547"/>
    <w:rsid w:val="00691719"/>
    <w:rsid w:val="0069171D"/>
    <w:rsid w:val="006917C4"/>
    <w:rsid w:val="006917FB"/>
    <w:rsid w:val="00691959"/>
    <w:rsid w:val="006921F3"/>
    <w:rsid w:val="006927F3"/>
    <w:rsid w:val="00692A65"/>
    <w:rsid w:val="00692F58"/>
    <w:rsid w:val="006930F6"/>
    <w:rsid w:val="006931FE"/>
    <w:rsid w:val="00693232"/>
    <w:rsid w:val="006932C8"/>
    <w:rsid w:val="0069344B"/>
    <w:rsid w:val="00693547"/>
    <w:rsid w:val="0069368E"/>
    <w:rsid w:val="0069379D"/>
    <w:rsid w:val="0069398B"/>
    <w:rsid w:val="006939E2"/>
    <w:rsid w:val="00693CDE"/>
    <w:rsid w:val="00693E08"/>
    <w:rsid w:val="0069415C"/>
    <w:rsid w:val="00694689"/>
    <w:rsid w:val="00694925"/>
    <w:rsid w:val="00694A24"/>
    <w:rsid w:val="00694C32"/>
    <w:rsid w:val="00694DB6"/>
    <w:rsid w:val="00694E85"/>
    <w:rsid w:val="00694F92"/>
    <w:rsid w:val="0069502F"/>
    <w:rsid w:val="00695165"/>
    <w:rsid w:val="006951AB"/>
    <w:rsid w:val="00695230"/>
    <w:rsid w:val="00695497"/>
    <w:rsid w:val="00695721"/>
    <w:rsid w:val="00695AC4"/>
    <w:rsid w:val="00695B6F"/>
    <w:rsid w:val="00695BA7"/>
    <w:rsid w:val="00695BF9"/>
    <w:rsid w:val="00695C43"/>
    <w:rsid w:val="00695CC8"/>
    <w:rsid w:val="00695F6A"/>
    <w:rsid w:val="006964B5"/>
    <w:rsid w:val="006968A0"/>
    <w:rsid w:val="00696919"/>
    <w:rsid w:val="0069698C"/>
    <w:rsid w:val="00696B3E"/>
    <w:rsid w:val="00696B9C"/>
    <w:rsid w:val="00696DAD"/>
    <w:rsid w:val="00696E69"/>
    <w:rsid w:val="00696FED"/>
    <w:rsid w:val="00697050"/>
    <w:rsid w:val="006970DB"/>
    <w:rsid w:val="0069731E"/>
    <w:rsid w:val="006975B8"/>
    <w:rsid w:val="00697627"/>
    <w:rsid w:val="00697633"/>
    <w:rsid w:val="00697A02"/>
    <w:rsid w:val="00697A65"/>
    <w:rsid w:val="00697A72"/>
    <w:rsid w:val="00697E72"/>
    <w:rsid w:val="00697F40"/>
    <w:rsid w:val="006A0537"/>
    <w:rsid w:val="006A0658"/>
    <w:rsid w:val="006A0885"/>
    <w:rsid w:val="006A09DE"/>
    <w:rsid w:val="006A09FA"/>
    <w:rsid w:val="006A0C42"/>
    <w:rsid w:val="006A1031"/>
    <w:rsid w:val="006A10C0"/>
    <w:rsid w:val="006A1717"/>
    <w:rsid w:val="006A17AF"/>
    <w:rsid w:val="006A183F"/>
    <w:rsid w:val="006A1957"/>
    <w:rsid w:val="006A1962"/>
    <w:rsid w:val="006A19A5"/>
    <w:rsid w:val="006A1AA9"/>
    <w:rsid w:val="006A1EBD"/>
    <w:rsid w:val="006A201F"/>
    <w:rsid w:val="006A2105"/>
    <w:rsid w:val="006A2334"/>
    <w:rsid w:val="006A25A6"/>
    <w:rsid w:val="006A2780"/>
    <w:rsid w:val="006A2981"/>
    <w:rsid w:val="006A2ADF"/>
    <w:rsid w:val="006A2B65"/>
    <w:rsid w:val="006A2CFB"/>
    <w:rsid w:val="006A2E2F"/>
    <w:rsid w:val="006A3038"/>
    <w:rsid w:val="006A32FE"/>
    <w:rsid w:val="006A342C"/>
    <w:rsid w:val="006A363B"/>
    <w:rsid w:val="006A3687"/>
    <w:rsid w:val="006A38C1"/>
    <w:rsid w:val="006A39D9"/>
    <w:rsid w:val="006A3A4C"/>
    <w:rsid w:val="006A3A83"/>
    <w:rsid w:val="006A3DB9"/>
    <w:rsid w:val="006A3EAB"/>
    <w:rsid w:val="006A4056"/>
    <w:rsid w:val="006A429C"/>
    <w:rsid w:val="006A434F"/>
    <w:rsid w:val="006A4610"/>
    <w:rsid w:val="006A46C1"/>
    <w:rsid w:val="006A4A4B"/>
    <w:rsid w:val="006A4A9F"/>
    <w:rsid w:val="006A4ABC"/>
    <w:rsid w:val="006A4B08"/>
    <w:rsid w:val="006A4B59"/>
    <w:rsid w:val="006A4BCB"/>
    <w:rsid w:val="006A4EB1"/>
    <w:rsid w:val="006A4F30"/>
    <w:rsid w:val="006A4FDF"/>
    <w:rsid w:val="006A5008"/>
    <w:rsid w:val="006A5482"/>
    <w:rsid w:val="006A56B6"/>
    <w:rsid w:val="006A56B7"/>
    <w:rsid w:val="006A5942"/>
    <w:rsid w:val="006A59E3"/>
    <w:rsid w:val="006A5A0A"/>
    <w:rsid w:val="006A5C13"/>
    <w:rsid w:val="006A5E87"/>
    <w:rsid w:val="006A5EE6"/>
    <w:rsid w:val="006A62DE"/>
    <w:rsid w:val="006A633B"/>
    <w:rsid w:val="006A673F"/>
    <w:rsid w:val="006A69B3"/>
    <w:rsid w:val="006A69C0"/>
    <w:rsid w:val="006A69CB"/>
    <w:rsid w:val="006A6A14"/>
    <w:rsid w:val="006A6BBC"/>
    <w:rsid w:val="006A6CC6"/>
    <w:rsid w:val="006A6D86"/>
    <w:rsid w:val="006A6DCE"/>
    <w:rsid w:val="006A708B"/>
    <w:rsid w:val="006A71B8"/>
    <w:rsid w:val="006A7348"/>
    <w:rsid w:val="006A751F"/>
    <w:rsid w:val="006A7605"/>
    <w:rsid w:val="006A7AC2"/>
    <w:rsid w:val="006A7B6C"/>
    <w:rsid w:val="006B0039"/>
    <w:rsid w:val="006B0090"/>
    <w:rsid w:val="006B038C"/>
    <w:rsid w:val="006B03FA"/>
    <w:rsid w:val="006B0B72"/>
    <w:rsid w:val="006B10B8"/>
    <w:rsid w:val="006B1334"/>
    <w:rsid w:val="006B1355"/>
    <w:rsid w:val="006B1459"/>
    <w:rsid w:val="006B148D"/>
    <w:rsid w:val="006B184A"/>
    <w:rsid w:val="006B1888"/>
    <w:rsid w:val="006B1A01"/>
    <w:rsid w:val="006B1F66"/>
    <w:rsid w:val="006B2360"/>
    <w:rsid w:val="006B2400"/>
    <w:rsid w:val="006B2A18"/>
    <w:rsid w:val="006B2A44"/>
    <w:rsid w:val="006B2C65"/>
    <w:rsid w:val="006B2CF8"/>
    <w:rsid w:val="006B2E9F"/>
    <w:rsid w:val="006B3123"/>
    <w:rsid w:val="006B3280"/>
    <w:rsid w:val="006B342C"/>
    <w:rsid w:val="006B3B4B"/>
    <w:rsid w:val="006B44BB"/>
    <w:rsid w:val="006B44D0"/>
    <w:rsid w:val="006B44E4"/>
    <w:rsid w:val="006B4594"/>
    <w:rsid w:val="006B45EC"/>
    <w:rsid w:val="006B4681"/>
    <w:rsid w:val="006B4DB3"/>
    <w:rsid w:val="006B4E74"/>
    <w:rsid w:val="006B50E7"/>
    <w:rsid w:val="006B5BF3"/>
    <w:rsid w:val="006B5EC5"/>
    <w:rsid w:val="006B620C"/>
    <w:rsid w:val="006B623C"/>
    <w:rsid w:val="006B62A5"/>
    <w:rsid w:val="006B653B"/>
    <w:rsid w:val="006B66AC"/>
    <w:rsid w:val="006B67A6"/>
    <w:rsid w:val="006B696D"/>
    <w:rsid w:val="006B6A16"/>
    <w:rsid w:val="006B6B8A"/>
    <w:rsid w:val="006B6B9B"/>
    <w:rsid w:val="006B6BBF"/>
    <w:rsid w:val="006B6E00"/>
    <w:rsid w:val="006B6EAA"/>
    <w:rsid w:val="006B7076"/>
    <w:rsid w:val="006B7078"/>
    <w:rsid w:val="006B724D"/>
    <w:rsid w:val="006B7432"/>
    <w:rsid w:val="006B7684"/>
    <w:rsid w:val="006B76F3"/>
    <w:rsid w:val="006B7974"/>
    <w:rsid w:val="006B7F14"/>
    <w:rsid w:val="006B7F76"/>
    <w:rsid w:val="006C00D3"/>
    <w:rsid w:val="006C0257"/>
    <w:rsid w:val="006C02EE"/>
    <w:rsid w:val="006C0566"/>
    <w:rsid w:val="006C08DC"/>
    <w:rsid w:val="006C0906"/>
    <w:rsid w:val="006C090C"/>
    <w:rsid w:val="006C09D0"/>
    <w:rsid w:val="006C0C66"/>
    <w:rsid w:val="006C0C9E"/>
    <w:rsid w:val="006C0D70"/>
    <w:rsid w:val="006C0DEB"/>
    <w:rsid w:val="006C0FC7"/>
    <w:rsid w:val="006C0FE7"/>
    <w:rsid w:val="006C13BC"/>
    <w:rsid w:val="006C14D0"/>
    <w:rsid w:val="006C196A"/>
    <w:rsid w:val="006C1D0D"/>
    <w:rsid w:val="006C1DFA"/>
    <w:rsid w:val="006C1FFB"/>
    <w:rsid w:val="006C2044"/>
    <w:rsid w:val="006C2509"/>
    <w:rsid w:val="006C254F"/>
    <w:rsid w:val="006C27FE"/>
    <w:rsid w:val="006C2881"/>
    <w:rsid w:val="006C2A55"/>
    <w:rsid w:val="006C2ADE"/>
    <w:rsid w:val="006C2BC3"/>
    <w:rsid w:val="006C2CB3"/>
    <w:rsid w:val="006C2EFE"/>
    <w:rsid w:val="006C2F02"/>
    <w:rsid w:val="006C35FE"/>
    <w:rsid w:val="006C3601"/>
    <w:rsid w:val="006C3DA1"/>
    <w:rsid w:val="006C3FF9"/>
    <w:rsid w:val="006C47E7"/>
    <w:rsid w:val="006C4933"/>
    <w:rsid w:val="006C4C00"/>
    <w:rsid w:val="006C4DF7"/>
    <w:rsid w:val="006C518F"/>
    <w:rsid w:val="006C52A6"/>
    <w:rsid w:val="006C540D"/>
    <w:rsid w:val="006C55DF"/>
    <w:rsid w:val="006C569C"/>
    <w:rsid w:val="006C5A2E"/>
    <w:rsid w:val="006C5AC1"/>
    <w:rsid w:val="006C5AD2"/>
    <w:rsid w:val="006C5F6F"/>
    <w:rsid w:val="006C609D"/>
    <w:rsid w:val="006C65D2"/>
    <w:rsid w:val="006C664C"/>
    <w:rsid w:val="006C6706"/>
    <w:rsid w:val="006C69E8"/>
    <w:rsid w:val="006C6A8A"/>
    <w:rsid w:val="006C6C02"/>
    <w:rsid w:val="006C6EE6"/>
    <w:rsid w:val="006C6FCE"/>
    <w:rsid w:val="006C70F3"/>
    <w:rsid w:val="006C73A9"/>
    <w:rsid w:val="006C7543"/>
    <w:rsid w:val="006C775F"/>
    <w:rsid w:val="006C78E6"/>
    <w:rsid w:val="006C7B26"/>
    <w:rsid w:val="006C7CDD"/>
    <w:rsid w:val="006C7F8E"/>
    <w:rsid w:val="006D00B5"/>
    <w:rsid w:val="006D074A"/>
    <w:rsid w:val="006D0E73"/>
    <w:rsid w:val="006D10EA"/>
    <w:rsid w:val="006D1103"/>
    <w:rsid w:val="006D11B1"/>
    <w:rsid w:val="006D1480"/>
    <w:rsid w:val="006D14AC"/>
    <w:rsid w:val="006D1BEF"/>
    <w:rsid w:val="006D201E"/>
    <w:rsid w:val="006D26E2"/>
    <w:rsid w:val="006D2741"/>
    <w:rsid w:val="006D2A60"/>
    <w:rsid w:val="006D2EA4"/>
    <w:rsid w:val="006D324B"/>
    <w:rsid w:val="006D33E1"/>
    <w:rsid w:val="006D3DFF"/>
    <w:rsid w:val="006D3E27"/>
    <w:rsid w:val="006D3F45"/>
    <w:rsid w:val="006D3F9B"/>
    <w:rsid w:val="006D3FBB"/>
    <w:rsid w:val="006D44F6"/>
    <w:rsid w:val="006D46EC"/>
    <w:rsid w:val="006D4917"/>
    <w:rsid w:val="006D4BDD"/>
    <w:rsid w:val="006D4BEF"/>
    <w:rsid w:val="006D4CF2"/>
    <w:rsid w:val="006D54C6"/>
    <w:rsid w:val="006D55E5"/>
    <w:rsid w:val="006D5638"/>
    <w:rsid w:val="006D5686"/>
    <w:rsid w:val="006D598B"/>
    <w:rsid w:val="006D5D05"/>
    <w:rsid w:val="006D5D62"/>
    <w:rsid w:val="006D5DD1"/>
    <w:rsid w:val="006D5FBE"/>
    <w:rsid w:val="006D6205"/>
    <w:rsid w:val="006D6322"/>
    <w:rsid w:val="006D6418"/>
    <w:rsid w:val="006D66B5"/>
    <w:rsid w:val="006D66CB"/>
    <w:rsid w:val="006D681D"/>
    <w:rsid w:val="006D684E"/>
    <w:rsid w:val="006D6CBB"/>
    <w:rsid w:val="006D6D1A"/>
    <w:rsid w:val="006D7364"/>
    <w:rsid w:val="006D75EE"/>
    <w:rsid w:val="006D772A"/>
    <w:rsid w:val="006D77D0"/>
    <w:rsid w:val="006D7854"/>
    <w:rsid w:val="006D7C43"/>
    <w:rsid w:val="006D7CFB"/>
    <w:rsid w:val="006D7D2E"/>
    <w:rsid w:val="006D7D6B"/>
    <w:rsid w:val="006D7F31"/>
    <w:rsid w:val="006E00AC"/>
    <w:rsid w:val="006E00B8"/>
    <w:rsid w:val="006E0187"/>
    <w:rsid w:val="006E01C3"/>
    <w:rsid w:val="006E06F8"/>
    <w:rsid w:val="006E09AC"/>
    <w:rsid w:val="006E0C3A"/>
    <w:rsid w:val="006E0E19"/>
    <w:rsid w:val="006E0F21"/>
    <w:rsid w:val="006E0F74"/>
    <w:rsid w:val="006E1313"/>
    <w:rsid w:val="006E1316"/>
    <w:rsid w:val="006E168E"/>
    <w:rsid w:val="006E1749"/>
    <w:rsid w:val="006E1889"/>
    <w:rsid w:val="006E19A5"/>
    <w:rsid w:val="006E1CF7"/>
    <w:rsid w:val="006E1DEE"/>
    <w:rsid w:val="006E1F7C"/>
    <w:rsid w:val="006E26D1"/>
    <w:rsid w:val="006E270F"/>
    <w:rsid w:val="006E286F"/>
    <w:rsid w:val="006E2B4B"/>
    <w:rsid w:val="006E2F2D"/>
    <w:rsid w:val="006E2FA2"/>
    <w:rsid w:val="006E3065"/>
    <w:rsid w:val="006E31D6"/>
    <w:rsid w:val="006E34F9"/>
    <w:rsid w:val="006E354B"/>
    <w:rsid w:val="006E37DA"/>
    <w:rsid w:val="006E38C1"/>
    <w:rsid w:val="006E3E5E"/>
    <w:rsid w:val="006E3F59"/>
    <w:rsid w:val="006E4066"/>
    <w:rsid w:val="006E40B7"/>
    <w:rsid w:val="006E4105"/>
    <w:rsid w:val="006E42B2"/>
    <w:rsid w:val="006E4349"/>
    <w:rsid w:val="006E45E9"/>
    <w:rsid w:val="006E4966"/>
    <w:rsid w:val="006E4BB8"/>
    <w:rsid w:val="006E4C81"/>
    <w:rsid w:val="006E4CC2"/>
    <w:rsid w:val="006E4DAF"/>
    <w:rsid w:val="006E5375"/>
    <w:rsid w:val="006E5677"/>
    <w:rsid w:val="006E57DB"/>
    <w:rsid w:val="006E5AE5"/>
    <w:rsid w:val="006E5BC8"/>
    <w:rsid w:val="006E5CBC"/>
    <w:rsid w:val="006E5DCE"/>
    <w:rsid w:val="006E5F47"/>
    <w:rsid w:val="006E5FF6"/>
    <w:rsid w:val="006E6294"/>
    <w:rsid w:val="006E644B"/>
    <w:rsid w:val="006E680B"/>
    <w:rsid w:val="006E68CF"/>
    <w:rsid w:val="006E6B6D"/>
    <w:rsid w:val="006E6E4C"/>
    <w:rsid w:val="006E7470"/>
    <w:rsid w:val="006E7572"/>
    <w:rsid w:val="006E79F8"/>
    <w:rsid w:val="006E7B1D"/>
    <w:rsid w:val="006E7D72"/>
    <w:rsid w:val="006E7E83"/>
    <w:rsid w:val="006E7E9D"/>
    <w:rsid w:val="006E7EE8"/>
    <w:rsid w:val="006E7F60"/>
    <w:rsid w:val="006E7FA7"/>
    <w:rsid w:val="006F004F"/>
    <w:rsid w:val="006F0077"/>
    <w:rsid w:val="006F0130"/>
    <w:rsid w:val="006F0568"/>
    <w:rsid w:val="006F05D7"/>
    <w:rsid w:val="006F072D"/>
    <w:rsid w:val="006F07A1"/>
    <w:rsid w:val="006F0A26"/>
    <w:rsid w:val="006F0BA6"/>
    <w:rsid w:val="006F0C90"/>
    <w:rsid w:val="006F0F07"/>
    <w:rsid w:val="006F0F77"/>
    <w:rsid w:val="006F15A7"/>
    <w:rsid w:val="006F1676"/>
    <w:rsid w:val="006F1801"/>
    <w:rsid w:val="006F1B1A"/>
    <w:rsid w:val="006F1B89"/>
    <w:rsid w:val="006F1E38"/>
    <w:rsid w:val="006F20AE"/>
    <w:rsid w:val="006F278C"/>
    <w:rsid w:val="006F2B3D"/>
    <w:rsid w:val="006F2CC4"/>
    <w:rsid w:val="006F2D87"/>
    <w:rsid w:val="006F2DE4"/>
    <w:rsid w:val="006F2F0A"/>
    <w:rsid w:val="006F3010"/>
    <w:rsid w:val="006F35AE"/>
    <w:rsid w:val="006F3B94"/>
    <w:rsid w:val="006F3CEB"/>
    <w:rsid w:val="006F3E01"/>
    <w:rsid w:val="006F3E63"/>
    <w:rsid w:val="006F4272"/>
    <w:rsid w:val="006F43EF"/>
    <w:rsid w:val="006F47DE"/>
    <w:rsid w:val="006F4852"/>
    <w:rsid w:val="006F48EC"/>
    <w:rsid w:val="006F4AC0"/>
    <w:rsid w:val="006F4BE1"/>
    <w:rsid w:val="006F4CE9"/>
    <w:rsid w:val="006F4CFF"/>
    <w:rsid w:val="006F4D46"/>
    <w:rsid w:val="006F531A"/>
    <w:rsid w:val="006F5441"/>
    <w:rsid w:val="006F5807"/>
    <w:rsid w:val="006F5AD4"/>
    <w:rsid w:val="006F5C11"/>
    <w:rsid w:val="006F5DA0"/>
    <w:rsid w:val="006F5EA1"/>
    <w:rsid w:val="006F607E"/>
    <w:rsid w:val="006F6189"/>
    <w:rsid w:val="006F6215"/>
    <w:rsid w:val="006F6512"/>
    <w:rsid w:val="006F684B"/>
    <w:rsid w:val="006F6889"/>
    <w:rsid w:val="006F6A12"/>
    <w:rsid w:val="006F725C"/>
    <w:rsid w:val="006F7298"/>
    <w:rsid w:val="006F7656"/>
    <w:rsid w:val="006F7770"/>
    <w:rsid w:val="006F7B39"/>
    <w:rsid w:val="006F7F55"/>
    <w:rsid w:val="007002CF"/>
    <w:rsid w:val="007002D8"/>
    <w:rsid w:val="00700A71"/>
    <w:rsid w:val="00701143"/>
    <w:rsid w:val="00701147"/>
    <w:rsid w:val="0070148D"/>
    <w:rsid w:val="00701A81"/>
    <w:rsid w:val="007020BE"/>
    <w:rsid w:val="007020D0"/>
    <w:rsid w:val="00702160"/>
    <w:rsid w:val="007022F6"/>
    <w:rsid w:val="00702377"/>
    <w:rsid w:val="007024C8"/>
    <w:rsid w:val="007028DA"/>
    <w:rsid w:val="00702E3C"/>
    <w:rsid w:val="00702ECB"/>
    <w:rsid w:val="00703064"/>
    <w:rsid w:val="00703119"/>
    <w:rsid w:val="007036C7"/>
    <w:rsid w:val="00703F0C"/>
    <w:rsid w:val="00703F3D"/>
    <w:rsid w:val="00703FCE"/>
    <w:rsid w:val="0070412F"/>
    <w:rsid w:val="00704175"/>
    <w:rsid w:val="007042B3"/>
    <w:rsid w:val="0070430C"/>
    <w:rsid w:val="00704931"/>
    <w:rsid w:val="00704A9A"/>
    <w:rsid w:val="00704BF2"/>
    <w:rsid w:val="00704E0B"/>
    <w:rsid w:val="00704F0B"/>
    <w:rsid w:val="007051D6"/>
    <w:rsid w:val="0070539D"/>
    <w:rsid w:val="00705526"/>
    <w:rsid w:val="007059F8"/>
    <w:rsid w:val="00705D5C"/>
    <w:rsid w:val="00705DBB"/>
    <w:rsid w:val="00706234"/>
    <w:rsid w:val="007062C8"/>
    <w:rsid w:val="00706DB0"/>
    <w:rsid w:val="00706E96"/>
    <w:rsid w:val="007071DF"/>
    <w:rsid w:val="007073E2"/>
    <w:rsid w:val="0070756A"/>
    <w:rsid w:val="0070768C"/>
    <w:rsid w:val="007078F4"/>
    <w:rsid w:val="00707A98"/>
    <w:rsid w:val="00707AA0"/>
    <w:rsid w:val="00707B6B"/>
    <w:rsid w:val="00707C37"/>
    <w:rsid w:val="00707F76"/>
    <w:rsid w:val="00707F96"/>
    <w:rsid w:val="00707FC5"/>
    <w:rsid w:val="0071003A"/>
    <w:rsid w:val="007104BF"/>
    <w:rsid w:val="00710594"/>
    <w:rsid w:val="007108AB"/>
    <w:rsid w:val="00710EBB"/>
    <w:rsid w:val="00710FF3"/>
    <w:rsid w:val="00711010"/>
    <w:rsid w:val="007111B1"/>
    <w:rsid w:val="00711317"/>
    <w:rsid w:val="007113B9"/>
    <w:rsid w:val="00711437"/>
    <w:rsid w:val="007115E1"/>
    <w:rsid w:val="007117EC"/>
    <w:rsid w:val="0071218C"/>
    <w:rsid w:val="00712204"/>
    <w:rsid w:val="0071231A"/>
    <w:rsid w:val="00712842"/>
    <w:rsid w:val="007128E8"/>
    <w:rsid w:val="00712952"/>
    <w:rsid w:val="00712AD1"/>
    <w:rsid w:val="0071303F"/>
    <w:rsid w:val="00713098"/>
    <w:rsid w:val="007131CB"/>
    <w:rsid w:val="00713539"/>
    <w:rsid w:val="0071357E"/>
    <w:rsid w:val="00713F26"/>
    <w:rsid w:val="00713FBD"/>
    <w:rsid w:val="007142A0"/>
    <w:rsid w:val="00714341"/>
    <w:rsid w:val="00714413"/>
    <w:rsid w:val="0071455E"/>
    <w:rsid w:val="007145B7"/>
    <w:rsid w:val="007148DB"/>
    <w:rsid w:val="007148F1"/>
    <w:rsid w:val="0071495B"/>
    <w:rsid w:val="007149E3"/>
    <w:rsid w:val="00714A5C"/>
    <w:rsid w:val="00714B77"/>
    <w:rsid w:val="00714BB3"/>
    <w:rsid w:val="00714D5F"/>
    <w:rsid w:val="00714EF5"/>
    <w:rsid w:val="0071513F"/>
    <w:rsid w:val="0071519B"/>
    <w:rsid w:val="007151C0"/>
    <w:rsid w:val="0071567E"/>
    <w:rsid w:val="00715723"/>
    <w:rsid w:val="007158A0"/>
    <w:rsid w:val="00715C12"/>
    <w:rsid w:val="00715CF3"/>
    <w:rsid w:val="00715D9E"/>
    <w:rsid w:val="007160BE"/>
    <w:rsid w:val="00716420"/>
    <w:rsid w:val="007166C4"/>
    <w:rsid w:val="00716A7F"/>
    <w:rsid w:val="00716BD4"/>
    <w:rsid w:val="00716F25"/>
    <w:rsid w:val="00717032"/>
    <w:rsid w:val="007170A3"/>
    <w:rsid w:val="007174F6"/>
    <w:rsid w:val="00717608"/>
    <w:rsid w:val="00717646"/>
    <w:rsid w:val="00717A77"/>
    <w:rsid w:val="00717BBA"/>
    <w:rsid w:val="00717C9F"/>
    <w:rsid w:val="00717CF8"/>
    <w:rsid w:val="00717FE9"/>
    <w:rsid w:val="0072020A"/>
    <w:rsid w:val="0072030C"/>
    <w:rsid w:val="00720311"/>
    <w:rsid w:val="007203C1"/>
    <w:rsid w:val="00720519"/>
    <w:rsid w:val="00720606"/>
    <w:rsid w:val="00720975"/>
    <w:rsid w:val="00720A82"/>
    <w:rsid w:val="00720AF7"/>
    <w:rsid w:val="00721018"/>
    <w:rsid w:val="007217A9"/>
    <w:rsid w:val="0072198E"/>
    <w:rsid w:val="00721B97"/>
    <w:rsid w:val="00721C70"/>
    <w:rsid w:val="00721D1E"/>
    <w:rsid w:val="0072204F"/>
    <w:rsid w:val="00722113"/>
    <w:rsid w:val="00722303"/>
    <w:rsid w:val="0072233C"/>
    <w:rsid w:val="007224B7"/>
    <w:rsid w:val="007225AC"/>
    <w:rsid w:val="00722698"/>
    <w:rsid w:val="00722729"/>
    <w:rsid w:val="007228E6"/>
    <w:rsid w:val="00722A9D"/>
    <w:rsid w:val="00722B61"/>
    <w:rsid w:val="00722EC2"/>
    <w:rsid w:val="0072317F"/>
    <w:rsid w:val="00723413"/>
    <w:rsid w:val="00723772"/>
    <w:rsid w:val="007239AC"/>
    <w:rsid w:val="00723AC5"/>
    <w:rsid w:val="00723B32"/>
    <w:rsid w:val="00723BD6"/>
    <w:rsid w:val="00723F0B"/>
    <w:rsid w:val="00724475"/>
    <w:rsid w:val="007244CE"/>
    <w:rsid w:val="00724637"/>
    <w:rsid w:val="00724819"/>
    <w:rsid w:val="00724882"/>
    <w:rsid w:val="007249E0"/>
    <w:rsid w:val="00724AF7"/>
    <w:rsid w:val="00724BA8"/>
    <w:rsid w:val="00724DC0"/>
    <w:rsid w:val="00724FD6"/>
    <w:rsid w:val="00724FE0"/>
    <w:rsid w:val="00724FEC"/>
    <w:rsid w:val="00725169"/>
    <w:rsid w:val="007253D5"/>
    <w:rsid w:val="007254C5"/>
    <w:rsid w:val="007259D3"/>
    <w:rsid w:val="00725CBF"/>
    <w:rsid w:val="00726298"/>
    <w:rsid w:val="00726840"/>
    <w:rsid w:val="0072691E"/>
    <w:rsid w:val="00726A57"/>
    <w:rsid w:val="00726ABA"/>
    <w:rsid w:val="00726E7F"/>
    <w:rsid w:val="00726F80"/>
    <w:rsid w:val="007271CD"/>
    <w:rsid w:val="0072721F"/>
    <w:rsid w:val="0072750F"/>
    <w:rsid w:val="00727588"/>
    <w:rsid w:val="0072760A"/>
    <w:rsid w:val="0072763C"/>
    <w:rsid w:val="00727BFE"/>
    <w:rsid w:val="00727CED"/>
    <w:rsid w:val="00727DFA"/>
    <w:rsid w:val="00727E82"/>
    <w:rsid w:val="00727F93"/>
    <w:rsid w:val="00727FEF"/>
    <w:rsid w:val="00730432"/>
    <w:rsid w:val="0073071C"/>
    <w:rsid w:val="00730846"/>
    <w:rsid w:val="00730982"/>
    <w:rsid w:val="007309C6"/>
    <w:rsid w:val="00730B51"/>
    <w:rsid w:val="00730C5B"/>
    <w:rsid w:val="00730DC1"/>
    <w:rsid w:val="00730DD8"/>
    <w:rsid w:val="00730FEE"/>
    <w:rsid w:val="007310C5"/>
    <w:rsid w:val="00731105"/>
    <w:rsid w:val="0073146C"/>
    <w:rsid w:val="007315B3"/>
    <w:rsid w:val="00731611"/>
    <w:rsid w:val="00731E21"/>
    <w:rsid w:val="00732400"/>
    <w:rsid w:val="007329D1"/>
    <w:rsid w:val="007329DD"/>
    <w:rsid w:val="00732B35"/>
    <w:rsid w:val="00732D0B"/>
    <w:rsid w:val="00732DCE"/>
    <w:rsid w:val="00732EFC"/>
    <w:rsid w:val="00732FFF"/>
    <w:rsid w:val="0073325F"/>
    <w:rsid w:val="007333A5"/>
    <w:rsid w:val="00733FA3"/>
    <w:rsid w:val="0073407E"/>
    <w:rsid w:val="00734283"/>
    <w:rsid w:val="00734364"/>
    <w:rsid w:val="00734384"/>
    <w:rsid w:val="007345B7"/>
    <w:rsid w:val="00734797"/>
    <w:rsid w:val="007348AB"/>
    <w:rsid w:val="00734B3E"/>
    <w:rsid w:val="00734CA4"/>
    <w:rsid w:val="00734D1D"/>
    <w:rsid w:val="00734DD0"/>
    <w:rsid w:val="007350F2"/>
    <w:rsid w:val="00735324"/>
    <w:rsid w:val="0073539E"/>
    <w:rsid w:val="007355CF"/>
    <w:rsid w:val="007356F1"/>
    <w:rsid w:val="00735965"/>
    <w:rsid w:val="00736162"/>
    <w:rsid w:val="007361C4"/>
    <w:rsid w:val="00736537"/>
    <w:rsid w:val="00736669"/>
    <w:rsid w:val="007366C2"/>
    <w:rsid w:val="007366D1"/>
    <w:rsid w:val="007366FA"/>
    <w:rsid w:val="0073674A"/>
    <w:rsid w:val="00736B99"/>
    <w:rsid w:val="00736C13"/>
    <w:rsid w:val="00736FC3"/>
    <w:rsid w:val="007370E4"/>
    <w:rsid w:val="00737144"/>
    <w:rsid w:val="007374F1"/>
    <w:rsid w:val="00737A6A"/>
    <w:rsid w:val="00737BF3"/>
    <w:rsid w:val="00737D08"/>
    <w:rsid w:val="00740235"/>
    <w:rsid w:val="0074060F"/>
    <w:rsid w:val="0074092C"/>
    <w:rsid w:val="00740E82"/>
    <w:rsid w:val="0074114C"/>
    <w:rsid w:val="00741172"/>
    <w:rsid w:val="00741483"/>
    <w:rsid w:val="007416EB"/>
    <w:rsid w:val="00741739"/>
    <w:rsid w:val="00741807"/>
    <w:rsid w:val="00741ADB"/>
    <w:rsid w:val="00741CCA"/>
    <w:rsid w:val="00741D3A"/>
    <w:rsid w:val="00741E28"/>
    <w:rsid w:val="00741FDC"/>
    <w:rsid w:val="00742051"/>
    <w:rsid w:val="0074205B"/>
    <w:rsid w:val="00742227"/>
    <w:rsid w:val="007422C2"/>
    <w:rsid w:val="007422F8"/>
    <w:rsid w:val="00742481"/>
    <w:rsid w:val="0074259F"/>
    <w:rsid w:val="00742755"/>
    <w:rsid w:val="007428BA"/>
    <w:rsid w:val="007429CB"/>
    <w:rsid w:val="00742A20"/>
    <w:rsid w:val="00742AA4"/>
    <w:rsid w:val="00742EF6"/>
    <w:rsid w:val="0074309C"/>
    <w:rsid w:val="0074320F"/>
    <w:rsid w:val="007432E0"/>
    <w:rsid w:val="007432E8"/>
    <w:rsid w:val="0074344A"/>
    <w:rsid w:val="00743674"/>
    <w:rsid w:val="00743DCD"/>
    <w:rsid w:val="00743E65"/>
    <w:rsid w:val="00743E98"/>
    <w:rsid w:val="00744055"/>
    <w:rsid w:val="00744147"/>
    <w:rsid w:val="0074419B"/>
    <w:rsid w:val="007441AD"/>
    <w:rsid w:val="007444E6"/>
    <w:rsid w:val="00744670"/>
    <w:rsid w:val="00744802"/>
    <w:rsid w:val="007448FF"/>
    <w:rsid w:val="00744985"/>
    <w:rsid w:val="00744B98"/>
    <w:rsid w:val="00744D36"/>
    <w:rsid w:val="00744D9E"/>
    <w:rsid w:val="00744E67"/>
    <w:rsid w:val="00744FC6"/>
    <w:rsid w:val="0074548F"/>
    <w:rsid w:val="007458E8"/>
    <w:rsid w:val="007458F3"/>
    <w:rsid w:val="0074597D"/>
    <w:rsid w:val="00745C7F"/>
    <w:rsid w:val="00745CD5"/>
    <w:rsid w:val="00745E91"/>
    <w:rsid w:val="00745F02"/>
    <w:rsid w:val="00746305"/>
    <w:rsid w:val="007463E8"/>
    <w:rsid w:val="00746554"/>
    <w:rsid w:val="007467B7"/>
    <w:rsid w:val="00746C41"/>
    <w:rsid w:val="00746CD8"/>
    <w:rsid w:val="00746F81"/>
    <w:rsid w:val="00746FCA"/>
    <w:rsid w:val="00746FE0"/>
    <w:rsid w:val="00747C97"/>
    <w:rsid w:val="00750256"/>
    <w:rsid w:val="007503E3"/>
    <w:rsid w:val="007506BC"/>
    <w:rsid w:val="007507FC"/>
    <w:rsid w:val="0075088A"/>
    <w:rsid w:val="00750A36"/>
    <w:rsid w:val="00750CB5"/>
    <w:rsid w:val="00750EF9"/>
    <w:rsid w:val="00751322"/>
    <w:rsid w:val="007513F4"/>
    <w:rsid w:val="00751A63"/>
    <w:rsid w:val="00751AFB"/>
    <w:rsid w:val="00751B7E"/>
    <w:rsid w:val="00751BE7"/>
    <w:rsid w:val="00751CBC"/>
    <w:rsid w:val="00751E7E"/>
    <w:rsid w:val="00751FF7"/>
    <w:rsid w:val="0075216A"/>
    <w:rsid w:val="007521D1"/>
    <w:rsid w:val="0075220D"/>
    <w:rsid w:val="00752543"/>
    <w:rsid w:val="007525FC"/>
    <w:rsid w:val="00752620"/>
    <w:rsid w:val="0075274A"/>
    <w:rsid w:val="0075281B"/>
    <w:rsid w:val="007529ED"/>
    <w:rsid w:val="00752A37"/>
    <w:rsid w:val="00752B85"/>
    <w:rsid w:val="00752C15"/>
    <w:rsid w:val="00752C2B"/>
    <w:rsid w:val="00752C36"/>
    <w:rsid w:val="00752E7F"/>
    <w:rsid w:val="0075300E"/>
    <w:rsid w:val="007532E9"/>
    <w:rsid w:val="00753333"/>
    <w:rsid w:val="0075334F"/>
    <w:rsid w:val="007538DB"/>
    <w:rsid w:val="00753C65"/>
    <w:rsid w:val="00753F3E"/>
    <w:rsid w:val="00754235"/>
    <w:rsid w:val="007544E2"/>
    <w:rsid w:val="0075455A"/>
    <w:rsid w:val="00754669"/>
    <w:rsid w:val="007546EE"/>
    <w:rsid w:val="007547AD"/>
    <w:rsid w:val="00754827"/>
    <w:rsid w:val="00754B7C"/>
    <w:rsid w:val="00754BAF"/>
    <w:rsid w:val="00754C33"/>
    <w:rsid w:val="00754F3B"/>
    <w:rsid w:val="00755041"/>
    <w:rsid w:val="00755155"/>
    <w:rsid w:val="00755204"/>
    <w:rsid w:val="00755368"/>
    <w:rsid w:val="007557B3"/>
    <w:rsid w:val="007558D9"/>
    <w:rsid w:val="00755E54"/>
    <w:rsid w:val="00756021"/>
    <w:rsid w:val="00756109"/>
    <w:rsid w:val="00756182"/>
    <w:rsid w:val="00756184"/>
    <w:rsid w:val="007561C1"/>
    <w:rsid w:val="007563CA"/>
    <w:rsid w:val="00756495"/>
    <w:rsid w:val="00756529"/>
    <w:rsid w:val="00756532"/>
    <w:rsid w:val="00756892"/>
    <w:rsid w:val="00756BC6"/>
    <w:rsid w:val="00756C86"/>
    <w:rsid w:val="00756D35"/>
    <w:rsid w:val="00756DB1"/>
    <w:rsid w:val="00756F62"/>
    <w:rsid w:val="00756FCD"/>
    <w:rsid w:val="0075749C"/>
    <w:rsid w:val="007574DA"/>
    <w:rsid w:val="007578A9"/>
    <w:rsid w:val="00757A77"/>
    <w:rsid w:val="00757FCD"/>
    <w:rsid w:val="007601CC"/>
    <w:rsid w:val="00760430"/>
    <w:rsid w:val="0076048A"/>
    <w:rsid w:val="00760C5F"/>
    <w:rsid w:val="00760DC9"/>
    <w:rsid w:val="00760EF2"/>
    <w:rsid w:val="00761203"/>
    <w:rsid w:val="00761371"/>
    <w:rsid w:val="00761519"/>
    <w:rsid w:val="007617CF"/>
    <w:rsid w:val="00761C8A"/>
    <w:rsid w:val="00761D2B"/>
    <w:rsid w:val="00761E97"/>
    <w:rsid w:val="00761F10"/>
    <w:rsid w:val="00761FA9"/>
    <w:rsid w:val="00762154"/>
    <w:rsid w:val="00762504"/>
    <w:rsid w:val="00762664"/>
    <w:rsid w:val="007627B4"/>
    <w:rsid w:val="00762937"/>
    <w:rsid w:val="007629A0"/>
    <w:rsid w:val="00762A95"/>
    <w:rsid w:val="00762C08"/>
    <w:rsid w:val="00762FF3"/>
    <w:rsid w:val="00763250"/>
    <w:rsid w:val="007632BB"/>
    <w:rsid w:val="007633E5"/>
    <w:rsid w:val="007634E4"/>
    <w:rsid w:val="007637A7"/>
    <w:rsid w:val="007638F3"/>
    <w:rsid w:val="00763966"/>
    <w:rsid w:val="00763A69"/>
    <w:rsid w:val="00763B20"/>
    <w:rsid w:val="00763C31"/>
    <w:rsid w:val="00763EAF"/>
    <w:rsid w:val="00764051"/>
    <w:rsid w:val="007641C6"/>
    <w:rsid w:val="007644CD"/>
    <w:rsid w:val="0076494D"/>
    <w:rsid w:val="0076499D"/>
    <w:rsid w:val="00764D10"/>
    <w:rsid w:val="00764E4A"/>
    <w:rsid w:val="00764E63"/>
    <w:rsid w:val="00764EF4"/>
    <w:rsid w:val="00764F71"/>
    <w:rsid w:val="007650B1"/>
    <w:rsid w:val="0076515C"/>
    <w:rsid w:val="007653C0"/>
    <w:rsid w:val="007655F2"/>
    <w:rsid w:val="007657B2"/>
    <w:rsid w:val="00765C32"/>
    <w:rsid w:val="00765F1B"/>
    <w:rsid w:val="00765F5B"/>
    <w:rsid w:val="0076600B"/>
    <w:rsid w:val="00766034"/>
    <w:rsid w:val="0076606F"/>
    <w:rsid w:val="0076636A"/>
    <w:rsid w:val="007663CA"/>
    <w:rsid w:val="007664A6"/>
    <w:rsid w:val="00766526"/>
    <w:rsid w:val="007668F8"/>
    <w:rsid w:val="00766958"/>
    <w:rsid w:val="00766B70"/>
    <w:rsid w:val="00766B8B"/>
    <w:rsid w:val="0076757D"/>
    <w:rsid w:val="00767B27"/>
    <w:rsid w:val="00767D32"/>
    <w:rsid w:val="00767D3F"/>
    <w:rsid w:val="00767EE6"/>
    <w:rsid w:val="00770002"/>
    <w:rsid w:val="00770075"/>
    <w:rsid w:val="00770122"/>
    <w:rsid w:val="007701CD"/>
    <w:rsid w:val="007702F2"/>
    <w:rsid w:val="007703F0"/>
    <w:rsid w:val="0077045C"/>
    <w:rsid w:val="007706E4"/>
    <w:rsid w:val="0077076B"/>
    <w:rsid w:val="00770777"/>
    <w:rsid w:val="0077083D"/>
    <w:rsid w:val="00770BBE"/>
    <w:rsid w:val="00770CAF"/>
    <w:rsid w:val="00770F3F"/>
    <w:rsid w:val="00771114"/>
    <w:rsid w:val="00771248"/>
    <w:rsid w:val="00771257"/>
    <w:rsid w:val="007712D0"/>
    <w:rsid w:val="00771346"/>
    <w:rsid w:val="00771402"/>
    <w:rsid w:val="00771419"/>
    <w:rsid w:val="00771CFF"/>
    <w:rsid w:val="00772016"/>
    <w:rsid w:val="007722B1"/>
    <w:rsid w:val="007724FB"/>
    <w:rsid w:val="00772580"/>
    <w:rsid w:val="00772B05"/>
    <w:rsid w:val="00772D40"/>
    <w:rsid w:val="00772F02"/>
    <w:rsid w:val="00772F0B"/>
    <w:rsid w:val="00772F74"/>
    <w:rsid w:val="0077329E"/>
    <w:rsid w:val="007733AC"/>
    <w:rsid w:val="007735CF"/>
    <w:rsid w:val="0077369D"/>
    <w:rsid w:val="007737B9"/>
    <w:rsid w:val="00773B56"/>
    <w:rsid w:val="00773B66"/>
    <w:rsid w:val="00773C78"/>
    <w:rsid w:val="00773D31"/>
    <w:rsid w:val="0077409A"/>
    <w:rsid w:val="007744C1"/>
    <w:rsid w:val="00774815"/>
    <w:rsid w:val="007749E0"/>
    <w:rsid w:val="00774AA9"/>
    <w:rsid w:val="00774B1B"/>
    <w:rsid w:val="00774F61"/>
    <w:rsid w:val="007750EF"/>
    <w:rsid w:val="0077522D"/>
    <w:rsid w:val="0077553F"/>
    <w:rsid w:val="007755AD"/>
    <w:rsid w:val="007757CC"/>
    <w:rsid w:val="00775B0E"/>
    <w:rsid w:val="00775C4A"/>
    <w:rsid w:val="00775CC4"/>
    <w:rsid w:val="00775CED"/>
    <w:rsid w:val="00775E66"/>
    <w:rsid w:val="0077602C"/>
    <w:rsid w:val="0077607E"/>
    <w:rsid w:val="007762D5"/>
    <w:rsid w:val="00776609"/>
    <w:rsid w:val="00776614"/>
    <w:rsid w:val="0077672D"/>
    <w:rsid w:val="0077677B"/>
    <w:rsid w:val="007767D0"/>
    <w:rsid w:val="00776D4F"/>
    <w:rsid w:val="00777058"/>
    <w:rsid w:val="007770B7"/>
    <w:rsid w:val="0077710A"/>
    <w:rsid w:val="00777156"/>
    <w:rsid w:val="007771D3"/>
    <w:rsid w:val="00777303"/>
    <w:rsid w:val="007776F4"/>
    <w:rsid w:val="00777829"/>
    <w:rsid w:val="00777A7F"/>
    <w:rsid w:val="00777BD2"/>
    <w:rsid w:val="00777C74"/>
    <w:rsid w:val="00777CE4"/>
    <w:rsid w:val="00780073"/>
    <w:rsid w:val="0078036A"/>
    <w:rsid w:val="00780500"/>
    <w:rsid w:val="00780721"/>
    <w:rsid w:val="00780837"/>
    <w:rsid w:val="007808F1"/>
    <w:rsid w:val="00780AAB"/>
    <w:rsid w:val="00780BEB"/>
    <w:rsid w:val="00780FA9"/>
    <w:rsid w:val="00780FCB"/>
    <w:rsid w:val="0078100B"/>
    <w:rsid w:val="007813E4"/>
    <w:rsid w:val="007817B3"/>
    <w:rsid w:val="007817D9"/>
    <w:rsid w:val="007819AC"/>
    <w:rsid w:val="00781BB2"/>
    <w:rsid w:val="00781C09"/>
    <w:rsid w:val="00781D48"/>
    <w:rsid w:val="00781F6A"/>
    <w:rsid w:val="0078244F"/>
    <w:rsid w:val="0078245C"/>
    <w:rsid w:val="007825BC"/>
    <w:rsid w:val="007825F3"/>
    <w:rsid w:val="00782669"/>
    <w:rsid w:val="00782959"/>
    <w:rsid w:val="007831DD"/>
    <w:rsid w:val="007833E8"/>
    <w:rsid w:val="007834FE"/>
    <w:rsid w:val="007836EF"/>
    <w:rsid w:val="00783716"/>
    <w:rsid w:val="007837BD"/>
    <w:rsid w:val="00783938"/>
    <w:rsid w:val="00783955"/>
    <w:rsid w:val="00783972"/>
    <w:rsid w:val="007839B6"/>
    <w:rsid w:val="007839D3"/>
    <w:rsid w:val="007839FD"/>
    <w:rsid w:val="00783A78"/>
    <w:rsid w:val="00783C16"/>
    <w:rsid w:val="00783C8B"/>
    <w:rsid w:val="00783EF2"/>
    <w:rsid w:val="007840D5"/>
    <w:rsid w:val="007841EC"/>
    <w:rsid w:val="00784279"/>
    <w:rsid w:val="00784326"/>
    <w:rsid w:val="0078450F"/>
    <w:rsid w:val="0078465D"/>
    <w:rsid w:val="007848AA"/>
    <w:rsid w:val="0078495A"/>
    <w:rsid w:val="00784A1C"/>
    <w:rsid w:val="00784D01"/>
    <w:rsid w:val="00784D20"/>
    <w:rsid w:val="00784D3F"/>
    <w:rsid w:val="00784E2E"/>
    <w:rsid w:val="00784F54"/>
    <w:rsid w:val="007850CD"/>
    <w:rsid w:val="00785102"/>
    <w:rsid w:val="0078511C"/>
    <w:rsid w:val="007852DC"/>
    <w:rsid w:val="0078556B"/>
    <w:rsid w:val="007856A9"/>
    <w:rsid w:val="0078571A"/>
    <w:rsid w:val="00785993"/>
    <w:rsid w:val="00785A22"/>
    <w:rsid w:val="00785AA5"/>
    <w:rsid w:val="00785B27"/>
    <w:rsid w:val="00785CE2"/>
    <w:rsid w:val="00785F2B"/>
    <w:rsid w:val="0078600C"/>
    <w:rsid w:val="007860A8"/>
    <w:rsid w:val="00786123"/>
    <w:rsid w:val="0078619F"/>
    <w:rsid w:val="007864D0"/>
    <w:rsid w:val="00786883"/>
    <w:rsid w:val="00786CA7"/>
    <w:rsid w:val="00786D4A"/>
    <w:rsid w:val="00786DB3"/>
    <w:rsid w:val="00786F29"/>
    <w:rsid w:val="00787040"/>
    <w:rsid w:val="00787139"/>
    <w:rsid w:val="007871C3"/>
    <w:rsid w:val="00787206"/>
    <w:rsid w:val="0078727C"/>
    <w:rsid w:val="007873B2"/>
    <w:rsid w:val="00787420"/>
    <w:rsid w:val="00787651"/>
    <w:rsid w:val="00787686"/>
    <w:rsid w:val="00787880"/>
    <w:rsid w:val="00787977"/>
    <w:rsid w:val="00787AB2"/>
    <w:rsid w:val="00787BEB"/>
    <w:rsid w:val="00787EC9"/>
    <w:rsid w:val="00790024"/>
    <w:rsid w:val="00790252"/>
    <w:rsid w:val="0079039A"/>
    <w:rsid w:val="007907B7"/>
    <w:rsid w:val="007907DB"/>
    <w:rsid w:val="00790850"/>
    <w:rsid w:val="0079096A"/>
    <w:rsid w:val="007909EF"/>
    <w:rsid w:val="00790B49"/>
    <w:rsid w:val="00790E33"/>
    <w:rsid w:val="00790E9B"/>
    <w:rsid w:val="00791215"/>
    <w:rsid w:val="007912D5"/>
    <w:rsid w:val="00791477"/>
    <w:rsid w:val="00791541"/>
    <w:rsid w:val="00791856"/>
    <w:rsid w:val="00791A42"/>
    <w:rsid w:val="00791B47"/>
    <w:rsid w:val="00791BAA"/>
    <w:rsid w:val="00791C63"/>
    <w:rsid w:val="00791E4C"/>
    <w:rsid w:val="00791F7D"/>
    <w:rsid w:val="007926F8"/>
    <w:rsid w:val="00792798"/>
    <w:rsid w:val="007928C8"/>
    <w:rsid w:val="007929D5"/>
    <w:rsid w:val="00792C34"/>
    <w:rsid w:val="00792FFC"/>
    <w:rsid w:val="00793178"/>
    <w:rsid w:val="0079338F"/>
    <w:rsid w:val="00793398"/>
    <w:rsid w:val="00793461"/>
    <w:rsid w:val="007934B4"/>
    <w:rsid w:val="007934BB"/>
    <w:rsid w:val="00793544"/>
    <w:rsid w:val="00793763"/>
    <w:rsid w:val="00793A98"/>
    <w:rsid w:val="00793E07"/>
    <w:rsid w:val="00793EE3"/>
    <w:rsid w:val="0079414E"/>
    <w:rsid w:val="007945BD"/>
    <w:rsid w:val="007946FC"/>
    <w:rsid w:val="007947B9"/>
    <w:rsid w:val="00794B71"/>
    <w:rsid w:val="00794B9F"/>
    <w:rsid w:val="00794C17"/>
    <w:rsid w:val="00794CD3"/>
    <w:rsid w:val="00794DC7"/>
    <w:rsid w:val="00794E84"/>
    <w:rsid w:val="00794F07"/>
    <w:rsid w:val="00795119"/>
    <w:rsid w:val="00795263"/>
    <w:rsid w:val="007958BF"/>
    <w:rsid w:val="007959CC"/>
    <w:rsid w:val="007959E5"/>
    <w:rsid w:val="007959E6"/>
    <w:rsid w:val="00795D49"/>
    <w:rsid w:val="00796014"/>
    <w:rsid w:val="00796017"/>
    <w:rsid w:val="007963D9"/>
    <w:rsid w:val="0079660F"/>
    <w:rsid w:val="007969D9"/>
    <w:rsid w:val="00796AD0"/>
    <w:rsid w:val="00796B9E"/>
    <w:rsid w:val="0079744C"/>
    <w:rsid w:val="0079745E"/>
    <w:rsid w:val="007974DD"/>
    <w:rsid w:val="0079758C"/>
    <w:rsid w:val="007975C4"/>
    <w:rsid w:val="0079789E"/>
    <w:rsid w:val="00797A56"/>
    <w:rsid w:val="00797A71"/>
    <w:rsid w:val="007A0152"/>
    <w:rsid w:val="007A02BD"/>
    <w:rsid w:val="007A030F"/>
    <w:rsid w:val="007A06C5"/>
    <w:rsid w:val="007A0B23"/>
    <w:rsid w:val="007A0C25"/>
    <w:rsid w:val="007A12B9"/>
    <w:rsid w:val="007A12D6"/>
    <w:rsid w:val="007A12DA"/>
    <w:rsid w:val="007A1434"/>
    <w:rsid w:val="007A14A4"/>
    <w:rsid w:val="007A16CD"/>
    <w:rsid w:val="007A17C4"/>
    <w:rsid w:val="007A1865"/>
    <w:rsid w:val="007A1A66"/>
    <w:rsid w:val="007A28D1"/>
    <w:rsid w:val="007A2C29"/>
    <w:rsid w:val="007A2C66"/>
    <w:rsid w:val="007A2E4C"/>
    <w:rsid w:val="007A2EA6"/>
    <w:rsid w:val="007A3131"/>
    <w:rsid w:val="007A3220"/>
    <w:rsid w:val="007A3259"/>
    <w:rsid w:val="007A3374"/>
    <w:rsid w:val="007A3933"/>
    <w:rsid w:val="007A3AF8"/>
    <w:rsid w:val="007A413F"/>
    <w:rsid w:val="007A432E"/>
    <w:rsid w:val="007A4862"/>
    <w:rsid w:val="007A48C2"/>
    <w:rsid w:val="007A4921"/>
    <w:rsid w:val="007A492E"/>
    <w:rsid w:val="007A4B97"/>
    <w:rsid w:val="007A4CEA"/>
    <w:rsid w:val="007A4D10"/>
    <w:rsid w:val="007A4D90"/>
    <w:rsid w:val="007A4E3C"/>
    <w:rsid w:val="007A4F1E"/>
    <w:rsid w:val="007A5327"/>
    <w:rsid w:val="007A5443"/>
    <w:rsid w:val="007A55EE"/>
    <w:rsid w:val="007A59D0"/>
    <w:rsid w:val="007A5B7E"/>
    <w:rsid w:val="007A5BCE"/>
    <w:rsid w:val="007A5C6E"/>
    <w:rsid w:val="007A5DDD"/>
    <w:rsid w:val="007A5E79"/>
    <w:rsid w:val="007A5F3C"/>
    <w:rsid w:val="007A62BD"/>
    <w:rsid w:val="007A6608"/>
    <w:rsid w:val="007A6737"/>
    <w:rsid w:val="007A6ABC"/>
    <w:rsid w:val="007A6D43"/>
    <w:rsid w:val="007A6DC1"/>
    <w:rsid w:val="007A6EC7"/>
    <w:rsid w:val="007A7125"/>
    <w:rsid w:val="007A722B"/>
    <w:rsid w:val="007A74F7"/>
    <w:rsid w:val="007A7638"/>
    <w:rsid w:val="007A766D"/>
    <w:rsid w:val="007A76A5"/>
    <w:rsid w:val="007A79A6"/>
    <w:rsid w:val="007A7C80"/>
    <w:rsid w:val="007A7C84"/>
    <w:rsid w:val="007A7ED2"/>
    <w:rsid w:val="007B01B1"/>
    <w:rsid w:val="007B01FB"/>
    <w:rsid w:val="007B055A"/>
    <w:rsid w:val="007B05CB"/>
    <w:rsid w:val="007B05D0"/>
    <w:rsid w:val="007B0680"/>
    <w:rsid w:val="007B086C"/>
    <w:rsid w:val="007B0B3B"/>
    <w:rsid w:val="007B0DA0"/>
    <w:rsid w:val="007B0FCC"/>
    <w:rsid w:val="007B10F2"/>
    <w:rsid w:val="007B13AD"/>
    <w:rsid w:val="007B14AD"/>
    <w:rsid w:val="007B1728"/>
    <w:rsid w:val="007B1859"/>
    <w:rsid w:val="007B1865"/>
    <w:rsid w:val="007B1A51"/>
    <w:rsid w:val="007B1A9F"/>
    <w:rsid w:val="007B1BB7"/>
    <w:rsid w:val="007B1BEE"/>
    <w:rsid w:val="007B1BFD"/>
    <w:rsid w:val="007B1FAD"/>
    <w:rsid w:val="007B1FC2"/>
    <w:rsid w:val="007B2112"/>
    <w:rsid w:val="007B215C"/>
    <w:rsid w:val="007B2AFB"/>
    <w:rsid w:val="007B2B9D"/>
    <w:rsid w:val="007B2C29"/>
    <w:rsid w:val="007B30DB"/>
    <w:rsid w:val="007B30E0"/>
    <w:rsid w:val="007B3257"/>
    <w:rsid w:val="007B34A9"/>
    <w:rsid w:val="007B3662"/>
    <w:rsid w:val="007B36A4"/>
    <w:rsid w:val="007B3A63"/>
    <w:rsid w:val="007B3AC8"/>
    <w:rsid w:val="007B3CF5"/>
    <w:rsid w:val="007B3EE3"/>
    <w:rsid w:val="007B40F4"/>
    <w:rsid w:val="007B4386"/>
    <w:rsid w:val="007B44A3"/>
    <w:rsid w:val="007B453F"/>
    <w:rsid w:val="007B46D9"/>
    <w:rsid w:val="007B49A6"/>
    <w:rsid w:val="007B4D23"/>
    <w:rsid w:val="007B4D85"/>
    <w:rsid w:val="007B4E24"/>
    <w:rsid w:val="007B4FF0"/>
    <w:rsid w:val="007B58C9"/>
    <w:rsid w:val="007B58CE"/>
    <w:rsid w:val="007B5969"/>
    <w:rsid w:val="007B5ACE"/>
    <w:rsid w:val="007B5D60"/>
    <w:rsid w:val="007B60FD"/>
    <w:rsid w:val="007B6123"/>
    <w:rsid w:val="007B6195"/>
    <w:rsid w:val="007B6608"/>
    <w:rsid w:val="007B667E"/>
    <w:rsid w:val="007B679B"/>
    <w:rsid w:val="007B6981"/>
    <w:rsid w:val="007B6BFC"/>
    <w:rsid w:val="007B6D29"/>
    <w:rsid w:val="007B6DE7"/>
    <w:rsid w:val="007B6E08"/>
    <w:rsid w:val="007B7213"/>
    <w:rsid w:val="007B72DC"/>
    <w:rsid w:val="007B749A"/>
    <w:rsid w:val="007B752C"/>
    <w:rsid w:val="007B77A5"/>
    <w:rsid w:val="007B7A32"/>
    <w:rsid w:val="007B7D35"/>
    <w:rsid w:val="007B7D3D"/>
    <w:rsid w:val="007B7F00"/>
    <w:rsid w:val="007C0298"/>
    <w:rsid w:val="007C0300"/>
    <w:rsid w:val="007C042D"/>
    <w:rsid w:val="007C074F"/>
    <w:rsid w:val="007C0AB7"/>
    <w:rsid w:val="007C0BA9"/>
    <w:rsid w:val="007C0DFE"/>
    <w:rsid w:val="007C0EDD"/>
    <w:rsid w:val="007C0FBF"/>
    <w:rsid w:val="007C1125"/>
    <w:rsid w:val="007C11FC"/>
    <w:rsid w:val="007C1378"/>
    <w:rsid w:val="007C16A0"/>
    <w:rsid w:val="007C16B7"/>
    <w:rsid w:val="007C1DB2"/>
    <w:rsid w:val="007C1EFD"/>
    <w:rsid w:val="007C1F28"/>
    <w:rsid w:val="007C22AB"/>
    <w:rsid w:val="007C2348"/>
    <w:rsid w:val="007C25B9"/>
    <w:rsid w:val="007C25D1"/>
    <w:rsid w:val="007C2606"/>
    <w:rsid w:val="007C28AF"/>
    <w:rsid w:val="007C2D78"/>
    <w:rsid w:val="007C2EFD"/>
    <w:rsid w:val="007C2F6B"/>
    <w:rsid w:val="007C3310"/>
    <w:rsid w:val="007C365B"/>
    <w:rsid w:val="007C36B1"/>
    <w:rsid w:val="007C370B"/>
    <w:rsid w:val="007C39AD"/>
    <w:rsid w:val="007C3A60"/>
    <w:rsid w:val="007C3B73"/>
    <w:rsid w:val="007C3D13"/>
    <w:rsid w:val="007C3D92"/>
    <w:rsid w:val="007C40F1"/>
    <w:rsid w:val="007C4126"/>
    <w:rsid w:val="007C4283"/>
    <w:rsid w:val="007C432C"/>
    <w:rsid w:val="007C43A6"/>
    <w:rsid w:val="007C43F3"/>
    <w:rsid w:val="007C4496"/>
    <w:rsid w:val="007C4663"/>
    <w:rsid w:val="007C4785"/>
    <w:rsid w:val="007C481C"/>
    <w:rsid w:val="007C49C4"/>
    <w:rsid w:val="007C4A0F"/>
    <w:rsid w:val="007C4BD1"/>
    <w:rsid w:val="007C4CFC"/>
    <w:rsid w:val="007C4FD1"/>
    <w:rsid w:val="007C50A8"/>
    <w:rsid w:val="007C50AD"/>
    <w:rsid w:val="007C5247"/>
    <w:rsid w:val="007C52A7"/>
    <w:rsid w:val="007C576B"/>
    <w:rsid w:val="007C5924"/>
    <w:rsid w:val="007C5BAB"/>
    <w:rsid w:val="007C5C61"/>
    <w:rsid w:val="007C5C9B"/>
    <w:rsid w:val="007C5E38"/>
    <w:rsid w:val="007C60B5"/>
    <w:rsid w:val="007C60D4"/>
    <w:rsid w:val="007C612B"/>
    <w:rsid w:val="007C6436"/>
    <w:rsid w:val="007C6A03"/>
    <w:rsid w:val="007C6CBF"/>
    <w:rsid w:val="007C6E8C"/>
    <w:rsid w:val="007C73A1"/>
    <w:rsid w:val="007C73FA"/>
    <w:rsid w:val="007C751C"/>
    <w:rsid w:val="007C78A6"/>
    <w:rsid w:val="007C7991"/>
    <w:rsid w:val="007C7A69"/>
    <w:rsid w:val="007C7A70"/>
    <w:rsid w:val="007C7AA5"/>
    <w:rsid w:val="007C7B1D"/>
    <w:rsid w:val="007C7B93"/>
    <w:rsid w:val="007C7DEA"/>
    <w:rsid w:val="007C7FE1"/>
    <w:rsid w:val="007D005C"/>
    <w:rsid w:val="007D03AF"/>
    <w:rsid w:val="007D04BA"/>
    <w:rsid w:val="007D0671"/>
    <w:rsid w:val="007D0938"/>
    <w:rsid w:val="007D0A1D"/>
    <w:rsid w:val="007D0BBB"/>
    <w:rsid w:val="007D0BF1"/>
    <w:rsid w:val="007D0D73"/>
    <w:rsid w:val="007D128C"/>
    <w:rsid w:val="007D1466"/>
    <w:rsid w:val="007D159B"/>
    <w:rsid w:val="007D1906"/>
    <w:rsid w:val="007D1A10"/>
    <w:rsid w:val="007D1A64"/>
    <w:rsid w:val="007D1B17"/>
    <w:rsid w:val="007D1E56"/>
    <w:rsid w:val="007D20B3"/>
    <w:rsid w:val="007D2119"/>
    <w:rsid w:val="007D2188"/>
    <w:rsid w:val="007D220A"/>
    <w:rsid w:val="007D254C"/>
    <w:rsid w:val="007D2557"/>
    <w:rsid w:val="007D269C"/>
    <w:rsid w:val="007D2B49"/>
    <w:rsid w:val="007D2BB9"/>
    <w:rsid w:val="007D2FD6"/>
    <w:rsid w:val="007D32D2"/>
    <w:rsid w:val="007D330F"/>
    <w:rsid w:val="007D395A"/>
    <w:rsid w:val="007D39A5"/>
    <w:rsid w:val="007D3B25"/>
    <w:rsid w:val="007D3B86"/>
    <w:rsid w:val="007D429E"/>
    <w:rsid w:val="007D442E"/>
    <w:rsid w:val="007D49DC"/>
    <w:rsid w:val="007D4AE6"/>
    <w:rsid w:val="007D4B1E"/>
    <w:rsid w:val="007D4E13"/>
    <w:rsid w:val="007D4FAC"/>
    <w:rsid w:val="007D5273"/>
    <w:rsid w:val="007D5289"/>
    <w:rsid w:val="007D53F1"/>
    <w:rsid w:val="007D5525"/>
    <w:rsid w:val="007D55ED"/>
    <w:rsid w:val="007D5644"/>
    <w:rsid w:val="007D56C0"/>
    <w:rsid w:val="007D597D"/>
    <w:rsid w:val="007D5A50"/>
    <w:rsid w:val="007D5B0B"/>
    <w:rsid w:val="007D5D1D"/>
    <w:rsid w:val="007D5FD3"/>
    <w:rsid w:val="007D6027"/>
    <w:rsid w:val="007D62F0"/>
    <w:rsid w:val="007D64BC"/>
    <w:rsid w:val="007D6654"/>
    <w:rsid w:val="007D670C"/>
    <w:rsid w:val="007D69F0"/>
    <w:rsid w:val="007D6A51"/>
    <w:rsid w:val="007D6E43"/>
    <w:rsid w:val="007D70BB"/>
    <w:rsid w:val="007D70F4"/>
    <w:rsid w:val="007D73AD"/>
    <w:rsid w:val="007D7506"/>
    <w:rsid w:val="007D75D0"/>
    <w:rsid w:val="007D7654"/>
    <w:rsid w:val="007D77F9"/>
    <w:rsid w:val="007D7B2C"/>
    <w:rsid w:val="007E0054"/>
    <w:rsid w:val="007E0080"/>
    <w:rsid w:val="007E022C"/>
    <w:rsid w:val="007E082B"/>
    <w:rsid w:val="007E0AF5"/>
    <w:rsid w:val="007E10B2"/>
    <w:rsid w:val="007E11FA"/>
    <w:rsid w:val="007E13B1"/>
    <w:rsid w:val="007E15E1"/>
    <w:rsid w:val="007E1625"/>
    <w:rsid w:val="007E166F"/>
    <w:rsid w:val="007E189E"/>
    <w:rsid w:val="007E1C46"/>
    <w:rsid w:val="007E212B"/>
    <w:rsid w:val="007E21B1"/>
    <w:rsid w:val="007E230F"/>
    <w:rsid w:val="007E2364"/>
    <w:rsid w:val="007E2500"/>
    <w:rsid w:val="007E2606"/>
    <w:rsid w:val="007E2820"/>
    <w:rsid w:val="007E2BF6"/>
    <w:rsid w:val="007E2E86"/>
    <w:rsid w:val="007E2EAB"/>
    <w:rsid w:val="007E2EDB"/>
    <w:rsid w:val="007E2F68"/>
    <w:rsid w:val="007E3049"/>
    <w:rsid w:val="007E3063"/>
    <w:rsid w:val="007E3147"/>
    <w:rsid w:val="007E343E"/>
    <w:rsid w:val="007E38DC"/>
    <w:rsid w:val="007E3AAB"/>
    <w:rsid w:val="007E3D82"/>
    <w:rsid w:val="007E436D"/>
    <w:rsid w:val="007E4392"/>
    <w:rsid w:val="007E45A0"/>
    <w:rsid w:val="007E45F1"/>
    <w:rsid w:val="007E4B1C"/>
    <w:rsid w:val="007E4CA2"/>
    <w:rsid w:val="007E4EF0"/>
    <w:rsid w:val="007E4EF8"/>
    <w:rsid w:val="007E5080"/>
    <w:rsid w:val="007E5359"/>
    <w:rsid w:val="007E53FA"/>
    <w:rsid w:val="007E5648"/>
    <w:rsid w:val="007E58E9"/>
    <w:rsid w:val="007E599C"/>
    <w:rsid w:val="007E5A34"/>
    <w:rsid w:val="007E5C01"/>
    <w:rsid w:val="007E5F6E"/>
    <w:rsid w:val="007E63C5"/>
    <w:rsid w:val="007E641B"/>
    <w:rsid w:val="007E6811"/>
    <w:rsid w:val="007E6818"/>
    <w:rsid w:val="007E6EEB"/>
    <w:rsid w:val="007E6F3F"/>
    <w:rsid w:val="007E6FA7"/>
    <w:rsid w:val="007E71CB"/>
    <w:rsid w:val="007E7301"/>
    <w:rsid w:val="007E73D0"/>
    <w:rsid w:val="007E7724"/>
    <w:rsid w:val="007E7932"/>
    <w:rsid w:val="007E7A6B"/>
    <w:rsid w:val="007E7CDB"/>
    <w:rsid w:val="007E7D54"/>
    <w:rsid w:val="007E7E66"/>
    <w:rsid w:val="007F0119"/>
    <w:rsid w:val="007F01B3"/>
    <w:rsid w:val="007F053D"/>
    <w:rsid w:val="007F0595"/>
    <w:rsid w:val="007F05AE"/>
    <w:rsid w:val="007F05F9"/>
    <w:rsid w:val="007F0694"/>
    <w:rsid w:val="007F0881"/>
    <w:rsid w:val="007F094B"/>
    <w:rsid w:val="007F0AC6"/>
    <w:rsid w:val="007F0C33"/>
    <w:rsid w:val="007F0DC8"/>
    <w:rsid w:val="007F0F24"/>
    <w:rsid w:val="007F0F44"/>
    <w:rsid w:val="007F2784"/>
    <w:rsid w:val="007F29D9"/>
    <w:rsid w:val="007F2D63"/>
    <w:rsid w:val="007F2DBF"/>
    <w:rsid w:val="007F30D5"/>
    <w:rsid w:val="007F351C"/>
    <w:rsid w:val="007F35EB"/>
    <w:rsid w:val="007F361C"/>
    <w:rsid w:val="007F368C"/>
    <w:rsid w:val="007F3B7C"/>
    <w:rsid w:val="007F41D6"/>
    <w:rsid w:val="007F42B4"/>
    <w:rsid w:val="007F438F"/>
    <w:rsid w:val="007F4390"/>
    <w:rsid w:val="007F43A8"/>
    <w:rsid w:val="007F43D7"/>
    <w:rsid w:val="007F4560"/>
    <w:rsid w:val="007F45BC"/>
    <w:rsid w:val="007F474F"/>
    <w:rsid w:val="007F4F39"/>
    <w:rsid w:val="007F4F84"/>
    <w:rsid w:val="007F5219"/>
    <w:rsid w:val="007F543C"/>
    <w:rsid w:val="007F558F"/>
    <w:rsid w:val="007F5730"/>
    <w:rsid w:val="007F5868"/>
    <w:rsid w:val="007F5EF2"/>
    <w:rsid w:val="007F5FD8"/>
    <w:rsid w:val="007F606E"/>
    <w:rsid w:val="007F6132"/>
    <w:rsid w:val="007F64F1"/>
    <w:rsid w:val="007F6993"/>
    <w:rsid w:val="007F6AD0"/>
    <w:rsid w:val="007F6BF6"/>
    <w:rsid w:val="007F6D09"/>
    <w:rsid w:val="007F737E"/>
    <w:rsid w:val="007F7504"/>
    <w:rsid w:val="007F75EC"/>
    <w:rsid w:val="007F784B"/>
    <w:rsid w:val="007F7B10"/>
    <w:rsid w:val="007F7F58"/>
    <w:rsid w:val="00800197"/>
    <w:rsid w:val="00800321"/>
    <w:rsid w:val="00800348"/>
    <w:rsid w:val="00800506"/>
    <w:rsid w:val="008005EB"/>
    <w:rsid w:val="008006BA"/>
    <w:rsid w:val="00800758"/>
    <w:rsid w:val="00800B36"/>
    <w:rsid w:val="00800C0A"/>
    <w:rsid w:val="00800F45"/>
    <w:rsid w:val="00800F98"/>
    <w:rsid w:val="008013E6"/>
    <w:rsid w:val="00801435"/>
    <w:rsid w:val="008014B6"/>
    <w:rsid w:val="00801765"/>
    <w:rsid w:val="008017D1"/>
    <w:rsid w:val="0080181B"/>
    <w:rsid w:val="00801A29"/>
    <w:rsid w:val="00801B34"/>
    <w:rsid w:val="00801E8A"/>
    <w:rsid w:val="008020F6"/>
    <w:rsid w:val="008020F7"/>
    <w:rsid w:val="008021F6"/>
    <w:rsid w:val="0080223D"/>
    <w:rsid w:val="0080261D"/>
    <w:rsid w:val="00802703"/>
    <w:rsid w:val="0080273E"/>
    <w:rsid w:val="008029EA"/>
    <w:rsid w:val="00802C4B"/>
    <w:rsid w:val="00802C80"/>
    <w:rsid w:val="00802E31"/>
    <w:rsid w:val="00802F1B"/>
    <w:rsid w:val="00802F70"/>
    <w:rsid w:val="008035A9"/>
    <w:rsid w:val="0080391E"/>
    <w:rsid w:val="00803977"/>
    <w:rsid w:val="00803A29"/>
    <w:rsid w:val="00803B01"/>
    <w:rsid w:val="00803B7E"/>
    <w:rsid w:val="00803BE3"/>
    <w:rsid w:val="00803CDB"/>
    <w:rsid w:val="008043F1"/>
    <w:rsid w:val="0080443A"/>
    <w:rsid w:val="0080454F"/>
    <w:rsid w:val="008048FB"/>
    <w:rsid w:val="00804997"/>
    <w:rsid w:val="00804B5F"/>
    <w:rsid w:val="00804B6A"/>
    <w:rsid w:val="00804BFA"/>
    <w:rsid w:val="00804C33"/>
    <w:rsid w:val="00804D66"/>
    <w:rsid w:val="00805002"/>
    <w:rsid w:val="00805509"/>
    <w:rsid w:val="008055BC"/>
    <w:rsid w:val="00805745"/>
    <w:rsid w:val="008058B6"/>
    <w:rsid w:val="00805991"/>
    <w:rsid w:val="00805FCD"/>
    <w:rsid w:val="00805FD1"/>
    <w:rsid w:val="008060A7"/>
    <w:rsid w:val="00806149"/>
    <w:rsid w:val="00806654"/>
    <w:rsid w:val="008066DD"/>
    <w:rsid w:val="0080675D"/>
    <w:rsid w:val="008067AC"/>
    <w:rsid w:val="008068F0"/>
    <w:rsid w:val="00807031"/>
    <w:rsid w:val="00807990"/>
    <w:rsid w:val="00807B51"/>
    <w:rsid w:val="00807DDB"/>
    <w:rsid w:val="00807F3B"/>
    <w:rsid w:val="00810214"/>
    <w:rsid w:val="0081050F"/>
    <w:rsid w:val="0081078E"/>
    <w:rsid w:val="00810928"/>
    <w:rsid w:val="00810E42"/>
    <w:rsid w:val="00810FBE"/>
    <w:rsid w:val="0081147B"/>
    <w:rsid w:val="008114F6"/>
    <w:rsid w:val="0081155A"/>
    <w:rsid w:val="00811646"/>
    <w:rsid w:val="00811A80"/>
    <w:rsid w:val="00811CDC"/>
    <w:rsid w:val="00812047"/>
    <w:rsid w:val="00812225"/>
    <w:rsid w:val="00812436"/>
    <w:rsid w:val="0081267D"/>
    <w:rsid w:val="0081296A"/>
    <w:rsid w:val="00812B41"/>
    <w:rsid w:val="00812CDB"/>
    <w:rsid w:val="00812D58"/>
    <w:rsid w:val="00812D6E"/>
    <w:rsid w:val="00812ED4"/>
    <w:rsid w:val="00812F8E"/>
    <w:rsid w:val="00813133"/>
    <w:rsid w:val="0081323C"/>
    <w:rsid w:val="00813679"/>
    <w:rsid w:val="008138A7"/>
    <w:rsid w:val="00813A8F"/>
    <w:rsid w:val="00813C0F"/>
    <w:rsid w:val="00813E29"/>
    <w:rsid w:val="0081419B"/>
    <w:rsid w:val="008145D7"/>
    <w:rsid w:val="0081465D"/>
    <w:rsid w:val="00814682"/>
    <w:rsid w:val="008147F2"/>
    <w:rsid w:val="00814C5C"/>
    <w:rsid w:val="00814E4A"/>
    <w:rsid w:val="0081516D"/>
    <w:rsid w:val="00815272"/>
    <w:rsid w:val="00815308"/>
    <w:rsid w:val="008153ED"/>
    <w:rsid w:val="008154C6"/>
    <w:rsid w:val="008155F9"/>
    <w:rsid w:val="0081560E"/>
    <w:rsid w:val="008157E3"/>
    <w:rsid w:val="0081590D"/>
    <w:rsid w:val="00815A9C"/>
    <w:rsid w:val="00815CEA"/>
    <w:rsid w:val="00815D9E"/>
    <w:rsid w:val="00815DFA"/>
    <w:rsid w:val="0081629D"/>
    <w:rsid w:val="008162C8"/>
    <w:rsid w:val="008169BA"/>
    <w:rsid w:val="00816AC2"/>
    <w:rsid w:val="00816AD3"/>
    <w:rsid w:val="00816D75"/>
    <w:rsid w:val="00816DAE"/>
    <w:rsid w:val="00816DB0"/>
    <w:rsid w:val="00816E77"/>
    <w:rsid w:val="00816F7B"/>
    <w:rsid w:val="00817180"/>
    <w:rsid w:val="008171CA"/>
    <w:rsid w:val="008172B7"/>
    <w:rsid w:val="0081734F"/>
    <w:rsid w:val="00817351"/>
    <w:rsid w:val="0081750A"/>
    <w:rsid w:val="00817649"/>
    <w:rsid w:val="0081765F"/>
    <w:rsid w:val="008177E2"/>
    <w:rsid w:val="008178B9"/>
    <w:rsid w:val="008179A6"/>
    <w:rsid w:val="00817A23"/>
    <w:rsid w:val="00817F03"/>
    <w:rsid w:val="00820122"/>
    <w:rsid w:val="008201A8"/>
    <w:rsid w:val="0082026F"/>
    <w:rsid w:val="008202DB"/>
    <w:rsid w:val="008203ED"/>
    <w:rsid w:val="00820449"/>
    <w:rsid w:val="008204A3"/>
    <w:rsid w:val="008204A5"/>
    <w:rsid w:val="00820BC0"/>
    <w:rsid w:val="0082112C"/>
    <w:rsid w:val="0082118F"/>
    <w:rsid w:val="008212D1"/>
    <w:rsid w:val="008212FC"/>
    <w:rsid w:val="008214E0"/>
    <w:rsid w:val="00821589"/>
    <w:rsid w:val="008217F5"/>
    <w:rsid w:val="0082189F"/>
    <w:rsid w:val="00821B3F"/>
    <w:rsid w:val="00821BCD"/>
    <w:rsid w:val="00821CF3"/>
    <w:rsid w:val="00821D09"/>
    <w:rsid w:val="00821D36"/>
    <w:rsid w:val="00821DF1"/>
    <w:rsid w:val="00821E11"/>
    <w:rsid w:val="00821F38"/>
    <w:rsid w:val="0082231D"/>
    <w:rsid w:val="008223C1"/>
    <w:rsid w:val="0082244D"/>
    <w:rsid w:val="0082268C"/>
    <w:rsid w:val="0082279C"/>
    <w:rsid w:val="008228F9"/>
    <w:rsid w:val="00822A6E"/>
    <w:rsid w:val="00822B8F"/>
    <w:rsid w:val="00822BA2"/>
    <w:rsid w:val="00822F70"/>
    <w:rsid w:val="00822F8E"/>
    <w:rsid w:val="00822F95"/>
    <w:rsid w:val="00823418"/>
    <w:rsid w:val="0082341D"/>
    <w:rsid w:val="00823540"/>
    <w:rsid w:val="0082387B"/>
    <w:rsid w:val="008239A0"/>
    <w:rsid w:val="00824214"/>
    <w:rsid w:val="00824215"/>
    <w:rsid w:val="00824250"/>
    <w:rsid w:val="00824540"/>
    <w:rsid w:val="0082467B"/>
    <w:rsid w:val="00824780"/>
    <w:rsid w:val="00824788"/>
    <w:rsid w:val="008247BD"/>
    <w:rsid w:val="008253FA"/>
    <w:rsid w:val="00825657"/>
    <w:rsid w:val="00825820"/>
    <w:rsid w:val="00825C64"/>
    <w:rsid w:val="00825E07"/>
    <w:rsid w:val="00825F74"/>
    <w:rsid w:val="00826026"/>
    <w:rsid w:val="00826221"/>
    <w:rsid w:val="00826295"/>
    <w:rsid w:val="0082631B"/>
    <w:rsid w:val="008266F5"/>
    <w:rsid w:val="008268E4"/>
    <w:rsid w:val="00826947"/>
    <w:rsid w:val="008269DD"/>
    <w:rsid w:val="00826BFE"/>
    <w:rsid w:val="00826F88"/>
    <w:rsid w:val="00826FC3"/>
    <w:rsid w:val="008271D6"/>
    <w:rsid w:val="0082726C"/>
    <w:rsid w:val="008273C6"/>
    <w:rsid w:val="00827517"/>
    <w:rsid w:val="008275E2"/>
    <w:rsid w:val="0082766F"/>
    <w:rsid w:val="00827688"/>
    <w:rsid w:val="00827692"/>
    <w:rsid w:val="00827B43"/>
    <w:rsid w:val="00827D53"/>
    <w:rsid w:val="00827D6C"/>
    <w:rsid w:val="00827F7E"/>
    <w:rsid w:val="008301E7"/>
    <w:rsid w:val="00830563"/>
    <w:rsid w:val="00830812"/>
    <w:rsid w:val="00830A7C"/>
    <w:rsid w:val="00830B84"/>
    <w:rsid w:val="00830C47"/>
    <w:rsid w:val="00830E82"/>
    <w:rsid w:val="0083112E"/>
    <w:rsid w:val="008311AF"/>
    <w:rsid w:val="00831361"/>
    <w:rsid w:val="0083138C"/>
    <w:rsid w:val="00831409"/>
    <w:rsid w:val="008316FD"/>
    <w:rsid w:val="008317F7"/>
    <w:rsid w:val="008319F5"/>
    <w:rsid w:val="00831D7C"/>
    <w:rsid w:val="00831D7E"/>
    <w:rsid w:val="00831F62"/>
    <w:rsid w:val="00831FB3"/>
    <w:rsid w:val="0083202A"/>
    <w:rsid w:val="008320A9"/>
    <w:rsid w:val="00832578"/>
    <w:rsid w:val="00832649"/>
    <w:rsid w:val="008327E3"/>
    <w:rsid w:val="00832880"/>
    <w:rsid w:val="008328E0"/>
    <w:rsid w:val="00832943"/>
    <w:rsid w:val="00832969"/>
    <w:rsid w:val="00832AD8"/>
    <w:rsid w:val="00832AFB"/>
    <w:rsid w:val="00832B43"/>
    <w:rsid w:val="00832DF1"/>
    <w:rsid w:val="00832F1C"/>
    <w:rsid w:val="008330E0"/>
    <w:rsid w:val="00833422"/>
    <w:rsid w:val="008334A0"/>
    <w:rsid w:val="00833539"/>
    <w:rsid w:val="00833CFD"/>
    <w:rsid w:val="00833DDB"/>
    <w:rsid w:val="00833E70"/>
    <w:rsid w:val="0083445E"/>
    <w:rsid w:val="008345DA"/>
    <w:rsid w:val="00834651"/>
    <w:rsid w:val="008348C2"/>
    <w:rsid w:val="00834903"/>
    <w:rsid w:val="00834B2D"/>
    <w:rsid w:val="00834F61"/>
    <w:rsid w:val="00834FF4"/>
    <w:rsid w:val="0083500F"/>
    <w:rsid w:val="00835010"/>
    <w:rsid w:val="008350B7"/>
    <w:rsid w:val="008351BC"/>
    <w:rsid w:val="00835313"/>
    <w:rsid w:val="0083541E"/>
    <w:rsid w:val="0083544A"/>
    <w:rsid w:val="008354ED"/>
    <w:rsid w:val="00835A29"/>
    <w:rsid w:val="00835ACA"/>
    <w:rsid w:val="00835C9B"/>
    <w:rsid w:val="00835D40"/>
    <w:rsid w:val="00835D4D"/>
    <w:rsid w:val="00835E30"/>
    <w:rsid w:val="00835F1C"/>
    <w:rsid w:val="008360D0"/>
    <w:rsid w:val="00836182"/>
    <w:rsid w:val="00836237"/>
    <w:rsid w:val="008363B2"/>
    <w:rsid w:val="00836415"/>
    <w:rsid w:val="008364A1"/>
    <w:rsid w:val="008365A8"/>
    <w:rsid w:val="00836612"/>
    <w:rsid w:val="00836886"/>
    <w:rsid w:val="0083689C"/>
    <w:rsid w:val="00836AB8"/>
    <w:rsid w:val="00836C9A"/>
    <w:rsid w:val="00836E5A"/>
    <w:rsid w:val="0083722B"/>
    <w:rsid w:val="008377DA"/>
    <w:rsid w:val="00837C32"/>
    <w:rsid w:val="00837C85"/>
    <w:rsid w:val="00837D04"/>
    <w:rsid w:val="00840062"/>
    <w:rsid w:val="008401FB"/>
    <w:rsid w:val="008403BB"/>
    <w:rsid w:val="0084049A"/>
    <w:rsid w:val="0084085D"/>
    <w:rsid w:val="008408A6"/>
    <w:rsid w:val="00840931"/>
    <w:rsid w:val="00840B13"/>
    <w:rsid w:val="00840B1A"/>
    <w:rsid w:val="00840E0A"/>
    <w:rsid w:val="00841325"/>
    <w:rsid w:val="008413A5"/>
    <w:rsid w:val="0084152F"/>
    <w:rsid w:val="0084178E"/>
    <w:rsid w:val="00841C41"/>
    <w:rsid w:val="008420DF"/>
    <w:rsid w:val="00842570"/>
    <w:rsid w:val="0084259F"/>
    <w:rsid w:val="00842672"/>
    <w:rsid w:val="00842719"/>
    <w:rsid w:val="00842899"/>
    <w:rsid w:val="008429CB"/>
    <w:rsid w:val="00842DB2"/>
    <w:rsid w:val="00842E1E"/>
    <w:rsid w:val="008435A8"/>
    <w:rsid w:val="00843963"/>
    <w:rsid w:val="00843ABF"/>
    <w:rsid w:val="00844059"/>
    <w:rsid w:val="00844208"/>
    <w:rsid w:val="00844635"/>
    <w:rsid w:val="00844652"/>
    <w:rsid w:val="0084478C"/>
    <w:rsid w:val="00844A4C"/>
    <w:rsid w:val="00844A84"/>
    <w:rsid w:val="00844C19"/>
    <w:rsid w:val="00844C53"/>
    <w:rsid w:val="00845179"/>
    <w:rsid w:val="008451E2"/>
    <w:rsid w:val="008452DE"/>
    <w:rsid w:val="00845303"/>
    <w:rsid w:val="008454C2"/>
    <w:rsid w:val="0084555E"/>
    <w:rsid w:val="00845798"/>
    <w:rsid w:val="00845872"/>
    <w:rsid w:val="0084595B"/>
    <w:rsid w:val="00846064"/>
    <w:rsid w:val="0084613E"/>
    <w:rsid w:val="00846661"/>
    <w:rsid w:val="008466C1"/>
    <w:rsid w:val="008468C8"/>
    <w:rsid w:val="0084695A"/>
    <w:rsid w:val="00847335"/>
    <w:rsid w:val="00847556"/>
    <w:rsid w:val="008477B2"/>
    <w:rsid w:val="008479DF"/>
    <w:rsid w:val="00847A46"/>
    <w:rsid w:val="00847CDB"/>
    <w:rsid w:val="0085010E"/>
    <w:rsid w:val="00850717"/>
    <w:rsid w:val="0085076B"/>
    <w:rsid w:val="0085079E"/>
    <w:rsid w:val="008507E6"/>
    <w:rsid w:val="008508BB"/>
    <w:rsid w:val="008508C5"/>
    <w:rsid w:val="00850A59"/>
    <w:rsid w:val="00850A8C"/>
    <w:rsid w:val="00850ABD"/>
    <w:rsid w:val="00850AF3"/>
    <w:rsid w:val="00850B0E"/>
    <w:rsid w:val="00850C14"/>
    <w:rsid w:val="00850DA0"/>
    <w:rsid w:val="00850DDC"/>
    <w:rsid w:val="00850F43"/>
    <w:rsid w:val="00850FA6"/>
    <w:rsid w:val="00851072"/>
    <w:rsid w:val="0085112D"/>
    <w:rsid w:val="0085117F"/>
    <w:rsid w:val="0085131C"/>
    <w:rsid w:val="008517FC"/>
    <w:rsid w:val="00851944"/>
    <w:rsid w:val="0085198F"/>
    <w:rsid w:val="00851993"/>
    <w:rsid w:val="00851A7A"/>
    <w:rsid w:val="00851E12"/>
    <w:rsid w:val="00851F33"/>
    <w:rsid w:val="00852059"/>
    <w:rsid w:val="0085210D"/>
    <w:rsid w:val="00852162"/>
    <w:rsid w:val="0085239C"/>
    <w:rsid w:val="0085239E"/>
    <w:rsid w:val="00852840"/>
    <w:rsid w:val="00852A12"/>
    <w:rsid w:val="00852AED"/>
    <w:rsid w:val="00852B09"/>
    <w:rsid w:val="00852BE9"/>
    <w:rsid w:val="00852D1F"/>
    <w:rsid w:val="00852E6C"/>
    <w:rsid w:val="00853598"/>
    <w:rsid w:val="00853603"/>
    <w:rsid w:val="008538B4"/>
    <w:rsid w:val="0085396A"/>
    <w:rsid w:val="00853A5F"/>
    <w:rsid w:val="00853F86"/>
    <w:rsid w:val="008540E4"/>
    <w:rsid w:val="008542E1"/>
    <w:rsid w:val="00854351"/>
    <w:rsid w:val="008544B1"/>
    <w:rsid w:val="008546E1"/>
    <w:rsid w:val="008548F5"/>
    <w:rsid w:val="008549CD"/>
    <w:rsid w:val="00854D9F"/>
    <w:rsid w:val="00854EA5"/>
    <w:rsid w:val="00854ECE"/>
    <w:rsid w:val="008551A1"/>
    <w:rsid w:val="00855276"/>
    <w:rsid w:val="008555DE"/>
    <w:rsid w:val="00855792"/>
    <w:rsid w:val="00855AED"/>
    <w:rsid w:val="00855AEE"/>
    <w:rsid w:val="00855B7C"/>
    <w:rsid w:val="00855E85"/>
    <w:rsid w:val="00856273"/>
    <w:rsid w:val="00856396"/>
    <w:rsid w:val="0085645F"/>
    <w:rsid w:val="0085648B"/>
    <w:rsid w:val="008564CA"/>
    <w:rsid w:val="0085682C"/>
    <w:rsid w:val="008568A7"/>
    <w:rsid w:val="008568B7"/>
    <w:rsid w:val="008568DC"/>
    <w:rsid w:val="00856AA2"/>
    <w:rsid w:val="00856CAD"/>
    <w:rsid w:val="00856DEC"/>
    <w:rsid w:val="0085710D"/>
    <w:rsid w:val="00857162"/>
    <w:rsid w:val="008571AF"/>
    <w:rsid w:val="00857316"/>
    <w:rsid w:val="00857665"/>
    <w:rsid w:val="00857A3C"/>
    <w:rsid w:val="008602EA"/>
    <w:rsid w:val="00860319"/>
    <w:rsid w:val="0086040F"/>
    <w:rsid w:val="00860559"/>
    <w:rsid w:val="00860716"/>
    <w:rsid w:val="00860734"/>
    <w:rsid w:val="00860932"/>
    <w:rsid w:val="00860936"/>
    <w:rsid w:val="00860A03"/>
    <w:rsid w:val="00860D6C"/>
    <w:rsid w:val="00860E23"/>
    <w:rsid w:val="008611CC"/>
    <w:rsid w:val="00861258"/>
    <w:rsid w:val="0086147A"/>
    <w:rsid w:val="00861748"/>
    <w:rsid w:val="00861956"/>
    <w:rsid w:val="00861C6B"/>
    <w:rsid w:val="00861D09"/>
    <w:rsid w:val="00861D87"/>
    <w:rsid w:val="00861DBC"/>
    <w:rsid w:val="00861DFB"/>
    <w:rsid w:val="0086203E"/>
    <w:rsid w:val="008620A5"/>
    <w:rsid w:val="0086281C"/>
    <w:rsid w:val="0086284E"/>
    <w:rsid w:val="00862DB9"/>
    <w:rsid w:val="00862ECB"/>
    <w:rsid w:val="00863793"/>
    <w:rsid w:val="008638DF"/>
    <w:rsid w:val="00863A04"/>
    <w:rsid w:val="00863D0D"/>
    <w:rsid w:val="008640CA"/>
    <w:rsid w:val="008640F9"/>
    <w:rsid w:val="008641F6"/>
    <w:rsid w:val="008644E7"/>
    <w:rsid w:val="008648BC"/>
    <w:rsid w:val="00864A14"/>
    <w:rsid w:val="00864AD5"/>
    <w:rsid w:val="00864AFE"/>
    <w:rsid w:val="00864B39"/>
    <w:rsid w:val="00864C49"/>
    <w:rsid w:val="00864FA4"/>
    <w:rsid w:val="008651E7"/>
    <w:rsid w:val="0086533B"/>
    <w:rsid w:val="008653AB"/>
    <w:rsid w:val="008657D3"/>
    <w:rsid w:val="008657F9"/>
    <w:rsid w:val="00865B17"/>
    <w:rsid w:val="00865CB0"/>
    <w:rsid w:val="00865F8B"/>
    <w:rsid w:val="00865FA3"/>
    <w:rsid w:val="00865FD3"/>
    <w:rsid w:val="00866103"/>
    <w:rsid w:val="008661D1"/>
    <w:rsid w:val="0086627C"/>
    <w:rsid w:val="00866318"/>
    <w:rsid w:val="00866367"/>
    <w:rsid w:val="008663D4"/>
    <w:rsid w:val="00866437"/>
    <w:rsid w:val="008664AA"/>
    <w:rsid w:val="008664C5"/>
    <w:rsid w:val="008666B3"/>
    <w:rsid w:val="00866730"/>
    <w:rsid w:val="008668D0"/>
    <w:rsid w:val="00866C5C"/>
    <w:rsid w:val="00866E08"/>
    <w:rsid w:val="00866F0D"/>
    <w:rsid w:val="00866F2F"/>
    <w:rsid w:val="00867016"/>
    <w:rsid w:val="008671B9"/>
    <w:rsid w:val="008671F9"/>
    <w:rsid w:val="008674D7"/>
    <w:rsid w:val="00867585"/>
    <w:rsid w:val="00867A55"/>
    <w:rsid w:val="00867B27"/>
    <w:rsid w:val="00867B4F"/>
    <w:rsid w:val="00867C09"/>
    <w:rsid w:val="00867CFC"/>
    <w:rsid w:val="00867DCD"/>
    <w:rsid w:val="00867F5E"/>
    <w:rsid w:val="00870222"/>
    <w:rsid w:val="0087027A"/>
    <w:rsid w:val="00870326"/>
    <w:rsid w:val="008705E5"/>
    <w:rsid w:val="008709E0"/>
    <w:rsid w:val="008709F3"/>
    <w:rsid w:val="00870A06"/>
    <w:rsid w:val="00870B01"/>
    <w:rsid w:val="00870BAA"/>
    <w:rsid w:val="00870BDE"/>
    <w:rsid w:val="00870DC9"/>
    <w:rsid w:val="0087122D"/>
    <w:rsid w:val="0087140D"/>
    <w:rsid w:val="0087140F"/>
    <w:rsid w:val="00871C3B"/>
    <w:rsid w:val="00871EBA"/>
    <w:rsid w:val="00872253"/>
    <w:rsid w:val="0087252D"/>
    <w:rsid w:val="00872591"/>
    <w:rsid w:val="008725F8"/>
    <w:rsid w:val="0087269D"/>
    <w:rsid w:val="00872BC9"/>
    <w:rsid w:val="00872C28"/>
    <w:rsid w:val="00872E6F"/>
    <w:rsid w:val="00872EAA"/>
    <w:rsid w:val="0087307E"/>
    <w:rsid w:val="00873416"/>
    <w:rsid w:val="008736C0"/>
    <w:rsid w:val="008737E6"/>
    <w:rsid w:val="00873A4A"/>
    <w:rsid w:val="00873C12"/>
    <w:rsid w:val="00873D06"/>
    <w:rsid w:val="0087410E"/>
    <w:rsid w:val="008741BF"/>
    <w:rsid w:val="00874284"/>
    <w:rsid w:val="0087470E"/>
    <w:rsid w:val="00874794"/>
    <w:rsid w:val="008747F2"/>
    <w:rsid w:val="00874803"/>
    <w:rsid w:val="00874871"/>
    <w:rsid w:val="00874881"/>
    <w:rsid w:val="008749EE"/>
    <w:rsid w:val="008749F0"/>
    <w:rsid w:val="00874B15"/>
    <w:rsid w:val="00874B6D"/>
    <w:rsid w:val="00874CC2"/>
    <w:rsid w:val="00874E94"/>
    <w:rsid w:val="00874F34"/>
    <w:rsid w:val="00875084"/>
    <w:rsid w:val="0087515F"/>
    <w:rsid w:val="00875263"/>
    <w:rsid w:val="0087545D"/>
    <w:rsid w:val="00875544"/>
    <w:rsid w:val="008755E3"/>
    <w:rsid w:val="008756EC"/>
    <w:rsid w:val="0087572B"/>
    <w:rsid w:val="0087577B"/>
    <w:rsid w:val="0087588C"/>
    <w:rsid w:val="008758CB"/>
    <w:rsid w:val="008759E1"/>
    <w:rsid w:val="00875B86"/>
    <w:rsid w:val="00875B9C"/>
    <w:rsid w:val="00875BCC"/>
    <w:rsid w:val="00875CFA"/>
    <w:rsid w:val="00875E3A"/>
    <w:rsid w:val="00876168"/>
    <w:rsid w:val="008764BD"/>
    <w:rsid w:val="0087679B"/>
    <w:rsid w:val="0087697D"/>
    <w:rsid w:val="00876DB2"/>
    <w:rsid w:val="00876E36"/>
    <w:rsid w:val="00876FD7"/>
    <w:rsid w:val="00876FE1"/>
    <w:rsid w:val="008771C3"/>
    <w:rsid w:val="0087725B"/>
    <w:rsid w:val="00877701"/>
    <w:rsid w:val="00877711"/>
    <w:rsid w:val="008777E4"/>
    <w:rsid w:val="00877C2C"/>
    <w:rsid w:val="00877C31"/>
    <w:rsid w:val="00877D64"/>
    <w:rsid w:val="00877FBE"/>
    <w:rsid w:val="00880046"/>
    <w:rsid w:val="0088007D"/>
    <w:rsid w:val="008801F3"/>
    <w:rsid w:val="00880393"/>
    <w:rsid w:val="00880431"/>
    <w:rsid w:val="00880440"/>
    <w:rsid w:val="0088058D"/>
    <w:rsid w:val="008809DB"/>
    <w:rsid w:val="00880CBF"/>
    <w:rsid w:val="00880DF4"/>
    <w:rsid w:val="00880E66"/>
    <w:rsid w:val="00880F12"/>
    <w:rsid w:val="00880FC9"/>
    <w:rsid w:val="00881303"/>
    <w:rsid w:val="008813B5"/>
    <w:rsid w:val="0088140E"/>
    <w:rsid w:val="008814BB"/>
    <w:rsid w:val="008814F5"/>
    <w:rsid w:val="0088150C"/>
    <w:rsid w:val="00881688"/>
    <w:rsid w:val="00881AA1"/>
    <w:rsid w:val="00881BF7"/>
    <w:rsid w:val="008820AB"/>
    <w:rsid w:val="00882E47"/>
    <w:rsid w:val="00882FD1"/>
    <w:rsid w:val="0088323B"/>
    <w:rsid w:val="0088347D"/>
    <w:rsid w:val="00883604"/>
    <w:rsid w:val="00883A34"/>
    <w:rsid w:val="00883B85"/>
    <w:rsid w:val="00883D35"/>
    <w:rsid w:val="00883DDF"/>
    <w:rsid w:val="008844DB"/>
    <w:rsid w:val="008845A3"/>
    <w:rsid w:val="008848D0"/>
    <w:rsid w:val="00884B8E"/>
    <w:rsid w:val="00884E2C"/>
    <w:rsid w:val="00885309"/>
    <w:rsid w:val="0088533B"/>
    <w:rsid w:val="008857EC"/>
    <w:rsid w:val="008858F6"/>
    <w:rsid w:val="00885A94"/>
    <w:rsid w:val="00885B48"/>
    <w:rsid w:val="00885B57"/>
    <w:rsid w:val="00885B58"/>
    <w:rsid w:val="00885C25"/>
    <w:rsid w:val="00885D53"/>
    <w:rsid w:val="00885DBF"/>
    <w:rsid w:val="00885FDD"/>
    <w:rsid w:val="008861A3"/>
    <w:rsid w:val="008865DC"/>
    <w:rsid w:val="00886A2A"/>
    <w:rsid w:val="00886CF8"/>
    <w:rsid w:val="00886D2F"/>
    <w:rsid w:val="00886D4A"/>
    <w:rsid w:val="00886E5C"/>
    <w:rsid w:val="00886F24"/>
    <w:rsid w:val="00886F63"/>
    <w:rsid w:val="008872E2"/>
    <w:rsid w:val="00887702"/>
    <w:rsid w:val="00887817"/>
    <w:rsid w:val="00887DA2"/>
    <w:rsid w:val="00887E87"/>
    <w:rsid w:val="00887EF9"/>
    <w:rsid w:val="0089006F"/>
    <w:rsid w:val="00890118"/>
    <w:rsid w:val="008901EB"/>
    <w:rsid w:val="0089028D"/>
    <w:rsid w:val="00890387"/>
    <w:rsid w:val="008903BE"/>
    <w:rsid w:val="008903F2"/>
    <w:rsid w:val="00890628"/>
    <w:rsid w:val="008907EB"/>
    <w:rsid w:val="00890AB1"/>
    <w:rsid w:val="00890B1E"/>
    <w:rsid w:val="00890CB1"/>
    <w:rsid w:val="00890CEE"/>
    <w:rsid w:val="00890DE2"/>
    <w:rsid w:val="00891051"/>
    <w:rsid w:val="0089105A"/>
    <w:rsid w:val="008910D0"/>
    <w:rsid w:val="0089131A"/>
    <w:rsid w:val="008913B7"/>
    <w:rsid w:val="008919B0"/>
    <w:rsid w:val="00891AF2"/>
    <w:rsid w:val="0089234F"/>
    <w:rsid w:val="008923DC"/>
    <w:rsid w:val="00892565"/>
    <w:rsid w:val="00892655"/>
    <w:rsid w:val="00892699"/>
    <w:rsid w:val="008929F1"/>
    <w:rsid w:val="00892B58"/>
    <w:rsid w:val="00892C0B"/>
    <w:rsid w:val="00892D44"/>
    <w:rsid w:val="00892E5E"/>
    <w:rsid w:val="00893028"/>
    <w:rsid w:val="00893393"/>
    <w:rsid w:val="008937EA"/>
    <w:rsid w:val="00893803"/>
    <w:rsid w:val="00893820"/>
    <w:rsid w:val="008939B6"/>
    <w:rsid w:val="00893D9F"/>
    <w:rsid w:val="00894199"/>
    <w:rsid w:val="0089427C"/>
    <w:rsid w:val="008942DE"/>
    <w:rsid w:val="00894555"/>
    <w:rsid w:val="0089462E"/>
    <w:rsid w:val="00894679"/>
    <w:rsid w:val="008946AE"/>
    <w:rsid w:val="0089484E"/>
    <w:rsid w:val="00894C03"/>
    <w:rsid w:val="00895087"/>
    <w:rsid w:val="00895134"/>
    <w:rsid w:val="00895187"/>
    <w:rsid w:val="008954D6"/>
    <w:rsid w:val="00895647"/>
    <w:rsid w:val="008956B2"/>
    <w:rsid w:val="008958F9"/>
    <w:rsid w:val="00895B13"/>
    <w:rsid w:val="0089601D"/>
    <w:rsid w:val="008963E0"/>
    <w:rsid w:val="0089650C"/>
    <w:rsid w:val="008969A7"/>
    <w:rsid w:val="00896BFF"/>
    <w:rsid w:val="00896F0B"/>
    <w:rsid w:val="0089703E"/>
    <w:rsid w:val="008971A6"/>
    <w:rsid w:val="008971BC"/>
    <w:rsid w:val="00897680"/>
    <w:rsid w:val="00897A39"/>
    <w:rsid w:val="00897B58"/>
    <w:rsid w:val="008A0146"/>
    <w:rsid w:val="008A0488"/>
    <w:rsid w:val="008A049F"/>
    <w:rsid w:val="008A052B"/>
    <w:rsid w:val="008A0A87"/>
    <w:rsid w:val="008A0BB2"/>
    <w:rsid w:val="008A0CBC"/>
    <w:rsid w:val="008A1472"/>
    <w:rsid w:val="008A15CC"/>
    <w:rsid w:val="008A1781"/>
    <w:rsid w:val="008A1904"/>
    <w:rsid w:val="008A1AD0"/>
    <w:rsid w:val="008A1DB5"/>
    <w:rsid w:val="008A1DF3"/>
    <w:rsid w:val="008A21D5"/>
    <w:rsid w:val="008A2210"/>
    <w:rsid w:val="008A22C3"/>
    <w:rsid w:val="008A248C"/>
    <w:rsid w:val="008A2563"/>
    <w:rsid w:val="008A25A0"/>
    <w:rsid w:val="008A25ED"/>
    <w:rsid w:val="008A2812"/>
    <w:rsid w:val="008A2BEB"/>
    <w:rsid w:val="008A2C0E"/>
    <w:rsid w:val="008A2FD9"/>
    <w:rsid w:val="008A30D4"/>
    <w:rsid w:val="008A31B6"/>
    <w:rsid w:val="008A3213"/>
    <w:rsid w:val="008A34BC"/>
    <w:rsid w:val="008A35CB"/>
    <w:rsid w:val="008A38A4"/>
    <w:rsid w:val="008A3B51"/>
    <w:rsid w:val="008A3F4C"/>
    <w:rsid w:val="008A406E"/>
    <w:rsid w:val="008A49E2"/>
    <w:rsid w:val="008A4ACE"/>
    <w:rsid w:val="008A4D1D"/>
    <w:rsid w:val="008A4F3D"/>
    <w:rsid w:val="008A50E5"/>
    <w:rsid w:val="008A510B"/>
    <w:rsid w:val="008A5151"/>
    <w:rsid w:val="008A51A2"/>
    <w:rsid w:val="008A5436"/>
    <w:rsid w:val="008A56DF"/>
    <w:rsid w:val="008A57BF"/>
    <w:rsid w:val="008A57E4"/>
    <w:rsid w:val="008A5903"/>
    <w:rsid w:val="008A59D7"/>
    <w:rsid w:val="008A59E0"/>
    <w:rsid w:val="008A5A4D"/>
    <w:rsid w:val="008A5ADF"/>
    <w:rsid w:val="008A5BDD"/>
    <w:rsid w:val="008A5C02"/>
    <w:rsid w:val="008A5D25"/>
    <w:rsid w:val="008A5F79"/>
    <w:rsid w:val="008A5F95"/>
    <w:rsid w:val="008A60D8"/>
    <w:rsid w:val="008A62E7"/>
    <w:rsid w:val="008A643B"/>
    <w:rsid w:val="008A664F"/>
    <w:rsid w:val="008A6693"/>
    <w:rsid w:val="008A66BB"/>
    <w:rsid w:val="008A677F"/>
    <w:rsid w:val="008A6924"/>
    <w:rsid w:val="008A6B6F"/>
    <w:rsid w:val="008A730F"/>
    <w:rsid w:val="008A7420"/>
    <w:rsid w:val="008A7446"/>
    <w:rsid w:val="008A7618"/>
    <w:rsid w:val="008A77B4"/>
    <w:rsid w:val="008A7978"/>
    <w:rsid w:val="008A79E7"/>
    <w:rsid w:val="008A7C5B"/>
    <w:rsid w:val="008A7E71"/>
    <w:rsid w:val="008A7EAD"/>
    <w:rsid w:val="008A7FFE"/>
    <w:rsid w:val="008B0069"/>
    <w:rsid w:val="008B00B4"/>
    <w:rsid w:val="008B0173"/>
    <w:rsid w:val="008B0327"/>
    <w:rsid w:val="008B0621"/>
    <w:rsid w:val="008B0B5C"/>
    <w:rsid w:val="008B0BD1"/>
    <w:rsid w:val="008B0D4F"/>
    <w:rsid w:val="008B0E85"/>
    <w:rsid w:val="008B0F46"/>
    <w:rsid w:val="008B0F7D"/>
    <w:rsid w:val="008B1342"/>
    <w:rsid w:val="008B1390"/>
    <w:rsid w:val="008B1403"/>
    <w:rsid w:val="008B155E"/>
    <w:rsid w:val="008B168B"/>
    <w:rsid w:val="008B16CC"/>
    <w:rsid w:val="008B1733"/>
    <w:rsid w:val="008B1902"/>
    <w:rsid w:val="008B1C12"/>
    <w:rsid w:val="008B1CD5"/>
    <w:rsid w:val="008B1DBA"/>
    <w:rsid w:val="008B203B"/>
    <w:rsid w:val="008B2141"/>
    <w:rsid w:val="008B2293"/>
    <w:rsid w:val="008B22DD"/>
    <w:rsid w:val="008B2376"/>
    <w:rsid w:val="008B2414"/>
    <w:rsid w:val="008B2CB6"/>
    <w:rsid w:val="008B304F"/>
    <w:rsid w:val="008B325C"/>
    <w:rsid w:val="008B3407"/>
    <w:rsid w:val="008B3447"/>
    <w:rsid w:val="008B3573"/>
    <w:rsid w:val="008B3722"/>
    <w:rsid w:val="008B372E"/>
    <w:rsid w:val="008B375F"/>
    <w:rsid w:val="008B3799"/>
    <w:rsid w:val="008B3A2B"/>
    <w:rsid w:val="008B3CA7"/>
    <w:rsid w:val="008B4053"/>
    <w:rsid w:val="008B45C2"/>
    <w:rsid w:val="008B47AA"/>
    <w:rsid w:val="008B48BF"/>
    <w:rsid w:val="008B49E8"/>
    <w:rsid w:val="008B4A73"/>
    <w:rsid w:val="008B4C76"/>
    <w:rsid w:val="008B4D07"/>
    <w:rsid w:val="008B50C3"/>
    <w:rsid w:val="008B5189"/>
    <w:rsid w:val="008B5248"/>
    <w:rsid w:val="008B57C0"/>
    <w:rsid w:val="008B5813"/>
    <w:rsid w:val="008B59E2"/>
    <w:rsid w:val="008B5A44"/>
    <w:rsid w:val="008B5BDD"/>
    <w:rsid w:val="008B5D28"/>
    <w:rsid w:val="008B5D5E"/>
    <w:rsid w:val="008B5EB1"/>
    <w:rsid w:val="008B6130"/>
    <w:rsid w:val="008B620A"/>
    <w:rsid w:val="008B6697"/>
    <w:rsid w:val="008B67AA"/>
    <w:rsid w:val="008B694B"/>
    <w:rsid w:val="008B6D35"/>
    <w:rsid w:val="008B6D5A"/>
    <w:rsid w:val="008B6E89"/>
    <w:rsid w:val="008B6F4C"/>
    <w:rsid w:val="008B7195"/>
    <w:rsid w:val="008B73AC"/>
    <w:rsid w:val="008B7634"/>
    <w:rsid w:val="008B76DA"/>
    <w:rsid w:val="008B76E0"/>
    <w:rsid w:val="008B787E"/>
    <w:rsid w:val="008B789F"/>
    <w:rsid w:val="008B78D5"/>
    <w:rsid w:val="008B7BEC"/>
    <w:rsid w:val="008B7F07"/>
    <w:rsid w:val="008B7F1D"/>
    <w:rsid w:val="008B7F59"/>
    <w:rsid w:val="008C00C3"/>
    <w:rsid w:val="008C0104"/>
    <w:rsid w:val="008C03F7"/>
    <w:rsid w:val="008C053C"/>
    <w:rsid w:val="008C0558"/>
    <w:rsid w:val="008C05B3"/>
    <w:rsid w:val="008C06F4"/>
    <w:rsid w:val="008C07F6"/>
    <w:rsid w:val="008C0992"/>
    <w:rsid w:val="008C09C5"/>
    <w:rsid w:val="008C0CBF"/>
    <w:rsid w:val="008C0D89"/>
    <w:rsid w:val="008C0E07"/>
    <w:rsid w:val="008C0E19"/>
    <w:rsid w:val="008C0F0F"/>
    <w:rsid w:val="008C0F50"/>
    <w:rsid w:val="008C1340"/>
    <w:rsid w:val="008C14EB"/>
    <w:rsid w:val="008C1509"/>
    <w:rsid w:val="008C163B"/>
    <w:rsid w:val="008C19B7"/>
    <w:rsid w:val="008C19FF"/>
    <w:rsid w:val="008C1C51"/>
    <w:rsid w:val="008C1CC9"/>
    <w:rsid w:val="008C2544"/>
    <w:rsid w:val="008C2619"/>
    <w:rsid w:val="008C309F"/>
    <w:rsid w:val="008C3108"/>
    <w:rsid w:val="008C33CB"/>
    <w:rsid w:val="008C3792"/>
    <w:rsid w:val="008C3803"/>
    <w:rsid w:val="008C39B7"/>
    <w:rsid w:val="008C3A57"/>
    <w:rsid w:val="008C3F30"/>
    <w:rsid w:val="008C4127"/>
    <w:rsid w:val="008C445E"/>
    <w:rsid w:val="008C4504"/>
    <w:rsid w:val="008C4523"/>
    <w:rsid w:val="008C4565"/>
    <w:rsid w:val="008C4665"/>
    <w:rsid w:val="008C4A72"/>
    <w:rsid w:val="008C5370"/>
    <w:rsid w:val="008C54A6"/>
    <w:rsid w:val="008C59DC"/>
    <w:rsid w:val="008C5FA6"/>
    <w:rsid w:val="008C63AE"/>
    <w:rsid w:val="008C6585"/>
    <w:rsid w:val="008C665C"/>
    <w:rsid w:val="008C68A7"/>
    <w:rsid w:val="008C6CCF"/>
    <w:rsid w:val="008C6FA0"/>
    <w:rsid w:val="008C7040"/>
    <w:rsid w:val="008C7152"/>
    <w:rsid w:val="008C7189"/>
    <w:rsid w:val="008C72DF"/>
    <w:rsid w:val="008C758E"/>
    <w:rsid w:val="008C75A6"/>
    <w:rsid w:val="008C77E4"/>
    <w:rsid w:val="008C7B66"/>
    <w:rsid w:val="008C7D01"/>
    <w:rsid w:val="008D030D"/>
    <w:rsid w:val="008D0479"/>
    <w:rsid w:val="008D0788"/>
    <w:rsid w:val="008D0922"/>
    <w:rsid w:val="008D0A44"/>
    <w:rsid w:val="008D0A9D"/>
    <w:rsid w:val="008D0BFB"/>
    <w:rsid w:val="008D0D68"/>
    <w:rsid w:val="008D0E7E"/>
    <w:rsid w:val="008D119B"/>
    <w:rsid w:val="008D1756"/>
    <w:rsid w:val="008D1791"/>
    <w:rsid w:val="008D1A46"/>
    <w:rsid w:val="008D1AB1"/>
    <w:rsid w:val="008D1C1F"/>
    <w:rsid w:val="008D1D17"/>
    <w:rsid w:val="008D1E41"/>
    <w:rsid w:val="008D2058"/>
    <w:rsid w:val="008D2221"/>
    <w:rsid w:val="008D25DC"/>
    <w:rsid w:val="008D2708"/>
    <w:rsid w:val="008D27AA"/>
    <w:rsid w:val="008D29E1"/>
    <w:rsid w:val="008D2EAD"/>
    <w:rsid w:val="008D2EC8"/>
    <w:rsid w:val="008D2F31"/>
    <w:rsid w:val="008D2FBA"/>
    <w:rsid w:val="008D32BA"/>
    <w:rsid w:val="008D3322"/>
    <w:rsid w:val="008D34CD"/>
    <w:rsid w:val="008D3535"/>
    <w:rsid w:val="008D366E"/>
    <w:rsid w:val="008D3914"/>
    <w:rsid w:val="008D3A8A"/>
    <w:rsid w:val="008D3B57"/>
    <w:rsid w:val="008D406E"/>
    <w:rsid w:val="008D43F8"/>
    <w:rsid w:val="008D448C"/>
    <w:rsid w:val="008D44D0"/>
    <w:rsid w:val="008D4529"/>
    <w:rsid w:val="008D471C"/>
    <w:rsid w:val="008D4814"/>
    <w:rsid w:val="008D4AF3"/>
    <w:rsid w:val="008D4B70"/>
    <w:rsid w:val="008D4D32"/>
    <w:rsid w:val="008D4D6E"/>
    <w:rsid w:val="008D4E77"/>
    <w:rsid w:val="008D4FF6"/>
    <w:rsid w:val="008D51CD"/>
    <w:rsid w:val="008D5263"/>
    <w:rsid w:val="008D540D"/>
    <w:rsid w:val="008D55E3"/>
    <w:rsid w:val="008D5673"/>
    <w:rsid w:val="008D57BA"/>
    <w:rsid w:val="008D5BC4"/>
    <w:rsid w:val="008D5DFB"/>
    <w:rsid w:val="008D5E1C"/>
    <w:rsid w:val="008D61A1"/>
    <w:rsid w:val="008D62B3"/>
    <w:rsid w:val="008D6633"/>
    <w:rsid w:val="008D6796"/>
    <w:rsid w:val="008D6820"/>
    <w:rsid w:val="008D6A2C"/>
    <w:rsid w:val="008D6A3A"/>
    <w:rsid w:val="008D7060"/>
    <w:rsid w:val="008D762D"/>
    <w:rsid w:val="008D7784"/>
    <w:rsid w:val="008D788B"/>
    <w:rsid w:val="008D7A11"/>
    <w:rsid w:val="008D7A61"/>
    <w:rsid w:val="008D7C1A"/>
    <w:rsid w:val="008D7CDA"/>
    <w:rsid w:val="008E002B"/>
    <w:rsid w:val="008E01EA"/>
    <w:rsid w:val="008E0954"/>
    <w:rsid w:val="008E0998"/>
    <w:rsid w:val="008E0D4D"/>
    <w:rsid w:val="008E0ED8"/>
    <w:rsid w:val="008E0FE1"/>
    <w:rsid w:val="008E1030"/>
    <w:rsid w:val="008E1109"/>
    <w:rsid w:val="008E1304"/>
    <w:rsid w:val="008E175A"/>
    <w:rsid w:val="008E1D35"/>
    <w:rsid w:val="008E1EF8"/>
    <w:rsid w:val="008E1F7A"/>
    <w:rsid w:val="008E1FA3"/>
    <w:rsid w:val="008E2115"/>
    <w:rsid w:val="008E24D1"/>
    <w:rsid w:val="008E2564"/>
    <w:rsid w:val="008E28FF"/>
    <w:rsid w:val="008E29A8"/>
    <w:rsid w:val="008E36F3"/>
    <w:rsid w:val="008E3B82"/>
    <w:rsid w:val="008E3D0F"/>
    <w:rsid w:val="008E3D4F"/>
    <w:rsid w:val="008E3DAE"/>
    <w:rsid w:val="008E3EB8"/>
    <w:rsid w:val="008E4172"/>
    <w:rsid w:val="008E41A2"/>
    <w:rsid w:val="008E41E8"/>
    <w:rsid w:val="008E4271"/>
    <w:rsid w:val="008E42C8"/>
    <w:rsid w:val="008E42E5"/>
    <w:rsid w:val="008E4447"/>
    <w:rsid w:val="008E4448"/>
    <w:rsid w:val="008E47F9"/>
    <w:rsid w:val="008E4908"/>
    <w:rsid w:val="008E49CC"/>
    <w:rsid w:val="008E4A23"/>
    <w:rsid w:val="008E4BBB"/>
    <w:rsid w:val="008E4E0E"/>
    <w:rsid w:val="008E4F68"/>
    <w:rsid w:val="008E50FB"/>
    <w:rsid w:val="008E54B8"/>
    <w:rsid w:val="008E54C2"/>
    <w:rsid w:val="008E5688"/>
    <w:rsid w:val="008E5768"/>
    <w:rsid w:val="008E5844"/>
    <w:rsid w:val="008E5C5B"/>
    <w:rsid w:val="008E5CA7"/>
    <w:rsid w:val="008E5CFD"/>
    <w:rsid w:val="008E5E69"/>
    <w:rsid w:val="008E61FA"/>
    <w:rsid w:val="008E6289"/>
    <w:rsid w:val="008E6317"/>
    <w:rsid w:val="008E65FF"/>
    <w:rsid w:val="008E6F0D"/>
    <w:rsid w:val="008E6FCE"/>
    <w:rsid w:val="008E7100"/>
    <w:rsid w:val="008E7151"/>
    <w:rsid w:val="008E7179"/>
    <w:rsid w:val="008E721B"/>
    <w:rsid w:val="008E72D7"/>
    <w:rsid w:val="008E749D"/>
    <w:rsid w:val="008E760B"/>
    <w:rsid w:val="008E762A"/>
    <w:rsid w:val="008E77AA"/>
    <w:rsid w:val="008E78DC"/>
    <w:rsid w:val="008E794F"/>
    <w:rsid w:val="008E7B3B"/>
    <w:rsid w:val="008E7DEB"/>
    <w:rsid w:val="008E7FC8"/>
    <w:rsid w:val="008F027D"/>
    <w:rsid w:val="008F041E"/>
    <w:rsid w:val="008F055E"/>
    <w:rsid w:val="008F0775"/>
    <w:rsid w:val="008F0BB2"/>
    <w:rsid w:val="008F0CCB"/>
    <w:rsid w:val="008F0FD6"/>
    <w:rsid w:val="008F10F9"/>
    <w:rsid w:val="008F11D1"/>
    <w:rsid w:val="008F136D"/>
    <w:rsid w:val="008F1371"/>
    <w:rsid w:val="008F1435"/>
    <w:rsid w:val="008F1542"/>
    <w:rsid w:val="008F15DE"/>
    <w:rsid w:val="008F1607"/>
    <w:rsid w:val="008F184B"/>
    <w:rsid w:val="008F1A3F"/>
    <w:rsid w:val="008F1D04"/>
    <w:rsid w:val="008F1E0F"/>
    <w:rsid w:val="008F1E40"/>
    <w:rsid w:val="008F1E7C"/>
    <w:rsid w:val="008F2057"/>
    <w:rsid w:val="008F2326"/>
    <w:rsid w:val="008F25E4"/>
    <w:rsid w:val="008F2918"/>
    <w:rsid w:val="008F293D"/>
    <w:rsid w:val="008F2C10"/>
    <w:rsid w:val="008F2D53"/>
    <w:rsid w:val="008F2FE2"/>
    <w:rsid w:val="008F313F"/>
    <w:rsid w:val="008F3391"/>
    <w:rsid w:val="008F39C9"/>
    <w:rsid w:val="008F3C57"/>
    <w:rsid w:val="008F3D74"/>
    <w:rsid w:val="008F3FCE"/>
    <w:rsid w:val="008F4023"/>
    <w:rsid w:val="008F42C7"/>
    <w:rsid w:val="008F42E7"/>
    <w:rsid w:val="008F4372"/>
    <w:rsid w:val="008F477A"/>
    <w:rsid w:val="008F47C1"/>
    <w:rsid w:val="008F49E8"/>
    <w:rsid w:val="008F4A27"/>
    <w:rsid w:val="008F4C5D"/>
    <w:rsid w:val="008F5055"/>
    <w:rsid w:val="008F5271"/>
    <w:rsid w:val="008F52BC"/>
    <w:rsid w:val="008F5511"/>
    <w:rsid w:val="008F58B7"/>
    <w:rsid w:val="008F5961"/>
    <w:rsid w:val="008F5B64"/>
    <w:rsid w:val="008F5B98"/>
    <w:rsid w:val="008F5F7C"/>
    <w:rsid w:val="008F613F"/>
    <w:rsid w:val="008F6197"/>
    <w:rsid w:val="008F6268"/>
    <w:rsid w:val="008F63A6"/>
    <w:rsid w:val="008F6932"/>
    <w:rsid w:val="008F6AAF"/>
    <w:rsid w:val="008F6C95"/>
    <w:rsid w:val="008F6CDB"/>
    <w:rsid w:val="008F6D75"/>
    <w:rsid w:val="008F6DC0"/>
    <w:rsid w:val="008F7154"/>
    <w:rsid w:val="008F7238"/>
    <w:rsid w:val="008F736F"/>
    <w:rsid w:val="008F7370"/>
    <w:rsid w:val="008F74F7"/>
    <w:rsid w:val="008F7643"/>
    <w:rsid w:val="008F76A9"/>
    <w:rsid w:val="008F78C2"/>
    <w:rsid w:val="008F7981"/>
    <w:rsid w:val="008F7DAA"/>
    <w:rsid w:val="008F7DC2"/>
    <w:rsid w:val="0090003D"/>
    <w:rsid w:val="00900047"/>
    <w:rsid w:val="009001BF"/>
    <w:rsid w:val="009001C2"/>
    <w:rsid w:val="00900249"/>
    <w:rsid w:val="00900499"/>
    <w:rsid w:val="009004F9"/>
    <w:rsid w:val="0090060B"/>
    <w:rsid w:val="009008A3"/>
    <w:rsid w:val="00900AC0"/>
    <w:rsid w:val="00900C5A"/>
    <w:rsid w:val="00900D3E"/>
    <w:rsid w:val="00900DF2"/>
    <w:rsid w:val="00900EA5"/>
    <w:rsid w:val="00901435"/>
    <w:rsid w:val="009017F8"/>
    <w:rsid w:val="009018DA"/>
    <w:rsid w:val="00901D34"/>
    <w:rsid w:val="00901FF9"/>
    <w:rsid w:val="00902004"/>
    <w:rsid w:val="009020A0"/>
    <w:rsid w:val="009020F9"/>
    <w:rsid w:val="00902286"/>
    <w:rsid w:val="00902638"/>
    <w:rsid w:val="00902726"/>
    <w:rsid w:val="0090293D"/>
    <w:rsid w:val="00902C26"/>
    <w:rsid w:val="00902C5F"/>
    <w:rsid w:val="00902D39"/>
    <w:rsid w:val="00902F3F"/>
    <w:rsid w:val="0090314E"/>
    <w:rsid w:val="0090315A"/>
    <w:rsid w:val="0090334B"/>
    <w:rsid w:val="0090349C"/>
    <w:rsid w:val="009035FD"/>
    <w:rsid w:val="00903776"/>
    <w:rsid w:val="009037CE"/>
    <w:rsid w:val="00903A26"/>
    <w:rsid w:val="00904490"/>
    <w:rsid w:val="00904938"/>
    <w:rsid w:val="00904C21"/>
    <w:rsid w:val="00904D27"/>
    <w:rsid w:val="00904DA0"/>
    <w:rsid w:val="009054C6"/>
    <w:rsid w:val="00905676"/>
    <w:rsid w:val="009056DE"/>
    <w:rsid w:val="00905ADF"/>
    <w:rsid w:val="00905B15"/>
    <w:rsid w:val="00905B6F"/>
    <w:rsid w:val="0090609C"/>
    <w:rsid w:val="009060D4"/>
    <w:rsid w:val="00906255"/>
    <w:rsid w:val="00906289"/>
    <w:rsid w:val="00906429"/>
    <w:rsid w:val="00906526"/>
    <w:rsid w:val="009065A7"/>
    <w:rsid w:val="00906702"/>
    <w:rsid w:val="00906B05"/>
    <w:rsid w:val="00906CF8"/>
    <w:rsid w:val="00906D5E"/>
    <w:rsid w:val="00906D9C"/>
    <w:rsid w:val="00906FA4"/>
    <w:rsid w:val="009070A8"/>
    <w:rsid w:val="00907625"/>
    <w:rsid w:val="0090767E"/>
    <w:rsid w:val="00907B14"/>
    <w:rsid w:val="00907BEF"/>
    <w:rsid w:val="00907CC9"/>
    <w:rsid w:val="00907E44"/>
    <w:rsid w:val="00907E67"/>
    <w:rsid w:val="00910022"/>
    <w:rsid w:val="009101A8"/>
    <w:rsid w:val="0091023F"/>
    <w:rsid w:val="00910341"/>
    <w:rsid w:val="00910409"/>
    <w:rsid w:val="00910423"/>
    <w:rsid w:val="0091075E"/>
    <w:rsid w:val="00910C32"/>
    <w:rsid w:val="00910CE8"/>
    <w:rsid w:val="00910CEB"/>
    <w:rsid w:val="00910E61"/>
    <w:rsid w:val="00910E65"/>
    <w:rsid w:val="00910EE5"/>
    <w:rsid w:val="00910F72"/>
    <w:rsid w:val="009110F1"/>
    <w:rsid w:val="00911195"/>
    <w:rsid w:val="00911371"/>
    <w:rsid w:val="00911B1F"/>
    <w:rsid w:val="00911B8C"/>
    <w:rsid w:val="00911BFA"/>
    <w:rsid w:val="00911C9A"/>
    <w:rsid w:val="00911D60"/>
    <w:rsid w:val="00911DB9"/>
    <w:rsid w:val="00911DE7"/>
    <w:rsid w:val="00911E20"/>
    <w:rsid w:val="00911EC9"/>
    <w:rsid w:val="009123A1"/>
    <w:rsid w:val="009126D5"/>
    <w:rsid w:val="00912774"/>
    <w:rsid w:val="009128E0"/>
    <w:rsid w:val="00912B4C"/>
    <w:rsid w:val="00912E70"/>
    <w:rsid w:val="00912E8E"/>
    <w:rsid w:val="00912EEE"/>
    <w:rsid w:val="00913028"/>
    <w:rsid w:val="009131B5"/>
    <w:rsid w:val="00913271"/>
    <w:rsid w:val="0091327C"/>
    <w:rsid w:val="00913382"/>
    <w:rsid w:val="009134D6"/>
    <w:rsid w:val="00913637"/>
    <w:rsid w:val="00913B23"/>
    <w:rsid w:val="00913E6A"/>
    <w:rsid w:val="00914219"/>
    <w:rsid w:val="0091431F"/>
    <w:rsid w:val="0091442C"/>
    <w:rsid w:val="009145D3"/>
    <w:rsid w:val="00914658"/>
    <w:rsid w:val="009146E2"/>
    <w:rsid w:val="0091492C"/>
    <w:rsid w:val="00914957"/>
    <w:rsid w:val="00914A58"/>
    <w:rsid w:val="00914C18"/>
    <w:rsid w:val="00914C6A"/>
    <w:rsid w:val="00914C84"/>
    <w:rsid w:val="00915322"/>
    <w:rsid w:val="00915367"/>
    <w:rsid w:val="009154A7"/>
    <w:rsid w:val="0091554D"/>
    <w:rsid w:val="0091561A"/>
    <w:rsid w:val="009156D6"/>
    <w:rsid w:val="0091578B"/>
    <w:rsid w:val="00915856"/>
    <w:rsid w:val="0091593A"/>
    <w:rsid w:val="00915974"/>
    <w:rsid w:val="00915AB7"/>
    <w:rsid w:val="00915BD3"/>
    <w:rsid w:val="00915BFD"/>
    <w:rsid w:val="00915F05"/>
    <w:rsid w:val="00916219"/>
    <w:rsid w:val="00916231"/>
    <w:rsid w:val="009163C1"/>
    <w:rsid w:val="009164E1"/>
    <w:rsid w:val="009166E1"/>
    <w:rsid w:val="0091699D"/>
    <w:rsid w:val="00916C3D"/>
    <w:rsid w:val="00916CD3"/>
    <w:rsid w:val="00916CEB"/>
    <w:rsid w:val="00916E65"/>
    <w:rsid w:val="00916E7D"/>
    <w:rsid w:val="009174D0"/>
    <w:rsid w:val="0091751A"/>
    <w:rsid w:val="00917546"/>
    <w:rsid w:val="00917657"/>
    <w:rsid w:val="0091765D"/>
    <w:rsid w:val="009177CE"/>
    <w:rsid w:val="009178A9"/>
    <w:rsid w:val="00917919"/>
    <w:rsid w:val="00917BD0"/>
    <w:rsid w:val="00917DEB"/>
    <w:rsid w:val="00917E0E"/>
    <w:rsid w:val="00917E73"/>
    <w:rsid w:val="00920112"/>
    <w:rsid w:val="00920172"/>
    <w:rsid w:val="00920215"/>
    <w:rsid w:val="0092073F"/>
    <w:rsid w:val="00920A83"/>
    <w:rsid w:val="00920FA4"/>
    <w:rsid w:val="0092138C"/>
    <w:rsid w:val="0092147B"/>
    <w:rsid w:val="009214B4"/>
    <w:rsid w:val="009214C1"/>
    <w:rsid w:val="009214D4"/>
    <w:rsid w:val="00921518"/>
    <w:rsid w:val="00921629"/>
    <w:rsid w:val="0092162E"/>
    <w:rsid w:val="009217CC"/>
    <w:rsid w:val="009218CF"/>
    <w:rsid w:val="00921C61"/>
    <w:rsid w:val="00921E07"/>
    <w:rsid w:val="00921FE2"/>
    <w:rsid w:val="00922034"/>
    <w:rsid w:val="009220D1"/>
    <w:rsid w:val="009221EA"/>
    <w:rsid w:val="009222DB"/>
    <w:rsid w:val="00922796"/>
    <w:rsid w:val="00922995"/>
    <w:rsid w:val="00922B26"/>
    <w:rsid w:val="00922C7B"/>
    <w:rsid w:val="00922D9F"/>
    <w:rsid w:val="00922EE0"/>
    <w:rsid w:val="00922F15"/>
    <w:rsid w:val="00922FCD"/>
    <w:rsid w:val="00923167"/>
    <w:rsid w:val="0092336A"/>
    <w:rsid w:val="009235E4"/>
    <w:rsid w:val="009236B9"/>
    <w:rsid w:val="0092396F"/>
    <w:rsid w:val="00923DB8"/>
    <w:rsid w:val="00923F91"/>
    <w:rsid w:val="0092402E"/>
    <w:rsid w:val="00924836"/>
    <w:rsid w:val="009248C2"/>
    <w:rsid w:val="00924959"/>
    <w:rsid w:val="00924A1D"/>
    <w:rsid w:val="00924BE3"/>
    <w:rsid w:val="00924ED3"/>
    <w:rsid w:val="0092519A"/>
    <w:rsid w:val="009251B1"/>
    <w:rsid w:val="009256A9"/>
    <w:rsid w:val="009257B5"/>
    <w:rsid w:val="009257DA"/>
    <w:rsid w:val="009259EE"/>
    <w:rsid w:val="00925A4C"/>
    <w:rsid w:val="00925C3E"/>
    <w:rsid w:val="00925EE0"/>
    <w:rsid w:val="00926053"/>
    <w:rsid w:val="00926089"/>
    <w:rsid w:val="009262E2"/>
    <w:rsid w:val="009263F7"/>
    <w:rsid w:val="00926600"/>
    <w:rsid w:val="009266B0"/>
    <w:rsid w:val="009266DB"/>
    <w:rsid w:val="009268B3"/>
    <w:rsid w:val="00926D46"/>
    <w:rsid w:val="00926DCA"/>
    <w:rsid w:val="00926E55"/>
    <w:rsid w:val="00926F30"/>
    <w:rsid w:val="0092708C"/>
    <w:rsid w:val="009271CB"/>
    <w:rsid w:val="009274D6"/>
    <w:rsid w:val="0092768F"/>
    <w:rsid w:val="009276DE"/>
    <w:rsid w:val="00927775"/>
    <w:rsid w:val="009279F3"/>
    <w:rsid w:val="00927ADF"/>
    <w:rsid w:val="00927DAE"/>
    <w:rsid w:val="00930151"/>
    <w:rsid w:val="00930236"/>
    <w:rsid w:val="009302F4"/>
    <w:rsid w:val="00930477"/>
    <w:rsid w:val="00930480"/>
    <w:rsid w:val="009306AD"/>
    <w:rsid w:val="00930893"/>
    <w:rsid w:val="009309DD"/>
    <w:rsid w:val="00930B31"/>
    <w:rsid w:val="00930C47"/>
    <w:rsid w:val="00931000"/>
    <w:rsid w:val="009311FD"/>
    <w:rsid w:val="009311FF"/>
    <w:rsid w:val="009313F7"/>
    <w:rsid w:val="00931952"/>
    <w:rsid w:val="009323D5"/>
    <w:rsid w:val="009328C3"/>
    <w:rsid w:val="00932921"/>
    <w:rsid w:val="00932CAB"/>
    <w:rsid w:val="00932D8C"/>
    <w:rsid w:val="009330D3"/>
    <w:rsid w:val="0093340A"/>
    <w:rsid w:val="00933493"/>
    <w:rsid w:val="009335A5"/>
    <w:rsid w:val="0093360D"/>
    <w:rsid w:val="009338E6"/>
    <w:rsid w:val="00933C05"/>
    <w:rsid w:val="00933DB4"/>
    <w:rsid w:val="00933F16"/>
    <w:rsid w:val="00933F62"/>
    <w:rsid w:val="0093444A"/>
    <w:rsid w:val="0093459F"/>
    <w:rsid w:val="009345A4"/>
    <w:rsid w:val="00934747"/>
    <w:rsid w:val="00934A57"/>
    <w:rsid w:val="00934C18"/>
    <w:rsid w:val="00934F4C"/>
    <w:rsid w:val="009351A3"/>
    <w:rsid w:val="00935215"/>
    <w:rsid w:val="00935662"/>
    <w:rsid w:val="00935D67"/>
    <w:rsid w:val="00935DAD"/>
    <w:rsid w:val="00935F56"/>
    <w:rsid w:val="0093614D"/>
    <w:rsid w:val="009361E5"/>
    <w:rsid w:val="0093645E"/>
    <w:rsid w:val="00936786"/>
    <w:rsid w:val="009369C6"/>
    <w:rsid w:val="00936B8B"/>
    <w:rsid w:val="00936C91"/>
    <w:rsid w:val="00936E7F"/>
    <w:rsid w:val="00937016"/>
    <w:rsid w:val="009370A6"/>
    <w:rsid w:val="009371B9"/>
    <w:rsid w:val="009371ED"/>
    <w:rsid w:val="00937830"/>
    <w:rsid w:val="00937E94"/>
    <w:rsid w:val="00940238"/>
    <w:rsid w:val="009403A8"/>
    <w:rsid w:val="0094053D"/>
    <w:rsid w:val="00940604"/>
    <w:rsid w:val="009406B8"/>
    <w:rsid w:val="00940918"/>
    <w:rsid w:val="00940D64"/>
    <w:rsid w:val="00940DD8"/>
    <w:rsid w:val="00940FDB"/>
    <w:rsid w:val="00941252"/>
    <w:rsid w:val="00941326"/>
    <w:rsid w:val="00941428"/>
    <w:rsid w:val="00941554"/>
    <w:rsid w:val="00941973"/>
    <w:rsid w:val="009419FA"/>
    <w:rsid w:val="00941D49"/>
    <w:rsid w:val="00941DB5"/>
    <w:rsid w:val="00941DDA"/>
    <w:rsid w:val="00941F8F"/>
    <w:rsid w:val="00941FB3"/>
    <w:rsid w:val="00941FF0"/>
    <w:rsid w:val="00942320"/>
    <w:rsid w:val="009423D6"/>
    <w:rsid w:val="0094246C"/>
    <w:rsid w:val="009425EE"/>
    <w:rsid w:val="00942779"/>
    <w:rsid w:val="00942861"/>
    <w:rsid w:val="00942949"/>
    <w:rsid w:val="00942A15"/>
    <w:rsid w:val="00942CB8"/>
    <w:rsid w:val="00942D72"/>
    <w:rsid w:val="00942EA0"/>
    <w:rsid w:val="0094305A"/>
    <w:rsid w:val="009432D7"/>
    <w:rsid w:val="009432DB"/>
    <w:rsid w:val="0094354A"/>
    <w:rsid w:val="0094365F"/>
    <w:rsid w:val="009437B6"/>
    <w:rsid w:val="00943909"/>
    <w:rsid w:val="009439E6"/>
    <w:rsid w:val="00943C98"/>
    <w:rsid w:val="00943D91"/>
    <w:rsid w:val="00943DD6"/>
    <w:rsid w:val="00943E13"/>
    <w:rsid w:val="00944594"/>
    <w:rsid w:val="0094468F"/>
    <w:rsid w:val="00944750"/>
    <w:rsid w:val="00944788"/>
    <w:rsid w:val="009448C0"/>
    <w:rsid w:val="009449E3"/>
    <w:rsid w:val="00944B36"/>
    <w:rsid w:val="00944C80"/>
    <w:rsid w:val="00944CEC"/>
    <w:rsid w:val="00944D63"/>
    <w:rsid w:val="00944E7F"/>
    <w:rsid w:val="00944FCE"/>
    <w:rsid w:val="00945168"/>
    <w:rsid w:val="00945249"/>
    <w:rsid w:val="0094527C"/>
    <w:rsid w:val="00945488"/>
    <w:rsid w:val="00945906"/>
    <w:rsid w:val="00945941"/>
    <w:rsid w:val="00945BB7"/>
    <w:rsid w:val="00945DA0"/>
    <w:rsid w:val="0094606D"/>
    <w:rsid w:val="009462D8"/>
    <w:rsid w:val="009462E3"/>
    <w:rsid w:val="009466D8"/>
    <w:rsid w:val="009466E2"/>
    <w:rsid w:val="00946742"/>
    <w:rsid w:val="0094688E"/>
    <w:rsid w:val="0094695D"/>
    <w:rsid w:val="00946BCD"/>
    <w:rsid w:val="0094732D"/>
    <w:rsid w:val="009473F6"/>
    <w:rsid w:val="009475FA"/>
    <w:rsid w:val="009476DC"/>
    <w:rsid w:val="00947851"/>
    <w:rsid w:val="00947ABD"/>
    <w:rsid w:val="00947BDA"/>
    <w:rsid w:val="00947C71"/>
    <w:rsid w:val="00947C7D"/>
    <w:rsid w:val="00950099"/>
    <w:rsid w:val="0095030F"/>
    <w:rsid w:val="0095041C"/>
    <w:rsid w:val="00950624"/>
    <w:rsid w:val="009506FF"/>
    <w:rsid w:val="00950741"/>
    <w:rsid w:val="00950988"/>
    <w:rsid w:val="00950C49"/>
    <w:rsid w:val="00950E45"/>
    <w:rsid w:val="00950E56"/>
    <w:rsid w:val="00950EF5"/>
    <w:rsid w:val="00950F2C"/>
    <w:rsid w:val="00950F50"/>
    <w:rsid w:val="0095105C"/>
    <w:rsid w:val="00951135"/>
    <w:rsid w:val="009511E9"/>
    <w:rsid w:val="00951343"/>
    <w:rsid w:val="0095141D"/>
    <w:rsid w:val="00951576"/>
    <w:rsid w:val="00951789"/>
    <w:rsid w:val="00951797"/>
    <w:rsid w:val="0095189C"/>
    <w:rsid w:val="00951DC7"/>
    <w:rsid w:val="00951E42"/>
    <w:rsid w:val="00951EAA"/>
    <w:rsid w:val="00952315"/>
    <w:rsid w:val="009526D7"/>
    <w:rsid w:val="0095278F"/>
    <w:rsid w:val="00952859"/>
    <w:rsid w:val="00952DEF"/>
    <w:rsid w:val="00952F6F"/>
    <w:rsid w:val="009531F6"/>
    <w:rsid w:val="009534C1"/>
    <w:rsid w:val="009535BA"/>
    <w:rsid w:val="009535DD"/>
    <w:rsid w:val="0095364D"/>
    <w:rsid w:val="00953B7B"/>
    <w:rsid w:val="00953CAA"/>
    <w:rsid w:val="00953D14"/>
    <w:rsid w:val="00953E95"/>
    <w:rsid w:val="00953F37"/>
    <w:rsid w:val="00953F3B"/>
    <w:rsid w:val="00954274"/>
    <w:rsid w:val="0095430D"/>
    <w:rsid w:val="0095433B"/>
    <w:rsid w:val="00954414"/>
    <w:rsid w:val="009544EF"/>
    <w:rsid w:val="00954791"/>
    <w:rsid w:val="009547B7"/>
    <w:rsid w:val="0095482B"/>
    <w:rsid w:val="00954BFE"/>
    <w:rsid w:val="00954E90"/>
    <w:rsid w:val="00955087"/>
    <w:rsid w:val="009550D8"/>
    <w:rsid w:val="0095513E"/>
    <w:rsid w:val="00955481"/>
    <w:rsid w:val="009555D0"/>
    <w:rsid w:val="00955901"/>
    <w:rsid w:val="00955A3B"/>
    <w:rsid w:val="00955BB8"/>
    <w:rsid w:val="00955BBF"/>
    <w:rsid w:val="00955F5A"/>
    <w:rsid w:val="00955F9B"/>
    <w:rsid w:val="0095644C"/>
    <w:rsid w:val="009564CE"/>
    <w:rsid w:val="0095653E"/>
    <w:rsid w:val="00956827"/>
    <w:rsid w:val="009568C6"/>
    <w:rsid w:val="009569C5"/>
    <w:rsid w:val="00956ACD"/>
    <w:rsid w:val="00956FF9"/>
    <w:rsid w:val="009570EE"/>
    <w:rsid w:val="00957463"/>
    <w:rsid w:val="0095757A"/>
    <w:rsid w:val="00957978"/>
    <w:rsid w:val="00957CD7"/>
    <w:rsid w:val="00957F5A"/>
    <w:rsid w:val="009600CF"/>
    <w:rsid w:val="00960129"/>
    <w:rsid w:val="0096018D"/>
    <w:rsid w:val="0096019C"/>
    <w:rsid w:val="0096029D"/>
    <w:rsid w:val="00960373"/>
    <w:rsid w:val="0096079E"/>
    <w:rsid w:val="0096082C"/>
    <w:rsid w:val="0096083C"/>
    <w:rsid w:val="0096090C"/>
    <w:rsid w:val="0096098B"/>
    <w:rsid w:val="00960A69"/>
    <w:rsid w:val="00960B05"/>
    <w:rsid w:val="00960C79"/>
    <w:rsid w:val="00960EF1"/>
    <w:rsid w:val="00961272"/>
    <w:rsid w:val="00961396"/>
    <w:rsid w:val="009613E5"/>
    <w:rsid w:val="0096160D"/>
    <w:rsid w:val="009617EA"/>
    <w:rsid w:val="0096181D"/>
    <w:rsid w:val="00961884"/>
    <w:rsid w:val="0096196F"/>
    <w:rsid w:val="00961AF7"/>
    <w:rsid w:val="00961E53"/>
    <w:rsid w:val="00962015"/>
    <w:rsid w:val="009621FC"/>
    <w:rsid w:val="009623F5"/>
    <w:rsid w:val="00962843"/>
    <w:rsid w:val="00962D0C"/>
    <w:rsid w:val="00962D32"/>
    <w:rsid w:val="00962D49"/>
    <w:rsid w:val="00962EC9"/>
    <w:rsid w:val="009630E2"/>
    <w:rsid w:val="009634E5"/>
    <w:rsid w:val="0096352C"/>
    <w:rsid w:val="009635CF"/>
    <w:rsid w:val="00963A9A"/>
    <w:rsid w:val="00963BB9"/>
    <w:rsid w:val="00963E3E"/>
    <w:rsid w:val="00963F14"/>
    <w:rsid w:val="0096405E"/>
    <w:rsid w:val="00964186"/>
    <w:rsid w:val="00964228"/>
    <w:rsid w:val="0096468D"/>
    <w:rsid w:val="00964708"/>
    <w:rsid w:val="00964971"/>
    <w:rsid w:val="00964BCB"/>
    <w:rsid w:val="00964CC0"/>
    <w:rsid w:val="00964E3E"/>
    <w:rsid w:val="00964E7A"/>
    <w:rsid w:val="00964ECF"/>
    <w:rsid w:val="009650A5"/>
    <w:rsid w:val="00965219"/>
    <w:rsid w:val="00965285"/>
    <w:rsid w:val="0096552C"/>
    <w:rsid w:val="0096556F"/>
    <w:rsid w:val="00965884"/>
    <w:rsid w:val="00965B75"/>
    <w:rsid w:val="00965CA9"/>
    <w:rsid w:val="00965D87"/>
    <w:rsid w:val="009661BA"/>
    <w:rsid w:val="00966450"/>
    <w:rsid w:val="00966460"/>
    <w:rsid w:val="0096663B"/>
    <w:rsid w:val="00966652"/>
    <w:rsid w:val="00966A49"/>
    <w:rsid w:val="00966F91"/>
    <w:rsid w:val="00966FB6"/>
    <w:rsid w:val="0096724E"/>
    <w:rsid w:val="009673D7"/>
    <w:rsid w:val="00967527"/>
    <w:rsid w:val="009675CE"/>
    <w:rsid w:val="00967828"/>
    <w:rsid w:val="0096793C"/>
    <w:rsid w:val="00967C36"/>
    <w:rsid w:val="00967CD4"/>
    <w:rsid w:val="00967EBF"/>
    <w:rsid w:val="009700F6"/>
    <w:rsid w:val="0097027B"/>
    <w:rsid w:val="009702C7"/>
    <w:rsid w:val="009704F8"/>
    <w:rsid w:val="0097059B"/>
    <w:rsid w:val="00970B42"/>
    <w:rsid w:val="00970BB6"/>
    <w:rsid w:val="00970D5B"/>
    <w:rsid w:val="00970E96"/>
    <w:rsid w:val="00971021"/>
    <w:rsid w:val="0097103C"/>
    <w:rsid w:val="00971482"/>
    <w:rsid w:val="0097195D"/>
    <w:rsid w:val="00971DC6"/>
    <w:rsid w:val="00972056"/>
    <w:rsid w:val="009721BE"/>
    <w:rsid w:val="009722EF"/>
    <w:rsid w:val="00972486"/>
    <w:rsid w:val="0097254E"/>
    <w:rsid w:val="00972705"/>
    <w:rsid w:val="00972774"/>
    <w:rsid w:val="009727D8"/>
    <w:rsid w:val="0097296B"/>
    <w:rsid w:val="00972B0F"/>
    <w:rsid w:val="00972DEF"/>
    <w:rsid w:val="00973040"/>
    <w:rsid w:val="00973077"/>
    <w:rsid w:val="009731DC"/>
    <w:rsid w:val="00973299"/>
    <w:rsid w:val="009732CD"/>
    <w:rsid w:val="009735FF"/>
    <w:rsid w:val="00973701"/>
    <w:rsid w:val="00973B93"/>
    <w:rsid w:val="00973C17"/>
    <w:rsid w:val="00973CC9"/>
    <w:rsid w:val="00973EB5"/>
    <w:rsid w:val="0097410A"/>
    <w:rsid w:val="00974515"/>
    <w:rsid w:val="00974584"/>
    <w:rsid w:val="009746D7"/>
    <w:rsid w:val="0097497C"/>
    <w:rsid w:val="00974BD5"/>
    <w:rsid w:val="009751A2"/>
    <w:rsid w:val="009751B4"/>
    <w:rsid w:val="009753AA"/>
    <w:rsid w:val="0097554D"/>
    <w:rsid w:val="00975674"/>
    <w:rsid w:val="00975697"/>
    <w:rsid w:val="009756C9"/>
    <w:rsid w:val="00975AB9"/>
    <w:rsid w:val="00975BDB"/>
    <w:rsid w:val="00975F13"/>
    <w:rsid w:val="0097629E"/>
    <w:rsid w:val="009764F5"/>
    <w:rsid w:val="009767A8"/>
    <w:rsid w:val="009767F3"/>
    <w:rsid w:val="00976AA8"/>
    <w:rsid w:val="00976B03"/>
    <w:rsid w:val="00976B72"/>
    <w:rsid w:val="00976B7E"/>
    <w:rsid w:val="00976E9A"/>
    <w:rsid w:val="00976FC1"/>
    <w:rsid w:val="00977540"/>
    <w:rsid w:val="00977658"/>
    <w:rsid w:val="0097778E"/>
    <w:rsid w:val="00977A26"/>
    <w:rsid w:val="00977A34"/>
    <w:rsid w:val="00977B54"/>
    <w:rsid w:val="00977BB5"/>
    <w:rsid w:val="00977CA6"/>
    <w:rsid w:val="00980259"/>
    <w:rsid w:val="00980307"/>
    <w:rsid w:val="0098049C"/>
    <w:rsid w:val="0098065E"/>
    <w:rsid w:val="00980781"/>
    <w:rsid w:val="00980792"/>
    <w:rsid w:val="009808A2"/>
    <w:rsid w:val="0098092A"/>
    <w:rsid w:val="00980BE8"/>
    <w:rsid w:val="00980BF8"/>
    <w:rsid w:val="00980F3E"/>
    <w:rsid w:val="00980F8A"/>
    <w:rsid w:val="00980FC6"/>
    <w:rsid w:val="009810E5"/>
    <w:rsid w:val="00981492"/>
    <w:rsid w:val="009815F4"/>
    <w:rsid w:val="00981753"/>
    <w:rsid w:val="00981E04"/>
    <w:rsid w:val="00981E78"/>
    <w:rsid w:val="00981F6D"/>
    <w:rsid w:val="00982280"/>
    <w:rsid w:val="009822F3"/>
    <w:rsid w:val="009825EA"/>
    <w:rsid w:val="00982A35"/>
    <w:rsid w:val="00982A5C"/>
    <w:rsid w:val="00982CA9"/>
    <w:rsid w:val="00982DF0"/>
    <w:rsid w:val="00982E0B"/>
    <w:rsid w:val="00982EDC"/>
    <w:rsid w:val="00982FC4"/>
    <w:rsid w:val="009831AA"/>
    <w:rsid w:val="00983457"/>
    <w:rsid w:val="00983535"/>
    <w:rsid w:val="0098361A"/>
    <w:rsid w:val="00983732"/>
    <w:rsid w:val="0098380F"/>
    <w:rsid w:val="009838FD"/>
    <w:rsid w:val="00983C69"/>
    <w:rsid w:val="009841F2"/>
    <w:rsid w:val="0098449A"/>
    <w:rsid w:val="009844B1"/>
    <w:rsid w:val="00984794"/>
    <w:rsid w:val="009847C5"/>
    <w:rsid w:val="00984836"/>
    <w:rsid w:val="0098489E"/>
    <w:rsid w:val="00984A4B"/>
    <w:rsid w:val="00984ADB"/>
    <w:rsid w:val="00984C92"/>
    <w:rsid w:val="00984CD1"/>
    <w:rsid w:val="00985027"/>
    <w:rsid w:val="00985061"/>
    <w:rsid w:val="00985205"/>
    <w:rsid w:val="00985252"/>
    <w:rsid w:val="009852AA"/>
    <w:rsid w:val="009852EA"/>
    <w:rsid w:val="00985658"/>
    <w:rsid w:val="00985B76"/>
    <w:rsid w:val="00985ED0"/>
    <w:rsid w:val="00986014"/>
    <w:rsid w:val="00986099"/>
    <w:rsid w:val="0098617B"/>
    <w:rsid w:val="00986199"/>
    <w:rsid w:val="009862EB"/>
    <w:rsid w:val="00986444"/>
    <w:rsid w:val="00986447"/>
    <w:rsid w:val="00986528"/>
    <w:rsid w:val="009866DD"/>
    <w:rsid w:val="0098686C"/>
    <w:rsid w:val="00986B5F"/>
    <w:rsid w:val="00986ED9"/>
    <w:rsid w:val="009870C1"/>
    <w:rsid w:val="009871BA"/>
    <w:rsid w:val="0098721C"/>
    <w:rsid w:val="00987265"/>
    <w:rsid w:val="009875D7"/>
    <w:rsid w:val="009877F9"/>
    <w:rsid w:val="009878DD"/>
    <w:rsid w:val="0098796E"/>
    <w:rsid w:val="00987C05"/>
    <w:rsid w:val="00987DB5"/>
    <w:rsid w:val="00987E7D"/>
    <w:rsid w:val="00990258"/>
    <w:rsid w:val="009904A3"/>
    <w:rsid w:val="00990569"/>
    <w:rsid w:val="00990634"/>
    <w:rsid w:val="00990858"/>
    <w:rsid w:val="00990914"/>
    <w:rsid w:val="00990BB4"/>
    <w:rsid w:val="00990CDE"/>
    <w:rsid w:val="00990CFF"/>
    <w:rsid w:val="00990E98"/>
    <w:rsid w:val="00990F1E"/>
    <w:rsid w:val="0099108E"/>
    <w:rsid w:val="0099118B"/>
    <w:rsid w:val="00991522"/>
    <w:rsid w:val="0099152E"/>
    <w:rsid w:val="009919B2"/>
    <w:rsid w:val="00991A73"/>
    <w:rsid w:val="00991BDC"/>
    <w:rsid w:val="00991EB0"/>
    <w:rsid w:val="0099217A"/>
    <w:rsid w:val="009921A4"/>
    <w:rsid w:val="009923C8"/>
    <w:rsid w:val="00992470"/>
    <w:rsid w:val="00992524"/>
    <w:rsid w:val="00992628"/>
    <w:rsid w:val="009928FD"/>
    <w:rsid w:val="00992F66"/>
    <w:rsid w:val="00993357"/>
    <w:rsid w:val="0099347C"/>
    <w:rsid w:val="0099350E"/>
    <w:rsid w:val="009936D8"/>
    <w:rsid w:val="00993719"/>
    <w:rsid w:val="0099374F"/>
    <w:rsid w:val="0099380D"/>
    <w:rsid w:val="00993B36"/>
    <w:rsid w:val="00993FCB"/>
    <w:rsid w:val="00993FD5"/>
    <w:rsid w:val="0099418D"/>
    <w:rsid w:val="009942D5"/>
    <w:rsid w:val="00994680"/>
    <w:rsid w:val="0099476E"/>
    <w:rsid w:val="00994833"/>
    <w:rsid w:val="00994865"/>
    <w:rsid w:val="00994BF8"/>
    <w:rsid w:val="00994C00"/>
    <w:rsid w:val="00994CD9"/>
    <w:rsid w:val="009950C6"/>
    <w:rsid w:val="00995358"/>
    <w:rsid w:val="00995393"/>
    <w:rsid w:val="00995421"/>
    <w:rsid w:val="0099558E"/>
    <w:rsid w:val="009955A7"/>
    <w:rsid w:val="009955C7"/>
    <w:rsid w:val="00995AC5"/>
    <w:rsid w:val="009960E8"/>
    <w:rsid w:val="009961E9"/>
    <w:rsid w:val="00996246"/>
    <w:rsid w:val="00996524"/>
    <w:rsid w:val="0099669C"/>
    <w:rsid w:val="00996C45"/>
    <w:rsid w:val="00996CB5"/>
    <w:rsid w:val="00997681"/>
    <w:rsid w:val="009976FB"/>
    <w:rsid w:val="009978BA"/>
    <w:rsid w:val="00997ABB"/>
    <w:rsid w:val="00997B49"/>
    <w:rsid w:val="00997BDD"/>
    <w:rsid w:val="00997F84"/>
    <w:rsid w:val="009A00A6"/>
    <w:rsid w:val="009A00EF"/>
    <w:rsid w:val="009A038C"/>
    <w:rsid w:val="009A0421"/>
    <w:rsid w:val="009A095F"/>
    <w:rsid w:val="009A0964"/>
    <w:rsid w:val="009A09EB"/>
    <w:rsid w:val="009A0B71"/>
    <w:rsid w:val="009A0BA8"/>
    <w:rsid w:val="009A0FB9"/>
    <w:rsid w:val="009A1184"/>
    <w:rsid w:val="009A12C6"/>
    <w:rsid w:val="009A137F"/>
    <w:rsid w:val="009A1521"/>
    <w:rsid w:val="009A1692"/>
    <w:rsid w:val="009A17B7"/>
    <w:rsid w:val="009A1848"/>
    <w:rsid w:val="009A1879"/>
    <w:rsid w:val="009A18B0"/>
    <w:rsid w:val="009A1AB4"/>
    <w:rsid w:val="009A1FC5"/>
    <w:rsid w:val="009A20BA"/>
    <w:rsid w:val="009A228E"/>
    <w:rsid w:val="009A241F"/>
    <w:rsid w:val="009A25FE"/>
    <w:rsid w:val="009A2641"/>
    <w:rsid w:val="009A2663"/>
    <w:rsid w:val="009A2678"/>
    <w:rsid w:val="009A2BD8"/>
    <w:rsid w:val="009A2C00"/>
    <w:rsid w:val="009A2C74"/>
    <w:rsid w:val="009A2EA5"/>
    <w:rsid w:val="009A303D"/>
    <w:rsid w:val="009A332A"/>
    <w:rsid w:val="009A3401"/>
    <w:rsid w:val="009A371D"/>
    <w:rsid w:val="009A3864"/>
    <w:rsid w:val="009A3915"/>
    <w:rsid w:val="009A39B6"/>
    <w:rsid w:val="009A3BF7"/>
    <w:rsid w:val="009A419B"/>
    <w:rsid w:val="009A436C"/>
    <w:rsid w:val="009A43BE"/>
    <w:rsid w:val="009A44CB"/>
    <w:rsid w:val="009A4592"/>
    <w:rsid w:val="009A463D"/>
    <w:rsid w:val="009A478A"/>
    <w:rsid w:val="009A4F92"/>
    <w:rsid w:val="009A508C"/>
    <w:rsid w:val="009A53B6"/>
    <w:rsid w:val="009A53C5"/>
    <w:rsid w:val="009A5568"/>
    <w:rsid w:val="009A56F3"/>
    <w:rsid w:val="009A576D"/>
    <w:rsid w:val="009A5836"/>
    <w:rsid w:val="009A598B"/>
    <w:rsid w:val="009A5AC6"/>
    <w:rsid w:val="009A5E50"/>
    <w:rsid w:val="009A604A"/>
    <w:rsid w:val="009A638E"/>
    <w:rsid w:val="009A64C2"/>
    <w:rsid w:val="009A65CB"/>
    <w:rsid w:val="009A6C4E"/>
    <w:rsid w:val="009A6CE5"/>
    <w:rsid w:val="009A6E03"/>
    <w:rsid w:val="009A7058"/>
    <w:rsid w:val="009A7159"/>
    <w:rsid w:val="009A7297"/>
    <w:rsid w:val="009A7403"/>
    <w:rsid w:val="009A759A"/>
    <w:rsid w:val="009A76D6"/>
    <w:rsid w:val="009A76EE"/>
    <w:rsid w:val="009A7882"/>
    <w:rsid w:val="009A7DE7"/>
    <w:rsid w:val="009A7E34"/>
    <w:rsid w:val="009A7F06"/>
    <w:rsid w:val="009B0196"/>
    <w:rsid w:val="009B02E5"/>
    <w:rsid w:val="009B0791"/>
    <w:rsid w:val="009B085B"/>
    <w:rsid w:val="009B0916"/>
    <w:rsid w:val="009B0B6A"/>
    <w:rsid w:val="009B1343"/>
    <w:rsid w:val="009B1414"/>
    <w:rsid w:val="009B1AF8"/>
    <w:rsid w:val="009B1B11"/>
    <w:rsid w:val="009B1C3E"/>
    <w:rsid w:val="009B1C45"/>
    <w:rsid w:val="009B1FA6"/>
    <w:rsid w:val="009B2264"/>
    <w:rsid w:val="009B25AB"/>
    <w:rsid w:val="009B26D9"/>
    <w:rsid w:val="009B28F7"/>
    <w:rsid w:val="009B2CDF"/>
    <w:rsid w:val="009B2F95"/>
    <w:rsid w:val="009B2FC4"/>
    <w:rsid w:val="009B3009"/>
    <w:rsid w:val="009B31FA"/>
    <w:rsid w:val="009B34C4"/>
    <w:rsid w:val="009B3626"/>
    <w:rsid w:val="009B3698"/>
    <w:rsid w:val="009B378B"/>
    <w:rsid w:val="009B3803"/>
    <w:rsid w:val="009B3864"/>
    <w:rsid w:val="009B3BE2"/>
    <w:rsid w:val="009B3D98"/>
    <w:rsid w:val="009B412D"/>
    <w:rsid w:val="009B4197"/>
    <w:rsid w:val="009B41B0"/>
    <w:rsid w:val="009B41D4"/>
    <w:rsid w:val="009B433F"/>
    <w:rsid w:val="009B45BD"/>
    <w:rsid w:val="009B4620"/>
    <w:rsid w:val="009B4A19"/>
    <w:rsid w:val="009B4E7E"/>
    <w:rsid w:val="009B51E8"/>
    <w:rsid w:val="009B579C"/>
    <w:rsid w:val="009B58DB"/>
    <w:rsid w:val="009B594D"/>
    <w:rsid w:val="009B5F06"/>
    <w:rsid w:val="009B6234"/>
    <w:rsid w:val="009B6724"/>
    <w:rsid w:val="009B67F7"/>
    <w:rsid w:val="009B6A37"/>
    <w:rsid w:val="009B6A4A"/>
    <w:rsid w:val="009B6BED"/>
    <w:rsid w:val="009B6DF4"/>
    <w:rsid w:val="009B6EA5"/>
    <w:rsid w:val="009B6EAE"/>
    <w:rsid w:val="009B6F0A"/>
    <w:rsid w:val="009B7185"/>
    <w:rsid w:val="009B72F8"/>
    <w:rsid w:val="009B7472"/>
    <w:rsid w:val="009B7535"/>
    <w:rsid w:val="009B7C0F"/>
    <w:rsid w:val="009B7EA7"/>
    <w:rsid w:val="009B7EEE"/>
    <w:rsid w:val="009C0073"/>
    <w:rsid w:val="009C00A3"/>
    <w:rsid w:val="009C0109"/>
    <w:rsid w:val="009C013F"/>
    <w:rsid w:val="009C02E8"/>
    <w:rsid w:val="009C05ED"/>
    <w:rsid w:val="009C0904"/>
    <w:rsid w:val="009C0BDA"/>
    <w:rsid w:val="009C0CE0"/>
    <w:rsid w:val="009C0D71"/>
    <w:rsid w:val="009C1326"/>
    <w:rsid w:val="009C1377"/>
    <w:rsid w:val="009C14B6"/>
    <w:rsid w:val="009C17C5"/>
    <w:rsid w:val="009C1916"/>
    <w:rsid w:val="009C1C2A"/>
    <w:rsid w:val="009C1DA6"/>
    <w:rsid w:val="009C1DAF"/>
    <w:rsid w:val="009C1FCD"/>
    <w:rsid w:val="009C1FD2"/>
    <w:rsid w:val="009C20A8"/>
    <w:rsid w:val="009C212F"/>
    <w:rsid w:val="009C21CB"/>
    <w:rsid w:val="009C21CE"/>
    <w:rsid w:val="009C2423"/>
    <w:rsid w:val="009C2463"/>
    <w:rsid w:val="009C2522"/>
    <w:rsid w:val="009C27D7"/>
    <w:rsid w:val="009C2B33"/>
    <w:rsid w:val="009C2C4D"/>
    <w:rsid w:val="009C2D7F"/>
    <w:rsid w:val="009C2DF8"/>
    <w:rsid w:val="009C318D"/>
    <w:rsid w:val="009C3520"/>
    <w:rsid w:val="009C37AC"/>
    <w:rsid w:val="009C37F7"/>
    <w:rsid w:val="009C3845"/>
    <w:rsid w:val="009C3D21"/>
    <w:rsid w:val="009C3D81"/>
    <w:rsid w:val="009C402B"/>
    <w:rsid w:val="009C438C"/>
    <w:rsid w:val="009C44A9"/>
    <w:rsid w:val="009C44E1"/>
    <w:rsid w:val="009C4714"/>
    <w:rsid w:val="009C490A"/>
    <w:rsid w:val="009C4972"/>
    <w:rsid w:val="009C4CCF"/>
    <w:rsid w:val="009C5119"/>
    <w:rsid w:val="009C55B1"/>
    <w:rsid w:val="009C5E27"/>
    <w:rsid w:val="009C633F"/>
    <w:rsid w:val="009C67D9"/>
    <w:rsid w:val="009C6D29"/>
    <w:rsid w:val="009C6E17"/>
    <w:rsid w:val="009C6E89"/>
    <w:rsid w:val="009C7166"/>
    <w:rsid w:val="009C71BE"/>
    <w:rsid w:val="009C73EB"/>
    <w:rsid w:val="009C741E"/>
    <w:rsid w:val="009C75CF"/>
    <w:rsid w:val="009C76DC"/>
    <w:rsid w:val="009C7898"/>
    <w:rsid w:val="009C78FB"/>
    <w:rsid w:val="009C7A89"/>
    <w:rsid w:val="009C7C49"/>
    <w:rsid w:val="009C7E50"/>
    <w:rsid w:val="009C7EA2"/>
    <w:rsid w:val="009D003B"/>
    <w:rsid w:val="009D0421"/>
    <w:rsid w:val="009D05A7"/>
    <w:rsid w:val="009D09AF"/>
    <w:rsid w:val="009D0A06"/>
    <w:rsid w:val="009D0A85"/>
    <w:rsid w:val="009D0D1C"/>
    <w:rsid w:val="009D0E1F"/>
    <w:rsid w:val="009D0E7F"/>
    <w:rsid w:val="009D10E6"/>
    <w:rsid w:val="009D14AB"/>
    <w:rsid w:val="009D1516"/>
    <w:rsid w:val="009D18E6"/>
    <w:rsid w:val="009D195F"/>
    <w:rsid w:val="009D1B63"/>
    <w:rsid w:val="009D1B6E"/>
    <w:rsid w:val="009D1BB9"/>
    <w:rsid w:val="009D1CE4"/>
    <w:rsid w:val="009D2080"/>
    <w:rsid w:val="009D20A5"/>
    <w:rsid w:val="009D20BF"/>
    <w:rsid w:val="009D2157"/>
    <w:rsid w:val="009D2184"/>
    <w:rsid w:val="009D263C"/>
    <w:rsid w:val="009D27E5"/>
    <w:rsid w:val="009D2854"/>
    <w:rsid w:val="009D2939"/>
    <w:rsid w:val="009D2C85"/>
    <w:rsid w:val="009D3006"/>
    <w:rsid w:val="009D3068"/>
    <w:rsid w:val="009D3276"/>
    <w:rsid w:val="009D35DB"/>
    <w:rsid w:val="009D38C9"/>
    <w:rsid w:val="009D3903"/>
    <w:rsid w:val="009D398A"/>
    <w:rsid w:val="009D3BBE"/>
    <w:rsid w:val="009D3E15"/>
    <w:rsid w:val="009D3F1E"/>
    <w:rsid w:val="009D425E"/>
    <w:rsid w:val="009D434D"/>
    <w:rsid w:val="009D461E"/>
    <w:rsid w:val="009D4DB6"/>
    <w:rsid w:val="009D566E"/>
    <w:rsid w:val="009D5860"/>
    <w:rsid w:val="009D594F"/>
    <w:rsid w:val="009D5B9E"/>
    <w:rsid w:val="009D5D94"/>
    <w:rsid w:val="009D5FA8"/>
    <w:rsid w:val="009D60DB"/>
    <w:rsid w:val="009D617A"/>
    <w:rsid w:val="009D6332"/>
    <w:rsid w:val="009D64D1"/>
    <w:rsid w:val="009D64F0"/>
    <w:rsid w:val="009D68A4"/>
    <w:rsid w:val="009D6A80"/>
    <w:rsid w:val="009D6AD5"/>
    <w:rsid w:val="009D6C0E"/>
    <w:rsid w:val="009D6CAC"/>
    <w:rsid w:val="009D6EFD"/>
    <w:rsid w:val="009D6F89"/>
    <w:rsid w:val="009D713F"/>
    <w:rsid w:val="009D73CB"/>
    <w:rsid w:val="009D741D"/>
    <w:rsid w:val="009D74D2"/>
    <w:rsid w:val="009D7698"/>
    <w:rsid w:val="009D774F"/>
    <w:rsid w:val="009D7BAF"/>
    <w:rsid w:val="009E017E"/>
    <w:rsid w:val="009E020D"/>
    <w:rsid w:val="009E02DF"/>
    <w:rsid w:val="009E0555"/>
    <w:rsid w:val="009E056F"/>
    <w:rsid w:val="009E089A"/>
    <w:rsid w:val="009E0D81"/>
    <w:rsid w:val="009E0D8B"/>
    <w:rsid w:val="009E0DA1"/>
    <w:rsid w:val="009E0DE7"/>
    <w:rsid w:val="009E0E88"/>
    <w:rsid w:val="009E0F5F"/>
    <w:rsid w:val="009E12F8"/>
    <w:rsid w:val="009E19CC"/>
    <w:rsid w:val="009E1AFF"/>
    <w:rsid w:val="009E1E7E"/>
    <w:rsid w:val="009E22E9"/>
    <w:rsid w:val="009E2520"/>
    <w:rsid w:val="009E259F"/>
    <w:rsid w:val="009E2670"/>
    <w:rsid w:val="009E27B4"/>
    <w:rsid w:val="009E2875"/>
    <w:rsid w:val="009E295B"/>
    <w:rsid w:val="009E2B27"/>
    <w:rsid w:val="009E2D6B"/>
    <w:rsid w:val="009E2E8F"/>
    <w:rsid w:val="009E30C8"/>
    <w:rsid w:val="009E32CA"/>
    <w:rsid w:val="009E33EE"/>
    <w:rsid w:val="009E34B2"/>
    <w:rsid w:val="009E352C"/>
    <w:rsid w:val="009E356A"/>
    <w:rsid w:val="009E35D5"/>
    <w:rsid w:val="009E3724"/>
    <w:rsid w:val="009E39FF"/>
    <w:rsid w:val="009E3A55"/>
    <w:rsid w:val="009E3BF5"/>
    <w:rsid w:val="009E3CC7"/>
    <w:rsid w:val="009E3E8A"/>
    <w:rsid w:val="009E3F63"/>
    <w:rsid w:val="009E4044"/>
    <w:rsid w:val="009E4537"/>
    <w:rsid w:val="009E4650"/>
    <w:rsid w:val="009E46F2"/>
    <w:rsid w:val="009E4E10"/>
    <w:rsid w:val="009E4E55"/>
    <w:rsid w:val="009E4FC3"/>
    <w:rsid w:val="009E4FD5"/>
    <w:rsid w:val="009E503B"/>
    <w:rsid w:val="009E5473"/>
    <w:rsid w:val="009E54FA"/>
    <w:rsid w:val="009E5730"/>
    <w:rsid w:val="009E585B"/>
    <w:rsid w:val="009E58AE"/>
    <w:rsid w:val="009E5A23"/>
    <w:rsid w:val="009E5A8C"/>
    <w:rsid w:val="009E5A99"/>
    <w:rsid w:val="009E5ADD"/>
    <w:rsid w:val="009E65E6"/>
    <w:rsid w:val="009E66F1"/>
    <w:rsid w:val="009E680A"/>
    <w:rsid w:val="009E6833"/>
    <w:rsid w:val="009E6861"/>
    <w:rsid w:val="009E68A7"/>
    <w:rsid w:val="009E6926"/>
    <w:rsid w:val="009E6A5A"/>
    <w:rsid w:val="009E6E31"/>
    <w:rsid w:val="009E6E41"/>
    <w:rsid w:val="009E6E52"/>
    <w:rsid w:val="009E6E6E"/>
    <w:rsid w:val="009E6F1D"/>
    <w:rsid w:val="009E6F2A"/>
    <w:rsid w:val="009E71B3"/>
    <w:rsid w:val="009E7226"/>
    <w:rsid w:val="009E7269"/>
    <w:rsid w:val="009E72EF"/>
    <w:rsid w:val="009E765C"/>
    <w:rsid w:val="009E7768"/>
    <w:rsid w:val="009E793B"/>
    <w:rsid w:val="009E7995"/>
    <w:rsid w:val="009E7E3E"/>
    <w:rsid w:val="009F0077"/>
    <w:rsid w:val="009F0676"/>
    <w:rsid w:val="009F084F"/>
    <w:rsid w:val="009F09BC"/>
    <w:rsid w:val="009F0F71"/>
    <w:rsid w:val="009F12DD"/>
    <w:rsid w:val="009F17B6"/>
    <w:rsid w:val="009F1826"/>
    <w:rsid w:val="009F18B5"/>
    <w:rsid w:val="009F1945"/>
    <w:rsid w:val="009F1F29"/>
    <w:rsid w:val="009F1FB5"/>
    <w:rsid w:val="009F206C"/>
    <w:rsid w:val="009F21D9"/>
    <w:rsid w:val="009F23A0"/>
    <w:rsid w:val="009F240D"/>
    <w:rsid w:val="009F25C2"/>
    <w:rsid w:val="009F2910"/>
    <w:rsid w:val="009F2B41"/>
    <w:rsid w:val="009F2D03"/>
    <w:rsid w:val="009F307C"/>
    <w:rsid w:val="009F367D"/>
    <w:rsid w:val="009F3736"/>
    <w:rsid w:val="009F373B"/>
    <w:rsid w:val="009F398A"/>
    <w:rsid w:val="009F3AA9"/>
    <w:rsid w:val="009F3C17"/>
    <w:rsid w:val="009F3EBA"/>
    <w:rsid w:val="009F3F6A"/>
    <w:rsid w:val="009F3FB2"/>
    <w:rsid w:val="009F3FDF"/>
    <w:rsid w:val="009F42E2"/>
    <w:rsid w:val="009F43AB"/>
    <w:rsid w:val="009F4405"/>
    <w:rsid w:val="009F4786"/>
    <w:rsid w:val="009F4888"/>
    <w:rsid w:val="009F48A8"/>
    <w:rsid w:val="009F4EDC"/>
    <w:rsid w:val="009F4F8D"/>
    <w:rsid w:val="009F50CD"/>
    <w:rsid w:val="009F51B4"/>
    <w:rsid w:val="009F554B"/>
    <w:rsid w:val="009F59B9"/>
    <w:rsid w:val="009F5EC1"/>
    <w:rsid w:val="009F6200"/>
    <w:rsid w:val="009F6310"/>
    <w:rsid w:val="009F6332"/>
    <w:rsid w:val="009F6342"/>
    <w:rsid w:val="009F6429"/>
    <w:rsid w:val="009F6537"/>
    <w:rsid w:val="009F6630"/>
    <w:rsid w:val="009F66B9"/>
    <w:rsid w:val="009F69F2"/>
    <w:rsid w:val="009F6B34"/>
    <w:rsid w:val="009F6F17"/>
    <w:rsid w:val="009F7100"/>
    <w:rsid w:val="009F71ED"/>
    <w:rsid w:val="009F75B2"/>
    <w:rsid w:val="009F77A1"/>
    <w:rsid w:val="009F77EA"/>
    <w:rsid w:val="009F7950"/>
    <w:rsid w:val="009F7A0A"/>
    <w:rsid w:val="009F7A65"/>
    <w:rsid w:val="009F7C46"/>
    <w:rsid w:val="009F7C74"/>
    <w:rsid w:val="009F7D28"/>
    <w:rsid w:val="009F7EAB"/>
    <w:rsid w:val="009F7FFC"/>
    <w:rsid w:val="00A000FA"/>
    <w:rsid w:val="00A001A8"/>
    <w:rsid w:val="00A0036F"/>
    <w:rsid w:val="00A003A1"/>
    <w:rsid w:val="00A00452"/>
    <w:rsid w:val="00A00744"/>
    <w:rsid w:val="00A00E9C"/>
    <w:rsid w:val="00A00ED8"/>
    <w:rsid w:val="00A0107A"/>
    <w:rsid w:val="00A011C7"/>
    <w:rsid w:val="00A01237"/>
    <w:rsid w:val="00A01951"/>
    <w:rsid w:val="00A019E4"/>
    <w:rsid w:val="00A01AA5"/>
    <w:rsid w:val="00A01B82"/>
    <w:rsid w:val="00A01B89"/>
    <w:rsid w:val="00A01B8B"/>
    <w:rsid w:val="00A01B9D"/>
    <w:rsid w:val="00A01D2F"/>
    <w:rsid w:val="00A01F85"/>
    <w:rsid w:val="00A021E8"/>
    <w:rsid w:val="00A02381"/>
    <w:rsid w:val="00A023E9"/>
    <w:rsid w:val="00A024BC"/>
    <w:rsid w:val="00A0258B"/>
    <w:rsid w:val="00A025C7"/>
    <w:rsid w:val="00A0287E"/>
    <w:rsid w:val="00A02A8D"/>
    <w:rsid w:val="00A02C0F"/>
    <w:rsid w:val="00A02CAF"/>
    <w:rsid w:val="00A02DA3"/>
    <w:rsid w:val="00A02EA7"/>
    <w:rsid w:val="00A02EF1"/>
    <w:rsid w:val="00A0321C"/>
    <w:rsid w:val="00A0334D"/>
    <w:rsid w:val="00A0335F"/>
    <w:rsid w:val="00A0373B"/>
    <w:rsid w:val="00A039D9"/>
    <w:rsid w:val="00A03C77"/>
    <w:rsid w:val="00A0408F"/>
    <w:rsid w:val="00A041DA"/>
    <w:rsid w:val="00A0420E"/>
    <w:rsid w:val="00A045E3"/>
    <w:rsid w:val="00A0462A"/>
    <w:rsid w:val="00A04771"/>
    <w:rsid w:val="00A0482C"/>
    <w:rsid w:val="00A048D2"/>
    <w:rsid w:val="00A04B6D"/>
    <w:rsid w:val="00A04C1D"/>
    <w:rsid w:val="00A04D55"/>
    <w:rsid w:val="00A04E2F"/>
    <w:rsid w:val="00A04E98"/>
    <w:rsid w:val="00A04FE7"/>
    <w:rsid w:val="00A050F5"/>
    <w:rsid w:val="00A051FB"/>
    <w:rsid w:val="00A0524E"/>
    <w:rsid w:val="00A058AF"/>
    <w:rsid w:val="00A06310"/>
    <w:rsid w:val="00A065E4"/>
    <w:rsid w:val="00A06C5F"/>
    <w:rsid w:val="00A06C66"/>
    <w:rsid w:val="00A06CA0"/>
    <w:rsid w:val="00A06CA2"/>
    <w:rsid w:val="00A06EF6"/>
    <w:rsid w:val="00A074F5"/>
    <w:rsid w:val="00A0753F"/>
    <w:rsid w:val="00A07569"/>
    <w:rsid w:val="00A0757D"/>
    <w:rsid w:val="00A075EA"/>
    <w:rsid w:val="00A07819"/>
    <w:rsid w:val="00A07868"/>
    <w:rsid w:val="00A07905"/>
    <w:rsid w:val="00A07E44"/>
    <w:rsid w:val="00A07E57"/>
    <w:rsid w:val="00A07EB4"/>
    <w:rsid w:val="00A100AB"/>
    <w:rsid w:val="00A101A5"/>
    <w:rsid w:val="00A106A7"/>
    <w:rsid w:val="00A106DE"/>
    <w:rsid w:val="00A10745"/>
    <w:rsid w:val="00A1090D"/>
    <w:rsid w:val="00A1098D"/>
    <w:rsid w:val="00A10AEC"/>
    <w:rsid w:val="00A10AED"/>
    <w:rsid w:val="00A10CFA"/>
    <w:rsid w:val="00A1144D"/>
    <w:rsid w:val="00A11467"/>
    <w:rsid w:val="00A116A2"/>
    <w:rsid w:val="00A118B3"/>
    <w:rsid w:val="00A11942"/>
    <w:rsid w:val="00A11C9E"/>
    <w:rsid w:val="00A11DD8"/>
    <w:rsid w:val="00A11F51"/>
    <w:rsid w:val="00A1213D"/>
    <w:rsid w:val="00A12270"/>
    <w:rsid w:val="00A122E3"/>
    <w:rsid w:val="00A123E4"/>
    <w:rsid w:val="00A125E4"/>
    <w:rsid w:val="00A12839"/>
    <w:rsid w:val="00A128D2"/>
    <w:rsid w:val="00A12926"/>
    <w:rsid w:val="00A12FDD"/>
    <w:rsid w:val="00A13082"/>
    <w:rsid w:val="00A130B8"/>
    <w:rsid w:val="00A131CB"/>
    <w:rsid w:val="00A13252"/>
    <w:rsid w:val="00A135CA"/>
    <w:rsid w:val="00A135D4"/>
    <w:rsid w:val="00A1362B"/>
    <w:rsid w:val="00A13769"/>
    <w:rsid w:val="00A1393F"/>
    <w:rsid w:val="00A13B76"/>
    <w:rsid w:val="00A13C78"/>
    <w:rsid w:val="00A13D8D"/>
    <w:rsid w:val="00A13EA2"/>
    <w:rsid w:val="00A13F3D"/>
    <w:rsid w:val="00A13FEF"/>
    <w:rsid w:val="00A14079"/>
    <w:rsid w:val="00A141AD"/>
    <w:rsid w:val="00A143A9"/>
    <w:rsid w:val="00A1477C"/>
    <w:rsid w:val="00A147D3"/>
    <w:rsid w:val="00A14AFC"/>
    <w:rsid w:val="00A14C6D"/>
    <w:rsid w:val="00A156A6"/>
    <w:rsid w:val="00A15856"/>
    <w:rsid w:val="00A1594A"/>
    <w:rsid w:val="00A15B23"/>
    <w:rsid w:val="00A15DF4"/>
    <w:rsid w:val="00A15E2A"/>
    <w:rsid w:val="00A15EFE"/>
    <w:rsid w:val="00A15F08"/>
    <w:rsid w:val="00A15F4E"/>
    <w:rsid w:val="00A15FEA"/>
    <w:rsid w:val="00A1608A"/>
    <w:rsid w:val="00A16095"/>
    <w:rsid w:val="00A161D5"/>
    <w:rsid w:val="00A16327"/>
    <w:rsid w:val="00A166CB"/>
    <w:rsid w:val="00A166EF"/>
    <w:rsid w:val="00A16895"/>
    <w:rsid w:val="00A16B59"/>
    <w:rsid w:val="00A16E62"/>
    <w:rsid w:val="00A16EF1"/>
    <w:rsid w:val="00A170DF"/>
    <w:rsid w:val="00A17186"/>
    <w:rsid w:val="00A17257"/>
    <w:rsid w:val="00A176E0"/>
    <w:rsid w:val="00A177D9"/>
    <w:rsid w:val="00A20087"/>
    <w:rsid w:val="00A206EB"/>
    <w:rsid w:val="00A20944"/>
    <w:rsid w:val="00A20993"/>
    <w:rsid w:val="00A20C22"/>
    <w:rsid w:val="00A20DD8"/>
    <w:rsid w:val="00A20DE3"/>
    <w:rsid w:val="00A20EDD"/>
    <w:rsid w:val="00A20F35"/>
    <w:rsid w:val="00A2108B"/>
    <w:rsid w:val="00A211BB"/>
    <w:rsid w:val="00A2140A"/>
    <w:rsid w:val="00A21457"/>
    <w:rsid w:val="00A2160F"/>
    <w:rsid w:val="00A2166D"/>
    <w:rsid w:val="00A21824"/>
    <w:rsid w:val="00A219BA"/>
    <w:rsid w:val="00A21D63"/>
    <w:rsid w:val="00A21E5F"/>
    <w:rsid w:val="00A21F9E"/>
    <w:rsid w:val="00A21FB5"/>
    <w:rsid w:val="00A221CA"/>
    <w:rsid w:val="00A2263E"/>
    <w:rsid w:val="00A22851"/>
    <w:rsid w:val="00A22D72"/>
    <w:rsid w:val="00A22F8E"/>
    <w:rsid w:val="00A2335A"/>
    <w:rsid w:val="00A23468"/>
    <w:rsid w:val="00A23761"/>
    <w:rsid w:val="00A23A69"/>
    <w:rsid w:val="00A23AFD"/>
    <w:rsid w:val="00A23DF3"/>
    <w:rsid w:val="00A24139"/>
    <w:rsid w:val="00A2421D"/>
    <w:rsid w:val="00A2428B"/>
    <w:rsid w:val="00A243A8"/>
    <w:rsid w:val="00A24705"/>
    <w:rsid w:val="00A24768"/>
    <w:rsid w:val="00A24C8A"/>
    <w:rsid w:val="00A25024"/>
    <w:rsid w:val="00A251CE"/>
    <w:rsid w:val="00A252F8"/>
    <w:rsid w:val="00A253F3"/>
    <w:rsid w:val="00A254E9"/>
    <w:rsid w:val="00A2554A"/>
    <w:rsid w:val="00A255BB"/>
    <w:rsid w:val="00A256D3"/>
    <w:rsid w:val="00A257F1"/>
    <w:rsid w:val="00A2580B"/>
    <w:rsid w:val="00A25915"/>
    <w:rsid w:val="00A25942"/>
    <w:rsid w:val="00A25963"/>
    <w:rsid w:val="00A25CE3"/>
    <w:rsid w:val="00A26205"/>
    <w:rsid w:val="00A266B9"/>
    <w:rsid w:val="00A266DD"/>
    <w:rsid w:val="00A26939"/>
    <w:rsid w:val="00A26980"/>
    <w:rsid w:val="00A26991"/>
    <w:rsid w:val="00A26B23"/>
    <w:rsid w:val="00A26B53"/>
    <w:rsid w:val="00A26DD9"/>
    <w:rsid w:val="00A26E4F"/>
    <w:rsid w:val="00A27546"/>
    <w:rsid w:val="00A27676"/>
    <w:rsid w:val="00A276C7"/>
    <w:rsid w:val="00A27908"/>
    <w:rsid w:val="00A27A2E"/>
    <w:rsid w:val="00A27A62"/>
    <w:rsid w:val="00A27A8E"/>
    <w:rsid w:val="00A27AA7"/>
    <w:rsid w:val="00A27D89"/>
    <w:rsid w:val="00A27E90"/>
    <w:rsid w:val="00A301B4"/>
    <w:rsid w:val="00A303D5"/>
    <w:rsid w:val="00A30485"/>
    <w:rsid w:val="00A3067D"/>
    <w:rsid w:val="00A306B0"/>
    <w:rsid w:val="00A30E5E"/>
    <w:rsid w:val="00A31025"/>
    <w:rsid w:val="00A310B5"/>
    <w:rsid w:val="00A311C4"/>
    <w:rsid w:val="00A311D2"/>
    <w:rsid w:val="00A31244"/>
    <w:rsid w:val="00A31597"/>
    <w:rsid w:val="00A3172F"/>
    <w:rsid w:val="00A318FD"/>
    <w:rsid w:val="00A31C06"/>
    <w:rsid w:val="00A31E68"/>
    <w:rsid w:val="00A32009"/>
    <w:rsid w:val="00A320BD"/>
    <w:rsid w:val="00A321C0"/>
    <w:rsid w:val="00A322A9"/>
    <w:rsid w:val="00A322E1"/>
    <w:rsid w:val="00A326BA"/>
    <w:rsid w:val="00A32813"/>
    <w:rsid w:val="00A32A91"/>
    <w:rsid w:val="00A32BBC"/>
    <w:rsid w:val="00A32C22"/>
    <w:rsid w:val="00A32DCF"/>
    <w:rsid w:val="00A33058"/>
    <w:rsid w:val="00A330E1"/>
    <w:rsid w:val="00A3311F"/>
    <w:rsid w:val="00A331AF"/>
    <w:rsid w:val="00A3355C"/>
    <w:rsid w:val="00A33588"/>
    <w:rsid w:val="00A336E8"/>
    <w:rsid w:val="00A338FA"/>
    <w:rsid w:val="00A33A58"/>
    <w:rsid w:val="00A33B27"/>
    <w:rsid w:val="00A33D8F"/>
    <w:rsid w:val="00A33E69"/>
    <w:rsid w:val="00A3428D"/>
    <w:rsid w:val="00A3483D"/>
    <w:rsid w:val="00A34CA4"/>
    <w:rsid w:val="00A34CB4"/>
    <w:rsid w:val="00A350CD"/>
    <w:rsid w:val="00A352C6"/>
    <w:rsid w:val="00A3558D"/>
    <w:rsid w:val="00A35882"/>
    <w:rsid w:val="00A35A07"/>
    <w:rsid w:val="00A35B55"/>
    <w:rsid w:val="00A35BAD"/>
    <w:rsid w:val="00A3616B"/>
    <w:rsid w:val="00A3623C"/>
    <w:rsid w:val="00A36337"/>
    <w:rsid w:val="00A366F1"/>
    <w:rsid w:val="00A36756"/>
    <w:rsid w:val="00A36768"/>
    <w:rsid w:val="00A36984"/>
    <w:rsid w:val="00A36ADF"/>
    <w:rsid w:val="00A36AF5"/>
    <w:rsid w:val="00A36B4C"/>
    <w:rsid w:val="00A36F4C"/>
    <w:rsid w:val="00A3708C"/>
    <w:rsid w:val="00A3718A"/>
    <w:rsid w:val="00A373EA"/>
    <w:rsid w:val="00A3748A"/>
    <w:rsid w:val="00A3787E"/>
    <w:rsid w:val="00A379B5"/>
    <w:rsid w:val="00A37C4A"/>
    <w:rsid w:val="00A37ECB"/>
    <w:rsid w:val="00A40242"/>
    <w:rsid w:val="00A40307"/>
    <w:rsid w:val="00A4031B"/>
    <w:rsid w:val="00A403D0"/>
    <w:rsid w:val="00A405EF"/>
    <w:rsid w:val="00A40605"/>
    <w:rsid w:val="00A4063F"/>
    <w:rsid w:val="00A40897"/>
    <w:rsid w:val="00A408CE"/>
    <w:rsid w:val="00A408F4"/>
    <w:rsid w:val="00A412E8"/>
    <w:rsid w:val="00A4133B"/>
    <w:rsid w:val="00A4138E"/>
    <w:rsid w:val="00A413E8"/>
    <w:rsid w:val="00A418C7"/>
    <w:rsid w:val="00A418C9"/>
    <w:rsid w:val="00A41944"/>
    <w:rsid w:val="00A41DCF"/>
    <w:rsid w:val="00A41EA9"/>
    <w:rsid w:val="00A4203D"/>
    <w:rsid w:val="00A421AA"/>
    <w:rsid w:val="00A42425"/>
    <w:rsid w:val="00A424EE"/>
    <w:rsid w:val="00A42BB8"/>
    <w:rsid w:val="00A42C52"/>
    <w:rsid w:val="00A42D07"/>
    <w:rsid w:val="00A42EAF"/>
    <w:rsid w:val="00A42F56"/>
    <w:rsid w:val="00A42FCF"/>
    <w:rsid w:val="00A434ED"/>
    <w:rsid w:val="00A436BA"/>
    <w:rsid w:val="00A43774"/>
    <w:rsid w:val="00A43870"/>
    <w:rsid w:val="00A43C2A"/>
    <w:rsid w:val="00A43F92"/>
    <w:rsid w:val="00A44060"/>
    <w:rsid w:val="00A442ED"/>
    <w:rsid w:val="00A442F1"/>
    <w:rsid w:val="00A443BD"/>
    <w:rsid w:val="00A44400"/>
    <w:rsid w:val="00A444FA"/>
    <w:rsid w:val="00A44576"/>
    <w:rsid w:val="00A44826"/>
    <w:rsid w:val="00A4493F"/>
    <w:rsid w:val="00A44A00"/>
    <w:rsid w:val="00A44A84"/>
    <w:rsid w:val="00A44FA4"/>
    <w:rsid w:val="00A4502C"/>
    <w:rsid w:val="00A45147"/>
    <w:rsid w:val="00A4547C"/>
    <w:rsid w:val="00A45845"/>
    <w:rsid w:val="00A45983"/>
    <w:rsid w:val="00A45AD8"/>
    <w:rsid w:val="00A45C49"/>
    <w:rsid w:val="00A45CF1"/>
    <w:rsid w:val="00A45EFF"/>
    <w:rsid w:val="00A460BF"/>
    <w:rsid w:val="00A461BB"/>
    <w:rsid w:val="00A4628D"/>
    <w:rsid w:val="00A462D7"/>
    <w:rsid w:val="00A46441"/>
    <w:rsid w:val="00A4692F"/>
    <w:rsid w:val="00A46CC2"/>
    <w:rsid w:val="00A46F6D"/>
    <w:rsid w:val="00A4704A"/>
    <w:rsid w:val="00A47238"/>
    <w:rsid w:val="00A4736B"/>
    <w:rsid w:val="00A4769C"/>
    <w:rsid w:val="00A4787F"/>
    <w:rsid w:val="00A478E9"/>
    <w:rsid w:val="00A47C9E"/>
    <w:rsid w:val="00A47DEC"/>
    <w:rsid w:val="00A47F9C"/>
    <w:rsid w:val="00A50371"/>
    <w:rsid w:val="00A50873"/>
    <w:rsid w:val="00A50960"/>
    <w:rsid w:val="00A50974"/>
    <w:rsid w:val="00A50A74"/>
    <w:rsid w:val="00A50AC7"/>
    <w:rsid w:val="00A50BC1"/>
    <w:rsid w:val="00A50CA6"/>
    <w:rsid w:val="00A50E9D"/>
    <w:rsid w:val="00A51007"/>
    <w:rsid w:val="00A5110B"/>
    <w:rsid w:val="00A51136"/>
    <w:rsid w:val="00A5124D"/>
    <w:rsid w:val="00A51415"/>
    <w:rsid w:val="00A51515"/>
    <w:rsid w:val="00A5159C"/>
    <w:rsid w:val="00A51760"/>
    <w:rsid w:val="00A51889"/>
    <w:rsid w:val="00A51F70"/>
    <w:rsid w:val="00A520CF"/>
    <w:rsid w:val="00A5227F"/>
    <w:rsid w:val="00A522AC"/>
    <w:rsid w:val="00A5241A"/>
    <w:rsid w:val="00A526F4"/>
    <w:rsid w:val="00A52A9E"/>
    <w:rsid w:val="00A52B62"/>
    <w:rsid w:val="00A52BA4"/>
    <w:rsid w:val="00A53045"/>
    <w:rsid w:val="00A533F8"/>
    <w:rsid w:val="00A5379A"/>
    <w:rsid w:val="00A537CB"/>
    <w:rsid w:val="00A53A41"/>
    <w:rsid w:val="00A53A54"/>
    <w:rsid w:val="00A53AA5"/>
    <w:rsid w:val="00A53AEE"/>
    <w:rsid w:val="00A53C09"/>
    <w:rsid w:val="00A53CF2"/>
    <w:rsid w:val="00A53D2B"/>
    <w:rsid w:val="00A541E1"/>
    <w:rsid w:val="00A545E9"/>
    <w:rsid w:val="00A545EC"/>
    <w:rsid w:val="00A54979"/>
    <w:rsid w:val="00A55154"/>
    <w:rsid w:val="00A554FB"/>
    <w:rsid w:val="00A559A7"/>
    <w:rsid w:val="00A559F9"/>
    <w:rsid w:val="00A55A75"/>
    <w:rsid w:val="00A55AF6"/>
    <w:rsid w:val="00A55BE4"/>
    <w:rsid w:val="00A55E9A"/>
    <w:rsid w:val="00A562FC"/>
    <w:rsid w:val="00A563CB"/>
    <w:rsid w:val="00A56499"/>
    <w:rsid w:val="00A5651D"/>
    <w:rsid w:val="00A565A5"/>
    <w:rsid w:val="00A565E4"/>
    <w:rsid w:val="00A5674A"/>
    <w:rsid w:val="00A567BD"/>
    <w:rsid w:val="00A56995"/>
    <w:rsid w:val="00A56B84"/>
    <w:rsid w:val="00A56B9F"/>
    <w:rsid w:val="00A56C04"/>
    <w:rsid w:val="00A56C89"/>
    <w:rsid w:val="00A56EAD"/>
    <w:rsid w:val="00A56EFD"/>
    <w:rsid w:val="00A56F9D"/>
    <w:rsid w:val="00A5713C"/>
    <w:rsid w:val="00A5721A"/>
    <w:rsid w:val="00A5767B"/>
    <w:rsid w:val="00A57851"/>
    <w:rsid w:val="00A57BDB"/>
    <w:rsid w:val="00A57F64"/>
    <w:rsid w:val="00A57FBC"/>
    <w:rsid w:val="00A60732"/>
    <w:rsid w:val="00A608E0"/>
    <w:rsid w:val="00A6099B"/>
    <w:rsid w:val="00A60A6F"/>
    <w:rsid w:val="00A60B33"/>
    <w:rsid w:val="00A60DFC"/>
    <w:rsid w:val="00A6104B"/>
    <w:rsid w:val="00A612AA"/>
    <w:rsid w:val="00A61688"/>
    <w:rsid w:val="00A616E3"/>
    <w:rsid w:val="00A6177E"/>
    <w:rsid w:val="00A61B27"/>
    <w:rsid w:val="00A61C2B"/>
    <w:rsid w:val="00A61C6A"/>
    <w:rsid w:val="00A61D31"/>
    <w:rsid w:val="00A61D46"/>
    <w:rsid w:val="00A61E96"/>
    <w:rsid w:val="00A62036"/>
    <w:rsid w:val="00A620DD"/>
    <w:rsid w:val="00A62100"/>
    <w:rsid w:val="00A62391"/>
    <w:rsid w:val="00A624E4"/>
    <w:rsid w:val="00A62576"/>
    <w:rsid w:val="00A628B5"/>
    <w:rsid w:val="00A6293E"/>
    <w:rsid w:val="00A6299E"/>
    <w:rsid w:val="00A62B77"/>
    <w:rsid w:val="00A62CC5"/>
    <w:rsid w:val="00A62D69"/>
    <w:rsid w:val="00A62E20"/>
    <w:rsid w:val="00A63193"/>
    <w:rsid w:val="00A6325F"/>
    <w:rsid w:val="00A63699"/>
    <w:rsid w:val="00A63707"/>
    <w:rsid w:val="00A63901"/>
    <w:rsid w:val="00A6398D"/>
    <w:rsid w:val="00A63E5C"/>
    <w:rsid w:val="00A63E72"/>
    <w:rsid w:val="00A64051"/>
    <w:rsid w:val="00A6436D"/>
    <w:rsid w:val="00A644AE"/>
    <w:rsid w:val="00A6453A"/>
    <w:rsid w:val="00A645F7"/>
    <w:rsid w:val="00A6489A"/>
    <w:rsid w:val="00A648B8"/>
    <w:rsid w:val="00A64DCC"/>
    <w:rsid w:val="00A65314"/>
    <w:rsid w:val="00A6582F"/>
    <w:rsid w:val="00A65A16"/>
    <w:rsid w:val="00A65DAF"/>
    <w:rsid w:val="00A65F12"/>
    <w:rsid w:val="00A660D8"/>
    <w:rsid w:val="00A661C4"/>
    <w:rsid w:val="00A665A8"/>
    <w:rsid w:val="00A66614"/>
    <w:rsid w:val="00A66906"/>
    <w:rsid w:val="00A66941"/>
    <w:rsid w:val="00A669DA"/>
    <w:rsid w:val="00A66A36"/>
    <w:rsid w:val="00A66B82"/>
    <w:rsid w:val="00A66B92"/>
    <w:rsid w:val="00A66D21"/>
    <w:rsid w:val="00A66F8E"/>
    <w:rsid w:val="00A6701E"/>
    <w:rsid w:val="00A6702B"/>
    <w:rsid w:val="00A67242"/>
    <w:rsid w:val="00A6733E"/>
    <w:rsid w:val="00A67840"/>
    <w:rsid w:val="00A679F8"/>
    <w:rsid w:val="00A67AA4"/>
    <w:rsid w:val="00A67B28"/>
    <w:rsid w:val="00A67D58"/>
    <w:rsid w:val="00A67F5B"/>
    <w:rsid w:val="00A70116"/>
    <w:rsid w:val="00A701D3"/>
    <w:rsid w:val="00A701F2"/>
    <w:rsid w:val="00A70256"/>
    <w:rsid w:val="00A7026A"/>
    <w:rsid w:val="00A70287"/>
    <w:rsid w:val="00A7045F"/>
    <w:rsid w:val="00A706A4"/>
    <w:rsid w:val="00A706E6"/>
    <w:rsid w:val="00A7076E"/>
    <w:rsid w:val="00A7084B"/>
    <w:rsid w:val="00A708D0"/>
    <w:rsid w:val="00A70993"/>
    <w:rsid w:val="00A70AA3"/>
    <w:rsid w:val="00A70CC8"/>
    <w:rsid w:val="00A70F69"/>
    <w:rsid w:val="00A7129A"/>
    <w:rsid w:val="00A7139B"/>
    <w:rsid w:val="00A71795"/>
    <w:rsid w:val="00A7181D"/>
    <w:rsid w:val="00A71A4B"/>
    <w:rsid w:val="00A71B8C"/>
    <w:rsid w:val="00A71C96"/>
    <w:rsid w:val="00A71EE8"/>
    <w:rsid w:val="00A721F0"/>
    <w:rsid w:val="00A7236B"/>
    <w:rsid w:val="00A725C8"/>
    <w:rsid w:val="00A725E1"/>
    <w:rsid w:val="00A726B5"/>
    <w:rsid w:val="00A726B7"/>
    <w:rsid w:val="00A726DA"/>
    <w:rsid w:val="00A728E7"/>
    <w:rsid w:val="00A72909"/>
    <w:rsid w:val="00A729CE"/>
    <w:rsid w:val="00A72CF5"/>
    <w:rsid w:val="00A72D64"/>
    <w:rsid w:val="00A72D81"/>
    <w:rsid w:val="00A72E02"/>
    <w:rsid w:val="00A72E20"/>
    <w:rsid w:val="00A72F01"/>
    <w:rsid w:val="00A73049"/>
    <w:rsid w:val="00A732FC"/>
    <w:rsid w:val="00A733F9"/>
    <w:rsid w:val="00A7385B"/>
    <w:rsid w:val="00A7387F"/>
    <w:rsid w:val="00A738B2"/>
    <w:rsid w:val="00A73AB0"/>
    <w:rsid w:val="00A73ACC"/>
    <w:rsid w:val="00A73B71"/>
    <w:rsid w:val="00A73C57"/>
    <w:rsid w:val="00A73D07"/>
    <w:rsid w:val="00A73EEC"/>
    <w:rsid w:val="00A740C8"/>
    <w:rsid w:val="00A741F9"/>
    <w:rsid w:val="00A744C3"/>
    <w:rsid w:val="00A744C7"/>
    <w:rsid w:val="00A74743"/>
    <w:rsid w:val="00A74911"/>
    <w:rsid w:val="00A74D73"/>
    <w:rsid w:val="00A74D7A"/>
    <w:rsid w:val="00A74D94"/>
    <w:rsid w:val="00A7509D"/>
    <w:rsid w:val="00A750C3"/>
    <w:rsid w:val="00A75167"/>
    <w:rsid w:val="00A7523F"/>
    <w:rsid w:val="00A753E6"/>
    <w:rsid w:val="00A753EB"/>
    <w:rsid w:val="00A75660"/>
    <w:rsid w:val="00A757FC"/>
    <w:rsid w:val="00A75858"/>
    <w:rsid w:val="00A759C1"/>
    <w:rsid w:val="00A75A4F"/>
    <w:rsid w:val="00A75B58"/>
    <w:rsid w:val="00A75DAD"/>
    <w:rsid w:val="00A75E18"/>
    <w:rsid w:val="00A75F51"/>
    <w:rsid w:val="00A760FB"/>
    <w:rsid w:val="00A76796"/>
    <w:rsid w:val="00A7685F"/>
    <w:rsid w:val="00A76870"/>
    <w:rsid w:val="00A76B54"/>
    <w:rsid w:val="00A76F94"/>
    <w:rsid w:val="00A771F6"/>
    <w:rsid w:val="00A7724C"/>
    <w:rsid w:val="00A77B7B"/>
    <w:rsid w:val="00A77D74"/>
    <w:rsid w:val="00A80011"/>
    <w:rsid w:val="00A805FB"/>
    <w:rsid w:val="00A80C1E"/>
    <w:rsid w:val="00A80E79"/>
    <w:rsid w:val="00A80FFF"/>
    <w:rsid w:val="00A810F4"/>
    <w:rsid w:val="00A8112E"/>
    <w:rsid w:val="00A8126D"/>
    <w:rsid w:val="00A8137E"/>
    <w:rsid w:val="00A813C7"/>
    <w:rsid w:val="00A814ED"/>
    <w:rsid w:val="00A81604"/>
    <w:rsid w:val="00A81A37"/>
    <w:rsid w:val="00A82158"/>
    <w:rsid w:val="00A822A5"/>
    <w:rsid w:val="00A82380"/>
    <w:rsid w:val="00A823F2"/>
    <w:rsid w:val="00A82605"/>
    <w:rsid w:val="00A827ED"/>
    <w:rsid w:val="00A828CF"/>
    <w:rsid w:val="00A82CAB"/>
    <w:rsid w:val="00A82CBE"/>
    <w:rsid w:val="00A83182"/>
    <w:rsid w:val="00A83306"/>
    <w:rsid w:val="00A835DA"/>
    <w:rsid w:val="00A835DD"/>
    <w:rsid w:val="00A83600"/>
    <w:rsid w:val="00A836C1"/>
    <w:rsid w:val="00A838A7"/>
    <w:rsid w:val="00A83C8D"/>
    <w:rsid w:val="00A83CCB"/>
    <w:rsid w:val="00A8417D"/>
    <w:rsid w:val="00A8448E"/>
    <w:rsid w:val="00A84750"/>
    <w:rsid w:val="00A847A6"/>
    <w:rsid w:val="00A848AD"/>
    <w:rsid w:val="00A84A27"/>
    <w:rsid w:val="00A84A4D"/>
    <w:rsid w:val="00A84CA2"/>
    <w:rsid w:val="00A84D15"/>
    <w:rsid w:val="00A84E59"/>
    <w:rsid w:val="00A850F3"/>
    <w:rsid w:val="00A851C1"/>
    <w:rsid w:val="00A8528C"/>
    <w:rsid w:val="00A852B5"/>
    <w:rsid w:val="00A85379"/>
    <w:rsid w:val="00A855D6"/>
    <w:rsid w:val="00A856E4"/>
    <w:rsid w:val="00A859C4"/>
    <w:rsid w:val="00A85B3C"/>
    <w:rsid w:val="00A85D54"/>
    <w:rsid w:val="00A85DDB"/>
    <w:rsid w:val="00A85E8D"/>
    <w:rsid w:val="00A85F9D"/>
    <w:rsid w:val="00A862B4"/>
    <w:rsid w:val="00A86556"/>
    <w:rsid w:val="00A86668"/>
    <w:rsid w:val="00A867B4"/>
    <w:rsid w:val="00A86C71"/>
    <w:rsid w:val="00A86DAE"/>
    <w:rsid w:val="00A86F01"/>
    <w:rsid w:val="00A871F7"/>
    <w:rsid w:val="00A87268"/>
    <w:rsid w:val="00A87410"/>
    <w:rsid w:val="00A87514"/>
    <w:rsid w:val="00A8758D"/>
    <w:rsid w:val="00A87854"/>
    <w:rsid w:val="00A87876"/>
    <w:rsid w:val="00A87A2C"/>
    <w:rsid w:val="00A87C1D"/>
    <w:rsid w:val="00A87C35"/>
    <w:rsid w:val="00A87D2B"/>
    <w:rsid w:val="00A87ED6"/>
    <w:rsid w:val="00A901B0"/>
    <w:rsid w:val="00A9055F"/>
    <w:rsid w:val="00A905EC"/>
    <w:rsid w:val="00A90667"/>
    <w:rsid w:val="00A907F3"/>
    <w:rsid w:val="00A90822"/>
    <w:rsid w:val="00A90833"/>
    <w:rsid w:val="00A90A6F"/>
    <w:rsid w:val="00A90B37"/>
    <w:rsid w:val="00A90DAF"/>
    <w:rsid w:val="00A90E42"/>
    <w:rsid w:val="00A90F7F"/>
    <w:rsid w:val="00A9128F"/>
    <w:rsid w:val="00A91399"/>
    <w:rsid w:val="00A91688"/>
    <w:rsid w:val="00A916F4"/>
    <w:rsid w:val="00A9190F"/>
    <w:rsid w:val="00A91C4A"/>
    <w:rsid w:val="00A92062"/>
    <w:rsid w:val="00A9214A"/>
    <w:rsid w:val="00A92151"/>
    <w:rsid w:val="00A92288"/>
    <w:rsid w:val="00A9252B"/>
    <w:rsid w:val="00A92622"/>
    <w:rsid w:val="00A92693"/>
    <w:rsid w:val="00A92865"/>
    <w:rsid w:val="00A928E9"/>
    <w:rsid w:val="00A92945"/>
    <w:rsid w:val="00A92AC7"/>
    <w:rsid w:val="00A92B1B"/>
    <w:rsid w:val="00A92EC5"/>
    <w:rsid w:val="00A9331E"/>
    <w:rsid w:val="00A933A4"/>
    <w:rsid w:val="00A93668"/>
    <w:rsid w:val="00A93681"/>
    <w:rsid w:val="00A93738"/>
    <w:rsid w:val="00A93821"/>
    <w:rsid w:val="00A93996"/>
    <w:rsid w:val="00A939B5"/>
    <w:rsid w:val="00A93E0E"/>
    <w:rsid w:val="00A93E54"/>
    <w:rsid w:val="00A93E8C"/>
    <w:rsid w:val="00A9403C"/>
    <w:rsid w:val="00A941D6"/>
    <w:rsid w:val="00A94782"/>
    <w:rsid w:val="00A947F4"/>
    <w:rsid w:val="00A9484F"/>
    <w:rsid w:val="00A94D4E"/>
    <w:rsid w:val="00A95291"/>
    <w:rsid w:val="00A952F8"/>
    <w:rsid w:val="00A953C6"/>
    <w:rsid w:val="00A9576B"/>
    <w:rsid w:val="00A95899"/>
    <w:rsid w:val="00A959A9"/>
    <w:rsid w:val="00A95A31"/>
    <w:rsid w:val="00A95B79"/>
    <w:rsid w:val="00A95D93"/>
    <w:rsid w:val="00A95E3E"/>
    <w:rsid w:val="00A95FC6"/>
    <w:rsid w:val="00A96014"/>
    <w:rsid w:val="00A96137"/>
    <w:rsid w:val="00A962A3"/>
    <w:rsid w:val="00A96760"/>
    <w:rsid w:val="00A967C9"/>
    <w:rsid w:val="00A968A1"/>
    <w:rsid w:val="00A9698B"/>
    <w:rsid w:val="00A96A91"/>
    <w:rsid w:val="00A970A3"/>
    <w:rsid w:val="00A97177"/>
    <w:rsid w:val="00A972D5"/>
    <w:rsid w:val="00A9770E"/>
    <w:rsid w:val="00A97BBF"/>
    <w:rsid w:val="00A97CE4"/>
    <w:rsid w:val="00A97CED"/>
    <w:rsid w:val="00A97D70"/>
    <w:rsid w:val="00A97FD5"/>
    <w:rsid w:val="00AA0179"/>
    <w:rsid w:val="00AA03C1"/>
    <w:rsid w:val="00AA03C6"/>
    <w:rsid w:val="00AA041D"/>
    <w:rsid w:val="00AA05F5"/>
    <w:rsid w:val="00AA0640"/>
    <w:rsid w:val="00AA06AB"/>
    <w:rsid w:val="00AA07CC"/>
    <w:rsid w:val="00AA07DE"/>
    <w:rsid w:val="00AA0EE9"/>
    <w:rsid w:val="00AA1015"/>
    <w:rsid w:val="00AA1143"/>
    <w:rsid w:val="00AA1332"/>
    <w:rsid w:val="00AA1548"/>
    <w:rsid w:val="00AA15D7"/>
    <w:rsid w:val="00AA188C"/>
    <w:rsid w:val="00AA19FF"/>
    <w:rsid w:val="00AA1BBE"/>
    <w:rsid w:val="00AA1C9C"/>
    <w:rsid w:val="00AA21EE"/>
    <w:rsid w:val="00AA2289"/>
    <w:rsid w:val="00AA230C"/>
    <w:rsid w:val="00AA23D0"/>
    <w:rsid w:val="00AA2419"/>
    <w:rsid w:val="00AA291D"/>
    <w:rsid w:val="00AA2D93"/>
    <w:rsid w:val="00AA2DBC"/>
    <w:rsid w:val="00AA2F16"/>
    <w:rsid w:val="00AA3080"/>
    <w:rsid w:val="00AA309A"/>
    <w:rsid w:val="00AA3128"/>
    <w:rsid w:val="00AA31E1"/>
    <w:rsid w:val="00AA31E3"/>
    <w:rsid w:val="00AA324E"/>
    <w:rsid w:val="00AA3633"/>
    <w:rsid w:val="00AA364E"/>
    <w:rsid w:val="00AA36EF"/>
    <w:rsid w:val="00AA3778"/>
    <w:rsid w:val="00AA3784"/>
    <w:rsid w:val="00AA3799"/>
    <w:rsid w:val="00AA3980"/>
    <w:rsid w:val="00AA3B04"/>
    <w:rsid w:val="00AA3B44"/>
    <w:rsid w:val="00AA3B62"/>
    <w:rsid w:val="00AA3BA1"/>
    <w:rsid w:val="00AA3DDF"/>
    <w:rsid w:val="00AA415F"/>
    <w:rsid w:val="00AA4F24"/>
    <w:rsid w:val="00AA4F65"/>
    <w:rsid w:val="00AA5029"/>
    <w:rsid w:val="00AA50D4"/>
    <w:rsid w:val="00AA52C5"/>
    <w:rsid w:val="00AA52D5"/>
    <w:rsid w:val="00AA5412"/>
    <w:rsid w:val="00AA580A"/>
    <w:rsid w:val="00AA5A15"/>
    <w:rsid w:val="00AA5BBF"/>
    <w:rsid w:val="00AA5C25"/>
    <w:rsid w:val="00AA5DF6"/>
    <w:rsid w:val="00AA5E3E"/>
    <w:rsid w:val="00AA5EE6"/>
    <w:rsid w:val="00AA6095"/>
    <w:rsid w:val="00AA63F2"/>
    <w:rsid w:val="00AA685A"/>
    <w:rsid w:val="00AA6D54"/>
    <w:rsid w:val="00AA6DEE"/>
    <w:rsid w:val="00AA6DF5"/>
    <w:rsid w:val="00AA6F86"/>
    <w:rsid w:val="00AA70DA"/>
    <w:rsid w:val="00AA7102"/>
    <w:rsid w:val="00AA7332"/>
    <w:rsid w:val="00AA7722"/>
    <w:rsid w:val="00AA7770"/>
    <w:rsid w:val="00AA78CC"/>
    <w:rsid w:val="00AA78F2"/>
    <w:rsid w:val="00AA792E"/>
    <w:rsid w:val="00AA7D6F"/>
    <w:rsid w:val="00AA7DE8"/>
    <w:rsid w:val="00AA7EFA"/>
    <w:rsid w:val="00AB00C5"/>
    <w:rsid w:val="00AB015E"/>
    <w:rsid w:val="00AB0197"/>
    <w:rsid w:val="00AB01CD"/>
    <w:rsid w:val="00AB0354"/>
    <w:rsid w:val="00AB04D1"/>
    <w:rsid w:val="00AB05C6"/>
    <w:rsid w:val="00AB0717"/>
    <w:rsid w:val="00AB0725"/>
    <w:rsid w:val="00AB0792"/>
    <w:rsid w:val="00AB08C4"/>
    <w:rsid w:val="00AB08DC"/>
    <w:rsid w:val="00AB096E"/>
    <w:rsid w:val="00AB0D80"/>
    <w:rsid w:val="00AB0FED"/>
    <w:rsid w:val="00AB11B9"/>
    <w:rsid w:val="00AB1413"/>
    <w:rsid w:val="00AB15C5"/>
    <w:rsid w:val="00AB1C6A"/>
    <w:rsid w:val="00AB1EE1"/>
    <w:rsid w:val="00AB1F22"/>
    <w:rsid w:val="00AB2077"/>
    <w:rsid w:val="00AB27A6"/>
    <w:rsid w:val="00AB27DB"/>
    <w:rsid w:val="00AB2B40"/>
    <w:rsid w:val="00AB2CDE"/>
    <w:rsid w:val="00AB2CED"/>
    <w:rsid w:val="00AB2F4D"/>
    <w:rsid w:val="00AB3010"/>
    <w:rsid w:val="00AB3045"/>
    <w:rsid w:val="00AB3047"/>
    <w:rsid w:val="00AB30FE"/>
    <w:rsid w:val="00AB3116"/>
    <w:rsid w:val="00AB34A7"/>
    <w:rsid w:val="00AB3577"/>
    <w:rsid w:val="00AB3870"/>
    <w:rsid w:val="00AB38E5"/>
    <w:rsid w:val="00AB3C19"/>
    <w:rsid w:val="00AB3EFD"/>
    <w:rsid w:val="00AB3F66"/>
    <w:rsid w:val="00AB3FB1"/>
    <w:rsid w:val="00AB423D"/>
    <w:rsid w:val="00AB4774"/>
    <w:rsid w:val="00AB4B04"/>
    <w:rsid w:val="00AB51FC"/>
    <w:rsid w:val="00AB5471"/>
    <w:rsid w:val="00AB5544"/>
    <w:rsid w:val="00AB557D"/>
    <w:rsid w:val="00AB559A"/>
    <w:rsid w:val="00AB57DE"/>
    <w:rsid w:val="00AB5AC2"/>
    <w:rsid w:val="00AB5CA3"/>
    <w:rsid w:val="00AB5EC5"/>
    <w:rsid w:val="00AB5F9A"/>
    <w:rsid w:val="00AB6039"/>
    <w:rsid w:val="00AB649E"/>
    <w:rsid w:val="00AB6500"/>
    <w:rsid w:val="00AB65CE"/>
    <w:rsid w:val="00AB6E7F"/>
    <w:rsid w:val="00AB73A6"/>
    <w:rsid w:val="00AB748B"/>
    <w:rsid w:val="00AB7523"/>
    <w:rsid w:val="00AB78D4"/>
    <w:rsid w:val="00AB7A11"/>
    <w:rsid w:val="00AB7B3A"/>
    <w:rsid w:val="00AB7BEF"/>
    <w:rsid w:val="00AB7CC8"/>
    <w:rsid w:val="00AB7D48"/>
    <w:rsid w:val="00AB7D7F"/>
    <w:rsid w:val="00AC01D3"/>
    <w:rsid w:val="00AC021F"/>
    <w:rsid w:val="00AC04E3"/>
    <w:rsid w:val="00AC07F4"/>
    <w:rsid w:val="00AC0856"/>
    <w:rsid w:val="00AC0DBC"/>
    <w:rsid w:val="00AC1062"/>
    <w:rsid w:val="00AC11F8"/>
    <w:rsid w:val="00AC1235"/>
    <w:rsid w:val="00AC148F"/>
    <w:rsid w:val="00AC1662"/>
    <w:rsid w:val="00AC1CD0"/>
    <w:rsid w:val="00AC1DCF"/>
    <w:rsid w:val="00AC1E7A"/>
    <w:rsid w:val="00AC2024"/>
    <w:rsid w:val="00AC2361"/>
    <w:rsid w:val="00AC244D"/>
    <w:rsid w:val="00AC24D1"/>
    <w:rsid w:val="00AC2969"/>
    <w:rsid w:val="00AC2BED"/>
    <w:rsid w:val="00AC2C31"/>
    <w:rsid w:val="00AC2CE0"/>
    <w:rsid w:val="00AC2D3D"/>
    <w:rsid w:val="00AC3237"/>
    <w:rsid w:val="00AC335F"/>
    <w:rsid w:val="00AC33B7"/>
    <w:rsid w:val="00AC3641"/>
    <w:rsid w:val="00AC3CEE"/>
    <w:rsid w:val="00AC3E7B"/>
    <w:rsid w:val="00AC40E9"/>
    <w:rsid w:val="00AC46FF"/>
    <w:rsid w:val="00AC4A18"/>
    <w:rsid w:val="00AC4CB8"/>
    <w:rsid w:val="00AC4DC9"/>
    <w:rsid w:val="00AC4E0B"/>
    <w:rsid w:val="00AC4F62"/>
    <w:rsid w:val="00AC4FDF"/>
    <w:rsid w:val="00AC50B6"/>
    <w:rsid w:val="00AC53DF"/>
    <w:rsid w:val="00AC5471"/>
    <w:rsid w:val="00AC5AE2"/>
    <w:rsid w:val="00AC5D6C"/>
    <w:rsid w:val="00AC5D9C"/>
    <w:rsid w:val="00AC5DDE"/>
    <w:rsid w:val="00AC5E60"/>
    <w:rsid w:val="00AC5E7B"/>
    <w:rsid w:val="00AC6086"/>
    <w:rsid w:val="00AC61F4"/>
    <w:rsid w:val="00AC6792"/>
    <w:rsid w:val="00AC67C9"/>
    <w:rsid w:val="00AC6885"/>
    <w:rsid w:val="00AC6937"/>
    <w:rsid w:val="00AC6AAB"/>
    <w:rsid w:val="00AC6B3F"/>
    <w:rsid w:val="00AC6C78"/>
    <w:rsid w:val="00AC6F2B"/>
    <w:rsid w:val="00AC6FF1"/>
    <w:rsid w:val="00AC711A"/>
    <w:rsid w:val="00AC71AC"/>
    <w:rsid w:val="00AC7372"/>
    <w:rsid w:val="00AC7414"/>
    <w:rsid w:val="00AC7629"/>
    <w:rsid w:val="00AC7885"/>
    <w:rsid w:val="00AC7937"/>
    <w:rsid w:val="00AC7E75"/>
    <w:rsid w:val="00AC7F7E"/>
    <w:rsid w:val="00AD00E1"/>
    <w:rsid w:val="00AD0656"/>
    <w:rsid w:val="00AD09C6"/>
    <w:rsid w:val="00AD0BB5"/>
    <w:rsid w:val="00AD0F95"/>
    <w:rsid w:val="00AD101C"/>
    <w:rsid w:val="00AD105A"/>
    <w:rsid w:val="00AD114F"/>
    <w:rsid w:val="00AD1311"/>
    <w:rsid w:val="00AD1B0B"/>
    <w:rsid w:val="00AD1BFC"/>
    <w:rsid w:val="00AD1CEE"/>
    <w:rsid w:val="00AD1D5C"/>
    <w:rsid w:val="00AD1E08"/>
    <w:rsid w:val="00AD20FA"/>
    <w:rsid w:val="00AD226A"/>
    <w:rsid w:val="00AD22AA"/>
    <w:rsid w:val="00AD269F"/>
    <w:rsid w:val="00AD26E6"/>
    <w:rsid w:val="00AD2795"/>
    <w:rsid w:val="00AD2BA5"/>
    <w:rsid w:val="00AD302F"/>
    <w:rsid w:val="00AD375E"/>
    <w:rsid w:val="00AD3780"/>
    <w:rsid w:val="00AD386F"/>
    <w:rsid w:val="00AD3984"/>
    <w:rsid w:val="00AD39B8"/>
    <w:rsid w:val="00AD3D16"/>
    <w:rsid w:val="00AD3FFD"/>
    <w:rsid w:val="00AD4026"/>
    <w:rsid w:val="00AD4074"/>
    <w:rsid w:val="00AD413E"/>
    <w:rsid w:val="00AD41A8"/>
    <w:rsid w:val="00AD41F3"/>
    <w:rsid w:val="00AD43DF"/>
    <w:rsid w:val="00AD44C0"/>
    <w:rsid w:val="00AD4A09"/>
    <w:rsid w:val="00AD4A2B"/>
    <w:rsid w:val="00AD4A82"/>
    <w:rsid w:val="00AD4BC4"/>
    <w:rsid w:val="00AD4BD0"/>
    <w:rsid w:val="00AD4C1F"/>
    <w:rsid w:val="00AD4E7E"/>
    <w:rsid w:val="00AD4EF1"/>
    <w:rsid w:val="00AD504F"/>
    <w:rsid w:val="00AD5303"/>
    <w:rsid w:val="00AD5325"/>
    <w:rsid w:val="00AD5495"/>
    <w:rsid w:val="00AD55A5"/>
    <w:rsid w:val="00AD5769"/>
    <w:rsid w:val="00AD57F7"/>
    <w:rsid w:val="00AD59E8"/>
    <w:rsid w:val="00AD5A30"/>
    <w:rsid w:val="00AD5A84"/>
    <w:rsid w:val="00AD5A91"/>
    <w:rsid w:val="00AD5B73"/>
    <w:rsid w:val="00AD5D97"/>
    <w:rsid w:val="00AD5E51"/>
    <w:rsid w:val="00AD5F63"/>
    <w:rsid w:val="00AD5FC2"/>
    <w:rsid w:val="00AD628D"/>
    <w:rsid w:val="00AD647A"/>
    <w:rsid w:val="00AD6B1D"/>
    <w:rsid w:val="00AD70E8"/>
    <w:rsid w:val="00AD7112"/>
    <w:rsid w:val="00AD747F"/>
    <w:rsid w:val="00AD748E"/>
    <w:rsid w:val="00AD75A5"/>
    <w:rsid w:val="00AD78DB"/>
    <w:rsid w:val="00AD7C90"/>
    <w:rsid w:val="00AE0B53"/>
    <w:rsid w:val="00AE0C8F"/>
    <w:rsid w:val="00AE0E6A"/>
    <w:rsid w:val="00AE0EF9"/>
    <w:rsid w:val="00AE1221"/>
    <w:rsid w:val="00AE12CC"/>
    <w:rsid w:val="00AE1434"/>
    <w:rsid w:val="00AE1566"/>
    <w:rsid w:val="00AE156A"/>
    <w:rsid w:val="00AE158B"/>
    <w:rsid w:val="00AE1660"/>
    <w:rsid w:val="00AE1750"/>
    <w:rsid w:val="00AE1BD6"/>
    <w:rsid w:val="00AE1CC5"/>
    <w:rsid w:val="00AE1FBD"/>
    <w:rsid w:val="00AE246A"/>
    <w:rsid w:val="00AE25F2"/>
    <w:rsid w:val="00AE29B7"/>
    <w:rsid w:val="00AE313D"/>
    <w:rsid w:val="00AE32FE"/>
    <w:rsid w:val="00AE33A7"/>
    <w:rsid w:val="00AE341A"/>
    <w:rsid w:val="00AE35B8"/>
    <w:rsid w:val="00AE370B"/>
    <w:rsid w:val="00AE392D"/>
    <w:rsid w:val="00AE3B13"/>
    <w:rsid w:val="00AE3B44"/>
    <w:rsid w:val="00AE41BB"/>
    <w:rsid w:val="00AE4245"/>
    <w:rsid w:val="00AE45BC"/>
    <w:rsid w:val="00AE47E6"/>
    <w:rsid w:val="00AE4B9E"/>
    <w:rsid w:val="00AE4CA8"/>
    <w:rsid w:val="00AE4EBC"/>
    <w:rsid w:val="00AE4F01"/>
    <w:rsid w:val="00AE516F"/>
    <w:rsid w:val="00AE51AC"/>
    <w:rsid w:val="00AE525B"/>
    <w:rsid w:val="00AE52AD"/>
    <w:rsid w:val="00AE55EE"/>
    <w:rsid w:val="00AE567C"/>
    <w:rsid w:val="00AE56AB"/>
    <w:rsid w:val="00AE586C"/>
    <w:rsid w:val="00AE5C28"/>
    <w:rsid w:val="00AE5CF3"/>
    <w:rsid w:val="00AE5D2C"/>
    <w:rsid w:val="00AE5DEE"/>
    <w:rsid w:val="00AE601A"/>
    <w:rsid w:val="00AE60D8"/>
    <w:rsid w:val="00AE61A4"/>
    <w:rsid w:val="00AE638F"/>
    <w:rsid w:val="00AE6465"/>
    <w:rsid w:val="00AE68CB"/>
    <w:rsid w:val="00AE6DFA"/>
    <w:rsid w:val="00AE6FC3"/>
    <w:rsid w:val="00AE701F"/>
    <w:rsid w:val="00AE7033"/>
    <w:rsid w:val="00AE70FF"/>
    <w:rsid w:val="00AE7207"/>
    <w:rsid w:val="00AE738B"/>
    <w:rsid w:val="00AE743B"/>
    <w:rsid w:val="00AE75DC"/>
    <w:rsid w:val="00AE7759"/>
    <w:rsid w:val="00AE791F"/>
    <w:rsid w:val="00AE7967"/>
    <w:rsid w:val="00AE79AE"/>
    <w:rsid w:val="00AE7C54"/>
    <w:rsid w:val="00AE7DE5"/>
    <w:rsid w:val="00AF005A"/>
    <w:rsid w:val="00AF00DD"/>
    <w:rsid w:val="00AF00E1"/>
    <w:rsid w:val="00AF030F"/>
    <w:rsid w:val="00AF05DC"/>
    <w:rsid w:val="00AF064F"/>
    <w:rsid w:val="00AF0754"/>
    <w:rsid w:val="00AF07AB"/>
    <w:rsid w:val="00AF0965"/>
    <w:rsid w:val="00AF0E3B"/>
    <w:rsid w:val="00AF0E58"/>
    <w:rsid w:val="00AF0FF4"/>
    <w:rsid w:val="00AF14AC"/>
    <w:rsid w:val="00AF160C"/>
    <w:rsid w:val="00AF160F"/>
    <w:rsid w:val="00AF191A"/>
    <w:rsid w:val="00AF1B46"/>
    <w:rsid w:val="00AF1BED"/>
    <w:rsid w:val="00AF1DF9"/>
    <w:rsid w:val="00AF1EC4"/>
    <w:rsid w:val="00AF1EEA"/>
    <w:rsid w:val="00AF200D"/>
    <w:rsid w:val="00AF21A9"/>
    <w:rsid w:val="00AF221E"/>
    <w:rsid w:val="00AF2265"/>
    <w:rsid w:val="00AF275F"/>
    <w:rsid w:val="00AF29BA"/>
    <w:rsid w:val="00AF29F9"/>
    <w:rsid w:val="00AF2CED"/>
    <w:rsid w:val="00AF308F"/>
    <w:rsid w:val="00AF321C"/>
    <w:rsid w:val="00AF326C"/>
    <w:rsid w:val="00AF33FE"/>
    <w:rsid w:val="00AF34A3"/>
    <w:rsid w:val="00AF3637"/>
    <w:rsid w:val="00AF3823"/>
    <w:rsid w:val="00AF3873"/>
    <w:rsid w:val="00AF38DA"/>
    <w:rsid w:val="00AF395E"/>
    <w:rsid w:val="00AF3A97"/>
    <w:rsid w:val="00AF3B45"/>
    <w:rsid w:val="00AF3D99"/>
    <w:rsid w:val="00AF3E56"/>
    <w:rsid w:val="00AF3EF3"/>
    <w:rsid w:val="00AF4089"/>
    <w:rsid w:val="00AF415D"/>
    <w:rsid w:val="00AF45B2"/>
    <w:rsid w:val="00AF46E4"/>
    <w:rsid w:val="00AF481E"/>
    <w:rsid w:val="00AF48AD"/>
    <w:rsid w:val="00AF4B15"/>
    <w:rsid w:val="00AF4B20"/>
    <w:rsid w:val="00AF4DB9"/>
    <w:rsid w:val="00AF4E4D"/>
    <w:rsid w:val="00AF4F74"/>
    <w:rsid w:val="00AF4F9B"/>
    <w:rsid w:val="00AF5214"/>
    <w:rsid w:val="00AF536E"/>
    <w:rsid w:val="00AF561D"/>
    <w:rsid w:val="00AF5679"/>
    <w:rsid w:val="00AF587A"/>
    <w:rsid w:val="00AF5A78"/>
    <w:rsid w:val="00AF5FAB"/>
    <w:rsid w:val="00AF62F5"/>
    <w:rsid w:val="00AF62FD"/>
    <w:rsid w:val="00AF6487"/>
    <w:rsid w:val="00AF67B2"/>
    <w:rsid w:val="00AF6816"/>
    <w:rsid w:val="00AF6849"/>
    <w:rsid w:val="00AF6C47"/>
    <w:rsid w:val="00AF6E2D"/>
    <w:rsid w:val="00AF70E3"/>
    <w:rsid w:val="00AF72FD"/>
    <w:rsid w:val="00AF74B0"/>
    <w:rsid w:val="00AF75A0"/>
    <w:rsid w:val="00AF763B"/>
    <w:rsid w:val="00AF765A"/>
    <w:rsid w:val="00AF7A37"/>
    <w:rsid w:val="00AF7C00"/>
    <w:rsid w:val="00AF7D2B"/>
    <w:rsid w:val="00AF7F6E"/>
    <w:rsid w:val="00B0004B"/>
    <w:rsid w:val="00B00085"/>
    <w:rsid w:val="00B00159"/>
    <w:rsid w:val="00B00193"/>
    <w:rsid w:val="00B002A4"/>
    <w:rsid w:val="00B00324"/>
    <w:rsid w:val="00B00334"/>
    <w:rsid w:val="00B00400"/>
    <w:rsid w:val="00B00C18"/>
    <w:rsid w:val="00B00CB8"/>
    <w:rsid w:val="00B00D17"/>
    <w:rsid w:val="00B011A6"/>
    <w:rsid w:val="00B01700"/>
    <w:rsid w:val="00B017A8"/>
    <w:rsid w:val="00B01D36"/>
    <w:rsid w:val="00B01F38"/>
    <w:rsid w:val="00B02013"/>
    <w:rsid w:val="00B022D6"/>
    <w:rsid w:val="00B02C0E"/>
    <w:rsid w:val="00B0308B"/>
    <w:rsid w:val="00B030A2"/>
    <w:rsid w:val="00B030AD"/>
    <w:rsid w:val="00B0313F"/>
    <w:rsid w:val="00B0399E"/>
    <w:rsid w:val="00B03ABB"/>
    <w:rsid w:val="00B03C8B"/>
    <w:rsid w:val="00B03D68"/>
    <w:rsid w:val="00B03ED2"/>
    <w:rsid w:val="00B0421D"/>
    <w:rsid w:val="00B04860"/>
    <w:rsid w:val="00B048F0"/>
    <w:rsid w:val="00B0495A"/>
    <w:rsid w:val="00B04A3C"/>
    <w:rsid w:val="00B04A49"/>
    <w:rsid w:val="00B04E5E"/>
    <w:rsid w:val="00B04EA8"/>
    <w:rsid w:val="00B0515A"/>
    <w:rsid w:val="00B05290"/>
    <w:rsid w:val="00B053F2"/>
    <w:rsid w:val="00B05407"/>
    <w:rsid w:val="00B0541F"/>
    <w:rsid w:val="00B056CF"/>
    <w:rsid w:val="00B05701"/>
    <w:rsid w:val="00B05745"/>
    <w:rsid w:val="00B0580F"/>
    <w:rsid w:val="00B05A8D"/>
    <w:rsid w:val="00B05CB0"/>
    <w:rsid w:val="00B05CB3"/>
    <w:rsid w:val="00B05D15"/>
    <w:rsid w:val="00B0608F"/>
    <w:rsid w:val="00B061B4"/>
    <w:rsid w:val="00B0632C"/>
    <w:rsid w:val="00B06675"/>
    <w:rsid w:val="00B06DA8"/>
    <w:rsid w:val="00B06EBF"/>
    <w:rsid w:val="00B06F70"/>
    <w:rsid w:val="00B07055"/>
    <w:rsid w:val="00B07421"/>
    <w:rsid w:val="00B07547"/>
    <w:rsid w:val="00B07717"/>
    <w:rsid w:val="00B07755"/>
    <w:rsid w:val="00B0779B"/>
    <w:rsid w:val="00B077C9"/>
    <w:rsid w:val="00B078A5"/>
    <w:rsid w:val="00B078EF"/>
    <w:rsid w:val="00B079D9"/>
    <w:rsid w:val="00B07A12"/>
    <w:rsid w:val="00B07B57"/>
    <w:rsid w:val="00B07C8C"/>
    <w:rsid w:val="00B07F2E"/>
    <w:rsid w:val="00B10034"/>
    <w:rsid w:val="00B1015C"/>
    <w:rsid w:val="00B105E3"/>
    <w:rsid w:val="00B10A72"/>
    <w:rsid w:val="00B10B66"/>
    <w:rsid w:val="00B10BD8"/>
    <w:rsid w:val="00B10C48"/>
    <w:rsid w:val="00B10E46"/>
    <w:rsid w:val="00B10EC7"/>
    <w:rsid w:val="00B10EE6"/>
    <w:rsid w:val="00B11059"/>
    <w:rsid w:val="00B11198"/>
    <w:rsid w:val="00B1125C"/>
    <w:rsid w:val="00B1138C"/>
    <w:rsid w:val="00B1155E"/>
    <w:rsid w:val="00B11C0C"/>
    <w:rsid w:val="00B11D3C"/>
    <w:rsid w:val="00B11E49"/>
    <w:rsid w:val="00B11E52"/>
    <w:rsid w:val="00B11EFF"/>
    <w:rsid w:val="00B11F6F"/>
    <w:rsid w:val="00B121A5"/>
    <w:rsid w:val="00B124CC"/>
    <w:rsid w:val="00B1251D"/>
    <w:rsid w:val="00B12748"/>
    <w:rsid w:val="00B129C7"/>
    <w:rsid w:val="00B12A9C"/>
    <w:rsid w:val="00B12C99"/>
    <w:rsid w:val="00B12DF8"/>
    <w:rsid w:val="00B12E3F"/>
    <w:rsid w:val="00B12EE5"/>
    <w:rsid w:val="00B12FE2"/>
    <w:rsid w:val="00B13035"/>
    <w:rsid w:val="00B1306E"/>
    <w:rsid w:val="00B13228"/>
    <w:rsid w:val="00B1329C"/>
    <w:rsid w:val="00B13385"/>
    <w:rsid w:val="00B133F8"/>
    <w:rsid w:val="00B1343F"/>
    <w:rsid w:val="00B138EF"/>
    <w:rsid w:val="00B139EB"/>
    <w:rsid w:val="00B13BAA"/>
    <w:rsid w:val="00B13D15"/>
    <w:rsid w:val="00B140B3"/>
    <w:rsid w:val="00B14204"/>
    <w:rsid w:val="00B142E1"/>
    <w:rsid w:val="00B1451A"/>
    <w:rsid w:val="00B14953"/>
    <w:rsid w:val="00B149DE"/>
    <w:rsid w:val="00B14B12"/>
    <w:rsid w:val="00B14DF8"/>
    <w:rsid w:val="00B14F60"/>
    <w:rsid w:val="00B15224"/>
    <w:rsid w:val="00B1523F"/>
    <w:rsid w:val="00B15429"/>
    <w:rsid w:val="00B155A2"/>
    <w:rsid w:val="00B1565F"/>
    <w:rsid w:val="00B15715"/>
    <w:rsid w:val="00B15A36"/>
    <w:rsid w:val="00B16047"/>
    <w:rsid w:val="00B1626E"/>
    <w:rsid w:val="00B16530"/>
    <w:rsid w:val="00B16892"/>
    <w:rsid w:val="00B16A4B"/>
    <w:rsid w:val="00B16D98"/>
    <w:rsid w:val="00B16EE4"/>
    <w:rsid w:val="00B16F10"/>
    <w:rsid w:val="00B17161"/>
    <w:rsid w:val="00B17207"/>
    <w:rsid w:val="00B17260"/>
    <w:rsid w:val="00B1747A"/>
    <w:rsid w:val="00B174E0"/>
    <w:rsid w:val="00B17747"/>
    <w:rsid w:val="00B177F5"/>
    <w:rsid w:val="00B179D5"/>
    <w:rsid w:val="00B17A76"/>
    <w:rsid w:val="00B17AED"/>
    <w:rsid w:val="00B17B27"/>
    <w:rsid w:val="00B17BFB"/>
    <w:rsid w:val="00B17FD3"/>
    <w:rsid w:val="00B20415"/>
    <w:rsid w:val="00B20487"/>
    <w:rsid w:val="00B205BD"/>
    <w:rsid w:val="00B206AF"/>
    <w:rsid w:val="00B207A8"/>
    <w:rsid w:val="00B208C6"/>
    <w:rsid w:val="00B20BB1"/>
    <w:rsid w:val="00B20D14"/>
    <w:rsid w:val="00B20F2C"/>
    <w:rsid w:val="00B2113F"/>
    <w:rsid w:val="00B21211"/>
    <w:rsid w:val="00B21335"/>
    <w:rsid w:val="00B2142C"/>
    <w:rsid w:val="00B2142E"/>
    <w:rsid w:val="00B21BEB"/>
    <w:rsid w:val="00B22178"/>
    <w:rsid w:val="00B2227C"/>
    <w:rsid w:val="00B22556"/>
    <w:rsid w:val="00B22701"/>
    <w:rsid w:val="00B228D8"/>
    <w:rsid w:val="00B22932"/>
    <w:rsid w:val="00B22C51"/>
    <w:rsid w:val="00B22E81"/>
    <w:rsid w:val="00B234E5"/>
    <w:rsid w:val="00B23A0F"/>
    <w:rsid w:val="00B23B31"/>
    <w:rsid w:val="00B23EC0"/>
    <w:rsid w:val="00B24008"/>
    <w:rsid w:val="00B240B5"/>
    <w:rsid w:val="00B24157"/>
    <w:rsid w:val="00B24254"/>
    <w:rsid w:val="00B2446C"/>
    <w:rsid w:val="00B246EC"/>
    <w:rsid w:val="00B2484B"/>
    <w:rsid w:val="00B24A30"/>
    <w:rsid w:val="00B24ADD"/>
    <w:rsid w:val="00B24C3C"/>
    <w:rsid w:val="00B24C7E"/>
    <w:rsid w:val="00B24FB1"/>
    <w:rsid w:val="00B2500E"/>
    <w:rsid w:val="00B25113"/>
    <w:rsid w:val="00B251FA"/>
    <w:rsid w:val="00B2529F"/>
    <w:rsid w:val="00B2539C"/>
    <w:rsid w:val="00B2571E"/>
    <w:rsid w:val="00B25784"/>
    <w:rsid w:val="00B258A0"/>
    <w:rsid w:val="00B25B15"/>
    <w:rsid w:val="00B25B25"/>
    <w:rsid w:val="00B25C4D"/>
    <w:rsid w:val="00B25C66"/>
    <w:rsid w:val="00B25E48"/>
    <w:rsid w:val="00B26085"/>
    <w:rsid w:val="00B2617C"/>
    <w:rsid w:val="00B2663C"/>
    <w:rsid w:val="00B266F9"/>
    <w:rsid w:val="00B2692C"/>
    <w:rsid w:val="00B26EF5"/>
    <w:rsid w:val="00B27060"/>
    <w:rsid w:val="00B271DE"/>
    <w:rsid w:val="00B273A5"/>
    <w:rsid w:val="00B27718"/>
    <w:rsid w:val="00B2780B"/>
    <w:rsid w:val="00B27AF2"/>
    <w:rsid w:val="00B30365"/>
    <w:rsid w:val="00B303BE"/>
    <w:rsid w:val="00B30595"/>
    <w:rsid w:val="00B3076F"/>
    <w:rsid w:val="00B30A16"/>
    <w:rsid w:val="00B30C53"/>
    <w:rsid w:val="00B30D3F"/>
    <w:rsid w:val="00B30E15"/>
    <w:rsid w:val="00B30E1E"/>
    <w:rsid w:val="00B31054"/>
    <w:rsid w:val="00B316DB"/>
    <w:rsid w:val="00B31755"/>
    <w:rsid w:val="00B31758"/>
    <w:rsid w:val="00B319AD"/>
    <w:rsid w:val="00B31C47"/>
    <w:rsid w:val="00B31C71"/>
    <w:rsid w:val="00B31D55"/>
    <w:rsid w:val="00B3205E"/>
    <w:rsid w:val="00B32088"/>
    <w:rsid w:val="00B3227F"/>
    <w:rsid w:val="00B322C6"/>
    <w:rsid w:val="00B32527"/>
    <w:rsid w:val="00B32679"/>
    <w:rsid w:val="00B32917"/>
    <w:rsid w:val="00B32992"/>
    <w:rsid w:val="00B330C1"/>
    <w:rsid w:val="00B33105"/>
    <w:rsid w:val="00B33378"/>
    <w:rsid w:val="00B334B1"/>
    <w:rsid w:val="00B335FC"/>
    <w:rsid w:val="00B33AB9"/>
    <w:rsid w:val="00B33D84"/>
    <w:rsid w:val="00B33F6E"/>
    <w:rsid w:val="00B33FFF"/>
    <w:rsid w:val="00B34055"/>
    <w:rsid w:val="00B34070"/>
    <w:rsid w:val="00B3449C"/>
    <w:rsid w:val="00B34693"/>
    <w:rsid w:val="00B347DF"/>
    <w:rsid w:val="00B347E0"/>
    <w:rsid w:val="00B347E5"/>
    <w:rsid w:val="00B34A1E"/>
    <w:rsid w:val="00B34BA4"/>
    <w:rsid w:val="00B34D26"/>
    <w:rsid w:val="00B352B4"/>
    <w:rsid w:val="00B35769"/>
    <w:rsid w:val="00B35824"/>
    <w:rsid w:val="00B35945"/>
    <w:rsid w:val="00B35CA9"/>
    <w:rsid w:val="00B35D11"/>
    <w:rsid w:val="00B35F00"/>
    <w:rsid w:val="00B35F20"/>
    <w:rsid w:val="00B35F35"/>
    <w:rsid w:val="00B36122"/>
    <w:rsid w:val="00B36290"/>
    <w:rsid w:val="00B363B8"/>
    <w:rsid w:val="00B36492"/>
    <w:rsid w:val="00B36929"/>
    <w:rsid w:val="00B36C6E"/>
    <w:rsid w:val="00B36D2E"/>
    <w:rsid w:val="00B36D80"/>
    <w:rsid w:val="00B36E31"/>
    <w:rsid w:val="00B36F04"/>
    <w:rsid w:val="00B370B4"/>
    <w:rsid w:val="00B37314"/>
    <w:rsid w:val="00B375E2"/>
    <w:rsid w:val="00B37867"/>
    <w:rsid w:val="00B379E5"/>
    <w:rsid w:val="00B37AA3"/>
    <w:rsid w:val="00B37C0F"/>
    <w:rsid w:val="00B37F68"/>
    <w:rsid w:val="00B4002F"/>
    <w:rsid w:val="00B40097"/>
    <w:rsid w:val="00B401C2"/>
    <w:rsid w:val="00B4027E"/>
    <w:rsid w:val="00B403F9"/>
    <w:rsid w:val="00B40447"/>
    <w:rsid w:val="00B406B8"/>
    <w:rsid w:val="00B40A6D"/>
    <w:rsid w:val="00B40F22"/>
    <w:rsid w:val="00B40FB5"/>
    <w:rsid w:val="00B40FBD"/>
    <w:rsid w:val="00B41030"/>
    <w:rsid w:val="00B41150"/>
    <w:rsid w:val="00B411CF"/>
    <w:rsid w:val="00B411D0"/>
    <w:rsid w:val="00B4190C"/>
    <w:rsid w:val="00B41BC4"/>
    <w:rsid w:val="00B41BE3"/>
    <w:rsid w:val="00B42053"/>
    <w:rsid w:val="00B4205B"/>
    <w:rsid w:val="00B42465"/>
    <w:rsid w:val="00B42763"/>
    <w:rsid w:val="00B4288D"/>
    <w:rsid w:val="00B42996"/>
    <w:rsid w:val="00B42C8D"/>
    <w:rsid w:val="00B42D4C"/>
    <w:rsid w:val="00B433D2"/>
    <w:rsid w:val="00B4395C"/>
    <w:rsid w:val="00B439C5"/>
    <w:rsid w:val="00B43A26"/>
    <w:rsid w:val="00B43BEA"/>
    <w:rsid w:val="00B43E50"/>
    <w:rsid w:val="00B43F9A"/>
    <w:rsid w:val="00B44126"/>
    <w:rsid w:val="00B44153"/>
    <w:rsid w:val="00B441FB"/>
    <w:rsid w:val="00B4445A"/>
    <w:rsid w:val="00B44666"/>
    <w:rsid w:val="00B448E1"/>
    <w:rsid w:val="00B44A1D"/>
    <w:rsid w:val="00B44A2A"/>
    <w:rsid w:val="00B44B10"/>
    <w:rsid w:val="00B44C05"/>
    <w:rsid w:val="00B44C8C"/>
    <w:rsid w:val="00B44F4C"/>
    <w:rsid w:val="00B450C5"/>
    <w:rsid w:val="00B4516E"/>
    <w:rsid w:val="00B45194"/>
    <w:rsid w:val="00B451AB"/>
    <w:rsid w:val="00B45302"/>
    <w:rsid w:val="00B456BD"/>
    <w:rsid w:val="00B457D7"/>
    <w:rsid w:val="00B45C32"/>
    <w:rsid w:val="00B45F0D"/>
    <w:rsid w:val="00B4614B"/>
    <w:rsid w:val="00B4618E"/>
    <w:rsid w:val="00B461B0"/>
    <w:rsid w:val="00B46235"/>
    <w:rsid w:val="00B46262"/>
    <w:rsid w:val="00B462D5"/>
    <w:rsid w:val="00B4652B"/>
    <w:rsid w:val="00B4666E"/>
    <w:rsid w:val="00B46A8F"/>
    <w:rsid w:val="00B46AC3"/>
    <w:rsid w:val="00B46E8E"/>
    <w:rsid w:val="00B47247"/>
    <w:rsid w:val="00B4725C"/>
    <w:rsid w:val="00B473E8"/>
    <w:rsid w:val="00B47403"/>
    <w:rsid w:val="00B474DA"/>
    <w:rsid w:val="00B47B4B"/>
    <w:rsid w:val="00B47C22"/>
    <w:rsid w:val="00B47C9A"/>
    <w:rsid w:val="00B47D25"/>
    <w:rsid w:val="00B47F36"/>
    <w:rsid w:val="00B5011E"/>
    <w:rsid w:val="00B5014B"/>
    <w:rsid w:val="00B50203"/>
    <w:rsid w:val="00B5021B"/>
    <w:rsid w:val="00B502DE"/>
    <w:rsid w:val="00B5030F"/>
    <w:rsid w:val="00B507ED"/>
    <w:rsid w:val="00B5099D"/>
    <w:rsid w:val="00B509A0"/>
    <w:rsid w:val="00B50F9D"/>
    <w:rsid w:val="00B5105B"/>
    <w:rsid w:val="00B510AC"/>
    <w:rsid w:val="00B5116D"/>
    <w:rsid w:val="00B51211"/>
    <w:rsid w:val="00B51265"/>
    <w:rsid w:val="00B5145A"/>
    <w:rsid w:val="00B51543"/>
    <w:rsid w:val="00B517DE"/>
    <w:rsid w:val="00B51B6A"/>
    <w:rsid w:val="00B51D20"/>
    <w:rsid w:val="00B51D45"/>
    <w:rsid w:val="00B51ECA"/>
    <w:rsid w:val="00B51F01"/>
    <w:rsid w:val="00B52144"/>
    <w:rsid w:val="00B52560"/>
    <w:rsid w:val="00B5264F"/>
    <w:rsid w:val="00B528E7"/>
    <w:rsid w:val="00B52B53"/>
    <w:rsid w:val="00B52C29"/>
    <w:rsid w:val="00B52C79"/>
    <w:rsid w:val="00B52FD4"/>
    <w:rsid w:val="00B53184"/>
    <w:rsid w:val="00B5323B"/>
    <w:rsid w:val="00B53477"/>
    <w:rsid w:val="00B53580"/>
    <w:rsid w:val="00B5372F"/>
    <w:rsid w:val="00B539F7"/>
    <w:rsid w:val="00B53AE5"/>
    <w:rsid w:val="00B53CE9"/>
    <w:rsid w:val="00B53E2D"/>
    <w:rsid w:val="00B53FA1"/>
    <w:rsid w:val="00B5414A"/>
    <w:rsid w:val="00B542C2"/>
    <w:rsid w:val="00B5489C"/>
    <w:rsid w:val="00B54958"/>
    <w:rsid w:val="00B54996"/>
    <w:rsid w:val="00B54B44"/>
    <w:rsid w:val="00B54D19"/>
    <w:rsid w:val="00B54DDB"/>
    <w:rsid w:val="00B54ED0"/>
    <w:rsid w:val="00B5523B"/>
    <w:rsid w:val="00B55266"/>
    <w:rsid w:val="00B552BE"/>
    <w:rsid w:val="00B55496"/>
    <w:rsid w:val="00B5572B"/>
    <w:rsid w:val="00B55875"/>
    <w:rsid w:val="00B55A48"/>
    <w:rsid w:val="00B55B07"/>
    <w:rsid w:val="00B55B2F"/>
    <w:rsid w:val="00B55BA9"/>
    <w:rsid w:val="00B55CE0"/>
    <w:rsid w:val="00B55CE5"/>
    <w:rsid w:val="00B55DFB"/>
    <w:rsid w:val="00B55F46"/>
    <w:rsid w:val="00B5603C"/>
    <w:rsid w:val="00B5615F"/>
    <w:rsid w:val="00B5642B"/>
    <w:rsid w:val="00B56592"/>
    <w:rsid w:val="00B56606"/>
    <w:rsid w:val="00B56652"/>
    <w:rsid w:val="00B56774"/>
    <w:rsid w:val="00B5693B"/>
    <w:rsid w:val="00B56B98"/>
    <w:rsid w:val="00B56D6D"/>
    <w:rsid w:val="00B56EBD"/>
    <w:rsid w:val="00B572D2"/>
    <w:rsid w:val="00B573F5"/>
    <w:rsid w:val="00B5741B"/>
    <w:rsid w:val="00B5749B"/>
    <w:rsid w:val="00B57502"/>
    <w:rsid w:val="00B5758F"/>
    <w:rsid w:val="00B57704"/>
    <w:rsid w:val="00B57776"/>
    <w:rsid w:val="00B57985"/>
    <w:rsid w:val="00B57B4E"/>
    <w:rsid w:val="00B57D9E"/>
    <w:rsid w:val="00B57E00"/>
    <w:rsid w:val="00B60205"/>
    <w:rsid w:val="00B602DB"/>
    <w:rsid w:val="00B603BA"/>
    <w:rsid w:val="00B603CC"/>
    <w:rsid w:val="00B6041C"/>
    <w:rsid w:val="00B606A5"/>
    <w:rsid w:val="00B60AB7"/>
    <w:rsid w:val="00B60AFA"/>
    <w:rsid w:val="00B60AFB"/>
    <w:rsid w:val="00B60C29"/>
    <w:rsid w:val="00B60C39"/>
    <w:rsid w:val="00B60E73"/>
    <w:rsid w:val="00B610D4"/>
    <w:rsid w:val="00B6113B"/>
    <w:rsid w:val="00B61422"/>
    <w:rsid w:val="00B61461"/>
    <w:rsid w:val="00B61922"/>
    <w:rsid w:val="00B61B78"/>
    <w:rsid w:val="00B61C9C"/>
    <w:rsid w:val="00B61E13"/>
    <w:rsid w:val="00B61F03"/>
    <w:rsid w:val="00B62147"/>
    <w:rsid w:val="00B62214"/>
    <w:rsid w:val="00B62273"/>
    <w:rsid w:val="00B6254F"/>
    <w:rsid w:val="00B62740"/>
    <w:rsid w:val="00B627B6"/>
    <w:rsid w:val="00B62839"/>
    <w:rsid w:val="00B628AE"/>
    <w:rsid w:val="00B62C77"/>
    <w:rsid w:val="00B62D75"/>
    <w:rsid w:val="00B62EE3"/>
    <w:rsid w:val="00B6306C"/>
    <w:rsid w:val="00B635CB"/>
    <w:rsid w:val="00B63645"/>
    <w:rsid w:val="00B636F5"/>
    <w:rsid w:val="00B63942"/>
    <w:rsid w:val="00B639E3"/>
    <w:rsid w:val="00B63AA5"/>
    <w:rsid w:val="00B63D89"/>
    <w:rsid w:val="00B642BA"/>
    <w:rsid w:val="00B6486C"/>
    <w:rsid w:val="00B6490D"/>
    <w:rsid w:val="00B64EE5"/>
    <w:rsid w:val="00B650D0"/>
    <w:rsid w:val="00B6559C"/>
    <w:rsid w:val="00B655B4"/>
    <w:rsid w:val="00B65769"/>
    <w:rsid w:val="00B657A3"/>
    <w:rsid w:val="00B65BA7"/>
    <w:rsid w:val="00B65CAF"/>
    <w:rsid w:val="00B65CF7"/>
    <w:rsid w:val="00B65E35"/>
    <w:rsid w:val="00B660E2"/>
    <w:rsid w:val="00B66150"/>
    <w:rsid w:val="00B6623A"/>
    <w:rsid w:val="00B6649E"/>
    <w:rsid w:val="00B666AB"/>
    <w:rsid w:val="00B66771"/>
    <w:rsid w:val="00B669D4"/>
    <w:rsid w:val="00B66A2F"/>
    <w:rsid w:val="00B66E2D"/>
    <w:rsid w:val="00B671C6"/>
    <w:rsid w:val="00B67276"/>
    <w:rsid w:val="00B67E5D"/>
    <w:rsid w:val="00B67F4B"/>
    <w:rsid w:val="00B67FA6"/>
    <w:rsid w:val="00B7027F"/>
    <w:rsid w:val="00B70334"/>
    <w:rsid w:val="00B703F2"/>
    <w:rsid w:val="00B70B26"/>
    <w:rsid w:val="00B70B65"/>
    <w:rsid w:val="00B70B6D"/>
    <w:rsid w:val="00B70C95"/>
    <w:rsid w:val="00B70D31"/>
    <w:rsid w:val="00B70D4A"/>
    <w:rsid w:val="00B711AF"/>
    <w:rsid w:val="00B7167E"/>
    <w:rsid w:val="00B71C2B"/>
    <w:rsid w:val="00B7227B"/>
    <w:rsid w:val="00B72322"/>
    <w:rsid w:val="00B7235E"/>
    <w:rsid w:val="00B72455"/>
    <w:rsid w:val="00B7250E"/>
    <w:rsid w:val="00B72691"/>
    <w:rsid w:val="00B7270C"/>
    <w:rsid w:val="00B72719"/>
    <w:rsid w:val="00B7274E"/>
    <w:rsid w:val="00B7277B"/>
    <w:rsid w:val="00B72B10"/>
    <w:rsid w:val="00B72C91"/>
    <w:rsid w:val="00B72ED8"/>
    <w:rsid w:val="00B72F2E"/>
    <w:rsid w:val="00B73137"/>
    <w:rsid w:val="00B73435"/>
    <w:rsid w:val="00B739A8"/>
    <w:rsid w:val="00B73B1E"/>
    <w:rsid w:val="00B73F2B"/>
    <w:rsid w:val="00B73F98"/>
    <w:rsid w:val="00B748C6"/>
    <w:rsid w:val="00B74980"/>
    <w:rsid w:val="00B74985"/>
    <w:rsid w:val="00B74AD1"/>
    <w:rsid w:val="00B74D29"/>
    <w:rsid w:val="00B74D37"/>
    <w:rsid w:val="00B74E0D"/>
    <w:rsid w:val="00B74EBC"/>
    <w:rsid w:val="00B7510B"/>
    <w:rsid w:val="00B75237"/>
    <w:rsid w:val="00B75334"/>
    <w:rsid w:val="00B755F4"/>
    <w:rsid w:val="00B756C3"/>
    <w:rsid w:val="00B75830"/>
    <w:rsid w:val="00B7592D"/>
    <w:rsid w:val="00B759B0"/>
    <w:rsid w:val="00B75A5C"/>
    <w:rsid w:val="00B75AAA"/>
    <w:rsid w:val="00B75AD2"/>
    <w:rsid w:val="00B75BA9"/>
    <w:rsid w:val="00B75E77"/>
    <w:rsid w:val="00B75EC8"/>
    <w:rsid w:val="00B75EF7"/>
    <w:rsid w:val="00B75FCB"/>
    <w:rsid w:val="00B7604E"/>
    <w:rsid w:val="00B761FE"/>
    <w:rsid w:val="00B764FE"/>
    <w:rsid w:val="00B767B8"/>
    <w:rsid w:val="00B76A86"/>
    <w:rsid w:val="00B76C35"/>
    <w:rsid w:val="00B76EFD"/>
    <w:rsid w:val="00B76F0E"/>
    <w:rsid w:val="00B76F36"/>
    <w:rsid w:val="00B76F9F"/>
    <w:rsid w:val="00B77063"/>
    <w:rsid w:val="00B77191"/>
    <w:rsid w:val="00B774F4"/>
    <w:rsid w:val="00B77529"/>
    <w:rsid w:val="00B77590"/>
    <w:rsid w:val="00B7759F"/>
    <w:rsid w:val="00B779D1"/>
    <w:rsid w:val="00B77A09"/>
    <w:rsid w:val="00B77A59"/>
    <w:rsid w:val="00B77BFF"/>
    <w:rsid w:val="00B77D9B"/>
    <w:rsid w:val="00B77E0D"/>
    <w:rsid w:val="00B77E30"/>
    <w:rsid w:val="00B77F01"/>
    <w:rsid w:val="00B801AA"/>
    <w:rsid w:val="00B80407"/>
    <w:rsid w:val="00B805DD"/>
    <w:rsid w:val="00B80941"/>
    <w:rsid w:val="00B809DE"/>
    <w:rsid w:val="00B80EB9"/>
    <w:rsid w:val="00B80F86"/>
    <w:rsid w:val="00B80FAB"/>
    <w:rsid w:val="00B81185"/>
    <w:rsid w:val="00B81254"/>
    <w:rsid w:val="00B81349"/>
    <w:rsid w:val="00B816BE"/>
    <w:rsid w:val="00B8178D"/>
    <w:rsid w:val="00B817E7"/>
    <w:rsid w:val="00B81AF7"/>
    <w:rsid w:val="00B81CE1"/>
    <w:rsid w:val="00B81ED2"/>
    <w:rsid w:val="00B82104"/>
    <w:rsid w:val="00B82165"/>
    <w:rsid w:val="00B8230F"/>
    <w:rsid w:val="00B823C6"/>
    <w:rsid w:val="00B825CA"/>
    <w:rsid w:val="00B825D5"/>
    <w:rsid w:val="00B825F1"/>
    <w:rsid w:val="00B82711"/>
    <w:rsid w:val="00B8292B"/>
    <w:rsid w:val="00B82940"/>
    <w:rsid w:val="00B829C0"/>
    <w:rsid w:val="00B82A8F"/>
    <w:rsid w:val="00B82AEE"/>
    <w:rsid w:val="00B82C92"/>
    <w:rsid w:val="00B82DC7"/>
    <w:rsid w:val="00B82DDD"/>
    <w:rsid w:val="00B82FE2"/>
    <w:rsid w:val="00B831A3"/>
    <w:rsid w:val="00B83395"/>
    <w:rsid w:val="00B833AC"/>
    <w:rsid w:val="00B83641"/>
    <w:rsid w:val="00B83A3A"/>
    <w:rsid w:val="00B83CBC"/>
    <w:rsid w:val="00B83F68"/>
    <w:rsid w:val="00B8413B"/>
    <w:rsid w:val="00B84140"/>
    <w:rsid w:val="00B841BA"/>
    <w:rsid w:val="00B841DD"/>
    <w:rsid w:val="00B845F0"/>
    <w:rsid w:val="00B84964"/>
    <w:rsid w:val="00B84BD1"/>
    <w:rsid w:val="00B84C66"/>
    <w:rsid w:val="00B84CD1"/>
    <w:rsid w:val="00B84CD2"/>
    <w:rsid w:val="00B85176"/>
    <w:rsid w:val="00B8535E"/>
    <w:rsid w:val="00B854D4"/>
    <w:rsid w:val="00B8587E"/>
    <w:rsid w:val="00B85909"/>
    <w:rsid w:val="00B85AA0"/>
    <w:rsid w:val="00B85B32"/>
    <w:rsid w:val="00B85B73"/>
    <w:rsid w:val="00B85CB7"/>
    <w:rsid w:val="00B85CF3"/>
    <w:rsid w:val="00B861CA"/>
    <w:rsid w:val="00B86382"/>
    <w:rsid w:val="00B86398"/>
    <w:rsid w:val="00B86A20"/>
    <w:rsid w:val="00B86E39"/>
    <w:rsid w:val="00B86EDA"/>
    <w:rsid w:val="00B872B3"/>
    <w:rsid w:val="00B8738F"/>
    <w:rsid w:val="00B873F7"/>
    <w:rsid w:val="00B87454"/>
    <w:rsid w:val="00B87568"/>
    <w:rsid w:val="00B8786E"/>
    <w:rsid w:val="00B87951"/>
    <w:rsid w:val="00B87CCE"/>
    <w:rsid w:val="00B902EC"/>
    <w:rsid w:val="00B9075A"/>
    <w:rsid w:val="00B909D4"/>
    <w:rsid w:val="00B90EBC"/>
    <w:rsid w:val="00B90F2A"/>
    <w:rsid w:val="00B91267"/>
    <w:rsid w:val="00B91390"/>
    <w:rsid w:val="00B91446"/>
    <w:rsid w:val="00B914ED"/>
    <w:rsid w:val="00B917EE"/>
    <w:rsid w:val="00B91BA4"/>
    <w:rsid w:val="00B91FF5"/>
    <w:rsid w:val="00B920B3"/>
    <w:rsid w:val="00B9245E"/>
    <w:rsid w:val="00B929BC"/>
    <w:rsid w:val="00B92AFB"/>
    <w:rsid w:val="00B92C4F"/>
    <w:rsid w:val="00B92D8C"/>
    <w:rsid w:val="00B92DB5"/>
    <w:rsid w:val="00B92F34"/>
    <w:rsid w:val="00B92F57"/>
    <w:rsid w:val="00B92FAA"/>
    <w:rsid w:val="00B9319B"/>
    <w:rsid w:val="00B9330A"/>
    <w:rsid w:val="00B936B0"/>
    <w:rsid w:val="00B93897"/>
    <w:rsid w:val="00B93C2A"/>
    <w:rsid w:val="00B93D01"/>
    <w:rsid w:val="00B93EF8"/>
    <w:rsid w:val="00B93F7F"/>
    <w:rsid w:val="00B944BA"/>
    <w:rsid w:val="00B947D2"/>
    <w:rsid w:val="00B949FC"/>
    <w:rsid w:val="00B9535C"/>
    <w:rsid w:val="00B953DF"/>
    <w:rsid w:val="00B95631"/>
    <w:rsid w:val="00B95743"/>
    <w:rsid w:val="00B95C0E"/>
    <w:rsid w:val="00B95F9F"/>
    <w:rsid w:val="00B96271"/>
    <w:rsid w:val="00B962E5"/>
    <w:rsid w:val="00B9640C"/>
    <w:rsid w:val="00B964A1"/>
    <w:rsid w:val="00B9650F"/>
    <w:rsid w:val="00B96868"/>
    <w:rsid w:val="00B9712D"/>
    <w:rsid w:val="00B973F7"/>
    <w:rsid w:val="00B97762"/>
    <w:rsid w:val="00B97C75"/>
    <w:rsid w:val="00B97C8A"/>
    <w:rsid w:val="00B97C8F"/>
    <w:rsid w:val="00B97CB1"/>
    <w:rsid w:val="00B97F40"/>
    <w:rsid w:val="00B97F50"/>
    <w:rsid w:val="00B97F56"/>
    <w:rsid w:val="00B97FDA"/>
    <w:rsid w:val="00BA0163"/>
    <w:rsid w:val="00BA0686"/>
    <w:rsid w:val="00BA0777"/>
    <w:rsid w:val="00BA098C"/>
    <w:rsid w:val="00BA09C5"/>
    <w:rsid w:val="00BA0A10"/>
    <w:rsid w:val="00BA0D95"/>
    <w:rsid w:val="00BA0E72"/>
    <w:rsid w:val="00BA1106"/>
    <w:rsid w:val="00BA1132"/>
    <w:rsid w:val="00BA13CF"/>
    <w:rsid w:val="00BA1671"/>
    <w:rsid w:val="00BA170E"/>
    <w:rsid w:val="00BA18AC"/>
    <w:rsid w:val="00BA198C"/>
    <w:rsid w:val="00BA1AF3"/>
    <w:rsid w:val="00BA1C43"/>
    <w:rsid w:val="00BA20F6"/>
    <w:rsid w:val="00BA214A"/>
    <w:rsid w:val="00BA218C"/>
    <w:rsid w:val="00BA2223"/>
    <w:rsid w:val="00BA23CA"/>
    <w:rsid w:val="00BA246D"/>
    <w:rsid w:val="00BA24AC"/>
    <w:rsid w:val="00BA264C"/>
    <w:rsid w:val="00BA264F"/>
    <w:rsid w:val="00BA267C"/>
    <w:rsid w:val="00BA276A"/>
    <w:rsid w:val="00BA2879"/>
    <w:rsid w:val="00BA2B4D"/>
    <w:rsid w:val="00BA2B8C"/>
    <w:rsid w:val="00BA2F62"/>
    <w:rsid w:val="00BA2F72"/>
    <w:rsid w:val="00BA33DD"/>
    <w:rsid w:val="00BA3402"/>
    <w:rsid w:val="00BA363C"/>
    <w:rsid w:val="00BA37B6"/>
    <w:rsid w:val="00BA3B50"/>
    <w:rsid w:val="00BA3B56"/>
    <w:rsid w:val="00BA3F29"/>
    <w:rsid w:val="00BA42BF"/>
    <w:rsid w:val="00BA42F1"/>
    <w:rsid w:val="00BA432F"/>
    <w:rsid w:val="00BA4412"/>
    <w:rsid w:val="00BA452C"/>
    <w:rsid w:val="00BA45D4"/>
    <w:rsid w:val="00BA48E8"/>
    <w:rsid w:val="00BA4DF1"/>
    <w:rsid w:val="00BA5013"/>
    <w:rsid w:val="00BA5040"/>
    <w:rsid w:val="00BA526B"/>
    <w:rsid w:val="00BA5316"/>
    <w:rsid w:val="00BA5655"/>
    <w:rsid w:val="00BA5815"/>
    <w:rsid w:val="00BA58CF"/>
    <w:rsid w:val="00BA5AE5"/>
    <w:rsid w:val="00BA5B56"/>
    <w:rsid w:val="00BA5D4B"/>
    <w:rsid w:val="00BA5E01"/>
    <w:rsid w:val="00BA5E15"/>
    <w:rsid w:val="00BA5E1D"/>
    <w:rsid w:val="00BA6538"/>
    <w:rsid w:val="00BA6811"/>
    <w:rsid w:val="00BA6A2A"/>
    <w:rsid w:val="00BA6D5D"/>
    <w:rsid w:val="00BA6EB0"/>
    <w:rsid w:val="00BA7111"/>
    <w:rsid w:val="00BA767F"/>
    <w:rsid w:val="00BA7B2E"/>
    <w:rsid w:val="00BA7BA7"/>
    <w:rsid w:val="00BA7C7B"/>
    <w:rsid w:val="00BA7CDE"/>
    <w:rsid w:val="00BA7E31"/>
    <w:rsid w:val="00BA7F52"/>
    <w:rsid w:val="00BA7FA7"/>
    <w:rsid w:val="00BA7FD3"/>
    <w:rsid w:val="00BB02BD"/>
    <w:rsid w:val="00BB03D6"/>
    <w:rsid w:val="00BB03DB"/>
    <w:rsid w:val="00BB05BA"/>
    <w:rsid w:val="00BB0672"/>
    <w:rsid w:val="00BB0925"/>
    <w:rsid w:val="00BB09B6"/>
    <w:rsid w:val="00BB0A95"/>
    <w:rsid w:val="00BB0B24"/>
    <w:rsid w:val="00BB10B1"/>
    <w:rsid w:val="00BB114A"/>
    <w:rsid w:val="00BB11FF"/>
    <w:rsid w:val="00BB13D6"/>
    <w:rsid w:val="00BB13EA"/>
    <w:rsid w:val="00BB158A"/>
    <w:rsid w:val="00BB15F0"/>
    <w:rsid w:val="00BB1655"/>
    <w:rsid w:val="00BB198B"/>
    <w:rsid w:val="00BB1B77"/>
    <w:rsid w:val="00BB1BC4"/>
    <w:rsid w:val="00BB1C5A"/>
    <w:rsid w:val="00BB1D87"/>
    <w:rsid w:val="00BB21EB"/>
    <w:rsid w:val="00BB22E1"/>
    <w:rsid w:val="00BB233D"/>
    <w:rsid w:val="00BB2692"/>
    <w:rsid w:val="00BB26BD"/>
    <w:rsid w:val="00BB27C8"/>
    <w:rsid w:val="00BB28D7"/>
    <w:rsid w:val="00BB29CC"/>
    <w:rsid w:val="00BB2D2B"/>
    <w:rsid w:val="00BB2E11"/>
    <w:rsid w:val="00BB2EE5"/>
    <w:rsid w:val="00BB2F9D"/>
    <w:rsid w:val="00BB30EB"/>
    <w:rsid w:val="00BB34C8"/>
    <w:rsid w:val="00BB3B5E"/>
    <w:rsid w:val="00BB3E92"/>
    <w:rsid w:val="00BB4380"/>
    <w:rsid w:val="00BB4386"/>
    <w:rsid w:val="00BB4736"/>
    <w:rsid w:val="00BB47D8"/>
    <w:rsid w:val="00BB4BB9"/>
    <w:rsid w:val="00BB5126"/>
    <w:rsid w:val="00BB53F6"/>
    <w:rsid w:val="00BB541F"/>
    <w:rsid w:val="00BB5466"/>
    <w:rsid w:val="00BB560D"/>
    <w:rsid w:val="00BB56FC"/>
    <w:rsid w:val="00BB5ABF"/>
    <w:rsid w:val="00BB6455"/>
    <w:rsid w:val="00BB65B7"/>
    <w:rsid w:val="00BB65E5"/>
    <w:rsid w:val="00BB6886"/>
    <w:rsid w:val="00BB69CE"/>
    <w:rsid w:val="00BB6A64"/>
    <w:rsid w:val="00BB6B16"/>
    <w:rsid w:val="00BB6BC3"/>
    <w:rsid w:val="00BB6CA1"/>
    <w:rsid w:val="00BB6D36"/>
    <w:rsid w:val="00BB6D45"/>
    <w:rsid w:val="00BB70B9"/>
    <w:rsid w:val="00BB712A"/>
    <w:rsid w:val="00BB7157"/>
    <w:rsid w:val="00BB719A"/>
    <w:rsid w:val="00BB733F"/>
    <w:rsid w:val="00BB73BA"/>
    <w:rsid w:val="00BB740B"/>
    <w:rsid w:val="00BB7429"/>
    <w:rsid w:val="00BB74C7"/>
    <w:rsid w:val="00BB7569"/>
    <w:rsid w:val="00BB7B45"/>
    <w:rsid w:val="00BB7C1C"/>
    <w:rsid w:val="00BB7DB3"/>
    <w:rsid w:val="00BB7F17"/>
    <w:rsid w:val="00BC019E"/>
    <w:rsid w:val="00BC01C6"/>
    <w:rsid w:val="00BC0282"/>
    <w:rsid w:val="00BC0287"/>
    <w:rsid w:val="00BC03E3"/>
    <w:rsid w:val="00BC0490"/>
    <w:rsid w:val="00BC07BD"/>
    <w:rsid w:val="00BC09A6"/>
    <w:rsid w:val="00BC135A"/>
    <w:rsid w:val="00BC16B6"/>
    <w:rsid w:val="00BC18DE"/>
    <w:rsid w:val="00BC191B"/>
    <w:rsid w:val="00BC1B0B"/>
    <w:rsid w:val="00BC1B6A"/>
    <w:rsid w:val="00BC1D4E"/>
    <w:rsid w:val="00BC2337"/>
    <w:rsid w:val="00BC2370"/>
    <w:rsid w:val="00BC23E6"/>
    <w:rsid w:val="00BC28DA"/>
    <w:rsid w:val="00BC29C6"/>
    <w:rsid w:val="00BC2AB8"/>
    <w:rsid w:val="00BC2B02"/>
    <w:rsid w:val="00BC2DD5"/>
    <w:rsid w:val="00BC343D"/>
    <w:rsid w:val="00BC3566"/>
    <w:rsid w:val="00BC3716"/>
    <w:rsid w:val="00BC3825"/>
    <w:rsid w:val="00BC3844"/>
    <w:rsid w:val="00BC3860"/>
    <w:rsid w:val="00BC398B"/>
    <w:rsid w:val="00BC3D70"/>
    <w:rsid w:val="00BC3DDB"/>
    <w:rsid w:val="00BC40C0"/>
    <w:rsid w:val="00BC4404"/>
    <w:rsid w:val="00BC4917"/>
    <w:rsid w:val="00BC4E90"/>
    <w:rsid w:val="00BC51E7"/>
    <w:rsid w:val="00BC53EE"/>
    <w:rsid w:val="00BC55A6"/>
    <w:rsid w:val="00BC55EC"/>
    <w:rsid w:val="00BC5886"/>
    <w:rsid w:val="00BC59A1"/>
    <w:rsid w:val="00BC5AD7"/>
    <w:rsid w:val="00BC5B03"/>
    <w:rsid w:val="00BC5EF9"/>
    <w:rsid w:val="00BC60A1"/>
    <w:rsid w:val="00BC63EB"/>
    <w:rsid w:val="00BC6537"/>
    <w:rsid w:val="00BC6539"/>
    <w:rsid w:val="00BC65EF"/>
    <w:rsid w:val="00BC665A"/>
    <w:rsid w:val="00BC689E"/>
    <w:rsid w:val="00BC68D1"/>
    <w:rsid w:val="00BC6918"/>
    <w:rsid w:val="00BC6956"/>
    <w:rsid w:val="00BC6B39"/>
    <w:rsid w:val="00BC6BA6"/>
    <w:rsid w:val="00BC6C0F"/>
    <w:rsid w:val="00BC6DCF"/>
    <w:rsid w:val="00BC6DF9"/>
    <w:rsid w:val="00BC6EF3"/>
    <w:rsid w:val="00BC6F87"/>
    <w:rsid w:val="00BC72BB"/>
    <w:rsid w:val="00BC7AF8"/>
    <w:rsid w:val="00BC7C16"/>
    <w:rsid w:val="00BC7FAE"/>
    <w:rsid w:val="00BD0504"/>
    <w:rsid w:val="00BD06AC"/>
    <w:rsid w:val="00BD09F6"/>
    <w:rsid w:val="00BD0E2A"/>
    <w:rsid w:val="00BD1915"/>
    <w:rsid w:val="00BD1D5B"/>
    <w:rsid w:val="00BD1E11"/>
    <w:rsid w:val="00BD213F"/>
    <w:rsid w:val="00BD2173"/>
    <w:rsid w:val="00BD21CA"/>
    <w:rsid w:val="00BD2261"/>
    <w:rsid w:val="00BD24D9"/>
    <w:rsid w:val="00BD24ED"/>
    <w:rsid w:val="00BD24F1"/>
    <w:rsid w:val="00BD256E"/>
    <w:rsid w:val="00BD2674"/>
    <w:rsid w:val="00BD2B8E"/>
    <w:rsid w:val="00BD2BDA"/>
    <w:rsid w:val="00BD2C72"/>
    <w:rsid w:val="00BD2E9B"/>
    <w:rsid w:val="00BD2F19"/>
    <w:rsid w:val="00BD32A9"/>
    <w:rsid w:val="00BD32E7"/>
    <w:rsid w:val="00BD33B3"/>
    <w:rsid w:val="00BD33CF"/>
    <w:rsid w:val="00BD34A6"/>
    <w:rsid w:val="00BD36B7"/>
    <w:rsid w:val="00BD378D"/>
    <w:rsid w:val="00BD37E4"/>
    <w:rsid w:val="00BD382B"/>
    <w:rsid w:val="00BD3CDB"/>
    <w:rsid w:val="00BD3D2F"/>
    <w:rsid w:val="00BD3E26"/>
    <w:rsid w:val="00BD4055"/>
    <w:rsid w:val="00BD4155"/>
    <w:rsid w:val="00BD427A"/>
    <w:rsid w:val="00BD45DF"/>
    <w:rsid w:val="00BD472C"/>
    <w:rsid w:val="00BD4948"/>
    <w:rsid w:val="00BD4B7F"/>
    <w:rsid w:val="00BD4E98"/>
    <w:rsid w:val="00BD4FB4"/>
    <w:rsid w:val="00BD501F"/>
    <w:rsid w:val="00BD526A"/>
    <w:rsid w:val="00BD53AB"/>
    <w:rsid w:val="00BD5434"/>
    <w:rsid w:val="00BD54C0"/>
    <w:rsid w:val="00BD564B"/>
    <w:rsid w:val="00BD596A"/>
    <w:rsid w:val="00BD5A03"/>
    <w:rsid w:val="00BD5A39"/>
    <w:rsid w:val="00BD5B37"/>
    <w:rsid w:val="00BD5D25"/>
    <w:rsid w:val="00BD5E01"/>
    <w:rsid w:val="00BD5EF2"/>
    <w:rsid w:val="00BD6079"/>
    <w:rsid w:val="00BD6091"/>
    <w:rsid w:val="00BD6234"/>
    <w:rsid w:val="00BD6623"/>
    <w:rsid w:val="00BD6911"/>
    <w:rsid w:val="00BD6A2F"/>
    <w:rsid w:val="00BD6C34"/>
    <w:rsid w:val="00BD7201"/>
    <w:rsid w:val="00BD730E"/>
    <w:rsid w:val="00BD7495"/>
    <w:rsid w:val="00BD77EC"/>
    <w:rsid w:val="00BD781B"/>
    <w:rsid w:val="00BD794F"/>
    <w:rsid w:val="00BD7F21"/>
    <w:rsid w:val="00BD7F71"/>
    <w:rsid w:val="00BE0380"/>
    <w:rsid w:val="00BE0882"/>
    <w:rsid w:val="00BE098C"/>
    <w:rsid w:val="00BE099A"/>
    <w:rsid w:val="00BE09C6"/>
    <w:rsid w:val="00BE102F"/>
    <w:rsid w:val="00BE136D"/>
    <w:rsid w:val="00BE17AA"/>
    <w:rsid w:val="00BE217A"/>
    <w:rsid w:val="00BE2239"/>
    <w:rsid w:val="00BE2307"/>
    <w:rsid w:val="00BE2593"/>
    <w:rsid w:val="00BE298D"/>
    <w:rsid w:val="00BE2DF6"/>
    <w:rsid w:val="00BE2F06"/>
    <w:rsid w:val="00BE366C"/>
    <w:rsid w:val="00BE3852"/>
    <w:rsid w:val="00BE38A9"/>
    <w:rsid w:val="00BE38D8"/>
    <w:rsid w:val="00BE3919"/>
    <w:rsid w:val="00BE3A45"/>
    <w:rsid w:val="00BE3B5F"/>
    <w:rsid w:val="00BE3EC3"/>
    <w:rsid w:val="00BE3F00"/>
    <w:rsid w:val="00BE404A"/>
    <w:rsid w:val="00BE4189"/>
    <w:rsid w:val="00BE42E7"/>
    <w:rsid w:val="00BE43FB"/>
    <w:rsid w:val="00BE44DF"/>
    <w:rsid w:val="00BE45A4"/>
    <w:rsid w:val="00BE47E5"/>
    <w:rsid w:val="00BE4C46"/>
    <w:rsid w:val="00BE4D68"/>
    <w:rsid w:val="00BE4E1A"/>
    <w:rsid w:val="00BE4F0E"/>
    <w:rsid w:val="00BE51E2"/>
    <w:rsid w:val="00BE522E"/>
    <w:rsid w:val="00BE52F3"/>
    <w:rsid w:val="00BE530F"/>
    <w:rsid w:val="00BE539C"/>
    <w:rsid w:val="00BE55C3"/>
    <w:rsid w:val="00BE581E"/>
    <w:rsid w:val="00BE5A73"/>
    <w:rsid w:val="00BE5ABB"/>
    <w:rsid w:val="00BE5B55"/>
    <w:rsid w:val="00BE5F8A"/>
    <w:rsid w:val="00BE604F"/>
    <w:rsid w:val="00BE64BB"/>
    <w:rsid w:val="00BE6581"/>
    <w:rsid w:val="00BE6614"/>
    <w:rsid w:val="00BE669D"/>
    <w:rsid w:val="00BE67C3"/>
    <w:rsid w:val="00BE67D8"/>
    <w:rsid w:val="00BE6917"/>
    <w:rsid w:val="00BE6CBA"/>
    <w:rsid w:val="00BE6DBB"/>
    <w:rsid w:val="00BE71D8"/>
    <w:rsid w:val="00BE726E"/>
    <w:rsid w:val="00BE7276"/>
    <w:rsid w:val="00BE73C1"/>
    <w:rsid w:val="00BE77BD"/>
    <w:rsid w:val="00BE7A22"/>
    <w:rsid w:val="00BE7EBC"/>
    <w:rsid w:val="00BF00D9"/>
    <w:rsid w:val="00BF03AE"/>
    <w:rsid w:val="00BF04B7"/>
    <w:rsid w:val="00BF09E7"/>
    <w:rsid w:val="00BF0A92"/>
    <w:rsid w:val="00BF0AAC"/>
    <w:rsid w:val="00BF0C90"/>
    <w:rsid w:val="00BF0D61"/>
    <w:rsid w:val="00BF0D7B"/>
    <w:rsid w:val="00BF0D8A"/>
    <w:rsid w:val="00BF0FD9"/>
    <w:rsid w:val="00BF11BC"/>
    <w:rsid w:val="00BF1230"/>
    <w:rsid w:val="00BF12E8"/>
    <w:rsid w:val="00BF1327"/>
    <w:rsid w:val="00BF145C"/>
    <w:rsid w:val="00BF16E9"/>
    <w:rsid w:val="00BF1702"/>
    <w:rsid w:val="00BF176A"/>
    <w:rsid w:val="00BF191D"/>
    <w:rsid w:val="00BF1A2E"/>
    <w:rsid w:val="00BF1D4E"/>
    <w:rsid w:val="00BF1ECD"/>
    <w:rsid w:val="00BF1ED1"/>
    <w:rsid w:val="00BF1F89"/>
    <w:rsid w:val="00BF23D5"/>
    <w:rsid w:val="00BF268E"/>
    <w:rsid w:val="00BF2765"/>
    <w:rsid w:val="00BF27B3"/>
    <w:rsid w:val="00BF2A11"/>
    <w:rsid w:val="00BF2BC6"/>
    <w:rsid w:val="00BF2C6F"/>
    <w:rsid w:val="00BF304E"/>
    <w:rsid w:val="00BF3174"/>
    <w:rsid w:val="00BF33F0"/>
    <w:rsid w:val="00BF3409"/>
    <w:rsid w:val="00BF3423"/>
    <w:rsid w:val="00BF3614"/>
    <w:rsid w:val="00BF37A9"/>
    <w:rsid w:val="00BF39BF"/>
    <w:rsid w:val="00BF3EC9"/>
    <w:rsid w:val="00BF3FE1"/>
    <w:rsid w:val="00BF406B"/>
    <w:rsid w:val="00BF444E"/>
    <w:rsid w:val="00BF48E7"/>
    <w:rsid w:val="00BF4956"/>
    <w:rsid w:val="00BF4B0F"/>
    <w:rsid w:val="00BF4B31"/>
    <w:rsid w:val="00BF4D0A"/>
    <w:rsid w:val="00BF4E50"/>
    <w:rsid w:val="00BF4E54"/>
    <w:rsid w:val="00BF5021"/>
    <w:rsid w:val="00BF5034"/>
    <w:rsid w:val="00BF5209"/>
    <w:rsid w:val="00BF5391"/>
    <w:rsid w:val="00BF5404"/>
    <w:rsid w:val="00BF5C5A"/>
    <w:rsid w:val="00BF5FB1"/>
    <w:rsid w:val="00BF6264"/>
    <w:rsid w:val="00BF6272"/>
    <w:rsid w:val="00BF633D"/>
    <w:rsid w:val="00BF637E"/>
    <w:rsid w:val="00BF6424"/>
    <w:rsid w:val="00BF65DE"/>
    <w:rsid w:val="00BF6764"/>
    <w:rsid w:val="00BF6871"/>
    <w:rsid w:val="00BF68AB"/>
    <w:rsid w:val="00BF6993"/>
    <w:rsid w:val="00BF6BCE"/>
    <w:rsid w:val="00BF6C29"/>
    <w:rsid w:val="00BF6C98"/>
    <w:rsid w:val="00BF6D0B"/>
    <w:rsid w:val="00BF6E8E"/>
    <w:rsid w:val="00BF6F2B"/>
    <w:rsid w:val="00BF6F59"/>
    <w:rsid w:val="00BF702C"/>
    <w:rsid w:val="00BF73FB"/>
    <w:rsid w:val="00BF74AC"/>
    <w:rsid w:val="00BF7541"/>
    <w:rsid w:val="00BF76E3"/>
    <w:rsid w:val="00BF785D"/>
    <w:rsid w:val="00BF79F6"/>
    <w:rsid w:val="00BF7CDC"/>
    <w:rsid w:val="00C00102"/>
    <w:rsid w:val="00C005BB"/>
    <w:rsid w:val="00C007E7"/>
    <w:rsid w:val="00C008B6"/>
    <w:rsid w:val="00C00A38"/>
    <w:rsid w:val="00C00C84"/>
    <w:rsid w:val="00C00D10"/>
    <w:rsid w:val="00C00E32"/>
    <w:rsid w:val="00C0100C"/>
    <w:rsid w:val="00C01068"/>
    <w:rsid w:val="00C014DC"/>
    <w:rsid w:val="00C0162E"/>
    <w:rsid w:val="00C016C1"/>
    <w:rsid w:val="00C016F1"/>
    <w:rsid w:val="00C01799"/>
    <w:rsid w:val="00C019EC"/>
    <w:rsid w:val="00C01A79"/>
    <w:rsid w:val="00C01D3D"/>
    <w:rsid w:val="00C01D9D"/>
    <w:rsid w:val="00C01FDD"/>
    <w:rsid w:val="00C02110"/>
    <w:rsid w:val="00C02375"/>
    <w:rsid w:val="00C023A3"/>
    <w:rsid w:val="00C024E8"/>
    <w:rsid w:val="00C026DA"/>
    <w:rsid w:val="00C0275B"/>
    <w:rsid w:val="00C027E5"/>
    <w:rsid w:val="00C028AB"/>
    <w:rsid w:val="00C0294C"/>
    <w:rsid w:val="00C02FC3"/>
    <w:rsid w:val="00C0303F"/>
    <w:rsid w:val="00C031D9"/>
    <w:rsid w:val="00C032EE"/>
    <w:rsid w:val="00C0362F"/>
    <w:rsid w:val="00C0380B"/>
    <w:rsid w:val="00C038CA"/>
    <w:rsid w:val="00C038CF"/>
    <w:rsid w:val="00C03B27"/>
    <w:rsid w:val="00C03D8E"/>
    <w:rsid w:val="00C03F46"/>
    <w:rsid w:val="00C0407F"/>
    <w:rsid w:val="00C040C7"/>
    <w:rsid w:val="00C0414F"/>
    <w:rsid w:val="00C049BD"/>
    <w:rsid w:val="00C049D1"/>
    <w:rsid w:val="00C04C89"/>
    <w:rsid w:val="00C04DAB"/>
    <w:rsid w:val="00C05051"/>
    <w:rsid w:val="00C0506B"/>
    <w:rsid w:val="00C053B2"/>
    <w:rsid w:val="00C053FC"/>
    <w:rsid w:val="00C05559"/>
    <w:rsid w:val="00C055B5"/>
    <w:rsid w:val="00C05863"/>
    <w:rsid w:val="00C05B5B"/>
    <w:rsid w:val="00C06119"/>
    <w:rsid w:val="00C06176"/>
    <w:rsid w:val="00C06381"/>
    <w:rsid w:val="00C06492"/>
    <w:rsid w:val="00C0675A"/>
    <w:rsid w:val="00C06839"/>
    <w:rsid w:val="00C06A84"/>
    <w:rsid w:val="00C06AC1"/>
    <w:rsid w:val="00C071EE"/>
    <w:rsid w:val="00C076A3"/>
    <w:rsid w:val="00C07835"/>
    <w:rsid w:val="00C0784A"/>
    <w:rsid w:val="00C07A9F"/>
    <w:rsid w:val="00C07B7E"/>
    <w:rsid w:val="00C07C0F"/>
    <w:rsid w:val="00C07D26"/>
    <w:rsid w:val="00C07E8B"/>
    <w:rsid w:val="00C1058E"/>
    <w:rsid w:val="00C10623"/>
    <w:rsid w:val="00C10628"/>
    <w:rsid w:val="00C10A86"/>
    <w:rsid w:val="00C10AC4"/>
    <w:rsid w:val="00C10D45"/>
    <w:rsid w:val="00C10F52"/>
    <w:rsid w:val="00C11077"/>
    <w:rsid w:val="00C11174"/>
    <w:rsid w:val="00C11179"/>
    <w:rsid w:val="00C113D9"/>
    <w:rsid w:val="00C1153C"/>
    <w:rsid w:val="00C11584"/>
    <w:rsid w:val="00C11883"/>
    <w:rsid w:val="00C1199F"/>
    <w:rsid w:val="00C11A13"/>
    <w:rsid w:val="00C11AA7"/>
    <w:rsid w:val="00C11B75"/>
    <w:rsid w:val="00C11D02"/>
    <w:rsid w:val="00C11D6E"/>
    <w:rsid w:val="00C11D90"/>
    <w:rsid w:val="00C11DF2"/>
    <w:rsid w:val="00C12090"/>
    <w:rsid w:val="00C121A0"/>
    <w:rsid w:val="00C122A3"/>
    <w:rsid w:val="00C1232A"/>
    <w:rsid w:val="00C12473"/>
    <w:rsid w:val="00C126A1"/>
    <w:rsid w:val="00C126CD"/>
    <w:rsid w:val="00C128AC"/>
    <w:rsid w:val="00C12F51"/>
    <w:rsid w:val="00C13372"/>
    <w:rsid w:val="00C133A5"/>
    <w:rsid w:val="00C13463"/>
    <w:rsid w:val="00C136CA"/>
    <w:rsid w:val="00C138E4"/>
    <w:rsid w:val="00C13A25"/>
    <w:rsid w:val="00C13A9A"/>
    <w:rsid w:val="00C13BDB"/>
    <w:rsid w:val="00C13BFB"/>
    <w:rsid w:val="00C13D8D"/>
    <w:rsid w:val="00C13E1F"/>
    <w:rsid w:val="00C14281"/>
    <w:rsid w:val="00C1429A"/>
    <w:rsid w:val="00C142F1"/>
    <w:rsid w:val="00C14460"/>
    <w:rsid w:val="00C14547"/>
    <w:rsid w:val="00C148BE"/>
    <w:rsid w:val="00C1495A"/>
    <w:rsid w:val="00C14AE2"/>
    <w:rsid w:val="00C14C69"/>
    <w:rsid w:val="00C14EBC"/>
    <w:rsid w:val="00C15097"/>
    <w:rsid w:val="00C1526C"/>
    <w:rsid w:val="00C153A3"/>
    <w:rsid w:val="00C1548E"/>
    <w:rsid w:val="00C1552D"/>
    <w:rsid w:val="00C15892"/>
    <w:rsid w:val="00C15AF0"/>
    <w:rsid w:val="00C15D09"/>
    <w:rsid w:val="00C15F2B"/>
    <w:rsid w:val="00C16043"/>
    <w:rsid w:val="00C1614E"/>
    <w:rsid w:val="00C16656"/>
    <w:rsid w:val="00C166DD"/>
    <w:rsid w:val="00C16937"/>
    <w:rsid w:val="00C16CE7"/>
    <w:rsid w:val="00C16EE9"/>
    <w:rsid w:val="00C17412"/>
    <w:rsid w:val="00C176CC"/>
    <w:rsid w:val="00C17983"/>
    <w:rsid w:val="00C179D0"/>
    <w:rsid w:val="00C17A17"/>
    <w:rsid w:val="00C17ACD"/>
    <w:rsid w:val="00C17CC6"/>
    <w:rsid w:val="00C17F4B"/>
    <w:rsid w:val="00C2034B"/>
    <w:rsid w:val="00C20590"/>
    <w:rsid w:val="00C20605"/>
    <w:rsid w:val="00C20799"/>
    <w:rsid w:val="00C20AD0"/>
    <w:rsid w:val="00C20B03"/>
    <w:rsid w:val="00C20E27"/>
    <w:rsid w:val="00C20FE5"/>
    <w:rsid w:val="00C213FD"/>
    <w:rsid w:val="00C21592"/>
    <w:rsid w:val="00C215C5"/>
    <w:rsid w:val="00C21754"/>
    <w:rsid w:val="00C217D2"/>
    <w:rsid w:val="00C219F5"/>
    <w:rsid w:val="00C21A07"/>
    <w:rsid w:val="00C21B4E"/>
    <w:rsid w:val="00C21C86"/>
    <w:rsid w:val="00C21FE4"/>
    <w:rsid w:val="00C2208B"/>
    <w:rsid w:val="00C22139"/>
    <w:rsid w:val="00C221C0"/>
    <w:rsid w:val="00C22538"/>
    <w:rsid w:val="00C22673"/>
    <w:rsid w:val="00C226E6"/>
    <w:rsid w:val="00C22783"/>
    <w:rsid w:val="00C228CD"/>
    <w:rsid w:val="00C22AB4"/>
    <w:rsid w:val="00C22B5C"/>
    <w:rsid w:val="00C22C5D"/>
    <w:rsid w:val="00C22D7F"/>
    <w:rsid w:val="00C22D88"/>
    <w:rsid w:val="00C22DFA"/>
    <w:rsid w:val="00C22E7B"/>
    <w:rsid w:val="00C23172"/>
    <w:rsid w:val="00C23427"/>
    <w:rsid w:val="00C235A4"/>
    <w:rsid w:val="00C235C2"/>
    <w:rsid w:val="00C2364B"/>
    <w:rsid w:val="00C2389B"/>
    <w:rsid w:val="00C23A34"/>
    <w:rsid w:val="00C23AF5"/>
    <w:rsid w:val="00C2403C"/>
    <w:rsid w:val="00C2404A"/>
    <w:rsid w:val="00C24473"/>
    <w:rsid w:val="00C246F5"/>
    <w:rsid w:val="00C24A48"/>
    <w:rsid w:val="00C252A8"/>
    <w:rsid w:val="00C2555F"/>
    <w:rsid w:val="00C2569B"/>
    <w:rsid w:val="00C25A2F"/>
    <w:rsid w:val="00C25BA2"/>
    <w:rsid w:val="00C25C79"/>
    <w:rsid w:val="00C25F62"/>
    <w:rsid w:val="00C2631B"/>
    <w:rsid w:val="00C2641F"/>
    <w:rsid w:val="00C2670D"/>
    <w:rsid w:val="00C267B9"/>
    <w:rsid w:val="00C26F7F"/>
    <w:rsid w:val="00C26FC3"/>
    <w:rsid w:val="00C27208"/>
    <w:rsid w:val="00C27261"/>
    <w:rsid w:val="00C2733D"/>
    <w:rsid w:val="00C2736E"/>
    <w:rsid w:val="00C2740B"/>
    <w:rsid w:val="00C276E9"/>
    <w:rsid w:val="00C278EB"/>
    <w:rsid w:val="00C27E63"/>
    <w:rsid w:val="00C30272"/>
    <w:rsid w:val="00C303F3"/>
    <w:rsid w:val="00C304DB"/>
    <w:rsid w:val="00C30700"/>
    <w:rsid w:val="00C30704"/>
    <w:rsid w:val="00C30891"/>
    <w:rsid w:val="00C309ED"/>
    <w:rsid w:val="00C30AC3"/>
    <w:rsid w:val="00C30BC5"/>
    <w:rsid w:val="00C30EAA"/>
    <w:rsid w:val="00C30FB3"/>
    <w:rsid w:val="00C30FCA"/>
    <w:rsid w:val="00C31002"/>
    <w:rsid w:val="00C31345"/>
    <w:rsid w:val="00C3138C"/>
    <w:rsid w:val="00C3154D"/>
    <w:rsid w:val="00C3157F"/>
    <w:rsid w:val="00C315DA"/>
    <w:rsid w:val="00C319A2"/>
    <w:rsid w:val="00C31C09"/>
    <w:rsid w:val="00C31CD3"/>
    <w:rsid w:val="00C31CF8"/>
    <w:rsid w:val="00C31F00"/>
    <w:rsid w:val="00C32098"/>
    <w:rsid w:val="00C3211C"/>
    <w:rsid w:val="00C32320"/>
    <w:rsid w:val="00C3234D"/>
    <w:rsid w:val="00C3248B"/>
    <w:rsid w:val="00C32584"/>
    <w:rsid w:val="00C32793"/>
    <w:rsid w:val="00C32C91"/>
    <w:rsid w:val="00C32CCF"/>
    <w:rsid w:val="00C32D4E"/>
    <w:rsid w:val="00C32F5A"/>
    <w:rsid w:val="00C334C2"/>
    <w:rsid w:val="00C33527"/>
    <w:rsid w:val="00C336FE"/>
    <w:rsid w:val="00C33D54"/>
    <w:rsid w:val="00C33F2B"/>
    <w:rsid w:val="00C34C65"/>
    <w:rsid w:val="00C34C72"/>
    <w:rsid w:val="00C34D83"/>
    <w:rsid w:val="00C34DFB"/>
    <w:rsid w:val="00C34EDF"/>
    <w:rsid w:val="00C34F15"/>
    <w:rsid w:val="00C34F22"/>
    <w:rsid w:val="00C355ED"/>
    <w:rsid w:val="00C357D0"/>
    <w:rsid w:val="00C35D27"/>
    <w:rsid w:val="00C35E8A"/>
    <w:rsid w:val="00C3609A"/>
    <w:rsid w:val="00C362E0"/>
    <w:rsid w:val="00C36490"/>
    <w:rsid w:val="00C36B0B"/>
    <w:rsid w:val="00C36CD8"/>
    <w:rsid w:val="00C36DDE"/>
    <w:rsid w:val="00C36FEA"/>
    <w:rsid w:val="00C37034"/>
    <w:rsid w:val="00C3714B"/>
    <w:rsid w:val="00C371A8"/>
    <w:rsid w:val="00C375B6"/>
    <w:rsid w:val="00C3768E"/>
    <w:rsid w:val="00C37923"/>
    <w:rsid w:val="00C37B45"/>
    <w:rsid w:val="00C37CE6"/>
    <w:rsid w:val="00C37DEC"/>
    <w:rsid w:val="00C37E94"/>
    <w:rsid w:val="00C402DC"/>
    <w:rsid w:val="00C403EA"/>
    <w:rsid w:val="00C40597"/>
    <w:rsid w:val="00C40797"/>
    <w:rsid w:val="00C407A9"/>
    <w:rsid w:val="00C40A79"/>
    <w:rsid w:val="00C40AE9"/>
    <w:rsid w:val="00C40B98"/>
    <w:rsid w:val="00C40DC0"/>
    <w:rsid w:val="00C40E9F"/>
    <w:rsid w:val="00C40F1E"/>
    <w:rsid w:val="00C41182"/>
    <w:rsid w:val="00C415F0"/>
    <w:rsid w:val="00C416B4"/>
    <w:rsid w:val="00C417D0"/>
    <w:rsid w:val="00C41ED2"/>
    <w:rsid w:val="00C42834"/>
    <w:rsid w:val="00C42DCA"/>
    <w:rsid w:val="00C4340F"/>
    <w:rsid w:val="00C43802"/>
    <w:rsid w:val="00C43B2E"/>
    <w:rsid w:val="00C43D60"/>
    <w:rsid w:val="00C43E34"/>
    <w:rsid w:val="00C43EE6"/>
    <w:rsid w:val="00C44206"/>
    <w:rsid w:val="00C44246"/>
    <w:rsid w:val="00C444CD"/>
    <w:rsid w:val="00C44802"/>
    <w:rsid w:val="00C44849"/>
    <w:rsid w:val="00C44A5D"/>
    <w:rsid w:val="00C44B0B"/>
    <w:rsid w:val="00C44C65"/>
    <w:rsid w:val="00C44EDD"/>
    <w:rsid w:val="00C45102"/>
    <w:rsid w:val="00C4512D"/>
    <w:rsid w:val="00C45307"/>
    <w:rsid w:val="00C4540B"/>
    <w:rsid w:val="00C4546A"/>
    <w:rsid w:val="00C4580A"/>
    <w:rsid w:val="00C45A86"/>
    <w:rsid w:val="00C45AA8"/>
    <w:rsid w:val="00C45D45"/>
    <w:rsid w:val="00C45DAD"/>
    <w:rsid w:val="00C461BE"/>
    <w:rsid w:val="00C46503"/>
    <w:rsid w:val="00C4661F"/>
    <w:rsid w:val="00C46AB2"/>
    <w:rsid w:val="00C46B5E"/>
    <w:rsid w:val="00C46BF0"/>
    <w:rsid w:val="00C46CDC"/>
    <w:rsid w:val="00C46E3D"/>
    <w:rsid w:val="00C470AE"/>
    <w:rsid w:val="00C470C7"/>
    <w:rsid w:val="00C47153"/>
    <w:rsid w:val="00C4726E"/>
    <w:rsid w:val="00C473D7"/>
    <w:rsid w:val="00C475C2"/>
    <w:rsid w:val="00C47725"/>
    <w:rsid w:val="00C4784D"/>
    <w:rsid w:val="00C478B8"/>
    <w:rsid w:val="00C479CD"/>
    <w:rsid w:val="00C47A22"/>
    <w:rsid w:val="00C47CD5"/>
    <w:rsid w:val="00C47D13"/>
    <w:rsid w:val="00C50068"/>
    <w:rsid w:val="00C50313"/>
    <w:rsid w:val="00C5033F"/>
    <w:rsid w:val="00C507CE"/>
    <w:rsid w:val="00C50861"/>
    <w:rsid w:val="00C50A7D"/>
    <w:rsid w:val="00C50AB5"/>
    <w:rsid w:val="00C50B3C"/>
    <w:rsid w:val="00C50E4A"/>
    <w:rsid w:val="00C50EFA"/>
    <w:rsid w:val="00C51197"/>
    <w:rsid w:val="00C51269"/>
    <w:rsid w:val="00C51665"/>
    <w:rsid w:val="00C516CB"/>
    <w:rsid w:val="00C51841"/>
    <w:rsid w:val="00C51BA9"/>
    <w:rsid w:val="00C51CB3"/>
    <w:rsid w:val="00C51CB6"/>
    <w:rsid w:val="00C51D70"/>
    <w:rsid w:val="00C51F5C"/>
    <w:rsid w:val="00C52036"/>
    <w:rsid w:val="00C52208"/>
    <w:rsid w:val="00C52263"/>
    <w:rsid w:val="00C52297"/>
    <w:rsid w:val="00C5257A"/>
    <w:rsid w:val="00C528B3"/>
    <w:rsid w:val="00C52A39"/>
    <w:rsid w:val="00C52B30"/>
    <w:rsid w:val="00C52BAC"/>
    <w:rsid w:val="00C53357"/>
    <w:rsid w:val="00C533A2"/>
    <w:rsid w:val="00C533AC"/>
    <w:rsid w:val="00C53439"/>
    <w:rsid w:val="00C534FD"/>
    <w:rsid w:val="00C5350B"/>
    <w:rsid w:val="00C53519"/>
    <w:rsid w:val="00C53792"/>
    <w:rsid w:val="00C53B9D"/>
    <w:rsid w:val="00C53D43"/>
    <w:rsid w:val="00C53DC2"/>
    <w:rsid w:val="00C5404E"/>
    <w:rsid w:val="00C544DB"/>
    <w:rsid w:val="00C54565"/>
    <w:rsid w:val="00C54601"/>
    <w:rsid w:val="00C54604"/>
    <w:rsid w:val="00C54768"/>
    <w:rsid w:val="00C54C36"/>
    <w:rsid w:val="00C54CC0"/>
    <w:rsid w:val="00C54E0A"/>
    <w:rsid w:val="00C54EFC"/>
    <w:rsid w:val="00C5518B"/>
    <w:rsid w:val="00C55255"/>
    <w:rsid w:val="00C552A4"/>
    <w:rsid w:val="00C553ED"/>
    <w:rsid w:val="00C555B9"/>
    <w:rsid w:val="00C55615"/>
    <w:rsid w:val="00C55716"/>
    <w:rsid w:val="00C55964"/>
    <w:rsid w:val="00C55A55"/>
    <w:rsid w:val="00C55CD7"/>
    <w:rsid w:val="00C55CEA"/>
    <w:rsid w:val="00C56255"/>
    <w:rsid w:val="00C564D4"/>
    <w:rsid w:val="00C56671"/>
    <w:rsid w:val="00C56A21"/>
    <w:rsid w:val="00C56BDF"/>
    <w:rsid w:val="00C56D50"/>
    <w:rsid w:val="00C56F1E"/>
    <w:rsid w:val="00C57126"/>
    <w:rsid w:val="00C571CA"/>
    <w:rsid w:val="00C5727B"/>
    <w:rsid w:val="00C5737E"/>
    <w:rsid w:val="00C57492"/>
    <w:rsid w:val="00C574AA"/>
    <w:rsid w:val="00C574C7"/>
    <w:rsid w:val="00C57502"/>
    <w:rsid w:val="00C57945"/>
    <w:rsid w:val="00C579FD"/>
    <w:rsid w:val="00C57CBB"/>
    <w:rsid w:val="00C57D4A"/>
    <w:rsid w:val="00C57D89"/>
    <w:rsid w:val="00C57F3F"/>
    <w:rsid w:val="00C60039"/>
    <w:rsid w:val="00C60161"/>
    <w:rsid w:val="00C60230"/>
    <w:rsid w:val="00C603FC"/>
    <w:rsid w:val="00C606B5"/>
    <w:rsid w:val="00C6093B"/>
    <w:rsid w:val="00C60949"/>
    <w:rsid w:val="00C609DA"/>
    <w:rsid w:val="00C60A40"/>
    <w:rsid w:val="00C60AB5"/>
    <w:rsid w:val="00C6110D"/>
    <w:rsid w:val="00C61365"/>
    <w:rsid w:val="00C613F5"/>
    <w:rsid w:val="00C61425"/>
    <w:rsid w:val="00C616D4"/>
    <w:rsid w:val="00C61A72"/>
    <w:rsid w:val="00C61CEC"/>
    <w:rsid w:val="00C61D0A"/>
    <w:rsid w:val="00C61E1A"/>
    <w:rsid w:val="00C62078"/>
    <w:rsid w:val="00C62231"/>
    <w:rsid w:val="00C6224E"/>
    <w:rsid w:val="00C6240C"/>
    <w:rsid w:val="00C626A6"/>
    <w:rsid w:val="00C6278D"/>
    <w:rsid w:val="00C62988"/>
    <w:rsid w:val="00C62E70"/>
    <w:rsid w:val="00C62F25"/>
    <w:rsid w:val="00C62FB4"/>
    <w:rsid w:val="00C62FBB"/>
    <w:rsid w:val="00C6320D"/>
    <w:rsid w:val="00C6364E"/>
    <w:rsid w:val="00C638A8"/>
    <w:rsid w:val="00C63983"/>
    <w:rsid w:val="00C63B51"/>
    <w:rsid w:val="00C63C1E"/>
    <w:rsid w:val="00C63D0F"/>
    <w:rsid w:val="00C64104"/>
    <w:rsid w:val="00C641CD"/>
    <w:rsid w:val="00C645B4"/>
    <w:rsid w:val="00C6468A"/>
    <w:rsid w:val="00C647B6"/>
    <w:rsid w:val="00C64839"/>
    <w:rsid w:val="00C6498C"/>
    <w:rsid w:val="00C64D59"/>
    <w:rsid w:val="00C65062"/>
    <w:rsid w:val="00C65072"/>
    <w:rsid w:val="00C650CC"/>
    <w:rsid w:val="00C65392"/>
    <w:rsid w:val="00C65C4D"/>
    <w:rsid w:val="00C65FA9"/>
    <w:rsid w:val="00C6606F"/>
    <w:rsid w:val="00C6607A"/>
    <w:rsid w:val="00C660A5"/>
    <w:rsid w:val="00C660F1"/>
    <w:rsid w:val="00C66140"/>
    <w:rsid w:val="00C66606"/>
    <w:rsid w:val="00C6662B"/>
    <w:rsid w:val="00C6667A"/>
    <w:rsid w:val="00C666B1"/>
    <w:rsid w:val="00C666B5"/>
    <w:rsid w:val="00C668AF"/>
    <w:rsid w:val="00C6698D"/>
    <w:rsid w:val="00C66AA7"/>
    <w:rsid w:val="00C66D00"/>
    <w:rsid w:val="00C66FFC"/>
    <w:rsid w:val="00C67474"/>
    <w:rsid w:val="00C675D0"/>
    <w:rsid w:val="00C675F2"/>
    <w:rsid w:val="00C6770D"/>
    <w:rsid w:val="00C67CA9"/>
    <w:rsid w:val="00C67DCC"/>
    <w:rsid w:val="00C67FF6"/>
    <w:rsid w:val="00C70395"/>
    <w:rsid w:val="00C7062B"/>
    <w:rsid w:val="00C70713"/>
    <w:rsid w:val="00C7080F"/>
    <w:rsid w:val="00C70831"/>
    <w:rsid w:val="00C708C2"/>
    <w:rsid w:val="00C70941"/>
    <w:rsid w:val="00C70A4C"/>
    <w:rsid w:val="00C70B2E"/>
    <w:rsid w:val="00C70C76"/>
    <w:rsid w:val="00C70D2A"/>
    <w:rsid w:val="00C70E5E"/>
    <w:rsid w:val="00C70E9E"/>
    <w:rsid w:val="00C71013"/>
    <w:rsid w:val="00C710EF"/>
    <w:rsid w:val="00C713E6"/>
    <w:rsid w:val="00C718A9"/>
    <w:rsid w:val="00C71AC8"/>
    <w:rsid w:val="00C71BC3"/>
    <w:rsid w:val="00C71DE6"/>
    <w:rsid w:val="00C71F10"/>
    <w:rsid w:val="00C71FD2"/>
    <w:rsid w:val="00C72AA3"/>
    <w:rsid w:val="00C72B63"/>
    <w:rsid w:val="00C72E77"/>
    <w:rsid w:val="00C72EE6"/>
    <w:rsid w:val="00C73297"/>
    <w:rsid w:val="00C7376D"/>
    <w:rsid w:val="00C73775"/>
    <w:rsid w:val="00C73B1D"/>
    <w:rsid w:val="00C73C3B"/>
    <w:rsid w:val="00C73F98"/>
    <w:rsid w:val="00C7415B"/>
    <w:rsid w:val="00C744CF"/>
    <w:rsid w:val="00C7461D"/>
    <w:rsid w:val="00C7464E"/>
    <w:rsid w:val="00C74C2A"/>
    <w:rsid w:val="00C74E18"/>
    <w:rsid w:val="00C750A4"/>
    <w:rsid w:val="00C7548B"/>
    <w:rsid w:val="00C75560"/>
    <w:rsid w:val="00C75628"/>
    <w:rsid w:val="00C756A1"/>
    <w:rsid w:val="00C758AB"/>
    <w:rsid w:val="00C76185"/>
    <w:rsid w:val="00C76228"/>
    <w:rsid w:val="00C76450"/>
    <w:rsid w:val="00C765CE"/>
    <w:rsid w:val="00C765E7"/>
    <w:rsid w:val="00C766F6"/>
    <w:rsid w:val="00C76730"/>
    <w:rsid w:val="00C7679B"/>
    <w:rsid w:val="00C76AE7"/>
    <w:rsid w:val="00C76DBC"/>
    <w:rsid w:val="00C7725C"/>
    <w:rsid w:val="00C7732B"/>
    <w:rsid w:val="00C7735C"/>
    <w:rsid w:val="00C77A44"/>
    <w:rsid w:val="00C801B6"/>
    <w:rsid w:val="00C8039A"/>
    <w:rsid w:val="00C8062D"/>
    <w:rsid w:val="00C806DD"/>
    <w:rsid w:val="00C809EA"/>
    <w:rsid w:val="00C80CAB"/>
    <w:rsid w:val="00C80E0A"/>
    <w:rsid w:val="00C80FD0"/>
    <w:rsid w:val="00C80FDE"/>
    <w:rsid w:val="00C814A3"/>
    <w:rsid w:val="00C81761"/>
    <w:rsid w:val="00C8176E"/>
    <w:rsid w:val="00C81A51"/>
    <w:rsid w:val="00C81BD9"/>
    <w:rsid w:val="00C81D55"/>
    <w:rsid w:val="00C81E41"/>
    <w:rsid w:val="00C81FA6"/>
    <w:rsid w:val="00C81FB3"/>
    <w:rsid w:val="00C823C4"/>
    <w:rsid w:val="00C8243B"/>
    <w:rsid w:val="00C82480"/>
    <w:rsid w:val="00C824C9"/>
    <w:rsid w:val="00C82531"/>
    <w:rsid w:val="00C825A8"/>
    <w:rsid w:val="00C825F5"/>
    <w:rsid w:val="00C82782"/>
    <w:rsid w:val="00C82B27"/>
    <w:rsid w:val="00C82F07"/>
    <w:rsid w:val="00C830B9"/>
    <w:rsid w:val="00C83102"/>
    <w:rsid w:val="00C83190"/>
    <w:rsid w:val="00C831C8"/>
    <w:rsid w:val="00C83402"/>
    <w:rsid w:val="00C83490"/>
    <w:rsid w:val="00C834CF"/>
    <w:rsid w:val="00C837A1"/>
    <w:rsid w:val="00C839EB"/>
    <w:rsid w:val="00C83BA7"/>
    <w:rsid w:val="00C83E26"/>
    <w:rsid w:val="00C83F45"/>
    <w:rsid w:val="00C84419"/>
    <w:rsid w:val="00C844C3"/>
    <w:rsid w:val="00C846A5"/>
    <w:rsid w:val="00C8478A"/>
    <w:rsid w:val="00C84893"/>
    <w:rsid w:val="00C849A3"/>
    <w:rsid w:val="00C84A38"/>
    <w:rsid w:val="00C84A5D"/>
    <w:rsid w:val="00C84AC1"/>
    <w:rsid w:val="00C84DC5"/>
    <w:rsid w:val="00C84E00"/>
    <w:rsid w:val="00C85096"/>
    <w:rsid w:val="00C85181"/>
    <w:rsid w:val="00C851B3"/>
    <w:rsid w:val="00C853B9"/>
    <w:rsid w:val="00C8551F"/>
    <w:rsid w:val="00C85672"/>
    <w:rsid w:val="00C85821"/>
    <w:rsid w:val="00C85A7F"/>
    <w:rsid w:val="00C85AFC"/>
    <w:rsid w:val="00C85E19"/>
    <w:rsid w:val="00C86094"/>
    <w:rsid w:val="00C86160"/>
    <w:rsid w:val="00C862FA"/>
    <w:rsid w:val="00C86406"/>
    <w:rsid w:val="00C867D1"/>
    <w:rsid w:val="00C86824"/>
    <w:rsid w:val="00C86B05"/>
    <w:rsid w:val="00C86BD4"/>
    <w:rsid w:val="00C86EE4"/>
    <w:rsid w:val="00C87044"/>
    <w:rsid w:val="00C8725B"/>
    <w:rsid w:val="00C87340"/>
    <w:rsid w:val="00C87658"/>
    <w:rsid w:val="00C876F7"/>
    <w:rsid w:val="00C87877"/>
    <w:rsid w:val="00C87A70"/>
    <w:rsid w:val="00C87CD6"/>
    <w:rsid w:val="00C87D42"/>
    <w:rsid w:val="00C87F03"/>
    <w:rsid w:val="00C900B1"/>
    <w:rsid w:val="00C90312"/>
    <w:rsid w:val="00C9045E"/>
    <w:rsid w:val="00C90471"/>
    <w:rsid w:val="00C90645"/>
    <w:rsid w:val="00C9066D"/>
    <w:rsid w:val="00C906AB"/>
    <w:rsid w:val="00C907ED"/>
    <w:rsid w:val="00C9081F"/>
    <w:rsid w:val="00C9089A"/>
    <w:rsid w:val="00C90A2C"/>
    <w:rsid w:val="00C90A71"/>
    <w:rsid w:val="00C90B9B"/>
    <w:rsid w:val="00C90D9C"/>
    <w:rsid w:val="00C90FA8"/>
    <w:rsid w:val="00C91046"/>
    <w:rsid w:val="00C913CD"/>
    <w:rsid w:val="00C914F6"/>
    <w:rsid w:val="00C91AB9"/>
    <w:rsid w:val="00C91AE5"/>
    <w:rsid w:val="00C91DB9"/>
    <w:rsid w:val="00C91FAE"/>
    <w:rsid w:val="00C92015"/>
    <w:rsid w:val="00C92020"/>
    <w:rsid w:val="00C9207C"/>
    <w:rsid w:val="00C921C0"/>
    <w:rsid w:val="00C923F5"/>
    <w:rsid w:val="00C926A4"/>
    <w:rsid w:val="00C9281B"/>
    <w:rsid w:val="00C9298B"/>
    <w:rsid w:val="00C9299D"/>
    <w:rsid w:val="00C929FE"/>
    <w:rsid w:val="00C9305A"/>
    <w:rsid w:val="00C933CD"/>
    <w:rsid w:val="00C933EA"/>
    <w:rsid w:val="00C933F3"/>
    <w:rsid w:val="00C934BB"/>
    <w:rsid w:val="00C934FC"/>
    <w:rsid w:val="00C93504"/>
    <w:rsid w:val="00C935B6"/>
    <w:rsid w:val="00C936E5"/>
    <w:rsid w:val="00C937F0"/>
    <w:rsid w:val="00C93937"/>
    <w:rsid w:val="00C93C7B"/>
    <w:rsid w:val="00C940B5"/>
    <w:rsid w:val="00C94B09"/>
    <w:rsid w:val="00C94CC0"/>
    <w:rsid w:val="00C94E1B"/>
    <w:rsid w:val="00C94E9C"/>
    <w:rsid w:val="00C95054"/>
    <w:rsid w:val="00C950BB"/>
    <w:rsid w:val="00C9513F"/>
    <w:rsid w:val="00C9528D"/>
    <w:rsid w:val="00C9529E"/>
    <w:rsid w:val="00C95370"/>
    <w:rsid w:val="00C95642"/>
    <w:rsid w:val="00C956A6"/>
    <w:rsid w:val="00C95B20"/>
    <w:rsid w:val="00C95BA7"/>
    <w:rsid w:val="00C95DF4"/>
    <w:rsid w:val="00C95F54"/>
    <w:rsid w:val="00C961E3"/>
    <w:rsid w:val="00C96507"/>
    <w:rsid w:val="00C96752"/>
    <w:rsid w:val="00C96768"/>
    <w:rsid w:val="00C967D4"/>
    <w:rsid w:val="00C967D7"/>
    <w:rsid w:val="00C967F0"/>
    <w:rsid w:val="00C9680C"/>
    <w:rsid w:val="00C968EE"/>
    <w:rsid w:val="00C96910"/>
    <w:rsid w:val="00C96937"/>
    <w:rsid w:val="00C96EB1"/>
    <w:rsid w:val="00C96FDC"/>
    <w:rsid w:val="00C971CA"/>
    <w:rsid w:val="00C971FB"/>
    <w:rsid w:val="00C97225"/>
    <w:rsid w:val="00C972D2"/>
    <w:rsid w:val="00C975CA"/>
    <w:rsid w:val="00C97693"/>
    <w:rsid w:val="00C97916"/>
    <w:rsid w:val="00C979DB"/>
    <w:rsid w:val="00C97ADA"/>
    <w:rsid w:val="00C97D04"/>
    <w:rsid w:val="00C97E35"/>
    <w:rsid w:val="00CA00EC"/>
    <w:rsid w:val="00CA03CE"/>
    <w:rsid w:val="00CA0643"/>
    <w:rsid w:val="00CA0697"/>
    <w:rsid w:val="00CA06C9"/>
    <w:rsid w:val="00CA0857"/>
    <w:rsid w:val="00CA09A2"/>
    <w:rsid w:val="00CA0A50"/>
    <w:rsid w:val="00CA0B91"/>
    <w:rsid w:val="00CA0D63"/>
    <w:rsid w:val="00CA0E18"/>
    <w:rsid w:val="00CA105B"/>
    <w:rsid w:val="00CA144F"/>
    <w:rsid w:val="00CA163C"/>
    <w:rsid w:val="00CA168F"/>
    <w:rsid w:val="00CA16D4"/>
    <w:rsid w:val="00CA1716"/>
    <w:rsid w:val="00CA193B"/>
    <w:rsid w:val="00CA1A87"/>
    <w:rsid w:val="00CA1B45"/>
    <w:rsid w:val="00CA1F83"/>
    <w:rsid w:val="00CA21F3"/>
    <w:rsid w:val="00CA2312"/>
    <w:rsid w:val="00CA2370"/>
    <w:rsid w:val="00CA2395"/>
    <w:rsid w:val="00CA249C"/>
    <w:rsid w:val="00CA26F7"/>
    <w:rsid w:val="00CA2839"/>
    <w:rsid w:val="00CA2DF6"/>
    <w:rsid w:val="00CA3119"/>
    <w:rsid w:val="00CA33FE"/>
    <w:rsid w:val="00CA3426"/>
    <w:rsid w:val="00CA34F0"/>
    <w:rsid w:val="00CA3B08"/>
    <w:rsid w:val="00CA4159"/>
    <w:rsid w:val="00CA4243"/>
    <w:rsid w:val="00CA4298"/>
    <w:rsid w:val="00CA444D"/>
    <w:rsid w:val="00CA44E1"/>
    <w:rsid w:val="00CA4503"/>
    <w:rsid w:val="00CA4750"/>
    <w:rsid w:val="00CA4A02"/>
    <w:rsid w:val="00CA4ACA"/>
    <w:rsid w:val="00CA4BBD"/>
    <w:rsid w:val="00CA4F23"/>
    <w:rsid w:val="00CA5476"/>
    <w:rsid w:val="00CA55C5"/>
    <w:rsid w:val="00CA55C8"/>
    <w:rsid w:val="00CA57E6"/>
    <w:rsid w:val="00CA58AA"/>
    <w:rsid w:val="00CA5BE8"/>
    <w:rsid w:val="00CA5C5F"/>
    <w:rsid w:val="00CA612F"/>
    <w:rsid w:val="00CA6275"/>
    <w:rsid w:val="00CA63DA"/>
    <w:rsid w:val="00CA64A8"/>
    <w:rsid w:val="00CA66A7"/>
    <w:rsid w:val="00CA6828"/>
    <w:rsid w:val="00CA6845"/>
    <w:rsid w:val="00CA69E3"/>
    <w:rsid w:val="00CA6E22"/>
    <w:rsid w:val="00CA6FC5"/>
    <w:rsid w:val="00CA6FF9"/>
    <w:rsid w:val="00CA71D3"/>
    <w:rsid w:val="00CA72CA"/>
    <w:rsid w:val="00CA7467"/>
    <w:rsid w:val="00CA7494"/>
    <w:rsid w:val="00CA7519"/>
    <w:rsid w:val="00CA7685"/>
    <w:rsid w:val="00CA76EA"/>
    <w:rsid w:val="00CA7810"/>
    <w:rsid w:val="00CA78BA"/>
    <w:rsid w:val="00CA7AE9"/>
    <w:rsid w:val="00CA7B4F"/>
    <w:rsid w:val="00CA7CB4"/>
    <w:rsid w:val="00CA7CC7"/>
    <w:rsid w:val="00CA7F10"/>
    <w:rsid w:val="00CB011B"/>
    <w:rsid w:val="00CB01FB"/>
    <w:rsid w:val="00CB02E4"/>
    <w:rsid w:val="00CB0427"/>
    <w:rsid w:val="00CB0489"/>
    <w:rsid w:val="00CB0506"/>
    <w:rsid w:val="00CB0971"/>
    <w:rsid w:val="00CB0ED9"/>
    <w:rsid w:val="00CB14AC"/>
    <w:rsid w:val="00CB1629"/>
    <w:rsid w:val="00CB16C4"/>
    <w:rsid w:val="00CB16E3"/>
    <w:rsid w:val="00CB1701"/>
    <w:rsid w:val="00CB1704"/>
    <w:rsid w:val="00CB172C"/>
    <w:rsid w:val="00CB17AD"/>
    <w:rsid w:val="00CB1A09"/>
    <w:rsid w:val="00CB1D39"/>
    <w:rsid w:val="00CB22A6"/>
    <w:rsid w:val="00CB2385"/>
    <w:rsid w:val="00CB2472"/>
    <w:rsid w:val="00CB2990"/>
    <w:rsid w:val="00CB29F0"/>
    <w:rsid w:val="00CB2B92"/>
    <w:rsid w:val="00CB2CA1"/>
    <w:rsid w:val="00CB312F"/>
    <w:rsid w:val="00CB3286"/>
    <w:rsid w:val="00CB3458"/>
    <w:rsid w:val="00CB399D"/>
    <w:rsid w:val="00CB3BE3"/>
    <w:rsid w:val="00CB3EB9"/>
    <w:rsid w:val="00CB3FB0"/>
    <w:rsid w:val="00CB4071"/>
    <w:rsid w:val="00CB418A"/>
    <w:rsid w:val="00CB41BB"/>
    <w:rsid w:val="00CB4390"/>
    <w:rsid w:val="00CB447C"/>
    <w:rsid w:val="00CB4651"/>
    <w:rsid w:val="00CB46A4"/>
    <w:rsid w:val="00CB47A2"/>
    <w:rsid w:val="00CB48AD"/>
    <w:rsid w:val="00CB4BE4"/>
    <w:rsid w:val="00CB539E"/>
    <w:rsid w:val="00CB53A2"/>
    <w:rsid w:val="00CB54B4"/>
    <w:rsid w:val="00CB56F1"/>
    <w:rsid w:val="00CB59F8"/>
    <w:rsid w:val="00CB5A4B"/>
    <w:rsid w:val="00CB5E7D"/>
    <w:rsid w:val="00CB6087"/>
    <w:rsid w:val="00CB66BB"/>
    <w:rsid w:val="00CB6A15"/>
    <w:rsid w:val="00CB6D7B"/>
    <w:rsid w:val="00CB6DFE"/>
    <w:rsid w:val="00CB6E19"/>
    <w:rsid w:val="00CB6F02"/>
    <w:rsid w:val="00CB7258"/>
    <w:rsid w:val="00CB727C"/>
    <w:rsid w:val="00CB7491"/>
    <w:rsid w:val="00CB74FF"/>
    <w:rsid w:val="00CB78E7"/>
    <w:rsid w:val="00CB796B"/>
    <w:rsid w:val="00CB79B1"/>
    <w:rsid w:val="00CB7BB0"/>
    <w:rsid w:val="00CB7D7E"/>
    <w:rsid w:val="00CB7EAA"/>
    <w:rsid w:val="00CB7EF8"/>
    <w:rsid w:val="00CC00FF"/>
    <w:rsid w:val="00CC03FC"/>
    <w:rsid w:val="00CC043B"/>
    <w:rsid w:val="00CC0604"/>
    <w:rsid w:val="00CC07A4"/>
    <w:rsid w:val="00CC085F"/>
    <w:rsid w:val="00CC08E5"/>
    <w:rsid w:val="00CC0956"/>
    <w:rsid w:val="00CC0B54"/>
    <w:rsid w:val="00CC0DC6"/>
    <w:rsid w:val="00CC0E26"/>
    <w:rsid w:val="00CC0E49"/>
    <w:rsid w:val="00CC13AD"/>
    <w:rsid w:val="00CC13EB"/>
    <w:rsid w:val="00CC13F7"/>
    <w:rsid w:val="00CC14CD"/>
    <w:rsid w:val="00CC1501"/>
    <w:rsid w:val="00CC1798"/>
    <w:rsid w:val="00CC182C"/>
    <w:rsid w:val="00CC1985"/>
    <w:rsid w:val="00CC1A6A"/>
    <w:rsid w:val="00CC2461"/>
    <w:rsid w:val="00CC250A"/>
    <w:rsid w:val="00CC2648"/>
    <w:rsid w:val="00CC2A22"/>
    <w:rsid w:val="00CC2BCB"/>
    <w:rsid w:val="00CC2D6D"/>
    <w:rsid w:val="00CC2EB5"/>
    <w:rsid w:val="00CC2FE5"/>
    <w:rsid w:val="00CC3071"/>
    <w:rsid w:val="00CC33FD"/>
    <w:rsid w:val="00CC35CC"/>
    <w:rsid w:val="00CC3621"/>
    <w:rsid w:val="00CC3894"/>
    <w:rsid w:val="00CC38DB"/>
    <w:rsid w:val="00CC3A1E"/>
    <w:rsid w:val="00CC3A70"/>
    <w:rsid w:val="00CC3BDF"/>
    <w:rsid w:val="00CC3C47"/>
    <w:rsid w:val="00CC41B0"/>
    <w:rsid w:val="00CC41E9"/>
    <w:rsid w:val="00CC467C"/>
    <w:rsid w:val="00CC4747"/>
    <w:rsid w:val="00CC487A"/>
    <w:rsid w:val="00CC48CF"/>
    <w:rsid w:val="00CC4950"/>
    <w:rsid w:val="00CC4A92"/>
    <w:rsid w:val="00CC4B73"/>
    <w:rsid w:val="00CC515B"/>
    <w:rsid w:val="00CC5160"/>
    <w:rsid w:val="00CC5189"/>
    <w:rsid w:val="00CC59B4"/>
    <w:rsid w:val="00CC59EA"/>
    <w:rsid w:val="00CC5E14"/>
    <w:rsid w:val="00CC5E48"/>
    <w:rsid w:val="00CC5F58"/>
    <w:rsid w:val="00CC63AA"/>
    <w:rsid w:val="00CC6595"/>
    <w:rsid w:val="00CC69C9"/>
    <w:rsid w:val="00CC6AE2"/>
    <w:rsid w:val="00CC6BC0"/>
    <w:rsid w:val="00CC6DB9"/>
    <w:rsid w:val="00CC6F2C"/>
    <w:rsid w:val="00CC6FC7"/>
    <w:rsid w:val="00CC71C1"/>
    <w:rsid w:val="00CC7311"/>
    <w:rsid w:val="00CC740C"/>
    <w:rsid w:val="00CC762C"/>
    <w:rsid w:val="00CC797C"/>
    <w:rsid w:val="00CC7C39"/>
    <w:rsid w:val="00CC7E74"/>
    <w:rsid w:val="00CC7F84"/>
    <w:rsid w:val="00CC7FE9"/>
    <w:rsid w:val="00CD0007"/>
    <w:rsid w:val="00CD011A"/>
    <w:rsid w:val="00CD0511"/>
    <w:rsid w:val="00CD0569"/>
    <w:rsid w:val="00CD0573"/>
    <w:rsid w:val="00CD05A4"/>
    <w:rsid w:val="00CD0820"/>
    <w:rsid w:val="00CD090C"/>
    <w:rsid w:val="00CD0A51"/>
    <w:rsid w:val="00CD0D4B"/>
    <w:rsid w:val="00CD0EC0"/>
    <w:rsid w:val="00CD0F21"/>
    <w:rsid w:val="00CD104B"/>
    <w:rsid w:val="00CD1361"/>
    <w:rsid w:val="00CD1976"/>
    <w:rsid w:val="00CD19AF"/>
    <w:rsid w:val="00CD23B9"/>
    <w:rsid w:val="00CD2733"/>
    <w:rsid w:val="00CD28F8"/>
    <w:rsid w:val="00CD2BD9"/>
    <w:rsid w:val="00CD2C06"/>
    <w:rsid w:val="00CD2CB0"/>
    <w:rsid w:val="00CD2DB9"/>
    <w:rsid w:val="00CD311E"/>
    <w:rsid w:val="00CD3247"/>
    <w:rsid w:val="00CD3548"/>
    <w:rsid w:val="00CD3593"/>
    <w:rsid w:val="00CD3653"/>
    <w:rsid w:val="00CD3721"/>
    <w:rsid w:val="00CD37D7"/>
    <w:rsid w:val="00CD3F8C"/>
    <w:rsid w:val="00CD4097"/>
    <w:rsid w:val="00CD4486"/>
    <w:rsid w:val="00CD499A"/>
    <w:rsid w:val="00CD4D0A"/>
    <w:rsid w:val="00CD53AA"/>
    <w:rsid w:val="00CD566D"/>
    <w:rsid w:val="00CD56CD"/>
    <w:rsid w:val="00CD57A5"/>
    <w:rsid w:val="00CD5815"/>
    <w:rsid w:val="00CD5A4D"/>
    <w:rsid w:val="00CD5ACE"/>
    <w:rsid w:val="00CD5AD7"/>
    <w:rsid w:val="00CD5C3E"/>
    <w:rsid w:val="00CD5C47"/>
    <w:rsid w:val="00CD5DC8"/>
    <w:rsid w:val="00CD5EA1"/>
    <w:rsid w:val="00CD5FC7"/>
    <w:rsid w:val="00CD602B"/>
    <w:rsid w:val="00CD6083"/>
    <w:rsid w:val="00CD642C"/>
    <w:rsid w:val="00CD6A75"/>
    <w:rsid w:val="00CD6DED"/>
    <w:rsid w:val="00CD7011"/>
    <w:rsid w:val="00CD7214"/>
    <w:rsid w:val="00CD7555"/>
    <w:rsid w:val="00CD7642"/>
    <w:rsid w:val="00CD7851"/>
    <w:rsid w:val="00CD7A8C"/>
    <w:rsid w:val="00CD7C0B"/>
    <w:rsid w:val="00CD7C36"/>
    <w:rsid w:val="00CE0043"/>
    <w:rsid w:val="00CE00FF"/>
    <w:rsid w:val="00CE02DA"/>
    <w:rsid w:val="00CE0621"/>
    <w:rsid w:val="00CE06EA"/>
    <w:rsid w:val="00CE082C"/>
    <w:rsid w:val="00CE0D5A"/>
    <w:rsid w:val="00CE0D83"/>
    <w:rsid w:val="00CE1235"/>
    <w:rsid w:val="00CE1288"/>
    <w:rsid w:val="00CE12EA"/>
    <w:rsid w:val="00CE138B"/>
    <w:rsid w:val="00CE187E"/>
    <w:rsid w:val="00CE1CCC"/>
    <w:rsid w:val="00CE1CF1"/>
    <w:rsid w:val="00CE1E7A"/>
    <w:rsid w:val="00CE1ED4"/>
    <w:rsid w:val="00CE20C6"/>
    <w:rsid w:val="00CE217D"/>
    <w:rsid w:val="00CE2332"/>
    <w:rsid w:val="00CE2462"/>
    <w:rsid w:val="00CE2469"/>
    <w:rsid w:val="00CE25A7"/>
    <w:rsid w:val="00CE25EB"/>
    <w:rsid w:val="00CE2647"/>
    <w:rsid w:val="00CE2BEA"/>
    <w:rsid w:val="00CE2ECF"/>
    <w:rsid w:val="00CE31D7"/>
    <w:rsid w:val="00CE33D4"/>
    <w:rsid w:val="00CE3675"/>
    <w:rsid w:val="00CE36FE"/>
    <w:rsid w:val="00CE37DE"/>
    <w:rsid w:val="00CE38B6"/>
    <w:rsid w:val="00CE3924"/>
    <w:rsid w:val="00CE39CE"/>
    <w:rsid w:val="00CE400A"/>
    <w:rsid w:val="00CE42B1"/>
    <w:rsid w:val="00CE4807"/>
    <w:rsid w:val="00CE489D"/>
    <w:rsid w:val="00CE4A4D"/>
    <w:rsid w:val="00CE4AD4"/>
    <w:rsid w:val="00CE4C38"/>
    <w:rsid w:val="00CE4C6D"/>
    <w:rsid w:val="00CE4E44"/>
    <w:rsid w:val="00CE5293"/>
    <w:rsid w:val="00CE5316"/>
    <w:rsid w:val="00CE55C5"/>
    <w:rsid w:val="00CE5731"/>
    <w:rsid w:val="00CE591D"/>
    <w:rsid w:val="00CE5C15"/>
    <w:rsid w:val="00CE5DEE"/>
    <w:rsid w:val="00CE5EAE"/>
    <w:rsid w:val="00CE6093"/>
    <w:rsid w:val="00CE62F0"/>
    <w:rsid w:val="00CE68FC"/>
    <w:rsid w:val="00CE6B6E"/>
    <w:rsid w:val="00CE6E58"/>
    <w:rsid w:val="00CE70F5"/>
    <w:rsid w:val="00CE712D"/>
    <w:rsid w:val="00CE7183"/>
    <w:rsid w:val="00CE7500"/>
    <w:rsid w:val="00CE7645"/>
    <w:rsid w:val="00CE7698"/>
    <w:rsid w:val="00CE76B5"/>
    <w:rsid w:val="00CE7777"/>
    <w:rsid w:val="00CE780D"/>
    <w:rsid w:val="00CE7A08"/>
    <w:rsid w:val="00CE7AD9"/>
    <w:rsid w:val="00CE7E7A"/>
    <w:rsid w:val="00CE7FE5"/>
    <w:rsid w:val="00CF0025"/>
    <w:rsid w:val="00CF0247"/>
    <w:rsid w:val="00CF02A5"/>
    <w:rsid w:val="00CF036E"/>
    <w:rsid w:val="00CF042B"/>
    <w:rsid w:val="00CF09E3"/>
    <w:rsid w:val="00CF0ABF"/>
    <w:rsid w:val="00CF0BA9"/>
    <w:rsid w:val="00CF0C25"/>
    <w:rsid w:val="00CF0C39"/>
    <w:rsid w:val="00CF0EEE"/>
    <w:rsid w:val="00CF1091"/>
    <w:rsid w:val="00CF13A7"/>
    <w:rsid w:val="00CF1517"/>
    <w:rsid w:val="00CF155A"/>
    <w:rsid w:val="00CF169B"/>
    <w:rsid w:val="00CF175E"/>
    <w:rsid w:val="00CF17C7"/>
    <w:rsid w:val="00CF1822"/>
    <w:rsid w:val="00CF1853"/>
    <w:rsid w:val="00CF1991"/>
    <w:rsid w:val="00CF1A32"/>
    <w:rsid w:val="00CF1A9B"/>
    <w:rsid w:val="00CF1B8D"/>
    <w:rsid w:val="00CF1C44"/>
    <w:rsid w:val="00CF1CA5"/>
    <w:rsid w:val="00CF1CCB"/>
    <w:rsid w:val="00CF219E"/>
    <w:rsid w:val="00CF21EC"/>
    <w:rsid w:val="00CF2729"/>
    <w:rsid w:val="00CF2E77"/>
    <w:rsid w:val="00CF300E"/>
    <w:rsid w:val="00CF30A1"/>
    <w:rsid w:val="00CF319A"/>
    <w:rsid w:val="00CF3591"/>
    <w:rsid w:val="00CF38E8"/>
    <w:rsid w:val="00CF3D71"/>
    <w:rsid w:val="00CF3E70"/>
    <w:rsid w:val="00CF40EF"/>
    <w:rsid w:val="00CF43B3"/>
    <w:rsid w:val="00CF4414"/>
    <w:rsid w:val="00CF4792"/>
    <w:rsid w:val="00CF48F8"/>
    <w:rsid w:val="00CF4908"/>
    <w:rsid w:val="00CF4C33"/>
    <w:rsid w:val="00CF4D8F"/>
    <w:rsid w:val="00CF5238"/>
    <w:rsid w:val="00CF5455"/>
    <w:rsid w:val="00CF5704"/>
    <w:rsid w:val="00CF57E2"/>
    <w:rsid w:val="00CF57F5"/>
    <w:rsid w:val="00CF5881"/>
    <w:rsid w:val="00CF58BC"/>
    <w:rsid w:val="00CF5BA8"/>
    <w:rsid w:val="00CF5C48"/>
    <w:rsid w:val="00CF5C6A"/>
    <w:rsid w:val="00CF5D20"/>
    <w:rsid w:val="00CF61BE"/>
    <w:rsid w:val="00CF61E5"/>
    <w:rsid w:val="00CF6208"/>
    <w:rsid w:val="00CF643C"/>
    <w:rsid w:val="00CF676B"/>
    <w:rsid w:val="00CF6778"/>
    <w:rsid w:val="00CF677D"/>
    <w:rsid w:val="00CF6875"/>
    <w:rsid w:val="00CF6881"/>
    <w:rsid w:val="00CF68B9"/>
    <w:rsid w:val="00CF6CD7"/>
    <w:rsid w:val="00CF6CDB"/>
    <w:rsid w:val="00CF6E18"/>
    <w:rsid w:val="00CF7030"/>
    <w:rsid w:val="00CF750C"/>
    <w:rsid w:val="00CF759F"/>
    <w:rsid w:val="00CF7648"/>
    <w:rsid w:val="00CF7715"/>
    <w:rsid w:val="00CF77A2"/>
    <w:rsid w:val="00CF78BC"/>
    <w:rsid w:val="00CF78E7"/>
    <w:rsid w:val="00CF78FE"/>
    <w:rsid w:val="00CF7BE5"/>
    <w:rsid w:val="00D000AA"/>
    <w:rsid w:val="00D00187"/>
    <w:rsid w:val="00D002B8"/>
    <w:rsid w:val="00D0032D"/>
    <w:rsid w:val="00D0032E"/>
    <w:rsid w:val="00D00499"/>
    <w:rsid w:val="00D00502"/>
    <w:rsid w:val="00D005AC"/>
    <w:rsid w:val="00D005B9"/>
    <w:rsid w:val="00D009D6"/>
    <w:rsid w:val="00D00A4E"/>
    <w:rsid w:val="00D00A99"/>
    <w:rsid w:val="00D00C1D"/>
    <w:rsid w:val="00D00D2E"/>
    <w:rsid w:val="00D00EC4"/>
    <w:rsid w:val="00D01646"/>
    <w:rsid w:val="00D017B2"/>
    <w:rsid w:val="00D01883"/>
    <w:rsid w:val="00D01887"/>
    <w:rsid w:val="00D01F7E"/>
    <w:rsid w:val="00D020E1"/>
    <w:rsid w:val="00D02155"/>
    <w:rsid w:val="00D024D3"/>
    <w:rsid w:val="00D025C4"/>
    <w:rsid w:val="00D02B75"/>
    <w:rsid w:val="00D02CD5"/>
    <w:rsid w:val="00D02DC0"/>
    <w:rsid w:val="00D02DD8"/>
    <w:rsid w:val="00D02E39"/>
    <w:rsid w:val="00D030A5"/>
    <w:rsid w:val="00D03119"/>
    <w:rsid w:val="00D03127"/>
    <w:rsid w:val="00D03345"/>
    <w:rsid w:val="00D033F3"/>
    <w:rsid w:val="00D03927"/>
    <w:rsid w:val="00D03BEB"/>
    <w:rsid w:val="00D03C9D"/>
    <w:rsid w:val="00D03E9C"/>
    <w:rsid w:val="00D03EA4"/>
    <w:rsid w:val="00D03EC9"/>
    <w:rsid w:val="00D03F48"/>
    <w:rsid w:val="00D03FCB"/>
    <w:rsid w:val="00D04351"/>
    <w:rsid w:val="00D04623"/>
    <w:rsid w:val="00D04878"/>
    <w:rsid w:val="00D04996"/>
    <w:rsid w:val="00D04A9A"/>
    <w:rsid w:val="00D04B83"/>
    <w:rsid w:val="00D04C36"/>
    <w:rsid w:val="00D04F23"/>
    <w:rsid w:val="00D04FCF"/>
    <w:rsid w:val="00D05225"/>
    <w:rsid w:val="00D057CC"/>
    <w:rsid w:val="00D05C6E"/>
    <w:rsid w:val="00D05EDB"/>
    <w:rsid w:val="00D060DC"/>
    <w:rsid w:val="00D060FB"/>
    <w:rsid w:val="00D062E9"/>
    <w:rsid w:val="00D06328"/>
    <w:rsid w:val="00D0641E"/>
    <w:rsid w:val="00D06465"/>
    <w:rsid w:val="00D064A4"/>
    <w:rsid w:val="00D064D2"/>
    <w:rsid w:val="00D06602"/>
    <w:rsid w:val="00D06948"/>
    <w:rsid w:val="00D06BA9"/>
    <w:rsid w:val="00D06BF6"/>
    <w:rsid w:val="00D06DA0"/>
    <w:rsid w:val="00D0702C"/>
    <w:rsid w:val="00D071C0"/>
    <w:rsid w:val="00D0786A"/>
    <w:rsid w:val="00D07F2C"/>
    <w:rsid w:val="00D10304"/>
    <w:rsid w:val="00D1030F"/>
    <w:rsid w:val="00D1044D"/>
    <w:rsid w:val="00D10476"/>
    <w:rsid w:val="00D105E9"/>
    <w:rsid w:val="00D10871"/>
    <w:rsid w:val="00D113E8"/>
    <w:rsid w:val="00D115C2"/>
    <w:rsid w:val="00D116D1"/>
    <w:rsid w:val="00D117B4"/>
    <w:rsid w:val="00D11879"/>
    <w:rsid w:val="00D11B7B"/>
    <w:rsid w:val="00D11F08"/>
    <w:rsid w:val="00D12327"/>
    <w:rsid w:val="00D123DB"/>
    <w:rsid w:val="00D12473"/>
    <w:rsid w:val="00D1251D"/>
    <w:rsid w:val="00D125EC"/>
    <w:rsid w:val="00D12734"/>
    <w:rsid w:val="00D1278C"/>
    <w:rsid w:val="00D12BD8"/>
    <w:rsid w:val="00D12FF2"/>
    <w:rsid w:val="00D13422"/>
    <w:rsid w:val="00D135A1"/>
    <w:rsid w:val="00D136E3"/>
    <w:rsid w:val="00D13970"/>
    <w:rsid w:val="00D13AB1"/>
    <w:rsid w:val="00D13AD2"/>
    <w:rsid w:val="00D13DD5"/>
    <w:rsid w:val="00D13F57"/>
    <w:rsid w:val="00D13F63"/>
    <w:rsid w:val="00D141C4"/>
    <w:rsid w:val="00D145C6"/>
    <w:rsid w:val="00D146B8"/>
    <w:rsid w:val="00D14804"/>
    <w:rsid w:val="00D14898"/>
    <w:rsid w:val="00D14ACC"/>
    <w:rsid w:val="00D14C3D"/>
    <w:rsid w:val="00D14CB3"/>
    <w:rsid w:val="00D14F59"/>
    <w:rsid w:val="00D15024"/>
    <w:rsid w:val="00D153D6"/>
    <w:rsid w:val="00D154F4"/>
    <w:rsid w:val="00D15620"/>
    <w:rsid w:val="00D1570F"/>
    <w:rsid w:val="00D158FA"/>
    <w:rsid w:val="00D15930"/>
    <w:rsid w:val="00D159F5"/>
    <w:rsid w:val="00D15B22"/>
    <w:rsid w:val="00D15D59"/>
    <w:rsid w:val="00D15DF9"/>
    <w:rsid w:val="00D16133"/>
    <w:rsid w:val="00D165FA"/>
    <w:rsid w:val="00D168BD"/>
    <w:rsid w:val="00D16967"/>
    <w:rsid w:val="00D16A28"/>
    <w:rsid w:val="00D16BF7"/>
    <w:rsid w:val="00D16C18"/>
    <w:rsid w:val="00D16C57"/>
    <w:rsid w:val="00D170D1"/>
    <w:rsid w:val="00D1719B"/>
    <w:rsid w:val="00D17571"/>
    <w:rsid w:val="00D17585"/>
    <w:rsid w:val="00D1758B"/>
    <w:rsid w:val="00D175DC"/>
    <w:rsid w:val="00D175DF"/>
    <w:rsid w:val="00D17694"/>
    <w:rsid w:val="00D1775E"/>
    <w:rsid w:val="00D1779D"/>
    <w:rsid w:val="00D17D17"/>
    <w:rsid w:val="00D17EA4"/>
    <w:rsid w:val="00D17F1F"/>
    <w:rsid w:val="00D17F5A"/>
    <w:rsid w:val="00D20081"/>
    <w:rsid w:val="00D20096"/>
    <w:rsid w:val="00D201F1"/>
    <w:rsid w:val="00D2023E"/>
    <w:rsid w:val="00D20437"/>
    <w:rsid w:val="00D20663"/>
    <w:rsid w:val="00D209B2"/>
    <w:rsid w:val="00D209C0"/>
    <w:rsid w:val="00D20B83"/>
    <w:rsid w:val="00D20C47"/>
    <w:rsid w:val="00D20E52"/>
    <w:rsid w:val="00D21256"/>
    <w:rsid w:val="00D21372"/>
    <w:rsid w:val="00D2139D"/>
    <w:rsid w:val="00D21618"/>
    <w:rsid w:val="00D21929"/>
    <w:rsid w:val="00D219ED"/>
    <w:rsid w:val="00D21A53"/>
    <w:rsid w:val="00D21E9C"/>
    <w:rsid w:val="00D223AF"/>
    <w:rsid w:val="00D22A55"/>
    <w:rsid w:val="00D22AE9"/>
    <w:rsid w:val="00D22AFB"/>
    <w:rsid w:val="00D22C17"/>
    <w:rsid w:val="00D22C79"/>
    <w:rsid w:val="00D22D26"/>
    <w:rsid w:val="00D22D3F"/>
    <w:rsid w:val="00D22E5F"/>
    <w:rsid w:val="00D22EA3"/>
    <w:rsid w:val="00D23189"/>
    <w:rsid w:val="00D231D4"/>
    <w:rsid w:val="00D23227"/>
    <w:rsid w:val="00D23510"/>
    <w:rsid w:val="00D235A2"/>
    <w:rsid w:val="00D236B1"/>
    <w:rsid w:val="00D23755"/>
    <w:rsid w:val="00D23771"/>
    <w:rsid w:val="00D237C0"/>
    <w:rsid w:val="00D23965"/>
    <w:rsid w:val="00D23B26"/>
    <w:rsid w:val="00D23BB0"/>
    <w:rsid w:val="00D23BE7"/>
    <w:rsid w:val="00D23C1F"/>
    <w:rsid w:val="00D23DBB"/>
    <w:rsid w:val="00D23FF5"/>
    <w:rsid w:val="00D24040"/>
    <w:rsid w:val="00D241EE"/>
    <w:rsid w:val="00D2433F"/>
    <w:rsid w:val="00D2476D"/>
    <w:rsid w:val="00D2481A"/>
    <w:rsid w:val="00D248B9"/>
    <w:rsid w:val="00D24BFB"/>
    <w:rsid w:val="00D24CB6"/>
    <w:rsid w:val="00D24DEC"/>
    <w:rsid w:val="00D24E5E"/>
    <w:rsid w:val="00D2505E"/>
    <w:rsid w:val="00D252A9"/>
    <w:rsid w:val="00D25450"/>
    <w:rsid w:val="00D255B0"/>
    <w:rsid w:val="00D2594C"/>
    <w:rsid w:val="00D25A65"/>
    <w:rsid w:val="00D25BAE"/>
    <w:rsid w:val="00D2630D"/>
    <w:rsid w:val="00D265FA"/>
    <w:rsid w:val="00D2660D"/>
    <w:rsid w:val="00D26732"/>
    <w:rsid w:val="00D26E16"/>
    <w:rsid w:val="00D26F5C"/>
    <w:rsid w:val="00D26FAA"/>
    <w:rsid w:val="00D26FC2"/>
    <w:rsid w:val="00D2705B"/>
    <w:rsid w:val="00D27097"/>
    <w:rsid w:val="00D276E0"/>
    <w:rsid w:val="00D27A02"/>
    <w:rsid w:val="00D27C43"/>
    <w:rsid w:val="00D27F14"/>
    <w:rsid w:val="00D30345"/>
    <w:rsid w:val="00D305C8"/>
    <w:rsid w:val="00D30635"/>
    <w:rsid w:val="00D3077E"/>
    <w:rsid w:val="00D309D0"/>
    <w:rsid w:val="00D30ADB"/>
    <w:rsid w:val="00D30BE4"/>
    <w:rsid w:val="00D30BF9"/>
    <w:rsid w:val="00D30FC3"/>
    <w:rsid w:val="00D3129C"/>
    <w:rsid w:val="00D31536"/>
    <w:rsid w:val="00D3189C"/>
    <w:rsid w:val="00D3195F"/>
    <w:rsid w:val="00D31B29"/>
    <w:rsid w:val="00D31B45"/>
    <w:rsid w:val="00D31C53"/>
    <w:rsid w:val="00D31D21"/>
    <w:rsid w:val="00D31E59"/>
    <w:rsid w:val="00D31F8B"/>
    <w:rsid w:val="00D320B0"/>
    <w:rsid w:val="00D3216F"/>
    <w:rsid w:val="00D328DA"/>
    <w:rsid w:val="00D32D3F"/>
    <w:rsid w:val="00D32E6D"/>
    <w:rsid w:val="00D32F08"/>
    <w:rsid w:val="00D32F16"/>
    <w:rsid w:val="00D32FA0"/>
    <w:rsid w:val="00D32FB9"/>
    <w:rsid w:val="00D33120"/>
    <w:rsid w:val="00D331A4"/>
    <w:rsid w:val="00D33280"/>
    <w:rsid w:val="00D333D1"/>
    <w:rsid w:val="00D3343A"/>
    <w:rsid w:val="00D336EE"/>
    <w:rsid w:val="00D33753"/>
    <w:rsid w:val="00D3380C"/>
    <w:rsid w:val="00D338C2"/>
    <w:rsid w:val="00D3396D"/>
    <w:rsid w:val="00D33AE3"/>
    <w:rsid w:val="00D34090"/>
    <w:rsid w:val="00D3441F"/>
    <w:rsid w:val="00D3455E"/>
    <w:rsid w:val="00D34583"/>
    <w:rsid w:val="00D34717"/>
    <w:rsid w:val="00D34743"/>
    <w:rsid w:val="00D349A5"/>
    <w:rsid w:val="00D34AA0"/>
    <w:rsid w:val="00D34AB6"/>
    <w:rsid w:val="00D34B65"/>
    <w:rsid w:val="00D34BBB"/>
    <w:rsid w:val="00D34F57"/>
    <w:rsid w:val="00D34F80"/>
    <w:rsid w:val="00D350DF"/>
    <w:rsid w:val="00D35165"/>
    <w:rsid w:val="00D35368"/>
    <w:rsid w:val="00D353EA"/>
    <w:rsid w:val="00D354DC"/>
    <w:rsid w:val="00D35728"/>
    <w:rsid w:val="00D35859"/>
    <w:rsid w:val="00D358D1"/>
    <w:rsid w:val="00D35966"/>
    <w:rsid w:val="00D35EDA"/>
    <w:rsid w:val="00D35F02"/>
    <w:rsid w:val="00D36095"/>
    <w:rsid w:val="00D366B3"/>
    <w:rsid w:val="00D36A38"/>
    <w:rsid w:val="00D36D91"/>
    <w:rsid w:val="00D3704F"/>
    <w:rsid w:val="00D37187"/>
    <w:rsid w:val="00D376D4"/>
    <w:rsid w:val="00D377C9"/>
    <w:rsid w:val="00D379A0"/>
    <w:rsid w:val="00D37B7A"/>
    <w:rsid w:val="00D37C5C"/>
    <w:rsid w:val="00D37CFD"/>
    <w:rsid w:val="00D37D6F"/>
    <w:rsid w:val="00D37D74"/>
    <w:rsid w:val="00D37F39"/>
    <w:rsid w:val="00D37FDC"/>
    <w:rsid w:val="00D401B9"/>
    <w:rsid w:val="00D405B0"/>
    <w:rsid w:val="00D4079E"/>
    <w:rsid w:val="00D4098B"/>
    <w:rsid w:val="00D40A74"/>
    <w:rsid w:val="00D40BDE"/>
    <w:rsid w:val="00D412DE"/>
    <w:rsid w:val="00D4138F"/>
    <w:rsid w:val="00D416E4"/>
    <w:rsid w:val="00D417F7"/>
    <w:rsid w:val="00D4194E"/>
    <w:rsid w:val="00D41A38"/>
    <w:rsid w:val="00D41D90"/>
    <w:rsid w:val="00D41EC6"/>
    <w:rsid w:val="00D423DF"/>
    <w:rsid w:val="00D42589"/>
    <w:rsid w:val="00D426A3"/>
    <w:rsid w:val="00D4281D"/>
    <w:rsid w:val="00D42876"/>
    <w:rsid w:val="00D42919"/>
    <w:rsid w:val="00D42A67"/>
    <w:rsid w:val="00D42DB5"/>
    <w:rsid w:val="00D42E45"/>
    <w:rsid w:val="00D431AB"/>
    <w:rsid w:val="00D431BA"/>
    <w:rsid w:val="00D43375"/>
    <w:rsid w:val="00D433E8"/>
    <w:rsid w:val="00D435C0"/>
    <w:rsid w:val="00D43669"/>
    <w:rsid w:val="00D43672"/>
    <w:rsid w:val="00D4380E"/>
    <w:rsid w:val="00D43961"/>
    <w:rsid w:val="00D43AB5"/>
    <w:rsid w:val="00D43C70"/>
    <w:rsid w:val="00D43C7E"/>
    <w:rsid w:val="00D43E14"/>
    <w:rsid w:val="00D44004"/>
    <w:rsid w:val="00D442A7"/>
    <w:rsid w:val="00D44471"/>
    <w:rsid w:val="00D446DF"/>
    <w:rsid w:val="00D44721"/>
    <w:rsid w:val="00D4473C"/>
    <w:rsid w:val="00D447CB"/>
    <w:rsid w:val="00D44820"/>
    <w:rsid w:val="00D44831"/>
    <w:rsid w:val="00D459F8"/>
    <w:rsid w:val="00D45A75"/>
    <w:rsid w:val="00D45AED"/>
    <w:rsid w:val="00D45BCD"/>
    <w:rsid w:val="00D45D0F"/>
    <w:rsid w:val="00D45E6E"/>
    <w:rsid w:val="00D45F1F"/>
    <w:rsid w:val="00D45F79"/>
    <w:rsid w:val="00D46163"/>
    <w:rsid w:val="00D462E3"/>
    <w:rsid w:val="00D465BB"/>
    <w:rsid w:val="00D467DF"/>
    <w:rsid w:val="00D46938"/>
    <w:rsid w:val="00D46949"/>
    <w:rsid w:val="00D46AFD"/>
    <w:rsid w:val="00D46CC1"/>
    <w:rsid w:val="00D46EC6"/>
    <w:rsid w:val="00D471E8"/>
    <w:rsid w:val="00D47201"/>
    <w:rsid w:val="00D47570"/>
    <w:rsid w:val="00D47574"/>
    <w:rsid w:val="00D47610"/>
    <w:rsid w:val="00D47967"/>
    <w:rsid w:val="00D47A92"/>
    <w:rsid w:val="00D47BC4"/>
    <w:rsid w:val="00D47D96"/>
    <w:rsid w:val="00D50724"/>
    <w:rsid w:val="00D50881"/>
    <w:rsid w:val="00D50913"/>
    <w:rsid w:val="00D50D92"/>
    <w:rsid w:val="00D50DB6"/>
    <w:rsid w:val="00D50E27"/>
    <w:rsid w:val="00D50E6B"/>
    <w:rsid w:val="00D50EAE"/>
    <w:rsid w:val="00D50EEC"/>
    <w:rsid w:val="00D5102B"/>
    <w:rsid w:val="00D5105E"/>
    <w:rsid w:val="00D5106E"/>
    <w:rsid w:val="00D512CB"/>
    <w:rsid w:val="00D515B5"/>
    <w:rsid w:val="00D515C2"/>
    <w:rsid w:val="00D51619"/>
    <w:rsid w:val="00D516FB"/>
    <w:rsid w:val="00D51AA3"/>
    <w:rsid w:val="00D51B50"/>
    <w:rsid w:val="00D51BD4"/>
    <w:rsid w:val="00D522AB"/>
    <w:rsid w:val="00D527DA"/>
    <w:rsid w:val="00D52BD5"/>
    <w:rsid w:val="00D52EE1"/>
    <w:rsid w:val="00D52FD3"/>
    <w:rsid w:val="00D53123"/>
    <w:rsid w:val="00D536DB"/>
    <w:rsid w:val="00D5456B"/>
    <w:rsid w:val="00D54932"/>
    <w:rsid w:val="00D549FB"/>
    <w:rsid w:val="00D54C49"/>
    <w:rsid w:val="00D54CB5"/>
    <w:rsid w:val="00D55066"/>
    <w:rsid w:val="00D55417"/>
    <w:rsid w:val="00D55591"/>
    <w:rsid w:val="00D555ED"/>
    <w:rsid w:val="00D55AF7"/>
    <w:rsid w:val="00D56067"/>
    <w:rsid w:val="00D568FE"/>
    <w:rsid w:val="00D569DF"/>
    <w:rsid w:val="00D56C75"/>
    <w:rsid w:val="00D56FB1"/>
    <w:rsid w:val="00D56FB7"/>
    <w:rsid w:val="00D5760B"/>
    <w:rsid w:val="00D577AC"/>
    <w:rsid w:val="00D579AA"/>
    <w:rsid w:val="00D57AFE"/>
    <w:rsid w:val="00D57D89"/>
    <w:rsid w:val="00D57E89"/>
    <w:rsid w:val="00D60041"/>
    <w:rsid w:val="00D60382"/>
    <w:rsid w:val="00D60800"/>
    <w:rsid w:val="00D6095F"/>
    <w:rsid w:val="00D609A9"/>
    <w:rsid w:val="00D609EE"/>
    <w:rsid w:val="00D60B89"/>
    <w:rsid w:val="00D60BEC"/>
    <w:rsid w:val="00D610C4"/>
    <w:rsid w:val="00D613AF"/>
    <w:rsid w:val="00D61718"/>
    <w:rsid w:val="00D61762"/>
    <w:rsid w:val="00D6181D"/>
    <w:rsid w:val="00D61AF7"/>
    <w:rsid w:val="00D61B9D"/>
    <w:rsid w:val="00D61CAE"/>
    <w:rsid w:val="00D61F1C"/>
    <w:rsid w:val="00D62042"/>
    <w:rsid w:val="00D622BB"/>
    <w:rsid w:val="00D622CC"/>
    <w:rsid w:val="00D624B8"/>
    <w:rsid w:val="00D62718"/>
    <w:rsid w:val="00D62823"/>
    <w:rsid w:val="00D629B2"/>
    <w:rsid w:val="00D62F23"/>
    <w:rsid w:val="00D62FF3"/>
    <w:rsid w:val="00D63010"/>
    <w:rsid w:val="00D631F2"/>
    <w:rsid w:val="00D6346A"/>
    <w:rsid w:val="00D634DE"/>
    <w:rsid w:val="00D6394C"/>
    <w:rsid w:val="00D63B2D"/>
    <w:rsid w:val="00D63D91"/>
    <w:rsid w:val="00D63DFB"/>
    <w:rsid w:val="00D64345"/>
    <w:rsid w:val="00D64495"/>
    <w:rsid w:val="00D646AB"/>
    <w:rsid w:val="00D64A21"/>
    <w:rsid w:val="00D64B11"/>
    <w:rsid w:val="00D64BCD"/>
    <w:rsid w:val="00D64D9A"/>
    <w:rsid w:val="00D64E96"/>
    <w:rsid w:val="00D64ED7"/>
    <w:rsid w:val="00D65090"/>
    <w:rsid w:val="00D65120"/>
    <w:rsid w:val="00D65255"/>
    <w:rsid w:val="00D652A7"/>
    <w:rsid w:val="00D6532A"/>
    <w:rsid w:val="00D6534E"/>
    <w:rsid w:val="00D65622"/>
    <w:rsid w:val="00D65866"/>
    <w:rsid w:val="00D65AC9"/>
    <w:rsid w:val="00D65D39"/>
    <w:rsid w:val="00D65F34"/>
    <w:rsid w:val="00D668AB"/>
    <w:rsid w:val="00D668EC"/>
    <w:rsid w:val="00D669AD"/>
    <w:rsid w:val="00D66A2B"/>
    <w:rsid w:val="00D66C74"/>
    <w:rsid w:val="00D66DE3"/>
    <w:rsid w:val="00D66E38"/>
    <w:rsid w:val="00D66F13"/>
    <w:rsid w:val="00D670BE"/>
    <w:rsid w:val="00D671E5"/>
    <w:rsid w:val="00D673FC"/>
    <w:rsid w:val="00D674AE"/>
    <w:rsid w:val="00D6753A"/>
    <w:rsid w:val="00D67651"/>
    <w:rsid w:val="00D67AF9"/>
    <w:rsid w:val="00D67C9A"/>
    <w:rsid w:val="00D67ECB"/>
    <w:rsid w:val="00D67FF9"/>
    <w:rsid w:val="00D701D6"/>
    <w:rsid w:val="00D70540"/>
    <w:rsid w:val="00D70561"/>
    <w:rsid w:val="00D705D7"/>
    <w:rsid w:val="00D705FC"/>
    <w:rsid w:val="00D708A1"/>
    <w:rsid w:val="00D70ACC"/>
    <w:rsid w:val="00D70BCE"/>
    <w:rsid w:val="00D70FDB"/>
    <w:rsid w:val="00D711B0"/>
    <w:rsid w:val="00D7136A"/>
    <w:rsid w:val="00D715B9"/>
    <w:rsid w:val="00D7169B"/>
    <w:rsid w:val="00D71813"/>
    <w:rsid w:val="00D718C9"/>
    <w:rsid w:val="00D718E3"/>
    <w:rsid w:val="00D718F7"/>
    <w:rsid w:val="00D71995"/>
    <w:rsid w:val="00D71BC0"/>
    <w:rsid w:val="00D71C32"/>
    <w:rsid w:val="00D71C9B"/>
    <w:rsid w:val="00D71DF7"/>
    <w:rsid w:val="00D71F6E"/>
    <w:rsid w:val="00D7207A"/>
    <w:rsid w:val="00D7233D"/>
    <w:rsid w:val="00D72652"/>
    <w:rsid w:val="00D7278C"/>
    <w:rsid w:val="00D72847"/>
    <w:rsid w:val="00D72FA1"/>
    <w:rsid w:val="00D72FDC"/>
    <w:rsid w:val="00D73168"/>
    <w:rsid w:val="00D7391E"/>
    <w:rsid w:val="00D7392D"/>
    <w:rsid w:val="00D73DCA"/>
    <w:rsid w:val="00D73E26"/>
    <w:rsid w:val="00D73ED2"/>
    <w:rsid w:val="00D73FE1"/>
    <w:rsid w:val="00D74046"/>
    <w:rsid w:val="00D740D2"/>
    <w:rsid w:val="00D74322"/>
    <w:rsid w:val="00D743BE"/>
    <w:rsid w:val="00D744B1"/>
    <w:rsid w:val="00D744EF"/>
    <w:rsid w:val="00D748E8"/>
    <w:rsid w:val="00D74991"/>
    <w:rsid w:val="00D74A46"/>
    <w:rsid w:val="00D74D42"/>
    <w:rsid w:val="00D75317"/>
    <w:rsid w:val="00D75398"/>
    <w:rsid w:val="00D75414"/>
    <w:rsid w:val="00D7543C"/>
    <w:rsid w:val="00D7552B"/>
    <w:rsid w:val="00D7570A"/>
    <w:rsid w:val="00D75A5C"/>
    <w:rsid w:val="00D75BE9"/>
    <w:rsid w:val="00D75EFB"/>
    <w:rsid w:val="00D75F08"/>
    <w:rsid w:val="00D75F57"/>
    <w:rsid w:val="00D75F9C"/>
    <w:rsid w:val="00D75FAC"/>
    <w:rsid w:val="00D76179"/>
    <w:rsid w:val="00D763B9"/>
    <w:rsid w:val="00D767AA"/>
    <w:rsid w:val="00D76922"/>
    <w:rsid w:val="00D76CAA"/>
    <w:rsid w:val="00D76DCB"/>
    <w:rsid w:val="00D77000"/>
    <w:rsid w:val="00D77122"/>
    <w:rsid w:val="00D7765D"/>
    <w:rsid w:val="00D779B9"/>
    <w:rsid w:val="00D779C0"/>
    <w:rsid w:val="00D779C7"/>
    <w:rsid w:val="00D77A5D"/>
    <w:rsid w:val="00D77C17"/>
    <w:rsid w:val="00D77DB2"/>
    <w:rsid w:val="00D77E68"/>
    <w:rsid w:val="00D801D5"/>
    <w:rsid w:val="00D8020D"/>
    <w:rsid w:val="00D805C4"/>
    <w:rsid w:val="00D80B25"/>
    <w:rsid w:val="00D80D1A"/>
    <w:rsid w:val="00D81222"/>
    <w:rsid w:val="00D813AC"/>
    <w:rsid w:val="00D815AD"/>
    <w:rsid w:val="00D81606"/>
    <w:rsid w:val="00D81A54"/>
    <w:rsid w:val="00D81C4E"/>
    <w:rsid w:val="00D82353"/>
    <w:rsid w:val="00D824AE"/>
    <w:rsid w:val="00D824E9"/>
    <w:rsid w:val="00D8269E"/>
    <w:rsid w:val="00D827FE"/>
    <w:rsid w:val="00D82BC1"/>
    <w:rsid w:val="00D82D57"/>
    <w:rsid w:val="00D82D6C"/>
    <w:rsid w:val="00D83068"/>
    <w:rsid w:val="00D8327E"/>
    <w:rsid w:val="00D8338B"/>
    <w:rsid w:val="00D83B39"/>
    <w:rsid w:val="00D83CCE"/>
    <w:rsid w:val="00D83EC5"/>
    <w:rsid w:val="00D83F43"/>
    <w:rsid w:val="00D8425A"/>
    <w:rsid w:val="00D8439C"/>
    <w:rsid w:val="00D844D9"/>
    <w:rsid w:val="00D8451B"/>
    <w:rsid w:val="00D849CC"/>
    <w:rsid w:val="00D84A08"/>
    <w:rsid w:val="00D84D14"/>
    <w:rsid w:val="00D84E08"/>
    <w:rsid w:val="00D84EC1"/>
    <w:rsid w:val="00D84F46"/>
    <w:rsid w:val="00D85243"/>
    <w:rsid w:val="00D854CC"/>
    <w:rsid w:val="00D854F4"/>
    <w:rsid w:val="00D855DD"/>
    <w:rsid w:val="00D85789"/>
    <w:rsid w:val="00D85C69"/>
    <w:rsid w:val="00D85CAC"/>
    <w:rsid w:val="00D8607E"/>
    <w:rsid w:val="00D861D7"/>
    <w:rsid w:val="00D86209"/>
    <w:rsid w:val="00D86271"/>
    <w:rsid w:val="00D864CF"/>
    <w:rsid w:val="00D864DE"/>
    <w:rsid w:val="00D86731"/>
    <w:rsid w:val="00D868FB"/>
    <w:rsid w:val="00D869A8"/>
    <w:rsid w:val="00D86BC4"/>
    <w:rsid w:val="00D86CB9"/>
    <w:rsid w:val="00D86FB4"/>
    <w:rsid w:val="00D875CE"/>
    <w:rsid w:val="00D87634"/>
    <w:rsid w:val="00D87697"/>
    <w:rsid w:val="00D876E5"/>
    <w:rsid w:val="00D87916"/>
    <w:rsid w:val="00D8795C"/>
    <w:rsid w:val="00D87A8F"/>
    <w:rsid w:val="00D900AD"/>
    <w:rsid w:val="00D9031D"/>
    <w:rsid w:val="00D90384"/>
    <w:rsid w:val="00D90479"/>
    <w:rsid w:val="00D905A4"/>
    <w:rsid w:val="00D90725"/>
    <w:rsid w:val="00D90AE4"/>
    <w:rsid w:val="00D90CF7"/>
    <w:rsid w:val="00D90D6C"/>
    <w:rsid w:val="00D90EE0"/>
    <w:rsid w:val="00D90F76"/>
    <w:rsid w:val="00D910DD"/>
    <w:rsid w:val="00D91287"/>
    <w:rsid w:val="00D91867"/>
    <w:rsid w:val="00D9190B"/>
    <w:rsid w:val="00D91C4E"/>
    <w:rsid w:val="00D91DA8"/>
    <w:rsid w:val="00D91F3B"/>
    <w:rsid w:val="00D92330"/>
    <w:rsid w:val="00D924D9"/>
    <w:rsid w:val="00D9252D"/>
    <w:rsid w:val="00D92622"/>
    <w:rsid w:val="00D9268D"/>
    <w:rsid w:val="00D9272A"/>
    <w:rsid w:val="00D9290A"/>
    <w:rsid w:val="00D92A89"/>
    <w:rsid w:val="00D92AF5"/>
    <w:rsid w:val="00D92B74"/>
    <w:rsid w:val="00D92B8F"/>
    <w:rsid w:val="00D92E30"/>
    <w:rsid w:val="00D92ED7"/>
    <w:rsid w:val="00D9312B"/>
    <w:rsid w:val="00D931A0"/>
    <w:rsid w:val="00D934AA"/>
    <w:rsid w:val="00D934BF"/>
    <w:rsid w:val="00D9358A"/>
    <w:rsid w:val="00D93609"/>
    <w:rsid w:val="00D93729"/>
    <w:rsid w:val="00D93B41"/>
    <w:rsid w:val="00D93B91"/>
    <w:rsid w:val="00D93C70"/>
    <w:rsid w:val="00D93CA4"/>
    <w:rsid w:val="00D93D33"/>
    <w:rsid w:val="00D94145"/>
    <w:rsid w:val="00D9414B"/>
    <w:rsid w:val="00D9427C"/>
    <w:rsid w:val="00D94312"/>
    <w:rsid w:val="00D94451"/>
    <w:rsid w:val="00D94469"/>
    <w:rsid w:val="00D944CA"/>
    <w:rsid w:val="00D944E7"/>
    <w:rsid w:val="00D94601"/>
    <w:rsid w:val="00D94708"/>
    <w:rsid w:val="00D94908"/>
    <w:rsid w:val="00D94F28"/>
    <w:rsid w:val="00D9517C"/>
    <w:rsid w:val="00D951A9"/>
    <w:rsid w:val="00D95303"/>
    <w:rsid w:val="00D9548F"/>
    <w:rsid w:val="00D95600"/>
    <w:rsid w:val="00D958B0"/>
    <w:rsid w:val="00D95997"/>
    <w:rsid w:val="00D95EDC"/>
    <w:rsid w:val="00D95F20"/>
    <w:rsid w:val="00D95F86"/>
    <w:rsid w:val="00D9675C"/>
    <w:rsid w:val="00D96812"/>
    <w:rsid w:val="00D96A93"/>
    <w:rsid w:val="00D96B63"/>
    <w:rsid w:val="00D96F70"/>
    <w:rsid w:val="00D96F79"/>
    <w:rsid w:val="00D9749D"/>
    <w:rsid w:val="00D974B6"/>
    <w:rsid w:val="00D976A8"/>
    <w:rsid w:val="00D97760"/>
    <w:rsid w:val="00D97767"/>
    <w:rsid w:val="00D97829"/>
    <w:rsid w:val="00D97950"/>
    <w:rsid w:val="00D97A7F"/>
    <w:rsid w:val="00D97DA6"/>
    <w:rsid w:val="00DA006A"/>
    <w:rsid w:val="00DA096F"/>
    <w:rsid w:val="00DA0BD9"/>
    <w:rsid w:val="00DA0C1B"/>
    <w:rsid w:val="00DA0D77"/>
    <w:rsid w:val="00DA0DDE"/>
    <w:rsid w:val="00DA0FC3"/>
    <w:rsid w:val="00DA1014"/>
    <w:rsid w:val="00DA1053"/>
    <w:rsid w:val="00DA17CE"/>
    <w:rsid w:val="00DA180E"/>
    <w:rsid w:val="00DA18A6"/>
    <w:rsid w:val="00DA1AE4"/>
    <w:rsid w:val="00DA1BD1"/>
    <w:rsid w:val="00DA1D5A"/>
    <w:rsid w:val="00DA1E90"/>
    <w:rsid w:val="00DA24CF"/>
    <w:rsid w:val="00DA24ED"/>
    <w:rsid w:val="00DA2539"/>
    <w:rsid w:val="00DA2672"/>
    <w:rsid w:val="00DA2988"/>
    <w:rsid w:val="00DA2A73"/>
    <w:rsid w:val="00DA2D97"/>
    <w:rsid w:val="00DA2E2C"/>
    <w:rsid w:val="00DA30A3"/>
    <w:rsid w:val="00DA3614"/>
    <w:rsid w:val="00DA3852"/>
    <w:rsid w:val="00DA3900"/>
    <w:rsid w:val="00DA3AF6"/>
    <w:rsid w:val="00DA3B60"/>
    <w:rsid w:val="00DA3C1D"/>
    <w:rsid w:val="00DA45FB"/>
    <w:rsid w:val="00DA48B7"/>
    <w:rsid w:val="00DA4B63"/>
    <w:rsid w:val="00DA4F0A"/>
    <w:rsid w:val="00DA51A5"/>
    <w:rsid w:val="00DA5616"/>
    <w:rsid w:val="00DA5716"/>
    <w:rsid w:val="00DA5847"/>
    <w:rsid w:val="00DA5B75"/>
    <w:rsid w:val="00DA6109"/>
    <w:rsid w:val="00DA6154"/>
    <w:rsid w:val="00DA653B"/>
    <w:rsid w:val="00DA6588"/>
    <w:rsid w:val="00DA69FC"/>
    <w:rsid w:val="00DA6B45"/>
    <w:rsid w:val="00DA6DB5"/>
    <w:rsid w:val="00DA6EB4"/>
    <w:rsid w:val="00DA6F37"/>
    <w:rsid w:val="00DA6F75"/>
    <w:rsid w:val="00DA72E1"/>
    <w:rsid w:val="00DA72F9"/>
    <w:rsid w:val="00DA7615"/>
    <w:rsid w:val="00DA76CB"/>
    <w:rsid w:val="00DA77BF"/>
    <w:rsid w:val="00DA7B6E"/>
    <w:rsid w:val="00DA7D5A"/>
    <w:rsid w:val="00DA7FB0"/>
    <w:rsid w:val="00DB023E"/>
    <w:rsid w:val="00DB0490"/>
    <w:rsid w:val="00DB0523"/>
    <w:rsid w:val="00DB065F"/>
    <w:rsid w:val="00DB085F"/>
    <w:rsid w:val="00DB0967"/>
    <w:rsid w:val="00DB099B"/>
    <w:rsid w:val="00DB0A19"/>
    <w:rsid w:val="00DB0A63"/>
    <w:rsid w:val="00DB0B4C"/>
    <w:rsid w:val="00DB0FAC"/>
    <w:rsid w:val="00DB1127"/>
    <w:rsid w:val="00DB15FA"/>
    <w:rsid w:val="00DB1779"/>
    <w:rsid w:val="00DB197C"/>
    <w:rsid w:val="00DB1C6F"/>
    <w:rsid w:val="00DB1C99"/>
    <w:rsid w:val="00DB1D36"/>
    <w:rsid w:val="00DB2157"/>
    <w:rsid w:val="00DB23AA"/>
    <w:rsid w:val="00DB2792"/>
    <w:rsid w:val="00DB27B3"/>
    <w:rsid w:val="00DB2A15"/>
    <w:rsid w:val="00DB2CCC"/>
    <w:rsid w:val="00DB2FAC"/>
    <w:rsid w:val="00DB357E"/>
    <w:rsid w:val="00DB3971"/>
    <w:rsid w:val="00DB3A0C"/>
    <w:rsid w:val="00DB3A5D"/>
    <w:rsid w:val="00DB3E2A"/>
    <w:rsid w:val="00DB3E69"/>
    <w:rsid w:val="00DB4122"/>
    <w:rsid w:val="00DB4155"/>
    <w:rsid w:val="00DB4473"/>
    <w:rsid w:val="00DB4752"/>
    <w:rsid w:val="00DB4D85"/>
    <w:rsid w:val="00DB4F6F"/>
    <w:rsid w:val="00DB4F87"/>
    <w:rsid w:val="00DB5388"/>
    <w:rsid w:val="00DB56D7"/>
    <w:rsid w:val="00DB5818"/>
    <w:rsid w:val="00DB5898"/>
    <w:rsid w:val="00DB5C84"/>
    <w:rsid w:val="00DB5DB5"/>
    <w:rsid w:val="00DB5E6C"/>
    <w:rsid w:val="00DB6195"/>
    <w:rsid w:val="00DB638F"/>
    <w:rsid w:val="00DB65FD"/>
    <w:rsid w:val="00DB679B"/>
    <w:rsid w:val="00DB6B79"/>
    <w:rsid w:val="00DB6DB8"/>
    <w:rsid w:val="00DB6DF6"/>
    <w:rsid w:val="00DB6F56"/>
    <w:rsid w:val="00DB70FB"/>
    <w:rsid w:val="00DB714D"/>
    <w:rsid w:val="00DB7165"/>
    <w:rsid w:val="00DB7BF7"/>
    <w:rsid w:val="00DB7D5B"/>
    <w:rsid w:val="00DB7DE4"/>
    <w:rsid w:val="00DB7DEB"/>
    <w:rsid w:val="00DB7E96"/>
    <w:rsid w:val="00DB7EF3"/>
    <w:rsid w:val="00DB7F0D"/>
    <w:rsid w:val="00DC0022"/>
    <w:rsid w:val="00DC002E"/>
    <w:rsid w:val="00DC0321"/>
    <w:rsid w:val="00DC09DE"/>
    <w:rsid w:val="00DC0D08"/>
    <w:rsid w:val="00DC0F66"/>
    <w:rsid w:val="00DC11DA"/>
    <w:rsid w:val="00DC1ABA"/>
    <w:rsid w:val="00DC1F27"/>
    <w:rsid w:val="00DC2094"/>
    <w:rsid w:val="00DC21E3"/>
    <w:rsid w:val="00DC22BB"/>
    <w:rsid w:val="00DC25E0"/>
    <w:rsid w:val="00DC269D"/>
    <w:rsid w:val="00DC291A"/>
    <w:rsid w:val="00DC2925"/>
    <w:rsid w:val="00DC2971"/>
    <w:rsid w:val="00DC2D38"/>
    <w:rsid w:val="00DC2DCF"/>
    <w:rsid w:val="00DC32BC"/>
    <w:rsid w:val="00DC3344"/>
    <w:rsid w:val="00DC37F0"/>
    <w:rsid w:val="00DC3BB7"/>
    <w:rsid w:val="00DC3C4C"/>
    <w:rsid w:val="00DC3DFD"/>
    <w:rsid w:val="00DC4368"/>
    <w:rsid w:val="00DC4724"/>
    <w:rsid w:val="00DC4967"/>
    <w:rsid w:val="00DC4E6F"/>
    <w:rsid w:val="00DC4EB2"/>
    <w:rsid w:val="00DC4F2C"/>
    <w:rsid w:val="00DC50A8"/>
    <w:rsid w:val="00DC5114"/>
    <w:rsid w:val="00DC5157"/>
    <w:rsid w:val="00DC528B"/>
    <w:rsid w:val="00DC54ED"/>
    <w:rsid w:val="00DC5B6A"/>
    <w:rsid w:val="00DC5BC7"/>
    <w:rsid w:val="00DC5DE8"/>
    <w:rsid w:val="00DC5F94"/>
    <w:rsid w:val="00DC639D"/>
    <w:rsid w:val="00DC64F6"/>
    <w:rsid w:val="00DC659B"/>
    <w:rsid w:val="00DC6632"/>
    <w:rsid w:val="00DC6667"/>
    <w:rsid w:val="00DC66AA"/>
    <w:rsid w:val="00DC6791"/>
    <w:rsid w:val="00DC6E65"/>
    <w:rsid w:val="00DC6F46"/>
    <w:rsid w:val="00DC7252"/>
    <w:rsid w:val="00DC7282"/>
    <w:rsid w:val="00DC74A2"/>
    <w:rsid w:val="00DC7797"/>
    <w:rsid w:val="00DC77D7"/>
    <w:rsid w:val="00DC7BA7"/>
    <w:rsid w:val="00DC7BB6"/>
    <w:rsid w:val="00DC7CCC"/>
    <w:rsid w:val="00DC7DD5"/>
    <w:rsid w:val="00DC7E3D"/>
    <w:rsid w:val="00DC7EA7"/>
    <w:rsid w:val="00DC7ECE"/>
    <w:rsid w:val="00DD01F4"/>
    <w:rsid w:val="00DD02D7"/>
    <w:rsid w:val="00DD072D"/>
    <w:rsid w:val="00DD07B4"/>
    <w:rsid w:val="00DD082A"/>
    <w:rsid w:val="00DD0941"/>
    <w:rsid w:val="00DD0EC4"/>
    <w:rsid w:val="00DD0F58"/>
    <w:rsid w:val="00DD0F6F"/>
    <w:rsid w:val="00DD1074"/>
    <w:rsid w:val="00DD1181"/>
    <w:rsid w:val="00DD13CA"/>
    <w:rsid w:val="00DD159A"/>
    <w:rsid w:val="00DD172F"/>
    <w:rsid w:val="00DD19A4"/>
    <w:rsid w:val="00DD1AD2"/>
    <w:rsid w:val="00DD1AED"/>
    <w:rsid w:val="00DD1C78"/>
    <w:rsid w:val="00DD1EEE"/>
    <w:rsid w:val="00DD20BE"/>
    <w:rsid w:val="00DD2954"/>
    <w:rsid w:val="00DD2A9B"/>
    <w:rsid w:val="00DD2AC8"/>
    <w:rsid w:val="00DD2B79"/>
    <w:rsid w:val="00DD2F9C"/>
    <w:rsid w:val="00DD313A"/>
    <w:rsid w:val="00DD3467"/>
    <w:rsid w:val="00DD3527"/>
    <w:rsid w:val="00DD3826"/>
    <w:rsid w:val="00DD3D41"/>
    <w:rsid w:val="00DD497A"/>
    <w:rsid w:val="00DD4C28"/>
    <w:rsid w:val="00DD4C69"/>
    <w:rsid w:val="00DD4F11"/>
    <w:rsid w:val="00DD50D7"/>
    <w:rsid w:val="00DD5280"/>
    <w:rsid w:val="00DD5628"/>
    <w:rsid w:val="00DD5827"/>
    <w:rsid w:val="00DD5B78"/>
    <w:rsid w:val="00DD5D2D"/>
    <w:rsid w:val="00DD6075"/>
    <w:rsid w:val="00DD6222"/>
    <w:rsid w:val="00DD633B"/>
    <w:rsid w:val="00DD674E"/>
    <w:rsid w:val="00DD6A7C"/>
    <w:rsid w:val="00DD6ADF"/>
    <w:rsid w:val="00DD6BEC"/>
    <w:rsid w:val="00DD6C37"/>
    <w:rsid w:val="00DD6C6F"/>
    <w:rsid w:val="00DD6C8F"/>
    <w:rsid w:val="00DD704B"/>
    <w:rsid w:val="00DD7792"/>
    <w:rsid w:val="00DD785C"/>
    <w:rsid w:val="00DD7CF0"/>
    <w:rsid w:val="00DD7E4E"/>
    <w:rsid w:val="00DD7F29"/>
    <w:rsid w:val="00DE0416"/>
    <w:rsid w:val="00DE0A77"/>
    <w:rsid w:val="00DE0CDD"/>
    <w:rsid w:val="00DE0DBA"/>
    <w:rsid w:val="00DE0EF1"/>
    <w:rsid w:val="00DE10E6"/>
    <w:rsid w:val="00DE131B"/>
    <w:rsid w:val="00DE13D3"/>
    <w:rsid w:val="00DE145F"/>
    <w:rsid w:val="00DE1903"/>
    <w:rsid w:val="00DE1931"/>
    <w:rsid w:val="00DE19DB"/>
    <w:rsid w:val="00DE1BA7"/>
    <w:rsid w:val="00DE1BBB"/>
    <w:rsid w:val="00DE1CB6"/>
    <w:rsid w:val="00DE1D40"/>
    <w:rsid w:val="00DE1DF6"/>
    <w:rsid w:val="00DE248D"/>
    <w:rsid w:val="00DE2494"/>
    <w:rsid w:val="00DE2639"/>
    <w:rsid w:val="00DE2664"/>
    <w:rsid w:val="00DE2BBA"/>
    <w:rsid w:val="00DE2C51"/>
    <w:rsid w:val="00DE2CB6"/>
    <w:rsid w:val="00DE2EAC"/>
    <w:rsid w:val="00DE31A0"/>
    <w:rsid w:val="00DE3381"/>
    <w:rsid w:val="00DE3481"/>
    <w:rsid w:val="00DE3738"/>
    <w:rsid w:val="00DE396E"/>
    <w:rsid w:val="00DE399C"/>
    <w:rsid w:val="00DE3C64"/>
    <w:rsid w:val="00DE3C71"/>
    <w:rsid w:val="00DE3D22"/>
    <w:rsid w:val="00DE3D97"/>
    <w:rsid w:val="00DE4173"/>
    <w:rsid w:val="00DE42E1"/>
    <w:rsid w:val="00DE42F0"/>
    <w:rsid w:val="00DE43D7"/>
    <w:rsid w:val="00DE4691"/>
    <w:rsid w:val="00DE47CC"/>
    <w:rsid w:val="00DE4980"/>
    <w:rsid w:val="00DE4B0E"/>
    <w:rsid w:val="00DE4B4B"/>
    <w:rsid w:val="00DE4D61"/>
    <w:rsid w:val="00DE4F02"/>
    <w:rsid w:val="00DE4F2A"/>
    <w:rsid w:val="00DE4F73"/>
    <w:rsid w:val="00DE4FDC"/>
    <w:rsid w:val="00DE587E"/>
    <w:rsid w:val="00DE5968"/>
    <w:rsid w:val="00DE5989"/>
    <w:rsid w:val="00DE5CD9"/>
    <w:rsid w:val="00DE5CF4"/>
    <w:rsid w:val="00DE5FC3"/>
    <w:rsid w:val="00DE6134"/>
    <w:rsid w:val="00DE62D9"/>
    <w:rsid w:val="00DE656C"/>
    <w:rsid w:val="00DE6925"/>
    <w:rsid w:val="00DE6971"/>
    <w:rsid w:val="00DE6A64"/>
    <w:rsid w:val="00DE6AC2"/>
    <w:rsid w:val="00DE74E7"/>
    <w:rsid w:val="00DE7693"/>
    <w:rsid w:val="00DE78C5"/>
    <w:rsid w:val="00DE7C3E"/>
    <w:rsid w:val="00DF0074"/>
    <w:rsid w:val="00DF0409"/>
    <w:rsid w:val="00DF0A13"/>
    <w:rsid w:val="00DF0ABC"/>
    <w:rsid w:val="00DF0F91"/>
    <w:rsid w:val="00DF0FDE"/>
    <w:rsid w:val="00DF106E"/>
    <w:rsid w:val="00DF13A9"/>
    <w:rsid w:val="00DF157B"/>
    <w:rsid w:val="00DF15FC"/>
    <w:rsid w:val="00DF1744"/>
    <w:rsid w:val="00DF1895"/>
    <w:rsid w:val="00DF1931"/>
    <w:rsid w:val="00DF1AA4"/>
    <w:rsid w:val="00DF1B9B"/>
    <w:rsid w:val="00DF201D"/>
    <w:rsid w:val="00DF205E"/>
    <w:rsid w:val="00DF2227"/>
    <w:rsid w:val="00DF2509"/>
    <w:rsid w:val="00DF26A3"/>
    <w:rsid w:val="00DF26B1"/>
    <w:rsid w:val="00DF27FF"/>
    <w:rsid w:val="00DF2BD0"/>
    <w:rsid w:val="00DF2BE6"/>
    <w:rsid w:val="00DF2FA4"/>
    <w:rsid w:val="00DF3026"/>
    <w:rsid w:val="00DF3343"/>
    <w:rsid w:val="00DF3372"/>
    <w:rsid w:val="00DF35CC"/>
    <w:rsid w:val="00DF384B"/>
    <w:rsid w:val="00DF3931"/>
    <w:rsid w:val="00DF3A6F"/>
    <w:rsid w:val="00DF3DA9"/>
    <w:rsid w:val="00DF43AF"/>
    <w:rsid w:val="00DF4970"/>
    <w:rsid w:val="00DF4A9E"/>
    <w:rsid w:val="00DF4D30"/>
    <w:rsid w:val="00DF4F1F"/>
    <w:rsid w:val="00DF4FA8"/>
    <w:rsid w:val="00DF50F1"/>
    <w:rsid w:val="00DF5253"/>
    <w:rsid w:val="00DF5300"/>
    <w:rsid w:val="00DF5310"/>
    <w:rsid w:val="00DF56AB"/>
    <w:rsid w:val="00DF5900"/>
    <w:rsid w:val="00DF5C09"/>
    <w:rsid w:val="00DF5CA9"/>
    <w:rsid w:val="00DF628A"/>
    <w:rsid w:val="00DF62EA"/>
    <w:rsid w:val="00DF6377"/>
    <w:rsid w:val="00DF641C"/>
    <w:rsid w:val="00DF64A9"/>
    <w:rsid w:val="00DF6534"/>
    <w:rsid w:val="00DF6581"/>
    <w:rsid w:val="00DF6821"/>
    <w:rsid w:val="00DF6822"/>
    <w:rsid w:val="00DF694F"/>
    <w:rsid w:val="00DF6961"/>
    <w:rsid w:val="00DF6A0C"/>
    <w:rsid w:val="00DF6BF7"/>
    <w:rsid w:val="00DF6D07"/>
    <w:rsid w:val="00DF6FAC"/>
    <w:rsid w:val="00DF70D1"/>
    <w:rsid w:val="00DF7255"/>
    <w:rsid w:val="00DF744B"/>
    <w:rsid w:val="00DF752E"/>
    <w:rsid w:val="00DF7BE2"/>
    <w:rsid w:val="00DF7C5E"/>
    <w:rsid w:val="00DF7EAC"/>
    <w:rsid w:val="00DF7F75"/>
    <w:rsid w:val="00E00004"/>
    <w:rsid w:val="00E00842"/>
    <w:rsid w:val="00E009D2"/>
    <w:rsid w:val="00E00BE5"/>
    <w:rsid w:val="00E01145"/>
    <w:rsid w:val="00E0132B"/>
    <w:rsid w:val="00E0136D"/>
    <w:rsid w:val="00E014CD"/>
    <w:rsid w:val="00E015B8"/>
    <w:rsid w:val="00E01C12"/>
    <w:rsid w:val="00E01E17"/>
    <w:rsid w:val="00E01F7A"/>
    <w:rsid w:val="00E021E1"/>
    <w:rsid w:val="00E0257C"/>
    <w:rsid w:val="00E02667"/>
    <w:rsid w:val="00E026AC"/>
    <w:rsid w:val="00E02AD5"/>
    <w:rsid w:val="00E02E5C"/>
    <w:rsid w:val="00E02EA4"/>
    <w:rsid w:val="00E0306A"/>
    <w:rsid w:val="00E03081"/>
    <w:rsid w:val="00E031D1"/>
    <w:rsid w:val="00E033D9"/>
    <w:rsid w:val="00E033ED"/>
    <w:rsid w:val="00E03572"/>
    <w:rsid w:val="00E0374D"/>
    <w:rsid w:val="00E03B86"/>
    <w:rsid w:val="00E03C90"/>
    <w:rsid w:val="00E03C98"/>
    <w:rsid w:val="00E03CDF"/>
    <w:rsid w:val="00E03D59"/>
    <w:rsid w:val="00E03EDD"/>
    <w:rsid w:val="00E0413B"/>
    <w:rsid w:val="00E04351"/>
    <w:rsid w:val="00E04366"/>
    <w:rsid w:val="00E043C3"/>
    <w:rsid w:val="00E04420"/>
    <w:rsid w:val="00E045E2"/>
    <w:rsid w:val="00E0465B"/>
    <w:rsid w:val="00E049C3"/>
    <w:rsid w:val="00E04CC3"/>
    <w:rsid w:val="00E04CD7"/>
    <w:rsid w:val="00E04ED8"/>
    <w:rsid w:val="00E04EDC"/>
    <w:rsid w:val="00E04F39"/>
    <w:rsid w:val="00E04F41"/>
    <w:rsid w:val="00E04FED"/>
    <w:rsid w:val="00E05204"/>
    <w:rsid w:val="00E05372"/>
    <w:rsid w:val="00E056AE"/>
    <w:rsid w:val="00E058C1"/>
    <w:rsid w:val="00E059E3"/>
    <w:rsid w:val="00E05B05"/>
    <w:rsid w:val="00E05BDA"/>
    <w:rsid w:val="00E05C66"/>
    <w:rsid w:val="00E05FAE"/>
    <w:rsid w:val="00E05FC3"/>
    <w:rsid w:val="00E06018"/>
    <w:rsid w:val="00E0667F"/>
    <w:rsid w:val="00E06827"/>
    <w:rsid w:val="00E06847"/>
    <w:rsid w:val="00E06909"/>
    <w:rsid w:val="00E06A7E"/>
    <w:rsid w:val="00E06DCC"/>
    <w:rsid w:val="00E06E53"/>
    <w:rsid w:val="00E077CE"/>
    <w:rsid w:val="00E07834"/>
    <w:rsid w:val="00E07A8C"/>
    <w:rsid w:val="00E07DFB"/>
    <w:rsid w:val="00E10146"/>
    <w:rsid w:val="00E10982"/>
    <w:rsid w:val="00E10A6E"/>
    <w:rsid w:val="00E10C29"/>
    <w:rsid w:val="00E10C3D"/>
    <w:rsid w:val="00E10CF3"/>
    <w:rsid w:val="00E10E63"/>
    <w:rsid w:val="00E11058"/>
    <w:rsid w:val="00E112A9"/>
    <w:rsid w:val="00E112E2"/>
    <w:rsid w:val="00E114F7"/>
    <w:rsid w:val="00E1155B"/>
    <w:rsid w:val="00E116C3"/>
    <w:rsid w:val="00E1173A"/>
    <w:rsid w:val="00E11948"/>
    <w:rsid w:val="00E11C12"/>
    <w:rsid w:val="00E11EC9"/>
    <w:rsid w:val="00E123FE"/>
    <w:rsid w:val="00E127D6"/>
    <w:rsid w:val="00E12B74"/>
    <w:rsid w:val="00E13277"/>
    <w:rsid w:val="00E13614"/>
    <w:rsid w:val="00E136BE"/>
    <w:rsid w:val="00E13789"/>
    <w:rsid w:val="00E13A93"/>
    <w:rsid w:val="00E13B2B"/>
    <w:rsid w:val="00E14581"/>
    <w:rsid w:val="00E14596"/>
    <w:rsid w:val="00E14658"/>
    <w:rsid w:val="00E1468D"/>
    <w:rsid w:val="00E14754"/>
    <w:rsid w:val="00E14803"/>
    <w:rsid w:val="00E14A83"/>
    <w:rsid w:val="00E14A8C"/>
    <w:rsid w:val="00E14D7C"/>
    <w:rsid w:val="00E14F7A"/>
    <w:rsid w:val="00E1520A"/>
    <w:rsid w:val="00E15450"/>
    <w:rsid w:val="00E15509"/>
    <w:rsid w:val="00E1563A"/>
    <w:rsid w:val="00E157B0"/>
    <w:rsid w:val="00E15851"/>
    <w:rsid w:val="00E158AA"/>
    <w:rsid w:val="00E15BFD"/>
    <w:rsid w:val="00E15E44"/>
    <w:rsid w:val="00E16047"/>
    <w:rsid w:val="00E16488"/>
    <w:rsid w:val="00E164C6"/>
    <w:rsid w:val="00E168AB"/>
    <w:rsid w:val="00E16A65"/>
    <w:rsid w:val="00E16BAA"/>
    <w:rsid w:val="00E16E50"/>
    <w:rsid w:val="00E1708F"/>
    <w:rsid w:val="00E170B7"/>
    <w:rsid w:val="00E171FD"/>
    <w:rsid w:val="00E1751C"/>
    <w:rsid w:val="00E177A2"/>
    <w:rsid w:val="00E17B38"/>
    <w:rsid w:val="00E17B66"/>
    <w:rsid w:val="00E17B77"/>
    <w:rsid w:val="00E17C0A"/>
    <w:rsid w:val="00E17DF0"/>
    <w:rsid w:val="00E17E73"/>
    <w:rsid w:val="00E17FB8"/>
    <w:rsid w:val="00E20199"/>
    <w:rsid w:val="00E20432"/>
    <w:rsid w:val="00E20503"/>
    <w:rsid w:val="00E20596"/>
    <w:rsid w:val="00E209A0"/>
    <w:rsid w:val="00E20ABF"/>
    <w:rsid w:val="00E20C59"/>
    <w:rsid w:val="00E20EFC"/>
    <w:rsid w:val="00E2104D"/>
    <w:rsid w:val="00E2109B"/>
    <w:rsid w:val="00E21175"/>
    <w:rsid w:val="00E212CC"/>
    <w:rsid w:val="00E2159D"/>
    <w:rsid w:val="00E21640"/>
    <w:rsid w:val="00E21670"/>
    <w:rsid w:val="00E21A25"/>
    <w:rsid w:val="00E21CCD"/>
    <w:rsid w:val="00E2256B"/>
    <w:rsid w:val="00E226E0"/>
    <w:rsid w:val="00E2288C"/>
    <w:rsid w:val="00E228E7"/>
    <w:rsid w:val="00E22AA3"/>
    <w:rsid w:val="00E22B46"/>
    <w:rsid w:val="00E22BA3"/>
    <w:rsid w:val="00E22D74"/>
    <w:rsid w:val="00E23059"/>
    <w:rsid w:val="00E2344D"/>
    <w:rsid w:val="00E23B29"/>
    <w:rsid w:val="00E23B58"/>
    <w:rsid w:val="00E23BBD"/>
    <w:rsid w:val="00E23BDA"/>
    <w:rsid w:val="00E23BF9"/>
    <w:rsid w:val="00E23C1F"/>
    <w:rsid w:val="00E23C79"/>
    <w:rsid w:val="00E23ED1"/>
    <w:rsid w:val="00E23F5D"/>
    <w:rsid w:val="00E23F8E"/>
    <w:rsid w:val="00E23FD6"/>
    <w:rsid w:val="00E2405F"/>
    <w:rsid w:val="00E24080"/>
    <w:rsid w:val="00E2414F"/>
    <w:rsid w:val="00E241E5"/>
    <w:rsid w:val="00E241F1"/>
    <w:rsid w:val="00E24201"/>
    <w:rsid w:val="00E24296"/>
    <w:rsid w:val="00E242FE"/>
    <w:rsid w:val="00E2454E"/>
    <w:rsid w:val="00E246B1"/>
    <w:rsid w:val="00E24713"/>
    <w:rsid w:val="00E24769"/>
    <w:rsid w:val="00E2478A"/>
    <w:rsid w:val="00E247BE"/>
    <w:rsid w:val="00E248B9"/>
    <w:rsid w:val="00E249CA"/>
    <w:rsid w:val="00E24A16"/>
    <w:rsid w:val="00E24AA6"/>
    <w:rsid w:val="00E24B03"/>
    <w:rsid w:val="00E24B18"/>
    <w:rsid w:val="00E24FD6"/>
    <w:rsid w:val="00E25193"/>
    <w:rsid w:val="00E252CF"/>
    <w:rsid w:val="00E255C2"/>
    <w:rsid w:val="00E25C1E"/>
    <w:rsid w:val="00E25CE8"/>
    <w:rsid w:val="00E25E74"/>
    <w:rsid w:val="00E26104"/>
    <w:rsid w:val="00E2627D"/>
    <w:rsid w:val="00E26459"/>
    <w:rsid w:val="00E26571"/>
    <w:rsid w:val="00E2683E"/>
    <w:rsid w:val="00E26952"/>
    <w:rsid w:val="00E26A7F"/>
    <w:rsid w:val="00E26AB2"/>
    <w:rsid w:val="00E26DD6"/>
    <w:rsid w:val="00E26DDC"/>
    <w:rsid w:val="00E26F00"/>
    <w:rsid w:val="00E26FDC"/>
    <w:rsid w:val="00E27118"/>
    <w:rsid w:val="00E27183"/>
    <w:rsid w:val="00E27221"/>
    <w:rsid w:val="00E273A8"/>
    <w:rsid w:val="00E273E8"/>
    <w:rsid w:val="00E27415"/>
    <w:rsid w:val="00E27AC2"/>
    <w:rsid w:val="00E27E8A"/>
    <w:rsid w:val="00E30131"/>
    <w:rsid w:val="00E30317"/>
    <w:rsid w:val="00E3041F"/>
    <w:rsid w:val="00E306E2"/>
    <w:rsid w:val="00E3071F"/>
    <w:rsid w:val="00E30754"/>
    <w:rsid w:val="00E3091D"/>
    <w:rsid w:val="00E30927"/>
    <w:rsid w:val="00E30A38"/>
    <w:rsid w:val="00E30B6D"/>
    <w:rsid w:val="00E310B5"/>
    <w:rsid w:val="00E31339"/>
    <w:rsid w:val="00E316A6"/>
    <w:rsid w:val="00E31AB2"/>
    <w:rsid w:val="00E31BFD"/>
    <w:rsid w:val="00E31C7B"/>
    <w:rsid w:val="00E31FFE"/>
    <w:rsid w:val="00E32013"/>
    <w:rsid w:val="00E3225A"/>
    <w:rsid w:val="00E323AB"/>
    <w:rsid w:val="00E3253E"/>
    <w:rsid w:val="00E32878"/>
    <w:rsid w:val="00E32C44"/>
    <w:rsid w:val="00E32C72"/>
    <w:rsid w:val="00E32D87"/>
    <w:rsid w:val="00E32ED8"/>
    <w:rsid w:val="00E32F71"/>
    <w:rsid w:val="00E33466"/>
    <w:rsid w:val="00E334E4"/>
    <w:rsid w:val="00E33502"/>
    <w:rsid w:val="00E335F1"/>
    <w:rsid w:val="00E33980"/>
    <w:rsid w:val="00E33A4F"/>
    <w:rsid w:val="00E33C2A"/>
    <w:rsid w:val="00E34301"/>
    <w:rsid w:val="00E3432B"/>
    <w:rsid w:val="00E3454F"/>
    <w:rsid w:val="00E346C0"/>
    <w:rsid w:val="00E34B42"/>
    <w:rsid w:val="00E34B6D"/>
    <w:rsid w:val="00E34C4C"/>
    <w:rsid w:val="00E34CAA"/>
    <w:rsid w:val="00E34CC6"/>
    <w:rsid w:val="00E34CD8"/>
    <w:rsid w:val="00E34EC8"/>
    <w:rsid w:val="00E3503B"/>
    <w:rsid w:val="00E357FF"/>
    <w:rsid w:val="00E35817"/>
    <w:rsid w:val="00E36073"/>
    <w:rsid w:val="00E36155"/>
    <w:rsid w:val="00E36460"/>
    <w:rsid w:val="00E36543"/>
    <w:rsid w:val="00E36922"/>
    <w:rsid w:val="00E36991"/>
    <w:rsid w:val="00E36B41"/>
    <w:rsid w:val="00E36C80"/>
    <w:rsid w:val="00E36F44"/>
    <w:rsid w:val="00E37202"/>
    <w:rsid w:val="00E375FE"/>
    <w:rsid w:val="00E37626"/>
    <w:rsid w:val="00E377A1"/>
    <w:rsid w:val="00E3785C"/>
    <w:rsid w:val="00E37DE3"/>
    <w:rsid w:val="00E37EC5"/>
    <w:rsid w:val="00E37ED5"/>
    <w:rsid w:val="00E4002A"/>
    <w:rsid w:val="00E408FF"/>
    <w:rsid w:val="00E40A79"/>
    <w:rsid w:val="00E4103D"/>
    <w:rsid w:val="00E41045"/>
    <w:rsid w:val="00E4187A"/>
    <w:rsid w:val="00E41BB3"/>
    <w:rsid w:val="00E41BFF"/>
    <w:rsid w:val="00E41D92"/>
    <w:rsid w:val="00E41ED7"/>
    <w:rsid w:val="00E4207B"/>
    <w:rsid w:val="00E4235C"/>
    <w:rsid w:val="00E425C6"/>
    <w:rsid w:val="00E425E2"/>
    <w:rsid w:val="00E42D25"/>
    <w:rsid w:val="00E42E2D"/>
    <w:rsid w:val="00E42E7D"/>
    <w:rsid w:val="00E431C4"/>
    <w:rsid w:val="00E43261"/>
    <w:rsid w:val="00E4326F"/>
    <w:rsid w:val="00E43351"/>
    <w:rsid w:val="00E4340F"/>
    <w:rsid w:val="00E4399D"/>
    <w:rsid w:val="00E43A4C"/>
    <w:rsid w:val="00E43B33"/>
    <w:rsid w:val="00E43B60"/>
    <w:rsid w:val="00E43C95"/>
    <w:rsid w:val="00E440F5"/>
    <w:rsid w:val="00E4417B"/>
    <w:rsid w:val="00E44205"/>
    <w:rsid w:val="00E4438F"/>
    <w:rsid w:val="00E44405"/>
    <w:rsid w:val="00E445D3"/>
    <w:rsid w:val="00E445DF"/>
    <w:rsid w:val="00E4462E"/>
    <w:rsid w:val="00E44858"/>
    <w:rsid w:val="00E44E84"/>
    <w:rsid w:val="00E44F49"/>
    <w:rsid w:val="00E45073"/>
    <w:rsid w:val="00E4534F"/>
    <w:rsid w:val="00E4537B"/>
    <w:rsid w:val="00E459D4"/>
    <w:rsid w:val="00E45A34"/>
    <w:rsid w:val="00E45A57"/>
    <w:rsid w:val="00E45A68"/>
    <w:rsid w:val="00E45AF5"/>
    <w:rsid w:val="00E45E14"/>
    <w:rsid w:val="00E45ED9"/>
    <w:rsid w:val="00E4616A"/>
    <w:rsid w:val="00E46251"/>
    <w:rsid w:val="00E4636D"/>
    <w:rsid w:val="00E4666C"/>
    <w:rsid w:val="00E46A65"/>
    <w:rsid w:val="00E47449"/>
    <w:rsid w:val="00E47462"/>
    <w:rsid w:val="00E4756C"/>
    <w:rsid w:val="00E50059"/>
    <w:rsid w:val="00E5008E"/>
    <w:rsid w:val="00E50153"/>
    <w:rsid w:val="00E501C1"/>
    <w:rsid w:val="00E50227"/>
    <w:rsid w:val="00E50256"/>
    <w:rsid w:val="00E502A0"/>
    <w:rsid w:val="00E503DF"/>
    <w:rsid w:val="00E503EA"/>
    <w:rsid w:val="00E5065F"/>
    <w:rsid w:val="00E507A6"/>
    <w:rsid w:val="00E50A40"/>
    <w:rsid w:val="00E50A87"/>
    <w:rsid w:val="00E5168D"/>
    <w:rsid w:val="00E516D4"/>
    <w:rsid w:val="00E517D5"/>
    <w:rsid w:val="00E51AD2"/>
    <w:rsid w:val="00E51B00"/>
    <w:rsid w:val="00E51CC1"/>
    <w:rsid w:val="00E51FE4"/>
    <w:rsid w:val="00E522EB"/>
    <w:rsid w:val="00E52679"/>
    <w:rsid w:val="00E5298E"/>
    <w:rsid w:val="00E52C43"/>
    <w:rsid w:val="00E52CE3"/>
    <w:rsid w:val="00E52F9D"/>
    <w:rsid w:val="00E5311C"/>
    <w:rsid w:val="00E5322E"/>
    <w:rsid w:val="00E536F5"/>
    <w:rsid w:val="00E53A7F"/>
    <w:rsid w:val="00E53ADD"/>
    <w:rsid w:val="00E53C61"/>
    <w:rsid w:val="00E53ECE"/>
    <w:rsid w:val="00E54351"/>
    <w:rsid w:val="00E543BE"/>
    <w:rsid w:val="00E54971"/>
    <w:rsid w:val="00E54B51"/>
    <w:rsid w:val="00E54DB5"/>
    <w:rsid w:val="00E54DC8"/>
    <w:rsid w:val="00E5500E"/>
    <w:rsid w:val="00E552E9"/>
    <w:rsid w:val="00E553FF"/>
    <w:rsid w:val="00E558B5"/>
    <w:rsid w:val="00E55AAE"/>
    <w:rsid w:val="00E55B21"/>
    <w:rsid w:val="00E55CA6"/>
    <w:rsid w:val="00E55F41"/>
    <w:rsid w:val="00E561A6"/>
    <w:rsid w:val="00E563D9"/>
    <w:rsid w:val="00E563F9"/>
    <w:rsid w:val="00E5658C"/>
    <w:rsid w:val="00E56940"/>
    <w:rsid w:val="00E56AFA"/>
    <w:rsid w:val="00E56CC3"/>
    <w:rsid w:val="00E56D57"/>
    <w:rsid w:val="00E56D68"/>
    <w:rsid w:val="00E57381"/>
    <w:rsid w:val="00E574EB"/>
    <w:rsid w:val="00E57C0E"/>
    <w:rsid w:val="00E57C32"/>
    <w:rsid w:val="00E57C84"/>
    <w:rsid w:val="00E57CCF"/>
    <w:rsid w:val="00E57D46"/>
    <w:rsid w:val="00E57E99"/>
    <w:rsid w:val="00E6000A"/>
    <w:rsid w:val="00E602CD"/>
    <w:rsid w:val="00E60322"/>
    <w:rsid w:val="00E6066F"/>
    <w:rsid w:val="00E60BFD"/>
    <w:rsid w:val="00E60CF5"/>
    <w:rsid w:val="00E60EA8"/>
    <w:rsid w:val="00E6118C"/>
    <w:rsid w:val="00E61313"/>
    <w:rsid w:val="00E613B8"/>
    <w:rsid w:val="00E6170C"/>
    <w:rsid w:val="00E6186D"/>
    <w:rsid w:val="00E61893"/>
    <w:rsid w:val="00E619EC"/>
    <w:rsid w:val="00E61C61"/>
    <w:rsid w:val="00E61C76"/>
    <w:rsid w:val="00E6212F"/>
    <w:rsid w:val="00E626AA"/>
    <w:rsid w:val="00E627CF"/>
    <w:rsid w:val="00E62837"/>
    <w:rsid w:val="00E629EB"/>
    <w:rsid w:val="00E62A0B"/>
    <w:rsid w:val="00E62A52"/>
    <w:rsid w:val="00E62EA8"/>
    <w:rsid w:val="00E6335E"/>
    <w:rsid w:val="00E634BD"/>
    <w:rsid w:val="00E636CA"/>
    <w:rsid w:val="00E63747"/>
    <w:rsid w:val="00E638A2"/>
    <w:rsid w:val="00E63AFD"/>
    <w:rsid w:val="00E64158"/>
    <w:rsid w:val="00E64268"/>
    <w:rsid w:val="00E6444B"/>
    <w:rsid w:val="00E64CDC"/>
    <w:rsid w:val="00E64D52"/>
    <w:rsid w:val="00E652A0"/>
    <w:rsid w:val="00E652A1"/>
    <w:rsid w:val="00E65474"/>
    <w:rsid w:val="00E65571"/>
    <w:rsid w:val="00E65671"/>
    <w:rsid w:val="00E65725"/>
    <w:rsid w:val="00E65894"/>
    <w:rsid w:val="00E65C19"/>
    <w:rsid w:val="00E65CA4"/>
    <w:rsid w:val="00E65DB6"/>
    <w:rsid w:val="00E65E64"/>
    <w:rsid w:val="00E65EB3"/>
    <w:rsid w:val="00E661E5"/>
    <w:rsid w:val="00E66202"/>
    <w:rsid w:val="00E66245"/>
    <w:rsid w:val="00E66353"/>
    <w:rsid w:val="00E664BB"/>
    <w:rsid w:val="00E664C4"/>
    <w:rsid w:val="00E6669C"/>
    <w:rsid w:val="00E66788"/>
    <w:rsid w:val="00E66A2A"/>
    <w:rsid w:val="00E66E4A"/>
    <w:rsid w:val="00E66F63"/>
    <w:rsid w:val="00E6700A"/>
    <w:rsid w:val="00E67050"/>
    <w:rsid w:val="00E672B0"/>
    <w:rsid w:val="00E67341"/>
    <w:rsid w:val="00E674F2"/>
    <w:rsid w:val="00E6754E"/>
    <w:rsid w:val="00E67640"/>
    <w:rsid w:val="00E677D3"/>
    <w:rsid w:val="00E678D8"/>
    <w:rsid w:val="00E6793D"/>
    <w:rsid w:val="00E679C6"/>
    <w:rsid w:val="00E67AD7"/>
    <w:rsid w:val="00E67B5A"/>
    <w:rsid w:val="00E67C6E"/>
    <w:rsid w:val="00E67D37"/>
    <w:rsid w:val="00E67D86"/>
    <w:rsid w:val="00E67DD8"/>
    <w:rsid w:val="00E700BC"/>
    <w:rsid w:val="00E700C7"/>
    <w:rsid w:val="00E70225"/>
    <w:rsid w:val="00E7030C"/>
    <w:rsid w:val="00E70653"/>
    <w:rsid w:val="00E70687"/>
    <w:rsid w:val="00E70866"/>
    <w:rsid w:val="00E70AFF"/>
    <w:rsid w:val="00E70C78"/>
    <w:rsid w:val="00E70D13"/>
    <w:rsid w:val="00E70D48"/>
    <w:rsid w:val="00E7105C"/>
    <w:rsid w:val="00E71099"/>
    <w:rsid w:val="00E710AC"/>
    <w:rsid w:val="00E71279"/>
    <w:rsid w:val="00E71460"/>
    <w:rsid w:val="00E719AD"/>
    <w:rsid w:val="00E71B44"/>
    <w:rsid w:val="00E71B74"/>
    <w:rsid w:val="00E71D39"/>
    <w:rsid w:val="00E71DC1"/>
    <w:rsid w:val="00E71E6A"/>
    <w:rsid w:val="00E72643"/>
    <w:rsid w:val="00E72810"/>
    <w:rsid w:val="00E72A8A"/>
    <w:rsid w:val="00E72AD0"/>
    <w:rsid w:val="00E72B3D"/>
    <w:rsid w:val="00E72CF5"/>
    <w:rsid w:val="00E72D20"/>
    <w:rsid w:val="00E7322B"/>
    <w:rsid w:val="00E7372C"/>
    <w:rsid w:val="00E7379F"/>
    <w:rsid w:val="00E7385B"/>
    <w:rsid w:val="00E739C1"/>
    <w:rsid w:val="00E73AA5"/>
    <w:rsid w:val="00E73BC9"/>
    <w:rsid w:val="00E73F1A"/>
    <w:rsid w:val="00E73F8C"/>
    <w:rsid w:val="00E73FEE"/>
    <w:rsid w:val="00E7436F"/>
    <w:rsid w:val="00E7468A"/>
    <w:rsid w:val="00E746CE"/>
    <w:rsid w:val="00E746FA"/>
    <w:rsid w:val="00E74CFA"/>
    <w:rsid w:val="00E74E10"/>
    <w:rsid w:val="00E74EC8"/>
    <w:rsid w:val="00E75171"/>
    <w:rsid w:val="00E7531F"/>
    <w:rsid w:val="00E7563D"/>
    <w:rsid w:val="00E758B0"/>
    <w:rsid w:val="00E75A23"/>
    <w:rsid w:val="00E75CA4"/>
    <w:rsid w:val="00E75E6E"/>
    <w:rsid w:val="00E761B7"/>
    <w:rsid w:val="00E7646C"/>
    <w:rsid w:val="00E764CA"/>
    <w:rsid w:val="00E76A02"/>
    <w:rsid w:val="00E76C82"/>
    <w:rsid w:val="00E76DDC"/>
    <w:rsid w:val="00E7706A"/>
    <w:rsid w:val="00E77397"/>
    <w:rsid w:val="00E778F0"/>
    <w:rsid w:val="00E77FCC"/>
    <w:rsid w:val="00E80586"/>
    <w:rsid w:val="00E805CE"/>
    <w:rsid w:val="00E80BB1"/>
    <w:rsid w:val="00E80C6F"/>
    <w:rsid w:val="00E812A5"/>
    <w:rsid w:val="00E8133C"/>
    <w:rsid w:val="00E81395"/>
    <w:rsid w:val="00E81615"/>
    <w:rsid w:val="00E81AAA"/>
    <w:rsid w:val="00E81B4B"/>
    <w:rsid w:val="00E81BA8"/>
    <w:rsid w:val="00E81CF5"/>
    <w:rsid w:val="00E81D8E"/>
    <w:rsid w:val="00E81F4E"/>
    <w:rsid w:val="00E8228E"/>
    <w:rsid w:val="00E822D1"/>
    <w:rsid w:val="00E82302"/>
    <w:rsid w:val="00E82416"/>
    <w:rsid w:val="00E8252C"/>
    <w:rsid w:val="00E827CE"/>
    <w:rsid w:val="00E827D2"/>
    <w:rsid w:val="00E82CCC"/>
    <w:rsid w:val="00E82D9F"/>
    <w:rsid w:val="00E83467"/>
    <w:rsid w:val="00E83645"/>
    <w:rsid w:val="00E83904"/>
    <w:rsid w:val="00E83FAF"/>
    <w:rsid w:val="00E83FDC"/>
    <w:rsid w:val="00E84062"/>
    <w:rsid w:val="00E84072"/>
    <w:rsid w:val="00E8407C"/>
    <w:rsid w:val="00E84274"/>
    <w:rsid w:val="00E842C4"/>
    <w:rsid w:val="00E845DA"/>
    <w:rsid w:val="00E84734"/>
    <w:rsid w:val="00E84876"/>
    <w:rsid w:val="00E84951"/>
    <w:rsid w:val="00E84AAB"/>
    <w:rsid w:val="00E84B37"/>
    <w:rsid w:val="00E84BA6"/>
    <w:rsid w:val="00E84C3C"/>
    <w:rsid w:val="00E84CA0"/>
    <w:rsid w:val="00E84F81"/>
    <w:rsid w:val="00E8500E"/>
    <w:rsid w:val="00E85456"/>
    <w:rsid w:val="00E855A9"/>
    <w:rsid w:val="00E85648"/>
    <w:rsid w:val="00E85664"/>
    <w:rsid w:val="00E8566A"/>
    <w:rsid w:val="00E85910"/>
    <w:rsid w:val="00E859D3"/>
    <w:rsid w:val="00E85F82"/>
    <w:rsid w:val="00E85FAC"/>
    <w:rsid w:val="00E86210"/>
    <w:rsid w:val="00E862DC"/>
    <w:rsid w:val="00E86309"/>
    <w:rsid w:val="00E86B4A"/>
    <w:rsid w:val="00E86BFB"/>
    <w:rsid w:val="00E86C4D"/>
    <w:rsid w:val="00E8721D"/>
    <w:rsid w:val="00E8738F"/>
    <w:rsid w:val="00E8759D"/>
    <w:rsid w:val="00E876FC"/>
    <w:rsid w:val="00E87729"/>
    <w:rsid w:val="00E8785E"/>
    <w:rsid w:val="00E87AB0"/>
    <w:rsid w:val="00E87C83"/>
    <w:rsid w:val="00E87D1A"/>
    <w:rsid w:val="00E90247"/>
    <w:rsid w:val="00E90BC2"/>
    <w:rsid w:val="00E90CA3"/>
    <w:rsid w:val="00E90DC0"/>
    <w:rsid w:val="00E90E0C"/>
    <w:rsid w:val="00E90EA6"/>
    <w:rsid w:val="00E90ED1"/>
    <w:rsid w:val="00E90F28"/>
    <w:rsid w:val="00E90FE9"/>
    <w:rsid w:val="00E91505"/>
    <w:rsid w:val="00E915E2"/>
    <w:rsid w:val="00E9188A"/>
    <w:rsid w:val="00E91BA6"/>
    <w:rsid w:val="00E91C38"/>
    <w:rsid w:val="00E9217D"/>
    <w:rsid w:val="00E921D2"/>
    <w:rsid w:val="00E9256A"/>
    <w:rsid w:val="00E925E4"/>
    <w:rsid w:val="00E92792"/>
    <w:rsid w:val="00E92844"/>
    <w:rsid w:val="00E92847"/>
    <w:rsid w:val="00E9287D"/>
    <w:rsid w:val="00E92975"/>
    <w:rsid w:val="00E92F24"/>
    <w:rsid w:val="00E92F4D"/>
    <w:rsid w:val="00E934C9"/>
    <w:rsid w:val="00E93809"/>
    <w:rsid w:val="00E93942"/>
    <w:rsid w:val="00E93AD9"/>
    <w:rsid w:val="00E93B13"/>
    <w:rsid w:val="00E93B25"/>
    <w:rsid w:val="00E93B98"/>
    <w:rsid w:val="00E93CFC"/>
    <w:rsid w:val="00E93E23"/>
    <w:rsid w:val="00E93F8C"/>
    <w:rsid w:val="00E94170"/>
    <w:rsid w:val="00E944B7"/>
    <w:rsid w:val="00E94541"/>
    <w:rsid w:val="00E94892"/>
    <w:rsid w:val="00E9491A"/>
    <w:rsid w:val="00E94A58"/>
    <w:rsid w:val="00E94A9B"/>
    <w:rsid w:val="00E94B8C"/>
    <w:rsid w:val="00E94C22"/>
    <w:rsid w:val="00E94C92"/>
    <w:rsid w:val="00E94D31"/>
    <w:rsid w:val="00E951EC"/>
    <w:rsid w:val="00E95481"/>
    <w:rsid w:val="00E9554E"/>
    <w:rsid w:val="00E959E3"/>
    <w:rsid w:val="00E962F2"/>
    <w:rsid w:val="00E96457"/>
    <w:rsid w:val="00E96495"/>
    <w:rsid w:val="00E964BE"/>
    <w:rsid w:val="00E96585"/>
    <w:rsid w:val="00E96661"/>
    <w:rsid w:val="00E967D3"/>
    <w:rsid w:val="00E968BE"/>
    <w:rsid w:val="00E96962"/>
    <w:rsid w:val="00E96B55"/>
    <w:rsid w:val="00E96C52"/>
    <w:rsid w:val="00E971C5"/>
    <w:rsid w:val="00E97260"/>
    <w:rsid w:val="00E9733C"/>
    <w:rsid w:val="00E9738D"/>
    <w:rsid w:val="00E97785"/>
    <w:rsid w:val="00E978A6"/>
    <w:rsid w:val="00EA0023"/>
    <w:rsid w:val="00EA0212"/>
    <w:rsid w:val="00EA0274"/>
    <w:rsid w:val="00EA03B4"/>
    <w:rsid w:val="00EA05D3"/>
    <w:rsid w:val="00EA05F9"/>
    <w:rsid w:val="00EA06AE"/>
    <w:rsid w:val="00EA0900"/>
    <w:rsid w:val="00EA0903"/>
    <w:rsid w:val="00EA095C"/>
    <w:rsid w:val="00EA0C4B"/>
    <w:rsid w:val="00EA0D8C"/>
    <w:rsid w:val="00EA0EAD"/>
    <w:rsid w:val="00EA0F53"/>
    <w:rsid w:val="00EA1197"/>
    <w:rsid w:val="00EA130D"/>
    <w:rsid w:val="00EA132A"/>
    <w:rsid w:val="00EA1471"/>
    <w:rsid w:val="00EA1614"/>
    <w:rsid w:val="00EA1617"/>
    <w:rsid w:val="00EA1764"/>
    <w:rsid w:val="00EA17EE"/>
    <w:rsid w:val="00EA18F7"/>
    <w:rsid w:val="00EA1AA6"/>
    <w:rsid w:val="00EA1BC6"/>
    <w:rsid w:val="00EA1C22"/>
    <w:rsid w:val="00EA1C72"/>
    <w:rsid w:val="00EA1E01"/>
    <w:rsid w:val="00EA1E9B"/>
    <w:rsid w:val="00EA1F02"/>
    <w:rsid w:val="00EA2015"/>
    <w:rsid w:val="00EA20D2"/>
    <w:rsid w:val="00EA26DC"/>
    <w:rsid w:val="00EA2CB8"/>
    <w:rsid w:val="00EA2D42"/>
    <w:rsid w:val="00EA2FB8"/>
    <w:rsid w:val="00EA3122"/>
    <w:rsid w:val="00EA3210"/>
    <w:rsid w:val="00EA32BB"/>
    <w:rsid w:val="00EA33D0"/>
    <w:rsid w:val="00EA3455"/>
    <w:rsid w:val="00EA3AA8"/>
    <w:rsid w:val="00EA3EB0"/>
    <w:rsid w:val="00EA4333"/>
    <w:rsid w:val="00EA46D1"/>
    <w:rsid w:val="00EA4EBF"/>
    <w:rsid w:val="00EA5080"/>
    <w:rsid w:val="00EA510E"/>
    <w:rsid w:val="00EA5382"/>
    <w:rsid w:val="00EA539A"/>
    <w:rsid w:val="00EA53DC"/>
    <w:rsid w:val="00EA5588"/>
    <w:rsid w:val="00EA5592"/>
    <w:rsid w:val="00EA5854"/>
    <w:rsid w:val="00EA5A61"/>
    <w:rsid w:val="00EA5B63"/>
    <w:rsid w:val="00EA5D62"/>
    <w:rsid w:val="00EA5FD3"/>
    <w:rsid w:val="00EA630E"/>
    <w:rsid w:val="00EA6837"/>
    <w:rsid w:val="00EA6C5A"/>
    <w:rsid w:val="00EA6E5E"/>
    <w:rsid w:val="00EA6E85"/>
    <w:rsid w:val="00EA71D7"/>
    <w:rsid w:val="00EA7434"/>
    <w:rsid w:val="00EA74D2"/>
    <w:rsid w:val="00EA764E"/>
    <w:rsid w:val="00EA76B9"/>
    <w:rsid w:val="00EA7774"/>
    <w:rsid w:val="00EA77FD"/>
    <w:rsid w:val="00EA78EC"/>
    <w:rsid w:val="00EA7A3A"/>
    <w:rsid w:val="00EA7C04"/>
    <w:rsid w:val="00EA7DF8"/>
    <w:rsid w:val="00EA7FD4"/>
    <w:rsid w:val="00EB00B7"/>
    <w:rsid w:val="00EB0578"/>
    <w:rsid w:val="00EB0C30"/>
    <w:rsid w:val="00EB1A09"/>
    <w:rsid w:val="00EB1AAB"/>
    <w:rsid w:val="00EB1BA3"/>
    <w:rsid w:val="00EB2167"/>
    <w:rsid w:val="00EB2351"/>
    <w:rsid w:val="00EB249E"/>
    <w:rsid w:val="00EB2A69"/>
    <w:rsid w:val="00EB2C6B"/>
    <w:rsid w:val="00EB2D02"/>
    <w:rsid w:val="00EB2E63"/>
    <w:rsid w:val="00EB2F72"/>
    <w:rsid w:val="00EB3139"/>
    <w:rsid w:val="00EB3162"/>
    <w:rsid w:val="00EB3366"/>
    <w:rsid w:val="00EB3693"/>
    <w:rsid w:val="00EB375B"/>
    <w:rsid w:val="00EB375F"/>
    <w:rsid w:val="00EB37E5"/>
    <w:rsid w:val="00EB385C"/>
    <w:rsid w:val="00EB38C5"/>
    <w:rsid w:val="00EB394F"/>
    <w:rsid w:val="00EB39D1"/>
    <w:rsid w:val="00EB3BAB"/>
    <w:rsid w:val="00EB3F43"/>
    <w:rsid w:val="00EB40C2"/>
    <w:rsid w:val="00EB438E"/>
    <w:rsid w:val="00EB441E"/>
    <w:rsid w:val="00EB4686"/>
    <w:rsid w:val="00EB46BA"/>
    <w:rsid w:val="00EB47CC"/>
    <w:rsid w:val="00EB4850"/>
    <w:rsid w:val="00EB4C70"/>
    <w:rsid w:val="00EB4E19"/>
    <w:rsid w:val="00EB5391"/>
    <w:rsid w:val="00EB573C"/>
    <w:rsid w:val="00EB5869"/>
    <w:rsid w:val="00EB59E2"/>
    <w:rsid w:val="00EB5A83"/>
    <w:rsid w:val="00EB5AF1"/>
    <w:rsid w:val="00EB5C6F"/>
    <w:rsid w:val="00EB619A"/>
    <w:rsid w:val="00EB61C9"/>
    <w:rsid w:val="00EB6304"/>
    <w:rsid w:val="00EB631C"/>
    <w:rsid w:val="00EB66BF"/>
    <w:rsid w:val="00EB67FD"/>
    <w:rsid w:val="00EB68BD"/>
    <w:rsid w:val="00EB6984"/>
    <w:rsid w:val="00EB69C2"/>
    <w:rsid w:val="00EB6E57"/>
    <w:rsid w:val="00EB7345"/>
    <w:rsid w:val="00EB7541"/>
    <w:rsid w:val="00EB770A"/>
    <w:rsid w:val="00EB77F5"/>
    <w:rsid w:val="00EB7CB0"/>
    <w:rsid w:val="00EB7CC3"/>
    <w:rsid w:val="00EB7D31"/>
    <w:rsid w:val="00EB7EA2"/>
    <w:rsid w:val="00EB7F2F"/>
    <w:rsid w:val="00EC005F"/>
    <w:rsid w:val="00EC028E"/>
    <w:rsid w:val="00EC02CC"/>
    <w:rsid w:val="00EC02E7"/>
    <w:rsid w:val="00EC046F"/>
    <w:rsid w:val="00EC0640"/>
    <w:rsid w:val="00EC06A4"/>
    <w:rsid w:val="00EC08BA"/>
    <w:rsid w:val="00EC093A"/>
    <w:rsid w:val="00EC0AE4"/>
    <w:rsid w:val="00EC0B5A"/>
    <w:rsid w:val="00EC0DD5"/>
    <w:rsid w:val="00EC0DE8"/>
    <w:rsid w:val="00EC0FC9"/>
    <w:rsid w:val="00EC100C"/>
    <w:rsid w:val="00EC11C7"/>
    <w:rsid w:val="00EC14C8"/>
    <w:rsid w:val="00EC173B"/>
    <w:rsid w:val="00EC1880"/>
    <w:rsid w:val="00EC1B57"/>
    <w:rsid w:val="00EC2535"/>
    <w:rsid w:val="00EC2B14"/>
    <w:rsid w:val="00EC2CB4"/>
    <w:rsid w:val="00EC2EB3"/>
    <w:rsid w:val="00EC2FF2"/>
    <w:rsid w:val="00EC3057"/>
    <w:rsid w:val="00EC3089"/>
    <w:rsid w:val="00EC3091"/>
    <w:rsid w:val="00EC3372"/>
    <w:rsid w:val="00EC355E"/>
    <w:rsid w:val="00EC39C9"/>
    <w:rsid w:val="00EC3B69"/>
    <w:rsid w:val="00EC3C89"/>
    <w:rsid w:val="00EC3E6D"/>
    <w:rsid w:val="00EC3E83"/>
    <w:rsid w:val="00EC3F3A"/>
    <w:rsid w:val="00EC43E6"/>
    <w:rsid w:val="00EC471F"/>
    <w:rsid w:val="00EC4A41"/>
    <w:rsid w:val="00EC4A83"/>
    <w:rsid w:val="00EC4B36"/>
    <w:rsid w:val="00EC4B9E"/>
    <w:rsid w:val="00EC4BF8"/>
    <w:rsid w:val="00EC4D36"/>
    <w:rsid w:val="00EC514A"/>
    <w:rsid w:val="00EC51F9"/>
    <w:rsid w:val="00EC5525"/>
    <w:rsid w:val="00EC5743"/>
    <w:rsid w:val="00EC5896"/>
    <w:rsid w:val="00EC5C20"/>
    <w:rsid w:val="00EC5DA8"/>
    <w:rsid w:val="00EC5F29"/>
    <w:rsid w:val="00EC61C4"/>
    <w:rsid w:val="00EC624E"/>
    <w:rsid w:val="00EC64C7"/>
    <w:rsid w:val="00EC657C"/>
    <w:rsid w:val="00EC65D0"/>
    <w:rsid w:val="00EC6975"/>
    <w:rsid w:val="00EC69B0"/>
    <w:rsid w:val="00EC69D6"/>
    <w:rsid w:val="00EC6A58"/>
    <w:rsid w:val="00EC6AB1"/>
    <w:rsid w:val="00EC6CE2"/>
    <w:rsid w:val="00EC6FCD"/>
    <w:rsid w:val="00EC71C4"/>
    <w:rsid w:val="00EC71FF"/>
    <w:rsid w:val="00EC741F"/>
    <w:rsid w:val="00EC754F"/>
    <w:rsid w:val="00EC769A"/>
    <w:rsid w:val="00EC76A5"/>
    <w:rsid w:val="00EC7885"/>
    <w:rsid w:val="00EC7985"/>
    <w:rsid w:val="00EC79EE"/>
    <w:rsid w:val="00EC7C0C"/>
    <w:rsid w:val="00EC7CBB"/>
    <w:rsid w:val="00EC7F8F"/>
    <w:rsid w:val="00EC7FB2"/>
    <w:rsid w:val="00ED01D9"/>
    <w:rsid w:val="00ED01E7"/>
    <w:rsid w:val="00ED0380"/>
    <w:rsid w:val="00ED0470"/>
    <w:rsid w:val="00ED04B1"/>
    <w:rsid w:val="00ED0515"/>
    <w:rsid w:val="00ED05D9"/>
    <w:rsid w:val="00ED0655"/>
    <w:rsid w:val="00ED07AB"/>
    <w:rsid w:val="00ED07B6"/>
    <w:rsid w:val="00ED09D3"/>
    <w:rsid w:val="00ED09F6"/>
    <w:rsid w:val="00ED0A8B"/>
    <w:rsid w:val="00ED0A90"/>
    <w:rsid w:val="00ED0B12"/>
    <w:rsid w:val="00ED0BA8"/>
    <w:rsid w:val="00ED0F76"/>
    <w:rsid w:val="00ED10CB"/>
    <w:rsid w:val="00ED14FA"/>
    <w:rsid w:val="00ED1586"/>
    <w:rsid w:val="00ED166C"/>
    <w:rsid w:val="00ED18B8"/>
    <w:rsid w:val="00ED1918"/>
    <w:rsid w:val="00ED1A37"/>
    <w:rsid w:val="00ED1D68"/>
    <w:rsid w:val="00ED1E8C"/>
    <w:rsid w:val="00ED2019"/>
    <w:rsid w:val="00ED20EA"/>
    <w:rsid w:val="00ED21D9"/>
    <w:rsid w:val="00ED2230"/>
    <w:rsid w:val="00ED2660"/>
    <w:rsid w:val="00ED26C5"/>
    <w:rsid w:val="00ED2720"/>
    <w:rsid w:val="00ED286A"/>
    <w:rsid w:val="00ED2B8C"/>
    <w:rsid w:val="00ED2B95"/>
    <w:rsid w:val="00ED2CD6"/>
    <w:rsid w:val="00ED2CEE"/>
    <w:rsid w:val="00ED31B9"/>
    <w:rsid w:val="00ED3219"/>
    <w:rsid w:val="00ED3734"/>
    <w:rsid w:val="00ED3A52"/>
    <w:rsid w:val="00ED3C15"/>
    <w:rsid w:val="00ED3E31"/>
    <w:rsid w:val="00ED3E46"/>
    <w:rsid w:val="00ED3E85"/>
    <w:rsid w:val="00ED4379"/>
    <w:rsid w:val="00ED43BC"/>
    <w:rsid w:val="00ED4472"/>
    <w:rsid w:val="00ED44B5"/>
    <w:rsid w:val="00ED461B"/>
    <w:rsid w:val="00ED4666"/>
    <w:rsid w:val="00ED49A9"/>
    <w:rsid w:val="00ED5052"/>
    <w:rsid w:val="00ED507F"/>
    <w:rsid w:val="00ED539A"/>
    <w:rsid w:val="00ED53A4"/>
    <w:rsid w:val="00ED53B6"/>
    <w:rsid w:val="00ED5491"/>
    <w:rsid w:val="00ED55E3"/>
    <w:rsid w:val="00ED579B"/>
    <w:rsid w:val="00ED5DFC"/>
    <w:rsid w:val="00ED5EDC"/>
    <w:rsid w:val="00ED6085"/>
    <w:rsid w:val="00ED6245"/>
    <w:rsid w:val="00ED6732"/>
    <w:rsid w:val="00ED6F96"/>
    <w:rsid w:val="00ED708C"/>
    <w:rsid w:val="00ED7235"/>
    <w:rsid w:val="00ED7606"/>
    <w:rsid w:val="00ED7611"/>
    <w:rsid w:val="00ED78B5"/>
    <w:rsid w:val="00ED7BC5"/>
    <w:rsid w:val="00ED7EDB"/>
    <w:rsid w:val="00EE0232"/>
    <w:rsid w:val="00EE024C"/>
    <w:rsid w:val="00EE0279"/>
    <w:rsid w:val="00EE033C"/>
    <w:rsid w:val="00EE0342"/>
    <w:rsid w:val="00EE05D6"/>
    <w:rsid w:val="00EE075E"/>
    <w:rsid w:val="00EE0AD7"/>
    <w:rsid w:val="00EE0C8C"/>
    <w:rsid w:val="00EE1087"/>
    <w:rsid w:val="00EE114E"/>
    <w:rsid w:val="00EE1164"/>
    <w:rsid w:val="00EE13AF"/>
    <w:rsid w:val="00EE14AF"/>
    <w:rsid w:val="00EE16AF"/>
    <w:rsid w:val="00EE1884"/>
    <w:rsid w:val="00EE1A92"/>
    <w:rsid w:val="00EE1BA5"/>
    <w:rsid w:val="00EE1C5A"/>
    <w:rsid w:val="00EE1C97"/>
    <w:rsid w:val="00EE1D3F"/>
    <w:rsid w:val="00EE1E96"/>
    <w:rsid w:val="00EE20D5"/>
    <w:rsid w:val="00EE2125"/>
    <w:rsid w:val="00EE2497"/>
    <w:rsid w:val="00EE25AF"/>
    <w:rsid w:val="00EE27B5"/>
    <w:rsid w:val="00EE2931"/>
    <w:rsid w:val="00EE2989"/>
    <w:rsid w:val="00EE2A21"/>
    <w:rsid w:val="00EE2BCF"/>
    <w:rsid w:val="00EE2DD5"/>
    <w:rsid w:val="00EE2F8B"/>
    <w:rsid w:val="00EE31A8"/>
    <w:rsid w:val="00EE31B2"/>
    <w:rsid w:val="00EE363F"/>
    <w:rsid w:val="00EE37C3"/>
    <w:rsid w:val="00EE3B87"/>
    <w:rsid w:val="00EE3CDE"/>
    <w:rsid w:val="00EE3D85"/>
    <w:rsid w:val="00EE3E30"/>
    <w:rsid w:val="00EE4253"/>
    <w:rsid w:val="00EE4456"/>
    <w:rsid w:val="00EE44E6"/>
    <w:rsid w:val="00EE4765"/>
    <w:rsid w:val="00EE47D5"/>
    <w:rsid w:val="00EE48A9"/>
    <w:rsid w:val="00EE4A4B"/>
    <w:rsid w:val="00EE4AF5"/>
    <w:rsid w:val="00EE4B1D"/>
    <w:rsid w:val="00EE4F84"/>
    <w:rsid w:val="00EE5048"/>
    <w:rsid w:val="00EE50BE"/>
    <w:rsid w:val="00EE52CC"/>
    <w:rsid w:val="00EE5985"/>
    <w:rsid w:val="00EE5A4E"/>
    <w:rsid w:val="00EE5BA9"/>
    <w:rsid w:val="00EE5BD7"/>
    <w:rsid w:val="00EE5C10"/>
    <w:rsid w:val="00EE5D69"/>
    <w:rsid w:val="00EE5E3D"/>
    <w:rsid w:val="00EE5E54"/>
    <w:rsid w:val="00EE5EE2"/>
    <w:rsid w:val="00EE5F46"/>
    <w:rsid w:val="00EE5F7C"/>
    <w:rsid w:val="00EE6084"/>
    <w:rsid w:val="00EE60C1"/>
    <w:rsid w:val="00EE6265"/>
    <w:rsid w:val="00EE626D"/>
    <w:rsid w:val="00EE6396"/>
    <w:rsid w:val="00EE6630"/>
    <w:rsid w:val="00EE6A1F"/>
    <w:rsid w:val="00EE6A31"/>
    <w:rsid w:val="00EE6B21"/>
    <w:rsid w:val="00EE6BF4"/>
    <w:rsid w:val="00EE7047"/>
    <w:rsid w:val="00EE71C1"/>
    <w:rsid w:val="00EE71C7"/>
    <w:rsid w:val="00EE73E5"/>
    <w:rsid w:val="00EE7543"/>
    <w:rsid w:val="00EE77DE"/>
    <w:rsid w:val="00EE77FF"/>
    <w:rsid w:val="00EE78D2"/>
    <w:rsid w:val="00EE7D55"/>
    <w:rsid w:val="00EE7EB9"/>
    <w:rsid w:val="00EF024C"/>
    <w:rsid w:val="00EF049E"/>
    <w:rsid w:val="00EF0598"/>
    <w:rsid w:val="00EF0882"/>
    <w:rsid w:val="00EF093F"/>
    <w:rsid w:val="00EF0DB1"/>
    <w:rsid w:val="00EF0EA3"/>
    <w:rsid w:val="00EF126D"/>
    <w:rsid w:val="00EF1315"/>
    <w:rsid w:val="00EF17BF"/>
    <w:rsid w:val="00EF18F8"/>
    <w:rsid w:val="00EF1C0A"/>
    <w:rsid w:val="00EF1D4C"/>
    <w:rsid w:val="00EF1DF0"/>
    <w:rsid w:val="00EF1DF2"/>
    <w:rsid w:val="00EF1E4E"/>
    <w:rsid w:val="00EF2031"/>
    <w:rsid w:val="00EF24AB"/>
    <w:rsid w:val="00EF258F"/>
    <w:rsid w:val="00EF29A5"/>
    <w:rsid w:val="00EF2BD4"/>
    <w:rsid w:val="00EF2D43"/>
    <w:rsid w:val="00EF2ED0"/>
    <w:rsid w:val="00EF3277"/>
    <w:rsid w:val="00EF35A9"/>
    <w:rsid w:val="00EF36A4"/>
    <w:rsid w:val="00EF3855"/>
    <w:rsid w:val="00EF39C9"/>
    <w:rsid w:val="00EF3AF0"/>
    <w:rsid w:val="00EF3B7E"/>
    <w:rsid w:val="00EF3DA2"/>
    <w:rsid w:val="00EF3EBD"/>
    <w:rsid w:val="00EF3F5F"/>
    <w:rsid w:val="00EF4317"/>
    <w:rsid w:val="00EF469D"/>
    <w:rsid w:val="00EF47CB"/>
    <w:rsid w:val="00EF47D0"/>
    <w:rsid w:val="00EF4A66"/>
    <w:rsid w:val="00EF4BEE"/>
    <w:rsid w:val="00EF4C86"/>
    <w:rsid w:val="00EF4C96"/>
    <w:rsid w:val="00EF4F11"/>
    <w:rsid w:val="00EF4F9B"/>
    <w:rsid w:val="00EF50DC"/>
    <w:rsid w:val="00EF5693"/>
    <w:rsid w:val="00EF5D55"/>
    <w:rsid w:val="00EF5F68"/>
    <w:rsid w:val="00EF5FD7"/>
    <w:rsid w:val="00EF600A"/>
    <w:rsid w:val="00EF6524"/>
    <w:rsid w:val="00EF6569"/>
    <w:rsid w:val="00EF65B2"/>
    <w:rsid w:val="00EF6905"/>
    <w:rsid w:val="00EF6AA6"/>
    <w:rsid w:val="00EF6ACA"/>
    <w:rsid w:val="00EF6B60"/>
    <w:rsid w:val="00EF6C2C"/>
    <w:rsid w:val="00EF6C7F"/>
    <w:rsid w:val="00EF6E83"/>
    <w:rsid w:val="00EF6F86"/>
    <w:rsid w:val="00EF7251"/>
    <w:rsid w:val="00EF757E"/>
    <w:rsid w:val="00EF757F"/>
    <w:rsid w:val="00EF75F4"/>
    <w:rsid w:val="00EF761C"/>
    <w:rsid w:val="00EF7641"/>
    <w:rsid w:val="00EF76C1"/>
    <w:rsid w:val="00EF772D"/>
    <w:rsid w:val="00EF78AB"/>
    <w:rsid w:val="00EF797C"/>
    <w:rsid w:val="00EF7A6F"/>
    <w:rsid w:val="00EF7D31"/>
    <w:rsid w:val="00EF7E29"/>
    <w:rsid w:val="00EF7EB9"/>
    <w:rsid w:val="00EF7F53"/>
    <w:rsid w:val="00F00A59"/>
    <w:rsid w:val="00F00C4C"/>
    <w:rsid w:val="00F00F5B"/>
    <w:rsid w:val="00F01160"/>
    <w:rsid w:val="00F012E7"/>
    <w:rsid w:val="00F012FA"/>
    <w:rsid w:val="00F01329"/>
    <w:rsid w:val="00F01553"/>
    <w:rsid w:val="00F0162E"/>
    <w:rsid w:val="00F0176C"/>
    <w:rsid w:val="00F017B1"/>
    <w:rsid w:val="00F018D0"/>
    <w:rsid w:val="00F019C7"/>
    <w:rsid w:val="00F01A45"/>
    <w:rsid w:val="00F01B01"/>
    <w:rsid w:val="00F01B99"/>
    <w:rsid w:val="00F01CC2"/>
    <w:rsid w:val="00F01D14"/>
    <w:rsid w:val="00F01D3F"/>
    <w:rsid w:val="00F01D97"/>
    <w:rsid w:val="00F0203F"/>
    <w:rsid w:val="00F021D4"/>
    <w:rsid w:val="00F025AE"/>
    <w:rsid w:val="00F02713"/>
    <w:rsid w:val="00F02797"/>
    <w:rsid w:val="00F02945"/>
    <w:rsid w:val="00F02C46"/>
    <w:rsid w:val="00F02C98"/>
    <w:rsid w:val="00F02D44"/>
    <w:rsid w:val="00F03229"/>
    <w:rsid w:val="00F03366"/>
    <w:rsid w:val="00F03483"/>
    <w:rsid w:val="00F03602"/>
    <w:rsid w:val="00F03AC8"/>
    <w:rsid w:val="00F03B37"/>
    <w:rsid w:val="00F03D01"/>
    <w:rsid w:val="00F03DA3"/>
    <w:rsid w:val="00F03DCF"/>
    <w:rsid w:val="00F03E74"/>
    <w:rsid w:val="00F03FE2"/>
    <w:rsid w:val="00F040EE"/>
    <w:rsid w:val="00F043B1"/>
    <w:rsid w:val="00F0447E"/>
    <w:rsid w:val="00F044B1"/>
    <w:rsid w:val="00F044B5"/>
    <w:rsid w:val="00F044FD"/>
    <w:rsid w:val="00F04504"/>
    <w:rsid w:val="00F04C9A"/>
    <w:rsid w:val="00F04D3E"/>
    <w:rsid w:val="00F04EAB"/>
    <w:rsid w:val="00F05260"/>
    <w:rsid w:val="00F053CD"/>
    <w:rsid w:val="00F0556C"/>
    <w:rsid w:val="00F05820"/>
    <w:rsid w:val="00F05926"/>
    <w:rsid w:val="00F05990"/>
    <w:rsid w:val="00F05B5F"/>
    <w:rsid w:val="00F05B9A"/>
    <w:rsid w:val="00F05BB2"/>
    <w:rsid w:val="00F05DD0"/>
    <w:rsid w:val="00F0606F"/>
    <w:rsid w:val="00F062E6"/>
    <w:rsid w:val="00F06407"/>
    <w:rsid w:val="00F0653D"/>
    <w:rsid w:val="00F06568"/>
    <w:rsid w:val="00F0668E"/>
    <w:rsid w:val="00F069C9"/>
    <w:rsid w:val="00F06B02"/>
    <w:rsid w:val="00F06CFB"/>
    <w:rsid w:val="00F06E0D"/>
    <w:rsid w:val="00F06FE5"/>
    <w:rsid w:val="00F06FF2"/>
    <w:rsid w:val="00F073DD"/>
    <w:rsid w:val="00F07473"/>
    <w:rsid w:val="00F07858"/>
    <w:rsid w:val="00F07860"/>
    <w:rsid w:val="00F07944"/>
    <w:rsid w:val="00F0799B"/>
    <w:rsid w:val="00F07B8D"/>
    <w:rsid w:val="00F07B97"/>
    <w:rsid w:val="00F07BF6"/>
    <w:rsid w:val="00F07C66"/>
    <w:rsid w:val="00F07CBB"/>
    <w:rsid w:val="00F07D52"/>
    <w:rsid w:val="00F07D6E"/>
    <w:rsid w:val="00F07E11"/>
    <w:rsid w:val="00F07F07"/>
    <w:rsid w:val="00F105A7"/>
    <w:rsid w:val="00F10762"/>
    <w:rsid w:val="00F10816"/>
    <w:rsid w:val="00F109F7"/>
    <w:rsid w:val="00F10A3B"/>
    <w:rsid w:val="00F1115A"/>
    <w:rsid w:val="00F111FB"/>
    <w:rsid w:val="00F112AD"/>
    <w:rsid w:val="00F112B1"/>
    <w:rsid w:val="00F112DB"/>
    <w:rsid w:val="00F1147C"/>
    <w:rsid w:val="00F1151B"/>
    <w:rsid w:val="00F116E2"/>
    <w:rsid w:val="00F11709"/>
    <w:rsid w:val="00F11855"/>
    <w:rsid w:val="00F119BD"/>
    <w:rsid w:val="00F11B80"/>
    <w:rsid w:val="00F11D52"/>
    <w:rsid w:val="00F11E57"/>
    <w:rsid w:val="00F1215A"/>
    <w:rsid w:val="00F1215E"/>
    <w:rsid w:val="00F122AB"/>
    <w:rsid w:val="00F1239C"/>
    <w:rsid w:val="00F125CA"/>
    <w:rsid w:val="00F130C2"/>
    <w:rsid w:val="00F13717"/>
    <w:rsid w:val="00F1388E"/>
    <w:rsid w:val="00F13DA3"/>
    <w:rsid w:val="00F13E66"/>
    <w:rsid w:val="00F14529"/>
    <w:rsid w:val="00F148BB"/>
    <w:rsid w:val="00F148D6"/>
    <w:rsid w:val="00F14996"/>
    <w:rsid w:val="00F14BE2"/>
    <w:rsid w:val="00F14BF5"/>
    <w:rsid w:val="00F14C13"/>
    <w:rsid w:val="00F14D9F"/>
    <w:rsid w:val="00F14DBB"/>
    <w:rsid w:val="00F14EA1"/>
    <w:rsid w:val="00F1527B"/>
    <w:rsid w:val="00F154F0"/>
    <w:rsid w:val="00F15819"/>
    <w:rsid w:val="00F15A77"/>
    <w:rsid w:val="00F15B27"/>
    <w:rsid w:val="00F162D4"/>
    <w:rsid w:val="00F162E7"/>
    <w:rsid w:val="00F16334"/>
    <w:rsid w:val="00F16482"/>
    <w:rsid w:val="00F164A1"/>
    <w:rsid w:val="00F167A5"/>
    <w:rsid w:val="00F16AD9"/>
    <w:rsid w:val="00F16AE7"/>
    <w:rsid w:val="00F16B19"/>
    <w:rsid w:val="00F16D04"/>
    <w:rsid w:val="00F16F25"/>
    <w:rsid w:val="00F1712C"/>
    <w:rsid w:val="00F17A50"/>
    <w:rsid w:val="00F17BCF"/>
    <w:rsid w:val="00F2093F"/>
    <w:rsid w:val="00F20959"/>
    <w:rsid w:val="00F20968"/>
    <w:rsid w:val="00F20A00"/>
    <w:rsid w:val="00F20A2C"/>
    <w:rsid w:val="00F20B0F"/>
    <w:rsid w:val="00F20B37"/>
    <w:rsid w:val="00F20E57"/>
    <w:rsid w:val="00F21324"/>
    <w:rsid w:val="00F21497"/>
    <w:rsid w:val="00F21953"/>
    <w:rsid w:val="00F21FB4"/>
    <w:rsid w:val="00F2207C"/>
    <w:rsid w:val="00F221C8"/>
    <w:rsid w:val="00F22426"/>
    <w:rsid w:val="00F22430"/>
    <w:rsid w:val="00F224E7"/>
    <w:rsid w:val="00F2294D"/>
    <w:rsid w:val="00F22A7C"/>
    <w:rsid w:val="00F22AC8"/>
    <w:rsid w:val="00F22F3B"/>
    <w:rsid w:val="00F22F6E"/>
    <w:rsid w:val="00F23101"/>
    <w:rsid w:val="00F231B9"/>
    <w:rsid w:val="00F23381"/>
    <w:rsid w:val="00F233C8"/>
    <w:rsid w:val="00F23805"/>
    <w:rsid w:val="00F238B1"/>
    <w:rsid w:val="00F23CE4"/>
    <w:rsid w:val="00F23D56"/>
    <w:rsid w:val="00F23DB8"/>
    <w:rsid w:val="00F23EE8"/>
    <w:rsid w:val="00F24272"/>
    <w:rsid w:val="00F242AA"/>
    <w:rsid w:val="00F24420"/>
    <w:rsid w:val="00F2484C"/>
    <w:rsid w:val="00F2485C"/>
    <w:rsid w:val="00F24AEA"/>
    <w:rsid w:val="00F24C25"/>
    <w:rsid w:val="00F24D09"/>
    <w:rsid w:val="00F24D43"/>
    <w:rsid w:val="00F24F79"/>
    <w:rsid w:val="00F25578"/>
    <w:rsid w:val="00F258A6"/>
    <w:rsid w:val="00F25D5B"/>
    <w:rsid w:val="00F25E09"/>
    <w:rsid w:val="00F25EA4"/>
    <w:rsid w:val="00F25F2F"/>
    <w:rsid w:val="00F2618E"/>
    <w:rsid w:val="00F264F6"/>
    <w:rsid w:val="00F2655D"/>
    <w:rsid w:val="00F26637"/>
    <w:rsid w:val="00F26717"/>
    <w:rsid w:val="00F267C6"/>
    <w:rsid w:val="00F26938"/>
    <w:rsid w:val="00F2698B"/>
    <w:rsid w:val="00F26E78"/>
    <w:rsid w:val="00F26F4E"/>
    <w:rsid w:val="00F27062"/>
    <w:rsid w:val="00F27182"/>
    <w:rsid w:val="00F27306"/>
    <w:rsid w:val="00F2737D"/>
    <w:rsid w:val="00F2743E"/>
    <w:rsid w:val="00F2748D"/>
    <w:rsid w:val="00F27504"/>
    <w:rsid w:val="00F277CB"/>
    <w:rsid w:val="00F277EB"/>
    <w:rsid w:val="00F278CA"/>
    <w:rsid w:val="00F27A80"/>
    <w:rsid w:val="00F27BF6"/>
    <w:rsid w:val="00F27CA6"/>
    <w:rsid w:val="00F30178"/>
    <w:rsid w:val="00F303DE"/>
    <w:rsid w:val="00F30446"/>
    <w:rsid w:val="00F30839"/>
    <w:rsid w:val="00F30B69"/>
    <w:rsid w:val="00F30EF9"/>
    <w:rsid w:val="00F31170"/>
    <w:rsid w:val="00F311F2"/>
    <w:rsid w:val="00F31343"/>
    <w:rsid w:val="00F3165F"/>
    <w:rsid w:val="00F316F2"/>
    <w:rsid w:val="00F317E0"/>
    <w:rsid w:val="00F318E4"/>
    <w:rsid w:val="00F3193C"/>
    <w:rsid w:val="00F31DF7"/>
    <w:rsid w:val="00F31E81"/>
    <w:rsid w:val="00F320A0"/>
    <w:rsid w:val="00F32107"/>
    <w:rsid w:val="00F3254B"/>
    <w:rsid w:val="00F325CA"/>
    <w:rsid w:val="00F3266E"/>
    <w:rsid w:val="00F32A3B"/>
    <w:rsid w:val="00F32A78"/>
    <w:rsid w:val="00F32D9F"/>
    <w:rsid w:val="00F33523"/>
    <w:rsid w:val="00F336D7"/>
    <w:rsid w:val="00F336D8"/>
    <w:rsid w:val="00F3375E"/>
    <w:rsid w:val="00F338EC"/>
    <w:rsid w:val="00F33BBA"/>
    <w:rsid w:val="00F341E8"/>
    <w:rsid w:val="00F343F6"/>
    <w:rsid w:val="00F3457B"/>
    <w:rsid w:val="00F345FC"/>
    <w:rsid w:val="00F34814"/>
    <w:rsid w:val="00F3494C"/>
    <w:rsid w:val="00F34D32"/>
    <w:rsid w:val="00F34F34"/>
    <w:rsid w:val="00F350C9"/>
    <w:rsid w:val="00F35239"/>
    <w:rsid w:val="00F3543D"/>
    <w:rsid w:val="00F3581F"/>
    <w:rsid w:val="00F35BC0"/>
    <w:rsid w:val="00F35E45"/>
    <w:rsid w:val="00F35F97"/>
    <w:rsid w:val="00F36152"/>
    <w:rsid w:val="00F36379"/>
    <w:rsid w:val="00F368DD"/>
    <w:rsid w:val="00F36A34"/>
    <w:rsid w:val="00F36C8D"/>
    <w:rsid w:val="00F36DF2"/>
    <w:rsid w:val="00F36FCE"/>
    <w:rsid w:val="00F3708F"/>
    <w:rsid w:val="00F370E4"/>
    <w:rsid w:val="00F37112"/>
    <w:rsid w:val="00F37170"/>
    <w:rsid w:val="00F37365"/>
    <w:rsid w:val="00F37367"/>
    <w:rsid w:val="00F376A5"/>
    <w:rsid w:val="00F3782C"/>
    <w:rsid w:val="00F37A22"/>
    <w:rsid w:val="00F37E20"/>
    <w:rsid w:val="00F40043"/>
    <w:rsid w:val="00F402E7"/>
    <w:rsid w:val="00F403A8"/>
    <w:rsid w:val="00F403E6"/>
    <w:rsid w:val="00F40400"/>
    <w:rsid w:val="00F40401"/>
    <w:rsid w:val="00F40474"/>
    <w:rsid w:val="00F404C9"/>
    <w:rsid w:val="00F40931"/>
    <w:rsid w:val="00F40A70"/>
    <w:rsid w:val="00F41031"/>
    <w:rsid w:val="00F41187"/>
    <w:rsid w:val="00F4130F"/>
    <w:rsid w:val="00F4167D"/>
    <w:rsid w:val="00F417C6"/>
    <w:rsid w:val="00F4181E"/>
    <w:rsid w:val="00F41C0D"/>
    <w:rsid w:val="00F41D95"/>
    <w:rsid w:val="00F41DCD"/>
    <w:rsid w:val="00F41E3C"/>
    <w:rsid w:val="00F420BC"/>
    <w:rsid w:val="00F422C2"/>
    <w:rsid w:val="00F424EF"/>
    <w:rsid w:val="00F425E3"/>
    <w:rsid w:val="00F42642"/>
    <w:rsid w:val="00F4294D"/>
    <w:rsid w:val="00F42BB2"/>
    <w:rsid w:val="00F43028"/>
    <w:rsid w:val="00F431F2"/>
    <w:rsid w:val="00F433B0"/>
    <w:rsid w:val="00F433E2"/>
    <w:rsid w:val="00F4344C"/>
    <w:rsid w:val="00F43664"/>
    <w:rsid w:val="00F43B34"/>
    <w:rsid w:val="00F43C4E"/>
    <w:rsid w:val="00F43CD5"/>
    <w:rsid w:val="00F43CE8"/>
    <w:rsid w:val="00F44429"/>
    <w:rsid w:val="00F4466B"/>
    <w:rsid w:val="00F447A6"/>
    <w:rsid w:val="00F4481C"/>
    <w:rsid w:val="00F44A2F"/>
    <w:rsid w:val="00F44ACB"/>
    <w:rsid w:val="00F44B8E"/>
    <w:rsid w:val="00F44C3F"/>
    <w:rsid w:val="00F44FD5"/>
    <w:rsid w:val="00F455CD"/>
    <w:rsid w:val="00F45642"/>
    <w:rsid w:val="00F45667"/>
    <w:rsid w:val="00F45750"/>
    <w:rsid w:val="00F45894"/>
    <w:rsid w:val="00F45942"/>
    <w:rsid w:val="00F459DC"/>
    <w:rsid w:val="00F45C27"/>
    <w:rsid w:val="00F45C91"/>
    <w:rsid w:val="00F45C93"/>
    <w:rsid w:val="00F45F51"/>
    <w:rsid w:val="00F4601E"/>
    <w:rsid w:val="00F46072"/>
    <w:rsid w:val="00F46228"/>
    <w:rsid w:val="00F4656B"/>
    <w:rsid w:val="00F467A1"/>
    <w:rsid w:val="00F46C15"/>
    <w:rsid w:val="00F46E02"/>
    <w:rsid w:val="00F46FA0"/>
    <w:rsid w:val="00F46FE1"/>
    <w:rsid w:val="00F4732B"/>
    <w:rsid w:val="00F47415"/>
    <w:rsid w:val="00F474F0"/>
    <w:rsid w:val="00F476D3"/>
    <w:rsid w:val="00F476EC"/>
    <w:rsid w:val="00F47777"/>
    <w:rsid w:val="00F47A40"/>
    <w:rsid w:val="00F47C29"/>
    <w:rsid w:val="00F47D63"/>
    <w:rsid w:val="00F47F52"/>
    <w:rsid w:val="00F5008B"/>
    <w:rsid w:val="00F500E9"/>
    <w:rsid w:val="00F50199"/>
    <w:rsid w:val="00F50290"/>
    <w:rsid w:val="00F502C8"/>
    <w:rsid w:val="00F502E0"/>
    <w:rsid w:val="00F505F4"/>
    <w:rsid w:val="00F50614"/>
    <w:rsid w:val="00F50728"/>
    <w:rsid w:val="00F5092A"/>
    <w:rsid w:val="00F509B2"/>
    <w:rsid w:val="00F50DDA"/>
    <w:rsid w:val="00F50E12"/>
    <w:rsid w:val="00F5111D"/>
    <w:rsid w:val="00F51726"/>
    <w:rsid w:val="00F51ECE"/>
    <w:rsid w:val="00F52294"/>
    <w:rsid w:val="00F522A7"/>
    <w:rsid w:val="00F52334"/>
    <w:rsid w:val="00F523B9"/>
    <w:rsid w:val="00F52563"/>
    <w:rsid w:val="00F5265D"/>
    <w:rsid w:val="00F5291B"/>
    <w:rsid w:val="00F52B5A"/>
    <w:rsid w:val="00F52BF7"/>
    <w:rsid w:val="00F52D9F"/>
    <w:rsid w:val="00F52F3F"/>
    <w:rsid w:val="00F53540"/>
    <w:rsid w:val="00F536B6"/>
    <w:rsid w:val="00F53C62"/>
    <w:rsid w:val="00F53D34"/>
    <w:rsid w:val="00F544C6"/>
    <w:rsid w:val="00F54706"/>
    <w:rsid w:val="00F54911"/>
    <w:rsid w:val="00F54A9E"/>
    <w:rsid w:val="00F54CB5"/>
    <w:rsid w:val="00F54D54"/>
    <w:rsid w:val="00F54D73"/>
    <w:rsid w:val="00F54DE6"/>
    <w:rsid w:val="00F54E42"/>
    <w:rsid w:val="00F5503D"/>
    <w:rsid w:val="00F551C3"/>
    <w:rsid w:val="00F5546E"/>
    <w:rsid w:val="00F55699"/>
    <w:rsid w:val="00F557CC"/>
    <w:rsid w:val="00F55840"/>
    <w:rsid w:val="00F55AD8"/>
    <w:rsid w:val="00F55D0F"/>
    <w:rsid w:val="00F55DD4"/>
    <w:rsid w:val="00F562A1"/>
    <w:rsid w:val="00F5633F"/>
    <w:rsid w:val="00F568B1"/>
    <w:rsid w:val="00F5694F"/>
    <w:rsid w:val="00F56BC3"/>
    <w:rsid w:val="00F56C03"/>
    <w:rsid w:val="00F56C85"/>
    <w:rsid w:val="00F56F10"/>
    <w:rsid w:val="00F56F7E"/>
    <w:rsid w:val="00F5708A"/>
    <w:rsid w:val="00F572B0"/>
    <w:rsid w:val="00F572B8"/>
    <w:rsid w:val="00F5751C"/>
    <w:rsid w:val="00F575DB"/>
    <w:rsid w:val="00F575F6"/>
    <w:rsid w:val="00F576A8"/>
    <w:rsid w:val="00F57755"/>
    <w:rsid w:val="00F57A18"/>
    <w:rsid w:val="00F57BBF"/>
    <w:rsid w:val="00F608A3"/>
    <w:rsid w:val="00F60906"/>
    <w:rsid w:val="00F60ACE"/>
    <w:rsid w:val="00F60B47"/>
    <w:rsid w:val="00F60B49"/>
    <w:rsid w:val="00F60B63"/>
    <w:rsid w:val="00F60CB0"/>
    <w:rsid w:val="00F60D13"/>
    <w:rsid w:val="00F60D1A"/>
    <w:rsid w:val="00F60F03"/>
    <w:rsid w:val="00F61087"/>
    <w:rsid w:val="00F6126C"/>
    <w:rsid w:val="00F614C0"/>
    <w:rsid w:val="00F61910"/>
    <w:rsid w:val="00F61ACA"/>
    <w:rsid w:val="00F61F9A"/>
    <w:rsid w:val="00F61FEE"/>
    <w:rsid w:val="00F620E4"/>
    <w:rsid w:val="00F6219C"/>
    <w:rsid w:val="00F621A6"/>
    <w:rsid w:val="00F6224F"/>
    <w:rsid w:val="00F6228A"/>
    <w:rsid w:val="00F622D9"/>
    <w:rsid w:val="00F62302"/>
    <w:rsid w:val="00F62379"/>
    <w:rsid w:val="00F62402"/>
    <w:rsid w:val="00F6244D"/>
    <w:rsid w:val="00F6249F"/>
    <w:rsid w:val="00F625F4"/>
    <w:rsid w:val="00F629A0"/>
    <w:rsid w:val="00F62A53"/>
    <w:rsid w:val="00F62CC9"/>
    <w:rsid w:val="00F62E6A"/>
    <w:rsid w:val="00F6311E"/>
    <w:rsid w:val="00F631DC"/>
    <w:rsid w:val="00F6333B"/>
    <w:rsid w:val="00F63548"/>
    <w:rsid w:val="00F6359A"/>
    <w:rsid w:val="00F63627"/>
    <w:rsid w:val="00F6371A"/>
    <w:rsid w:val="00F6371B"/>
    <w:rsid w:val="00F63922"/>
    <w:rsid w:val="00F639FF"/>
    <w:rsid w:val="00F63B60"/>
    <w:rsid w:val="00F63B7B"/>
    <w:rsid w:val="00F644D9"/>
    <w:rsid w:val="00F6451D"/>
    <w:rsid w:val="00F645E1"/>
    <w:rsid w:val="00F64A39"/>
    <w:rsid w:val="00F64A84"/>
    <w:rsid w:val="00F64D0A"/>
    <w:rsid w:val="00F64DB2"/>
    <w:rsid w:val="00F64DC3"/>
    <w:rsid w:val="00F653A2"/>
    <w:rsid w:val="00F65730"/>
    <w:rsid w:val="00F65783"/>
    <w:rsid w:val="00F65863"/>
    <w:rsid w:val="00F65A2E"/>
    <w:rsid w:val="00F65B03"/>
    <w:rsid w:val="00F65CDA"/>
    <w:rsid w:val="00F65F6C"/>
    <w:rsid w:val="00F6613D"/>
    <w:rsid w:val="00F66159"/>
    <w:rsid w:val="00F6638A"/>
    <w:rsid w:val="00F66516"/>
    <w:rsid w:val="00F66638"/>
    <w:rsid w:val="00F66713"/>
    <w:rsid w:val="00F66877"/>
    <w:rsid w:val="00F66955"/>
    <w:rsid w:val="00F669B8"/>
    <w:rsid w:val="00F669F8"/>
    <w:rsid w:val="00F66B0B"/>
    <w:rsid w:val="00F670D0"/>
    <w:rsid w:val="00F670F6"/>
    <w:rsid w:val="00F67469"/>
    <w:rsid w:val="00F67759"/>
    <w:rsid w:val="00F677CF"/>
    <w:rsid w:val="00F67830"/>
    <w:rsid w:val="00F67919"/>
    <w:rsid w:val="00F6796F"/>
    <w:rsid w:val="00F679B4"/>
    <w:rsid w:val="00F67A34"/>
    <w:rsid w:val="00F67A6E"/>
    <w:rsid w:val="00F67F96"/>
    <w:rsid w:val="00F701CA"/>
    <w:rsid w:val="00F70490"/>
    <w:rsid w:val="00F704F2"/>
    <w:rsid w:val="00F7080B"/>
    <w:rsid w:val="00F709BB"/>
    <w:rsid w:val="00F70AC7"/>
    <w:rsid w:val="00F70B14"/>
    <w:rsid w:val="00F70C8E"/>
    <w:rsid w:val="00F70FDF"/>
    <w:rsid w:val="00F71117"/>
    <w:rsid w:val="00F711A2"/>
    <w:rsid w:val="00F711E0"/>
    <w:rsid w:val="00F719C6"/>
    <w:rsid w:val="00F71A24"/>
    <w:rsid w:val="00F71A5D"/>
    <w:rsid w:val="00F71C88"/>
    <w:rsid w:val="00F71D82"/>
    <w:rsid w:val="00F71E1B"/>
    <w:rsid w:val="00F71E5B"/>
    <w:rsid w:val="00F721FE"/>
    <w:rsid w:val="00F722AB"/>
    <w:rsid w:val="00F72447"/>
    <w:rsid w:val="00F72571"/>
    <w:rsid w:val="00F727CC"/>
    <w:rsid w:val="00F72A1D"/>
    <w:rsid w:val="00F72B67"/>
    <w:rsid w:val="00F72C8E"/>
    <w:rsid w:val="00F72DD3"/>
    <w:rsid w:val="00F72FF4"/>
    <w:rsid w:val="00F7330A"/>
    <w:rsid w:val="00F733B3"/>
    <w:rsid w:val="00F7367F"/>
    <w:rsid w:val="00F73687"/>
    <w:rsid w:val="00F73872"/>
    <w:rsid w:val="00F739B0"/>
    <w:rsid w:val="00F73B7D"/>
    <w:rsid w:val="00F73CF7"/>
    <w:rsid w:val="00F73D2A"/>
    <w:rsid w:val="00F73D73"/>
    <w:rsid w:val="00F73FBA"/>
    <w:rsid w:val="00F7420B"/>
    <w:rsid w:val="00F74231"/>
    <w:rsid w:val="00F74261"/>
    <w:rsid w:val="00F742A1"/>
    <w:rsid w:val="00F74648"/>
    <w:rsid w:val="00F74722"/>
    <w:rsid w:val="00F7494B"/>
    <w:rsid w:val="00F74998"/>
    <w:rsid w:val="00F74A5C"/>
    <w:rsid w:val="00F74BA8"/>
    <w:rsid w:val="00F74E4F"/>
    <w:rsid w:val="00F7548D"/>
    <w:rsid w:val="00F75635"/>
    <w:rsid w:val="00F75944"/>
    <w:rsid w:val="00F759A1"/>
    <w:rsid w:val="00F7606D"/>
    <w:rsid w:val="00F76684"/>
    <w:rsid w:val="00F766D0"/>
    <w:rsid w:val="00F7676C"/>
    <w:rsid w:val="00F76A2C"/>
    <w:rsid w:val="00F76A79"/>
    <w:rsid w:val="00F7703B"/>
    <w:rsid w:val="00F771BF"/>
    <w:rsid w:val="00F77906"/>
    <w:rsid w:val="00F77918"/>
    <w:rsid w:val="00F77A3C"/>
    <w:rsid w:val="00F77D46"/>
    <w:rsid w:val="00F77FE1"/>
    <w:rsid w:val="00F80171"/>
    <w:rsid w:val="00F80288"/>
    <w:rsid w:val="00F802A8"/>
    <w:rsid w:val="00F80571"/>
    <w:rsid w:val="00F805A5"/>
    <w:rsid w:val="00F81342"/>
    <w:rsid w:val="00F81711"/>
    <w:rsid w:val="00F818CA"/>
    <w:rsid w:val="00F81BF7"/>
    <w:rsid w:val="00F81CB6"/>
    <w:rsid w:val="00F81DEB"/>
    <w:rsid w:val="00F82191"/>
    <w:rsid w:val="00F82509"/>
    <w:rsid w:val="00F8279C"/>
    <w:rsid w:val="00F827CD"/>
    <w:rsid w:val="00F829E0"/>
    <w:rsid w:val="00F829FE"/>
    <w:rsid w:val="00F82C4B"/>
    <w:rsid w:val="00F82DCE"/>
    <w:rsid w:val="00F8303D"/>
    <w:rsid w:val="00F830A1"/>
    <w:rsid w:val="00F833E9"/>
    <w:rsid w:val="00F83402"/>
    <w:rsid w:val="00F83DA5"/>
    <w:rsid w:val="00F83ECC"/>
    <w:rsid w:val="00F83EE0"/>
    <w:rsid w:val="00F8417E"/>
    <w:rsid w:val="00F843B7"/>
    <w:rsid w:val="00F845BA"/>
    <w:rsid w:val="00F847CE"/>
    <w:rsid w:val="00F84B6D"/>
    <w:rsid w:val="00F84C78"/>
    <w:rsid w:val="00F84C95"/>
    <w:rsid w:val="00F84D46"/>
    <w:rsid w:val="00F84DB0"/>
    <w:rsid w:val="00F84DD7"/>
    <w:rsid w:val="00F84E21"/>
    <w:rsid w:val="00F84F12"/>
    <w:rsid w:val="00F85023"/>
    <w:rsid w:val="00F851F0"/>
    <w:rsid w:val="00F85229"/>
    <w:rsid w:val="00F85327"/>
    <w:rsid w:val="00F853C2"/>
    <w:rsid w:val="00F8559E"/>
    <w:rsid w:val="00F856DE"/>
    <w:rsid w:val="00F85B2A"/>
    <w:rsid w:val="00F85B3E"/>
    <w:rsid w:val="00F85DD0"/>
    <w:rsid w:val="00F85E33"/>
    <w:rsid w:val="00F8620A"/>
    <w:rsid w:val="00F862DA"/>
    <w:rsid w:val="00F865AF"/>
    <w:rsid w:val="00F86839"/>
    <w:rsid w:val="00F868CD"/>
    <w:rsid w:val="00F86AC7"/>
    <w:rsid w:val="00F86B6D"/>
    <w:rsid w:val="00F86C99"/>
    <w:rsid w:val="00F86CEB"/>
    <w:rsid w:val="00F86D6D"/>
    <w:rsid w:val="00F86E26"/>
    <w:rsid w:val="00F86E56"/>
    <w:rsid w:val="00F874AC"/>
    <w:rsid w:val="00F87533"/>
    <w:rsid w:val="00F877FF"/>
    <w:rsid w:val="00F87844"/>
    <w:rsid w:val="00F87B54"/>
    <w:rsid w:val="00F87C85"/>
    <w:rsid w:val="00F87E9E"/>
    <w:rsid w:val="00F90098"/>
    <w:rsid w:val="00F90145"/>
    <w:rsid w:val="00F901F3"/>
    <w:rsid w:val="00F901F9"/>
    <w:rsid w:val="00F90344"/>
    <w:rsid w:val="00F906ED"/>
    <w:rsid w:val="00F90AE8"/>
    <w:rsid w:val="00F90E70"/>
    <w:rsid w:val="00F910A6"/>
    <w:rsid w:val="00F9114A"/>
    <w:rsid w:val="00F911EC"/>
    <w:rsid w:val="00F914FC"/>
    <w:rsid w:val="00F91666"/>
    <w:rsid w:val="00F916A8"/>
    <w:rsid w:val="00F918AC"/>
    <w:rsid w:val="00F918EE"/>
    <w:rsid w:val="00F91A27"/>
    <w:rsid w:val="00F91A98"/>
    <w:rsid w:val="00F91C19"/>
    <w:rsid w:val="00F91F39"/>
    <w:rsid w:val="00F92124"/>
    <w:rsid w:val="00F923E0"/>
    <w:rsid w:val="00F9281C"/>
    <w:rsid w:val="00F92877"/>
    <w:rsid w:val="00F92ACD"/>
    <w:rsid w:val="00F92E5D"/>
    <w:rsid w:val="00F92ECE"/>
    <w:rsid w:val="00F931A9"/>
    <w:rsid w:val="00F933CD"/>
    <w:rsid w:val="00F9347D"/>
    <w:rsid w:val="00F9348B"/>
    <w:rsid w:val="00F935A6"/>
    <w:rsid w:val="00F93890"/>
    <w:rsid w:val="00F939AC"/>
    <w:rsid w:val="00F93AC4"/>
    <w:rsid w:val="00F93AE7"/>
    <w:rsid w:val="00F93B7C"/>
    <w:rsid w:val="00F93D55"/>
    <w:rsid w:val="00F93D72"/>
    <w:rsid w:val="00F94145"/>
    <w:rsid w:val="00F94363"/>
    <w:rsid w:val="00F943AC"/>
    <w:rsid w:val="00F9443F"/>
    <w:rsid w:val="00F94493"/>
    <w:rsid w:val="00F94663"/>
    <w:rsid w:val="00F946B4"/>
    <w:rsid w:val="00F9478A"/>
    <w:rsid w:val="00F949D5"/>
    <w:rsid w:val="00F949D8"/>
    <w:rsid w:val="00F94B1E"/>
    <w:rsid w:val="00F9504C"/>
    <w:rsid w:val="00F95294"/>
    <w:rsid w:val="00F95540"/>
    <w:rsid w:val="00F95687"/>
    <w:rsid w:val="00F95D00"/>
    <w:rsid w:val="00F9613E"/>
    <w:rsid w:val="00F966DE"/>
    <w:rsid w:val="00F968BC"/>
    <w:rsid w:val="00F96AD0"/>
    <w:rsid w:val="00F96BCB"/>
    <w:rsid w:val="00F96CF5"/>
    <w:rsid w:val="00F96D97"/>
    <w:rsid w:val="00F96DEC"/>
    <w:rsid w:val="00F96E01"/>
    <w:rsid w:val="00F96E56"/>
    <w:rsid w:val="00F96F47"/>
    <w:rsid w:val="00F97077"/>
    <w:rsid w:val="00F9725F"/>
    <w:rsid w:val="00F977AA"/>
    <w:rsid w:val="00F9793E"/>
    <w:rsid w:val="00F97AE6"/>
    <w:rsid w:val="00F97DDE"/>
    <w:rsid w:val="00FA021B"/>
    <w:rsid w:val="00FA032F"/>
    <w:rsid w:val="00FA0431"/>
    <w:rsid w:val="00FA08DD"/>
    <w:rsid w:val="00FA0935"/>
    <w:rsid w:val="00FA09F9"/>
    <w:rsid w:val="00FA0A15"/>
    <w:rsid w:val="00FA0B65"/>
    <w:rsid w:val="00FA0DB8"/>
    <w:rsid w:val="00FA0E06"/>
    <w:rsid w:val="00FA1109"/>
    <w:rsid w:val="00FA1224"/>
    <w:rsid w:val="00FA12C7"/>
    <w:rsid w:val="00FA15AA"/>
    <w:rsid w:val="00FA178A"/>
    <w:rsid w:val="00FA18CE"/>
    <w:rsid w:val="00FA18E3"/>
    <w:rsid w:val="00FA1A71"/>
    <w:rsid w:val="00FA1AC7"/>
    <w:rsid w:val="00FA1B59"/>
    <w:rsid w:val="00FA1E00"/>
    <w:rsid w:val="00FA2239"/>
    <w:rsid w:val="00FA22FB"/>
    <w:rsid w:val="00FA2388"/>
    <w:rsid w:val="00FA255F"/>
    <w:rsid w:val="00FA257E"/>
    <w:rsid w:val="00FA276A"/>
    <w:rsid w:val="00FA2968"/>
    <w:rsid w:val="00FA296B"/>
    <w:rsid w:val="00FA29D5"/>
    <w:rsid w:val="00FA2E9B"/>
    <w:rsid w:val="00FA2F1D"/>
    <w:rsid w:val="00FA30F1"/>
    <w:rsid w:val="00FA3294"/>
    <w:rsid w:val="00FA339D"/>
    <w:rsid w:val="00FA3422"/>
    <w:rsid w:val="00FA348A"/>
    <w:rsid w:val="00FA348E"/>
    <w:rsid w:val="00FA3869"/>
    <w:rsid w:val="00FA3AB3"/>
    <w:rsid w:val="00FA3BE9"/>
    <w:rsid w:val="00FA3D3A"/>
    <w:rsid w:val="00FA3E99"/>
    <w:rsid w:val="00FA3F69"/>
    <w:rsid w:val="00FA4218"/>
    <w:rsid w:val="00FA425E"/>
    <w:rsid w:val="00FA42DE"/>
    <w:rsid w:val="00FA4408"/>
    <w:rsid w:val="00FA44C5"/>
    <w:rsid w:val="00FA46DE"/>
    <w:rsid w:val="00FA48F5"/>
    <w:rsid w:val="00FA4A08"/>
    <w:rsid w:val="00FA4CD0"/>
    <w:rsid w:val="00FA4CFE"/>
    <w:rsid w:val="00FA4D38"/>
    <w:rsid w:val="00FA54A4"/>
    <w:rsid w:val="00FA57CB"/>
    <w:rsid w:val="00FA57EC"/>
    <w:rsid w:val="00FA5866"/>
    <w:rsid w:val="00FA5C2C"/>
    <w:rsid w:val="00FA5D63"/>
    <w:rsid w:val="00FA5E29"/>
    <w:rsid w:val="00FA5E75"/>
    <w:rsid w:val="00FA5E9F"/>
    <w:rsid w:val="00FA6132"/>
    <w:rsid w:val="00FA6159"/>
    <w:rsid w:val="00FA61B8"/>
    <w:rsid w:val="00FA63D5"/>
    <w:rsid w:val="00FA674F"/>
    <w:rsid w:val="00FA6B4D"/>
    <w:rsid w:val="00FA6DA4"/>
    <w:rsid w:val="00FA6E58"/>
    <w:rsid w:val="00FA6EB2"/>
    <w:rsid w:val="00FA6EF4"/>
    <w:rsid w:val="00FA7082"/>
    <w:rsid w:val="00FA715A"/>
    <w:rsid w:val="00FA716B"/>
    <w:rsid w:val="00FA72AB"/>
    <w:rsid w:val="00FA7346"/>
    <w:rsid w:val="00FA7468"/>
    <w:rsid w:val="00FA74D7"/>
    <w:rsid w:val="00FA77AF"/>
    <w:rsid w:val="00FA7A54"/>
    <w:rsid w:val="00FA7C33"/>
    <w:rsid w:val="00FA7E3E"/>
    <w:rsid w:val="00FB00AA"/>
    <w:rsid w:val="00FB00FB"/>
    <w:rsid w:val="00FB0209"/>
    <w:rsid w:val="00FB0241"/>
    <w:rsid w:val="00FB047C"/>
    <w:rsid w:val="00FB0859"/>
    <w:rsid w:val="00FB0934"/>
    <w:rsid w:val="00FB0E39"/>
    <w:rsid w:val="00FB0F39"/>
    <w:rsid w:val="00FB10BD"/>
    <w:rsid w:val="00FB14C3"/>
    <w:rsid w:val="00FB14D0"/>
    <w:rsid w:val="00FB15DD"/>
    <w:rsid w:val="00FB1663"/>
    <w:rsid w:val="00FB1950"/>
    <w:rsid w:val="00FB1995"/>
    <w:rsid w:val="00FB1B84"/>
    <w:rsid w:val="00FB1CC0"/>
    <w:rsid w:val="00FB1D84"/>
    <w:rsid w:val="00FB1EC6"/>
    <w:rsid w:val="00FB1FDC"/>
    <w:rsid w:val="00FB244A"/>
    <w:rsid w:val="00FB24F2"/>
    <w:rsid w:val="00FB2590"/>
    <w:rsid w:val="00FB29BB"/>
    <w:rsid w:val="00FB2C53"/>
    <w:rsid w:val="00FB2E0E"/>
    <w:rsid w:val="00FB3119"/>
    <w:rsid w:val="00FB329B"/>
    <w:rsid w:val="00FB37FF"/>
    <w:rsid w:val="00FB3C30"/>
    <w:rsid w:val="00FB3D63"/>
    <w:rsid w:val="00FB419E"/>
    <w:rsid w:val="00FB43BC"/>
    <w:rsid w:val="00FB48EB"/>
    <w:rsid w:val="00FB492F"/>
    <w:rsid w:val="00FB4A1C"/>
    <w:rsid w:val="00FB4AFD"/>
    <w:rsid w:val="00FB4E5A"/>
    <w:rsid w:val="00FB507A"/>
    <w:rsid w:val="00FB512B"/>
    <w:rsid w:val="00FB5926"/>
    <w:rsid w:val="00FB59B5"/>
    <w:rsid w:val="00FB5AD5"/>
    <w:rsid w:val="00FB5CC4"/>
    <w:rsid w:val="00FB5E12"/>
    <w:rsid w:val="00FB5F0F"/>
    <w:rsid w:val="00FB5F10"/>
    <w:rsid w:val="00FB605D"/>
    <w:rsid w:val="00FB60EC"/>
    <w:rsid w:val="00FB6196"/>
    <w:rsid w:val="00FB6550"/>
    <w:rsid w:val="00FB656A"/>
    <w:rsid w:val="00FB6B91"/>
    <w:rsid w:val="00FB6C05"/>
    <w:rsid w:val="00FB6DCF"/>
    <w:rsid w:val="00FB6E81"/>
    <w:rsid w:val="00FB6F2F"/>
    <w:rsid w:val="00FB76BC"/>
    <w:rsid w:val="00FB7816"/>
    <w:rsid w:val="00FB79F3"/>
    <w:rsid w:val="00FB7A67"/>
    <w:rsid w:val="00FB7AAC"/>
    <w:rsid w:val="00FB7AF4"/>
    <w:rsid w:val="00FB7BAC"/>
    <w:rsid w:val="00FB7C10"/>
    <w:rsid w:val="00FB7C5F"/>
    <w:rsid w:val="00FB7F29"/>
    <w:rsid w:val="00FB7FD4"/>
    <w:rsid w:val="00FC013B"/>
    <w:rsid w:val="00FC0679"/>
    <w:rsid w:val="00FC071D"/>
    <w:rsid w:val="00FC07F3"/>
    <w:rsid w:val="00FC09DA"/>
    <w:rsid w:val="00FC0D2D"/>
    <w:rsid w:val="00FC1123"/>
    <w:rsid w:val="00FC12DA"/>
    <w:rsid w:val="00FC132F"/>
    <w:rsid w:val="00FC1553"/>
    <w:rsid w:val="00FC15C8"/>
    <w:rsid w:val="00FC15F5"/>
    <w:rsid w:val="00FC1688"/>
    <w:rsid w:val="00FC16AA"/>
    <w:rsid w:val="00FC18F1"/>
    <w:rsid w:val="00FC196C"/>
    <w:rsid w:val="00FC1B0A"/>
    <w:rsid w:val="00FC1B5E"/>
    <w:rsid w:val="00FC1B64"/>
    <w:rsid w:val="00FC1B86"/>
    <w:rsid w:val="00FC1B9A"/>
    <w:rsid w:val="00FC1E1D"/>
    <w:rsid w:val="00FC1E5D"/>
    <w:rsid w:val="00FC1F8B"/>
    <w:rsid w:val="00FC21AE"/>
    <w:rsid w:val="00FC21B2"/>
    <w:rsid w:val="00FC22EE"/>
    <w:rsid w:val="00FC2392"/>
    <w:rsid w:val="00FC2418"/>
    <w:rsid w:val="00FC24E6"/>
    <w:rsid w:val="00FC2761"/>
    <w:rsid w:val="00FC2A38"/>
    <w:rsid w:val="00FC2AF3"/>
    <w:rsid w:val="00FC2C4C"/>
    <w:rsid w:val="00FC2DF3"/>
    <w:rsid w:val="00FC2E34"/>
    <w:rsid w:val="00FC2EB4"/>
    <w:rsid w:val="00FC2F27"/>
    <w:rsid w:val="00FC3283"/>
    <w:rsid w:val="00FC33A1"/>
    <w:rsid w:val="00FC33F7"/>
    <w:rsid w:val="00FC35CA"/>
    <w:rsid w:val="00FC3726"/>
    <w:rsid w:val="00FC3B3C"/>
    <w:rsid w:val="00FC3D0D"/>
    <w:rsid w:val="00FC3D93"/>
    <w:rsid w:val="00FC3F84"/>
    <w:rsid w:val="00FC4A4A"/>
    <w:rsid w:val="00FC4E59"/>
    <w:rsid w:val="00FC510C"/>
    <w:rsid w:val="00FC5735"/>
    <w:rsid w:val="00FC578F"/>
    <w:rsid w:val="00FC5898"/>
    <w:rsid w:val="00FC58EA"/>
    <w:rsid w:val="00FC5C79"/>
    <w:rsid w:val="00FC5DA1"/>
    <w:rsid w:val="00FC62BF"/>
    <w:rsid w:val="00FC6428"/>
    <w:rsid w:val="00FC67D3"/>
    <w:rsid w:val="00FC6E01"/>
    <w:rsid w:val="00FC717B"/>
    <w:rsid w:val="00FC73BB"/>
    <w:rsid w:val="00FC76B6"/>
    <w:rsid w:val="00FC76F9"/>
    <w:rsid w:val="00FC7A49"/>
    <w:rsid w:val="00FC7C23"/>
    <w:rsid w:val="00FC7DF2"/>
    <w:rsid w:val="00FC7EEA"/>
    <w:rsid w:val="00FD05E3"/>
    <w:rsid w:val="00FD073A"/>
    <w:rsid w:val="00FD09C1"/>
    <w:rsid w:val="00FD0A72"/>
    <w:rsid w:val="00FD0B1B"/>
    <w:rsid w:val="00FD0DDC"/>
    <w:rsid w:val="00FD0E05"/>
    <w:rsid w:val="00FD0E6A"/>
    <w:rsid w:val="00FD103A"/>
    <w:rsid w:val="00FD1086"/>
    <w:rsid w:val="00FD1350"/>
    <w:rsid w:val="00FD13BA"/>
    <w:rsid w:val="00FD1485"/>
    <w:rsid w:val="00FD14A2"/>
    <w:rsid w:val="00FD1A1B"/>
    <w:rsid w:val="00FD1A77"/>
    <w:rsid w:val="00FD1A96"/>
    <w:rsid w:val="00FD1B45"/>
    <w:rsid w:val="00FD1C3A"/>
    <w:rsid w:val="00FD1D2F"/>
    <w:rsid w:val="00FD20CB"/>
    <w:rsid w:val="00FD2125"/>
    <w:rsid w:val="00FD239A"/>
    <w:rsid w:val="00FD24EE"/>
    <w:rsid w:val="00FD2596"/>
    <w:rsid w:val="00FD276F"/>
    <w:rsid w:val="00FD2939"/>
    <w:rsid w:val="00FD299C"/>
    <w:rsid w:val="00FD2A96"/>
    <w:rsid w:val="00FD2E3C"/>
    <w:rsid w:val="00FD3044"/>
    <w:rsid w:val="00FD3177"/>
    <w:rsid w:val="00FD3220"/>
    <w:rsid w:val="00FD32C2"/>
    <w:rsid w:val="00FD33B9"/>
    <w:rsid w:val="00FD34E3"/>
    <w:rsid w:val="00FD3BCF"/>
    <w:rsid w:val="00FD3C9B"/>
    <w:rsid w:val="00FD3E35"/>
    <w:rsid w:val="00FD4073"/>
    <w:rsid w:val="00FD40FA"/>
    <w:rsid w:val="00FD4347"/>
    <w:rsid w:val="00FD4358"/>
    <w:rsid w:val="00FD46BD"/>
    <w:rsid w:val="00FD4797"/>
    <w:rsid w:val="00FD47F1"/>
    <w:rsid w:val="00FD480E"/>
    <w:rsid w:val="00FD4A45"/>
    <w:rsid w:val="00FD4C35"/>
    <w:rsid w:val="00FD5480"/>
    <w:rsid w:val="00FD578B"/>
    <w:rsid w:val="00FD597D"/>
    <w:rsid w:val="00FD627E"/>
    <w:rsid w:val="00FD6334"/>
    <w:rsid w:val="00FD6420"/>
    <w:rsid w:val="00FD6461"/>
    <w:rsid w:val="00FD6538"/>
    <w:rsid w:val="00FD6555"/>
    <w:rsid w:val="00FD662C"/>
    <w:rsid w:val="00FD6734"/>
    <w:rsid w:val="00FD6737"/>
    <w:rsid w:val="00FD6B4C"/>
    <w:rsid w:val="00FD6B71"/>
    <w:rsid w:val="00FD7033"/>
    <w:rsid w:val="00FD724C"/>
    <w:rsid w:val="00FD78AF"/>
    <w:rsid w:val="00FD78F6"/>
    <w:rsid w:val="00FD7A98"/>
    <w:rsid w:val="00FD7B13"/>
    <w:rsid w:val="00FD7B3B"/>
    <w:rsid w:val="00FE0037"/>
    <w:rsid w:val="00FE034A"/>
    <w:rsid w:val="00FE06CF"/>
    <w:rsid w:val="00FE0863"/>
    <w:rsid w:val="00FE08C2"/>
    <w:rsid w:val="00FE0D47"/>
    <w:rsid w:val="00FE0E67"/>
    <w:rsid w:val="00FE1317"/>
    <w:rsid w:val="00FE15AB"/>
    <w:rsid w:val="00FE15BB"/>
    <w:rsid w:val="00FE18CC"/>
    <w:rsid w:val="00FE19B9"/>
    <w:rsid w:val="00FE19DD"/>
    <w:rsid w:val="00FE1C6C"/>
    <w:rsid w:val="00FE20F8"/>
    <w:rsid w:val="00FE216A"/>
    <w:rsid w:val="00FE22A3"/>
    <w:rsid w:val="00FE23AA"/>
    <w:rsid w:val="00FE272B"/>
    <w:rsid w:val="00FE27B0"/>
    <w:rsid w:val="00FE2A11"/>
    <w:rsid w:val="00FE2AD0"/>
    <w:rsid w:val="00FE2B7C"/>
    <w:rsid w:val="00FE341F"/>
    <w:rsid w:val="00FE3617"/>
    <w:rsid w:val="00FE366C"/>
    <w:rsid w:val="00FE37E0"/>
    <w:rsid w:val="00FE3AF3"/>
    <w:rsid w:val="00FE3B9E"/>
    <w:rsid w:val="00FE3F13"/>
    <w:rsid w:val="00FE450D"/>
    <w:rsid w:val="00FE4805"/>
    <w:rsid w:val="00FE4850"/>
    <w:rsid w:val="00FE4D89"/>
    <w:rsid w:val="00FE4F36"/>
    <w:rsid w:val="00FE53EC"/>
    <w:rsid w:val="00FE55C4"/>
    <w:rsid w:val="00FE5647"/>
    <w:rsid w:val="00FE57E7"/>
    <w:rsid w:val="00FE5A1D"/>
    <w:rsid w:val="00FE5A8C"/>
    <w:rsid w:val="00FE5BB1"/>
    <w:rsid w:val="00FE5BD1"/>
    <w:rsid w:val="00FE5E0C"/>
    <w:rsid w:val="00FE6150"/>
    <w:rsid w:val="00FE6355"/>
    <w:rsid w:val="00FE666D"/>
    <w:rsid w:val="00FE6769"/>
    <w:rsid w:val="00FE6995"/>
    <w:rsid w:val="00FE6A5B"/>
    <w:rsid w:val="00FE6B0F"/>
    <w:rsid w:val="00FE6D27"/>
    <w:rsid w:val="00FE7195"/>
    <w:rsid w:val="00FE724E"/>
    <w:rsid w:val="00FE75E0"/>
    <w:rsid w:val="00FE7676"/>
    <w:rsid w:val="00FE770A"/>
    <w:rsid w:val="00FE7726"/>
    <w:rsid w:val="00FE78E7"/>
    <w:rsid w:val="00FE7A0A"/>
    <w:rsid w:val="00FE7B6E"/>
    <w:rsid w:val="00FE7BCF"/>
    <w:rsid w:val="00FE7ED2"/>
    <w:rsid w:val="00FF0251"/>
    <w:rsid w:val="00FF02B9"/>
    <w:rsid w:val="00FF030D"/>
    <w:rsid w:val="00FF04FC"/>
    <w:rsid w:val="00FF0575"/>
    <w:rsid w:val="00FF07D6"/>
    <w:rsid w:val="00FF0843"/>
    <w:rsid w:val="00FF09CB"/>
    <w:rsid w:val="00FF0A5E"/>
    <w:rsid w:val="00FF0C49"/>
    <w:rsid w:val="00FF0D7B"/>
    <w:rsid w:val="00FF13AD"/>
    <w:rsid w:val="00FF144C"/>
    <w:rsid w:val="00FF149A"/>
    <w:rsid w:val="00FF164D"/>
    <w:rsid w:val="00FF1955"/>
    <w:rsid w:val="00FF19FC"/>
    <w:rsid w:val="00FF1B0E"/>
    <w:rsid w:val="00FF1B5F"/>
    <w:rsid w:val="00FF1DF7"/>
    <w:rsid w:val="00FF206C"/>
    <w:rsid w:val="00FF212B"/>
    <w:rsid w:val="00FF2297"/>
    <w:rsid w:val="00FF264D"/>
    <w:rsid w:val="00FF2C4D"/>
    <w:rsid w:val="00FF2E98"/>
    <w:rsid w:val="00FF33B2"/>
    <w:rsid w:val="00FF34D0"/>
    <w:rsid w:val="00FF3737"/>
    <w:rsid w:val="00FF37B2"/>
    <w:rsid w:val="00FF37C0"/>
    <w:rsid w:val="00FF3A6E"/>
    <w:rsid w:val="00FF3D47"/>
    <w:rsid w:val="00FF41CF"/>
    <w:rsid w:val="00FF420A"/>
    <w:rsid w:val="00FF464C"/>
    <w:rsid w:val="00FF465F"/>
    <w:rsid w:val="00FF46C5"/>
    <w:rsid w:val="00FF47F9"/>
    <w:rsid w:val="00FF4A1D"/>
    <w:rsid w:val="00FF4A4D"/>
    <w:rsid w:val="00FF4AA3"/>
    <w:rsid w:val="00FF4D05"/>
    <w:rsid w:val="00FF4E51"/>
    <w:rsid w:val="00FF4F10"/>
    <w:rsid w:val="00FF4FDA"/>
    <w:rsid w:val="00FF5229"/>
    <w:rsid w:val="00FF522E"/>
    <w:rsid w:val="00FF52A6"/>
    <w:rsid w:val="00FF52F4"/>
    <w:rsid w:val="00FF5454"/>
    <w:rsid w:val="00FF55AB"/>
    <w:rsid w:val="00FF5643"/>
    <w:rsid w:val="00FF5691"/>
    <w:rsid w:val="00FF57BB"/>
    <w:rsid w:val="00FF596B"/>
    <w:rsid w:val="00FF59BE"/>
    <w:rsid w:val="00FF59DA"/>
    <w:rsid w:val="00FF59E1"/>
    <w:rsid w:val="00FF5ACE"/>
    <w:rsid w:val="00FF5AF3"/>
    <w:rsid w:val="00FF5B66"/>
    <w:rsid w:val="00FF5B77"/>
    <w:rsid w:val="00FF5BD3"/>
    <w:rsid w:val="00FF5BDE"/>
    <w:rsid w:val="00FF5ED4"/>
    <w:rsid w:val="00FF6304"/>
    <w:rsid w:val="00FF633B"/>
    <w:rsid w:val="00FF643C"/>
    <w:rsid w:val="00FF645C"/>
    <w:rsid w:val="00FF646E"/>
    <w:rsid w:val="00FF659D"/>
    <w:rsid w:val="00FF6953"/>
    <w:rsid w:val="00FF6A8A"/>
    <w:rsid w:val="00FF6EE0"/>
    <w:rsid w:val="00FF6EEC"/>
    <w:rsid w:val="00FF70F4"/>
    <w:rsid w:val="00FF71DA"/>
    <w:rsid w:val="00FF71F2"/>
    <w:rsid w:val="00FF73A3"/>
    <w:rsid w:val="00FF78F1"/>
    <w:rsid w:val="00FF7B7B"/>
    <w:rsid w:val="00FF7F0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47886"/>
  <w15:chartTrackingRefBased/>
  <w15:docId w15:val="{F8BBB055-3E2E-48E0-A9D3-DFEDA7F4D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875"/>
    <w:pPr>
      <w:tabs>
        <w:tab w:val="left" w:pos="425"/>
      </w:tabs>
      <w:spacing w:after="100"/>
    </w:pPr>
    <w:rPr>
      <w:rFonts w:ascii="Cormorant" w:hAnsi="Cormorant"/>
      <w:sz w:val="18"/>
    </w:rPr>
  </w:style>
  <w:style w:type="paragraph" w:styleId="Ttulo1">
    <w:name w:val="heading 1"/>
    <w:basedOn w:val="Normal"/>
    <w:next w:val="Normal"/>
    <w:link w:val="Ttulo1Car"/>
    <w:uiPriority w:val="9"/>
    <w:qFormat/>
    <w:rsid w:val="00B322C6"/>
    <w:pPr>
      <w:keepNext/>
      <w:keepLines/>
      <w:spacing w:before="240" w:after="0"/>
      <w:jc w:val="center"/>
      <w:outlineLvl w:val="0"/>
    </w:pPr>
    <w:rPr>
      <w:rFonts w:eastAsiaTheme="majorEastAsia" w:cstheme="majorBidi"/>
      <w:color w:val="000000" w:themeColor="text1"/>
      <w:sz w:val="44"/>
      <w:szCs w:val="32"/>
    </w:rPr>
  </w:style>
  <w:style w:type="paragraph" w:styleId="Ttulo2">
    <w:name w:val="heading 2"/>
    <w:basedOn w:val="Normal"/>
    <w:next w:val="Normal"/>
    <w:link w:val="Ttulo2Car"/>
    <w:uiPriority w:val="9"/>
    <w:unhideWhenUsed/>
    <w:qFormat/>
    <w:rsid w:val="00704E0B"/>
    <w:pPr>
      <w:keepNext/>
      <w:keepLines/>
      <w:spacing w:before="40" w:after="0"/>
      <w:outlineLvl w:val="1"/>
    </w:pPr>
    <w:rPr>
      <w:rFonts w:eastAsiaTheme="majorEastAsia" w:cstheme="majorBidi"/>
      <w:smallCaps/>
      <w:color w:val="000000" w:themeColor="text1"/>
      <w:sz w:val="24"/>
      <w:szCs w:val="26"/>
    </w:rPr>
  </w:style>
  <w:style w:type="paragraph" w:styleId="Ttulo3">
    <w:name w:val="heading 3"/>
    <w:basedOn w:val="Normal"/>
    <w:next w:val="Normal"/>
    <w:link w:val="Ttulo3Car"/>
    <w:uiPriority w:val="9"/>
    <w:unhideWhenUsed/>
    <w:qFormat/>
    <w:rsid w:val="00226477"/>
    <w:pPr>
      <w:keepNext/>
      <w:keepLines/>
      <w:spacing w:before="240" w:after="120"/>
      <w:outlineLvl w:val="2"/>
    </w:pPr>
    <w:rPr>
      <w:rFonts w:eastAsiaTheme="majorEastAsia" w:cstheme="majorBidi"/>
      <w:smallCaps/>
      <w:color w:val="000000" w:themeColor="text1"/>
      <w:szCs w:val="24"/>
    </w:rPr>
  </w:style>
  <w:style w:type="paragraph" w:styleId="Ttulo4">
    <w:name w:val="heading 4"/>
    <w:basedOn w:val="Normal"/>
    <w:next w:val="Normal"/>
    <w:link w:val="Ttulo4Car"/>
    <w:uiPriority w:val="9"/>
    <w:unhideWhenUsed/>
    <w:qFormat/>
    <w:rsid w:val="00BF1ECD"/>
    <w:pPr>
      <w:keepNext/>
      <w:keepLines/>
      <w:spacing w:before="40" w:after="0"/>
      <w:outlineLvl w:val="3"/>
    </w:pPr>
    <w:rPr>
      <w:rFonts w:eastAsiaTheme="majorEastAsia" w:cstheme="majorBidi"/>
      <w:i/>
      <w:iCs/>
      <w:smallCaps/>
      <w:color w:val="000000" w:themeColor="text1"/>
    </w:rPr>
  </w:style>
  <w:style w:type="paragraph" w:styleId="Ttulo5">
    <w:name w:val="heading 5"/>
    <w:basedOn w:val="Normal"/>
    <w:next w:val="Normal"/>
    <w:link w:val="Ttulo5Car"/>
    <w:uiPriority w:val="9"/>
    <w:unhideWhenUsed/>
    <w:qFormat/>
    <w:rsid w:val="001D7E3C"/>
    <w:pPr>
      <w:keepNext/>
      <w:keepLines/>
      <w:spacing w:before="40" w:after="0"/>
      <w:ind w:firstLine="1134"/>
      <w:outlineLvl w:val="4"/>
    </w:pPr>
    <w:rPr>
      <w:rFonts w:eastAsiaTheme="majorEastAsia" w:cstheme="majorBidi"/>
      <w:smallCaps/>
      <w:color w:val="000000" w:themeColor="text1"/>
    </w:rPr>
  </w:style>
  <w:style w:type="paragraph" w:styleId="Ttulo6">
    <w:name w:val="heading 6"/>
    <w:basedOn w:val="Normal"/>
    <w:next w:val="Normal"/>
    <w:link w:val="Ttulo6Car"/>
    <w:uiPriority w:val="9"/>
    <w:unhideWhenUsed/>
    <w:qFormat/>
    <w:rsid w:val="0087588C"/>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597DE2"/>
    <w:pPr>
      <w:keepNext/>
      <w:keepLines/>
      <w:spacing w:before="40" w:after="0"/>
      <w:outlineLvl w:val="6"/>
    </w:pPr>
    <w:rPr>
      <w:rFonts w:ascii="Cormorant Light" w:eastAsiaTheme="majorEastAsia" w:hAnsi="Cormorant Light" w:cstheme="majorBidi"/>
      <w:i/>
      <w:iCs/>
      <w:smallCaps/>
    </w:rPr>
  </w:style>
  <w:style w:type="paragraph" w:styleId="Ttulo8">
    <w:name w:val="heading 8"/>
    <w:basedOn w:val="Normal"/>
    <w:next w:val="Normal"/>
    <w:link w:val="Ttulo8Car"/>
    <w:uiPriority w:val="9"/>
    <w:unhideWhenUsed/>
    <w:qFormat/>
    <w:rsid w:val="00597DE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umeracinReload">
    <w:name w:val="Numeración Reload"/>
    <w:basedOn w:val="Normal"/>
    <w:qFormat/>
    <w:rsid w:val="00605E7D"/>
    <w:pPr>
      <w:tabs>
        <w:tab w:val="right" w:pos="425"/>
        <w:tab w:val="left" w:pos="567"/>
      </w:tabs>
      <w:spacing w:after="0"/>
      <w:ind w:left="567" w:hanging="567"/>
    </w:pPr>
  </w:style>
  <w:style w:type="paragraph" w:styleId="Ttulo">
    <w:name w:val="Title"/>
    <w:basedOn w:val="Normal"/>
    <w:next w:val="Normal"/>
    <w:link w:val="TtuloCar"/>
    <w:uiPriority w:val="10"/>
    <w:qFormat/>
    <w:rsid w:val="00B77A09"/>
    <w:pPr>
      <w:spacing w:after="0" w:line="240" w:lineRule="auto"/>
      <w:contextualSpacing/>
      <w:jc w:val="center"/>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B77A09"/>
    <w:rPr>
      <w:rFonts w:ascii="Cormorant" w:eastAsiaTheme="majorEastAsia" w:hAnsi="Cormorant" w:cstheme="majorBidi"/>
      <w:spacing w:val="-10"/>
      <w:kern w:val="28"/>
      <w:sz w:val="56"/>
      <w:szCs w:val="56"/>
    </w:rPr>
  </w:style>
  <w:style w:type="character" w:styleId="Hipervnculo">
    <w:name w:val="Hyperlink"/>
    <w:basedOn w:val="Fuentedeprrafopredeter"/>
    <w:uiPriority w:val="99"/>
    <w:unhideWhenUsed/>
    <w:rsid w:val="00D42919"/>
    <w:rPr>
      <w:color w:val="0563C1" w:themeColor="hyperlink"/>
      <w:u w:val="single"/>
    </w:rPr>
  </w:style>
  <w:style w:type="character" w:styleId="Mencinsinresolver">
    <w:name w:val="Unresolved Mention"/>
    <w:basedOn w:val="Fuentedeprrafopredeter"/>
    <w:uiPriority w:val="99"/>
    <w:semiHidden/>
    <w:unhideWhenUsed/>
    <w:rsid w:val="00D42919"/>
    <w:rPr>
      <w:color w:val="605E5C"/>
      <w:shd w:val="clear" w:color="auto" w:fill="E1DFDD"/>
    </w:rPr>
  </w:style>
  <w:style w:type="paragraph" w:styleId="Encabezado">
    <w:name w:val="header"/>
    <w:basedOn w:val="Normal"/>
    <w:link w:val="EncabezadoCar"/>
    <w:uiPriority w:val="99"/>
    <w:unhideWhenUsed/>
    <w:rsid w:val="00D429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2919"/>
    <w:rPr>
      <w:rFonts w:ascii="Cormorant" w:hAnsi="Cormorant"/>
      <w:sz w:val="20"/>
    </w:rPr>
  </w:style>
  <w:style w:type="paragraph" w:styleId="Piedepgina">
    <w:name w:val="footer"/>
    <w:basedOn w:val="Normal"/>
    <w:link w:val="PiedepginaCar"/>
    <w:uiPriority w:val="99"/>
    <w:unhideWhenUsed/>
    <w:rsid w:val="00B4288D"/>
    <w:pPr>
      <w:tabs>
        <w:tab w:val="center" w:pos="3402"/>
        <w:tab w:val="right" w:pos="6804"/>
      </w:tabs>
      <w:spacing w:after="0" w:line="240" w:lineRule="auto"/>
    </w:pPr>
    <w:rPr>
      <w:color w:val="000000" w:themeColor="text1"/>
      <w:sz w:val="14"/>
    </w:rPr>
  </w:style>
  <w:style w:type="character" w:customStyle="1" w:styleId="PiedepginaCar">
    <w:name w:val="Pie de página Car"/>
    <w:basedOn w:val="Fuentedeprrafopredeter"/>
    <w:link w:val="Piedepgina"/>
    <w:uiPriority w:val="99"/>
    <w:rsid w:val="00B4288D"/>
    <w:rPr>
      <w:rFonts w:ascii="Cormorant" w:hAnsi="Cormorant"/>
      <w:color w:val="000000" w:themeColor="text1"/>
      <w:sz w:val="14"/>
    </w:rPr>
  </w:style>
  <w:style w:type="paragraph" w:customStyle="1" w:styleId="VersoPali01Centrado">
    <w:name w:val="Verso Pali 01 Centrado"/>
    <w:basedOn w:val="Normal"/>
    <w:qFormat/>
    <w:rsid w:val="00E65E64"/>
    <w:pPr>
      <w:jc w:val="center"/>
    </w:pPr>
    <w:rPr>
      <w:i/>
      <w:iCs/>
    </w:rPr>
  </w:style>
  <w:style w:type="table" w:customStyle="1" w:styleId="TableGrid">
    <w:name w:val="TableGrid"/>
    <w:rsid w:val="00F0176C"/>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322C6"/>
    <w:rPr>
      <w:rFonts w:ascii="Cormorant" w:eastAsiaTheme="majorEastAsia" w:hAnsi="Cormorant" w:cstheme="majorBidi"/>
      <w:color w:val="000000" w:themeColor="text1"/>
      <w:sz w:val="44"/>
      <w:szCs w:val="32"/>
    </w:rPr>
  </w:style>
  <w:style w:type="character" w:customStyle="1" w:styleId="Ttulo2Car">
    <w:name w:val="Título 2 Car"/>
    <w:basedOn w:val="Fuentedeprrafopredeter"/>
    <w:link w:val="Ttulo2"/>
    <w:uiPriority w:val="9"/>
    <w:rsid w:val="00704E0B"/>
    <w:rPr>
      <w:rFonts w:ascii="Cormorant" w:eastAsiaTheme="majorEastAsia" w:hAnsi="Cormorant" w:cstheme="majorBidi"/>
      <w:smallCaps/>
      <w:color w:val="000000" w:themeColor="text1"/>
      <w:sz w:val="24"/>
      <w:szCs w:val="26"/>
    </w:rPr>
  </w:style>
  <w:style w:type="character" w:customStyle="1" w:styleId="Ttulo3Car">
    <w:name w:val="Título 3 Car"/>
    <w:basedOn w:val="Fuentedeprrafopredeter"/>
    <w:link w:val="Ttulo3"/>
    <w:uiPriority w:val="9"/>
    <w:rsid w:val="00226477"/>
    <w:rPr>
      <w:rFonts w:ascii="Cormorant" w:eastAsiaTheme="majorEastAsia" w:hAnsi="Cormorant" w:cstheme="majorBidi"/>
      <w:smallCaps/>
      <w:color w:val="000000" w:themeColor="text1"/>
      <w:sz w:val="18"/>
      <w:szCs w:val="24"/>
    </w:rPr>
  </w:style>
  <w:style w:type="paragraph" w:customStyle="1" w:styleId="NormalConSangria">
    <w:name w:val="Normal_Con_Sangria"/>
    <w:basedOn w:val="Normal"/>
    <w:qFormat/>
    <w:rsid w:val="00935F56"/>
    <w:pPr>
      <w:ind w:firstLine="284"/>
    </w:pPr>
  </w:style>
  <w:style w:type="paragraph" w:customStyle="1" w:styleId="footnotedescription">
    <w:name w:val="footnote description"/>
    <w:next w:val="Normal"/>
    <w:link w:val="footnotedescriptionChar"/>
    <w:hidden/>
    <w:rsid w:val="00A15856"/>
    <w:pPr>
      <w:spacing w:after="0" w:line="237" w:lineRule="auto"/>
      <w:jc w:val="both"/>
    </w:pPr>
    <w:rPr>
      <w:rFonts w:ascii="Calibri" w:eastAsia="Calibri" w:hAnsi="Calibri" w:cs="Calibri"/>
      <w:color w:val="000000"/>
      <w:sz w:val="18"/>
      <w:lang w:val="es-MX" w:eastAsia="es-MX"/>
    </w:rPr>
  </w:style>
  <w:style w:type="character" w:customStyle="1" w:styleId="footnotedescriptionChar">
    <w:name w:val="footnote description Char"/>
    <w:link w:val="footnotedescription"/>
    <w:rsid w:val="00A15856"/>
    <w:rPr>
      <w:rFonts w:ascii="Calibri" w:eastAsia="Calibri" w:hAnsi="Calibri" w:cs="Calibri"/>
      <w:color w:val="000000"/>
      <w:sz w:val="18"/>
      <w:lang w:val="es-MX" w:eastAsia="es-MX"/>
    </w:rPr>
  </w:style>
  <w:style w:type="character" w:customStyle="1" w:styleId="footnotemark">
    <w:name w:val="footnote mark"/>
    <w:hidden/>
    <w:rsid w:val="00A15856"/>
    <w:rPr>
      <w:rFonts w:ascii="Calibri" w:eastAsia="Calibri" w:hAnsi="Calibri" w:cs="Calibri"/>
      <w:color w:val="000000"/>
      <w:sz w:val="18"/>
      <w:vertAlign w:val="superscript"/>
    </w:rPr>
  </w:style>
  <w:style w:type="paragraph" w:styleId="Textonotapie">
    <w:name w:val="footnote text"/>
    <w:basedOn w:val="Normal"/>
    <w:link w:val="TextonotapieCar"/>
    <w:uiPriority w:val="99"/>
    <w:semiHidden/>
    <w:unhideWhenUsed/>
    <w:rsid w:val="00BC6D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6DCF"/>
    <w:rPr>
      <w:rFonts w:ascii="Cormorant" w:hAnsi="Cormorant"/>
      <w:sz w:val="20"/>
      <w:szCs w:val="20"/>
    </w:rPr>
  </w:style>
  <w:style w:type="character" w:styleId="Refdenotaalpie">
    <w:name w:val="footnote reference"/>
    <w:basedOn w:val="Fuentedeprrafopredeter"/>
    <w:uiPriority w:val="99"/>
    <w:semiHidden/>
    <w:unhideWhenUsed/>
    <w:rsid w:val="00BC6DCF"/>
    <w:rPr>
      <w:vertAlign w:val="superscript"/>
    </w:rPr>
  </w:style>
  <w:style w:type="table" w:styleId="Tablaconcuadrcula">
    <w:name w:val="Table Grid"/>
    <w:basedOn w:val="Tablanormal"/>
    <w:uiPriority w:val="39"/>
    <w:rsid w:val="00450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ginaLegal">
    <w:name w:val="Pie de página Legal"/>
    <w:basedOn w:val="Piedepgina"/>
    <w:qFormat/>
    <w:rsid w:val="00D40BDE"/>
    <w:pPr>
      <w:spacing w:after="60"/>
      <w:ind w:left="284" w:hanging="284"/>
    </w:pPr>
    <w:rPr>
      <w:spacing w:val="10"/>
    </w:rPr>
  </w:style>
  <w:style w:type="paragraph" w:customStyle="1" w:styleId="TituloPrincipal">
    <w:name w:val="Titulo Principal"/>
    <w:basedOn w:val="Normal"/>
    <w:qFormat/>
    <w:rsid w:val="00131BC3"/>
    <w:pPr>
      <w:spacing w:after="80" w:line="256" w:lineRule="auto"/>
      <w:ind w:firstLine="397"/>
      <w:jc w:val="center"/>
    </w:pPr>
    <w:rPr>
      <w:color w:val="000000" w:themeColor="text1"/>
      <w:sz w:val="44"/>
      <w:szCs w:val="40"/>
    </w:rPr>
  </w:style>
  <w:style w:type="paragraph" w:customStyle="1" w:styleId="VersoIngls01Sangria">
    <w:name w:val="Verso Inglés 01 Sangria"/>
    <w:basedOn w:val="Normal"/>
    <w:qFormat/>
    <w:rsid w:val="0056358C"/>
    <w:pPr>
      <w:spacing w:after="0"/>
      <w:ind w:left="1416"/>
    </w:pPr>
  </w:style>
  <w:style w:type="paragraph" w:customStyle="1" w:styleId="NormalConSangriaGrande">
    <w:name w:val="Normal Con Sangria Grande"/>
    <w:basedOn w:val="Normal"/>
    <w:rsid w:val="00A941D6"/>
    <w:pPr>
      <w:ind w:left="1418" w:hanging="1418"/>
    </w:pPr>
  </w:style>
  <w:style w:type="paragraph" w:customStyle="1" w:styleId="NumeracinconSangria">
    <w:name w:val="Numeración con Sangria"/>
    <w:basedOn w:val="Normal"/>
    <w:rsid w:val="005A2F8A"/>
    <w:pPr>
      <w:tabs>
        <w:tab w:val="right" w:pos="1418"/>
        <w:tab w:val="left" w:pos="1701"/>
      </w:tabs>
      <w:spacing w:after="0"/>
      <w:ind w:left="1701" w:hanging="1701"/>
    </w:pPr>
  </w:style>
  <w:style w:type="character" w:customStyle="1" w:styleId="Ttulo4Car">
    <w:name w:val="Título 4 Car"/>
    <w:basedOn w:val="Fuentedeprrafopredeter"/>
    <w:link w:val="Ttulo4"/>
    <w:uiPriority w:val="9"/>
    <w:rsid w:val="00BF1ECD"/>
    <w:rPr>
      <w:rFonts w:ascii="Cormorant" w:eastAsiaTheme="majorEastAsia" w:hAnsi="Cormorant" w:cstheme="majorBidi"/>
      <w:i/>
      <w:iCs/>
      <w:smallCaps/>
      <w:color w:val="000000" w:themeColor="text1"/>
      <w:sz w:val="18"/>
    </w:rPr>
  </w:style>
  <w:style w:type="paragraph" w:customStyle="1" w:styleId="NumeracinconSangra">
    <w:name w:val="Numeración con Sangría"/>
    <w:basedOn w:val="NormalConSangria"/>
    <w:qFormat/>
    <w:rsid w:val="004B3639"/>
    <w:pPr>
      <w:tabs>
        <w:tab w:val="right" w:pos="993"/>
        <w:tab w:val="left" w:pos="1134"/>
      </w:tabs>
      <w:spacing w:after="0"/>
    </w:pPr>
  </w:style>
  <w:style w:type="character" w:customStyle="1" w:styleId="Ttulo5Car">
    <w:name w:val="Título 5 Car"/>
    <w:basedOn w:val="Fuentedeprrafopredeter"/>
    <w:link w:val="Ttulo5"/>
    <w:uiPriority w:val="9"/>
    <w:rsid w:val="001D7E3C"/>
    <w:rPr>
      <w:rFonts w:ascii="Cormorant" w:eastAsiaTheme="majorEastAsia" w:hAnsi="Cormorant" w:cstheme="majorBidi"/>
      <w:smallCaps/>
      <w:color w:val="000000" w:themeColor="text1"/>
      <w:sz w:val="18"/>
      <w:lang w:val="en-US"/>
    </w:rPr>
  </w:style>
  <w:style w:type="character" w:customStyle="1" w:styleId="Ttulo6Car">
    <w:name w:val="Título 6 Car"/>
    <w:basedOn w:val="Fuentedeprrafopredeter"/>
    <w:link w:val="Ttulo6"/>
    <w:uiPriority w:val="9"/>
    <w:rsid w:val="0087588C"/>
    <w:rPr>
      <w:rFonts w:asciiTheme="majorHAnsi" w:eastAsiaTheme="majorEastAsia" w:hAnsiTheme="majorHAnsi" w:cstheme="majorBidi"/>
      <w:color w:val="1F3763" w:themeColor="accent1" w:themeShade="7F"/>
      <w:sz w:val="18"/>
    </w:rPr>
  </w:style>
  <w:style w:type="paragraph" w:styleId="Prrafodelista">
    <w:name w:val="List Paragraph"/>
    <w:basedOn w:val="Normal"/>
    <w:uiPriority w:val="34"/>
    <w:qFormat/>
    <w:rsid w:val="00B755F4"/>
    <w:pPr>
      <w:ind w:left="720"/>
      <w:contextualSpacing/>
    </w:pPr>
  </w:style>
  <w:style w:type="character" w:customStyle="1" w:styleId="Ttulo7Car">
    <w:name w:val="Título 7 Car"/>
    <w:basedOn w:val="Fuentedeprrafopredeter"/>
    <w:link w:val="Ttulo7"/>
    <w:uiPriority w:val="9"/>
    <w:rsid w:val="00597DE2"/>
    <w:rPr>
      <w:rFonts w:ascii="Cormorant Light" w:eastAsiaTheme="majorEastAsia" w:hAnsi="Cormorant Light" w:cstheme="majorBidi"/>
      <w:i/>
      <w:iCs/>
      <w:smallCaps/>
      <w:sz w:val="18"/>
    </w:rPr>
  </w:style>
  <w:style w:type="character" w:customStyle="1" w:styleId="Ttulo8Car">
    <w:name w:val="Título 8 Car"/>
    <w:basedOn w:val="Fuentedeprrafopredeter"/>
    <w:link w:val="Ttulo8"/>
    <w:uiPriority w:val="9"/>
    <w:rsid w:val="00597DE2"/>
    <w:rPr>
      <w:rFonts w:asciiTheme="majorHAnsi" w:eastAsiaTheme="majorEastAsia" w:hAnsiTheme="majorHAnsi" w:cstheme="majorBidi"/>
      <w:color w:val="272727" w:themeColor="text1" w:themeTint="D8"/>
      <w:sz w:val="21"/>
      <w:szCs w:val="21"/>
    </w:rPr>
  </w:style>
  <w:style w:type="paragraph" w:customStyle="1" w:styleId="NumReload2">
    <w:name w:val="Num. Reload 2"/>
    <w:basedOn w:val="NumeracinReload"/>
    <w:qFormat/>
    <w:rsid w:val="00597DE2"/>
    <w:pPr>
      <w:tabs>
        <w:tab w:val="clear" w:pos="425"/>
        <w:tab w:val="clear" w:pos="567"/>
        <w:tab w:val="right" w:pos="993"/>
      </w:tabs>
      <w:ind w:left="1134" w:hanging="709"/>
    </w:pPr>
  </w:style>
  <w:style w:type="paragraph" w:customStyle="1" w:styleId="ParrafoApendice">
    <w:name w:val="Parrafo Apendice"/>
    <w:basedOn w:val="Normal"/>
    <w:qFormat/>
    <w:rsid w:val="00597DE2"/>
    <w:pPr>
      <w:spacing w:after="0"/>
      <w:ind w:hanging="284"/>
    </w:pPr>
    <w:rPr>
      <w:sz w:val="16"/>
      <w:szCs w:val="18"/>
      <w:lang w:val="en-US"/>
    </w:rPr>
  </w:style>
  <w:style w:type="paragraph" w:customStyle="1" w:styleId="ParrafoGlosario">
    <w:name w:val="Parrafo Glosario"/>
    <w:basedOn w:val="ParrafoApendice"/>
    <w:qFormat/>
    <w:rsid w:val="00597DE2"/>
    <w:pPr>
      <w:ind w:left="284"/>
    </w:pPr>
  </w:style>
  <w:style w:type="character" w:customStyle="1" w:styleId="fontstyle01">
    <w:name w:val="fontstyle01"/>
    <w:basedOn w:val="Fuentedeprrafopredeter"/>
    <w:rsid w:val="00597DE2"/>
    <w:rPr>
      <w:rFonts w:ascii="URWPalladioPali" w:hAnsi="URWPalladioPali" w:hint="default"/>
      <w:b w:val="0"/>
      <w:bCs w:val="0"/>
      <w:i w:val="0"/>
      <w:iCs w:val="0"/>
      <w:color w:val="000000"/>
      <w:sz w:val="20"/>
      <w:szCs w:val="20"/>
    </w:rPr>
  </w:style>
  <w:style w:type="paragraph" w:styleId="Textonotaalfinal">
    <w:name w:val="endnote text"/>
    <w:basedOn w:val="Normal"/>
    <w:link w:val="TextonotaalfinalCar"/>
    <w:uiPriority w:val="99"/>
    <w:semiHidden/>
    <w:unhideWhenUsed/>
    <w:rsid w:val="00597DE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97DE2"/>
    <w:rPr>
      <w:rFonts w:ascii="Cormorant" w:hAnsi="Cormorant"/>
      <w:sz w:val="20"/>
      <w:szCs w:val="20"/>
    </w:rPr>
  </w:style>
  <w:style w:type="character" w:styleId="Refdenotaalfinal">
    <w:name w:val="endnote reference"/>
    <w:basedOn w:val="Fuentedeprrafopredeter"/>
    <w:uiPriority w:val="99"/>
    <w:semiHidden/>
    <w:unhideWhenUsed/>
    <w:rsid w:val="00597DE2"/>
    <w:rPr>
      <w:vertAlign w:val="superscript"/>
    </w:rPr>
  </w:style>
  <w:style w:type="paragraph" w:styleId="Lista">
    <w:name w:val="List"/>
    <w:basedOn w:val="Normal"/>
    <w:uiPriority w:val="99"/>
    <w:unhideWhenUsed/>
    <w:rsid w:val="00597DE2"/>
    <w:pPr>
      <w:ind w:left="283" w:hanging="283"/>
      <w:contextualSpacing/>
    </w:pPr>
  </w:style>
  <w:style w:type="paragraph" w:styleId="Lista2">
    <w:name w:val="List 2"/>
    <w:basedOn w:val="Normal"/>
    <w:uiPriority w:val="99"/>
    <w:unhideWhenUsed/>
    <w:rsid w:val="00597DE2"/>
    <w:pPr>
      <w:ind w:left="566" w:hanging="283"/>
      <w:contextualSpacing/>
    </w:pPr>
  </w:style>
  <w:style w:type="paragraph" w:styleId="Encabezadodemensaje">
    <w:name w:val="Message Header"/>
    <w:basedOn w:val="Normal"/>
    <w:link w:val="EncabezadodemensajeCar"/>
    <w:uiPriority w:val="99"/>
    <w:unhideWhenUsed/>
    <w:rsid w:val="00597D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597DE2"/>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597DE2"/>
  </w:style>
  <w:style w:type="character" w:customStyle="1" w:styleId="SaludoCar">
    <w:name w:val="Saludo Car"/>
    <w:basedOn w:val="Fuentedeprrafopredeter"/>
    <w:link w:val="Saludo"/>
    <w:uiPriority w:val="99"/>
    <w:rsid w:val="00597DE2"/>
    <w:rPr>
      <w:rFonts w:ascii="Cormorant" w:hAnsi="Cormorant"/>
      <w:sz w:val="18"/>
    </w:rPr>
  </w:style>
  <w:style w:type="paragraph" w:styleId="Continuarlista">
    <w:name w:val="List Continue"/>
    <w:basedOn w:val="Normal"/>
    <w:uiPriority w:val="99"/>
    <w:unhideWhenUsed/>
    <w:rsid w:val="00597DE2"/>
    <w:pPr>
      <w:spacing w:after="120"/>
      <w:ind w:left="283"/>
      <w:contextualSpacing/>
    </w:pPr>
  </w:style>
  <w:style w:type="paragraph" w:styleId="Descripcin">
    <w:name w:val="caption"/>
    <w:basedOn w:val="Normal"/>
    <w:next w:val="Normal"/>
    <w:uiPriority w:val="35"/>
    <w:unhideWhenUsed/>
    <w:qFormat/>
    <w:rsid w:val="00597DE2"/>
    <w:pPr>
      <w:spacing w:after="200" w:line="240" w:lineRule="auto"/>
    </w:pPr>
    <w:rPr>
      <w:i/>
      <w:iCs/>
      <w:color w:val="44546A" w:themeColor="text2"/>
      <w:szCs w:val="18"/>
    </w:rPr>
  </w:style>
  <w:style w:type="paragraph" w:styleId="Textoindependiente">
    <w:name w:val="Body Text"/>
    <w:basedOn w:val="Normal"/>
    <w:link w:val="TextoindependienteCar"/>
    <w:uiPriority w:val="99"/>
    <w:unhideWhenUsed/>
    <w:rsid w:val="00597DE2"/>
    <w:pPr>
      <w:spacing w:after="120"/>
    </w:pPr>
  </w:style>
  <w:style w:type="character" w:customStyle="1" w:styleId="TextoindependienteCar">
    <w:name w:val="Texto independiente Car"/>
    <w:basedOn w:val="Fuentedeprrafopredeter"/>
    <w:link w:val="Textoindependiente"/>
    <w:uiPriority w:val="99"/>
    <w:rsid w:val="00597DE2"/>
    <w:rPr>
      <w:rFonts w:ascii="Cormorant" w:hAnsi="Cormorant"/>
      <w:sz w:val="18"/>
    </w:rPr>
  </w:style>
  <w:style w:type="paragraph" w:styleId="Sangradetextonormal">
    <w:name w:val="Body Text Indent"/>
    <w:basedOn w:val="Normal"/>
    <w:link w:val="SangradetextonormalCar"/>
    <w:uiPriority w:val="99"/>
    <w:unhideWhenUsed/>
    <w:rsid w:val="00597DE2"/>
    <w:pPr>
      <w:spacing w:after="120"/>
      <w:ind w:left="283"/>
    </w:pPr>
  </w:style>
  <w:style w:type="character" w:customStyle="1" w:styleId="SangradetextonormalCar">
    <w:name w:val="Sangría de texto normal Car"/>
    <w:basedOn w:val="Fuentedeprrafopredeter"/>
    <w:link w:val="Sangradetextonormal"/>
    <w:uiPriority w:val="99"/>
    <w:rsid w:val="00597DE2"/>
    <w:rPr>
      <w:rFonts w:ascii="Cormorant" w:hAnsi="Cormorant"/>
      <w:sz w:val="18"/>
    </w:rPr>
  </w:style>
  <w:style w:type="paragraph" w:styleId="Textoindependienteprimerasangra">
    <w:name w:val="Body Text First Indent"/>
    <w:basedOn w:val="Textoindependiente"/>
    <w:link w:val="TextoindependienteprimerasangraCar"/>
    <w:uiPriority w:val="99"/>
    <w:unhideWhenUsed/>
    <w:rsid w:val="00597DE2"/>
    <w:pPr>
      <w:spacing w:after="100"/>
      <w:ind w:firstLine="360"/>
    </w:pPr>
  </w:style>
  <w:style w:type="character" w:customStyle="1" w:styleId="TextoindependienteprimerasangraCar">
    <w:name w:val="Texto independiente primera sangría Car"/>
    <w:basedOn w:val="TextoindependienteCar"/>
    <w:link w:val="Textoindependienteprimerasangra"/>
    <w:uiPriority w:val="99"/>
    <w:rsid w:val="00597DE2"/>
    <w:rPr>
      <w:rFonts w:ascii="Cormorant" w:hAnsi="Cormorant"/>
      <w:sz w:val="18"/>
    </w:rPr>
  </w:style>
  <w:style w:type="paragraph" w:styleId="Textoindependienteprimerasangra2">
    <w:name w:val="Body Text First Indent 2"/>
    <w:basedOn w:val="Sangradetextonormal"/>
    <w:link w:val="Textoindependienteprimerasangra2Car"/>
    <w:uiPriority w:val="99"/>
    <w:unhideWhenUsed/>
    <w:rsid w:val="00597DE2"/>
    <w:pPr>
      <w:spacing w:after="1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97DE2"/>
    <w:rPr>
      <w:rFonts w:ascii="Cormorant" w:hAnsi="Cormorant"/>
      <w:sz w:val="18"/>
    </w:rPr>
  </w:style>
  <w:style w:type="character" w:styleId="Textoennegrita">
    <w:name w:val="Strong"/>
    <w:basedOn w:val="Fuentedeprrafopredeter"/>
    <w:uiPriority w:val="22"/>
    <w:qFormat/>
    <w:rsid w:val="00597DE2"/>
    <w:rPr>
      <w:b/>
      <w:bCs/>
    </w:rPr>
  </w:style>
  <w:style w:type="paragraph" w:styleId="Revisin">
    <w:name w:val="Revision"/>
    <w:hidden/>
    <w:uiPriority w:val="99"/>
    <w:semiHidden/>
    <w:rsid w:val="00597DE2"/>
    <w:pPr>
      <w:spacing w:after="0" w:line="240" w:lineRule="auto"/>
    </w:pPr>
    <w:rPr>
      <w:rFonts w:ascii="Cormorant" w:hAnsi="Cormorant"/>
      <w:sz w:val="18"/>
    </w:rPr>
  </w:style>
  <w:style w:type="paragraph" w:styleId="TDC1">
    <w:name w:val="toc 1"/>
    <w:basedOn w:val="Normal"/>
    <w:next w:val="Normal"/>
    <w:autoRedefine/>
    <w:uiPriority w:val="39"/>
    <w:unhideWhenUsed/>
    <w:rsid w:val="00597DE2"/>
    <w:pPr>
      <w:tabs>
        <w:tab w:val="clear" w:pos="425"/>
      </w:tabs>
    </w:pPr>
  </w:style>
  <w:style w:type="paragraph" w:styleId="TDC2">
    <w:name w:val="toc 2"/>
    <w:basedOn w:val="Normal"/>
    <w:next w:val="Normal"/>
    <w:autoRedefine/>
    <w:uiPriority w:val="39"/>
    <w:unhideWhenUsed/>
    <w:rsid w:val="00597DE2"/>
    <w:pPr>
      <w:tabs>
        <w:tab w:val="clear" w:pos="425"/>
      </w:tabs>
      <w:ind w:left="180"/>
    </w:pPr>
  </w:style>
  <w:style w:type="character" w:styleId="Hipervnculovisitado">
    <w:name w:val="FollowedHyperlink"/>
    <w:basedOn w:val="Fuentedeprrafopredeter"/>
    <w:uiPriority w:val="99"/>
    <w:semiHidden/>
    <w:unhideWhenUsed/>
    <w:rsid w:val="00597D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702">
      <w:bodyDiv w:val="1"/>
      <w:marLeft w:val="0"/>
      <w:marRight w:val="0"/>
      <w:marTop w:val="0"/>
      <w:marBottom w:val="0"/>
      <w:divBdr>
        <w:top w:val="none" w:sz="0" w:space="0" w:color="auto"/>
        <w:left w:val="none" w:sz="0" w:space="0" w:color="auto"/>
        <w:bottom w:val="none" w:sz="0" w:space="0" w:color="auto"/>
        <w:right w:val="none" w:sz="0" w:space="0" w:color="auto"/>
      </w:divBdr>
    </w:div>
    <w:div w:id="13044377">
      <w:bodyDiv w:val="1"/>
      <w:marLeft w:val="0"/>
      <w:marRight w:val="0"/>
      <w:marTop w:val="0"/>
      <w:marBottom w:val="0"/>
      <w:divBdr>
        <w:top w:val="none" w:sz="0" w:space="0" w:color="auto"/>
        <w:left w:val="none" w:sz="0" w:space="0" w:color="auto"/>
        <w:bottom w:val="none" w:sz="0" w:space="0" w:color="auto"/>
        <w:right w:val="none" w:sz="0" w:space="0" w:color="auto"/>
      </w:divBdr>
    </w:div>
    <w:div w:id="13851842">
      <w:bodyDiv w:val="1"/>
      <w:marLeft w:val="0"/>
      <w:marRight w:val="0"/>
      <w:marTop w:val="0"/>
      <w:marBottom w:val="0"/>
      <w:divBdr>
        <w:top w:val="none" w:sz="0" w:space="0" w:color="auto"/>
        <w:left w:val="none" w:sz="0" w:space="0" w:color="auto"/>
        <w:bottom w:val="none" w:sz="0" w:space="0" w:color="auto"/>
        <w:right w:val="none" w:sz="0" w:space="0" w:color="auto"/>
      </w:divBdr>
    </w:div>
    <w:div w:id="22366491">
      <w:bodyDiv w:val="1"/>
      <w:marLeft w:val="0"/>
      <w:marRight w:val="0"/>
      <w:marTop w:val="0"/>
      <w:marBottom w:val="0"/>
      <w:divBdr>
        <w:top w:val="none" w:sz="0" w:space="0" w:color="auto"/>
        <w:left w:val="none" w:sz="0" w:space="0" w:color="auto"/>
        <w:bottom w:val="none" w:sz="0" w:space="0" w:color="auto"/>
        <w:right w:val="none" w:sz="0" w:space="0" w:color="auto"/>
      </w:divBdr>
    </w:div>
    <w:div w:id="33040842">
      <w:bodyDiv w:val="1"/>
      <w:marLeft w:val="0"/>
      <w:marRight w:val="0"/>
      <w:marTop w:val="0"/>
      <w:marBottom w:val="0"/>
      <w:divBdr>
        <w:top w:val="none" w:sz="0" w:space="0" w:color="auto"/>
        <w:left w:val="none" w:sz="0" w:space="0" w:color="auto"/>
        <w:bottom w:val="none" w:sz="0" w:space="0" w:color="auto"/>
        <w:right w:val="none" w:sz="0" w:space="0" w:color="auto"/>
      </w:divBdr>
    </w:div>
    <w:div w:id="41174025">
      <w:bodyDiv w:val="1"/>
      <w:marLeft w:val="0"/>
      <w:marRight w:val="0"/>
      <w:marTop w:val="0"/>
      <w:marBottom w:val="0"/>
      <w:divBdr>
        <w:top w:val="none" w:sz="0" w:space="0" w:color="auto"/>
        <w:left w:val="none" w:sz="0" w:space="0" w:color="auto"/>
        <w:bottom w:val="none" w:sz="0" w:space="0" w:color="auto"/>
        <w:right w:val="none" w:sz="0" w:space="0" w:color="auto"/>
      </w:divBdr>
    </w:div>
    <w:div w:id="42950128">
      <w:bodyDiv w:val="1"/>
      <w:marLeft w:val="0"/>
      <w:marRight w:val="0"/>
      <w:marTop w:val="0"/>
      <w:marBottom w:val="0"/>
      <w:divBdr>
        <w:top w:val="none" w:sz="0" w:space="0" w:color="auto"/>
        <w:left w:val="none" w:sz="0" w:space="0" w:color="auto"/>
        <w:bottom w:val="none" w:sz="0" w:space="0" w:color="auto"/>
        <w:right w:val="none" w:sz="0" w:space="0" w:color="auto"/>
      </w:divBdr>
    </w:div>
    <w:div w:id="45567177">
      <w:bodyDiv w:val="1"/>
      <w:marLeft w:val="0"/>
      <w:marRight w:val="0"/>
      <w:marTop w:val="0"/>
      <w:marBottom w:val="0"/>
      <w:divBdr>
        <w:top w:val="none" w:sz="0" w:space="0" w:color="auto"/>
        <w:left w:val="none" w:sz="0" w:space="0" w:color="auto"/>
        <w:bottom w:val="none" w:sz="0" w:space="0" w:color="auto"/>
        <w:right w:val="none" w:sz="0" w:space="0" w:color="auto"/>
      </w:divBdr>
    </w:div>
    <w:div w:id="48723935">
      <w:bodyDiv w:val="1"/>
      <w:marLeft w:val="0"/>
      <w:marRight w:val="0"/>
      <w:marTop w:val="0"/>
      <w:marBottom w:val="0"/>
      <w:divBdr>
        <w:top w:val="none" w:sz="0" w:space="0" w:color="auto"/>
        <w:left w:val="none" w:sz="0" w:space="0" w:color="auto"/>
        <w:bottom w:val="none" w:sz="0" w:space="0" w:color="auto"/>
        <w:right w:val="none" w:sz="0" w:space="0" w:color="auto"/>
      </w:divBdr>
    </w:div>
    <w:div w:id="62796291">
      <w:bodyDiv w:val="1"/>
      <w:marLeft w:val="0"/>
      <w:marRight w:val="0"/>
      <w:marTop w:val="0"/>
      <w:marBottom w:val="0"/>
      <w:divBdr>
        <w:top w:val="none" w:sz="0" w:space="0" w:color="auto"/>
        <w:left w:val="none" w:sz="0" w:space="0" w:color="auto"/>
        <w:bottom w:val="none" w:sz="0" w:space="0" w:color="auto"/>
        <w:right w:val="none" w:sz="0" w:space="0" w:color="auto"/>
      </w:divBdr>
    </w:div>
    <w:div w:id="64886042">
      <w:bodyDiv w:val="1"/>
      <w:marLeft w:val="0"/>
      <w:marRight w:val="0"/>
      <w:marTop w:val="0"/>
      <w:marBottom w:val="0"/>
      <w:divBdr>
        <w:top w:val="none" w:sz="0" w:space="0" w:color="auto"/>
        <w:left w:val="none" w:sz="0" w:space="0" w:color="auto"/>
        <w:bottom w:val="none" w:sz="0" w:space="0" w:color="auto"/>
        <w:right w:val="none" w:sz="0" w:space="0" w:color="auto"/>
      </w:divBdr>
    </w:div>
    <w:div w:id="65617493">
      <w:bodyDiv w:val="1"/>
      <w:marLeft w:val="0"/>
      <w:marRight w:val="0"/>
      <w:marTop w:val="0"/>
      <w:marBottom w:val="0"/>
      <w:divBdr>
        <w:top w:val="none" w:sz="0" w:space="0" w:color="auto"/>
        <w:left w:val="none" w:sz="0" w:space="0" w:color="auto"/>
        <w:bottom w:val="none" w:sz="0" w:space="0" w:color="auto"/>
        <w:right w:val="none" w:sz="0" w:space="0" w:color="auto"/>
      </w:divBdr>
    </w:div>
    <w:div w:id="66729003">
      <w:bodyDiv w:val="1"/>
      <w:marLeft w:val="0"/>
      <w:marRight w:val="0"/>
      <w:marTop w:val="0"/>
      <w:marBottom w:val="0"/>
      <w:divBdr>
        <w:top w:val="none" w:sz="0" w:space="0" w:color="auto"/>
        <w:left w:val="none" w:sz="0" w:space="0" w:color="auto"/>
        <w:bottom w:val="none" w:sz="0" w:space="0" w:color="auto"/>
        <w:right w:val="none" w:sz="0" w:space="0" w:color="auto"/>
      </w:divBdr>
    </w:div>
    <w:div w:id="67655551">
      <w:bodyDiv w:val="1"/>
      <w:marLeft w:val="0"/>
      <w:marRight w:val="0"/>
      <w:marTop w:val="0"/>
      <w:marBottom w:val="0"/>
      <w:divBdr>
        <w:top w:val="none" w:sz="0" w:space="0" w:color="auto"/>
        <w:left w:val="none" w:sz="0" w:space="0" w:color="auto"/>
        <w:bottom w:val="none" w:sz="0" w:space="0" w:color="auto"/>
        <w:right w:val="none" w:sz="0" w:space="0" w:color="auto"/>
      </w:divBdr>
    </w:div>
    <w:div w:id="67847497">
      <w:bodyDiv w:val="1"/>
      <w:marLeft w:val="0"/>
      <w:marRight w:val="0"/>
      <w:marTop w:val="0"/>
      <w:marBottom w:val="0"/>
      <w:divBdr>
        <w:top w:val="none" w:sz="0" w:space="0" w:color="auto"/>
        <w:left w:val="none" w:sz="0" w:space="0" w:color="auto"/>
        <w:bottom w:val="none" w:sz="0" w:space="0" w:color="auto"/>
        <w:right w:val="none" w:sz="0" w:space="0" w:color="auto"/>
      </w:divBdr>
    </w:div>
    <w:div w:id="70853784">
      <w:bodyDiv w:val="1"/>
      <w:marLeft w:val="0"/>
      <w:marRight w:val="0"/>
      <w:marTop w:val="0"/>
      <w:marBottom w:val="0"/>
      <w:divBdr>
        <w:top w:val="none" w:sz="0" w:space="0" w:color="auto"/>
        <w:left w:val="none" w:sz="0" w:space="0" w:color="auto"/>
        <w:bottom w:val="none" w:sz="0" w:space="0" w:color="auto"/>
        <w:right w:val="none" w:sz="0" w:space="0" w:color="auto"/>
      </w:divBdr>
    </w:div>
    <w:div w:id="81535016">
      <w:bodyDiv w:val="1"/>
      <w:marLeft w:val="0"/>
      <w:marRight w:val="0"/>
      <w:marTop w:val="0"/>
      <w:marBottom w:val="0"/>
      <w:divBdr>
        <w:top w:val="none" w:sz="0" w:space="0" w:color="auto"/>
        <w:left w:val="none" w:sz="0" w:space="0" w:color="auto"/>
        <w:bottom w:val="none" w:sz="0" w:space="0" w:color="auto"/>
        <w:right w:val="none" w:sz="0" w:space="0" w:color="auto"/>
      </w:divBdr>
    </w:div>
    <w:div w:id="84307119">
      <w:bodyDiv w:val="1"/>
      <w:marLeft w:val="0"/>
      <w:marRight w:val="0"/>
      <w:marTop w:val="0"/>
      <w:marBottom w:val="0"/>
      <w:divBdr>
        <w:top w:val="none" w:sz="0" w:space="0" w:color="auto"/>
        <w:left w:val="none" w:sz="0" w:space="0" w:color="auto"/>
        <w:bottom w:val="none" w:sz="0" w:space="0" w:color="auto"/>
        <w:right w:val="none" w:sz="0" w:space="0" w:color="auto"/>
      </w:divBdr>
    </w:div>
    <w:div w:id="86005550">
      <w:bodyDiv w:val="1"/>
      <w:marLeft w:val="0"/>
      <w:marRight w:val="0"/>
      <w:marTop w:val="0"/>
      <w:marBottom w:val="0"/>
      <w:divBdr>
        <w:top w:val="none" w:sz="0" w:space="0" w:color="auto"/>
        <w:left w:val="none" w:sz="0" w:space="0" w:color="auto"/>
        <w:bottom w:val="none" w:sz="0" w:space="0" w:color="auto"/>
        <w:right w:val="none" w:sz="0" w:space="0" w:color="auto"/>
      </w:divBdr>
    </w:div>
    <w:div w:id="92555358">
      <w:bodyDiv w:val="1"/>
      <w:marLeft w:val="0"/>
      <w:marRight w:val="0"/>
      <w:marTop w:val="0"/>
      <w:marBottom w:val="0"/>
      <w:divBdr>
        <w:top w:val="none" w:sz="0" w:space="0" w:color="auto"/>
        <w:left w:val="none" w:sz="0" w:space="0" w:color="auto"/>
        <w:bottom w:val="none" w:sz="0" w:space="0" w:color="auto"/>
        <w:right w:val="none" w:sz="0" w:space="0" w:color="auto"/>
      </w:divBdr>
    </w:div>
    <w:div w:id="96411198">
      <w:bodyDiv w:val="1"/>
      <w:marLeft w:val="0"/>
      <w:marRight w:val="0"/>
      <w:marTop w:val="0"/>
      <w:marBottom w:val="0"/>
      <w:divBdr>
        <w:top w:val="none" w:sz="0" w:space="0" w:color="auto"/>
        <w:left w:val="none" w:sz="0" w:space="0" w:color="auto"/>
        <w:bottom w:val="none" w:sz="0" w:space="0" w:color="auto"/>
        <w:right w:val="none" w:sz="0" w:space="0" w:color="auto"/>
      </w:divBdr>
    </w:div>
    <w:div w:id="108010634">
      <w:bodyDiv w:val="1"/>
      <w:marLeft w:val="0"/>
      <w:marRight w:val="0"/>
      <w:marTop w:val="0"/>
      <w:marBottom w:val="0"/>
      <w:divBdr>
        <w:top w:val="none" w:sz="0" w:space="0" w:color="auto"/>
        <w:left w:val="none" w:sz="0" w:space="0" w:color="auto"/>
        <w:bottom w:val="none" w:sz="0" w:space="0" w:color="auto"/>
        <w:right w:val="none" w:sz="0" w:space="0" w:color="auto"/>
      </w:divBdr>
    </w:div>
    <w:div w:id="111704330">
      <w:bodyDiv w:val="1"/>
      <w:marLeft w:val="0"/>
      <w:marRight w:val="0"/>
      <w:marTop w:val="0"/>
      <w:marBottom w:val="0"/>
      <w:divBdr>
        <w:top w:val="none" w:sz="0" w:space="0" w:color="auto"/>
        <w:left w:val="none" w:sz="0" w:space="0" w:color="auto"/>
        <w:bottom w:val="none" w:sz="0" w:space="0" w:color="auto"/>
        <w:right w:val="none" w:sz="0" w:space="0" w:color="auto"/>
      </w:divBdr>
    </w:div>
    <w:div w:id="113447073">
      <w:bodyDiv w:val="1"/>
      <w:marLeft w:val="0"/>
      <w:marRight w:val="0"/>
      <w:marTop w:val="0"/>
      <w:marBottom w:val="0"/>
      <w:divBdr>
        <w:top w:val="none" w:sz="0" w:space="0" w:color="auto"/>
        <w:left w:val="none" w:sz="0" w:space="0" w:color="auto"/>
        <w:bottom w:val="none" w:sz="0" w:space="0" w:color="auto"/>
        <w:right w:val="none" w:sz="0" w:space="0" w:color="auto"/>
      </w:divBdr>
    </w:div>
    <w:div w:id="123892467">
      <w:bodyDiv w:val="1"/>
      <w:marLeft w:val="0"/>
      <w:marRight w:val="0"/>
      <w:marTop w:val="0"/>
      <w:marBottom w:val="0"/>
      <w:divBdr>
        <w:top w:val="none" w:sz="0" w:space="0" w:color="auto"/>
        <w:left w:val="none" w:sz="0" w:space="0" w:color="auto"/>
        <w:bottom w:val="none" w:sz="0" w:space="0" w:color="auto"/>
        <w:right w:val="none" w:sz="0" w:space="0" w:color="auto"/>
      </w:divBdr>
    </w:div>
    <w:div w:id="125514470">
      <w:bodyDiv w:val="1"/>
      <w:marLeft w:val="0"/>
      <w:marRight w:val="0"/>
      <w:marTop w:val="0"/>
      <w:marBottom w:val="0"/>
      <w:divBdr>
        <w:top w:val="none" w:sz="0" w:space="0" w:color="auto"/>
        <w:left w:val="none" w:sz="0" w:space="0" w:color="auto"/>
        <w:bottom w:val="none" w:sz="0" w:space="0" w:color="auto"/>
        <w:right w:val="none" w:sz="0" w:space="0" w:color="auto"/>
      </w:divBdr>
    </w:div>
    <w:div w:id="129055427">
      <w:bodyDiv w:val="1"/>
      <w:marLeft w:val="0"/>
      <w:marRight w:val="0"/>
      <w:marTop w:val="0"/>
      <w:marBottom w:val="0"/>
      <w:divBdr>
        <w:top w:val="none" w:sz="0" w:space="0" w:color="auto"/>
        <w:left w:val="none" w:sz="0" w:space="0" w:color="auto"/>
        <w:bottom w:val="none" w:sz="0" w:space="0" w:color="auto"/>
        <w:right w:val="none" w:sz="0" w:space="0" w:color="auto"/>
      </w:divBdr>
    </w:div>
    <w:div w:id="132257795">
      <w:bodyDiv w:val="1"/>
      <w:marLeft w:val="0"/>
      <w:marRight w:val="0"/>
      <w:marTop w:val="0"/>
      <w:marBottom w:val="0"/>
      <w:divBdr>
        <w:top w:val="none" w:sz="0" w:space="0" w:color="auto"/>
        <w:left w:val="none" w:sz="0" w:space="0" w:color="auto"/>
        <w:bottom w:val="none" w:sz="0" w:space="0" w:color="auto"/>
        <w:right w:val="none" w:sz="0" w:space="0" w:color="auto"/>
      </w:divBdr>
    </w:div>
    <w:div w:id="134874780">
      <w:bodyDiv w:val="1"/>
      <w:marLeft w:val="0"/>
      <w:marRight w:val="0"/>
      <w:marTop w:val="0"/>
      <w:marBottom w:val="0"/>
      <w:divBdr>
        <w:top w:val="none" w:sz="0" w:space="0" w:color="auto"/>
        <w:left w:val="none" w:sz="0" w:space="0" w:color="auto"/>
        <w:bottom w:val="none" w:sz="0" w:space="0" w:color="auto"/>
        <w:right w:val="none" w:sz="0" w:space="0" w:color="auto"/>
      </w:divBdr>
    </w:div>
    <w:div w:id="139664106">
      <w:bodyDiv w:val="1"/>
      <w:marLeft w:val="0"/>
      <w:marRight w:val="0"/>
      <w:marTop w:val="0"/>
      <w:marBottom w:val="0"/>
      <w:divBdr>
        <w:top w:val="none" w:sz="0" w:space="0" w:color="auto"/>
        <w:left w:val="none" w:sz="0" w:space="0" w:color="auto"/>
        <w:bottom w:val="none" w:sz="0" w:space="0" w:color="auto"/>
        <w:right w:val="none" w:sz="0" w:space="0" w:color="auto"/>
      </w:divBdr>
    </w:div>
    <w:div w:id="140734752">
      <w:bodyDiv w:val="1"/>
      <w:marLeft w:val="0"/>
      <w:marRight w:val="0"/>
      <w:marTop w:val="0"/>
      <w:marBottom w:val="0"/>
      <w:divBdr>
        <w:top w:val="none" w:sz="0" w:space="0" w:color="auto"/>
        <w:left w:val="none" w:sz="0" w:space="0" w:color="auto"/>
        <w:bottom w:val="none" w:sz="0" w:space="0" w:color="auto"/>
        <w:right w:val="none" w:sz="0" w:space="0" w:color="auto"/>
      </w:divBdr>
    </w:div>
    <w:div w:id="152186341">
      <w:bodyDiv w:val="1"/>
      <w:marLeft w:val="0"/>
      <w:marRight w:val="0"/>
      <w:marTop w:val="0"/>
      <w:marBottom w:val="0"/>
      <w:divBdr>
        <w:top w:val="none" w:sz="0" w:space="0" w:color="auto"/>
        <w:left w:val="none" w:sz="0" w:space="0" w:color="auto"/>
        <w:bottom w:val="none" w:sz="0" w:space="0" w:color="auto"/>
        <w:right w:val="none" w:sz="0" w:space="0" w:color="auto"/>
      </w:divBdr>
    </w:div>
    <w:div w:id="154884095">
      <w:bodyDiv w:val="1"/>
      <w:marLeft w:val="0"/>
      <w:marRight w:val="0"/>
      <w:marTop w:val="0"/>
      <w:marBottom w:val="0"/>
      <w:divBdr>
        <w:top w:val="none" w:sz="0" w:space="0" w:color="auto"/>
        <w:left w:val="none" w:sz="0" w:space="0" w:color="auto"/>
        <w:bottom w:val="none" w:sz="0" w:space="0" w:color="auto"/>
        <w:right w:val="none" w:sz="0" w:space="0" w:color="auto"/>
      </w:divBdr>
    </w:div>
    <w:div w:id="155538113">
      <w:bodyDiv w:val="1"/>
      <w:marLeft w:val="0"/>
      <w:marRight w:val="0"/>
      <w:marTop w:val="0"/>
      <w:marBottom w:val="0"/>
      <w:divBdr>
        <w:top w:val="none" w:sz="0" w:space="0" w:color="auto"/>
        <w:left w:val="none" w:sz="0" w:space="0" w:color="auto"/>
        <w:bottom w:val="none" w:sz="0" w:space="0" w:color="auto"/>
        <w:right w:val="none" w:sz="0" w:space="0" w:color="auto"/>
      </w:divBdr>
    </w:div>
    <w:div w:id="156000485">
      <w:bodyDiv w:val="1"/>
      <w:marLeft w:val="0"/>
      <w:marRight w:val="0"/>
      <w:marTop w:val="0"/>
      <w:marBottom w:val="0"/>
      <w:divBdr>
        <w:top w:val="none" w:sz="0" w:space="0" w:color="auto"/>
        <w:left w:val="none" w:sz="0" w:space="0" w:color="auto"/>
        <w:bottom w:val="none" w:sz="0" w:space="0" w:color="auto"/>
        <w:right w:val="none" w:sz="0" w:space="0" w:color="auto"/>
      </w:divBdr>
    </w:div>
    <w:div w:id="159005970">
      <w:bodyDiv w:val="1"/>
      <w:marLeft w:val="0"/>
      <w:marRight w:val="0"/>
      <w:marTop w:val="0"/>
      <w:marBottom w:val="0"/>
      <w:divBdr>
        <w:top w:val="none" w:sz="0" w:space="0" w:color="auto"/>
        <w:left w:val="none" w:sz="0" w:space="0" w:color="auto"/>
        <w:bottom w:val="none" w:sz="0" w:space="0" w:color="auto"/>
        <w:right w:val="none" w:sz="0" w:space="0" w:color="auto"/>
      </w:divBdr>
    </w:div>
    <w:div w:id="161552210">
      <w:bodyDiv w:val="1"/>
      <w:marLeft w:val="0"/>
      <w:marRight w:val="0"/>
      <w:marTop w:val="0"/>
      <w:marBottom w:val="0"/>
      <w:divBdr>
        <w:top w:val="none" w:sz="0" w:space="0" w:color="auto"/>
        <w:left w:val="none" w:sz="0" w:space="0" w:color="auto"/>
        <w:bottom w:val="none" w:sz="0" w:space="0" w:color="auto"/>
        <w:right w:val="none" w:sz="0" w:space="0" w:color="auto"/>
      </w:divBdr>
    </w:div>
    <w:div w:id="186719068">
      <w:bodyDiv w:val="1"/>
      <w:marLeft w:val="0"/>
      <w:marRight w:val="0"/>
      <w:marTop w:val="0"/>
      <w:marBottom w:val="0"/>
      <w:divBdr>
        <w:top w:val="none" w:sz="0" w:space="0" w:color="auto"/>
        <w:left w:val="none" w:sz="0" w:space="0" w:color="auto"/>
        <w:bottom w:val="none" w:sz="0" w:space="0" w:color="auto"/>
        <w:right w:val="none" w:sz="0" w:space="0" w:color="auto"/>
      </w:divBdr>
    </w:div>
    <w:div w:id="194268667">
      <w:bodyDiv w:val="1"/>
      <w:marLeft w:val="0"/>
      <w:marRight w:val="0"/>
      <w:marTop w:val="0"/>
      <w:marBottom w:val="0"/>
      <w:divBdr>
        <w:top w:val="none" w:sz="0" w:space="0" w:color="auto"/>
        <w:left w:val="none" w:sz="0" w:space="0" w:color="auto"/>
        <w:bottom w:val="none" w:sz="0" w:space="0" w:color="auto"/>
        <w:right w:val="none" w:sz="0" w:space="0" w:color="auto"/>
      </w:divBdr>
    </w:div>
    <w:div w:id="196235243">
      <w:bodyDiv w:val="1"/>
      <w:marLeft w:val="0"/>
      <w:marRight w:val="0"/>
      <w:marTop w:val="0"/>
      <w:marBottom w:val="0"/>
      <w:divBdr>
        <w:top w:val="none" w:sz="0" w:space="0" w:color="auto"/>
        <w:left w:val="none" w:sz="0" w:space="0" w:color="auto"/>
        <w:bottom w:val="none" w:sz="0" w:space="0" w:color="auto"/>
        <w:right w:val="none" w:sz="0" w:space="0" w:color="auto"/>
      </w:divBdr>
    </w:div>
    <w:div w:id="200359042">
      <w:bodyDiv w:val="1"/>
      <w:marLeft w:val="0"/>
      <w:marRight w:val="0"/>
      <w:marTop w:val="0"/>
      <w:marBottom w:val="0"/>
      <w:divBdr>
        <w:top w:val="none" w:sz="0" w:space="0" w:color="auto"/>
        <w:left w:val="none" w:sz="0" w:space="0" w:color="auto"/>
        <w:bottom w:val="none" w:sz="0" w:space="0" w:color="auto"/>
        <w:right w:val="none" w:sz="0" w:space="0" w:color="auto"/>
      </w:divBdr>
    </w:div>
    <w:div w:id="216742056">
      <w:bodyDiv w:val="1"/>
      <w:marLeft w:val="0"/>
      <w:marRight w:val="0"/>
      <w:marTop w:val="0"/>
      <w:marBottom w:val="0"/>
      <w:divBdr>
        <w:top w:val="none" w:sz="0" w:space="0" w:color="auto"/>
        <w:left w:val="none" w:sz="0" w:space="0" w:color="auto"/>
        <w:bottom w:val="none" w:sz="0" w:space="0" w:color="auto"/>
        <w:right w:val="none" w:sz="0" w:space="0" w:color="auto"/>
      </w:divBdr>
    </w:div>
    <w:div w:id="220604234">
      <w:bodyDiv w:val="1"/>
      <w:marLeft w:val="0"/>
      <w:marRight w:val="0"/>
      <w:marTop w:val="0"/>
      <w:marBottom w:val="0"/>
      <w:divBdr>
        <w:top w:val="none" w:sz="0" w:space="0" w:color="auto"/>
        <w:left w:val="none" w:sz="0" w:space="0" w:color="auto"/>
        <w:bottom w:val="none" w:sz="0" w:space="0" w:color="auto"/>
        <w:right w:val="none" w:sz="0" w:space="0" w:color="auto"/>
      </w:divBdr>
    </w:div>
    <w:div w:id="228156003">
      <w:bodyDiv w:val="1"/>
      <w:marLeft w:val="0"/>
      <w:marRight w:val="0"/>
      <w:marTop w:val="0"/>
      <w:marBottom w:val="0"/>
      <w:divBdr>
        <w:top w:val="none" w:sz="0" w:space="0" w:color="auto"/>
        <w:left w:val="none" w:sz="0" w:space="0" w:color="auto"/>
        <w:bottom w:val="none" w:sz="0" w:space="0" w:color="auto"/>
        <w:right w:val="none" w:sz="0" w:space="0" w:color="auto"/>
      </w:divBdr>
    </w:div>
    <w:div w:id="228156648">
      <w:bodyDiv w:val="1"/>
      <w:marLeft w:val="0"/>
      <w:marRight w:val="0"/>
      <w:marTop w:val="0"/>
      <w:marBottom w:val="0"/>
      <w:divBdr>
        <w:top w:val="none" w:sz="0" w:space="0" w:color="auto"/>
        <w:left w:val="none" w:sz="0" w:space="0" w:color="auto"/>
        <w:bottom w:val="none" w:sz="0" w:space="0" w:color="auto"/>
        <w:right w:val="none" w:sz="0" w:space="0" w:color="auto"/>
      </w:divBdr>
    </w:div>
    <w:div w:id="235670553">
      <w:bodyDiv w:val="1"/>
      <w:marLeft w:val="0"/>
      <w:marRight w:val="0"/>
      <w:marTop w:val="0"/>
      <w:marBottom w:val="0"/>
      <w:divBdr>
        <w:top w:val="none" w:sz="0" w:space="0" w:color="auto"/>
        <w:left w:val="none" w:sz="0" w:space="0" w:color="auto"/>
        <w:bottom w:val="none" w:sz="0" w:space="0" w:color="auto"/>
        <w:right w:val="none" w:sz="0" w:space="0" w:color="auto"/>
      </w:divBdr>
    </w:div>
    <w:div w:id="247227891">
      <w:bodyDiv w:val="1"/>
      <w:marLeft w:val="0"/>
      <w:marRight w:val="0"/>
      <w:marTop w:val="0"/>
      <w:marBottom w:val="0"/>
      <w:divBdr>
        <w:top w:val="none" w:sz="0" w:space="0" w:color="auto"/>
        <w:left w:val="none" w:sz="0" w:space="0" w:color="auto"/>
        <w:bottom w:val="none" w:sz="0" w:space="0" w:color="auto"/>
        <w:right w:val="none" w:sz="0" w:space="0" w:color="auto"/>
      </w:divBdr>
    </w:div>
    <w:div w:id="250435310">
      <w:bodyDiv w:val="1"/>
      <w:marLeft w:val="0"/>
      <w:marRight w:val="0"/>
      <w:marTop w:val="0"/>
      <w:marBottom w:val="0"/>
      <w:divBdr>
        <w:top w:val="none" w:sz="0" w:space="0" w:color="auto"/>
        <w:left w:val="none" w:sz="0" w:space="0" w:color="auto"/>
        <w:bottom w:val="none" w:sz="0" w:space="0" w:color="auto"/>
        <w:right w:val="none" w:sz="0" w:space="0" w:color="auto"/>
      </w:divBdr>
    </w:div>
    <w:div w:id="253171656">
      <w:bodyDiv w:val="1"/>
      <w:marLeft w:val="0"/>
      <w:marRight w:val="0"/>
      <w:marTop w:val="0"/>
      <w:marBottom w:val="0"/>
      <w:divBdr>
        <w:top w:val="none" w:sz="0" w:space="0" w:color="auto"/>
        <w:left w:val="none" w:sz="0" w:space="0" w:color="auto"/>
        <w:bottom w:val="none" w:sz="0" w:space="0" w:color="auto"/>
        <w:right w:val="none" w:sz="0" w:space="0" w:color="auto"/>
      </w:divBdr>
    </w:div>
    <w:div w:id="257643879">
      <w:bodyDiv w:val="1"/>
      <w:marLeft w:val="0"/>
      <w:marRight w:val="0"/>
      <w:marTop w:val="0"/>
      <w:marBottom w:val="0"/>
      <w:divBdr>
        <w:top w:val="none" w:sz="0" w:space="0" w:color="auto"/>
        <w:left w:val="none" w:sz="0" w:space="0" w:color="auto"/>
        <w:bottom w:val="none" w:sz="0" w:space="0" w:color="auto"/>
        <w:right w:val="none" w:sz="0" w:space="0" w:color="auto"/>
      </w:divBdr>
    </w:div>
    <w:div w:id="268778908">
      <w:bodyDiv w:val="1"/>
      <w:marLeft w:val="0"/>
      <w:marRight w:val="0"/>
      <w:marTop w:val="0"/>
      <w:marBottom w:val="0"/>
      <w:divBdr>
        <w:top w:val="none" w:sz="0" w:space="0" w:color="auto"/>
        <w:left w:val="none" w:sz="0" w:space="0" w:color="auto"/>
        <w:bottom w:val="none" w:sz="0" w:space="0" w:color="auto"/>
        <w:right w:val="none" w:sz="0" w:space="0" w:color="auto"/>
      </w:divBdr>
    </w:div>
    <w:div w:id="270860708">
      <w:bodyDiv w:val="1"/>
      <w:marLeft w:val="0"/>
      <w:marRight w:val="0"/>
      <w:marTop w:val="0"/>
      <w:marBottom w:val="0"/>
      <w:divBdr>
        <w:top w:val="none" w:sz="0" w:space="0" w:color="auto"/>
        <w:left w:val="none" w:sz="0" w:space="0" w:color="auto"/>
        <w:bottom w:val="none" w:sz="0" w:space="0" w:color="auto"/>
        <w:right w:val="none" w:sz="0" w:space="0" w:color="auto"/>
      </w:divBdr>
    </w:div>
    <w:div w:id="271129945">
      <w:bodyDiv w:val="1"/>
      <w:marLeft w:val="0"/>
      <w:marRight w:val="0"/>
      <w:marTop w:val="0"/>
      <w:marBottom w:val="0"/>
      <w:divBdr>
        <w:top w:val="none" w:sz="0" w:space="0" w:color="auto"/>
        <w:left w:val="none" w:sz="0" w:space="0" w:color="auto"/>
        <w:bottom w:val="none" w:sz="0" w:space="0" w:color="auto"/>
        <w:right w:val="none" w:sz="0" w:space="0" w:color="auto"/>
      </w:divBdr>
    </w:div>
    <w:div w:id="275335369">
      <w:bodyDiv w:val="1"/>
      <w:marLeft w:val="0"/>
      <w:marRight w:val="0"/>
      <w:marTop w:val="0"/>
      <w:marBottom w:val="0"/>
      <w:divBdr>
        <w:top w:val="none" w:sz="0" w:space="0" w:color="auto"/>
        <w:left w:val="none" w:sz="0" w:space="0" w:color="auto"/>
        <w:bottom w:val="none" w:sz="0" w:space="0" w:color="auto"/>
        <w:right w:val="none" w:sz="0" w:space="0" w:color="auto"/>
      </w:divBdr>
    </w:div>
    <w:div w:id="282922614">
      <w:bodyDiv w:val="1"/>
      <w:marLeft w:val="0"/>
      <w:marRight w:val="0"/>
      <w:marTop w:val="0"/>
      <w:marBottom w:val="0"/>
      <w:divBdr>
        <w:top w:val="none" w:sz="0" w:space="0" w:color="auto"/>
        <w:left w:val="none" w:sz="0" w:space="0" w:color="auto"/>
        <w:bottom w:val="none" w:sz="0" w:space="0" w:color="auto"/>
        <w:right w:val="none" w:sz="0" w:space="0" w:color="auto"/>
      </w:divBdr>
    </w:div>
    <w:div w:id="283778028">
      <w:bodyDiv w:val="1"/>
      <w:marLeft w:val="0"/>
      <w:marRight w:val="0"/>
      <w:marTop w:val="0"/>
      <w:marBottom w:val="0"/>
      <w:divBdr>
        <w:top w:val="none" w:sz="0" w:space="0" w:color="auto"/>
        <w:left w:val="none" w:sz="0" w:space="0" w:color="auto"/>
        <w:bottom w:val="none" w:sz="0" w:space="0" w:color="auto"/>
        <w:right w:val="none" w:sz="0" w:space="0" w:color="auto"/>
      </w:divBdr>
    </w:div>
    <w:div w:id="285477455">
      <w:bodyDiv w:val="1"/>
      <w:marLeft w:val="0"/>
      <w:marRight w:val="0"/>
      <w:marTop w:val="0"/>
      <w:marBottom w:val="0"/>
      <w:divBdr>
        <w:top w:val="none" w:sz="0" w:space="0" w:color="auto"/>
        <w:left w:val="none" w:sz="0" w:space="0" w:color="auto"/>
        <w:bottom w:val="none" w:sz="0" w:space="0" w:color="auto"/>
        <w:right w:val="none" w:sz="0" w:space="0" w:color="auto"/>
      </w:divBdr>
    </w:div>
    <w:div w:id="288366505">
      <w:bodyDiv w:val="1"/>
      <w:marLeft w:val="0"/>
      <w:marRight w:val="0"/>
      <w:marTop w:val="0"/>
      <w:marBottom w:val="0"/>
      <w:divBdr>
        <w:top w:val="none" w:sz="0" w:space="0" w:color="auto"/>
        <w:left w:val="none" w:sz="0" w:space="0" w:color="auto"/>
        <w:bottom w:val="none" w:sz="0" w:space="0" w:color="auto"/>
        <w:right w:val="none" w:sz="0" w:space="0" w:color="auto"/>
      </w:divBdr>
    </w:div>
    <w:div w:id="301665736">
      <w:bodyDiv w:val="1"/>
      <w:marLeft w:val="0"/>
      <w:marRight w:val="0"/>
      <w:marTop w:val="0"/>
      <w:marBottom w:val="0"/>
      <w:divBdr>
        <w:top w:val="none" w:sz="0" w:space="0" w:color="auto"/>
        <w:left w:val="none" w:sz="0" w:space="0" w:color="auto"/>
        <w:bottom w:val="none" w:sz="0" w:space="0" w:color="auto"/>
        <w:right w:val="none" w:sz="0" w:space="0" w:color="auto"/>
      </w:divBdr>
    </w:div>
    <w:div w:id="315188845">
      <w:bodyDiv w:val="1"/>
      <w:marLeft w:val="0"/>
      <w:marRight w:val="0"/>
      <w:marTop w:val="0"/>
      <w:marBottom w:val="0"/>
      <w:divBdr>
        <w:top w:val="none" w:sz="0" w:space="0" w:color="auto"/>
        <w:left w:val="none" w:sz="0" w:space="0" w:color="auto"/>
        <w:bottom w:val="none" w:sz="0" w:space="0" w:color="auto"/>
        <w:right w:val="none" w:sz="0" w:space="0" w:color="auto"/>
      </w:divBdr>
    </w:div>
    <w:div w:id="317808390">
      <w:bodyDiv w:val="1"/>
      <w:marLeft w:val="0"/>
      <w:marRight w:val="0"/>
      <w:marTop w:val="0"/>
      <w:marBottom w:val="0"/>
      <w:divBdr>
        <w:top w:val="none" w:sz="0" w:space="0" w:color="auto"/>
        <w:left w:val="none" w:sz="0" w:space="0" w:color="auto"/>
        <w:bottom w:val="none" w:sz="0" w:space="0" w:color="auto"/>
        <w:right w:val="none" w:sz="0" w:space="0" w:color="auto"/>
      </w:divBdr>
    </w:div>
    <w:div w:id="325936463">
      <w:bodyDiv w:val="1"/>
      <w:marLeft w:val="0"/>
      <w:marRight w:val="0"/>
      <w:marTop w:val="0"/>
      <w:marBottom w:val="0"/>
      <w:divBdr>
        <w:top w:val="none" w:sz="0" w:space="0" w:color="auto"/>
        <w:left w:val="none" w:sz="0" w:space="0" w:color="auto"/>
        <w:bottom w:val="none" w:sz="0" w:space="0" w:color="auto"/>
        <w:right w:val="none" w:sz="0" w:space="0" w:color="auto"/>
      </w:divBdr>
    </w:div>
    <w:div w:id="326248489">
      <w:bodyDiv w:val="1"/>
      <w:marLeft w:val="0"/>
      <w:marRight w:val="0"/>
      <w:marTop w:val="0"/>
      <w:marBottom w:val="0"/>
      <w:divBdr>
        <w:top w:val="none" w:sz="0" w:space="0" w:color="auto"/>
        <w:left w:val="none" w:sz="0" w:space="0" w:color="auto"/>
        <w:bottom w:val="none" w:sz="0" w:space="0" w:color="auto"/>
        <w:right w:val="none" w:sz="0" w:space="0" w:color="auto"/>
      </w:divBdr>
    </w:div>
    <w:div w:id="330643580">
      <w:bodyDiv w:val="1"/>
      <w:marLeft w:val="0"/>
      <w:marRight w:val="0"/>
      <w:marTop w:val="0"/>
      <w:marBottom w:val="0"/>
      <w:divBdr>
        <w:top w:val="none" w:sz="0" w:space="0" w:color="auto"/>
        <w:left w:val="none" w:sz="0" w:space="0" w:color="auto"/>
        <w:bottom w:val="none" w:sz="0" w:space="0" w:color="auto"/>
        <w:right w:val="none" w:sz="0" w:space="0" w:color="auto"/>
      </w:divBdr>
    </w:div>
    <w:div w:id="333845830">
      <w:bodyDiv w:val="1"/>
      <w:marLeft w:val="0"/>
      <w:marRight w:val="0"/>
      <w:marTop w:val="0"/>
      <w:marBottom w:val="0"/>
      <w:divBdr>
        <w:top w:val="none" w:sz="0" w:space="0" w:color="auto"/>
        <w:left w:val="none" w:sz="0" w:space="0" w:color="auto"/>
        <w:bottom w:val="none" w:sz="0" w:space="0" w:color="auto"/>
        <w:right w:val="none" w:sz="0" w:space="0" w:color="auto"/>
      </w:divBdr>
    </w:div>
    <w:div w:id="335113459">
      <w:bodyDiv w:val="1"/>
      <w:marLeft w:val="0"/>
      <w:marRight w:val="0"/>
      <w:marTop w:val="0"/>
      <w:marBottom w:val="0"/>
      <w:divBdr>
        <w:top w:val="none" w:sz="0" w:space="0" w:color="auto"/>
        <w:left w:val="none" w:sz="0" w:space="0" w:color="auto"/>
        <w:bottom w:val="none" w:sz="0" w:space="0" w:color="auto"/>
        <w:right w:val="none" w:sz="0" w:space="0" w:color="auto"/>
      </w:divBdr>
    </w:div>
    <w:div w:id="337511110">
      <w:bodyDiv w:val="1"/>
      <w:marLeft w:val="0"/>
      <w:marRight w:val="0"/>
      <w:marTop w:val="0"/>
      <w:marBottom w:val="0"/>
      <w:divBdr>
        <w:top w:val="none" w:sz="0" w:space="0" w:color="auto"/>
        <w:left w:val="none" w:sz="0" w:space="0" w:color="auto"/>
        <w:bottom w:val="none" w:sz="0" w:space="0" w:color="auto"/>
        <w:right w:val="none" w:sz="0" w:space="0" w:color="auto"/>
      </w:divBdr>
    </w:div>
    <w:div w:id="340594097">
      <w:bodyDiv w:val="1"/>
      <w:marLeft w:val="0"/>
      <w:marRight w:val="0"/>
      <w:marTop w:val="0"/>
      <w:marBottom w:val="0"/>
      <w:divBdr>
        <w:top w:val="none" w:sz="0" w:space="0" w:color="auto"/>
        <w:left w:val="none" w:sz="0" w:space="0" w:color="auto"/>
        <w:bottom w:val="none" w:sz="0" w:space="0" w:color="auto"/>
        <w:right w:val="none" w:sz="0" w:space="0" w:color="auto"/>
      </w:divBdr>
    </w:div>
    <w:div w:id="348144687">
      <w:bodyDiv w:val="1"/>
      <w:marLeft w:val="0"/>
      <w:marRight w:val="0"/>
      <w:marTop w:val="0"/>
      <w:marBottom w:val="0"/>
      <w:divBdr>
        <w:top w:val="none" w:sz="0" w:space="0" w:color="auto"/>
        <w:left w:val="none" w:sz="0" w:space="0" w:color="auto"/>
        <w:bottom w:val="none" w:sz="0" w:space="0" w:color="auto"/>
        <w:right w:val="none" w:sz="0" w:space="0" w:color="auto"/>
      </w:divBdr>
    </w:div>
    <w:div w:id="349720996">
      <w:bodyDiv w:val="1"/>
      <w:marLeft w:val="0"/>
      <w:marRight w:val="0"/>
      <w:marTop w:val="0"/>
      <w:marBottom w:val="0"/>
      <w:divBdr>
        <w:top w:val="none" w:sz="0" w:space="0" w:color="auto"/>
        <w:left w:val="none" w:sz="0" w:space="0" w:color="auto"/>
        <w:bottom w:val="none" w:sz="0" w:space="0" w:color="auto"/>
        <w:right w:val="none" w:sz="0" w:space="0" w:color="auto"/>
      </w:divBdr>
    </w:div>
    <w:div w:id="357781291">
      <w:bodyDiv w:val="1"/>
      <w:marLeft w:val="0"/>
      <w:marRight w:val="0"/>
      <w:marTop w:val="0"/>
      <w:marBottom w:val="0"/>
      <w:divBdr>
        <w:top w:val="none" w:sz="0" w:space="0" w:color="auto"/>
        <w:left w:val="none" w:sz="0" w:space="0" w:color="auto"/>
        <w:bottom w:val="none" w:sz="0" w:space="0" w:color="auto"/>
        <w:right w:val="none" w:sz="0" w:space="0" w:color="auto"/>
      </w:divBdr>
    </w:div>
    <w:div w:id="357973152">
      <w:bodyDiv w:val="1"/>
      <w:marLeft w:val="0"/>
      <w:marRight w:val="0"/>
      <w:marTop w:val="0"/>
      <w:marBottom w:val="0"/>
      <w:divBdr>
        <w:top w:val="none" w:sz="0" w:space="0" w:color="auto"/>
        <w:left w:val="none" w:sz="0" w:space="0" w:color="auto"/>
        <w:bottom w:val="none" w:sz="0" w:space="0" w:color="auto"/>
        <w:right w:val="none" w:sz="0" w:space="0" w:color="auto"/>
      </w:divBdr>
    </w:div>
    <w:div w:id="361978834">
      <w:bodyDiv w:val="1"/>
      <w:marLeft w:val="0"/>
      <w:marRight w:val="0"/>
      <w:marTop w:val="0"/>
      <w:marBottom w:val="0"/>
      <w:divBdr>
        <w:top w:val="none" w:sz="0" w:space="0" w:color="auto"/>
        <w:left w:val="none" w:sz="0" w:space="0" w:color="auto"/>
        <w:bottom w:val="none" w:sz="0" w:space="0" w:color="auto"/>
        <w:right w:val="none" w:sz="0" w:space="0" w:color="auto"/>
      </w:divBdr>
    </w:div>
    <w:div w:id="362705039">
      <w:bodyDiv w:val="1"/>
      <w:marLeft w:val="0"/>
      <w:marRight w:val="0"/>
      <w:marTop w:val="0"/>
      <w:marBottom w:val="0"/>
      <w:divBdr>
        <w:top w:val="none" w:sz="0" w:space="0" w:color="auto"/>
        <w:left w:val="none" w:sz="0" w:space="0" w:color="auto"/>
        <w:bottom w:val="none" w:sz="0" w:space="0" w:color="auto"/>
        <w:right w:val="none" w:sz="0" w:space="0" w:color="auto"/>
      </w:divBdr>
    </w:div>
    <w:div w:id="362898502">
      <w:bodyDiv w:val="1"/>
      <w:marLeft w:val="0"/>
      <w:marRight w:val="0"/>
      <w:marTop w:val="0"/>
      <w:marBottom w:val="0"/>
      <w:divBdr>
        <w:top w:val="none" w:sz="0" w:space="0" w:color="auto"/>
        <w:left w:val="none" w:sz="0" w:space="0" w:color="auto"/>
        <w:bottom w:val="none" w:sz="0" w:space="0" w:color="auto"/>
        <w:right w:val="none" w:sz="0" w:space="0" w:color="auto"/>
      </w:divBdr>
    </w:div>
    <w:div w:id="367727060">
      <w:bodyDiv w:val="1"/>
      <w:marLeft w:val="0"/>
      <w:marRight w:val="0"/>
      <w:marTop w:val="0"/>
      <w:marBottom w:val="0"/>
      <w:divBdr>
        <w:top w:val="none" w:sz="0" w:space="0" w:color="auto"/>
        <w:left w:val="none" w:sz="0" w:space="0" w:color="auto"/>
        <w:bottom w:val="none" w:sz="0" w:space="0" w:color="auto"/>
        <w:right w:val="none" w:sz="0" w:space="0" w:color="auto"/>
      </w:divBdr>
    </w:div>
    <w:div w:id="371421581">
      <w:bodyDiv w:val="1"/>
      <w:marLeft w:val="0"/>
      <w:marRight w:val="0"/>
      <w:marTop w:val="0"/>
      <w:marBottom w:val="0"/>
      <w:divBdr>
        <w:top w:val="none" w:sz="0" w:space="0" w:color="auto"/>
        <w:left w:val="none" w:sz="0" w:space="0" w:color="auto"/>
        <w:bottom w:val="none" w:sz="0" w:space="0" w:color="auto"/>
        <w:right w:val="none" w:sz="0" w:space="0" w:color="auto"/>
      </w:divBdr>
    </w:div>
    <w:div w:id="376664874">
      <w:bodyDiv w:val="1"/>
      <w:marLeft w:val="0"/>
      <w:marRight w:val="0"/>
      <w:marTop w:val="0"/>
      <w:marBottom w:val="0"/>
      <w:divBdr>
        <w:top w:val="none" w:sz="0" w:space="0" w:color="auto"/>
        <w:left w:val="none" w:sz="0" w:space="0" w:color="auto"/>
        <w:bottom w:val="none" w:sz="0" w:space="0" w:color="auto"/>
        <w:right w:val="none" w:sz="0" w:space="0" w:color="auto"/>
      </w:divBdr>
    </w:div>
    <w:div w:id="381561124">
      <w:bodyDiv w:val="1"/>
      <w:marLeft w:val="0"/>
      <w:marRight w:val="0"/>
      <w:marTop w:val="0"/>
      <w:marBottom w:val="0"/>
      <w:divBdr>
        <w:top w:val="none" w:sz="0" w:space="0" w:color="auto"/>
        <w:left w:val="none" w:sz="0" w:space="0" w:color="auto"/>
        <w:bottom w:val="none" w:sz="0" w:space="0" w:color="auto"/>
        <w:right w:val="none" w:sz="0" w:space="0" w:color="auto"/>
      </w:divBdr>
    </w:div>
    <w:div w:id="384329497">
      <w:bodyDiv w:val="1"/>
      <w:marLeft w:val="0"/>
      <w:marRight w:val="0"/>
      <w:marTop w:val="0"/>
      <w:marBottom w:val="0"/>
      <w:divBdr>
        <w:top w:val="none" w:sz="0" w:space="0" w:color="auto"/>
        <w:left w:val="none" w:sz="0" w:space="0" w:color="auto"/>
        <w:bottom w:val="none" w:sz="0" w:space="0" w:color="auto"/>
        <w:right w:val="none" w:sz="0" w:space="0" w:color="auto"/>
      </w:divBdr>
    </w:div>
    <w:div w:id="389964951">
      <w:bodyDiv w:val="1"/>
      <w:marLeft w:val="0"/>
      <w:marRight w:val="0"/>
      <w:marTop w:val="0"/>
      <w:marBottom w:val="0"/>
      <w:divBdr>
        <w:top w:val="none" w:sz="0" w:space="0" w:color="auto"/>
        <w:left w:val="none" w:sz="0" w:space="0" w:color="auto"/>
        <w:bottom w:val="none" w:sz="0" w:space="0" w:color="auto"/>
        <w:right w:val="none" w:sz="0" w:space="0" w:color="auto"/>
      </w:divBdr>
    </w:div>
    <w:div w:id="392168144">
      <w:bodyDiv w:val="1"/>
      <w:marLeft w:val="0"/>
      <w:marRight w:val="0"/>
      <w:marTop w:val="0"/>
      <w:marBottom w:val="0"/>
      <w:divBdr>
        <w:top w:val="none" w:sz="0" w:space="0" w:color="auto"/>
        <w:left w:val="none" w:sz="0" w:space="0" w:color="auto"/>
        <w:bottom w:val="none" w:sz="0" w:space="0" w:color="auto"/>
        <w:right w:val="none" w:sz="0" w:space="0" w:color="auto"/>
      </w:divBdr>
    </w:div>
    <w:div w:id="394353561">
      <w:bodyDiv w:val="1"/>
      <w:marLeft w:val="0"/>
      <w:marRight w:val="0"/>
      <w:marTop w:val="0"/>
      <w:marBottom w:val="0"/>
      <w:divBdr>
        <w:top w:val="none" w:sz="0" w:space="0" w:color="auto"/>
        <w:left w:val="none" w:sz="0" w:space="0" w:color="auto"/>
        <w:bottom w:val="none" w:sz="0" w:space="0" w:color="auto"/>
        <w:right w:val="none" w:sz="0" w:space="0" w:color="auto"/>
      </w:divBdr>
    </w:div>
    <w:div w:id="399789082">
      <w:bodyDiv w:val="1"/>
      <w:marLeft w:val="0"/>
      <w:marRight w:val="0"/>
      <w:marTop w:val="0"/>
      <w:marBottom w:val="0"/>
      <w:divBdr>
        <w:top w:val="none" w:sz="0" w:space="0" w:color="auto"/>
        <w:left w:val="none" w:sz="0" w:space="0" w:color="auto"/>
        <w:bottom w:val="none" w:sz="0" w:space="0" w:color="auto"/>
        <w:right w:val="none" w:sz="0" w:space="0" w:color="auto"/>
      </w:divBdr>
    </w:div>
    <w:div w:id="400100304">
      <w:bodyDiv w:val="1"/>
      <w:marLeft w:val="0"/>
      <w:marRight w:val="0"/>
      <w:marTop w:val="0"/>
      <w:marBottom w:val="0"/>
      <w:divBdr>
        <w:top w:val="none" w:sz="0" w:space="0" w:color="auto"/>
        <w:left w:val="none" w:sz="0" w:space="0" w:color="auto"/>
        <w:bottom w:val="none" w:sz="0" w:space="0" w:color="auto"/>
        <w:right w:val="none" w:sz="0" w:space="0" w:color="auto"/>
      </w:divBdr>
    </w:div>
    <w:div w:id="404650135">
      <w:bodyDiv w:val="1"/>
      <w:marLeft w:val="0"/>
      <w:marRight w:val="0"/>
      <w:marTop w:val="0"/>
      <w:marBottom w:val="0"/>
      <w:divBdr>
        <w:top w:val="none" w:sz="0" w:space="0" w:color="auto"/>
        <w:left w:val="none" w:sz="0" w:space="0" w:color="auto"/>
        <w:bottom w:val="none" w:sz="0" w:space="0" w:color="auto"/>
        <w:right w:val="none" w:sz="0" w:space="0" w:color="auto"/>
      </w:divBdr>
    </w:div>
    <w:div w:id="405416185">
      <w:bodyDiv w:val="1"/>
      <w:marLeft w:val="0"/>
      <w:marRight w:val="0"/>
      <w:marTop w:val="0"/>
      <w:marBottom w:val="0"/>
      <w:divBdr>
        <w:top w:val="none" w:sz="0" w:space="0" w:color="auto"/>
        <w:left w:val="none" w:sz="0" w:space="0" w:color="auto"/>
        <w:bottom w:val="none" w:sz="0" w:space="0" w:color="auto"/>
        <w:right w:val="none" w:sz="0" w:space="0" w:color="auto"/>
      </w:divBdr>
    </w:div>
    <w:div w:id="411001926">
      <w:bodyDiv w:val="1"/>
      <w:marLeft w:val="0"/>
      <w:marRight w:val="0"/>
      <w:marTop w:val="0"/>
      <w:marBottom w:val="0"/>
      <w:divBdr>
        <w:top w:val="none" w:sz="0" w:space="0" w:color="auto"/>
        <w:left w:val="none" w:sz="0" w:space="0" w:color="auto"/>
        <w:bottom w:val="none" w:sz="0" w:space="0" w:color="auto"/>
        <w:right w:val="none" w:sz="0" w:space="0" w:color="auto"/>
      </w:divBdr>
    </w:div>
    <w:div w:id="413204815">
      <w:bodyDiv w:val="1"/>
      <w:marLeft w:val="0"/>
      <w:marRight w:val="0"/>
      <w:marTop w:val="0"/>
      <w:marBottom w:val="0"/>
      <w:divBdr>
        <w:top w:val="none" w:sz="0" w:space="0" w:color="auto"/>
        <w:left w:val="none" w:sz="0" w:space="0" w:color="auto"/>
        <w:bottom w:val="none" w:sz="0" w:space="0" w:color="auto"/>
        <w:right w:val="none" w:sz="0" w:space="0" w:color="auto"/>
      </w:divBdr>
    </w:div>
    <w:div w:id="414740083">
      <w:bodyDiv w:val="1"/>
      <w:marLeft w:val="0"/>
      <w:marRight w:val="0"/>
      <w:marTop w:val="0"/>
      <w:marBottom w:val="0"/>
      <w:divBdr>
        <w:top w:val="none" w:sz="0" w:space="0" w:color="auto"/>
        <w:left w:val="none" w:sz="0" w:space="0" w:color="auto"/>
        <w:bottom w:val="none" w:sz="0" w:space="0" w:color="auto"/>
        <w:right w:val="none" w:sz="0" w:space="0" w:color="auto"/>
      </w:divBdr>
    </w:div>
    <w:div w:id="416371209">
      <w:bodyDiv w:val="1"/>
      <w:marLeft w:val="0"/>
      <w:marRight w:val="0"/>
      <w:marTop w:val="0"/>
      <w:marBottom w:val="0"/>
      <w:divBdr>
        <w:top w:val="none" w:sz="0" w:space="0" w:color="auto"/>
        <w:left w:val="none" w:sz="0" w:space="0" w:color="auto"/>
        <w:bottom w:val="none" w:sz="0" w:space="0" w:color="auto"/>
        <w:right w:val="none" w:sz="0" w:space="0" w:color="auto"/>
      </w:divBdr>
    </w:div>
    <w:div w:id="424620930">
      <w:bodyDiv w:val="1"/>
      <w:marLeft w:val="0"/>
      <w:marRight w:val="0"/>
      <w:marTop w:val="0"/>
      <w:marBottom w:val="0"/>
      <w:divBdr>
        <w:top w:val="none" w:sz="0" w:space="0" w:color="auto"/>
        <w:left w:val="none" w:sz="0" w:space="0" w:color="auto"/>
        <w:bottom w:val="none" w:sz="0" w:space="0" w:color="auto"/>
        <w:right w:val="none" w:sz="0" w:space="0" w:color="auto"/>
      </w:divBdr>
    </w:div>
    <w:div w:id="426777814">
      <w:bodyDiv w:val="1"/>
      <w:marLeft w:val="0"/>
      <w:marRight w:val="0"/>
      <w:marTop w:val="0"/>
      <w:marBottom w:val="0"/>
      <w:divBdr>
        <w:top w:val="none" w:sz="0" w:space="0" w:color="auto"/>
        <w:left w:val="none" w:sz="0" w:space="0" w:color="auto"/>
        <w:bottom w:val="none" w:sz="0" w:space="0" w:color="auto"/>
        <w:right w:val="none" w:sz="0" w:space="0" w:color="auto"/>
      </w:divBdr>
    </w:div>
    <w:div w:id="431978099">
      <w:bodyDiv w:val="1"/>
      <w:marLeft w:val="0"/>
      <w:marRight w:val="0"/>
      <w:marTop w:val="0"/>
      <w:marBottom w:val="0"/>
      <w:divBdr>
        <w:top w:val="none" w:sz="0" w:space="0" w:color="auto"/>
        <w:left w:val="none" w:sz="0" w:space="0" w:color="auto"/>
        <w:bottom w:val="none" w:sz="0" w:space="0" w:color="auto"/>
        <w:right w:val="none" w:sz="0" w:space="0" w:color="auto"/>
      </w:divBdr>
    </w:div>
    <w:div w:id="433676914">
      <w:bodyDiv w:val="1"/>
      <w:marLeft w:val="0"/>
      <w:marRight w:val="0"/>
      <w:marTop w:val="0"/>
      <w:marBottom w:val="0"/>
      <w:divBdr>
        <w:top w:val="none" w:sz="0" w:space="0" w:color="auto"/>
        <w:left w:val="none" w:sz="0" w:space="0" w:color="auto"/>
        <w:bottom w:val="none" w:sz="0" w:space="0" w:color="auto"/>
        <w:right w:val="none" w:sz="0" w:space="0" w:color="auto"/>
      </w:divBdr>
    </w:div>
    <w:div w:id="435902149">
      <w:bodyDiv w:val="1"/>
      <w:marLeft w:val="0"/>
      <w:marRight w:val="0"/>
      <w:marTop w:val="0"/>
      <w:marBottom w:val="0"/>
      <w:divBdr>
        <w:top w:val="none" w:sz="0" w:space="0" w:color="auto"/>
        <w:left w:val="none" w:sz="0" w:space="0" w:color="auto"/>
        <w:bottom w:val="none" w:sz="0" w:space="0" w:color="auto"/>
        <w:right w:val="none" w:sz="0" w:space="0" w:color="auto"/>
      </w:divBdr>
    </w:div>
    <w:div w:id="442262477">
      <w:bodyDiv w:val="1"/>
      <w:marLeft w:val="0"/>
      <w:marRight w:val="0"/>
      <w:marTop w:val="0"/>
      <w:marBottom w:val="0"/>
      <w:divBdr>
        <w:top w:val="none" w:sz="0" w:space="0" w:color="auto"/>
        <w:left w:val="none" w:sz="0" w:space="0" w:color="auto"/>
        <w:bottom w:val="none" w:sz="0" w:space="0" w:color="auto"/>
        <w:right w:val="none" w:sz="0" w:space="0" w:color="auto"/>
      </w:divBdr>
    </w:div>
    <w:div w:id="451246241">
      <w:bodyDiv w:val="1"/>
      <w:marLeft w:val="0"/>
      <w:marRight w:val="0"/>
      <w:marTop w:val="0"/>
      <w:marBottom w:val="0"/>
      <w:divBdr>
        <w:top w:val="none" w:sz="0" w:space="0" w:color="auto"/>
        <w:left w:val="none" w:sz="0" w:space="0" w:color="auto"/>
        <w:bottom w:val="none" w:sz="0" w:space="0" w:color="auto"/>
        <w:right w:val="none" w:sz="0" w:space="0" w:color="auto"/>
      </w:divBdr>
    </w:div>
    <w:div w:id="459692133">
      <w:bodyDiv w:val="1"/>
      <w:marLeft w:val="0"/>
      <w:marRight w:val="0"/>
      <w:marTop w:val="0"/>
      <w:marBottom w:val="0"/>
      <w:divBdr>
        <w:top w:val="none" w:sz="0" w:space="0" w:color="auto"/>
        <w:left w:val="none" w:sz="0" w:space="0" w:color="auto"/>
        <w:bottom w:val="none" w:sz="0" w:space="0" w:color="auto"/>
        <w:right w:val="none" w:sz="0" w:space="0" w:color="auto"/>
      </w:divBdr>
    </w:div>
    <w:div w:id="460878418">
      <w:bodyDiv w:val="1"/>
      <w:marLeft w:val="0"/>
      <w:marRight w:val="0"/>
      <w:marTop w:val="0"/>
      <w:marBottom w:val="0"/>
      <w:divBdr>
        <w:top w:val="none" w:sz="0" w:space="0" w:color="auto"/>
        <w:left w:val="none" w:sz="0" w:space="0" w:color="auto"/>
        <w:bottom w:val="none" w:sz="0" w:space="0" w:color="auto"/>
        <w:right w:val="none" w:sz="0" w:space="0" w:color="auto"/>
      </w:divBdr>
    </w:div>
    <w:div w:id="464127804">
      <w:bodyDiv w:val="1"/>
      <w:marLeft w:val="0"/>
      <w:marRight w:val="0"/>
      <w:marTop w:val="0"/>
      <w:marBottom w:val="0"/>
      <w:divBdr>
        <w:top w:val="none" w:sz="0" w:space="0" w:color="auto"/>
        <w:left w:val="none" w:sz="0" w:space="0" w:color="auto"/>
        <w:bottom w:val="none" w:sz="0" w:space="0" w:color="auto"/>
        <w:right w:val="none" w:sz="0" w:space="0" w:color="auto"/>
      </w:divBdr>
    </w:div>
    <w:div w:id="469395872">
      <w:bodyDiv w:val="1"/>
      <w:marLeft w:val="0"/>
      <w:marRight w:val="0"/>
      <w:marTop w:val="0"/>
      <w:marBottom w:val="0"/>
      <w:divBdr>
        <w:top w:val="none" w:sz="0" w:space="0" w:color="auto"/>
        <w:left w:val="none" w:sz="0" w:space="0" w:color="auto"/>
        <w:bottom w:val="none" w:sz="0" w:space="0" w:color="auto"/>
        <w:right w:val="none" w:sz="0" w:space="0" w:color="auto"/>
      </w:divBdr>
    </w:div>
    <w:div w:id="471950840">
      <w:bodyDiv w:val="1"/>
      <w:marLeft w:val="0"/>
      <w:marRight w:val="0"/>
      <w:marTop w:val="0"/>
      <w:marBottom w:val="0"/>
      <w:divBdr>
        <w:top w:val="none" w:sz="0" w:space="0" w:color="auto"/>
        <w:left w:val="none" w:sz="0" w:space="0" w:color="auto"/>
        <w:bottom w:val="none" w:sz="0" w:space="0" w:color="auto"/>
        <w:right w:val="none" w:sz="0" w:space="0" w:color="auto"/>
      </w:divBdr>
    </w:div>
    <w:div w:id="477264949">
      <w:bodyDiv w:val="1"/>
      <w:marLeft w:val="0"/>
      <w:marRight w:val="0"/>
      <w:marTop w:val="0"/>
      <w:marBottom w:val="0"/>
      <w:divBdr>
        <w:top w:val="none" w:sz="0" w:space="0" w:color="auto"/>
        <w:left w:val="none" w:sz="0" w:space="0" w:color="auto"/>
        <w:bottom w:val="none" w:sz="0" w:space="0" w:color="auto"/>
        <w:right w:val="none" w:sz="0" w:space="0" w:color="auto"/>
      </w:divBdr>
    </w:div>
    <w:div w:id="486477962">
      <w:bodyDiv w:val="1"/>
      <w:marLeft w:val="0"/>
      <w:marRight w:val="0"/>
      <w:marTop w:val="0"/>
      <w:marBottom w:val="0"/>
      <w:divBdr>
        <w:top w:val="none" w:sz="0" w:space="0" w:color="auto"/>
        <w:left w:val="none" w:sz="0" w:space="0" w:color="auto"/>
        <w:bottom w:val="none" w:sz="0" w:space="0" w:color="auto"/>
        <w:right w:val="none" w:sz="0" w:space="0" w:color="auto"/>
      </w:divBdr>
    </w:div>
    <w:div w:id="486552808">
      <w:bodyDiv w:val="1"/>
      <w:marLeft w:val="0"/>
      <w:marRight w:val="0"/>
      <w:marTop w:val="0"/>
      <w:marBottom w:val="0"/>
      <w:divBdr>
        <w:top w:val="none" w:sz="0" w:space="0" w:color="auto"/>
        <w:left w:val="none" w:sz="0" w:space="0" w:color="auto"/>
        <w:bottom w:val="none" w:sz="0" w:space="0" w:color="auto"/>
        <w:right w:val="none" w:sz="0" w:space="0" w:color="auto"/>
      </w:divBdr>
    </w:div>
    <w:div w:id="490295786">
      <w:bodyDiv w:val="1"/>
      <w:marLeft w:val="0"/>
      <w:marRight w:val="0"/>
      <w:marTop w:val="0"/>
      <w:marBottom w:val="0"/>
      <w:divBdr>
        <w:top w:val="none" w:sz="0" w:space="0" w:color="auto"/>
        <w:left w:val="none" w:sz="0" w:space="0" w:color="auto"/>
        <w:bottom w:val="none" w:sz="0" w:space="0" w:color="auto"/>
        <w:right w:val="none" w:sz="0" w:space="0" w:color="auto"/>
      </w:divBdr>
    </w:div>
    <w:div w:id="490559980">
      <w:bodyDiv w:val="1"/>
      <w:marLeft w:val="0"/>
      <w:marRight w:val="0"/>
      <w:marTop w:val="0"/>
      <w:marBottom w:val="0"/>
      <w:divBdr>
        <w:top w:val="none" w:sz="0" w:space="0" w:color="auto"/>
        <w:left w:val="none" w:sz="0" w:space="0" w:color="auto"/>
        <w:bottom w:val="none" w:sz="0" w:space="0" w:color="auto"/>
        <w:right w:val="none" w:sz="0" w:space="0" w:color="auto"/>
      </w:divBdr>
    </w:div>
    <w:div w:id="499123158">
      <w:bodyDiv w:val="1"/>
      <w:marLeft w:val="0"/>
      <w:marRight w:val="0"/>
      <w:marTop w:val="0"/>
      <w:marBottom w:val="0"/>
      <w:divBdr>
        <w:top w:val="none" w:sz="0" w:space="0" w:color="auto"/>
        <w:left w:val="none" w:sz="0" w:space="0" w:color="auto"/>
        <w:bottom w:val="none" w:sz="0" w:space="0" w:color="auto"/>
        <w:right w:val="none" w:sz="0" w:space="0" w:color="auto"/>
      </w:divBdr>
    </w:div>
    <w:div w:id="512039483">
      <w:bodyDiv w:val="1"/>
      <w:marLeft w:val="0"/>
      <w:marRight w:val="0"/>
      <w:marTop w:val="0"/>
      <w:marBottom w:val="0"/>
      <w:divBdr>
        <w:top w:val="none" w:sz="0" w:space="0" w:color="auto"/>
        <w:left w:val="none" w:sz="0" w:space="0" w:color="auto"/>
        <w:bottom w:val="none" w:sz="0" w:space="0" w:color="auto"/>
        <w:right w:val="none" w:sz="0" w:space="0" w:color="auto"/>
      </w:divBdr>
    </w:div>
    <w:div w:id="558907072">
      <w:bodyDiv w:val="1"/>
      <w:marLeft w:val="0"/>
      <w:marRight w:val="0"/>
      <w:marTop w:val="0"/>
      <w:marBottom w:val="0"/>
      <w:divBdr>
        <w:top w:val="none" w:sz="0" w:space="0" w:color="auto"/>
        <w:left w:val="none" w:sz="0" w:space="0" w:color="auto"/>
        <w:bottom w:val="none" w:sz="0" w:space="0" w:color="auto"/>
        <w:right w:val="none" w:sz="0" w:space="0" w:color="auto"/>
      </w:divBdr>
    </w:div>
    <w:div w:id="568544040">
      <w:bodyDiv w:val="1"/>
      <w:marLeft w:val="0"/>
      <w:marRight w:val="0"/>
      <w:marTop w:val="0"/>
      <w:marBottom w:val="0"/>
      <w:divBdr>
        <w:top w:val="none" w:sz="0" w:space="0" w:color="auto"/>
        <w:left w:val="none" w:sz="0" w:space="0" w:color="auto"/>
        <w:bottom w:val="none" w:sz="0" w:space="0" w:color="auto"/>
        <w:right w:val="none" w:sz="0" w:space="0" w:color="auto"/>
      </w:divBdr>
    </w:div>
    <w:div w:id="575821335">
      <w:bodyDiv w:val="1"/>
      <w:marLeft w:val="0"/>
      <w:marRight w:val="0"/>
      <w:marTop w:val="0"/>
      <w:marBottom w:val="0"/>
      <w:divBdr>
        <w:top w:val="none" w:sz="0" w:space="0" w:color="auto"/>
        <w:left w:val="none" w:sz="0" w:space="0" w:color="auto"/>
        <w:bottom w:val="none" w:sz="0" w:space="0" w:color="auto"/>
        <w:right w:val="none" w:sz="0" w:space="0" w:color="auto"/>
      </w:divBdr>
    </w:div>
    <w:div w:id="590049487">
      <w:bodyDiv w:val="1"/>
      <w:marLeft w:val="0"/>
      <w:marRight w:val="0"/>
      <w:marTop w:val="0"/>
      <w:marBottom w:val="0"/>
      <w:divBdr>
        <w:top w:val="none" w:sz="0" w:space="0" w:color="auto"/>
        <w:left w:val="none" w:sz="0" w:space="0" w:color="auto"/>
        <w:bottom w:val="none" w:sz="0" w:space="0" w:color="auto"/>
        <w:right w:val="none" w:sz="0" w:space="0" w:color="auto"/>
      </w:divBdr>
    </w:div>
    <w:div w:id="592861886">
      <w:bodyDiv w:val="1"/>
      <w:marLeft w:val="0"/>
      <w:marRight w:val="0"/>
      <w:marTop w:val="0"/>
      <w:marBottom w:val="0"/>
      <w:divBdr>
        <w:top w:val="none" w:sz="0" w:space="0" w:color="auto"/>
        <w:left w:val="none" w:sz="0" w:space="0" w:color="auto"/>
        <w:bottom w:val="none" w:sz="0" w:space="0" w:color="auto"/>
        <w:right w:val="none" w:sz="0" w:space="0" w:color="auto"/>
      </w:divBdr>
    </w:div>
    <w:div w:id="594749547">
      <w:bodyDiv w:val="1"/>
      <w:marLeft w:val="0"/>
      <w:marRight w:val="0"/>
      <w:marTop w:val="0"/>
      <w:marBottom w:val="0"/>
      <w:divBdr>
        <w:top w:val="none" w:sz="0" w:space="0" w:color="auto"/>
        <w:left w:val="none" w:sz="0" w:space="0" w:color="auto"/>
        <w:bottom w:val="none" w:sz="0" w:space="0" w:color="auto"/>
        <w:right w:val="none" w:sz="0" w:space="0" w:color="auto"/>
      </w:divBdr>
    </w:div>
    <w:div w:id="595872225">
      <w:bodyDiv w:val="1"/>
      <w:marLeft w:val="0"/>
      <w:marRight w:val="0"/>
      <w:marTop w:val="0"/>
      <w:marBottom w:val="0"/>
      <w:divBdr>
        <w:top w:val="none" w:sz="0" w:space="0" w:color="auto"/>
        <w:left w:val="none" w:sz="0" w:space="0" w:color="auto"/>
        <w:bottom w:val="none" w:sz="0" w:space="0" w:color="auto"/>
        <w:right w:val="none" w:sz="0" w:space="0" w:color="auto"/>
      </w:divBdr>
    </w:div>
    <w:div w:id="607546812">
      <w:bodyDiv w:val="1"/>
      <w:marLeft w:val="0"/>
      <w:marRight w:val="0"/>
      <w:marTop w:val="0"/>
      <w:marBottom w:val="0"/>
      <w:divBdr>
        <w:top w:val="none" w:sz="0" w:space="0" w:color="auto"/>
        <w:left w:val="none" w:sz="0" w:space="0" w:color="auto"/>
        <w:bottom w:val="none" w:sz="0" w:space="0" w:color="auto"/>
        <w:right w:val="none" w:sz="0" w:space="0" w:color="auto"/>
      </w:divBdr>
    </w:div>
    <w:div w:id="607741781">
      <w:bodyDiv w:val="1"/>
      <w:marLeft w:val="0"/>
      <w:marRight w:val="0"/>
      <w:marTop w:val="0"/>
      <w:marBottom w:val="0"/>
      <w:divBdr>
        <w:top w:val="none" w:sz="0" w:space="0" w:color="auto"/>
        <w:left w:val="none" w:sz="0" w:space="0" w:color="auto"/>
        <w:bottom w:val="none" w:sz="0" w:space="0" w:color="auto"/>
        <w:right w:val="none" w:sz="0" w:space="0" w:color="auto"/>
      </w:divBdr>
    </w:div>
    <w:div w:id="608313157">
      <w:bodyDiv w:val="1"/>
      <w:marLeft w:val="0"/>
      <w:marRight w:val="0"/>
      <w:marTop w:val="0"/>
      <w:marBottom w:val="0"/>
      <w:divBdr>
        <w:top w:val="none" w:sz="0" w:space="0" w:color="auto"/>
        <w:left w:val="none" w:sz="0" w:space="0" w:color="auto"/>
        <w:bottom w:val="none" w:sz="0" w:space="0" w:color="auto"/>
        <w:right w:val="none" w:sz="0" w:space="0" w:color="auto"/>
      </w:divBdr>
    </w:div>
    <w:div w:id="612595605">
      <w:bodyDiv w:val="1"/>
      <w:marLeft w:val="0"/>
      <w:marRight w:val="0"/>
      <w:marTop w:val="0"/>
      <w:marBottom w:val="0"/>
      <w:divBdr>
        <w:top w:val="none" w:sz="0" w:space="0" w:color="auto"/>
        <w:left w:val="none" w:sz="0" w:space="0" w:color="auto"/>
        <w:bottom w:val="none" w:sz="0" w:space="0" w:color="auto"/>
        <w:right w:val="none" w:sz="0" w:space="0" w:color="auto"/>
      </w:divBdr>
    </w:div>
    <w:div w:id="612829903">
      <w:bodyDiv w:val="1"/>
      <w:marLeft w:val="0"/>
      <w:marRight w:val="0"/>
      <w:marTop w:val="0"/>
      <w:marBottom w:val="0"/>
      <w:divBdr>
        <w:top w:val="none" w:sz="0" w:space="0" w:color="auto"/>
        <w:left w:val="none" w:sz="0" w:space="0" w:color="auto"/>
        <w:bottom w:val="none" w:sz="0" w:space="0" w:color="auto"/>
        <w:right w:val="none" w:sz="0" w:space="0" w:color="auto"/>
      </w:divBdr>
    </w:div>
    <w:div w:id="616912419">
      <w:bodyDiv w:val="1"/>
      <w:marLeft w:val="0"/>
      <w:marRight w:val="0"/>
      <w:marTop w:val="0"/>
      <w:marBottom w:val="0"/>
      <w:divBdr>
        <w:top w:val="none" w:sz="0" w:space="0" w:color="auto"/>
        <w:left w:val="none" w:sz="0" w:space="0" w:color="auto"/>
        <w:bottom w:val="none" w:sz="0" w:space="0" w:color="auto"/>
        <w:right w:val="none" w:sz="0" w:space="0" w:color="auto"/>
      </w:divBdr>
    </w:div>
    <w:div w:id="618147480">
      <w:bodyDiv w:val="1"/>
      <w:marLeft w:val="0"/>
      <w:marRight w:val="0"/>
      <w:marTop w:val="0"/>
      <w:marBottom w:val="0"/>
      <w:divBdr>
        <w:top w:val="none" w:sz="0" w:space="0" w:color="auto"/>
        <w:left w:val="none" w:sz="0" w:space="0" w:color="auto"/>
        <w:bottom w:val="none" w:sz="0" w:space="0" w:color="auto"/>
        <w:right w:val="none" w:sz="0" w:space="0" w:color="auto"/>
      </w:divBdr>
    </w:div>
    <w:div w:id="629555035">
      <w:bodyDiv w:val="1"/>
      <w:marLeft w:val="0"/>
      <w:marRight w:val="0"/>
      <w:marTop w:val="0"/>
      <w:marBottom w:val="0"/>
      <w:divBdr>
        <w:top w:val="none" w:sz="0" w:space="0" w:color="auto"/>
        <w:left w:val="none" w:sz="0" w:space="0" w:color="auto"/>
        <w:bottom w:val="none" w:sz="0" w:space="0" w:color="auto"/>
        <w:right w:val="none" w:sz="0" w:space="0" w:color="auto"/>
      </w:divBdr>
    </w:div>
    <w:div w:id="636689489">
      <w:bodyDiv w:val="1"/>
      <w:marLeft w:val="0"/>
      <w:marRight w:val="0"/>
      <w:marTop w:val="0"/>
      <w:marBottom w:val="0"/>
      <w:divBdr>
        <w:top w:val="none" w:sz="0" w:space="0" w:color="auto"/>
        <w:left w:val="none" w:sz="0" w:space="0" w:color="auto"/>
        <w:bottom w:val="none" w:sz="0" w:space="0" w:color="auto"/>
        <w:right w:val="none" w:sz="0" w:space="0" w:color="auto"/>
      </w:divBdr>
    </w:div>
    <w:div w:id="643974419">
      <w:bodyDiv w:val="1"/>
      <w:marLeft w:val="0"/>
      <w:marRight w:val="0"/>
      <w:marTop w:val="0"/>
      <w:marBottom w:val="0"/>
      <w:divBdr>
        <w:top w:val="none" w:sz="0" w:space="0" w:color="auto"/>
        <w:left w:val="none" w:sz="0" w:space="0" w:color="auto"/>
        <w:bottom w:val="none" w:sz="0" w:space="0" w:color="auto"/>
        <w:right w:val="none" w:sz="0" w:space="0" w:color="auto"/>
      </w:divBdr>
    </w:div>
    <w:div w:id="648751301">
      <w:bodyDiv w:val="1"/>
      <w:marLeft w:val="0"/>
      <w:marRight w:val="0"/>
      <w:marTop w:val="0"/>
      <w:marBottom w:val="0"/>
      <w:divBdr>
        <w:top w:val="none" w:sz="0" w:space="0" w:color="auto"/>
        <w:left w:val="none" w:sz="0" w:space="0" w:color="auto"/>
        <w:bottom w:val="none" w:sz="0" w:space="0" w:color="auto"/>
        <w:right w:val="none" w:sz="0" w:space="0" w:color="auto"/>
      </w:divBdr>
    </w:div>
    <w:div w:id="651639379">
      <w:bodyDiv w:val="1"/>
      <w:marLeft w:val="0"/>
      <w:marRight w:val="0"/>
      <w:marTop w:val="0"/>
      <w:marBottom w:val="0"/>
      <w:divBdr>
        <w:top w:val="none" w:sz="0" w:space="0" w:color="auto"/>
        <w:left w:val="none" w:sz="0" w:space="0" w:color="auto"/>
        <w:bottom w:val="none" w:sz="0" w:space="0" w:color="auto"/>
        <w:right w:val="none" w:sz="0" w:space="0" w:color="auto"/>
      </w:divBdr>
    </w:div>
    <w:div w:id="652608570">
      <w:bodyDiv w:val="1"/>
      <w:marLeft w:val="0"/>
      <w:marRight w:val="0"/>
      <w:marTop w:val="0"/>
      <w:marBottom w:val="0"/>
      <w:divBdr>
        <w:top w:val="none" w:sz="0" w:space="0" w:color="auto"/>
        <w:left w:val="none" w:sz="0" w:space="0" w:color="auto"/>
        <w:bottom w:val="none" w:sz="0" w:space="0" w:color="auto"/>
        <w:right w:val="none" w:sz="0" w:space="0" w:color="auto"/>
      </w:divBdr>
    </w:div>
    <w:div w:id="653098600">
      <w:bodyDiv w:val="1"/>
      <w:marLeft w:val="0"/>
      <w:marRight w:val="0"/>
      <w:marTop w:val="0"/>
      <w:marBottom w:val="0"/>
      <w:divBdr>
        <w:top w:val="none" w:sz="0" w:space="0" w:color="auto"/>
        <w:left w:val="none" w:sz="0" w:space="0" w:color="auto"/>
        <w:bottom w:val="none" w:sz="0" w:space="0" w:color="auto"/>
        <w:right w:val="none" w:sz="0" w:space="0" w:color="auto"/>
      </w:divBdr>
    </w:div>
    <w:div w:id="664669705">
      <w:bodyDiv w:val="1"/>
      <w:marLeft w:val="0"/>
      <w:marRight w:val="0"/>
      <w:marTop w:val="0"/>
      <w:marBottom w:val="0"/>
      <w:divBdr>
        <w:top w:val="none" w:sz="0" w:space="0" w:color="auto"/>
        <w:left w:val="none" w:sz="0" w:space="0" w:color="auto"/>
        <w:bottom w:val="none" w:sz="0" w:space="0" w:color="auto"/>
        <w:right w:val="none" w:sz="0" w:space="0" w:color="auto"/>
      </w:divBdr>
    </w:div>
    <w:div w:id="665985725">
      <w:bodyDiv w:val="1"/>
      <w:marLeft w:val="0"/>
      <w:marRight w:val="0"/>
      <w:marTop w:val="0"/>
      <w:marBottom w:val="0"/>
      <w:divBdr>
        <w:top w:val="none" w:sz="0" w:space="0" w:color="auto"/>
        <w:left w:val="none" w:sz="0" w:space="0" w:color="auto"/>
        <w:bottom w:val="none" w:sz="0" w:space="0" w:color="auto"/>
        <w:right w:val="none" w:sz="0" w:space="0" w:color="auto"/>
      </w:divBdr>
    </w:div>
    <w:div w:id="667634701">
      <w:bodyDiv w:val="1"/>
      <w:marLeft w:val="0"/>
      <w:marRight w:val="0"/>
      <w:marTop w:val="0"/>
      <w:marBottom w:val="0"/>
      <w:divBdr>
        <w:top w:val="none" w:sz="0" w:space="0" w:color="auto"/>
        <w:left w:val="none" w:sz="0" w:space="0" w:color="auto"/>
        <w:bottom w:val="none" w:sz="0" w:space="0" w:color="auto"/>
        <w:right w:val="none" w:sz="0" w:space="0" w:color="auto"/>
      </w:divBdr>
    </w:div>
    <w:div w:id="669212125">
      <w:bodyDiv w:val="1"/>
      <w:marLeft w:val="0"/>
      <w:marRight w:val="0"/>
      <w:marTop w:val="0"/>
      <w:marBottom w:val="0"/>
      <w:divBdr>
        <w:top w:val="none" w:sz="0" w:space="0" w:color="auto"/>
        <w:left w:val="none" w:sz="0" w:space="0" w:color="auto"/>
        <w:bottom w:val="none" w:sz="0" w:space="0" w:color="auto"/>
        <w:right w:val="none" w:sz="0" w:space="0" w:color="auto"/>
      </w:divBdr>
    </w:div>
    <w:div w:id="672727224">
      <w:bodyDiv w:val="1"/>
      <w:marLeft w:val="0"/>
      <w:marRight w:val="0"/>
      <w:marTop w:val="0"/>
      <w:marBottom w:val="0"/>
      <w:divBdr>
        <w:top w:val="none" w:sz="0" w:space="0" w:color="auto"/>
        <w:left w:val="none" w:sz="0" w:space="0" w:color="auto"/>
        <w:bottom w:val="none" w:sz="0" w:space="0" w:color="auto"/>
        <w:right w:val="none" w:sz="0" w:space="0" w:color="auto"/>
      </w:divBdr>
    </w:div>
    <w:div w:id="682123352">
      <w:bodyDiv w:val="1"/>
      <w:marLeft w:val="0"/>
      <w:marRight w:val="0"/>
      <w:marTop w:val="0"/>
      <w:marBottom w:val="0"/>
      <w:divBdr>
        <w:top w:val="none" w:sz="0" w:space="0" w:color="auto"/>
        <w:left w:val="none" w:sz="0" w:space="0" w:color="auto"/>
        <w:bottom w:val="none" w:sz="0" w:space="0" w:color="auto"/>
        <w:right w:val="none" w:sz="0" w:space="0" w:color="auto"/>
      </w:divBdr>
    </w:div>
    <w:div w:id="688220471">
      <w:bodyDiv w:val="1"/>
      <w:marLeft w:val="0"/>
      <w:marRight w:val="0"/>
      <w:marTop w:val="0"/>
      <w:marBottom w:val="0"/>
      <w:divBdr>
        <w:top w:val="none" w:sz="0" w:space="0" w:color="auto"/>
        <w:left w:val="none" w:sz="0" w:space="0" w:color="auto"/>
        <w:bottom w:val="none" w:sz="0" w:space="0" w:color="auto"/>
        <w:right w:val="none" w:sz="0" w:space="0" w:color="auto"/>
      </w:divBdr>
    </w:div>
    <w:div w:id="692073754">
      <w:bodyDiv w:val="1"/>
      <w:marLeft w:val="0"/>
      <w:marRight w:val="0"/>
      <w:marTop w:val="0"/>
      <w:marBottom w:val="0"/>
      <w:divBdr>
        <w:top w:val="none" w:sz="0" w:space="0" w:color="auto"/>
        <w:left w:val="none" w:sz="0" w:space="0" w:color="auto"/>
        <w:bottom w:val="none" w:sz="0" w:space="0" w:color="auto"/>
        <w:right w:val="none" w:sz="0" w:space="0" w:color="auto"/>
      </w:divBdr>
    </w:div>
    <w:div w:id="695733296">
      <w:bodyDiv w:val="1"/>
      <w:marLeft w:val="0"/>
      <w:marRight w:val="0"/>
      <w:marTop w:val="0"/>
      <w:marBottom w:val="0"/>
      <w:divBdr>
        <w:top w:val="none" w:sz="0" w:space="0" w:color="auto"/>
        <w:left w:val="none" w:sz="0" w:space="0" w:color="auto"/>
        <w:bottom w:val="none" w:sz="0" w:space="0" w:color="auto"/>
        <w:right w:val="none" w:sz="0" w:space="0" w:color="auto"/>
      </w:divBdr>
    </w:div>
    <w:div w:id="706375314">
      <w:bodyDiv w:val="1"/>
      <w:marLeft w:val="0"/>
      <w:marRight w:val="0"/>
      <w:marTop w:val="0"/>
      <w:marBottom w:val="0"/>
      <w:divBdr>
        <w:top w:val="none" w:sz="0" w:space="0" w:color="auto"/>
        <w:left w:val="none" w:sz="0" w:space="0" w:color="auto"/>
        <w:bottom w:val="none" w:sz="0" w:space="0" w:color="auto"/>
        <w:right w:val="none" w:sz="0" w:space="0" w:color="auto"/>
      </w:divBdr>
    </w:div>
    <w:div w:id="709184657">
      <w:bodyDiv w:val="1"/>
      <w:marLeft w:val="0"/>
      <w:marRight w:val="0"/>
      <w:marTop w:val="0"/>
      <w:marBottom w:val="0"/>
      <w:divBdr>
        <w:top w:val="none" w:sz="0" w:space="0" w:color="auto"/>
        <w:left w:val="none" w:sz="0" w:space="0" w:color="auto"/>
        <w:bottom w:val="none" w:sz="0" w:space="0" w:color="auto"/>
        <w:right w:val="none" w:sz="0" w:space="0" w:color="auto"/>
      </w:divBdr>
    </w:div>
    <w:div w:id="715467518">
      <w:bodyDiv w:val="1"/>
      <w:marLeft w:val="0"/>
      <w:marRight w:val="0"/>
      <w:marTop w:val="0"/>
      <w:marBottom w:val="0"/>
      <w:divBdr>
        <w:top w:val="none" w:sz="0" w:space="0" w:color="auto"/>
        <w:left w:val="none" w:sz="0" w:space="0" w:color="auto"/>
        <w:bottom w:val="none" w:sz="0" w:space="0" w:color="auto"/>
        <w:right w:val="none" w:sz="0" w:space="0" w:color="auto"/>
      </w:divBdr>
    </w:div>
    <w:div w:id="717438300">
      <w:bodyDiv w:val="1"/>
      <w:marLeft w:val="0"/>
      <w:marRight w:val="0"/>
      <w:marTop w:val="0"/>
      <w:marBottom w:val="0"/>
      <w:divBdr>
        <w:top w:val="none" w:sz="0" w:space="0" w:color="auto"/>
        <w:left w:val="none" w:sz="0" w:space="0" w:color="auto"/>
        <w:bottom w:val="none" w:sz="0" w:space="0" w:color="auto"/>
        <w:right w:val="none" w:sz="0" w:space="0" w:color="auto"/>
      </w:divBdr>
    </w:div>
    <w:div w:id="717555077">
      <w:bodyDiv w:val="1"/>
      <w:marLeft w:val="0"/>
      <w:marRight w:val="0"/>
      <w:marTop w:val="0"/>
      <w:marBottom w:val="0"/>
      <w:divBdr>
        <w:top w:val="none" w:sz="0" w:space="0" w:color="auto"/>
        <w:left w:val="none" w:sz="0" w:space="0" w:color="auto"/>
        <w:bottom w:val="none" w:sz="0" w:space="0" w:color="auto"/>
        <w:right w:val="none" w:sz="0" w:space="0" w:color="auto"/>
      </w:divBdr>
    </w:div>
    <w:div w:id="735395808">
      <w:bodyDiv w:val="1"/>
      <w:marLeft w:val="0"/>
      <w:marRight w:val="0"/>
      <w:marTop w:val="0"/>
      <w:marBottom w:val="0"/>
      <w:divBdr>
        <w:top w:val="none" w:sz="0" w:space="0" w:color="auto"/>
        <w:left w:val="none" w:sz="0" w:space="0" w:color="auto"/>
        <w:bottom w:val="none" w:sz="0" w:space="0" w:color="auto"/>
        <w:right w:val="none" w:sz="0" w:space="0" w:color="auto"/>
      </w:divBdr>
    </w:div>
    <w:div w:id="738135265">
      <w:bodyDiv w:val="1"/>
      <w:marLeft w:val="0"/>
      <w:marRight w:val="0"/>
      <w:marTop w:val="0"/>
      <w:marBottom w:val="0"/>
      <w:divBdr>
        <w:top w:val="none" w:sz="0" w:space="0" w:color="auto"/>
        <w:left w:val="none" w:sz="0" w:space="0" w:color="auto"/>
        <w:bottom w:val="none" w:sz="0" w:space="0" w:color="auto"/>
        <w:right w:val="none" w:sz="0" w:space="0" w:color="auto"/>
      </w:divBdr>
    </w:div>
    <w:div w:id="744379551">
      <w:bodyDiv w:val="1"/>
      <w:marLeft w:val="0"/>
      <w:marRight w:val="0"/>
      <w:marTop w:val="0"/>
      <w:marBottom w:val="0"/>
      <w:divBdr>
        <w:top w:val="none" w:sz="0" w:space="0" w:color="auto"/>
        <w:left w:val="none" w:sz="0" w:space="0" w:color="auto"/>
        <w:bottom w:val="none" w:sz="0" w:space="0" w:color="auto"/>
        <w:right w:val="none" w:sz="0" w:space="0" w:color="auto"/>
      </w:divBdr>
    </w:div>
    <w:div w:id="744686913">
      <w:bodyDiv w:val="1"/>
      <w:marLeft w:val="0"/>
      <w:marRight w:val="0"/>
      <w:marTop w:val="0"/>
      <w:marBottom w:val="0"/>
      <w:divBdr>
        <w:top w:val="none" w:sz="0" w:space="0" w:color="auto"/>
        <w:left w:val="none" w:sz="0" w:space="0" w:color="auto"/>
        <w:bottom w:val="none" w:sz="0" w:space="0" w:color="auto"/>
        <w:right w:val="none" w:sz="0" w:space="0" w:color="auto"/>
      </w:divBdr>
    </w:div>
    <w:div w:id="748238443">
      <w:bodyDiv w:val="1"/>
      <w:marLeft w:val="0"/>
      <w:marRight w:val="0"/>
      <w:marTop w:val="0"/>
      <w:marBottom w:val="0"/>
      <w:divBdr>
        <w:top w:val="none" w:sz="0" w:space="0" w:color="auto"/>
        <w:left w:val="none" w:sz="0" w:space="0" w:color="auto"/>
        <w:bottom w:val="none" w:sz="0" w:space="0" w:color="auto"/>
        <w:right w:val="none" w:sz="0" w:space="0" w:color="auto"/>
      </w:divBdr>
    </w:div>
    <w:div w:id="749229280">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55857587">
      <w:bodyDiv w:val="1"/>
      <w:marLeft w:val="0"/>
      <w:marRight w:val="0"/>
      <w:marTop w:val="0"/>
      <w:marBottom w:val="0"/>
      <w:divBdr>
        <w:top w:val="none" w:sz="0" w:space="0" w:color="auto"/>
        <w:left w:val="none" w:sz="0" w:space="0" w:color="auto"/>
        <w:bottom w:val="none" w:sz="0" w:space="0" w:color="auto"/>
        <w:right w:val="none" w:sz="0" w:space="0" w:color="auto"/>
      </w:divBdr>
    </w:div>
    <w:div w:id="756294339">
      <w:bodyDiv w:val="1"/>
      <w:marLeft w:val="0"/>
      <w:marRight w:val="0"/>
      <w:marTop w:val="0"/>
      <w:marBottom w:val="0"/>
      <w:divBdr>
        <w:top w:val="none" w:sz="0" w:space="0" w:color="auto"/>
        <w:left w:val="none" w:sz="0" w:space="0" w:color="auto"/>
        <w:bottom w:val="none" w:sz="0" w:space="0" w:color="auto"/>
        <w:right w:val="none" w:sz="0" w:space="0" w:color="auto"/>
      </w:divBdr>
    </w:div>
    <w:div w:id="757018704">
      <w:bodyDiv w:val="1"/>
      <w:marLeft w:val="0"/>
      <w:marRight w:val="0"/>
      <w:marTop w:val="0"/>
      <w:marBottom w:val="0"/>
      <w:divBdr>
        <w:top w:val="none" w:sz="0" w:space="0" w:color="auto"/>
        <w:left w:val="none" w:sz="0" w:space="0" w:color="auto"/>
        <w:bottom w:val="none" w:sz="0" w:space="0" w:color="auto"/>
        <w:right w:val="none" w:sz="0" w:space="0" w:color="auto"/>
      </w:divBdr>
    </w:div>
    <w:div w:id="763385357">
      <w:bodyDiv w:val="1"/>
      <w:marLeft w:val="0"/>
      <w:marRight w:val="0"/>
      <w:marTop w:val="0"/>
      <w:marBottom w:val="0"/>
      <w:divBdr>
        <w:top w:val="none" w:sz="0" w:space="0" w:color="auto"/>
        <w:left w:val="none" w:sz="0" w:space="0" w:color="auto"/>
        <w:bottom w:val="none" w:sz="0" w:space="0" w:color="auto"/>
        <w:right w:val="none" w:sz="0" w:space="0" w:color="auto"/>
      </w:divBdr>
    </w:div>
    <w:div w:id="774980174">
      <w:bodyDiv w:val="1"/>
      <w:marLeft w:val="0"/>
      <w:marRight w:val="0"/>
      <w:marTop w:val="0"/>
      <w:marBottom w:val="0"/>
      <w:divBdr>
        <w:top w:val="none" w:sz="0" w:space="0" w:color="auto"/>
        <w:left w:val="none" w:sz="0" w:space="0" w:color="auto"/>
        <w:bottom w:val="none" w:sz="0" w:space="0" w:color="auto"/>
        <w:right w:val="none" w:sz="0" w:space="0" w:color="auto"/>
      </w:divBdr>
    </w:div>
    <w:div w:id="775909614">
      <w:bodyDiv w:val="1"/>
      <w:marLeft w:val="0"/>
      <w:marRight w:val="0"/>
      <w:marTop w:val="0"/>
      <w:marBottom w:val="0"/>
      <w:divBdr>
        <w:top w:val="none" w:sz="0" w:space="0" w:color="auto"/>
        <w:left w:val="none" w:sz="0" w:space="0" w:color="auto"/>
        <w:bottom w:val="none" w:sz="0" w:space="0" w:color="auto"/>
        <w:right w:val="none" w:sz="0" w:space="0" w:color="auto"/>
      </w:divBdr>
    </w:div>
    <w:div w:id="789008483">
      <w:bodyDiv w:val="1"/>
      <w:marLeft w:val="0"/>
      <w:marRight w:val="0"/>
      <w:marTop w:val="0"/>
      <w:marBottom w:val="0"/>
      <w:divBdr>
        <w:top w:val="none" w:sz="0" w:space="0" w:color="auto"/>
        <w:left w:val="none" w:sz="0" w:space="0" w:color="auto"/>
        <w:bottom w:val="none" w:sz="0" w:space="0" w:color="auto"/>
        <w:right w:val="none" w:sz="0" w:space="0" w:color="auto"/>
      </w:divBdr>
    </w:div>
    <w:div w:id="805973738">
      <w:bodyDiv w:val="1"/>
      <w:marLeft w:val="0"/>
      <w:marRight w:val="0"/>
      <w:marTop w:val="0"/>
      <w:marBottom w:val="0"/>
      <w:divBdr>
        <w:top w:val="none" w:sz="0" w:space="0" w:color="auto"/>
        <w:left w:val="none" w:sz="0" w:space="0" w:color="auto"/>
        <w:bottom w:val="none" w:sz="0" w:space="0" w:color="auto"/>
        <w:right w:val="none" w:sz="0" w:space="0" w:color="auto"/>
      </w:divBdr>
    </w:div>
    <w:div w:id="806817814">
      <w:bodyDiv w:val="1"/>
      <w:marLeft w:val="0"/>
      <w:marRight w:val="0"/>
      <w:marTop w:val="0"/>
      <w:marBottom w:val="0"/>
      <w:divBdr>
        <w:top w:val="none" w:sz="0" w:space="0" w:color="auto"/>
        <w:left w:val="none" w:sz="0" w:space="0" w:color="auto"/>
        <w:bottom w:val="none" w:sz="0" w:space="0" w:color="auto"/>
        <w:right w:val="none" w:sz="0" w:space="0" w:color="auto"/>
      </w:divBdr>
    </w:div>
    <w:div w:id="808208440">
      <w:bodyDiv w:val="1"/>
      <w:marLeft w:val="0"/>
      <w:marRight w:val="0"/>
      <w:marTop w:val="0"/>
      <w:marBottom w:val="0"/>
      <w:divBdr>
        <w:top w:val="none" w:sz="0" w:space="0" w:color="auto"/>
        <w:left w:val="none" w:sz="0" w:space="0" w:color="auto"/>
        <w:bottom w:val="none" w:sz="0" w:space="0" w:color="auto"/>
        <w:right w:val="none" w:sz="0" w:space="0" w:color="auto"/>
      </w:divBdr>
    </w:div>
    <w:div w:id="814102203">
      <w:bodyDiv w:val="1"/>
      <w:marLeft w:val="0"/>
      <w:marRight w:val="0"/>
      <w:marTop w:val="0"/>
      <w:marBottom w:val="0"/>
      <w:divBdr>
        <w:top w:val="none" w:sz="0" w:space="0" w:color="auto"/>
        <w:left w:val="none" w:sz="0" w:space="0" w:color="auto"/>
        <w:bottom w:val="none" w:sz="0" w:space="0" w:color="auto"/>
        <w:right w:val="none" w:sz="0" w:space="0" w:color="auto"/>
      </w:divBdr>
    </w:div>
    <w:div w:id="817186619">
      <w:bodyDiv w:val="1"/>
      <w:marLeft w:val="0"/>
      <w:marRight w:val="0"/>
      <w:marTop w:val="0"/>
      <w:marBottom w:val="0"/>
      <w:divBdr>
        <w:top w:val="none" w:sz="0" w:space="0" w:color="auto"/>
        <w:left w:val="none" w:sz="0" w:space="0" w:color="auto"/>
        <w:bottom w:val="none" w:sz="0" w:space="0" w:color="auto"/>
        <w:right w:val="none" w:sz="0" w:space="0" w:color="auto"/>
      </w:divBdr>
    </w:div>
    <w:div w:id="820930449">
      <w:bodyDiv w:val="1"/>
      <w:marLeft w:val="0"/>
      <w:marRight w:val="0"/>
      <w:marTop w:val="0"/>
      <w:marBottom w:val="0"/>
      <w:divBdr>
        <w:top w:val="none" w:sz="0" w:space="0" w:color="auto"/>
        <w:left w:val="none" w:sz="0" w:space="0" w:color="auto"/>
        <w:bottom w:val="none" w:sz="0" w:space="0" w:color="auto"/>
        <w:right w:val="none" w:sz="0" w:space="0" w:color="auto"/>
      </w:divBdr>
    </w:div>
    <w:div w:id="826553203">
      <w:bodyDiv w:val="1"/>
      <w:marLeft w:val="0"/>
      <w:marRight w:val="0"/>
      <w:marTop w:val="0"/>
      <w:marBottom w:val="0"/>
      <w:divBdr>
        <w:top w:val="none" w:sz="0" w:space="0" w:color="auto"/>
        <w:left w:val="none" w:sz="0" w:space="0" w:color="auto"/>
        <w:bottom w:val="none" w:sz="0" w:space="0" w:color="auto"/>
        <w:right w:val="none" w:sz="0" w:space="0" w:color="auto"/>
      </w:divBdr>
    </w:div>
    <w:div w:id="828599439">
      <w:bodyDiv w:val="1"/>
      <w:marLeft w:val="0"/>
      <w:marRight w:val="0"/>
      <w:marTop w:val="0"/>
      <w:marBottom w:val="0"/>
      <w:divBdr>
        <w:top w:val="none" w:sz="0" w:space="0" w:color="auto"/>
        <w:left w:val="none" w:sz="0" w:space="0" w:color="auto"/>
        <w:bottom w:val="none" w:sz="0" w:space="0" w:color="auto"/>
        <w:right w:val="none" w:sz="0" w:space="0" w:color="auto"/>
      </w:divBdr>
    </w:div>
    <w:div w:id="834033136">
      <w:bodyDiv w:val="1"/>
      <w:marLeft w:val="0"/>
      <w:marRight w:val="0"/>
      <w:marTop w:val="0"/>
      <w:marBottom w:val="0"/>
      <w:divBdr>
        <w:top w:val="none" w:sz="0" w:space="0" w:color="auto"/>
        <w:left w:val="none" w:sz="0" w:space="0" w:color="auto"/>
        <w:bottom w:val="none" w:sz="0" w:space="0" w:color="auto"/>
        <w:right w:val="none" w:sz="0" w:space="0" w:color="auto"/>
      </w:divBdr>
    </w:div>
    <w:div w:id="841630960">
      <w:bodyDiv w:val="1"/>
      <w:marLeft w:val="0"/>
      <w:marRight w:val="0"/>
      <w:marTop w:val="0"/>
      <w:marBottom w:val="0"/>
      <w:divBdr>
        <w:top w:val="none" w:sz="0" w:space="0" w:color="auto"/>
        <w:left w:val="none" w:sz="0" w:space="0" w:color="auto"/>
        <w:bottom w:val="none" w:sz="0" w:space="0" w:color="auto"/>
        <w:right w:val="none" w:sz="0" w:space="0" w:color="auto"/>
      </w:divBdr>
    </w:div>
    <w:div w:id="851644478">
      <w:bodyDiv w:val="1"/>
      <w:marLeft w:val="0"/>
      <w:marRight w:val="0"/>
      <w:marTop w:val="0"/>
      <w:marBottom w:val="0"/>
      <w:divBdr>
        <w:top w:val="none" w:sz="0" w:space="0" w:color="auto"/>
        <w:left w:val="none" w:sz="0" w:space="0" w:color="auto"/>
        <w:bottom w:val="none" w:sz="0" w:space="0" w:color="auto"/>
        <w:right w:val="none" w:sz="0" w:space="0" w:color="auto"/>
      </w:divBdr>
    </w:div>
    <w:div w:id="852961384">
      <w:bodyDiv w:val="1"/>
      <w:marLeft w:val="0"/>
      <w:marRight w:val="0"/>
      <w:marTop w:val="0"/>
      <w:marBottom w:val="0"/>
      <w:divBdr>
        <w:top w:val="none" w:sz="0" w:space="0" w:color="auto"/>
        <w:left w:val="none" w:sz="0" w:space="0" w:color="auto"/>
        <w:bottom w:val="none" w:sz="0" w:space="0" w:color="auto"/>
        <w:right w:val="none" w:sz="0" w:space="0" w:color="auto"/>
      </w:divBdr>
    </w:div>
    <w:div w:id="862092677">
      <w:bodyDiv w:val="1"/>
      <w:marLeft w:val="0"/>
      <w:marRight w:val="0"/>
      <w:marTop w:val="0"/>
      <w:marBottom w:val="0"/>
      <w:divBdr>
        <w:top w:val="none" w:sz="0" w:space="0" w:color="auto"/>
        <w:left w:val="none" w:sz="0" w:space="0" w:color="auto"/>
        <w:bottom w:val="none" w:sz="0" w:space="0" w:color="auto"/>
        <w:right w:val="none" w:sz="0" w:space="0" w:color="auto"/>
      </w:divBdr>
    </w:div>
    <w:div w:id="864439399">
      <w:bodyDiv w:val="1"/>
      <w:marLeft w:val="0"/>
      <w:marRight w:val="0"/>
      <w:marTop w:val="0"/>
      <w:marBottom w:val="0"/>
      <w:divBdr>
        <w:top w:val="none" w:sz="0" w:space="0" w:color="auto"/>
        <w:left w:val="none" w:sz="0" w:space="0" w:color="auto"/>
        <w:bottom w:val="none" w:sz="0" w:space="0" w:color="auto"/>
        <w:right w:val="none" w:sz="0" w:space="0" w:color="auto"/>
      </w:divBdr>
    </w:div>
    <w:div w:id="866337422">
      <w:bodyDiv w:val="1"/>
      <w:marLeft w:val="0"/>
      <w:marRight w:val="0"/>
      <w:marTop w:val="0"/>
      <w:marBottom w:val="0"/>
      <w:divBdr>
        <w:top w:val="none" w:sz="0" w:space="0" w:color="auto"/>
        <w:left w:val="none" w:sz="0" w:space="0" w:color="auto"/>
        <w:bottom w:val="none" w:sz="0" w:space="0" w:color="auto"/>
        <w:right w:val="none" w:sz="0" w:space="0" w:color="auto"/>
      </w:divBdr>
    </w:div>
    <w:div w:id="869219702">
      <w:bodyDiv w:val="1"/>
      <w:marLeft w:val="0"/>
      <w:marRight w:val="0"/>
      <w:marTop w:val="0"/>
      <w:marBottom w:val="0"/>
      <w:divBdr>
        <w:top w:val="none" w:sz="0" w:space="0" w:color="auto"/>
        <w:left w:val="none" w:sz="0" w:space="0" w:color="auto"/>
        <w:bottom w:val="none" w:sz="0" w:space="0" w:color="auto"/>
        <w:right w:val="none" w:sz="0" w:space="0" w:color="auto"/>
      </w:divBdr>
    </w:div>
    <w:div w:id="880821891">
      <w:bodyDiv w:val="1"/>
      <w:marLeft w:val="0"/>
      <w:marRight w:val="0"/>
      <w:marTop w:val="0"/>
      <w:marBottom w:val="0"/>
      <w:divBdr>
        <w:top w:val="none" w:sz="0" w:space="0" w:color="auto"/>
        <w:left w:val="none" w:sz="0" w:space="0" w:color="auto"/>
        <w:bottom w:val="none" w:sz="0" w:space="0" w:color="auto"/>
        <w:right w:val="none" w:sz="0" w:space="0" w:color="auto"/>
      </w:divBdr>
    </w:div>
    <w:div w:id="882791187">
      <w:bodyDiv w:val="1"/>
      <w:marLeft w:val="0"/>
      <w:marRight w:val="0"/>
      <w:marTop w:val="0"/>
      <w:marBottom w:val="0"/>
      <w:divBdr>
        <w:top w:val="none" w:sz="0" w:space="0" w:color="auto"/>
        <w:left w:val="none" w:sz="0" w:space="0" w:color="auto"/>
        <w:bottom w:val="none" w:sz="0" w:space="0" w:color="auto"/>
        <w:right w:val="none" w:sz="0" w:space="0" w:color="auto"/>
      </w:divBdr>
    </w:div>
    <w:div w:id="884678126">
      <w:bodyDiv w:val="1"/>
      <w:marLeft w:val="0"/>
      <w:marRight w:val="0"/>
      <w:marTop w:val="0"/>
      <w:marBottom w:val="0"/>
      <w:divBdr>
        <w:top w:val="none" w:sz="0" w:space="0" w:color="auto"/>
        <w:left w:val="none" w:sz="0" w:space="0" w:color="auto"/>
        <w:bottom w:val="none" w:sz="0" w:space="0" w:color="auto"/>
        <w:right w:val="none" w:sz="0" w:space="0" w:color="auto"/>
      </w:divBdr>
    </w:div>
    <w:div w:id="889461495">
      <w:bodyDiv w:val="1"/>
      <w:marLeft w:val="0"/>
      <w:marRight w:val="0"/>
      <w:marTop w:val="0"/>
      <w:marBottom w:val="0"/>
      <w:divBdr>
        <w:top w:val="none" w:sz="0" w:space="0" w:color="auto"/>
        <w:left w:val="none" w:sz="0" w:space="0" w:color="auto"/>
        <w:bottom w:val="none" w:sz="0" w:space="0" w:color="auto"/>
        <w:right w:val="none" w:sz="0" w:space="0" w:color="auto"/>
      </w:divBdr>
    </w:div>
    <w:div w:id="894588597">
      <w:bodyDiv w:val="1"/>
      <w:marLeft w:val="0"/>
      <w:marRight w:val="0"/>
      <w:marTop w:val="0"/>
      <w:marBottom w:val="0"/>
      <w:divBdr>
        <w:top w:val="none" w:sz="0" w:space="0" w:color="auto"/>
        <w:left w:val="none" w:sz="0" w:space="0" w:color="auto"/>
        <w:bottom w:val="none" w:sz="0" w:space="0" w:color="auto"/>
        <w:right w:val="none" w:sz="0" w:space="0" w:color="auto"/>
      </w:divBdr>
    </w:div>
    <w:div w:id="896283438">
      <w:bodyDiv w:val="1"/>
      <w:marLeft w:val="0"/>
      <w:marRight w:val="0"/>
      <w:marTop w:val="0"/>
      <w:marBottom w:val="0"/>
      <w:divBdr>
        <w:top w:val="none" w:sz="0" w:space="0" w:color="auto"/>
        <w:left w:val="none" w:sz="0" w:space="0" w:color="auto"/>
        <w:bottom w:val="none" w:sz="0" w:space="0" w:color="auto"/>
        <w:right w:val="none" w:sz="0" w:space="0" w:color="auto"/>
      </w:divBdr>
    </w:div>
    <w:div w:id="903832999">
      <w:bodyDiv w:val="1"/>
      <w:marLeft w:val="0"/>
      <w:marRight w:val="0"/>
      <w:marTop w:val="0"/>
      <w:marBottom w:val="0"/>
      <w:divBdr>
        <w:top w:val="none" w:sz="0" w:space="0" w:color="auto"/>
        <w:left w:val="none" w:sz="0" w:space="0" w:color="auto"/>
        <w:bottom w:val="none" w:sz="0" w:space="0" w:color="auto"/>
        <w:right w:val="none" w:sz="0" w:space="0" w:color="auto"/>
      </w:divBdr>
    </w:div>
    <w:div w:id="912357084">
      <w:bodyDiv w:val="1"/>
      <w:marLeft w:val="0"/>
      <w:marRight w:val="0"/>
      <w:marTop w:val="0"/>
      <w:marBottom w:val="0"/>
      <w:divBdr>
        <w:top w:val="none" w:sz="0" w:space="0" w:color="auto"/>
        <w:left w:val="none" w:sz="0" w:space="0" w:color="auto"/>
        <w:bottom w:val="none" w:sz="0" w:space="0" w:color="auto"/>
        <w:right w:val="none" w:sz="0" w:space="0" w:color="auto"/>
      </w:divBdr>
    </w:div>
    <w:div w:id="926496337">
      <w:bodyDiv w:val="1"/>
      <w:marLeft w:val="0"/>
      <w:marRight w:val="0"/>
      <w:marTop w:val="0"/>
      <w:marBottom w:val="0"/>
      <w:divBdr>
        <w:top w:val="none" w:sz="0" w:space="0" w:color="auto"/>
        <w:left w:val="none" w:sz="0" w:space="0" w:color="auto"/>
        <w:bottom w:val="none" w:sz="0" w:space="0" w:color="auto"/>
        <w:right w:val="none" w:sz="0" w:space="0" w:color="auto"/>
      </w:divBdr>
    </w:div>
    <w:div w:id="933394499">
      <w:bodyDiv w:val="1"/>
      <w:marLeft w:val="0"/>
      <w:marRight w:val="0"/>
      <w:marTop w:val="0"/>
      <w:marBottom w:val="0"/>
      <w:divBdr>
        <w:top w:val="none" w:sz="0" w:space="0" w:color="auto"/>
        <w:left w:val="none" w:sz="0" w:space="0" w:color="auto"/>
        <w:bottom w:val="none" w:sz="0" w:space="0" w:color="auto"/>
        <w:right w:val="none" w:sz="0" w:space="0" w:color="auto"/>
      </w:divBdr>
    </w:div>
    <w:div w:id="934436749">
      <w:bodyDiv w:val="1"/>
      <w:marLeft w:val="0"/>
      <w:marRight w:val="0"/>
      <w:marTop w:val="0"/>
      <w:marBottom w:val="0"/>
      <w:divBdr>
        <w:top w:val="none" w:sz="0" w:space="0" w:color="auto"/>
        <w:left w:val="none" w:sz="0" w:space="0" w:color="auto"/>
        <w:bottom w:val="none" w:sz="0" w:space="0" w:color="auto"/>
        <w:right w:val="none" w:sz="0" w:space="0" w:color="auto"/>
      </w:divBdr>
    </w:div>
    <w:div w:id="937715279">
      <w:bodyDiv w:val="1"/>
      <w:marLeft w:val="0"/>
      <w:marRight w:val="0"/>
      <w:marTop w:val="0"/>
      <w:marBottom w:val="0"/>
      <w:divBdr>
        <w:top w:val="none" w:sz="0" w:space="0" w:color="auto"/>
        <w:left w:val="none" w:sz="0" w:space="0" w:color="auto"/>
        <w:bottom w:val="none" w:sz="0" w:space="0" w:color="auto"/>
        <w:right w:val="none" w:sz="0" w:space="0" w:color="auto"/>
      </w:divBdr>
    </w:div>
    <w:div w:id="951597472">
      <w:bodyDiv w:val="1"/>
      <w:marLeft w:val="0"/>
      <w:marRight w:val="0"/>
      <w:marTop w:val="0"/>
      <w:marBottom w:val="0"/>
      <w:divBdr>
        <w:top w:val="none" w:sz="0" w:space="0" w:color="auto"/>
        <w:left w:val="none" w:sz="0" w:space="0" w:color="auto"/>
        <w:bottom w:val="none" w:sz="0" w:space="0" w:color="auto"/>
        <w:right w:val="none" w:sz="0" w:space="0" w:color="auto"/>
      </w:divBdr>
    </w:div>
    <w:div w:id="953831971">
      <w:bodyDiv w:val="1"/>
      <w:marLeft w:val="0"/>
      <w:marRight w:val="0"/>
      <w:marTop w:val="0"/>
      <w:marBottom w:val="0"/>
      <w:divBdr>
        <w:top w:val="none" w:sz="0" w:space="0" w:color="auto"/>
        <w:left w:val="none" w:sz="0" w:space="0" w:color="auto"/>
        <w:bottom w:val="none" w:sz="0" w:space="0" w:color="auto"/>
        <w:right w:val="none" w:sz="0" w:space="0" w:color="auto"/>
      </w:divBdr>
    </w:div>
    <w:div w:id="975137129">
      <w:bodyDiv w:val="1"/>
      <w:marLeft w:val="0"/>
      <w:marRight w:val="0"/>
      <w:marTop w:val="0"/>
      <w:marBottom w:val="0"/>
      <w:divBdr>
        <w:top w:val="none" w:sz="0" w:space="0" w:color="auto"/>
        <w:left w:val="none" w:sz="0" w:space="0" w:color="auto"/>
        <w:bottom w:val="none" w:sz="0" w:space="0" w:color="auto"/>
        <w:right w:val="none" w:sz="0" w:space="0" w:color="auto"/>
      </w:divBdr>
    </w:div>
    <w:div w:id="981273885">
      <w:bodyDiv w:val="1"/>
      <w:marLeft w:val="0"/>
      <w:marRight w:val="0"/>
      <w:marTop w:val="0"/>
      <w:marBottom w:val="0"/>
      <w:divBdr>
        <w:top w:val="none" w:sz="0" w:space="0" w:color="auto"/>
        <w:left w:val="none" w:sz="0" w:space="0" w:color="auto"/>
        <w:bottom w:val="none" w:sz="0" w:space="0" w:color="auto"/>
        <w:right w:val="none" w:sz="0" w:space="0" w:color="auto"/>
      </w:divBdr>
    </w:div>
    <w:div w:id="984429515">
      <w:bodyDiv w:val="1"/>
      <w:marLeft w:val="0"/>
      <w:marRight w:val="0"/>
      <w:marTop w:val="0"/>
      <w:marBottom w:val="0"/>
      <w:divBdr>
        <w:top w:val="none" w:sz="0" w:space="0" w:color="auto"/>
        <w:left w:val="none" w:sz="0" w:space="0" w:color="auto"/>
        <w:bottom w:val="none" w:sz="0" w:space="0" w:color="auto"/>
        <w:right w:val="none" w:sz="0" w:space="0" w:color="auto"/>
      </w:divBdr>
    </w:div>
    <w:div w:id="985551166">
      <w:bodyDiv w:val="1"/>
      <w:marLeft w:val="0"/>
      <w:marRight w:val="0"/>
      <w:marTop w:val="0"/>
      <w:marBottom w:val="0"/>
      <w:divBdr>
        <w:top w:val="none" w:sz="0" w:space="0" w:color="auto"/>
        <w:left w:val="none" w:sz="0" w:space="0" w:color="auto"/>
        <w:bottom w:val="none" w:sz="0" w:space="0" w:color="auto"/>
        <w:right w:val="none" w:sz="0" w:space="0" w:color="auto"/>
      </w:divBdr>
    </w:div>
    <w:div w:id="987825084">
      <w:bodyDiv w:val="1"/>
      <w:marLeft w:val="0"/>
      <w:marRight w:val="0"/>
      <w:marTop w:val="0"/>
      <w:marBottom w:val="0"/>
      <w:divBdr>
        <w:top w:val="none" w:sz="0" w:space="0" w:color="auto"/>
        <w:left w:val="none" w:sz="0" w:space="0" w:color="auto"/>
        <w:bottom w:val="none" w:sz="0" w:space="0" w:color="auto"/>
        <w:right w:val="none" w:sz="0" w:space="0" w:color="auto"/>
      </w:divBdr>
    </w:div>
    <w:div w:id="989403529">
      <w:bodyDiv w:val="1"/>
      <w:marLeft w:val="0"/>
      <w:marRight w:val="0"/>
      <w:marTop w:val="0"/>
      <w:marBottom w:val="0"/>
      <w:divBdr>
        <w:top w:val="none" w:sz="0" w:space="0" w:color="auto"/>
        <w:left w:val="none" w:sz="0" w:space="0" w:color="auto"/>
        <w:bottom w:val="none" w:sz="0" w:space="0" w:color="auto"/>
        <w:right w:val="none" w:sz="0" w:space="0" w:color="auto"/>
      </w:divBdr>
    </w:div>
    <w:div w:id="1008140358">
      <w:bodyDiv w:val="1"/>
      <w:marLeft w:val="0"/>
      <w:marRight w:val="0"/>
      <w:marTop w:val="0"/>
      <w:marBottom w:val="0"/>
      <w:divBdr>
        <w:top w:val="none" w:sz="0" w:space="0" w:color="auto"/>
        <w:left w:val="none" w:sz="0" w:space="0" w:color="auto"/>
        <w:bottom w:val="none" w:sz="0" w:space="0" w:color="auto"/>
        <w:right w:val="none" w:sz="0" w:space="0" w:color="auto"/>
      </w:divBdr>
    </w:div>
    <w:div w:id="1013528288">
      <w:bodyDiv w:val="1"/>
      <w:marLeft w:val="0"/>
      <w:marRight w:val="0"/>
      <w:marTop w:val="0"/>
      <w:marBottom w:val="0"/>
      <w:divBdr>
        <w:top w:val="none" w:sz="0" w:space="0" w:color="auto"/>
        <w:left w:val="none" w:sz="0" w:space="0" w:color="auto"/>
        <w:bottom w:val="none" w:sz="0" w:space="0" w:color="auto"/>
        <w:right w:val="none" w:sz="0" w:space="0" w:color="auto"/>
      </w:divBdr>
    </w:div>
    <w:div w:id="1014453073">
      <w:bodyDiv w:val="1"/>
      <w:marLeft w:val="0"/>
      <w:marRight w:val="0"/>
      <w:marTop w:val="0"/>
      <w:marBottom w:val="0"/>
      <w:divBdr>
        <w:top w:val="none" w:sz="0" w:space="0" w:color="auto"/>
        <w:left w:val="none" w:sz="0" w:space="0" w:color="auto"/>
        <w:bottom w:val="none" w:sz="0" w:space="0" w:color="auto"/>
        <w:right w:val="none" w:sz="0" w:space="0" w:color="auto"/>
      </w:divBdr>
    </w:div>
    <w:div w:id="1023020589">
      <w:bodyDiv w:val="1"/>
      <w:marLeft w:val="0"/>
      <w:marRight w:val="0"/>
      <w:marTop w:val="0"/>
      <w:marBottom w:val="0"/>
      <w:divBdr>
        <w:top w:val="none" w:sz="0" w:space="0" w:color="auto"/>
        <w:left w:val="none" w:sz="0" w:space="0" w:color="auto"/>
        <w:bottom w:val="none" w:sz="0" w:space="0" w:color="auto"/>
        <w:right w:val="none" w:sz="0" w:space="0" w:color="auto"/>
      </w:divBdr>
    </w:div>
    <w:div w:id="1032220349">
      <w:bodyDiv w:val="1"/>
      <w:marLeft w:val="0"/>
      <w:marRight w:val="0"/>
      <w:marTop w:val="0"/>
      <w:marBottom w:val="0"/>
      <w:divBdr>
        <w:top w:val="none" w:sz="0" w:space="0" w:color="auto"/>
        <w:left w:val="none" w:sz="0" w:space="0" w:color="auto"/>
        <w:bottom w:val="none" w:sz="0" w:space="0" w:color="auto"/>
        <w:right w:val="none" w:sz="0" w:space="0" w:color="auto"/>
      </w:divBdr>
    </w:div>
    <w:div w:id="1052198454">
      <w:bodyDiv w:val="1"/>
      <w:marLeft w:val="0"/>
      <w:marRight w:val="0"/>
      <w:marTop w:val="0"/>
      <w:marBottom w:val="0"/>
      <w:divBdr>
        <w:top w:val="none" w:sz="0" w:space="0" w:color="auto"/>
        <w:left w:val="none" w:sz="0" w:space="0" w:color="auto"/>
        <w:bottom w:val="none" w:sz="0" w:space="0" w:color="auto"/>
        <w:right w:val="none" w:sz="0" w:space="0" w:color="auto"/>
      </w:divBdr>
    </w:div>
    <w:div w:id="1054081527">
      <w:bodyDiv w:val="1"/>
      <w:marLeft w:val="0"/>
      <w:marRight w:val="0"/>
      <w:marTop w:val="0"/>
      <w:marBottom w:val="0"/>
      <w:divBdr>
        <w:top w:val="none" w:sz="0" w:space="0" w:color="auto"/>
        <w:left w:val="none" w:sz="0" w:space="0" w:color="auto"/>
        <w:bottom w:val="none" w:sz="0" w:space="0" w:color="auto"/>
        <w:right w:val="none" w:sz="0" w:space="0" w:color="auto"/>
      </w:divBdr>
    </w:div>
    <w:div w:id="1057624320">
      <w:bodyDiv w:val="1"/>
      <w:marLeft w:val="0"/>
      <w:marRight w:val="0"/>
      <w:marTop w:val="0"/>
      <w:marBottom w:val="0"/>
      <w:divBdr>
        <w:top w:val="none" w:sz="0" w:space="0" w:color="auto"/>
        <w:left w:val="none" w:sz="0" w:space="0" w:color="auto"/>
        <w:bottom w:val="none" w:sz="0" w:space="0" w:color="auto"/>
        <w:right w:val="none" w:sz="0" w:space="0" w:color="auto"/>
      </w:divBdr>
    </w:div>
    <w:div w:id="1064721567">
      <w:bodyDiv w:val="1"/>
      <w:marLeft w:val="0"/>
      <w:marRight w:val="0"/>
      <w:marTop w:val="0"/>
      <w:marBottom w:val="0"/>
      <w:divBdr>
        <w:top w:val="none" w:sz="0" w:space="0" w:color="auto"/>
        <w:left w:val="none" w:sz="0" w:space="0" w:color="auto"/>
        <w:bottom w:val="none" w:sz="0" w:space="0" w:color="auto"/>
        <w:right w:val="none" w:sz="0" w:space="0" w:color="auto"/>
      </w:divBdr>
    </w:div>
    <w:div w:id="1072502690">
      <w:bodyDiv w:val="1"/>
      <w:marLeft w:val="0"/>
      <w:marRight w:val="0"/>
      <w:marTop w:val="0"/>
      <w:marBottom w:val="0"/>
      <w:divBdr>
        <w:top w:val="none" w:sz="0" w:space="0" w:color="auto"/>
        <w:left w:val="none" w:sz="0" w:space="0" w:color="auto"/>
        <w:bottom w:val="none" w:sz="0" w:space="0" w:color="auto"/>
        <w:right w:val="none" w:sz="0" w:space="0" w:color="auto"/>
      </w:divBdr>
    </w:div>
    <w:div w:id="1081559659">
      <w:bodyDiv w:val="1"/>
      <w:marLeft w:val="0"/>
      <w:marRight w:val="0"/>
      <w:marTop w:val="0"/>
      <w:marBottom w:val="0"/>
      <w:divBdr>
        <w:top w:val="none" w:sz="0" w:space="0" w:color="auto"/>
        <w:left w:val="none" w:sz="0" w:space="0" w:color="auto"/>
        <w:bottom w:val="none" w:sz="0" w:space="0" w:color="auto"/>
        <w:right w:val="none" w:sz="0" w:space="0" w:color="auto"/>
      </w:divBdr>
    </w:div>
    <w:div w:id="1083068404">
      <w:bodyDiv w:val="1"/>
      <w:marLeft w:val="0"/>
      <w:marRight w:val="0"/>
      <w:marTop w:val="0"/>
      <w:marBottom w:val="0"/>
      <w:divBdr>
        <w:top w:val="none" w:sz="0" w:space="0" w:color="auto"/>
        <w:left w:val="none" w:sz="0" w:space="0" w:color="auto"/>
        <w:bottom w:val="none" w:sz="0" w:space="0" w:color="auto"/>
        <w:right w:val="none" w:sz="0" w:space="0" w:color="auto"/>
      </w:divBdr>
    </w:div>
    <w:div w:id="1085228167">
      <w:bodyDiv w:val="1"/>
      <w:marLeft w:val="0"/>
      <w:marRight w:val="0"/>
      <w:marTop w:val="0"/>
      <w:marBottom w:val="0"/>
      <w:divBdr>
        <w:top w:val="none" w:sz="0" w:space="0" w:color="auto"/>
        <w:left w:val="none" w:sz="0" w:space="0" w:color="auto"/>
        <w:bottom w:val="none" w:sz="0" w:space="0" w:color="auto"/>
        <w:right w:val="none" w:sz="0" w:space="0" w:color="auto"/>
      </w:divBdr>
    </w:div>
    <w:div w:id="1091391556">
      <w:bodyDiv w:val="1"/>
      <w:marLeft w:val="0"/>
      <w:marRight w:val="0"/>
      <w:marTop w:val="0"/>
      <w:marBottom w:val="0"/>
      <w:divBdr>
        <w:top w:val="none" w:sz="0" w:space="0" w:color="auto"/>
        <w:left w:val="none" w:sz="0" w:space="0" w:color="auto"/>
        <w:bottom w:val="none" w:sz="0" w:space="0" w:color="auto"/>
        <w:right w:val="none" w:sz="0" w:space="0" w:color="auto"/>
      </w:divBdr>
    </w:div>
    <w:div w:id="1091700712">
      <w:bodyDiv w:val="1"/>
      <w:marLeft w:val="0"/>
      <w:marRight w:val="0"/>
      <w:marTop w:val="0"/>
      <w:marBottom w:val="0"/>
      <w:divBdr>
        <w:top w:val="none" w:sz="0" w:space="0" w:color="auto"/>
        <w:left w:val="none" w:sz="0" w:space="0" w:color="auto"/>
        <w:bottom w:val="none" w:sz="0" w:space="0" w:color="auto"/>
        <w:right w:val="none" w:sz="0" w:space="0" w:color="auto"/>
      </w:divBdr>
    </w:div>
    <w:div w:id="1094933858">
      <w:bodyDiv w:val="1"/>
      <w:marLeft w:val="0"/>
      <w:marRight w:val="0"/>
      <w:marTop w:val="0"/>
      <w:marBottom w:val="0"/>
      <w:divBdr>
        <w:top w:val="none" w:sz="0" w:space="0" w:color="auto"/>
        <w:left w:val="none" w:sz="0" w:space="0" w:color="auto"/>
        <w:bottom w:val="none" w:sz="0" w:space="0" w:color="auto"/>
        <w:right w:val="none" w:sz="0" w:space="0" w:color="auto"/>
      </w:divBdr>
    </w:div>
    <w:div w:id="1096488155">
      <w:bodyDiv w:val="1"/>
      <w:marLeft w:val="0"/>
      <w:marRight w:val="0"/>
      <w:marTop w:val="0"/>
      <w:marBottom w:val="0"/>
      <w:divBdr>
        <w:top w:val="none" w:sz="0" w:space="0" w:color="auto"/>
        <w:left w:val="none" w:sz="0" w:space="0" w:color="auto"/>
        <w:bottom w:val="none" w:sz="0" w:space="0" w:color="auto"/>
        <w:right w:val="none" w:sz="0" w:space="0" w:color="auto"/>
      </w:divBdr>
    </w:div>
    <w:div w:id="1108819517">
      <w:bodyDiv w:val="1"/>
      <w:marLeft w:val="0"/>
      <w:marRight w:val="0"/>
      <w:marTop w:val="0"/>
      <w:marBottom w:val="0"/>
      <w:divBdr>
        <w:top w:val="none" w:sz="0" w:space="0" w:color="auto"/>
        <w:left w:val="none" w:sz="0" w:space="0" w:color="auto"/>
        <w:bottom w:val="none" w:sz="0" w:space="0" w:color="auto"/>
        <w:right w:val="none" w:sz="0" w:space="0" w:color="auto"/>
      </w:divBdr>
    </w:div>
    <w:div w:id="1117141672">
      <w:bodyDiv w:val="1"/>
      <w:marLeft w:val="0"/>
      <w:marRight w:val="0"/>
      <w:marTop w:val="0"/>
      <w:marBottom w:val="0"/>
      <w:divBdr>
        <w:top w:val="none" w:sz="0" w:space="0" w:color="auto"/>
        <w:left w:val="none" w:sz="0" w:space="0" w:color="auto"/>
        <w:bottom w:val="none" w:sz="0" w:space="0" w:color="auto"/>
        <w:right w:val="none" w:sz="0" w:space="0" w:color="auto"/>
      </w:divBdr>
    </w:div>
    <w:div w:id="1119758574">
      <w:bodyDiv w:val="1"/>
      <w:marLeft w:val="0"/>
      <w:marRight w:val="0"/>
      <w:marTop w:val="0"/>
      <w:marBottom w:val="0"/>
      <w:divBdr>
        <w:top w:val="none" w:sz="0" w:space="0" w:color="auto"/>
        <w:left w:val="none" w:sz="0" w:space="0" w:color="auto"/>
        <w:bottom w:val="none" w:sz="0" w:space="0" w:color="auto"/>
        <w:right w:val="none" w:sz="0" w:space="0" w:color="auto"/>
      </w:divBdr>
    </w:div>
    <w:div w:id="1122922399">
      <w:bodyDiv w:val="1"/>
      <w:marLeft w:val="0"/>
      <w:marRight w:val="0"/>
      <w:marTop w:val="0"/>
      <w:marBottom w:val="0"/>
      <w:divBdr>
        <w:top w:val="none" w:sz="0" w:space="0" w:color="auto"/>
        <w:left w:val="none" w:sz="0" w:space="0" w:color="auto"/>
        <w:bottom w:val="none" w:sz="0" w:space="0" w:color="auto"/>
        <w:right w:val="none" w:sz="0" w:space="0" w:color="auto"/>
      </w:divBdr>
    </w:div>
    <w:div w:id="1124884119">
      <w:bodyDiv w:val="1"/>
      <w:marLeft w:val="0"/>
      <w:marRight w:val="0"/>
      <w:marTop w:val="0"/>
      <w:marBottom w:val="0"/>
      <w:divBdr>
        <w:top w:val="none" w:sz="0" w:space="0" w:color="auto"/>
        <w:left w:val="none" w:sz="0" w:space="0" w:color="auto"/>
        <w:bottom w:val="none" w:sz="0" w:space="0" w:color="auto"/>
        <w:right w:val="none" w:sz="0" w:space="0" w:color="auto"/>
      </w:divBdr>
    </w:div>
    <w:div w:id="1129712924">
      <w:bodyDiv w:val="1"/>
      <w:marLeft w:val="0"/>
      <w:marRight w:val="0"/>
      <w:marTop w:val="0"/>
      <w:marBottom w:val="0"/>
      <w:divBdr>
        <w:top w:val="none" w:sz="0" w:space="0" w:color="auto"/>
        <w:left w:val="none" w:sz="0" w:space="0" w:color="auto"/>
        <w:bottom w:val="none" w:sz="0" w:space="0" w:color="auto"/>
        <w:right w:val="none" w:sz="0" w:space="0" w:color="auto"/>
      </w:divBdr>
    </w:div>
    <w:div w:id="1140656720">
      <w:bodyDiv w:val="1"/>
      <w:marLeft w:val="0"/>
      <w:marRight w:val="0"/>
      <w:marTop w:val="0"/>
      <w:marBottom w:val="0"/>
      <w:divBdr>
        <w:top w:val="none" w:sz="0" w:space="0" w:color="auto"/>
        <w:left w:val="none" w:sz="0" w:space="0" w:color="auto"/>
        <w:bottom w:val="none" w:sz="0" w:space="0" w:color="auto"/>
        <w:right w:val="none" w:sz="0" w:space="0" w:color="auto"/>
      </w:divBdr>
    </w:div>
    <w:div w:id="1142381000">
      <w:bodyDiv w:val="1"/>
      <w:marLeft w:val="0"/>
      <w:marRight w:val="0"/>
      <w:marTop w:val="0"/>
      <w:marBottom w:val="0"/>
      <w:divBdr>
        <w:top w:val="none" w:sz="0" w:space="0" w:color="auto"/>
        <w:left w:val="none" w:sz="0" w:space="0" w:color="auto"/>
        <w:bottom w:val="none" w:sz="0" w:space="0" w:color="auto"/>
        <w:right w:val="none" w:sz="0" w:space="0" w:color="auto"/>
      </w:divBdr>
    </w:div>
    <w:div w:id="1144351534">
      <w:bodyDiv w:val="1"/>
      <w:marLeft w:val="0"/>
      <w:marRight w:val="0"/>
      <w:marTop w:val="0"/>
      <w:marBottom w:val="0"/>
      <w:divBdr>
        <w:top w:val="none" w:sz="0" w:space="0" w:color="auto"/>
        <w:left w:val="none" w:sz="0" w:space="0" w:color="auto"/>
        <w:bottom w:val="none" w:sz="0" w:space="0" w:color="auto"/>
        <w:right w:val="none" w:sz="0" w:space="0" w:color="auto"/>
      </w:divBdr>
    </w:div>
    <w:div w:id="1152714673">
      <w:bodyDiv w:val="1"/>
      <w:marLeft w:val="0"/>
      <w:marRight w:val="0"/>
      <w:marTop w:val="0"/>
      <w:marBottom w:val="0"/>
      <w:divBdr>
        <w:top w:val="none" w:sz="0" w:space="0" w:color="auto"/>
        <w:left w:val="none" w:sz="0" w:space="0" w:color="auto"/>
        <w:bottom w:val="none" w:sz="0" w:space="0" w:color="auto"/>
        <w:right w:val="none" w:sz="0" w:space="0" w:color="auto"/>
      </w:divBdr>
    </w:div>
    <w:div w:id="1153523205">
      <w:bodyDiv w:val="1"/>
      <w:marLeft w:val="0"/>
      <w:marRight w:val="0"/>
      <w:marTop w:val="0"/>
      <w:marBottom w:val="0"/>
      <w:divBdr>
        <w:top w:val="none" w:sz="0" w:space="0" w:color="auto"/>
        <w:left w:val="none" w:sz="0" w:space="0" w:color="auto"/>
        <w:bottom w:val="none" w:sz="0" w:space="0" w:color="auto"/>
        <w:right w:val="none" w:sz="0" w:space="0" w:color="auto"/>
      </w:divBdr>
    </w:div>
    <w:div w:id="1155990249">
      <w:bodyDiv w:val="1"/>
      <w:marLeft w:val="0"/>
      <w:marRight w:val="0"/>
      <w:marTop w:val="0"/>
      <w:marBottom w:val="0"/>
      <w:divBdr>
        <w:top w:val="none" w:sz="0" w:space="0" w:color="auto"/>
        <w:left w:val="none" w:sz="0" w:space="0" w:color="auto"/>
        <w:bottom w:val="none" w:sz="0" w:space="0" w:color="auto"/>
        <w:right w:val="none" w:sz="0" w:space="0" w:color="auto"/>
      </w:divBdr>
    </w:div>
    <w:div w:id="1161238555">
      <w:bodyDiv w:val="1"/>
      <w:marLeft w:val="0"/>
      <w:marRight w:val="0"/>
      <w:marTop w:val="0"/>
      <w:marBottom w:val="0"/>
      <w:divBdr>
        <w:top w:val="none" w:sz="0" w:space="0" w:color="auto"/>
        <w:left w:val="none" w:sz="0" w:space="0" w:color="auto"/>
        <w:bottom w:val="none" w:sz="0" w:space="0" w:color="auto"/>
        <w:right w:val="none" w:sz="0" w:space="0" w:color="auto"/>
      </w:divBdr>
    </w:div>
    <w:div w:id="1173960368">
      <w:bodyDiv w:val="1"/>
      <w:marLeft w:val="0"/>
      <w:marRight w:val="0"/>
      <w:marTop w:val="0"/>
      <w:marBottom w:val="0"/>
      <w:divBdr>
        <w:top w:val="none" w:sz="0" w:space="0" w:color="auto"/>
        <w:left w:val="none" w:sz="0" w:space="0" w:color="auto"/>
        <w:bottom w:val="none" w:sz="0" w:space="0" w:color="auto"/>
        <w:right w:val="none" w:sz="0" w:space="0" w:color="auto"/>
      </w:divBdr>
    </w:div>
    <w:div w:id="1176841180">
      <w:bodyDiv w:val="1"/>
      <w:marLeft w:val="0"/>
      <w:marRight w:val="0"/>
      <w:marTop w:val="0"/>
      <w:marBottom w:val="0"/>
      <w:divBdr>
        <w:top w:val="none" w:sz="0" w:space="0" w:color="auto"/>
        <w:left w:val="none" w:sz="0" w:space="0" w:color="auto"/>
        <w:bottom w:val="none" w:sz="0" w:space="0" w:color="auto"/>
        <w:right w:val="none" w:sz="0" w:space="0" w:color="auto"/>
      </w:divBdr>
    </w:div>
    <w:div w:id="1181580593">
      <w:bodyDiv w:val="1"/>
      <w:marLeft w:val="0"/>
      <w:marRight w:val="0"/>
      <w:marTop w:val="0"/>
      <w:marBottom w:val="0"/>
      <w:divBdr>
        <w:top w:val="none" w:sz="0" w:space="0" w:color="auto"/>
        <w:left w:val="none" w:sz="0" w:space="0" w:color="auto"/>
        <w:bottom w:val="none" w:sz="0" w:space="0" w:color="auto"/>
        <w:right w:val="none" w:sz="0" w:space="0" w:color="auto"/>
      </w:divBdr>
    </w:div>
    <w:div w:id="1191527564">
      <w:bodyDiv w:val="1"/>
      <w:marLeft w:val="0"/>
      <w:marRight w:val="0"/>
      <w:marTop w:val="0"/>
      <w:marBottom w:val="0"/>
      <w:divBdr>
        <w:top w:val="none" w:sz="0" w:space="0" w:color="auto"/>
        <w:left w:val="none" w:sz="0" w:space="0" w:color="auto"/>
        <w:bottom w:val="none" w:sz="0" w:space="0" w:color="auto"/>
        <w:right w:val="none" w:sz="0" w:space="0" w:color="auto"/>
      </w:divBdr>
    </w:div>
    <w:div w:id="1195382250">
      <w:bodyDiv w:val="1"/>
      <w:marLeft w:val="0"/>
      <w:marRight w:val="0"/>
      <w:marTop w:val="0"/>
      <w:marBottom w:val="0"/>
      <w:divBdr>
        <w:top w:val="none" w:sz="0" w:space="0" w:color="auto"/>
        <w:left w:val="none" w:sz="0" w:space="0" w:color="auto"/>
        <w:bottom w:val="none" w:sz="0" w:space="0" w:color="auto"/>
        <w:right w:val="none" w:sz="0" w:space="0" w:color="auto"/>
      </w:divBdr>
    </w:div>
    <w:div w:id="1196314428">
      <w:bodyDiv w:val="1"/>
      <w:marLeft w:val="0"/>
      <w:marRight w:val="0"/>
      <w:marTop w:val="0"/>
      <w:marBottom w:val="0"/>
      <w:divBdr>
        <w:top w:val="none" w:sz="0" w:space="0" w:color="auto"/>
        <w:left w:val="none" w:sz="0" w:space="0" w:color="auto"/>
        <w:bottom w:val="none" w:sz="0" w:space="0" w:color="auto"/>
        <w:right w:val="none" w:sz="0" w:space="0" w:color="auto"/>
      </w:divBdr>
    </w:div>
    <w:div w:id="1212115517">
      <w:bodyDiv w:val="1"/>
      <w:marLeft w:val="0"/>
      <w:marRight w:val="0"/>
      <w:marTop w:val="0"/>
      <w:marBottom w:val="0"/>
      <w:divBdr>
        <w:top w:val="none" w:sz="0" w:space="0" w:color="auto"/>
        <w:left w:val="none" w:sz="0" w:space="0" w:color="auto"/>
        <w:bottom w:val="none" w:sz="0" w:space="0" w:color="auto"/>
        <w:right w:val="none" w:sz="0" w:space="0" w:color="auto"/>
      </w:divBdr>
    </w:div>
    <w:div w:id="1212352556">
      <w:bodyDiv w:val="1"/>
      <w:marLeft w:val="0"/>
      <w:marRight w:val="0"/>
      <w:marTop w:val="0"/>
      <w:marBottom w:val="0"/>
      <w:divBdr>
        <w:top w:val="none" w:sz="0" w:space="0" w:color="auto"/>
        <w:left w:val="none" w:sz="0" w:space="0" w:color="auto"/>
        <w:bottom w:val="none" w:sz="0" w:space="0" w:color="auto"/>
        <w:right w:val="none" w:sz="0" w:space="0" w:color="auto"/>
      </w:divBdr>
    </w:div>
    <w:div w:id="1216235333">
      <w:bodyDiv w:val="1"/>
      <w:marLeft w:val="0"/>
      <w:marRight w:val="0"/>
      <w:marTop w:val="0"/>
      <w:marBottom w:val="0"/>
      <w:divBdr>
        <w:top w:val="none" w:sz="0" w:space="0" w:color="auto"/>
        <w:left w:val="none" w:sz="0" w:space="0" w:color="auto"/>
        <w:bottom w:val="none" w:sz="0" w:space="0" w:color="auto"/>
        <w:right w:val="none" w:sz="0" w:space="0" w:color="auto"/>
      </w:divBdr>
    </w:div>
    <w:div w:id="1228149416">
      <w:bodyDiv w:val="1"/>
      <w:marLeft w:val="0"/>
      <w:marRight w:val="0"/>
      <w:marTop w:val="0"/>
      <w:marBottom w:val="0"/>
      <w:divBdr>
        <w:top w:val="none" w:sz="0" w:space="0" w:color="auto"/>
        <w:left w:val="none" w:sz="0" w:space="0" w:color="auto"/>
        <w:bottom w:val="none" w:sz="0" w:space="0" w:color="auto"/>
        <w:right w:val="none" w:sz="0" w:space="0" w:color="auto"/>
      </w:divBdr>
    </w:div>
    <w:div w:id="1232545511">
      <w:bodyDiv w:val="1"/>
      <w:marLeft w:val="0"/>
      <w:marRight w:val="0"/>
      <w:marTop w:val="0"/>
      <w:marBottom w:val="0"/>
      <w:divBdr>
        <w:top w:val="none" w:sz="0" w:space="0" w:color="auto"/>
        <w:left w:val="none" w:sz="0" w:space="0" w:color="auto"/>
        <w:bottom w:val="none" w:sz="0" w:space="0" w:color="auto"/>
        <w:right w:val="none" w:sz="0" w:space="0" w:color="auto"/>
      </w:divBdr>
    </w:div>
    <w:div w:id="1234779941">
      <w:bodyDiv w:val="1"/>
      <w:marLeft w:val="0"/>
      <w:marRight w:val="0"/>
      <w:marTop w:val="0"/>
      <w:marBottom w:val="0"/>
      <w:divBdr>
        <w:top w:val="none" w:sz="0" w:space="0" w:color="auto"/>
        <w:left w:val="none" w:sz="0" w:space="0" w:color="auto"/>
        <w:bottom w:val="none" w:sz="0" w:space="0" w:color="auto"/>
        <w:right w:val="none" w:sz="0" w:space="0" w:color="auto"/>
      </w:divBdr>
    </w:div>
    <w:div w:id="1236353891">
      <w:bodyDiv w:val="1"/>
      <w:marLeft w:val="0"/>
      <w:marRight w:val="0"/>
      <w:marTop w:val="0"/>
      <w:marBottom w:val="0"/>
      <w:divBdr>
        <w:top w:val="none" w:sz="0" w:space="0" w:color="auto"/>
        <w:left w:val="none" w:sz="0" w:space="0" w:color="auto"/>
        <w:bottom w:val="none" w:sz="0" w:space="0" w:color="auto"/>
        <w:right w:val="none" w:sz="0" w:space="0" w:color="auto"/>
      </w:divBdr>
    </w:div>
    <w:div w:id="1243179655">
      <w:bodyDiv w:val="1"/>
      <w:marLeft w:val="0"/>
      <w:marRight w:val="0"/>
      <w:marTop w:val="0"/>
      <w:marBottom w:val="0"/>
      <w:divBdr>
        <w:top w:val="none" w:sz="0" w:space="0" w:color="auto"/>
        <w:left w:val="none" w:sz="0" w:space="0" w:color="auto"/>
        <w:bottom w:val="none" w:sz="0" w:space="0" w:color="auto"/>
        <w:right w:val="none" w:sz="0" w:space="0" w:color="auto"/>
      </w:divBdr>
    </w:div>
    <w:div w:id="1248730130">
      <w:bodyDiv w:val="1"/>
      <w:marLeft w:val="0"/>
      <w:marRight w:val="0"/>
      <w:marTop w:val="0"/>
      <w:marBottom w:val="0"/>
      <w:divBdr>
        <w:top w:val="none" w:sz="0" w:space="0" w:color="auto"/>
        <w:left w:val="none" w:sz="0" w:space="0" w:color="auto"/>
        <w:bottom w:val="none" w:sz="0" w:space="0" w:color="auto"/>
        <w:right w:val="none" w:sz="0" w:space="0" w:color="auto"/>
      </w:divBdr>
    </w:div>
    <w:div w:id="1249851871">
      <w:bodyDiv w:val="1"/>
      <w:marLeft w:val="0"/>
      <w:marRight w:val="0"/>
      <w:marTop w:val="0"/>
      <w:marBottom w:val="0"/>
      <w:divBdr>
        <w:top w:val="none" w:sz="0" w:space="0" w:color="auto"/>
        <w:left w:val="none" w:sz="0" w:space="0" w:color="auto"/>
        <w:bottom w:val="none" w:sz="0" w:space="0" w:color="auto"/>
        <w:right w:val="none" w:sz="0" w:space="0" w:color="auto"/>
      </w:divBdr>
    </w:div>
    <w:div w:id="1261450798">
      <w:bodyDiv w:val="1"/>
      <w:marLeft w:val="0"/>
      <w:marRight w:val="0"/>
      <w:marTop w:val="0"/>
      <w:marBottom w:val="0"/>
      <w:divBdr>
        <w:top w:val="none" w:sz="0" w:space="0" w:color="auto"/>
        <w:left w:val="none" w:sz="0" w:space="0" w:color="auto"/>
        <w:bottom w:val="none" w:sz="0" w:space="0" w:color="auto"/>
        <w:right w:val="none" w:sz="0" w:space="0" w:color="auto"/>
      </w:divBdr>
    </w:div>
    <w:div w:id="1261648004">
      <w:bodyDiv w:val="1"/>
      <w:marLeft w:val="0"/>
      <w:marRight w:val="0"/>
      <w:marTop w:val="0"/>
      <w:marBottom w:val="0"/>
      <w:divBdr>
        <w:top w:val="none" w:sz="0" w:space="0" w:color="auto"/>
        <w:left w:val="none" w:sz="0" w:space="0" w:color="auto"/>
        <w:bottom w:val="none" w:sz="0" w:space="0" w:color="auto"/>
        <w:right w:val="none" w:sz="0" w:space="0" w:color="auto"/>
      </w:divBdr>
    </w:div>
    <w:div w:id="1268197251">
      <w:bodyDiv w:val="1"/>
      <w:marLeft w:val="0"/>
      <w:marRight w:val="0"/>
      <w:marTop w:val="0"/>
      <w:marBottom w:val="0"/>
      <w:divBdr>
        <w:top w:val="none" w:sz="0" w:space="0" w:color="auto"/>
        <w:left w:val="none" w:sz="0" w:space="0" w:color="auto"/>
        <w:bottom w:val="none" w:sz="0" w:space="0" w:color="auto"/>
        <w:right w:val="none" w:sz="0" w:space="0" w:color="auto"/>
      </w:divBdr>
    </w:div>
    <w:div w:id="1268271714">
      <w:bodyDiv w:val="1"/>
      <w:marLeft w:val="0"/>
      <w:marRight w:val="0"/>
      <w:marTop w:val="0"/>
      <w:marBottom w:val="0"/>
      <w:divBdr>
        <w:top w:val="none" w:sz="0" w:space="0" w:color="auto"/>
        <w:left w:val="none" w:sz="0" w:space="0" w:color="auto"/>
        <w:bottom w:val="none" w:sz="0" w:space="0" w:color="auto"/>
        <w:right w:val="none" w:sz="0" w:space="0" w:color="auto"/>
      </w:divBdr>
    </w:div>
    <w:div w:id="1269315842">
      <w:bodyDiv w:val="1"/>
      <w:marLeft w:val="0"/>
      <w:marRight w:val="0"/>
      <w:marTop w:val="0"/>
      <w:marBottom w:val="0"/>
      <w:divBdr>
        <w:top w:val="none" w:sz="0" w:space="0" w:color="auto"/>
        <w:left w:val="none" w:sz="0" w:space="0" w:color="auto"/>
        <w:bottom w:val="none" w:sz="0" w:space="0" w:color="auto"/>
        <w:right w:val="none" w:sz="0" w:space="0" w:color="auto"/>
      </w:divBdr>
    </w:div>
    <w:div w:id="1271930576">
      <w:bodyDiv w:val="1"/>
      <w:marLeft w:val="0"/>
      <w:marRight w:val="0"/>
      <w:marTop w:val="0"/>
      <w:marBottom w:val="0"/>
      <w:divBdr>
        <w:top w:val="none" w:sz="0" w:space="0" w:color="auto"/>
        <w:left w:val="none" w:sz="0" w:space="0" w:color="auto"/>
        <w:bottom w:val="none" w:sz="0" w:space="0" w:color="auto"/>
        <w:right w:val="none" w:sz="0" w:space="0" w:color="auto"/>
      </w:divBdr>
    </w:div>
    <w:div w:id="1274169178">
      <w:bodyDiv w:val="1"/>
      <w:marLeft w:val="0"/>
      <w:marRight w:val="0"/>
      <w:marTop w:val="0"/>
      <w:marBottom w:val="0"/>
      <w:divBdr>
        <w:top w:val="none" w:sz="0" w:space="0" w:color="auto"/>
        <w:left w:val="none" w:sz="0" w:space="0" w:color="auto"/>
        <w:bottom w:val="none" w:sz="0" w:space="0" w:color="auto"/>
        <w:right w:val="none" w:sz="0" w:space="0" w:color="auto"/>
      </w:divBdr>
    </w:div>
    <w:div w:id="1276215177">
      <w:bodyDiv w:val="1"/>
      <w:marLeft w:val="0"/>
      <w:marRight w:val="0"/>
      <w:marTop w:val="0"/>
      <w:marBottom w:val="0"/>
      <w:divBdr>
        <w:top w:val="none" w:sz="0" w:space="0" w:color="auto"/>
        <w:left w:val="none" w:sz="0" w:space="0" w:color="auto"/>
        <w:bottom w:val="none" w:sz="0" w:space="0" w:color="auto"/>
        <w:right w:val="none" w:sz="0" w:space="0" w:color="auto"/>
      </w:divBdr>
    </w:div>
    <w:div w:id="1279869673">
      <w:bodyDiv w:val="1"/>
      <w:marLeft w:val="0"/>
      <w:marRight w:val="0"/>
      <w:marTop w:val="0"/>
      <w:marBottom w:val="0"/>
      <w:divBdr>
        <w:top w:val="none" w:sz="0" w:space="0" w:color="auto"/>
        <w:left w:val="none" w:sz="0" w:space="0" w:color="auto"/>
        <w:bottom w:val="none" w:sz="0" w:space="0" w:color="auto"/>
        <w:right w:val="none" w:sz="0" w:space="0" w:color="auto"/>
      </w:divBdr>
    </w:div>
    <w:div w:id="1284310451">
      <w:bodyDiv w:val="1"/>
      <w:marLeft w:val="0"/>
      <w:marRight w:val="0"/>
      <w:marTop w:val="0"/>
      <w:marBottom w:val="0"/>
      <w:divBdr>
        <w:top w:val="none" w:sz="0" w:space="0" w:color="auto"/>
        <w:left w:val="none" w:sz="0" w:space="0" w:color="auto"/>
        <w:bottom w:val="none" w:sz="0" w:space="0" w:color="auto"/>
        <w:right w:val="none" w:sz="0" w:space="0" w:color="auto"/>
      </w:divBdr>
    </w:div>
    <w:div w:id="1287934520">
      <w:bodyDiv w:val="1"/>
      <w:marLeft w:val="0"/>
      <w:marRight w:val="0"/>
      <w:marTop w:val="0"/>
      <w:marBottom w:val="0"/>
      <w:divBdr>
        <w:top w:val="none" w:sz="0" w:space="0" w:color="auto"/>
        <w:left w:val="none" w:sz="0" w:space="0" w:color="auto"/>
        <w:bottom w:val="none" w:sz="0" w:space="0" w:color="auto"/>
        <w:right w:val="none" w:sz="0" w:space="0" w:color="auto"/>
      </w:divBdr>
    </w:div>
    <w:div w:id="1288319535">
      <w:bodyDiv w:val="1"/>
      <w:marLeft w:val="0"/>
      <w:marRight w:val="0"/>
      <w:marTop w:val="0"/>
      <w:marBottom w:val="0"/>
      <w:divBdr>
        <w:top w:val="none" w:sz="0" w:space="0" w:color="auto"/>
        <w:left w:val="none" w:sz="0" w:space="0" w:color="auto"/>
        <w:bottom w:val="none" w:sz="0" w:space="0" w:color="auto"/>
        <w:right w:val="none" w:sz="0" w:space="0" w:color="auto"/>
      </w:divBdr>
    </w:div>
    <w:div w:id="1289774109">
      <w:bodyDiv w:val="1"/>
      <w:marLeft w:val="0"/>
      <w:marRight w:val="0"/>
      <w:marTop w:val="0"/>
      <w:marBottom w:val="0"/>
      <w:divBdr>
        <w:top w:val="none" w:sz="0" w:space="0" w:color="auto"/>
        <w:left w:val="none" w:sz="0" w:space="0" w:color="auto"/>
        <w:bottom w:val="none" w:sz="0" w:space="0" w:color="auto"/>
        <w:right w:val="none" w:sz="0" w:space="0" w:color="auto"/>
      </w:divBdr>
    </w:div>
    <w:div w:id="1294212216">
      <w:bodyDiv w:val="1"/>
      <w:marLeft w:val="0"/>
      <w:marRight w:val="0"/>
      <w:marTop w:val="0"/>
      <w:marBottom w:val="0"/>
      <w:divBdr>
        <w:top w:val="none" w:sz="0" w:space="0" w:color="auto"/>
        <w:left w:val="none" w:sz="0" w:space="0" w:color="auto"/>
        <w:bottom w:val="none" w:sz="0" w:space="0" w:color="auto"/>
        <w:right w:val="none" w:sz="0" w:space="0" w:color="auto"/>
      </w:divBdr>
    </w:div>
    <w:div w:id="1294679249">
      <w:bodyDiv w:val="1"/>
      <w:marLeft w:val="0"/>
      <w:marRight w:val="0"/>
      <w:marTop w:val="0"/>
      <w:marBottom w:val="0"/>
      <w:divBdr>
        <w:top w:val="none" w:sz="0" w:space="0" w:color="auto"/>
        <w:left w:val="none" w:sz="0" w:space="0" w:color="auto"/>
        <w:bottom w:val="none" w:sz="0" w:space="0" w:color="auto"/>
        <w:right w:val="none" w:sz="0" w:space="0" w:color="auto"/>
      </w:divBdr>
    </w:div>
    <w:div w:id="1298103248">
      <w:bodyDiv w:val="1"/>
      <w:marLeft w:val="0"/>
      <w:marRight w:val="0"/>
      <w:marTop w:val="0"/>
      <w:marBottom w:val="0"/>
      <w:divBdr>
        <w:top w:val="none" w:sz="0" w:space="0" w:color="auto"/>
        <w:left w:val="none" w:sz="0" w:space="0" w:color="auto"/>
        <w:bottom w:val="none" w:sz="0" w:space="0" w:color="auto"/>
        <w:right w:val="none" w:sz="0" w:space="0" w:color="auto"/>
      </w:divBdr>
    </w:div>
    <w:div w:id="1301961103">
      <w:bodyDiv w:val="1"/>
      <w:marLeft w:val="0"/>
      <w:marRight w:val="0"/>
      <w:marTop w:val="0"/>
      <w:marBottom w:val="0"/>
      <w:divBdr>
        <w:top w:val="none" w:sz="0" w:space="0" w:color="auto"/>
        <w:left w:val="none" w:sz="0" w:space="0" w:color="auto"/>
        <w:bottom w:val="none" w:sz="0" w:space="0" w:color="auto"/>
        <w:right w:val="none" w:sz="0" w:space="0" w:color="auto"/>
      </w:divBdr>
    </w:div>
    <w:div w:id="1302691682">
      <w:bodyDiv w:val="1"/>
      <w:marLeft w:val="0"/>
      <w:marRight w:val="0"/>
      <w:marTop w:val="0"/>
      <w:marBottom w:val="0"/>
      <w:divBdr>
        <w:top w:val="none" w:sz="0" w:space="0" w:color="auto"/>
        <w:left w:val="none" w:sz="0" w:space="0" w:color="auto"/>
        <w:bottom w:val="none" w:sz="0" w:space="0" w:color="auto"/>
        <w:right w:val="none" w:sz="0" w:space="0" w:color="auto"/>
      </w:divBdr>
    </w:div>
    <w:div w:id="1304844115">
      <w:bodyDiv w:val="1"/>
      <w:marLeft w:val="0"/>
      <w:marRight w:val="0"/>
      <w:marTop w:val="0"/>
      <w:marBottom w:val="0"/>
      <w:divBdr>
        <w:top w:val="none" w:sz="0" w:space="0" w:color="auto"/>
        <w:left w:val="none" w:sz="0" w:space="0" w:color="auto"/>
        <w:bottom w:val="none" w:sz="0" w:space="0" w:color="auto"/>
        <w:right w:val="none" w:sz="0" w:space="0" w:color="auto"/>
      </w:divBdr>
    </w:div>
    <w:div w:id="1309899063">
      <w:bodyDiv w:val="1"/>
      <w:marLeft w:val="0"/>
      <w:marRight w:val="0"/>
      <w:marTop w:val="0"/>
      <w:marBottom w:val="0"/>
      <w:divBdr>
        <w:top w:val="none" w:sz="0" w:space="0" w:color="auto"/>
        <w:left w:val="none" w:sz="0" w:space="0" w:color="auto"/>
        <w:bottom w:val="none" w:sz="0" w:space="0" w:color="auto"/>
        <w:right w:val="none" w:sz="0" w:space="0" w:color="auto"/>
      </w:divBdr>
    </w:div>
    <w:div w:id="1320620937">
      <w:bodyDiv w:val="1"/>
      <w:marLeft w:val="0"/>
      <w:marRight w:val="0"/>
      <w:marTop w:val="0"/>
      <w:marBottom w:val="0"/>
      <w:divBdr>
        <w:top w:val="none" w:sz="0" w:space="0" w:color="auto"/>
        <w:left w:val="none" w:sz="0" w:space="0" w:color="auto"/>
        <w:bottom w:val="none" w:sz="0" w:space="0" w:color="auto"/>
        <w:right w:val="none" w:sz="0" w:space="0" w:color="auto"/>
      </w:divBdr>
    </w:div>
    <w:div w:id="1332103751">
      <w:bodyDiv w:val="1"/>
      <w:marLeft w:val="0"/>
      <w:marRight w:val="0"/>
      <w:marTop w:val="0"/>
      <w:marBottom w:val="0"/>
      <w:divBdr>
        <w:top w:val="none" w:sz="0" w:space="0" w:color="auto"/>
        <w:left w:val="none" w:sz="0" w:space="0" w:color="auto"/>
        <w:bottom w:val="none" w:sz="0" w:space="0" w:color="auto"/>
        <w:right w:val="none" w:sz="0" w:space="0" w:color="auto"/>
      </w:divBdr>
    </w:div>
    <w:div w:id="1339387169">
      <w:bodyDiv w:val="1"/>
      <w:marLeft w:val="0"/>
      <w:marRight w:val="0"/>
      <w:marTop w:val="0"/>
      <w:marBottom w:val="0"/>
      <w:divBdr>
        <w:top w:val="none" w:sz="0" w:space="0" w:color="auto"/>
        <w:left w:val="none" w:sz="0" w:space="0" w:color="auto"/>
        <w:bottom w:val="none" w:sz="0" w:space="0" w:color="auto"/>
        <w:right w:val="none" w:sz="0" w:space="0" w:color="auto"/>
      </w:divBdr>
    </w:div>
    <w:div w:id="1349329225">
      <w:bodyDiv w:val="1"/>
      <w:marLeft w:val="0"/>
      <w:marRight w:val="0"/>
      <w:marTop w:val="0"/>
      <w:marBottom w:val="0"/>
      <w:divBdr>
        <w:top w:val="none" w:sz="0" w:space="0" w:color="auto"/>
        <w:left w:val="none" w:sz="0" w:space="0" w:color="auto"/>
        <w:bottom w:val="none" w:sz="0" w:space="0" w:color="auto"/>
        <w:right w:val="none" w:sz="0" w:space="0" w:color="auto"/>
      </w:divBdr>
    </w:div>
    <w:div w:id="1351495223">
      <w:bodyDiv w:val="1"/>
      <w:marLeft w:val="0"/>
      <w:marRight w:val="0"/>
      <w:marTop w:val="0"/>
      <w:marBottom w:val="0"/>
      <w:divBdr>
        <w:top w:val="none" w:sz="0" w:space="0" w:color="auto"/>
        <w:left w:val="none" w:sz="0" w:space="0" w:color="auto"/>
        <w:bottom w:val="none" w:sz="0" w:space="0" w:color="auto"/>
        <w:right w:val="none" w:sz="0" w:space="0" w:color="auto"/>
      </w:divBdr>
    </w:div>
    <w:div w:id="1353072787">
      <w:bodyDiv w:val="1"/>
      <w:marLeft w:val="0"/>
      <w:marRight w:val="0"/>
      <w:marTop w:val="0"/>
      <w:marBottom w:val="0"/>
      <w:divBdr>
        <w:top w:val="none" w:sz="0" w:space="0" w:color="auto"/>
        <w:left w:val="none" w:sz="0" w:space="0" w:color="auto"/>
        <w:bottom w:val="none" w:sz="0" w:space="0" w:color="auto"/>
        <w:right w:val="none" w:sz="0" w:space="0" w:color="auto"/>
      </w:divBdr>
    </w:div>
    <w:div w:id="1357853348">
      <w:bodyDiv w:val="1"/>
      <w:marLeft w:val="0"/>
      <w:marRight w:val="0"/>
      <w:marTop w:val="0"/>
      <w:marBottom w:val="0"/>
      <w:divBdr>
        <w:top w:val="none" w:sz="0" w:space="0" w:color="auto"/>
        <w:left w:val="none" w:sz="0" w:space="0" w:color="auto"/>
        <w:bottom w:val="none" w:sz="0" w:space="0" w:color="auto"/>
        <w:right w:val="none" w:sz="0" w:space="0" w:color="auto"/>
      </w:divBdr>
    </w:div>
    <w:div w:id="1358312893">
      <w:bodyDiv w:val="1"/>
      <w:marLeft w:val="0"/>
      <w:marRight w:val="0"/>
      <w:marTop w:val="0"/>
      <w:marBottom w:val="0"/>
      <w:divBdr>
        <w:top w:val="none" w:sz="0" w:space="0" w:color="auto"/>
        <w:left w:val="none" w:sz="0" w:space="0" w:color="auto"/>
        <w:bottom w:val="none" w:sz="0" w:space="0" w:color="auto"/>
        <w:right w:val="none" w:sz="0" w:space="0" w:color="auto"/>
      </w:divBdr>
    </w:div>
    <w:div w:id="1368338537">
      <w:bodyDiv w:val="1"/>
      <w:marLeft w:val="0"/>
      <w:marRight w:val="0"/>
      <w:marTop w:val="0"/>
      <w:marBottom w:val="0"/>
      <w:divBdr>
        <w:top w:val="none" w:sz="0" w:space="0" w:color="auto"/>
        <w:left w:val="none" w:sz="0" w:space="0" w:color="auto"/>
        <w:bottom w:val="none" w:sz="0" w:space="0" w:color="auto"/>
        <w:right w:val="none" w:sz="0" w:space="0" w:color="auto"/>
      </w:divBdr>
    </w:div>
    <w:div w:id="1375692039">
      <w:bodyDiv w:val="1"/>
      <w:marLeft w:val="0"/>
      <w:marRight w:val="0"/>
      <w:marTop w:val="0"/>
      <w:marBottom w:val="0"/>
      <w:divBdr>
        <w:top w:val="none" w:sz="0" w:space="0" w:color="auto"/>
        <w:left w:val="none" w:sz="0" w:space="0" w:color="auto"/>
        <w:bottom w:val="none" w:sz="0" w:space="0" w:color="auto"/>
        <w:right w:val="none" w:sz="0" w:space="0" w:color="auto"/>
      </w:divBdr>
    </w:div>
    <w:div w:id="1383410802">
      <w:bodyDiv w:val="1"/>
      <w:marLeft w:val="0"/>
      <w:marRight w:val="0"/>
      <w:marTop w:val="0"/>
      <w:marBottom w:val="0"/>
      <w:divBdr>
        <w:top w:val="none" w:sz="0" w:space="0" w:color="auto"/>
        <w:left w:val="none" w:sz="0" w:space="0" w:color="auto"/>
        <w:bottom w:val="none" w:sz="0" w:space="0" w:color="auto"/>
        <w:right w:val="none" w:sz="0" w:space="0" w:color="auto"/>
      </w:divBdr>
    </w:div>
    <w:div w:id="1385527027">
      <w:bodyDiv w:val="1"/>
      <w:marLeft w:val="0"/>
      <w:marRight w:val="0"/>
      <w:marTop w:val="0"/>
      <w:marBottom w:val="0"/>
      <w:divBdr>
        <w:top w:val="none" w:sz="0" w:space="0" w:color="auto"/>
        <w:left w:val="none" w:sz="0" w:space="0" w:color="auto"/>
        <w:bottom w:val="none" w:sz="0" w:space="0" w:color="auto"/>
        <w:right w:val="none" w:sz="0" w:space="0" w:color="auto"/>
      </w:divBdr>
    </w:div>
    <w:div w:id="1385593328">
      <w:bodyDiv w:val="1"/>
      <w:marLeft w:val="0"/>
      <w:marRight w:val="0"/>
      <w:marTop w:val="0"/>
      <w:marBottom w:val="0"/>
      <w:divBdr>
        <w:top w:val="none" w:sz="0" w:space="0" w:color="auto"/>
        <w:left w:val="none" w:sz="0" w:space="0" w:color="auto"/>
        <w:bottom w:val="none" w:sz="0" w:space="0" w:color="auto"/>
        <w:right w:val="none" w:sz="0" w:space="0" w:color="auto"/>
      </w:divBdr>
    </w:div>
    <w:div w:id="1388186195">
      <w:bodyDiv w:val="1"/>
      <w:marLeft w:val="0"/>
      <w:marRight w:val="0"/>
      <w:marTop w:val="0"/>
      <w:marBottom w:val="0"/>
      <w:divBdr>
        <w:top w:val="none" w:sz="0" w:space="0" w:color="auto"/>
        <w:left w:val="none" w:sz="0" w:space="0" w:color="auto"/>
        <w:bottom w:val="none" w:sz="0" w:space="0" w:color="auto"/>
        <w:right w:val="none" w:sz="0" w:space="0" w:color="auto"/>
      </w:divBdr>
    </w:div>
    <w:div w:id="1390420494">
      <w:bodyDiv w:val="1"/>
      <w:marLeft w:val="0"/>
      <w:marRight w:val="0"/>
      <w:marTop w:val="0"/>
      <w:marBottom w:val="0"/>
      <w:divBdr>
        <w:top w:val="none" w:sz="0" w:space="0" w:color="auto"/>
        <w:left w:val="none" w:sz="0" w:space="0" w:color="auto"/>
        <w:bottom w:val="none" w:sz="0" w:space="0" w:color="auto"/>
        <w:right w:val="none" w:sz="0" w:space="0" w:color="auto"/>
      </w:divBdr>
    </w:div>
    <w:div w:id="1391149533">
      <w:bodyDiv w:val="1"/>
      <w:marLeft w:val="0"/>
      <w:marRight w:val="0"/>
      <w:marTop w:val="0"/>
      <w:marBottom w:val="0"/>
      <w:divBdr>
        <w:top w:val="none" w:sz="0" w:space="0" w:color="auto"/>
        <w:left w:val="none" w:sz="0" w:space="0" w:color="auto"/>
        <w:bottom w:val="none" w:sz="0" w:space="0" w:color="auto"/>
        <w:right w:val="none" w:sz="0" w:space="0" w:color="auto"/>
      </w:divBdr>
    </w:div>
    <w:div w:id="1393043949">
      <w:bodyDiv w:val="1"/>
      <w:marLeft w:val="0"/>
      <w:marRight w:val="0"/>
      <w:marTop w:val="0"/>
      <w:marBottom w:val="0"/>
      <w:divBdr>
        <w:top w:val="none" w:sz="0" w:space="0" w:color="auto"/>
        <w:left w:val="none" w:sz="0" w:space="0" w:color="auto"/>
        <w:bottom w:val="none" w:sz="0" w:space="0" w:color="auto"/>
        <w:right w:val="none" w:sz="0" w:space="0" w:color="auto"/>
      </w:divBdr>
    </w:div>
    <w:div w:id="1399013954">
      <w:bodyDiv w:val="1"/>
      <w:marLeft w:val="0"/>
      <w:marRight w:val="0"/>
      <w:marTop w:val="0"/>
      <w:marBottom w:val="0"/>
      <w:divBdr>
        <w:top w:val="none" w:sz="0" w:space="0" w:color="auto"/>
        <w:left w:val="none" w:sz="0" w:space="0" w:color="auto"/>
        <w:bottom w:val="none" w:sz="0" w:space="0" w:color="auto"/>
        <w:right w:val="none" w:sz="0" w:space="0" w:color="auto"/>
      </w:divBdr>
    </w:div>
    <w:div w:id="1433625696">
      <w:bodyDiv w:val="1"/>
      <w:marLeft w:val="0"/>
      <w:marRight w:val="0"/>
      <w:marTop w:val="0"/>
      <w:marBottom w:val="0"/>
      <w:divBdr>
        <w:top w:val="none" w:sz="0" w:space="0" w:color="auto"/>
        <w:left w:val="none" w:sz="0" w:space="0" w:color="auto"/>
        <w:bottom w:val="none" w:sz="0" w:space="0" w:color="auto"/>
        <w:right w:val="none" w:sz="0" w:space="0" w:color="auto"/>
      </w:divBdr>
    </w:div>
    <w:div w:id="1436902424">
      <w:bodyDiv w:val="1"/>
      <w:marLeft w:val="0"/>
      <w:marRight w:val="0"/>
      <w:marTop w:val="0"/>
      <w:marBottom w:val="0"/>
      <w:divBdr>
        <w:top w:val="none" w:sz="0" w:space="0" w:color="auto"/>
        <w:left w:val="none" w:sz="0" w:space="0" w:color="auto"/>
        <w:bottom w:val="none" w:sz="0" w:space="0" w:color="auto"/>
        <w:right w:val="none" w:sz="0" w:space="0" w:color="auto"/>
      </w:divBdr>
    </w:div>
    <w:div w:id="1444693060">
      <w:bodyDiv w:val="1"/>
      <w:marLeft w:val="0"/>
      <w:marRight w:val="0"/>
      <w:marTop w:val="0"/>
      <w:marBottom w:val="0"/>
      <w:divBdr>
        <w:top w:val="none" w:sz="0" w:space="0" w:color="auto"/>
        <w:left w:val="none" w:sz="0" w:space="0" w:color="auto"/>
        <w:bottom w:val="none" w:sz="0" w:space="0" w:color="auto"/>
        <w:right w:val="none" w:sz="0" w:space="0" w:color="auto"/>
      </w:divBdr>
    </w:div>
    <w:div w:id="1447196612">
      <w:bodyDiv w:val="1"/>
      <w:marLeft w:val="0"/>
      <w:marRight w:val="0"/>
      <w:marTop w:val="0"/>
      <w:marBottom w:val="0"/>
      <w:divBdr>
        <w:top w:val="none" w:sz="0" w:space="0" w:color="auto"/>
        <w:left w:val="none" w:sz="0" w:space="0" w:color="auto"/>
        <w:bottom w:val="none" w:sz="0" w:space="0" w:color="auto"/>
        <w:right w:val="none" w:sz="0" w:space="0" w:color="auto"/>
      </w:divBdr>
    </w:div>
    <w:div w:id="1458140924">
      <w:bodyDiv w:val="1"/>
      <w:marLeft w:val="0"/>
      <w:marRight w:val="0"/>
      <w:marTop w:val="0"/>
      <w:marBottom w:val="0"/>
      <w:divBdr>
        <w:top w:val="none" w:sz="0" w:space="0" w:color="auto"/>
        <w:left w:val="none" w:sz="0" w:space="0" w:color="auto"/>
        <w:bottom w:val="none" w:sz="0" w:space="0" w:color="auto"/>
        <w:right w:val="none" w:sz="0" w:space="0" w:color="auto"/>
      </w:divBdr>
    </w:div>
    <w:div w:id="1460802600">
      <w:bodyDiv w:val="1"/>
      <w:marLeft w:val="0"/>
      <w:marRight w:val="0"/>
      <w:marTop w:val="0"/>
      <w:marBottom w:val="0"/>
      <w:divBdr>
        <w:top w:val="none" w:sz="0" w:space="0" w:color="auto"/>
        <w:left w:val="none" w:sz="0" w:space="0" w:color="auto"/>
        <w:bottom w:val="none" w:sz="0" w:space="0" w:color="auto"/>
        <w:right w:val="none" w:sz="0" w:space="0" w:color="auto"/>
      </w:divBdr>
    </w:div>
    <w:div w:id="1461728952">
      <w:bodyDiv w:val="1"/>
      <w:marLeft w:val="0"/>
      <w:marRight w:val="0"/>
      <w:marTop w:val="0"/>
      <w:marBottom w:val="0"/>
      <w:divBdr>
        <w:top w:val="none" w:sz="0" w:space="0" w:color="auto"/>
        <w:left w:val="none" w:sz="0" w:space="0" w:color="auto"/>
        <w:bottom w:val="none" w:sz="0" w:space="0" w:color="auto"/>
        <w:right w:val="none" w:sz="0" w:space="0" w:color="auto"/>
      </w:divBdr>
    </w:div>
    <w:div w:id="1462530276">
      <w:bodyDiv w:val="1"/>
      <w:marLeft w:val="0"/>
      <w:marRight w:val="0"/>
      <w:marTop w:val="0"/>
      <w:marBottom w:val="0"/>
      <w:divBdr>
        <w:top w:val="none" w:sz="0" w:space="0" w:color="auto"/>
        <w:left w:val="none" w:sz="0" w:space="0" w:color="auto"/>
        <w:bottom w:val="none" w:sz="0" w:space="0" w:color="auto"/>
        <w:right w:val="none" w:sz="0" w:space="0" w:color="auto"/>
      </w:divBdr>
    </w:div>
    <w:div w:id="1467358184">
      <w:bodyDiv w:val="1"/>
      <w:marLeft w:val="0"/>
      <w:marRight w:val="0"/>
      <w:marTop w:val="0"/>
      <w:marBottom w:val="0"/>
      <w:divBdr>
        <w:top w:val="none" w:sz="0" w:space="0" w:color="auto"/>
        <w:left w:val="none" w:sz="0" w:space="0" w:color="auto"/>
        <w:bottom w:val="none" w:sz="0" w:space="0" w:color="auto"/>
        <w:right w:val="none" w:sz="0" w:space="0" w:color="auto"/>
      </w:divBdr>
    </w:div>
    <w:div w:id="1470628202">
      <w:bodyDiv w:val="1"/>
      <w:marLeft w:val="0"/>
      <w:marRight w:val="0"/>
      <w:marTop w:val="0"/>
      <w:marBottom w:val="0"/>
      <w:divBdr>
        <w:top w:val="none" w:sz="0" w:space="0" w:color="auto"/>
        <w:left w:val="none" w:sz="0" w:space="0" w:color="auto"/>
        <w:bottom w:val="none" w:sz="0" w:space="0" w:color="auto"/>
        <w:right w:val="none" w:sz="0" w:space="0" w:color="auto"/>
      </w:divBdr>
    </w:div>
    <w:div w:id="1470784074">
      <w:bodyDiv w:val="1"/>
      <w:marLeft w:val="0"/>
      <w:marRight w:val="0"/>
      <w:marTop w:val="0"/>
      <w:marBottom w:val="0"/>
      <w:divBdr>
        <w:top w:val="none" w:sz="0" w:space="0" w:color="auto"/>
        <w:left w:val="none" w:sz="0" w:space="0" w:color="auto"/>
        <w:bottom w:val="none" w:sz="0" w:space="0" w:color="auto"/>
        <w:right w:val="none" w:sz="0" w:space="0" w:color="auto"/>
      </w:divBdr>
    </w:div>
    <w:div w:id="1476601690">
      <w:bodyDiv w:val="1"/>
      <w:marLeft w:val="0"/>
      <w:marRight w:val="0"/>
      <w:marTop w:val="0"/>
      <w:marBottom w:val="0"/>
      <w:divBdr>
        <w:top w:val="none" w:sz="0" w:space="0" w:color="auto"/>
        <w:left w:val="none" w:sz="0" w:space="0" w:color="auto"/>
        <w:bottom w:val="none" w:sz="0" w:space="0" w:color="auto"/>
        <w:right w:val="none" w:sz="0" w:space="0" w:color="auto"/>
      </w:divBdr>
    </w:div>
    <w:div w:id="1477524655">
      <w:bodyDiv w:val="1"/>
      <w:marLeft w:val="0"/>
      <w:marRight w:val="0"/>
      <w:marTop w:val="0"/>
      <w:marBottom w:val="0"/>
      <w:divBdr>
        <w:top w:val="none" w:sz="0" w:space="0" w:color="auto"/>
        <w:left w:val="none" w:sz="0" w:space="0" w:color="auto"/>
        <w:bottom w:val="none" w:sz="0" w:space="0" w:color="auto"/>
        <w:right w:val="none" w:sz="0" w:space="0" w:color="auto"/>
      </w:divBdr>
    </w:div>
    <w:div w:id="1491555819">
      <w:bodyDiv w:val="1"/>
      <w:marLeft w:val="0"/>
      <w:marRight w:val="0"/>
      <w:marTop w:val="0"/>
      <w:marBottom w:val="0"/>
      <w:divBdr>
        <w:top w:val="none" w:sz="0" w:space="0" w:color="auto"/>
        <w:left w:val="none" w:sz="0" w:space="0" w:color="auto"/>
        <w:bottom w:val="none" w:sz="0" w:space="0" w:color="auto"/>
        <w:right w:val="none" w:sz="0" w:space="0" w:color="auto"/>
      </w:divBdr>
    </w:div>
    <w:div w:id="1503859303">
      <w:bodyDiv w:val="1"/>
      <w:marLeft w:val="0"/>
      <w:marRight w:val="0"/>
      <w:marTop w:val="0"/>
      <w:marBottom w:val="0"/>
      <w:divBdr>
        <w:top w:val="none" w:sz="0" w:space="0" w:color="auto"/>
        <w:left w:val="none" w:sz="0" w:space="0" w:color="auto"/>
        <w:bottom w:val="none" w:sz="0" w:space="0" w:color="auto"/>
        <w:right w:val="none" w:sz="0" w:space="0" w:color="auto"/>
      </w:divBdr>
    </w:div>
    <w:div w:id="1508327342">
      <w:bodyDiv w:val="1"/>
      <w:marLeft w:val="0"/>
      <w:marRight w:val="0"/>
      <w:marTop w:val="0"/>
      <w:marBottom w:val="0"/>
      <w:divBdr>
        <w:top w:val="none" w:sz="0" w:space="0" w:color="auto"/>
        <w:left w:val="none" w:sz="0" w:space="0" w:color="auto"/>
        <w:bottom w:val="none" w:sz="0" w:space="0" w:color="auto"/>
        <w:right w:val="none" w:sz="0" w:space="0" w:color="auto"/>
      </w:divBdr>
    </w:div>
    <w:div w:id="1515535023">
      <w:bodyDiv w:val="1"/>
      <w:marLeft w:val="0"/>
      <w:marRight w:val="0"/>
      <w:marTop w:val="0"/>
      <w:marBottom w:val="0"/>
      <w:divBdr>
        <w:top w:val="none" w:sz="0" w:space="0" w:color="auto"/>
        <w:left w:val="none" w:sz="0" w:space="0" w:color="auto"/>
        <w:bottom w:val="none" w:sz="0" w:space="0" w:color="auto"/>
        <w:right w:val="none" w:sz="0" w:space="0" w:color="auto"/>
      </w:divBdr>
    </w:div>
    <w:div w:id="1520119600">
      <w:bodyDiv w:val="1"/>
      <w:marLeft w:val="0"/>
      <w:marRight w:val="0"/>
      <w:marTop w:val="0"/>
      <w:marBottom w:val="0"/>
      <w:divBdr>
        <w:top w:val="none" w:sz="0" w:space="0" w:color="auto"/>
        <w:left w:val="none" w:sz="0" w:space="0" w:color="auto"/>
        <w:bottom w:val="none" w:sz="0" w:space="0" w:color="auto"/>
        <w:right w:val="none" w:sz="0" w:space="0" w:color="auto"/>
      </w:divBdr>
    </w:div>
    <w:div w:id="1520849253">
      <w:bodyDiv w:val="1"/>
      <w:marLeft w:val="0"/>
      <w:marRight w:val="0"/>
      <w:marTop w:val="0"/>
      <w:marBottom w:val="0"/>
      <w:divBdr>
        <w:top w:val="none" w:sz="0" w:space="0" w:color="auto"/>
        <w:left w:val="none" w:sz="0" w:space="0" w:color="auto"/>
        <w:bottom w:val="none" w:sz="0" w:space="0" w:color="auto"/>
        <w:right w:val="none" w:sz="0" w:space="0" w:color="auto"/>
      </w:divBdr>
    </w:div>
    <w:div w:id="1529685301">
      <w:bodyDiv w:val="1"/>
      <w:marLeft w:val="0"/>
      <w:marRight w:val="0"/>
      <w:marTop w:val="0"/>
      <w:marBottom w:val="0"/>
      <w:divBdr>
        <w:top w:val="none" w:sz="0" w:space="0" w:color="auto"/>
        <w:left w:val="none" w:sz="0" w:space="0" w:color="auto"/>
        <w:bottom w:val="none" w:sz="0" w:space="0" w:color="auto"/>
        <w:right w:val="none" w:sz="0" w:space="0" w:color="auto"/>
      </w:divBdr>
    </w:div>
    <w:div w:id="1535922553">
      <w:bodyDiv w:val="1"/>
      <w:marLeft w:val="0"/>
      <w:marRight w:val="0"/>
      <w:marTop w:val="0"/>
      <w:marBottom w:val="0"/>
      <w:divBdr>
        <w:top w:val="none" w:sz="0" w:space="0" w:color="auto"/>
        <w:left w:val="none" w:sz="0" w:space="0" w:color="auto"/>
        <w:bottom w:val="none" w:sz="0" w:space="0" w:color="auto"/>
        <w:right w:val="none" w:sz="0" w:space="0" w:color="auto"/>
      </w:divBdr>
    </w:div>
    <w:div w:id="1535999604">
      <w:bodyDiv w:val="1"/>
      <w:marLeft w:val="0"/>
      <w:marRight w:val="0"/>
      <w:marTop w:val="0"/>
      <w:marBottom w:val="0"/>
      <w:divBdr>
        <w:top w:val="none" w:sz="0" w:space="0" w:color="auto"/>
        <w:left w:val="none" w:sz="0" w:space="0" w:color="auto"/>
        <w:bottom w:val="none" w:sz="0" w:space="0" w:color="auto"/>
        <w:right w:val="none" w:sz="0" w:space="0" w:color="auto"/>
      </w:divBdr>
    </w:div>
    <w:div w:id="1536771322">
      <w:bodyDiv w:val="1"/>
      <w:marLeft w:val="0"/>
      <w:marRight w:val="0"/>
      <w:marTop w:val="0"/>
      <w:marBottom w:val="0"/>
      <w:divBdr>
        <w:top w:val="none" w:sz="0" w:space="0" w:color="auto"/>
        <w:left w:val="none" w:sz="0" w:space="0" w:color="auto"/>
        <w:bottom w:val="none" w:sz="0" w:space="0" w:color="auto"/>
        <w:right w:val="none" w:sz="0" w:space="0" w:color="auto"/>
      </w:divBdr>
    </w:div>
    <w:div w:id="1537501223">
      <w:bodyDiv w:val="1"/>
      <w:marLeft w:val="0"/>
      <w:marRight w:val="0"/>
      <w:marTop w:val="0"/>
      <w:marBottom w:val="0"/>
      <w:divBdr>
        <w:top w:val="none" w:sz="0" w:space="0" w:color="auto"/>
        <w:left w:val="none" w:sz="0" w:space="0" w:color="auto"/>
        <w:bottom w:val="none" w:sz="0" w:space="0" w:color="auto"/>
        <w:right w:val="none" w:sz="0" w:space="0" w:color="auto"/>
      </w:divBdr>
    </w:div>
    <w:div w:id="1551192395">
      <w:bodyDiv w:val="1"/>
      <w:marLeft w:val="0"/>
      <w:marRight w:val="0"/>
      <w:marTop w:val="0"/>
      <w:marBottom w:val="0"/>
      <w:divBdr>
        <w:top w:val="none" w:sz="0" w:space="0" w:color="auto"/>
        <w:left w:val="none" w:sz="0" w:space="0" w:color="auto"/>
        <w:bottom w:val="none" w:sz="0" w:space="0" w:color="auto"/>
        <w:right w:val="none" w:sz="0" w:space="0" w:color="auto"/>
      </w:divBdr>
    </w:div>
    <w:div w:id="1571042204">
      <w:bodyDiv w:val="1"/>
      <w:marLeft w:val="0"/>
      <w:marRight w:val="0"/>
      <w:marTop w:val="0"/>
      <w:marBottom w:val="0"/>
      <w:divBdr>
        <w:top w:val="none" w:sz="0" w:space="0" w:color="auto"/>
        <w:left w:val="none" w:sz="0" w:space="0" w:color="auto"/>
        <w:bottom w:val="none" w:sz="0" w:space="0" w:color="auto"/>
        <w:right w:val="none" w:sz="0" w:space="0" w:color="auto"/>
      </w:divBdr>
    </w:div>
    <w:div w:id="1588490407">
      <w:bodyDiv w:val="1"/>
      <w:marLeft w:val="0"/>
      <w:marRight w:val="0"/>
      <w:marTop w:val="0"/>
      <w:marBottom w:val="0"/>
      <w:divBdr>
        <w:top w:val="none" w:sz="0" w:space="0" w:color="auto"/>
        <w:left w:val="none" w:sz="0" w:space="0" w:color="auto"/>
        <w:bottom w:val="none" w:sz="0" w:space="0" w:color="auto"/>
        <w:right w:val="none" w:sz="0" w:space="0" w:color="auto"/>
      </w:divBdr>
    </w:div>
    <w:div w:id="1590582977">
      <w:bodyDiv w:val="1"/>
      <w:marLeft w:val="0"/>
      <w:marRight w:val="0"/>
      <w:marTop w:val="0"/>
      <w:marBottom w:val="0"/>
      <w:divBdr>
        <w:top w:val="none" w:sz="0" w:space="0" w:color="auto"/>
        <w:left w:val="none" w:sz="0" w:space="0" w:color="auto"/>
        <w:bottom w:val="none" w:sz="0" w:space="0" w:color="auto"/>
        <w:right w:val="none" w:sz="0" w:space="0" w:color="auto"/>
      </w:divBdr>
    </w:div>
    <w:div w:id="1590700513">
      <w:bodyDiv w:val="1"/>
      <w:marLeft w:val="0"/>
      <w:marRight w:val="0"/>
      <w:marTop w:val="0"/>
      <w:marBottom w:val="0"/>
      <w:divBdr>
        <w:top w:val="none" w:sz="0" w:space="0" w:color="auto"/>
        <w:left w:val="none" w:sz="0" w:space="0" w:color="auto"/>
        <w:bottom w:val="none" w:sz="0" w:space="0" w:color="auto"/>
        <w:right w:val="none" w:sz="0" w:space="0" w:color="auto"/>
      </w:divBdr>
    </w:div>
    <w:div w:id="1590768007">
      <w:bodyDiv w:val="1"/>
      <w:marLeft w:val="0"/>
      <w:marRight w:val="0"/>
      <w:marTop w:val="0"/>
      <w:marBottom w:val="0"/>
      <w:divBdr>
        <w:top w:val="none" w:sz="0" w:space="0" w:color="auto"/>
        <w:left w:val="none" w:sz="0" w:space="0" w:color="auto"/>
        <w:bottom w:val="none" w:sz="0" w:space="0" w:color="auto"/>
        <w:right w:val="none" w:sz="0" w:space="0" w:color="auto"/>
      </w:divBdr>
    </w:div>
    <w:div w:id="1596667910">
      <w:bodyDiv w:val="1"/>
      <w:marLeft w:val="0"/>
      <w:marRight w:val="0"/>
      <w:marTop w:val="0"/>
      <w:marBottom w:val="0"/>
      <w:divBdr>
        <w:top w:val="none" w:sz="0" w:space="0" w:color="auto"/>
        <w:left w:val="none" w:sz="0" w:space="0" w:color="auto"/>
        <w:bottom w:val="none" w:sz="0" w:space="0" w:color="auto"/>
        <w:right w:val="none" w:sz="0" w:space="0" w:color="auto"/>
      </w:divBdr>
    </w:div>
    <w:div w:id="1604141576">
      <w:bodyDiv w:val="1"/>
      <w:marLeft w:val="0"/>
      <w:marRight w:val="0"/>
      <w:marTop w:val="0"/>
      <w:marBottom w:val="0"/>
      <w:divBdr>
        <w:top w:val="none" w:sz="0" w:space="0" w:color="auto"/>
        <w:left w:val="none" w:sz="0" w:space="0" w:color="auto"/>
        <w:bottom w:val="none" w:sz="0" w:space="0" w:color="auto"/>
        <w:right w:val="none" w:sz="0" w:space="0" w:color="auto"/>
      </w:divBdr>
    </w:div>
    <w:div w:id="1613780308">
      <w:bodyDiv w:val="1"/>
      <w:marLeft w:val="0"/>
      <w:marRight w:val="0"/>
      <w:marTop w:val="0"/>
      <w:marBottom w:val="0"/>
      <w:divBdr>
        <w:top w:val="none" w:sz="0" w:space="0" w:color="auto"/>
        <w:left w:val="none" w:sz="0" w:space="0" w:color="auto"/>
        <w:bottom w:val="none" w:sz="0" w:space="0" w:color="auto"/>
        <w:right w:val="none" w:sz="0" w:space="0" w:color="auto"/>
      </w:divBdr>
    </w:div>
    <w:div w:id="1615818852">
      <w:bodyDiv w:val="1"/>
      <w:marLeft w:val="0"/>
      <w:marRight w:val="0"/>
      <w:marTop w:val="0"/>
      <w:marBottom w:val="0"/>
      <w:divBdr>
        <w:top w:val="none" w:sz="0" w:space="0" w:color="auto"/>
        <w:left w:val="none" w:sz="0" w:space="0" w:color="auto"/>
        <w:bottom w:val="none" w:sz="0" w:space="0" w:color="auto"/>
        <w:right w:val="none" w:sz="0" w:space="0" w:color="auto"/>
      </w:divBdr>
    </w:div>
    <w:div w:id="1622297207">
      <w:bodyDiv w:val="1"/>
      <w:marLeft w:val="0"/>
      <w:marRight w:val="0"/>
      <w:marTop w:val="0"/>
      <w:marBottom w:val="0"/>
      <w:divBdr>
        <w:top w:val="none" w:sz="0" w:space="0" w:color="auto"/>
        <w:left w:val="none" w:sz="0" w:space="0" w:color="auto"/>
        <w:bottom w:val="none" w:sz="0" w:space="0" w:color="auto"/>
        <w:right w:val="none" w:sz="0" w:space="0" w:color="auto"/>
      </w:divBdr>
    </w:div>
    <w:div w:id="1632900893">
      <w:bodyDiv w:val="1"/>
      <w:marLeft w:val="0"/>
      <w:marRight w:val="0"/>
      <w:marTop w:val="0"/>
      <w:marBottom w:val="0"/>
      <w:divBdr>
        <w:top w:val="none" w:sz="0" w:space="0" w:color="auto"/>
        <w:left w:val="none" w:sz="0" w:space="0" w:color="auto"/>
        <w:bottom w:val="none" w:sz="0" w:space="0" w:color="auto"/>
        <w:right w:val="none" w:sz="0" w:space="0" w:color="auto"/>
      </w:divBdr>
    </w:div>
    <w:div w:id="1633057039">
      <w:bodyDiv w:val="1"/>
      <w:marLeft w:val="0"/>
      <w:marRight w:val="0"/>
      <w:marTop w:val="0"/>
      <w:marBottom w:val="0"/>
      <w:divBdr>
        <w:top w:val="none" w:sz="0" w:space="0" w:color="auto"/>
        <w:left w:val="none" w:sz="0" w:space="0" w:color="auto"/>
        <w:bottom w:val="none" w:sz="0" w:space="0" w:color="auto"/>
        <w:right w:val="none" w:sz="0" w:space="0" w:color="auto"/>
      </w:divBdr>
    </w:div>
    <w:div w:id="1642879665">
      <w:bodyDiv w:val="1"/>
      <w:marLeft w:val="0"/>
      <w:marRight w:val="0"/>
      <w:marTop w:val="0"/>
      <w:marBottom w:val="0"/>
      <w:divBdr>
        <w:top w:val="none" w:sz="0" w:space="0" w:color="auto"/>
        <w:left w:val="none" w:sz="0" w:space="0" w:color="auto"/>
        <w:bottom w:val="none" w:sz="0" w:space="0" w:color="auto"/>
        <w:right w:val="none" w:sz="0" w:space="0" w:color="auto"/>
      </w:divBdr>
    </w:div>
    <w:div w:id="1649630158">
      <w:bodyDiv w:val="1"/>
      <w:marLeft w:val="0"/>
      <w:marRight w:val="0"/>
      <w:marTop w:val="0"/>
      <w:marBottom w:val="0"/>
      <w:divBdr>
        <w:top w:val="none" w:sz="0" w:space="0" w:color="auto"/>
        <w:left w:val="none" w:sz="0" w:space="0" w:color="auto"/>
        <w:bottom w:val="none" w:sz="0" w:space="0" w:color="auto"/>
        <w:right w:val="none" w:sz="0" w:space="0" w:color="auto"/>
      </w:divBdr>
    </w:div>
    <w:div w:id="1653682897">
      <w:bodyDiv w:val="1"/>
      <w:marLeft w:val="0"/>
      <w:marRight w:val="0"/>
      <w:marTop w:val="0"/>
      <w:marBottom w:val="0"/>
      <w:divBdr>
        <w:top w:val="none" w:sz="0" w:space="0" w:color="auto"/>
        <w:left w:val="none" w:sz="0" w:space="0" w:color="auto"/>
        <w:bottom w:val="none" w:sz="0" w:space="0" w:color="auto"/>
        <w:right w:val="none" w:sz="0" w:space="0" w:color="auto"/>
      </w:divBdr>
    </w:div>
    <w:div w:id="1654799274">
      <w:bodyDiv w:val="1"/>
      <w:marLeft w:val="0"/>
      <w:marRight w:val="0"/>
      <w:marTop w:val="0"/>
      <w:marBottom w:val="0"/>
      <w:divBdr>
        <w:top w:val="none" w:sz="0" w:space="0" w:color="auto"/>
        <w:left w:val="none" w:sz="0" w:space="0" w:color="auto"/>
        <w:bottom w:val="none" w:sz="0" w:space="0" w:color="auto"/>
        <w:right w:val="none" w:sz="0" w:space="0" w:color="auto"/>
      </w:divBdr>
    </w:div>
    <w:div w:id="1656182738">
      <w:bodyDiv w:val="1"/>
      <w:marLeft w:val="0"/>
      <w:marRight w:val="0"/>
      <w:marTop w:val="0"/>
      <w:marBottom w:val="0"/>
      <w:divBdr>
        <w:top w:val="none" w:sz="0" w:space="0" w:color="auto"/>
        <w:left w:val="none" w:sz="0" w:space="0" w:color="auto"/>
        <w:bottom w:val="none" w:sz="0" w:space="0" w:color="auto"/>
        <w:right w:val="none" w:sz="0" w:space="0" w:color="auto"/>
      </w:divBdr>
    </w:div>
    <w:div w:id="1668945071">
      <w:bodyDiv w:val="1"/>
      <w:marLeft w:val="0"/>
      <w:marRight w:val="0"/>
      <w:marTop w:val="0"/>
      <w:marBottom w:val="0"/>
      <w:divBdr>
        <w:top w:val="none" w:sz="0" w:space="0" w:color="auto"/>
        <w:left w:val="none" w:sz="0" w:space="0" w:color="auto"/>
        <w:bottom w:val="none" w:sz="0" w:space="0" w:color="auto"/>
        <w:right w:val="none" w:sz="0" w:space="0" w:color="auto"/>
      </w:divBdr>
    </w:div>
    <w:div w:id="1671710512">
      <w:bodyDiv w:val="1"/>
      <w:marLeft w:val="0"/>
      <w:marRight w:val="0"/>
      <w:marTop w:val="0"/>
      <w:marBottom w:val="0"/>
      <w:divBdr>
        <w:top w:val="none" w:sz="0" w:space="0" w:color="auto"/>
        <w:left w:val="none" w:sz="0" w:space="0" w:color="auto"/>
        <w:bottom w:val="none" w:sz="0" w:space="0" w:color="auto"/>
        <w:right w:val="none" w:sz="0" w:space="0" w:color="auto"/>
      </w:divBdr>
    </w:div>
    <w:div w:id="1676878733">
      <w:bodyDiv w:val="1"/>
      <w:marLeft w:val="0"/>
      <w:marRight w:val="0"/>
      <w:marTop w:val="0"/>
      <w:marBottom w:val="0"/>
      <w:divBdr>
        <w:top w:val="none" w:sz="0" w:space="0" w:color="auto"/>
        <w:left w:val="none" w:sz="0" w:space="0" w:color="auto"/>
        <w:bottom w:val="none" w:sz="0" w:space="0" w:color="auto"/>
        <w:right w:val="none" w:sz="0" w:space="0" w:color="auto"/>
      </w:divBdr>
    </w:div>
    <w:div w:id="1682009529">
      <w:bodyDiv w:val="1"/>
      <w:marLeft w:val="0"/>
      <w:marRight w:val="0"/>
      <w:marTop w:val="0"/>
      <w:marBottom w:val="0"/>
      <w:divBdr>
        <w:top w:val="none" w:sz="0" w:space="0" w:color="auto"/>
        <w:left w:val="none" w:sz="0" w:space="0" w:color="auto"/>
        <w:bottom w:val="none" w:sz="0" w:space="0" w:color="auto"/>
        <w:right w:val="none" w:sz="0" w:space="0" w:color="auto"/>
      </w:divBdr>
    </w:div>
    <w:div w:id="1682587892">
      <w:bodyDiv w:val="1"/>
      <w:marLeft w:val="0"/>
      <w:marRight w:val="0"/>
      <w:marTop w:val="0"/>
      <w:marBottom w:val="0"/>
      <w:divBdr>
        <w:top w:val="none" w:sz="0" w:space="0" w:color="auto"/>
        <w:left w:val="none" w:sz="0" w:space="0" w:color="auto"/>
        <w:bottom w:val="none" w:sz="0" w:space="0" w:color="auto"/>
        <w:right w:val="none" w:sz="0" w:space="0" w:color="auto"/>
      </w:divBdr>
    </w:div>
    <w:div w:id="1688561457">
      <w:bodyDiv w:val="1"/>
      <w:marLeft w:val="0"/>
      <w:marRight w:val="0"/>
      <w:marTop w:val="0"/>
      <w:marBottom w:val="0"/>
      <w:divBdr>
        <w:top w:val="none" w:sz="0" w:space="0" w:color="auto"/>
        <w:left w:val="none" w:sz="0" w:space="0" w:color="auto"/>
        <w:bottom w:val="none" w:sz="0" w:space="0" w:color="auto"/>
        <w:right w:val="none" w:sz="0" w:space="0" w:color="auto"/>
      </w:divBdr>
    </w:div>
    <w:div w:id="1690715374">
      <w:bodyDiv w:val="1"/>
      <w:marLeft w:val="0"/>
      <w:marRight w:val="0"/>
      <w:marTop w:val="0"/>
      <w:marBottom w:val="0"/>
      <w:divBdr>
        <w:top w:val="none" w:sz="0" w:space="0" w:color="auto"/>
        <w:left w:val="none" w:sz="0" w:space="0" w:color="auto"/>
        <w:bottom w:val="none" w:sz="0" w:space="0" w:color="auto"/>
        <w:right w:val="none" w:sz="0" w:space="0" w:color="auto"/>
      </w:divBdr>
    </w:div>
    <w:div w:id="1690787764">
      <w:bodyDiv w:val="1"/>
      <w:marLeft w:val="0"/>
      <w:marRight w:val="0"/>
      <w:marTop w:val="0"/>
      <w:marBottom w:val="0"/>
      <w:divBdr>
        <w:top w:val="none" w:sz="0" w:space="0" w:color="auto"/>
        <w:left w:val="none" w:sz="0" w:space="0" w:color="auto"/>
        <w:bottom w:val="none" w:sz="0" w:space="0" w:color="auto"/>
        <w:right w:val="none" w:sz="0" w:space="0" w:color="auto"/>
      </w:divBdr>
    </w:div>
    <w:div w:id="1691906191">
      <w:bodyDiv w:val="1"/>
      <w:marLeft w:val="0"/>
      <w:marRight w:val="0"/>
      <w:marTop w:val="0"/>
      <w:marBottom w:val="0"/>
      <w:divBdr>
        <w:top w:val="none" w:sz="0" w:space="0" w:color="auto"/>
        <w:left w:val="none" w:sz="0" w:space="0" w:color="auto"/>
        <w:bottom w:val="none" w:sz="0" w:space="0" w:color="auto"/>
        <w:right w:val="none" w:sz="0" w:space="0" w:color="auto"/>
      </w:divBdr>
    </w:div>
    <w:div w:id="1694840491">
      <w:bodyDiv w:val="1"/>
      <w:marLeft w:val="0"/>
      <w:marRight w:val="0"/>
      <w:marTop w:val="0"/>
      <w:marBottom w:val="0"/>
      <w:divBdr>
        <w:top w:val="none" w:sz="0" w:space="0" w:color="auto"/>
        <w:left w:val="none" w:sz="0" w:space="0" w:color="auto"/>
        <w:bottom w:val="none" w:sz="0" w:space="0" w:color="auto"/>
        <w:right w:val="none" w:sz="0" w:space="0" w:color="auto"/>
      </w:divBdr>
    </w:div>
    <w:div w:id="1696076364">
      <w:bodyDiv w:val="1"/>
      <w:marLeft w:val="0"/>
      <w:marRight w:val="0"/>
      <w:marTop w:val="0"/>
      <w:marBottom w:val="0"/>
      <w:divBdr>
        <w:top w:val="none" w:sz="0" w:space="0" w:color="auto"/>
        <w:left w:val="none" w:sz="0" w:space="0" w:color="auto"/>
        <w:bottom w:val="none" w:sz="0" w:space="0" w:color="auto"/>
        <w:right w:val="none" w:sz="0" w:space="0" w:color="auto"/>
      </w:divBdr>
    </w:div>
    <w:div w:id="1697341881">
      <w:bodyDiv w:val="1"/>
      <w:marLeft w:val="0"/>
      <w:marRight w:val="0"/>
      <w:marTop w:val="0"/>
      <w:marBottom w:val="0"/>
      <w:divBdr>
        <w:top w:val="none" w:sz="0" w:space="0" w:color="auto"/>
        <w:left w:val="none" w:sz="0" w:space="0" w:color="auto"/>
        <w:bottom w:val="none" w:sz="0" w:space="0" w:color="auto"/>
        <w:right w:val="none" w:sz="0" w:space="0" w:color="auto"/>
      </w:divBdr>
    </w:div>
    <w:div w:id="1702434189">
      <w:bodyDiv w:val="1"/>
      <w:marLeft w:val="0"/>
      <w:marRight w:val="0"/>
      <w:marTop w:val="0"/>
      <w:marBottom w:val="0"/>
      <w:divBdr>
        <w:top w:val="none" w:sz="0" w:space="0" w:color="auto"/>
        <w:left w:val="none" w:sz="0" w:space="0" w:color="auto"/>
        <w:bottom w:val="none" w:sz="0" w:space="0" w:color="auto"/>
        <w:right w:val="none" w:sz="0" w:space="0" w:color="auto"/>
      </w:divBdr>
    </w:div>
    <w:div w:id="1708794008">
      <w:bodyDiv w:val="1"/>
      <w:marLeft w:val="0"/>
      <w:marRight w:val="0"/>
      <w:marTop w:val="0"/>
      <w:marBottom w:val="0"/>
      <w:divBdr>
        <w:top w:val="none" w:sz="0" w:space="0" w:color="auto"/>
        <w:left w:val="none" w:sz="0" w:space="0" w:color="auto"/>
        <w:bottom w:val="none" w:sz="0" w:space="0" w:color="auto"/>
        <w:right w:val="none" w:sz="0" w:space="0" w:color="auto"/>
      </w:divBdr>
    </w:div>
    <w:div w:id="1710106188">
      <w:bodyDiv w:val="1"/>
      <w:marLeft w:val="0"/>
      <w:marRight w:val="0"/>
      <w:marTop w:val="0"/>
      <w:marBottom w:val="0"/>
      <w:divBdr>
        <w:top w:val="none" w:sz="0" w:space="0" w:color="auto"/>
        <w:left w:val="none" w:sz="0" w:space="0" w:color="auto"/>
        <w:bottom w:val="none" w:sz="0" w:space="0" w:color="auto"/>
        <w:right w:val="none" w:sz="0" w:space="0" w:color="auto"/>
      </w:divBdr>
    </w:div>
    <w:div w:id="1718236468">
      <w:bodyDiv w:val="1"/>
      <w:marLeft w:val="0"/>
      <w:marRight w:val="0"/>
      <w:marTop w:val="0"/>
      <w:marBottom w:val="0"/>
      <w:divBdr>
        <w:top w:val="none" w:sz="0" w:space="0" w:color="auto"/>
        <w:left w:val="none" w:sz="0" w:space="0" w:color="auto"/>
        <w:bottom w:val="none" w:sz="0" w:space="0" w:color="auto"/>
        <w:right w:val="none" w:sz="0" w:space="0" w:color="auto"/>
      </w:divBdr>
    </w:div>
    <w:div w:id="1721585917">
      <w:bodyDiv w:val="1"/>
      <w:marLeft w:val="0"/>
      <w:marRight w:val="0"/>
      <w:marTop w:val="0"/>
      <w:marBottom w:val="0"/>
      <w:divBdr>
        <w:top w:val="none" w:sz="0" w:space="0" w:color="auto"/>
        <w:left w:val="none" w:sz="0" w:space="0" w:color="auto"/>
        <w:bottom w:val="none" w:sz="0" w:space="0" w:color="auto"/>
        <w:right w:val="none" w:sz="0" w:space="0" w:color="auto"/>
      </w:divBdr>
    </w:div>
    <w:div w:id="1726637415">
      <w:bodyDiv w:val="1"/>
      <w:marLeft w:val="0"/>
      <w:marRight w:val="0"/>
      <w:marTop w:val="0"/>
      <w:marBottom w:val="0"/>
      <w:divBdr>
        <w:top w:val="none" w:sz="0" w:space="0" w:color="auto"/>
        <w:left w:val="none" w:sz="0" w:space="0" w:color="auto"/>
        <w:bottom w:val="none" w:sz="0" w:space="0" w:color="auto"/>
        <w:right w:val="none" w:sz="0" w:space="0" w:color="auto"/>
      </w:divBdr>
    </w:div>
    <w:div w:id="1731230574">
      <w:bodyDiv w:val="1"/>
      <w:marLeft w:val="0"/>
      <w:marRight w:val="0"/>
      <w:marTop w:val="0"/>
      <w:marBottom w:val="0"/>
      <w:divBdr>
        <w:top w:val="none" w:sz="0" w:space="0" w:color="auto"/>
        <w:left w:val="none" w:sz="0" w:space="0" w:color="auto"/>
        <w:bottom w:val="none" w:sz="0" w:space="0" w:color="auto"/>
        <w:right w:val="none" w:sz="0" w:space="0" w:color="auto"/>
      </w:divBdr>
    </w:div>
    <w:div w:id="1733650282">
      <w:bodyDiv w:val="1"/>
      <w:marLeft w:val="0"/>
      <w:marRight w:val="0"/>
      <w:marTop w:val="0"/>
      <w:marBottom w:val="0"/>
      <w:divBdr>
        <w:top w:val="none" w:sz="0" w:space="0" w:color="auto"/>
        <w:left w:val="none" w:sz="0" w:space="0" w:color="auto"/>
        <w:bottom w:val="none" w:sz="0" w:space="0" w:color="auto"/>
        <w:right w:val="none" w:sz="0" w:space="0" w:color="auto"/>
      </w:divBdr>
    </w:div>
    <w:div w:id="1736049293">
      <w:bodyDiv w:val="1"/>
      <w:marLeft w:val="0"/>
      <w:marRight w:val="0"/>
      <w:marTop w:val="0"/>
      <w:marBottom w:val="0"/>
      <w:divBdr>
        <w:top w:val="none" w:sz="0" w:space="0" w:color="auto"/>
        <w:left w:val="none" w:sz="0" w:space="0" w:color="auto"/>
        <w:bottom w:val="none" w:sz="0" w:space="0" w:color="auto"/>
        <w:right w:val="none" w:sz="0" w:space="0" w:color="auto"/>
      </w:divBdr>
    </w:div>
    <w:div w:id="1740249555">
      <w:bodyDiv w:val="1"/>
      <w:marLeft w:val="0"/>
      <w:marRight w:val="0"/>
      <w:marTop w:val="0"/>
      <w:marBottom w:val="0"/>
      <w:divBdr>
        <w:top w:val="none" w:sz="0" w:space="0" w:color="auto"/>
        <w:left w:val="none" w:sz="0" w:space="0" w:color="auto"/>
        <w:bottom w:val="none" w:sz="0" w:space="0" w:color="auto"/>
        <w:right w:val="none" w:sz="0" w:space="0" w:color="auto"/>
      </w:divBdr>
    </w:div>
    <w:div w:id="1749303385">
      <w:bodyDiv w:val="1"/>
      <w:marLeft w:val="0"/>
      <w:marRight w:val="0"/>
      <w:marTop w:val="0"/>
      <w:marBottom w:val="0"/>
      <w:divBdr>
        <w:top w:val="none" w:sz="0" w:space="0" w:color="auto"/>
        <w:left w:val="none" w:sz="0" w:space="0" w:color="auto"/>
        <w:bottom w:val="none" w:sz="0" w:space="0" w:color="auto"/>
        <w:right w:val="none" w:sz="0" w:space="0" w:color="auto"/>
      </w:divBdr>
    </w:div>
    <w:div w:id="1750497169">
      <w:bodyDiv w:val="1"/>
      <w:marLeft w:val="0"/>
      <w:marRight w:val="0"/>
      <w:marTop w:val="0"/>
      <w:marBottom w:val="0"/>
      <w:divBdr>
        <w:top w:val="none" w:sz="0" w:space="0" w:color="auto"/>
        <w:left w:val="none" w:sz="0" w:space="0" w:color="auto"/>
        <w:bottom w:val="none" w:sz="0" w:space="0" w:color="auto"/>
        <w:right w:val="none" w:sz="0" w:space="0" w:color="auto"/>
      </w:divBdr>
    </w:div>
    <w:div w:id="1755467097">
      <w:bodyDiv w:val="1"/>
      <w:marLeft w:val="0"/>
      <w:marRight w:val="0"/>
      <w:marTop w:val="0"/>
      <w:marBottom w:val="0"/>
      <w:divBdr>
        <w:top w:val="none" w:sz="0" w:space="0" w:color="auto"/>
        <w:left w:val="none" w:sz="0" w:space="0" w:color="auto"/>
        <w:bottom w:val="none" w:sz="0" w:space="0" w:color="auto"/>
        <w:right w:val="none" w:sz="0" w:space="0" w:color="auto"/>
      </w:divBdr>
    </w:div>
    <w:div w:id="1759906707">
      <w:bodyDiv w:val="1"/>
      <w:marLeft w:val="0"/>
      <w:marRight w:val="0"/>
      <w:marTop w:val="0"/>
      <w:marBottom w:val="0"/>
      <w:divBdr>
        <w:top w:val="none" w:sz="0" w:space="0" w:color="auto"/>
        <w:left w:val="none" w:sz="0" w:space="0" w:color="auto"/>
        <w:bottom w:val="none" w:sz="0" w:space="0" w:color="auto"/>
        <w:right w:val="none" w:sz="0" w:space="0" w:color="auto"/>
      </w:divBdr>
    </w:div>
    <w:div w:id="1764956869">
      <w:bodyDiv w:val="1"/>
      <w:marLeft w:val="0"/>
      <w:marRight w:val="0"/>
      <w:marTop w:val="0"/>
      <w:marBottom w:val="0"/>
      <w:divBdr>
        <w:top w:val="none" w:sz="0" w:space="0" w:color="auto"/>
        <w:left w:val="none" w:sz="0" w:space="0" w:color="auto"/>
        <w:bottom w:val="none" w:sz="0" w:space="0" w:color="auto"/>
        <w:right w:val="none" w:sz="0" w:space="0" w:color="auto"/>
      </w:divBdr>
    </w:div>
    <w:div w:id="1767575300">
      <w:bodyDiv w:val="1"/>
      <w:marLeft w:val="0"/>
      <w:marRight w:val="0"/>
      <w:marTop w:val="0"/>
      <w:marBottom w:val="0"/>
      <w:divBdr>
        <w:top w:val="none" w:sz="0" w:space="0" w:color="auto"/>
        <w:left w:val="none" w:sz="0" w:space="0" w:color="auto"/>
        <w:bottom w:val="none" w:sz="0" w:space="0" w:color="auto"/>
        <w:right w:val="none" w:sz="0" w:space="0" w:color="auto"/>
      </w:divBdr>
    </w:div>
    <w:div w:id="1768648769">
      <w:bodyDiv w:val="1"/>
      <w:marLeft w:val="0"/>
      <w:marRight w:val="0"/>
      <w:marTop w:val="0"/>
      <w:marBottom w:val="0"/>
      <w:divBdr>
        <w:top w:val="none" w:sz="0" w:space="0" w:color="auto"/>
        <w:left w:val="none" w:sz="0" w:space="0" w:color="auto"/>
        <w:bottom w:val="none" w:sz="0" w:space="0" w:color="auto"/>
        <w:right w:val="none" w:sz="0" w:space="0" w:color="auto"/>
      </w:divBdr>
    </w:div>
    <w:div w:id="1772125450">
      <w:bodyDiv w:val="1"/>
      <w:marLeft w:val="0"/>
      <w:marRight w:val="0"/>
      <w:marTop w:val="0"/>
      <w:marBottom w:val="0"/>
      <w:divBdr>
        <w:top w:val="none" w:sz="0" w:space="0" w:color="auto"/>
        <w:left w:val="none" w:sz="0" w:space="0" w:color="auto"/>
        <w:bottom w:val="none" w:sz="0" w:space="0" w:color="auto"/>
        <w:right w:val="none" w:sz="0" w:space="0" w:color="auto"/>
      </w:divBdr>
    </w:div>
    <w:div w:id="1775202454">
      <w:bodyDiv w:val="1"/>
      <w:marLeft w:val="0"/>
      <w:marRight w:val="0"/>
      <w:marTop w:val="0"/>
      <w:marBottom w:val="0"/>
      <w:divBdr>
        <w:top w:val="none" w:sz="0" w:space="0" w:color="auto"/>
        <w:left w:val="none" w:sz="0" w:space="0" w:color="auto"/>
        <w:bottom w:val="none" w:sz="0" w:space="0" w:color="auto"/>
        <w:right w:val="none" w:sz="0" w:space="0" w:color="auto"/>
      </w:divBdr>
    </w:div>
    <w:div w:id="1779179613">
      <w:bodyDiv w:val="1"/>
      <w:marLeft w:val="0"/>
      <w:marRight w:val="0"/>
      <w:marTop w:val="0"/>
      <w:marBottom w:val="0"/>
      <w:divBdr>
        <w:top w:val="none" w:sz="0" w:space="0" w:color="auto"/>
        <w:left w:val="none" w:sz="0" w:space="0" w:color="auto"/>
        <w:bottom w:val="none" w:sz="0" w:space="0" w:color="auto"/>
        <w:right w:val="none" w:sz="0" w:space="0" w:color="auto"/>
      </w:divBdr>
    </w:div>
    <w:div w:id="1786729353">
      <w:bodyDiv w:val="1"/>
      <w:marLeft w:val="0"/>
      <w:marRight w:val="0"/>
      <w:marTop w:val="0"/>
      <w:marBottom w:val="0"/>
      <w:divBdr>
        <w:top w:val="none" w:sz="0" w:space="0" w:color="auto"/>
        <w:left w:val="none" w:sz="0" w:space="0" w:color="auto"/>
        <w:bottom w:val="none" w:sz="0" w:space="0" w:color="auto"/>
        <w:right w:val="none" w:sz="0" w:space="0" w:color="auto"/>
      </w:divBdr>
    </w:div>
    <w:div w:id="1800150177">
      <w:bodyDiv w:val="1"/>
      <w:marLeft w:val="0"/>
      <w:marRight w:val="0"/>
      <w:marTop w:val="0"/>
      <w:marBottom w:val="0"/>
      <w:divBdr>
        <w:top w:val="none" w:sz="0" w:space="0" w:color="auto"/>
        <w:left w:val="none" w:sz="0" w:space="0" w:color="auto"/>
        <w:bottom w:val="none" w:sz="0" w:space="0" w:color="auto"/>
        <w:right w:val="none" w:sz="0" w:space="0" w:color="auto"/>
      </w:divBdr>
    </w:div>
    <w:div w:id="1801723630">
      <w:bodyDiv w:val="1"/>
      <w:marLeft w:val="0"/>
      <w:marRight w:val="0"/>
      <w:marTop w:val="0"/>
      <w:marBottom w:val="0"/>
      <w:divBdr>
        <w:top w:val="none" w:sz="0" w:space="0" w:color="auto"/>
        <w:left w:val="none" w:sz="0" w:space="0" w:color="auto"/>
        <w:bottom w:val="none" w:sz="0" w:space="0" w:color="auto"/>
        <w:right w:val="none" w:sz="0" w:space="0" w:color="auto"/>
      </w:divBdr>
    </w:div>
    <w:div w:id="1804151698">
      <w:bodyDiv w:val="1"/>
      <w:marLeft w:val="0"/>
      <w:marRight w:val="0"/>
      <w:marTop w:val="0"/>
      <w:marBottom w:val="0"/>
      <w:divBdr>
        <w:top w:val="none" w:sz="0" w:space="0" w:color="auto"/>
        <w:left w:val="none" w:sz="0" w:space="0" w:color="auto"/>
        <w:bottom w:val="none" w:sz="0" w:space="0" w:color="auto"/>
        <w:right w:val="none" w:sz="0" w:space="0" w:color="auto"/>
      </w:divBdr>
    </w:div>
    <w:div w:id="1806268853">
      <w:bodyDiv w:val="1"/>
      <w:marLeft w:val="0"/>
      <w:marRight w:val="0"/>
      <w:marTop w:val="0"/>
      <w:marBottom w:val="0"/>
      <w:divBdr>
        <w:top w:val="none" w:sz="0" w:space="0" w:color="auto"/>
        <w:left w:val="none" w:sz="0" w:space="0" w:color="auto"/>
        <w:bottom w:val="none" w:sz="0" w:space="0" w:color="auto"/>
        <w:right w:val="none" w:sz="0" w:space="0" w:color="auto"/>
      </w:divBdr>
    </w:div>
    <w:div w:id="1807048329">
      <w:bodyDiv w:val="1"/>
      <w:marLeft w:val="0"/>
      <w:marRight w:val="0"/>
      <w:marTop w:val="0"/>
      <w:marBottom w:val="0"/>
      <w:divBdr>
        <w:top w:val="none" w:sz="0" w:space="0" w:color="auto"/>
        <w:left w:val="none" w:sz="0" w:space="0" w:color="auto"/>
        <w:bottom w:val="none" w:sz="0" w:space="0" w:color="auto"/>
        <w:right w:val="none" w:sz="0" w:space="0" w:color="auto"/>
      </w:divBdr>
    </w:div>
    <w:div w:id="1817606933">
      <w:bodyDiv w:val="1"/>
      <w:marLeft w:val="0"/>
      <w:marRight w:val="0"/>
      <w:marTop w:val="0"/>
      <w:marBottom w:val="0"/>
      <w:divBdr>
        <w:top w:val="none" w:sz="0" w:space="0" w:color="auto"/>
        <w:left w:val="none" w:sz="0" w:space="0" w:color="auto"/>
        <w:bottom w:val="none" w:sz="0" w:space="0" w:color="auto"/>
        <w:right w:val="none" w:sz="0" w:space="0" w:color="auto"/>
      </w:divBdr>
    </w:div>
    <w:div w:id="1821802286">
      <w:bodyDiv w:val="1"/>
      <w:marLeft w:val="0"/>
      <w:marRight w:val="0"/>
      <w:marTop w:val="0"/>
      <w:marBottom w:val="0"/>
      <w:divBdr>
        <w:top w:val="none" w:sz="0" w:space="0" w:color="auto"/>
        <w:left w:val="none" w:sz="0" w:space="0" w:color="auto"/>
        <w:bottom w:val="none" w:sz="0" w:space="0" w:color="auto"/>
        <w:right w:val="none" w:sz="0" w:space="0" w:color="auto"/>
      </w:divBdr>
    </w:div>
    <w:div w:id="1830899691">
      <w:bodyDiv w:val="1"/>
      <w:marLeft w:val="0"/>
      <w:marRight w:val="0"/>
      <w:marTop w:val="0"/>
      <w:marBottom w:val="0"/>
      <w:divBdr>
        <w:top w:val="none" w:sz="0" w:space="0" w:color="auto"/>
        <w:left w:val="none" w:sz="0" w:space="0" w:color="auto"/>
        <w:bottom w:val="none" w:sz="0" w:space="0" w:color="auto"/>
        <w:right w:val="none" w:sz="0" w:space="0" w:color="auto"/>
      </w:divBdr>
    </w:div>
    <w:div w:id="1833718927">
      <w:bodyDiv w:val="1"/>
      <w:marLeft w:val="0"/>
      <w:marRight w:val="0"/>
      <w:marTop w:val="0"/>
      <w:marBottom w:val="0"/>
      <w:divBdr>
        <w:top w:val="none" w:sz="0" w:space="0" w:color="auto"/>
        <w:left w:val="none" w:sz="0" w:space="0" w:color="auto"/>
        <w:bottom w:val="none" w:sz="0" w:space="0" w:color="auto"/>
        <w:right w:val="none" w:sz="0" w:space="0" w:color="auto"/>
      </w:divBdr>
    </w:div>
    <w:div w:id="1840923274">
      <w:bodyDiv w:val="1"/>
      <w:marLeft w:val="0"/>
      <w:marRight w:val="0"/>
      <w:marTop w:val="0"/>
      <w:marBottom w:val="0"/>
      <w:divBdr>
        <w:top w:val="none" w:sz="0" w:space="0" w:color="auto"/>
        <w:left w:val="none" w:sz="0" w:space="0" w:color="auto"/>
        <w:bottom w:val="none" w:sz="0" w:space="0" w:color="auto"/>
        <w:right w:val="none" w:sz="0" w:space="0" w:color="auto"/>
      </w:divBdr>
    </w:div>
    <w:div w:id="1843930751">
      <w:bodyDiv w:val="1"/>
      <w:marLeft w:val="0"/>
      <w:marRight w:val="0"/>
      <w:marTop w:val="0"/>
      <w:marBottom w:val="0"/>
      <w:divBdr>
        <w:top w:val="none" w:sz="0" w:space="0" w:color="auto"/>
        <w:left w:val="none" w:sz="0" w:space="0" w:color="auto"/>
        <w:bottom w:val="none" w:sz="0" w:space="0" w:color="auto"/>
        <w:right w:val="none" w:sz="0" w:space="0" w:color="auto"/>
      </w:divBdr>
    </w:div>
    <w:div w:id="1852446530">
      <w:bodyDiv w:val="1"/>
      <w:marLeft w:val="0"/>
      <w:marRight w:val="0"/>
      <w:marTop w:val="0"/>
      <w:marBottom w:val="0"/>
      <w:divBdr>
        <w:top w:val="none" w:sz="0" w:space="0" w:color="auto"/>
        <w:left w:val="none" w:sz="0" w:space="0" w:color="auto"/>
        <w:bottom w:val="none" w:sz="0" w:space="0" w:color="auto"/>
        <w:right w:val="none" w:sz="0" w:space="0" w:color="auto"/>
      </w:divBdr>
    </w:div>
    <w:div w:id="1858420847">
      <w:bodyDiv w:val="1"/>
      <w:marLeft w:val="0"/>
      <w:marRight w:val="0"/>
      <w:marTop w:val="0"/>
      <w:marBottom w:val="0"/>
      <w:divBdr>
        <w:top w:val="none" w:sz="0" w:space="0" w:color="auto"/>
        <w:left w:val="none" w:sz="0" w:space="0" w:color="auto"/>
        <w:bottom w:val="none" w:sz="0" w:space="0" w:color="auto"/>
        <w:right w:val="none" w:sz="0" w:space="0" w:color="auto"/>
      </w:divBdr>
    </w:div>
    <w:div w:id="1871144476">
      <w:bodyDiv w:val="1"/>
      <w:marLeft w:val="0"/>
      <w:marRight w:val="0"/>
      <w:marTop w:val="0"/>
      <w:marBottom w:val="0"/>
      <w:divBdr>
        <w:top w:val="none" w:sz="0" w:space="0" w:color="auto"/>
        <w:left w:val="none" w:sz="0" w:space="0" w:color="auto"/>
        <w:bottom w:val="none" w:sz="0" w:space="0" w:color="auto"/>
        <w:right w:val="none" w:sz="0" w:space="0" w:color="auto"/>
      </w:divBdr>
    </w:div>
    <w:div w:id="1872761876">
      <w:bodyDiv w:val="1"/>
      <w:marLeft w:val="0"/>
      <w:marRight w:val="0"/>
      <w:marTop w:val="0"/>
      <w:marBottom w:val="0"/>
      <w:divBdr>
        <w:top w:val="none" w:sz="0" w:space="0" w:color="auto"/>
        <w:left w:val="none" w:sz="0" w:space="0" w:color="auto"/>
        <w:bottom w:val="none" w:sz="0" w:space="0" w:color="auto"/>
        <w:right w:val="none" w:sz="0" w:space="0" w:color="auto"/>
      </w:divBdr>
    </w:div>
    <w:div w:id="1873111696">
      <w:bodyDiv w:val="1"/>
      <w:marLeft w:val="0"/>
      <w:marRight w:val="0"/>
      <w:marTop w:val="0"/>
      <w:marBottom w:val="0"/>
      <w:divBdr>
        <w:top w:val="none" w:sz="0" w:space="0" w:color="auto"/>
        <w:left w:val="none" w:sz="0" w:space="0" w:color="auto"/>
        <w:bottom w:val="none" w:sz="0" w:space="0" w:color="auto"/>
        <w:right w:val="none" w:sz="0" w:space="0" w:color="auto"/>
      </w:divBdr>
    </w:div>
    <w:div w:id="1891071528">
      <w:bodyDiv w:val="1"/>
      <w:marLeft w:val="0"/>
      <w:marRight w:val="0"/>
      <w:marTop w:val="0"/>
      <w:marBottom w:val="0"/>
      <w:divBdr>
        <w:top w:val="none" w:sz="0" w:space="0" w:color="auto"/>
        <w:left w:val="none" w:sz="0" w:space="0" w:color="auto"/>
        <w:bottom w:val="none" w:sz="0" w:space="0" w:color="auto"/>
        <w:right w:val="none" w:sz="0" w:space="0" w:color="auto"/>
      </w:divBdr>
    </w:div>
    <w:div w:id="1891113781">
      <w:bodyDiv w:val="1"/>
      <w:marLeft w:val="0"/>
      <w:marRight w:val="0"/>
      <w:marTop w:val="0"/>
      <w:marBottom w:val="0"/>
      <w:divBdr>
        <w:top w:val="none" w:sz="0" w:space="0" w:color="auto"/>
        <w:left w:val="none" w:sz="0" w:space="0" w:color="auto"/>
        <w:bottom w:val="none" w:sz="0" w:space="0" w:color="auto"/>
        <w:right w:val="none" w:sz="0" w:space="0" w:color="auto"/>
      </w:divBdr>
    </w:div>
    <w:div w:id="1896160281">
      <w:bodyDiv w:val="1"/>
      <w:marLeft w:val="0"/>
      <w:marRight w:val="0"/>
      <w:marTop w:val="0"/>
      <w:marBottom w:val="0"/>
      <w:divBdr>
        <w:top w:val="none" w:sz="0" w:space="0" w:color="auto"/>
        <w:left w:val="none" w:sz="0" w:space="0" w:color="auto"/>
        <w:bottom w:val="none" w:sz="0" w:space="0" w:color="auto"/>
        <w:right w:val="none" w:sz="0" w:space="0" w:color="auto"/>
      </w:divBdr>
    </w:div>
    <w:div w:id="1897737583">
      <w:bodyDiv w:val="1"/>
      <w:marLeft w:val="0"/>
      <w:marRight w:val="0"/>
      <w:marTop w:val="0"/>
      <w:marBottom w:val="0"/>
      <w:divBdr>
        <w:top w:val="none" w:sz="0" w:space="0" w:color="auto"/>
        <w:left w:val="none" w:sz="0" w:space="0" w:color="auto"/>
        <w:bottom w:val="none" w:sz="0" w:space="0" w:color="auto"/>
        <w:right w:val="none" w:sz="0" w:space="0" w:color="auto"/>
      </w:divBdr>
    </w:div>
    <w:div w:id="1901743597">
      <w:bodyDiv w:val="1"/>
      <w:marLeft w:val="0"/>
      <w:marRight w:val="0"/>
      <w:marTop w:val="0"/>
      <w:marBottom w:val="0"/>
      <w:divBdr>
        <w:top w:val="none" w:sz="0" w:space="0" w:color="auto"/>
        <w:left w:val="none" w:sz="0" w:space="0" w:color="auto"/>
        <w:bottom w:val="none" w:sz="0" w:space="0" w:color="auto"/>
        <w:right w:val="none" w:sz="0" w:space="0" w:color="auto"/>
      </w:divBdr>
    </w:div>
    <w:div w:id="1904217425">
      <w:bodyDiv w:val="1"/>
      <w:marLeft w:val="0"/>
      <w:marRight w:val="0"/>
      <w:marTop w:val="0"/>
      <w:marBottom w:val="0"/>
      <w:divBdr>
        <w:top w:val="none" w:sz="0" w:space="0" w:color="auto"/>
        <w:left w:val="none" w:sz="0" w:space="0" w:color="auto"/>
        <w:bottom w:val="none" w:sz="0" w:space="0" w:color="auto"/>
        <w:right w:val="none" w:sz="0" w:space="0" w:color="auto"/>
      </w:divBdr>
    </w:div>
    <w:div w:id="1912035635">
      <w:bodyDiv w:val="1"/>
      <w:marLeft w:val="0"/>
      <w:marRight w:val="0"/>
      <w:marTop w:val="0"/>
      <w:marBottom w:val="0"/>
      <w:divBdr>
        <w:top w:val="none" w:sz="0" w:space="0" w:color="auto"/>
        <w:left w:val="none" w:sz="0" w:space="0" w:color="auto"/>
        <w:bottom w:val="none" w:sz="0" w:space="0" w:color="auto"/>
        <w:right w:val="none" w:sz="0" w:space="0" w:color="auto"/>
      </w:divBdr>
    </w:div>
    <w:div w:id="1912351210">
      <w:bodyDiv w:val="1"/>
      <w:marLeft w:val="0"/>
      <w:marRight w:val="0"/>
      <w:marTop w:val="0"/>
      <w:marBottom w:val="0"/>
      <w:divBdr>
        <w:top w:val="none" w:sz="0" w:space="0" w:color="auto"/>
        <w:left w:val="none" w:sz="0" w:space="0" w:color="auto"/>
        <w:bottom w:val="none" w:sz="0" w:space="0" w:color="auto"/>
        <w:right w:val="none" w:sz="0" w:space="0" w:color="auto"/>
      </w:divBdr>
    </w:div>
    <w:div w:id="1912495867">
      <w:bodyDiv w:val="1"/>
      <w:marLeft w:val="0"/>
      <w:marRight w:val="0"/>
      <w:marTop w:val="0"/>
      <w:marBottom w:val="0"/>
      <w:divBdr>
        <w:top w:val="none" w:sz="0" w:space="0" w:color="auto"/>
        <w:left w:val="none" w:sz="0" w:space="0" w:color="auto"/>
        <w:bottom w:val="none" w:sz="0" w:space="0" w:color="auto"/>
        <w:right w:val="none" w:sz="0" w:space="0" w:color="auto"/>
      </w:divBdr>
    </w:div>
    <w:div w:id="1915771496">
      <w:bodyDiv w:val="1"/>
      <w:marLeft w:val="0"/>
      <w:marRight w:val="0"/>
      <w:marTop w:val="0"/>
      <w:marBottom w:val="0"/>
      <w:divBdr>
        <w:top w:val="none" w:sz="0" w:space="0" w:color="auto"/>
        <w:left w:val="none" w:sz="0" w:space="0" w:color="auto"/>
        <w:bottom w:val="none" w:sz="0" w:space="0" w:color="auto"/>
        <w:right w:val="none" w:sz="0" w:space="0" w:color="auto"/>
      </w:divBdr>
    </w:div>
    <w:div w:id="1921909387">
      <w:bodyDiv w:val="1"/>
      <w:marLeft w:val="0"/>
      <w:marRight w:val="0"/>
      <w:marTop w:val="0"/>
      <w:marBottom w:val="0"/>
      <w:divBdr>
        <w:top w:val="none" w:sz="0" w:space="0" w:color="auto"/>
        <w:left w:val="none" w:sz="0" w:space="0" w:color="auto"/>
        <w:bottom w:val="none" w:sz="0" w:space="0" w:color="auto"/>
        <w:right w:val="none" w:sz="0" w:space="0" w:color="auto"/>
      </w:divBdr>
    </w:div>
    <w:div w:id="1924560956">
      <w:bodyDiv w:val="1"/>
      <w:marLeft w:val="0"/>
      <w:marRight w:val="0"/>
      <w:marTop w:val="0"/>
      <w:marBottom w:val="0"/>
      <w:divBdr>
        <w:top w:val="none" w:sz="0" w:space="0" w:color="auto"/>
        <w:left w:val="none" w:sz="0" w:space="0" w:color="auto"/>
        <w:bottom w:val="none" w:sz="0" w:space="0" w:color="auto"/>
        <w:right w:val="none" w:sz="0" w:space="0" w:color="auto"/>
      </w:divBdr>
    </w:div>
    <w:div w:id="1925070966">
      <w:bodyDiv w:val="1"/>
      <w:marLeft w:val="0"/>
      <w:marRight w:val="0"/>
      <w:marTop w:val="0"/>
      <w:marBottom w:val="0"/>
      <w:divBdr>
        <w:top w:val="none" w:sz="0" w:space="0" w:color="auto"/>
        <w:left w:val="none" w:sz="0" w:space="0" w:color="auto"/>
        <w:bottom w:val="none" w:sz="0" w:space="0" w:color="auto"/>
        <w:right w:val="none" w:sz="0" w:space="0" w:color="auto"/>
      </w:divBdr>
    </w:div>
    <w:div w:id="1926453585">
      <w:bodyDiv w:val="1"/>
      <w:marLeft w:val="0"/>
      <w:marRight w:val="0"/>
      <w:marTop w:val="0"/>
      <w:marBottom w:val="0"/>
      <w:divBdr>
        <w:top w:val="none" w:sz="0" w:space="0" w:color="auto"/>
        <w:left w:val="none" w:sz="0" w:space="0" w:color="auto"/>
        <w:bottom w:val="none" w:sz="0" w:space="0" w:color="auto"/>
        <w:right w:val="none" w:sz="0" w:space="0" w:color="auto"/>
      </w:divBdr>
    </w:div>
    <w:div w:id="1928030730">
      <w:bodyDiv w:val="1"/>
      <w:marLeft w:val="0"/>
      <w:marRight w:val="0"/>
      <w:marTop w:val="0"/>
      <w:marBottom w:val="0"/>
      <w:divBdr>
        <w:top w:val="none" w:sz="0" w:space="0" w:color="auto"/>
        <w:left w:val="none" w:sz="0" w:space="0" w:color="auto"/>
        <w:bottom w:val="none" w:sz="0" w:space="0" w:color="auto"/>
        <w:right w:val="none" w:sz="0" w:space="0" w:color="auto"/>
      </w:divBdr>
    </w:div>
    <w:div w:id="1928810866">
      <w:bodyDiv w:val="1"/>
      <w:marLeft w:val="0"/>
      <w:marRight w:val="0"/>
      <w:marTop w:val="0"/>
      <w:marBottom w:val="0"/>
      <w:divBdr>
        <w:top w:val="none" w:sz="0" w:space="0" w:color="auto"/>
        <w:left w:val="none" w:sz="0" w:space="0" w:color="auto"/>
        <w:bottom w:val="none" w:sz="0" w:space="0" w:color="auto"/>
        <w:right w:val="none" w:sz="0" w:space="0" w:color="auto"/>
      </w:divBdr>
    </w:div>
    <w:div w:id="1933391946">
      <w:bodyDiv w:val="1"/>
      <w:marLeft w:val="0"/>
      <w:marRight w:val="0"/>
      <w:marTop w:val="0"/>
      <w:marBottom w:val="0"/>
      <w:divBdr>
        <w:top w:val="none" w:sz="0" w:space="0" w:color="auto"/>
        <w:left w:val="none" w:sz="0" w:space="0" w:color="auto"/>
        <w:bottom w:val="none" w:sz="0" w:space="0" w:color="auto"/>
        <w:right w:val="none" w:sz="0" w:space="0" w:color="auto"/>
      </w:divBdr>
    </w:div>
    <w:div w:id="1936555655">
      <w:bodyDiv w:val="1"/>
      <w:marLeft w:val="0"/>
      <w:marRight w:val="0"/>
      <w:marTop w:val="0"/>
      <w:marBottom w:val="0"/>
      <w:divBdr>
        <w:top w:val="none" w:sz="0" w:space="0" w:color="auto"/>
        <w:left w:val="none" w:sz="0" w:space="0" w:color="auto"/>
        <w:bottom w:val="none" w:sz="0" w:space="0" w:color="auto"/>
        <w:right w:val="none" w:sz="0" w:space="0" w:color="auto"/>
      </w:divBdr>
    </w:div>
    <w:div w:id="1946423278">
      <w:bodyDiv w:val="1"/>
      <w:marLeft w:val="0"/>
      <w:marRight w:val="0"/>
      <w:marTop w:val="0"/>
      <w:marBottom w:val="0"/>
      <w:divBdr>
        <w:top w:val="none" w:sz="0" w:space="0" w:color="auto"/>
        <w:left w:val="none" w:sz="0" w:space="0" w:color="auto"/>
        <w:bottom w:val="none" w:sz="0" w:space="0" w:color="auto"/>
        <w:right w:val="none" w:sz="0" w:space="0" w:color="auto"/>
      </w:divBdr>
    </w:div>
    <w:div w:id="1948080948">
      <w:bodyDiv w:val="1"/>
      <w:marLeft w:val="0"/>
      <w:marRight w:val="0"/>
      <w:marTop w:val="0"/>
      <w:marBottom w:val="0"/>
      <w:divBdr>
        <w:top w:val="none" w:sz="0" w:space="0" w:color="auto"/>
        <w:left w:val="none" w:sz="0" w:space="0" w:color="auto"/>
        <w:bottom w:val="none" w:sz="0" w:space="0" w:color="auto"/>
        <w:right w:val="none" w:sz="0" w:space="0" w:color="auto"/>
      </w:divBdr>
    </w:div>
    <w:div w:id="1954743892">
      <w:bodyDiv w:val="1"/>
      <w:marLeft w:val="0"/>
      <w:marRight w:val="0"/>
      <w:marTop w:val="0"/>
      <w:marBottom w:val="0"/>
      <w:divBdr>
        <w:top w:val="none" w:sz="0" w:space="0" w:color="auto"/>
        <w:left w:val="none" w:sz="0" w:space="0" w:color="auto"/>
        <w:bottom w:val="none" w:sz="0" w:space="0" w:color="auto"/>
        <w:right w:val="none" w:sz="0" w:space="0" w:color="auto"/>
      </w:divBdr>
    </w:div>
    <w:div w:id="1955400234">
      <w:bodyDiv w:val="1"/>
      <w:marLeft w:val="0"/>
      <w:marRight w:val="0"/>
      <w:marTop w:val="0"/>
      <w:marBottom w:val="0"/>
      <w:divBdr>
        <w:top w:val="none" w:sz="0" w:space="0" w:color="auto"/>
        <w:left w:val="none" w:sz="0" w:space="0" w:color="auto"/>
        <w:bottom w:val="none" w:sz="0" w:space="0" w:color="auto"/>
        <w:right w:val="none" w:sz="0" w:space="0" w:color="auto"/>
      </w:divBdr>
    </w:div>
    <w:div w:id="1973704349">
      <w:bodyDiv w:val="1"/>
      <w:marLeft w:val="0"/>
      <w:marRight w:val="0"/>
      <w:marTop w:val="0"/>
      <w:marBottom w:val="0"/>
      <w:divBdr>
        <w:top w:val="none" w:sz="0" w:space="0" w:color="auto"/>
        <w:left w:val="none" w:sz="0" w:space="0" w:color="auto"/>
        <w:bottom w:val="none" w:sz="0" w:space="0" w:color="auto"/>
        <w:right w:val="none" w:sz="0" w:space="0" w:color="auto"/>
      </w:divBdr>
    </w:div>
    <w:div w:id="1974940888">
      <w:bodyDiv w:val="1"/>
      <w:marLeft w:val="0"/>
      <w:marRight w:val="0"/>
      <w:marTop w:val="0"/>
      <w:marBottom w:val="0"/>
      <w:divBdr>
        <w:top w:val="none" w:sz="0" w:space="0" w:color="auto"/>
        <w:left w:val="none" w:sz="0" w:space="0" w:color="auto"/>
        <w:bottom w:val="none" w:sz="0" w:space="0" w:color="auto"/>
        <w:right w:val="none" w:sz="0" w:space="0" w:color="auto"/>
      </w:divBdr>
    </w:div>
    <w:div w:id="1990791573">
      <w:bodyDiv w:val="1"/>
      <w:marLeft w:val="0"/>
      <w:marRight w:val="0"/>
      <w:marTop w:val="0"/>
      <w:marBottom w:val="0"/>
      <w:divBdr>
        <w:top w:val="none" w:sz="0" w:space="0" w:color="auto"/>
        <w:left w:val="none" w:sz="0" w:space="0" w:color="auto"/>
        <w:bottom w:val="none" w:sz="0" w:space="0" w:color="auto"/>
        <w:right w:val="none" w:sz="0" w:space="0" w:color="auto"/>
      </w:divBdr>
    </w:div>
    <w:div w:id="1996958071">
      <w:bodyDiv w:val="1"/>
      <w:marLeft w:val="0"/>
      <w:marRight w:val="0"/>
      <w:marTop w:val="0"/>
      <w:marBottom w:val="0"/>
      <w:divBdr>
        <w:top w:val="none" w:sz="0" w:space="0" w:color="auto"/>
        <w:left w:val="none" w:sz="0" w:space="0" w:color="auto"/>
        <w:bottom w:val="none" w:sz="0" w:space="0" w:color="auto"/>
        <w:right w:val="none" w:sz="0" w:space="0" w:color="auto"/>
      </w:divBdr>
    </w:div>
    <w:div w:id="2004310863">
      <w:bodyDiv w:val="1"/>
      <w:marLeft w:val="0"/>
      <w:marRight w:val="0"/>
      <w:marTop w:val="0"/>
      <w:marBottom w:val="0"/>
      <w:divBdr>
        <w:top w:val="none" w:sz="0" w:space="0" w:color="auto"/>
        <w:left w:val="none" w:sz="0" w:space="0" w:color="auto"/>
        <w:bottom w:val="none" w:sz="0" w:space="0" w:color="auto"/>
        <w:right w:val="none" w:sz="0" w:space="0" w:color="auto"/>
      </w:divBdr>
    </w:div>
    <w:div w:id="2004384831">
      <w:bodyDiv w:val="1"/>
      <w:marLeft w:val="0"/>
      <w:marRight w:val="0"/>
      <w:marTop w:val="0"/>
      <w:marBottom w:val="0"/>
      <w:divBdr>
        <w:top w:val="none" w:sz="0" w:space="0" w:color="auto"/>
        <w:left w:val="none" w:sz="0" w:space="0" w:color="auto"/>
        <w:bottom w:val="none" w:sz="0" w:space="0" w:color="auto"/>
        <w:right w:val="none" w:sz="0" w:space="0" w:color="auto"/>
      </w:divBdr>
    </w:div>
    <w:div w:id="2009365584">
      <w:bodyDiv w:val="1"/>
      <w:marLeft w:val="0"/>
      <w:marRight w:val="0"/>
      <w:marTop w:val="0"/>
      <w:marBottom w:val="0"/>
      <w:divBdr>
        <w:top w:val="none" w:sz="0" w:space="0" w:color="auto"/>
        <w:left w:val="none" w:sz="0" w:space="0" w:color="auto"/>
        <w:bottom w:val="none" w:sz="0" w:space="0" w:color="auto"/>
        <w:right w:val="none" w:sz="0" w:space="0" w:color="auto"/>
      </w:divBdr>
    </w:div>
    <w:div w:id="2012677959">
      <w:bodyDiv w:val="1"/>
      <w:marLeft w:val="0"/>
      <w:marRight w:val="0"/>
      <w:marTop w:val="0"/>
      <w:marBottom w:val="0"/>
      <w:divBdr>
        <w:top w:val="none" w:sz="0" w:space="0" w:color="auto"/>
        <w:left w:val="none" w:sz="0" w:space="0" w:color="auto"/>
        <w:bottom w:val="none" w:sz="0" w:space="0" w:color="auto"/>
        <w:right w:val="none" w:sz="0" w:space="0" w:color="auto"/>
      </w:divBdr>
    </w:div>
    <w:div w:id="2015836673">
      <w:bodyDiv w:val="1"/>
      <w:marLeft w:val="0"/>
      <w:marRight w:val="0"/>
      <w:marTop w:val="0"/>
      <w:marBottom w:val="0"/>
      <w:divBdr>
        <w:top w:val="none" w:sz="0" w:space="0" w:color="auto"/>
        <w:left w:val="none" w:sz="0" w:space="0" w:color="auto"/>
        <w:bottom w:val="none" w:sz="0" w:space="0" w:color="auto"/>
        <w:right w:val="none" w:sz="0" w:space="0" w:color="auto"/>
      </w:divBdr>
    </w:div>
    <w:div w:id="2016568088">
      <w:bodyDiv w:val="1"/>
      <w:marLeft w:val="0"/>
      <w:marRight w:val="0"/>
      <w:marTop w:val="0"/>
      <w:marBottom w:val="0"/>
      <w:divBdr>
        <w:top w:val="none" w:sz="0" w:space="0" w:color="auto"/>
        <w:left w:val="none" w:sz="0" w:space="0" w:color="auto"/>
        <w:bottom w:val="none" w:sz="0" w:space="0" w:color="auto"/>
        <w:right w:val="none" w:sz="0" w:space="0" w:color="auto"/>
      </w:divBdr>
    </w:div>
    <w:div w:id="2017341239">
      <w:bodyDiv w:val="1"/>
      <w:marLeft w:val="0"/>
      <w:marRight w:val="0"/>
      <w:marTop w:val="0"/>
      <w:marBottom w:val="0"/>
      <w:divBdr>
        <w:top w:val="none" w:sz="0" w:space="0" w:color="auto"/>
        <w:left w:val="none" w:sz="0" w:space="0" w:color="auto"/>
        <w:bottom w:val="none" w:sz="0" w:space="0" w:color="auto"/>
        <w:right w:val="none" w:sz="0" w:space="0" w:color="auto"/>
      </w:divBdr>
    </w:div>
    <w:div w:id="2023778256">
      <w:bodyDiv w:val="1"/>
      <w:marLeft w:val="0"/>
      <w:marRight w:val="0"/>
      <w:marTop w:val="0"/>
      <w:marBottom w:val="0"/>
      <w:divBdr>
        <w:top w:val="none" w:sz="0" w:space="0" w:color="auto"/>
        <w:left w:val="none" w:sz="0" w:space="0" w:color="auto"/>
        <w:bottom w:val="none" w:sz="0" w:space="0" w:color="auto"/>
        <w:right w:val="none" w:sz="0" w:space="0" w:color="auto"/>
      </w:divBdr>
    </w:div>
    <w:div w:id="2025401083">
      <w:bodyDiv w:val="1"/>
      <w:marLeft w:val="0"/>
      <w:marRight w:val="0"/>
      <w:marTop w:val="0"/>
      <w:marBottom w:val="0"/>
      <w:divBdr>
        <w:top w:val="none" w:sz="0" w:space="0" w:color="auto"/>
        <w:left w:val="none" w:sz="0" w:space="0" w:color="auto"/>
        <w:bottom w:val="none" w:sz="0" w:space="0" w:color="auto"/>
        <w:right w:val="none" w:sz="0" w:space="0" w:color="auto"/>
      </w:divBdr>
    </w:div>
    <w:div w:id="2029407589">
      <w:bodyDiv w:val="1"/>
      <w:marLeft w:val="0"/>
      <w:marRight w:val="0"/>
      <w:marTop w:val="0"/>
      <w:marBottom w:val="0"/>
      <w:divBdr>
        <w:top w:val="none" w:sz="0" w:space="0" w:color="auto"/>
        <w:left w:val="none" w:sz="0" w:space="0" w:color="auto"/>
        <w:bottom w:val="none" w:sz="0" w:space="0" w:color="auto"/>
        <w:right w:val="none" w:sz="0" w:space="0" w:color="auto"/>
      </w:divBdr>
    </w:div>
    <w:div w:id="2032104195">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40617277">
      <w:bodyDiv w:val="1"/>
      <w:marLeft w:val="0"/>
      <w:marRight w:val="0"/>
      <w:marTop w:val="0"/>
      <w:marBottom w:val="0"/>
      <w:divBdr>
        <w:top w:val="none" w:sz="0" w:space="0" w:color="auto"/>
        <w:left w:val="none" w:sz="0" w:space="0" w:color="auto"/>
        <w:bottom w:val="none" w:sz="0" w:space="0" w:color="auto"/>
        <w:right w:val="none" w:sz="0" w:space="0" w:color="auto"/>
      </w:divBdr>
    </w:div>
    <w:div w:id="2045514460">
      <w:bodyDiv w:val="1"/>
      <w:marLeft w:val="0"/>
      <w:marRight w:val="0"/>
      <w:marTop w:val="0"/>
      <w:marBottom w:val="0"/>
      <w:divBdr>
        <w:top w:val="none" w:sz="0" w:space="0" w:color="auto"/>
        <w:left w:val="none" w:sz="0" w:space="0" w:color="auto"/>
        <w:bottom w:val="none" w:sz="0" w:space="0" w:color="auto"/>
        <w:right w:val="none" w:sz="0" w:space="0" w:color="auto"/>
      </w:divBdr>
    </w:div>
    <w:div w:id="2065106043">
      <w:bodyDiv w:val="1"/>
      <w:marLeft w:val="0"/>
      <w:marRight w:val="0"/>
      <w:marTop w:val="0"/>
      <w:marBottom w:val="0"/>
      <w:divBdr>
        <w:top w:val="none" w:sz="0" w:space="0" w:color="auto"/>
        <w:left w:val="none" w:sz="0" w:space="0" w:color="auto"/>
        <w:bottom w:val="none" w:sz="0" w:space="0" w:color="auto"/>
        <w:right w:val="none" w:sz="0" w:space="0" w:color="auto"/>
      </w:divBdr>
    </w:div>
    <w:div w:id="2080667692">
      <w:bodyDiv w:val="1"/>
      <w:marLeft w:val="0"/>
      <w:marRight w:val="0"/>
      <w:marTop w:val="0"/>
      <w:marBottom w:val="0"/>
      <w:divBdr>
        <w:top w:val="none" w:sz="0" w:space="0" w:color="auto"/>
        <w:left w:val="none" w:sz="0" w:space="0" w:color="auto"/>
        <w:bottom w:val="none" w:sz="0" w:space="0" w:color="auto"/>
        <w:right w:val="none" w:sz="0" w:space="0" w:color="auto"/>
      </w:divBdr>
    </w:div>
    <w:div w:id="2085299744">
      <w:bodyDiv w:val="1"/>
      <w:marLeft w:val="0"/>
      <w:marRight w:val="0"/>
      <w:marTop w:val="0"/>
      <w:marBottom w:val="0"/>
      <w:divBdr>
        <w:top w:val="none" w:sz="0" w:space="0" w:color="auto"/>
        <w:left w:val="none" w:sz="0" w:space="0" w:color="auto"/>
        <w:bottom w:val="none" w:sz="0" w:space="0" w:color="auto"/>
        <w:right w:val="none" w:sz="0" w:space="0" w:color="auto"/>
      </w:divBdr>
    </w:div>
    <w:div w:id="2092699434">
      <w:bodyDiv w:val="1"/>
      <w:marLeft w:val="0"/>
      <w:marRight w:val="0"/>
      <w:marTop w:val="0"/>
      <w:marBottom w:val="0"/>
      <w:divBdr>
        <w:top w:val="none" w:sz="0" w:space="0" w:color="auto"/>
        <w:left w:val="none" w:sz="0" w:space="0" w:color="auto"/>
        <w:bottom w:val="none" w:sz="0" w:space="0" w:color="auto"/>
        <w:right w:val="none" w:sz="0" w:space="0" w:color="auto"/>
      </w:divBdr>
    </w:div>
    <w:div w:id="2092775743">
      <w:bodyDiv w:val="1"/>
      <w:marLeft w:val="0"/>
      <w:marRight w:val="0"/>
      <w:marTop w:val="0"/>
      <w:marBottom w:val="0"/>
      <w:divBdr>
        <w:top w:val="none" w:sz="0" w:space="0" w:color="auto"/>
        <w:left w:val="none" w:sz="0" w:space="0" w:color="auto"/>
        <w:bottom w:val="none" w:sz="0" w:space="0" w:color="auto"/>
        <w:right w:val="none" w:sz="0" w:space="0" w:color="auto"/>
      </w:divBdr>
    </w:div>
    <w:div w:id="2093621609">
      <w:bodyDiv w:val="1"/>
      <w:marLeft w:val="0"/>
      <w:marRight w:val="0"/>
      <w:marTop w:val="0"/>
      <w:marBottom w:val="0"/>
      <w:divBdr>
        <w:top w:val="none" w:sz="0" w:space="0" w:color="auto"/>
        <w:left w:val="none" w:sz="0" w:space="0" w:color="auto"/>
        <w:bottom w:val="none" w:sz="0" w:space="0" w:color="auto"/>
        <w:right w:val="none" w:sz="0" w:space="0" w:color="auto"/>
      </w:divBdr>
    </w:div>
    <w:div w:id="2094352276">
      <w:bodyDiv w:val="1"/>
      <w:marLeft w:val="0"/>
      <w:marRight w:val="0"/>
      <w:marTop w:val="0"/>
      <w:marBottom w:val="0"/>
      <w:divBdr>
        <w:top w:val="none" w:sz="0" w:space="0" w:color="auto"/>
        <w:left w:val="none" w:sz="0" w:space="0" w:color="auto"/>
        <w:bottom w:val="none" w:sz="0" w:space="0" w:color="auto"/>
        <w:right w:val="none" w:sz="0" w:space="0" w:color="auto"/>
      </w:divBdr>
    </w:div>
    <w:div w:id="2095278466">
      <w:bodyDiv w:val="1"/>
      <w:marLeft w:val="0"/>
      <w:marRight w:val="0"/>
      <w:marTop w:val="0"/>
      <w:marBottom w:val="0"/>
      <w:divBdr>
        <w:top w:val="none" w:sz="0" w:space="0" w:color="auto"/>
        <w:left w:val="none" w:sz="0" w:space="0" w:color="auto"/>
        <w:bottom w:val="none" w:sz="0" w:space="0" w:color="auto"/>
        <w:right w:val="none" w:sz="0" w:space="0" w:color="auto"/>
      </w:divBdr>
    </w:div>
    <w:div w:id="2097751137">
      <w:bodyDiv w:val="1"/>
      <w:marLeft w:val="0"/>
      <w:marRight w:val="0"/>
      <w:marTop w:val="0"/>
      <w:marBottom w:val="0"/>
      <w:divBdr>
        <w:top w:val="none" w:sz="0" w:space="0" w:color="auto"/>
        <w:left w:val="none" w:sz="0" w:space="0" w:color="auto"/>
        <w:bottom w:val="none" w:sz="0" w:space="0" w:color="auto"/>
        <w:right w:val="none" w:sz="0" w:space="0" w:color="auto"/>
      </w:divBdr>
    </w:div>
    <w:div w:id="2097969960">
      <w:bodyDiv w:val="1"/>
      <w:marLeft w:val="0"/>
      <w:marRight w:val="0"/>
      <w:marTop w:val="0"/>
      <w:marBottom w:val="0"/>
      <w:divBdr>
        <w:top w:val="none" w:sz="0" w:space="0" w:color="auto"/>
        <w:left w:val="none" w:sz="0" w:space="0" w:color="auto"/>
        <w:bottom w:val="none" w:sz="0" w:space="0" w:color="auto"/>
        <w:right w:val="none" w:sz="0" w:space="0" w:color="auto"/>
      </w:divBdr>
    </w:div>
    <w:div w:id="2101950000">
      <w:bodyDiv w:val="1"/>
      <w:marLeft w:val="0"/>
      <w:marRight w:val="0"/>
      <w:marTop w:val="0"/>
      <w:marBottom w:val="0"/>
      <w:divBdr>
        <w:top w:val="none" w:sz="0" w:space="0" w:color="auto"/>
        <w:left w:val="none" w:sz="0" w:space="0" w:color="auto"/>
        <w:bottom w:val="none" w:sz="0" w:space="0" w:color="auto"/>
        <w:right w:val="none" w:sz="0" w:space="0" w:color="auto"/>
      </w:divBdr>
    </w:div>
    <w:div w:id="2103643221">
      <w:bodyDiv w:val="1"/>
      <w:marLeft w:val="0"/>
      <w:marRight w:val="0"/>
      <w:marTop w:val="0"/>
      <w:marBottom w:val="0"/>
      <w:divBdr>
        <w:top w:val="none" w:sz="0" w:space="0" w:color="auto"/>
        <w:left w:val="none" w:sz="0" w:space="0" w:color="auto"/>
        <w:bottom w:val="none" w:sz="0" w:space="0" w:color="auto"/>
        <w:right w:val="none" w:sz="0" w:space="0" w:color="auto"/>
      </w:divBdr>
    </w:div>
    <w:div w:id="2115007116">
      <w:bodyDiv w:val="1"/>
      <w:marLeft w:val="0"/>
      <w:marRight w:val="0"/>
      <w:marTop w:val="0"/>
      <w:marBottom w:val="0"/>
      <w:divBdr>
        <w:top w:val="none" w:sz="0" w:space="0" w:color="auto"/>
        <w:left w:val="none" w:sz="0" w:space="0" w:color="auto"/>
        <w:bottom w:val="none" w:sz="0" w:space="0" w:color="auto"/>
        <w:right w:val="none" w:sz="0" w:space="0" w:color="auto"/>
      </w:divBdr>
    </w:div>
    <w:div w:id="2115514986">
      <w:bodyDiv w:val="1"/>
      <w:marLeft w:val="0"/>
      <w:marRight w:val="0"/>
      <w:marTop w:val="0"/>
      <w:marBottom w:val="0"/>
      <w:divBdr>
        <w:top w:val="none" w:sz="0" w:space="0" w:color="auto"/>
        <w:left w:val="none" w:sz="0" w:space="0" w:color="auto"/>
        <w:bottom w:val="none" w:sz="0" w:space="0" w:color="auto"/>
        <w:right w:val="none" w:sz="0" w:space="0" w:color="auto"/>
      </w:divBdr>
    </w:div>
    <w:div w:id="2118714786">
      <w:bodyDiv w:val="1"/>
      <w:marLeft w:val="0"/>
      <w:marRight w:val="0"/>
      <w:marTop w:val="0"/>
      <w:marBottom w:val="0"/>
      <w:divBdr>
        <w:top w:val="none" w:sz="0" w:space="0" w:color="auto"/>
        <w:left w:val="none" w:sz="0" w:space="0" w:color="auto"/>
        <w:bottom w:val="none" w:sz="0" w:space="0" w:color="auto"/>
        <w:right w:val="none" w:sz="0" w:space="0" w:color="auto"/>
      </w:divBdr>
    </w:div>
    <w:div w:id="2120372664">
      <w:bodyDiv w:val="1"/>
      <w:marLeft w:val="0"/>
      <w:marRight w:val="0"/>
      <w:marTop w:val="0"/>
      <w:marBottom w:val="0"/>
      <w:divBdr>
        <w:top w:val="none" w:sz="0" w:space="0" w:color="auto"/>
        <w:left w:val="none" w:sz="0" w:space="0" w:color="auto"/>
        <w:bottom w:val="none" w:sz="0" w:space="0" w:color="auto"/>
        <w:right w:val="none" w:sz="0" w:space="0" w:color="auto"/>
      </w:divBdr>
    </w:div>
    <w:div w:id="2121757875">
      <w:bodyDiv w:val="1"/>
      <w:marLeft w:val="0"/>
      <w:marRight w:val="0"/>
      <w:marTop w:val="0"/>
      <w:marBottom w:val="0"/>
      <w:divBdr>
        <w:top w:val="none" w:sz="0" w:space="0" w:color="auto"/>
        <w:left w:val="none" w:sz="0" w:space="0" w:color="auto"/>
        <w:bottom w:val="none" w:sz="0" w:space="0" w:color="auto"/>
        <w:right w:val="none" w:sz="0" w:space="0" w:color="auto"/>
      </w:divBdr>
    </w:div>
    <w:div w:id="2128884535">
      <w:bodyDiv w:val="1"/>
      <w:marLeft w:val="0"/>
      <w:marRight w:val="0"/>
      <w:marTop w:val="0"/>
      <w:marBottom w:val="0"/>
      <w:divBdr>
        <w:top w:val="none" w:sz="0" w:space="0" w:color="auto"/>
        <w:left w:val="none" w:sz="0" w:space="0" w:color="auto"/>
        <w:bottom w:val="none" w:sz="0" w:space="0" w:color="auto"/>
        <w:right w:val="none" w:sz="0" w:space="0" w:color="auto"/>
      </w:divBdr>
    </w:div>
    <w:div w:id="2132238382">
      <w:bodyDiv w:val="1"/>
      <w:marLeft w:val="0"/>
      <w:marRight w:val="0"/>
      <w:marTop w:val="0"/>
      <w:marBottom w:val="0"/>
      <w:divBdr>
        <w:top w:val="none" w:sz="0" w:space="0" w:color="auto"/>
        <w:left w:val="none" w:sz="0" w:space="0" w:color="auto"/>
        <w:bottom w:val="none" w:sz="0" w:space="0" w:color="auto"/>
        <w:right w:val="none" w:sz="0" w:space="0" w:color="auto"/>
      </w:divBdr>
    </w:div>
    <w:div w:id="2132674178">
      <w:bodyDiv w:val="1"/>
      <w:marLeft w:val="0"/>
      <w:marRight w:val="0"/>
      <w:marTop w:val="0"/>
      <w:marBottom w:val="0"/>
      <w:divBdr>
        <w:top w:val="none" w:sz="0" w:space="0" w:color="auto"/>
        <w:left w:val="none" w:sz="0" w:space="0" w:color="auto"/>
        <w:bottom w:val="none" w:sz="0" w:space="0" w:color="auto"/>
        <w:right w:val="none" w:sz="0" w:space="0" w:color="auto"/>
      </w:divBdr>
    </w:div>
    <w:div w:id="2135252412">
      <w:bodyDiv w:val="1"/>
      <w:marLeft w:val="0"/>
      <w:marRight w:val="0"/>
      <w:marTop w:val="0"/>
      <w:marBottom w:val="0"/>
      <w:divBdr>
        <w:top w:val="none" w:sz="0" w:space="0" w:color="auto"/>
        <w:left w:val="none" w:sz="0" w:space="0" w:color="auto"/>
        <w:bottom w:val="none" w:sz="0" w:space="0" w:color="auto"/>
        <w:right w:val="none" w:sz="0" w:space="0" w:color="auto"/>
      </w:divBdr>
    </w:div>
    <w:div w:id="2139251197">
      <w:bodyDiv w:val="1"/>
      <w:marLeft w:val="0"/>
      <w:marRight w:val="0"/>
      <w:marTop w:val="0"/>
      <w:marBottom w:val="0"/>
      <w:divBdr>
        <w:top w:val="none" w:sz="0" w:space="0" w:color="auto"/>
        <w:left w:val="none" w:sz="0" w:space="0" w:color="auto"/>
        <w:bottom w:val="none" w:sz="0" w:space="0" w:color="auto"/>
        <w:right w:val="none" w:sz="0" w:space="0" w:color="auto"/>
      </w:divBdr>
    </w:div>
    <w:div w:id="2143427195">
      <w:bodyDiv w:val="1"/>
      <w:marLeft w:val="0"/>
      <w:marRight w:val="0"/>
      <w:marTop w:val="0"/>
      <w:marBottom w:val="0"/>
      <w:divBdr>
        <w:top w:val="none" w:sz="0" w:space="0" w:color="auto"/>
        <w:left w:val="none" w:sz="0" w:space="0" w:color="auto"/>
        <w:bottom w:val="none" w:sz="0" w:space="0" w:color="auto"/>
        <w:right w:val="none" w:sz="0" w:space="0" w:color="auto"/>
      </w:divBdr>
    </w:div>
    <w:div w:id="214480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accesstoinsight.org" TargetMode="External"/><Relationship Id="rId20"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image" Target="media/image11.gif"/><Relationship Id="rId10" Type="http://schemas.openxmlformats.org/officeDocument/2006/relationships/image" Target="media/image3.jp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ccesstoinsight.org"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13.png"/></Relationships>
</file>

<file path=word/_rels/footer10.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1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1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6.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7.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8.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_rels/footer9.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1B08C1-B3A0-4CAE-BD8F-21996CD2BACB}">
  <we:reference id="wa102920439" version="1.3.1.0" store="es-ES" storeType="OMEX"/>
  <we:alternateReferences>
    <we:reference id="WA102920439" version="1.3.1.0" store="WA10292043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80379-DF95-4ED2-AE2B-10B1FD7A3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863</Pages>
  <Words>427463</Words>
  <Characters>2436543</Characters>
  <Application>Microsoft Office Word</Application>
  <DocSecurity>0</DocSecurity>
  <Lines>20304</Lines>
  <Paragraphs>5716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cp:revision>
  <cp:lastPrinted>2024-03-08T01:56:00Z</cp:lastPrinted>
  <dcterms:created xsi:type="dcterms:W3CDTF">2024-03-08T02:34:00Z</dcterms:created>
  <dcterms:modified xsi:type="dcterms:W3CDTF">2024-03-08T02:34:00Z</dcterms:modified>
</cp:coreProperties>
</file>